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6.xml" ContentType="application/vnd.openxmlformats-officedocument.drawingml.chart+xml"/>
  <Override PartName="/word/theme/themeOverride6.xml" ContentType="application/vnd.openxmlformats-officedocument.themeOverride+xml"/>
  <Override PartName="/word/drawings/drawing3.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drawings/drawing4.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drawings/drawing5.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charts/chart17.xml" ContentType="application/vnd.openxmlformats-officedocument.drawingml.chart+xml"/>
  <Override PartName="/word/theme/themeOverride15.xml" ContentType="application/vnd.openxmlformats-officedocument.themeOverride+xml"/>
  <Override PartName="/word/charts/chart18.xml" ContentType="application/vnd.openxmlformats-officedocument.drawingml.chart+xml"/>
  <Override PartName="/word/theme/themeOverride16.xml" ContentType="application/vnd.openxmlformats-officedocument.themeOverride+xml"/>
  <Override PartName="/word/drawings/drawing6.xml" ContentType="application/vnd.openxmlformats-officedocument.drawingml.chartshapes+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11638"/>
      </w:tblGrid>
      <w:tr w:rsidR="00900187" w:rsidRPr="003A2F86" w14:paraId="67E891CA" w14:textId="77777777" w:rsidTr="000B4A24">
        <w:tc>
          <w:tcPr>
            <w:tcW w:w="7672" w:type="dxa"/>
            <w:tcMar>
              <w:top w:w="216" w:type="dxa"/>
              <w:left w:w="115" w:type="dxa"/>
              <w:bottom w:w="216" w:type="dxa"/>
              <w:right w:w="115" w:type="dxa"/>
            </w:tcMar>
          </w:tcPr>
          <w:p w14:paraId="5740B18F" w14:textId="77777777" w:rsidR="00891119" w:rsidRPr="003A2F86" w:rsidRDefault="00891119" w:rsidP="00891119">
            <w:pPr>
              <w:spacing w:after="0" w:line="240" w:lineRule="auto"/>
              <w:rPr>
                <w:rFonts w:ascii="Cambria" w:eastAsia="Times New Roman" w:hAnsi="Cambria" w:cs="Times New Roman"/>
                <w:lang w:eastAsia="en-US"/>
              </w:rPr>
            </w:pPr>
            <w:r w:rsidRPr="003A2F86">
              <w:rPr>
                <w:rFonts w:ascii="Cambria" w:eastAsia="Times New Roman" w:hAnsi="Cambria" w:cs="Times New Roman"/>
                <w:lang w:eastAsia="en-US"/>
              </w:rPr>
              <w:t>OPĆINA KONAVLE</w:t>
            </w:r>
          </w:p>
        </w:tc>
      </w:tr>
      <w:tr w:rsidR="00900187" w:rsidRPr="003A2F86" w14:paraId="6E3166D9" w14:textId="77777777" w:rsidTr="000B4A24">
        <w:tc>
          <w:tcPr>
            <w:tcW w:w="7672" w:type="dxa"/>
          </w:tcPr>
          <w:p w14:paraId="602DE03A" w14:textId="13C449E9" w:rsidR="00891119" w:rsidRPr="003A2F86" w:rsidRDefault="00E005B1" w:rsidP="00891119">
            <w:pPr>
              <w:spacing w:after="0" w:line="240" w:lineRule="auto"/>
              <w:rPr>
                <w:rFonts w:ascii="Cambria" w:eastAsia="Times New Roman" w:hAnsi="Cambria" w:cs="Times New Roman"/>
                <w:sz w:val="80"/>
                <w:szCs w:val="80"/>
                <w:lang w:eastAsia="en-US"/>
              </w:rPr>
            </w:pPr>
            <w:r>
              <w:rPr>
                <w:rFonts w:ascii="Cambria" w:eastAsia="Times New Roman" w:hAnsi="Cambria" w:cs="Times New Roman"/>
                <w:sz w:val="80"/>
                <w:szCs w:val="80"/>
                <w:lang w:eastAsia="en-US"/>
              </w:rPr>
              <w:t>G</w:t>
            </w:r>
            <w:r w:rsidR="005A6E9F" w:rsidRPr="003A2F86">
              <w:rPr>
                <w:rFonts w:ascii="Cambria" w:eastAsia="Times New Roman" w:hAnsi="Cambria" w:cs="Times New Roman"/>
                <w:sz w:val="80"/>
                <w:szCs w:val="80"/>
                <w:lang w:eastAsia="en-US"/>
              </w:rPr>
              <w:t>ODIŠNJ</w:t>
            </w:r>
            <w:r w:rsidR="007F3BCB">
              <w:rPr>
                <w:rFonts w:ascii="Cambria" w:eastAsia="Times New Roman" w:hAnsi="Cambria" w:cs="Times New Roman"/>
                <w:sz w:val="80"/>
                <w:szCs w:val="80"/>
                <w:lang w:eastAsia="en-US"/>
              </w:rPr>
              <w:t>I</w:t>
            </w:r>
            <w:r w:rsidR="00271716" w:rsidRPr="003A2F86">
              <w:rPr>
                <w:rFonts w:ascii="Cambria" w:eastAsia="Times New Roman" w:hAnsi="Cambria" w:cs="Times New Roman"/>
                <w:sz w:val="80"/>
                <w:szCs w:val="80"/>
                <w:lang w:eastAsia="en-US"/>
              </w:rPr>
              <w:t xml:space="preserve"> </w:t>
            </w:r>
            <w:r w:rsidR="00891119" w:rsidRPr="003A2F86">
              <w:rPr>
                <w:rFonts w:ascii="Cambria" w:eastAsia="Times New Roman" w:hAnsi="Cambria" w:cs="Times New Roman"/>
                <w:sz w:val="80"/>
                <w:szCs w:val="80"/>
                <w:lang w:eastAsia="en-US"/>
              </w:rPr>
              <w:t xml:space="preserve">IZVJEŠTAJ O IZVRŠENJU PRORAČUNA </w:t>
            </w:r>
          </w:p>
          <w:p w14:paraId="5AFFF5D9" w14:textId="77777777" w:rsidR="00891119" w:rsidRPr="003A2F86" w:rsidRDefault="00891119" w:rsidP="00891119">
            <w:pPr>
              <w:spacing w:after="0" w:line="240" w:lineRule="auto"/>
              <w:rPr>
                <w:rFonts w:ascii="Cambria" w:eastAsia="Times New Roman" w:hAnsi="Cambria" w:cs="Times New Roman"/>
                <w:sz w:val="80"/>
                <w:szCs w:val="80"/>
                <w:lang w:eastAsia="en-US"/>
              </w:rPr>
            </w:pPr>
            <w:r w:rsidRPr="003A2F86">
              <w:rPr>
                <w:rFonts w:ascii="Cambria" w:eastAsia="Times New Roman" w:hAnsi="Cambria" w:cs="Times New Roman"/>
                <w:sz w:val="80"/>
                <w:szCs w:val="80"/>
                <w:lang w:eastAsia="en-US"/>
              </w:rPr>
              <w:t>OPĆINE KONAVLE</w:t>
            </w:r>
          </w:p>
          <w:p w14:paraId="28876B70" w14:textId="77777777" w:rsidR="00891119" w:rsidRPr="003A2F86" w:rsidRDefault="00891119" w:rsidP="00891119">
            <w:pPr>
              <w:spacing w:after="0" w:line="240" w:lineRule="auto"/>
              <w:rPr>
                <w:rFonts w:ascii="Cambria" w:eastAsia="Times New Roman" w:hAnsi="Cambria" w:cs="Times New Roman"/>
                <w:sz w:val="40"/>
                <w:szCs w:val="72"/>
                <w:lang w:eastAsia="en-US"/>
              </w:rPr>
            </w:pPr>
          </w:p>
        </w:tc>
      </w:tr>
      <w:tr w:rsidR="00900187" w:rsidRPr="003A2F86" w14:paraId="5421A9F1" w14:textId="77777777" w:rsidTr="000B4A24">
        <w:tc>
          <w:tcPr>
            <w:tcW w:w="7672" w:type="dxa"/>
            <w:tcMar>
              <w:top w:w="216" w:type="dxa"/>
              <w:left w:w="115" w:type="dxa"/>
              <w:bottom w:w="216" w:type="dxa"/>
              <w:right w:w="115" w:type="dxa"/>
            </w:tcMar>
          </w:tcPr>
          <w:p w14:paraId="784397C0" w14:textId="40EB7DEA" w:rsidR="00891119" w:rsidRPr="003A2F86" w:rsidRDefault="00891119" w:rsidP="00E343BD">
            <w:pPr>
              <w:spacing w:after="0" w:line="240" w:lineRule="auto"/>
              <w:rPr>
                <w:rFonts w:ascii="Cambria" w:eastAsia="Times New Roman" w:hAnsi="Cambria" w:cs="Times New Roman"/>
                <w:lang w:eastAsia="en-US"/>
              </w:rPr>
            </w:pPr>
            <w:r w:rsidRPr="003A2F86">
              <w:rPr>
                <w:rFonts w:ascii="Cambria" w:eastAsia="Times New Roman" w:hAnsi="Cambria" w:cs="Times New Roman"/>
                <w:sz w:val="80"/>
                <w:szCs w:val="80"/>
                <w:lang w:eastAsia="en-US"/>
              </w:rPr>
              <w:t>ZA 20</w:t>
            </w:r>
            <w:r w:rsidR="00E343BD" w:rsidRPr="003A2F86">
              <w:rPr>
                <w:rFonts w:ascii="Cambria" w:eastAsia="Times New Roman" w:hAnsi="Cambria" w:cs="Times New Roman"/>
                <w:sz w:val="80"/>
                <w:szCs w:val="80"/>
                <w:lang w:eastAsia="en-US"/>
              </w:rPr>
              <w:t>2</w:t>
            </w:r>
            <w:r w:rsidR="00E005B1">
              <w:rPr>
                <w:rFonts w:ascii="Cambria" w:eastAsia="Times New Roman" w:hAnsi="Cambria" w:cs="Times New Roman"/>
                <w:sz w:val="80"/>
                <w:szCs w:val="80"/>
                <w:lang w:eastAsia="en-US"/>
              </w:rPr>
              <w:t>5</w:t>
            </w:r>
            <w:r w:rsidRPr="003A2F86">
              <w:rPr>
                <w:rFonts w:ascii="Cambria" w:eastAsia="Times New Roman" w:hAnsi="Cambria" w:cs="Times New Roman"/>
                <w:sz w:val="80"/>
                <w:szCs w:val="80"/>
                <w:lang w:eastAsia="en-US"/>
              </w:rPr>
              <w:t>.</w:t>
            </w:r>
          </w:p>
        </w:tc>
      </w:tr>
    </w:tbl>
    <w:p w14:paraId="2A8172DF" w14:textId="7A3AF6B6" w:rsidR="00891119" w:rsidRPr="003A2F86" w:rsidRDefault="00891119" w:rsidP="00891119">
      <w:pPr>
        <w:spacing w:after="0" w:line="240" w:lineRule="auto"/>
        <w:rPr>
          <w:rFonts w:ascii="Times New Roman" w:eastAsia="Times New Roman" w:hAnsi="Times New Roman" w:cs="Times New Roman"/>
          <w:sz w:val="20"/>
          <w:szCs w:val="20"/>
          <w:lang w:eastAsia="en-US"/>
        </w:rPr>
      </w:pPr>
    </w:p>
    <w:tbl>
      <w:tblPr>
        <w:tblpPr w:leftFromText="187" w:rightFromText="187" w:horzAnchor="margin" w:tblpXSpec="center" w:tblpYSpec="bottom"/>
        <w:tblW w:w="4000" w:type="pct"/>
        <w:tblLook w:val="04A0" w:firstRow="1" w:lastRow="0" w:firstColumn="1" w:lastColumn="0" w:noHBand="0" w:noVBand="1"/>
      </w:tblPr>
      <w:tblGrid>
        <w:gridCol w:w="11656"/>
      </w:tblGrid>
      <w:tr w:rsidR="00381DDA" w:rsidRPr="003A2F86" w14:paraId="53BC0296" w14:textId="77777777" w:rsidTr="000B4A24">
        <w:tc>
          <w:tcPr>
            <w:tcW w:w="7672" w:type="dxa"/>
            <w:tcMar>
              <w:top w:w="216" w:type="dxa"/>
              <w:left w:w="115" w:type="dxa"/>
              <w:bottom w:w="216" w:type="dxa"/>
              <w:right w:w="115" w:type="dxa"/>
            </w:tcMar>
          </w:tcPr>
          <w:p w14:paraId="43209334" w14:textId="66EBAC38" w:rsidR="00891119" w:rsidRPr="003A2F86" w:rsidRDefault="00891119" w:rsidP="009463E8">
            <w:pPr>
              <w:spacing w:after="0" w:line="240" w:lineRule="auto"/>
              <w:jc w:val="center"/>
              <w:rPr>
                <w:rFonts w:ascii="Calibri" w:eastAsia="Times New Roman" w:hAnsi="Calibri" w:cs="Times New Roman"/>
                <w:lang w:eastAsia="en-US"/>
              </w:rPr>
            </w:pPr>
            <w:r w:rsidRPr="003A2F86">
              <w:rPr>
                <w:rFonts w:ascii="Calibri" w:eastAsia="Times New Roman" w:hAnsi="Calibri" w:cs="Times New Roman"/>
                <w:lang w:eastAsia="en-US"/>
              </w:rPr>
              <w:t xml:space="preserve">Cavtat, </w:t>
            </w:r>
            <w:r w:rsidR="00D80016">
              <w:rPr>
                <w:rFonts w:ascii="Calibri" w:eastAsia="Times New Roman" w:hAnsi="Calibri" w:cs="Times New Roman"/>
                <w:lang w:eastAsia="en-US"/>
              </w:rPr>
              <w:t>lipanj</w:t>
            </w:r>
            <w:r w:rsidRPr="003A2F86">
              <w:rPr>
                <w:rFonts w:ascii="Calibri" w:eastAsia="Times New Roman" w:hAnsi="Calibri" w:cs="Times New Roman"/>
                <w:lang w:eastAsia="en-US"/>
              </w:rPr>
              <w:t xml:space="preserve"> 20</w:t>
            </w:r>
            <w:r w:rsidR="007401D6" w:rsidRPr="003A2F86">
              <w:rPr>
                <w:rFonts w:ascii="Calibri" w:eastAsia="Times New Roman" w:hAnsi="Calibri" w:cs="Times New Roman"/>
                <w:lang w:eastAsia="en-US"/>
              </w:rPr>
              <w:t>2</w:t>
            </w:r>
            <w:r w:rsidR="007075BE">
              <w:rPr>
                <w:rFonts w:ascii="Calibri" w:eastAsia="Times New Roman" w:hAnsi="Calibri" w:cs="Times New Roman"/>
                <w:lang w:eastAsia="en-US"/>
              </w:rPr>
              <w:t>6</w:t>
            </w:r>
            <w:r w:rsidRPr="003A2F86">
              <w:rPr>
                <w:rFonts w:ascii="Calibri" w:eastAsia="Times New Roman" w:hAnsi="Calibri" w:cs="Times New Roman"/>
                <w:lang w:eastAsia="en-US"/>
              </w:rPr>
              <w:t>.</w:t>
            </w:r>
          </w:p>
        </w:tc>
      </w:tr>
      <w:tr w:rsidR="00B74B97" w:rsidRPr="003A2F86" w14:paraId="4C920A9D" w14:textId="77777777" w:rsidTr="000B4A24">
        <w:tc>
          <w:tcPr>
            <w:tcW w:w="7672" w:type="dxa"/>
            <w:tcMar>
              <w:top w:w="216" w:type="dxa"/>
              <w:left w:w="115" w:type="dxa"/>
              <w:bottom w:w="216" w:type="dxa"/>
              <w:right w:w="115" w:type="dxa"/>
            </w:tcMar>
          </w:tcPr>
          <w:p w14:paraId="39FD7C30" w14:textId="77777777" w:rsidR="00B74B97" w:rsidRPr="003A2F86" w:rsidRDefault="00B74B97" w:rsidP="009463E8">
            <w:pPr>
              <w:spacing w:after="0" w:line="240" w:lineRule="auto"/>
              <w:jc w:val="center"/>
              <w:rPr>
                <w:rFonts w:ascii="Calibri" w:eastAsia="Times New Roman" w:hAnsi="Calibri" w:cs="Times New Roman"/>
                <w:lang w:eastAsia="en-US"/>
              </w:rPr>
            </w:pPr>
          </w:p>
        </w:tc>
      </w:tr>
    </w:tbl>
    <w:p w14:paraId="6EBC2661" w14:textId="27783B1B" w:rsidR="00891119" w:rsidRPr="003A2F86" w:rsidRDefault="00891119" w:rsidP="00891119">
      <w:pPr>
        <w:spacing w:after="0" w:line="240" w:lineRule="auto"/>
        <w:rPr>
          <w:rFonts w:ascii="Times New Roman" w:eastAsia="Times New Roman" w:hAnsi="Times New Roman" w:cs="Times New Roman"/>
          <w:sz w:val="20"/>
          <w:szCs w:val="20"/>
          <w:lang w:eastAsia="en-US"/>
        </w:rPr>
      </w:pPr>
    </w:p>
    <w:p w14:paraId="43195B0A" w14:textId="725F150D" w:rsidR="00891119" w:rsidRPr="003A2F86" w:rsidRDefault="00891119" w:rsidP="00891119">
      <w:pPr>
        <w:spacing w:after="0" w:line="240" w:lineRule="auto"/>
        <w:rPr>
          <w:rFonts w:ascii="Arial" w:eastAsia="Calibri" w:hAnsi="Arial" w:cs="Arial"/>
          <w:b/>
          <w:lang w:eastAsia="en-US"/>
        </w:rPr>
      </w:pPr>
      <w:r w:rsidRPr="003A2F86">
        <w:rPr>
          <w:rFonts w:ascii="Calibri" w:eastAsia="Times New Roman" w:hAnsi="Calibri" w:cs="Times New Roman"/>
          <w:lang w:eastAsia="en-US"/>
        </w:rPr>
        <w:br w:type="page"/>
      </w:r>
    </w:p>
    <w:p w14:paraId="3EC65597" w14:textId="77777777" w:rsidR="00891119" w:rsidRPr="003A2F86" w:rsidRDefault="00891119" w:rsidP="00891119">
      <w:pPr>
        <w:keepNext/>
        <w:keepLines/>
        <w:spacing w:before="480" w:after="0"/>
        <w:jc w:val="center"/>
        <w:rPr>
          <w:rFonts w:ascii="Cambria" w:eastAsia="Times New Roman" w:hAnsi="Cambria" w:cs="Times New Roman"/>
          <w:b/>
          <w:bCs/>
          <w:color w:val="1F497D" w:themeColor="text2"/>
          <w:sz w:val="24"/>
          <w:szCs w:val="28"/>
          <w:lang w:eastAsia="en-US"/>
        </w:rPr>
      </w:pPr>
      <w:r w:rsidRPr="003A2F86">
        <w:rPr>
          <w:rFonts w:ascii="Cambria" w:eastAsia="Times New Roman" w:hAnsi="Cambria" w:cs="Times New Roman"/>
          <w:b/>
          <w:bCs/>
          <w:color w:val="1F497D" w:themeColor="text2"/>
          <w:sz w:val="24"/>
          <w:szCs w:val="28"/>
          <w:lang w:eastAsia="en-US"/>
        </w:rPr>
        <w:lastRenderedPageBreak/>
        <w:t>Sadržaj</w:t>
      </w:r>
    </w:p>
    <w:p w14:paraId="59CE5C38" w14:textId="77777777" w:rsidR="004F4581" w:rsidRPr="00C05901" w:rsidRDefault="004F4581" w:rsidP="00FA1272">
      <w:pPr>
        <w:pStyle w:val="Sadraj1"/>
        <w:rPr>
          <w:lang w:eastAsia="en-US"/>
        </w:rPr>
      </w:pPr>
    </w:p>
    <w:p w14:paraId="69264FF7" w14:textId="68410BB7" w:rsidR="0059051D" w:rsidRDefault="00F66355">
      <w:pPr>
        <w:pStyle w:val="Sadraj1"/>
        <w:rPr>
          <w:rFonts w:asciiTheme="minorHAnsi" w:eastAsiaTheme="minorEastAsia" w:hAnsiTheme="minorHAnsi" w:cstheme="minorBidi"/>
          <w:b w:val="0"/>
          <w:bCs w:val="0"/>
          <w:caps w:val="0"/>
          <w:kern w:val="2"/>
          <w:sz w:val="24"/>
          <w:szCs w:val="24"/>
          <w14:ligatures w14:val="standardContextual"/>
        </w:rPr>
      </w:pPr>
      <w:r w:rsidRPr="00C05901">
        <w:rPr>
          <w:sz w:val="18"/>
          <w:lang w:eastAsia="en-US"/>
        </w:rPr>
        <w:fldChar w:fldCharType="begin"/>
      </w:r>
      <w:r w:rsidRPr="00C05901">
        <w:rPr>
          <w:sz w:val="18"/>
          <w:lang w:eastAsia="en-US"/>
        </w:rPr>
        <w:instrText xml:space="preserve"> TOC \o "1-5" \h \z \u </w:instrText>
      </w:r>
      <w:r w:rsidRPr="00C05901">
        <w:rPr>
          <w:sz w:val="18"/>
          <w:lang w:eastAsia="en-US"/>
        </w:rPr>
        <w:fldChar w:fldCharType="separate"/>
      </w:r>
      <w:hyperlink w:anchor="_Toc232981375" w:history="1">
        <w:r w:rsidR="0059051D" w:rsidRPr="005E2BBA">
          <w:rPr>
            <w:rStyle w:val="Hiperveza"/>
          </w:rPr>
          <w:t xml:space="preserve">1. </w:t>
        </w:r>
        <w:r w:rsidR="0059051D">
          <w:rPr>
            <w:rFonts w:asciiTheme="minorHAnsi" w:eastAsiaTheme="minorEastAsia" w:hAnsiTheme="minorHAnsi" w:cstheme="minorBidi"/>
            <w:b w:val="0"/>
            <w:bCs w:val="0"/>
            <w:caps w:val="0"/>
            <w:kern w:val="2"/>
            <w:sz w:val="24"/>
            <w:szCs w:val="24"/>
            <w14:ligatures w14:val="standardContextual"/>
          </w:rPr>
          <w:tab/>
        </w:r>
        <w:r w:rsidR="0059051D" w:rsidRPr="005E2BBA">
          <w:rPr>
            <w:rStyle w:val="Hiperveza"/>
          </w:rPr>
          <w:t>UVOD</w:t>
        </w:r>
        <w:r w:rsidR="0059051D">
          <w:rPr>
            <w:webHidden/>
          </w:rPr>
          <w:tab/>
        </w:r>
        <w:r w:rsidR="0059051D">
          <w:rPr>
            <w:webHidden/>
          </w:rPr>
          <w:fldChar w:fldCharType="begin"/>
        </w:r>
        <w:r w:rsidR="0059051D">
          <w:rPr>
            <w:webHidden/>
          </w:rPr>
          <w:instrText xml:space="preserve"> PAGEREF _Toc232981375 \h </w:instrText>
        </w:r>
        <w:r w:rsidR="0059051D">
          <w:rPr>
            <w:webHidden/>
          </w:rPr>
        </w:r>
        <w:r w:rsidR="0059051D">
          <w:rPr>
            <w:webHidden/>
          </w:rPr>
          <w:fldChar w:fldCharType="separate"/>
        </w:r>
        <w:r w:rsidR="00A821D8">
          <w:rPr>
            <w:webHidden/>
          </w:rPr>
          <w:t>7</w:t>
        </w:r>
        <w:r w:rsidR="0059051D">
          <w:rPr>
            <w:webHidden/>
          </w:rPr>
          <w:fldChar w:fldCharType="end"/>
        </w:r>
      </w:hyperlink>
    </w:p>
    <w:p w14:paraId="7DD69822" w14:textId="6C6C4521"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376" w:history="1">
        <w:r w:rsidRPr="005E2BBA">
          <w:rPr>
            <w:rStyle w:val="Hiperveza"/>
          </w:rPr>
          <w:t>1.1.</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OSVRT NA ZAKONSKI OKVIR, STRUKTURU I SADRŽAJ IZVJEŠTAJA</w:t>
        </w:r>
        <w:r>
          <w:rPr>
            <w:webHidden/>
          </w:rPr>
          <w:tab/>
        </w:r>
        <w:r>
          <w:rPr>
            <w:webHidden/>
          </w:rPr>
          <w:fldChar w:fldCharType="begin"/>
        </w:r>
        <w:r>
          <w:rPr>
            <w:webHidden/>
          </w:rPr>
          <w:instrText xml:space="preserve"> PAGEREF _Toc232981376 \h </w:instrText>
        </w:r>
        <w:r>
          <w:rPr>
            <w:webHidden/>
          </w:rPr>
        </w:r>
        <w:r>
          <w:rPr>
            <w:webHidden/>
          </w:rPr>
          <w:fldChar w:fldCharType="separate"/>
        </w:r>
        <w:r w:rsidR="00A821D8">
          <w:rPr>
            <w:webHidden/>
          </w:rPr>
          <w:t>7</w:t>
        </w:r>
        <w:r>
          <w:rPr>
            <w:webHidden/>
          </w:rPr>
          <w:fldChar w:fldCharType="end"/>
        </w:r>
      </w:hyperlink>
    </w:p>
    <w:p w14:paraId="2C9755A7" w14:textId="20BB3720"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377" w:history="1">
        <w:r w:rsidRPr="005E2BBA">
          <w:rPr>
            <w:rStyle w:val="Hiperveza"/>
          </w:rPr>
          <w:t>1.2.</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OSVRT NA FINANCIJSKE IZVJEŠTAJE ZA 1-12/2025. I IZVJEŠTAJ O IZVRŠENJU PRORAČUNA ZA 1-12/2025.</w:t>
        </w:r>
        <w:r>
          <w:rPr>
            <w:webHidden/>
          </w:rPr>
          <w:tab/>
        </w:r>
        <w:r>
          <w:rPr>
            <w:webHidden/>
          </w:rPr>
          <w:fldChar w:fldCharType="begin"/>
        </w:r>
        <w:r>
          <w:rPr>
            <w:webHidden/>
          </w:rPr>
          <w:instrText xml:space="preserve"> PAGEREF _Toc232981377 \h </w:instrText>
        </w:r>
        <w:r>
          <w:rPr>
            <w:webHidden/>
          </w:rPr>
        </w:r>
        <w:r>
          <w:rPr>
            <w:webHidden/>
          </w:rPr>
          <w:fldChar w:fldCharType="separate"/>
        </w:r>
        <w:r w:rsidR="00A821D8">
          <w:rPr>
            <w:webHidden/>
          </w:rPr>
          <w:t>10</w:t>
        </w:r>
        <w:r>
          <w:rPr>
            <w:webHidden/>
          </w:rPr>
          <w:fldChar w:fldCharType="end"/>
        </w:r>
      </w:hyperlink>
    </w:p>
    <w:p w14:paraId="44BDA08A" w14:textId="7FC1C7E0"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378" w:history="1">
        <w:r w:rsidRPr="005E2BBA">
          <w:rPr>
            <w:rStyle w:val="Hiperveza"/>
          </w:rPr>
          <w:t>1.3.</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OSVRT NA BROJ TURISTIČKIH DOLAZAKA I BROJ NOĆENJA U RAZDOBLJU 2019.-2025.</w:t>
        </w:r>
        <w:r>
          <w:rPr>
            <w:webHidden/>
          </w:rPr>
          <w:tab/>
        </w:r>
        <w:r>
          <w:rPr>
            <w:webHidden/>
          </w:rPr>
          <w:fldChar w:fldCharType="begin"/>
        </w:r>
        <w:r>
          <w:rPr>
            <w:webHidden/>
          </w:rPr>
          <w:instrText xml:space="preserve"> PAGEREF _Toc232981378 \h </w:instrText>
        </w:r>
        <w:r>
          <w:rPr>
            <w:webHidden/>
          </w:rPr>
        </w:r>
        <w:r>
          <w:rPr>
            <w:webHidden/>
          </w:rPr>
          <w:fldChar w:fldCharType="separate"/>
        </w:r>
        <w:r w:rsidR="00A821D8">
          <w:rPr>
            <w:webHidden/>
          </w:rPr>
          <w:t>11</w:t>
        </w:r>
        <w:r>
          <w:rPr>
            <w:webHidden/>
          </w:rPr>
          <w:fldChar w:fldCharType="end"/>
        </w:r>
      </w:hyperlink>
    </w:p>
    <w:p w14:paraId="39C4A2CD" w14:textId="3ED4725F" w:rsidR="0059051D" w:rsidRDefault="0059051D">
      <w:pPr>
        <w:pStyle w:val="Sadraj1"/>
        <w:rPr>
          <w:rFonts w:asciiTheme="minorHAnsi" w:eastAsiaTheme="minorEastAsia" w:hAnsiTheme="minorHAnsi" w:cstheme="minorBidi"/>
          <w:b w:val="0"/>
          <w:bCs w:val="0"/>
          <w:caps w:val="0"/>
          <w:kern w:val="2"/>
          <w:sz w:val="24"/>
          <w:szCs w:val="24"/>
          <w14:ligatures w14:val="standardContextual"/>
        </w:rPr>
      </w:pPr>
      <w:hyperlink w:anchor="_Toc232981379" w:history="1">
        <w:r w:rsidRPr="005E2BBA">
          <w:rPr>
            <w:rStyle w:val="Hiperveza"/>
          </w:rPr>
          <w:t xml:space="preserve">2. </w:t>
        </w:r>
        <w:r>
          <w:rPr>
            <w:rFonts w:asciiTheme="minorHAnsi" w:eastAsiaTheme="minorEastAsia" w:hAnsiTheme="minorHAnsi" w:cstheme="minorBidi"/>
            <w:b w:val="0"/>
            <w:bCs w:val="0"/>
            <w:caps w:val="0"/>
            <w:kern w:val="2"/>
            <w:sz w:val="24"/>
            <w:szCs w:val="24"/>
            <w14:ligatures w14:val="standardContextual"/>
          </w:rPr>
          <w:tab/>
        </w:r>
        <w:r w:rsidRPr="005E2BBA">
          <w:rPr>
            <w:rStyle w:val="Hiperveza"/>
          </w:rPr>
          <w:t>OBRAZLOŽENJE OPĆEG DIJELA POLUGODIŠNJEG IZVJEŠTAJA O IZVRŠENJU PRORAČUNA</w:t>
        </w:r>
        <w:r>
          <w:rPr>
            <w:webHidden/>
          </w:rPr>
          <w:tab/>
        </w:r>
        <w:r>
          <w:rPr>
            <w:webHidden/>
          </w:rPr>
          <w:fldChar w:fldCharType="begin"/>
        </w:r>
        <w:r>
          <w:rPr>
            <w:webHidden/>
          </w:rPr>
          <w:instrText xml:space="preserve"> PAGEREF _Toc232981379 \h </w:instrText>
        </w:r>
        <w:r>
          <w:rPr>
            <w:webHidden/>
          </w:rPr>
        </w:r>
        <w:r>
          <w:rPr>
            <w:webHidden/>
          </w:rPr>
          <w:fldChar w:fldCharType="separate"/>
        </w:r>
        <w:r w:rsidR="00A821D8">
          <w:rPr>
            <w:webHidden/>
          </w:rPr>
          <w:t>13</w:t>
        </w:r>
        <w:r>
          <w:rPr>
            <w:webHidden/>
          </w:rPr>
          <w:fldChar w:fldCharType="end"/>
        </w:r>
      </w:hyperlink>
    </w:p>
    <w:p w14:paraId="47A6760D" w14:textId="30C015D0"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380" w:history="1">
        <w:r w:rsidRPr="005E2BBA">
          <w:rPr>
            <w:rStyle w:val="Hiperveza"/>
            <w:rFonts w:eastAsia="Calibri"/>
          </w:rPr>
          <w:t>2.1.</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Fonts w:eastAsia="Calibri"/>
          </w:rPr>
          <w:t>PRIKAZ IZVRŠENJA PRORAČUNA ZA PRETHODNA RAZDOBLJA U VALUTI EURO, TE PLAN ZA 2025. S IZVRŠENJEM ZA 2025.</w:t>
        </w:r>
        <w:r>
          <w:rPr>
            <w:webHidden/>
          </w:rPr>
          <w:tab/>
        </w:r>
        <w:r>
          <w:rPr>
            <w:webHidden/>
          </w:rPr>
          <w:fldChar w:fldCharType="begin"/>
        </w:r>
        <w:r>
          <w:rPr>
            <w:webHidden/>
          </w:rPr>
          <w:instrText xml:space="preserve"> PAGEREF _Toc232981380 \h </w:instrText>
        </w:r>
        <w:r>
          <w:rPr>
            <w:webHidden/>
          </w:rPr>
        </w:r>
        <w:r>
          <w:rPr>
            <w:webHidden/>
          </w:rPr>
          <w:fldChar w:fldCharType="separate"/>
        </w:r>
        <w:r w:rsidR="00A821D8">
          <w:rPr>
            <w:webHidden/>
          </w:rPr>
          <w:t>13</w:t>
        </w:r>
        <w:r>
          <w:rPr>
            <w:webHidden/>
          </w:rPr>
          <w:fldChar w:fldCharType="end"/>
        </w:r>
      </w:hyperlink>
    </w:p>
    <w:p w14:paraId="580BB9EC" w14:textId="42BF5F63"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381" w:history="1">
        <w:r w:rsidRPr="005E2BBA">
          <w:rPr>
            <w:rStyle w:val="Hiperveza"/>
            <w:rFonts w:eastAsia="Calibri"/>
          </w:rPr>
          <w:t>2.2.</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PRIKAZ UDJELA IZVRŠENJA PRORAČUNSKIH KORISNIKA U SVEUKUPNO IZVRŠENOM PRORAČUNU ZA 2025.</w:t>
        </w:r>
        <w:r>
          <w:rPr>
            <w:webHidden/>
          </w:rPr>
          <w:tab/>
        </w:r>
        <w:r>
          <w:rPr>
            <w:webHidden/>
          </w:rPr>
          <w:fldChar w:fldCharType="begin"/>
        </w:r>
        <w:r>
          <w:rPr>
            <w:webHidden/>
          </w:rPr>
          <w:instrText xml:space="preserve"> PAGEREF _Toc232981381 \h </w:instrText>
        </w:r>
        <w:r>
          <w:rPr>
            <w:webHidden/>
          </w:rPr>
        </w:r>
        <w:r>
          <w:rPr>
            <w:webHidden/>
          </w:rPr>
          <w:fldChar w:fldCharType="separate"/>
        </w:r>
        <w:r w:rsidR="00A821D8">
          <w:rPr>
            <w:webHidden/>
          </w:rPr>
          <w:t>23</w:t>
        </w:r>
        <w:r>
          <w:rPr>
            <w:webHidden/>
          </w:rPr>
          <w:fldChar w:fldCharType="end"/>
        </w:r>
      </w:hyperlink>
    </w:p>
    <w:p w14:paraId="54E86D79" w14:textId="1FDB7A11"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382" w:history="1">
        <w:r w:rsidRPr="005E2BBA">
          <w:rPr>
            <w:rStyle w:val="Hiperveza"/>
          </w:rPr>
          <w:t>2.3.</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SAŽETAK – OBRAZLOŽENJE IZVRŠENJA PRIHODA I RASHODA, PRIMITAKA I IZDATAKA ZA SIJEČANJ – PROSINAC 2025.</w:t>
        </w:r>
        <w:r>
          <w:rPr>
            <w:webHidden/>
          </w:rPr>
          <w:tab/>
        </w:r>
        <w:r>
          <w:rPr>
            <w:webHidden/>
          </w:rPr>
          <w:fldChar w:fldCharType="begin"/>
        </w:r>
        <w:r>
          <w:rPr>
            <w:webHidden/>
          </w:rPr>
          <w:instrText xml:space="preserve"> PAGEREF _Toc232981382 \h </w:instrText>
        </w:r>
        <w:r>
          <w:rPr>
            <w:webHidden/>
          </w:rPr>
        </w:r>
        <w:r>
          <w:rPr>
            <w:webHidden/>
          </w:rPr>
          <w:fldChar w:fldCharType="separate"/>
        </w:r>
        <w:r w:rsidR="00A821D8">
          <w:rPr>
            <w:webHidden/>
          </w:rPr>
          <w:t>31</w:t>
        </w:r>
        <w:r>
          <w:rPr>
            <w:webHidden/>
          </w:rPr>
          <w:fldChar w:fldCharType="end"/>
        </w:r>
      </w:hyperlink>
    </w:p>
    <w:p w14:paraId="73BC9385" w14:textId="4693B826"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383" w:history="1">
        <w:r w:rsidRPr="005E2BBA">
          <w:rPr>
            <w:rStyle w:val="Hiperveza"/>
            <w:rFonts w:ascii="Arial" w:eastAsia="Calibri" w:hAnsi="Arial" w:cs="Arial"/>
            <w:noProof/>
          </w:rPr>
          <w:t>2.3.1.</w:t>
        </w:r>
        <w:r>
          <w:rPr>
            <w:rFonts w:eastAsiaTheme="minorEastAsia"/>
            <w:i w:val="0"/>
            <w:iCs w:val="0"/>
            <w:noProof/>
            <w:kern w:val="2"/>
            <w:sz w:val="24"/>
            <w:szCs w:val="24"/>
            <w14:ligatures w14:val="standardContextual"/>
          </w:rPr>
          <w:tab/>
        </w:r>
        <w:r w:rsidRPr="005E2BBA">
          <w:rPr>
            <w:rStyle w:val="Hiperveza"/>
            <w:rFonts w:ascii="Arial" w:eastAsia="Calibri" w:hAnsi="Arial" w:cs="Arial"/>
            <w:noProof/>
          </w:rPr>
          <w:t xml:space="preserve"> PRIHODI I PRIMICI</w:t>
        </w:r>
        <w:r>
          <w:rPr>
            <w:noProof/>
            <w:webHidden/>
          </w:rPr>
          <w:tab/>
        </w:r>
        <w:r>
          <w:rPr>
            <w:noProof/>
            <w:webHidden/>
          </w:rPr>
          <w:fldChar w:fldCharType="begin"/>
        </w:r>
        <w:r>
          <w:rPr>
            <w:noProof/>
            <w:webHidden/>
          </w:rPr>
          <w:instrText xml:space="preserve"> PAGEREF _Toc232981383 \h </w:instrText>
        </w:r>
        <w:r>
          <w:rPr>
            <w:noProof/>
            <w:webHidden/>
          </w:rPr>
        </w:r>
        <w:r>
          <w:rPr>
            <w:noProof/>
            <w:webHidden/>
          </w:rPr>
          <w:fldChar w:fldCharType="separate"/>
        </w:r>
        <w:r w:rsidR="00A821D8">
          <w:rPr>
            <w:noProof/>
            <w:webHidden/>
          </w:rPr>
          <w:t>33</w:t>
        </w:r>
        <w:r>
          <w:rPr>
            <w:noProof/>
            <w:webHidden/>
          </w:rPr>
          <w:fldChar w:fldCharType="end"/>
        </w:r>
      </w:hyperlink>
    </w:p>
    <w:p w14:paraId="247449FB" w14:textId="7285808B"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384" w:history="1">
        <w:r w:rsidRPr="005E2BBA">
          <w:rPr>
            <w:rStyle w:val="Hiperveza"/>
            <w:rFonts w:ascii="Arial" w:hAnsi="Arial" w:cs="Arial"/>
            <w:noProof/>
          </w:rPr>
          <w:t>2.3.2.</w:t>
        </w:r>
        <w:r>
          <w:rPr>
            <w:rFonts w:eastAsiaTheme="minorEastAsia"/>
            <w:i w:val="0"/>
            <w:iCs w:val="0"/>
            <w:noProof/>
            <w:kern w:val="2"/>
            <w:sz w:val="24"/>
            <w:szCs w:val="24"/>
            <w14:ligatures w14:val="standardContextual"/>
          </w:rPr>
          <w:tab/>
        </w:r>
        <w:r w:rsidRPr="005E2BBA">
          <w:rPr>
            <w:rStyle w:val="Hiperveza"/>
            <w:rFonts w:ascii="Arial" w:hAnsi="Arial" w:cs="Arial"/>
            <w:noProof/>
          </w:rPr>
          <w:t xml:space="preserve"> RASHODI I IZDACI</w:t>
        </w:r>
        <w:r>
          <w:rPr>
            <w:noProof/>
            <w:webHidden/>
          </w:rPr>
          <w:tab/>
        </w:r>
        <w:r>
          <w:rPr>
            <w:noProof/>
            <w:webHidden/>
          </w:rPr>
          <w:fldChar w:fldCharType="begin"/>
        </w:r>
        <w:r>
          <w:rPr>
            <w:noProof/>
            <w:webHidden/>
          </w:rPr>
          <w:instrText xml:space="preserve"> PAGEREF _Toc232981384 \h </w:instrText>
        </w:r>
        <w:r>
          <w:rPr>
            <w:noProof/>
            <w:webHidden/>
          </w:rPr>
        </w:r>
        <w:r>
          <w:rPr>
            <w:noProof/>
            <w:webHidden/>
          </w:rPr>
          <w:fldChar w:fldCharType="separate"/>
        </w:r>
        <w:r w:rsidR="00A821D8">
          <w:rPr>
            <w:noProof/>
            <w:webHidden/>
          </w:rPr>
          <w:t>41</w:t>
        </w:r>
        <w:r>
          <w:rPr>
            <w:noProof/>
            <w:webHidden/>
          </w:rPr>
          <w:fldChar w:fldCharType="end"/>
        </w:r>
      </w:hyperlink>
    </w:p>
    <w:p w14:paraId="1C46F4FB" w14:textId="72081924"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385" w:history="1">
        <w:r w:rsidRPr="005E2BBA">
          <w:rPr>
            <w:rStyle w:val="Hiperveza"/>
          </w:rPr>
          <w:t xml:space="preserve">2.4. </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RAČUN PRIHODA I RASHODA</w:t>
        </w:r>
        <w:r>
          <w:rPr>
            <w:webHidden/>
          </w:rPr>
          <w:tab/>
        </w:r>
        <w:r>
          <w:rPr>
            <w:webHidden/>
          </w:rPr>
          <w:fldChar w:fldCharType="begin"/>
        </w:r>
        <w:r>
          <w:rPr>
            <w:webHidden/>
          </w:rPr>
          <w:instrText xml:space="preserve"> PAGEREF _Toc232981385 \h </w:instrText>
        </w:r>
        <w:r>
          <w:rPr>
            <w:webHidden/>
          </w:rPr>
        </w:r>
        <w:r>
          <w:rPr>
            <w:webHidden/>
          </w:rPr>
          <w:fldChar w:fldCharType="separate"/>
        </w:r>
        <w:r w:rsidR="00A821D8">
          <w:rPr>
            <w:webHidden/>
          </w:rPr>
          <w:t>49</w:t>
        </w:r>
        <w:r>
          <w:rPr>
            <w:webHidden/>
          </w:rPr>
          <w:fldChar w:fldCharType="end"/>
        </w:r>
      </w:hyperlink>
    </w:p>
    <w:p w14:paraId="69311002" w14:textId="51D1F927"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386" w:history="1">
        <w:r w:rsidRPr="005E2BBA">
          <w:rPr>
            <w:rStyle w:val="Hiperveza"/>
            <w:rFonts w:ascii="Arial" w:hAnsi="Arial" w:cs="Arial"/>
            <w:noProof/>
          </w:rPr>
          <w:t>2.4.1.</w:t>
        </w:r>
        <w:r>
          <w:rPr>
            <w:rFonts w:eastAsiaTheme="minorEastAsia"/>
            <w:i w:val="0"/>
            <w:iCs w:val="0"/>
            <w:noProof/>
            <w:kern w:val="2"/>
            <w:sz w:val="24"/>
            <w:szCs w:val="24"/>
            <w14:ligatures w14:val="standardContextual"/>
          </w:rPr>
          <w:tab/>
        </w:r>
        <w:r w:rsidRPr="005E2BBA">
          <w:rPr>
            <w:rStyle w:val="Hiperveza"/>
            <w:rFonts w:ascii="Arial" w:hAnsi="Arial" w:cs="Arial"/>
            <w:noProof/>
          </w:rPr>
          <w:t>PRIHODI POSLOVANJA (6)</w:t>
        </w:r>
        <w:r>
          <w:rPr>
            <w:noProof/>
            <w:webHidden/>
          </w:rPr>
          <w:tab/>
        </w:r>
        <w:r>
          <w:rPr>
            <w:noProof/>
            <w:webHidden/>
          </w:rPr>
          <w:fldChar w:fldCharType="begin"/>
        </w:r>
        <w:r>
          <w:rPr>
            <w:noProof/>
            <w:webHidden/>
          </w:rPr>
          <w:instrText xml:space="preserve"> PAGEREF _Toc232981386 \h </w:instrText>
        </w:r>
        <w:r>
          <w:rPr>
            <w:noProof/>
            <w:webHidden/>
          </w:rPr>
        </w:r>
        <w:r>
          <w:rPr>
            <w:noProof/>
            <w:webHidden/>
          </w:rPr>
          <w:fldChar w:fldCharType="separate"/>
        </w:r>
        <w:r w:rsidR="00A821D8">
          <w:rPr>
            <w:noProof/>
            <w:webHidden/>
          </w:rPr>
          <w:t>49</w:t>
        </w:r>
        <w:r>
          <w:rPr>
            <w:noProof/>
            <w:webHidden/>
          </w:rPr>
          <w:fldChar w:fldCharType="end"/>
        </w:r>
      </w:hyperlink>
    </w:p>
    <w:p w14:paraId="1A3FF9DD" w14:textId="40CFEB14"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387" w:history="1">
        <w:r w:rsidRPr="005E2BBA">
          <w:rPr>
            <w:rStyle w:val="Hiperveza"/>
            <w:rFonts w:ascii="Arial" w:hAnsi="Arial" w:cs="Arial"/>
            <w:noProof/>
            <w:shd w:val="clear" w:color="auto" w:fill="FFFFFF"/>
          </w:rPr>
          <w:t xml:space="preserve">2.4.1.1. </w:t>
        </w:r>
        <w:r>
          <w:rPr>
            <w:rFonts w:eastAsiaTheme="minorEastAsia"/>
            <w:noProof/>
            <w:kern w:val="2"/>
            <w:sz w:val="24"/>
            <w:szCs w:val="24"/>
            <w14:ligatures w14:val="standardContextual"/>
          </w:rPr>
          <w:tab/>
        </w:r>
        <w:r w:rsidRPr="005E2BBA">
          <w:rPr>
            <w:rStyle w:val="Hiperveza"/>
            <w:rFonts w:ascii="Arial" w:hAnsi="Arial" w:cs="Arial"/>
            <w:noProof/>
          </w:rPr>
          <w:t>Prihodi od poreza (61)</w:t>
        </w:r>
        <w:r>
          <w:rPr>
            <w:noProof/>
            <w:webHidden/>
          </w:rPr>
          <w:tab/>
        </w:r>
        <w:r>
          <w:rPr>
            <w:noProof/>
            <w:webHidden/>
          </w:rPr>
          <w:fldChar w:fldCharType="begin"/>
        </w:r>
        <w:r>
          <w:rPr>
            <w:noProof/>
            <w:webHidden/>
          </w:rPr>
          <w:instrText xml:space="preserve"> PAGEREF _Toc232981387 \h </w:instrText>
        </w:r>
        <w:r>
          <w:rPr>
            <w:noProof/>
            <w:webHidden/>
          </w:rPr>
        </w:r>
        <w:r>
          <w:rPr>
            <w:noProof/>
            <w:webHidden/>
          </w:rPr>
          <w:fldChar w:fldCharType="separate"/>
        </w:r>
        <w:r w:rsidR="00A821D8">
          <w:rPr>
            <w:noProof/>
            <w:webHidden/>
          </w:rPr>
          <w:t>50</w:t>
        </w:r>
        <w:r>
          <w:rPr>
            <w:noProof/>
            <w:webHidden/>
          </w:rPr>
          <w:fldChar w:fldCharType="end"/>
        </w:r>
      </w:hyperlink>
    </w:p>
    <w:p w14:paraId="236164A9" w14:textId="05005BE1"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388" w:history="1">
        <w:r w:rsidRPr="005E2BBA">
          <w:rPr>
            <w:rStyle w:val="Hiperveza"/>
            <w:rFonts w:ascii="Arial" w:hAnsi="Arial" w:cs="Arial"/>
            <w:noProof/>
            <w:shd w:val="clear" w:color="auto" w:fill="FFFFFF"/>
          </w:rPr>
          <w:t xml:space="preserve">2.4.1.2. </w:t>
        </w:r>
        <w:r>
          <w:rPr>
            <w:rFonts w:eastAsiaTheme="minorEastAsia"/>
            <w:noProof/>
            <w:kern w:val="2"/>
            <w:sz w:val="24"/>
            <w:szCs w:val="24"/>
            <w14:ligatures w14:val="standardContextual"/>
          </w:rPr>
          <w:tab/>
        </w:r>
        <w:r w:rsidRPr="005E2BBA">
          <w:rPr>
            <w:rStyle w:val="Hiperveza"/>
            <w:rFonts w:ascii="Arial" w:hAnsi="Arial" w:cs="Arial"/>
            <w:noProof/>
            <w:shd w:val="clear" w:color="auto" w:fill="FFFFFF"/>
          </w:rPr>
          <w:t>Pomoći (63)</w:t>
        </w:r>
        <w:r>
          <w:rPr>
            <w:noProof/>
            <w:webHidden/>
          </w:rPr>
          <w:tab/>
        </w:r>
        <w:r>
          <w:rPr>
            <w:noProof/>
            <w:webHidden/>
          </w:rPr>
          <w:fldChar w:fldCharType="begin"/>
        </w:r>
        <w:r>
          <w:rPr>
            <w:noProof/>
            <w:webHidden/>
          </w:rPr>
          <w:instrText xml:space="preserve"> PAGEREF _Toc232981388 \h </w:instrText>
        </w:r>
        <w:r>
          <w:rPr>
            <w:noProof/>
            <w:webHidden/>
          </w:rPr>
        </w:r>
        <w:r>
          <w:rPr>
            <w:noProof/>
            <w:webHidden/>
          </w:rPr>
          <w:fldChar w:fldCharType="separate"/>
        </w:r>
        <w:r w:rsidR="00A821D8">
          <w:rPr>
            <w:noProof/>
            <w:webHidden/>
          </w:rPr>
          <w:t>55</w:t>
        </w:r>
        <w:r>
          <w:rPr>
            <w:noProof/>
            <w:webHidden/>
          </w:rPr>
          <w:fldChar w:fldCharType="end"/>
        </w:r>
      </w:hyperlink>
    </w:p>
    <w:p w14:paraId="6A5F64E9" w14:textId="72AC7446"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389" w:history="1">
        <w:r w:rsidRPr="005E2BBA">
          <w:rPr>
            <w:rStyle w:val="Hiperveza"/>
            <w:rFonts w:ascii="Arial" w:hAnsi="Arial" w:cs="Arial"/>
            <w:noProof/>
            <w:shd w:val="clear" w:color="auto" w:fill="FFFFFF"/>
          </w:rPr>
          <w:t xml:space="preserve">2.4.1.3. </w:t>
        </w:r>
        <w:r>
          <w:rPr>
            <w:rFonts w:eastAsiaTheme="minorEastAsia"/>
            <w:noProof/>
            <w:kern w:val="2"/>
            <w:sz w:val="24"/>
            <w:szCs w:val="24"/>
            <w14:ligatures w14:val="standardContextual"/>
          </w:rPr>
          <w:tab/>
        </w:r>
        <w:r w:rsidRPr="005E2BBA">
          <w:rPr>
            <w:rStyle w:val="Hiperveza"/>
            <w:rFonts w:ascii="Arial" w:hAnsi="Arial" w:cs="Arial"/>
            <w:noProof/>
            <w:shd w:val="clear" w:color="auto" w:fill="FFFFFF"/>
          </w:rPr>
          <w:t>Prihodi od imovine (64)</w:t>
        </w:r>
        <w:r>
          <w:rPr>
            <w:noProof/>
            <w:webHidden/>
          </w:rPr>
          <w:tab/>
        </w:r>
        <w:r>
          <w:rPr>
            <w:noProof/>
            <w:webHidden/>
          </w:rPr>
          <w:fldChar w:fldCharType="begin"/>
        </w:r>
        <w:r>
          <w:rPr>
            <w:noProof/>
            <w:webHidden/>
          </w:rPr>
          <w:instrText xml:space="preserve"> PAGEREF _Toc232981389 \h </w:instrText>
        </w:r>
        <w:r>
          <w:rPr>
            <w:noProof/>
            <w:webHidden/>
          </w:rPr>
        </w:r>
        <w:r>
          <w:rPr>
            <w:noProof/>
            <w:webHidden/>
          </w:rPr>
          <w:fldChar w:fldCharType="separate"/>
        </w:r>
        <w:r w:rsidR="00A821D8">
          <w:rPr>
            <w:noProof/>
            <w:webHidden/>
          </w:rPr>
          <w:t>74</w:t>
        </w:r>
        <w:r>
          <w:rPr>
            <w:noProof/>
            <w:webHidden/>
          </w:rPr>
          <w:fldChar w:fldCharType="end"/>
        </w:r>
      </w:hyperlink>
    </w:p>
    <w:p w14:paraId="68AF1D5A" w14:textId="532D394B"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390" w:history="1">
        <w:r w:rsidRPr="005E2BBA">
          <w:rPr>
            <w:rStyle w:val="Hiperveza"/>
            <w:rFonts w:ascii="Arial" w:hAnsi="Arial" w:cs="Arial"/>
            <w:noProof/>
            <w:shd w:val="clear" w:color="auto" w:fill="FFFFFF"/>
          </w:rPr>
          <w:t xml:space="preserve">2.4.1.4. </w:t>
        </w:r>
        <w:r>
          <w:rPr>
            <w:rFonts w:eastAsiaTheme="minorEastAsia"/>
            <w:noProof/>
            <w:kern w:val="2"/>
            <w:sz w:val="24"/>
            <w:szCs w:val="24"/>
            <w14:ligatures w14:val="standardContextual"/>
          </w:rPr>
          <w:tab/>
        </w:r>
        <w:r w:rsidRPr="005E2BBA">
          <w:rPr>
            <w:rStyle w:val="Hiperveza"/>
            <w:rFonts w:ascii="Arial" w:hAnsi="Arial" w:cs="Arial"/>
            <w:noProof/>
            <w:shd w:val="clear" w:color="auto" w:fill="FFFFFF"/>
          </w:rPr>
          <w:t>Prihodi po posebnim propisima (65)</w:t>
        </w:r>
        <w:r>
          <w:rPr>
            <w:noProof/>
            <w:webHidden/>
          </w:rPr>
          <w:tab/>
        </w:r>
        <w:r>
          <w:rPr>
            <w:noProof/>
            <w:webHidden/>
          </w:rPr>
          <w:fldChar w:fldCharType="begin"/>
        </w:r>
        <w:r>
          <w:rPr>
            <w:noProof/>
            <w:webHidden/>
          </w:rPr>
          <w:instrText xml:space="preserve"> PAGEREF _Toc232981390 \h </w:instrText>
        </w:r>
        <w:r>
          <w:rPr>
            <w:noProof/>
            <w:webHidden/>
          </w:rPr>
        </w:r>
        <w:r>
          <w:rPr>
            <w:noProof/>
            <w:webHidden/>
          </w:rPr>
          <w:fldChar w:fldCharType="separate"/>
        </w:r>
        <w:r w:rsidR="00A821D8">
          <w:rPr>
            <w:noProof/>
            <w:webHidden/>
          </w:rPr>
          <w:t>81</w:t>
        </w:r>
        <w:r>
          <w:rPr>
            <w:noProof/>
            <w:webHidden/>
          </w:rPr>
          <w:fldChar w:fldCharType="end"/>
        </w:r>
      </w:hyperlink>
    </w:p>
    <w:p w14:paraId="2105F651" w14:textId="3DC5E5B1"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391" w:history="1">
        <w:r w:rsidRPr="005E2BBA">
          <w:rPr>
            <w:rStyle w:val="Hiperveza"/>
            <w:rFonts w:ascii="Arial" w:hAnsi="Arial" w:cs="Arial"/>
            <w:noProof/>
          </w:rPr>
          <w:t xml:space="preserve">2.4.1.5. </w:t>
        </w:r>
        <w:r>
          <w:rPr>
            <w:rFonts w:eastAsiaTheme="minorEastAsia"/>
            <w:noProof/>
            <w:kern w:val="2"/>
            <w:sz w:val="24"/>
            <w:szCs w:val="24"/>
            <w14:ligatures w14:val="standardContextual"/>
          </w:rPr>
          <w:tab/>
        </w:r>
        <w:r w:rsidRPr="005E2BBA">
          <w:rPr>
            <w:rStyle w:val="Hiperveza"/>
            <w:rFonts w:ascii="Arial" w:hAnsi="Arial" w:cs="Arial"/>
            <w:noProof/>
          </w:rPr>
          <w:t>Prihodi od prodaje, donacija i ostali prihodi (66 i 68)</w:t>
        </w:r>
        <w:r>
          <w:rPr>
            <w:noProof/>
            <w:webHidden/>
          </w:rPr>
          <w:tab/>
        </w:r>
        <w:r>
          <w:rPr>
            <w:noProof/>
            <w:webHidden/>
          </w:rPr>
          <w:fldChar w:fldCharType="begin"/>
        </w:r>
        <w:r>
          <w:rPr>
            <w:noProof/>
            <w:webHidden/>
          </w:rPr>
          <w:instrText xml:space="preserve"> PAGEREF _Toc232981391 \h </w:instrText>
        </w:r>
        <w:r>
          <w:rPr>
            <w:noProof/>
            <w:webHidden/>
          </w:rPr>
        </w:r>
        <w:r>
          <w:rPr>
            <w:noProof/>
            <w:webHidden/>
          </w:rPr>
          <w:fldChar w:fldCharType="separate"/>
        </w:r>
        <w:r w:rsidR="00A821D8">
          <w:rPr>
            <w:noProof/>
            <w:webHidden/>
          </w:rPr>
          <w:t>87</w:t>
        </w:r>
        <w:r>
          <w:rPr>
            <w:noProof/>
            <w:webHidden/>
          </w:rPr>
          <w:fldChar w:fldCharType="end"/>
        </w:r>
      </w:hyperlink>
    </w:p>
    <w:p w14:paraId="7CC7351F" w14:textId="45F2452C"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392" w:history="1">
        <w:r w:rsidRPr="005E2BBA">
          <w:rPr>
            <w:rStyle w:val="Hiperveza"/>
            <w:rFonts w:ascii="Arial" w:hAnsi="Arial" w:cs="Arial"/>
            <w:noProof/>
          </w:rPr>
          <w:t>2.4.2.</w:t>
        </w:r>
        <w:r>
          <w:rPr>
            <w:rFonts w:eastAsiaTheme="minorEastAsia"/>
            <w:i w:val="0"/>
            <w:iCs w:val="0"/>
            <w:noProof/>
            <w:kern w:val="2"/>
            <w:sz w:val="24"/>
            <w:szCs w:val="24"/>
            <w14:ligatures w14:val="standardContextual"/>
          </w:rPr>
          <w:tab/>
        </w:r>
        <w:r w:rsidRPr="005E2BBA">
          <w:rPr>
            <w:rStyle w:val="Hiperveza"/>
            <w:rFonts w:ascii="Arial" w:hAnsi="Arial" w:cs="Arial"/>
            <w:noProof/>
          </w:rPr>
          <w:t>PRIHODI OD PRODAJE NEFINANCIJSKE IMOVINE (7)</w:t>
        </w:r>
        <w:r>
          <w:rPr>
            <w:noProof/>
            <w:webHidden/>
          </w:rPr>
          <w:tab/>
        </w:r>
        <w:r>
          <w:rPr>
            <w:noProof/>
            <w:webHidden/>
          </w:rPr>
          <w:fldChar w:fldCharType="begin"/>
        </w:r>
        <w:r>
          <w:rPr>
            <w:noProof/>
            <w:webHidden/>
          </w:rPr>
          <w:instrText xml:space="preserve"> PAGEREF _Toc232981392 \h </w:instrText>
        </w:r>
        <w:r>
          <w:rPr>
            <w:noProof/>
            <w:webHidden/>
          </w:rPr>
        </w:r>
        <w:r>
          <w:rPr>
            <w:noProof/>
            <w:webHidden/>
          </w:rPr>
          <w:fldChar w:fldCharType="separate"/>
        </w:r>
        <w:r w:rsidR="00A821D8">
          <w:rPr>
            <w:noProof/>
            <w:webHidden/>
          </w:rPr>
          <w:t>90</w:t>
        </w:r>
        <w:r>
          <w:rPr>
            <w:noProof/>
            <w:webHidden/>
          </w:rPr>
          <w:fldChar w:fldCharType="end"/>
        </w:r>
      </w:hyperlink>
    </w:p>
    <w:p w14:paraId="014DF335" w14:textId="18289EF2"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393" w:history="1">
        <w:r w:rsidRPr="005E2BBA">
          <w:rPr>
            <w:rStyle w:val="Hiperveza"/>
            <w:rFonts w:ascii="Arial" w:hAnsi="Arial" w:cs="Arial"/>
            <w:noProof/>
          </w:rPr>
          <w:t>2.4.3.</w:t>
        </w:r>
        <w:r>
          <w:rPr>
            <w:rFonts w:eastAsiaTheme="minorEastAsia"/>
            <w:i w:val="0"/>
            <w:iCs w:val="0"/>
            <w:noProof/>
            <w:kern w:val="2"/>
            <w:sz w:val="24"/>
            <w:szCs w:val="24"/>
            <w14:ligatures w14:val="standardContextual"/>
          </w:rPr>
          <w:tab/>
        </w:r>
        <w:r w:rsidRPr="005E2BBA">
          <w:rPr>
            <w:rStyle w:val="Hiperveza"/>
            <w:rFonts w:ascii="Arial" w:hAnsi="Arial" w:cs="Arial"/>
            <w:noProof/>
          </w:rPr>
          <w:t>RASHODI POSLOVANJA (3)</w:t>
        </w:r>
        <w:r>
          <w:rPr>
            <w:noProof/>
            <w:webHidden/>
          </w:rPr>
          <w:tab/>
        </w:r>
        <w:r>
          <w:rPr>
            <w:noProof/>
            <w:webHidden/>
          </w:rPr>
          <w:fldChar w:fldCharType="begin"/>
        </w:r>
        <w:r>
          <w:rPr>
            <w:noProof/>
            <w:webHidden/>
          </w:rPr>
          <w:instrText xml:space="preserve"> PAGEREF _Toc232981393 \h </w:instrText>
        </w:r>
        <w:r>
          <w:rPr>
            <w:noProof/>
            <w:webHidden/>
          </w:rPr>
        </w:r>
        <w:r>
          <w:rPr>
            <w:noProof/>
            <w:webHidden/>
          </w:rPr>
          <w:fldChar w:fldCharType="separate"/>
        </w:r>
        <w:r w:rsidR="00A821D8">
          <w:rPr>
            <w:noProof/>
            <w:webHidden/>
          </w:rPr>
          <w:t>91</w:t>
        </w:r>
        <w:r>
          <w:rPr>
            <w:noProof/>
            <w:webHidden/>
          </w:rPr>
          <w:fldChar w:fldCharType="end"/>
        </w:r>
      </w:hyperlink>
    </w:p>
    <w:p w14:paraId="2677DEFE" w14:textId="1A32F34F"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394" w:history="1">
        <w:r w:rsidRPr="005E2BBA">
          <w:rPr>
            <w:rStyle w:val="Hiperveza"/>
            <w:rFonts w:ascii="Arial" w:hAnsi="Arial" w:cs="Arial"/>
            <w:noProof/>
          </w:rPr>
          <w:t xml:space="preserve">2.4.3.1. </w:t>
        </w:r>
        <w:r>
          <w:rPr>
            <w:rFonts w:eastAsiaTheme="minorEastAsia"/>
            <w:noProof/>
            <w:kern w:val="2"/>
            <w:sz w:val="24"/>
            <w:szCs w:val="24"/>
            <w14:ligatures w14:val="standardContextual"/>
          </w:rPr>
          <w:tab/>
        </w:r>
        <w:r w:rsidRPr="005E2BBA">
          <w:rPr>
            <w:rStyle w:val="Hiperveza"/>
            <w:rFonts w:ascii="Arial" w:hAnsi="Arial" w:cs="Arial"/>
            <w:noProof/>
          </w:rPr>
          <w:t>Rashodi za zaposlene (31)</w:t>
        </w:r>
        <w:r>
          <w:rPr>
            <w:noProof/>
            <w:webHidden/>
          </w:rPr>
          <w:tab/>
        </w:r>
        <w:r>
          <w:rPr>
            <w:noProof/>
            <w:webHidden/>
          </w:rPr>
          <w:fldChar w:fldCharType="begin"/>
        </w:r>
        <w:r>
          <w:rPr>
            <w:noProof/>
            <w:webHidden/>
          </w:rPr>
          <w:instrText xml:space="preserve"> PAGEREF _Toc232981394 \h </w:instrText>
        </w:r>
        <w:r>
          <w:rPr>
            <w:noProof/>
            <w:webHidden/>
          </w:rPr>
        </w:r>
        <w:r>
          <w:rPr>
            <w:noProof/>
            <w:webHidden/>
          </w:rPr>
          <w:fldChar w:fldCharType="separate"/>
        </w:r>
        <w:r w:rsidR="00A821D8">
          <w:rPr>
            <w:noProof/>
            <w:webHidden/>
          </w:rPr>
          <w:t>92</w:t>
        </w:r>
        <w:r>
          <w:rPr>
            <w:noProof/>
            <w:webHidden/>
          </w:rPr>
          <w:fldChar w:fldCharType="end"/>
        </w:r>
      </w:hyperlink>
    </w:p>
    <w:p w14:paraId="5FB28C97" w14:textId="15D5A685"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395" w:history="1">
        <w:r w:rsidRPr="005E2BBA">
          <w:rPr>
            <w:rStyle w:val="Hiperveza"/>
            <w:rFonts w:ascii="Arial" w:hAnsi="Arial" w:cs="Arial"/>
            <w:noProof/>
          </w:rPr>
          <w:t xml:space="preserve">2.4.3.2. </w:t>
        </w:r>
        <w:r>
          <w:rPr>
            <w:rFonts w:eastAsiaTheme="minorEastAsia"/>
            <w:noProof/>
            <w:kern w:val="2"/>
            <w:sz w:val="24"/>
            <w:szCs w:val="24"/>
            <w14:ligatures w14:val="standardContextual"/>
          </w:rPr>
          <w:tab/>
        </w:r>
        <w:r w:rsidRPr="005E2BBA">
          <w:rPr>
            <w:rStyle w:val="Hiperveza"/>
            <w:rFonts w:ascii="Arial" w:hAnsi="Arial" w:cs="Arial"/>
            <w:noProof/>
          </w:rPr>
          <w:t>Materijalni rashodi (32)</w:t>
        </w:r>
        <w:r>
          <w:rPr>
            <w:noProof/>
            <w:webHidden/>
          </w:rPr>
          <w:tab/>
        </w:r>
        <w:r>
          <w:rPr>
            <w:noProof/>
            <w:webHidden/>
          </w:rPr>
          <w:fldChar w:fldCharType="begin"/>
        </w:r>
        <w:r>
          <w:rPr>
            <w:noProof/>
            <w:webHidden/>
          </w:rPr>
          <w:instrText xml:space="preserve"> PAGEREF _Toc232981395 \h </w:instrText>
        </w:r>
        <w:r>
          <w:rPr>
            <w:noProof/>
            <w:webHidden/>
          </w:rPr>
        </w:r>
        <w:r>
          <w:rPr>
            <w:noProof/>
            <w:webHidden/>
          </w:rPr>
          <w:fldChar w:fldCharType="separate"/>
        </w:r>
        <w:r w:rsidR="00A821D8">
          <w:rPr>
            <w:noProof/>
            <w:webHidden/>
          </w:rPr>
          <w:t>94</w:t>
        </w:r>
        <w:r>
          <w:rPr>
            <w:noProof/>
            <w:webHidden/>
          </w:rPr>
          <w:fldChar w:fldCharType="end"/>
        </w:r>
      </w:hyperlink>
    </w:p>
    <w:p w14:paraId="5FC86BC9" w14:textId="09EDFCC4"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396" w:history="1">
        <w:r w:rsidRPr="005E2BBA">
          <w:rPr>
            <w:rStyle w:val="Hiperveza"/>
            <w:rFonts w:ascii="Arial" w:hAnsi="Arial" w:cs="Arial"/>
            <w:noProof/>
          </w:rPr>
          <w:t xml:space="preserve">2.4.3.3. </w:t>
        </w:r>
        <w:r>
          <w:rPr>
            <w:rFonts w:eastAsiaTheme="minorEastAsia"/>
            <w:noProof/>
            <w:kern w:val="2"/>
            <w:sz w:val="24"/>
            <w:szCs w:val="24"/>
            <w14:ligatures w14:val="standardContextual"/>
          </w:rPr>
          <w:tab/>
        </w:r>
        <w:r w:rsidRPr="005E2BBA">
          <w:rPr>
            <w:rStyle w:val="Hiperveza"/>
            <w:rFonts w:ascii="Arial" w:hAnsi="Arial" w:cs="Arial"/>
            <w:noProof/>
          </w:rPr>
          <w:t>Financijski rashodi (34)</w:t>
        </w:r>
        <w:r>
          <w:rPr>
            <w:noProof/>
            <w:webHidden/>
          </w:rPr>
          <w:tab/>
        </w:r>
        <w:r>
          <w:rPr>
            <w:noProof/>
            <w:webHidden/>
          </w:rPr>
          <w:fldChar w:fldCharType="begin"/>
        </w:r>
        <w:r>
          <w:rPr>
            <w:noProof/>
            <w:webHidden/>
          </w:rPr>
          <w:instrText xml:space="preserve"> PAGEREF _Toc232981396 \h </w:instrText>
        </w:r>
        <w:r>
          <w:rPr>
            <w:noProof/>
            <w:webHidden/>
          </w:rPr>
        </w:r>
        <w:r>
          <w:rPr>
            <w:noProof/>
            <w:webHidden/>
          </w:rPr>
          <w:fldChar w:fldCharType="separate"/>
        </w:r>
        <w:r w:rsidR="00A821D8">
          <w:rPr>
            <w:noProof/>
            <w:webHidden/>
          </w:rPr>
          <w:t>99</w:t>
        </w:r>
        <w:r>
          <w:rPr>
            <w:noProof/>
            <w:webHidden/>
          </w:rPr>
          <w:fldChar w:fldCharType="end"/>
        </w:r>
      </w:hyperlink>
    </w:p>
    <w:p w14:paraId="26DBE7F8" w14:textId="390E2163"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397" w:history="1">
        <w:r w:rsidRPr="005E2BBA">
          <w:rPr>
            <w:rStyle w:val="Hiperveza"/>
            <w:rFonts w:ascii="Arial" w:hAnsi="Arial" w:cs="Arial"/>
            <w:noProof/>
          </w:rPr>
          <w:t xml:space="preserve">2.4.3.4. </w:t>
        </w:r>
        <w:r>
          <w:rPr>
            <w:rFonts w:eastAsiaTheme="minorEastAsia"/>
            <w:noProof/>
            <w:kern w:val="2"/>
            <w:sz w:val="24"/>
            <w:szCs w:val="24"/>
            <w14:ligatures w14:val="standardContextual"/>
          </w:rPr>
          <w:tab/>
        </w:r>
        <w:r w:rsidRPr="005E2BBA">
          <w:rPr>
            <w:rStyle w:val="Hiperveza"/>
            <w:rFonts w:ascii="Arial" w:hAnsi="Arial" w:cs="Arial"/>
            <w:iCs/>
            <w:noProof/>
          </w:rPr>
          <w:t>Subvencije (35)</w:t>
        </w:r>
        <w:r>
          <w:rPr>
            <w:noProof/>
            <w:webHidden/>
          </w:rPr>
          <w:tab/>
        </w:r>
        <w:r>
          <w:rPr>
            <w:noProof/>
            <w:webHidden/>
          </w:rPr>
          <w:fldChar w:fldCharType="begin"/>
        </w:r>
        <w:r>
          <w:rPr>
            <w:noProof/>
            <w:webHidden/>
          </w:rPr>
          <w:instrText xml:space="preserve"> PAGEREF _Toc232981397 \h </w:instrText>
        </w:r>
        <w:r>
          <w:rPr>
            <w:noProof/>
            <w:webHidden/>
          </w:rPr>
        </w:r>
        <w:r>
          <w:rPr>
            <w:noProof/>
            <w:webHidden/>
          </w:rPr>
          <w:fldChar w:fldCharType="separate"/>
        </w:r>
        <w:r w:rsidR="00A821D8">
          <w:rPr>
            <w:noProof/>
            <w:webHidden/>
          </w:rPr>
          <w:t>100</w:t>
        </w:r>
        <w:r>
          <w:rPr>
            <w:noProof/>
            <w:webHidden/>
          </w:rPr>
          <w:fldChar w:fldCharType="end"/>
        </w:r>
      </w:hyperlink>
    </w:p>
    <w:p w14:paraId="5D5EE8CA" w14:textId="67D1C1B7"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398" w:history="1">
        <w:r w:rsidRPr="005E2BBA">
          <w:rPr>
            <w:rStyle w:val="Hiperveza"/>
            <w:rFonts w:ascii="Arial" w:hAnsi="Arial" w:cs="Arial"/>
            <w:noProof/>
          </w:rPr>
          <w:t xml:space="preserve">2.4.3.5. </w:t>
        </w:r>
        <w:r>
          <w:rPr>
            <w:rFonts w:eastAsiaTheme="minorEastAsia"/>
            <w:noProof/>
            <w:kern w:val="2"/>
            <w:sz w:val="24"/>
            <w:szCs w:val="24"/>
            <w14:ligatures w14:val="standardContextual"/>
          </w:rPr>
          <w:tab/>
        </w:r>
        <w:r w:rsidRPr="005E2BBA">
          <w:rPr>
            <w:rStyle w:val="Hiperveza"/>
            <w:rFonts w:ascii="Arial" w:hAnsi="Arial" w:cs="Arial"/>
            <w:noProof/>
          </w:rPr>
          <w:t>Pomoći dane u inozemstvo i unutar općeg proračuna (36)</w:t>
        </w:r>
        <w:r>
          <w:rPr>
            <w:noProof/>
            <w:webHidden/>
          </w:rPr>
          <w:tab/>
        </w:r>
        <w:r>
          <w:rPr>
            <w:noProof/>
            <w:webHidden/>
          </w:rPr>
          <w:fldChar w:fldCharType="begin"/>
        </w:r>
        <w:r>
          <w:rPr>
            <w:noProof/>
            <w:webHidden/>
          </w:rPr>
          <w:instrText xml:space="preserve"> PAGEREF _Toc232981398 \h </w:instrText>
        </w:r>
        <w:r>
          <w:rPr>
            <w:noProof/>
            <w:webHidden/>
          </w:rPr>
        </w:r>
        <w:r>
          <w:rPr>
            <w:noProof/>
            <w:webHidden/>
          </w:rPr>
          <w:fldChar w:fldCharType="separate"/>
        </w:r>
        <w:r w:rsidR="00A821D8">
          <w:rPr>
            <w:noProof/>
            <w:webHidden/>
          </w:rPr>
          <w:t>100</w:t>
        </w:r>
        <w:r>
          <w:rPr>
            <w:noProof/>
            <w:webHidden/>
          </w:rPr>
          <w:fldChar w:fldCharType="end"/>
        </w:r>
      </w:hyperlink>
    </w:p>
    <w:p w14:paraId="1D15631A" w14:textId="54CCEA1C"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399" w:history="1">
        <w:r w:rsidRPr="005E2BBA">
          <w:rPr>
            <w:rStyle w:val="Hiperveza"/>
            <w:rFonts w:ascii="Arial" w:hAnsi="Arial" w:cs="Arial"/>
            <w:noProof/>
          </w:rPr>
          <w:t xml:space="preserve">3.4.3.6. </w:t>
        </w:r>
        <w:r>
          <w:rPr>
            <w:rFonts w:eastAsiaTheme="minorEastAsia"/>
            <w:noProof/>
            <w:kern w:val="2"/>
            <w:sz w:val="24"/>
            <w:szCs w:val="24"/>
            <w14:ligatures w14:val="standardContextual"/>
          </w:rPr>
          <w:tab/>
        </w:r>
        <w:r w:rsidRPr="005E2BBA">
          <w:rPr>
            <w:rStyle w:val="Hiperveza"/>
            <w:rFonts w:ascii="Arial" w:hAnsi="Arial" w:cs="Arial"/>
            <w:noProof/>
          </w:rPr>
          <w:t>Naknade građanima i kućanstvima na temelju osiguranja i druge naknade (37)</w:t>
        </w:r>
        <w:r>
          <w:rPr>
            <w:noProof/>
            <w:webHidden/>
          </w:rPr>
          <w:tab/>
        </w:r>
        <w:r>
          <w:rPr>
            <w:noProof/>
            <w:webHidden/>
          </w:rPr>
          <w:fldChar w:fldCharType="begin"/>
        </w:r>
        <w:r>
          <w:rPr>
            <w:noProof/>
            <w:webHidden/>
          </w:rPr>
          <w:instrText xml:space="preserve"> PAGEREF _Toc232981399 \h </w:instrText>
        </w:r>
        <w:r>
          <w:rPr>
            <w:noProof/>
            <w:webHidden/>
          </w:rPr>
        </w:r>
        <w:r>
          <w:rPr>
            <w:noProof/>
            <w:webHidden/>
          </w:rPr>
          <w:fldChar w:fldCharType="separate"/>
        </w:r>
        <w:r w:rsidR="00A821D8">
          <w:rPr>
            <w:noProof/>
            <w:webHidden/>
          </w:rPr>
          <w:t>102</w:t>
        </w:r>
        <w:r>
          <w:rPr>
            <w:noProof/>
            <w:webHidden/>
          </w:rPr>
          <w:fldChar w:fldCharType="end"/>
        </w:r>
      </w:hyperlink>
    </w:p>
    <w:p w14:paraId="5887AE7E" w14:textId="6E69BB34"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400" w:history="1">
        <w:r w:rsidRPr="005E2BBA">
          <w:rPr>
            <w:rStyle w:val="Hiperveza"/>
            <w:rFonts w:ascii="Arial" w:hAnsi="Arial" w:cs="Arial"/>
            <w:noProof/>
          </w:rPr>
          <w:t xml:space="preserve">2.4.3.7. </w:t>
        </w:r>
        <w:r>
          <w:rPr>
            <w:rFonts w:eastAsiaTheme="minorEastAsia"/>
            <w:noProof/>
            <w:kern w:val="2"/>
            <w:sz w:val="24"/>
            <w:szCs w:val="24"/>
            <w14:ligatures w14:val="standardContextual"/>
          </w:rPr>
          <w:tab/>
        </w:r>
        <w:r w:rsidRPr="005E2BBA">
          <w:rPr>
            <w:rStyle w:val="Hiperveza"/>
            <w:rFonts w:ascii="Arial" w:hAnsi="Arial" w:cs="Arial"/>
            <w:noProof/>
          </w:rPr>
          <w:t>Ostali rashodi (38)</w:t>
        </w:r>
        <w:r>
          <w:rPr>
            <w:noProof/>
            <w:webHidden/>
          </w:rPr>
          <w:tab/>
        </w:r>
        <w:r>
          <w:rPr>
            <w:noProof/>
            <w:webHidden/>
          </w:rPr>
          <w:fldChar w:fldCharType="begin"/>
        </w:r>
        <w:r>
          <w:rPr>
            <w:noProof/>
            <w:webHidden/>
          </w:rPr>
          <w:instrText xml:space="preserve"> PAGEREF _Toc232981400 \h </w:instrText>
        </w:r>
        <w:r>
          <w:rPr>
            <w:noProof/>
            <w:webHidden/>
          </w:rPr>
        </w:r>
        <w:r>
          <w:rPr>
            <w:noProof/>
            <w:webHidden/>
          </w:rPr>
          <w:fldChar w:fldCharType="separate"/>
        </w:r>
        <w:r w:rsidR="00A821D8">
          <w:rPr>
            <w:noProof/>
            <w:webHidden/>
          </w:rPr>
          <w:t>104</w:t>
        </w:r>
        <w:r>
          <w:rPr>
            <w:noProof/>
            <w:webHidden/>
          </w:rPr>
          <w:fldChar w:fldCharType="end"/>
        </w:r>
      </w:hyperlink>
    </w:p>
    <w:p w14:paraId="683DEDA4" w14:textId="4B8B4B35"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01" w:history="1">
        <w:r w:rsidRPr="005E2BBA">
          <w:rPr>
            <w:rStyle w:val="Hiperveza"/>
            <w:rFonts w:ascii="Arial" w:hAnsi="Arial" w:cs="Arial"/>
            <w:noProof/>
          </w:rPr>
          <w:t>2.4.4.</w:t>
        </w:r>
        <w:r>
          <w:rPr>
            <w:rFonts w:eastAsiaTheme="minorEastAsia"/>
            <w:i w:val="0"/>
            <w:iCs w:val="0"/>
            <w:noProof/>
            <w:kern w:val="2"/>
            <w:sz w:val="24"/>
            <w:szCs w:val="24"/>
            <w14:ligatures w14:val="standardContextual"/>
          </w:rPr>
          <w:tab/>
        </w:r>
        <w:r w:rsidRPr="005E2BBA">
          <w:rPr>
            <w:rStyle w:val="Hiperveza"/>
            <w:rFonts w:ascii="Arial" w:hAnsi="Arial" w:cs="Arial"/>
            <w:noProof/>
          </w:rPr>
          <w:t>RASHODI ZA NABAVU NEFINANCIJSKE IMOVINE (4)</w:t>
        </w:r>
        <w:r>
          <w:rPr>
            <w:noProof/>
            <w:webHidden/>
          </w:rPr>
          <w:tab/>
        </w:r>
        <w:r>
          <w:rPr>
            <w:noProof/>
            <w:webHidden/>
          </w:rPr>
          <w:fldChar w:fldCharType="begin"/>
        </w:r>
        <w:r>
          <w:rPr>
            <w:noProof/>
            <w:webHidden/>
          </w:rPr>
          <w:instrText xml:space="preserve"> PAGEREF _Toc232981401 \h </w:instrText>
        </w:r>
        <w:r>
          <w:rPr>
            <w:noProof/>
            <w:webHidden/>
          </w:rPr>
        </w:r>
        <w:r>
          <w:rPr>
            <w:noProof/>
            <w:webHidden/>
          </w:rPr>
          <w:fldChar w:fldCharType="separate"/>
        </w:r>
        <w:r w:rsidR="00A821D8">
          <w:rPr>
            <w:noProof/>
            <w:webHidden/>
          </w:rPr>
          <w:t>106</w:t>
        </w:r>
        <w:r>
          <w:rPr>
            <w:noProof/>
            <w:webHidden/>
          </w:rPr>
          <w:fldChar w:fldCharType="end"/>
        </w:r>
      </w:hyperlink>
    </w:p>
    <w:p w14:paraId="2AD28C90" w14:textId="25E150D9"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402" w:history="1">
        <w:r w:rsidRPr="005E2BBA">
          <w:rPr>
            <w:rStyle w:val="Hiperveza"/>
            <w:rFonts w:ascii="Arial" w:hAnsi="Arial" w:cs="Arial"/>
            <w:noProof/>
          </w:rPr>
          <w:t xml:space="preserve">2.4.4.1. </w:t>
        </w:r>
        <w:r>
          <w:rPr>
            <w:rFonts w:eastAsiaTheme="minorEastAsia"/>
            <w:noProof/>
            <w:kern w:val="2"/>
            <w:sz w:val="24"/>
            <w:szCs w:val="24"/>
            <w14:ligatures w14:val="standardContextual"/>
          </w:rPr>
          <w:tab/>
        </w:r>
        <w:r w:rsidRPr="005E2BBA">
          <w:rPr>
            <w:rStyle w:val="Hiperveza"/>
            <w:rFonts w:ascii="Arial" w:hAnsi="Arial" w:cs="Arial"/>
            <w:noProof/>
          </w:rPr>
          <w:t>Rashodi za nabavu neproizvedene dugotrajne imovine (41)</w:t>
        </w:r>
        <w:r>
          <w:rPr>
            <w:noProof/>
            <w:webHidden/>
          </w:rPr>
          <w:tab/>
        </w:r>
        <w:r>
          <w:rPr>
            <w:noProof/>
            <w:webHidden/>
          </w:rPr>
          <w:fldChar w:fldCharType="begin"/>
        </w:r>
        <w:r>
          <w:rPr>
            <w:noProof/>
            <w:webHidden/>
          </w:rPr>
          <w:instrText xml:space="preserve"> PAGEREF _Toc232981402 \h </w:instrText>
        </w:r>
        <w:r>
          <w:rPr>
            <w:noProof/>
            <w:webHidden/>
          </w:rPr>
        </w:r>
        <w:r>
          <w:rPr>
            <w:noProof/>
            <w:webHidden/>
          </w:rPr>
          <w:fldChar w:fldCharType="separate"/>
        </w:r>
        <w:r w:rsidR="00A821D8">
          <w:rPr>
            <w:noProof/>
            <w:webHidden/>
          </w:rPr>
          <w:t>107</w:t>
        </w:r>
        <w:r>
          <w:rPr>
            <w:noProof/>
            <w:webHidden/>
          </w:rPr>
          <w:fldChar w:fldCharType="end"/>
        </w:r>
      </w:hyperlink>
    </w:p>
    <w:p w14:paraId="6A673DF0" w14:textId="776BE941"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403" w:history="1">
        <w:r w:rsidRPr="005E2BBA">
          <w:rPr>
            <w:rStyle w:val="Hiperveza"/>
            <w:rFonts w:ascii="Arial" w:hAnsi="Arial" w:cs="Arial"/>
            <w:noProof/>
          </w:rPr>
          <w:t xml:space="preserve">2.4.4.2. </w:t>
        </w:r>
        <w:r>
          <w:rPr>
            <w:rFonts w:eastAsiaTheme="minorEastAsia"/>
            <w:noProof/>
            <w:kern w:val="2"/>
            <w:sz w:val="24"/>
            <w:szCs w:val="24"/>
            <w14:ligatures w14:val="standardContextual"/>
          </w:rPr>
          <w:tab/>
        </w:r>
        <w:r w:rsidRPr="005E2BBA">
          <w:rPr>
            <w:rStyle w:val="Hiperveza"/>
            <w:rFonts w:ascii="Arial" w:hAnsi="Arial" w:cs="Arial"/>
            <w:noProof/>
          </w:rPr>
          <w:t>Rashodi za nabavu proizvedene dugotrajne imovine (42)</w:t>
        </w:r>
        <w:r>
          <w:rPr>
            <w:noProof/>
            <w:webHidden/>
          </w:rPr>
          <w:tab/>
        </w:r>
        <w:r>
          <w:rPr>
            <w:noProof/>
            <w:webHidden/>
          </w:rPr>
          <w:fldChar w:fldCharType="begin"/>
        </w:r>
        <w:r>
          <w:rPr>
            <w:noProof/>
            <w:webHidden/>
          </w:rPr>
          <w:instrText xml:space="preserve"> PAGEREF _Toc232981403 \h </w:instrText>
        </w:r>
        <w:r>
          <w:rPr>
            <w:noProof/>
            <w:webHidden/>
          </w:rPr>
        </w:r>
        <w:r>
          <w:rPr>
            <w:noProof/>
            <w:webHidden/>
          </w:rPr>
          <w:fldChar w:fldCharType="separate"/>
        </w:r>
        <w:r w:rsidR="00A821D8">
          <w:rPr>
            <w:noProof/>
            <w:webHidden/>
          </w:rPr>
          <w:t>107</w:t>
        </w:r>
        <w:r>
          <w:rPr>
            <w:noProof/>
            <w:webHidden/>
          </w:rPr>
          <w:fldChar w:fldCharType="end"/>
        </w:r>
      </w:hyperlink>
    </w:p>
    <w:p w14:paraId="15C000EC" w14:textId="18B1984C"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404" w:history="1">
        <w:r w:rsidRPr="005E2BBA">
          <w:rPr>
            <w:rStyle w:val="Hiperveza"/>
            <w:rFonts w:ascii="Arial" w:hAnsi="Arial" w:cs="Arial"/>
            <w:noProof/>
          </w:rPr>
          <w:t xml:space="preserve">2.4.4.3. </w:t>
        </w:r>
        <w:r>
          <w:rPr>
            <w:rFonts w:eastAsiaTheme="minorEastAsia"/>
            <w:noProof/>
            <w:kern w:val="2"/>
            <w:sz w:val="24"/>
            <w:szCs w:val="24"/>
            <w14:ligatures w14:val="standardContextual"/>
          </w:rPr>
          <w:tab/>
        </w:r>
        <w:r w:rsidRPr="005E2BBA">
          <w:rPr>
            <w:rStyle w:val="Hiperveza"/>
            <w:rFonts w:ascii="Arial" w:hAnsi="Arial" w:cs="Arial"/>
            <w:noProof/>
          </w:rPr>
          <w:t>Rashodi za nabavu plemenitih metala i ostalih pohranjenih vrijednosti (43)</w:t>
        </w:r>
        <w:r>
          <w:rPr>
            <w:noProof/>
            <w:webHidden/>
          </w:rPr>
          <w:tab/>
        </w:r>
        <w:r>
          <w:rPr>
            <w:noProof/>
            <w:webHidden/>
          </w:rPr>
          <w:fldChar w:fldCharType="begin"/>
        </w:r>
        <w:r>
          <w:rPr>
            <w:noProof/>
            <w:webHidden/>
          </w:rPr>
          <w:instrText xml:space="preserve"> PAGEREF _Toc232981404 \h </w:instrText>
        </w:r>
        <w:r>
          <w:rPr>
            <w:noProof/>
            <w:webHidden/>
          </w:rPr>
        </w:r>
        <w:r>
          <w:rPr>
            <w:noProof/>
            <w:webHidden/>
          </w:rPr>
          <w:fldChar w:fldCharType="separate"/>
        </w:r>
        <w:r w:rsidR="00A821D8">
          <w:rPr>
            <w:noProof/>
            <w:webHidden/>
          </w:rPr>
          <w:t>109</w:t>
        </w:r>
        <w:r>
          <w:rPr>
            <w:noProof/>
            <w:webHidden/>
          </w:rPr>
          <w:fldChar w:fldCharType="end"/>
        </w:r>
      </w:hyperlink>
    </w:p>
    <w:p w14:paraId="01F02452" w14:textId="723E60FF"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405" w:history="1">
        <w:r w:rsidRPr="005E2BBA">
          <w:rPr>
            <w:rStyle w:val="Hiperveza"/>
            <w:rFonts w:ascii="Arial" w:hAnsi="Arial" w:cs="Arial"/>
            <w:noProof/>
          </w:rPr>
          <w:t xml:space="preserve">2.4.4.4. </w:t>
        </w:r>
        <w:r>
          <w:rPr>
            <w:rFonts w:eastAsiaTheme="minorEastAsia"/>
            <w:noProof/>
            <w:kern w:val="2"/>
            <w:sz w:val="24"/>
            <w:szCs w:val="24"/>
            <w14:ligatures w14:val="standardContextual"/>
          </w:rPr>
          <w:tab/>
        </w:r>
        <w:r w:rsidRPr="005E2BBA">
          <w:rPr>
            <w:rStyle w:val="Hiperveza"/>
            <w:rFonts w:ascii="Arial" w:hAnsi="Arial" w:cs="Arial"/>
            <w:noProof/>
          </w:rPr>
          <w:t>Rashodi za dodatna ulaganja na nefinancijskoj imovini (45)</w:t>
        </w:r>
        <w:r>
          <w:rPr>
            <w:noProof/>
            <w:webHidden/>
          </w:rPr>
          <w:tab/>
        </w:r>
        <w:r>
          <w:rPr>
            <w:noProof/>
            <w:webHidden/>
          </w:rPr>
          <w:fldChar w:fldCharType="begin"/>
        </w:r>
        <w:r>
          <w:rPr>
            <w:noProof/>
            <w:webHidden/>
          </w:rPr>
          <w:instrText xml:space="preserve"> PAGEREF _Toc232981405 \h </w:instrText>
        </w:r>
        <w:r>
          <w:rPr>
            <w:noProof/>
            <w:webHidden/>
          </w:rPr>
        </w:r>
        <w:r>
          <w:rPr>
            <w:noProof/>
            <w:webHidden/>
          </w:rPr>
          <w:fldChar w:fldCharType="separate"/>
        </w:r>
        <w:r w:rsidR="00A821D8">
          <w:rPr>
            <w:noProof/>
            <w:webHidden/>
          </w:rPr>
          <w:t>109</w:t>
        </w:r>
        <w:r>
          <w:rPr>
            <w:noProof/>
            <w:webHidden/>
          </w:rPr>
          <w:fldChar w:fldCharType="end"/>
        </w:r>
      </w:hyperlink>
    </w:p>
    <w:p w14:paraId="74AE154F" w14:textId="7488A02A"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06" w:history="1">
        <w:r w:rsidRPr="005E2BBA">
          <w:rPr>
            <w:rStyle w:val="Hiperveza"/>
            <w:rFonts w:eastAsia="Calibri"/>
          </w:rPr>
          <w:t xml:space="preserve">2.5. </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Fonts w:eastAsia="Calibri"/>
          </w:rPr>
          <w:t>RAČUN FINANCIRANJA</w:t>
        </w:r>
        <w:r>
          <w:rPr>
            <w:webHidden/>
          </w:rPr>
          <w:tab/>
        </w:r>
        <w:r>
          <w:rPr>
            <w:webHidden/>
          </w:rPr>
          <w:fldChar w:fldCharType="begin"/>
        </w:r>
        <w:r>
          <w:rPr>
            <w:webHidden/>
          </w:rPr>
          <w:instrText xml:space="preserve"> PAGEREF _Toc232981406 \h </w:instrText>
        </w:r>
        <w:r>
          <w:rPr>
            <w:webHidden/>
          </w:rPr>
        </w:r>
        <w:r>
          <w:rPr>
            <w:webHidden/>
          </w:rPr>
          <w:fldChar w:fldCharType="separate"/>
        </w:r>
        <w:r w:rsidR="00A821D8">
          <w:rPr>
            <w:webHidden/>
          </w:rPr>
          <w:t>110</w:t>
        </w:r>
        <w:r>
          <w:rPr>
            <w:webHidden/>
          </w:rPr>
          <w:fldChar w:fldCharType="end"/>
        </w:r>
      </w:hyperlink>
    </w:p>
    <w:p w14:paraId="55746865" w14:textId="080229B9"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07" w:history="1">
        <w:r w:rsidRPr="005E2BBA">
          <w:rPr>
            <w:rStyle w:val="Hiperveza"/>
            <w:rFonts w:ascii="Arial" w:hAnsi="Arial" w:cs="Arial"/>
            <w:noProof/>
          </w:rPr>
          <w:t>2.5.1.</w:t>
        </w:r>
        <w:r>
          <w:rPr>
            <w:rFonts w:eastAsiaTheme="minorEastAsia"/>
            <w:i w:val="0"/>
            <w:iCs w:val="0"/>
            <w:noProof/>
            <w:kern w:val="2"/>
            <w:sz w:val="24"/>
            <w:szCs w:val="24"/>
            <w14:ligatures w14:val="standardContextual"/>
          </w:rPr>
          <w:tab/>
        </w:r>
        <w:r w:rsidRPr="005E2BBA">
          <w:rPr>
            <w:rStyle w:val="Hiperveza"/>
            <w:rFonts w:ascii="Arial" w:hAnsi="Arial" w:cs="Arial"/>
            <w:noProof/>
          </w:rPr>
          <w:t xml:space="preserve"> PRIMICI OD FINANCIJSKE IMOVINE I ZADUŽIVANJA (8)</w:t>
        </w:r>
        <w:r>
          <w:rPr>
            <w:noProof/>
            <w:webHidden/>
          </w:rPr>
          <w:tab/>
        </w:r>
        <w:r>
          <w:rPr>
            <w:noProof/>
            <w:webHidden/>
          </w:rPr>
          <w:fldChar w:fldCharType="begin"/>
        </w:r>
        <w:r>
          <w:rPr>
            <w:noProof/>
            <w:webHidden/>
          </w:rPr>
          <w:instrText xml:space="preserve"> PAGEREF _Toc232981407 \h </w:instrText>
        </w:r>
        <w:r>
          <w:rPr>
            <w:noProof/>
            <w:webHidden/>
          </w:rPr>
        </w:r>
        <w:r>
          <w:rPr>
            <w:noProof/>
            <w:webHidden/>
          </w:rPr>
          <w:fldChar w:fldCharType="separate"/>
        </w:r>
        <w:r w:rsidR="00A821D8">
          <w:rPr>
            <w:noProof/>
            <w:webHidden/>
          </w:rPr>
          <w:t>110</w:t>
        </w:r>
        <w:r>
          <w:rPr>
            <w:noProof/>
            <w:webHidden/>
          </w:rPr>
          <w:fldChar w:fldCharType="end"/>
        </w:r>
      </w:hyperlink>
    </w:p>
    <w:p w14:paraId="6DD5BC70" w14:textId="735986C9"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08" w:history="1">
        <w:r w:rsidRPr="005E2BBA">
          <w:rPr>
            <w:rStyle w:val="Hiperveza"/>
            <w:rFonts w:ascii="Arial" w:hAnsi="Arial" w:cs="Arial"/>
            <w:noProof/>
          </w:rPr>
          <w:t>2.5.2.</w:t>
        </w:r>
        <w:r>
          <w:rPr>
            <w:rFonts w:eastAsiaTheme="minorEastAsia"/>
            <w:i w:val="0"/>
            <w:iCs w:val="0"/>
            <w:noProof/>
            <w:kern w:val="2"/>
            <w:sz w:val="24"/>
            <w:szCs w:val="24"/>
            <w14:ligatures w14:val="standardContextual"/>
          </w:rPr>
          <w:tab/>
        </w:r>
        <w:r w:rsidRPr="005E2BBA">
          <w:rPr>
            <w:rStyle w:val="Hiperveza"/>
            <w:rFonts w:ascii="Arial" w:hAnsi="Arial" w:cs="Arial"/>
            <w:noProof/>
          </w:rPr>
          <w:t>IZDACI ZA FINANCIJSKU IMOVINU I OTPLATE ZAJMOVA (5)</w:t>
        </w:r>
        <w:r>
          <w:rPr>
            <w:noProof/>
            <w:webHidden/>
          </w:rPr>
          <w:tab/>
        </w:r>
        <w:r>
          <w:rPr>
            <w:noProof/>
            <w:webHidden/>
          </w:rPr>
          <w:fldChar w:fldCharType="begin"/>
        </w:r>
        <w:r>
          <w:rPr>
            <w:noProof/>
            <w:webHidden/>
          </w:rPr>
          <w:instrText xml:space="preserve"> PAGEREF _Toc232981408 \h </w:instrText>
        </w:r>
        <w:r>
          <w:rPr>
            <w:noProof/>
            <w:webHidden/>
          </w:rPr>
        </w:r>
        <w:r>
          <w:rPr>
            <w:noProof/>
            <w:webHidden/>
          </w:rPr>
          <w:fldChar w:fldCharType="separate"/>
        </w:r>
        <w:r w:rsidR="00A821D8">
          <w:rPr>
            <w:noProof/>
            <w:webHidden/>
          </w:rPr>
          <w:t>111</w:t>
        </w:r>
        <w:r>
          <w:rPr>
            <w:noProof/>
            <w:webHidden/>
          </w:rPr>
          <w:fldChar w:fldCharType="end"/>
        </w:r>
      </w:hyperlink>
    </w:p>
    <w:p w14:paraId="3BAAF50C" w14:textId="009DD765"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409" w:history="1">
        <w:r w:rsidRPr="005E2BBA">
          <w:rPr>
            <w:rStyle w:val="Hiperveza"/>
            <w:rFonts w:ascii="Arial" w:hAnsi="Arial" w:cs="Arial"/>
            <w:noProof/>
          </w:rPr>
          <w:t xml:space="preserve">2.5.2.1. </w:t>
        </w:r>
        <w:r>
          <w:rPr>
            <w:rFonts w:eastAsiaTheme="minorEastAsia"/>
            <w:noProof/>
            <w:kern w:val="2"/>
            <w:sz w:val="24"/>
            <w:szCs w:val="24"/>
            <w14:ligatures w14:val="standardContextual"/>
          </w:rPr>
          <w:tab/>
        </w:r>
        <w:r w:rsidRPr="005E2BBA">
          <w:rPr>
            <w:rStyle w:val="Hiperveza"/>
            <w:rFonts w:ascii="Arial" w:hAnsi="Arial" w:cs="Arial"/>
            <w:noProof/>
          </w:rPr>
          <w:t>Izdaci za dane zajmove i depozite (51)</w:t>
        </w:r>
        <w:r>
          <w:rPr>
            <w:noProof/>
            <w:webHidden/>
          </w:rPr>
          <w:tab/>
        </w:r>
        <w:r>
          <w:rPr>
            <w:noProof/>
            <w:webHidden/>
          </w:rPr>
          <w:fldChar w:fldCharType="begin"/>
        </w:r>
        <w:r>
          <w:rPr>
            <w:noProof/>
            <w:webHidden/>
          </w:rPr>
          <w:instrText xml:space="preserve"> PAGEREF _Toc232981409 \h </w:instrText>
        </w:r>
        <w:r>
          <w:rPr>
            <w:noProof/>
            <w:webHidden/>
          </w:rPr>
        </w:r>
        <w:r>
          <w:rPr>
            <w:noProof/>
            <w:webHidden/>
          </w:rPr>
          <w:fldChar w:fldCharType="separate"/>
        </w:r>
        <w:r w:rsidR="00A821D8">
          <w:rPr>
            <w:noProof/>
            <w:webHidden/>
          </w:rPr>
          <w:t>112</w:t>
        </w:r>
        <w:r>
          <w:rPr>
            <w:noProof/>
            <w:webHidden/>
          </w:rPr>
          <w:fldChar w:fldCharType="end"/>
        </w:r>
      </w:hyperlink>
    </w:p>
    <w:p w14:paraId="2887979D" w14:textId="03FE6064"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410" w:history="1">
        <w:r w:rsidRPr="005E2BBA">
          <w:rPr>
            <w:rStyle w:val="Hiperveza"/>
            <w:rFonts w:ascii="Arial" w:hAnsi="Arial" w:cs="Arial"/>
            <w:noProof/>
          </w:rPr>
          <w:t xml:space="preserve">2.5.2.2. </w:t>
        </w:r>
        <w:r>
          <w:rPr>
            <w:rFonts w:eastAsiaTheme="minorEastAsia"/>
            <w:noProof/>
            <w:kern w:val="2"/>
            <w:sz w:val="24"/>
            <w:szCs w:val="24"/>
            <w14:ligatures w14:val="standardContextual"/>
          </w:rPr>
          <w:tab/>
        </w:r>
        <w:r w:rsidRPr="005E2BBA">
          <w:rPr>
            <w:rStyle w:val="Hiperveza"/>
            <w:rFonts w:ascii="Arial" w:hAnsi="Arial" w:cs="Arial"/>
            <w:noProof/>
          </w:rPr>
          <w:t>Izdaci za dionice i udjele u glavnici (53)</w:t>
        </w:r>
        <w:r>
          <w:rPr>
            <w:noProof/>
            <w:webHidden/>
          </w:rPr>
          <w:tab/>
        </w:r>
        <w:r>
          <w:rPr>
            <w:noProof/>
            <w:webHidden/>
          </w:rPr>
          <w:fldChar w:fldCharType="begin"/>
        </w:r>
        <w:r>
          <w:rPr>
            <w:noProof/>
            <w:webHidden/>
          </w:rPr>
          <w:instrText xml:space="preserve"> PAGEREF _Toc232981410 \h </w:instrText>
        </w:r>
        <w:r>
          <w:rPr>
            <w:noProof/>
            <w:webHidden/>
          </w:rPr>
        </w:r>
        <w:r>
          <w:rPr>
            <w:noProof/>
            <w:webHidden/>
          </w:rPr>
          <w:fldChar w:fldCharType="separate"/>
        </w:r>
        <w:r w:rsidR="00A821D8">
          <w:rPr>
            <w:noProof/>
            <w:webHidden/>
          </w:rPr>
          <w:t>112</w:t>
        </w:r>
        <w:r>
          <w:rPr>
            <w:noProof/>
            <w:webHidden/>
          </w:rPr>
          <w:fldChar w:fldCharType="end"/>
        </w:r>
      </w:hyperlink>
    </w:p>
    <w:p w14:paraId="74D03C19" w14:textId="203ADE98" w:rsidR="0059051D" w:rsidRDefault="0059051D">
      <w:pPr>
        <w:pStyle w:val="Sadraj4"/>
        <w:tabs>
          <w:tab w:val="left" w:pos="1760"/>
          <w:tab w:val="right" w:leader="dot" w:pos="14560"/>
        </w:tabs>
        <w:rPr>
          <w:rFonts w:eastAsiaTheme="minorEastAsia"/>
          <w:noProof/>
          <w:kern w:val="2"/>
          <w:sz w:val="24"/>
          <w:szCs w:val="24"/>
          <w14:ligatures w14:val="standardContextual"/>
        </w:rPr>
      </w:pPr>
      <w:hyperlink w:anchor="_Toc232981411" w:history="1">
        <w:r w:rsidRPr="005E2BBA">
          <w:rPr>
            <w:rStyle w:val="Hiperveza"/>
            <w:rFonts w:ascii="Arial" w:hAnsi="Arial" w:cs="Arial"/>
            <w:noProof/>
          </w:rPr>
          <w:t xml:space="preserve">2.5.2.3. </w:t>
        </w:r>
        <w:r>
          <w:rPr>
            <w:rFonts w:eastAsiaTheme="minorEastAsia"/>
            <w:noProof/>
            <w:kern w:val="2"/>
            <w:sz w:val="24"/>
            <w:szCs w:val="24"/>
            <w14:ligatures w14:val="standardContextual"/>
          </w:rPr>
          <w:tab/>
        </w:r>
        <w:r w:rsidRPr="005E2BBA">
          <w:rPr>
            <w:rStyle w:val="Hiperveza"/>
            <w:rFonts w:ascii="Arial" w:hAnsi="Arial" w:cs="Arial"/>
            <w:noProof/>
          </w:rPr>
          <w:t>Izdaci za otplatu glavnice primljenih kredita i zajmova (54)</w:t>
        </w:r>
        <w:r>
          <w:rPr>
            <w:noProof/>
            <w:webHidden/>
          </w:rPr>
          <w:tab/>
        </w:r>
        <w:r>
          <w:rPr>
            <w:noProof/>
            <w:webHidden/>
          </w:rPr>
          <w:fldChar w:fldCharType="begin"/>
        </w:r>
        <w:r>
          <w:rPr>
            <w:noProof/>
            <w:webHidden/>
          </w:rPr>
          <w:instrText xml:space="preserve"> PAGEREF _Toc232981411 \h </w:instrText>
        </w:r>
        <w:r>
          <w:rPr>
            <w:noProof/>
            <w:webHidden/>
          </w:rPr>
        </w:r>
        <w:r>
          <w:rPr>
            <w:noProof/>
            <w:webHidden/>
          </w:rPr>
          <w:fldChar w:fldCharType="separate"/>
        </w:r>
        <w:r w:rsidR="00A821D8">
          <w:rPr>
            <w:noProof/>
            <w:webHidden/>
          </w:rPr>
          <w:t>112</w:t>
        </w:r>
        <w:r>
          <w:rPr>
            <w:noProof/>
            <w:webHidden/>
          </w:rPr>
          <w:fldChar w:fldCharType="end"/>
        </w:r>
      </w:hyperlink>
    </w:p>
    <w:p w14:paraId="739E71A8" w14:textId="267AE255"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12" w:history="1">
        <w:r w:rsidRPr="005E2BBA">
          <w:rPr>
            <w:rStyle w:val="Hiperveza"/>
            <w:rFonts w:ascii="Arial" w:hAnsi="Arial" w:cs="Arial"/>
            <w:noProof/>
          </w:rPr>
          <w:t>2.5.3.</w:t>
        </w:r>
        <w:r>
          <w:rPr>
            <w:rFonts w:eastAsiaTheme="minorEastAsia"/>
            <w:i w:val="0"/>
            <w:iCs w:val="0"/>
            <w:noProof/>
            <w:kern w:val="2"/>
            <w:sz w:val="24"/>
            <w:szCs w:val="24"/>
            <w14:ligatures w14:val="standardContextual"/>
          </w:rPr>
          <w:tab/>
        </w:r>
        <w:r w:rsidRPr="005E2BBA">
          <w:rPr>
            <w:rStyle w:val="Hiperveza"/>
            <w:rFonts w:ascii="Arial" w:hAnsi="Arial" w:cs="Arial"/>
            <w:noProof/>
          </w:rPr>
          <w:t>ANALITIČKI PRIKAZ RAČUNA FINANCIRANJA</w:t>
        </w:r>
        <w:r>
          <w:rPr>
            <w:noProof/>
            <w:webHidden/>
          </w:rPr>
          <w:tab/>
        </w:r>
        <w:r>
          <w:rPr>
            <w:noProof/>
            <w:webHidden/>
          </w:rPr>
          <w:fldChar w:fldCharType="begin"/>
        </w:r>
        <w:r>
          <w:rPr>
            <w:noProof/>
            <w:webHidden/>
          </w:rPr>
          <w:instrText xml:space="preserve"> PAGEREF _Toc232981412 \h </w:instrText>
        </w:r>
        <w:r>
          <w:rPr>
            <w:noProof/>
            <w:webHidden/>
          </w:rPr>
        </w:r>
        <w:r>
          <w:rPr>
            <w:noProof/>
            <w:webHidden/>
          </w:rPr>
          <w:fldChar w:fldCharType="separate"/>
        </w:r>
        <w:r w:rsidR="00A821D8">
          <w:rPr>
            <w:noProof/>
            <w:webHidden/>
          </w:rPr>
          <w:t>113</w:t>
        </w:r>
        <w:r>
          <w:rPr>
            <w:noProof/>
            <w:webHidden/>
          </w:rPr>
          <w:fldChar w:fldCharType="end"/>
        </w:r>
      </w:hyperlink>
    </w:p>
    <w:p w14:paraId="207B2D7F" w14:textId="48224D29"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13" w:history="1">
        <w:r w:rsidRPr="005E2BBA">
          <w:rPr>
            <w:rStyle w:val="Hiperveza"/>
          </w:rPr>
          <w:t>2.6.</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PRIKAZ OSTVARENOG MANJKA ODNOSNO VIŠKA PRORAČUNA, TE PRENESENOG VIŠKA ILI MANJKA PRIHODA NAD RASHODIMA– sveukupno Općina s proračunskim korisnicima</w:t>
        </w:r>
        <w:r>
          <w:rPr>
            <w:webHidden/>
          </w:rPr>
          <w:tab/>
        </w:r>
        <w:r>
          <w:rPr>
            <w:webHidden/>
          </w:rPr>
          <w:fldChar w:fldCharType="begin"/>
        </w:r>
        <w:r>
          <w:rPr>
            <w:webHidden/>
          </w:rPr>
          <w:instrText xml:space="preserve"> PAGEREF _Toc232981413 \h </w:instrText>
        </w:r>
        <w:r>
          <w:rPr>
            <w:webHidden/>
          </w:rPr>
        </w:r>
        <w:r>
          <w:rPr>
            <w:webHidden/>
          </w:rPr>
          <w:fldChar w:fldCharType="separate"/>
        </w:r>
        <w:r w:rsidR="00A821D8">
          <w:rPr>
            <w:webHidden/>
          </w:rPr>
          <w:t>116</w:t>
        </w:r>
        <w:r>
          <w:rPr>
            <w:webHidden/>
          </w:rPr>
          <w:fldChar w:fldCharType="end"/>
        </w:r>
      </w:hyperlink>
    </w:p>
    <w:p w14:paraId="308D3788" w14:textId="2BC43662"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14" w:history="1">
        <w:r w:rsidRPr="005E2BBA">
          <w:rPr>
            <w:rStyle w:val="Hiperveza"/>
            <w:rFonts w:eastAsia="Calibri"/>
          </w:rPr>
          <w:t>2.7.</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Fonts w:eastAsia="Calibri"/>
          </w:rPr>
          <w:t xml:space="preserve"> EKONOMSKA KLASIFIKACIJA</w:t>
        </w:r>
        <w:r>
          <w:rPr>
            <w:webHidden/>
          </w:rPr>
          <w:tab/>
        </w:r>
        <w:r>
          <w:rPr>
            <w:webHidden/>
          </w:rPr>
          <w:fldChar w:fldCharType="begin"/>
        </w:r>
        <w:r>
          <w:rPr>
            <w:webHidden/>
          </w:rPr>
          <w:instrText xml:space="preserve"> PAGEREF _Toc232981414 \h </w:instrText>
        </w:r>
        <w:r>
          <w:rPr>
            <w:webHidden/>
          </w:rPr>
        </w:r>
        <w:r>
          <w:rPr>
            <w:webHidden/>
          </w:rPr>
          <w:fldChar w:fldCharType="separate"/>
        </w:r>
        <w:r w:rsidR="00A821D8">
          <w:rPr>
            <w:webHidden/>
          </w:rPr>
          <w:t>118</w:t>
        </w:r>
        <w:r>
          <w:rPr>
            <w:webHidden/>
          </w:rPr>
          <w:fldChar w:fldCharType="end"/>
        </w:r>
      </w:hyperlink>
    </w:p>
    <w:p w14:paraId="34982071" w14:textId="0C753655"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15" w:history="1">
        <w:r w:rsidRPr="005E2BBA">
          <w:rPr>
            <w:rStyle w:val="Hiperveza"/>
          </w:rPr>
          <w:t>2.8.</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PRIHODI I PRIMICI, RASHODI I IZDACI PREMA IZVORIMA FINANCIRANJA</w:t>
        </w:r>
        <w:r>
          <w:rPr>
            <w:webHidden/>
          </w:rPr>
          <w:tab/>
        </w:r>
        <w:r>
          <w:rPr>
            <w:webHidden/>
          </w:rPr>
          <w:fldChar w:fldCharType="begin"/>
        </w:r>
        <w:r>
          <w:rPr>
            <w:webHidden/>
          </w:rPr>
          <w:instrText xml:space="preserve"> PAGEREF _Toc232981415 \h </w:instrText>
        </w:r>
        <w:r>
          <w:rPr>
            <w:webHidden/>
          </w:rPr>
        </w:r>
        <w:r>
          <w:rPr>
            <w:webHidden/>
          </w:rPr>
          <w:fldChar w:fldCharType="separate"/>
        </w:r>
        <w:r w:rsidR="00A821D8">
          <w:rPr>
            <w:webHidden/>
          </w:rPr>
          <w:t>119</w:t>
        </w:r>
        <w:r>
          <w:rPr>
            <w:webHidden/>
          </w:rPr>
          <w:fldChar w:fldCharType="end"/>
        </w:r>
      </w:hyperlink>
    </w:p>
    <w:p w14:paraId="4B216631" w14:textId="53B2982E"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16" w:history="1">
        <w:r w:rsidRPr="005E2BBA">
          <w:rPr>
            <w:rStyle w:val="Hiperveza"/>
          </w:rPr>
          <w:t>2.9.</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RASHODI PREMA FUNKCIJSKOJ KLASIFIKACIJI</w:t>
        </w:r>
        <w:r>
          <w:rPr>
            <w:webHidden/>
          </w:rPr>
          <w:tab/>
        </w:r>
        <w:r>
          <w:rPr>
            <w:webHidden/>
          </w:rPr>
          <w:fldChar w:fldCharType="begin"/>
        </w:r>
        <w:r>
          <w:rPr>
            <w:webHidden/>
          </w:rPr>
          <w:instrText xml:space="preserve"> PAGEREF _Toc232981416 \h </w:instrText>
        </w:r>
        <w:r>
          <w:rPr>
            <w:webHidden/>
          </w:rPr>
        </w:r>
        <w:r>
          <w:rPr>
            <w:webHidden/>
          </w:rPr>
          <w:fldChar w:fldCharType="separate"/>
        </w:r>
        <w:r w:rsidR="00A821D8">
          <w:rPr>
            <w:webHidden/>
          </w:rPr>
          <w:t>119</w:t>
        </w:r>
        <w:r>
          <w:rPr>
            <w:webHidden/>
          </w:rPr>
          <w:fldChar w:fldCharType="end"/>
        </w:r>
      </w:hyperlink>
    </w:p>
    <w:p w14:paraId="5B5A4928" w14:textId="59DF064A"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17" w:history="1">
        <w:r w:rsidRPr="005E2BBA">
          <w:rPr>
            <w:rStyle w:val="Hiperveza"/>
          </w:rPr>
          <w:t>2.10.</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STANJE NOVČANIH SREDSTAVA</w:t>
        </w:r>
        <w:r>
          <w:rPr>
            <w:webHidden/>
          </w:rPr>
          <w:tab/>
        </w:r>
        <w:r>
          <w:rPr>
            <w:webHidden/>
          </w:rPr>
          <w:fldChar w:fldCharType="begin"/>
        </w:r>
        <w:r>
          <w:rPr>
            <w:webHidden/>
          </w:rPr>
          <w:instrText xml:space="preserve"> PAGEREF _Toc232981417 \h </w:instrText>
        </w:r>
        <w:r>
          <w:rPr>
            <w:webHidden/>
          </w:rPr>
        </w:r>
        <w:r>
          <w:rPr>
            <w:webHidden/>
          </w:rPr>
          <w:fldChar w:fldCharType="separate"/>
        </w:r>
        <w:r w:rsidR="00A821D8">
          <w:rPr>
            <w:webHidden/>
          </w:rPr>
          <w:t>122</w:t>
        </w:r>
        <w:r>
          <w:rPr>
            <w:webHidden/>
          </w:rPr>
          <w:fldChar w:fldCharType="end"/>
        </w:r>
      </w:hyperlink>
    </w:p>
    <w:p w14:paraId="31B557D4" w14:textId="330CE4FB"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18" w:history="1">
        <w:r w:rsidRPr="005E2BBA">
          <w:rPr>
            <w:rStyle w:val="Hiperveza"/>
          </w:rPr>
          <w:t>2.11.</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PRIHODI I PRIMICI, RASHODI I IZDACI OSTVARENI PREUZIMANJEM NEFINANCIJSKE I FINANCIJSKE IMOVINE U NAPLATI POTRAŽIVANJA JAVNIH DAVANJA</w:t>
        </w:r>
        <w:r>
          <w:rPr>
            <w:webHidden/>
          </w:rPr>
          <w:tab/>
        </w:r>
        <w:r>
          <w:rPr>
            <w:webHidden/>
          </w:rPr>
          <w:fldChar w:fldCharType="begin"/>
        </w:r>
        <w:r>
          <w:rPr>
            <w:webHidden/>
          </w:rPr>
          <w:instrText xml:space="preserve"> PAGEREF _Toc232981418 \h </w:instrText>
        </w:r>
        <w:r>
          <w:rPr>
            <w:webHidden/>
          </w:rPr>
        </w:r>
        <w:r>
          <w:rPr>
            <w:webHidden/>
          </w:rPr>
          <w:fldChar w:fldCharType="separate"/>
        </w:r>
        <w:r w:rsidR="00A821D8">
          <w:rPr>
            <w:webHidden/>
          </w:rPr>
          <w:t>123</w:t>
        </w:r>
        <w:r>
          <w:rPr>
            <w:webHidden/>
          </w:rPr>
          <w:fldChar w:fldCharType="end"/>
        </w:r>
      </w:hyperlink>
    </w:p>
    <w:p w14:paraId="14F720C2" w14:textId="301B2FDF"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19" w:history="1">
        <w:r w:rsidRPr="005E2BBA">
          <w:rPr>
            <w:rStyle w:val="Hiperveza"/>
          </w:rPr>
          <w:t>2.12.</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PRILOG UZ OBRAZLOŽENJE OPĆEG DIJELA PRORAČUNA</w:t>
        </w:r>
        <w:r>
          <w:rPr>
            <w:webHidden/>
          </w:rPr>
          <w:tab/>
        </w:r>
        <w:r>
          <w:rPr>
            <w:webHidden/>
          </w:rPr>
          <w:fldChar w:fldCharType="begin"/>
        </w:r>
        <w:r>
          <w:rPr>
            <w:webHidden/>
          </w:rPr>
          <w:instrText xml:space="preserve"> PAGEREF _Toc232981419 \h </w:instrText>
        </w:r>
        <w:r>
          <w:rPr>
            <w:webHidden/>
          </w:rPr>
        </w:r>
        <w:r>
          <w:rPr>
            <w:webHidden/>
          </w:rPr>
          <w:fldChar w:fldCharType="separate"/>
        </w:r>
        <w:r w:rsidR="00A821D8">
          <w:rPr>
            <w:webHidden/>
          </w:rPr>
          <w:t>123</w:t>
        </w:r>
        <w:r>
          <w:rPr>
            <w:webHidden/>
          </w:rPr>
          <w:fldChar w:fldCharType="end"/>
        </w:r>
      </w:hyperlink>
    </w:p>
    <w:p w14:paraId="67B0638D" w14:textId="3C734DAB"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20" w:history="1">
        <w:r w:rsidRPr="005E2BBA">
          <w:rPr>
            <w:rStyle w:val="Hiperveza"/>
            <w:rFonts w:ascii="Arial" w:hAnsi="Arial" w:cs="Arial"/>
            <w:noProof/>
          </w:rPr>
          <w:t>2.12.1.</w:t>
        </w:r>
        <w:r>
          <w:rPr>
            <w:rFonts w:eastAsiaTheme="minorEastAsia"/>
            <w:i w:val="0"/>
            <w:iCs w:val="0"/>
            <w:noProof/>
            <w:kern w:val="2"/>
            <w:sz w:val="24"/>
            <w:szCs w:val="24"/>
            <w14:ligatures w14:val="standardContextual"/>
          </w:rPr>
          <w:tab/>
        </w:r>
        <w:r w:rsidRPr="005E2BBA">
          <w:rPr>
            <w:rStyle w:val="Hiperveza"/>
            <w:rFonts w:ascii="Arial" w:hAnsi="Arial" w:cs="Arial"/>
            <w:noProof/>
          </w:rPr>
          <w:t xml:space="preserve"> IZVJEŠĆE O UTROŠKU SREDSTAVA KOMUNALNE NAKNADE I KOMUNALNOG DOPRINOSA U 2025.</w:t>
        </w:r>
        <w:r>
          <w:rPr>
            <w:noProof/>
            <w:webHidden/>
          </w:rPr>
          <w:tab/>
        </w:r>
        <w:r>
          <w:rPr>
            <w:noProof/>
            <w:webHidden/>
          </w:rPr>
          <w:fldChar w:fldCharType="begin"/>
        </w:r>
        <w:r>
          <w:rPr>
            <w:noProof/>
            <w:webHidden/>
          </w:rPr>
          <w:instrText xml:space="preserve"> PAGEREF _Toc232981420 \h </w:instrText>
        </w:r>
        <w:r>
          <w:rPr>
            <w:noProof/>
            <w:webHidden/>
          </w:rPr>
        </w:r>
        <w:r>
          <w:rPr>
            <w:noProof/>
            <w:webHidden/>
          </w:rPr>
          <w:fldChar w:fldCharType="separate"/>
        </w:r>
        <w:r w:rsidR="00A821D8">
          <w:rPr>
            <w:noProof/>
            <w:webHidden/>
          </w:rPr>
          <w:t>123</w:t>
        </w:r>
        <w:r>
          <w:rPr>
            <w:noProof/>
            <w:webHidden/>
          </w:rPr>
          <w:fldChar w:fldCharType="end"/>
        </w:r>
      </w:hyperlink>
    </w:p>
    <w:p w14:paraId="74E81773" w14:textId="35A4EE82" w:rsidR="0059051D" w:rsidRDefault="0059051D">
      <w:pPr>
        <w:pStyle w:val="Sadraj1"/>
        <w:rPr>
          <w:rFonts w:asciiTheme="minorHAnsi" w:eastAsiaTheme="minorEastAsia" w:hAnsiTheme="minorHAnsi" w:cstheme="minorBidi"/>
          <w:b w:val="0"/>
          <w:bCs w:val="0"/>
          <w:caps w:val="0"/>
          <w:kern w:val="2"/>
          <w:sz w:val="24"/>
          <w:szCs w:val="24"/>
          <w14:ligatures w14:val="standardContextual"/>
        </w:rPr>
      </w:pPr>
      <w:hyperlink w:anchor="_Toc232981421" w:history="1">
        <w:r w:rsidRPr="005E2BBA">
          <w:rPr>
            <w:rStyle w:val="Hiperveza"/>
          </w:rPr>
          <w:t xml:space="preserve">3. </w:t>
        </w:r>
        <w:r>
          <w:rPr>
            <w:rFonts w:asciiTheme="minorHAnsi" w:eastAsiaTheme="minorEastAsia" w:hAnsiTheme="minorHAnsi" w:cstheme="minorBidi"/>
            <w:b w:val="0"/>
            <w:bCs w:val="0"/>
            <w:caps w:val="0"/>
            <w:kern w:val="2"/>
            <w:sz w:val="24"/>
            <w:szCs w:val="24"/>
            <w14:ligatures w14:val="standardContextual"/>
          </w:rPr>
          <w:tab/>
        </w:r>
        <w:r w:rsidRPr="005E2BBA">
          <w:rPr>
            <w:rStyle w:val="Hiperveza"/>
          </w:rPr>
          <w:t>OBRAZLOŽENJE POSEBNOG DIJELA IZVJEŠTAJA O IZVRŠENJU PRORAČUNA</w:t>
        </w:r>
        <w:r>
          <w:rPr>
            <w:webHidden/>
          </w:rPr>
          <w:tab/>
        </w:r>
        <w:r>
          <w:rPr>
            <w:webHidden/>
          </w:rPr>
          <w:fldChar w:fldCharType="begin"/>
        </w:r>
        <w:r>
          <w:rPr>
            <w:webHidden/>
          </w:rPr>
          <w:instrText xml:space="preserve"> PAGEREF _Toc232981421 \h </w:instrText>
        </w:r>
        <w:r>
          <w:rPr>
            <w:webHidden/>
          </w:rPr>
        </w:r>
        <w:r>
          <w:rPr>
            <w:webHidden/>
          </w:rPr>
          <w:fldChar w:fldCharType="separate"/>
        </w:r>
        <w:r w:rsidR="00A821D8">
          <w:rPr>
            <w:webHidden/>
          </w:rPr>
          <w:t>126</w:t>
        </w:r>
        <w:r>
          <w:rPr>
            <w:webHidden/>
          </w:rPr>
          <w:fldChar w:fldCharType="end"/>
        </w:r>
      </w:hyperlink>
    </w:p>
    <w:p w14:paraId="06D880F4" w14:textId="3598A8BF"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22" w:history="1">
        <w:r w:rsidRPr="005E2BBA">
          <w:rPr>
            <w:rStyle w:val="Hiperveza"/>
          </w:rPr>
          <w:t>3.1.</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ORGANIZACIJSKA KLASIFIKACIJA - s usporednim pregledom izvršenja u izvještajnim razdobljima 2019.-2025.</w:t>
        </w:r>
        <w:r>
          <w:rPr>
            <w:webHidden/>
          </w:rPr>
          <w:tab/>
        </w:r>
        <w:r>
          <w:rPr>
            <w:webHidden/>
          </w:rPr>
          <w:fldChar w:fldCharType="begin"/>
        </w:r>
        <w:r>
          <w:rPr>
            <w:webHidden/>
          </w:rPr>
          <w:instrText xml:space="preserve"> PAGEREF _Toc232981422 \h </w:instrText>
        </w:r>
        <w:r>
          <w:rPr>
            <w:webHidden/>
          </w:rPr>
        </w:r>
        <w:r>
          <w:rPr>
            <w:webHidden/>
          </w:rPr>
          <w:fldChar w:fldCharType="separate"/>
        </w:r>
        <w:r w:rsidR="00A821D8">
          <w:rPr>
            <w:webHidden/>
          </w:rPr>
          <w:t>126</w:t>
        </w:r>
        <w:r>
          <w:rPr>
            <w:webHidden/>
          </w:rPr>
          <w:fldChar w:fldCharType="end"/>
        </w:r>
      </w:hyperlink>
    </w:p>
    <w:p w14:paraId="3AD7D2F4" w14:textId="4142A847"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23" w:history="1">
        <w:r w:rsidRPr="005E2BBA">
          <w:rPr>
            <w:rStyle w:val="Hiperveza"/>
          </w:rPr>
          <w:t>3.2.</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PROGRAMSKA KLASIFIKACIJA –rashodi po razdjelima 010 / 020 / 030 / 040, glavama i programima</w:t>
        </w:r>
        <w:r>
          <w:rPr>
            <w:webHidden/>
          </w:rPr>
          <w:tab/>
        </w:r>
        <w:r>
          <w:rPr>
            <w:webHidden/>
          </w:rPr>
          <w:fldChar w:fldCharType="begin"/>
        </w:r>
        <w:r>
          <w:rPr>
            <w:webHidden/>
          </w:rPr>
          <w:instrText xml:space="preserve"> PAGEREF _Toc232981423 \h </w:instrText>
        </w:r>
        <w:r>
          <w:rPr>
            <w:webHidden/>
          </w:rPr>
        </w:r>
        <w:r>
          <w:rPr>
            <w:webHidden/>
          </w:rPr>
          <w:fldChar w:fldCharType="separate"/>
        </w:r>
        <w:r w:rsidR="00A821D8">
          <w:rPr>
            <w:webHidden/>
          </w:rPr>
          <w:t>131</w:t>
        </w:r>
        <w:r>
          <w:rPr>
            <w:webHidden/>
          </w:rPr>
          <w:fldChar w:fldCharType="end"/>
        </w:r>
      </w:hyperlink>
    </w:p>
    <w:p w14:paraId="04C4AAF8" w14:textId="3B0C645A"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24" w:history="1">
        <w:r w:rsidRPr="005E2BBA">
          <w:rPr>
            <w:rStyle w:val="Hiperveza"/>
            <w:rFonts w:ascii="Arial" w:hAnsi="Arial" w:cs="Arial"/>
            <w:noProof/>
          </w:rPr>
          <w:t>3.2.1.</w:t>
        </w:r>
        <w:r>
          <w:rPr>
            <w:rFonts w:eastAsiaTheme="minorEastAsia"/>
            <w:i w:val="0"/>
            <w:iCs w:val="0"/>
            <w:noProof/>
            <w:kern w:val="2"/>
            <w:sz w:val="24"/>
            <w:szCs w:val="24"/>
            <w14:ligatures w14:val="standardContextual"/>
          </w:rPr>
          <w:tab/>
        </w:r>
        <w:r w:rsidRPr="005E2BBA">
          <w:rPr>
            <w:rStyle w:val="Hiperveza"/>
            <w:rFonts w:ascii="Arial" w:hAnsi="Arial" w:cs="Arial"/>
            <w:noProof/>
          </w:rPr>
          <w:t xml:space="preserve"> PREGLED RASHODA PO RAZDJELIMA, GLAVAMA I PROGRAMIMA</w:t>
        </w:r>
        <w:r>
          <w:rPr>
            <w:noProof/>
            <w:webHidden/>
          </w:rPr>
          <w:tab/>
        </w:r>
        <w:r>
          <w:rPr>
            <w:noProof/>
            <w:webHidden/>
          </w:rPr>
          <w:fldChar w:fldCharType="begin"/>
        </w:r>
        <w:r>
          <w:rPr>
            <w:noProof/>
            <w:webHidden/>
          </w:rPr>
          <w:instrText xml:space="preserve"> PAGEREF _Toc232981424 \h </w:instrText>
        </w:r>
        <w:r>
          <w:rPr>
            <w:noProof/>
            <w:webHidden/>
          </w:rPr>
        </w:r>
        <w:r>
          <w:rPr>
            <w:noProof/>
            <w:webHidden/>
          </w:rPr>
          <w:fldChar w:fldCharType="separate"/>
        </w:r>
        <w:r w:rsidR="00A821D8">
          <w:rPr>
            <w:noProof/>
            <w:webHidden/>
          </w:rPr>
          <w:t>131</w:t>
        </w:r>
        <w:r>
          <w:rPr>
            <w:noProof/>
            <w:webHidden/>
          </w:rPr>
          <w:fldChar w:fldCharType="end"/>
        </w:r>
      </w:hyperlink>
    </w:p>
    <w:p w14:paraId="07DF94C9" w14:textId="793EEFDF"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25" w:history="1">
        <w:r w:rsidRPr="005E2BBA">
          <w:rPr>
            <w:rStyle w:val="Hiperveza"/>
          </w:rPr>
          <w:t>3.3.</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 xml:space="preserve"> OBRAZLOŽENJE IZVRŠENJA POSEBNOG DIJELA PRORAČUNA</w:t>
        </w:r>
        <w:r>
          <w:rPr>
            <w:webHidden/>
          </w:rPr>
          <w:tab/>
        </w:r>
        <w:r>
          <w:rPr>
            <w:webHidden/>
          </w:rPr>
          <w:fldChar w:fldCharType="begin"/>
        </w:r>
        <w:r>
          <w:rPr>
            <w:webHidden/>
          </w:rPr>
          <w:instrText xml:space="preserve"> PAGEREF _Toc232981425 \h </w:instrText>
        </w:r>
        <w:r>
          <w:rPr>
            <w:webHidden/>
          </w:rPr>
        </w:r>
        <w:r>
          <w:rPr>
            <w:webHidden/>
          </w:rPr>
          <w:fldChar w:fldCharType="separate"/>
        </w:r>
        <w:r w:rsidR="00A821D8">
          <w:rPr>
            <w:webHidden/>
          </w:rPr>
          <w:t>135</w:t>
        </w:r>
        <w:r>
          <w:rPr>
            <w:webHidden/>
          </w:rPr>
          <w:fldChar w:fldCharType="end"/>
        </w:r>
      </w:hyperlink>
    </w:p>
    <w:p w14:paraId="275B8856" w14:textId="58771850"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26" w:history="1">
        <w:r w:rsidRPr="005E2BBA">
          <w:rPr>
            <w:rStyle w:val="Hiperveza"/>
            <w:rFonts w:eastAsia="Calibri"/>
            <w:noProof/>
          </w:rPr>
          <w:t>3.3.1.</w:t>
        </w:r>
        <w:r>
          <w:rPr>
            <w:rFonts w:eastAsiaTheme="minorEastAsia"/>
            <w:i w:val="0"/>
            <w:iCs w:val="0"/>
            <w:noProof/>
            <w:kern w:val="2"/>
            <w:sz w:val="24"/>
            <w:szCs w:val="24"/>
            <w14:ligatures w14:val="standardContextual"/>
          </w:rPr>
          <w:tab/>
        </w:r>
        <w:r w:rsidRPr="005E2BBA">
          <w:rPr>
            <w:rStyle w:val="Hiperveza"/>
            <w:rFonts w:eastAsia="Calibri"/>
            <w:noProof/>
          </w:rPr>
          <w:t>RAZDJEL: (010) OPĆINSKO VIJEĆE I NAČELNIK</w:t>
        </w:r>
        <w:r>
          <w:rPr>
            <w:noProof/>
            <w:webHidden/>
          </w:rPr>
          <w:tab/>
        </w:r>
        <w:r>
          <w:rPr>
            <w:noProof/>
            <w:webHidden/>
          </w:rPr>
          <w:fldChar w:fldCharType="begin"/>
        </w:r>
        <w:r>
          <w:rPr>
            <w:noProof/>
            <w:webHidden/>
          </w:rPr>
          <w:instrText xml:space="preserve"> PAGEREF _Toc232981426 \h </w:instrText>
        </w:r>
        <w:r>
          <w:rPr>
            <w:noProof/>
            <w:webHidden/>
          </w:rPr>
        </w:r>
        <w:r>
          <w:rPr>
            <w:noProof/>
            <w:webHidden/>
          </w:rPr>
          <w:fldChar w:fldCharType="separate"/>
        </w:r>
        <w:r w:rsidR="00A821D8">
          <w:rPr>
            <w:noProof/>
            <w:webHidden/>
          </w:rPr>
          <w:t>135</w:t>
        </w:r>
        <w:r>
          <w:rPr>
            <w:noProof/>
            <w:webHidden/>
          </w:rPr>
          <w:fldChar w:fldCharType="end"/>
        </w:r>
      </w:hyperlink>
    </w:p>
    <w:p w14:paraId="7D8A103F" w14:textId="6F0A7061" w:rsidR="0059051D" w:rsidRDefault="0059051D">
      <w:pPr>
        <w:pStyle w:val="Sadraj4"/>
        <w:tabs>
          <w:tab w:val="left" w:pos="1540"/>
          <w:tab w:val="right" w:leader="dot" w:pos="14560"/>
        </w:tabs>
        <w:rPr>
          <w:rFonts w:eastAsiaTheme="minorEastAsia"/>
          <w:noProof/>
          <w:kern w:val="2"/>
          <w:sz w:val="24"/>
          <w:szCs w:val="24"/>
          <w14:ligatures w14:val="standardContextual"/>
        </w:rPr>
      </w:pPr>
      <w:hyperlink w:anchor="_Toc232981427" w:history="1">
        <w:r w:rsidRPr="005E2BBA">
          <w:rPr>
            <w:rStyle w:val="Hiperveza"/>
            <w:rFonts w:ascii="Arial" w:eastAsia="Calibri" w:hAnsi="Arial" w:cs="Arial"/>
            <w:noProof/>
          </w:rPr>
          <w:t>3.3.1.1.</w:t>
        </w:r>
        <w:r>
          <w:rPr>
            <w:rFonts w:eastAsiaTheme="minorEastAsia"/>
            <w:noProof/>
            <w:kern w:val="2"/>
            <w:sz w:val="24"/>
            <w:szCs w:val="24"/>
            <w14:ligatures w14:val="standardContextual"/>
          </w:rPr>
          <w:tab/>
        </w:r>
        <w:r w:rsidRPr="005E2BBA">
          <w:rPr>
            <w:rStyle w:val="Hiperveza"/>
            <w:rFonts w:ascii="Arial" w:eastAsia="Calibri" w:hAnsi="Arial" w:cs="Arial"/>
            <w:noProof/>
          </w:rPr>
          <w:t>GLAVA: (010 01) OPĆINSKO VIJEĆE – PREDSTAVNIČKO TIJELO</w:t>
        </w:r>
        <w:r>
          <w:rPr>
            <w:noProof/>
            <w:webHidden/>
          </w:rPr>
          <w:tab/>
        </w:r>
        <w:r>
          <w:rPr>
            <w:noProof/>
            <w:webHidden/>
          </w:rPr>
          <w:fldChar w:fldCharType="begin"/>
        </w:r>
        <w:r>
          <w:rPr>
            <w:noProof/>
            <w:webHidden/>
          </w:rPr>
          <w:instrText xml:space="preserve"> PAGEREF _Toc232981427 \h </w:instrText>
        </w:r>
        <w:r>
          <w:rPr>
            <w:noProof/>
            <w:webHidden/>
          </w:rPr>
        </w:r>
        <w:r>
          <w:rPr>
            <w:noProof/>
            <w:webHidden/>
          </w:rPr>
          <w:fldChar w:fldCharType="separate"/>
        </w:r>
        <w:r w:rsidR="00A821D8">
          <w:rPr>
            <w:noProof/>
            <w:webHidden/>
          </w:rPr>
          <w:t>138</w:t>
        </w:r>
        <w:r>
          <w:rPr>
            <w:noProof/>
            <w:webHidden/>
          </w:rPr>
          <w:fldChar w:fldCharType="end"/>
        </w:r>
      </w:hyperlink>
    </w:p>
    <w:p w14:paraId="349E4C41" w14:textId="7ABE9F2E"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28" w:history="1">
        <w:r w:rsidRPr="005E2BBA">
          <w:rPr>
            <w:rStyle w:val="Hiperveza"/>
            <w:rFonts w:ascii="Arial" w:eastAsia="Calibri" w:hAnsi="Arial" w:cs="Arial"/>
            <w:noProof/>
          </w:rPr>
          <w:t>Program (1010): Osnovne aktivnosti Općinskog vijeća</w:t>
        </w:r>
        <w:r>
          <w:rPr>
            <w:noProof/>
            <w:webHidden/>
          </w:rPr>
          <w:tab/>
        </w:r>
        <w:r>
          <w:rPr>
            <w:noProof/>
            <w:webHidden/>
          </w:rPr>
          <w:fldChar w:fldCharType="begin"/>
        </w:r>
        <w:r>
          <w:rPr>
            <w:noProof/>
            <w:webHidden/>
          </w:rPr>
          <w:instrText xml:space="preserve"> PAGEREF _Toc232981428 \h </w:instrText>
        </w:r>
        <w:r>
          <w:rPr>
            <w:noProof/>
            <w:webHidden/>
          </w:rPr>
        </w:r>
        <w:r>
          <w:rPr>
            <w:noProof/>
            <w:webHidden/>
          </w:rPr>
          <w:fldChar w:fldCharType="separate"/>
        </w:r>
        <w:r w:rsidR="00A821D8">
          <w:rPr>
            <w:noProof/>
            <w:webHidden/>
          </w:rPr>
          <w:t>138</w:t>
        </w:r>
        <w:r>
          <w:rPr>
            <w:noProof/>
            <w:webHidden/>
          </w:rPr>
          <w:fldChar w:fldCharType="end"/>
        </w:r>
      </w:hyperlink>
    </w:p>
    <w:p w14:paraId="37E02DC2" w14:textId="1EB4ABC3" w:rsidR="0059051D" w:rsidRDefault="0059051D">
      <w:pPr>
        <w:pStyle w:val="Sadraj4"/>
        <w:tabs>
          <w:tab w:val="left" w:pos="1540"/>
          <w:tab w:val="right" w:leader="dot" w:pos="14560"/>
        </w:tabs>
        <w:rPr>
          <w:rFonts w:eastAsiaTheme="minorEastAsia"/>
          <w:noProof/>
          <w:kern w:val="2"/>
          <w:sz w:val="24"/>
          <w:szCs w:val="24"/>
          <w14:ligatures w14:val="standardContextual"/>
        </w:rPr>
      </w:pPr>
      <w:hyperlink w:anchor="_Toc232981429" w:history="1">
        <w:r w:rsidRPr="005E2BBA">
          <w:rPr>
            <w:rStyle w:val="Hiperveza"/>
            <w:rFonts w:eastAsia="Calibri"/>
            <w:noProof/>
          </w:rPr>
          <w:t xml:space="preserve">3.3.1.2. </w:t>
        </w:r>
        <w:r>
          <w:rPr>
            <w:rFonts w:eastAsiaTheme="minorEastAsia"/>
            <w:noProof/>
            <w:kern w:val="2"/>
            <w:sz w:val="24"/>
            <w:szCs w:val="24"/>
            <w14:ligatures w14:val="standardContextual"/>
          </w:rPr>
          <w:tab/>
        </w:r>
        <w:r w:rsidRPr="005E2BBA">
          <w:rPr>
            <w:rStyle w:val="Hiperveza"/>
            <w:rFonts w:eastAsia="Calibri"/>
            <w:noProof/>
          </w:rPr>
          <w:t>GLAVA: (010 02) NAČELNIK– NOSITELJ IZVRŠNIH OVLASTI</w:t>
        </w:r>
        <w:r>
          <w:rPr>
            <w:noProof/>
            <w:webHidden/>
          </w:rPr>
          <w:tab/>
        </w:r>
        <w:r>
          <w:rPr>
            <w:noProof/>
            <w:webHidden/>
          </w:rPr>
          <w:fldChar w:fldCharType="begin"/>
        </w:r>
        <w:r>
          <w:rPr>
            <w:noProof/>
            <w:webHidden/>
          </w:rPr>
          <w:instrText xml:space="preserve"> PAGEREF _Toc232981429 \h </w:instrText>
        </w:r>
        <w:r>
          <w:rPr>
            <w:noProof/>
            <w:webHidden/>
          </w:rPr>
        </w:r>
        <w:r>
          <w:rPr>
            <w:noProof/>
            <w:webHidden/>
          </w:rPr>
          <w:fldChar w:fldCharType="separate"/>
        </w:r>
        <w:r w:rsidR="00A821D8">
          <w:rPr>
            <w:noProof/>
            <w:webHidden/>
          </w:rPr>
          <w:t>143</w:t>
        </w:r>
        <w:r>
          <w:rPr>
            <w:noProof/>
            <w:webHidden/>
          </w:rPr>
          <w:fldChar w:fldCharType="end"/>
        </w:r>
      </w:hyperlink>
    </w:p>
    <w:p w14:paraId="2E4844A5" w14:textId="45FEEDE4"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30" w:history="1">
        <w:r w:rsidRPr="005E2BBA">
          <w:rPr>
            <w:rStyle w:val="Hiperveza"/>
            <w:rFonts w:ascii="Arial" w:eastAsia="Calibri" w:hAnsi="Arial" w:cs="Arial"/>
            <w:noProof/>
          </w:rPr>
          <w:t>Program (1020): Osnovne aktivnosti izvršnog tijela</w:t>
        </w:r>
        <w:r>
          <w:rPr>
            <w:noProof/>
            <w:webHidden/>
          </w:rPr>
          <w:tab/>
        </w:r>
        <w:r>
          <w:rPr>
            <w:noProof/>
            <w:webHidden/>
          </w:rPr>
          <w:fldChar w:fldCharType="begin"/>
        </w:r>
        <w:r>
          <w:rPr>
            <w:noProof/>
            <w:webHidden/>
          </w:rPr>
          <w:instrText xml:space="preserve"> PAGEREF _Toc232981430 \h </w:instrText>
        </w:r>
        <w:r>
          <w:rPr>
            <w:noProof/>
            <w:webHidden/>
          </w:rPr>
        </w:r>
        <w:r>
          <w:rPr>
            <w:noProof/>
            <w:webHidden/>
          </w:rPr>
          <w:fldChar w:fldCharType="separate"/>
        </w:r>
        <w:r w:rsidR="00A821D8">
          <w:rPr>
            <w:noProof/>
            <w:webHidden/>
          </w:rPr>
          <w:t>143</w:t>
        </w:r>
        <w:r>
          <w:rPr>
            <w:noProof/>
            <w:webHidden/>
          </w:rPr>
          <w:fldChar w:fldCharType="end"/>
        </w:r>
      </w:hyperlink>
    </w:p>
    <w:p w14:paraId="257E2743" w14:textId="71FCC5EA"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31" w:history="1">
        <w:r w:rsidRPr="005E2BBA">
          <w:rPr>
            <w:rStyle w:val="Hiperveza"/>
            <w:rFonts w:ascii="Arial" w:eastAsia="Calibri" w:hAnsi="Arial" w:cs="Arial"/>
            <w:noProof/>
          </w:rPr>
          <w:t>3.3.2.</w:t>
        </w:r>
        <w:r>
          <w:rPr>
            <w:rFonts w:eastAsiaTheme="minorEastAsia"/>
            <w:i w:val="0"/>
            <w:iCs w:val="0"/>
            <w:noProof/>
            <w:kern w:val="2"/>
            <w:sz w:val="24"/>
            <w:szCs w:val="24"/>
            <w14:ligatures w14:val="standardContextual"/>
          </w:rPr>
          <w:tab/>
        </w:r>
        <w:r w:rsidRPr="005E2BBA">
          <w:rPr>
            <w:rStyle w:val="Hiperveza"/>
            <w:rFonts w:ascii="Arial" w:eastAsia="Calibri" w:hAnsi="Arial" w:cs="Arial"/>
            <w:noProof/>
          </w:rPr>
          <w:t>RAZDJEL: (020) UPRAVNI ODJEL ZA OPĆE POSLOVE, MJESNU SAMOUPRAVU I DRUŠTVENE DJELATNOSTI</w:t>
        </w:r>
        <w:r>
          <w:rPr>
            <w:noProof/>
            <w:webHidden/>
          </w:rPr>
          <w:tab/>
        </w:r>
        <w:r>
          <w:rPr>
            <w:noProof/>
            <w:webHidden/>
          </w:rPr>
          <w:fldChar w:fldCharType="begin"/>
        </w:r>
        <w:r>
          <w:rPr>
            <w:noProof/>
            <w:webHidden/>
          </w:rPr>
          <w:instrText xml:space="preserve"> PAGEREF _Toc232981431 \h </w:instrText>
        </w:r>
        <w:r>
          <w:rPr>
            <w:noProof/>
            <w:webHidden/>
          </w:rPr>
        </w:r>
        <w:r>
          <w:rPr>
            <w:noProof/>
            <w:webHidden/>
          </w:rPr>
          <w:fldChar w:fldCharType="separate"/>
        </w:r>
        <w:r w:rsidR="00A821D8">
          <w:rPr>
            <w:noProof/>
            <w:webHidden/>
          </w:rPr>
          <w:t>146</w:t>
        </w:r>
        <w:r>
          <w:rPr>
            <w:noProof/>
            <w:webHidden/>
          </w:rPr>
          <w:fldChar w:fldCharType="end"/>
        </w:r>
      </w:hyperlink>
    </w:p>
    <w:p w14:paraId="73B50D74" w14:textId="31867694" w:rsidR="0059051D" w:rsidRDefault="0059051D">
      <w:pPr>
        <w:pStyle w:val="Sadraj4"/>
        <w:tabs>
          <w:tab w:val="left" w:pos="1540"/>
          <w:tab w:val="right" w:leader="dot" w:pos="14560"/>
        </w:tabs>
        <w:rPr>
          <w:rFonts w:eastAsiaTheme="minorEastAsia"/>
          <w:noProof/>
          <w:kern w:val="2"/>
          <w:sz w:val="24"/>
          <w:szCs w:val="24"/>
          <w14:ligatures w14:val="standardContextual"/>
        </w:rPr>
      </w:pPr>
      <w:hyperlink w:anchor="_Toc232981432" w:history="1">
        <w:r w:rsidRPr="005E2BBA">
          <w:rPr>
            <w:rStyle w:val="Hiperveza"/>
            <w:rFonts w:ascii="Times New Roman" w:eastAsia="Calibri" w:hAnsi="Times New Roman" w:cs="Times New Roman"/>
            <w:b/>
            <w:noProof/>
            <w:lang w:eastAsia="en-US"/>
          </w:rPr>
          <w:t>3.3.2.1.</w:t>
        </w:r>
        <w:r>
          <w:rPr>
            <w:rFonts w:eastAsiaTheme="minorEastAsia"/>
            <w:noProof/>
            <w:kern w:val="2"/>
            <w:sz w:val="24"/>
            <w:szCs w:val="24"/>
            <w14:ligatures w14:val="standardContextual"/>
          </w:rPr>
          <w:tab/>
        </w:r>
        <w:r w:rsidRPr="005E2BBA">
          <w:rPr>
            <w:rStyle w:val="Hiperveza"/>
            <w:rFonts w:ascii="Times New Roman" w:eastAsia="Calibri" w:hAnsi="Times New Roman" w:cs="Times New Roman"/>
            <w:b/>
            <w:noProof/>
            <w:lang w:eastAsia="en-US"/>
          </w:rPr>
          <w:t>GLAVA: (020 02) UO ZA OPĆE POSLOVE, MJESNU SAMOUPRAVU I DRUŠTVENE DJELATNOSTI</w:t>
        </w:r>
        <w:r>
          <w:rPr>
            <w:noProof/>
            <w:webHidden/>
          </w:rPr>
          <w:tab/>
        </w:r>
        <w:r>
          <w:rPr>
            <w:noProof/>
            <w:webHidden/>
          </w:rPr>
          <w:fldChar w:fldCharType="begin"/>
        </w:r>
        <w:r>
          <w:rPr>
            <w:noProof/>
            <w:webHidden/>
          </w:rPr>
          <w:instrText xml:space="preserve"> PAGEREF _Toc232981432 \h </w:instrText>
        </w:r>
        <w:r>
          <w:rPr>
            <w:noProof/>
            <w:webHidden/>
          </w:rPr>
        </w:r>
        <w:r>
          <w:rPr>
            <w:noProof/>
            <w:webHidden/>
          </w:rPr>
          <w:fldChar w:fldCharType="separate"/>
        </w:r>
        <w:r w:rsidR="00A821D8">
          <w:rPr>
            <w:noProof/>
            <w:webHidden/>
          </w:rPr>
          <w:t>151</w:t>
        </w:r>
        <w:r>
          <w:rPr>
            <w:noProof/>
            <w:webHidden/>
          </w:rPr>
          <w:fldChar w:fldCharType="end"/>
        </w:r>
      </w:hyperlink>
    </w:p>
    <w:p w14:paraId="03D20C5C" w14:textId="59EBF040"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33" w:history="1">
        <w:r w:rsidRPr="005E2BBA">
          <w:rPr>
            <w:rStyle w:val="Hiperveza"/>
            <w:rFonts w:ascii="Times New Roman" w:eastAsia="Calibri" w:hAnsi="Times New Roman" w:cs="Times New Roman"/>
            <w:b/>
            <w:noProof/>
            <w:lang w:eastAsia="en-US"/>
          </w:rPr>
          <w:t>Program (2010): Javna uprava i administracija -  zajednički troškovi upravnih tijela</w:t>
        </w:r>
        <w:r>
          <w:rPr>
            <w:noProof/>
            <w:webHidden/>
          </w:rPr>
          <w:tab/>
        </w:r>
        <w:r>
          <w:rPr>
            <w:noProof/>
            <w:webHidden/>
          </w:rPr>
          <w:fldChar w:fldCharType="begin"/>
        </w:r>
        <w:r>
          <w:rPr>
            <w:noProof/>
            <w:webHidden/>
          </w:rPr>
          <w:instrText xml:space="preserve"> PAGEREF _Toc232981433 \h </w:instrText>
        </w:r>
        <w:r>
          <w:rPr>
            <w:noProof/>
            <w:webHidden/>
          </w:rPr>
        </w:r>
        <w:r>
          <w:rPr>
            <w:noProof/>
            <w:webHidden/>
          </w:rPr>
          <w:fldChar w:fldCharType="separate"/>
        </w:r>
        <w:r w:rsidR="00A821D8">
          <w:rPr>
            <w:noProof/>
            <w:webHidden/>
          </w:rPr>
          <w:t>151</w:t>
        </w:r>
        <w:r>
          <w:rPr>
            <w:noProof/>
            <w:webHidden/>
          </w:rPr>
          <w:fldChar w:fldCharType="end"/>
        </w:r>
      </w:hyperlink>
    </w:p>
    <w:p w14:paraId="2C30EA95" w14:textId="2164216B"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34" w:history="1">
        <w:r w:rsidRPr="005E2BBA">
          <w:rPr>
            <w:rStyle w:val="Hiperveza"/>
            <w:rFonts w:ascii="Times New Roman" w:eastAsia="Calibri" w:hAnsi="Times New Roman" w:cs="Times New Roman"/>
            <w:b/>
            <w:noProof/>
            <w:lang w:eastAsia="en-US"/>
          </w:rPr>
          <w:t>Program (2011): Mjesna samouprava zajednički opći troškovi</w:t>
        </w:r>
        <w:r>
          <w:rPr>
            <w:noProof/>
            <w:webHidden/>
          </w:rPr>
          <w:tab/>
        </w:r>
        <w:r>
          <w:rPr>
            <w:noProof/>
            <w:webHidden/>
          </w:rPr>
          <w:fldChar w:fldCharType="begin"/>
        </w:r>
        <w:r>
          <w:rPr>
            <w:noProof/>
            <w:webHidden/>
          </w:rPr>
          <w:instrText xml:space="preserve"> PAGEREF _Toc232981434 \h </w:instrText>
        </w:r>
        <w:r>
          <w:rPr>
            <w:noProof/>
            <w:webHidden/>
          </w:rPr>
        </w:r>
        <w:r>
          <w:rPr>
            <w:noProof/>
            <w:webHidden/>
          </w:rPr>
          <w:fldChar w:fldCharType="separate"/>
        </w:r>
        <w:r w:rsidR="00A821D8">
          <w:rPr>
            <w:noProof/>
            <w:webHidden/>
          </w:rPr>
          <w:t>156</w:t>
        </w:r>
        <w:r>
          <w:rPr>
            <w:noProof/>
            <w:webHidden/>
          </w:rPr>
          <w:fldChar w:fldCharType="end"/>
        </w:r>
      </w:hyperlink>
    </w:p>
    <w:p w14:paraId="6BA422B4" w14:textId="7D366870"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35" w:history="1">
        <w:r w:rsidRPr="005E2BBA">
          <w:rPr>
            <w:rStyle w:val="Hiperveza"/>
            <w:rFonts w:ascii="Times New Roman" w:eastAsia="Calibri" w:hAnsi="Times New Roman" w:cs="Times New Roman"/>
            <w:b/>
            <w:noProof/>
            <w:lang w:eastAsia="en-US"/>
          </w:rPr>
          <w:t>Program (2020): Protokol, odnosi s javnošću, obljetnice, blagdani i pokroviteljstva</w:t>
        </w:r>
        <w:r>
          <w:rPr>
            <w:noProof/>
            <w:webHidden/>
          </w:rPr>
          <w:tab/>
        </w:r>
        <w:r>
          <w:rPr>
            <w:noProof/>
            <w:webHidden/>
          </w:rPr>
          <w:fldChar w:fldCharType="begin"/>
        </w:r>
        <w:r>
          <w:rPr>
            <w:noProof/>
            <w:webHidden/>
          </w:rPr>
          <w:instrText xml:space="preserve"> PAGEREF _Toc232981435 \h </w:instrText>
        </w:r>
        <w:r>
          <w:rPr>
            <w:noProof/>
            <w:webHidden/>
          </w:rPr>
        </w:r>
        <w:r>
          <w:rPr>
            <w:noProof/>
            <w:webHidden/>
          </w:rPr>
          <w:fldChar w:fldCharType="separate"/>
        </w:r>
        <w:r w:rsidR="00A821D8">
          <w:rPr>
            <w:noProof/>
            <w:webHidden/>
          </w:rPr>
          <w:t>159</w:t>
        </w:r>
        <w:r>
          <w:rPr>
            <w:noProof/>
            <w:webHidden/>
          </w:rPr>
          <w:fldChar w:fldCharType="end"/>
        </w:r>
      </w:hyperlink>
    </w:p>
    <w:p w14:paraId="12D445A9" w14:textId="72A93293"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36" w:history="1">
        <w:r w:rsidRPr="005E2BBA">
          <w:rPr>
            <w:rStyle w:val="Hiperveza"/>
            <w:rFonts w:ascii="Times New Roman" w:eastAsia="Calibri" w:hAnsi="Times New Roman" w:cs="Times New Roman"/>
            <w:b/>
            <w:noProof/>
            <w:lang w:eastAsia="en-US"/>
          </w:rPr>
          <w:t>Program (2021): Redovan rad UO za opće poslove, mjesnu samoupravu i društvene djelatnosti – povremeni opći troškovi u nadležnosti odjela</w:t>
        </w:r>
        <w:r>
          <w:rPr>
            <w:noProof/>
            <w:webHidden/>
          </w:rPr>
          <w:tab/>
        </w:r>
        <w:r>
          <w:rPr>
            <w:noProof/>
            <w:webHidden/>
          </w:rPr>
          <w:fldChar w:fldCharType="begin"/>
        </w:r>
        <w:r>
          <w:rPr>
            <w:noProof/>
            <w:webHidden/>
          </w:rPr>
          <w:instrText xml:space="preserve"> PAGEREF _Toc232981436 \h </w:instrText>
        </w:r>
        <w:r>
          <w:rPr>
            <w:noProof/>
            <w:webHidden/>
          </w:rPr>
        </w:r>
        <w:r>
          <w:rPr>
            <w:noProof/>
            <w:webHidden/>
          </w:rPr>
          <w:fldChar w:fldCharType="separate"/>
        </w:r>
        <w:r w:rsidR="00A821D8">
          <w:rPr>
            <w:noProof/>
            <w:webHidden/>
          </w:rPr>
          <w:t>164</w:t>
        </w:r>
        <w:r>
          <w:rPr>
            <w:noProof/>
            <w:webHidden/>
          </w:rPr>
          <w:fldChar w:fldCharType="end"/>
        </w:r>
      </w:hyperlink>
    </w:p>
    <w:p w14:paraId="74811804" w14:textId="68E076AC"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37" w:history="1">
        <w:r w:rsidRPr="005E2BBA">
          <w:rPr>
            <w:rStyle w:val="Hiperveza"/>
            <w:rFonts w:ascii="Times New Roman" w:eastAsia="Calibri" w:hAnsi="Times New Roman" w:cs="Times New Roman"/>
            <w:b/>
            <w:noProof/>
            <w:lang w:eastAsia="en-US"/>
          </w:rPr>
          <w:t>Program (2022): Provedba izbora i referenduma</w:t>
        </w:r>
        <w:r>
          <w:rPr>
            <w:noProof/>
            <w:webHidden/>
          </w:rPr>
          <w:tab/>
        </w:r>
        <w:r>
          <w:rPr>
            <w:noProof/>
            <w:webHidden/>
          </w:rPr>
          <w:fldChar w:fldCharType="begin"/>
        </w:r>
        <w:r>
          <w:rPr>
            <w:noProof/>
            <w:webHidden/>
          </w:rPr>
          <w:instrText xml:space="preserve"> PAGEREF _Toc232981437 \h </w:instrText>
        </w:r>
        <w:r>
          <w:rPr>
            <w:noProof/>
            <w:webHidden/>
          </w:rPr>
        </w:r>
        <w:r>
          <w:rPr>
            <w:noProof/>
            <w:webHidden/>
          </w:rPr>
          <w:fldChar w:fldCharType="separate"/>
        </w:r>
        <w:r w:rsidR="00A821D8">
          <w:rPr>
            <w:noProof/>
            <w:webHidden/>
          </w:rPr>
          <w:t>167</w:t>
        </w:r>
        <w:r>
          <w:rPr>
            <w:noProof/>
            <w:webHidden/>
          </w:rPr>
          <w:fldChar w:fldCharType="end"/>
        </w:r>
      </w:hyperlink>
    </w:p>
    <w:p w14:paraId="1783576D" w14:textId="4F051343"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38" w:history="1">
        <w:r w:rsidRPr="005E2BBA">
          <w:rPr>
            <w:rStyle w:val="Hiperveza"/>
            <w:rFonts w:ascii="Times New Roman" w:eastAsia="Calibri" w:hAnsi="Times New Roman" w:cs="Times New Roman"/>
            <w:b/>
            <w:noProof/>
            <w:lang w:eastAsia="en-US"/>
          </w:rPr>
          <w:t>Program (2032): Javne potrebe u kulturi</w:t>
        </w:r>
        <w:r>
          <w:rPr>
            <w:noProof/>
            <w:webHidden/>
          </w:rPr>
          <w:tab/>
        </w:r>
        <w:r>
          <w:rPr>
            <w:noProof/>
            <w:webHidden/>
          </w:rPr>
          <w:fldChar w:fldCharType="begin"/>
        </w:r>
        <w:r>
          <w:rPr>
            <w:noProof/>
            <w:webHidden/>
          </w:rPr>
          <w:instrText xml:space="preserve"> PAGEREF _Toc232981438 \h </w:instrText>
        </w:r>
        <w:r>
          <w:rPr>
            <w:noProof/>
            <w:webHidden/>
          </w:rPr>
        </w:r>
        <w:r>
          <w:rPr>
            <w:noProof/>
            <w:webHidden/>
          </w:rPr>
          <w:fldChar w:fldCharType="separate"/>
        </w:r>
        <w:r w:rsidR="00A821D8">
          <w:rPr>
            <w:noProof/>
            <w:webHidden/>
          </w:rPr>
          <w:t>169</w:t>
        </w:r>
        <w:r>
          <w:rPr>
            <w:noProof/>
            <w:webHidden/>
          </w:rPr>
          <w:fldChar w:fldCharType="end"/>
        </w:r>
      </w:hyperlink>
    </w:p>
    <w:p w14:paraId="24BDC1BF" w14:textId="4EB85B76"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39" w:history="1">
        <w:r w:rsidRPr="005E2BBA">
          <w:rPr>
            <w:rStyle w:val="Hiperveza"/>
            <w:rFonts w:ascii="Times New Roman" w:eastAsia="Calibri" w:hAnsi="Times New Roman" w:cs="Times New Roman"/>
            <w:b/>
            <w:noProof/>
            <w:lang w:eastAsia="en-US"/>
          </w:rPr>
          <w:t>Program (2034): Javne potrebe u sportu</w:t>
        </w:r>
        <w:r>
          <w:rPr>
            <w:noProof/>
            <w:webHidden/>
          </w:rPr>
          <w:tab/>
        </w:r>
        <w:r>
          <w:rPr>
            <w:noProof/>
            <w:webHidden/>
          </w:rPr>
          <w:fldChar w:fldCharType="begin"/>
        </w:r>
        <w:r>
          <w:rPr>
            <w:noProof/>
            <w:webHidden/>
          </w:rPr>
          <w:instrText xml:space="preserve"> PAGEREF _Toc232981439 \h </w:instrText>
        </w:r>
        <w:r>
          <w:rPr>
            <w:noProof/>
            <w:webHidden/>
          </w:rPr>
        </w:r>
        <w:r>
          <w:rPr>
            <w:noProof/>
            <w:webHidden/>
          </w:rPr>
          <w:fldChar w:fldCharType="separate"/>
        </w:r>
        <w:r w:rsidR="00A821D8">
          <w:rPr>
            <w:noProof/>
            <w:webHidden/>
          </w:rPr>
          <w:t>174</w:t>
        </w:r>
        <w:r>
          <w:rPr>
            <w:noProof/>
            <w:webHidden/>
          </w:rPr>
          <w:fldChar w:fldCharType="end"/>
        </w:r>
      </w:hyperlink>
    </w:p>
    <w:p w14:paraId="1EBE8B5D" w14:textId="4C9469F8"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40" w:history="1">
        <w:r w:rsidRPr="005E2BBA">
          <w:rPr>
            <w:rStyle w:val="Hiperveza"/>
            <w:rFonts w:ascii="Times New Roman" w:eastAsia="Calibri" w:hAnsi="Times New Roman" w:cs="Times New Roman"/>
            <w:b/>
            <w:noProof/>
            <w:lang w:eastAsia="en-US"/>
          </w:rPr>
          <w:t>Program (2040): Program demografskih mjera</w:t>
        </w:r>
        <w:r>
          <w:rPr>
            <w:noProof/>
            <w:webHidden/>
          </w:rPr>
          <w:tab/>
        </w:r>
        <w:r>
          <w:rPr>
            <w:noProof/>
            <w:webHidden/>
          </w:rPr>
          <w:fldChar w:fldCharType="begin"/>
        </w:r>
        <w:r>
          <w:rPr>
            <w:noProof/>
            <w:webHidden/>
          </w:rPr>
          <w:instrText xml:space="preserve"> PAGEREF _Toc232981440 \h </w:instrText>
        </w:r>
        <w:r>
          <w:rPr>
            <w:noProof/>
            <w:webHidden/>
          </w:rPr>
        </w:r>
        <w:r>
          <w:rPr>
            <w:noProof/>
            <w:webHidden/>
          </w:rPr>
          <w:fldChar w:fldCharType="separate"/>
        </w:r>
        <w:r w:rsidR="00A821D8">
          <w:rPr>
            <w:noProof/>
            <w:webHidden/>
          </w:rPr>
          <w:t>181</w:t>
        </w:r>
        <w:r>
          <w:rPr>
            <w:noProof/>
            <w:webHidden/>
          </w:rPr>
          <w:fldChar w:fldCharType="end"/>
        </w:r>
      </w:hyperlink>
    </w:p>
    <w:p w14:paraId="0EF5337F" w14:textId="718B8DFC"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41" w:history="1">
        <w:r w:rsidRPr="005E2BBA">
          <w:rPr>
            <w:rStyle w:val="Hiperveza"/>
            <w:rFonts w:ascii="Times New Roman" w:eastAsia="Calibri" w:hAnsi="Times New Roman" w:cs="Times New Roman"/>
            <w:b/>
            <w:noProof/>
            <w:lang w:eastAsia="en-US"/>
          </w:rPr>
          <w:t>Program (2041): Program socijalne pomoći</w:t>
        </w:r>
        <w:r>
          <w:rPr>
            <w:noProof/>
            <w:webHidden/>
          </w:rPr>
          <w:tab/>
        </w:r>
        <w:r>
          <w:rPr>
            <w:noProof/>
            <w:webHidden/>
          </w:rPr>
          <w:fldChar w:fldCharType="begin"/>
        </w:r>
        <w:r>
          <w:rPr>
            <w:noProof/>
            <w:webHidden/>
          </w:rPr>
          <w:instrText xml:space="preserve"> PAGEREF _Toc232981441 \h </w:instrText>
        </w:r>
        <w:r>
          <w:rPr>
            <w:noProof/>
            <w:webHidden/>
          </w:rPr>
        </w:r>
        <w:r>
          <w:rPr>
            <w:noProof/>
            <w:webHidden/>
          </w:rPr>
          <w:fldChar w:fldCharType="separate"/>
        </w:r>
        <w:r w:rsidR="00A821D8">
          <w:rPr>
            <w:noProof/>
            <w:webHidden/>
          </w:rPr>
          <w:t>188</w:t>
        </w:r>
        <w:r>
          <w:rPr>
            <w:noProof/>
            <w:webHidden/>
          </w:rPr>
          <w:fldChar w:fldCharType="end"/>
        </w:r>
      </w:hyperlink>
    </w:p>
    <w:p w14:paraId="6FC55844" w14:textId="65962ABD"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42" w:history="1">
        <w:r w:rsidRPr="005E2BBA">
          <w:rPr>
            <w:rStyle w:val="Hiperveza"/>
            <w:rFonts w:ascii="Times New Roman" w:eastAsia="Calibri" w:hAnsi="Times New Roman" w:cs="Times New Roman"/>
            <w:b/>
            <w:noProof/>
            <w:lang w:eastAsia="en-US"/>
          </w:rPr>
          <w:t>Program (2042): Zdravstvena zaštita</w:t>
        </w:r>
        <w:r>
          <w:rPr>
            <w:noProof/>
            <w:webHidden/>
          </w:rPr>
          <w:tab/>
        </w:r>
        <w:r>
          <w:rPr>
            <w:noProof/>
            <w:webHidden/>
          </w:rPr>
          <w:fldChar w:fldCharType="begin"/>
        </w:r>
        <w:r>
          <w:rPr>
            <w:noProof/>
            <w:webHidden/>
          </w:rPr>
          <w:instrText xml:space="preserve"> PAGEREF _Toc232981442 \h </w:instrText>
        </w:r>
        <w:r>
          <w:rPr>
            <w:noProof/>
            <w:webHidden/>
          </w:rPr>
        </w:r>
        <w:r>
          <w:rPr>
            <w:noProof/>
            <w:webHidden/>
          </w:rPr>
          <w:fldChar w:fldCharType="separate"/>
        </w:r>
        <w:r w:rsidR="00A821D8">
          <w:rPr>
            <w:noProof/>
            <w:webHidden/>
          </w:rPr>
          <w:t>208</w:t>
        </w:r>
        <w:r>
          <w:rPr>
            <w:noProof/>
            <w:webHidden/>
          </w:rPr>
          <w:fldChar w:fldCharType="end"/>
        </w:r>
      </w:hyperlink>
    </w:p>
    <w:p w14:paraId="00D80D56" w14:textId="0C9709E4"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43" w:history="1">
        <w:r w:rsidRPr="005E2BBA">
          <w:rPr>
            <w:rStyle w:val="Hiperveza"/>
            <w:rFonts w:ascii="Times New Roman" w:eastAsia="Calibri" w:hAnsi="Times New Roman" w:cs="Times New Roman"/>
            <w:b/>
            <w:noProof/>
            <w:lang w:eastAsia="en-US"/>
          </w:rPr>
          <w:t>Program (2043): Socijalna skrb i zaštita kroz institucije i udruge građana</w:t>
        </w:r>
        <w:r>
          <w:rPr>
            <w:noProof/>
            <w:webHidden/>
          </w:rPr>
          <w:tab/>
        </w:r>
        <w:r>
          <w:rPr>
            <w:noProof/>
            <w:webHidden/>
          </w:rPr>
          <w:fldChar w:fldCharType="begin"/>
        </w:r>
        <w:r>
          <w:rPr>
            <w:noProof/>
            <w:webHidden/>
          </w:rPr>
          <w:instrText xml:space="preserve"> PAGEREF _Toc232981443 \h </w:instrText>
        </w:r>
        <w:r>
          <w:rPr>
            <w:noProof/>
            <w:webHidden/>
          </w:rPr>
        </w:r>
        <w:r>
          <w:rPr>
            <w:noProof/>
            <w:webHidden/>
          </w:rPr>
          <w:fldChar w:fldCharType="separate"/>
        </w:r>
        <w:r w:rsidR="00A821D8">
          <w:rPr>
            <w:noProof/>
            <w:webHidden/>
          </w:rPr>
          <w:t>211</w:t>
        </w:r>
        <w:r>
          <w:rPr>
            <w:noProof/>
            <w:webHidden/>
          </w:rPr>
          <w:fldChar w:fldCharType="end"/>
        </w:r>
      </w:hyperlink>
    </w:p>
    <w:p w14:paraId="7B844D9E" w14:textId="0A0F275E"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44" w:history="1">
        <w:r w:rsidRPr="005E2BBA">
          <w:rPr>
            <w:rStyle w:val="Hiperveza"/>
            <w:rFonts w:ascii="Times New Roman" w:eastAsia="Calibri" w:hAnsi="Times New Roman" w:cs="Times New Roman"/>
            <w:b/>
            <w:noProof/>
            <w:lang w:eastAsia="en-US"/>
          </w:rPr>
          <w:t>Program (2052): Predškolski odgoj</w:t>
        </w:r>
        <w:r>
          <w:rPr>
            <w:noProof/>
            <w:webHidden/>
          </w:rPr>
          <w:tab/>
        </w:r>
        <w:r>
          <w:rPr>
            <w:noProof/>
            <w:webHidden/>
          </w:rPr>
          <w:fldChar w:fldCharType="begin"/>
        </w:r>
        <w:r>
          <w:rPr>
            <w:noProof/>
            <w:webHidden/>
          </w:rPr>
          <w:instrText xml:space="preserve"> PAGEREF _Toc232981444 \h </w:instrText>
        </w:r>
        <w:r>
          <w:rPr>
            <w:noProof/>
            <w:webHidden/>
          </w:rPr>
        </w:r>
        <w:r>
          <w:rPr>
            <w:noProof/>
            <w:webHidden/>
          </w:rPr>
          <w:fldChar w:fldCharType="separate"/>
        </w:r>
        <w:r w:rsidR="00A821D8">
          <w:rPr>
            <w:noProof/>
            <w:webHidden/>
          </w:rPr>
          <w:t>216</w:t>
        </w:r>
        <w:r>
          <w:rPr>
            <w:noProof/>
            <w:webHidden/>
          </w:rPr>
          <w:fldChar w:fldCharType="end"/>
        </w:r>
      </w:hyperlink>
    </w:p>
    <w:p w14:paraId="1DA29B24" w14:textId="1BE5159E" w:rsidR="0059051D" w:rsidRDefault="0059051D">
      <w:pPr>
        <w:pStyle w:val="Sadraj4"/>
        <w:tabs>
          <w:tab w:val="left" w:pos="1540"/>
          <w:tab w:val="right" w:leader="dot" w:pos="14560"/>
        </w:tabs>
        <w:rPr>
          <w:rFonts w:eastAsiaTheme="minorEastAsia"/>
          <w:noProof/>
          <w:kern w:val="2"/>
          <w:sz w:val="24"/>
          <w:szCs w:val="24"/>
          <w14:ligatures w14:val="standardContextual"/>
        </w:rPr>
      </w:pPr>
      <w:hyperlink w:anchor="_Toc232981445" w:history="1">
        <w:r w:rsidRPr="005E2BBA">
          <w:rPr>
            <w:rStyle w:val="Hiperveza"/>
            <w:rFonts w:eastAsia="Calibri"/>
            <w:noProof/>
          </w:rPr>
          <w:t>3.3.2.2.</w:t>
        </w:r>
        <w:r>
          <w:rPr>
            <w:rFonts w:eastAsiaTheme="minorEastAsia"/>
            <w:noProof/>
            <w:kern w:val="2"/>
            <w:sz w:val="24"/>
            <w:szCs w:val="24"/>
            <w14:ligatures w14:val="standardContextual"/>
          </w:rPr>
          <w:tab/>
        </w:r>
        <w:r w:rsidRPr="005E2BBA">
          <w:rPr>
            <w:rStyle w:val="Hiperveza"/>
            <w:rFonts w:eastAsia="Calibri"/>
            <w:noProof/>
          </w:rPr>
          <w:t>GLAVA: (020 03) USTANOVA U KULTURI</w:t>
        </w:r>
        <w:r>
          <w:rPr>
            <w:noProof/>
            <w:webHidden/>
          </w:rPr>
          <w:tab/>
        </w:r>
        <w:r>
          <w:rPr>
            <w:noProof/>
            <w:webHidden/>
          </w:rPr>
          <w:fldChar w:fldCharType="begin"/>
        </w:r>
        <w:r>
          <w:rPr>
            <w:noProof/>
            <w:webHidden/>
          </w:rPr>
          <w:instrText xml:space="preserve"> PAGEREF _Toc232981445 \h </w:instrText>
        </w:r>
        <w:r>
          <w:rPr>
            <w:noProof/>
            <w:webHidden/>
          </w:rPr>
        </w:r>
        <w:r>
          <w:rPr>
            <w:noProof/>
            <w:webHidden/>
          </w:rPr>
          <w:fldChar w:fldCharType="separate"/>
        </w:r>
        <w:r w:rsidR="00A821D8">
          <w:rPr>
            <w:noProof/>
            <w:webHidden/>
          </w:rPr>
          <w:t>218</w:t>
        </w:r>
        <w:r>
          <w:rPr>
            <w:noProof/>
            <w:webHidden/>
          </w:rPr>
          <w:fldChar w:fldCharType="end"/>
        </w:r>
      </w:hyperlink>
    </w:p>
    <w:p w14:paraId="022672F2" w14:textId="14BE009B"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46" w:history="1">
        <w:r w:rsidRPr="005E2BBA">
          <w:rPr>
            <w:rStyle w:val="Hiperveza"/>
            <w:rFonts w:eastAsia="Calibri"/>
            <w:noProof/>
          </w:rPr>
          <w:t>Program (2031): Javna ustanova u kulturi</w:t>
        </w:r>
        <w:r>
          <w:rPr>
            <w:noProof/>
            <w:webHidden/>
          </w:rPr>
          <w:tab/>
        </w:r>
        <w:r>
          <w:rPr>
            <w:noProof/>
            <w:webHidden/>
          </w:rPr>
          <w:fldChar w:fldCharType="begin"/>
        </w:r>
        <w:r>
          <w:rPr>
            <w:noProof/>
            <w:webHidden/>
          </w:rPr>
          <w:instrText xml:space="preserve"> PAGEREF _Toc232981446 \h </w:instrText>
        </w:r>
        <w:r>
          <w:rPr>
            <w:noProof/>
            <w:webHidden/>
          </w:rPr>
        </w:r>
        <w:r>
          <w:rPr>
            <w:noProof/>
            <w:webHidden/>
          </w:rPr>
          <w:fldChar w:fldCharType="separate"/>
        </w:r>
        <w:r w:rsidR="00A821D8">
          <w:rPr>
            <w:noProof/>
            <w:webHidden/>
          </w:rPr>
          <w:t>218</w:t>
        </w:r>
        <w:r>
          <w:rPr>
            <w:noProof/>
            <w:webHidden/>
          </w:rPr>
          <w:fldChar w:fldCharType="end"/>
        </w:r>
      </w:hyperlink>
    </w:p>
    <w:p w14:paraId="1814709A" w14:textId="5E9C26C6" w:rsidR="0059051D" w:rsidRDefault="0059051D">
      <w:pPr>
        <w:pStyle w:val="Sadraj4"/>
        <w:tabs>
          <w:tab w:val="left" w:pos="1540"/>
          <w:tab w:val="right" w:leader="dot" w:pos="14560"/>
        </w:tabs>
        <w:rPr>
          <w:rFonts w:eastAsiaTheme="minorEastAsia"/>
          <w:noProof/>
          <w:kern w:val="2"/>
          <w:sz w:val="24"/>
          <w:szCs w:val="24"/>
          <w14:ligatures w14:val="standardContextual"/>
        </w:rPr>
      </w:pPr>
      <w:hyperlink w:anchor="_Toc232981447" w:history="1">
        <w:r w:rsidRPr="005E2BBA">
          <w:rPr>
            <w:rStyle w:val="Hiperveza"/>
            <w:rFonts w:eastAsia="Calibri"/>
            <w:noProof/>
          </w:rPr>
          <w:t>3.3.2.3.</w:t>
        </w:r>
        <w:r>
          <w:rPr>
            <w:rFonts w:eastAsiaTheme="minorEastAsia"/>
            <w:noProof/>
            <w:kern w:val="2"/>
            <w:sz w:val="24"/>
            <w:szCs w:val="24"/>
            <w14:ligatures w14:val="standardContextual"/>
          </w:rPr>
          <w:tab/>
        </w:r>
        <w:r w:rsidRPr="005E2BBA">
          <w:rPr>
            <w:rStyle w:val="Hiperveza"/>
            <w:rFonts w:eastAsia="Calibri"/>
            <w:noProof/>
          </w:rPr>
          <w:t>GLAVA: (020 04) USTANOVA SOCIJALNE SKRBI</w:t>
        </w:r>
        <w:r>
          <w:rPr>
            <w:noProof/>
            <w:webHidden/>
          </w:rPr>
          <w:tab/>
        </w:r>
        <w:r>
          <w:rPr>
            <w:noProof/>
            <w:webHidden/>
          </w:rPr>
          <w:fldChar w:fldCharType="begin"/>
        </w:r>
        <w:r>
          <w:rPr>
            <w:noProof/>
            <w:webHidden/>
          </w:rPr>
          <w:instrText xml:space="preserve"> PAGEREF _Toc232981447 \h </w:instrText>
        </w:r>
        <w:r>
          <w:rPr>
            <w:noProof/>
            <w:webHidden/>
          </w:rPr>
        </w:r>
        <w:r>
          <w:rPr>
            <w:noProof/>
            <w:webHidden/>
          </w:rPr>
          <w:fldChar w:fldCharType="separate"/>
        </w:r>
        <w:r w:rsidR="00A821D8">
          <w:rPr>
            <w:noProof/>
            <w:webHidden/>
          </w:rPr>
          <w:t>218</w:t>
        </w:r>
        <w:r>
          <w:rPr>
            <w:noProof/>
            <w:webHidden/>
          </w:rPr>
          <w:fldChar w:fldCharType="end"/>
        </w:r>
      </w:hyperlink>
    </w:p>
    <w:p w14:paraId="633090BF" w14:textId="33EB7F46"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48" w:history="1">
        <w:r w:rsidRPr="005E2BBA">
          <w:rPr>
            <w:rStyle w:val="Hiperveza"/>
            <w:rFonts w:eastAsia="Calibri"/>
            <w:noProof/>
          </w:rPr>
          <w:t>Program (2044): Socijalna skrb – Dom za starije i nemoćne osobe Konavle</w:t>
        </w:r>
        <w:r>
          <w:rPr>
            <w:noProof/>
            <w:webHidden/>
          </w:rPr>
          <w:tab/>
        </w:r>
        <w:r>
          <w:rPr>
            <w:noProof/>
            <w:webHidden/>
          </w:rPr>
          <w:fldChar w:fldCharType="begin"/>
        </w:r>
        <w:r>
          <w:rPr>
            <w:noProof/>
            <w:webHidden/>
          </w:rPr>
          <w:instrText xml:space="preserve"> PAGEREF _Toc232981448 \h </w:instrText>
        </w:r>
        <w:r>
          <w:rPr>
            <w:noProof/>
            <w:webHidden/>
          </w:rPr>
        </w:r>
        <w:r>
          <w:rPr>
            <w:noProof/>
            <w:webHidden/>
          </w:rPr>
          <w:fldChar w:fldCharType="separate"/>
        </w:r>
        <w:r w:rsidR="00A821D8">
          <w:rPr>
            <w:noProof/>
            <w:webHidden/>
          </w:rPr>
          <w:t>218</w:t>
        </w:r>
        <w:r>
          <w:rPr>
            <w:noProof/>
            <w:webHidden/>
          </w:rPr>
          <w:fldChar w:fldCharType="end"/>
        </w:r>
      </w:hyperlink>
    </w:p>
    <w:p w14:paraId="592DE732" w14:textId="4A4544D3" w:rsidR="0059051D" w:rsidRDefault="0059051D">
      <w:pPr>
        <w:pStyle w:val="Sadraj4"/>
        <w:tabs>
          <w:tab w:val="left" w:pos="1540"/>
          <w:tab w:val="right" w:leader="dot" w:pos="14560"/>
        </w:tabs>
        <w:rPr>
          <w:rFonts w:eastAsiaTheme="minorEastAsia"/>
          <w:noProof/>
          <w:kern w:val="2"/>
          <w:sz w:val="24"/>
          <w:szCs w:val="24"/>
          <w14:ligatures w14:val="standardContextual"/>
        </w:rPr>
      </w:pPr>
      <w:hyperlink w:anchor="_Toc232981449" w:history="1">
        <w:r w:rsidRPr="005E2BBA">
          <w:rPr>
            <w:rStyle w:val="Hiperveza"/>
            <w:rFonts w:eastAsia="Calibri"/>
            <w:noProof/>
          </w:rPr>
          <w:t>3.3.2.4.</w:t>
        </w:r>
        <w:r>
          <w:rPr>
            <w:rFonts w:eastAsiaTheme="minorEastAsia"/>
            <w:noProof/>
            <w:kern w:val="2"/>
            <w:sz w:val="24"/>
            <w:szCs w:val="24"/>
            <w14:ligatures w14:val="standardContextual"/>
          </w:rPr>
          <w:tab/>
        </w:r>
        <w:r w:rsidRPr="005E2BBA">
          <w:rPr>
            <w:rStyle w:val="Hiperveza"/>
            <w:rFonts w:eastAsia="Calibri"/>
            <w:noProof/>
          </w:rPr>
          <w:t>GLAVA: (020 05) USTANOVA PREDŠKOLSKOG ODGOJA</w:t>
        </w:r>
        <w:r>
          <w:rPr>
            <w:noProof/>
            <w:webHidden/>
          </w:rPr>
          <w:tab/>
        </w:r>
        <w:r>
          <w:rPr>
            <w:noProof/>
            <w:webHidden/>
          </w:rPr>
          <w:fldChar w:fldCharType="begin"/>
        </w:r>
        <w:r>
          <w:rPr>
            <w:noProof/>
            <w:webHidden/>
          </w:rPr>
          <w:instrText xml:space="preserve"> PAGEREF _Toc232981449 \h </w:instrText>
        </w:r>
        <w:r>
          <w:rPr>
            <w:noProof/>
            <w:webHidden/>
          </w:rPr>
        </w:r>
        <w:r>
          <w:rPr>
            <w:noProof/>
            <w:webHidden/>
          </w:rPr>
          <w:fldChar w:fldCharType="separate"/>
        </w:r>
        <w:r w:rsidR="00A821D8">
          <w:rPr>
            <w:noProof/>
            <w:webHidden/>
          </w:rPr>
          <w:t>218</w:t>
        </w:r>
        <w:r>
          <w:rPr>
            <w:noProof/>
            <w:webHidden/>
          </w:rPr>
          <w:fldChar w:fldCharType="end"/>
        </w:r>
      </w:hyperlink>
    </w:p>
    <w:p w14:paraId="510B5403" w14:textId="45CA1722"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50" w:history="1">
        <w:r w:rsidRPr="005E2BBA">
          <w:rPr>
            <w:rStyle w:val="Hiperveza"/>
            <w:rFonts w:eastAsia="Calibri"/>
            <w:noProof/>
          </w:rPr>
          <w:t>Program (2051): Odgoj, naobrazba i skrb o predškolskoj djeci</w:t>
        </w:r>
        <w:r>
          <w:rPr>
            <w:noProof/>
            <w:webHidden/>
          </w:rPr>
          <w:tab/>
        </w:r>
        <w:r>
          <w:rPr>
            <w:noProof/>
            <w:webHidden/>
          </w:rPr>
          <w:fldChar w:fldCharType="begin"/>
        </w:r>
        <w:r>
          <w:rPr>
            <w:noProof/>
            <w:webHidden/>
          </w:rPr>
          <w:instrText xml:space="preserve"> PAGEREF _Toc232981450 \h </w:instrText>
        </w:r>
        <w:r>
          <w:rPr>
            <w:noProof/>
            <w:webHidden/>
          </w:rPr>
        </w:r>
        <w:r>
          <w:rPr>
            <w:noProof/>
            <w:webHidden/>
          </w:rPr>
          <w:fldChar w:fldCharType="separate"/>
        </w:r>
        <w:r w:rsidR="00A821D8">
          <w:rPr>
            <w:noProof/>
            <w:webHidden/>
          </w:rPr>
          <w:t>218</w:t>
        </w:r>
        <w:r>
          <w:rPr>
            <w:noProof/>
            <w:webHidden/>
          </w:rPr>
          <w:fldChar w:fldCharType="end"/>
        </w:r>
      </w:hyperlink>
    </w:p>
    <w:p w14:paraId="3AA2D1AE" w14:textId="40FB702E"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51" w:history="1">
        <w:r w:rsidRPr="005E2BBA">
          <w:rPr>
            <w:rStyle w:val="Hiperveza"/>
            <w:rFonts w:eastAsia="Calibri"/>
            <w:noProof/>
          </w:rPr>
          <w:t>3.3.3.</w:t>
        </w:r>
        <w:r>
          <w:rPr>
            <w:rFonts w:eastAsiaTheme="minorEastAsia"/>
            <w:i w:val="0"/>
            <w:iCs w:val="0"/>
            <w:noProof/>
            <w:kern w:val="2"/>
            <w:sz w:val="24"/>
            <w:szCs w:val="24"/>
            <w14:ligatures w14:val="standardContextual"/>
          </w:rPr>
          <w:tab/>
        </w:r>
        <w:r w:rsidRPr="005E2BBA">
          <w:rPr>
            <w:rStyle w:val="Hiperveza"/>
            <w:rFonts w:eastAsia="Calibri"/>
            <w:noProof/>
          </w:rPr>
          <w:t>RAZDJEL: (030) UPRAVNI ODJEL ZA KOMUNALNI SUSTAV I GOSPODARENJE NEKRETNINAMA</w:t>
        </w:r>
        <w:r>
          <w:rPr>
            <w:noProof/>
            <w:webHidden/>
          </w:rPr>
          <w:tab/>
        </w:r>
        <w:r>
          <w:rPr>
            <w:noProof/>
            <w:webHidden/>
          </w:rPr>
          <w:fldChar w:fldCharType="begin"/>
        </w:r>
        <w:r>
          <w:rPr>
            <w:noProof/>
            <w:webHidden/>
          </w:rPr>
          <w:instrText xml:space="preserve"> PAGEREF _Toc232981451 \h </w:instrText>
        </w:r>
        <w:r>
          <w:rPr>
            <w:noProof/>
            <w:webHidden/>
          </w:rPr>
        </w:r>
        <w:r>
          <w:rPr>
            <w:noProof/>
            <w:webHidden/>
          </w:rPr>
          <w:fldChar w:fldCharType="separate"/>
        </w:r>
        <w:r w:rsidR="00A821D8">
          <w:rPr>
            <w:noProof/>
            <w:webHidden/>
          </w:rPr>
          <w:t>219</w:t>
        </w:r>
        <w:r>
          <w:rPr>
            <w:noProof/>
            <w:webHidden/>
          </w:rPr>
          <w:fldChar w:fldCharType="end"/>
        </w:r>
      </w:hyperlink>
    </w:p>
    <w:p w14:paraId="1352CAD8" w14:textId="18C4D011" w:rsidR="0059051D" w:rsidRDefault="0059051D">
      <w:pPr>
        <w:pStyle w:val="Sadraj4"/>
        <w:tabs>
          <w:tab w:val="left" w:pos="1540"/>
          <w:tab w:val="right" w:leader="dot" w:pos="14560"/>
        </w:tabs>
        <w:rPr>
          <w:rFonts w:eastAsiaTheme="minorEastAsia"/>
          <w:noProof/>
          <w:kern w:val="2"/>
          <w:sz w:val="24"/>
          <w:szCs w:val="24"/>
          <w14:ligatures w14:val="standardContextual"/>
        </w:rPr>
      </w:pPr>
      <w:hyperlink w:anchor="_Toc232981452" w:history="1">
        <w:r w:rsidRPr="005E2BBA">
          <w:rPr>
            <w:rStyle w:val="Hiperveza"/>
            <w:rFonts w:ascii="Times New Roman" w:eastAsia="Calibri" w:hAnsi="Times New Roman" w:cs="Times New Roman"/>
            <w:b/>
            <w:noProof/>
            <w:lang w:eastAsia="en-US"/>
          </w:rPr>
          <w:t>3.3.3.1.</w:t>
        </w:r>
        <w:r>
          <w:rPr>
            <w:rFonts w:eastAsiaTheme="minorEastAsia"/>
            <w:noProof/>
            <w:kern w:val="2"/>
            <w:sz w:val="24"/>
            <w:szCs w:val="24"/>
            <w14:ligatures w14:val="standardContextual"/>
          </w:rPr>
          <w:tab/>
        </w:r>
        <w:r w:rsidRPr="005E2BBA">
          <w:rPr>
            <w:rStyle w:val="Hiperveza"/>
            <w:rFonts w:ascii="Times New Roman" w:eastAsia="Calibri" w:hAnsi="Times New Roman" w:cs="Times New Roman"/>
            <w:b/>
            <w:noProof/>
            <w:lang w:eastAsia="en-US"/>
          </w:rPr>
          <w:t>GLAVA: (030 01) UO ZA KOMUNALNI SUSTAV I GOSPODARENJE NEKRETNINAMA</w:t>
        </w:r>
        <w:r>
          <w:rPr>
            <w:noProof/>
            <w:webHidden/>
          </w:rPr>
          <w:tab/>
        </w:r>
        <w:r>
          <w:rPr>
            <w:noProof/>
            <w:webHidden/>
          </w:rPr>
          <w:fldChar w:fldCharType="begin"/>
        </w:r>
        <w:r>
          <w:rPr>
            <w:noProof/>
            <w:webHidden/>
          </w:rPr>
          <w:instrText xml:space="preserve"> PAGEREF _Toc232981452 \h </w:instrText>
        </w:r>
        <w:r>
          <w:rPr>
            <w:noProof/>
            <w:webHidden/>
          </w:rPr>
        </w:r>
        <w:r>
          <w:rPr>
            <w:noProof/>
            <w:webHidden/>
          </w:rPr>
          <w:fldChar w:fldCharType="separate"/>
        </w:r>
        <w:r w:rsidR="00A821D8">
          <w:rPr>
            <w:noProof/>
            <w:webHidden/>
          </w:rPr>
          <w:t>223</w:t>
        </w:r>
        <w:r>
          <w:rPr>
            <w:noProof/>
            <w:webHidden/>
          </w:rPr>
          <w:fldChar w:fldCharType="end"/>
        </w:r>
      </w:hyperlink>
    </w:p>
    <w:p w14:paraId="6A3C70A5" w14:textId="2537B34A"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53" w:history="1">
        <w:r w:rsidRPr="005E2BBA">
          <w:rPr>
            <w:rStyle w:val="Hiperveza"/>
            <w:rFonts w:ascii="Times New Roman" w:eastAsia="Calibri" w:hAnsi="Times New Roman" w:cs="Times New Roman"/>
            <w:b/>
            <w:noProof/>
            <w:lang w:eastAsia="en-US"/>
          </w:rPr>
          <w:t>Program (2012): Jamstveni fond i otplate kredita</w:t>
        </w:r>
        <w:r>
          <w:rPr>
            <w:noProof/>
            <w:webHidden/>
          </w:rPr>
          <w:tab/>
        </w:r>
        <w:r>
          <w:rPr>
            <w:noProof/>
            <w:webHidden/>
          </w:rPr>
          <w:fldChar w:fldCharType="begin"/>
        </w:r>
        <w:r>
          <w:rPr>
            <w:noProof/>
            <w:webHidden/>
          </w:rPr>
          <w:instrText xml:space="preserve"> PAGEREF _Toc232981453 \h </w:instrText>
        </w:r>
        <w:r>
          <w:rPr>
            <w:noProof/>
            <w:webHidden/>
          </w:rPr>
        </w:r>
        <w:r>
          <w:rPr>
            <w:noProof/>
            <w:webHidden/>
          </w:rPr>
          <w:fldChar w:fldCharType="separate"/>
        </w:r>
        <w:r w:rsidR="00A821D8">
          <w:rPr>
            <w:noProof/>
            <w:webHidden/>
          </w:rPr>
          <w:t>224</w:t>
        </w:r>
        <w:r>
          <w:rPr>
            <w:noProof/>
            <w:webHidden/>
          </w:rPr>
          <w:fldChar w:fldCharType="end"/>
        </w:r>
      </w:hyperlink>
    </w:p>
    <w:p w14:paraId="2BBA6247" w14:textId="5FA90793"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54" w:history="1">
        <w:r w:rsidRPr="005E2BBA">
          <w:rPr>
            <w:rStyle w:val="Hiperveza"/>
            <w:rFonts w:ascii="Times New Roman" w:eastAsia="Calibri" w:hAnsi="Times New Roman" w:cs="Times New Roman"/>
            <w:b/>
            <w:noProof/>
            <w:lang w:eastAsia="en-US"/>
          </w:rPr>
          <w:t>Program (2072): Redovan rad udruga za vatrogastvo</w:t>
        </w:r>
        <w:r>
          <w:rPr>
            <w:noProof/>
            <w:webHidden/>
          </w:rPr>
          <w:tab/>
        </w:r>
        <w:r>
          <w:rPr>
            <w:noProof/>
            <w:webHidden/>
          </w:rPr>
          <w:fldChar w:fldCharType="begin"/>
        </w:r>
        <w:r>
          <w:rPr>
            <w:noProof/>
            <w:webHidden/>
          </w:rPr>
          <w:instrText xml:space="preserve"> PAGEREF _Toc232981454 \h </w:instrText>
        </w:r>
        <w:r>
          <w:rPr>
            <w:noProof/>
            <w:webHidden/>
          </w:rPr>
        </w:r>
        <w:r>
          <w:rPr>
            <w:noProof/>
            <w:webHidden/>
          </w:rPr>
          <w:fldChar w:fldCharType="separate"/>
        </w:r>
        <w:r w:rsidR="00A821D8">
          <w:rPr>
            <w:noProof/>
            <w:webHidden/>
          </w:rPr>
          <w:t>227</w:t>
        </w:r>
        <w:r>
          <w:rPr>
            <w:noProof/>
            <w:webHidden/>
          </w:rPr>
          <w:fldChar w:fldCharType="end"/>
        </w:r>
      </w:hyperlink>
    </w:p>
    <w:p w14:paraId="28590CB2" w14:textId="463F7335"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55" w:history="1">
        <w:r w:rsidRPr="005E2BBA">
          <w:rPr>
            <w:rStyle w:val="Hiperveza"/>
            <w:rFonts w:ascii="Times New Roman" w:eastAsia="Calibri" w:hAnsi="Times New Roman" w:cs="Times New Roman"/>
            <w:b/>
            <w:noProof/>
            <w:lang w:eastAsia="en-US"/>
          </w:rPr>
          <w:t>Program (2073): Pripremne aktivnosti u protupožarnoj zaštiti, te zaštita i spašavanje</w:t>
        </w:r>
        <w:r>
          <w:rPr>
            <w:noProof/>
            <w:webHidden/>
          </w:rPr>
          <w:tab/>
        </w:r>
        <w:r>
          <w:rPr>
            <w:noProof/>
            <w:webHidden/>
          </w:rPr>
          <w:fldChar w:fldCharType="begin"/>
        </w:r>
        <w:r>
          <w:rPr>
            <w:noProof/>
            <w:webHidden/>
          </w:rPr>
          <w:instrText xml:space="preserve"> PAGEREF _Toc232981455 \h </w:instrText>
        </w:r>
        <w:r>
          <w:rPr>
            <w:noProof/>
            <w:webHidden/>
          </w:rPr>
        </w:r>
        <w:r>
          <w:rPr>
            <w:noProof/>
            <w:webHidden/>
          </w:rPr>
          <w:fldChar w:fldCharType="separate"/>
        </w:r>
        <w:r w:rsidR="00A821D8">
          <w:rPr>
            <w:noProof/>
            <w:webHidden/>
          </w:rPr>
          <w:t>230</w:t>
        </w:r>
        <w:r>
          <w:rPr>
            <w:noProof/>
            <w:webHidden/>
          </w:rPr>
          <w:fldChar w:fldCharType="end"/>
        </w:r>
      </w:hyperlink>
    </w:p>
    <w:p w14:paraId="7B48C667" w14:textId="55FF62CD"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56" w:history="1">
        <w:r w:rsidRPr="005E2BBA">
          <w:rPr>
            <w:rStyle w:val="Hiperveza"/>
            <w:rFonts w:ascii="Times New Roman" w:eastAsia="Calibri" w:hAnsi="Times New Roman" w:cs="Times New Roman"/>
            <w:b/>
            <w:noProof/>
            <w:lang w:eastAsia="en-US"/>
          </w:rPr>
          <w:t>Program (2091): Održavanje komunalne infrastrukture</w:t>
        </w:r>
        <w:r>
          <w:rPr>
            <w:noProof/>
            <w:webHidden/>
          </w:rPr>
          <w:tab/>
        </w:r>
        <w:r>
          <w:rPr>
            <w:noProof/>
            <w:webHidden/>
          </w:rPr>
          <w:fldChar w:fldCharType="begin"/>
        </w:r>
        <w:r>
          <w:rPr>
            <w:noProof/>
            <w:webHidden/>
          </w:rPr>
          <w:instrText xml:space="preserve"> PAGEREF _Toc232981456 \h </w:instrText>
        </w:r>
        <w:r>
          <w:rPr>
            <w:noProof/>
            <w:webHidden/>
          </w:rPr>
        </w:r>
        <w:r>
          <w:rPr>
            <w:noProof/>
            <w:webHidden/>
          </w:rPr>
          <w:fldChar w:fldCharType="separate"/>
        </w:r>
        <w:r w:rsidR="00A821D8">
          <w:rPr>
            <w:noProof/>
            <w:webHidden/>
          </w:rPr>
          <w:t>241</w:t>
        </w:r>
        <w:r>
          <w:rPr>
            <w:noProof/>
            <w:webHidden/>
          </w:rPr>
          <w:fldChar w:fldCharType="end"/>
        </w:r>
      </w:hyperlink>
    </w:p>
    <w:p w14:paraId="31F05109" w14:textId="22A471A6"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57" w:history="1">
        <w:r w:rsidRPr="005E2BBA">
          <w:rPr>
            <w:rStyle w:val="Hiperveza"/>
            <w:rFonts w:ascii="Times New Roman" w:eastAsia="Calibri" w:hAnsi="Times New Roman" w:cs="Times New Roman"/>
            <w:b/>
            <w:noProof/>
            <w:lang w:eastAsia="en-US"/>
          </w:rPr>
          <w:t>Program (2092): Gradnja komunalne infrastrukture</w:t>
        </w:r>
        <w:r>
          <w:rPr>
            <w:noProof/>
            <w:webHidden/>
          </w:rPr>
          <w:tab/>
        </w:r>
        <w:r>
          <w:rPr>
            <w:noProof/>
            <w:webHidden/>
          </w:rPr>
          <w:fldChar w:fldCharType="begin"/>
        </w:r>
        <w:r>
          <w:rPr>
            <w:noProof/>
            <w:webHidden/>
          </w:rPr>
          <w:instrText xml:space="preserve"> PAGEREF _Toc232981457 \h </w:instrText>
        </w:r>
        <w:r>
          <w:rPr>
            <w:noProof/>
            <w:webHidden/>
          </w:rPr>
        </w:r>
        <w:r>
          <w:rPr>
            <w:noProof/>
            <w:webHidden/>
          </w:rPr>
          <w:fldChar w:fldCharType="separate"/>
        </w:r>
        <w:r w:rsidR="00A821D8">
          <w:rPr>
            <w:noProof/>
            <w:webHidden/>
          </w:rPr>
          <w:t>259</w:t>
        </w:r>
        <w:r>
          <w:rPr>
            <w:noProof/>
            <w:webHidden/>
          </w:rPr>
          <w:fldChar w:fldCharType="end"/>
        </w:r>
      </w:hyperlink>
    </w:p>
    <w:p w14:paraId="6B61843C" w14:textId="7607607F"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58" w:history="1">
        <w:r w:rsidRPr="005E2BBA">
          <w:rPr>
            <w:rStyle w:val="Hiperveza"/>
            <w:rFonts w:ascii="Times New Roman" w:eastAsia="Calibri" w:hAnsi="Times New Roman" w:cs="Times New Roman"/>
            <w:b/>
            <w:noProof/>
            <w:lang w:eastAsia="en-US"/>
          </w:rPr>
          <w:t>Program (2093): Izgradnja objekata i uređaja, te nabava oprema za prijevoz putnika, održavanje čistoće, odlaganje komunalnog otpada i tržnice na malo</w:t>
        </w:r>
        <w:r>
          <w:rPr>
            <w:noProof/>
            <w:webHidden/>
          </w:rPr>
          <w:tab/>
        </w:r>
        <w:r>
          <w:rPr>
            <w:noProof/>
            <w:webHidden/>
          </w:rPr>
          <w:fldChar w:fldCharType="begin"/>
        </w:r>
        <w:r>
          <w:rPr>
            <w:noProof/>
            <w:webHidden/>
          </w:rPr>
          <w:instrText xml:space="preserve"> PAGEREF _Toc232981458 \h </w:instrText>
        </w:r>
        <w:r>
          <w:rPr>
            <w:noProof/>
            <w:webHidden/>
          </w:rPr>
        </w:r>
        <w:r>
          <w:rPr>
            <w:noProof/>
            <w:webHidden/>
          </w:rPr>
          <w:fldChar w:fldCharType="separate"/>
        </w:r>
        <w:r w:rsidR="00A821D8">
          <w:rPr>
            <w:noProof/>
            <w:webHidden/>
          </w:rPr>
          <w:t>274</w:t>
        </w:r>
        <w:r>
          <w:rPr>
            <w:noProof/>
            <w:webHidden/>
          </w:rPr>
          <w:fldChar w:fldCharType="end"/>
        </w:r>
      </w:hyperlink>
    </w:p>
    <w:p w14:paraId="171AD3F5" w14:textId="73946EFD"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59" w:history="1">
        <w:r w:rsidRPr="005E2BBA">
          <w:rPr>
            <w:rStyle w:val="Hiperveza"/>
            <w:rFonts w:ascii="Times New Roman" w:eastAsia="Calibri" w:hAnsi="Times New Roman" w:cs="Times New Roman"/>
            <w:b/>
            <w:noProof/>
            <w:lang w:eastAsia="en-US"/>
          </w:rPr>
          <w:t>Program (2094): Plan gradnje komunalnih vodnih građevina: Izgradnja objekata i uređaja, te nabava opreme za opskrbu pitkom vodom, te odvodnju i pročišćavanje otpadnih voda</w:t>
        </w:r>
        <w:r>
          <w:rPr>
            <w:noProof/>
            <w:webHidden/>
          </w:rPr>
          <w:tab/>
        </w:r>
        <w:r>
          <w:rPr>
            <w:noProof/>
            <w:webHidden/>
          </w:rPr>
          <w:fldChar w:fldCharType="begin"/>
        </w:r>
        <w:r>
          <w:rPr>
            <w:noProof/>
            <w:webHidden/>
          </w:rPr>
          <w:instrText xml:space="preserve"> PAGEREF _Toc232981459 \h </w:instrText>
        </w:r>
        <w:r>
          <w:rPr>
            <w:noProof/>
            <w:webHidden/>
          </w:rPr>
        </w:r>
        <w:r>
          <w:rPr>
            <w:noProof/>
            <w:webHidden/>
          </w:rPr>
          <w:fldChar w:fldCharType="separate"/>
        </w:r>
        <w:r w:rsidR="00A821D8">
          <w:rPr>
            <w:noProof/>
            <w:webHidden/>
          </w:rPr>
          <w:t>279</w:t>
        </w:r>
        <w:r>
          <w:rPr>
            <w:noProof/>
            <w:webHidden/>
          </w:rPr>
          <w:fldChar w:fldCharType="end"/>
        </w:r>
      </w:hyperlink>
    </w:p>
    <w:p w14:paraId="7B420FAE" w14:textId="711DF4F0"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60" w:history="1">
        <w:r w:rsidRPr="005E2BBA">
          <w:rPr>
            <w:rStyle w:val="Hiperveza"/>
            <w:rFonts w:ascii="Times New Roman" w:eastAsia="Calibri" w:hAnsi="Times New Roman" w:cs="Times New Roman"/>
            <w:b/>
            <w:noProof/>
            <w:lang w:eastAsia="en-US"/>
          </w:rPr>
          <w:t>Program (2095): Energetska učinkovitost</w:t>
        </w:r>
        <w:r>
          <w:rPr>
            <w:noProof/>
            <w:webHidden/>
          </w:rPr>
          <w:tab/>
        </w:r>
        <w:r>
          <w:rPr>
            <w:noProof/>
            <w:webHidden/>
          </w:rPr>
          <w:fldChar w:fldCharType="begin"/>
        </w:r>
        <w:r>
          <w:rPr>
            <w:noProof/>
            <w:webHidden/>
          </w:rPr>
          <w:instrText xml:space="preserve"> PAGEREF _Toc232981460 \h </w:instrText>
        </w:r>
        <w:r>
          <w:rPr>
            <w:noProof/>
            <w:webHidden/>
          </w:rPr>
        </w:r>
        <w:r>
          <w:rPr>
            <w:noProof/>
            <w:webHidden/>
          </w:rPr>
          <w:fldChar w:fldCharType="separate"/>
        </w:r>
        <w:r w:rsidR="00A821D8">
          <w:rPr>
            <w:noProof/>
            <w:webHidden/>
          </w:rPr>
          <w:t>286</w:t>
        </w:r>
        <w:r>
          <w:rPr>
            <w:noProof/>
            <w:webHidden/>
          </w:rPr>
          <w:fldChar w:fldCharType="end"/>
        </w:r>
      </w:hyperlink>
    </w:p>
    <w:p w14:paraId="30607076" w14:textId="39AB437D"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61" w:history="1">
        <w:r w:rsidRPr="005E2BBA">
          <w:rPr>
            <w:rStyle w:val="Hiperveza"/>
            <w:rFonts w:ascii="Times New Roman" w:eastAsia="Calibri" w:hAnsi="Times New Roman" w:cs="Times New Roman"/>
            <w:b/>
            <w:noProof/>
            <w:lang w:eastAsia="en-US"/>
          </w:rPr>
          <w:t>Program (2096): Program gradnje građevina za gospodarenje komunalnim otpadom</w:t>
        </w:r>
        <w:r>
          <w:rPr>
            <w:noProof/>
            <w:webHidden/>
          </w:rPr>
          <w:tab/>
        </w:r>
        <w:r>
          <w:rPr>
            <w:noProof/>
            <w:webHidden/>
          </w:rPr>
          <w:fldChar w:fldCharType="begin"/>
        </w:r>
        <w:r>
          <w:rPr>
            <w:noProof/>
            <w:webHidden/>
          </w:rPr>
          <w:instrText xml:space="preserve"> PAGEREF _Toc232981461 \h </w:instrText>
        </w:r>
        <w:r>
          <w:rPr>
            <w:noProof/>
            <w:webHidden/>
          </w:rPr>
        </w:r>
        <w:r>
          <w:rPr>
            <w:noProof/>
            <w:webHidden/>
          </w:rPr>
          <w:fldChar w:fldCharType="separate"/>
        </w:r>
        <w:r w:rsidR="00A821D8">
          <w:rPr>
            <w:noProof/>
            <w:webHidden/>
          </w:rPr>
          <w:t>289</w:t>
        </w:r>
        <w:r>
          <w:rPr>
            <w:noProof/>
            <w:webHidden/>
          </w:rPr>
          <w:fldChar w:fldCharType="end"/>
        </w:r>
      </w:hyperlink>
    </w:p>
    <w:p w14:paraId="7EC72838" w14:textId="5865DE66"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62" w:history="1">
        <w:r w:rsidRPr="005E2BBA">
          <w:rPr>
            <w:rStyle w:val="Hiperveza"/>
            <w:rFonts w:ascii="Times New Roman" w:eastAsia="Calibri" w:hAnsi="Times New Roman" w:cs="Times New Roman"/>
            <w:b/>
            <w:noProof/>
            <w:lang w:eastAsia="en-US"/>
          </w:rPr>
          <w:t>Program (2097): Redovan rad UO komunalni sustav i gospodarenje nekretninama – povremeni opći troškovi u nadležnosti odjela</w:t>
        </w:r>
        <w:r>
          <w:rPr>
            <w:noProof/>
            <w:webHidden/>
          </w:rPr>
          <w:tab/>
        </w:r>
        <w:r>
          <w:rPr>
            <w:noProof/>
            <w:webHidden/>
          </w:rPr>
          <w:fldChar w:fldCharType="begin"/>
        </w:r>
        <w:r>
          <w:rPr>
            <w:noProof/>
            <w:webHidden/>
          </w:rPr>
          <w:instrText xml:space="preserve"> PAGEREF _Toc232981462 \h </w:instrText>
        </w:r>
        <w:r>
          <w:rPr>
            <w:noProof/>
            <w:webHidden/>
          </w:rPr>
        </w:r>
        <w:r>
          <w:rPr>
            <w:noProof/>
            <w:webHidden/>
          </w:rPr>
          <w:fldChar w:fldCharType="separate"/>
        </w:r>
        <w:r w:rsidR="00A821D8">
          <w:rPr>
            <w:noProof/>
            <w:webHidden/>
          </w:rPr>
          <w:t>292</w:t>
        </w:r>
        <w:r>
          <w:rPr>
            <w:noProof/>
            <w:webHidden/>
          </w:rPr>
          <w:fldChar w:fldCharType="end"/>
        </w:r>
      </w:hyperlink>
    </w:p>
    <w:p w14:paraId="395EE5E1" w14:textId="613500C6"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63" w:history="1">
        <w:r w:rsidRPr="005E2BBA">
          <w:rPr>
            <w:rStyle w:val="Hiperveza"/>
            <w:rFonts w:ascii="Times New Roman" w:eastAsia="Calibri" w:hAnsi="Times New Roman" w:cs="Times New Roman"/>
            <w:b/>
            <w:noProof/>
            <w:lang w:eastAsia="en-US"/>
          </w:rPr>
          <w:t>Program (2098): Program gospodarenja otpadom</w:t>
        </w:r>
        <w:r>
          <w:rPr>
            <w:noProof/>
            <w:webHidden/>
          </w:rPr>
          <w:tab/>
        </w:r>
        <w:r>
          <w:rPr>
            <w:noProof/>
            <w:webHidden/>
          </w:rPr>
          <w:fldChar w:fldCharType="begin"/>
        </w:r>
        <w:r>
          <w:rPr>
            <w:noProof/>
            <w:webHidden/>
          </w:rPr>
          <w:instrText xml:space="preserve"> PAGEREF _Toc232981463 \h </w:instrText>
        </w:r>
        <w:r>
          <w:rPr>
            <w:noProof/>
            <w:webHidden/>
          </w:rPr>
        </w:r>
        <w:r>
          <w:rPr>
            <w:noProof/>
            <w:webHidden/>
          </w:rPr>
          <w:fldChar w:fldCharType="separate"/>
        </w:r>
        <w:r w:rsidR="00A821D8">
          <w:rPr>
            <w:noProof/>
            <w:webHidden/>
          </w:rPr>
          <w:t>296</w:t>
        </w:r>
        <w:r>
          <w:rPr>
            <w:noProof/>
            <w:webHidden/>
          </w:rPr>
          <w:fldChar w:fldCharType="end"/>
        </w:r>
      </w:hyperlink>
    </w:p>
    <w:p w14:paraId="08A5B432" w14:textId="40787FE4"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64" w:history="1">
        <w:r w:rsidRPr="005E2BBA">
          <w:rPr>
            <w:rStyle w:val="Hiperveza"/>
            <w:rFonts w:ascii="Times New Roman" w:eastAsia="Calibri" w:hAnsi="Times New Roman" w:cs="Times New Roman"/>
            <w:b/>
            <w:noProof/>
            <w:lang w:eastAsia="en-US"/>
          </w:rPr>
          <w:t>Program (2099): Program sanitarno – veterinarskih aktivnosti i zaštita životinja</w:t>
        </w:r>
        <w:r>
          <w:rPr>
            <w:noProof/>
            <w:webHidden/>
          </w:rPr>
          <w:tab/>
        </w:r>
        <w:r>
          <w:rPr>
            <w:noProof/>
            <w:webHidden/>
          </w:rPr>
          <w:fldChar w:fldCharType="begin"/>
        </w:r>
        <w:r>
          <w:rPr>
            <w:noProof/>
            <w:webHidden/>
          </w:rPr>
          <w:instrText xml:space="preserve"> PAGEREF _Toc232981464 \h </w:instrText>
        </w:r>
        <w:r>
          <w:rPr>
            <w:noProof/>
            <w:webHidden/>
          </w:rPr>
        </w:r>
        <w:r>
          <w:rPr>
            <w:noProof/>
            <w:webHidden/>
          </w:rPr>
          <w:fldChar w:fldCharType="separate"/>
        </w:r>
        <w:r w:rsidR="00A821D8">
          <w:rPr>
            <w:noProof/>
            <w:webHidden/>
          </w:rPr>
          <w:t>299</w:t>
        </w:r>
        <w:r>
          <w:rPr>
            <w:noProof/>
            <w:webHidden/>
          </w:rPr>
          <w:fldChar w:fldCharType="end"/>
        </w:r>
      </w:hyperlink>
    </w:p>
    <w:p w14:paraId="57FE9244" w14:textId="48297FB6"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65" w:history="1">
        <w:r w:rsidRPr="005E2BBA">
          <w:rPr>
            <w:rStyle w:val="Hiperveza"/>
            <w:rFonts w:ascii="Times New Roman" w:eastAsia="Calibri" w:hAnsi="Times New Roman" w:cs="Times New Roman"/>
            <w:b/>
            <w:noProof/>
            <w:lang w:eastAsia="en-US"/>
          </w:rPr>
          <w:t>Program (2101): Izgradnja i uređenje objekata javne namjene – predškolski odgoj i školstvo</w:t>
        </w:r>
        <w:r>
          <w:rPr>
            <w:noProof/>
            <w:webHidden/>
          </w:rPr>
          <w:tab/>
        </w:r>
        <w:r>
          <w:rPr>
            <w:noProof/>
            <w:webHidden/>
          </w:rPr>
          <w:fldChar w:fldCharType="begin"/>
        </w:r>
        <w:r>
          <w:rPr>
            <w:noProof/>
            <w:webHidden/>
          </w:rPr>
          <w:instrText xml:space="preserve"> PAGEREF _Toc232981465 \h </w:instrText>
        </w:r>
        <w:r>
          <w:rPr>
            <w:noProof/>
            <w:webHidden/>
          </w:rPr>
        </w:r>
        <w:r>
          <w:rPr>
            <w:noProof/>
            <w:webHidden/>
          </w:rPr>
          <w:fldChar w:fldCharType="separate"/>
        </w:r>
        <w:r w:rsidR="00A821D8">
          <w:rPr>
            <w:noProof/>
            <w:webHidden/>
          </w:rPr>
          <w:t>302</w:t>
        </w:r>
        <w:r>
          <w:rPr>
            <w:noProof/>
            <w:webHidden/>
          </w:rPr>
          <w:fldChar w:fldCharType="end"/>
        </w:r>
      </w:hyperlink>
    </w:p>
    <w:p w14:paraId="5C3E2C11" w14:textId="79AB0331"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66" w:history="1">
        <w:r w:rsidRPr="005E2BBA">
          <w:rPr>
            <w:rStyle w:val="Hiperveza"/>
            <w:rFonts w:ascii="Times New Roman" w:eastAsia="Calibri" w:hAnsi="Times New Roman" w:cs="Times New Roman"/>
            <w:b/>
            <w:noProof/>
            <w:lang w:eastAsia="en-US"/>
          </w:rPr>
          <w:t>Program (2102): Izgradnja i uređenje objekata javne namjene – sport</w:t>
        </w:r>
        <w:r>
          <w:rPr>
            <w:noProof/>
            <w:webHidden/>
          </w:rPr>
          <w:tab/>
        </w:r>
        <w:r>
          <w:rPr>
            <w:noProof/>
            <w:webHidden/>
          </w:rPr>
          <w:fldChar w:fldCharType="begin"/>
        </w:r>
        <w:r>
          <w:rPr>
            <w:noProof/>
            <w:webHidden/>
          </w:rPr>
          <w:instrText xml:space="preserve"> PAGEREF _Toc232981466 \h </w:instrText>
        </w:r>
        <w:r>
          <w:rPr>
            <w:noProof/>
            <w:webHidden/>
          </w:rPr>
        </w:r>
        <w:r>
          <w:rPr>
            <w:noProof/>
            <w:webHidden/>
          </w:rPr>
          <w:fldChar w:fldCharType="separate"/>
        </w:r>
        <w:r w:rsidR="00A821D8">
          <w:rPr>
            <w:noProof/>
            <w:webHidden/>
          </w:rPr>
          <w:t>308</w:t>
        </w:r>
        <w:r>
          <w:rPr>
            <w:noProof/>
            <w:webHidden/>
          </w:rPr>
          <w:fldChar w:fldCharType="end"/>
        </w:r>
      </w:hyperlink>
    </w:p>
    <w:p w14:paraId="582D818F" w14:textId="78AA7163"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67" w:history="1">
        <w:r w:rsidRPr="005E2BBA">
          <w:rPr>
            <w:rStyle w:val="Hiperveza"/>
            <w:rFonts w:ascii="Times New Roman" w:eastAsia="Calibri" w:hAnsi="Times New Roman" w:cs="Times New Roman"/>
            <w:b/>
            <w:noProof/>
            <w:lang w:eastAsia="en-US"/>
          </w:rPr>
          <w:t>Program (2103): Izgradnja i uređenje objekata javne namjene – socijalna skrb i zdravstvo</w:t>
        </w:r>
        <w:r>
          <w:rPr>
            <w:noProof/>
            <w:webHidden/>
          </w:rPr>
          <w:tab/>
        </w:r>
        <w:r>
          <w:rPr>
            <w:noProof/>
            <w:webHidden/>
          </w:rPr>
          <w:fldChar w:fldCharType="begin"/>
        </w:r>
        <w:r>
          <w:rPr>
            <w:noProof/>
            <w:webHidden/>
          </w:rPr>
          <w:instrText xml:space="preserve"> PAGEREF _Toc232981467 \h </w:instrText>
        </w:r>
        <w:r>
          <w:rPr>
            <w:noProof/>
            <w:webHidden/>
          </w:rPr>
        </w:r>
        <w:r>
          <w:rPr>
            <w:noProof/>
            <w:webHidden/>
          </w:rPr>
          <w:fldChar w:fldCharType="separate"/>
        </w:r>
        <w:r w:rsidR="00A821D8">
          <w:rPr>
            <w:noProof/>
            <w:webHidden/>
          </w:rPr>
          <w:t>313</w:t>
        </w:r>
        <w:r>
          <w:rPr>
            <w:noProof/>
            <w:webHidden/>
          </w:rPr>
          <w:fldChar w:fldCharType="end"/>
        </w:r>
      </w:hyperlink>
    </w:p>
    <w:p w14:paraId="64D02EAD" w14:textId="7802DCA3"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68" w:history="1">
        <w:r w:rsidRPr="005E2BBA">
          <w:rPr>
            <w:rStyle w:val="Hiperveza"/>
            <w:rFonts w:ascii="Times New Roman" w:eastAsia="Calibri" w:hAnsi="Times New Roman" w:cs="Times New Roman"/>
            <w:b/>
            <w:noProof/>
            <w:lang w:eastAsia="en-US"/>
          </w:rPr>
          <w:t>Program (2104): Izgradnja i uređenje objekata javne namjene – kultura, turizam i religija</w:t>
        </w:r>
        <w:r>
          <w:rPr>
            <w:noProof/>
            <w:webHidden/>
          </w:rPr>
          <w:tab/>
        </w:r>
        <w:r>
          <w:rPr>
            <w:noProof/>
            <w:webHidden/>
          </w:rPr>
          <w:fldChar w:fldCharType="begin"/>
        </w:r>
        <w:r>
          <w:rPr>
            <w:noProof/>
            <w:webHidden/>
          </w:rPr>
          <w:instrText xml:space="preserve"> PAGEREF _Toc232981468 \h </w:instrText>
        </w:r>
        <w:r>
          <w:rPr>
            <w:noProof/>
            <w:webHidden/>
          </w:rPr>
        </w:r>
        <w:r>
          <w:rPr>
            <w:noProof/>
            <w:webHidden/>
          </w:rPr>
          <w:fldChar w:fldCharType="separate"/>
        </w:r>
        <w:r w:rsidR="00A821D8">
          <w:rPr>
            <w:noProof/>
            <w:webHidden/>
          </w:rPr>
          <w:t>315</w:t>
        </w:r>
        <w:r>
          <w:rPr>
            <w:noProof/>
            <w:webHidden/>
          </w:rPr>
          <w:fldChar w:fldCharType="end"/>
        </w:r>
      </w:hyperlink>
    </w:p>
    <w:p w14:paraId="219B99FC" w14:textId="0193C3EE"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69" w:history="1">
        <w:r w:rsidRPr="005E2BBA">
          <w:rPr>
            <w:rStyle w:val="Hiperveza"/>
            <w:rFonts w:ascii="Times New Roman" w:eastAsia="Calibri" w:hAnsi="Times New Roman" w:cs="Times New Roman"/>
            <w:b/>
            <w:noProof/>
            <w:lang w:eastAsia="en-US"/>
          </w:rPr>
          <w:t>Program (2105): Kapitalna ulaganja u poslovne i druge prostore</w:t>
        </w:r>
        <w:r>
          <w:rPr>
            <w:noProof/>
            <w:webHidden/>
          </w:rPr>
          <w:tab/>
        </w:r>
        <w:r>
          <w:rPr>
            <w:noProof/>
            <w:webHidden/>
          </w:rPr>
          <w:fldChar w:fldCharType="begin"/>
        </w:r>
        <w:r>
          <w:rPr>
            <w:noProof/>
            <w:webHidden/>
          </w:rPr>
          <w:instrText xml:space="preserve"> PAGEREF _Toc232981469 \h </w:instrText>
        </w:r>
        <w:r>
          <w:rPr>
            <w:noProof/>
            <w:webHidden/>
          </w:rPr>
        </w:r>
        <w:r>
          <w:rPr>
            <w:noProof/>
            <w:webHidden/>
          </w:rPr>
          <w:fldChar w:fldCharType="separate"/>
        </w:r>
        <w:r w:rsidR="00A821D8">
          <w:rPr>
            <w:noProof/>
            <w:webHidden/>
          </w:rPr>
          <w:t>320</w:t>
        </w:r>
        <w:r>
          <w:rPr>
            <w:noProof/>
            <w:webHidden/>
          </w:rPr>
          <w:fldChar w:fldCharType="end"/>
        </w:r>
      </w:hyperlink>
    </w:p>
    <w:p w14:paraId="696F2B0A" w14:textId="781BE8EC"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70" w:history="1">
        <w:r w:rsidRPr="005E2BBA">
          <w:rPr>
            <w:rStyle w:val="Hiperveza"/>
            <w:rFonts w:ascii="Times New Roman" w:eastAsia="Calibri" w:hAnsi="Times New Roman" w:cs="Times New Roman"/>
            <w:b/>
            <w:noProof/>
            <w:lang w:eastAsia="en-US"/>
          </w:rPr>
          <w:t>Program (2106): Izgradnja i uređenje objekata javne namjene – pomorsko dobro</w:t>
        </w:r>
        <w:r>
          <w:rPr>
            <w:noProof/>
            <w:webHidden/>
          </w:rPr>
          <w:tab/>
        </w:r>
        <w:r>
          <w:rPr>
            <w:noProof/>
            <w:webHidden/>
          </w:rPr>
          <w:fldChar w:fldCharType="begin"/>
        </w:r>
        <w:r>
          <w:rPr>
            <w:noProof/>
            <w:webHidden/>
          </w:rPr>
          <w:instrText xml:space="preserve"> PAGEREF _Toc232981470 \h </w:instrText>
        </w:r>
        <w:r>
          <w:rPr>
            <w:noProof/>
            <w:webHidden/>
          </w:rPr>
        </w:r>
        <w:r>
          <w:rPr>
            <w:noProof/>
            <w:webHidden/>
          </w:rPr>
          <w:fldChar w:fldCharType="separate"/>
        </w:r>
        <w:r w:rsidR="00A821D8">
          <w:rPr>
            <w:noProof/>
            <w:webHidden/>
          </w:rPr>
          <w:t>327</w:t>
        </w:r>
        <w:r>
          <w:rPr>
            <w:noProof/>
            <w:webHidden/>
          </w:rPr>
          <w:fldChar w:fldCharType="end"/>
        </w:r>
      </w:hyperlink>
    </w:p>
    <w:p w14:paraId="68D31E4F" w14:textId="2773047A"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71" w:history="1">
        <w:r w:rsidRPr="005E2BBA">
          <w:rPr>
            <w:rStyle w:val="Hiperveza"/>
            <w:rFonts w:ascii="Times New Roman" w:eastAsia="Calibri" w:hAnsi="Times New Roman" w:cs="Times New Roman"/>
            <w:b/>
            <w:noProof/>
            <w:lang w:eastAsia="en-US"/>
          </w:rPr>
          <w:t>Program (2109): Razvoj i sigurnost prometa</w:t>
        </w:r>
        <w:r>
          <w:rPr>
            <w:noProof/>
            <w:webHidden/>
          </w:rPr>
          <w:tab/>
        </w:r>
        <w:r>
          <w:rPr>
            <w:noProof/>
            <w:webHidden/>
          </w:rPr>
          <w:fldChar w:fldCharType="begin"/>
        </w:r>
        <w:r>
          <w:rPr>
            <w:noProof/>
            <w:webHidden/>
          </w:rPr>
          <w:instrText xml:space="preserve"> PAGEREF _Toc232981471 \h </w:instrText>
        </w:r>
        <w:r>
          <w:rPr>
            <w:noProof/>
            <w:webHidden/>
          </w:rPr>
        </w:r>
        <w:r>
          <w:rPr>
            <w:noProof/>
            <w:webHidden/>
          </w:rPr>
          <w:fldChar w:fldCharType="separate"/>
        </w:r>
        <w:r w:rsidR="00A821D8">
          <w:rPr>
            <w:noProof/>
            <w:webHidden/>
          </w:rPr>
          <w:t>329</w:t>
        </w:r>
        <w:r>
          <w:rPr>
            <w:noProof/>
            <w:webHidden/>
          </w:rPr>
          <w:fldChar w:fldCharType="end"/>
        </w:r>
      </w:hyperlink>
    </w:p>
    <w:p w14:paraId="063EAA53" w14:textId="6ED3CC90" w:rsidR="0059051D" w:rsidRDefault="0059051D">
      <w:pPr>
        <w:pStyle w:val="Sadraj4"/>
        <w:tabs>
          <w:tab w:val="left" w:pos="1540"/>
          <w:tab w:val="right" w:leader="dot" w:pos="14560"/>
        </w:tabs>
        <w:rPr>
          <w:rFonts w:eastAsiaTheme="minorEastAsia"/>
          <w:noProof/>
          <w:kern w:val="2"/>
          <w:sz w:val="24"/>
          <w:szCs w:val="24"/>
          <w14:ligatures w14:val="standardContextual"/>
        </w:rPr>
      </w:pPr>
      <w:hyperlink w:anchor="_Toc232981472" w:history="1">
        <w:r w:rsidRPr="005E2BBA">
          <w:rPr>
            <w:rStyle w:val="Hiperveza"/>
            <w:rFonts w:eastAsia="Calibri"/>
            <w:noProof/>
          </w:rPr>
          <w:t>3.3.3.2.</w:t>
        </w:r>
        <w:r>
          <w:rPr>
            <w:rFonts w:eastAsiaTheme="minorEastAsia"/>
            <w:noProof/>
            <w:kern w:val="2"/>
            <w:sz w:val="24"/>
            <w:szCs w:val="24"/>
            <w14:ligatures w14:val="standardContextual"/>
          </w:rPr>
          <w:tab/>
        </w:r>
        <w:r w:rsidRPr="005E2BBA">
          <w:rPr>
            <w:rStyle w:val="Hiperveza"/>
            <w:rFonts w:eastAsia="Calibri"/>
            <w:noProof/>
          </w:rPr>
          <w:t>GLAVA: (030 02) USTANOVA ZA VATROGASNU DJELATNOST</w:t>
        </w:r>
        <w:r>
          <w:rPr>
            <w:noProof/>
            <w:webHidden/>
          </w:rPr>
          <w:tab/>
        </w:r>
        <w:r>
          <w:rPr>
            <w:noProof/>
            <w:webHidden/>
          </w:rPr>
          <w:fldChar w:fldCharType="begin"/>
        </w:r>
        <w:r>
          <w:rPr>
            <w:noProof/>
            <w:webHidden/>
          </w:rPr>
          <w:instrText xml:space="preserve"> PAGEREF _Toc232981472 \h </w:instrText>
        </w:r>
        <w:r>
          <w:rPr>
            <w:noProof/>
            <w:webHidden/>
          </w:rPr>
        </w:r>
        <w:r>
          <w:rPr>
            <w:noProof/>
            <w:webHidden/>
          </w:rPr>
          <w:fldChar w:fldCharType="separate"/>
        </w:r>
        <w:r w:rsidR="00A821D8">
          <w:rPr>
            <w:noProof/>
            <w:webHidden/>
          </w:rPr>
          <w:t>331</w:t>
        </w:r>
        <w:r>
          <w:rPr>
            <w:noProof/>
            <w:webHidden/>
          </w:rPr>
          <w:fldChar w:fldCharType="end"/>
        </w:r>
      </w:hyperlink>
    </w:p>
    <w:p w14:paraId="2D18DBAA" w14:textId="2BB2A1AF"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73" w:history="1">
        <w:r w:rsidRPr="005E2BBA">
          <w:rPr>
            <w:rStyle w:val="Hiperveza"/>
            <w:rFonts w:eastAsia="Calibri"/>
            <w:noProof/>
          </w:rPr>
          <w:t>Program (2071): Redovna djelatnost javne vatrogasne postrojbe</w:t>
        </w:r>
        <w:r>
          <w:rPr>
            <w:noProof/>
            <w:webHidden/>
          </w:rPr>
          <w:tab/>
        </w:r>
        <w:r>
          <w:rPr>
            <w:noProof/>
            <w:webHidden/>
          </w:rPr>
          <w:fldChar w:fldCharType="begin"/>
        </w:r>
        <w:r>
          <w:rPr>
            <w:noProof/>
            <w:webHidden/>
          </w:rPr>
          <w:instrText xml:space="preserve"> PAGEREF _Toc232981473 \h </w:instrText>
        </w:r>
        <w:r>
          <w:rPr>
            <w:noProof/>
            <w:webHidden/>
          </w:rPr>
        </w:r>
        <w:r>
          <w:rPr>
            <w:noProof/>
            <w:webHidden/>
          </w:rPr>
          <w:fldChar w:fldCharType="separate"/>
        </w:r>
        <w:r w:rsidR="00A821D8">
          <w:rPr>
            <w:noProof/>
            <w:webHidden/>
          </w:rPr>
          <w:t>331</w:t>
        </w:r>
        <w:r>
          <w:rPr>
            <w:noProof/>
            <w:webHidden/>
          </w:rPr>
          <w:fldChar w:fldCharType="end"/>
        </w:r>
      </w:hyperlink>
    </w:p>
    <w:p w14:paraId="2DAFD45D" w14:textId="105E50CD"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74" w:history="1">
        <w:r w:rsidRPr="005E2BBA">
          <w:rPr>
            <w:rStyle w:val="Hiperveza"/>
            <w:rFonts w:eastAsia="Calibri"/>
            <w:noProof/>
          </w:rPr>
          <w:t>3.3.4.</w:t>
        </w:r>
        <w:r>
          <w:rPr>
            <w:rFonts w:eastAsiaTheme="minorEastAsia"/>
            <w:i w:val="0"/>
            <w:iCs w:val="0"/>
            <w:noProof/>
            <w:kern w:val="2"/>
            <w:sz w:val="24"/>
            <w:szCs w:val="24"/>
            <w14:ligatures w14:val="standardContextual"/>
          </w:rPr>
          <w:tab/>
        </w:r>
        <w:r w:rsidRPr="005E2BBA">
          <w:rPr>
            <w:rStyle w:val="Hiperveza"/>
            <w:rFonts w:eastAsia="Calibri"/>
            <w:noProof/>
          </w:rPr>
          <w:t>RAZDJEL: (040) UPRAVNI ODJEL ZA RURALNI RAZVOJ, GOSPODARSTVO I EU FONDOVE</w:t>
        </w:r>
        <w:r>
          <w:rPr>
            <w:noProof/>
            <w:webHidden/>
          </w:rPr>
          <w:tab/>
        </w:r>
        <w:r>
          <w:rPr>
            <w:noProof/>
            <w:webHidden/>
          </w:rPr>
          <w:fldChar w:fldCharType="begin"/>
        </w:r>
        <w:r>
          <w:rPr>
            <w:noProof/>
            <w:webHidden/>
          </w:rPr>
          <w:instrText xml:space="preserve"> PAGEREF _Toc232981474 \h </w:instrText>
        </w:r>
        <w:r>
          <w:rPr>
            <w:noProof/>
            <w:webHidden/>
          </w:rPr>
        </w:r>
        <w:r>
          <w:rPr>
            <w:noProof/>
            <w:webHidden/>
          </w:rPr>
          <w:fldChar w:fldCharType="separate"/>
        </w:r>
        <w:r w:rsidR="00A821D8">
          <w:rPr>
            <w:noProof/>
            <w:webHidden/>
          </w:rPr>
          <w:t>332</w:t>
        </w:r>
        <w:r>
          <w:rPr>
            <w:noProof/>
            <w:webHidden/>
          </w:rPr>
          <w:fldChar w:fldCharType="end"/>
        </w:r>
      </w:hyperlink>
    </w:p>
    <w:p w14:paraId="4D72B1D3" w14:textId="1740A797" w:rsidR="0059051D" w:rsidRDefault="0059051D">
      <w:pPr>
        <w:pStyle w:val="Sadraj4"/>
        <w:tabs>
          <w:tab w:val="left" w:pos="1540"/>
          <w:tab w:val="right" w:leader="dot" w:pos="14560"/>
        </w:tabs>
        <w:rPr>
          <w:rFonts w:eastAsiaTheme="minorEastAsia"/>
          <w:noProof/>
          <w:kern w:val="2"/>
          <w:sz w:val="24"/>
          <w:szCs w:val="24"/>
          <w14:ligatures w14:val="standardContextual"/>
        </w:rPr>
      </w:pPr>
      <w:hyperlink w:anchor="_Toc232981475" w:history="1">
        <w:r w:rsidRPr="005E2BBA">
          <w:rPr>
            <w:rStyle w:val="Hiperveza"/>
            <w:rFonts w:ascii="Times New Roman" w:eastAsia="Calibri" w:hAnsi="Times New Roman" w:cs="Times New Roman"/>
            <w:b/>
            <w:noProof/>
            <w:lang w:eastAsia="en-US"/>
          </w:rPr>
          <w:t>3.3.4.1.</w:t>
        </w:r>
        <w:r>
          <w:rPr>
            <w:rFonts w:eastAsiaTheme="minorEastAsia"/>
            <w:noProof/>
            <w:kern w:val="2"/>
            <w:sz w:val="24"/>
            <w:szCs w:val="24"/>
            <w14:ligatures w14:val="standardContextual"/>
          </w:rPr>
          <w:tab/>
        </w:r>
        <w:r w:rsidRPr="005E2BBA">
          <w:rPr>
            <w:rStyle w:val="Hiperveza"/>
            <w:rFonts w:ascii="Times New Roman" w:eastAsia="Calibri" w:hAnsi="Times New Roman" w:cs="Times New Roman"/>
            <w:b/>
            <w:noProof/>
            <w:lang w:eastAsia="en-US"/>
          </w:rPr>
          <w:t>GLAVA: (040 01) UO ZA RURALNI RAZVOJ, GOSPODARSTVO I EU FONDOVE</w:t>
        </w:r>
        <w:r>
          <w:rPr>
            <w:noProof/>
            <w:webHidden/>
          </w:rPr>
          <w:tab/>
        </w:r>
        <w:r>
          <w:rPr>
            <w:noProof/>
            <w:webHidden/>
          </w:rPr>
          <w:fldChar w:fldCharType="begin"/>
        </w:r>
        <w:r>
          <w:rPr>
            <w:noProof/>
            <w:webHidden/>
          </w:rPr>
          <w:instrText xml:space="preserve"> PAGEREF _Toc232981475 \h </w:instrText>
        </w:r>
        <w:r>
          <w:rPr>
            <w:noProof/>
            <w:webHidden/>
          </w:rPr>
        </w:r>
        <w:r>
          <w:rPr>
            <w:noProof/>
            <w:webHidden/>
          </w:rPr>
          <w:fldChar w:fldCharType="separate"/>
        </w:r>
        <w:r w:rsidR="00A821D8">
          <w:rPr>
            <w:noProof/>
            <w:webHidden/>
          </w:rPr>
          <w:t>335</w:t>
        </w:r>
        <w:r>
          <w:rPr>
            <w:noProof/>
            <w:webHidden/>
          </w:rPr>
          <w:fldChar w:fldCharType="end"/>
        </w:r>
      </w:hyperlink>
    </w:p>
    <w:p w14:paraId="441CD4C7" w14:textId="4C94A49E"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76" w:history="1">
        <w:r w:rsidRPr="005E2BBA">
          <w:rPr>
            <w:rStyle w:val="Hiperveza"/>
            <w:rFonts w:ascii="Times New Roman" w:eastAsia="Calibri" w:hAnsi="Times New Roman" w:cs="Times New Roman"/>
            <w:b/>
            <w:noProof/>
            <w:lang w:eastAsia="en-US"/>
          </w:rPr>
          <w:t>Program (2061): Razvoj gospodarstva i poduzetništva</w:t>
        </w:r>
        <w:r>
          <w:rPr>
            <w:noProof/>
            <w:webHidden/>
          </w:rPr>
          <w:tab/>
        </w:r>
        <w:r>
          <w:rPr>
            <w:noProof/>
            <w:webHidden/>
          </w:rPr>
          <w:fldChar w:fldCharType="begin"/>
        </w:r>
        <w:r>
          <w:rPr>
            <w:noProof/>
            <w:webHidden/>
          </w:rPr>
          <w:instrText xml:space="preserve"> PAGEREF _Toc232981476 \h </w:instrText>
        </w:r>
        <w:r>
          <w:rPr>
            <w:noProof/>
            <w:webHidden/>
          </w:rPr>
        </w:r>
        <w:r>
          <w:rPr>
            <w:noProof/>
            <w:webHidden/>
          </w:rPr>
          <w:fldChar w:fldCharType="separate"/>
        </w:r>
        <w:r w:rsidR="00A821D8">
          <w:rPr>
            <w:noProof/>
            <w:webHidden/>
          </w:rPr>
          <w:t>335</w:t>
        </w:r>
        <w:r>
          <w:rPr>
            <w:noProof/>
            <w:webHidden/>
          </w:rPr>
          <w:fldChar w:fldCharType="end"/>
        </w:r>
      </w:hyperlink>
    </w:p>
    <w:p w14:paraId="211BAA11" w14:textId="1E97F48A"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77" w:history="1">
        <w:r w:rsidRPr="005E2BBA">
          <w:rPr>
            <w:rStyle w:val="Hiperveza"/>
            <w:rFonts w:ascii="Times New Roman" w:eastAsia="Calibri" w:hAnsi="Times New Roman" w:cs="Times New Roman"/>
            <w:b/>
            <w:noProof/>
            <w:lang w:eastAsia="en-US"/>
          </w:rPr>
          <w:t>Program (2062): Poticanje razvoja poljoprivrede</w:t>
        </w:r>
        <w:r>
          <w:rPr>
            <w:noProof/>
            <w:webHidden/>
          </w:rPr>
          <w:tab/>
        </w:r>
        <w:r>
          <w:rPr>
            <w:noProof/>
            <w:webHidden/>
          </w:rPr>
          <w:fldChar w:fldCharType="begin"/>
        </w:r>
        <w:r>
          <w:rPr>
            <w:noProof/>
            <w:webHidden/>
          </w:rPr>
          <w:instrText xml:space="preserve"> PAGEREF _Toc232981477 \h </w:instrText>
        </w:r>
        <w:r>
          <w:rPr>
            <w:noProof/>
            <w:webHidden/>
          </w:rPr>
        </w:r>
        <w:r>
          <w:rPr>
            <w:noProof/>
            <w:webHidden/>
          </w:rPr>
          <w:fldChar w:fldCharType="separate"/>
        </w:r>
        <w:r w:rsidR="00A821D8">
          <w:rPr>
            <w:noProof/>
            <w:webHidden/>
          </w:rPr>
          <w:t>338</w:t>
        </w:r>
        <w:r>
          <w:rPr>
            <w:noProof/>
            <w:webHidden/>
          </w:rPr>
          <w:fldChar w:fldCharType="end"/>
        </w:r>
      </w:hyperlink>
    </w:p>
    <w:p w14:paraId="3D580480" w14:textId="2DB7E557"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78" w:history="1">
        <w:r w:rsidRPr="005E2BBA">
          <w:rPr>
            <w:rStyle w:val="Hiperveza"/>
            <w:rFonts w:ascii="Times New Roman" w:eastAsia="Calibri" w:hAnsi="Times New Roman" w:cs="Times New Roman"/>
            <w:b/>
            <w:noProof/>
            <w:lang w:eastAsia="en-US"/>
          </w:rPr>
          <w:t>Program (2063): Elementarne nepogode</w:t>
        </w:r>
        <w:r>
          <w:rPr>
            <w:noProof/>
            <w:webHidden/>
          </w:rPr>
          <w:tab/>
        </w:r>
        <w:r>
          <w:rPr>
            <w:noProof/>
            <w:webHidden/>
          </w:rPr>
          <w:fldChar w:fldCharType="begin"/>
        </w:r>
        <w:r>
          <w:rPr>
            <w:noProof/>
            <w:webHidden/>
          </w:rPr>
          <w:instrText xml:space="preserve"> PAGEREF _Toc232981478 \h </w:instrText>
        </w:r>
        <w:r>
          <w:rPr>
            <w:noProof/>
            <w:webHidden/>
          </w:rPr>
        </w:r>
        <w:r>
          <w:rPr>
            <w:noProof/>
            <w:webHidden/>
          </w:rPr>
          <w:fldChar w:fldCharType="separate"/>
        </w:r>
        <w:r w:rsidR="00A821D8">
          <w:rPr>
            <w:noProof/>
            <w:webHidden/>
          </w:rPr>
          <w:t>345</w:t>
        </w:r>
        <w:r>
          <w:rPr>
            <w:noProof/>
            <w:webHidden/>
          </w:rPr>
          <w:fldChar w:fldCharType="end"/>
        </w:r>
      </w:hyperlink>
    </w:p>
    <w:p w14:paraId="74B1706C" w14:textId="500CE6B0"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79" w:history="1">
        <w:r w:rsidRPr="005E2BBA">
          <w:rPr>
            <w:rStyle w:val="Hiperveza"/>
            <w:rFonts w:ascii="Times New Roman" w:eastAsia="Calibri" w:hAnsi="Times New Roman" w:cs="Times New Roman"/>
            <w:b/>
            <w:noProof/>
            <w:lang w:eastAsia="en-US"/>
          </w:rPr>
          <w:t>Program (2064): Suradnja s fondovima EU i drugim fondovima</w:t>
        </w:r>
        <w:r>
          <w:rPr>
            <w:noProof/>
            <w:webHidden/>
          </w:rPr>
          <w:tab/>
        </w:r>
        <w:r>
          <w:rPr>
            <w:noProof/>
            <w:webHidden/>
          </w:rPr>
          <w:fldChar w:fldCharType="begin"/>
        </w:r>
        <w:r>
          <w:rPr>
            <w:noProof/>
            <w:webHidden/>
          </w:rPr>
          <w:instrText xml:space="preserve"> PAGEREF _Toc232981479 \h </w:instrText>
        </w:r>
        <w:r>
          <w:rPr>
            <w:noProof/>
            <w:webHidden/>
          </w:rPr>
        </w:r>
        <w:r>
          <w:rPr>
            <w:noProof/>
            <w:webHidden/>
          </w:rPr>
          <w:fldChar w:fldCharType="separate"/>
        </w:r>
        <w:r w:rsidR="00A821D8">
          <w:rPr>
            <w:noProof/>
            <w:webHidden/>
          </w:rPr>
          <w:t>346</w:t>
        </w:r>
        <w:r>
          <w:rPr>
            <w:noProof/>
            <w:webHidden/>
          </w:rPr>
          <w:fldChar w:fldCharType="end"/>
        </w:r>
      </w:hyperlink>
    </w:p>
    <w:p w14:paraId="5632DBD7" w14:textId="46BD6FB9"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80" w:history="1">
        <w:r w:rsidRPr="005E2BBA">
          <w:rPr>
            <w:rStyle w:val="Hiperveza"/>
            <w:rFonts w:ascii="Times New Roman" w:eastAsia="Calibri" w:hAnsi="Times New Roman" w:cs="Times New Roman"/>
            <w:b/>
            <w:noProof/>
            <w:lang w:eastAsia="en-US"/>
          </w:rPr>
          <w:t>Program (2065): Redovan rad UO za ruralni razvoj, gospodarstvo i EU fondove – povremeni opći troškovi u nadležnosti odjela</w:t>
        </w:r>
        <w:r>
          <w:rPr>
            <w:noProof/>
            <w:webHidden/>
          </w:rPr>
          <w:tab/>
        </w:r>
        <w:r>
          <w:rPr>
            <w:noProof/>
            <w:webHidden/>
          </w:rPr>
          <w:fldChar w:fldCharType="begin"/>
        </w:r>
        <w:r>
          <w:rPr>
            <w:noProof/>
            <w:webHidden/>
          </w:rPr>
          <w:instrText xml:space="preserve"> PAGEREF _Toc232981480 \h </w:instrText>
        </w:r>
        <w:r>
          <w:rPr>
            <w:noProof/>
            <w:webHidden/>
          </w:rPr>
        </w:r>
        <w:r>
          <w:rPr>
            <w:noProof/>
            <w:webHidden/>
          </w:rPr>
          <w:fldChar w:fldCharType="separate"/>
        </w:r>
        <w:r w:rsidR="00A821D8">
          <w:rPr>
            <w:noProof/>
            <w:webHidden/>
          </w:rPr>
          <w:t>349</w:t>
        </w:r>
        <w:r>
          <w:rPr>
            <w:noProof/>
            <w:webHidden/>
          </w:rPr>
          <w:fldChar w:fldCharType="end"/>
        </w:r>
      </w:hyperlink>
    </w:p>
    <w:p w14:paraId="7828A3A4" w14:textId="36E279CC"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81" w:history="1">
        <w:r w:rsidRPr="005E2BBA">
          <w:rPr>
            <w:rStyle w:val="Hiperveza"/>
            <w:rFonts w:ascii="Times New Roman" w:eastAsia="Calibri" w:hAnsi="Times New Roman" w:cs="Times New Roman"/>
            <w:b/>
            <w:noProof/>
            <w:lang w:eastAsia="en-US"/>
          </w:rPr>
          <w:t>Program (2066): Upravljanje projektima EU – javna uprava i administracija</w:t>
        </w:r>
        <w:r>
          <w:rPr>
            <w:noProof/>
            <w:webHidden/>
          </w:rPr>
          <w:tab/>
        </w:r>
        <w:r>
          <w:rPr>
            <w:noProof/>
            <w:webHidden/>
          </w:rPr>
          <w:fldChar w:fldCharType="begin"/>
        </w:r>
        <w:r>
          <w:rPr>
            <w:noProof/>
            <w:webHidden/>
          </w:rPr>
          <w:instrText xml:space="preserve"> PAGEREF _Toc232981481 \h </w:instrText>
        </w:r>
        <w:r>
          <w:rPr>
            <w:noProof/>
            <w:webHidden/>
          </w:rPr>
        </w:r>
        <w:r>
          <w:rPr>
            <w:noProof/>
            <w:webHidden/>
          </w:rPr>
          <w:fldChar w:fldCharType="separate"/>
        </w:r>
        <w:r w:rsidR="00A821D8">
          <w:rPr>
            <w:noProof/>
            <w:webHidden/>
          </w:rPr>
          <w:t>352</w:t>
        </w:r>
        <w:r>
          <w:rPr>
            <w:noProof/>
            <w:webHidden/>
          </w:rPr>
          <w:fldChar w:fldCharType="end"/>
        </w:r>
      </w:hyperlink>
    </w:p>
    <w:p w14:paraId="4A1AB0EE" w14:textId="7D19264B"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82" w:history="1">
        <w:r w:rsidRPr="005E2BBA">
          <w:rPr>
            <w:rStyle w:val="Hiperveza"/>
            <w:rFonts w:eastAsia="Calibri"/>
            <w:noProof/>
          </w:rPr>
          <w:t>3.3.5.</w:t>
        </w:r>
        <w:r>
          <w:rPr>
            <w:rFonts w:eastAsiaTheme="minorEastAsia"/>
            <w:i w:val="0"/>
            <w:iCs w:val="0"/>
            <w:noProof/>
            <w:kern w:val="2"/>
            <w:sz w:val="24"/>
            <w:szCs w:val="24"/>
            <w14:ligatures w14:val="standardContextual"/>
          </w:rPr>
          <w:tab/>
        </w:r>
        <w:r w:rsidRPr="005E2BBA">
          <w:rPr>
            <w:rStyle w:val="Hiperveza"/>
            <w:rFonts w:eastAsia="Calibri"/>
            <w:noProof/>
          </w:rPr>
          <w:t>RAZDJEL: (050) UPRAVNI ODJEL ZA PROSTORNO UREĐENJE I ZAŠTITU OKOLIŠA</w:t>
        </w:r>
        <w:r>
          <w:rPr>
            <w:noProof/>
            <w:webHidden/>
          </w:rPr>
          <w:tab/>
        </w:r>
        <w:r>
          <w:rPr>
            <w:noProof/>
            <w:webHidden/>
          </w:rPr>
          <w:fldChar w:fldCharType="begin"/>
        </w:r>
        <w:r>
          <w:rPr>
            <w:noProof/>
            <w:webHidden/>
          </w:rPr>
          <w:instrText xml:space="preserve"> PAGEREF _Toc232981482 \h </w:instrText>
        </w:r>
        <w:r>
          <w:rPr>
            <w:noProof/>
            <w:webHidden/>
          </w:rPr>
        </w:r>
        <w:r>
          <w:rPr>
            <w:noProof/>
            <w:webHidden/>
          </w:rPr>
          <w:fldChar w:fldCharType="separate"/>
        </w:r>
        <w:r w:rsidR="00A821D8">
          <w:rPr>
            <w:noProof/>
            <w:webHidden/>
          </w:rPr>
          <w:t>357</w:t>
        </w:r>
        <w:r>
          <w:rPr>
            <w:noProof/>
            <w:webHidden/>
          </w:rPr>
          <w:fldChar w:fldCharType="end"/>
        </w:r>
      </w:hyperlink>
    </w:p>
    <w:p w14:paraId="7D027918" w14:textId="2D5FE834"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83" w:history="1">
        <w:r w:rsidRPr="005E2BBA">
          <w:rPr>
            <w:rStyle w:val="Hiperveza"/>
            <w:rFonts w:eastAsia="Calibri"/>
          </w:rPr>
          <w:t xml:space="preserve">3.4. </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Fonts w:eastAsia="Calibri"/>
          </w:rPr>
          <w:t>POSEBNI DIO PRORAČUNA–IZVRŠENJE FINANCIJSKIH PLANOVA PRORAČUNSKIH KORISNIKA SIJEČANJ –PROSINAC 2025.</w:t>
        </w:r>
        <w:r>
          <w:rPr>
            <w:webHidden/>
          </w:rPr>
          <w:tab/>
        </w:r>
        <w:r>
          <w:rPr>
            <w:webHidden/>
          </w:rPr>
          <w:fldChar w:fldCharType="begin"/>
        </w:r>
        <w:r>
          <w:rPr>
            <w:webHidden/>
          </w:rPr>
          <w:instrText xml:space="preserve"> PAGEREF _Toc232981483 \h </w:instrText>
        </w:r>
        <w:r>
          <w:rPr>
            <w:webHidden/>
          </w:rPr>
        </w:r>
        <w:r>
          <w:rPr>
            <w:webHidden/>
          </w:rPr>
          <w:fldChar w:fldCharType="separate"/>
        </w:r>
        <w:r w:rsidR="00A821D8">
          <w:rPr>
            <w:webHidden/>
          </w:rPr>
          <w:t>358</w:t>
        </w:r>
        <w:r>
          <w:rPr>
            <w:webHidden/>
          </w:rPr>
          <w:fldChar w:fldCharType="end"/>
        </w:r>
      </w:hyperlink>
    </w:p>
    <w:p w14:paraId="62EC775E" w14:textId="03BEAB59"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84" w:history="1">
        <w:r w:rsidRPr="005E2BBA">
          <w:rPr>
            <w:rStyle w:val="Hiperveza"/>
            <w:rFonts w:ascii="Arial" w:eastAsia="Calibri" w:hAnsi="Arial" w:cs="Arial"/>
            <w:noProof/>
          </w:rPr>
          <w:t>3.4.1.</w:t>
        </w:r>
        <w:r>
          <w:rPr>
            <w:rFonts w:eastAsiaTheme="minorEastAsia"/>
            <w:i w:val="0"/>
            <w:iCs w:val="0"/>
            <w:noProof/>
            <w:kern w:val="2"/>
            <w:sz w:val="24"/>
            <w:szCs w:val="24"/>
            <w14:ligatures w14:val="standardContextual"/>
          </w:rPr>
          <w:tab/>
        </w:r>
        <w:r w:rsidRPr="005E2BBA">
          <w:rPr>
            <w:rStyle w:val="Hiperveza"/>
            <w:rFonts w:ascii="Arial" w:eastAsia="Calibri" w:hAnsi="Arial" w:cs="Arial"/>
            <w:noProof/>
          </w:rPr>
          <w:t>GLAVA: (020 03) USTANOVA U KULTURI - MUZEJI I GALERIJE KONAVALA</w:t>
        </w:r>
        <w:r>
          <w:rPr>
            <w:noProof/>
            <w:webHidden/>
          </w:rPr>
          <w:tab/>
        </w:r>
        <w:r>
          <w:rPr>
            <w:noProof/>
            <w:webHidden/>
          </w:rPr>
          <w:fldChar w:fldCharType="begin"/>
        </w:r>
        <w:r>
          <w:rPr>
            <w:noProof/>
            <w:webHidden/>
          </w:rPr>
          <w:instrText xml:space="preserve"> PAGEREF _Toc232981484 \h </w:instrText>
        </w:r>
        <w:r>
          <w:rPr>
            <w:noProof/>
            <w:webHidden/>
          </w:rPr>
        </w:r>
        <w:r>
          <w:rPr>
            <w:noProof/>
            <w:webHidden/>
          </w:rPr>
          <w:fldChar w:fldCharType="separate"/>
        </w:r>
        <w:r w:rsidR="00A821D8">
          <w:rPr>
            <w:noProof/>
            <w:webHidden/>
          </w:rPr>
          <w:t>358</w:t>
        </w:r>
        <w:r>
          <w:rPr>
            <w:noProof/>
            <w:webHidden/>
          </w:rPr>
          <w:fldChar w:fldCharType="end"/>
        </w:r>
      </w:hyperlink>
    </w:p>
    <w:p w14:paraId="24AC2F7C" w14:textId="1C90EBDD"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85" w:history="1">
        <w:r w:rsidRPr="005E2BBA">
          <w:rPr>
            <w:rStyle w:val="Hiperveza"/>
            <w:rFonts w:eastAsia="Calibri"/>
            <w:noProof/>
          </w:rPr>
          <w:t>Program (2031): Javna ustanova u kulturi</w:t>
        </w:r>
        <w:r>
          <w:rPr>
            <w:noProof/>
            <w:webHidden/>
          </w:rPr>
          <w:tab/>
        </w:r>
        <w:r>
          <w:rPr>
            <w:noProof/>
            <w:webHidden/>
          </w:rPr>
          <w:fldChar w:fldCharType="begin"/>
        </w:r>
        <w:r>
          <w:rPr>
            <w:noProof/>
            <w:webHidden/>
          </w:rPr>
          <w:instrText xml:space="preserve"> PAGEREF _Toc232981485 \h </w:instrText>
        </w:r>
        <w:r>
          <w:rPr>
            <w:noProof/>
            <w:webHidden/>
          </w:rPr>
        </w:r>
        <w:r>
          <w:rPr>
            <w:noProof/>
            <w:webHidden/>
          </w:rPr>
          <w:fldChar w:fldCharType="separate"/>
        </w:r>
        <w:r w:rsidR="00A821D8">
          <w:rPr>
            <w:noProof/>
            <w:webHidden/>
          </w:rPr>
          <w:t>358</w:t>
        </w:r>
        <w:r>
          <w:rPr>
            <w:noProof/>
            <w:webHidden/>
          </w:rPr>
          <w:fldChar w:fldCharType="end"/>
        </w:r>
      </w:hyperlink>
    </w:p>
    <w:p w14:paraId="7CA675D2" w14:textId="093ECD74"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86" w:history="1">
        <w:r w:rsidRPr="005E2BBA">
          <w:rPr>
            <w:rStyle w:val="Hiperveza"/>
            <w:rFonts w:ascii="Arial" w:eastAsia="Calibri" w:hAnsi="Arial" w:cs="Arial"/>
            <w:noProof/>
          </w:rPr>
          <w:t>3.4.2.</w:t>
        </w:r>
        <w:r>
          <w:rPr>
            <w:rFonts w:eastAsiaTheme="minorEastAsia"/>
            <w:i w:val="0"/>
            <w:iCs w:val="0"/>
            <w:noProof/>
            <w:kern w:val="2"/>
            <w:sz w:val="24"/>
            <w:szCs w:val="24"/>
            <w14:ligatures w14:val="standardContextual"/>
          </w:rPr>
          <w:tab/>
        </w:r>
        <w:r w:rsidRPr="005E2BBA">
          <w:rPr>
            <w:rStyle w:val="Hiperveza"/>
            <w:rFonts w:ascii="Arial" w:eastAsia="Calibri" w:hAnsi="Arial" w:cs="Arial"/>
            <w:noProof/>
          </w:rPr>
          <w:t>GLAVA: (020 04) USTANOVA SOCIJALNE SKRBI – DOM ZA STARIJE I NEMOĆNE OSOBE KONAVLE</w:t>
        </w:r>
        <w:r>
          <w:rPr>
            <w:noProof/>
            <w:webHidden/>
          </w:rPr>
          <w:tab/>
        </w:r>
        <w:r>
          <w:rPr>
            <w:noProof/>
            <w:webHidden/>
          </w:rPr>
          <w:fldChar w:fldCharType="begin"/>
        </w:r>
        <w:r>
          <w:rPr>
            <w:noProof/>
            <w:webHidden/>
          </w:rPr>
          <w:instrText xml:space="preserve"> PAGEREF _Toc232981486 \h </w:instrText>
        </w:r>
        <w:r>
          <w:rPr>
            <w:noProof/>
            <w:webHidden/>
          </w:rPr>
        </w:r>
        <w:r>
          <w:rPr>
            <w:noProof/>
            <w:webHidden/>
          </w:rPr>
          <w:fldChar w:fldCharType="separate"/>
        </w:r>
        <w:r w:rsidR="00A821D8">
          <w:rPr>
            <w:noProof/>
            <w:webHidden/>
          </w:rPr>
          <w:t>382</w:t>
        </w:r>
        <w:r>
          <w:rPr>
            <w:noProof/>
            <w:webHidden/>
          </w:rPr>
          <w:fldChar w:fldCharType="end"/>
        </w:r>
      </w:hyperlink>
    </w:p>
    <w:p w14:paraId="1902E7F6" w14:textId="7FA70BC1"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87" w:history="1">
        <w:r w:rsidRPr="005E2BBA">
          <w:rPr>
            <w:rStyle w:val="Hiperveza"/>
            <w:rFonts w:eastAsia="Calibri"/>
            <w:noProof/>
          </w:rPr>
          <w:t>Program (2044): Socijalna skrb – Dom za starije i nemoćne osobe Konavle</w:t>
        </w:r>
        <w:r>
          <w:rPr>
            <w:noProof/>
            <w:webHidden/>
          </w:rPr>
          <w:tab/>
        </w:r>
        <w:r>
          <w:rPr>
            <w:noProof/>
            <w:webHidden/>
          </w:rPr>
          <w:fldChar w:fldCharType="begin"/>
        </w:r>
        <w:r>
          <w:rPr>
            <w:noProof/>
            <w:webHidden/>
          </w:rPr>
          <w:instrText xml:space="preserve"> PAGEREF _Toc232981487 \h </w:instrText>
        </w:r>
        <w:r>
          <w:rPr>
            <w:noProof/>
            <w:webHidden/>
          </w:rPr>
        </w:r>
        <w:r>
          <w:rPr>
            <w:noProof/>
            <w:webHidden/>
          </w:rPr>
          <w:fldChar w:fldCharType="separate"/>
        </w:r>
        <w:r w:rsidR="00A821D8">
          <w:rPr>
            <w:noProof/>
            <w:webHidden/>
          </w:rPr>
          <w:t>382</w:t>
        </w:r>
        <w:r>
          <w:rPr>
            <w:noProof/>
            <w:webHidden/>
          </w:rPr>
          <w:fldChar w:fldCharType="end"/>
        </w:r>
      </w:hyperlink>
    </w:p>
    <w:p w14:paraId="1F8986C9" w14:textId="7618035B"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88" w:history="1">
        <w:r w:rsidRPr="005E2BBA">
          <w:rPr>
            <w:rStyle w:val="Hiperveza"/>
            <w:rFonts w:ascii="Arial" w:eastAsia="Calibri" w:hAnsi="Arial" w:cs="Arial"/>
            <w:noProof/>
          </w:rPr>
          <w:t>3.4.3.</w:t>
        </w:r>
        <w:r>
          <w:rPr>
            <w:rFonts w:eastAsiaTheme="minorEastAsia"/>
            <w:i w:val="0"/>
            <w:iCs w:val="0"/>
            <w:noProof/>
            <w:kern w:val="2"/>
            <w:sz w:val="24"/>
            <w:szCs w:val="24"/>
            <w14:ligatures w14:val="standardContextual"/>
          </w:rPr>
          <w:tab/>
        </w:r>
        <w:r w:rsidRPr="005E2BBA">
          <w:rPr>
            <w:rStyle w:val="Hiperveza"/>
            <w:rFonts w:ascii="Arial" w:eastAsia="Calibri" w:hAnsi="Arial" w:cs="Arial"/>
            <w:noProof/>
          </w:rPr>
          <w:t>GLAVA: (020 05) USTANOVA PREDŠKOLSKOG ODGOJA – DJEČJI VRTIĆ KONAVLE</w:t>
        </w:r>
        <w:r>
          <w:rPr>
            <w:noProof/>
            <w:webHidden/>
          </w:rPr>
          <w:tab/>
        </w:r>
        <w:r>
          <w:rPr>
            <w:noProof/>
            <w:webHidden/>
          </w:rPr>
          <w:fldChar w:fldCharType="begin"/>
        </w:r>
        <w:r>
          <w:rPr>
            <w:noProof/>
            <w:webHidden/>
          </w:rPr>
          <w:instrText xml:space="preserve"> PAGEREF _Toc232981488 \h </w:instrText>
        </w:r>
        <w:r>
          <w:rPr>
            <w:noProof/>
            <w:webHidden/>
          </w:rPr>
        </w:r>
        <w:r>
          <w:rPr>
            <w:noProof/>
            <w:webHidden/>
          </w:rPr>
          <w:fldChar w:fldCharType="separate"/>
        </w:r>
        <w:r w:rsidR="00A821D8">
          <w:rPr>
            <w:noProof/>
            <w:webHidden/>
          </w:rPr>
          <w:t>396</w:t>
        </w:r>
        <w:r>
          <w:rPr>
            <w:noProof/>
            <w:webHidden/>
          </w:rPr>
          <w:fldChar w:fldCharType="end"/>
        </w:r>
      </w:hyperlink>
    </w:p>
    <w:p w14:paraId="7A048C41" w14:textId="1935406F"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89" w:history="1">
        <w:r w:rsidRPr="005E2BBA">
          <w:rPr>
            <w:rStyle w:val="Hiperveza"/>
            <w:rFonts w:eastAsia="Calibri"/>
            <w:noProof/>
          </w:rPr>
          <w:t>Program (2051): Odgoj, naobrazba i skrb o predškolskoj djeci</w:t>
        </w:r>
        <w:r>
          <w:rPr>
            <w:noProof/>
            <w:webHidden/>
          </w:rPr>
          <w:tab/>
        </w:r>
        <w:r>
          <w:rPr>
            <w:noProof/>
            <w:webHidden/>
          </w:rPr>
          <w:fldChar w:fldCharType="begin"/>
        </w:r>
        <w:r>
          <w:rPr>
            <w:noProof/>
            <w:webHidden/>
          </w:rPr>
          <w:instrText xml:space="preserve"> PAGEREF _Toc232981489 \h </w:instrText>
        </w:r>
        <w:r>
          <w:rPr>
            <w:noProof/>
            <w:webHidden/>
          </w:rPr>
        </w:r>
        <w:r>
          <w:rPr>
            <w:noProof/>
            <w:webHidden/>
          </w:rPr>
          <w:fldChar w:fldCharType="separate"/>
        </w:r>
        <w:r w:rsidR="00A821D8">
          <w:rPr>
            <w:noProof/>
            <w:webHidden/>
          </w:rPr>
          <w:t>396</w:t>
        </w:r>
        <w:r>
          <w:rPr>
            <w:noProof/>
            <w:webHidden/>
          </w:rPr>
          <w:fldChar w:fldCharType="end"/>
        </w:r>
      </w:hyperlink>
    </w:p>
    <w:p w14:paraId="1B85A582" w14:textId="2E941C33"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90" w:history="1">
        <w:r w:rsidRPr="005E2BBA">
          <w:rPr>
            <w:rStyle w:val="Hiperveza"/>
            <w:rFonts w:ascii="Arial" w:eastAsia="Calibri" w:hAnsi="Arial" w:cs="Arial"/>
            <w:noProof/>
          </w:rPr>
          <w:t>3.4.4.</w:t>
        </w:r>
        <w:r>
          <w:rPr>
            <w:rFonts w:eastAsiaTheme="minorEastAsia"/>
            <w:i w:val="0"/>
            <w:iCs w:val="0"/>
            <w:noProof/>
            <w:kern w:val="2"/>
            <w:sz w:val="24"/>
            <w:szCs w:val="24"/>
            <w14:ligatures w14:val="standardContextual"/>
          </w:rPr>
          <w:tab/>
        </w:r>
        <w:r w:rsidRPr="005E2BBA">
          <w:rPr>
            <w:rStyle w:val="Hiperveza"/>
            <w:rFonts w:ascii="Arial" w:eastAsia="Calibri" w:hAnsi="Arial" w:cs="Arial"/>
            <w:noProof/>
          </w:rPr>
          <w:t>GLAVA: (030 02) USTANOVA ZA VATROGASNU DJELATNOST – JAVNA VATROGASNA POSTROJBA KONAVLE</w:t>
        </w:r>
        <w:r>
          <w:rPr>
            <w:noProof/>
            <w:webHidden/>
          </w:rPr>
          <w:tab/>
        </w:r>
        <w:r>
          <w:rPr>
            <w:noProof/>
            <w:webHidden/>
          </w:rPr>
          <w:fldChar w:fldCharType="begin"/>
        </w:r>
        <w:r>
          <w:rPr>
            <w:noProof/>
            <w:webHidden/>
          </w:rPr>
          <w:instrText xml:space="preserve"> PAGEREF _Toc232981490 \h </w:instrText>
        </w:r>
        <w:r>
          <w:rPr>
            <w:noProof/>
            <w:webHidden/>
          </w:rPr>
        </w:r>
        <w:r>
          <w:rPr>
            <w:noProof/>
            <w:webHidden/>
          </w:rPr>
          <w:fldChar w:fldCharType="separate"/>
        </w:r>
        <w:r w:rsidR="00A821D8">
          <w:rPr>
            <w:noProof/>
            <w:webHidden/>
          </w:rPr>
          <w:t>410</w:t>
        </w:r>
        <w:r>
          <w:rPr>
            <w:noProof/>
            <w:webHidden/>
          </w:rPr>
          <w:fldChar w:fldCharType="end"/>
        </w:r>
      </w:hyperlink>
    </w:p>
    <w:p w14:paraId="712B247F" w14:textId="4B2E0A35" w:rsidR="0059051D" w:rsidRDefault="0059051D">
      <w:pPr>
        <w:pStyle w:val="Sadraj3"/>
        <w:tabs>
          <w:tab w:val="right" w:leader="dot" w:pos="14560"/>
        </w:tabs>
        <w:rPr>
          <w:rFonts w:eastAsiaTheme="minorEastAsia"/>
          <w:i w:val="0"/>
          <w:iCs w:val="0"/>
          <w:noProof/>
          <w:kern w:val="2"/>
          <w:sz w:val="24"/>
          <w:szCs w:val="24"/>
          <w14:ligatures w14:val="standardContextual"/>
        </w:rPr>
      </w:pPr>
      <w:hyperlink w:anchor="_Toc232981491" w:history="1">
        <w:r w:rsidRPr="005E2BBA">
          <w:rPr>
            <w:rStyle w:val="Hiperveza"/>
            <w:rFonts w:eastAsia="Calibri"/>
            <w:noProof/>
          </w:rPr>
          <w:t>Program (2071): Redovna djelatnost javne vatrogasne postrojbe</w:t>
        </w:r>
        <w:r>
          <w:rPr>
            <w:noProof/>
            <w:webHidden/>
          </w:rPr>
          <w:tab/>
        </w:r>
        <w:r>
          <w:rPr>
            <w:noProof/>
            <w:webHidden/>
          </w:rPr>
          <w:fldChar w:fldCharType="begin"/>
        </w:r>
        <w:r>
          <w:rPr>
            <w:noProof/>
            <w:webHidden/>
          </w:rPr>
          <w:instrText xml:space="preserve"> PAGEREF _Toc232981491 \h </w:instrText>
        </w:r>
        <w:r>
          <w:rPr>
            <w:noProof/>
            <w:webHidden/>
          </w:rPr>
        </w:r>
        <w:r>
          <w:rPr>
            <w:noProof/>
            <w:webHidden/>
          </w:rPr>
          <w:fldChar w:fldCharType="separate"/>
        </w:r>
        <w:r w:rsidR="00A821D8">
          <w:rPr>
            <w:noProof/>
            <w:webHidden/>
          </w:rPr>
          <w:t>410</w:t>
        </w:r>
        <w:r>
          <w:rPr>
            <w:noProof/>
            <w:webHidden/>
          </w:rPr>
          <w:fldChar w:fldCharType="end"/>
        </w:r>
      </w:hyperlink>
    </w:p>
    <w:p w14:paraId="1F2405CA" w14:textId="041125D6" w:rsidR="0059051D" w:rsidRDefault="0059051D">
      <w:pPr>
        <w:pStyle w:val="Sadraj1"/>
        <w:rPr>
          <w:rFonts w:asciiTheme="minorHAnsi" w:eastAsiaTheme="minorEastAsia" w:hAnsiTheme="minorHAnsi" w:cstheme="minorBidi"/>
          <w:b w:val="0"/>
          <w:bCs w:val="0"/>
          <w:caps w:val="0"/>
          <w:kern w:val="2"/>
          <w:sz w:val="24"/>
          <w:szCs w:val="24"/>
          <w14:ligatures w14:val="standardContextual"/>
        </w:rPr>
      </w:pPr>
      <w:hyperlink w:anchor="_Toc232981492" w:history="1">
        <w:r w:rsidRPr="005E2BBA">
          <w:rPr>
            <w:rStyle w:val="Hiperveza"/>
          </w:rPr>
          <w:t>4. POSEBNI IZVJEŠTAJI U IZVJEŠTAJU O IZVRŠENJU PRORAČUNA</w:t>
        </w:r>
        <w:r>
          <w:rPr>
            <w:webHidden/>
          </w:rPr>
          <w:tab/>
        </w:r>
        <w:r>
          <w:rPr>
            <w:webHidden/>
          </w:rPr>
          <w:fldChar w:fldCharType="begin"/>
        </w:r>
        <w:r>
          <w:rPr>
            <w:webHidden/>
          </w:rPr>
          <w:instrText xml:space="preserve"> PAGEREF _Toc232981492 \h </w:instrText>
        </w:r>
        <w:r>
          <w:rPr>
            <w:webHidden/>
          </w:rPr>
        </w:r>
        <w:r>
          <w:rPr>
            <w:webHidden/>
          </w:rPr>
          <w:fldChar w:fldCharType="separate"/>
        </w:r>
        <w:r w:rsidR="00A821D8">
          <w:rPr>
            <w:webHidden/>
          </w:rPr>
          <w:t>422</w:t>
        </w:r>
        <w:r>
          <w:rPr>
            <w:webHidden/>
          </w:rPr>
          <w:fldChar w:fldCharType="end"/>
        </w:r>
      </w:hyperlink>
    </w:p>
    <w:p w14:paraId="43FECE5B" w14:textId="127AE9BF"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93" w:history="1">
        <w:r w:rsidRPr="005E2BBA">
          <w:rPr>
            <w:rStyle w:val="Hiperveza"/>
            <w:rFonts w:eastAsia="Calibri"/>
          </w:rPr>
          <w:t xml:space="preserve">4.1. </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Fonts w:eastAsia="Calibri"/>
          </w:rPr>
          <w:t>IZVJEŠTAJ O KORIŠTENJU PRORAČUNSKE ZALIHE</w:t>
        </w:r>
        <w:r>
          <w:rPr>
            <w:webHidden/>
          </w:rPr>
          <w:tab/>
        </w:r>
        <w:r>
          <w:rPr>
            <w:webHidden/>
          </w:rPr>
          <w:fldChar w:fldCharType="begin"/>
        </w:r>
        <w:r>
          <w:rPr>
            <w:webHidden/>
          </w:rPr>
          <w:instrText xml:space="preserve"> PAGEREF _Toc232981493 \h </w:instrText>
        </w:r>
        <w:r>
          <w:rPr>
            <w:webHidden/>
          </w:rPr>
        </w:r>
        <w:r>
          <w:rPr>
            <w:webHidden/>
          </w:rPr>
          <w:fldChar w:fldCharType="separate"/>
        </w:r>
        <w:r w:rsidR="00A821D8">
          <w:rPr>
            <w:webHidden/>
          </w:rPr>
          <w:t>422</w:t>
        </w:r>
        <w:r>
          <w:rPr>
            <w:webHidden/>
          </w:rPr>
          <w:fldChar w:fldCharType="end"/>
        </w:r>
      </w:hyperlink>
    </w:p>
    <w:p w14:paraId="213F46D6" w14:textId="331668A1"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94" w:history="1">
        <w:r w:rsidRPr="005E2BBA">
          <w:rPr>
            <w:rStyle w:val="Hiperveza"/>
          </w:rPr>
          <w:t>4.2.</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IZVJEŠTAJ O ZADUŽIVANJU NA DOMAĆEM I STRANOM TRŽIŠTU NOVCA I KAPITALA</w:t>
        </w:r>
        <w:r>
          <w:rPr>
            <w:webHidden/>
          </w:rPr>
          <w:tab/>
        </w:r>
        <w:r>
          <w:rPr>
            <w:webHidden/>
          </w:rPr>
          <w:fldChar w:fldCharType="begin"/>
        </w:r>
        <w:r>
          <w:rPr>
            <w:webHidden/>
          </w:rPr>
          <w:instrText xml:space="preserve"> PAGEREF _Toc232981494 \h </w:instrText>
        </w:r>
        <w:r>
          <w:rPr>
            <w:webHidden/>
          </w:rPr>
        </w:r>
        <w:r>
          <w:rPr>
            <w:webHidden/>
          </w:rPr>
          <w:fldChar w:fldCharType="separate"/>
        </w:r>
        <w:r w:rsidR="00A821D8">
          <w:rPr>
            <w:webHidden/>
          </w:rPr>
          <w:t>423</w:t>
        </w:r>
        <w:r>
          <w:rPr>
            <w:webHidden/>
          </w:rPr>
          <w:fldChar w:fldCharType="end"/>
        </w:r>
      </w:hyperlink>
    </w:p>
    <w:p w14:paraId="138D480D" w14:textId="34545E91"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95" w:history="1">
        <w:r w:rsidRPr="005E2BBA">
          <w:rPr>
            <w:rStyle w:val="Hiperveza"/>
            <w:rFonts w:ascii="Arial" w:hAnsi="Arial" w:cs="Arial"/>
            <w:noProof/>
          </w:rPr>
          <w:t>4.2.1.</w:t>
        </w:r>
        <w:r>
          <w:rPr>
            <w:rFonts w:eastAsiaTheme="minorEastAsia"/>
            <w:i w:val="0"/>
            <w:iCs w:val="0"/>
            <w:noProof/>
            <w:kern w:val="2"/>
            <w:sz w:val="24"/>
            <w:szCs w:val="24"/>
            <w14:ligatures w14:val="standardContextual"/>
          </w:rPr>
          <w:tab/>
        </w:r>
        <w:r w:rsidRPr="005E2BBA">
          <w:rPr>
            <w:rStyle w:val="Hiperveza"/>
            <w:rFonts w:ascii="Arial" w:hAnsi="Arial" w:cs="Arial"/>
            <w:noProof/>
          </w:rPr>
          <w:t>PREGLED PRIMLJENIH KREDITA I OBVEZA PO KREDITIMA - OPĆINA</w:t>
        </w:r>
        <w:r>
          <w:rPr>
            <w:noProof/>
            <w:webHidden/>
          </w:rPr>
          <w:tab/>
        </w:r>
        <w:r>
          <w:rPr>
            <w:noProof/>
            <w:webHidden/>
          </w:rPr>
          <w:fldChar w:fldCharType="begin"/>
        </w:r>
        <w:r>
          <w:rPr>
            <w:noProof/>
            <w:webHidden/>
          </w:rPr>
          <w:instrText xml:space="preserve"> PAGEREF _Toc232981495 \h </w:instrText>
        </w:r>
        <w:r>
          <w:rPr>
            <w:noProof/>
            <w:webHidden/>
          </w:rPr>
        </w:r>
        <w:r>
          <w:rPr>
            <w:noProof/>
            <w:webHidden/>
          </w:rPr>
          <w:fldChar w:fldCharType="separate"/>
        </w:r>
        <w:r w:rsidR="00A821D8">
          <w:rPr>
            <w:noProof/>
            <w:webHidden/>
          </w:rPr>
          <w:t>423</w:t>
        </w:r>
        <w:r>
          <w:rPr>
            <w:noProof/>
            <w:webHidden/>
          </w:rPr>
          <w:fldChar w:fldCharType="end"/>
        </w:r>
      </w:hyperlink>
    </w:p>
    <w:p w14:paraId="2E11D910" w14:textId="1A352CAA" w:rsidR="0059051D" w:rsidRDefault="0059051D">
      <w:pPr>
        <w:pStyle w:val="Sadraj4"/>
        <w:tabs>
          <w:tab w:val="left" w:pos="1540"/>
          <w:tab w:val="right" w:leader="dot" w:pos="14560"/>
        </w:tabs>
        <w:rPr>
          <w:rFonts w:eastAsiaTheme="minorEastAsia"/>
          <w:noProof/>
          <w:kern w:val="2"/>
          <w:sz w:val="24"/>
          <w:szCs w:val="24"/>
          <w14:ligatures w14:val="standardContextual"/>
        </w:rPr>
      </w:pPr>
      <w:hyperlink w:anchor="_Toc232981496" w:history="1">
        <w:r w:rsidRPr="005E2BBA">
          <w:rPr>
            <w:rStyle w:val="Hiperveza"/>
            <w:rFonts w:eastAsia="Calibri"/>
            <w:noProof/>
          </w:rPr>
          <w:t>4.2.1.1.</w:t>
        </w:r>
        <w:r>
          <w:rPr>
            <w:rFonts w:eastAsiaTheme="minorEastAsia"/>
            <w:noProof/>
            <w:kern w:val="2"/>
            <w:sz w:val="24"/>
            <w:szCs w:val="24"/>
            <w14:ligatures w14:val="standardContextual"/>
          </w:rPr>
          <w:tab/>
        </w:r>
        <w:r w:rsidRPr="005E2BBA">
          <w:rPr>
            <w:rStyle w:val="Hiperveza"/>
            <w:rFonts w:eastAsia="Calibri"/>
            <w:noProof/>
          </w:rPr>
          <w:t>PREGLED PRIMLJENIH KREDITA / ZAJMOVA I OBVEZA PO KREDITIMA / ZAJMOVIMA OD FINANCIJSKIH INSTITUCIJA</w:t>
        </w:r>
        <w:r>
          <w:rPr>
            <w:noProof/>
            <w:webHidden/>
          </w:rPr>
          <w:tab/>
        </w:r>
        <w:r>
          <w:rPr>
            <w:noProof/>
            <w:webHidden/>
          </w:rPr>
          <w:fldChar w:fldCharType="begin"/>
        </w:r>
        <w:r>
          <w:rPr>
            <w:noProof/>
            <w:webHidden/>
          </w:rPr>
          <w:instrText xml:space="preserve"> PAGEREF _Toc232981496 \h </w:instrText>
        </w:r>
        <w:r>
          <w:rPr>
            <w:noProof/>
            <w:webHidden/>
          </w:rPr>
        </w:r>
        <w:r>
          <w:rPr>
            <w:noProof/>
            <w:webHidden/>
          </w:rPr>
          <w:fldChar w:fldCharType="separate"/>
        </w:r>
        <w:r w:rsidR="00A821D8">
          <w:rPr>
            <w:noProof/>
            <w:webHidden/>
          </w:rPr>
          <w:t>423</w:t>
        </w:r>
        <w:r>
          <w:rPr>
            <w:noProof/>
            <w:webHidden/>
          </w:rPr>
          <w:fldChar w:fldCharType="end"/>
        </w:r>
      </w:hyperlink>
    </w:p>
    <w:p w14:paraId="7DC11972" w14:textId="4AFD7E8E" w:rsidR="0059051D" w:rsidRDefault="0059051D">
      <w:pPr>
        <w:pStyle w:val="Sadraj4"/>
        <w:tabs>
          <w:tab w:val="left" w:pos="1540"/>
          <w:tab w:val="right" w:leader="dot" w:pos="14560"/>
        </w:tabs>
        <w:rPr>
          <w:rFonts w:eastAsiaTheme="minorEastAsia"/>
          <w:noProof/>
          <w:kern w:val="2"/>
          <w:sz w:val="24"/>
          <w:szCs w:val="24"/>
          <w14:ligatures w14:val="standardContextual"/>
        </w:rPr>
      </w:pPr>
      <w:hyperlink w:anchor="_Toc232981497" w:history="1">
        <w:r w:rsidRPr="005E2BBA">
          <w:rPr>
            <w:rStyle w:val="Hiperveza"/>
            <w:rFonts w:eastAsia="Calibri"/>
            <w:noProof/>
          </w:rPr>
          <w:t>4.2.1.2.</w:t>
        </w:r>
        <w:r>
          <w:rPr>
            <w:rFonts w:eastAsiaTheme="minorEastAsia"/>
            <w:noProof/>
            <w:kern w:val="2"/>
            <w:sz w:val="24"/>
            <w:szCs w:val="24"/>
            <w14:ligatures w14:val="standardContextual"/>
          </w:rPr>
          <w:tab/>
        </w:r>
        <w:r w:rsidRPr="005E2BBA">
          <w:rPr>
            <w:rStyle w:val="Hiperveza"/>
            <w:rFonts w:eastAsia="Calibri"/>
            <w:noProof/>
          </w:rPr>
          <w:t>PREGLED PRIMLJENIH KREDITA I OBVEZA PO BESKAMATNIM ZAJMOVIMA IZ DRŽAVNOG PRORAČUNA</w:t>
        </w:r>
        <w:r>
          <w:rPr>
            <w:noProof/>
            <w:webHidden/>
          </w:rPr>
          <w:tab/>
        </w:r>
        <w:r>
          <w:rPr>
            <w:noProof/>
            <w:webHidden/>
          </w:rPr>
          <w:fldChar w:fldCharType="begin"/>
        </w:r>
        <w:r>
          <w:rPr>
            <w:noProof/>
            <w:webHidden/>
          </w:rPr>
          <w:instrText xml:space="preserve"> PAGEREF _Toc232981497 \h </w:instrText>
        </w:r>
        <w:r>
          <w:rPr>
            <w:noProof/>
            <w:webHidden/>
          </w:rPr>
        </w:r>
        <w:r>
          <w:rPr>
            <w:noProof/>
            <w:webHidden/>
          </w:rPr>
          <w:fldChar w:fldCharType="separate"/>
        </w:r>
        <w:r w:rsidR="00A821D8">
          <w:rPr>
            <w:noProof/>
            <w:webHidden/>
          </w:rPr>
          <w:t>433</w:t>
        </w:r>
        <w:r>
          <w:rPr>
            <w:noProof/>
            <w:webHidden/>
          </w:rPr>
          <w:fldChar w:fldCharType="end"/>
        </w:r>
      </w:hyperlink>
    </w:p>
    <w:p w14:paraId="73FA140F" w14:textId="129379F6"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498" w:history="1">
        <w:r w:rsidRPr="005E2BBA">
          <w:rPr>
            <w:rStyle w:val="Hiperveza"/>
            <w:rFonts w:ascii="Arial" w:hAnsi="Arial" w:cs="Arial"/>
            <w:noProof/>
          </w:rPr>
          <w:t>4.2.2.</w:t>
        </w:r>
        <w:r>
          <w:rPr>
            <w:rFonts w:eastAsiaTheme="minorEastAsia"/>
            <w:i w:val="0"/>
            <w:iCs w:val="0"/>
            <w:noProof/>
            <w:kern w:val="2"/>
            <w:sz w:val="24"/>
            <w:szCs w:val="24"/>
            <w14:ligatures w14:val="standardContextual"/>
          </w:rPr>
          <w:tab/>
        </w:r>
        <w:r w:rsidRPr="005E2BBA">
          <w:rPr>
            <w:rStyle w:val="Hiperveza"/>
            <w:rFonts w:ascii="Arial" w:hAnsi="Arial" w:cs="Arial"/>
            <w:noProof/>
          </w:rPr>
          <w:t>PREGLED PRIMLJENIH KREDITA I OBVEZA PO KREDITIMA – PRORAČUNSKI KORISNICI</w:t>
        </w:r>
        <w:r>
          <w:rPr>
            <w:noProof/>
            <w:webHidden/>
          </w:rPr>
          <w:tab/>
        </w:r>
        <w:r>
          <w:rPr>
            <w:noProof/>
            <w:webHidden/>
          </w:rPr>
          <w:fldChar w:fldCharType="begin"/>
        </w:r>
        <w:r>
          <w:rPr>
            <w:noProof/>
            <w:webHidden/>
          </w:rPr>
          <w:instrText xml:space="preserve"> PAGEREF _Toc232981498 \h </w:instrText>
        </w:r>
        <w:r>
          <w:rPr>
            <w:noProof/>
            <w:webHidden/>
          </w:rPr>
        </w:r>
        <w:r>
          <w:rPr>
            <w:noProof/>
            <w:webHidden/>
          </w:rPr>
          <w:fldChar w:fldCharType="separate"/>
        </w:r>
        <w:r w:rsidR="00A821D8">
          <w:rPr>
            <w:noProof/>
            <w:webHidden/>
          </w:rPr>
          <w:t>435</w:t>
        </w:r>
        <w:r>
          <w:rPr>
            <w:noProof/>
            <w:webHidden/>
          </w:rPr>
          <w:fldChar w:fldCharType="end"/>
        </w:r>
      </w:hyperlink>
    </w:p>
    <w:p w14:paraId="5BE08825" w14:textId="13828E98"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499" w:history="1">
        <w:r w:rsidRPr="005E2BBA">
          <w:rPr>
            <w:rStyle w:val="Hiperveza"/>
            <w:rFonts w:eastAsia="Calibri"/>
          </w:rPr>
          <w:t xml:space="preserve">4.3. </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Fonts w:eastAsia="Calibri"/>
          </w:rPr>
          <w:t>IZVJEŠTAJ O DANIM JAMSTVIMA I PLAĆANJIMA PO PROTESTIRANIM JAMSTVIMA</w:t>
        </w:r>
        <w:r>
          <w:rPr>
            <w:webHidden/>
          </w:rPr>
          <w:tab/>
        </w:r>
        <w:r>
          <w:rPr>
            <w:webHidden/>
          </w:rPr>
          <w:fldChar w:fldCharType="begin"/>
        </w:r>
        <w:r>
          <w:rPr>
            <w:webHidden/>
          </w:rPr>
          <w:instrText xml:space="preserve"> PAGEREF _Toc232981499 \h </w:instrText>
        </w:r>
        <w:r>
          <w:rPr>
            <w:webHidden/>
          </w:rPr>
        </w:r>
        <w:r>
          <w:rPr>
            <w:webHidden/>
          </w:rPr>
          <w:fldChar w:fldCharType="separate"/>
        </w:r>
        <w:r w:rsidR="00A821D8">
          <w:rPr>
            <w:webHidden/>
          </w:rPr>
          <w:t>435</w:t>
        </w:r>
        <w:r>
          <w:rPr>
            <w:webHidden/>
          </w:rPr>
          <w:fldChar w:fldCharType="end"/>
        </w:r>
      </w:hyperlink>
    </w:p>
    <w:p w14:paraId="4FD3E7A8" w14:textId="626A03BB"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500" w:history="1">
        <w:r w:rsidRPr="005E2BBA">
          <w:rPr>
            <w:rStyle w:val="Hiperveza"/>
            <w:rFonts w:eastAsia="Calibri"/>
          </w:rPr>
          <w:t xml:space="preserve">4.4. </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Fonts w:eastAsia="Calibri"/>
          </w:rPr>
          <w:t>IZVJEŠTAJ O KORIŠTENJU SREDSTAVA FONDOVA EUROPSKE UNIJE</w:t>
        </w:r>
        <w:r>
          <w:rPr>
            <w:webHidden/>
          </w:rPr>
          <w:tab/>
        </w:r>
        <w:r>
          <w:rPr>
            <w:webHidden/>
          </w:rPr>
          <w:fldChar w:fldCharType="begin"/>
        </w:r>
        <w:r>
          <w:rPr>
            <w:webHidden/>
          </w:rPr>
          <w:instrText xml:space="preserve"> PAGEREF _Toc232981500 \h </w:instrText>
        </w:r>
        <w:r>
          <w:rPr>
            <w:webHidden/>
          </w:rPr>
        </w:r>
        <w:r>
          <w:rPr>
            <w:webHidden/>
          </w:rPr>
          <w:fldChar w:fldCharType="separate"/>
        </w:r>
        <w:r w:rsidR="00A821D8">
          <w:rPr>
            <w:webHidden/>
          </w:rPr>
          <w:t>438</w:t>
        </w:r>
        <w:r>
          <w:rPr>
            <w:webHidden/>
          </w:rPr>
          <w:fldChar w:fldCharType="end"/>
        </w:r>
      </w:hyperlink>
    </w:p>
    <w:p w14:paraId="0F6AE74F" w14:textId="51994FB4"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501" w:history="1">
        <w:r w:rsidRPr="005E2BBA">
          <w:rPr>
            <w:rStyle w:val="Hiperveza"/>
          </w:rPr>
          <w:t>4.5.</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IZVJEŠTAJ O DANIM ZAJMOVIMA I POTRAŽIVANJA PO DANIM ZAJMOVIMA</w:t>
        </w:r>
        <w:r>
          <w:rPr>
            <w:webHidden/>
          </w:rPr>
          <w:tab/>
        </w:r>
        <w:r>
          <w:rPr>
            <w:webHidden/>
          </w:rPr>
          <w:fldChar w:fldCharType="begin"/>
        </w:r>
        <w:r>
          <w:rPr>
            <w:webHidden/>
          </w:rPr>
          <w:instrText xml:space="preserve"> PAGEREF _Toc232981501 \h </w:instrText>
        </w:r>
        <w:r>
          <w:rPr>
            <w:webHidden/>
          </w:rPr>
        </w:r>
        <w:r>
          <w:rPr>
            <w:webHidden/>
          </w:rPr>
          <w:fldChar w:fldCharType="separate"/>
        </w:r>
        <w:r w:rsidR="00A821D8">
          <w:rPr>
            <w:webHidden/>
          </w:rPr>
          <w:t>450</w:t>
        </w:r>
        <w:r>
          <w:rPr>
            <w:webHidden/>
          </w:rPr>
          <w:fldChar w:fldCharType="end"/>
        </w:r>
      </w:hyperlink>
    </w:p>
    <w:p w14:paraId="13387BEC" w14:textId="142C9020"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502" w:history="1">
        <w:r w:rsidRPr="005E2BBA">
          <w:rPr>
            <w:rStyle w:val="Hiperveza"/>
          </w:rPr>
          <w:t>4.6.</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IZVJEŠTAJ O STANJU POTRAŽIVANJA I DOSPJELIH OBVEZA TE STANJU POTENCIJALNIH OBVEZA PO OSNOVI SUDSKIH SPOROVA</w:t>
        </w:r>
        <w:r>
          <w:rPr>
            <w:webHidden/>
          </w:rPr>
          <w:tab/>
        </w:r>
        <w:r>
          <w:rPr>
            <w:webHidden/>
          </w:rPr>
          <w:fldChar w:fldCharType="begin"/>
        </w:r>
        <w:r>
          <w:rPr>
            <w:webHidden/>
          </w:rPr>
          <w:instrText xml:space="preserve"> PAGEREF _Toc232981502 \h </w:instrText>
        </w:r>
        <w:r>
          <w:rPr>
            <w:webHidden/>
          </w:rPr>
        </w:r>
        <w:r>
          <w:rPr>
            <w:webHidden/>
          </w:rPr>
          <w:fldChar w:fldCharType="separate"/>
        </w:r>
        <w:r w:rsidR="00A821D8">
          <w:rPr>
            <w:webHidden/>
          </w:rPr>
          <w:t>451</w:t>
        </w:r>
        <w:r>
          <w:rPr>
            <w:webHidden/>
          </w:rPr>
          <w:fldChar w:fldCharType="end"/>
        </w:r>
      </w:hyperlink>
    </w:p>
    <w:p w14:paraId="78F6C561" w14:textId="37A6E934"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503" w:history="1">
        <w:r w:rsidRPr="005E2BBA">
          <w:rPr>
            <w:rStyle w:val="Hiperveza"/>
            <w:rFonts w:ascii="Arial" w:hAnsi="Arial" w:cs="Arial"/>
            <w:noProof/>
          </w:rPr>
          <w:t>4.6.1.</w:t>
        </w:r>
        <w:r>
          <w:rPr>
            <w:rFonts w:eastAsiaTheme="minorEastAsia"/>
            <w:i w:val="0"/>
            <w:iCs w:val="0"/>
            <w:noProof/>
            <w:kern w:val="2"/>
            <w:sz w:val="24"/>
            <w:szCs w:val="24"/>
            <w14:ligatures w14:val="standardContextual"/>
          </w:rPr>
          <w:tab/>
        </w:r>
        <w:r w:rsidRPr="005E2BBA">
          <w:rPr>
            <w:rStyle w:val="Hiperveza"/>
            <w:rFonts w:ascii="Arial" w:hAnsi="Arial" w:cs="Arial"/>
            <w:noProof/>
          </w:rPr>
          <w:t>STANJE NENAPLAĆENIH POTRAŽIVANJA</w:t>
        </w:r>
        <w:r>
          <w:rPr>
            <w:noProof/>
            <w:webHidden/>
          </w:rPr>
          <w:tab/>
        </w:r>
        <w:r>
          <w:rPr>
            <w:noProof/>
            <w:webHidden/>
          </w:rPr>
          <w:fldChar w:fldCharType="begin"/>
        </w:r>
        <w:r>
          <w:rPr>
            <w:noProof/>
            <w:webHidden/>
          </w:rPr>
          <w:instrText xml:space="preserve"> PAGEREF _Toc232981503 \h </w:instrText>
        </w:r>
        <w:r>
          <w:rPr>
            <w:noProof/>
            <w:webHidden/>
          </w:rPr>
        </w:r>
        <w:r>
          <w:rPr>
            <w:noProof/>
            <w:webHidden/>
          </w:rPr>
          <w:fldChar w:fldCharType="separate"/>
        </w:r>
        <w:r w:rsidR="00A821D8">
          <w:rPr>
            <w:noProof/>
            <w:webHidden/>
          </w:rPr>
          <w:t>451</w:t>
        </w:r>
        <w:r>
          <w:rPr>
            <w:noProof/>
            <w:webHidden/>
          </w:rPr>
          <w:fldChar w:fldCharType="end"/>
        </w:r>
      </w:hyperlink>
    </w:p>
    <w:p w14:paraId="2DFF005E" w14:textId="456728D4"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504" w:history="1">
        <w:r w:rsidRPr="005E2BBA">
          <w:rPr>
            <w:rStyle w:val="Hiperveza"/>
            <w:rFonts w:ascii="Arial" w:hAnsi="Arial" w:cs="Arial"/>
            <w:noProof/>
          </w:rPr>
          <w:t>4.6.2.</w:t>
        </w:r>
        <w:r>
          <w:rPr>
            <w:rFonts w:eastAsiaTheme="minorEastAsia"/>
            <w:i w:val="0"/>
            <w:iCs w:val="0"/>
            <w:noProof/>
            <w:kern w:val="2"/>
            <w:sz w:val="24"/>
            <w:szCs w:val="24"/>
            <w14:ligatures w14:val="standardContextual"/>
          </w:rPr>
          <w:tab/>
        </w:r>
        <w:r w:rsidRPr="005E2BBA">
          <w:rPr>
            <w:rStyle w:val="Hiperveza"/>
            <w:rFonts w:ascii="Arial" w:hAnsi="Arial" w:cs="Arial"/>
            <w:noProof/>
          </w:rPr>
          <w:t>PREGLED UKUPNIH OBVEZA I STANJE NEPODMIRENIH DOSPJELIH OBVEZA</w:t>
        </w:r>
        <w:r>
          <w:rPr>
            <w:noProof/>
            <w:webHidden/>
          </w:rPr>
          <w:tab/>
        </w:r>
        <w:r>
          <w:rPr>
            <w:noProof/>
            <w:webHidden/>
          </w:rPr>
          <w:fldChar w:fldCharType="begin"/>
        </w:r>
        <w:r>
          <w:rPr>
            <w:noProof/>
            <w:webHidden/>
          </w:rPr>
          <w:instrText xml:space="preserve"> PAGEREF _Toc232981504 \h </w:instrText>
        </w:r>
        <w:r>
          <w:rPr>
            <w:noProof/>
            <w:webHidden/>
          </w:rPr>
        </w:r>
        <w:r>
          <w:rPr>
            <w:noProof/>
            <w:webHidden/>
          </w:rPr>
          <w:fldChar w:fldCharType="separate"/>
        </w:r>
        <w:r w:rsidR="00A821D8">
          <w:rPr>
            <w:noProof/>
            <w:webHidden/>
          </w:rPr>
          <w:t>455</w:t>
        </w:r>
        <w:r>
          <w:rPr>
            <w:noProof/>
            <w:webHidden/>
          </w:rPr>
          <w:fldChar w:fldCharType="end"/>
        </w:r>
      </w:hyperlink>
    </w:p>
    <w:p w14:paraId="2ABDDFCE" w14:textId="17D9372F" w:rsidR="0059051D" w:rsidRDefault="0059051D">
      <w:pPr>
        <w:pStyle w:val="Sadraj3"/>
        <w:tabs>
          <w:tab w:val="left" w:pos="1320"/>
          <w:tab w:val="right" w:leader="dot" w:pos="14560"/>
        </w:tabs>
        <w:rPr>
          <w:rFonts w:eastAsiaTheme="minorEastAsia"/>
          <w:i w:val="0"/>
          <w:iCs w:val="0"/>
          <w:noProof/>
          <w:kern w:val="2"/>
          <w:sz w:val="24"/>
          <w:szCs w:val="24"/>
          <w14:ligatures w14:val="standardContextual"/>
        </w:rPr>
      </w:pPr>
      <w:hyperlink w:anchor="_Toc232981505" w:history="1">
        <w:r w:rsidRPr="005E2BBA">
          <w:rPr>
            <w:rStyle w:val="Hiperveza"/>
            <w:rFonts w:ascii="Arial" w:hAnsi="Arial" w:cs="Arial"/>
            <w:noProof/>
          </w:rPr>
          <w:t>4.6.3.</w:t>
        </w:r>
        <w:r>
          <w:rPr>
            <w:rFonts w:eastAsiaTheme="minorEastAsia"/>
            <w:i w:val="0"/>
            <w:iCs w:val="0"/>
            <w:noProof/>
            <w:kern w:val="2"/>
            <w:sz w:val="24"/>
            <w:szCs w:val="24"/>
            <w14:ligatures w14:val="standardContextual"/>
          </w:rPr>
          <w:tab/>
        </w:r>
        <w:r w:rsidRPr="005E2BBA">
          <w:rPr>
            <w:rStyle w:val="Hiperveza"/>
            <w:rFonts w:ascii="Arial" w:hAnsi="Arial" w:cs="Arial"/>
            <w:noProof/>
          </w:rPr>
          <w:t>STANJE POTENCIJALNIH OBVEZA</w:t>
        </w:r>
        <w:r>
          <w:rPr>
            <w:noProof/>
            <w:webHidden/>
          </w:rPr>
          <w:tab/>
        </w:r>
        <w:r>
          <w:rPr>
            <w:noProof/>
            <w:webHidden/>
          </w:rPr>
          <w:fldChar w:fldCharType="begin"/>
        </w:r>
        <w:r>
          <w:rPr>
            <w:noProof/>
            <w:webHidden/>
          </w:rPr>
          <w:instrText xml:space="preserve"> PAGEREF _Toc232981505 \h </w:instrText>
        </w:r>
        <w:r>
          <w:rPr>
            <w:noProof/>
            <w:webHidden/>
          </w:rPr>
        </w:r>
        <w:r>
          <w:rPr>
            <w:noProof/>
            <w:webHidden/>
          </w:rPr>
          <w:fldChar w:fldCharType="separate"/>
        </w:r>
        <w:r w:rsidR="00A821D8">
          <w:rPr>
            <w:noProof/>
            <w:webHidden/>
          </w:rPr>
          <w:t>459</w:t>
        </w:r>
        <w:r>
          <w:rPr>
            <w:noProof/>
            <w:webHidden/>
          </w:rPr>
          <w:fldChar w:fldCharType="end"/>
        </w:r>
      </w:hyperlink>
    </w:p>
    <w:p w14:paraId="513FAA84" w14:textId="7F41AC8C" w:rsidR="0059051D" w:rsidRDefault="0059051D">
      <w:pPr>
        <w:pStyle w:val="Sadraj1"/>
        <w:rPr>
          <w:rFonts w:asciiTheme="minorHAnsi" w:eastAsiaTheme="minorEastAsia" w:hAnsiTheme="minorHAnsi" w:cstheme="minorBidi"/>
          <w:b w:val="0"/>
          <w:bCs w:val="0"/>
          <w:caps w:val="0"/>
          <w:kern w:val="2"/>
          <w:sz w:val="24"/>
          <w:szCs w:val="24"/>
          <w14:ligatures w14:val="standardContextual"/>
        </w:rPr>
      </w:pPr>
      <w:hyperlink w:anchor="_Toc232981506" w:history="1">
        <w:r w:rsidRPr="005E2BBA">
          <w:rPr>
            <w:rStyle w:val="Hiperveza"/>
          </w:rPr>
          <w:t xml:space="preserve">5. </w:t>
        </w:r>
        <w:r>
          <w:rPr>
            <w:rFonts w:asciiTheme="minorHAnsi" w:eastAsiaTheme="minorEastAsia" w:hAnsiTheme="minorHAnsi" w:cstheme="minorBidi"/>
            <w:b w:val="0"/>
            <w:bCs w:val="0"/>
            <w:caps w:val="0"/>
            <w:kern w:val="2"/>
            <w:sz w:val="24"/>
            <w:szCs w:val="24"/>
            <w14:ligatures w14:val="standardContextual"/>
          </w:rPr>
          <w:tab/>
        </w:r>
        <w:r w:rsidRPr="005E2BBA">
          <w:rPr>
            <w:rStyle w:val="Hiperveza"/>
          </w:rPr>
          <w:t>IZVJEŠTAJ O PRERASPODJELI SREDSTAVA U PRORAČUNU OPĆINE KONAVLE ZA 2025.</w:t>
        </w:r>
        <w:r>
          <w:rPr>
            <w:webHidden/>
          </w:rPr>
          <w:tab/>
        </w:r>
        <w:r>
          <w:rPr>
            <w:webHidden/>
          </w:rPr>
          <w:fldChar w:fldCharType="begin"/>
        </w:r>
        <w:r>
          <w:rPr>
            <w:webHidden/>
          </w:rPr>
          <w:instrText xml:space="preserve"> PAGEREF _Toc232981506 \h </w:instrText>
        </w:r>
        <w:r>
          <w:rPr>
            <w:webHidden/>
          </w:rPr>
        </w:r>
        <w:r>
          <w:rPr>
            <w:webHidden/>
          </w:rPr>
          <w:fldChar w:fldCharType="separate"/>
        </w:r>
        <w:r w:rsidR="00A821D8">
          <w:rPr>
            <w:webHidden/>
          </w:rPr>
          <w:t>464</w:t>
        </w:r>
        <w:r>
          <w:rPr>
            <w:webHidden/>
          </w:rPr>
          <w:fldChar w:fldCharType="end"/>
        </w:r>
      </w:hyperlink>
    </w:p>
    <w:p w14:paraId="127D6B23" w14:textId="3B60D30F" w:rsidR="0059051D" w:rsidRDefault="0059051D">
      <w:pPr>
        <w:pStyle w:val="Sadraj1"/>
        <w:rPr>
          <w:rFonts w:asciiTheme="minorHAnsi" w:eastAsiaTheme="minorEastAsia" w:hAnsiTheme="minorHAnsi" w:cstheme="minorBidi"/>
          <w:b w:val="0"/>
          <w:bCs w:val="0"/>
          <w:caps w:val="0"/>
          <w:kern w:val="2"/>
          <w:sz w:val="24"/>
          <w:szCs w:val="24"/>
          <w14:ligatures w14:val="standardContextual"/>
        </w:rPr>
      </w:pPr>
      <w:hyperlink w:anchor="_Toc232981507" w:history="1">
        <w:r w:rsidRPr="005E2BBA">
          <w:rPr>
            <w:rStyle w:val="Hiperveza"/>
          </w:rPr>
          <w:t xml:space="preserve">6. </w:t>
        </w:r>
        <w:r>
          <w:rPr>
            <w:rFonts w:asciiTheme="minorHAnsi" w:eastAsiaTheme="minorEastAsia" w:hAnsiTheme="minorHAnsi" w:cstheme="minorBidi"/>
            <w:b w:val="0"/>
            <w:bCs w:val="0"/>
            <w:caps w:val="0"/>
            <w:kern w:val="2"/>
            <w:sz w:val="24"/>
            <w:szCs w:val="24"/>
            <w14:ligatures w14:val="standardContextual"/>
          </w:rPr>
          <w:tab/>
        </w:r>
        <w:r w:rsidRPr="005E2BBA">
          <w:rPr>
            <w:rStyle w:val="Hiperveza"/>
          </w:rPr>
          <w:t>IZVJEŠTAJ O DANIM SUGLASNOSTIMA ZA ZADUŽIVANJE</w:t>
        </w:r>
        <w:r>
          <w:rPr>
            <w:webHidden/>
          </w:rPr>
          <w:tab/>
        </w:r>
        <w:r>
          <w:rPr>
            <w:webHidden/>
          </w:rPr>
          <w:fldChar w:fldCharType="begin"/>
        </w:r>
        <w:r>
          <w:rPr>
            <w:webHidden/>
          </w:rPr>
          <w:instrText xml:space="preserve"> PAGEREF _Toc232981507 \h </w:instrText>
        </w:r>
        <w:r>
          <w:rPr>
            <w:webHidden/>
          </w:rPr>
        </w:r>
        <w:r>
          <w:rPr>
            <w:webHidden/>
          </w:rPr>
          <w:fldChar w:fldCharType="separate"/>
        </w:r>
        <w:r w:rsidR="00A821D8">
          <w:rPr>
            <w:webHidden/>
          </w:rPr>
          <w:t>474</w:t>
        </w:r>
        <w:r>
          <w:rPr>
            <w:webHidden/>
          </w:rPr>
          <w:fldChar w:fldCharType="end"/>
        </w:r>
      </w:hyperlink>
    </w:p>
    <w:p w14:paraId="7083E7BE" w14:textId="335EDC58" w:rsidR="0059051D" w:rsidRDefault="0059051D">
      <w:pPr>
        <w:pStyle w:val="Sadraj1"/>
        <w:rPr>
          <w:rFonts w:asciiTheme="minorHAnsi" w:eastAsiaTheme="minorEastAsia" w:hAnsiTheme="minorHAnsi" w:cstheme="minorBidi"/>
          <w:b w:val="0"/>
          <w:bCs w:val="0"/>
          <w:caps w:val="0"/>
          <w:kern w:val="2"/>
          <w:sz w:val="24"/>
          <w:szCs w:val="24"/>
          <w14:ligatures w14:val="standardContextual"/>
        </w:rPr>
      </w:pPr>
      <w:hyperlink w:anchor="_Toc232981508" w:history="1">
        <w:r w:rsidRPr="005E2BBA">
          <w:rPr>
            <w:rStyle w:val="Hiperveza"/>
          </w:rPr>
          <w:t xml:space="preserve">7. </w:t>
        </w:r>
        <w:r>
          <w:rPr>
            <w:rFonts w:asciiTheme="minorHAnsi" w:eastAsiaTheme="minorEastAsia" w:hAnsiTheme="minorHAnsi" w:cstheme="minorBidi"/>
            <w:b w:val="0"/>
            <w:bCs w:val="0"/>
            <w:caps w:val="0"/>
            <w:kern w:val="2"/>
            <w:sz w:val="24"/>
            <w:szCs w:val="24"/>
            <w14:ligatures w14:val="standardContextual"/>
          </w:rPr>
          <w:tab/>
        </w:r>
        <w:r w:rsidRPr="005E2BBA">
          <w:rPr>
            <w:rStyle w:val="Hiperveza"/>
          </w:rPr>
          <w:t>STANJE IMOVINE I OBVEZA, BILANCA (financijski izvještaji)</w:t>
        </w:r>
        <w:r>
          <w:rPr>
            <w:webHidden/>
          </w:rPr>
          <w:tab/>
        </w:r>
        <w:r>
          <w:rPr>
            <w:webHidden/>
          </w:rPr>
          <w:fldChar w:fldCharType="begin"/>
        </w:r>
        <w:r>
          <w:rPr>
            <w:webHidden/>
          </w:rPr>
          <w:instrText xml:space="preserve"> PAGEREF _Toc232981508 \h </w:instrText>
        </w:r>
        <w:r>
          <w:rPr>
            <w:webHidden/>
          </w:rPr>
        </w:r>
        <w:r>
          <w:rPr>
            <w:webHidden/>
          </w:rPr>
          <w:fldChar w:fldCharType="separate"/>
        </w:r>
        <w:r w:rsidR="00A821D8">
          <w:rPr>
            <w:webHidden/>
          </w:rPr>
          <w:t>478</w:t>
        </w:r>
        <w:r>
          <w:rPr>
            <w:webHidden/>
          </w:rPr>
          <w:fldChar w:fldCharType="end"/>
        </w:r>
      </w:hyperlink>
    </w:p>
    <w:p w14:paraId="0F5E4F8D" w14:textId="4F8DDE06"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509" w:history="1">
        <w:r w:rsidRPr="005E2BBA">
          <w:rPr>
            <w:rStyle w:val="Hiperveza"/>
          </w:rPr>
          <w:t>7.1.</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STANJE IMOVINE I OBVEZA – OPĆINA, razina 22</w:t>
        </w:r>
        <w:r>
          <w:rPr>
            <w:webHidden/>
          </w:rPr>
          <w:tab/>
        </w:r>
        <w:r>
          <w:rPr>
            <w:webHidden/>
          </w:rPr>
          <w:fldChar w:fldCharType="begin"/>
        </w:r>
        <w:r>
          <w:rPr>
            <w:webHidden/>
          </w:rPr>
          <w:instrText xml:space="preserve"> PAGEREF _Toc232981509 \h </w:instrText>
        </w:r>
        <w:r>
          <w:rPr>
            <w:webHidden/>
          </w:rPr>
        </w:r>
        <w:r>
          <w:rPr>
            <w:webHidden/>
          </w:rPr>
          <w:fldChar w:fldCharType="separate"/>
        </w:r>
        <w:r w:rsidR="00A821D8">
          <w:rPr>
            <w:webHidden/>
          </w:rPr>
          <w:t>478</w:t>
        </w:r>
        <w:r>
          <w:rPr>
            <w:webHidden/>
          </w:rPr>
          <w:fldChar w:fldCharType="end"/>
        </w:r>
      </w:hyperlink>
    </w:p>
    <w:p w14:paraId="301E7A83" w14:textId="4CFB54D4"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510" w:history="1">
        <w:r w:rsidRPr="005E2BBA">
          <w:rPr>
            <w:rStyle w:val="Hiperveza"/>
          </w:rPr>
          <w:t>7.2.</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STANJE IMOVINE I OBVEZA – OPĆINA I PRORAČUNSKI KORISNICI, razina 23</w:t>
        </w:r>
        <w:r>
          <w:rPr>
            <w:webHidden/>
          </w:rPr>
          <w:tab/>
        </w:r>
        <w:r>
          <w:rPr>
            <w:webHidden/>
          </w:rPr>
          <w:fldChar w:fldCharType="begin"/>
        </w:r>
        <w:r>
          <w:rPr>
            <w:webHidden/>
          </w:rPr>
          <w:instrText xml:space="preserve"> PAGEREF _Toc232981510 \h </w:instrText>
        </w:r>
        <w:r>
          <w:rPr>
            <w:webHidden/>
          </w:rPr>
        </w:r>
        <w:r>
          <w:rPr>
            <w:webHidden/>
          </w:rPr>
          <w:fldChar w:fldCharType="separate"/>
        </w:r>
        <w:r w:rsidR="00A821D8">
          <w:rPr>
            <w:webHidden/>
          </w:rPr>
          <w:t>484</w:t>
        </w:r>
        <w:r>
          <w:rPr>
            <w:webHidden/>
          </w:rPr>
          <w:fldChar w:fldCharType="end"/>
        </w:r>
      </w:hyperlink>
    </w:p>
    <w:p w14:paraId="1C4EC677" w14:textId="4289703E" w:rsidR="0059051D" w:rsidRDefault="0059051D">
      <w:pPr>
        <w:pStyle w:val="Sadraj1"/>
        <w:rPr>
          <w:rFonts w:asciiTheme="minorHAnsi" w:eastAsiaTheme="minorEastAsia" w:hAnsiTheme="minorHAnsi" w:cstheme="minorBidi"/>
          <w:b w:val="0"/>
          <w:bCs w:val="0"/>
          <w:caps w:val="0"/>
          <w:kern w:val="2"/>
          <w:sz w:val="24"/>
          <w:szCs w:val="24"/>
          <w14:ligatures w14:val="standardContextual"/>
        </w:rPr>
      </w:pPr>
      <w:hyperlink w:anchor="_Toc232981511" w:history="1">
        <w:r w:rsidRPr="005E2BBA">
          <w:rPr>
            <w:rStyle w:val="Hiperveza"/>
          </w:rPr>
          <w:t xml:space="preserve">8. </w:t>
        </w:r>
        <w:r>
          <w:rPr>
            <w:rFonts w:asciiTheme="minorHAnsi" w:eastAsiaTheme="minorEastAsia" w:hAnsiTheme="minorHAnsi" w:cstheme="minorBidi"/>
            <w:b w:val="0"/>
            <w:bCs w:val="0"/>
            <w:caps w:val="0"/>
            <w:kern w:val="2"/>
            <w:sz w:val="24"/>
            <w:szCs w:val="24"/>
            <w14:ligatures w14:val="standardContextual"/>
          </w:rPr>
          <w:tab/>
        </w:r>
        <w:r w:rsidRPr="005E2BBA">
          <w:rPr>
            <w:rStyle w:val="Hiperveza"/>
          </w:rPr>
          <w:t>IZVADAK PROJEKATA IZ STRATEŠKOG PLANA I PROVEDBENOG PROGRAMA</w:t>
        </w:r>
        <w:r>
          <w:rPr>
            <w:webHidden/>
          </w:rPr>
          <w:tab/>
        </w:r>
        <w:r>
          <w:rPr>
            <w:webHidden/>
          </w:rPr>
          <w:fldChar w:fldCharType="begin"/>
        </w:r>
        <w:r>
          <w:rPr>
            <w:webHidden/>
          </w:rPr>
          <w:instrText xml:space="preserve"> PAGEREF _Toc232981511 \h </w:instrText>
        </w:r>
        <w:r>
          <w:rPr>
            <w:webHidden/>
          </w:rPr>
        </w:r>
        <w:r>
          <w:rPr>
            <w:webHidden/>
          </w:rPr>
          <w:fldChar w:fldCharType="separate"/>
        </w:r>
        <w:r w:rsidR="00A821D8">
          <w:rPr>
            <w:webHidden/>
          </w:rPr>
          <w:t>487</w:t>
        </w:r>
        <w:r>
          <w:rPr>
            <w:webHidden/>
          </w:rPr>
          <w:fldChar w:fldCharType="end"/>
        </w:r>
      </w:hyperlink>
    </w:p>
    <w:p w14:paraId="152072AA" w14:textId="7FD1F411" w:rsidR="0059051D" w:rsidRDefault="0059051D">
      <w:pPr>
        <w:pStyle w:val="Sadraj1"/>
        <w:rPr>
          <w:rFonts w:asciiTheme="minorHAnsi" w:eastAsiaTheme="minorEastAsia" w:hAnsiTheme="minorHAnsi" w:cstheme="minorBidi"/>
          <w:b w:val="0"/>
          <w:bCs w:val="0"/>
          <w:caps w:val="0"/>
          <w:kern w:val="2"/>
          <w:sz w:val="24"/>
          <w:szCs w:val="24"/>
          <w14:ligatures w14:val="standardContextual"/>
        </w:rPr>
      </w:pPr>
      <w:hyperlink w:anchor="_Toc232981512" w:history="1">
        <w:r w:rsidRPr="005E2BBA">
          <w:rPr>
            <w:rStyle w:val="Hiperveza"/>
          </w:rPr>
          <w:t xml:space="preserve">9. </w:t>
        </w:r>
        <w:r>
          <w:rPr>
            <w:rFonts w:asciiTheme="minorHAnsi" w:eastAsiaTheme="minorEastAsia" w:hAnsiTheme="minorHAnsi" w:cstheme="minorBidi"/>
            <w:b w:val="0"/>
            <w:bCs w:val="0"/>
            <w:caps w:val="0"/>
            <w:kern w:val="2"/>
            <w:sz w:val="24"/>
            <w:szCs w:val="24"/>
            <w14:ligatures w14:val="standardContextual"/>
          </w:rPr>
          <w:tab/>
        </w:r>
        <w:r w:rsidRPr="005E2BBA">
          <w:rPr>
            <w:rStyle w:val="Hiperveza"/>
          </w:rPr>
          <w:t>IZVJEŠTAJ O PROVEDBI VIŠEGODIŠNJEG PLANA URAVNOTEŽENJA</w:t>
        </w:r>
        <w:r>
          <w:rPr>
            <w:webHidden/>
          </w:rPr>
          <w:tab/>
        </w:r>
        <w:r>
          <w:rPr>
            <w:webHidden/>
          </w:rPr>
          <w:fldChar w:fldCharType="begin"/>
        </w:r>
        <w:r>
          <w:rPr>
            <w:webHidden/>
          </w:rPr>
          <w:instrText xml:space="preserve"> PAGEREF _Toc232981512 \h </w:instrText>
        </w:r>
        <w:r>
          <w:rPr>
            <w:webHidden/>
          </w:rPr>
        </w:r>
        <w:r>
          <w:rPr>
            <w:webHidden/>
          </w:rPr>
          <w:fldChar w:fldCharType="separate"/>
        </w:r>
        <w:r w:rsidR="00A821D8">
          <w:rPr>
            <w:webHidden/>
          </w:rPr>
          <w:t>516</w:t>
        </w:r>
        <w:r>
          <w:rPr>
            <w:webHidden/>
          </w:rPr>
          <w:fldChar w:fldCharType="end"/>
        </w:r>
      </w:hyperlink>
    </w:p>
    <w:p w14:paraId="18DB9669" w14:textId="2840A281" w:rsidR="0059051D" w:rsidRDefault="0059051D">
      <w:pPr>
        <w:pStyle w:val="Sadraj1"/>
        <w:rPr>
          <w:rFonts w:asciiTheme="minorHAnsi" w:eastAsiaTheme="minorEastAsia" w:hAnsiTheme="minorHAnsi" w:cstheme="minorBidi"/>
          <w:b w:val="0"/>
          <w:bCs w:val="0"/>
          <w:caps w:val="0"/>
          <w:kern w:val="2"/>
          <w:sz w:val="24"/>
          <w:szCs w:val="24"/>
          <w14:ligatures w14:val="standardContextual"/>
        </w:rPr>
      </w:pPr>
      <w:hyperlink w:anchor="_Toc232981513" w:history="1">
        <w:r w:rsidRPr="005E2BBA">
          <w:rPr>
            <w:rStyle w:val="Hiperveza"/>
          </w:rPr>
          <w:t xml:space="preserve">10. </w:t>
        </w:r>
        <w:r>
          <w:rPr>
            <w:rFonts w:asciiTheme="minorHAnsi" w:eastAsiaTheme="minorEastAsia" w:hAnsiTheme="minorHAnsi" w:cstheme="minorBidi"/>
            <w:b w:val="0"/>
            <w:bCs w:val="0"/>
            <w:caps w:val="0"/>
            <w:kern w:val="2"/>
            <w:sz w:val="24"/>
            <w:szCs w:val="24"/>
            <w14:ligatures w14:val="standardContextual"/>
          </w:rPr>
          <w:tab/>
        </w:r>
        <w:r w:rsidRPr="005E2BBA">
          <w:rPr>
            <w:rStyle w:val="Hiperveza"/>
          </w:rPr>
          <w:t>ZAKLJUČAK</w:t>
        </w:r>
        <w:r>
          <w:rPr>
            <w:webHidden/>
          </w:rPr>
          <w:tab/>
        </w:r>
        <w:r>
          <w:rPr>
            <w:webHidden/>
          </w:rPr>
          <w:fldChar w:fldCharType="begin"/>
        </w:r>
        <w:r>
          <w:rPr>
            <w:webHidden/>
          </w:rPr>
          <w:instrText xml:space="preserve"> PAGEREF _Toc232981513 \h </w:instrText>
        </w:r>
        <w:r>
          <w:rPr>
            <w:webHidden/>
          </w:rPr>
        </w:r>
        <w:r>
          <w:rPr>
            <w:webHidden/>
          </w:rPr>
          <w:fldChar w:fldCharType="separate"/>
        </w:r>
        <w:r w:rsidR="00A821D8">
          <w:rPr>
            <w:webHidden/>
          </w:rPr>
          <w:t>519</w:t>
        </w:r>
        <w:r>
          <w:rPr>
            <w:webHidden/>
          </w:rPr>
          <w:fldChar w:fldCharType="end"/>
        </w:r>
      </w:hyperlink>
    </w:p>
    <w:p w14:paraId="3B260BE4" w14:textId="6D0E52AC" w:rsidR="0059051D" w:rsidRDefault="0059051D">
      <w:pPr>
        <w:pStyle w:val="Sadraj1"/>
        <w:rPr>
          <w:rFonts w:asciiTheme="minorHAnsi" w:eastAsiaTheme="minorEastAsia" w:hAnsiTheme="minorHAnsi" w:cstheme="minorBidi"/>
          <w:b w:val="0"/>
          <w:bCs w:val="0"/>
          <w:caps w:val="0"/>
          <w:kern w:val="2"/>
          <w:sz w:val="24"/>
          <w:szCs w:val="24"/>
          <w14:ligatures w14:val="standardContextual"/>
        </w:rPr>
      </w:pPr>
      <w:hyperlink w:anchor="_Toc232981514" w:history="1">
        <w:r w:rsidRPr="005E2BBA">
          <w:rPr>
            <w:rStyle w:val="Hiperveza"/>
          </w:rPr>
          <w:t>11. DODACI</w:t>
        </w:r>
        <w:r>
          <w:rPr>
            <w:webHidden/>
          </w:rPr>
          <w:tab/>
        </w:r>
        <w:r>
          <w:rPr>
            <w:webHidden/>
          </w:rPr>
          <w:fldChar w:fldCharType="begin"/>
        </w:r>
        <w:r>
          <w:rPr>
            <w:webHidden/>
          </w:rPr>
          <w:instrText xml:space="preserve"> PAGEREF _Toc232981514 \h </w:instrText>
        </w:r>
        <w:r>
          <w:rPr>
            <w:webHidden/>
          </w:rPr>
        </w:r>
        <w:r>
          <w:rPr>
            <w:webHidden/>
          </w:rPr>
          <w:fldChar w:fldCharType="separate"/>
        </w:r>
        <w:r w:rsidR="00A821D8">
          <w:rPr>
            <w:webHidden/>
          </w:rPr>
          <w:t>525</w:t>
        </w:r>
        <w:r>
          <w:rPr>
            <w:webHidden/>
          </w:rPr>
          <w:fldChar w:fldCharType="end"/>
        </w:r>
      </w:hyperlink>
    </w:p>
    <w:p w14:paraId="3DA30A30" w14:textId="187DF7BA"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515" w:history="1">
        <w:r w:rsidRPr="005E2BBA">
          <w:rPr>
            <w:rStyle w:val="Hiperveza"/>
          </w:rPr>
          <w:t>a.</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POPIS TABLICA</w:t>
        </w:r>
        <w:r>
          <w:rPr>
            <w:webHidden/>
          </w:rPr>
          <w:tab/>
        </w:r>
        <w:r>
          <w:rPr>
            <w:webHidden/>
          </w:rPr>
          <w:fldChar w:fldCharType="begin"/>
        </w:r>
        <w:r>
          <w:rPr>
            <w:webHidden/>
          </w:rPr>
          <w:instrText xml:space="preserve"> PAGEREF _Toc232981515 \h </w:instrText>
        </w:r>
        <w:r>
          <w:rPr>
            <w:webHidden/>
          </w:rPr>
        </w:r>
        <w:r>
          <w:rPr>
            <w:webHidden/>
          </w:rPr>
          <w:fldChar w:fldCharType="separate"/>
        </w:r>
        <w:r w:rsidR="00A821D8">
          <w:rPr>
            <w:webHidden/>
          </w:rPr>
          <w:t>525</w:t>
        </w:r>
        <w:r>
          <w:rPr>
            <w:webHidden/>
          </w:rPr>
          <w:fldChar w:fldCharType="end"/>
        </w:r>
      </w:hyperlink>
    </w:p>
    <w:p w14:paraId="32CA9D8B" w14:textId="03EDFC5E" w:rsidR="0059051D" w:rsidRDefault="0059051D">
      <w:pPr>
        <w:pStyle w:val="Sadraj2"/>
        <w:rPr>
          <w:rFonts w:asciiTheme="minorHAnsi" w:eastAsiaTheme="minorEastAsia" w:hAnsiTheme="minorHAnsi" w:cstheme="minorBidi"/>
          <w:i w:val="0"/>
          <w:iCs w:val="0"/>
          <w:smallCaps w:val="0"/>
          <w:kern w:val="2"/>
          <w:sz w:val="24"/>
          <w:szCs w:val="24"/>
          <w14:ligatures w14:val="standardContextual"/>
        </w:rPr>
      </w:pPr>
      <w:hyperlink w:anchor="_Toc232981516" w:history="1">
        <w:r w:rsidRPr="005E2BBA">
          <w:rPr>
            <w:rStyle w:val="Hiperveza"/>
          </w:rPr>
          <w:t>b.</w:t>
        </w:r>
        <w:r>
          <w:rPr>
            <w:rFonts w:asciiTheme="minorHAnsi" w:eastAsiaTheme="minorEastAsia" w:hAnsiTheme="minorHAnsi" w:cstheme="minorBidi"/>
            <w:i w:val="0"/>
            <w:iCs w:val="0"/>
            <w:smallCaps w:val="0"/>
            <w:kern w:val="2"/>
            <w:sz w:val="24"/>
            <w:szCs w:val="24"/>
            <w14:ligatures w14:val="standardContextual"/>
          </w:rPr>
          <w:tab/>
        </w:r>
        <w:r w:rsidRPr="005E2BBA">
          <w:rPr>
            <w:rStyle w:val="Hiperveza"/>
          </w:rPr>
          <w:t>POPIS GRAFOVA</w:t>
        </w:r>
        <w:r>
          <w:rPr>
            <w:webHidden/>
          </w:rPr>
          <w:tab/>
        </w:r>
        <w:r>
          <w:rPr>
            <w:webHidden/>
          </w:rPr>
          <w:fldChar w:fldCharType="begin"/>
        </w:r>
        <w:r>
          <w:rPr>
            <w:webHidden/>
          </w:rPr>
          <w:instrText xml:space="preserve"> PAGEREF _Toc232981516 \h </w:instrText>
        </w:r>
        <w:r>
          <w:rPr>
            <w:webHidden/>
          </w:rPr>
        </w:r>
        <w:r>
          <w:rPr>
            <w:webHidden/>
          </w:rPr>
          <w:fldChar w:fldCharType="separate"/>
        </w:r>
        <w:r w:rsidR="00A821D8">
          <w:rPr>
            <w:webHidden/>
          </w:rPr>
          <w:t>526</w:t>
        </w:r>
        <w:r>
          <w:rPr>
            <w:webHidden/>
          </w:rPr>
          <w:fldChar w:fldCharType="end"/>
        </w:r>
      </w:hyperlink>
    </w:p>
    <w:p w14:paraId="220AA9A0" w14:textId="3C8276F1" w:rsidR="0059051D" w:rsidRDefault="0059051D">
      <w:pPr>
        <w:pStyle w:val="Sadraj1"/>
        <w:rPr>
          <w:rFonts w:asciiTheme="minorHAnsi" w:eastAsiaTheme="minorEastAsia" w:hAnsiTheme="minorHAnsi" w:cstheme="minorBidi"/>
          <w:b w:val="0"/>
          <w:bCs w:val="0"/>
          <w:caps w:val="0"/>
          <w:kern w:val="2"/>
          <w:sz w:val="24"/>
          <w:szCs w:val="24"/>
          <w14:ligatures w14:val="standardContextual"/>
        </w:rPr>
      </w:pPr>
      <w:hyperlink w:anchor="_Toc232981517" w:history="1">
        <w:r w:rsidRPr="005E2BBA">
          <w:rPr>
            <w:rStyle w:val="Hiperveza"/>
          </w:rPr>
          <w:t>12. PRIVITAK: OPĆI I POSEBNI DIO PRORAČUNA (financijski dio, sastavni dio GODIŠNJEG IZVJEŠTAJA O IZVRŠENJU PRORAČUNA OPĆINE KONAVLE ZA 2025. GODINU)</w:t>
        </w:r>
        <w:r>
          <w:rPr>
            <w:webHidden/>
          </w:rPr>
          <w:tab/>
        </w:r>
        <w:r>
          <w:rPr>
            <w:webHidden/>
          </w:rPr>
          <w:fldChar w:fldCharType="begin"/>
        </w:r>
        <w:r>
          <w:rPr>
            <w:webHidden/>
          </w:rPr>
          <w:instrText xml:space="preserve"> PAGEREF _Toc232981517 \h </w:instrText>
        </w:r>
        <w:r>
          <w:rPr>
            <w:webHidden/>
          </w:rPr>
        </w:r>
        <w:r>
          <w:rPr>
            <w:webHidden/>
          </w:rPr>
          <w:fldChar w:fldCharType="separate"/>
        </w:r>
        <w:r w:rsidR="00A821D8">
          <w:rPr>
            <w:webHidden/>
          </w:rPr>
          <w:t>527</w:t>
        </w:r>
        <w:r>
          <w:rPr>
            <w:webHidden/>
          </w:rPr>
          <w:fldChar w:fldCharType="end"/>
        </w:r>
      </w:hyperlink>
    </w:p>
    <w:p w14:paraId="70BCAD97" w14:textId="0E1A2796" w:rsidR="00891119" w:rsidRPr="003A2F86" w:rsidRDefault="00F66355" w:rsidP="008A0FF4">
      <w:pPr>
        <w:spacing w:after="0" w:line="240" w:lineRule="auto"/>
        <w:jc w:val="both"/>
        <w:rPr>
          <w:rFonts w:ascii="Times New Roman" w:eastAsia="Calibri" w:hAnsi="Times New Roman" w:cs="Times New Roman"/>
          <w:sz w:val="20"/>
          <w:szCs w:val="20"/>
          <w:lang w:eastAsia="en-US"/>
        </w:rPr>
      </w:pPr>
      <w:r w:rsidRPr="00C05901">
        <w:rPr>
          <w:rFonts w:ascii="Arial" w:eastAsia="Calibri" w:hAnsi="Arial" w:cs="Arial"/>
          <w:noProof/>
          <w:sz w:val="18"/>
          <w:szCs w:val="20"/>
          <w:lang w:eastAsia="en-US"/>
        </w:rPr>
        <w:fldChar w:fldCharType="end"/>
      </w:r>
      <w:r w:rsidR="00891119" w:rsidRPr="003A2F86">
        <w:rPr>
          <w:rFonts w:ascii="Times New Roman" w:eastAsia="Calibri" w:hAnsi="Times New Roman" w:cs="Times New Roman"/>
          <w:color w:val="7030A0"/>
          <w:sz w:val="20"/>
          <w:szCs w:val="20"/>
          <w:lang w:eastAsia="en-US"/>
        </w:rPr>
        <w:br w:type="page"/>
      </w:r>
      <w:bookmarkStart w:id="0" w:name="_Toc513542350"/>
    </w:p>
    <w:p w14:paraId="115C6262" w14:textId="77777777" w:rsidR="00891119" w:rsidRPr="003A2F86" w:rsidRDefault="00891119" w:rsidP="0081009E">
      <w:pPr>
        <w:pStyle w:val="Naslov1"/>
        <w:rPr>
          <w:rFonts w:ascii="Arial" w:eastAsia="Calibri" w:hAnsi="Arial" w:cs="Arial"/>
          <w:sz w:val="22"/>
          <w:lang w:val="hr-HR"/>
        </w:rPr>
      </w:pPr>
      <w:bookmarkStart w:id="1" w:name="_Toc232981375"/>
      <w:r w:rsidRPr="003A2F86">
        <w:rPr>
          <w:rFonts w:ascii="Arial" w:eastAsia="Calibri" w:hAnsi="Arial" w:cs="Arial"/>
          <w:sz w:val="22"/>
          <w:lang w:val="hr-HR"/>
        </w:rPr>
        <w:lastRenderedPageBreak/>
        <w:t xml:space="preserve">1. </w:t>
      </w:r>
      <w:r w:rsidRPr="003A2F86">
        <w:rPr>
          <w:rFonts w:ascii="Arial" w:eastAsia="Calibri" w:hAnsi="Arial" w:cs="Arial"/>
          <w:sz w:val="22"/>
          <w:lang w:val="hr-HR"/>
        </w:rPr>
        <w:tab/>
        <w:t>UVOD</w:t>
      </w:r>
      <w:bookmarkStart w:id="2" w:name="Uvod"/>
      <w:bookmarkEnd w:id="0"/>
      <w:bookmarkEnd w:id="1"/>
      <w:bookmarkEnd w:id="2"/>
    </w:p>
    <w:p w14:paraId="20370C11" w14:textId="77777777" w:rsidR="00891119" w:rsidRPr="003A2F86" w:rsidRDefault="00891119" w:rsidP="00891119">
      <w:pPr>
        <w:autoSpaceDE w:val="0"/>
        <w:autoSpaceDN w:val="0"/>
        <w:adjustRightInd w:val="0"/>
        <w:spacing w:after="0" w:line="240" w:lineRule="auto"/>
        <w:rPr>
          <w:rFonts w:ascii="Arial" w:eastAsia="Times New Roman" w:hAnsi="Arial" w:cs="Arial"/>
        </w:rPr>
      </w:pPr>
    </w:p>
    <w:p w14:paraId="7AD6A012" w14:textId="2F9FFF19" w:rsidR="00891119" w:rsidRPr="003A2F86" w:rsidRDefault="00891119" w:rsidP="00646600">
      <w:pPr>
        <w:pStyle w:val="Naslov2"/>
        <w:jc w:val="center"/>
        <w:rPr>
          <w:rFonts w:ascii="Arial" w:hAnsi="Arial" w:cs="Arial"/>
          <w:sz w:val="22"/>
          <w:lang w:val="hr-HR"/>
        </w:rPr>
      </w:pPr>
      <w:bookmarkStart w:id="3" w:name="_Toc232981376"/>
      <w:r w:rsidRPr="003A2F86">
        <w:rPr>
          <w:rFonts w:ascii="Arial" w:hAnsi="Arial" w:cs="Arial"/>
          <w:sz w:val="22"/>
          <w:lang w:val="hr-HR"/>
        </w:rPr>
        <w:t>1.1.</w:t>
      </w:r>
      <w:r w:rsidRPr="003A2F86">
        <w:rPr>
          <w:rFonts w:ascii="Arial" w:hAnsi="Arial" w:cs="Arial"/>
          <w:sz w:val="22"/>
          <w:lang w:val="hr-HR"/>
        </w:rPr>
        <w:tab/>
        <w:t xml:space="preserve">OSVRT NA </w:t>
      </w:r>
      <w:r w:rsidR="00384F8D" w:rsidRPr="003A2F86">
        <w:rPr>
          <w:rFonts w:ascii="Arial" w:hAnsi="Arial" w:cs="Arial"/>
          <w:sz w:val="22"/>
          <w:lang w:val="hr-HR"/>
        </w:rPr>
        <w:t xml:space="preserve">ZAKONSKI OKVIR, </w:t>
      </w:r>
      <w:r w:rsidR="00F952A1" w:rsidRPr="003A2F86">
        <w:rPr>
          <w:rFonts w:ascii="Arial" w:hAnsi="Arial" w:cs="Arial"/>
          <w:sz w:val="22"/>
          <w:lang w:val="hr-HR"/>
        </w:rPr>
        <w:t xml:space="preserve">STRUKTURU I </w:t>
      </w:r>
      <w:r w:rsidRPr="003A2F86">
        <w:rPr>
          <w:rFonts w:ascii="Arial" w:hAnsi="Arial" w:cs="Arial"/>
          <w:sz w:val="22"/>
          <w:lang w:val="hr-HR"/>
        </w:rPr>
        <w:t>SADRŽAJ IZVJEŠTAJA</w:t>
      </w:r>
      <w:bookmarkEnd w:id="3"/>
    </w:p>
    <w:p w14:paraId="16C7BFB6" w14:textId="77777777" w:rsidR="00891119" w:rsidRPr="003A2F86" w:rsidRDefault="00891119" w:rsidP="00891119">
      <w:pPr>
        <w:autoSpaceDE w:val="0"/>
        <w:autoSpaceDN w:val="0"/>
        <w:adjustRightInd w:val="0"/>
        <w:spacing w:after="0" w:line="240" w:lineRule="auto"/>
        <w:jc w:val="both"/>
        <w:rPr>
          <w:rFonts w:ascii="Arial" w:eastAsia="Times New Roman" w:hAnsi="Arial" w:cs="Arial"/>
        </w:rPr>
      </w:pPr>
    </w:p>
    <w:p w14:paraId="0812759F" w14:textId="10E33C8C" w:rsidR="00891119" w:rsidRPr="003A2F86" w:rsidRDefault="00F952A1" w:rsidP="00891119">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b/>
          <w:i/>
        </w:rPr>
        <w:t>Polugodišnji i g</w:t>
      </w:r>
      <w:r w:rsidR="00621EED" w:rsidRPr="003A2F86">
        <w:rPr>
          <w:rFonts w:ascii="Arial" w:eastAsia="Times New Roman" w:hAnsi="Arial" w:cs="Arial"/>
          <w:b/>
          <w:i/>
        </w:rPr>
        <w:t>o</w:t>
      </w:r>
      <w:r w:rsidR="00891119" w:rsidRPr="003A2F86">
        <w:rPr>
          <w:rFonts w:ascii="Arial" w:eastAsia="Times New Roman" w:hAnsi="Arial" w:cs="Arial"/>
          <w:b/>
          <w:i/>
        </w:rPr>
        <w:t>dišnji izvještaj o izvršenju Proračuna Općine Konavle</w:t>
      </w:r>
      <w:r w:rsidR="00891119" w:rsidRPr="003A2F86">
        <w:rPr>
          <w:rFonts w:ascii="Arial" w:eastAsia="Times New Roman" w:hAnsi="Arial" w:cs="Arial"/>
          <w:b/>
          <w:i/>
          <w:sz w:val="24"/>
          <w:szCs w:val="24"/>
        </w:rPr>
        <w:t xml:space="preserve"> </w:t>
      </w:r>
      <w:r w:rsidR="00891119" w:rsidRPr="003A2F86">
        <w:rPr>
          <w:rFonts w:ascii="Arial" w:eastAsia="Times New Roman" w:hAnsi="Arial" w:cs="Arial"/>
        </w:rPr>
        <w:t xml:space="preserve">donosi se u skladu s odredbama </w:t>
      </w:r>
      <w:r w:rsidR="005D670F" w:rsidRPr="003A2F86">
        <w:rPr>
          <w:rFonts w:ascii="Arial" w:eastAsia="Times New Roman" w:hAnsi="Arial" w:cs="Arial"/>
        </w:rPr>
        <w:t xml:space="preserve">članka </w:t>
      </w:r>
      <w:r w:rsidR="00B04B82" w:rsidRPr="003A2F86">
        <w:rPr>
          <w:rFonts w:ascii="Arial" w:eastAsia="Times New Roman" w:hAnsi="Arial" w:cs="Arial"/>
        </w:rPr>
        <w:t>76</w:t>
      </w:r>
      <w:r w:rsidR="00891119" w:rsidRPr="003A2F86">
        <w:rPr>
          <w:rFonts w:ascii="Arial" w:eastAsia="Times New Roman" w:hAnsi="Arial" w:cs="Arial"/>
        </w:rPr>
        <w:t>.</w:t>
      </w:r>
      <w:r w:rsidR="008A00A2" w:rsidRPr="003A2F86">
        <w:rPr>
          <w:rFonts w:ascii="Arial" w:eastAsia="Times New Roman" w:hAnsi="Arial" w:cs="Arial"/>
        </w:rPr>
        <w:t xml:space="preserve"> </w:t>
      </w:r>
      <w:r w:rsidR="00891119" w:rsidRPr="003A2F86">
        <w:rPr>
          <w:rFonts w:ascii="Arial" w:eastAsia="Times New Roman" w:hAnsi="Arial" w:cs="Arial"/>
        </w:rPr>
        <w:t xml:space="preserve">Zakona o proračunu (Narodne novine </w:t>
      </w:r>
      <w:r w:rsidR="00B04B82" w:rsidRPr="003A2F86">
        <w:rPr>
          <w:rFonts w:ascii="Arial" w:eastAsia="Times New Roman" w:hAnsi="Arial" w:cs="Arial"/>
        </w:rPr>
        <w:t>144/21</w:t>
      </w:r>
      <w:r w:rsidR="00891119" w:rsidRPr="003A2F86">
        <w:rPr>
          <w:rFonts w:ascii="Arial" w:eastAsia="Times New Roman" w:hAnsi="Arial" w:cs="Arial"/>
        </w:rPr>
        <w:t>), te odredbama Pravilnika o polugodišnjem i godišnjem izvještaju o izvršenju proračuna</w:t>
      </w:r>
      <w:r w:rsidR="00435972" w:rsidRPr="003A2F86">
        <w:rPr>
          <w:rFonts w:ascii="Arial" w:eastAsia="Times New Roman" w:hAnsi="Arial" w:cs="Arial"/>
        </w:rPr>
        <w:t xml:space="preserve"> i financijskog plana</w:t>
      </w:r>
      <w:r w:rsidR="00891119" w:rsidRPr="003A2F86">
        <w:rPr>
          <w:rFonts w:ascii="Arial" w:eastAsia="Times New Roman" w:hAnsi="Arial" w:cs="Arial"/>
        </w:rPr>
        <w:t xml:space="preserve"> (Narodne novine </w:t>
      </w:r>
      <w:r w:rsidR="00435972" w:rsidRPr="003A2F86">
        <w:rPr>
          <w:rFonts w:ascii="Arial" w:eastAsia="Times New Roman" w:hAnsi="Arial" w:cs="Arial"/>
        </w:rPr>
        <w:t>85/23</w:t>
      </w:r>
      <w:r w:rsidR="00891119" w:rsidRPr="003A2F86">
        <w:rPr>
          <w:rFonts w:ascii="Arial" w:eastAsia="Times New Roman" w:hAnsi="Arial" w:cs="Arial"/>
        </w:rPr>
        <w:t>).</w:t>
      </w:r>
    </w:p>
    <w:p w14:paraId="473719B2" w14:textId="77777777" w:rsidR="00891119" w:rsidRPr="003A2F86" w:rsidRDefault="00891119" w:rsidP="00891119">
      <w:pPr>
        <w:autoSpaceDE w:val="0"/>
        <w:autoSpaceDN w:val="0"/>
        <w:adjustRightInd w:val="0"/>
        <w:spacing w:after="0" w:line="240" w:lineRule="auto"/>
        <w:jc w:val="both"/>
        <w:rPr>
          <w:rFonts w:ascii="Arial" w:eastAsia="Times New Roman" w:hAnsi="Arial" w:cs="Arial"/>
        </w:rPr>
      </w:pPr>
    </w:p>
    <w:p w14:paraId="27E19FB3" w14:textId="338BEA50" w:rsidR="00891119" w:rsidRPr="003A2F86" w:rsidRDefault="00891119" w:rsidP="00891119">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Član</w:t>
      </w:r>
      <w:r w:rsidR="00B04B82" w:rsidRPr="003A2F86">
        <w:rPr>
          <w:rFonts w:ascii="Arial" w:eastAsia="Times New Roman" w:hAnsi="Arial" w:cs="Arial"/>
        </w:rPr>
        <w:t>cima 77. do 80.</w:t>
      </w:r>
      <w:r w:rsidRPr="003A2F86">
        <w:rPr>
          <w:rFonts w:ascii="Arial" w:eastAsia="Times New Roman" w:hAnsi="Arial" w:cs="Arial"/>
        </w:rPr>
        <w:t xml:space="preserve"> Zakona o proračunu</w:t>
      </w:r>
      <w:r w:rsidR="00930F93" w:rsidRPr="003A2F86">
        <w:rPr>
          <w:rFonts w:ascii="Arial" w:eastAsia="Times New Roman" w:hAnsi="Arial" w:cs="Arial"/>
        </w:rPr>
        <w:t xml:space="preserve"> </w:t>
      </w:r>
      <w:r w:rsidRPr="003A2F86">
        <w:rPr>
          <w:rFonts w:ascii="Arial" w:eastAsia="Times New Roman" w:hAnsi="Arial" w:cs="Arial"/>
        </w:rPr>
        <w:t xml:space="preserve">utvrđeno je da </w:t>
      </w:r>
      <w:r w:rsidR="00435972" w:rsidRPr="003A2F86">
        <w:rPr>
          <w:rFonts w:ascii="Arial" w:eastAsia="Times New Roman" w:hAnsi="Arial" w:cs="Arial"/>
        </w:rPr>
        <w:t>polu</w:t>
      </w:r>
      <w:r w:rsidRPr="003A2F86">
        <w:rPr>
          <w:rFonts w:ascii="Arial" w:eastAsia="Times New Roman" w:hAnsi="Arial" w:cs="Arial"/>
        </w:rPr>
        <w:t>godišnji</w:t>
      </w:r>
      <w:r w:rsidR="00B633D1" w:rsidRPr="003A2F86">
        <w:rPr>
          <w:rFonts w:ascii="Arial" w:eastAsia="Times New Roman" w:hAnsi="Arial" w:cs="Arial"/>
        </w:rPr>
        <w:t xml:space="preserve"> / godišnji</w:t>
      </w:r>
      <w:r w:rsidRPr="003A2F86">
        <w:rPr>
          <w:rFonts w:ascii="Arial" w:eastAsia="Times New Roman" w:hAnsi="Arial" w:cs="Arial"/>
        </w:rPr>
        <w:t xml:space="preserve"> izvještaj o izvršenju proračuna jedinice lokalne samouprave </w:t>
      </w:r>
      <w:r w:rsidRPr="003A2F86">
        <w:rPr>
          <w:rFonts w:ascii="Arial" w:eastAsia="Times New Roman" w:hAnsi="Arial" w:cs="Arial"/>
          <w:i/>
        </w:rPr>
        <w:t>sadrži</w:t>
      </w:r>
      <w:r w:rsidRPr="003A2F86">
        <w:rPr>
          <w:rFonts w:ascii="Arial" w:eastAsia="Times New Roman" w:hAnsi="Arial" w:cs="Arial"/>
        </w:rPr>
        <w:t>:</w:t>
      </w:r>
    </w:p>
    <w:p w14:paraId="2A30066C" w14:textId="0C16CB6C" w:rsidR="00BE635B" w:rsidRPr="003A2F86" w:rsidRDefault="00891119" w:rsidP="001E17AD">
      <w:pPr>
        <w:autoSpaceDE w:val="0"/>
        <w:autoSpaceDN w:val="0"/>
        <w:adjustRightInd w:val="0"/>
        <w:spacing w:after="0" w:line="240" w:lineRule="auto"/>
        <w:ind w:firstLine="567"/>
        <w:jc w:val="both"/>
        <w:rPr>
          <w:rFonts w:ascii="Arial" w:eastAsia="Times New Roman" w:hAnsi="Arial" w:cs="Arial"/>
        </w:rPr>
      </w:pPr>
      <w:r w:rsidRPr="003A2F86">
        <w:rPr>
          <w:rFonts w:ascii="Arial" w:eastAsia="Times New Roman" w:hAnsi="Arial" w:cs="Arial"/>
        </w:rPr>
        <w:t xml:space="preserve">1. </w:t>
      </w:r>
      <w:r w:rsidRPr="003A2F86">
        <w:rPr>
          <w:rFonts w:ascii="Arial" w:eastAsia="Times New Roman" w:hAnsi="Arial" w:cs="Arial"/>
          <w:b/>
        </w:rPr>
        <w:t>opći dio</w:t>
      </w:r>
      <w:r w:rsidRPr="003A2F86">
        <w:rPr>
          <w:rFonts w:ascii="Arial" w:eastAsia="Times New Roman" w:hAnsi="Arial" w:cs="Arial"/>
        </w:rPr>
        <w:t xml:space="preserve"> proračuna </w:t>
      </w:r>
      <w:bookmarkStart w:id="4" w:name="_Hlk6158065"/>
      <w:r w:rsidR="00EE5313" w:rsidRPr="003A2F86">
        <w:rPr>
          <w:rFonts w:ascii="Arial" w:eastAsia="Times New Roman" w:hAnsi="Arial" w:cs="Arial"/>
          <w:i/>
        </w:rPr>
        <w:t>(</w:t>
      </w:r>
      <w:r w:rsidR="00EE5313" w:rsidRPr="003A2F86">
        <w:rPr>
          <w:rFonts w:ascii="Arial" w:eastAsia="Times New Roman" w:hAnsi="Arial" w:cs="Arial"/>
          <w:b/>
          <w:bCs/>
          <w:i/>
        </w:rPr>
        <w:t>privitak</w:t>
      </w:r>
      <w:r w:rsidR="00EE5313" w:rsidRPr="003A2F86">
        <w:rPr>
          <w:rFonts w:ascii="Arial" w:eastAsia="Times New Roman" w:hAnsi="Arial" w:cs="Arial"/>
          <w:i/>
        </w:rPr>
        <w:t>, financijski dio Izvještaja)</w:t>
      </w:r>
      <w:bookmarkEnd w:id="4"/>
      <w:r w:rsidR="00EE5313" w:rsidRPr="003A2F86">
        <w:rPr>
          <w:rFonts w:ascii="Arial" w:eastAsia="Times New Roman" w:hAnsi="Arial" w:cs="Arial"/>
        </w:rPr>
        <w:t xml:space="preserve"> </w:t>
      </w:r>
      <w:r w:rsidRPr="003A2F86">
        <w:rPr>
          <w:rFonts w:ascii="Arial" w:eastAsia="Times New Roman" w:hAnsi="Arial" w:cs="Arial"/>
        </w:rPr>
        <w:t>koji čini</w:t>
      </w:r>
      <w:r w:rsidR="00BE635B" w:rsidRPr="003A2F86">
        <w:rPr>
          <w:rFonts w:ascii="Arial" w:eastAsia="Times New Roman" w:hAnsi="Arial" w:cs="Arial"/>
        </w:rPr>
        <w:t>:</w:t>
      </w:r>
    </w:p>
    <w:p w14:paraId="694FF722" w14:textId="5F2CF2F3" w:rsidR="00BE635B" w:rsidRPr="003A2F86" w:rsidRDefault="00BE635B" w:rsidP="00BE635B">
      <w:pPr>
        <w:autoSpaceDE w:val="0"/>
        <w:autoSpaceDN w:val="0"/>
        <w:adjustRightInd w:val="0"/>
        <w:spacing w:after="0" w:line="240" w:lineRule="auto"/>
        <w:ind w:left="567" w:firstLine="709"/>
        <w:jc w:val="both"/>
        <w:rPr>
          <w:rFonts w:ascii="Arial" w:eastAsia="Times New Roman" w:hAnsi="Arial" w:cs="Arial"/>
        </w:rPr>
      </w:pPr>
      <w:r w:rsidRPr="003A2F86">
        <w:rPr>
          <w:rFonts w:ascii="Arial" w:eastAsia="Times New Roman" w:hAnsi="Arial" w:cs="Arial"/>
          <w:b/>
        </w:rPr>
        <w:t>-</w:t>
      </w:r>
      <w:r w:rsidRPr="003A2F86">
        <w:rPr>
          <w:rFonts w:ascii="Arial" w:eastAsia="Times New Roman" w:hAnsi="Arial" w:cs="Arial"/>
          <w:b/>
        </w:rPr>
        <w:tab/>
      </w:r>
      <w:r w:rsidR="00891119" w:rsidRPr="003A2F86">
        <w:rPr>
          <w:rFonts w:ascii="Arial" w:eastAsia="Times New Roman" w:hAnsi="Arial" w:cs="Arial"/>
        </w:rPr>
        <w:t xml:space="preserve"> </w:t>
      </w:r>
      <w:r w:rsidR="00435972" w:rsidRPr="003A2F86">
        <w:rPr>
          <w:rFonts w:ascii="Arial" w:eastAsia="Times New Roman" w:hAnsi="Arial" w:cs="Arial"/>
          <w:b/>
          <w:bCs/>
        </w:rPr>
        <w:t>sažetak</w:t>
      </w:r>
      <w:r w:rsidR="00435972" w:rsidRPr="003A2F86">
        <w:rPr>
          <w:rFonts w:ascii="Arial" w:eastAsia="Times New Roman" w:hAnsi="Arial" w:cs="Arial"/>
        </w:rPr>
        <w:t xml:space="preserve"> Računa prihoda i rashoda i Računa financiranja,</w:t>
      </w:r>
      <w:r w:rsidRPr="003A2F86">
        <w:rPr>
          <w:rFonts w:ascii="Arial" w:eastAsia="Times New Roman" w:hAnsi="Arial" w:cs="Arial"/>
        </w:rPr>
        <w:t xml:space="preserve"> (na razini razreda ekonomske klasifikacije)</w:t>
      </w:r>
    </w:p>
    <w:p w14:paraId="0B581A51" w14:textId="3C80D17A" w:rsidR="00BE635B" w:rsidRPr="003A2F86" w:rsidRDefault="00BE635B" w:rsidP="00BE635B">
      <w:pPr>
        <w:autoSpaceDE w:val="0"/>
        <w:autoSpaceDN w:val="0"/>
        <w:adjustRightInd w:val="0"/>
        <w:spacing w:after="0" w:line="240" w:lineRule="auto"/>
        <w:ind w:left="567" w:firstLine="709"/>
        <w:jc w:val="both"/>
        <w:rPr>
          <w:rFonts w:ascii="Arial" w:eastAsia="Times New Roman" w:hAnsi="Arial" w:cs="Arial"/>
        </w:rPr>
      </w:pPr>
      <w:r w:rsidRPr="003A2F86">
        <w:rPr>
          <w:rFonts w:ascii="Arial" w:eastAsia="Times New Roman" w:hAnsi="Arial" w:cs="Arial"/>
          <w:b/>
        </w:rPr>
        <w:t>-</w:t>
      </w:r>
      <w:r w:rsidRPr="003A2F86">
        <w:rPr>
          <w:rFonts w:ascii="Arial" w:eastAsia="Times New Roman" w:hAnsi="Arial" w:cs="Arial"/>
          <w:b/>
        </w:rPr>
        <w:tab/>
      </w:r>
      <w:r w:rsidR="00435972" w:rsidRPr="003A2F86">
        <w:rPr>
          <w:rFonts w:ascii="Arial" w:eastAsia="Times New Roman" w:hAnsi="Arial" w:cs="Arial"/>
        </w:rPr>
        <w:t xml:space="preserve"> </w:t>
      </w:r>
      <w:r w:rsidR="00891119" w:rsidRPr="003A2F86">
        <w:rPr>
          <w:rFonts w:ascii="Arial" w:eastAsia="Times New Roman" w:hAnsi="Arial" w:cs="Arial"/>
          <w:b/>
          <w:bCs/>
        </w:rPr>
        <w:t>Račun prihoda i rashoda</w:t>
      </w:r>
      <w:r w:rsidR="00891119" w:rsidRPr="003A2F86">
        <w:rPr>
          <w:rFonts w:ascii="Arial" w:eastAsia="Times New Roman" w:hAnsi="Arial" w:cs="Arial"/>
        </w:rPr>
        <w:t xml:space="preserve"> </w:t>
      </w:r>
      <w:r w:rsidR="00EE5313" w:rsidRPr="003A2F86">
        <w:rPr>
          <w:rFonts w:ascii="Arial" w:eastAsia="Times New Roman" w:hAnsi="Arial" w:cs="Arial"/>
        </w:rPr>
        <w:t>(prikaz prihoda i rashoda prema ekonomskoj klasifikaciji, izvorima financiranja i funkcijskoj klasifikaciji)</w:t>
      </w:r>
    </w:p>
    <w:p w14:paraId="15B86E4C" w14:textId="448A83F9" w:rsidR="00891119" w:rsidRPr="003A2F86" w:rsidRDefault="00BE635B" w:rsidP="00BE635B">
      <w:pPr>
        <w:autoSpaceDE w:val="0"/>
        <w:autoSpaceDN w:val="0"/>
        <w:adjustRightInd w:val="0"/>
        <w:spacing w:after="0" w:line="240" w:lineRule="auto"/>
        <w:ind w:left="567" w:firstLine="709"/>
        <w:jc w:val="both"/>
        <w:rPr>
          <w:rFonts w:ascii="Arial" w:eastAsia="Times New Roman" w:hAnsi="Arial" w:cs="Arial"/>
        </w:rPr>
      </w:pPr>
      <w:r w:rsidRPr="003A2F86">
        <w:rPr>
          <w:rFonts w:ascii="Arial" w:eastAsia="Times New Roman" w:hAnsi="Arial" w:cs="Arial"/>
          <w:b/>
        </w:rPr>
        <w:t>-</w:t>
      </w:r>
      <w:r w:rsidRPr="003A2F86">
        <w:rPr>
          <w:rFonts w:ascii="Arial" w:eastAsia="Times New Roman" w:hAnsi="Arial" w:cs="Arial"/>
          <w:b/>
        </w:rPr>
        <w:tab/>
        <w:t xml:space="preserve"> </w:t>
      </w:r>
      <w:r w:rsidR="00891119" w:rsidRPr="003A2F86">
        <w:rPr>
          <w:rFonts w:ascii="Arial" w:eastAsia="Times New Roman" w:hAnsi="Arial" w:cs="Arial"/>
          <w:b/>
          <w:bCs/>
        </w:rPr>
        <w:t>Račun financiranja</w:t>
      </w:r>
      <w:r w:rsidR="00EE5313" w:rsidRPr="003A2F86">
        <w:rPr>
          <w:rFonts w:ascii="Arial" w:eastAsia="Times New Roman" w:hAnsi="Arial" w:cs="Arial"/>
        </w:rPr>
        <w:t xml:space="preserve"> (prikaz primitaka i izdataka prema ekonomskoj </w:t>
      </w:r>
      <w:r w:rsidR="00891119" w:rsidRPr="003A2F86">
        <w:rPr>
          <w:rFonts w:ascii="Arial" w:eastAsia="Times New Roman" w:hAnsi="Arial" w:cs="Arial"/>
        </w:rPr>
        <w:t>klasifikacij</w:t>
      </w:r>
      <w:r w:rsidR="00BA03BC" w:rsidRPr="003A2F86">
        <w:rPr>
          <w:rFonts w:ascii="Arial" w:eastAsia="Times New Roman" w:hAnsi="Arial" w:cs="Arial"/>
        </w:rPr>
        <w:t>i</w:t>
      </w:r>
      <w:r w:rsidR="00EE5313" w:rsidRPr="003A2F86">
        <w:rPr>
          <w:rFonts w:ascii="Arial" w:eastAsia="Times New Roman" w:hAnsi="Arial" w:cs="Arial"/>
        </w:rPr>
        <w:t xml:space="preserve"> i izvorima financiranja)</w:t>
      </w:r>
      <w:r w:rsidR="00BA03BC" w:rsidRPr="003A2F86">
        <w:rPr>
          <w:rFonts w:ascii="Arial" w:eastAsia="Times New Roman" w:hAnsi="Arial" w:cs="Arial"/>
        </w:rPr>
        <w:t xml:space="preserve"> </w:t>
      </w:r>
    </w:p>
    <w:p w14:paraId="5F6C0C09" w14:textId="4C41F8A4" w:rsidR="00891119" w:rsidRPr="003A2F86" w:rsidRDefault="00891119" w:rsidP="001E17AD">
      <w:pPr>
        <w:autoSpaceDE w:val="0"/>
        <w:autoSpaceDN w:val="0"/>
        <w:adjustRightInd w:val="0"/>
        <w:spacing w:after="0" w:line="240" w:lineRule="auto"/>
        <w:ind w:firstLine="567"/>
        <w:jc w:val="both"/>
        <w:rPr>
          <w:rFonts w:ascii="Arial" w:eastAsia="Times New Roman" w:hAnsi="Arial" w:cs="Arial"/>
        </w:rPr>
      </w:pPr>
      <w:r w:rsidRPr="003A2F86">
        <w:rPr>
          <w:rFonts w:ascii="Arial" w:eastAsia="Times New Roman" w:hAnsi="Arial" w:cs="Arial"/>
        </w:rPr>
        <w:t xml:space="preserve">2. </w:t>
      </w:r>
      <w:r w:rsidRPr="003A2F86">
        <w:rPr>
          <w:rFonts w:ascii="Arial" w:eastAsia="Times New Roman" w:hAnsi="Arial" w:cs="Arial"/>
          <w:b/>
        </w:rPr>
        <w:t>posebni dio</w:t>
      </w:r>
      <w:r w:rsidRPr="003A2F86">
        <w:rPr>
          <w:rFonts w:ascii="Arial" w:eastAsia="Times New Roman" w:hAnsi="Arial" w:cs="Arial"/>
        </w:rPr>
        <w:t xml:space="preserve"> proračuna po organizacijskoj </w:t>
      </w:r>
      <w:r w:rsidR="008A76EE" w:rsidRPr="003A2F86">
        <w:rPr>
          <w:rFonts w:ascii="Arial" w:eastAsia="Times New Roman" w:hAnsi="Arial" w:cs="Arial"/>
        </w:rPr>
        <w:t>klasifikaciji</w:t>
      </w:r>
      <w:r w:rsidR="00BA03BC" w:rsidRPr="003A2F86">
        <w:rPr>
          <w:rFonts w:ascii="Arial" w:eastAsia="Times New Roman" w:hAnsi="Arial" w:cs="Arial"/>
        </w:rPr>
        <w:t>, izvorima i ekonomskoj klasifikaciji raspoređen u programe koji se sastoje od aktivnosti i projekata</w:t>
      </w:r>
      <w:r w:rsidRPr="003A2F86">
        <w:rPr>
          <w:rFonts w:ascii="Arial" w:eastAsia="Times New Roman" w:hAnsi="Arial" w:cs="Arial"/>
        </w:rPr>
        <w:t xml:space="preserve"> </w:t>
      </w:r>
      <w:r w:rsidRPr="003A2F86">
        <w:rPr>
          <w:rFonts w:ascii="Arial" w:eastAsia="Times New Roman" w:hAnsi="Arial" w:cs="Arial"/>
          <w:i/>
        </w:rPr>
        <w:t>(</w:t>
      </w:r>
      <w:r w:rsidR="006A6D70" w:rsidRPr="003A2F86">
        <w:rPr>
          <w:rFonts w:ascii="Arial" w:eastAsia="Times New Roman" w:hAnsi="Arial" w:cs="Arial"/>
          <w:b/>
          <w:i/>
        </w:rPr>
        <w:t>privitak</w:t>
      </w:r>
      <w:r w:rsidRPr="003A2F86">
        <w:rPr>
          <w:rFonts w:ascii="Arial" w:eastAsia="Times New Roman" w:hAnsi="Arial" w:cs="Arial"/>
          <w:i/>
        </w:rPr>
        <w:t>, financijski dio Izvještaja)</w:t>
      </w:r>
      <w:r w:rsidRPr="003A2F86">
        <w:rPr>
          <w:rFonts w:ascii="Arial" w:eastAsia="Times New Roman" w:hAnsi="Arial" w:cs="Arial"/>
        </w:rPr>
        <w:t>,</w:t>
      </w:r>
    </w:p>
    <w:p w14:paraId="5C1F74AC" w14:textId="06CACD6F" w:rsidR="00BA03BC" w:rsidRPr="003A2F86" w:rsidRDefault="00BA03BC" w:rsidP="001E17AD">
      <w:pPr>
        <w:autoSpaceDE w:val="0"/>
        <w:autoSpaceDN w:val="0"/>
        <w:adjustRightInd w:val="0"/>
        <w:spacing w:after="0" w:line="240" w:lineRule="auto"/>
        <w:ind w:firstLine="567"/>
        <w:jc w:val="both"/>
        <w:rPr>
          <w:rFonts w:ascii="Arial" w:eastAsia="Times New Roman" w:hAnsi="Arial" w:cs="Arial"/>
        </w:rPr>
      </w:pPr>
      <w:r w:rsidRPr="003A2F86">
        <w:rPr>
          <w:rFonts w:ascii="Arial" w:eastAsia="Times New Roman" w:hAnsi="Arial" w:cs="Arial"/>
          <w:bCs/>
        </w:rPr>
        <w:t>3.</w:t>
      </w:r>
      <w:r w:rsidRPr="003A2F86">
        <w:rPr>
          <w:rFonts w:ascii="Arial" w:eastAsia="Times New Roman" w:hAnsi="Arial" w:cs="Arial"/>
          <w:b/>
        </w:rPr>
        <w:t xml:space="preserve"> obrazloženje izvještaj</w:t>
      </w:r>
      <w:r w:rsidR="00930F93" w:rsidRPr="003A2F86">
        <w:rPr>
          <w:rFonts w:ascii="Arial" w:eastAsia="Times New Roman" w:hAnsi="Arial" w:cs="Arial"/>
          <w:b/>
        </w:rPr>
        <w:t>a</w:t>
      </w:r>
      <w:r w:rsidRPr="003A2F86">
        <w:rPr>
          <w:rFonts w:ascii="Arial" w:eastAsia="Times New Roman" w:hAnsi="Arial" w:cs="Arial"/>
          <w:b/>
        </w:rPr>
        <w:t xml:space="preserve"> o izvršenju proračuna </w:t>
      </w:r>
      <w:r w:rsidRPr="003A2F86">
        <w:rPr>
          <w:rFonts w:ascii="Arial" w:eastAsia="Times New Roman" w:hAnsi="Arial" w:cs="Arial"/>
        </w:rPr>
        <w:t xml:space="preserve">(ovo obrazloženje sukladno spomenutom Pravilniku ima više obveznih dijelova kao što su </w:t>
      </w:r>
      <w:hyperlink w:anchor="_2.__OBRAZLOŽENJE" w:history="1">
        <w:r w:rsidRPr="001B4970">
          <w:rPr>
            <w:rStyle w:val="Hiperveza"/>
            <w:rFonts w:ascii="Arial" w:eastAsia="Times New Roman" w:hAnsi="Arial" w:cs="Arial"/>
            <w:i/>
          </w:rPr>
          <w:t>točk</w:t>
        </w:r>
        <w:r w:rsidR="001B4970" w:rsidRPr="001B4970">
          <w:rPr>
            <w:rStyle w:val="Hiperveza"/>
            <w:rFonts w:ascii="Arial" w:eastAsia="Times New Roman" w:hAnsi="Arial" w:cs="Arial"/>
            <w:i/>
          </w:rPr>
          <w:t>a</w:t>
        </w:r>
        <w:r w:rsidRPr="001B4970">
          <w:rPr>
            <w:rStyle w:val="Hiperveza"/>
            <w:rFonts w:ascii="Arial" w:eastAsia="Times New Roman" w:hAnsi="Arial" w:cs="Arial"/>
            <w:i/>
          </w:rPr>
          <w:t xml:space="preserve"> </w:t>
        </w:r>
        <w:r w:rsidR="00FC0E6E" w:rsidRPr="001B4970">
          <w:rPr>
            <w:rStyle w:val="Hiperveza"/>
            <w:rFonts w:ascii="Arial" w:eastAsia="Times New Roman" w:hAnsi="Arial" w:cs="Arial"/>
            <w:i/>
          </w:rPr>
          <w:t>2.</w:t>
        </w:r>
      </w:hyperlink>
      <w:r w:rsidR="00FC0E6E" w:rsidRPr="003A2F86">
        <w:rPr>
          <w:rFonts w:ascii="Arial" w:eastAsia="Times New Roman" w:hAnsi="Arial" w:cs="Arial"/>
          <w:i/>
          <w:color w:val="FF0000"/>
        </w:rPr>
        <w:t xml:space="preserve"> </w:t>
      </w:r>
      <w:r w:rsidR="00FC0E6E" w:rsidRPr="00A224B5">
        <w:rPr>
          <w:rFonts w:ascii="Arial" w:eastAsia="Times New Roman" w:hAnsi="Arial" w:cs="Arial"/>
          <w:i/>
        </w:rPr>
        <w:t xml:space="preserve">i </w:t>
      </w:r>
      <w:hyperlink w:anchor="_3.__OBRAZLOŽENJE" w:history="1">
        <w:r w:rsidR="001B4970" w:rsidRPr="001B4970">
          <w:rPr>
            <w:rStyle w:val="Hiperveza"/>
            <w:rFonts w:ascii="Arial" w:eastAsia="Times New Roman" w:hAnsi="Arial" w:cs="Arial"/>
            <w:i/>
          </w:rPr>
          <w:t xml:space="preserve">točka </w:t>
        </w:r>
        <w:r w:rsidR="00FC0E6E" w:rsidRPr="001B4970">
          <w:rPr>
            <w:rStyle w:val="Hiperveza"/>
            <w:rFonts w:ascii="Arial" w:eastAsia="Times New Roman" w:hAnsi="Arial" w:cs="Arial"/>
            <w:i/>
          </w:rPr>
          <w:t>3</w:t>
        </w:r>
        <w:r w:rsidR="0011271E" w:rsidRPr="001B4970">
          <w:rPr>
            <w:rStyle w:val="Hiperveza"/>
            <w:rFonts w:ascii="Arial" w:eastAsia="Times New Roman" w:hAnsi="Arial" w:cs="Arial"/>
            <w:i/>
          </w:rPr>
          <w:t>.</w:t>
        </w:r>
      </w:hyperlink>
      <w:r w:rsidR="0011271E" w:rsidRPr="00A224B5">
        <w:rPr>
          <w:rFonts w:ascii="Arial" w:eastAsia="Times New Roman" w:hAnsi="Arial" w:cs="Arial"/>
          <w:i/>
        </w:rPr>
        <w:t xml:space="preserve">, </w:t>
      </w:r>
      <w:r w:rsidR="00D14D9B" w:rsidRPr="003A2F86">
        <w:rPr>
          <w:rFonts w:ascii="Arial" w:eastAsia="Times New Roman" w:hAnsi="Arial" w:cs="Arial"/>
          <w:iCs/>
        </w:rPr>
        <w:t>dakle</w:t>
      </w:r>
      <w:r w:rsidR="0011271E" w:rsidRPr="003A2F86">
        <w:rPr>
          <w:rFonts w:ascii="Arial" w:eastAsia="Times New Roman" w:hAnsi="Arial" w:cs="Arial"/>
          <w:iCs/>
        </w:rPr>
        <w:t xml:space="preserve"> obrazloženje općeg dijela i obrazloženje posebnog dijela izvještaja o izvršenju proračuna</w:t>
      </w:r>
      <w:r w:rsidRPr="003A2F86">
        <w:rPr>
          <w:rFonts w:ascii="Arial" w:eastAsia="Times New Roman" w:hAnsi="Arial" w:cs="Arial"/>
          <w:i/>
        </w:rPr>
        <w:t>)</w:t>
      </w:r>
      <w:r w:rsidRPr="003A2F86">
        <w:rPr>
          <w:rFonts w:ascii="Arial" w:eastAsia="Times New Roman" w:hAnsi="Arial" w:cs="Arial"/>
        </w:rPr>
        <w:t>.</w:t>
      </w:r>
    </w:p>
    <w:p w14:paraId="4D0977E5" w14:textId="0CB1019D" w:rsidR="00BA03BC" w:rsidRPr="003A2F86" w:rsidRDefault="00BA03BC" w:rsidP="001E17AD">
      <w:pPr>
        <w:autoSpaceDE w:val="0"/>
        <w:autoSpaceDN w:val="0"/>
        <w:adjustRightInd w:val="0"/>
        <w:spacing w:after="0" w:line="240" w:lineRule="auto"/>
        <w:ind w:firstLine="567"/>
        <w:jc w:val="both"/>
        <w:rPr>
          <w:rFonts w:ascii="Arial" w:eastAsia="Times New Roman" w:hAnsi="Arial" w:cs="Arial"/>
        </w:rPr>
      </w:pPr>
      <w:r w:rsidRPr="003A2F86">
        <w:rPr>
          <w:rFonts w:ascii="Arial" w:eastAsia="Times New Roman" w:hAnsi="Arial" w:cs="Arial"/>
        </w:rPr>
        <w:t xml:space="preserve">4. </w:t>
      </w:r>
      <w:r w:rsidRPr="003A2F86">
        <w:rPr>
          <w:rFonts w:ascii="Arial" w:eastAsia="Times New Roman" w:hAnsi="Arial" w:cs="Arial"/>
          <w:b/>
          <w:bCs/>
        </w:rPr>
        <w:t>po</w:t>
      </w:r>
      <w:r w:rsidR="009A2E53" w:rsidRPr="003A2F86">
        <w:rPr>
          <w:rFonts w:ascii="Arial" w:eastAsia="Times New Roman" w:hAnsi="Arial" w:cs="Arial"/>
          <w:b/>
          <w:bCs/>
        </w:rPr>
        <w:t>sebne izvještaje u izvještaju o izvršenju proračuna</w:t>
      </w:r>
      <w:r w:rsidR="009A2E53" w:rsidRPr="003A2F86">
        <w:rPr>
          <w:rFonts w:ascii="Arial" w:eastAsia="Times New Roman" w:hAnsi="Arial" w:cs="Arial"/>
        </w:rPr>
        <w:t xml:space="preserve">: </w:t>
      </w:r>
    </w:p>
    <w:p w14:paraId="4E89F249" w14:textId="36735DB0" w:rsidR="009A2E53" w:rsidRPr="003A2F86" w:rsidRDefault="009A2E53" w:rsidP="001E17AD">
      <w:pPr>
        <w:autoSpaceDE w:val="0"/>
        <w:autoSpaceDN w:val="0"/>
        <w:adjustRightInd w:val="0"/>
        <w:spacing w:after="0" w:line="240" w:lineRule="auto"/>
        <w:ind w:left="709" w:firstLine="142"/>
        <w:jc w:val="both"/>
        <w:rPr>
          <w:rFonts w:ascii="Arial" w:eastAsia="Times New Roman" w:hAnsi="Arial" w:cs="Arial"/>
        </w:rPr>
      </w:pPr>
      <w:r w:rsidRPr="003A2F86">
        <w:rPr>
          <w:rFonts w:ascii="Arial" w:eastAsia="Times New Roman" w:hAnsi="Arial" w:cs="Arial"/>
        </w:rPr>
        <w:t xml:space="preserve">4.1. </w:t>
      </w:r>
      <w:r w:rsidRPr="003A2F86">
        <w:rPr>
          <w:rFonts w:ascii="Arial" w:eastAsia="Times New Roman" w:hAnsi="Arial" w:cs="Arial"/>
          <w:b/>
        </w:rPr>
        <w:t>izvještaj o korištenju proračunske zalihe</w:t>
      </w:r>
      <w:r w:rsidRPr="003A2F86">
        <w:rPr>
          <w:rFonts w:ascii="Arial" w:eastAsia="Times New Roman" w:hAnsi="Arial" w:cs="Arial"/>
        </w:rPr>
        <w:t xml:space="preserve"> (</w:t>
      </w:r>
      <w:hyperlink w:anchor="_4.1.__IZVJEŠTAJ" w:history="1">
        <w:r w:rsidRPr="001B4970">
          <w:rPr>
            <w:rStyle w:val="Hiperveza"/>
            <w:rFonts w:ascii="Arial" w:eastAsia="Times New Roman" w:hAnsi="Arial" w:cs="Arial"/>
            <w:i/>
          </w:rPr>
          <w:t xml:space="preserve">točka </w:t>
        </w:r>
        <w:r w:rsidR="00FC0E6E" w:rsidRPr="001B4970">
          <w:rPr>
            <w:rStyle w:val="Hiperveza"/>
            <w:rFonts w:ascii="Arial" w:eastAsia="Times New Roman" w:hAnsi="Arial" w:cs="Arial"/>
            <w:i/>
          </w:rPr>
          <w:t>4.1</w:t>
        </w:r>
      </w:hyperlink>
      <w:r w:rsidRPr="003A2F86">
        <w:rPr>
          <w:rFonts w:ascii="Arial" w:eastAsia="Times New Roman" w:hAnsi="Arial" w:cs="Arial"/>
          <w:i/>
        </w:rPr>
        <w:t>.)</w:t>
      </w:r>
      <w:r w:rsidRPr="003A2F86">
        <w:rPr>
          <w:rFonts w:ascii="Arial" w:eastAsia="Times New Roman" w:hAnsi="Arial" w:cs="Arial"/>
        </w:rPr>
        <w:t>,</w:t>
      </w:r>
    </w:p>
    <w:p w14:paraId="47E4F188" w14:textId="5FA2C667" w:rsidR="00435972" w:rsidRPr="003A2F86" w:rsidRDefault="00435972" w:rsidP="00435972">
      <w:pPr>
        <w:autoSpaceDE w:val="0"/>
        <w:autoSpaceDN w:val="0"/>
        <w:adjustRightInd w:val="0"/>
        <w:spacing w:after="0" w:line="240" w:lineRule="auto"/>
        <w:ind w:left="709" w:firstLine="142"/>
        <w:jc w:val="both"/>
        <w:rPr>
          <w:rFonts w:ascii="Arial" w:eastAsia="Times New Roman" w:hAnsi="Arial" w:cs="Arial"/>
        </w:rPr>
      </w:pPr>
      <w:r w:rsidRPr="003A2F86">
        <w:rPr>
          <w:rFonts w:ascii="Arial" w:eastAsia="Times New Roman" w:hAnsi="Arial" w:cs="Arial"/>
        </w:rPr>
        <w:t>4.2.</w:t>
      </w:r>
      <w:r w:rsidRPr="003A2F86">
        <w:rPr>
          <w:rFonts w:ascii="Arial" w:eastAsia="Times New Roman" w:hAnsi="Arial" w:cs="Arial"/>
          <w:b/>
        </w:rPr>
        <w:t xml:space="preserve"> izvještaj o zaduživanju</w:t>
      </w:r>
      <w:r w:rsidRPr="003A2F86">
        <w:rPr>
          <w:rFonts w:ascii="Arial" w:eastAsia="Times New Roman" w:hAnsi="Arial" w:cs="Arial"/>
        </w:rPr>
        <w:t xml:space="preserve"> na domaćem i stranom tržištu novca i kapitala (</w:t>
      </w:r>
      <w:hyperlink w:anchor="_4.2._IZVJEŠTAJ_O" w:history="1">
        <w:r w:rsidRPr="001B4970">
          <w:rPr>
            <w:rStyle w:val="Hiperveza"/>
            <w:rFonts w:ascii="Arial" w:eastAsia="Times New Roman" w:hAnsi="Arial" w:cs="Arial"/>
            <w:i/>
          </w:rPr>
          <w:t xml:space="preserve">točka </w:t>
        </w:r>
        <w:r w:rsidR="00B176D3" w:rsidRPr="001B4970">
          <w:rPr>
            <w:rStyle w:val="Hiperveza"/>
            <w:rFonts w:ascii="Arial" w:eastAsia="Times New Roman" w:hAnsi="Arial" w:cs="Arial"/>
            <w:i/>
          </w:rPr>
          <w:t>4</w:t>
        </w:r>
        <w:r w:rsidRPr="001B4970">
          <w:rPr>
            <w:rStyle w:val="Hiperveza"/>
            <w:rFonts w:ascii="Arial" w:eastAsia="Times New Roman" w:hAnsi="Arial" w:cs="Arial"/>
            <w:i/>
          </w:rPr>
          <w:t>.</w:t>
        </w:r>
        <w:r w:rsidR="00FC0E6E" w:rsidRPr="001B4970">
          <w:rPr>
            <w:rStyle w:val="Hiperveza"/>
            <w:rFonts w:ascii="Arial" w:eastAsia="Times New Roman" w:hAnsi="Arial" w:cs="Arial"/>
            <w:i/>
          </w:rPr>
          <w:t>2.</w:t>
        </w:r>
      </w:hyperlink>
      <w:r w:rsidRPr="003A2F86">
        <w:rPr>
          <w:rFonts w:ascii="Arial" w:eastAsia="Times New Roman" w:hAnsi="Arial" w:cs="Arial"/>
          <w:i/>
        </w:rPr>
        <w:t>)</w:t>
      </w:r>
      <w:r w:rsidRPr="003A2F86">
        <w:rPr>
          <w:rFonts w:ascii="Arial" w:eastAsia="Times New Roman" w:hAnsi="Arial" w:cs="Arial"/>
        </w:rPr>
        <w:t>,</w:t>
      </w:r>
    </w:p>
    <w:p w14:paraId="2F7BFC78" w14:textId="0866414D" w:rsidR="00435972" w:rsidRPr="00A224B5" w:rsidRDefault="00435972" w:rsidP="00435972">
      <w:pPr>
        <w:autoSpaceDE w:val="0"/>
        <w:autoSpaceDN w:val="0"/>
        <w:adjustRightInd w:val="0"/>
        <w:spacing w:after="0" w:line="240" w:lineRule="auto"/>
        <w:ind w:left="709" w:firstLine="142"/>
        <w:jc w:val="both"/>
        <w:rPr>
          <w:rFonts w:ascii="Arial" w:eastAsia="Times New Roman" w:hAnsi="Arial" w:cs="Arial"/>
        </w:rPr>
      </w:pPr>
      <w:r w:rsidRPr="003A2F86">
        <w:rPr>
          <w:rFonts w:ascii="Arial" w:eastAsia="Times New Roman" w:hAnsi="Arial" w:cs="Arial"/>
        </w:rPr>
        <w:t xml:space="preserve">4.3. </w:t>
      </w:r>
      <w:r w:rsidRPr="003A2F86">
        <w:rPr>
          <w:rFonts w:ascii="Arial" w:eastAsia="Times New Roman" w:hAnsi="Arial" w:cs="Arial"/>
          <w:b/>
        </w:rPr>
        <w:t>izvještaj o danim jamstvima i plaćanjima po protestiranim jamstvima</w:t>
      </w:r>
      <w:r w:rsidRPr="003A2F86">
        <w:rPr>
          <w:rFonts w:ascii="Arial" w:eastAsia="Times New Roman" w:hAnsi="Arial" w:cs="Arial"/>
        </w:rPr>
        <w:t xml:space="preserve"> (</w:t>
      </w:r>
      <w:hyperlink w:anchor="_4.3.__IZVJEŠTAJ" w:history="1">
        <w:r w:rsidRPr="001B4970">
          <w:rPr>
            <w:rStyle w:val="Hiperveza"/>
            <w:rFonts w:ascii="Arial" w:eastAsia="Times New Roman" w:hAnsi="Arial" w:cs="Arial"/>
            <w:i/>
          </w:rPr>
          <w:t xml:space="preserve">točka </w:t>
        </w:r>
        <w:r w:rsidR="00FC0E6E" w:rsidRPr="001B4970">
          <w:rPr>
            <w:rStyle w:val="Hiperveza"/>
            <w:rFonts w:ascii="Arial" w:eastAsia="Times New Roman" w:hAnsi="Arial" w:cs="Arial"/>
            <w:i/>
          </w:rPr>
          <w:t>4.3.</w:t>
        </w:r>
      </w:hyperlink>
      <w:r w:rsidRPr="003A2F86">
        <w:rPr>
          <w:rFonts w:ascii="Arial" w:eastAsia="Times New Roman" w:hAnsi="Arial" w:cs="Arial"/>
          <w:i/>
        </w:rPr>
        <w:t>)</w:t>
      </w:r>
    </w:p>
    <w:p w14:paraId="048FA2C2" w14:textId="6A791E75" w:rsidR="00435972" w:rsidRPr="003A2F86" w:rsidRDefault="00B633D1" w:rsidP="003819AC">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Osim ova tri izvještaja koja se prikazuju u polugodišnjem izvještaju o izvršenju proračuna, godišnji izvještaj o izvršenju proračuna dopunjuje se dodatnim posebnim izvještajima i to:</w:t>
      </w:r>
    </w:p>
    <w:p w14:paraId="7691D01F" w14:textId="278FA92A" w:rsidR="009A2E53" w:rsidRPr="003A2F86" w:rsidRDefault="009A2E53" w:rsidP="001E17AD">
      <w:pPr>
        <w:autoSpaceDE w:val="0"/>
        <w:autoSpaceDN w:val="0"/>
        <w:adjustRightInd w:val="0"/>
        <w:spacing w:after="0" w:line="240" w:lineRule="auto"/>
        <w:ind w:left="709" w:firstLine="142"/>
        <w:jc w:val="both"/>
        <w:rPr>
          <w:rFonts w:ascii="Arial" w:eastAsia="Times New Roman" w:hAnsi="Arial" w:cs="Arial"/>
        </w:rPr>
      </w:pPr>
      <w:r w:rsidRPr="003A2F86">
        <w:rPr>
          <w:rFonts w:ascii="Arial" w:eastAsia="Times New Roman" w:hAnsi="Arial" w:cs="Arial"/>
        </w:rPr>
        <w:t>4.</w:t>
      </w:r>
      <w:r w:rsidR="00B633D1" w:rsidRPr="003A2F86">
        <w:rPr>
          <w:rFonts w:ascii="Arial" w:eastAsia="Times New Roman" w:hAnsi="Arial" w:cs="Arial"/>
        </w:rPr>
        <w:t>4</w:t>
      </w:r>
      <w:r w:rsidRPr="003A2F86">
        <w:rPr>
          <w:rFonts w:ascii="Arial" w:eastAsia="Times New Roman" w:hAnsi="Arial" w:cs="Arial"/>
        </w:rPr>
        <w:t xml:space="preserve">. </w:t>
      </w:r>
      <w:r w:rsidRPr="003A2F86">
        <w:rPr>
          <w:rFonts w:ascii="Arial" w:eastAsia="Times New Roman" w:hAnsi="Arial" w:cs="Arial"/>
          <w:b/>
          <w:bCs/>
        </w:rPr>
        <w:t xml:space="preserve">izvještaj o korištenju sredstava </w:t>
      </w:r>
      <w:r w:rsidR="00B633D1" w:rsidRPr="003A2F86">
        <w:rPr>
          <w:rFonts w:ascii="Arial" w:eastAsia="Times New Roman" w:hAnsi="Arial" w:cs="Arial"/>
          <w:b/>
          <w:bCs/>
        </w:rPr>
        <w:t xml:space="preserve">fondova </w:t>
      </w:r>
      <w:r w:rsidRPr="003A2F86">
        <w:rPr>
          <w:rFonts w:ascii="Arial" w:eastAsia="Times New Roman" w:hAnsi="Arial" w:cs="Arial"/>
          <w:b/>
          <w:bCs/>
        </w:rPr>
        <w:t>Europske unije</w:t>
      </w:r>
      <w:r w:rsidRPr="003A2F86">
        <w:rPr>
          <w:rFonts w:ascii="Arial" w:eastAsia="Times New Roman" w:hAnsi="Arial" w:cs="Arial"/>
        </w:rPr>
        <w:t xml:space="preserve"> </w:t>
      </w:r>
      <w:r w:rsidRPr="00A224B5">
        <w:rPr>
          <w:rFonts w:ascii="Arial" w:eastAsia="Times New Roman" w:hAnsi="Arial" w:cs="Arial"/>
        </w:rPr>
        <w:t>(</w:t>
      </w:r>
      <w:hyperlink w:anchor="_4.4.__IZVJEŠTAJ" w:history="1">
        <w:r w:rsidRPr="001B4970">
          <w:rPr>
            <w:rStyle w:val="Hiperveza"/>
            <w:rFonts w:ascii="Arial" w:eastAsia="Times New Roman" w:hAnsi="Arial" w:cs="Arial"/>
            <w:i/>
          </w:rPr>
          <w:t xml:space="preserve">točka </w:t>
        </w:r>
        <w:r w:rsidR="00FC0E6E" w:rsidRPr="001B4970">
          <w:rPr>
            <w:rStyle w:val="Hiperveza"/>
            <w:rFonts w:ascii="Arial" w:eastAsia="Times New Roman" w:hAnsi="Arial" w:cs="Arial"/>
            <w:i/>
          </w:rPr>
          <w:t>4.4.</w:t>
        </w:r>
      </w:hyperlink>
      <w:r w:rsidRPr="003A2F86">
        <w:rPr>
          <w:rFonts w:ascii="Arial" w:eastAsia="Times New Roman" w:hAnsi="Arial" w:cs="Arial"/>
          <w:i/>
        </w:rPr>
        <w:t>)</w:t>
      </w:r>
      <w:r w:rsidRPr="003A2F86">
        <w:rPr>
          <w:rFonts w:ascii="Arial" w:eastAsia="Times New Roman" w:hAnsi="Arial" w:cs="Arial"/>
        </w:rPr>
        <w:t>,</w:t>
      </w:r>
    </w:p>
    <w:p w14:paraId="04D87614" w14:textId="657D45D0" w:rsidR="009A2E53" w:rsidRPr="00A224B5" w:rsidRDefault="009A2E53" w:rsidP="001E17AD">
      <w:pPr>
        <w:autoSpaceDE w:val="0"/>
        <w:autoSpaceDN w:val="0"/>
        <w:adjustRightInd w:val="0"/>
        <w:spacing w:after="0" w:line="240" w:lineRule="auto"/>
        <w:ind w:left="709" w:firstLine="142"/>
        <w:jc w:val="both"/>
        <w:rPr>
          <w:rFonts w:ascii="Arial" w:eastAsia="Times New Roman" w:hAnsi="Arial" w:cs="Arial"/>
        </w:rPr>
      </w:pPr>
      <w:r w:rsidRPr="003A2F86">
        <w:rPr>
          <w:rFonts w:ascii="Arial" w:eastAsia="Times New Roman" w:hAnsi="Arial" w:cs="Arial"/>
        </w:rPr>
        <w:t>4.</w:t>
      </w:r>
      <w:r w:rsidR="00B633D1" w:rsidRPr="003A2F86">
        <w:rPr>
          <w:rFonts w:ascii="Arial" w:eastAsia="Times New Roman" w:hAnsi="Arial" w:cs="Arial"/>
        </w:rPr>
        <w:t>5</w:t>
      </w:r>
      <w:r w:rsidRPr="003A2F86">
        <w:rPr>
          <w:rFonts w:ascii="Arial" w:eastAsia="Times New Roman" w:hAnsi="Arial" w:cs="Arial"/>
        </w:rPr>
        <w:t xml:space="preserve">. </w:t>
      </w:r>
      <w:r w:rsidRPr="003A2F86">
        <w:rPr>
          <w:rFonts w:ascii="Arial" w:eastAsia="Times New Roman" w:hAnsi="Arial" w:cs="Arial"/>
          <w:b/>
          <w:bCs/>
        </w:rPr>
        <w:t>izvještaj o danim zajmovima i potraživanjima po danim zajmovima</w:t>
      </w:r>
      <w:r w:rsidRPr="003A2F86">
        <w:rPr>
          <w:rFonts w:ascii="Arial" w:eastAsia="Times New Roman" w:hAnsi="Arial" w:cs="Arial"/>
        </w:rPr>
        <w:t xml:space="preserve"> (</w:t>
      </w:r>
      <w:hyperlink w:anchor="_4.5._IZVJEŠTAJ_O" w:history="1">
        <w:r w:rsidRPr="001B4970">
          <w:rPr>
            <w:rStyle w:val="Hiperveza"/>
            <w:rFonts w:ascii="Arial" w:eastAsia="Times New Roman" w:hAnsi="Arial" w:cs="Arial"/>
            <w:i/>
          </w:rPr>
          <w:t xml:space="preserve">točka </w:t>
        </w:r>
        <w:r w:rsidR="00B176D3" w:rsidRPr="001B4970">
          <w:rPr>
            <w:rStyle w:val="Hiperveza"/>
            <w:rFonts w:ascii="Arial" w:eastAsia="Times New Roman" w:hAnsi="Arial" w:cs="Arial"/>
            <w:i/>
          </w:rPr>
          <w:t>4</w:t>
        </w:r>
        <w:r w:rsidR="00936B4D" w:rsidRPr="001B4970">
          <w:rPr>
            <w:rStyle w:val="Hiperveza"/>
            <w:rFonts w:ascii="Arial" w:eastAsia="Times New Roman" w:hAnsi="Arial" w:cs="Arial"/>
            <w:i/>
          </w:rPr>
          <w:t>.</w:t>
        </w:r>
        <w:r w:rsidR="00FC0E6E" w:rsidRPr="001B4970">
          <w:rPr>
            <w:rStyle w:val="Hiperveza"/>
            <w:rFonts w:ascii="Arial" w:eastAsia="Times New Roman" w:hAnsi="Arial" w:cs="Arial"/>
            <w:i/>
          </w:rPr>
          <w:t>5</w:t>
        </w:r>
        <w:r w:rsidR="00936B4D" w:rsidRPr="001B4970">
          <w:rPr>
            <w:rStyle w:val="Hiperveza"/>
            <w:rFonts w:ascii="Arial" w:eastAsia="Times New Roman" w:hAnsi="Arial" w:cs="Arial"/>
            <w:i/>
          </w:rPr>
          <w:t>.</w:t>
        </w:r>
      </w:hyperlink>
      <w:r w:rsidRPr="00A224B5">
        <w:rPr>
          <w:rFonts w:ascii="Arial" w:eastAsia="Times New Roman" w:hAnsi="Arial" w:cs="Arial"/>
          <w:i/>
        </w:rPr>
        <w:t>)</w:t>
      </w:r>
      <w:r w:rsidRPr="00A224B5">
        <w:rPr>
          <w:rFonts w:ascii="Arial" w:eastAsia="Times New Roman" w:hAnsi="Arial" w:cs="Arial"/>
        </w:rPr>
        <w:t>,</w:t>
      </w:r>
    </w:p>
    <w:p w14:paraId="74F3E2C8" w14:textId="5DD99934" w:rsidR="00523D5C" w:rsidRPr="003A2F86" w:rsidRDefault="00523D5C" w:rsidP="001E17AD">
      <w:pPr>
        <w:autoSpaceDE w:val="0"/>
        <w:autoSpaceDN w:val="0"/>
        <w:adjustRightInd w:val="0"/>
        <w:spacing w:after="0" w:line="240" w:lineRule="auto"/>
        <w:ind w:left="709" w:firstLine="142"/>
        <w:jc w:val="both"/>
        <w:rPr>
          <w:rFonts w:ascii="Arial" w:eastAsia="Times New Roman" w:hAnsi="Arial" w:cs="Arial"/>
          <w:b/>
          <w:bCs/>
        </w:rPr>
      </w:pPr>
      <w:r w:rsidRPr="003A2F86">
        <w:rPr>
          <w:rFonts w:ascii="Arial" w:eastAsia="Times New Roman" w:hAnsi="Arial" w:cs="Arial"/>
        </w:rPr>
        <w:t xml:space="preserve">4.6. </w:t>
      </w:r>
      <w:r w:rsidRPr="003A2F86">
        <w:rPr>
          <w:rFonts w:ascii="Arial" w:eastAsia="Times New Roman" w:hAnsi="Arial" w:cs="Arial"/>
          <w:b/>
          <w:bCs/>
        </w:rPr>
        <w:t xml:space="preserve">izvještaj o stanju potraživanja i dospjelih obveza, te stanju potencijalnih obveza po osnovi sudskih sporova </w:t>
      </w:r>
      <w:r w:rsidRPr="00A224B5">
        <w:rPr>
          <w:rFonts w:ascii="Arial" w:eastAsia="Times New Roman" w:hAnsi="Arial" w:cs="Arial"/>
          <w:i/>
          <w:iCs/>
        </w:rPr>
        <w:t>(</w:t>
      </w:r>
      <w:hyperlink w:anchor="_4.6._IZVJEŠTAJ_O" w:history="1">
        <w:r w:rsidRPr="001B4970">
          <w:rPr>
            <w:rStyle w:val="Hiperveza"/>
            <w:rFonts w:ascii="Arial" w:eastAsia="Times New Roman" w:hAnsi="Arial" w:cs="Arial"/>
            <w:i/>
          </w:rPr>
          <w:t xml:space="preserve">točka </w:t>
        </w:r>
        <w:r w:rsidR="00FC0E6E" w:rsidRPr="001B4970">
          <w:rPr>
            <w:rStyle w:val="Hiperveza"/>
            <w:rFonts w:ascii="Arial" w:eastAsia="Times New Roman" w:hAnsi="Arial" w:cs="Arial"/>
            <w:i/>
          </w:rPr>
          <w:t>4.6</w:t>
        </w:r>
        <w:r w:rsidR="00936B4D" w:rsidRPr="001B4970">
          <w:rPr>
            <w:rStyle w:val="Hiperveza"/>
            <w:rFonts w:ascii="Arial" w:eastAsia="Times New Roman" w:hAnsi="Arial" w:cs="Arial"/>
            <w:i/>
          </w:rPr>
          <w:t>.</w:t>
        </w:r>
      </w:hyperlink>
      <w:r w:rsidRPr="003A2F86">
        <w:rPr>
          <w:rFonts w:ascii="Arial" w:eastAsia="Times New Roman" w:hAnsi="Arial" w:cs="Arial"/>
          <w:i/>
        </w:rPr>
        <w:t>)</w:t>
      </w:r>
      <w:r w:rsidRPr="003A2F86">
        <w:rPr>
          <w:rFonts w:ascii="Arial" w:eastAsia="Times New Roman" w:hAnsi="Arial" w:cs="Arial"/>
        </w:rPr>
        <w:t xml:space="preserve">. </w:t>
      </w:r>
    </w:p>
    <w:p w14:paraId="5E27F356" w14:textId="77777777" w:rsidR="00523D5C" w:rsidRPr="003A2F86" w:rsidRDefault="00523D5C" w:rsidP="00E53CFD">
      <w:pPr>
        <w:autoSpaceDE w:val="0"/>
        <w:autoSpaceDN w:val="0"/>
        <w:adjustRightInd w:val="0"/>
        <w:spacing w:after="0" w:line="240" w:lineRule="auto"/>
        <w:jc w:val="both"/>
        <w:rPr>
          <w:rFonts w:ascii="Arial" w:eastAsia="Times New Roman" w:hAnsi="Arial" w:cs="Arial"/>
        </w:rPr>
      </w:pPr>
    </w:p>
    <w:p w14:paraId="7759798E" w14:textId="79EC9EA1" w:rsidR="00F952A1" w:rsidRPr="003A2F86" w:rsidRDefault="00F952A1" w:rsidP="00F952A1">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Sukladno odredbama članka 17., 20. i 21. Pravilnika o polugodišnjem i godišnjem izvještaju o izvršenju proračuna i financijskog plana </w:t>
      </w:r>
      <w:r w:rsidRPr="003A2F86">
        <w:rPr>
          <w:rFonts w:ascii="Arial" w:eastAsia="Times New Roman" w:hAnsi="Arial" w:cs="Arial"/>
          <w:b/>
          <w:bCs/>
          <w:iCs/>
          <w:lang w:eastAsia="en-US"/>
        </w:rPr>
        <w:t>polugodišnji izvještaj</w:t>
      </w:r>
      <w:r w:rsidRPr="003A2F86">
        <w:rPr>
          <w:rFonts w:ascii="Arial" w:eastAsia="Times New Roman" w:hAnsi="Arial" w:cs="Arial"/>
          <w:iCs/>
          <w:lang w:eastAsia="en-US"/>
        </w:rPr>
        <w:t xml:space="preserve"> o izvršenju proračuna sastoji se od obrazloženja </w:t>
      </w:r>
      <w:r w:rsidRPr="003A2F86">
        <w:rPr>
          <w:rFonts w:ascii="Arial" w:eastAsia="Times New Roman" w:hAnsi="Arial" w:cs="Arial"/>
          <w:b/>
          <w:bCs/>
          <w:i/>
          <w:lang w:eastAsia="en-US"/>
        </w:rPr>
        <w:t>općeg</w:t>
      </w:r>
      <w:r w:rsidRPr="003A2F86">
        <w:rPr>
          <w:rFonts w:ascii="Arial" w:eastAsia="Times New Roman" w:hAnsi="Arial" w:cs="Arial"/>
          <w:iCs/>
          <w:lang w:eastAsia="en-US"/>
        </w:rPr>
        <w:t xml:space="preserve"> dijela izvještaja o izvršenju proračuna, dok se </w:t>
      </w:r>
      <w:r w:rsidRPr="003A2F86">
        <w:rPr>
          <w:rFonts w:ascii="Arial" w:eastAsia="Times New Roman" w:hAnsi="Arial" w:cs="Arial"/>
          <w:b/>
          <w:bCs/>
          <w:iCs/>
          <w:lang w:eastAsia="en-US"/>
        </w:rPr>
        <w:t xml:space="preserve">godišnji izvještaj </w:t>
      </w:r>
      <w:r w:rsidRPr="003A2F86">
        <w:rPr>
          <w:rFonts w:ascii="Arial" w:eastAsia="Times New Roman" w:hAnsi="Arial" w:cs="Arial"/>
          <w:iCs/>
          <w:lang w:eastAsia="en-US"/>
        </w:rPr>
        <w:t xml:space="preserve">o izvršenju proračuna sastoji od obrazloženja </w:t>
      </w:r>
      <w:r w:rsidRPr="003A2F86">
        <w:rPr>
          <w:rFonts w:ascii="Arial" w:eastAsia="Times New Roman" w:hAnsi="Arial" w:cs="Arial"/>
          <w:b/>
          <w:bCs/>
          <w:i/>
          <w:lang w:eastAsia="en-US"/>
        </w:rPr>
        <w:t>općeg</w:t>
      </w:r>
      <w:r w:rsidRPr="003A2F86">
        <w:rPr>
          <w:rFonts w:ascii="Arial" w:eastAsia="Times New Roman" w:hAnsi="Arial" w:cs="Arial"/>
          <w:i/>
          <w:lang w:eastAsia="en-US"/>
        </w:rPr>
        <w:t xml:space="preserve"> </w:t>
      </w:r>
      <w:r w:rsidRPr="003A2F86">
        <w:rPr>
          <w:rFonts w:ascii="Arial" w:eastAsia="Times New Roman" w:hAnsi="Arial" w:cs="Arial"/>
          <w:b/>
          <w:bCs/>
          <w:i/>
          <w:lang w:eastAsia="en-US"/>
        </w:rPr>
        <w:t>i posebnog</w:t>
      </w:r>
      <w:r w:rsidRPr="003A2F86">
        <w:rPr>
          <w:rFonts w:ascii="Arial" w:eastAsia="Times New Roman" w:hAnsi="Arial" w:cs="Arial"/>
          <w:iCs/>
          <w:lang w:eastAsia="en-US"/>
        </w:rPr>
        <w:t xml:space="preserve"> dijela izvještaja o izvršenju proračuna.</w:t>
      </w:r>
    </w:p>
    <w:p w14:paraId="47F4847F" w14:textId="77777777" w:rsidR="003819AC" w:rsidRPr="003A2F86" w:rsidRDefault="003819AC" w:rsidP="00F952A1">
      <w:pPr>
        <w:spacing w:after="0" w:line="240" w:lineRule="auto"/>
        <w:jc w:val="both"/>
        <w:rPr>
          <w:rFonts w:ascii="Arial" w:eastAsia="Times New Roman" w:hAnsi="Arial" w:cs="Arial"/>
          <w:b/>
          <w:bCs/>
          <w:i/>
          <w:lang w:eastAsia="en-US"/>
        </w:rPr>
      </w:pPr>
    </w:p>
    <w:p w14:paraId="19059464" w14:textId="058E8798" w:rsidR="00F952A1" w:rsidRPr="003A2F86" w:rsidRDefault="00F952A1" w:rsidP="00F952A1">
      <w:pPr>
        <w:spacing w:after="0" w:line="240" w:lineRule="auto"/>
        <w:jc w:val="both"/>
        <w:rPr>
          <w:rFonts w:ascii="Arial" w:eastAsia="Times New Roman" w:hAnsi="Arial" w:cs="Arial"/>
          <w:iCs/>
          <w:lang w:eastAsia="en-US"/>
        </w:rPr>
      </w:pPr>
      <w:r w:rsidRPr="003A2F86">
        <w:rPr>
          <w:rFonts w:ascii="Arial" w:eastAsia="Times New Roman" w:hAnsi="Arial" w:cs="Arial"/>
          <w:b/>
          <w:bCs/>
          <w:i/>
          <w:lang w:eastAsia="en-US"/>
        </w:rPr>
        <w:t>Obrazloženje općeg dijela</w:t>
      </w:r>
      <w:r w:rsidRPr="003A2F86">
        <w:rPr>
          <w:rFonts w:ascii="Arial" w:eastAsia="Times New Roman" w:hAnsi="Arial" w:cs="Arial"/>
          <w:iCs/>
          <w:lang w:eastAsia="en-US"/>
        </w:rPr>
        <w:t xml:space="preserve"> izvještaja sadrži:</w:t>
      </w:r>
    </w:p>
    <w:p w14:paraId="061A70E3" w14:textId="77777777" w:rsidR="00F952A1" w:rsidRPr="003A2F86" w:rsidRDefault="00F952A1" w:rsidP="00F952A1">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a) </w:t>
      </w:r>
      <w:r w:rsidRPr="003A2F86">
        <w:rPr>
          <w:rFonts w:ascii="Arial" w:eastAsia="Times New Roman" w:hAnsi="Arial" w:cs="Arial"/>
          <w:i/>
          <w:lang w:eastAsia="en-US"/>
        </w:rPr>
        <w:t>obrazloženje ostvarenja prihoda i rashoda, primitaka i izdataka u izvještajnom razdoblju</w:t>
      </w:r>
      <w:r w:rsidRPr="003A2F86">
        <w:rPr>
          <w:rFonts w:ascii="Arial" w:eastAsia="Times New Roman" w:hAnsi="Arial" w:cs="Arial"/>
          <w:iCs/>
          <w:lang w:eastAsia="en-US"/>
        </w:rPr>
        <w:t>, koje dopunjuje podatke iz Računa prihoda i rashoda i Računa financiranja, a dodatno se dopunjuje i podacima o:</w:t>
      </w:r>
    </w:p>
    <w:p w14:paraId="3F695C8D" w14:textId="15F0C77E" w:rsidR="00F952A1" w:rsidRPr="003A2F86" w:rsidRDefault="00F952A1" w:rsidP="00F952A1">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ab/>
        <w:t>-</w:t>
      </w:r>
      <w:r w:rsidRPr="003A2F86">
        <w:rPr>
          <w:rFonts w:ascii="Arial" w:eastAsia="Times New Roman" w:hAnsi="Arial" w:cs="Arial"/>
          <w:iCs/>
          <w:lang w:eastAsia="en-US"/>
        </w:rPr>
        <w:tab/>
      </w:r>
      <w:r w:rsidRPr="003A2F86">
        <w:rPr>
          <w:rFonts w:ascii="Arial" w:eastAsia="Times New Roman" w:hAnsi="Arial" w:cs="Arial"/>
          <w:i/>
          <w:lang w:eastAsia="en-US"/>
        </w:rPr>
        <w:t>stanju novčanih sredstava</w:t>
      </w:r>
      <w:r w:rsidRPr="003A2F86">
        <w:rPr>
          <w:rFonts w:ascii="Arial" w:eastAsia="Times New Roman" w:hAnsi="Arial" w:cs="Arial"/>
          <w:iCs/>
          <w:lang w:eastAsia="en-US"/>
        </w:rPr>
        <w:t xml:space="preserve"> na računima proračuna i proračunskih korisnika na početku i na kraju proračunske godine</w:t>
      </w:r>
      <w:r w:rsidR="003819AC" w:rsidRPr="003A2F86">
        <w:rPr>
          <w:rFonts w:ascii="Arial" w:eastAsia="Times New Roman" w:hAnsi="Arial" w:cs="Arial"/>
          <w:iCs/>
          <w:lang w:eastAsia="en-US"/>
        </w:rPr>
        <w:t xml:space="preserve"> </w:t>
      </w:r>
      <w:r w:rsidR="003819AC" w:rsidRPr="00A224B5">
        <w:rPr>
          <w:rFonts w:ascii="Arial" w:eastAsia="Times New Roman" w:hAnsi="Arial" w:cs="Arial"/>
        </w:rPr>
        <w:t>(</w:t>
      </w:r>
      <w:hyperlink w:anchor="_2.10._STANJE_NOVČANIH" w:history="1">
        <w:r w:rsidR="003819AC" w:rsidRPr="00A224B5">
          <w:rPr>
            <w:rStyle w:val="Hiperveza"/>
            <w:rFonts w:ascii="Arial" w:eastAsia="Times New Roman" w:hAnsi="Arial" w:cs="Arial"/>
            <w:i/>
          </w:rPr>
          <w:t>točka 2.</w:t>
        </w:r>
        <w:r w:rsidR="002F4E15" w:rsidRPr="00A224B5">
          <w:rPr>
            <w:rStyle w:val="Hiperveza"/>
            <w:rFonts w:ascii="Arial" w:eastAsia="Times New Roman" w:hAnsi="Arial" w:cs="Arial"/>
            <w:i/>
          </w:rPr>
          <w:t>1</w:t>
        </w:r>
        <w:r w:rsidR="0011271E" w:rsidRPr="00A224B5">
          <w:rPr>
            <w:rStyle w:val="Hiperveza"/>
            <w:rFonts w:ascii="Arial" w:eastAsia="Times New Roman" w:hAnsi="Arial" w:cs="Arial"/>
            <w:i/>
          </w:rPr>
          <w:t>0</w:t>
        </w:r>
      </w:hyperlink>
      <w:r w:rsidR="003819AC" w:rsidRPr="003A2F86">
        <w:rPr>
          <w:rFonts w:ascii="Arial" w:eastAsia="Times New Roman" w:hAnsi="Arial" w:cs="Arial"/>
          <w:i/>
        </w:rPr>
        <w:t>.)</w:t>
      </w:r>
      <w:r w:rsidR="003819AC" w:rsidRPr="003A2F86">
        <w:rPr>
          <w:rFonts w:ascii="Arial" w:eastAsia="Times New Roman" w:hAnsi="Arial" w:cs="Arial"/>
        </w:rPr>
        <w:t>,</w:t>
      </w:r>
    </w:p>
    <w:p w14:paraId="48106DE1" w14:textId="214B61C7" w:rsidR="00F952A1" w:rsidRPr="003A2F86" w:rsidRDefault="00F952A1" w:rsidP="00F952A1">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ab/>
        <w:t>-</w:t>
      </w:r>
      <w:r w:rsidRPr="003A2F86">
        <w:rPr>
          <w:rFonts w:ascii="Arial" w:eastAsia="Times New Roman" w:hAnsi="Arial" w:cs="Arial"/>
          <w:iCs/>
          <w:lang w:eastAsia="en-US"/>
        </w:rPr>
        <w:tab/>
      </w:r>
      <w:r w:rsidRPr="003A2F86">
        <w:rPr>
          <w:rFonts w:ascii="Arial" w:eastAsia="Times New Roman" w:hAnsi="Arial" w:cs="Arial"/>
          <w:i/>
          <w:lang w:eastAsia="en-US"/>
        </w:rPr>
        <w:t xml:space="preserve">podatke o ostvarenim prihodima i primicima te rashodima i izdacima ostvarenim preuzimanjem nefinancijske i financijske imovine u naplati potraživanja javnih </w:t>
      </w:r>
      <w:r w:rsidRPr="00A224B5">
        <w:rPr>
          <w:rFonts w:ascii="Arial" w:eastAsia="Times New Roman" w:hAnsi="Arial" w:cs="Arial"/>
          <w:i/>
          <w:lang w:eastAsia="en-US"/>
        </w:rPr>
        <w:t>davanja</w:t>
      </w:r>
      <w:r w:rsidR="003819AC" w:rsidRPr="00A224B5">
        <w:rPr>
          <w:rFonts w:ascii="Arial" w:eastAsia="Times New Roman" w:hAnsi="Arial" w:cs="Arial"/>
        </w:rPr>
        <w:t xml:space="preserve"> (</w:t>
      </w:r>
      <w:hyperlink w:anchor="_2.11._PRIHODI_I" w:history="1">
        <w:r w:rsidR="003819AC" w:rsidRPr="00A224B5">
          <w:rPr>
            <w:rStyle w:val="Hiperveza"/>
            <w:rFonts w:ascii="Arial" w:eastAsia="Times New Roman" w:hAnsi="Arial" w:cs="Arial"/>
            <w:i/>
          </w:rPr>
          <w:t>točka 2.</w:t>
        </w:r>
        <w:r w:rsidR="002F4E15" w:rsidRPr="00A224B5">
          <w:rPr>
            <w:rStyle w:val="Hiperveza"/>
            <w:rFonts w:ascii="Arial" w:eastAsia="Times New Roman" w:hAnsi="Arial" w:cs="Arial"/>
            <w:i/>
          </w:rPr>
          <w:t>1</w:t>
        </w:r>
        <w:r w:rsidR="0011271E" w:rsidRPr="00A224B5">
          <w:rPr>
            <w:rStyle w:val="Hiperveza"/>
            <w:rFonts w:ascii="Arial" w:eastAsia="Times New Roman" w:hAnsi="Arial" w:cs="Arial"/>
            <w:i/>
          </w:rPr>
          <w:t>1</w:t>
        </w:r>
      </w:hyperlink>
      <w:r w:rsidR="003819AC" w:rsidRPr="003A2F86">
        <w:rPr>
          <w:rFonts w:ascii="Arial" w:eastAsia="Times New Roman" w:hAnsi="Arial" w:cs="Arial"/>
          <w:i/>
        </w:rPr>
        <w:t>.)</w:t>
      </w:r>
      <w:r w:rsidR="003819AC" w:rsidRPr="003A2F86">
        <w:rPr>
          <w:rFonts w:ascii="Arial" w:eastAsia="Times New Roman" w:hAnsi="Arial" w:cs="Arial"/>
        </w:rPr>
        <w:t>.</w:t>
      </w:r>
    </w:p>
    <w:p w14:paraId="395436B7" w14:textId="42371566" w:rsidR="00F952A1" w:rsidRPr="003A2F86" w:rsidRDefault="00F952A1" w:rsidP="00F952A1">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b) </w:t>
      </w:r>
      <w:r w:rsidRPr="003A2F86">
        <w:rPr>
          <w:rFonts w:ascii="Arial" w:eastAsia="Times New Roman" w:hAnsi="Arial" w:cs="Arial"/>
          <w:i/>
          <w:lang w:eastAsia="en-US"/>
        </w:rPr>
        <w:t>prikaz ostvarenog manjka odnosno viška</w:t>
      </w:r>
      <w:r w:rsidRPr="003A2F86">
        <w:rPr>
          <w:rFonts w:ascii="Arial" w:eastAsia="Times New Roman" w:hAnsi="Arial" w:cs="Arial"/>
          <w:iCs/>
          <w:lang w:eastAsia="en-US"/>
        </w:rPr>
        <w:t xml:space="preserve"> proračuna jedince lokalne i područne (regionalne) samouprave u izvještajnom </w:t>
      </w:r>
      <w:r w:rsidRPr="00A224B5">
        <w:rPr>
          <w:rFonts w:ascii="Arial" w:eastAsia="Times New Roman" w:hAnsi="Arial" w:cs="Arial"/>
          <w:iCs/>
          <w:lang w:eastAsia="en-US"/>
        </w:rPr>
        <w:t>razdoblju</w:t>
      </w:r>
      <w:r w:rsidR="003819AC" w:rsidRPr="00A224B5">
        <w:rPr>
          <w:rFonts w:ascii="Arial" w:eastAsia="Times New Roman" w:hAnsi="Arial" w:cs="Arial"/>
        </w:rPr>
        <w:t xml:space="preserve"> (</w:t>
      </w:r>
      <w:hyperlink w:anchor="_2.6._PRIKAZ_OSTVARENOG" w:history="1">
        <w:r w:rsidR="003819AC" w:rsidRPr="00A224B5">
          <w:rPr>
            <w:rStyle w:val="Hiperveza"/>
            <w:rFonts w:ascii="Arial" w:eastAsia="Times New Roman" w:hAnsi="Arial" w:cs="Arial"/>
            <w:i/>
          </w:rPr>
          <w:t>točka 2.6.</w:t>
        </w:r>
      </w:hyperlink>
      <w:r w:rsidR="003819AC" w:rsidRPr="003A2F86">
        <w:rPr>
          <w:rFonts w:ascii="Arial" w:eastAsia="Times New Roman" w:hAnsi="Arial" w:cs="Arial"/>
          <w:i/>
        </w:rPr>
        <w:t>)</w:t>
      </w:r>
      <w:r w:rsidR="003819AC" w:rsidRPr="003A2F86">
        <w:rPr>
          <w:rFonts w:ascii="Arial" w:eastAsia="Times New Roman" w:hAnsi="Arial" w:cs="Arial"/>
        </w:rPr>
        <w:t>.</w:t>
      </w:r>
    </w:p>
    <w:p w14:paraId="7D9AFE16" w14:textId="24215474" w:rsidR="00E53CFD" w:rsidRPr="003A2F86" w:rsidRDefault="00E53CFD" w:rsidP="00E53CFD">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lastRenderedPageBreak/>
        <w:t>Pored podataka propisanih Pravilnikom o polugodišnjem i godišnjem izvještaju o izvršenju proračun</w:t>
      </w:r>
      <w:r w:rsidR="00432A90" w:rsidRPr="003A2F86">
        <w:rPr>
          <w:rFonts w:ascii="Arial" w:eastAsia="Times New Roman" w:hAnsi="Arial" w:cs="Arial"/>
        </w:rPr>
        <w:t>a i financijskog plana</w:t>
      </w:r>
      <w:r w:rsidRPr="003A2F86">
        <w:rPr>
          <w:rFonts w:ascii="Arial" w:eastAsia="Times New Roman" w:hAnsi="Arial" w:cs="Arial"/>
        </w:rPr>
        <w:t xml:space="preserve">, cjeloviti </w:t>
      </w:r>
      <w:r w:rsidR="00432A90" w:rsidRPr="003A2F86">
        <w:rPr>
          <w:rFonts w:ascii="Arial" w:eastAsia="Times New Roman" w:hAnsi="Arial" w:cs="Arial"/>
        </w:rPr>
        <w:t xml:space="preserve">polugodišnji i godišnji </w:t>
      </w:r>
      <w:r w:rsidRPr="003A2F86">
        <w:rPr>
          <w:rFonts w:ascii="Arial" w:eastAsia="Times New Roman" w:hAnsi="Arial" w:cs="Arial"/>
        </w:rPr>
        <w:t>izvještaj o izvršenju proračuna Općine Konavle, sadrži i:</w:t>
      </w:r>
    </w:p>
    <w:p w14:paraId="3E1299D6" w14:textId="2B3D8850" w:rsidR="00E53CFD" w:rsidRPr="003A2F86" w:rsidRDefault="00E53CFD" w:rsidP="00E53CFD">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 xml:space="preserve">- </w:t>
      </w:r>
      <w:r w:rsidRPr="003A2F86">
        <w:rPr>
          <w:rFonts w:ascii="Arial" w:eastAsia="Times New Roman" w:hAnsi="Arial" w:cs="Arial"/>
          <w:b/>
        </w:rPr>
        <w:t>Izvještaj o izvršenim preraspodjelama proračunskih sredstava</w:t>
      </w:r>
      <w:r w:rsidRPr="003A2F86">
        <w:rPr>
          <w:rFonts w:ascii="Arial" w:eastAsia="Times New Roman" w:hAnsi="Arial" w:cs="Arial"/>
        </w:rPr>
        <w:t xml:space="preserve"> u 20</w:t>
      </w:r>
      <w:r w:rsidR="00E343BD" w:rsidRPr="003A2F86">
        <w:rPr>
          <w:rFonts w:ascii="Arial" w:eastAsia="Times New Roman" w:hAnsi="Arial" w:cs="Arial"/>
        </w:rPr>
        <w:t>2</w:t>
      </w:r>
      <w:r w:rsidR="00F24E08">
        <w:rPr>
          <w:rFonts w:ascii="Arial" w:eastAsia="Times New Roman" w:hAnsi="Arial" w:cs="Arial"/>
        </w:rPr>
        <w:t>5</w:t>
      </w:r>
      <w:r w:rsidRPr="003A2F86">
        <w:rPr>
          <w:rFonts w:ascii="Arial" w:eastAsia="Times New Roman" w:hAnsi="Arial" w:cs="Arial"/>
        </w:rPr>
        <w:t xml:space="preserve">. godini sukladno članku </w:t>
      </w:r>
      <w:r w:rsidR="008A41A7" w:rsidRPr="003A2F86">
        <w:rPr>
          <w:rFonts w:ascii="Arial" w:eastAsia="Times New Roman" w:hAnsi="Arial" w:cs="Arial"/>
        </w:rPr>
        <w:t>60</w:t>
      </w:r>
      <w:r w:rsidRPr="003A2F86">
        <w:rPr>
          <w:rFonts w:ascii="Arial" w:eastAsia="Times New Roman" w:hAnsi="Arial" w:cs="Arial"/>
        </w:rPr>
        <w:t xml:space="preserve">. stavak </w:t>
      </w:r>
      <w:r w:rsidR="008A41A7" w:rsidRPr="003A2F86">
        <w:rPr>
          <w:rFonts w:ascii="Arial" w:eastAsia="Times New Roman" w:hAnsi="Arial" w:cs="Arial"/>
        </w:rPr>
        <w:t>11</w:t>
      </w:r>
      <w:r w:rsidRPr="003A2F86">
        <w:rPr>
          <w:rFonts w:ascii="Arial" w:eastAsia="Times New Roman" w:hAnsi="Arial" w:cs="Arial"/>
        </w:rPr>
        <w:t xml:space="preserve">. Zakona o proračunu </w:t>
      </w:r>
      <w:r w:rsidRPr="00A224B5">
        <w:rPr>
          <w:rFonts w:ascii="Arial" w:eastAsia="Times New Roman" w:hAnsi="Arial" w:cs="Arial"/>
          <w:i/>
        </w:rPr>
        <w:t>(</w:t>
      </w:r>
      <w:hyperlink w:anchor="_5.__IZVJEŠTAJ" w:history="1">
        <w:r w:rsidRPr="00A224B5">
          <w:rPr>
            <w:rStyle w:val="Hiperveza"/>
            <w:rFonts w:ascii="Arial" w:eastAsia="Times New Roman" w:hAnsi="Arial" w:cs="Arial"/>
            <w:i/>
          </w:rPr>
          <w:t xml:space="preserve">točka </w:t>
        </w:r>
        <w:r w:rsidR="00A75579" w:rsidRPr="00A224B5">
          <w:rPr>
            <w:rStyle w:val="Hiperveza"/>
            <w:rFonts w:ascii="Arial" w:eastAsia="Times New Roman" w:hAnsi="Arial" w:cs="Arial"/>
            <w:i/>
          </w:rPr>
          <w:t>5</w:t>
        </w:r>
        <w:r w:rsidRPr="00A224B5">
          <w:rPr>
            <w:rStyle w:val="Hiperveza"/>
            <w:rFonts w:ascii="Arial" w:eastAsia="Times New Roman" w:hAnsi="Arial" w:cs="Arial"/>
            <w:i/>
          </w:rPr>
          <w:t>.</w:t>
        </w:r>
      </w:hyperlink>
      <w:r w:rsidRPr="00A224B5">
        <w:rPr>
          <w:rFonts w:ascii="Arial" w:eastAsia="Times New Roman" w:hAnsi="Arial" w:cs="Arial"/>
          <w:i/>
        </w:rPr>
        <w:t>)</w:t>
      </w:r>
      <w:r w:rsidR="007964C9">
        <w:rPr>
          <w:rFonts w:ascii="Arial" w:eastAsia="Times New Roman" w:hAnsi="Arial" w:cs="Arial"/>
        </w:rPr>
        <w:t>,</w:t>
      </w:r>
    </w:p>
    <w:p w14:paraId="056F14EA" w14:textId="194AD0B5" w:rsidR="0051400F" w:rsidRPr="003A2F86" w:rsidRDefault="0051400F" w:rsidP="0051400F">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 xml:space="preserve">- </w:t>
      </w:r>
      <w:r w:rsidRPr="003A2F86">
        <w:rPr>
          <w:rFonts w:ascii="Arial" w:eastAsia="Times New Roman" w:hAnsi="Arial" w:cs="Arial"/>
          <w:b/>
        </w:rPr>
        <w:t xml:space="preserve">Izvještaj o </w:t>
      </w:r>
      <w:r>
        <w:rPr>
          <w:rFonts w:ascii="Arial" w:eastAsia="Times New Roman" w:hAnsi="Arial" w:cs="Arial"/>
          <w:b/>
        </w:rPr>
        <w:t>provedbi višegodišnjeg plana urevnoteženja</w:t>
      </w:r>
      <w:r w:rsidRPr="003A2F86">
        <w:rPr>
          <w:rFonts w:ascii="Arial" w:eastAsia="Times New Roman" w:hAnsi="Arial" w:cs="Arial"/>
        </w:rPr>
        <w:t xml:space="preserve"> u 202</w:t>
      </w:r>
      <w:r>
        <w:rPr>
          <w:rFonts w:ascii="Arial" w:eastAsia="Times New Roman" w:hAnsi="Arial" w:cs="Arial"/>
        </w:rPr>
        <w:t>5</w:t>
      </w:r>
      <w:r w:rsidRPr="003A2F86">
        <w:rPr>
          <w:rFonts w:ascii="Arial" w:eastAsia="Times New Roman" w:hAnsi="Arial" w:cs="Arial"/>
        </w:rPr>
        <w:t xml:space="preserve">. godini sukladno članku </w:t>
      </w:r>
      <w:r>
        <w:rPr>
          <w:rFonts w:ascii="Arial" w:eastAsia="Times New Roman" w:hAnsi="Arial" w:cs="Arial"/>
        </w:rPr>
        <w:t>91</w:t>
      </w:r>
      <w:r w:rsidRPr="003A2F86">
        <w:rPr>
          <w:rFonts w:ascii="Arial" w:eastAsia="Times New Roman" w:hAnsi="Arial" w:cs="Arial"/>
        </w:rPr>
        <w:t xml:space="preserve">. Zakona o proračunu </w:t>
      </w:r>
      <w:r w:rsidRPr="00A224B5">
        <w:rPr>
          <w:rFonts w:ascii="Arial" w:eastAsia="Times New Roman" w:hAnsi="Arial" w:cs="Arial"/>
          <w:i/>
        </w:rPr>
        <w:t>(</w:t>
      </w:r>
      <w:hyperlink w:anchor="_5.__IZVJEŠTAJ" w:history="1">
        <w:r w:rsidRPr="00A224B5">
          <w:rPr>
            <w:rStyle w:val="Hiperveza"/>
            <w:rFonts w:ascii="Arial" w:eastAsia="Times New Roman" w:hAnsi="Arial" w:cs="Arial"/>
            <w:i/>
          </w:rPr>
          <w:t xml:space="preserve">točka </w:t>
        </w:r>
        <w:r w:rsidR="007964C9">
          <w:rPr>
            <w:rStyle w:val="Hiperveza"/>
            <w:rFonts w:ascii="Arial" w:eastAsia="Times New Roman" w:hAnsi="Arial" w:cs="Arial"/>
            <w:i/>
          </w:rPr>
          <w:t>9</w:t>
        </w:r>
        <w:r w:rsidRPr="00A224B5">
          <w:rPr>
            <w:rStyle w:val="Hiperveza"/>
            <w:rFonts w:ascii="Arial" w:eastAsia="Times New Roman" w:hAnsi="Arial" w:cs="Arial"/>
            <w:i/>
          </w:rPr>
          <w:t>.</w:t>
        </w:r>
      </w:hyperlink>
      <w:r w:rsidRPr="00A224B5">
        <w:rPr>
          <w:rFonts w:ascii="Arial" w:eastAsia="Times New Roman" w:hAnsi="Arial" w:cs="Arial"/>
          <w:i/>
        </w:rPr>
        <w:t>)</w:t>
      </w:r>
      <w:r w:rsidRPr="00A224B5">
        <w:rPr>
          <w:rFonts w:ascii="Arial" w:eastAsia="Times New Roman" w:hAnsi="Arial" w:cs="Arial"/>
        </w:rPr>
        <w:t>.</w:t>
      </w:r>
    </w:p>
    <w:p w14:paraId="45B750DA" w14:textId="77777777" w:rsidR="00E53CFD" w:rsidRPr="003A2F86" w:rsidRDefault="00E53CFD" w:rsidP="00E53CFD">
      <w:pPr>
        <w:autoSpaceDE w:val="0"/>
        <w:autoSpaceDN w:val="0"/>
        <w:adjustRightInd w:val="0"/>
        <w:spacing w:after="0" w:line="240" w:lineRule="auto"/>
        <w:jc w:val="both"/>
        <w:rPr>
          <w:rFonts w:ascii="Arial" w:eastAsia="Times New Roman" w:hAnsi="Arial" w:cs="Arial"/>
        </w:rPr>
      </w:pPr>
    </w:p>
    <w:p w14:paraId="24A58527" w14:textId="4F17BFB1" w:rsidR="004612B0" w:rsidRPr="003A2F86" w:rsidRDefault="00E53CFD" w:rsidP="00E53CFD">
      <w:pPr>
        <w:autoSpaceDE w:val="0"/>
        <w:autoSpaceDN w:val="0"/>
        <w:adjustRightInd w:val="0"/>
        <w:spacing w:after="0" w:line="240" w:lineRule="auto"/>
        <w:jc w:val="both"/>
        <w:rPr>
          <w:rFonts w:ascii="Arial" w:eastAsia="Times New Roman" w:hAnsi="Arial" w:cs="Arial"/>
          <w:lang w:eastAsia="en-US"/>
        </w:rPr>
      </w:pPr>
      <w:r w:rsidRPr="003A2F86">
        <w:rPr>
          <w:rFonts w:ascii="Arial" w:eastAsia="Calibri" w:hAnsi="Arial" w:cs="Arial"/>
        </w:rPr>
        <w:t xml:space="preserve">Člankom </w:t>
      </w:r>
      <w:r w:rsidR="008E25ED" w:rsidRPr="003A2F86">
        <w:rPr>
          <w:rFonts w:ascii="Arial" w:eastAsia="Calibri" w:hAnsi="Arial" w:cs="Arial"/>
        </w:rPr>
        <w:t>29</w:t>
      </w:r>
      <w:r w:rsidRPr="003A2F86">
        <w:rPr>
          <w:rFonts w:ascii="Arial" w:eastAsia="Calibri" w:hAnsi="Arial" w:cs="Arial"/>
        </w:rPr>
        <w:t>. stavak 1. i 2. Oduke o izvršavanju proračuna Općine Konavle za 20</w:t>
      </w:r>
      <w:r w:rsidR="00621EED" w:rsidRPr="003A2F86">
        <w:rPr>
          <w:rFonts w:ascii="Arial" w:eastAsia="Calibri" w:hAnsi="Arial" w:cs="Arial"/>
        </w:rPr>
        <w:t>2</w:t>
      </w:r>
      <w:r w:rsidR="00F24E08">
        <w:rPr>
          <w:rFonts w:ascii="Arial" w:eastAsia="Calibri" w:hAnsi="Arial" w:cs="Arial"/>
        </w:rPr>
        <w:t>5</w:t>
      </w:r>
      <w:r w:rsidRPr="003A2F86">
        <w:rPr>
          <w:rFonts w:ascii="Arial" w:eastAsia="Calibri" w:hAnsi="Arial" w:cs="Arial"/>
        </w:rPr>
        <w:t xml:space="preserve">. godinu propisano je da općinski načelnik odobrava preraspodjelu sredstava na proračunskim stavkama najviše do 5% </w:t>
      </w:r>
      <w:r w:rsidR="008E25ED" w:rsidRPr="003A2F86">
        <w:rPr>
          <w:rFonts w:ascii="Arial" w:eastAsia="Calibri" w:hAnsi="Arial" w:cs="Arial"/>
        </w:rPr>
        <w:t xml:space="preserve">na razini skupine ekonomske klasifikacije koju donosi Općinsko vijeće koja se umanjuje i to unutar izvora financiranja opći prihodi i primici i unutar izvora financiranja namjenski primici. Preraspodjela sredstava unutar izvora financiranja opći prihodi i primici može se izvršiti najviše do 15% na razini skupine ekonomske klasifikacije koju donosi općinsko vijeće ako se time osigurava povećanje sredstava učešća Općine ili njenih proračunskih korisnika za financiranje projekata koji se sufinanciraju iz sredstava Europske unije. </w:t>
      </w:r>
      <w:r w:rsidRPr="003A2F86">
        <w:rPr>
          <w:rFonts w:ascii="Arial" w:eastAsia="Times New Roman" w:hAnsi="Arial" w:cs="Arial"/>
        </w:rPr>
        <w:t>U 20</w:t>
      </w:r>
      <w:r w:rsidR="00E343BD" w:rsidRPr="003A2F86">
        <w:rPr>
          <w:rFonts w:ascii="Arial" w:eastAsia="Times New Roman" w:hAnsi="Arial" w:cs="Arial"/>
        </w:rPr>
        <w:t>2</w:t>
      </w:r>
      <w:r w:rsidR="00F24E08">
        <w:rPr>
          <w:rFonts w:ascii="Arial" w:eastAsia="Times New Roman" w:hAnsi="Arial" w:cs="Arial"/>
        </w:rPr>
        <w:t>5</w:t>
      </w:r>
      <w:r w:rsidRPr="003A2F86">
        <w:rPr>
          <w:rFonts w:ascii="Arial" w:eastAsia="Times New Roman" w:hAnsi="Arial" w:cs="Arial"/>
        </w:rPr>
        <w:t>. Općinski načelnik</w:t>
      </w:r>
      <w:r w:rsidR="006B0C1F" w:rsidRPr="003A2F86">
        <w:rPr>
          <w:rFonts w:ascii="Arial" w:eastAsia="Times New Roman" w:hAnsi="Arial" w:cs="Arial"/>
        </w:rPr>
        <w:t xml:space="preserve"> je</w:t>
      </w:r>
      <w:r w:rsidR="008A41A7" w:rsidRPr="003A2F86">
        <w:rPr>
          <w:rFonts w:ascii="Arial" w:eastAsia="Times New Roman" w:hAnsi="Arial" w:cs="Arial"/>
        </w:rPr>
        <w:t xml:space="preserve"> </w:t>
      </w:r>
      <w:r w:rsidR="00F24E08">
        <w:rPr>
          <w:rFonts w:ascii="Arial" w:eastAsia="Times New Roman" w:hAnsi="Arial" w:cs="Arial"/>
        </w:rPr>
        <w:t xml:space="preserve">donio </w:t>
      </w:r>
      <w:r w:rsidR="007075BE">
        <w:rPr>
          <w:rFonts w:ascii="Arial" w:eastAsia="Times New Roman" w:hAnsi="Arial" w:cs="Arial"/>
        </w:rPr>
        <w:t>dvije</w:t>
      </w:r>
      <w:r w:rsidR="008A41A7" w:rsidRPr="003A2F86">
        <w:rPr>
          <w:rFonts w:ascii="Arial" w:eastAsia="Times New Roman" w:hAnsi="Arial" w:cs="Arial"/>
        </w:rPr>
        <w:t xml:space="preserve"> </w:t>
      </w:r>
      <w:r w:rsidRPr="003A2F86">
        <w:rPr>
          <w:rFonts w:ascii="Arial" w:eastAsia="Times New Roman" w:hAnsi="Arial" w:cs="Arial"/>
          <w:b/>
          <w:i/>
        </w:rPr>
        <w:t>Odluk</w:t>
      </w:r>
      <w:r w:rsidR="007075BE">
        <w:rPr>
          <w:rFonts w:ascii="Arial" w:eastAsia="Times New Roman" w:hAnsi="Arial" w:cs="Arial"/>
          <w:b/>
          <w:i/>
        </w:rPr>
        <w:t>e</w:t>
      </w:r>
      <w:r w:rsidRPr="003A2F86">
        <w:rPr>
          <w:rFonts w:ascii="Arial" w:eastAsia="Times New Roman" w:hAnsi="Arial" w:cs="Arial"/>
        </w:rPr>
        <w:t xml:space="preserve"> </w:t>
      </w:r>
      <w:r w:rsidRPr="003A2F86">
        <w:rPr>
          <w:rFonts w:ascii="Arial" w:eastAsia="Times New Roman" w:hAnsi="Arial" w:cs="Arial"/>
          <w:b/>
          <w:i/>
        </w:rPr>
        <w:t>o</w:t>
      </w:r>
      <w:r w:rsidRPr="003A2F86">
        <w:rPr>
          <w:rFonts w:ascii="Arial" w:eastAsia="Times New Roman" w:hAnsi="Arial" w:cs="Arial"/>
        </w:rPr>
        <w:t xml:space="preserve"> </w:t>
      </w:r>
      <w:r w:rsidRPr="003A2F86">
        <w:rPr>
          <w:rFonts w:ascii="Arial" w:eastAsia="Times New Roman" w:hAnsi="Arial" w:cs="Arial"/>
          <w:b/>
          <w:i/>
        </w:rPr>
        <w:t>preraspodjeli</w:t>
      </w:r>
      <w:r w:rsidRPr="003A2F86">
        <w:rPr>
          <w:rFonts w:ascii="Arial" w:eastAsia="Times New Roman" w:hAnsi="Arial" w:cs="Arial"/>
        </w:rPr>
        <w:t xml:space="preserve"> </w:t>
      </w:r>
      <w:r w:rsidRPr="003A2F86">
        <w:rPr>
          <w:rFonts w:ascii="Arial" w:eastAsia="Times New Roman" w:hAnsi="Arial" w:cs="Arial"/>
          <w:b/>
          <w:i/>
        </w:rPr>
        <w:t>proračunskih sredstava</w:t>
      </w:r>
      <w:r w:rsidR="00AD6767" w:rsidRPr="003A2F86">
        <w:rPr>
          <w:rFonts w:ascii="Arial" w:eastAsia="Times New Roman" w:hAnsi="Arial" w:cs="Arial"/>
          <w:b/>
          <w:i/>
        </w:rPr>
        <w:t>.</w:t>
      </w:r>
    </w:p>
    <w:p w14:paraId="7CF1E75B" w14:textId="77777777" w:rsidR="004612B0" w:rsidRPr="003A2F86" w:rsidRDefault="004612B0" w:rsidP="00E53CFD">
      <w:pPr>
        <w:autoSpaceDE w:val="0"/>
        <w:autoSpaceDN w:val="0"/>
        <w:adjustRightInd w:val="0"/>
        <w:spacing w:after="0" w:line="240" w:lineRule="auto"/>
        <w:jc w:val="both"/>
        <w:rPr>
          <w:rFonts w:ascii="Arial" w:eastAsia="Times New Roman" w:hAnsi="Arial" w:cs="Arial"/>
          <w:lang w:eastAsia="en-US"/>
        </w:rPr>
      </w:pPr>
    </w:p>
    <w:p w14:paraId="72CE8C0F" w14:textId="10756C1E" w:rsidR="00AE78C4" w:rsidRPr="003A2F86" w:rsidRDefault="00AE78C4" w:rsidP="00AE78C4">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Podaci o izvršenju prihoda i rashoda, primitaka i izdataka iskazani su na razini odjeljka ekonomske klasifikacije (četvrta razina računskog plana), dok su podaci o planu iskazani na razini skupine ekonomske klasifikacije (</w:t>
      </w:r>
      <w:r w:rsidR="008E25ED" w:rsidRPr="003A2F86">
        <w:rPr>
          <w:rFonts w:ascii="Arial" w:eastAsia="Times New Roman" w:hAnsi="Arial" w:cs="Arial"/>
        </w:rPr>
        <w:t>druga</w:t>
      </w:r>
      <w:r w:rsidRPr="003A2F86">
        <w:rPr>
          <w:rFonts w:ascii="Arial" w:eastAsia="Times New Roman" w:hAnsi="Arial" w:cs="Arial"/>
        </w:rPr>
        <w:t xml:space="preserve"> razina računskog plana) sukladno usvojenom Proračunu.</w:t>
      </w:r>
    </w:p>
    <w:p w14:paraId="78E01594" w14:textId="77777777" w:rsidR="00AE78C4" w:rsidRPr="003A2F86" w:rsidRDefault="00AE78C4" w:rsidP="00642208">
      <w:pPr>
        <w:autoSpaceDE w:val="0"/>
        <w:autoSpaceDN w:val="0"/>
        <w:adjustRightInd w:val="0"/>
        <w:spacing w:after="0" w:line="240" w:lineRule="auto"/>
        <w:jc w:val="both"/>
        <w:rPr>
          <w:rFonts w:ascii="Arial" w:eastAsia="Times New Roman" w:hAnsi="Arial" w:cs="Arial"/>
        </w:rPr>
      </w:pPr>
    </w:p>
    <w:p w14:paraId="1A530A2F" w14:textId="57F349AA" w:rsidR="0001734D" w:rsidRPr="003A2F86" w:rsidRDefault="00E91779" w:rsidP="0001734D">
      <w:pPr>
        <w:autoSpaceDE w:val="0"/>
        <w:autoSpaceDN w:val="0"/>
        <w:adjustRightInd w:val="0"/>
        <w:spacing w:after="0" w:line="240" w:lineRule="auto"/>
        <w:jc w:val="both"/>
        <w:rPr>
          <w:rFonts w:ascii="Arial" w:eastAsia="Calibri" w:hAnsi="Arial" w:cs="Arial"/>
          <w:lang w:eastAsia="en-US"/>
        </w:rPr>
      </w:pPr>
      <w:r w:rsidRPr="003A2F86">
        <w:rPr>
          <w:rFonts w:ascii="Arial" w:eastAsia="Times New Roman" w:hAnsi="Arial" w:cs="Arial"/>
        </w:rPr>
        <w:t>Zakonom o proračunu</w:t>
      </w:r>
      <w:r w:rsidR="00037C6A" w:rsidRPr="003A2F86">
        <w:rPr>
          <w:rFonts w:ascii="Arial" w:eastAsia="Times New Roman" w:hAnsi="Arial" w:cs="Arial"/>
        </w:rPr>
        <w:t xml:space="preserve"> (NN 144/21)</w:t>
      </w:r>
      <w:r w:rsidR="009F5BBF" w:rsidRPr="003A2F86">
        <w:rPr>
          <w:rFonts w:ascii="Arial" w:eastAsia="Times New Roman" w:hAnsi="Arial" w:cs="Arial"/>
        </w:rPr>
        <w:t xml:space="preserve">, članak </w:t>
      </w:r>
      <w:r w:rsidRPr="003A2F86">
        <w:rPr>
          <w:rFonts w:ascii="Arial" w:eastAsia="Times New Roman" w:hAnsi="Arial" w:cs="Arial"/>
        </w:rPr>
        <w:t>88. i 89.</w:t>
      </w:r>
      <w:r w:rsidR="009F5BBF" w:rsidRPr="003A2F86">
        <w:rPr>
          <w:rFonts w:ascii="Arial" w:eastAsia="Times New Roman" w:hAnsi="Arial" w:cs="Arial"/>
        </w:rPr>
        <w:t xml:space="preserve">, </w:t>
      </w:r>
      <w:r w:rsidR="00891119" w:rsidRPr="003A2F86">
        <w:rPr>
          <w:rFonts w:ascii="Arial" w:eastAsia="Times New Roman" w:hAnsi="Arial" w:cs="Arial"/>
        </w:rPr>
        <w:t xml:space="preserve">propisana je obveza podnošenja </w:t>
      </w:r>
      <w:r w:rsidR="000B4A24" w:rsidRPr="007075BE">
        <w:rPr>
          <w:rFonts w:ascii="Arial" w:eastAsia="Times New Roman" w:hAnsi="Arial" w:cs="Arial"/>
          <w:b/>
          <w:bCs/>
          <w:i/>
          <w:iCs/>
        </w:rPr>
        <w:t>polugodišnjeg</w:t>
      </w:r>
      <w:r w:rsidR="000B4A24" w:rsidRPr="003A2F86">
        <w:rPr>
          <w:rFonts w:ascii="Arial" w:eastAsia="Times New Roman" w:hAnsi="Arial" w:cs="Arial"/>
        </w:rPr>
        <w:t xml:space="preserve"> </w:t>
      </w:r>
      <w:r w:rsidR="004C317A" w:rsidRPr="003A2F86">
        <w:rPr>
          <w:rFonts w:ascii="Arial" w:eastAsia="Calibri" w:hAnsi="Arial" w:cs="Arial"/>
          <w:lang w:eastAsia="en-US"/>
        </w:rPr>
        <w:t>(</w:t>
      </w:r>
      <w:r w:rsidR="00A565C9" w:rsidRPr="003A2F86">
        <w:rPr>
          <w:rFonts w:ascii="Arial" w:eastAsia="Calibri" w:hAnsi="Arial" w:cs="Arial"/>
          <w:lang w:eastAsia="en-US"/>
        </w:rPr>
        <w:t xml:space="preserve">do </w:t>
      </w:r>
      <w:r w:rsidR="002D66C2" w:rsidRPr="003A2F86">
        <w:rPr>
          <w:rFonts w:ascii="Arial" w:eastAsia="Calibri" w:hAnsi="Arial" w:cs="Arial"/>
          <w:lang w:eastAsia="en-US"/>
        </w:rPr>
        <w:t>30</w:t>
      </w:r>
      <w:r w:rsidR="004C317A" w:rsidRPr="003A2F86">
        <w:rPr>
          <w:rFonts w:ascii="Arial" w:eastAsia="Calibri" w:hAnsi="Arial" w:cs="Arial"/>
          <w:lang w:eastAsia="en-US"/>
        </w:rPr>
        <w:t xml:space="preserve">. rujna tekuće proračunske godine) </w:t>
      </w:r>
      <w:r w:rsidR="000B4A24" w:rsidRPr="003A2F86">
        <w:rPr>
          <w:rFonts w:ascii="Arial" w:eastAsia="Times New Roman" w:hAnsi="Arial" w:cs="Arial"/>
        </w:rPr>
        <w:t xml:space="preserve">i </w:t>
      </w:r>
      <w:r w:rsidR="00891119" w:rsidRPr="007075BE">
        <w:rPr>
          <w:rFonts w:ascii="Arial" w:eastAsia="Times New Roman" w:hAnsi="Arial" w:cs="Arial"/>
          <w:b/>
          <w:bCs/>
          <w:i/>
          <w:iCs/>
        </w:rPr>
        <w:t>godišnjeg</w:t>
      </w:r>
      <w:r w:rsidR="00891119" w:rsidRPr="003A2F86">
        <w:rPr>
          <w:rFonts w:ascii="Arial" w:eastAsia="Times New Roman" w:hAnsi="Arial" w:cs="Arial"/>
        </w:rPr>
        <w:t xml:space="preserve"> </w:t>
      </w:r>
      <w:r w:rsidR="004C317A" w:rsidRPr="003A2F86">
        <w:rPr>
          <w:rFonts w:ascii="Arial" w:eastAsia="Calibri" w:hAnsi="Arial" w:cs="Arial"/>
          <w:lang w:eastAsia="en-US"/>
        </w:rPr>
        <w:t xml:space="preserve">(do </w:t>
      </w:r>
      <w:r w:rsidR="002D66C2" w:rsidRPr="003A2F86">
        <w:rPr>
          <w:rFonts w:ascii="Arial" w:eastAsia="Calibri" w:hAnsi="Arial" w:cs="Arial"/>
          <w:lang w:eastAsia="en-US"/>
        </w:rPr>
        <w:t>31. svibnja</w:t>
      </w:r>
      <w:r w:rsidR="004C317A" w:rsidRPr="003A2F86">
        <w:rPr>
          <w:rFonts w:ascii="Arial" w:eastAsia="Calibri" w:hAnsi="Arial" w:cs="Arial"/>
          <w:lang w:eastAsia="en-US"/>
        </w:rPr>
        <w:t xml:space="preserve"> tekuće godine za prethodnu godinu) </w:t>
      </w:r>
      <w:r w:rsidR="00891119" w:rsidRPr="003A2F86">
        <w:rPr>
          <w:rFonts w:ascii="Arial" w:eastAsia="Times New Roman" w:hAnsi="Arial" w:cs="Arial"/>
        </w:rPr>
        <w:t xml:space="preserve">izvještaja o izvršenju proračuna na donošenje </w:t>
      </w:r>
      <w:r w:rsidR="00891119" w:rsidRPr="003A2F86">
        <w:rPr>
          <w:rFonts w:ascii="Arial" w:eastAsia="Times New Roman" w:hAnsi="Arial" w:cs="Arial"/>
          <w:b/>
          <w:bCs/>
        </w:rPr>
        <w:t>predstavničkom tijelu</w:t>
      </w:r>
      <w:r w:rsidR="00891119" w:rsidRPr="003A2F86">
        <w:rPr>
          <w:rFonts w:ascii="Arial" w:eastAsia="Times New Roman" w:hAnsi="Arial" w:cs="Arial"/>
        </w:rPr>
        <w:t xml:space="preserve"> jedinice lokalne i područne (regionalne) samouprave. </w:t>
      </w:r>
    </w:p>
    <w:p w14:paraId="4F28121E" w14:textId="77777777" w:rsidR="0001734D" w:rsidRPr="003A2F86" w:rsidRDefault="0001734D" w:rsidP="0001734D">
      <w:pPr>
        <w:autoSpaceDE w:val="0"/>
        <w:autoSpaceDN w:val="0"/>
        <w:adjustRightInd w:val="0"/>
        <w:spacing w:after="0" w:line="240" w:lineRule="auto"/>
        <w:jc w:val="both"/>
        <w:rPr>
          <w:rFonts w:ascii="Arial" w:eastAsia="Calibri" w:hAnsi="Arial" w:cs="Arial"/>
          <w:lang w:eastAsia="en-US"/>
        </w:rPr>
      </w:pPr>
    </w:p>
    <w:p w14:paraId="38379117" w14:textId="4DC08F6C" w:rsidR="00891119" w:rsidRPr="003A2F86" w:rsidRDefault="00891119" w:rsidP="0001734D">
      <w:pPr>
        <w:autoSpaceDE w:val="0"/>
        <w:autoSpaceDN w:val="0"/>
        <w:adjustRightInd w:val="0"/>
        <w:spacing w:after="0" w:line="240" w:lineRule="auto"/>
        <w:jc w:val="both"/>
        <w:rPr>
          <w:rFonts w:ascii="Arial" w:eastAsia="Calibri" w:hAnsi="Arial" w:cs="Arial"/>
          <w:lang w:eastAsia="en-US"/>
        </w:rPr>
      </w:pPr>
      <w:r w:rsidRPr="003A2F86">
        <w:rPr>
          <w:rFonts w:ascii="Arial" w:eastAsia="Calibri" w:hAnsi="Arial" w:cs="Arial"/>
          <w:lang w:eastAsia="en-US"/>
        </w:rPr>
        <w:t>Financiranje javnih rashoda i izdataka u 20</w:t>
      </w:r>
      <w:r w:rsidR="00E343BD" w:rsidRPr="003A2F86">
        <w:rPr>
          <w:rFonts w:ascii="Arial" w:eastAsia="Calibri" w:hAnsi="Arial" w:cs="Arial"/>
          <w:lang w:eastAsia="en-US"/>
        </w:rPr>
        <w:t>2</w:t>
      </w:r>
      <w:r w:rsidR="00F24E08">
        <w:rPr>
          <w:rFonts w:ascii="Arial" w:eastAsia="Calibri" w:hAnsi="Arial" w:cs="Arial"/>
          <w:lang w:eastAsia="en-US"/>
        </w:rPr>
        <w:t>5</w:t>
      </w:r>
      <w:r w:rsidRPr="003A2F86">
        <w:rPr>
          <w:rFonts w:ascii="Arial" w:eastAsia="Calibri" w:hAnsi="Arial" w:cs="Arial"/>
          <w:lang w:eastAsia="en-US"/>
        </w:rPr>
        <w:t>. godini izvršeno je na temelju slijedećih financijsko-planskih dokumenata:</w:t>
      </w:r>
    </w:p>
    <w:p w14:paraId="46C5F872" w14:textId="3A4FD108" w:rsidR="00891119" w:rsidRPr="003A2F86" w:rsidRDefault="00891119" w:rsidP="00D50EED">
      <w:pPr>
        <w:spacing w:after="0" w:line="240" w:lineRule="auto"/>
        <w:ind w:firstLine="567"/>
        <w:jc w:val="both"/>
        <w:rPr>
          <w:rFonts w:ascii="Arial" w:eastAsia="Calibri" w:hAnsi="Arial" w:cs="Arial"/>
          <w:lang w:eastAsia="en-US"/>
        </w:rPr>
      </w:pPr>
      <w:r w:rsidRPr="003A2F86">
        <w:rPr>
          <w:rFonts w:ascii="Arial" w:eastAsia="Calibri" w:hAnsi="Arial" w:cs="Arial"/>
          <w:lang w:eastAsia="en-US"/>
        </w:rPr>
        <w:t>- Proračun Općine Konavle za 20</w:t>
      </w:r>
      <w:r w:rsidR="00E57268" w:rsidRPr="003A2F86">
        <w:rPr>
          <w:rFonts w:ascii="Arial" w:eastAsia="Calibri" w:hAnsi="Arial" w:cs="Arial"/>
          <w:lang w:eastAsia="en-US"/>
        </w:rPr>
        <w:t>2</w:t>
      </w:r>
      <w:r w:rsidR="00F24E08">
        <w:rPr>
          <w:rFonts w:ascii="Arial" w:eastAsia="Calibri" w:hAnsi="Arial" w:cs="Arial"/>
          <w:lang w:eastAsia="en-US"/>
        </w:rPr>
        <w:t>5</w:t>
      </w:r>
      <w:r w:rsidRPr="003A2F86">
        <w:rPr>
          <w:rFonts w:ascii="Arial" w:eastAsia="Calibri" w:hAnsi="Arial" w:cs="Arial"/>
          <w:lang w:eastAsia="en-US"/>
        </w:rPr>
        <w:t>. godinu s projekcijama proračuna za 20</w:t>
      </w:r>
      <w:r w:rsidR="002D6F6F" w:rsidRPr="003A2F86">
        <w:rPr>
          <w:rFonts w:ascii="Arial" w:eastAsia="Calibri" w:hAnsi="Arial" w:cs="Arial"/>
          <w:lang w:eastAsia="en-US"/>
        </w:rPr>
        <w:t>2</w:t>
      </w:r>
      <w:r w:rsidR="00F24E08">
        <w:rPr>
          <w:rFonts w:ascii="Arial" w:eastAsia="Calibri" w:hAnsi="Arial" w:cs="Arial"/>
          <w:lang w:eastAsia="en-US"/>
        </w:rPr>
        <w:t>6</w:t>
      </w:r>
      <w:r w:rsidRPr="003A2F86">
        <w:rPr>
          <w:rFonts w:ascii="Arial" w:eastAsia="Calibri" w:hAnsi="Arial" w:cs="Arial"/>
          <w:lang w:eastAsia="en-US"/>
        </w:rPr>
        <w:t>. i 202</w:t>
      </w:r>
      <w:r w:rsidR="00F24E08">
        <w:rPr>
          <w:rFonts w:ascii="Arial" w:eastAsia="Calibri" w:hAnsi="Arial" w:cs="Arial"/>
          <w:lang w:eastAsia="en-US"/>
        </w:rPr>
        <w:t>7</w:t>
      </w:r>
      <w:r w:rsidRPr="003A2F86">
        <w:rPr>
          <w:rFonts w:ascii="Arial" w:eastAsia="Calibri" w:hAnsi="Arial" w:cs="Arial"/>
          <w:lang w:eastAsia="en-US"/>
        </w:rPr>
        <w:t>. godinu i Odluka o izvršavanju proračuna Općine Konavle za 20</w:t>
      </w:r>
      <w:r w:rsidR="00E343BD" w:rsidRPr="003A2F86">
        <w:rPr>
          <w:rFonts w:ascii="Arial" w:eastAsia="Calibri" w:hAnsi="Arial" w:cs="Arial"/>
          <w:lang w:eastAsia="en-US"/>
        </w:rPr>
        <w:t>2</w:t>
      </w:r>
      <w:r w:rsidR="00F24E08">
        <w:rPr>
          <w:rFonts w:ascii="Arial" w:eastAsia="Calibri" w:hAnsi="Arial" w:cs="Arial"/>
          <w:lang w:eastAsia="en-US"/>
        </w:rPr>
        <w:t>5</w:t>
      </w:r>
      <w:r w:rsidRPr="003A2F86">
        <w:rPr>
          <w:rFonts w:ascii="Arial" w:eastAsia="Calibri" w:hAnsi="Arial" w:cs="Arial"/>
          <w:lang w:eastAsia="en-US"/>
        </w:rPr>
        <w:t xml:space="preserve">. godinu koje je usvojilo Općinsko vijeće </w:t>
      </w:r>
      <w:r w:rsidR="006B0C1F" w:rsidRPr="003A2F86">
        <w:rPr>
          <w:rFonts w:ascii="Arial" w:eastAsia="Calibri" w:hAnsi="Arial" w:cs="Arial"/>
          <w:lang w:eastAsia="en-US"/>
        </w:rPr>
        <w:t>1</w:t>
      </w:r>
      <w:r w:rsidR="00F24E08">
        <w:rPr>
          <w:rFonts w:ascii="Arial" w:eastAsia="Calibri" w:hAnsi="Arial" w:cs="Arial"/>
          <w:lang w:eastAsia="en-US"/>
        </w:rPr>
        <w:t>6</w:t>
      </w:r>
      <w:r w:rsidR="00E57268" w:rsidRPr="003A2F86">
        <w:rPr>
          <w:rFonts w:ascii="Arial" w:eastAsia="Calibri" w:hAnsi="Arial" w:cs="Arial"/>
          <w:lang w:eastAsia="en-US"/>
        </w:rPr>
        <w:t>. prosinca</w:t>
      </w:r>
      <w:r w:rsidRPr="003A2F86">
        <w:rPr>
          <w:rFonts w:ascii="Arial" w:eastAsia="Calibri" w:hAnsi="Arial" w:cs="Arial"/>
          <w:lang w:eastAsia="en-US"/>
        </w:rPr>
        <w:t xml:space="preserve"> 20</w:t>
      </w:r>
      <w:r w:rsidR="00436855" w:rsidRPr="003A2F86">
        <w:rPr>
          <w:rFonts w:ascii="Arial" w:eastAsia="Calibri" w:hAnsi="Arial" w:cs="Arial"/>
          <w:lang w:eastAsia="en-US"/>
        </w:rPr>
        <w:t>2</w:t>
      </w:r>
      <w:r w:rsidR="00F24E08">
        <w:rPr>
          <w:rFonts w:ascii="Arial" w:eastAsia="Calibri" w:hAnsi="Arial" w:cs="Arial"/>
          <w:lang w:eastAsia="en-US"/>
        </w:rPr>
        <w:t>4</w:t>
      </w:r>
      <w:r w:rsidRPr="003A2F86">
        <w:rPr>
          <w:rFonts w:ascii="Arial" w:eastAsia="Calibri" w:hAnsi="Arial" w:cs="Arial"/>
          <w:lang w:eastAsia="en-US"/>
        </w:rPr>
        <w:t>. godine i kojim je Proračun za 20</w:t>
      </w:r>
      <w:r w:rsidR="00E343BD" w:rsidRPr="003A2F86">
        <w:rPr>
          <w:rFonts w:ascii="Arial" w:eastAsia="Calibri" w:hAnsi="Arial" w:cs="Arial"/>
          <w:lang w:eastAsia="en-US"/>
        </w:rPr>
        <w:t>2</w:t>
      </w:r>
      <w:r w:rsidR="00F24E08">
        <w:rPr>
          <w:rFonts w:ascii="Arial" w:eastAsia="Calibri" w:hAnsi="Arial" w:cs="Arial"/>
          <w:lang w:eastAsia="en-US"/>
        </w:rPr>
        <w:t>5</w:t>
      </w:r>
      <w:r w:rsidRPr="003A2F86">
        <w:rPr>
          <w:rFonts w:ascii="Arial" w:eastAsia="Calibri" w:hAnsi="Arial" w:cs="Arial"/>
          <w:lang w:eastAsia="en-US"/>
        </w:rPr>
        <w:t xml:space="preserve">. utvrđen u iznosu </w:t>
      </w:r>
      <w:r w:rsidR="00F24E08">
        <w:rPr>
          <w:rFonts w:ascii="Arial" w:eastAsia="Calibri" w:hAnsi="Arial" w:cs="Arial"/>
          <w:lang w:eastAsia="en-US"/>
        </w:rPr>
        <w:t>39.980</w:t>
      </w:r>
      <w:r w:rsidR="006B0C1F" w:rsidRPr="003A2F86">
        <w:rPr>
          <w:rFonts w:ascii="Arial" w:eastAsia="Calibri" w:hAnsi="Arial" w:cs="Arial"/>
          <w:lang w:eastAsia="en-US"/>
        </w:rPr>
        <w:t>.000</w:t>
      </w:r>
      <w:r w:rsidR="007F0687" w:rsidRPr="003A2F86">
        <w:rPr>
          <w:rFonts w:ascii="Arial" w:eastAsia="Calibri" w:hAnsi="Arial" w:cs="Arial"/>
          <w:lang w:eastAsia="en-US"/>
        </w:rPr>
        <w:t xml:space="preserve"> €</w:t>
      </w:r>
      <w:r w:rsidR="004C317A" w:rsidRPr="003A2F86">
        <w:rPr>
          <w:rFonts w:ascii="Arial" w:eastAsia="Calibri" w:hAnsi="Arial" w:cs="Arial"/>
          <w:lang w:eastAsia="en-US"/>
        </w:rPr>
        <w:t xml:space="preserve"> (</w:t>
      </w:r>
      <w:r w:rsidRPr="003A2F86">
        <w:rPr>
          <w:rFonts w:ascii="Arial" w:eastAsia="Calibri" w:hAnsi="Arial" w:cs="Arial"/>
          <w:lang w:eastAsia="en-US"/>
        </w:rPr>
        <w:t>Služben</w:t>
      </w:r>
      <w:r w:rsidR="004C317A" w:rsidRPr="003A2F86">
        <w:rPr>
          <w:rFonts w:ascii="Arial" w:eastAsia="Calibri" w:hAnsi="Arial" w:cs="Arial"/>
          <w:lang w:eastAsia="en-US"/>
        </w:rPr>
        <w:t>i</w:t>
      </w:r>
      <w:r w:rsidRPr="003A2F86">
        <w:rPr>
          <w:rFonts w:ascii="Arial" w:eastAsia="Calibri" w:hAnsi="Arial" w:cs="Arial"/>
          <w:lang w:eastAsia="en-US"/>
        </w:rPr>
        <w:t xml:space="preserve"> glasnik Općine Konavle broj </w:t>
      </w:r>
      <w:r w:rsidR="00F24E08">
        <w:rPr>
          <w:rFonts w:ascii="Arial" w:eastAsia="Calibri" w:hAnsi="Arial" w:cs="Arial"/>
          <w:lang w:eastAsia="en-US"/>
        </w:rPr>
        <w:t>11</w:t>
      </w:r>
      <w:r w:rsidR="007F0687" w:rsidRPr="003A2F86">
        <w:rPr>
          <w:rFonts w:ascii="Arial" w:eastAsia="Calibri" w:hAnsi="Arial" w:cs="Arial"/>
          <w:lang w:eastAsia="en-US"/>
        </w:rPr>
        <w:t>/202</w:t>
      </w:r>
      <w:r w:rsidR="00F24E08">
        <w:rPr>
          <w:rFonts w:ascii="Arial" w:eastAsia="Calibri" w:hAnsi="Arial" w:cs="Arial"/>
          <w:lang w:eastAsia="en-US"/>
        </w:rPr>
        <w:t>4</w:t>
      </w:r>
      <w:r w:rsidR="004C317A" w:rsidRPr="003A2F86">
        <w:rPr>
          <w:rFonts w:ascii="Arial" w:eastAsia="Calibri" w:hAnsi="Arial" w:cs="Arial"/>
          <w:lang w:eastAsia="en-US"/>
        </w:rPr>
        <w:t>)</w:t>
      </w:r>
      <w:r w:rsidR="004E0B11" w:rsidRPr="003A2F86">
        <w:rPr>
          <w:rFonts w:ascii="Arial" w:eastAsia="Calibri" w:hAnsi="Arial" w:cs="Arial"/>
          <w:lang w:eastAsia="en-US"/>
        </w:rPr>
        <w:t>,</w:t>
      </w:r>
    </w:p>
    <w:p w14:paraId="13E26DD2" w14:textId="08CDBFDD" w:rsidR="00906791" w:rsidRDefault="00F24E08" w:rsidP="00906791">
      <w:pPr>
        <w:spacing w:after="0" w:line="240" w:lineRule="auto"/>
        <w:ind w:firstLine="567"/>
        <w:jc w:val="both"/>
        <w:rPr>
          <w:rFonts w:ascii="Arial" w:eastAsia="Calibri" w:hAnsi="Arial" w:cs="Arial"/>
          <w:lang w:eastAsia="en-US"/>
        </w:rPr>
      </w:pPr>
      <w:r>
        <w:rPr>
          <w:rFonts w:ascii="Arial" w:eastAsia="Calibri" w:hAnsi="Arial" w:cs="Arial"/>
          <w:lang w:eastAsia="en-US"/>
        </w:rPr>
        <w:t>- Odluka o preraspodjeli sredstava planiranih u Proračunu Općine Konavle za 2025. godinu od 6. lipnja 2025</w:t>
      </w:r>
      <w:r w:rsidR="00906791" w:rsidRPr="003A2F86">
        <w:rPr>
          <w:rFonts w:ascii="Arial" w:eastAsia="Calibri" w:hAnsi="Arial" w:cs="Arial"/>
          <w:lang w:eastAsia="en-US"/>
        </w:rPr>
        <w:t>.</w:t>
      </w:r>
      <w:r w:rsidR="007075BE">
        <w:rPr>
          <w:rFonts w:ascii="Arial" w:eastAsia="Calibri" w:hAnsi="Arial" w:cs="Arial"/>
          <w:lang w:eastAsia="en-US"/>
        </w:rPr>
        <w:t>,</w:t>
      </w:r>
    </w:p>
    <w:p w14:paraId="71590402" w14:textId="1DF5EEF8" w:rsidR="007075BE" w:rsidRPr="003A2F86" w:rsidRDefault="007075BE" w:rsidP="007075BE">
      <w:pPr>
        <w:spacing w:after="0" w:line="240" w:lineRule="auto"/>
        <w:ind w:firstLine="567"/>
        <w:jc w:val="both"/>
        <w:rPr>
          <w:rFonts w:ascii="Arial" w:eastAsia="Calibri" w:hAnsi="Arial" w:cs="Arial"/>
          <w:lang w:eastAsia="en-US"/>
        </w:rPr>
      </w:pPr>
      <w:r w:rsidRPr="003A2F86">
        <w:rPr>
          <w:rFonts w:ascii="Arial" w:eastAsia="Calibri" w:hAnsi="Arial" w:cs="Arial"/>
          <w:lang w:eastAsia="en-US"/>
        </w:rPr>
        <w:t xml:space="preserve">- </w:t>
      </w:r>
      <w:r>
        <w:rPr>
          <w:rFonts w:ascii="Arial" w:eastAsia="Calibri" w:hAnsi="Arial" w:cs="Arial"/>
          <w:lang w:eastAsia="en-US"/>
        </w:rPr>
        <w:t>Prve</w:t>
      </w:r>
      <w:r w:rsidRPr="003A2F86">
        <w:rPr>
          <w:rFonts w:ascii="Arial" w:eastAsia="Calibri" w:hAnsi="Arial" w:cs="Arial"/>
          <w:lang w:eastAsia="en-US"/>
        </w:rPr>
        <w:t xml:space="preserve"> izmjene i dopune Proračuna Općine Konavle za 202</w:t>
      </w:r>
      <w:r>
        <w:rPr>
          <w:rFonts w:ascii="Arial" w:eastAsia="Calibri" w:hAnsi="Arial" w:cs="Arial"/>
          <w:lang w:eastAsia="en-US"/>
        </w:rPr>
        <w:t>5</w:t>
      </w:r>
      <w:r w:rsidRPr="003A2F86">
        <w:rPr>
          <w:rFonts w:ascii="Arial" w:eastAsia="Calibri" w:hAnsi="Arial" w:cs="Arial"/>
          <w:lang w:eastAsia="en-US"/>
        </w:rPr>
        <w:t>. godinu s projekcijama proračuna za 202</w:t>
      </w:r>
      <w:r>
        <w:rPr>
          <w:rFonts w:ascii="Arial" w:eastAsia="Calibri" w:hAnsi="Arial" w:cs="Arial"/>
          <w:lang w:eastAsia="en-US"/>
        </w:rPr>
        <w:t>6</w:t>
      </w:r>
      <w:r w:rsidRPr="003A2F86">
        <w:rPr>
          <w:rFonts w:ascii="Arial" w:eastAsia="Calibri" w:hAnsi="Arial" w:cs="Arial"/>
          <w:lang w:eastAsia="en-US"/>
        </w:rPr>
        <w:t>. i 202</w:t>
      </w:r>
      <w:r>
        <w:rPr>
          <w:rFonts w:ascii="Arial" w:eastAsia="Calibri" w:hAnsi="Arial" w:cs="Arial"/>
          <w:lang w:eastAsia="en-US"/>
        </w:rPr>
        <w:t>7</w:t>
      </w:r>
      <w:r w:rsidRPr="003A2F86">
        <w:rPr>
          <w:rFonts w:ascii="Arial" w:eastAsia="Calibri" w:hAnsi="Arial" w:cs="Arial"/>
          <w:lang w:eastAsia="en-US"/>
        </w:rPr>
        <w:t>. godinu od 1</w:t>
      </w:r>
      <w:r>
        <w:rPr>
          <w:rFonts w:ascii="Arial" w:eastAsia="Calibri" w:hAnsi="Arial" w:cs="Arial"/>
          <w:lang w:eastAsia="en-US"/>
        </w:rPr>
        <w:t>7</w:t>
      </w:r>
      <w:r w:rsidRPr="003A2F86">
        <w:rPr>
          <w:rFonts w:ascii="Arial" w:eastAsia="Calibri" w:hAnsi="Arial" w:cs="Arial"/>
          <w:lang w:eastAsia="en-US"/>
        </w:rPr>
        <w:t>. prosinca 202</w:t>
      </w:r>
      <w:r>
        <w:rPr>
          <w:rFonts w:ascii="Arial" w:eastAsia="Calibri" w:hAnsi="Arial" w:cs="Arial"/>
          <w:lang w:eastAsia="en-US"/>
        </w:rPr>
        <w:t>5</w:t>
      </w:r>
      <w:r w:rsidRPr="003A2F86">
        <w:rPr>
          <w:rFonts w:ascii="Arial" w:eastAsia="Calibri" w:hAnsi="Arial" w:cs="Arial"/>
          <w:lang w:eastAsia="en-US"/>
        </w:rPr>
        <w:t>. (Službeni glasnik Općine Konavle broj 10/202</w:t>
      </w:r>
      <w:r>
        <w:rPr>
          <w:rFonts w:ascii="Arial" w:eastAsia="Calibri" w:hAnsi="Arial" w:cs="Arial"/>
          <w:lang w:eastAsia="en-US"/>
        </w:rPr>
        <w:t>5</w:t>
      </w:r>
      <w:r w:rsidRPr="003A2F86">
        <w:rPr>
          <w:rFonts w:ascii="Arial" w:eastAsia="Calibri" w:hAnsi="Arial" w:cs="Arial"/>
          <w:lang w:eastAsia="en-US"/>
        </w:rPr>
        <w:t>)</w:t>
      </w:r>
      <w:r>
        <w:rPr>
          <w:rFonts w:ascii="Arial" w:eastAsia="Calibri" w:hAnsi="Arial" w:cs="Arial"/>
          <w:lang w:eastAsia="en-US"/>
        </w:rPr>
        <w:t>,</w:t>
      </w:r>
    </w:p>
    <w:p w14:paraId="0160479C" w14:textId="7D55965F" w:rsidR="007075BE" w:rsidRDefault="007075BE" w:rsidP="007075BE">
      <w:pPr>
        <w:spacing w:after="0" w:line="240" w:lineRule="auto"/>
        <w:ind w:firstLine="567"/>
        <w:jc w:val="both"/>
        <w:rPr>
          <w:rFonts w:ascii="Arial" w:eastAsia="Calibri" w:hAnsi="Arial" w:cs="Arial"/>
          <w:lang w:eastAsia="en-US"/>
        </w:rPr>
      </w:pPr>
      <w:r>
        <w:rPr>
          <w:rFonts w:ascii="Arial" w:eastAsia="Calibri" w:hAnsi="Arial" w:cs="Arial"/>
          <w:lang w:eastAsia="en-US"/>
        </w:rPr>
        <w:t>- Odluka o preraspodjeli sredstava planiranih u Proračunu Općine Konavle za 2025. godinu od 19. prosinca 2025</w:t>
      </w:r>
      <w:r w:rsidRPr="003A2F86">
        <w:rPr>
          <w:rFonts w:ascii="Arial" w:eastAsia="Calibri" w:hAnsi="Arial" w:cs="Arial"/>
          <w:lang w:eastAsia="en-US"/>
        </w:rPr>
        <w:t>.</w:t>
      </w:r>
    </w:p>
    <w:p w14:paraId="7256989C" w14:textId="77777777" w:rsidR="007075BE" w:rsidRPr="003A2F86" w:rsidRDefault="007075BE" w:rsidP="00906791">
      <w:pPr>
        <w:spacing w:after="0" w:line="240" w:lineRule="auto"/>
        <w:ind w:firstLine="567"/>
        <w:jc w:val="both"/>
        <w:rPr>
          <w:rFonts w:ascii="Arial" w:eastAsia="Calibri" w:hAnsi="Arial" w:cs="Arial"/>
          <w:lang w:eastAsia="en-US"/>
        </w:rPr>
      </w:pPr>
    </w:p>
    <w:p w14:paraId="27CCFC3A" w14:textId="03652CFB" w:rsidR="00891119" w:rsidRPr="003A2F86" w:rsidRDefault="00891119" w:rsidP="008C5760">
      <w:pPr>
        <w:autoSpaceDE w:val="0"/>
        <w:autoSpaceDN w:val="0"/>
        <w:adjustRightInd w:val="0"/>
        <w:spacing w:after="0" w:line="240" w:lineRule="auto"/>
        <w:ind w:firstLine="567"/>
        <w:jc w:val="both"/>
        <w:rPr>
          <w:rFonts w:ascii="Arial" w:eastAsia="Times New Roman" w:hAnsi="Arial" w:cs="Arial"/>
        </w:rPr>
      </w:pPr>
      <w:r w:rsidRPr="003A2F86">
        <w:rPr>
          <w:rFonts w:ascii="Arial" w:eastAsia="Times New Roman" w:hAnsi="Arial" w:cs="Arial"/>
        </w:rPr>
        <w:t xml:space="preserve">Prva i druga točka </w:t>
      </w:r>
      <w:r w:rsidR="001A2CE0" w:rsidRPr="003A2F86">
        <w:rPr>
          <w:rFonts w:ascii="Arial" w:eastAsia="Times New Roman" w:hAnsi="Arial" w:cs="Arial"/>
          <w:b/>
        </w:rPr>
        <w:t>G</w:t>
      </w:r>
      <w:r w:rsidRPr="003A2F86">
        <w:rPr>
          <w:rFonts w:ascii="Arial" w:eastAsia="Times New Roman" w:hAnsi="Arial" w:cs="Arial"/>
          <w:b/>
        </w:rPr>
        <w:t>odišnjeg izvještaja o izvršenju proračuna Općine Konavle za 20</w:t>
      </w:r>
      <w:r w:rsidR="00E343BD" w:rsidRPr="003A2F86">
        <w:rPr>
          <w:rFonts w:ascii="Arial" w:eastAsia="Times New Roman" w:hAnsi="Arial" w:cs="Arial"/>
          <w:b/>
        </w:rPr>
        <w:t>2</w:t>
      </w:r>
      <w:r w:rsidR="00F24E08">
        <w:rPr>
          <w:rFonts w:ascii="Arial" w:eastAsia="Times New Roman" w:hAnsi="Arial" w:cs="Arial"/>
          <w:b/>
        </w:rPr>
        <w:t>5</w:t>
      </w:r>
      <w:r w:rsidR="008C5760" w:rsidRPr="003A2F86">
        <w:rPr>
          <w:rFonts w:ascii="Arial" w:eastAsia="Times New Roman" w:hAnsi="Arial" w:cs="Arial"/>
          <w:b/>
        </w:rPr>
        <w:t>.</w:t>
      </w:r>
      <w:r w:rsidRPr="003A2F86">
        <w:rPr>
          <w:rFonts w:ascii="Arial" w:eastAsia="Times New Roman" w:hAnsi="Arial" w:cs="Arial"/>
          <w:b/>
        </w:rPr>
        <w:t xml:space="preserve"> </w:t>
      </w:r>
      <w:r w:rsidR="009846DC" w:rsidRPr="003A2F86">
        <w:rPr>
          <w:rFonts w:ascii="Arial" w:eastAsia="Times New Roman" w:hAnsi="Arial" w:cs="Arial"/>
        </w:rPr>
        <w:t>u skladu s odredbama Pravilnika o polugodišnjem i godišnjem izvještaju o izvršenju proračuna</w:t>
      </w:r>
      <w:r w:rsidR="007F0687" w:rsidRPr="003A2F86">
        <w:rPr>
          <w:rFonts w:ascii="Arial" w:eastAsia="Times New Roman" w:hAnsi="Arial" w:cs="Arial"/>
        </w:rPr>
        <w:t xml:space="preserve"> i financijskog plana</w:t>
      </w:r>
      <w:r w:rsidR="009846DC" w:rsidRPr="003A2F86">
        <w:rPr>
          <w:rFonts w:ascii="Arial" w:eastAsia="Times New Roman" w:hAnsi="Arial" w:cs="Arial"/>
        </w:rPr>
        <w:t xml:space="preserve"> iskazuju se </w:t>
      </w:r>
      <w:r w:rsidR="009846DC" w:rsidRPr="003A2F86">
        <w:rPr>
          <w:rFonts w:ascii="Arial" w:eastAsia="Times New Roman" w:hAnsi="Arial" w:cs="Arial"/>
          <w:i/>
          <w:u w:val="single"/>
        </w:rPr>
        <w:t>u tabličnom prikazu</w:t>
      </w:r>
      <w:r w:rsidR="009846DC" w:rsidRPr="003A2F86">
        <w:rPr>
          <w:rFonts w:ascii="Arial" w:eastAsia="Times New Roman" w:hAnsi="Arial" w:cs="Arial"/>
          <w:i/>
        </w:rPr>
        <w:t xml:space="preserve"> (u privitku) i dostavljaju Općinskom vijeću na donošenje</w:t>
      </w:r>
      <w:r w:rsidRPr="003A2F86">
        <w:rPr>
          <w:rFonts w:ascii="Arial" w:eastAsia="Times New Roman" w:hAnsi="Arial" w:cs="Arial"/>
        </w:rPr>
        <w:t>:</w:t>
      </w:r>
    </w:p>
    <w:p w14:paraId="7DF5078C" w14:textId="7265B011" w:rsidR="00891119" w:rsidRPr="003A2F86" w:rsidRDefault="00891119" w:rsidP="009140A7">
      <w:pPr>
        <w:autoSpaceDE w:val="0"/>
        <w:autoSpaceDN w:val="0"/>
        <w:adjustRightInd w:val="0"/>
        <w:spacing w:after="0" w:line="240" w:lineRule="auto"/>
        <w:ind w:firstLine="567"/>
        <w:jc w:val="both"/>
        <w:rPr>
          <w:rFonts w:ascii="Arial" w:eastAsia="Times New Roman" w:hAnsi="Arial" w:cs="Arial"/>
        </w:rPr>
      </w:pPr>
      <w:r w:rsidRPr="003A2F86">
        <w:rPr>
          <w:rFonts w:ascii="Arial" w:eastAsia="Times New Roman" w:hAnsi="Arial" w:cs="Arial"/>
        </w:rPr>
        <w:t xml:space="preserve">1. </w:t>
      </w:r>
      <w:r w:rsidRPr="003A2F86">
        <w:rPr>
          <w:rFonts w:ascii="Arial" w:eastAsia="Times New Roman" w:hAnsi="Arial" w:cs="Arial"/>
          <w:b/>
        </w:rPr>
        <w:t>opći dio proračuna</w:t>
      </w:r>
      <w:r w:rsidRPr="003A2F86">
        <w:rPr>
          <w:rFonts w:ascii="Arial" w:eastAsia="Times New Roman" w:hAnsi="Arial" w:cs="Arial"/>
        </w:rPr>
        <w:t xml:space="preserve"> (1. sažetak Računa prihoda i rashoda i Računa financiranja na razini razreda ekonomske klasifikacije; 2. Račun prihoda i rashoda na razini odjeljka ekonomske klasifikacije kao i prihode i rashode prema izvorima financiranja, te rashode prema funkcijskom klasifikaciji; 3. Račun financiranja na razini odjeljka ekonomske klasifikacije kao i račun financiranja prema izvorima financiranja) – </w:t>
      </w:r>
      <w:r w:rsidRPr="009B2419">
        <w:rPr>
          <w:rFonts w:ascii="Arial" w:eastAsia="Times New Roman" w:hAnsi="Arial" w:cs="Arial"/>
          <w:i/>
        </w:rPr>
        <w:t>(</w:t>
      </w:r>
      <w:hyperlink w:anchor="_11._PRIVITAK:_OPĆI" w:history="1">
        <w:r w:rsidRPr="009B2419">
          <w:rPr>
            <w:rStyle w:val="Hiperveza"/>
            <w:rFonts w:ascii="Arial" w:eastAsia="Times New Roman" w:hAnsi="Arial" w:cs="Arial"/>
            <w:i/>
          </w:rPr>
          <w:t xml:space="preserve">članak 1. i 2. </w:t>
        </w:r>
        <w:r w:rsidR="007075BE">
          <w:rPr>
            <w:rStyle w:val="Hiperveza"/>
            <w:rFonts w:ascii="Arial" w:eastAsia="Times New Roman" w:hAnsi="Arial" w:cs="Arial"/>
            <w:i/>
          </w:rPr>
          <w:t>G</w:t>
        </w:r>
        <w:r w:rsidRPr="009B2419">
          <w:rPr>
            <w:rStyle w:val="Hiperveza"/>
            <w:rFonts w:ascii="Arial" w:eastAsia="Times New Roman" w:hAnsi="Arial" w:cs="Arial"/>
            <w:i/>
          </w:rPr>
          <w:t>odišnjeg izvještaja o izvršenju proračuna Općine Konavle za 20</w:t>
        </w:r>
        <w:r w:rsidR="00E343BD" w:rsidRPr="009B2419">
          <w:rPr>
            <w:rStyle w:val="Hiperveza"/>
            <w:rFonts w:ascii="Arial" w:eastAsia="Times New Roman" w:hAnsi="Arial" w:cs="Arial"/>
            <w:i/>
          </w:rPr>
          <w:t>2</w:t>
        </w:r>
        <w:r w:rsidR="00F24E08">
          <w:rPr>
            <w:rStyle w:val="Hiperveza"/>
            <w:rFonts w:ascii="Arial" w:eastAsia="Times New Roman" w:hAnsi="Arial" w:cs="Arial"/>
            <w:i/>
          </w:rPr>
          <w:t>5</w:t>
        </w:r>
        <w:r w:rsidRPr="009B2419">
          <w:rPr>
            <w:rStyle w:val="Hiperveza"/>
            <w:rFonts w:ascii="Arial" w:eastAsia="Times New Roman" w:hAnsi="Arial" w:cs="Arial"/>
            <w:i/>
          </w:rPr>
          <w:t>.</w:t>
        </w:r>
      </w:hyperlink>
      <w:r w:rsidRPr="009B2419">
        <w:rPr>
          <w:rFonts w:ascii="Arial" w:eastAsia="Times New Roman" w:hAnsi="Arial" w:cs="Arial"/>
          <w:i/>
        </w:rPr>
        <w:t>)</w:t>
      </w:r>
      <w:r w:rsidRPr="009B2419">
        <w:rPr>
          <w:rFonts w:ascii="Arial" w:eastAsia="Times New Roman" w:hAnsi="Arial" w:cs="Arial"/>
        </w:rPr>
        <w:t xml:space="preserve"> </w:t>
      </w:r>
      <w:r w:rsidRPr="003A2F86">
        <w:rPr>
          <w:rFonts w:ascii="Arial" w:eastAsia="Times New Roman" w:hAnsi="Arial" w:cs="Arial"/>
        </w:rPr>
        <w:t xml:space="preserve">i </w:t>
      </w:r>
    </w:p>
    <w:p w14:paraId="3C2F74D4" w14:textId="7F19795A" w:rsidR="00891119" w:rsidRPr="004F12E0" w:rsidRDefault="00891119" w:rsidP="009140A7">
      <w:pPr>
        <w:autoSpaceDE w:val="0"/>
        <w:autoSpaceDN w:val="0"/>
        <w:adjustRightInd w:val="0"/>
        <w:spacing w:after="0" w:line="240" w:lineRule="auto"/>
        <w:ind w:firstLine="567"/>
        <w:jc w:val="both"/>
        <w:rPr>
          <w:rFonts w:ascii="Arial" w:eastAsia="Times New Roman" w:hAnsi="Arial" w:cs="Arial"/>
        </w:rPr>
      </w:pPr>
      <w:r w:rsidRPr="003A2F86">
        <w:rPr>
          <w:rFonts w:ascii="Arial" w:eastAsia="Times New Roman" w:hAnsi="Arial" w:cs="Arial"/>
        </w:rPr>
        <w:t xml:space="preserve">2. </w:t>
      </w:r>
      <w:r w:rsidRPr="003A2F86">
        <w:rPr>
          <w:rFonts w:ascii="Arial" w:eastAsia="Times New Roman" w:hAnsi="Arial" w:cs="Arial"/>
          <w:b/>
        </w:rPr>
        <w:t>posebni dio proračuna</w:t>
      </w:r>
      <w:r w:rsidRPr="003A2F86">
        <w:rPr>
          <w:rFonts w:ascii="Arial" w:eastAsia="Times New Roman" w:hAnsi="Arial" w:cs="Arial"/>
        </w:rPr>
        <w:t xml:space="preserve"> (koji sadrži izvršenje po organizacijskoj i izvršenje po programskoj klasifikaciji na razini </w:t>
      </w:r>
      <w:r w:rsidR="007F0687" w:rsidRPr="003A2F86">
        <w:rPr>
          <w:rFonts w:ascii="Arial" w:eastAsia="Times New Roman" w:hAnsi="Arial" w:cs="Arial"/>
        </w:rPr>
        <w:t xml:space="preserve">skupine i </w:t>
      </w:r>
      <w:r w:rsidRPr="003A2F86">
        <w:rPr>
          <w:rFonts w:ascii="Arial" w:eastAsia="Times New Roman" w:hAnsi="Arial" w:cs="Arial"/>
        </w:rPr>
        <w:t>odjeljka ekonomske klasifikacije) -</w:t>
      </w:r>
      <w:r w:rsidRPr="003A2F86">
        <w:rPr>
          <w:rFonts w:ascii="Arial" w:eastAsia="Times New Roman" w:hAnsi="Arial" w:cs="Arial"/>
          <w:i/>
        </w:rPr>
        <w:t xml:space="preserve"> </w:t>
      </w:r>
      <w:r w:rsidRPr="009B2419">
        <w:rPr>
          <w:rFonts w:ascii="Arial" w:eastAsia="Times New Roman" w:hAnsi="Arial" w:cs="Arial"/>
          <w:i/>
        </w:rPr>
        <w:t>(</w:t>
      </w:r>
      <w:hyperlink w:anchor="_11._PRIVITAK:_OPĆI" w:history="1">
        <w:r w:rsidRPr="009B2419">
          <w:rPr>
            <w:rStyle w:val="Hiperveza"/>
            <w:rFonts w:ascii="Arial" w:eastAsia="Times New Roman" w:hAnsi="Arial" w:cs="Arial"/>
            <w:i/>
          </w:rPr>
          <w:t xml:space="preserve">članak 3. </w:t>
        </w:r>
        <w:r w:rsidR="007075BE">
          <w:rPr>
            <w:rStyle w:val="Hiperveza"/>
            <w:rFonts w:ascii="Arial" w:eastAsia="Times New Roman" w:hAnsi="Arial" w:cs="Arial"/>
            <w:i/>
          </w:rPr>
          <w:t>G</w:t>
        </w:r>
        <w:r w:rsidRPr="009B2419">
          <w:rPr>
            <w:rStyle w:val="Hiperveza"/>
            <w:rFonts w:ascii="Arial" w:eastAsia="Times New Roman" w:hAnsi="Arial" w:cs="Arial"/>
            <w:i/>
          </w:rPr>
          <w:t>odišnjeg izvještaja o izvršenju proračuna Općine Konavle za 20</w:t>
        </w:r>
        <w:r w:rsidR="00E343BD" w:rsidRPr="009B2419">
          <w:rPr>
            <w:rStyle w:val="Hiperveza"/>
            <w:rFonts w:ascii="Arial" w:eastAsia="Times New Roman" w:hAnsi="Arial" w:cs="Arial"/>
            <w:i/>
          </w:rPr>
          <w:t>2</w:t>
        </w:r>
        <w:r w:rsidR="00C203D9">
          <w:rPr>
            <w:rStyle w:val="Hiperveza"/>
            <w:rFonts w:ascii="Arial" w:eastAsia="Times New Roman" w:hAnsi="Arial" w:cs="Arial"/>
            <w:i/>
          </w:rPr>
          <w:t>5</w:t>
        </w:r>
        <w:r w:rsidRPr="009B2419">
          <w:rPr>
            <w:rStyle w:val="Hiperveza"/>
            <w:rFonts w:ascii="Arial" w:eastAsia="Times New Roman" w:hAnsi="Arial" w:cs="Arial"/>
            <w:i/>
          </w:rPr>
          <w:t>.</w:t>
        </w:r>
      </w:hyperlink>
      <w:r w:rsidRPr="009B2419">
        <w:rPr>
          <w:rFonts w:ascii="Arial" w:eastAsia="Times New Roman" w:hAnsi="Arial" w:cs="Arial"/>
          <w:i/>
        </w:rPr>
        <w:t>)</w:t>
      </w:r>
      <w:r w:rsidR="00931F56" w:rsidRPr="009B2419">
        <w:rPr>
          <w:rFonts w:ascii="Arial" w:eastAsia="Times New Roman" w:hAnsi="Arial" w:cs="Arial"/>
          <w:i/>
        </w:rPr>
        <w:t>.</w:t>
      </w:r>
    </w:p>
    <w:p w14:paraId="03A1C34F" w14:textId="77777777" w:rsidR="00891119" w:rsidRPr="003A2F86" w:rsidRDefault="00891119" w:rsidP="00891119">
      <w:pPr>
        <w:autoSpaceDE w:val="0"/>
        <w:autoSpaceDN w:val="0"/>
        <w:adjustRightInd w:val="0"/>
        <w:spacing w:after="0" w:line="240" w:lineRule="auto"/>
        <w:jc w:val="both"/>
        <w:rPr>
          <w:rFonts w:ascii="Arial" w:eastAsia="Times New Roman" w:hAnsi="Arial" w:cs="Arial"/>
        </w:rPr>
      </w:pPr>
    </w:p>
    <w:p w14:paraId="6FCE5C74" w14:textId="2EB313F7" w:rsidR="00E038C7" w:rsidRPr="003A2F86" w:rsidRDefault="00891119" w:rsidP="00891119">
      <w:pPr>
        <w:autoSpaceDE w:val="0"/>
        <w:autoSpaceDN w:val="0"/>
        <w:adjustRightInd w:val="0"/>
        <w:spacing w:after="0" w:line="240" w:lineRule="auto"/>
        <w:jc w:val="both"/>
        <w:rPr>
          <w:rFonts w:ascii="Arial" w:eastAsia="Times New Roman" w:hAnsi="Arial" w:cs="Arial"/>
          <w:bCs/>
        </w:rPr>
      </w:pPr>
      <w:r w:rsidRPr="003A2F86">
        <w:rPr>
          <w:rFonts w:ascii="Arial" w:eastAsia="Times New Roman" w:hAnsi="Arial" w:cs="Arial"/>
          <w:b/>
          <w:bCs/>
          <w:i/>
        </w:rPr>
        <w:lastRenderedPageBreak/>
        <w:t>Izvorni plan</w:t>
      </w:r>
      <w:r w:rsidRPr="003A2F86">
        <w:rPr>
          <w:rFonts w:ascii="Arial" w:eastAsia="Times New Roman" w:hAnsi="Arial" w:cs="Arial"/>
          <w:bCs/>
        </w:rPr>
        <w:t xml:space="preserve"> je </w:t>
      </w:r>
      <w:r w:rsidR="00A00F28" w:rsidRPr="003A2F86">
        <w:rPr>
          <w:rFonts w:ascii="Arial" w:eastAsia="Times New Roman" w:hAnsi="Arial" w:cs="Arial"/>
          <w:bCs/>
        </w:rPr>
        <w:t>prvi proračun kojeg je usvojilo Općinsko vijeće</w:t>
      </w:r>
      <w:r w:rsidRPr="003A2F86">
        <w:rPr>
          <w:rFonts w:ascii="Arial" w:eastAsia="Times New Roman" w:hAnsi="Arial" w:cs="Arial"/>
          <w:bCs/>
        </w:rPr>
        <w:t xml:space="preserve">. </w:t>
      </w:r>
    </w:p>
    <w:p w14:paraId="6C5EECDC" w14:textId="1CAFCDAD" w:rsidR="00A00F28" w:rsidRPr="003A2F86" w:rsidRDefault="00A00F28" w:rsidP="00891119">
      <w:pPr>
        <w:autoSpaceDE w:val="0"/>
        <w:autoSpaceDN w:val="0"/>
        <w:adjustRightInd w:val="0"/>
        <w:spacing w:after="0" w:line="240" w:lineRule="auto"/>
        <w:jc w:val="both"/>
        <w:rPr>
          <w:rFonts w:ascii="Arial" w:eastAsia="Times New Roman" w:hAnsi="Arial" w:cs="Arial"/>
          <w:bCs/>
        </w:rPr>
      </w:pPr>
      <w:r w:rsidRPr="003A2F86">
        <w:rPr>
          <w:rFonts w:ascii="Arial" w:eastAsia="Times New Roman" w:hAnsi="Arial" w:cs="Arial"/>
          <w:b/>
          <w:i/>
          <w:iCs/>
        </w:rPr>
        <w:t xml:space="preserve">Rebalans </w:t>
      </w:r>
      <w:r w:rsidRPr="003A2F86">
        <w:rPr>
          <w:rFonts w:ascii="Arial" w:eastAsia="Times New Roman" w:hAnsi="Arial" w:cs="Arial"/>
          <w:bCs/>
        </w:rPr>
        <w:t>su zadnje izmjene i dopune proračuna koje je usvojilo Općinsko vijeće u izvještajnom razdoblju,</w:t>
      </w:r>
    </w:p>
    <w:p w14:paraId="5ABDB52A" w14:textId="0E847970" w:rsidR="00891119" w:rsidRPr="003A2F86" w:rsidRDefault="003F4B57" w:rsidP="00891119">
      <w:pPr>
        <w:autoSpaceDE w:val="0"/>
        <w:autoSpaceDN w:val="0"/>
        <w:adjustRightInd w:val="0"/>
        <w:spacing w:after="0" w:line="240" w:lineRule="auto"/>
        <w:jc w:val="both"/>
        <w:rPr>
          <w:rFonts w:ascii="Arial" w:eastAsia="Times New Roman" w:hAnsi="Arial" w:cs="Arial"/>
          <w:bCs/>
        </w:rPr>
      </w:pPr>
      <w:r w:rsidRPr="003A2F86">
        <w:rPr>
          <w:rFonts w:ascii="Arial" w:eastAsia="Times New Roman" w:hAnsi="Arial" w:cs="Arial"/>
          <w:b/>
          <w:bCs/>
          <w:i/>
        </w:rPr>
        <w:t>Tekući</w:t>
      </w:r>
      <w:r w:rsidR="00C31484" w:rsidRPr="003A2F86">
        <w:rPr>
          <w:rFonts w:ascii="Arial" w:eastAsia="Times New Roman" w:hAnsi="Arial" w:cs="Arial"/>
          <w:b/>
          <w:bCs/>
          <w:i/>
        </w:rPr>
        <w:t xml:space="preserve"> plan</w:t>
      </w:r>
      <w:r w:rsidR="00891119" w:rsidRPr="003A2F86">
        <w:rPr>
          <w:rFonts w:ascii="Arial" w:eastAsia="Times New Roman" w:hAnsi="Arial" w:cs="Arial"/>
          <w:bCs/>
        </w:rPr>
        <w:t xml:space="preserve"> je Prora</w:t>
      </w:r>
      <w:r w:rsidR="00891119" w:rsidRPr="003A2F86">
        <w:rPr>
          <w:rFonts w:ascii="Arial" w:eastAsia="Arial,Bold" w:hAnsi="Arial" w:cs="Arial"/>
          <w:bCs/>
        </w:rPr>
        <w:t>č</w:t>
      </w:r>
      <w:r w:rsidR="00891119" w:rsidRPr="003A2F86">
        <w:rPr>
          <w:rFonts w:ascii="Arial" w:eastAsia="Times New Roman" w:hAnsi="Arial" w:cs="Arial"/>
          <w:bCs/>
        </w:rPr>
        <w:t>un odnosno posljednje izmjene i dopune Prora</w:t>
      </w:r>
      <w:r w:rsidR="00891119" w:rsidRPr="003A2F86">
        <w:rPr>
          <w:rFonts w:ascii="Arial" w:eastAsia="Arial,Bold" w:hAnsi="Arial" w:cs="Arial"/>
          <w:bCs/>
        </w:rPr>
        <w:t>č</w:t>
      </w:r>
      <w:r w:rsidR="00891119" w:rsidRPr="003A2F86">
        <w:rPr>
          <w:rFonts w:ascii="Arial" w:eastAsia="Times New Roman" w:hAnsi="Arial" w:cs="Arial"/>
          <w:bCs/>
        </w:rPr>
        <w:t>una s uklju</w:t>
      </w:r>
      <w:r w:rsidR="00891119" w:rsidRPr="003A2F86">
        <w:rPr>
          <w:rFonts w:ascii="Arial" w:eastAsia="Arial,Bold" w:hAnsi="Arial" w:cs="Arial"/>
          <w:bCs/>
        </w:rPr>
        <w:t>č</w:t>
      </w:r>
      <w:r w:rsidR="00891119" w:rsidRPr="003A2F86">
        <w:rPr>
          <w:rFonts w:ascii="Arial" w:eastAsia="Times New Roman" w:hAnsi="Arial" w:cs="Arial"/>
          <w:bCs/>
        </w:rPr>
        <w:t>enom na</w:t>
      </w:r>
      <w:r w:rsidR="00A8623C" w:rsidRPr="003A2F86">
        <w:rPr>
          <w:rFonts w:ascii="Arial" w:eastAsia="Times New Roman" w:hAnsi="Arial" w:cs="Arial"/>
          <w:bCs/>
        </w:rPr>
        <w:t>kn</w:t>
      </w:r>
      <w:r w:rsidR="00891119" w:rsidRPr="003A2F86">
        <w:rPr>
          <w:rFonts w:ascii="Arial" w:eastAsia="Times New Roman" w:hAnsi="Arial" w:cs="Arial"/>
          <w:bCs/>
        </w:rPr>
        <w:t>adno izvršenom preraspodjelom</w:t>
      </w:r>
      <w:r w:rsidR="00A00F28" w:rsidRPr="003A2F86">
        <w:rPr>
          <w:rFonts w:ascii="Arial" w:eastAsia="Times New Roman" w:hAnsi="Arial" w:cs="Arial"/>
          <w:bCs/>
        </w:rPr>
        <w:t xml:space="preserve"> u izvještajnom razdoblju.</w:t>
      </w:r>
      <w:r w:rsidR="00E57268" w:rsidRPr="003A2F86">
        <w:rPr>
          <w:rFonts w:ascii="Arial" w:eastAsia="Times New Roman" w:hAnsi="Arial" w:cs="Arial"/>
          <w:bCs/>
        </w:rPr>
        <w:t xml:space="preserve"> </w:t>
      </w:r>
      <w:r w:rsidR="00FE47C2" w:rsidRPr="003A2F86">
        <w:rPr>
          <w:rFonts w:ascii="Arial" w:eastAsia="Times New Roman" w:hAnsi="Arial" w:cs="Arial"/>
          <w:bCs/>
        </w:rPr>
        <w:t>O</w:t>
      </w:r>
      <w:r w:rsidR="00931F56" w:rsidRPr="003A2F86">
        <w:rPr>
          <w:rFonts w:ascii="Arial" w:eastAsia="Times New Roman" w:hAnsi="Arial" w:cs="Arial"/>
          <w:bCs/>
        </w:rPr>
        <w:t>pćinski na</w:t>
      </w:r>
      <w:r w:rsidR="00E57268" w:rsidRPr="003A2F86">
        <w:rPr>
          <w:rFonts w:ascii="Arial" w:eastAsia="Times New Roman" w:hAnsi="Arial" w:cs="Arial"/>
          <w:bCs/>
        </w:rPr>
        <w:t>č</w:t>
      </w:r>
      <w:r w:rsidR="00931F56" w:rsidRPr="003A2F86">
        <w:rPr>
          <w:rFonts w:ascii="Arial" w:eastAsia="Times New Roman" w:hAnsi="Arial" w:cs="Arial"/>
          <w:bCs/>
        </w:rPr>
        <w:t>elnik</w:t>
      </w:r>
      <w:r w:rsidR="00A00F28" w:rsidRPr="003A2F86">
        <w:rPr>
          <w:rFonts w:ascii="Arial" w:eastAsia="Times New Roman" w:hAnsi="Arial" w:cs="Arial"/>
          <w:bCs/>
        </w:rPr>
        <w:t xml:space="preserve"> </w:t>
      </w:r>
      <w:r w:rsidR="00C203D9">
        <w:rPr>
          <w:rFonts w:ascii="Arial" w:eastAsia="Times New Roman" w:hAnsi="Arial" w:cs="Arial"/>
          <w:bCs/>
        </w:rPr>
        <w:t>je u lipnju 2025. godine</w:t>
      </w:r>
      <w:r w:rsidR="007075BE">
        <w:rPr>
          <w:rFonts w:ascii="Arial" w:eastAsia="Times New Roman" w:hAnsi="Arial" w:cs="Arial"/>
          <w:bCs/>
        </w:rPr>
        <w:t>, te u prosincu 2025. godine</w:t>
      </w:r>
      <w:r w:rsidR="00C203D9">
        <w:rPr>
          <w:rFonts w:ascii="Arial" w:eastAsia="Times New Roman" w:hAnsi="Arial" w:cs="Arial"/>
          <w:bCs/>
        </w:rPr>
        <w:t xml:space="preserve"> donio </w:t>
      </w:r>
      <w:r w:rsidR="008C5760" w:rsidRPr="003A2F86">
        <w:rPr>
          <w:rFonts w:ascii="Arial" w:eastAsia="Times New Roman" w:hAnsi="Arial" w:cs="Arial"/>
          <w:bCs/>
        </w:rPr>
        <w:t>odluk</w:t>
      </w:r>
      <w:r w:rsidR="007075BE">
        <w:rPr>
          <w:rFonts w:ascii="Arial" w:eastAsia="Times New Roman" w:hAnsi="Arial" w:cs="Arial"/>
          <w:bCs/>
        </w:rPr>
        <w:t>e</w:t>
      </w:r>
      <w:r w:rsidR="00931F56" w:rsidRPr="003A2F86">
        <w:rPr>
          <w:rFonts w:ascii="Arial" w:eastAsia="Times New Roman" w:hAnsi="Arial" w:cs="Arial"/>
          <w:bCs/>
        </w:rPr>
        <w:t xml:space="preserve"> o preraspodjeli prora</w:t>
      </w:r>
      <w:r w:rsidR="00E57268" w:rsidRPr="003A2F86">
        <w:rPr>
          <w:rFonts w:ascii="Arial" w:eastAsia="Times New Roman" w:hAnsi="Arial" w:cs="Arial"/>
          <w:bCs/>
        </w:rPr>
        <w:t>č</w:t>
      </w:r>
      <w:r w:rsidR="00931F56" w:rsidRPr="003A2F86">
        <w:rPr>
          <w:rFonts w:ascii="Arial" w:eastAsia="Times New Roman" w:hAnsi="Arial" w:cs="Arial"/>
          <w:bCs/>
        </w:rPr>
        <w:t>unskih sredstava.</w:t>
      </w:r>
    </w:p>
    <w:p w14:paraId="3ADC032B" w14:textId="77777777" w:rsidR="00E343BD" w:rsidRPr="003A2F86" w:rsidRDefault="00E343BD" w:rsidP="00891119">
      <w:pPr>
        <w:autoSpaceDE w:val="0"/>
        <w:autoSpaceDN w:val="0"/>
        <w:adjustRightInd w:val="0"/>
        <w:spacing w:after="0" w:line="240" w:lineRule="auto"/>
        <w:jc w:val="both"/>
        <w:rPr>
          <w:rFonts w:ascii="Arial" w:eastAsia="Times New Roman" w:hAnsi="Arial" w:cs="Arial"/>
          <w:bCs/>
        </w:rPr>
      </w:pPr>
    </w:p>
    <w:p w14:paraId="25726C94" w14:textId="1158378C" w:rsidR="00E53CFD" w:rsidRPr="003A2F86" w:rsidRDefault="00891119" w:rsidP="00891119">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i/>
        </w:rPr>
        <w:t>Tablični prikaz</w:t>
      </w:r>
      <w:r w:rsidRPr="003A2F86">
        <w:rPr>
          <w:rFonts w:ascii="Arial" w:eastAsia="Times New Roman" w:hAnsi="Arial" w:cs="Arial"/>
        </w:rPr>
        <w:t xml:space="preserve"> </w:t>
      </w:r>
      <w:r w:rsidR="007075BE">
        <w:rPr>
          <w:rFonts w:ascii="Arial" w:eastAsia="Times New Roman" w:hAnsi="Arial" w:cs="Arial"/>
        </w:rPr>
        <w:t>G</w:t>
      </w:r>
      <w:r w:rsidR="00A00F28" w:rsidRPr="003A2F86">
        <w:rPr>
          <w:rFonts w:ascii="Arial" w:eastAsia="Times New Roman" w:hAnsi="Arial" w:cs="Arial"/>
        </w:rPr>
        <w:t>o</w:t>
      </w:r>
      <w:r w:rsidRPr="003A2F86">
        <w:rPr>
          <w:rFonts w:ascii="Arial" w:eastAsia="Times New Roman" w:hAnsi="Arial" w:cs="Arial"/>
        </w:rPr>
        <w:t>dišnjeg izvještaja o izvršenju Prora</w:t>
      </w:r>
      <w:r w:rsidRPr="003A2F86">
        <w:rPr>
          <w:rFonts w:ascii="Arial" w:eastAsia="TimesNewRoman" w:hAnsi="Arial" w:cs="Arial"/>
        </w:rPr>
        <w:t>č</w:t>
      </w:r>
      <w:r w:rsidRPr="003A2F86">
        <w:rPr>
          <w:rFonts w:ascii="Arial" w:eastAsia="Times New Roman" w:hAnsi="Arial" w:cs="Arial"/>
        </w:rPr>
        <w:t>una Općine Konavle za 20</w:t>
      </w:r>
      <w:r w:rsidR="00E343BD" w:rsidRPr="003A2F86">
        <w:rPr>
          <w:rFonts w:ascii="Arial" w:eastAsia="Times New Roman" w:hAnsi="Arial" w:cs="Arial"/>
        </w:rPr>
        <w:t>2</w:t>
      </w:r>
      <w:r w:rsidR="00C203D9">
        <w:rPr>
          <w:rFonts w:ascii="Arial" w:eastAsia="Times New Roman" w:hAnsi="Arial" w:cs="Arial"/>
        </w:rPr>
        <w:t>5</w:t>
      </w:r>
      <w:r w:rsidRPr="003A2F86">
        <w:rPr>
          <w:rFonts w:ascii="Arial" w:eastAsia="Times New Roman" w:hAnsi="Arial" w:cs="Arial"/>
        </w:rPr>
        <w:t xml:space="preserve">. </w:t>
      </w:r>
      <w:r w:rsidR="006B0C1F" w:rsidRPr="003A2F86">
        <w:rPr>
          <w:rFonts w:ascii="Arial" w:eastAsia="Times New Roman" w:hAnsi="Arial" w:cs="Arial"/>
        </w:rPr>
        <w:t xml:space="preserve">objavljuje se </w:t>
      </w:r>
      <w:r w:rsidRPr="003A2F86">
        <w:rPr>
          <w:rFonts w:ascii="Arial" w:eastAsia="Times New Roman" w:hAnsi="Arial" w:cs="Arial"/>
        </w:rPr>
        <w:t>u „Službenom glasniku Općine Konavle“ (opći i posebni dio proračuna: članak 1. do 4.)</w:t>
      </w:r>
      <w:r w:rsidR="005B3283" w:rsidRPr="003A2F86">
        <w:rPr>
          <w:rFonts w:ascii="Arial" w:eastAsia="Times New Roman" w:hAnsi="Arial" w:cs="Arial"/>
        </w:rPr>
        <w:t xml:space="preserve">, </w:t>
      </w:r>
      <w:r w:rsidRPr="003A2F86">
        <w:rPr>
          <w:rFonts w:ascii="Arial" w:eastAsia="Times New Roman" w:hAnsi="Arial" w:cs="Arial"/>
        </w:rPr>
        <w:t xml:space="preserve">a cjelokupan </w:t>
      </w:r>
      <w:r w:rsidR="007075BE">
        <w:rPr>
          <w:rFonts w:ascii="Arial" w:eastAsia="Times New Roman" w:hAnsi="Arial" w:cs="Arial"/>
        </w:rPr>
        <w:t>G</w:t>
      </w:r>
      <w:r w:rsidR="006B0C1F" w:rsidRPr="003A2F86">
        <w:rPr>
          <w:rFonts w:ascii="Arial" w:eastAsia="Times New Roman" w:hAnsi="Arial" w:cs="Arial"/>
        </w:rPr>
        <w:t>o</w:t>
      </w:r>
      <w:r w:rsidR="00A00F28" w:rsidRPr="003A2F86">
        <w:rPr>
          <w:rFonts w:ascii="Arial" w:eastAsia="Times New Roman" w:hAnsi="Arial" w:cs="Arial"/>
        </w:rPr>
        <w:t>d</w:t>
      </w:r>
      <w:r w:rsidRPr="003A2F86">
        <w:rPr>
          <w:rFonts w:ascii="Arial" w:eastAsia="Times New Roman" w:hAnsi="Arial" w:cs="Arial"/>
        </w:rPr>
        <w:t>išnji izvještaj o izvršenju Prora</w:t>
      </w:r>
      <w:r w:rsidRPr="003A2F86">
        <w:rPr>
          <w:rFonts w:ascii="Arial" w:eastAsia="TimesNewRoman" w:hAnsi="Arial" w:cs="Arial"/>
        </w:rPr>
        <w:t>č</w:t>
      </w:r>
      <w:r w:rsidRPr="003A2F86">
        <w:rPr>
          <w:rFonts w:ascii="Arial" w:eastAsia="Times New Roman" w:hAnsi="Arial" w:cs="Arial"/>
        </w:rPr>
        <w:t xml:space="preserve">una Općine Konavle sa svim prilozima se objavljuje na </w:t>
      </w:r>
      <w:r w:rsidR="00931F56" w:rsidRPr="003A2F86">
        <w:rPr>
          <w:rFonts w:ascii="Arial" w:eastAsia="Times New Roman" w:hAnsi="Arial" w:cs="Arial"/>
        </w:rPr>
        <w:t>mrežnoj</w:t>
      </w:r>
      <w:r w:rsidRPr="003A2F86">
        <w:rPr>
          <w:rFonts w:ascii="Arial" w:eastAsia="Times New Roman" w:hAnsi="Arial" w:cs="Arial"/>
        </w:rPr>
        <w:t xml:space="preserve"> stranici Općine Konavle </w:t>
      </w:r>
      <w:r w:rsidR="005B3283" w:rsidRPr="003A2F86">
        <w:rPr>
          <w:rFonts w:ascii="Arial" w:eastAsia="Times New Roman" w:hAnsi="Arial" w:cs="Arial"/>
        </w:rPr>
        <w:t>sukladno odredbama</w:t>
      </w:r>
      <w:r w:rsidR="007267EF" w:rsidRPr="003A2F86">
        <w:rPr>
          <w:rFonts w:ascii="Arial" w:eastAsia="Times New Roman" w:hAnsi="Arial" w:cs="Arial"/>
        </w:rPr>
        <w:t xml:space="preserve"> člank</w:t>
      </w:r>
      <w:r w:rsidR="005B3283" w:rsidRPr="003A2F86">
        <w:rPr>
          <w:rFonts w:ascii="Arial" w:eastAsia="Times New Roman" w:hAnsi="Arial" w:cs="Arial"/>
        </w:rPr>
        <w:t>a</w:t>
      </w:r>
      <w:r w:rsidR="007267EF" w:rsidRPr="003A2F86">
        <w:rPr>
          <w:rFonts w:ascii="Arial" w:eastAsia="Times New Roman" w:hAnsi="Arial" w:cs="Arial"/>
        </w:rPr>
        <w:t xml:space="preserve"> 15. </w:t>
      </w:r>
      <w:r w:rsidR="00AE60B2" w:rsidRPr="003A2F86">
        <w:rPr>
          <w:rFonts w:ascii="Arial" w:eastAsia="Times New Roman" w:hAnsi="Arial" w:cs="Arial"/>
        </w:rPr>
        <w:t>i člank</w:t>
      </w:r>
      <w:r w:rsidR="005B3283" w:rsidRPr="003A2F86">
        <w:rPr>
          <w:rFonts w:ascii="Arial" w:eastAsia="Times New Roman" w:hAnsi="Arial" w:cs="Arial"/>
        </w:rPr>
        <w:t>a</w:t>
      </w:r>
      <w:r w:rsidR="00AE60B2" w:rsidRPr="003A2F86">
        <w:rPr>
          <w:rFonts w:ascii="Arial" w:eastAsia="Times New Roman" w:hAnsi="Arial" w:cs="Arial"/>
        </w:rPr>
        <w:t xml:space="preserve"> 144. </w:t>
      </w:r>
      <w:r w:rsidR="007267EF" w:rsidRPr="003A2F86">
        <w:rPr>
          <w:rFonts w:ascii="Arial" w:eastAsia="Times New Roman" w:hAnsi="Arial" w:cs="Arial"/>
        </w:rPr>
        <w:t>Zakona o proračunu</w:t>
      </w:r>
      <w:r w:rsidR="0085229F" w:rsidRPr="003A2F86">
        <w:rPr>
          <w:rFonts w:ascii="Arial" w:eastAsia="Times New Roman" w:hAnsi="Arial" w:cs="Arial"/>
        </w:rPr>
        <w:t xml:space="preserve"> (NN 144/21)</w:t>
      </w:r>
      <w:r w:rsidRPr="003A2F86">
        <w:rPr>
          <w:rFonts w:ascii="Arial" w:eastAsia="Times New Roman" w:hAnsi="Arial" w:cs="Arial"/>
        </w:rPr>
        <w:t>.</w:t>
      </w:r>
    </w:p>
    <w:p w14:paraId="22CD1B2B" w14:textId="77777777" w:rsidR="00931F56" w:rsidRPr="003A2F86" w:rsidRDefault="00931F56" w:rsidP="00E53CFD">
      <w:pPr>
        <w:autoSpaceDE w:val="0"/>
        <w:autoSpaceDN w:val="0"/>
        <w:adjustRightInd w:val="0"/>
        <w:spacing w:after="0" w:line="240" w:lineRule="auto"/>
        <w:jc w:val="both"/>
        <w:rPr>
          <w:rFonts w:ascii="Arial" w:eastAsia="Times New Roman" w:hAnsi="Arial" w:cs="Arial"/>
        </w:rPr>
      </w:pPr>
    </w:p>
    <w:p w14:paraId="1796AF1A" w14:textId="3C5EAD0E" w:rsidR="00F952A1" w:rsidRPr="003A2F86" w:rsidRDefault="00891119" w:rsidP="00E53CFD">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 xml:space="preserve">Općinsko vijeće Općine Konavle </w:t>
      </w:r>
      <w:r w:rsidR="007267EF" w:rsidRPr="003A2F86">
        <w:rPr>
          <w:rFonts w:ascii="Arial" w:eastAsia="Times New Roman" w:hAnsi="Arial" w:cs="Arial"/>
        </w:rPr>
        <w:t>donosi</w:t>
      </w:r>
      <w:r w:rsidR="00E57268" w:rsidRPr="003A2F86">
        <w:rPr>
          <w:rFonts w:ascii="Arial" w:eastAsia="Times New Roman" w:hAnsi="Arial" w:cs="Arial"/>
        </w:rPr>
        <w:t xml:space="preserve"> </w:t>
      </w:r>
      <w:r w:rsidR="007075BE">
        <w:rPr>
          <w:rFonts w:ascii="Arial" w:eastAsia="Times New Roman" w:hAnsi="Arial" w:cs="Arial"/>
        </w:rPr>
        <w:t>G</w:t>
      </w:r>
      <w:r w:rsidR="001A2CE0" w:rsidRPr="003A2F86">
        <w:rPr>
          <w:rFonts w:ascii="Arial" w:eastAsia="Times New Roman" w:hAnsi="Arial" w:cs="Arial"/>
        </w:rPr>
        <w:t>o</w:t>
      </w:r>
      <w:r w:rsidR="00A00F28" w:rsidRPr="003A2F86">
        <w:rPr>
          <w:rFonts w:ascii="Arial" w:eastAsia="Times New Roman" w:hAnsi="Arial" w:cs="Arial"/>
        </w:rPr>
        <w:t>di</w:t>
      </w:r>
      <w:r w:rsidR="00E57268" w:rsidRPr="003A2F86">
        <w:rPr>
          <w:rFonts w:ascii="Arial" w:eastAsia="Times New Roman" w:hAnsi="Arial" w:cs="Arial"/>
        </w:rPr>
        <w:t>šnji</w:t>
      </w:r>
      <w:r w:rsidR="00EF7C70" w:rsidRPr="003A2F86">
        <w:rPr>
          <w:rFonts w:ascii="Arial" w:eastAsia="Times New Roman" w:hAnsi="Arial" w:cs="Arial"/>
        </w:rPr>
        <w:t xml:space="preserve"> </w:t>
      </w:r>
      <w:r w:rsidRPr="003A2F86">
        <w:rPr>
          <w:rFonts w:ascii="Arial" w:eastAsia="Times New Roman" w:hAnsi="Arial" w:cs="Arial"/>
        </w:rPr>
        <w:t>izvještaj o izvršenju proračuna Općine Konavle za 20</w:t>
      </w:r>
      <w:r w:rsidR="00E343BD" w:rsidRPr="003A2F86">
        <w:rPr>
          <w:rFonts w:ascii="Arial" w:eastAsia="Times New Roman" w:hAnsi="Arial" w:cs="Arial"/>
        </w:rPr>
        <w:t>2</w:t>
      </w:r>
      <w:r w:rsidR="00C203D9">
        <w:rPr>
          <w:rFonts w:ascii="Arial" w:eastAsia="Times New Roman" w:hAnsi="Arial" w:cs="Arial"/>
        </w:rPr>
        <w:t>5</w:t>
      </w:r>
      <w:r w:rsidRPr="003A2F86">
        <w:rPr>
          <w:rFonts w:ascii="Arial" w:eastAsia="Times New Roman" w:hAnsi="Arial" w:cs="Arial"/>
        </w:rPr>
        <w:t>.</w:t>
      </w:r>
    </w:p>
    <w:p w14:paraId="1CB6FC35" w14:textId="77777777" w:rsidR="00F952A1" w:rsidRPr="003A2F86" w:rsidRDefault="00F952A1" w:rsidP="00F952A1">
      <w:pPr>
        <w:autoSpaceDE w:val="0"/>
        <w:autoSpaceDN w:val="0"/>
        <w:adjustRightInd w:val="0"/>
        <w:spacing w:after="0" w:line="240" w:lineRule="auto"/>
        <w:jc w:val="both"/>
        <w:rPr>
          <w:rFonts w:ascii="Arial" w:eastAsia="Times New Roman" w:hAnsi="Arial" w:cs="Arial"/>
        </w:rPr>
      </w:pPr>
    </w:p>
    <w:p w14:paraId="124A4B94" w14:textId="77777777" w:rsidR="00F952A1" w:rsidRPr="003A2F86" w:rsidRDefault="00F952A1" w:rsidP="00C74247">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142"/>
        </w:tabs>
        <w:autoSpaceDE w:val="0"/>
        <w:autoSpaceDN w:val="0"/>
        <w:adjustRightInd w:val="0"/>
        <w:spacing w:after="0" w:line="240" w:lineRule="auto"/>
        <w:jc w:val="both"/>
        <w:rPr>
          <w:rFonts w:ascii="Arial" w:eastAsia="Times New Roman" w:hAnsi="Arial" w:cs="Arial"/>
          <w:b/>
          <w:bCs/>
          <w:i/>
          <w:iCs/>
        </w:rPr>
      </w:pPr>
    </w:p>
    <w:p w14:paraId="32F6438A" w14:textId="6BAC5D19" w:rsidR="00F952A1" w:rsidRPr="003A2F86" w:rsidRDefault="006B0C1F" w:rsidP="00C74247">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142"/>
        </w:tabs>
        <w:autoSpaceDE w:val="0"/>
        <w:autoSpaceDN w:val="0"/>
        <w:adjustRightInd w:val="0"/>
        <w:spacing w:after="0" w:line="240" w:lineRule="auto"/>
        <w:jc w:val="both"/>
        <w:rPr>
          <w:rFonts w:ascii="Arial" w:eastAsia="Times New Roman" w:hAnsi="Arial" w:cs="Arial"/>
          <w:b/>
          <w:bCs/>
          <w:i/>
          <w:iCs/>
        </w:rPr>
      </w:pPr>
      <w:r w:rsidRPr="003A2F86">
        <w:rPr>
          <w:rFonts w:ascii="Arial" w:eastAsia="Times New Roman" w:hAnsi="Arial" w:cs="Arial"/>
          <w:b/>
          <w:bCs/>
          <w:i/>
          <w:iCs/>
        </w:rPr>
        <w:t xml:space="preserve">Službena valuta u RH do 31.12.2022. godine bila je Hrvatska kuna (kn), dok je </w:t>
      </w:r>
      <w:r w:rsidR="004E14F1" w:rsidRPr="003A2F86">
        <w:rPr>
          <w:rFonts w:ascii="Arial" w:eastAsia="Times New Roman" w:hAnsi="Arial" w:cs="Arial"/>
          <w:b/>
          <w:bCs/>
          <w:i/>
          <w:iCs/>
        </w:rPr>
        <w:t>od 1.1.2023. godine,</w:t>
      </w:r>
      <w:r w:rsidRPr="003A2F86">
        <w:rPr>
          <w:rFonts w:ascii="Arial" w:eastAsia="Times New Roman" w:hAnsi="Arial" w:cs="Arial"/>
          <w:b/>
          <w:bCs/>
          <w:i/>
          <w:iCs/>
        </w:rPr>
        <w:t xml:space="preserve"> sukladno Zakonu o uvođenju eura (NN 57/22 i 88/22) </w:t>
      </w:r>
      <w:r w:rsidR="004E14F1" w:rsidRPr="003A2F86">
        <w:rPr>
          <w:rFonts w:ascii="Arial" w:eastAsia="Times New Roman" w:hAnsi="Arial" w:cs="Arial"/>
          <w:b/>
          <w:bCs/>
          <w:i/>
          <w:iCs/>
        </w:rPr>
        <w:t>službena valuta EURO</w:t>
      </w:r>
      <w:r w:rsidR="00F952A1" w:rsidRPr="003A2F86">
        <w:rPr>
          <w:rFonts w:ascii="Arial" w:eastAsia="Times New Roman" w:hAnsi="Arial" w:cs="Arial"/>
          <w:b/>
          <w:bCs/>
          <w:i/>
          <w:iCs/>
        </w:rPr>
        <w:t xml:space="preserve">. </w:t>
      </w:r>
    </w:p>
    <w:p w14:paraId="2C89C725" w14:textId="77777777" w:rsidR="00F952A1" w:rsidRPr="003A2F86" w:rsidRDefault="00F952A1" w:rsidP="00C74247">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142"/>
        </w:tabs>
        <w:autoSpaceDE w:val="0"/>
        <w:autoSpaceDN w:val="0"/>
        <w:adjustRightInd w:val="0"/>
        <w:spacing w:after="0" w:line="240" w:lineRule="auto"/>
        <w:jc w:val="both"/>
        <w:rPr>
          <w:rFonts w:ascii="Arial" w:eastAsia="Times New Roman" w:hAnsi="Arial" w:cs="Arial"/>
          <w:b/>
          <w:bCs/>
          <w:i/>
          <w:iCs/>
          <w:color w:val="FF0000"/>
        </w:rPr>
      </w:pPr>
      <w:r w:rsidRPr="003A2F86">
        <w:rPr>
          <w:rFonts w:ascii="Arial" w:eastAsia="Times New Roman" w:hAnsi="Arial" w:cs="Arial"/>
          <w:b/>
          <w:bCs/>
          <w:i/>
          <w:iCs/>
          <w:color w:val="FF0000"/>
        </w:rPr>
        <w:t>Kako bi podaci o prihodima i primicima, rashodima i izdacima prethodnih godina bili usporedivi s podacima nakon 1.1.2023. godine, svi su podaci u tablicama ovog izvješća, koji prikazuju iznose / vrijednosti prethodnih godina, preračunati u EURO primjenom fiksnog tečaja konverzije 1 EUR = 7,53450 kn. Iznimno, kod EU projekata gdje je poznat iznos uplate prihoda u valuti EURO, iskazuje se izvorni iznos prihoda u valuti EURO, a ne iznos dobiven primjenom tečaja konverzije.</w:t>
      </w:r>
    </w:p>
    <w:p w14:paraId="3CA9B141" w14:textId="77777777" w:rsidR="00F952A1" w:rsidRPr="003A2F86" w:rsidRDefault="00F952A1" w:rsidP="00C74247">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142"/>
        </w:tabs>
        <w:autoSpaceDE w:val="0"/>
        <w:autoSpaceDN w:val="0"/>
        <w:adjustRightInd w:val="0"/>
        <w:spacing w:after="0" w:line="240" w:lineRule="auto"/>
        <w:jc w:val="both"/>
        <w:rPr>
          <w:rFonts w:ascii="Arial" w:eastAsia="Times New Roman" w:hAnsi="Arial" w:cs="Arial"/>
          <w:i/>
          <w:iCs/>
        </w:rPr>
      </w:pPr>
      <w:r w:rsidRPr="003A2F86">
        <w:rPr>
          <w:rFonts w:ascii="Arial" w:eastAsia="Times New Roman" w:hAnsi="Arial" w:cs="Arial"/>
          <w:i/>
          <w:iCs/>
        </w:rPr>
        <w:t>Iznosi ranijih godina koji su preračunati iz Hrvatske kune u EURO služe isključivo za potrebe usporedbe s podacima koji se od 1.1.2023. iskazuju u službenoj valuti EURO, dok su u izvješćima o izvršenju proračuna za prethodna proračunska razdoblja vidljivi stvarni iznosi ostvarenja prihoda i primitaka, odnosno izvršenja rashoda i izdataka u tada važećoj službenoj valuti (kn).</w:t>
      </w:r>
    </w:p>
    <w:p w14:paraId="4B5B2745" w14:textId="77777777" w:rsidR="00F952A1" w:rsidRPr="003A2F86" w:rsidRDefault="00F952A1" w:rsidP="00C74247">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142"/>
        </w:tabs>
        <w:autoSpaceDE w:val="0"/>
        <w:autoSpaceDN w:val="0"/>
        <w:adjustRightInd w:val="0"/>
        <w:spacing w:after="0" w:line="240" w:lineRule="auto"/>
        <w:jc w:val="both"/>
        <w:rPr>
          <w:rFonts w:ascii="Arial" w:eastAsia="Times New Roman" w:hAnsi="Arial" w:cs="Arial"/>
          <w:i/>
          <w:iCs/>
        </w:rPr>
      </w:pPr>
    </w:p>
    <w:p w14:paraId="31BC2915" w14:textId="08126839" w:rsidR="00891119" w:rsidRPr="003A2F86" w:rsidRDefault="00891119" w:rsidP="00E53CFD">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br w:type="page"/>
      </w:r>
    </w:p>
    <w:p w14:paraId="5AD5A347" w14:textId="72F429B0" w:rsidR="00891119" w:rsidRPr="003A2F86" w:rsidRDefault="00891119" w:rsidP="00646600">
      <w:pPr>
        <w:pStyle w:val="Naslov2"/>
        <w:jc w:val="center"/>
        <w:rPr>
          <w:rFonts w:ascii="Arial" w:hAnsi="Arial" w:cs="Arial"/>
          <w:sz w:val="22"/>
          <w:lang w:val="hr-HR"/>
        </w:rPr>
      </w:pPr>
      <w:bookmarkStart w:id="5" w:name="_Toc232981377"/>
      <w:r w:rsidRPr="003A2F86">
        <w:rPr>
          <w:rFonts w:ascii="Arial" w:hAnsi="Arial" w:cs="Arial"/>
          <w:sz w:val="22"/>
          <w:lang w:val="hr-HR"/>
        </w:rPr>
        <w:lastRenderedPageBreak/>
        <w:t>1.2.</w:t>
      </w:r>
      <w:r w:rsidRPr="003A2F86">
        <w:rPr>
          <w:rFonts w:ascii="Arial" w:hAnsi="Arial" w:cs="Arial"/>
          <w:sz w:val="22"/>
          <w:lang w:val="hr-HR"/>
        </w:rPr>
        <w:tab/>
        <w:t xml:space="preserve">OSVRT NA FINANCIJSKE IZVJEŠTAJE ZA </w:t>
      </w:r>
      <w:r w:rsidR="004E14F1" w:rsidRPr="003A2F86">
        <w:rPr>
          <w:rFonts w:ascii="Arial" w:hAnsi="Arial" w:cs="Arial"/>
          <w:sz w:val="22"/>
          <w:lang w:val="hr-HR"/>
        </w:rPr>
        <w:t>1-</w:t>
      </w:r>
      <w:r w:rsidR="007075BE">
        <w:rPr>
          <w:rFonts w:ascii="Arial" w:hAnsi="Arial" w:cs="Arial"/>
          <w:sz w:val="22"/>
          <w:lang w:val="hr-HR"/>
        </w:rPr>
        <w:t>12</w:t>
      </w:r>
      <w:r w:rsidR="004E14F1" w:rsidRPr="003A2F86">
        <w:rPr>
          <w:rFonts w:ascii="Arial" w:hAnsi="Arial" w:cs="Arial"/>
          <w:sz w:val="22"/>
          <w:lang w:val="hr-HR"/>
        </w:rPr>
        <w:t>/</w:t>
      </w:r>
      <w:r w:rsidRPr="003A2F86">
        <w:rPr>
          <w:rFonts w:ascii="Arial" w:hAnsi="Arial" w:cs="Arial"/>
          <w:sz w:val="22"/>
          <w:lang w:val="hr-HR"/>
        </w:rPr>
        <w:t>20</w:t>
      </w:r>
      <w:r w:rsidR="009F5F32" w:rsidRPr="003A2F86">
        <w:rPr>
          <w:rFonts w:ascii="Arial" w:hAnsi="Arial" w:cs="Arial"/>
          <w:sz w:val="22"/>
          <w:lang w:val="hr-HR"/>
        </w:rPr>
        <w:t>2</w:t>
      </w:r>
      <w:r w:rsidR="00C203D9">
        <w:rPr>
          <w:rFonts w:ascii="Arial" w:hAnsi="Arial" w:cs="Arial"/>
          <w:sz w:val="22"/>
          <w:lang w:val="hr-HR"/>
        </w:rPr>
        <w:t>5</w:t>
      </w:r>
      <w:r w:rsidRPr="003A2F86">
        <w:rPr>
          <w:rFonts w:ascii="Arial" w:hAnsi="Arial" w:cs="Arial"/>
          <w:sz w:val="22"/>
          <w:lang w:val="hr-HR"/>
        </w:rPr>
        <w:t>.</w:t>
      </w:r>
      <w:r w:rsidR="00990C49" w:rsidRPr="003A2F86">
        <w:rPr>
          <w:rFonts w:ascii="Arial" w:hAnsi="Arial" w:cs="Arial"/>
          <w:sz w:val="22"/>
          <w:lang w:val="hr-HR"/>
        </w:rPr>
        <w:t xml:space="preserve"> I IZVJEŠTAJ O IZVRŠENJU PRORAČUNA ZA </w:t>
      </w:r>
      <w:r w:rsidR="004E14F1" w:rsidRPr="003A2F86">
        <w:rPr>
          <w:rFonts w:ascii="Arial" w:hAnsi="Arial" w:cs="Arial"/>
          <w:sz w:val="22"/>
          <w:lang w:val="hr-HR"/>
        </w:rPr>
        <w:t>1-</w:t>
      </w:r>
      <w:r w:rsidR="007075BE">
        <w:rPr>
          <w:rFonts w:ascii="Arial" w:hAnsi="Arial" w:cs="Arial"/>
          <w:sz w:val="22"/>
          <w:lang w:val="hr-HR"/>
        </w:rPr>
        <w:t>12</w:t>
      </w:r>
      <w:r w:rsidR="004E14F1" w:rsidRPr="003A2F86">
        <w:rPr>
          <w:rFonts w:ascii="Arial" w:hAnsi="Arial" w:cs="Arial"/>
          <w:sz w:val="22"/>
          <w:lang w:val="hr-HR"/>
        </w:rPr>
        <w:t>/</w:t>
      </w:r>
      <w:r w:rsidR="00990C49" w:rsidRPr="003A2F86">
        <w:rPr>
          <w:rFonts w:ascii="Arial" w:hAnsi="Arial" w:cs="Arial"/>
          <w:sz w:val="22"/>
          <w:lang w:val="hr-HR"/>
        </w:rPr>
        <w:t>202</w:t>
      </w:r>
      <w:r w:rsidR="00C203D9">
        <w:rPr>
          <w:rFonts w:ascii="Arial" w:hAnsi="Arial" w:cs="Arial"/>
          <w:sz w:val="22"/>
          <w:lang w:val="hr-HR"/>
        </w:rPr>
        <w:t>5</w:t>
      </w:r>
      <w:r w:rsidR="00990C49" w:rsidRPr="003A2F86">
        <w:rPr>
          <w:rFonts w:ascii="Arial" w:hAnsi="Arial" w:cs="Arial"/>
          <w:sz w:val="22"/>
          <w:lang w:val="hr-HR"/>
        </w:rPr>
        <w:t>.</w:t>
      </w:r>
      <w:bookmarkEnd w:id="5"/>
    </w:p>
    <w:p w14:paraId="50E5BDD9" w14:textId="77777777" w:rsidR="00891119" w:rsidRPr="003A2F86" w:rsidRDefault="00891119" w:rsidP="00891119">
      <w:pPr>
        <w:autoSpaceDE w:val="0"/>
        <w:autoSpaceDN w:val="0"/>
        <w:adjustRightInd w:val="0"/>
        <w:spacing w:after="0" w:line="240" w:lineRule="auto"/>
        <w:jc w:val="both"/>
        <w:rPr>
          <w:rFonts w:ascii="Arial" w:eastAsia="Times New Roman" w:hAnsi="Arial" w:cs="Arial"/>
        </w:rPr>
      </w:pPr>
    </w:p>
    <w:p w14:paraId="18B10C9E" w14:textId="77777777" w:rsidR="00891119" w:rsidRPr="003A2F86" w:rsidRDefault="00891119" w:rsidP="00891119">
      <w:pPr>
        <w:autoSpaceDE w:val="0"/>
        <w:autoSpaceDN w:val="0"/>
        <w:adjustRightInd w:val="0"/>
        <w:spacing w:after="0" w:line="240" w:lineRule="auto"/>
        <w:jc w:val="both"/>
        <w:rPr>
          <w:rFonts w:ascii="Arial" w:eastAsia="Times New Roman" w:hAnsi="Arial" w:cs="Arial"/>
        </w:rPr>
      </w:pPr>
    </w:p>
    <w:p w14:paraId="5B3DDA9F" w14:textId="77777777" w:rsidR="00891119" w:rsidRPr="003A2F86" w:rsidRDefault="00891119" w:rsidP="00891119">
      <w:pPr>
        <w:autoSpaceDE w:val="0"/>
        <w:autoSpaceDN w:val="0"/>
        <w:adjustRightInd w:val="0"/>
        <w:spacing w:after="0" w:line="240" w:lineRule="auto"/>
        <w:jc w:val="both"/>
        <w:rPr>
          <w:rFonts w:ascii="Arial" w:eastAsia="Times New Roman" w:hAnsi="Arial" w:cs="Arial"/>
          <w:b/>
        </w:rPr>
      </w:pPr>
      <w:r w:rsidRPr="003A2F86">
        <w:rPr>
          <w:rFonts w:ascii="Arial" w:eastAsia="Times New Roman" w:hAnsi="Arial" w:cs="Arial"/>
          <w:b/>
          <w:u w:val="single"/>
        </w:rPr>
        <w:t>Proračun</w:t>
      </w:r>
      <w:r w:rsidRPr="003A2F86">
        <w:rPr>
          <w:rFonts w:ascii="Arial" w:eastAsia="Times New Roman" w:hAnsi="Arial" w:cs="Arial"/>
          <w:b/>
        </w:rPr>
        <w:t xml:space="preserve"> je </w:t>
      </w:r>
      <w:r w:rsidRPr="003A2F86">
        <w:rPr>
          <w:rFonts w:ascii="Arial" w:eastAsia="Times New Roman" w:hAnsi="Arial" w:cs="Arial"/>
          <w:b/>
          <w:i/>
        </w:rPr>
        <w:t>zbroj</w:t>
      </w:r>
      <w:r w:rsidRPr="003A2F86">
        <w:rPr>
          <w:rFonts w:ascii="Arial" w:eastAsia="Times New Roman" w:hAnsi="Arial" w:cs="Arial"/>
          <w:b/>
        </w:rPr>
        <w:t xml:space="preserve"> financijskih planova Općine i njenih upravnih odjela i financijskih planova proračunskih korisnika (PK)</w:t>
      </w:r>
      <w:r w:rsidRPr="003A2F86">
        <w:rPr>
          <w:rFonts w:ascii="Arial" w:eastAsia="Times New Roman" w:hAnsi="Arial" w:cs="Arial"/>
          <w:b/>
          <w:vertAlign w:val="superscript"/>
        </w:rPr>
        <w:footnoteReference w:id="1"/>
      </w:r>
      <w:r w:rsidRPr="003A2F86">
        <w:rPr>
          <w:rFonts w:ascii="Arial" w:eastAsia="Times New Roman" w:hAnsi="Arial" w:cs="Arial"/>
          <w:b/>
        </w:rPr>
        <w:t xml:space="preserve"> za koje su oni nadležni</w:t>
      </w:r>
      <w:r w:rsidR="000A0973" w:rsidRPr="003A2F86">
        <w:rPr>
          <w:rFonts w:ascii="Arial" w:eastAsia="Times New Roman" w:hAnsi="Arial" w:cs="Arial"/>
          <w:b/>
        </w:rPr>
        <w:t xml:space="preserve"> (</w:t>
      </w:r>
      <w:r w:rsidRPr="003A2F86">
        <w:rPr>
          <w:rFonts w:ascii="Arial" w:eastAsia="Times New Roman" w:hAnsi="Arial" w:cs="Arial"/>
          <w:b/>
        </w:rPr>
        <w:t>dakle uključuje sve vlastite i namjenske prihode, kao i pripadajuće rashode Općine i svih proračunskih korisnika</w:t>
      </w:r>
      <w:r w:rsidR="000A0973" w:rsidRPr="003A2F86">
        <w:rPr>
          <w:rFonts w:ascii="Arial" w:eastAsia="Times New Roman" w:hAnsi="Arial" w:cs="Arial"/>
          <w:b/>
        </w:rPr>
        <w:t>)</w:t>
      </w:r>
      <w:r w:rsidRPr="003A2F86">
        <w:rPr>
          <w:rFonts w:ascii="Arial" w:eastAsia="Times New Roman" w:hAnsi="Arial" w:cs="Arial"/>
          <w:b/>
        </w:rPr>
        <w:t>.</w:t>
      </w:r>
    </w:p>
    <w:p w14:paraId="23E94CA0" w14:textId="77777777" w:rsidR="00642208" w:rsidRPr="003A2F86" w:rsidRDefault="00642208" w:rsidP="00891119">
      <w:pPr>
        <w:autoSpaceDE w:val="0"/>
        <w:autoSpaceDN w:val="0"/>
        <w:adjustRightInd w:val="0"/>
        <w:spacing w:after="0" w:line="240" w:lineRule="auto"/>
        <w:jc w:val="both"/>
        <w:rPr>
          <w:rFonts w:ascii="Arial" w:eastAsia="Times New Roman" w:hAnsi="Arial" w:cs="Arial"/>
        </w:rPr>
      </w:pPr>
    </w:p>
    <w:p w14:paraId="447717D8" w14:textId="412020AB" w:rsidR="00891119" w:rsidRPr="003A2F86" w:rsidRDefault="00891119" w:rsidP="00891119">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 xml:space="preserve">Prema Izvještaju o prihodima i rashodima, primicima i izdacima od 1. siječnja do </w:t>
      </w:r>
      <w:r w:rsidR="007075BE">
        <w:rPr>
          <w:rFonts w:ascii="Arial" w:eastAsia="Times New Roman" w:hAnsi="Arial" w:cs="Arial"/>
        </w:rPr>
        <w:t>31</w:t>
      </w:r>
      <w:r w:rsidR="00C203D9">
        <w:rPr>
          <w:rFonts w:ascii="Arial" w:eastAsia="Times New Roman" w:hAnsi="Arial" w:cs="Arial"/>
        </w:rPr>
        <w:t xml:space="preserve">. </w:t>
      </w:r>
      <w:r w:rsidR="007075BE">
        <w:rPr>
          <w:rFonts w:ascii="Arial" w:eastAsia="Times New Roman" w:hAnsi="Arial" w:cs="Arial"/>
        </w:rPr>
        <w:t>prosinca</w:t>
      </w:r>
      <w:r w:rsidR="00C203D9">
        <w:rPr>
          <w:rFonts w:ascii="Arial" w:eastAsia="Times New Roman" w:hAnsi="Arial" w:cs="Arial"/>
        </w:rPr>
        <w:t xml:space="preserve"> </w:t>
      </w:r>
      <w:r w:rsidR="00664654" w:rsidRPr="003A2F86">
        <w:rPr>
          <w:rFonts w:ascii="Arial" w:eastAsia="Times New Roman" w:hAnsi="Arial" w:cs="Arial"/>
        </w:rPr>
        <w:t>202</w:t>
      </w:r>
      <w:r w:rsidR="00C203D9">
        <w:rPr>
          <w:rFonts w:ascii="Arial" w:eastAsia="Times New Roman" w:hAnsi="Arial" w:cs="Arial"/>
        </w:rPr>
        <w:t>5</w:t>
      </w:r>
      <w:r w:rsidRPr="003A2F86">
        <w:rPr>
          <w:rFonts w:ascii="Arial" w:eastAsia="Times New Roman" w:hAnsi="Arial" w:cs="Arial"/>
        </w:rPr>
        <w:t xml:space="preserve">. (PR-RAS, </w:t>
      </w:r>
      <w:r w:rsidRPr="003A2F86">
        <w:rPr>
          <w:rFonts w:ascii="Arial" w:eastAsia="Times New Roman" w:hAnsi="Arial" w:cs="Arial"/>
          <w:b/>
          <w:color w:val="1F497D" w:themeColor="text2"/>
        </w:rPr>
        <w:t>razina 22</w:t>
      </w:r>
      <w:r w:rsidR="00A61327" w:rsidRPr="003A2F86">
        <w:rPr>
          <w:rStyle w:val="Referencafusnote"/>
          <w:rFonts w:ascii="Arial" w:eastAsia="Times New Roman" w:hAnsi="Arial" w:cs="Arial"/>
          <w:b/>
        </w:rPr>
        <w:footnoteReference w:id="2"/>
      </w:r>
      <w:r w:rsidRPr="003A2F86">
        <w:rPr>
          <w:rFonts w:ascii="Arial" w:eastAsia="Times New Roman" w:hAnsi="Arial" w:cs="Arial"/>
        </w:rPr>
        <w:t xml:space="preserve">) ukupni prihodi i primici iznose </w:t>
      </w:r>
      <w:r w:rsidR="007B365F">
        <w:rPr>
          <w:rFonts w:ascii="Arial" w:eastAsia="Times New Roman" w:hAnsi="Arial" w:cs="Arial"/>
        </w:rPr>
        <w:t>21.495.663,97</w:t>
      </w:r>
      <w:r w:rsidR="0013260A" w:rsidRPr="003A2F86">
        <w:rPr>
          <w:rFonts w:ascii="Arial" w:eastAsia="Times New Roman" w:hAnsi="Arial" w:cs="Arial"/>
        </w:rPr>
        <w:t xml:space="preserve"> €</w:t>
      </w:r>
      <w:r w:rsidRPr="003A2F86">
        <w:rPr>
          <w:rFonts w:ascii="Arial" w:eastAsia="Times New Roman" w:hAnsi="Arial" w:cs="Arial"/>
        </w:rPr>
        <w:t xml:space="preserve">, a ukupni rashodi i izdaci iznose </w:t>
      </w:r>
      <w:r w:rsidR="007B365F">
        <w:rPr>
          <w:rFonts w:ascii="Arial" w:eastAsia="Times New Roman" w:hAnsi="Arial" w:cs="Arial"/>
        </w:rPr>
        <w:t>24.779.229,12</w:t>
      </w:r>
      <w:r w:rsidR="0013260A" w:rsidRPr="003A2F86">
        <w:rPr>
          <w:rFonts w:ascii="Arial" w:eastAsia="Times New Roman" w:hAnsi="Arial" w:cs="Arial"/>
        </w:rPr>
        <w:t xml:space="preserve"> €</w:t>
      </w:r>
      <w:r w:rsidRPr="003A2F86">
        <w:rPr>
          <w:rFonts w:ascii="Arial" w:eastAsia="Times New Roman" w:hAnsi="Arial" w:cs="Arial"/>
        </w:rPr>
        <w:t xml:space="preserve"> te </w:t>
      </w:r>
      <w:r w:rsidR="004E14F1" w:rsidRPr="003A2F86">
        <w:rPr>
          <w:rFonts w:ascii="Arial" w:eastAsia="Times New Roman" w:hAnsi="Arial" w:cs="Arial"/>
        </w:rPr>
        <w:t>manjak</w:t>
      </w:r>
      <w:r w:rsidRPr="003A2F86">
        <w:rPr>
          <w:rFonts w:ascii="Arial" w:eastAsia="Times New Roman" w:hAnsi="Arial" w:cs="Arial"/>
        </w:rPr>
        <w:t xml:space="preserve"> prihoda tekućeg razdoblja iznosi </w:t>
      </w:r>
      <w:r w:rsidR="007B365F">
        <w:rPr>
          <w:rFonts w:ascii="Arial" w:eastAsia="Times New Roman" w:hAnsi="Arial" w:cs="Arial"/>
        </w:rPr>
        <w:t>3.283.565,15</w:t>
      </w:r>
      <w:r w:rsidR="0013260A" w:rsidRPr="003A2F86">
        <w:rPr>
          <w:rFonts w:ascii="Arial" w:eastAsia="Times New Roman" w:hAnsi="Arial" w:cs="Arial"/>
        </w:rPr>
        <w:t xml:space="preserve"> €</w:t>
      </w:r>
      <w:r w:rsidRPr="003A2F86">
        <w:rPr>
          <w:rFonts w:ascii="Arial" w:eastAsia="Times New Roman" w:hAnsi="Arial" w:cs="Arial"/>
        </w:rPr>
        <w:t xml:space="preserve">. Preneseni višak prihoda i primitaka Općine iznosi </w:t>
      </w:r>
      <w:r w:rsidR="007B365F" w:rsidRPr="007B365F">
        <w:rPr>
          <w:rFonts w:ascii="Arial" w:eastAsia="Times New Roman" w:hAnsi="Arial" w:cs="Arial"/>
        </w:rPr>
        <w:t>2.</w:t>
      </w:r>
      <w:r w:rsidR="001D2F46">
        <w:rPr>
          <w:rFonts w:ascii="Arial" w:eastAsia="Times New Roman" w:hAnsi="Arial" w:cs="Arial"/>
        </w:rPr>
        <w:t>314.003,03</w:t>
      </w:r>
      <w:r w:rsidR="007B365F" w:rsidRPr="007B365F">
        <w:rPr>
          <w:rFonts w:ascii="Arial" w:eastAsia="Times New Roman" w:hAnsi="Arial" w:cs="Arial"/>
        </w:rPr>
        <w:t xml:space="preserve"> </w:t>
      </w:r>
      <w:r w:rsidR="00C203D9" w:rsidRPr="003A2F86">
        <w:rPr>
          <w:rFonts w:ascii="Arial" w:eastAsia="Times New Roman" w:hAnsi="Arial" w:cs="Arial"/>
        </w:rPr>
        <w:t>€</w:t>
      </w:r>
      <w:r w:rsidR="00C203D9">
        <w:rPr>
          <w:rFonts w:ascii="Arial" w:eastAsia="Times New Roman" w:hAnsi="Arial" w:cs="Arial"/>
        </w:rPr>
        <w:t xml:space="preserve">, a ispravak rezultata iz ranijeg razdoblja </w:t>
      </w:r>
      <w:r w:rsidR="001D2F46">
        <w:rPr>
          <w:rFonts w:ascii="Arial" w:eastAsia="Times New Roman" w:hAnsi="Arial" w:cs="Arial"/>
        </w:rPr>
        <w:t>2.139.408,21</w:t>
      </w:r>
      <w:r w:rsidR="0013260A" w:rsidRPr="003A2F86">
        <w:rPr>
          <w:rFonts w:ascii="Arial" w:eastAsia="Times New Roman" w:hAnsi="Arial" w:cs="Arial"/>
        </w:rPr>
        <w:t xml:space="preserve"> €</w:t>
      </w:r>
      <w:r w:rsidR="001B629D" w:rsidRPr="003A2F86">
        <w:rPr>
          <w:rFonts w:ascii="Arial" w:eastAsia="Times New Roman" w:hAnsi="Arial" w:cs="Arial"/>
        </w:rPr>
        <w:t>,</w:t>
      </w:r>
      <w:r w:rsidR="00E42177" w:rsidRPr="003A2F86">
        <w:rPr>
          <w:rFonts w:ascii="Arial" w:eastAsia="Times New Roman" w:hAnsi="Arial" w:cs="Arial"/>
        </w:rPr>
        <w:t xml:space="preserve"> </w:t>
      </w:r>
      <w:r w:rsidR="00C203D9">
        <w:rPr>
          <w:rFonts w:ascii="Arial" w:eastAsia="Times New Roman" w:hAnsi="Arial" w:cs="Arial"/>
        </w:rPr>
        <w:t xml:space="preserve">te ukupni preneseni višak iznosi </w:t>
      </w:r>
      <w:r w:rsidR="001D2F46">
        <w:rPr>
          <w:rFonts w:ascii="Arial" w:eastAsia="Times New Roman" w:hAnsi="Arial" w:cs="Arial"/>
        </w:rPr>
        <w:t>4.453.411,24</w:t>
      </w:r>
      <w:r w:rsidR="00C203D9">
        <w:rPr>
          <w:rFonts w:ascii="Arial" w:eastAsia="Times New Roman" w:hAnsi="Arial" w:cs="Arial"/>
        </w:rPr>
        <w:t xml:space="preserve"> €. U</w:t>
      </w:r>
      <w:r w:rsidRPr="003A2F86">
        <w:rPr>
          <w:rFonts w:ascii="Arial" w:eastAsia="Times New Roman" w:hAnsi="Arial" w:cs="Arial"/>
        </w:rPr>
        <w:t xml:space="preserve">kupni višak tekućeg razdoblja Općine Konavle iznosi </w:t>
      </w:r>
      <w:r w:rsidR="001D2F46">
        <w:rPr>
          <w:rFonts w:ascii="Arial" w:eastAsia="Times New Roman" w:hAnsi="Arial" w:cs="Arial"/>
        </w:rPr>
        <w:t>1.159.846,09</w:t>
      </w:r>
      <w:r w:rsidR="0013260A" w:rsidRPr="003A2F86">
        <w:rPr>
          <w:rFonts w:ascii="Arial" w:eastAsia="Times New Roman" w:hAnsi="Arial" w:cs="Arial"/>
        </w:rPr>
        <w:t xml:space="preserve"> €</w:t>
      </w:r>
      <w:r w:rsidRPr="003A2F86">
        <w:rPr>
          <w:rFonts w:ascii="Arial" w:eastAsia="Times New Roman" w:hAnsi="Arial" w:cs="Arial"/>
        </w:rPr>
        <w:t>.</w:t>
      </w:r>
    </w:p>
    <w:p w14:paraId="27DAA4FE" w14:textId="77777777" w:rsidR="000A0973" w:rsidRPr="003A2F86" w:rsidRDefault="000A0973" w:rsidP="000A0973">
      <w:pPr>
        <w:autoSpaceDE w:val="0"/>
        <w:autoSpaceDN w:val="0"/>
        <w:adjustRightInd w:val="0"/>
        <w:spacing w:after="0" w:line="240" w:lineRule="auto"/>
        <w:rPr>
          <w:rFonts w:ascii="Arial" w:eastAsia="Times New Roman" w:hAnsi="Arial" w:cs="Arial"/>
        </w:rPr>
      </w:pPr>
    </w:p>
    <w:p w14:paraId="09F870DB" w14:textId="04C4A9E6" w:rsidR="00891119" w:rsidRPr="003A2F86" w:rsidRDefault="00891119" w:rsidP="00891119">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 xml:space="preserve">Prema Izvještaju o prihodima i rashodima, primicima i izdacima od 1. siječnja do </w:t>
      </w:r>
      <w:r w:rsidR="001D2F46">
        <w:rPr>
          <w:rFonts w:ascii="Arial" w:eastAsia="Times New Roman" w:hAnsi="Arial" w:cs="Arial"/>
        </w:rPr>
        <w:t>31. prosinca</w:t>
      </w:r>
      <w:r w:rsidR="00C203D9" w:rsidRPr="00C203D9">
        <w:rPr>
          <w:rFonts w:ascii="Arial" w:eastAsia="Times New Roman" w:hAnsi="Arial" w:cs="Arial"/>
        </w:rPr>
        <w:t xml:space="preserve"> 2025. </w:t>
      </w:r>
      <w:r w:rsidRPr="003A2F86">
        <w:rPr>
          <w:rFonts w:ascii="Arial" w:eastAsia="Times New Roman" w:hAnsi="Arial" w:cs="Arial"/>
        </w:rPr>
        <w:t xml:space="preserve">(PR-RAS, </w:t>
      </w:r>
      <w:r w:rsidRPr="003A2F86">
        <w:rPr>
          <w:rFonts w:ascii="Arial" w:eastAsia="Times New Roman" w:hAnsi="Arial" w:cs="Arial"/>
          <w:b/>
          <w:color w:val="7030A0"/>
        </w:rPr>
        <w:t>razina 23</w:t>
      </w:r>
      <w:r w:rsidR="00A60260" w:rsidRPr="003A2F86">
        <w:rPr>
          <w:rStyle w:val="Referencafusnote"/>
          <w:rFonts w:ascii="Arial" w:eastAsia="Times New Roman" w:hAnsi="Arial" w:cs="Arial"/>
          <w:b/>
        </w:rPr>
        <w:footnoteReference w:id="3"/>
      </w:r>
      <w:r w:rsidRPr="003A2F86">
        <w:rPr>
          <w:rFonts w:ascii="Arial" w:eastAsia="Times New Roman" w:hAnsi="Arial" w:cs="Arial"/>
        </w:rPr>
        <w:t xml:space="preserve">) ukupni prihodi i primici iznose </w:t>
      </w:r>
      <w:r w:rsidR="001D2F46">
        <w:rPr>
          <w:rFonts w:ascii="Arial" w:eastAsia="Times New Roman" w:hAnsi="Arial" w:cs="Arial"/>
        </w:rPr>
        <w:t>23.152.793,05</w:t>
      </w:r>
      <w:r w:rsidR="0013260A" w:rsidRPr="003A2F86">
        <w:rPr>
          <w:rFonts w:ascii="Arial" w:eastAsia="Times New Roman" w:hAnsi="Arial" w:cs="Arial"/>
        </w:rPr>
        <w:t xml:space="preserve"> €,</w:t>
      </w:r>
      <w:r w:rsidRPr="003A2F86">
        <w:rPr>
          <w:rFonts w:ascii="Arial" w:eastAsia="Times New Roman" w:hAnsi="Arial" w:cs="Arial"/>
        </w:rPr>
        <w:t xml:space="preserve"> a ukupni rashodi i izdaci iznose </w:t>
      </w:r>
      <w:r w:rsidR="001D2F46">
        <w:rPr>
          <w:rFonts w:ascii="Arial" w:eastAsia="Times New Roman" w:hAnsi="Arial" w:cs="Arial"/>
        </w:rPr>
        <w:t>26.434.475,83</w:t>
      </w:r>
      <w:r w:rsidR="0013260A" w:rsidRPr="003A2F86">
        <w:rPr>
          <w:rFonts w:ascii="Arial" w:eastAsia="Times New Roman" w:hAnsi="Arial" w:cs="Arial"/>
        </w:rPr>
        <w:t xml:space="preserve"> €</w:t>
      </w:r>
      <w:r w:rsidR="003819AC" w:rsidRPr="003A2F86">
        <w:rPr>
          <w:rFonts w:ascii="Arial" w:eastAsia="Times New Roman" w:hAnsi="Arial" w:cs="Arial"/>
        </w:rPr>
        <w:t>,</w:t>
      </w:r>
      <w:r w:rsidR="0013260A" w:rsidRPr="003A2F86">
        <w:rPr>
          <w:rFonts w:ascii="Arial" w:eastAsia="Times New Roman" w:hAnsi="Arial" w:cs="Arial"/>
        </w:rPr>
        <w:t xml:space="preserve"> </w:t>
      </w:r>
      <w:r w:rsidRPr="003A2F86">
        <w:rPr>
          <w:rFonts w:ascii="Arial" w:eastAsia="Times New Roman" w:hAnsi="Arial" w:cs="Arial"/>
        </w:rPr>
        <w:t xml:space="preserve">te </w:t>
      </w:r>
      <w:r w:rsidR="001B629D" w:rsidRPr="003A2F86">
        <w:rPr>
          <w:rFonts w:ascii="Arial" w:eastAsia="Times New Roman" w:hAnsi="Arial" w:cs="Arial"/>
          <w:b/>
          <w:bCs/>
        </w:rPr>
        <w:t>manjak</w:t>
      </w:r>
      <w:r w:rsidRPr="003A2F86">
        <w:rPr>
          <w:rFonts w:ascii="Arial" w:eastAsia="Times New Roman" w:hAnsi="Arial" w:cs="Arial"/>
        </w:rPr>
        <w:t xml:space="preserve"> prihoda tekućeg razdoblja iznosi </w:t>
      </w:r>
      <w:r w:rsidR="001D2F46">
        <w:rPr>
          <w:rFonts w:ascii="Arial" w:eastAsia="Times New Roman" w:hAnsi="Arial" w:cs="Arial"/>
        </w:rPr>
        <w:t>3.281.682,78</w:t>
      </w:r>
      <w:r w:rsidR="0013260A" w:rsidRPr="003A2F86">
        <w:rPr>
          <w:rFonts w:ascii="Arial" w:eastAsia="Times New Roman" w:hAnsi="Arial" w:cs="Arial"/>
        </w:rPr>
        <w:t xml:space="preserve"> €.</w:t>
      </w:r>
      <w:r w:rsidRPr="003A2F86">
        <w:rPr>
          <w:rFonts w:ascii="Arial" w:eastAsia="Times New Roman" w:hAnsi="Arial" w:cs="Arial"/>
        </w:rPr>
        <w:t xml:space="preserve"> Ukupno preneseni višak prihoda i primitaka Općine i njenih proračunskih korisnika iznosi </w:t>
      </w:r>
      <w:r w:rsidR="00F044B5" w:rsidRPr="003A2F86">
        <w:rPr>
          <w:rFonts w:ascii="Arial" w:eastAsia="Times New Roman" w:hAnsi="Arial" w:cs="Arial"/>
        </w:rPr>
        <w:t xml:space="preserve">2.068.159,72 </w:t>
      </w:r>
      <w:r w:rsidR="0013260A" w:rsidRPr="003A2F86">
        <w:rPr>
          <w:rFonts w:ascii="Arial" w:eastAsia="Times New Roman" w:hAnsi="Arial" w:cs="Arial"/>
        </w:rPr>
        <w:t>€</w:t>
      </w:r>
      <w:r w:rsidR="00F044B5">
        <w:rPr>
          <w:rFonts w:ascii="Arial" w:eastAsia="Times New Roman" w:hAnsi="Arial" w:cs="Arial"/>
        </w:rPr>
        <w:t>. Ispravak rezultata iz ranijeg razdoblja Općine iznosi 2.</w:t>
      </w:r>
      <w:r w:rsidR="001D2F46">
        <w:rPr>
          <w:rFonts w:ascii="Arial" w:eastAsia="Times New Roman" w:hAnsi="Arial" w:cs="Arial"/>
        </w:rPr>
        <w:t>139.408,21</w:t>
      </w:r>
      <w:r w:rsidR="00F044B5">
        <w:rPr>
          <w:rFonts w:ascii="Arial" w:eastAsia="Times New Roman" w:hAnsi="Arial" w:cs="Arial"/>
        </w:rPr>
        <w:t xml:space="preserve"> €, a dječjeg vrtića 2.125,96 €, odnosno sveukupno ispravak rezultata 2.</w:t>
      </w:r>
      <w:r w:rsidR="001D2F46">
        <w:rPr>
          <w:rFonts w:ascii="Arial" w:eastAsia="Times New Roman" w:hAnsi="Arial" w:cs="Arial"/>
        </w:rPr>
        <w:t>141.534,17</w:t>
      </w:r>
      <w:r w:rsidR="00F044B5">
        <w:rPr>
          <w:rFonts w:ascii="Arial" w:eastAsia="Times New Roman" w:hAnsi="Arial" w:cs="Arial"/>
        </w:rPr>
        <w:t xml:space="preserve"> €. Ukupni preneseni višak iz prethodnog razdoblja iznosi </w:t>
      </w:r>
      <w:r w:rsidR="001D2F46">
        <w:rPr>
          <w:rFonts w:ascii="Arial" w:eastAsia="Times New Roman" w:hAnsi="Arial" w:cs="Arial"/>
        </w:rPr>
        <w:t>4.209.693,89</w:t>
      </w:r>
      <w:r w:rsidR="00F044B5">
        <w:rPr>
          <w:rFonts w:ascii="Arial" w:eastAsia="Times New Roman" w:hAnsi="Arial" w:cs="Arial"/>
        </w:rPr>
        <w:t xml:space="preserve"> €. Ukupni višak </w:t>
      </w:r>
      <w:r w:rsidRPr="003A2F86">
        <w:rPr>
          <w:rFonts w:ascii="Arial" w:eastAsia="Times New Roman" w:hAnsi="Arial" w:cs="Arial"/>
        </w:rPr>
        <w:t xml:space="preserve">Općine Konavle i svih njenih proračunskih korisnika </w:t>
      </w:r>
      <w:r w:rsidR="00F044B5">
        <w:rPr>
          <w:rFonts w:ascii="Arial" w:eastAsia="Times New Roman" w:hAnsi="Arial" w:cs="Arial"/>
        </w:rPr>
        <w:t xml:space="preserve">raspoloživ u sljedećem proračunskom razdoblju </w:t>
      </w:r>
      <w:r w:rsidRPr="003A2F86">
        <w:rPr>
          <w:rFonts w:ascii="Arial" w:eastAsia="Times New Roman" w:hAnsi="Arial" w:cs="Arial"/>
        </w:rPr>
        <w:t xml:space="preserve">iznosi </w:t>
      </w:r>
      <w:r w:rsidR="001D2F46">
        <w:rPr>
          <w:rFonts w:ascii="Arial" w:eastAsia="Times New Roman" w:hAnsi="Arial" w:cs="Arial"/>
        </w:rPr>
        <w:t>928.011,11</w:t>
      </w:r>
      <w:r w:rsidR="0013260A" w:rsidRPr="003A2F86">
        <w:rPr>
          <w:rFonts w:ascii="Arial" w:eastAsia="Times New Roman" w:hAnsi="Arial" w:cs="Arial"/>
        </w:rPr>
        <w:t xml:space="preserve"> €</w:t>
      </w:r>
      <w:r w:rsidRPr="003A2F86">
        <w:rPr>
          <w:rFonts w:ascii="Arial" w:eastAsia="Times New Roman" w:hAnsi="Arial" w:cs="Arial"/>
        </w:rPr>
        <w:t>.</w:t>
      </w:r>
      <w:r w:rsidR="00BF2507" w:rsidRPr="003A2F86">
        <w:rPr>
          <w:rFonts w:ascii="Arial" w:eastAsia="Times New Roman" w:hAnsi="Arial" w:cs="Arial"/>
        </w:rPr>
        <w:t xml:space="preserve"> </w:t>
      </w:r>
    </w:p>
    <w:p w14:paraId="1D4B3292" w14:textId="77777777" w:rsidR="00990C49" w:rsidRPr="003A2F86" w:rsidRDefault="00990C49" w:rsidP="00BF12F2">
      <w:pPr>
        <w:spacing w:after="0" w:line="240" w:lineRule="auto"/>
        <w:rPr>
          <w:rFonts w:ascii="Arial" w:eastAsia="Times New Roman" w:hAnsi="Arial" w:cs="Arial"/>
        </w:rPr>
      </w:pPr>
    </w:p>
    <w:p w14:paraId="154F67EF" w14:textId="043B9800" w:rsidR="00F952A1" w:rsidRPr="003A2F86" w:rsidRDefault="00990C49" w:rsidP="001D2F46">
      <w:pPr>
        <w:spacing w:after="0" w:line="240" w:lineRule="auto"/>
        <w:jc w:val="both"/>
        <w:rPr>
          <w:rFonts w:ascii="Arial" w:eastAsia="Times New Roman" w:hAnsi="Arial" w:cs="Arial"/>
        </w:rPr>
      </w:pPr>
      <w:r w:rsidRPr="003A2F86">
        <w:rPr>
          <w:rFonts w:ascii="Arial" w:eastAsia="Times New Roman" w:hAnsi="Arial" w:cs="Arial"/>
        </w:rPr>
        <w:t xml:space="preserve">Prema </w:t>
      </w:r>
      <w:r w:rsidR="001D2F46">
        <w:rPr>
          <w:rFonts w:ascii="Arial" w:eastAsia="Times New Roman" w:hAnsi="Arial" w:cs="Arial"/>
        </w:rPr>
        <w:t>G</w:t>
      </w:r>
      <w:r w:rsidRPr="003A2F86">
        <w:rPr>
          <w:rFonts w:ascii="Arial" w:eastAsia="Times New Roman" w:hAnsi="Arial" w:cs="Arial"/>
        </w:rPr>
        <w:t xml:space="preserve">odišnjem </w:t>
      </w:r>
      <w:r w:rsidRPr="003A2F86">
        <w:rPr>
          <w:rFonts w:ascii="Arial" w:eastAsia="Times New Roman" w:hAnsi="Arial" w:cs="Arial"/>
          <w:b/>
        </w:rPr>
        <w:t>izvještaju o izvršenju proračuna</w:t>
      </w:r>
      <w:r w:rsidRPr="003A2F86">
        <w:rPr>
          <w:rFonts w:ascii="Arial" w:eastAsia="Times New Roman" w:hAnsi="Arial" w:cs="Arial"/>
        </w:rPr>
        <w:t xml:space="preserve"> Općine Konavle za 202</w:t>
      </w:r>
      <w:r w:rsidR="00F044B5">
        <w:rPr>
          <w:rFonts w:ascii="Arial" w:eastAsia="Times New Roman" w:hAnsi="Arial" w:cs="Arial"/>
        </w:rPr>
        <w:t>5</w:t>
      </w:r>
      <w:r w:rsidRPr="003A2F86">
        <w:rPr>
          <w:rFonts w:ascii="Arial" w:eastAsia="Times New Roman" w:hAnsi="Arial" w:cs="Arial"/>
        </w:rPr>
        <w:t xml:space="preserve">., ukupno ostvareni prihodi i primici, kao i ukupno izvršeni rashodi i izdaci iskazani su u istim iznosima kao </w:t>
      </w:r>
      <w:r w:rsidR="009E5D1B" w:rsidRPr="003A2F86">
        <w:rPr>
          <w:rFonts w:ascii="Arial" w:eastAsia="Times New Roman" w:hAnsi="Arial" w:cs="Arial"/>
        </w:rPr>
        <w:t xml:space="preserve">što je prikazano u </w:t>
      </w:r>
      <w:r w:rsidRPr="003A2F86">
        <w:rPr>
          <w:rFonts w:ascii="Arial" w:eastAsia="Times New Roman" w:hAnsi="Arial" w:cs="Arial"/>
        </w:rPr>
        <w:t>izvještaj</w:t>
      </w:r>
      <w:r w:rsidR="009E5D1B" w:rsidRPr="003A2F86">
        <w:rPr>
          <w:rFonts w:ascii="Arial" w:eastAsia="Times New Roman" w:hAnsi="Arial" w:cs="Arial"/>
        </w:rPr>
        <w:t>u</w:t>
      </w:r>
      <w:r w:rsidRPr="003A2F86">
        <w:rPr>
          <w:rFonts w:ascii="Arial" w:eastAsia="Times New Roman" w:hAnsi="Arial" w:cs="Arial"/>
        </w:rPr>
        <w:t xml:space="preserve"> </w:t>
      </w:r>
      <w:r w:rsidRPr="003A2F86">
        <w:rPr>
          <w:rFonts w:ascii="Arial" w:eastAsia="Times New Roman" w:hAnsi="Arial" w:cs="Arial"/>
          <w:b/>
          <w:bCs/>
          <w:color w:val="7030A0"/>
        </w:rPr>
        <w:t>razine 23</w:t>
      </w:r>
      <w:r w:rsidRPr="003A2F86">
        <w:rPr>
          <w:rFonts w:ascii="Arial" w:eastAsia="Times New Roman" w:hAnsi="Arial" w:cs="Arial"/>
        </w:rPr>
        <w:t>.</w:t>
      </w:r>
      <w:r w:rsidR="00F952A1" w:rsidRPr="003A2F86">
        <w:rPr>
          <w:rFonts w:ascii="Arial" w:eastAsia="Times New Roman" w:hAnsi="Arial" w:cs="Arial"/>
        </w:rPr>
        <w:br w:type="page"/>
      </w:r>
    </w:p>
    <w:p w14:paraId="68E2C338" w14:textId="77777777" w:rsidR="00F952A1" w:rsidRPr="003A2F86" w:rsidRDefault="00F952A1" w:rsidP="00891119">
      <w:pPr>
        <w:autoSpaceDE w:val="0"/>
        <w:autoSpaceDN w:val="0"/>
        <w:adjustRightInd w:val="0"/>
        <w:spacing w:after="0" w:line="240" w:lineRule="auto"/>
        <w:jc w:val="both"/>
        <w:rPr>
          <w:rFonts w:ascii="Arial" w:eastAsia="Times New Roman" w:hAnsi="Arial" w:cs="Arial"/>
        </w:rPr>
      </w:pPr>
    </w:p>
    <w:p w14:paraId="2BC925A1" w14:textId="5E2D09DA" w:rsidR="00F308D8" w:rsidRPr="003A2F86" w:rsidRDefault="00F308D8" w:rsidP="00F308D8">
      <w:pPr>
        <w:pStyle w:val="Naslov2"/>
        <w:jc w:val="center"/>
        <w:rPr>
          <w:rFonts w:ascii="Arial" w:hAnsi="Arial" w:cs="Arial"/>
          <w:sz w:val="22"/>
          <w:lang w:val="hr-HR"/>
        </w:rPr>
      </w:pPr>
      <w:bookmarkStart w:id="6" w:name="_Toc232981378"/>
      <w:r w:rsidRPr="003A2F86">
        <w:rPr>
          <w:rFonts w:ascii="Arial" w:hAnsi="Arial" w:cs="Arial"/>
          <w:sz w:val="22"/>
          <w:lang w:val="hr-HR"/>
        </w:rPr>
        <w:t>1.</w:t>
      </w:r>
      <w:r w:rsidR="00F952A1" w:rsidRPr="003A2F86">
        <w:rPr>
          <w:rFonts w:ascii="Arial" w:hAnsi="Arial" w:cs="Arial"/>
          <w:sz w:val="22"/>
          <w:lang w:val="hr-HR"/>
        </w:rPr>
        <w:t>3</w:t>
      </w:r>
      <w:r w:rsidRPr="003A2F86">
        <w:rPr>
          <w:rFonts w:ascii="Arial" w:hAnsi="Arial" w:cs="Arial"/>
          <w:sz w:val="22"/>
          <w:lang w:val="hr-HR"/>
        </w:rPr>
        <w:t>.</w:t>
      </w:r>
      <w:r w:rsidRPr="003A2F86">
        <w:rPr>
          <w:rFonts w:ascii="Arial" w:hAnsi="Arial" w:cs="Arial"/>
          <w:sz w:val="22"/>
          <w:lang w:val="hr-HR"/>
        </w:rPr>
        <w:tab/>
        <w:t xml:space="preserve">OSVRT NA </w:t>
      </w:r>
      <w:r w:rsidR="006A7774" w:rsidRPr="003A2F86">
        <w:rPr>
          <w:rFonts w:ascii="Arial" w:hAnsi="Arial" w:cs="Arial"/>
          <w:sz w:val="22"/>
          <w:lang w:val="hr-HR"/>
        </w:rPr>
        <w:t xml:space="preserve">BROJ TURISTIČKIH DOLAZAKA I BROJ NOĆENJA U RAZDOBLJU </w:t>
      </w:r>
      <w:r w:rsidRPr="003A2F86">
        <w:rPr>
          <w:rFonts w:ascii="Arial" w:hAnsi="Arial" w:cs="Arial"/>
          <w:sz w:val="22"/>
          <w:lang w:val="hr-HR"/>
        </w:rPr>
        <w:t>2019.</w:t>
      </w:r>
      <w:r w:rsidR="006A7774" w:rsidRPr="003A2F86">
        <w:rPr>
          <w:rFonts w:ascii="Arial" w:hAnsi="Arial" w:cs="Arial"/>
          <w:sz w:val="22"/>
          <w:lang w:val="hr-HR"/>
        </w:rPr>
        <w:t>-202</w:t>
      </w:r>
      <w:r w:rsidR="001D2F46">
        <w:rPr>
          <w:rFonts w:ascii="Arial" w:hAnsi="Arial" w:cs="Arial"/>
          <w:sz w:val="22"/>
          <w:lang w:val="hr-HR"/>
        </w:rPr>
        <w:t>5</w:t>
      </w:r>
      <w:r w:rsidR="009532E3">
        <w:rPr>
          <w:rFonts w:ascii="Arial" w:hAnsi="Arial" w:cs="Arial"/>
          <w:sz w:val="22"/>
          <w:lang w:val="hr-HR"/>
        </w:rPr>
        <w:t>.</w:t>
      </w:r>
      <w:bookmarkEnd w:id="6"/>
    </w:p>
    <w:p w14:paraId="0BB8E18A" w14:textId="50C3F535" w:rsidR="00F308D8" w:rsidRPr="003A2F86" w:rsidRDefault="00F308D8" w:rsidP="00C47BEB">
      <w:pPr>
        <w:autoSpaceDE w:val="0"/>
        <w:autoSpaceDN w:val="0"/>
        <w:adjustRightInd w:val="0"/>
        <w:spacing w:after="0" w:line="240" w:lineRule="auto"/>
        <w:jc w:val="both"/>
        <w:rPr>
          <w:rFonts w:ascii="Arial" w:eastAsia="Times New Roman" w:hAnsi="Arial" w:cs="Arial"/>
        </w:rPr>
      </w:pPr>
    </w:p>
    <w:p w14:paraId="08A2D5C3" w14:textId="6AFD5DA5" w:rsidR="0098055F" w:rsidRPr="003A2F86" w:rsidRDefault="0098055F" w:rsidP="00C47BEB">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U nastavku se daju podaci o broju dolazaka i noćenja u</w:t>
      </w:r>
      <w:r w:rsidR="00CF0BC2" w:rsidRPr="003A2F86">
        <w:rPr>
          <w:rFonts w:ascii="Arial" w:eastAsia="Times New Roman" w:hAnsi="Arial" w:cs="Arial"/>
        </w:rPr>
        <w:t xml:space="preserve"> razdoblju </w:t>
      </w:r>
      <w:r w:rsidRPr="003A2F86">
        <w:rPr>
          <w:rFonts w:ascii="Arial" w:eastAsia="Times New Roman" w:hAnsi="Arial" w:cs="Arial"/>
        </w:rPr>
        <w:t>2019.</w:t>
      </w:r>
      <w:r w:rsidR="00CF0BC2" w:rsidRPr="003A2F86">
        <w:rPr>
          <w:rFonts w:ascii="Arial" w:eastAsia="Times New Roman" w:hAnsi="Arial" w:cs="Arial"/>
        </w:rPr>
        <w:t>-202</w:t>
      </w:r>
      <w:r w:rsidR="001D2F46">
        <w:rPr>
          <w:rFonts w:ascii="Arial" w:eastAsia="Times New Roman" w:hAnsi="Arial" w:cs="Arial"/>
        </w:rPr>
        <w:t>5</w:t>
      </w:r>
      <w:r w:rsidR="00907D81" w:rsidRPr="003A2F86">
        <w:rPr>
          <w:rFonts w:ascii="Arial" w:eastAsia="Times New Roman" w:hAnsi="Arial" w:cs="Arial"/>
        </w:rPr>
        <w:t>, kao i podaci po vrstama smještaja te rasporedu noćenja po najzastupljenijim turističkim mjestima Općine</w:t>
      </w:r>
      <w:r w:rsidR="006A7774" w:rsidRPr="003A2F86">
        <w:rPr>
          <w:rFonts w:ascii="Arial" w:eastAsia="Times New Roman" w:hAnsi="Arial" w:cs="Arial"/>
        </w:rPr>
        <w:t xml:space="preserve"> s obzirom da su prihodi Općine velikim dijelom uvjetovani turističkom sezonom.</w:t>
      </w:r>
    </w:p>
    <w:p w14:paraId="5F42403F" w14:textId="77777777" w:rsidR="00A0198A" w:rsidRPr="003A2F86" w:rsidRDefault="00A0198A" w:rsidP="0098055F">
      <w:pPr>
        <w:pStyle w:val="Opisslike"/>
      </w:pPr>
    </w:p>
    <w:p w14:paraId="11B4A833" w14:textId="0205FF68" w:rsidR="0098055F" w:rsidRPr="003A2F86" w:rsidRDefault="0098055F" w:rsidP="0098055F">
      <w:pPr>
        <w:pStyle w:val="Opisslike"/>
        <w:rPr>
          <w:rFonts w:ascii="Arial" w:eastAsia="Calibri" w:hAnsi="Arial" w:cs="Arial"/>
        </w:rPr>
      </w:pPr>
      <w:bookmarkStart w:id="7" w:name="_Toc232981520"/>
      <w:r w:rsidRPr="003A2F86">
        <w:rPr>
          <w:color w:val="FF0000"/>
        </w:rPr>
        <w:t xml:space="preserve">Tablica </w:t>
      </w:r>
      <w:r w:rsidR="00B70269" w:rsidRPr="003A2F86">
        <w:rPr>
          <w:color w:val="FF0000"/>
        </w:rPr>
        <w:fldChar w:fldCharType="begin"/>
      </w:r>
      <w:r w:rsidR="00B70269" w:rsidRPr="003A2F86">
        <w:rPr>
          <w:color w:val="FF0000"/>
        </w:rPr>
        <w:instrText xml:space="preserve"> SEQ Tablica \* ARABIC </w:instrText>
      </w:r>
      <w:r w:rsidR="00B70269" w:rsidRPr="003A2F86">
        <w:rPr>
          <w:color w:val="FF0000"/>
        </w:rPr>
        <w:fldChar w:fldCharType="separate"/>
      </w:r>
      <w:r w:rsidR="00A821D8">
        <w:rPr>
          <w:noProof/>
          <w:color w:val="FF0000"/>
        </w:rPr>
        <w:t>1</w:t>
      </w:r>
      <w:r w:rsidR="00B70269" w:rsidRPr="003A2F86">
        <w:rPr>
          <w:color w:val="FF0000"/>
        </w:rPr>
        <w:fldChar w:fldCharType="end"/>
      </w:r>
      <w:r w:rsidRPr="003A2F86">
        <w:rPr>
          <w:color w:val="FF0000"/>
        </w:rPr>
        <w:t xml:space="preserve">.: </w:t>
      </w:r>
      <w:r w:rsidR="00A0198A" w:rsidRPr="003A2F86">
        <w:rPr>
          <w:rFonts w:ascii="Arial" w:eastAsia="Calibri" w:hAnsi="Arial" w:cs="Arial"/>
        </w:rPr>
        <w:t xml:space="preserve">Broj dolazaka i turističkih noćenja u </w:t>
      </w:r>
      <w:r w:rsidR="00304646" w:rsidRPr="003A2F86">
        <w:rPr>
          <w:rFonts w:ascii="Arial" w:eastAsia="Calibri" w:hAnsi="Arial" w:cs="Arial"/>
        </w:rPr>
        <w:t xml:space="preserve">razdoblju </w:t>
      </w:r>
      <w:r w:rsidR="00A0198A" w:rsidRPr="003A2F86">
        <w:rPr>
          <w:rFonts w:ascii="Arial" w:eastAsia="Calibri" w:hAnsi="Arial" w:cs="Arial"/>
        </w:rPr>
        <w:t>2019.</w:t>
      </w:r>
      <w:r w:rsidR="00304646" w:rsidRPr="003A2F86">
        <w:rPr>
          <w:rFonts w:ascii="Arial" w:eastAsia="Calibri" w:hAnsi="Arial" w:cs="Arial"/>
        </w:rPr>
        <w:t>-202</w:t>
      </w:r>
      <w:r w:rsidR="001D2F46">
        <w:rPr>
          <w:rFonts w:ascii="Arial" w:eastAsia="Calibri" w:hAnsi="Arial" w:cs="Arial"/>
        </w:rPr>
        <w:t>5</w:t>
      </w:r>
      <w:r w:rsidR="00A0198A" w:rsidRPr="003A2F86">
        <w:rPr>
          <w:rFonts w:ascii="Arial" w:eastAsia="Calibri" w:hAnsi="Arial" w:cs="Arial"/>
        </w:rPr>
        <w:t>.</w:t>
      </w:r>
      <w:bookmarkEnd w:id="7"/>
    </w:p>
    <w:p w14:paraId="0CDC7155" w14:textId="4103F6F7" w:rsidR="0098055F" w:rsidRPr="003A2F86" w:rsidRDefault="0098055F" w:rsidP="00C47BEB">
      <w:pPr>
        <w:autoSpaceDE w:val="0"/>
        <w:autoSpaceDN w:val="0"/>
        <w:adjustRightInd w:val="0"/>
        <w:spacing w:after="0" w:line="240" w:lineRule="auto"/>
        <w:jc w:val="both"/>
        <w:rPr>
          <w:rFonts w:ascii="Arial" w:eastAsia="Times New Roman" w:hAnsi="Arial" w:cs="Arial"/>
        </w:rPr>
      </w:pPr>
    </w:p>
    <w:p w14:paraId="768A9D40" w14:textId="74A7F9F3" w:rsidR="00926980" w:rsidRPr="003A2F86" w:rsidRDefault="004A76AB" w:rsidP="009A6097">
      <w:pPr>
        <w:autoSpaceDE w:val="0"/>
        <w:autoSpaceDN w:val="0"/>
        <w:adjustRightInd w:val="0"/>
        <w:spacing w:after="0" w:line="240" w:lineRule="auto"/>
        <w:jc w:val="center"/>
        <w:rPr>
          <w:noProof/>
        </w:rPr>
      </w:pPr>
      <w:r w:rsidRPr="004A76AB">
        <w:rPr>
          <w:noProof/>
        </w:rPr>
        <w:drawing>
          <wp:inline distT="0" distB="0" distL="0" distR="0" wp14:anchorId="675A53BE" wp14:editId="31B805CB">
            <wp:extent cx="7816555" cy="4406134"/>
            <wp:effectExtent l="0" t="0" r="0" b="0"/>
            <wp:docPr id="8246155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20416" cy="4408310"/>
                    </a:xfrm>
                    <a:prstGeom prst="rect">
                      <a:avLst/>
                    </a:prstGeom>
                    <a:noFill/>
                    <a:ln>
                      <a:noFill/>
                    </a:ln>
                  </pic:spPr>
                </pic:pic>
              </a:graphicData>
            </a:graphic>
          </wp:inline>
        </w:drawing>
      </w:r>
    </w:p>
    <w:p w14:paraId="57673A25" w14:textId="77777777" w:rsidR="00926980" w:rsidRPr="003A2F86" w:rsidRDefault="00926980" w:rsidP="009A6097">
      <w:pPr>
        <w:autoSpaceDE w:val="0"/>
        <w:autoSpaceDN w:val="0"/>
        <w:adjustRightInd w:val="0"/>
        <w:spacing w:after="0" w:line="240" w:lineRule="auto"/>
        <w:jc w:val="center"/>
        <w:rPr>
          <w:rFonts w:ascii="Arial" w:eastAsia="Times New Roman" w:hAnsi="Arial" w:cs="Arial"/>
        </w:rPr>
      </w:pPr>
    </w:p>
    <w:p w14:paraId="29F42F56" w14:textId="05497787" w:rsidR="00A0198A" w:rsidRPr="003A2F86" w:rsidRDefault="00A0198A" w:rsidP="00304646">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 xml:space="preserve">U slijedećoj tablici daju se podaci o </w:t>
      </w:r>
      <w:r w:rsidR="0054525C" w:rsidRPr="003A2F86">
        <w:rPr>
          <w:rFonts w:ascii="Arial" w:eastAsia="Times New Roman" w:hAnsi="Arial" w:cs="Arial"/>
        </w:rPr>
        <w:t>državama</w:t>
      </w:r>
      <w:r w:rsidRPr="003A2F86">
        <w:rPr>
          <w:rFonts w:ascii="Arial" w:eastAsia="Times New Roman" w:hAnsi="Arial" w:cs="Arial"/>
        </w:rPr>
        <w:t xml:space="preserve"> iz kojih je ostvaren najveći broj noćenja i dolazaka u </w:t>
      </w:r>
      <w:r w:rsidR="00304646" w:rsidRPr="003A2F86">
        <w:rPr>
          <w:rFonts w:ascii="Arial" w:eastAsia="Times New Roman" w:hAnsi="Arial" w:cs="Arial"/>
        </w:rPr>
        <w:t xml:space="preserve">razdoblju </w:t>
      </w:r>
      <w:r w:rsidRPr="003A2F86">
        <w:rPr>
          <w:rFonts w:ascii="Arial" w:eastAsia="Times New Roman" w:hAnsi="Arial" w:cs="Arial"/>
        </w:rPr>
        <w:t>20</w:t>
      </w:r>
      <w:r w:rsidR="00304646" w:rsidRPr="003A2F86">
        <w:rPr>
          <w:rFonts w:ascii="Arial" w:eastAsia="Times New Roman" w:hAnsi="Arial" w:cs="Arial"/>
        </w:rPr>
        <w:t>19</w:t>
      </w:r>
      <w:r w:rsidR="00885F26" w:rsidRPr="003A2F86">
        <w:rPr>
          <w:rFonts w:ascii="Arial" w:eastAsia="Times New Roman" w:hAnsi="Arial" w:cs="Arial"/>
        </w:rPr>
        <w:t>.</w:t>
      </w:r>
      <w:r w:rsidR="00304646" w:rsidRPr="003A2F86">
        <w:rPr>
          <w:rFonts w:ascii="Arial" w:eastAsia="Times New Roman" w:hAnsi="Arial" w:cs="Arial"/>
        </w:rPr>
        <w:t>-202</w:t>
      </w:r>
      <w:r w:rsidR="004A76AB">
        <w:rPr>
          <w:rFonts w:ascii="Arial" w:eastAsia="Times New Roman" w:hAnsi="Arial" w:cs="Arial"/>
        </w:rPr>
        <w:t>5.</w:t>
      </w:r>
    </w:p>
    <w:p w14:paraId="5B3ABA24" w14:textId="3816AA1C" w:rsidR="002D2128" w:rsidRPr="003A2F86" w:rsidRDefault="00907D81" w:rsidP="00AB3AC5">
      <w:pPr>
        <w:pStyle w:val="Opisslike"/>
        <w:rPr>
          <w:rFonts w:ascii="Arial" w:eastAsia="Calibri" w:hAnsi="Arial" w:cs="Arial"/>
        </w:rPr>
      </w:pPr>
      <w:bookmarkStart w:id="8" w:name="_Toc232981521"/>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2</w:t>
      </w:r>
      <w:r w:rsidRPr="003A2F86">
        <w:rPr>
          <w:color w:val="FF0000"/>
        </w:rPr>
        <w:fldChar w:fldCharType="end"/>
      </w:r>
      <w:r w:rsidRPr="003A2F86">
        <w:rPr>
          <w:color w:val="FF0000"/>
        </w:rPr>
        <w:t xml:space="preserve">.: </w:t>
      </w:r>
      <w:r w:rsidR="00AA29F9" w:rsidRPr="003A2F86">
        <w:rPr>
          <w:rFonts w:ascii="Arial" w:eastAsia="Calibri" w:hAnsi="Arial" w:cs="Arial"/>
        </w:rPr>
        <w:t>Države</w:t>
      </w:r>
      <w:r w:rsidR="00A0198A" w:rsidRPr="003A2F86">
        <w:rPr>
          <w:rFonts w:ascii="Arial" w:eastAsia="Calibri" w:hAnsi="Arial" w:cs="Arial"/>
        </w:rPr>
        <w:t xml:space="preserve"> </w:t>
      </w:r>
      <w:r w:rsidR="00D2697A">
        <w:rPr>
          <w:rFonts w:ascii="Arial" w:eastAsia="Calibri" w:hAnsi="Arial" w:cs="Arial"/>
        </w:rPr>
        <w:t xml:space="preserve">s većim brojem ostvarenih </w:t>
      </w:r>
      <w:r w:rsidR="00A0198A" w:rsidRPr="003A2F86">
        <w:rPr>
          <w:rFonts w:ascii="Arial" w:eastAsia="Calibri" w:hAnsi="Arial" w:cs="Arial"/>
        </w:rPr>
        <w:t>noćenja i dolazaka u</w:t>
      </w:r>
      <w:r w:rsidR="00000850" w:rsidRPr="003A2F86">
        <w:rPr>
          <w:rFonts w:ascii="Arial" w:eastAsia="Calibri" w:hAnsi="Arial" w:cs="Arial"/>
        </w:rPr>
        <w:t xml:space="preserve"> razdoblju </w:t>
      </w:r>
      <w:r w:rsidR="00304646" w:rsidRPr="003A2F86">
        <w:rPr>
          <w:rFonts w:ascii="Arial" w:eastAsia="Calibri" w:hAnsi="Arial" w:cs="Arial"/>
        </w:rPr>
        <w:t>2019.</w:t>
      </w:r>
      <w:r w:rsidR="00000850" w:rsidRPr="003A2F86">
        <w:rPr>
          <w:rFonts w:ascii="Arial" w:eastAsia="Calibri" w:hAnsi="Arial" w:cs="Arial"/>
        </w:rPr>
        <w:t>– 202</w:t>
      </w:r>
      <w:r w:rsidR="004A76AB">
        <w:rPr>
          <w:rFonts w:ascii="Arial" w:eastAsia="Calibri" w:hAnsi="Arial" w:cs="Arial"/>
        </w:rPr>
        <w:t>5</w:t>
      </w:r>
      <w:r w:rsidR="00AB3AC5" w:rsidRPr="003A2F86">
        <w:rPr>
          <w:rFonts w:ascii="Arial" w:eastAsia="Calibri" w:hAnsi="Arial" w:cs="Arial"/>
        </w:rPr>
        <w:t>.</w:t>
      </w:r>
      <w:bookmarkEnd w:id="8"/>
      <w:r w:rsidR="00F32728">
        <w:rPr>
          <w:rFonts w:ascii="Arial" w:eastAsia="Calibri" w:hAnsi="Arial" w:cs="Arial"/>
        </w:rPr>
        <w:t xml:space="preserve"> </w:t>
      </w:r>
    </w:p>
    <w:p w14:paraId="3F98DF23" w14:textId="2F01D825" w:rsidR="006F1DAB" w:rsidRDefault="004A76AB" w:rsidP="006F1DAB">
      <w:pPr>
        <w:spacing w:after="0" w:line="240" w:lineRule="auto"/>
        <w:jc w:val="center"/>
        <w:rPr>
          <w:sz w:val="14"/>
          <w:szCs w:val="14"/>
          <w:lang w:eastAsia="en-US"/>
        </w:rPr>
      </w:pPr>
      <w:r w:rsidRPr="004A76AB">
        <w:rPr>
          <w:noProof/>
        </w:rPr>
        <w:drawing>
          <wp:inline distT="0" distB="0" distL="0" distR="0" wp14:anchorId="7BD405C5" wp14:editId="0D2990E5">
            <wp:extent cx="4944140" cy="2998772"/>
            <wp:effectExtent l="0" t="0" r="8890" b="0"/>
            <wp:docPr id="30868097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9408" cy="3001967"/>
                    </a:xfrm>
                    <a:prstGeom prst="rect">
                      <a:avLst/>
                    </a:prstGeom>
                    <a:noFill/>
                    <a:ln>
                      <a:noFill/>
                    </a:ln>
                  </pic:spPr>
                </pic:pic>
              </a:graphicData>
            </a:graphic>
          </wp:inline>
        </w:drawing>
      </w:r>
    </w:p>
    <w:p w14:paraId="37D5E787" w14:textId="4B03B1E7" w:rsidR="00F32728" w:rsidRPr="003A2F86" w:rsidRDefault="004A76AB" w:rsidP="006F1DAB">
      <w:pPr>
        <w:spacing w:after="0" w:line="240" w:lineRule="auto"/>
        <w:jc w:val="center"/>
        <w:rPr>
          <w:sz w:val="14"/>
          <w:szCs w:val="14"/>
          <w:lang w:eastAsia="en-US"/>
        </w:rPr>
      </w:pPr>
      <w:r w:rsidRPr="004A76AB">
        <w:rPr>
          <w:noProof/>
        </w:rPr>
        <w:drawing>
          <wp:inline distT="0" distB="0" distL="0" distR="0" wp14:anchorId="1D7AD94D" wp14:editId="0403F1A2">
            <wp:extent cx="5026340" cy="2721935"/>
            <wp:effectExtent l="0" t="0" r="3175" b="2540"/>
            <wp:docPr id="922425266"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5338" cy="2732223"/>
                    </a:xfrm>
                    <a:prstGeom prst="rect">
                      <a:avLst/>
                    </a:prstGeom>
                    <a:noFill/>
                    <a:ln>
                      <a:noFill/>
                    </a:ln>
                  </pic:spPr>
                </pic:pic>
              </a:graphicData>
            </a:graphic>
          </wp:inline>
        </w:drawing>
      </w:r>
    </w:p>
    <w:p w14:paraId="0D8276B8" w14:textId="5124BC4F" w:rsidR="00891119" w:rsidRPr="003A2F86" w:rsidRDefault="00891119" w:rsidP="00DF4972">
      <w:pPr>
        <w:jc w:val="center"/>
        <w:rPr>
          <w:rFonts w:ascii="Arial" w:eastAsia="Times New Roman" w:hAnsi="Arial" w:cs="Arial"/>
        </w:rPr>
      </w:pPr>
      <w:r w:rsidRPr="003A2F86">
        <w:rPr>
          <w:rFonts w:ascii="Arial" w:eastAsia="Times New Roman" w:hAnsi="Arial" w:cs="Arial"/>
          <w:color w:val="FF0000"/>
        </w:rPr>
        <w:br w:type="page"/>
      </w:r>
    </w:p>
    <w:p w14:paraId="0BDFFF8F" w14:textId="5E0DCCD1" w:rsidR="00DF4972" w:rsidRPr="003A2F86" w:rsidRDefault="00891119" w:rsidP="00B13B66">
      <w:pPr>
        <w:pStyle w:val="Naslov1"/>
        <w:rPr>
          <w:rFonts w:ascii="Arial" w:eastAsia="Calibri" w:hAnsi="Arial" w:cs="Arial"/>
          <w:sz w:val="22"/>
          <w:lang w:val="hr-HR"/>
        </w:rPr>
      </w:pPr>
      <w:bookmarkStart w:id="9" w:name="_2.__OBRAZLOŽENJE"/>
      <w:bookmarkStart w:id="10" w:name="_Toc232981379"/>
      <w:bookmarkEnd w:id="9"/>
      <w:r w:rsidRPr="003A2F86">
        <w:rPr>
          <w:rFonts w:ascii="Arial" w:eastAsia="Calibri" w:hAnsi="Arial" w:cs="Arial"/>
          <w:sz w:val="22"/>
          <w:lang w:val="hr-HR"/>
        </w:rPr>
        <w:lastRenderedPageBreak/>
        <w:t xml:space="preserve">2. </w:t>
      </w:r>
      <w:r w:rsidRPr="003A2F86">
        <w:rPr>
          <w:rFonts w:ascii="Arial" w:eastAsia="Calibri" w:hAnsi="Arial" w:cs="Arial"/>
          <w:sz w:val="22"/>
          <w:lang w:val="hr-HR"/>
        </w:rPr>
        <w:tab/>
        <w:t xml:space="preserve">OBRAZLOŽENJE </w:t>
      </w:r>
      <w:r w:rsidR="006B063D" w:rsidRPr="003A2F86">
        <w:rPr>
          <w:rFonts w:ascii="Arial" w:eastAsia="Calibri" w:hAnsi="Arial" w:cs="Arial"/>
          <w:sz w:val="22"/>
          <w:lang w:val="hr-HR"/>
        </w:rPr>
        <w:t xml:space="preserve">OPĆEG DIJELA </w:t>
      </w:r>
      <w:r w:rsidR="00BF1881">
        <w:rPr>
          <w:rFonts w:ascii="Arial" w:eastAsia="Calibri" w:hAnsi="Arial" w:cs="Arial"/>
          <w:sz w:val="22"/>
          <w:lang w:val="hr-HR"/>
        </w:rPr>
        <w:t>POLUGO</w:t>
      </w:r>
      <w:r w:rsidR="00DF4972" w:rsidRPr="003A2F86">
        <w:rPr>
          <w:rFonts w:ascii="Arial" w:eastAsia="Calibri" w:hAnsi="Arial" w:cs="Arial"/>
          <w:sz w:val="22"/>
          <w:lang w:val="hr-HR"/>
        </w:rPr>
        <w:t>DIŠNJE</w:t>
      </w:r>
      <w:r w:rsidR="006B063D" w:rsidRPr="003A2F86">
        <w:rPr>
          <w:rFonts w:ascii="Arial" w:eastAsia="Calibri" w:hAnsi="Arial" w:cs="Arial"/>
          <w:sz w:val="22"/>
          <w:lang w:val="hr-HR"/>
        </w:rPr>
        <w:t>G</w:t>
      </w:r>
      <w:r w:rsidR="00DF4972" w:rsidRPr="003A2F86">
        <w:rPr>
          <w:rFonts w:ascii="Arial" w:eastAsia="Calibri" w:hAnsi="Arial" w:cs="Arial"/>
          <w:sz w:val="22"/>
          <w:lang w:val="hr-HR"/>
        </w:rPr>
        <w:t xml:space="preserve"> IZVJEŠTAJA O IZVRŠENJU PRORAČUNA</w:t>
      </w:r>
      <w:bookmarkStart w:id="11" w:name="Obrazloženje_općeg_dijela_izvještaja"/>
      <w:bookmarkEnd w:id="10"/>
      <w:bookmarkEnd w:id="11"/>
    </w:p>
    <w:p w14:paraId="6C8B0E5A" w14:textId="77777777" w:rsidR="00891119" w:rsidRPr="003A2F86" w:rsidRDefault="00891119" w:rsidP="00891119">
      <w:pPr>
        <w:autoSpaceDE w:val="0"/>
        <w:autoSpaceDN w:val="0"/>
        <w:adjustRightInd w:val="0"/>
        <w:spacing w:after="0" w:line="240" w:lineRule="auto"/>
        <w:rPr>
          <w:rFonts w:ascii="Arial" w:eastAsia="Times New Roman" w:hAnsi="Arial" w:cs="Arial"/>
          <w:sz w:val="18"/>
        </w:rPr>
      </w:pPr>
    </w:p>
    <w:p w14:paraId="5669F368" w14:textId="77777777" w:rsidR="00DF4972" w:rsidRPr="003A2F86" w:rsidRDefault="00DF4972" w:rsidP="00891119">
      <w:pPr>
        <w:autoSpaceDE w:val="0"/>
        <w:autoSpaceDN w:val="0"/>
        <w:adjustRightInd w:val="0"/>
        <w:spacing w:after="0" w:line="240" w:lineRule="auto"/>
        <w:rPr>
          <w:rFonts w:ascii="Arial" w:eastAsia="Times New Roman" w:hAnsi="Arial" w:cs="Arial"/>
          <w:sz w:val="18"/>
        </w:rPr>
      </w:pPr>
    </w:p>
    <w:p w14:paraId="69D10939" w14:textId="0A2D3E0C" w:rsidR="006B063D" w:rsidRPr="003A2F86" w:rsidRDefault="006B063D" w:rsidP="006B063D">
      <w:pPr>
        <w:pStyle w:val="Naslov2"/>
        <w:jc w:val="center"/>
        <w:rPr>
          <w:rFonts w:ascii="Arial" w:eastAsia="Calibri" w:hAnsi="Arial" w:cs="Arial"/>
          <w:sz w:val="22"/>
          <w:lang w:val="hr-HR"/>
        </w:rPr>
      </w:pPr>
      <w:bookmarkStart w:id="12" w:name="_Toc232981380"/>
      <w:r w:rsidRPr="003A2F86">
        <w:rPr>
          <w:rFonts w:ascii="Arial" w:eastAsia="Calibri" w:hAnsi="Arial" w:cs="Arial"/>
          <w:sz w:val="22"/>
          <w:lang w:val="hr-HR"/>
        </w:rPr>
        <w:t>2.1.</w:t>
      </w:r>
      <w:r w:rsidRPr="003A2F86">
        <w:rPr>
          <w:rFonts w:ascii="Arial" w:eastAsia="Calibri" w:hAnsi="Arial" w:cs="Arial"/>
          <w:sz w:val="22"/>
          <w:lang w:val="hr-HR"/>
        </w:rPr>
        <w:tab/>
        <w:t>PRIKAZ IZVRŠENJA PRORAČUNA ZA PRETHODNA RAZDOBLJA U VALUTI EURO, TE PLAN ZA 202</w:t>
      </w:r>
      <w:r w:rsidR="00BF1881">
        <w:rPr>
          <w:rFonts w:ascii="Arial" w:eastAsia="Calibri" w:hAnsi="Arial" w:cs="Arial"/>
          <w:sz w:val="22"/>
          <w:lang w:val="hr-HR"/>
        </w:rPr>
        <w:t>5</w:t>
      </w:r>
      <w:r w:rsidRPr="003A2F86">
        <w:rPr>
          <w:rFonts w:ascii="Arial" w:eastAsia="Calibri" w:hAnsi="Arial" w:cs="Arial"/>
          <w:sz w:val="22"/>
          <w:lang w:val="hr-HR"/>
        </w:rPr>
        <w:t xml:space="preserve">. S IZVRŠENJEM </w:t>
      </w:r>
      <w:r w:rsidR="00867243" w:rsidRPr="003A2F86">
        <w:rPr>
          <w:rFonts w:ascii="Arial" w:eastAsia="Calibri" w:hAnsi="Arial" w:cs="Arial"/>
          <w:sz w:val="22"/>
          <w:lang w:val="hr-HR"/>
        </w:rPr>
        <w:t xml:space="preserve">ZA </w:t>
      </w:r>
      <w:r w:rsidR="00F952A1" w:rsidRPr="003A2F86">
        <w:rPr>
          <w:rFonts w:ascii="Arial" w:eastAsia="Calibri" w:hAnsi="Arial" w:cs="Arial"/>
          <w:sz w:val="22"/>
          <w:lang w:val="hr-HR"/>
        </w:rPr>
        <w:t>202</w:t>
      </w:r>
      <w:r w:rsidR="00BF1881">
        <w:rPr>
          <w:rFonts w:ascii="Arial" w:eastAsia="Calibri" w:hAnsi="Arial" w:cs="Arial"/>
          <w:sz w:val="22"/>
          <w:lang w:val="hr-HR"/>
        </w:rPr>
        <w:t>5</w:t>
      </w:r>
      <w:r w:rsidRPr="003A2F86">
        <w:rPr>
          <w:rFonts w:ascii="Arial" w:eastAsia="Calibri" w:hAnsi="Arial" w:cs="Arial"/>
          <w:sz w:val="22"/>
          <w:lang w:val="hr-HR"/>
        </w:rPr>
        <w:t>.</w:t>
      </w:r>
      <w:bookmarkEnd w:id="12"/>
    </w:p>
    <w:p w14:paraId="74F73DF1" w14:textId="77777777" w:rsidR="00DF4972" w:rsidRPr="003A2F86" w:rsidRDefault="00DF4972" w:rsidP="00891119">
      <w:pPr>
        <w:autoSpaceDE w:val="0"/>
        <w:autoSpaceDN w:val="0"/>
        <w:adjustRightInd w:val="0"/>
        <w:spacing w:after="0" w:line="240" w:lineRule="auto"/>
        <w:rPr>
          <w:rFonts w:ascii="Arial" w:eastAsia="Times New Roman" w:hAnsi="Arial" w:cs="Arial"/>
          <w:sz w:val="18"/>
        </w:rPr>
      </w:pPr>
    </w:p>
    <w:p w14:paraId="2D014D93"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0A04B112" w14:textId="3B38321D" w:rsidR="006B063D" w:rsidRPr="003A2F86" w:rsidRDefault="006B063D" w:rsidP="006B063D">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 xml:space="preserve">U ovom dijelu Izvještaja prikazuje se izvršenje proračuna </w:t>
      </w:r>
      <w:r w:rsidRPr="003A2F86">
        <w:rPr>
          <w:rFonts w:ascii="Arial" w:eastAsia="Times New Roman" w:hAnsi="Arial" w:cs="Arial"/>
          <w:b/>
          <w:bCs/>
        </w:rPr>
        <w:t>za određeni niz prethodnih godina i tekuću 202</w:t>
      </w:r>
      <w:r w:rsidR="00BF1881">
        <w:rPr>
          <w:rFonts w:ascii="Arial" w:eastAsia="Times New Roman" w:hAnsi="Arial" w:cs="Arial"/>
          <w:b/>
          <w:bCs/>
        </w:rPr>
        <w:t>5</w:t>
      </w:r>
      <w:r w:rsidRPr="003A2F86">
        <w:rPr>
          <w:rFonts w:ascii="Arial" w:eastAsia="Times New Roman" w:hAnsi="Arial" w:cs="Arial"/>
          <w:b/>
          <w:bCs/>
        </w:rPr>
        <w:t>. godinu.</w:t>
      </w:r>
      <w:r w:rsidRPr="003A2F86">
        <w:rPr>
          <w:rFonts w:ascii="Arial" w:eastAsia="Times New Roman" w:hAnsi="Arial" w:cs="Arial"/>
        </w:rPr>
        <w:t xml:space="preserve"> Izvršenje uključuje Općinu (</w:t>
      </w:r>
      <w:r w:rsidRPr="003A2F86">
        <w:rPr>
          <w:rFonts w:ascii="Arial" w:eastAsia="Times New Roman" w:hAnsi="Arial" w:cs="Arial"/>
          <w:color w:val="1F497D" w:themeColor="text2"/>
        </w:rPr>
        <w:t>razina 22</w:t>
      </w:r>
      <w:r w:rsidRPr="003A2F86">
        <w:rPr>
          <w:rFonts w:ascii="Arial" w:eastAsia="Times New Roman" w:hAnsi="Arial" w:cs="Arial"/>
        </w:rPr>
        <w:t>), pojedinačno četiri proračunska korisnika Općine, te zbirno izvršenje koje uključuje Općinu i proračunske korisnike Općine (</w:t>
      </w:r>
      <w:r w:rsidRPr="003A2F86">
        <w:rPr>
          <w:rFonts w:ascii="Arial" w:eastAsia="Times New Roman" w:hAnsi="Arial" w:cs="Arial"/>
          <w:color w:val="7030A0"/>
        </w:rPr>
        <w:t>razina 23</w:t>
      </w:r>
      <w:r w:rsidRPr="003A2F86">
        <w:rPr>
          <w:rFonts w:ascii="Arial" w:eastAsia="Times New Roman" w:hAnsi="Arial" w:cs="Arial"/>
        </w:rPr>
        <w:t xml:space="preserve">). </w:t>
      </w:r>
    </w:p>
    <w:p w14:paraId="7109AD2B"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18037634" w14:textId="2D096D86" w:rsidR="00F952A1" w:rsidRPr="003A2F86" w:rsidRDefault="00F952A1" w:rsidP="006B063D">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b/>
          <w:bCs/>
        </w:rPr>
        <w:t>Proračunski korisnici Općine</w:t>
      </w:r>
      <w:r w:rsidRPr="003A2F86">
        <w:rPr>
          <w:rFonts w:ascii="Arial" w:eastAsia="Times New Roman" w:hAnsi="Arial" w:cs="Arial"/>
        </w:rPr>
        <w:t xml:space="preserve"> su:</w:t>
      </w:r>
    </w:p>
    <w:p w14:paraId="70D95605" w14:textId="3C479163" w:rsidR="00F952A1" w:rsidRPr="003A2F86" w:rsidRDefault="00F952A1" w:rsidP="00F952A1">
      <w:pPr>
        <w:autoSpaceDE w:val="0"/>
        <w:autoSpaceDN w:val="0"/>
        <w:adjustRightInd w:val="0"/>
        <w:spacing w:after="0" w:line="240" w:lineRule="auto"/>
        <w:ind w:firstLine="709"/>
        <w:jc w:val="both"/>
        <w:rPr>
          <w:rFonts w:ascii="Arial" w:eastAsia="Times New Roman" w:hAnsi="Arial" w:cs="Arial"/>
        </w:rPr>
      </w:pPr>
      <w:r w:rsidRPr="003A2F86">
        <w:rPr>
          <w:rFonts w:ascii="Arial" w:eastAsia="Times New Roman" w:hAnsi="Arial" w:cs="Arial"/>
        </w:rPr>
        <w:t>1. Predškolska ustanova Dječji vrtić Konavle,</w:t>
      </w:r>
    </w:p>
    <w:p w14:paraId="66F3F937" w14:textId="6EED6823" w:rsidR="00F952A1" w:rsidRPr="003A2F86" w:rsidRDefault="00F952A1" w:rsidP="00F952A1">
      <w:pPr>
        <w:autoSpaceDE w:val="0"/>
        <w:autoSpaceDN w:val="0"/>
        <w:adjustRightInd w:val="0"/>
        <w:spacing w:after="0" w:line="240" w:lineRule="auto"/>
        <w:ind w:firstLine="709"/>
        <w:jc w:val="both"/>
        <w:rPr>
          <w:rFonts w:ascii="Arial" w:eastAsia="Times New Roman" w:hAnsi="Arial" w:cs="Arial"/>
        </w:rPr>
      </w:pPr>
      <w:r w:rsidRPr="003A2F86">
        <w:rPr>
          <w:rFonts w:ascii="Arial" w:eastAsia="Times New Roman" w:hAnsi="Arial" w:cs="Arial"/>
        </w:rPr>
        <w:t>2. Muzeji i galerije Konavala</w:t>
      </w:r>
    </w:p>
    <w:p w14:paraId="1C61350D" w14:textId="429CCDAA" w:rsidR="00F952A1" w:rsidRPr="003A2F86" w:rsidRDefault="00F952A1" w:rsidP="00F952A1">
      <w:pPr>
        <w:autoSpaceDE w:val="0"/>
        <w:autoSpaceDN w:val="0"/>
        <w:adjustRightInd w:val="0"/>
        <w:spacing w:after="0" w:line="240" w:lineRule="auto"/>
        <w:ind w:firstLine="709"/>
        <w:jc w:val="both"/>
        <w:rPr>
          <w:rFonts w:ascii="Arial" w:eastAsia="Times New Roman" w:hAnsi="Arial" w:cs="Arial"/>
        </w:rPr>
      </w:pPr>
      <w:r w:rsidRPr="003A2F86">
        <w:rPr>
          <w:rFonts w:ascii="Arial" w:eastAsia="Times New Roman" w:hAnsi="Arial" w:cs="Arial"/>
        </w:rPr>
        <w:t>3. Javna vatrogasna postrojba Konavle</w:t>
      </w:r>
    </w:p>
    <w:p w14:paraId="2984D607" w14:textId="18FC9F32" w:rsidR="00F952A1" w:rsidRPr="003A2F86" w:rsidRDefault="00F952A1" w:rsidP="00F952A1">
      <w:pPr>
        <w:autoSpaceDE w:val="0"/>
        <w:autoSpaceDN w:val="0"/>
        <w:adjustRightInd w:val="0"/>
        <w:spacing w:after="0" w:line="240" w:lineRule="auto"/>
        <w:ind w:firstLine="709"/>
        <w:jc w:val="both"/>
        <w:rPr>
          <w:rFonts w:ascii="Arial" w:eastAsia="Times New Roman" w:hAnsi="Arial" w:cs="Arial"/>
        </w:rPr>
      </w:pPr>
      <w:r w:rsidRPr="003A2F86">
        <w:rPr>
          <w:rFonts w:ascii="Arial" w:eastAsia="Times New Roman" w:hAnsi="Arial" w:cs="Arial"/>
        </w:rPr>
        <w:t>4. Dom za starije i nemoćne osobe Konavle</w:t>
      </w:r>
      <w:r w:rsidR="00D43FA1">
        <w:rPr>
          <w:rFonts w:ascii="Arial" w:eastAsia="Times New Roman" w:hAnsi="Arial" w:cs="Arial"/>
        </w:rPr>
        <w:t xml:space="preserve"> (od 10.4.2026. godine </w:t>
      </w:r>
      <w:r w:rsidR="00D43FA1" w:rsidRPr="00D43FA1">
        <w:rPr>
          <w:rFonts w:ascii="Arial" w:eastAsia="Times New Roman" w:hAnsi="Arial" w:cs="Arial"/>
          <w:b/>
          <w:bCs/>
          <w:i/>
          <w:iCs/>
        </w:rPr>
        <w:t>novi naziv</w:t>
      </w:r>
      <w:r w:rsidR="00D43FA1">
        <w:rPr>
          <w:rFonts w:ascii="Arial" w:eastAsia="Times New Roman" w:hAnsi="Arial" w:cs="Arial"/>
        </w:rPr>
        <w:t xml:space="preserve"> </w:t>
      </w:r>
      <w:r w:rsidR="00D43FA1" w:rsidRPr="00D43FA1">
        <w:rPr>
          <w:rFonts w:ascii="Arial" w:eastAsia="Times New Roman" w:hAnsi="Arial" w:cs="Arial"/>
          <w:i/>
          <w:iCs/>
        </w:rPr>
        <w:t>Dom za starije osobe Konavle</w:t>
      </w:r>
      <w:r w:rsidR="00D43FA1">
        <w:rPr>
          <w:rFonts w:ascii="Arial" w:eastAsia="Times New Roman" w:hAnsi="Arial" w:cs="Arial"/>
        </w:rPr>
        <w:t>)</w:t>
      </w:r>
      <w:r w:rsidRPr="003A2F86">
        <w:rPr>
          <w:rFonts w:ascii="Arial" w:eastAsia="Times New Roman" w:hAnsi="Arial" w:cs="Arial"/>
        </w:rPr>
        <w:t>.</w:t>
      </w:r>
    </w:p>
    <w:p w14:paraId="2C3C227D" w14:textId="77777777" w:rsidR="00F952A1" w:rsidRPr="003A2F86" w:rsidRDefault="00F952A1" w:rsidP="006B063D">
      <w:pPr>
        <w:autoSpaceDE w:val="0"/>
        <w:autoSpaceDN w:val="0"/>
        <w:adjustRightInd w:val="0"/>
        <w:spacing w:after="0" w:line="240" w:lineRule="auto"/>
        <w:jc w:val="both"/>
        <w:rPr>
          <w:rFonts w:ascii="Arial" w:eastAsia="Times New Roman" w:hAnsi="Arial" w:cs="Arial"/>
        </w:rPr>
      </w:pPr>
    </w:p>
    <w:p w14:paraId="1B453C37"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Iz priloženih tabličnih i grafičkih prikaza u nastavku vidljiv je utjecaj i udio proračunskih korisnika u ostvarenju prihoda, odnosno izvršenju rashoda Proračuna Općine Konavle.</w:t>
      </w:r>
    </w:p>
    <w:p w14:paraId="61D432AF" w14:textId="2C38818B" w:rsidR="009E5D1B" w:rsidRPr="003A2F86" w:rsidRDefault="009E5D1B" w:rsidP="009E5D1B">
      <w:pPr>
        <w:autoSpaceDE w:val="0"/>
        <w:autoSpaceDN w:val="0"/>
        <w:adjustRightInd w:val="0"/>
        <w:spacing w:after="0" w:line="240" w:lineRule="auto"/>
        <w:jc w:val="both"/>
        <w:rPr>
          <w:rFonts w:ascii="Arial" w:eastAsia="Times New Roman" w:hAnsi="Arial" w:cs="Arial"/>
        </w:rPr>
      </w:pPr>
    </w:p>
    <w:p w14:paraId="47FA3797" w14:textId="6D0447BE" w:rsidR="006B063D" w:rsidRPr="003A2F86" w:rsidRDefault="009E5D1B" w:rsidP="009E5D1B">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 xml:space="preserve">Utjecaj pandemije bolesti COVID–19 tijekom 2020. i 2021. godine značajno je utjecao na smanjenje proračunskih sredstava </w:t>
      </w:r>
      <w:r w:rsidR="00323CD1" w:rsidRPr="003A2F86">
        <w:rPr>
          <w:rFonts w:ascii="Arial" w:eastAsia="Times New Roman" w:hAnsi="Arial" w:cs="Arial"/>
        </w:rPr>
        <w:t xml:space="preserve">što je vidljivo iz prikaza u nastavku </w:t>
      </w:r>
      <w:r w:rsidRPr="003A2F86">
        <w:rPr>
          <w:rFonts w:ascii="Arial" w:eastAsia="Times New Roman" w:hAnsi="Arial" w:cs="Arial"/>
        </w:rPr>
        <w:t>ove točke</w:t>
      </w:r>
      <w:r w:rsidR="004019B1" w:rsidRPr="003A2F86">
        <w:rPr>
          <w:rFonts w:ascii="Arial" w:eastAsia="Times New Roman" w:hAnsi="Arial" w:cs="Arial"/>
        </w:rPr>
        <w:t>.</w:t>
      </w:r>
    </w:p>
    <w:p w14:paraId="653368BB" w14:textId="77777777" w:rsidR="006B063D" w:rsidRPr="003A2F86" w:rsidRDefault="006B063D" w:rsidP="006B063D">
      <w:pPr>
        <w:tabs>
          <w:tab w:val="left" w:pos="142"/>
        </w:tabs>
        <w:autoSpaceDE w:val="0"/>
        <w:autoSpaceDN w:val="0"/>
        <w:adjustRightInd w:val="0"/>
        <w:spacing w:after="0" w:line="240" w:lineRule="auto"/>
        <w:jc w:val="both"/>
        <w:rPr>
          <w:rFonts w:ascii="Arial" w:eastAsia="Times New Roman" w:hAnsi="Arial" w:cs="Arial"/>
        </w:rPr>
      </w:pPr>
    </w:p>
    <w:p w14:paraId="1CFE2180" w14:textId="77777777" w:rsidR="006B063D" w:rsidRPr="003A2F86" w:rsidRDefault="006B063D" w:rsidP="006B063D">
      <w:pPr>
        <w:tabs>
          <w:tab w:val="left" w:pos="142"/>
        </w:tabs>
        <w:autoSpaceDE w:val="0"/>
        <w:autoSpaceDN w:val="0"/>
        <w:adjustRightInd w:val="0"/>
        <w:spacing w:after="0" w:line="240" w:lineRule="auto"/>
        <w:jc w:val="both"/>
        <w:rPr>
          <w:rFonts w:ascii="Arial" w:eastAsia="Times New Roman" w:hAnsi="Arial" w:cs="Arial"/>
        </w:rPr>
      </w:pPr>
    </w:p>
    <w:p w14:paraId="5C57DF20" w14:textId="77777777" w:rsidR="006B063D" w:rsidRPr="003A2F86" w:rsidRDefault="006B063D" w:rsidP="006B063D">
      <w:pPr>
        <w:tabs>
          <w:tab w:val="left" w:pos="142"/>
        </w:tabs>
        <w:autoSpaceDE w:val="0"/>
        <w:autoSpaceDN w:val="0"/>
        <w:adjustRightInd w:val="0"/>
        <w:spacing w:after="0" w:line="240" w:lineRule="auto"/>
        <w:jc w:val="both"/>
        <w:rPr>
          <w:rFonts w:ascii="Arial" w:eastAsia="Times New Roman" w:hAnsi="Arial" w:cs="Arial"/>
        </w:rPr>
      </w:pPr>
    </w:p>
    <w:p w14:paraId="3217AE3C" w14:textId="77777777" w:rsidR="006B063D" w:rsidRPr="003A2F86" w:rsidRDefault="006B063D" w:rsidP="006B063D">
      <w:pPr>
        <w:tabs>
          <w:tab w:val="left" w:pos="142"/>
        </w:tabs>
        <w:autoSpaceDE w:val="0"/>
        <w:autoSpaceDN w:val="0"/>
        <w:adjustRightInd w:val="0"/>
        <w:spacing w:after="0" w:line="240" w:lineRule="auto"/>
        <w:jc w:val="both"/>
        <w:rPr>
          <w:rFonts w:ascii="Arial" w:eastAsia="Times New Roman" w:hAnsi="Arial" w:cs="Arial"/>
        </w:rPr>
      </w:pPr>
    </w:p>
    <w:p w14:paraId="518404F2" w14:textId="77777777" w:rsidR="006B063D" w:rsidRPr="003A2F86" w:rsidRDefault="006B063D" w:rsidP="006B063D">
      <w:pPr>
        <w:tabs>
          <w:tab w:val="left" w:pos="142"/>
        </w:tabs>
        <w:autoSpaceDE w:val="0"/>
        <w:autoSpaceDN w:val="0"/>
        <w:adjustRightInd w:val="0"/>
        <w:spacing w:after="0" w:line="240" w:lineRule="auto"/>
        <w:jc w:val="both"/>
        <w:rPr>
          <w:rFonts w:ascii="Arial" w:eastAsia="Times New Roman" w:hAnsi="Arial" w:cs="Arial"/>
        </w:rPr>
      </w:pPr>
    </w:p>
    <w:p w14:paraId="50BE86E3" w14:textId="77777777" w:rsidR="006B063D" w:rsidRPr="003A2F86" w:rsidRDefault="006B063D" w:rsidP="006B063D">
      <w:pPr>
        <w:tabs>
          <w:tab w:val="left" w:pos="142"/>
        </w:tabs>
        <w:autoSpaceDE w:val="0"/>
        <w:autoSpaceDN w:val="0"/>
        <w:adjustRightInd w:val="0"/>
        <w:spacing w:after="0" w:line="240" w:lineRule="auto"/>
        <w:jc w:val="both"/>
        <w:rPr>
          <w:rFonts w:ascii="Arial" w:eastAsia="Times New Roman" w:hAnsi="Arial" w:cs="Arial"/>
        </w:rPr>
      </w:pPr>
    </w:p>
    <w:p w14:paraId="38499D8A" w14:textId="77777777" w:rsidR="006B063D" w:rsidRPr="003A2F86" w:rsidRDefault="006B063D" w:rsidP="006B063D">
      <w:pPr>
        <w:tabs>
          <w:tab w:val="left" w:pos="142"/>
        </w:tabs>
        <w:autoSpaceDE w:val="0"/>
        <w:autoSpaceDN w:val="0"/>
        <w:adjustRightInd w:val="0"/>
        <w:spacing w:after="0" w:line="240" w:lineRule="auto"/>
        <w:jc w:val="both"/>
        <w:rPr>
          <w:rFonts w:ascii="Arial" w:eastAsia="Times New Roman" w:hAnsi="Arial" w:cs="Arial"/>
        </w:rPr>
      </w:pPr>
    </w:p>
    <w:p w14:paraId="7B2D8042" w14:textId="77777777" w:rsidR="006B063D" w:rsidRPr="003A2F86" w:rsidRDefault="006B063D" w:rsidP="006B063D">
      <w:pPr>
        <w:tabs>
          <w:tab w:val="left" w:pos="142"/>
        </w:tabs>
        <w:autoSpaceDE w:val="0"/>
        <w:autoSpaceDN w:val="0"/>
        <w:adjustRightInd w:val="0"/>
        <w:spacing w:after="0" w:line="240" w:lineRule="auto"/>
        <w:jc w:val="both"/>
        <w:rPr>
          <w:rFonts w:ascii="Arial" w:eastAsia="Times New Roman" w:hAnsi="Arial" w:cs="Arial"/>
        </w:rPr>
      </w:pPr>
    </w:p>
    <w:p w14:paraId="69D73EF7" w14:textId="77777777" w:rsidR="009E5D1B" w:rsidRPr="003A2F86" w:rsidRDefault="009E5D1B" w:rsidP="006B063D">
      <w:pPr>
        <w:tabs>
          <w:tab w:val="left" w:pos="142"/>
        </w:tabs>
        <w:autoSpaceDE w:val="0"/>
        <w:autoSpaceDN w:val="0"/>
        <w:adjustRightInd w:val="0"/>
        <w:spacing w:after="0" w:line="240" w:lineRule="auto"/>
        <w:jc w:val="both"/>
        <w:rPr>
          <w:rFonts w:ascii="Arial" w:eastAsia="Times New Roman" w:hAnsi="Arial" w:cs="Arial"/>
        </w:rPr>
      </w:pPr>
    </w:p>
    <w:p w14:paraId="28D65E13" w14:textId="77777777" w:rsidR="009E5D1B" w:rsidRPr="003A2F86" w:rsidRDefault="009E5D1B" w:rsidP="006B063D">
      <w:pPr>
        <w:tabs>
          <w:tab w:val="left" w:pos="142"/>
        </w:tabs>
        <w:autoSpaceDE w:val="0"/>
        <w:autoSpaceDN w:val="0"/>
        <w:adjustRightInd w:val="0"/>
        <w:spacing w:after="0" w:line="240" w:lineRule="auto"/>
        <w:jc w:val="both"/>
        <w:rPr>
          <w:rFonts w:ascii="Arial" w:eastAsia="Times New Roman" w:hAnsi="Arial" w:cs="Arial"/>
        </w:rPr>
      </w:pPr>
    </w:p>
    <w:p w14:paraId="36167B34" w14:textId="77777777" w:rsidR="009E5D1B" w:rsidRPr="003A2F86" w:rsidRDefault="009E5D1B" w:rsidP="006B063D">
      <w:pPr>
        <w:tabs>
          <w:tab w:val="left" w:pos="142"/>
        </w:tabs>
        <w:autoSpaceDE w:val="0"/>
        <w:autoSpaceDN w:val="0"/>
        <w:adjustRightInd w:val="0"/>
        <w:spacing w:after="0" w:line="240" w:lineRule="auto"/>
        <w:jc w:val="both"/>
        <w:rPr>
          <w:rFonts w:ascii="Arial" w:eastAsia="Times New Roman" w:hAnsi="Arial" w:cs="Arial"/>
        </w:rPr>
      </w:pPr>
    </w:p>
    <w:p w14:paraId="1B9E6EF9" w14:textId="77777777" w:rsidR="006B063D" w:rsidRPr="003A2F86" w:rsidRDefault="006B063D" w:rsidP="006B063D">
      <w:pPr>
        <w:tabs>
          <w:tab w:val="left" w:pos="142"/>
        </w:tabs>
        <w:autoSpaceDE w:val="0"/>
        <w:autoSpaceDN w:val="0"/>
        <w:adjustRightInd w:val="0"/>
        <w:spacing w:after="0" w:line="240" w:lineRule="auto"/>
        <w:jc w:val="both"/>
        <w:rPr>
          <w:rFonts w:ascii="Arial" w:eastAsia="Times New Roman" w:hAnsi="Arial" w:cs="Arial"/>
        </w:rPr>
      </w:pPr>
    </w:p>
    <w:p w14:paraId="2813F7D6" w14:textId="77777777" w:rsidR="006B063D" w:rsidRPr="003A2F86" w:rsidRDefault="006B063D" w:rsidP="006B063D">
      <w:pPr>
        <w:tabs>
          <w:tab w:val="left" w:pos="142"/>
        </w:tabs>
        <w:autoSpaceDE w:val="0"/>
        <w:autoSpaceDN w:val="0"/>
        <w:adjustRightInd w:val="0"/>
        <w:spacing w:after="0" w:line="240" w:lineRule="auto"/>
        <w:jc w:val="both"/>
        <w:rPr>
          <w:rFonts w:ascii="Arial" w:eastAsia="Times New Roman" w:hAnsi="Arial" w:cs="Arial"/>
        </w:rPr>
      </w:pPr>
    </w:p>
    <w:p w14:paraId="58BA402C" w14:textId="77777777" w:rsidR="00E344E7" w:rsidRPr="003A2F86" w:rsidRDefault="00E344E7" w:rsidP="006B063D">
      <w:pPr>
        <w:tabs>
          <w:tab w:val="left" w:pos="142"/>
        </w:tabs>
        <w:autoSpaceDE w:val="0"/>
        <w:autoSpaceDN w:val="0"/>
        <w:adjustRightInd w:val="0"/>
        <w:spacing w:after="0" w:line="240" w:lineRule="auto"/>
        <w:jc w:val="both"/>
        <w:rPr>
          <w:rFonts w:ascii="Arial" w:eastAsia="Times New Roman" w:hAnsi="Arial" w:cs="Arial"/>
        </w:rPr>
      </w:pPr>
    </w:p>
    <w:p w14:paraId="21179B1F" w14:textId="77777777" w:rsidR="006B063D" w:rsidRPr="003A2F86" w:rsidRDefault="006B063D" w:rsidP="006B063D">
      <w:pPr>
        <w:tabs>
          <w:tab w:val="left" w:pos="142"/>
        </w:tabs>
        <w:autoSpaceDE w:val="0"/>
        <w:autoSpaceDN w:val="0"/>
        <w:adjustRightInd w:val="0"/>
        <w:spacing w:after="0" w:line="240" w:lineRule="auto"/>
        <w:jc w:val="both"/>
        <w:rPr>
          <w:rFonts w:ascii="Arial" w:eastAsia="Times New Roman" w:hAnsi="Arial" w:cs="Arial"/>
        </w:rPr>
      </w:pPr>
    </w:p>
    <w:p w14:paraId="21A6A797" w14:textId="77777777" w:rsidR="006B063D" w:rsidRPr="003A2F86" w:rsidRDefault="006B063D" w:rsidP="006B063D">
      <w:pPr>
        <w:tabs>
          <w:tab w:val="left" w:pos="142"/>
        </w:tabs>
        <w:autoSpaceDE w:val="0"/>
        <w:autoSpaceDN w:val="0"/>
        <w:adjustRightInd w:val="0"/>
        <w:spacing w:after="0" w:line="240" w:lineRule="auto"/>
        <w:jc w:val="both"/>
        <w:rPr>
          <w:rFonts w:ascii="Arial" w:eastAsia="Times New Roman" w:hAnsi="Arial" w:cs="Arial"/>
        </w:rPr>
      </w:pPr>
    </w:p>
    <w:p w14:paraId="11780F98" w14:textId="77777777" w:rsidR="006B063D" w:rsidRPr="003A2F86" w:rsidRDefault="006B063D" w:rsidP="006B063D">
      <w:pPr>
        <w:tabs>
          <w:tab w:val="left" w:pos="142"/>
        </w:tabs>
        <w:autoSpaceDE w:val="0"/>
        <w:autoSpaceDN w:val="0"/>
        <w:adjustRightInd w:val="0"/>
        <w:spacing w:after="0" w:line="240" w:lineRule="auto"/>
        <w:jc w:val="both"/>
        <w:rPr>
          <w:rFonts w:ascii="Arial" w:eastAsia="Times New Roman" w:hAnsi="Arial" w:cs="Arial"/>
        </w:rPr>
      </w:pPr>
    </w:p>
    <w:p w14:paraId="45FAF57D" w14:textId="77777777" w:rsidR="006B063D" w:rsidRPr="003A2F86" w:rsidRDefault="006B063D" w:rsidP="006B063D">
      <w:pPr>
        <w:tabs>
          <w:tab w:val="left" w:pos="142"/>
        </w:tabs>
        <w:autoSpaceDE w:val="0"/>
        <w:autoSpaceDN w:val="0"/>
        <w:adjustRightInd w:val="0"/>
        <w:spacing w:after="0" w:line="240" w:lineRule="auto"/>
        <w:jc w:val="both"/>
        <w:rPr>
          <w:rFonts w:ascii="Arial" w:eastAsia="Times New Roman" w:hAnsi="Arial" w:cs="Arial"/>
        </w:rPr>
      </w:pPr>
    </w:p>
    <w:p w14:paraId="48E7AE28" w14:textId="5E587367" w:rsidR="00E344E7" w:rsidRPr="003A2F86" w:rsidRDefault="00E344E7" w:rsidP="00E344E7">
      <w:pPr>
        <w:autoSpaceDE w:val="0"/>
        <w:autoSpaceDN w:val="0"/>
        <w:adjustRightInd w:val="0"/>
        <w:spacing w:after="0" w:line="240" w:lineRule="auto"/>
        <w:jc w:val="both"/>
        <w:rPr>
          <w:rFonts w:ascii="Arial" w:eastAsia="Times New Roman" w:hAnsi="Arial" w:cs="Arial"/>
        </w:rPr>
      </w:pPr>
      <w:bookmarkStart w:id="13" w:name="_Hlk17956689"/>
      <w:r w:rsidRPr="003A2F86">
        <w:rPr>
          <w:rFonts w:ascii="Arial" w:eastAsia="Times New Roman" w:hAnsi="Arial" w:cs="Arial"/>
        </w:rPr>
        <w:lastRenderedPageBreak/>
        <w:t>U nastavku se daje tablica u kojoj je prikazano izvršenje proračuna za 2015.-202</w:t>
      </w:r>
      <w:r w:rsidR="00BF1881">
        <w:rPr>
          <w:rFonts w:ascii="Arial" w:eastAsia="Times New Roman" w:hAnsi="Arial" w:cs="Arial"/>
        </w:rPr>
        <w:t>5</w:t>
      </w:r>
      <w:r w:rsidRPr="003A2F86">
        <w:rPr>
          <w:rFonts w:ascii="Arial" w:eastAsia="Times New Roman" w:hAnsi="Arial" w:cs="Arial"/>
        </w:rPr>
        <w:t>. s planiranim proračunom za 202</w:t>
      </w:r>
      <w:r w:rsidR="00BF1881">
        <w:rPr>
          <w:rFonts w:ascii="Arial" w:eastAsia="Times New Roman" w:hAnsi="Arial" w:cs="Arial"/>
        </w:rPr>
        <w:t>5</w:t>
      </w:r>
      <w:r w:rsidRPr="003A2F86">
        <w:rPr>
          <w:rFonts w:ascii="Arial" w:eastAsia="Times New Roman" w:hAnsi="Arial" w:cs="Arial"/>
        </w:rPr>
        <w:t>. i projekcijama za 202</w:t>
      </w:r>
      <w:r w:rsidR="00BF1881">
        <w:rPr>
          <w:rFonts w:ascii="Arial" w:eastAsia="Times New Roman" w:hAnsi="Arial" w:cs="Arial"/>
        </w:rPr>
        <w:t>6</w:t>
      </w:r>
      <w:r w:rsidRPr="003A2F86">
        <w:rPr>
          <w:rFonts w:ascii="Arial" w:eastAsia="Times New Roman" w:hAnsi="Arial" w:cs="Arial"/>
        </w:rPr>
        <w:t>.-202</w:t>
      </w:r>
      <w:r w:rsidR="00BF1881">
        <w:rPr>
          <w:rFonts w:ascii="Arial" w:eastAsia="Times New Roman" w:hAnsi="Arial" w:cs="Arial"/>
        </w:rPr>
        <w:t>7</w:t>
      </w:r>
      <w:r w:rsidRPr="003A2F86">
        <w:rPr>
          <w:rFonts w:ascii="Arial" w:eastAsia="Times New Roman" w:hAnsi="Arial" w:cs="Arial"/>
        </w:rPr>
        <w:t>.</w:t>
      </w:r>
    </w:p>
    <w:p w14:paraId="7DF47141" w14:textId="77777777" w:rsidR="00E344E7" w:rsidRPr="003A2F86" w:rsidRDefault="00E344E7" w:rsidP="006B063D">
      <w:pPr>
        <w:pStyle w:val="Opisslike"/>
      </w:pPr>
    </w:p>
    <w:p w14:paraId="47A889E3" w14:textId="38E2EC46" w:rsidR="006B063D" w:rsidRPr="003A2F86" w:rsidRDefault="006B063D" w:rsidP="006B063D">
      <w:pPr>
        <w:pStyle w:val="Opisslike"/>
        <w:rPr>
          <w:rFonts w:ascii="Arial" w:hAnsi="Arial" w:cs="Arial"/>
          <w:szCs w:val="18"/>
        </w:rPr>
      </w:pPr>
      <w:bookmarkStart w:id="14" w:name="_Toc232981522"/>
      <w:r w:rsidRPr="003A2F86">
        <w:rPr>
          <w:color w:val="FF0000"/>
        </w:rPr>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3</w:t>
      </w:r>
      <w:r w:rsidRPr="003A2F86">
        <w:rPr>
          <w:color w:val="FF0000"/>
        </w:rPr>
        <w:fldChar w:fldCharType="end"/>
      </w:r>
      <w:r w:rsidRPr="003A2F86">
        <w:rPr>
          <w:rFonts w:ascii="Arial" w:hAnsi="Arial" w:cs="Arial"/>
          <w:color w:val="FF0000"/>
          <w:sz w:val="22"/>
        </w:rPr>
        <w:t xml:space="preserve">. </w:t>
      </w:r>
      <w:r w:rsidRPr="003A2F86">
        <w:rPr>
          <w:rFonts w:ascii="Arial" w:hAnsi="Arial" w:cs="Arial"/>
          <w:szCs w:val="18"/>
        </w:rPr>
        <w:t>Pregled ostvarenja proračuna za razdoblje 2015.-202</w:t>
      </w:r>
      <w:r w:rsidR="00801CF5">
        <w:rPr>
          <w:rFonts w:ascii="Arial" w:hAnsi="Arial" w:cs="Arial"/>
          <w:szCs w:val="18"/>
        </w:rPr>
        <w:t>5</w:t>
      </w:r>
      <w:r w:rsidR="004019B1" w:rsidRPr="003A2F86">
        <w:rPr>
          <w:rFonts w:ascii="Arial" w:hAnsi="Arial" w:cs="Arial"/>
          <w:szCs w:val="18"/>
        </w:rPr>
        <w:t xml:space="preserve">. </w:t>
      </w:r>
      <w:r w:rsidRPr="003A2F86">
        <w:rPr>
          <w:rFonts w:ascii="Arial" w:hAnsi="Arial" w:cs="Arial"/>
          <w:szCs w:val="18"/>
        </w:rPr>
        <w:t>s projekcijama 202</w:t>
      </w:r>
      <w:r w:rsidR="00BF1881">
        <w:rPr>
          <w:rFonts w:ascii="Arial" w:hAnsi="Arial" w:cs="Arial"/>
          <w:szCs w:val="18"/>
        </w:rPr>
        <w:t>6</w:t>
      </w:r>
      <w:r w:rsidRPr="003A2F86">
        <w:rPr>
          <w:rFonts w:ascii="Arial" w:hAnsi="Arial" w:cs="Arial"/>
          <w:szCs w:val="18"/>
        </w:rPr>
        <w:t>.-202</w:t>
      </w:r>
      <w:r w:rsidR="00BF1881">
        <w:rPr>
          <w:rFonts w:ascii="Arial" w:hAnsi="Arial" w:cs="Arial"/>
          <w:szCs w:val="18"/>
        </w:rPr>
        <w:t>7</w:t>
      </w:r>
      <w:r w:rsidRPr="003A2F86">
        <w:rPr>
          <w:rFonts w:ascii="Arial" w:hAnsi="Arial" w:cs="Arial"/>
          <w:szCs w:val="18"/>
        </w:rPr>
        <w:t>.</w:t>
      </w:r>
      <w:r w:rsidR="00DC2189" w:rsidRPr="003A2F86">
        <w:rPr>
          <w:rFonts w:ascii="Arial" w:hAnsi="Arial" w:cs="Arial"/>
          <w:szCs w:val="18"/>
        </w:rPr>
        <w:t xml:space="preserve">(€) </w:t>
      </w:r>
      <w:r w:rsidRPr="003A2F86">
        <w:rPr>
          <w:rFonts w:ascii="Arial" w:hAnsi="Arial" w:cs="Arial"/>
          <w:szCs w:val="18"/>
        </w:rPr>
        <w:t>– ukupno Općina i proračunski korisnici</w:t>
      </w:r>
      <w:bookmarkEnd w:id="14"/>
    </w:p>
    <w:bookmarkEnd w:id="13"/>
    <w:p w14:paraId="27BE9C43" w14:textId="03CDBBA8"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567D852A" w14:textId="79F77596" w:rsidR="006B063D" w:rsidRPr="003A2F86" w:rsidRDefault="00F155E2" w:rsidP="00C30C24">
      <w:pPr>
        <w:autoSpaceDE w:val="0"/>
        <w:autoSpaceDN w:val="0"/>
        <w:adjustRightInd w:val="0"/>
        <w:spacing w:after="0" w:line="240" w:lineRule="auto"/>
        <w:jc w:val="center"/>
        <w:rPr>
          <w:rFonts w:ascii="Arial" w:eastAsia="Times New Roman" w:hAnsi="Arial" w:cs="Arial"/>
        </w:rPr>
      </w:pPr>
      <w:r w:rsidRPr="00F155E2">
        <w:rPr>
          <w:noProof/>
        </w:rPr>
        <w:drawing>
          <wp:inline distT="0" distB="0" distL="0" distR="0" wp14:anchorId="26DF4CC7" wp14:editId="413B4899">
            <wp:extent cx="9251950" cy="4375150"/>
            <wp:effectExtent l="0" t="0" r="6350" b="6350"/>
            <wp:docPr id="1908665845"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51950" cy="4375150"/>
                    </a:xfrm>
                    <a:prstGeom prst="rect">
                      <a:avLst/>
                    </a:prstGeom>
                    <a:noFill/>
                    <a:ln>
                      <a:noFill/>
                    </a:ln>
                  </pic:spPr>
                </pic:pic>
              </a:graphicData>
            </a:graphic>
          </wp:inline>
        </w:drawing>
      </w:r>
    </w:p>
    <w:p w14:paraId="318C1CF1" w14:textId="77777777" w:rsidR="003A24E1" w:rsidRPr="003A2F86" w:rsidRDefault="003A24E1" w:rsidP="00C30C24">
      <w:pPr>
        <w:autoSpaceDE w:val="0"/>
        <w:autoSpaceDN w:val="0"/>
        <w:adjustRightInd w:val="0"/>
        <w:spacing w:after="0" w:line="240" w:lineRule="auto"/>
        <w:jc w:val="center"/>
        <w:rPr>
          <w:rFonts w:ascii="Arial" w:eastAsia="Times New Roman" w:hAnsi="Arial" w:cs="Arial"/>
        </w:rPr>
      </w:pPr>
    </w:p>
    <w:p w14:paraId="1A1F79EB" w14:textId="77777777" w:rsidR="003A24E1" w:rsidRPr="003A2F86" w:rsidRDefault="003A24E1" w:rsidP="00C30C24">
      <w:pPr>
        <w:autoSpaceDE w:val="0"/>
        <w:autoSpaceDN w:val="0"/>
        <w:adjustRightInd w:val="0"/>
        <w:spacing w:after="0" w:line="240" w:lineRule="auto"/>
        <w:jc w:val="center"/>
        <w:rPr>
          <w:rFonts w:ascii="Arial" w:eastAsia="Times New Roman" w:hAnsi="Arial" w:cs="Arial"/>
        </w:rPr>
      </w:pPr>
    </w:p>
    <w:p w14:paraId="21647697" w14:textId="77777777" w:rsidR="003A24E1" w:rsidRPr="003A2F86" w:rsidRDefault="003A24E1" w:rsidP="00C30C24">
      <w:pPr>
        <w:autoSpaceDE w:val="0"/>
        <w:autoSpaceDN w:val="0"/>
        <w:adjustRightInd w:val="0"/>
        <w:spacing w:after="0" w:line="240" w:lineRule="auto"/>
        <w:jc w:val="center"/>
        <w:rPr>
          <w:rFonts w:ascii="Arial" w:eastAsia="Times New Roman" w:hAnsi="Arial" w:cs="Arial"/>
        </w:rPr>
      </w:pPr>
    </w:p>
    <w:p w14:paraId="3D0D5428" w14:textId="77777777" w:rsidR="00DC2189" w:rsidRPr="003A2F86" w:rsidRDefault="00DC2189" w:rsidP="00C30C24">
      <w:pPr>
        <w:autoSpaceDE w:val="0"/>
        <w:autoSpaceDN w:val="0"/>
        <w:adjustRightInd w:val="0"/>
        <w:spacing w:after="0" w:line="240" w:lineRule="auto"/>
        <w:jc w:val="center"/>
        <w:rPr>
          <w:rFonts w:ascii="Arial" w:eastAsia="Times New Roman" w:hAnsi="Arial" w:cs="Arial"/>
        </w:rPr>
      </w:pPr>
    </w:p>
    <w:p w14:paraId="224EB996" w14:textId="77777777" w:rsidR="003A24E1" w:rsidRPr="003A2F86" w:rsidRDefault="003A24E1" w:rsidP="00C30C24">
      <w:pPr>
        <w:autoSpaceDE w:val="0"/>
        <w:autoSpaceDN w:val="0"/>
        <w:adjustRightInd w:val="0"/>
        <w:spacing w:after="0" w:line="240" w:lineRule="auto"/>
        <w:jc w:val="center"/>
        <w:rPr>
          <w:rFonts w:ascii="Arial" w:eastAsia="Times New Roman" w:hAnsi="Arial" w:cs="Arial"/>
        </w:rPr>
      </w:pPr>
    </w:p>
    <w:p w14:paraId="49EB1DA3" w14:textId="77777777" w:rsidR="003A24E1" w:rsidRPr="003A2F86" w:rsidRDefault="003A24E1" w:rsidP="00C30C24">
      <w:pPr>
        <w:autoSpaceDE w:val="0"/>
        <w:autoSpaceDN w:val="0"/>
        <w:adjustRightInd w:val="0"/>
        <w:spacing w:after="0" w:line="240" w:lineRule="auto"/>
        <w:jc w:val="center"/>
        <w:rPr>
          <w:rFonts w:ascii="Arial" w:eastAsia="Times New Roman" w:hAnsi="Arial" w:cs="Arial"/>
        </w:rPr>
      </w:pPr>
    </w:p>
    <w:p w14:paraId="603DDB02" w14:textId="77777777" w:rsidR="006B063D" w:rsidRPr="003A2F86" w:rsidRDefault="006B063D" w:rsidP="006B063D">
      <w:pPr>
        <w:pStyle w:val="Opisslike"/>
      </w:pPr>
    </w:p>
    <w:p w14:paraId="4007CC58" w14:textId="5708A7C8" w:rsidR="006B063D" w:rsidRPr="003A2F86" w:rsidRDefault="006B063D" w:rsidP="006B063D">
      <w:pPr>
        <w:pStyle w:val="Opisslike"/>
        <w:rPr>
          <w:rFonts w:ascii="Arial" w:hAnsi="Arial" w:cs="Arial"/>
        </w:rPr>
      </w:pPr>
      <w:bookmarkStart w:id="15" w:name="_Toc232981561"/>
      <w:r w:rsidRPr="003A2F86">
        <w:rPr>
          <w:color w:val="FF0000"/>
        </w:rPr>
        <w:t xml:space="preserve">Graf </w:t>
      </w:r>
      <w:r w:rsidRPr="003A2F86">
        <w:rPr>
          <w:color w:val="FF0000"/>
        </w:rPr>
        <w:fldChar w:fldCharType="begin"/>
      </w:r>
      <w:r w:rsidRPr="003A2F86">
        <w:rPr>
          <w:color w:val="FF0000"/>
        </w:rPr>
        <w:instrText xml:space="preserve"> SEQ Graf \* ARABIC </w:instrText>
      </w:r>
      <w:r w:rsidRPr="003A2F86">
        <w:rPr>
          <w:color w:val="FF0000"/>
        </w:rPr>
        <w:fldChar w:fldCharType="separate"/>
      </w:r>
      <w:r w:rsidR="00A821D8">
        <w:rPr>
          <w:noProof/>
          <w:color w:val="FF0000"/>
        </w:rPr>
        <w:t>1</w:t>
      </w:r>
      <w:r w:rsidRPr="003A2F86">
        <w:rPr>
          <w:color w:val="FF0000"/>
        </w:rPr>
        <w:fldChar w:fldCharType="end"/>
      </w:r>
      <w:r w:rsidRPr="003A2F86">
        <w:t>.:</w:t>
      </w:r>
      <w:r w:rsidRPr="003A2F86">
        <w:rPr>
          <w:rFonts w:ascii="Arial" w:hAnsi="Arial" w:cs="Arial"/>
        </w:rPr>
        <w:t xml:space="preserve">Struktura </w:t>
      </w:r>
      <w:r w:rsidRPr="003A2F86">
        <w:rPr>
          <w:rFonts w:ascii="Arial" w:hAnsi="Arial" w:cs="Arial"/>
          <w:u w:val="double"/>
        </w:rPr>
        <w:t>ostvarenih prihoda i primitaka</w:t>
      </w:r>
      <w:r w:rsidRPr="003A2F86">
        <w:rPr>
          <w:rFonts w:ascii="Arial" w:hAnsi="Arial" w:cs="Arial"/>
        </w:rPr>
        <w:t xml:space="preserve"> proračuna u razdoblju 2015.-202</w:t>
      </w:r>
      <w:r w:rsidR="00F155E2">
        <w:rPr>
          <w:rFonts w:ascii="Arial" w:hAnsi="Arial" w:cs="Arial"/>
        </w:rPr>
        <w:t>5</w:t>
      </w:r>
      <w:r w:rsidR="003A24E1" w:rsidRPr="003A2F86">
        <w:rPr>
          <w:rFonts w:ascii="Arial" w:hAnsi="Arial" w:cs="Arial"/>
        </w:rPr>
        <w:t>.</w:t>
      </w:r>
      <w:r w:rsidRPr="003A2F86">
        <w:rPr>
          <w:rFonts w:ascii="Arial" w:hAnsi="Arial" w:cs="Arial"/>
        </w:rPr>
        <w:t xml:space="preserve">: Općina i </w:t>
      </w:r>
      <w:r w:rsidR="004812B6" w:rsidRPr="003A2F86">
        <w:rPr>
          <w:rFonts w:ascii="Arial" w:hAnsi="Arial" w:cs="Arial"/>
        </w:rPr>
        <w:t xml:space="preserve">zbirno </w:t>
      </w:r>
      <w:r w:rsidRPr="003A2F86">
        <w:rPr>
          <w:rFonts w:ascii="Arial" w:hAnsi="Arial" w:cs="Arial"/>
        </w:rPr>
        <w:t>proračunski korisnici Općine (PK)</w:t>
      </w:r>
      <w:bookmarkEnd w:id="15"/>
    </w:p>
    <w:p w14:paraId="06372609"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noProof/>
          <w:color w:val="FF0000"/>
        </w:rPr>
        <w:drawing>
          <wp:anchor distT="0" distB="0" distL="114300" distR="114300" simplePos="0" relativeHeight="251697152" behindDoc="0" locked="0" layoutInCell="1" allowOverlap="1" wp14:anchorId="15B588E1" wp14:editId="31661D65">
            <wp:simplePos x="0" y="0"/>
            <wp:positionH relativeFrom="column">
              <wp:posOffset>1438806</wp:posOffset>
            </wp:positionH>
            <wp:positionV relativeFrom="paragraph">
              <wp:posOffset>152400</wp:posOffset>
            </wp:positionV>
            <wp:extent cx="6819900" cy="2664176"/>
            <wp:effectExtent l="0" t="0" r="0" b="3175"/>
            <wp:wrapNone/>
            <wp:docPr id="49" name="Object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0CBAE77D"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794F4D12"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724CA140"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00D2FBE1"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3915A24F"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0E0073B1"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4262F4B7"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6952D8C9"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2A537BBA"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5FBE46D7"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21B08FC2"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0D87BD4D"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2B75F2D0"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66F0E61C"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42B8A420"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407D454E"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20D88779" w14:textId="77777777" w:rsidR="006B063D" w:rsidRPr="003A2F86" w:rsidRDefault="006B063D" w:rsidP="006B063D">
      <w:pPr>
        <w:pStyle w:val="Opisslike"/>
      </w:pPr>
    </w:p>
    <w:p w14:paraId="2DD1E109" w14:textId="0622DBFC" w:rsidR="006B063D" w:rsidRPr="003A2F86" w:rsidRDefault="006B063D" w:rsidP="006B063D">
      <w:pPr>
        <w:pStyle w:val="Opisslike"/>
        <w:rPr>
          <w:sz w:val="18"/>
          <w:szCs w:val="18"/>
        </w:rPr>
      </w:pPr>
      <w:bookmarkStart w:id="16" w:name="_Toc232981562"/>
      <w:r w:rsidRPr="003A2F86">
        <w:rPr>
          <w:color w:val="FF0000"/>
        </w:rPr>
        <w:t xml:space="preserve">Graf </w:t>
      </w:r>
      <w:r w:rsidRPr="003A2F86">
        <w:rPr>
          <w:color w:val="FF0000"/>
        </w:rPr>
        <w:fldChar w:fldCharType="begin"/>
      </w:r>
      <w:r w:rsidRPr="003A2F86">
        <w:rPr>
          <w:color w:val="FF0000"/>
        </w:rPr>
        <w:instrText xml:space="preserve"> SEQ Graf \* ARABIC </w:instrText>
      </w:r>
      <w:r w:rsidRPr="003A2F86">
        <w:rPr>
          <w:color w:val="FF0000"/>
        </w:rPr>
        <w:fldChar w:fldCharType="separate"/>
      </w:r>
      <w:r w:rsidR="00A821D8">
        <w:rPr>
          <w:noProof/>
          <w:color w:val="FF0000"/>
        </w:rPr>
        <w:t>2</w:t>
      </w:r>
      <w:r w:rsidRPr="003A2F86">
        <w:rPr>
          <w:color w:val="FF0000"/>
        </w:rPr>
        <w:fldChar w:fldCharType="end"/>
      </w:r>
      <w:r w:rsidRPr="003A2F86">
        <w:rPr>
          <w:color w:val="FF0000"/>
        </w:rPr>
        <w:t>.:</w:t>
      </w:r>
      <w:r w:rsidRPr="003A2F86">
        <w:t xml:space="preserve"> </w:t>
      </w:r>
      <w:r w:rsidRPr="003A2F86">
        <w:rPr>
          <w:rFonts w:ascii="Arial" w:hAnsi="Arial" w:cs="Arial"/>
        </w:rPr>
        <w:t xml:space="preserve">Struktura </w:t>
      </w:r>
      <w:r w:rsidRPr="003A2F86">
        <w:rPr>
          <w:rFonts w:ascii="Arial" w:hAnsi="Arial" w:cs="Arial"/>
          <w:u w:val="double"/>
        </w:rPr>
        <w:t>izvršenih rashoda i izdataka</w:t>
      </w:r>
      <w:r w:rsidRPr="003A2F86">
        <w:rPr>
          <w:rFonts w:ascii="Arial" w:hAnsi="Arial" w:cs="Arial"/>
        </w:rPr>
        <w:t xml:space="preserve"> proračuna u razdoblju 2015.-202</w:t>
      </w:r>
      <w:r w:rsidR="002A0CB7">
        <w:rPr>
          <w:rFonts w:ascii="Arial" w:hAnsi="Arial" w:cs="Arial"/>
        </w:rPr>
        <w:t>5</w:t>
      </w:r>
      <w:r w:rsidR="002F0639" w:rsidRPr="003A2F86">
        <w:rPr>
          <w:rFonts w:ascii="Arial" w:hAnsi="Arial" w:cs="Arial"/>
        </w:rPr>
        <w:t>.</w:t>
      </w:r>
      <w:r w:rsidRPr="003A2F86">
        <w:rPr>
          <w:rFonts w:ascii="Arial" w:hAnsi="Arial" w:cs="Arial"/>
        </w:rPr>
        <w:t xml:space="preserve">: Općina i </w:t>
      </w:r>
      <w:r w:rsidR="004812B6" w:rsidRPr="003A2F86">
        <w:rPr>
          <w:rFonts w:ascii="Arial" w:hAnsi="Arial" w:cs="Arial"/>
        </w:rPr>
        <w:t xml:space="preserve">zbirno </w:t>
      </w:r>
      <w:r w:rsidRPr="003A2F86">
        <w:rPr>
          <w:rFonts w:ascii="Arial" w:hAnsi="Arial" w:cs="Arial"/>
        </w:rPr>
        <w:t>proračunski korisnici Općine (PK)</w:t>
      </w:r>
      <w:bookmarkEnd w:id="16"/>
    </w:p>
    <w:p w14:paraId="67B2D2F6" w14:textId="0BF453B7" w:rsidR="006B063D" w:rsidRPr="003A2F86" w:rsidRDefault="002F313B" w:rsidP="006B063D">
      <w:pPr>
        <w:autoSpaceDE w:val="0"/>
        <w:autoSpaceDN w:val="0"/>
        <w:adjustRightInd w:val="0"/>
        <w:spacing w:after="0" w:line="240" w:lineRule="auto"/>
        <w:jc w:val="both"/>
        <w:rPr>
          <w:rFonts w:ascii="Arial" w:eastAsia="Times New Roman" w:hAnsi="Arial" w:cs="Arial"/>
        </w:rPr>
      </w:pPr>
      <w:r w:rsidRPr="003A2F86">
        <w:rPr>
          <w:rFonts w:ascii="Arial" w:hAnsi="Arial" w:cs="Arial"/>
          <w:noProof/>
          <w:color w:val="FF0000"/>
        </w:rPr>
        <w:drawing>
          <wp:anchor distT="0" distB="0" distL="114300" distR="114300" simplePos="0" relativeHeight="251681792" behindDoc="0" locked="0" layoutInCell="1" allowOverlap="1" wp14:anchorId="6761FB0C" wp14:editId="0043B0B9">
            <wp:simplePos x="0" y="0"/>
            <wp:positionH relativeFrom="column">
              <wp:posOffset>981489</wp:posOffset>
            </wp:positionH>
            <wp:positionV relativeFrom="paragraph">
              <wp:posOffset>9669</wp:posOffset>
            </wp:positionV>
            <wp:extent cx="6684728" cy="2767876"/>
            <wp:effectExtent l="0" t="0" r="1905" b="0"/>
            <wp:wrapNone/>
            <wp:docPr id="3" name="Object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52540627"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7C7CD763"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5C5FED45"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671E5717"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12000432"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25ADA8CA"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123110D2"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7F5F0E0B"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7CAAC051"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3DA0DB3D"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5F0777B8"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3C88AF67"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62BDC8EC"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25D20304"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04CA7EE8" w14:textId="77777777" w:rsidR="006B063D" w:rsidRPr="003A2F86" w:rsidRDefault="006B063D" w:rsidP="006B063D">
      <w:pPr>
        <w:autoSpaceDE w:val="0"/>
        <w:autoSpaceDN w:val="0"/>
        <w:adjustRightInd w:val="0"/>
        <w:spacing w:after="0" w:line="240" w:lineRule="auto"/>
        <w:jc w:val="both"/>
        <w:rPr>
          <w:rFonts w:ascii="Arial" w:eastAsia="Times New Roman" w:hAnsi="Arial" w:cs="Arial"/>
        </w:rPr>
      </w:pPr>
    </w:p>
    <w:p w14:paraId="67734493" w14:textId="77777777" w:rsidR="006B063D" w:rsidRPr="003A2F86" w:rsidRDefault="006B063D" w:rsidP="006B063D">
      <w:pPr>
        <w:rPr>
          <w:rFonts w:ascii="Times New Roman" w:eastAsia="Times New Roman" w:hAnsi="Times New Roman" w:cs="Times New Roman"/>
          <w:b/>
          <w:bCs/>
          <w:sz w:val="20"/>
          <w:szCs w:val="20"/>
          <w:lang w:eastAsia="en-US"/>
        </w:rPr>
      </w:pPr>
      <w:bookmarkStart w:id="17" w:name="_Hlk17956801"/>
      <w:r w:rsidRPr="003A2F86">
        <w:br w:type="page"/>
      </w:r>
    </w:p>
    <w:p w14:paraId="4C1AA161" w14:textId="4DCDD930" w:rsidR="006B063D" w:rsidRPr="003A2F86" w:rsidRDefault="006B063D" w:rsidP="006B063D">
      <w:pPr>
        <w:pStyle w:val="Opisslike"/>
        <w:keepNext/>
        <w:rPr>
          <w:rFonts w:ascii="Arial" w:eastAsia="Calibri" w:hAnsi="Arial" w:cs="Arial"/>
        </w:rPr>
      </w:pPr>
      <w:bookmarkStart w:id="18" w:name="_Toc232981523"/>
      <w:bookmarkEnd w:id="17"/>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4</w:t>
      </w:r>
      <w:r w:rsidRPr="003A2F86">
        <w:rPr>
          <w:color w:val="FF0000"/>
        </w:rPr>
        <w:fldChar w:fldCharType="end"/>
      </w:r>
      <w:r w:rsidRPr="003A2F86">
        <w:rPr>
          <w:color w:val="FF0000"/>
        </w:rPr>
        <w:t xml:space="preserve">.: </w:t>
      </w:r>
      <w:r w:rsidRPr="003A2F86">
        <w:rPr>
          <w:rFonts w:ascii="Arial" w:eastAsia="Calibri" w:hAnsi="Arial" w:cs="Arial"/>
        </w:rPr>
        <w:t xml:space="preserve">Pregled </w:t>
      </w:r>
      <w:r w:rsidR="004A29EF" w:rsidRPr="003A2F86">
        <w:rPr>
          <w:rFonts w:ascii="Arial" w:eastAsia="Calibri" w:hAnsi="Arial" w:cs="Arial"/>
        </w:rPr>
        <w:t xml:space="preserve">sveukupno </w:t>
      </w:r>
      <w:r w:rsidRPr="003A2F86">
        <w:rPr>
          <w:rFonts w:ascii="Arial" w:eastAsia="Calibri" w:hAnsi="Arial" w:cs="Arial"/>
        </w:rPr>
        <w:t xml:space="preserve">ostvarenih </w:t>
      </w:r>
      <w:r w:rsidRPr="003A2F86">
        <w:rPr>
          <w:rFonts w:ascii="Arial" w:eastAsia="Calibri" w:hAnsi="Arial" w:cs="Arial"/>
          <w:u w:val="single"/>
        </w:rPr>
        <w:t>prihoda i primitaka</w:t>
      </w:r>
      <w:r w:rsidRPr="003A2F86">
        <w:rPr>
          <w:rFonts w:ascii="Arial" w:eastAsia="Calibri" w:hAnsi="Arial" w:cs="Arial"/>
        </w:rPr>
        <w:t xml:space="preserve"> na razini skupine u razdoblju 2019.-202</w:t>
      </w:r>
      <w:r w:rsidR="002A0CB7">
        <w:rPr>
          <w:rFonts w:ascii="Arial" w:eastAsia="Calibri" w:hAnsi="Arial" w:cs="Arial"/>
        </w:rPr>
        <w:t>5</w:t>
      </w:r>
      <w:r w:rsidR="004F42F3" w:rsidRPr="003A2F86">
        <w:rPr>
          <w:rFonts w:ascii="Arial" w:eastAsia="Calibri" w:hAnsi="Arial" w:cs="Arial"/>
        </w:rPr>
        <w:t xml:space="preserve">. </w:t>
      </w:r>
      <w:r w:rsidRPr="003A2F86">
        <w:rPr>
          <w:rFonts w:ascii="Arial" w:eastAsia="Calibri" w:hAnsi="Arial" w:cs="Arial"/>
        </w:rPr>
        <w:t>s prikazom povećanja / smanjenja (€)</w:t>
      </w:r>
      <w:bookmarkEnd w:id="18"/>
    </w:p>
    <w:p w14:paraId="34ADE83F" w14:textId="1009018F" w:rsidR="006B063D" w:rsidRPr="003A2F86" w:rsidRDefault="006B063D" w:rsidP="001C6255">
      <w:pPr>
        <w:spacing w:after="0" w:line="240" w:lineRule="auto"/>
        <w:rPr>
          <w:lang w:eastAsia="en-US"/>
        </w:rPr>
      </w:pPr>
    </w:p>
    <w:p w14:paraId="08059453" w14:textId="79E1506B" w:rsidR="006B063D" w:rsidRPr="003A2F86" w:rsidRDefault="0030481F" w:rsidP="006B063D">
      <w:pPr>
        <w:jc w:val="center"/>
        <w:rPr>
          <w:rFonts w:ascii="Arial" w:eastAsia="Times New Roman" w:hAnsi="Arial" w:cs="Arial"/>
        </w:rPr>
      </w:pPr>
      <w:r w:rsidRPr="0030481F">
        <w:rPr>
          <w:noProof/>
        </w:rPr>
        <w:drawing>
          <wp:inline distT="0" distB="0" distL="0" distR="0" wp14:anchorId="0ED4CE4F" wp14:editId="418797F3">
            <wp:extent cx="9251950" cy="3694430"/>
            <wp:effectExtent l="0" t="0" r="6350" b="1270"/>
            <wp:docPr id="645887430"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51950" cy="3694430"/>
                    </a:xfrm>
                    <a:prstGeom prst="rect">
                      <a:avLst/>
                    </a:prstGeom>
                    <a:noFill/>
                    <a:ln>
                      <a:noFill/>
                    </a:ln>
                  </pic:spPr>
                </pic:pic>
              </a:graphicData>
            </a:graphic>
          </wp:inline>
        </w:drawing>
      </w:r>
    </w:p>
    <w:p w14:paraId="09EE94F4" w14:textId="77777777" w:rsidR="004F42F3" w:rsidRDefault="004F42F3" w:rsidP="006B063D">
      <w:pPr>
        <w:jc w:val="center"/>
        <w:rPr>
          <w:rFonts w:ascii="Arial" w:eastAsia="Times New Roman" w:hAnsi="Arial" w:cs="Arial"/>
        </w:rPr>
      </w:pPr>
    </w:p>
    <w:p w14:paraId="01A1C734" w14:textId="77777777" w:rsidR="00E20E6B" w:rsidRDefault="00E20E6B" w:rsidP="006B063D">
      <w:pPr>
        <w:jc w:val="center"/>
        <w:rPr>
          <w:rFonts w:ascii="Arial" w:eastAsia="Times New Roman" w:hAnsi="Arial" w:cs="Arial"/>
        </w:rPr>
      </w:pPr>
    </w:p>
    <w:p w14:paraId="04D4AEE6" w14:textId="77777777" w:rsidR="00E20E6B" w:rsidRDefault="00E20E6B" w:rsidP="006B063D">
      <w:pPr>
        <w:jc w:val="center"/>
        <w:rPr>
          <w:rFonts w:ascii="Arial" w:eastAsia="Times New Roman" w:hAnsi="Arial" w:cs="Arial"/>
        </w:rPr>
      </w:pPr>
    </w:p>
    <w:p w14:paraId="1D4FFE38" w14:textId="77777777" w:rsidR="00E20E6B" w:rsidRDefault="00E20E6B" w:rsidP="006B063D">
      <w:pPr>
        <w:jc w:val="center"/>
        <w:rPr>
          <w:rFonts w:ascii="Arial" w:eastAsia="Times New Roman" w:hAnsi="Arial" w:cs="Arial"/>
        </w:rPr>
      </w:pPr>
    </w:p>
    <w:p w14:paraId="28B38608" w14:textId="77777777" w:rsidR="00E20E6B" w:rsidRPr="003A2F86" w:rsidRDefault="00E20E6B" w:rsidP="006B063D">
      <w:pPr>
        <w:jc w:val="center"/>
        <w:rPr>
          <w:rFonts w:ascii="Arial" w:eastAsia="Times New Roman" w:hAnsi="Arial" w:cs="Arial"/>
        </w:rPr>
      </w:pPr>
    </w:p>
    <w:p w14:paraId="5917FB09" w14:textId="77777777" w:rsidR="006B063D" w:rsidRPr="003A2F86" w:rsidRDefault="006B063D" w:rsidP="006B063D">
      <w:pPr>
        <w:jc w:val="center"/>
        <w:rPr>
          <w:rFonts w:ascii="Arial" w:eastAsia="Times New Roman" w:hAnsi="Arial" w:cs="Arial"/>
        </w:rPr>
      </w:pPr>
    </w:p>
    <w:p w14:paraId="08065BAB" w14:textId="3132FF3A" w:rsidR="006B063D" w:rsidRPr="003A2F86" w:rsidRDefault="006B063D" w:rsidP="006B063D">
      <w:pPr>
        <w:pStyle w:val="Opisslike"/>
        <w:keepNext/>
        <w:rPr>
          <w:rFonts w:ascii="Arial" w:eastAsia="Calibri" w:hAnsi="Arial" w:cs="Arial"/>
        </w:rPr>
      </w:pPr>
      <w:bookmarkStart w:id="19" w:name="_Toc232981524"/>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5</w:t>
      </w:r>
      <w:r w:rsidRPr="003A2F86">
        <w:rPr>
          <w:color w:val="FF0000"/>
        </w:rPr>
        <w:fldChar w:fldCharType="end"/>
      </w:r>
      <w:r w:rsidRPr="003A2F86">
        <w:rPr>
          <w:color w:val="FF0000"/>
        </w:rPr>
        <w:t xml:space="preserve">.: </w:t>
      </w:r>
      <w:r w:rsidRPr="003A2F86">
        <w:rPr>
          <w:rFonts w:ascii="Arial" w:eastAsia="Calibri" w:hAnsi="Arial" w:cs="Arial"/>
        </w:rPr>
        <w:t xml:space="preserve">Pregled </w:t>
      </w:r>
      <w:r w:rsidR="004A29EF" w:rsidRPr="003A2F86">
        <w:rPr>
          <w:rFonts w:ascii="Arial" w:eastAsia="Calibri" w:hAnsi="Arial" w:cs="Arial"/>
        </w:rPr>
        <w:t xml:space="preserve">sveukupno </w:t>
      </w:r>
      <w:r w:rsidRPr="003A2F86">
        <w:rPr>
          <w:rFonts w:ascii="Arial" w:eastAsia="Calibri" w:hAnsi="Arial" w:cs="Arial"/>
        </w:rPr>
        <w:t xml:space="preserve">izvršenih </w:t>
      </w:r>
      <w:r w:rsidRPr="003A2F86">
        <w:rPr>
          <w:rFonts w:ascii="Arial" w:eastAsia="Calibri" w:hAnsi="Arial" w:cs="Arial"/>
          <w:u w:val="single"/>
        </w:rPr>
        <w:t>rashoda i izdataka</w:t>
      </w:r>
      <w:r w:rsidRPr="003A2F86">
        <w:rPr>
          <w:rFonts w:ascii="Arial" w:eastAsia="Calibri" w:hAnsi="Arial" w:cs="Arial"/>
        </w:rPr>
        <w:t xml:space="preserve"> na razini skupine u razdoblju 2019.-202</w:t>
      </w:r>
      <w:r w:rsidR="0030481F">
        <w:rPr>
          <w:rFonts w:ascii="Arial" w:eastAsia="Calibri" w:hAnsi="Arial" w:cs="Arial"/>
        </w:rPr>
        <w:t>5</w:t>
      </w:r>
      <w:r w:rsidR="004F42F3" w:rsidRPr="003A2F86">
        <w:rPr>
          <w:rFonts w:ascii="Arial" w:eastAsia="Calibri" w:hAnsi="Arial" w:cs="Arial"/>
        </w:rPr>
        <w:t>.</w:t>
      </w:r>
      <w:r w:rsidR="00E20E6B">
        <w:rPr>
          <w:rFonts w:ascii="Arial" w:eastAsia="Calibri" w:hAnsi="Arial" w:cs="Arial"/>
        </w:rPr>
        <w:t xml:space="preserve"> </w:t>
      </w:r>
      <w:r w:rsidRPr="003A2F86">
        <w:rPr>
          <w:rFonts w:ascii="Arial" w:eastAsia="Calibri" w:hAnsi="Arial" w:cs="Arial"/>
        </w:rPr>
        <w:t>s prikazom povećanja / smanjenja (€)</w:t>
      </w:r>
      <w:bookmarkEnd w:id="19"/>
    </w:p>
    <w:p w14:paraId="76F768F6" w14:textId="77777777" w:rsidR="006B063D" w:rsidRPr="003A2F86" w:rsidRDefault="006B063D" w:rsidP="006B063D">
      <w:pPr>
        <w:spacing w:after="0" w:line="240" w:lineRule="auto"/>
        <w:rPr>
          <w:lang w:eastAsia="en-US"/>
        </w:rPr>
      </w:pPr>
    </w:p>
    <w:p w14:paraId="5C34BEF8" w14:textId="01B34BF6" w:rsidR="00D94CD3" w:rsidRPr="003A2F86" w:rsidRDefault="006836D3" w:rsidP="006B063D">
      <w:pPr>
        <w:jc w:val="center"/>
      </w:pPr>
      <w:r w:rsidRPr="006836D3">
        <w:rPr>
          <w:noProof/>
        </w:rPr>
        <w:drawing>
          <wp:inline distT="0" distB="0" distL="0" distR="0" wp14:anchorId="1665CF55" wp14:editId="46B76FA6">
            <wp:extent cx="9251950" cy="3785235"/>
            <wp:effectExtent l="0" t="0" r="6350" b="5715"/>
            <wp:docPr id="1525567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51950" cy="3785235"/>
                    </a:xfrm>
                    <a:prstGeom prst="rect">
                      <a:avLst/>
                    </a:prstGeom>
                    <a:noFill/>
                    <a:ln>
                      <a:noFill/>
                    </a:ln>
                  </pic:spPr>
                </pic:pic>
              </a:graphicData>
            </a:graphic>
          </wp:inline>
        </w:drawing>
      </w:r>
    </w:p>
    <w:p w14:paraId="58D04719" w14:textId="6E8F1DB6" w:rsidR="00D94CD3" w:rsidRPr="003A2F86" w:rsidRDefault="00D94CD3" w:rsidP="006B063D">
      <w:pPr>
        <w:jc w:val="center"/>
        <w:rPr>
          <w:noProof/>
        </w:rPr>
      </w:pPr>
    </w:p>
    <w:p w14:paraId="44D325C8" w14:textId="77777777" w:rsidR="00193257" w:rsidRDefault="00193257" w:rsidP="006B063D">
      <w:pPr>
        <w:rPr>
          <w:rFonts w:ascii="Arial" w:eastAsia="Times New Roman" w:hAnsi="Arial" w:cs="Arial"/>
        </w:rPr>
      </w:pPr>
    </w:p>
    <w:p w14:paraId="0172267D" w14:textId="77777777" w:rsidR="006909E2" w:rsidRDefault="006909E2" w:rsidP="006B063D">
      <w:pPr>
        <w:rPr>
          <w:rFonts w:ascii="Arial" w:eastAsia="Times New Roman" w:hAnsi="Arial" w:cs="Arial"/>
        </w:rPr>
      </w:pPr>
    </w:p>
    <w:p w14:paraId="0FDC8065" w14:textId="77777777" w:rsidR="006909E2" w:rsidRDefault="006909E2" w:rsidP="006B063D">
      <w:pPr>
        <w:rPr>
          <w:rFonts w:ascii="Arial" w:eastAsia="Times New Roman" w:hAnsi="Arial" w:cs="Arial"/>
        </w:rPr>
      </w:pPr>
    </w:p>
    <w:p w14:paraId="674FFF74" w14:textId="77777777" w:rsidR="00E20E6B" w:rsidRPr="003A2F86" w:rsidRDefault="00E20E6B" w:rsidP="006B063D">
      <w:pPr>
        <w:rPr>
          <w:rFonts w:ascii="Arial" w:eastAsia="Times New Roman" w:hAnsi="Arial" w:cs="Arial"/>
        </w:rPr>
      </w:pPr>
    </w:p>
    <w:p w14:paraId="17091FFA" w14:textId="4D7CFB4C" w:rsidR="006B063D" w:rsidRPr="003A2F86" w:rsidRDefault="006B063D" w:rsidP="006B063D">
      <w:pPr>
        <w:pStyle w:val="Opisslike"/>
        <w:keepNext/>
        <w:rPr>
          <w:rFonts w:ascii="Arial" w:eastAsia="Calibri" w:hAnsi="Arial" w:cs="Arial"/>
          <w:i/>
          <w:iCs/>
        </w:rPr>
      </w:pPr>
      <w:bookmarkStart w:id="20" w:name="_Toc232981525"/>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6</w:t>
      </w:r>
      <w:r w:rsidRPr="003A2F86">
        <w:rPr>
          <w:color w:val="FF0000"/>
        </w:rPr>
        <w:fldChar w:fldCharType="end"/>
      </w:r>
      <w:r w:rsidRPr="003A2F86">
        <w:rPr>
          <w:color w:val="FF0000"/>
        </w:rPr>
        <w:t xml:space="preserve">.: </w:t>
      </w:r>
      <w:bookmarkStart w:id="21" w:name="_Hlk101518237"/>
      <w:r w:rsidRPr="003A2F86">
        <w:rPr>
          <w:rFonts w:ascii="Arial" w:eastAsia="Calibri" w:hAnsi="Arial" w:cs="Arial"/>
        </w:rPr>
        <w:t xml:space="preserve">Pregled ostvarenih </w:t>
      </w:r>
      <w:r w:rsidRPr="003A2F86">
        <w:rPr>
          <w:rFonts w:ascii="Arial" w:eastAsia="Calibri" w:hAnsi="Arial" w:cs="Arial"/>
          <w:u w:val="single"/>
        </w:rPr>
        <w:t xml:space="preserve">prihoda i primitaka </w:t>
      </w:r>
      <w:r w:rsidRPr="003A2F86">
        <w:rPr>
          <w:rFonts w:ascii="Arial" w:eastAsia="Calibri" w:hAnsi="Arial" w:cs="Arial"/>
        </w:rPr>
        <w:t xml:space="preserve">na razini podskupine u </w:t>
      </w:r>
      <w:r w:rsidR="00FC010A">
        <w:rPr>
          <w:rFonts w:ascii="Arial" w:eastAsia="Calibri" w:hAnsi="Arial" w:cs="Arial"/>
          <w:u w:val="single"/>
        </w:rPr>
        <w:t>g</w:t>
      </w:r>
      <w:r w:rsidR="008D3E91" w:rsidRPr="003A2F86">
        <w:rPr>
          <w:rFonts w:ascii="Arial" w:eastAsia="Calibri" w:hAnsi="Arial" w:cs="Arial"/>
          <w:u w:val="single"/>
        </w:rPr>
        <w:t>odišnjim</w:t>
      </w:r>
      <w:r w:rsidR="008D3E91" w:rsidRPr="003A2F86">
        <w:rPr>
          <w:rFonts w:ascii="Arial" w:eastAsia="Calibri" w:hAnsi="Arial" w:cs="Arial"/>
        </w:rPr>
        <w:t xml:space="preserve"> </w:t>
      </w:r>
      <w:r w:rsidRPr="003A2F86">
        <w:rPr>
          <w:rFonts w:ascii="Arial" w:eastAsia="Calibri" w:hAnsi="Arial" w:cs="Arial"/>
        </w:rPr>
        <w:t>izvještajnim razdobljima 2019. do 202</w:t>
      </w:r>
      <w:r w:rsidR="006E0657">
        <w:rPr>
          <w:rFonts w:ascii="Arial" w:eastAsia="Calibri" w:hAnsi="Arial" w:cs="Arial"/>
        </w:rPr>
        <w:t>5</w:t>
      </w:r>
      <w:r w:rsidRPr="003A2F86">
        <w:rPr>
          <w:rFonts w:ascii="Arial" w:eastAsia="Calibri" w:hAnsi="Arial" w:cs="Arial"/>
        </w:rPr>
        <w:t>.</w:t>
      </w:r>
      <w:r w:rsidR="00D94CD3" w:rsidRPr="003A2F86">
        <w:rPr>
          <w:rFonts w:ascii="Arial" w:eastAsia="Calibri" w:hAnsi="Arial" w:cs="Arial"/>
        </w:rPr>
        <w:t xml:space="preserve"> </w:t>
      </w:r>
      <w:r w:rsidRPr="003A2F86">
        <w:rPr>
          <w:rFonts w:ascii="Arial" w:eastAsia="Calibri" w:hAnsi="Arial" w:cs="Arial"/>
        </w:rPr>
        <w:t xml:space="preserve">(€) </w:t>
      </w:r>
      <w:r w:rsidRPr="003A2F86">
        <w:rPr>
          <w:rFonts w:ascii="Arial" w:eastAsia="Calibri" w:hAnsi="Arial" w:cs="Arial"/>
          <w:i/>
          <w:iCs/>
        </w:rPr>
        <w:t>(</w:t>
      </w:r>
      <w:r w:rsidRPr="003A2F86">
        <w:rPr>
          <w:rFonts w:ascii="Arial" w:eastAsia="Calibri" w:hAnsi="Arial" w:cs="Arial"/>
          <w:i/>
          <w:iCs/>
          <w:color w:val="548DD4" w:themeColor="text2" w:themeTint="99"/>
        </w:rPr>
        <w:t xml:space="preserve">razina 22 </w:t>
      </w:r>
      <w:r w:rsidRPr="003A2F86">
        <w:rPr>
          <w:rFonts w:ascii="Arial" w:eastAsia="Calibri" w:hAnsi="Arial" w:cs="Arial"/>
          <w:i/>
          <w:iCs/>
        </w:rPr>
        <w:t xml:space="preserve">i </w:t>
      </w:r>
      <w:r w:rsidRPr="003A2F86">
        <w:rPr>
          <w:rFonts w:ascii="Arial" w:eastAsia="Calibri" w:hAnsi="Arial" w:cs="Arial"/>
          <w:i/>
          <w:iCs/>
          <w:color w:val="7030A0"/>
        </w:rPr>
        <w:t>razina 23</w:t>
      </w:r>
      <w:r w:rsidRPr="003A2F86">
        <w:rPr>
          <w:rFonts w:ascii="Arial" w:eastAsia="Calibri" w:hAnsi="Arial" w:cs="Arial"/>
          <w:i/>
          <w:iCs/>
        </w:rPr>
        <w:t>)</w:t>
      </w:r>
      <w:bookmarkEnd w:id="20"/>
    </w:p>
    <w:bookmarkEnd w:id="21"/>
    <w:p w14:paraId="7425DA63" w14:textId="27B206E9" w:rsidR="00193257" w:rsidRDefault="00193257" w:rsidP="006B063D">
      <w:pPr>
        <w:autoSpaceDE w:val="0"/>
        <w:autoSpaceDN w:val="0"/>
        <w:adjustRightInd w:val="0"/>
        <w:spacing w:after="0" w:line="240" w:lineRule="auto"/>
        <w:jc w:val="center"/>
        <w:rPr>
          <w:noProof/>
        </w:rPr>
      </w:pPr>
    </w:p>
    <w:p w14:paraId="5E3B3BD1" w14:textId="4649D5CB" w:rsidR="006B063D" w:rsidRPr="003A2F86" w:rsidRDefault="00695408" w:rsidP="006B063D">
      <w:pPr>
        <w:autoSpaceDE w:val="0"/>
        <w:autoSpaceDN w:val="0"/>
        <w:adjustRightInd w:val="0"/>
        <w:spacing w:after="0" w:line="240" w:lineRule="auto"/>
        <w:jc w:val="center"/>
        <w:rPr>
          <w:noProof/>
        </w:rPr>
      </w:pPr>
      <w:r w:rsidRPr="00695408">
        <w:rPr>
          <w:noProof/>
        </w:rPr>
        <w:drawing>
          <wp:inline distT="0" distB="0" distL="0" distR="0" wp14:anchorId="04CD89F9" wp14:editId="1D9F7987">
            <wp:extent cx="9251950" cy="5177155"/>
            <wp:effectExtent l="0" t="0" r="6350" b="4445"/>
            <wp:docPr id="170008606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51950" cy="5177155"/>
                    </a:xfrm>
                    <a:prstGeom prst="rect">
                      <a:avLst/>
                    </a:prstGeom>
                    <a:noFill/>
                    <a:ln>
                      <a:noFill/>
                    </a:ln>
                  </pic:spPr>
                </pic:pic>
              </a:graphicData>
            </a:graphic>
          </wp:inline>
        </w:drawing>
      </w:r>
    </w:p>
    <w:p w14:paraId="167177C4" w14:textId="77777777" w:rsidR="006C544E" w:rsidRPr="003A2F86" w:rsidRDefault="006C544E" w:rsidP="006B063D">
      <w:pPr>
        <w:autoSpaceDE w:val="0"/>
        <w:autoSpaceDN w:val="0"/>
        <w:adjustRightInd w:val="0"/>
        <w:spacing w:after="0" w:line="240" w:lineRule="auto"/>
        <w:jc w:val="center"/>
        <w:rPr>
          <w:noProof/>
        </w:rPr>
      </w:pPr>
    </w:p>
    <w:p w14:paraId="4073FD4E" w14:textId="47F96749" w:rsidR="006C544E" w:rsidRPr="003A2F86" w:rsidRDefault="006C544E" w:rsidP="006B063D">
      <w:pPr>
        <w:autoSpaceDE w:val="0"/>
        <w:autoSpaceDN w:val="0"/>
        <w:adjustRightInd w:val="0"/>
        <w:spacing w:after="0" w:line="240" w:lineRule="auto"/>
        <w:jc w:val="center"/>
        <w:rPr>
          <w:noProof/>
        </w:rPr>
      </w:pPr>
    </w:p>
    <w:p w14:paraId="17A4D367" w14:textId="0D682442" w:rsidR="006C544E" w:rsidRPr="003A2F86" w:rsidRDefault="006C544E" w:rsidP="006B063D">
      <w:pPr>
        <w:autoSpaceDE w:val="0"/>
        <w:autoSpaceDN w:val="0"/>
        <w:adjustRightInd w:val="0"/>
        <w:spacing w:after="0" w:line="240" w:lineRule="auto"/>
        <w:jc w:val="center"/>
        <w:rPr>
          <w:noProof/>
        </w:rPr>
      </w:pPr>
    </w:p>
    <w:p w14:paraId="2172BA16" w14:textId="3AB785D9" w:rsidR="006B063D" w:rsidRPr="003A2F86" w:rsidRDefault="006B063D" w:rsidP="006B063D">
      <w:pPr>
        <w:autoSpaceDE w:val="0"/>
        <w:autoSpaceDN w:val="0"/>
        <w:adjustRightInd w:val="0"/>
        <w:spacing w:after="0" w:line="240" w:lineRule="auto"/>
        <w:jc w:val="center"/>
        <w:rPr>
          <w:noProof/>
        </w:rPr>
      </w:pPr>
    </w:p>
    <w:p w14:paraId="3AB903DE" w14:textId="3C7A8CDF" w:rsidR="00FE3A08" w:rsidRDefault="00695408" w:rsidP="006B063D">
      <w:pPr>
        <w:autoSpaceDE w:val="0"/>
        <w:autoSpaceDN w:val="0"/>
        <w:adjustRightInd w:val="0"/>
        <w:spacing w:after="0" w:line="240" w:lineRule="auto"/>
        <w:jc w:val="center"/>
        <w:rPr>
          <w:noProof/>
        </w:rPr>
      </w:pPr>
      <w:r w:rsidRPr="00695408">
        <w:rPr>
          <w:noProof/>
        </w:rPr>
        <w:drawing>
          <wp:inline distT="0" distB="0" distL="0" distR="0" wp14:anchorId="6CAD52D4" wp14:editId="04654DD1">
            <wp:extent cx="9251950" cy="3493135"/>
            <wp:effectExtent l="0" t="0" r="6350" b="0"/>
            <wp:docPr id="902249304"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51950" cy="3493135"/>
                    </a:xfrm>
                    <a:prstGeom prst="rect">
                      <a:avLst/>
                    </a:prstGeom>
                    <a:noFill/>
                    <a:ln>
                      <a:noFill/>
                    </a:ln>
                  </pic:spPr>
                </pic:pic>
              </a:graphicData>
            </a:graphic>
          </wp:inline>
        </w:drawing>
      </w:r>
    </w:p>
    <w:p w14:paraId="3AD919AC" w14:textId="0A05F6EE" w:rsidR="006E0657" w:rsidRDefault="006E0657" w:rsidP="006B063D">
      <w:pPr>
        <w:autoSpaceDE w:val="0"/>
        <w:autoSpaceDN w:val="0"/>
        <w:adjustRightInd w:val="0"/>
        <w:spacing w:after="0" w:line="240" w:lineRule="auto"/>
        <w:jc w:val="center"/>
        <w:rPr>
          <w:noProof/>
        </w:rPr>
      </w:pPr>
    </w:p>
    <w:p w14:paraId="10E8D7F0" w14:textId="77777777" w:rsidR="006E0657" w:rsidRDefault="006E0657" w:rsidP="006B063D">
      <w:pPr>
        <w:autoSpaceDE w:val="0"/>
        <w:autoSpaceDN w:val="0"/>
        <w:adjustRightInd w:val="0"/>
        <w:spacing w:after="0" w:line="240" w:lineRule="auto"/>
        <w:jc w:val="center"/>
        <w:rPr>
          <w:noProof/>
        </w:rPr>
      </w:pPr>
    </w:p>
    <w:p w14:paraId="4B28E19A" w14:textId="77777777" w:rsidR="006E0657" w:rsidRDefault="006E0657" w:rsidP="006B063D">
      <w:pPr>
        <w:autoSpaceDE w:val="0"/>
        <w:autoSpaceDN w:val="0"/>
        <w:adjustRightInd w:val="0"/>
        <w:spacing w:after="0" w:line="240" w:lineRule="auto"/>
        <w:jc w:val="center"/>
        <w:rPr>
          <w:noProof/>
        </w:rPr>
      </w:pPr>
    </w:p>
    <w:p w14:paraId="5E3F5FCF" w14:textId="77777777" w:rsidR="006E0657" w:rsidRDefault="006E0657" w:rsidP="006B063D">
      <w:pPr>
        <w:autoSpaceDE w:val="0"/>
        <w:autoSpaceDN w:val="0"/>
        <w:adjustRightInd w:val="0"/>
        <w:spacing w:after="0" w:line="240" w:lineRule="auto"/>
        <w:jc w:val="center"/>
        <w:rPr>
          <w:noProof/>
        </w:rPr>
      </w:pPr>
    </w:p>
    <w:p w14:paraId="28BD5722" w14:textId="77777777" w:rsidR="006E0657" w:rsidRDefault="006E0657" w:rsidP="006B063D">
      <w:pPr>
        <w:autoSpaceDE w:val="0"/>
        <w:autoSpaceDN w:val="0"/>
        <w:adjustRightInd w:val="0"/>
        <w:spacing w:after="0" w:line="240" w:lineRule="auto"/>
        <w:jc w:val="center"/>
        <w:rPr>
          <w:noProof/>
        </w:rPr>
      </w:pPr>
    </w:p>
    <w:p w14:paraId="321B1406" w14:textId="77777777" w:rsidR="00695408" w:rsidRDefault="00695408" w:rsidP="006B063D">
      <w:pPr>
        <w:autoSpaceDE w:val="0"/>
        <w:autoSpaceDN w:val="0"/>
        <w:adjustRightInd w:val="0"/>
        <w:spacing w:after="0" w:line="240" w:lineRule="auto"/>
        <w:jc w:val="center"/>
        <w:rPr>
          <w:noProof/>
        </w:rPr>
      </w:pPr>
    </w:p>
    <w:p w14:paraId="7946D56D" w14:textId="77777777" w:rsidR="00695408" w:rsidRDefault="00695408" w:rsidP="006B063D">
      <w:pPr>
        <w:autoSpaceDE w:val="0"/>
        <w:autoSpaceDN w:val="0"/>
        <w:adjustRightInd w:val="0"/>
        <w:spacing w:after="0" w:line="240" w:lineRule="auto"/>
        <w:jc w:val="center"/>
        <w:rPr>
          <w:noProof/>
        </w:rPr>
      </w:pPr>
    </w:p>
    <w:p w14:paraId="3B6A0996" w14:textId="77777777" w:rsidR="00695408" w:rsidRDefault="00695408" w:rsidP="006B063D">
      <w:pPr>
        <w:autoSpaceDE w:val="0"/>
        <w:autoSpaceDN w:val="0"/>
        <w:adjustRightInd w:val="0"/>
        <w:spacing w:after="0" w:line="240" w:lineRule="auto"/>
        <w:jc w:val="center"/>
        <w:rPr>
          <w:noProof/>
        </w:rPr>
      </w:pPr>
    </w:p>
    <w:p w14:paraId="44FCD56D" w14:textId="77777777" w:rsidR="006E0657" w:rsidRDefault="006E0657" w:rsidP="006B063D">
      <w:pPr>
        <w:autoSpaceDE w:val="0"/>
        <w:autoSpaceDN w:val="0"/>
        <w:adjustRightInd w:val="0"/>
        <w:spacing w:after="0" w:line="240" w:lineRule="auto"/>
        <w:jc w:val="center"/>
        <w:rPr>
          <w:noProof/>
        </w:rPr>
      </w:pPr>
    </w:p>
    <w:p w14:paraId="0A41ECAC" w14:textId="77777777" w:rsidR="006E0657" w:rsidRDefault="006E0657" w:rsidP="006B063D">
      <w:pPr>
        <w:autoSpaceDE w:val="0"/>
        <w:autoSpaceDN w:val="0"/>
        <w:adjustRightInd w:val="0"/>
        <w:spacing w:after="0" w:line="240" w:lineRule="auto"/>
        <w:jc w:val="center"/>
        <w:rPr>
          <w:noProof/>
        </w:rPr>
      </w:pPr>
    </w:p>
    <w:p w14:paraId="7E5EAAA9" w14:textId="77777777" w:rsidR="006E0657" w:rsidRPr="003A2F86" w:rsidRDefault="006E0657" w:rsidP="006B063D">
      <w:pPr>
        <w:autoSpaceDE w:val="0"/>
        <w:autoSpaceDN w:val="0"/>
        <w:adjustRightInd w:val="0"/>
        <w:spacing w:after="0" w:line="240" w:lineRule="auto"/>
        <w:jc w:val="center"/>
        <w:rPr>
          <w:noProof/>
        </w:rPr>
      </w:pPr>
    </w:p>
    <w:p w14:paraId="5D8B0B5B" w14:textId="77777777" w:rsidR="005E15FB" w:rsidRPr="003A2F86" w:rsidRDefault="005E15FB" w:rsidP="006B063D">
      <w:pPr>
        <w:autoSpaceDE w:val="0"/>
        <w:autoSpaceDN w:val="0"/>
        <w:adjustRightInd w:val="0"/>
        <w:spacing w:after="0" w:line="240" w:lineRule="auto"/>
        <w:jc w:val="center"/>
        <w:rPr>
          <w:noProof/>
        </w:rPr>
      </w:pPr>
    </w:p>
    <w:p w14:paraId="6AFB14A6" w14:textId="77777777" w:rsidR="005E15FB" w:rsidRPr="003A2F86" w:rsidRDefault="005E15FB" w:rsidP="006B063D">
      <w:pPr>
        <w:autoSpaceDE w:val="0"/>
        <w:autoSpaceDN w:val="0"/>
        <w:adjustRightInd w:val="0"/>
        <w:spacing w:after="0" w:line="240" w:lineRule="auto"/>
        <w:jc w:val="center"/>
        <w:rPr>
          <w:noProof/>
        </w:rPr>
      </w:pPr>
    </w:p>
    <w:p w14:paraId="4959ACD1" w14:textId="17A31548" w:rsidR="006B063D" w:rsidRPr="003A2F86" w:rsidRDefault="006B063D" w:rsidP="006B063D">
      <w:pPr>
        <w:pStyle w:val="Opisslike"/>
        <w:keepNext/>
        <w:rPr>
          <w:rFonts w:ascii="Arial" w:eastAsia="Calibri" w:hAnsi="Arial" w:cs="Arial"/>
          <w:i/>
          <w:iCs/>
        </w:rPr>
      </w:pPr>
      <w:bookmarkStart w:id="22" w:name="_Toc232981526"/>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7</w:t>
      </w:r>
      <w:r w:rsidRPr="003A2F86">
        <w:rPr>
          <w:color w:val="FF0000"/>
        </w:rPr>
        <w:fldChar w:fldCharType="end"/>
      </w:r>
      <w:r w:rsidRPr="003A2F86">
        <w:rPr>
          <w:color w:val="FF0000"/>
        </w:rPr>
        <w:t xml:space="preserve">.: </w:t>
      </w:r>
      <w:r w:rsidRPr="003A2F86">
        <w:rPr>
          <w:rFonts w:ascii="Arial" w:eastAsia="Calibri" w:hAnsi="Arial" w:cs="Arial"/>
        </w:rPr>
        <w:t xml:space="preserve">Pregled izvršenih </w:t>
      </w:r>
      <w:r w:rsidRPr="003A2F86">
        <w:rPr>
          <w:rFonts w:ascii="Arial" w:eastAsia="Calibri" w:hAnsi="Arial" w:cs="Arial"/>
          <w:u w:val="single"/>
        </w:rPr>
        <w:t>rashoda i izdataka</w:t>
      </w:r>
      <w:r w:rsidRPr="003A2F86">
        <w:rPr>
          <w:rFonts w:ascii="Arial" w:eastAsia="Calibri" w:hAnsi="Arial" w:cs="Arial"/>
        </w:rPr>
        <w:t xml:space="preserve"> na razini podskupine u </w:t>
      </w:r>
      <w:r w:rsidR="00FC010A">
        <w:rPr>
          <w:rFonts w:ascii="Arial" w:eastAsia="Calibri" w:hAnsi="Arial" w:cs="Arial"/>
          <w:u w:val="single"/>
        </w:rPr>
        <w:t>g</w:t>
      </w:r>
      <w:r w:rsidR="008D3E91" w:rsidRPr="003A2F86">
        <w:rPr>
          <w:rFonts w:ascii="Arial" w:eastAsia="Calibri" w:hAnsi="Arial" w:cs="Arial"/>
          <w:u w:val="single"/>
        </w:rPr>
        <w:t>odišnjim</w:t>
      </w:r>
      <w:r w:rsidR="008D3E91" w:rsidRPr="003A2F86">
        <w:rPr>
          <w:rFonts w:ascii="Arial" w:eastAsia="Calibri" w:hAnsi="Arial" w:cs="Arial"/>
        </w:rPr>
        <w:t xml:space="preserve"> </w:t>
      </w:r>
      <w:r w:rsidRPr="003A2F86">
        <w:rPr>
          <w:rFonts w:ascii="Arial" w:eastAsia="Calibri" w:hAnsi="Arial" w:cs="Arial"/>
        </w:rPr>
        <w:t>izvještajnim razdobljima 2019. do 202</w:t>
      </w:r>
      <w:r w:rsidR="006E0657">
        <w:rPr>
          <w:rFonts w:ascii="Arial" w:eastAsia="Calibri" w:hAnsi="Arial" w:cs="Arial"/>
        </w:rPr>
        <w:t>5</w:t>
      </w:r>
      <w:r w:rsidRPr="003A2F86">
        <w:rPr>
          <w:rFonts w:ascii="Arial" w:eastAsia="Calibri" w:hAnsi="Arial" w:cs="Arial"/>
        </w:rPr>
        <w:t>.</w:t>
      </w:r>
      <w:r w:rsidR="00193257" w:rsidRPr="003A2F86">
        <w:rPr>
          <w:rFonts w:ascii="Arial" w:eastAsia="Calibri" w:hAnsi="Arial" w:cs="Arial"/>
        </w:rPr>
        <w:t xml:space="preserve"> </w:t>
      </w:r>
      <w:r w:rsidRPr="003A2F86">
        <w:rPr>
          <w:rFonts w:ascii="Arial" w:eastAsia="Calibri" w:hAnsi="Arial" w:cs="Arial"/>
        </w:rPr>
        <w:t>(€)</w:t>
      </w:r>
      <w:r w:rsidRPr="003A2F86">
        <w:rPr>
          <w:rFonts w:ascii="Arial" w:eastAsia="Calibri" w:hAnsi="Arial" w:cs="Arial"/>
          <w:i/>
          <w:iCs/>
        </w:rPr>
        <w:t>(</w:t>
      </w:r>
      <w:r w:rsidRPr="003A2F86">
        <w:rPr>
          <w:rFonts w:ascii="Arial" w:eastAsia="Calibri" w:hAnsi="Arial" w:cs="Arial"/>
          <w:i/>
          <w:iCs/>
          <w:color w:val="548DD4" w:themeColor="text2" w:themeTint="99"/>
        </w:rPr>
        <w:t xml:space="preserve">razina 22 </w:t>
      </w:r>
      <w:r w:rsidRPr="003A2F86">
        <w:rPr>
          <w:rFonts w:ascii="Arial" w:eastAsia="Calibri" w:hAnsi="Arial" w:cs="Arial"/>
          <w:i/>
          <w:iCs/>
        </w:rPr>
        <w:t xml:space="preserve">i </w:t>
      </w:r>
      <w:r w:rsidRPr="003A2F86">
        <w:rPr>
          <w:rFonts w:ascii="Arial" w:eastAsia="Calibri" w:hAnsi="Arial" w:cs="Arial"/>
          <w:i/>
          <w:iCs/>
          <w:color w:val="7030A0"/>
        </w:rPr>
        <w:t>razina 23</w:t>
      </w:r>
      <w:r w:rsidRPr="003A2F86">
        <w:rPr>
          <w:rFonts w:ascii="Arial" w:eastAsia="Calibri" w:hAnsi="Arial" w:cs="Arial"/>
          <w:i/>
          <w:iCs/>
        </w:rPr>
        <w:t>)</w:t>
      </w:r>
      <w:bookmarkEnd w:id="22"/>
    </w:p>
    <w:p w14:paraId="7D4BA459" w14:textId="77777777" w:rsidR="00A66782" w:rsidRPr="003A2F86" w:rsidRDefault="00A66782" w:rsidP="00A66782">
      <w:pPr>
        <w:spacing w:after="0" w:line="240" w:lineRule="auto"/>
        <w:rPr>
          <w:lang w:eastAsia="en-US"/>
        </w:rPr>
      </w:pPr>
    </w:p>
    <w:p w14:paraId="3C4FAA57" w14:textId="0A8F8707" w:rsidR="00FC010A" w:rsidRDefault="00F46ED8" w:rsidP="00A66782">
      <w:pPr>
        <w:autoSpaceDE w:val="0"/>
        <w:autoSpaceDN w:val="0"/>
        <w:adjustRightInd w:val="0"/>
        <w:spacing w:after="0" w:line="240" w:lineRule="auto"/>
        <w:jc w:val="center"/>
        <w:rPr>
          <w:noProof/>
        </w:rPr>
      </w:pPr>
      <w:r w:rsidRPr="00F46ED8">
        <w:rPr>
          <w:noProof/>
        </w:rPr>
        <w:drawing>
          <wp:inline distT="0" distB="0" distL="0" distR="0" wp14:anchorId="2E2FC300" wp14:editId="6B05AB07">
            <wp:extent cx="9251950" cy="4782185"/>
            <wp:effectExtent l="0" t="0" r="6350" b="0"/>
            <wp:docPr id="205473983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51950" cy="4782185"/>
                    </a:xfrm>
                    <a:prstGeom prst="rect">
                      <a:avLst/>
                    </a:prstGeom>
                    <a:noFill/>
                    <a:ln>
                      <a:noFill/>
                    </a:ln>
                  </pic:spPr>
                </pic:pic>
              </a:graphicData>
            </a:graphic>
          </wp:inline>
        </w:drawing>
      </w:r>
    </w:p>
    <w:p w14:paraId="1047AB11" w14:textId="5428BB17" w:rsidR="006B063D" w:rsidRPr="003A2F86" w:rsidRDefault="006B063D" w:rsidP="00A66782">
      <w:pPr>
        <w:autoSpaceDE w:val="0"/>
        <w:autoSpaceDN w:val="0"/>
        <w:adjustRightInd w:val="0"/>
        <w:spacing w:after="0" w:line="240" w:lineRule="auto"/>
        <w:jc w:val="center"/>
        <w:rPr>
          <w:noProof/>
        </w:rPr>
      </w:pPr>
    </w:p>
    <w:p w14:paraId="1B9572AB" w14:textId="1AE15BBC" w:rsidR="00A66782" w:rsidRPr="003A2F86" w:rsidRDefault="00F46ED8" w:rsidP="006B063D">
      <w:pPr>
        <w:autoSpaceDE w:val="0"/>
        <w:autoSpaceDN w:val="0"/>
        <w:adjustRightInd w:val="0"/>
        <w:spacing w:after="0" w:line="240" w:lineRule="auto"/>
        <w:jc w:val="center"/>
        <w:rPr>
          <w:noProof/>
        </w:rPr>
      </w:pPr>
      <w:r w:rsidRPr="00F46ED8">
        <w:rPr>
          <w:noProof/>
        </w:rPr>
        <w:lastRenderedPageBreak/>
        <w:drawing>
          <wp:inline distT="0" distB="0" distL="0" distR="0" wp14:anchorId="3B50155C" wp14:editId="77E6345C">
            <wp:extent cx="9251950" cy="4361815"/>
            <wp:effectExtent l="0" t="0" r="6350" b="635"/>
            <wp:docPr id="15188957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51950" cy="4361815"/>
                    </a:xfrm>
                    <a:prstGeom prst="rect">
                      <a:avLst/>
                    </a:prstGeom>
                    <a:noFill/>
                    <a:ln>
                      <a:noFill/>
                    </a:ln>
                  </pic:spPr>
                </pic:pic>
              </a:graphicData>
            </a:graphic>
          </wp:inline>
        </w:drawing>
      </w:r>
    </w:p>
    <w:p w14:paraId="78DAF997" w14:textId="27944781" w:rsidR="00C46E75" w:rsidRPr="003A2F86" w:rsidRDefault="00C46E75" w:rsidP="006B063D">
      <w:pPr>
        <w:autoSpaceDE w:val="0"/>
        <w:autoSpaceDN w:val="0"/>
        <w:adjustRightInd w:val="0"/>
        <w:spacing w:after="0" w:line="240" w:lineRule="auto"/>
        <w:jc w:val="center"/>
        <w:rPr>
          <w:noProof/>
        </w:rPr>
      </w:pPr>
    </w:p>
    <w:p w14:paraId="78492CF3" w14:textId="52AAD373" w:rsidR="006B063D" w:rsidRPr="003A2F86" w:rsidRDefault="006B063D" w:rsidP="006B063D">
      <w:pPr>
        <w:autoSpaceDE w:val="0"/>
        <w:autoSpaceDN w:val="0"/>
        <w:adjustRightInd w:val="0"/>
        <w:spacing w:after="0" w:line="240" w:lineRule="auto"/>
        <w:jc w:val="center"/>
        <w:rPr>
          <w:rFonts w:ascii="Arial" w:eastAsia="Times New Roman" w:hAnsi="Arial" w:cs="Arial"/>
        </w:rPr>
      </w:pPr>
      <w:r w:rsidRPr="003A2F86">
        <w:rPr>
          <w:rFonts w:ascii="Arial" w:eastAsia="Times New Roman" w:hAnsi="Arial" w:cs="Arial"/>
        </w:rPr>
        <w:br w:type="page"/>
      </w:r>
    </w:p>
    <w:p w14:paraId="2A4E6B5A" w14:textId="77777777" w:rsidR="006B063D" w:rsidRPr="003A2F86" w:rsidRDefault="006B063D" w:rsidP="006B063D">
      <w:pPr>
        <w:pStyle w:val="Opisslike"/>
      </w:pPr>
    </w:p>
    <w:p w14:paraId="1D7925F4" w14:textId="45E9491B" w:rsidR="006B063D" w:rsidRPr="003A2F86" w:rsidRDefault="006B063D" w:rsidP="006B063D">
      <w:pPr>
        <w:pStyle w:val="Opisslike"/>
        <w:rPr>
          <w:rFonts w:ascii="Arial" w:hAnsi="Arial" w:cs="Arial"/>
          <w:sz w:val="22"/>
        </w:rPr>
      </w:pPr>
      <w:bookmarkStart w:id="23" w:name="_Toc232981527"/>
      <w:r w:rsidRPr="003A2F86">
        <w:rPr>
          <w:color w:val="FF0000"/>
        </w:rPr>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8</w:t>
      </w:r>
      <w:r w:rsidRPr="003A2F86">
        <w:rPr>
          <w:color w:val="FF0000"/>
        </w:rPr>
        <w:fldChar w:fldCharType="end"/>
      </w:r>
      <w:r w:rsidRPr="003A2F86">
        <w:rPr>
          <w:rFonts w:ascii="Arial" w:hAnsi="Arial" w:cs="Arial"/>
          <w:color w:val="FF0000"/>
          <w:sz w:val="22"/>
        </w:rPr>
        <w:t xml:space="preserve">.: </w:t>
      </w:r>
      <w:r w:rsidRPr="003A2F86">
        <w:rPr>
          <w:rFonts w:ascii="Arial" w:hAnsi="Arial" w:cs="Arial"/>
          <w:sz w:val="22"/>
        </w:rPr>
        <w:t>Pregled prihoda i rashoda proračunskih korisnika u ukupnom Proračunu u razdoblju 201</w:t>
      </w:r>
      <w:r w:rsidR="00944A88">
        <w:rPr>
          <w:rFonts w:ascii="Arial" w:hAnsi="Arial" w:cs="Arial"/>
          <w:sz w:val="22"/>
        </w:rPr>
        <w:t>9</w:t>
      </w:r>
      <w:r w:rsidRPr="003A2F86">
        <w:rPr>
          <w:rFonts w:ascii="Arial" w:hAnsi="Arial" w:cs="Arial"/>
          <w:sz w:val="22"/>
        </w:rPr>
        <w:t>.-202</w:t>
      </w:r>
      <w:r w:rsidR="00D43FA1">
        <w:rPr>
          <w:rFonts w:ascii="Arial" w:hAnsi="Arial" w:cs="Arial"/>
          <w:sz w:val="22"/>
        </w:rPr>
        <w:t>5</w:t>
      </w:r>
      <w:r w:rsidR="00FE3A08" w:rsidRPr="003A2F86">
        <w:rPr>
          <w:rFonts w:ascii="Arial" w:hAnsi="Arial" w:cs="Arial"/>
          <w:sz w:val="22"/>
        </w:rPr>
        <w:t>.</w:t>
      </w:r>
      <w:r w:rsidRPr="003A2F86">
        <w:rPr>
          <w:rFonts w:ascii="Arial" w:hAnsi="Arial" w:cs="Arial"/>
          <w:sz w:val="22"/>
        </w:rPr>
        <w:t xml:space="preserve"> (€)</w:t>
      </w:r>
      <w:bookmarkEnd w:id="23"/>
      <w:r w:rsidRPr="003A2F86">
        <w:rPr>
          <w:rFonts w:ascii="Arial" w:hAnsi="Arial" w:cs="Arial"/>
          <w:sz w:val="22"/>
        </w:rPr>
        <w:t xml:space="preserve"> </w:t>
      </w:r>
    </w:p>
    <w:p w14:paraId="4BB1B557" w14:textId="77777777" w:rsidR="006B063D" w:rsidRPr="003A2F86" w:rsidRDefault="006B063D" w:rsidP="001C6255">
      <w:pPr>
        <w:spacing w:after="0" w:line="240" w:lineRule="auto"/>
      </w:pPr>
    </w:p>
    <w:p w14:paraId="70A6890D" w14:textId="79A0AFF0" w:rsidR="00547DE6" w:rsidRDefault="00645489" w:rsidP="006B063D">
      <w:pPr>
        <w:rPr>
          <w:noProof/>
        </w:rPr>
      </w:pPr>
      <w:r w:rsidRPr="00645489">
        <w:rPr>
          <w:noProof/>
        </w:rPr>
        <w:drawing>
          <wp:inline distT="0" distB="0" distL="0" distR="0" wp14:anchorId="735AB37E" wp14:editId="26E98F16">
            <wp:extent cx="4472940" cy="2281950"/>
            <wp:effectExtent l="0" t="0" r="3810" b="4445"/>
            <wp:docPr id="1248934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08676" cy="2300181"/>
                    </a:xfrm>
                    <a:prstGeom prst="rect">
                      <a:avLst/>
                    </a:prstGeom>
                    <a:noFill/>
                    <a:ln>
                      <a:noFill/>
                    </a:ln>
                  </pic:spPr>
                </pic:pic>
              </a:graphicData>
            </a:graphic>
          </wp:inline>
        </w:drawing>
      </w:r>
      <w:r w:rsidR="008D04DC" w:rsidRPr="003A2F86">
        <w:rPr>
          <w:noProof/>
        </w:rPr>
        <w:t xml:space="preserve">     </w:t>
      </w:r>
      <w:r w:rsidR="00180289" w:rsidRPr="00180289">
        <w:rPr>
          <w:noProof/>
        </w:rPr>
        <w:drawing>
          <wp:inline distT="0" distB="0" distL="0" distR="0" wp14:anchorId="5881E665" wp14:editId="3874238A">
            <wp:extent cx="4587240" cy="2161387"/>
            <wp:effectExtent l="0" t="0" r="3810" b="0"/>
            <wp:docPr id="712158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03618" cy="2169104"/>
                    </a:xfrm>
                    <a:prstGeom prst="rect">
                      <a:avLst/>
                    </a:prstGeom>
                    <a:noFill/>
                    <a:ln>
                      <a:noFill/>
                    </a:ln>
                  </pic:spPr>
                </pic:pic>
              </a:graphicData>
            </a:graphic>
          </wp:inline>
        </w:drawing>
      </w:r>
    </w:p>
    <w:p w14:paraId="3F6524B6" w14:textId="1016420D" w:rsidR="00D44AB6" w:rsidRPr="003A2F86" w:rsidRDefault="007B1354" w:rsidP="006B063D">
      <w:pPr>
        <w:rPr>
          <w:noProof/>
        </w:rPr>
      </w:pPr>
      <w:r w:rsidRPr="007B1354">
        <w:rPr>
          <w:noProof/>
        </w:rPr>
        <w:drawing>
          <wp:inline distT="0" distB="0" distL="0" distR="0" wp14:anchorId="145C13BC" wp14:editId="3A91E129">
            <wp:extent cx="4526280" cy="1180809"/>
            <wp:effectExtent l="0" t="0" r="7620" b="635"/>
            <wp:docPr id="14493081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02115" cy="1200593"/>
                    </a:xfrm>
                    <a:prstGeom prst="rect">
                      <a:avLst/>
                    </a:prstGeom>
                    <a:noFill/>
                    <a:ln>
                      <a:noFill/>
                    </a:ln>
                  </pic:spPr>
                </pic:pic>
              </a:graphicData>
            </a:graphic>
          </wp:inline>
        </w:drawing>
      </w:r>
    </w:p>
    <w:p w14:paraId="30FF6BF5" w14:textId="0ACC25D4" w:rsidR="00183C00" w:rsidRPr="003A2F86" w:rsidRDefault="00183C00" w:rsidP="006B063D">
      <w:pPr>
        <w:rPr>
          <w:noProof/>
        </w:rPr>
      </w:pPr>
    </w:p>
    <w:p w14:paraId="5FC425CB" w14:textId="77777777" w:rsidR="006B063D" w:rsidRPr="003A2F86" w:rsidRDefault="006B063D" w:rsidP="006B063D">
      <w:pPr>
        <w:rPr>
          <w:rFonts w:ascii="Arial" w:eastAsia="Times New Roman" w:hAnsi="Arial" w:cs="Arial"/>
        </w:rPr>
      </w:pPr>
      <w:r w:rsidRPr="003A2F86">
        <w:rPr>
          <w:rFonts w:ascii="Arial" w:eastAsia="Times New Roman" w:hAnsi="Arial" w:cs="Arial"/>
        </w:rPr>
        <w:br w:type="page"/>
      </w:r>
    </w:p>
    <w:p w14:paraId="2D86C1C1" w14:textId="0977C3FB" w:rsidR="009B6F72" w:rsidRPr="003A2F86" w:rsidRDefault="00891119" w:rsidP="004A2AA6">
      <w:pPr>
        <w:pStyle w:val="Naslov2"/>
        <w:jc w:val="center"/>
        <w:rPr>
          <w:rFonts w:ascii="Arial" w:hAnsi="Arial" w:cs="Arial"/>
          <w:sz w:val="22"/>
          <w:szCs w:val="22"/>
          <w:lang w:val="hr-HR"/>
        </w:rPr>
      </w:pPr>
      <w:bookmarkStart w:id="24" w:name="_Hlk66794621"/>
      <w:bookmarkStart w:id="25" w:name="_Toc232981381"/>
      <w:r w:rsidRPr="003A2F86">
        <w:rPr>
          <w:rFonts w:ascii="Arial" w:eastAsia="Calibri" w:hAnsi="Arial" w:cs="Arial"/>
          <w:sz w:val="22"/>
          <w:szCs w:val="22"/>
          <w:lang w:val="hr-HR"/>
        </w:rPr>
        <w:lastRenderedPageBreak/>
        <w:t>2.</w:t>
      </w:r>
      <w:r w:rsidR="004A2AA6" w:rsidRPr="003A2F86">
        <w:rPr>
          <w:rFonts w:ascii="Arial" w:eastAsia="Calibri" w:hAnsi="Arial" w:cs="Arial"/>
          <w:sz w:val="22"/>
          <w:szCs w:val="22"/>
          <w:lang w:val="hr-HR"/>
        </w:rPr>
        <w:t>2</w:t>
      </w:r>
      <w:r w:rsidRPr="003A2F86">
        <w:rPr>
          <w:rFonts w:ascii="Arial" w:eastAsia="Calibri" w:hAnsi="Arial" w:cs="Arial"/>
          <w:sz w:val="22"/>
          <w:szCs w:val="22"/>
          <w:lang w:val="hr-HR"/>
        </w:rPr>
        <w:t>.</w:t>
      </w:r>
      <w:r w:rsidRPr="003A2F86">
        <w:rPr>
          <w:rFonts w:ascii="Arial" w:eastAsia="Calibri" w:hAnsi="Arial" w:cs="Arial"/>
          <w:sz w:val="22"/>
          <w:szCs w:val="22"/>
          <w:lang w:val="hr-HR"/>
        </w:rPr>
        <w:tab/>
      </w:r>
      <w:bookmarkEnd w:id="24"/>
      <w:r w:rsidR="009B6F72" w:rsidRPr="003A2F86">
        <w:rPr>
          <w:rFonts w:ascii="Arial" w:hAnsi="Arial" w:cs="Arial"/>
          <w:sz w:val="22"/>
          <w:szCs w:val="22"/>
          <w:lang w:val="hr-HR"/>
        </w:rPr>
        <w:t xml:space="preserve">PRIKAZ UDJELA IZVRŠENJA PRORAČUNSKIH KORISNIKA U </w:t>
      </w:r>
      <w:r w:rsidR="004A2AA6" w:rsidRPr="003A2F86">
        <w:rPr>
          <w:rFonts w:ascii="Arial" w:hAnsi="Arial" w:cs="Arial"/>
          <w:sz w:val="22"/>
          <w:szCs w:val="22"/>
          <w:lang w:val="hr-HR"/>
        </w:rPr>
        <w:t>SVE</w:t>
      </w:r>
      <w:r w:rsidR="009B6F72" w:rsidRPr="003A2F86">
        <w:rPr>
          <w:rFonts w:ascii="Arial" w:hAnsi="Arial" w:cs="Arial"/>
          <w:sz w:val="22"/>
          <w:szCs w:val="22"/>
          <w:lang w:val="hr-HR"/>
        </w:rPr>
        <w:t>UKUPNO IZVRŠEN</w:t>
      </w:r>
      <w:r w:rsidR="004A2AA6" w:rsidRPr="003A2F86">
        <w:rPr>
          <w:rFonts w:ascii="Arial" w:hAnsi="Arial" w:cs="Arial"/>
          <w:sz w:val="22"/>
          <w:szCs w:val="22"/>
          <w:lang w:val="hr-HR"/>
        </w:rPr>
        <w:t>OM</w:t>
      </w:r>
      <w:r w:rsidR="009B6F72" w:rsidRPr="003A2F86">
        <w:rPr>
          <w:rFonts w:ascii="Arial" w:hAnsi="Arial" w:cs="Arial"/>
          <w:sz w:val="22"/>
          <w:szCs w:val="22"/>
          <w:lang w:val="hr-HR"/>
        </w:rPr>
        <w:t xml:space="preserve"> PRORAČUN</w:t>
      </w:r>
      <w:r w:rsidR="004A2AA6" w:rsidRPr="003A2F86">
        <w:rPr>
          <w:rFonts w:ascii="Arial" w:hAnsi="Arial" w:cs="Arial"/>
          <w:sz w:val="22"/>
          <w:szCs w:val="22"/>
          <w:lang w:val="hr-HR"/>
        </w:rPr>
        <w:t>U</w:t>
      </w:r>
      <w:r w:rsidR="00711386" w:rsidRPr="003A2F86">
        <w:rPr>
          <w:rFonts w:ascii="Arial" w:hAnsi="Arial" w:cs="Arial"/>
          <w:sz w:val="22"/>
          <w:szCs w:val="22"/>
          <w:lang w:val="hr-HR"/>
        </w:rPr>
        <w:t xml:space="preserve"> ZA </w:t>
      </w:r>
      <w:r w:rsidR="001B3297" w:rsidRPr="003A2F86">
        <w:rPr>
          <w:rFonts w:ascii="Arial" w:hAnsi="Arial" w:cs="Arial"/>
          <w:sz w:val="22"/>
          <w:szCs w:val="22"/>
          <w:lang w:val="hr-HR"/>
        </w:rPr>
        <w:t>202</w:t>
      </w:r>
      <w:r w:rsidR="00BB01CB">
        <w:rPr>
          <w:rFonts w:ascii="Arial" w:hAnsi="Arial" w:cs="Arial"/>
          <w:sz w:val="22"/>
          <w:szCs w:val="22"/>
          <w:lang w:val="hr-HR"/>
        </w:rPr>
        <w:t>5</w:t>
      </w:r>
      <w:r w:rsidR="001B3297" w:rsidRPr="003A2F86">
        <w:rPr>
          <w:rFonts w:ascii="Arial" w:hAnsi="Arial" w:cs="Arial"/>
          <w:sz w:val="22"/>
          <w:szCs w:val="22"/>
          <w:lang w:val="hr-HR"/>
        </w:rPr>
        <w:t>.</w:t>
      </w:r>
      <w:bookmarkEnd w:id="25"/>
    </w:p>
    <w:p w14:paraId="53032FE9" w14:textId="77777777" w:rsidR="009B6F72" w:rsidRPr="00474A7A" w:rsidRDefault="009B6F72" w:rsidP="00BE635B">
      <w:pPr>
        <w:autoSpaceDE w:val="0"/>
        <w:autoSpaceDN w:val="0"/>
        <w:adjustRightInd w:val="0"/>
        <w:spacing w:after="0" w:line="240" w:lineRule="auto"/>
        <w:jc w:val="both"/>
        <w:rPr>
          <w:rFonts w:ascii="Arial" w:eastAsia="Times New Roman" w:hAnsi="Arial" w:cs="Arial"/>
        </w:rPr>
      </w:pPr>
    </w:p>
    <w:p w14:paraId="22D229F9" w14:textId="5639C1C5" w:rsidR="00BE635B" w:rsidRPr="00474A7A" w:rsidRDefault="00BE635B" w:rsidP="00BE635B">
      <w:pPr>
        <w:autoSpaceDE w:val="0"/>
        <w:autoSpaceDN w:val="0"/>
        <w:adjustRightInd w:val="0"/>
        <w:spacing w:after="0" w:line="240" w:lineRule="auto"/>
        <w:jc w:val="both"/>
        <w:rPr>
          <w:rFonts w:ascii="Arial" w:eastAsia="Times New Roman" w:hAnsi="Arial" w:cs="Arial"/>
        </w:rPr>
      </w:pPr>
      <w:r w:rsidRPr="00474A7A">
        <w:rPr>
          <w:rFonts w:ascii="Arial" w:eastAsia="Times New Roman" w:hAnsi="Arial" w:cs="Arial"/>
        </w:rPr>
        <w:t xml:space="preserve">U nastavku se daje pregled ostvarenja prihoda i izvršenja rashoda </w:t>
      </w:r>
      <w:r w:rsidR="00A1458C" w:rsidRPr="00474A7A">
        <w:rPr>
          <w:rFonts w:ascii="Arial" w:eastAsia="Times New Roman" w:hAnsi="Arial" w:cs="Arial"/>
        </w:rPr>
        <w:t xml:space="preserve">u razdoblju </w:t>
      </w:r>
      <w:r w:rsidRPr="00474A7A">
        <w:rPr>
          <w:rFonts w:ascii="Arial" w:eastAsia="Times New Roman" w:hAnsi="Arial" w:cs="Arial"/>
        </w:rPr>
        <w:t>202</w:t>
      </w:r>
      <w:r w:rsidR="00BB01CB">
        <w:rPr>
          <w:rFonts w:ascii="Arial" w:eastAsia="Times New Roman" w:hAnsi="Arial" w:cs="Arial"/>
        </w:rPr>
        <w:t>5</w:t>
      </w:r>
      <w:r w:rsidRPr="00474A7A">
        <w:rPr>
          <w:rFonts w:ascii="Arial" w:eastAsia="Times New Roman" w:hAnsi="Arial" w:cs="Arial"/>
        </w:rPr>
        <w:t>. za proračunske korisnike, kao i ostvarenje prihoda i primitaka Općine, te izvršenje rashoda i izdataka Općine koji su sadržani u ukupnom ostvarenju Proračuna Općine Konavle.</w:t>
      </w:r>
    </w:p>
    <w:p w14:paraId="73A10866" w14:textId="77777777" w:rsidR="00BE635B" w:rsidRPr="003A2F86" w:rsidRDefault="00BE635B" w:rsidP="00BE635B">
      <w:pPr>
        <w:autoSpaceDE w:val="0"/>
        <w:autoSpaceDN w:val="0"/>
        <w:adjustRightInd w:val="0"/>
        <w:spacing w:after="0" w:line="240" w:lineRule="auto"/>
        <w:jc w:val="both"/>
        <w:rPr>
          <w:rFonts w:ascii="Arial" w:eastAsia="Times New Roman" w:hAnsi="Arial" w:cs="Arial"/>
          <w:sz w:val="8"/>
          <w:szCs w:val="8"/>
        </w:rPr>
      </w:pPr>
    </w:p>
    <w:p w14:paraId="03CC342F" w14:textId="211343E1" w:rsidR="00BE635B" w:rsidRPr="003A2F86" w:rsidRDefault="00BE635B" w:rsidP="00BE635B">
      <w:pPr>
        <w:pStyle w:val="Opisslike"/>
        <w:rPr>
          <w:rFonts w:ascii="Arial" w:hAnsi="Arial" w:cs="Arial"/>
          <w:sz w:val="22"/>
        </w:rPr>
      </w:pPr>
      <w:bookmarkStart w:id="26" w:name="_Toc232981528"/>
      <w:bookmarkStart w:id="27" w:name="_Hlk17956817"/>
      <w:r w:rsidRPr="003A2F86">
        <w:rPr>
          <w:color w:val="FF0000"/>
        </w:rPr>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9</w:t>
      </w:r>
      <w:r w:rsidRPr="003A2F86">
        <w:rPr>
          <w:color w:val="FF0000"/>
        </w:rPr>
        <w:fldChar w:fldCharType="end"/>
      </w:r>
      <w:r w:rsidRPr="003A2F86">
        <w:rPr>
          <w:rFonts w:ascii="Arial" w:hAnsi="Arial" w:cs="Arial"/>
          <w:color w:val="FF0000"/>
          <w:sz w:val="22"/>
        </w:rPr>
        <w:t xml:space="preserve">.: </w:t>
      </w:r>
      <w:r w:rsidRPr="003A2F86">
        <w:rPr>
          <w:rFonts w:ascii="Arial" w:hAnsi="Arial" w:cs="Arial"/>
          <w:sz w:val="22"/>
        </w:rPr>
        <w:t xml:space="preserve">Pregled plana i </w:t>
      </w:r>
      <w:r w:rsidR="001C6255" w:rsidRPr="003A2F86">
        <w:rPr>
          <w:rFonts w:ascii="Arial" w:hAnsi="Arial" w:cs="Arial"/>
          <w:sz w:val="22"/>
        </w:rPr>
        <w:t xml:space="preserve">udjela izvršenja </w:t>
      </w:r>
      <w:r w:rsidRPr="003A2F86">
        <w:rPr>
          <w:rFonts w:ascii="Arial" w:hAnsi="Arial" w:cs="Arial"/>
          <w:sz w:val="22"/>
        </w:rPr>
        <w:t xml:space="preserve">proračuna </w:t>
      </w:r>
      <w:r w:rsidR="001A2C0E" w:rsidRPr="003A2F86">
        <w:rPr>
          <w:rFonts w:ascii="Arial" w:hAnsi="Arial" w:cs="Arial"/>
          <w:sz w:val="22"/>
        </w:rPr>
        <w:t xml:space="preserve">za </w:t>
      </w:r>
      <w:r w:rsidR="00BB01CB">
        <w:rPr>
          <w:rFonts w:ascii="Arial" w:hAnsi="Arial" w:cs="Arial"/>
          <w:sz w:val="22"/>
        </w:rPr>
        <w:t>2025</w:t>
      </w:r>
      <w:r w:rsidRPr="003A2F86">
        <w:rPr>
          <w:rFonts w:ascii="Arial" w:hAnsi="Arial" w:cs="Arial"/>
          <w:sz w:val="22"/>
        </w:rPr>
        <w:t xml:space="preserve">.– </w:t>
      </w:r>
      <w:r w:rsidRPr="008629EA">
        <w:rPr>
          <w:rFonts w:ascii="Arial" w:hAnsi="Arial" w:cs="Arial"/>
          <w:color w:val="1F497D" w:themeColor="text2"/>
          <w:sz w:val="22"/>
        </w:rPr>
        <w:t xml:space="preserve">Općina </w:t>
      </w:r>
      <w:r w:rsidRPr="003A2F86">
        <w:rPr>
          <w:rFonts w:ascii="Arial" w:hAnsi="Arial" w:cs="Arial"/>
          <w:sz w:val="22"/>
        </w:rPr>
        <w:t xml:space="preserve">i </w:t>
      </w:r>
      <w:r w:rsidR="004812B6" w:rsidRPr="003A2F86">
        <w:rPr>
          <w:rFonts w:ascii="Arial" w:hAnsi="Arial" w:cs="Arial"/>
          <w:sz w:val="22"/>
        </w:rPr>
        <w:t xml:space="preserve">zbirno </w:t>
      </w:r>
      <w:r w:rsidRPr="008629EA">
        <w:rPr>
          <w:rFonts w:ascii="Arial" w:hAnsi="Arial" w:cs="Arial"/>
          <w:color w:val="943634" w:themeColor="accent2" w:themeShade="BF"/>
          <w:sz w:val="22"/>
        </w:rPr>
        <w:t xml:space="preserve">proračunski korisnici </w:t>
      </w:r>
      <w:r w:rsidRPr="003A2F86">
        <w:rPr>
          <w:rFonts w:ascii="Arial" w:hAnsi="Arial" w:cs="Arial"/>
          <w:sz w:val="22"/>
        </w:rPr>
        <w:t>(€)</w:t>
      </w:r>
      <w:bookmarkEnd w:id="26"/>
    </w:p>
    <w:p w14:paraId="70E5D0FB" w14:textId="77777777" w:rsidR="004A2AA6" w:rsidRPr="003A2F86" w:rsidRDefault="004A2AA6" w:rsidP="004A2AA6">
      <w:pPr>
        <w:spacing w:after="0" w:line="240" w:lineRule="auto"/>
        <w:rPr>
          <w:lang w:eastAsia="en-US"/>
        </w:rPr>
      </w:pPr>
    </w:p>
    <w:p w14:paraId="2C565321" w14:textId="4D4847BC" w:rsidR="00825FEB" w:rsidRDefault="00D22B79" w:rsidP="000553B2">
      <w:pPr>
        <w:jc w:val="center"/>
        <w:rPr>
          <w:lang w:eastAsia="en-US"/>
        </w:rPr>
      </w:pPr>
      <w:r w:rsidRPr="00D22B79">
        <w:rPr>
          <w:noProof/>
        </w:rPr>
        <w:drawing>
          <wp:inline distT="0" distB="0" distL="0" distR="0" wp14:anchorId="460C0E9B" wp14:editId="6CC8253F">
            <wp:extent cx="9251950" cy="4792345"/>
            <wp:effectExtent l="0" t="0" r="6350" b="8255"/>
            <wp:docPr id="1227529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51950" cy="4792345"/>
                    </a:xfrm>
                    <a:prstGeom prst="rect">
                      <a:avLst/>
                    </a:prstGeom>
                    <a:noFill/>
                    <a:ln>
                      <a:noFill/>
                    </a:ln>
                  </pic:spPr>
                </pic:pic>
              </a:graphicData>
            </a:graphic>
          </wp:inline>
        </w:drawing>
      </w:r>
    </w:p>
    <w:p w14:paraId="4B985260" w14:textId="3026E5DD" w:rsidR="00BE635B" w:rsidRPr="003A2F86" w:rsidRDefault="00BE635B" w:rsidP="00BE635B">
      <w:pPr>
        <w:pStyle w:val="Opisslike"/>
        <w:rPr>
          <w:rFonts w:ascii="Arial" w:hAnsi="Arial" w:cs="Arial"/>
          <w:sz w:val="22"/>
        </w:rPr>
      </w:pPr>
      <w:bookmarkStart w:id="28" w:name="_Toc232981529"/>
      <w:bookmarkEnd w:id="27"/>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10</w:t>
      </w:r>
      <w:r w:rsidRPr="003A2F86">
        <w:rPr>
          <w:color w:val="FF0000"/>
        </w:rPr>
        <w:fldChar w:fldCharType="end"/>
      </w:r>
      <w:r w:rsidRPr="003A2F86">
        <w:rPr>
          <w:rFonts w:ascii="Arial" w:hAnsi="Arial" w:cs="Arial"/>
          <w:b w:val="0"/>
          <w:color w:val="FF0000"/>
          <w:sz w:val="22"/>
        </w:rPr>
        <w:t>:</w:t>
      </w:r>
      <w:r w:rsidRPr="003A2F86">
        <w:rPr>
          <w:rFonts w:ascii="Arial" w:hAnsi="Arial" w:cs="Arial"/>
          <w:color w:val="FF0000"/>
          <w:sz w:val="22"/>
        </w:rPr>
        <w:t xml:space="preserve"> </w:t>
      </w:r>
      <w:r w:rsidRPr="003A2F86">
        <w:rPr>
          <w:rFonts w:ascii="Arial" w:hAnsi="Arial" w:cs="Arial"/>
          <w:szCs w:val="18"/>
        </w:rPr>
        <w:t xml:space="preserve">Pregled planiranih i ostvarenih </w:t>
      </w:r>
      <w:r w:rsidRPr="003A2F86">
        <w:rPr>
          <w:rFonts w:ascii="Arial" w:hAnsi="Arial" w:cs="Arial"/>
          <w:szCs w:val="18"/>
          <w:u w:val="single"/>
        </w:rPr>
        <w:t>prihoda</w:t>
      </w:r>
      <w:r w:rsidRPr="003A2F86">
        <w:rPr>
          <w:rFonts w:ascii="Arial" w:hAnsi="Arial" w:cs="Arial"/>
          <w:szCs w:val="18"/>
        </w:rPr>
        <w:t xml:space="preserve"> za 202</w:t>
      </w:r>
      <w:r w:rsidR="00BB01CB">
        <w:rPr>
          <w:rFonts w:ascii="Arial" w:hAnsi="Arial" w:cs="Arial"/>
          <w:szCs w:val="18"/>
        </w:rPr>
        <w:t>5</w:t>
      </w:r>
      <w:r w:rsidRPr="003A2F86">
        <w:rPr>
          <w:rFonts w:ascii="Arial" w:hAnsi="Arial" w:cs="Arial"/>
          <w:szCs w:val="18"/>
        </w:rPr>
        <w:t xml:space="preserve">. - </w:t>
      </w:r>
      <w:r w:rsidRPr="003A2F86">
        <w:rPr>
          <w:rFonts w:ascii="Arial" w:hAnsi="Arial" w:cs="Arial"/>
          <w:color w:val="943634" w:themeColor="accent2" w:themeShade="BF"/>
          <w:szCs w:val="18"/>
        </w:rPr>
        <w:t xml:space="preserve">proračunski korisnici </w:t>
      </w:r>
      <w:r w:rsidRPr="003A2F86">
        <w:rPr>
          <w:rFonts w:ascii="Arial" w:hAnsi="Arial" w:cs="Arial"/>
          <w:szCs w:val="18"/>
        </w:rPr>
        <w:t>(pojedinačno) (€)</w:t>
      </w:r>
      <w:bookmarkEnd w:id="28"/>
    </w:p>
    <w:p w14:paraId="79D5A625" w14:textId="131DF890" w:rsidR="00BE635B" w:rsidRPr="003A2F86" w:rsidRDefault="00BE635B" w:rsidP="00BE635B">
      <w:pPr>
        <w:spacing w:after="0" w:line="240" w:lineRule="auto"/>
        <w:rPr>
          <w:sz w:val="16"/>
          <w:szCs w:val="16"/>
          <w:lang w:eastAsia="en-US"/>
        </w:rPr>
      </w:pPr>
    </w:p>
    <w:p w14:paraId="1453C98A" w14:textId="2F852162" w:rsidR="00BE635B" w:rsidRPr="003A2F86" w:rsidRDefault="006A2F72" w:rsidP="00BE635B">
      <w:pPr>
        <w:spacing w:after="0" w:line="240" w:lineRule="auto"/>
        <w:rPr>
          <w:sz w:val="16"/>
          <w:szCs w:val="16"/>
          <w:lang w:eastAsia="en-US"/>
        </w:rPr>
      </w:pPr>
      <w:r w:rsidRPr="006A2F72">
        <w:rPr>
          <w:noProof/>
        </w:rPr>
        <w:drawing>
          <wp:inline distT="0" distB="0" distL="0" distR="0" wp14:anchorId="225C5F3A" wp14:editId="03E5CDE0">
            <wp:extent cx="9251950" cy="5276850"/>
            <wp:effectExtent l="0" t="0" r="6350" b="0"/>
            <wp:docPr id="11716195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51950" cy="5276850"/>
                    </a:xfrm>
                    <a:prstGeom prst="rect">
                      <a:avLst/>
                    </a:prstGeom>
                    <a:noFill/>
                    <a:ln>
                      <a:noFill/>
                    </a:ln>
                  </pic:spPr>
                </pic:pic>
              </a:graphicData>
            </a:graphic>
          </wp:inline>
        </w:drawing>
      </w:r>
    </w:p>
    <w:p w14:paraId="69FEAB46" w14:textId="77777777" w:rsidR="00AA29F9" w:rsidRDefault="00AA29F9" w:rsidP="00BE635B">
      <w:pPr>
        <w:spacing w:after="0" w:line="240" w:lineRule="auto"/>
        <w:rPr>
          <w:sz w:val="16"/>
          <w:szCs w:val="16"/>
          <w:lang w:eastAsia="en-US"/>
        </w:rPr>
      </w:pPr>
    </w:p>
    <w:p w14:paraId="1219518C" w14:textId="77777777" w:rsidR="00801289" w:rsidRDefault="00801289" w:rsidP="00BE635B">
      <w:pPr>
        <w:spacing w:after="0" w:line="240" w:lineRule="auto"/>
        <w:rPr>
          <w:sz w:val="16"/>
          <w:szCs w:val="16"/>
          <w:lang w:eastAsia="en-US"/>
        </w:rPr>
      </w:pPr>
    </w:p>
    <w:p w14:paraId="4A5187EE" w14:textId="77777777" w:rsidR="00801289" w:rsidRDefault="00801289" w:rsidP="00BE635B">
      <w:pPr>
        <w:spacing w:after="0" w:line="240" w:lineRule="auto"/>
        <w:rPr>
          <w:sz w:val="16"/>
          <w:szCs w:val="16"/>
          <w:lang w:eastAsia="en-US"/>
        </w:rPr>
      </w:pPr>
    </w:p>
    <w:p w14:paraId="40952079" w14:textId="77777777" w:rsidR="00801289" w:rsidRPr="003A2F86" w:rsidRDefault="00801289" w:rsidP="00BE635B">
      <w:pPr>
        <w:spacing w:after="0" w:line="240" w:lineRule="auto"/>
        <w:rPr>
          <w:sz w:val="16"/>
          <w:szCs w:val="16"/>
          <w:lang w:eastAsia="en-US"/>
        </w:rPr>
      </w:pPr>
    </w:p>
    <w:p w14:paraId="636B40CF" w14:textId="47B053A7" w:rsidR="00BE635B" w:rsidRPr="003A2F86" w:rsidRDefault="00BE635B" w:rsidP="00BE635B">
      <w:pPr>
        <w:pStyle w:val="Opisslike"/>
        <w:keepNext/>
        <w:rPr>
          <w:rFonts w:ascii="Arial" w:hAnsi="Arial" w:cs="Arial"/>
          <w:noProof/>
        </w:rPr>
      </w:pPr>
      <w:bookmarkStart w:id="29" w:name="_Toc232981530"/>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11</w:t>
      </w:r>
      <w:r w:rsidRPr="003A2F86">
        <w:rPr>
          <w:color w:val="FF0000"/>
        </w:rPr>
        <w:fldChar w:fldCharType="end"/>
      </w:r>
      <w:r w:rsidRPr="003A2F86">
        <w:rPr>
          <w:color w:val="FF0000"/>
        </w:rPr>
        <w:t xml:space="preserve">. </w:t>
      </w:r>
      <w:r w:rsidRPr="003A2F86">
        <w:t>:</w:t>
      </w:r>
      <w:r w:rsidRPr="003A2F86">
        <w:rPr>
          <w:rFonts w:ascii="Arial" w:eastAsia="Calibri" w:hAnsi="Arial" w:cs="Arial"/>
        </w:rPr>
        <w:t xml:space="preserve">Pregled ostvarenih prihoda i primitaka </w:t>
      </w:r>
      <w:r w:rsidR="00CA3194" w:rsidRPr="003A2F86">
        <w:rPr>
          <w:rFonts w:ascii="Arial" w:eastAsia="Calibri" w:hAnsi="Arial" w:cs="Arial"/>
        </w:rPr>
        <w:t xml:space="preserve">u </w:t>
      </w:r>
      <w:r w:rsidR="00167939" w:rsidRPr="003A2F86">
        <w:rPr>
          <w:rFonts w:ascii="Arial" w:eastAsia="Calibri" w:hAnsi="Arial" w:cs="Arial"/>
        </w:rPr>
        <w:t>202</w:t>
      </w:r>
      <w:r w:rsidR="00B36BEE">
        <w:rPr>
          <w:rFonts w:ascii="Arial" w:eastAsia="Calibri" w:hAnsi="Arial" w:cs="Arial"/>
        </w:rPr>
        <w:t>5</w:t>
      </w:r>
      <w:r w:rsidRPr="003A2F86">
        <w:rPr>
          <w:rFonts w:ascii="Arial" w:eastAsia="Calibri" w:hAnsi="Arial" w:cs="Arial"/>
          <w:color w:val="000000" w:themeColor="text1"/>
        </w:rPr>
        <w:t xml:space="preserve">.: </w:t>
      </w:r>
      <w:r w:rsidRPr="003A2F86">
        <w:rPr>
          <w:rFonts w:ascii="Arial" w:eastAsia="Calibri" w:hAnsi="Arial" w:cs="Arial"/>
          <w:color w:val="943634" w:themeColor="accent2" w:themeShade="BF"/>
        </w:rPr>
        <w:t xml:space="preserve">proračunski korisnici </w:t>
      </w:r>
      <w:r w:rsidRPr="003A2F86">
        <w:rPr>
          <w:rFonts w:ascii="Arial" w:hAnsi="Arial" w:cs="Arial"/>
          <w:noProof/>
          <w:color w:val="000000" w:themeColor="text1"/>
        </w:rPr>
        <w:t>(pojedinačno</w:t>
      </w:r>
      <w:r w:rsidRPr="003A2F86">
        <w:rPr>
          <w:rFonts w:ascii="Arial" w:hAnsi="Arial" w:cs="Arial"/>
          <w:noProof/>
        </w:rPr>
        <w:t xml:space="preserve">), Općina </w:t>
      </w:r>
      <w:bookmarkStart w:id="30" w:name="_Hlk176177164"/>
      <w:r w:rsidRPr="003A2F86">
        <w:rPr>
          <w:rFonts w:ascii="Arial" w:hAnsi="Arial" w:cs="Arial"/>
          <w:noProof/>
        </w:rPr>
        <w:t>(</w:t>
      </w:r>
      <w:r w:rsidRPr="003A2F86">
        <w:rPr>
          <w:rFonts w:ascii="Arial" w:hAnsi="Arial" w:cs="Arial"/>
          <w:noProof/>
          <w:color w:val="0070C0"/>
        </w:rPr>
        <w:t>razina 22</w:t>
      </w:r>
      <w:r w:rsidRPr="003A2F86">
        <w:rPr>
          <w:rFonts w:ascii="Arial" w:hAnsi="Arial" w:cs="Arial"/>
          <w:noProof/>
        </w:rPr>
        <w:t>) i sveukupno (</w:t>
      </w:r>
      <w:r w:rsidRPr="003A2F86">
        <w:rPr>
          <w:rFonts w:ascii="Arial" w:hAnsi="Arial" w:cs="Arial"/>
          <w:noProof/>
          <w:color w:val="7030A0"/>
        </w:rPr>
        <w:t>razina 23</w:t>
      </w:r>
      <w:r w:rsidRPr="003A2F86">
        <w:rPr>
          <w:rFonts w:ascii="Arial" w:hAnsi="Arial" w:cs="Arial"/>
          <w:noProof/>
        </w:rPr>
        <w:t xml:space="preserve">) </w:t>
      </w:r>
      <w:r w:rsidR="007B469E" w:rsidRPr="003A2F86">
        <w:rPr>
          <w:rFonts w:ascii="Arial" w:hAnsi="Arial" w:cs="Arial"/>
          <w:noProof/>
        </w:rPr>
        <w:t>(€)</w:t>
      </w:r>
      <w:bookmarkEnd w:id="29"/>
    </w:p>
    <w:bookmarkEnd w:id="30"/>
    <w:p w14:paraId="29E0AD89" w14:textId="77777777" w:rsidR="003576BF" w:rsidRPr="003A2F86" w:rsidRDefault="003576BF" w:rsidP="003576BF">
      <w:pPr>
        <w:rPr>
          <w:sz w:val="12"/>
          <w:szCs w:val="12"/>
          <w:lang w:eastAsia="en-US"/>
        </w:rPr>
      </w:pPr>
    </w:p>
    <w:p w14:paraId="596F9E17" w14:textId="763A5DB0" w:rsidR="003576BF" w:rsidRPr="003A2F86" w:rsidRDefault="004E4867" w:rsidP="00BE635B">
      <w:pPr>
        <w:jc w:val="center"/>
        <w:rPr>
          <w:lang w:eastAsia="en-US"/>
        </w:rPr>
      </w:pPr>
      <w:r w:rsidRPr="004E4867">
        <w:rPr>
          <w:noProof/>
        </w:rPr>
        <w:drawing>
          <wp:inline distT="0" distB="0" distL="0" distR="0" wp14:anchorId="3ACA809E" wp14:editId="6E7987E0">
            <wp:extent cx="9251950" cy="5179695"/>
            <wp:effectExtent l="0" t="0" r="6350" b="1905"/>
            <wp:docPr id="351490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251950" cy="5179695"/>
                    </a:xfrm>
                    <a:prstGeom prst="rect">
                      <a:avLst/>
                    </a:prstGeom>
                    <a:noFill/>
                    <a:ln>
                      <a:noFill/>
                    </a:ln>
                  </pic:spPr>
                </pic:pic>
              </a:graphicData>
            </a:graphic>
          </wp:inline>
        </w:drawing>
      </w:r>
    </w:p>
    <w:p w14:paraId="5EB90C84" w14:textId="3A42E5FE" w:rsidR="003576BF" w:rsidRPr="003A2F86" w:rsidRDefault="00D03F19" w:rsidP="00BE635B">
      <w:pPr>
        <w:jc w:val="center"/>
        <w:rPr>
          <w:lang w:eastAsia="en-US"/>
        </w:rPr>
      </w:pPr>
      <w:r w:rsidRPr="00D03F19">
        <w:rPr>
          <w:noProof/>
        </w:rPr>
        <w:lastRenderedPageBreak/>
        <w:drawing>
          <wp:inline distT="0" distB="0" distL="0" distR="0" wp14:anchorId="5470ABF9" wp14:editId="76E1EA4C">
            <wp:extent cx="9251950" cy="5395595"/>
            <wp:effectExtent l="0" t="0" r="6350" b="0"/>
            <wp:docPr id="19356248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251950" cy="5395595"/>
                    </a:xfrm>
                    <a:prstGeom prst="rect">
                      <a:avLst/>
                    </a:prstGeom>
                    <a:noFill/>
                    <a:ln>
                      <a:noFill/>
                    </a:ln>
                  </pic:spPr>
                </pic:pic>
              </a:graphicData>
            </a:graphic>
          </wp:inline>
        </w:drawing>
      </w:r>
    </w:p>
    <w:p w14:paraId="7FBD988D" w14:textId="3DEE5F6C" w:rsidR="00BE635B" w:rsidRPr="003A2F86" w:rsidRDefault="00BE635B" w:rsidP="003576BF">
      <w:pPr>
        <w:spacing w:after="0" w:line="240" w:lineRule="auto"/>
        <w:jc w:val="center"/>
        <w:rPr>
          <w:lang w:eastAsia="en-US"/>
        </w:rPr>
      </w:pPr>
    </w:p>
    <w:p w14:paraId="27926737" w14:textId="77777777" w:rsidR="00BE635B" w:rsidRPr="003A2F86" w:rsidRDefault="00BE635B" w:rsidP="003576BF">
      <w:pPr>
        <w:pStyle w:val="Opisslike"/>
        <w:rPr>
          <w:sz w:val="16"/>
          <w:szCs w:val="16"/>
        </w:rPr>
      </w:pPr>
    </w:p>
    <w:p w14:paraId="42D478AA" w14:textId="77777777" w:rsidR="00E6771A" w:rsidRPr="003A2F86" w:rsidRDefault="00E6771A" w:rsidP="003576BF">
      <w:pPr>
        <w:spacing w:after="0" w:line="240" w:lineRule="auto"/>
        <w:rPr>
          <w:lang w:eastAsia="en-US"/>
        </w:rPr>
      </w:pPr>
    </w:p>
    <w:p w14:paraId="368E648D" w14:textId="1365324E" w:rsidR="00BE635B" w:rsidRPr="003A2F86" w:rsidRDefault="00BE635B" w:rsidP="00BE635B">
      <w:pPr>
        <w:pStyle w:val="Opisslike"/>
      </w:pPr>
      <w:bookmarkStart w:id="31" w:name="_Toc232981563"/>
      <w:r w:rsidRPr="003A2F86">
        <w:rPr>
          <w:color w:val="FF0000"/>
        </w:rPr>
        <w:lastRenderedPageBreak/>
        <w:t xml:space="preserve">Graf </w:t>
      </w:r>
      <w:r w:rsidRPr="003A2F86">
        <w:rPr>
          <w:color w:val="FF0000"/>
        </w:rPr>
        <w:fldChar w:fldCharType="begin"/>
      </w:r>
      <w:r w:rsidRPr="003A2F86">
        <w:rPr>
          <w:color w:val="FF0000"/>
        </w:rPr>
        <w:instrText xml:space="preserve"> SEQ Graf \* ARABIC </w:instrText>
      </w:r>
      <w:r w:rsidRPr="003A2F86">
        <w:rPr>
          <w:color w:val="FF0000"/>
        </w:rPr>
        <w:fldChar w:fldCharType="separate"/>
      </w:r>
      <w:r w:rsidR="00A821D8">
        <w:rPr>
          <w:noProof/>
          <w:color w:val="FF0000"/>
        </w:rPr>
        <w:t>3</w:t>
      </w:r>
      <w:r w:rsidRPr="003A2F86">
        <w:rPr>
          <w:color w:val="FF0000"/>
        </w:rPr>
        <w:fldChar w:fldCharType="end"/>
      </w:r>
      <w:r w:rsidRPr="003A2F86">
        <w:rPr>
          <w:color w:val="FF0000"/>
        </w:rPr>
        <w:t xml:space="preserve">.: </w:t>
      </w:r>
      <w:r w:rsidRPr="003A2F86">
        <w:t xml:space="preserve">Struktura </w:t>
      </w:r>
      <w:r w:rsidRPr="003A2F86">
        <w:rPr>
          <w:u w:val="single"/>
        </w:rPr>
        <w:t>ostvarenih vlastitih prihoda i primitaka</w:t>
      </w:r>
      <w:r w:rsidRPr="003A2F86">
        <w:t xml:space="preserve"> Proračuna u 202</w:t>
      </w:r>
      <w:r w:rsidR="00B36BEE">
        <w:t>5</w:t>
      </w:r>
      <w:r w:rsidRPr="003A2F86">
        <w:t xml:space="preserve">. (€)– </w:t>
      </w:r>
      <w:r w:rsidRPr="008629EA">
        <w:rPr>
          <w:color w:val="1F497D" w:themeColor="text2"/>
        </w:rPr>
        <w:t xml:space="preserve">Općina </w:t>
      </w:r>
      <w:r w:rsidRPr="003A2F86">
        <w:t xml:space="preserve">i </w:t>
      </w:r>
      <w:r w:rsidR="004812B6" w:rsidRPr="003A2F86">
        <w:t xml:space="preserve">pojedinačno </w:t>
      </w:r>
      <w:r w:rsidRPr="008629EA">
        <w:rPr>
          <w:color w:val="943634" w:themeColor="accent2" w:themeShade="BF"/>
        </w:rPr>
        <w:t>proračunski korisnici</w:t>
      </w:r>
      <w:bookmarkEnd w:id="31"/>
    </w:p>
    <w:p w14:paraId="5C3CBC87" w14:textId="77777777" w:rsidR="00E67F33" w:rsidRPr="003A2F86" w:rsidRDefault="00E67F33" w:rsidP="00E67F33">
      <w:pPr>
        <w:rPr>
          <w:lang w:eastAsia="en-US"/>
        </w:rPr>
      </w:pPr>
    </w:p>
    <w:p w14:paraId="0FB43836" w14:textId="77777777" w:rsidR="00BE635B" w:rsidRPr="003A2F86" w:rsidRDefault="00BE635B" w:rsidP="00BE635B">
      <w:pPr>
        <w:autoSpaceDE w:val="0"/>
        <w:autoSpaceDN w:val="0"/>
        <w:adjustRightInd w:val="0"/>
        <w:spacing w:after="0" w:line="240" w:lineRule="auto"/>
        <w:jc w:val="center"/>
      </w:pPr>
      <w:r w:rsidRPr="003A2F86">
        <w:rPr>
          <w:rFonts w:ascii="Arial" w:eastAsia="Calibri" w:hAnsi="Arial" w:cs="Arial"/>
          <w:noProof/>
          <w:color w:val="FF0000"/>
          <w:u w:val="single"/>
        </w:rPr>
        <w:drawing>
          <wp:inline distT="0" distB="0" distL="0" distR="0" wp14:anchorId="58472AAB" wp14:editId="23EDBFEA">
            <wp:extent cx="7208520" cy="3094074"/>
            <wp:effectExtent l="0" t="0" r="11430" b="11430"/>
            <wp:docPr id="771" name="Objec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C35F1A0" w14:textId="77777777" w:rsidR="00BF1FA2" w:rsidRPr="003A2F86" w:rsidRDefault="00BF1FA2" w:rsidP="00BE635B">
      <w:pPr>
        <w:autoSpaceDE w:val="0"/>
        <w:autoSpaceDN w:val="0"/>
        <w:adjustRightInd w:val="0"/>
        <w:spacing w:after="0" w:line="240" w:lineRule="auto"/>
        <w:jc w:val="center"/>
      </w:pPr>
    </w:p>
    <w:p w14:paraId="3CBF4693" w14:textId="77777777" w:rsidR="00BF1FA2" w:rsidRPr="003A2F86" w:rsidRDefault="00BF1FA2" w:rsidP="00BE635B">
      <w:pPr>
        <w:autoSpaceDE w:val="0"/>
        <w:autoSpaceDN w:val="0"/>
        <w:adjustRightInd w:val="0"/>
        <w:spacing w:after="0" w:line="240" w:lineRule="auto"/>
        <w:jc w:val="center"/>
      </w:pPr>
    </w:p>
    <w:p w14:paraId="2FF6C8B3" w14:textId="77777777" w:rsidR="00BF1FA2" w:rsidRPr="003A2F86" w:rsidRDefault="00BF1FA2" w:rsidP="00BE635B">
      <w:pPr>
        <w:autoSpaceDE w:val="0"/>
        <w:autoSpaceDN w:val="0"/>
        <w:adjustRightInd w:val="0"/>
        <w:spacing w:after="0" w:line="240" w:lineRule="auto"/>
        <w:jc w:val="center"/>
      </w:pPr>
    </w:p>
    <w:p w14:paraId="6F743A7D" w14:textId="77777777" w:rsidR="00BF1FA2" w:rsidRDefault="00BF1FA2" w:rsidP="00BE635B">
      <w:pPr>
        <w:autoSpaceDE w:val="0"/>
        <w:autoSpaceDN w:val="0"/>
        <w:adjustRightInd w:val="0"/>
        <w:spacing w:after="0" w:line="240" w:lineRule="auto"/>
        <w:jc w:val="center"/>
      </w:pPr>
    </w:p>
    <w:p w14:paraId="7A414DC0" w14:textId="77777777" w:rsidR="00BD1173" w:rsidRPr="003A2F86" w:rsidRDefault="00BD1173" w:rsidP="00BE635B">
      <w:pPr>
        <w:autoSpaceDE w:val="0"/>
        <w:autoSpaceDN w:val="0"/>
        <w:adjustRightInd w:val="0"/>
        <w:spacing w:after="0" w:line="240" w:lineRule="auto"/>
        <w:jc w:val="center"/>
      </w:pPr>
    </w:p>
    <w:p w14:paraId="73350050" w14:textId="77777777" w:rsidR="00BF1FA2" w:rsidRPr="003A2F86" w:rsidRDefault="00BF1FA2" w:rsidP="00BE635B">
      <w:pPr>
        <w:autoSpaceDE w:val="0"/>
        <w:autoSpaceDN w:val="0"/>
        <w:adjustRightInd w:val="0"/>
        <w:spacing w:after="0" w:line="240" w:lineRule="auto"/>
        <w:jc w:val="center"/>
      </w:pPr>
    </w:p>
    <w:p w14:paraId="798C3551" w14:textId="77777777" w:rsidR="00BF1FA2" w:rsidRPr="003A2F86" w:rsidRDefault="00BF1FA2" w:rsidP="00BE635B">
      <w:pPr>
        <w:autoSpaceDE w:val="0"/>
        <w:autoSpaceDN w:val="0"/>
        <w:adjustRightInd w:val="0"/>
        <w:spacing w:after="0" w:line="240" w:lineRule="auto"/>
        <w:jc w:val="center"/>
      </w:pPr>
    </w:p>
    <w:p w14:paraId="21C15C7D" w14:textId="77777777" w:rsidR="00BF1FA2" w:rsidRPr="003A2F86" w:rsidRDefault="00BF1FA2" w:rsidP="00BE635B">
      <w:pPr>
        <w:autoSpaceDE w:val="0"/>
        <w:autoSpaceDN w:val="0"/>
        <w:adjustRightInd w:val="0"/>
        <w:spacing w:after="0" w:line="240" w:lineRule="auto"/>
        <w:jc w:val="center"/>
      </w:pPr>
    </w:p>
    <w:p w14:paraId="03D2FD37" w14:textId="77777777" w:rsidR="00BF1FA2" w:rsidRPr="003A2F86" w:rsidRDefault="00BF1FA2" w:rsidP="00BE635B">
      <w:pPr>
        <w:autoSpaceDE w:val="0"/>
        <w:autoSpaceDN w:val="0"/>
        <w:adjustRightInd w:val="0"/>
        <w:spacing w:after="0" w:line="240" w:lineRule="auto"/>
        <w:jc w:val="center"/>
      </w:pPr>
    </w:p>
    <w:p w14:paraId="7B815929" w14:textId="77777777" w:rsidR="00BF1FA2" w:rsidRPr="003A2F86" w:rsidRDefault="00BF1FA2" w:rsidP="00BE635B">
      <w:pPr>
        <w:autoSpaceDE w:val="0"/>
        <w:autoSpaceDN w:val="0"/>
        <w:adjustRightInd w:val="0"/>
        <w:spacing w:after="0" w:line="240" w:lineRule="auto"/>
        <w:jc w:val="center"/>
      </w:pPr>
    </w:p>
    <w:p w14:paraId="232DA34E" w14:textId="77777777" w:rsidR="00BF1FA2" w:rsidRPr="003A2F86" w:rsidRDefault="00BF1FA2" w:rsidP="00BE635B">
      <w:pPr>
        <w:autoSpaceDE w:val="0"/>
        <w:autoSpaceDN w:val="0"/>
        <w:adjustRightInd w:val="0"/>
        <w:spacing w:after="0" w:line="240" w:lineRule="auto"/>
        <w:jc w:val="center"/>
      </w:pPr>
    </w:p>
    <w:p w14:paraId="6BBF652A" w14:textId="77777777" w:rsidR="00BF1FA2" w:rsidRPr="003A2F86" w:rsidRDefault="00BF1FA2" w:rsidP="00BE635B">
      <w:pPr>
        <w:autoSpaceDE w:val="0"/>
        <w:autoSpaceDN w:val="0"/>
        <w:adjustRightInd w:val="0"/>
        <w:spacing w:after="0" w:line="240" w:lineRule="auto"/>
        <w:jc w:val="center"/>
      </w:pPr>
    </w:p>
    <w:p w14:paraId="3BC981C5" w14:textId="77777777" w:rsidR="00BF1FA2" w:rsidRPr="003A2F86" w:rsidRDefault="00BF1FA2" w:rsidP="00BE635B">
      <w:pPr>
        <w:autoSpaceDE w:val="0"/>
        <w:autoSpaceDN w:val="0"/>
        <w:adjustRightInd w:val="0"/>
        <w:spacing w:after="0" w:line="240" w:lineRule="auto"/>
        <w:jc w:val="center"/>
      </w:pPr>
    </w:p>
    <w:p w14:paraId="4EF92E52" w14:textId="77777777" w:rsidR="00BF1FA2" w:rsidRPr="003A2F86" w:rsidRDefault="00BF1FA2" w:rsidP="00BE635B">
      <w:pPr>
        <w:autoSpaceDE w:val="0"/>
        <w:autoSpaceDN w:val="0"/>
        <w:adjustRightInd w:val="0"/>
        <w:spacing w:after="0" w:line="240" w:lineRule="auto"/>
        <w:jc w:val="center"/>
      </w:pPr>
    </w:p>
    <w:p w14:paraId="0FDD31EF" w14:textId="24A59050" w:rsidR="00BE635B" w:rsidRPr="003A2F86" w:rsidRDefault="00BE635B" w:rsidP="00BE635B">
      <w:pPr>
        <w:pStyle w:val="Opisslike"/>
        <w:keepNext/>
        <w:jc w:val="both"/>
        <w:rPr>
          <w:rFonts w:ascii="Arial" w:hAnsi="Arial" w:cs="Arial"/>
        </w:rPr>
      </w:pPr>
      <w:bookmarkStart w:id="32" w:name="_Toc232981531"/>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12</w:t>
      </w:r>
      <w:r w:rsidRPr="003A2F86">
        <w:rPr>
          <w:color w:val="FF0000"/>
        </w:rPr>
        <w:fldChar w:fldCharType="end"/>
      </w:r>
      <w:r w:rsidRPr="003A2F86">
        <w:rPr>
          <w:color w:val="FF0000"/>
        </w:rPr>
        <w:t xml:space="preserve">.: </w:t>
      </w:r>
      <w:r w:rsidRPr="003A2F86">
        <w:rPr>
          <w:rFonts w:ascii="Arial" w:hAnsi="Arial" w:cs="Arial"/>
        </w:rPr>
        <w:t xml:space="preserve">Pregled planiranih i izvršenih </w:t>
      </w:r>
      <w:r w:rsidRPr="003A2F86">
        <w:rPr>
          <w:rFonts w:ascii="Arial" w:hAnsi="Arial" w:cs="Arial"/>
          <w:u w:val="single"/>
        </w:rPr>
        <w:t>rashoda</w:t>
      </w:r>
      <w:r w:rsidRPr="003A2F86">
        <w:rPr>
          <w:rFonts w:ascii="Arial" w:hAnsi="Arial" w:cs="Arial"/>
        </w:rPr>
        <w:t xml:space="preserve"> </w:t>
      </w:r>
      <w:r w:rsidR="00CA3194" w:rsidRPr="003A2F86">
        <w:rPr>
          <w:rFonts w:ascii="Arial" w:hAnsi="Arial" w:cs="Arial"/>
        </w:rPr>
        <w:t xml:space="preserve">u </w:t>
      </w:r>
      <w:r w:rsidRPr="003A2F86">
        <w:rPr>
          <w:rFonts w:ascii="Arial" w:hAnsi="Arial" w:cs="Arial"/>
        </w:rPr>
        <w:t>202</w:t>
      </w:r>
      <w:r w:rsidR="006A6A49">
        <w:rPr>
          <w:rFonts w:ascii="Arial" w:hAnsi="Arial" w:cs="Arial"/>
        </w:rPr>
        <w:t>5</w:t>
      </w:r>
      <w:r w:rsidRPr="003A2F86">
        <w:rPr>
          <w:rFonts w:ascii="Arial" w:hAnsi="Arial" w:cs="Arial"/>
        </w:rPr>
        <w:t xml:space="preserve">. (€)- </w:t>
      </w:r>
      <w:r w:rsidRPr="003A2F86">
        <w:rPr>
          <w:rFonts w:ascii="Arial" w:hAnsi="Arial" w:cs="Arial"/>
          <w:color w:val="943634" w:themeColor="accent2" w:themeShade="BF"/>
        </w:rPr>
        <w:t xml:space="preserve">proračunski korisnici </w:t>
      </w:r>
      <w:r w:rsidRPr="003A2F86">
        <w:rPr>
          <w:rFonts w:ascii="Arial" w:hAnsi="Arial" w:cs="Arial"/>
        </w:rPr>
        <w:t>(pojedinačno)</w:t>
      </w:r>
      <w:bookmarkEnd w:id="32"/>
    </w:p>
    <w:p w14:paraId="33D147C9" w14:textId="77777777" w:rsidR="00BE635B" w:rsidRPr="003A2F86" w:rsidRDefault="00BE635B" w:rsidP="00BE635B">
      <w:pPr>
        <w:autoSpaceDE w:val="0"/>
        <w:autoSpaceDN w:val="0"/>
        <w:adjustRightInd w:val="0"/>
        <w:spacing w:after="0" w:line="240" w:lineRule="auto"/>
        <w:jc w:val="center"/>
        <w:rPr>
          <w:rFonts w:ascii="Arial" w:eastAsia="Calibri" w:hAnsi="Arial" w:cs="Arial"/>
          <w:bCs/>
          <w:sz w:val="12"/>
          <w:szCs w:val="12"/>
          <w:lang w:eastAsia="en-US"/>
        </w:rPr>
      </w:pPr>
    </w:p>
    <w:p w14:paraId="64639BF2" w14:textId="5CEA5267" w:rsidR="00BF1FA2" w:rsidRPr="003A2F86" w:rsidRDefault="00662953" w:rsidP="00BE635B">
      <w:pPr>
        <w:autoSpaceDE w:val="0"/>
        <w:autoSpaceDN w:val="0"/>
        <w:adjustRightInd w:val="0"/>
        <w:spacing w:after="0" w:line="240" w:lineRule="auto"/>
        <w:jc w:val="center"/>
        <w:rPr>
          <w:rFonts w:ascii="Arial" w:eastAsia="Calibri" w:hAnsi="Arial" w:cs="Arial"/>
          <w:b/>
          <w:lang w:eastAsia="en-US"/>
        </w:rPr>
      </w:pPr>
      <w:r w:rsidRPr="00662953">
        <w:rPr>
          <w:noProof/>
        </w:rPr>
        <w:drawing>
          <wp:inline distT="0" distB="0" distL="0" distR="0" wp14:anchorId="2F06E510" wp14:editId="3D466988">
            <wp:extent cx="9251950" cy="4876800"/>
            <wp:effectExtent l="0" t="0" r="6350" b="0"/>
            <wp:docPr id="108352026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251950" cy="4876800"/>
                    </a:xfrm>
                    <a:prstGeom prst="rect">
                      <a:avLst/>
                    </a:prstGeom>
                    <a:noFill/>
                    <a:ln>
                      <a:noFill/>
                    </a:ln>
                  </pic:spPr>
                </pic:pic>
              </a:graphicData>
            </a:graphic>
          </wp:inline>
        </w:drawing>
      </w:r>
    </w:p>
    <w:p w14:paraId="2FDFCC77" w14:textId="3FBFF2AD" w:rsidR="00254BD2" w:rsidRDefault="00254BD2" w:rsidP="00BE635B">
      <w:pPr>
        <w:autoSpaceDE w:val="0"/>
        <w:autoSpaceDN w:val="0"/>
        <w:adjustRightInd w:val="0"/>
        <w:spacing w:after="0" w:line="240" w:lineRule="auto"/>
        <w:jc w:val="center"/>
        <w:rPr>
          <w:rFonts w:ascii="Arial" w:eastAsia="Calibri" w:hAnsi="Arial" w:cs="Arial"/>
          <w:b/>
          <w:lang w:eastAsia="en-US"/>
        </w:rPr>
      </w:pPr>
    </w:p>
    <w:p w14:paraId="560CACAA" w14:textId="77777777" w:rsidR="00EE37D6" w:rsidRDefault="00EE37D6" w:rsidP="00BE635B">
      <w:pPr>
        <w:autoSpaceDE w:val="0"/>
        <w:autoSpaceDN w:val="0"/>
        <w:adjustRightInd w:val="0"/>
        <w:spacing w:after="0" w:line="240" w:lineRule="auto"/>
        <w:jc w:val="center"/>
        <w:rPr>
          <w:rFonts w:ascii="Arial" w:eastAsia="Calibri" w:hAnsi="Arial" w:cs="Arial"/>
          <w:b/>
          <w:lang w:eastAsia="en-US"/>
        </w:rPr>
      </w:pPr>
    </w:p>
    <w:p w14:paraId="5B1EE9F8" w14:textId="77777777" w:rsidR="00BD1173" w:rsidRDefault="00BD1173" w:rsidP="00BE635B">
      <w:pPr>
        <w:autoSpaceDE w:val="0"/>
        <w:autoSpaceDN w:val="0"/>
        <w:adjustRightInd w:val="0"/>
        <w:spacing w:after="0" w:line="240" w:lineRule="auto"/>
        <w:jc w:val="center"/>
        <w:rPr>
          <w:rFonts w:ascii="Arial" w:eastAsia="Calibri" w:hAnsi="Arial" w:cs="Arial"/>
          <w:b/>
          <w:lang w:eastAsia="en-US"/>
        </w:rPr>
      </w:pPr>
    </w:p>
    <w:p w14:paraId="5225B4AA" w14:textId="77777777" w:rsidR="00662953" w:rsidRDefault="00662953" w:rsidP="00BE635B">
      <w:pPr>
        <w:autoSpaceDE w:val="0"/>
        <w:autoSpaceDN w:val="0"/>
        <w:adjustRightInd w:val="0"/>
        <w:spacing w:after="0" w:line="240" w:lineRule="auto"/>
        <w:jc w:val="center"/>
        <w:rPr>
          <w:rFonts w:ascii="Arial" w:eastAsia="Calibri" w:hAnsi="Arial" w:cs="Arial"/>
          <w:b/>
          <w:lang w:eastAsia="en-US"/>
        </w:rPr>
      </w:pPr>
    </w:p>
    <w:p w14:paraId="1AA8099D" w14:textId="77777777" w:rsidR="00EE37D6" w:rsidRPr="003A2F86" w:rsidRDefault="00EE37D6" w:rsidP="00BE635B">
      <w:pPr>
        <w:autoSpaceDE w:val="0"/>
        <w:autoSpaceDN w:val="0"/>
        <w:adjustRightInd w:val="0"/>
        <w:spacing w:after="0" w:line="240" w:lineRule="auto"/>
        <w:jc w:val="center"/>
        <w:rPr>
          <w:rFonts w:ascii="Arial" w:eastAsia="Calibri" w:hAnsi="Arial" w:cs="Arial"/>
          <w:b/>
          <w:lang w:eastAsia="en-US"/>
        </w:rPr>
      </w:pPr>
    </w:p>
    <w:p w14:paraId="02B7B339" w14:textId="0EFD64DF" w:rsidR="00BE635B" w:rsidRPr="003A2F86" w:rsidRDefault="00BE635B" w:rsidP="00BE635B">
      <w:pPr>
        <w:pStyle w:val="Opisslike"/>
        <w:keepNext/>
        <w:rPr>
          <w:rFonts w:ascii="Arial" w:eastAsia="Calibri" w:hAnsi="Arial" w:cs="Arial"/>
        </w:rPr>
      </w:pPr>
      <w:bookmarkStart w:id="33" w:name="_Toc232981532"/>
      <w:bookmarkStart w:id="34" w:name="_Hlk66639673"/>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13</w:t>
      </w:r>
      <w:r w:rsidRPr="003A2F86">
        <w:rPr>
          <w:color w:val="FF0000"/>
        </w:rPr>
        <w:fldChar w:fldCharType="end"/>
      </w:r>
      <w:r w:rsidRPr="003A2F86">
        <w:rPr>
          <w:color w:val="FF0000"/>
        </w:rPr>
        <w:t xml:space="preserve">.: </w:t>
      </w:r>
      <w:r w:rsidRPr="003A2F86">
        <w:rPr>
          <w:rFonts w:ascii="Arial" w:eastAsia="Calibri" w:hAnsi="Arial" w:cs="Arial"/>
        </w:rPr>
        <w:t>Pregled izvršenih rashoda i izdataka u 202</w:t>
      </w:r>
      <w:r w:rsidR="00C20C97">
        <w:rPr>
          <w:rFonts w:ascii="Arial" w:eastAsia="Calibri" w:hAnsi="Arial" w:cs="Arial"/>
        </w:rPr>
        <w:t>5</w:t>
      </w:r>
      <w:r w:rsidRPr="003A2F86">
        <w:rPr>
          <w:rFonts w:ascii="Arial" w:eastAsia="Calibri" w:hAnsi="Arial" w:cs="Arial"/>
        </w:rPr>
        <w:t xml:space="preserve">. (€): </w:t>
      </w:r>
      <w:r w:rsidRPr="003A2F86">
        <w:rPr>
          <w:rFonts w:ascii="Arial" w:eastAsia="Calibri" w:hAnsi="Arial" w:cs="Arial"/>
          <w:color w:val="943634" w:themeColor="accent2" w:themeShade="BF"/>
        </w:rPr>
        <w:t xml:space="preserve">proračunski korisnici </w:t>
      </w:r>
      <w:r w:rsidRPr="003A2F86">
        <w:rPr>
          <w:rFonts w:ascii="Arial" w:eastAsia="Calibri" w:hAnsi="Arial" w:cs="Arial"/>
        </w:rPr>
        <w:t>(pojedinačno), Općina (</w:t>
      </w:r>
      <w:r w:rsidRPr="003A2F86">
        <w:rPr>
          <w:rFonts w:ascii="Arial" w:eastAsia="Calibri" w:hAnsi="Arial" w:cs="Arial"/>
          <w:color w:val="0070C0"/>
        </w:rPr>
        <w:t>razina 22</w:t>
      </w:r>
      <w:r w:rsidRPr="003A2F86">
        <w:rPr>
          <w:rFonts w:ascii="Arial" w:eastAsia="Calibri" w:hAnsi="Arial" w:cs="Arial"/>
        </w:rPr>
        <w:t>) i sveukupno (</w:t>
      </w:r>
      <w:r w:rsidRPr="003A2F86">
        <w:rPr>
          <w:rFonts w:ascii="Arial" w:eastAsia="Calibri" w:hAnsi="Arial" w:cs="Arial"/>
          <w:color w:val="7030A0"/>
        </w:rPr>
        <w:t>razina 23</w:t>
      </w:r>
      <w:r w:rsidRPr="003A2F86">
        <w:rPr>
          <w:rFonts w:ascii="Arial" w:eastAsia="Calibri" w:hAnsi="Arial" w:cs="Arial"/>
        </w:rPr>
        <w:t>)</w:t>
      </w:r>
      <w:bookmarkEnd w:id="33"/>
    </w:p>
    <w:bookmarkEnd w:id="34"/>
    <w:p w14:paraId="5C633080" w14:textId="531F0989" w:rsidR="00BE635B" w:rsidRPr="003A2F86" w:rsidRDefault="00BE635B" w:rsidP="00254BD2">
      <w:pPr>
        <w:spacing w:after="0" w:line="240" w:lineRule="auto"/>
        <w:jc w:val="center"/>
        <w:rPr>
          <w:sz w:val="12"/>
          <w:szCs w:val="12"/>
          <w:lang w:eastAsia="en-US"/>
        </w:rPr>
      </w:pPr>
    </w:p>
    <w:p w14:paraId="76636F26" w14:textId="18114EFA" w:rsidR="00736848" w:rsidRPr="003A2F86" w:rsidRDefault="0068014B" w:rsidP="00BE635B">
      <w:pPr>
        <w:jc w:val="center"/>
        <w:rPr>
          <w:noProof/>
        </w:rPr>
      </w:pPr>
      <w:r w:rsidRPr="0068014B">
        <w:rPr>
          <w:noProof/>
        </w:rPr>
        <w:drawing>
          <wp:inline distT="0" distB="0" distL="0" distR="0" wp14:anchorId="39B69502" wp14:editId="7BD61EBE">
            <wp:extent cx="9251950" cy="5380990"/>
            <wp:effectExtent l="0" t="0" r="6350" b="0"/>
            <wp:docPr id="2356930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251950" cy="5380990"/>
                    </a:xfrm>
                    <a:prstGeom prst="rect">
                      <a:avLst/>
                    </a:prstGeom>
                    <a:noFill/>
                    <a:ln>
                      <a:noFill/>
                    </a:ln>
                  </pic:spPr>
                </pic:pic>
              </a:graphicData>
            </a:graphic>
          </wp:inline>
        </w:drawing>
      </w:r>
    </w:p>
    <w:p w14:paraId="6502978A" w14:textId="77777777" w:rsidR="00EE37D6" w:rsidRDefault="00EE37D6" w:rsidP="00BE635B">
      <w:pPr>
        <w:autoSpaceDE w:val="0"/>
        <w:autoSpaceDN w:val="0"/>
        <w:adjustRightInd w:val="0"/>
        <w:spacing w:after="0" w:line="240" w:lineRule="auto"/>
        <w:jc w:val="both"/>
        <w:rPr>
          <w:rFonts w:ascii="Arial" w:eastAsia="Times New Roman" w:hAnsi="Arial" w:cs="Arial"/>
          <w:sz w:val="16"/>
        </w:rPr>
      </w:pPr>
    </w:p>
    <w:p w14:paraId="4EE4EDE8" w14:textId="77777777" w:rsidR="0068014B" w:rsidRPr="003A2F86" w:rsidRDefault="0068014B" w:rsidP="00BE635B">
      <w:pPr>
        <w:autoSpaceDE w:val="0"/>
        <w:autoSpaceDN w:val="0"/>
        <w:adjustRightInd w:val="0"/>
        <w:spacing w:after="0" w:line="240" w:lineRule="auto"/>
        <w:jc w:val="both"/>
        <w:rPr>
          <w:rFonts w:ascii="Arial" w:eastAsia="Times New Roman" w:hAnsi="Arial" w:cs="Arial"/>
          <w:sz w:val="16"/>
        </w:rPr>
      </w:pPr>
    </w:p>
    <w:p w14:paraId="4F007EF5" w14:textId="440ECE0D" w:rsidR="00BE635B" w:rsidRPr="003A2F86" w:rsidRDefault="00BE635B" w:rsidP="00BE635B">
      <w:pPr>
        <w:pStyle w:val="Opisslike"/>
        <w:rPr>
          <w:rFonts w:ascii="Arial" w:hAnsi="Arial" w:cs="Arial"/>
          <w:sz w:val="22"/>
          <w:szCs w:val="22"/>
        </w:rPr>
      </w:pPr>
      <w:bookmarkStart w:id="35" w:name="_Toc232981564"/>
      <w:r w:rsidRPr="003A2F86">
        <w:rPr>
          <w:color w:val="FF0000"/>
        </w:rPr>
        <w:lastRenderedPageBreak/>
        <w:t xml:space="preserve">Graf </w:t>
      </w:r>
      <w:r w:rsidRPr="003A2F86">
        <w:rPr>
          <w:color w:val="FF0000"/>
        </w:rPr>
        <w:fldChar w:fldCharType="begin"/>
      </w:r>
      <w:r w:rsidRPr="003A2F86">
        <w:rPr>
          <w:color w:val="FF0000"/>
        </w:rPr>
        <w:instrText xml:space="preserve"> SEQ Graf \* ARABIC </w:instrText>
      </w:r>
      <w:r w:rsidRPr="003A2F86">
        <w:rPr>
          <w:color w:val="FF0000"/>
        </w:rPr>
        <w:fldChar w:fldCharType="separate"/>
      </w:r>
      <w:r w:rsidR="00A821D8">
        <w:rPr>
          <w:noProof/>
          <w:color w:val="FF0000"/>
        </w:rPr>
        <w:t>4</w:t>
      </w:r>
      <w:r w:rsidRPr="003A2F86">
        <w:rPr>
          <w:color w:val="FF0000"/>
        </w:rPr>
        <w:fldChar w:fldCharType="end"/>
      </w:r>
      <w:r w:rsidRPr="003A2F86">
        <w:rPr>
          <w:color w:val="FF0000"/>
        </w:rPr>
        <w:t xml:space="preserve">.: </w:t>
      </w:r>
      <w:r w:rsidRPr="003A2F86">
        <w:rPr>
          <w:rFonts w:ascii="Arial" w:hAnsi="Arial" w:cs="Arial"/>
          <w:sz w:val="22"/>
          <w:szCs w:val="22"/>
        </w:rPr>
        <w:t>Struktura izvršenih rashoda i izdataka Proračuna</w:t>
      </w:r>
      <w:r w:rsidR="00CA3194" w:rsidRPr="003A2F86">
        <w:rPr>
          <w:rFonts w:ascii="Arial" w:hAnsi="Arial" w:cs="Arial"/>
          <w:sz w:val="22"/>
          <w:szCs w:val="22"/>
        </w:rPr>
        <w:t xml:space="preserve"> u</w:t>
      </w:r>
      <w:r w:rsidRPr="003A2F86">
        <w:rPr>
          <w:rFonts w:ascii="Arial" w:hAnsi="Arial" w:cs="Arial"/>
          <w:sz w:val="22"/>
          <w:szCs w:val="22"/>
        </w:rPr>
        <w:t xml:space="preserve"> 202</w:t>
      </w:r>
      <w:r w:rsidR="00650B43">
        <w:rPr>
          <w:rFonts w:ascii="Arial" w:hAnsi="Arial" w:cs="Arial"/>
          <w:sz w:val="22"/>
          <w:szCs w:val="22"/>
        </w:rPr>
        <w:t>5</w:t>
      </w:r>
      <w:r w:rsidRPr="003A2F86">
        <w:rPr>
          <w:rFonts w:ascii="Arial" w:hAnsi="Arial" w:cs="Arial"/>
          <w:sz w:val="22"/>
          <w:szCs w:val="22"/>
        </w:rPr>
        <w:t xml:space="preserve">. – </w:t>
      </w:r>
      <w:r w:rsidRPr="008629EA">
        <w:rPr>
          <w:rFonts w:ascii="Arial" w:hAnsi="Arial" w:cs="Arial"/>
          <w:color w:val="1F497D" w:themeColor="text2"/>
          <w:sz w:val="22"/>
          <w:szCs w:val="22"/>
        </w:rPr>
        <w:t xml:space="preserve">Općina </w:t>
      </w:r>
      <w:r w:rsidRPr="003A2F86">
        <w:rPr>
          <w:rFonts w:ascii="Arial" w:hAnsi="Arial" w:cs="Arial"/>
          <w:sz w:val="22"/>
          <w:szCs w:val="22"/>
        </w:rPr>
        <w:t xml:space="preserve">i </w:t>
      </w:r>
      <w:r w:rsidR="00B33699" w:rsidRPr="003A2F86">
        <w:rPr>
          <w:rFonts w:ascii="Arial" w:hAnsi="Arial" w:cs="Arial"/>
          <w:sz w:val="22"/>
          <w:szCs w:val="22"/>
        </w:rPr>
        <w:t xml:space="preserve">pojedinačno </w:t>
      </w:r>
      <w:r w:rsidRPr="008629EA">
        <w:rPr>
          <w:rFonts w:ascii="Arial" w:hAnsi="Arial" w:cs="Arial"/>
          <w:color w:val="943634" w:themeColor="accent2" w:themeShade="BF"/>
          <w:sz w:val="22"/>
          <w:szCs w:val="22"/>
        </w:rPr>
        <w:t>proračunski korisnici</w:t>
      </w:r>
      <w:bookmarkEnd w:id="35"/>
    </w:p>
    <w:p w14:paraId="61134DDA" w14:textId="77777777" w:rsidR="00BE635B" w:rsidRPr="003A2F86" w:rsidRDefault="00BE635B" w:rsidP="00BE635B">
      <w:pPr>
        <w:spacing w:after="0" w:line="240" w:lineRule="auto"/>
        <w:rPr>
          <w:lang w:eastAsia="en-US"/>
        </w:rPr>
      </w:pPr>
    </w:p>
    <w:p w14:paraId="3C9E7DA9" w14:textId="77777777" w:rsidR="00BE635B" w:rsidRPr="003A2F86" w:rsidRDefault="00BE635B" w:rsidP="00BE635B">
      <w:pPr>
        <w:autoSpaceDE w:val="0"/>
        <w:autoSpaceDN w:val="0"/>
        <w:adjustRightInd w:val="0"/>
        <w:spacing w:after="0" w:line="240" w:lineRule="auto"/>
        <w:jc w:val="center"/>
        <w:rPr>
          <w:rFonts w:ascii="Arial" w:eastAsia="Times New Roman" w:hAnsi="Arial" w:cs="Arial"/>
          <w:b/>
          <w:bCs/>
          <w:szCs w:val="18"/>
          <w:lang w:eastAsia="en-US"/>
        </w:rPr>
      </w:pPr>
      <w:r w:rsidRPr="003A2F86">
        <w:rPr>
          <w:rFonts w:ascii="Arial" w:eastAsia="Calibri" w:hAnsi="Arial" w:cs="Arial"/>
          <w:noProof/>
          <w:color w:val="FF0000"/>
          <w:u w:val="single"/>
        </w:rPr>
        <w:drawing>
          <wp:inline distT="0" distB="0" distL="0" distR="0" wp14:anchorId="49A59057" wp14:editId="1DBC902A">
            <wp:extent cx="7179945" cy="2657475"/>
            <wp:effectExtent l="0" t="0" r="1905" b="9525"/>
            <wp:docPr id="795" name="Grafikon 79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7479197" w14:textId="77777777" w:rsidR="00BE635B" w:rsidRPr="003A2F86" w:rsidRDefault="00BE635B" w:rsidP="00BE635B">
      <w:pPr>
        <w:autoSpaceDE w:val="0"/>
        <w:autoSpaceDN w:val="0"/>
        <w:adjustRightInd w:val="0"/>
        <w:spacing w:after="0" w:line="240" w:lineRule="auto"/>
        <w:jc w:val="both"/>
        <w:rPr>
          <w:rFonts w:ascii="Arial" w:eastAsia="Times New Roman" w:hAnsi="Arial" w:cs="Arial"/>
        </w:rPr>
      </w:pPr>
    </w:p>
    <w:p w14:paraId="7FA9157C" w14:textId="77777777" w:rsidR="00BE635B" w:rsidRPr="003A2F86" w:rsidRDefault="00BE635B" w:rsidP="00BE635B">
      <w:pPr>
        <w:autoSpaceDE w:val="0"/>
        <w:autoSpaceDN w:val="0"/>
        <w:adjustRightInd w:val="0"/>
        <w:spacing w:after="0" w:line="240" w:lineRule="auto"/>
        <w:jc w:val="both"/>
        <w:rPr>
          <w:rFonts w:ascii="Arial" w:eastAsia="Times New Roman" w:hAnsi="Arial" w:cs="Arial"/>
        </w:rPr>
      </w:pPr>
    </w:p>
    <w:p w14:paraId="14AA28C4" w14:textId="5AA15DF5" w:rsidR="006654D6" w:rsidRDefault="006654D6">
      <w:pPr>
        <w:rPr>
          <w:rFonts w:ascii="Arial" w:eastAsia="Times New Roman" w:hAnsi="Arial" w:cs="Arial"/>
        </w:rPr>
      </w:pPr>
      <w:r>
        <w:rPr>
          <w:rFonts w:ascii="Arial" w:eastAsia="Times New Roman" w:hAnsi="Arial" w:cs="Arial"/>
        </w:rPr>
        <w:br w:type="page"/>
      </w:r>
    </w:p>
    <w:p w14:paraId="1C46B870" w14:textId="43F9002D" w:rsidR="009B6F72" w:rsidRPr="003A2F86" w:rsidRDefault="009B6F72" w:rsidP="00F0319E">
      <w:pPr>
        <w:pStyle w:val="Naslov2"/>
        <w:jc w:val="center"/>
        <w:rPr>
          <w:rFonts w:ascii="Arial" w:hAnsi="Arial" w:cs="Arial"/>
          <w:sz w:val="22"/>
          <w:szCs w:val="22"/>
          <w:lang w:val="hr-HR"/>
        </w:rPr>
      </w:pPr>
      <w:bookmarkStart w:id="36" w:name="_Toc232981382"/>
      <w:r w:rsidRPr="003A2F86">
        <w:rPr>
          <w:rFonts w:ascii="Arial" w:hAnsi="Arial" w:cs="Arial"/>
          <w:sz w:val="22"/>
          <w:szCs w:val="22"/>
          <w:lang w:val="hr-HR"/>
        </w:rPr>
        <w:lastRenderedPageBreak/>
        <w:t>2.</w:t>
      </w:r>
      <w:r w:rsidR="004A2AA6" w:rsidRPr="003A2F86">
        <w:rPr>
          <w:rFonts w:ascii="Arial" w:hAnsi="Arial" w:cs="Arial"/>
          <w:sz w:val="22"/>
          <w:szCs w:val="22"/>
          <w:lang w:val="hr-HR"/>
        </w:rPr>
        <w:t>3</w:t>
      </w:r>
      <w:r w:rsidRPr="003A2F86">
        <w:rPr>
          <w:rFonts w:ascii="Arial" w:hAnsi="Arial" w:cs="Arial"/>
          <w:sz w:val="22"/>
          <w:szCs w:val="22"/>
          <w:lang w:val="hr-HR"/>
        </w:rPr>
        <w:t>.</w:t>
      </w:r>
      <w:r w:rsidRPr="003A2F86">
        <w:rPr>
          <w:rFonts w:ascii="Arial" w:hAnsi="Arial" w:cs="Arial"/>
          <w:sz w:val="22"/>
          <w:szCs w:val="22"/>
          <w:lang w:val="hr-HR"/>
        </w:rPr>
        <w:tab/>
      </w:r>
      <w:r w:rsidR="001B3297" w:rsidRPr="003A2F86">
        <w:rPr>
          <w:rFonts w:ascii="Arial" w:hAnsi="Arial" w:cs="Arial"/>
          <w:sz w:val="22"/>
          <w:szCs w:val="22"/>
          <w:lang w:val="hr-HR"/>
        </w:rPr>
        <w:t xml:space="preserve">SAŽETAK </w:t>
      </w:r>
      <w:r w:rsidR="00510C48">
        <w:rPr>
          <w:rFonts w:ascii="Arial" w:hAnsi="Arial" w:cs="Arial"/>
          <w:sz w:val="22"/>
          <w:szCs w:val="22"/>
          <w:lang w:val="hr-HR"/>
        </w:rPr>
        <w:t>–</w:t>
      </w:r>
      <w:r w:rsidR="004A2AA6" w:rsidRPr="003A2F86">
        <w:rPr>
          <w:rFonts w:ascii="Arial" w:hAnsi="Arial" w:cs="Arial"/>
          <w:sz w:val="22"/>
          <w:szCs w:val="22"/>
          <w:lang w:val="hr-HR"/>
        </w:rPr>
        <w:t xml:space="preserve"> </w:t>
      </w:r>
      <w:r w:rsidR="00510C48">
        <w:rPr>
          <w:rFonts w:ascii="Arial" w:hAnsi="Arial" w:cs="Arial"/>
          <w:sz w:val="22"/>
          <w:szCs w:val="22"/>
          <w:lang w:val="hr-HR"/>
        </w:rPr>
        <w:t xml:space="preserve">OBRAZLOŽENJE IZVRŠENJA PRIHODA I RASHODA, PRIMITAKA I IZDATAKA ZA </w:t>
      </w:r>
      <w:r w:rsidR="004A2AA6" w:rsidRPr="003A2F86">
        <w:rPr>
          <w:rFonts w:ascii="Arial" w:hAnsi="Arial" w:cs="Arial"/>
          <w:sz w:val="22"/>
          <w:szCs w:val="22"/>
          <w:lang w:val="hr-HR"/>
        </w:rPr>
        <w:t xml:space="preserve">SIJEČANJ – </w:t>
      </w:r>
      <w:r w:rsidR="002769D4">
        <w:rPr>
          <w:rFonts w:ascii="Arial" w:hAnsi="Arial" w:cs="Arial"/>
          <w:sz w:val="22"/>
          <w:szCs w:val="22"/>
          <w:lang w:val="hr-HR"/>
        </w:rPr>
        <w:t>PROSINAC</w:t>
      </w:r>
      <w:r w:rsidR="004A2AA6" w:rsidRPr="003A2F86">
        <w:rPr>
          <w:rFonts w:ascii="Arial" w:hAnsi="Arial" w:cs="Arial"/>
          <w:sz w:val="22"/>
          <w:szCs w:val="22"/>
          <w:lang w:val="hr-HR"/>
        </w:rPr>
        <w:t xml:space="preserve"> 202</w:t>
      </w:r>
      <w:r w:rsidR="00E0568A">
        <w:rPr>
          <w:rFonts w:ascii="Arial" w:hAnsi="Arial" w:cs="Arial"/>
          <w:sz w:val="22"/>
          <w:szCs w:val="22"/>
          <w:lang w:val="hr-HR"/>
        </w:rPr>
        <w:t>5</w:t>
      </w:r>
      <w:r w:rsidR="004A2AA6" w:rsidRPr="003A2F86">
        <w:rPr>
          <w:rFonts w:ascii="Arial" w:hAnsi="Arial" w:cs="Arial"/>
          <w:sz w:val="22"/>
          <w:szCs w:val="22"/>
          <w:lang w:val="hr-HR"/>
        </w:rPr>
        <w:t>.</w:t>
      </w:r>
      <w:bookmarkStart w:id="37" w:name="Sažetak_izvršenje_proračuna_1_12_2024"/>
      <w:bookmarkEnd w:id="36"/>
      <w:bookmarkEnd w:id="37"/>
    </w:p>
    <w:p w14:paraId="14A560B5" w14:textId="77777777" w:rsidR="00F0319E" w:rsidRPr="003A2F86" w:rsidRDefault="00F0319E" w:rsidP="00F0319E">
      <w:pPr>
        <w:autoSpaceDE w:val="0"/>
        <w:autoSpaceDN w:val="0"/>
        <w:adjustRightInd w:val="0"/>
        <w:spacing w:after="0" w:line="240" w:lineRule="auto"/>
        <w:rPr>
          <w:rFonts w:ascii="Arial" w:hAnsi="Arial" w:cs="Arial"/>
        </w:rPr>
      </w:pPr>
    </w:p>
    <w:p w14:paraId="45835381" w14:textId="777A153B" w:rsidR="00F0319E" w:rsidRPr="003A2F86" w:rsidRDefault="00F0319E" w:rsidP="00F0319E">
      <w:pPr>
        <w:autoSpaceDE w:val="0"/>
        <w:autoSpaceDN w:val="0"/>
        <w:adjustRightInd w:val="0"/>
        <w:spacing w:after="0" w:line="240" w:lineRule="auto"/>
        <w:jc w:val="both"/>
        <w:rPr>
          <w:rFonts w:ascii="Arial" w:eastAsia="Calibri" w:hAnsi="Arial" w:cs="Arial"/>
          <w:color w:val="1F497D" w:themeColor="text2"/>
        </w:rPr>
      </w:pPr>
      <w:r w:rsidRPr="003A2F86">
        <w:rPr>
          <w:rFonts w:ascii="Arial" w:eastAsia="Calibri" w:hAnsi="Arial" w:cs="Arial"/>
          <w:b/>
          <w:bCs/>
          <w:color w:val="244061" w:themeColor="accent1" w:themeShade="80"/>
        </w:rPr>
        <w:t xml:space="preserve">Ukupni </w:t>
      </w:r>
      <w:r w:rsidRPr="003A2F86">
        <w:rPr>
          <w:rFonts w:ascii="Arial" w:eastAsia="Calibri" w:hAnsi="Arial" w:cs="Arial"/>
          <w:b/>
          <w:bCs/>
          <w:color w:val="244061" w:themeColor="accent1" w:themeShade="80"/>
          <w:u w:val="single"/>
        </w:rPr>
        <w:t>prihodi i primici</w:t>
      </w:r>
      <w:r w:rsidRPr="003A2F86">
        <w:rPr>
          <w:rFonts w:ascii="Arial" w:eastAsia="Calibri" w:hAnsi="Arial" w:cs="Arial"/>
          <w:b/>
          <w:bCs/>
          <w:color w:val="244061" w:themeColor="accent1" w:themeShade="80"/>
        </w:rPr>
        <w:t xml:space="preserve"> te rashodi i izdaci</w:t>
      </w:r>
      <w:r w:rsidRPr="003A2F86">
        <w:rPr>
          <w:rFonts w:ascii="Arial" w:eastAsia="Calibri" w:hAnsi="Arial" w:cs="Arial"/>
          <w:b/>
          <w:color w:val="244061" w:themeColor="accent1" w:themeShade="80"/>
        </w:rPr>
        <w:t xml:space="preserve"> </w:t>
      </w:r>
      <w:r w:rsidRPr="003A2F86">
        <w:rPr>
          <w:rFonts w:ascii="Arial" w:eastAsia="Calibri" w:hAnsi="Arial" w:cs="Arial"/>
          <w:color w:val="1F497D" w:themeColor="text2"/>
        </w:rPr>
        <w:t>proračuna za</w:t>
      </w:r>
      <w:r w:rsidRPr="003A2F86">
        <w:rPr>
          <w:rFonts w:ascii="Arial" w:eastAsia="Calibri" w:hAnsi="Arial" w:cs="Arial"/>
          <w:b/>
          <w:bCs/>
          <w:color w:val="244061" w:themeColor="accent1" w:themeShade="80"/>
        </w:rPr>
        <w:t xml:space="preserve"> 202</w:t>
      </w:r>
      <w:r w:rsidR="00E0568A">
        <w:rPr>
          <w:rFonts w:ascii="Arial" w:eastAsia="Calibri" w:hAnsi="Arial" w:cs="Arial"/>
          <w:b/>
          <w:bCs/>
          <w:color w:val="244061" w:themeColor="accent1" w:themeShade="80"/>
        </w:rPr>
        <w:t>5</w:t>
      </w:r>
      <w:r w:rsidRPr="003A2F86">
        <w:rPr>
          <w:rFonts w:ascii="Arial" w:eastAsia="Calibri" w:hAnsi="Arial" w:cs="Arial"/>
          <w:b/>
          <w:bCs/>
          <w:color w:val="244061" w:themeColor="accent1" w:themeShade="80"/>
        </w:rPr>
        <w:t xml:space="preserve">. godinu </w:t>
      </w:r>
      <w:r w:rsidRPr="003A2F86">
        <w:rPr>
          <w:rFonts w:ascii="Arial" w:eastAsia="Calibri" w:hAnsi="Arial" w:cs="Arial"/>
          <w:color w:val="1F497D" w:themeColor="text2"/>
        </w:rPr>
        <w:t xml:space="preserve">planirani su u iznosu </w:t>
      </w:r>
      <w:r w:rsidR="00D729DA">
        <w:rPr>
          <w:rFonts w:ascii="Arial" w:eastAsia="Calibri" w:hAnsi="Arial" w:cs="Arial"/>
          <w:b/>
          <w:color w:val="1F497D" w:themeColor="text2"/>
          <w:u w:val="single"/>
        </w:rPr>
        <w:t>34.400</w:t>
      </w:r>
      <w:r w:rsidR="00E0568A">
        <w:rPr>
          <w:rFonts w:ascii="Arial" w:eastAsia="Calibri" w:hAnsi="Arial" w:cs="Arial"/>
          <w:b/>
          <w:color w:val="1F497D" w:themeColor="text2"/>
          <w:u w:val="single"/>
        </w:rPr>
        <w:t>.000</w:t>
      </w:r>
      <w:r w:rsidRPr="003A2F86">
        <w:rPr>
          <w:rFonts w:ascii="Arial" w:eastAsia="Calibri" w:hAnsi="Arial" w:cs="Arial"/>
          <w:color w:val="1F497D" w:themeColor="text2"/>
          <w:u w:val="single"/>
        </w:rPr>
        <w:t xml:space="preserve"> </w:t>
      </w:r>
      <w:r w:rsidRPr="003A2F86">
        <w:rPr>
          <w:rFonts w:ascii="Arial" w:eastAsia="Calibri" w:hAnsi="Arial" w:cs="Arial"/>
          <w:b/>
          <w:bCs/>
          <w:color w:val="1F497D" w:themeColor="text2"/>
          <w:u w:val="single"/>
        </w:rPr>
        <w:t>€</w:t>
      </w:r>
      <w:r w:rsidR="00254BD2" w:rsidRPr="003A2F86">
        <w:rPr>
          <w:rFonts w:ascii="Arial" w:eastAsia="Calibri" w:hAnsi="Arial" w:cs="Arial"/>
          <w:b/>
          <w:bCs/>
          <w:color w:val="1F497D" w:themeColor="text2"/>
          <w:u w:val="single"/>
        </w:rPr>
        <w:t>.</w:t>
      </w:r>
      <w:r w:rsidRPr="003A2F86">
        <w:rPr>
          <w:rFonts w:ascii="Arial" w:eastAsia="Calibri" w:hAnsi="Arial" w:cs="Arial"/>
          <w:color w:val="1F497D" w:themeColor="text2"/>
        </w:rPr>
        <w:t xml:space="preserve"> </w:t>
      </w:r>
      <w:r w:rsidR="00254BD2" w:rsidRPr="003A2F86">
        <w:rPr>
          <w:rFonts w:ascii="Arial" w:eastAsia="Calibri" w:hAnsi="Arial" w:cs="Arial"/>
          <w:color w:val="1F497D" w:themeColor="text2"/>
        </w:rPr>
        <w:t>Prihodi su</w:t>
      </w:r>
      <w:r w:rsidRPr="003A2F86">
        <w:rPr>
          <w:rFonts w:ascii="Arial" w:eastAsia="Calibri" w:hAnsi="Arial" w:cs="Arial"/>
          <w:color w:val="1F497D" w:themeColor="text2"/>
        </w:rPr>
        <w:t xml:space="preserve"> </w:t>
      </w:r>
      <w:r w:rsidR="00D924A3" w:rsidRPr="003A2F86">
        <w:rPr>
          <w:rFonts w:ascii="Arial" w:eastAsia="Calibri" w:hAnsi="Arial" w:cs="Arial"/>
          <w:color w:val="1F497D" w:themeColor="text2"/>
        </w:rPr>
        <w:t>ostvareni</w:t>
      </w:r>
      <w:r w:rsidRPr="003A2F86">
        <w:rPr>
          <w:rFonts w:ascii="Arial" w:eastAsia="Calibri" w:hAnsi="Arial" w:cs="Arial"/>
          <w:color w:val="1F497D" w:themeColor="text2"/>
        </w:rPr>
        <w:t xml:space="preserve"> u iznosu </w:t>
      </w:r>
      <w:r w:rsidR="00D729DA">
        <w:rPr>
          <w:rFonts w:ascii="Arial" w:eastAsia="Calibri" w:hAnsi="Arial" w:cs="Arial"/>
          <w:color w:val="1F497D" w:themeColor="text2"/>
        </w:rPr>
        <w:t>20.073.467,92</w:t>
      </w:r>
      <w:r w:rsidR="00254BD2" w:rsidRPr="003A2F86">
        <w:rPr>
          <w:rFonts w:ascii="Arial" w:eastAsia="Calibri" w:hAnsi="Arial" w:cs="Arial"/>
          <w:color w:val="1F497D" w:themeColor="text2"/>
        </w:rPr>
        <w:t xml:space="preserve"> </w:t>
      </w:r>
      <w:r w:rsidRPr="003A2F86">
        <w:rPr>
          <w:rFonts w:ascii="Arial" w:eastAsia="Calibri" w:hAnsi="Arial" w:cs="Arial"/>
          <w:color w:val="1F497D" w:themeColor="text2"/>
        </w:rPr>
        <w:t xml:space="preserve">€. </w:t>
      </w:r>
      <w:r w:rsidR="00323CD1" w:rsidRPr="003A2F86">
        <w:rPr>
          <w:rFonts w:ascii="Arial" w:eastAsia="Calibri" w:hAnsi="Arial" w:cs="Arial"/>
          <w:color w:val="1F497D" w:themeColor="text2"/>
        </w:rPr>
        <w:t>Primici su ostvareni</w:t>
      </w:r>
      <w:r w:rsidR="00D729DA">
        <w:rPr>
          <w:rFonts w:ascii="Arial" w:eastAsia="Calibri" w:hAnsi="Arial" w:cs="Arial"/>
          <w:color w:val="1F497D" w:themeColor="text2"/>
        </w:rPr>
        <w:t xml:space="preserve"> u iznosu </w:t>
      </w:r>
      <w:r w:rsidR="00572E8F">
        <w:rPr>
          <w:rFonts w:ascii="Arial" w:eastAsia="Calibri" w:hAnsi="Arial" w:cs="Arial"/>
          <w:color w:val="1F497D" w:themeColor="text2"/>
        </w:rPr>
        <w:t>3.079.325,13</w:t>
      </w:r>
      <w:r w:rsidR="00323CD1" w:rsidRPr="003A2F86">
        <w:rPr>
          <w:rFonts w:ascii="Arial" w:eastAsia="Calibri" w:hAnsi="Arial" w:cs="Arial"/>
          <w:color w:val="1F497D" w:themeColor="text2"/>
        </w:rPr>
        <w:t xml:space="preserve">. </w:t>
      </w:r>
      <w:r w:rsidRPr="003A2F86">
        <w:rPr>
          <w:rFonts w:ascii="Arial" w:eastAsia="Calibri" w:hAnsi="Arial" w:cs="Arial"/>
          <w:color w:val="1F497D" w:themeColor="text2"/>
        </w:rPr>
        <w:t xml:space="preserve">Prihodi i primici iz prethodnog razdoblja iznose </w:t>
      </w:r>
      <w:r w:rsidR="00572E8F">
        <w:rPr>
          <w:rFonts w:ascii="Arial" w:eastAsia="Calibri" w:hAnsi="Arial" w:cs="Arial"/>
          <w:color w:val="1F497D" w:themeColor="text2"/>
        </w:rPr>
        <w:t>2.068.159,72</w:t>
      </w:r>
      <w:r w:rsidRPr="003A2F86">
        <w:rPr>
          <w:rFonts w:ascii="Arial" w:eastAsia="Calibri" w:hAnsi="Arial" w:cs="Arial"/>
          <w:color w:val="1F497D" w:themeColor="text2"/>
        </w:rPr>
        <w:t xml:space="preserve"> €</w:t>
      </w:r>
      <w:r w:rsidR="00E0568A">
        <w:rPr>
          <w:rFonts w:ascii="Arial" w:eastAsia="Calibri" w:hAnsi="Arial" w:cs="Arial"/>
          <w:color w:val="1F497D" w:themeColor="text2"/>
        </w:rPr>
        <w:t xml:space="preserve">. Ispravak rezultata iz prethodnog razdoblja iznosi </w:t>
      </w:r>
      <w:r w:rsidR="00295789">
        <w:rPr>
          <w:rFonts w:ascii="Arial" w:eastAsia="Calibri" w:hAnsi="Arial" w:cs="Arial"/>
          <w:color w:val="1F497D" w:themeColor="text2"/>
        </w:rPr>
        <w:t>2.141.534,17</w:t>
      </w:r>
      <w:r w:rsidR="00E0568A">
        <w:rPr>
          <w:rFonts w:ascii="Arial" w:eastAsia="Calibri" w:hAnsi="Arial" w:cs="Arial"/>
          <w:color w:val="1F497D" w:themeColor="text2"/>
        </w:rPr>
        <w:t xml:space="preserve"> € (ispravak rezultata Općine 2</w:t>
      </w:r>
      <w:r w:rsidR="00295789">
        <w:rPr>
          <w:rFonts w:ascii="Arial" w:eastAsia="Calibri" w:hAnsi="Arial" w:cs="Arial"/>
          <w:color w:val="1F497D" w:themeColor="text2"/>
        </w:rPr>
        <w:t>.139.408,21</w:t>
      </w:r>
      <w:r w:rsidR="00E0568A">
        <w:rPr>
          <w:rFonts w:ascii="Arial" w:eastAsia="Calibri" w:hAnsi="Arial" w:cs="Arial"/>
          <w:color w:val="1F497D" w:themeColor="text2"/>
        </w:rPr>
        <w:t xml:space="preserve"> i ispravak rezultata dječjeg vrtića 2.125,96 €). S</w:t>
      </w:r>
      <w:r w:rsidRPr="003A2F86">
        <w:rPr>
          <w:rFonts w:ascii="Arial" w:eastAsia="Calibri" w:hAnsi="Arial" w:cs="Arial"/>
          <w:color w:val="1F497D" w:themeColor="text2"/>
        </w:rPr>
        <w:t>veukupno ostvareni prihodi i primici s prenesenim rezultatom iz prethodnog razdoblja iznos</w:t>
      </w:r>
      <w:r w:rsidR="00D924A3" w:rsidRPr="003A2F86">
        <w:rPr>
          <w:rFonts w:ascii="Arial" w:eastAsia="Calibri" w:hAnsi="Arial" w:cs="Arial"/>
          <w:color w:val="1F497D" w:themeColor="text2"/>
        </w:rPr>
        <w:t>e</w:t>
      </w:r>
      <w:r w:rsidRPr="003A2F86">
        <w:rPr>
          <w:rFonts w:ascii="Arial" w:eastAsia="Calibri" w:hAnsi="Arial" w:cs="Arial"/>
          <w:color w:val="1F497D" w:themeColor="text2"/>
        </w:rPr>
        <w:t xml:space="preserve"> </w:t>
      </w:r>
      <w:r w:rsidR="00295789">
        <w:rPr>
          <w:rFonts w:ascii="Arial" w:eastAsia="Calibri" w:hAnsi="Arial" w:cs="Arial"/>
          <w:color w:val="1F497D" w:themeColor="text2"/>
        </w:rPr>
        <w:t>27.362.486,94</w:t>
      </w:r>
      <w:r w:rsidRPr="003A2F86">
        <w:rPr>
          <w:rFonts w:ascii="Arial" w:eastAsia="Calibri" w:hAnsi="Arial" w:cs="Arial"/>
          <w:color w:val="1F497D" w:themeColor="text2"/>
        </w:rPr>
        <w:t xml:space="preserve"> €. </w:t>
      </w:r>
      <w:r w:rsidR="00D924A3" w:rsidRPr="003A2F86">
        <w:rPr>
          <w:rFonts w:ascii="Arial" w:eastAsia="Calibri" w:hAnsi="Arial" w:cs="Arial"/>
          <w:color w:val="1F497D" w:themeColor="text2"/>
        </w:rPr>
        <w:t xml:space="preserve">Rashodi i izdaci su izvršeni u iznosu </w:t>
      </w:r>
      <w:r w:rsidR="00295789">
        <w:rPr>
          <w:rFonts w:ascii="Arial" w:eastAsia="Calibri" w:hAnsi="Arial" w:cs="Arial"/>
          <w:color w:val="1F497D" w:themeColor="text2"/>
        </w:rPr>
        <w:t>26.434.475,83</w:t>
      </w:r>
      <w:r w:rsidR="00D924A3" w:rsidRPr="003A2F86">
        <w:rPr>
          <w:rFonts w:ascii="Arial" w:eastAsia="Calibri" w:hAnsi="Arial" w:cs="Arial"/>
          <w:color w:val="1F497D" w:themeColor="text2"/>
        </w:rPr>
        <w:t xml:space="preserve"> €.</w:t>
      </w:r>
    </w:p>
    <w:p w14:paraId="4F69BDAD" w14:textId="77777777" w:rsidR="00F0319E" w:rsidRPr="003A2F86" w:rsidRDefault="00F0319E" w:rsidP="00F0319E">
      <w:pPr>
        <w:autoSpaceDE w:val="0"/>
        <w:autoSpaceDN w:val="0"/>
        <w:adjustRightInd w:val="0"/>
        <w:spacing w:after="0" w:line="240" w:lineRule="auto"/>
        <w:rPr>
          <w:rFonts w:ascii="Arial" w:eastAsia="Calibri" w:hAnsi="Arial" w:cs="Arial"/>
        </w:rPr>
      </w:pPr>
    </w:p>
    <w:p w14:paraId="269E7319" w14:textId="77777777" w:rsidR="00F0319E" w:rsidRPr="003A2F86" w:rsidRDefault="00F0319E" w:rsidP="00F0319E">
      <w:pPr>
        <w:autoSpaceDE w:val="0"/>
        <w:autoSpaceDN w:val="0"/>
        <w:adjustRightInd w:val="0"/>
        <w:spacing w:after="0" w:line="240" w:lineRule="auto"/>
        <w:rPr>
          <w:rFonts w:ascii="Arial" w:eastAsia="Calibri" w:hAnsi="Arial" w:cs="Arial"/>
        </w:rPr>
      </w:pPr>
      <w:r w:rsidRPr="003A2F86">
        <w:rPr>
          <w:rFonts w:ascii="Arial" w:eastAsia="Calibri" w:hAnsi="Arial" w:cs="Arial"/>
        </w:rPr>
        <w:t>Ukupne prihode i primitke proračuna čini zbroj:</w:t>
      </w:r>
    </w:p>
    <w:p w14:paraId="27B24EC4" w14:textId="77777777" w:rsidR="00F0319E" w:rsidRPr="003A2F86" w:rsidRDefault="00F0319E">
      <w:pPr>
        <w:pStyle w:val="Odlomakpopisa"/>
        <w:numPr>
          <w:ilvl w:val="0"/>
          <w:numId w:val="42"/>
        </w:numPr>
        <w:autoSpaceDE w:val="0"/>
        <w:autoSpaceDN w:val="0"/>
        <w:adjustRightInd w:val="0"/>
        <w:rPr>
          <w:rFonts w:ascii="Arial" w:eastAsia="Calibri" w:hAnsi="Arial" w:cs="Arial"/>
        </w:rPr>
      </w:pPr>
      <w:r w:rsidRPr="003A2F86">
        <w:rPr>
          <w:rFonts w:ascii="Arial" w:eastAsia="Calibri" w:hAnsi="Arial" w:cs="Arial"/>
        </w:rPr>
        <w:t>prihoda poslovanja</w:t>
      </w:r>
    </w:p>
    <w:p w14:paraId="7E847005" w14:textId="77777777" w:rsidR="00F0319E" w:rsidRPr="003A2F86" w:rsidRDefault="00F0319E">
      <w:pPr>
        <w:pStyle w:val="Odlomakpopisa"/>
        <w:numPr>
          <w:ilvl w:val="0"/>
          <w:numId w:val="42"/>
        </w:numPr>
        <w:autoSpaceDE w:val="0"/>
        <w:autoSpaceDN w:val="0"/>
        <w:adjustRightInd w:val="0"/>
        <w:rPr>
          <w:rFonts w:ascii="Arial" w:eastAsia="Calibri" w:hAnsi="Arial" w:cs="Arial"/>
        </w:rPr>
      </w:pPr>
      <w:r w:rsidRPr="003A2F86">
        <w:rPr>
          <w:rFonts w:ascii="Arial" w:eastAsia="Calibri" w:hAnsi="Arial" w:cs="Arial"/>
        </w:rPr>
        <w:t>prihoda od prodaje nefinancijske imovine</w:t>
      </w:r>
    </w:p>
    <w:p w14:paraId="39CA6036" w14:textId="77777777" w:rsidR="00F0319E" w:rsidRPr="003A2F86" w:rsidRDefault="00F0319E">
      <w:pPr>
        <w:pStyle w:val="Odlomakpopisa"/>
        <w:numPr>
          <w:ilvl w:val="0"/>
          <w:numId w:val="42"/>
        </w:numPr>
        <w:autoSpaceDE w:val="0"/>
        <w:autoSpaceDN w:val="0"/>
        <w:adjustRightInd w:val="0"/>
        <w:rPr>
          <w:rFonts w:ascii="Arial" w:eastAsia="Calibri" w:hAnsi="Arial" w:cs="Arial"/>
        </w:rPr>
      </w:pPr>
      <w:r w:rsidRPr="003A2F86">
        <w:rPr>
          <w:rFonts w:ascii="Arial" w:eastAsia="Calibri" w:hAnsi="Arial" w:cs="Arial"/>
        </w:rPr>
        <w:t>primici od financijske imovine i zaduživanja, te</w:t>
      </w:r>
    </w:p>
    <w:p w14:paraId="23D9BCC7" w14:textId="77777777" w:rsidR="00F0319E" w:rsidRPr="003A2F86" w:rsidRDefault="00F0319E">
      <w:pPr>
        <w:pStyle w:val="Odlomakpopisa"/>
        <w:numPr>
          <w:ilvl w:val="0"/>
          <w:numId w:val="42"/>
        </w:numPr>
        <w:autoSpaceDE w:val="0"/>
        <w:autoSpaceDN w:val="0"/>
        <w:adjustRightInd w:val="0"/>
        <w:rPr>
          <w:rFonts w:ascii="Arial" w:eastAsia="Calibri" w:hAnsi="Arial" w:cs="Arial"/>
        </w:rPr>
      </w:pPr>
      <w:r w:rsidRPr="003A2F86">
        <w:rPr>
          <w:rFonts w:ascii="Arial" w:eastAsia="Calibri" w:hAnsi="Arial" w:cs="Arial"/>
        </w:rPr>
        <w:t>raspoloživa sredstva iz prethodnih godina.</w:t>
      </w:r>
    </w:p>
    <w:p w14:paraId="732BEADE" w14:textId="77777777" w:rsidR="00F0319E" w:rsidRPr="003A2F86" w:rsidRDefault="00F0319E" w:rsidP="00F0319E">
      <w:pPr>
        <w:autoSpaceDE w:val="0"/>
        <w:autoSpaceDN w:val="0"/>
        <w:adjustRightInd w:val="0"/>
        <w:spacing w:after="0" w:line="240" w:lineRule="auto"/>
        <w:rPr>
          <w:rFonts w:ascii="Arial" w:eastAsia="Calibri" w:hAnsi="Arial" w:cs="Arial"/>
        </w:rPr>
      </w:pPr>
    </w:p>
    <w:p w14:paraId="76DE38E9" w14:textId="77777777" w:rsidR="00F0319E" w:rsidRPr="003A2F86" w:rsidRDefault="00F0319E" w:rsidP="00F0319E">
      <w:pPr>
        <w:autoSpaceDE w:val="0"/>
        <w:autoSpaceDN w:val="0"/>
        <w:adjustRightInd w:val="0"/>
        <w:spacing w:after="0" w:line="240" w:lineRule="auto"/>
        <w:rPr>
          <w:rFonts w:ascii="Arial" w:eastAsia="Calibri" w:hAnsi="Arial" w:cs="Arial"/>
        </w:rPr>
      </w:pPr>
      <w:r w:rsidRPr="003A2F86">
        <w:rPr>
          <w:rFonts w:ascii="Arial" w:eastAsia="Calibri" w:hAnsi="Arial" w:cs="Arial"/>
        </w:rPr>
        <w:t>Ukupne rashode i izdatke proračuna čini zbroj:</w:t>
      </w:r>
    </w:p>
    <w:p w14:paraId="463A42FF" w14:textId="77777777" w:rsidR="00F0319E" w:rsidRPr="003A2F86" w:rsidRDefault="00F0319E">
      <w:pPr>
        <w:pStyle w:val="Odlomakpopisa"/>
        <w:numPr>
          <w:ilvl w:val="0"/>
          <w:numId w:val="42"/>
        </w:numPr>
        <w:autoSpaceDE w:val="0"/>
        <w:autoSpaceDN w:val="0"/>
        <w:adjustRightInd w:val="0"/>
        <w:rPr>
          <w:rFonts w:ascii="Arial" w:eastAsia="Calibri" w:hAnsi="Arial" w:cs="Arial"/>
        </w:rPr>
      </w:pPr>
      <w:r w:rsidRPr="003A2F86">
        <w:rPr>
          <w:rFonts w:ascii="Arial" w:eastAsia="Calibri" w:hAnsi="Arial" w:cs="Arial"/>
        </w:rPr>
        <w:t>rashoda poslovanja</w:t>
      </w:r>
    </w:p>
    <w:p w14:paraId="44291052" w14:textId="77777777" w:rsidR="00F0319E" w:rsidRPr="003A2F86" w:rsidRDefault="00F0319E">
      <w:pPr>
        <w:pStyle w:val="Odlomakpopisa"/>
        <w:numPr>
          <w:ilvl w:val="0"/>
          <w:numId w:val="42"/>
        </w:numPr>
        <w:autoSpaceDE w:val="0"/>
        <w:autoSpaceDN w:val="0"/>
        <w:adjustRightInd w:val="0"/>
        <w:rPr>
          <w:rFonts w:ascii="Arial" w:eastAsia="Calibri" w:hAnsi="Arial" w:cs="Arial"/>
        </w:rPr>
      </w:pPr>
      <w:r w:rsidRPr="003A2F86">
        <w:rPr>
          <w:rFonts w:ascii="Arial" w:eastAsia="Calibri" w:hAnsi="Arial" w:cs="Arial"/>
        </w:rPr>
        <w:t>rashoda za nabavu nefinancijske imovine, te</w:t>
      </w:r>
    </w:p>
    <w:p w14:paraId="7663F1E7" w14:textId="77777777" w:rsidR="00F0319E" w:rsidRPr="003A2F86" w:rsidRDefault="00F0319E">
      <w:pPr>
        <w:pStyle w:val="Odlomakpopisa"/>
        <w:numPr>
          <w:ilvl w:val="0"/>
          <w:numId w:val="42"/>
        </w:numPr>
        <w:autoSpaceDE w:val="0"/>
        <w:autoSpaceDN w:val="0"/>
        <w:adjustRightInd w:val="0"/>
        <w:rPr>
          <w:rFonts w:ascii="Arial" w:eastAsia="Calibri" w:hAnsi="Arial" w:cs="Arial"/>
        </w:rPr>
      </w:pPr>
      <w:r w:rsidRPr="003A2F86">
        <w:rPr>
          <w:rFonts w:ascii="Arial" w:eastAsia="Calibri" w:hAnsi="Arial" w:cs="Arial"/>
        </w:rPr>
        <w:t>izdaci za financijsku imovinu i otplate zajmova.</w:t>
      </w:r>
    </w:p>
    <w:p w14:paraId="73441C22" w14:textId="77777777" w:rsidR="00F0319E" w:rsidRPr="00BB2E7A" w:rsidRDefault="00F0319E" w:rsidP="00F0319E">
      <w:pPr>
        <w:autoSpaceDE w:val="0"/>
        <w:autoSpaceDN w:val="0"/>
        <w:adjustRightInd w:val="0"/>
        <w:spacing w:after="0" w:line="240" w:lineRule="auto"/>
        <w:rPr>
          <w:rFonts w:ascii="Arial" w:eastAsia="Calibri" w:hAnsi="Arial" w:cs="Arial"/>
        </w:rPr>
      </w:pPr>
    </w:p>
    <w:p w14:paraId="16F82FE0" w14:textId="77777777" w:rsidR="00F0319E" w:rsidRPr="00BB2E7A" w:rsidRDefault="00F0319E" w:rsidP="003D15C8">
      <w:pPr>
        <w:autoSpaceDE w:val="0"/>
        <w:autoSpaceDN w:val="0"/>
        <w:adjustRightInd w:val="0"/>
        <w:spacing w:after="0" w:line="240" w:lineRule="auto"/>
        <w:jc w:val="both"/>
        <w:rPr>
          <w:rFonts w:ascii="Arial" w:eastAsia="Calibri" w:hAnsi="Arial" w:cs="Arial"/>
        </w:rPr>
      </w:pPr>
      <w:r w:rsidRPr="00BB2E7A">
        <w:rPr>
          <w:rFonts w:ascii="Arial" w:eastAsia="Calibri" w:hAnsi="Arial" w:cs="Arial"/>
        </w:rPr>
        <w:t xml:space="preserve">Račun </w:t>
      </w:r>
      <w:r w:rsidRPr="00BB2E7A">
        <w:rPr>
          <w:rFonts w:ascii="Arial" w:eastAsia="Calibri" w:hAnsi="Arial" w:cs="Arial"/>
          <w:b/>
          <w:bCs/>
        </w:rPr>
        <w:t>PRIHODA I RASHODA</w:t>
      </w:r>
      <w:r w:rsidRPr="00BB2E7A">
        <w:rPr>
          <w:rFonts w:ascii="Arial" w:eastAsia="Calibri" w:hAnsi="Arial" w:cs="Arial"/>
        </w:rPr>
        <w:t xml:space="preserve"> se sastoji od </w:t>
      </w:r>
      <w:r w:rsidRPr="00BB2E7A">
        <w:rPr>
          <w:rFonts w:ascii="Arial" w:eastAsia="Calibri" w:hAnsi="Arial" w:cs="Arial"/>
          <w:i/>
          <w:iCs/>
        </w:rPr>
        <w:t>zbroj prihoda</w:t>
      </w:r>
      <w:r w:rsidRPr="00BB2E7A">
        <w:rPr>
          <w:rFonts w:ascii="Arial" w:eastAsia="Calibri" w:hAnsi="Arial" w:cs="Arial"/>
        </w:rPr>
        <w:t xml:space="preserve"> koje čine prihodi poslovanja (6) i prihodi od prodaje nefinancijske imovine (7), </w:t>
      </w:r>
      <w:r w:rsidRPr="00BB2E7A">
        <w:rPr>
          <w:rFonts w:ascii="Arial" w:eastAsia="Calibri" w:hAnsi="Arial" w:cs="Arial"/>
          <w:i/>
          <w:iCs/>
        </w:rPr>
        <w:t>zbroja rashoda</w:t>
      </w:r>
      <w:r w:rsidRPr="00BB2E7A">
        <w:rPr>
          <w:rFonts w:ascii="Arial" w:eastAsia="Calibri" w:hAnsi="Arial" w:cs="Arial"/>
        </w:rPr>
        <w:t xml:space="preserve"> koje čine rashodi poslovanja (3) i rashodi za nabavu nefinancijske imovine (4), te razlike između ukupnih prihoda i ukupnih rashoda. </w:t>
      </w:r>
    </w:p>
    <w:p w14:paraId="74A23E82" w14:textId="77777777" w:rsidR="00F0319E" w:rsidRPr="003A2F86" w:rsidRDefault="00F0319E" w:rsidP="00F0319E">
      <w:pPr>
        <w:autoSpaceDE w:val="0"/>
        <w:autoSpaceDN w:val="0"/>
        <w:adjustRightInd w:val="0"/>
        <w:spacing w:after="0" w:line="240" w:lineRule="auto"/>
        <w:jc w:val="both"/>
        <w:rPr>
          <w:rFonts w:ascii="Arial" w:eastAsia="Times New Roman" w:hAnsi="Arial" w:cs="Arial"/>
        </w:rPr>
      </w:pPr>
    </w:p>
    <w:p w14:paraId="6F98A04F" w14:textId="5F1BD733" w:rsidR="00F0319E" w:rsidRPr="003A2F86" w:rsidRDefault="00A5502E" w:rsidP="00F0319E">
      <w:pPr>
        <w:autoSpaceDE w:val="0"/>
        <w:autoSpaceDN w:val="0"/>
        <w:adjustRightInd w:val="0"/>
        <w:spacing w:after="0" w:line="240" w:lineRule="auto"/>
        <w:rPr>
          <w:rFonts w:ascii="Arial" w:eastAsia="Calibri" w:hAnsi="Arial" w:cs="Arial"/>
        </w:rPr>
      </w:pPr>
      <w:r w:rsidRPr="00A5502E">
        <w:rPr>
          <w:noProof/>
        </w:rPr>
        <w:drawing>
          <wp:inline distT="0" distB="0" distL="0" distR="0" wp14:anchorId="45A6371D" wp14:editId="7D57273A">
            <wp:extent cx="9251950" cy="2447925"/>
            <wp:effectExtent l="0" t="0" r="6350" b="9525"/>
            <wp:docPr id="125702452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251950" cy="2447925"/>
                    </a:xfrm>
                    <a:prstGeom prst="rect">
                      <a:avLst/>
                    </a:prstGeom>
                    <a:noFill/>
                    <a:ln>
                      <a:noFill/>
                    </a:ln>
                  </pic:spPr>
                </pic:pic>
              </a:graphicData>
            </a:graphic>
          </wp:inline>
        </w:drawing>
      </w:r>
    </w:p>
    <w:p w14:paraId="307CD83B" w14:textId="77777777" w:rsidR="00A5502E" w:rsidRDefault="00A5502E" w:rsidP="00F0319E">
      <w:pPr>
        <w:autoSpaceDE w:val="0"/>
        <w:autoSpaceDN w:val="0"/>
        <w:adjustRightInd w:val="0"/>
        <w:spacing w:after="0" w:line="240" w:lineRule="auto"/>
        <w:rPr>
          <w:rFonts w:ascii="Arial" w:eastAsia="Calibri" w:hAnsi="Arial" w:cs="Arial"/>
          <w:b/>
          <w:bCs/>
        </w:rPr>
      </w:pPr>
    </w:p>
    <w:p w14:paraId="4D4ADD5A" w14:textId="022715D2" w:rsidR="00F0319E" w:rsidRPr="00BB2E7A" w:rsidRDefault="00F0319E" w:rsidP="00F0319E">
      <w:pPr>
        <w:autoSpaceDE w:val="0"/>
        <w:autoSpaceDN w:val="0"/>
        <w:adjustRightInd w:val="0"/>
        <w:spacing w:after="0" w:line="240" w:lineRule="auto"/>
        <w:rPr>
          <w:rFonts w:ascii="Arial" w:eastAsia="Calibri" w:hAnsi="Arial" w:cs="Arial"/>
        </w:rPr>
      </w:pPr>
      <w:r w:rsidRPr="00BB2E7A">
        <w:rPr>
          <w:rFonts w:ascii="Arial" w:eastAsia="Calibri" w:hAnsi="Arial" w:cs="Arial"/>
          <w:b/>
          <w:bCs/>
        </w:rPr>
        <w:lastRenderedPageBreak/>
        <w:t>RAČUN FINANCIRANJA</w:t>
      </w:r>
      <w:r w:rsidRPr="00BB2E7A">
        <w:rPr>
          <w:rFonts w:ascii="Arial" w:eastAsia="Calibri" w:hAnsi="Arial" w:cs="Arial"/>
        </w:rPr>
        <w:t xml:space="preserve"> se sastoji od primitaka od financijske imovine i zaduživanja (8), izdataka za financijsku imovinu i otplate zajmova (5), te razlike ukupnih primitaka i ukupnih izdataka.</w:t>
      </w:r>
    </w:p>
    <w:p w14:paraId="737BF6E1" w14:textId="60DA065F" w:rsidR="00F0319E" w:rsidRPr="003A2F86" w:rsidRDefault="00A5502E" w:rsidP="00F0319E">
      <w:pPr>
        <w:autoSpaceDE w:val="0"/>
        <w:autoSpaceDN w:val="0"/>
        <w:adjustRightInd w:val="0"/>
        <w:spacing w:after="0" w:line="240" w:lineRule="auto"/>
        <w:jc w:val="both"/>
        <w:rPr>
          <w:rFonts w:ascii="Arial" w:eastAsia="Times New Roman" w:hAnsi="Arial" w:cs="Arial"/>
        </w:rPr>
      </w:pPr>
      <w:r w:rsidRPr="00A5502E">
        <w:rPr>
          <w:noProof/>
        </w:rPr>
        <w:drawing>
          <wp:inline distT="0" distB="0" distL="0" distR="0" wp14:anchorId="3E28CCD8" wp14:editId="15B0BDE6">
            <wp:extent cx="9251950" cy="1141730"/>
            <wp:effectExtent l="0" t="0" r="6350" b="1270"/>
            <wp:docPr id="896247190"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51950" cy="1141730"/>
                    </a:xfrm>
                    <a:prstGeom prst="rect">
                      <a:avLst/>
                    </a:prstGeom>
                    <a:noFill/>
                    <a:ln>
                      <a:noFill/>
                    </a:ln>
                  </pic:spPr>
                </pic:pic>
              </a:graphicData>
            </a:graphic>
          </wp:inline>
        </w:drawing>
      </w:r>
    </w:p>
    <w:p w14:paraId="730F4198" w14:textId="77777777" w:rsidR="00F817B9" w:rsidRPr="003A2F86" w:rsidRDefault="00F817B9" w:rsidP="00F0319E">
      <w:pPr>
        <w:autoSpaceDE w:val="0"/>
        <w:autoSpaceDN w:val="0"/>
        <w:adjustRightInd w:val="0"/>
        <w:spacing w:after="0" w:line="240" w:lineRule="auto"/>
        <w:jc w:val="both"/>
        <w:rPr>
          <w:rFonts w:ascii="Arial" w:eastAsia="Times New Roman" w:hAnsi="Arial" w:cs="Arial"/>
        </w:rPr>
      </w:pPr>
    </w:p>
    <w:p w14:paraId="651A4AEA" w14:textId="3BC50085" w:rsidR="00EE5E71" w:rsidRPr="003A2F86" w:rsidRDefault="00EE5E71" w:rsidP="00EE5E71">
      <w:pPr>
        <w:autoSpaceDE w:val="0"/>
        <w:autoSpaceDN w:val="0"/>
        <w:adjustRightInd w:val="0"/>
        <w:spacing w:after="0" w:line="240" w:lineRule="auto"/>
        <w:rPr>
          <w:rFonts w:ascii="Arial" w:eastAsia="Calibri" w:hAnsi="Arial" w:cs="Arial"/>
        </w:rPr>
      </w:pPr>
      <w:r w:rsidRPr="003A2F86">
        <w:rPr>
          <w:rFonts w:ascii="Arial" w:eastAsia="Calibri" w:hAnsi="Arial" w:cs="Arial"/>
        </w:rPr>
        <w:t xml:space="preserve">Sastavni dio proračuna je i </w:t>
      </w:r>
      <w:r w:rsidRPr="003A2F86">
        <w:rPr>
          <w:rFonts w:ascii="Arial" w:eastAsia="Calibri" w:hAnsi="Arial" w:cs="Arial"/>
          <w:b/>
          <w:bCs/>
        </w:rPr>
        <w:t>preneseni višak iz prethodnih godina</w:t>
      </w:r>
      <w:r w:rsidRPr="003A2F86">
        <w:rPr>
          <w:rFonts w:ascii="Arial" w:eastAsia="Calibri" w:hAnsi="Arial" w:cs="Arial"/>
        </w:rPr>
        <w:t xml:space="preserve"> ili </w:t>
      </w:r>
      <w:r w:rsidRPr="003A2F86">
        <w:rPr>
          <w:rFonts w:ascii="Arial" w:eastAsia="Calibri" w:hAnsi="Arial" w:cs="Arial"/>
          <w:b/>
          <w:bCs/>
        </w:rPr>
        <w:t>manjak iz prethodnih godina</w:t>
      </w:r>
      <w:r w:rsidRPr="003A2F86">
        <w:rPr>
          <w:rFonts w:ascii="Arial" w:eastAsia="Calibri" w:hAnsi="Arial" w:cs="Arial"/>
        </w:rPr>
        <w:t xml:space="preserve"> koji se mora pokriti u planiranom proračunskom razdoblju.</w:t>
      </w:r>
    </w:p>
    <w:p w14:paraId="5171ADB2" w14:textId="43FA469B" w:rsidR="00EE5E71" w:rsidRPr="003A2F86" w:rsidRDefault="00A5502E" w:rsidP="00EE5E71">
      <w:pPr>
        <w:autoSpaceDE w:val="0"/>
        <w:autoSpaceDN w:val="0"/>
        <w:adjustRightInd w:val="0"/>
        <w:spacing w:after="0" w:line="240" w:lineRule="auto"/>
        <w:jc w:val="center"/>
        <w:rPr>
          <w:rFonts w:ascii="Arial" w:eastAsia="Times New Roman" w:hAnsi="Arial" w:cs="Arial"/>
        </w:rPr>
      </w:pPr>
      <w:r w:rsidRPr="00A5502E">
        <w:rPr>
          <w:noProof/>
        </w:rPr>
        <w:drawing>
          <wp:inline distT="0" distB="0" distL="0" distR="0" wp14:anchorId="25C8BEDC" wp14:editId="5C06CE57">
            <wp:extent cx="9251950" cy="1572895"/>
            <wp:effectExtent l="0" t="0" r="6350" b="8255"/>
            <wp:docPr id="1292984088"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251950" cy="1572895"/>
                    </a:xfrm>
                    <a:prstGeom prst="rect">
                      <a:avLst/>
                    </a:prstGeom>
                    <a:noFill/>
                    <a:ln>
                      <a:noFill/>
                    </a:ln>
                  </pic:spPr>
                </pic:pic>
              </a:graphicData>
            </a:graphic>
          </wp:inline>
        </w:drawing>
      </w:r>
    </w:p>
    <w:p w14:paraId="49BB39A1" w14:textId="509CD7F7" w:rsidR="00EE5E71" w:rsidRPr="003A2F86" w:rsidRDefault="00EE5E71" w:rsidP="00EE5E71">
      <w:pPr>
        <w:autoSpaceDE w:val="0"/>
        <w:autoSpaceDN w:val="0"/>
        <w:adjustRightInd w:val="0"/>
        <w:spacing w:after="0" w:line="240" w:lineRule="auto"/>
        <w:jc w:val="both"/>
        <w:rPr>
          <w:rFonts w:ascii="Arial" w:eastAsia="Times New Roman" w:hAnsi="Arial" w:cs="Arial"/>
        </w:rPr>
      </w:pPr>
    </w:p>
    <w:p w14:paraId="4E80D537" w14:textId="77777777" w:rsidR="00EE5E71" w:rsidRPr="003A2F86" w:rsidRDefault="00EE5E71" w:rsidP="00EE5E71">
      <w:pPr>
        <w:autoSpaceDE w:val="0"/>
        <w:autoSpaceDN w:val="0"/>
        <w:adjustRightInd w:val="0"/>
        <w:spacing w:after="0" w:line="240" w:lineRule="auto"/>
        <w:rPr>
          <w:rFonts w:ascii="Arial" w:eastAsia="Calibri" w:hAnsi="Arial" w:cs="Arial"/>
        </w:rPr>
      </w:pPr>
      <w:r w:rsidRPr="003A2F86">
        <w:rPr>
          <w:rFonts w:ascii="Arial" w:eastAsia="Calibri" w:hAnsi="Arial" w:cs="Arial"/>
        </w:rPr>
        <w:t>Zbroj svih prihoda i primitaka sa viškom i/ili manjkom iz prethodnih godina mora biti jednak zbroju svih rashoda i izdataka Proračuna.</w:t>
      </w:r>
    </w:p>
    <w:p w14:paraId="3F808735" w14:textId="77777777" w:rsidR="00EE5E71" w:rsidRPr="003A2F86" w:rsidRDefault="00EE5E71" w:rsidP="00EE5E71">
      <w:pPr>
        <w:autoSpaceDE w:val="0"/>
        <w:autoSpaceDN w:val="0"/>
        <w:adjustRightInd w:val="0"/>
        <w:spacing w:after="0" w:line="240" w:lineRule="auto"/>
        <w:rPr>
          <w:rFonts w:ascii="Arial" w:eastAsia="Calibri" w:hAnsi="Arial" w:cs="Arial"/>
        </w:rPr>
      </w:pPr>
    </w:p>
    <w:p w14:paraId="55731922" w14:textId="6B3451F1" w:rsidR="00EE5E71" w:rsidRPr="003A2F86" w:rsidRDefault="00A5502E" w:rsidP="00EE5E71">
      <w:pPr>
        <w:autoSpaceDE w:val="0"/>
        <w:autoSpaceDN w:val="0"/>
        <w:adjustRightInd w:val="0"/>
        <w:spacing w:after="0" w:line="240" w:lineRule="auto"/>
        <w:jc w:val="both"/>
        <w:rPr>
          <w:rFonts w:ascii="Arial" w:eastAsia="Times New Roman" w:hAnsi="Arial" w:cs="Arial"/>
        </w:rPr>
      </w:pPr>
      <w:r w:rsidRPr="00A5502E">
        <w:rPr>
          <w:noProof/>
        </w:rPr>
        <w:drawing>
          <wp:inline distT="0" distB="0" distL="0" distR="0" wp14:anchorId="7ED7C689" wp14:editId="151F70C9">
            <wp:extent cx="9251950" cy="772795"/>
            <wp:effectExtent l="0" t="0" r="6350" b="8255"/>
            <wp:docPr id="781275522"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251950" cy="772795"/>
                    </a:xfrm>
                    <a:prstGeom prst="rect">
                      <a:avLst/>
                    </a:prstGeom>
                    <a:noFill/>
                    <a:ln>
                      <a:noFill/>
                    </a:ln>
                  </pic:spPr>
                </pic:pic>
              </a:graphicData>
            </a:graphic>
          </wp:inline>
        </w:drawing>
      </w:r>
    </w:p>
    <w:p w14:paraId="463B3386" w14:textId="77777777" w:rsidR="00CB73BB" w:rsidRPr="003A2F86" w:rsidRDefault="00CB73BB" w:rsidP="00EE5E71">
      <w:pPr>
        <w:autoSpaceDE w:val="0"/>
        <w:autoSpaceDN w:val="0"/>
        <w:adjustRightInd w:val="0"/>
        <w:spacing w:after="0" w:line="240" w:lineRule="auto"/>
        <w:jc w:val="both"/>
        <w:rPr>
          <w:rFonts w:ascii="Arial" w:eastAsia="Times New Roman" w:hAnsi="Arial" w:cs="Arial"/>
        </w:rPr>
      </w:pPr>
    </w:p>
    <w:p w14:paraId="31C17EBA" w14:textId="08815BC3" w:rsidR="006654D6" w:rsidRDefault="006654D6">
      <w:pPr>
        <w:rPr>
          <w:rFonts w:ascii="Arial" w:eastAsia="Times New Roman" w:hAnsi="Arial" w:cs="Arial"/>
        </w:rPr>
      </w:pPr>
      <w:r>
        <w:rPr>
          <w:rFonts w:ascii="Arial" w:eastAsia="Times New Roman" w:hAnsi="Arial" w:cs="Arial"/>
        </w:rPr>
        <w:br w:type="page"/>
      </w:r>
    </w:p>
    <w:p w14:paraId="480C7623" w14:textId="77777777" w:rsidR="00CB73BB" w:rsidRPr="003A2F86" w:rsidRDefault="00CB73BB" w:rsidP="00EE5E71">
      <w:pPr>
        <w:autoSpaceDE w:val="0"/>
        <w:autoSpaceDN w:val="0"/>
        <w:adjustRightInd w:val="0"/>
        <w:spacing w:after="0" w:line="240" w:lineRule="auto"/>
        <w:jc w:val="both"/>
        <w:rPr>
          <w:rFonts w:ascii="Arial" w:eastAsia="Times New Roman" w:hAnsi="Arial" w:cs="Arial"/>
        </w:rPr>
      </w:pPr>
    </w:p>
    <w:p w14:paraId="62B4FE14" w14:textId="16635707" w:rsidR="003E02DB" w:rsidRPr="003A2F86" w:rsidRDefault="003E02DB" w:rsidP="00EE5E71">
      <w:pPr>
        <w:pStyle w:val="Naslov3"/>
        <w:jc w:val="center"/>
        <w:rPr>
          <w:rFonts w:ascii="Arial" w:eastAsia="Calibri" w:hAnsi="Arial" w:cs="Arial"/>
          <w:sz w:val="22"/>
          <w:lang w:val="hr-HR"/>
        </w:rPr>
      </w:pPr>
      <w:bookmarkStart w:id="38" w:name="_2.3.1.__PRIHODI"/>
      <w:bookmarkStart w:id="39" w:name="_Toc232981383"/>
      <w:bookmarkEnd w:id="38"/>
      <w:r w:rsidRPr="003A2F86">
        <w:rPr>
          <w:rFonts w:ascii="Arial" w:eastAsia="Calibri" w:hAnsi="Arial" w:cs="Arial"/>
          <w:sz w:val="22"/>
          <w:lang w:val="hr-HR"/>
        </w:rPr>
        <w:t>2.3.1.</w:t>
      </w:r>
      <w:r w:rsidRPr="003A2F86">
        <w:rPr>
          <w:rFonts w:ascii="Arial" w:eastAsia="Calibri" w:hAnsi="Arial" w:cs="Arial"/>
          <w:sz w:val="22"/>
          <w:lang w:val="hr-HR"/>
        </w:rPr>
        <w:tab/>
      </w:r>
      <w:r w:rsidR="00E97058" w:rsidRPr="003A2F86">
        <w:rPr>
          <w:rFonts w:ascii="Arial" w:eastAsia="Calibri" w:hAnsi="Arial" w:cs="Arial"/>
          <w:sz w:val="22"/>
          <w:lang w:val="hr-HR"/>
        </w:rPr>
        <w:tab/>
      </w:r>
      <w:r w:rsidRPr="003A2F86">
        <w:rPr>
          <w:rFonts w:ascii="Arial" w:eastAsia="Calibri" w:hAnsi="Arial" w:cs="Arial"/>
          <w:sz w:val="22"/>
          <w:lang w:val="hr-HR"/>
        </w:rPr>
        <w:t>PRIHODI I PRIMICI</w:t>
      </w:r>
      <w:bookmarkStart w:id="40" w:name="Prihodi_i_primici"/>
      <w:bookmarkEnd w:id="39"/>
      <w:bookmarkEnd w:id="40"/>
    </w:p>
    <w:p w14:paraId="548427CC" w14:textId="77777777" w:rsidR="003E02DB" w:rsidRPr="003A2F86" w:rsidRDefault="003E02DB" w:rsidP="003E02DB">
      <w:pPr>
        <w:spacing w:after="0" w:line="240" w:lineRule="auto"/>
        <w:jc w:val="both"/>
        <w:rPr>
          <w:rFonts w:ascii="Arial" w:eastAsia="Calibri" w:hAnsi="Arial" w:cs="Arial"/>
          <w:lang w:eastAsia="en-US"/>
        </w:rPr>
      </w:pPr>
    </w:p>
    <w:p w14:paraId="26F4FA94" w14:textId="25E2DAC9" w:rsidR="00891119" w:rsidRPr="003A2F86" w:rsidRDefault="00891119" w:rsidP="00CA7A06">
      <w:pPr>
        <w:autoSpaceDE w:val="0"/>
        <w:autoSpaceDN w:val="0"/>
        <w:adjustRightInd w:val="0"/>
        <w:spacing w:after="0" w:line="240" w:lineRule="auto"/>
        <w:jc w:val="both"/>
        <w:rPr>
          <w:rFonts w:ascii="Arial" w:eastAsia="Calibri" w:hAnsi="Arial" w:cs="Arial"/>
          <w:color w:val="244061" w:themeColor="accent1" w:themeShade="80"/>
          <w:lang w:eastAsia="en-US"/>
        </w:rPr>
      </w:pPr>
      <w:bookmarkStart w:id="41" w:name="_Hlk114473267"/>
      <w:r w:rsidRPr="003A2F86">
        <w:rPr>
          <w:rFonts w:ascii="Arial" w:eastAsia="Calibri" w:hAnsi="Arial" w:cs="Arial"/>
          <w:b/>
          <w:bCs/>
          <w:color w:val="244061" w:themeColor="accent1" w:themeShade="80"/>
          <w:lang w:eastAsia="en-US"/>
        </w:rPr>
        <w:t>Ukupni prihodi i primici</w:t>
      </w:r>
      <w:r w:rsidR="00535F9E" w:rsidRPr="003A2F86">
        <w:rPr>
          <w:rFonts w:ascii="Arial" w:eastAsia="Calibri" w:hAnsi="Arial" w:cs="Arial"/>
          <w:b/>
          <w:color w:val="244061" w:themeColor="accent1" w:themeShade="80"/>
          <w:lang w:eastAsia="en-US"/>
        </w:rPr>
        <w:t xml:space="preserve"> </w:t>
      </w:r>
      <w:r w:rsidR="00BB2E7A">
        <w:rPr>
          <w:rFonts w:ascii="Arial" w:eastAsia="Calibri" w:hAnsi="Arial" w:cs="Arial"/>
          <w:b/>
          <w:color w:val="244061" w:themeColor="accent1" w:themeShade="80"/>
          <w:lang w:eastAsia="en-US"/>
        </w:rPr>
        <w:t>g</w:t>
      </w:r>
      <w:r w:rsidR="00C46D2F" w:rsidRPr="003A2F86">
        <w:rPr>
          <w:rFonts w:ascii="Arial" w:eastAsia="Calibri" w:hAnsi="Arial" w:cs="Arial"/>
          <w:b/>
          <w:color w:val="244061" w:themeColor="accent1" w:themeShade="80"/>
          <w:lang w:eastAsia="en-US"/>
        </w:rPr>
        <w:t xml:space="preserve">odišnjeg </w:t>
      </w:r>
      <w:r w:rsidRPr="003A2F86">
        <w:rPr>
          <w:rFonts w:ascii="Arial" w:eastAsia="Calibri" w:hAnsi="Arial" w:cs="Arial"/>
          <w:b/>
          <w:color w:val="244061" w:themeColor="accent1" w:themeShade="80"/>
          <w:lang w:eastAsia="en-US"/>
        </w:rPr>
        <w:t>izvještaja</w:t>
      </w:r>
      <w:r w:rsidRPr="003A2F86">
        <w:rPr>
          <w:rFonts w:ascii="Arial" w:eastAsia="Calibri" w:hAnsi="Arial" w:cs="Arial"/>
          <w:color w:val="244061" w:themeColor="accent1" w:themeShade="80"/>
          <w:lang w:eastAsia="en-US"/>
        </w:rPr>
        <w:t xml:space="preserve"> </w:t>
      </w:r>
      <w:r w:rsidRPr="003A2F86">
        <w:rPr>
          <w:rFonts w:ascii="Arial" w:eastAsia="Calibri" w:hAnsi="Arial" w:cs="Arial"/>
          <w:color w:val="1F497D" w:themeColor="text2"/>
          <w:lang w:eastAsia="en-US"/>
        </w:rPr>
        <w:t xml:space="preserve">o izvršenju proračuna (što je jednako iznosima u </w:t>
      </w:r>
      <w:r w:rsidRPr="003A2F86">
        <w:rPr>
          <w:rFonts w:ascii="Arial" w:eastAsia="Times New Roman" w:hAnsi="Arial" w:cs="Arial"/>
          <w:iCs/>
          <w:color w:val="1F497D" w:themeColor="text2"/>
          <w:lang w:eastAsia="en-US"/>
        </w:rPr>
        <w:t xml:space="preserve">financijskim izvještajima </w:t>
      </w:r>
      <w:r w:rsidRPr="003A2F86">
        <w:rPr>
          <w:rFonts w:ascii="Arial" w:eastAsia="Times New Roman" w:hAnsi="Arial" w:cs="Arial"/>
          <w:iCs/>
          <w:color w:val="7030A0"/>
          <w:lang w:eastAsia="en-US"/>
        </w:rPr>
        <w:t>razina 23</w:t>
      </w:r>
      <w:r w:rsidRPr="003A2F86">
        <w:rPr>
          <w:rFonts w:ascii="Arial" w:eastAsia="Times New Roman" w:hAnsi="Arial" w:cs="Arial"/>
          <w:iCs/>
          <w:color w:val="1F497D" w:themeColor="text2"/>
          <w:lang w:eastAsia="en-US"/>
        </w:rPr>
        <w:t xml:space="preserve">) </w:t>
      </w:r>
      <w:r w:rsidRPr="003A2F86">
        <w:rPr>
          <w:rFonts w:ascii="Arial" w:eastAsia="Calibri" w:hAnsi="Arial" w:cs="Arial"/>
          <w:color w:val="1F497D" w:themeColor="text2"/>
          <w:lang w:eastAsia="en-US"/>
        </w:rPr>
        <w:t xml:space="preserve">ostvareni su u razdoblju siječanj - </w:t>
      </w:r>
      <w:r w:rsidR="00060167">
        <w:rPr>
          <w:rFonts w:ascii="Arial" w:eastAsia="Calibri" w:hAnsi="Arial" w:cs="Arial"/>
          <w:color w:val="1F497D" w:themeColor="text2"/>
          <w:lang w:eastAsia="en-US"/>
        </w:rPr>
        <w:t>prosinac</w:t>
      </w:r>
      <w:r w:rsidRPr="003A2F86">
        <w:rPr>
          <w:rFonts w:ascii="Arial" w:eastAsia="Calibri" w:hAnsi="Arial" w:cs="Arial"/>
          <w:color w:val="1F497D" w:themeColor="text2"/>
          <w:lang w:eastAsia="en-US"/>
        </w:rPr>
        <w:t xml:space="preserve"> 20</w:t>
      </w:r>
      <w:r w:rsidR="000B6BD3" w:rsidRPr="003A2F86">
        <w:rPr>
          <w:rFonts w:ascii="Arial" w:eastAsia="Calibri" w:hAnsi="Arial" w:cs="Arial"/>
          <w:color w:val="1F497D" w:themeColor="text2"/>
          <w:lang w:eastAsia="en-US"/>
        </w:rPr>
        <w:t>2</w:t>
      </w:r>
      <w:r w:rsidR="00BB2E7A">
        <w:rPr>
          <w:rFonts w:ascii="Arial" w:eastAsia="Calibri" w:hAnsi="Arial" w:cs="Arial"/>
          <w:color w:val="1F497D" w:themeColor="text2"/>
          <w:lang w:eastAsia="en-US"/>
        </w:rPr>
        <w:t>5</w:t>
      </w:r>
      <w:r w:rsidRPr="003A2F86">
        <w:rPr>
          <w:rFonts w:ascii="Arial" w:eastAsia="Calibri" w:hAnsi="Arial" w:cs="Arial"/>
          <w:color w:val="1F497D" w:themeColor="text2"/>
          <w:lang w:eastAsia="en-US"/>
        </w:rPr>
        <w:t xml:space="preserve">. godine u iznosu </w:t>
      </w:r>
      <w:r w:rsidR="00060167">
        <w:rPr>
          <w:rFonts w:ascii="Arial" w:eastAsia="Calibri" w:hAnsi="Arial" w:cs="Arial"/>
          <w:b/>
          <w:color w:val="1F497D" w:themeColor="text2"/>
          <w:u w:val="single"/>
          <w:lang w:eastAsia="en-US"/>
        </w:rPr>
        <w:t>23.152.793,05</w:t>
      </w:r>
      <w:r w:rsidRPr="003A2F86">
        <w:rPr>
          <w:rFonts w:ascii="Arial" w:eastAsia="Calibri" w:hAnsi="Arial" w:cs="Arial"/>
          <w:color w:val="1F497D" w:themeColor="text2"/>
          <w:u w:val="single"/>
          <w:lang w:eastAsia="en-US"/>
        </w:rPr>
        <w:t xml:space="preserve"> </w:t>
      </w:r>
      <w:r w:rsidR="00976588" w:rsidRPr="003A2F86">
        <w:rPr>
          <w:rFonts w:ascii="Arial" w:eastAsia="Calibri" w:hAnsi="Arial" w:cs="Arial"/>
          <w:b/>
          <w:bCs/>
          <w:color w:val="1F497D" w:themeColor="text2"/>
          <w:u w:val="single"/>
          <w:lang w:eastAsia="en-US"/>
        </w:rPr>
        <w:t>€</w:t>
      </w:r>
      <w:r w:rsidR="00976588" w:rsidRPr="003A2F86">
        <w:rPr>
          <w:rFonts w:ascii="Arial" w:eastAsia="Calibri" w:hAnsi="Arial" w:cs="Arial"/>
          <w:color w:val="1F497D" w:themeColor="text2"/>
          <w:lang w:eastAsia="en-US"/>
        </w:rPr>
        <w:t xml:space="preserve"> </w:t>
      </w:r>
      <w:r w:rsidRPr="003A2F86">
        <w:rPr>
          <w:rFonts w:ascii="Arial" w:eastAsia="Calibri" w:hAnsi="Arial" w:cs="Arial"/>
          <w:color w:val="1F497D" w:themeColor="text2"/>
          <w:lang w:eastAsia="en-US"/>
        </w:rPr>
        <w:t xml:space="preserve">odnosno </w:t>
      </w:r>
      <w:r w:rsidR="00060167">
        <w:rPr>
          <w:rFonts w:ascii="Arial" w:eastAsia="Calibri" w:hAnsi="Arial" w:cs="Arial"/>
          <w:color w:val="1F497D" w:themeColor="text2"/>
          <w:lang w:eastAsia="en-US"/>
        </w:rPr>
        <w:t>67,3</w:t>
      </w:r>
      <w:r w:rsidRPr="003A2F86">
        <w:rPr>
          <w:rFonts w:ascii="Arial" w:eastAsia="Calibri" w:hAnsi="Arial" w:cs="Arial"/>
          <w:color w:val="1F497D" w:themeColor="text2"/>
          <w:lang w:eastAsia="en-US"/>
        </w:rPr>
        <w:t xml:space="preserve">% plana. </w:t>
      </w:r>
      <w:r w:rsidR="004D23BF" w:rsidRPr="003A2F86">
        <w:rPr>
          <w:rFonts w:ascii="Arial" w:eastAsia="Calibri" w:hAnsi="Arial" w:cs="Arial"/>
          <w:color w:val="1F497D" w:themeColor="text2"/>
          <w:lang w:eastAsia="en-US"/>
        </w:rPr>
        <w:t>D</w:t>
      </w:r>
      <w:r w:rsidRPr="003A2F86">
        <w:rPr>
          <w:rFonts w:ascii="Arial" w:eastAsia="Calibri" w:hAnsi="Arial" w:cs="Arial"/>
          <w:color w:val="1F497D" w:themeColor="text2"/>
          <w:lang w:eastAsia="en-US"/>
        </w:rPr>
        <w:t xml:space="preserve">ijele se na prihode i primitke općinskog proračuna u iznosu </w:t>
      </w:r>
      <w:r w:rsidR="00060167">
        <w:rPr>
          <w:rFonts w:ascii="Arial" w:eastAsia="Calibri" w:hAnsi="Arial" w:cs="Arial"/>
          <w:b/>
          <w:color w:val="1F497D" w:themeColor="text2"/>
          <w:u w:val="single"/>
          <w:lang w:eastAsia="en-US"/>
        </w:rPr>
        <w:t>21.495.663,97</w:t>
      </w:r>
      <w:r w:rsidR="00976588" w:rsidRPr="003A2F86">
        <w:rPr>
          <w:rFonts w:ascii="Arial" w:eastAsia="Calibri" w:hAnsi="Arial" w:cs="Arial"/>
          <w:b/>
          <w:color w:val="1F497D" w:themeColor="text2"/>
          <w:u w:val="single"/>
          <w:lang w:eastAsia="en-US"/>
        </w:rPr>
        <w:t xml:space="preserve"> €</w:t>
      </w:r>
      <w:r w:rsidRPr="003A2F86">
        <w:rPr>
          <w:rFonts w:ascii="Arial" w:eastAsia="Calibri" w:hAnsi="Arial" w:cs="Arial"/>
          <w:lang w:eastAsia="en-US"/>
        </w:rPr>
        <w:t xml:space="preserve"> </w:t>
      </w:r>
      <w:r w:rsidRPr="003A2F86">
        <w:rPr>
          <w:rFonts w:ascii="Arial" w:eastAsia="Calibri" w:hAnsi="Arial" w:cs="Arial"/>
          <w:color w:val="244061" w:themeColor="accent1" w:themeShade="80"/>
          <w:lang w:eastAsia="en-US"/>
        </w:rPr>
        <w:t>(</w:t>
      </w:r>
      <w:r w:rsidRPr="003A2F86">
        <w:rPr>
          <w:rFonts w:ascii="Arial" w:eastAsia="Times New Roman" w:hAnsi="Arial" w:cs="Arial"/>
          <w:iCs/>
          <w:color w:val="244061" w:themeColor="accent1" w:themeShade="80"/>
          <w:lang w:eastAsia="en-US"/>
        </w:rPr>
        <w:t>financijski izvještaji razina 22)</w:t>
      </w:r>
      <w:r w:rsidRPr="003A2F86">
        <w:rPr>
          <w:rFonts w:ascii="Arial" w:eastAsia="Calibri" w:hAnsi="Arial" w:cs="Arial"/>
          <w:color w:val="244061" w:themeColor="accent1" w:themeShade="80"/>
          <w:lang w:eastAsia="en-US"/>
        </w:rPr>
        <w:t xml:space="preserve"> </w:t>
      </w:r>
      <w:r w:rsidRPr="003A2F86">
        <w:rPr>
          <w:rFonts w:ascii="Arial" w:eastAsia="Calibri" w:hAnsi="Arial" w:cs="Arial"/>
          <w:color w:val="1F497D" w:themeColor="text2"/>
          <w:lang w:eastAsia="en-US"/>
        </w:rPr>
        <w:t xml:space="preserve">i vlastite prihode četiri proračunska korisnika u iznosu </w:t>
      </w:r>
      <w:r w:rsidR="00060167">
        <w:rPr>
          <w:rFonts w:ascii="Arial" w:eastAsia="Calibri" w:hAnsi="Arial" w:cs="Arial"/>
          <w:b/>
          <w:color w:val="1F497D" w:themeColor="text2"/>
          <w:u w:val="single"/>
          <w:lang w:eastAsia="en-US"/>
        </w:rPr>
        <w:t>1.657.129,08</w:t>
      </w:r>
      <w:r w:rsidR="00976588" w:rsidRPr="003A2F86">
        <w:rPr>
          <w:rFonts w:ascii="Arial" w:eastAsia="Calibri" w:hAnsi="Arial" w:cs="Arial"/>
          <w:b/>
          <w:color w:val="1F497D" w:themeColor="text2"/>
          <w:u w:val="single"/>
          <w:lang w:eastAsia="en-US"/>
        </w:rPr>
        <w:t xml:space="preserve"> €</w:t>
      </w:r>
      <w:r w:rsidRPr="003A2F86">
        <w:rPr>
          <w:rFonts w:ascii="Arial" w:eastAsia="Calibri" w:hAnsi="Arial" w:cs="Arial"/>
          <w:color w:val="1F497D" w:themeColor="text2"/>
          <w:lang w:eastAsia="en-US"/>
        </w:rPr>
        <w:t xml:space="preserve"> </w:t>
      </w:r>
      <w:r w:rsidRPr="003A2F86">
        <w:rPr>
          <w:rFonts w:ascii="Arial" w:eastAsia="Calibri" w:hAnsi="Arial" w:cs="Arial"/>
          <w:color w:val="244061" w:themeColor="accent1" w:themeShade="80"/>
          <w:lang w:eastAsia="en-US"/>
        </w:rPr>
        <w:t xml:space="preserve">(dio </w:t>
      </w:r>
      <w:r w:rsidRPr="003A2F86">
        <w:rPr>
          <w:rFonts w:ascii="Arial" w:eastAsia="Times New Roman" w:hAnsi="Arial" w:cs="Arial"/>
          <w:iCs/>
          <w:color w:val="244061" w:themeColor="accent1" w:themeShade="80"/>
          <w:lang w:eastAsia="en-US"/>
        </w:rPr>
        <w:t>financijskih izvještaja razina 21 i 31)</w:t>
      </w:r>
      <w:r w:rsidRPr="003A2F86">
        <w:rPr>
          <w:rFonts w:ascii="Arial" w:eastAsia="Calibri" w:hAnsi="Arial" w:cs="Arial"/>
          <w:color w:val="244061" w:themeColor="accent1" w:themeShade="80"/>
          <w:lang w:eastAsia="en-US"/>
        </w:rPr>
        <w:t xml:space="preserve">. </w:t>
      </w:r>
    </w:p>
    <w:bookmarkEnd w:id="41"/>
    <w:p w14:paraId="1F3DB4F8" w14:textId="77777777" w:rsidR="000C093F" w:rsidRPr="003A2F86" w:rsidRDefault="000C093F" w:rsidP="00891119">
      <w:pPr>
        <w:autoSpaceDE w:val="0"/>
        <w:autoSpaceDN w:val="0"/>
        <w:adjustRightInd w:val="0"/>
        <w:spacing w:after="0" w:line="240" w:lineRule="auto"/>
        <w:jc w:val="both"/>
        <w:rPr>
          <w:rFonts w:ascii="Arial" w:eastAsia="Calibri" w:hAnsi="Arial" w:cs="Arial"/>
          <w:sz w:val="10"/>
          <w:lang w:eastAsia="en-US"/>
        </w:rPr>
      </w:pPr>
    </w:p>
    <w:p w14:paraId="1D544039" w14:textId="77777777" w:rsidR="00640804" w:rsidRPr="003A2F86" w:rsidRDefault="00640804" w:rsidP="00891119">
      <w:pPr>
        <w:autoSpaceDE w:val="0"/>
        <w:autoSpaceDN w:val="0"/>
        <w:adjustRightInd w:val="0"/>
        <w:spacing w:after="0" w:line="240" w:lineRule="auto"/>
        <w:jc w:val="both"/>
        <w:rPr>
          <w:rFonts w:ascii="Arial" w:eastAsia="Calibri" w:hAnsi="Arial" w:cs="Arial"/>
          <w:sz w:val="10"/>
          <w:lang w:eastAsia="en-US"/>
        </w:rPr>
      </w:pPr>
    </w:p>
    <w:p w14:paraId="4430920A" w14:textId="13C11FE3" w:rsidR="00F70689" w:rsidRPr="003A2F86" w:rsidRDefault="00F70689" w:rsidP="00F70689">
      <w:pPr>
        <w:pStyle w:val="Opisslike"/>
        <w:rPr>
          <w:rFonts w:ascii="Arial" w:hAnsi="Arial" w:cs="Arial"/>
        </w:rPr>
      </w:pPr>
      <w:bookmarkStart w:id="42" w:name="_Toc232981565"/>
      <w:r w:rsidRPr="003A2F86">
        <w:rPr>
          <w:rFonts w:ascii="Arial" w:hAnsi="Arial" w:cs="Arial"/>
          <w:color w:val="FF0000"/>
        </w:rPr>
        <w:t xml:space="preserve">Graf </w:t>
      </w:r>
      <w:r w:rsidRPr="003A2F86">
        <w:rPr>
          <w:rFonts w:ascii="Arial" w:hAnsi="Arial" w:cs="Arial"/>
          <w:color w:val="FF0000"/>
        </w:rPr>
        <w:fldChar w:fldCharType="begin"/>
      </w:r>
      <w:r w:rsidRPr="003A2F86">
        <w:rPr>
          <w:rFonts w:ascii="Arial" w:hAnsi="Arial" w:cs="Arial"/>
          <w:color w:val="FF0000"/>
        </w:rPr>
        <w:instrText xml:space="preserve"> SEQ Graf \* ARABIC </w:instrText>
      </w:r>
      <w:r w:rsidRPr="003A2F86">
        <w:rPr>
          <w:rFonts w:ascii="Arial" w:hAnsi="Arial" w:cs="Arial"/>
          <w:color w:val="FF0000"/>
        </w:rPr>
        <w:fldChar w:fldCharType="separate"/>
      </w:r>
      <w:r w:rsidR="00A821D8">
        <w:rPr>
          <w:rFonts w:ascii="Arial" w:hAnsi="Arial" w:cs="Arial"/>
          <w:noProof/>
          <w:color w:val="FF0000"/>
        </w:rPr>
        <w:t>5</w:t>
      </w:r>
      <w:r w:rsidRPr="003A2F86">
        <w:rPr>
          <w:rFonts w:ascii="Arial" w:hAnsi="Arial" w:cs="Arial"/>
          <w:color w:val="FF0000"/>
        </w:rPr>
        <w:fldChar w:fldCharType="end"/>
      </w:r>
      <w:r w:rsidRPr="003A2F86">
        <w:rPr>
          <w:rFonts w:ascii="Arial" w:hAnsi="Arial" w:cs="Arial"/>
          <w:color w:val="FF0000"/>
        </w:rPr>
        <w:t>.:</w:t>
      </w:r>
      <w:r w:rsidRPr="003A2F86">
        <w:rPr>
          <w:color w:val="FF0000"/>
        </w:rPr>
        <w:t xml:space="preserve"> </w:t>
      </w:r>
      <w:r w:rsidRPr="003A2F86">
        <w:rPr>
          <w:rFonts w:ascii="Arial" w:hAnsi="Arial" w:cs="Arial"/>
        </w:rPr>
        <w:t xml:space="preserve">Struktura ostvarenih prihoda i primitaka </w:t>
      </w:r>
      <w:r w:rsidR="00B33699" w:rsidRPr="003A2F86">
        <w:rPr>
          <w:rFonts w:ascii="Arial" w:hAnsi="Arial" w:cs="Arial"/>
        </w:rPr>
        <w:t>P</w:t>
      </w:r>
      <w:r w:rsidRPr="003A2F86">
        <w:rPr>
          <w:rFonts w:ascii="Arial" w:hAnsi="Arial" w:cs="Arial"/>
        </w:rPr>
        <w:t>roračuna u</w:t>
      </w:r>
      <w:r w:rsidR="00CA7A06" w:rsidRPr="003A2F86">
        <w:rPr>
          <w:rFonts w:ascii="Arial" w:hAnsi="Arial" w:cs="Arial"/>
        </w:rPr>
        <w:t xml:space="preserve"> </w:t>
      </w:r>
      <w:r w:rsidR="003A45CA" w:rsidRPr="003A2F86">
        <w:rPr>
          <w:rFonts w:ascii="Arial" w:hAnsi="Arial" w:cs="Arial"/>
        </w:rPr>
        <w:t>202</w:t>
      </w:r>
      <w:r w:rsidR="00A41C77">
        <w:rPr>
          <w:rFonts w:ascii="Arial" w:hAnsi="Arial" w:cs="Arial"/>
        </w:rPr>
        <w:t>5</w:t>
      </w:r>
      <w:r w:rsidRPr="003A2F86">
        <w:rPr>
          <w:rFonts w:ascii="Arial" w:hAnsi="Arial" w:cs="Arial"/>
        </w:rPr>
        <w:t>.</w:t>
      </w:r>
      <w:r w:rsidR="00976588" w:rsidRPr="003A2F86">
        <w:rPr>
          <w:rFonts w:asciiTheme="minorHAnsi" w:eastAsiaTheme="minorHAnsi" w:hAnsiTheme="minorHAnsi" w:cstheme="minorBidi"/>
          <w:b w:val="0"/>
          <w:bCs w:val="0"/>
          <w:sz w:val="28"/>
          <w:szCs w:val="28"/>
          <w:lang w:eastAsia="hr-HR"/>
        </w:rPr>
        <w:t xml:space="preserve"> </w:t>
      </w:r>
      <w:r w:rsidRPr="003A2F86">
        <w:rPr>
          <w:rFonts w:ascii="Arial" w:hAnsi="Arial" w:cs="Arial"/>
        </w:rPr>
        <w:t>po korisnicima</w:t>
      </w:r>
      <w:r w:rsidR="004812B6" w:rsidRPr="003A2F86">
        <w:rPr>
          <w:rFonts w:ascii="Arial" w:hAnsi="Arial" w:cs="Arial"/>
        </w:rPr>
        <w:t xml:space="preserve"> (€)</w:t>
      </w:r>
      <w:r w:rsidRPr="003A2F86">
        <w:rPr>
          <w:rFonts w:ascii="Arial" w:hAnsi="Arial" w:cs="Arial"/>
        </w:rPr>
        <w:t xml:space="preserve">: </w:t>
      </w:r>
      <w:r w:rsidRPr="00C41CF6">
        <w:rPr>
          <w:rFonts w:ascii="Arial" w:hAnsi="Arial" w:cs="Arial"/>
          <w:color w:val="1F497D" w:themeColor="text2"/>
        </w:rPr>
        <w:t>Općina</w:t>
      </w:r>
      <w:r w:rsidR="004812B6" w:rsidRPr="003A2F86">
        <w:rPr>
          <w:rFonts w:ascii="Arial" w:hAnsi="Arial" w:cs="Arial"/>
        </w:rPr>
        <w:t xml:space="preserve">, te </w:t>
      </w:r>
      <w:r w:rsidRPr="00C41CF6">
        <w:rPr>
          <w:rFonts w:ascii="Arial" w:hAnsi="Arial" w:cs="Arial"/>
          <w:color w:val="943634" w:themeColor="accent2" w:themeShade="BF"/>
        </w:rPr>
        <w:t xml:space="preserve">proračunski korisnici </w:t>
      </w:r>
      <w:r w:rsidR="004812B6" w:rsidRPr="003A2F86">
        <w:rPr>
          <w:rFonts w:ascii="Arial" w:hAnsi="Arial" w:cs="Arial"/>
        </w:rPr>
        <w:t>zbirno i pojedinačno</w:t>
      </w:r>
      <w:bookmarkEnd w:id="42"/>
    </w:p>
    <w:p w14:paraId="69F61BC3" w14:textId="77777777" w:rsidR="004A2AA6" w:rsidRPr="003A2F86" w:rsidRDefault="004A2AA6" w:rsidP="007B469E">
      <w:pPr>
        <w:spacing w:after="0" w:line="240" w:lineRule="auto"/>
        <w:rPr>
          <w:lang w:eastAsia="en-US"/>
        </w:rPr>
      </w:pPr>
    </w:p>
    <w:p w14:paraId="165F607A" w14:textId="52A7E03D" w:rsidR="00891119" w:rsidRPr="003A2F86" w:rsidRDefault="0047518F" w:rsidP="00891119">
      <w:pPr>
        <w:autoSpaceDE w:val="0"/>
        <w:autoSpaceDN w:val="0"/>
        <w:adjustRightInd w:val="0"/>
        <w:spacing w:after="0" w:line="240" w:lineRule="auto"/>
        <w:jc w:val="center"/>
        <w:rPr>
          <w:rFonts w:ascii="Arial" w:eastAsia="Calibri" w:hAnsi="Arial" w:cs="Arial"/>
          <w:lang w:eastAsia="en-US"/>
        </w:rPr>
      </w:pPr>
      <w:r w:rsidRPr="003A2F86">
        <w:rPr>
          <w:noProof/>
        </w:rPr>
        <mc:AlternateContent>
          <mc:Choice Requires="wps">
            <w:drawing>
              <wp:anchor distT="0" distB="0" distL="114300" distR="114300" simplePos="0" relativeHeight="251745280" behindDoc="0" locked="0" layoutInCell="1" allowOverlap="1" wp14:anchorId="49A2A556" wp14:editId="1A308696">
                <wp:simplePos x="0" y="0"/>
                <wp:positionH relativeFrom="column">
                  <wp:posOffset>6563995</wp:posOffset>
                </wp:positionH>
                <wp:positionV relativeFrom="paragraph">
                  <wp:posOffset>1520825</wp:posOffset>
                </wp:positionV>
                <wp:extent cx="639445" cy="46355"/>
                <wp:effectExtent l="0" t="57150" r="8255" b="29845"/>
                <wp:wrapNone/>
                <wp:docPr id="1789612574" name="Ravni poveznik sa strelicom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39445" cy="463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6AEFD3D" id="_x0000_t32" coordsize="21600,21600" o:spt="32" o:oned="t" path="m,l21600,21600e" filled="f">
                <v:path arrowok="t" fillok="f" o:connecttype="none"/>
                <o:lock v:ext="edit" shapetype="t"/>
              </v:shapetype>
              <v:shape id="Ravni poveznik sa strelicom 2" o:spid="_x0000_s1026" type="#_x0000_t32" style="position:absolute;margin-left:516.85pt;margin-top:119.75pt;width:50.35pt;height:3.65pt;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" strokecolor="#4579b8 [3044]">
                <v:stroke endarrow="block"/>
                <o:lock v:ext="edit" shapetype="f"/>
              </v:shape>
            </w:pict>
          </mc:Fallback>
        </mc:AlternateContent>
      </w:r>
      <w:r w:rsidR="00891119" w:rsidRPr="003A2F86">
        <w:rPr>
          <w:rFonts w:ascii="Arial" w:eastAsia="Calibri" w:hAnsi="Arial" w:cs="Arial"/>
          <w:noProof/>
          <w:color w:val="FF0000"/>
        </w:rPr>
        <w:drawing>
          <wp:inline distT="0" distB="0" distL="0" distR="0" wp14:anchorId="3C758F1E" wp14:editId="7790F093">
            <wp:extent cx="8410575" cy="2743200"/>
            <wp:effectExtent l="0" t="0" r="9525" b="0"/>
            <wp:docPr id="9" name="Grafikon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404EFCD" w14:textId="77777777" w:rsidR="00891119" w:rsidRPr="003A2F86" w:rsidRDefault="00891119" w:rsidP="00891119">
      <w:pPr>
        <w:autoSpaceDE w:val="0"/>
        <w:autoSpaceDN w:val="0"/>
        <w:adjustRightInd w:val="0"/>
        <w:spacing w:after="0" w:line="240" w:lineRule="auto"/>
        <w:jc w:val="both"/>
        <w:rPr>
          <w:rFonts w:ascii="Arial" w:eastAsia="Calibri" w:hAnsi="Arial" w:cs="Arial"/>
          <w:lang w:eastAsia="en-US"/>
        </w:rPr>
      </w:pPr>
    </w:p>
    <w:p w14:paraId="2C707041" w14:textId="5CE7DF7F" w:rsidR="00640804" w:rsidRPr="003A2F86" w:rsidRDefault="00640804" w:rsidP="00891119">
      <w:pPr>
        <w:autoSpaceDE w:val="0"/>
        <w:autoSpaceDN w:val="0"/>
        <w:adjustRightInd w:val="0"/>
        <w:spacing w:after="0" w:line="240" w:lineRule="auto"/>
        <w:jc w:val="both"/>
        <w:rPr>
          <w:rFonts w:ascii="Arial" w:eastAsia="Calibri" w:hAnsi="Arial" w:cs="Arial"/>
          <w:lang w:eastAsia="en-US"/>
        </w:rPr>
      </w:pPr>
    </w:p>
    <w:p w14:paraId="3FB88CB9" w14:textId="727175CA" w:rsidR="00891119" w:rsidRPr="003A2F86" w:rsidRDefault="00891119" w:rsidP="00891119">
      <w:pPr>
        <w:autoSpaceDE w:val="0"/>
        <w:autoSpaceDN w:val="0"/>
        <w:adjustRightInd w:val="0"/>
        <w:spacing w:after="0" w:line="240" w:lineRule="auto"/>
        <w:jc w:val="both"/>
        <w:rPr>
          <w:rFonts w:ascii="Arial" w:eastAsia="Calibri" w:hAnsi="Arial" w:cs="Arial"/>
          <w:lang w:eastAsia="en-US"/>
        </w:rPr>
      </w:pPr>
      <w:bookmarkStart w:id="43" w:name="_Hlk230157412"/>
      <w:r w:rsidRPr="003A2F86">
        <w:rPr>
          <w:rFonts w:ascii="Arial" w:eastAsia="Calibri" w:hAnsi="Arial" w:cs="Arial"/>
          <w:b/>
          <w:i/>
          <w:lang w:eastAsia="en-US"/>
        </w:rPr>
        <w:t>Vlastiti prihodi</w:t>
      </w:r>
      <w:r w:rsidRPr="003A2F86">
        <w:rPr>
          <w:rFonts w:ascii="Arial" w:eastAsia="Calibri" w:hAnsi="Arial" w:cs="Arial"/>
          <w:i/>
          <w:lang w:eastAsia="en-US"/>
        </w:rPr>
        <w:t xml:space="preserve"> </w:t>
      </w:r>
      <w:r w:rsidRPr="00C41CF6">
        <w:rPr>
          <w:rFonts w:ascii="Arial" w:eastAsia="Calibri" w:hAnsi="Arial" w:cs="Arial"/>
          <w:b/>
          <w:i/>
          <w:color w:val="943634" w:themeColor="accent2" w:themeShade="BF"/>
          <w:lang w:eastAsia="en-US"/>
        </w:rPr>
        <w:t>proračunskih korisnika</w:t>
      </w:r>
      <w:r w:rsidRPr="00C41CF6">
        <w:rPr>
          <w:rFonts w:ascii="Arial" w:eastAsia="Calibri" w:hAnsi="Arial" w:cs="Arial"/>
          <w:color w:val="943634" w:themeColor="accent2" w:themeShade="BF"/>
          <w:lang w:eastAsia="en-US"/>
        </w:rPr>
        <w:t xml:space="preserve"> </w:t>
      </w:r>
      <w:r w:rsidRPr="003A2F86">
        <w:rPr>
          <w:rFonts w:ascii="Arial" w:eastAsia="Calibri" w:hAnsi="Arial" w:cs="Arial"/>
          <w:lang w:eastAsia="en-US"/>
        </w:rPr>
        <w:t xml:space="preserve">u iznosu </w:t>
      </w:r>
      <w:r w:rsidR="00060167">
        <w:rPr>
          <w:rFonts w:ascii="Arial" w:eastAsia="Calibri" w:hAnsi="Arial" w:cs="Arial"/>
          <w:b/>
          <w:lang w:eastAsia="en-US"/>
        </w:rPr>
        <w:t>1.657.129,08</w:t>
      </w:r>
      <w:r w:rsidR="00241EEC" w:rsidRPr="003A2F86">
        <w:rPr>
          <w:rFonts w:ascii="Arial" w:eastAsia="Calibri" w:hAnsi="Arial" w:cs="Arial"/>
          <w:b/>
          <w:lang w:eastAsia="en-US"/>
        </w:rPr>
        <w:t xml:space="preserve"> €</w:t>
      </w:r>
      <w:r w:rsidRPr="003A2F86">
        <w:rPr>
          <w:rFonts w:ascii="Arial" w:eastAsia="Calibri" w:hAnsi="Arial" w:cs="Arial"/>
          <w:lang w:eastAsia="en-US"/>
        </w:rPr>
        <w:t xml:space="preserve"> se odnose na:</w:t>
      </w:r>
    </w:p>
    <w:p w14:paraId="3A97E8C1" w14:textId="59D0F9FF" w:rsidR="00891119" w:rsidRPr="003A2F86" w:rsidRDefault="00891119" w:rsidP="00891119">
      <w:pPr>
        <w:autoSpaceDE w:val="0"/>
        <w:autoSpaceDN w:val="0"/>
        <w:adjustRightInd w:val="0"/>
        <w:spacing w:after="0" w:line="240" w:lineRule="auto"/>
        <w:jc w:val="both"/>
        <w:rPr>
          <w:rFonts w:ascii="Arial" w:eastAsia="Calibri" w:hAnsi="Arial" w:cs="Arial"/>
          <w:lang w:eastAsia="en-US"/>
        </w:rPr>
      </w:pPr>
      <w:r w:rsidRPr="003A2F86">
        <w:rPr>
          <w:rFonts w:ascii="Arial" w:eastAsia="Calibri" w:hAnsi="Arial" w:cs="Arial"/>
          <w:lang w:eastAsia="en-US"/>
        </w:rPr>
        <w:t xml:space="preserve">- pomoći proračunskim korisnicima iz proračuna koji im nije nadležan (636) u iznosu </w:t>
      </w:r>
      <w:r w:rsidR="00E80E19">
        <w:rPr>
          <w:rFonts w:ascii="Arial" w:eastAsia="Calibri" w:hAnsi="Arial" w:cs="Arial"/>
          <w:lang w:eastAsia="en-US"/>
        </w:rPr>
        <w:t>70.456,50</w:t>
      </w:r>
      <w:r w:rsidR="00241EEC" w:rsidRPr="003A2F86">
        <w:rPr>
          <w:rFonts w:ascii="Arial" w:eastAsia="Calibri" w:hAnsi="Arial" w:cs="Arial"/>
          <w:lang w:eastAsia="en-US"/>
        </w:rPr>
        <w:t xml:space="preserve"> €</w:t>
      </w:r>
      <w:r w:rsidRPr="003A2F86">
        <w:rPr>
          <w:rFonts w:ascii="Arial" w:eastAsia="Calibri" w:hAnsi="Arial" w:cs="Arial"/>
          <w:lang w:eastAsia="en-US"/>
        </w:rPr>
        <w:t xml:space="preserve"> i to</w:t>
      </w:r>
      <w:r w:rsidR="003A45CA" w:rsidRPr="003A2F86">
        <w:rPr>
          <w:rFonts w:ascii="Arial" w:eastAsia="Calibri" w:hAnsi="Arial" w:cs="Arial"/>
          <w:lang w:eastAsia="en-US"/>
        </w:rPr>
        <w:t>:</w:t>
      </w:r>
      <w:r w:rsidRPr="003A2F86">
        <w:rPr>
          <w:rFonts w:ascii="Arial" w:eastAsia="Calibri" w:hAnsi="Arial" w:cs="Arial"/>
          <w:lang w:eastAsia="en-US"/>
        </w:rPr>
        <w:t xml:space="preserve"> Dječjim vrtićima (Ministarstvo znanosti, obrazovanja i sporta </w:t>
      </w:r>
      <w:r w:rsidR="00E80E19">
        <w:rPr>
          <w:rFonts w:ascii="Arial" w:eastAsia="Calibri" w:hAnsi="Arial" w:cs="Arial"/>
          <w:lang w:eastAsia="en-US"/>
        </w:rPr>
        <w:t>7.649</w:t>
      </w:r>
      <w:r w:rsidR="00241EEC" w:rsidRPr="003A2F86">
        <w:rPr>
          <w:rFonts w:ascii="Arial" w:eastAsia="Calibri" w:hAnsi="Arial" w:cs="Arial"/>
          <w:lang w:eastAsia="en-US"/>
        </w:rPr>
        <w:t xml:space="preserve"> €</w:t>
      </w:r>
      <w:r w:rsidRPr="003A2F86">
        <w:rPr>
          <w:rFonts w:ascii="Arial" w:eastAsia="Calibri" w:hAnsi="Arial" w:cs="Arial"/>
          <w:lang w:eastAsia="en-US"/>
        </w:rPr>
        <w:t xml:space="preserve">), </w:t>
      </w:r>
      <w:r w:rsidR="003A45CA" w:rsidRPr="003A2F86">
        <w:rPr>
          <w:rFonts w:ascii="Arial" w:eastAsia="Calibri" w:hAnsi="Arial" w:cs="Arial"/>
          <w:lang w:eastAsia="en-US"/>
        </w:rPr>
        <w:t xml:space="preserve">Muzejima i galerijama Konavala (Ministarstvo kulture </w:t>
      </w:r>
      <w:r w:rsidR="00E80E19">
        <w:rPr>
          <w:rFonts w:ascii="Arial" w:eastAsia="Calibri" w:hAnsi="Arial" w:cs="Arial"/>
          <w:lang w:eastAsia="en-US"/>
        </w:rPr>
        <w:t>52.987,50</w:t>
      </w:r>
      <w:r w:rsidR="00241EEC" w:rsidRPr="003A2F86">
        <w:rPr>
          <w:rFonts w:ascii="Arial" w:eastAsia="Calibri" w:hAnsi="Arial" w:cs="Arial"/>
          <w:lang w:eastAsia="en-US"/>
        </w:rPr>
        <w:t xml:space="preserve"> €</w:t>
      </w:r>
      <w:r w:rsidR="00E80E19">
        <w:rPr>
          <w:rFonts w:ascii="Arial" w:eastAsia="Calibri" w:hAnsi="Arial" w:cs="Arial"/>
          <w:lang w:eastAsia="en-US"/>
        </w:rPr>
        <w:t>, Dubrovačko neretvanska županija 800 €</w:t>
      </w:r>
      <w:r w:rsidR="003A45CA" w:rsidRPr="003A2F86">
        <w:rPr>
          <w:rFonts w:ascii="Arial" w:eastAsia="Calibri" w:hAnsi="Arial" w:cs="Arial"/>
          <w:lang w:eastAsia="en-US"/>
        </w:rPr>
        <w:t>),</w:t>
      </w:r>
      <w:r w:rsidR="00DD33EC" w:rsidRPr="003A2F86">
        <w:rPr>
          <w:rFonts w:ascii="Arial" w:eastAsia="Calibri" w:hAnsi="Arial" w:cs="Arial"/>
          <w:lang w:eastAsia="en-US"/>
        </w:rPr>
        <w:t xml:space="preserve"> </w:t>
      </w:r>
      <w:r w:rsidRPr="003A2F86">
        <w:rPr>
          <w:rFonts w:ascii="Arial" w:eastAsia="Calibri" w:hAnsi="Arial" w:cs="Arial"/>
          <w:lang w:eastAsia="en-US"/>
        </w:rPr>
        <w:t>Javnoj vatrogasnoj postrojbi (</w:t>
      </w:r>
      <w:r w:rsidR="00C46D2F" w:rsidRPr="003A2F86">
        <w:rPr>
          <w:rFonts w:ascii="Arial" w:eastAsia="Calibri" w:hAnsi="Arial" w:cs="Arial"/>
          <w:lang w:eastAsia="en-US"/>
        </w:rPr>
        <w:t>0</w:t>
      </w:r>
      <w:r w:rsidR="00241EEC" w:rsidRPr="003A2F86">
        <w:rPr>
          <w:rFonts w:ascii="Arial" w:eastAsia="Calibri" w:hAnsi="Arial" w:cs="Arial"/>
          <w:lang w:eastAsia="en-US"/>
        </w:rPr>
        <w:t xml:space="preserve"> €</w:t>
      </w:r>
      <w:r w:rsidRPr="003A2F86">
        <w:rPr>
          <w:rFonts w:ascii="Arial" w:eastAsia="Calibri" w:hAnsi="Arial" w:cs="Arial"/>
          <w:lang w:eastAsia="en-US"/>
        </w:rPr>
        <w:t>), Domu za starije i nemoćne osobe (</w:t>
      </w:r>
      <w:r w:rsidR="00E80E19">
        <w:rPr>
          <w:rFonts w:ascii="Arial" w:eastAsia="Calibri" w:hAnsi="Arial" w:cs="Arial"/>
          <w:lang w:eastAsia="en-US"/>
        </w:rPr>
        <w:t>9.020</w:t>
      </w:r>
      <w:r w:rsidR="00241EEC" w:rsidRPr="003A2F86">
        <w:rPr>
          <w:rFonts w:ascii="Arial" w:eastAsia="Calibri" w:hAnsi="Arial" w:cs="Arial"/>
          <w:lang w:eastAsia="en-US"/>
        </w:rPr>
        <w:t xml:space="preserve"> €</w:t>
      </w:r>
      <w:r w:rsidRPr="003A2F86">
        <w:rPr>
          <w:rFonts w:ascii="Arial" w:eastAsia="Calibri" w:hAnsi="Arial" w:cs="Arial"/>
          <w:lang w:eastAsia="en-US"/>
        </w:rPr>
        <w:t xml:space="preserve">), </w:t>
      </w:r>
    </w:p>
    <w:p w14:paraId="70C9124C" w14:textId="33DC5AE6" w:rsidR="00891119" w:rsidRPr="003A2F86" w:rsidRDefault="00891119" w:rsidP="00891119">
      <w:pPr>
        <w:autoSpaceDE w:val="0"/>
        <w:autoSpaceDN w:val="0"/>
        <w:adjustRightInd w:val="0"/>
        <w:spacing w:after="0" w:line="240" w:lineRule="auto"/>
        <w:jc w:val="both"/>
        <w:rPr>
          <w:rFonts w:ascii="Arial" w:eastAsia="Calibri" w:hAnsi="Arial" w:cs="Arial"/>
          <w:lang w:eastAsia="en-US"/>
        </w:rPr>
      </w:pPr>
      <w:r w:rsidRPr="003A2F86">
        <w:rPr>
          <w:rFonts w:ascii="Arial" w:eastAsia="Calibri" w:hAnsi="Arial" w:cs="Arial"/>
          <w:lang w:eastAsia="en-US"/>
        </w:rPr>
        <w:t xml:space="preserve">- prihodi po posebnim propisima (652) - ostali nespomenuti prihodi (6526) u iznosu </w:t>
      </w:r>
      <w:r w:rsidR="00E80E19">
        <w:rPr>
          <w:rFonts w:ascii="Arial" w:eastAsia="Calibri" w:hAnsi="Arial" w:cs="Arial"/>
          <w:lang w:eastAsia="en-US"/>
        </w:rPr>
        <w:t>1.464.753,86</w:t>
      </w:r>
      <w:r w:rsidR="00241EEC" w:rsidRPr="003A2F86">
        <w:rPr>
          <w:rFonts w:ascii="Arial" w:eastAsia="Calibri" w:hAnsi="Arial" w:cs="Arial"/>
          <w:lang w:eastAsia="en-US"/>
        </w:rPr>
        <w:t xml:space="preserve"> €</w:t>
      </w:r>
      <w:r w:rsidRPr="003A2F86">
        <w:rPr>
          <w:rFonts w:ascii="Arial" w:eastAsia="Calibri" w:hAnsi="Arial" w:cs="Arial"/>
          <w:lang w:eastAsia="en-US"/>
        </w:rPr>
        <w:t xml:space="preserve"> i to: Dječji vrtić </w:t>
      </w:r>
      <w:r w:rsidR="00E80E19">
        <w:rPr>
          <w:rFonts w:ascii="Arial" w:eastAsia="Calibri" w:hAnsi="Arial" w:cs="Arial"/>
          <w:lang w:eastAsia="en-US"/>
        </w:rPr>
        <w:t>485.685,57</w:t>
      </w:r>
      <w:r w:rsidR="00241EEC" w:rsidRPr="003A2F86">
        <w:rPr>
          <w:rFonts w:ascii="Arial" w:eastAsia="Calibri" w:hAnsi="Arial" w:cs="Arial"/>
          <w:lang w:eastAsia="en-US"/>
        </w:rPr>
        <w:t xml:space="preserve"> €</w:t>
      </w:r>
      <w:r w:rsidRPr="003A2F86">
        <w:rPr>
          <w:rFonts w:ascii="Arial" w:eastAsia="Calibri" w:hAnsi="Arial" w:cs="Arial"/>
          <w:lang w:eastAsia="en-US"/>
        </w:rPr>
        <w:t xml:space="preserve"> (sufinanciranje smještaja djece u vrtiću</w:t>
      </w:r>
      <w:r w:rsidR="007241A9">
        <w:rPr>
          <w:rFonts w:ascii="Arial" w:eastAsia="Calibri" w:hAnsi="Arial" w:cs="Arial"/>
          <w:lang w:eastAsia="en-US"/>
        </w:rPr>
        <w:t xml:space="preserve"> 484.471,98 € i refundacija štete 1.213,59 €</w:t>
      </w:r>
      <w:r w:rsidRPr="003A2F86">
        <w:rPr>
          <w:rFonts w:ascii="Arial" w:eastAsia="Calibri" w:hAnsi="Arial" w:cs="Arial"/>
          <w:lang w:eastAsia="en-US"/>
        </w:rPr>
        <w:t xml:space="preserve">), Muzeji i galerije Konavala </w:t>
      </w:r>
      <w:r w:rsidR="00E80E19">
        <w:rPr>
          <w:rFonts w:ascii="Arial" w:eastAsia="Calibri" w:hAnsi="Arial" w:cs="Arial"/>
          <w:lang w:eastAsia="en-US"/>
        </w:rPr>
        <w:t>53.625,35</w:t>
      </w:r>
      <w:r w:rsidR="00241EEC" w:rsidRPr="003A2F86">
        <w:rPr>
          <w:rFonts w:ascii="Arial" w:eastAsia="Calibri" w:hAnsi="Arial" w:cs="Arial"/>
          <w:lang w:eastAsia="en-US"/>
        </w:rPr>
        <w:t xml:space="preserve"> €</w:t>
      </w:r>
      <w:r w:rsidRPr="003A2F86">
        <w:rPr>
          <w:rFonts w:ascii="Arial" w:eastAsia="Calibri" w:hAnsi="Arial" w:cs="Arial"/>
          <w:lang w:eastAsia="en-US"/>
        </w:rPr>
        <w:t xml:space="preserve"> (ulaznice), Dom za starije i nemoćne osobe </w:t>
      </w:r>
      <w:r w:rsidR="00E80E19">
        <w:rPr>
          <w:rFonts w:ascii="Arial" w:eastAsia="Calibri" w:hAnsi="Arial" w:cs="Arial"/>
          <w:lang w:eastAsia="en-US"/>
        </w:rPr>
        <w:t>925.442,94</w:t>
      </w:r>
      <w:r w:rsidR="00241EEC" w:rsidRPr="003A2F86">
        <w:rPr>
          <w:rFonts w:ascii="Arial" w:eastAsia="Calibri" w:hAnsi="Arial" w:cs="Arial"/>
          <w:lang w:eastAsia="en-US"/>
        </w:rPr>
        <w:t xml:space="preserve"> €</w:t>
      </w:r>
      <w:r w:rsidRPr="003A2F86">
        <w:rPr>
          <w:rFonts w:ascii="Arial" w:eastAsia="Calibri" w:hAnsi="Arial" w:cs="Arial"/>
          <w:lang w:eastAsia="en-US"/>
        </w:rPr>
        <w:t xml:space="preserve"> (sufinanciranje smještaja starijih osoba u domu</w:t>
      </w:r>
      <w:r w:rsidR="00241EEC" w:rsidRPr="003A2F86">
        <w:rPr>
          <w:rFonts w:ascii="Arial" w:eastAsia="Calibri" w:hAnsi="Arial" w:cs="Arial"/>
          <w:lang w:eastAsia="en-US"/>
        </w:rPr>
        <w:t xml:space="preserve"> </w:t>
      </w:r>
      <w:r w:rsidR="007241A9">
        <w:rPr>
          <w:rFonts w:ascii="Arial" w:eastAsia="Calibri" w:hAnsi="Arial" w:cs="Arial"/>
          <w:lang w:eastAsia="en-US"/>
        </w:rPr>
        <w:t>918.809,17</w:t>
      </w:r>
      <w:r w:rsidR="00241EEC" w:rsidRPr="003A2F86">
        <w:rPr>
          <w:rFonts w:ascii="Arial" w:eastAsia="Calibri" w:hAnsi="Arial" w:cs="Arial"/>
          <w:lang w:eastAsia="en-US"/>
        </w:rPr>
        <w:t xml:space="preserve"> € i refundacija štete </w:t>
      </w:r>
      <w:r w:rsidR="007241A9">
        <w:rPr>
          <w:rFonts w:ascii="Arial" w:eastAsia="Calibri" w:hAnsi="Arial" w:cs="Arial"/>
          <w:lang w:eastAsia="en-US"/>
        </w:rPr>
        <w:t>6.633,77</w:t>
      </w:r>
      <w:r w:rsidR="00241EEC" w:rsidRPr="003A2F86">
        <w:rPr>
          <w:rFonts w:ascii="Arial" w:eastAsia="Calibri" w:hAnsi="Arial" w:cs="Arial"/>
          <w:lang w:eastAsia="en-US"/>
        </w:rPr>
        <w:t xml:space="preserve"> €</w:t>
      </w:r>
      <w:r w:rsidRPr="003A2F86">
        <w:rPr>
          <w:rFonts w:ascii="Arial" w:eastAsia="Calibri" w:hAnsi="Arial" w:cs="Arial"/>
          <w:lang w:eastAsia="en-US"/>
        </w:rPr>
        <w:t>),</w:t>
      </w:r>
    </w:p>
    <w:p w14:paraId="6CCFD3CF" w14:textId="23B8D403" w:rsidR="00891119" w:rsidRDefault="00891119" w:rsidP="00891119">
      <w:pPr>
        <w:autoSpaceDE w:val="0"/>
        <w:autoSpaceDN w:val="0"/>
        <w:adjustRightInd w:val="0"/>
        <w:spacing w:after="0" w:line="240" w:lineRule="auto"/>
        <w:jc w:val="both"/>
        <w:rPr>
          <w:rFonts w:ascii="Arial" w:eastAsia="Calibri" w:hAnsi="Arial" w:cs="Arial"/>
          <w:lang w:eastAsia="en-US"/>
        </w:rPr>
      </w:pPr>
      <w:r w:rsidRPr="003A2F86">
        <w:rPr>
          <w:rFonts w:ascii="Arial" w:eastAsia="Calibri" w:hAnsi="Arial" w:cs="Arial"/>
          <w:lang w:eastAsia="en-US"/>
        </w:rPr>
        <w:lastRenderedPageBreak/>
        <w:t xml:space="preserve">- prihodi od prodaje proizvoda i pružanja usluga (661) </w:t>
      </w:r>
      <w:r w:rsidR="007241A9">
        <w:rPr>
          <w:rFonts w:ascii="Arial" w:eastAsia="Calibri" w:hAnsi="Arial" w:cs="Arial"/>
          <w:lang w:eastAsia="en-US"/>
        </w:rPr>
        <w:t>116.847,03</w:t>
      </w:r>
      <w:r w:rsidR="00241EEC" w:rsidRPr="003A2F86">
        <w:rPr>
          <w:rFonts w:ascii="Arial" w:eastAsia="Calibri" w:hAnsi="Arial" w:cs="Arial"/>
          <w:lang w:eastAsia="en-US"/>
        </w:rPr>
        <w:t xml:space="preserve"> €</w:t>
      </w:r>
      <w:r w:rsidRPr="003A2F86">
        <w:rPr>
          <w:rFonts w:ascii="Arial" w:eastAsia="Calibri" w:hAnsi="Arial" w:cs="Arial"/>
          <w:lang w:eastAsia="en-US"/>
        </w:rPr>
        <w:t xml:space="preserve"> i to Dječji vrtić (usluge produženog boravka djece u osnovnoj školi Gruda</w:t>
      </w:r>
      <w:r w:rsidR="00DD7DA3" w:rsidRPr="003A2F86">
        <w:rPr>
          <w:rFonts w:ascii="Arial" w:eastAsia="Calibri" w:hAnsi="Arial" w:cs="Arial"/>
          <w:lang w:eastAsia="en-US"/>
        </w:rPr>
        <w:t xml:space="preserve"> i područnoj školi Čilipi</w:t>
      </w:r>
      <w:r w:rsidR="00FB5028" w:rsidRPr="003A2F86">
        <w:rPr>
          <w:rFonts w:ascii="Arial" w:eastAsia="Calibri" w:hAnsi="Arial" w:cs="Arial"/>
          <w:lang w:eastAsia="en-US"/>
        </w:rPr>
        <w:t>, te najma</w:t>
      </w:r>
      <w:r w:rsidRPr="003A2F86">
        <w:rPr>
          <w:rFonts w:ascii="Arial" w:eastAsia="Calibri" w:hAnsi="Arial" w:cs="Arial"/>
          <w:lang w:eastAsia="en-US"/>
        </w:rPr>
        <w:t xml:space="preserve">) </w:t>
      </w:r>
      <w:r w:rsidR="007241A9">
        <w:rPr>
          <w:rFonts w:ascii="Arial" w:eastAsia="Calibri" w:hAnsi="Arial" w:cs="Arial"/>
          <w:lang w:eastAsia="en-US"/>
        </w:rPr>
        <w:t>36.770,60</w:t>
      </w:r>
      <w:r w:rsidR="00241EEC" w:rsidRPr="003A2F86">
        <w:rPr>
          <w:rFonts w:ascii="Arial" w:eastAsia="Calibri" w:hAnsi="Arial" w:cs="Arial"/>
          <w:lang w:eastAsia="en-US"/>
        </w:rPr>
        <w:t xml:space="preserve"> €</w:t>
      </w:r>
      <w:r w:rsidRPr="003A2F86">
        <w:rPr>
          <w:rFonts w:ascii="Arial" w:eastAsia="Calibri" w:hAnsi="Arial" w:cs="Arial"/>
          <w:lang w:eastAsia="en-US"/>
        </w:rPr>
        <w:t xml:space="preserve">, Muzeji i galerije Konavala (prodaja suvenira, razglednica i sl.) </w:t>
      </w:r>
      <w:r w:rsidR="007241A9">
        <w:rPr>
          <w:rFonts w:ascii="Arial" w:eastAsia="Calibri" w:hAnsi="Arial" w:cs="Arial"/>
          <w:lang w:eastAsia="en-US"/>
        </w:rPr>
        <w:t>74.568,23</w:t>
      </w:r>
      <w:r w:rsidR="00241EEC" w:rsidRPr="003A2F86">
        <w:rPr>
          <w:rFonts w:ascii="Arial" w:eastAsia="Calibri" w:hAnsi="Arial" w:cs="Arial"/>
          <w:lang w:eastAsia="en-US"/>
        </w:rPr>
        <w:t xml:space="preserve"> €</w:t>
      </w:r>
      <w:r w:rsidRPr="003A2F86">
        <w:rPr>
          <w:rFonts w:ascii="Arial" w:eastAsia="Calibri" w:hAnsi="Arial" w:cs="Arial"/>
          <w:lang w:eastAsia="en-US"/>
        </w:rPr>
        <w:t xml:space="preserve">, Dom za starije i nemoćne osobe (usluga dnevnog boravka u domu </w:t>
      </w:r>
      <w:r w:rsidR="007241A9">
        <w:rPr>
          <w:rFonts w:ascii="Arial" w:eastAsia="Calibri" w:hAnsi="Arial" w:cs="Arial"/>
          <w:lang w:eastAsia="en-US"/>
        </w:rPr>
        <w:t>5.508,20</w:t>
      </w:r>
      <w:r w:rsidR="00241EEC" w:rsidRPr="003A2F86">
        <w:rPr>
          <w:rFonts w:ascii="Arial" w:eastAsia="Calibri" w:hAnsi="Arial" w:cs="Arial"/>
          <w:lang w:eastAsia="en-US"/>
        </w:rPr>
        <w:t xml:space="preserve"> €</w:t>
      </w:r>
      <w:r w:rsidRPr="003A2F86">
        <w:rPr>
          <w:rFonts w:ascii="Arial" w:eastAsia="Calibri" w:hAnsi="Arial" w:cs="Arial"/>
          <w:lang w:eastAsia="en-US"/>
        </w:rPr>
        <w:t xml:space="preserve">), </w:t>
      </w:r>
    </w:p>
    <w:p w14:paraId="13F85742" w14:textId="6938C80A" w:rsidR="007241A9" w:rsidRPr="003A2F86" w:rsidRDefault="007241A9" w:rsidP="00891119">
      <w:pPr>
        <w:autoSpaceDE w:val="0"/>
        <w:autoSpaceDN w:val="0"/>
        <w:adjustRightInd w:val="0"/>
        <w:spacing w:after="0" w:line="240" w:lineRule="auto"/>
        <w:jc w:val="both"/>
        <w:rPr>
          <w:rFonts w:ascii="Arial" w:eastAsia="Calibri" w:hAnsi="Arial" w:cs="Arial"/>
          <w:lang w:eastAsia="en-US"/>
        </w:rPr>
      </w:pPr>
      <w:r>
        <w:rPr>
          <w:rFonts w:ascii="Arial" w:eastAsia="Calibri" w:hAnsi="Arial" w:cs="Arial"/>
          <w:lang w:eastAsia="en-US"/>
        </w:rPr>
        <w:t xml:space="preserve">- prihodi od donacija izvan općeg proračuna 4.262,26 € i to </w:t>
      </w:r>
      <w:r w:rsidRPr="003A2F86">
        <w:rPr>
          <w:rFonts w:ascii="Arial" w:eastAsia="Calibri" w:hAnsi="Arial" w:cs="Arial"/>
          <w:lang w:eastAsia="en-US"/>
        </w:rPr>
        <w:t>Muzeji i galerije Konavala</w:t>
      </w:r>
      <w:r>
        <w:rPr>
          <w:rFonts w:ascii="Arial" w:eastAsia="Calibri" w:hAnsi="Arial" w:cs="Arial"/>
          <w:lang w:eastAsia="en-US"/>
        </w:rPr>
        <w:t xml:space="preserve"> 3.979,00 € i </w:t>
      </w:r>
      <w:r w:rsidRPr="003A2F86">
        <w:rPr>
          <w:rFonts w:ascii="Arial" w:eastAsia="Calibri" w:hAnsi="Arial" w:cs="Arial"/>
          <w:lang w:eastAsia="en-US"/>
        </w:rPr>
        <w:t>Dom za starije i nemoćne osobe</w:t>
      </w:r>
      <w:r>
        <w:rPr>
          <w:rFonts w:ascii="Arial" w:eastAsia="Calibri" w:hAnsi="Arial" w:cs="Arial"/>
          <w:lang w:eastAsia="en-US"/>
        </w:rPr>
        <w:t xml:space="preserve"> 283,6 €, </w:t>
      </w:r>
    </w:p>
    <w:p w14:paraId="4C674D33" w14:textId="78B5DC45" w:rsidR="00891119" w:rsidRPr="003A2F86" w:rsidRDefault="00891119" w:rsidP="00891119">
      <w:pPr>
        <w:autoSpaceDE w:val="0"/>
        <w:autoSpaceDN w:val="0"/>
        <w:adjustRightInd w:val="0"/>
        <w:spacing w:after="0" w:line="240" w:lineRule="auto"/>
        <w:jc w:val="both"/>
        <w:rPr>
          <w:rFonts w:ascii="Arial" w:eastAsia="Calibri" w:hAnsi="Arial" w:cs="Arial"/>
          <w:lang w:eastAsia="en-US"/>
        </w:rPr>
      </w:pPr>
      <w:r w:rsidRPr="003A2F86">
        <w:rPr>
          <w:rFonts w:ascii="Arial" w:eastAsia="Calibri" w:hAnsi="Arial" w:cs="Arial"/>
          <w:lang w:eastAsia="en-US"/>
        </w:rPr>
        <w:t xml:space="preserve">- </w:t>
      </w:r>
      <w:r w:rsidR="004309F8" w:rsidRPr="003A2F86">
        <w:rPr>
          <w:rFonts w:ascii="Arial" w:eastAsia="Calibri" w:hAnsi="Arial" w:cs="Arial"/>
          <w:lang w:eastAsia="en-US"/>
        </w:rPr>
        <w:t xml:space="preserve">ostali </w:t>
      </w:r>
      <w:r w:rsidRPr="003A2F86">
        <w:rPr>
          <w:rFonts w:ascii="Arial" w:eastAsia="Calibri" w:hAnsi="Arial" w:cs="Arial"/>
          <w:lang w:eastAsia="en-US"/>
        </w:rPr>
        <w:t xml:space="preserve">prihodi </w:t>
      </w:r>
      <w:r w:rsidR="00943155" w:rsidRPr="003A2F86">
        <w:rPr>
          <w:rFonts w:ascii="Arial" w:eastAsia="Calibri" w:hAnsi="Arial" w:cs="Arial"/>
          <w:lang w:eastAsia="en-US"/>
        </w:rPr>
        <w:t xml:space="preserve">(683) </w:t>
      </w:r>
      <w:r w:rsidRPr="003A2F86">
        <w:rPr>
          <w:rFonts w:ascii="Arial" w:eastAsia="Calibri" w:hAnsi="Arial" w:cs="Arial"/>
          <w:lang w:eastAsia="en-US"/>
        </w:rPr>
        <w:t xml:space="preserve">u iznosu </w:t>
      </w:r>
      <w:r w:rsidR="007241A9">
        <w:rPr>
          <w:rFonts w:ascii="Arial" w:eastAsia="Calibri" w:hAnsi="Arial" w:cs="Arial"/>
          <w:lang w:eastAsia="en-US"/>
        </w:rPr>
        <w:t>759,43</w:t>
      </w:r>
      <w:r w:rsidR="009F445F" w:rsidRPr="003A2F86">
        <w:rPr>
          <w:rFonts w:ascii="Arial" w:eastAsia="Calibri" w:hAnsi="Arial" w:cs="Arial"/>
          <w:lang w:eastAsia="en-US"/>
        </w:rPr>
        <w:t xml:space="preserve"> €</w:t>
      </w:r>
      <w:r w:rsidRPr="003A2F86">
        <w:rPr>
          <w:rFonts w:ascii="Arial" w:eastAsia="Calibri" w:hAnsi="Arial" w:cs="Arial"/>
          <w:lang w:eastAsia="en-US"/>
        </w:rPr>
        <w:t xml:space="preserve"> i to: Dom za starij</w:t>
      </w:r>
      <w:r w:rsidR="00741066" w:rsidRPr="003A2F86">
        <w:rPr>
          <w:rFonts w:ascii="Arial" w:eastAsia="Calibri" w:hAnsi="Arial" w:cs="Arial"/>
          <w:lang w:eastAsia="en-US"/>
        </w:rPr>
        <w:t>e i nemoćne osobe</w:t>
      </w:r>
      <w:r w:rsidR="00D06194" w:rsidRPr="003A2F86">
        <w:rPr>
          <w:rFonts w:ascii="Arial" w:eastAsia="Calibri" w:hAnsi="Arial" w:cs="Arial"/>
          <w:lang w:eastAsia="en-US"/>
        </w:rPr>
        <w:t>.</w:t>
      </w:r>
    </w:p>
    <w:p w14:paraId="32098A40" w14:textId="77777777" w:rsidR="00891119" w:rsidRPr="003A2F86" w:rsidRDefault="00891119" w:rsidP="00891119">
      <w:pPr>
        <w:autoSpaceDE w:val="0"/>
        <w:autoSpaceDN w:val="0"/>
        <w:adjustRightInd w:val="0"/>
        <w:spacing w:after="0" w:line="240" w:lineRule="auto"/>
        <w:jc w:val="both"/>
        <w:rPr>
          <w:rFonts w:ascii="Arial" w:eastAsia="Calibri" w:hAnsi="Arial" w:cs="Arial"/>
          <w:lang w:eastAsia="en-US"/>
        </w:rPr>
      </w:pPr>
    </w:p>
    <w:p w14:paraId="3309823B" w14:textId="7BEEBF36" w:rsidR="00891119" w:rsidRPr="003A2F86" w:rsidRDefault="00891119" w:rsidP="00891119">
      <w:pPr>
        <w:autoSpaceDE w:val="0"/>
        <w:autoSpaceDN w:val="0"/>
        <w:adjustRightInd w:val="0"/>
        <w:spacing w:after="0" w:line="240" w:lineRule="auto"/>
        <w:jc w:val="both"/>
        <w:rPr>
          <w:rFonts w:ascii="Arial" w:eastAsia="Calibri" w:hAnsi="Arial" w:cs="Arial"/>
          <w:lang w:eastAsia="en-US"/>
        </w:rPr>
      </w:pPr>
      <w:r w:rsidRPr="003A2F86">
        <w:rPr>
          <w:rFonts w:ascii="Arial" w:eastAsia="Calibri" w:hAnsi="Arial" w:cs="Arial"/>
          <w:i/>
          <w:lang w:eastAsia="en-US"/>
        </w:rPr>
        <w:t>Prihodi iz nadležnog proračuna Općine Konavle za financiranje redovne djelatnosti četiri proračunska korisnika</w:t>
      </w:r>
      <w:r w:rsidRPr="003A2F86">
        <w:rPr>
          <w:rFonts w:ascii="Arial" w:eastAsia="Calibri" w:hAnsi="Arial" w:cs="Arial"/>
          <w:lang w:eastAsia="en-US"/>
        </w:rPr>
        <w:t xml:space="preserve"> (671) izvršeni su u ukupnom iznosu </w:t>
      </w:r>
      <w:r w:rsidR="007241A9">
        <w:rPr>
          <w:rFonts w:ascii="Arial" w:eastAsia="Calibri" w:hAnsi="Arial" w:cs="Arial"/>
          <w:b/>
          <w:bCs/>
          <w:lang w:eastAsia="en-US"/>
        </w:rPr>
        <w:t>4.593.804,88</w:t>
      </w:r>
      <w:r w:rsidR="009F445F" w:rsidRPr="003A2F86">
        <w:rPr>
          <w:rFonts w:ascii="Arial" w:eastAsia="Calibri" w:hAnsi="Arial" w:cs="Arial"/>
          <w:b/>
          <w:bCs/>
          <w:lang w:eastAsia="en-US"/>
        </w:rPr>
        <w:t xml:space="preserve"> €</w:t>
      </w:r>
      <w:r w:rsidRPr="003A2F86">
        <w:rPr>
          <w:rFonts w:ascii="Arial" w:eastAsia="Calibri" w:hAnsi="Arial" w:cs="Arial"/>
          <w:lang w:eastAsia="en-US"/>
        </w:rPr>
        <w:t xml:space="preserve"> (financijskim izvještajima Općine, razina 22, navedeni prijenosi su iskazani na računu 367 – prijenosi proračunskim korisnicima za financiranje redovne djelatnosti</w:t>
      </w:r>
      <w:r w:rsidR="00560934" w:rsidRPr="003A2F86">
        <w:rPr>
          <w:rFonts w:ascii="Arial" w:eastAsia="Calibri" w:hAnsi="Arial" w:cs="Arial"/>
          <w:lang w:eastAsia="en-US"/>
        </w:rPr>
        <w:t>)</w:t>
      </w:r>
      <w:r w:rsidRPr="003A2F86">
        <w:rPr>
          <w:rFonts w:ascii="Arial" w:eastAsia="Calibri" w:hAnsi="Arial" w:cs="Arial"/>
          <w:lang w:eastAsia="en-US"/>
        </w:rPr>
        <w:t xml:space="preserve">. </w:t>
      </w:r>
    </w:p>
    <w:bookmarkEnd w:id="43"/>
    <w:p w14:paraId="0ED5E821" w14:textId="77777777" w:rsidR="000B54B6" w:rsidRPr="003A2F86" w:rsidRDefault="000B54B6" w:rsidP="00891119">
      <w:pPr>
        <w:autoSpaceDE w:val="0"/>
        <w:autoSpaceDN w:val="0"/>
        <w:adjustRightInd w:val="0"/>
        <w:spacing w:after="0" w:line="240" w:lineRule="auto"/>
        <w:jc w:val="both"/>
        <w:rPr>
          <w:rFonts w:ascii="Arial" w:eastAsia="Calibri" w:hAnsi="Arial" w:cs="Arial"/>
          <w:lang w:eastAsia="en-US"/>
        </w:rPr>
      </w:pPr>
    </w:p>
    <w:p w14:paraId="56DACED3" w14:textId="6D40592D" w:rsidR="002171BD" w:rsidRPr="003A2F86" w:rsidRDefault="00602E49" w:rsidP="002171BD">
      <w:pPr>
        <w:pStyle w:val="Opisslike"/>
        <w:keepNext/>
      </w:pPr>
      <w:bookmarkStart w:id="44" w:name="_Toc232981533"/>
      <w:r w:rsidRPr="003A2F86">
        <w:rPr>
          <w:color w:val="FF0000"/>
        </w:rPr>
        <w:t xml:space="preserve">Tablica </w:t>
      </w:r>
      <w:r w:rsidR="002A3DE2" w:rsidRPr="003A2F86">
        <w:rPr>
          <w:color w:val="FF0000"/>
        </w:rPr>
        <w:fldChar w:fldCharType="begin"/>
      </w:r>
      <w:r w:rsidR="002A3DE2" w:rsidRPr="003A2F86">
        <w:rPr>
          <w:color w:val="FF0000"/>
        </w:rPr>
        <w:instrText xml:space="preserve"> SEQ Tablica \* ARABIC </w:instrText>
      </w:r>
      <w:r w:rsidR="002A3DE2" w:rsidRPr="003A2F86">
        <w:rPr>
          <w:color w:val="FF0000"/>
        </w:rPr>
        <w:fldChar w:fldCharType="separate"/>
      </w:r>
      <w:r w:rsidR="00A821D8">
        <w:rPr>
          <w:noProof/>
          <w:color w:val="FF0000"/>
        </w:rPr>
        <w:t>14</w:t>
      </w:r>
      <w:r w:rsidR="002A3DE2" w:rsidRPr="003A2F86">
        <w:rPr>
          <w:color w:val="FF0000"/>
        </w:rPr>
        <w:fldChar w:fldCharType="end"/>
      </w:r>
      <w:r w:rsidRPr="003A2F86">
        <w:t xml:space="preserve">.: </w:t>
      </w:r>
      <w:r w:rsidR="00FB2837" w:rsidRPr="003A2F86">
        <w:rPr>
          <w:rFonts w:ascii="Arial" w:eastAsia="Calibri" w:hAnsi="Arial" w:cs="Arial"/>
        </w:rPr>
        <w:t xml:space="preserve">Rekapitulacija </w:t>
      </w:r>
      <w:r w:rsidR="00FB2837" w:rsidRPr="003A2F86">
        <w:rPr>
          <w:rFonts w:ascii="Arial" w:eastAsia="Calibri" w:hAnsi="Arial" w:cs="Arial"/>
          <w:u w:val="single"/>
        </w:rPr>
        <w:t>prihoda</w:t>
      </w:r>
      <w:r w:rsidR="00FB2837" w:rsidRPr="003A2F86">
        <w:rPr>
          <w:rFonts w:ascii="Arial" w:eastAsia="Calibri" w:hAnsi="Arial" w:cs="Arial"/>
        </w:rPr>
        <w:t xml:space="preserve"> </w:t>
      </w:r>
      <w:r w:rsidR="00FB2837" w:rsidRPr="003A2F86">
        <w:rPr>
          <w:rFonts w:ascii="Arial" w:eastAsia="Calibri" w:hAnsi="Arial" w:cs="Arial"/>
          <w:color w:val="C0504D" w:themeColor="accent2"/>
        </w:rPr>
        <w:t xml:space="preserve">proračunskih korisnika </w:t>
      </w:r>
      <w:r w:rsidR="00FB2837" w:rsidRPr="003A2F86">
        <w:rPr>
          <w:rFonts w:ascii="Arial" w:eastAsia="Calibri" w:hAnsi="Arial" w:cs="Arial"/>
        </w:rPr>
        <w:t xml:space="preserve">u </w:t>
      </w:r>
      <w:r w:rsidR="00741066" w:rsidRPr="003A2F86">
        <w:rPr>
          <w:rFonts w:ascii="Arial" w:eastAsia="Calibri" w:hAnsi="Arial" w:cs="Arial"/>
        </w:rPr>
        <w:t>202</w:t>
      </w:r>
      <w:r w:rsidR="00A41C77">
        <w:rPr>
          <w:rFonts w:ascii="Arial" w:eastAsia="Calibri" w:hAnsi="Arial" w:cs="Arial"/>
        </w:rPr>
        <w:t>5</w:t>
      </w:r>
      <w:r w:rsidR="00FB2837" w:rsidRPr="003A2F86">
        <w:rPr>
          <w:rFonts w:ascii="Arial" w:eastAsia="Calibri" w:hAnsi="Arial" w:cs="Arial"/>
        </w:rPr>
        <w:t>. po izvorima financiranja</w:t>
      </w:r>
      <w:r w:rsidR="007B469E" w:rsidRPr="003A2F86">
        <w:rPr>
          <w:rFonts w:ascii="Arial" w:eastAsia="Calibri" w:hAnsi="Arial" w:cs="Arial"/>
        </w:rPr>
        <w:t xml:space="preserve"> (€)</w:t>
      </w:r>
      <w:r w:rsidR="002171BD" w:rsidRPr="003A2F86">
        <w:rPr>
          <w:rFonts w:ascii="Arial" w:eastAsia="Calibri" w:hAnsi="Arial" w:cs="Arial"/>
        </w:rPr>
        <w:t xml:space="preserve"> – prihodi iz općinskog proračuna i vlastiti prihodi</w:t>
      </w:r>
      <w:bookmarkEnd w:id="44"/>
    </w:p>
    <w:p w14:paraId="682CDA23" w14:textId="77777777" w:rsidR="00B21CA6" w:rsidRPr="003A2F86" w:rsidRDefault="00B21CA6" w:rsidP="00CC25F5">
      <w:pPr>
        <w:autoSpaceDE w:val="0"/>
        <w:autoSpaceDN w:val="0"/>
        <w:adjustRightInd w:val="0"/>
        <w:spacing w:after="0" w:line="240" w:lineRule="auto"/>
        <w:jc w:val="both"/>
        <w:rPr>
          <w:rFonts w:ascii="Arial" w:eastAsia="Times New Roman" w:hAnsi="Arial" w:cs="Arial"/>
          <w:bCs/>
          <w:sz w:val="18"/>
          <w:szCs w:val="16"/>
          <w:lang w:eastAsia="en-US"/>
        </w:rPr>
      </w:pPr>
    </w:p>
    <w:p w14:paraId="111D1633" w14:textId="040101B0" w:rsidR="00852E6C" w:rsidRDefault="00852E6C" w:rsidP="00852E6C">
      <w:pPr>
        <w:autoSpaceDE w:val="0"/>
        <w:autoSpaceDN w:val="0"/>
        <w:adjustRightInd w:val="0"/>
        <w:spacing w:after="0" w:line="240" w:lineRule="auto"/>
        <w:jc w:val="center"/>
        <w:rPr>
          <w:rFonts w:ascii="Arial" w:eastAsia="Times New Roman" w:hAnsi="Arial" w:cs="Arial"/>
          <w:b/>
          <w:i/>
          <w:iCs/>
          <w:sz w:val="18"/>
          <w:szCs w:val="16"/>
          <w:u w:val="single"/>
          <w:lang w:eastAsia="en-US"/>
        </w:rPr>
      </w:pPr>
      <w:r w:rsidRPr="00852E6C">
        <w:rPr>
          <w:noProof/>
        </w:rPr>
        <w:drawing>
          <wp:inline distT="0" distB="0" distL="0" distR="0" wp14:anchorId="1EE57C2C" wp14:editId="4E7BF208">
            <wp:extent cx="7578725" cy="1126490"/>
            <wp:effectExtent l="0" t="0" r="3175" b="0"/>
            <wp:docPr id="683134758"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578725" cy="1126490"/>
                    </a:xfrm>
                    <a:prstGeom prst="rect">
                      <a:avLst/>
                    </a:prstGeom>
                    <a:noFill/>
                    <a:ln>
                      <a:noFill/>
                    </a:ln>
                  </pic:spPr>
                </pic:pic>
              </a:graphicData>
            </a:graphic>
          </wp:inline>
        </w:drawing>
      </w:r>
    </w:p>
    <w:p w14:paraId="3F9DF69E" w14:textId="1B185FBA" w:rsidR="00CC25F5" w:rsidRPr="002340D1" w:rsidRDefault="00CC25F5" w:rsidP="00CC25F5">
      <w:pPr>
        <w:autoSpaceDE w:val="0"/>
        <w:autoSpaceDN w:val="0"/>
        <w:adjustRightInd w:val="0"/>
        <w:spacing w:after="0" w:line="240" w:lineRule="auto"/>
        <w:jc w:val="both"/>
        <w:rPr>
          <w:rFonts w:ascii="Arial" w:eastAsia="Times New Roman" w:hAnsi="Arial" w:cs="Arial"/>
          <w:b/>
          <w:i/>
          <w:iCs/>
          <w:sz w:val="18"/>
          <w:szCs w:val="16"/>
          <w:u w:val="single"/>
          <w:lang w:eastAsia="en-US"/>
        </w:rPr>
      </w:pPr>
      <w:r w:rsidRPr="002340D1">
        <w:rPr>
          <w:rFonts w:ascii="Arial" w:eastAsia="Times New Roman" w:hAnsi="Arial" w:cs="Arial"/>
          <w:b/>
          <w:i/>
          <w:iCs/>
          <w:sz w:val="18"/>
          <w:szCs w:val="16"/>
          <w:u w:val="single"/>
          <w:lang w:eastAsia="en-US"/>
        </w:rPr>
        <w:t>Obrazloženje izračuna:</w:t>
      </w:r>
    </w:p>
    <w:p w14:paraId="7DC73550" w14:textId="27496649" w:rsidR="00CC25F5" w:rsidRPr="002340D1" w:rsidRDefault="00CC25F5" w:rsidP="00CC25F5">
      <w:pPr>
        <w:autoSpaceDE w:val="0"/>
        <w:autoSpaceDN w:val="0"/>
        <w:adjustRightInd w:val="0"/>
        <w:spacing w:after="0" w:line="240" w:lineRule="auto"/>
        <w:jc w:val="both"/>
        <w:rPr>
          <w:rFonts w:ascii="Arial" w:eastAsia="Times New Roman" w:hAnsi="Arial" w:cs="Arial"/>
          <w:iCs/>
          <w:sz w:val="18"/>
          <w:szCs w:val="16"/>
          <w:lang w:eastAsia="en-US"/>
        </w:rPr>
      </w:pPr>
      <w:r w:rsidRPr="002340D1">
        <w:rPr>
          <w:rFonts w:ascii="Arial" w:eastAsia="Times New Roman" w:hAnsi="Arial" w:cs="Arial"/>
          <w:b/>
          <w:iCs/>
          <w:sz w:val="18"/>
          <w:szCs w:val="16"/>
          <w:lang w:eastAsia="en-US"/>
        </w:rPr>
        <w:t xml:space="preserve">* ukupni prihodi PK iznose </w:t>
      </w:r>
      <w:r w:rsidR="00852E6C">
        <w:rPr>
          <w:rFonts w:ascii="Arial" w:eastAsia="Times New Roman" w:hAnsi="Arial" w:cs="Arial"/>
          <w:b/>
          <w:iCs/>
          <w:sz w:val="18"/>
          <w:szCs w:val="16"/>
          <w:lang w:eastAsia="en-US"/>
        </w:rPr>
        <w:t>6.250.933,96</w:t>
      </w:r>
      <w:r w:rsidR="009F445F" w:rsidRPr="002340D1">
        <w:rPr>
          <w:rFonts w:ascii="Arial" w:eastAsia="Times New Roman" w:hAnsi="Arial" w:cs="Arial"/>
          <w:b/>
          <w:iCs/>
          <w:sz w:val="18"/>
          <w:szCs w:val="16"/>
          <w:lang w:eastAsia="en-US"/>
        </w:rPr>
        <w:t xml:space="preserve"> €</w:t>
      </w:r>
      <w:r w:rsidRPr="002340D1">
        <w:rPr>
          <w:rFonts w:ascii="Arial" w:eastAsia="Times New Roman" w:hAnsi="Arial" w:cs="Arial"/>
          <w:iCs/>
          <w:sz w:val="18"/>
          <w:szCs w:val="16"/>
          <w:lang w:eastAsia="en-US"/>
        </w:rPr>
        <w:t xml:space="preserve"> i sastoje se od prihoda iz općinskog proračuna </w:t>
      </w:r>
      <w:r w:rsidR="00852E6C">
        <w:rPr>
          <w:rFonts w:ascii="Arial" w:eastAsia="Times New Roman" w:hAnsi="Arial" w:cs="Arial"/>
          <w:iCs/>
          <w:sz w:val="18"/>
          <w:szCs w:val="16"/>
          <w:lang w:eastAsia="en-US"/>
        </w:rPr>
        <w:t>4.593.804,88</w:t>
      </w:r>
      <w:r w:rsidR="009F445F" w:rsidRPr="002340D1">
        <w:rPr>
          <w:rFonts w:ascii="Arial" w:eastAsia="Times New Roman" w:hAnsi="Arial" w:cs="Arial"/>
          <w:iCs/>
          <w:sz w:val="18"/>
          <w:szCs w:val="16"/>
          <w:lang w:eastAsia="en-US"/>
        </w:rPr>
        <w:t xml:space="preserve"> €</w:t>
      </w:r>
      <w:r w:rsidRPr="002340D1">
        <w:rPr>
          <w:rFonts w:ascii="Arial" w:eastAsia="Times New Roman" w:hAnsi="Arial" w:cs="Arial"/>
          <w:iCs/>
          <w:sz w:val="18"/>
          <w:szCs w:val="16"/>
          <w:lang w:eastAsia="en-US"/>
        </w:rPr>
        <w:t xml:space="preserve"> i ostvarenih vlastitih prihoda </w:t>
      </w:r>
      <w:r w:rsidR="00852E6C">
        <w:rPr>
          <w:rFonts w:ascii="Arial" w:eastAsia="Times New Roman" w:hAnsi="Arial" w:cs="Arial"/>
          <w:iCs/>
          <w:sz w:val="18"/>
          <w:szCs w:val="16"/>
          <w:lang w:eastAsia="en-US"/>
        </w:rPr>
        <w:t>1.657.129,08</w:t>
      </w:r>
      <w:r w:rsidR="009F445F" w:rsidRPr="002340D1">
        <w:rPr>
          <w:rFonts w:ascii="Arial" w:eastAsia="Times New Roman" w:hAnsi="Arial" w:cs="Arial"/>
          <w:iCs/>
          <w:sz w:val="18"/>
          <w:szCs w:val="16"/>
          <w:lang w:eastAsia="en-US"/>
        </w:rPr>
        <w:t xml:space="preserve"> €</w:t>
      </w:r>
    </w:p>
    <w:p w14:paraId="5E553F03" w14:textId="700D1DDE" w:rsidR="00CC25F5" w:rsidRPr="002340D1" w:rsidRDefault="00CC25F5" w:rsidP="00CC25F5">
      <w:pPr>
        <w:autoSpaceDE w:val="0"/>
        <w:autoSpaceDN w:val="0"/>
        <w:adjustRightInd w:val="0"/>
        <w:spacing w:after="0" w:line="240" w:lineRule="auto"/>
        <w:jc w:val="both"/>
        <w:rPr>
          <w:rFonts w:ascii="Arial" w:eastAsia="Times New Roman" w:hAnsi="Arial" w:cs="Arial"/>
          <w:iCs/>
          <w:sz w:val="18"/>
          <w:szCs w:val="16"/>
          <w:lang w:eastAsia="en-US"/>
        </w:rPr>
      </w:pPr>
      <w:r w:rsidRPr="002340D1">
        <w:rPr>
          <w:rFonts w:ascii="Arial" w:eastAsia="Times New Roman" w:hAnsi="Arial" w:cs="Arial"/>
          <w:iCs/>
          <w:sz w:val="18"/>
          <w:szCs w:val="16"/>
          <w:lang w:eastAsia="en-US"/>
        </w:rPr>
        <w:t xml:space="preserve">* </w:t>
      </w:r>
      <w:r w:rsidRPr="002340D1">
        <w:rPr>
          <w:rFonts w:ascii="Arial" w:eastAsia="Times New Roman" w:hAnsi="Arial" w:cs="Arial"/>
          <w:b/>
          <w:iCs/>
          <w:sz w:val="18"/>
          <w:szCs w:val="16"/>
          <w:lang w:eastAsia="en-US"/>
        </w:rPr>
        <w:t xml:space="preserve">prihodi iz općinskog proračuna u iznosu </w:t>
      </w:r>
      <w:r w:rsidR="00852E6C">
        <w:rPr>
          <w:rFonts w:ascii="Arial" w:eastAsia="Times New Roman" w:hAnsi="Arial" w:cs="Arial"/>
          <w:b/>
          <w:iCs/>
          <w:sz w:val="18"/>
          <w:szCs w:val="16"/>
          <w:lang w:eastAsia="en-US"/>
        </w:rPr>
        <w:t>4.593.804,88</w:t>
      </w:r>
      <w:r w:rsidR="009F445F" w:rsidRPr="002340D1">
        <w:rPr>
          <w:rFonts w:ascii="Arial" w:eastAsia="Times New Roman" w:hAnsi="Arial" w:cs="Arial"/>
          <w:b/>
          <w:iCs/>
          <w:sz w:val="18"/>
          <w:szCs w:val="16"/>
          <w:lang w:eastAsia="en-US"/>
        </w:rPr>
        <w:t xml:space="preserve"> €</w:t>
      </w:r>
      <w:r w:rsidRPr="002340D1">
        <w:rPr>
          <w:rFonts w:ascii="Arial" w:eastAsia="Times New Roman" w:hAnsi="Arial" w:cs="Arial"/>
          <w:iCs/>
          <w:sz w:val="18"/>
          <w:szCs w:val="16"/>
          <w:lang w:eastAsia="en-US"/>
        </w:rPr>
        <w:t xml:space="preserve"> sastoje se od </w:t>
      </w:r>
      <w:r w:rsidR="0059620A" w:rsidRPr="002340D1">
        <w:rPr>
          <w:rFonts w:ascii="Arial" w:eastAsia="Times New Roman" w:hAnsi="Arial" w:cs="Arial"/>
          <w:iCs/>
          <w:sz w:val="18"/>
          <w:szCs w:val="16"/>
          <w:lang w:eastAsia="en-US"/>
        </w:rPr>
        <w:t>399.744,71</w:t>
      </w:r>
      <w:r w:rsidR="008118F9" w:rsidRPr="002340D1">
        <w:rPr>
          <w:rFonts w:ascii="Arial" w:eastAsia="Times New Roman" w:hAnsi="Arial" w:cs="Arial"/>
          <w:iCs/>
          <w:sz w:val="18"/>
          <w:szCs w:val="16"/>
          <w:lang w:eastAsia="en-US"/>
        </w:rPr>
        <w:t xml:space="preserve"> €</w:t>
      </w:r>
      <w:r w:rsidRPr="002340D1">
        <w:rPr>
          <w:rFonts w:ascii="Arial" w:eastAsia="Times New Roman" w:hAnsi="Arial" w:cs="Arial"/>
          <w:iCs/>
          <w:sz w:val="18"/>
          <w:szCs w:val="16"/>
          <w:lang w:eastAsia="en-US"/>
        </w:rPr>
        <w:t xml:space="preserve"> koje su PK ostvarili u 202</w:t>
      </w:r>
      <w:r w:rsidR="0059620A" w:rsidRPr="002340D1">
        <w:rPr>
          <w:rFonts w:ascii="Arial" w:eastAsia="Times New Roman" w:hAnsi="Arial" w:cs="Arial"/>
          <w:iCs/>
          <w:sz w:val="18"/>
          <w:szCs w:val="16"/>
          <w:lang w:eastAsia="en-US"/>
        </w:rPr>
        <w:t>5</w:t>
      </w:r>
      <w:r w:rsidRPr="002340D1">
        <w:rPr>
          <w:rFonts w:ascii="Arial" w:eastAsia="Times New Roman" w:hAnsi="Arial" w:cs="Arial"/>
          <w:iCs/>
          <w:sz w:val="18"/>
          <w:szCs w:val="16"/>
          <w:lang w:eastAsia="en-US"/>
        </w:rPr>
        <w:t>. (odnose se na podmirene obveze proračunskih korisnika iz 202</w:t>
      </w:r>
      <w:r w:rsidR="0059620A" w:rsidRPr="002340D1">
        <w:rPr>
          <w:rFonts w:ascii="Arial" w:eastAsia="Times New Roman" w:hAnsi="Arial" w:cs="Arial"/>
          <w:iCs/>
          <w:sz w:val="18"/>
          <w:szCs w:val="16"/>
          <w:lang w:eastAsia="en-US"/>
        </w:rPr>
        <w:t>4</w:t>
      </w:r>
      <w:r w:rsidRPr="002340D1">
        <w:rPr>
          <w:rFonts w:ascii="Arial" w:eastAsia="Times New Roman" w:hAnsi="Arial" w:cs="Arial"/>
          <w:iCs/>
          <w:sz w:val="18"/>
          <w:szCs w:val="16"/>
          <w:lang w:eastAsia="en-US"/>
        </w:rPr>
        <w:t xml:space="preserve">. kojima je izvor financiranja bio općinski proračun), te od sredstava u iznosu </w:t>
      </w:r>
      <w:r w:rsidR="00653C8D">
        <w:rPr>
          <w:rFonts w:ascii="Arial" w:eastAsia="Times New Roman" w:hAnsi="Arial" w:cs="Arial"/>
          <w:iCs/>
          <w:sz w:val="18"/>
          <w:szCs w:val="16"/>
          <w:lang w:eastAsia="en-US"/>
        </w:rPr>
        <w:t>4.194.060,17</w:t>
      </w:r>
      <w:r w:rsidR="00370A7B" w:rsidRPr="002340D1">
        <w:rPr>
          <w:rFonts w:ascii="Arial" w:eastAsia="Times New Roman" w:hAnsi="Arial" w:cs="Arial"/>
          <w:iCs/>
          <w:sz w:val="18"/>
          <w:szCs w:val="16"/>
          <w:lang w:eastAsia="en-US"/>
        </w:rPr>
        <w:t xml:space="preserve"> €</w:t>
      </w:r>
      <w:r w:rsidRPr="002340D1">
        <w:rPr>
          <w:rFonts w:ascii="Arial" w:eastAsia="Times New Roman" w:hAnsi="Arial" w:cs="Arial"/>
          <w:iCs/>
          <w:sz w:val="18"/>
          <w:szCs w:val="16"/>
          <w:lang w:eastAsia="en-US"/>
        </w:rPr>
        <w:t xml:space="preserve"> (podmirene obveze po rashodima za 202</w:t>
      </w:r>
      <w:r w:rsidR="002340D1" w:rsidRPr="002340D1">
        <w:rPr>
          <w:rFonts w:ascii="Arial" w:eastAsia="Times New Roman" w:hAnsi="Arial" w:cs="Arial"/>
          <w:iCs/>
          <w:sz w:val="18"/>
          <w:szCs w:val="16"/>
          <w:lang w:eastAsia="en-US"/>
        </w:rPr>
        <w:t>5</w:t>
      </w:r>
      <w:r w:rsidRPr="002340D1">
        <w:rPr>
          <w:rFonts w:ascii="Arial" w:eastAsia="Times New Roman" w:hAnsi="Arial" w:cs="Arial"/>
          <w:iCs/>
          <w:sz w:val="18"/>
          <w:szCs w:val="16"/>
          <w:lang w:eastAsia="en-US"/>
        </w:rPr>
        <w:t>.</w:t>
      </w:r>
      <w:r w:rsidR="00744D0C">
        <w:rPr>
          <w:rFonts w:ascii="Arial" w:eastAsia="Times New Roman" w:hAnsi="Arial" w:cs="Arial"/>
          <w:iCs/>
          <w:sz w:val="18"/>
          <w:szCs w:val="16"/>
          <w:lang w:eastAsia="en-US"/>
        </w:rPr>
        <w:t xml:space="preserve"> </w:t>
      </w:r>
      <w:r w:rsidRPr="002340D1">
        <w:rPr>
          <w:rFonts w:ascii="Arial" w:eastAsia="Times New Roman" w:hAnsi="Arial" w:cs="Arial"/>
          <w:iCs/>
          <w:sz w:val="18"/>
          <w:szCs w:val="16"/>
          <w:lang w:eastAsia="en-US"/>
        </w:rPr>
        <w:t>godinu, dok neplaćene obveze po rashodima PK koje imaju evidentiran izvor financiranja općinski proračun koncem 202</w:t>
      </w:r>
      <w:r w:rsidR="002340D1" w:rsidRPr="002340D1">
        <w:rPr>
          <w:rFonts w:ascii="Arial" w:eastAsia="Times New Roman" w:hAnsi="Arial" w:cs="Arial"/>
          <w:iCs/>
          <w:sz w:val="18"/>
          <w:szCs w:val="16"/>
          <w:lang w:eastAsia="en-US"/>
        </w:rPr>
        <w:t>5</w:t>
      </w:r>
      <w:r w:rsidRPr="002340D1">
        <w:rPr>
          <w:rFonts w:ascii="Arial" w:eastAsia="Times New Roman" w:hAnsi="Arial" w:cs="Arial"/>
          <w:iCs/>
          <w:sz w:val="18"/>
          <w:szCs w:val="16"/>
          <w:lang w:eastAsia="en-US"/>
        </w:rPr>
        <w:t xml:space="preserve">. godine iznose </w:t>
      </w:r>
      <w:r w:rsidR="00653C8D">
        <w:rPr>
          <w:rFonts w:ascii="Arial" w:eastAsia="Times New Roman" w:hAnsi="Arial" w:cs="Arial"/>
          <w:iCs/>
          <w:sz w:val="18"/>
          <w:szCs w:val="16"/>
          <w:lang w:eastAsia="en-US"/>
        </w:rPr>
        <w:t>427.041,85</w:t>
      </w:r>
      <w:r w:rsidR="00370A7B" w:rsidRPr="002340D1">
        <w:rPr>
          <w:rFonts w:ascii="Arial" w:eastAsia="Times New Roman" w:hAnsi="Arial" w:cs="Arial"/>
          <w:iCs/>
          <w:sz w:val="18"/>
          <w:szCs w:val="16"/>
          <w:lang w:eastAsia="en-US"/>
        </w:rPr>
        <w:t xml:space="preserve"> €</w:t>
      </w:r>
      <w:r w:rsidRPr="002340D1">
        <w:rPr>
          <w:rFonts w:ascii="Arial" w:eastAsia="Times New Roman" w:hAnsi="Arial" w:cs="Arial"/>
          <w:iCs/>
          <w:sz w:val="18"/>
          <w:szCs w:val="16"/>
          <w:lang w:eastAsia="en-US"/>
        </w:rPr>
        <w:t xml:space="preserve"> i biti će prihod u 202</w:t>
      </w:r>
      <w:r w:rsidR="00653C8D">
        <w:rPr>
          <w:rFonts w:ascii="Arial" w:eastAsia="Times New Roman" w:hAnsi="Arial" w:cs="Arial"/>
          <w:iCs/>
          <w:sz w:val="18"/>
          <w:szCs w:val="16"/>
          <w:lang w:eastAsia="en-US"/>
        </w:rPr>
        <w:t>6</w:t>
      </w:r>
      <w:r w:rsidRPr="002340D1">
        <w:rPr>
          <w:rFonts w:ascii="Arial" w:eastAsia="Times New Roman" w:hAnsi="Arial" w:cs="Arial"/>
          <w:iCs/>
          <w:sz w:val="18"/>
          <w:szCs w:val="16"/>
          <w:lang w:eastAsia="en-US"/>
        </w:rPr>
        <w:t>.g.)</w:t>
      </w:r>
    </w:p>
    <w:p w14:paraId="23CA6EDD" w14:textId="77777777" w:rsidR="00D81A4F" w:rsidRPr="002340D1" w:rsidRDefault="00D81A4F" w:rsidP="00891119">
      <w:pPr>
        <w:autoSpaceDE w:val="0"/>
        <w:autoSpaceDN w:val="0"/>
        <w:adjustRightInd w:val="0"/>
        <w:spacing w:after="0" w:line="240" w:lineRule="auto"/>
        <w:jc w:val="both"/>
        <w:rPr>
          <w:rFonts w:ascii="Arial" w:eastAsia="Calibri" w:hAnsi="Arial" w:cs="Arial"/>
          <w:bCs/>
          <w:lang w:eastAsia="en-US"/>
        </w:rPr>
      </w:pPr>
    </w:p>
    <w:p w14:paraId="0A065465" w14:textId="1ED59D4B" w:rsidR="00132A37" w:rsidRPr="003A2F86" w:rsidRDefault="00132A37" w:rsidP="00891119">
      <w:pPr>
        <w:autoSpaceDE w:val="0"/>
        <w:autoSpaceDN w:val="0"/>
        <w:adjustRightInd w:val="0"/>
        <w:spacing w:after="0" w:line="240" w:lineRule="auto"/>
        <w:jc w:val="both"/>
        <w:rPr>
          <w:rFonts w:ascii="Arial" w:eastAsia="Calibri" w:hAnsi="Arial" w:cs="Arial"/>
          <w:bCs/>
          <w:lang w:eastAsia="en-US"/>
        </w:rPr>
      </w:pPr>
    </w:p>
    <w:p w14:paraId="3E6DCD09" w14:textId="77777777" w:rsidR="003E02DB" w:rsidRPr="003A2F86" w:rsidRDefault="003E02DB" w:rsidP="00891119">
      <w:pPr>
        <w:autoSpaceDE w:val="0"/>
        <w:autoSpaceDN w:val="0"/>
        <w:adjustRightInd w:val="0"/>
        <w:spacing w:after="0" w:line="240" w:lineRule="auto"/>
        <w:jc w:val="both"/>
        <w:rPr>
          <w:rFonts w:ascii="Arial" w:eastAsia="Calibri" w:hAnsi="Arial" w:cs="Arial"/>
          <w:bCs/>
          <w:lang w:eastAsia="en-US"/>
        </w:rPr>
      </w:pPr>
    </w:p>
    <w:p w14:paraId="632D2FFD" w14:textId="77777777" w:rsidR="00F4016F" w:rsidRPr="003A2F86" w:rsidRDefault="00F4016F" w:rsidP="00891119">
      <w:pPr>
        <w:autoSpaceDE w:val="0"/>
        <w:autoSpaceDN w:val="0"/>
        <w:adjustRightInd w:val="0"/>
        <w:spacing w:after="0" w:line="240" w:lineRule="auto"/>
        <w:jc w:val="both"/>
        <w:rPr>
          <w:rFonts w:ascii="Arial" w:eastAsia="Calibri" w:hAnsi="Arial" w:cs="Arial"/>
          <w:bCs/>
          <w:lang w:eastAsia="en-US"/>
        </w:rPr>
      </w:pPr>
    </w:p>
    <w:p w14:paraId="10F33003" w14:textId="77777777" w:rsidR="003E02DB" w:rsidRPr="003A2F86" w:rsidRDefault="003E02DB" w:rsidP="00891119">
      <w:pPr>
        <w:autoSpaceDE w:val="0"/>
        <w:autoSpaceDN w:val="0"/>
        <w:adjustRightInd w:val="0"/>
        <w:spacing w:after="0" w:line="240" w:lineRule="auto"/>
        <w:jc w:val="both"/>
        <w:rPr>
          <w:rFonts w:ascii="Arial" w:eastAsia="Calibri" w:hAnsi="Arial" w:cs="Arial"/>
          <w:bCs/>
          <w:lang w:eastAsia="en-US"/>
        </w:rPr>
      </w:pPr>
    </w:p>
    <w:p w14:paraId="6EF75103" w14:textId="77777777" w:rsidR="00D94411" w:rsidRPr="003A2F86" w:rsidRDefault="00D94411" w:rsidP="00891119">
      <w:pPr>
        <w:autoSpaceDE w:val="0"/>
        <w:autoSpaceDN w:val="0"/>
        <w:adjustRightInd w:val="0"/>
        <w:spacing w:after="0" w:line="240" w:lineRule="auto"/>
        <w:jc w:val="both"/>
        <w:rPr>
          <w:rFonts w:ascii="Arial" w:eastAsia="Calibri" w:hAnsi="Arial" w:cs="Arial"/>
          <w:bCs/>
          <w:lang w:eastAsia="en-US"/>
        </w:rPr>
      </w:pPr>
    </w:p>
    <w:p w14:paraId="12EEBBAB" w14:textId="77777777" w:rsidR="00D94411" w:rsidRDefault="00D94411" w:rsidP="00891119">
      <w:pPr>
        <w:autoSpaceDE w:val="0"/>
        <w:autoSpaceDN w:val="0"/>
        <w:adjustRightInd w:val="0"/>
        <w:spacing w:after="0" w:line="240" w:lineRule="auto"/>
        <w:jc w:val="both"/>
        <w:rPr>
          <w:rFonts w:ascii="Arial" w:eastAsia="Calibri" w:hAnsi="Arial" w:cs="Arial"/>
          <w:bCs/>
          <w:lang w:eastAsia="en-US"/>
        </w:rPr>
      </w:pPr>
    </w:p>
    <w:p w14:paraId="2AE373D3" w14:textId="77777777" w:rsidR="002340D1" w:rsidRDefault="002340D1" w:rsidP="00891119">
      <w:pPr>
        <w:autoSpaceDE w:val="0"/>
        <w:autoSpaceDN w:val="0"/>
        <w:adjustRightInd w:val="0"/>
        <w:spacing w:after="0" w:line="240" w:lineRule="auto"/>
        <w:jc w:val="both"/>
        <w:rPr>
          <w:rFonts w:ascii="Arial" w:eastAsia="Calibri" w:hAnsi="Arial" w:cs="Arial"/>
          <w:bCs/>
          <w:lang w:eastAsia="en-US"/>
        </w:rPr>
      </w:pPr>
    </w:p>
    <w:p w14:paraId="797C977A" w14:textId="77777777" w:rsidR="002340D1" w:rsidRDefault="002340D1" w:rsidP="00891119">
      <w:pPr>
        <w:autoSpaceDE w:val="0"/>
        <w:autoSpaceDN w:val="0"/>
        <w:adjustRightInd w:val="0"/>
        <w:spacing w:after="0" w:line="240" w:lineRule="auto"/>
        <w:jc w:val="both"/>
        <w:rPr>
          <w:rFonts w:ascii="Arial" w:eastAsia="Calibri" w:hAnsi="Arial" w:cs="Arial"/>
          <w:bCs/>
          <w:lang w:eastAsia="en-US"/>
        </w:rPr>
      </w:pPr>
    </w:p>
    <w:p w14:paraId="20A12742" w14:textId="77777777" w:rsidR="002340D1" w:rsidRDefault="002340D1" w:rsidP="00891119">
      <w:pPr>
        <w:autoSpaceDE w:val="0"/>
        <w:autoSpaceDN w:val="0"/>
        <w:adjustRightInd w:val="0"/>
        <w:spacing w:after="0" w:line="240" w:lineRule="auto"/>
        <w:jc w:val="both"/>
        <w:rPr>
          <w:rFonts w:ascii="Arial" w:eastAsia="Calibri" w:hAnsi="Arial" w:cs="Arial"/>
          <w:bCs/>
          <w:lang w:eastAsia="en-US"/>
        </w:rPr>
      </w:pPr>
    </w:p>
    <w:p w14:paraId="7FFB37B2" w14:textId="77777777" w:rsidR="002340D1" w:rsidRPr="003A2F86" w:rsidRDefault="002340D1" w:rsidP="00891119">
      <w:pPr>
        <w:autoSpaceDE w:val="0"/>
        <w:autoSpaceDN w:val="0"/>
        <w:adjustRightInd w:val="0"/>
        <w:spacing w:after="0" w:line="240" w:lineRule="auto"/>
        <w:jc w:val="both"/>
        <w:rPr>
          <w:rFonts w:ascii="Arial" w:eastAsia="Calibri" w:hAnsi="Arial" w:cs="Arial"/>
          <w:bCs/>
          <w:lang w:eastAsia="en-US"/>
        </w:rPr>
      </w:pPr>
    </w:p>
    <w:p w14:paraId="4EE3EB15" w14:textId="77777777" w:rsidR="00D94411" w:rsidRPr="003A2F86" w:rsidRDefault="00D94411" w:rsidP="00891119">
      <w:pPr>
        <w:autoSpaceDE w:val="0"/>
        <w:autoSpaceDN w:val="0"/>
        <w:adjustRightInd w:val="0"/>
        <w:spacing w:after="0" w:line="240" w:lineRule="auto"/>
        <w:jc w:val="both"/>
        <w:rPr>
          <w:rFonts w:ascii="Arial" w:eastAsia="Calibri" w:hAnsi="Arial" w:cs="Arial"/>
          <w:bCs/>
          <w:lang w:eastAsia="en-US"/>
        </w:rPr>
      </w:pPr>
    </w:p>
    <w:p w14:paraId="0E524ECE" w14:textId="77777777" w:rsidR="003E02DB" w:rsidRPr="003A2F86" w:rsidRDefault="003E02DB" w:rsidP="00891119">
      <w:pPr>
        <w:autoSpaceDE w:val="0"/>
        <w:autoSpaceDN w:val="0"/>
        <w:adjustRightInd w:val="0"/>
        <w:spacing w:after="0" w:line="240" w:lineRule="auto"/>
        <w:jc w:val="both"/>
        <w:rPr>
          <w:rFonts w:ascii="Arial" w:eastAsia="Calibri" w:hAnsi="Arial" w:cs="Arial"/>
          <w:bCs/>
          <w:lang w:eastAsia="en-US"/>
        </w:rPr>
      </w:pPr>
    </w:p>
    <w:p w14:paraId="266C2FA0" w14:textId="77777777" w:rsidR="003E02DB" w:rsidRPr="003A2F86" w:rsidRDefault="003E02DB" w:rsidP="00891119">
      <w:pPr>
        <w:autoSpaceDE w:val="0"/>
        <w:autoSpaceDN w:val="0"/>
        <w:adjustRightInd w:val="0"/>
        <w:spacing w:after="0" w:line="240" w:lineRule="auto"/>
        <w:jc w:val="both"/>
        <w:rPr>
          <w:rFonts w:ascii="Arial" w:eastAsia="Calibri" w:hAnsi="Arial" w:cs="Arial"/>
          <w:bCs/>
          <w:lang w:eastAsia="en-US"/>
        </w:rPr>
      </w:pPr>
    </w:p>
    <w:p w14:paraId="210DA73A" w14:textId="77777777" w:rsidR="003E02DB" w:rsidRPr="003A2F86" w:rsidRDefault="003E02DB" w:rsidP="003E02DB">
      <w:pPr>
        <w:autoSpaceDE w:val="0"/>
        <w:autoSpaceDN w:val="0"/>
        <w:adjustRightInd w:val="0"/>
        <w:spacing w:after="0" w:line="240" w:lineRule="auto"/>
        <w:jc w:val="both"/>
        <w:rPr>
          <w:rFonts w:ascii="Arial" w:eastAsia="Calibri" w:hAnsi="Arial" w:cs="Arial"/>
          <w:lang w:eastAsia="en-US"/>
        </w:rPr>
      </w:pPr>
    </w:p>
    <w:p w14:paraId="6BFE774B" w14:textId="77777777" w:rsidR="003E02DB" w:rsidRPr="003A2F86" w:rsidRDefault="003E02DB" w:rsidP="003E02DB">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U sljedećoj tablici dani su usporedni podaci na razini podskupine prihoda i primitaka Općine Konavle i to:</w:t>
      </w:r>
    </w:p>
    <w:p w14:paraId="1C336BDD" w14:textId="6A6ABC2B" w:rsidR="003E02DB" w:rsidRPr="003A2F86" w:rsidRDefault="003E02DB" w:rsidP="003E02DB">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(3a) ostvareno za razdoblje od I-</w:t>
      </w:r>
      <w:r w:rsidR="00653C8D">
        <w:rPr>
          <w:rFonts w:ascii="Arial" w:eastAsia="Times New Roman" w:hAnsi="Arial" w:cs="Arial"/>
          <w:iCs/>
          <w:lang w:eastAsia="en-US"/>
        </w:rPr>
        <w:t>XI</w:t>
      </w:r>
      <w:r w:rsidR="002340D1">
        <w:rPr>
          <w:rFonts w:ascii="Arial" w:eastAsia="Times New Roman" w:hAnsi="Arial" w:cs="Arial"/>
          <w:iCs/>
          <w:lang w:eastAsia="en-US"/>
        </w:rPr>
        <w:t>I</w:t>
      </w:r>
      <w:r w:rsidRPr="003A2F86">
        <w:rPr>
          <w:rFonts w:ascii="Arial" w:eastAsia="Times New Roman" w:hAnsi="Arial" w:cs="Arial"/>
          <w:iCs/>
          <w:lang w:eastAsia="en-US"/>
        </w:rPr>
        <w:t xml:space="preserve"> 202</w:t>
      </w:r>
      <w:r w:rsidR="002340D1">
        <w:rPr>
          <w:rFonts w:ascii="Arial" w:eastAsia="Times New Roman" w:hAnsi="Arial" w:cs="Arial"/>
          <w:iCs/>
          <w:lang w:eastAsia="en-US"/>
        </w:rPr>
        <w:t>4</w:t>
      </w:r>
      <w:r w:rsidRPr="003A2F86">
        <w:rPr>
          <w:rFonts w:ascii="Arial" w:eastAsia="Times New Roman" w:hAnsi="Arial" w:cs="Arial"/>
          <w:iCs/>
          <w:lang w:eastAsia="en-US"/>
        </w:rPr>
        <w:t xml:space="preserve">. (bez vlastitih i namjenskih prihoda proračunskih korisnika, financijski izvještaji razina 22), </w:t>
      </w:r>
    </w:p>
    <w:p w14:paraId="7BBDBB3F" w14:textId="53DDE332" w:rsidR="003E02DB" w:rsidRPr="003A2F86" w:rsidRDefault="003E02DB" w:rsidP="003E02DB">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(3b) ostvareno za razdoblje od I-</w:t>
      </w:r>
      <w:r w:rsidR="00653C8D">
        <w:rPr>
          <w:rFonts w:ascii="Arial" w:eastAsia="Times New Roman" w:hAnsi="Arial" w:cs="Arial"/>
          <w:iCs/>
          <w:lang w:eastAsia="en-US"/>
        </w:rPr>
        <w:t>XI</w:t>
      </w:r>
      <w:r w:rsidR="002340D1">
        <w:rPr>
          <w:rFonts w:ascii="Arial" w:eastAsia="Times New Roman" w:hAnsi="Arial" w:cs="Arial"/>
          <w:iCs/>
          <w:lang w:eastAsia="en-US"/>
        </w:rPr>
        <w:t>I</w:t>
      </w:r>
      <w:r w:rsidRPr="003A2F86">
        <w:rPr>
          <w:rFonts w:ascii="Arial" w:eastAsia="Times New Roman" w:hAnsi="Arial" w:cs="Arial"/>
          <w:iCs/>
          <w:lang w:eastAsia="en-US"/>
        </w:rPr>
        <w:t xml:space="preserve"> 202</w:t>
      </w:r>
      <w:r w:rsidR="002340D1">
        <w:rPr>
          <w:rFonts w:ascii="Arial" w:eastAsia="Times New Roman" w:hAnsi="Arial" w:cs="Arial"/>
          <w:iCs/>
          <w:lang w:eastAsia="en-US"/>
        </w:rPr>
        <w:t>4</w:t>
      </w:r>
      <w:r w:rsidRPr="003A2F86">
        <w:rPr>
          <w:rFonts w:ascii="Arial" w:eastAsia="Times New Roman" w:hAnsi="Arial" w:cs="Arial"/>
          <w:iCs/>
          <w:lang w:eastAsia="en-US"/>
        </w:rPr>
        <w:t xml:space="preserve">. g. (s vlastitim i namjenskim prihodima proračunskih korisnika, financijski izvještaji razina 23), </w:t>
      </w:r>
    </w:p>
    <w:p w14:paraId="38C56868" w14:textId="1D6BA11A" w:rsidR="003E02DB" w:rsidRPr="003A2F86" w:rsidRDefault="003E02DB" w:rsidP="003E02DB">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 (4) </w:t>
      </w:r>
      <w:r w:rsidR="002340D1">
        <w:rPr>
          <w:rFonts w:ascii="Arial" w:eastAsia="Times New Roman" w:hAnsi="Arial" w:cs="Arial"/>
          <w:iCs/>
          <w:lang w:eastAsia="en-US"/>
        </w:rPr>
        <w:t xml:space="preserve">plan </w:t>
      </w:r>
      <w:r w:rsidRPr="003A2F86">
        <w:rPr>
          <w:rFonts w:ascii="Arial" w:eastAsia="Times New Roman" w:hAnsi="Arial" w:cs="Arial"/>
          <w:iCs/>
          <w:lang w:eastAsia="en-US"/>
        </w:rPr>
        <w:t>za 202</w:t>
      </w:r>
      <w:r w:rsidR="002340D1">
        <w:rPr>
          <w:rFonts w:ascii="Arial" w:eastAsia="Times New Roman" w:hAnsi="Arial" w:cs="Arial"/>
          <w:iCs/>
          <w:lang w:eastAsia="en-US"/>
        </w:rPr>
        <w:t>5</w:t>
      </w:r>
      <w:r w:rsidRPr="003A2F86">
        <w:rPr>
          <w:rFonts w:ascii="Arial" w:eastAsia="Times New Roman" w:hAnsi="Arial" w:cs="Arial"/>
          <w:iCs/>
          <w:lang w:eastAsia="en-US"/>
        </w:rPr>
        <w:t xml:space="preserve">. (u izvještajnom razdoblju je bilo preraspodjela), </w:t>
      </w:r>
    </w:p>
    <w:p w14:paraId="084335D3" w14:textId="2B6A7DCD" w:rsidR="003E02DB" w:rsidRPr="003A2F86" w:rsidRDefault="003E02DB" w:rsidP="003E02DB">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(5a) ostvareno za razdoblje I-</w:t>
      </w:r>
      <w:r w:rsidR="00653C8D">
        <w:rPr>
          <w:rFonts w:ascii="Arial" w:eastAsia="Times New Roman" w:hAnsi="Arial" w:cs="Arial"/>
          <w:iCs/>
          <w:lang w:eastAsia="en-US"/>
        </w:rPr>
        <w:t>XI</w:t>
      </w:r>
      <w:r w:rsidR="002340D1">
        <w:rPr>
          <w:rFonts w:ascii="Arial" w:eastAsia="Times New Roman" w:hAnsi="Arial" w:cs="Arial"/>
          <w:iCs/>
          <w:lang w:eastAsia="en-US"/>
        </w:rPr>
        <w:t>I</w:t>
      </w:r>
      <w:r w:rsidRPr="003A2F86">
        <w:rPr>
          <w:rFonts w:ascii="Arial" w:eastAsia="Times New Roman" w:hAnsi="Arial" w:cs="Arial"/>
          <w:iCs/>
          <w:lang w:eastAsia="en-US"/>
        </w:rPr>
        <w:t xml:space="preserve"> 202</w:t>
      </w:r>
      <w:r w:rsidR="002340D1">
        <w:rPr>
          <w:rFonts w:ascii="Arial" w:eastAsia="Times New Roman" w:hAnsi="Arial" w:cs="Arial"/>
          <w:iCs/>
          <w:lang w:eastAsia="en-US"/>
        </w:rPr>
        <w:t>5</w:t>
      </w:r>
      <w:r w:rsidRPr="003A2F86">
        <w:rPr>
          <w:rFonts w:ascii="Arial" w:eastAsia="Times New Roman" w:hAnsi="Arial" w:cs="Arial"/>
          <w:iCs/>
          <w:lang w:eastAsia="en-US"/>
        </w:rPr>
        <w:t xml:space="preserve">. (bez vlastitih i namjenskih prihoda proračunskih korisnika financijski izvještaji razina 22), </w:t>
      </w:r>
    </w:p>
    <w:p w14:paraId="1574A38A" w14:textId="5273DDEF" w:rsidR="003E02DB" w:rsidRPr="003A2F86" w:rsidRDefault="003E02DB" w:rsidP="003E02DB">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(5b) ostvareno za razdoblje I-</w:t>
      </w:r>
      <w:r w:rsidR="00653C8D">
        <w:rPr>
          <w:rFonts w:ascii="Arial" w:eastAsia="Times New Roman" w:hAnsi="Arial" w:cs="Arial"/>
          <w:iCs/>
          <w:lang w:eastAsia="en-US"/>
        </w:rPr>
        <w:t>XI</w:t>
      </w:r>
      <w:r w:rsidR="002340D1">
        <w:rPr>
          <w:rFonts w:ascii="Arial" w:eastAsia="Times New Roman" w:hAnsi="Arial" w:cs="Arial"/>
          <w:iCs/>
          <w:lang w:eastAsia="en-US"/>
        </w:rPr>
        <w:t>I</w:t>
      </w:r>
      <w:r w:rsidRPr="003A2F86">
        <w:rPr>
          <w:rFonts w:ascii="Arial" w:eastAsia="Times New Roman" w:hAnsi="Arial" w:cs="Arial"/>
          <w:iCs/>
          <w:lang w:eastAsia="en-US"/>
        </w:rPr>
        <w:t xml:space="preserve"> 202</w:t>
      </w:r>
      <w:r w:rsidR="002340D1">
        <w:rPr>
          <w:rFonts w:ascii="Arial" w:eastAsia="Times New Roman" w:hAnsi="Arial" w:cs="Arial"/>
          <w:iCs/>
          <w:lang w:eastAsia="en-US"/>
        </w:rPr>
        <w:t>5</w:t>
      </w:r>
      <w:r w:rsidRPr="003A2F86">
        <w:rPr>
          <w:rFonts w:ascii="Arial" w:eastAsia="Times New Roman" w:hAnsi="Arial" w:cs="Arial"/>
          <w:iCs/>
          <w:lang w:eastAsia="en-US"/>
        </w:rPr>
        <w:t>. (s vlastitim i namjenskim prihodima proračunskih korisnika, financijski izvještaji razina 23),</w:t>
      </w:r>
    </w:p>
    <w:p w14:paraId="36B2AE57" w14:textId="7DDF915E" w:rsidR="003E02DB" w:rsidRPr="003A2F86" w:rsidRDefault="003E02DB" w:rsidP="003E02DB">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(5c) ostvareno za razdoblje I-</w:t>
      </w:r>
      <w:r w:rsidR="00653C8D">
        <w:rPr>
          <w:rFonts w:ascii="Arial" w:eastAsia="Times New Roman" w:hAnsi="Arial" w:cs="Arial"/>
          <w:iCs/>
          <w:lang w:eastAsia="en-US"/>
        </w:rPr>
        <w:t>XI</w:t>
      </w:r>
      <w:r w:rsidR="002340D1">
        <w:rPr>
          <w:rFonts w:ascii="Arial" w:eastAsia="Times New Roman" w:hAnsi="Arial" w:cs="Arial"/>
          <w:iCs/>
          <w:lang w:eastAsia="en-US"/>
        </w:rPr>
        <w:t>I</w:t>
      </w:r>
      <w:r w:rsidRPr="003A2F86">
        <w:rPr>
          <w:rFonts w:ascii="Arial" w:eastAsia="Times New Roman" w:hAnsi="Arial" w:cs="Arial"/>
          <w:iCs/>
          <w:lang w:eastAsia="en-US"/>
        </w:rPr>
        <w:t xml:space="preserve"> 202</w:t>
      </w:r>
      <w:r w:rsidR="002340D1">
        <w:rPr>
          <w:rFonts w:ascii="Arial" w:eastAsia="Times New Roman" w:hAnsi="Arial" w:cs="Arial"/>
          <w:iCs/>
          <w:lang w:eastAsia="en-US"/>
        </w:rPr>
        <w:t>5</w:t>
      </w:r>
      <w:r w:rsidRPr="003A2F86">
        <w:rPr>
          <w:rFonts w:ascii="Arial" w:eastAsia="Times New Roman" w:hAnsi="Arial" w:cs="Arial"/>
          <w:iCs/>
          <w:lang w:eastAsia="en-US"/>
        </w:rPr>
        <w:t xml:space="preserve">. – vlastiti i namjenski prihodi proračunskih korisnika, </w:t>
      </w:r>
    </w:p>
    <w:p w14:paraId="7FD704D6" w14:textId="4E0756B2" w:rsidR="003E02DB" w:rsidRPr="003A2F86" w:rsidRDefault="003E02DB" w:rsidP="003E02DB">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(6a) indeks ostvarenja za izvještajno razdoblje u odnosu na ostvarenje za izvještajno razdoblje prethodne godine i to prihodi i primici za 202</w:t>
      </w:r>
      <w:r w:rsidR="002340D1">
        <w:rPr>
          <w:rFonts w:ascii="Arial" w:eastAsia="Times New Roman" w:hAnsi="Arial" w:cs="Arial"/>
          <w:iCs/>
          <w:lang w:eastAsia="en-US"/>
        </w:rPr>
        <w:t>5</w:t>
      </w:r>
      <w:r w:rsidRPr="003A2F86">
        <w:rPr>
          <w:rFonts w:ascii="Arial" w:eastAsia="Times New Roman" w:hAnsi="Arial" w:cs="Arial"/>
          <w:iCs/>
          <w:lang w:eastAsia="en-US"/>
        </w:rPr>
        <w:t>. razina 22 (stupac 5a) u odnosu na prihode i primitke za 202</w:t>
      </w:r>
      <w:r w:rsidR="002340D1">
        <w:rPr>
          <w:rFonts w:ascii="Arial" w:eastAsia="Times New Roman" w:hAnsi="Arial" w:cs="Arial"/>
          <w:iCs/>
          <w:lang w:eastAsia="en-US"/>
        </w:rPr>
        <w:t>4</w:t>
      </w:r>
      <w:r w:rsidRPr="003A2F86">
        <w:rPr>
          <w:rFonts w:ascii="Arial" w:eastAsia="Times New Roman" w:hAnsi="Arial" w:cs="Arial"/>
          <w:iCs/>
          <w:lang w:eastAsia="en-US"/>
        </w:rPr>
        <w:t>. razina 22 (stupac 3a),</w:t>
      </w:r>
    </w:p>
    <w:p w14:paraId="76E17FA6" w14:textId="2FC1C37C" w:rsidR="003E02DB" w:rsidRPr="003A2F86" w:rsidRDefault="003E02DB" w:rsidP="003E02DB">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(6b) indeks ostvarenja za izvještajno razdoblje u odnosu na ostvarenje za izvještajno razdoblje prethodne godine i to prihodi i primici za 202</w:t>
      </w:r>
      <w:r w:rsidR="002340D1">
        <w:rPr>
          <w:rFonts w:ascii="Arial" w:eastAsia="Times New Roman" w:hAnsi="Arial" w:cs="Arial"/>
          <w:iCs/>
          <w:lang w:eastAsia="en-US"/>
        </w:rPr>
        <w:t>5</w:t>
      </w:r>
      <w:r w:rsidRPr="003A2F86">
        <w:rPr>
          <w:rFonts w:ascii="Arial" w:eastAsia="Times New Roman" w:hAnsi="Arial" w:cs="Arial"/>
          <w:iCs/>
          <w:lang w:eastAsia="en-US"/>
        </w:rPr>
        <w:t>. razina 23 (stupac 5b) u odnosu na prihode i primitke za 202</w:t>
      </w:r>
      <w:r w:rsidR="002340D1">
        <w:rPr>
          <w:rFonts w:ascii="Arial" w:eastAsia="Times New Roman" w:hAnsi="Arial" w:cs="Arial"/>
          <w:iCs/>
          <w:lang w:eastAsia="en-US"/>
        </w:rPr>
        <w:t>4</w:t>
      </w:r>
      <w:r w:rsidRPr="003A2F86">
        <w:rPr>
          <w:rFonts w:ascii="Arial" w:eastAsia="Times New Roman" w:hAnsi="Arial" w:cs="Arial"/>
          <w:iCs/>
          <w:lang w:eastAsia="en-US"/>
        </w:rPr>
        <w:t>. razina 23 (stupac 3b),</w:t>
      </w:r>
    </w:p>
    <w:p w14:paraId="43EAF186" w14:textId="78E73533" w:rsidR="003E02DB" w:rsidRPr="003A2F86" w:rsidRDefault="003E02DB" w:rsidP="003E02DB">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(7) indeks ostvarenja za izvještajno razdoblje 202</w:t>
      </w:r>
      <w:r w:rsidR="002340D1">
        <w:rPr>
          <w:rFonts w:ascii="Arial" w:eastAsia="Times New Roman" w:hAnsi="Arial" w:cs="Arial"/>
          <w:iCs/>
          <w:lang w:eastAsia="en-US"/>
        </w:rPr>
        <w:t>5</w:t>
      </w:r>
      <w:r w:rsidRPr="003A2F86">
        <w:rPr>
          <w:rFonts w:ascii="Arial" w:eastAsia="Times New Roman" w:hAnsi="Arial" w:cs="Arial"/>
          <w:iCs/>
          <w:lang w:eastAsia="en-US"/>
        </w:rPr>
        <w:t xml:space="preserve">. razina 23 (stupac 5b) u odnosu na </w:t>
      </w:r>
      <w:r w:rsidR="002340D1">
        <w:rPr>
          <w:rFonts w:ascii="Arial" w:eastAsia="Times New Roman" w:hAnsi="Arial" w:cs="Arial"/>
          <w:iCs/>
          <w:lang w:eastAsia="en-US"/>
        </w:rPr>
        <w:t>plan</w:t>
      </w:r>
      <w:r w:rsidRPr="003A2F86">
        <w:rPr>
          <w:rFonts w:ascii="Arial" w:eastAsia="Times New Roman" w:hAnsi="Arial" w:cs="Arial"/>
          <w:iCs/>
          <w:lang w:eastAsia="en-US"/>
        </w:rPr>
        <w:t xml:space="preserve"> 202</w:t>
      </w:r>
      <w:r w:rsidR="002340D1">
        <w:rPr>
          <w:rFonts w:ascii="Arial" w:eastAsia="Times New Roman" w:hAnsi="Arial" w:cs="Arial"/>
          <w:iCs/>
          <w:lang w:eastAsia="en-US"/>
        </w:rPr>
        <w:t>5</w:t>
      </w:r>
      <w:r w:rsidRPr="003A2F86">
        <w:rPr>
          <w:rFonts w:ascii="Arial" w:eastAsia="Times New Roman" w:hAnsi="Arial" w:cs="Arial"/>
          <w:iCs/>
          <w:lang w:eastAsia="en-US"/>
        </w:rPr>
        <w:t xml:space="preserve">. (stupac 4), te </w:t>
      </w:r>
    </w:p>
    <w:p w14:paraId="27408303" w14:textId="2E1BFFD2" w:rsidR="003E02DB" w:rsidRPr="003A2F86" w:rsidRDefault="003E02DB" w:rsidP="003E02DB">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(8) postotak učešća pojedinačno ostvarenih prihoda i primitaka (razina 23) u izvještajnom razdoblju 202</w:t>
      </w:r>
      <w:r w:rsidR="002340D1">
        <w:rPr>
          <w:rFonts w:ascii="Arial" w:eastAsia="Times New Roman" w:hAnsi="Arial" w:cs="Arial"/>
          <w:iCs/>
          <w:lang w:eastAsia="en-US"/>
        </w:rPr>
        <w:t>5</w:t>
      </w:r>
      <w:r w:rsidRPr="003A2F86">
        <w:rPr>
          <w:rFonts w:ascii="Arial" w:eastAsia="Times New Roman" w:hAnsi="Arial" w:cs="Arial"/>
          <w:iCs/>
          <w:lang w:eastAsia="en-US"/>
        </w:rPr>
        <w:t>. (stupac 5b) u ukupno ostvarenim prihodima i primicima za 202</w:t>
      </w:r>
      <w:r w:rsidR="002340D1">
        <w:rPr>
          <w:rFonts w:ascii="Arial" w:eastAsia="Times New Roman" w:hAnsi="Arial" w:cs="Arial"/>
          <w:iCs/>
          <w:lang w:eastAsia="en-US"/>
        </w:rPr>
        <w:t>5</w:t>
      </w:r>
      <w:r w:rsidRPr="003A2F86">
        <w:rPr>
          <w:rFonts w:ascii="Arial" w:eastAsia="Times New Roman" w:hAnsi="Arial" w:cs="Arial"/>
          <w:iCs/>
          <w:lang w:eastAsia="en-US"/>
        </w:rPr>
        <w:t>. (stupac 5b)</w:t>
      </w:r>
    </w:p>
    <w:p w14:paraId="70EEE20E" w14:textId="77777777" w:rsidR="003E02DB" w:rsidRPr="003A2F86" w:rsidRDefault="003E02DB" w:rsidP="003E02DB">
      <w:pPr>
        <w:spacing w:after="0" w:line="240" w:lineRule="auto"/>
        <w:jc w:val="both"/>
        <w:rPr>
          <w:rFonts w:ascii="Arial" w:eastAsia="Times New Roman" w:hAnsi="Arial" w:cs="Arial"/>
          <w:iCs/>
          <w:lang w:eastAsia="en-US"/>
        </w:rPr>
      </w:pPr>
    </w:p>
    <w:p w14:paraId="1763165E" w14:textId="77777777" w:rsidR="003E02DB" w:rsidRPr="003A2F86" w:rsidRDefault="003E02DB" w:rsidP="003E02DB">
      <w:pPr>
        <w:spacing w:after="0" w:line="240" w:lineRule="auto"/>
        <w:rPr>
          <w:rFonts w:ascii="Arial" w:eastAsia="Times New Roman" w:hAnsi="Arial" w:cs="Arial"/>
          <w:b/>
          <w:i/>
          <w:iCs/>
          <w:lang w:eastAsia="en-US"/>
        </w:rPr>
      </w:pPr>
      <w:r w:rsidRPr="003A2F86">
        <w:rPr>
          <w:rFonts w:ascii="Arial" w:eastAsia="Times New Roman" w:hAnsi="Arial" w:cs="Arial"/>
          <w:b/>
          <w:i/>
          <w:iCs/>
          <w:lang w:eastAsia="en-US"/>
        </w:rPr>
        <w:t>Napomena uz tablicu koja slijedi:</w:t>
      </w:r>
    </w:p>
    <w:p w14:paraId="4F5DE18C" w14:textId="77777777" w:rsidR="003E02DB" w:rsidRPr="003A2F86" w:rsidRDefault="003E02DB" w:rsidP="003E02DB">
      <w:pPr>
        <w:spacing w:after="0" w:line="240" w:lineRule="auto"/>
        <w:rPr>
          <w:rFonts w:ascii="Arial" w:eastAsia="Times New Roman" w:hAnsi="Arial" w:cs="Arial"/>
          <w:b/>
          <w:iCs/>
          <w:lang w:eastAsia="en-US"/>
        </w:rPr>
      </w:pPr>
    </w:p>
    <w:p w14:paraId="5FA2AA0C" w14:textId="77777777" w:rsidR="003E02DB" w:rsidRPr="003A2F86" w:rsidRDefault="003E02DB" w:rsidP="003E02DB">
      <w:pPr>
        <w:spacing w:after="0" w:line="240" w:lineRule="auto"/>
        <w:jc w:val="both"/>
        <w:rPr>
          <w:rFonts w:ascii="Arial" w:eastAsia="Times New Roman" w:hAnsi="Arial" w:cs="Arial"/>
          <w:iCs/>
          <w:lang w:eastAsia="en-US"/>
        </w:rPr>
      </w:pPr>
      <w:r w:rsidRPr="003A2F86">
        <w:rPr>
          <w:rFonts w:ascii="Arial" w:eastAsia="Times New Roman" w:hAnsi="Arial" w:cs="Arial"/>
          <w:iCs/>
          <w:u w:val="single"/>
          <w:lang w:eastAsia="en-US"/>
        </w:rPr>
        <w:t xml:space="preserve">U izvještaju o izvršenju proračuna </w:t>
      </w:r>
      <w:r w:rsidRPr="003A2F86">
        <w:rPr>
          <w:rFonts w:ascii="Arial" w:eastAsia="Times New Roman" w:hAnsi="Arial" w:cs="Arial"/>
          <w:iCs/>
          <w:lang w:eastAsia="en-US"/>
        </w:rPr>
        <w:t xml:space="preserve">su iskazani prihodi i primici iz stupca 5b, dakle prihodi i primici Općine sa svim prihodima i primicima proračunskih korisnika, financijski izvještaji razina 23. </w:t>
      </w:r>
    </w:p>
    <w:p w14:paraId="7E6287AA" w14:textId="77777777" w:rsidR="003E02DB" w:rsidRPr="003A2F86" w:rsidRDefault="003E02DB" w:rsidP="003E02DB">
      <w:pPr>
        <w:spacing w:after="0" w:line="240" w:lineRule="auto"/>
        <w:jc w:val="both"/>
        <w:rPr>
          <w:rFonts w:ascii="Arial" w:eastAsia="Times New Roman" w:hAnsi="Arial" w:cs="Arial"/>
          <w:iCs/>
          <w:lang w:eastAsia="en-US"/>
        </w:rPr>
      </w:pPr>
    </w:p>
    <w:p w14:paraId="24FB87E2" w14:textId="470AE45C" w:rsidR="003E02DB" w:rsidRPr="003A2F86" w:rsidRDefault="003E02DB" w:rsidP="003E02DB">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Dalje kroz tekst izvještaja navode se </w:t>
      </w:r>
      <w:r w:rsidRPr="003A2F86">
        <w:rPr>
          <w:rFonts w:ascii="Arial" w:eastAsia="Times New Roman" w:hAnsi="Arial" w:cs="Arial"/>
          <w:b/>
          <w:iCs/>
          <w:lang w:eastAsia="en-US"/>
        </w:rPr>
        <w:t>usporedbe</w:t>
      </w:r>
      <w:r w:rsidRPr="003A2F86">
        <w:rPr>
          <w:rFonts w:ascii="Arial" w:eastAsia="Times New Roman" w:hAnsi="Arial" w:cs="Arial"/>
          <w:iCs/>
          <w:lang w:eastAsia="en-US"/>
        </w:rPr>
        <w:t xml:space="preserve"> ostvarenog u 202</w:t>
      </w:r>
      <w:r w:rsidR="00685E7E">
        <w:rPr>
          <w:rFonts w:ascii="Arial" w:eastAsia="Times New Roman" w:hAnsi="Arial" w:cs="Arial"/>
          <w:iCs/>
          <w:lang w:eastAsia="en-US"/>
        </w:rPr>
        <w:t>5</w:t>
      </w:r>
      <w:r w:rsidRPr="003A2F86">
        <w:rPr>
          <w:rFonts w:ascii="Arial" w:eastAsia="Times New Roman" w:hAnsi="Arial" w:cs="Arial"/>
          <w:iCs/>
          <w:lang w:eastAsia="en-US"/>
        </w:rPr>
        <w:t>. (stupac 5 b u tablici) u odnosu na ostvareno u prethodnom proračunskom razdoblju 202</w:t>
      </w:r>
      <w:r w:rsidR="00685E7E">
        <w:rPr>
          <w:rFonts w:ascii="Arial" w:eastAsia="Times New Roman" w:hAnsi="Arial" w:cs="Arial"/>
          <w:iCs/>
          <w:lang w:eastAsia="en-US"/>
        </w:rPr>
        <w:t>4</w:t>
      </w:r>
      <w:r w:rsidRPr="003A2F86">
        <w:rPr>
          <w:rFonts w:ascii="Arial" w:eastAsia="Times New Roman" w:hAnsi="Arial" w:cs="Arial"/>
          <w:iCs/>
          <w:lang w:eastAsia="en-US"/>
        </w:rPr>
        <w:t xml:space="preserve">. godine (stupac 3b u tablici). </w:t>
      </w:r>
    </w:p>
    <w:p w14:paraId="15A61960" w14:textId="77777777" w:rsidR="009346FD" w:rsidRPr="003A2F86" w:rsidRDefault="009346FD" w:rsidP="003E02DB">
      <w:pPr>
        <w:spacing w:after="0" w:line="240" w:lineRule="auto"/>
        <w:rPr>
          <w:rFonts w:ascii="Arial" w:eastAsia="Times New Roman" w:hAnsi="Arial" w:cs="Arial"/>
          <w:iCs/>
          <w:lang w:eastAsia="en-US"/>
        </w:rPr>
      </w:pPr>
    </w:p>
    <w:p w14:paraId="3F5ED584" w14:textId="77777777" w:rsidR="009346FD" w:rsidRPr="003A2F86" w:rsidRDefault="009346FD" w:rsidP="003E02DB">
      <w:pPr>
        <w:spacing w:after="0" w:line="240" w:lineRule="auto"/>
        <w:rPr>
          <w:rFonts w:ascii="Arial" w:eastAsia="Times New Roman" w:hAnsi="Arial" w:cs="Arial"/>
          <w:iCs/>
          <w:lang w:eastAsia="en-US"/>
        </w:rPr>
      </w:pPr>
    </w:p>
    <w:p w14:paraId="5EC3717F" w14:textId="77777777" w:rsidR="009346FD" w:rsidRPr="003A2F86" w:rsidRDefault="009346FD" w:rsidP="003E02DB">
      <w:pPr>
        <w:spacing w:after="0" w:line="240" w:lineRule="auto"/>
        <w:rPr>
          <w:rFonts w:ascii="Arial" w:eastAsia="Times New Roman" w:hAnsi="Arial" w:cs="Arial"/>
          <w:iCs/>
          <w:lang w:eastAsia="en-US"/>
        </w:rPr>
        <w:sectPr w:rsidR="009346FD" w:rsidRPr="003A2F86" w:rsidSect="00A84C90">
          <w:headerReference w:type="default" r:id="rId38"/>
          <w:footerReference w:type="default" r:id="rId39"/>
          <w:type w:val="continuous"/>
          <w:pgSz w:w="16838" w:h="11906" w:orient="landscape" w:code="9"/>
          <w:pgMar w:top="1134" w:right="1134" w:bottom="1134" w:left="1134" w:header="720" w:footer="720" w:gutter="0"/>
          <w:pgNumType w:start="1" w:chapStyle="1"/>
          <w:cols w:space="720"/>
          <w:titlePg/>
          <w:docGrid w:linePitch="272"/>
        </w:sectPr>
      </w:pPr>
    </w:p>
    <w:p w14:paraId="60CC11D4" w14:textId="2E03CAA3" w:rsidR="009346FD" w:rsidRPr="003A2F86" w:rsidRDefault="003E02DB" w:rsidP="009346FD">
      <w:pPr>
        <w:pStyle w:val="Opisslike"/>
        <w:keepNext/>
        <w:jc w:val="both"/>
      </w:pPr>
      <w:bookmarkStart w:id="45" w:name="_Toc232981534"/>
      <w:bookmarkStart w:id="46" w:name="_Hlk17958624"/>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15</w:t>
      </w:r>
      <w:r w:rsidRPr="003A2F86">
        <w:rPr>
          <w:color w:val="FF0000"/>
        </w:rPr>
        <w:fldChar w:fldCharType="end"/>
      </w:r>
      <w:r w:rsidRPr="003A2F86">
        <w:rPr>
          <w:color w:val="FF0000"/>
        </w:rPr>
        <w:t xml:space="preserve">.: </w:t>
      </w:r>
      <w:r w:rsidRPr="003A2F86">
        <w:rPr>
          <w:rFonts w:ascii="Arial" w:hAnsi="Arial" w:cs="Arial"/>
          <w:iCs/>
        </w:rPr>
        <w:t xml:space="preserve">Pregled ostvarenih prihoda i primitaka </w:t>
      </w:r>
      <w:r w:rsidR="00CA3194" w:rsidRPr="003A2F86">
        <w:rPr>
          <w:rFonts w:ascii="Arial" w:hAnsi="Arial" w:cs="Arial"/>
          <w:iCs/>
        </w:rPr>
        <w:t>u</w:t>
      </w:r>
      <w:r w:rsidRPr="003A2F86">
        <w:rPr>
          <w:rFonts w:ascii="Arial" w:hAnsi="Arial" w:cs="Arial"/>
          <w:iCs/>
        </w:rPr>
        <w:t xml:space="preserve"> 202</w:t>
      </w:r>
      <w:r w:rsidR="00685E7E">
        <w:rPr>
          <w:rFonts w:ascii="Arial" w:hAnsi="Arial" w:cs="Arial"/>
          <w:iCs/>
        </w:rPr>
        <w:t>5</w:t>
      </w:r>
      <w:r w:rsidRPr="003A2F86">
        <w:rPr>
          <w:rFonts w:ascii="Arial" w:hAnsi="Arial" w:cs="Arial"/>
          <w:iCs/>
        </w:rPr>
        <w:t>.</w:t>
      </w:r>
      <w:r w:rsidR="007B469E" w:rsidRPr="003A2F86">
        <w:rPr>
          <w:rFonts w:ascii="Arial" w:hAnsi="Arial" w:cs="Arial"/>
          <w:iCs/>
        </w:rPr>
        <w:t xml:space="preserve"> (€)</w:t>
      </w:r>
      <w:r w:rsidRPr="003A2F86">
        <w:rPr>
          <w:rFonts w:ascii="Arial" w:hAnsi="Arial" w:cs="Arial"/>
          <w:iCs/>
        </w:rPr>
        <w:t xml:space="preserve"> te usporedba s ostvarenjem 202</w:t>
      </w:r>
      <w:r w:rsidR="00685E7E">
        <w:rPr>
          <w:rFonts w:ascii="Arial" w:hAnsi="Arial" w:cs="Arial"/>
          <w:iCs/>
        </w:rPr>
        <w:t>4</w:t>
      </w:r>
      <w:r w:rsidRPr="003A2F86">
        <w:rPr>
          <w:rFonts w:ascii="Arial" w:hAnsi="Arial" w:cs="Arial"/>
          <w:iCs/>
        </w:rPr>
        <w:t>. (</w:t>
      </w:r>
      <w:r w:rsidRPr="003A2F86">
        <w:rPr>
          <w:rFonts w:ascii="Arial" w:hAnsi="Arial" w:cs="Arial"/>
          <w:iCs/>
          <w:color w:val="0070C0"/>
        </w:rPr>
        <w:t xml:space="preserve">razina 22 </w:t>
      </w:r>
      <w:r w:rsidRPr="003A2F86">
        <w:rPr>
          <w:rFonts w:ascii="Arial" w:hAnsi="Arial" w:cs="Arial"/>
          <w:iCs/>
        </w:rPr>
        <w:t xml:space="preserve">i </w:t>
      </w:r>
      <w:r w:rsidRPr="003A2F86">
        <w:rPr>
          <w:rFonts w:ascii="Arial" w:hAnsi="Arial" w:cs="Arial"/>
          <w:iCs/>
          <w:color w:val="7030A0"/>
        </w:rPr>
        <w:t>razina 23</w:t>
      </w:r>
      <w:r w:rsidRPr="003A2F86">
        <w:rPr>
          <w:rFonts w:ascii="Arial" w:hAnsi="Arial" w:cs="Arial"/>
          <w:iCs/>
        </w:rPr>
        <w:t>) i planom za 202</w:t>
      </w:r>
      <w:r w:rsidR="00685E7E">
        <w:rPr>
          <w:rFonts w:ascii="Arial" w:hAnsi="Arial" w:cs="Arial"/>
          <w:iCs/>
        </w:rPr>
        <w:t>5</w:t>
      </w:r>
      <w:r w:rsidRPr="003A2F86">
        <w:rPr>
          <w:rFonts w:ascii="Arial" w:hAnsi="Arial" w:cs="Arial"/>
          <w:iCs/>
        </w:rPr>
        <w:t>.</w:t>
      </w:r>
      <w:bookmarkEnd w:id="45"/>
    </w:p>
    <w:p w14:paraId="75B69306" w14:textId="6764AB1B" w:rsidR="009346FD" w:rsidRPr="003A2F86" w:rsidRDefault="009A4D3C" w:rsidP="003868B9">
      <w:pPr>
        <w:jc w:val="center"/>
      </w:pPr>
      <w:r w:rsidRPr="009A4D3C">
        <w:rPr>
          <w:noProof/>
        </w:rPr>
        <w:drawing>
          <wp:inline distT="0" distB="0" distL="0" distR="0" wp14:anchorId="651919CB" wp14:editId="44405F92">
            <wp:extent cx="8905875" cy="5883934"/>
            <wp:effectExtent l="0" t="0" r="0" b="2540"/>
            <wp:docPr id="385558227"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909073" cy="5886047"/>
                    </a:xfrm>
                    <a:prstGeom prst="rect">
                      <a:avLst/>
                    </a:prstGeom>
                    <a:noFill/>
                    <a:ln>
                      <a:noFill/>
                    </a:ln>
                  </pic:spPr>
                </pic:pic>
              </a:graphicData>
            </a:graphic>
          </wp:inline>
        </w:drawing>
      </w:r>
    </w:p>
    <w:p w14:paraId="61E7A909" w14:textId="74BA2386" w:rsidR="009346FD" w:rsidRPr="003A2F86" w:rsidRDefault="009A4D3C" w:rsidP="003868B9">
      <w:pPr>
        <w:jc w:val="center"/>
      </w:pPr>
      <w:r w:rsidRPr="009A4D3C">
        <w:rPr>
          <w:noProof/>
        </w:rPr>
        <w:lastRenderedPageBreak/>
        <w:drawing>
          <wp:inline distT="0" distB="0" distL="0" distR="0" wp14:anchorId="5ADC6F77" wp14:editId="13D8F9D4">
            <wp:extent cx="9341485" cy="4912995"/>
            <wp:effectExtent l="0" t="0" r="0" b="1905"/>
            <wp:docPr id="124581587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41485" cy="4912995"/>
                    </a:xfrm>
                    <a:prstGeom prst="rect">
                      <a:avLst/>
                    </a:prstGeom>
                    <a:noFill/>
                    <a:ln>
                      <a:noFill/>
                    </a:ln>
                  </pic:spPr>
                </pic:pic>
              </a:graphicData>
            </a:graphic>
          </wp:inline>
        </w:drawing>
      </w:r>
    </w:p>
    <w:bookmarkEnd w:id="46"/>
    <w:p w14:paraId="39E494D6" w14:textId="7A047A9E" w:rsidR="003E02DB" w:rsidRDefault="003E02DB" w:rsidP="003E02DB">
      <w:pPr>
        <w:spacing w:after="0" w:line="240" w:lineRule="auto"/>
        <w:jc w:val="center"/>
        <w:rPr>
          <w:noProof/>
        </w:rPr>
      </w:pPr>
    </w:p>
    <w:p w14:paraId="507DFEB3" w14:textId="77777777" w:rsidR="00685E7E" w:rsidRDefault="00685E7E" w:rsidP="003E02DB">
      <w:pPr>
        <w:spacing w:after="0" w:line="240" w:lineRule="auto"/>
        <w:jc w:val="center"/>
        <w:rPr>
          <w:noProof/>
        </w:rPr>
      </w:pPr>
    </w:p>
    <w:p w14:paraId="66A92DFC" w14:textId="77777777" w:rsidR="00685E7E" w:rsidRPr="003A2F86" w:rsidRDefault="00685E7E" w:rsidP="003E02DB">
      <w:pPr>
        <w:spacing w:after="0" w:line="240" w:lineRule="auto"/>
        <w:jc w:val="center"/>
        <w:rPr>
          <w:noProof/>
        </w:rPr>
      </w:pPr>
    </w:p>
    <w:p w14:paraId="596BA914" w14:textId="77777777" w:rsidR="003868B9" w:rsidRPr="003A2F86" w:rsidRDefault="003868B9" w:rsidP="003E02DB">
      <w:pPr>
        <w:spacing w:after="0" w:line="240" w:lineRule="auto"/>
        <w:jc w:val="both"/>
        <w:rPr>
          <w:rFonts w:ascii="Arial" w:eastAsia="Times New Roman" w:hAnsi="Arial" w:cs="Arial"/>
          <w:bCs/>
          <w:lang w:eastAsia="en-US"/>
        </w:rPr>
      </w:pPr>
      <w:bookmarkStart w:id="47" w:name="_Hlk114475560"/>
    </w:p>
    <w:p w14:paraId="539C7DED" w14:textId="31613236" w:rsidR="003E02DB" w:rsidRPr="003A2F86" w:rsidRDefault="003E02DB" w:rsidP="003E02DB">
      <w:pPr>
        <w:spacing w:after="0" w:line="240" w:lineRule="auto"/>
        <w:jc w:val="both"/>
        <w:rPr>
          <w:rFonts w:ascii="Arial" w:eastAsia="Times New Roman" w:hAnsi="Arial" w:cs="Arial"/>
          <w:bCs/>
          <w:lang w:eastAsia="en-US"/>
        </w:rPr>
      </w:pPr>
      <w:r w:rsidRPr="003A2F86">
        <w:rPr>
          <w:rFonts w:ascii="Arial" w:eastAsia="Times New Roman" w:hAnsi="Arial" w:cs="Arial"/>
          <w:bCs/>
          <w:lang w:eastAsia="en-US"/>
        </w:rPr>
        <w:lastRenderedPageBreak/>
        <w:t>Za 202</w:t>
      </w:r>
      <w:r w:rsidR="00685E7E">
        <w:rPr>
          <w:rFonts w:ascii="Arial" w:eastAsia="Times New Roman" w:hAnsi="Arial" w:cs="Arial"/>
          <w:bCs/>
          <w:lang w:eastAsia="en-US"/>
        </w:rPr>
        <w:t>5</w:t>
      </w:r>
      <w:r w:rsidRPr="003A2F86">
        <w:rPr>
          <w:rFonts w:ascii="Arial" w:eastAsia="Times New Roman" w:hAnsi="Arial" w:cs="Arial"/>
          <w:bCs/>
          <w:lang w:eastAsia="en-US"/>
        </w:rPr>
        <w:t xml:space="preserve">. godinu planirani prihodi proračuna iznose </w:t>
      </w:r>
      <w:r w:rsidR="009A4D3C">
        <w:rPr>
          <w:rFonts w:ascii="Arial" w:eastAsia="Times New Roman" w:hAnsi="Arial" w:cs="Arial"/>
          <w:bCs/>
          <w:lang w:eastAsia="en-US"/>
        </w:rPr>
        <w:t>23.832.139</w:t>
      </w:r>
      <w:r w:rsidRPr="003A2F86">
        <w:rPr>
          <w:rFonts w:ascii="Arial" w:eastAsia="Times New Roman" w:hAnsi="Arial" w:cs="Arial"/>
          <w:bCs/>
          <w:lang w:eastAsia="en-US"/>
        </w:rPr>
        <w:t xml:space="preserve"> €, a planirani primici iznose </w:t>
      </w:r>
      <w:r w:rsidR="009A4D3C">
        <w:rPr>
          <w:rFonts w:ascii="Arial" w:eastAsia="Times New Roman" w:hAnsi="Arial" w:cs="Arial"/>
          <w:bCs/>
          <w:lang w:eastAsia="en-US"/>
        </w:rPr>
        <w:t>6.000</w:t>
      </w:r>
      <w:r w:rsidR="003375A8" w:rsidRPr="003A2F86">
        <w:rPr>
          <w:rFonts w:ascii="Arial" w:eastAsia="Times New Roman" w:hAnsi="Arial" w:cs="Arial"/>
          <w:bCs/>
          <w:lang w:eastAsia="en-US"/>
        </w:rPr>
        <w:t>.000</w:t>
      </w:r>
      <w:r w:rsidRPr="003A2F86">
        <w:rPr>
          <w:rFonts w:ascii="Arial" w:eastAsia="Times New Roman" w:hAnsi="Arial" w:cs="Arial"/>
          <w:bCs/>
          <w:lang w:eastAsia="en-US"/>
        </w:rPr>
        <w:t xml:space="preserve"> </w:t>
      </w:r>
      <w:r w:rsidR="0069140A" w:rsidRPr="003A2F86">
        <w:rPr>
          <w:rFonts w:ascii="Arial" w:eastAsia="Times New Roman" w:hAnsi="Arial" w:cs="Arial"/>
          <w:bCs/>
          <w:lang w:eastAsia="en-US"/>
        </w:rPr>
        <w:t xml:space="preserve">€ </w:t>
      </w:r>
      <w:r w:rsidRPr="003A2F86">
        <w:rPr>
          <w:rFonts w:ascii="Arial" w:eastAsia="Times New Roman" w:hAnsi="Arial" w:cs="Arial"/>
          <w:bCs/>
          <w:lang w:eastAsia="en-US"/>
        </w:rPr>
        <w:t xml:space="preserve">što sveukupno čini </w:t>
      </w:r>
      <w:r w:rsidR="009A4D3C">
        <w:rPr>
          <w:rFonts w:ascii="Arial" w:eastAsia="Times New Roman" w:hAnsi="Arial" w:cs="Arial"/>
          <w:bCs/>
          <w:lang w:eastAsia="en-US"/>
        </w:rPr>
        <w:t>29.832.139</w:t>
      </w:r>
      <w:r w:rsidR="00CA3194" w:rsidRPr="003A2F86">
        <w:rPr>
          <w:rFonts w:ascii="Arial" w:eastAsia="Times New Roman" w:hAnsi="Arial" w:cs="Arial"/>
          <w:bCs/>
          <w:lang w:eastAsia="en-US"/>
        </w:rPr>
        <w:t xml:space="preserve"> </w:t>
      </w:r>
      <w:r w:rsidRPr="003A2F86">
        <w:rPr>
          <w:rFonts w:ascii="Arial" w:eastAsia="Times New Roman" w:hAnsi="Arial" w:cs="Arial"/>
          <w:bCs/>
          <w:lang w:eastAsia="en-US"/>
        </w:rPr>
        <w:t>€. Planirani viškovi iz prethodne godine iznose</w:t>
      </w:r>
      <w:r w:rsidR="00685E7E">
        <w:rPr>
          <w:rFonts w:ascii="Arial" w:eastAsia="Times New Roman" w:hAnsi="Arial" w:cs="Arial"/>
          <w:bCs/>
          <w:lang w:eastAsia="en-US"/>
        </w:rPr>
        <w:t xml:space="preserve"> </w:t>
      </w:r>
      <w:r w:rsidR="009A4D3C">
        <w:rPr>
          <w:rFonts w:ascii="Arial" w:eastAsia="Times New Roman" w:hAnsi="Arial" w:cs="Arial"/>
          <w:bCs/>
          <w:lang w:eastAsia="en-US"/>
        </w:rPr>
        <w:t>4.567.861</w:t>
      </w:r>
      <w:r w:rsidRPr="003A2F86">
        <w:rPr>
          <w:rFonts w:ascii="Arial" w:eastAsia="Times New Roman" w:hAnsi="Arial" w:cs="Arial"/>
          <w:bCs/>
          <w:lang w:eastAsia="en-US"/>
        </w:rPr>
        <w:t xml:space="preserve"> € (viškovi i manjkovi općine </w:t>
      </w:r>
      <w:r w:rsidR="009A4D3C">
        <w:rPr>
          <w:rFonts w:ascii="Arial" w:eastAsia="Times New Roman" w:hAnsi="Arial" w:cs="Arial"/>
          <w:bCs/>
          <w:lang w:eastAsia="en-US"/>
        </w:rPr>
        <w:t>4.814.004</w:t>
      </w:r>
      <w:r w:rsidRPr="003A2F86">
        <w:rPr>
          <w:rFonts w:ascii="Arial" w:eastAsia="Times New Roman" w:hAnsi="Arial" w:cs="Arial"/>
          <w:bCs/>
          <w:lang w:eastAsia="en-US"/>
        </w:rPr>
        <w:t xml:space="preserve"> € i proračunskih korisnika -</w:t>
      </w:r>
      <w:r w:rsidR="009A4D3C">
        <w:rPr>
          <w:rFonts w:ascii="Arial" w:eastAsia="Times New Roman" w:hAnsi="Arial" w:cs="Arial"/>
          <w:bCs/>
          <w:lang w:eastAsia="en-US"/>
        </w:rPr>
        <w:t>246.143</w:t>
      </w:r>
      <w:r w:rsidRPr="003A2F86">
        <w:rPr>
          <w:rFonts w:ascii="Arial" w:eastAsia="Times New Roman" w:hAnsi="Arial" w:cs="Arial"/>
          <w:bCs/>
          <w:lang w:eastAsia="en-US"/>
        </w:rPr>
        <w:t xml:space="preserve"> €), te ukupno planirani prihodi i primici iznose </w:t>
      </w:r>
      <w:r w:rsidR="009A4D3C">
        <w:rPr>
          <w:rFonts w:ascii="Arial" w:eastAsia="Times New Roman" w:hAnsi="Arial" w:cs="Arial"/>
          <w:bCs/>
          <w:lang w:eastAsia="en-US"/>
        </w:rPr>
        <w:t>34.400</w:t>
      </w:r>
      <w:r w:rsidR="008F7BA2">
        <w:rPr>
          <w:rFonts w:ascii="Arial" w:eastAsia="Times New Roman" w:hAnsi="Arial" w:cs="Arial"/>
          <w:bCs/>
          <w:lang w:eastAsia="en-US"/>
        </w:rPr>
        <w:t>.000</w:t>
      </w:r>
      <w:r w:rsidRPr="003A2F86">
        <w:rPr>
          <w:rFonts w:ascii="Arial" w:eastAsia="Times New Roman" w:hAnsi="Arial" w:cs="Arial"/>
          <w:bCs/>
          <w:lang w:eastAsia="en-US"/>
        </w:rPr>
        <w:t xml:space="preserve"> €.</w:t>
      </w:r>
    </w:p>
    <w:p w14:paraId="3597C271" w14:textId="77777777" w:rsidR="003E02DB" w:rsidRPr="003A2F86" w:rsidRDefault="003E02DB" w:rsidP="003E02DB">
      <w:pPr>
        <w:spacing w:after="0" w:line="240" w:lineRule="auto"/>
        <w:jc w:val="both"/>
        <w:rPr>
          <w:rFonts w:ascii="Arial" w:eastAsia="Times New Roman" w:hAnsi="Arial" w:cs="Arial"/>
          <w:bCs/>
          <w:lang w:eastAsia="en-US"/>
        </w:rPr>
      </w:pPr>
    </w:p>
    <w:p w14:paraId="394AA160" w14:textId="03A4A26C" w:rsidR="002A6217" w:rsidRPr="003A2F86" w:rsidRDefault="003E02DB" w:rsidP="003E02DB">
      <w:pPr>
        <w:spacing w:after="0" w:line="240" w:lineRule="auto"/>
        <w:jc w:val="both"/>
        <w:rPr>
          <w:rFonts w:ascii="Arial" w:eastAsia="Times New Roman" w:hAnsi="Arial" w:cs="Arial"/>
          <w:iCs/>
          <w:lang w:eastAsia="en-US"/>
        </w:rPr>
      </w:pPr>
      <w:bookmarkStart w:id="48" w:name="_Hlk230157435"/>
      <w:r w:rsidRPr="003A2F86">
        <w:rPr>
          <w:rFonts w:ascii="Arial" w:eastAsia="Times New Roman" w:hAnsi="Arial" w:cs="Arial"/>
          <w:b/>
          <w:bCs/>
          <w:iCs/>
          <w:lang w:eastAsia="en-US"/>
        </w:rPr>
        <w:t>Ukupni prihodi i primici</w:t>
      </w:r>
      <w:r w:rsidRPr="003A2F86">
        <w:rPr>
          <w:rFonts w:ascii="Arial" w:eastAsia="Times New Roman" w:hAnsi="Arial" w:cs="Arial"/>
          <w:iCs/>
          <w:lang w:eastAsia="en-US"/>
        </w:rPr>
        <w:t xml:space="preserve"> ostvareni su u iznosu </w:t>
      </w:r>
      <w:r w:rsidR="009A4D3C">
        <w:rPr>
          <w:rFonts w:ascii="Arial" w:eastAsia="Times New Roman" w:hAnsi="Arial" w:cs="Arial"/>
          <w:iCs/>
          <w:lang w:eastAsia="en-US"/>
        </w:rPr>
        <w:t>23.152.793,05</w:t>
      </w:r>
      <w:r w:rsidRPr="003A2F86">
        <w:rPr>
          <w:rFonts w:ascii="Arial" w:eastAsia="Times New Roman" w:hAnsi="Arial" w:cs="Arial"/>
          <w:iCs/>
          <w:lang w:eastAsia="en-US"/>
        </w:rPr>
        <w:t xml:space="preserve"> € što je </w:t>
      </w:r>
      <w:r w:rsidR="008F7BA2">
        <w:rPr>
          <w:rFonts w:ascii="Arial" w:eastAsia="Times New Roman" w:hAnsi="Arial" w:cs="Arial"/>
          <w:iCs/>
          <w:lang w:eastAsia="en-US"/>
        </w:rPr>
        <w:t>više</w:t>
      </w:r>
      <w:r w:rsidRPr="003A2F86">
        <w:rPr>
          <w:rFonts w:ascii="Arial" w:eastAsia="Times New Roman" w:hAnsi="Arial" w:cs="Arial"/>
          <w:iCs/>
          <w:lang w:eastAsia="en-US"/>
        </w:rPr>
        <w:t xml:space="preserve"> za </w:t>
      </w:r>
      <w:r w:rsidR="007F08BF">
        <w:rPr>
          <w:rFonts w:ascii="Arial" w:eastAsia="Times New Roman" w:hAnsi="Arial" w:cs="Arial"/>
          <w:iCs/>
          <w:lang w:eastAsia="en-US"/>
        </w:rPr>
        <w:t>8.990.777,51</w:t>
      </w:r>
      <w:r w:rsidRPr="003A2F86">
        <w:rPr>
          <w:rFonts w:ascii="Arial" w:eastAsia="Times New Roman" w:hAnsi="Arial" w:cs="Arial"/>
          <w:iCs/>
          <w:lang w:eastAsia="en-US"/>
        </w:rPr>
        <w:t xml:space="preserve"> € ili </w:t>
      </w:r>
      <w:r w:rsidR="007F08BF">
        <w:rPr>
          <w:rFonts w:ascii="Arial" w:eastAsia="Times New Roman" w:hAnsi="Arial" w:cs="Arial"/>
          <w:iCs/>
          <w:lang w:eastAsia="en-US"/>
        </w:rPr>
        <w:t>63,5</w:t>
      </w:r>
      <w:r w:rsidRPr="003A2F86">
        <w:rPr>
          <w:rFonts w:ascii="Arial" w:eastAsia="Times New Roman" w:hAnsi="Arial" w:cs="Arial"/>
          <w:iCs/>
          <w:lang w:eastAsia="en-US"/>
        </w:rPr>
        <w:t xml:space="preserve">% u odnosu na </w:t>
      </w:r>
      <w:r w:rsidR="00104D65" w:rsidRPr="003A2F86">
        <w:rPr>
          <w:rFonts w:ascii="Arial" w:eastAsia="Times New Roman" w:hAnsi="Arial" w:cs="Arial"/>
          <w:iCs/>
          <w:lang w:eastAsia="en-US"/>
        </w:rPr>
        <w:t>izvještajno razdoblje prethodne 202</w:t>
      </w:r>
      <w:r w:rsidR="00493843">
        <w:rPr>
          <w:rFonts w:ascii="Arial" w:eastAsia="Times New Roman" w:hAnsi="Arial" w:cs="Arial"/>
          <w:iCs/>
          <w:lang w:eastAsia="en-US"/>
        </w:rPr>
        <w:t>4</w:t>
      </w:r>
      <w:r w:rsidR="00104D65" w:rsidRPr="003A2F86">
        <w:rPr>
          <w:rFonts w:ascii="Arial" w:eastAsia="Times New Roman" w:hAnsi="Arial" w:cs="Arial"/>
          <w:iCs/>
          <w:lang w:eastAsia="en-US"/>
        </w:rPr>
        <w:t>. godine.</w:t>
      </w:r>
      <w:r w:rsidR="002A6217" w:rsidRPr="003A2F86">
        <w:rPr>
          <w:rFonts w:ascii="Arial" w:eastAsia="Times New Roman" w:hAnsi="Arial" w:cs="Arial"/>
          <w:iCs/>
          <w:lang w:eastAsia="en-US"/>
        </w:rPr>
        <w:t xml:space="preserve"> </w:t>
      </w:r>
      <w:r w:rsidR="00493843">
        <w:rPr>
          <w:rFonts w:ascii="Arial" w:eastAsia="Times New Roman" w:hAnsi="Arial" w:cs="Arial"/>
          <w:iCs/>
          <w:lang w:eastAsia="en-US"/>
        </w:rPr>
        <w:t>Povećanje se odnosi na ostvarene prihode od pomoći za sufinanciranje izgradnje osnovne škole</w:t>
      </w:r>
      <w:r w:rsidR="007F08BF">
        <w:rPr>
          <w:rFonts w:ascii="Arial" w:eastAsia="Times New Roman" w:hAnsi="Arial" w:cs="Arial"/>
          <w:iCs/>
          <w:lang w:eastAsia="en-US"/>
        </w:rPr>
        <w:t xml:space="preserve"> i primitke od zaduživanja za izgradnju osnovne škole</w:t>
      </w:r>
      <w:r w:rsidR="00493843">
        <w:rPr>
          <w:rFonts w:ascii="Arial" w:eastAsia="Times New Roman" w:hAnsi="Arial" w:cs="Arial"/>
          <w:iCs/>
          <w:lang w:eastAsia="en-US"/>
        </w:rPr>
        <w:t>.</w:t>
      </w:r>
      <w:r w:rsidRPr="003A2F86">
        <w:rPr>
          <w:rFonts w:ascii="Arial" w:eastAsia="Times New Roman" w:hAnsi="Arial" w:cs="Arial"/>
          <w:iCs/>
          <w:lang w:eastAsia="en-US"/>
        </w:rPr>
        <w:t xml:space="preserve"> </w:t>
      </w:r>
    </w:p>
    <w:p w14:paraId="79E0F5D4" w14:textId="77777777" w:rsidR="005F0270" w:rsidRPr="00A47444" w:rsidRDefault="005F0270" w:rsidP="003E02DB">
      <w:pPr>
        <w:spacing w:after="0" w:line="240" w:lineRule="auto"/>
        <w:jc w:val="both"/>
        <w:rPr>
          <w:rFonts w:ascii="Arial" w:eastAsia="Times New Roman" w:hAnsi="Arial" w:cs="Arial"/>
          <w:b/>
          <w:bCs/>
          <w:iCs/>
          <w:lang w:eastAsia="en-US"/>
        </w:rPr>
      </w:pPr>
    </w:p>
    <w:p w14:paraId="3C6E1DDF" w14:textId="634CA968" w:rsidR="003E02DB" w:rsidRPr="00A47444" w:rsidRDefault="003E02DB" w:rsidP="003E02DB">
      <w:pPr>
        <w:spacing w:after="0" w:line="240" w:lineRule="auto"/>
        <w:jc w:val="both"/>
        <w:rPr>
          <w:rFonts w:ascii="Arial" w:eastAsia="Times New Roman" w:hAnsi="Arial" w:cs="Arial"/>
          <w:iCs/>
          <w:lang w:eastAsia="en-US"/>
        </w:rPr>
      </w:pPr>
      <w:r w:rsidRPr="00A47444">
        <w:rPr>
          <w:rFonts w:ascii="Arial" w:eastAsia="Times New Roman" w:hAnsi="Arial" w:cs="Arial"/>
          <w:b/>
          <w:bCs/>
          <w:iCs/>
          <w:lang w:eastAsia="en-US"/>
        </w:rPr>
        <w:t>Prihodi poslovanja</w:t>
      </w:r>
      <w:r w:rsidRPr="00A47444">
        <w:rPr>
          <w:rFonts w:ascii="Arial" w:eastAsia="Times New Roman" w:hAnsi="Arial" w:cs="Arial"/>
          <w:iCs/>
          <w:lang w:eastAsia="en-US"/>
        </w:rPr>
        <w:t xml:space="preserve"> (6) za 202</w:t>
      </w:r>
      <w:r w:rsidR="00493843" w:rsidRPr="00A47444">
        <w:rPr>
          <w:rFonts w:ascii="Arial" w:eastAsia="Times New Roman" w:hAnsi="Arial" w:cs="Arial"/>
          <w:iCs/>
          <w:lang w:eastAsia="en-US"/>
        </w:rPr>
        <w:t>5</w:t>
      </w:r>
      <w:r w:rsidRPr="00A47444">
        <w:rPr>
          <w:rFonts w:ascii="Arial" w:eastAsia="Times New Roman" w:hAnsi="Arial" w:cs="Arial"/>
          <w:iCs/>
          <w:lang w:eastAsia="en-US"/>
        </w:rPr>
        <w:t xml:space="preserve">. su veći za </w:t>
      </w:r>
      <w:r w:rsidR="007F08BF">
        <w:rPr>
          <w:rFonts w:ascii="Arial" w:eastAsia="Times New Roman" w:hAnsi="Arial" w:cs="Arial"/>
          <w:iCs/>
          <w:lang w:eastAsia="en-US"/>
        </w:rPr>
        <w:t>5.636.149,15</w:t>
      </w:r>
      <w:r w:rsidRPr="00A47444">
        <w:rPr>
          <w:rFonts w:ascii="Arial" w:eastAsia="Times New Roman" w:hAnsi="Arial" w:cs="Arial"/>
          <w:iCs/>
          <w:lang w:eastAsia="en-US"/>
        </w:rPr>
        <w:t xml:space="preserve"> € ili </w:t>
      </w:r>
      <w:r w:rsidR="007F08BF">
        <w:rPr>
          <w:rFonts w:ascii="Arial" w:eastAsia="Times New Roman" w:hAnsi="Arial" w:cs="Arial"/>
          <w:iCs/>
          <w:lang w:eastAsia="en-US"/>
        </w:rPr>
        <w:t>40,6</w:t>
      </w:r>
      <w:r w:rsidRPr="00A47444">
        <w:rPr>
          <w:rFonts w:ascii="Arial" w:eastAsia="Times New Roman" w:hAnsi="Arial" w:cs="Arial"/>
          <w:iCs/>
          <w:lang w:eastAsia="en-US"/>
        </w:rPr>
        <w:t>%</w:t>
      </w:r>
      <w:r w:rsidR="002A6217" w:rsidRPr="00A47444">
        <w:rPr>
          <w:rFonts w:ascii="Arial" w:eastAsia="Times New Roman" w:hAnsi="Arial" w:cs="Arial"/>
          <w:iCs/>
          <w:lang w:eastAsia="en-US"/>
        </w:rPr>
        <w:t xml:space="preserve"> u odnosu na 202</w:t>
      </w:r>
      <w:r w:rsidR="00A47444" w:rsidRPr="00A47444">
        <w:rPr>
          <w:rFonts w:ascii="Arial" w:eastAsia="Times New Roman" w:hAnsi="Arial" w:cs="Arial"/>
          <w:iCs/>
          <w:lang w:eastAsia="en-US"/>
        </w:rPr>
        <w:t>4</w:t>
      </w:r>
      <w:r w:rsidR="002A6217" w:rsidRPr="00A47444">
        <w:rPr>
          <w:rFonts w:ascii="Arial" w:eastAsia="Times New Roman" w:hAnsi="Arial" w:cs="Arial"/>
          <w:iCs/>
          <w:lang w:eastAsia="en-US"/>
        </w:rPr>
        <w:t>. godinu</w:t>
      </w:r>
      <w:r w:rsidR="00FE13D7" w:rsidRPr="00A47444">
        <w:rPr>
          <w:rFonts w:ascii="Arial" w:eastAsia="Times New Roman" w:hAnsi="Arial" w:cs="Arial"/>
          <w:iCs/>
          <w:lang w:eastAsia="en-US"/>
        </w:rPr>
        <w:t>.</w:t>
      </w:r>
      <w:r w:rsidRPr="00A47444">
        <w:rPr>
          <w:rFonts w:ascii="Arial" w:hAnsi="Arial" w:cs="Arial"/>
          <w:iCs/>
        </w:rPr>
        <w:t xml:space="preserve"> </w:t>
      </w:r>
    </w:p>
    <w:p w14:paraId="3A95CE7F" w14:textId="59184774" w:rsidR="003E02DB" w:rsidRPr="00A47444" w:rsidRDefault="003E02DB" w:rsidP="003E02DB">
      <w:pPr>
        <w:spacing w:after="0" w:line="240" w:lineRule="auto"/>
        <w:jc w:val="both"/>
        <w:rPr>
          <w:rFonts w:ascii="Arial" w:hAnsi="Arial" w:cs="Arial"/>
          <w:iCs/>
        </w:rPr>
      </w:pPr>
      <w:bookmarkStart w:id="49" w:name="_Hlk145928812"/>
      <w:r w:rsidRPr="00A47444">
        <w:rPr>
          <w:rFonts w:ascii="Arial" w:hAnsi="Arial" w:cs="Arial"/>
          <w:iCs/>
        </w:rPr>
        <w:t>Najznačajniji udjel u ostvarenim prihodima i primicima za 202</w:t>
      </w:r>
      <w:r w:rsidR="00A47444" w:rsidRPr="00A47444">
        <w:rPr>
          <w:rFonts w:ascii="Arial" w:hAnsi="Arial" w:cs="Arial"/>
          <w:iCs/>
        </w:rPr>
        <w:t>5</w:t>
      </w:r>
      <w:r w:rsidRPr="00A47444">
        <w:rPr>
          <w:rFonts w:ascii="Arial" w:hAnsi="Arial" w:cs="Arial"/>
          <w:iCs/>
        </w:rPr>
        <w:t xml:space="preserve">. imaju prihodi od poreza (61) u iznosu </w:t>
      </w:r>
      <w:r w:rsidR="007F08BF">
        <w:rPr>
          <w:rFonts w:ascii="Arial" w:hAnsi="Arial" w:cs="Arial"/>
          <w:iCs/>
        </w:rPr>
        <w:t>8.507.914,65</w:t>
      </w:r>
      <w:r w:rsidRPr="00A47444">
        <w:rPr>
          <w:rFonts w:ascii="Arial" w:hAnsi="Arial" w:cs="Arial"/>
          <w:iCs/>
        </w:rPr>
        <w:t xml:space="preserve"> € ili </w:t>
      </w:r>
      <w:r w:rsidR="007F08BF">
        <w:rPr>
          <w:rFonts w:ascii="Arial" w:hAnsi="Arial" w:cs="Arial"/>
          <w:iCs/>
        </w:rPr>
        <w:t>36,7</w:t>
      </w:r>
      <w:r w:rsidRPr="00A47444">
        <w:rPr>
          <w:rFonts w:ascii="Arial" w:hAnsi="Arial" w:cs="Arial"/>
          <w:iCs/>
        </w:rPr>
        <w:t xml:space="preserve">%, </w:t>
      </w:r>
      <w:r w:rsidR="00A47444" w:rsidRPr="00A47444">
        <w:rPr>
          <w:rFonts w:ascii="Arial" w:hAnsi="Arial" w:cs="Arial"/>
          <w:iCs/>
        </w:rPr>
        <w:t xml:space="preserve">prihodi od pomoći (63) u iznosu </w:t>
      </w:r>
      <w:r w:rsidR="00E832BE">
        <w:rPr>
          <w:rFonts w:ascii="Arial" w:hAnsi="Arial" w:cs="Arial"/>
          <w:iCs/>
        </w:rPr>
        <w:t>5.014.703,26</w:t>
      </w:r>
      <w:r w:rsidR="00A47444" w:rsidRPr="00A47444">
        <w:rPr>
          <w:rFonts w:ascii="Arial" w:hAnsi="Arial" w:cs="Arial"/>
          <w:iCs/>
        </w:rPr>
        <w:t xml:space="preserve"> € ili </w:t>
      </w:r>
      <w:r w:rsidR="00E832BE">
        <w:rPr>
          <w:rFonts w:ascii="Arial" w:hAnsi="Arial" w:cs="Arial"/>
          <w:iCs/>
        </w:rPr>
        <w:t>21,7</w:t>
      </w:r>
      <w:r w:rsidR="00A47444" w:rsidRPr="00A47444">
        <w:rPr>
          <w:rFonts w:ascii="Arial" w:hAnsi="Arial" w:cs="Arial"/>
          <w:iCs/>
        </w:rPr>
        <w:t xml:space="preserve">%, </w:t>
      </w:r>
      <w:r w:rsidRPr="00A47444">
        <w:rPr>
          <w:rFonts w:ascii="Arial" w:hAnsi="Arial" w:cs="Arial"/>
          <w:iCs/>
        </w:rPr>
        <w:t xml:space="preserve">prihodi od upravnih i administrativnih pristojbi, pristojbi po posebnim propisima i naknade (65) u iznosu </w:t>
      </w:r>
      <w:r w:rsidR="00E832BE">
        <w:rPr>
          <w:rFonts w:ascii="Arial" w:hAnsi="Arial" w:cs="Arial"/>
          <w:iCs/>
        </w:rPr>
        <w:t>3.303.706,23</w:t>
      </w:r>
      <w:r w:rsidRPr="00A47444">
        <w:rPr>
          <w:rFonts w:ascii="Arial" w:hAnsi="Arial" w:cs="Arial"/>
          <w:iCs/>
        </w:rPr>
        <w:t xml:space="preserve"> € ili </w:t>
      </w:r>
      <w:r w:rsidR="00E832BE">
        <w:rPr>
          <w:rFonts w:ascii="Arial" w:hAnsi="Arial" w:cs="Arial"/>
          <w:iCs/>
        </w:rPr>
        <w:t>14,3</w:t>
      </w:r>
      <w:r w:rsidRPr="00A47444">
        <w:rPr>
          <w:rFonts w:ascii="Arial" w:hAnsi="Arial" w:cs="Arial"/>
          <w:iCs/>
        </w:rPr>
        <w:t xml:space="preserve">%, </w:t>
      </w:r>
      <w:r w:rsidR="000977A2" w:rsidRPr="00A47444">
        <w:rPr>
          <w:rFonts w:ascii="Arial" w:hAnsi="Arial" w:cs="Arial"/>
          <w:iCs/>
        </w:rPr>
        <w:t xml:space="preserve">prihodi od imovine </w:t>
      </w:r>
      <w:r w:rsidR="004B4C79" w:rsidRPr="00A47444">
        <w:rPr>
          <w:rFonts w:ascii="Arial" w:hAnsi="Arial" w:cs="Arial"/>
          <w:iCs/>
        </w:rPr>
        <w:t xml:space="preserve">(64) </w:t>
      </w:r>
      <w:r w:rsidR="00E832BE">
        <w:rPr>
          <w:rFonts w:ascii="Arial" w:hAnsi="Arial" w:cs="Arial"/>
          <w:iCs/>
        </w:rPr>
        <w:t>1.981.636,37</w:t>
      </w:r>
      <w:r w:rsidR="000977A2" w:rsidRPr="00A47444">
        <w:rPr>
          <w:rFonts w:ascii="Arial" w:hAnsi="Arial" w:cs="Arial"/>
          <w:iCs/>
        </w:rPr>
        <w:t xml:space="preserve"> € ili </w:t>
      </w:r>
      <w:r w:rsidR="00E832BE">
        <w:rPr>
          <w:rFonts w:ascii="Arial" w:hAnsi="Arial" w:cs="Arial"/>
          <w:iCs/>
        </w:rPr>
        <w:t>8,6</w:t>
      </w:r>
      <w:r w:rsidR="000977A2" w:rsidRPr="00A47444">
        <w:rPr>
          <w:rFonts w:ascii="Arial" w:hAnsi="Arial" w:cs="Arial"/>
          <w:iCs/>
        </w:rPr>
        <w:t xml:space="preserve">%, </w:t>
      </w:r>
      <w:r w:rsidR="009F311E" w:rsidRPr="00A47444">
        <w:rPr>
          <w:rFonts w:ascii="Arial" w:hAnsi="Arial" w:cs="Arial"/>
          <w:iCs/>
        </w:rPr>
        <w:t>te</w:t>
      </w:r>
      <w:r w:rsidRPr="00A47444">
        <w:rPr>
          <w:rFonts w:ascii="Arial" w:hAnsi="Arial" w:cs="Arial"/>
          <w:iCs/>
        </w:rPr>
        <w:t xml:space="preserve"> </w:t>
      </w:r>
      <w:r w:rsidR="009F311E" w:rsidRPr="00A47444">
        <w:rPr>
          <w:rFonts w:ascii="Arial" w:hAnsi="Arial" w:cs="Arial"/>
          <w:iCs/>
        </w:rPr>
        <w:t xml:space="preserve">prihodi od prodaje </w:t>
      </w:r>
      <w:r w:rsidR="00A47444" w:rsidRPr="00A47444">
        <w:rPr>
          <w:rFonts w:ascii="Arial" w:hAnsi="Arial" w:cs="Arial"/>
          <w:iCs/>
        </w:rPr>
        <w:t>neproizvedene dugotrajne</w:t>
      </w:r>
      <w:r w:rsidR="009F311E" w:rsidRPr="00A47444">
        <w:rPr>
          <w:rFonts w:ascii="Arial" w:hAnsi="Arial" w:cs="Arial"/>
          <w:iCs/>
        </w:rPr>
        <w:t xml:space="preserve"> imovine (7</w:t>
      </w:r>
      <w:r w:rsidR="00A47444" w:rsidRPr="00A47444">
        <w:rPr>
          <w:rFonts w:ascii="Arial" w:hAnsi="Arial" w:cs="Arial"/>
          <w:iCs/>
        </w:rPr>
        <w:t>1</w:t>
      </w:r>
      <w:r w:rsidR="009F311E" w:rsidRPr="00A47444">
        <w:rPr>
          <w:rFonts w:ascii="Arial" w:hAnsi="Arial" w:cs="Arial"/>
          <w:iCs/>
        </w:rPr>
        <w:t xml:space="preserve">) u iznosu </w:t>
      </w:r>
      <w:r w:rsidR="00E832BE">
        <w:rPr>
          <w:rFonts w:ascii="Arial" w:hAnsi="Arial" w:cs="Arial"/>
          <w:iCs/>
        </w:rPr>
        <w:t>540.772,00</w:t>
      </w:r>
      <w:r w:rsidR="009F311E" w:rsidRPr="00A47444">
        <w:rPr>
          <w:rFonts w:ascii="Arial" w:hAnsi="Arial" w:cs="Arial"/>
          <w:iCs/>
        </w:rPr>
        <w:t xml:space="preserve"> € ili </w:t>
      </w:r>
      <w:r w:rsidR="00E832BE">
        <w:rPr>
          <w:rFonts w:ascii="Arial" w:hAnsi="Arial" w:cs="Arial"/>
          <w:iCs/>
        </w:rPr>
        <w:t>2,3</w:t>
      </w:r>
      <w:r w:rsidR="009F311E" w:rsidRPr="00A47444">
        <w:rPr>
          <w:rFonts w:ascii="Arial" w:hAnsi="Arial" w:cs="Arial"/>
          <w:iCs/>
        </w:rPr>
        <w:t xml:space="preserve">%, </w:t>
      </w:r>
      <w:r w:rsidRPr="00A47444">
        <w:rPr>
          <w:rFonts w:ascii="Arial" w:hAnsi="Arial" w:cs="Arial"/>
          <w:iCs/>
        </w:rPr>
        <w:t>ukupnih prihoda i primitaka. Primici od zaduživanja su ostvareni</w:t>
      </w:r>
      <w:r w:rsidR="00E832BE">
        <w:rPr>
          <w:rFonts w:ascii="Arial" w:hAnsi="Arial" w:cs="Arial"/>
          <w:iCs/>
        </w:rPr>
        <w:t xml:space="preserve"> u iznosu 3.079.325,13 € što čini 13,3% ukupnih prihoda i primitaka.</w:t>
      </w:r>
      <w:r w:rsidR="005F0270" w:rsidRPr="00A47444">
        <w:rPr>
          <w:rFonts w:ascii="Arial" w:hAnsi="Arial" w:cs="Arial"/>
          <w:iCs/>
        </w:rPr>
        <w:t xml:space="preserve"> Svi ostali prihodi iznose </w:t>
      </w:r>
      <w:r w:rsidR="00E832BE">
        <w:rPr>
          <w:rFonts w:ascii="Arial" w:hAnsi="Arial" w:cs="Arial"/>
          <w:iCs/>
        </w:rPr>
        <w:t>724.735,41</w:t>
      </w:r>
      <w:r w:rsidR="005F0270" w:rsidRPr="00A47444">
        <w:rPr>
          <w:rFonts w:ascii="Arial" w:hAnsi="Arial" w:cs="Arial"/>
          <w:iCs/>
        </w:rPr>
        <w:t xml:space="preserve"> € i čine </w:t>
      </w:r>
      <w:r w:rsidR="00E832BE">
        <w:rPr>
          <w:rFonts w:ascii="Arial" w:hAnsi="Arial" w:cs="Arial"/>
          <w:iCs/>
        </w:rPr>
        <w:t>3,1</w:t>
      </w:r>
      <w:r w:rsidR="005F0270" w:rsidRPr="00A47444">
        <w:rPr>
          <w:rFonts w:ascii="Arial" w:hAnsi="Arial" w:cs="Arial"/>
          <w:iCs/>
        </w:rPr>
        <w:t>%.</w:t>
      </w:r>
    </w:p>
    <w:bookmarkEnd w:id="48"/>
    <w:bookmarkEnd w:id="49"/>
    <w:p w14:paraId="201FB2CF" w14:textId="77777777" w:rsidR="003E02DB" w:rsidRPr="00740BE2" w:rsidRDefault="003E02DB" w:rsidP="003E02DB">
      <w:pPr>
        <w:spacing w:after="0" w:line="240" w:lineRule="auto"/>
        <w:jc w:val="both"/>
        <w:rPr>
          <w:rFonts w:ascii="Arial" w:hAnsi="Arial" w:cs="Arial"/>
          <w:iCs/>
          <w:sz w:val="10"/>
          <w:szCs w:val="10"/>
        </w:rPr>
      </w:pPr>
    </w:p>
    <w:p w14:paraId="7B1B6C6A" w14:textId="45071BA2" w:rsidR="003E02DB" w:rsidRPr="003A2F86" w:rsidRDefault="003E02DB" w:rsidP="003E02DB">
      <w:pPr>
        <w:pStyle w:val="Opisslike"/>
        <w:rPr>
          <w:rFonts w:ascii="Arial" w:hAnsi="Arial" w:cs="Arial"/>
          <w:sz w:val="22"/>
          <w:szCs w:val="22"/>
        </w:rPr>
      </w:pPr>
      <w:bookmarkStart w:id="50" w:name="_Toc232981566"/>
      <w:bookmarkEnd w:id="47"/>
      <w:r w:rsidRPr="003A2F86">
        <w:rPr>
          <w:color w:val="FF0000"/>
        </w:rPr>
        <w:t xml:space="preserve">Graf </w:t>
      </w:r>
      <w:r w:rsidRPr="003A2F86">
        <w:rPr>
          <w:color w:val="FF0000"/>
        </w:rPr>
        <w:fldChar w:fldCharType="begin"/>
      </w:r>
      <w:r w:rsidRPr="003A2F86">
        <w:rPr>
          <w:color w:val="FF0000"/>
        </w:rPr>
        <w:instrText xml:space="preserve"> SEQ Graf \* ARABIC </w:instrText>
      </w:r>
      <w:r w:rsidRPr="003A2F86">
        <w:rPr>
          <w:color w:val="FF0000"/>
        </w:rPr>
        <w:fldChar w:fldCharType="separate"/>
      </w:r>
      <w:r w:rsidR="00A821D8">
        <w:rPr>
          <w:noProof/>
          <w:color w:val="FF0000"/>
        </w:rPr>
        <w:t>6</w:t>
      </w:r>
      <w:r w:rsidRPr="003A2F86">
        <w:rPr>
          <w:color w:val="FF0000"/>
        </w:rPr>
        <w:fldChar w:fldCharType="end"/>
      </w:r>
      <w:r w:rsidRPr="003A2F86">
        <w:rPr>
          <w:color w:val="FF0000"/>
        </w:rPr>
        <w:t xml:space="preserve">.: </w:t>
      </w:r>
      <w:r w:rsidRPr="003A2F86">
        <w:rPr>
          <w:rFonts w:ascii="Arial" w:hAnsi="Arial" w:cs="Arial"/>
          <w:sz w:val="22"/>
          <w:szCs w:val="22"/>
        </w:rPr>
        <w:t xml:space="preserve">Struktura ostvarenih prihoda i primitaka </w:t>
      </w:r>
      <w:r w:rsidR="00B33699" w:rsidRPr="003A2F86">
        <w:rPr>
          <w:rFonts w:ascii="Arial" w:hAnsi="Arial" w:cs="Arial"/>
          <w:sz w:val="22"/>
          <w:szCs w:val="22"/>
        </w:rPr>
        <w:t xml:space="preserve">Proračuna </w:t>
      </w:r>
      <w:r w:rsidRPr="003A2F86">
        <w:rPr>
          <w:rFonts w:ascii="Arial" w:hAnsi="Arial" w:cs="Arial"/>
          <w:sz w:val="22"/>
          <w:szCs w:val="22"/>
        </w:rPr>
        <w:t>u 202</w:t>
      </w:r>
      <w:r w:rsidR="00A47444">
        <w:rPr>
          <w:rFonts w:ascii="Arial" w:hAnsi="Arial" w:cs="Arial"/>
          <w:sz w:val="22"/>
          <w:szCs w:val="22"/>
        </w:rPr>
        <w:t>5</w:t>
      </w:r>
      <w:r w:rsidRPr="003A2F86">
        <w:rPr>
          <w:rFonts w:ascii="Arial" w:hAnsi="Arial" w:cs="Arial"/>
          <w:sz w:val="22"/>
          <w:szCs w:val="22"/>
        </w:rPr>
        <w:t>. po ekonomskoj klasifikaciji</w:t>
      </w:r>
      <w:r w:rsidR="004812B6" w:rsidRPr="003A2F86">
        <w:rPr>
          <w:rFonts w:ascii="Arial" w:hAnsi="Arial" w:cs="Arial"/>
          <w:sz w:val="22"/>
          <w:szCs w:val="22"/>
        </w:rPr>
        <w:t xml:space="preserve"> (€)</w:t>
      </w:r>
      <w:r w:rsidRPr="003A2F86">
        <w:rPr>
          <w:rFonts w:ascii="Arial" w:hAnsi="Arial" w:cs="Arial"/>
          <w:sz w:val="22"/>
          <w:szCs w:val="22"/>
        </w:rPr>
        <w:t xml:space="preserve">: </w:t>
      </w:r>
      <w:r w:rsidR="004812B6" w:rsidRPr="003A2F86">
        <w:rPr>
          <w:rFonts w:ascii="Arial" w:hAnsi="Arial" w:cs="Arial"/>
          <w:sz w:val="22"/>
          <w:szCs w:val="22"/>
        </w:rPr>
        <w:t xml:space="preserve">sveukupno </w:t>
      </w:r>
      <w:r w:rsidRPr="00386EBA">
        <w:rPr>
          <w:rFonts w:ascii="Arial" w:hAnsi="Arial" w:cs="Arial"/>
          <w:color w:val="1F497D" w:themeColor="text2"/>
          <w:sz w:val="22"/>
          <w:szCs w:val="22"/>
        </w:rPr>
        <w:t xml:space="preserve">Općina </w:t>
      </w:r>
      <w:r w:rsidRPr="003A2F86">
        <w:rPr>
          <w:rFonts w:ascii="Arial" w:hAnsi="Arial" w:cs="Arial"/>
          <w:sz w:val="22"/>
          <w:szCs w:val="22"/>
        </w:rPr>
        <w:t xml:space="preserve">i </w:t>
      </w:r>
      <w:r w:rsidRPr="00386EBA">
        <w:rPr>
          <w:rFonts w:ascii="Arial" w:hAnsi="Arial" w:cs="Arial"/>
          <w:color w:val="943634" w:themeColor="accent2" w:themeShade="BF"/>
          <w:sz w:val="22"/>
          <w:szCs w:val="22"/>
        </w:rPr>
        <w:t>proračunski korisnici</w:t>
      </w:r>
      <w:bookmarkEnd w:id="50"/>
    </w:p>
    <w:p w14:paraId="414B237C" w14:textId="77777777" w:rsidR="003E02DB" w:rsidRPr="003A2F86" w:rsidRDefault="003E02DB" w:rsidP="007B469E">
      <w:pPr>
        <w:spacing w:after="0" w:line="240" w:lineRule="auto"/>
        <w:rPr>
          <w:lang w:eastAsia="en-US"/>
        </w:rPr>
      </w:pPr>
    </w:p>
    <w:p w14:paraId="661B07B5" w14:textId="77777777" w:rsidR="003E02DB" w:rsidRPr="003A2F86" w:rsidRDefault="003E02DB" w:rsidP="003E02D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center"/>
        <w:rPr>
          <w:rFonts w:ascii="Arial" w:eastAsia="Times New Roman" w:hAnsi="Arial" w:cs="Arial"/>
        </w:rPr>
      </w:pPr>
      <w:r w:rsidRPr="003A2F86">
        <w:rPr>
          <w:rFonts w:ascii="Arial" w:eastAsia="Times New Roman" w:hAnsi="Arial" w:cs="Arial"/>
          <w:noProof/>
          <w:color w:val="FF0000"/>
        </w:rPr>
        <w:drawing>
          <wp:inline distT="0" distB="0" distL="0" distR="0" wp14:anchorId="0DB470DD" wp14:editId="69A739E3">
            <wp:extent cx="7477125" cy="3201238"/>
            <wp:effectExtent l="0" t="0" r="9525" b="18415"/>
            <wp:docPr id="20" name="Grafikon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6C98968" w14:textId="77777777" w:rsidR="003E02DB" w:rsidRPr="003A2F86" w:rsidRDefault="003E02DB" w:rsidP="003E02D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Cs w:val="24"/>
        </w:rPr>
      </w:pPr>
    </w:p>
    <w:p w14:paraId="3603857E" w14:textId="00601CA9" w:rsidR="003E02DB" w:rsidRPr="003A2F86" w:rsidRDefault="003E02DB" w:rsidP="003E02D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Cs w:val="24"/>
        </w:rPr>
      </w:pPr>
      <w:bookmarkStart w:id="51" w:name="_Hlk230157443"/>
      <w:r w:rsidRPr="003A2F86">
        <w:rPr>
          <w:rFonts w:ascii="Arial" w:eastAsia="Times New Roman" w:hAnsi="Arial" w:cs="Arial"/>
          <w:color w:val="1F497D" w:themeColor="text2"/>
          <w:szCs w:val="24"/>
        </w:rPr>
        <w:lastRenderedPageBreak/>
        <w:t xml:space="preserve">Ukupno prihodi i primici Općine ostvareni su u iznosu </w:t>
      </w:r>
      <w:r w:rsidR="00AD65B9">
        <w:rPr>
          <w:rFonts w:ascii="Arial" w:eastAsia="Times New Roman" w:hAnsi="Arial" w:cs="Arial"/>
          <w:color w:val="1F497D" w:themeColor="text2"/>
          <w:szCs w:val="24"/>
        </w:rPr>
        <w:t>21.495.663,97</w:t>
      </w:r>
      <w:r w:rsidRPr="003A2F86">
        <w:rPr>
          <w:rFonts w:ascii="Arial" w:eastAsia="Times New Roman" w:hAnsi="Arial" w:cs="Arial"/>
          <w:color w:val="1F497D" w:themeColor="text2"/>
          <w:szCs w:val="24"/>
        </w:rPr>
        <w:t xml:space="preserve"> €, a prihodi proračunskih korisnika u iznosu </w:t>
      </w:r>
      <w:r w:rsidR="00AD65B9">
        <w:rPr>
          <w:rFonts w:ascii="Arial" w:eastAsia="Times New Roman" w:hAnsi="Arial" w:cs="Arial"/>
          <w:color w:val="1F497D" w:themeColor="text2"/>
          <w:szCs w:val="24"/>
        </w:rPr>
        <w:t>1.657.129,08</w:t>
      </w:r>
      <w:r w:rsidRPr="003A2F86">
        <w:rPr>
          <w:rFonts w:ascii="Arial" w:eastAsia="Times New Roman" w:hAnsi="Arial" w:cs="Arial"/>
          <w:color w:val="1F497D" w:themeColor="text2"/>
          <w:szCs w:val="24"/>
        </w:rPr>
        <w:t xml:space="preserve"> €.</w:t>
      </w:r>
      <w:r w:rsidRPr="003A2F86">
        <w:rPr>
          <w:rFonts w:ascii="Arial" w:eastAsia="Times New Roman" w:hAnsi="Arial" w:cs="Arial"/>
          <w:szCs w:val="24"/>
        </w:rPr>
        <w:t xml:space="preserve"> Proračunski korisnici su iz nadležnog općinskog proračuna ostvarili </w:t>
      </w:r>
      <w:r w:rsidR="00AD65B9">
        <w:rPr>
          <w:rFonts w:ascii="Arial" w:eastAsia="Times New Roman" w:hAnsi="Arial" w:cs="Arial"/>
          <w:szCs w:val="24"/>
        </w:rPr>
        <w:t>4.593.804,88</w:t>
      </w:r>
      <w:r w:rsidRPr="003A2F86">
        <w:rPr>
          <w:rFonts w:ascii="Arial" w:eastAsia="Times New Roman" w:hAnsi="Arial" w:cs="Arial"/>
          <w:szCs w:val="24"/>
        </w:rPr>
        <w:t xml:space="preserve"> € što s njihovim vlastitim prihodima (</w:t>
      </w:r>
      <w:r w:rsidR="00AD65B9">
        <w:rPr>
          <w:rFonts w:ascii="Arial" w:eastAsia="Times New Roman" w:hAnsi="Arial" w:cs="Arial"/>
          <w:szCs w:val="24"/>
        </w:rPr>
        <w:t>1.657.129,08</w:t>
      </w:r>
      <w:r w:rsidRPr="003A2F86">
        <w:rPr>
          <w:rFonts w:ascii="Arial" w:eastAsia="Times New Roman" w:hAnsi="Arial" w:cs="Arial"/>
          <w:szCs w:val="24"/>
        </w:rPr>
        <w:t xml:space="preserve"> €) iznosi </w:t>
      </w:r>
      <w:r w:rsidR="00AD65B9">
        <w:rPr>
          <w:rFonts w:ascii="Arial" w:eastAsia="Times New Roman" w:hAnsi="Arial" w:cs="Arial"/>
          <w:szCs w:val="24"/>
        </w:rPr>
        <w:t>6.250.933,96</w:t>
      </w:r>
      <w:r w:rsidRPr="003A2F86">
        <w:rPr>
          <w:rFonts w:ascii="Arial" w:eastAsia="Times New Roman" w:hAnsi="Arial" w:cs="Arial"/>
          <w:szCs w:val="24"/>
        </w:rPr>
        <w:t xml:space="preserve"> €.</w:t>
      </w:r>
    </w:p>
    <w:bookmarkEnd w:id="51"/>
    <w:p w14:paraId="7C50BA45" w14:textId="77777777" w:rsidR="003E02DB" w:rsidRPr="003A2F86" w:rsidRDefault="003E02DB" w:rsidP="003E02D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6830D6E7" w14:textId="4609B1D7" w:rsidR="003E02DB" w:rsidRPr="003A2F86" w:rsidRDefault="003E02DB" w:rsidP="003E02DB">
      <w:pPr>
        <w:pStyle w:val="Opisslike"/>
        <w:keepNext/>
        <w:jc w:val="both"/>
        <w:rPr>
          <w:rFonts w:ascii="Arial" w:hAnsi="Arial" w:cs="Arial"/>
          <w:iCs/>
          <w:szCs w:val="22"/>
        </w:rPr>
      </w:pPr>
      <w:bookmarkStart w:id="52" w:name="_Toc232981535"/>
      <w:r w:rsidRPr="003A2F86">
        <w:rPr>
          <w:color w:val="FF0000"/>
        </w:rPr>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16</w:t>
      </w:r>
      <w:r w:rsidRPr="003A2F86">
        <w:rPr>
          <w:color w:val="FF0000"/>
        </w:rPr>
        <w:fldChar w:fldCharType="end"/>
      </w:r>
      <w:r w:rsidRPr="003A2F86">
        <w:rPr>
          <w:color w:val="FF0000"/>
        </w:rPr>
        <w:t xml:space="preserve">.: </w:t>
      </w:r>
      <w:r w:rsidRPr="003A2F86">
        <w:rPr>
          <w:rFonts w:ascii="Arial" w:hAnsi="Arial" w:cs="Arial"/>
          <w:iCs/>
          <w:szCs w:val="22"/>
        </w:rPr>
        <w:t>Pregled ostvarenih prihoda i primitaka za 202</w:t>
      </w:r>
      <w:r w:rsidR="00401DE7">
        <w:rPr>
          <w:rFonts w:ascii="Arial" w:hAnsi="Arial" w:cs="Arial"/>
          <w:iCs/>
          <w:szCs w:val="22"/>
        </w:rPr>
        <w:t>5</w:t>
      </w:r>
      <w:r w:rsidRPr="003A2F86">
        <w:rPr>
          <w:rFonts w:ascii="Arial" w:hAnsi="Arial" w:cs="Arial"/>
          <w:iCs/>
          <w:szCs w:val="22"/>
        </w:rPr>
        <w:t xml:space="preserve">. na razini razreda i skupine: </w:t>
      </w:r>
      <w:r w:rsidRPr="00386EBA">
        <w:rPr>
          <w:rFonts w:ascii="Arial" w:hAnsi="Arial" w:cs="Arial"/>
          <w:iCs/>
          <w:color w:val="1F497D" w:themeColor="text2"/>
          <w:szCs w:val="22"/>
        </w:rPr>
        <w:t>Općina</w:t>
      </w:r>
      <w:r w:rsidRPr="003A2F86">
        <w:rPr>
          <w:rFonts w:ascii="Arial" w:hAnsi="Arial" w:cs="Arial"/>
          <w:iCs/>
          <w:szCs w:val="22"/>
        </w:rPr>
        <w:t xml:space="preserve">, </w:t>
      </w:r>
      <w:r w:rsidR="00014158" w:rsidRPr="003A2F86">
        <w:rPr>
          <w:rFonts w:ascii="Arial" w:hAnsi="Arial" w:cs="Arial"/>
          <w:iCs/>
          <w:szCs w:val="22"/>
        </w:rPr>
        <w:t xml:space="preserve">zbirno </w:t>
      </w:r>
      <w:r w:rsidRPr="00386EBA">
        <w:rPr>
          <w:rFonts w:ascii="Arial" w:hAnsi="Arial" w:cs="Arial"/>
          <w:iCs/>
          <w:color w:val="943634" w:themeColor="accent2" w:themeShade="BF"/>
          <w:szCs w:val="22"/>
        </w:rPr>
        <w:t xml:space="preserve">proračunski korisnici </w:t>
      </w:r>
      <w:r w:rsidRPr="003A2F86">
        <w:rPr>
          <w:rFonts w:ascii="Arial" w:hAnsi="Arial" w:cs="Arial"/>
          <w:iCs/>
          <w:szCs w:val="22"/>
        </w:rPr>
        <w:t>i sveukupno Proračun (€)</w:t>
      </w:r>
      <w:bookmarkEnd w:id="52"/>
    </w:p>
    <w:p w14:paraId="34B15501" w14:textId="77777777" w:rsidR="003E02DB" w:rsidRPr="003A2F86" w:rsidRDefault="003E02DB" w:rsidP="003E02D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2"/>
          <w:szCs w:val="12"/>
        </w:rPr>
      </w:pPr>
    </w:p>
    <w:p w14:paraId="095CDA23" w14:textId="6434B482" w:rsidR="0095465F" w:rsidRPr="003A2F86" w:rsidRDefault="00E4657C" w:rsidP="003B771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53" w:name="_Hlk176352365"/>
      <w:bookmarkStart w:id="54" w:name="_Hlk103066915"/>
      <w:r w:rsidRPr="00E4657C">
        <w:rPr>
          <w:noProof/>
        </w:rPr>
        <w:drawing>
          <wp:inline distT="0" distB="0" distL="0" distR="0" wp14:anchorId="37303761" wp14:editId="3E079B50">
            <wp:extent cx="9341485" cy="4153535"/>
            <wp:effectExtent l="0" t="0" r="0" b="0"/>
            <wp:docPr id="1354124188"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41485" cy="4153535"/>
                    </a:xfrm>
                    <a:prstGeom prst="rect">
                      <a:avLst/>
                    </a:prstGeom>
                    <a:noFill/>
                    <a:ln>
                      <a:noFill/>
                    </a:ln>
                  </pic:spPr>
                </pic:pic>
              </a:graphicData>
            </a:graphic>
          </wp:inline>
        </w:drawing>
      </w:r>
    </w:p>
    <w:p w14:paraId="6239792E" w14:textId="77777777" w:rsidR="00151995" w:rsidRDefault="00151995" w:rsidP="003B771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4661E16E" w14:textId="44DE10B2" w:rsidR="003B7715" w:rsidRPr="003A2F86" w:rsidRDefault="003B7715" w:rsidP="003B771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U prethodnoj tablici daje se pregled ostvarenih prihoda i primitaka za godišnje razdoblje 20</w:t>
      </w:r>
      <w:r w:rsidR="00151995">
        <w:rPr>
          <w:rFonts w:ascii="Arial" w:eastAsia="Times New Roman" w:hAnsi="Arial" w:cs="Arial"/>
        </w:rPr>
        <w:t>25</w:t>
      </w:r>
      <w:r w:rsidRPr="003A2F86">
        <w:rPr>
          <w:rFonts w:ascii="Arial" w:eastAsia="Times New Roman" w:hAnsi="Arial" w:cs="Arial"/>
        </w:rPr>
        <w:t xml:space="preserve">. godine na razini razreda i skupine za Općinu, zbirno za proračunske korisnike, te sveukupno za Proračun, dok se nakon tablice daje usporedni zbirni prikaz ostvarenih prihoda i primitaka po istim </w:t>
      </w:r>
      <w:r w:rsidR="00151995">
        <w:rPr>
          <w:rFonts w:ascii="Arial" w:eastAsia="Times New Roman" w:hAnsi="Arial" w:cs="Arial"/>
        </w:rPr>
        <w:t>kategorijama</w:t>
      </w:r>
      <w:r w:rsidRPr="003A2F86">
        <w:rPr>
          <w:rFonts w:ascii="Arial" w:eastAsia="Times New Roman" w:hAnsi="Arial" w:cs="Arial"/>
        </w:rPr>
        <w:t xml:space="preserve"> za </w:t>
      </w:r>
      <w:r w:rsidR="00151995">
        <w:rPr>
          <w:rFonts w:ascii="Arial" w:eastAsia="Times New Roman" w:hAnsi="Arial" w:cs="Arial"/>
        </w:rPr>
        <w:t xml:space="preserve">godišnja razdoblja </w:t>
      </w:r>
      <w:r w:rsidRPr="003A2F86">
        <w:rPr>
          <w:rFonts w:ascii="Arial" w:eastAsia="Times New Roman" w:hAnsi="Arial" w:cs="Arial"/>
        </w:rPr>
        <w:t>2019., 2021., 2022.</w:t>
      </w:r>
      <w:r w:rsidR="00151995">
        <w:rPr>
          <w:rFonts w:ascii="Arial" w:eastAsia="Times New Roman" w:hAnsi="Arial" w:cs="Arial"/>
        </w:rPr>
        <w:t>,</w:t>
      </w:r>
      <w:r w:rsidRPr="003A2F86">
        <w:rPr>
          <w:rFonts w:ascii="Arial" w:eastAsia="Times New Roman" w:hAnsi="Arial" w:cs="Arial"/>
        </w:rPr>
        <w:t xml:space="preserve"> 2023.</w:t>
      </w:r>
      <w:r w:rsidR="00151995">
        <w:rPr>
          <w:rFonts w:ascii="Arial" w:eastAsia="Times New Roman" w:hAnsi="Arial" w:cs="Arial"/>
        </w:rPr>
        <w:t xml:space="preserve"> i 202</w:t>
      </w:r>
      <w:r w:rsidR="00312F7D">
        <w:rPr>
          <w:rFonts w:ascii="Arial" w:eastAsia="Times New Roman" w:hAnsi="Arial" w:cs="Arial"/>
        </w:rPr>
        <w:t>4</w:t>
      </w:r>
      <w:r w:rsidR="00151995">
        <w:rPr>
          <w:rFonts w:ascii="Arial" w:eastAsia="Times New Roman" w:hAnsi="Arial" w:cs="Arial"/>
        </w:rPr>
        <w:t>.</w:t>
      </w:r>
    </w:p>
    <w:bookmarkEnd w:id="53"/>
    <w:p w14:paraId="3A1673CB" w14:textId="3E216A72" w:rsidR="00B96741" w:rsidRPr="003A2F86" w:rsidRDefault="00B96741" w:rsidP="00B9674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2"/>
          <w:szCs w:val="12"/>
        </w:rPr>
      </w:pPr>
    </w:p>
    <w:p w14:paraId="3693512A" w14:textId="261A9484" w:rsidR="00C71FC5" w:rsidRPr="003A2F86" w:rsidRDefault="00A65791" w:rsidP="00B9674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2"/>
          <w:szCs w:val="12"/>
        </w:rPr>
      </w:pPr>
      <w:r w:rsidRPr="00A65791">
        <w:rPr>
          <w:noProof/>
        </w:rPr>
        <w:lastRenderedPageBreak/>
        <w:drawing>
          <wp:inline distT="0" distB="0" distL="0" distR="0" wp14:anchorId="7B5535E9" wp14:editId="339D8C70">
            <wp:extent cx="9341485" cy="865505"/>
            <wp:effectExtent l="0" t="0" r="0" b="0"/>
            <wp:docPr id="688402766"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341485" cy="865505"/>
                    </a:xfrm>
                    <a:prstGeom prst="rect">
                      <a:avLst/>
                    </a:prstGeom>
                    <a:noFill/>
                    <a:ln>
                      <a:noFill/>
                    </a:ln>
                  </pic:spPr>
                </pic:pic>
              </a:graphicData>
            </a:graphic>
          </wp:inline>
        </w:drawing>
      </w:r>
    </w:p>
    <w:p w14:paraId="25B1F0BE" w14:textId="476C4F62" w:rsidR="0095465F" w:rsidRPr="003A2F86" w:rsidRDefault="007F3C20" w:rsidP="00B9674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2"/>
          <w:szCs w:val="12"/>
        </w:rPr>
      </w:pPr>
      <w:r w:rsidRPr="007F3C20">
        <w:rPr>
          <w:noProof/>
        </w:rPr>
        <w:drawing>
          <wp:inline distT="0" distB="0" distL="0" distR="0" wp14:anchorId="129B8B6F" wp14:editId="3BBC0203">
            <wp:extent cx="9341485" cy="1477645"/>
            <wp:effectExtent l="0" t="0" r="0" b="8255"/>
            <wp:docPr id="62022967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341485" cy="1477645"/>
                    </a:xfrm>
                    <a:prstGeom prst="rect">
                      <a:avLst/>
                    </a:prstGeom>
                    <a:noFill/>
                    <a:ln>
                      <a:noFill/>
                    </a:ln>
                  </pic:spPr>
                </pic:pic>
              </a:graphicData>
            </a:graphic>
          </wp:inline>
        </w:drawing>
      </w:r>
    </w:p>
    <w:p w14:paraId="03542D99" w14:textId="1628B921" w:rsidR="003E02DB" w:rsidRPr="003A2F86" w:rsidRDefault="003E02DB" w:rsidP="003E02D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1ECBE6E2" w14:textId="2B8609D0" w:rsidR="004F6DDA" w:rsidRPr="003A2F86" w:rsidRDefault="00A65791" w:rsidP="003E02D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55" w:name="_Hlk145929104"/>
      <w:r w:rsidRPr="00A65791">
        <w:rPr>
          <w:noProof/>
        </w:rPr>
        <w:drawing>
          <wp:inline distT="0" distB="0" distL="0" distR="0" wp14:anchorId="3CD42BF9" wp14:editId="7B4B7D78">
            <wp:extent cx="9341485" cy="1870710"/>
            <wp:effectExtent l="0" t="0" r="0" b="0"/>
            <wp:docPr id="1010317031"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41485" cy="1870710"/>
                    </a:xfrm>
                    <a:prstGeom prst="rect">
                      <a:avLst/>
                    </a:prstGeom>
                    <a:noFill/>
                    <a:ln>
                      <a:noFill/>
                    </a:ln>
                  </pic:spPr>
                </pic:pic>
              </a:graphicData>
            </a:graphic>
          </wp:inline>
        </w:drawing>
      </w:r>
    </w:p>
    <w:bookmarkEnd w:id="54"/>
    <w:bookmarkEnd w:id="55"/>
    <w:p w14:paraId="6FEB19F5" w14:textId="77777777" w:rsidR="004A2AA6" w:rsidRDefault="004A2AA6" w:rsidP="00891119">
      <w:pPr>
        <w:autoSpaceDE w:val="0"/>
        <w:autoSpaceDN w:val="0"/>
        <w:adjustRightInd w:val="0"/>
        <w:spacing w:after="0" w:line="240" w:lineRule="auto"/>
        <w:jc w:val="both"/>
        <w:rPr>
          <w:rFonts w:ascii="Arial" w:eastAsia="Calibri" w:hAnsi="Arial" w:cs="Arial"/>
          <w:bCs/>
          <w:lang w:eastAsia="en-US"/>
        </w:rPr>
      </w:pPr>
    </w:p>
    <w:p w14:paraId="710AD802" w14:textId="7CCBBF78" w:rsidR="00A65791" w:rsidRDefault="00A65791">
      <w:pPr>
        <w:rPr>
          <w:rFonts w:ascii="Arial" w:eastAsia="Calibri" w:hAnsi="Arial" w:cs="Arial"/>
          <w:bCs/>
          <w:lang w:eastAsia="en-US"/>
        </w:rPr>
      </w:pPr>
      <w:r>
        <w:rPr>
          <w:rFonts w:ascii="Arial" w:eastAsia="Calibri" w:hAnsi="Arial" w:cs="Arial"/>
          <w:bCs/>
          <w:lang w:eastAsia="en-US"/>
        </w:rPr>
        <w:br w:type="page"/>
      </w:r>
    </w:p>
    <w:p w14:paraId="2F7D4E77" w14:textId="77777777" w:rsidR="00A65791" w:rsidRDefault="00A65791" w:rsidP="00891119">
      <w:pPr>
        <w:autoSpaceDE w:val="0"/>
        <w:autoSpaceDN w:val="0"/>
        <w:adjustRightInd w:val="0"/>
        <w:spacing w:after="0" w:line="240" w:lineRule="auto"/>
        <w:jc w:val="both"/>
        <w:rPr>
          <w:rFonts w:ascii="Arial" w:eastAsia="Calibri" w:hAnsi="Arial" w:cs="Arial"/>
          <w:bCs/>
          <w:lang w:eastAsia="en-US"/>
        </w:rPr>
      </w:pPr>
    </w:p>
    <w:p w14:paraId="0CDA1CA1" w14:textId="7C0E5D0A" w:rsidR="003E02DB" w:rsidRPr="003A2F86" w:rsidRDefault="003E02DB" w:rsidP="003E02DB">
      <w:pPr>
        <w:pStyle w:val="Naslov3"/>
        <w:jc w:val="center"/>
        <w:rPr>
          <w:rFonts w:ascii="Arial" w:hAnsi="Arial" w:cs="Arial"/>
          <w:sz w:val="22"/>
          <w:lang w:val="hr-HR"/>
        </w:rPr>
      </w:pPr>
      <w:bookmarkStart w:id="56" w:name="_2.3.2.__RASHODI"/>
      <w:bookmarkStart w:id="57" w:name="_Toc232981384"/>
      <w:bookmarkEnd w:id="56"/>
      <w:r w:rsidRPr="003A2F86">
        <w:rPr>
          <w:rFonts w:ascii="Arial" w:hAnsi="Arial" w:cs="Arial"/>
          <w:sz w:val="22"/>
          <w:lang w:val="hr-HR"/>
        </w:rPr>
        <w:t>2.3.2.</w:t>
      </w:r>
      <w:r w:rsidRPr="003A2F86">
        <w:rPr>
          <w:rFonts w:ascii="Arial" w:hAnsi="Arial" w:cs="Arial"/>
          <w:sz w:val="22"/>
          <w:lang w:val="hr-HR"/>
        </w:rPr>
        <w:tab/>
      </w:r>
      <w:r w:rsidR="00E97058" w:rsidRPr="003A2F86">
        <w:rPr>
          <w:rFonts w:ascii="Arial" w:hAnsi="Arial" w:cs="Arial"/>
          <w:sz w:val="22"/>
          <w:lang w:val="hr-HR"/>
        </w:rPr>
        <w:tab/>
      </w:r>
      <w:r w:rsidRPr="003A2F86">
        <w:rPr>
          <w:rFonts w:ascii="Arial" w:hAnsi="Arial" w:cs="Arial"/>
          <w:sz w:val="22"/>
          <w:lang w:val="hr-HR"/>
        </w:rPr>
        <w:t>RASHODI I IZDACI</w:t>
      </w:r>
      <w:bookmarkStart w:id="58" w:name="Rashodi_i_izdaci"/>
      <w:bookmarkEnd w:id="57"/>
      <w:bookmarkEnd w:id="58"/>
    </w:p>
    <w:p w14:paraId="730F7961" w14:textId="77777777" w:rsidR="004A2AA6" w:rsidRPr="003A2F86" w:rsidRDefault="004A2AA6" w:rsidP="00891119">
      <w:pPr>
        <w:autoSpaceDE w:val="0"/>
        <w:autoSpaceDN w:val="0"/>
        <w:adjustRightInd w:val="0"/>
        <w:spacing w:after="0" w:line="240" w:lineRule="auto"/>
        <w:jc w:val="both"/>
        <w:rPr>
          <w:rFonts w:ascii="Arial" w:eastAsia="Calibri" w:hAnsi="Arial" w:cs="Arial"/>
          <w:bCs/>
          <w:lang w:eastAsia="en-US"/>
        </w:rPr>
      </w:pPr>
    </w:p>
    <w:p w14:paraId="00FB32BE" w14:textId="5DBD725B" w:rsidR="00891119" w:rsidRPr="003A2F86" w:rsidRDefault="00891119" w:rsidP="00891119">
      <w:pPr>
        <w:autoSpaceDE w:val="0"/>
        <w:autoSpaceDN w:val="0"/>
        <w:adjustRightInd w:val="0"/>
        <w:spacing w:after="0" w:line="240" w:lineRule="auto"/>
        <w:jc w:val="both"/>
        <w:rPr>
          <w:rFonts w:ascii="Arial" w:eastAsia="Times New Roman" w:hAnsi="Arial" w:cs="Arial"/>
          <w:iCs/>
          <w:color w:val="1F497D" w:themeColor="text2"/>
          <w:lang w:eastAsia="en-US"/>
        </w:rPr>
      </w:pPr>
      <w:bookmarkStart w:id="59" w:name="_Hlk145932967"/>
      <w:r w:rsidRPr="003A2F86">
        <w:rPr>
          <w:rFonts w:ascii="Arial" w:eastAsia="Calibri" w:hAnsi="Arial" w:cs="Arial"/>
          <w:b/>
          <w:bCs/>
          <w:color w:val="365F91" w:themeColor="accent1" w:themeShade="BF"/>
          <w:lang w:eastAsia="en-US"/>
        </w:rPr>
        <w:t xml:space="preserve">Ukupni rashodi i izdaci </w:t>
      </w:r>
      <w:r w:rsidR="00A65791">
        <w:rPr>
          <w:rFonts w:ascii="Arial" w:eastAsia="Calibri" w:hAnsi="Arial" w:cs="Arial"/>
          <w:b/>
          <w:color w:val="365F91" w:themeColor="accent1" w:themeShade="BF"/>
          <w:lang w:eastAsia="en-US"/>
        </w:rPr>
        <w:t>G</w:t>
      </w:r>
      <w:r w:rsidRPr="003A2F86">
        <w:rPr>
          <w:rFonts w:ascii="Arial" w:eastAsia="Calibri" w:hAnsi="Arial" w:cs="Arial"/>
          <w:b/>
          <w:color w:val="365F91" w:themeColor="accent1" w:themeShade="BF"/>
          <w:lang w:eastAsia="en-US"/>
        </w:rPr>
        <w:t>odišnjeg izvještaja</w:t>
      </w:r>
      <w:r w:rsidRPr="003A2F86">
        <w:rPr>
          <w:rFonts w:ascii="Arial" w:eastAsia="Calibri" w:hAnsi="Arial" w:cs="Arial"/>
          <w:color w:val="365F91" w:themeColor="accent1" w:themeShade="BF"/>
          <w:lang w:eastAsia="en-US"/>
        </w:rPr>
        <w:t xml:space="preserve"> </w:t>
      </w:r>
      <w:r w:rsidRPr="003A2F86">
        <w:rPr>
          <w:rFonts w:ascii="Arial" w:eastAsia="Calibri" w:hAnsi="Arial" w:cs="Arial"/>
          <w:color w:val="1F497D" w:themeColor="text2"/>
          <w:lang w:eastAsia="en-US"/>
        </w:rPr>
        <w:t xml:space="preserve">o izvršenju proračuna (što je jednako iznosima u </w:t>
      </w:r>
      <w:r w:rsidRPr="003A2F86">
        <w:rPr>
          <w:rFonts w:ascii="Arial" w:eastAsia="Times New Roman" w:hAnsi="Arial" w:cs="Arial"/>
          <w:iCs/>
          <w:color w:val="1F497D" w:themeColor="text2"/>
          <w:lang w:eastAsia="en-US"/>
        </w:rPr>
        <w:t xml:space="preserve">financijskim izvještajima </w:t>
      </w:r>
      <w:r w:rsidRPr="003A2F86">
        <w:rPr>
          <w:rFonts w:ascii="Arial" w:eastAsia="Times New Roman" w:hAnsi="Arial" w:cs="Arial"/>
          <w:iCs/>
          <w:color w:val="7030A0"/>
          <w:lang w:eastAsia="en-US"/>
        </w:rPr>
        <w:t>razina 23</w:t>
      </w:r>
      <w:r w:rsidRPr="003A2F86">
        <w:rPr>
          <w:rFonts w:ascii="Arial" w:eastAsia="Times New Roman" w:hAnsi="Arial" w:cs="Arial"/>
          <w:iCs/>
          <w:color w:val="1F497D" w:themeColor="text2"/>
          <w:lang w:eastAsia="en-US"/>
        </w:rPr>
        <w:t xml:space="preserve">) </w:t>
      </w:r>
      <w:r w:rsidRPr="003A2F86">
        <w:rPr>
          <w:rFonts w:ascii="Arial" w:eastAsia="Calibri" w:hAnsi="Arial" w:cs="Arial"/>
          <w:color w:val="1F497D" w:themeColor="text2"/>
          <w:lang w:eastAsia="en-US"/>
        </w:rPr>
        <w:t xml:space="preserve">izvršeni su u iznosu </w:t>
      </w:r>
      <w:bookmarkStart w:id="60" w:name="_Hlk145934160"/>
      <w:r w:rsidR="007B446C">
        <w:rPr>
          <w:rFonts w:ascii="Arial" w:eastAsia="Calibri" w:hAnsi="Arial" w:cs="Arial"/>
          <w:b/>
          <w:color w:val="1F497D" w:themeColor="text2"/>
          <w:u w:val="single"/>
          <w:lang w:eastAsia="en-US"/>
        </w:rPr>
        <w:t>26.434.475,83</w:t>
      </w:r>
      <w:r w:rsidR="00370A7B" w:rsidRPr="003A2F86">
        <w:rPr>
          <w:rFonts w:ascii="Arial" w:eastAsia="Calibri" w:hAnsi="Arial" w:cs="Arial"/>
          <w:b/>
          <w:color w:val="1F497D" w:themeColor="text2"/>
          <w:u w:val="single"/>
          <w:lang w:eastAsia="en-US"/>
        </w:rPr>
        <w:t xml:space="preserve"> €</w:t>
      </w:r>
      <w:r w:rsidRPr="003A2F86">
        <w:rPr>
          <w:rFonts w:ascii="Arial" w:eastAsia="Calibri" w:hAnsi="Arial" w:cs="Arial"/>
          <w:lang w:eastAsia="en-US"/>
        </w:rPr>
        <w:t xml:space="preserve"> </w:t>
      </w:r>
      <w:bookmarkEnd w:id="60"/>
      <w:r w:rsidRPr="003A2F86">
        <w:rPr>
          <w:rFonts w:ascii="Arial" w:eastAsia="Calibri" w:hAnsi="Arial" w:cs="Arial"/>
          <w:color w:val="1F497D" w:themeColor="text2"/>
          <w:lang w:eastAsia="en-US"/>
        </w:rPr>
        <w:t xml:space="preserve">odnosno </w:t>
      </w:r>
      <w:r w:rsidR="007B446C">
        <w:rPr>
          <w:rFonts w:ascii="Arial" w:eastAsia="Calibri" w:hAnsi="Arial" w:cs="Arial"/>
          <w:color w:val="1F497D" w:themeColor="text2"/>
          <w:lang w:eastAsia="en-US"/>
        </w:rPr>
        <w:t>76,8</w:t>
      </w:r>
      <w:r w:rsidRPr="003A2F86">
        <w:rPr>
          <w:rFonts w:ascii="Arial" w:eastAsia="Calibri" w:hAnsi="Arial" w:cs="Arial"/>
          <w:color w:val="1F497D" w:themeColor="text2"/>
          <w:lang w:eastAsia="en-US"/>
        </w:rPr>
        <w:t xml:space="preserve">% plana. </w:t>
      </w:r>
      <w:r w:rsidR="000C093F" w:rsidRPr="003A2F86">
        <w:rPr>
          <w:rFonts w:ascii="Arial" w:eastAsia="Calibri" w:hAnsi="Arial" w:cs="Arial"/>
          <w:color w:val="244061" w:themeColor="accent1" w:themeShade="80"/>
          <w:lang w:eastAsia="en-US"/>
        </w:rPr>
        <w:t>D</w:t>
      </w:r>
      <w:r w:rsidRPr="003A2F86">
        <w:rPr>
          <w:rFonts w:ascii="Arial" w:eastAsia="Calibri" w:hAnsi="Arial" w:cs="Arial"/>
          <w:color w:val="244061" w:themeColor="accent1" w:themeShade="80"/>
          <w:lang w:eastAsia="en-US"/>
        </w:rPr>
        <w:t xml:space="preserve">ijele </w:t>
      </w:r>
      <w:r w:rsidRPr="003A2F86">
        <w:rPr>
          <w:rFonts w:ascii="Arial" w:eastAsia="Calibri" w:hAnsi="Arial" w:cs="Arial"/>
          <w:color w:val="1F497D" w:themeColor="text2"/>
          <w:lang w:eastAsia="en-US"/>
        </w:rPr>
        <w:t xml:space="preserve">se na rashode i izdatke </w:t>
      </w:r>
      <w:r w:rsidR="008E64F0" w:rsidRPr="003A2F86">
        <w:rPr>
          <w:rFonts w:ascii="Arial" w:eastAsia="Calibri" w:hAnsi="Arial" w:cs="Arial"/>
          <w:color w:val="1F497D" w:themeColor="text2"/>
          <w:lang w:eastAsia="en-US"/>
        </w:rPr>
        <w:t xml:space="preserve">upravnih odjela </w:t>
      </w:r>
      <w:r w:rsidRPr="003A2F86">
        <w:rPr>
          <w:rFonts w:ascii="Arial" w:eastAsia="Calibri" w:hAnsi="Arial" w:cs="Arial"/>
          <w:color w:val="1F497D" w:themeColor="text2"/>
          <w:lang w:eastAsia="en-US"/>
        </w:rPr>
        <w:t xml:space="preserve">općinskog proračuna </w:t>
      </w:r>
      <w:r w:rsidR="007B446C">
        <w:rPr>
          <w:rFonts w:ascii="Arial" w:eastAsia="Calibri" w:hAnsi="Arial" w:cs="Arial"/>
          <w:b/>
          <w:color w:val="1F497D" w:themeColor="text2"/>
          <w:u w:val="single"/>
          <w:lang w:eastAsia="en-US"/>
        </w:rPr>
        <w:t>20.185.424,24</w:t>
      </w:r>
      <w:r w:rsidR="00370A7B" w:rsidRPr="003A2F86">
        <w:rPr>
          <w:rFonts w:ascii="Arial" w:eastAsia="Calibri" w:hAnsi="Arial" w:cs="Arial"/>
          <w:b/>
          <w:color w:val="1F497D" w:themeColor="text2"/>
          <w:u w:val="single"/>
          <w:lang w:eastAsia="en-US"/>
        </w:rPr>
        <w:t xml:space="preserve"> €</w:t>
      </w:r>
      <w:r w:rsidRPr="003A2F86">
        <w:rPr>
          <w:rFonts w:ascii="Arial" w:eastAsia="Calibri" w:hAnsi="Arial" w:cs="Arial"/>
          <w:lang w:eastAsia="en-US"/>
        </w:rPr>
        <w:t xml:space="preserve"> </w:t>
      </w:r>
      <w:r w:rsidRPr="003A2F86">
        <w:rPr>
          <w:rFonts w:ascii="Arial" w:eastAsia="Calibri" w:hAnsi="Arial" w:cs="Arial"/>
          <w:color w:val="1F497D" w:themeColor="text2"/>
          <w:lang w:eastAsia="en-US"/>
        </w:rPr>
        <w:t>(</w:t>
      </w:r>
      <w:r w:rsidR="007B446C">
        <w:rPr>
          <w:rFonts w:ascii="Arial" w:eastAsia="Calibri" w:hAnsi="Arial" w:cs="Arial"/>
          <w:color w:val="1F497D" w:themeColor="text2"/>
          <w:lang w:eastAsia="en-US"/>
        </w:rPr>
        <w:t>24.779.229,12</w:t>
      </w:r>
      <w:r w:rsidR="00370A7B" w:rsidRPr="003A2F86">
        <w:rPr>
          <w:rFonts w:ascii="Arial" w:eastAsia="Calibri" w:hAnsi="Arial" w:cs="Arial"/>
          <w:color w:val="1F497D" w:themeColor="text2"/>
          <w:lang w:eastAsia="en-US"/>
        </w:rPr>
        <w:t xml:space="preserve"> €</w:t>
      </w:r>
      <w:r w:rsidRPr="003A2F86">
        <w:rPr>
          <w:rFonts w:ascii="Arial" w:eastAsia="Calibri" w:hAnsi="Arial" w:cs="Arial"/>
          <w:color w:val="1F497D" w:themeColor="text2"/>
          <w:lang w:eastAsia="en-US"/>
        </w:rPr>
        <w:t xml:space="preserve"> rashodi Općine razina 22 umanjeno za </w:t>
      </w:r>
      <w:r w:rsidR="008E64F0" w:rsidRPr="003A2F86">
        <w:rPr>
          <w:rFonts w:ascii="Arial" w:eastAsia="Calibri" w:hAnsi="Arial" w:cs="Arial"/>
          <w:color w:val="1F497D" w:themeColor="text2"/>
          <w:lang w:eastAsia="en-US"/>
        </w:rPr>
        <w:t xml:space="preserve">prijenose proračunskim korisnicima za </w:t>
      </w:r>
      <w:r w:rsidRPr="003A2F86">
        <w:rPr>
          <w:rFonts w:ascii="Arial" w:eastAsia="Calibri" w:hAnsi="Arial" w:cs="Arial"/>
          <w:color w:val="1F497D" w:themeColor="text2"/>
          <w:lang w:eastAsia="en-US"/>
        </w:rPr>
        <w:t xml:space="preserve">rashode koji su financirani </w:t>
      </w:r>
      <w:r w:rsidR="008E64F0" w:rsidRPr="003A2F86">
        <w:rPr>
          <w:rFonts w:ascii="Arial" w:eastAsia="Calibri" w:hAnsi="Arial" w:cs="Arial"/>
          <w:color w:val="1F497D" w:themeColor="text2"/>
          <w:lang w:eastAsia="en-US"/>
        </w:rPr>
        <w:t xml:space="preserve">sredstvima </w:t>
      </w:r>
      <w:r w:rsidRPr="003A2F86">
        <w:rPr>
          <w:rFonts w:ascii="Arial" w:eastAsia="Calibri" w:hAnsi="Arial" w:cs="Arial"/>
          <w:color w:val="1F497D" w:themeColor="text2"/>
          <w:lang w:eastAsia="en-US"/>
        </w:rPr>
        <w:t>iz općinskog proračuna u 20</w:t>
      </w:r>
      <w:r w:rsidR="00741066" w:rsidRPr="003A2F86">
        <w:rPr>
          <w:rFonts w:ascii="Arial" w:eastAsia="Calibri" w:hAnsi="Arial" w:cs="Arial"/>
          <w:color w:val="1F497D" w:themeColor="text2"/>
          <w:lang w:eastAsia="en-US"/>
        </w:rPr>
        <w:t>2</w:t>
      </w:r>
      <w:r w:rsidR="00D95FEA">
        <w:rPr>
          <w:rFonts w:ascii="Arial" w:eastAsia="Calibri" w:hAnsi="Arial" w:cs="Arial"/>
          <w:color w:val="1F497D" w:themeColor="text2"/>
          <w:lang w:eastAsia="en-US"/>
        </w:rPr>
        <w:t>5</w:t>
      </w:r>
      <w:r w:rsidRPr="003A2F86">
        <w:rPr>
          <w:rFonts w:ascii="Arial" w:eastAsia="Calibri" w:hAnsi="Arial" w:cs="Arial"/>
          <w:color w:val="1F497D" w:themeColor="text2"/>
          <w:lang w:eastAsia="en-US"/>
        </w:rPr>
        <w:t>.</w:t>
      </w:r>
      <w:r w:rsidR="00CE0ACB" w:rsidRPr="003A2F86">
        <w:rPr>
          <w:rFonts w:ascii="Arial" w:eastAsia="Calibri" w:hAnsi="Arial" w:cs="Arial"/>
          <w:color w:val="1F497D" w:themeColor="text2"/>
          <w:lang w:eastAsia="en-US"/>
        </w:rPr>
        <w:t xml:space="preserve"> u iznosu </w:t>
      </w:r>
      <w:r w:rsidR="007B446C">
        <w:rPr>
          <w:rFonts w:ascii="Arial" w:eastAsia="Calibri" w:hAnsi="Arial" w:cs="Arial"/>
          <w:color w:val="1F497D" w:themeColor="text2"/>
          <w:lang w:eastAsia="en-US"/>
        </w:rPr>
        <w:t>4.593.804,88</w:t>
      </w:r>
      <w:r w:rsidR="00370A7B" w:rsidRPr="003A2F86">
        <w:rPr>
          <w:rFonts w:ascii="Arial" w:eastAsia="Calibri" w:hAnsi="Arial" w:cs="Arial"/>
          <w:color w:val="1F497D" w:themeColor="text2"/>
          <w:lang w:eastAsia="en-US"/>
        </w:rPr>
        <w:t xml:space="preserve"> €</w:t>
      </w:r>
      <w:r w:rsidRPr="003A2F86">
        <w:rPr>
          <w:rFonts w:ascii="Arial" w:eastAsia="Calibri" w:hAnsi="Arial" w:cs="Arial"/>
          <w:color w:val="1F497D" w:themeColor="text2"/>
          <w:lang w:eastAsia="en-US"/>
        </w:rPr>
        <w:t xml:space="preserve">) i rashode </w:t>
      </w:r>
      <w:r w:rsidRPr="003A2F86">
        <w:rPr>
          <w:rFonts w:ascii="Arial" w:eastAsia="Times New Roman" w:hAnsi="Arial" w:cs="Arial"/>
          <w:iCs/>
          <w:color w:val="1F497D" w:themeColor="text2"/>
          <w:lang w:eastAsia="en-US"/>
        </w:rPr>
        <w:t xml:space="preserve">proračunskih korisnika </w:t>
      </w:r>
      <w:r w:rsidR="007B446C">
        <w:rPr>
          <w:rFonts w:ascii="Arial" w:eastAsia="Calibri" w:hAnsi="Arial" w:cs="Arial"/>
          <w:b/>
          <w:color w:val="1F497D" w:themeColor="text2"/>
          <w:u w:val="single"/>
          <w:lang w:eastAsia="en-US"/>
        </w:rPr>
        <w:t>6.249.051,59</w:t>
      </w:r>
      <w:r w:rsidR="00370A7B" w:rsidRPr="003A2F86">
        <w:rPr>
          <w:rFonts w:ascii="Arial" w:eastAsia="Calibri" w:hAnsi="Arial" w:cs="Arial"/>
          <w:b/>
          <w:color w:val="1F497D" w:themeColor="text2"/>
          <w:u w:val="single"/>
          <w:lang w:eastAsia="en-US"/>
        </w:rPr>
        <w:t xml:space="preserve"> €</w:t>
      </w:r>
      <w:r w:rsidRPr="003A2F86">
        <w:rPr>
          <w:rFonts w:ascii="Arial" w:eastAsia="Times New Roman" w:hAnsi="Arial" w:cs="Arial"/>
          <w:iCs/>
          <w:color w:val="1F497D" w:themeColor="text2"/>
          <w:lang w:eastAsia="en-US"/>
        </w:rPr>
        <w:t xml:space="preserve"> (izvor financiranja Općina + izvor financiranja</w:t>
      </w:r>
      <w:r w:rsidR="004C3BBF" w:rsidRPr="003A2F86">
        <w:rPr>
          <w:rFonts w:ascii="Arial" w:eastAsia="Times New Roman" w:hAnsi="Arial" w:cs="Arial"/>
          <w:iCs/>
          <w:color w:val="1F497D" w:themeColor="text2"/>
          <w:lang w:eastAsia="en-US"/>
        </w:rPr>
        <w:t xml:space="preserve"> vlastiti prihodi korisnika</w:t>
      </w:r>
      <w:r w:rsidRPr="003A2F86">
        <w:rPr>
          <w:rFonts w:ascii="Arial" w:eastAsia="Times New Roman" w:hAnsi="Arial" w:cs="Arial"/>
          <w:iCs/>
          <w:color w:val="1F497D" w:themeColor="text2"/>
          <w:lang w:eastAsia="en-US"/>
        </w:rPr>
        <w:t xml:space="preserve">). </w:t>
      </w:r>
    </w:p>
    <w:bookmarkEnd w:id="59"/>
    <w:p w14:paraId="3FD65B98" w14:textId="77777777" w:rsidR="000C093F" w:rsidRPr="003A2F86" w:rsidRDefault="000C093F" w:rsidP="000C093F">
      <w:pPr>
        <w:autoSpaceDE w:val="0"/>
        <w:autoSpaceDN w:val="0"/>
        <w:adjustRightInd w:val="0"/>
        <w:spacing w:after="0" w:line="240" w:lineRule="auto"/>
        <w:jc w:val="both"/>
        <w:rPr>
          <w:rFonts w:ascii="Arial" w:eastAsia="Calibri" w:hAnsi="Arial" w:cs="Arial"/>
          <w:bCs/>
          <w:lang w:eastAsia="en-US"/>
        </w:rPr>
      </w:pPr>
    </w:p>
    <w:p w14:paraId="35ECEB90" w14:textId="580EFDFE" w:rsidR="00F70689" w:rsidRPr="003A2F86" w:rsidRDefault="00F70689" w:rsidP="00F70689">
      <w:pPr>
        <w:pStyle w:val="Opisslike"/>
        <w:rPr>
          <w:rFonts w:ascii="Arial" w:hAnsi="Arial" w:cs="Arial"/>
        </w:rPr>
      </w:pPr>
      <w:bookmarkStart w:id="61" w:name="_Toc232981567"/>
      <w:r w:rsidRPr="003A2F86">
        <w:rPr>
          <w:color w:val="FF0000"/>
        </w:rPr>
        <w:t xml:space="preserve">Graf </w:t>
      </w:r>
      <w:r w:rsidR="00D95FEA">
        <w:rPr>
          <w:color w:val="FF0000"/>
        </w:rPr>
        <w:fldChar w:fldCharType="begin"/>
      </w:r>
      <w:r w:rsidR="00D95FEA">
        <w:rPr>
          <w:color w:val="FF0000"/>
        </w:rPr>
        <w:instrText xml:space="preserve"> SEQ Graf \* ARABIC </w:instrText>
      </w:r>
      <w:r w:rsidR="00D95FEA">
        <w:rPr>
          <w:color w:val="FF0000"/>
        </w:rPr>
        <w:fldChar w:fldCharType="separate"/>
      </w:r>
      <w:r w:rsidR="00A821D8">
        <w:rPr>
          <w:noProof/>
          <w:color w:val="FF0000"/>
        </w:rPr>
        <w:t>7</w:t>
      </w:r>
      <w:r w:rsidR="00D95FEA">
        <w:rPr>
          <w:color w:val="FF0000"/>
        </w:rPr>
        <w:fldChar w:fldCharType="end"/>
      </w:r>
      <w:r w:rsidRPr="003A2F86">
        <w:rPr>
          <w:color w:val="FF0000"/>
        </w:rPr>
        <w:t xml:space="preserve">.: </w:t>
      </w:r>
      <w:r w:rsidRPr="003A2F86">
        <w:rPr>
          <w:rFonts w:ascii="Arial" w:hAnsi="Arial" w:cs="Arial"/>
        </w:rPr>
        <w:t xml:space="preserve">Struktura izvršenih rashoda i izdataka </w:t>
      </w:r>
      <w:r w:rsidR="00B33699" w:rsidRPr="003A2F86">
        <w:rPr>
          <w:rFonts w:ascii="Arial" w:hAnsi="Arial" w:cs="Arial"/>
        </w:rPr>
        <w:t>P</w:t>
      </w:r>
      <w:r w:rsidRPr="003A2F86">
        <w:rPr>
          <w:rFonts w:ascii="Arial" w:hAnsi="Arial" w:cs="Arial"/>
        </w:rPr>
        <w:t>roračuna u 20</w:t>
      </w:r>
      <w:r w:rsidR="00F04F70" w:rsidRPr="003A2F86">
        <w:rPr>
          <w:rFonts w:ascii="Arial" w:hAnsi="Arial" w:cs="Arial"/>
        </w:rPr>
        <w:t>2</w:t>
      </w:r>
      <w:r w:rsidR="00B4279A">
        <w:rPr>
          <w:rFonts w:ascii="Arial" w:hAnsi="Arial" w:cs="Arial"/>
        </w:rPr>
        <w:t>5</w:t>
      </w:r>
      <w:r w:rsidRPr="003A2F86">
        <w:rPr>
          <w:rFonts w:ascii="Arial" w:hAnsi="Arial" w:cs="Arial"/>
        </w:rPr>
        <w:t>.</w:t>
      </w:r>
      <w:r w:rsidR="00370A7B" w:rsidRPr="003A2F86">
        <w:rPr>
          <w:rFonts w:ascii="Arial" w:hAnsi="Arial" w:cs="Arial"/>
        </w:rPr>
        <w:t xml:space="preserve"> </w:t>
      </w:r>
      <w:r w:rsidR="00B33699" w:rsidRPr="003A2F86">
        <w:rPr>
          <w:rFonts w:ascii="Arial" w:hAnsi="Arial" w:cs="Arial"/>
        </w:rPr>
        <w:t xml:space="preserve">po korisnicima </w:t>
      </w:r>
      <w:r w:rsidR="00370A7B" w:rsidRPr="003A2F86">
        <w:rPr>
          <w:rFonts w:ascii="Arial" w:hAnsi="Arial" w:cs="Arial"/>
        </w:rPr>
        <w:t>(€)</w:t>
      </w:r>
      <w:r w:rsidR="00EE5330" w:rsidRPr="003A2F86">
        <w:rPr>
          <w:rFonts w:ascii="Arial" w:hAnsi="Arial" w:cs="Arial"/>
        </w:rPr>
        <w:t>:</w:t>
      </w:r>
      <w:r w:rsidRPr="003A2F86">
        <w:rPr>
          <w:rFonts w:ascii="Arial" w:hAnsi="Arial" w:cs="Arial"/>
        </w:rPr>
        <w:t xml:space="preserve"> </w:t>
      </w:r>
      <w:r w:rsidRPr="00386EBA">
        <w:rPr>
          <w:rFonts w:ascii="Arial" w:hAnsi="Arial" w:cs="Arial"/>
          <w:color w:val="1F497D" w:themeColor="text2"/>
        </w:rPr>
        <w:t>Općina</w:t>
      </w:r>
      <w:r w:rsidR="004812B6" w:rsidRPr="003A2F86">
        <w:rPr>
          <w:rFonts w:ascii="Arial" w:hAnsi="Arial" w:cs="Arial"/>
        </w:rPr>
        <w:t xml:space="preserve">, te </w:t>
      </w:r>
      <w:r w:rsidRPr="00386EBA">
        <w:rPr>
          <w:rFonts w:ascii="Arial" w:hAnsi="Arial" w:cs="Arial"/>
          <w:color w:val="943634" w:themeColor="accent2" w:themeShade="BF"/>
        </w:rPr>
        <w:t>proračunski korisnici</w:t>
      </w:r>
      <w:r w:rsidR="004812B6" w:rsidRPr="00386EBA">
        <w:rPr>
          <w:rFonts w:ascii="Arial" w:hAnsi="Arial" w:cs="Arial"/>
          <w:color w:val="943634" w:themeColor="accent2" w:themeShade="BF"/>
        </w:rPr>
        <w:t xml:space="preserve"> </w:t>
      </w:r>
      <w:r w:rsidR="004812B6" w:rsidRPr="003A2F86">
        <w:rPr>
          <w:rFonts w:ascii="Arial" w:hAnsi="Arial" w:cs="Arial"/>
        </w:rPr>
        <w:t>zbirno i pojedinačno</w:t>
      </w:r>
      <w:bookmarkEnd w:id="61"/>
      <w:r w:rsidR="004812B6" w:rsidRPr="003A2F86">
        <w:rPr>
          <w:rFonts w:ascii="Arial" w:hAnsi="Arial" w:cs="Arial"/>
        </w:rPr>
        <w:t xml:space="preserve"> </w:t>
      </w:r>
    </w:p>
    <w:p w14:paraId="5D15BE2A" w14:textId="77777777" w:rsidR="00891119" w:rsidRPr="003A2F86" w:rsidRDefault="00891119" w:rsidP="00891119">
      <w:pPr>
        <w:autoSpaceDE w:val="0"/>
        <w:autoSpaceDN w:val="0"/>
        <w:adjustRightInd w:val="0"/>
        <w:spacing w:after="0" w:line="240" w:lineRule="auto"/>
        <w:jc w:val="center"/>
        <w:rPr>
          <w:rFonts w:ascii="Arial" w:eastAsia="Calibri" w:hAnsi="Arial" w:cs="Arial"/>
          <w:lang w:eastAsia="en-US"/>
        </w:rPr>
      </w:pPr>
      <w:r w:rsidRPr="003A2F86">
        <w:rPr>
          <w:rFonts w:ascii="Arial" w:eastAsia="Calibri" w:hAnsi="Arial" w:cs="Arial"/>
          <w:noProof/>
          <w:color w:val="FF0000"/>
        </w:rPr>
        <w:drawing>
          <wp:inline distT="0" distB="0" distL="0" distR="0" wp14:anchorId="5D76D580" wp14:editId="31180EC8">
            <wp:extent cx="8686800" cy="3248025"/>
            <wp:effectExtent l="0" t="0" r="0" b="9525"/>
            <wp:docPr id="14" name="Grafikon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62D3CB5" w14:textId="77777777" w:rsidR="00891119" w:rsidRPr="003A2F86" w:rsidRDefault="00891119" w:rsidP="00891119">
      <w:pPr>
        <w:autoSpaceDE w:val="0"/>
        <w:autoSpaceDN w:val="0"/>
        <w:adjustRightInd w:val="0"/>
        <w:spacing w:after="0" w:line="240" w:lineRule="auto"/>
        <w:jc w:val="both"/>
        <w:rPr>
          <w:rFonts w:ascii="Arial" w:eastAsia="Times New Roman" w:hAnsi="Arial" w:cs="Arial"/>
          <w:iCs/>
          <w:lang w:eastAsia="en-US"/>
        </w:rPr>
      </w:pPr>
    </w:p>
    <w:p w14:paraId="307EB15D" w14:textId="6C33DE83" w:rsidR="00891119" w:rsidRPr="003A2F86" w:rsidRDefault="00891119" w:rsidP="00891119">
      <w:pPr>
        <w:autoSpaceDE w:val="0"/>
        <w:autoSpaceDN w:val="0"/>
        <w:adjustRightInd w:val="0"/>
        <w:spacing w:after="0" w:line="240" w:lineRule="auto"/>
        <w:jc w:val="both"/>
        <w:rPr>
          <w:rFonts w:ascii="Arial" w:eastAsia="Times New Roman" w:hAnsi="Arial" w:cs="Arial"/>
          <w:iCs/>
          <w:szCs w:val="20"/>
          <w:lang w:eastAsia="en-US"/>
        </w:rPr>
      </w:pPr>
      <w:bookmarkStart w:id="62" w:name="_Hlk230157470"/>
      <w:r w:rsidRPr="003A2F86">
        <w:rPr>
          <w:rFonts w:ascii="Arial" w:eastAsia="Times New Roman" w:hAnsi="Arial" w:cs="Arial"/>
          <w:iCs/>
          <w:szCs w:val="20"/>
          <w:lang w:eastAsia="en-US"/>
        </w:rPr>
        <w:t xml:space="preserve">Od ukupnih rashoda proračunskih korisnika iz općinskog proračuna u </w:t>
      </w:r>
      <w:r w:rsidR="009B00AC" w:rsidRPr="003A2F86">
        <w:rPr>
          <w:rFonts w:ascii="Arial" w:eastAsia="Times New Roman" w:hAnsi="Arial" w:cs="Arial"/>
          <w:iCs/>
          <w:szCs w:val="20"/>
          <w:lang w:eastAsia="en-US"/>
        </w:rPr>
        <w:t>202</w:t>
      </w:r>
      <w:r w:rsidR="00B4279A">
        <w:rPr>
          <w:rFonts w:ascii="Arial" w:eastAsia="Times New Roman" w:hAnsi="Arial" w:cs="Arial"/>
          <w:iCs/>
          <w:szCs w:val="20"/>
          <w:lang w:eastAsia="en-US"/>
        </w:rPr>
        <w:t>5</w:t>
      </w:r>
      <w:r w:rsidR="00370A7B" w:rsidRPr="003A2F86">
        <w:rPr>
          <w:rFonts w:ascii="Arial" w:eastAsia="Times New Roman" w:hAnsi="Arial" w:cs="Arial"/>
          <w:iCs/>
          <w:szCs w:val="20"/>
          <w:lang w:eastAsia="en-US"/>
        </w:rPr>
        <w:t>.</w:t>
      </w:r>
      <w:r w:rsidRPr="003A2F86">
        <w:rPr>
          <w:rFonts w:ascii="Arial" w:eastAsia="Times New Roman" w:hAnsi="Arial" w:cs="Arial"/>
          <w:iCs/>
          <w:szCs w:val="20"/>
          <w:lang w:eastAsia="en-US"/>
        </w:rPr>
        <w:t xml:space="preserve"> je financirano </w:t>
      </w:r>
      <w:r w:rsidR="009C2AB4">
        <w:rPr>
          <w:rFonts w:ascii="Arial" w:eastAsia="Times New Roman" w:hAnsi="Arial" w:cs="Arial"/>
          <w:iCs/>
          <w:szCs w:val="20"/>
          <w:lang w:eastAsia="en-US"/>
        </w:rPr>
        <w:t>4.593.804,88</w:t>
      </w:r>
      <w:r w:rsidR="0084311C" w:rsidRPr="003A2F86">
        <w:rPr>
          <w:rFonts w:ascii="Arial" w:eastAsia="Times New Roman" w:hAnsi="Arial" w:cs="Arial"/>
          <w:iCs/>
          <w:szCs w:val="20"/>
          <w:lang w:eastAsia="en-US"/>
        </w:rPr>
        <w:t xml:space="preserve"> €</w:t>
      </w:r>
      <w:r w:rsidRPr="003A2F86">
        <w:rPr>
          <w:rFonts w:ascii="Arial" w:eastAsia="Times New Roman" w:hAnsi="Arial" w:cs="Arial"/>
          <w:iCs/>
          <w:szCs w:val="20"/>
          <w:lang w:eastAsia="en-US"/>
        </w:rPr>
        <w:t xml:space="preserve"> (u financijskim izvještajima Općine, razina 22, iskazano na računu 367, dok se za isto izvještajno razdoblje u financijskim izvještajima proračunskih korisnika, razina 21 i 31, ovi rashodi iskazuju prema prirodnoj vrsti troška). </w:t>
      </w:r>
    </w:p>
    <w:p w14:paraId="07670CD0" w14:textId="77777777" w:rsidR="00943155" w:rsidRPr="003A2F86" w:rsidRDefault="00943155" w:rsidP="00891119">
      <w:pPr>
        <w:autoSpaceDE w:val="0"/>
        <w:autoSpaceDN w:val="0"/>
        <w:adjustRightInd w:val="0"/>
        <w:spacing w:after="0" w:line="240" w:lineRule="auto"/>
        <w:jc w:val="both"/>
        <w:rPr>
          <w:rFonts w:ascii="Arial" w:eastAsia="Times New Roman" w:hAnsi="Arial" w:cs="Arial"/>
          <w:iCs/>
          <w:szCs w:val="20"/>
          <w:lang w:eastAsia="en-US"/>
        </w:rPr>
      </w:pPr>
    </w:p>
    <w:p w14:paraId="17633ABE" w14:textId="483DB45C" w:rsidR="00891119" w:rsidRPr="003A2F86" w:rsidRDefault="00891119" w:rsidP="00891119">
      <w:pPr>
        <w:autoSpaceDE w:val="0"/>
        <w:autoSpaceDN w:val="0"/>
        <w:adjustRightInd w:val="0"/>
        <w:spacing w:after="0" w:line="240" w:lineRule="auto"/>
        <w:jc w:val="both"/>
        <w:rPr>
          <w:rFonts w:ascii="Arial" w:eastAsia="Times New Roman" w:hAnsi="Arial" w:cs="Arial"/>
          <w:iCs/>
          <w:szCs w:val="20"/>
          <w:lang w:eastAsia="en-US"/>
        </w:rPr>
      </w:pPr>
      <w:r w:rsidRPr="003A2F86">
        <w:rPr>
          <w:rFonts w:ascii="Arial" w:eastAsia="Times New Roman" w:hAnsi="Arial" w:cs="Arial"/>
          <w:b/>
          <w:bCs/>
          <w:iCs/>
          <w:szCs w:val="20"/>
          <w:lang w:eastAsia="en-US"/>
        </w:rPr>
        <w:t xml:space="preserve">Rashodi </w:t>
      </w:r>
      <w:r w:rsidR="00543244" w:rsidRPr="003A2F86">
        <w:rPr>
          <w:rFonts w:ascii="Arial" w:eastAsia="Times New Roman" w:hAnsi="Arial" w:cs="Arial"/>
          <w:b/>
          <w:bCs/>
          <w:iCs/>
          <w:szCs w:val="20"/>
          <w:lang w:eastAsia="en-US"/>
        </w:rPr>
        <w:t>za 202</w:t>
      </w:r>
      <w:r w:rsidR="00B4279A">
        <w:rPr>
          <w:rFonts w:ascii="Arial" w:eastAsia="Times New Roman" w:hAnsi="Arial" w:cs="Arial"/>
          <w:b/>
          <w:bCs/>
          <w:iCs/>
          <w:szCs w:val="20"/>
          <w:lang w:eastAsia="en-US"/>
        </w:rPr>
        <w:t>5</w:t>
      </w:r>
      <w:r w:rsidR="00543244" w:rsidRPr="003A2F86">
        <w:rPr>
          <w:rFonts w:ascii="Arial" w:eastAsia="Times New Roman" w:hAnsi="Arial" w:cs="Arial"/>
          <w:b/>
          <w:bCs/>
          <w:iCs/>
          <w:szCs w:val="20"/>
          <w:lang w:eastAsia="en-US"/>
        </w:rPr>
        <w:t xml:space="preserve">. </w:t>
      </w:r>
      <w:r w:rsidRPr="003A2F86">
        <w:rPr>
          <w:rFonts w:ascii="Arial" w:eastAsia="Times New Roman" w:hAnsi="Arial" w:cs="Arial"/>
          <w:iCs/>
          <w:szCs w:val="20"/>
          <w:lang w:eastAsia="en-US"/>
        </w:rPr>
        <w:t xml:space="preserve">koje proračunski korisnici podmiruju iz svojih vlastitih izvora iznose </w:t>
      </w:r>
      <w:r w:rsidR="009C2AB4">
        <w:rPr>
          <w:rFonts w:ascii="Arial" w:eastAsia="Times New Roman" w:hAnsi="Arial" w:cs="Arial"/>
          <w:iCs/>
          <w:szCs w:val="20"/>
          <w:lang w:eastAsia="en-US"/>
        </w:rPr>
        <w:t>1.627.949,57</w:t>
      </w:r>
      <w:r w:rsidR="0084311C" w:rsidRPr="003A2F86">
        <w:rPr>
          <w:rFonts w:ascii="Arial" w:eastAsia="Times New Roman" w:hAnsi="Arial" w:cs="Arial"/>
          <w:iCs/>
          <w:szCs w:val="20"/>
          <w:lang w:eastAsia="en-US"/>
        </w:rPr>
        <w:t xml:space="preserve"> €</w:t>
      </w:r>
      <w:r w:rsidRPr="003A2F86">
        <w:rPr>
          <w:rFonts w:ascii="Arial" w:eastAsia="Times New Roman" w:hAnsi="Arial" w:cs="Arial"/>
          <w:iCs/>
          <w:szCs w:val="20"/>
          <w:lang w:eastAsia="en-US"/>
        </w:rPr>
        <w:t xml:space="preserve">. Obveze </w:t>
      </w:r>
      <w:r w:rsidR="00AE5560" w:rsidRPr="003A2F86">
        <w:rPr>
          <w:rFonts w:ascii="Arial" w:eastAsia="Times New Roman" w:hAnsi="Arial" w:cs="Arial"/>
          <w:iCs/>
          <w:szCs w:val="20"/>
          <w:lang w:eastAsia="en-US"/>
        </w:rPr>
        <w:t xml:space="preserve">proračunskih korisnika </w:t>
      </w:r>
      <w:r w:rsidRPr="003A2F86">
        <w:rPr>
          <w:rFonts w:ascii="Arial" w:eastAsia="Times New Roman" w:hAnsi="Arial" w:cs="Arial"/>
          <w:iCs/>
          <w:szCs w:val="20"/>
          <w:lang w:eastAsia="en-US"/>
        </w:rPr>
        <w:t xml:space="preserve">za iskazane rashode </w:t>
      </w:r>
      <w:r w:rsidR="00AE5560" w:rsidRPr="003A2F86">
        <w:rPr>
          <w:rFonts w:ascii="Arial" w:eastAsia="Times New Roman" w:hAnsi="Arial" w:cs="Arial"/>
          <w:iCs/>
          <w:szCs w:val="20"/>
          <w:lang w:eastAsia="en-US"/>
        </w:rPr>
        <w:t xml:space="preserve">koncem </w:t>
      </w:r>
      <w:r w:rsidR="00417C6C" w:rsidRPr="003A2F86">
        <w:rPr>
          <w:rFonts w:ascii="Arial" w:eastAsia="Times New Roman" w:hAnsi="Arial" w:cs="Arial"/>
          <w:iCs/>
          <w:szCs w:val="20"/>
          <w:lang w:eastAsia="en-US"/>
        </w:rPr>
        <w:t>20</w:t>
      </w:r>
      <w:r w:rsidR="00445C54" w:rsidRPr="003A2F86">
        <w:rPr>
          <w:rFonts w:ascii="Arial" w:eastAsia="Times New Roman" w:hAnsi="Arial" w:cs="Arial"/>
          <w:iCs/>
          <w:szCs w:val="20"/>
          <w:lang w:eastAsia="en-US"/>
        </w:rPr>
        <w:t>2</w:t>
      </w:r>
      <w:r w:rsidR="00B4279A">
        <w:rPr>
          <w:rFonts w:ascii="Arial" w:eastAsia="Times New Roman" w:hAnsi="Arial" w:cs="Arial"/>
          <w:iCs/>
          <w:szCs w:val="20"/>
          <w:lang w:eastAsia="en-US"/>
        </w:rPr>
        <w:t>5</w:t>
      </w:r>
      <w:r w:rsidR="00445C54" w:rsidRPr="003A2F86">
        <w:rPr>
          <w:rFonts w:ascii="Arial" w:eastAsia="Times New Roman" w:hAnsi="Arial" w:cs="Arial"/>
          <w:iCs/>
          <w:szCs w:val="20"/>
          <w:lang w:eastAsia="en-US"/>
        </w:rPr>
        <w:t>.</w:t>
      </w:r>
      <w:r w:rsidR="00417C6C" w:rsidRPr="003A2F86">
        <w:rPr>
          <w:rFonts w:ascii="Arial" w:eastAsia="Times New Roman" w:hAnsi="Arial" w:cs="Arial"/>
          <w:iCs/>
          <w:szCs w:val="20"/>
          <w:lang w:eastAsia="en-US"/>
        </w:rPr>
        <w:t xml:space="preserve"> godine </w:t>
      </w:r>
      <w:r w:rsidR="004C317A" w:rsidRPr="003A2F86">
        <w:rPr>
          <w:rFonts w:ascii="Arial" w:eastAsia="Times New Roman" w:hAnsi="Arial" w:cs="Arial"/>
          <w:iCs/>
          <w:szCs w:val="20"/>
          <w:lang w:eastAsia="en-US"/>
        </w:rPr>
        <w:t>i</w:t>
      </w:r>
      <w:r w:rsidRPr="003A2F86">
        <w:rPr>
          <w:rFonts w:ascii="Arial" w:eastAsia="Times New Roman" w:hAnsi="Arial" w:cs="Arial"/>
          <w:iCs/>
          <w:szCs w:val="20"/>
          <w:lang w:eastAsia="en-US"/>
        </w:rPr>
        <w:t xml:space="preserve">znose </w:t>
      </w:r>
      <w:r w:rsidR="009C2AB4">
        <w:rPr>
          <w:rFonts w:ascii="Arial" w:eastAsia="Times New Roman" w:hAnsi="Arial" w:cs="Arial"/>
          <w:iCs/>
          <w:szCs w:val="20"/>
          <w:lang w:eastAsia="en-US"/>
        </w:rPr>
        <w:t>488.538,90</w:t>
      </w:r>
      <w:r w:rsidR="0084311C" w:rsidRPr="003A2F86">
        <w:rPr>
          <w:rFonts w:ascii="Arial" w:eastAsia="Times New Roman" w:hAnsi="Arial" w:cs="Arial"/>
          <w:iCs/>
          <w:szCs w:val="20"/>
          <w:lang w:eastAsia="en-US"/>
        </w:rPr>
        <w:t xml:space="preserve"> €</w:t>
      </w:r>
      <w:r w:rsidRPr="003A2F86">
        <w:rPr>
          <w:rFonts w:ascii="Arial" w:eastAsia="Times New Roman" w:hAnsi="Arial" w:cs="Arial"/>
          <w:iCs/>
          <w:szCs w:val="20"/>
          <w:lang w:eastAsia="en-US"/>
        </w:rPr>
        <w:t>, od čega obveze kojima je izvor općinski proračun (</w:t>
      </w:r>
      <w:r w:rsidR="00E71456" w:rsidRPr="003A2F86">
        <w:rPr>
          <w:rFonts w:ascii="Arial" w:eastAsia="Times New Roman" w:hAnsi="Arial" w:cs="Arial"/>
          <w:iCs/>
          <w:szCs w:val="20"/>
          <w:lang w:eastAsia="en-US"/>
        </w:rPr>
        <w:t xml:space="preserve">izvor </w:t>
      </w:r>
      <w:r w:rsidRPr="003A2F86">
        <w:rPr>
          <w:rFonts w:ascii="Arial" w:eastAsia="Times New Roman" w:hAnsi="Arial" w:cs="Arial"/>
          <w:iCs/>
          <w:szCs w:val="20"/>
          <w:lang w:eastAsia="en-US"/>
        </w:rPr>
        <w:t xml:space="preserve">110) iznose </w:t>
      </w:r>
      <w:r w:rsidR="00A31492">
        <w:rPr>
          <w:rFonts w:ascii="Arial" w:eastAsia="Times New Roman" w:hAnsi="Arial" w:cs="Arial"/>
          <w:iCs/>
          <w:szCs w:val="20"/>
          <w:lang w:eastAsia="en-US"/>
        </w:rPr>
        <w:t>427.041,85</w:t>
      </w:r>
      <w:r w:rsidR="0084311C" w:rsidRPr="003A2F86">
        <w:rPr>
          <w:rFonts w:ascii="Arial" w:eastAsia="Times New Roman" w:hAnsi="Arial" w:cs="Arial"/>
          <w:iCs/>
          <w:szCs w:val="20"/>
          <w:lang w:eastAsia="en-US"/>
        </w:rPr>
        <w:t xml:space="preserve"> €</w:t>
      </w:r>
      <w:r w:rsidRPr="003A2F86">
        <w:rPr>
          <w:rFonts w:ascii="Arial" w:eastAsia="Times New Roman" w:hAnsi="Arial" w:cs="Arial"/>
          <w:iCs/>
          <w:szCs w:val="20"/>
          <w:lang w:eastAsia="en-US"/>
        </w:rPr>
        <w:t xml:space="preserve"> (podmiruje se </w:t>
      </w:r>
      <w:r w:rsidR="0084311C" w:rsidRPr="003A2F86">
        <w:rPr>
          <w:rFonts w:ascii="Arial" w:eastAsia="Times New Roman" w:hAnsi="Arial" w:cs="Arial"/>
          <w:iCs/>
          <w:szCs w:val="20"/>
          <w:lang w:eastAsia="en-US"/>
        </w:rPr>
        <w:t xml:space="preserve">u </w:t>
      </w:r>
      <w:r w:rsidRPr="003A2F86">
        <w:rPr>
          <w:rFonts w:ascii="Arial" w:eastAsia="Times New Roman" w:hAnsi="Arial" w:cs="Arial"/>
          <w:iCs/>
          <w:szCs w:val="20"/>
          <w:lang w:eastAsia="en-US"/>
        </w:rPr>
        <w:t>20</w:t>
      </w:r>
      <w:r w:rsidR="00AE5560" w:rsidRPr="003A2F86">
        <w:rPr>
          <w:rFonts w:ascii="Arial" w:eastAsia="Times New Roman" w:hAnsi="Arial" w:cs="Arial"/>
          <w:iCs/>
          <w:szCs w:val="20"/>
          <w:lang w:eastAsia="en-US"/>
        </w:rPr>
        <w:t>2</w:t>
      </w:r>
      <w:r w:rsidR="00A31492">
        <w:rPr>
          <w:rFonts w:ascii="Arial" w:eastAsia="Times New Roman" w:hAnsi="Arial" w:cs="Arial"/>
          <w:iCs/>
          <w:szCs w:val="20"/>
          <w:lang w:eastAsia="en-US"/>
        </w:rPr>
        <w:t>6</w:t>
      </w:r>
      <w:r w:rsidRPr="003A2F86">
        <w:rPr>
          <w:rFonts w:ascii="Arial" w:eastAsia="Times New Roman" w:hAnsi="Arial" w:cs="Arial"/>
          <w:iCs/>
          <w:szCs w:val="20"/>
          <w:lang w:eastAsia="en-US"/>
        </w:rPr>
        <w:t xml:space="preserve">.), a obveze za iskazane rashode korisnika kojima su izvor vlastita sredstva </w:t>
      </w:r>
      <w:r w:rsidR="009B00AC" w:rsidRPr="003A2F86">
        <w:rPr>
          <w:rFonts w:ascii="Arial" w:eastAsia="Times New Roman" w:hAnsi="Arial" w:cs="Arial"/>
          <w:iCs/>
          <w:szCs w:val="20"/>
          <w:lang w:eastAsia="en-US"/>
        </w:rPr>
        <w:t xml:space="preserve">proračunskih korisnika </w:t>
      </w:r>
      <w:r w:rsidRPr="003A2F86">
        <w:rPr>
          <w:rFonts w:ascii="Arial" w:eastAsia="Times New Roman" w:hAnsi="Arial" w:cs="Arial"/>
          <w:iCs/>
          <w:szCs w:val="20"/>
          <w:lang w:eastAsia="en-US"/>
        </w:rPr>
        <w:t xml:space="preserve">iznose </w:t>
      </w:r>
      <w:r w:rsidR="00A31492">
        <w:rPr>
          <w:rFonts w:ascii="Arial" w:eastAsia="Times New Roman" w:hAnsi="Arial" w:cs="Arial"/>
          <w:iCs/>
          <w:szCs w:val="20"/>
          <w:lang w:eastAsia="en-US"/>
        </w:rPr>
        <w:t>61.497,05</w:t>
      </w:r>
      <w:r w:rsidR="0084311C" w:rsidRPr="003A2F86">
        <w:rPr>
          <w:rFonts w:ascii="Arial" w:eastAsia="Times New Roman" w:hAnsi="Arial" w:cs="Arial"/>
          <w:iCs/>
          <w:szCs w:val="20"/>
          <w:lang w:eastAsia="en-US"/>
        </w:rPr>
        <w:t xml:space="preserve"> €</w:t>
      </w:r>
      <w:r w:rsidRPr="003A2F86">
        <w:rPr>
          <w:rFonts w:ascii="Arial" w:eastAsia="Times New Roman" w:hAnsi="Arial" w:cs="Arial"/>
          <w:iCs/>
          <w:szCs w:val="20"/>
          <w:lang w:eastAsia="en-US"/>
        </w:rPr>
        <w:t>.</w:t>
      </w:r>
    </w:p>
    <w:bookmarkEnd w:id="62"/>
    <w:p w14:paraId="26A9B207" w14:textId="77777777" w:rsidR="004C37E6" w:rsidRPr="003A2F86" w:rsidRDefault="004C37E6" w:rsidP="00417C6C">
      <w:pPr>
        <w:autoSpaceDE w:val="0"/>
        <w:autoSpaceDN w:val="0"/>
        <w:adjustRightInd w:val="0"/>
        <w:spacing w:after="0" w:line="240" w:lineRule="auto"/>
        <w:jc w:val="both"/>
        <w:rPr>
          <w:rFonts w:ascii="Arial" w:eastAsia="Times New Roman" w:hAnsi="Arial" w:cs="Arial"/>
          <w:iCs/>
          <w:szCs w:val="16"/>
          <w:lang w:eastAsia="en-US"/>
        </w:rPr>
      </w:pPr>
    </w:p>
    <w:p w14:paraId="384C9E65" w14:textId="0800FFC2" w:rsidR="00FB2837" w:rsidRPr="003A2F86" w:rsidRDefault="00602E49" w:rsidP="00602E49">
      <w:pPr>
        <w:pStyle w:val="Opisslike"/>
        <w:keepNext/>
        <w:rPr>
          <w:rFonts w:ascii="Arial" w:eastAsia="Calibri" w:hAnsi="Arial" w:cs="Arial"/>
        </w:rPr>
      </w:pPr>
      <w:bookmarkStart w:id="63" w:name="_Toc232981536"/>
      <w:r w:rsidRPr="003A2F86">
        <w:rPr>
          <w:color w:val="FF0000"/>
        </w:rPr>
        <w:t xml:space="preserve">Tablica </w:t>
      </w:r>
      <w:r w:rsidR="002A3DE2" w:rsidRPr="003A2F86">
        <w:rPr>
          <w:color w:val="FF0000"/>
        </w:rPr>
        <w:fldChar w:fldCharType="begin"/>
      </w:r>
      <w:r w:rsidR="002A3DE2" w:rsidRPr="003A2F86">
        <w:rPr>
          <w:color w:val="FF0000"/>
        </w:rPr>
        <w:instrText xml:space="preserve"> SEQ Tablica \* ARABIC </w:instrText>
      </w:r>
      <w:r w:rsidR="002A3DE2" w:rsidRPr="003A2F86">
        <w:rPr>
          <w:color w:val="FF0000"/>
        </w:rPr>
        <w:fldChar w:fldCharType="separate"/>
      </w:r>
      <w:r w:rsidR="00A821D8">
        <w:rPr>
          <w:noProof/>
          <w:color w:val="FF0000"/>
        </w:rPr>
        <w:t>17</w:t>
      </w:r>
      <w:r w:rsidR="002A3DE2" w:rsidRPr="003A2F86">
        <w:rPr>
          <w:color w:val="FF0000"/>
        </w:rPr>
        <w:fldChar w:fldCharType="end"/>
      </w:r>
      <w:r w:rsidRPr="003A2F86">
        <w:rPr>
          <w:color w:val="FF0000"/>
        </w:rPr>
        <w:t xml:space="preserve">.: </w:t>
      </w:r>
      <w:r w:rsidR="00FB2837" w:rsidRPr="003A2F86">
        <w:rPr>
          <w:rFonts w:ascii="Arial" w:eastAsia="Calibri" w:hAnsi="Arial" w:cs="Arial"/>
        </w:rPr>
        <w:t xml:space="preserve">Rekapitulacija </w:t>
      </w:r>
      <w:r w:rsidR="00FB2837" w:rsidRPr="003A2F86">
        <w:rPr>
          <w:rFonts w:ascii="Arial" w:eastAsia="Calibri" w:hAnsi="Arial" w:cs="Arial"/>
          <w:u w:val="single"/>
        </w:rPr>
        <w:t>rashoda</w:t>
      </w:r>
      <w:r w:rsidR="00FB2837" w:rsidRPr="003A2F86">
        <w:rPr>
          <w:rFonts w:ascii="Arial" w:eastAsia="Calibri" w:hAnsi="Arial" w:cs="Arial"/>
        </w:rPr>
        <w:t xml:space="preserve"> </w:t>
      </w:r>
      <w:r w:rsidR="00FB2837" w:rsidRPr="003A2F86">
        <w:rPr>
          <w:rFonts w:ascii="Arial" w:eastAsia="Calibri" w:hAnsi="Arial" w:cs="Arial"/>
          <w:color w:val="C0504D" w:themeColor="accent2"/>
        </w:rPr>
        <w:t xml:space="preserve">proračunskih korisnika </w:t>
      </w:r>
      <w:r w:rsidR="00FB2837" w:rsidRPr="003A2F86">
        <w:rPr>
          <w:rFonts w:ascii="Arial" w:eastAsia="Calibri" w:hAnsi="Arial" w:cs="Arial"/>
        </w:rPr>
        <w:t xml:space="preserve">u </w:t>
      </w:r>
      <w:r w:rsidR="004A0CCE" w:rsidRPr="003A2F86">
        <w:rPr>
          <w:rFonts w:ascii="Arial" w:eastAsia="Calibri" w:hAnsi="Arial" w:cs="Arial"/>
        </w:rPr>
        <w:t>202</w:t>
      </w:r>
      <w:r w:rsidR="00B4279A">
        <w:rPr>
          <w:rFonts w:ascii="Arial" w:eastAsia="Calibri" w:hAnsi="Arial" w:cs="Arial"/>
        </w:rPr>
        <w:t>5</w:t>
      </w:r>
      <w:r w:rsidR="00FB2837" w:rsidRPr="003A2F86">
        <w:rPr>
          <w:rFonts w:ascii="Arial" w:eastAsia="Calibri" w:hAnsi="Arial" w:cs="Arial"/>
        </w:rPr>
        <w:t>. po izvorima financiranja</w:t>
      </w:r>
      <w:r w:rsidR="00FE1202" w:rsidRPr="003A2F86">
        <w:rPr>
          <w:rFonts w:ascii="Arial" w:eastAsia="Calibri" w:hAnsi="Arial" w:cs="Arial"/>
        </w:rPr>
        <w:t xml:space="preserve"> </w:t>
      </w:r>
      <w:r w:rsidR="00620DCC" w:rsidRPr="003A2F86">
        <w:rPr>
          <w:rFonts w:ascii="Arial" w:eastAsia="Calibri" w:hAnsi="Arial" w:cs="Arial"/>
        </w:rPr>
        <w:t>(€)</w:t>
      </w:r>
      <w:bookmarkEnd w:id="63"/>
    </w:p>
    <w:p w14:paraId="02D067ED" w14:textId="77777777" w:rsidR="00F6312D" w:rsidRPr="003A2F86" w:rsidRDefault="00F6312D" w:rsidP="002C41DA">
      <w:pPr>
        <w:spacing w:after="0" w:line="240" w:lineRule="auto"/>
        <w:jc w:val="center"/>
      </w:pPr>
    </w:p>
    <w:p w14:paraId="26A20C0C" w14:textId="62FD7058" w:rsidR="00417C6C" w:rsidRPr="003A2F86" w:rsidRDefault="00196FBD" w:rsidP="00891119">
      <w:pPr>
        <w:autoSpaceDE w:val="0"/>
        <w:autoSpaceDN w:val="0"/>
        <w:adjustRightInd w:val="0"/>
        <w:spacing w:after="0" w:line="240" w:lineRule="auto"/>
        <w:jc w:val="center"/>
        <w:rPr>
          <w:rFonts w:ascii="Arial" w:eastAsia="Times New Roman" w:hAnsi="Arial" w:cs="Arial"/>
          <w:bCs/>
          <w:sz w:val="16"/>
          <w:szCs w:val="16"/>
          <w:lang w:eastAsia="en-US"/>
        </w:rPr>
      </w:pPr>
      <w:r w:rsidRPr="00196FBD">
        <w:rPr>
          <w:noProof/>
        </w:rPr>
        <w:drawing>
          <wp:inline distT="0" distB="0" distL="0" distR="0" wp14:anchorId="370316CA" wp14:editId="414DDBFE">
            <wp:extent cx="7578725" cy="4505960"/>
            <wp:effectExtent l="0" t="0" r="3175" b="8890"/>
            <wp:docPr id="1493460553"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578725" cy="4505960"/>
                    </a:xfrm>
                    <a:prstGeom prst="rect">
                      <a:avLst/>
                    </a:prstGeom>
                    <a:noFill/>
                    <a:ln>
                      <a:noFill/>
                    </a:ln>
                  </pic:spPr>
                </pic:pic>
              </a:graphicData>
            </a:graphic>
          </wp:inline>
        </w:drawing>
      </w:r>
    </w:p>
    <w:p w14:paraId="31B4F756" w14:textId="3BCDBFE6" w:rsidR="00891119" w:rsidRPr="003A2F86" w:rsidRDefault="00891119" w:rsidP="00891119">
      <w:pPr>
        <w:autoSpaceDE w:val="0"/>
        <w:autoSpaceDN w:val="0"/>
        <w:adjustRightInd w:val="0"/>
        <w:spacing w:after="0" w:line="240" w:lineRule="auto"/>
        <w:jc w:val="both"/>
        <w:rPr>
          <w:rFonts w:ascii="Arial" w:eastAsia="Times New Roman" w:hAnsi="Arial" w:cs="Arial"/>
          <w:b/>
          <w:i/>
          <w:iCs/>
          <w:sz w:val="18"/>
          <w:szCs w:val="16"/>
          <w:u w:val="single"/>
          <w:lang w:eastAsia="en-US"/>
        </w:rPr>
      </w:pPr>
      <w:r w:rsidRPr="003A2F86">
        <w:rPr>
          <w:rFonts w:ascii="Arial" w:eastAsia="Times New Roman" w:hAnsi="Arial" w:cs="Arial"/>
          <w:b/>
          <w:i/>
          <w:iCs/>
          <w:sz w:val="18"/>
          <w:szCs w:val="16"/>
          <w:u w:val="single"/>
          <w:lang w:eastAsia="en-US"/>
        </w:rPr>
        <w:t>Obrazloženje izračuna:</w:t>
      </w:r>
    </w:p>
    <w:p w14:paraId="068162F5" w14:textId="46F54739" w:rsidR="00891119" w:rsidRPr="003A2F86" w:rsidRDefault="00891119" w:rsidP="00891119">
      <w:pPr>
        <w:autoSpaceDE w:val="0"/>
        <w:autoSpaceDN w:val="0"/>
        <w:adjustRightInd w:val="0"/>
        <w:spacing w:after="0" w:line="240" w:lineRule="auto"/>
        <w:jc w:val="both"/>
        <w:rPr>
          <w:rFonts w:ascii="Arial" w:eastAsia="Times New Roman" w:hAnsi="Arial" w:cs="Arial"/>
          <w:iCs/>
          <w:sz w:val="18"/>
          <w:szCs w:val="16"/>
          <w:lang w:eastAsia="en-US"/>
        </w:rPr>
      </w:pPr>
      <w:r w:rsidRPr="003A2F86">
        <w:rPr>
          <w:rFonts w:ascii="Arial" w:eastAsia="Times New Roman" w:hAnsi="Arial" w:cs="Arial"/>
          <w:iCs/>
          <w:sz w:val="18"/>
          <w:szCs w:val="16"/>
          <w:lang w:eastAsia="en-US"/>
        </w:rPr>
        <w:t xml:space="preserve">* </w:t>
      </w:r>
      <w:r w:rsidRPr="003A2F86">
        <w:rPr>
          <w:rFonts w:ascii="Arial" w:eastAsia="Times New Roman" w:hAnsi="Arial" w:cs="Arial"/>
          <w:b/>
          <w:iCs/>
          <w:sz w:val="18"/>
          <w:szCs w:val="16"/>
          <w:lang w:eastAsia="en-US"/>
        </w:rPr>
        <w:t xml:space="preserve">rashodi PK u iznosu </w:t>
      </w:r>
      <w:r w:rsidR="00196FBD">
        <w:rPr>
          <w:rFonts w:ascii="Arial" w:eastAsia="Times New Roman" w:hAnsi="Arial" w:cs="Arial"/>
          <w:b/>
          <w:iCs/>
          <w:sz w:val="18"/>
          <w:szCs w:val="16"/>
          <w:lang w:eastAsia="en-US"/>
        </w:rPr>
        <w:t>6.249.051,59</w:t>
      </w:r>
      <w:r w:rsidR="0084311C" w:rsidRPr="003A2F86">
        <w:rPr>
          <w:rFonts w:ascii="Arial" w:eastAsia="Times New Roman" w:hAnsi="Arial" w:cs="Arial"/>
          <w:b/>
          <w:iCs/>
          <w:sz w:val="18"/>
          <w:szCs w:val="16"/>
          <w:lang w:eastAsia="en-US"/>
        </w:rPr>
        <w:t xml:space="preserve"> €</w:t>
      </w:r>
      <w:r w:rsidRPr="003A2F86">
        <w:rPr>
          <w:rFonts w:ascii="Arial" w:eastAsia="Times New Roman" w:hAnsi="Arial" w:cs="Arial"/>
          <w:iCs/>
          <w:sz w:val="18"/>
          <w:szCs w:val="16"/>
          <w:lang w:eastAsia="en-US"/>
        </w:rPr>
        <w:t xml:space="preserve"> = sastoje se od rashoda financiranih vlastitim izvorima financiranja (</w:t>
      </w:r>
      <w:r w:rsidR="00196FBD">
        <w:rPr>
          <w:rFonts w:ascii="Arial" w:eastAsia="Times New Roman" w:hAnsi="Arial" w:cs="Arial"/>
          <w:iCs/>
          <w:sz w:val="18"/>
          <w:szCs w:val="16"/>
          <w:lang w:eastAsia="en-US"/>
        </w:rPr>
        <w:t>1.627.949,57</w:t>
      </w:r>
      <w:r w:rsidR="0084311C" w:rsidRPr="003A2F86">
        <w:rPr>
          <w:rFonts w:ascii="Arial" w:eastAsia="Times New Roman" w:hAnsi="Arial" w:cs="Arial"/>
          <w:iCs/>
          <w:sz w:val="18"/>
          <w:szCs w:val="16"/>
          <w:lang w:eastAsia="en-US"/>
        </w:rPr>
        <w:t xml:space="preserve"> €</w:t>
      </w:r>
      <w:r w:rsidRPr="003A2F86">
        <w:rPr>
          <w:rFonts w:ascii="Arial" w:eastAsia="Times New Roman" w:hAnsi="Arial" w:cs="Arial"/>
          <w:iCs/>
          <w:sz w:val="18"/>
          <w:szCs w:val="16"/>
          <w:lang w:eastAsia="en-US"/>
        </w:rPr>
        <w:t xml:space="preserve">) i rashoda financiranih sredstvima općinskog proračuna </w:t>
      </w:r>
      <w:r w:rsidR="00E6317D" w:rsidRPr="003A2F86">
        <w:rPr>
          <w:rFonts w:ascii="Arial" w:eastAsia="Times New Roman" w:hAnsi="Arial" w:cs="Arial"/>
          <w:iCs/>
          <w:sz w:val="18"/>
          <w:szCs w:val="16"/>
          <w:lang w:eastAsia="en-US"/>
        </w:rPr>
        <w:t>(</w:t>
      </w:r>
      <w:r w:rsidR="00D138CB">
        <w:rPr>
          <w:rFonts w:ascii="Arial" w:eastAsia="Times New Roman" w:hAnsi="Arial" w:cs="Arial"/>
          <w:iCs/>
          <w:sz w:val="18"/>
          <w:szCs w:val="16"/>
          <w:lang w:eastAsia="en-US"/>
        </w:rPr>
        <w:t>4.621.102,02</w:t>
      </w:r>
      <w:r w:rsidR="0084311C" w:rsidRPr="003A2F86">
        <w:rPr>
          <w:rFonts w:ascii="Arial" w:eastAsia="Times New Roman" w:hAnsi="Arial" w:cs="Arial"/>
          <w:iCs/>
          <w:sz w:val="18"/>
          <w:szCs w:val="16"/>
          <w:lang w:eastAsia="en-US"/>
        </w:rPr>
        <w:t xml:space="preserve"> €</w:t>
      </w:r>
      <w:r w:rsidR="00E6317D" w:rsidRPr="003A2F86">
        <w:rPr>
          <w:rFonts w:ascii="Arial" w:eastAsia="Times New Roman" w:hAnsi="Arial" w:cs="Arial"/>
          <w:iCs/>
          <w:sz w:val="18"/>
          <w:szCs w:val="16"/>
          <w:lang w:eastAsia="en-US"/>
        </w:rPr>
        <w:t>)</w:t>
      </w:r>
      <w:r w:rsidR="00D9705D" w:rsidRPr="003A2F86">
        <w:rPr>
          <w:rFonts w:ascii="Arial" w:eastAsia="Times New Roman" w:hAnsi="Arial" w:cs="Arial"/>
          <w:iCs/>
          <w:sz w:val="18"/>
          <w:szCs w:val="16"/>
          <w:lang w:eastAsia="en-US"/>
        </w:rPr>
        <w:t xml:space="preserve">. </w:t>
      </w:r>
    </w:p>
    <w:p w14:paraId="2CBDF3C6" w14:textId="356DB7DE" w:rsidR="00891119" w:rsidRPr="003A2F86" w:rsidRDefault="00891119" w:rsidP="00891119">
      <w:pPr>
        <w:autoSpaceDE w:val="0"/>
        <w:autoSpaceDN w:val="0"/>
        <w:adjustRightInd w:val="0"/>
        <w:spacing w:after="0" w:line="240" w:lineRule="auto"/>
        <w:jc w:val="both"/>
        <w:rPr>
          <w:rFonts w:ascii="Arial" w:eastAsia="Times New Roman" w:hAnsi="Arial" w:cs="Arial"/>
          <w:iCs/>
          <w:sz w:val="18"/>
          <w:szCs w:val="16"/>
          <w:lang w:eastAsia="en-US"/>
        </w:rPr>
      </w:pPr>
      <w:r w:rsidRPr="003A2F86">
        <w:rPr>
          <w:rFonts w:ascii="Arial" w:eastAsia="Times New Roman" w:hAnsi="Arial" w:cs="Arial"/>
          <w:b/>
          <w:iCs/>
          <w:sz w:val="18"/>
          <w:szCs w:val="16"/>
          <w:lang w:eastAsia="en-US"/>
        </w:rPr>
        <w:t xml:space="preserve">* ukupni prihodi PK iznose </w:t>
      </w:r>
      <w:r w:rsidR="00D138CB">
        <w:rPr>
          <w:rFonts w:ascii="Arial" w:eastAsia="Times New Roman" w:hAnsi="Arial" w:cs="Arial"/>
          <w:b/>
          <w:iCs/>
          <w:sz w:val="18"/>
          <w:szCs w:val="16"/>
          <w:lang w:eastAsia="en-US"/>
        </w:rPr>
        <w:t>6.250.933,96</w:t>
      </w:r>
      <w:r w:rsidR="0084311C" w:rsidRPr="003A2F86">
        <w:rPr>
          <w:rFonts w:ascii="Arial" w:eastAsia="Times New Roman" w:hAnsi="Arial" w:cs="Arial"/>
          <w:b/>
          <w:iCs/>
          <w:sz w:val="18"/>
          <w:szCs w:val="16"/>
          <w:lang w:eastAsia="en-US"/>
        </w:rPr>
        <w:t xml:space="preserve"> €</w:t>
      </w:r>
      <w:r w:rsidRPr="003A2F86">
        <w:rPr>
          <w:rFonts w:ascii="Arial" w:eastAsia="Times New Roman" w:hAnsi="Arial" w:cs="Arial"/>
          <w:iCs/>
          <w:sz w:val="18"/>
          <w:szCs w:val="16"/>
          <w:lang w:eastAsia="en-US"/>
        </w:rPr>
        <w:t xml:space="preserve"> i sastoje se od prihoda iz općinskog proračuna </w:t>
      </w:r>
      <w:r w:rsidR="00D138CB">
        <w:rPr>
          <w:rFonts w:ascii="Arial" w:eastAsia="Times New Roman" w:hAnsi="Arial" w:cs="Arial"/>
          <w:iCs/>
          <w:sz w:val="18"/>
          <w:szCs w:val="16"/>
          <w:lang w:eastAsia="en-US"/>
        </w:rPr>
        <w:t>4.593.804,88</w:t>
      </w:r>
      <w:r w:rsidR="0084311C" w:rsidRPr="003A2F86">
        <w:rPr>
          <w:rFonts w:ascii="Arial" w:eastAsia="Times New Roman" w:hAnsi="Arial" w:cs="Arial"/>
          <w:iCs/>
          <w:sz w:val="18"/>
          <w:szCs w:val="16"/>
          <w:lang w:eastAsia="en-US"/>
        </w:rPr>
        <w:t xml:space="preserve"> €</w:t>
      </w:r>
      <w:r w:rsidRPr="003A2F86">
        <w:rPr>
          <w:rFonts w:ascii="Arial" w:eastAsia="Times New Roman" w:hAnsi="Arial" w:cs="Arial"/>
          <w:iCs/>
          <w:sz w:val="18"/>
          <w:szCs w:val="16"/>
          <w:lang w:eastAsia="en-US"/>
        </w:rPr>
        <w:t xml:space="preserve"> i ostvarenih vlastitih prihoda </w:t>
      </w:r>
      <w:r w:rsidR="00D138CB" w:rsidRPr="00D138CB">
        <w:rPr>
          <w:rFonts w:ascii="Arial" w:eastAsia="Times New Roman" w:hAnsi="Arial" w:cs="Arial"/>
          <w:iCs/>
          <w:sz w:val="18"/>
          <w:szCs w:val="16"/>
          <w:lang w:eastAsia="en-US"/>
        </w:rPr>
        <w:t xml:space="preserve">1.657.129,08 </w:t>
      </w:r>
      <w:r w:rsidR="0084311C" w:rsidRPr="003A2F86">
        <w:rPr>
          <w:rFonts w:ascii="Arial" w:eastAsia="Times New Roman" w:hAnsi="Arial" w:cs="Arial"/>
          <w:iCs/>
          <w:sz w:val="18"/>
          <w:szCs w:val="16"/>
          <w:lang w:eastAsia="en-US"/>
        </w:rPr>
        <w:t>€</w:t>
      </w:r>
    </w:p>
    <w:p w14:paraId="295009BE" w14:textId="415D5205" w:rsidR="008E3CF8" w:rsidRPr="003A2F86" w:rsidRDefault="004C37E6" w:rsidP="004C37E6">
      <w:pPr>
        <w:autoSpaceDE w:val="0"/>
        <w:autoSpaceDN w:val="0"/>
        <w:adjustRightInd w:val="0"/>
        <w:spacing w:after="0" w:line="240" w:lineRule="auto"/>
        <w:jc w:val="both"/>
        <w:rPr>
          <w:rFonts w:ascii="Arial" w:eastAsia="Times New Roman" w:hAnsi="Arial" w:cs="Arial"/>
          <w:iCs/>
          <w:sz w:val="18"/>
          <w:szCs w:val="16"/>
          <w:lang w:eastAsia="en-US"/>
        </w:rPr>
      </w:pPr>
      <w:r w:rsidRPr="003A2F86">
        <w:rPr>
          <w:rFonts w:ascii="Arial" w:eastAsia="Times New Roman" w:hAnsi="Arial" w:cs="Arial"/>
          <w:iCs/>
          <w:sz w:val="18"/>
          <w:szCs w:val="16"/>
          <w:lang w:eastAsia="en-US"/>
        </w:rPr>
        <w:t xml:space="preserve">* </w:t>
      </w:r>
      <w:r w:rsidRPr="003A2F86">
        <w:rPr>
          <w:rFonts w:ascii="Arial" w:eastAsia="Times New Roman" w:hAnsi="Arial" w:cs="Arial"/>
          <w:b/>
          <w:iCs/>
          <w:sz w:val="18"/>
          <w:szCs w:val="16"/>
          <w:lang w:eastAsia="en-US"/>
        </w:rPr>
        <w:t xml:space="preserve">prihodi iz općinskog proračuna u iznosu </w:t>
      </w:r>
      <w:r w:rsidR="00D138CB">
        <w:rPr>
          <w:rFonts w:ascii="Arial" w:eastAsia="Times New Roman" w:hAnsi="Arial" w:cs="Arial"/>
          <w:b/>
          <w:iCs/>
          <w:sz w:val="18"/>
          <w:szCs w:val="16"/>
          <w:lang w:eastAsia="en-US"/>
        </w:rPr>
        <w:t>4.593.804,88</w:t>
      </w:r>
      <w:r w:rsidR="0084311C" w:rsidRPr="003A2F86">
        <w:rPr>
          <w:rFonts w:ascii="Arial" w:eastAsia="Times New Roman" w:hAnsi="Arial" w:cs="Arial"/>
          <w:b/>
          <w:iCs/>
          <w:sz w:val="18"/>
          <w:szCs w:val="16"/>
          <w:lang w:eastAsia="en-US"/>
        </w:rPr>
        <w:t xml:space="preserve"> €</w:t>
      </w:r>
      <w:r w:rsidRPr="003A2F86">
        <w:rPr>
          <w:rFonts w:ascii="Arial" w:eastAsia="Times New Roman" w:hAnsi="Arial" w:cs="Arial"/>
          <w:iCs/>
          <w:sz w:val="18"/>
          <w:szCs w:val="16"/>
          <w:lang w:eastAsia="en-US"/>
        </w:rPr>
        <w:t xml:space="preserve"> sastoje se od </w:t>
      </w:r>
      <w:r w:rsidR="0028425E">
        <w:rPr>
          <w:rFonts w:ascii="Arial" w:eastAsia="Times New Roman" w:hAnsi="Arial" w:cs="Arial"/>
          <w:iCs/>
          <w:sz w:val="18"/>
          <w:szCs w:val="16"/>
          <w:lang w:eastAsia="en-US"/>
        </w:rPr>
        <w:t>399.744,71</w:t>
      </w:r>
      <w:r w:rsidR="00620DCC" w:rsidRPr="003A2F86">
        <w:rPr>
          <w:rFonts w:ascii="Arial" w:eastAsia="Times New Roman" w:hAnsi="Arial" w:cs="Arial"/>
          <w:iCs/>
          <w:sz w:val="18"/>
          <w:szCs w:val="16"/>
          <w:lang w:eastAsia="en-US"/>
        </w:rPr>
        <w:t xml:space="preserve"> €</w:t>
      </w:r>
      <w:r w:rsidRPr="003A2F86">
        <w:rPr>
          <w:rFonts w:ascii="Arial" w:eastAsia="Times New Roman" w:hAnsi="Arial" w:cs="Arial"/>
          <w:iCs/>
          <w:sz w:val="18"/>
          <w:szCs w:val="16"/>
          <w:lang w:eastAsia="en-US"/>
        </w:rPr>
        <w:t xml:space="preserve"> koje su PK ostvarili u 202</w:t>
      </w:r>
      <w:r w:rsidR="0028425E">
        <w:rPr>
          <w:rFonts w:ascii="Arial" w:eastAsia="Times New Roman" w:hAnsi="Arial" w:cs="Arial"/>
          <w:iCs/>
          <w:sz w:val="18"/>
          <w:szCs w:val="16"/>
          <w:lang w:eastAsia="en-US"/>
        </w:rPr>
        <w:t>5</w:t>
      </w:r>
      <w:r w:rsidRPr="003A2F86">
        <w:rPr>
          <w:rFonts w:ascii="Arial" w:eastAsia="Times New Roman" w:hAnsi="Arial" w:cs="Arial"/>
          <w:iCs/>
          <w:sz w:val="18"/>
          <w:szCs w:val="16"/>
          <w:lang w:eastAsia="en-US"/>
        </w:rPr>
        <w:t>. (odnose se na podmirene obveze proračunskih korisnika iz 202</w:t>
      </w:r>
      <w:r w:rsidR="0028425E">
        <w:rPr>
          <w:rFonts w:ascii="Arial" w:eastAsia="Times New Roman" w:hAnsi="Arial" w:cs="Arial"/>
          <w:iCs/>
          <w:sz w:val="18"/>
          <w:szCs w:val="16"/>
          <w:lang w:eastAsia="en-US"/>
        </w:rPr>
        <w:t>4</w:t>
      </w:r>
      <w:r w:rsidRPr="003A2F86">
        <w:rPr>
          <w:rFonts w:ascii="Arial" w:eastAsia="Times New Roman" w:hAnsi="Arial" w:cs="Arial"/>
          <w:iCs/>
          <w:sz w:val="18"/>
          <w:szCs w:val="16"/>
          <w:lang w:eastAsia="en-US"/>
        </w:rPr>
        <w:t xml:space="preserve">. kojima je izvor financiranja bio općinski proračun), te od sredstava u iznosu </w:t>
      </w:r>
      <w:r w:rsidR="00D138CB">
        <w:rPr>
          <w:rFonts w:ascii="Arial" w:eastAsia="Times New Roman" w:hAnsi="Arial" w:cs="Arial"/>
          <w:iCs/>
          <w:sz w:val="18"/>
          <w:szCs w:val="16"/>
          <w:lang w:eastAsia="en-US"/>
        </w:rPr>
        <w:t>4.194.060,17</w:t>
      </w:r>
      <w:r w:rsidR="0084311C" w:rsidRPr="003A2F86">
        <w:rPr>
          <w:rFonts w:ascii="Arial" w:eastAsia="Times New Roman" w:hAnsi="Arial" w:cs="Arial"/>
          <w:iCs/>
          <w:sz w:val="18"/>
          <w:szCs w:val="16"/>
          <w:lang w:eastAsia="en-US"/>
        </w:rPr>
        <w:t xml:space="preserve"> €</w:t>
      </w:r>
      <w:r w:rsidRPr="003A2F86">
        <w:rPr>
          <w:rFonts w:ascii="Arial" w:eastAsia="Times New Roman" w:hAnsi="Arial" w:cs="Arial"/>
          <w:iCs/>
          <w:sz w:val="18"/>
          <w:szCs w:val="16"/>
          <w:lang w:eastAsia="en-US"/>
        </w:rPr>
        <w:t xml:space="preserve"> (podmirene obveze po rashodima za 20</w:t>
      </w:r>
      <w:r w:rsidR="0028425E">
        <w:rPr>
          <w:rFonts w:ascii="Arial" w:eastAsia="Times New Roman" w:hAnsi="Arial" w:cs="Arial"/>
          <w:iCs/>
          <w:sz w:val="18"/>
          <w:szCs w:val="16"/>
          <w:lang w:eastAsia="en-US"/>
        </w:rPr>
        <w:t>25</w:t>
      </w:r>
      <w:r w:rsidRPr="003A2F86">
        <w:rPr>
          <w:rFonts w:ascii="Arial" w:eastAsia="Times New Roman" w:hAnsi="Arial" w:cs="Arial"/>
          <w:iCs/>
          <w:sz w:val="18"/>
          <w:szCs w:val="16"/>
          <w:lang w:eastAsia="en-US"/>
        </w:rPr>
        <w:t>.</w:t>
      </w:r>
      <w:r w:rsidR="00696E31">
        <w:rPr>
          <w:rFonts w:ascii="Arial" w:eastAsia="Times New Roman" w:hAnsi="Arial" w:cs="Arial"/>
          <w:iCs/>
          <w:sz w:val="18"/>
          <w:szCs w:val="16"/>
          <w:lang w:eastAsia="en-US"/>
        </w:rPr>
        <w:t xml:space="preserve"> </w:t>
      </w:r>
      <w:r w:rsidRPr="003A2F86">
        <w:rPr>
          <w:rFonts w:ascii="Arial" w:eastAsia="Times New Roman" w:hAnsi="Arial" w:cs="Arial"/>
          <w:iCs/>
          <w:sz w:val="18"/>
          <w:szCs w:val="16"/>
          <w:lang w:eastAsia="en-US"/>
        </w:rPr>
        <w:t>godinu, dok neplaćene obveze po rashodima PK koje imaju evidentiran izvor financiranja općinski proračun koncem</w:t>
      </w:r>
      <w:r w:rsidR="0028425E">
        <w:rPr>
          <w:rFonts w:ascii="Arial" w:eastAsia="Times New Roman" w:hAnsi="Arial" w:cs="Arial"/>
          <w:iCs/>
          <w:sz w:val="18"/>
          <w:szCs w:val="16"/>
          <w:lang w:eastAsia="en-US"/>
        </w:rPr>
        <w:t xml:space="preserve"> </w:t>
      </w:r>
      <w:r w:rsidRPr="003A2F86">
        <w:rPr>
          <w:rFonts w:ascii="Arial" w:eastAsia="Times New Roman" w:hAnsi="Arial" w:cs="Arial"/>
          <w:iCs/>
          <w:sz w:val="18"/>
          <w:szCs w:val="16"/>
          <w:lang w:eastAsia="en-US"/>
        </w:rPr>
        <w:t>202</w:t>
      </w:r>
      <w:r w:rsidR="0028425E">
        <w:rPr>
          <w:rFonts w:ascii="Arial" w:eastAsia="Times New Roman" w:hAnsi="Arial" w:cs="Arial"/>
          <w:iCs/>
          <w:sz w:val="18"/>
          <w:szCs w:val="16"/>
          <w:lang w:eastAsia="en-US"/>
        </w:rPr>
        <w:t>5</w:t>
      </w:r>
      <w:r w:rsidRPr="003A2F86">
        <w:rPr>
          <w:rFonts w:ascii="Arial" w:eastAsia="Times New Roman" w:hAnsi="Arial" w:cs="Arial"/>
          <w:iCs/>
          <w:sz w:val="18"/>
          <w:szCs w:val="16"/>
          <w:lang w:eastAsia="en-US"/>
        </w:rPr>
        <w:t xml:space="preserve">. godine iznose </w:t>
      </w:r>
      <w:r w:rsidR="00D138CB">
        <w:rPr>
          <w:rFonts w:ascii="Arial" w:eastAsia="Times New Roman" w:hAnsi="Arial" w:cs="Arial"/>
          <w:iCs/>
          <w:sz w:val="18"/>
          <w:szCs w:val="16"/>
          <w:lang w:eastAsia="en-US"/>
        </w:rPr>
        <w:t>427.041,85</w:t>
      </w:r>
      <w:r w:rsidR="0084311C" w:rsidRPr="003A2F86">
        <w:rPr>
          <w:rFonts w:ascii="Arial" w:eastAsia="Times New Roman" w:hAnsi="Arial" w:cs="Arial"/>
          <w:iCs/>
          <w:sz w:val="18"/>
          <w:szCs w:val="16"/>
          <w:lang w:eastAsia="en-US"/>
        </w:rPr>
        <w:t xml:space="preserve"> €</w:t>
      </w:r>
      <w:r w:rsidRPr="003A2F86">
        <w:rPr>
          <w:rFonts w:ascii="Arial" w:eastAsia="Times New Roman" w:hAnsi="Arial" w:cs="Arial"/>
          <w:iCs/>
          <w:sz w:val="18"/>
          <w:szCs w:val="16"/>
          <w:lang w:eastAsia="en-US"/>
        </w:rPr>
        <w:t xml:space="preserve"> i biti će prihod u</w:t>
      </w:r>
      <w:r w:rsidR="0084311C" w:rsidRPr="003A2F86">
        <w:rPr>
          <w:rFonts w:ascii="Arial" w:eastAsia="Times New Roman" w:hAnsi="Arial" w:cs="Arial"/>
          <w:iCs/>
          <w:sz w:val="18"/>
          <w:szCs w:val="16"/>
          <w:lang w:eastAsia="en-US"/>
        </w:rPr>
        <w:t xml:space="preserve"> </w:t>
      </w:r>
      <w:r w:rsidRPr="003A2F86">
        <w:rPr>
          <w:rFonts w:ascii="Arial" w:eastAsia="Times New Roman" w:hAnsi="Arial" w:cs="Arial"/>
          <w:iCs/>
          <w:sz w:val="18"/>
          <w:szCs w:val="16"/>
          <w:lang w:eastAsia="en-US"/>
        </w:rPr>
        <w:t>202</w:t>
      </w:r>
      <w:r w:rsidR="00D138CB">
        <w:rPr>
          <w:rFonts w:ascii="Arial" w:eastAsia="Times New Roman" w:hAnsi="Arial" w:cs="Arial"/>
          <w:iCs/>
          <w:sz w:val="18"/>
          <w:szCs w:val="16"/>
          <w:lang w:eastAsia="en-US"/>
        </w:rPr>
        <w:t>6</w:t>
      </w:r>
      <w:r w:rsidRPr="003A2F86">
        <w:rPr>
          <w:rFonts w:ascii="Arial" w:eastAsia="Times New Roman" w:hAnsi="Arial" w:cs="Arial"/>
          <w:iCs/>
          <w:sz w:val="18"/>
          <w:szCs w:val="16"/>
          <w:lang w:eastAsia="en-US"/>
        </w:rPr>
        <w:t>.g.)</w:t>
      </w:r>
    </w:p>
    <w:p w14:paraId="5200470F" w14:textId="5FF48BF5" w:rsidR="004C37E6" w:rsidRPr="003A2F86" w:rsidRDefault="004C37E6" w:rsidP="004C37E6">
      <w:pPr>
        <w:autoSpaceDE w:val="0"/>
        <w:autoSpaceDN w:val="0"/>
        <w:adjustRightInd w:val="0"/>
        <w:spacing w:after="0" w:line="240" w:lineRule="auto"/>
        <w:jc w:val="both"/>
        <w:rPr>
          <w:rFonts w:ascii="Arial" w:eastAsia="Times New Roman" w:hAnsi="Arial" w:cs="Arial"/>
          <w:iCs/>
          <w:sz w:val="18"/>
          <w:szCs w:val="16"/>
          <w:lang w:eastAsia="en-US"/>
        </w:rPr>
      </w:pPr>
      <w:r w:rsidRPr="003A2F86">
        <w:rPr>
          <w:rFonts w:ascii="Arial" w:eastAsia="Times New Roman" w:hAnsi="Arial" w:cs="Arial"/>
          <w:iCs/>
          <w:sz w:val="18"/>
          <w:szCs w:val="16"/>
          <w:lang w:eastAsia="en-US"/>
        </w:rPr>
        <w:t xml:space="preserve"> </w:t>
      </w:r>
    </w:p>
    <w:p w14:paraId="0D6B9F5E" w14:textId="77777777" w:rsidR="00F6312D" w:rsidRPr="003A2F86" w:rsidRDefault="00F6312D" w:rsidP="004A2AA6">
      <w:pPr>
        <w:autoSpaceDE w:val="0"/>
        <w:autoSpaceDN w:val="0"/>
        <w:adjustRightInd w:val="0"/>
        <w:spacing w:after="0" w:line="240" w:lineRule="auto"/>
        <w:jc w:val="center"/>
        <w:rPr>
          <w:rFonts w:ascii="Arial" w:eastAsia="Times New Roman" w:hAnsi="Arial" w:cs="Arial"/>
        </w:rPr>
      </w:pPr>
    </w:p>
    <w:p w14:paraId="3E9579F0" w14:textId="55C5F8F7" w:rsidR="004A2AA6" w:rsidRPr="003A2F86" w:rsidRDefault="004A2AA6" w:rsidP="004A2AA6">
      <w:pPr>
        <w:pStyle w:val="Opisslike"/>
        <w:rPr>
          <w:sz w:val="22"/>
          <w:szCs w:val="22"/>
        </w:rPr>
      </w:pPr>
      <w:bookmarkStart w:id="64" w:name="_Toc232981568"/>
      <w:r w:rsidRPr="003A2F86">
        <w:rPr>
          <w:color w:val="FF0000"/>
        </w:rPr>
        <w:t xml:space="preserve">Graf </w:t>
      </w:r>
      <w:r w:rsidRPr="003A2F86">
        <w:rPr>
          <w:color w:val="FF0000"/>
        </w:rPr>
        <w:fldChar w:fldCharType="begin"/>
      </w:r>
      <w:r w:rsidRPr="003A2F86">
        <w:rPr>
          <w:color w:val="FF0000"/>
        </w:rPr>
        <w:instrText xml:space="preserve"> SEQ Graf \* ARABIC </w:instrText>
      </w:r>
      <w:r w:rsidRPr="003A2F86">
        <w:rPr>
          <w:color w:val="FF0000"/>
        </w:rPr>
        <w:fldChar w:fldCharType="separate"/>
      </w:r>
      <w:r w:rsidR="00A821D8">
        <w:rPr>
          <w:noProof/>
          <w:color w:val="FF0000"/>
        </w:rPr>
        <w:t>8</w:t>
      </w:r>
      <w:r w:rsidRPr="003A2F86">
        <w:rPr>
          <w:color w:val="FF0000"/>
        </w:rPr>
        <w:fldChar w:fldCharType="end"/>
      </w:r>
      <w:r w:rsidRPr="003A2F86">
        <w:t xml:space="preserve">.: </w:t>
      </w:r>
      <w:r w:rsidRPr="003A2F86">
        <w:rPr>
          <w:sz w:val="22"/>
          <w:szCs w:val="22"/>
        </w:rPr>
        <w:t>Struktura izvršenih rashoda i izdataka Proračuna u 202</w:t>
      </w:r>
      <w:r w:rsidR="0028425E">
        <w:rPr>
          <w:sz w:val="22"/>
          <w:szCs w:val="22"/>
        </w:rPr>
        <w:t>5</w:t>
      </w:r>
      <w:r w:rsidRPr="003A2F86">
        <w:rPr>
          <w:sz w:val="22"/>
          <w:szCs w:val="22"/>
        </w:rPr>
        <w:t>.</w:t>
      </w:r>
      <w:r w:rsidR="00B33699" w:rsidRPr="003A2F86">
        <w:rPr>
          <w:sz w:val="22"/>
          <w:szCs w:val="22"/>
        </w:rPr>
        <w:t xml:space="preserve"> po ekonomskoj </w:t>
      </w:r>
      <w:r w:rsidRPr="003A2F86">
        <w:rPr>
          <w:sz w:val="22"/>
          <w:szCs w:val="22"/>
        </w:rPr>
        <w:t>klasifikacij</w:t>
      </w:r>
      <w:r w:rsidR="00B33699" w:rsidRPr="003A2F86">
        <w:rPr>
          <w:sz w:val="22"/>
          <w:szCs w:val="22"/>
        </w:rPr>
        <w:t>i</w:t>
      </w:r>
      <w:r w:rsidR="00717B72" w:rsidRPr="003A2F86">
        <w:rPr>
          <w:sz w:val="22"/>
          <w:szCs w:val="22"/>
        </w:rPr>
        <w:t xml:space="preserve"> (€) </w:t>
      </w:r>
      <w:r w:rsidR="00B33699" w:rsidRPr="003A2F86">
        <w:rPr>
          <w:sz w:val="22"/>
          <w:szCs w:val="22"/>
        </w:rPr>
        <w:t xml:space="preserve">: </w:t>
      </w:r>
      <w:r w:rsidR="004812B6" w:rsidRPr="003A2F86">
        <w:rPr>
          <w:sz w:val="22"/>
          <w:szCs w:val="22"/>
        </w:rPr>
        <w:t xml:space="preserve">sveukupno </w:t>
      </w:r>
      <w:r w:rsidRPr="00386EBA">
        <w:rPr>
          <w:color w:val="1F497D" w:themeColor="text2"/>
          <w:sz w:val="22"/>
          <w:szCs w:val="22"/>
        </w:rPr>
        <w:t xml:space="preserve">Općina </w:t>
      </w:r>
      <w:r w:rsidRPr="003A2F86">
        <w:rPr>
          <w:sz w:val="22"/>
          <w:szCs w:val="22"/>
        </w:rPr>
        <w:t xml:space="preserve">i </w:t>
      </w:r>
      <w:r w:rsidRPr="00386EBA">
        <w:rPr>
          <w:color w:val="943634" w:themeColor="accent2" w:themeShade="BF"/>
          <w:sz w:val="22"/>
          <w:szCs w:val="22"/>
        </w:rPr>
        <w:t>proračunski korisnici</w:t>
      </w:r>
      <w:bookmarkEnd w:id="64"/>
      <w:r w:rsidRPr="00386EBA">
        <w:rPr>
          <w:color w:val="943634" w:themeColor="accent2" w:themeShade="BF"/>
          <w:sz w:val="22"/>
          <w:szCs w:val="22"/>
        </w:rPr>
        <w:t xml:space="preserve"> </w:t>
      </w:r>
    </w:p>
    <w:p w14:paraId="0773C043" w14:textId="77777777" w:rsidR="004A2AA6" w:rsidRPr="003A2F86" w:rsidRDefault="004A2AA6" w:rsidP="004A2AA6">
      <w:pPr>
        <w:rPr>
          <w:lang w:eastAsia="en-US"/>
        </w:rPr>
      </w:pPr>
    </w:p>
    <w:p w14:paraId="7EA3762B" w14:textId="77777777" w:rsidR="004A2AA6" w:rsidRPr="003A2F86" w:rsidRDefault="004A2AA6" w:rsidP="004A2AA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360" w:hanging="360"/>
        <w:jc w:val="center"/>
        <w:rPr>
          <w:rFonts w:ascii="Arial" w:eastAsia="Times New Roman" w:hAnsi="Arial" w:cs="Arial"/>
        </w:rPr>
      </w:pPr>
      <w:r w:rsidRPr="003A2F86">
        <w:rPr>
          <w:rFonts w:ascii="Arial" w:eastAsia="Times New Roman" w:hAnsi="Arial" w:cs="Arial"/>
          <w:noProof/>
          <w:color w:val="FF0000"/>
        </w:rPr>
        <w:drawing>
          <wp:inline distT="0" distB="0" distL="0" distR="0" wp14:anchorId="7BF9FE40" wp14:editId="6D290E7A">
            <wp:extent cx="8448675" cy="4181475"/>
            <wp:effectExtent l="0" t="0" r="9525" b="9525"/>
            <wp:docPr id="780" name="Grafikon 78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FF959CA" w14:textId="77777777" w:rsidR="004A2AA6" w:rsidRPr="003A2F86" w:rsidRDefault="004A2AA6" w:rsidP="004A2AA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360" w:hanging="360"/>
        <w:jc w:val="both"/>
        <w:rPr>
          <w:rFonts w:ascii="Arial" w:eastAsia="Times New Roman" w:hAnsi="Arial" w:cs="Arial"/>
        </w:rPr>
      </w:pPr>
    </w:p>
    <w:p w14:paraId="6FC3A2D4" w14:textId="77777777" w:rsidR="00891119" w:rsidRPr="003A2F86" w:rsidRDefault="00891119" w:rsidP="00891119">
      <w:pPr>
        <w:autoSpaceDE w:val="0"/>
        <w:autoSpaceDN w:val="0"/>
        <w:adjustRightInd w:val="0"/>
        <w:spacing w:after="0" w:line="240" w:lineRule="auto"/>
        <w:jc w:val="center"/>
        <w:rPr>
          <w:rFonts w:ascii="Times New Roman" w:eastAsia="Calibri" w:hAnsi="Times New Roman" w:cs="Times New Roman"/>
          <w:sz w:val="20"/>
          <w:szCs w:val="20"/>
          <w:lang w:eastAsia="en-US"/>
        </w:rPr>
      </w:pPr>
    </w:p>
    <w:p w14:paraId="3F4A8CC9" w14:textId="77777777" w:rsidR="00891119" w:rsidRPr="003A2F86" w:rsidRDefault="00891119" w:rsidP="00891119">
      <w:pPr>
        <w:autoSpaceDE w:val="0"/>
        <w:autoSpaceDN w:val="0"/>
        <w:adjustRightInd w:val="0"/>
        <w:spacing w:after="0" w:line="240" w:lineRule="auto"/>
        <w:jc w:val="both"/>
        <w:rPr>
          <w:rFonts w:ascii="Arial" w:eastAsia="Calibri" w:hAnsi="Arial" w:cs="Arial"/>
          <w:lang w:eastAsia="en-US"/>
        </w:rPr>
        <w:sectPr w:rsidR="00891119" w:rsidRPr="003A2F86" w:rsidSect="00673312">
          <w:footerReference w:type="even" r:id="rId50"/>
          <w:footerReference w:type="default" r:id="rId51"/>
          <w:footerReference w:type="first" r:id="rId52"/>
          <w:type w:val="continuous"/>
          <w:pgSz w:w="16838" w:h="11906" w:orient="landscape" w:code="9"/>
          <w:pgMar w:top="1134" w:right="1134" w:bottom="1134" w:left="993" w:header="720" w:footer="720" w:gutter="0"/>
          <w:pgNumType w:chapStyle="1"/>
          <w:cols w:space="720"/>
          <w:titlePg/>
          <w:docGrid w:linePitch="272"/>
        </w:sectPr>
      </w:pPr>
    </w:p>
    <w:p w14:paraId="794115A0" w14:textId="77777777" w:rsidR="00B05CD2" w:rsidRPr="003A2F86" w:rsidRDefault="00B05CD2" w:rsidP="00B05CD2">
      <w:pPr>
        <w:spacing w:after="0" w:line="240" w:lineRule="auto"/>
        <w:jc w:val="both"/>
        <w:rPr>
          <w:rFonts w:ascii="Arial" w:eastAsia="Times New Roman" w:hAnsi="Arial" w:cs="Arial"/>
          <w:iCs/>
          <w:lang w:eastAsia="en-US"/>
        </w:rPr>
      </w:pPr>
      <w:bookmarkStart w:id="65" w:name="_Hlk103066982"/>
      <w:bookmarkStart w:id="66" w:name="_Hlk103067043"/>
      <w:r w:rsidRPr="003A2F86">
        <w:rPr>
          <w:rFonts w:ascii="Arial" w:eastAsia="Times New Roman" w:hAnsi="Arial" w:cs="Arial"/>
          <w:iCs/>
          <w:lang w:eastAsia="en-US"/>
        </w:rPr>
        <w:lastRenderedPageBreak/>
        <w:t>U sljedećoj tablici dani su usporedni podaci na razini podskupine rashoda i izdataka Općine Konavle i to:</w:t>
      </w:r>
    </w:p>
    <w:p w14:paraId="50E78705" w14:textId="251B1B4C" w:rsidR="00B05CD2" w:rsidRPr="003A2F86" w:rsidRDefault="00B05CD2" w:rsidP="00B05CD2">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(3a) izvršeno za razdoblje od I-</w:t>
      </w:r>
      <w:r w:rsidR="00766DC4">
        <w:rPr>
          <w:rFonts w:ascii="Arial" w:eastAsia="Times New Roman" w:hAnsi="Arial" w:cs="Arial"/>
          <w:iCs/>
          <w:lang w:eastAsia="en-US"/>
        </w:rPr>
        <w:t>XI</w:t>
      </w:r>
      <w:r w:rsidRPr="003A2F86">
        <w:rPr>
          <w:rFonts w:ascii="Arial" w:eastAsia="Times New Roman" w:hAnsi="Arial" w:cs="Arial"/>
          <w:iCs/>
          <w:lang w:eastAsia="en-US"/>
        </w:rPr>
        <w:t>I 202</w:t>
      </w:r>
      <w:r w:rsidR="00901C13">
        <w:rPr>
          <w:rFonts w:ascii="Arial" w:eastAsia="Times New Roman" w:hAnsi="Arial" w:cs="Arial"/>
          <w:iCs/>
          <w:lang w:eastAsia="en-US"/>
        </w:rPr>
        <w:t>4</w:t>
      </w:r>
      <w:r w:rsidRPr="003A2F86">
        <w:rPr>
          <w:rFonts w:ascii="Arial" w:eastAsia="Times New Roman" w:hAnsi="Arial" w:cs="Arial"/>
          <w:iCs/>
          <w:lang w:eastAsia="en-US"/>
        </w:rPr>
        <w:t xml:space="preserve">. g.(bez rashoda proračunskih korisnika koji su financirani iz njihovih vlastitih i namjenskih prihoda, financijski izvještaji razina 22), </w:t>
      </w:r>
    </w:p>
    <w:p w14:paraId="5D33BA3C" w14:textId="13EFD3D8" w:rsidR="00B05CD2" w:rsidRPr="003A2F86" w:rsidRDefault="00B05CD2" w:rsidP="00B05CD2">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(3b) izvršeno za razdoblje od I-</w:t>
      </w:r>
      <w:r w:rsidR="00766DC4">
        <w:rPr>
          <w:rFonts w:ascii="Arial" w:eastAsia="Times New Roman" w:hAnsi="Arial" w:cs="Arial"/>
          <w:iCs/>
          <w:lang w:eastAsia="en-US"/>
        </w:rPr>
        <w:t>XI</w:t>
      </w:r>
      <w:r w:rsidRPr="003A2F86">
        <w:rPr>
          <w:rFonts w:ascii="Arial" w:eastAsia="Times New Roman" w:hAnsi="Arial" w:cs="Arial"/>
          <w:iCs/>
          <w:lang w:eastAsia="en-US"/>
        </w:rPr>
        <w:t>I 202</w:t>
      </w:r>
      <w:r w:rsidR="00901C13">
        <w:rPr>
          <w:rFonts w:ascii="Arial" w:eastAsia="Times New Roman" w:hAnsi="Arial" w:cs="Arial"/>
          <w:iCs/>
          <w:lang w:eastAsia="en-US"/>
        </w:rPr>
        <w:t>4</w:t>
      </w:r>
      <w:r w:rsidRPr="003A2F86">
        <w:rPr>
          <w:rFonts w:ascii="Arial" w:eastAsia="Times New Roman" w:hAnsi="Arial" w:cs="Arial"/>
          <w:iCs/>
          <w:lang w:eastAsia="en-US"/>
        </w:rPr>
        <w:t xml:space="preserve">. g. (s rashodima proračunskih korisnika koji su financirani iz njihovih vlastitih i namjenskih prihoda, financijski izvještaji razina 23), </w:t>
      </w:r>
    </w:p>
    <w:p w14:paraId="247C6D76" w14:textId="609F6F28" w:rsidR="00B05CD2" w:rsidRPr="003A2F86" w:rsidRDefault="00B05CD2" w:rsidP="00B05CD2">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 (4) </w:t>
      </w:r>
      <w:r w:rsidR="00901C13">
        <w:rPr>
          <w:rFonts w:ascii="Arial" w:eastAsia="Times New Roman" w:hAnsi="Arial" w:cs="Arial"/>
          <w:iCs/>
          <w:lang w:eastAsia="en-US"/>
        </w:rPr>
        <w:t>plan s preraspodjelom</w:t>
      </w:r>
      <w:r w:rsidR="009C5F75" w:rsidRPr="003A2F86">
        <w:rPr>
          <w:rFonts w:ascii="Arial" w:eastAsia="Times New Roman" w:hAnsi="Arial" w:cs="Arial"/>
          <w:iCs/>
          <w:lang w:eastAsia="en-US"/>
        </w:rPr>
        <w:t xml:space="preserve"> </w:t>
      </w:r>
      <w:r w:rsidRPr="003A2F86">
        <w:rPr>
          <w:rFonts w:ascii="Arial" w:eastAsia="Times New Roman" w:hAnsi="Arial" w:cs="Arial"/>
          <w:iCs/>
          <w:lang w:eastAsia="en-US"/>
        </w:rPr>
        <w:t>za 202</w:t>
      </w:r>
      <w:r w:rsidR="00901C13">
        <w:rPr>
          <w:rFonts w:ascii="Arial" w:eastAsia="Times New Roman" w:hAnsi="Arial" w:cs="Arial"/>
          <w:iCs/>
          <w:lang w:eastAsia="en-US"/>
        </w:rPr>
        <w:t>5</w:t>
      </w:r>
      <w:r w:rsidRPr="003A2F86">
        <w:rPr>
          <w:rFonts w:ascii="Arial" w:eastAsia="Times New Roman" w:hAnsi="Arial" w:cs="Arial"/>
          <w:iCs/>
          <w:lang w:eastAsia="en-US"/>
        </w:rPr>
        <w:t xml:space="preserve">. (u izvještajnom razdoblju je bilo preraspodjela), </w:t>
      </w:r>
    </w:p>
    <w:p w14:paraId="547FFD4A" w14:textId="48A4705C" w:rsidR="00B05CD2" w:rsidRPr="003A2F86" w:rsidRDefault="00B05CD2" w:rsidP="00B05CD2">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(5a) izvršeno za razdoblje I-</w:t>
      </w:r>
      <w:r w:rsidR="00766DC4">
        <w:rPr>
          <w:rFonts w:ascii="Arial" w:eastAsia="Times New Roman" w:hAnsi="Arial" w:cs="Arial"/>
          <w:iCs/>
          <w:lang w:eastAsia="en-US"/>
        </w:rPr>
        <w:t>XI</w:t>
      </w:r>
      <w:r w:rsidRPr="003A2F86">
        <w:rPr>
          <w:rFonts w:ascii="Arial" w:eastAsia="Times New Roman" w:hAnsi="Arial" w:cs="Arial"/>
          <w:iCs/>
          <w:lang w:eastAsia="en-US"/>
        </w:rPr>
        <w:t>I 202</w:t>
      </w:r>
      <w:r w:rsidR="00901C13">
        <w:rPr>
          <w:rFonts w:ascii="Arial" w:eastAsia="Times New Roman" w:hAnsi="Arial" w:cs="Arial"/>
          <w:iCs/>
          <w:lang w:eastAsia="en-US"/>
        </w:rPr>
        <w:t>5</w:t>
      </w:r>
      <w:r w:rsidRPr="003A2F86">
        <w:rPr>
          <w:rFonts w:ascii="Arial" w:eastAsia="Times New Roman" w:hAnsi="Arial" w:cs="Arial"/>
          <w:iCs/>
          <w:lang w:eastAsia="en-US"/>
        </w:rPr>
        <w:t xml:space="preserve">. (bez rashoda proračunskih korisnika koji su financirani iz njihovih vlastitih i namjenskih prihoda ali korištenjem računa 367 za rashode proračunskih korisnika koji su financirani iz općinskog proračuna, financijski izvještaji razina 22), </w:t>
      </w:r>
    </w:p>
    <w:p w14:paraId="4D24ED47" w14:textId="08E97739" w:rsidR="00B05CD2" w:rsidRPr="003A2F86" w:rsidRDefault="00B05CD2" w:rsidP="00B05CD2">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(5b) izvršeno za razdoblje I-</w:t>
      </w:r>
      <w:r w:rsidR="00766DC4">
        <w:rPr>
          <w:rFonts w:ascii="Arial" w:eastAsia="Times New Roman" w:hAnsi="Arial" w:cs="Arial"/>
          <w:iCs/>
          <w:lang w:eastAsia="en-US"/>
        </w:rPr>
        <w:t>XI</w:t>
      </w:r>
      <w:r w:rsidRPr="003A2F86">
        <w:rPr>
          <w:rFonts w:ascii="Arial" w:eastAsia="Times New Roman" w:hAnsi="Arial" w:cs="Arial"/>
          <w:iCs/>
          <w:lang w:eastAsia="en-US"/>
        </w:rPr>
        <w:t>I 202</w:t>
      </w:r>
      <w:r w:rsidR="00901C13">
        <w:rPr>
          <w:rFonts w:ascii="Arial" w:eastAsia="Times New Roman" w:hAnsi="Arial" w:cs="Arial"/>
          <w:iCs/>
          <w:lang w:eastAsia="en-US"/>
        </w:rPr>
        <w:t>5</w:t>
      </w:r>
      <w:r w:rsidRPr="003A2F86">
        <w:rPr>
          <w:rFonts w:ascii="Arial" w:eastAsia="Times New Roman" w:hAnsi="Arial" w:cs="Arial"/>
          <w:iCs/>
          <w:lang w:eastAsia="en-US"/>
        </w:rPr>
        <w:t>. (s rashodima proračunskih korisnika koji su financirani iz njihovih vlastitih i namjenskih prihoda, financijski izvještaji razina 23),</w:t>
      </w:r>
    </w:p>
    <w:p w14:paraId="1CAF9E21" w14:textId="196FFAE7" w:rsidR="00B05CD2" w:rsidRPr="003A2F86" w:rsidRDefault="00B05CD2" w:rsidP="00B05CD2">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(6a) indeks izvršenja za izvještajno razdoblje u odnosu na izvršenje za izvještajno razdoblje prethodne godine i to rashodi i izdaci za 202</w:t>
      </w:r>
      <w:r w:rsidR="00901C13">
        <w:rPr>
          <w:rFonts w:ascii="Arial" w:eastAsia="Times New Roman" w:hAnsi="Arial" w:cs="Arial"/>
          <w:iCs/>
          <w:lang w:eastAsia="en-US"/>
        </w:rPr>
        <w:t>5</w:t>
      </w:r>
      <w:r w:rsidRPr="003A2F86">
        <w:rPr>
          <w:rFonts w:ascii="Arial" w:eastAsia="Times New Roman" w:hAnsi="Arial" w:cs="Arial"/>
          <w:iCs/>
          <w:lang w:eastAsia="en-US"/>
        </w:rPr>
        <w:t>. razina 22 (stupac 5a) u odnosu na rashode i izdatke za 202</w:t>
      </w:r>
      <w:r w:rsidR="00901C13">
        <w:rPr>
          <w:rFonts w:ascii="Arial" w:eastAsia="Times New Roman" w:hAnsi="Arial" w:cs="Arial"/>
          <w:iCs/>
          <w:lang w:eastAsia="en-US"/>
        </w:rPr>
        <w:t>4</w:t>
      </w:r>
      <w:r w:rsidRPr="003A2F86">
        <w:rPr>
          <w:rFonts w:ascii="Arial" w:eastAsia="Times New Roman" w:hAnsi="Arial" w:cs="Arial"/>
          <w:iCs/>
          <w:lang w:eastAsia="en-US"/>
        </w:rPr>
        <w:t>. razina 22 (stupac 3a),</w:t>
      </w:r>
    </w:p>
    <w:p w14:paraId="18520998" w14:textId="5ED87EB6" w:rsidR="00B05CD2" w:rsidRPr="003A2F86" w:rsidRDefault="00B05CD2" w:rsidP="00B05CD2">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(6b) indeks izvršenja za izvještajno razdoblje u odnosu na izvršenje za izvještajno razdoblje prethodne godine i to rashodi i izdaci za 202</w:t>
      </w:r>
      <w:r w:rsidR="00901C13">
        <w:rPr>
          <w:rFonts w:ascii="Arial" w:eastAsia="Times New Roman" w:hAnsi="Arial" w:cs="Arial"/>
          <w:iCs/>
          <w:lang w:eastAsia="en-US"/>
        </w:rPr>
        <w:t>5</w:t>
      </w:r>
      <w:r w:rsidRPr="003A2F86">
        <w:rPr>
          <w:rFonts w:ascii="Arial" w:eastAsia="Times New Roman" w:hAnsi="Arial" w:cs="Arial"/>
          <w:iCs/>
          <w:lang w:eastAsia="en-US"/>
        </w:rPr>
        <w:t>. razine 23 (stupac 5b) u odnosu na rashode i izdatke za 202</w:t>
      </w:r>
      <w:r w:rsidR="00901C13">
        <w:rPr>
          <w:rFonts w:ascii="Arial" w:eastAsia="Times New Roman" w:hAnsi="Arial" w:cs="Arial"/>
          <w:iCs/>
          <w:lang w:eastAsia="en-US"/>
        </w:rPr>
        <w:t>4</w:t>
      </w:r>
      <w:r w:rsidRPr="003A2F86">
        <w:rPr>
          <w:rFonts w:ascii="Arial" w:eastAsia="Times New Roman" w:hAnsi="Arial" w:cs="Arial"/>
          <w:iCs/>
          <w:lang w:eastAsia="en-US"/>
        </w:rPr>
        <w:t>. razina 23 (stupac 3b),</w:t>
      </w:r>
    </w:p>
    <w:p w14:paraId="1E46C923" w14:textId="1BDC05D9" w:rsidR="00B05CD2" w:rsidRPr="003A2F86" w:rsidRDefault="00B05CD2" w:rsidP="00B05CD2">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(7) indeks izvršenja za izvještajno razdoblje 202</w:t>
      </w:r>
      <w:r w:rsidR="00901C13">
        <w:rPr>
          <w:rFonts w:ascii="Arial" w:eastAsia="Times New Roman" w:hAnsi="Arial" w:cs="Arial"/>
          <w:iCs/>
          <w:lang w:eastAsia="en-US"/>
        </w:rPr>
        <w:t>5</w:t>
      </w:r>
      <w:r w:rsidRPr="003A2F86">
        <w:rPr>
          <w:rFonts w:ascii="Arial" w:eastAsia="Times New Roman" w:hAnsi="Arial" w:cs="Arial"/>
          <w:iCs/>
          <w:lang w:eastAsia="en-US"/>
        </w:rPr>
        <w:t>. razina 23 (stupac 5b) u odnosu na plan 202</w:t>
      </w:r>
      <w:r w:rsidR="00901C13">
        <w:rPr>
          <w:rFonts w:ascii="Arial" w:eastAsia="Times New Roman" w:hAnsi="Arial" w:cs="Arial"/>
          <w:iCs/>
          <w:lang w:eastAsia="en-US"/>
        </w:rPr>
        <w:t>5</w:t>
      </w:r>
      <w:r w:rsidRPr="003A2F86">
        <w:rPr>
          <w:rFonts w:ascii="Arial" w:eastAsia="Times New Roman" w:hAnsi="Arial" w:cs="Arial"/>
          <w:iCs/>
          <w:lang w:eastAsia="en-US"/>
        </w:rPr>
        <w:t xml:space="preserve">. (stupac 4), te </w:t>
      </w:r>
    </w:p>
    <w:p w14:paraId="1C9F110B" w14:textId="3F6781D0" w:rsidR="00B05CD2" w:rsidRPr="003A2F86" w:rsidRDefault="00B05CD2" w:rsidP="00B05CD2">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(8) postotak učešća izvršenih rashoda i izdataka u izvještajnom razdoblju 202</w:t>
      </w:r>
      <w:r w:rsidR="00901C13">
        <w:rPr>
          <w:rFonts w:ascii="Arial" w:eastAsia="Times New Roman" w:hAnsi="Arial" w:cs="Arial"/>
          <w:iCs/>
          <w:lang w:eastAsia="en-US"/>
        </w:rPr>
        <w:t>5</w:t>
      </w:r>
      <w:r w:rsidRPr="003A2F86">
        <w:rPr>
          <w:rFonts w:ascii="Arial" w:eastAsia="Times New Roman" w:hAnsi="Arial" w:cs="Arial"/>
          <w:iCs/>
          <w:lang w:eastAsia="en-US"/>
        </w:rPr>
        <w:t>. (stupac 5b) u ukupno izvršenim rashodima i izdacima za 202</w:t>
      </w:r>
      <w:r w:rsidR="00901C13">
        <w:rPr>
          <w:rFonts w:ascii="Arial" w:eastAsia="Times New Roman" w:hAnsi="Arial" w:cs="Arial"/>
          <w:iCs/>
          <w:lang w:eastAsia="en-US"/>
        </w:rPr>
        <w:t>5</w:t>
      </w:r>
      <w:r w:rsidRPr="003A2F86">
        <w:rPr>
          <w:rFonts w:ascii="Arial" w:eastAsia="Times New Roman" w:hAnsi="Arial" w:cs="Arial"/>
          <w:iCs/>
          <w:lang w:eastAsia="en-US"/>
        </w:rPr>
        <w:t>.</w:t>
      </w:r>
    </w:p>
    <w:p w14:paraId="1D5D97DC" w14:textId="77777777" w:rsidR="00B05CD2" w:rsidRPr="003A2F86" w:rsidRDefault="00B05CD2" w:rsidP="00B05CD2">
      <w:pPr>
        <w:spacing w:after="0" w:line="240" w:lineRule="auto"/>
        <w:jc w:val="both"/>
        <w:rPr>
          <w:rFonts w:ascii="Arial" w:eastAsia="Times New Roman" w:hAnsi="Arial" w:cs="Arial"/>
          <w:iCs/>
          <w:lang w:eastAsia="en-US"/>
        </w:rPr>
      </w:pPr>
    </w:p>
    <w:p w14:paraId="2A9783A0" w14:textId="77777777" w:rsidR="00B05CD2" w:rsidRPr="003A2F86" w:rsidRDefault="00B05CD2" w:rsidP="00B05CD2">
      <w:pPr>
        <w:spacing w:after="0" w:line="240" w:lineRule="auto"/>
        <w:jc w:val="both"/>
        <w:rPr>
          <w:rFonts w:ascii="Arial" w:eastAsia="Times New Roman" w:hAnsi="Arial" w:cs="Arial"/>
          <w:b/>
          <w:i/>
          <w:iCs/>
          <w:lang w:eastAsia="en-US"/>
        </w:rPr>
      </w:pPr>
      <w:r w:rsidRPr="003A2F86">
        <w:rPr>
          <w:rFonts w:ascii="Arial" w:eastAsia="Times New Roman" w:hAnsi="Arial" w:cs="Arial"/>
          <w:b/>
          <w:i/>
          <w:iCs/>
          <w:lang w:eastAsia="en-US"/>
        </w:rPr>
        <w:t>Bitna napomena uz tablicu koja slijedi:</w:t>
      </w:r>
    </w:p>
    <w:p w14:paraId="11A16D84" w14:textId="77777777" w:rsidR="00B05CD2" w:rsidRPr="003A2F86" w:rsidRDefault="00B05CD2" w:rsidP="00B05CD2">
      <w:pPr>
        <w:spacing w:after="0" w:line="240" w:lineRule="auto"/>
        <w:jc w:val="both"/>
        <w:rPr>
          <w:rFonts w:ascii="Arial" w:eastAsia="Times New Roman" w:hAnsi="Arial" w:cs="Arial"/>
          <w:b/>
          <w:iCs/>
          <w:lang w:eastAsia="en-US"/>
        </w:rPr>
      </w:pPr>
    </w:p>
    <w:p w14:paraId="78F31301" w14:textId="77777777" w:rsidR="00B05CD2" w:rsidRPr="003A2F86" w:rsidRDefault="00B05CD2" w:rsidP="00B05CD2">
      <w:pPr>
        <w:spacing w:after="0" w:line="240" w:lineRule="auto"/>
        <w:jc w:val="both"/>
        <w:rPr>
          <w:rFonts w:ascii="Arial" w:eastAsia="Times New Roman" w:hAnsi="Arial" w:cs="Arial"/>
          <w:iCs/>
          <w:lang w:eastAsia="en-US"/>
        </w:rPr>
      </w:pPr>
      <w:r w:rsidRPr="003A2F86">
        <w:rPr>
          <w:rFonts w:ascii="Arial" w:eastAsia="Times New Roman" w:hAnsi="Arial" w:cs="Arial"/>
          <w:iCs/>
          <w:u w:val="single"/>
          <w:lang w:eastAsia="en-US"/>
        </w:rPr>
        <w:t>U izvještaju o izvršenju proračuna</w:t>
      </w:r>
      <w:r w:rsidRPr="003A2F86">
        <w:rPr>
          <w:rFonts w:ascii="Arial" w:eastAsia="Times New Roman" w:hAnsi="Arial" w:cs="Arial"/>
          <w:iCs/>
          <w:lang w:eastAsia="en-US"/>
        </w:rPr>
        <w:t xml:space="preserve"> su iskazani rashodi i izdaci iz stupca 5b, dakle rashodi i izdaci Općine sa svim rashodima i izdacima proračunskih korisnika, financijski izvještaji razina 23. </w:t>
      </w:r>
    </w:p>
    <w:p w14:paraId="202CF418" w14:textId="77777777" w:rsidR="00B05CD2" w:rsidRPr="003A2F86" w:rsidRDefault="00B05CD2" w:rsidP="00B05CD2">
      <w:pPr>
        <w:spacing w:after="0" w:line="240" w:lineRule="auto"/>
        <w:jc w:val="both"/>
        <w:rPr>
          <w:rFonts w:ascii="Arial" w:eastAsia="Times New Roman" w:hAnsi="Arial" w:cs="Arial"/>
          <w:iCs/>
          <w:lang w:eastAsia="en-US"/>
        </w:rPr>
      </w:pPr>
    </w:p>
    <w:p w14:paraId="779CF164" w14:textId="55F017C2" w:rsidR="00B05CD2" w:rsidRPr="003A2F86" w:rsidRDefault="00B05CD2" w:rsidP="00B05CD2">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Dalje kroz tekst izvještaja navode se </w:t>
      </w:r>
      <w:r w:rsidRPr="003A2F86">
        <w:rPr>
          <w:rFonts w:ascii="Arial" w:eastAsia="Times New Roman" w:hAnsi="Arial" w:cs="Arial"/>
          <w:b/>
          <w:iCs/>
          <w:lang w:eastAsia="en-US"/>
        </w:rPr>
        <w:t>usporedbe</w:t>
      </w:r>
      <w:r w:rsidRPr="003A2F86">
        <w:rPr>
          <w:rFonts w:ascii="Arial" w:eastAsia="Times New Roman" w:hAnsi="Arial" w:cs="Arial"/>
          <w:iCs/>
          <w:lang w:eastAsia="en-US"/>
        </w:rPr>
        <w:t xml:space="preserve"> izvršenog u 202</w:t>
      </w:r>
      <w:r w:rsidR="00901C13">
        <w:rPr>
          <w:rFonts w:ascii="Arial" w:eastAsia="Times New Roman" w:hAnsi="Arial" w:cs="Arial"/>
          <w:iCs/>
          <w:lang w:eastAsia="en-US"/>
        </w:rPr>
        <w:t>5</w:t>
      </w:r>
      <w:r w:rsidRPr="003A2F86">
        <w:rPr>
          <w:rFonts w:ascii="Arial" w:eastAsia="Times New Roman" w:hAnsi="Arial" w:cs="Arial"/>
          <w:iCs/>
          <w:lang w:eastAsia="en-US"/>
        </w:rPr>
        <w:t>. (stupac 5b u tablici) u odnosu na izvršeno u prethodnom proračunskom razdoblju 202</w:t>
      </w:r>
      <w:r w:rsidR="00901C13">
        <w:rPr>
          <w:rFonts w:ascii="Arial" w:eastAsia="Times New Roman" w:hAnsi="Arial" w:cs="Arial"/>
          <w:iCs/>
          <w:lang w:eastAsia="en-US"/>
        </w:rPr>
        <w:t>4</w:t>
      </w:r>
      <w:r w:rsidRPr="003A2F86">
        <w:rPr>
          <w:rFonts w:ascii="Arial" w:eastAsia="Times New Roman" w:hAnsi="Arial" w:cs="Arial"/>
          <w:iCs/>
          <w:lang w:eastAsia="en-US"/>
        </w:rPr>
        <w:t>. godine (stupac 3b u tablici).</w:t>
      </w:r>
    </w:p>
    <w:p w14:paraId="5AE57DC4" w14:textId="77777777" w:rsidR="00B05CD2" w:rsidRPr="003A2F86" w:rsidRDefault="00B05CD2" w:rsidP="00B05CD2">
      <w:pPr>
        <w:spacing w:after="0" w:line="240" w:lineRule="auto"/>
        <w:jc w:val="both"/>
        <w:rPr>
          <w:rFonts w:ascii="Arial" w:eastAsia="Times New Roman" w:hAnsi="Arial" w:cs="Arial"/>
          <w:b/>
          <w:i/>
          <w:iCs/>
          <w:lang w:eastAsia="en-US"/>
        </w:rPr>
      </w:pPr>
    </w:p>
    <w:p w14:paraId="3116AC89" w14:textId="77777777" w:rsidR="00B05CD2" w:rsidRPr="003A2F86" w:rsidRDefault="00B05CD2" w:rsidP="00B05CD2">
      <w:pPr>
        <w:spacing w:after="0" w:line="240" w:lineRule="auto"/>
        <w:jc w:val="both"/>
        <w:rPr>
          <w:rFonts w:ascii="Arial" w:eastAsia="Times New Roman" w:hAnsi="Arial" w:cs="Arial"/>
          <w:b/>
          <w:i/>
          <w:iCs/>
          <w:lang w:eastAsia="en-US"/>
        </w:rPr>
      </w:pPr>
      <w:r w:rsidRPr="003A2F86">
        <w:rPr>
          <w:rFonts w:ascii="Arial" w:eastAsia="Times New Roman" w:hAnsi="Arial" w:cs="Arial"/>
          <w:b/>
          <w:i/>
          <w:iCs/>
          <w:lang w:eastAsia="en-US"/>
        </w:rPr>
        <w:t>Bitna napomena uz obrazloženje rashoda u tekstu Izvješća:</w:t>
      </w:r>
    </w:p>
    <w:p w14:paraId="4DE5BF90" w14:textId="77777777" w:rsidR="00B05CD2" w:rsidRPr="003A2F86" w:rsidRDefault="00B05CD2" w:rsidP="00B05CD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01F2CF35" w14:textId="37BFB53D" w:rsidR="00B05CD2" w:rsidRPr="003A2F86" w:rsidRDefault="00B05CD2" w:rsidP="00B05CD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 xml:space="preserve">Kada se ukupni rashodi izvršenog proračuna dijele na rashode Općine i rashode proračunskih korisnika, pod rashodima Općine se navode </w:t>
      </w:r>
      <w:r w:rsidRPr="003A2F86">
        <w:rPr>
          <w:rFonts w:ascii="Arial" w:eastAsia="Times New Roman" w:hAnsi="Arial" w:cs="Arial"/>
          <w:b/>
          <w:bCs/>
        </w:rPr>
        <w:t>rashodi bez</w:t>
      </w:r>
      <w:r w:rsidRPr="003A2F86">
        <w:rPr>
          <w:rFonts w:ascii="Arial" w:eastAsia="Times New Roman" w:hAnsi="Arial" w:cs="Arial"/>
        </w:rPr>
        <w:t xml:space="preserve"> </w:t>
      </w:r>
      <w:r w:rsidRPr="003A2F86">
        <w:rPr>
          <w:rFonts w:ascii="Arial" w:eastAsia="Times New Roman" w:hAnsi="Arial" w:cs="Arial"/>
          <w:b/>
          <w:bCs/>
          <w:u w:val="single"/>
        </w:rPr>
        <w:t>rashoda podskupine 367,</w:t>
      </w:r>
      <w:r w:rsidRPr="003A2F86">
        <w:rPr>
          <w:u w:val="single"/>
        </w:rPr>
        <w:t xml:space="preserve"> </w:t>
      </w:r>
      <w:r w:rsidRPr="003A2F86">
        <w:rPr>
          <w:rFonts w:ascii="Arial" w:eastAsia="Times New Roman" w:hAnsi="Arial" w:cs="Arial"/>
          <w:b/>
          <w:bCs/>
          <w:u w:val="single"/>
        </w:rPr>
        <w:t>prijenosi proračunskim korisnicima iz nadležnog proračuna za financiranje redovne djelatnosti.</w:t>
      </w:r>
      <w:r w:rsidRPr="003A2F86">
        <w:rPr>
          <w:rFonts w:ascii="Arial" w:eastAsia="Times New Roman" w:hAnsi="Arial" w:cs="Arial"/>
        </w:rPr>
        <w:t xml:space="preserve"> Naime, rashodi podskupine 367 predstavljaju iznos rashoda koji Općina financira, odnosno doznačuje proračunskim korisnicima čime se povećava ukupan iznos rashoda proračuna Općine. Međutim, u raspodjeli izvršenih rashoda </w:t>
      </w:r>
      <w:r w:rsidRPr="003A2F86">
        <w:rPr>
          <w:rFonts w:ascii="Arial" w:eastAsia="Times New Roman" w:hAnsi="Arial" w:cs="Arial"/>
          <w:b/>
          <w:bCs/>
        </w:rPr>
        <w:t>po stvarnim korisnicima</w:t>
      </w:r>
      <w:r w:rsidRPr="003A2F86">
        <w:rPr>
          <w:rFonts w:ascii="Arial" w:eastAsia="Times New Roman" w:hAnsi="Arial" w:cs="Arial"/>
        </w:rPr>
        <w:t xml:space="preserve"> troška navodi se iznos </w:t>
      </w:r>
      <w:r w:rsidRPr="003A2F86">
        <w:rPr>
          <w:rFonts w:ascii="Arial" w:eastAsia="Times New Roman" w:hAnsi="Arial" w:cs="Arial"/>
          <w:highlight w:val="lightGray"/>
        </w:rPr>
        <w:t xml:space="preserve">koliko se od ukupno izvršenih rashoda odnosi na rashode proračunskih korisnika, a koliko bi Općina imala bez </w:t>
      </w:r>
      <w:r w:rsidR="00D94411" w:rsidRPr="003A2F86">
        <w:rPr>
          <w:rFonts w:ascii="Arial" w:eastAsia="Times New Roman" w:hAnsi="Arial" w:cs="Arial"/>
          <w:highlight w:val="lightGray"/>
        </w:rPr>
        <w:t xml:space="preserve">prijenosa </w:t>
      </w:r>
      <w:r w:rsidRPr="003A2F86">
        <w:rPr>
          <w:rFonts w:ascii="Arial" w:eastAsia="Times New Roman" w:hAnsi="Arial" w:cs="Arial"/>
          <w:highlight w:val="lightGray"/>
        </w:rPr>
        <w:t>proračunski</w:t>
      </w:r>
      <w:r w:rsidR="00D94411" w:rsidRPr="003A2F86">
        <w:rPr>
          <w:rFonts w:ascii="Arial" w:eastAsia="Times New Roman" w:hAnsi="Arial" w:cs="Arial"/>
          <w:highlight w:val="lightGray"/>
        </w:rPr>
        <w:t>m</w:t>
      </w:r>
      <w:r w:rsidRPr="003A2F86">
        <w:rPr>
          <w:rFonts w:ascii="Arial" w:eastAsia="Times New Roman" w:hAnsi="Arial" w:cs="Arial"/>
          <w:highlight w:val="lightGray"/>
        </w:rPr>
        <w:t xml:space="preserve"> korisni</w:t>
      </w:r>
      <w:r w:rsidR="00D94411" w:rsidRPr="003A2F86">
        <w:rPr>
          <w:rFonts w:ascii="Arial" w:eastAsia="Times New Roman" w:hAnsi="Arial" w:cs="Arial"/>
          <w:highlight w:val="lightGray"/>
        </w:rPr>
        <w:t>cima</w:t>
      </w:r>
      <w:r w:rsidRPr="003A2F86">
        <w:rPr>
          <w:rFonts w:ascii="Arial" w:eastAsia="Times New Roman" w:hAnsi="Arial" w:cs="Arial"/>
          <w:highlight w:val="lightGray"/>
        </w:rPr>
        <w:t>.</w:t>
      </w:r>
    </w:p>
    <w:p w14:paraId="5B03DA33" w14:textId="77777777" w:rsidR="00B05CD2" w:rsidRPr="003A2F86" w:rsidRDefault="00B05CD2" w:rsidP="00B05CD2">
      <w:pPr>
        <w:spacing w:after="0" w:line="240" w:lineRule="auto"/>
        <w:jc w:val="both"/>
        <w:rPr>
          <w:rFonts w:ascii="Arial" w:eastAsia="Times New Roman" w:hAnsi="Arial" w:cs="Arial"/>
          <w:iCs/>
          <w:lang w:eastAsia="en-US"/>
        </w:rPr>
      </w:pPr>
    </w:p>
    <w:p w14:paraId="3DD6CE57" w14:textId="77777777" w:rsidR="00B05CD2" w:rsidRPr="003A2F86" w:rsidRDefault="00B05CD2" w:rsidP="00B05CD2">
      <w:pPr>
        <w:spacing w:after="0" w:line="240" w:lineRule="auto"/>
        <w:jc w:val="both"/>
        <w:rPr>
          <w:rFonts w:ascii="Arial" w:eastAsia="Times New Roman" w:hAnsi="Arial" w:cs="Arial"/>
          <w:bCs/>
          <w:iCs/>
          <w:lang w:eastAsia="en-US"/>
        </w:rPr>
        <w:sectPr w:rsidR="00B05CD2" w:rsidRPr="003A2F86" w:rsidSect="00673312">
          <w:pgSz w:w="16838" w:h="11906" w:orient="landscape" w:code="9"/>
          <w:pgMar w:top="1134" w:right="1134" w:bottom="1418" w:left="1134" w:header="720" w:footer="720" w:gutter="0"/>
          <w:pgNumType w:chapStyle="1"/>
          <w:cols w:space="720"/>
          <w:titlePg/>
          <w:docGrid w:linePitch="272"/>
        </w:sectPr>
      </w:pPr>
      <w:r w:rsidRPr="003A2F86">
        <w:rPr>
          <w:rFonts w:ascii="Arial" w:eastAsia="Times New Roman" w:hAnsi="Arial" w:cs="Arial"/>
          <w:bCs/>
          <w:iCs/>
          <w:lang w:eastAsia="en-US"/>
        </w:rPr>
        <w:br w:type="page"/>
      </w:r>
    </w:p>
    <w:p w14:paraId="74B6BB17" w14:textId="28CC6C82" w:rsidR="00B05CD2" w:rsidRPr="003A2F86" w:rsidRDefault="00B05CD2" w:rsidP="00B05CD2">
      <w:pPr>
        <w:pStyle w:val="Opisslike"/>
        <w:keepNext/>
        <w:jc w:val="both"/>
        <w:rPr>
          <w:rFonts w:ascii="Arial" w:hAnsi="Arial" w:cs="Arial"/>
          <w:iCs/>
        </w:rPr>
      </w:pPr>
      <w:bookmarkStart w:id="67" w:name="_Toc232981537"/>
      <w:bookmarkStart w:id="68" w:name="_Hlk17961286"/>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18</w:t>
      </w:r>
      <w:r w:rsidRPr="003A2F86">
        <w:rPr>
          <w:color w:val="FF0000"/>
        </w:rPr>
        <w:fldChar w:fldCharType="end"/>
      </w:r>
      <w:r w:rsidRPr="003A2F86">
        <w:t xml:space="preserve">.: </w:t>
      </w:r>
      <w:r w:rsidRPr="003A2F86">
        <w:rPr>
          <w:rFonts w:ascii="Arial" w:hAnsi="Arial" w:cs="Arial"/>
          <w:iCs/>
        </w:rPr>
        <w:t xml:space="preserve">Pregled izvršenih rashoda i izdataka za </w:t>
      </w:r>
      <w:r w:rsidR="00AD1CE4" w:rsidRPr="003A2F86">
        <w:rPr>
          <w:rFonts w:ascii="Arial" w:hAnsi="Arial" w:cs="Arial"/>
          <w:iCs/>
        </w:rPr>
        <w:t>202</w:t>
      </w:r>
      <w:r w:rsidR="00901C13">
        <w:rPr>
          <w:rFonts w:ascii="Arial" w:hAnsi="Arial" w:cs="Arial"/>
          <w:iCs/>
        </w:rPr>
        <w:t>5</w:t>
      </w:r>
      <w:r w:rsidRPr="003A2F86">
        <w:rPr>
          <w:rFonts w:ascii="Arial" w:hAnsi="Arial" w:cs="Arial"/>
          <w:iCs/>
        </w:rPr>
        <w:t>. te usporedba s izvršenjem za 202</w:t>
      </w:r>
      <w:r w:rsidR="00901C13">
        <w:rPr>
          <w:rFonts w:ascii="Arial" w:hAnsi="Arial" w:cs="Arial"/>
          <w:iCs/>
        </w:rPr>
        <w:t>4</w:t>
      </w:r>
      <w:r w:rsidRPr="003A2F86">
        <w:rPr>
          <w:rFonts w:ascii="Arial" w:hAnsi="Arial" w:cs="Arial"/>
          <w:iCs/>
        </w:rPr>
        <w:t>. (razina 22 i razina 23) i planom za 202</w:t>
      </w:r>
      <w:r w:rsidR="00901C13">
        <w:rPr>
          <w:rFonts w:ascii="Arial" w:hAnsi="Arial" w:cs="Arial"/>
          <w:iCs/>
        </w:rPr>
        <w:t>5</w:t>
      </w:r>
      <w:r w:rsidRPr="003A2F86">
        <w:rPr>
          <w:rFonts w:ascii="Arial" w:hAnsi="Arial" w:cs="Arial"/>
          <w:iCs/>
        </w:rPr>
        <w:t>. (€)</w:t>
      </w:r>
      <w:bookmarkEnd w:id="67"/>
    </w:p>
    <w:p w14:paraId="2134593E" w14:textId="5315AF66" w:rsidR="00B05CD2" w:rsidRPr="003A2F86" w:rsidRDefault="00B94B9F" w:rsidP="00901C13">
      <w:pPr>
        <w:jc w:val="center"/>
        <w:rPr>
          <w:lang w:eastAsia="en-US"/>
        </w:rPr>
      </w:pPr>
      <w:r w:rsidRPr="00B94B9F">
        <w:rPr>
          <w:noProof/>
        </w:rPr>
        <w:drawing>
          <wp:inline distT="0" distB="0" distL="0" distR="0" wp14:anchorId="41A8FFC3" wp14:editId="66D3EA1A">
            <wp:extent cx="9251950" cy="5492115"/>
            <wp:effectExtent l="0" t="0" r="6350" b="0"/>
            <wp:docPr id="1541081963"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251950" cy="5492115"/>
                    </a:xfrm>
                    <a:prstGeom prst="rect">
                      <a:avLst/>
                    </a:prstGeom>
                    <a:noFill/>
                    <a:ln>
                      <a:noFill/>
                    </a:ln>
                  </pic:spPr>
                </pic:pic>
              </a:graphicData>
            </a:graphic>
          </wp:inline>
        </w:drawing>
      </w:r>
    </w:p>
    <w:bookmarkEnd w:id="68"/>
    <w:p w14:paraId="70506AF9" w14:textId="5D5EF3EA" w:rsidR="00B05CD2" w:rsidRPr="003A2F86" w:rsidRDefault="00B05CD2" w:rsidP="00B05CD2">
      <w:pPr>
        <w:spacing w:after="0" w:line="240" w:lineRule="auto"/>
        <w:jc w:val="center"/>
        <w:rPr>
          <w:noProof/>
        </w:rPr>
      </w:pPr>
    </w:p>
    <w:p w14:paraId="4BC47D6D" w14:textId="77777777" w:rsidR="007D0EDE" w:rsidRPr="003A2F86" w:rsidRDefault="007D0EDE" w:rsidP="00B05CD2">
      <w:pPr>
        <w:spacing w:after="0" w:line="240" w:lineRule="auto"/>
        <w:jc w:val="center"/>
        <w:rPr>
          <w:noProof/>
        </w:rPr>
      </w:pPr>
    </w:p>
    <w:p w14:paraId="677F2820" w14:textId="77777777" w:rsidR="007D0EDE" w:rsidRPr="003A2F86" w:rsidRDefault="007D0EDE" w:rsidP="00B05CD2">
      <w:pPr>
        <w:spacing w:after="0" w:line="240" w:lineRule="auto"/>
        <w:jc w:val="center"/>
        <w:rPr>
          <w:noProof/>
        </w:rPr>
      </w:pPr>
    </w:p>
    <w:p w14:paraId="5824CF49" w14:textId="0E5E4762" w:rsidR="00B05CD2" w:rsidRPr="003A2F86" w:rsidRDefault="00B94B9F" w:rsidP="00B05CD2">
      <w:pPr>
        <w:spacing w:after="0" w:line="240" w:lineRule="auto"/>
        <w:jc w:val="center"/>
        <w:rPr>
          <w:noProof/>
        </w:rPr>
      </w:pPr>
      <w:r w:rsidRPr="00B94B9F">
        <w:rPr>
          <w:noProof/>
        </w:rPr>
        <w:drawing>
          <wp:inline distT="0" distB="0" distL="0" distR="0" wp14:anchorId="2B82626C" wp14:editId="33699F22">
            <wp:extent cx="9251950" cy="4178935"/>
            <wp:effectExtent l="0" t="0" r="6350" b="0"/>
            <wp:docPr id="1633216415"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251950" cy="4178935"/>
                    </a:xfrm>
                    <a:prstGeom prst="rect">
                      <a:avLst/>
                    </a:prstGeom>
                    <a:noFill/>
                    <a:ln>
                      <a:noFill/>
                    </a:ln>
                  </pic:spPr>
                </pic:pic>
              </a:graphicData>
            </a:graphic>
          </wp:inline>
        </w:drawing>
      </w:r>
    </w:p>
    <w:p w14:paraId="1731150A" w14:textId="77777777" w:rsidR="00B05CD2" w:rsidRPr="003A2F86" w:rsidRDefault="00B05CD2" w:rsidP="00B05CD2">
      <w:pPr>
        <w:spacing w:after="0" w:line="240" w:lineRule="auto"/>
        <w:jc w:val="center"/>
      </w:pPr>
    </w:p>
    <w:p w14:paraId="5100DB3A" w14:textId="77777777" w:rsidR="00B05CD2" w:rsidRPr="003A2F86" w:rsidRDefault="00B05CD2" w:rsidP="00B05CD2">
      <w:pPr>
        <w:rPr>
          <w:rFonts w:ascii="Arial" w:eastAsia="Times New Roman" w:hAnsi="Arial" w:cs="Arial"/>
          <w:bCs/>
          <w:iCs/>
          <w:lang w:eastAsia="en-US"/>
        </w:rPr>
      </w:pPr>
      <w:r w:rsidRPr="003A2F86">
        <w:rPr>
          <w:rFonts w:ascii="Arial" w:eastAsia="Times New Roman" w:hAnsi="Arial" w:cs="Arial"/>
          <w:bCs/>
          <w:iCs/>
          <w:lang w:eastAsia="en-US"/>
        </w:rPr>
        <w:br w:type="page"/>
      </w:r>
    </w:p>
    <w:p w14:paraId="28E71B8F" w14:textId="24E3CB6D" w:rsidR="00B05CD2" w:rsidRPr="003A2F86" w:rsidRDefault="00B05CD2" w:rsidP="00B05CD2">
      <w:pPr>
        <w:spacing w:after="0" w:line="240" w:lineRule="auto"/>
        <w:ind w:firstLine="709"/>
        <w:jc w:val="both"/>
        <w:rPr>
          <w:rFonts w:ascii="Arial" w:eastAsia="Calibri" w:hAnsi="Arial" w:cs="Arial"/>
          <w:lang w:eastAsia="en-US"/>
        </w:rPr>
      </w:pPr>
      <w:r w:rsidRPr="003A2F86">
        <w:rPr>
          <w:rFonts w:ascii="Arial" w:eastAsia="Calibri" w:hAnsi="Arial" w:cs="Arial"/>
          <w:lang w:eastAsia="en-US"/>
        </w:rPr>
        <w:lastRenderedPageBreak/>
        <w:t>Za 202</w:t>
      </w:r>
      <w:r w:rsidR="00901C13">
        <w:rPr>
          <w:rFonts w:ascii="Arial" w:eastAsia="Calibri" w:hAnsi="Arial" w:cs="Arial"/>
          <w:lang w:eastAsia="en-US"/>
        </w:rPr>
        <w:t>5</w:t>
      </w:r>
      <w:r w:rsidRPr="003A2F86">
        <w:rPr>
          <w:rFonts w:ascii="Arial" w:eastAsia="Calibri" w:hAnsi="Arial" w:cs="Arial"/>
          <w:lang w:eastAsia="en-US"/>
        </w:rPr>
        <w:t xml:space="preserve">. godinu planirani rashodi proračuna iznose </w:t>
      </w:r>
      <w:r w:rsidR="009440DE">
        <w:rPr>
          <w:rFonts w:ascii="Arial" w:eastAsia="Calibri" w:hAnsi="Arial" w:cs="Arial"/>
          <w:lang w:eastAsia="en-US"/>
        </w:rPr>
        <w:t>33.367.770</w:t>
      </w:r>
      <w:r w:rsidRPr="003A2F86">
        <w:rPr>
          <w:rFonts w:ascii="Arial" w:eastAsia="Calibri" w:hAnsi="Arial" w:cs="Arial"/>
          <w:lang w:eastAsia="en-US"/>
        </w:rPr>
        <w:t xml:space="preserve"> €, izdaci iznose </w:t>
      </w:r>
      <w:r w:rsidR="009440DE">
        <w:rPr>
          <w:rFonts w:ascii="Arial" w:eastAsia="Calibri" w:hAnsi="Arial" w:cs="Arial"/>
          <w:lang w:eastAsia="en-US"/>
        </w:rPr>
        <w:t>1.032.230</w:t>
      </w:r>
      <w:r w:rsidRPr="003A2F86">
        <w:rPr>
          <w:rFonts w:ascii="Arial" w:eastAsia="Calibri" w:hAnsi="Arial" w:cs="Arial"/>
          <w:lang w:eastAsia="en-US"/>
        </w:rPr>
        <w:t xml:space="preserve"> € što sveukupno čini </w:t>
      </w:r>
      <w:r w:rsidR="009440DE">
        <w:rPr>
          <w:rFonts w:ascii="Arial" w:eastAsia="Calibri" w:hAnsi="Arial" w:cs="Arial"/>
          <w:lang w:eastAsia="en-US"/>
        </w:rPr>
        <w:t>34.400</w:t>
      </w:r>
      <w:r w:rsidR="007722F4" w:rsidRPr="003A2F86">
        <w:rPr>
          <w:rFonts w:ascii="Arial" w:eastAsia="Calibri" w:hAnsi="Arial" w:cs="Arial"/>
          <w:lang w:eastAsia="en-US"/>
        </w:rPr>
        <w:t>.000</w:t>
      </w:r>
      <w:r w:rsidR="00511B5B" w:rsidRPr="003A2F86">
        <w:rPr>
          <w:rFonts w:ascii="Arial" w:eastAsia="Calibri" w:hAnsi="Arial" w:cs="Arial"/>
          <w:lang w:eastAsia="en-US"/>
        </w:rPr>
        <w:t xml:space="preserve"> </w:t>
      </w:r>
      <w:r w:rsidRPr="003A2F86">
        <w:rPr>
          <w:rFonts w:ascii="Arial" w:eastAsia="Calibri" w:hAnsi="Arial" w:cs="Arial"/>
          <w:lang w:eastAsia="en-US"/>
        </w:rPr>
        <w:t>€.</w:t>
      </w:r>
    </w:p>
    <w:p w14:paraId="45190E79" w14:textId="77777777" w:rsidR="00B05CD2" w:rsidRPr="003A2F86" w:rsidRDefault="00B05CD2" w:rsidP="00B05CD2">
      <w:pPr>
        <w:spacing w:after="0" w:line="240" w:lineRule="auto"/>
        <w:jc w:val="both"/>
        <w:rPr>
          <w:rFonts w:ascii="Arial" w:eastAsia="Calibri" w:hAnsi="Arial" w:cs="Arial"/>
          <w:lang w:eastAsia="en-US"/>
        </w:rPr>
      </w:pPr>
      <w:bookmarkStart w:id="69" w:name="_Hlk230157488"/>
    </w:p>
    <w:p w14:paraId="6D4D0368" w14:textId="7B2AC233" w:rsidR="00B05CD2" w:rsidRPr="003A2F86" w:rsidRDefault="00B05CD2" w:rsidP="00B05CD2">
      <w:pPr>
        <w:spacing w:after="0" w:line="240" w:lineRule="auto"/>
        <w:jc w:val="both"/>
        <w:rPr>
          <w:rFonts w:ascii="Arial" w:eastAsia="Calibri" w:hAnsi="Arial" w:cs="Arial"/>
          <w:lang w:eastAsia="en-US"/>
        </w:rPr>
      </w:pPr>
      <w:bookmarkStart w:id="70" w:name="_Hlk145934652"/>
      <w:r w:rsidRPr="003A2F86">
        <w:rPr>
          <w:rFonts w:ascii="Arial" w:eastAsia="Calibri" w:hAnsi="Arial" w:cs="Arial"/>
          <w:lang w:eastAsia="en-US"/>
        </w:rPr>
        <w:tab/>
        <w:t xml:space="preserve">Vrijednosno najznačajniji je udjel </w:t>
      </w:r>
      <w:r w:rsidR="002F41EC">
        <w:rPr>
          <w:rFonts w:ascii="Arial" w:eastAsia="Calibri" w:hAnsi="Arial" w:cs="Arial"/>
          <w:lang w:eastAsia="en-US"/>
        </w:rPr>
        <w:t>r</w:t>
      </w:r>
      <w:r w:rsidR="002F41EC" w:rsidRPr="003A2F86">
        <w:rPr>
          <w:rFonts w:ascii="Arial" w:eastAsia="Calibri" w:hAnsi="Arial" w:cs="Arial"/>
          <w:lang w:eastAsia="en-US"/>
        </w:rPr>
        <w:t>ashod</w:t>
      </w:r>
      <w:r w:rsidR="002F41EC">
        <w:rPr>
          <w:rFonts w:ascii="Arial" w:eastAsia="Calibri" w:hAnsi="Arial" w:cs="Arial"/>
          <w:lang w:eastAsia="en-US"/>
        </w:rPr>
        <w:t>a</w:t>
      </w:r>
      <w:r w:rsidR="002F41EC" w:rsidRPr="003A2F86">
        <w:rPr>
          <w:rFonts w:ascii="Arial" w:eastAsia="Calibri" w:hAnsi="Arial" w:cs="Arial"/>
          <w:lang w:eastAsia="en-US"/>
        </w:rPr>
        <w:t xml:space="preserve"> za nabavu nefinancijske imovine (4) </w:t>
      </w:r>
      <w:r w:rsidR="002F41EC">
        <w:rPr>
          <w:rFonts w:ascii="Arial" w:eastAsia="Calibri" w:hAnsi="Arial" w:cs="Arial"/>
          <w:lang w:eastAsia="en-US"/>
        </w:rPr>
        <w:t xml:space="preserve">u iznosu </w:t>
      </w:r>
      <w:r w:rsidR="009440DE">
        <w:rPr>
          <w:rFonts w:ascii="Arial" w:eastAsia="Calibri" w:hAnsi="Arial" w:cs="Arial"/>
          <w:lang w:eastAsia="en-US"/>
        </w:rPr>
        <w:t>11.626.094,90</w:t>
      </w:r>
      <w:r w:rsidR="002F41EC" w:rsidRPr="003A2F86">
        <w:rPr>
          <w:rFonts w:ascii="Arial" w:eastAsia="Calibri" w:hAnsi="Arial" w:cs="Arial"/>
          <w:lang w:eastAsia="en-US"/>
        </w:rPr>
        <w:t xml:space="preserve"> € ili </w:t>
      </w:r>
      <w:r w:rsidR="009440DE">
        <w:rPr>
          <w:rFonts w:ascii="Arial" w:eastAsia="Calibri" w:hAnsi="Arial" w:cs="Arial"/>
          <w:lang w:eastAsia="en-US"/>
        </w:rPr>
        <w:t>44</w:t>
      </w:r>
      <w:r w:rsidR="002F41EC" w:rsidRPr="003A2F86">
        <w:rPr>
          <w:rFonts w:ascii="Arial" w:eastAsia="Calibri" w:hAnsi="Arial" w:cs="Arial"/>
          <w:lang w:eastAsia="en-US"/>
        </w:rPr>
        <w:t>% ukupnih rashoda i izdataka. Potom slijede</w:t>
      </w:r>
      <w:r w:rsidR="002F41EC">
        <w:rPr>
          <w:rFonts w:ascii="Arial" w:eastAsia="Calibri" w:hAnsi="Arial" w:cs="Arial"/>
          <w:lang w:eastAsia="en-US"/>
        </w:rPr>
        <w:t xml:space="preserve"> </w:t>
      </w:r>
      <w:r w:rsidR="009440DE" w:rsidRPr="003A2F86">
        <w:rPr>
          <w:rFonts w:ascii="Arial" w:eastAsia="Calibri" w:hAnsi="Arial" w:cs="Arial"/>
          <w:lang w:eastAsia="en-US"/>
        </w:rPr>
        <w:t>materijalni rashod</w:t>
      </w:r>
      <w:r w:rsidR="009440DE">
        <w:rPr>
          <w:rFonts w:ascii="Arial" w:eastAsia="Calibri" w:hAnsi="Arial" w:cs="Arial"/>
          <w:lang w:eastAsia="en-US"/>
        </w:rPr>
        <w:t>i</w:t>
      </w:r>
      <w:r w:rsidR="009440DE" w:rsidRPr="003A2F86">
        <w:rPr>
          <w:rFonts w:ascii="Arial" w:eastAsia="Calibri" w:hAnsi="Arial" w:cs="Arial"/>
          <w:lang w:eastAsia="en-US"/>
        </w:rPr>
        <w:t xml:space="preserve"> (32) u iznosu </w:t>
      </w:r>
      <w:r w:rsidR="009440DE">
        <w:rPr>
          <w:rFonts w:ascii="Arial" w:eastAsia="Calibri" w:hAnsi="Arial" w:cs="Arial"/>
          <w:lang w:eastAsia="en-US"/>
        </w:rPr>
        <w:t>6.024.604,26</w:t>
      </w:r>
      <w:r w:rsidR="009440DE" w:rsidRPr="003A2F86">
        <w:rPr>
          <w:rFonts w:ascii="Arial" w:eastAsia="Calibri" w:hAnsi="Arial" w:cs="Arial"/>
          <w:lang w:eastAsia="en-US"/>
        </w:rPr>
        <w:t xml:space="preserve"> € ili </w:t>
      </w:r>
      <w:r w:rsidR="009440DE">
        <w:rPr>
          <w:rFonts w:ascii="Arial" w:eastAsia="Calibri" w:hAnsi="Arial" w:cs="Arial"/>
          <w:lang w:eastAsia="en-US"/>
        </w:rPr>
        <w:t>22,8</w:t>
      </w:r>
      <w:r w:rsidR="009440DE" w:rsidRPr="003A2F86">
        <w:rPr>
          <w:rFonts w:ascii="Arial" w:eastAsia="Calibri" w:hAnsi="Arial" w:cs="Arial"/>
          <w:lang w:eastAsia="en-US"/>
        </w:rPr>
        <w:t>%</w:t>
      </w:r>
      <w:r w:rsidR="009440DE">
        <w:rPr>
          <w:rFonts w:ascii="Arial" w:eastAsia="Calibri" w:hAnsi="Arial" w:cs="Arial"/>
          <w:lang w:eastAsia="en-US"/>
        </w:rPr>
        <w:t>,</w:t>
      </w:r>
      <w:r w:rsidR="009440DE" w:rsidRPr="003A2F86">
        <w:rPr>
          <w:rFonts w:ascii="Arial" w:eastAsia="Calibri" w:hAnsi="Arial" w:cs="Arial"/>
          <w:lang w:eastAsia="en-US"/>
        </w:rPr>
        <w:t xml:space="preserve"> </w:t>
      </w:r>
      <w:r w:rsidR="002F41EC">
        <w:rPr>
          <w:rFonts w:ascii="Arial" w:eastAsia="Calibri" w:hAnsi="Arial" w:cs="Arial"/>
          <w:lang w:eastAsia="en-US"/>
        </w:rPr>
        <w:t>r</w:t>
      </w:r>
      <w:r w:rsidR="00941AF7" w:rsidRPr="003A2F86">
        <w:rPr>
          <w:rFonts w:ascii="Arial" w:eastAsia="Calibri" w:hAnsi="Arial" w:cs="Arial"/>
          <w:lang w:eastAsia="en-US"/>
        </w:rPr>
        <w:t>ashod</w:t>
      </w:r>
      <w:r w:rsidR="002F41EC">
        <w:rPr>
          <w:rFonts w:ascii="Arial" w:eastAsia="Calibri" w:hAnsi="Arial" w:cs="Arial"/>
          <w:lang w:eastAsia="en-US"/>
        </w:rPr>
        <w:t>i</w:t>
      </w:r>
      <w:r w:rsidR="00941AF7" w:rsidRPr="003A2F86">
        <w:rPr>
          <w:rFonts w:ascii="Arial" w:eastAsia="Calibri" w:hAnsi="Arial" w:cs="Arial"/>
          <w:lang w:eastAsia="en-US"/>
        </w:rPr>
        <w:t xml:space="preserve"> za zaposlene (31)</w:t>
      </w:r>
      <w:r w:rsidR="007A3D74" w:rsidRPr="003A2F86">
        <w:rPr>
          <w:rFonts w:ascii="Arial" w:eastAsia="Calibri" w:hAnsi="Arial" w:cs="Arial"/>
          <w:lang w:eastAsia="en-US"/>
        </w:rPr>
        <w:t xml:space="preserve"> u iznosu </w:t>
      </w:r>
      <w:r w:rsidR="009440DE">
        <w:rPr>
          <w:rFonts w:ascii="Arial" w:eastAsia="Calibri" w:hAnsi="Arial" w:cs="Arial"/>
          <w:lang w:eastAsia="en-US"/>
        </w:rPr>
        <w:t>5.842.607,93</w:t>
      </w:r>
      <w:r w:rsidR="007A3D74" w:rsidRPr="003A2F86">
        <w:rPr>
          <w:rFonts w:ascii="Arial" w:eastAsia="Calibri" w:hAnsi="Arial" w:cs="Arial"/>
          <w:lang w:eastAsia="en-US"/>
        </w:rPr>
        <w:t xml:space="preserve"> € ili </w:t>
      </w:r>
      <w:r w:rsidR="009440DE">
        <w:rPr>
          <w:rFonts w:ascii="Arial" w:eastAsia="Calibri" w:hAnsi="Arial" w:cs="Arial"/>
          <w:lang w:eastAsia="en-US"/>
        </w:rPr>
        <w:t>22,1</w:t>
      </w:r>
      <w:r w:rsidR="007A3D74" w:rsidRPr="003A2F86">
        <w:rPr>
          <w:rFonts w:ascii="Arial" w:eastAsia="Calibri" w:hAnsi="Arial" w:cs="Arial"/>
          <w:lang w:eastAsia="en-US"/>
        </w:rPr>
        <w:t>%</w:t>
      </w:r>
      <w:r w:rsidR="009440DE">
        <w:rPr>
          <w:rFonts w:ascii="Arial" w:eastAsia="Calibri" w:hAnsi="Arial" w:cs="Arial"/>
          <w:lang w:eastAsia="en-US"/>
        </w:rPr>
        <w:t xml:space="preserve"> </w:t>
      </w:r>
      <w:r w:rsidRPr="003A2F86">
        <w:rPr>
          <w:rFonts w:ascii="Arial" w:eastAsia="Calibri" w:hAnsi="Arial" w:cs="Arial"/>
          <w:lang w:eastAsia="en-US"/>
        </w:rPr>
        <w:t xml:space="preserve">ukupno izvršenih rashoda i izdataka. </w:t>
      </w:r>
      <w:r w:rsidR="002F41EC">
        <w:rPr>
          <w:rFonts w:ascii="Arial" w:eastAsia="Calibri" w:hAnsi="Arial" w:cs="Arial"/>
          <w:lang w:eastAsia="en-US"/>
        </w:rPr>
        <w:t xml:space="preserve">Ostali rashodi (38) iznose </w:t>
      </w:r>
      <w:r w:rsidR="00FC4FE8">
        <w:rPr>
          <w:rFonts w:ascii="Arial" w:eastAsia="Calibri" w:hAnsi="Arial" w:cs="Arial"/>
          <w:lang w:eastAsia="en-US"/>
        </w:rPr>
        <w:t>673.236,17</w:t>
      </w:r>
      <w:r w:rsidR="002F41EC">
        <w:rPr>
          <w:rFonts w:ascii="Arial" w:eastAsia="Calibri" w:hAnsi="Arial" w:cs="Arial"/>
          <w:lang w:eastAsia="en-US"/>
        </w:rPr>
        <w:t xml:space="preserve"> € ili </w:t>
      </w:r>
      <w:r w:rsidR="00FC4FE8">
        <w:rPr>
          <w:rFonts w:ascii="Arial" w:eastAsia="Calibri" w:hAnsi="Arial" w:cs="Arial"/>
          <w:lang w:eastAsia="en-US"/>
        </w:rPr>
        <w:t>2,5</w:t>
      </w:r>
      <w:r w:rsidR="002F41EC">
        <w:rPr>
          <w:rFonts w:ascii="Arial" w:eastAsia="Calibri" w:hAnsi="Arial" w:cs="Arial"/>
          <w:lang w:eastAsia="en-US"/>
        </w:rPr>
        <w:t xml:space="preserve">%, izdaci za financijsku imovinu i otplate zajmova </w:t>
      </w:r>
      <w:r w:rsidR="00FC4FE8">
        <w:rPr>
          <w:rFonts w:ascii="Arial" w:eastAsia="Calibri" w:hAnsi="Arial" w:cs="Arial"/>
          <w:lang w:eastAsia="en-US"/>
        </w:rPr>
        <w:t xml:space="preserve">(54) </w:t>
      </w:r>
      <w:r w:rsidR="002F41EC">
        <w:rPr>
          <w:rFonts w:ascii="Arial" w:eastAsia="Calibri" w:hAnsi="Arial" w:cs="Arial"/>
          <w:lang w:eastAsia="en-US"/>
        </w:rPr>
        <w:t xml:space="preserve">iznose </w:t>
      </w:r>
      <w:r w:rsidR="00FC4FE8">
        <w:rPr>
          <w:rFonts w:ascii="Arial" w:eastAsia="Calibri" w:hAnsi="Arial" w:cs="Arial"/>
          <w:lang w:eastAsia="en-US"/>
        </w:rPr>
        <w:t>993.780,35</w:t>
      </w:r>
      <w:r w:rsidR="002F41EC">
        <w:rPr>
          <w:rFonts w:ascii="Arial" w:eastAsia="Calibri" w:hAnsi="Arial" w:cs="Arial"/>
          <w:lang w:eastAsia="en-US"/>
        </w:rPr>
        <w:t xml:space="preserve"> € ili </w:t>
      </w:r>
      <w:r w:rsidR="00FC4FE8">
        <w:rPr>
          <w:rFonts w:ascii="Arial" w:eastAsia="Calibri" w:hAnsi="Arial" w:cs="Arial"/>
          <w:lang w:eastAsia="en-US"/>
        </w:rPr>
        <w:t>3,8</w:t>
      </w:r>
      <w:r w:rsidR="002F41EC">
        <w:rPr>
          <w:rFonts w:ascii="Arial" w:eastAsia="Calibri" w:hAnsi="Arial" w:cs="Arial"/>
          <w:lang w:eastAsia="en-US"/>
        </w:rPr>
        <w:t>%, naknade građanima i kućanstvima</w:t>
      </w:r>
      <w:r w:rsidR="00FC4FE8">
        <w:rPr>
          <w:rFonts w:ascii="Arial" w:eastAsia="Calibri" w:hAnsi="Arial" w:cs="Arial"/>
          <w:lang w:eastAsia="en-US"/>
        </w:rPr>
        <w:t xml:space="preserve"> (37)</w:t>
      </w:r>
      <w:r w:rsidR="002F41EC">
        <w:rPr>
          <w:rFonts w:ascii="Arial" w:eastAsia="Calibri" w:hAnsi="Arial" w:cs="Arial"/>
          <w:lang w:eastAsia="en-US"/>
        </w:rPr>
        <w:t xml:space="preserve"> iznose </w:t>
      </w:r>
      <w:r w:rsidR="00FC4FE8">
        <w:rPr>
          <w:rFonts w:ascii="Arial" w:eastAsia="Calibri" w:hAnsi="Arial" w:cs="Arial"/>
          <w:lang w:eastAsia="en-US"/>
        </w:rPr>
        <w:t>548.868,17</w:t>
      </w:r>
      <w:r w:rsidR="002F41EC">
        <w:rPr>
          <w:rFonts w:ascii="Arial" w:eastAsia="Calibri" w:hAnsi="Arial" w:cs="Arial"/>
          <w:lang w:eastAsia="en-US"/>
        </w:rPr>
        <w:t xml:space="preserve"> € ili </w:t>
      </w:r>
      <w:r w:rsidR="00FC4FE8">
        <w:rPr>
          <w:rFonts w:ascii="Arial" w:eastAsia="Calibri" w:hAnsi="Arial" w:cs="Arial"/>
          <w:lang w:eastAsia="en-US"/>
        </w:rPr>
        <w:t>2,1</w:t>
      </w:r>
      <w:r w:rsidR="002F41EC">
        <w:rPr>
          <w:rFonts w:ascii="Arial" w:eastAsia="Calibri" w:hAnsi="Arial" w:cs="Arial"/>
          <w:lang w:eastAsia="en-US"/>
        </w:rPr>
        <w:t xml:space="preserve">%, a subvencije </w:t>
      </w:r>
      <w:r w:rsidR="00FC4FE8">
        <w:rPr>
          <w:rFonts w:ascii="Arial" w:eastAsia="Calibri" w:hAnsi="Arial" w:cs="Arial"/>
          <w:lang w:eastAsia="en-US"/>
        </w:rPr>
        <w:t>(35) iznose 504.592,43</w:t>
      </w:r>
      <w:r w:rsidR="002F41EC">
        <w:rPr>
          <w:rFonts w:ascii="Arial" w:eastAsia="Calibri" w:hAnsi="Arial" w:cs="Arial"/>
          <w:lang w:eastAsia="en-US"/>
        </w:rPr>
        <w:t xml:space="preserve"> € ili </w:t>
      </w:r>
      <w:r w:rsidR="00FC4FE8">
        <w:rPr>
          <w:rFonts w:ascii="Arial" w:eastAsia="Calibri" w:hAnsi="Arial" w:cs="Arial"/>
          <w:lang w:eastAsia="en-US"/>
        </w:rPr>
        <w:t>1,9</w:t>
      </w:r>
      <w:r w:rsidR="002F41EC">
        <w:rPr>
          <w:rFonts w:ascii="Arial" w:eastAsia="Calibri" w:hAnsi="Arial" w:cs="Arial"/>
          <w:lang w:eastAsia="en-US"/>
        </w:rPr>
        <w:t xml:space="preserve">% ukupnih rashoda i izdataka. Svi ostali rashodi iznose </w:t>
      </w:r>
      <w:r w:rsidR="006B630A">
        <w:rPr>
          <w:rFonts w:ascii="Arial" w:eastAsia="Calibri" w:hAnsi="Arial" w:cs="Arial"/>
          <w:lang w:eastAsia="en-US"/>
        </w:rPr>
        <w:t>220.691,62</w:t>
      </w:r>
      <w:r w:rsidR="002F41EC">
        <w:rPr>
          <w:rFonts w:ascii="Arial" w:eastAsia="Calibri" w:hAnsi="Arial" w:cs="Arial"/>
          <w:lang w:eastAsia="en-US"/>
        </w:rPr>
        <w:t xml:space="preserve"> € ili</w:t>
      </w:r>
      <w:r w:rsidR="007722F4" w:rsidRPr="003A2F86">
        <w:rPr>
          <w:rFonts w:ascii="Arial" w:eastAsia="Calibri" w:hAnsi="Arial" w:cs="Arial"/>
          <w:lang w:eastAsia="en-US"/>
        </w:rPr>
        <w:t xml:space="preserve"> </w:t>
      </w:r>
      <w:r w:rsidR="006B630A">
        <w:rPr>
          <w:rFonts w:ascii="Arial" w:eastAsia="Calibri" w:hAnsi="Arial" w:cs="Arial"/>
          <w:lang w:eastAsia="en-US"/>
        </w:rPr>
        <w:t>0,8</w:t>
      </w:r>
      <w:r w:rsidR="007722F4" w:rsidRPr="003A2F86">
        <w:rPr>
          <w:rFonts w:ascii="Arial" w:eastAsia="Calibri" w:hAnsi="Arial" w:cs="Arial"/>
          <w:lang w:eastAsia="en-US"/>
        </w:rPr>
        <w:t xml:space="preserve">% </w:t>
      </w:r>
      <w:r w:rsidRPr="003A2F86">
        <w:rPr>
          <w:rFonts w:ascii="Arial" w:eastAsia="Calibri" w:hAnsi="Arial" w:cs="Arial"/>
          <w:lang w:eastAsia="en-US"/>
        </w:rPr>
        <w:t xml:space="preserve">ukupnih rashoda i izdataka. </w:t>
      </w:r>
    </w:p>
    <w:p w14:paraId="3E88A99D" w14:textId="77777777" w:rsidR="00B05CD2" w:rsidRPr="003A2F86" w:rsidRDefault="00B05CD2" w:rsidP="00B05CD2">
      <w:pPr>
        <w:spacing w:after="0" w:line="240" w:lineRule="auto"/>
        <w:jc w:val="both"/>
        <w:rPr>
          <w:rFonts w:ascii="Arial" w:eastAsia="Calibri" w:hAnsi="Arial" w:cs="Arial"/>
          <w:lang w:eastAsia="en-US"/>
        </w:rPr>
      </w:pPr>
    </w:p>
    <w:p w14:paraId="1BDFB731" w14:textId="1434C987" w:rsidR="00B05CD2" w:rsidRPr="003A2F86" w:rsidRDefault="00B05CD2" w:rsidP="00B05CD2">
      <w:pPr>
        <w:spacing w:after="0" w:line="240" w:lineRule="auto"/>
        <w:jc w:val="both"/>
        <w:rPr>
          <w:rFonts w:ascii="Arial" w:eastAsia="Calibri" w:hAnsi="Arial" w:cs="Arial"/>
          <w:color w:val="1F497D" w:themeColor="text2"/>
          <w:lang w:eastAsia="en-US"/>
        </w:rPr>
      </w:pPr>
      <w:bookmarkStart w:id="71" w:name="_Hlk166595399"/>
      <w:r w:rsidRPr="003A2F86">
        <w:rPr>
          <w:rFonts w:ascii="Arial" w:eastAsia="Calibri" w:hAnsi="Arial" w:cs="Arial"/>
          <w:color w:val="1F497D" w:themeColor="text2"/>
          <w:lang w:eastAsia="en-US"/>
        </w:rPr>
        <w:tab/>
        <w:t>Ukupno rashodi i izdaci Općine</w:t>
      </w:r>
      <w:r w:rsidR="00B4239A">
        <w:rPr>
          <w:rFonts w:ascii="Arial" w:eastAsia="Calibri" w:hAnsi="Arial" w:cs="Arial"/>
          <w:color w:val="1F497D" w:themeColor="text2"/>
          <w:lang w:eastAsia="en-US"/>
        </w:rPr>
        <w:t xml:space="preserve"> (upravnih tijela Općine)</w:t>
      </w:r>
      <w:r w:rsidRPr="003A2F86">
        <w:rPr>
          <w:rFonts w:ascii="Arial" w:eastAsia="Calibri" w:hAnsi="Arial" w:cs="Arial"/>
          <w:color w:val="1F497D" w:themeColor="text2"/>
          <w:lang w:eastAsia="en-US"/>
        </w:rPr>
        <w:t xml:space="preserve"> iznose </w:t>
      </w:r>
      <w:bookmarkStart w:id="72" w:name="_Hlk230346621"/>
      <w:r w:rsidR="006B630A">
        <w:rPr>
          <w:rFonts w:ascii="Arial" w:eastAsia="Calibri" w:hAnsi="Arial" w:cs="Arial"/>
          <w:color w:val="1F497D" w:themeColor="text2"/>
          <w:lang w:eastAsia="en-US"/>
        </w:rPr>
        <w:t>20.185.424,24</w:t>
      </w:r>
      <w:r w:rsidRPr="003A2F86">
        <w:rPr>
          <w:rFonts w:ascii="Arial" w:eastAsia="Calibri" w:hAnsi="Arial" w:cs="Arial"/>
          <w:color w:val="1F497D" w:themeColor="text2"/>
          <w:lang w:eastAsia="en-US"/>
        </w:rPr>
        <w:t xml:space="preserve"> € </w:t>
      </w:r>
      <w:bookmarkEnd w:id="72"/>
      <w:r w:rsidRPr="003A2F86">
        <w:rPr>
          <w:rFonts w:ascii="Arial" w:eastAsia="Calibri" w:hAnsi="Arial" w:cs="Arial"/>
          <w:color w:val="1F497D" w:themeColor="text2"/>
          <w:lang w:eastAsia="en-US"/>
        </w:rPr>
        <w:t>(</w:t>
      </w:r>
      <w:r w:rsidR="00107832">
        <w:rPr>
          <w:rFonts w:ascii="Arial" w:eastAsia="Calibri" w:hAnsi="Arial" w:cs="Arial"/>
          <w:color w:val="1F497D" w:themeColor="text2"/>
          <w:lang w:eastAsia="en-US"/>
        </w:rPr>
        <w:t>7</w:t>
      </w:r>
      <w:r w:rsidR="006B630A">
        <w:rPr>
          <w:rFonts w:ascii="Arial" w:eastAsia="Calibri" w:hAnsi="Arial" w:cs="Arial"/>
          <w:color w:val="1F497D" w:themeColor="text2"/>
          <w:lang w:eastAsia="en-US"/>
        </w:rPr>
        <w:t>6,4</w:t>
      </w:r>
      <w:r w:rsidRPr="003A2F86">
        <w:rPr>
          <w:rFonts w:ascii="Arial" w:eastAsia="Calibri" w:hAnsi="Arial" w:cs="Arial"/>
          <w:color w:val="1F497D" w:themeColor="text2"/>
          <w:lang w:eastAsia="en-US"/>
        </w:rPr>
        <w:t xml:space="preserve">%) (bez izvršenih prijenosa proračunskim korisnicima putem računa 367 u iznosu </w:t>
      </w:r>
      <w:bookmarkStart w:id="73" w:name="_Hlk230346640"/>
      <w:r w:rsidR="006B630A">
        <w:rPr>
          <w:rFonts w:ascii="Arial" w:eastAsia="Calibri" w:hAnsi="Arial" w:cs="Arial"/>
          <w:color w:val="1F497D" w:themeColor="text2"/>
          <w:lang w:eastAsia="en-US"/>
        </w:rPr>
        <w:t>4.593.804,88</w:t>
      </w:r>
      <w:r w:rsidRPr="003A2F86">
        <w:rPr>
          <w:rFonts w:ascii="Arial" w:eastAsia="Calibri" w:hAnsi="Arial" w:cs="Arial"/>
          <w:color w:val="1F497D" w:themeColor="text2"/>
          <w:lang w:eastAsia="en-US"/>
        </w:rPr>
        <w:t xml:space="preserve"> </w:t>
      </w:r>
      <w:bookmarkEnd w:id="73"/>
      <w:r w:rsidRPr="003A2F86">
        <w:rPr>
          <w:rFonts w:ascii="Arial" w:eastAsia="Calibri" w:hAnsi="Arial" w:cs="Arial"/>
          <w:color w:val="1F497D" w:themeColor="text2"/>
          <w:lang w:eastAsia="en-US"/>
        </w:rPr>
        <w:t xml:space="preserve">€), a rashodi i izdaci proračunskih korisnika iznose </w:t>
      </w:r>
      <w:bookmarkStart w:id="74" w:name="_Hlk230346658"/>
      <w:r w:rsidR="006B630A">
        <w:rPr>
          <w:rFonts w:ascii="Arial" w:eastAsia="Calibri" w:hAnsi="Arial" w:cs="Arial"/>
          <w:color w:val="1F497D" w:themeColor="text2"/>
          <w:lang w:eastAsia="en-US"/>
        </w:rPr>
        <w:t>6.249.051,59</w:t>
      </w:r>
      <w:r w:rsidRPr="003A2F86">
        <w:rPr>
          <w:rFonts w:ascii="Arial" w:eastAsia="Calibri" w:hAnsi="Arial" w:cs="Arial"/>
          <w:color w:val="1F497D" w:themeColor="text2"/>
          <w:lang w:eastAsia="en-US"/>
        </w:rPr>
        <w:t xml:space="preserve"> </w:t>
      </w:r>
      <w:bookmarkEnd w:id="74"/>
      <w:r w:rsidRPr="003A2F86">
        <w:rPr>
          <w:rFonts w:ascii="Arial" w:eastAsia="Calibri" w:hAnsi="Arial" w:cs="Arial"/>
          <w:color w:val="1F497D" w:themeColor="text2"/>
          <w:lang w:eastAsia="en-US"/>
        </w:rPr>
        <w:t>€ (</w:t>
      </w:r>
      <w:r w:rsidR="00107832">
        <w:rPr>
          <w:rFonts w:ascii="Arial" w:eastAsia="Calibri" w:hAnsi="Arial" w:cs="Arial"/>
          <w:color w:val="1F497D" w:themeColor="text2"/>
          <w:lang w:eastAsia="en-US"/>
        </w:rPr>
        <w:t>2</w:t>
      </w:r>
      <w:r w:rsidR="006B630A">
        <w:rPr>
          <w:rFonts w:ascii="Arial" w:eastAsia="Calibri" w:hAnsi="Arial" w:cs="Arial"/>
          <w:color w:val="1F497D" w:themeColor="text2"/>
          <w:lang w:eastAsia="en-US"/>
        </w:rPr>
        <w:t>3,6</w:t>
      </w:r>
      <w:r w:rsidRPr="003A2F86">
        <w:rPr>
          <w:rFonts w:ascii="Arial" w:eastAsia="Calibri" w:hAnsi="Arial" w:cs="Arial"/>
          <w:color w:val="1F497D" w:themeColor="text2"/>
          <w:lang w:eastAsia="en-US"/>
        </w:rPr>
        <w:t>%) (</w:t>
      </w:r>
      <w:r w:rsidR="006B630A">
        <w:rPr>
          <w:rFonts w:ascii="Arial" w:eastAsia="Calibri" w:hAnsi="Arial" w:cs="Arial"/>
          <w:color w:val="1F497D" w:themeColor="text2"/>
          <w:lang w:eastAsia="en-US"/>
        </w:rPr>
        <w:t>svi izvori</w:t>
      </w:r>
      <w:r w:rsidRPr="003A2F86">
        <w:rPr>
          <w:rFonts w:ascii="Arial" w:eastAsia="Calibri" w:hAnsi="Arial" w:cs="Arial"/>
          <w:color w:val="1F497D" w:themeColor="text2"/>
          <w:lang w:eastAsia="en-US"/>
        </w:rPr>
        <w:t xml:space="preserve"> financiranja) što ukupno iznosi </w:t>
      </w:r>
      <w:bookmarkStart w:id="75" w:name="_Hlk230346679"/>
      <w:r w:rsidR="006B630A">
        <w:rPr>
          <w:rFonts w:ascii="Arial" w:eastAsia="Calibri" w:hAnsi="Arial" w:cs="Arial"/>
          <w:color w:val="1F497D" w:themeColor="text2"/>
          <w:lang w:eastAsia="en-US"/>
        </w:rPr>
        <w:t>26.434.475,83</w:t>
      </w:r>
      <w:r w:rsidRPr="003A2F86">
        <w:rPr>
          <w:rFonts w:ascii="Arial" w:eastAsia="Calibri" w:hAnsi="Arial" w:cs="Arial"/>
          <w:color w:val="1F497D" w:themeColor="text2"/>
          <w:lang w:eastAsia="en-US"/>
        </w:rPr>
        <w:t xml:space="preserve"> </w:t>
      </w:r>
      <w:bookmarkEnd w:id="75"/>
      <w:r w:rsidRPr="003A2F86">
        <w:rPr>
          <w:rFonts w:ascii="Arial" w:eastAsia="Calibri" w:hAnsi="Arial" w:cs="Arial"/>
          <w:color w:val="1F497D" w:themeColor="text2"/>
          <w:lang w:eastAsia="en-US"/>
        </w:rPr>
        <w:t>€.</w:t>
      </w:r>
    </w:p>
    <w:bookmarkEnd w:id="70"/>
    <w:bookmarkEnd w:id="71"/>
    <w:p w14:paraId="70838D64" w14:textId="77777777" w:rsidR="00B05CD2" w:rsidRPr="003A2F86" w:rsidRDefault="00B05CD2" w:rsidP="00B05CD2">
      <w:pPr>
        <w:pStyle w:val="Opisslike"/>
      </w:pPr>
    </w:p>
    <w:p w14:paraId="4E6CF7A8" w14:textId="678BF423" w:rsidR="00B05CD2" w:rsidRPr="009135F4" w:rsidRDefault="00B05CD2" w:rsidP="00B05CD2">
      <w:pPr>
        <w:spacing w:after="0" w:line="240" w:lineRule="auto"/>
        <w:ind w:firstLine="709"/>
        <w:jc w:val="both"/>
        <w:rPr>
          <w:rFonts w:ascii="Arial" w:hAnsi="Arial" w:cs="Arial"/>
          <w:iCs/>
        </w:rPr>
      </w:pPr>
      <w:bookmarkStart w:id="76" w:name="_Hlk145934848"/>
      <w:r w:rsidRPr="009135F4">
        <w:rPr>
          <w:rFonts w:ascii="Arial" w:eastAsia="Calibri" w:hAnsi="Arial" w:cs="Arial"/>
          <w:lang w:eastAsia="en-US"/>
        </w:rPr>
        <w:t xml:space="preserve">Ukupno rashodi (rashodi poslovanja i rashodi za nabavu nefinancijske imovine) i izdaci za financijsku imovinu i otplate zajmova </w:t>
      </w:r>
      <w:r w:rsidR="008D2EFE" w:rsidRPr="009135F4">
        <w:rPr>
          <w:rFonts w:ascii="Arial" w:eastAsia="Calibri" w:hAnsi="Arial" w:cs="Arial"/>
          <w:lang w:eastAsia="en-US"/>
        </w:rPr>
        <w:t>veći</w:t>
      </w:r>
      <w:r w:rsidRPr="009135F4">
        <w:rPr>
          <w:rFonts w:ascii="Arial" w:eastAsia="Calibri" w:hAnsi="Arial" w:cs="Arial"/>
          <w:lang w:eastAsia="en-US"/>
        </w:rPr>
        <w:t xml:space="preserve"> su za </w:t>
      </w:r>
      <w:r w:rsidR="006B630A">
        <w:rPr>
          <w:rFonts w:ascii="Arial" w:eastAsia="Calibri" w:hAnsi="Arial" w:cs="Arial"/>
          <w:lang w:eastAsia="en-US"/>
        </w:rPr>
        <w:t>11.180.929,48</w:t>
      </w:r>
      <w:r w:rsidRPr="009135F4">
        <w:rPr>
          <w:rFonts w:ascii="Arial" w:eastAsia="Calibri" w:hAnsi="Arial" w:cs="Arial"/>
          <w:lang w:eastAsia="en-US"/>
        </w:rPr>
        <w:t xml:space="preserve"> € ili </w:t>
      </w:r>
      <w:r w:rsidR="006B630A">
        <w:rPr>
          <w:rFonts w:ascii="Arial" w:eastAsia="Calibri" w:hAnsi="Arial" w:cs="Arial"/>
          <w:lang w:eastAsia="en-US"/>
        </w:rPr>
        <w:t>73,3</w:t>
      </w:r>
      <w:r w:rsidRPr="009135F4">
        <w:rPr>
          <w:rFonts w:ascii="Arial" w:eastAsia="Calibri" w:hAnsi="Arial" w:cs="Arial"/>
          <w:lang w:eastAsia="en-US"/>
        </w:rPr>
        <w:t xml:space="preserve">% </w:t>
      </w:r>
      <w:r w:rsidRPr="009135F4">
        <w:rPr>
          <w:rFonts w:ascii="Arial" w:eastAsia="Calibri" w:hAnsi="Arial" w:cs="Arial"/>
          <w:iCs/>
          <w:lang w:eastAsia="en-US"/>
        </w:rPr>
        <w:t xml:space="preserve">u odnosu na prethodnu godinu. </w:t>
      </w:r>
      <w:r w:rsidRPr="009135F4">
        <w:rPr>
          <w:rFonts w:ascii="Arial" w:hAnsi="Arial" w:cs="Arial"/>
          <w:iCs/>
        </w:rPr>
        <w:t>Rashodi i izdaci uključuju rashode Općine i četiri proračunska korisnika.</w:t>
      </w:r>
      <w:r w:rsidR="008C717C" w:rsidRPr="009135F4">
        <w:rPr>
          <w:rFonts w:ascii="Arial" w:hAnsi="Arial" w:cs="Arial"/>
          <w:iCs/>
        </w:rPr>
        <w:t xml:space="preserve"> </w:t>
      </w:r>
    </w:p>
    <w:bookmarkEnd w:id="69"/>
    <w:p w14:paraId="36B7494D" w14:textId="77777777" w:rsidR="00197F84" w:rsidRPr="009135F4" w:rsidRDefault="00197F84" w:rsidP="00B05CD2">
      <w:pPr>
        <w:spacing w:after="0" w:line="240" w:lineRule="auto"/>
        <w:ind w:firstLine="709"/>
        <w:jc w:val="both"/>
        <w:rPr>
          <w:rFonts w:ascii="Arial" w:eastAsia="Calibri" w:hAnsi="Arial" w:cs="Arial"/>
          <w:iCs/>
          <w:lang w:eastAsia="en-US"/>
        </w:rPr>
      </w:pPr>
    </w:p>
    <w:bookmarkEnd w:id="76"/>
    <w:p w14:paraId="01FC91EE" w14:textId="5EF96D3F" w:rsidR="00B05CD2" w:rsidRPr="003A2F86" w:rsidRDefault="00B05CD2" w:rsidP="00B05CD2">
      <w:pPr>
        <w:spacing w:after="0" w:line="240" w:lineRule="auto"/>
        <w:ind w:firstLine="709"/>
        <w:jc w:val="both"/>
        <w:rPr>
          <w:rFonts w:ascii="Arial" w:eastAsia="Times New Roman" w:hAnsi="Arial" w:cs="Arial"/>
          <w:iCs/>
        </w:rPr>
      </w:pPr>
      <w:r w:rsidRPr="003A2F86">
        <w:rPr>
          <w:rFonts w:ascii="Arial" w:eastAsia="Times New Roman" w:hAnsi="Arial" w:cs="Arial"/>
          <w:iCs/>
        </w:rPr>
        <w:t xml:space="preserve">U nastavku se daje tablica rashoda i izdataka na razini skupine u kojoj se prikazuju rashodi Općine (rashodi koji se odnose samo na Općinu i nisu uključeni rashodi koje je Općina iz svojih sredstava doznačila svojim proračunskim korisnicima za podmirivanje rashoda, </w:t>
      </w:r>
      <w:r w:rsidRPr="003A2F86">
        <w:rPr>
          <w:rFonts w:ascii="Arial" w:eastAsia="Times New Roman" w:hAnsi="Arial" w:cs="Arial"/>
          <w:b/>
          <w:bCs/>
          <w:iCs/>
        </w:rPr>
        <w:t>stupac 3</w:t>
      </w:r>
      <w:r w:rsidRPr="003A2F86">
        <w:rPr>
          <w:rFonts w:ascii="Arial" w:eastAsia="Times New Roman" w:hAnsi="Arial" w:cs="Arial"/>
          <w:iCs/>
        </w:rPr>
        <w:t>), rashodi koji se odnose na četiri proračunska korisnika (</w:t>
      </w:r>
      <w:r w:rsidRPr="003A2F86">
        <w:rPr>
          <w:rFonts w:ascii="Arial" w:eastAsia="Times New Roman" w:hAnsi="Arial" w:cs="Arial"/>
          <w:b/>
          <w:bCs/>
          <w:iCs/>
        </w:rPr>
        <w:t>stupac 4</w:t>
      </w:r>
      <w:r w:rsidRPr="003A2F86">
        <w:rPr>
          <w:rFonts w:ascii="Arial" w:eastAsia="Times New Roman" w:hAnsi="Arial" w:cs="Arial"/>
          <w:iCs/>
        </w:rPr>
        <w:t xml:space="preserve">), te zbirni rashodi Proračuna Općine Konavle (razina 23, uključuje rashode Općine i proračunskih korisnika). Ispod tablice daje se usporedni prikaz zbirnih podataka sveukupno izvršenih rashoda i izdataka </w:t>
      </w:r>
      <w:r w:rsidR="002A2F06" w:rsidRPr="003A2F86">
        <w:rPr>
          <w:rFonts w:ascii="Arial" w:eastAsia="Times New Roman" w:hAnsi="Arial" w:cs="Arial"/>
          <w:iCs/>
        </w:rPr>
        <w:t xml:space="preserve">tijekom </w:t>
      </w:r>
      <w:r w:rsidRPr="003A2F86">
        <w:rPr>
          <w:rFonts w:ascii="Arial" w:eastAsia="Times New Roman" w:hAnsi="Arial" w:cs="Arial"/>
          <w:iCs/>
        </w:rPr>
        <w:t>2019., 2021.</w:t>
      </w:r>
      <w:r w:rsidR="003866F4" w:rsidRPr="003A2F86">
        <w:rPr>
          <w:rFonts w:ascii="Arial" w:eastAsia="Times New Roman" w:hAnsi="Arial" w:cs="Arial"/>
          <w:iCs/>
        </w:rPr>
        <w:t>,</w:t>
      </w:r>
      <w:r w:rsidRPr="003A2F86">
        <w:rPr>
          <w:rFonts w:ascii="Arial" w:eastAsia="Times New Roman" w:hAnsi="Arial" w:cs="Arial"/>
          <w:iCs/>
        </w:rPr>
        <w:t xml:space="preserve"> 2022.</w:t>
      </w:r>
      <w:r w:rsidR="009135F4">
        <w:rPr>
          <w:rFonts w:ascii="Arial" w:eastAsia="Times New Roman" w:hAnsi="Arial" w:cs="Arial"/>
          <w:iCs/>
        </w:rPr>
        <w:t>,</w:t>
      </w:r>
      <w:r w:rsidR="003866F4" w:rsidRPr="003A2F86">
        <w:rPr>
          <w:rFonts w:ascii="Arial" w:eastAsia="Times New Roman" w:hAnsi="Arial" w:cs="Arial"/>
          <w:iCs/>
        </w:rPr>
        <w:t xml:space="preserve"> 2023. </w:t>
      </w:r>
      <w:r w:rsidR="009135F4">
        <w:rPr>
          <w:rFonts w:ascii="Arial" w:eastAsia="Times New Roman" w:hAnsi="Arial" w:cs="Arial"/>
          <w:iCs/>
        </w:rPr>
        <w:t xml:space="preserve">i 2024. </w:t>
      </w:r>
      <w:r w:rsidRPr="003A2F86">
        <w:rPr>
          <w:rFonts w:ascii="Arial" w:eastAsia="Times New Roman" w:hAnsi="Arial" w:cs="Arial"/>
          <w:iCs/>
        </w:rPr>
        <w:t>godin</w:t>
      </w:r>
      <w:r w:rsidR="002A2F06" w:rsidRPr="003A2F86">
        <w:rPr>
          <w:rFonts w:ascii="Arial" w:eastAsia="Times New Roman" w:hAnsi="Arial" w:cs="Arial"/>
          <w:iCs/>
        </w:rPr>
        <w:t>e</w:t>
      </w:r>
      <w:r w:rsidRPr="003A2F86">
        <w:rPr>
          <w:rFonts w:ascii="Arial" w:eastAsia="Times New Roman" w:hAnsi="Arial" w:cs="Arial"/>
          <w:iCs/>
        </w:rPr>
        <w:t>.</w:t>
      </w:r>
    </w:p>
    <w:p w14:paraId="3B5E7C84" w14:textId="77777777" w:rsidR="00F904EC" w:rsidRPr="00740BE2" w:rsidRDefault="00F904EC" w:rsidP="00B05CD2">
      <w:pPr>
        <w:spacing w:after="0" w:line="240" w:lineRule="auto"/>
        <w:ind w:firstLine="709"/>
        <w:jc w:val="both"/>
        <w:rPr>
          <w:rFonts w:ascii="Arial" w:eastAsia="Times New Roman" w:hAnsi="Arial" w:cs="Arial"/>
          <w:iCs/>
          <w:sz w:val="14"/>
          <w:szCs w:val="14"/>
        </w:rPr>
      </w:pPr>
    </w:p>
    <w:p w14:paraId="517710C8" w14:textId="7F9F2905" w:rsidR="00B05CD2" w:rsidRDefault="00B05CD2" w:rsidP="00B05CD2">
      <w:pPr>
        <w:pStyle w:val="Opisslike"/>
        <w:keepNext/>
        <w:jc w:val="both"/>
        <w:rPr>
          <w:rFonts w:ascii="Arial" w:hAnsi="Arial" w:cs="Arial"/>
          <w:iCs/>
        </w:rPr>
      </w:pPr>
      <w:bookmarkStart w:id="77" w:name="_Toc232981538"/>
      <w:bookmarkStart w:id="78" w:name="_Hlk17961390"/>
      <w:r w:rsidRPr="003A2F86">
        <w:rPr>
          <w:color w:val="FF0000"/>
        </w:rPr>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19</w:t>
      </w:r>
      <w:r w:rsidRPr="003A2F86">
        <w:rPr>
          <w:color w:val="FF0000"/>
        </w:rPr>
        <w:fldChar w:fldCharType="end"/>
      </w:r>
      <w:r w:rsidRPr="003A2F86">
        <w:rPr>
          <w:color w:val="FF0000"/>
        </w:rPr>
        <w:t xml:space="preserve">.: </w:t>
      </w:r>
      <w:r w:rsidRPr="003A2F86">
        <w:rPr>
          <w:rFonts w:ascii="Arial" w:hAnsi="Arial" w:cs="Arial"/>
          <w:iCs/>
        </w:rPr>
        <w:t>Pregled izvršenih rashoda i izdataka za 202</w:t>
      </w:r>
      <w:r w:rsidR="006B630A">
        <w:rPr>
          <w:rFonts w:ascii="Arial" w:hAnsi="Arial" w:cs="Arial"/>
          <w:iCs/>
        </w:rPr>
        <w:t>5</w:t>
      </w:r>
      <w:r w:rsidRPr="003A2F86">
        <w:rPr>
          <w:rFonts w:ascii="Arial" w:hAnsi="Arial" w:cs="Arial"/>
          <w:iCs/>
        </w:rPr>
        <w:t>. na razini razreda i skupine (€):</w:t>
      </w:r>
      <w:r w:rsidR="00E6317D" w:rsidRPr="003A2F86">
        <w:rPr>
          <w:rFonts w:ascii="Arial" w:hAnsi="Arial" w:cs="Arial"/>
          <w:iCs/>
        </w:rPr>
        <w:t xml:space="preserve"> </w:t>
      </w:r>
      <w:r w:rsidRPr="00386EBA">
        <w:rPr>
          <w:rFonts w:ascii="Arial" w:hAnsi="Arial" w:cs="Arial"/>
          <w:iCs/>
          <w:color w:val="1F497D" w:themeColor="text2"/>
        </w:rPr>
        <w:t>Općin</w:t>
      </w:r>
      <w:r w:rsidR="00014158" w:rsidRPr="00386EBA">
        <w:rPr>
          <w:rFonts w:ascii="Arial" w:hAnsi="Arial" w:cs="Arial"/>
          <w:iCs/>
          <w:color w:val="1F497D" w:themeColor="text2"/>
        </w:rPr>
        <w:t>a</w:t>
      </w:r>
      <w:r w:rsidRPr="003A2F86">
        <w:rPr>
          <w:rFonts w:ascii="Arial" w:hAnsi="Arial" w:cs="Arial"/>
          <w:iCs/>
        </w:rPr>
        <w:t xml:space="preserve">, </w:t>
      </w:r>
      <w:r w:rsidR="00014158" w:rsidRPr="003A2F86">
        <w:rPr>
          <w:rFonts w:ascii="Arial" w:hAnsi="Arial" w:cs="Arial"/>
          <w:iCs/>
        </w:rPr>
        <w:t xml:space="preserve">zbirno </w:t>
      </w:r>
      <w:r w:rsidRPr="00386EBA">
        <w:rPr>
          <w:rFonts w:ascii="Arial" w:hAnsi="Arial" w:cs="Arial"/>
          <w:iCs/>
          <w:color w:val="943634" w:themeColor="accent2" w:themeShade="BF"/>
        </w:rPr>
        <w:t>proračunski korisni</w:t>
      </w:r>
      <w:r w:rsidR="00014158" w:rsidRPr="00386EBA">
        <w:rPr>
          <w:rFonts w:ascii="Arial" w:hAnsi="Arial" w:cs="Arial"/>
          <w:iCs/>
          <w:color w:val="943634" w:themeColor="accent2" w:themeShade="BF"/>
        </w:rPr>
        <w:t>ci</w:t>
      </w:r>
      <w:r w:rsidRPr="00386EBA">
        <w:rPr>
          <w:rFonts w:ascii="Arial" w:hAnsi="Arial" w:cs="Arial"/>
          <w:iCs/>
          <w:color w:val="943634" w:themeColor="accent2" w:themeShade="BF"/>
        </w:rPr>
        <w:t xml:space="preserve"> </w:t>
      </w:r>
      <w:r w:rsidRPr="003A2F86">
        <w:rPr>
          <w:rFonts w:ascii="Arial" w:hAnsi="Arial" w:cs="Arial"/>
          <w:iCs/>
        </w:rPr>
        <w:t>i sveukupno Proračun</w:t>
      </w:r>
      <w:bookmarkEnd w:id="77"/>
    </w:p>
    <w:bookmarkEnd w:id="78"/>
    <w:p w14:paraId="7293B2D3" w14:textId="2B1C010A" w:rsidR="00DE6B6C" w:rsidRPr="003A2F86" w:rsidRDefault="007C5C34" w:rsidP="00B05CD2">
      <w:pPr>
        <w:spacing w:after="0" w:line="240" w:lineRule="auto"/>
        <w:jc w:val="center"/>
        <w:rPr>
          <w:rFonts w:ascii="Arial" w:eastAsia="Times New Roman" w:hAnsi="Arial" w:cs="Arial"/>
          <w:b/>
          <w:bCs/>
          <w:i/>
          <w:sz w:val="18"/>
          <w:szCs w:val="18"/>
        </w:rPr>
      </w:pPr>
      <w:r w:rsidRPr="007C5C34">
        <w:rPr>
          <w:noProof/>
        </w:rPr>
        <w:drawing>
          <wp:inline distT="0" distB="0" distL="0" distR="0" wp14:anchorId="30E034D7" wp14:editId="11387B45">
            <wp:extent cx="7249364" cy="2578823"/>
            <wp:effectExtent l="0" t="0" r="8890" b="0"/>
            <wp:docPr id="1517082718"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256462" cy="2581348"/>
                    </a:xfrm>
                    <a:prstGeom prst="rect">
                      <a:avLst/>
                    </a:prstGeom>
                    <a:noFill/>
                    <a:ln>
                      <a:noFill/>
                    </a:ln>
                  </pic:spPr>
                </pic:pic>
              </a:graphicData>
            </a:graphic>
          </wp:inline>
        </w:drawing>
      </w:r>
    </w:p>
    <w:p w14:paraId="67DF53B1" w14:textId="462CD3BD" w:rsidR="00197F84" w:rsidRPr="003A2F86" w:rsidRDefault="00197F84" w:rsidP="00197F84">
      <w:pPr>
        <w:spacing w:after="0" w:line="240" w:lineRule="auto"/>
        <w:jc w:val="center"/>
        <w:rPr>
          <w:rFonts w:ascii="Arial" w:eastAsia="Times New Roman" w:hAnsi="Arial" w:cs="Arial"/>
          <w:b/>
          <w:bCs/>
          <w:i/>
          <w:sz w:val="18"/>
          <w:szCs w:val="18"/>
        </w:rPr>
      </w:pPr>
      <w:r w:rsidRPr="003A2F86">
        <w:rPr>
          <w:rFonts w:ascii="Arial" w:eastAsia="Times New Roman" w:hAnsi="Arial" w:cs="Arial"/>
          <w:b/>
          <w:bCs/>
          <w:i/>
          <w:sz w:val="18"/>
          <w:szCs w:val="18"/>
        </w:rPr>
        <w:lastRenderedPageBreak/>
        <w:t>* ispod tablice za 202</w:t>
      </w:r>
      <w:r w:rsidR="00105475">
        <w:rPr>
          <w:rFonts w:ascii="Arial" w:eastAsia="Times New Roman" w:hAnsi="Arial" w:cs="Arial"/>
          <w:b/>
          <w:bCs/>
          <w:i/>
          <w:sz w:val="18"/>
          <w:szCs w:val="18"/>
        </w:rPr>
        <w:t>5</w:t>
      </w:r>
      <w:r w:rsidRPr="003A2F86">
        <w:rPr>
          <w:rFonts w:ascii="Arial" w:eastAsia="Times New Roman" w:hAnsi="Arial" w:cs="Arial"/>
          <w:b/>
          <w:bCs/>
          <w:i/>
          <w:sz w:val="18"/>
          <w:szCs w:val="18"/>
        </w:rPr>
        <w:t xml:space="preserve">.g su zbirni usporedni podaci za sveukupno izvršenje prethodnih godina: </w:t>
      </w:r>
      <w:r w:rsidR="007A468D">
        <w:rPr>
          <w:rFonts w:ascii="Arial" w:eastAsia="Times New Roman" w:hAnsi="Arial" w:cs="Arial"/>
          <w:b/>
          <w:bCs/>
          <w:i/>
          <w:sz w:val="18"/>
          <w:szCs w:val="18"/>
        </w:rPr>
        <w:t xml:space="preserve">2024., </w:t>
      </w:r>
      <w:r w:rsidRPr="003A2F86">
        <w:rPr>
          <w:rFonts w:ascii="Arial" w:eastAsia="Times New Roman" w:hAnsi="Arial" w:cs="Arial"/>
          <w:b/>
          <w:bCs/>
          <w:i/>
          <w:sz w:val="18"/>
          <w:szCs w:val="18"/>
        </w:rPr>
        <w:t>2023., 2022., 2021.</w:t>
      </w:r>
      <w:r w:rsidR="007A468D">
        <w:rPr>
          <w:rFonts w:ascii="Arial" w:eastAsia="Times New Roman" w:hAnsi="Arial" w:cs="Arial"/>
          <w:b/>
          <w:bCs/>
          <w:i/>
          <w:sz w:val="18"/>
          <w:szCs w:val="18"/>
        </w:rPr>
        <w:t xml:space="preserve"> </w:t>
      </w:r>
      <w:r w:rsidRPr="003A2F86">
        <w:rPr>
          <w:rFonts w:ascii="Arial" w:eastAsia="Times New Roman" w:hAnsi="Arial" w:cs="Arial"/>
          <w:b/>
          <w:bCs/>
          <w:i/>
          <w:sz w:val="18"/>
          <w:szCs w:val="18"/>
        </w:rPr>
        <w:t>i 2019.g.</w:t>
      </w:r>
    </w:p>
    <w:p w14:paraId="6583A219" w14:textId="6F7C25DE" w:rsidR="00C87E75" w:rsidRPr="007C5C34" w:rsidRDefault="007C5C34" w:rsidP="00197F84">
      <w:pPr>
        <w:spacing w:after="0" w:line="240" w:lineRule="auto"/>
        <w:jc w:val="center"/>
        <w:rPr>
          <w:rFonts w:ascii="Arial" w:eastAsia="Times New Roman" w:hAnsi="Arial" w:cs="Arial"/>
          <w:iCs/>
          <w:sz w:val="18"/>
          <w:szCs w:val="18"/>
        </w:rPr>
      </w:pPr>
      <w:r w:rsidRPr="007C5C34">
        <w:rPr>
          <w:noProof/>
        </w:rPr>
        <w:drawing>
          <wp:inline distT="0" distB="0" distL="0" distR="0" wp14:anchorId="01B18FCA" wp14:editId="530F5893">
            <wp:extent cx="9251950" cy="2881630"/>
            <wp:effectExtent l="0" t="0" r="6350" b="0"/>
            <wp:docPr id="202982110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251950" cy="2881630"/>
                    </a:xfrm>
                    <a:prstGeom prst="rect">
                      <a:avLst/>
                    </a:prstGeom>
                    <a:noFill/>
                    <a:ln>
                      <a:noFill/>
                    </a:ln>
                  </pic:spPr>
                </pic:pic>
              </a:graphicData>
            </a:graphic>
          </wp:inline>
        </w:drawing>
      </w:r>
    </w:p>
    <w:p w14:paraId="0067A56F" w14:textId="55A7E2A7" w:rsidR="00C87E75" w:rsidRPr="003A2F86" w:rsidRDefault="00C87E75" w:rsidP="00197F84">
      <w:pPr>
        <w:spacing w:after="0" w:line="240" w:lineRule="auto"/>
        <w:jc w:val="center"/>
        <w:rPr>
          <w:rFonts w:ascii="Arial" w:eastAsia="Times New Roman" w:hAnsi="Arial" w:cs="Arial"/>
          <w:b/>
          <w:bCs/>
          <w:i/>
          <w:sz w:val="18"/>
          <w:szCs w:val="18"/>
        </w:rPr>
      </w:pPr>
    </w:p>
    <w:p w14:paraId="3F1C09BC" w14:textId="7040FD33" w:rsidR="00C87E75" w:rsidRPr="003A2F86" w:rsidRDefault="003C7173" w:rsidP="00197F84">
      <w:pPr>
        <w:spacing w:after="0" w:line="240" w:lineRule="auto"/>
        <w:jc w:val="center"/>
        <w:rPr>
          <w:rFonts w:ascii="Arial" w:eastAsia="Times New Roman" w:hAnsi="Arial" w:cs="Arial"/>
          <w:b/>
          <w:bCs/>
          <w:i/>
          <w:sz w:val="18"/>
          <w:szCs w:val="18"/>
        </w:rPr>
      </w:pPr>
      <w:r w:rsidRPr="003C7173">
        <w:rPr>
          <w:noProof/>
        </w:rPr>
        <w:drawing>
          <wp:inline distT="0" distB="0" distL="0" distR="0" wp14:anchorId="1F711E98" wp14:editId="7164DB3F">
            <wp:extent cx="9251950" cy="1518285"/>
            <wp:effectExtent l="0" t="0" r="6350" b="5715"/>
            <wp:docPr id="1980533581"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251950" cy="1518285"/>
                    </a:xfrm>
                    <a:prstGeom prst="rect">
                      <a:avLst/>
                    </a:prstGeom>
                    <a:noFill/>
                    <a:ln>
                      <a:noFill/>
                    </a:ln>
                  </pic:spPr>
                </pic:pic>
              </a:graphicData>
            </a:graphic>
          </wp:inline>
        </w:drawing>
      </w:r>
    </w:p>
    <w:p w14:paraId="065D1133" w14:textId="77777777" w:rsidR="00C87E75" w:rsidRPr="003A2F86" w:rsidRDefault="00C87E75" w:rsidP="00197F84">
      <w:pPr>
        <w:spacing w:after="0" w:line="240" w:lineRule="auto"/>
        <w:jc w:val="center"/>
        <w:rPr>
          <w:rFonts w:ascii="Arial" w:eastAsia="Times New Roman" w:hAnsi="Arial" w:cs="Arial"/>
          <w:b/>
          <w:bCs/>
          <w:i/>
          <w:sz w:val="18"/>
          <w:szCs w:val="18"/>
        </w:rPr>
      </w:pPr>
    </w:p>
    <w:p w14:paraId="29901094" w14:textId="12629DC4" w:rsidR="0068398E" w:rsidRPr="003A2F86" w:rsidRDefault="0068398E" w:rsidP="00A1078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73C27B6B" w14:textId="6F70146C" w:rsidR="00C87E75" w:rsidRPr="003A2F86" w:rsidRDefault="00C87E75">
      <w:pPr>
        <w:rPr>
          <w:rFonts w:ascii="Arial" w:eastAsia="Times New Roman" w:hAnsi="Arial" w:cs="Arial"/>
        </w:rPr>
      </w:pPr>
      <w:r w:rsidRPr="003A2F86">
        <w:rPr>
          <w:rFonts w:ascii="Arial" w:eastAsia="Times New Roman" w:hAnsi="Arial" w:cs="Arial"/>
        </w:rPr>
        <w:br w:type="page"/>
      </w:r>
    </w:p>
    <w:p w14:paraId="70A00DD9" w14:textId="77777777" w:rsidR="00C87E75" w:rsidRPr="003A2F86" w:rsidRDefault="00C87E75" w:rsidP="00A1078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1D5C51D4" w14:textId="6225DD14" w:rsidR="00993C17" w:rsidRPr="003A2F86" w:rsidRDefault="00993C17" w:rsidP="00F66355">
      <w:pPr>
        <w:pStyle w:val="Naslov2"/>
        <w:jc w:val="center"/>
        <w:rPr>
          <w:rFonts w:ascii="Arial" w:hAnsi="Arial" w:cs="Arial"/>
          <w:sz w:val="22"/>
          <w:szCs w:val="22"/>
          <w:lang w:val="hr-HR"/>
        </w:rPr>
      </w:pPr>
      <w:bookmarkStart w:id="79" w:name="_Toc232981385"/>
      <w:bookmarkEnd w:id="65"/>
      <w:bookmarkEnd w:id="66"/>
      <w:r w:rsidRPr="003A2F86">
        <w:rPr>
          <w:rFonts w:ascii="Arial" w:hAnsi="Arial" w:cs="Arial"/>
          <w:sz w:val="22"/>
          <w:szCs w:val="22"/>
          <w:lang w:val="hr-HR"/>
        </w:rPr>
        <w:t>2.</w:t>
      </w:r>
      <w:r w:rsidR="00F66355" w:rsidRPr="003A2F86">
        <w:rPr>
          <w:rFonts w:ascii="Arial" w:hAnsi="Arial" w:cs="Arial"/>
          <w:sz w:val="22"/>
          <w:szCs w:val="22"/>
          <w:lang w:val="hr-HR"/>
        </w:rPr>
        <w:t>4</w:t>
      </w:r>
      <w:r w:rsidRPr="003A2F86">
        <w:rPr>
          <w:rFonts w:ascii="Arial" w:hAnsi="Arial" w:cs="Arial"/>
          <w:sz w:val="22"/>
          <w:szCs w:val="22"/>
          <w:lang w:val="hr-HR"/>
        </w:rPr>
        <w:t xml:space="preserve">. </w:t>
      </w:r>
      <w:r w:rsidRPr="003A2F86">
        <w:rPr>
          <w:rFonts w:ascii="Arial" w:hAnsi="Arial" w:cs="Arial"/>
          <w:sz w:val="22"/>
          <w:szCs w:val="22"/>
          <w:lang w:val="hr-HR"/>
        </w:rPr>
        <w:tab/>
        <w:t>RAČUN PRIHODA I RASHODA</w:t>
      </w:r>
      <w:bookmarkStart w:id="80" w:name="Račun_prihoda_i_rashoda"/>
      <w:bookmarkEnd w:id="79"/>
      <w:bookmarkEnd w:id="80"/>
    </w:p>
    <w:p w14:paraId="38FB1D76" w14:textId="77777777" w:rsidR="00993C17" w:rsidRPr="003A2F86" w:rsidRDefault="00993C17" w:rsidP="00993C17">
      <w:pPr>
        <w:spacing w:after="0" w:line="240" w:lineRule="auto"/>
        <w:rPr>
          <w:lang w:eastAsia="en-US"/>
        </w:rPr>
      </w:pPr>
    </w:p>
    <w:p w14:paraId="18D9CB6B" w14:textId="32F7FC65" w:rsidR="00993C17" w:rsidRPr="003A2F86" w:rsidRDefault="00993C17" w:rsidP="007963E6">
      <w:pPr>
        <w:spacing w:after="0" w:line="240" w:lineRule="auto"/>
        <w:jc w:val="both"/>
        <w:rPr>
          <w:rFonts w:ascii="Arial" w:eastAsia="Times New Roman" w:hAnsi="Arial" w:cs="Arial"/>
          <w:iCs/>
          <w:lang w:eastAsia="en-US"/>
        </w:rPr>
      </w:pPr>
      <w:r w:rsidRPr="003A2F86">
        <w:rPr>
          <w:rFonts w:ascii="Arial" w:eastAsia="Times New Roman" w:hAnsi="Arial" w:cs="Arial"/>
          <w:bCs/>
          <w:iCs/>
          <w:lang w:eastAsia="en-US"/>
        </w:rPr>
        <w:t>Prihodi poslovanja</w:t>
      </w:r>
      <w:r w:rsidRPr="003A2F86">
        <w:rPr>
          <w:rFonts w:ascii="Arial" w:eastAsia="Times New Roman" w:hAnsi="Arial" w:cs="Arial"/>
          <w:iCs/>
          <w:lang w:eastAsia="en-US"/>
        </w:rPr>
        <w:t xml:space="preserve"> (6) i prihodi od prodaje nefinancijske imovine (7) ostvareni su u iznosu </w:t>
      </w:r>
      <w:r w:rsidR="00983C80">
        <w:rPr>
          <w:rFonts w:ascii="Arial" w:eastAsia="Times New Roman" w:hAnsi="Arial" w:cs="Arial"/>
          <w:iCs/>
          <w:lang w:eastAsia="en-US"/>
        </w:rPr>
        <w:t>20.073.467,92</w:t>
      </w:r>
      <w:r w:rsidRPr="003A2F86">
        <w:rPr>
          <w:rFonts w:ascii="Arial" w:eastAsia="Times New Roman" w:hAnsi="Arial" w:cs="Arial"/>
          <w:iCs/>
          <w:lang w:eastAsia="en-US"/>
        </w:rPr>
        <w:t xml:space="preserve"> € što je za </w:t>
      </w:r>
      <w:r w:rsidR="00983C80">
        <w:rPr>
          <w:rFonts w:ascii="Arial" w:eastAsia="Times New Roman" w:hAnsi="Arial" w:cs="Arial"/>
          <w:iCs/>
          <w:lang w:eastAsia="en-US"/>
        </w:rPr>
        <w:t>5.911.452,38</w:t>
      </w:r>
      <w:r w:rsidRPr="003A2F86">
        <w:rPr>
          <w:rFonts w:ascii="Arial" w:eastAsia="Times New Roman" w:hAnsi="Arial" w:cs="Arial"/>
          <w:iCs/>
          <w:lang w:eastAsia="en-US"/>
        </w:rPr>
        <w:t xml:space="preserve"> € ili </w:t>
      </w:r>
      <w:r w:rsidR="00983C80">
        <w:rPr>
          <w:rFonts w:ascii="Arial" w:eastAsia="Times New Roman" w:hAnsi="Arial" w:cs="Arial"/>
          <w:iCs/>
          <w:lang w:eastAsia="en-US"/>
        </w:rPr>
        <w:t>41,7</w:t>
      </w:r>
      <w:r w:rsidRPr="003A2F86">
        <w:rPr>
          <w:rFonts w:ascii="Arial" w:eastAsia="Times New Roman" w:hAnsi="Arial" w:cs="Arial"/>
          <w:iCs/>
          <w:lang w:eastAsia="en-US"/>
        </w:rPr>
        <w:t>% više u odnosu u na izvještajno razdoblje prethodne godine.</w:t>
      </w:r>
    </w:p>
    <w:p w14:paraId="71BA8EE5" w14:textId="77777777" w:rsidR="007963E6" w:rsidRPr="003A2F86" w:rsidRDefault="007963E6" w:rsidP="007963E6">
      <w:pPr>
        <w:spacing w:after="0" w:line="240" w:lineRule="auto"/>
        <w:jc w:val="both"/>
        <w:rPr>
          <w:rFonts w:ascii="Arial" w:eastAsia="Times New Roman" w:hAnsi="Arial" w:cs="Arial"/>
          <w:iCs/>
          <w:lang w:eastAsia="en-US"/>
        </w:rPr>
      </w:pPr>
    </w:p>
    <w:p w14:paraId="5AE74B19" w14:textId="74938FE2" w:rsidR="00F66355" w:rsidRPr="003A2F86" w:rsidRDefault="00F66355" w:rsidP="007963E6">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Rashodi poslovanja (3) i rashodi </w:t>
      </w:r>
      <w:r w:rsidR="002E304B" w:rsidRPr="003A2F86">
        <w:rPr>
          <w:rFonts w:ascii="Arial" w:eastAsia="Times New Roman" w:hAnsi="Arial" w:cs="Arial"/>
          <w:iCs/>
          <w:lang w:eastAsia="en-US"/>
        </w:rPr>
        <w:t xml:space="preserve">za nabavu nefinancijske imovine (4) ostvareni su u iznosu </w:t>
      </w:r>
      <w:r w:rsidR="00052E97">
        <w:rPr>
          <w:rFonts w:ascii="Arial" w:eastAsia="Times New Roman" w:hAnsi="Arial" w:cs="Arial"/>
          <w:iCs/>
          <w:lang w:eastAsia="en-US"/>
        </w:rPr>
        <w:t>25.439.695,48</w:t>
      </w:r>
      <w:r w:rsidR="002E304B" w:rsidRPr="003A2F86">
        <w:rPr>
          <w:rFonts w:ascii="Arial" w:eastAsia="Times New Roman" w:hAnsi="Arial" w:cs="Arial"/>
          <w:iCs/>
          <w:lang w:eastAsia="en-US"/>
        </w:rPr>
        <w:t xml:space="preserve"> € što je za </w:t>
      </w:r>
      <w:r w:rsidR="00052E97">
        <w:rPr>
          <w:rFonts w:ascii="Arial" w:eastAsia="Times New Roman" w:hAnsi="Arial" w:cs="Arial"/>
          <w:iCs/>
          <w:lang w:eastAsia="en-US"/>
        </w:rPr>
        <w:t>10.730.354,47</w:t>
      </w:r>
      <w:r w:rsidR="002E304B" w:rsidRPr="003A2F86">
        <w:rPr>
          <w:rFonts w:ascii="Arial" w:eastAsia="Times New Roman" w:hAnsi="Arial" w:cs="Arial"/>
          <w:iCs/>
          <w:lang w:eastAsia="en-US"/>
        </w:rPr>
        <w:t xml:space="preserve"> €</w:t>
      </w:r>
      <w:r w:rsidR="0069140A" w:rsidRPr="003A2F86">
        <w:rPr>
          <w:rFonts w:ascii="Arial" w:eastAsia="Times New Roman" w:hAnsi="Arial" w:cs="Arial"/>
          <w:iCs/>
          <w:lang w:eastAsia="en-US"/>
        </w:rPr>
        <w:t xml:space="preserve"> ili</w:t>
      </w:r>
      <w:r w:rsidR="002E304B" w:rsidRPr="003A2F86">
        <w:rPr>
          <w:rFonts w:ascii="Arial" w:eastAsia="Times New Roman" w:hAnsi="Arial" w:cs="Arial"/>
          <w:iCs/>
          <w:lang w:eastAsia="en-US"/>
        </w:rPr>
        <w:t xml:space="preserve"> </w:t>
      </w:r>
      <w:r w:rsidR="00052E97">
        <w:rPr>
          <w:rFonts w:ascii="Arial" w:eastAsia="Times New Roman" w:hAnsi="Arial" w:cs="Arial"/>
          <w:iCs/>
          <w:lang w:eastAsia="en-US"/>
        </w:rPr>
        <w:t>72,9</w:t>
      </w:r>
      <w:r w:rsidR="002E304B" w:rsidRPr="003A2F86">
        <w:rPr>
          <w:rFonts w:ascii="Arial" w:eastAsia="Times New Roman" w:hAnsi="Arial" w:cs="Arial"/>
          <w:iCs/>
          <w:lang w:eastAsia="en-US"/>
        </w:rPr>
        <w:t xml:space="preserve">% više u odnosu na izvještajno razdoblje prethodne godine. </w:t>
      </w:r>
    </w:p>
    <w:p w14:paraId="766EA45E" w14:textId="77777777" w:rsidR="007963E6" w:rsidRPr="003A2F86" w:rsidRDefault="007963E6" w:rsidP="007963E6">
      <w:pPr>
        <w:spacing w:after="0" w:line="240" w:lineRule="auto"/>
        <w:jc w:val="both"/>
        <w:rPr>
          <w:rFonts w:ascii="Arial" w:eastAsia="Times New Roman" w:hAnsi="Arial" w:cs="Arial"/>
          <w:iCs/>
          <w:lang w:eastAsia="en-US"/>
        </w:rPr>
      </w:pPr>
    </w:p>
    <w:p w14:paraId="04245FB3" w14:textId="77777777" w:rsidR="007963E6" w:rsidRPr="003A2F86" w:rsidRDefault="007963E6" w:rsidP="007963E6">
      <w:pPr>
        <w:spacing w:after="0" w:line="240" w:lineRule="auto"/>
        <w:jc w:val="both"/>
        <w:rPr>
          <w:rFonts w:ascii="Arial" w:eastAsia="Times New Roman" w:hAnsi="Arial" w:cs="Arial"/>
          <w:iCs/>
          <w:lang w:eastAsia="en-US"/>
        </w:rPr>
      </w:pPr>
    </w:p>
    <w:p w14:paraId="745EDD0A" w14:textId="028E8EA9" w:rsidR="00891119" w:rsidRPr="003A2F86" w:rsidRDefault="004113C9" w:rsidP="00F66355">
      <w:pPr>
        <w:pStyle w:val="Naslov3"/>
        <w:jc w:val="center"/>
        <w:rPr>
          <w:rFonts w:ascii="Arial" w:hAnsi="Arial" w:cs="Arial"/>
          <w:sz w:val="22"/>
          <w:szCs w:val="22"/>
          <w:lang w:val="hr-HR"/>
        </w:rPr>
      </w:pPr>
      <w:bookmarkStart w:id="81" w:name="_Toc232981386"/>
      <w:r w:rsidRPr="003A2F86">
        <w:rPr>
          <w:rFonts w:ascii="Arial" w:hAnsi="Arial" w:cs="Arial"/>
          <w:sz w:val="22"/>
          <w:szCs w:val="22"/>
          <w:lang w:val="hr-HR"/>
        </w:rPr>
        <w:t>2.</w:t>
      </w:r>
      <w:r w:rsidR="00F66355" w:rsidRPr="003A2F86">
        <w:rPr>
          <w:rFonts w:ascii="Arial" w:hAnsi="Arial" w:cs="Arial"/>
          <w:sz w:val="22"/>
          <w:szCs w:val="22"/>
          <w:lang w:val="hr-HR"/>
        </w:rPr>
        <w:t>4</w:t>
      </w:r>
      <w:r w:rsidRPr="003A2F86">
        <w:rPr>
          <w:rFonts w:ascii="Arial" w:hAnsi="Arial" w:cs="Arial"/>
          <w:sz w:val="22"/>
          <w:szCs w:val="22"/>
          <w:lang w:val="hr-HR"/>
        </w:rPr>
        <w:t>.1.</w:t>
      </w:r>
      <w:r w:rsidR="00891119" w:rsidRPr="003A2F86">
        <w:rPr>
          <w:rFonts w:ascii="Arial" w:hAnsi="Arial" w:cs="Arial"/>
          <w:sz w:val="22"/>
          <w:szCs w:val="22"/>
          <w:lang w:val="hr-HR"/>
        </w:rPr>
        <w:tab/>
      </w:r>
      <w:r w:rsidR="00E97058" w:rsidRPr="003A2F86">
        <w:rPr>
          <w:rFonts w:ascii="Arial" w:hAnsi="Arial" w:cs="Arial"/>
          <w:sz w:val="22"/>
          <w:szCs w:val="22"/>
          <w:lang w:val="hr-HR"/>
        </w:rPr>
        <w:t>PRIHODI POSLOVANJA</w:t>
      </w:r>
      <w:r w:rsidR="00744D8B" w:rsidRPr="003A2F86">
        <w:rPr>
          <w:rFonts w:ascii="Arial" w:hAnsi="Arial" w:cs="Arial"/>
          <w:sz w:val="22"/>
          <w:szCs w:val="22"/>
          <w:lang w:val="hr-HR"/>
        </w:rPr>
        <w:t xml:space="preserve"> (6)</w:t>
      </w:r>
      <w:bookmarkStart w:id="82" w:name="Prihodi_poslovanja"/>
      <w:bookmarkEnd w:id="81"/>
      <w:bookmarkEnd w:id="82"/>
    </w:p>
    <w:p w14:paraId="1164B735" w14:textId="77777777" w:rsidR="009F6AF8" w:rsidRPr="003A2F86" w:rsidRDefault="009F6AF8" w:rsidP="009F6AF8">
      <w:pPr>
        <w:pStyle w:val="Tijeloteksta2"/>
        <w:rPr>
          <w:rFonts w:ascii="Arial" w:hAnsi="Arial" w:cs="Arial"/>
          <w:b/>
          <w:iCs/>
          <w:sz w:val="22"/>
          <w:szCs w:val="22"/>
          <w:lang w:val="hr-HR"/>
        </w:rPr>
      </w:pPr>
    </w:p>
    <w:p w14:paraId="030ED816" w14:textId="1B736959" w:rsidR="00604828" w:rsidRPr="003A2F86" w:rsidRDefault="00604828" w:rsidP="00604828">
      <w:pPr>
        <w:spacing w:after="0" w:line="240" w:lineRule="auto"/>
        <w:jc w:val="both"/>
        <w:rPr>
          <w:rFonts w:ascii="Arial" w:eastAsia="Times New Roman" w:hAnsi="Arial" w:cs="Arial"/>
          <w:iCs/>
          <w:lang w:eastAsia="en-US"/>
        </w:rPr>
      </w:pPr>
      <w:bookmarkStart w:id="83" w:name="_Hlk230157815"/>
      <w:r w:rsidRPr="003A2F86">
        <w:rPr>
          <w:rFonts w:ascii="Arial" w:eastAsia="Times New Roman" w:hAnsi="Arial" w:cs="Arial"/>
          <w:b/>
          <w:iCs/>
          <w:lang w:eastAsia="en-US"/>
        </w:rPr>
        <w:t>Prihodi poslovanja</w:t>
      </w:r>
      <w:r w:rsidRPr="003A2F86">
        <w:rPr>
          <w:rFonts w:ascii="Arial" w:eastAsia="Times New Roman" w:hAnsi="Arial" w:cs="Arial"/>
          <w:iCs/>
          <w:lang w:eastAsia="en-US"/>
        </w:rPr>
        <w:t xml:space="preserve"> (6) ostvareni su u iznosu </w:t>
      </w:r>
      <w:r w:rsidR="00052E97">
        <w:rPr>
          <w:rFonts w:ascii="Arial" w:eastAsia="Times New Roman" w:hAnsi="Arial" w:cs="Arial"/>
          <w:iCs/>
          <w:lang w:eastAsia="en-US"/>
        </w:rPr>
        <w:t>19.502.612,37</w:t>
      </w:r>
      <w:r w:rsidR="00B563F7" w:rsidRPr="003A2F86">
        <w:rPr>
          <w:rFonts w:ascii="Arial" w:eastAsia="Times New Roman" w:hAnsi="Arial" w:cs="Arial"/>
          <w:iCs/>
          <w:lang w:eastAsia="en-US"/>
        </w:rPr>
        <w:t xml:space="preserve"> €</w:t>
      </w:r>
      <w:r w:rsidRPr="003A2F86">
        <w:rPr>
          <w:rFonts w:ascii="Arial" w:eastAsia="Times New Roman" w:hAnsi="Arial" w:cs="Arial"/>
          <w:iCs/>
          <w:lang w:eastAsia="en-US"/>
        </w:rPr>
        <w:t xml:space="preserve"> što je za </w:t>
      </w:r>
      <w:r w:rsidR="00052E97">
        <w:rPr>
          <w:rFonts w:ascii="Arial" w:eastAsia="Times New Roman" w:hAnsi="Arial" w:cs="Arial"/>
          <w:iCs/>
          <w:lang w:eastAsia="en-US"/>
        </w:rPr>
        <w:t>5.636.149,15</w:t>
      </w:r>
      <w:r w:rsidR="00B563F7" w:rsidRPr="003A2F86">
        <w:rPr>
          <w:rFonts w:ascii="Arial" w:eastAsia="Times New Roman" w:hAnsi="Arial" w:cs="Arial"/>
          <w:iCs/>
          <w:lang w:eastAsia="en-US"/>
        </w:rPr>
        <w:t xml:space="preserve"> €</w:t>
      </w:r>
      <w:r w:rsidRPr="003A2F86">
        <w:rPr>
          <w:rFonts w:ascii="Arial" w:eastAsia="Times New Roman" w:hAnsi="Arial" w:cs="Arial"/>
          <w:iCs/>
          <w:lang w:eastAsia="en-US"/>
        </w:rPr>
        <w:t xml:space="preserve"> ili </w:t>
      </w:r>
      <w:r w:rsidR="00052E97">
        <w:rPr>
          <w:rFonts w:ascii="Arial" w:eastAsia="Times New Roman" w:hAnsi="Arial" w:cs="Arial"/>
          <w:iCs/>
          <w:lang w:eastAsia="en-US"/>
        </w:rPr>
        <w:t>40,6</w:t>
      </w:r>
      <w:r w:rsidRPr="003A2F86">
        <w:rPr>
          <w:rFonts w:ascii="Arial" w:eastAsia="Times New Roman" w:hAnsi="Arial" w:cs="Arial"/>
          <w:iCs/>
          <w:lang w:eastAsia="en-US"/>
        </w:rPr>
        <w:t xml:space="preserve">% više u odnosu u na ostvarene prihode poslovanja u izvještajnom razdoblju prethodne godine. </w:t>
      </w:r>
      <w:r w:rsidR="00B563F7" w:rsidRPr="003A2F86">
        <w:rPr>
          <w:rFonts w:ascii="Arial" w:eastAsia="Times New Roman" w:hAnsi="Arial" w:cs="Arial"/>
          <w:iCs/>
          <w:lang w:eastAsia="en-US"/>
        </w:rPr>
        <w:t xml:space="preserve">Vrijednosno najveće povećanje prihoda se odnosi na prihode od </w:t>
      </w:r>
      <w:r w:rsidR="009C357D">
        <w:rPr>
          <w:rFonts w:ascii="Arial" w:eastAsia="Times New Roman" w:hAnsi="Arial" w:cs="Arial"/>
          <w:iCs/>
          <w:lang w:eastAsia="en-US"/>
        </w:rPr>
        <w:t>pomoći (za sufinanciranje izgradnje osnovne škole)</w:t>
      </w:r>
      <w:r w:rsidR="00B563F7" w:rsidRPr="003A2F86">
        <w:rPr>
          <w:rFonts w:ascii="Arial" w:eastAsia="Times New Roman" w:hAnsi="Arial" w:cs="Arial"/>
          <w:iCs/>
          <w:lang w:eastAsia="en-US"/>
        </w:rPr>
        <w:t>.</w:t>
      </w:r>
    </w:p>
    <w:p w14:paraId="6B84652F" w14:textId="77777777" w:rsidR="00604828" w:rsidRPr="003A2F86" w:rsidRDefault="00604828" w:rsidP="0060482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512AA7D3" w14:textId="7035CA28" w:rsidR="00604828" w:rsidRPr="003A2F86" w:rsidRDefault="00604828" w:rsidP="0060482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Cs w:val="24"/>
        </w:rPr>
      </w:pPr>
      <w:r w:rsidRPr="003A2F86">
        <w:rPr>
          <w:rFonts w:ascii="Arial" w:eastAsia="Times New Roman" w:hAnsi="Arial" w:cs="Arial"/>
          <w:color w:val="1F497D" w:themeColor="text2"/>
        </w:rPr>
        <w:tab/>
        <w:t xml:space="preserve">Ukupni </w:t>
      </w:r>
      <w:r w:rsidRPr="003A2F86">
        <w:rPr>
          <w:rFonts w:ascii="Arial" w:eastAsia="Times New Roman" w:hAnsi="Arial" w:cs="Arial"/>
          <w:b/>
          <w:bCs/>
          <w:color w:val="1F497D" w:themeColor="text2"/>
        </w:rPr>
        <w:t>prihodi poslovanja</w:t>
      </w:r>
      <w:r w:rsidRPr="003A2F86">
        <w:rPr>
          <w:rFonts w:ascii="Arial" w:eastAsia="Times New Roman" w:hAnsi="Arial" w:cs="Arial"/>
          <w:color w:val="1F497D" w:themeColor="text2"/>
        </w:rPr>
        <w:t xml:space="preserve"> Općine iznose </w:t>
      </w:r>
      <w:r w:rsidR="00052E97">
        <w:rPr>
          <w:rFonts w:ascii="Arial" w:eastAsia="Times New Roman" w:hAnsi="Arial" w:cs="Arial"/>
          <w:color w:val="1F497D" w:themeColor="text2"/>
        </w:rPr>
        <w:t>17.845.533,29</w:t>
      </w:r>
      <w:r w:rsidR="00B563F7" w:rsidRPr="003A2F86">
        <w:rPr>
          <w:rFonts w:ascii="Arial" w:eastAsia="Times New Roman" w:hAnsi="Arial" w:cs="Arial"/>
          <w:color w:val="1F497D" w:themeColor="text2"/>
        </w:rPr>
        <w:t xml:space="preserve"> €</w:t>
      </w:r>
      <w:r w:rsidRPr="003A2F86">
        <w:rPr>
          <w:rFonts w:ascii="Arial" w:eastAsia="Times New Roman" w:hAnsi="Arial" w:cs="Arial"/>
          <w:color w:val="1F497D" w:themeColor="text2"/>
        </w:rPr>
        <w:t xml:space="preserve">, a </w:t>
      </w:r>
      <w:r w:rsidRPr="003A2F86">
        <w:rPr>
          <w:rFonts w:ascii="Arial" w:eastAsia="Times New Roman" w:hAnsi="Arial" w:cs="Arial"/>
          <w:color w:val="1F497D" w:themeColor="text2"/>
          <w:szCs w:val="24"/>
        </w:rPr>
        <w:t xml:space="preserve">prihodi proračunskih korisnika </w:t>
      </w:r>
      <w:r w:rsidR="00052E97">
        <w:rPr>
          <w:rFonts w:ascii="Arial" w:eastAsia="Times New Roman" w:hAnsi="Arial" w:cs="Arial"/>
          <w:color w:val="1F497D" w:themeColor="text2"/>
          <w:szCs w:val="24"/>
        </w:rPr>
        <w:t>1.657.079,08</w:t>
      </w:r>
      <w:r w:rsidR="00B563F7" w:rsidRPr="003A2F86">
        <w:rPr>
          <w:rFonts w:ascii="Arial" w:eastAsia="Times New Roman" w:hAnsi="Arial" w:cs="Arial"/>
          <w:color w:val="1F497D" w:themeColor="text2"/>
          <w:szCs w:val="24"/>
        </w:rPr>
        <w:t xml:space="preserve"> </w:t>
      </w:r>
      <w:r w:rsidR="003320E4" w:rsidRPr="003A2F86">
        <w:rPr>
          <w:rFonts w:ascii="Arial" w:eastAsia="Times New Roman" w:hAnsi="Arial" w:cs="Arial"/>
          <w:color w:val="1F497D" w:themeColor="text2"/>
          <w:szCs w:val="24"/>
        </w:rPr>
        <w:t xml:space="preserve">€ </w:t>
      </w:r>
      <w:r w:rsidRPr="003A2F86">
        <w:rPr>
          <w:rFonts w:ascii="Arial" w:eastAsia="Times New Roman" w:hAnsi="Arial" w:cs="Arial"/>
          <w:szCs w:val="24"/>
        </w:rPr>
        <w:t xml:space="preserve">što ukupno iznosi </w:t>
      </w:r>
      <w:r w:rsidR="00052E97">
        <w:rPr>
          <w:rFonts w:ascii="Arial" w:eastAsia="Times New Roman" w:hAnsi="Arial" w:cs="Arial"/>
          <w:szCs w:val="24"/>
        </w:rPr>
        <w:t>19.502.612,37</w:t>
      </w:r>
      <w:r w:rsidR="007C6D78" w:rsidRPr="003A2F86">
        <w:rPr>
          <w:rFonts w:ascii="Arial" w:eastAsia="Times New Roman" w:hAnsi="Arial" w:cs="Arial"/>
          <w:szCs w:val="24"/>
        </w:rPr>
        <w:t xml:space="preserve"> €</w:t>
      </w:r>
      <w:r w:rsidRPr="003A2F86">
        <w:rPr>
          <w:rFonts w:ascii="Arial" w:eastAsia="Times New Roman" w:hAnsi="Arial" w:cs="Arial"/>
          <w:szCs w:val="24"/>
        </w:rPr>
        <w:t>.</w:t>
      </w:r>
    </w:p>
    <w:p w14:paraId="6C751BD9" w14:textId="77777777" w:rsidR="00604828" w:rsidRPr="003A2F86" w:rsidRDefault="00604828" w:rsidP="0060482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63BA37A2" w14:textId="77FB1C8F" w:rsidR="00604828" w:rsidRPr="003A2F86" w:rsidRDefault="00604828" w:rsidP="0060482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ab/>
        <w:t xml:space="preserve">Prihodi poslovanja Općine veći su za </w:t>
      </w:r>
      <w:r w:rsidRPr="003A2F86">
        <w:rPr>
          <w:rFonts w:ascii="Arial" w:eastAsia="Times New Roman" w:hAnsi="Arial" w:cs="Arial"/>
          <w:b/>
          <w:bCs/>
        </w:rPr>
        <w:t>veći su</w:t>
      </w:r>
      <w:r w:rsidRPr="003A2F86">
        <w:rPr>
          <w:rFonts w:ascii="Arial" w:eastAsia="Times New Roman" w:hAnsi="Arial" w:cs="Arial"/>
        </w:rPr>
        <w:t xml:space="preserve"> za </w:t>
      </w:r>
      <w:r w:rsidR="00EA6D46">
        <w:rPr>
          <w:rFonts w:ascii="Arial" w:eastAsia="Times New Roman" w:hAnsi="Arial" w:cs="Arial"/>
        </w:rPr>
        <w:t>5.541.198,77</w:t>
      </w:r>
      <w:r w:rsidR="007C6D78" w:rsidRPr="003A2F86">
        <w:rPr>
          <w:rFonts w:ascii="Arial" w:eastAsia="Times New Roman" w:hAnsi="Arial" w:cs="Arial"/>
        </w:rPr>
        <w:t xml:space="preserve"> €</w:t>
      </w:r>
      <w:r w:rsidRPr="003A2F86">
        <w:rPr>
          <w:rFonts w:ascii="Arial" w:eastAsia="Times New Roman" w:hAnsi="Arial" w:cs="Arial"/>
        </w:rPr>
        <w:t xml:space="preserve"> ili </w:t>
      </w:r>
      <w:r w:rsidR="00EA6D46">
        <w:rPr>
          <w:rFonts w:ascii="Arial" w:eastAsia="Times New Roman" w:hAnsi="Arial" w:cs="Arial"/>
        </w:rPr>
        <w:t>45</w:t>
      </w:r>
      <w:r w:rsidRPr="003A2F86">
        <w:rPr>
          <w:rFonts w:ascii="Arial" w:eastAsia="Times New Roman" w:hAnsi="Arial" w:cs="Arial"/>
        </w:rPr>
        <w:t xml:space="preserve">%, a vlastiti prihodi proračunskih korisnika za </w:t>
      </w:r>
      <w:r w:rsidR="00EA6D46">
        <w:rPr>
          <w:rFonts w:ascii="Arial" w:eastAsia="Times New Roman" w:hAnsi="Arial" w:cs="Arial"/>
        </w:rPr>
        <w:t>94.950,38</w:t>
      </w:r>
      <w:r w:rsidR="007C6D78" w:rsidRPr="003A2F86">
        <w:rPr>
          <w:rFonts w:ascii="Arial" w:eastAsia="Times New Roman" w:hAnsi="Arial" w:cs="Arial"/>
        </w:rPr>
        <w:t xml:space="preserve"> €</w:t>
      </w:r>
      <w:r w:rsidRPr="003A2F86">
        <w:rPr>
          <w:rFonts w:ascii="Arial" w:eastAsia="Times New Roman" w:hAnsi="Arial" w:cs="Arial"/>
        </w:rPr>
        <w:t xml:space="preserve"> ili </w:t>
      </w:r>
      <w:r w:rsidR="00EA6D46">
        <w:rPr>
          <w:rFonts w:ascii="Arial" w:eastAsia="Times New Roman" w:hAnsi="Arial" w:cs="Arial"/>
        </w:rPr>
        <w:t>6,1</w:t>
      </w:r>
      <w:r w:rsidRPr="003A2F86">
        <w:rPr>
          <w:rFonts w:ascii="Arial" w:eastAsia="Times New Roman" w:hAnsi="Arial" w:cs="Arial"/>
        </w:rPr>
        <w:t xml:space="preserve">% u odnosu na </w:t>
      </w:r>
      <w:r w:rsidR="007C6D78" w:rsidRPr="003A2F86">
        <w:rPr>
          <w:rFonts w:ascii="Arial" w:eastAsia="Times New Roman" w:hAnsi="Arial" w:cs="Arial"/>
        </w:rPr>
        <w:t xml:space="preserve">izvještajno razdoblje </w:t>
      </w:r>
      <w:r w:rsidRPr="003A2F86">
        <w:rPr>
          <w:rFonts w:ascii="Arial" w:eastAsia="Times New Roman" w:hAnsi="Arial" w:cs="Arial"/>
        </w:rPr>
        <w:t>prethodn</w:t>
      </w:r>
      <w:r w:rsidR="007C6D78" w:rsidRPr="003A2F86">
        <w:rPr>
          <w:rFonts w:ascii="Arial" w:eastAsia="Times New Roman" w:hAnsi="Arial" w:cs="Arial"/>
        </w:rPr>
        <w:t>e</w:t>
      </w:r>
      <w:r w:rsidR="00CC06DE">
        <w:rPr>
          <w:rFonts w:ascii="Arial" w:eastAsia="Times New Roman" w:hAnsi="Arial" w:cs="Arial"/>
        </w:rPr>
        <w:t xml:space="preserve"> </w:t>
      </w:r>
      <w:r w:rsidRPr="003A2F86">
        <w:rPr>
          <w:rFonts w:ascii="Arial" w:eastAsia="Times New Roman" w:hAnsi="Arial" w:cs="Arial"/>
        </w:rPr>
        <w:t>godin</w:t>
      </w:r>
      <w:r w:rsidR="007C6D78" w:rsidRPr="003A2F86">
        <w:rPr>
          <w:rFonts w:ascii="Arial" w:eastAsia="Times New Roman" w:hAnsi="Arial" w:cs="Arial"/>
        </w:rPr>
        <w:t>e</w:t>
      </w:r>
      <w:r w:rsidRPr="003A2F86">
        <w:rPr>
          <w:rFonts w:ascii="Arial" w:eastAsia="Times New Roman" w:hAnsi="Arial" w:cs="Arial"/>
        </w:rPr>
        <w:t xml:space="preserve">. </w:t>
      </w:r>
    </w:p>
    <w:bookmarkEnd w:id="83"/>
    <w:p w14:paraId="100956A0" w14:textId="77777777" w:rsidR="004113C9" w:rsidRPr="003A2F86" w:rsidRDefault="004113C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66A92800" w14:textId="12BA7FB9"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ab/>
        <w:t>U nastavku se daje usporedni prikaz ostvarenih prihoda poslovanja</w:t>
      </w:r>
      <w:r w:rsidR="0077686B" w:rsidRPr="003A2F86">
        <w:rPr>
          <w:rFonts w:ascii="Arial" w:eastAsia="Times New Roman" w:hAnsi="Arial" w:cs="Arial"/>
        </w:rPr>
        <w:t xml:space="preserve"> (6)</w:t>
      </w:r>
      <w:r w:rsidR="008E4856" w:rsidRPr="003A2F86">
        <w:rPr>
          <w:rFonts w:ascii="Arial" w:eastAsia="Times New Roman" w:hAnsi="Arial" w:cs="Arial"/>
        </w:rPr>
        <w:t xml:space="preserve">, </w:t>
      </w:r>
      <w:r w:rsidRPr="003A2F86">
        <w:rPr>
          <w:rFonts w:ascii="Arial" w:eastAsia="Times New Roman" w:hAnsi="Arial" w:cs="Arial"/>
        </w:rPr>
        <w:t xml:space="preserve">samo </w:t>
      </w:r>
      <w:r w:rsidRPr="003A2F86">
        <w:rPr>
          <w:rFonts w:ascii="Arial" w:eastAsia="Times New Roman" w:hAnsi="Arial" w:cs="Arial"/>
          <w:b/>
          <w:bCs/>
        </w:rPr>
        <w:t>prihodi Općine bez prihoda proračunskih korisnika</w:t>
      </w:r>
      <w:r w:rsidRPr="003A2F86">
        <w:rPr>
          <w:rFonts w:ascii="Arial" w:eastAsia="Times New Roman" w:hAnsi="Arial" w:cs="Arial"/>
        </w:rPr>
        <w:t xml:space="preserve"> (</w:t>
      </w:r>
      <w:r w:rsidRPr="003A2F86">
        <w:rPr>
          <w:rFonts w:ascii="Arial" w:eastAsia="Times New Roman" w:hAnsi="Arial" w:cs="Arial"/>
          <w:color w:val="0070C0"/>
        </w:rPr>
        <w:t>razina 22</w:t>
      </w:r>
      <w:r w:rsidRPr="003A2F86">
        <w:rPr>
          <w:rFonts w:ascii="Arial" w:eastAsia="Times New Roman" w:hAnsi="Arial" w:cs="Arial"/>
        </w:rPr>
        <w:t>).</w:t>
      </w:r>
    </w:p>
    <w:p w14:paraId="185C8114" w14:textId="77777777" w:rsidR="00604828" w:rsidRPr="003A2F86" w:rsidRDefault="00604828" w:rsidP="00604828">
      <w:pPr>
        <w:pStyle w:val="Opisslike"/>
      </w:pPr>
    </w:p>
    <w:p w14:paraId="0DCC5212" w14:textId="77777777" w:rsidR="004113C9" w:rsidRPr="003A2F86" w:rsidRDefault="004113C9" w:rsidP="007963E6">
      <w:pPr>
        <w:spacing w:after="0" w:line="240" w:lineRule="auto"/>
        <w:rPr>
          <w:lang w:eastAsia="en-US"/>
        </w:rPr>
      </w:pPr>
    </w:p>
    <w:p w14:paraId="15AB9086" w14:textId="77777777" w:rsidR="004113C9" w:rsidRPr="003A2F86" w:rsidRDefault="004113C9" w:rsidP="007963E6">
      <w:pPr>
        <w:spacing w:after="0" w:line="240" w:lineRule="auto"/>
        <w:rPr>
          <w:lang w:eastAsia="en-US"/>
        </w:rPr>
      </w:pPr>
    </w:p>
    <w:p w14:paraId="1D489DB3" w14:textId="77777777" w:rsidR="00963C2A" w:rsidRPr="003A2F86" w:rsidRDefault="00963C2A" w:rsidP="007963E6">
      <w:pPr>
        <w:spacing w:after="0" w:line="240" w:lineRule="auto"/>
        <w:rPr>
          <w:lang w:eastAsia="en-US"/>
        </w:rPr>
      </w:pPr>
    </w:p>
    <w:p w14:paraId="1451ADC5" w14:textId="77777777" w:rsidR="00963C2A" w:rsidRPr="003A2F86" w:rsidRDefault="00963C2A" w:rsidP="007963E6">
      <w:pPr>
        <w:spacing w:after="0" w:line="240" w:lineRule="auto"/>
        <w:rPr>
          <w:lang w:eastAsia="en-US"/>
        </w:rPr>
      </w:pPr>
    </w:p>
    <w:p w14:paraId="12EE5393" w14:textId="77777777" w:rsidR="00963C2A" w:rsidRPr="003A2F86" w:rsidRDefault="00963C2A" w:rsidP="007963E6">
      <w:pPr>
        <w:spacing w:after="0" w:line="240" w:lineRule="auto"/>
        <w:rPr>
          <w:lang w:eastAsia="en-US"/>
        </w:rPr>
      </w:pPr>
    </w:p>
    <w:p w14:paraId="0BA0BBDF" w14:textId="77777777" w:rsidR="00963C2A" w:rsidRPr="003A2F86" w:rsidRDefault="00963C2A" w:rsidP="007963E6">
      <w:pPr>
        <w:spacing w:after="0" w:line="240" w:lineRule="auto"/>
        <w:rPr>
          <w:lang w:eastAsia="en-US"/>
        </w:rPr>
      </w:pPr>
    </w:p>
    <w:p w14:paraId="22C46F86" w14:textId="77777777" w:rsidR="00963C2A" w:rsidRPr="003A2F86" w:rsidRDefault="00963C2A" w:rsidP="007963E6">
      <w:pPr>
        <w:spacing w:after="0" w:line="240" w:lineRule="auto"/>
        <w:rPr>
          <w:lang w:eastAsia="en-US"/>
        </w:rPr>
      </w:pPr>
    </w:p>
    <w:p w14:paraId="7B9F483C" w14:textId="77777777" w:rsidR="00963C2A" w:rsidRPr="003A2F86" w:rsidRDefault="00963C2A" w:rsidP="007963E6">
      <w:pPr>
        <w:spacing w:after="0" w:line="240" w:lineRule="auto"/>
        <w:rPr>
          <w:lang w:eastAsia="en-US"/>
        </w:rPr>
      </w:pPr>
    </w:p>
    <w:p w14:paraId="17E129B6" w14:textId="77777777" w:rsidR="00963C2A" w:rsidRPr="003A2F86" w:rsidRDefault="00963C2A" w:rsidP="007963E6">
      <w:pPr>
        <w:spacing w:after="0" w:line="240" w:lineRule="auto"/>
        <w:rPr>
          <w:lang w:eastAsia="en-US"/>
        </w:rPr>
      </w:pPr>
    </w:p>
    <w:p w14:paraId="3083ADED" w14:textId="77777777" w:rsidR="00963C2A" w:rsidRDefault="00963C2A" w:rsidP="007963E6">
      <w:pPr>
        <w:spacing w:after="0" w:line="240" w:lineRule="auto"/>
        <w:rPr>
          <w:lang w:eastAsia="en-US"/>
        </w:rPr>
      </w:pPr>
    </w:p>
    <w:p w14:paraId="3B136038" w14:textId="77777777" w:rsidR="0071185A" w:rsidRPr="003A2F86" w:rsidRDefault="0071185A" w:rsidP="007963E6">
      <w:pPr>
        <w:spacing w:after="0" w:line="240" w:lineRule="auto"/>
        <w:rPr>
          <w:lang w:eastAsia="en-US"/>
        </w:rPr>
      </w:pPr>
    </w:p>
    <w:p w14:paraId="3A9B86DA" w14:textId="77777777" w:rsidR="004113C9" w:rsidRPr="003A2F86" w:rsidRDefault="004113C9" w:rsidP="007963E6">
      <w:pPr>
        <w:spacing w:after="0" w:line="240" w:lineRule="auto"/>
        <w:rPr>
          <w:lang w:eastAsia="en-US"/>
        </w:rPr>
      </w:pPr>
    </w:p>
    <w:p w14:paraId="201AD643" w14:textId="77777777" w:rsidR="007963E6" w:rsidRPr="003A2F86" w:rsidRDefault="007963E6" w:rsidP="007963E6">
      <w:pPr>
        <w:spacing w:after="0" w:line="240" w:lineRule="auto"/>
        <w:rPr>
          <w:lang w:eastAsia="en-US"/>
        </w:rPr>
      </w:pPr>
    </w:p>
    <w:p w14:paraId="70E2FEB7" w14:textId="77777777" w:rsidR="004113C9" w:rsidRPr="003A2F86" w:rsidRDefault="004113C9" w:rsidP="007963E6">
      <w:pPr>
        <w:spacing w:after="0" w:line="240" w:lineRule="auto"/>
        <w:rPr>
          <w:lang w:eastAsia="en-US"/>
        </w:rPr>
      </w:pPr>
    </w:p>
    <w:p w14:paraId="7D209B8C" w14:textId="654BA919" w:rsidR="00604828" w:rsidRPr="003A2F86" w:rsidRDefault="00604828" w:rsidP="00604828">
      <w:pPr>
        <w:pStyle w:val="Opisslike"/>
        <w:rPr>
          <w:rFonts w:ascii="Arial" w:hAnsi="Arial" w:cs="Arial"/>
          <w:u w:val="single"/>
        </w:rPr>
      </w:pPr>
      <w:bookmarkStart w:id="84" w:name="_Toc232981569"/>
      <w:r w:rsidRPr="003A2F86">
        <w:rPr>
          <w:color w:val="FF0000"/>
        </w:rPr>
        <w:t xml:space="preserve">Graf </w:t>
      </w:r>
      <w:r w:rsidRPr="003A2F86">
        <w:rPr>
          <w:color w:val="FF0000"/>
        </w:rPr>
        <w:fldChar w:fldCharType="begin"/>
      </w:r>
      <w:r w:rsidRPr="003A2F86">
        <w:rPr>
          <w:color w:val="FF0000"/>
        </w:rPr>
        <w:instrText xml:space="preserve"> SEQ Graf \* ARABIC </w:instrText>
      </w:r>
      <w:r w:rsidRPr="003A2F86">
        <w:rPr>
          <w:color w:val="FF0000"/>
        </w:rPr>
        <w:fldChar w:fldCharType="separate"/>
      </w:r>
      <w:r w:rsidR="00A821D8">
        <w:rPr>
          <w:noProof/>
          <w:color w:val="FF0000"/>
        </w:rPr>
        <w:t>9</w:t>
      </w:r>
      <w:r w:rsidRPr="003A2F86">
        <w:rPr>
          <w:color w:val="FF0000"/>
        </w:rPr>
        <w:fldChar w:fldCharType="end"/>
      </w:r>
      <w:r w:rsidRPr="003A2F86">
        <w:rPr>
          <w:color w:val="FF0000"/>
        </w:rPr>
        <w:t xml:space="preserve">.: </w:t>
      </w:r>
      <w:r w:rsidRPr="003A2F86">
        <w:rPr>
          <w:rFonts w:ascii="Arial" w:hAnsi="Arial" w:cs="Arial"/>
        </w:rPr>
        <w:t xml:space="preserve">Usporedni prikaz ostvarenih </w:t>
      </w:r>
      <w:r w:rsidRPr="003A2F86">
        <w:rPr>
          <w:rFonts w:ascii="Arial" w:hAnsi="Arial" w:cs="Arial"/>
          <w:u w:val="single"/>
        </w:rPr>
        <w:t>prihoda poslovanja</w:t>
      </w:r>
      <w:r w:rsidRPr="003A2F86">
        <w:rPr>
          <w:rFonts w:ascii="Arial" w:hAnsi="Arial" w:cs="Arial"/>
        </w:rPr>
        <w:t xml:space="preserve"> (6) u razdoblju 2010.-202</w:t>
      </w:r>
      <w:r w:rsidR="00EA6D46">
        <w:rPr>
          <w:rFonts w:ascii="Arial" w:hAnsi="Arial" w:cs="Arial"/>
        </w:rPr>
        <w:t>5</w:t>
      </w:r>
      <w:r w:rsidRPr="003A2F86">
        <w:rPr>
          <w:rFonts w:ascii="Arial" w:hAnsi="Arial" w:cs="Arial"/>
        </w:rPr>
        <w:t>.</w:t>
      </w:r>
      <w:r w:rsidR="009F6FC5" w:rsidRPr="003A2F86">
        <w:rPr>
          <w:rFonts w:ascii="Arial" w:hAnsi="Arial" w:cs="Arial"/>
        </w:rPr>
        <w:t xml:space="preserve"> (€)</w:t>
      </w:r>
      <w:r w:rsidRPr="003A2F86">
        <w:rPr>
          <w:rFonts w:ascii="Arial" w:hAnsi="Arial" w:cs="Arial"/>
        </w:rPr>
        <w:t xml:space="preserve">, </w:t>
      </w:r>
      <w:r w:rsidRPr="00474A7A">
        <w:rPr>
          <w:rFonts w:ascii="Arial" w:hAnsi="Arial" w:cs="Arial"/>
          <w:color w:val="1F497D" w:themeColor="text2"/>
          <w:u w:val="single"/>
        </w:rPr>
        <w:t xml:space="preserve">Općina </w:t>
      </w:r>
      <w:r w:rsidRPr="003A2F86">
        <w:rPr>
          <w:rFonts w:ascii="Arial" w:hAnsi="Arial" w:cs="Arial"/>
          <w:u w:val="single"/>
        </w:rPr>
        <w:t>bez prihoda proračunskih korisnika</w:t>
      </w:r>
      <w:bookmarkEnd w:id="84"/>
    </w:p>
    <w:p w14:paraId="09DD756D" w14:textId="77777777" w:rsidR="00197F84" w:rsidRPr="003A2F86" w:rsidRDefault="00197F84" w:rsidP="00197F84">
      <w:pPr>
        <w:rPr>
          <w:sz w:val="12"/>
          <w:szCs w:val="12"/>
          <w:lang w:eastAsia="en-US"/>
        </w:rPr>
      </w:pPr>
    </w:p>
    <w:p w14:paraId="66FC4377" w14:textId="77777777" w:rsidR="00604828" w:rsidRPr="003A2F86" w:rsidRDefault="00604828" w:rsidP="00604828">
      <w:pPr>
        <w:spacing w:after="0" w:line="240" w:lineRule="auto"/>
        <w:jc w:val="center"/>
        <w:rPr>
          <w:rFonts w:ascii="Arial" w:eastAsia="Times New Roman" w:hAnsi="Arial" w:cs="Arial"/>
          <w:bCs/>
          <w:i/>
          <w:iCs/>
          <w:sz w:val="20"/>
          <w:szCs w:val="20"/>
          <w:shd w:val="clear" w:color="auto" w:fill="FFFFFF"/>
          <w:lang w:eastAsia="en-US"/>
        </w:rPr>
      </w:pPr>
      <w:bookmarkStart w:id="85" w:name="_Hlk103067902"/>
      <w:r w:rsidRPr="003A2F86">
        <w:rPr>
          <w:rFonts w:ascii="Arial" w:eastAsia="Times New Roman" w:hAnsi="Arial" w:cs="Arial"/>
          <w:noProof/>
          <w:color w:val="FF0000"/>
        </w:rPr>
        <w:drawing>
          <wp:inline distT="0" distB="0" distL="0" distR="0" wp14:anchorId="1E56FCEE" wp14:editId="5E51E9D0">
            <wp:extent cx="8998585" cy="3390900"/>
            <wp:effectExtent l="0" t="0" r="0" b="0"/>
            <wp:docPr id="63" name="Object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80A596B" w14:textId="77777777" w:rsidR="00740BE2" w:rsidRDefault="00604828" w:rsidP="0069140A">
      <w:pPr>
        <w:spacing w:after="0" w:line="240" w:lineRule="auto"/>
        <w:jc w:val="center"/>
        <w:rPr>
          <w:rFonts w:ascii="Arial" w:eastAsia="Times New Roman" w:hAnsi="Arial" w:cs="Arial"/>
          <w:bCs/>
          <w:i/>
          <w:iCs/>
          <w:color w:val="1F497D" w:themeColor="text2"/>
          <w:sz w:val="20"/>
          <w:szCs w:val="20"/>
          <w:shd w:val="clear" w:color="auto" w:fill="FFFFFF"/>
          <w:lang w:eastAsia="en-US"/>
        </w:rPr>
      </w:pPr>
      <w:r w:rsidRPr="003A2F86">
        <w:rPr>
          <w:rFonts w:ascii="Arial" w:eastAsia="Times New Roman" w:hAnsi="Arial" w:cs="Arial"/>
          <w:bCs/>
          <w:i/>
          <w:iCs/>
          <w:color w:val="1F497D" w:themeColor="text2"/>
          <w:sz w:val="20"/>
          <w:szCs w:val="20"/>
          <w:shd w:val="clear" w:color="auto" w:fill="FFFFFF"/>
          <w:lang w:eastAsia="en-US"/>
        </w:rPr>
        <w:t xml:space="preserve">* </w:t>
      </w:r>
      <w:r w:rsidR="00740BE2">
        <w:rPr>
          <w:rFonts w:ascii="Arial" w:eastAsia="Times New Roman" w:hAnsi="Arial" w:cs="Arial"/>
          <w:bCs/>
          <w:i/>
          <w:iCs/>
          <w:color w:val="1F497D" w:themeColor="text2"/>
          <w:sz w:val="20"/>
          <w:szCs w:val="20"/>
          <w:shd w:val="clear" w:color="auto" w:fill="FFFFFF"/>
          <w:lang w:eastAsia="en-US"/>
        </w:rPr>
        <w:t>g</w:t>
      </w:r>
      <w:r w:rsidRPr="003A2F86">
        <w:rPr>
          <w:rFonts w:ascii="Arial" w:eastAsia="Times New Roman" w:hAnsi="Arial" w:cs="Arial"/>
          <w:bCs/>
          <w:i/>
          <w:iCs/>
          <w:color w:val="1F497D" w:themeColor="text2"/>
          <w:sz w:val="20"/>
          <w:szCs w:val="20"/>
          <w:shd w:val="clear" w:color="auto" w:fill="FFFFFF"/>
          <w:lang w:eastAsia="en-US"/>
        </w:rPr>
        <w:t xml:space="preserve">raf uključuje samo prihode poslovanja </w:t>
      </w:r>
      <w:r w:rsidR="0069140A" w:rsidRPr="003A2F86">
        <w:rPr>
          <w:rFonts w:ascii="Arial" w:eastAsia="Times New Roman" w:hAnsi="Arial" w:cs="Arial"/>
          <w:bCs/>
          <w:i/>
          <w:iCs/>
          <w:color w:val="1F497D" w:themeColor="text2"/>
          <w:sz w:val="20"/>
          <w:szCs w:val="20"/>
          <w:shd w:val="clear" w:color="auto" w:fill="FFFFFF"/>
          <w:lang w:eastAsia="en-US"/>
        </w:rPr>
        <w:t xml:space="preserve">Općine </w:t>
      </w:r>
      <w:r w:rsidRPr="003A2F86">
        <w:rPr>
          <w:rFonts w:ascii="Arial" w:eastAsia="Times New Roman" w:hAnsi="Arial" w:cs="Arial"/>
          <w:bCs/>
          <w:i/>
          <w:iCs/>
          <w:color w:val="1F497D" w:themeColor="text2"/>
          <w:sz w:val="20"/>
          <w:szCs w:val="20"/>
          <w:shd w:val="clear" w:color="auto" w:fill="FFFFFF"/>
          <w:lang w:eastAsia="en-US"/>
        </w:rPr>
        <w:t>(6)</w:t>
      </w:r>
      <w:r w:rsidR="00740BE2">
        <w:rPr>
          <w:rFonts w:ascii="Arial" w:eastAsia="Times New Roman" w:hAnsi="Arial" w:cs="Arial"/>
          <w:bCs/>
          <w:i/>
          <w:iCs/>
          <w:color w:val="1F497D" w:themeColor="text2"/>
          <w:sz w:val="20"/>
          <w:szCs w:val="20"/>
          <w:shd w:val="clear" w:color="auto" w:fill="FFFFFF"/>
          <w:lang w:eastAsia="en-US"/>
        </w:rPr>
        <w:t xml:space="preserve">, bez prihoda poslovanja proračunskih korisnika, </w:t>
      </w:r>
    </w:p>
    <w:p w14:paraId="76B524F0" w14:textId="7C21CEE0" w:rsidR="00604828" w:rsidRPr="003A2F86" w:rsidRDefault="00740BE2" w:rsidP="0069140A">
      <w:pPr>
        <w:spacing w:after="0" w:line="240" w:lineRule="auto"/>
        <w:jc w:val="center"/>
        <w:rPr>
          <w:rFonts w:ascii="Arial" w:eastAsia="Times New Roman" w:hAnsi="Arial" w:cs="Arial"/>
          <w:bCs/>
          <w:i/>
          <w:iCs/>
          <w:color w:val="1F497D" w:themeColor="text2"/>
          <w:sz w:val="20"/>
          <w:szCs w:val="20"/>
          <w:shd w:val="clear" w:color="auto" w:fill="FFFFFF"/>
          <w:lang w:eastAsia="en-US"/>
        </w:rPr>
      </w:pPr>
      <w:r>
        <w:rPr>
          <w:rFonts w:ascii="Arial" w:eastAsia="Times New Roman" w:hAnsi="Arial" w:cs="Arial"/>
          <w:bCs/>
          <w:i/>
          <w:iCs/>
          <w:color w:val="1F497D" w:themeColor="text2"/>
          <w:sz w:val="20"/>
          <w:szCs w:val="20"/>
          <w:shd w:val="clear" w:color="auto" w:fill="FFFFFF"/>
          <w:lang w:eastAsia="en-US"/>
        </w:rPr>
        <w:t xml:space="preserve">te ne uključuje </w:t>
      </w:r>
      <w:r w:rsidR="00604828" w:rsidRPr="003A2F86">
        <w:rPr>
          <w:rFonts w:ascii="Arial" w:eastAsia="Times New Roman" w:hAnsi="Arial" w:cs="Arial"/>
          <w:bCs/>
          <w:i/>
          <w:iCs/>
          <w:color w:val="1F497D" w:themeColor="text2"/>
          <w:sz w:val="20"/>
          <w:szCs w:val="20"/>
          <w:shd w:val="clear" w:color="auto" w:fill="FFFFFF"/>
          <w:lang w:eastAsia="en-US"/>
        </w:rPr>
        <w:t>prihode od prodaje nefinancijske imovine (7) niti primitke od zaduživanja (8)</w:t>
      </w:r>
    </w:p>
    <w:bookmarkEnd w:id="85"/>
    <w:p w14:paraId="201C19FE" w14:textId="77777777" w:rsidR="00604828" w:rsidRPr="003A2F86" w:rsidRDefault="00604828" w:rsidP="00604828">
      <w:pPr>
        <w:rPr>
          <w:lang w:eastAsia="en-US"/>
        </w:rPr>
      </w:pPr>
    </w:p>
    <w:p w14:paraId="2F68DB6B" w14:textId="4767585C" w:rsidR="00891119" w:rsidRPr="003A2F86" w:rsidRDefault="00891119" w:rsidP="001B3297">
      <w:pPr>
        <w:pStyle w:val="Naslov4"/>
        <w:rPr>
          <w:rFonts w:ascii="Arial" w:hAnsi="Arial" w:cs="Arial"/>
          <w:bCs/>
          <w:sz w:val="20"/>
          <w:shd w:val="clear" w:color="auto" w:fill="FFFFFF"/>
          <w:lang w:val="hr-HR"/>
        </w:rPr>
      </w:pPr>
      <w:r w:rsidRPr="003A2F86">
        <w:rPr>
          <w:rFonts w:ascii="Arial" w:hAnsi="Arial" w:cs="Arial"/>
          <w:shd w:val="clear" w:color="auto" w:fill="FFFFFF"/>
          <w:lang w:val="hr-HR"/>
        </w:rPr>
        <w:tab/>
      </w:r>
      <w:bookmarkStart w:id="86" w:name="_Toc232981387"/>
      <w:r w:rsidR="001B3297" w:rsidRPr="003A2F86">
        <w:rPr>
          <w:rFonts w:ascii="Arial" w:hAnsi="Arial" w:cs="Arial"/>
          <w:shd w:val="clear" w:color="auto" w:fill="FFFFFF"/>
          <w:lang w:val="hr-HR"/>
        </w:rPr>
        <w:t>2.4.1.1.</w:t>
      </w:r>
      <w:r w:rsidRPr="003A2F86">
        <w:rPr>
          <w:rFonts w:ascii="Arial" w:hAnsi="Arial" w:cs="Arial"/>
          <w:shd w:val="clear" w:color="auto" w:fill="FFFFFF"/>
          <w:lang w:val="hr-HR"/>
        </w:rPr>
        <w:t xml:space="preserve"> </w:t>
      </w:r>
      <w:r w:rsidRPr="003A2F86">
        <w:rPr>
          <w:rFonts w:ascii="Arial" w:hAnsi="Arial" w:cs="Arial"/>
          <w:shd w:val="clear" w:color="auto" w:fill="FFFFFF"/>
          <w:lang w:val="hr-HR"/>
        </w:rPr>
        <w:tab/>
      </w:r>
      <w:r w:rsidRPr="003A2F86">
        <w:rPr>
          <w:rFonts w:ascii="Arial" w:hAnsi="Arial" w:cs="Arial"/>
          <w:lang w:val="hr-HR"/>
        </w:rPr>
        <w:t>Prihodi od poreza</w:t>
      </w:r>
      <w:r w:rsidR="00744D8B" w:rsidRPr="003A2F86">
        <w:rPr>
          <w:rFonts w:ascii="Arial" w:hAnsi="Arial" w:cs="Arial"/>
          <w:lang w:val="hr-HR"/>
        </w:rPr>
        <w:t xml:space="preserve"> (61)</w:t>
      </w:r>
      <w:bookmarkEnd w:id="86"/>
    </w:p>
    <w:p w14:paraId="64B6566F" w14:textId="77777777" w:rsidR="00891119" w:rsidRPr="003A2F86" w:rsidRDefault="00891119" w:rsidP="00891119">
      <w:pPr>
        <w:tabs>
          <w:tab w:val="left" w:pos="567"/>
        </w:tabs>
        <w:spacing w:after="0" w:line="240" w:lineRule="auto"/>
        <w:jc w:val="both"/>
        <w:rPr>
          <w:rFonts w:ascii="Arial" w:eastAsia="Times New Roman" w:hAnsi="Arial" w:cs="Arial"/>
          <w:lang w:eastAsia="en-US"/>
        </w:rPr>
      </w:pPr>
    </w:p>
    <w:p w14:paraId="41768089" w14:textId="12091CA5" w:rsidR="00F8681C" w:rsidRPr="003A2F86" w:rsidRDefault="00F8681C" w:rsidP="00F8681C">
      <w:pPr>
        <w:pStyle w:val="Tijeloteksta2"/>
        <w:rPr>
          <w:rFonts w:ascii="Arial" w:hAnsi="Arial" w:cs="Arial"/>
          <w:iCs/>
          <w:sz w:val="22"/>
          <w:szCs w:val="22"/>
          <w:lang w:val="hr-HR"/>
        </w:rPr>
      </w:pPr>
      <w:bookmarkStart w:id="87" w:name="_Hlk230157834"/>
      <w:bookmarkStart w:id="88" w:name="_Hlk2524072"/>
      <w:bookmarkStart w:id="89" w:name="_Hlk103069542"/>
      <w:r w:rsidRPr="003A2F86">
        <w:rPr>
          <w:rFonts w:ascii="Arial" w:hAnsi="Arial" w:cs="Arial"/>
          <w:b/>
          <w:iCs/>
          <w:sz w:val="22"/>
          <w:szCs w:val="22"/>
          <w:lang w:val="hr-HR"/>
        </w:rPr>
        <w:t xml:space="preserve">Prihodi od poreza </w:t>
      </w:r>
      <w:r w:rsidRPr="003A2F86">
        <w:rPr>
          <w:rFonts w:ascii="Arial" w:hAnsi="Arial" w:cs="Arial"/>
          <w:iCs/>
          <w:sz w:val="22"/>
          <w:szCs w:val="22"/>
          <w:lang w:val="hr-HR"/>
        </w:rPr>
        <w:t xml:space="preserve">(61) ostvareni su u iznosu </w:t>
      </w:r>
      <w:r w:rsidR="00B747AE">
        <w:rPr>
          <w:rFonts w:ascii="Arial" w:hAnsi="Arial" w:cs="Arial"/>
          <w:iCs/>
          <w:sz w:val="22"/>
          <w:szCs w:val="22"/>
          <w:lang w:val="hr-HR"/>
        </w:rPr>
        <w:t>8.507.914,65</w:t>
      </w:r>
      <w:r w:rsidRPr="003A2F86">
        <w:rPr>
          <w:rFonts w:ascii="Arial" w:hAnsi="Arial" w:cs="Arial"/>
          <w:iCs/>
          <w:sz w:val="22"/>
          <w:szCs w:val="22"/>
          <w:lang w:val="hr-HR"/>
        </w:rPr>
        <w:t xml:space="preserve"> € i veći su za </w:t>
      </w:r>
      <w:r w:rsidR="00B747AE">
        <w:rPr>
          <w:rFonts w:ascii="Arial" w:hAnsi="Arial" w:cs="Arial"/>
          <w:iCs/>
          <w:sz w:val="22"/>
          <w:szCs w:val="22"/>
          <w:lang w:val="hr-HR"/>
        </w:rPr>
        <w:t>1.227.135,27</w:t>
      </w:r>
      <w:r w:rsidRPr="003A2F86">
        <w:rPr>
          <w:rFonts w:ascii="Arial" w:hAnsi="Arial" w:cs="Arial"/>
          <w:iCs/>
          <w:sz w:val="22"/>
          <w:szCs w:val="22"/>
          <w:lang w:val="hr-HR"/>
        </w:rPr>
        <w:t xml:space="preserve"> € ili </w:t>
      </w:r>
      <w:r w:rsidR="00B747AE">
        <w:rPr>
          <w:rFonts w:ascii="Arial" w:hAnsi="Arial" w:cs="Arial"/>
          <w:iCs/>
          <w:sz w:val="22"/>
          <w:szCs w:val="22"/>
          <w:lang w:val="hr-HR"/>
        </w:rPr>
        <w:t>16,9</w:t>
      </w:r>
      <w:r w:rsidRPr="003A2F86">
        <w:rPr>
          <w:rFonts w:ascii="Arial" w:hAnsi="Arial" w:cs="Arial"/>
          <w:iCs/>
          <w:sz w:val="22"/>
          <w:szCs w:val="22"/>
          <w:lang w:val="hr-HR"/>
        </w:rPr>
        <w:t xml:space="preserve">% u odnosu na prethodnu godinu (kada su iznosili </w:t>
      </w:r>
      <w:r w:rsidR="00B747AE">
        <w:rPr>
          <w:rFonts w:ascii="Arial" w:hAnsi="Arial" w:cs="Arial"/>
          <w:iCs/>
          <w:sz w:val="22"/>
          <w:szCs w:val="22"/>
          <w:lang w:val="hr-HR"/>
        </w:rPr>
        <w:t>7.280.779,38</w:t>
      </w:r>
      <w:r w:rsidRPr="003A2F86">
        <w:rPr>
          <w:rFonts w:ascii="Arial" w:hAnsi="Arial" w:cs="Arial"/>
          <w:iCs/>
          <w:sz w:val="22"/>
          <w:szCs w:val="22"/>
          <w:lang w:val="hr-HR"/>
        </w:rPr>
        <w:t xml:space="preserve"> €). </w:t>
      </w:r>
    </w:p>
    <w:bookmarkEnd w:id="87"/>
    <w:p w14:paraId="102E27F4" w14:textId="77777777" w:rsidR="00912BF4" w:rsidRPr="003A2F86" w:rsidRDefault="00912BF4" w:rsidP="00B21C26">
      <w:pPr>
        <w:spacing w:after="0" w:line="240" w:lineRule="auto"/>
        <w:jc w:val="both"/>
        <w:rPr>
          <w:rFonts w:ascii="Arial" w:eastAsia="Times New Roman" w:hAnsi="Arial" w:cs="Arial"/>
          <w:iCs/>
          <w:lang w:eastAsia="en-US"/>
        </w:rPr>
      </w:pPr>
    </w:p>
    <w:p w14:paraId="1F5FC88F" w14:textId="3797759D" w:rsidR="00B21C26" w:rsidRPr="001B4916" w:rsidRDefault="00B21C26" w:rsidP="00B21C26">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Prema važećim zakonskim propisima (Zakon o lokalnim porezima NN 115/16), u 20</w:t>
      </w:r>
      <w:r w:rsidR="00334146" w:rsidRPr="003A2F86">
        <w:rPr>
          <w:rFonts w:ascii="Arial" w:eastAsia="Times New Roman" w:hAnsi="Arial" w:cs="Arial"/>
          <w:iCs/>
          <w:lang w:eastAsia="en-US"/>
        </w:rPr>
        <w:t>2</w:t>
      </w:r>
      <w:r w:rsidR="00711D3D">
        <w:rPr>
          <w:rFonts w:ascii="Arial" w:eastAsia="Times New Roman" w:hAnsi="Arial" w:cs="Arial"/>
          <w:iCs/>
          <w:lang w:eastAsia="en-US"/>
        </w:rPr>
        <w:t>5</w:t>
      </w:r>
      <w:r w:rsidRPr="003A2F86">
        <w:rPr>
          <w:rFonts w:ascii="Arial" w:eastAsia="Times New Roman" w:hAnsi="Arial" w:cs="Arial"/>
          <w:iCs/>
          <w:lang w:eastAsia="en-US"/>
        </w:rPr>
        <w:t>. godini se ostvaruju prihodi od poreza na dohodak, poreza na potrošnju i poreza na korištenje javnih površina</w:t>
      </w:r>
      <w:r w:rsidR="00711D3D">
        <w:rPr>
          <w:rFonts w:ascii="Arial" w:eastAsia="Times New Roman" w:hAnsi="Arial" w:cs="Arial"/>
          <w:iCs/>
          <w:lang w:eastAsia="en-US"/>
        </w:rPr>
        <w:t xml:space="preserve"> (dok se prihodi od </w:t>
      </w:r>
      <w:r w:rsidR="00711D3D" w:rsidRPr="003A2F86">
        <w:rPr>
          <w:rFonts w:ascii="Arial" w:eastAsia="Times New Roman" w:hAnsi="Arial" w:cs="Arial"/>
          <w:iCs/>
          <w:lang w:eastAsia="en-US"/>
        </w:rPr>
        <w:t>poreza na kuće za odmor</w:t>
      </w:r>
      <w:r w:rsidR="001B4916">
        <w:rPr>
          <w:rFonts w:ascii="Arial" w:eastAsia="Times New Roman" w:hAnsi="Arial" w:cs="Arial"/>
          <w:iCs/>
          <w:lang w:eastAsia="en-US"/>
        </w:rPr>
        <w:t xml:space="preserve"> naplaćuju samo od dugovanja iz prethodnih godina)</w:t>
      </w:r>
      <w:r w:rsidRPr="003A2F86">
        <w:rPr>
          <w:rFonts w:ascii="Arial" w:eastAsia="Times New Roman" w:hAnsi="Arial" w:cs="Arial"/>
          <w:iCs/>
          <w:lang w:eastAsia="en-US"/>
        </w:rPr>
        <w:t xml:space="preserve">. </w:t>
      </w:r>
      <w:r w:rsidR="00334146" w:rsidRPr="003A2F86">
        <w:rPr>
          <w:rFonts w:ascii="Arial" w:eastAsia="Times New Roman" w:hAnsi="Arial" w:cs="Arial"/>
          <w:b/>
          <w:bCs/>
          <w:iCs/>
          <w:lang w:eastAsia="en-US"/>
        </w:rPr>
        <w:t>Od 1.1.2024. ne ostvaruje se prihod od prireza na porez na dohodak.</w:t>
      </w:r>
      <w:r w:rsidR="001B4916">
        <w:rPr>
          <w:rFonts w:ascii="Arial" w:eastAsia="Times New Roman" w:hAnsi="Arial" w:cs="Arial"/>
          <w:b/>
          <w:bCs/>
          <w:iCs/>
          <w:lang w:eastAsia="en-US"/>
        </w:rPr>
        <w:t xml:space="preserve"> </w:t>
      </w:r>
      <w:r w:rsidR="001B4916">
        <w:rPr>
          <w:rFonts w:ascii="Arial" w:eastAsia="Times New Roman" w:hAnsi="Arial" w:cs="Arial"/>
          <w:iCs/>
          <w:lang w:eastAsia="en-US"/>
        </w:rPr>
        <w:t xml:space="preserve">Rješenja za novi porez na nekretnine su ispostavljena </w:t>
      </w:r>
      <w:r w:rsidR="00B747AE">
        <w:rPr>
          <w:rFonts w:ascii="Arial" w:eastAsia="Times New Roman" w:hAnsi="Arial" w:cs="Arial"/>
          <w:iCs/>
          <w:lang w:eastAsia="en-US"/>
        </w:rPr>
        <w:t>u listopadu</w:t>
      </w:r>
      <w:r w:rsidR="001B4916">
        <w:rPr>
          <w:rFonts w:ascii="Arial" w:eastAsia="Times New Roman" w:hAnsi="Arial" w:cs="Arial"/>
          <w:iCs/>
          <w:lang w:eastAsia="en-US"/>
        </w:rPr>
        <w:t xml:space="preserve"> 2025.</w:t>
      </w:r>
    </w:p>
    <w:p w14:paraId="4C991C22" w14:textId="77777777" w:rsidR="00F8681C" w:rsidRPr="003A2F86" w:rsidRDefault="00F8681C" w:rsidP="00F8681C">
      <w:pPr>
        <w:spacing w:after="0" w:line="240" w:lineRule="auto"/>
        <w:ind w:firstLine="709"/>
        <w:jc w:val="both"/>
        <w:rPr>
          <w:rFonts w:ascii="Arial" w:eastAsia="Times New Roman" w:hAnsi="Arial" w:cs="Arial"/>
        </w:rPr>
      </w:pPr>
    </w:p>
    <w:p w14:paraId="3D3F7A46" w14:textId="389DD62A" w:rsidR="00B21C26" w:rsidRPr="003A2F86" w:rsidRDefault="00B21C26" w:rsidP="00B21C26">
      <w:pPr>
        <w:spacing w:after="0" w:line="240" w:lineRule="auto"/>
        <w:jc w:val="both"/>
        <w:rPr>
          <w:rFonts w:ascii="Arial" w:eastAsia="Times New Roman" w:hAnsi="Arial" w:cs="Arial"/>
        </w:rPr>
      </w:pPr>
      <w:r w:rsidRPr="003A2F86">
        <w:rPr>
          <w:rFonts w:ascii="Arial" w:eastAsia="Times New Roman" w:hAnsi="Arial" w:cs="Arial"/>
        </w:rPr>
        <w:lastRenderedPageBreak/>
        <w:t>Prihodi od poreza predstavljaju najznačajniji prihod proračuna Općine, a dijele se na:</w:t>
      </w:r>
    </w:p>
    <w:p w14:paraId="4742A107" w14:textId="1A0EE63F" w:rsidR="00B21C26" w:rsidRPr="003A2F86" w:rsidRDefault="00B21C26" w:rsidP="00B21C26">
      <w:pPr>
        <w:spacing w:after="0" w:line="240" w:lineRule="auto"/>
        <w:ind w:firstLine="709"/>
        <w:jc w:val="both"/>
        <w:rPr>
          <w:rFonts w:ascii="Arial" w:eastAsia="Times New Roman" w:hAnsi="Arial" w:cs="Arial"/>
        </w:rPr>
      </w:pPr>
      <w:r w:rsidRPr="003A2F86">
        <w:rPr>
          <w:rFonts w:ascii="Arial" w:eastAsia="Times New Roman" w:hAnsi="Arial" w:cs="Arial"/>
        </w:rPr>
        <w:t xml:space="preserve">a) </w:t>
      </w:r>
      <w:r w:rsidRPr="003A2F86">
        <w:rPr>
          <w:rFonts w:ascii="Arial" w:eastAsia="Times New Roman" w:hAnsi="Arial" w:cs="Arial"/>
          <w:b/>
          <w:bCs/>
        </w:rPr>
        <w:t>prihode od poreza na dohodak (611)</w:t>
      </w:r>
      <w:r w:rsidRPr="003A2F86">
        <w:rPr>
          <w:rFonts w:ascii="Arial" w:eastAsia="Times New Roman" w:hAnsi="Arial" w:cs="Arial"/>
        </w:rPr>
        <w:t xml:space="preserve"> </w:t>
      </w:r>
      <w:r w:rsidR="00F8681C" w:rsidRPr="003A2F86">
        <w:rPr>
          <w:rFonts w:ascii="Arial" w:eastAsia="Times New Roman" w:hAnsi="Arial" w:cs="Arial"/>
        </w:rPr>
        <w:t xml:space="preserve">u iznosu </w:t>
      </w:r>
      <w:r w:rsidR="0042032C">
        <w:rPr>
          <w:rFonts w:ascii="Arial" w:eastAsia="Times New Roman" w:hAnsi="Arial" w:cs="Arial"/>
        </w:rPr>
        <w:t>7.226.645,11</w:t>
      </w:r>
      <w:r w:rsidR="00912BF4" w:rsidRPr="003A2F86">
        <w:rPr>
          <w:rFonts w:ascii="Arial" w:eastAsia="Times New Roman" w:hAnsi="Arial" w:cs="Arial"/>
        </w:rPr>
        <w:t xml:space="preserve">€ (porez na dohodak od nesamostalnog rada u iznosu </w:t>
      </w:r>
      <w:r w:rsidR="0042032C">
        <w:rPr>
          <w:rFonts w:ascii="Arial" w:eastAsia="Times New Roman" w:hAnsi="Arial" w:cs="Arial"/>
        </w:rPr>
        <w:t>5.738.559,84</w:t>
      </w:r>
      <w:r w:rsidR="00912BF4" w:rsidRPr="003A2F86">
        <w:rPr>
          <w:rFonts w:ascii="Arial" w:eastAsia="Times New Roman" w:hAnsi="Arial" w:cs="Arial"/>
        </w:rPr>
        <w:t xml:space="preserve"> €, porez na dohodak od samostalnih djelatnosti </w:t>
      </w:r>
      <w:r w:rsidR="0042032C">
        <w:rPr>
          <w:rFonts w:ascii="Arial" w:eastAsia="Times New Roman" w:hAnsi="Arial" w:cs="Arial"/>
        </w:rPr>
        <w:t>601.604,94</w:t>
      </w:r>
      <w:r w:rsidR="00912BF4" w:rsidRPr="003A2F86">
        <w:rPr>
          <w:rFonts w:ascii="Arial" w:eastAsia="Times New Roman" w:hAnsi="Arial" w:cs="Arial"/>
        </w:rPr>
        <w:t xml:space="preserve"> €, porez na dohodak od imovine i imovinskih prava </w:t>
      </w:r>
      <w:r w:rsidR="0042032C">
        <w:rPr>
          <w:rFonts w:ascii="Arial" w:eastAsia="Times New Roman" w:hAnsi="Arial" w:cs="Arial"/>
        </w:rPr>
        <w:t>706.210,03</w:t>
      </w:r>
      <w:r w:rsidR="00912BF4" w:rsidRPr="003A2F86">
        <w:rPr>
          <w:rFonts w:ascii="Arial" w:eastAsia="Times New Roman" w:hAnsi="Arial" w:cs="Arial"/>
        </w:rPr>
        <w:t xml:space="preserve"> €, porez na dohodak od kapitala </w:t>
      </w:r>
      <w:r w:rsidR="0042032C">
        <w:rPr>
          <w:rFonts w:ascii="Arial" w:eastAsia="Times New Roman" w:hAnsi="Arial" w:cs="Arial"/>
        </w:rPr>
        <w:t>548.188,19</w:t>
      </w:r>
      <w:r w:rsidR="00912BF4" w:rsidRPr="003A2F86">
        <w:rPr>
          <w:rFonts w:ascii="Arial" w:eastAsia="Times New Roman" w:hAnsi="Arial" w:cs="Arial"/>
        </w:rPr>
        <w:t xml:space="preserve"> €, porez na dohodak za decentralizirane funkcije vatrogastva u iznosu </w:t>
      </w:r>
      <w:r w:rsidR="0042032C">
        <w:rPr>
          <w:rFonts w:ascii="Arial" w:eastAsia="Times New Roman" w:hAnsi="Arial" w:cs="Arial"/>
        </w:rPr>
        <w:t>96.352,88</w:t>
      </w:r>
      <w:r w:rsidR="00912BF4" w:rsidRPr="003A2F86">
        <w:rPr>
          <w:rFonts w:ascii="Arial" w:eastAsia="Times New Roman" w:hAnsi="Arial" w:cs="Arial"/>
        </w:rPr>
        <w:t xml:space="preserve"> €, dok povrat poreza po godišnjim prijavama iznosi </w:t>
      </w:r>
      <w:r w:rsidR="0042032C">
        <w:rPr>
          <w:rFonts w:ascii="Arial" w:eastAsia="Times New Roman" w:hAnsi="Arial" w:cs="Arial"/>
        </w:rPr>
        <w:t>760.540,75</w:t>
      </w:r>
      <w:r w:rsidR="00912BF4" w:rsidRPr="003A2F86">
        <w:rPr>
          <w:rFonts w:ascii="Arial" w:eastAsia="Times New Roman" w:hAnsi="Arial" w:cs="Arial"/>
        </w:rPr>
        <w:t xml:space="preserve"> €, a uplate po godišnjim prijavama </w:t>
      </w:r>
      <w:r w:rsidR="0042032C">
        <w:rPr>
          <w:rFonts w:ascii="Arial" w:eastAsia="Times New Roman" w:hAnsi="Arial" w:cs="Arial"/>
        </w:rPr>
        <w:t>296.269,98</w:t>
      </w:r>
      <w:r w:rsidR="00912BF4" w:rsidRPr="003A2F86">
        <w:rPr>
          <w:rFonts w:ascii="Arial" w:eastAsia="Times New Roman" w:hAnsi="Arial" w:cs="Arial"/>
        </w:rPr>
        <w:t xml:space="preserve"> €),</w:t>
      </w:r>
    </w:p>
    <w:p w14:paraId="62285BF6" w14:textId="06151577" w:rsidR="00B21C26" w:rsidRPr="003A2F86" w:rsidRDefault="00B21C26" w:rsidP="00B21C26">
      <w:pPr>
        <w:spacing w:after="0" w:line="240" w:lineRule="auto"/>
        <w:ind w:firstLine="709"/>
        <w:jc w:val="both"/>
        <w:rPr>
          <w:rFonts w:ascii="Arial" w:eastAsia="Times New Roman" w:hAnsi="Arial" w:cs="Arial"/>
        </w:rPr>
      </w:pPr>
      <w:r w:rsidRPr="003A2F86">
        <w:rPr>
          <w:rFonts w:ascii="Arial" w:eastAsia="Times New Roman" w:hAnsi="Arial" w:cs="Arial"/>
        </w:rPr>
        <w:t xml:space="preserve">b) </w:t>
      </w:r>
      <w:r w:rsidRPr="003A2F86">
        <w:rPr>
          <w:rFonts w:ascii="Arial" w:eastAsia="Times New Roman" w:hAnsi="Arial" w:cs="Arial"/>
          <w:b/>
          <w:bCs/>
        </w:rPr>
        <w:t>porez na imovinu (613)</w:t>
      </w:r>
      <w:r w:rsidRPr="003A2F86">
        <w:rPr>
          <w:rFonts w:ascii="Arial" w:eastAsia="Times New Roman" w:hAnsi="Arial" w:cs="Arial"/>
        </w:rPr>
        <w:t xml:space="preserve"> </w:t>
      </w:r>
      <w:r w:rsidR="00912BF4" w:rsidRPr="003A2F86">
        <w:rPr>
          <w:rFonts w:ascii="Arial" w:eastAsia="Times New Roman" w:hAnsi="Arial" w:cs="Arial"/>
        </w:rPr>
        <w:t xml:space="preserve">u iznosu </w:t>
      </w:r>
      <w:r w:rsidR="0042032C">
        <w:rPr>
          <w:rFonts w:ascii="Arial" w:eastAsia="Times New Roman" w:hAnsi="Arial" w:cs="Arial"/>
        </w:rPr>
        <w:t>945.600,15</w:t>
      </w:r>
      <w:r w:rsidR="00912BF4" w:rsidRPr="003A2F86">
        <w:rPr>
          <w:rFonts w:ascii="Arial" w:eastAsia="Times New Roman" w:hAnsi="Arial" w:cs="Arial"/>
        </w:rPr>
        <w:t xml:space="preserve"> € (odnosno porez na promet nekretnina </w:t>
      </w:r>
      <w:r w:rsidR="0042032C">
        <w:rPr>
          <w:rFonts w:ascii="Arial" w:eastAsia="Times New Roman" w:hAnsi="Arial" w:cs="Arial"/>
        </w:rPr>
        <w:t>824.110,78</w:t>
      </w:r>
      <w:r w:rsidR="00912BF4" w:rsidRPr="003A2F86">
        <w:rPr>
          <w:rFonts w:ascii="Arial" w:eastAsia="Times New Roman" w:hAnsi="Arial" w:cs="Arial"/>
        </w:rPr>
        <w:t xml:space="preserve"> €, te općinski porezi i to porez na kuće za odmor u iznosu </w:t>
      </w:r>
      <w:r w:rsidR="0042032C">
        <w:rPr>
          <w:rFonts w:ascii="Arial" w:eastAsia="Times New Roman" w:hAnsi="Arial" w:cs="Arial"/>
        </w:rPr>
        <w:t>16.269,92</w:t>
      </w:r>
      <w:r w:rsidR="00912BF4" w:rsidRPr="003A2F86">
        <w:rPr>
          <w:rFonts w:ascii="Arial" w:eastAsia="Times New Roman" w:hAnsi="Arial" w:cs="Arial"/>
        </w:rPr>
        <w:t xml:space="preserve"> €, porez na korištenje javnih površina </w:t>
      </w:r>
      <w:r w:rsidR="0042032C">
        <w:rPr>
          <w:rFonts w:ascii="Arial" w:eastAsia="Times New Roman" w:hAnsi="Arial" w:cs="Arial"/>
        </w:rPr>
        <w:t>7.503,96</w:t>
      </w:r>
      <w:r w:rsidR="00912BF4" w:rsidRPr="003A2F86">
        <w:rPr>
          <w:rFonts w:ascii="Arial" w:eastAsia="Times New Roman" w:hAnsi="Arial" w:cs="Arial"/>
        </w:rPr>
        <w:t xml:space="preserve"> €</w:t>
      </w:r>
      <w:r w:rsidR="0042032C">
        <w:rPr>
          <w:rFonts w:ascii="Arial" w:eastAsia="Times New Roman" w:hAnsi="Arial" w:cs="Arial"/>
        </w:rPr>
        <w:t>, novi porez na nekretnine 97.715,49 €</w:t>
      </w:r>
      <w:r w:rsidR="00912BF4" w:rsidRPr="003A2F86">
        <w:rPr>
          <w:rFonts w:ascii="Arial" w:eastAsia="Times New Roman" w:hAnsi="Arial" w:cs="Arial"/>
        </w:rPr>
        <w:t xml:space="preserve">), </w:t>
      </w:r>
      <w:r w:rsidRPr="003A2F86">
        <w:rPr>
          <w:rFonts w:ascii="Arial" w:eastAsia="Times New Roman" w:hAnsi="Arial" w:cs="Arial"/>
        </w:rPr>
        <w:t xml:space="preserve">te </w:t>
      </w:r>
    </w:p>
    <w:p w14:paraId="415CE514" w14:textId="2F0E3B32" w:rsidR="00B21C26" w:rsidRPr="003A2F86" w:rsidRDefault="00B21C26" w:rsidP="00B21C26">
      <w:pPr>
        <w:spacing w:after="0" w:line="240" w:lineRule="auto"/>
        <w:ind w:firstLine="709"/>
        <w:jc w:val="both"/>
        <w:rPr>
          <w:rFonts w:ascii="Arial" w:eastAsia="Times New Roman" w:hAnsi="Arial" w:cs="Arial"/>
        </w:rPr>
      </w:pPr>
      <w:r w:rsidRPr="003A2F86">
        <w:rPr>
          <w:rFonts w:ascii="Arial" w:eastAsia="Times New Roman" w:hAnsi="Arial" w:cs="Arial"/>
        </w:rPr>
        <w:t xml:space="preserve">c) </w:t>
      </w:r>
      <w:r w:rsidRPr="003A2F86">
        <w:rPr>
          <w:rFonts w:ascii="Arial" w:eastAsia="Times New Roman" w:hAnsi="Arial" w:cs="Arial"/>
          <w:b/>
          <w:bCs/>
        </w:rPr>
        <w:t>porezi na robu i usluge (614)</w:t>
      </w:r>
      <w:r w:rsidRPr="003A2F86">
        <w:rPr>
          <w:rFonts w:ascii="Arial" w:eastAsia="Times New Roman" w:hAnsi="Arial" w:cs="Arial"/>
        </w:rPr>
        <w:t xml:space="preserve"> </w:t>
      </w:r>
      <w:r w:rsidR="00912BF4" w:rsidRPr="003A2F86">
        <w:rPr>
          <w:rFonts w:ascii="Arial" w:eastAsia="Times New Roman" w:hAnsi="Arial" w:cs="Arial"/>
        </w:rPr>
        <w:t xml:space="preserve">u iznosu </w:t>
      </w:r>
      <w:r w:rsidR="0042032C">
        <w:rPr>
          <w:rFonts w:ascii="Arial" w:eastAsia="Times New Roman" w:hAnsi="Arial" w:cs="Arial"/>
        </w:rPr>
        <w:t>335.669,39</w:t>
      </w:r>
      <w:r w:rsidR="00912BF4" w:rsidRPr="003A2F86">
        <w:rPr>
          <w:rFonts w:ascii="Arial" w:eastAsia="Times New Roman" w:hAnsi="Arial" w:cs="Arial"/>
        </w:rPr>
        <w:t xml:space="preserve"> € (općinski porezi i to porez na potrošnju).</w:t>
      </w:r>
    </w:p>
    <w:p w14:paraId="2F14AC60" w14:textId="77777777" w:rsidR="00F8681C" w:rsidRPr="003A2F86" w:rsidRDefault="00F8681C" w:rsidP="00F8681C">
      <w:pPr>
        <w:spacing w:after="0" w:line="240" w:lineRule="auto"/>
        <w:jc w:val="both"/>
        <w:rPr>
          <w:rFonts w:ascii="Arial" w:hAnsi="Arial" w:cs="Arial"/>
          <w:iCs/>
        </w:rPr>
      </w:pPr>
    </w:p>
    <w:p w14:paraId="01FC13D9" w14:textId="23C9F759" w:rsidR="00912BF4" w:rsidRPr="003A2F86" w:rsidRDefault="00912BF4" w:rsidP="00912BF4">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U 202</w:t>
      </w:r>
      <w:r w:rsidR="003313AE">
        <w:rPr>
          <w:rFonts w:ascii="Arial" w:eastAsia="Times New Roman" w:hAnsi="Arial" w:cs="Arial"/>
          <w:iCs/>
          <w:lang w:eastAsia="en-US"/>
        </w:rPr>
        <w:t>5</w:t>
      </w:r>
      <w:r w:rsidRPr="003A2F86">
        <w:rPr>
          <w:rFonts w:ascii="Arial" w:eastAsia="Times New Roman" w:hAnsi="Arial" w:cs="Arial"/>
          <w:iCs/>
          <w:lang w:eastAsia="en-US"/>
        </w:rPr>
        <w:t xml:space="preserve">. prihodi od poreza na dohodak (611) su ostvareni u iznosu </w:t>
      </w:r>
      <w:r w:rsidR="00AE4B8B">
        <w:rPr>
          <w:rFonts w:ascii="Arial" w:eastAsia="Times New Roman" w:hAnsi="Arial" w:cs="Arial"/>
          <w:iCs/>
          <w:lang w:eastAsia="en-US"/>
        </w:rPr>
        <w:t>7.226.645,11</w:t>
      </w:r>
      <w:r w:rsidRPr="003A2F86">
        <w:rPr>
          <w:rFonts w:ascii="Arial" w:eastAsia="Times New Roman" w:hAnsi="Arial" w:cs="Arial"/>
          <w:iCs/>
          <w:lang w:eastAsia="en-US"/>
        </w:rPr>
        <w:t xml:space="preserve"> € što je za </w:t>
      </w:r>
      <w:r w:rsidR="00AE4B8B">
        <w:rPr>
          <w:rFonts w:ascii="Arial" w:eastAsia="Times New Roman" w:hAnsi="Arial" w:cs="Arial"/>
          <w:iCs/>
          <w:lang w:eastAsia="en-US"/>
        </w:rPr>
        <w:t>1.158.532,97</w:t>
      </w:r>
      <w:r w:rsidRPr="003A2F86">
        <w:rPr>
          <w:rFonts w:ascii="Arial" w:eastAsia="Times New Roman" w:hAnsi="Arial" w:cs="Arial"/>
          <w:iCs/>
          <w:lang w:eastAsia="en-US"/>
        </w:rPr>
        <w:t xml:space="preserve"> € ili </w:t>
      </w:r>
      <w:r w:rsidR="00AE4B8B">
        <w:rPr>
          <w:rFonts w:ascii="Arial" w:eastAsia="Times New Roman" w:hAnsi="Arial" w:cs="Arial"/>
          <w:iCs/>
          <w:lang w:eastAsia="en-US"/>
        </w:rPr>
        <w:t>23,1</w:t>
      </w:r>
      <w:r w:rsidRPr="003A2F86">
        <w:rPr>
          <w:rFonts w:ascii="Arial" w:eastAsia="Times New Roman" w:hAnsi="Arial" w:cs="Arial"/>
          <w:iCs/>
          <w:lang w:eastAsia="en-US"/>
        </w:rPr>
        <w:t xml:space="preserve">% </w:t>
      </w:r>
      <w:r w:rsidR="00796951">
        <w:rPr>
          <w:rFonts w:ascii="Arial" w:eastAsia="Times New Roman" w:hAnsi="Arial" w:cs="Arial"/>
          <w:iCs/>
          <w:lang w:eastAsia="en-US"/>
        </w:rPr>
        <w:t>više</w:t>
      </w:r>
      <w:r w:rsidRPr="003A2F86">
        <w:rPr>
          <w:rFonts w:ascii="Arial" w:eastAsia="Times New Roman" w:hAnsi="Arial" w:cs="Arial"/>
          <w:iCs/>
          <w:lang w:eastAsia="en-US"/>
        </w:rPr>
        <w:t xml:space="preserve"> u odnosu na izvještajno razdoblje prethodne godine</w:t>
      </w:r>
      <w:r w:rsidR="00A3111B">
        <w:rPr>
          <w:rFonts w:ascii="Arial" w:eastAsia="Times New Roman" w:hAnsi="Arial" w:cs="Arial"/>
          <w:iCs/>
          <w:lang w:eastAsia="en-US"/>
        </w:rPr>
        <w:t>.</w:t>
      </w:r>
    </w:p>
    <w:p w14:paraId="3E921185" w14:textId="77777777" w:rsidR="00912BF4" w:rsidRPr="003A2F86" w:rsidRDefault="00912BF4" w:rsidP="00912BF4">
      <w:pPr>
        <w:spacing w:after="0" w:line="240" w:lineRule="auto"/>
        <w:jc w:val="both"/>
        <w:rPr>
          <w:rFonts w:ascii="Arial" w:eastAsia="Times New Roman" w:hAnsi="Arial" w:cs="Arial"/>
          <w:i/>
          <w:iCs/>
          <w:lang w:eastAsia="en-US"/>
        </w:rPr>
      </w:pPr>
    </w:p>
    <w:p w14:paraId="125241D5" w14:textId="7D3FDD44" w:rsidR="009201B0" w:rsidRPr="003A2F86" w:rsidRDefault="009201B0" w:rsidP="009201B0">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Porez na kuće za odmor i porez na korištenje javnih površina (6131) su ostvareni u iznosu </w:t>
      </w:r>
      <w:r w:rsidR="00AE4B8B">
        <w:rPr>
          <w:rFonts w:ascii="Arial" w:eastAsia="Times New Roman" w:hAnsi="Arial" w:cs="Arial"/>
          <w:iCs/>
          <w:lang w:eastAsia="en-US"/>
        </w:rPr>
        <w:t>23.773,88</w:t>
      </w:r>
      <w:r w:rsidRPr="003A2F86">
        <w:rPr>
          <w:rFonts w:ascii="Arial" w:eastAsia="Times New Roman" w:hAnsi="Arial" w:cs="Arial"/>
          <w:iCs/>
          <w:lang w:eastAsia="en-US"/>
        </w:rPr>
        <w:t xml:space="preserve"> €</w:t>
      </w:r>
      <w:r w:rsidR="00AE4B8B">
        <w:rPr>
          <w:rFonts w:ascii="Arial" w:eastAsia="Times New Roman" w:hAnsi="Arial" w:cs="Arial"/>
          <w:iCs/>
          <w:lang w:eastAsia="en-US"/>
        </w:rPr>
        <w:t xml:space="preserve">, a zajedno s novim porezom na nekretnine koji je zamijenio porez na kuće za odmor ovi prihodi iznose 121.489,37 € </w:t>
      </w:r>
      <w:r w:rsidR="00E95332" w:rsidRPr="003A2F86">
        <w:rPr>
          <w:rFonts w:ascii="Arial" w:eastAsia="Times New Roman" w:hAnsi="Arial" w:cs="Arial"/>
          <w:iCs/>
          <w:lang w:eastAsia="en-US"/>
        </w:rPr>
        <w:t xml:space="preserve">što je </w:t>
      </w:r>
      <w:r w:rsidR="00AE4B8B">
        <w:rPr>
          <w:rFonts w:ascii="Arial" w:eastAsia="Times New Roman" w:hAnsi="Arial" w:cs="Arial"/>
          <w:iCs/>
          <w:lang w:eastAsia="en-US"/>
        </w:rPr>
        <w:t>manje</w:t>
      </w:r>
      <w:r w:rsidRPr="003A2F86">
        <w:rPr>
          <w:rFonts w:ascii="Arial" w:eastAsia="Times New Roman" w:hAnsi="Arial" w:cs="Arial"/>
          <w:iCs/>
          <w:lang w:eastAsia="en-US"/>
        </w:rPr>
        <w:t xml:space="preserve"> za </w:t>
      </w:r>
      <w:r w:rsidR="00AE4B8B">
        <w:rPr>
          <w:rFonts w:ascii="Arial" w:eastAsia="Times New Roman" w:hAnsi="Arial" w:cs="Arial"/>
          <w:iCs/>
          <w:lang w:eastAsia="en-US"/>
        </w:rPr>
        <w:t>36.405,31</w:t>
      </w:r>
      <w:r w:rsidRPr="003A2F86">
        <w:rPr>
          <w:rFonts w:ascii="Arial" w:eastAsia="Times New Roman" w:hAnsi="Arial" w:cs="Arial"/>
          <w:iCs/>
          <w:lang w:eastAsia="en-US"/>
        </w:rPr>
        <w:t xml:space="preserve"> € ili </w:t>
      </w:r>
      <w:r w:rsidR="003120A1">
        <w:rPr>
          <w:rFonts w:ascii="Arial" w:eastAsia="Times New Roman" w:hAnsi="Arial" w:cs="Arial"/>
          <w:iCs/>
          <w:lang w:eastAsia="en-US"/>
        </w:rPr>
        <w:t>19,3</w:t>
      </w:r>
      <w:r w:rsidRPr="003A2F86">
        <w:rPr>
          <w:rFonts w:ascii="Arial" w:eastAsia="Times New Roman" w:hAnsi="Arial" w:cs="Arial"/>
          <w:iCs/>
          <w:lang w:eastAsia="en-US"/>
        </w:rPr>
        <w:t xml:space="preserve">% u odnosu na izvještajno razdoblje prethodne godine kada su ovi prihodi bili ostvareni u iznosu </w:t>
      </w:r>
      <w:r w:rsidR="003120A1">
        <w:rPr>
          <w:rFonts w:ascii="Arial" w:eastAsia="Times New Roman" w:hAnsi="Arial" w:cs="Arial"/>
          <w:iCs/>
          <w:lang w:eastAsia="en-US"/>
        </w:rPr>
        <w:t>10.774,29</w:t>
      </w:r>
      <w:r w:rsidRPr="003A2F86">
        <w:rPr>
          <w:rFonts w:ascii="Arial" w:eastAsia="Times New Roman" w:hAnsi="Arial" w:cs="Arial"/>
          <w:iCs/>
          <w:lang w:eastAsia="en-US"/>
        </w:rPr>
        <w:t xml:space="preserve"> €.</w:t>
      </w:r>
      <w:r w:rsidR="00A3111B">
        <w:rPr>
          <w:rFonts w:ascii="Arial" w:eastAsia="Times New Roman" w:hAnsi="Arial" w:cs="Arial"/>
          <w:iCs/>
          <w:lang w:eastAsia="en-US"/>
        </w:rPr>
        <w:t xml:space="preserve"> Prethodne godine su prihodi od poreza na kuće za odmor iznosili 148.737,12 €, dok u tekućoj godini prihodi od poreza na nekretnine iznose 97.715,49 €. Ovi prihodi bi trebali biti veći, a razlog manjim prihodima u tekućoj godini je vjerojatno primitak rješenja o utvrđivanju obveze u posljednjem tromjesečju godine.</w:t>
      </w:r>
    </w:p>
    <w:p w14:paraId="6923FC1F" w14:textId="77777777" w:rsidR="007945A5" w:rsidRPr="003A2F86" w:rsidRDefault="007945A5" w:rsidP="00B0794B">
      <w:pPr>
        <w:spacing w:after="0" w:line="240" w:lineRule="auto"/>
        <w:jc w:val="both"/>
        <w:rPr>
          <w:rFonts w:ascii="Arial" w:eastAsia="Times New Roman" w:hAnsi="Arial" w:cs="Arial"/>
          <w:iCs/>
          <w:lang w:eastAsia="en-US"/>
        </w:rPr>
      </w:pPr>
    </w:p>
    <w:p w14:paraId="32669AEA" w14:textId="3E978C08" w:rsidR="00B0794B" w:rsidRPr="003A2F86" w:rsidRDefault="00B0794B" w:rsidP="00B0794B">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Prihodi od poreza na potrošnju (općinski porez) (6142) su ostvareni u iznosu </w:t>
      </w:r>
      <w:r w:rsidR="00A3111B">
        <w:rPr>
          <w:rFonts w:ascii="Arial" w:eastAsia="Times New Roman" w:hAnsi="Arial" w:cs="Arial"/>
          <w:iCs/>
          <w:lang w:eastAsia="en-US"/>
        </w:rPr>
        <w:t>335.669,39</w:t>
      </w:r>
      <w:r w:rsidRPr="003A2F86">
        <w:rPr>
          <w:rFonts w:ascii="Arial" w:eastAsia="Times New Roman" w:hAnsi="Arial" w:cs="Arial"/>
          <w:iCs/>
          <w:lang w:eastAsia="en-US"/>
        </w:rPr>
        <w:t xml:space="preserve"> € što je </w:t>
      </w:r>
      <w:r w:rsidR="00A3111B">
        <w:rPr>
          <w:rFonts w:ascii="Arial" w:eastAsia="Times New Roman" w:hAnsi="Arial" w:cs="Arial"/>
          <w:iCs/>
          <w:lang w:eastAsia="en-US"/>
        </w:rPr>
        <w:t>više</w:t>
      </w:r>
      <w:r w:rsidRPr="003A2F86">
        <w:rPr>
          <w:rFonts w:ascii="Arial" w:eastAsia="Times New Roman" w:hAnsi="Arial" w:cs="Arial"/>
          <w:iCs/>
          <w:lang w:eastAsia="en-US"/>
        </w:rPr>
        <w:t xml:space="preserve"> za </w:t>
      </w:r>
      <w:r w:rsidR="00A3111B">
        <w:rPr>
          <w:rFonts w:ascii="Arial" w:eastAsia="Times New Roman" w:hAnsi="Arial" w:cs="Arial"/>
          <w:iCs/>
          <w:lang w:eastAsia="en-US"/>
        </w:rPr>
        <w:t>52.250,22</w:t>
      </w:r>
      <w:r w:rsidRPr="003A2F86">
        <w:rPr>
          <w:rFonts w:ascii="Arial" w:eastAsia="Times New Roman" w:hAnsi="Arial" w:cs="Arial"/>
          <w:iCs/>
          <w:lang w:eastAsia="en-US"/>
        </w:rPr>
        <w:t xml:space="preserve"> </w:t>
      </w:r>
      <w:r w:rsidR="009757B5" w:rsidRPr="003A2F86">
        <w:rPr>
          <w:rFonts w:ascii="Arial" w:eastAsia="Times New Roman" w:hAnsi="Arial" w:cs="Arial"/>
          <w:iCs/>
          <w:lang w:eastAsia="en-US"/>
        </w:rPr>
        <w:t xml:space="preserve">€ ili </w:t>
      </w:r>
      <w:r w:rsidR="00A3111B">
        <w:rPr>
          <w:rFonts w:ascii="Arial" w:eastAsia="Times New Roman" w:hAnsi="Arial" w:cs="Arial"/>
          <w:iCs/>
          <w:lang w:eastAsia="en-US"/>
        </w:rPr>
        <w:t>18,4</w:t>
      </w:r>
      <w:r w:rsidR="009201B0" w:rsidRPr="003A2F86">
        <w:rPr>
          <w:rFonts w:ascii="Arial" w:eastAsia="Times New Roman" w:hAnsi="Arial" w:cs="Arial"/>
          <w:iCs/>
          <w:lang w:eastAsia="en-US"/>
        </w:rPr>
        <w:t>%</w:t>
      </w:r>
      <w:r w:rsidRPr="003A2F86">
        <w:rPr>
          <w:rFonts w:ascii="Arial" w:eastAsia="Times New Roman" w:hAnsi="Arial" w:cs="Arial"/>
          <w:iCs/>
          <w:lang w:eastAsia="en-US"/>
        </w:rPr>
        <w:t xml:space="preserve"> u odnosu na prethodnu godinu.</w:t>
      </w:r>
    </w:p>
    <w:p w14:paraId="3A58A96B" w14:textId="72990430" w:rsidR="00F70689" w:rsidRPr="003A2F86" w:rsidRDefault="00F70689" w:rsidP="00BD3037">
      <w:pPr>
        <w:pStyle w:val="Opisslike"/>
        <w:rPr>
          <w:rFonts w:ascii="Arial" w:hAnsi="Arial" w:cs="Arial"/>
        </w:rPr>
      </w:pPr>
      <w:bookmarkStart w:id="90" w:name="_Toc232981570"/>
      <w:bookmarkEnd w:id="88"/>
      <w:bookmarkEnd w:id="89"/>
      <w:r w:rsidRPr="003A2F86">
        <w:rPr>
          <w:color w:val="FF0000"/>
        </w:rPr>
        <w:t xml:space="preserve">Graf </w:t>
      </w:r>
      <w:r w:rsidRPr="003A2F86">
        <w:rPr>
          <w:color w:val="FF0000"/>
        </w:rPr>
        <w:fldChar w:fldCharType="begin"/>
      </w:r>
      <w:r w:rsidRPr="003A2F86">
        <w:rPr>
          <w:color w:val="FF0000"/>
        </w:rPr>
        <w:instrText xml:space="preserve"> SEQ Graf \* ARABIC </w:instrText>
      </w:r>
      <w:r w:rsidRPr="003A2F86">
        <w:rPr>
          <w:color w:val="FF0000"/>
        </w:rPr>
        <w:fldChar w:fldCharType="separate"/>
      </w:r>
      <w:r w:rsidR="00A821D8">
        <w:rPr>
          <w:noProof/>
          <w:color w:val="FF0000"/>
        </w:rPr>
        <w:t>10</w:t>
      </w:r>
      <w:r w:rsidRPr="003A2F86">
        <w:rPr>
          <w:color w:val="FF0000"/>
        </w:rPr>
        <w:fldChar w:fldCharType="end"/>
      </w:r>
      <w:r w:rsidRPr="003A2F86">
        <w:rPr>
          <w:color w:val="FF0000"/>
        </w:rPr>
        <w:t xml:space="preserve">.: </w:t>
      </w:r>
      <w:r w:rsidRPr="003A2F86">
        <w:rPr>
          <w:rFonts w:ascii="Arial" w:hAnsi="Arial" w:cs="Arial"/>
        </w:rPr>
        <w:t>Struktura ostvarenih prihoda od poreza (61) u 20</w:t>
      </w:r>
      <w:r w:rsidR="00FC4F4E" w:rsidRPr="003A2F86">
        <w:rPr>
          <w:rFonts w:ascii="Arial" w:hAnsi="Arial" w:cs="Arial"/>
        </w:rPr>
        <w:t>2</w:t>
      </w:r>
      <w:r w:rsidR="00904876">
        <w:rPr>
          <w:rFonts w:ascii="Arial" w:hAnsi="Arial" w:cs="Arial"/>
        </w:rPr>
        <w:t>5</w:t>
      </w:r>
      <w:r w:rsidRPr="003A2F86">
        <w:rPr>
          <w:rFonts w:ascii="Arial" w:hAnsi="Arial" w:cs="Arial"/>
        </w:rPr>
        <w:t>.</w:t>
      </w:r>
      <w:r w:rsidR="003C4737" w:rsidRPr="003A2F86">
        <w:rPr>
          <w:rFonts w:ascii="Arial" w:hAnsi="Arial" w:cs="Arial"/>
        </w:rPr>
        <w:t xml:space="preserve"> (€)</w:t>
      </w:r>
      <w:bookmarkEnd w:id="90"/>
    </w:p>
    <w:p w14:paraId="766836A0" w14:textId="77777777" w:rsidR="00891119" w:rsidRPr="003A2F86" w:rsidRDefault="00891119" w:rsidP="007963E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center"/>
        <w:rPr>
          <w:rFonts w:ascii="Arial" w:eastAsia="Times New Roman" w:hAnsi="Arial" w:cs="Arial"/>
        </w:rPr>
      </w:pPr>
      <w:r w:rsidRPr="003A2F86">
        <w:rPr>
          <w:rFonts w:ascii="Arial" w:eastAsia="Times New Roman" w:hAnsi="Arial" w:cs="Arial"/>
          <w:noProof/>
          <w:color w:val="FF0000"/>
        </w:rPr>
        <w:drawing>
          <wp:inline distT="0" distB="0" distL="0" distR="0" wp14:anchorId="6EC25814" wp14:editId="312A9E02">
            <wp:extent cx="7673645" cy="2275942"/>
            <wp:effectExtent l="0" t="0" r="3810" b="10160"/>
            <wp:docPr id="22" name="Grafikon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AE569A0" w14:textId="77777777" w:rsidR="00281E75" w:rsidRPr="003A2F86" w:rsidRDefault="00281E75" w:rsidP="007963E6">
      <w:pPr>
        <w:spacing w:after="0" w:line="240" w:lineRule="auto"/>
        <w:rPr>
          <w:lang w:eastAsia="en-US"/>
        </w:rPr>
      </w:pPr>
      <w:bookmarkStart w:id="91" w:name="_Hlk77837043"/>
    </w:p>
    <w:p w14:paraId="08F7AE18" w14:textId="77777777" w:rsidR="00C50076" w:rsidRPr="003A2F86" w:rsidRDefault="00C50076" w:rsidP="007963E6">
      <w:pPr>
        <w:spacing w:after="0" w:line="240" w:lineRule="auto"/>
        <w:rPr>
          <w:lang w:eastAsia="en-US"/>
        </w:rPr>
      </w:pPr>
    </w:p>
    <w:p w14:paraId="10EE0418" w14:textId="77777777" w:rsidR="00C50076" w:rsidRPr="003A2F86" w:rsidRDefault="00C50076" w:rsidP="007963E6">
      <w:pPr>
        <w:spacing w:after="0" w:line="240" w:lineRule="auto"/>
        <w:rPr>
          <w:sz w:val="14"/>
          <w:szCs w:val="14"/>
          <w:lang w:eastAsia="en-US"/>
        </w:rPr>
      </w:pPr>
    </w:p>
    <w:p w14:paraId="0FC90A3D" w14:textId="1861147C" w:rsidR="00F70689" w:rsidRPr="003A2F86" w:rsidRDefault="00F70689" w:rsidP="00F70689">
      <w:pPr>
        <w:pStyle w:val="Opisslike"/>
        <w:rPr>
          <w:rFonts w:ascii="Arial" w:hAnsi="Arial" w:cs="Arial"/>
        </w:rPr>
      </w:pPr>
      <w:bookmarkStart w:id="92" w:name="_Toc232981571"/>
      <w:r w:rsidRPr="003A2F86">
        <w:rPr>
          <w:color w:val="FF0000"/>
        </w:rPr>
        <w:t xml:space="preserve">Graf </w:t>
      </w:r>
      <w:r w:rsidRPr="003A2F86">
        <w:rPr>
          <w:color w:val="FF0000"/>
        </w:rPr>
        <w:fldChar w:fldCharType="begin"/>
      </w:r>
      <w:r w:rsidRPr="003A2F86">
        <w:rPr>
          <w:color w:val="FF0000"/>
        </w:rPr>
        <w:instrText xml:space="preserve"> SEQ Graf \* ARABIC </w:instrText>
      </w:r>
      <w:r w:rsidRPr="003A2F86">
        <w:rPr>
          <w:color w:val="FF0000"/>
        </w:rPr>
        <w:fldChar w:fldCharType="separate"/>
      </w:r>
      <w:r w:rsidR="00A821D8">
        <w:rPr>
          <w:noProof/>
          <w:color w:val="FF0000"/>
        </w:rPr>
        <w:t>11</w:t>
      </w:r>
      <w:r w:rsidRPr="003A2F86">
        <w:rPr>
          <w:color w:val="FF0000"/>
        </w:rPr>
        <w:fldChar w:fldCharType="end"/>
      </w:r>
      <w:r w:rsidRPr="003A2F86">
        <w:t xml:space="preserve">.: </w:t>
      </w:r>
      <w:r w:rsidRPr="003A2F86">
        <w:rPr>
          <w:rFonts w:ascii="Arial" w:hAnsi="Arial" w:cs="Arial"/>
        </w:rPr>
        <w:t>Prihodi od poreza i prireza na dohodak (611) u razdoblju 2010.-20</w:t>
      </w:r>
      <w:r w:rsidR="00241503" w:rsidRPr="003A2F86">
        <w:rPr>
          <w:rFonts w:ascii="Arial" w:hAnsi="Arial" w:cs="Arial"/>
        </w:rPr>
        <w:t>2</w:t>
      </w:r>
      <w:r w:rsidR="00B007A3">
        <w:rPr>
          <w:rFonts w:ascii="Arial" w:hAnsi="Arial" w:cs="Arial"/>
        </w:rPr>
        <w:t>5</w:t>
      </w:r>
      <w:r w:rsidR="009201B0" w:rsidRPr="003A2F86">
        <w:rPr>
          <w:rFonts w:ascii="Arial" w:hAnsi="Arial" w:cs="Arial"/>
        </w:rPr>
        <w:t>.</w:t>
      </w:r>
      <w:r w:rsidR="005E739B" w:rsidRPr="003A2F86">
        <w:rPr>
          <w:rFonts w:ascii="Arial" w:hAnsi="Arial" w:cs="Arial"/>
        </w:rPr>
        <w:t xml:space="preserve"> (€)</w:t>
      </w:r>
      <w:bookmarkEnd w:id="92"/>
    </w:p>
    <w:p w14:paraId="2E9A748B" w14:textId="77777777" w:rsidR="00023F91" w:rsidRPr="003A2F86" w:rsidRDefault="00023F91" w:rsidP="00023F91">
      <w:pPr>
        <w:spacing w:after="0" w:line="240" w:lineRule="auto"/>
        <w:jc w:val="center"/>
        <w:rPr>
          <w:rFonts w:ascii="Arial" w:eastAsia="Times New Roman" w:hAnsi="Arial" w:cs="Arial"/>
          <w:i/>
          <w:iCs/>
          <w:lang w:eastAsia="en-US"/>
        </w:rPr>
      </w:pPr>
      <w:r w:rsidRPr="003A2F86">
        <w:rPr>
          <w:rFonts w:ascii="Arial" w:eastAsia="Times New Roman" w:hAnsi="Arial" w:cs="Arial"/>
          <w:i/>
          <w:iCs/>
          <w:noProof/>
          <w:color w:val="FF0000"/>
        </w:rPr>
        <w:drawing>
          <wp:inline distT="0" distB="0" distL="0" distR="0" wp14:anchorId="66C54607" wp14:editId="58AB4B53">
            <wp:extent cx="8503920" cy="3381375"/>
            <wp:effectExtent l="0" t="0" r="11430" b="9525"/>
            <wp:docPr id="12" name="Grafiko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785EBBE" w14:textId="77777777" w:rsidR="006924DE" w:rsidRPr="003A2F86" w:rsidRDefault="006924DE" w:rsidP="00891119">
      <w:pPr>
        <w:spacing w:after="0" w:line="240" w:lineRule="auto"/>
        <w:jc w:val="both"/>
        <w:rPr>
          <w:rFonts w:ascii="Arial" w:eastAsia="Times New Roman" w:hAnsi="Arial" w:cs="Arial"/>
          <w:i/>
          <w:iCs/>
          <w:sz w:val="20"/>
          <w:szCs w:val="20"/>
          <w:lang w:eastAsia="en-US"/>
        </w:rPr>
      </w:pPr>
    </w:p>
    <w:p w14:paraId="7675BCAE" w14:textId="05ED2A7F" w:rsidR="00891119" w:rsidRPr="003A2F86" w:rsidRDefault="00891119" w:rsidP="00891119">
      <w:pPr>
        <w:spacing w:after="0" w:line="240" w:lineRule="auto"/>
        <w:jc w:val="both"/>
        <w:rPr>
          <w:rFonts w:ascii="Arial" w:eastAsia="Times New Roman" w:hAnsi="Arial" w:cs="Arial"/>
          <w:i/>
          <w:iCs/>
          <w:lang w:eastAsia="en-US"/>
        </w:rPr>
      </w:pPr>
      <w:r w:rsidRPr="003A2F86">
        <w:rPr>
          <w:rFonts w:ascii="Arial" w:eastAsia="Times New Roman" w:hAnsi="Arial" w:cs="Arial"/>
          <w:i/>
          <w:iCs/>
          <w:lang w:eastAsia="en-US"/>
        </w:rPr>
        <w:t>*Usporedba:</w:t>
      </w:r>
    </w:p>
    <w:tbl>
      <w:tblPr>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223"/>
        <w:gridCol w:w="1559"/>
        <w:gridCol w:w="1276"/>
        <w:gridCol w:w="9833"/>
      </w:tblGrid>
      <w:tr w:rsidR="008658C8" w:rsidRPr="003A2F86" w14:paraId="3698E929" w14:textId="77777777" w:rsidTr="000C0282">
        <w:trPr>
          <w:jc w:val="center"/>
        </w:trPr>
        <w:tc>
          <w:tcPr>
            <w:tcW w:w="846" w:type="dxa"/>
            <w:tcBorders>
              <w:right w:val="nil"/>
            </w:tcBorders>
            <w:vAlign w:val="center"/>
          </w:tcPr>
          <w:p w14:paraId="1DD4444B" w14:textId="77777777" w:rsidR="003A2156" w:rsidRPr="003A2F86" w:rsidRDefault="003A2156" w:rsidP="00891119">
            <w:pPr>
              <w:spacing w:after="0" w:line="240" w:lineRule="auto"/>
              <w:jc w:val="center"/>
              <w:rPr>
                <w:rFonts w:ascii="Arial" w:eastAsia="Times New Roman" w:hAnsi="Arial" w:cs="Arial"/>
                <w:b/>
                <w:i/>
                <w:iCs/>
                <w:sz w:val="16"/>
                <w:szCs w:val="16"/>
                <w:lang w:eastAsia="en-US"/>
              </w:rPr>
            </w:pPr>
          </w:p>
        </w:tc>
        <w:tc>
          <w:tcPr>
            <w:tcW w:w="4058" w:type="dxa"/>
            <w:gridSpan w:val="3"/>
            <w:tcBorders>
              <w:left w:val="nil"/>
              <w:right w:val="nil"/>
            </w:tcBorders>
          </w:tcPr>
          <w:p w14:paraId="734CA611" w14:textId="77777777" w:rsidR="003A2156" w:rsidRPr="003A2F86" w:rsidRDefault="003A2156" w:rsidP="00891119">
            <w:pPr>
              <w:spacing w:after="0" w:line="240" w:lineRule="auto"/>
              <w:jc w:val="center"/>
              <w:rPr>
                <w:rFonts w:ascii="Arial" w:eastAsia="Times New Roman" w:hAnsi="Arial" w:cs="Arial"/>
                <w:b/>
                <w:i/>
                <w:iCs/>
                <w:sz w:val="16"/>
                <w:szCs w:val="16"/>
                <w:lang w:eastAsia="en-US"/>
              </w:rPr>
            </w:pPr>
          </w:p>
        </w:tc>
        <w:tc>
          <w:tcPr>
            <w:tcW w:w="9833" w:type="dxa"/>
            <w:tcBorders>
              <w:left w:val="nil"/>
            </w:tcBorders>
            <w:vAlign w:val="center"/>
          </w:tcPr>
          <w:p w14:paraId="5E8BDC8D" w14:textId="77777777" w:rsidR="003A2156" w:rsidRPr="003A2F86" w:rsidRDefault="003A2156" w:rsidP="00232BCA">
            <w:pPr>
              <w:spacing w:after="0" w:line="240" w:lineRule="auto"/>
              <w:jc w:val="center"/>
              <w:rPr>
                <w:rFonts w:ascii="Arial" w:eastAsia="Times New Roman" w:hAnsi="Arial" w:cs="Arial"/>
                <w:b/>
                <w:i/>
                <w:iCs/>
                <w:sz w:val="16"/>
                <w:szCs w:val="16"/>
                <w:lang w:eastAsia="en-US"/>
              </w:rPr>
            </w:pPr>
            <w:r w:rsidRPr="003A2F86">
              <w:rPr>
                <w:rFonts w:ascii="Arial" w:eastAsia="Times New Roman" w:hAnsi="Arial" w:cs="Arial"/>
                <w:b/>
                <w:i/>
                <w:iCs/>
                <w:sz w:val="16"/>
                <w:szCs w:val="16"/>
                <w:lang w:eastAsia="en-US"/>
              </w:rPr>
              <w:t>Prihod od poreza i prireza na dohodak (</w:t>
            </w:r>
            <w:r w:rsidRPr="003A2F86">
              <w:rPr>
                <w:rFonts w:ascii="Arial" w:eastAsia="Times New Roman" w:hAnsi="Arial" w:cs="Arial"/>
                <w:b/>
                <w:i/>
                <w:iCs/>
                <w:color w:val="FF0000"/>
                <w:sz w:val="16"/>
                <w:szCs w:val="16"/>
                <w:lang w:eastAsia="en-US"/>
              </w:rPr>
              <w:t>611</w:t>
            </w:r>
            <w:r w:rsidRPr="003A2F86">
              <w:rPr>
                <w:rFonts w:ascii="Arial" w:eastAsia="Times New Roman" w:hAnsi="Arial" w:cs="Arial"/>
                <w:b/>
                <w:i/>
                <w:iCs/>
                <w:sz w:val="16"/>
                <w:szCs w:val="16"/>
                <w:lang w:eastAsia="en-US"/>
              </w:rPr>
              <w:t>)</w:t>
            </w:r>
          </w:p>
        </w:tc>
      </w:tr>
      <w:tr w:rsidR="008658C8" w:rsidRPr="003A2F86" w14:paraId="5BB7F117" w14:textId="77777777" w:rsidTr="000C0282">
        <w:trPr>
          <w:jc w:val="center"/>
        </w:trPr>
        <w:tc>
          <w:tcPr>
            <w:tcW w:w="846" w:type="dxa"/>
            <w:vMerge w:val="restart"/>
            <w:tcMar>
              <w:left w:w="0" w:type="dxa"/>
              <w:right w:w="0" w:type="dxa"/>
            </w:tcMar>
            <w:vAlign w:val="center"/>
          </w:tcPr>
          <w:p w14:paraId="23359EDE" w14:textId="77777777" w:rsidR="003A2156" w:rsidRPr="003A2F86" w:rsidRDefault="003A2156" w:rsidP="0077686B">
            <w:pPr>
              <w:spacing w:after="0" w:line="240" w:lineRule="auto"/>
              <w:jc w:val="center"/>
              <w:rPr>
                <w:rFonts w:ascii="Arial" w:eastAsia="Times New Roman" w:hAnsi="Arial" w:cs="Arial"/>
                <w:b/>
                <w:i/>
                <w:iCs/>
                <w:sz w:val="16"/>
                <w:szCs w:val="16"/>
                <w:lang w:eastAsia="en-US"/>
              </w:rPr>
            </w:pPr>
            <w:r w:rsidRPr="003A2F86">
              <w:rPr>
                <w:rFonts w:ascii="Arial" w:eastAsia="Times New Roman" w:hAnsi="Arial" w:cs="Arial"/>
                <w:b/>
                <w:i/>
                <w:iCs/>
                <w:sz w:val="16"/>
                <w:szCs w:val="16"/>
                <w:lang w:eastAsia="en-US"/>
              </w:rPr>
              <w:t>Godina</w:t>
            </w:r>
          </w:p>
        </w:tc>
        <w:tc>
          <w:tcPr>
            <w:tcW w:w="4058" w:type="dxa"/>
            <w:gridSpan w:val="3"/>
            <w:tcMar>
              <w:left w:w="0" w:type="dxa"/>
              <w:right w:w="0" w:type="dxa"/>
            </w:tcMar>
          </w:tcPr>
          <w:p w14:paraId="5B1C5D60" w14:textId="0CCAD671" w:rsidR="003A2156" w:rsidRPr="003A2F86" w:rsidRDefault="003A2156" w:rsidP="006934C9">
            <w:pPr>
              <w:spacing w:after="0" w:line="240" w:lineRule="auto"/>
              <w:jc w:val="center"/>
              <w:rPr>
                <w:rFonts w:ascii="Arial" w:eastAsia="Times New Roman" w:hAnsi="Arial" w:cs="Arial"/>
                <w:b/>
                <w:i/>
                <w:iCs/>
                <w:sz w:val="16"/>
                <w:szCs w:val="16"/>
                <w:lang w:eastAsia="en-US"/>
              </w:rPr>
            </w:pPr>
            <w:r w:rsidRPr="003A2F86">
              <w:rPr>
                <w:rFonts w:ascii="Arial" w:eastAsia="Times New Roman" w:hAnsi="Arial" w:cs="Arial"/>
                <w:b/>
                <w:i/>
                <w:iCs/>
                <w:sz w:val="16"/>
                <w:szCs w:val="16"/>
                <w:lang w:eastAsia="en-US"/>
              </w:rPr>
              <w:t xml:space="preserve">Iznos </w:t>
            </w:r>
            <w:r w:rsidRPr="003A2F86">
              <w:rPr>
                <w:rFonts w:ascii="Arial" w:eastAsia="Times New Roman" w:hAnsi="Arial" w:cs="Arial"/>
                <w:b/>
                <w:i/>
                <w:iCs/>
                <w:color w:val="FF0000"/>
                <w:sz w:val="16"/>
                <w:szCs w:val="16"/>
                <w:lang w:eastAsia="en-US"/>
              </w:rPr>
              <w:t>(</w:t>
            </w:r>
            <w:r w:rsidR="000C0282" w:rsidRPr="003A2F86">
              <w:rPr>
                <w:rFonts w:ascii="Arial" w:eastAsia="Times New Roman" w:hAnsi="Arial" w:cs="Arial"/>
                <w:b/>
                <w:i/>
                <w:iCs/>
                <w:color w:val="FF0000"/>
                <w:sz w:val="16"/>
                <w:szCs w:val="16"/>
                <w:lang w:eastAsia="en-US"/>
              </w:rPr>
              <w:t>€</w:t>
            </w:r>
            <w:r w:rsidRPr="003A2F86">
              <w:rPr>
                <w:rFonts w:ascii="Arial" w:eastAsia="Times New Roman" w:hAnsi="Arial" w:cs="Arial"/>
                <w:b/>
                <w:i/>
                <w:iCs/>
                <w:color w:val="FF0000"/>
                <w:sz w:val="16"/>
                <w:szCs w:val="16"/>
                <w:lang w:eastAsia="en-US"/>
              </w:rPr>
              <w:t>)</w:t>
            </w:r>
          </w:p>
        </w:tc>
        <w:tc>
          <w:tcPr>
            <w:tcW w:w="9833" w:type="dxa"/>
            <w:vAlign w:val="center"/>
          </w:tcPr>
          <w:p w14:paraId="6A370496" w14:textId="77777777" w:rsidR="003A2156" w:rsidRPr="003A2F86" w:rsidRDefault="003A2156" w:rsidP="00891119">
            <w:pPr>
              <w:spacing w:after="0" w:line="240" w:lineRule="auto"/>
              <w:jc w:val="center"/>
              <w:rPr>
                <w:rFonts w:ascii="Arial" w:eastAsia="Times New Roman" w:hAnsi="Arial" w:cs="Arial"/>
                <w:b/>
                <w:i/>
                <w:iCs/>
                <w:sz w:val="16"/>
                <w:szCs w:val="16"/>
                <w:lang w:eastAsia="en-US"/>
              </w:rPr>
            </w:pPr>
          </w:p>
        </w:tc>
      </w:tr>
      <w:tr w:rsidR="008658C8" w:rsidRPr="003A2F86" w14:paraId="639CCBE6" w14:textId="77777777" w:rsidTr="000C0282">
        <w:trPr>
          <w:jc w:val="center"/>
        </w:trPr>
        <w:tc>
          <w:tcPr>
            <w:tcW w:w="846" w:type="dxa"/>
            <w:vMerge/>
            <w:tcMar>
              <w:left w:w="0" w:type="dxa"/>
              <w:right w:w="0" w:type="dxa"/>
            </w:tcMar>
            <w:vAlign w:val="center"/>
          </w:tcPr>
          <w:p w14:paraId="3AA8F033" w14:textId="77777777" w:rsidR="003A2156" w:rsidRPr="003A2F86" w:rsidRDefault="003A2156" w:rsidP="0077686B">
            <w:pPr>
              <w:spacing w:after="0" w:line="240" w:lineRule="auto"/>
              <w:jc w:val="center"/>
              <w:rPr>
                <w:rFonts w:ascii="Arial" w:eastAsia="Times New Roman" w:hAnsi="Arial" w:cs="Arial"/>
                <w:b/>
                <w:i/>
                <w:iCs/>
                <w:sz w:val="16"/>
                <w:szCs w:val="16"/>
                <w:lang w:eastAsia="en-US"/>
              </w:rPr>
            </w:pPr>
          </w:p>
        </w:tc>
        <w:tc>
          <w:tcPr>
            <w:tcW w:w="1223" w:type="dxa"/>
            <w:tcMar>
              <w:left w:w="0" w:type="dxa"/>
              <w:right w:w="0" w:type="dxa"/>
            </w:tcMar>
            <w:vAlign w:val="center"/>
          </w:tcPr>
          <w:p w14:paraId="7E139D21" w14:textId="77777777" w:rsidR="0053028F" w:rsidRPr="003A2F86" w:rsidRDefault="003A2156" w:rsidP="003A2156">
            <w:pPr>
              <w:spacing w:after="0" w:line="240" w:lineRule="auto"/>
              <w:jc w:val="center"/>
              <w:rPr>
                <w:rFonts w:ascii="Arial" w:eastAsia="Times New Roman" w:hAnsi="Arial" w:cs="Arial"/>
                <w:b/>
                <w:i/>
                <w:iCs/>
                <w:sz w:val="16"/>
                <w:szCs w:val="16"/>
                <w:lang w:eastAsia="en-US"/>
              </w:rPr>
            </w:pPr>
            <w:r w:rsidRPr="003A2F86">
              <w:rPr>
                <w:rFonts w:ascii="Arial" w:eastAsia="Times New Roman" w:hAnsi="Arial" w:cs="Arial"/>
                <w:b/>
                <w:i/>
                <w:iCs/>
                <w:sz w:val="16"/>
                <w:szCs w:val="16"/>
                <w:lang w:eastAsia="en-US"/>
              </w:rPr>
              <w:t>iznos prireza</w:t>
            </w:r>
          </w:p>
          <w:p w14:paraId="517FFB91" w14:textId="77777777" w:rsidR="003A2156" w:rsidRPr="003A2F86" w:rsidRDefault="0053028F" w:rsidP="003A2156">
            <w:pPr>
              <w:spacing w:after="0" w:line="240" w:lineRule="auto"/>
              <w:jc w:val="center"/>
              <w:rPr>
                <w:rFonts w:ascii="Arial" w:eastAsia="Times New Roman" w:hAnsi="Arial" w:cs="Arial"/>
                <w:b/>
                <w:i/>
                <w:iCs/>
                <w:sz w:val="16"/>
                <w:szCs w:val="16"/>
                <w:lang w:eastAsia="en-US"/>
              </w:rPr>
            </w:pPr>
            <w:r w:rsidRPr="003A2F86">
              <w:rPr>
                <w:rFonts w:ascii="Arial" w:eastAsia="Times New Roman" w:hAnsi="Arial" w:cs="Arial"/>
                <w:b/>
                <w:i/>
                <w:iCs/>
                <w:sz w:val="16"/>
                <w:szCs w:val="16"/>
                <w:lang w:eastAsia="en-US"/>
              </w:rPr>
              <w:t>(dio stupca 4)</w:t>
            </w:r>
            <w:r w:rsidR="003A2156" w:rsidRPr="003A2F86">
              <w:rPr>
                <w:rFonts w:ascii="Arial" w:eastAsia="Times New Roman" w:hAnsi="Arial" w:cs="Arial"/>
                <w:b/>
                <w:i/>
                <w:iCs/>
                <w:sz w:val="16"/>
                <w:szCs w:val="16"/>
                <w:lang w:eastAsia="en-US"/>
              </w:rPr>
              <w:t xml:space="preserve"> </w:t>
            </w:r>
          </w:p>
        </w:tc>
        <w:tc>
          <w:tcPr>
            <w:tcW w:w="1559" w:type="dxa"/>
            <w:tcMar>
              <w:left w:w="0" w:type="dxa"/>
              <w:right w:w="0" w:type="dxa"/>
            </w:tcMar>
            <w:vAlign w:val="center"/>
          </w:tcPr>
          <w:p w14:paraId="35E2B7D4" w14:textId="77777777" w:rsidR="003A2156" w:rsidRPr="003A2F86" w:rsidRDefault="003A2156" w:rsidP="00232BCA">
            <w:pPr>
              <w:spacing w:after="0" w:line="240" w:lineRule="auto"/>
              <w:jc w:val="center"/>
              <w:rPr>
                <w:rFonts w:ascii="Arial" w:eastAsia="Times New Roman" w:hAnsi="Arial" w:cs="Arial"/>
                <w:b/>
                <w:i/>
                <w:iCs/>
                <w:sz w:val="16"/>
                <w:szCs w:val="16"/>
                <w:lang w:eastAsia="en-US"/>
              </w:rPr>
            </w:pPr>
            <w:r w:rsidRPr="003A2F86">
              <w:rPr>
                <w:rFonts w:ascii="Arial" w:eastAsia="Times New Roman" w:hAnsi="Arial" w:cs="Arial"/>
                <w:b/>
                <w:i/>
                <w:iCs/>
                <w:sz w:val="16"/>
                <w:szCs w:val="16"/>
                <w:lang w:eastAsia="en-US"/>
              </w:rPr>
              <w:t xml:space="preserve">Iznos </w:t>
            </w:r>
            <w:r w:rsidR="0053028F" w:rsidRPr="003A2F86">
              <w:rPr>
                <w:rFonts w:ascii="Arial" w:eastAsia="Times New Roman" w:hAnsi="Arial" w:cs="Arial"/>
                <w:b/>
                <w:i/>
                <w:iCs/>
                <w:sz w:val="16"/>
                <w:szCs w:val="16"/>
                <w:lang w:eastAsia="en-US"/>
              </w:rPr>
              <w:t xml:space="preserve">dijela poreza </w:t>
            </w:r>
            <w:r w:rsidRPr="003A2F86">
              <w:rPr>
                <w:rFonts w:ascii="Arial" w:eastAsia="Times New Roman" w:hAnsi="Arial" w:cs="Arial"/>
                <w:b/>
                <w:i/>
                <w:iCs/>
                <w:sz w:val="16"/>
                <w:szCs w:val="16"/>
                <w:lang w:eastAsia="en-US"/>
              </w:rPr>
              <w:t>ustupljenog za vatrogastvo</w:t>
            </w:r>
          </w:p>
          <w:p w14:paraId="55B304CC" w14:textId="77777777" w:rsidR="0053028F" w:rsidRPr="003A2F86" w:rsidRDefault="0053028F" w:rsidP="00232BCA">
            <w:pPr>
              <w:spacing w:after="0" w:line="240" w:lineRule="auto"/>
              <w:jc w:val="center"/>
              <w:rPr>
                <w:rFonts w:ascii="Arial" w:eastAsia="Times New Roman" w:hAnsi="Arial" w:cs="Arial"/>
                <w:b/>
                <w:i/>
                <w:iCs/>
                <w:sz w:val="16"/>
                <w:szCs w:val="16"/>
                <w:lang w:eastAsia="en-US"/>
              </w:rPr>
            </w:pPr>
            <w:r w:rsidRPr="003A2F86">
              <w:rPr>
                <w:rFonts w:ascii="Arial" w:eastAsia="Times New Roman" w:hAnsi="Arial" w:cs="Arial"/>
                <w:b/>
                <w:i/>
                <w:iCs/>
                <w:sz w:val="16"/>
                <w:szCs w:val="16"/>
                <w:lang w:eastAsia="en-US"/>
              </w:rPr>
              <w:t>(dio stupca 4)</w:t>
            </w:r>
          </w:p>
        </w:tc>
        <w:tc>
          <w:tcPr>
            <w:tcW w:w="1276" w:type="dxa"/>
            <w:shd w:val="clear" w:color="auto" w:fill="F2F2F2" w:themeFill="background1" w:themeFillShade="F2"/>
            <w:tcMar>
              <w:left w:w="0" w:type="dxa"/>
              <w:right w:w="0" w:type="dxa"/>
            </w:tcMar>
            <w:vAlign w:val="center"/>
          </w:tcPr>
          <w:p w14:paraId="4FCBFC92" w14:textId="77777777" w:rsidR="003A2156" w:rsidRPr="003A2F86" w:rsidRDefault="00B3325F" w:rsidP="00B3325F">
            <w:pPr>
              <w:spacing w:after="0" w:line="240" w:lineRule="auto"/>
              <w:jc w:val="center"/>
              <w:rPr>
                <w:rFonts w:ascii="Arial" w:eastAsia="Times New Roman" w:hAnsi="Arial" w:cs="Arial"/>
                <w:b/>
                <w:i/>
                <w:iCs/>
                <w:sz w:val="16"/>
                <w:szCs w:val="16"/>
                <w:lang w:eastAsia="en-US"/>
              </w:rPr>
            </w:pPr>
            <w:r w:rsidRPr="003A2F86">
              <w:rPr>
                <w:rFonts w:ascii="Arial" w:eastAsia="Times New Roman" w:hAnsi="Arial" w:cs="Arial"/>
                <w:b/>
                <w:i/>
                <w:iCs/>
                <w:sz w:val="16"/>
                <w:szCs w:val="16"/>
                <w:lang w:eastAsia="en-US"/>
              </w:rPr>
              <w:t>Sveukupno</w:t>
            </w:r>
            <w:r w:rsidR="003A2156" w:rsidRPr="003A2F86">
              <w:rPr>
                <w:rFonts w:ascii="Arial" w:eastAsia="Times New Roman" w:hAnsi="Arial" w:cs="Arial"/>
                <w:b/>
                <w:i/>
                <w:iCs/>
                <w:sz w:val="16"/>
                <w:szCs w:val="16"/>
                <w:lang w:eastAsia="en-US"/>
              </w:rPr>
              <w:t xml:space="preserve"> porez i prirez</w:t>
            </w:r>
          </w:p>
        </w:tc>
        <w:tc>
          <w:tcPr>
            <w:tcW w:w="9833" w:type="dxa"/>
            <w:vAlign w:val="center"/>
          </w:tcPr>
          <w:p w14:paraId="5FA54D8C" w14:textId="77777777" w:rsidR="003A2156" w:rsidRPr="003A2F86" w:rsidRDefault="003A2156" w:rsidP="00891119">
            <w:pPr>
              <w:spacing w:after="0" w:line="240" w:lineRule="auto"/>
              <w:jc w:val="center"/>
              <w:rPr>
                <w:rFonts w:ascii="Arial" w:eastAsia="Times New Roman" w:hAnsi="Arial" w:cs="Arial"/>
                <w:b/>
                <w:i/>
                <w:iCs/>
                <w:sz w:val="16"/>
                <w:szCs w:val="16"/>
                <w:lang w:eastAsia="en-US"/>
              </w:rPr>
            </w:pPr>
            <w:r w:rsidRPr="003A2F86">
              <w:rPr>
                <w:rFonts w:ascii="Arial" w:eastAsia="Times New Roman" w:hAnsi="Arial" w:cs="Arial"/>
                <w:b/>
                <w:i/>
                <w:iCs/>
                <w:sz w:val="16"/>
                <w:szCs w:val="16"/>
                <w:lang w:eastAsia="en-US"/>
              </w:rPr>
              <w:t>Obrazloženje</w:t>
            </w:r>
          </w:p>
        </w:tc>
      </w:tr>
      <w:tr w:rsidR="008658C8" w:rsidRPr="003A2F86" w14:paraId="45518B05" w14:textId="77777777" w:rsidTr="000C0282">
        <w:trPr>
          <w:jc w:val="center"/>
        </w:trPr>
        <w:tc>
          <w:tcPr>
            <w:tcW w:w="846" w:type="dxa"/>
            <w:tcMar>
              <w:left w:w="57" w:type="dxa"/>
              <w:right w:w="57" w:type="dxa"/>
            </w:tcMar>
            <w:vAlign w:val="center"/>
          </w:tcPr>
          <w:p w14:paraId="114720CE" w14:textId="77777777" w:rsidR="0053028F" w:rsidRPr="003A2F86" w:rsidRDefault="0053028F" w:rsidP="0077686B">
            <w:pPr>
              <w:spacing w:after="0" w:line="240" w:lineRule="auto"/>
              <w:jc w:val="center"/>
              <w:rPr>
                <w:rFonts w:ascii="Arial" w:eastAsia="Times New Roman" w:hAnsi="Arial" w:cs="Arial"/>
                <w:i/>
                <w:iCs/>
                <w:sz w:val="16"/>
                <w:szCs w:val="16"/>
                <w:lang w:eastAsia="en-US"/>
              </w:rPr>
            </w:pPr>
            <w:r w:rsidRPr="003A2F86">
              <w:rPr>
                <w:rFonts w:ascii="Arial" w:eastAsia="Times New Roman" w:hAnsi="Arial" w:cs="Arial"/>
                <w:i/>
                <w:iCs/>
                <w:sz w:val="16"/>
                <w:szCs w:val="16"/>
                <w:lang w:eastAsia="en-US"/>
              </w:rPr>
              <w:t>1</w:t>
            </w:r>
          </w:p>
        </w:tc>
        <w:tc>
          <w:tcPr>
            <w:tcW w:w="1223" w:type="dxa"/>
            <w:tcMar>
              <w:left w:w="57" w:type="dxa"/>
              <w:right w:w="57" w:type="dxa"/>
            </w:tcMar>
            <w:vAlign w:val="center"/>
          </w:tcPr>
          <w:p w14:paraId="70C2480A" w14:textId="77777777" w:rsidR="0053028F" w:rsidRPr="003A2F86" w:rsidRDefault="0053028F" w:rsidP="0053028F">
            <w:pPr>
              <w:spacing w:after="0" w:line="240" w:lineRule="auto"/>
              <w:jc w:val="center"/>
              <w:rPr>
                <w:rFonts w:ascii="Arial" w:eastAsia="Times New Roman" w:hAnsi="Arial" w:cs="Arial"/>
                <w:i/>
                <w:iCs/>
                <w:sz w:val="16"/>
                <w:szCs w:val="16"/>
                <w:lang w:eastAsia="en-US"/>
              </w:rPr>
            </w:pPr>
            <w:r w:rsidRPr="003A2F86">
              <w:rPr>
                <w:rFonts w:ascii="Arial" w:eastAsia="Times New Roman" w:hAnsi="Arial" w:cs="Arial"/>
                <w:i/>
                <w:iCs/>
                <w:sz w:val="16"/>
                <w:szCs w:val="16"/>
                <w:lang w:eastAsia="en-US"/>
              </w:rPr>
              <w:t>2</w:t>
            </w:r>
          </w:p>
        </w:tc>
        <w:tc>
          <w:tcPr>
            <w:tcW w:w="1559" w:type="dxa"/>
            <w:tcMar>
              <w:left w:w="57" w:type="dxa"/>
              <w:right w:w="57" w:type="dxa"/>
            </w:tcMar>
            <w:vAlign w:val="center"/>
          </w:tcPr>
          <w:p w14:paraId="6852933A" w14:textId="77777777" w:rsidR="0053028F" w:rsidRPr="003A2F86" w:rsidRDefault="0053028F" w:rsidP="0053028F">
            <w:pPr>
              <w:spacing w:after="0" w:line="240" w:lineRule="auto"/>
              <w:jc w:val="center"/>
              <w:rPr>
                <w:rFonts w:ascii="Arial" w:eastAsia="Times New Roman" w:hAnsi="Arial" w:cs="Arial"/>
                <w:i/>
                <w:iCs/>
                <w:sz w:val="16"/>
                <w:szCs w:val="16"/>
                <w:lang w:eastAsia="en-US"/>
              </w:rPr>
            </w:pPr>
            <w:r w:rsidRPr="003A2F86">
              <w:rPr>
                <w:rFonts w:ascii="Arial" w:eastAsia="Times New Roman" w:hAnsi="Arial" w:cs="Arial"/>
                <w:i/>
                <w:iCs/>
                <w:sz w:val="16"/>
                <w:szCs w:val="16"/>
                <w:lang w:eastAsia="en-US"/>
              </w:rPr>
              <w:t>3</w:t>
            </w:r>
          </w:p>
        </w:tc>
        <w:tc>
          <w:tcPr>
            <w:tcW w:w="1276" w:type="dxa"/>
            <w:tcMar>
              <w:left w:w="57" w:type="dxa"/>
              <w:right w:w="57" w:type="dxa"/>
            </w:tcMar>
            <w:vAlign w:val="center"/>
          </w:tcPr>
          <w:p w14:paraId="42E711FB" w14:textId="77777777" w:rsidR="0053028F" w:rsidRPr="003A2F86" w:rsidRDefault="0053028F" w:rsidP="0053028F">
            <w:pPr>
              <w:spacing w:after="0" w:line="240" w:lineRule="auto"/>
              <w:jc w:val="center"/>
              <w:rPr>
                <w:rFonts w:ascii="Arial" w:eastAsia="Times New Roman" w:hAnsi="Arial" w:cs="Arial"/>
                <w:i/>
                <w:iCs/>
                <w:sz w:val="16"/>
                <w:szCs w:val="16"/>
                <w:lang w:eastAsia="en-US"/>
              </w:rPr>
            </w:pPr>
            <w:r w:rsidRPr="003A2F86">
              <w:rPr>
                <w:rFonts w:ascii="Arial" w:eastAsia="Times New Roman" w:hAnsi="Arial" w:cs="Arial"/>
                <w:i/>
                <w:iCs/>
                <w:sz w:val="16"/>
                <w:szCs w:val="16"/>
                <w:lang w:eastAsia="en-US"/>
              </w:rPr>
              <w:t>4</w:t>
            </w:r>
          </w:p>
        </w:tc>
        <w:tc>
          <w:tcPr>
            <w:tcW w:w="9833" w:type="dxa"/>
            <w:vAlign w:val="center"/>
          </w:tcPr>
          <w:p w14:paraId="35A991F7" w14:textId="77777777" w:rsidR="0053028F" w:rsidRPr="003A2F86" w:rsidRDefault="0053028F" w:rsidP="0053028F">
            <w:pPr>
              <w:spacing w:after="0" w:line="240" w:lineRule="auto"/>
              <w:jc w:val="center"/>
              <w:rPr>
                <w:rFonts w:ascii="Arial" w:eastAsia="Times New Roman" w:hAnsi="Arial" w:cs="Arial"/>
                <w:i/>
                <w:iCs/>
                <w:sz w:val="16"/>
                <w:szCs w:val="16"/>
                <w:lang w:eastAsia="en-US"/>
              </w:rPr>
            </w:pPr>
            <w:r w:rsidRPr="003A2F86">
              <w:rPr>
                <w:rFonts w:ascii="Arial" w:eastAsia="Times New Roman" w:hAnsi="Arial" w:cs="Arial"/>
                <w:i/>
                <w:iCs/>
                <w:sz w:val="16"/>
                <w:szCs w:val="16"/>
                <w:lang w:eastAsia="en-US"/>
              </w:rPr>
              <w:t>5</w:t>
            </w:r>
          </w:p>
        </w:tc>
      </w:tr>
      <w:tr w:rsidR="000C0282" w:rsidRPr="003A2F86" w14:paraId="69B6B16E" w14:textId="77777777" w:rsidTr="00A201FC">
        <w:trPr>
          <w:jc w:val="center"/>
        </w:trPr>
        <w:tc>
          <w:tcPr>
            <w:tcW w:w="846" w:type="dxa"/>
            <w:tcBorders>
              <w:top w:val="nil"/>
              <w:left w:val="single" w:sz="8" w:space="0" w:color="000000"/>
              <w:bottom w:val="single" w:sz="8" w:space="0" w:color="000000"/>
              <w:right w:val="single" w:sz="8" w:space="0" w:color="000000"/>
            </w:tcBorders>
            <w:tcMar>
              <w:left w:w="57" w:type="dxa"/>
              <w:right w:w="57" w:type="dxa"/>
            </w:tcMar>
            <w:vAlign w:val="center"/>
          </w:tcPr>
          <w:p w14:paraId="644F13EF" w14:textId="713A2DF1" w:rsidR="000C0282" w:rsidRPr="003A2F86" w:rsidRDefault="000C0282" w:rsidP="000C0282">
            <w:pPr>
              <w:spacing w:after="0" w:line="240" w:lineRule="auto"/>
              <w:jc w:val="center"/>
              <w:rPr>
                <w:rFonts w:ascii="Arial" w:eastAsia="Times New Roman" w:hAnsi="Arial" w:cs="Arial"/>
                <w:i/>
                <w:iCs/>
                <w:sz w:val="16"/>
                <w:szCs w:val="16"/>
              </w:rPr>
            </w:pPr>
            <w:r w:rsidRPr="003A2F86">
              <w:rPr>
                <w:rFonts w:ascii="Arial" w:hAnsi="Arial" w:cs="Arial"/>
                <w:sz w:val="16"/>
                <w:szCs w:val="16"/>
              </w:rPr>
              <w:t>2012.</w:t>
            </w:r>
          </w:p>
        </w:tc>
        <w:tc>
          <w:tcPr>
            <w:tcW w:w="1223" w:type="dxa"/>
            <w:tcBorders>
              <w:top w:val="nil"/>
              <w:left w:val="nil"/>
              <w:bottom w:val="single" w:sz="8" w:space="0" w:color="000000"/>
              <w:right w:val="single" w:sz="8" w:space="0" w:color="000000"/>
            </w:tcBorders>
            <w:tcMar>
              <w:left w:w="57" w:type="dxa"/>
              <w:right w:w="57" w:type="dxa"/>
            </w:tcMar>
            <w:vAlign w:val="center"/>
          </w:tcPr>
          <w:p w14:paraId="48BC9EDA" w14:textId="32F65EB5" w:rsidR="000C0282" w:rsidRPr="003A2F86" w:rsidRDefault="000C0282" w:rsidP="000C0282">
            <w:pPr>
              <w:spacing w:after="0" w:line="240" w:lineRule="auto"/>
              <w:jc w:val="right"/>
              <w:rPr>
                <w:rFonts w:ascii="Arial" w:eastAsia="Times New Roman" w:hAnsi="Arial" w:cs="Arial"/>
                <w:i/>
                <w:iCs/>
                <w:sz w:val="16"/>
                <w:szCs w:val="16"/>
              </w:rPr>
            </w:pPr>
            <w:r w:rsidRPr="003A2F86">
              <w:rPr>
                <w:rFonts w:ascii="Arial" w:hAnsi="Arial" w:cs="Arial"/>
                <w:sz w:val="16"/>
                <w:szCs w:val="16"/>
              </w:rPr>
              <w:t>x</w:t>
            </w:r>
          </w:p>
        </w:tc>
        <w:tc>
          <w:tcPr>
            <w:tcW w:w="1559" w:type="dxa"/>
            <w:tcBorders>
              <w:top w:val="nil"/>
              <w:left w:val="nil"/>
              <w:bottom w:val="single" w:sz="8" w:space="0" w:color="000000"/>
              <w:right w:val="single" w:sz="8" w:space="0" w:color="000000"/>
            </w:tcBorders>
            <w:tcMar>
              <w:left w:w="57" w:type="dxa"/>
              <w:right w:w="57" w:type="dxa"/>
            </w:tcMar>
            <w:vAlign w:val="center"/>
          </w:tcPr>
          <w:p w14:paraId="0726E1AC" w14:textId="6DC5DACC" w:rsidR="000C0282" w:rsidRPr="003A2F86" w:rsidRDefault="000C0282" w:rsidP="000C0282">
            <w:pPr>
              <w:spacing w:after="0" w:line="240" w:lineRule="auto"/>
              <w:jc w:val="right"/>
              <w:rPr>
                <w:rFonts w:ascii="Arial" w:eastAsia="Times New Roman" w:hAnsi="Arial" w:cs="Arial"/>
                <w:i/>
                <w:iCs/>
                <w:sz w:val="16"/>
                <w:szCs w:val="16"/>
              </w:rPr>
            </w:pPr>
            <w:r w:rsidRPr="003A2F86">
              <w:rPr>
                <w:rFonts w:ascii="Arial" w:hAnsi="Arial" w:cs="Arial"/>
                <w:sz w:val="16"/>
                <w:szCs w:val="16"/>
              </w:rPr>
              <w:t>x</w:t>
            </w:r>
          </w:p>
        </w:tc>
        <w:tc>
          <w:tcPr>
            <w:tcW w:w="1276" w:type="dxa"/>
            <w:tcBorders>
              <w:top w:val="nil"/>
              <w:left w:val="nil"/>
              <w:bottom w:val="single" w:sz="8" w:space="0" w:color="000000"/>
              <w:right w:val="single" w:sz="8" w:space="0" w:color="000000"/>
            </w:tcBorders>
            <w:tcMar>
              <w:left w:w="57" w:type="dxa"/>
              <w:right w:w="57" w:type="dxa"/>
            </w:tcMar>
            <w:vAlign w:val="center"/>
          </w:tcPr>
          <w:p w14:paraId="79AC3A1B" w14:textId="57F1B942" w:rsidR="000C0282" w:rsidRPr="003A2F86" w:rsidRDefault="000C0282" w:rsidP="000C0282">
            <w:pPr>
              <w:spacing w:after="0" w:line="240" w:lineRule="auto"/>
              <w:jc w:val="right"/>
              <w:rPr>
                <w:rFonts w:ascii="Arial" w:eastAsia="Times New Roman" w:hAnsi="Arial" w:cs="Arial"/>
                <w:i/>
                <w:iCs/>
                <w:sz w:val="16"/>
                <w:szCs w:val="16"/>
              </w:rPr>
            </w:pPr>
            <w:r w:rsidRPr="003A2F86">
              <w:rPr>
                <w:rFonts w:ascii="Arial" w:hAnsi="Arial" w:cs="Arial"/>
                <w:sz w:val="16"/>
                <w:szCs w:val="16"/>
              </w:rPr>
              <w:t>3.963.254,76</w:t>
            </w:r>
          </w:p>
        </w:tc>
        <w:tc>
          <w:tcPr>
            <w:tcW w:w="9833" w:type="dxa"/>
            <w:tcBorders>
              <w:top w:val="nil"/>
              <w:left w:val="nil"/>
              <w:bottom w:val="single" w:sz="8" w:space="0" w:color="000000"/>
              <w:right w:val="single" w:sz="8" w:space="0" w:color="000000"/>
            </w:tcBorders>
          </w:tcPr>
          <w:p w14:paraId="5F3E079B" w14:textId="6F5CF057" w:rsidR="000C0282" w:rsidRPr="003A2F86" w:rsidRDefault="000C0282" w:rsidP="000C0282">
            <w:pPr>
              <w:spacing w:after="0" w:line="240" w:lineRule="auto"/>
              <w:jc w:val="both"/>
              <w:rPr>
                <w:rFonts w:ascii="Arial" w:eastAsia="Times New Roman" w:hAnsi="Arial" w:cs="Arial"/>
                <w:i/>
                <w:iCs/>
                <w:sz w:val="16"/>
                <w:szCs w:val="16"/>
              </w:rPr>
            </w:pPr>
          </w:p>
        </w:tc>
      </w:tr>
      <w:tr w:rsidR="000C0282" w:rsidRPr="003A2F86" w14:paraId="267C98A5" w14:textId="77777777" w:rsidTr="00A201FC">
        <w:trPr>
          <w:jc w:val="center"/>
        </w:trPr>
        <w:tc>
          <w:tcPr>
            <w:tcW w:w="846" w:type="dxa"/>
            <w:tcBorders>
              <w:top w:val="nil"/>
              <w:left w:val="single" w:sz="8" w:space="0" w:color="000000"/>
              <w:bottom w:val="single" w:sz="8" w:space="0" w:color="000000"/>
              <w:right w:val="single" w:sz="8" w:space="0" w:color="000000"/>
            </w:tcBorders>
            <w:tcMar>
              <w:left w:w="57" w:type="dxa"/>
              <w:right w:w="57" w:type="dxa"/>
            </w:tcMar>
            <w:vAlign w:val="center"/>
          </w:tcPr>
          <w:p w14:paraId="20C1A6EC" w14:textId="6CEED9A7" w:rsidR="000C0282" w:rsidRPr="003A2F86" w:rsidRDefault="000C0282" w:rsidP="000C0282">
            <w:pPr>
              <w:spacing w:after="0" w:line="240" w:lineRule="auto"/>
              <w:jc w:val="center"/>
              <w:rPr>
                <w:rFonts w:ascii="Arial" w:eastAsia="Times New Roman" w:hAnsi="Arial" w:cs="Arial"/>
                <w:i/>
                <w:iCs/>
                <w:sz w:val="16"/>
                <w:szCs w:val="16"/>
              </w:rPr>
            </w:pPr>
            <w:r w:rsidRPr="003A2F86">
              <w:rPr>
                <w:rFonts w:ascii="Arial" w:hAnsi="Arial" w:cs="Arial"/>
                <w:sz w:val="16"/>
                <w:szCs w:val="16"/>
              </w:rPr>
              <w:t>2013.</w:t>
            </w:r>
          </w:p>
        </w:tc>
        <w:tc>
          <w:tcPr>
            <w:tcW w:w="1223" w:type="dxa"/>
            <w:tcBorders>
              <w:top w:val="nil"/>
              <w:left w:val="nil"/>
              <w:bottom w:val="single" w:sz="8" w:space="0" w:color="000000"/>
              <w:right w:val="single" w:sz="8" w:space="0" w:color="000000"/>
            </w:tcBorders>
            <w:tcMar>
              <w:left w:w="57" w:type="dxa"/>
              <w:right w:w="57" w:type="dxa"/>
            </w:tcMar>
            <w:vAlign w:val="center"/>
          </w:tcPr>
          <w:p w14:paraId="402D7D08" w14:textId="5F13490A" w:rsidR="000C0282" w:rsidRPr="003A2F86" w:rsidRDefault="000C0282" w:rsidP="000C0282">
            <w:pPr>
              <w:spacing w:after="0" w:line="240" w:lineRule="auto"/>
              <w:jc w:val="right"/>
              <w:rPr>
                <w:rFonts w:ascii="Arial" w:eastAsia="Times New Roman" w:hAnsi="Arial" w:cs="Arial"/>
                <w:i/>
                <w:iCs/>
                <w:sz w:val="16"/>
                <w:szCs w:val="16"/>
              </w:rPr>
            </w:pPr>
            <w:r w:rsidRPr="003A2F86">
              <w:rPr>
                <w:rFonts w:ascii="Arial" w:hAnsi="Arial" w:cs="Arial"/>
                <w:sz w:val="16"/>
                <w:szCs w:val="16"/>
              </w:rPr>
              <w:t>318.861,55</w:t>
            </w:r>
          </w:p>
        </w:tc>
        <w:tc>
          <w:tcPr>
            <w:tcW w:w="1559" w:type="dxa"/>
            <w:tcBorders>
              <w:top w:val="nil"/>
              <w:left w:val="nil"/>
              <w:bottom w:val="single" w:sz="8" w:space="0" w:color="000000"/>
              <w:right w:val="single" w:sz="8" w:space="0" w:color="000000"/>
            </w:tcBorders>
            <w:tcMar>
              <w:left w:w="57" w:type="dxa"/>
              <w:right w:w="57" w:type="dxa"/>
            </w:tcMar>
            <w:vAlign w:val="center"/>
          </w:tcPr>
          <w:p w14:paraId="2C2278D2" w14:textId="6CB9A0ED" w:rsidR="000C0282" w:rsidRPr="003A2F86" w:rsidRDefault="000C0282" w:rsidP="000C0282">
            <w:pPr>
              <w:spacing w:after="0" w:line="240" w:lineRule="auto"/>
              <w:jc w:val="right"/>
              <w:rPr>
                <w:rFonts w:ascii="Arial" w:eastAsia="Times New Roman" w:hAnsi="Arial" w:cs="Arial"/>
                <w:i/>
                <w:iCs/>
                <w:sz w:val="16"/>
                <w:szCs w:val="16"/>
              </w:rPr>
            </w:pPr>
            <w:r w:rsidRPr="003A2F86">
              <w:rPr>
                <w:rFonts w:ascii="Arial" w:hAnsi="Arial" w:cs="Arial"/>
                <w:sz w:val="16"/>
                <w:szCs w:val="16"/>
              </w:rPr>
              <w:t>55.268,01</w:t>
            </w:r>
          </w:p>
        </w:tc>
        <w:tc>
          <w:tcPr>
            <w:tcW w:w="1276" w:type="dxa"/>
            <w:tcBorders>
              <w:top w:val="nil"/>
              <w:left w:val="nil"/>
              <w:bottom w:val="single" w:sz="8" w:space="0" w:color="000000"/>
              <w:right w:val="single" w:sz="8" w:space="0" w:color="000000"/>
            </w:tcBorders>
            <w:tcMar>
              <w:left w:w="57" w:type="dxa"/>
              <w:right w:w="57" w:type="dxa"/>
            </w:tcMar>
            <w:vAlign w:val="center"/>
          </w:tcPr>
          <w:p w14:paraId="4181CCC2" w14:textId="752409C4" w:rsidR="000C0282" w:rsidRPr="003A2F86" w:rsidRDefault="000C0282" w:rsidP="000C0282">
            <w:pPr>
              <w:spacing w:after="0" w:line="240" w:lineRule="auto"/>
              <w:jc w:val="right"/>
              <w:rPr>
                <w:rFonts w:ascii="Arial" w:eastAsia="Times New Roman" w:hAnsi="Arial" w:cs="Arial"/>
                <w:i/>
                <w:iCs/>
                <w:sz w:val="16"/>
                <w:szCs w:val="16"/>
              </w:rPr>
            </w:pPr>
            <w:r w:rsidRPr="003A2F86">
              <w:rPr>
                <w:rFonts w:ascii="Arial" w:hAnsi="Arial" w:cs="Arial"/>
                <w:sz w:val="16"/>
                <w:szCs w:val="16"/>
              </w:rPr>
              <w:t>4.145.204,33</w:t>
            </w:r>
          </w:p>
        </w:tc>
        <w:tc>
          <w:tcPr>
            <w:tcW w:w="9833" w:type="dxa"/>
            <w:tcBorders>
              <w:top w:val="nil"/>
              <w:left w:val="nil"/>
              <w:bottom w:val="single" w:sz="8" w:space="0" w:color="000000"/>
              <w:right w:val="single" w:sz="8" w:space="0" w:color="000000"/>
            </w:tcBorders>
          </w:tcPr>
          <w:p w14:paraId="2B98F85C" w14:textId="3553D707" w:rsidR="000C0282" w:rsidRPr="003A2F86" w:rsidRDefault="000C0282" w:rsidP="000C0282">
            <w:pPr>
              <w:spacing w:after="0" w:line="240" w:lineRule="auto"/>
              <w:jc w:val="both"/>
              <w:rPr>
                <w:rFonts w:ascii="Arial" w:eastAsia="Times New Roman" w:hAnsi="Arial" w:cs="Arial"/>
                <w:sz w:val="16"/>
                <w:szCs w:val="16"/>
              </w:rPr>
            </w:pPr>
            <w:r w:rsidRPr="003A2F86">
              <w:rPr>
                <w:rFonts w:ascii="Arial" w:hAnsi="Arial" w:cs="Arial"/>
                <w:sz w:val="16"/>
                <w:szCs w:val="16"/>
              </w:rPr>
              <w:t>što je za 181.949,57 € više u odnosu na prethodnu 2012.</w:t>
            </w:r>
            <w:r w:rsidR="00B6771A" w:rsidRPr="003A2F86">
              <w:rPr>
                <w:rFonts w:ascii="Arial" w:hAnsi="Arial" w:cs="Arial"/>
                <w:sz w:val="16"/>
                <w:szCs w:val="16"/>
              </w:rPr>
              <w:t xml:space="preserve"> </w:t>
            </w:r>
            <w:r w:rsidRPr="003A2F86">
              <w:rPr>
                <w:rFonts w:ascii="Arial" w:hAnsi="Arial" w:cs="Arial"/>
                <w:sz w:val="16"/>
                <w:szCs w:val="16"/>
              </w:rPr>
              <w:t>godinu</w:t>
            </w:r>
          </w:p>
        </w:tc>
      </w:tr>
      <w:tr w:rsidR="000C0282" w:rsidRPr="003A2F86" w14:paraId="5483FA6E" w14:textId="77777777" w:rsidTr="00A201FC">
        <w:trPr>
          <w:jc w:val="center"/>
        </w:trPr>
        <w:tc>
          <w:tcPr>
            <w:tcW w:w="846" w:type="dxa"/>
            <w:tcBorders>
              <w:top w:val="nil"/>
              <w:left w:val="single" w:sz="8" w:space="0" w:color="000000"/>
              <w:bottom w:val="single" w:sz="8" w:space="0" w:color="000000"/>
              <w:right w:val="single" w:sz="8" w:space="0" w:color="000000"/>
            </w:tcBorders>
            <w:tcMar>
              <w:left w:w="57" w:type="dxa"/>
              <w:right w:w="57" w:type="dxa"/>
            </w:tcMar>
            <w:vAlign w:val="center"/>
          </w:tcPr>
          <w:p w14:paraId="14F8C6C3" w14:textId="65B4D114" w:rsidR="000C0282" w:rsidRPr="003A2F86" w:rsidRDefault="000C0282" w:rsidP="000C0282">
            <w:pPr>
              <w:spacing w:after="0" w:line="240" w:lineRule="auto"/>
              <w:jc w:val="center"/>
              <w:rPr>
                <w:rFonts w:ascii="Arial" w:eastAsia="Times New Roman" w:hAnsi="Arial" w:cs="Arial"/>
                <w:i/>
                <w:iCs/>
                <w:sz w:val="16"/>
                <w:szCs w:val="16"/>
              </w:rPr>
            </w:pPr>
            <w:r w:rsidRPr="003A2F86">
              <w:rPr>
                <w:rFonts w:ascii="Arial" w:hAnsi="Arial" w:cs="Arial"/>
                <w:sz w:val="16"/>
                <w:szCs w:val="16"/>
              </w:rPr>
              <w:t>2014.</w:t>
            </w:r>
          </w:p>
        </w:tc>
        <w:tc>
          <w:tcPr>
            <w:tcW w:w="1223" w:type="dxa"/>
            <w:tcBorders>
              <w:top w:val="nil"/>
              <w:left w:val="nil"/>
              <w:bottom w:val="single" w:sz="8" w:space="0" w:color="000000"/>
              <w:right w:val="single" w:sz="8" w:space="0" w:color="000000"/>
            </w:tcBorders>
            <w:tcMar>
              <w:left w:w="57" w:type="dxa"/>
              <w:right w:w="57" w:type="dxa"/>
            </w:tcMar>
            <w:vAlign w:val="center"/>
          </w:tcPr>
          <w:p w14:paraId="26EDF1FF" w14:textId="140E374F" w:rsidR="000C0282" w:rsidRPr="003A2F86" w:rsidRDefault="000C0282" w:rsidP="000C0282">
            <w:pPr>
              <w:spacing w:after="0" w:line="240" w:lineRule="auto"/>
              <w:jc w:val="right"/>
              <w:rPr>
                <w:rFonts w:ascii="Arial" w:eastAsia="Times New Roman" w:hAnsi="Arial" w:cs="Arial"/>
                <w:i/>
                <w:iCs/>
                <w:sz w:val="16"/>
                <w:szCs w:val="16"/>
              </w:rPr>
            </w:pPr>
            <w:r w:rsidRPr="003A2F86">
              <w:rPr>
                <w:rFonts w:ascii="Arial" w:hAnsi="Arial" w:cs="Arial"/>
                <w:sz w:val="16"/>
                <w:szCs w:val="16"/>
              </w:rPr>
              <w:t>339.141,43</w:t>
            </w:r>
          </w:p>
        </w:tc>
        <w:tc>
          <w:tcPr>
            <w:tcW w:w="1559" w:type="dxa"/>
            <w:tcBorders>
              <w:top w:val="nil"/>
              <w:left w:val="nil"/>
              <w:bottom w:val="single" w:sz="8" w:space="0" w:color="000000"/>
              <w:right w:val="single" w:sz="8" w:space="0" w:color="000000"/>
            </w:tcBorders>
            <w:tcMar>
              <w:left w:w="57" w:type="dxa"/>
              <w:right w:w="57" w:type="dxa"/>
            </w:tcMar>
            <w:vAlign w:val="center"/>
          </w:tcPr>
          <w:p w14:paraId="11697E3C" w14:textId="5F9111C2" w:rsidR="000C0282" w:rsidRPr="003A2F86" w:rsidRDefault="000C0282" w:rsidP="000C0282">
            <w:pPr>
              <w:spacing w:after="0" w:line="240" w:lineRule="auto"/>
              <w:jc w:val="right"/>
              <w:rPr>
                <w:rFonts w:ascii="Arial" w:eastAsia="Times New Roman" w:hAnsi="Arial" w:cs="Arial"/>
                <w:i/>
                <w:iCs/>
                <w:sz w:val="16"/>
                <w:szCs w:val="16"/>
              </w:rPr>
            </w:pPr>
            <w:r w:rsidRPr="003A2F86">
              <w:rPr>
                <w:rFonts w:ascii="Arial" w:hAnsi="Arial" w:cs="Arial"/>
                <w:sz w:val="16"/>
                <w:szCs w:val="16"/>
              </w:rPr>
              <w:t>58.783,10</w:t>
            </w:r>
          </w:p>
        </w:tc>
        <w:tc>
          <w:tcPr>
            <w:tcW w:w="1276" w:type="dxa"/>
            <w:tcBorders>
              <w:top w:val="nil"/>
              <w:left w:val="nil"/>
              <w:bottom w:val="single" w:sz="8" w:space="0" w:color="000000"/>
              <w:right w:val="single" w:sz="8" w:space="0" w:color="000000"/>
            </w:tcBorders>
            <w:tcMar>
              <w:left w:w="57" w:type="dxa"/>
              <w:right w:w="57" w:type="dxa"/>
            </w:tcMar>
            <w:vAlign w:val="center"/>
          </w:tcPr>
          <w:p w14:paraId="171C78ED" w14:textId="059B00E0" w:rsidR="000C0282" w:rsidRPr="003A2F86" w:rsidRDefault="000C0282" w:rsidP="000C0282">
            <w:pPr>
              <w:spacing w:after="0" w:line="240" w:lineRule="auto"/>
              <w:jc w:val="right"/>
              <w:rPr>
                <w:rFonts w:ascii="Arial" w:eastAsia="Times New Roman" w:hAnsi="Arial" w:cs="Arial"/>
                <w:i/>
                <w:iCs/>
                <w:sz w:val="16"/>
                <w:szCs w:val="16"/>
              </w:rPr>
            </w:pPr>
            <w:r w:rsidRPr="003A2F86">
              <w:rPr>
                <w:rFonts w:ascii="Arial" w:hAnsi="Arial" w:cs="Arial"/>
                <w:sz w:val="16"/>
                <w:szCs w:val="16"/>
              </w:rPr>
              <w:t>4.408.842,92</w:t>
            </w:r>
          </w:p>
        </w:tc>
        <w:tc>
          <w:tcPr>
            <w:tcW w:w="9833" w:type="dxa"/>
            <w:tcBorders>
              <w:top w:val="nil"/>
              <w:left w:val="nil"/>
              <w:bottom w:val="single" w:sz="8" w:space="0" w:color="000000"/>
              <w:right w:val="single" w:sz="8" w:space="0" w:color="000000"/>
            </w:tcBorders>
          </w:tcPr>
          <w:p w14:paraId="3A57C742" w14:textId="6C6CE85B" w:rsidR="000C0282" w:rsidRPr="003A2F86" w:rsidRDefault="000C0282" w:rsidP="000C0282">
            <w:pPr>
              <w:spacing w:after="0" w:line="240" w:lineRule="auto"/>
              <w:jc w:val="both"/>
              <w:rPr>
                <w:rFonts w:ascii="Arial" w:eastAsia="Times New Roman" w:hAnsi="Arial" w:cs="Arial"/>
                <w:sz w:val="16"/>
                <w:szCs w:val="16"/>
              </w:rPr>
            </w:pPr>
            <w:r w:rsidRPr="003A2F86">
              <w:rPr>
                <w:rFonts w:ascii="Arial" w:hAnsi="Arial" w:cs="Arial"/>
                <w:sz w:val="16"/>
                <w:szCs w:val="16"/>
              </w:rPr>
              <w:t>od čega porez i prirez na dohodak od nesamostalnog rada 4.350.059,86 € i porez na dohodak za decentralizirane funkcije vatrogastva 58.783,06 €. Ovi prihodi su u 2014. viši za 263.638,60 € u odnosu na prethodnu 2013.</w:t>
            </w:r>
            <w:r w:rsidR="00B6771A" w:rsidRPr="003A2F86">
              <w:rPr>
                <w:rFonts w:ascii="Arial" w:hAnsi="Arial" w:cs="Arial"/>
                <w:sz w:val="16"/>
                <w:szCs w:val="16"/>
              </w:rPr>
              <w:t xml:space="preserve"> </w:t>
            </w:r>
            <w:r w:rsidRPr="003A2F86">
              <w:rPr>
                <w:rFonts w:ascii="Arial" w:hAnsi="Arial" w:cs="Arial"/>
                <w:sz w:val="16"/>
                <w:szCs w:val="16"/>
              </w:rPr>
              <w:t>godinu. U 2014. su ukinute porezne olakšice koje su se odnosile na područje posebne državne skrbi.</w:t>
            </w:r>
          </w:p>
        </w:tc>
      </w:tr>
      <w:tr w:rsidR="000C0282" w:rsidRPr="003A2F86" w14:paraId="04E69701" w14:textId="77777777" w:rsidTr="00A201FC">
        <w:trPr>
          <w:jc w:val="center"/>
        </w:trPr>
        <w:tc>
          <w:tcPr>
            <w:tcW w:w="846" w:type="dxa"/>
            <w:tcBorders>
              <w:top w:val="nil"/>
              <w:left w:val="single" w:sz="8" w:space="0" w:color="000000"/>
              <w:bottom w:val="single" w:sz="8" w:space="0" w:color="000000"/>
              <w:right w:val="single" w:sz="8" w:space="0" w:color="000000"/>
            </w:tcBorders>
            <w:tcMar>
              <w:left w:w="57" w:type="dxa"/>
              <w:right w:w="57" w:type="dxa"/>
            </w:tcMar>
            <w:vAlign w:val="center"/>
          </w:tcPr>
          <w:p w14:paraId="662B246D" w14:textId="3ACA697B" w:rsidR="000C0282" w:rsidRPr="003A2F86" w:rsidRDefault="000C0282" w:rsidP="000C0282">
            <w:pPr>
              <w:spacing w:after="0" w:line="240" w:lineRule="auto"/>
              <w:jc w:val="center"/>
              <w:rPr>
                <w:rFonts w:ascii="Arial" w:eastAsia="Times New Roman" w:hAnsi="Arial" w:cs="Arial"/>
                <w:i/>
                <w:iCs/>
                <w:sz w:val="16"/>
                <w:szCs w:val="16"/>
              </w:rPr>
            </w:pPr>
            <w:r w:rsidRPr="003A2F86">
              <w:rPr>
                <w:rFonts w:ascii="Arial" w:hAnsi="Arial" w:cs="Arial"/>
                <w:sz w:val="16"/>
                <w:szCs w:val="16"/>
              </w:rPr>
              <w:t>2015.</w:t>
            </w:r>
          </w:p>
        </w:tc>
        <w:tc>
          <w:tcPr>
            <w:tcW w:w="1223" w:type="dxa"/>
            <w:tcBorders>
              <w:top w:val="nil"/>
              <w:left w:val="nil"/>
              <w:bottom w:val="single" w:sz="8" w:space="0" w:color="000000"/>
              <w:right w:val="single" w:sz="8" w:space="0" w:color="000000"/>
            </w:tcBorders>
            <w:tcMar>
              <w:left w:w="57" w:type="dxa"/>
              <w:right w:w="57" w:type="dxa"/>
            </w:tcMar>
            <w:vAlign w:val="center"/>
          </w:tcPr>
          <w:p w14:paraId="20215AF7" w14:textId="08942B62" w:rsidR="000C0282" w:rsidRPr="003A2F86" w:rsidRDefault="000C0282" w:rsidP="000C0282">
            <w:pPr>
              <w:spacing w:after="0" w:line="240" w:lineRule="auto"/>
              <w:jc w:val="right"/>
              <w:rPr>
                <w:rFonts w:ascii="Arial" w:eastAsia="Times New Roman" w:hAnsi="Arial" w:cs="Arial"/>
                <w:i/>
                <w:iCs/>
                <w:sz w:val="16"/>
                <w:szCs w:val="16"/>
              </w:rPr>
            </w:pPr>
            <w:r w:rsidRPr="003A2F86">
              <w:rPr>
                <w:rFonts w:ascii="Arial" w:hAnsi="Arial" w:cs="Arial"/>
                <w:sz w:val="16"/>
                <w:szCs w:val="16"/>
              </w:rPr>
              <w:t>365.080,84</w:t>
            </w:r>
          </w:p>
        </w:tc>
        <w:tc>
          <w:tcPr>
            <w:tcW w:w="1559" w:type="dxa"/>
            <w:tcBorders>
              <w:top w:val="nil"/>
              <w:left w:val="nil"/>
              <w:bottom w:val="single" w:sz="8" w:space="0" w:color="000000"/>
              <w:right w:val="single" w:sz="8" w:space="0" w:color="000000"/>
            </w:tcBorders>
            <w:tcMar>
              <w:left w:w="57" w:type="dxa"/>
              <w:right w:w="57" w:type="dxa"/>
            </w:tcMar>
            <w:vAlign w:val="center"/>
          </w:tcPr>
          <w:p w14:paraId="3AAB88C0" w14:textId="39AA035B" w:rsidR="000C0282" w:rsidRPr="003A2F86" w:rsidRDefault="000C0282" w:rsidP="000C0282">
            <w:pPr>
              <w:spacing w:after="0" w:line="240" w:lineRule="auto"/>
              <w:jc w:val="right"/>
              <w:rPr>
                <w:rFonts w:ascii="Arial" w:eastAsia="Times New Roman" w:hAnsi="Arial" w:cs="Arial"/>
                <w:i/>
                <w:iCs/>
                <w:sz w:val="16"/>
                <w:szCs w:val="16"/>
              </w:rPr>
            </w:pPr>
            <w:r w:rsidRPr="003A2F86">
              <w:rPr>
                <w:rFonts w:ascii="Arial" w:hAnsi="Arial" w:cs="Arial"/>
                <w:sz w:val="16"/>
                <w:szCs w:val="16"/>
              </w:rPr>
              <w:t>36.877,51</w:t>
            </w:r>
          </w:p>
        </w:tc>
        <w:tc>
          <w:tcPr>
            <w:tcW w:w="1276" w:type="dxa"/>
            <w:tcBorders>
              <w:top w:val="nil"/>
              <w:left w:val="nil"/>
              <w:bottom w:val="single" w:sz="8" w:space="0" w:color="000000"/>
              <w:right w:val="single" w:sz="8" w:space="0" w:color="000000"/>
            </w:tcBorders>
            <w:tcMar>
              <w:left w:w="57" w:type="dxa"/>
              <w:right w:w="57" w:type="dxa"/>
            </w:tcMar>
            <w:vAlign w:val="center"/>
          </w:tcPr>
          <w:p w14:paraId="61AA117A" w14:textId="673D8F01" w:rsidR="000C0282" w:rsidRPr="003A2F86" w:rsidRDefault="000C0282" w:rsidP="000C0282">
            <w:pPr>
              <w:spacing w:after="0" w:line="240" w:lineRule="auto"/>
              <w:jc w:val="right"/>
              <w:rPr>
                <w:rFonts w:ascii="Arial" w:eastAsia="Times New Roman" w:hAnsi="Arial" w:cs="Arial"/>
                <w:i/>
                <w:iCs/>
                <w:sz w:val="16"/>
                <w:szCs w:val="16"/>
              </w:rPr>
            </w:pPr>
            <w:r w:rsidRPr="003A2F86">
              <w:rPr>
                <w:rFonts w:ascii="Arial" w:hAnsi="Arial" w:cs="Arial"/>
                <w:sz w:val="16"/>
                <w:szCs w:val="16"/>
              </w:rPr>
              <w:t>2.601.892,27</w:t>
            </w:r>
          </w:p>
        </w:tc>
        <w:tc>
          <w:tcPr>
            <w:tcW w:w="9833" w:type="dxa"/>
            <w:tcBorders>
              <w:top w:val="nil"/>
              <w:left w:val="nil"/>
              <w:bottom w:val="single" w:sz="8" w:space="0" w:color="000000"/>
              <w:right w:val="single" w:sz="8" w:space="0" w:color="000000"/>
            </w:tcBorders>
          </w:tcPr>
          <w:p w14:paraId="546D6C75" w14:textId="12E63ED6" w:rsidR="000C0282" w:rsidRPr="003A2F86" w:rsidRDefault="000C0282" w:rsidP="000C0282">
            <w:pPr>
              <w:spacing w:after="0" w:line="240" w:lineRule="auto"/>
              <w:jc w:val="both"/>
              <w:rPr>
                <w:rFonts w:ascii="Arial" w:eastAsia="Times New Roman" w:hAnsi="Arial" w:cs="Arial"/>
                <w:sz w:val="16"/>
                <w:szCs w:val="16"/>
              </w:rPr>
            </w:pPr>
            <w:r w:rsidRPr="003A2F86">
              <w:rPr>
                <w:rFonts w:ascii="Arial" w:hAnsi="Arial" w:cs="Arial"/>
                <w:sz w:val="16"/>
                <w:szCs w:val="16"/>
              </w:rPr>
              <w:t>što je 1.806.950,70 € ili 41,0% manje u odnosu na prethodnu 2014. godinu</w:t>
            </w:r>
          </w:p>
        </w:tc>
      </w:tr>
      <w:tr w:rsidR="000C0282" w:rsidRPr="003A2F86" w14:paraId="4CC94F93" w14:textId="77777777" w:rsidTr="00A201FC">
        <w:trPr>
          <w:jc w:val="center"/>
        </w:trPr>
        <w:tc>
          <w:tcPr>
            <w:tcW w:w="846" w:type="dxa"/>
            <w:tcBorders>
              <w:top w:val="nil"/>
              <w:left w:val="single" w:sz="8" w:space="0" w:color="000000"/>
              <w:bottom w:val="single" w:sz="8" w:space="0" w:color="000000"/>
              <w:right w:val="single" w:sz="8" w:space="0" w:color="000000"/>
            </w:tcBorders>
            <w:tcMar>
              <w:left w:w="57" w:type="dxa"/>
              <w:right w:w="57" w:type="dxa"/>
            </w:tcMar>
            <w:vAlign w:val="center"/>
          </w:tcPr>
          <w:p w14:paraId="1D3BB451" w14:textId="36E69534" w:rsidR="000C0282" w:rsidRPr="003A2F86" w:rsidRDefault="000C0282" w:rsidP="000C0282">
            <w:pPr>
              <w:spacing w:after="0" w:line="240" w:lineRule="auto"/>
              <w:jc w:val="center"/>
              <w:rPr>
                <w:rFonts w:ascii="Arial" w:eastAsia="Times New Roman" w:hAnsi="Arial" w:cs="Arial"/>
                <w:i/>
                <w:iCs/>
                <w:sz w:val="16"/>
                <w:szCs w:val="16"/>
              </w:rPr>
            </w:pPr>
            <w:r w:rsidRPr="003A2F86">
              <w:rPr>
                <w:rFonts w:ascii="Arial" w:hAnsi="Arial" w:cs="Arial"/>
                <w:sz w:val="16"/>
                <w:szCs w:val="16"/>
              </w:rPr>
              <w:t>2016.</w:t>
            </w:r>
          </w:p>
        </w:tc>
        <w:tc>
          <w:tcPr>
            <w:tcW w:w="1223" w:type="dxa"/>
            <w:tcBorders>
              <w:top w:val="nil"/>
              <w:left w:val="nil"/>
              <w:bottom w:val="single" w:sz="8" w:space="0" w:color="000000"/>
              <w:right w:val="single" w:sz="8" w:space="0" w:color="000000"/>
            </w:tcBorders>
            <w:tcMar>
              <w:left w:w="57" w:type="dxa"/>
              <w:right w:w="57" w:type="dxa"/>
            </w:tcMar>
            <w:vAlign w:val="center"/>
          </w:tcPr>
          <w:p w14:paraId="16814EAF" w14:textId="01888594" w:rsidR="000C0282" w:rsidRPr="003A2F86" w:rsidRDefault="000C0282" w:rsidP="000C0282">
            <w:pPr>
              <w:spacing w:after="0" w:line="240" w:lineRule="auto"/>
              <w:jc w:val="right"/>
              <w:rPr>
                <w:rFonts w:ascii="Arial" w:eastAsia="Times New Roman" w:hAnsi="Arial" w:cs="Arial"/>
                <w:i/>
                <w:iCs/>
                <w:sz w:val="16"/>
                <w:szCs w:val="16"/>
              </w:rPr>
            </w:pPr>
            <w:r w:rsidRPr="003A2F86">
              <w:rPr>
                <w:rFonts w:ascii="Arial" w:hAnsi="Arial" w:cs="Arial"/>
                <w:sz w:val="16"/>
                <w:szCs w:val="16"/>
              </w:rPr>
              <w:t>402.860,40</w:t>
            </w:r>
          </w:p>
        </w:tc>
        <w:tc>
          <w:tcPr>
            <w:tcW w:w="1559" w:type="dxa"/>
            <w:tcBorders>
              <w:top w:val="nil"/>
              <w:left w:val="nil"/>
              <w:bottom w:val="single" w:sz="8" w:space="0" w:color="000000"/>
              <w:right w:val="single" w:sz="8" w:space="0" w:color="000000"/>
            </w:tcBorders>
            <w:tcMar>
              <w:left w:w="57" w:type="dxa"/>
              <w:right w:w="57" w:type="dxa"/>
            </w:tcMar>
            <w:vAlign w:val="center"/>
          </w:tcPr>
          <w:p w14:paraId="79B45F72" w14:textId="5DD402D5" w:rsidR="000C0282" w:rsidRPr="003A2F86" w:rsidRDefault="000C0282" w:rsidP="000C0282">
            <w:pPr>
              <w:spacing w:after="0" w:line="240" w:lineRule="auto"/>
              <w:jc w:val="right"/>
              <w:rPr>
                <w:rFonts w:ascii="Arial" w:eastAsia="Times New Roman" w:hAnsi="Arial" w:cs="Arial"/>
                <w:i/>
                <w:iCs/>
                <w:sz w:val="16"/>
                <w:szCs w:val="16"/>
              </w:rPr>
            </w:pPr>
            <w:r w:rsidRPr="003A2F86">
              <w:rPr>
                <w:rFonts w:ascii="Arial" w:hAnsi="Arial" w:cs="Arial"/>
                <w:sz w:val="16"/>
                <w:szCs w:val="16"/>
              </w:rPr>
              <w:t>40.693,69</w:t>
            </w:r>
          </w:p>
        </w:tc>
        <w:tc>
          <w:tcPr>
            <w:tcW w:w="1276" w:type="dxa"/>
            <w:tcBorders>
              <w:top w:val="nil"/>
              <w:left w:val="nil"/>
              <w:bottom w:val="single" w:sz="8" w:space="0" w:color="000000"/>
              <w:right w:val="single" w:sz="8" w:space="0" w:color="000000"/>
            </w:tcBorders>
            <w:tcMar>
              <w:left w:w="57" w:type="dxa"/>
              <w:right w:w="57" w:type="dxa"/>
            </w:tcMar>
            <w:vAlign w:val="center"/>
          </w:tcPr>
          <w:p w14:paraId="17BE8A62" w14:textId="5160782B" w:rsidR="000C0282" w:rsidRPr="003A2F86" w:rsidRDefault="000C0282" w:rsidP="000C0282">
            <w:pPr>
              <w:spacing w:after="0" w:line="240" w:lineRule="auto"/>
              <w:jc w:val="right"/>
              <w:rPr>
                <w:rFonts w:ascii="Arial" w:eastAsia="Times New Roman" w:hAnsi="Arial" w:cs="Arial"/>
                <w:sz w:val="16"/>
                <w:szCs w:val="16"/>
              </w:rPr>
            </w:pPr>
            <w:r w:rsidRPr="003A2F86">
              <w:rPr>
                <w:rFonts w:ascii="Arial" w:hAnsi="Arial" w:cs="Arial"/>
                <w:sz w:val="16"/>
                <w:szCs w:val="16"/>
              </w:rPr>
              <w:t>2.872.304,02</w:t>
            </w:r>
          </w:p>
        </w:tc>
        <w:tc>
          <w:tcPr>
            <w:tcW w:w="9833" w:type="dxa"/>
            <w:tcBorders>
              <w:top w:val="nil"/>
              <w:left w:val="nil"/>
              <w:bottom w:val="single" w:sz="8" w:space="0" w:color="000000"/>
              <w:right w:val="single" w:sz="8" w:space="0" w:color="000000"/>
            </w:tcBorders>
          </w:tcPr>
          <w:p w14:paraId="03CF8FB9" w14:textId="71E40B32" w:rsidR="000C0282" w:rsidRPr="003A2F86" w:rsidRDefault="000C0282" w:rsidP="000C0282">
            <w:pPr>
              <w:spacing w:after="0" w:line="240" w:lineRule="auto"/>
              <w:jc w:val="both"/>
              <w:rPr>
                <w:rFonts w:ascii="Arial" w:eastAsia="Times New Roman" w:hAnsi="Arial" w:cs="Arial"/>
                <w:sz w:val="16"/>
                <w:szCs w:val="16"/>
              </w:rPr>
            </w:pPr>
            <w:r w:rsidRPr="003A2F86">
              <w:rPr>
                <w:rFonts w:ascii="Arial" w:hAnsi="Arial" w:cs="Arial"/>
                <w:sz w:val="16"/>
                <w:szCs w:val="16"/>
              </w:rPr>
              <w:t>što je za 270.411,75 € ili 10,4% više u odnosu na izvještajno razdoblje prethodne 2015. godine</w:t>
            </w:r>
          </w:p>
        </w:tc>
      </w:tr>
      <w:tr w:rsidR="000C0282" w:rsidRPr="003A2F86" w14:paraId="030278F8" w14:textId="77777777" w:rsidTr="00A201FC">
        <w:trPr>
          <w:jc w:val="center"/>
        </w:trPr>
        <w:tc>
          <w:tcPr>
            <w:tcW w:w="846" w:type="dxa"/>
            <w:tcBorders>
              <w:top w:val="nil"/>
              <w:left w:val="single" w:sz="8" w:space="0" w:color="000000"/>
              <w:bottom w:val="single" w:sz="8" w:space="0" w:color="000000"/>
              <w:right w:val="single" w:sz="8" w:space="0" w:color="000000"/>
            </w:tcBorders>
            <w:tcMar>
              <w:left w:w="57" w:type="dxa"/>
              <w:right w:w="57" w:type="dxa"/>
            </w:tcMar>
            <w:vAlign w:val="center"/>
          </w:tcPr>
          <w:p w14:paraId="61FE8A0D" w14:textId="7583FDE6" w:rsidR="000C0282" w:rsidRPr="003A2F86" w:rsidRDefault="000C0282" w:rsidP="000C0282">
            <w:pPr>
              <w:spacing w:after="0" w:line="240" w:lineRule="auto"/>
              <w:jc w:val="center"/>
              <w:rPr>
                <w:rFonts w:ascii="Arial" w:eastAsia="Times New Roman" w:hAnsi="Arial" w:cs="Arial"/>
                <w:sz w:val="16"/>
                <w:szCs w:val="16"/>
              </w:rPr>
            </w:pPr>
            <w:r w:rsidRPr="003A2F86">
              <w:rPr>
                <w:rFonts w:ascii="Arial" w:hAnsi="Arial" w:cs="Arial"/>
                <w:sz w:val="16"/>
                <w:szCs w:val="16"/>
              </w:rPr>
              <w:t>2017.</w:t>
            </w:r>
          </w:p>
        </w:tc>
        <w:tc>
          <w:tcPr>
            <w:tcW w:w="1223" w:type="dxa"/>
            <w:tcBorders>
              <w:top w:val="nil"/>
              <w:left w:val="nil"/>
              <w:bottom w:val="single" w:sz="8" w:space="0" w:color="000000"/>
              <w:right w:val="single" w:sz="8" w:space="0" w:color="000000"/>
            </w:tcBorders>
            <w:tcMar>
              <w:left w:w="57" w:type="dxa"/>
              <w:right w:w="57" w:type="dxa"/>
            </w:tcMar>
            <w:vAlign w:val="center"/>
          </w:tcPr>
          <w:p w14:paraId="7D02F1C8" w14:textId="7DEA81E9" w:rsidR="000C0282" w:rsidRPr="003A2F86" w:rsidRDefault="000C0282" w:rsidP="000C0282">
            <w:pPr>
              <w:spacing w:after="0" w:line="240" w:lineRule="auto"/>
              <w:jc w:val="right"/>
              <w:rPr>
                <w:rFonts w:ascii="Arial" w:eastAsia="Times New Roman" w:hAnsi="Arial" w:cs="Arial"/>
                <w:sz w:val="16"/>
                <w:szCs w:val="16"/>
              </w:rPr>
            </w:pPr>
            <w:r w:rsidRPr="003A2F86">
              <w:rPr>
                <w:rFonts w:ascii="Arial" w:hAnsi="Arial" w:cs="Arial"/>
                <w:sz w:val="16"/>
                <w:szCs w:val="16"/>
              </w:rPr>
              <w:t>373.789,58</w:t>
            </w:r>
          </w:p>
        </w:tc>
        <w:tc>
          <w:tcPr>
            <w:tcW w:w="1559" w:type="dxa"/>
            <w:tcBorders>
              <w:top w:val="nil"/>
              <w:left w:val="nil"/>
              <w:bottom w:val="single" w:sz="8" w:space="0" w:color="000000"/>
              <w:right w:val="single" w:sz="8" w:space="0" w:color="000000"/>
            </w:tcBorders>
            <w:tcMar>
              <w:left w:w="57" w:type="dxa"/>
              <w:right w:w="57" w:type="dxa"/>
            </w:tcMar>
            <w:vAlign w:val="center"/>
          </w:tcPr>
          <w:p w14:paraId="7502766C" w14:textId="5565C4E3" w:rsidR="000C0282" w:rsidRPr="003A2F86" w:rsidRDefault="000C0282" w:rsidP="000C0282">
            <w:pPr>
              <w:spacing w:after="0" w:line="240" w:lineRule="auto"/>
              <w:jc w:val="right"/>
              <w:rPr>
                <w:rFonts w:ascii="Arial" w:eastAsia="Times New Roman" w:hAnsi="Arial" w:cs="Arial"/>
                <w:sz w:val="16"/>
                <w:szCs w:val="16"/>
              </w:rPr>
            </w:pPr>
            <w:r w:rsidRPr="003A2F86">
              <w:rPr>
                <w:rFonts w:ascii="Arial" w:hAnsi="Arial" w:cs="Arial"/>
                <w:sz w:val="16"/>
                <w:szCs w:val="16"/>
              </w:rPr>
              <w:t>37.757,19</w:t>
            </w:r>
          </w:p>
        </w:tc>
        <w:tc>
          <w:tcPr>
            <w:tcW w:w="1276" w:type="dxa"/>
            <w:tcBorders>
              <w:top w:val="nil"/>
              <w:left w:val="nil"/>
              <w:bottom w:val="single" w:sz="8" w:space="0" w:color="000000"/>
              <w:right w:val="single" w:sz="8" w:space="0" w:color="000000"/>
            </w:tcBorders>
            <w:tcMar>
              <w:left w:w="57" w:type="dxa"/>
              <w:right w:w="57" w:type="dxa"/>
            </w:tcMar>
            <w:vAlign w:val="center"/>
          </w:tcPr>
          <w:p w14:paraId="7A85F54E" w14:textId="5AE4A98D" w:rsidR="000C0282" w:rsidRPr="003A2F86" w:rsidRDefault="000C0282" w:rsidP="000C0282">
            <w:pPr>
              <w:spacing w:after="0" w:line="240" w:lineRule="auto"/>
              <w:jc w:val="right"/>
              <w:rPr>
                <w:rFonts w:ascii="Arial" w:eastAsia="Times New Roman" w:hAnsi="Arial" w:cs="Arial"/>
                <w:sz w:val="16"/>
                <w:szCs w:val="16"/>
              </w:rPr>
            </w:pPr>
            <w:r w:rsidRPr="003A2F86">
              <w:rPr>
                <w:rFonts w:ascii="Arial" w:hAnsi="Arial" w:cs="Arial"/>
                <w:sz w:val="16"/>
                <w:szCs w:val="16"/>
              </w:rPr>
              <w:t>2.661.228,84</w:t>
            </w:r>
          </w:p>
        </w:tc>
        <w:tc>
          <w:tcPr>
            <w:tcW w:w="9833" w:type="dxa"/>
            <w:tcBorders>
              <w:top w:val="nil"/>
              <w:left w:val="nil"/>
              <w:bottom w:val="single" w:sz="8" w:space="0" w:color="000000"/>
              <w:right w:val="single" w:sz="8" w:space="0" w:color="000000"/>
            </w:tcBorders>
          </w:tcPr>
          <w:p w14:paraId="0020BD15" w14:textId="46A97AFA" w:rsidR="000C0282" w:rsidRPr="003A2F86" w:rsidRDefault="000C0282" w:rsidP="000C0282">
            <w:pPr>
              <w:spacing w:after="0" w:line="240" w:lineRule="auto"/>
              <w:jc w:val="both"/>
              <w:rPr>
                <w:rFonts w:ascii="Arial" w:eastAsia="Times New Roman" w:hAnsi="Arial" w:cs="Arial"/>
                <w:sz w:val="16"/>
                <w:szCs w:val="16"/>
              </w:rPr>
            </w:pPr>
            <w:r w:rsidRPr="003A2F86">
              <w:rPr>
                <w:rFonts w:ascii="Arial" w:hAnsi="Arial" w:cs="Arial"/>
                <w:sz w:val="16"/>
                <w:szCs w:val="16"/>
              </w:rPr>
              <w:t>što je za 211.075,18 € ili 7,3% manje u odnosu na izvještajno razdoblje prethodne godine</w:t>
            </w:r>
          </w:p>
        </w:tc>
      </w:tr>
      <w:tr w:rsidR="000C0282" w:rsidRPr="003A2F86" w14:paraId="689F51D3" w14:textId="77777777" w:rsidTr="00A201FC">
        <w:trPr>
          <w:jc w:val="center"/>
        </w:trPr>
        <w:tc>
          <w:tcPr>
            <w:tcW w:w="846" w:type="dxa"/>
            <w:tcBorders>
              <w:top w:val="nil"/>
              <w:left w:val="single" w:sz="8" w:space="0" w:color="000000"/>
              <w:bottom w:val="single" w:sz="8" w:space="0" w:color="000000"/>
              <w:right w:val="single" w:sz="8" w:space="0" w:color="000000"/>
            </w:tcBorders>
            <w:tcMar>
              <w:left w:w="57" w:type="dxa"/>
              <w:right w:w="57" w:type="dxa"/>
            </w:tcMar>
            <w:vAlign w:val="center"/>
          </w:tcPr>
          <w:p w14:paraId="10E76743" w14:textId="13CC2671" w:rsidR="000C0282" w:rsidRPr="003A2F86" w:rsidRDefault="000C0282" w:rsidP="000C0282">
            <w:pPr>
              <w:spacing w:after="0" w:line="240" w:lineRule="auto"/>
              <w:jc w:val="center"/>
              <w:rPr>
                <w:rFonts w:ascii="Arial" w:eastAsia="Times New Roman" w:hAnsi="Arial" w:cs="Arial"/>
                <w:sz w:val="16"/>
                <w:szCs w:val="16"/>
              </w:rPr>
            </w:pPr>
            <w:r w:rsidRPr="003A2F86">
              <w:rPr>
                <w:rFonts w:ascii="Arial" w:hAnsi="Arial" w:cs="Arial"/>
                <w:sz w:val="16"/>
                <w:szCs w:val="16"/>
              </w:rPr>
              <w:t>2018.</w:t>
            </w:r>
          </w:p>
        </w:tc>
        <w:tc>
          <w:tcPr>
            <w:tcW w:w="1223" w:type="dxa"/>
            <w:tcBorders>
              <w:top w:val="nil"/>
              <w:left w:val="nil"/>
              <w:bottom w:val="single" w:sz="8" w:space="0" w:color="000000"/>
              <w:right w:val="single" w:sz="8" w:space="0" w:color="000000"/>
            </w:tcBorders>
            <w:tcMar>
              <w:left w:w="57" w:type="dxa"/>
              <w:right w:w="57" w:type="dxa"/>
            </w:tcMar>
            <w:vAlign w:val="center"/>
          </w:tcPr>
          <w:p w14:paraId="18713ACA" w14:textId="78EF7536" w:rsidR="000C0282" w:rsidRPr="003A2F86" w:rsidRDefault="000C0282" w:rsidP="000C0282">
            <w:pPr>
              <w:spacing w:after="0" w:line="240" w:lineRule="auto"/>
              <w:jc w:val="right"/>
              <w:rPr>
                <w:rFonts w:ascii="Arial" w:eastAsia="Times New Roman" w:hAnsi="Arial" w:cs="Arial"/>
                <w:sz w:val="16"/>
                <w:szCs w:val="16"/>
              </w:rPr>
            </w:pPr>
            <w:r w:rsidRPr="003A2F86">
              <w:rPr>
                <w:rFonts w:ascii="Arial" w:hAnsi="Arial" w:cs="Arial"/>
                <w:sz w:val="16"/>
                <w:szCs w:val="16"/>
              </w:rPr>
              <w:t>459.516,87</w:t>
            </w:r>
          </w:p>
        </w:tc>
        <w:tc>
          <w:tcPr>
            <w:tcW w:w="1559" w:type="dxa"/>
            <w:tcBorders>
              <w:top w:val="nil"/>
              <w:left w:val="nil"/>
              <w:bottom w:val="single" w:sz="8" w:space="0" w:color="000000"/>
              <w:right w:val="single" w:sz="8" w:space="0" w:color="000000"/>
            </w:tcBorders>
            <w:tcMar>
              <w:left w:w="57" w:type="dxa"/>
              <w:right w:w="57" w:type="dxa"/>
            </w:tcMar>
            <w:vAlign w:val="center"/>
          </w:tcPr>
          <w:p w14:paraId="4AE91995" w14:textId="1A3F1213" w:rsidR="000C0282" w:rsidRPr="003A2F86" w:rsidRDefault="000C0282" w:rsidP="000C0282">
            <w:pPr>
              <w:spacing w:after="0" w:line="240" w:lineRule="auto"/>
              <w:jc w:val="right"/>
              <w:rPr>
                <w:rFonts w:ascii="Arial" w:eastAsia="Times New Roman" w:hAnsi="Arial" w:cs="Arial"/>
                <w:sz w:val="16"/>
                <w:szCs w:val="16"/>
              </w:rPr>
            </w:pPr>
            <w:r w:rsidRPr="003A2F86">
              <w:rPr>
                <w:rFonts w:ascii="Arial" w:hAnsi="Arial" w:cs="Arial"/>
                <w:sz w:val="16"/>
                <w:szCs w:val="16"/>
              </w:rPr>
              <w:t>45.953,32</w:t>
            </w:r>
          </w:p>
        </w:tc>
        <w:tc>
          <w:tcPr>
            <w:tcW w:w="1276" w:type="dxa"/>
            <w:tcBorders>
              <w:top w:val="nil"/>
              <w:left w:val="nil"/>
              <w:bottom w:val="single" w:sz="8" w:space="0" w:color="000000"/>
              <w:right w:val="single" w:sz="8" w:space="0" w:color="000000"/>
            </w:tcBorders>
            <w:tcMar>
              <w:left w:w="57" w:type="dxa"/>
              <w:right w:w="57" w:type="dxa"/>
            </w:tcMar>
            <w:vAlign w:val="center"/>
          </w:tcPr>
          <w:p w14:paraId="6B87422E" w14:textId="5B29D873" w:rsidR="000C0282" w:rsidRPr="003A2F86" w:rsidRDefault="000C0282" w:rsidP="000C0282">
            <w:pPr>
              <w:spacing w:after="0" w:line="240" w:lineRule="auto"/>
              <w:jc w:val="right"/>
              <w:rPr>
                <w:rFonts w:ascii="Arial" w:eastAsia="Times New Roman" w:hAnsi="Arial" w:cs="Arial"/>
                <w:sz w:val="16"/>
                <w:szCs w:val="16"/>
              </w:rPr>
            </w:pPr>
            <w:r w:rsidRPr="003A2F86">
              <w:rPr>
                <w:rFonts w:ascii="Arial" w:hAnsi="Arial" w:cs="Arial"/>
                <w:sz w:val="16"/>
                <w:szCs w:val="16"/>
              </w:rPr>
              <w:t>3.263.034,03</w:t>
            </w:r>
          </w:p>
        </w:tc>
        <w:tc>
          <w:tcPr>
            <w:tcW w:w="9833" w:type="dxa"/>
            <w:tcBorders>
              <w:top w:val="nil"/>
              <w:left w:val="nil"/>
              <w:bottom w:val="single" w:sz="8" w:space="0" w:color="000000"/>
              <w:right w:val="single" w:sz="8" w:space="0" w:color="000000"/>
            </w:tcBorders>
          </w:tcPr>
          <w:p w14:paraId="3F02C729" w14:textId="0CA821DB" w:rsidR="000C0282" w:rsidRPr="003A2F86" w:rsidRDefault="000C0282" w:rsidP="000C0282">
            <w:pPr>
              <w:spacing w:after="0" w:line="240" w:lineRule="auto"/>
              <w:jc w:val="both"/>
              <w:rPr>
                <w:rFonts w:ascii="Arial" w:eastAsia="Times New Roman" w:hAnsi="Arial" w:cs="Arial"/>
                <w:sz w:val="16"/>
                <w:szCs w:val="16"/>
              </w:rPr>
            </w:pPr>
            <w:r w:rsidRPr="003A2F86">
              <w:rPr>
                <w:rFonts w:ascii="Arial" w:hAnsi="Arial" w:cs="Arial"/>
                <w:sz w:val="16"/>
                <w:szCs w:val="16"/>
              </w:rPr>
              <w:t>što je za 601.805,19 € ili 22,6% više u odnosu na izvještajno razdoblje prethodne godine</w:t>
            </w:r>
          </w:p>
        </w:tc>
      </w:tr>
      <w:tr w:rsidR="000C0282" w:rsidRPr="003A2F86" w14:paraId="5AB70C49" w14:textId="77777777" w:rsidTr="00A201FC">
        <w:trPr>
          <w:jc w:val="center"/>
        </w:trPr>
        <w:tc>
          <w:tcPr>
            <w:tcW w:w="846" w:type="dxa"/>
            <w:tcBorders>
              <w:top w:val="nil"/>
              <w:left w:val="single" w:sz="8" w:space="0" w:color="000000"/>
              <w:bottom w:val="single" w:sz="8" w:space="0" w:color="000000"/>
              <w:right w:val="single" w:sz="8" w:space="0" w:color="000000"/>
            </w:tcBorders>
            <w:tcMar>
              <w:left w:w="57" w:type="dxa"/>
              <w:right w:w="57" w:type="dxa"/>
            </w:tcMar>
            <w:vAlign w:val="center"/>
          </w:tcPr>
          <w:p w14:paraId="4312F500" w14:textId="6DE7CB97" w:rsidR="000C0282" w:rsidRPr="003A2F86" w:rsidRDefault="000C0282" w:rsidP="000C0282">
            <w:pPr>
              <w:spacing w:after="0" w:line="240" w:lineRule="auto"/>
              <w:jc w:val="center"/>
              <w:rPr>
                <w:rFonts w:ascii="Arial" w:eastAsia="Times New Roman" w:hAnsi="Arial" w:cs="Arial"/>
                <w:sz w:val="16"/>
                <w:szCs w:val="16"/>
              </w:rPr>
            </w:pPr>
            <w:r w:rsidRPr="003A2F86">
              <w:rPr>
                <w:rFonts w:ascii="Arial" w:hAnsi="Arial" w:cs="Arial"/>
                <w:sz w:val="16"/>
                <w:szCs w:val="16"/>
              </w:rPr>
              <w:lastRenderedPageBreak/>
              <w:t>2019.</w:t>
            </w:r>
          </w:p>
        </w:tc>
        <w:tc>
          <w:tcPr>
            <w:tcW w:w="1223" w:type="dxa"/>
            <w:tcBorders>
              <w:top w:val="nil"/>
              <w:left w:val="nil"/>
              <w:bottom w:val="single" w:sz="8" w:space="0" w:color="000000"/>
              <w:right w:val="single" w:sz="8" w:space="0" w:color="000000"/>
            </w:tcBorders>
            <w:tcMar>
              <w:left w:w="57" w:type="dxa"/>
              <w:right w:w="57" w:type="dxa"/>
            </w:tcMar>
            <w:vAlign w:val="center"/>
          </w:tcPr>
          <w:p w14:paraId="494DE9AD" w14:textId="21623598" w:rsidR="000C0282" w:rsidRPr="003A2F86" w:rsidRDefault="000C0282" w:rsidP="000C0282">
            <w:pPr>
              <w:spacing w:after="0" w:line="240" w:lineRule="auto"/>
              <w:jc w:val="right"/>
              <w:rPr>
                <w:rFonts w:ascii="Arial" w:eastAsia="Times New Roman" w:hAnsi="Arial" w:cs="Arial"/>
                <w:sz w:val="16"/>
                <w:szCs w:val="16"/>
              </w:rPr>
            </w:pPr>
            <w:r w:rsidRPr="003A2F86">
              <w:rPr>
                <w:rFonts w:ascii="Arial" w:hAnsi="Arial" w:cs="Arial"/>
                <w:sz w:val="16"/>
                <w:szCs w:val="16"/>
              </w:rPr>
              <w:t>497.538,57</w:t>
            </w:r>
          </w:p>
        </w:tc>
        <w:tc>
          <w:tcPr>
            <w:tcW w:w="1559" w:type="dxa"/>
            <w:tcBorders>
              <w:top w:val="nil"/>
              <w:left w:val="nil"/>
              <w:bottom w:val="single" w:sz="8" w:space="0" w:color="000000"/>
              <w:right w:val="single" w:sz="8" w:space="0" w:color="000000"/>
            </w:tcBorders>
            <w:tcMar>
              <w:left w:w="57" w:type="dxa"/>
              <w:right w:w="57" w:type="dxa"/>
            </w:tcMar>
            <w:vAlign w:val="center"/>
          </w:tcPr>
          <w:p w14:paraId="4D0A622C" w14:textId="022076C4" w:rsidR="000C0282" w:rsidRPr="003A2F86" w:rsidRDefault="000C0282" w:rsidP="000C0282">
            <w:pPr>
              <w:spacing w:after="0" w:line="240" w:lineRule="auto"/>
              <w:jc w:val="right"/>
              <w:rPr>
                <w:rFonts w:ascii="Arial" w:eastAsia="Times New Roman" w:hAnsi="Arial" w:cs="Arial"/>
                <w:sz w:val="16"/>
                <w:szCs w:val="16"/>
              </w:rPr>
            </w:pPr>
            <w:r w:rsidRPr="003A2F86">
              <w:rPr>
                <w:rFonts w:ascii="Arial" w:hAnsi="Arial" w:cs="Arial"/>
                <w:sz w:val="16"/>
                <w:szCs w:val="16"/>
              </w:rPr>
              <w:t>49.755,62</w:t>
            </w:r>
          </w:p>
        </w:tc>
        <w:tc>
          <w:tcPr>
            <w:tcW w:w="1276" w:type="dxa"/>
            <w:tcBorders>
              <w:top w:val="nil"/>
              <w:left w:val="nil"/>
              <w:bottom w:val="single" w:sz="8" w:space="0" w:color="000000"/>
              <w:right w:val="single" w:sz="8" w:space="0" w:color="000000"/>
            </w:tcBorders>
            <w:tcMar>
              <w:left w:w="57" w:type="dxa"/>
              <w:right w:w="57" w:type="dxa"/>
            </w:tcMar>
            <w:vAlign w:val="center"/>
          </w:tcPr>
          <w:p w14:paraId="22650109" w14:textId="62BC2BA5" w:rsidR="000C0282" w:rsidRPr="003A2F86" w:rsidRDefault="000C0282" w:rsidP="000C0282">
            <w:pPr>
              <w:spacing w:after="0" w:line="240" w:lineRule="auto"/>
              <w:jc w:val="right"/>
              <w:rPr>
                <w:rFonts w:ascii="Arial" w:eastAsia="Times New Roman" w:hAnsi="Arial" w:cs="Arial"/>
                <w:sz w:val="16"/>
                <w:szCs w:val="16"/>
              </w:rPr>
            </w:pPr>
            <w:r w:rsidRPr="003A2F86">
              <w:rPr>
                <w:rFonts w:ascii="Arial" w:hAnsi="Arial" w:cs="Arial"/>
                <w:sz w:val="16"/>
                <w:szCs w:val="16"/>
              </w:rPr>
              <w:t>3.535.710,70</w:t>
            </w:r>
          </w:p>
        </w:tc>
        <w:tc>
          <w:tcPr>
            <w:tcW w:w="9833" w:type="dxa"/>
            <w:tcBorders>
              <w:top w:val="nil"/>
              <w:left w:val="nil"/>
              <w:bottom w:val="single" w:sz="8" w:space="0" w:color="000000"/>
              <w:right w:val="single" w:sz="8" w:space="0" w:color="000000"/>
            </w:tcBorders>
          </w:tcPr>
          <w:p w14:paraId="17E581F3" w14:textId="14F7339D" w:rsidR="000C0282" w:rsidRPr="003A2F86" w:rsidRDefault="000C0282" w:rsidP="000C0282">
            <w:pPr>
              <w:spacing w:after="0" w:line="240" w:lineRule="auto"/>
              <w:jc w:val="both"/>
              <w:rPr>
                <w:rFonts w:ascii="Arial" w:eastAsia="Times New Roman" w:hAnsi="Arial" w:cs="Arial"/>
                <w:sz w:val="16"/>
                <w:szCs w:val="16"/>
              </w:rPr>
            </w:pPr>
            <w:r w:rsidRPr="003A2F86">
              <w:rPr>
                <w:rFonts w:ascii="Arial" w:hAnsi="Arial" w:cs="Arial"/>
                <w:sz w:val="16"/>
                <w:szCs w:val="16"/>
              </w:rPr>
              <w:t xml:space="preserve">što je za 272.676,67 € ili 8,4% više u odnosu na izvještajno razdoblje prethodne godine. U prvom polugodištu 2019. ovi prihodi su iznosili 1.708.013,60 €. </w:t>
            </w:r>
          </w:p>
        </w:tc>
      </w:tr>
      <w:tr w:rsidR="000C0282" w:rsidRPr="003A2F86" w14:paraId="46AAF93C" w14:textId="77777777" w:rsidTr="00A201FC">
        <w:trPr>
          <w:jc w:val="center"/>
        </w:trPr>
        <w:tc>
          <w:tcPr>
            <w:tcW w:w="846" w:type="dxa"/>
            <w:tcBorders>
              <w:top w:val="nil"/>
              <w:left w:val="single" w:sz="8" w:space="0" w:color="000000"/>
              <w:bottom w:val="single" w:sz="8" w:space="0" w:color="000000"/>
              <w:right w:val="single" w:sz="8" w:space="0" w:color="000000"/>
            </w:tcBorders>
            <w:tcMar>
              <w:left w:w="57" w:type="dxa"/>
              <w:right w:w="57" w:type="dxa"/>
            </w:tcMar>
            <w:vAlign w:val="center"/>
          </w:tcPr>
          <w:p w14:paraId="3B5F3186" w14:textId="5A8CBCCE" w:rsidR="000C0282" w:rsidRPr="003A2F86" w:rsidRDefault="000C0282" w:rsidP="000C0282">
            <w:pPr>
              <w:spacing w:after="0" w:line="240" w:lineRule="auto"/>
              <w:jc w:val="center"/>
              <w:rPr>
                <w:rFonts w:ascii="Arial" w:eastAsia="Times New Roman" w:hAnsi="Arial" w:cs="Arial"/>
                <w:sz w:val="16"/>
                <w:szCs w:val="16"/>
              </w:rPr>
            </w:pPr>
            <w:r w:rsidRPr="003A2F86">
              <w:rPr>
                <w:rFonts w:ascii="Arial" w:hAnsi="Arial" w:cs="Arial"/>
                <w:sz w:val="16"/>
                <w:szCs w:val="16"/>
              </w:rPr>
              <w:t>2020.</w:t>
            </w:r>
          </w:p>
        </w:tc>
        <w:tc>
          <w:tcPr>
            <w:tcW w:w="1223" w:type="dxa"/>
            <w:tcBorders>
              <w:top w:val="nil"/>
              <w:left w:val="nil"/>
              <w:bottom w:val="single" w:sz="8" w:space="0" w:color="000000"/>
              <w:right w:val="single" w:sz="8" w:space="0" w:color="000000"/>
            </w:tcBorders>
            <w:tcMar>
              <w:left w:w="57" w:type="dxa"/>
              <w:right w:w="57" w:type="dxa"/>
            </w:tcMar>
            <w:vAlign w:val="center"/>
          </w:tcPr>
          <w:p w14:paraId="4DFBB5D3" w14:textId="3CFCF77E" w:rsidR="000C0282" w:rsidRPr="003A2F86" w:rsidRDefault="000C0282" w:rsidP="000C0282">
            <w:pPr>
              <w:spacing w:after="0" w:line="240" w:lineRule="auto"/>
              <w:jc w:val="right"/>
              <w:rPr>
                <w:rFonts w:ascii="Arial" w:eastAsia="Times New Roman" w:hAnsi="Arial" w:cs="Arial"/>
                <w:sz w:val="16"/>
                <w:szCs w:val="16"/>
              </w:rPr>
            </w:pPr>
            <w:r w:rsidRPr="003A2F86">
              <w:rPr>
                <w:rFonts w:ascii="Arial" w:hAnsi="Arial" w:cs="Arial"/>
                <w:sz w:val="16"/>
                <w:szCs w:val="16"/>
              </w:rPr>
              <w:t>357.066,45</w:t>
            </w:r>
          </w:p>
        </w:tc>
        <w:tc>
          <w:tcPr>
            <w:tcW w:w="1559" w:type="dxa"/>
            <w:tcBorders>
              <w:top w:val="nil"/>
              <w:left w:val="nil"/>
              <w:bottom w:val="single" w:sz="8" w:space="0" w:color="000000"/>
              <w:right w:val="single" w:sz="8" w:space="0" w:color="000000"/>
            </w:tcBorders>
            <w:tcMar>
              <w:left w:w="57" w:type="dxa"/>
              <w:right w:w="57" w:type="dxa"/>
            </w:tcMar>
            <w:vAlign w:val="center"/>
          </w:tcPr>
          <w:p w14:paraId="4C7B38D1" w14:textId="16BCF55C" w:rsidR="000C0282" w:rsidRPr="003A2F86" w:rsidRDefault="000C0282" w:rsidP="000C0282">
            <w:pPr>
              <w:spacing w:after="0" w:line="240" w:lineRule="auto"/>
              <w:jc w:val="right"/>
              <w:rPr>
                <w:rFonts w:ascii="Arial" w:eastAsia="Times New Roman" w:hAnsi="Arial" w:cs="Arial"/>
                <w:sz w:val="16"/>
                <w:szCs w:val="16"/>
              </w:rPr>
            </w:pPr>
            <w:r w:rsidRPr="003A2F86">
              <w:rPr>
                <w:rFonts w:ascii="Arial" w:hAnsi="Arial" w:cs="Arial"/>
                <w:sz w:val="16"/>
                <w:szCs w:val="16"/>
              </w:rPr>
              <w:t>35.707,91</w:t>
            </w:r>
          </w:p>
        </w:tc>
        <w:tc>
          <w:tcPr>
            <w:tcW w:w="1276" w:type="dxa"/>
            <w:tcBorders>
              <w:top w:val="nil"/>
              <w:left w:val="nil"/>
              <w:bottom w:val="single" w:sz="8" w:space="0" w:color="000000"/>
              <w:right w:val="single" w:sz="8" w:space="0" w:color="000000"/>
            </w:tcBorders>
            <w:tcMar>
              <w:left w:w="57" w:type="dxa"/>
              <w:right w:w="57" w:type="dxa"/>
            </w:tcMar>
            <w:vAlign w:val="center"/>
          </w:tcPr>
          <w:p w14:paraId="2E3F899C" w14:textId="0B05F49D" w:rsidR="000C0282" w:rsidRPr="003A2F86" w:rsidRDefault="000C0282" w:rsidP="000C0282">
            <w:pPr>
              <w:spacing w:after="0" w:line="240" w:lineRule="auto"/>
              <w:jc w:val="right"/>
              <w:rPr>
                <w:rFonts w:ascii="Arial" w:eastAsia="Times New Roman" w:hAnsi="Arial" w:cs="Arial"/>
                <w:sz w:val="16"/>
                <w:szCs w:val="16"/>
              </w:rPr>
            </w:pPr>
            <w:r w:rsidRPr="003A2F86">
              <w:rPr>
                <w:rFonts w:ascii="Arial" w:hAnsi="Arial" w:cs="Arial"/>
                <w:sz w:val="16"/>
                <w:szCs w:val="16"/>
              </w:rPr>
              <w:t>2.285.866,86</w:t>
            </w:r>
          </w:p>
        </w:tc>
        <w:tc>
          <w:tcPr>
            <w:tcW w:w="9833" w:type="dxa"/>
            <w:tcBorders>
              <w:top w:val="nil"/>
              <w:left w:val="nil"/>
              <w:bottom w:val="single" w:sz="8" w:space="0" w:color="000000"/>
              <w:right w:val="single" w:sz="8" w:space="0" w:color="000000"/>
            </w:tcBorders>
          </w:tcPr>
          <w:p w14:paraId="568EFDC9" w14:textId="037A1006" w:rsidR="000C0282" w:rsidRPr="003A2F86" w:rsidRDefault="000C0282" w:rsidP="000C0282">
            <w:pPr>
              <w:spacing w:after="0" w:line="240" w:lineRule="auto"/>
              <w:jc w:val="both"/>
              <w:rPr>
                <w:rFonts w:ascii="Arial" w:eastAsia="Times New Roman" w:hAnsi="Arial" w:cs="Arial"/>
                <w:sz w:val="16"/>
                <w:szCs w:val="16"/>
              </w:rPr>
            </w:pPr>
            <w:r w:rsidRPr="003A2F86">
              <w:rPr>
                <w:rFonts w:ascii="Arial" w:hAnsi="Arial" w:cs="Arial"/>
                <w:sz w:val="16"/>
                <w:szCs w:val="16"/>
              </w:rPr>
              <w:t>što je za 1.249.843,84 € ili 35,4% manje u odnosu na izvještajno razdoblje prethodne godine. U prvom polugodištu 2020. ovi prihodi iznose 1.002.246,11 €.</w:t>
            </w:r>
          </w:p>
        </w:tc>
      </w:tr>
      <w:tr w:rsidR="00B0794B" w:rsidRPr="003A2F86" w14:paraId="1347062C" w14:textId="77777777" w:rsidTr="00A201FC">
        <w:trPr>
          <w:jc w:val="center"/>
        </w:trPr>
        <w:tc>
          <w:tcPr>
            <w:tcW w:w="846" w:type="dxa"/>
            <w:tcBorders>
              <w:top w:val="nil"/>
              <w:left w:val="single" w:sz="8" w:space="0" w:color="000000"/>
              <w:bottom w:val="single" w:sz="4" w:space="0" w:color="auto"/>
              <w:right w:val="single" w:sz="8" w:space="0" w:color="000000"/>
            </w:tcBorders>
            <w:tcMar>
              <w:left w:w="57" w:type="dxa"/>
              <w:right w:w="57" w:type="dxa"/>
            </w:tcMar>
            <w:vAlign w:val="center"/>
          </w:tcPr>
          <w:p w14:paraId="60A1B67F" w14:textId="7EEF2474" w:rsidR="00B0794B" w:rsidRPr="003A2F86" w:rsidRDefault="00B0794B" w:rsidP="00B0794B">
            <w:pPr>
              <w:spacing w:after="0" w:line="240" w:lineRule="auto"/>
              <w:jc w:val="center"/>
              <w:rPr>
                <w:rFonts w:ascii="Arial" w:eastAsia="Times New Roman" w:hAnsi="Arial" w:cs="Arial"/>
                <w:sz w:val="16"/>
                <w:szCs w:val="16"/>
              </w:rPr>
            </w:pPr>
            <w:r w:rsidRPr="003A2F86">
              <w:rPr>
                <w:rFonts w:ascii="Arial" w:hAnsi="Arial" w:cs="Arial"/>
                <w:sz w:val="16"/>
                <w:szCs w:val="16"/>
              </w:rPr>
              <w:t>2021.</w:t>
            </w:r>
          </w:p>
        </w:tc>
        <w:tc>
          <w:tcPr>
            <w:tcW w:w="1223" w:type="dxa"/>
            <w:tcBorders>
              <w:top w:val="nil"/>
              <w:left w:val="nil"/>
              <w:bottom w:val="single" w:sz="4" w:space="0" w:color="auto"/>
              <w:right w:val="single" w:sz="8" w:space="0" w:color="000000"/>
            </w:tcBorders>
            <w:tcMar>
              <w:left w:w="57" w:type="dxa"/>
              <w:right w:w="57" w:type="dxa"/>
            </w:tcMar>
            <w:vAlign w:val="center"/>
          </w:tcPr>
          <w:p w14:paraId="36E3225E" w14:textId="07CDE4C3" w:rsidR="00B0794B" w:rsidRPr="003A2F86" w:rsidRDefault="00B0794B" w:rsidP="00B0794B">
            <w:pPr>
              <w:spacing w:after="0" w:line="240" w:lineRule="auto"/>
              <w:jc w:val="right"/>
              <w:rPr>
                <w:rFonts w:ascii="Arial" w:eastAsia="Times New Roman" w:hAnsi="Arial" w:cs="Arial"/>
                <w:sz w:val="16"/>
                <w:szCs w:val="16"/>
              </w:rPr>
            </w:pPr>
            <w:r w:rsidRPr="003A2F86">
              <w:rPr>
                <w:rFonts w:ascii="Arial" w:hAnsi="Arial" w:cs="Arial"/>
                <w:sz w:val="16"/>
                <w:szCs w:val="16"/>
              </w:rPr>
              <w:t>278.743,69</w:t>
            </w:r>
          </w:p>
        </w:tc>
        <w:tc>
          <w:tcPr>
            <w:tcW w:w="1559" w:type="dxa"/>
            <w:tcBorders>
              <w:top w:val="nil"/>
              <w:left w:val="nil"/>
              <w:bottom w:val="single" w:sz="4" w:space="0" w:color="auto"/>
              <w:right w:val="single" w:sz="8" w:space="0" w:color="000000"/>
            </w:tcBorders>
            <w:tcMar>
              <w:left w:w="57" w:type="dxa"/>
              <w:right w:w="57" w:type="dxa"/>
            </w:tcMar>
            <w:vAlign w:val="center"/>
          </w:tcPr>
          <w:p w14:paraId="42AA5022" w14:textId="6F4C611F" w:rsidR="00B0794B" w:rsidRPr="003A2F86" w:rsidRDefault="00B0794B" w:rsidP="00B0794B">
            <w:pPr>
              <w:spacing w:after="0" w:line="240" w:lineRule="auto"/>
              <w:jc w:val="right"/>
              <w:rPr>
                <w:rFonts w:ascii="Arial" w:eastAsia="Times New Roman" w:hAnsi="Arial" w:cs="Arial"/>
                <w:sz w:val="16"/>
                <w:szCs w:val="16"/>
              </w:rPr>
            </w:pPr>
            <w:r w:rsidRPr="003A2F86">
              <w:rPr>
                <w:rFonts w:ascii="Arial" w:hAnsi="Arial" w:cs="Arial"/>
                <w:sz w:val="16"/>
                <w:szCs w:val="16"/>
              </w:rPr>
              <w:t>27.875,07</w:t>
            </w:r>
          </w:p>
        </w:tc>
        <w:tc>
          <w:tcPr>
            <w:tcW w:w="1276" w:type="dxa"/>
            <w:tcBorders>
              <w:top w:val="nil"/>
              <w:left w:val="nil"/>
              <w:bottom w:val="single" w:sz="4" w:space="0" w:color="auto"/>
              <w:right w:val="single" w:sz="8" w:space="0" w:color="000000"/>
            </w:tcBorders>
            <w:tcMar>
              <w:left w:w="57" w:type="dxa"/>
              <w:right w:w="57" w:type="dxa"/>
            </w:tcMar>
            <w:vAlign w:val="center"/>
          </w:tcPr>
          <w:p w14:paraId="1AD0F5FB" w14:textId="347B2DDD" w:rsidR="00B0794B" w:rsidRPr="003A2F86" w:rsidRDefault="00B0794B" w:rsidP="00B0794B">
            <w:pPr>
              <w:spacing w:after="0" w:line="240" w:lineRule="auto"/>
              <w:jc w:val="right"/>
              <w:rPr>
                <w:rFonts w:ascii="Arial" w:eastAsia="Times New Roman" w:hAnsi="Arial" w:cs="Arial"/>
                <w:sz w:val="16"/>
                <w:szCs w:val="16"/>
              </w:rPr>
            </w:pPr>
            <w:r w:rsidRPr="003A2F86">
              <w:rPr>
                <w:rFonts w:ascii="Arial" w:hAnsi="Arial" w:cs="Arial"/>
                <w:sz w:val="16"/>
                <w:szCs w:val="16"/>
              </w:rPr>
              <w:t>2.296.723,21</w:t>
            </w:r>
          </w:p>
        </w:tc>
        <w:tc>
          <w:tcPr>
            <w:tcW w:w="9833" w:type="dxa"/>
            <w:tcBorders>
              <w:top w:val="nil"/>
              <w:left w:val="nil"/>
              <w:bottom w:val="single" w:sz="8" w:space="0" w:color="000000"/>
              <w:right w:val="single" w:sz="8" w:space="0" w:color="000000"/>
            </w:tcBorders>
            <w:vAlign w:val="center"/>
          </w:tcPr>
          <w:p w14:paraId="5D79588D" w14:textId="75ABBCE4" w:rsidR="00B0794B" w:rsidRPr="003A2F86" w:rsidRDefault="00B0794B" w:rsidP="00B0794B">
            <w:pPr>
              <w:spacing w:after="0" w:line="240" w:lineRule="auto"/>
              <w:jc w:val="both"/>
              <w:rPr>
                <w:rFonts w:ascii="Arial" w:eastAsia="Times New Roman" w:hAnsi="Arial" w:cs="Arial"/>
                <w:sz w:val="16"/>
                <w:szCs w:val="16"/>
              </w:rPr>
            </w:pPr>
            <w:r w:rsidRPr="003A2F86">
              <w:rPr>
                <w:rFonts w:ascii="Arial" w:hAnsi="Arial" w:cs="Arial"/>
                <w:sz w:val="16"/>
                <w:szCs w:val="16"/>
              </w:rPr>
              <w:t xml:space="preserve">što je za 10.856,36 € ili 0,5% više u odnosu na izvještajno razdoblje prethodne 2020. godine. </w:t>
            </w:r>
            <w:r w:rsidRPr="003A2F86">
              <w:rPr>
                <w:rFonts w:ascii="Arial" w:hAnsi="Arial" w:cs="Arial"/>
                <w:b/>
                <w:bCs/>
                <w:sz w:val="16"/>
                <w:szCs w:val="16"/>
              </w:rPr>
              <w:t>Međutim, u odnosu na izvještajno razdoblje 2019. godine ovi prihodi su manji za 35% (1.238.987,48 €).</w:t>
            </w:r>
            <w:r w:rsidRPr="003A2F86">
              <w:rPr>
                <w:rFonts w:ascii="Arial" w:hAnsi="Arial" w:cs="Arial"/>
                <w:sz w:val="16"/>
                <w:szCs w:val="16"/>
              </w:rPr>
              <w:t xml:space="preserve"> U prvom polugodištu 2021. ovi prihodi su iznosili 1.194.100,73 €.</w:t>
            </w:r>
          </w:p>
        </w:tc>
      </w:tr>
      <w:tr w:rsidR="00B0794B" w:rsidRPr="003A2F86" w14:paraId="6DC560DA" w14:textId="77777777" w:rsidTr="00A201FC">
        <w:trPr>
          <w:jc w:val="center"/>
        </w:trPr>
        <w:tc>
          <w:tcPr>
            <w:tcW w:w="846" w:type="dxa"/>
            <w:tcBorders>
              <w:top w:val="nil"/>
              <w:left w:val="single" w:sz="8" w:space="0" w:color="000000"/>
              <w:bottom w:val="single" w:sz="4" w:space="0" w:color="auto"/>
              <w:right w:val="single" w:sz="8" w:space="0" w:color="000000"/>
            </w:tcBorders>
            <w:tcMar>
              <w:left w:w="57" w:type="dxa"/>
              <w:right w:w="57" w:type="dxa"/>
            </w:tcMar>
            <w:vAlign w:val="center"/>
          </w:tcPr>
          <w:p w14:paraId="24BA92BF" w14:textId="42BC8FE6" w:rsidR="00B0794B" w:rsidRPr="003A2F86" w:rsidRDefault="00B0794B" w:rsidP="00B0794B">
            <w:pPr>
              <w:spacing w:after="0" w:line="240" w:lineRule="auto"/>
              <w:jc w:val="center"/>
              <w:rPr>
                <w:rFonts w:ascii="Arial" w:eastAsia="Times New Roman" w:hAnsi="Arial" w:cs="Arial"/>
                <w:sz w:val="16"/>
                <w:szCs w:val="16"/>
              </w:rPr>
            </w:pPr>
            <w:r w:rsidRPr="003A2F86">
              <w:rPr>
                <w:rFonts w:ascii="Arial" w:hAnsi="Arial" w:cs="Arial"/>
                <w:sz w:val="16"/>
                <w:szCs w:val="16"/>
              </w:rPr>
              <w:t>2022.</w:t>
            </w:r>
          </w:p>
        </w:tc>
        <w:tc>
          <w:tcPr>
            <w:tcW w:w="1223" w:type="dxa"/>
            <w:tcBorders>
              <w:top w:val="nil"/>
              <w:left w:val="nil"/>
              <w:bottom w:val="single" w:sz="4" w:space="0" w:color="auto"/>
              <w:right w:val="single" w:sz="8" w:space="0" w:color="000000"/>
            </w:tcBorders>
            <w:tcMar>
              <w:left w:w="57" w:type="dxa"/>
              <w:right w:w="57" w:type="dxa"/>
            </w:tcMar>
            <w:vAlign w:val="center"/>
          </w:tcPr>
          <w:p w14:paraId="249C779D" w14:textId="4CEEF401" w:rsidR="00B0794B" w:rsidRPr="003A2F86" w:rsidRDefault="00B0794B" w:rsidP="00B0794B">
            <w:pPr>
              <w:spacing w:after="0" w:line="240" w:lineRule="auto"/>
              <w:jc w:val="right"/>
              <w:rPr>
                <w:rFonts w:ascii="Arial" w:eastAsia="Times New Roman" w:hAnsi="Arial" w:cs="Arial"/>
                <w:sz w:val="16"/>
                <w:szCs w:val="16"/>
              </w:rPr>
            </w:pPr>
            <w:r w:rsidRPr="003A2F86">
              <w:rPr>
                <w:rFonts w:ascii="Arial" w:hAnsi="Arial" w:cs="Arial"/>
                <w:sz w:val="16"/>
                <w:szCs w:val="16"/>
              </w:rPr>
              <w:t>403.609,94</w:t>
            </w:r>
          </w:p>
        </w:tc>
        <w:tc>
          <w:tcPr>
            <w:tcW w:w="1559" w:type="dxa"/>
            <w:tcBorders>
              <w:top w:val="nil"/>
              <w:left w:val="nil"/>
              <w:bottom w:val="single" w:sz="4" w:space="0" w:color="auto"/>
              <w:right w:val="single" w:sz="8" w:space="0" w:color="000000"/>
            </w:tcBorders>
            <w:tcMar>
              <w:left w:w="57" w:type="dxa"/>
              <w:right w:w="57" w:type="dxa"/>
            </w:tcMar>
            <w:vAlign w:val="center"/>
          </w:tcPr>
          <w:p w14:paraId="21A58DCA" w14:textId="38954753" w:rsidR="00B0794B" w:rsidRPr="003A2F86" w:rsidRDefault="00B0794B" w:rsidP="00B0794B">
            <w:pPr>
              <w:spacing w:after="0" w:line="240" w:lineRule="auto"/>
              <w:jc w:val="right"/>
              <w:rPr>
                <w:rFonts w:ascii="Arial" w:eastAsia="Times New Roman" w:hAnsi="Arial" w:cs="Arial"/>
                <w:sz w:val="16"/>
                <w:szCs w:val="16"/>
              </w:rPr>
            </w:pPr>
            <w:r w:rsidRPr="003A2F86">
              <w:rPr>
                <w:rFonts w:ascii="Arial" w:hAnsi="Arial" w:cs="Arial"/>
                <w:sz w:val="16"/>
                <w:szCs w:val="16"/>
              </w:rPr>
              <w:t>40.362,02</w:t>
            </w:r>
          </w:p>
        </w:tc>
        <w:tc>
          <w:tcPr>
            <w:tcW w:w="1276" w:type="dxa"/>
            <w:tcBorders>
              <w:top w:val="nil"/>
              <w:left w:val="nil"/>
              <w:bottom w:val="single" w:sz="4" w:space="0" w:color="auto"/>
              <w:right w:val="single" w:sz="8" w:space="0" w:color="000000"/>
            </w:tcBorders>
            <w:tcMar>
              <w:left w:w="57" w:type="dxa"/>
              <w:right w:w="57" w:type="dxa"/>
            </w:tcMar>
            <w:vAlign w:val="center"/>
          </w:tcPr>
          <w:p w14:paraId="673D4A5C" w14:textId="4F3CECEE" w:rsidR="00B0794B" w:rsidRPr="003A2F86" w:rsidRDefault="00B0794B" w:rsidP="00B0794B">
            <w:pPr>
              <w:spacing w:after="0" w:line="240" w:lineRule="auto"/>
              <w:jc w:val="right"/>
              <w:rPr>
                <w:rFonts w:ascii="Arial" w:eastAsia="Times New Roman" w:hAnsi="Arial" w:cs="Arial"/>
                <w:sz w:val="16"/>
                <w:szCs w:val="16"/>
              </w:rPr>
            </w:pPr>
            <w:r w:rsidRPr="003A2F86">
              <w:rPr>
                <w:rFonts w:ascii="Arial" w:hAnsi="Arial" w:cs="Arial"/>
                <w:sz w:val="16"/>
                <w:szCs w:val="16"/>
              </w:rPr>
              <w:t>3.511.175,97</w:t>
            </w:r>
          </w:p>
        </w:tc>
        <w:tc>
          <w:tcPr>
            <w:tcW w:w="9833" w:type="dxa"/>
            <w:tcBorders>
              <w:top w:val="nil"/>
              <w:left w:val="nil"/>
              <w:bottom w:val="single" w:sz="8" w:space="0" w:color="000000"/>
              <w:right w:val="single" w:sz="8" w:space="0" w:color="000000"/>
            </w:tcBorders>
            <w:vAlign w:val="center"/>
          </w:tcPr>
          <w:p w14:paraId="355A8C4E" w14:textId="587A6FD6" w:rsidR="00B0794B" w:rsidRPr="003A2F86" w:rsidRDefault="00B0794B" w:rsidP="00B0794B">
            <w:pPr>
              <w:spacing w:after="0" w:line="240" w:lineRule="auto"/>
              <w:jc w:val="both"/>
              <w:rPr>
                <w:rFonts w:ascii="Arial" w:eastAsia="Times New Roman" w:hAnsi="Arial" w:cs="Arial"/>
                <w:sz w:val="16"/>
                <w:szCs w:val="16"/>
              </w:rPr>
            </w:pPr>
            <w:r w:rsidRPr="003A2F86">
              <w:rPr>
                <w:rFonts w:ascii="Arial" w:hAnsi="Arial" w:cs="Arial"/>
                <w:sz w:val="16"/>
                <w:szCs w:val="16"/>
              </w:rPr>
              <w:t xml:space="preserve">što je za 1.214.452,75 € ili 52,9% više u odnosu na izvještajno razdoblje prethodne 2021. godine. </w:t>
            </w:r>
            <w:r w:rsidRPr="003A2F86">
              <w:rPr>
                <w:rFonts w:ascii="Arial" w:hAnsi="Arial" w:cs="Arial"/>
                <w:b/>
                <w:bCs/>
                <w:sz w:val="16"/>
                <w:szCs w:val="16"/>
              </w:rPr>
              <w:t>Međutim, u odnosu na izvještajno razdoblje 2019. godine ovi prihodi su manji za 0,7% (24.534,73 €).</w:t>
            </w:r>
            <w:r w:rsidRPr="003A2F86">
              <w:rPr>
                <w:rFonts w:ascii="Arial" w:hAnsi="Arial" w:cs="Arial"/>
                <w:sz w:val="16"/>
                <w:szCs w:val="16"/>
              </w:rPr>
              <w:t xml:space="preserve"> U prvom polugodištu 2022. ovi prihodi su iznosili 1.272.079 €.</w:t>
            </w:r>
          </w:p>
        </w:tc>
      </w:tr>
      <w:tr w:rsidR="00B0794B" w:rsidRPr="003A2F86" w14:paraId="50E5CB40" w14:textId="77777777" w:rsidTr="00A201FC">
        <w:trPr>
          <w:jc w:val="center"/>
        </w:trPr>
        <w:tc>
          <w:tcPr>
            <w:tcW w:w="846" w:type="dxa"/>
            <w:tcBorders>
              <w:top w:val="single" w:sz="4" w:space="0" w:color="auto"/>
              <w:left w:val="single" w:sz="8" w:space="0" w:color="000000"/>
              <w:bottom w:val="single" w:sz="4" w:space="0" w:color="auto"/>
              <w:right w:val="single" w:sz="8" w:space="0" w:color="000000"/>
            </w:tcBorders>
            <w:tcMar>
              <w:left w:w="57" w:type="dxa"/>
              <w:right w:w="57" w:type="dxa"/>
            </w:tcMar>
            <w:vAlign w:val="center"/>
          </w:tcPr>
          <w:p w14:paraId="0F17C302" w14:textId="5144EC91" w:rsidR="00B0794B" w:rsidRPr="003A2F86" w:rsidRDefault="00B0794B" w:rsidP="00B0794B">
            <w:pPr>
              <w:spacing w:after="0" w:line="240" w:lineRule="auto"/>
              <w:jc w:val="center"/>
              <w:rPr>
                <w:rFonts w:ascii="Arial" w:hAnsi="Arial" w:cs="Arial"/>
                <w:sz w:val="16"/>
                <w:szCs w:val="16"/>
              </w:rPr>
            </w:pPr>
            <w:r w:rsidRPr="003A2F86">
              <w:rPr>
                <w:rFonts w:ascii="Arial" w:hAnsi="Arial" w:cs="Arial"/>
                <w:sz w:val="16"/>
                <w:szCs w:val="16"/>
              </w:rPr>
              <w:t>2023.</w:t>
            </w:r>
          </w:p>
        </w:tc>
        <w:tc>
          <w:tcPr>
            <w:tcW w:w="1223" w:type="dxa"/>
            <w:tcBorders>
              <w:top w:val="single" w:sz="4" w:space="0" w:color="auto"/>
              <w:left w:val="nil"/>
              <w:bottom w:val="single" w:sz="4" w:space="0" w:color="auto"/>
              <w:right w:val="single" w:sz="8" w:space="0" w:color="000000"/>
            </w:tcBorders>
            <w:tcMar>
              <w:left w:w="57" w:type="dxa"/>
              <w:right w:w="57" w:type="dxa"/>
            </w:tcMar>
            <w:vAlign w:val="center"/>
          </w:tcPr>
          <w:p w14:paraId="1DA0CFB6" w14:textId="17850682" w:rsidR="00B0794B" w:rsidRPr="003A2F86" w:rsidRDefault="00B0794B" w:rsidP="00B0794B">
            <w:pPr>
              <w:spacing w:after="0" w:line="240" w:lineRule="auto"/>
              <w:jc w:val="right"/>
              <w:rPr>
                <w:rFonts w:ascii="Arial" w:hAnsi="Arial" w:cs="Arial"/>
                <w:sz w:val="16"/>
                <w:szCs w:val="16"/>
              </w:rPr>
            </w:pPr>
            <w:r w:rsidRPr="003A2F86">
              <w:rPr>
                <w:rFonts w:ascii="Arial" w:hAnsi="Arial" w:cs="Arial"/>
                <w:sz w:val="16"/>
                <w:szCs w:val="16"/>
              </w:rPr>
              <w:t>609.381,07</w:t>
            </w:r>
          </w:p>
        </w:tc>
        <w:tc>
          <w:tcPr>
            <w:tcW w:w="1559" w:type="dxa"/>
            <w:tcBorders>
              <w:top w:val="single" w:sz="4" w:space="0" w:color="auto"/>
              <w:left w:val="nil"/>
              <w:bottom w:val="single" w:sz="4" w:space="0" w:color="auto"/>
              <w:right w:val="single" w:sz="8" w:space="0" w:color="000000"/>
            </w:tcBorders>
            <w:tcMar>
              <w:left w:w="57" w:type="dxa"/>
              <w:right w:w="57" w:type="dxa"/>
            </w:tcMar>
            <w:vAlign w:val="center"/>
          </w:tcPr>
          <w:p w14:paraId="3D4D447F" w14:textId="0730A329" w:rsidR="00B0794B" w:rsidRPr="003A2F86" w:rsidRDefault="00B0794B" w:rsidP="00B0794B">
            <w:pPr>
              <w:spacing w:after="0" w:line="240" w:lineRule="auto"/>
              <w:jc w:val="right"/>
              <w:rPr>
                <w:rFonts w:ascii="Arial" w:hAnsi="Arial" w:cs="Arial"/>
                <w:sz w:val="16"/>
                <w:szCs w:val="16"/>
              </w:rPr>
            </w:pPr>
            <w:r w:rsidRPr="003A2F86">
              <w:rPr>
                <w:rFonts w:ascii="Arial" w:hAnsi="Arial" w:cs="Arial"/>
                <w:sz w:val="16"/>
                <w:szCs w:val="16"/>
              </w:rPr>
              <w:t>60.939,66</w:t>
            </w:r>
          </w:p>
        </w:tc>
        <w:tc>
          <w:tcPr>
            <w:tcW w:w="1276" w:type="dxa"/>
            <w:tcBorders>
              <w:top w:val="single" w:sz="4" w:space="0" w:color="auto"/>
              <w:left w:val="nil"/>
              <w:bottom w:val="single" w:sz="4" w:space="0" w:color="auto"/>
              <w:right w:val="single" w:sz="8" w:space="0" w:color="000000"/>
            </w:tcBorders>
            <w:tcMar>
              <w:left w:w="57" w:type="dxa"/>
              <w:right w:w="57" w:type="dxa"/>
            </w:tcMar>
            <w:vAlign w:val="center"/>
          </w:tcPr>
          <w:p w14:paraId="58498BA2" w14:textId="2FB9BC50" w:rsidR="00B0794B" w:rsidRPr="003A2F86" w:rsidRDefault="00B0794B" w:rsidP="00B0794B">
            <w:pPr>
              <w:spacing w:after="0" w:line="240" w:lineRule="auto"/>
              <w:jc w:val="right"/>
              <w:rPr>
                <w:rFonts w:ascii="Arial" w:hAnsi="Arial" w:cs="Arial"/>
                <w:sz w:val="16"/>
                <w:szCs w:val="16"/>
              </w:rPr>
            </w:pPr>
            <w:r w:rsidRPr="003A2F86">
              <w:rPr>
                <w:rFonts w:ascii="Arial" w:hAnsi="Arial" w:cs="Arial"/>
                <w:sz w:val="16"/>
                <w:szCs w:val="16"/>
              </w:rPr>
              <w:t>5.179.821,16</w:t>
            </w:r>
          </w:p>
        </w:tc>
        <w:tc>
          <w:tcPr>
            <w:tcW w:w="9833" w:type="dxa"/>
            <w:tcBorders>
              <w:top w:val="single" w:sz="8" w:space="0" w:color="000000"/>
              <w:left w:val="nil"/>
              <w:bottom w:val="single" w:sz="4" w:space="0" w:color="auto"/>
              <w:right w:val="single" w:sz="8" w:space="0" w:color="000000"/>
            </w:tcBorders>
            <w:vAlign w:val="center"/>
          </w:tcPr>
          <w:p w14:paraId="187EBB58" w14:textId="2C7FD75B" w:rsidR="00B0794B" w:rsidRPr="003A2F86" w:rsidRDefault="00B0794B" w:rsidP="00B0794B">
            <w:pPr>
              <w:spacing w:after="0" w:line="240" w:lineRule="auto"/>
              <w:jc w:val="both"/>
              <w:rPr>
                <w:rFonts w:ascii="Arial" w:hAnsi="Arial" w:cs="Arial"/>
                <w:sz w:val="16"/>
                <w:szCs w:val="16"/>
              </w:rPr>
            </w:pPr>
            <w:r w:rsidRPr="003A2F86">
              <w:rPr>
                <w:rFonts w:ascii="Arial" w:hAnsi="Arial" w:cs="Arial"/>
                <w:sz w:val="16"/>
                <w:szCs w:val="16"/>
              </w:rPr>
              <w:t xml:space="preserve">što je za 1.668.645,19 € ili 47,5% više u odnosu na izvještajno razdoblje prethodne 2022. godine. </w:t>
            </w:r>
            <w:r w:rsidRPr="003A2F86">
              <w:rPr>
                <w:rFonts w:ascii="Arial" w:hAnsi="Arial" w:cs="Arial"/>
                <w:b/>
                <w:bCs/>
                <w:sz w:val="16"/>
                <w:szCs w:val="16"/>
              </w:rPr>
              <w:t>Međutim, u odnosu na izvještajno razdoblje 2019. godine ovi prihodi su veći za 46,5% (1.644.110,46 €).</w:t>
            </w:r>
            <w:r w:rsidRPr="003A2F86">
              <w:rPr>
                <w:rFonts w:ascii="Arial" w:hAnsi="Arial" w:cs="Arial"/>
                <w:sz w:val="16"/>
                <w:szCs w:val="16"/>
              </w:rPr>
              <w:t xml:space="preserve"> U prvom polugodištu 2023. ovi prihodi iznose 1.996.904,82 €.</w:t>
            </w:r>
          </w:p>
        </w:tc>
      </w:tr>
      <w:tr w:rsidR="00A201FC" w:rsidRPr="003A2F86" w14:paraId="4F9AE027" w14:textId="77777777" w:rsidTr="002C29DE">
        <w:trPr>
          <w:jc w:val="center"/>
        </w:trPr>
        <w:tc>
          <w:tcPr>
            <w:tcW w:w="846" w:type="dxa"/>
            <w:tcBorders>
              <w:top w:val="single" w:sz="4" w:space="0" w:color="auto"/>
              <w:left w:val="single" w:sz="8" w:space="0" w:color="000000"/>
              <w:bottom w:val="single" w:sz="4" w:space="0" w:color="auto"/>
              <w:right w:val="single" w:sz="8" w:space="0" w:color="000000"/>
            </w:tcBorders>
            <w:tcMar>
              <w:left w:w="57" w:type="dxa"/>
              <w:right w:w="57" w:type="dxa"/>
            </w:tcMar>
            <w:vAlign w:val="center"/>
          </w:tcPr>
          <w:p w14:paraId="6B7047B8" w14:textId="15F72E2C" w:rsidR="00A201FC" w:rsidRPr="003A2F86" w:rsidRDefault="00A201FC" w:rsidP="00B0794B">
            <w:pPr>
              <w:spacing w:after="0" w:line="240" w:lineRule="auto"/>
              <w:jc w:val="center"/>
              <w:rPr>
                <w:rFonts w:ascii="Arial" w:hAnsi="Arial" w:cs="Arial"/>
                <w:sz w:val="16"/>
                <w:szCs w:val="16"/>
              </w:rPr>
            </w:pPr>
            <w:r w:rsidRPr="003A2F86">
              <w:rPr>
                <w:rFonts w:ascii="Arial" w:hAnsi="Arial" w:cs="Arial"/>
                <w:sz w:val="16"/>
                <w:szCs w:val="16"/>
              </w:rPr>
              <w:t>2024.</w:t>
            </w:r>
          </w:p>
        </w:tc>
        <w:tc>
          <w:tcPr>
            <w:tcW w:w="1223" w:type="dxa"/>
            <w:tcBorders>
              <w:top w:val="single" w:sz="4" w:space="0" w:color="auto"/>
              <w:left w:val="nil"/>
              <w:bottom w:val="single" w:sz="4" w:space="0" w:color="auto"/>
              <w:right w:val="single" w:sz="8" w:space="0" w:color="000000"/>
            </w:tcBorders>
            <w:tcMar>
              <w:left w:w="57" w:type="dxa"/>
              <w:right w:w="57" w:type="dxa"/>
            </w:tcMar>
            <w:vAlign w:val="center"/>
          </w:tcPr>
          <w:p w14:paraId="4D7C5C79" w14:textId="480B17BE" w:rsidR="00A201FC" w:rsidRPr="003A2F86" w:rsidRDefault="00A201FC" w:rsidP="00B0794B">
            <w:pPr>
              <w:spacing w:after="0" w:line="240" w:lineRule="auto"/>
              <w:jc w:val="right"/>
              <w:rPr>
                <w:rFonts w:ascii="Arial" w:hAnsi="Arial" w:cs="Arial"/>
                <w:sz w:val="16"/>
                <w:szCs w:val="16"/>
              </w:rPr>
            </w:pPr>
            <w:r w:rsidRPr="003A2F86">
              <w:rPr>
                <w:rFonts w:ascii="Arial" w:hAnsi="Arial" w:cs="Arial"/>
                <w:sz w:val="16"/>
                <w:szCs w:val="16"/>
              </w:rPr>
              <w:t>0,00</w:t>
            </w:r>
          </w:p>
        </w:tc>
        <w:tc>
          <w:tcPr>
            <w:tcW w:w="1559" w:type="dxa"/>
            <w:tcBorders>
              <w:top w:val="single" w:sz="4" w:space="0" w:color="auto"/>
              <w:left w:val="nil"/>
              <w:bottom w:val="single" w:sz="4" w:space="0" w:color="auto"/>
              <w:right w:val="single" w:sz="8" w:space="0" w:color="000000"/>
            </w:tcBorders>
            <w:tcMar>
              <w:left w:w="57" w:type="dxa"/>
              <w:right w:w="57" w:type="dxa"/>
            </w:tcMar>
            <w:vAlign w:val="center"/>
          </w:tcPr>
          <w:p w14:paraId="36F466E6" w14:textId="01836423" w:rsidR="00A201FC" w:rsidRPr="003A2F86" w:rsidRDefault="00EE2985" w:rsidP="00B0794B">
            <w:pPr>
              <w:spacing w:after="0" w:line="240" w:lineRule="auto"/>
              <w:jc w:val="right"/>
              <w:rPr>
                <w:rFonts w:ascii="Arial" w:hAnsi="Arial" w:cs="Arial"/>
                <w:sz w:val="16"/>
                <w:szCs w:val="16"/>
              </w:rPr>
            </w:pPr>
            <w:r w:rsidRPr="003A2F86">
              <w:rPr>
                <w:rFonts w:ascii="Arial" w:hAnsi="Arial" w:cs="Arial"/>
                <w:sz w:val="16"/>
                <w:szCs w:val="16"/>
              </w:rPr>
              <w:t>80.906,14</w:t>
            </w:r>
          </w:p>
        </w:tc>
        <w:tc>
          <w:tcPr>
            <w:tcW w:w="1276" w:type="dxa"/>
            <w:tcBorders>
              <w:top w:val="single" w:sz="4" w:space="0" w:color="auto"/>
              <w:left w:val="nil"/>
              <w:bottom w:val="single" w:sz="4" w:space="0" w:color="auto"/>
              <w:right w:val="single" w:sz="8" w:space="0" w:color="000000"/>
            </w:tcBorders>
            <w:tcMar>
              <w:left w:w="57" w:type="dxa"/>
              <w:right w:w="57" w:type="dxa"/>
            </w:tcMar>
            <w:vAlign w:val="center"/>
          </w:tcPr>
          <w:p w14:paraId="591C5055" w14:textId="1EE1E1DE" w:rsidR="00A201FC" w:rsidRPr="003A2F86" w:rsidRDefault="00EE2985" w:rsidP="00B0794B">
            <w:pPr>
              <w:spacing w:after="0" w:line="240" w:lineRule="auto"/>
              <w:jc w:val="right"/>
              <w:rPr>
                <w:rFonts w:ascii="Arial" w:hAnsi="Arial" w:cs="Arial"/>
                <w:sz w:val="16"/>
                <w:szCs w:val="16"/>
              </w:rPr>
            </w:pPr>
            <w:r w:rsidRPr="003A2F86">
              <w:rPr>
                <w:rFonts w:ascii="Arial" w:hAnsi="Arial" w:cs="Arial"/>
                <w:sz w:val="16"/>
                <w:szCs w:val="16"/>
              </w:rPr>
              <w:t>6.068.112,14</w:t>
            </w:r>
          </w:p>
        </w:tc>
        <w:tc>
          <w:tcPr>
            <w:tcW w:w="9833" w:type="dxa"/>
            <w:tcBorders>
              <w:top w:val="single" w:sz="4" w:space="0" w:color="auto"/>
              <w:left w:val="nil"/>
              <w:bottom w:val="single" w:sz="4" w:space="0" w:color="auto"/>
              <w:right w:val="single" w:sz="8" w:space="0" w:color="000000"/>
            </w:tcBorders>
            <w:vAlign w:val="center"/>
          </w:tcPr>
          <w:p w14:paraId="2E42B15C" w14:textId="01BBA009" w:rsidR="00A201FC" w:rsidRPr="003A2F86" w:rsidRDefault="00EE2985" w:rsidP="00EE2985">
            <w:pPr>
              <w:spacing w:after="0" w:line="240" w:lineRule="auto"/>
              <w:jc w:val="both"/>
              <w:rPr>
                <w:rFonts w:ascii="Arial" w:hAnsi="Arial" w:cs="Arial"/>
                <w:sz w:val="16"/>
                <w:szCs w:val="16"/>
              </w:rPr>
            </w:pPr>
            <w:r w:rsidRPr="003A2F86">
              <w:rPr>
                <w:rFonts w:ascii="Arial" w:hAnsi="Arial" w:cs="Arial"/>
                <w:sz w:val="16"/>
                <w:szCs w:val="16"/>
              </w:rPr>
              <w:t xml:space="preserve">što je za 888.290,98 € ili 17,1% više  u odnosu na izvještajno  razdoblje prethodne 2023. godine. </w:t>
            </w:r>
            <w:r w:rsidRPr="003A2F86">
              <w:rPr>
                <w:rFonts w:ascii="Arial" w:hAnsi="Arial" w:cs="Arial"/>
                <w:b/>
                <w:bCs/>
                <w:sz w:val="16"/>
                <w:szCs w:val="16"/>
              </w:rPr>
              <w:t>Međutim, u odnosu na izvještajno razdoblje 2019. godine ovi prihodi su veći za 71,6% (2.532.401,44 €).</w:t>
            </w:r>
            <w:r w:rsidRPr="003A2F86">
              <w:rPr>
                <w:rFonts w:ascii="Arial" w:hAnsi="Arial" w:cs="Arial"/>
                <w:sz w:val="16"/>
                <w:szCs w:val="16"/>
              </w:rPr>
              <w:t xml:space="preserve"> U prvom polugodištu 2024. ovi prihodi su iznosili 2.404.906,63 €. </w:t>
            </w:r>
            <w:r w:rsidRPr="003A2F86">
              <w:rPr>
                <w:rFonts w:ascii="Arial" w:hAnsi="Arial" w:cs="Arial"/>
                <w:b/>
                <w:bCs/>
                <w:sz w:val="16"/>
                <w:szCs w:val="16"/>
              </w:rPr>
              <w:t>Od 1.1.2024. ne ostvaruju se prihodi od prireza na porez na dohodak.</w:t>
            </w:r>
          </w:p>
        </w:tc>
      </w:tr>
      <w:tr w:rsidR="00855C06" w:rsidRPr="009203E8" w14:paraId="7C809D45" w14:textId="77777777" w:rsidTr="00222421">
        <w:trPr>
          <w:jc w:val="center"/>
        </w:trPr>
        <w:tc>
          <w:tcPr>
            <w:tcW w:w="846" w:type="dxa"/>
            <w:tcBorders>
              <w:top w:val="nil"/>
              <w:left w:val="single" w:sz="8" w:space="0" w:color="000000"/>
              <w:bottom w:val="single" w:sz="8" w:space="0" w:color="000000"/>
              <w:right w:val="single" w:sz="8" w:space="0" w:color="000000"/>
            </w:tcBorders>
            <w:tcMar>
              <w:left w:w="57" w:type="dxa"/>
              <w:right w:w="57" w:type="dxa"/>
            </w:tcMar>
            <w:vAlign w:val="center"/>
          </w:tcPr>
          <w:p w14:paraId="7C98BC24" w14:textId="4AA731FF" w:rsidR="00855C06" w:rsidRPr="009203E8" w:rsidRDefault="00855C06" w:rsidP="00855C06">
            <w:pPr>
              <w:spacing w:after="0" w:line="240" w:lineRule="auto"/>
              <w:jc w:val="center"/>
              <w:rPr>
                <w:rFonts w:ascii="Arial" w:hAnsi="Arial" w:cs="Arial"/>
                <w:sz w:val="16"/>
                <w:szCs w:val="16"/>
              </w:rPr>
            </w:pPr>
            <w:r w:rsidRPr="009203E8">
              <w:rPr>
                <w:rFonts w:ascii="Arial" w:hAnsi="Arial" w:cs="Arial"/>
                <w:color w:val="000000"/>
                <w:sz w:val="16"/>
                <w:szCs w:val="16"/>
              </w:rPr>
              <w:t>2025.</w:t>
            </w:r>
          </w:p>
        </w:tc>
        <w:tc>
          <w:tcPr>
            <w:tcW w:w="1223" w:type="dxa"/>
            <w:tcBorders>
              <w:top w:val="nil"/>
              <w:left w:val="nil"/>
              <w:bottom w:val="single" w:sz="8" w:space="0" w:color="000000"/>
              <w:right w:val="single" w:sz="8" w:space="0" w:color="000000"/>
            </w:tcBorders>
            <w:tcMar>
              <w:left w:w="57" w:type="dxa"/>
              <w:right w:w="57" w:type="dxa"/>
            </w:tcMar>
            <w:vAlign w:val="center"/>
          </w:tcPr>
          <w:p w14:paraId="0A76B88D" w14:textId="644AE341" w:rsidR="00855C06" w:rsidRPr="009203E8" w:rsidRDefault="00855C06" w:rsidP="00855C06">
            <w:pPr>
              <w:spacing w:after="0" w:line="240" w:lineRule="auto"/>
              <w:jc w:val="right"/>
              <w:rPr>
                <w:rFonts w:ascii="Arial" w:hAnsi="Arial" w:cs="Arial"/>
                <w:sz w:val="16"/>
                <w:szCs w:val="16"/>
              </w:rPr>
            </w:pPr>
            <w:r w:rsidRPr="009203E8">
              <w:rPr>
                <w:rFonts w:ascii="Arial" w:hAnsi="Arial" w:cs="Arial"/>
                <w:color w:val="000000"/>
                <w:sz w:val="16"/>
                <w:szCs w:val="16"/>
              </w:rPr>
              <w:t>0,00</w:t>
            </w:r>
          </w:p>
        </w:tc>
        <w:tc>
          <w:tcPr>
            <w:tcW w:w="1559" w:type="dxa"/>
            <w:tcBorders>
              <w:top w:val="nil"/>
              <w:left w:val="nil"/>
              <w:bottom w:val="single" w:sz="8" w:space="0" w:color="000000"/>
              <w:right w:val="single" w:sz="8" w:space="0" w:color="000000"/>
            </w:tcBorders>
            <w:tcMar>
              <w:left w:w="57" w:type="dxa"/>
              <w:right w:w="57" w:type="dxa"/>
            </w:tcMar>
            <w:vAlign w:val="center"/>
          </w:tcPr>
          <w:p w14:paraId="0792BC4A" w14:textId="2F3E564D" w:rsidR="00855C06" w:rsidRPr="00855C06" w:rsidRDefault="00855C06" w:rsidP="00855C06">
            <w:pPr>
              <w:spacing w:after="0" w:line="240" w:lineRule="auto"/>
              <w:jc w:val="right"/>
              <w:rPr>
                <w:rFonts w:ascii="Arial" w:hAnsi="Arial" w:cs="Arial"/>
                <w:sz w:val="16"/>
                <w:szCs w:val="16"/>
              </w:rPr>
            </w:pPr>
            <w:r w:rsidRPr="00855C06">
              <w:rPr>
                <w:rFonts w:ascii="Arial" w:hAnsi="Arial" w:cs="Arial"/>
                <w:color w:val="000000"/>
                <w:sz w:val="16"/>
                <w:szCs w:val="16"/>
              </w:rPr>
              <w:t>96.352,88</w:t>
            </w:r>
          </w:p>
        </w:tc>
        <w:tc>
          <w:tcPr>
            <w:tcW w:w="1276" w:type="dxa"/>
            <w:tcBorders>
              <w:top w:val="nil"/>
              <w:left w:val="nil"/>
              <w:bottom w:val="single" w:sz="8" w:space="0" w:color="000000"/>
              <w:right w:val="single" w:sz="8" w:space="0" w:color="000000"/>
            </w:tcBorders>
            <w:tcMar>
              <w:left w:w="57" w:type="dxa"/>
              <w:right w:w="57" w:type="dxa"/>
            </w:tcMar>
            <w:vAlign w:val="center"/>
          </w:tcPr>
          <w:p w14:paraId="234E05CD" w14:textId="56E7B43A" w:rsidR="00855C06" w:rsidRPr="00855C06" w:rsidRDefault="00855C06" w:rsidP="00855C06">
            <w:pPr>
              <w:spacing w:after="0" w:line="240" w:lineRule="auto"/>
              <w:jc w:val="right"/>
              <w:rPr>
                <w:rFonts w:ascii="Arial" w:hAnsi="Arial" w:cs="Arial"/>
                <w:sz w:val="16"/>
                <w:szCs w:val="16"/>
              </w:rPr>
            </w:pPr>
            <w:r w:rsidRPr="00855C06">
              <w:rPr>
                <w:rFonts w:ascii="Arial" w:hAnsi="Arial" w:cs="Arial"/>
                <w:color w:val="000000"/>
                <w:sz w:val="16"/>
                <w:szCs w:val="16"/>
              </w:rPr>
              <w:t>7.226.645,11</w:t>
            </w:r>
          </w:p>
        </w:tc>
        <w:tc>
          <w:tcPr>
            <w:tcW w:w="9833" w:type="dxa"/>
            <w:tcBorders>
              <w:top w:val="nil"/>
              <w:left w:val="nil"/>
              <w:bottom w:val="single" w:sz="8" w:space="0" w:color="000000"/>
              <w:right w:val="single" w:sz="8" w:space="0" w:color="000000"/>
            </w:tcBorders>
            <w:vAlign w:val="center"/>
          </w:tcPr>
          <w:p w14:paraId="034155AE" w14:textId="047D014A" w:rsidR="00855C06" w:rsidRPr="009203E8" w:rsidRDefault="00855C06" w:rsidP="00855C06">
            <w:pPr>
              <w:spacing w:after="0" w:line="240" w:lineRule="auto"/>
              <w:jc w:val="both"/>
              <w:rPr>
                <w:rFonts w:ascii="Arial" w:hAnsi="Arial" w:cs="Arial"/>
                <w:sz w:val="16"/>
                <w:szCs w:val="16"/>
              </w:rPr>
            </w:pPr>
            <w:r w:rsidRPr="00855C06">
              <w:rPr>
                <w:rFonts w:ascii="Arial" w:hAnsi="Arial" w:cs="Arial"/>
                <w:sz w:val="16"/>
                <w:szCs w:val="16"/>
              </w:rPr>
              <w:t>što je za 1.158.532,97 € ili 19,1% više  u odnosu na izvještajno  razdoblje prethodne 2024. godine. U prvom polugodištu 2025. ovi prihodi su iznosili 2.846.748,20 €.</w:t>
            </w:r>
          </w:p>
        </w:tc>
      </w:tr>
    </w:tbl>
    <w:p w14:paraId="5F86698A" w14:textId="77777777" w:rsidR="00986BD0" w:rsidRPr="00C17905" w:rsidRDefault="00986BD0" w:rsidP="00292C7C">
      <w:pPr>
        <w:spacing w:after="0" w:line="240" w:lineRule="auto"/>
        <w:jc w:val="both"/>
        <w:rPr>
          <w:rFonts w:ascii="Arial" w:eastAsia="Times New Roman" w:hAnsi="Arial" w:cs="Arial"/>
          <w:iCs/>
          <w:lang w:eastAsia="en-US"/>
        </w:rPr>
      </w:pPr>
    </w:p>
    <w:p w14:paraId="67F6E77F" w14:textId="68F50DD7" w:rsidR="00542894" w:rsidRPr="00C17905" w:rsidRDefault="00542894" w:rsidP="00542894">
      <w:pPr>
        <w:spacing w:after="0" w:line="240" w:lineRule="auto"/>
        <w:jc w:val="both"/>
        <w:rPr>
          <w:rFonts w:ascii="Arial" w:eastAsia="Times New Roman" w:hAnsi="Arial" w:cs="Arial"/>
          <w:lang w:eastAsia="en-US"/>
        </w:rPr>
      </w:pPr>
      <w:r w:rsidRPr="00C17905">
        <w:rPr>
          <w:rFonts w:ascii="Arial" w:eastAsia="Times New Roman" w:hAnsi="Arial" w:cs="Arial"/>
          <w:b/>
          <w:bCs/>
          <w:lang w:eastAsia="en-US"/>
        </w:rPr>
        <w:t>Povrati poreza i prireza na dohodak</w:t>
      </w:r>
      <w:r w:rsidRPr="00C17905">
        <w:rPr>
          <w:rFonts w:ascii="Arial" w:eastAsia="Times New Roman" w:hAnsi="Arial" w:cs="Arial"/>
          <w:lang w:eastAsia="en-US"/>
        </w:rPr>
        <w:t xml:space="preserve"> (6117) u iznosu -</w:t>
      </w:r>
      <w:r w:rsidR="00C17905" w:rsidRPr="00C17905">
        <w:rPr>
          <w:rFonts w:ascii="Arial" w:eastAsia="Times New Roman" w:hAnsi="Arial" w:cs="Arial"/>
          <w:lang w:eastAsia="en-US"/>
        </w:rPr>
        <w:t>760.540,75</w:t>
      </w:r>
      <w:r w:rsidRPr="00C17905">
        <w:rPr>
          <w:rFonts w:ascii="Arial" w:eastAsia="Times New Roman" w:hAnsi="Arial" w:cs="Arial"/>
          <w:lang w:eastAsia="en-US"/>
        </w:rPr>
        <w:t xml:space="preserve"> € su u 202</w:t>
      </w:r>
      <w:r w:rsidR="009203E8" w:rsidRPr="00C17905">
        <w:rPr>
          <w:rFonts w:ascii="Arial" w:eastAsia="Times New Roman" w:hAnsi="Arial" w:cs="Arial"/>
          <w:lang w:eastAsia="en-US"/>
        </w:rPr>
        <w:t>5</w:t>
      </w:r>
      <w:r w:rsidRPr="00C17905">
        <w:rPr>
          <w:rFonts w:ascii="Arial" w:eastAsia="Times New Roman" w:hAnsi="Arial" w:cs="Arial"/>
          <w:lang w:eastAsia="en-US"/>
        </w:rPr>
        <w:t>. veći nego 202</w:t>
      </w:r>
      <w:r w:rsidR="009203E8" w:rsidRPr="00C17905">
        <w:rPr>
          <w:rFonts w:ascii="Arial" w:eastAsia="Times New Roman" w:hAnsi="Arial" w:cs="Arial"/>
          <w:lang w:eastAsia="en-US"/>
        </w:rPr>
        <w:t>4</w:t>
      </w:r>
      <w:r w:rsidRPr="00C17905">
        <w:rPr>
          <w:rFonts w:ascii="Arial" w:eastAsia="Times New Roman" w:hAnsi="Arial" w:cs="Arial"/>
          <w:lang w:eastAsia="en-US"/>
        </w:rPr>
        <w:t xml:space="preserve">. godine (više </w:t>
      </w:r>
      <w:r w:rsidR="00C17905" w:rsidRPr="00C17905">
        <w:rPr>
          <w:rFonts w:ascii="Arial" w:eastAsia="Times New Roman" w:hAnsi="Arial" w:cs="Arial"/>
          <w:lang w:eastAsia="en-US"/>
        </w:rPr>
        <w:t>93.706,03</w:t>
      </w:r>
      <w:r w:rsidR="00E11912" w:rsidRPr="00C17905">
        <w:rPr>
          <w:rFonts w:ascii="Arial" w:eastAsia="Times New Roman" w:hAnsi="Arial" w:cs="Arial"/>
          <w:lang w:eastAsia="en-US"/>
        </w:rPr>
        <w:t xml:space="preserve"> €</w:t>
      </w:r>
      <w:r w:rsidR="007945A5" w:rsidRPr="00C17905">
        <w:rPr>
          <w:rFonts w:ascii="Arial" w:eastAsia="Times New Roman" w:hAnsi="Arial" w:cs="Arial"/>
          <w:lang w:eastAsia="en-US"/>
        </w:rPr>
        <w:t xml:space="preserve"> ili </w:t>
      </w:r>
      <w:r w:rsidR="00C17905" w:rsidRPr="00C17905">
        <w:rPr>
          <w:rFonts w:ascii="Arial" w:eastAsia="Times New Roman" w:hAnsi="Arial" w:cs="Arial"/>
          <w:lang w:eastAsia="en-US"/>
        </w:rPr>
        <w:t>14</w:t>
      </w:r>
      <w:r w:rsidR="007945A5" w:rsidRPr="00C17905">
        <w:rPr>
          <w:rFonts w:ascii="Arial" w:eastAsia="Times New Roman" w:hAnsi="Arial" w:cs="Arial"/>
          <w:lang w:eastAsia="en-US"/>
        </w:rPr>
        <w:t>%</w:t>
      </w:r>
      <w:r w:rsidR="00E11912" w:rsidRPr="00C17905">
        <w:rPr>
          <w:rFonts w:ascii="Arial" w:eastAsia="Times New Roman" w:hAnsi="Arial" w:cs="Arial"/>
          <w:lang w:eastAsia="en-US"/>
        </w:rPr>
        <w:t>)</w:t>
      </w:r>
      <w:r w:rsidRPr="00C17905">
        <w:rPr>
          <w:rFonts w:ascii="Arial" w:eastAsia="Times New Roman" w:hAnsi="Arial" w:cs="Arial"/>
          <w:lang w:eastAsia="en-US"/>
        </w:rPr>
        <w:t>.</w:t>
      </w:r>
    </w:p>
    <w:p w14:paraId="0CBC9A47" w14:textId="77777777" w:rsidR="00542894" w:rsidRPr="00C17905" w:rsidRDefault="00542894" w:rsidP="00292C7C">
      <w:pPr>
        <w:spacing w:after="0" w:line="240" w:lineRule="auto"/>
        <w:jc w:val="both"/>
        <w:rPr>
          <w:rFonts w:ascii="Arial" w:eastAsia="Times New Roman" w:hAnsi="Arial" w:cs="Arial"/>
          <w:iCs/>
          <w:lang w:eastAsia="en-US"/>
        </w:rPr>
      </w:pPr>
    </w:p>
    <w:p w14:paraId="05716E69" w14:textId="208C80BA" w:rsidR="00842B06" w:rsidRPr="00C17905" w:rsidRDefault="00842B06" w:rsidP="00842B06">
      <w:pPr>
        <w:spacing w:after="0" w:line="240" w:lineRule="auto"/>
        <w:jc w:val="both"/>
        <w:rPr>
          <w:rFonts w:ascii="Arial" w:eastAsia="Times New Roman" w:hAnsi="Arial" w:cs="Arial"/>
          <w:iCs/>
          <w:lang w:eastAsia="en-US"/>
        </w:rPr>
      </w:pPr>
      <w:bookmarkStart w:id="93" w:name="_Hlk66197822"/>
      <w:bookmarkStart w:id="94" w:name="_Hlk77854997"/>
      <w:bookmarkEnd w:id="91"/>
      <w:r w:rsidRPr="00C17905">
        <w:rPr>
          <w:rFonts w:ascii="Arial" w:eastAsia="Times New Roman" w:hAnsi="Arial" w:cs="Arial"/>
          <w:iCs/>
          <w:lang w:eastAsia="en-US"/>
        </w:rPr>
        <w:t xml:space="preserve">U okviru prihoda od poreza </w:t>
      </w:r>
      <w:r w:rsidR="00D26A04" w:rsidRPr="00C17905">
        <w:rPr>
          <w:rFonts w:ascii="Arial" w:eastAsia="Times New Roman" w:hAnsi="Arial" w:cs="Arial"/>
          <w:iCs/>
          <w:lang w:eastAsia="en-US"/>
        </w:rPr>
        <w:t>smanjenje</w:t>
      </w:r>
      <w:r w:rsidRPr="00C17905">
        <w:rPr>
          <w:rFonts w:ascii="Arial" w:eastAsia="Times New Roman" w:hAnsi="Arial" w:cs="Arial"/>
          <w:iCs/>
          <w:lang w:eastAsia="en-US"/>
        </w:rPr>
        <w:t xml:space="preserve"> je ostvareno u okviru prihoda od poreza na promet nekretnina (6134) koji su ostvareni u iznosu </w:t>
      </w:r>
      <w:r w:rsidR="00C17905" w:rsidRPr="00C17905">
        <w:rPr>
          <w:rFonts w:ascii="Arial" w:eastAsia="Times New Roman" w:hAnsi="Arial" w:cs="Arial"/>
          <w:iCs/>
          <w:lang w:eastAsia="en-US"/>
        </w:rPr>
        <w:t>824.110,78</w:t>
      </w:r>
      <w:r w:rsidRPr="00C17905">
        <w:rPr>
          <w:rFonts w:ascii="Arial" w:eastAsia="Times New Roman" w:hAnsi="Arial" w:cs="Arial"/>
          <w:iCs/>
          <w:lang w:eastAsia="en-US"/>
        </w:rPr>
        <w:t xml:space="preserve"> € što je </w:t>
      </w:r>
      <w:r w:rsidR="00C17905" w:rsidRPr="00C17905">
        <w:rPr>
          <w:rFonts w:ascii="Arial" w:eastAsia="Times New Roman" w:hAnsi="Arial" w:cs="Arial"/>
          <w:iCs/>
          <w:lang w:eastAsia="en-US"/>
        </w:rPr>
        <w:t>više</w:t>
      </w:r>
      <w:r w:rsidRPr="00C17905">
        <w:rPr>
          <w:rFonts w:ascii="Arial" w:eastAsia="Times New Roman" w:hAnsi="Arial" w:cs="Arial"/>
          <w:iCs/>
          <w:lang w:eastAsia="en-US"/>
        </w:rPr>
        <w:t xml:space="preserve"> za </w:t>
      </w:r>
      <w:r w:rsidR="00C17905" w:rsidRPr="00C17905">
        <w:rPr>
          <w:rFonts w:ascii="Arial" w:eastAsia="Times New Roman" w:hAnsi="Arial" w:cs="Arial"/>
          <w:iCs/>
          <w:lang w:eastAsia="en-US"/>
        </w:rPr>
        <w:t>52.757,39</w:t>
      </w:r>
      <w:r w:rsidRPr="00C17905">
        <w:rPr>
          <w:rFonts w:ascii="Arial" w:eastAsia="Times New Roman" w:hAnsi="Arial" w:cs="Arial"/>
          <w:iCs/>
          <w:lang w:eastAsia="en-US"/>
        </w:rPr>
        <w:t xml:space="preserve"> € ili </w:t>
      </w:r>
      <w:r w:rsidR="00C17905" w:rsidRPr="00C17905">
        <w:rPr>
          <w:rFonts w:ascii="Arial" w:eastAsia="Times New Roman" w:hAnsi="Arial" w:cs="Arial"/>
          <w:iCs/>
          <w:lang w:eastAsia="en-US"/>
        </w:rPr>
        <w:t>6,8</w:t>
      </w:r>
      <w:r w:rsidRPr="00C17905">
        <w:rPr>
          <w:rFonts w:ascii="Arial" w:eastAsia="Times New Roman" w:hAnsi="Arial" w:cs="Arial"/>
          <w:iCs/>
          <w:lang w:eastAsia="en-US"/>
        </w:rPr>
        <w:t>% u odnosu na izvještajno razdoblje prethodne godine.</w:t>
      </w:r>
    </w:p>
    <w:bookmarkEnd w:id="93"/>
    <w:p w14:paraId="5232E469" w14:textId="77777777" w:rsidR="00842B06" w:rsidRPr="00C17905" w:rsidRDefault="00842B06" w:rsidP="00281E75">
      <w:pPr>
        <w:spacing w:after="0" w:line="240" w:lineRule="auto"/>
        <w:jc w:val="both"/>
        <w:rPr>
          <w:rFonts w:ascii="Arial" w:eastAsia="Times New Roman" w:hAnsi="Arial" w:cs="Arial"/>
          <w:iCs/>
          <w:lang w:eastAsia="en-US"/>
        </w:rPr>
      </w:pPr>
    </w:p>
    <w:p w14:paraId="1511E69E" w14:textId="5260448E" w:rsidR="00281E75" w:rsidRPr="00C17905" w:rsidRDefault="00281E75" w:rsidP="00281E75">
      <w:pPr>
        <w:spacing w:after="0" w:line="240" w:lineRule="auto"/>
        <w:jc w:val="both"/>
        <w:rPr>
          <w:rFonts w:ascii="Arial" w:eastAsia="Times New Roman" w:hAnsi="Arial" w:cs="Arial"/>
          <w:iCs/>
          <w:lang w:eastAsia="en-US"/>
        </w:rPr>
      </w:pPr>
      <w:r w:rsidRPr="00C17905">
        <w:rPr>
          <w:rFonts w:ascii="Arial" w:eastAsia="Times New Roman" w:hAnsi="Arial" w:cs="Arial"/>
          <w:iCs/>
          <w:lang w:eastAsia="en-US"/>
        </w:rPr>
        <w:t>Prihodi od poreza na promet nekretnina od 1.1.2017. u cijelosti pripadaju lokalnoj jedinici (od početka 2015. do konca 2016. općini je pripadalo 80% umjesto dotadašnjih 60%).</w:t>
      </w:r>
    </w:p>
    <w:p w14:paraId="703CB26E" w14:textId="77777777" w:rsidR="00891119" w:rsidRPr="003A2F86" w:rsidRDefault="00891119" w:rsidP="00891119">
      <w:pPr>
        <w:spacing w:after="0" w:line="240" w:lineRule="auto"/>
        <w:jc w:val="both"/>
        <w:rPr>
          <w:rFonts w:ascii="Arial" w:eastAsia="Times New Roman" w:hAnsi="Arial" w:cs="Arial"/>
          <w:i/>
          <w:iCs/>
          <w:lang w:eastAsia="en-US"/>
        </w:rPr>
      </w:pPr>
      <w:r w:rsidRPr="003A2F86">
        <w:rPr>
          <w:rFonts w:ascii="Arial" w:eastAsia="Times New Roman" w:hAnsi="Arial" w:cs="Arial"/>
          <w:i/>
          <w:iCs/>
          <w:lang w:eastAsia="en-US"/>
        </w:rPr>
        <w:t>*Usporedba: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850"/>
        <w:gridCol w:w="1134"/>
        <w:gridCol w:w="11204"/>
      </w:tblGrid>
      <w:tr w:rsidR="0003624E" w:rsidRPr="003A2F86" w14:paraId="759711D4" w14:textId="77777777" w:rsidTr="003F5539">
        <w:trPr>
          <w:jc w:val="center"/>
        </w:trPr>
        <w:tc>
          <w:tcPr>
            <w:tcW w:w="988" w:type="dxa"/>
            <w:tcBorders>
              <w:right w:val="nil"/>
            </w:tcBorders>
            <w:vAlign w:val="center"/>
          </w:tcPr>
          <w:p w14:paraId="6396287C" w14:textId="77777777" w:rsidR="00232BCA" w:rsidRPr="003A2F86" w:rsidRDefault="00232BCA" w:rsidP="00232BCA">
            <w:pPr>
              <w:spacing w:after="0" w:line="240" w:lineRule="auto"/>
              <w:jc w:val="center"/>
              <w:rPr>
                <w:rFonts w:ascii="Arial" w:eastAsia="Times New Roman" w:hAnsi="Arial" w:cs="Arial"/>
                <w:b/>
                <w:i/>
                <w:iCs/>
                <w:sz w:val="20"/>
                <w:szCs w:val="20"/>
                <w:lang w:eastAsia="en-US"/>
              </w:rPr>
            </w:pPr>
          </w:p>
        </w:tc>
        <w:tc>
          <w:tcPr>
            <w:tcW w:w="850" w:type="dxa"/>
            <w:tcBorders>
              <w:left w:val="nil"/>
              <w:right w:val="nil"/>
            </w:tcBorders>
          </w:tcPr>
          <w:p w14:paraId="129C0713" w14:textId="77777777" w:rsidR="00232BCA" w:rsidRPr="003A2F86" w:rsidRDefault="00232BCA" w:rsidP="00232BCA">
            <w:pPr>
              <w:spacing w:after="0" w:line="240" w:lineRule="auto"/>
              <w:jc w:val="center"/>
              <w:rPr>
                <w:rFonts w:ascii="Arial" w:eastAsia="Times New Roman" w:hAnsi="Arial" w:cs="Arial"/>
                <w:b/>
                <w:i/>
                <w:iCs/>
                <w:sz w:val="20"/>
                <w:szCs w:val="20"/>
                <w:lang w:eastAsia="en-US"/>
              </w:rPr>
            </w:pPr>
          </w:p>
        </w:tc>
        <w:tc>
          <w:tcPr>
            <w:tcW w:w="1134" w:type="dxa"/>
            <w:tcBorders>
              <w:left w:val="nil"/>
              <w:right w:val="nil"/>
            </w:tcBorders>
            <w:vAlign w:val="center"/>
          </w:tcPr>
          <w:p w14:paraId="06C81835" w14:textId="77777777" w:rsidR="00232BCA" w:rsidRPr="003A2F86" w:rsidRDefault="00232BCA" w:rsidP="00232BCA">
            <w:pPr>
              <w:spacing w:after="0" w:line="240" w:lineRule="auto"/>
              <w:jc w:val="center"/>
              <w:rPr>
                <w:rFonts w:ascii="Arial" w:eastAsia="Times New Roman" w:hAnsi="Arial" w:cs="Arial"/>
                <w:b/>
                <w:i/>
                <w:iCs/>
                <w:sz w:val="20"/>
                <w:szCs w:val="20"/>
                <w:lang w:eastAsia="en-US"/>
              </w:rPr>
            </w:pPr>
          </w:p>
        </w:tc>
        <w:tc>
          <w:tcPr>
            <w:tcW w:w="11204" w:type="dxa"/>
            <w:tcBorders>
              <w:left w:val="nil"/>
            </w:tcBorders>
            <w:vAlign w:val="center"/>
          </w:tcPr>
          <w:p w14:paraId="4555547D" w14:textId="77777777" w:rsidR="00232BCA" w:rsidRPr="003A2F86" w:rsidRDefault="00232BCA" w:rsidP="00232BCA">
            <w:pPr>
              <w:spacing w:after="0" w:line="240" w:lineRule="auto"/>
              <w:jc w:val="center"/>
              <w:rPr>
                <w:rFonts w:ascii="Arial" w:eastAsia="Times New Roman" w:hAnsi="Arial" w:cs="Arial"/>
                <w:b/>
                <w:i/>
                <w:iCs/>
                <w:sz w:val="20"/>
                <w:szCs w:val="20"/>
                <w:lang w:eastAsia="en-US"/>
              </w:rPr>
            </w:pPr>
            <w:r w:rsidRPr="003A2F86">
              <w:rPr>
                <w:rFonts w:ascii="Arial" w:eastAsia="Times New Roman" w:hAnsi="Arial" w:cs="Arial"/>
                <w:b/>
                <w:i/>
                <w:iCs/>
                <w:sz w:val="20"/>
                <w:szCs w:val="20"/>
                <w:lang w:eastAsia="en-US"/>
              </w:rPr>
              <w:t>Prihod od poreza na promet nekretnina (</w:t>
            </w:r>
            <w:r w:rsidRPr="003A2F86">
              <w:rPr>
                <w:rFonts w:ascii="Arial" w:eastAsia="Times New Roman" w:hAnsi="Arial" w:cs="Arial"/>
                <w:b/>
                <w:i/>
                <w:iCs/>
                <w:color w:val="FF0000"/>
                <w:sz w:val="20"/>
                <w:szCs w:val="20"/>
                <w:lang w:eastAsia="en-US"/>
              </w:rPr>
              <w:t>6134</w:t>
            </w:r>
            <w:r w:rsidRPr="003A2F86">
              <w:rPr>
                <w:rFonts w:ascii="Arial" w:eastAsia="Times New Roman" w:hAnsi="Arial" w:cs="Arial"/>
                <w:b/>
                <w:i/>
                <w:iCs/>
                <w:sz w:val="20"/>
                <w:szCs w:val="20"/>
                <w:lang w:eastAsia="en-US"/>
              </w:rPr>
              <w:t>)</w:t>
            </w:r>
          </w:p>
        </w:tc>
      </w:tr>
      <w:tr w:rsidR="0003624E" w:rsidRPr="003A2F86" w14:paraId="1E09C5B9" w14:textId="77777777" w:rsidTr="003F5539">
        <w:trPr>
          <w:jc w:val="center"/>
        </w:trPr>
        <w:tc>
          <w:tcPr>
            <w:tcW w:w="988" w:type="dxa"/>
            <w:vAlign w:val="center"/>
          </w:tcPr>
          <w:p w14:paraId="3F93EABA" w14:textId="77777777" w:rsidR="00232BCA" w:rsidRPr="003A2F86" w:rsidRDefault="00232BCA" w:rsidP="00891119">
            <w:pPr>
              <w:spacing w:after="0" w:line="240" w:lineRule="auto"/>
              <w:jc w:val="center"/>
              <w:rPr>
                <w:rFonts w:ascii="Arial" w:eastAsia="Times New Roman" w:hAnsi="Arial" w:cs="Arial"/>
                <w:b/>
                <w:i/>
                <w:iCs/>
                <w:sz w:val="18"/>
                <w:szCs w:val="18"/>
                <w:lang w:eastAsia="en-US"/>
              </w:rPr>
            </w:pPr>
            <w:r w:rsidRPr="003A2F86">
              <w:rPr>
                <w:rFonts w:ascii="Arial" w:eastAsia="Times New Roman" w:hAnsi="Arial" w:cs="Arial"/>
                <w:b/>
                <w:i/>
                <w:iCs/>
                <w:sz w:val="18"/>
                <w:szCs w:val="18"/>
                <w:lang w:eastAsia="en-US"/>
              </w:rPr>
              <w:t>Godina</w:t>
            </w:r>
          </w:p>
        </w:tc>
        <w:tc>
          <w:tcPr>
            <w:tcW w:w="850" w:type="dxa"/>
          </w:tcPr>
          <w:p w14:paraId="28A0AD06" w14:textId="77777777" w:rsidR="00232BCA" w:rsidRPr="003A2F86" w:rsidRDefault="00232BCA" w:rsidP="00DD3C90">
            <w:pPr>
              <w:spacing w:after="0" w:line="240" w:lineRule="auto"/>
              <w:jc w:val="center"/>
              <w:rPr>
                <w:rFonts w:ascii="Arial" w:eastAsia="Times New Roman" w:hAnsi="Arial" w:cs="Arial"/>
                <w:b/>
                <w:i/>
                <w:iCs/>
                <w:sz w:val="18"/>
                <w:szCs w:val="18"/>
                <w:lang w:eastAsia="en-US"/>
              </w:rPr>
            </w:pPr>
            <w:r w:rsidRPr="003A2F86">
              <w:rPr>
                <w:rFonts w:ascii="Arial" w:eastAsia="Times New Roman" w:hAnsi="Arial" w:cs="Arial"/>
                <w:b/>
                <w:i/>
                <w:iCs/>
                <w:sz w:val="18"/>
                <w:szCs w:val="18"/>
                <w:lang w:eastAsia="en-US"/>
              </w:rPr>
              <w:t xml:space="preserve">Stopa </w:t>
            </w:r>
          </w:p>
        </w:tc>
        <w:tc>
          <w:tcPr>
            <w:tcW w:w="1134" w:type="dxa"/>
            <w:vAlign w:val="center"/>
          </w:tcPr>
          <w:p w14:paraId="371A95A6" w14:textId="495192D8" w:rsidR="00232BCA" w:rsidRPr="003A2F86" w:rsidRDefault="00232BCA" w:rsidP="00891119">
            <w:pPr>
              <w:spacing w:after="0" w:line="240" w:lineRule="auto"/>
              <w:jc w:val="center"/>
              <w:rPr>
                <w:rFonts w:ascii="Arial" w:eastAsia="Times New Roman" w:hAnsi="Arial" w:cs="Arial"/>
                <w:b/>
                <w:i/>
                <w:iCs/>
                <w:sz w:val="18"/>
                <w:szCs w:val="18"/>
                <w:lang w:eastAsia="en-US"/>
              </w:rPr>
            </w:pPr>
            <w:r w:rsidRPr="003A2F86">
              <w:rPr>
                <w:rFonts w:ascii="Arial" w:eastAsia="Times New Roman" w:hAnsi="Arial" w:cs="Arial"/>
                <w:b/>
                <w:i/>
                <w:iCs/>
                <w:sz w:val="18"/>
                <w:szCs w:val="18"/>
                <w:lang w:eastAsia="en-US"/>
              </w:rPr>
              <w:t>Iznos</w:t>
            </w:r>
            <w:r w:rsidR="00542894" w:rsidRPr="003A2F86">
              <w:rPr>
                <w:rFonts w:ascii="Arial" w:eastAsia="Times New Roman" w:hAnsi="Arial" w:cs="Arial"/>
                <w:b/>
                <w:i/>
                <w:iCs/>
                <w:sz w:val="18"/>
                <w:szCs w:val="18"/>
                <w:lang w:eastAsia="en-US"/>
              </w:rPr>
              <w:t xml:space="preserve"> </w:t>
            </w:r>
            <w:r w:rsidR="00542894" w:rsidRPr="003A2F86">
              <w:rPr>
                <w:rFonts w:ascii="Arial" w:eastAsia="Times New Roman" w:hAnsi="Arial" w:cs="Arial"/>
                <w:b/>
                <w:i/>
                <w:iCs/>
                <w:color w:val="FF0000"/>
                <w:sz w:val="18"/>
                <w:szCs w:val="18"/>
                <w:lang w:eastAsia="en-US"/>
              </w:rPr>
              <w:t>(€)</w:t>
            </w:r>
          </w:p>
        </w:tc>
        <w:tc>
          <w:tcPr>
            <w:tcW w:w="11204" w:type="dxa"/>
            <w:vAlign w:val="center"/>
          </w:tcPr>
          <w:p w14:paraId="11EBCC50" w14:textId="77777777" w:rsidR="00232BCA" w:rsidRPr="003A2F86" w:rsidRDefault="00232BCA" w:rsidP="00891119">
            <w:pPr>
              <w:spacing w:after="0" w:line="240" w:lineRule="auto"/>
              <w:jc w:val="center"/>
              <w:rPr>
                <w:rFonts w:ascii="Arial" w:eastAsia="Times New Roman" w:hAnsi="Arial" w:cs="Arial"/>
                <w:b/>
                <w:i/>
                <w:iCs/>
                <w:sz w:val="20"/>
                <w:szCs w:val="20"/>
                <w:lang w:eastAsia="en-US"/>
              </w:rPr>
            </w:pPr>
            <w:r w:rsidRPr="003A2F86">
              <w:rPr>
                <w:rFonts w:ascii="Arial" w:eastAsia="Times New Roman" w:hAnsi="Arial" w:cs="Arial"/>
                <w:b/>
                <w:i/>
                <w:iCs/>
                <w:sz w:val="20"/>
                <w:szCs w:val="20"/>
                <w:lang w:eastAsia="en-US"/>
              </w:rPr>
              <w:t>Obrazloženje</w:t>
            </w:r>
          </w:p>
        </w:tc>
      </w:tr>
      <w:tr w:rsidR="00542894" w:rsidRPr="003A2F86" w14:paraId="0EA2B436" w14:textId="77777777" w:rsidTr="003F5539">
        <w:trPr>
          <w:jc w:val="center"/>
        </w:trPr>
        <w:tc>
          <w:tcPr>
            <w:tcW w:w="988" w:type="dxa"/>
          </w:tcPr>
          <w:p w14:paraId="77F30792" w14:textId="00023C53" w:rsidR="00542894" w:rsidRPr="003A2F86" w:rsidRDefault="00542894" w:rsidP="00542894">
            <w:pPr>
              <w:spacing w:after="0" w:line="240" w:lineRule="auto"/>
              <w:jc w:val="center"/>
              <w:rPr>
                <w:rFonts w:ascii="Arial" w:eastAsia="Times New Roman" w:hAnsi="Arial" w:cs="Arial"/>
                <w:i/>
                <w:iCs/>
                <w:sz w:val="16"/>
                <w:szCs w:val="16"/>
                <w:lang w:eastAsia="en-US"/>
              </w:rPr>
            </w:pPr>
            <w:r w:rsidRPr="003A2F86">
              <w:rPr>
                <w:rFonts w:ascii="Arial" w:hAnsi="Arial" w:cs="Arial"/>
                <w:sz w:val="16"/>
                <w:szCs w:val="16"/>
              </w:rPr>
              <w:t>2012.</w:t>
            </w:r>
          </w:p>
        </w:tc>
        <w:tc>
          <w:tcPr>
            <w:tcW w:w="850" w:type="dxa"/>
          </w:tcPr>
          <w:p w14:paraId="4176632D" w14:textId="1C96AD5E" w:rsidR="00542894" w:rsidRPr="003A2F86" w:rsidRDefault="00542894" w:rsidP="00542894">
            <w:pPr>
              <w:spacing w:after="0" w:line="240" w:lineRule="auto"/>
              <w:jc w:val="center"/>
              <w:rPr>
                <w:rFonts w:ascii="Arial" w:eastAsia="Times New Roman" w:hAnsi="Arial" w:cs="Arial"/>
                <w:i/>
                <w:iCs/>
                <w:sz w:val="16"/>
                <w:szCs w:val="16"/>
                <w:lang w:eastAsia="en-US"/>
              </w:rPr>
            </w:pPr>
            <w:r w:rsidRPr="003A2F86">
              <w:rPr>
                <w:rFonts w:ascii="Arial" w:hAnsi="Arial" w:cs="Arial"/>
                <w:sz w:val="16"/>
                <w:szCs w:val="16"/>
              </w:rPr>
              <w:t>5%</w:t>
            </w:r>
          </w:p>
        </w:tc>
        <w:tc>
          <w:tcPr>
            <w:tcW w:w="1134" w:type="dxa"/>
          </w:tcPr>
          <w:p w14:paraId="75C787FE" w14:textId="341AFF00" w:rsidR="00542894" w:rsidRPr="003A2F86" w:rsidRDefault="00542894" w:rsidP="00542894">
            <w:pPr>
              <w:spacing w:after="0" w:line="240" w:lineRule="auto"/>
              <w:jc w:val="right"/>
              <w:rPr>
                <w:rFonts w:ascii="Arial" w:eastAsia="Times New Roman" w:hAnsi="Arial" w:cs="Arial"/>
                <w:sz w:val="16"/>
                <w:szCs w:val="16"/>
                <w:lang w:eastAsia="en-US"/>
              </w:rPr>
            </w:pPr>
            <w:r w:rsidRPr="003A2F86">
              <w:rPr>
                <w:rFonts w:ascii="Arial" w:hAnsi="Arial" w:cs="Arial"/>
                <w:sz w:val="16"/>
                <w:szCs w:val="16"/>
              </w:rPr>
              <w:t>135.954,08</w:t>
            </w:r>
          </w:p>
        </w:tc>
        <w:tc>
          <w:tcPr>
            <w:tcW w:w="11204" w:type="dxa"/>
          </w:tcPr>
          <w:p w14:paraId="02B90287" w14:textId="77777777" w:rsidR="00542894" w:rsidRPr="003A2F86" w:rsidRDefault="00542894" w:rsidP="00542894">
            <w:pPr>
              <w:spacing w:after="0" w:line="240" w:lineRule="auto"/>
              <w:jc w:val="both"/>
              <w:rPr>
                <w:rFonts w:ascii="Arial" w:eastAsia="Times New Roman" w:hAnsi="Arial" w:cs="Arial"/>
                <w:i/>
                <w:iCs/>
                <w:sz w:val="16"/>
                <w:szCs w:val="16"/>
                <w:lang w:eastAsia="en-US"/>
              </w:rPr>
            </w:pPr>
          </w:p>
        </w:tc>
      </w:tr>
      <w:tr w:rsidR="00542894" w:rsidRPr="003A2F86" w14:paraId="3FF177A9" w14:textId="77777777" w:rsidTr="003F5539">
        <w:trPr>
          <w:jc w:val="center"/>
        </w:trPr>
        <w:tc>
          <w:tcPr>
            <w:tcW w:w="988" w:type="dxa"/>
          </w:tcPr>
          <w:p w14:paraId="12E833D2" w14:textId="6E24658D" w:rsidR="00542894" w:rsidRPr="003A2F86" w:rsidRDefault="00542894" w:rsidP="00542894">
            <w:pPr>
              <w:spacing w:after="0" w:line="240" w:lineRule="auto"/>
              <w:jc w:val="center"/>
              <w:rPr>
                <w:rFonts w:ascii="Arial" w:eastAsia="Times New Roman" w:hAnsi="Arial" w:cs="Arial"/>
                <w:i/>
                <w:iCs/>
                <w:sz w:val="16"/>
                <w:szCs w:val="16"/>
                <w:lang w:eastAsia="en-US"/>
              </w:rPr>
            </w:pPr>
            <w:r w:rsidRPr="003A2F86">
              <w:rPr>
                <w:rFonts w:ascii="Arial" w:hAnsi="Arial" w:cs="Arial"/>
                <w:sz w:val="16"/>
                <w:szCs w:val="16"/>
              </w:rPr>
              <w:t>2013.</w:t>
            </w:r>
          </w:p>
        </w:tc>
        <w:tc>
          <w:tcPr>
            <w:tcW w:w="850" w:type="dxa"/>
          </w:tcPr>
          <w:p w14:paraId="7118AC3E" w14:textId="3C176B23" w:rsidR="00542894" w:rsidRPr="003A2F86" w:rsidRDefault="00542894" w:rsidP="00542894">
            <w:pPr>
              <w:spacing w:after="0" w:line="240" w:lineRule="auto"/>
              <w:jc w:val="center"/>
              <w:rPr>
                <w:rFonts w:ascii="Arial" w:eastAsia="Times New Roman" w:hAnsi="Arial" w:cs="Arial"/>
                <w:i/>
                <w:iCs/>
                <w:sz w:val="16"/>
                <w:szCs w:val="16"/>
                <w:lang w:eastAsia="en-US"/>
              </w:rPr>
            </w:pPr>
            <w:r w:rsidRPr="003A2F86">
              <w:rPr>
                <w:rFonts w:ascii="Arial" w:hAnsi="Arial" w:cs="Arial"/>
                <w:sz w:val="16"/>
                <w:szCs w:val="16"/>
              </w:rPr>
              <w:t>5%</w:t>
            </w:r>
          </w:p>
        </w:tc>
        <w:tc>
          <w:tcPr>
            <w:tcW w:w="1134" w:type="dxa"/>
          </w:tcPr>
          <w:p w14:paraId="5A94C620" w14:textId="6DBAF35A" w:rsidR="00542894" w:rsidRPr="003A2F86" w:rsidRDefault="00542894" w:rsidP="00542894">
            <w:pPr>
              <w:spacing w:after="0" w:line="240" w:lineRule="auto"/>
              <w:jc w:val="right"/>
              <w:rPr>
                <w:rFonts w:ascii="Arial" w:eastAsia="Times New Roman" w:hAnsi="Arial" w:cs="Arial"/>
                <w:sz w:val="16"/>
                <w:szCs w:val="16"/>
                <w:lang w:eastAsia="en-US"/>
              </w:rPr>
            </w:pPr>
            <w:r w:rsidRPr="003A2F86">
              <w:rPr>
                <w:rFonts w:ascii="Arial" w:hAnsi="Arial" w:cs="Arial"/>
                <w:sz w:val="16"/>
                <w:szCs w:val="16"/>
              </w:rPr>
              <w:t>132.602,03</w:t>
            </w:r>
          </w:p>
        </w:tc>
        <w:tc>
          <w:tcPr>
            <w:tcW w:w="11204" w:type="dxa"/>
          </w:tcPr>
          <w:p w14:paraId="1881A05B" w14:textId="4EDC7D2B" w:rsidR="00542894" w:rsidRPr="003A2F86" w:rsidRDefault="00542894" w:rsidP="00542894">
            <w:pPr>
              <w:spacing w:after="0" w:line="240" w:lineRule="auto"/>
              <w:jc w:val="both"/>
              <w:rPr>
                <w:rFonts w:ascii="Arial" w:eastAsia="Times New Roman" w:hAnsi="Arial" w:cs="Arial"/>
                <w:sz w:val="16"/>
                <w:szCs w:val="16"/>
                <w:lang w:eastAsia="en-US"/>
              </w:rPr>
            </w:pPr>
            <w:r w:rsidRPr="003A2F86">
              <w:rPr>
                <w:rFonts w:ascii="Arial" w:hAnsi="Arial" w:cs="Arial"/>
                <w:sz w:val="16"/>
                <w:szCs w:val="16"/>
              </w:rPr>
              <w:t>što je za 3.352,05 € ili 2,5% manje u odnosu na prethodnu 2012.godinu</w:t>
            </w:r>
          </w:p>
        </w:tc>
      </w:tr>
      <w:tr w:rsidR="00542894" w:rsidRPr="003A2F86" w14:paraId="7B0F396E" w14:textId="77777777" w:rsidTr="003F5539">
        <w:trPr>
          <w:jc w:val="center"/>
        </w:trPr>
        <w:tc>
          <w:tcPr>
            <w:tcW w:w="988" w:type="dxa"/>
          </w:tcPr>
          <w:p w14:paraId="2D885581" w14:textId="6CAE3FCF" w:rsidR="00542894" w:rsidRPr="003A2F86" w:rsidRDefault="00542894" w:rsidP="00542894">
            <w:pPr>
              <w:spacing w:after="0" w:line="240" w:lineRule="auto"/>
              <w:jc w:val="center"/>
              <w:rPr>
                <w:rFonts w:ascii="Arial" w:eastAsia="Times New Roman" w:hAnsi="Arial" w:cs="Arial"/>
                <w:i/>
                <w:iCs/>
                <w:sz w:val="16"/>
                <w:szCs w:val="16"/>
                <w:lang w:eastAsia="en-US"/>
              </w:rPr>
            </w:pPr>
            <w:r w:rsidRPr="003A2F86">
              <w:rPr>
                <w:rFonts w:ascii="Arial" w:hAnsi="Arial" w:cs="Arial"/>
                <w:sz w:val="16"/>
                <w:szCs w:val="16"/>
              </w:rPr>
              <w:t>2014.</w:t>
            </w:r>
          </w:p>
        </w:tc>
        <w:tc>
          <w:tcPr>
            <w:tcW w:w="850" w:type="dxa"/>
          </w:tcPr>
          <w:p w14:paraId="6244F7CC" w14:textId="7A700883" w:rsidR="00542894" w:rsidRPr="003A2F86" w:rsidRDefault="00542894" w:rsidP="00542894">
            <w:pPr>
              <w:spacing w:after="0" w:line="240" w:lineRule="auto"/>
              <w:jc w:val="center"/>
              <w:rPr>
                <w:rFonts w:ascii="Arial" w:eastAsia="Times New Roman" w:hAnsi="Arial" w:cs="Arial"/>
                <w:i/>
                <w:iCs/>
                <w:sz w:val="16"/>
                <w:szCs w:val="16"/>
                <w:lang w:eastAsia="en-US"/>
              </w:rPr>
            </w:pPr>
            <w:r w:rsidRPr="003A2F86">
              <w:rPr>
                <w:rFonts w:ascii="Arial" w:hAnsi="Arial" w:cs="Arial"/>
                <w:sz w:val="16"/>
                <w:szCs w:val="16"/>
              </w:rPr>
              <w:t>5%</w:t>
            </w:r>
          </w:p>
        </w:tc>
        <w:tc>
          <w:tcPr>
            <w:tcW w:w="1134" w:type="dxa"/>
          </w:tcPr>
          <w:p w14:paraId="0AE34752" w14:textId="1E53FC4A" w:rsidR="00542894" w:rsidRPr="003A2F86" w:rsidRDefault="00542894" w:rsidP="00542894">
            <w:pPr>
              <w:spacing w:after="0" w:line="240" w:lineRule="auto"/>
              <w:jc w:val="right"/>
              <w:rPr>
                <w:rFonts w:ascii="Arial" w:eastAsia="Times New Roman" w:hAnsi="Arial" w:cs="Arial"/>
                <w:sz w:val="16"/>
                <w:szCs w:val="16"/>
                <w:lang w:eastAsia="en-US"/>
              </w:rPr>
            </w:pPr>
            <w:r w:rsidRPr="003A2F86">
              <w:rPr>
                <w:rFonts w:ascii="Arial" w:hAnsi="Arial" w:cs="Arial"/>
                <w:sz w:val="16"/>
                <w:szCs w:val="16"/>
              </w:rPr>
              <w:t>195.329,35</w:t>
            </w:r>
          </w:p>
        </w:tc>
        <w:tc>
          <w:tcPr>
            <w:tcW w:w="11204" w:type="dxa"/>
          </w:tcPr>
          <w:p w14:paraId="4C33D214" w14:textId="4FCBF830" w:rsidR="00542894" w:rsidRPr="003A2F86" w:rsidRDefault="00542894" w:rsidP="00542894">
            <w:pPr>
              <w:spacing w:after="0" w:line="240" w:lineRule="auto"/>
              <w:jc w:val="both"/>
              <w:rPr>
                <w:rFonts w:ascii="Arial" w:eastAsia="Times New Roman" w:hAnsi="Arial" w:cs="Arial"/>
                <w:sz w:val="16"/>
                <w:szCs w:val="16"/>
                <w:lang w:eastAsia="en-US"/>
              </w:rPr>
            </w:pPr>
            <w:r w:rsidRPr="003A2F86">
              <w:rPr>
                <w:rFonts w:ascii="Arial" w:hAnsi="Arial" w:cs="Arial"/>
                <w:sz w:val="16"/>
                <w:szCs w:val="16"/>
              </w:rPr>
              <w:t>što je za 62.727,32 € ili 47,3% više u odnosu na prethodnu 2013. godinu</w:t>
            </w:r>
          </w:p>
        </w:tc>
      </w:tr>
      <w:tr w:rsidR="00542894" w:rsidRPr="003A2F86" w14:paraId="668B2B1E" w14:textId="77777777" w:rsidTr="003F5539">
        <w:trPr>
          <w:jc w:val="center"/>
        </w:trPr>
        <w:tc>
          <w:tcPr>
            <w:tcW w:w="988" w:type="dxa"/>
          </w:tcPr>
          <w:p w14:paraId="121B2DF2" w14:textId="319AFCD1" w:rsidR="00542894" w:rsidRPr="003A2F86" w:rsidRDefault="00542894" w:rsidP="00542894">
            <w:pPr>
              <w:spacing w:after="0" w:line="240" w:lineRule="auto"/>
              <w:jc w:val="center"/>
              <w:rPr>
                <w:rFonts w:ascii="Arial" w:eastAsia="Times New Roman" w:hAnsi="Arial" w:cs="Arial"/>
                <w:i/>
                <w:iCs/>
                <w:sz w:val="16"/>
                <w:szCs w:val="16"/>
                <w:lang w:eastAsia="en-US"/>
              </w:rPr>
            </w:pPr>
            <w:r w:rsidRPr="003A2F86">
              <w:rPr>
                <w:rFonts w:ascii="Arial" w:hAnsi="Arial" w:cs="Arial"/>
                <w:sz w:val="16"/>
                <w:szCs w:val="16"/>
              </w:rPr>
              <w:t>2015.</w:t>
            </w:r>
          </w:p>
        </w:tc>
        <w:tc>
          <w:tcPr>
            <w:tcW w:w="850" w:type="dxa"/>
          </w:tcPr>
          <w:p w14:paraId="37BE4F7E" w14:textId="6B454C85" w:rsidR="00542894" w:rsidRPr="003A2F86" w:rsidRDefault="00542894" w:rsidP="00542894">
            <w:pPr>
              <w:spacing w:after="0" w:line="240" w:lineRule="auto"/>
              <w:jc w:val="center"/>
              <w:rPr>
                <w:rFonts w:ascii="Arial" w:eastAsia="Times New Roman" w:hAnsi="Arial" w:cs="Arial"/>
                <w:i/>
                <w:iCs/>
                <w:sz w:val="16"/>
                <w:szCs w:val="16"/>
                <w:lang w:eastAsia="en-US"/>
              </w:rPr>
            </w:pPr>
            <w:r w:rsidRPr="003A2F86">
              <w:rPr>
                <w:rFonts w:ascii="Arial" w:hAnsi="Arial" w:cs="Arial"/>
                <w:sz w:val="16"/>
                <w:szCs w:val="16"/>
              </w:rPr>
              <w:t>5%</w:t>
            </w:r>
          </w:p>
        </w:tc>
        <w:tc>
          <w:tcPr>
            <w:tcW w:w="1134" w:type="dxa"/>
          </w:tcPr>
          <w:p w14:paraId="1AFC5F8E" w14:textId="6D356169" w:rsidR="00542894" w:rsidRPr="003A2F86" w:rsidRDefault="00542894" w:rsidP="00542894">
            <w:pPr>
              <w:spacing w:after="0" w:line="240" w:lineRule="auto"/>
              <w:jc w:val="right"/>
              <w:rPr>
                <w:rFonts w:ascii="Arial" w:eastAsia="Times New Roman" w:hAnsi="Arial" w:cs="Arial"/>
                <w:sz w:val="16"/>
                <w:szCs w:val="16"/>
                <w:lang w:eastAsia="en-US"/>
              </w:rPr>
            </w:pPr>
            <w:r w:rsidRPr="003A2F86">
              <w:rPr>
                <w:rFonts w:ascii="Arial" w:hAnsi="Arial" w:cs="Arial"/>
                <w:sz w:val="16"/>
                <w:szCs w:val="16"/>
              </w:rPr>
              <w:t>319.509,16</w:t>
            </w:r>
          </w:p>
        </w:tc>
        <w:tc>
          <w:tcPr>
            <w:tcW w:w="11204" w:type="dxa"/>
          </w:tcPr>
          <w:p w14:paraId="5EEA88B3" w14:textId="3F7FB713" w:rsidR="00542894" w:rsidRPr="003A2F86" w:rsidRDefault="00542894" w:rsidP="00542894">
            <w:pPr>
              <w:spacing w:after="0" w:line="240" w:lineRule="auto"/>
              <w:jc w:val="both"/>
              <w:rPr>
                <w:rFonts w:ascii="Arial" w:eastAsia="Times New Roman" w:hAnsi="Arial" w:cs="Arial"/>
                <w:sz w:val="16"/>
                <w:szCs w:val="16"/>
                <w:lang w:eastAsia="en-US"/>
              </w:rPr>
            </w:pPr>
            <w:r w:rsidRPr="003A2F86">
              <w:rPr>
                <w:rFonts w:ascii="Arial" w:hAnsi="Arial" w:cs="Arial"/>
                <w:sz w:val="16"/>
                <w:szCs w:val="16"/>
              </w:rPr>
              <w:t>što je za 124.179,87 € ili 63,6% više u odnosu na prethodnu 2014. godinu</w:t>
            </w:r>
          </w:p>
        </w:tc>
      </w:tr>
      <w:tr w:rsidR="00542894" w:rsidRPr="003A2F86" w14:paraId="7AF8EDBD" w14:textId="77777777" w:rsidTr="003F5539">
        <w:trPr>
          <w:jc w:val="center"/>
        </w:trPr>
        <w:tc>
          <w:tcPr>
            <w:tcW w:w="988" w:type="dxa"/>
          </w:tcPr>
          <w:p w14:paraId="040213EA" w14:textId="74682FA6" w:rsidR="00542894" w:rsidRPr="003A2F86" w:rsidRDefault="00542894" w:rsidP="00542894">
            <w:pPr>
              <w:spacing w:after="0" w:line="240" w:lineRule="auto"/>
              <w:jc w:val="center"/>
              <w:rPr>
                <w:rFonts w:ascii="Arial" w:eastAsia="Times New Roman" w:hAnsi="Arial" w:cs="Arial"/>
                <w:i/>
                <w:iCs/>
                <w:sz w:val="16"/>
                <w:szCs w:val="16"/>
                <w:lang w:eastAsia="en-US"/>
              </w:rPr>
            </w:pPr>
            <w:r w:rsidRPr="003A2F86">
              <w:rPr>
                <w:rFonts w:ascii="Arial" w:hAnsi="Arial" w:cs="Arial"/>
                <w:sz w:val="16"/>
                <w:szCs w:val="16"/>
              </w:rPr>
              <w:t>2016.</w:t>
            </w:r>
          </w:p>
        </w:tc>
        <w:tc>
          <w:tcPr>
            <w:tcW w:w="850" w:type="dxa"/>
          </w:tcPr>
          <w:p w14:paraId="5EC2AEB4" w14:textId="74D41FBD" w:rsidR="00542894" w:rsidRPr="003A2F86" w:rsidRDefault="00542894" w:rsidP="00542894">
            <w:pPr>
              <w:spacing w:after="0" w:line="240" w:lineRule="auto"/>
              <w:jc w:val="center"/>
              <w:rPr>
                <w:rFonts w:ascii="Arial" w:eastAsia="Times New Roman" w:hAnsi="Arial" w:cs="Arial"/>
                <w:i/>
                <w:iCs/>
                <w:sz w:val="16"/>
                <w:szCs w:val="16"/>
                <w:lang w:eastAsia="en-US"/>
              </w:rPr>
            </w:pPr>
            <w:r w:rsidRPr="003A2F86">
              <w:rPr>
                <w:rFonts w:ascii="Arial" w:hAnsi="Arial" w:cs="Arial"/>
                <w:sz w:val="16"/>
                <w:szCs w:val="16"/>
              </w:rPr>
              <w:t>5%</w:t>
            </w:r>
          </w:p>
        </w:tc>
        <w:tc>
          <w:tcPr>
            <w:tcW w:w="1134" w:type="dxa"/>
          </w:tcPr>
          <w:p w14:paraId="6DB52028" w14:textId="0E5F588E" w:rsidR="00542894" w:rsidRPr="003A2F86" w:rsidRDefault="00542894" w:rsidP="00542894">
            <w:pPr>
              <w:spacing w:after="0" w:line="240" w:lineRule="auto"/>
              <w:jc w:val="right"/>
              <w:rPr>
                <w:rFonts w:ascii="Arial" w:eastAsia="Times New Roman" w:hAnsi="Arial" w:cs="Arial"/>
                <w:sz w:val="16"/>
                <w:szCs w:val="16"/>
                <w:lang w:eastAsia="en-US"/>
              </w:rPr>
            </w:pPr>
            <w:r w:rsidRPr="003A2F86">
              <w:rPr>
                <w:rFonts w:ascii="Arial" w:hAnsi="Arial" w:cs="Arial"/>
                <w:sz w:val="16"/>
                <w:szCs w:val="16"/>
              </w:rPr>
              <w:t>843.262,50</w:t>
            </w:r>
          </w:p>
        </w:tc>
        <w:tc>
          <w:tcPr>
            <w:tcW w:w="11204" w:type="dxa"/>
          </w:tcPr>
          <w:p w14:paraId="589F8688" w14:textId="572716DA" w:rsidR="00542894" w:rsidRPr="003A2F86" w:rsidRDefault="00542894" w:rsidP="00542894">
            <w:pPr>
              <w:spacing w:after="0" w:line="240" w:lineRule="auto"/>
              <w:jc w:val="both"/>
              <w:rPr>
                <w:rFonts w:ascii="Arial" w:eastAsia="Times New Roman" w:hAnsi="Arial" w:cs="Arial"/>
                <w:sz w:val="16"/>
                <w:szCs w:val="16"/>
                <w:lang w:eastAsia="en-US"/>
              </w:rPr>
            </w:pPr>
            <w:r w:rsidRPr="003A2F86">
              <w:rPr>
                <w:rFonts w:ascii="Arial" w:hAnsi="Arial" w:cs="Arial"/>
                <w:sz w:val="16"/>
                <w:szCs w:val="16"/>
              </w:rPr>
              <w:t>što je za 523.753,34 € ili 163,9% više u odnosu na izvještajno razdoblje prethodne 2015. godine</w:t>
            </w:r>
          </w:p>
        </w:tc>
      </w:tr>
      <w:tr w:rsidR="00542894" w:rsidRPr="003A2F86" w14:paraId="07787720" w14:textId="77777777" w:rsidTr="003F5539">
        <w:trPr>
          <w:jc w:val="center"/>
        </w:trPr>
        <w:tc>
          <w:tcPr>
            <w:tcW w:w="988" w:type="dxa"/>
          </w:tcPr>
          <w:p w14:paraId="3AC55FCD" w14:textId="7303D6BE" w:rsidR="00542894" w:rsidRPr="003A2F86" w:rsidRDefault="00542894" w:rsidP="00542894">
            <w:pPr>
              <w:spacing w:after="0" w:line="240" w:lineRule="auto"/>
              <w:jc w:val="center"/>
              <w:rPr>
                <w:rFonts w:ascii="Arial" w:eastAsia="Times New Roman" w:hAnsi="Arial" w:cs="Arial"/>
                <w:iCs/>
                <w:sz w:val="16"/>
                <w:szCs w:val="16"/>
                <w:lang w:eastAsia="en-US"/>
              </w:rPr>
            </w:pPr>
            <w:r w:rsidRPr="003A2F86">
              <w:rPr>
                <w:rFonts w:ascii="Arial" w:hAnsi="Arial" w:cs="Arial"/>
                <w:sz w:val="16"/>
                <w:szCs w:val="16"/>
              </w:rPr>
              <w:t>2017.</w:t>
            </w:r>
          </w:p>
        </w:tc>
        <w:tc>
          <w:tcPr>
            <w:tcW w:w="850" w:type="dxa"/>
          </w:tcPr>
          <w:p w14:paraId="40F903EE" w14:textId="6EBE7693" w:rsidR="00542894" w:rsidRPr="003A2F86" w:rsidRDefault="00542894" w:rsidP="00542894">
            <w:pPr>
              <w:spacing w:after="0" w:line="240" w:lineRule="auto"/>
              <w:jc w:val="center"/>
              <w:rPr>
                <w:rFonts w:ascii="Arial" w:eastAsia="Times New Roman" w:hAnsi="Arial" w:cs="Arial"/>
                <w:iCs/>
                <w:sz w:val="16"/>
                <w:szCs w:val="16"/>
                <w:lang w:eastAsia="en-US"/>
              </w:rPr>
            </w:pPr>
            <w:r w:rsidRPr="003A2F86">
              <w:rPr>
                <w:rFonts w:ascii="Arial" w:hAnsi="Arial" w:cs="Arial"/>
                <w:sz w:val="16"/>
                <w:szCs w:val="16"/>
              </w:rPr>
              <w:t>4%</w:t>
            </w:r>
          </w:p>
        </w:tc>
        <w:tc>
          <w:tcPr>
            <w:tcW w:w="1134" w:type="dxa"/>
          </w:tcPr>
          <w:p w14:paraId="2C188DBD" w14:textId="3FB674ED" w:rsidR="00542894" w:rsidRPr="003A2F86" w:rsidRDefault="00542894" w:rsidP="00542894">
            <w:pPr>
              <w:spacing w:after="0" w:line="240" w:lineRule="auto"/>
              <w:jc w:val="right"/>
              <w:rPr>
                <w:rFonts w:ascii="Arial" w:eastAsia="Times New Roman" w:hAnsi="Arial" w:cs="Arial"/>
                <w:sz w:val="16"/>
                <w:szCs w:val="16"/>
                <w:lang w:eastAsia="en-US"/>
              </w:rPr>
            </w:pPr>
            <w:r w:rsidRPr="003A2F86">
              <w:rPr>
                <w:rFonts w:ascii="Arial" w:hAnsi="Arial" w:cs="Arial"/>
                <w:sz w:val="16"/>
                <w:szCs w:val="16"/>
              </w:rPr>
              <w:t>452.321,33</w:t>
            </w:r>
          </w:p>
        </w:tc>
        <w:tc>
          <w:tcPr>
            <w:tcW w:w="11204" w:type="dxa"/>
          </w:tcPr>
          <w:p w14:paraId="4502620D" w14:textId="6D05E1EC" w:rsidR="00542894" w:rsidRPr="003A2F86" w:rsidRDefault="00542894" w:rsidP="00542894">
            <w:pPr>
              <w:spacing w:after="0" w:line="240" w:lineRule="auto"/>
              <w:jc w:val="both"/>
              <w:rPr>
                <w:rFonts w:ascii="Arial" w:eastAsia="Times New Roman" w:hAnsi="Arial" w:cs="Arial"/>
                <w:sz w:val="16"/>
                <w:szCs w:val="16"/>
                <w:lang w:eastAsia="en-US"/>
              </w:rPr>
            </w:pPr>
            <w:r w:rsidRPr="003A2F86">
              <w:rPr>
                <w:rFonts w:ascii="Arial" w:hAnsi="Arial" w:cs="Arial"/>
                <w:sz w:val="16"/>
                <w:szCs w:val="16"/>
              </w:rPr>
              <w:t xml:space="preserve">što je za 390.941,18 € ili 46,4% manje u odnosu na izvještajno razdoblje prethodne godine </w:t>
            </w:r>
          </w:p>
        </w:tc>
      </w:tr>
      <w:tr w:rsidR="00542894" w:rsidRPr="003A2F86" w14:paraId="794C6AA3" w14:textId="77777777" w:rsidTr="003F5539">
        <w:trPr>
          <w:trHeight w:val="272"/>
          <w:jc w:val="center"/>
        </w:trPr>
        <w:tc>
          <w:tcPr>
            <w:tcW w:w="988" w:type="dxa"/>
          </w:tcPr>
          <w:p w14:paraId="337EB768" w14:textId="75434949" w:rsidR="00542894" w:rsidRPr="003A2F86" w:rsidRDefault="00542894" w:rsidP="00542894">
            <w:pPr>
              <w:spacing w:after="0" w:line="240" w:lineRule="auto"/>
              <w:jc w:val="center"/>
              <w:rPr>
                <w:rFonts w:ascii="Arial" w:eastAsia="Times New Roman" w:hAnsi="Arial" w:cs="Arial"/>
                <w:iCs/>
                <w:sz w:val="16"/>
                <w:szCs w:val="16"/>
                <w:lang w:eastAsia="en-US"/>
              </w:rPr>
            </w:pPr>
            <w:r w:rsidRPr="003A2F86">
              <w:rPr>
                <w:rFonts w:ascii="Arial" w:hAnsi="Arial" w:cs="Arial"/>
                <w:sz w:val="16"/>
                <w:szCs w:val="16"/>
              </w:rPr>
              <w:t>2018.</w:t>
            </w:r>
          </w:p>
        </w:tc>
        <w:tc>
          <w:tcPr>
            <w:tcW w:w="850" w:type="dxa"/>
          </w:tcPr>
          <w:p w14:paraId="1F4ECDC6" w14:textId="33A1C9A5" w:rsidR="00542894" w:rsidRPr="003A2F86" w:rsidRDefault="00542894" w:rsidP="00542894">
            <w:pPr>
              <w:spacing w:after="0" w:line="240" w:lineRule="auto"/>
              <w:jc w:val="center"/>
              <w:rPr>
                <w:rFonts w:ascii="Arial" w:eastAsia="Times New Roman" w:hAnsi="Arial" w:cs="Arial"/>
                <w:iCs/>
                <w:sz w:val="16"/>
                <w:szCs w:val="16"/>
                <w:lang w:eastAsia="en-US"/>
              </w:rPr>
            </w:pPr>
            <w:r w:rsidRPr="003A2F86">
              <w:rPr>
                <w:rFonts w:ascii="Arial" w:hAnsi="Arial" w:cs="Arial"/>
                <w:sz w:val="16"/>
                <w:szCs w:val="16"/>
              </w:rPr>
              <w:t>4%</w:t>
            </w:r>
          </w:p>
        </w:tc>
        <w:tc>
          <w:tcPr>
            <w:tcW w:w="1134" w:type="dxa"/>
          </w:tcPr>
          <w:p w14:paraId="2D38F93A" w14:textId="7DC7258F" w:rsidR="00542894" w:rsidRPr="003A2F86" w:rsidRDefault="00542894" w:rsidP="00542894">
            <w:pPr>
              <w:spacing w:after="0" w:line="240" w:lineRule="auto"/>
              <w:jc w:val="right"/>
              <w:rPr>
                <w:rFonts w:ascii="Arial" w:eastAsia="Times New Roman" w:hAnsi="Arial" w:cs="Arial"/>
                <w:sz w:val="16"/>
                <w:szCs w:val="16"/>
                <w:lang w:eastAsia="en-US"/>
              </w:rPr>
            </w:pPr>
            <w:r w:rsidRPr="003A2F86">
              <w:rPr>
                <w:rFonts w:ascii="Arial" w:hAnsi="Arial" w:cs="Arial"/>
                <w:sz w:val="16"/>
                <w:szCs w:val="16"/>
              </w:rPr>
              <w:t>707.328,09</w:t>
            </w:r>
          </w:p>
        </w:tc>
        <w:tc>
          <w:tcPr>
            <w:tcW w:w="11204" w:type="dxa"/>
          </w:tcPr>
          <w:p w14:paraId="7DBDE6CE" w14:textId="73B5A26F" w:rsidR="00542894" w:rsidRPr="003A2F86" w:rsidRDefault="00542894" w:rsidP="00542894">
            <w:pPr>
              <w:spacing w:after="0" w:line="240" w:lineRule="auto"/>
              <w:jc w:val="both"/>
              <w:rPr>
                <w:rFonts w:ascii="Arial" w:eastAsia="Times New Roman" w:hAnsi="Arial" w:cs="Arial"/>
                <w:sz w:val="16"/>
                <w:szCs w:val="16"/>
                <w:lang w:eastAsia="en-US"/>
              </w:rPr>
            </w:pPr>
            <w:r w:rsidRPr="003A2F86">
              <w:rPr>
                <w:rFonts w:ascii="Arial" w:hAnsi="Arial" w:cs="Arial"/>
                <w:sz w:val="16"/>
                <w:szCs w:val="16"/>
              </w:rPr>
              <w:t>što je za 255.006,77 € ili 56,4% više u odnosu na izvještajno razdoblje prethodne godine (najveći udio povećanja ovih prihoda se odnosi na prodaju jedne veće nekretnine u Cavtatu - bivša zgrada Općine).</w:t>
            </w:r>
          </w:p>
        </w:tc>
      </w:tr>
      <w:tr w:rsidR="00542894" w:rsidRPr="003A2F86" w14:paraId="6D2109D3" w14:textId="77777777" w:rsidTr="003F5539">
        <w:trPr>
          <w:jc w:val="center"/>
        </w:trPr>
        <w:tc>
          <w:tcPr>
            <w:tcW w:w="988" w:type="dxa"/>
          </w:tcPr>
          <w:p w14:paraId="03A3EE86" w14:textId="2ABCBDA7" w:rsidR="00542894" w:rsidRPr="003A2F86" w:rsidRDefault="00542894" w:rsidP="00542894">
            <w:pPr>
              <w:spacing w:after="0" w:line="240" w:lineRule="auto"/>
              <w:jc w:val="center"/>
              <w:rPr>
                <w:rFonts w:ascii="Arial" w:eastAsia="Times New Roman" w:hAnsi="Arial" w:cs="Arial"/>
                <w:iCs/>
                <w:sz w:val="16"/>
                <w:szCs w:val="16"/>
                <w:lang w:eastAsia="en-US"/>
              </w:rPr>
            </w:pPr>
            <w:r w:rsidRPr="003A2F86">
              <w:rPr>
                <w:rFonts w:ascii="Arial" w:hAnsi="Arial" w:cs="Arial"/>
                <w:sz w:val="16"/>
                <w:szCs w:val="16"/>
              </w:rPr>
              <w:t>2019.</w:t>
            </w:r>
          </w:p>
        </w:tc>
        <w:tc>
          <w:tcPr>
            <w:tcW w:w="850" w:type="dxa"/>
          </w:tcPr>
          <w:p w14:paraId="43022F2B" w14:textId="7BFC5E83" w:rsidR="00542894" w:rsidRPr="003A2F86" w:rsidRDefault="00542894" w:rsidP="00542894">
            <w:pPr>
              <w:spacing w:after="0" w:line="240" w:lineRule="auto"/>
              <w:jc w:val="center"/>
              <w:rPr>
                <w:rFonts w:ascii="Arial" w:eastAsia="Times New Roman" w:hAnsi="Arial" w:cs="Arial"/>
                <w:iCs/>
                <w:sz w:val="16"/>
                <w:szCs w:val="16"/>
                <w:lang w:eastAsia="en-US"/>
              </w:rPr>
            </w:pPr>
            <w:r w:rsidRPr="003A2F86">
              <w:rPr>
                <w:rFonts w:ascii="Arial" w:hAnsi="Arial" w:cs="Arial"/>
                <w:sz w:val="16"/>
                <w:szCs w:val="16"/>
              </w:rPr>
              <w:t>3%</w:t>
            </w:r>
          </w:p>
        </w:tc>
        <w:tc>
          <w:tcPr>
            <w:tcW w:w="1134" w:type="dxa"/>
          </w:tcPr>
          <w:p w14:paraId="45D87011" w14:textId="1ABF6530" w:rsidR="00542894" w:rsidRPr="003A2F86" w:rsidRDefault="00542894" w:rsidP="00542894">
            <w:pPr>
              <w:spacing w:after="0" w:line="240" w:lineRule="auto"/>
              <w:jc w:val="right"/>
              <w:rPr>
                <w:rFonts w:ascii="Arial" w:eastAsia="Times New Roman" w:hAnsi="Arial" w:cs="Arial"/>
                <w:sz w:val="16"/>
                <w:szCs w:val="16"/>
                <w:lang w:eastAsia="en-US"/>
              </w:rPr>
            </w:pPr>
            <w:r w:rsidRPr="003A2F86">
              <w:rPr>
                <w:rFonts w:ascii="Arial" w:hAnsi="Arial" w:cs="Arial"/>
                <w:sz w:val="16"/>
                <w:szCs w:val="16"/>
              </w:rPr>
              <w:t>386.195,86</w:t>
            </w:r>
          </w:p>
        </w:tc>
        <w:tc>
          <w:tcPr>
            <w:tcW w:w="11204" w:type="dxa"/>
          </w:tcPr>
          <w:p w14:paraId="1B502826" w14:textId="5F6C878E" w:rsidR="00542894" w:rsidRPr="003A2F86" w:rsidRDefault="00542894" w:rsidP="00542894">
            <w:pPr>
              <w:spacing w:after="0" w:line="240" w:lineRule="auto"/>
              <w:jc w:val="both"/>
              <w:rPr>
                <w:rFonts w:ascii="Arial" w:eastAsia="Times New Roman" w:hAnsi="Arial" w:cs="Arial"/>
                <w:sz w:val="16"/>
                <w:szCs w:val="16"/>
                <w:lang w:eastAsia="en-US"/>
              </w:rPr>
            </w:pPr>
            <w:r w:rsidRPr="003A2F86">
              <w:rPr>
                <w:rFonts w:ascii="Arial" w:hAnsi="Arial" w:cs="Arial"/>
                <w:sz w:val="16"/>
                <w:szCs w:val="16"/>
              </w:rPr>
              <w:t>što je za</w:t>
            </w:r>
            <w:r w:rsidR="00C67F7C" w:rsidRPr="003A2F86">
              <w:rPr>
                <w:rFonts w:ascii="Arial" w:hAnsi="Arial" w:cs="Arial"/>
                <w:sz w:val="16"/>
                <w:szCs w:val="16"/>
              </w:rPr>
              <w:t xml:space="preserve"> </w:t>
            </w:r>
            <w:r w:rsidRPr="003A2F86">
              <w:rPr>
                <w:rFonts w:ascii="Arial" w:hAnsi="Arial" w:cs="Arial"/>
                <w:sz w:val="16"/>
                <w:szCs w:val="16"/>
              </w:rPr>
              <w:t>321.132,23 € ili 45,4% manje u odnosu na izvještajno razdoblje prethodne godine. U prvom polugodištu 2019. ovi prihodi su iznosili 143.106,07 €.</w:t>
            </w:r>
          </w:p>
        </w:tc>
      </w:tr>
      <w:tr w:rsidR="00542894" w:rsidRPr="003A2F86" w14:paraId="65866437" w14:textId="77777777" w:rsidTr="003F5539">
        <w:trPr>
          <w:jc w:val="center"/>
        </w:trPr>
        <w:tc>
          <w:tcPr>
            <w:tcW w:w="988" w:type="dxa"/>
          </w:tcPr>
          <w:p w14:paraId="2782E38F" w14:textId="045E889A" w:rsidR="00542894" w:rsidRPr="003A2F86" w:rsidRDefault="00542894" w:rsidP="00542894">
            <w:pPr>
              <w:spacing w:after="0" w:line="240" w:lineRule="auto"/>
              <w:jc w:val="center"/>
              <w:rPr>
                <w:rFonts w:ascii="Arial" w:eastAsia="Times New Roman" w:hAnsi="Arial" w:cs="Arial"/>
                <w:iCs/>
                <w:sz w:val="16"/>
                <w:szCs w:val="16"/>
                <w:lang w:eastAsia="en-US"/>
              </w:rPr>
            </w:pPr>
            <w:r w:rsidRPr="003A2F86">
              <w:rPr>
                <w:rFonts w:ascii="Arial" w:hAnsi="Arial" w:cs="Arial"/>
                <w:sz w:val="16"/>
                <w:szCs w:val="16"/>
              </w:rPr>
              <w:t>2020.</w:t>
            </w:r>
          </w:p>
        </w:tc>
        <w:tc>
          <w:tcPr>
            <w:tcW w:w="850" w:type="dxa"/>
          </w:tcPr>
          <w:p w14:paraId="63609AD2" w14:textId="799A1922" w:rsidR="00542894" w:rsidRPr="003A2F86" w:rsidRDefault="00542894" w:rsidP="00542894">
            <w:pPr>
              <w:spacing w:after="0" w:line="240" w:lineRule="auto"/>
              <w:jc w:val="center"/>
              <w:rPr>
                <w:rFonts w:ascii="Arial" w:eastAsia="Times New Roman" w:hAnsi="Arial" w:cs="Arial"/>
                <w:iCs/>
                <w:sz w:val="16"/>
                <w:szCs w:val="16"/>
                <w:lang w:eastAsia="en-US"/>
              </w:rPr>
            </w:pPr>
            <w:r w:rsidRPr="003A2F86">
              <w:rPr>
                <w:rFonts w:ascii="Arial" w:hAnsi="Arial" w:cs="Arial"/>
                <w:sz w:val="16"/>
                <w:szCs w:val="16"/>
              </w:rPr>
              <w:t>3%</w:t>
            </w:r>
          </w:p>
        </w:tc>
        <w:tc>
          <w:tcPr>
            <w:tcW w:w="1134" w:type="dxa"/>
          </w:tcPr>
          <w:p w14:paraId="0C205B22" w14:textId="044A62B0" w:rsidR="00542894" w:rsidRPr="003A2F86" w:rsidRDefault="00542894" w:rsidP="00542894">
            <w:pPr>
              <w:spacing w:after="0" w:line="240" w:lineRule="auto"/>
              <w:jc w:val="right"/>
              <w:rPr>
                <w:rFonts w:ascii="Arial" w:eastAsia="Times New Roman" w:hAnsi="Arial" w:cs="Arial"/>
                <w:sz w:val="16"/>
                <w:szCs w:val="16"/>
                <w:lang w:eastAsia="en-US"/>
              </w:rPr>
            </w:pPr>
            <w:r w:rsidRPr="003A2F86">
              <w:rPr>
                <w:rFonts w:ascii="Arial" w:hAnsi="Arial" w:cs="Arial"/>
                <w:sz w:val="16"/>
                <w:szCs w:val="16"/>
              </w:rPr>
              <w:t>370.155,32</w:t>
            </w:r>
          </w:p>
        </w:tc>
        <w:tc>
          <w:tcPr>
            <w:tcW w:w="11204" w:type="dxa"/>
            <w:tcBorders>
              <w:top w:val="nil"/>
              <w:left w:val="nil"/>
              <w:bottom w:val="single" w:sz="8" w:space="0" w:color="000000"/>
              <w:right w:val="single" w:sz="8" w:space="0" w:color="000000"/>
            </w:tcBorders>
          </w:tcPr>
          <w:p w14:paraId="5054EFF5" w14:textId="29C245A0" w:rsidR="00542894" w:rsidRPr="003A2F86" w:rsidRDefault="00542894" w:rsidP="00542894">
            <w:pPr>
              <w:spacing w:after="0" w:line="240" w:lineRule="auto"/>
              <w:jc w:val="both"/>
              <w:rPr>
                <w:rFonts w:ascii="Arial" w:eastAsia="Times New Roman" w:hAnsi="Arial" w:cs="Arial"/>
                <w:sz w:val="16"/>
                <w:szCs w:val="16"/>
                <w:lang w:eastAsia="en-US"/>
              </w:rPr>
            </w:pPr>
            <w:r w:rsidRPr="003A2F86">
              <w:rPr>
                <w:rFonts w:ascii="Arial" w:hAnsi="Arial" w:cs="Arial"/>
                <w:sz w:val="16"/>
                <w:szCs w:val="16"/>
              </w:rPr>
              <w:t>što je za 16.040,54 € ili 4,2% manje u odnosu na izvještajno razdoblje prethodne godine. U prvom polugodištu 2020. ovi prihodi su iznosili 218.676,99 €.</w:t>
            </w:r>
          </w:p>
        </w:tc>
      </w:tr>
      <w:tr w:rsidR="00542894" w:rsidRPr="003A2F86" w14:paraId="089BC980" w14:textId="77777777" w:rsidTr="003F5539">
        <w:trPr>
          <w:jc w:val="center"/>
        </w:trPr>
        <w:tc>
          <w:tcPr>
            <w:tcW w:w="988" w:type="dxa"/>
          </w:tcPr>
          <w:p w14:paraId="402AFB03" w14:textId="1C4A385A" w:rsidR="00542894" w:rsidRPr="003A2F86" w:rsidRDefault="00542894" w:rsidP="00542894">
            <w:pPr>
              <w:spacing w:after="0" w:line="240" w:lineRule="auto"/>
              <w:jc w:val="center"/>
              <w:rPr>
                <w:rFonts w:ascii="Arial" w:eastAsia="Times New Roman" w:hAnsi="Arial" w:cs="Arial"/>
                <w:iCs/>
                <w:sz w:val="16"/>
                <w:szCs w:val="16"/>
                <w:lang w:eastAsia="en-US"/>
              </w:rPr>
            </w:pPr>
            <w:r w:rsidRPr="003A2F86">
              <w:rPr>
                <w:rFonts w:ascii="Arial" w:hAnsi="Arial" w:cs="Arial"/>
                <w:sz w:val="16"/>
                <w:szCs w:val="16"/>
              </w:rPr>
              <w:t>2021.</w:t>
            </w:r>
          </w:p>
        </w:tc>
        <w:tc>
          <w:tcPr>
            <w:tcW w:w="850" w:type="dxa"/>
          </w:tcPr>
          <w:p w14:paraId="4BEC82AC" w14:textId="203AF2D3" w:rsidR="00542894" w:rsidRPr="003A2F86" w:rsidRDefault="00542894" w:rsidP="00542894">
            <w:pPr>
              <w:spacing w:after="0" w:line="240" w:lineRule="auto"/>
              <w:jc w:val="center"/>
              <w:rPr>
                <w:rFonts w:ascii="Arial" w:eastAsia="Times New Roman" w:hAnsi="Arial" w:cs="Arial"/>
                <w:iCs/>
                <w:sz w:val="16"/>
                <w:szCs w:val="16"/>
                <w:lang w:eastAsia="en-US"/>
              </w:rPr>
            </w:pPr>
            <w:r w:rsidRPr="003A2F86">
              <w:rPr>
                <w:rFonts w:ascii="Arial" w:hAnsi="Arial" w:cs="Arial"/>
                <w:sz w:val="16"/>
                <w:szCs w:val="16"/>
              </w:rPr>
              <w:t>3%</w:t>
            </w:r>
          </w:p>
        </w:tc>
        <w:tc>
          <w:tcPr>
            <w:tcW w:w="1134" w:type="dxa"/>
          </w:tcPr>
          <w:p w14:paraId="4B5DDF7E" w14:textId="6F0772A2" w:rsidR="00542894" w:rsidRPr="003A2F86" w:rsidRDefault="00542894" w:rsidP="00542894">
            <w:pPr>
              <w:spacing w:after="0" w:line="240" w:lineRule="auto"/>
              <w:jc w:val="right"/>
              <w:rPr>
                <w:rFonts w:ascii="Arial" w:eastAsia="Times New Roman" w:hAnsi="Arial" w:cs="Arial"/>
                <w:iCs/>
                <w:sz w:val="16"/>
                <w:szCs w:val="16"/>
                <w:lang w:eastAsia="en-US"/>
              </w:rPr>
            </w:pPr>
            <w:r w:rsidRPr="003A2F86">
              <w:rPr>
                <w:rFonts w:ascii="Arial" w:hAnsi="Arial" w:cs="Arial"/>
                <w:sz w:val="16"/>
                <w:szCs w:val="16"/>
              </w:rPr>
              <w:t>296.533,65</w:t>
            </w:r>
          </w:p>
        </w:tc>
        <w:tc>
          <w:tcPr>
            <w:tcW w:w="11204" w:type="dxa"/>
            <w:tcBorders>
              <w:top w:val="single" w:sz="8" w:space="0" w:color="000000"/>
              <w:left w:val="nil"/>
              <w:bottom w:val="single" w:sz="4" w:space="0" w:color="auto"/>
              <w:right w:val="single" w:sz="8" w:space="0" w:color="000000"/>
            </w:tcBorders>
          </w:tcPr>
          <w:p w14:paraId="6B53CAE6" w14:textId="3709FBBB" w:rsidR="00542894" w:rsidRPr="003A2F86" w:rsidRDefault="00542894" w:rsidP="00542894">
            <w:pPr>
              <w:spacing w:after="0" w:line="240" w:lineRule="auto"/>
              <w:jc w:val="both"/>
              <w:rPr>
                <w:rFonts w:ascii="Arial" w:eastAsia="Times New Roman" w:hAnsi="Arial" w:cs="Arial"/>
                <w:sz w:val="16"/>
                <w:szCs w:val="16"/>
                <w:lang w:eastAsia="en-US"/>
              </w:rPr>
            </w:pPr>
            <w:r w:rsidRPr="003A2F86">
              <w:rPr>
                <w:rFonts w:ascii="Arial" w:hAnsi="Arial" w:cs="Arial"/>
                <w:sz w:val="16"/>
                <w:szCs w:val="16"/>
              </w:rPr>
              <w:t>što je za 73.621,97 € ili 19,9% manje u odnosu na izvještajno razdoblje prethodne godine. U prvom polugodištu 2021. ovi prihodi su iznosili 203.529,50 €.</w:t>
            </w:r>
          </w:p>
        </w:tc>
      </w:tr>
      <w:tr w:rsidR="00542894" w:rsidRPr="003A2F86" w14:paraId="72AFF58C" w14:textId="77777777" w:rsidTr="003F5539">
        <w:trPr>
          <w:jc w:val="center"/>
        </w:trPr>
        <w:tc>
          <w:tcPr>
            <w:tcW w:w="988" w:type="dxa"/>
            <w:tcBorders>
              <w:top w:val="nil"/>
              <w:left w:val="single" w:sz="8" w:space="0" w:color="000000"/>
              <w:bottom w:val="single" w:sz="4" w:space="0" w:color="auto"/>
              <w:right w:val="single" w:sz="8" w:space="0" w:color="000000"/>
            </w:tcBorders>
          </w:tcPr>
          <w:p w14:paraId="16988842" w14:textId="64E0AC7D" w:rsidR="00542894" w:rsidRPr="003A2F86" w:rsidRDefault="00542894" w:rsidP="00542894">
            <w:pPr>
              <w:spacing w:after="0" w:line="240" w:lineRule="auto"/>
              <w:jc w:val="center"/>
              <w:rPr>
                <w:rFonts w:ascii="Arial" w:eastAsia="Times New Roman" w:hAnsi="Arial" w:cs="Arial"/>
                <w:sz w:val="16"/>
                <w:szCs w:val="16"/>
              </w:rPr>
            </w:pPr>
            <w:r w:rsidRPr="003A2F86">
              <w:rPr>
                <w:rFonts w:ascii="Arial" w:hAnsi="Arial" w:cs="Arial"/>
                <w:sz w:val="16"/>
                <w:szCs w:val="16"/>
              </w:rPr>
              <w:t>2022.</w:t>
            </w:r>
          </w:p>
        </w:tc>
        <w:tc>
          <w:tcPr>
            <w:tcW w:w="850" w:type="dxa"/>
            <w:tcBorders>
              <w:top w:val="nil"/>
              <w:left w:val="nil"/>
              <w:bottom w:val="single" w:sz="4" w:space="0" w:color="auto"/>
              <w:right w:val="single" w:sz="8" w:space="0" w:color="000000"/>
            </w:tcBorders>
          </w:tcPr>
          <w:p w14:paraId="74B01002" w14:textId="0D86709F" w:rsidR="00542894" w:rsidRPr="003A2F86" w:rsidRDefault="00542894" w:rsidP="00542894">
            <w:pPr>
              <w:spacing w:after="0" w:line="240" w:lineRule="auto"/>
              <w:jc w:val="center"/>
              <w:rPr>
                <w:rFonts w:ascii="Arial" w:eastAsia="Times New Roman" w:hAnsi="Arial" w:cs="Arial"/>
                <w:iCs/>
                <w:sz w:val="16"/>
                <w:szCs w:val="16"/>
                <w:lang w:eastAsia="en-US"/>
              </w:rPr>
            </w:pPr>
            <w:r w:rsidRPr="003A2F86">
              <w:rPr>
                <w:rFonts w:ascii="Arial" w:hAnsi="Arial" w:cs="Arial"/>
                <w:sz w:val="16"/>
                <w:szCs w:val="16"/>
              </w:rPr>
              <w:t>3%</w:t>
            </w:r>
          </w:p>
        </w:tc>
        <w:tc>
          <w:tcPr>
            <w:tcW w:w="1134" w:type="dxa"/>
            <w:tcBorders>
              <w:top w:val="nil"/>
              <w:left w:val="nil"/>
              <w:bottom w:val="single" w:sz="4" w:space="0" w:color="auto"/>
              <w:right w:val="single" w:sz="8" w:space="0" w:color="000000"/>
            </w:tcBorders>
          </w:tcPr>
          <w:p w14:paraId="21631A3C" w14:textId="55FE6A2A" w:rsidR="00542894" w:rsidRPr="003A2F86" w:rsidRDefault="00542894" w:rsidP="00542894">
            <w:pPr>
              <w:spacing w:after="0" w:line="240" w:lineRule="auto"/>
              <w:jc w:val="right"/>
              <w:rPr>
                <w:rFonts w:ascii="Arial" w:eastAsia="Times New Roman" w:hAnsi="Arial" w:cs="Arial"/>
                <w:iCs/>
                <w:sz w:val="16"/>
                <w:szCs w:val="16"/>
                <w:lang w:eastAsia="en-US"/>
              </w:rPr>
            </w:pPr>
            <w:r w:rsidRPr="003A2F86">
              <w:rPr>
                <w:rFonts w:ascii="Arial" w:hAnsi="Arial" w:cs="Arial"/>
                <w:sz w:val="16"/>
                <w:szCs w:val="16"/>
              </w:rPr>
              <w:t>372.794,06</w:t>
            </w:r>
          </w:p>
        </w:tc>
        <w:tc>
          <w:tcPr>
            <w:tcW w:w="11204" w:type="dxa"/>
            <w:tcBorders>
              <w:top w:val="nil"/>
              <w:left w:val="nil"/>
              <w:bottom w:val="single" w:sz="4" w:space="0" w:color="auto"/>
              <w:right w:val="single" w:sz="8" w:space="0" w:color="000000"/>
            </w:tcBorders>
          </w:tcPr>
          <w:p w14:paraId="71F22CDC" w14:textId="22D96E6A" w:rsidR="00542894" w:rsidRPr="003A2F86" w:rsidRDefault="00C67F7C" w:rsidP="00542894">
            <w:pPr>
              <w:spacing w:after="0" w:line="240" w:lineRule="auto"/>
              <w:jc w:val="both"/>
              <w:rPr>
                <w:rFonts w:ascii="Arial" w:hAnsi="Arial" w:cs="Arial"/>
                <w:sz w:val="16"/>
                <w:szCs w:val="16"/>
              </w:rPr>
            </w:pPr>
            <w:r w:rsidRPr="003A2F86">
              <w:rPr>
                <w:rFonts w:ascii="Arial" w:hAnsi="Arial" w:cs="Arial"/>
                <w:sz w:val="16"/>
                <w:szCs w:val="16"/>
              </w:rPr>
              <w:t>što je za 76.260,41 € ili 25,7% više u odnosu na izvještajno razdoblje prethodne godine. U prvom polugodištu 2022. ovi prihodi su iznosili 195.384,23 €.</w:t>
            </w:r>
          </w:p>
        </w:tc>
      </w:tr>
      <w:tr w:rsidR="00542894" w:rsidRPr="003A2F86" w14:paraId="64671646" w14:textId="77777777" w:rsidTr="003F5539">
        <w:trPr>
          <w:jc w:val="center"/>
        </w:trPr>
        <w:tc>
          <w:tcPr>
            <w:tcW w:w="988" w:type="dxa"/>
            <w:tcBorders>
              <w:top w:val="single" w:sz="4" w:space="0" w:color="auto"/>
              <w:left w:val="single" w:sz="8" w:space="0" w:color="000000"/>
              <w:bottom w:val="single" w:sz="4" w:space="0" w:color="auto"/>
              <w:right w:val="single" w:sz="8" w:space="0" w:color="000000"/>
            </w:tcBorders>
          </w:tcPr>
          <w:p w14:paraId="5D2B9BE7" w14:textId="16E2FED3" w:rsidR="00542894" w:rsidRPr="003A2F86" w:rsidRDefault="00542894" w:rsidP="00542894">
            <w:pPr>
              <w:spacing w:after="0" w:line="240" w:lineRule="auto"/>
              <w:jc w:val="center"/>
              <w:rPr>
                <w:rFonts w:ascii="Arial" w:hAnsi="Arial" w:cs="Arial"/>
                <w:sz w:val="16"/>
                <w:szCs w:val="16"/>
              </w:rPr>
            </w:pPr>
            <w:r w:rsidRPr="003A2F86">
              <w:rPr>
                <w:rFonts w:ascii="Arial" w:hAnsi="Arial" w:cs="Arial"/>
                <w:sz w:val="16"/>
                <w:szCs w:val="16"/>
              </w:rPr>
              <w:t>2023.</w:t>
            </w:r>
          </w:p>
        </w:tc>
        <w:tc>
          <w:tcPr>
            <w:tcW w:w="850" w:type="dxa"/>
            <w:tcBorders>
              <w:top w:val="single" w:sz="4" w:space="0" w:color="auto"/>
              <w:left w:val="nil"/>
              <w:bottom w:val="single" w:sz="4" w:space="0" w:color="auto"/>
              <w:right w:val="single" w:sz="8" w:space="0" w:color="000000"/>
            </w:tcBorders>
          </w:tcPr>
          <w:p w14:paraId="6D08E7A6" w14:textId="09D159B6" w:rsidR="00542894" w:rsidRPr="003A2F86" w:rsidRDefault="00542894" w:rsidP="00542894">
            <w:pPr>
              <w:spacing w:after="0" w:line="240" w:lineRule="auto"/>
              <w:jc w:val="center"/>
              <w:rPr>
                <w:rFonts w:ascii="Arial" w:hAnsi="Arial" w:cs="Arial"/>
                <w:sz w:val="16"/>
                <w:szCs w:val="16"/>
              </w:rPr>
            </w:pPr>
            <w:r w:rsidRPr="003A2F86">
              <w:rPr>
                <w:rFonts w:ascii="Arial" w:hAnsi="Arial" w:cs="Arial"/>
                <w:sz w:val="16"/>
                <w:szCs w:val="16"/>
              </w:rPr>
              <w:t>3%</w:t>
            </w:r>
          </w:p>
        </w:tc>
        <w:tc>
          <w:tcPr>
            <w:tcW w:w="1134" w:type="dxa"/>
            <w:tcBorders>
              <w:top w:val="single" w:sz="4" w:space="0" w:color="auto"/>
              <w:left w:val="nil"/>
              <w:bottom w:val="single" w:sz="4" w:space="0" w:color="auto"/>
              <w:right w:val="single" w:sz="8" w:space="0" w:color="000000"/>
            </w:tcBorders>
          </w:tcPr>
          <w:p w14:paraId="09ABB961" w14:textId="058EC990" w:rsidR="00542894" w:rsidRPr="003A2F86" w:rsidRDefault="00C67F7C" w:rsidP="00542894">
            <w:pPr>
              <w:spacing w:after="0" w:line="240" w:lineRule="auto"/>
              <w:jc w:val="right"/>
              <w:rPr>
                <w:rFonts w:ascii="Arial" w:hAnsi="Arial" w:cs="Arial"/>
                <w:sz w:val="16"/>
                <w:szCs w:val="16"/>
              </w:rPr>
            </w:pPr>
            <w:r w:rsidRPr="003A2F86">
              <w:rPr>
                <w:rFonts w:ascii="Arial" w:hAnsi="Arial" w:cs="Arial"/>
                <w:sz w:val="16"/>
                <w:szCs w:val="16"/>
              </w:rPr>
              <w:t>624.370,40</w:t>
            </w:r>
          </w:p>
        </w:tc>
        <w:tc>
          <w:tcPr>
            <w:tcW w:w="11204" w:type="dxa"/>
            <w:tcBorders>
              <w:top w:val="single" w:sz="4" w:space="0" w:color="auto"/>
              <w:left w:val="nil"/>
              <w:bottom w:val="single" w:sz="4" w:space="0" w:color="auto"/>
              <w:right w:val="single" w:sz="8" w:space="0" w:color="000000"/>
            </w:tcBorders>
          </w:tcPr>
          <w:p w14:paraId="1BF36B46" w14:textId="3F75974C" w:rsidR="00542894" w:rsidRPr="003A2F86" w:rsidRDefault="00C67F7C" w:rsidP="00542894">
            <w:pPr>
              <w:spacing w:after="0" w:line="240" w:lineRule="auto"/>
              <w:jc w:val="both"/>
              <w:rPr>
                <w:rFonts w:ascii="Arial" w:hAnsi="Arial" w:cs="Arial"/>
                <w:sz w:val="16"/>
                <w:szCs w:val="16"/>
              </w:rPr>
            </w:pPr>
            <w:r w:rsidRPr="003A2F86">
              <w:rPr>
                <w:rFonts w:ascii="Arial" w:hAnsi="Arial" w:cs="Arial"/>
                <w:sz w:val="16"/>
                <w:szCs w:val="16"/>
              </w:rPr>
              <w:t>što je za 251.576,34 € ili 67,5% više u odnosu na izvještajno razdoblje prethodne godine. U prvom polugodištu 2023. ovi prihodi su iznosili 218.951,06 €.</w:t>
            </w:r>
          </w:p>
        </w:tc>
      </w:tr>
      <w:tr w:rsidR="00A201FC" w:rsidRPr="003A2F86" w14:paraId="07C5B4D6" w14:textId="77777777" w:rsidTr="00D138B6">
        <w:trPr>
          <w:jc w:val="center"/>
        </w:trPr>
        <w:tc>
          <w:tcPr>
            <w:tcW w:w="988" w:type="dxa"/>
            <w:tcBorders>
              <w:top w:val="single" w:sz="4" w:space="0" w:color="auto"/>
              <w:left w:val="single" w:sz="8" w:space="0" w:color="000000"/>
              <w:bottom w:val="single" w:sz="4" w:space="0" w:color="auto"/>
              <w:right w:val="single" w:sz="8" w:space="0" w:color="000000"/>
            </w:tcBorders>
          </w:tcPr>
          <w:p w14:paraId="5F5D43AF" w14:textId="2F57A82C" w:rsidR="00A201FC" w:rsidRPr="003A2F86" w:rsidRDefault="00A201FC" w:rsidP="00A201FC">
            <w:pPr>
              <w:spacing w:after="0" w:line="240" w:lineRule="auto"/>
              <w:jc w:val="center"/>
              <w:rPr>
                <w:rFonts w:ascii="Arial" w:hAnsi="Arial" w:cs="Arial"/>
                <w:sz w:val="16"/>
                <w:szCs w:val="16"/>
              </w:rPr>
            </w:pPr>
            <w:r w:rsidRPr="003A2F86">
              <w:rPr>
                <w:rFonts w:ascii="Arial" w:hAnsi="Arial" w:cs="Arial"/>
                <w:sz w:val="16"/>
                <w:szCs w:val="16"/>
              </w:rPr>
              <w:t>2024.</w:t>
            </w:r>
          </w:p>
        </w:tc>
        <w:tc>
          <w:tcPr>
            <w:tcW w:w="850" w:type="dxa"/>
            <w:tcBorders>
              <w:top w:val="single" w:sz="4" w:space="0" w:color="auto"/>
              <w:left w:val="nil"/>
              <w:bottom w:val="single" w:sz="4" w:space="0" w:color="auto"/>
              <w:right w:val="single" w:sz="8" w:space="0" w:color="000000"/>
            </w:tcBorders>
          </w:tcPr>
          <w:p w14:paraId="17FA89E3" w14:textId="04453B46" w:rsidR="00A201FC" w:rsidRPr="003A2F86" w:rsidRDefault="00A201FC" w:rsidP="00A201FC">
            <w:pPr>
              <w:spacing w:after="0" w:line="240" w:lineRule="auto"/>
              <w:jc w:val="center"/>
              <w:rPr>
                <w:rFonts w:ascii="Arial" w:hAnsi="Arial" w:cs="Arial"/>
                <w:sz w:val="16"/>
                <w:szCs w:val="16"/>
              </w:rPr>
            </w:pPr>
            <w:r w:rsidRPr="003A2F86">
              <w:rPr>
                <w:rFonts w:ascii="Arial" w:hAnsi="Arial" w:cs="Arial"/>
                <w:sz w:val="16"/>
                <w:szCs w:val="16"/>
              </w:rPr>
              <w:t>3%</w:t>
            </w:r>
          </w:p>
        </w:tc>
        <w:tc>
          <w:tcPr>
            <w:tcW w:w="1134" w:type="dxa"/>
            <w:tcBorders>
              <w:top w:val="single" w:sz="4" w:space="0" w:color="auto"/>
              <w:left w:val="nil"/>
              <w:bottom w:val="single" w:sz="4" w:space="0" w:color="auto"/>
              <w:right w:val="single" w:sz="8" w:space="0" w:color="000000"/>
            </w:tcBorders>
          </w:tcPr>
          <w:p w14:paraId="01887FDE" w14:textId="7FDEEB54" w:rsidR="00A201FC" w:rsidRPr="003A2F86" w:rsidRDefault="00842B06" w:rsidP="00A201FC">
            <w:pPr>
              <w:spacing w:after="0" w:line="240" w:lineRule="auto"/>
              <w:jc w:val="right"/>
              <w:rPr>
                <w:rFonts w:ascii="Arial" w:hAnsi="Arial" w:cs="Arial"/>
                <w:sz w:val="16"/>
                <w:szCs w:val="16"/>
              </w:rPr>
            </w:pPr>
            <w:r w:rsidRPr="003A2F86">
              <w:rPr>
                <w:rFonts w:ascii="Arial" w:hAnsi="Arial" w:cs="Arial"/>
                <w:sz w:val="16"/>
                <w:szCs w:val="16"/>
              </w:rPr>
              <w:t>771.353,39</w:t>
            </w:r>
          </w:p>
        </w:tc>
        <w:tc>
          <w:tcPr>
            <w:tcW w:w="11204" w:type="dxa"/>
            <w:tcBorders>
              <w:top w:val="single" w:sz="4" w:space="0" w:color="auto"/>
              <w:left w:val="nil"/>
              <w:bottom w:val="single" w:sz="4" w:space="0" w:color="auto"/>
              <w:right w:val="single" w:sz="8" w:space="0" w:color="000000"/>
            </w:tcBorders>
          </w:tcPr>
          <w:p w14:paraId="6C9E162D" w14:textId="02F9227E" w:rsidR="00A201FC" w:rsidRPr="003A2F86" w:rsidRDefault="00842B06" w:rsidP="00842B06">
            <w:pPr>
              <w:spacing w:after="0" w:line="240" w:lineRule="auto"/>
              <w:jc w:val="both"/>
              <w:rPr>
                <w:rFonts w:ascii="Arial" w:hAnsi="Arial" w:cs="Arial"/>
                <w:sz w:val="16"/>
                <w:szCs w:val="16"/>
              </w:rPr>
            </w:pPr>
            <w:r w:rsidRPr="003A2F86">
              <w:rPr>
                <w:rFonts w:ascii="Arial" w:hAnsi="Arial" w:cs="Arial"/>
                <w:sz w:val="16"/>
                <w:szCs w:val="16"/>
              </w:rPr>
              <w:t>što je za 146.982,99 € ili 23,5% više u odnosu na izvještajno razdoblje prethodne godine. U prvom polugodištu 2024. ovi prihodi su iznosili 350.225,56 €.</w:t>
            </w:r>
          </w:p>
        </w:tc>
      </w:tr>
      <w:tr w:rsidR="00D138B6" w:rsidRPr="003A2F86" w14:paraId="069664F1" w14:textId="77777777" w:rsidTr="003F5539">
        <w:trPr>
          <w:jc w:val="center"/>
        </w:trPr>
        <w:tc>
          <w:tcPr>
            <w:tcW w:w="988" w:type="dxa"/>
            <w:tcBorders>
              <w:top w:val="single" w:sz="4" w:space="0" w:color="auto"/>
              <w:left w:val="single" w:sz="8" w:space="0" w:color="000000"/>
              <w:bottom w:val="single" w:sz="8" w:space="0" w:color="000000"/>
              <w:right w:val="single" w:sz="8" w:space="0" w:color="000000"/>
            </w:tcBorders>
          </w:tcPr>
          <w:p w14:paraId="56BAA1FF" w14:textId="0B880F5D" w:rsidR="00D138B6" w:rsidRPr="003A2F86" w:rsidRDefault="00D138B6" w:rsidP="00D138B6">
            <w:pPr>
              <w:spacing w:after="0" w:line="240" w:lineRule="auto"/>
              <w:jc w:val="center"/>
              <w:rPr>
                <w:rFonts w:ascii="Arial" w:hAnsi="Arial" w:cs="Arial"/>
                <w:sz w:val="16"/>
                <w:szCs w:val="16"/>
              </w:rPr>
            </w:pPr>
            <w:r>
              <w:rPr>
                <w:rFonts w:ascii="Arial" w:hAnsi="Arial" w:cs="Arial"/>
                <w:sz w:val="16"/>
                <w:szCs w:val="16"/>
              </w:rPr>
              <w:t>2025.</w:t>
            </w:r>
          </w:p>
        </w:tc>
        <w:tc>
          <w:tcPr>
            <w:tcW w:w="850" w:type="dxa"/>
            <w:tcBorders>
              <w:top w:val="single" w:sz="4" w:space="0" w:color="auto"/>
              <w:left w:val="nil"/>
              <w:bottom w:val="single" w:sz="8" w:space="0" w:color="000000"/>
              <w:right w:val="single" w:sz="8" w:space="0" w:color="000000"/>
            </w:tcBorders>
          </w:tcPr>
          <w:p w14:paraId="50E5A753" w14:textId="22A2AE45" w:rsidR="00D138B6" w:rsidRPr="003A2F86" w:rsidRDefault="00D138B6" w:rsidP="00D138B6">
            <w:pPr>
              <w:spacing w:after="0" w:line="240" w:lineRule="auto"/>
              <w:jc w:val="center"/>
              <w:rPr>
                <w:rFonts w:ascii="Arial" w:hAnsi="Arial" w:cs="Arial"/>
                <w:sz w:val="16"/>
                <w:szCs w:val="16"/>
              </w:rPr>
            </w:pPr>
            <w:r w:rsidRPr="003A2F86">
              <w:rPr>
                <w:rFonts w:ascii="Arial" w:hAnsi="Arial" w:cs="Arial"/>
                <w:sz w:val="16"/>
                <w:szCs w:val="16"/>
              </w:rPr>
              <w:t>3%</w:t>
            </w:r>
          </w:p>
        </w:tc>
        <w:tc>
          <w:tcPr>
            <w:tcW w:w="1134" w:type="dxa"/>
            <w:tcBorders>
              <w:top w:val="single" w:sz="4" w:space="0" w:color="auto"/>
              <w:left w:val="nil"/>
              <w:bottom w:val="single" w:sz="8" w:space="0" w:color="000000"/>
              <w:right w:val="single" w:sz="8" w:space="0" w:color="000000"/>
            </w:tcBorders>
          </w:tcPr>
          <w:p w14:paraId="15510661" w14:textId="36DA3B39" w:rsidR="00D138B6" w:rsidRPr="003A2F86" w:rsidRDefault="00C17905" w:rsidP="00D138B6">
            <w:pPr>
              <w:spacing w:after="0" w:line="240" w:lineRule="auto"/>
              <w:jc w:val="right"/>
              <w:rPr>
                <w:rFonts w:ascii="Arial" w:hAnsi="Arial" w:cs="Arial"/>
                <w:sz w:val="16"/>
                <w:szCs w:val="16"/>
              </w:rPr>
            </w:pPr>
            <w:r w:rsidRPr="00C17905">
              <w:rPr>
                <w:rFonts w:ascii="Arial" w:hAnsi="Arial" w:cs="Arial"/>
                <w:sz w:val="16"/>
                <w:szCs w:val="16"/>
              </w:rPr>
              <w:t>824</w:t>
            </w:r>
            <w:r>
              <w:rPr>
                <w:rFonts w:ascii="Arial" w:hAnsi="Arial" w:cs="Arial"/>
                <w:sz w:val="16"/>
                <w:szCs w:val="16"/>
              </w:rPr>
              <w:t>.</w:t>
            </w:r>
            <w:r w:rsidRPr="00C17905">
              <w:rPr>
                <w:rFonts w:ascii="Arial" w:hAnsi="Arial" w:cs="Arial"/>
                <w:sz w:val="16"/>
                <w:szCs w:val="16"/>
              </w:rPr>
              <w:t>110,78</w:t>
            </w:r>
          </w:p>
        </w:tc>
        <w:tc>
          <w:tcPr>
            <w:tcW w:w="11204" w:type="dxa"/>
            <w:tcBorders>
              <w:top w:val="single" w:sz="4" w:space="0" w:color="auto"/>
              <w:left w:val="nil"/>
              <w:bottom w:val="single" w:sz="8" w:space="0" w:color="000000"/>
              <w:right w:val="single" w:sz="8" w:space="0" w:color="000000"/>
            </w:tcBorders>
          </w:tcPr>
          <w:p w14:paraId="606E67F1" w14:textId="1160BA04" w:rsidR="00D138B6" w:rsidRPr="003A2F86" w:rsidRDefault="00C17905" w:rsidP="00D138B6">
            <w:pPr>
              <w:spacing w:after="0" w:line="240" w:lineRule="auto"/>
              <w:jc w:val="both"/>
              <w:rPr>
                <w:rFonts w:ascii="Arial" w:hAnsi="Arial" w:cs="Arial"/>
                <w:sz w:val="16"/>
                <w:szCs w:val="16"/>
              </w:rPr>
            </w:pPr>
            <w:r w:rsidRPr="00C17905">
              <w:rPr>
                <w:rFonts w:ascii="Arial" w:hAnsi="Arial" w:cs="Arial"/>
                <w:sz w:val="16"/>
                <w:szCs w:val="16"/>
              </w:rPr>
              <w:t xml:space="preserve">što je za </w:t>
            </w:r>
            <w:r>
              <w:rPr>
                <w:rFonts w:ascii="Arial" w:hAnsi="Arial" w:cs="Arial"/>
                <w:sz w:val="16"/>
                <w:szCs w:val="16"/>
              </w:rPr>
              <w:t>52.757,39</w:t>
            </w:r>
            <w:r w:rsidRPr="00C17905">
              <w:rPr>
                <w:rFonts w:ascii="Arial" w:hAnsi="Arial" w:cs="Arial"/>
                <w:sz w:val="16"/>
                <w:szCs w:val="16"/>
              </w:rPr>
              <w:t xml:space="preserve"> € ili </w:t>
            </w:r>
            <w:r>
              <w:rPr>
                <w:rFonts w:ascii="Arial" w:hAnsi="Arial" w:cs="Arial"/>
                <w:sz w:val="16"/>
                <w:szCs w:val="16"/>
              </w:rPr>
              <w:t>6,8</w:t>
            </w:r>
            <w:r w:rsidRPr="00C17905">
              <w:rPr>
                <w:rFonts w:ascii="Arial" w:hAnsi="Arial" w:cs="Arial"/>
                <w:sz w:val="16"/>
                <w:szCs w:val="16"/>
              </w:rPr>
              <w:t xml:space="preserve">% </w:t>
            </w:r>
            <w:r>
              <w:rPr>
                <w:rFonts w:ascii="Arial" w:hAnsi="Arial" w:cs="Arial"/>
                <w:sz w:val="16"/>
                <w:szCs w:val="16"/>
              </w:rPr>
              <w:t>više</w:t>
            </w:r>
            <w:r w:rsidRPr="00C17905">
              <w:rPr>
                <w:rFonts w:ascii="Arial" w:hAnsi="Arial" w:cs="Arial"/>
                <w:sz w:val="16"/>
                <w:szCs w:val="16"/>
              </w:rPr>
              <w:t xml:space="preserve"> u odnosu na izvještajno razdoblje prethodne godine. U prvom polugodištu 2025. ovi prihodi su iznosili 347.679,24 €.</w:t>
            </w:r>
          </w:p>
        </w:tc>
      </w:tr>
      <w:bookmarkEnd w:id="94"/>
    </w:tbl>
    <w:p w14:paraId="76E6232C" w14:textId="75E0346F" w:rsidR="00A879CA" w:rsidRDefault="00A879CA" w:rsidP="00650D88">
      <w:pPr>
        <w:spacing w:after="0" w:line="240" w:lineRule="auto"/>
        <w:jc w:val="both"/>
        <w:rPr>
          <w:rFonts w:ascii="Arial" w:eastAsia="Times New Roman" w:hAnsi="Arial" w:cs="Arial"/>
          <w:lang w:eastAsia="en-US"/>
        </w:rPr>
      </w:pPr>
    </w:p>
    <w:p w14:paraId="5DCDA563" w14:textId="77777777" w:rsidR="0076734C" w:rsidRDefault="0076734C" w:rsidP="00650D88">
      <w:pPr>
        <w:spacing w:after="0" w:line="240" w:lineRule="auto"/>
        <w:jc w:val="both"/>
        <w:rPr>
          <w:rFonts w:ascii="Arial" w:eastAsia="Times New Roman" w:hAnsi="Arial" w:cs="Arial"/>
          <w:lang w:eastAsia="en-US"/>
        </w:rPr>
      </w:pPr>
    </w:p>
    <w:p w14:paraId="4D5A4974" w14:textId="77777777" w:rsidR="00B43E5D" w:rsidRPr="003A2F86" w:rsidRDefault="00B43E5D" w:rsidP="00650D88">
      <w:pPr>
        <w:spacing w:after="0" w:line="240" w:lineRule="auto"/>
        <w:jc w:val="both"/>
        <w:rPr>
          <w:rFonts w:ascii="Arial" w:eastAsia="Times New Roman" w:hAnsi="Arial" w:cs="Arial"/>
          <w:lang w:eastAsia="en-US"/>
        </w:rPr>
      </w:pPr>
    </w:p>
    <w:p w14:paraId="61D091B5" w14:textId="2D0B7A74" w:rsidR="001102F5" w:rsidRPr="003A2F86" w:rsidRDefault="001102F5" w:rsidP="001102F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center"/>
        <w:rPr>
          <w:rFonts w:ascii="Arial" w:eastAsia="Times New Roman" w:hAnsi="Arial" w:cs="Arial"/>
          <w:b/>
          <w:bCs/>
        </w:rPr>
      </w:pPr>
      <w:r w:rsidRPr="003A2F86">
        <w:rPr>
          <w:rFonts w:ascii="Arial" w:eastAsia="Times New Roman" w:hAnsi="Arial" w:cs="Arial"/>
          <w:b/>
          <w:bCs/>
        </w:rPr>
        <w:lastRenderedPageBreak/>
        <w:t>Općinski porezi</w:t>
      </w:r>
    </w:p>
    <w:p w14:paraId="4B52F267" w14:textId="482A3FEB" w:rsidR="001102F5" w:rsidRPr="003A2F86" w:rsidRDefault="001102F5" w:rsidP="001102F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p>
    <w:p w14:paraId="7D0EC2B7" w14:textId="4ED1B9D6" w:rsidR="00E11912" w:rsidRPr="003A2F86" w:rsidRDefault="001102F5" w:rsidP="00E11912">
      <w:pPr>
        <w:spacing w:after="0" w:line="240" w:lineRule="auto"/>
        <w:jc w:val="both"/>
        <w:rPr>
          <w:rFonts w:ascii="Arial" w:eastAsia="Times New Roman" w:hAnsi="Arial" w:cs="Arial"/>
          <w:lang w:eastAsia="en-US"/>
        </w:rPr>
      </w:pPr>
      <w:bookmarkStart w:id="95" w:name="_Hlk230157848"/>
      <w:r w:rsidRPr="003A2F86">
        <w:rPr>
          <w:rFonts w:ascii="Arial" w:eastAsia="Times New Roman" w:hAnsi="Arial" w:cs="Arial"/>
        </w:rPr>
        <w:t>Općinski porezi (porez na kuće za odmor, porez na korištenje javnih površina i porez na potrošnju)</w:t>
      </w:r>
      <w:r w:rsidR="00A13FE2" w:rsidRPr="003A2F86">
        <w:rPr>
          <w:rFonts w:ascii="Arial" w:eastAsia="Times New Roman" w:hAnsi="Arial" w:cs="Arial"/>
        </w:rPr>
        <w:t xml:space="preserve"> ostvareni su u izvještajnom razdoblju 20</w:t>
      </w:r>
      <w:r w:rsidR="00691210">
        <w:rPr>
          <w:rFonts w:ascii="Arial" w:eastAsia="Times New Roman" w:hAnsi="Arial" w:cs="Arial"/>
        </w:rPr>
        <w:t>25</w:t>
      </w:r>
      <w:r w:rsidR="00A13FE2" w:rsidRPr="003A2F86">
        <w:rPr>
          <w:rFonts w:ascii="Arial" w:eastAsia="Times New Roman" w:hAnsi="Arial" w:cs="Arial"/>
        </w:rPr>
        <w:t xml:space="preserve">. godine u iznosu </w:t>
      </w:r>
      <w:r w:rsidR="002417CD">
        <w:rPr>
          <w:rFonts w:ascii="Arial" w:eastAsia="Times New Roman" w:hAnsi="Arial" w:cs="Arial"/>
        </w:rPr>
        <w:t>457.158,76</w:t>
      </w:r>
      <w:r w:rsidR="00E11912" w:rsidRPr="003A2F86">
        <w:rPr>
          <w:rFonts w:ascii="Arial" w:eastAsia="Times New Roman" w:hAnsi="Arial" w:cs="Arial"/>
        </w:rPr>
        <w:t xml:space="preserve"> €</w:t>
      </w:r>
      <w:r w:rsidR="00E87B67" w:rsidRPr="003A2F86">
        <w:rPr>
          <w:rFonts w:ascii="Arial" w:eastAsia="Times New Roman" w:hAnsi="Arial" w:cs="Arial"/>
        </w:rPr>
        <w:t xml:space="preserve"> što je više za </w:t>
      </w:r>
      <w:r w:rsidR="002417CD">
        <w:rPr>
          <w:rFonts w:ascii="Arial" w:eastAsia="Times New Roman" w:hAnsi="Arial" w:cs="Arial"/>
        </w:rPr>
        <w:t>15.844,91</w:t>
      </w:r>
      <w:r w:rsidR="00E11912" w:rsidRPr="003A2F86">
        <w:rPr>
          <w:rFonts w:ascii="Arial" w:eastAsia="Times New Roman" w:hAnsi="Arial" w:cs="Arial"/>
        </w:rPr>
        <w:t xml:space="preserve"> €</w:t>
      </w:r>
      <w:r w:rsidR="00E87B67" w:rsidRPr="003A2F86">
        <w:rPr>
          <w:rFonts w:ascii="Arial" w:eastAsia="Times New Roman" w:hAnsi="Arial" w:cs="Arial"/>
        </w:rPr>
        <w:t xml:space="preserve"> ili </w:t>
      </w:r>
      <w:r w:rsidR="002417CD">
        <w:rPr>
          <w:rFonts w:ascii="Arial" w:eastAsia="Times New Roman" w:hAnsi="Arial" w:cs="Arial"/>
        </w:rPr>
        <w:t>3,6</w:t>
      </w:r>
      <w:r w:rsidR="00E87B67" w:rsidRPr="003A2F86">
        <w:rPr>
          <w:rFonts w:ascii="Arial" w:eastAsia="Times New Roman" w:hAnsi="Arial" w:cs="Arial"/>
        </w:rPr>
        <w:t xml:space="preserve">% više u odnosu na </w:t>
      </w:r>
      <w:r w:rsidR="004733CE" w:rsidRPr="003A2F86">
        <w:rPr>
          <w:rFonts w:ascii="Arial" w:eastAsia="Times New Roman" w:hAnsi="Arial" w:cs="Arial"/>
        </w:rPr>
        <w:t xml:space="preserve">izvještajno razdoblje </w:t>
      </w:r>
      <w:r w:rsidR="00E87B67" w:rsidRPr="003A2F86">
        <w:rPr>
          <w:rFonts w:ascii="Arial" w:eastAsia="Times New Roman" w:hAnsi="Arial" w:cs="Arial"/>
        </w:rPr>
        <w:t>prethodn</w:t>
      </w:r>
      <w:r w:rsidR="004733CE" w:rsidRPr="003A2F86">
        <w:rPr>
          <w:rFonts w:ascii="Arial" w:eastAsia="Times New Roman" w:hAnsi="Arial" w:cs="Arial"/>
        </w:rPr>
        <w:t>e</w:t>
      </w:r>
      <w:r w:rsidR="00E87B67" w:rsidRPr="003A2F86">
        <w:rPr>
          <w:rFonts w:ascii="Arial" w:eastAsia="Times New Roman" w:hAnsi="Arial" w:cs="Arial"/>
        </w:rPr>
        <w:t xml:space="preserve"> godin</w:t>
      </w:r>
      <w:r w:rsidR="004733CE" w:rsidRPr="003A2F86">
        <w:rPr>
          <w:rFonts w:ascii="Arial" w:eastAsia="Times New Roman" w:hAnsi="Arial" w:cs="Arial"/>
        </w:rPr>
        <w:t>e</w:t>
      </w:r>
      <w:r w:rsidR="00A13FE2" w:rsidRPr="003A2F86">
        <w:rPr>
          <w:rFonts w:ascii="Arial" w:eastAsia="Times New Roman" w:hAnsi="Arial" w:cs="Arial"/>
        </w:rPr>
        <w:t xml:space="preserve">. </w:t>
      </w:r>
    </w:p>
    <w:bookmarkEnd w:id="95"/>
    <w:p w14:paraId="2E5643CB" w14:textId="77777777" w:rsidR="00C1675B" w:rsidRPr="00BD38F4" w:rsidRDefault="00C1675B" w:rsidP="009B7F6A">
      <w:pPr>
        <w:spacing w:after="0" w:line="240" w:lineRule="auto"/>
        <w:jc w:val="both"/>
        <w:rPr>
          <w:rFonts w:ascii="Arial" w:eastAsia="Times New Roman" w:hAnsi="Arial" w:cs="Arial"/>
          <w:sz w:val="14"/>
          <w:szCs w:val="14"/>
          <w:lang w:eastAsia="en-US"/>
        </w:rPr>
      </w:pPr>
    </w:p>
    <w:p w14:paraId="71FDB2AC" w14:textId="52BD2847" w:rsidR="00C1675B" w:rsidRDefault="008543A4" w:rsidP="00C1675B">
      <w:pPr>
        <w:spacing w:after="0" w:line="240" w:lineRule="auto"/>
        <w:jc w:val="center"/>
        <w:rPr>
          <w:rFonts w:ascii="Arial" w:eastAsia="Times New Roman" w:hAnsi="Arial" w:cs="Arial"/>
          <w:lang w:eastAsia="en-US"/>
        </w:rPr>
      </w:pPr>
      <w:r w:rsidRPr="008543A4">
        <w:rPr>
          <w:noProof/>
        </w:rPr>
        <w:drawing>
          <wp:inline distT="0" distB="0" distL="0" distR="0" wp14:anchorId="6B991C42" wp14:editId="1CF6F993">
            <wp:extent cx="9251950" cy="1928495"/>
            <wp:effectExtent l="0" t="0" r="6350" b="0"/>
            <wp:docPr id="1935100304"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251950" cy="1928495"/>
                    </a:xfrm>
                    <a:prstGeom prst="rect">
                      <a:avLst/>
                    </a:prstGeom>
                    <a:noFill/>
                    <a:ln>
                      <a:noFill/>
                    </a:ln>
                  </pic:spPr>
                </pic:pic>
              </a:graphicData>
            </a:graphic>
          </wp:inline>
        </w:drawing>
      </w:r>
    </w:p>
    <w:p w14:paraId="670E2959" w14:textId="77777777" w:rsidR="002417CD" w:rsidRDefault="002417CD" w:rsidP="009B7F6A">
      <w:pPr>
        <w:spacing w:after="0" w:line="240" w:lineRule="auto"/>
        <w:jc w:val="both"/>
        <w:rPr>
          <w:rFonts w:ascii="Arial" w:eastAsia="Times New Roman" w:hAnsi="Arial" w:cs="Arial"/>
          <w:lang w:eastAsia="en-US"/>
        </w:rPr>
      </w:pPr>
    </w:p>
    <w:p w14:paraId="7CB44E51" w14:textId="1AA84E1E" w:rsidR="009B7F6A" w:rsidRPr="003A2F86" w:rsidRDefault="009B7F6A" w:rsidP="009B7F6A">
      <w:pPr>
        <w:spacing w:after="0" w:line="240" w:lineRule="auto"/>
        <w:jc w:val="both"/>
        <w:rPr>
          <w:rFonts w:ascii="Arial" w:eastAsia="Times New Roman" w:hAnsi="Arial" w:cs="Arial"/>
          <w:lang w:eastAsia="en-US"/>
        </w:rPr>
      </w:pPr>
      <w:bookmarkStart w:id="96" w:name="_Hlk230157855"/>
      <w:r w:rsidRPr="003A2F86">
        <w:rPr>
          <w:rFonts w:ascii="Arial" w:eastAsia="Times New Roman" w:hAnsi="Arial" w:cs="Arial"/>
          <w:lang w:eastAsia="en-US"/>
        </w:rPr>
        <w:t xml:space="preserve">Prihoda od poreza na tvrtku (6145) </w:t>
      </w:r>
      <w:r w:rsidR="004B7644">
        <w:rPr>
          <w:rFonts w:ascii="Arial" w:eastAsia="Times New Roman" w:hAnsi="Arial" w:cs="Arial"/>
          <w:lang w:eastAsia="en-US"/>
        </w:rPr>
        <w:t>nema</w:t>
      </w:r>
      <w:r w:rsidRPr="003A2F86">
        <w:rPr>
          <w:rFonts w:ascii="Arial" w:eastAsia="Times New Roman" w:hAnsi="Arial" w:cs="Arial"/>
          <w:lang w:eastAsia="en-US"/>
        </w:rPr>
        <w:t>. Početkom primjene Zakona o lokalnim porezima (NN 115/16), ukinut je porez na tvrtke, a ostvareni prihod u 2020. se odnosi</w:t>
      </w:r>
      <w:r w:rsidR="00842B06" w:rsidRPr="003A2F86">
        <w:rPr>
          <w:rFonts w:ascii="Arial" w:eastAsia="Times New Roman" w:hAnsi="Arial" w:cs="Arial"/>
          <w:lang w:eastAsia="en-US"/>
        </w:rPr>
        <w:t>o</w:t>
      </w:r>
      <w:r w:rsidRPr="003A2F86">
        <w:rPr>
          <w:rFonts w:ascii="Arial" w:eastAsia="Times New Roman" w:hAnsi="Arial" w:cs="Arial"/>
          <w:lang w:eastAsia="en-US"/>
        </w:rPr>
        <w:t xml:space="preserve"> na naplaćena potraživanja iz prethodnih godina po ispostavljenim rješenjima o ovrsi iz ranijih godina.</w:t>
      </w:r>
      <w:r w:rsidR="00B3260B">
        <w:rPr>
          <w:rFonts w:ascii="Arial" w:eastAsia="Times New Roman" w:hAnsi="Arial" w:cs="Arial"/>
          <w:lang w:eastAsia="en-US"/>
        </w:rPr>
        <w:t xml:space="preserve"> U 2025. se nisu ispostavljala rješenja za porez na kuće za odmor (ovaj porez ukinut)</w:t>
      </w:r>
      <w:r w:rsidR="002417CD">
        <w:rPr>
          <w:rFonts w:ascii="Arial" w:eastAsia="Times New Roman" w:hAnsi="Arial" w:cs="Arial"/>
          <w:lang w:eastAsia="en-US"/>
        </w:rPr>
        <w:t xml:space="preserve"> a ostvareni prihod se odnosi na naplaćena potraživanja iz prethodnih godina. Od početka 2025. godine je na snazi porez na nekretnine koji je zamijenio porez na kuće za odmor. R</w:t>
      </w:r>
      <w:r w:rsidR="00B3260B">
        <w:rPr>
          <w:rFonts w:ascii="Arial" w:eastAsia="Times New Roman" w:hAnsi="Arial" w:cs="Arial"/>
          <w:lang w:eastAsia="en-US"/>
        </w:rPr>
        <w:t xml:space="preserve">ješenja za porez na nekretnine su ispostavljena u </w:t>
      </w:r>
      <w:r w:rsidR="002417CD">
        <w:rPr>
          <w:rFonts w:ascii="Arial" w:eastAsia="Times New Roman" w:hAnsi="Arial" w:cs="Arial"/>
          <w:lang w:eastAsia="en-US"/>
        </w:rPr>
        <w:t>posljednjem tromjesečju</w:t>
      </w:r>
      <w:r w:rsidR="00B3260B">
        <w:rPr>
          <w:rFonts w:ascii="Arial" w:eastAsia="Times New Roman" w:hAnsi="Arial" w:cs="Arial"/>
          <w:lang w:eastAsia="en-US"/>
        </w:rPr>
        <w:t xml:space="preserve"> 2025.</w:t>
      </w:r>
      <w:r w:rsidR="002417CD">
        <w:rPr>
          <w:rFonts w:ascii="Arial" w:eastAsia="Times New Roman" w:hAnsi="Arial" w:cs="Arial"/>
          <w:lang w:eastAsia="en-US"/>
        </w:rPr>
        <w:t xml:space="preserve"> godine</w:t>
      </w:r>
    </w:p>
    <w:bookmarkEnd w:id="96"/>
    <w:p w14:paraId="04795EC2" w14:textId="1267E6EE" w:rsidR="00C67F7C" w:rsidRDefault="00160D30" w:rsidP="00BD38F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
          <w:iCs/>
          <w:lang w:eastAsia="en-US"/>
        </w:rPr>
      </w:pPr>
      <w:r>
        <w:rPr>
          <w:rFonts w:ascii="Arial" w:eastAsia="Times New Roman" w:hAnsi="Arial" w:cs="Arial"/>
          <w:i/>
          <w:iCs/>
          <w:lang w:eastAsia="en-US"/>
        </w:rPr>
        <w:tab/>
      </w:r>
      <w:r w:rsidR="00BD38F4">
        <w:rPr>
          <w:rFonts w:ascii="Arial" w:eastAsia="Times New Roman" w:hAnsi="Arial" w:cs="Arial"/>
          <w:i/>
          <w:iCs/>
          <w:lang w:eastAsia="en-US"/>
        </w:rPr>
        <w:tab/>
      </w:r>
      <w:r w:rsidR="00BD38F4">
        <w:rPr>
          <w:rFonts w:ascii="Arial" w:eastAsia="Times New Roman" w:hAnsi="Arial" w:cs="Arial"/>
          <w:i/>
          <w:iCs/>
          <w:lang w:eastAsia="en-US"/>
        </w:rPr>
        <w:tab/>
      </w:r>
      <w:r w:rsidR="00650D88" w:rsidRPr="003A2F86">
        <w:rPr>
          <w:rFonts w:ascii="Arial" w:eastAsia="Times New Roman" w:hAnsi="Arial" w:cs="Arial"/>
          <w:i/>
          <w:iCs/>
          <w:lang w:eastAsia="en-US"/>
        </w:rPr>
        <w:t>*Usporedba:</w:t>
      </w:r>
      <w:r w:rsidR="00281AA3" w:rsidRPr="003A2F86">
        <w:rPr>
          <w:rFonts w:ascii="Arial" w:eastAsia="Times New Roman" w:hAnsi="Arial" w:cs="Arial"/>
          <w:i/>
          <w:iCs/>
          <w:lang w:eastAsia="en-US"/>
        </w:rPr>
        <w:t xml:space="preserve"> </w:t>
      </w:r>
    </w:p>
    <w:p w14:paraId="78E005AF" w14:textId="558EF80A" w:rsidR="008543A4" w:rsidRDefault="008543A4" w:rsidP="002417C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center"/>
        <w:rPr>
          <w:rFonts w:ascii="Arial" w:eastAsia="Times New Roman" w:hAnsi="Arial" w:cs="Arial"/>
          <w:i/>
          <w:iCs/>
          <w:lang w:eastAsia="en-US"/>
        </w:rPr>
      </w:pPr>
      <w:r w:rsidRPr="008543A4">
        <w:rPr>
          <w:noProof/>
        </w:rPr>
        <w:drawing>
          <wp:inline distT="0" distB="0" distL="0" distR="0" wp14:anchorId="49C1A811" wp14:editId="6AD2840E">
            <wp:extent cx="5464454" cy="2171681"/>
            <wp:effectExtent l="0" t="0" r="3175" b="635"/>
            <wp:docPr id="338449459"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85971" cy="2180232"/>
                    </a:xfrm>
                    <a:prstGeom prst="rect">
                      <a:avLst/>
                    </a:prstGeom>
                    <a:noFill/>
                    <a:ln>
                      <a:noFill/>
                    </a:ln>
                  </pic:spPr>
                </pic:pic>
              </a:graphicData>
            </a:graphic>
          </wp:inline>
        </w:drawing>
      </w:r>
    </w:p>
    <w:p w14:paraId="38719690" w14:textId="77777777" w:rsidR="00BD38F4" w:rsidRPr="003A2F86" w:rsidRDefault="00BD38F4" w:rsidP="00BD38F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20"/>
          <w:szCs w:val="20"/>
        </w:rPr>
      </w:pPr>
    </w:p>
    <w:p w14:paraId="4A663BCD" w14:textId="79C69493" w:rsidR="00891119" w:rsidRPr="003A2F86" w:rsidRDefault="00891119" w:rsidP="001B3297">
      <w:pPr>
        <w:pStyle w:val="Naslov4"/>
        <w:rPr>
          <w:rFonts w:ascii="Arial" w:hAnsi="Arial" w:cs="Arial"/>
          <w:shd w:val="clear" w:color="auto" w:fill="FFFFFF"/>
          <w:lang w:val="hr-HR"/>
        </w:rPr>
      </w:pPr>
      <w:r w:rsidRPr="003A2F86">
        <w:rPr>
          <w:rFonts w:ascii="Arial" w:hAnsi="Arial" w:cs="Arial"/>
          <w:shd w:val="clear" w:color="auto" w:fill="FFFFFF"/>
          <w:lang w:val="hr-HR"/>
        </w:rPr>
        <w:tab/>
      </w:r>
      <w:bookmarkStart w:id="97" w:name="_Toc232981388"/>
      <w:r w:rsidR="001B3297" w:rsidRPr="003A2F86">
        <w:rPr>
          <w:rFonts w:ascii="Arial" w:hAnsi="Arial" w:cs="Arial"/>
          <w:shd w:val="clear" w:color="auto" w:fill="FFFFFF"/>
          <w:lang w:val="hr-HR"/>
        </w:rPr>
        <w:t>2.4.1.</w:t>
      </w:r>
      <w:r w:rsidRPr="003A2F86">
        <w:rPr>
          <w:rFonts w:ascii="Arial" w:hAnsi="Arial" w:cs="Arial"/>
          <w:shd w:val="clear" w:color="auto" w:fill="FFFFFF"/>
          <w:lang w:val="hr-HR"/>
        </w:rPr>
        <w:t xml:space="preserve">2. </w:t>
      </w:r>
      <w:r w:rsidRPr="003A2F86">
        <w:rPr>
          <w:rFonts w:ascii="Arial" w:hAnsi="Arial" w:cs="Arial"/>
          <w:shd w:val="clear" w:color="auto" w:fill="FFFFFF"/>
          <w:lang w:val="hr-HR"/>
        </w:rPr>
        <w:tab/>
        <w:t>Pomoći</w:t>
      </w:r>
      <w:r w:rsidR="00744D8B" w:rsidRPr="003A2F86">
        <w:rPr>
          <w:rFonts w:ascii="Arial" w:hAnsi="Arial" w:cs="Arial"/>
          <w:shd w:val="clear" w:color="auto" w:fill="FFFFFF"/>
          <w:lang w:val="hr-HR"/>
        </w:rPr>
        <w:t xml:space="preserve"> (63)</w:t>
      </w:r>
      <w:bookmarkEnd w:id="97"/>
    </w:p>
    <w:p w14:paraId="4F1110D2" w14:textId="77777777" w:rsidR="00891119" w:rsidRPr="003A2F86" w:rsidRDefault="00891119" w:rsidP="00891119">
      <w:pPr>
        <w:tabs>
          <w:tab w:val="left" w:pos="567"/>
        </w:tabs>
        <w:spacing w:after="0" w:line="240" w:lineRule="auto"/>
        <w:jc w:val="both"/>
        <w:rPr>
          <w:rFonts w:ascii="Arial" w:eastAsia="Times New Roman" w:hAnsi="Arial" w:cs="Arial"/>
          <w:lang w:eastAsia="en-US"/>
        </w:rPr>
      </w:pPr>
      <w:bookmarkStart w:id="98" w:name="_Hlk103071491"/>
    </w:p>
    <w:p w14:paraId="5CBF30F6" w14:textId="702DF49C" w:rsidR="00891119" w:rsidRPr="003A2F86" w:rsidRDefault="00705AA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b/>
          <w:lang w:eastAsia="en-US"/>
        </w:rPr>
        <w:t>P</w:t>
      </w:r>
      <w:r w:rsidR="00891119" w:rsidRPr="003A2F86">
        <w:rPr>
          <w:rFonts w:ascii="Arial" w:eastAsia="Times New Roman" w:hAnsi="Arial" w:cs="Arial"/>
          <w:b/>
          <w:lang w:eastAsia="en-US"/>
        </w:rPr>
        <w:t xml:space="preserve">omoći </w:t>
      </w:r>
      <w:r w:rsidR="00891119" w:rsidRPr="003A2F86">
        <w:rPr>
          <w:rFonts w:ascii="Arial" w:eastAsia="Times New Roman" w:hAnsi="Arial" w:cs="Arial"/>
          <w:lang w:eastAsia="en-US"/>
        </w:rPr>
        <w:t>(</w:t>
      </w:r>
      <w:r w:rsidR="00891119" w:rsidRPr="003A2F86">
        <w:rPr>
          <w:rFonts w:ascii="Arial" w:eastAsia="Times New Roman" w:hAnsi="Arial" w:cs="Arial"/>
          <w:b/>
          <w:bCs/>
          <w:lang w:eastAsia="en-US"/>
        </w:rPr>
        <w:t>63</w:t>
      </w:r>
      <w:r w:rsidR="00891119" w:rsidRPr="003A2F86">
        <w:rPr>
          <w:rFonts w:ascii="Arial" w:eastAsia="Times New Roman" w:hAnsi="Arial" w:cs="Arial"/>
          <w:lang w:eastAsia="en-US"/>
        </w:rPr>
        <w:t>)</w:t>
      </w:r>
      <w:r w:rsidRPr="003A2F86">
        <w:rPr>
          <w:rFonts w:ascii="Arial" w:eastAsia="Times New Roman" w:hAnsi="Arial" w:cs="Arial"/>
          <w:lang w:eastAsia="en-US"/>
        </w:rPr>
        <w:t xml:space="preserve"> su planirane</w:t>
      </w:r>
      <w:r w:rsidR="00891119" w:rsidRPr="003A2F86">
        <w:rPr>
          <w:rFonts w:ascii="Arial" w:eastAsia="Times New Roman" w:hAnsi="Arial" w:cs="Arial"/>
          <w:lang w:eastAsia="en-US"/>
        </w:rPr>
        <w:t xml:space="preserve"> u ukupnom iznosu </w:t>
      </w:r>
      <w:r w:rsidR="005F276E">
        <w:rPr>
          <w:rFonts w:ascii="Arial" w:eastAsia="Times New Roman" w:hAnsi="Arial" w:cs="Arial"/>
          <w:lang w:eastAsia="en-US"/>
        </w:rPr>
        <w:t>7.967.081</w:t>
      </w:r>
      <w:r w:rsidR="00393833" w:rsidRPr="003A2F86">
        <w:rPr>
          <w:rFonts w:ascii="Arial" w:eastAsia="Times New Roman" w:hAnsi="Arial" w:cs="Arial"/>
          <w:lang w:eastAsia="en-US"/>
        </w:rPr>
        <w:t xml:space="preserve"> €</w:t>
      </w:r>
      <w:r w:rsidR="00891119" w:rsidRPr="003A2F86">
        <w:rPr>
          <w:rFonts w:ascii="Arial" w:eastAsia="Times New Roman" w:hAnsi="Arial" w:cs="Arial"/>
          <w:lang w:eastAsia="en-US"/>
        </w:rPr>
        <w:t xml:space="preserve">, a ostvarene su u iznosu </w:t>
      </w:r>
      <w:bookmarkStart w:id="99" w:name="_Hlk145930765"/>
      <w:r w:rsidR="005F276E">
        <w:rPr>
          <w:rFonts w:ascii="Arial" w:eastAsia="Times New Roman" w:hAnsi="Arial" w:cs="Arial"/>
          <w:lang w:eastAsia="en-US"/>
        </w:rPr>
        <w:t>5.014.703,26</w:t>
      </w:r>
      <w:r w:rsidR="00393833" w:rsidRPr="003A2F86">
        <w:rPr>
          <w:rFonts w:ascii="Arial" w:eastAsia="Times New Roman" w:hAnsi="Arial" w:cs="Arial"/>
          <w:lang w:eastAsia="en-US"/>
        </w:rPr>
        <w:t xml:space="preserve"> €</w:t>
      </w:r>
      <w:r w:rsidR="00891119" w:rsidRPr="003A2F86">
        <w:rPr>
          <w:rFonts w:ascii="Arial" w:eastAsia="Times New Roman" w:hAnsi="Arial" w:cs="Arial"/>
          <w:lang w:eastAsia="en-US"/>
        </w:rPr>
        <w:t xml:space="preserve"> </w:t>
      </w:r>
      <w:bookmarkEnd w:id="99"/>
      <w:r w:rsidR="00891119" w:rsidRPr="003A2F86">
        <w:rPr>
          <w:rFonts w:ascii="Arial" w:eastAsia="Times New Roman" w:hAnsi="Arial" w:cs="Arial"/>
          <w:lang w:eastAsia="en-US"/>
        </w:rPr>
        <w:t xml:space="preserve">što </w:t>
      </w:r>
      <w:r w:rsidR="009B1328" w:rsidRPr="003A2F86">
        <w:rPr>
          <w:rFonts w:ascii="Arial" w:eastAsia="Times New Roman" w:hAnsi="Arial" w:cs="Arial"/>
          <w:lang w:eastAsia="en-US"/>
        </w:rPr>
        <w:t xml:space="preserve">iznosi </w:t>
      </w:r>
      <w:r w:rsidR="005F276E">
        <w:rPr>
          <w:rFonts w:ascii="Arial" w:eastAsia="Times New Roman" w:hAnsi="Arial" w:cs="Arial"/>
          <w:lang w:eastAsia="en-US"/>
        </w:rPr>
        <w:t>62,9</w:t>
      </w:r>
      <w:r w:rsidR="00155A53" w:rsidRPr="003A2F86">
        <w:rPr>
          <w:rFonts w:ascii="Arial" w:eastAsia="Times New Roman" w:hAnsi="Arial" w:cs="Arial"/>
          <w:lang w:eastAsia="en-US"/>
        </w:rPr>
        <w:t>%</w:t>
      </w:r>
      <w:r w:rsidR="00891119" w:rsidRPr="003A2F86">
        <w:rPr>
          <w:rFonts w:ascii="Arial" w:eastAsia="Times New Roman" w:hAnsi="Arial" w:cs="Arial"/>
          <w:lang w:eastAsia="en-US"/>
        </w:rPr>
        <w:t xml:space="preserve"> </w:t>
      </w:r>
      <w:r w:rsidR="00242F6C" w:rsidRPr="003A2F86">
        <w:rPr>
          <w:rFonts w:ascii="Arial" w:eastAsia="Times New Roman" w:hAnsi="Arial" w:cs="Arial"/>
          <w:lang w:eastAsia="en-US"/>
        </w:rPr>
        <w:t xml:space="preserve">godišnjeg </w:t>
      </w:r>
      <w:r w:rsidR="00891119" w:rsidRPr="003A2F86">
        <w:rPr>
          <w:rFonts w:ascii="Arial" w:eastAsia="Times New Roman" w:hAnsi="Arial" w:cs="Arial"/>
          <w:lang w:eastAsia="en-US"/>
        </w:rPr>
        <w:t xml:space="preserve">plana. </w:t>
      </w:r>
      <w:r w:rsidR="00AF70AF" w:rsidRPr="003A2F86">
        <w:rPr>
          <w:rFonts w:ascii="Arial" w:eastAsia="Times New Roman" w:hAnsi="Arial" w:cs="Arial"/>
          <w:lang w:eastAsia="en-US"/>
        </w:rPr>
        <w:t xml:space="preserve">Vrijednosno </w:t>
      </w:r>
      <w:r w:rsidR="00B02AB7" w:rsidRPr="003A2F86">
        <w:rPr>
          <w:rFonts w:ascii="Arial" w:eastAsia="Times New Roman" w:hAnsi="Arial" w:cs="Arial"/>
          <w:lang w:eastAsia="en-US"/>
        </w:rPr>
        <w:t xml:space="preserve">najznačajnija planirana sredstva pomoći se odnose na </w:t>
      </w:r>
      <w:r w:rsidR="00AF70AF" w:rsidRPr="003A2F86">
        <w:rPr>
          <w:rFonts w:ascii="Arial" w:eastAsia="Times New Roman" w:hAnsi="Arial" w:cs="Arial"/>
          <w:lang w:eastAsia="en-US"/>
        </w:rPr>
        <w:t xml:space="preserve">pomoći za </w:t>
      </w:r>
      <w:r w:rsidR="00D074B8">
        <w:rPr>
          <w:rFonts w:ascii="Arial" w:eastAsia="Times New Roman" w:hAnsi="Arial" w:cs="Arial"/>
          <w:lang w:eastAsia="en-US"/>
        </w:rPr>
        <w:t>i</w:t>
      </w:r>
      <w:r w:rsidR="00B02AB7" w:rsidRPr="003A2F86">
        <w:rPr>
          <w:rFonts w:ascii="Arial" w:eastAsia="Times New Roman" w:hAnsi="Arial" w:cs="Arial"/>
          <w:lang w:eastAsia="en-US"/>
        </w:rPr>
        <w:t>zgradnju osnovne škole u Cavtatu</w:t>
      </w:r>
      <w:r w:rsidR="00A80E39" w:rsidRPr="003A2F86">
        <w:rPr>
          <w:rFonts w:ascii="Arial" w:eastAsia="Times New Roman" w:hAnsi="Arial" w:cs="Arial"/>
          <w:lang w:eastAsia="en-US"/>
        </w:rPr>
        <w:t>.</w:t>
      </w:r>
    </w:p>
    <w:p w14:paraId="3C798AF3" w14:textId="1DD45470" w:rsidR="00960E0D" w:rsidRPr="003A2F86" w:rsidRDefault="00960E0D" w:rsidP="00960E0D">
      <w:pPr>
        <w:tabs>
          <w:tab w:val="left" w:pos="567"/>
        </w:tabs>
        <w:spacing w:after="0" w:line="240" w:lineRule="auto"/>
        <w:jc w:val="both"/>
        <w:rPr>
          <w:rFonts w:ascii="Arial" w:eastAsia="Times New Roman" w:hAnsi="Arial" w:cs="Arial"/>
          <w:lang w:eastAsia="en-US"/>
        </w:rPr>
      </w:pPr>
    </w:p>
    <w:p w14:paraId="40BA21D4" w14:textId="2D45843D" w:rsidR="00960E0D" w:rsidRPr="003A2F86" w:rsidRDefault="00AF70AF" w:rsidP="00960E0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bCs/>
          <w:iCs/>
        </w:rPr>
      </w:pPr>
      <w:r w:rsidRPr="003A2F86">
        <w:rPr>
          <w:rFonts w:ascii="Arial" w:hAnsi="Arial" w:cs="Arial"/>
          <w:bCs/>
          <w:iCs/>
        </w:rPr>
        <w:t xml:space="preserve">Pomoći iz inozemstva (darovnice) i od subjekata unutar općeg proračuna (63) ostvareni su u iznosu </w:t>
      </w:r>
      <w:r w:rsidR="005F276E">
        <w:rPr>
          <w:rFonts w:ascii="Arial" w:hAnsi="Arial" w:cs="Arial"/>
          <w:bCs/>
          <w:iCs/>
        </w:rPr>
        <w:t>5.014.703,26</w:t>
      </w:r>
      <w:r w:rsidRPr="003A2F86">
        <w:rPr>
          <w:rFonts w:ascii="Arial" w:hAnsi="Arial" w:cs="Arial"/>
          <w:bCs/>
          <w:iCs/>
        </w:rPr>
        <w:t xml:space="preserve"> € što je za </w:t>
      </w:r>
      <w:r w:rsidR="005F276E">
        <w:rPr>
          <w:rFonts w:ascii="Arial" w:hAnsi="Arial" w:cs="Arial"/>
          <w:bCs/>
          <w:iCs/>
        </w:rPr>
        <w:t>3.972.523,29</w:t>
      </w:r>
      <w:r w:rsidRPr="003A2F86">
        <w:rPr>
          <w:rFonts w:ascii="Arial" w:hAnsi="Arial" w:cs="Arial"/>
          <w:bCs/>
          <w:iCs/>
        </w:rPr>
        <w:t xml:space="preserve"> € ili </w:t>
      </w:r>
      <w:r w:rsidR="005F276E">
        <w:rPr>
          <w:rFonts w:ascii="Arial" w:hAnsi="Arial" w:cs="Arial"/>
          <w:bCs/>
          <w:iCs/>
        </w:rPr>
        <w:t>381,2</w:t>
      </w:r>
      <w:r w:rsidRPr="003A2F86">
        <w:rPr>
          <w:rFonts w:ascii="Arial" w:hAnsi="Arial" w:cs="Arial"/>
          <w:bCs/>
          <w:iCs/>
        </w:rPr>
        <w:t xml:space="preserve">% </w:t>
      </w:r>
      <w:r w:rsidR="00B02AB7" w:rsidRPr="003A2F86">
        <w:rPr>
          <w:rFonts w:ascii="Arial" w:hAnsi="Arial" w:cs="Arial"/>
          <w:bCs/>
          <w:iCs/>
        </w:rPr>
        <w:t>manje</w:t>
      </w:r>
      <w:r w:rsidRPr="003A2F86">
        <w:rPr>
          <w:rFonts w:ascii="Arial" w:hAnsi="Arial" w:cs="Arial"/>
          <w:bCs/>
          <w:iCs/>
        </w:rPr>
        <w:t xml:space="preserve"> u odnosu na prethodnu godinu. Vrijednosno najznačajnij</w:t>
      </w:r>
      <w:r w:rsidR="00B02AB7" w:rsidRPr="003A2F86">
        <w:rPr>
          <w:rFonts w:ascii="Arial" w:hAnsi="Arial" w:cs="Arial"/>
          <w:bCs/>
          <w:iCs/>
        </w:rPr>
        <w:t xml:space="preserve">i prihodi prethodne godine su se odnosili na </w:t>
      </w:r>
      <w:r w:rsidR="00CC68AE" w:rsidRPr="003A2F86">
        <w:rPr>
          <w:rFonts w:ascii="Arial" w:hAnsi="Arial" w:cs="Arial"/>
          <w:bCs/>
          <w:iCs/>
        </w:rPr>
        <w:t>refundirana sredstva</w:t>
      </w:r>
      <w:r w:rsidRPr="003A2F86">
        <w:rPr>
          <w:rFonts w:ascii="Arial" w:hAnsi="Arial" w:cs="Arial"/>
          <w:bCs/>
          <w:iCs/>
        </w:rPr>
        <w:t xml:space="preserve"> za provedbu projekata sufinanciranih sredstvima državnog proračuna i EU sredstvima.</w:t>
      </w:r>
    </w:p>
    <w:p w14:paraId="70D54AB2" w14:textId="77777777" w:rsidR="00AF70AF" w:rsidRPr="003A2F86" w:rsidRDefault="00AF70AF" w:rsidP="00960E0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6F63AFD1" w14:textId="2335428F" w:rsidR="00923EB7" w:rsidRPr="003A2F86" w:rsidRDefault="00AF70AF" w:rsidP="00923EB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color w:val="1F497D" w:themeColor="text2"/>
        </w:rPr>
      </w:pPr>
      <w:r w:rsidRPr="003A2F86">
        <w:rPr>
          <w:rFonts w:ascii="Arial" w:hAnsi="Arial" w:cs="Arial"/>
          <w:color w:val="1F497D" w:themeColor="text2"/>
        </w:rPr>
        <w:t xml:space="preserve">Ukupni prihodi od pomoći (63) Općine iznose </w:t>
      </w:r>
      <w:r w:rsidR="005F276E">
        <w:rPr>
          <w:rFonts w:ascii="Arial" w:hAnsi="Arial" w:cs="Arial"/>
          <w:color w:val="1F497D" w:themeColor="text2"/>
        </w:rPr>
        <w:t>4.944.246,76</w:t>
      </w:r>
      <w:r w:rsidRPr="003A2F86">
        <w:rPr>
          <w:rFonts w:ascii="Arial" w:hAnsi="Arial" w:cs="Arial"/>
          <w:color w:val="1F497D" w:themeColor="text2"/>
        </w:rPr>
        <w:t xml:space="preserve"> €, a prihodi proračunskih korisnika iznose </w:t>
      </w:r>
      <w:r w:rsidR="005F276E">
        <w:rPr>
          <w:rFonts w:ascii="Arial" w:hAnsi="Arial" w:cs="Arial"/>
          <w:color w:val="1F497D" w:themeColor="text2"/>
        </w:rPr>
        <w:t>70.456,50</w:t>
      </w:r>
      <w:r w:rsidRPr="003A2F86">
        <w:rPr>
          <w:rFonts w:ascii="Arial" w:hAnsi="Arial" w:cs="Arial"/>
          <w:color w:val="1F497D" w:themeColor="text2"/>
        </w:rPr>
        <w:t xml:space="preserve"> €.</w:t>
      </w:r>
    </w:p>
    <w:p w14:paraId="766A08D4" w14:textId="77777777" w:rsidR="00AF70AF" w:rsidRPr="003A2F86" w:rsidRDefault="00AF70AF" w:rsidP="00923EB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p>
    <w:p w14:paraId="5E5CDA0A" w14:textId="05732469" w:rsidR="00923EB7" w:rsidRPr="006222A2" w:rsidRDefault="00160D30" w:rsidP="006222A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r>
        <w:rPr>
          <w:rFonts w:ascii="Arial" w:eastAsia="Times New Roman" w:hAnsi="Arial" w:cs="Arial"/>
          <w:sz w:val="18"/>
          <w:szCs w:val="18"/>
          <w:lang w:eastAsia="en-US"/>
        </w:rPr>
        <w:t>D</w:t>
      </w:r>
      <w:r w:rsidR="00923EB7" w:rsidRPr="006222A2">
        <w:rPr>
          <w:rFonts w:ascii="Arial" w:eastAsia="Times New Roman" w:hAnsi="Arial" w:cs="Arial"/>
          <w:sz w:val="18"/>
          <w:szCs w:val="18"/>
          <w:lang w:eastAsia="en-US"/>
        </w:rPr>
        <w:t xml:space="preserve">o konca 2017. godine na temelju Zakona o izvršavanju državnog proračuna i Zakona o regionalnom razvoju, u okviru ovih prihoda su se ostvarivali prihodi od </w:t>
      </w:r>
      <w:r w:rsidR="00923EB7" w:rsidRPr="006222A2">
        <w:rPr>
          <w:rFonts w:ascii="Arial" w:eastAsia="Times New Roman" w:hAnsi="Arial" w:cs="Arial"/>
          <w:sz w:val="18"/>
          <w:szCs w:val="18"/>
        </w:rPr>
        <w:t xml:space="preserve">pomoći iz državnog proračuna od ustupljenog </w:t>
      </w:r>
      <w:r w:rsidR="00923EB7" w:rsidRPr="006222A2">
        <w:rPr>
          <w:rFonts w:ascii="Arial" w:eastAsia="Times New Roman" w:hAnsi="Arial" w:cs="Arial"/>
          <w:sz w:val="18"/>
          <w:szCs w:val="18"/>
          <w:lang w:eastAsia="en-US"/>
        </w:rPr>
        <w:t xml:space="preserve">poreza na dobit (do ukidanja područja posebne državne skrbi koncem 2014.), odnosno prihoda od pomoći </w:t>
      </w:r>
      <w:r w:rsidR="00923EB7" w:rsidRPr="006222A2">
        <w:rPr>
          <w:rFonts w:ascii="Arial" w:eastAsia="Times New Roman" w:hAnsi="Arial" w:cs="Arial"/>
          <w:sz w:val="18"/>
          <w:szCs w:val="18"/>
        </w:rPr>
        <w:t xml:space="preserve">na temelju </w:t>
      </w:r>
      <w:r w:rsidR="00923EB7" w:rsidRPr="006222A2">
        <w:rPr>
          <w:rFonts w:ascii="Arial" w:eastAsia="Times New Roman" w:hAnsi="Arial" w:cs="Arial"/>
          <w:sz w:val="18"/>
          <w:szCs w:val="18"/>
          <w:lang w:eastAsia="en-US"/>
        </w:rPr>
        <w:t xml:space="preserve">prijelaznog razdoblja na ime manje ostvarenih prihoda. Ovi prihodi su 2012. iznosili čak </w:t>
      </w:r>
      <w:r w:rsidR="00483694" w:rsidRPr="006222A2">
        <w:rPr>
          <w:rFonts w:ascii="Arial" w:eastAsia="Times New Roman" w:hAnsi="Arial" w:cs="Arial"/>
          <w:sz w:val="18"/>
          <w:szCs w:val="18"/>
          <w:lang w:eastAsia="en-US"/>
        </w:rPr>
        <w:t>1.941.343,95 €</w:t>
      </w:r>
      <w:r w:rsidR="00923EB7" w:rsidRPr="006222A2">
        <w:rPr>
          <w:rFonts w:ascii="Arial" w:eastAsia="Times New Roman" w:hAnsi="Arial" w:cs="Arial"/>
          <w:sz w:val="18"/>
          <w:szCs w:val="18"/>
          <w:lang w:eastAsia="en-US"/>
        </w:rPr>
        <w:t xml:space="preserve">, dok su u 2017. godini </w:t>
      </w:r>
      <w:r w:rsidR="009B1328" w:rsidRPr="006222A2">
        <w:rPr>
          <w:rFonts w:ascii="Arial" w:eastAsia="Times New Roman" w:hAnsi="Arial" w:cs="Arial"/>
          <w:sz w:val="18"/>
          <w:szCs w:val="18"/>
          <w:lang w:eastAsia="en-US"/>
        </w:rPr>
        <w:t xml:space="preserve">iznosili </w:t>
      </w:r>
      <w:r w:rsidR="00483694" w:rsidRPr="006222A2">
        <w:rPr>
          <w:rFonts w:ascii="Arial" w:eastAsia="Times New Roman" w:hAnsi="Arial" w:cs="Arial"/>
          <w:sz w:val="18"/>
          <w:szCs w:val="18"/>
          <w:lang w:eastAsia="en-US"/>
        </w:rPr>
        <w:t>446.079,63 €</w:t>
      </w:r>
      <w:r w:rsidR="009B1328" w:rsidRPr="006222A2">
        <w:rPr>
          <w:rFonts w:ascii="Arial" w:eastAsia="Times New Roman" w:hAnsi="Arial" w:cs="Arial"/>
          <w:sz w:val="18"/>
          <w:szCs w:val="18"/>
          <w:lang w:eastAsia="en-US"/>
        </w:rPr>
        <w:t xml:space="preserve"> (2017. godine su ukinuti ovi prihodi)</w:t>
      </w:r>
      <w:r w:rsidR="00923EB7" w:rsidRPr="006222A2">
        <w:rPr>
          <w:rFonts w:ascii="Arial" w:eastAsia="Times New Roman" w:hAnsi="Arial" w:cs="Arial"/>
          <w:sz w:val="18"/>
          <w:szCs w:val="18"/>
          <w:lang w:eastAsia="en-US"/>
        </w:rPr>
        <w:t>.</w:t>
      </w:r>
    </w:p>
    <w:p w14:paraId="74553DDE" w14:textId="77777777" w:rsidR="00960E0D" w:rsidRDefault="00960E0D" w:rsidP="00960E0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20"/>
          <w:szCs w:val="20"/>
        </w:rPr>
      </w:pPr>
    </w:p>
    <w:p w14:paraId="3DBE786E" w14:textId="2CEAB5CF" w:rsidR="00847308" w:rsidRPr="003A2F86" w:rsidRDefault="00847308" w:rsidP="0084730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bookmarkStart w:id="100" w:name="_Hlk230157889"/>
      <w:r w:rsidRPr="003A2F86">
        <w:rPr>
          <w:rFonts w:ascii="Arial" w:eastAsia="Times New Roman" w:hAnsi="Arial" w:cs="Arial"/>
          <w:lang w:eastAsia="en-US"/>
        </w:rPr>
        <w:t>Ostvarene pomoći (</w:t>
      </w:r>
      <w:r w:rsidRPr="003A2F86">
        <w:rPr>
          <w:rFonts w:ascii="Arial" w:eastAsia="Times New Roman" w:hAnsi="Arial" w:cs="Arial"/>
          <w:b/>
          <w:bCs/>
          <w:lang w:eastAsia="en-US"/>
        </w:rPr>
        <w:t>63</w:t>
      </w:r>
      <w:r w:rsidRPr="003A2F86">
        <w:rPr>
          <w:rFonts w:ascii="Arial" w:eastAsia="Times New Roman" w:hAnsi="Arial" w:cs="Arial"/>
          <w:lang w:eastAsia="en-US"/>
        </w:rPr>
        <w:t>) u 202</w:t>
      </w:r>
      <w:r w:rsidR="00A448CE">
        <w:rPr>
          <w:rFonts w:ascii="Arial" w:eastAsia="Times New Roman" w:hAnsi="Arial" w:cs="Arial"/>
          <w:lang w:eastAsia="en-US"/>
        </w:rPr>
        <w:t>5</w:t>
      </w:r>
      <w:r w:rsidRPr="003A2F86">
        <w:rPr>
          <w:rFonts w:ascii="Arial" w:eastAsia="Times New Roman" w:hAnsi="Arial" w:cs="Arial"/>
          <w:lang w:eastAsia="en-US"/>
        </w:rPr>
        <w:t>. godini se odnose na pomoći od inozemnih vlada (</w:t>
      </w:r>
      <w:r w:rsidRPr="00847308">
        <w:rPr>
          <w:rFonts w:ascii="Arial" w:eastAsia="Times New Roman" w:hAnsi="Arial" w:cs="Arial"/>
          <w:b/>
          <w:bCs/>
          <w:lang w:eastAsia="en-US"/>
        </w:rPr>
        <w:t>631</w:t>
      </w:r>
      <w:r w:rsidRPr="003A2F86">
        <w:rPr>
          <w:rFonts w:ascii="Arial" w:eastAsia="Times New Roman" w:hAnsi="Arial" w:cs="Arial"/>
          <w:lang w:eastAsia="en-US"/>
        </w:rPr>
        <w:t xml:space="preserve">) u iznosu </w:t>
      </w:r>
      <w:r w:rsidR="00AA7DD9">
        <w:rPr>
          <w:rFonts w:ascii="Arial" w:eastAsia="Times New Roman" w:hAnsi="Arial" w:cs="Arial"/>
          <w:lang w:eastAsia="en-US"/>
        </w:rPr>
        <w:t>336.152,95</w:t>
      </w:r>
      <w:r w:rsidRPr="003A2F86">
        <w:rPr>
          <w:rFonts w:ascii="Arial" w:eastAsia="Times New Roman" w:hAnsi="Arial" w:cs="Arial"/>
          <w:lang w:eastAsia="en-US"/>
        </w:rPr>
        <w:t xml:space="preserve"> € (projekti sufinancirani EU sredstvima), pomoći od međunarodnih organizacija i institucija EU (</w:t>
      </w:r>
      <w:r w:rsidRPr="00847308">
        <w:rPr>
          <w:rFonts w:ascii="Arial" w:eastAsia="Times New Roman" w:hAnsi="Arial" w:cs="Arial"/>
          <w:b/>
          <w:bCs/>
          <w:lang w:eastAsia="en-US"/>
        </w:rPr>
        <w:t>632</w:t>
      </w:r>
      <w:r w:rsidRPr="003A2F86">
        <w:rPr>
          <w:rFonts w:ascii="Arial" w:eastAsia="Times New Roman" w:hAnsi="Arial" w:cs="Arial"/>
          <w:lang w:eastAsia="en-US"/>
        </w:rPr>
        <w:t xml:space="preserve">) u iznosu </w:t>
      </w:r>
      <w:bookmarkStart w:id="101" w:name="_Hlk145930808"/>
      <w:r w:rsidR="00AA7DD9">
        <w:rPr>
          <w:rFonts w:ascii="Arial" w:hAnsi="Arial" w:cs="Arial"/>
        </w:rPr>
        <w:t>0</w:t>
      </w:r>
      <w:r w:rsidRPr="003A2F86">
        <w:rPr>
          <w:rFonts w:ascii="Arial" w:hAnsi="Arial" w:cs="Arial"/>
        </w:rPr>
        <w:t xml:space="preserve"> €</w:t>
      </w:r>
      <w:bookmarkEnd w:id="101"/>
      <w:r w:rsidRPr="003A2F86">
        <w:rPr>
          <w:rFonts w:ascii="Arial" w:eastAsia="Times New Roman" w:hAnsi="Arial" w:cs="Arial"/>
          <w:lang w:eastAsia="en-US"/>
        </w:rPr>
        <w:t>, pomoći proračunu iz drugih proračuna (</w:t>
      </w:r>
      <w:r w:rsidRPr="00847308">
        <w:rPr>
          <w:rFonts w:ascii="Arial" w:eastAsia="Times New Roman" w:hAnsi="Arial" w:cs="Arial"/>
          <w:b/>
          <w:bCs/>
          <w:lang w:eastAsia="en-US"/>
        </w:rPr>
        <w:t>633</w:t>
      </w:r>
      <w:r w:rsidRPr="003A2F86">
        <w:rPr>
          <w:rFonts w:ascii="Arial" w:eastAsia="Times New Roman" w:hAnsi="Arial" w:cs="Arial"/>
          <w:lang w:eastAsia="en-US"/>
        </w:rPr>
        <w:t xml:space="preserve">) u iznosu </w:t>
      </w:r>
      <w:r w:rsidR="00AA7DD9">
        <w:rPr>
          <w:rFonts w:ascii="Arial" w:eastAsia="Times New Roman" w:hAnsi="Arial" w:cs="Arial"/>
          <w:lang w:eastAsia="en-US"/>
        </w:rPr>
        <w:t>726.752,04</w:t>
      </w:r>
      <w:r w:rsidRPr="003A2F86">
        <w:rPr>
          <w:rFonts w:ascii="Arial" w:eastAsia="Times New Roman" w:hAnsi="Arial" w:cs="Arial"/>
          <w:lang w:eastAsia="en-US"/>
        </w:rPr>
        <w:t xml:space="preserve"> €, pomoći od izvanproračunskih korisnika (634) u iznosu </w:t>
      </w:r>
      <w:r w:rsidR="00AA7DD9">
        <w:rPr>
          <w:rFonts w:ascii="Arial" w:eastAsia="Times New Roman" w:hAnsi="Arial" w:cs="Arial"/>
          <w:lang w:eastAsia="en-US"/>
        </w:rPr>
        <w:t>174.402,48</w:t>
      </w:r>
      <w:r w:rsidRPr="003A2F86">
        <w:rPr>
          <w:rFonts w:ascii="Arial" w:eastAsia="Times New Roman" w:hAnsi="Arial" w:cs="Arial"/>
          <w:lang w:eastAsia="en-US"/>
        </w:rPr>
        <w:t xml:space="preserve"> €, pomoći izravnanja za decentralizirane funkcije (</w:t>
      </w:r>
      <w:r w:rsidRPr="00847308">
        <w:rPr>
          <w:rFonts w:ascii="Arial" w:eastAsia="Times New Roman" w:hAnsi="Arial" w:cs="Arial"/>
          <w:b/>
          <w:bCs/>
          <w:lang w:eastAsia="en-US"/>
        </w:rPr>
        <w:t>635</w:t>
      </w:r>
      <w:r w:rsidRPr="003A2F86">
        <w:rPr>
          <w:rFonts w:ascii="Arial" w:eastAsia="Times New Roman" w:hAnsi="Arial" w:cs="Arial"/>
          <w:lang w:eastAsia="en-US"/>
        </w:rPr>
        <w:t xml:space="preserve">) u iznosu </w:t>
      </w:r>
      <w:r w:rsidR="00AA7DD9">
        <w:rPr>
          <w:rFonts w:ascii="Arial" w:eastAsia="Times New Roman" w:hAnsi="Arial" w:cs="Arial"/>
          <w:lang w:eastAsia="en-US"/>
        </w:rPr>
        <w:t>215.893,12</w:t>
      </w:r>
      <w:r w:rsidRPr="003A2F86">
        <w:rPr>
          <w:rFonts w:ascii="Arial" w:eastAsia="Times New Roman" w:hAnsi="Arial" w:cs="Arial"/>
          <w:lang w:eastAsia="en-US"/>
        </w:rPr>
        <w:t xml:space="preserve"> €, pomoći proračunskim korisnicima iz proračuna koji im nije nadležan (</w:t>
      </w:r>
      <w:r w:rsidRPr="00847308">
        <w:rPr>
          <w:rFonts w:ascii="Arial" w:eastAsia="Times New Roman" w:hAnsi="Arial" w:cs="Arial"/>
          <w:b/>
          <w:bCs/>
          <w:lang w:eastAsia="en-US"/>
        </w:rPr>
        <w:t>636</w:t>
      </w:r>
      <w:r w:rsidRPr="003A2F86">
        <w:rPr>
          <w:rFonts w:ascii="Arial" w:eastAsia="Times New Roman" w:hAnsi="Arial" w:cs="Arial"/>
          <w:lang w:eastAsia="en-US"/>
        </w:rPr>
        <w:t xml:space="preserve">) u iznosu </w:t>
      </w:r>
      <w:r w:rsidR="00AA7DD9">
        <w:rPr>
          <w:rFonts w:ascii="Arial" w:eastAsia="Times New Roman" w:hAnsi="Arial" w:cs="Arial"/>
          <w:lang w:eastAsia="en-US"/>
        </w:rPr>
        <w:t>70.456,50</w:t>
      </w:r>
      <w:r w:rsidRPr="003A2F86">
        <w:rPr>
          <w:rFonts w:ascii="Arial" w:eastAsia="Times New Roman" w:hAnsi="Arial" w:cs="Arial"/>
          <w:lang w:eastAsia="en-US"/>
        </w:rPr>
        <w:t xml:space="preserve"> € </w:t>
      </w:r>
      <w:r w:rsidRPr="003A2F86">
        <w:rPr>
          <w:rFonts w:ascii="Arial" w:eastAsia="Times New Roman" w:hAnsi="Arial" w:cs="Arial"/>
        </w:rPr>
        <w:t>(pomoći od nadležnog ministarstva za sufinanciranje predškolskog odgoja, sufinanciranje projekata ustanove u kulturi, kao i djelatnosti u domu za starije)</w:t>
      </w:r>
      <w:r w:rsidRPr="003A2F86">
        <w:rPr>
          <w:rFonts w:ascii="Arial" w:eastAsia="Times New Roman" w:hAnsi="Arial" w:cs="Arial"/>
          <w:lang w:eastAsia="en-US"/>
        </w:rPr>
        <w:t>, te pomoći temeljem prijenosa EU sredstava (</w:t>
      </w:r>
      <w:r w:rsidRPr="00847308">
        <w:rPr>
          <w:rFonts w:ascii="Arial" w:eastAsia="Times New Roman" w:hAnsi="Arial" w:cs="Arial"/>
          <w:b/>
          <w:bCs/>
          <w:lang w:eastAsia="en-US"/>
        </w:rPr>
        <w:t>638</w:t>
      </w:r>
      <w:r w:rsidRPr="003A2F86">
        <w:rPr>
          <w:rFonts w:ascii="Arial" w:eastAsia="Times New Roman" w:hAnsi="Arial" w:cs="Arial"/>
          <w:lang w:eastAsia="en-US"/>
        </w:rPr>
        <w:t xml:space="preserve">) u iznosu </w:t>
      </w:r>
      <w:r w:rsidR="00AA7DD9">
        <w:rPr>
          <w:rFonts w:ascii="Arial" w:eastAsia="Times New Roman" w:hAnsi="Arial" w:cs="Arial"/>
          <w:lang w:eastAsia="en-US"/>
        </w:rPr>
        <w:t>3.491.046,17</w:t>
      </w:r>
      <w:r w:rsidRPr="003A2F86">
        <w:rPr>
          <w:rFonts w:ascii="Arial" w:eastAsia="Times New Roman" w:hAnsi="Arial" w:cs="Arial"/>
          <w:lang w:eastAsia="en-US"/>
        </w:rPr>
        <w:t xml:space="preserve"> €.</w:t>
      </w:r>
    </w:p>
    <w:bookmarkEnd w:id="100"/>
    <w:p w14:paraId="48457545" w14:textId="77777777" w:rsidR="00847308" w:rsidRDefault="00847308" w:rsidP="00960E0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20"/>
          <w:szCs w:val="20"/>
        </w:rPr>
      </w:pPr>
    </w:p>
    <w:p w14:paraId="1C2C2A81" w14:textId="2A058C57" w:rsidR="00847308" w:rsidRPr="00847308" w:rsidRDefault="00847308" w:rsidP="0084730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center"/>
        <w:rPr>
          <w:rFonts w:ascii="Arial" w:hAnsi="Arial" w:cs="Arial"/>
          <w:b/>
          <w:bCs/>
          <w:i/>
          <w:iCs/>
        </w:rPr>
      </w:pPr>
      <w:r w:rsidRPr="00847308">
        <w:rPr>
          <w:rFonts w:ascii="Arial" w:hAnsi="Arial" w:cs="Arial"/>
          <w:b/>
          <w:bCs/>
          <w:i/>
          <w:iCs/>
        </w:rPr>
        <w:t>631</w:t>
      </w:r>
      <w:r w:rsidRPr="00847308">
        <w:rPr>
          <w:rFonts w:ascii="Arial" w:eastAsia="Times New Roman" w:hAnsi="Arial" w:cs="Arial"/>
          <w:b/>
          <w:bCs/>
          <w:i/>
          <w:iCs/>
          <w:lang w:eastAsia="en-US"/>
        </w:rPr>
        <w:t xml:space="preserve"> Pomoći od inozemnih vlada</w:t>
      </w:r>
    </w:p>
    <w:p w14:paraId="662E42C5" w14:textId="77777777" w:rsidR="00847308" w:rsidRDefault="00847308" w:rsidP="00902D5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20"/>
          <w:szCs w:val="20"/>
        </w:rPr>
      </w:pPr>
    </w:p>
    <w:p w14:paraId="13042C7E" w14:textId="77777777" w:rsidR="00AA7DD9" w:rsidRPr="006C5E50" w:rsidRDefault="00AA7DD9" w:rsidP="00AA7DD9">
      <w:pPr>
        <w:overflowPunct w:val="0"/>
        <w:autoSpaceDE w:val="0"/>
        <w:autoSpaceDN w:val="0"/>
        <w:adjustRightInd w:val="0"/>
        <w:spacing w:after="0" w:line="240" w:lineRule="auto"/>
        <w:jc w:val="both"/>
        <w:rPr>
          <w:rFonts w:ascii="Arial" w:hAnsi="Arial" w:cs="Arial"/>
          <w:sz w:val="18"/>
          <w:szCs w:val="18"/>
        </w:rPr>
      </w:pPr>
      <w:r w:rsidRPr="006C5E50">
        <w:rPr>
          <w:rFonts w:ascii="Arial" w:hAnsi="Arial" w:cs="Arial"/>
          <w:sz w:val="18"/>
          <w:szCs w:val="18"/>
        </w:rPr>
        <w:t xml:space="preserve">Pomoći od inozemnih vlada (631) su u </w:t>
      </w:r>
      <w:r w:rsidRPr="00AA7DD9">
        <w:rPr>
          <w:rFonts w:ascii="Arial" w:hAnsi="Arial" w:cs="Arial"/>
          <w:b/>
          <w:bCs/>
          <w:sz w:val="18"/>
          <w:szCs w:val="18"/>
        </w:rPr>
        <w:t>2024</w:t>
      </w:r>
      <w:r w:rsidRPr="006C5E50">
        <w:rPr>
          <w:rFonts w:ascii="Arial" w:hAnsi="Arial" w:cs="Arial"/>
          <w:sz w:val="18"/>
          <w:szCs w:val="18"/>
        </w:rPr>
        <w:t>. bili ostvareni u iznosu 288.576,59 € (predujmovi za provedbu projekata doznačili projektni partneri), a odnosili su se na prihode za:</w:t>
      </w:r>
    </w:p>
    <w:p w14:paraId="222BA329" w14:textId="77777777" w:rsidR="00AA7DD9" w:rsidRPr="006C5E50" w:rsidRDefault="00AA7DD9">
      <w:pPr>
        <w:numPr>
          <w:ilvl w:val="0"/>
          <w:numId w:val="14"/>
        </w:numPr>
        <w:overflowPunct w:val="0"/>
        <w:autoSpaceDE w:val="0"/>
        <w:autoSpaceDN w:val="0"/>
        <w:adjustRightInd w:val="0"/>
        <w:spacing w:after="0" w:line="240" w:lineRule="auto"/>
        <w:jc w:val="both"/>
        <w:rPr>
          <w:rFonts w:ascii="Arial" w:hAnsi="Arial" w:cs="Arial"/>
          <w:sz w:val="18"/>
          <w:szCs w:val="18"/>
        </w:rPr>
      </w:pPr>
      <w:r w:rsidRPr="006C5E50">
        <w:rPr>
          <w:rFonts w:ascii="Arial" w:hAnsi="Arial" w:cs="Arial"/>
          <w:sz w:val="18"/>
          <w:szCs w:val="18"/>
        </w:rPr>
        <w:t>projekt To 0 Waste, sufinanciranje projekta u iznosu 154.743,59 € (umanjeno za ispravak rezultata, ovi prihodi bi za 2024. godinu iznosili 24.207,68 €),</w:t>
      </w:r>
    </w:p>
    <w:p w14:paraId="7F1F1702" w14:textId="77777777" w:rsidR="00AA7DD9" w:rsidRPr="006C5E50" w:rsidRDefault="00AA7DD9">
      <w:pPr>
        <w:numPr>
          <w:ilvl w:val="0"/>
          <w:numId w:val="14"/>
        </w:numPr>
        <w:overflowPunct w:val="0"/>
        <w:autoSpaceDE w:val="0"/>
        <w:autoSpaceDN w:val="0"/>
        <w:adjustRightInd w:val="0"/>
        <w:spacing w:after="0" w:line="240" w:lineRule="auto"/>
        <w:jc w:val="both"/>
        <w:rPr>
          <w:rFonts w:ascii="Arial" w:hAnsi="Arial" w:cs="Arial"/>
        </w:rPr>
      </w:pPr>
      <w:r w:rsidRPr="006C5E50">
        <w:rPr>
          <w:rFonts w:ascii="Arial" w:hAnsi="Arial" w:cs="Arial"/>
          <w:sz w:val="18"/>
          <w:szCs w:val="18"/>
        </w:rPr>
        <w:t xml:space="preserve">projekt Waterlink, sufinanciranje projekta u iznosu 133.833,00 € (umanjeno za ispravak rezultata, ovi prihodi bi za 2024. godinu iznosili 12.215,96 €). </w:t>
      </w:r>
    </w:p>
    <w:p w14:paraId="66C2B3FE" w14:textId="77777777" w:rsidR="00AA7DD9" w:rsidRPr="006C5E50" w:rsidRDefault="00AA7DD9" w:rsidP="00AA7DD9">
      <w:pPr>
        <w:overflowPunct w:val="0"/>
        <w:autoSpaceDE w:val="0"/>
        <w:autoSpaceDN w:val="0"/>
        <w:adjustRightInd w:val="0"/>
        <w:spacing w:after="0" w:line="240" w:lineRule="auto"/>
        <w:ind w:left="720"/>
        <w:jc w:val="both"/>
        <w:rPr>
          <w:rFonts w:ascii="Arial" w:hAnsi="Arial" w:cs="Arial"/>
        </w:rPr>
      </w:pPr>
    </w:p>
    <w:p w14:paraId="567FF24F" w14:textId="77777777" w:rsidR="00AA7DD9" w:rsidRPr="006C5E50" w:rsidRDefault="00AA7DD9" w:rsidP="00AA7DD9">
      <w:pPr>
        <w:overflowPunct w:val="0"/>
        <w:autoSpaceDE w:val="0"/>
        <w:autoSpaceDN w:val="0"/>
        <w:adjustRightInd w:val="0"/>
        <w:spacing w:after="0" w:line="240" w:lineRule="auto"/>
        <w:jc w:val="both"/>
        <w:rPr>
          <w:rFonts w:ascii="Arial" w:hAnsi="Arial" w:cs="Arial"/>
        </w:rPr>
      </w:pPr>
      <w:r w:rsidRPr="006C5E50">
        <w:rPr>
          <w:rFonts w:ascii="Arial" w:hAnsi="Arial" w:cs="Arial"/>
        </w:rPr>
        <w:t>Sukladno uputama Ministarstva financija za pomoći sadržane u višku prihoda iz 2024. godine koje su prenesene u 2025. godinu obavljen je ispravak rezultata. Tako je za projekt T0 0 waste ispravljen rezultat u iznosu 130.535,91 €, a za projekt Waterlink u iznosu 121.617,04 €. Isti prihodi su priznati u 2025. godini.</w:t>
      </w:r>
    </w:p>
    <w:p w14:paraId="057FB524" w14:textId="77777777" w:rsidR="00AA7DD9" w:rsidRPr="006C5E50" w:rsidRDefault="00AA7DD9" w:rsidP="00AA7DD9">
      <w:pPr>
        <w:overflowPunct w:val="0"/>
        <w:autoSpaceDE w:val="0"/>
        <w:autoSpaceDN w:val="0"/>
        <w:adjustRightInd w:val="0"/>
        <w:spacing w:after="0" w:line="240" w:lineRule="auto"/>
        <w:jc w:val="both"/>
        <w:rPr>
          <w:rFonts w:ascii="Arial" w:hAnsi="Arial" w:cs="Arial"/>
        </w:rPr>
      </w:pPr>
    </w:p>
    <w:p w14:paraId="0F54E3E6" w14:textId="77777777" w:rsidR="00AA7DD9" w:rsidRPr="002D358B" w:rsidRDefault="00AA7DD9" w:rsidP="00AA7DD9">
      <w:pPr>
        <w:overflowPunct w:val="0"/>
        <w:autoSpaceDE w:val="0"/>
        <w:autoSpaceDN w:val="0"/>
        <w:adjustRightInd w:val="0"/>
        <w:spacing w:after="0" w:line="240" w:lineRule="auto"/>
        <w:jc w:val="both"/>
        <w:rPr>
          <w:rFonts w:ascii="Arial" w:hAnsi="Arial" w:cs="Arial"/>
        </w:rPr>
      </w:pPr>
      <w:r w:rsidRPr="002D358B">
        <w:rPr>
          <w:rFonts w:ascii="Arial" w:hAnsi="Arial" w:cs="Arial"/>
        </w:rPr>
        <w:t>Pomoći od inozemnih vlada (631) su u 2025. ostvareni u iznosu 336.152,95 €, a odnose se na prihode za:</w:t>
      </w:r>
    </w:p>
    <w:p w14:paraId="46B79C69" w14:textId="77777777" w:rsidR="00AA7DD9" w:rsidRPr="002D358B" w:rsidRDefault="00AA7DD9">
      <w:pPr>
        <w:numPr>
          <w:ilvl w:val="0"/>
          <w:numId w:val="14"/>
        </w:numPr>
        <w:overflowPunct w:val="0"/>
        <w:autoSpaceDE w:val="0"/>
        <w:autoSpaceDN w:val="0"/>
        <w:adjustRightInd w:val="0"/>
        <w:spacing w:after="0" w:line="240" w:lineRule="auto"/>
        <w:jc w:val="both"/>
        <w:rPr>
          <w:rFonts w:ascii="Arial" w:hAnsi="Arial" w:cs="Arial"/>
        </w:rPr>
      </w:pPr>
      <w:r w:rsidRPr="002D358B">
        <w:rPr>
          <w:rFonts w:ascii="Arial" w:hAnsi="Arial" w:cs="Arial"/>
        </w:rPr>
        <w:t>projekt To 0 Waste, sufinanciranje projekta u iznosu 130.535,91 €,</w:t>
      </w:r>
    </w:p>
    <w:p w14:paraId="0CF84848" w14:textId="77777777" w:rsidR="00AA7DD9" w:rsidRPr="002D358B" w:rsidRDefault="00AA7DD9">
      <w:pPr>
        <w:numPr>
          <w:ilvl w:val="0"/>
          <w:numId w:val="14"/>
        </w:numPr>
        <w:overflowPunct w:val="0"/>
        <w:autoSpaceDE w:val="0"/>
        <w:autoSpaceDN w:val="0"/>
        <w:adjustRightInd w:val="0"/>
        <w:spacing w:after="0" w:line="240" w:lineRule="auto"/>
        <w:jc w:val="both"/>
        <w:rPr>
          <w:rFonts w:ascii="Arial" w:hAnsi="Arial" w:cs="Arial"/>
        </w:rPr>
      </w:pPr>
      <w:r w:rsidRPr="002D358B">
        <w:rPr>
          <w:rFonts w:ascii="Arial" w:hAnsi="Arial" w:cs="Arial"/>
        </w:rPr>
        <w:t xml:space="preserve">projekt Waterlink, sufinanciranje projekta u iznosu 202.217,04 €, </w:t>
      </w:r>
    </w:p>
    <w:p w14:paraId="2BF9A75B" w14:textId="77777777" w:rsidR="00AA7DD9" w:rsidRPr="002D358B" w:rsidRDefault="00AA7DD9">
      <w:pPr>
        <w:numPr>
          <w:ilvl w:val="0"/>
          <w:numId w:val="14"/>
        </w:numPr>
        <w:overflowPunct w:val="0"/>
        <w:autoSpaceDE w:val="0"/>
        <w:autoSpaceDN w:val="0"/>
        <w:adjustRightInd w:val="0"/>
        <w:spacing w:after="0" w:line="240" w:lineRule="auto"/>
        <w:jc w:val="both"/>
        <w:rPr>
          <w:rFonts w:ascii="Arial" w:hAnsi="Arial" w:cs="Arial"/>
        </w:rPr>
      </w:pPr>
      <w:r w:rsidRPr="002D358B">
        <w:rPr>
          <w:rFonts w:ascii="Arial" w:hAnsi="Arial" w:cs="Arial"/>
        </w:rPr>
        <w:t>projekt CIRCUS (IPA Adrion, partner Italija) u iznosu 3.400 €. Prethodne godine nije bilo ovih prihoda.</w:t>
      </w:r>
    </w:p>
    <w:p w14:paraId="15673305" w14:textId="77777777" w:rsidR="00AA7DD9" w:rsidRDefault="00AA7DD9" w:rsidP="00AA7D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p>
    <w:p w14:paraId="14F4EBBB" w14:textId="77777777" w:rsidR="00AA7DD9" w:rsidRPr="00847308" w:rsidRDefault="00AA7DD9" w:rsidP="00AA7D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p>
    <w:p w14:paraId="153D3210" w14:textId="105C5949" w:rsidR="00847308" w:rsidRPr="00847308" w:rsidRDefault="00847308" w:rsidP="0084730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center"/>
        <w:rPr>
          <w:rFonts w:ascii="Arial" w:hAnsi="Arial" w:cs="Arial"/>
          <w:b/>
          <w:bCs/>
          <w:i/>
          <w:iCs/>
        </w:rPr>
      </w:pPr>
      <w:r w:rsidRPr="00847308">
        <w:rPr>
          <w:rFonts w:ascii="Arial" w:hAnsi="Arial" w:cs="Arial"/>
          <w:b/>
          <w:bCs/>
          <w:i/>
          <w:iCs/>
        </w:rPr>
        <w:lastRenderedPageBreak/>
        <w:t>63</w:t>
      </w:r>
      <w:r>
        <w:rPr>
          <w:rFonts w:ascii="Arial" w:hAnsi="Arial" w:cs="Arial"/>
          <w:b/>
          <w:bCs/>
          <w:i/>
          <w:iCs/>
        </w:rPr>
        <w:t>2</w:t>
      </w:r>
      <w:r w:rsidRPr="00847308">
        <w:rPr>
          <w:rFonts w:ascii="Arial" w:eastAsia="Times New Roman" w:hAnsi="Arial" w:cs="Arial"/>
          <w:b/>
          <w:bCs/>
          <w:i/>
          <w:iCs/>
          <w:lang w:eastAsia="en-US"/>
        </w:rPr>
        <w:t xml:space="preserve"> Pomoći od </w:t>
      </w:r>
      <w:r>
        <w:rPr>
          <w:rFonts w:ascii="Arial" w:eastAsia="Times New Roman" w:hAnsi="Arial" w:cs="Arial"/>
          <w:b/>
          <w:bCs/>
          <w:i/>
          <w:iCs/>
          <w:lang w:eastAsia="en-US"/>
        </w:rPr>
        <w:t>međunarodnih organizacija, te institucija i tijela EU</w:t>
      </w:r>
    </w:p>
    <w:p w14:paraId="156BC336" w14:textId="77777777" w:rsidR="00847308" w:rsidRDefault="00847308" w:rsidP="00960E0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20"/>
          <w:szCs w:val="20"/>
        </w:rPr>
      </w:pPr>
    </w:p>
    <w:p w14:paraId="2C857588" w14:textId="701E0FAA" w:rsidR="00DE5E6B" w:rsidRPr="00141C29" w:rsidRDefault="00DE5E6B" w:rsidP="00DE5E6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6"/>
          <w:szCs w:val="16"/>
          <w:lang w:eastAsia="en-US"/>
        </w:rPr>
      </w:pPr>
      <w:r w:rsidRPr="00141C29">
        <w:rPr>
          <w:rFonts w:ascii="Arial" w:eastAsia="Times New Roman" w:hAnsi="Arial" w:cs="Arial"/>
          <w:sz w:val="16"/>
          <w:szCs w:val="16"/>
          <w:lang w:eastAsia="en-US"/>
        </w:rPr>
        <w:t xml:space="preserve">U </w:t>
      </w:r>
      <w:r w:rsidRPr="00141C29">
        <w:rPr>
          <w:rFonts w:ascii="Arial" w:eastAsia="Times New Roman" w:hAnsi="Arial" w:cs="Arial"/>
          <w:b/>
          <w:bCs/>
          <w:sz w:val="16"/>
          <w:szCs w:val="16"/>
          <w:u w:val="single"/>
          <w:lang w:eastAsia="en-US"/>
        </w:rPr>
        <w:t>2024</w:t>
      </w:r>
      <w:r w:rsidRPr="00141C29">
        <w:rPr>
          <w:rFonts w:ascii="Arial" w:eastAsia="Times New Roman" w:hAnsi="Arial" w:cs="Arial"/>
          <w:sz w:val="16"/>
          <w:szCs w:val="16"/>
          <w:lang w:eastAsia="en-US"/>
        </w:rPr>
        <w:t>. godine prihodi</w:t>
      </w:r>
      <w:r w:rsidR="0095672B" w:rsidRPr="00141C29">
        <w:rPr>
          <w:rFonts w:ascii="Arial" w:eastAsia="Times New Roman" w:hAnsi="Arial" w:cs="Arial"/>
          <w:sz w:val="16"/>
          <w:szCs w:val="16"/>
          <w:lang w:eastAsia="en-US"/>
        </w:rPr>
        <w:t xml:space="preserve"> od pomoći od međunarodnih organizacija i tijela EU</w:t>
      </w:r>
      <w:r w:rsidRPr="00141C29">
        <w:rPr>
          <w:rFonts w:ascii="Arial" w:eastAsia="Times New Roman" w:hAnsi="Arial" w:cs="Arial"/>
          <w:sz w:val="16"/>
          <w:szCs w:val="16"/>
          <w:lang w:eastAsia="en-US"/>
        </w:rPr>
        <w:t xml:space="preserve"> (</w:t>
      </w:r>
      <w:r w:rsidRPr="00141C29">
        <w:rPr>
          <w:rFonts w:ascii="Arial" w:eastAsia="Times New Roman" w:hAnsi="Arial" w:cs="Arial"/>
          <w:b/>
          <w:bCs/>
          <w:sz w:val="16"/>
          <w:szCs w:val="16"/>
          <w:lang w:eastAsia="en-US"/>
        </w:rPr>
        <w:t>632</w:t>
      </w:r>
      <w:r w:rsidRPr="00141C29">
        <w:rPr>
          <w:rFonts w:ascii="Arial" w:eastAsia="Times New Roman" w:hAnsi="Arial" w:cs="Arial"/>
          <w:sz w:val="16"/>
          <w:szCs w:val="16"/>
          <w:lang w:eastAsia="en-US"/>
        </w:rPr>
        <w:t>) su ostvareni u iznosu 7.576,90 €, a odnos</w:t>
      </w:r>
      <w:r w:rsidR="00AA7DD9" w:rsidRPr="00141C29">
        <w:rPr>
          <w:rFonts w:ascii="Arial" w:eastAsia="Times New Roman" w:hAnsi="Arial" w:cs="Arial"/>
          <w:sz w:val="16"/>
          <w:szCs w:val="16"/>
          <w:lang w:eastAsia="en-US"/>
        </w:rPr>
        <w:t>ili su</w:t>
      </w:r>
      <w:r w:rsidRPr="00141C29">
        <w:rPr>
          <w:rFonts w:ascii="Arial" w:eastAsia="Times New Roman" w:hAnsi="Arial" w:cs="Arial"/>
          <w:sz w:val="16"/>
          <w:szCs w:val="16"/>
          <w:lang w:eastAsia="en-US"/>
        </w:rPr>
        <w:t xml:space="preserve"> se na:</w:t>
      </w:r>
    </w:p>
    <w:p w14:paraId="524C82C4" w14:textId="54FEF35F" w:rsidR="00DE5E6B" w:rsidRPr="00141C29" w:rsidRDefault="00DE5E6B" w:rsidP="00DE5E6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6"/>
          <w:szCs w:val="16"/>
          <w:lang w:eastAsia="en-US"/>
        </w:rPr>
      </w:pPr>
      <w:r w:rsidRPr="00141C29">
        <w:rPr>
          <w:rFonts w:ascii="Arial" w:eastAsia="Times New Roman" w:hAnsi="Arial" w:cs="Arial"/>
          <w:sz w:val="16"/>
          <w:szCs w:val="16"/>
          <w:lang w:eastAsia="en-US"/>
        </w:rPr>
        <w:t>-</w:t>
      </w:r>
      <w:r w:rsidRPr="00141C29">
        <w:rPr>
          <w:rFonts w:ascii="Arial" w:eastAsia="Times New Roman" w:hAnsi="Arial" w:cs="Arial"/>
          <w:sz w:val="16"/>
          <w:szCs w:val="16"/>
          <w:lang w:eastAsia="en-US"/>
        </w:rPr>
        <w:tab/>
        <w:t>prihode proračunskog korisnika – ustanova u kulturi: 7.576,90 € i to projekt Erasmus+ Austrija koordinator.</w:t>
      </w:r>
    </w:p>
    <w:p w14:paraId="515E8FC3" w14:textId="77777777" w:rsidR="00DE5E6B" w:rsidRPr="00141C29" w:rsidRDefault="00DE5E6B" w:rsidP="0065759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20"/>
          <w:szCs w:val="20"/>
          <w:lang w:eastAsia="en-US"/>
        </w:rPr>
      </w:pPr>
    </w:p>
    <w:p w14:paraId="6C4B6000" w14:textId="13131FB6" w:rsidR="00657598" w:rsidRPr="006C5E50" w:rsidRDefault="00657598" w:rsidP="00657598">
      <w:pPr>
        <w:overflowPunct w:val="0"/>
        <w:autoSpaceDE w:val="0"/>
        <w:autoSpaceDN w:val="0"/>
        <w:adjustRightInd w:val="0"/>
        <w:spacing w:after="0" w:line="240" w:lineRule="auto"/>
        <w:jc w:val="both"/>
        <w:rPr>
          <w:rFonts w:ascii="Arial" w:hAnsi="Arial" w:cs="Arial"/>
        </w:rPr>
      </w:pPr>
      <w:r w:rsidRPr="006C5E50">
        <w:rPr>
          <w:rFonts w:ascii="Arial" w:hAnsi="Arial" w:cs="Arial"/>
        </w:rPr>
        <w:t xml:space="preserve">U </w:t>
      </w:r>
      <w:r w:rsidRPr="00141C29">
        <w:rPr>
          <w:rFonts w:ascii="Arial" w:hAnsi="Arial" w:cs="Arial"/>
          <w:b/>
          <w:bCs/>
        </w:rPr>
        <w:t>2025</w:t>
      </w:r>
      <w:r>
        <w:rPr>
          <w:rFonts w:ascii="Arial" w:hAnsi="Arial" w:cs="Arial"/>
        </w:rPr>
        <w:t>.</w:t>
      </w:r>
      <w:r w:rsidRPr="006C5E50">
        <w:rPr>
          <w:rFonts w:ascii="Arial" w:hAnsi="Arial" w:cs="Arial"/>
        </w:rPr>
        <w:t xml:space="preserve"> prihodi od pomoći od inozemnih vlada (632) nisu ostvareni.</w:t>
      </w:r>
    </w:p>
    <w:p w14:paraId="1F9112C6" w14:textId="77777777" w:rsidR="00191A61" w:rsidRDefault="00191A61" w:rsidP="0065759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p>
    <w:p w14:paraId="0E783ECD" w14:textId="1D544A15" w:rsidR="00847308" w:rsidRPr="00847308" w:rsidRDefault="00847308" w:rsidP="0084730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center"/>
        <w:rPr>
          <w:rFonts w:ascii="Arial" w:hAnsi="Arial" w:cs="Arial"/>
          <w:b/>
          <w:bCs/>
          <w:i/>
          <w:iCs/>
        </w:rPr>
      </w:pPr>
      <w:r w:rsidRPr="00847308">
        <w:rPr>
          <w:rFonts w:ascii="Arial" w:hAnsi="Arial" w:cs="Arial"/>
          <w:b/>
          <w:bCs/>
          <w:i/>
          <w:iCs/>
        </w:rPr>
        <w:t>63</w:t>
      </w:r>
      <w:r>
        <w:rPr>
          <w:rFonts w:ascii="Arial" w:hAnsi="Arial" w:cs="Arial"/>
          <w:b/>
          <w:bCs/>
          <w:i/>
          <w:iCs/>
        </w:rPr>
        <w:t>3</w:t>
      </w:r>
      <w:r w:rsidRPr="00847308">
        <w:rPr>
          <w:rFonts w:ascii="Arial" w:eastAsia="Times New Roman" w:hAnsi="Arial" w:cs="Arial"/>
          <w:b/>
          <w:bCs/>
          <w:i/>
          <w:iCs/>
          <w:lang w:eastAsia="en-US"/>
        </w:rPr>
        <w:t xml:space="preserve"> Pomoći </w:t>
      </w:r>
      <w:r>
        <w:rPr>
          <w:rFonts w:ascii="Arial" w:eastAsia="Times New Roman" w:hAnsi="Arial" w:cs="Arial"/>
          <w:b/>
          <w:bCs/>
          <w:i/>
          <w:iCs/>
          <w:lang w:eastAsia="en-US"/>
        </w:rPr>
        <w:t>proračunu iz drugih proračuna</w:t>
      </w:r>
    </w:p>
    <w:p w14:paraId="70913A58" w14:textId="77777777" w:rsidR="00847308" w:rsidRPr="003A2F86" w:rsidRDefault="00847308" w:rsidP="00141C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p>
    <w:p w14:paraId="3756DFA4" w14:textId="77777777" w:rsidR="00141C29" w:rsidRPr="006C5E50" w:rsidRDefault="00141C29" w:rsidP="00141C29">
      <w:pPr>
        <w:spacing w:after="0" w:line="240" w:lineRule="auto"/>
        <w:jc w:val="both"/>
        <w:rPr>
          <w:rFonts w:ascii="Arial" w:hAnsi="Arial" w:cs="Arial"/>
        </w:rPr>
      </w:pPr>
      <w:r w:rsidRPr="006C5E50">
        <w:rPr>
          <w:rFonts w:ascii="Arial" w:hAnsi="Arial" w:cs="Arial"/>
        </w:rPr>
        <w:t>Pomoći proračunu iz drugih proračuna (</w:t>
      </w:r>
      <w:r w:rsidRPr="00141C29">
        <w:rPr>
          <w:rFonts w:ascii="Arial" w:hAnsi="Arial" w:cs="Arial"/>
          <w:b/>
          <w:bCs/>
        </w:rPr>
        <w:t>633</w:t>
      </w:r>
      <w:r w:rsidRPr="006C5E50">
        <w:rPr>
          <w:rFonts w:ascii="Arial" w:hAnsi="Arial" w:cs="Arial"/>
        </w:rPr>
        <w:t xml:space="preserve">) u iznosu 726.752,04 € što je za 486.575,90 € ili 202,6% više nego prethodne godine, a odnose se na tekuće pomoći u iznosu 351.931,62 € i kapitalne pomoći 374.820,42 €. </w:t>
      </w:r>
    </w:p>
    <w:p w14:paraId="57B9D52E" w14:textId="77777777" w:rsidR="0095672B" w:rsidRPr="003A2F86" w:rsidRDefault="0095672B" w:rsidP="00141C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p>
    <w:p w14:paraId="22085DFE" w14:textId="783645FA" w:rsidR="00141C29" w:rsidRPr="006C5E50" w:rsidRDefault="00141C29" w:rsidP="00141C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6C5E50">
        <w:rPr>
          <w:rFonts w:ascii="Arial" w:hAnsi="Arial" w:cs="Arial"/>
        </w:rPr>
        <w:t>Tekuće pomoći proračunu iz drugih proračuna (</w:t>
      </w:r>
      <w:r w:rsidRPr="00141C29">
        <w:rPr>
          <w:rFonts w:ascii="Arial" w:hAnsi="Arial" w:cs="Arial"/>
          <w:b/>
          <w:bCs/>
        </w:rPr>
        <w:t>6331</w:t>
      </w:r>
      <w:r w:rsidRPr="006C5E50">
        <w:rPr>
          <w:rFonts w:ascii="Arial" w:hAnsi="Arial" w:cs="Arial"/>
        </w:rPr>
        <w:t xml:space="preserve">) su ostvarene u iznosu </w:t>
      </w:r>
      <w:r w:rsidR="00D311FC">
        <w:rPr>
          <w:rFonts w:ascii="Arial" w:hAnsi="Arial" w:cs="Arial"/>
        </w:rPr>
        <w:t>351.931,62</w:t>
      </w:r>
      <w:r w:rsidRPr="006C5E50">
        <w:rPr>
          <w:rFonts w:ascii="Arial" w:hAnsi="Arial" w:cs="Arial"/>
        </w:rPr>
        <w:t xml:space="preserve"> € od čega pomoći iz državnog proračuna u iznosu </w:t>
      </w:r>
      <w:r w:rsidR="00D311FC">
        <w:rPr>
          <w:rFonts w:ascii="Arial" w:hAnsi="Arial" w:cs="Arial"/>
        </w:rPr>
        <w:t>140.375,74</w:t>
      </w:r>
      <w:r w:rsidRPr="006C5E50">
        <w:rPr>
          <w:rFonts w:ascii="Arial" w:hAnsi="Arial" w:cs="Arial"/>
        </w:rPr>
        <w:t xml:space="preserve"> € i to:</w:t>
      </w:r>
    </w:p>
    <w:p w14:paraId="360A8ABA" w14:textId="77777777" w:rsidR="00141C29" w:rsidRPr="006C5E50" w:rsidRDefault="00141C29" w:rsidP="00141C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6C5E50">
        <w:rPr>
          <w:rFonts w:ascii="Arial" w:hAnsi="Arial" w:cs="Arial"/>
        </w:rPr>
        <w:t>- pomoći Ministarstva znanosti i obrazovanja za fiskalnu održivost dječjih vrtića u iznosu 111.720 €,</w:t>
      </w:r>
    </w:p>
    <w:p w14:paraId="4D78D6EA" w14:textId="724DA8C6" w:rsidR="00141C29" w:rsidRPr="00501B59" w:rsidRDefault="00141C29" w:rsidP="00141C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6C5E50">
        <w:rPr>
          <w:rFonts w:ascii="Arial" w:hAnsi="Arial" w:cs="Arial"/>
        </w:rPr>
        <w:t xml:space="preserve">- pomoć iz Državnog proračuna za funkcionalno spajanje, odnosno zajedničko obavljanje poslova između više jedinica lokalne samouprave u iznosu 28.655,74 € (obavljanje djelatnosti prijevoza putem društva Libertas u iznosu 26.798,22 €, te za obavljanje knjižnične djelatnosti putem Dubrovačkih </w:t>
      </w:r>
      <w:r w:rsidRPr="00501B59">
        <w:rPr>
          <w:rFonts w:ascii="Arial" w:hAnsi="Arial" w:cs="Arial"/>
        </w:rPr>
        <w:t>knjižnica 1.857,52 €)</w:t>
      </w:r>
      <w:r w:rsidR="00D311FC">
        <w:rPr>
          <w:rFonts w:ascii="Arial" w:hAnsi="Arial" w:cs="Arial"/>
        </w:rPr>
        <w:t>.</w:t>
      </w:r>
    </w:p>
    <w:p w14:paraId="1A165089" w14:textId="77777777" w:rsidR="00141C29" w:rsidRPr="003552EC" w:rsidRDefault="00141C29" w:rsidP="00141C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lang w:eastAsia="en-US"/>
        </w:rPr>
      </w:pPr>
    </w:p>
    <w:p w14:paraId="3033574C" w14:textId="319D888E" w:rsidR="00D60555" w:rsidRPr="00141C29" w:rsidRDefault="00D60555" w:rsidP="00D6055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lang w:eastAsia="en-US"/>
        </w:rPr>
      </w:pPr>
      <w:r w:rsidRPr="00141C29">
        <w:rPr>
          <w:rFonts w:ascii="Arial" w:eastAsia="Times New Roman" w:hAnsi="Arial" w:cs="Arial"/>
          <w:b/>
          <w:bCs/>
          <w:i/>
          <w:iCs/>
          <w:sz w:val="16"/>
          <w:szCs w:val="16"/>
          <w:lang w:eastAsia="en-US"/>
        </w:rPr>
        <w:t>Tekuće pomoći</w:t>
      </w:r>
      <w:r w:rsidRPr="00141C29">
        <w:rPr>
          <w:rFonts w:ascii="Arial" w:eastAsia="Times New Roman" w:hAnsi="Arial" w:cs="Arial"/>
          <w:sz w:val="16"/>
          <w:szCs w:val="16"/>
          <w:lang w:eastAsia="en-US"/>
        </w:rPr>
        <w:t xml:space="preserve"> proračunu iz drugih proračuna (6331) u </w:t>
      </w:r>
      <w:r w:rsidRPr="00141C29">
        <w:rPr>
          <w:rFonts w:ascii="Arial" w:eastAsia="Times New Roman" w:hAnsi="Arial" w:cs="Arial"/>
          <w:b/>
          <w:bCs/>
          <w:sz w:val="16"/>
          <w:szCs w:val="16"/>
          <w:lang w:eastAsia="en-US"/>
        </w:rPr>
        <w:t>2024.</w:t>
      </w:r>
      <w:r w:rsidRPr="00141C29">
        <w:rPr>
          <w:rFonts w:ascii="Arial" w:eastAsia="Times New Roman" w:hAnsi="Arial" w:cs="Arial"/>
          <w:sz w:val="16"/>
          <w:szCs w:val="16"/>
          <w:lang w:eastAsia="en-US"/>
        </w:rPr>
        <w:t xml:space="preserve"> su iznosile 184.176,14 € od čega pomoći iz državnog proračuna u iznosu 177.186,10 € i to:</w:t>
      </w:r>
    </w:p>
    <w:p w14:paraId="3CA8D035" w14:textId="39FBB9AD" w:rsidR="00D60555" w:rsidRPr="00141C29" w:rsidRDefault="00D60555" w:rsidP="00D6055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lang w:eastAsia="en-US"/>
        </w:rPr>
      </w:pPr>
      <w:r w:rsidRPr="00141C29">
        <w:rPr>
          <w:rFonts w:ascii="Arial" w:eastAsia="Times New Roman" w:hAnsi="Arial" w:cs="Arial"/>
          <w:sz w:val="16"/>
          <w:szCs w:val="16"/>
          <w:lang w:eastAsia="en-US"/>
        </w:rPr>
        <w:t>- pomoći Središnji državni ured za demografiju i mlade u iznosu 2.156,62 € po konačnom obračunu tj. udio 15% sredstava iz državnog proračuna u sredstvima po ugovoru o dodjeli bespovratnih sredstava za provedbu projekta „Otvorimo južna vrata Lijepe naše“,</w:t>
      </w:r>
    </w:p>
    <w:p w14:paraId="334853AD" w14:textId="77777777" w:rsidR="00D60555" w:rsidRPr="00141C29" w:rsidRDefault="00D60555" w:rsidP="00D6055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lang w:eastAsia="en-US"/>
        </w:rPr>
      </w:pPr>
      <w:r w:rsidRPr="00141C29">
        <w:rPr>
          <w:rFonts w:ascii="Arial" w:eastAsia="Times New Roman" w:hAnsi="Arial" w:cs="Arial"/>
          <w:sz w:val="16"/>
          <w:szCs w:val="16"/>
          <w:lang w:eastAsia="en-US"/>
        </w:rPr>
        <w:t>- pomoći Ministarstva znanosti i obrazovanja za fiskalnu održivost dječjih vrtića u iznosu 99.183 €,</w:t>
      </w:r>
    </w:p>
    <w:p w14:paraId="78BEE631" w14:textId="77777777" w:rsidR="00D60555" w:rsidRPr="00141C29" w:rsidRDefault="00D60555" w:rsidP="00D6055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lang w:eastAsia="en-US"/>
        </w:rPr>
      </w:pPr>
      <w:r w:rsidRPr="00141C29">
        <w:rPr>
          <w:rFonts w:ascii="Arial" w:eastAsia="Times New Roman" w:hAnsi="Arial" w:cs="Arial"/>
          <w:sz w:val="16"/>
          <w:szCs w:val="16"/>
          <w:lang w:eastAsia="en-US"/>
        </w:rPr>
        <w:t>- pomoć iz Državnog proračuna za funkcionalno spajanje, odnosno zajedničko obavljanje poslova između više jedinica lokalne samouprave u iznosu 26.336,48 € (obavljanje djelatnosti prijevoza putem društva Libertas u iznosu 24.346,44 €, te za obavljanje knjižnične djelatnosti putem Dubrovačkih knjižnica 1.990,04 €),</w:t>
      </w:r>
    </w:p>
    <w:p w14:paraId="4E91D78B" w14:textId="77777777" w:rsidR="00D60555" w:rsidRPr="00141C29" w:rsidRDefault="00D60555" w:rsidP="00D6055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lang w:eastAsia="en-US"/>
        </w:rPr>
      </w:pPr>
      <w:r w:rsidRPr="00141C29">
        <w:rPr>
          <w:rFonts w:ascii="Arial" w:eastAsia="Times New Roman" w:hAnsi="Arial" w:cs="Arial"/>
          <w:sz w:val="16"/>
          <w:szCs w:val="16"/>
          <w:lang w:eastAsia="en-US"/>
        </w:rPr>
        <w:t xml:space="preserve">- pomoći Ministarstva poljoprivrede za sufinanciranje manifestacije Mirisi Božića 2023. u iznosu 5.740 €, </w:t>
      </w:r>
    </w:p>
    <w:p w14:paraId="4C06BF25" w14:textId="77777777" w:rsidR="00D60555" w:rsidRPr="00141C29" w:rsidRDefault="00D60555" w:rsidP="00D6055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lang w:eastAsia="en-US"/>
        </w:rPr>
      </w:pPr>
      <w:r w:rsidRPr="00141C29">
        <w:rPr>
          <w:rFonts w:ascii="Arial" w:eastAsia="Times New Roman" w:hAnsi="Arial" w:cs="Arial"/>
          <w:sz w:val="16"/>
          <w:szCs w:val="16"/>
          <w:lang w:eastAsia="en-US"/>
        </w:rPr>
        <w:t>- pomoći za provedbu izbora (za Europski parlament i za Hrvatski sabor) 828,50 €,</w:t>
      </w:r>
    </w:p>
    <w:p w14:paraId="39DFCB81" w14:textId="77777777" w:rsidR="00D60555" w:rsidRPr="00141C29" w:rsidRDefault="00D60555" w:rsidP="00D6055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lang w:eastAsia="en-US"/>
        </w:rPr>
      </w:pPr>
      <w:r w:rsidRPr="00141C29">
        <w:rPr>
          <w:rFonts w:ascii="Arial" w:eastAsia="Times New Roman" w:hAnsi="Arial" w:cs="Arial"/>
          <w:sz w:val="16"/>
          <w:szCs w:val="16"/>
          <w:lang w:eastAsia="en-US"/>
        </w:rPr>
        <w:t>- pomoć Ministarstva za regionalni razvoj i EU fondove za sufinanciranje provedbe projekta u suradnju s Gradom Mostarom 42.941,50 € (Zajedno za zeleni razvoj).</w:t>
      </w:r>
    </w:p>
    <w:p w14:paraId="32DDA1DD" w14:textId="77777777" w:rsidR="00D60555" w:rsidRPr="00141C29" w:rsidRDefault="00D60555" w:rsidP="009567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6"/>
          <w:szCs w:val="16"/>
          <w:lang w:eastAsia="en-US"/>
        </w:rPr>
      </w:pPr>
    </w:p>
    <w:p w14:paraId="3DB9BEFD" w14:textId="4DC51F56" w:rsidR="00141C29" w:rsidRPr="00501B59" w:rsidRDefault="00141C29" w:rsidP="00141C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501B59">
        <w:rPr>
          <w:rFonts w:ascii="Arial" w:hAnsi="Arial" w:cs="Arial"/>
        </w:rPr>
        <w:t>Dio tekućih pomoći iz drugih proračuna (6331) odnosi se i na pomoći iz županijskog i gradskog proračuna sveukupno u iznosu 211.55</w:t>
      </w:r>
      <w:r w:rsidR="00176118">
        <w:rPr>
          <w:rFonts w:ascii="Arial" w:hAnsi="Arial" w:cs="Arial"/>
        </w:rPr>
        <w:t>5</w:t>
      </w:r>
      <w:r w:rsidRPr="00501B59">
        <w:rPr>
          <w:rFonts w:ascii="Arial" w:hAnsi="Arial" w:cs="Arial"/>
        </w:rPr>
        <w:t>,88 € (sudjelovanje Grada Dubrovnika u sufinanciranju provedbe projekta unapređenje proizvodnje grožđa i vina sorte malvasija dubrovačka bijela I faza 2020.-2025. u iznosu 1.747,51 €, te sufinanciranje županije za premještanje dalekovoda potrebnog prije početka gradnje osnovne škole u iznosu 161.499,26 €, za sufinanciranje uređenja igrališta 3.648,80 €, te za sufinanciranje provedbe lokalnih izbora 44.660,31 €).</w:t>
      </w:r>
    </w:p>
    <w:p w14:paraId="7FE7BC54" w14:textId="77777777" w:rsidR="0095672B" w:rsidRPr="003A2F86" w:rsidRDefault="0095672B" w:rsidP="00DE5A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4F475A39" w14:textId="77777777" w:rsidR="00176118" w:rsidRDefault="0095672B" w:rsidP="009567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AE7989">
        <w:rPr>
          <w:rFonts w:ascii="Arial" w:hAnsi="Arial" w:cs="Arial"/>
          <w:b/>
          <w:bCs/>
          <w:i/>
          <w:iCs/>
        </w:rPr>
        <w:t>Kapitalne pomoći</w:t>
      </w:r>
      <w:r w:rsidRPr="003A2F86">
        <w:rPr>
          <w:rFonts w:ascii="Arial" w:hAnsi="Arial" w:cs="Arial"/>
        </w:rPr>
        <w:t xml:space="preserve"> proračunu iz drugih proračuna (6332) </w:t>
      </w:r>
      <w:r w:rsidR="00AE7989" w:rsidRPr="00905E33">
        <w:rPr>
          <w:rFonts w:ascii="Arial" w:hAnsi="Arial" w:cs="Arial"/>
          <w:b/>
          <w:bCs/>
        </w:rPr>
        <w:t>u 20</w:t>
      </w:r>
      <w:r w:rsidR="00905E33" w:rsidRPr="00905E33">
        <w:rPr>
          <w:rFonts w:ascii="Arial" w:hAnsi="Arial" w:cs="Arial"/>
          <w:b/>
          <w:bCs/>
        </w:rPr>
        <w:t>25</w:t>
      </w:r>
      <w:r w:rsidR="00AE7989" w:rsidRPr="00905E33">
        <w:rPr>
          <w:rFonts w:ascii="Arial" w:hAnsi="Arial" w:cs="Arial"/>
          <w:b/>
          <w:bCs/>
        </w:rPr>
        <w:t>.</w:t>
      </w:r>
      <w:r w:rsidR="00AE7989">
        <w:rPr>
          <w:rFonts w:ascii="Arial" w:hAnsi="Arial" w:cs="Arial"/>
        </w:rPr>
        <w:t xml:space="preserve"> </w:t>
      </w:r>
      <w:r w:rsidRPr="003A2F86">
        <w:rPr>
          <w:rFonts w:ascii="Arial" w:hAnsi="Arial" w:cs="Arial"/>
        </w:rPr>
        <w:t xml:space="preserve">su ostvarene u iznosu </w:t>
      </w:r>
      <w:r w:rsidR="00176118">
        <w:rPr>
          <w:rFonts w:ascii="Arial" w:hAnsi="Arial" w:cs="Arial"/>
        </w:rPr>
        <w:t>374.820,42</w:t>
      </w:r>
      <w:r w:rsidRPr="003A2F86">
        <w:rPr>
          <w:rFonts w:ascii="Arial" w:hAnsi="Arial" w:cs="Arial"/>
        </w:rPr>
        <w:t xml:space="preserve"> € i odnose se na</w:t>
      </w:r>
      <w:r w:rsidR="00176118">
        <w:rPr>
          <w:rFonts w:ascii="Arial" w:hAnsi="Arial" w:cs="Arial"/>
        </w:rPr>
        <w:t>:</w:t>
      </w:r>
    </w:p>
    <w:p w14:paraId="476AAF92" w14:textId="77777777" w:rsidR="00176118" w:rsidRPr="00176118" w:rsidRDefault="00176118" w:rsidP="0017611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176118">
        <w:rPr>
          <w:rFonts w:ascii="Arial" w:hAnsi="Arial" w:cs="Arial"/>
        </w:rPr>
        <w:t xml:space="preserve">- pomoć iz županijskog proračuna u iznosu 223.692,23 € od čega za uređenje pomorskog dobra 40.000 €, za uređenje igrališta i nabavu opreme za igrališta 15.728 €, te za izgradnju lokalne prometnice u okviru nove škole 167.964,23 €, te </w:t>
      </w:r>
    </w:p>
    <w:p w14:paraId="62DE4735" w14:textId="77777777" w:rsidR="00176118" w:rsidRPr="00176118" w:rsidRDefault="00176118" w:rsidP="0017611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iCs/>
        </w:rPr>
      </w:pPr>
      <w:r w:rsidRPr="00176118">
        <w:rPr>
          <w:rFonts w:ascii="Arial" w:hAnsi="Arial" w:cs="Arial"/>
        </w:rPr>
        <w:t xml:space="preserve">- pomoći iz državnog proračuna u iznosu 151.128,19 € i to od Ministarstva regionalnoga razvoja i fondova EU za sufinanciranje provedenog projekta izgradnje vatrogasnog doma. </w:t>
      </w:r>
    </w:p>
    <w:p w14:paraId="30F1CDA3" w14:textId="77777777" w:rsidR="00176118" w:rsidRDefault="00176118" w:rsidP="009567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483CADD5" w14:textId="6400E9D3" w:rsidR="00176118" w:rsidRPr="00176118" w:rsidRDefault="00176118" w:rsidP="0017611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176118">
        <w:rPr>
          <w:rFonts w:ascii="Arial" w:eastAsia="Times New Roman" w:hAnsi="Arial" w:cs="Arial"/>
        </w:rPr>
        <w:t>U odnosu na prethodnu 2024. godinu prihodi od kapitalnih pomoći (6332) su veći za 318.820,42 € ili 569,30%</w:t>
      </w:r>
      <w:r w:rsidR="00C25891">
        <w:rPr>
          <w:rFonts w:ascii="Arial" w:eastAsia="Times New Roman" w:hAnsi="Arial" w:cs="Arial"/>
        </w:rPr>
        <w:t>.</w:t>
      </w:r>
    </w:p>
    <w:p w14:paraId="5AE5A842" w14:textId="77777777" w:rsidR="00176118" w:rsidRPr="00176118" w:rsidRDefault="00176118" w:rsidP="0017611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24D1330B" w14:textId="560B3CE5" w:rsidR="00905E33" w:rsidRPr="00176118" w:rsidRDefault="00827389" w:rsidP="0082738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hAnsi="Arial" w:cs="Arial"/>
          <w:iCs/>
          <w:sz w:val="20"/>
          <w:szCs w:val="20"/>
        </w:rPr>
      </w:pPr>
      <w:r w:rsidRPr="00176118">
        <w:rPr>
          <w:rFonts w:ascii="Arial" w:hAnsi="Arial" w:cs="Arial"/>
          <w:sz w:val="16"/>
          <w:szCs w:val="16"/>
        </w:rPr>
        <w:t xml:space="preserve">U </w:t>
      </w:r>
      <w:r w:rsidRPr="00176118">
        <w:rPr>
          <w:rFonts w:ascii="Arial" w:hAnsi="Arial" w:cs="Arial"/>
          <w:b/>
          <w:bCs/>
          <w:sz w:val="16"/>
          <w:szCs w:val="16"/>
          <w:u w:val="single"/>
        </w:rPr>
        <w:t>2024.</w:t>
      </w:r>
      <w:r w:rsidRPr="00176118">
        <w:rPr>
          <w:rFonts w:ascii="Arial" w:hAnsi="Arial" w:cs="Arial"/>
          <w:sz w:val="16"/>
          <w:szCs w:val="16"/>
        </w:rPr>
        <w:t xml:space="preserve"> k</w:t>
      </w:r>
      <w:r w:rsidR="00905E33" w:rsidRPr="00176118">
        <w:rPr>
          <w:rFonts w:ascii="Arial" w:hAnsi="Arial" w:cs="Arial"/>
          <w:i/>
          <w:iCs/>
          <w:sz w:val="16"/>
          <w:szCs w:val="16"/>
        </w:rPr>
        <w:t>apitalne pomoći</w:t>
      </w:r>
      <w:r w:rsidR="00905E33" w:rsidRPr="00176118">
        <w:rPr>
          <w:rFonts w:ascii="Arial" w:hAnsi="Arial" w:cs="Arial"/>
          <w:sz w:val="16"/>
          <w:szCs w:val="16"/>
        </w:rPr>
        <w:t xml:space="preserve"> (6332) su </w:t>
      </w:r>
      <w:r w:rsidRPr="00176118">
        <w:rPr>
          <w:rFonts w:ascii="Arial" w:hAnsi="Arial" w:cs="Arial"/>
          <w:sz w:val="16"/>
          <w:szCs w:val="16"/>
        </w:rPr>
        <w:t>iznosile</w:t>
      </w:r>
      <w:r w:rsidR="00905E33" w:rsidRPr="00176118">
        <w:rPr>
          <w:rFonts w:ascii="Arial" w:hAnsi="Arial" w:cs="Arial"/>
          <w:sz w:val="16"/>
          <w:szCs w:val="16"/>
        </w:rPr>
        <w:t xml:space="preserve"> 56.000 € i odnos</w:t>
      </w:r>
      <w:r w:rsidRPr="00176118">
        <w:rPr>
          <w:rFonts w:ascii="Arial" w:hAnsi="Arial" w:cs="Arial"/>
          <w:sz w:val="16"/>
          <w:szCs w:val="16"/>
        </w:rPr>
        <w:t>ile</w:t>
      </w:r>
      <w:r w:rsidR="003D2C3A" w:rsidRPr="00176118">
        <w:rPr>
          <w:rFonts w:ascii="Arial" w:hAnsi="Arial" w:cs="Arial"/>
          <w:sz w:val="16"/>
          <w:szCs w:val="16"/>
        </w:rPr>
        <w:t xml:space="preserve"> su</w:t>
      </w:r>
      <w:r w:rsidR="00905E33" w:rsidRPr="00176118">
        <w:rPr>
          <w:rFonts w:ascii="Arial" w:hAnsi="Arial" w:cs="Arial"/>
          <w:sz w:val="16"/>
          <w:szCs w:val="16"/>
        </w:rPr>
        <w:t xml:space="preserve"> se na pomoć iz županijskog proračuna za uređenje pomorskog dobra 40.000 € i za održavanje igrališta 8.000 €, te pomoći </w:t>
      </w:r>
      <w:r w:rsidR="00905E33" w:rsidRPr="00176118">
        <w:rPr>
          <w:rFonts w:ascii="Arial" w:hAnsi="Arial" w:cs="Arial"/>
          <w:iCs/>
          <w:sz w:val="16"/>
          <w:szCs w:val="16"/>
        </w:rPr>
        <w:t xml:space="preserve">Ministarstva kulture za nabavu stolica za ljetno kino u Cavtatu 8.000 €. </w:t>
      </w:r>
    </w:p>
    <w:p w14:paraId="0478BB71" w14:textId="77777777" w:rsidR="00905E33" w:rsidRPr="007C1631" w:rsidRDefault="00905E33" w:rsidP="001865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8"/>
          <w:szCs w:val="8"/>
        </w:rPr>
      </w:pPr>
    </w:p>
    <w:p w14:paraId="1B27CDAA" w14:textId="77777777" w:rsidR="001865FB" w:rsidRPr="003A2F86" w:rsidRDefault="001865FB" w:rsidP="001865FB">
      <w:pPr>
        <w:spacing w:after="0" w:line="240" w:lineRule="auto"/>
        <w:jc w:val="both"/>
        <w:rPr>
          <w:rFonts w:ascii="Arial" w:eastAsia="Times New Roman" w:hAnsi="Arial" w:cs="Arial"/>
          <w:i/>
          <w:iCs/>
          <w:sz w:val="20"/>
          <w:szCs w:val="20"/>
        </w:rPr>
      </w:pPr>
      <w:bookmarkStart w:id="102" w:name="_Hlk77837513"/>
      <w:r w:rsidRPr="003A2F86">
        <w:rPr>
          <w:rFonts w:ascii="Arial" w:eastAsia="Times New Roman" w:hAnsi="Arial" w:cs="Arial"/>
          <w:i/>
          <w:iCs/>
          <w:sz w:val="20"/>
          <w:szCs w:val="20"/>
        </w:rPr>
        <w:t>*Usporedba: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276"/>
        <w:gridCol w:w="12474"/>
      </w:tblGrid>
      <w:tr w:rsidR="001865FB" w:rsidRPr="003A2F86" w14:paraId="4E5CEDE0" w14:textId="77777777" w:rsidTr="007C1631">
        <w:trPr>
          <w:jc w:val="center"/>
        </w:trPr>
        <w:tc>
          <w:tcPr>
            <w:tcW w:w="14454" w:type="dxa"/>
            <w:gridSpan w:val="3"/>
            <w:vAlign w:val="center"/>
          </w:tcPr>
          <w:p w14:paraId="6109C1CE" w14:textId="0682DFBD" w:rsidR="001865FB" w:rsidRPr="003A2F86" w:rsidRDefault="001865FB" w:rsidP="00B223BA">
            <w:pPr>
              <w:spacing w:after="0" w:line="240" w:lineRule="auto"/>
              <w:jc w:val="center"/>
              <w:rPr>
                <w:rFonts w:ascii="Arial" w:eastAsia="Times New Roman" w:hAnsi="Arial" w:cs="Arial"/>
                <w:b/>
                <w:i/>
                <w:iCs/>
                <w:sz w:val="18"/>
                <w:szCs w:val="18"/>
              </w:rPr>
            </w:pPr>
            <w:r w:rsidRPr="003A2F86">
              <w:rPr>
                <w:rFonts w:ascii="Arial" w:eastAsia="Times New Roman" w:hAnsi="Arial" w:cs="Arial"/>
                <w:b/>
                <w:i/>
                <w:iCs/>
                <w:sz w:val="18"/>
                <w:szCs w:val="18"/>
              </w:rPr>
              <w:t xml:space="preserve">Prihod od pomoći – </w:t>
            </w:r>
            <w:r w:rsidRPr="003A2F86">
              <w:rPr>
                <w:rFonts w:ascii="Arial" w:eastAsia="Times New Roman" w:hAnsi="Arial" w:cs="Arial"/>
                <w:b/>
                <w:i/>
                <w:iCs/>
                <w:sz w:val="18"/>
                <w:szCs w:val="18"/>
                <w:highlight w:val="lightGray"/>
              </w:rPr>
              <w:t>državni proračun</w:t>
            </w:r>
            <w:r w:rsidRPr="003A2F86">
              <w:rPr>
                <w:rFonts w:ascii="Arial" w:eastAsia="Times New Roman" w:hAnsi="Arial" w:cs="Arial"/>
                <w:b/>
                <w:i/>
                <w:iCs/>
                <w:sz w:val="18"/>
                <w:szCs w:val="18"/>
              </w:rPr>
              <w:t xml:space="preserve"> (</w:t>
            </w:r>
            <w:r w:rsidRPr="003A2F86">
              <w:rPr>
                <w:rFonts w:ascii="Arial" w:eastAsia="Times New Roman" w:hAnsi="Arial" w:cs="Arial"/>
                <w:b/>
                <w:i/>
                <w:iCs/>
                <w:color w:val="FF0000"/>
                <w:sz w:val="18"/>
                <w:szCs w:val="18"/>
                <w:u w:val="single"/>
              </w:rPr>
              <w:t>dio</w:t>
            </w:r>
            <w:r w:rsidRPr="003A2F86">
              <w:rPr>
                <w:rFonts w:ascii="Arial" w:eastAsia="Times New Roman" w:hAnsi="Arial" w:cs="Arial"/>
                <w:b/>
                <w:i/>
                <w:iCs/>
                <w:color w:val="FF0000"/>
                <w:sz w:val="18"/>
                <w:szCs w:val="18"/>
              </w:rPr>
              <w:t xml:space="preserve"> 63</w:t>
            </w:r>
            <w:r w:rsidRPr="003A2F86">
              <w:rPr>
                <w:rFonts w:ascii="Arial" w:eastAsia="Times New Roman" w:hAnsi="Arial" w:cs="Arial"/>
                <w:b/>
                <w:i/>
                <w:iCs/>
                <w:sz w:val="18"/>
                <w:szCs w:val="18"/>
              </w:rPr>
              <w:t xml:space="preserve">, </w:t>
            </w:r>
            <w:r w:rsidRPr="003A2F86">
              <w:rPr>
                <w:rFonts w:ascii="Arial" w:eastAsia="Times New Roman" w:hAnsi="Arial" w:cs="Arial"/>
                <w:b/>
                <w:i/>
                <w:iCs/>
                <w:sz w:val="18"/>
                <w:szCs w:val="18"/>
                <w:highlight w:val="lightGray"/>
              </w:rPr>
              <w:t xml:space="preserve">tekuće </w:t>
            </w:r>
            <w:r w:rsidR="00FD1DF9" w:rsidRPr="003A2F86">
              <w:rPr>
                <w:rFonts w:ascii="Arial" w:eastAsia="Times New Roman" w:hAnsi="Arial" w:cs="Arial"/>
                <w:b/>
                <w:i/>
                <w:iCs/>
                <w:sz w:val="18"/>
                <w:szCs w:val="18"/>
                <w:highlight w:val="lightGray"/>
              </w:rPr>
              <w:t xml:space="preserve">i kapitalne </w:t>
            </w:r>
            <w:r w:rsidRPr="003A2F86">
              <w:rPr>
                <w:rFonts w:ascii="Arial" w:eastAsia="Times New Roman" w:hAnsi="Arial" w:cs="Arial"/>
                <w:b/>
                <w:i/>
                <w:iCs/>
                <w:sz w:val="18"/>
                <w:szCs w:val="18"/>
                <w:highlight w:val="lightGray"/>
              </w:rPr>
              <w:t>pomoći</w:t>
            </w:r>
            <w:r w:rsidRPr="003A2F86">
              <w:rPr>
                <w:rFonts w:ascii="Arial" w:eastAsia="Times New Roman" w:hAnsi="Arial" w:cs="Arial"/>
                <w:b/>
                <w:i/>
                <w:iCs/>
                <w:sz w:val="18"/>
                <w:szCs w:val="18"/>
              </w:rPr>
              <w:t>)</w:t>
            </w:r>
          </w:p>
        </w:tc>
      </w:tr>
      <w:tr w:rsidR="001865FB" w:rsidRPr="003A2F86" w14:paraId="15271820" w14:textId="77777777" w:rsidTr="007C1631">
        <w:trPr>
          <w:jc w:val="center"/>
        </w:trPr>
        <w:tc>
          <w:tcPr>
            <w:tcW w:w="704" w:type="dxa"/>
            <w:vAlign w:val="center"/>
          </w:tcPr>
          <w:p w14:paraId="5E1E95BF" w14:textId="77777777" w:rsidR="001865FB" w:rsidRPr="007C1631" w:rsidRDefault="001865FB" w:rsidP="00B223BA">
            <w:pPr>
              <w:spacing w:after="0" w:line="240" w:lineRule="auto"/>
              <w:jc w:val="center"/>
              <w:rPr>
                <w:rFonts w:ascii="Arial" w:eastAsia="Times New Roman" w:hAnsi="Arial" w:cs="Arial"/>
                <w:b/>
                <w:i/>
                <w:iCs/>
                <w:sz w:val="14"/>
                <w:szCs w:val="14"/>
              </w:rPr>
            </w:pPr>
            <w:r w:rsidRPr="007C1631">
              <w:rPr>
                <w:rFonts w:ascii="Arial" w:eastAsia="Times New Roman" w:hAnsi="Arial" w:cs="Arial"/>
                <w:b/>
                <w:i/>
                <w:iCs/>
                <w:sz w:val="14"/>
                <w:szCs w:val="14"/>
              </w:rPr>
              <w:t>Godina</w:t>
            </w:r>
          </w:p>
        </w:tc>
        <w:tc>
          <w:tcPr>
            <w:tcW w:w="1276" w:type="dxa"/>
            <w:vAlign w:val="center"/>
          </w:tcPr>
          <w:p w14:paraId="5663A564" w14:textId="77777777" w:rsidR="001865FB" w:rsidRPr="003A2F86" w:rsidRDefault="001865FB" w:rsidP="00B223BA">
            <w:pPr>
              <w:spacing w:after="0" w:line="240" w:lineRule="auto"/>
              <w:jc w:val="center"/>
              <w:rPr>
                <w:rFonts w:ascii="Arial" w:eastAsia="Times New Roman" w:hAnsi="Arial" w:cs="Arial"/>
                <w:b/>
                <w:i/>
                <w:iCs/>
                <w:sz w:val="18"/>
                <w:szCs w:val="18"/>
              </w:rPr>
            </w:pPr>
            <w:r w:rsidRPr="003A2F86">
              <w:rPr>
                <w:rFonts w:ascii="Arial" w:eastAsia="Times New Roman" w:hAnsi="Arial" w:cs="Arial"/>
                <w:b/>
                <w:i/>
                <w:iCs/>
                <w:sz w:val="18"/>
                <w:szCs w:val="18"/>
              </w:rPr>
              <w:t xml:space="preserve">Iznos </w:t>
            </w:r>
            <w:r w:rsidRPr="003A2F86">
              <w:rPr>
                <w:rFonts w:ascii="Arial" w:eastAsia="Times New Roman" w:hAnsi="Arial" w:cs="Arial"/>
                <w:b/>
                <w:i/>
                <w:iCs/>
                <w:color w:val="FF0000"/>
                <w:sz w:val="18"/>
                <w:szCs w:val="18"/>
              </w:rPr>
              <w:t>(€)</w:t>
            </w:r>
          </w:p>
        </w:tc>
        <w:tc>
          <w:tcPr>
            <w:tcW w:w="12474" w:type="dxa"/>
            <w:vAlign w:val="center"/>
          </w:tcPr>
          <w:p w14:paraId="47CCC179" w14:textId="77777777" w:rsidR="001865FB" w:rsidRPr="003A2F86" w:rsidRDefault="001865FB" w:rsidP="00B223BA">
            <w:pPr>
              <w:spacing w:after="0" w:line="240" w:lineRule="auto"/>
              <w:jc w:val="center"/>
              <w:rPr>
                <w:rFonts w:ascii="Arial" w:eastAsia="Times New Roman" w:hAnsi="Arial" w:cs="Arial"/>
                <w:b/>
                <w:i/>
                <w:iCs/>
                <w:sz w:val="18"/>
                <w:szCs w:val="18"/>
              </w:rPr>
            </w:pPr>
            <w:r w:rsidRPr="003A2F86">
              <w:rPr>
                <w:rFonts w:ascii="Arial" w:eastAsia="Times New Roman" w:hAnsi="Arial" w:cs="Arial"/>
                <w:b/>
                <w:i/>
                <w:iCs/>
                <w:sz w:val="18"/>
                <w:szCs w:val="18"/>
              </w:rPr>
              <w:t>Obrazloženje</w:t>
            </w:r>
          </w:p>
        </w:tc>
      </w:tr>
      <w:tr w:rsidR="001079DF" w:rsidRPr="003A2F86" w14:paraId="04120EED" w14:textId="77777777" w:rsidTr="007C1631">
        <w:trPr>
          <w:jc w:val="center"/>
        </w:trPr>
        <w:tc>
          <w:tcPr>
            <w:tcW w:w="704" w:type="dxa"/>
            <w:tcBorders>
              <w:top w:val="nil"/>
              <w:left w:val="single" w:sz="8" w:space="0" w:color="000000"/>
              <w:bottom w:val="single" w:sz="8" w:space="0" w:color="000000"/>
              <w:right w:val="single" w:sz="8" w:space="0" w:color="000000"/>
            </w:tcBorders>
            <w:vAlign w:val="center"/>
          </w:tcPr>
          <w:p w14:paraId="17D53CF3" w14:textId="7E4FE4EA" w:rsidR="001079DF" w:rsidRPr="003A2F86" w:rsidRDefault="001079DF" w:rsidP="001079DF">
            <w:pPr>
              <w:spacing w:after="0" w:line="240" w:lineRule="auto"/>
              <w:jc w:val="center"/>
              <w:rPr>
                <w:rFonts w:ascii="Arial" w:eastAsia="Times New Roman" w:hAnsi="Arial" w:cs="Arial"/>
                <w:i/>
                <w:iCs/>
                <w:sz w:val="16"/>
                <w:szCs w:val="16"/>
              </w:rPr>
            </w:pPr>
            <w:r w:rsidRPr="003A2F86">
              <w:rPr>
                <w:rFonts w:ascii="Arial" w:hAnsi="Arial" w:cs="Arial"/>
                <w:i/>
                <w:iCs/>
                <w:sz w:val="16"/>
                <w:szCs w:val="16"/>
              </w:rPr>
              <w:t>2012.</w:t>
            </w:r>
          </w:p>
        </w:tc>
        <w:tc>
          <w:tcPr>
            <w:tcW w:w="1276" w:type="dxa"/>
            <w:tcBorders>
              <w:top w:val="nil"/>
              <w:left w:val="nil"/>
              <w:bottom w:val="single" w:sz="8" w:space="0" w:color="000000"/>
              <w:right w:val="single" w:sz="8" w:space="0" w:color="000000"/>
            </w:tcBorders>
            <w:vAlign w:val="center"/>
          </w:tcPr>
          <w:p w14:paraId="6A8FE807" w14:textId="5F871829" w:rsidR="001079DF" w:rsidRPr="003A2F86" w:rsidRDefault="001079DF" w:rsidP="001079DF">
            <w:pPr>
              <w:spacing w:after="0" w:line="240" w:lineRule="auto"/>
              <w:jc w:val="right"/>
              <w:rPr>
                <w:rFonts w:ascii="Arial" w:eastAsia="Times New Roman" w:hAnsi="Arial" w:cs="Arial"/>
                <w:i/>
                <w:iCs/>
                <w:sz w:val="16"/>
                <w:szCs w:val="16"/>
              </w:rPr>
            </w:pPr>
            <w:r w:rsidRPr="003A2F86">
              <w:rPr>
                <w:rFonts w:ascii="Arial" w:hAnsi="Arial" w:cs="Arial"/>
                <w:i/>
                <w:iCs/>
                <w:sz w:val="16"/>
                <w:szCs w:val="16"/>
              </w:rPr>
              <w:t>1.941.343,95</w:t>
            </w:r>
          </w:p>
        </w:tc>
        <w:tc>
          <w:tcPr>
            <w:tcW w:w="12474" w:type="dxa"/>
            <w:tcBorders>
              <w:top w:val="nil"/>
              <w:left w:val="nil"/>
              <w:bottom w:val="single" w:sz="8" w:space="0" w:color="000000"/>
              <w:right w:val="single" w:sz="8" w:space="0" w:color="000000"/>
            </w:tcBorders>
            <w:vAlign w:val="center"/>
          </w:tcPr>
          <w:p w14:paraId="2DC545C3" w14:textId="6D2A86D0" w:rsidR="001079DF" w:rsidRPr="003A2F86" w:rsidRDefault="001079DF" w:rsidP="001079DF">
            <w:pPr>
              <w:spacing w:after="0" w:line="240" w:lineRule="auto"/>
              <w:jc w:val="both"/>
              <w:rPr>
                <w:rFonts w:ascii="Arial" w:eastAsia="Times New Roman" w:hAnsi="Arial" w:cs="Arial"/>
                <w:sz w:val="16"/>
                <w:szCs w:val="16"/>
              </w:rPr>
            </w:pPr>
            <w:r w:rsidRPr="003A2F86">
              <w:rPr>
                <w:rFonts w:ascii="Arial" w:hAnsi="Arial" w:cs="Arial"/>
                <w:sz w:val="16"/>
                <w:szCs w:val="16"/>
              </w:rPr>
              <w:t>u skladu s odredbama Zakona o područjima posebne državne skrbi (Narodne novine 86/08 i 57/11)</w:t>
            </w:r>
          </w:p>
        </w:tc>
      </w:tr>
      <w:tr w:rsidR="001079DF" w:rsidRPr="003A2F86" w14:paraId="3035688B" w14:textId="77777777" w:rsidTr="007C1631">
        <w:trPr>
          <w:jc w:val="center"/>
        </w:trPr>
        <w:tc>
          <w:tcPr>
            <w:tcW w:w="704" w:type="dxa"/>
            <w:tcBorders>
              <w:top w:val="nil"/>
              <w:left w:val="single" w:sz="8" w:space="0" w:color="000000"/>
              <w:bottom w:val="single" w:sz="8" w:space="0" w:color="000000"/>
              <w:right w:val="single" w:sz="8" w:space="0" w:color="000000"/>
            </w:tcBorders>
            <w:vAlign w:val="center"/>
          </w:tcPr>
          <w:p w14:paraId="43D35FB5" w14:textId="1CFA709D" w:rsidR="001079DF" w:rsidRPr="003A2F86" w:rsidRDefault="001079DF" w:rsidP="001079DF">
            <w:pPr>
              <w:spacing w:after="0" w:line="240" w:lineRule="auto"/>
              <w:jc w:val="center"/>
              <w:rPr>
                <w:rFonts w:ascii="Arial" w:eastAsia="Times New Roman" w:hAnsi="Arial" w:cs="Arial"/>
                <w:i/>
                <w:iCs/>
                <w:sz w:val="16"/>
                <w:szCs w:val="16"/>
              </w:rPr>
            </w:pPr>
            <w:r w:rsidRPr="003A2F86">
              <w:rPr>
                <w:rFonts w:ascii="Arial" w:hAnsi="Arial" w:cs="Arial"/>
                <w:i/>
                <w:iCs/>
                <w:sz w:val="16"/>
                <w:szCs w:val="16"/>
              </w:rPr>
              <w:t>2013.</w:t>
            </w:r>
          </w:p>
        </w:tc>
        <w:tc>
          <w:tcPr>
            <w:tcW w:w="1276" w:type="dxa"/>
            <w:tcBorders>
              <w:top w:val="nil"/>
              <w:left w:val="nil"/>
              <w:bottom w:val="single" w:sz="8" w:space="0" w:color="000000"/>
              <w:right w:val="single" w:sz="8" w:space="0" w:color="000000"/>
            </w:tcBorders>
            <w:vAlign w:val="center"/>
          </w:tcPr>
          <w:p w14:paraId="1F0B72C8" w14:textId="0CAA9B9A" w:rsidR="001079DF" w:rsidRPr="003A2F86" w:rsidRDefault="001079DF" w:rsidP="001079DF">
            <w:pPr>
              <w:spacing w:after="0" w:line="240" w:lineRule="auto"/>
              <w:jc w:val="right"/>
              <w:rPr>
                <w:rFonts w:ascii="Arial" w:eastAsia="Times New Roman" w:hAnsi="Arial" w:cs="Arial"/>
                <w:i/>
                <w:iCs/>
                <w:sz w:val="16"/>
                <w:szCs w:val="16"/>
              </w:rPr>
            </w:pPr>
            <w:r w:rsidRPr="003A2F86">
              <w:rPr>
                <w:rFonts w:ascii="Arial" w:hAnsi="Arial" w:cs="Arial"/>
                <w:i/>
                <w:iCs/>
                <w:sz w:val="16"/>
                <w:szCs w:val="16"/>
              </w:rPr>
              <w:t>1.387.541,71</w:t>
            </w:r>
          </w:p>
        </w:tc>
        <w:tc>
          <w:tcPr>
            <w:tcW w:w="12474" w:type="dxa"/>
            <w:tcBorders>
              <w:top w:val="nil"/>
              <w:left w:val="nil"/>
              <w:bottom w:val="single" w:sz="8" w:space="0" w:color="000000"/>
              <w:right w:val="single" w:sz="8" w:space="0" w:color="000000"/>
            </w:tcBorders>
            <w:vAlign w:val="center"/>
          </w:tcPr>
          <w:p w14:paraId="153F15D6" w14:textId="537BCE39" w:rsidR="001079DF" w:rsidRPr="003A2F86" w:rsidRDefault="001079DF" w:rsidP="001079DF">
            <w:pPr>
              <w:spacing w:after="0" w:line="240" w:lineRule="auto"/>
              <w:jc w:val="both"/>
              <w:rPr>
                <w:rFonts w:ascii="Arial" w:eastAsia="Times New Roman" w:hAnsi="Arial" w:cs="Arial"/>
                <w:sz w:val="16"/>
                <w:szCs w:val="16"/>
              </w:rPr>
            </w:pPr>
            <w:r w:rsidRPr="003A2F86">
              <w:rPr>
                <w:rFonts w:ascii="Arial" w:hAnsi="Arial" w:cs="Arial"/>
                <w:sz w:val="16"/>
                <w:szCs w:val="16"/>
              </w:rPr>
              <w:t>u skladu s odredbama Zakona o područjima posebne državne skrbi (Narodne novine 86/08 i 57/11)</w:t>
            </w:r>
          </w:p>
        </w:tc>
      </w:tr>
      <w:tr w:rsidR="001079DF" w:rsidRPr="003A2F86" w14:paraId="68875EDA" w14:textId="77777777" w:rsidTr="007C1631">
        <w:trPr>
          <w:jc w:val="center"/>
        </w:trPr>
        <w:tc>
          <w:tcPr>
            <w:tcW w:w="704" w:type="dxa"/>
            <w:tcBorders>
              <w:top w:val="nil"/>
              <w:left w:val="single" w:sz="8" w:space="0" w:color="000000"/>
              <w:bottom w:val="single" w:sz="8" w:space="0" w:color="000000"/>
              <w:right w:val="single" w:sz="8" w:space="0" w:color="000000"/>
            </w:tcBorders>
            <w:vAlign w:val="center"/>
          </w:tcPr>
          <w:p w14:paraId="0BF86003" w14:textId="44CA75DE" w:rsidR="001079DF" w:rsidRPr="003A2F86" w:rsidRDefault="001079DF" w:rsidP="001079DF">
            <w:pPr>
              <w:spacing w:after="0" w:line="240" w:lineRule="auto"/>
              <w:jc w:val="center"/>
              <w:rPr>
                <w:rFonts w:ascii="Arial" w:eastAsia="Times New Roman" w:hAnsi="Arial" w:cs="Arial"/>
                <w:i/>
                <w:iCs/>
                <w:sz w:val="16"/>
                <w:szCs w:val="16"/>
              </w:rPr>
            </w:pPr>
            <w:r w:rsidRPr="003A2F86">
              <w:rPr>
                <w:rFonts w:ascii="Arial" w:hAnsi="Arial" w:cs="Arial"/>
                <w:i/>
                <w:iCs/>
                <w:sz w:val="16"/>
                <w:szCs w:val="16"/>
              </w:rPr>
              <w:t>2014.</w:t>
            </w:r>
          </w:p>
        </w:tc>
        <w:tc>
          <w:tcPr>
            <w:tcW w:w="1276" w:type="dxa"/>
            <w:tcBorders>
              <w:top w:val="nil"/>
              <w:left w:val="nil"/>
              <w:bottom w:val="single" w:sz="8" w:space="0" w:color="000000"/>
              <w:right w:val="single" w:sz="8" w:space="0" w:color="000000"/>
            </w:tcBorders>
            <w:vAlign w:val="center"/>
          </w:tcPr>
          <w:p w14:paraId="5287F974" w14:textId="1877BDEC" w:rsidR="001079DF" w:rsidRPr="003A2F86" w:rsidRDefault="001079DF" w:rsidP="001079DF">
            <w:pPr>
              <w:spacing w:after="0" w:line="240" w:lineRule="auto"/>
              <w:jc w:val="right"/>
              <w:rPr>
                <w:rFonts w:ascii="Arial" w:eastAsia="Times New Roman" w:hAnsi="Arial" w:cs="Arial"/>
                <w:i/>
                <w:iCs/>
                <w:sz w:val="16"/>
                <w:szCs w:val="16"/>
              </w:rPr>
            </w:pPr>
            <w:r w:rsidRPr="003A2F86">
              <w:rPr>
                <w:rFonts w:ascii="Arial" w:hAnsi="Arial" w:cs="Arial"/>
                <w:i/>
                <w:iCs/>
                <w:sz w:val="16"/>
                <w:szCs w:val="16"/>
              </w:rPr>
              <w:t>921.905,50</w:t>
            </w:r>
          </w:p>
        </w:tc>
        <w:tc>
          <w:tcPr>
            <w:tcW w:w="12474" w:type="dxa"/>
            <w:tcBorders>
              <w:top w:val="nil"/>
              <w:left w:val="nil"/>
              <w:bottom w:val="single" w:sz="8" w:space="0" w:color="000000"/>
              <w:right w:val="single" w:sz="8" w:space="0" w:color="000000"/>
            </w:tcBorders>
            <w:vAlign w:val="center"/>
          </w:tcPr>
          <w:p w14:paraId="4579B0FB" w14:textId="40637B59" w:rsidR="001079DF" w:rsidRPr="003A2F86" w:rsidRDefault="001079DF" w:rsidP="001079DF">
            <w:pPr>
              <w:spacing w:after="0" w:line="240" w:lineRule="auto"/>
              <w:jc w:val="both"/>
              <w:rPr>
                <w:rFonts w:ascii="Arial" w:eastAsia="Times New Roman" w:hAnsi="Arial" w:cs="Arial"/>
                <w:sz w:val="16"/>
                <w:szCs w:val="16"/>
              </w:rPr>
            </w:pPr>
            <w:r w:rsidRPr="003A2F86">
              <w:rPr>
                <w:rFonts w:ascii="Arial" w:hAnsi="Arial" w:cs="Arial"/>
                <w:sz w:val="16"/>
                <w:szCs w:val="16"/>
              </w:rPr>
              <w:t>u skladu s odredbama Zakona o područjima posebne državne skrbi (Narodne novine 86/08 i 57/11)</w:t>
            </w:r>
          </w:p>
        </w:tc>
      </w:tr>
      <w:tr w:rsidR="001079DF" w:rsidRPr="003A2F86" w14:paraId="12972161" w14:textId="77777777" w:rsidTr="007C1631">
        <w:trPr>
          <w:jc w:val="center"/>
        </w:trPr>
        <w:tc>
          <w:tcPr>
            <w:tcW w:w="704" w:type="dxa"/>
            <w:tcBorders>
              <w:top w:val="nil"/>
              <w:left w:val="single" w:sz="8" w:space="0" w:color="000000"/>
              <w:bottom w:val="single" w:sz="8" w:space="0" w:color="000000"/>
              <w:right w:val="single" w:sz="8" w:space="0" w:color="000000"/>
            </w:tcBorders>
            <w:vAlign w:val="center"/>
          </w:tcPr>
          <w:p w14:paraId="2C4ED0F3" w14:textId="187F70BE" w:rsidR="001079DF" w:rsidRPr="003A2F86" w:rsidRDefault="001079DF" w:rsidP="001079DF">
            <w:pPr>
              <w:spacing w:after="0" w:line="240" w:lineRule="auto"/>
              <w:jc w:val="center"/>
              <w:rPr>
                <w:rFonts w:ascii="Arial" w:eastAsia="Times New Roman" w:hAnsi="Arial" w:cs="Arial"/>
                <w:i/>
                <w:iCs/>
                <w:sz w:val="16"/>
                <w:szCs w:val="16"/>
              </w:rPr>
            </w:pPr>
            <w:r w:rsidRPr="003A2F86">
              <w:rPr>
                <w:rFonts w:ascii="Arial" w:hAnsi="Arial" w:cs="Arial"/>
                <w:i/>
                <w:iCs/>
                <w:sz w:val="16"/>
                <w:szCs w:val="16"/>
              </w:rPr>
              <w:t>2015.</w:t>
            </w:r>
          </w:p>
        </w:tc>
        <w:tc>
          <w:tcPr>
            <w:tcW w:w="1276" w:type="dxa"/>
            <w:tcBorders>
              <w:top w:val="nil"/>
              <w:left w:val="nil"/>
              <w:bottom w:val="single" w:sz="8" w:space="0" w:color="000000"/>
              <w:right w:val="single" w:sz="8" w:space="0" w:color="000000"/>
            </w:tcBorders>
            <w:vAlign w:val="center"/>
          </w:tcPr>
          <w:p w14:paraId="66B2C880" w14:textId="771F8EE2" w:rsidR="001079DF" w:rsidRPr="003A2F86" w:rsidRDefault="001079DF" w:rsidP="001079DF">
            <w:pPr>
              <w:spacing w:after="0" w:line="240" w:lineRule="auto"/>
              <w:jc w:val="right"/>
              <w:rPr>
                <w:rFonts w:ascii="Arial" w:eastAsia="Times New Roman" w:hAnsi="Arial" w:cs="Arial"/>
                <w:i/>
                <w:iCs/>
                <w:sz w:val="16"/>
                <w:szCs w:val="16"/>
              </w:rPr>
            </w:pPr>
            <w:r w:rsidRPr="003A2F86">
              <w:rPr>
                <w:rFonts w:ascii="Arial" w:hAnsi="Arial" w:cs="Arial"/>
                <w:i/>
                <w:iCs/>
                <w:sz w:val="16"/>
                <w:szCs w:val="16"/>
              </w:rPr>
              <w:t>1.338.238,77</w:t>
            </w:r>
          </w:p>
        </w:tc>
        <w:tc>
          <w:tcPr>
            <w:tcW w:w="12474" w:type="dxa"/>
            <w:tcBorders>
              <w:top w:val="nil"/>
              <w:left w:val="nil"/>
              <w:bottom w:val="single" w:sz="8" w:space="0" w:color="000000"/>
              <w:right w:val="single" w:sz="8" w:space="0" w:color="000000"/>
            </w:tcBorders>
            <w:vAlign w:val="center"/>
          </w:tcPr>
          <w:p w14:paraId="73C2C89D" w14:textId="3719D5CA" w:rsidR="001079DF" w:rsidRPr="003A2F86" w:rsidRDefault="001079DF" w:rsidP="001079DF">
            <w:pPr>
              <w:spacing w:after="0" w:line="240" w:lineRule="auto"/>
              <w:jc w:val="both"/>
              <w:rPr>
                <w:rFonts w:ascii="Arial" w:eastAsia="Times New Roman" w:hAnsi="Arial" w:cs="Arial"/>
                <w:sz w:val="16"/>
                <w:szCs w:val="16"/>
              </w:rPr>
            </w:pPr>
            <w:r w:rsidRPr="003A2F86">
              <w:rPr>
                <w:rFonts w:ascii="Arial" w:hAnsi="Arial" w:cs="Arial"/>
                <w:sz w:val="16"/>
                <w:szCs w:val="16"/>
              </w:rPr>
              <w:t>u skladu s odredbama Zakona o izvršavanju proračuna RH za tekuću godinu i članka 38. Zakona o regionalnom razvoju RH (NN 147/14 – na snazi od 1.1.2015.) Pravo na ostvarivanje pomoći u prijelaznom razdoblju najdulje 3 godine.</w:t>
            </w:r>
          </w:p>
        </w:tc>
      </w:tr>
      <w:tr w:rsidR="001079DF" w:rsidRPr="003A2F86" w14:paraId="1C4067A4" w14:textId="77777777" w:rsidTr="007C1631">
        <w:trPr>
          <w:jc w:val="center"/>
        </w:trPr>
        <w:tc>
          <w:tcPr>
            <w:tcW w:w="704" w:type="dxa"/>
            <w:tcBorders>
              <w:top w:val="nil"/>
              <w:left w:val="single" w:sz="8" w:space="0" w:color="000000"/>
              <w:bottom w:val="single" w:sz="8" w:space="0" w:color="000000"/>
              <w:right w:val="single" w:sz="8" w:space="0" w:color="000000"/>
            </w:tcBorders>
            <w:vAlign w:val="center"/>
          </w:tcPr>
          <w:p w14:paraId="4AE840E8" w14:textId="1EC95491" w:rsidR="001079DF" w:rsidRPr="003A2F86" w:rsidRDefault="001079DF" w:rsidP="001079DF">
            <w:pPr>
              <w:spacing w:after="0" w:line="240" w:lineRule="auto"/>
              <w:jc w:val="center"/>
              <w:rPr>
                <w:rFonts w:ascii="Arial" w:eastAsia="Times New Roman" w:hAnsi="Arial" w:cs="Arial"/>
                <w:i/>
                <w:iCs/>
                <w:sz w:val="16"/>
                <w:szCs w:val="16"/>
              </w:rPr>
            </w:pPr>
            <w:r w:rsidRPr="003A2F86">
              <w:rPr>
                <w:rFonts w:ascii="Arial" w:hAnsi="Arial" w:cs="Arial"/>
                <w:i/>
                <w:iCs/>
                <w:sz w:val="16"/>
                <w:szCs w:val="16"/>
              </w:rPr>
              <w:t>2016.</w:t>
            </w:r>
          </w:p>
        </w:tc>
        <w:tc>
          <w:tcPr>
            <w:tcW w:w="1276" w:type="dxa"/>
            <w:tcBorders>
              <w:top w:val="nil"/>
              <w:left w:val="nil"/>
              <w:bottom w:val="single" w:sz="8" w:space="0" w:color="000000"/>
              <w:right w:val="single" w:sz="8" w:space="0" w:color="000000"/>
            </w:tcBorders>
            <w:vAlign w:val="center"/>
          </w:tcPr>
          <w:p w14:paraId="4B0EE6BD" w14:textId="0E728EAC" w:rsidR="001079DF" w:rsidRPr="003A2F86" w:rsidRDefault="001079DF" w:rsidP="001079DF">
            <w:pPr>
              <w:spacing w:after="0" w:line="240" w:lineRule="auto"/>
              <w:jc w:val="right"/>
              <w:rPr>
                <w:rFonts w:ascii="Arial" w:eastAsia="Times New Roman" w:hAnsi="Arial" w:cs="Arial"/>
                <w:i/>
                <w:iCs/>
                <w:sz w:val="16"/>
                <w:szCs w:val="16"/>
              </w:rPr>
            </w:pPr>
            <w:r w:rsidRPr="003A2F86">
              <w:rPr>
                <w:rFonts w:ascii="Arial" w:hAnsi="Arial" w:cs="Arial"/>
                <w:i/>
                <w:iCs/>
                <w:sz w:val="16"/>
                <w:szCs w:val="16"/>
              </w:rPr>
              <w:t>743.465,92</w:t>
            </w:r>
          </w:p>
        </w:tc>
        <w:tc>
          <w:tcPr>
            <w:tcW w:w="12474" w:type="dxa"/>
            <w:tcBorders>
              <w:top w:val="nil"/>
              <w:left w:val="nil"/>
              <w:bottom w:val="single" w:sz="8" w:space="0" w:color="000000"/>
              <w:right w:val="single" w:sz="8" w:space="0" w:color="000000"/>
            </w:tcBorders>
            <w:vAlign w:val="center"/>
          </w:tcPr>
          <w:p w14:paraId="15B6AE10" w14:textId="0922F67A" w:rsidR="001079DF" w:rsidRPr="003A2F86" w:rsidRDefault="001079DF" w:rsidP="001079DF">
            <w:pPr>
              <w:spacing w:after="0" w:line="240" w:lineRule="auto"/>
              <w:jc w:val="both"/>
              <w:rPr>
                <w:rFonts w:ascii="Arial" w:eastAsia="Times New Roman" w:hAnsi="Arial" w:cs="Arial"/>
                <w:sz w:val="16"/>
                <w:szCs w:val="16"/>
              </w:rPr>
            </w:pPr>
            <w:r w:rsidRPr="003A2F86">
              <w:rPr>
                <w:rFonts w:ascii="Arial" w:hAnsi="Arial" w:cs="Arial"/>
                <w:sz w:val="16"/>
                <w:szCs w:val="16"/>
              </w:rPr>
              <w:t xml:space="preserve">u skladu sa Zakonom o izvršavanju proračuna RH za tekuću godinu i članka 38. Zakona o regionalnom razvoju RH (NN 147/14) </w:t>
            </w:r>
          </w:p>
        </w:tc>
      </w:tr>
      <w:tr w:rsidR="001079DF" w:rsidRPr="003A2F86" w14:paraId="7932FAC6" w14:textId="77777777" w:rsidTr="007C1631">
        <w:trPr>
          <w:jc w:val="center"/>
        </w:trPr>
        <w:tc>
          <w:tcPr>
            <w:tcW w:w="704" w:type="dxa"/>
            <w:tcBorders>
              <w:top w:val="nil"/>
              <w:left w:val="single" w:sz="8" w:space="0" w:color="000000"/>
              <w:bottom w:val="single" w:sz="8" w:space="0" w:color="000000"/>
              <w:right w:val="single" w:sz="8" w:space="0" w:color="000000"/>
            </w:tcBorders>
            <w:vAlign w:val="center"/>
          </w:tcPr>
          <w:p w14:paraId="6DD4D185" w14:textId="14863B5F" w:rsidR="001079DF" w:rsidRPr="003A2F86" w:rsidRDefault="001079DF" w:rsidP="001079DF">
            <w:pPr>
              <w:spacing w:after="0" w:line="240" w:lineRule="auto"/>
              <w:jc w:val="center"/>
              <w:rPr>
                <w:rFonts w:ascii="Arial" w:eastAsia="Times New Roman" w:hAnsi="Arial" w:cs="Arial"/>
                <w:i/>
                <w:iCs/>
                <w:sz w:val="16"/>
                <w:szCs w:val="16"/>
              </w:rPr>
            </w:pPr>
            <w:r w:rsidRPr="003A2F86">
              <w:rPr>
                <w:rFonts w:ascii="Arial" w:hAnsi="Arial" w:cs="Arial"/>
                <w:i/>
                <w:iCs/>
                <w:sz w:val="16"/>
                <w:szCs w:val="16"/>
              </w:rPr>
              <w:t>2017.</w:t>
            </w:r>
          </w:p>
        </w:tc>
        <w:tc>
          <w:tcPr>
            <w:tcW w:w="1276" w:type="dxa"/>
            <w:tcBorders>
              <w:top w:val="nil"/>
              <w:left w:val="nil"/>
              <w:bottom w:val="single" w:sz="8" w:space="0" w:color="000000"/>
              <w:right w:val="single" w:sz="8" w:space="0" w:color="000000"/>
            </w:tcBorders>
            <w:vAlign w:val="center"/>
          </w:tcPr>
          <w:p w14:paraId="1876DE72" w14:textId="30321888" w:rsidR="001079DF" w:rsidRPr="003A2F86" w:rsidRDefault="001079DF" w:rsidP="001079DF">
            <w:pPr>
              <w:spacing w:after="0" w:line="240" w:lineRule="auto"/>
              <w:jc w:val="right"/>
              <w:rPr>
                <w:rFonts w:ascii="Arial" w:eastAsia="Times New Roman" w:hAnsi="Arial" w:cs="Arial"/>
                <w:i/>
                <w:iCs/>
                <w:sz w:val="16"/>
                <w:szCs w:val="16"/>
              </w:rPr>
            </w:pPr>
            <w:r w:rsidRPr="003A2F86">
              <w:rPr>
                <w:rFonts w:ascii="Arial" w:hAnsi="Arial" w:cs="Arial"/>
                <w:i/>
                <w:iCs/>
                <w:sz w:val="16"/>
                <w:szCs w:val="16"/>
              </w:rPr>
              <w:t>614.110,29</w:t>
            </w:r>
          </w:p>
        </w:tc>
        <w:tc>
          <w:tcPr>
            <w:tcW w:w="12474" w:type="dxa"/>
            <w:tcBorders>
              <w:top w:val="nil"/>
              <w:left w:val="nil"/>
              <w:bottom w:val="single" w:sz="8" w:space="0" w:color="000000"/>
              <w:right w:val="single" w:sz="8" w:space="0" w:color="000000"/>
            </w:tcBorders>
            <w:vAlign w:val="center"/>
          </w:tcPr>
          <w:p w14:paraId="23406A19" w14:textId="1CE9ACBD" w:rsidR="001079DF" w:rsidRPr="003A2F86" w:rsidRDefault="001079DF" w:rsidP="001079DF">
            <w:pPr>
              <w:spacing w:after="0" w:line="240" w:lineRule="auto"/>
              <w:jc w:val="both"/>
              <w:rPr>
                <w:rFonts w:ascii="Arial" w:eastAsia="Times New Roman" w:hAnsi="Arial" w:cs="Arial"/>
                <w:sz w:val="16"/>
                <w:szCs w:val="16"/>
              </w:rPr>
            </w:pPr>
            <w:r w:rsidRPr="003A2F86">
              <w:rPr>
                <w:rFonts w:ascii="Arial" w:hAnsi="Arial" w:cs="Arial"/>
                <w:sz w:val="16"/>
                <w:szCs w:val="16"/>
              </w:rPr>
              <w:t>U skladu s odredbama Zakona o izvršavanju proračuna RH za tekuću godinu i članka 38. Zakona o regionalnom razvoju RH (NN 147/14.) ukupno ostvareno 446.079,63 €.  Pored navedenog, u skladu s odredbama Zakona o izvršavanju proračuna RH za tekuću godinu, ostvareni su prihodi 168.030,69 € kao iznos sredstava koji jedinice ostvaruju u visini manje ostvarenih prihoda od poreza na dohodak zbog izmjene zakonskih propisa.</w:t>
            </w:r>
          </w:p>
        </w:tc>
      </w:tr>
      <w:tr w:rsidR="001079DF" w:rsidRPr="003A2F86" w14:paraId="691FBDF6" w14:textId="77777777" w:rsidTr="007C1631">
        <w:trPr>
          <w:jc w:val="center"/>
        </w:trPr>
        <w:tc>
          <w:tcPr>
            <w:tcW w:w="704" w:type="dxa"/>
            <w:tcBorders>
              <w:top w:val="nil"/>
              <w:left w:val="single" w:sz="8" w:space="0" w:color="000000"/>
              <w:bottom w:val="single" w:sz="8" w:space="0" w:color="000000"/>
              <w:right w:val="single" w:sz="8" w:space="0" w:color="000000"/>
            </w:tcBorders>
            <w:vAlign w:val="center"/>
          </w:tcPr>
          <w:p w14:paraId="33CB78E3" w14:textId="1C81FCAE" w:rsidR="001079DF" w:rsidRPr="003A2F86" w:rsidRDefault="001079DF" w:rsidP="001079DF">
            <w:pPr>
              <w:spacing w:after="0" w:line="240" w:lineRule="auto"/>
              <w:jc w:val="center"/>
              <w:rPr>
                <w:rFonts w:ascii="Arial" w:eastAsia="Times New Roman" w:hAnsi="Arial" w:cs="Arial"/>
                <w:i/>
                <w:iCs/>
                <w:sz w:val="16"/>
                <w:szCs w:val="16"/>
                <w:lang w:eastAsia="en-US"/>
              </w:rPr>
            </w:pPr>
            <w:r w:rsidRPr="003A2F86">
              <w:rPr>
                <w:rFonts w:ascii="Arial" w:hAnsi="Arial" w:cs="Arial"/>
                <w:i/>
                <w:iCs/>
                <w:sz w:val="16"/>
                <w:szCs w:val="16"/>
              </w:rPr>
              <w:t>2018.</w:t>
            </w:r>
          </w:p>
        </w:tc>
        <w:tc>
          <w:tcPr>
            <w:tcW w:w="1276" w:type="dxa"/>
            <w:tcBorders>
              <w:top w:val="nil"/>
              <w:left w:val="nil"/>
              <w:bottom w:val="single" w:sz="8" w:space="0" w:color="000000"/>
              <w:right w:val="single" w:sz="8" w:space="0" w:color="000000"/>
            </w:tcBorders>
            <w:vAlign w:val="center"/>
          </w:tcPr>
          <w:p w14:paraId="1FE97927" w14:textId="1A3153C8" w:rsidR="001079DF" w:rsidRPr="003A2F86" w:rsidRDefault="001079DF" w:rsidP="001079DF">
            <w:pPr>
              <w:spacing w:after="0" w:line="240" w:lineRule="auto"/>
              <w:jc w:val="right"/>
              <w:rPr>
                <w:rFonts w:ascii="Arial" w:eastAsia="Times New Roman" w:hAnsi="Arial" w:cs="Arial"/>
                <w:i/>
                <w:iCs/>
                <w:sz w:val="16"/>
                <w:szCs w:val="16"/>
              </w:rPr>
            </w:pPr>
            <w:r w:rsidRPr="003A2F86">
              <w:rPr>
                <w:rFonts w:ascii="Arial" w:hAnsi="Arial" w:cs="Arial"/>
                <w:i/>
                <w:iCs/>
                <w:sz w:val="16"/>
                <w:szCs w:val="16"/>
              </w:rPr>
              <w:t>84.647,28</w:t>
            </w:r>
          </w:p>
        </w:tc>
        <w:tc>
          <w:tcPr>
            <w:tcW w:w="12474" w:type="dxa"/>
            <w:tcBorders>
              <w:top w:val="nil"/>
              <w:left w:val="nil"/>
              <w:bottom w:val="single" w:sz="8" w:space="0" w:color="000000"/>
              <w:right w:val="single" w:sz="8" w:space="0" w:color="000000"/>
            </w:tcBorders>
            <w:vAlign w:val="center"/>
          </w:tcPr>
          <w:p w14:paraId="5AD99B18" w14:textId="368BD77E" w:rsidR="001079DF" w:rsidRPr="003A2F86" w:rsidRDefault="001079DF" w:rsidP="001079DF">
            <w:pPr>
              <w:spacing w:after="0" w:line="240" w:lineRule="auto"/>
              <w:jc w:val="both"/>
              <w:rPr>
                <w:rFonts w:ascii="Arial" w:eastAsia="Times New Roman" w:hAnsi="Arial" w:cs="Arial"/>
                <w:sz w:val="16"/>
                <w:szCs w:val="16"/>
              </w:rPr>
            </w:pPr>
            <w:r w:rsidRPr="003A2F86">
              <w:rPr>
                <w:rFonts w:ascii="Arial" w:hAnsi="Arial" w:cs="Arial"/>
                <w:sz w:val="16"/>
                <w:szCs w:val="16"/>
              </w:rPr>
              <w:t>U skladu s odredbama Zakona o izvršavanju proračuna RH za 2017. godinu, ostvareni su u siječnju 2018. prihodi u iznosu 38.401,53 € kao nenamjenska pomoć na ime manje ostvarenog poreza na dohodak u 2017. u odnosu na isto razdoblje 2016. godine - kompenzacijska mjera pomoći radi izmjene poreznih propisa iz područja oporezivanja poreza na dohodak. Također, ostvarena je pomoć u iznosu 46.245,75 € sukladno članku 15. stavak 1. Zakona o financiranju JLP(R)S (NN 127/17) kao razlika manje ostvarenih prihoda od poreza na dohodak u prvom tromjesečju 2018. godine u odnosu na isto razdoblje 2017. godine (za 2019. i 2020 . u visini 100%, za 2021. u visini 60%, a za 2022. u visini 30% pomoći utvrđenih Zakonom radi izmjene poreznih propisa iz područja oporezivanja poreza na dohodak).</w:t>
            </w:r>
          </w:p>
        </w:tc>
      </w:tr>
      <w:tr w:rsidR="001079DF" w:rsidRPr="003A2F86" w14:paraId="5382576B" w14:textId="77777777" w:rsidTr="007C1631">
        <w:trPr>
          <w:jc w:val="center"/>
        </w:trPr>
        <w:tc>
          <w:tcPr>
            <w:tcW w:w="704" w:type="dxa"/>
            <w:tcBorders>
              <w:top w:val="nil"/>
              <w:left w:val="single" w:sz="8" w:space="0" w:color="000000"/>
              <w:bottom w:val="single" w:sz="8" w:space="0" w:color="000000"/>
              <w:right w:val="single" w:sz="8" w:space="0" w:color="000000"/>
            </w:tcBorders>
            <w:vAlign w:val="center"/>
          </w:tcPr>
          <w:p w14:paraId="01C762D5" w14:textId="22454121" w:rsidR="001079DF" w:rsidRPr="003A2F86" w:rsidRDefault="001079DF" w:rsidP="001079DF">
            <w:pPr>
              <w:spacing w:after="0" w:line="240" w:lineRule="auto"/>
              <w:jc w:val="center"/>
              <w:rPr>
                <w:rFonts w:ascii="Arial" w:eastAsia="Times New Roman" w:hAnsi="Arial" w:cs="Arial"/>
                <w:iCs/>
                <w:sz w:val="16"/>
                <w:szCs w:val="16"/>
                <w:lang w:eastAsia="en-US"/>
              </w:rPr>
            </w:pPr>
            <w:r w:rsidRPr="003A2F86">
              <w:rPr>
                <w:rFonts w:ascii="Arial" w:hAnsi="Arial" w:cs="Arial"/>
                <w:sz w:val="16"/>
                <w:szCs w:val="16"/>
              </w:rPr>
              <w:t>2019.</w:t>
            </w:r>
          </w:p>
        </w:tc>
        <w:tc>
          <w:tcPr>
            <w:tcW w:w="1276" w:type="dxa"/>
            <w:tcBorders>
              <w:top w:val="nil"/>
              <w:left w:val="nil"/>
              <w:bottom w:val="single" w:sz="8" w:space="0" w:color="000000"/>
              <w:right w:val="single" w:sz="8" w:space="0" w:color="000000"/>
            </w:tcBorders>
            <w:vAlign w:val="center"/>
          </w:tcPr>
          <w:p w14:paraId="59273E66" w14:textId="18AA5229" w:rsidR="001079DF" w:rsidRPr="003A2F86" w:rsidRDefault="001079DF" w:rsidP="001079DF">
            <w:pPr>
              <w:spacing w:after="0" w:line="240" w:lineRule="auto"/>
              <w:jc w:val="right"/>
              <w:rPr>
                <w:rFonts w:ascii="Arial" w:eastAsia="Times New Roman" w:hAnsi="Arial" w:cs="Arial"/>
                <w:iCs/>
                <w:sz w:val="16"/>
                <w:szCs w:val="16"/>
                <w:lang w:eastAsia="en-US"/>
              </w:rPr>
            </w:pPr>
            <w:r w:rsidRPr="003A2F86">
              <w:rPr>
                <w:rFonts w:ascii="Arial" w:hAnsi="Arial" w:cs="Arial"/>
                <w:i/>
                <w:iCs/>
                <w:sz w:val="16"/>
                <w:szCs w:val="16"/>
              </w:rPr>
              <w:t>271.879,00</w:t>
            </w:r>
          </w:p>
        </w:tc>
        <w:tc>
          <w:tcPr>
            <w:tcW w:w="12474" w:type="dxa"/>
            <w:tcBorders>
              <w:top w:val="nil"/>
              <w:left w:val="nil"/>
              <w:bottom w:val="single" w:sz="8" w:space="0" w:color="000000"/>
              <w:right w:val="single" w:sz="8" w:space="0" w:color="000000"/>
            </w:tcBorders>
            <w:vAlign w:val="center"/>
          </w:tcPr>
          <w:p w14:paraId="184BA2E5" w14:textId="77777777" w:rsidR="001079DF" w:rsidRPr="003A2F86" w:rsidRDefault="001079DF" w:rsidP="001079DF">
            <w:pPr>
              <w:spacing w:after="0" w:line="240" w:lineRule="auto"/>
              <w:jc w:val="both"/>
              <w:rPr>
                <w:rFonts w:ascii="Arial" w:hAnsi="Arial" w:cs="Arial"/>
                <w:sz w:val="16"/>
                <w:szCs w:val="16"/>
              </w:rPr>
            </w:pPr>
            <w:r w:rsidRPr="003A2F86">
              <w:rPr>
                <w:rFonts w:ascii="Arial" w:hAnsi="Arial" w:cs="Arial"/>
                <w:sz w:val="16"/>
                <w:szCs w:val="16"/>
              </w:rPr>
              <w:t>Tekuće pomoći iz državnog proračuna u iznosu 125.884,20 € i to:</w:t>
            </w:r>
          </w:p>
          <w:p w14:paraId="56551BF2" w14:textId="77777777" w:rsidR="001079DF" w:rsidRPr="003A2F86" w:rsidRDefault="001079DF" w:rsidP="001079DF">
            <w:pPr>
              <w:spacing w:after="0" w:line="240" w:lineRule="auto"/>
              <w:jc w:val="both"/>
              <w:rPr>
                <w:rFonts w:ascii="Arial" w:hAnsi="Arial" w:cs="Arial"/>
                <w:sz w:val="16"/>
                <w:szCs w:val="16"/>
              </w:rPr>
            </w:pPr>
            <w:r w:rsidRPr="003A2F86">
              <w:rPr>
                <w:rFonts w:ascii="Arial" w:hAnsi="Arial" w:cs="Arial"/>
                <w:sz w:val="16"/>
                <w:szCs w:val="16"/>
              </w:rPr>
              <w:t>- pomoći u skladu s odredbama članka 15. Zakona o financiranju JLP(R)S u iznosu 44.224,66 €.</w:t>
            </w:r>
          </w:p>
          <w:p w14:paraId="7BAF36BB" w14:textId="2898F1F3" w:rsidR="001079DF" w:rsidRPr="003A2F86" w:rsidRDefault="001079DF" w:rsidP="001079DF">
            <w:pPr>
              <w:spacing w:after="0" w:line="240" w:lineRule="auto"/>
              <w:jc w:val="both"/>
              <w:rPr>
                <w:rFonts w:ascii="Arial" w:hAnsi="Arial" w:cs="Arial"/>
                <w:sz w:val="16"/>
                <w:szCs w:val="16"/>
              </w:rPr>
            </w:pPr>
            <w:r w:rsidRPr="003A2F86">
              <w:rPr>
                <w:rFonts w:ascii="Arial" w:hAnsi="Arial" w:cs="Arial"/>
                <w:sz w:val="16"/>
                <w:szCs w:val="16"/>
              </w:rPr>
              <w:t>- pomoći Ministarstva za demografiju, obitelj, mlade i socijalnu politiku u iznosu 61.563,13 € tj. udio 15% sredstava iz državnog proračuna po ugovoru o dodjeli bespovratnih sredstava za projekt „Otvorimo južna vrata Lijepe naše“ (ukupno doznačeno 348.857,65 €, a u obvezama za primljeni predujam iskazano koncem godine 219.313,42 €), te</w:t>
            </w:r>
          </w:p>
          <w:p w14:paraId="7E5B3CD1" w14:textId="77777777" w:rsidR="001079DF" w:rsidRPr="003A2F86" w:rsidRDefault="001079DF" w:rsidP="001079DF">
            <w:pPr>
              <w:spacing w:after="0" w:line="240" w:lineRule="auto"/>
              <w:jc w:val="both"/>
              <w:rPr>
                <w:rFonts w:ascii="Arial" w:hAnsi="Arial" w:cs="Arial"/>
                <w:sz w:val="16"/>
                <w:szCs w:val="16"/>
              </w:rPr>
            </w:pPr>
            <w:r w:rsidRPr="003A2F86">
              <w:rPr>
                <w:rFonts w:ascii="Arial" w:hAnsi="Arial" w:cs="Arial"/>
                <w:sz w:val="16"/>
                <w:szCs w:val="16"/>
              </w:rPr>
              <w:t>- sredstva za provedbu izbora za EU parlament u iznosu 20.096,41 €.</w:t>
            </w:r>
          </w:p>
          <w:p w14:paraId="5659F113" w14:textId="518BE19E" w:rsidR="001079DF" w:rsidRPr="003A2F86" w:rsidRDefault="001079DF" w:rsidP="001079DF">
            <w:pPr>
              <w:spacing w:after="0" w:line="240" w:lineRule="auto"/>
              <w:jc w:val="both"/>
              <w:rPr>
                <w:rFonts w:ascii="Arial" w:eastAsia="Times New Roman" w:hAnsi="Arial" w:cs="Arial"/>
                <w:iCs/>
                <w:sz w:val="16"/>
                <w:szCs w:val="16"/>
                <w:lang w:eastAsia="en-US"/>
              </w:rPr>
            </w:pPr>
            <w:r w:rsidRPr="003A2F86">
              <w:rPr>
                <w:rFonts w:ascii="Arial" w:hAnsi="Arial" w:cs="Arial"/>
                <w:sz w:val="16"/>
                <w:szCs w:val="16"/>
              </w:rPr>
              <w:t xml:space="preserve">Kapitalne pomoći u iznosu 145.994,80 € i to za uređenje plaže Tiha 29.530,82 € i za uređenje dječjih igrališta 116.463,97 €. </w:t>
            </w:r>
          </w:p>
        </w:tc>
      </w:tr>
      <w:tr w:rsidR="001079DF" w:rsidRPr="003A2F86" w14:paraId="59A47DB1" w14:textId="77777777" w:rsidTr="007C1631">
        <w:trPr>
          <w:jc w:val="center"/>
        </w:trPr>
        <w:tc>
          <w:tcPr>
            <w:tcW w:w="704" w:type="dxa"/>
            <w:tcBorders>
              <w:top w:val="nil"/>
              <w:left w:val="single" w:sz="8" w:space="0" w:color="000000"/>
              <w:bottom w:val="single" w:sz="8" w:space="0" w:color="000000"/>
              <w:right w:val="single" w:sz="8" w:space="0" w:color="000000"/>
            </w:tcBorders>
            <w:vAlign w:val="center"/>
          </w:tcPr>
          <w:p w14:paraId="4A6084D4" w14:textId="3034AC82" w:rsidR="001079DF" w:rsidRPr="003A2F86" w:rsidRDefault="001079DF" w:rsidP="001079DF">
            <w:pPr>
              <w:spacing w:after="0" w:line="240" w:lineRule="auto"/>
              <w:jc w:val="center"/>
              <w:rPr>
                <w:rFonts w:ascii="Arial" w:eastAsia="Times New Roman" w:hAnsi="Arial" w:cs="Arial"/>
                <w:i/>
                <w:iCs/>
                <w:sz w:val="16"/>
                <w:szCs w:val="16"/>
              </w:rPr>
            </w:pPr>
            <w:r w:rsidRPr="003A2F86">
              <w:rPr>
                <w:rFonts w:ascii="Arial" w:hAnsi="Arial" w:cs="Arial"/>
                <w:i/>
                <w:iCs/>
                <w:sz w:val="16"/>
                <w:szCs w:val="16"/>
              </w:rPr>
              <w:t>2020.</w:t>
            </w:r>
          </w:p>
        </w:tc>
        <w:tc>
          <w:tcPr>
            <w:tcW w:w="1276" w:type="dxa"/>
            <w:tcBorders>
              <w:top w:val="nil"/>
              <w:left w:val="nil"/>
              <w:bottom w:val="single" w:sz="8" w:space="0" w:color="000000"/>
              <w:right w:val="single" w:sz="8" w:space="0" w:color="000000"/>
            </w:tcBorders>
            <w:vAlign w:val="center"/>
          </w:tcPr>
          <w:p w14:paraId="73D49480" w14:textId="51535B67" w:rsidR="001079DF" w:rsidRPr="003A2F86" w:rsidRDefault="001079DF" w:rsidP="001079DF">
            <w:pPr>
              <w:spacing w:after="0" w:line="240" w:lineRule="auto"/>
              <w:jc w:val="right"/>
              <w:rPr>
                <w:rFonts w:ascii="Arial" w:hAnsi="Arial" w:cs="Arial"/>
                <w:sz w:val="16"/>
                <w:szCs w:val="16"/>
              </w:rPr>
            </w:pPr>
            <w:r w:rsidRPr="003A2F86">
              <w:rPr>
                <w:rFonts w:ascii="Arial" w:hAnsi="Arial" w:cs="Arial"/>
                <w:i/>
                <w:iCs/>
                <w:sz w:val="16"/>
                <w:szCs w:val="16"/>
              </w:rPr>
              <w:t>223.819,39</w:t>
            </w:r>
          </w:p>
        </w:tc>
        <w:tc>
          <w:tcPr>
            <w:tcW w:w="12474" w:type="dxa"/>
            <w:tcBorders>
              <w:top w:val="nil"/>
              <w:left w:val="nil"/>
              <w:bottom w:val="single" w:sz="8" w:space="0" w:color="000000"/>
              <w:right w:val="single" w:sz="8" w:space="0" w:color="000000"/>
            </w:tcBorders>
            <w:vAlign w:val="center"/>
          </w:tcPr>
          <w:p w14:paraId="1AA8D29C" w14:textId="6F593EB8" w:rsidR="001079DF" w:rsidRPr="003A2F86" w:rsidRDefault="001079DF" w:rsidP="001079DF">
            <w:pPr>
              <w:spacing w:after="0" w:line="240" w:lineRule="auto"/>
              <w:rPr>
                <w:rFonts w:ascii="Arial" w:hAnsi="Arial" w:cs="Arial"/>
                <w:sz w:val="16"/>
                <w:szCs w:val="16"/>
              </w:rPr>
            </w:pPr>
            <w:r w:rsidRPr="003A2F86">
              <w:rPr>
                <w:rFonts w:ascii="Arial" w:hAnsi="Arial" w:cs="Arial"/>
                <w:sz w:val="16"/>
                <w:szCs w:val="16"/>
              </w:rPr>
              <w:t xml:space="preserve">Tekuće pomoći iz državnog proračuna (63311) i to: </w:t>
            </w:r>
            <w:r w:rsidRPr="003A2F86">
              <w:rPr>
                <w:rFonts w:ascii="Arial" w:hAnsi="Arial" w:cs="Arial"/>
                <w:sz w:val="16"/>
                <w:szCs w:val="16"/>
              </w:rPr>
              <w:br/>
              <w:t xml:space="preserve">a) pomoći u skladu s odredbama članka 24. Zakona o izvršavanju državnog proračuna RH za 2020. godinu (NN 117/19, 32/20, 42/20, 58/20) u iznosu 131.958,94 € u visini procijenjenog gubitka prihoda na temelju povećanja osobnog odbitka sukladno izmjenama propisa kojima je uređeno oporezivanje dohotka od 1.1.2020. (osnovni osobni odbitak 2019. iznosio 3.800 kn/504,35 €, a 2020. iznosi 4.000 kn/530,89 €), </w:t>
            </w:r>
            <w:r w:rsidRPr="003A2F86">
              <w:rPr>
                <w:rFonts w:ascii="Arial" w:hAnsi="Arial" w:cs="Arial"/>
                <w:sz w:val="16"/>
                <w:szCs w:val="16"/>
              </w:rPr>
              <w:br/>
              <w:t xml:space="preserve">b) pomoći u skladu s odredbama članka 15. Zakona o financiranju JLP(R)S u iznosu 44.224,66 € (izmjena poreznih propisa 2017.godine), </w:t>
            </w:r>
            <w:r w:rsidRPr="003A2F86">
              <w:rPr>
                <w:rFonts w:ascii="Arial" w:hAnsi="Arial" w:cs="Arial"/>
                <w:sz w:val="16"/>
                <w:szCs w:val="16"/>
              </w:rPr>
              <w:br/>
              <w:t>c) pomoći Ministarstva za demografiju, obitelj, mlade i socijalnu politiku u iznosu 21.400,63 € tj. udio 15% sredstava iz državnog proračuna u sredstvima po ugovoru o dodjeli bespovratnih sredstava za provedbu projekta „Otvorimo južna vrata Lijepe naše“,  d) sredstva za provedbu izbora za predsjednika RH u iznosu 26.235,15 €</w:t>
            </w:r>
          </w:p>
        </w:tc>
      </w:tr>
      <w:tr w:rsidR="001079DF" w:rsidRPr="003A2F86" w14:paraId="07410127" w14:textId="77777777" w:rsidTr="007C1631">
        <w:trPr>
          <w:jc w:val="center"/>
        </w:trPr>
        <w:tc>
          <w:tcPr>
            <w:tcW w:w="704" w:type="dxa"/>
            <w:tcBorders>
              <w:top w:val="nil"/>
              <w:left w:val="single" w:sz="8" w:space="0" w:color="000000"/>
              <w:bottom w:val="single" w:sz="8" w:space="0" w:color="000000"/>
              <w:right w:val="single" w:sz="8" w:space="0" w:color="000000"/>
            </w:tcBorders>
            <w:vAlign w:val="center"/>
          </w:tcPr>
          <w:p w14:paraId="1676D308" w14:textId="0BAD2A34" w:rsidR="001079DF" w:rsidRPr="003A2F86" w:rsidRDefault="001079DF" w:rsidP="001079DF">
            <w:pPr>
              <w:spacing w:after="0" w:line="240" w:lineRule="auto"/>
              <w:jc w:val="center"/>
              <w:rPr>
                <w:rFonts w:ascii="Arial" w:eastAsia="Times New Roman" w:hAnsi="Arial" w:cs="Arial"/>
                <w:i/>
                <w:iCs/>
                <w:sz w:val="16"/>
                <w:szCs w:val="16"/>
              </w:rPr>
            </w:pPr>
            <w:r w:rsidRPr="003A2F86">
              <w:rPr>
                <w:rFonts w:ascii="Arial" w:hAnsi="Arial" w:cs="Arial"/>
                <w:i/>
                <w:iCs/>
                <w:sz w:val="16"/>
                <w:szCs w:val="16"/>
              </w:rPr>
              <w:t>2021.</w:t>
            </w:r>
          </w:p>
        </w:tc>
        <w:tc>
          <w:tcPr>
            <w:tcW w:w="1276" w:type="dxa"/>
            <w:tcBorders>
              <w:top w:val="nil"/>
              <w:left w:val="nil"/>
              <w:bottom w:val="single" w:sz="8" w:space="0" w:color="000000"/>
              <w:right w:val="single" w:sz="8" w:space="0" w:color="000000"/>
            </w:tcBorders>
            <w:vAlign w:val="center"/>
          </w:tcPr>
          <w:p w14:paraId="678AAAAD" w14:textId="54D40C59" w:rsidR="001079DF" w:rsidRPr="003A2F86" w:rsidRDefault="001079DF" w:rsidP="001079DF">
            <w:pPr>
              <w:spacing w:after="0" w:line="240" w:lineRule="auto"/>
              <w:jc w:val="right"/>
              <w:rPr>
                <w:rFonts w:ascii="Arial" w:hAnsi="Arial" w:cs="Arial"/>
                <w:sz w:val="16"/>
                <w:szCs w:val="16"/>
              </w:rPr>
            </w:pPr>
            <w:r w:rsidRPr="003A2F86">
              <w:rPr>
                <w:rFonts w:ascii="Arial" w:hAnsi="Arial" w:cs="Arial"/>
                <w:i/>
                <w:iCs/>
                <w:sz w:val="16"/>
                <w:szCs w:val="16"/>
              </w:rPr>
              <w:t>117.482,20</w:t>
            </w:r>
          </w:p>
        </w:tc>
        <w:tc>
          <w:tcPr>
            <w:tcW w:w="12474" w:type="dxa"/>
            <w:tcBorders>
              <w:top w:val="nil"/>
              <w:left w:val="nil"/>
              <w:bottom w:val="single" w:sz="8" w:space="0" w:color="000000"/>
              <w:right w:val="single" w:sz="8" w:space="0" w:color="000000"/>
            </w:tcBorders>
            <w:vAlign w:val="center"/>
          </w:tcPr>
          <w:p w14:paraId="622636AA" w14:textId="77777777" w:rsidR="001079DF" w:rsidRPr="003A2F86" w:rsidRDefault="001079DF" w:rsidP="001079DF">
            <w:pPr>
              <w:spacing w:after="0" w:line="240" w:lineRule="auto"/>
              <w:rPr>
                <w:rFonts w:ascii="Arial" w:hAnsi="Arial" w:cs="Arial"/>
                <w:sz w:val="16"/>
                <w:szCs w:val="16"/>
              </w:rPr>
            </w:pPr>
            <w:r w:rsidRPr="003A2F86">
              <w:rPr>
                <w:rFonts w:ascii="Arial" w:hAnsi="Arial" w:cs="Arial"/>
                <w:sz w:val="16"/>
                <w:szCs w:val="16"/>
              </w:rPr>
              <w:t xml:space="preserve">Tekuće pomoći iz državnog proračuna (63311) i to: </w:t>
            </w:r>
            <w:r w:rsidRPr="003A2F86">
              <w:rPr>
                <w:rFonts w:ascii="Arial" w:hAnsi="Arial" w:cs="Arial"/>
                <w:sz w:val="16"/>
                <w:szCs w:val="16"/>
              </w:rPr>
              <w:br/>
              <w:t>a) pomoći u skladu s odredbama 15. stavak 2. Zakona o financiranju JLP(R)S (Narodne novine 127/17) u iznosu 13.267,40 €, kao razlika manje ostvarenih prihoda od poreza na dohodak u 2018. godine u odnosu na isto razdoblje 2017. godine (izmjena poreznih propisa 2017. godine, za 2021. u visini 60% pomoći utvrđenih Zakonom radi izmjene poreznih propisa iz područja oporezivanja poreza na dohodak).</w:t>
            </w:r>
            <w:r w:rsidRPr="003A2F86">
              <w:rPr>
                <w:rFonts w:ascii="Arial" w:hAnsi="Arial" w:cs="Arial"/>
                <w:sz w:val="16"/>
                <w:szCs w:val="16"/>
              </w:rPr>
              <w:br/>
              <w:t>b) pomoći Ministarstva za demografiju, obitelj, mlade i socijalnu politiku u iznosu 13.457,99 € tj. udio 15% sredstava iz državnog proračuna u sredstvima po ugovoru o dodjeli bespovratnih sredstava za provedbu projekta „Otvorimo južna vrata Lijepe naše“.</w:t>
            </w:r>
            <w:r w:rsidRPr="003A2F86">
              <w:rPr>
                <w:rFonts w:ascii="Arial" w:hAnsi="Arial" w:cs="Arial"/>
                <w:sz w:val="16"/>
                <w:szCs w:val="16"/>
              </w:rPr>
              <w:br/>
              <w:t xml:space="preserve">Kapitalne pomoći iz državnog proračuna (63321) i to:                                                                                                              </w:t>
            </w:r>
          </w:p>
          <w:p w14:paraId="143D1AFC" w14:textId="345C7F44" w:rsidR="001079DF" w:rsidRPr="003A2F86" w:rsidRDefault="001079DF" w:rsidP="001079DF">
            <w:pPr>
              <w:spacing w:after="0" w:line="240" w:lineRule="auto"/>
              <w:rPr>
                <w:rFonts w:ascii="Arial" w:eastAsia="Times New Roman" w:hAnsi="Arial" w:cs="Arial"/>
                <w:sz w:val="16"/>
                <w:szCs w:val="16"/>
                <w:lang w:eastAsia="en-US"/>
              </w:rPr>
            </w:pPr>
            <w:r w:rsidRPr="003A2F86">
              <w:rPr>
                <w:rFonts w:ascii="Arial" w:hAnsi="Arial" w:cs="Arial"/>
                <w:sz w:val="16"/>
                <w:szCs w:val="16"/>
              </w:rPr>
              <w:t xml:space="preserve"> a) pomoći (Agencija za plaćanja u poljoprivredi, ribarstvu i ruralnom razvoju) u iznosu 2.417,01 € - udio 15% sredstava iz državnog proračuna u sredstvima po ugovoru o dodjeli bespovratnih sredstava za provedbu projekta izrada izmjena i dopuna prostornog plana.                                                                                                                                                                  b) pomoći Ministarstva regionalnoga razvoja i fondova Europske unije u iznosu 75.072,41 € za sufinanciranje provedbe EU projekta izgradnje reciklažnoga dvorišta (odnosno 50% učešća vlastitih sredstava Općine).                                             </w:t>
            </w:r>
          </w:p>
        </w:tc>
      </w:tr>
      <w:tr w:rsidR="001079DF" w:rsidRPr="003A2F86" w14:paraId="5CE3A623" w14:textId="77777777" w:rsidTr="007C1631">
        <w:trPr>
          <w:jc w:val="center"/>
        </w:trPr>
        <w:tc>
          <w:tcPr>
            <w:tcW w:w="704" w:type="dxa"/>
            <w:tcBorders>
              <w:top w:val="nil"/>
              <w:left w:val="single" w:sz="8" w:space="0" w:color="000000"/>
              <w:bottom w:val="single" w:sz="8" w:space="0" w:color="000000"/>
              <w:right w:val="single" w:sz="8" w:space="0" w:color="000000"/>
            </w:tcBorders>
            <w:vAlign w:val="center"/>
          </w:tcPr>
          <w:p w14:paraId="63D5F335" w14:textId="0013EE4F" w:rsidR="001079DF" w:rsidRPr="003A2F86" w:rsidRDefault="001079DF" w:rsidP="001079DF">
            <w:pPr>
              <w:spacing w:after="0" w:line="240" w:lineRule="auto"/>
              <w:jc w:val="center"/>
              <w:rPr>
                <w:rFonts w:ascii="Arial" w:eastAsia="Times New Roman" w:hAnsi="Arial" w:cs="Arial"/>
                <w:i/>
                <w:iCs/>
                <w:sz w:val="16"/>
                <w:szCs w:val="16"/>
              </w:rPr>
            </w:pPr>
            <w:r w:rsidRPr="003A2F86">
              <w:rPr>
                <w:rFonts w:ascii="Arial" w:hAnsi="Arial" w:cs="Arial"/>
                <w:i/>
                <w:iCs/>
                <w:sz w:val="16"/>
                <w:szCs w:val="16"/>
              </w:rPr>
              <w:t>2022.</w:t>
            </w:r>
          </w:p>
        </w:tc>
        <w:tc>
          <w:tcPr>
            <w:tcW w:w="1276" w:type="dxa"/>
            <w:tcBorders>
              <w:top w:val="nil"/>
              <w:left w:val="nil"/>
              <w:bottom w:val="single" w:sz="8" w:space="0" w:color="000000"/>
              <w:right w:val="single" w:sz="8" w:space="0" w:color="000000"/>
            </w:tcBorders>
            <w:vAlign w:val="center"/>
          </w:tcPr>
          <w:p w14:paraId="21E02161" w14:textId="6CD052CF" w:rsidR="001079DF" w:rsidRPr="003A2F86" w:rsidRDefault="001079DF" w:rsidP="001079DF">
            <w:pPr>
              <w:spacing w:after="0" w:line="240" w:lineRule="auto"/>
              <w:jc w:val="right"/>
              <w:rPr>
                <w:rFonts w:ascii="Arial" w:hAnsi="Arial" w:cs="Arial"/>
                <w:sz w:val="16"/>
                <w:szCs w:val="16"/>
              </w:rPr>
            </w:pPr>
            <w:r w:rsidRPr="003A2F86">
              <w:rPr>
                <w:rFonts w:ascii="Arial" w:hAnsi="Arial" w:cs="Arial"/>
                <w:i/>
                <w:iCs/>
                <w:sz w:val="16"/>
                <w:szCs w:val="16"/>
              </w:rPr>
              <w:t>93.787,21</w:t>
            </w:r>
          </w:p>
        </w:tc>
        <w:tc>
          <w:tcPr>
            <w:tcW w:w="12474" w:type="dxa"/>
            <w:tcBorders>
              <w:top w:val="nil"/>
              <w:left w:val="nil"/>
              <w:bottom w:val="single" w:sz="8" w:space="0" w:color="000000"/>
              <w:right w:val="single" w:sz="8" w:space="0" w:color="000000"/>
            </w:tcBorders>
            <w:vAlign w:val="center"/>
          </w:tcPr>
          <w:p w14:paraId="2FF1ED86" w14:textId="77777777" w:rsidR="00A6443B" w:rsidRPr="003A2F86" w:rsidRDefault="001079DF" w:rsidP="001079DF">
            <w:pPr>
              <w:spacing w:after="0" w:line="240" w:lineRule="auto"/>
              <w:rPr>
                <w:rFonts w:ascii="Arial" w:hAnsi="Arial" w:cs="Arial"/>
                <w:sz w:val="16"/>
                <w:szCs w:val="16"/>
              </w:rPr>
            </w:pPr>
            <w:r w:rsidRPr="003A2F86">
              <w:rPr>
                <w:rFonts w:ascii="Arial" w:hAnsi="Arial" w:cs="Arial"/>
                <w:sz w:val="16"/>
                <w:szCs w:val="16"/>
              </w:rPr>
              <w:t xml:space="preserve">Tekuće pomoći iz državnog proračuna (63311) i to: </w:t>
            </w:r>
            <w:r w:rsidRPr="003A2F86">
              <w:rPr>
                <w:rFonts w:ascii="Arial" w:hAnsi="Arial" w:cs="Arial"/>
                <w:sz w:val="16"/>
                <w:szCs w:val="16"/>
              </w:rPr>
              <w:br/>
              <w:t>a) pomoći u skladu s odredbama 15. stavak 2. Zakona o financiranju JLP(R)S (Narodne novine 127/17) u iznosu 13.267,40 €, kao razlika manje ostvarenih prihoda od poreza na dohodak u 2018. godine u odnosu na isto razdoblje 2017. godine (izmjena poreznih propisa 2017. godine, za 2022. u visini 30% pomoći utvrđenih Zakonom radi izmjene poreznih propisa iz područja oporezivanja poreza na dohodak).</w:t>
            </w:r>
            <w:r w:rsidRPr="003A2F86">
              <w:rPr>
                <w:rFonts w:ascii="Arial" w:hAnsi="Arial" w:cs="Arial"/>
                <w:sz w:val="16"/>
                <w:szCs w:val="16"/>
              </w:rPr>
              <w:br/>
            </w:r>
            <w:r w:rsidRPr="003A2F86">
              <w:rPr>
                <w:rFonts w:ascii="Arial" w:hAnsi="Arial" w:cs="Arial"/>
                <w:sz w:val="16"/>
                <w:szCs w:val="16"/>
              </w:rPr>
              <w:lastRenderedPageBreak/>
              <w:t>b) pomoći Ministarstva za demografiju, obitelj, mlade i socijalnu politiku u iznosu 24.084,74 € tj. udio 15% sredstava iz državnog proračuna u sredstvima po ugovoru o dodjeli bespovratnih sredstava za provedbu projekta „Otvorimo južna vrata Lijepe naše“.</w:t>
            </w:r>
          </w:p>
          <w:p w14:paraId="0217A4EF" w14:textId="5C07BD31" w:rsidR="001079DF" w:rsidRPr="003A2F86" w:rsidRDefault="001079DF" w:rsidP="001079DF">
            <w:pPr>
              <w:spacing w:after="0" w:line="240" w:lineRule="auto"/>
              <w:rPr>
                <w:rFonts w:ascii="Arial" w:hAnsi="Arial" w:cs="Arial"/>
                <w:sz w:val="16"/>
                <w:szCs w:val="16"/>
              </w:rPr>
            </w:pPr>
            <w:r w:rsidRPr="003A2F86">
              <w:rPr>
                <w:rFonts w:ascii="Arial" w:hAnsi="Arial" w:cs="Arial"/>
                <w:sz w:val="16"/>
                <w:szCs w:val="16"/>
              </w:rPr>
              <w:t xml:space="preserve">Kapitalne pomoći iz državnog proračuna (63321) i to:                                                                                                                         </w:t>
            </w:r>
          </w:p>
          <w:p w14:paraId="25FF3C1D" w14:textId="77777777" w:rsidR="001079DF" w:rsidRPr="003A2F86" w:rsidRDefault="001079DF" w:rsidP="001079DF">
            <w:pPr>
              <w:spacing w:after="0" w:line="240" w:lineRule="auto"/>
              <w:rPr>
                <w:rFonts w:ascii="Arial" w:hAnsi="Arial" w:cs="Arial"/>
                <w:sz w:val="16"/>
                <w:szCs w:val="16"/>
              </w:rPr>
            </w:pPr>
            <w:r w:rsidRPr="003A2F86">
              <w:rPr>
                <w:rFonts w:ascii="Arial" w:hAnsi="Arial" w:cs="Arial"/>
                <w:sz w:val="16"/>
                <w:szCs w:val="16"/>
              </w:rPr>
              <w:t xml:space="preserve">a) pomoć Ministarstva mora, prometa i infrastrukture za plažu Žal 7.080,76 €,                                                                                        </w:t>
            </w:r>
          </w:p>
          <w:p w14:paraId="00EF5A4F" w14:textId="77777777" w:rsidR="001079DF" w:rsidRPr="003A2F86" w:rsidRDefault="001079DF" w:rsidP="001079DF">
            <w:pPr>
              <w:spacing w:after="0" w:line="240" w:lineRule="auto"/>
              <w:rPr>
                <w:rFonts w:ascii="Arial" w:hAnsi="Arial" w:cs="Arial"/>
                <w:sz w:val="16"/>
                <w:szCs w:val="16"/>
              </w:rPr>
            </w:pPr>
            <w:r w:rsidRPr="003A2F86">
              <w:rPr>
                <w:rFonts w:ascii="Arial" w:hAnsi="Arial" w:cs="Arial"/>
                <w:sz w:val="16"/>
                <w:szCs w:val="16"/>
              </w:rPr>
              <w:t xml:space="preserve">b) pomoć Ministarstva kulture 39.816,84 € za uređenje i revitalizaciju ljetnog kina u Cavtatu, te                                                        </w:t>
            </w:r>
          </w:p>
          <w:p w14:paraId="46B65B91" w14:textId="2E8BBF84" w:rsidR="001079DF" w:rsidRPr="003A2F86" w:rsidRDefault="001079DF" w:rsidP="001079DF">
            <w:pPr>
              <w:spacing w:after="0" w:line="240" w:lineRule="auto"/>
              <w:rPr>
                <w:rFonts w:ascii="Arial" w:eastAsia="Times New Roman" w:hAnsi="Arial" w:cs="Arial"/>
                <w:sz w:val="16"/>
                <w:szCs w:val="16"/>
                <w:lang w:eastAsia="en-US"/>
              </w:rPr>
            </w:pPr>
            <w:r w:rsidRPr="003A2F86">
              <w:rPr>
                <w:rFonts w:ascii="Arial" w:hAnsi="Arial" w:cs="Arial"/>
                <w:sz w:val="16"/>
                <w:szCs w:val="16"/>
              </w:rPr>
              <w:t xml:space="preserve">c) pomoć Ministarstva regionalnog razvoja i fondova EU 9.537,46 € za sufinanciranje provedbe EU projekta kojem je partner Grad Mostar (za uređenje dječjeg igrališta).                         </w:t>
            </w:r>
          </w:p>
        </w:tc>
      </w:tr>
      <w:tr w:rsidR="001079DF" w:rsidRPr="003A2F86" w14:paraId="1899EF70" w14:textId="77777777" w:rsidTr="007C1631">
        <w:trPr>
          <w:jc w:val="center"/>
        </w:trPr>
        <w:tc>
          <w:tcPr>
            <w:tcW w:w="704" w:type="dxa"/>
            <w:tcBorders>
              <w:top w:val="nil"/>
              <w:left w:val="single" w:sz="8" w:space="0" w:color="000000"/>
              <w:bottom w:val="single" w:sz="8" w:space="0" w:color="000000"/>
              <w:right w:val="single" w:sz="8" w:space="0" w:color="000000"/>
            </w:tcBorders>
            <w:vAlign w:val="center"/>
          </w:tcPr>
          <w:p w14:paraId="24696C1A" w14:textId="61C9C534" w:rsidR="001079DF" w:rsidRPr="003A2F86" w:rsidRDefault="001079DF" w:rsidP="001079DF">
            <w:pPr>
              <w:spacing w:after="0" w:line="240" w:lineRule="auto"/>
              <w:jc w:val="center"/>
              <w:rPr>
                <w:rFonts w:ascii="Arial" w:hAnsi="Arial" w:cs="Arial"/>
                <w:i/>
                <w:iCs/>
                <w:sz w:val="16"/>
                <w:szCs w:val="16"/>
              </w:rPr>
            </w:pPr>
            <w:r w:rsidRPr="003A2F86">
              <w:rPr>
                <w:rFonts w:ascii="Arial" w:hAnsi="Arial" w:cs="Arial"/>
                <w:i/>
                <w:iCs/>
                <w:sz w:val="16"/>
                <w:szCs w:val="16"/>
              </w:rPr>
              <w:lastRenderedPageBreak/>
              <w:t>2023.</w:t>
            </w:r>
          </w:p>
        </w:tc>
        <w:tc>
          <w:tcPr>
            <w:tcW w:w="1276" w:type="dxa"/>
            <w:tcBorders>
              <w:top w:val="nil"/>
              <w:left w:val="nil"/>
              <w:bottom w:val="single" w:sz="8" w:space="0" w:color="000000"/>
              <w:right w:val="single" w:sz="8" w:space="0" w:color="000000"/>
            </w:tcBorders>
            <w:vAlign w:val="center"/>
          </w:tcPr>
          <w:p w14:paraId="7B64DDAF" w14:textId="3CBD2302" w:rsidR="001079DF" w:rsidRPr="003A2F86" w:rsidRDefault="001079DF" w:rsidP="001079DF">
            <w:pPr>
              <w:spacing w:after="0" w:line="240" w:lineRule="auto"/>
              <w:jc w:val="right"/>
              <w:rPr>
                <w:rFonts w:ascii="Arial" w:hAnsi="Arial" w:cs="Arial"/>
                <w:sz w:val="16"/>
                <w:szCs w:val="16"/>
              </w:rPr>
            </w:pPr>
            <w:r w:rsidRPr="003A2F86">
              <w:rPr>
                <w:rFonts w:ascii="Arial" w:hAnsi="Arial" w:cs="Arial"/>
                <w:i/>
                <w:iCs/>
                <w:sz w:val="16"/>
                <w:szCs w:val="16"/>
              </w:rPr>
              <w:t>185.565,74</w:t>
            </w:r>
          </w:p>
        </w:tc>
        <w:tc>
          <w:tcPr>
            <w:tcW w:w="12474" w:type="dxa"/>
            <w:tcBorders>
              <w:top w:val="nil"/>
              <w:left w:val="nil"/>
              <w:bottom w:val="single" w:sz="8" w:space="0" w:color="000000"/>
              <w:right w:val="single" w:sz="8" w:space="0" w:color="000000"/>
            </w:tcBorders>
            <w:vAlign w:val="center"/>
          </w:tcPr>
          <w:p w14:paraId="5D0193F9" w14:textId="77777777" w:rsidR="00A6443B" w:rsidRPr="003A2F86" w:rsidRDefault="001079DF" w:rsidP="001079DF">
            <w:pPr>
              <w:spacing w:after="0" w:line="240" w:lineRule="auto"/>
              <w:rPr>
                <w:rFonts w:ascii="Arial" w:hAnsi="Arial" w:cs="Arial"/>
                <w:sz w:val="16"/>
                <w:szCs w:val="16"/>
              </w:rPr>
            </w:pPr>
            <w:r w:rsidRPr="003A2F86">
              <w:rPr>
                <w:rFonts w:ascii="Arial" w:hAnsi="Arial" w:cs="Arial"/>
                <w:sz w:val="16"/>
                <w:szCs w:val="16"/>
              </w:rPr>
              <w:t xml:space="preserve">Tekuće pomoći iz državnog proračuna (63311) u iznosu 67.165,60 € i kapitalne pomoći (63321) u iznosu 118.400,14 € i to: </w:t>
            </w:r>
            <w:r w:rsidRPr="003A2F86">
              <w:rPr>
                <w:rFonts w:ascii="Arial" w:hAnsi="Arial" w:cs="Arial"/>
                <w:sz w:val="16"/>
                <w:szCs w:val="16"/>
              </w:rPr>
              <w:br/>
              <w:t>a) pomoći Ministarstva za demografiju, obitelj, mlade i socijalnu politiku u iznosu 7.025,20 € tj. udio 15% sredstava iz državnog proračuna u sredstvima po ugovoru o dodjeli bespovratnih sredstava za provedbu projekta „Otvorimo južna vrata Lijepe naše“.</w:t>
            </w:r>
          </w:p>
          <w:p w14:paraId="0201A6F7" w14:textId="6AD08816" w:rsidR="001079DF" w:rsidRPr="003A2F86" w:rsidRDefault="001079DF" w:rsidP="001079DF">
            <w:pPr>
              <w:spacing w:after="0" w:line="240" w:lineRule="auto"/>
              <w:rPr>
                <w:rFonts w:ascii="Arial" w:hAnsi="Arial" w:cs="Arial"/>
                <w:sz w:val="16"/>
                <w:szCs w:val="16"/>
              </w:rPr>
            </w:pPr>
            <w:r w:rsidRPr="003A2F86">
              <w:rPr>
                <w:rFonts w:ascii="Arial" w:hAnsi="Arial" w:cs="Arial"/>
                <w:sz w:val="16"/>
                <w:szCs w:val="16"/>
              </w:rPr>
              <w:t xml:space="preserve">b) pomoći Ministarstva poljoprivrede za potporu organizacije Mirisi Božića 2022. u iznosu 3.682,46 €,                                                </w:t>
            </w:r>
          </w:p>
          <w:p w14:paraId="7F0E379E" w14:textId="77777777" w:rsidR="001079DF" w:rsidRPr="003A2F86" w:rsidRDefault="001079DF" w:rsidP="001079DF">
            <w:pPr>
              <w:spacing w:after="0" w:line="240" w:lineRule="auto"/>
              <w:rPr>
                <w:rFonts w:ascii="Arial" w:hAnsi="Arial" w:cs="Arial"/>
                <w:sz w:val="16"/>
                <w:szCs w:val="16"/>
              </w:rPr>
            </w:pPr>
            <w:r w:rsidRPr="003A2F86">
              <w:rPr>
                <w:rFonts w:ascii="Arial" w:hAnsi="Arial" w:cs="Arial"/>
                <w:sz w:val="16"/>
                <w:szCs w:val="16"/>
              </w:rPr>
              <w:t xml:space="preserve">c) refundacija putnih troškova 179,04 € člana Obora za praćenje Programa Konkurentnosti i Kohezija 2021.-2027. i Integriranog teritorijalnog programa 2021.-2027. (Ministarstvo regionalnoga razvoja i fondova EU),                                                                      </w:t>
            </w:r>
          </w:p>
          <w:p w14:paraId="3444BDF8" w14:textId="3A23F68F" w:rsidR="001079DF" w:rsidRPr="003A2F86" w:rsidRDefault="001079DF" w:rsidP="001079DF">
            <w:pPr>
              <w:spacing w:after="0" w:line="240" w:lineRule="auto"/>
              <w:rPr>
                <w:rFonts w:ascii="Arial" w:hAnsi="Arial" w:cs="Arial"/>
                <w:sz w:val="16"/>
                <w:szCs w:val="16"/>
              </w:rPr>
            </w:pPr>
            <w:r w:rsidRPr="003A2F86">
              <w:rPr>
                <w:rFonts w:ascii="Arial" w:hAnsi="Arial" w:cs="Arial"/>
                <w:sz w:val="16"/>
                <w:szCs w:val="16"/>
              </w:rPr>
              <w:t>d) pomoći Ministarstva znanosti i obrazovanja u iznosu 23.751 € - fiskalna održivost dječjih vrtića,</w:t>
            </w:r>
            <w:r w:rsidRPr="003A2F86">
              <w:rPr>
                <w:rFonts w:ascii="Arial" w:hAnsi="Arial" w:cs="Arial"/>
                <w:sz w:val="16"/>
                <w:szCs w:val="16"/>
              </w:rPr>
              <w:br/>
              <w:t xml:space="preserve">e) pomoći Ministarstva financija za funkcionalno spajanje - rad odjeljenja Dubrovačke knjižnice 1.725 €, za javni prijevoz društva Libertas na području Konavala 29.250 €,                                                                                                                  </w:t>
            </w:r>
          </w:p>
          <w:p w14:paraId="34393D62" w14:textId="77777777" w:rsidR="00571ACA" w:rsidRPr="003A2F86" w:rsidRDefault="001079DF" w:rsidP="001079DF">
            <w:pPr>
              <w:spacing w:after="0" w:line="240" w:lineRule="auto"/>
              <w:rPr>
                <w:rFonts w:ascii="Arial" w:hAnsi="Arial" w:cs="Arial"/>
                <w:sz w:val="16"/>
                <w:szCs w:val="16"/>
              </w:rPr>
            </w:pPr>
            <w:r w:rsidRPr="003A2F86">
              <w:rPr>
                <w:rFonts w:ascii="Arial" w:hAnsi="Arial" w:cs="Arial"/>
                <w:sz w:val="16"/>
                <w:szCs w:val="16"/>
              </w:rPr>
              <w:t xml:space="preserve">f) pomoć Ministarstva rada, mirovinskog sustava, obitelji i socijalne politike 1.552,90 € (za naknade za ogrjev).                         </w:t>
            </w:r>
          </w:p>
          <w:p w14:paraId="4C9D16B1" w14:textId="77777777" w:rsidR="00571ACA" w:rsidRPr="003A2F86" w:rsidRDefault="001079DF" w:rsidP="001079DF">
            <w:pPr>
              <w:spacing w:after="0" w:line="240" w:lineRule="auto"/>
              <w:rPr>
                <w:rFonts w:ascii="Arial" w:hAnsi="Arial" w:cs="Arial"/>
                <w:sz w:val="16"/>
                <w:szCs w:val="16"/>
              </w:rPr>
            </w:pPr>
            <w:r w:rsidRPr="003A2F86">
              <w:rPr>
                <w:rFonts w:ascii="Arial" w:hAnsi="Arial" w:cs="Arial"/>
                <w:sz w:val="16"/>
                <w:szCs w:val="16"/>
              </w:rPr>
              <w:t xml:space="preserve">Kapitalne pomoći iz državnog proračuna (63321) i to:                                                                                                                         </w:t>
            </w:r>
          </w:p>
          <w:p w14:paraId="5E257ADD" w14:textId="77777777" w:rsidR="00571ACA" w:rsidRPr="003A2F86" w:rsidRDefault="001079DF" w:rsidP="001079DF">
            <w:pPr>
              <w:spacing w:after="0" w:line="240" w:lineRule="auto"/>
              <w:rPr>
                <w:rFonts w:ascii="Arial" w:hAnsi="Arial" w:cs="Arial"/>
                <w:sz w:val="16"/>
                <w:szCs w:val="16"/>
              </w:rPr>
            </w:pPr>
            <w:r w:rsidRPr="003A2F86">
              <w:rPr>
                <w:rFonts w:ascii="Arial" w:hAnsi="Arial" w:cs="Arial"/>
                <w:sz w:val="16"/>
                <w:szCs w:val="16"/>
              </w:rPr>
              <w:t xml:space="preserve">a) pomoć Ministarstva kulture 22.562,88 € za uređenje ljetnog kina u Cavtatu,                                                                                     </w:t>
            </w:r>
          </w:p>
          <w:p w14:paraId="6EED476D" w14:textId="77777777" w:rsidR="00571ACA" w:rsidRPr="003A2F86" w:rsidRDefault="001079DF" w:rsidP="001079DF">
            <w:pPr>
              <w:spacing w:after="0" w:line="240" w:lineRule="auto"/>
              <w:rPr>
                <w:rFonts w:ascii="Arial" w:hAnsi="Arial" w:cs="Arial"/>
                <w:sz w:val="16"/>
                <w:szCs w:val="16"/>
              </w:rPr>
            </w:pPr>
            <w:r w:rsidRPr="003A2F86">
              <w:rPr>
                <w:rFonts w:ascii="Arial" w:hAnsi="Arial" w:cs="Arial"/>
                <w:sz w:val="16"/>
                <w:szCs w:val="16"/>
              </w:rPr>
              <w:t xml:space="preserve">b) pomoć Ministarstva turizma i sporta 16.300 € za vanjsko vježbalište,                                                                                               </w:t>
            </w:r>
          </w:p>
          <w:p w14:paraId="15E54BCF" w14:textId="1FDA10C5" w:rsidR="001079DF" w:rsidRPr="003A2F86" w:rsidRDefault="001079DF" w:rsidP="001079DF">
            <w:pPr>
              <w:spacing w:after="0" w:line="240" w:lineRule="auto"/>
              <w:rPr>
                <w:rFonts w:ascii="Arial" w:hAnsi="Arial" w:cs="Arial"/>
                <w:sz w:val="16"/>
                <w:szCs w:val="16"/>
              </w:rPr>
            </w:pPr>
            <w:r w:rsidRPr="003A2F86">
              <w:rPr>
                <w:rFonts w:ascii="Arial" w:hAnsi="Arial" w:cs="Arial"/>
                <w:sz w:val="16"/>
                <w:szCs w:val="16"/>
              </w:rPr>
              <w:t xml:space="preserve">c) pomoć Ministarstva regionalnog razvoja i fondova EU i to 47.176,18 € za sufinanciranje provedbe EU projekta Ćiro II, te za sufinanciranje provedbe projekta Flood &amp; fire 32.361,08 €.                                                                                  </w:t>
            </w:r>
          </w:p>
        </w:tc>
      </w:tr>
      <w:tr w:rsidR="001079DF" w:rsidRPr="003A2F86" w14:paraId="2175593D" w14:textId="77777777" w:rsidTr="007C1631">
        <w:trPr>
          <w:jc w:val="center"/>
        </w:trPr>
        <w:tc>
          <w:tcPr>
            <w:tcW w:w="704" w:type="dxa"/>
            <w:tcBorders>
              <w:top w:val="nil"/>
              <w:left w:val="single" w:sz="8" w:space="0" w:color="000000"/>
              <w:bottom w:val="single" w:sz="4" w:space="0" w:color="auto"/>
              <w:right w:val="single" w:sz="8" w:space="0" w:color="000000"/>
            </w:tcBorders>
            <w:vAlign w:val="center"/>
          </w:tcPr>
          <w:p w14:paraId="457633CC" w14:textId="3F640856" w:rsidR="001079DF" w:rsidRPr="003A2F86" w:rsidRDefault="001079DF" w:rsidP="001079DF">
            <w:pPr>
              <w:spacing w:after="0" w:line="240" w:lineRule="auto"/>
              <w:jc w:val="center"/>
              <w:rPr>
                <w:rFonts w:ascii="Arial" w:hAnsi="Arial" w:cs="Arial"/>
                <w:sz w:val="16"/>
                <w:szCs w:val="16"/>
              </w:rPr>
            </w:pPr>
            <w:r w:rsidRPr="003A2F86">
              <w:rPr>
                <w:rFonts w:ascii="Arial" w:hAnsi="Arial" w:cs="Arial"/>
                <w:i/>
                <w:iCs/>
                <w:sz w:val="16"/>
                <w:szCs w:val="16"/>
              </w:rPr>
              <w:t>2024.</w:t>
            </w:r>
          </w:p>
        </w:tc>
        <w:tc>
          <w:tcPr>
            <w:tcW w:w="1276" w:type="dxa"/>
            <w:tcBorders>
              <w:top w:val="nil"/>
              <w:left w:val="nil"/>
              <w:bottom w:val="single" w:sz="4" w:space="0" w:color="auto"/>
              <w:right w:val="single" w:sz="8" w:space="0" w:color="000000"/>
            </w:tcBorders>
            <w:vAlign w:val="center"/>
          </w:tcPr>
          <w:p w14:paraId="62ADE251" w14:textId="66856F46" w:rsidR="001079DF" w:rsidRPr="003A2F86" w:rsidRDefault="00E3624A" w:rsidP="001079DF">
            <w:pPr>
              <w:spacing w:after="0" w:line="240" w:lineRule="auto"/>
              <w:jc w:val="right"/>
              <w:rPr>
                <w:rFonts w:ascii="Arial" w:hAnsi="Arial" w:cs="Arial"/>
                <w:sz w:val="16"/>
                <w:szCs w:val="16"/>
              </w:rPr>
            </w:pPr>
            <w:r w:rsidRPr="003A2F86">
              <w:rPr>
                <w:rFonts w:ascii="Arial" w:hAnsi="Arial" w:cs="Arial"/>
                <w:i/>
                <w:iCs/>
                <w:sz w:val="16"/>
                <w:szCs w:val="16"/>
              </w:rPr>
              <w:t>185.186,10</w:t>
            </w:r>
          </w:p>
        </w:tc>
        <w:tc>
          <w:tcPr>
            <w:tcW w:w="12474" w:type="dxa"/>
            <w:tcBorders>
              <w:top w:val="nil"/>
              <w:left w:val="nil"/>
              <w:bottom w:val="single" w:sz="4" w:space="0" w:color="auto"/>
              <w:right w:val="single" w:sz="8" w:space="0" w:color="000000"/>
            </w:tcBorders>
            <w:vAlign w:val="center"/>
          </w:tcPr>
          <w:p w14:paraId="7F9C84C7" w14:textId="77777777" w:rsidR="00E3624A" w:rsidRPr="003A2F86" w:rsidRDefault="00E3624A" w:rsidP="00E3624A">
            <w:pPr>
              <w:spacing w:after="0" w:line="240" w:lineRule="auto"/>
              <w:rPr>
                <w:rFonts w:ascii="Arial" w:hAnsi="Arial" w:cs="Arial"/>
                <w:sz w:val="16"/>
                <w:szCs w:val="16"/>
              </w:rPr>
            </w:pPr>
            <w:r w:rsidRPr="003A2F86">
              <w:rPr>
                <w:rFonts w:ascii="Arial" w:hAnsi="Arial" w:cs="Arial"/>
                <w:sz w:val="16"/>
                <w:szCs w:val="16"/>
              </w:rPr>
              <w:t xml:space="preserve">Tekuće pomoći iz državnog proračuna (63311) u iznosu 177.186,10 € i kapitalne pomoći (63321) u iznosu 8.000 € i to: </w:t>
            </w:r>
          </w:p>
          <w:p w14:paraId="329EC00D" w14:textId="77777777" w:rsidR="00E3624A" w:rsidRPr="003A2F86" w:rsidRDefault="00E3624A" w:rsidP="00E3624A">
            <w:pPr>
              <w:spacing w:after="0" w:line="240" w:lineRule="auto"/>
              <w:rPr>
                <w:rFonts w:ascii="Arial" w:hAnsi="Arial" w:cs="Arial"/>
                <w:sz w:val="16"/>
                <w:szCs w:val="16"/>
              </w:rPr>
            </w:pPr>
            <w:r w:rsidRPr="003A2F86">
              <w:rPr>
                <w:rFonts w:ascii="Arial" w:hAnsi="Arial" w:cs="Arial"/>
                <w:sz w:val="16"/>
                <w:szCs w:val="16"/>
              </w:rPr>
              <w:t>a) pomoći Ministarstva za demografiju, obitelj, mlade i socijalnu politiku u iznosu 2.156,62 € tj. udio 15% sredstava iz državnog proračuna u sredstvima po ugovoru o dodjeli bespovratnih sredstava za provedbu projekta „Otvorimo južna vrata Lijepe naše“.</w:t>
            </w:r>
          </w:p>
          <w:p w14:paraId="09A5F058" w14:textId="77777777" w:rsidR="00E3624A" w:rsidRPr="003A2F86" w:rsidRDefault="00E3624A" w:rsidP="00E3624A">
            <w:pPr>
              <w:spacing w:after="0" w:line="240" w:lineRule="auto"/>
              <w:rPr>
                <w:rFonts w:ascii="Arial" w:hAnsi="Arial" w:cs="Arial"/>
                <w:sz w:val="16"/>
                <w:szCs w:val="16"/>
              </w:rPr>
            </w:pPr>
            <w:r w:rsidRPr="003A2F86">
              <w:rPr>
                <w:rFonts w:ascii="Arial" w:hAnsi="Arial" w:cs="Arial"/>
                <w:sz w:val="16"/>
                <w:szCs w:val="16"/>
              </w:rPr>
              <w:t xml:space="preserve">b) pomoći Ministarstva znanosti i obrazovanja u iznosu 99.183 € - fiskalna održivost dječjih vrtića,   </w:t>
            </w:r>
          </w:p>
          <w:p w14:paraId="616C5ACA" w14:textId="4822FDA7" w:rsidR="00E3624A" w:rsidRPr="003A2F86" w:rsidRDefault="00E3624A" w:rsidP="00E3624A">
            <w:pPr>
              <w:spacing w:after="0" w:line="240" w:lineRule="auto"/>
              <w:rPr>
                <w:rFonts w:ascii="Arial" w:hAnsi="Arial" w:cs="Arial"/>
                <w:sz w:val="16"/>
                <w:szCs w:val="16"/>
              </w:rPr>
            </w:pPr>
            <w:r w:rsidRPr="003A2F86">
              <w:rPr>
                <w:rFonts w:ascii="Arial" w:hAnsi="Arial" w:cs="Arial"/>
                <w:sz w:val="16"/>
                <w:szCs w:val="16"/>
              </w:rPr>
              <w:t>c) pomoći Ministarstva financija za funkcionalno spajanje - rad odjeljenja Dubrovačke knjižnice 1.990,04 € i za javni prijevoz društva Libertas na području Konavala 24.346,44 €,</w:t>
            </w:r>
          </w:p>
          <w:p w14:paraId="0F3A9302" w14:textId="44191181" w:rsidR="00E3624A" w:rsidRPr="003A2F86" w:rsidRDefault="00E3624A" w:rsidP="00E3624A">
            <w:pPr>
              <w:spacing w:after="0" w:line="240" w:lineRule="auto"/>
              <w:rPr>
                <w:rFonts w:ascii="Arial" w:hAnsi="Arial" w:cs="Arial"/>
                <w:sz w:val="16"/>
                <w:szCs w:val="16"/>
              </w:rPr>
            </w:pPr>
            <w:r w:rsidRPr="003A2F86">
              <w:rPr>
                <w:rFonts w:ascii="Arial" w:hAnsi="Arial" w:cs="Arial"/>
                <w:sz w:val="16"/>
                <w:szCs w:val="16"/>
              </w:rPr>
              <w:t xml:space="preserve">d) pomoći Ministarstva poljoprivrede za potporu organizacije Mirisi Božića 2023. u iznosu 5.740 €,              </w:t>
            </w:r>
          </w:p>
          <w:p w14:paraId="0607258A" w14:textId="77777777" w:rsidR="00E3624A" w:rsidRPr="003A2F86" w:rsidRDefault="00E3624A" w:rsidP="00E3624A">
            <w:pPr>
              <w:spacing w:after="0" w:line="240" w:lineRule="auto"/>
              <w:rPr>
                <w:rFonts w:ascii="Arial" w:hAnsi="Arial" w:cs="Arial"/>
                <w:sz w:val="16"/>
                <w:szCs w:val="16"/>
              </w:rPr>
            </w:pPr>
            <w:r w:rsidRPr="003A2F86">
              <w:rPr>
                <w:rFonts w:ascii="Arial" w:hAnsi="Arial" w:cs="Arial"/>
                <w:sz w:val="16"/>
                <w:szCs w:val="16"/>
              </w:rPr>
              <w:t xml:space="preserve">e) pomoći za provedbu izbora za Hrvatski sabor 413,90 € i za provedbu izbora za Europski parlament 414,60 €, </w:t>
            </w:r>
          </w:p>
          <w:p w14:paraId="3BA3CCE3" w14:textId="10B69947" w:rsidR="00E3624A" w:rsidRPr="003A2F86" w:rsidRDefault="00E3624A" w:rsidP="00E3624A">
            <w:pPr>
              <w:spacing w:after="0" w:line="240" w:lineRule="auto"/>
              <w:rPr>
                <w:rFonts w:ascii="Arial" w:hAnsi="Arial" w:cs="Arial"/>
                <w:sz w:val="16"/>
                <w:szCs w:val="16"/>
              </w:rPr>
            </w:pPr>
            <w:r w:rsidRPr="003A2F86">
              <w:rPr>
                <w:rFonts w:ascii="Arial" w:hAnsi="Arial" w:cs="Arial"/>
                <w:sz w:val="16"/>
                <w:szCs w:val="16"/>
              </w:rPr>
              <w:t xml:space="preserve">f) pomoć Ministarstva regionalnog razvoja i fondova EU u iznosu 42.941,50 € za sufinanciranje provedbe EU projekta Zajedno za zeleni razvoj (suradnja Općine i Grada Mostara). </w:t>
            </w:r>
          </w:p>
          <w:p w14:paraId="43D019AA" w14:textId="51D47092" w:rsidR="001079DF" w:rsidRPr="003A2F86" w:rsidRDefault="00E3624A" w:rsidP="00E3624A">
            <w:pPr>
              <w:spacing w:after="0" w:line="240" w:lineRule="auto"/>
              <w:rPr>
                <w:rFonts w:ascii="Arial" w:hAnsi="Arial" w:cs="Arial"/>
                <w:sz w:val="16"/>
                <w:szCs w:val="16"/>
              </w:rPr>
            </w:pPr>
            <w:r w:rsidRPr="003A2F86">
              <w:rPr>
                <w:rFonts w:ascii="Arial" w:hAnsi="Arial" w:cs="Arial"/>
                <w:sz w:val="16"/>
                <w:szCs w:val="16"/>
              </w:rPr>
              <w:t xml:space="preserve">Kapitalne pomoći iz državnog proračuna (63321) u iznosu 8.000 € se odnosi na pomoć Ministarstva kulture za nabavu stolica u ljetnom kinu u Cavtatu.         </w:t>
            </w:r>
          </w:p>
        </w:tc>
      </w:tr>
      <w:tr w:rsidR="00E1166B" w:rsidRPr="003A2F86" w14:paraId="5FD057AF" w14:textId="77777777" w:rsidTr="007C1631">
        <w:trPr>
          <w:jc w:val="center"/>
        </w:trPr>
        <w:tc>
          <w:tcPr>
            <w:tcW w:w="704" w:type="dxa"/>
            <w:tcBorders>
              <w:top w:val="single" w:sz="4" w:space="0" w:color="auto"/>
              <w:left w:val="single" w:sz="8" w:space="0" w:color="000000"/>
              <w:bottom w:val="single" w:sz="8" w:space="0" w:color="000000"/>
              <w:right w:val="single" w:sz="8" w:space="0" w:color="000000"/>
            </w:tcBorders>
            <w:vAlign w:val="center"/>
          </w:tcPr>
          <w:p w14:paraId="232C7433" w14:textId="6706BF3E" w:rsidR="00E1166B" w:rsidRPr="003A2F86" w:rsidRDefault="00E1166B" w:rsidP="00E1166B">
            <w:pPr>
              <w:spacing w:after="0" w:line="240" w:lineRule="auto"/>
              <w:jc w:val="center"/>
              <w:rPr>
                <w:rFonts w:ascii="Arial" w:hAnsi="Arial" w:cs="Arial"/>
                <w:i/>
                <w:iCs/>
                <w:sz w:val="16"/>
                <w:szCs w:val="16"/>
              </w:rPr>
            </w:pPr>
            <w:r>
              <w:rPr>
                <w:rFonts w:ascii="Arial" w:hAnsi="Arial" w:cs="Arial"/>
                <w:i/>
                <w:iCs/>
                <w:sz w:val="16"/>
                <w:szCs w:val="16"/>
              </w:rPr>
              <w:t>2025.</w:t>
            </w:r>
          </w:p>
        </w:tc>
        <w:tc>
          <w:tcPr>
            <w:tcW w:w="1276" w:type="dxa"/>
            <w:tcBorders>
              <w:top w:val="nil"/>
              <w:left w:val="nil"/>
              <w:bottom w:val="single" w:sz="8" w:space="0" w:color="000000"/>
              <w:right w:val="single" w:sz="8" w:space="0" w:color="000000"/>
            </w:tcBorders>
            <w:vAlign w:val="center"/>
          </w:tcPr>
          <w:p w14:paraId="7B727B66" w14:textId="09CA2BEC" w:rsidR="00E1166B" w:rsidRPr="00E1166B" w:rsidRDefault="00176118" w:rsidP="00E1166B">
            <w:pPr>
              <w:spacing w:after="0" w:line="240" w:lineRule="auto"/>
              <w:jc w:val="right"/>
              <w:rPr>
                <w:rFonts w:ascii="Arial" w:hAnsi="Arial" w:cs="Arial"/>
                <w:i/>
                <w:iCs/>
                <w:sz w:val="16"/>
                <w:szCs w:val="16"/>
              </w:rPr>
            </w:pPr>
            <w:r>
              <w:rPr>
                <w:rFonts w:ascii="Arial" w:hAnsi="Arial" w:cs="Arial"/>
                <w:i/>
                <w:iCs/>
                <w:sz w:val="16"/>
                <w:szCs w:val="16"/>
              </w:rPr>
              <w:t>291.503,93</w:t>
            </w:r>
          </w:p>
        </w:tc>
        <w:tc>
          <w:tcPr>
            <w:tcW w:w="12474" w:type="dxa"/>
            <w:tcBorders>
              <w:top w:val="nil"/>
              <w:left w:val="nil"/>
              <w:bottom w:val="single" w:sz="8" w:space="0" w:color="000000"/>
              <w:right w:val="single" w:sz="8" w:space="0" w:color="000000"/>
            </w:tcBorders>
            <w:vAlign w:val="center"/>
          </w:tcPr>
          <w:p w14:paraId="71F50511" w14:textId="0681C209" w:rsidR="00E1166B" w:rsidRPr="00E1166B" w:rsidRDefault="00176118" w:rsidP="00265227">
            <w:pPr>
              <w:spacing w:after="0" w:line="240" w:lineRule="auto"/>
              <w:rPr>
                <w:rFonts w:ascii="Arial" w:hAnsi="Arial" w:cs="Arial"/>
                <w:sz w:val="16"/>
                <w:szCs w:val="16"/>
              </w:rPr>
            </w:pPr>
            <w:r w:rsidRPr="00176118">
              <w:rPr>
                <w:rFonts w:ascii="Arial" w:hAnsi="Arial" w:cs="Arial"/>
                <w:sz w:val="16"/>
                <w:szCs w:val="16"/>
              </w:rPr>
              <w:t xml:space="preserve">Tekuće pomoći iz državnog proračuna (63311) u iznosu 140.375,74 € i kapitalne pomoći (63321) u iznosu 151.128,19.€. Tekuća pomoć: </w:t>
            </w:r>
            <w:r w:rsidRPr="00176118">
              <w:rPr>
                <w:rFonts w:ascii="Arial" w:hAnsi="Arial" w:cs="Arial"/>
                <w:sz w:val="16"/>
                <w:szCs w:val="16"/>
              </w:rPr>
              <w:br/>
              <w:t xml:space="preserve">a) pomoći Ministarstva znanosti i obrazovanja u iznosu 111.720 € - fiskalna održivost dječjih vrtića.                                                                                                                                                                </w:t>
            </w:r>
            <w:r w:rsidRPr="00176118">
              <w:rPr>
                <w:rFonts w:ascii="Arial" w:hAnsi="Arial" w:cs="Arial"/>
                <w:sz w:val="16"/>
                <w:szCs w:val="16"/>
              </w:rPr>
              <w:br/>
              <w:t xml:space="preserve">b) pomoći Ministarstva financija za funkcionalno spajanje - rad odjeljenja Dubrovačke knjižnice u Konavlima 1.857,52 € i za javni prijevoz društva Libertas na području Konavala 26.798,22 €,                                                                                                                                               </w:t>
            </w:r>
            <w:r w:rsidRPr="00176118">
              <w:rPr>
                <w:rFonts w:ascii="Arial" w:hAnsi="Arial" w:cs="Arial"/>
                <w:sz w:val="16"/>
                <w:szCs w:val="16"/>
              </w:rPr>
              <w:br/>
              <w:t xml:space="preserve">Kapitalna pomoć iz državnog proračuna u iznosu 151.128,19 € se odnosi na pomoć Ministarstva regionalnog razvoja i fondova </w:t>
            </w:r>
            <w:r w:rsidR="007C1631">
              <w:rPr>
                <w:rFonts w:ascii="Arial" w:hAnsi="Arial" w:cs="Arial"/>
                <w:sz w:val="16"/>
                <w:szCs w:val="16"/>
              </w:rPr>
              <w:t>EU</w:t>
            </w:r>
            <w:r w:rsidRPr="00176118">
              <w:rPr>
                <w:rFonts w:ascii="Arial" w:hAnsi="Arial" w:cs="Arial"/>
                <w:sz w:val="16"/>
                <w:szCs w:val="16"/>
              </w:rPr>
              <w:t xml:space="preserve"> za sufinanciranje izgradnje vatrogasnog doma.                                                                                                                                                                            </w:t>
            </w:r>
          </w:p>
        </w:tc>
      </w:tr>
      <w:bookmarkEnd w:id="102"/>
    </w:tbl>
    <w:p w14:paraId="648347BE" w14:textId="77777777" w:rsidR="001865FB" w:rsidRPr="003A2F86" w:rsidRDefault="001865FB" w:rsidP="001865FB">
      <w:pPr>
        <w:overflowPunct w:val="0"/>
        <w:autoSpaceDE w:val="0"/>
        <w:autoSpaceDN w:val="0"/>
        <w:adjustRightInd w:val="0"/>
        <w:spacing w:after="0" w:line="240" w:lineRule="auto"/>
        <w:jc w:val="both"/>
        <w:rPr>
          <w:rFonts w:ascii="Arial" w:eastAsia="Times New Roman" w:hAnsi="Arial" w:cs="Arial"/>
          <w:sz w:val="18"/>
          <w:szCs w:val="18"/>
        </w:rPr>
      </w:pPr>
    </w:p>
    <w:p w14:paraId="339DE021" w14:textId="2EE56762" w:rsidR="00474A7A" w:rsidRPr="00847308" w:rsidRDefault="00474A7A" w:rsidP="00474A7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center"/>
        <w:rPr>
          <w:rFonts w:ascii="Arial" w:hAnsi="Arial" w:cs="Arial"/>
          <w:b/>
          <w:bCs/>
          <w:i/>
          <w:iCs/>
        </w:rPr>
      </w:pPr>
      <w:r w:rsidRPr="00847308">
        <w:rPr>
          <w:rFonts w:ascii="Arial" w:hAnsi="Arial" w:cs="Arial"/>
          <w:b/>
          <w:bCs/>
          <w:i/>
          <w:iCs/>
        </w:rPr>
        <w:t>63</w:t>
      </w:r>
      <w:r>
        <w:rPr>
          <w:rFonts w:ascii="Arial" w:hAnsi="Arial" w:cs="Arial"/>
          <w:b/>
          <w:bCs/>
          <w:i/>
          <w:iCs/>
        </w:rPr>
        <w:t>4</w:t>
      </w:r>
      <w:r w:rsidRPr="00847308">
        <w:rPr>
          <w:rFonts w:ascii="Arial" w:eastAsia="Times New Roman" w:hAnsi="Arial" w:cs="Arial"/>
          <w:b/>
          <w:bCs/>
          <w:i/>
          <w:iCs/>
          <w:lang w:eastAsia="en-US"/>
        </w:rPr>
        <w:t xml:space="preserve"> Pomoći </w:t>
      </w:r>
      <w:r>
        <w:rPr>
          <w:rFonts w:ascii="Arial" w:eastAsia="Times New Roman" w:hAnsi="Arial" w:cs="Arial"/>
          <w:b/>
          <w:bCs/>
          <w:i/>
          <w:iCs/>
          <w:lang w:eastAsia="en-US"/>
        </w:rPr>
        <w:t>od izvanproračunskih korisnika</w:t>
      </w:r>
    </w:p>
    <w:p w14:paraId="417EAC1E" w14:textId="77777777" w:rsidR="00474A7A" w:rsidRDefault="00474A7A" w:rsidP="0004125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40770C07" w14:textId="1CF7922C" w:rsidR="007C1631" w:rsidRPr="007C1631" w:rsidRDefault="00041255" w:rsidP="007C163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3A2F86">
        <w:rPr>
          <w:rFonts w:ascii="Arial" w:hAnsi="Arial" w:cs="Arial"/>
        </w:rPr>
        <w:t>Pomoći od izvanproračunskih korisnika (</w:t>
      </w:r>
      <w:r w:rsidRPr="003A2F86">
        <w:rPr>
          <w:rFonts w:ascii="Arial" w:hAnsi="Arial" w:cs="Arial"/>
          <w:b/>
          <w:bCs/>
        </w:rPr>
        <w:t>634</w:t>
      </w:r>
      <w:r w:rsidRPr="003A2F86">
        <w:rPr>
          <w:rFonts w:ascii="Arial" w:hAnsi="Arial" w:cs="Arial"/>
        </w:rPr>
        <w:t xml:space="preserve">) </w:t>
      </w:r>
      <w:r w:rsidR="006222A2">
        <w:rPr>
          <w:rFonts w:ascii="Arial" w:hAnsi="Arial" w:cs="Arial"/>
        </w:rPr>
        <w:t>u 202</w:t>
      </w:r>
      <w:r w:rsidR="00036316">
        <w:rPr>
          <w:rFonts w:ascii="Arial" w:hAnsi="Arial" w:cs="Arial"/>
        </w:rPr>
        <w:t>5</w:t>
      </w:r>
      <w:r w:rsidR="006222A2">
        <w:rPr>
          <w:rFonts w:ascii="Arial" w:hAnsi="Arial" w:cs="Arial"/>
        </w:rPr>
        <w:t xml:space="preserve">. </w:t>
      </w:r>
      <w:r w:rsidRPr="003A2F86">
        <w:rPr>
          <w:rFonts w:ascii="Arial" w:hAnsi="Arial" w:cs="Arial"/>
        </w:rPr>
        <w:t>su ostvarene</w:t>
      </w:r>
      <w:r w:rsidR="007C1631">
        <w:rPr>
          <w:rFonts w:ascii="Arial" w:hAnsi="Arial" w:cs="Arial"/>
        </w:rPr>
        <w:t xml:space="preserve"> u iznosu </w:t>
      </w:r>
      <w:r w:rsidR="007C1631" w:rsidRPr="007C1631">
        <w:rPr>
          <w:rFonts w:ascii="Arial" w:hAnsi="Arial" w:cs="Arial"/>
        </w:rPr>
        <w:t>174.402,48 € i odnose se na pomoći od Županijske uprave za ceste za sufinanciranje održavanja cest</w:t>
      </w:r>
      <w:r w:rsidR="008F4FAE">
        <w:rPr>
          <w:rFonts w:ascii="Arial" w:hAnsi="Arial" w:cs="Arial"/>
        </w:rPr>
        <w:t xml:space="preserve">a. Za radove koji su obavljeni prethodne 2024. godine (LC Bani) doznačeno je 99.771,46 €, dok </w:t>
      </w:r>
      <w:r w:rsidR="00A34FA5">
        <w:rPr>
          <w:rFonts w:ascii="Arial" w:hAnsi="Arial" w:cs="Arial"/>
        </w:rPr>
        <w:t>je za radove na nogostupu u Čilipima doznačeno 74.631,02 € sukladno zaključenim ugovorima o sufinanciranju.</w:t>
      </w:r>
    </w:p>
    <w:p w14:paraId="3301DCF9" w14:textId="77777777" w:rsidR="00041255" w:rsidRPr="003A2F86" w:rsidRDefault="00041255" w:rsidP="0004125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18"/>
          <w:szCs w:val="18"/>
        </w:rPr>
      </w:pPr>
    </w:p>
    <w:p w14:paraId="23DB274F" w14:textId="48340DC1" w:rsidR="00036316" w:rsidRPr="00A34FA5" w:rsidRDefault="00265227" w:rsidP="0026522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hAnsi="Arial" w:cs="Arial"/>
          <w:sz w:val="16"/>
          <w:szCs w:val="16"/>
        </w:rPr>
      </w:pPr>
      <w:r w:rsidRPr="00A34FA5">
        <w:rPr>
          <w:rFonts w:ascii="Arial" w:hAnsi="Arial" w:cs="Arial"/>
          <w:sz w:val="16"/>
          <w:szCs w:val="16"/>
        </w:rPr>
        <w:t xml:space="preserve">Pomoći od izvanproračunskih korisnika (634) u </w:t>
      </w:r>
      <w:r w:rsidRPr="00A34FA5">
        <w:rPr>
          <w:rFonts w:ascii="Arial" w:hAnsi="Arial" w:cs="Arial"/>
          <w:b/>
          <w:bCs/>
          <w:sz w:val="16"/>
          <w:szCs w:val="16"/>
        </w:rPr>
        <w:t>2024</w:t>
      </w:r>
      <w:r w:rsidRPr="00A34FA5">
        <w:rPr>
          <w:rFonts w:ascii="Arial" w:hAnsi="Arial" w:cs="Arial"/>
          <w:sz w:val="16"/>
          <w:szCs w:val="16"/>
        </w:rPr>
        <w:t xml:space="preserve">. su </w:t>
      </w:r>
      <w:r w:rsidR="00D12706">
        <w:rPr>
          <w:rFonts w:ascii="Arial" w:hAnsi="Arial" w:cs="Arial"/>
          <w:sz w:val="16"/>
          <w:szCs w:val="16"/>
        </w:rPr>
        <w:t xml:space="preserve">bile </w:t>
      </w:r>
      <w:r w:rsidRPr="00A34FA5">
        <w:rPr>
          <w:rFonts w:ascii="Arial" w:hAnsi="Arial" w:cs="Arial"/>
          <w:sz w:val="16"/>
          <w:szCs w:val="16"/>
        </w:rPr>
        <w:t>ostvarene u iznosu 239.476,33 € i odnos</w:t>
      </w:r>
      <w:r w:rsidR="00D12706">
        <w:rPr>
          <w:rFonts w:ascii="Arial" w:hAnsi="Arial" w:cs="Arial"/>
          <w:sz w:val="16"/>
          <w:szCs w:val="16"/>
        </w:rPr>
        <w:t>ile su</w:t>
      </w:r>
      <w:r w:rsidRPr="00A34FA5">
        <w:rPr>
          <w:rFonts w:ascii="Arial" w:hAnsi="Arial" w:cs="Arial"/>
          <w:sz w:val="16"/>
          <w:szCs w:val="16"/>
        </w:rPr>
        <w:t xml:space="preserve"> se na pomoći Općini u iznosu 226.476,33 € i pomoć proračunskom korisniku (Dom za starije i nemoćne osobe) 13.000 €.</w:t>
      </w:r>
      <w:r w:rsidR="00036316" w:rsidRPr="00A34FA5">
        <w:rPr>
          <w:rFonts w:ascii="Arial" w:hAnsi="Arial" w:cs="Arial"/>
          <w:sz w:val="16"/>
          <w:szCs w:val="16"/>
        </w:rPr>
        <w:t xml:space="preserve"> </w:t>
      </w:r>
    </w:p>
    <w:p w14:paraId="23BDCC5E" w14:textId="231A7D8A" w:rsidR="00036316" w:rsidRPr="00A34FA5" w:rsidRDefault="00265227" w:rsidP="0003631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hAnsi="Arial" w:cs="Arial"/>
          <w:sz w:val="16"/>
          <w:szCs w:val="16"/>
        </w:rPr>
      </w:pPr>
      <w:r w:rsidRPr="00A34FA5">
        <w:rPr>
          <w:rFonts w:ascii="Arial" w:hAnsi="Arial" w:cs="Arial"/>
          <w:sz w:val="16"/>
          <w:szCs w:val="16"/>
        </w:rPr>
        <w:t>Pomoći Općini se odnose na pomoći od Županijske uprave za ceste za sufinanciranje održavanja cesta u iznosu 54.108,13 € i pomoći Fonda za zaštitu okoliša i energetsku učinkovitost 172.368,20 € (pomoći za nabavu komunalne opreme 116.040 €, za izradu akcijskog plana energetski održivog razvoja i prilagodbe klimatskim promjenama 8.500 €, za sufinanciranje projekta rekreacijske zone Obod 47.828,20 €). Prethodne godine su bila ostvarena sredstva za održavanje cesta od Županijske uprave za ceste u iznosu 198.941,13 €.</w:t>
      </w:r>
    </w:p>
    <w:p w14:paraId="10E9EC57" w14:textId="77777777" w:rsidR="00265227" w:rsidRPr="00A34FA5" w:rsidRDefault="00265227" w:rsidP="0026522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hAnsi="Arial" w:cs="Arial"/>
          <w:sz w:val="16"/>
          <w:szCs w:val="16"/>
        </w:rPr>
      </w:pPr>
      <w:r w:rsidRPr="00A34FA5">
        <w:rPr>
          <w:rFonts w:ascii="Arial" w:hAnsi="Arial" w:cs="Arial"/>
          <w:sz w:val="16"/>
          <w:szCs w:val="16"/>
        </w:rPr>
        <w:lastRenderedPageBreak/>
        <w:t>Pomoći proračunskom korisniku u iznosu 13.000 € odnose se na sredstva ostvarena kroz sufinanciranje nabave uređaja za sprječavanje nastanka biootpada (otpada od hrane) od strane Fonda za zaštitu okoliša i energetsku učinkovitost.</w:t>
      </w:r>
    </w:p>
    <w:p w14:paraId="4A91610B" w14:textId="77777777" w:rsidR="00265227" w:rsidRPr="003A2F86" w:rsidRDefault="00265227" w:rsidP="006222A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hAnsi="Arial" w:cs="Arial"/>
          <w:sz w:val="18"/>
          <w:szCs w:val="18"/>
        </w:rPr>
      </w:pPr>
    </w:p>
    <w:p w14:paraId="3DB05C32" w14:textId="0C213D60" w:rsidR="00474A7A" w:rsidRDefault="00474A7A" w:rsidP="00474A7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center"/>
        <w:rPr>
          <w:rFonts w:ascii="Arial" w:eastAsia="Times New Roman" w:hAnsi="Arial" w:cs="Arial"/>
        </w:rPr>
      </w:pPr>
      <w:r w:rsidRPr="00847308">
        <w:rPr>
          <w:rFonts w:ascii="Arial" w:hAnsi="Arial" w:cs="Arial"/>
          <w:b/>
          <w:bCs/>
          <w:i/>
          <w:iCs/>
        </w:rPr>
        <w:t>63</w:t>
      </w:r>
      <w:r>
        <w:rPr>
          <w:rFonts w:ascii="Arial" w:hAnsi="Arial" w:cs="Arial"/>
          <w:b/>
          <w:bCs/>
          <w:i/>
          <w:iCs/>
        </w:rPr>
        <w:t>5</w:t>
      </w:r>
      <w:r w:rsidRPr="00847308">
        <w:rPr>
          <w:rFonts w:ascii="Arial" w:eastAsia="Times New Roman" w:hAnsi="Arial" w:cs="Arial"/>
          <w:b/>
          <w:bCs/>
          <w:i/>
          <w:iCs/>
          <w:lang w:eastAsia="en-US"/>
        </w:rPr>
        <w:t xml:space="preserve"> Pomoći </w:t>
      </w:r>
      <w:r>
        <w:rPr>
          <w:rFonts w:ascii="Arial" w:eastAsia="Times New Roman" w:hAnsi="Arial" w:cs="Arial"/>
          <w:b/>
          <w:bCs/>
          <w:i/>
          <w:iCs/>
          <w:lang w:eastAsia="en-US"/>
        </w:rPr>
        <w:t>izravnanja za decentralizirane funkcije</w:t>
      </w:r>
    </w:p>
    <w:p w14:paraId="3D2D3450" w14:textId="77777777" w:rsidR="00474A7A" w:rsidRPr="003A2F86" w:rsidRDefault="00474A7A" w:rsidP="00C8408C">
      <w:pPr>
        <w:overflowPunct w:val="0"/>
        <w:autoSpaceDE w:val="0"/>
        <w:autoSpaceDN w:val="0"/>
        <w:adjustRightInd w:val="0"/>
        <w:spacing w:after="0" w:line="240" w:lineRule="auto"/>
        <w:jc w:val="both"/>
        <w:rPr>
          <w:rFonts w:ascii="Arial" w:eastAsia="Times New Roman" w:hAnsi="Arial" w:cs="Arial"/>
        </w:rPr>
      </w:pPr>
    </w:p>
    <w:p w14:paraId="0CBE0D1A" w14:textId="3CD41C12" w:rsidR="00C41369" w:rsidRPr="003A2F86" w:rsidRDefault="001865FB" w:rsidP="00C92BD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r w:rsidRPr="003A2F86">
        <w:rPr>
          <w:rFonts w:ascii="Arial" w:eastAsia="Times New Roman" w:hAnsi="Arial" w:cs="Arial"/>
          <w:b/>
          <w:bCs/>
          <w:lang w:eastAsia="en-US"/>
        </w:rPr>
        <w:t>P</w:t>
      </w:r>
      <w:r w:rsidR="00D21B52" w:rsidRPr="003A2F86">
        <w:rPr>
          <w:rFonts w:ascii="Arial" w:eastAsia="Times New Roman" w:hAnsi="Arial" w:cs="Arial"/>
          <w:b/>
          <w:bCs/>
          <w:lang w:eastAsia="en-US"/>
        </w:rPr>
        <w:t xml:space="preserve">omoći izravnanja za decentralizirane funkcije vatrogastva </w:t>
      </w:r>
      <w:r w:rsidR="00D21B52" w:rsidRPr="003A2F86">
        <w:rPr>
          <w:rFonts w:ascii="Arial" w:eastAsia="Times New Roman" w:hAnsi="Arial" w:cs="Arial"/>
          <w:lang w:eastAsia="en-US"/>
        </w:rPr>
        <w:t>(</w:t>
      </w:r>
      <w:r w:rsidR="00D21B52" w:rsidRPr="003A2F86">
        <w:rPr>
          <w:rFonts w:ascii="Arial" w:eastAsia="Times New Roman" w:hAnsi="Arial" w:cs="Arial"/>
          <w:b/>
          <w:bCs/>
          <w:lang w:eastAsia="en-US"/>
        </w:rPr>
        <w:t>6351</w:t>
      </w:r>
      <w:r w:rsidR="00D21B52" w:rsidRPr="003A2F86">
        <w:rPr>
          <w:rFonts w:ascii="Arial" w:eastAsia="Times New Roman" w:hAnsi="Arial" w:cs="Arial"/>
          <w:lang w:eastAsia="en-US"/>
        </w:rPr>
        <w:t>) su u 202</w:t>
      </w:r>
      <w:r w:rsidR="009E344C">
        <w:rPr>
          <w:rFonts w:ascii="Arial" w:eastAsia="Times New Roman" w:hAnsi="Arial" w:cs="Arial"/>
          <w:lang w:eastAsia="en-US"/>
        </w:rPr>
        <w:t>5</w:t>
      </w:r>
      <w:r w:rsidR="00D21B52" w:rsidRPr="003A2F86">
        <w:rPr>
          <w:rFonts w:ascii="Arial" w:eastAsia="Times New Roman" w:hAnsi="Arial" w:cs="Arial"/>
          <w:lang w:eastAsia="en-US"/>
        </w:rPr>
        <w:t>. ostvaren</w:t>
      </w:r>
      <w:r w:rsidRPr="003A2F86">
        <w:rPr>
          <w:rFonts w:ascii="Arial" w:eastAsia="Times New Roman" w:hAnsi="Arial" w:cs="Arial"/>
          <w:lang w:eastAsia="en-US"/>
        </w:rPr>
        <w:t>e</w:t>
      </w:r>
      <w:r w:rsidR="00D21B52" w:rsidRPr="003A2F86">
        <w:rPr>
          <w:rFonts w:ascii="Arial" w:eastAsia="Times New Roman" w:hAnsi="Arial" w:cs="Arial"/>
          <w:lang w:eastAsia="en-US"/>
        </w:rPr>
        <w:t xml:space="preserve"> u iznosu</w:t>
      </w:r>
      <w:r w:rsidR="003D26B5" w:rsidRPr="003A2F86">
        <w:rPr>
          <w:rFonts w:ascii="Arial" w:eastAsia="Times New Roman" w:hAnsi="Arial" w:cs="Arial"/>
          <w:lang w:eastAsia="en-US"/>
        </w:rPr>
        <w:t xml:space="preserve"> </w:t>
      </w:r>
      <w:r w:rsidR="00A34FA5">
        <w:rPr>
          <w:rFonts w:ascii="Arial" w:eastAsia="Times New Roman" w:hAnsi="Arial" w:cs="Arial"/>
          <w:lang w:eastAsia="en-US"/>
        </w:rPr>
        <w:t>215.893,12</w:t>
      </w:r>
      <w:r w:rsidR="005317BD" w:rsidRPr="003A2F86">
        <w:rPr>
          <w:rFonts w:ascii="Arial" w:eastAsia="Times New Roman" w:hAnsi="Arial" w:cs="Arial"/>
          <w:lang w:eastAsia="en-US"/>
        </w:rPr>
        <w:t xml:space="preserve"> €</w:t>
      </w:r>
      <w:r w:rsidR="00D21B52" w:rsidRPr="003A2F86">
        <w:rPr>
          <w:rFonts w:ascii="Arial" w:eastAsia="Times New Roman" w:hAnsi="Arial" w:cs="Arial"/>
          <w:lang w:eastAsia="en-US"/>
        </w:rPr>
        <w:t xml:space="preserve"> </w:t>
      </w:r>
      <w:r w:rsidR="00C41369" w:rsidRPr="003A2F86">
        <w:rPr>
          <w:rFonts w:ascii="Arial" w:eastAsia="Times New Roman" w:hAnsi="Arial" w:cs="Arial"/>
          <w:lang w:eastAsia="en-US"/>
        </w:rPr>
        <w:t xml:space="preserve">što je za </w:t>
      </w:r>
      <w:r w:rsidR="00A34FA5">
        <w:rPr>
          <w:rFonts w:ascii="Arial" w:eastAsia="Times New Roman" w:hAnsi="Arial" w:cs="Arial"/>
          <w:lang w:eastAsia="en-US"/>
        </w:rPr>
        <w:t>1.996,95</w:t>
      </w:r>
      <w:r w:rsidR="00C41369" w:rsidRPr="003A2F86">
        <w:rPr>
          <w:rFonts w:ascii="Arial" w:eastAsia="Times New Roman" w:hAnsi="Arial" w:cs="Arial"/>
          <w:lang w:eastAsia="en-US"/>
        </w:rPr>
        <w:t xml:space="preserve"> € </w:t>
      </w:r>
      <w:r w:rsidR="00C8408C" w:rsidRPr="003A2F86">
        <w:rPr>
          <w:rFonts w:ascii="Arial" w:eastAsia="Times New Roman" w:hAnsi="Arial" w:cs="Arial"/>
          <w:lang w:eastAsia="en-US"/>
        </w:rPr>
        <w:t xml:space="preserve">ili </w:t>
      </w:r>
      <w:r w:rsidR="00A34FA5">
        <w:rPr>
          <w:rFonts w:ascii="Arial" w:eastAsia="Times New Roman" w:hAnsi="Arial" w:cs="Arial"/>
          <w:lang w:eastAsia="en-US"/>
        </w:rPr>
        <w:t>0,9</w:t>
      </w:r>
      <w:r w:rsidR="00C8408C" w:rsidRPr="003A2F86">
        <w:rPr>
          <w:rFonts w:ascii="Arial" w:eastAsia="Times New Roman" w:hAnsi="Arial" w:cs="Arial"/>
          <w:lang w:eastAsia="en-US"/>
        </w:rPr>
        <w:t xml:space="preserve">% </w:t>
      </w:r>
      <w:r w:rsidR="00A34FA5">
        <w:rPr>
          <w:rFonts w:ascii="Arial" w:eastAsia="Times New Roman" w:hAnsi="Arial" w:cs="Arial"/>
          <w:lang w:eastAsia="en-US"/>
        </w:rPr>
        <w:t>više</w:t>
      </w:r>
      <w:r w:rsidR="00C41369" w:rsidRPr="003A2F86">
        <w:rPr>
          <w:rFonts w:ascii="Arial" w:eastAsia="Times New Roman" w:hAnsi="Arial" w:cs="Arial"/>
          <w:lang w:eastAsia="en-US"/>
        </w:rPr>
        <w:t xml:space="preserve"> nego u izvještajnom razdoblju 202</w:t>
      </w:r>
      <w:r w:rsidR="009E344C">
        <w:rPr>
          <w:rFonts w:ascii="Arial" w:eastAsia="Times New Roman" w:hAnsi="Arial" w:cs="Arial"/>
          <w:lang w:eastAsia="en-US"/>
        </w:rPr>
        <w:t>4</w:t>
      </w:r>
      <w:r w:rsidR="00C41369" w:rsidRPr="003A2F86">
        <w:rPr>
          <w:rFonts w:ascii="Arial" w:eastAsia="Times New Roman" w:hAnsi="Arial" w:cs="Arial"/>
          <w:lang w:eastAsia="en-US"/>
        </w:rPr>
        <w:t>.</w:t>
      </w:r>
      <w:r w:rsidR="009E344C">
        <w:rPr>
          <w:rFonts w:ascii="Arial" w:eastAsia="Times New Roman" w:hAnsi="Arial" w:cs="Arial"/>
          <w:lang w:eastAsia="en-US"/>
        </w:rPr>
        <w:t xml:space="preserve"> </w:t>
      </w:r>
      <w:r w:rsidR="00C41369" w:rsidRPr="003A2F86">
        <w:rPr>
          <w:rFonts w:ascii="Arial" w:eastAsia="Times New Roman" w:hAnsi="Arial" w:cs="Arial"/>
          <w:lang w:eastAsia="en-US"/>
        </w:rPr>
        <w:t>godine.</w:t>
      </w:r>
    </w:p>
    <w:p w14:paraId="6AB0898A" w14:textId="77777777" w:rsidR="00C41369" w:rsidRPr="003A2F86" w:rsidRDefault="00C41369" w:rsidP="00C92BD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lang w:eastAsia="en-US"/>
        </w:rPr>
      </w:pPr>
    </w:p>
    <w:p w14:paraId="0E1EB33F" w14:textId="4E63E57E" w:rsidR="00B54A75" w:rsidRPr="00A34FA5" w:rsidRDefault="00C41369" w:rsidP="00B54A7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lang w:eastAsia="en-US"/>
        </w:rPr>
      </w:pPr>
      <w:r w:rsidRPr="00A34FA5">
        <w:rPr>
          <w:rFonts w:ascii="Arial" w:eastAsia="Times New Roman" w:hAnsi="Arial" w:cs="Arial"/>
          <w:sz w:val="16"/>
          <w:szCs w:val="16"/>
          <w:lang w:eastAsia="en-US"/>
        </w:rPr>
        <w:t xml:space="preserve">Sveukupno </w:t>
      </w:r>
      <w:r w:rsidR="003D26B5" w:rsidRPr="00A34FA5">
        <w:rPr>
          <w:rFonts w:ascii="Arial" w:eastAsia="Times New Roman" w:hAnsi="Arial" w:cs="Arial"/>
          <w:sz w:val="16"/>
          <w:szCs w:val="16"/>
          <w:lang w:eastAsia="en-US"/>
        </w:rPr>
        <w:t>ostvarene pomoći izravnanja za decentralizirane funkcije vatrogastva (</w:t>
      </w:r>
      <w:r w:rsidR="003D26B5" w:rsidRPr="00A34FA5">
        <w:rPr>
          <w:rFonts w:ascii="Arial" w:eastAsia="Times New Roman" w:hAnsi="Arial" w:cs="Arial"/>
          <w:b/>
          <w:bCs/>
          <w:sz w:val="16"/>
          <w:szCs w:val="16"/>
          <w:lang w:eastAsia="en-US"/>
        </w:rPr>
        <w:t>6351</w:t>
      </w:r>
      <w:r w:rsidR="003D26B5" w:rsidRPr="00A34FA5">
        <w:rPr>
          <w:rFonts w:ascii="Arial" w:eastAsia="Times New Roman" w:hAnsi="Arial" w:cs="Arial"/>
          <w:sz w:val="16"/>
          <w:szCs w:val="16"/>
          <w:lang w:eastAsia="en-US"/>
        </w:rPr>
        <w:t xml:space="preserve">) </w:t>
      </w:r>
      <w:r w:rsidRPr="00A34FA5">
        <w:rPr>
          <w:rFonts w:ascii="Arial" w:eastAsia="Times New Roman" w:hAnsi="Arial" w:cs="Arial"/>
          <w:sz w:val="16"/>
          <w:szCs w:val="16"/>
          <w:lang w:eastAsia="en-US"/>
        </w:rPr>
        <w:t xml:space="preserve">u </w:t>
      </w:r>
      <w:r w:rsidR="00C92BD2" w:rsidRPr="00A34FA5">
        <w:rPr>
          <w:rFonts w:ascii="Arial" w:eastAsia="Times New Roman" w:hAnsi="Arial" w:cs="Arial"/>
          <w:sz w:val="16"/>
          <w:szCs w:val="16"/>
          <w:lang w:eastAsia="en-US"/>
        </w:rPr>
        <w:t xml:space="preserve">2020. su </w:t>
      </w:r>
      <w:r w:rsidR="003D26B5" w:rsidRPr="00A34FA5">
        <w:rPr>
          <w:rFonts w:ascii="Arial" w:eastAsia="Times New Roman" w:hAnsi="Arial" w:cs="Arial"/>
          <w:sz w:val="16"/>
          <w:szCs w:val="16"/>
          <w:lang w:eastAsia="en-US"/>
        </w:rPr>
        <w:t>iznosile</w:t>
      </w:r>
      <w:r w:rsidR="00C92BD2" w:rsidRPr="00A34FA5">
        <w:rPr>
          <w:rFonts w:ascii="Arial" w:eastAsia="Times New Roman" w:hAnsi="Arial" w:cs="Arial"/>
          <w:sz w:val="16"/>
          <w:szCs w:val="16"/>
          <w:lang w:eastAsia="en-US"/>
        </w:rPr>
        <w:t xml:space="preserve"> </w:t>
      </w:r>
      <w:r w:rsidRPr="00A34FA5">
        <w:rPr>
          <w:rFonts w:ascii="Arial" w:eastAsia="Times New Roman" w:hAnsi="Arial" w:cs="Arial"/>
          <w:sz w:val="16"/>
          <w:szCs w:val="16"/>
          <w:lang w:eastAsia="en-US"/>
        </w:rPr>
        <w:t>242.635,48 €</w:t>
      </w:r>
      <w:r w:rsidR="00C92BD2" w:rsidRPr="00A34FA5">
        <w:rPr>
          <w:rFonts w:ascii="Arial" w:eastAsia="Times New Roman" w:hAnsi="Arial" w:cs="Arial"/>
          <w:sz w:val="16"/>
          <w:szCs w:val="16"/>
          <w:lang w:eastAsia="en-US"/>
        </w:rPr>
        <w:t xml:space="preserve">, u 2021. su </w:t>
      </w:r>
      <w:r w:rsidR="003D26B5" w:rsidRPr="00A34FA5">
        <w:rPr>
          <w:rFonts w:ascii="Arial" w:eastAsia="Times New Roman" w:hAnsi="Arial" w:cs="Arial"/>
          <w:sz w:val="16"/>
          <w:szCs w:val="16"/>
          <w:lang w:eastAsia="en-US"/>
        </w:rPr>
        <w:t>iznosile</w:t>
      </w:r>
      <w:r w:rsidR="00C92BD2" w:rsidRPr="00A34FA5">
        <w:rPr>
          <w:rFonts w:ascii="Arial" w:eastAsia="Times New Roman" w:hAnsi="Arial" w:cs="Arial"/>
          <w:sz w:val="16"/>
          <w:szCs w:val="16"/>
          <w:lang w:eastAsia="en-US"/>
        </w:rPr>
        <w:t xml:space="preserve"> </w:t>
      </w:r>
      <w:r w:rsidRPr="00A34FA5">
        <w:rPr>
          <w:rFonts w:ascii="Arial" w:eastAsia="Times New Roman" w:hAnsi="Arial" w:cs="Arial"/>
          <w:sz w:val="16"/>
          <w:szCs w:val="16"/>
          <w:lang w:eastAsia="en-US"/>
        </w:rPr>
        <w:t>251.505,87 €</w:t>
      </w:r>
      <w:r w:rsidR="00C92BD2" w:rsidRPr="00A34FA5">
        <w:rPr>
          <w:rFonts w:ascii="Arial" w:eastAsia="Times New Roman" w:hAnsi="Arial" w:cs="Arial"/>
          <w:sz w:val="16"/>
          <w:szCs w:val="16"/>
          <w:lang w:eastAsia="en-US"/>
        </w:rPr>
        <w:t xml:space="preserve">, u 2022. </w:t>
      </w:r>
      <w:r w:rsidR="003D26B5" w:rsidRPr="00A34FA5">
        <w:rPr>
          <w:rFonts w:ascii="Arial" w:eastAsia="Times New Roman" w:hAnsi="Arial" w:cs="Arial"/>
          <w:sz w:val="16"/>
          <w:szCs w:val="16"/>
          <w:lang w:eastAsia="en-US"/>
        </w:rPr>
        <w:t>su iznosile</w:t>
      </w:r>
      <w:r w:rsidR="00C92BD2" w:rsidRPr="00A34FA5">
        <w:rPr>
          <w:rFonts w:ascii="Arial" w:eastAsia="Times New Roman" w:hAnsi="Arial" w:cs="Arial"/>
          <w:sz w:val="16"/>
          <w:szCs w:val="16"/>
          <w:lang w:eastAsia="en-US"/>
        </w:rPr>
        <w:t xml:space="preserve"> </w:t>
      </w:r>
      <w:r w:rsidRPr="00A34FA5">
        <w:rPr>
          <w:rFonts w:ascii="Arial" w:eastAsia="Times New Roman" w:hAnsi="Arial" w:cs="Arial"/>
          <w:sz w:val="16"/>
          <w:szCs w:val="16"/>
          <w:lang w:eastAsia="en-US"/>
        </w:rPr>
        <w:t>238.103,02 €</w:t>
      </w:r>
      <w:r w:rsidR="003D26B5" w:rsidRPr="00A34FA5">
        <w:rPr>
          <w:rFonts w:ascii="Arial" w:eastAsia="Times New Roman" w:hAnsi="Arial" w:cs="Arial"/>
          <w:sz w:val="16"/>
          <w:szCs w:val="16"/>
          <w:lang w:eastAsia="en-US"/>
        </w:rPr>
        <w:t xml:space="preserve">, u 2023. </w:t>
      </w:r>
      <w:r w:rsidR="00B54A75" w:rsidRPr="00A34FA5">
        <w:rPr>
          <w:rFonts w:ascii="Arial" w:eastAsia="Times New Roman" w:hAnsi="Arial" w:cs="Arial"/>
          <w:sz w:val="16"/>
          <w:szCs w:val="16"/>
          <w:lang w:eastAsia="en-US"/>
        </w:rPr>
        <w:t xml:space="preserve">su </w:t>
      </w:r>
      <w:r w:rsidR="003D26B5" w:rsidRPr="00A34FA5">
        <w:rPr>
          <w:rFonts w:ascii="Arial" w:eastAsia="Times New Roman" w:hAnsi="Arial" w:cs="Arial"/>
          <w:sz w:val="16"/>
          <w:szCs w:val="16"/>
          <w:lang w:eastAsia="en-US"/>
        </w:rPr>
        <w:t xml:space="preserve">iznosile </w:t>
      </w:r>
      <w:bookmarkStart w:id="103" w:name="_Hlk145931093"/>
      <w:r w:rsidR="003D26B5" w:rsidRPr="00A34FA5">
        <w:rPr>
          <w:rFonts w:ascii="Arial" w:eastAsia="Times New Roman" w:hAnsi="Arial" w:cs="Arial"/>
          <w:sz w:val="16"/>
          <w:szCs w:val="16"/>
          <w:lang w:eastAsia="en-US"/>
        </w:rPr>
        <w:t>214.650,92 €</w:t>
      </w:r>
      <w:bookmarkEnd w:id="103"/>
      <w:r w:rsidR="00B54A75" w:rsidRPr="00A34FA5">
        <w:rPr>
          <w:rFonts w:ascii="Arial" w:eastAsia="Times New Roman" w:hAnsi="Arial" w:cs="Arial"/>
          <w:sz w:val="16"/>
          <w:szCs w:val="16"/>
          <w:lang w:eastAsia="en-US"/>
        </w:rPr>
        <w:t>, dok su u 2024. godini iznosile 213.896,17 €.</w:t>
      </w:r>
    </w:p>
    <w:p w14:paraId="69C30376" w14:textId="4ACF29DD" w:rsidR="00C92BD2" w:rsidRPr="003A2F86" w:rsidRDefault="00C92BD2" w:rsidP="006222A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lang w:eastAsia="en-US"/>
        </w:rPr>
      </w:pPr>
    </w:p>
    <w:p w14:paraId="16C1A0EA" w14:textId="39E6BC8C" w:rsidR="00474A7A" w:rsidRDefault="00474A7A" w:rsidP="00474A7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center"/>
        <w:rPr>
          <w:rFonts w:ascii="Arial" w:eastAsia="Times New Roman" w:hAnsi="Arial" w:cs="Arial"/>
        </w:rPr>
      </w:pPr>
      <w:r w:rsidRPr="00847308">
        <w:rPr>
          <w:rFonts w:ascii="Arial" w:hAnsi="Arial" w:cs="Arial"/>
          <w:b/>
          <w:bCs/>
          <w:i/>
          <w:iCs/>
        </w:rPr>
        <w:t>63</w:t>
      </w:r>
      <w:r>
        <w:rPr>
          <w:rFonts w:ascii="Arial" w:hAnsi="Arial" w:cs="Arial"/>
          <w:b/>
          <w:bCs/>
          <w:i/>
          <w:iCs/>
        </w:rPr>
        <w:t>6</w:t>
      </w:r>
      <w:r w:rsidRPr="00847308">
        <w:rPr>
          <w:rFonts w:ascii="Arial" w:eastAsia="Times New Roman" w:hAnsi="Arial" w:cs="Arial"/>
          <w:b/>
          <w:bCs/>
          <w:i/>
          <w:iCs/>
          <w:lang w:eastAsia="en-US"/>
        </w:rPr>
        <w:t xml:space="preserve"> Pomoći </w:t>
      </w:r>
      <w:r>
        <w:rPr>
          <w:rFonts w:ascii="Arial" w:eastAsia="Times New Roman" w:hAnsi="Arial" w:cs="Arial"/>
          <w:b/>
          <w:bCs/>
          <w:i/>
          <w:iCs/>
          <w:lang w:eastAsia="en-US"/>
        </w:rPr>
        <w:t>proračunskim korisnicima iz proračuna koji im nije nadležan</w:t>
      </w:r>
    </w:p>
    <w:p w14:paraId="7E6C2B2F" w14:textId="77777777" w:rsidR="00474A7A" w:rsidRPr="00474A7A" w:rsidRDefault="00474A7A" w:rsidP="003D26B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p>
    <w:p w14:paraId="35320C7D" w14:textId="0507AE77" w:rsidR="00210001" w:rsidRDefault="005317BD" w:rsidP="00210001">
      <w:pPr>
        <w:overflowPunct w:val="0"/>
        <w:autoSpaceDE w:val="0"/>
        <w:autoSpaceDN w:val="0"/>
        <w:adjustRightInd w:val="0"/>
        <w:spacing w:after="0" w:line="240" w:lineRule="auto"/>
        <w:jc w:val="both"/>
        <w:rPr>
          <w:rFonts w:ascii="Arial" w:eastAsia="Times New Roman" w:hAnsi="Arial" w:cs="Arial"/>
          <w:lang w:eastAsia="en-US"/>
        </w:rPr>
      </w:pPr>
      <w:bookmarkStart w:id="104" w:name="_Hlk206858047"/>
      <w:r w:rsidRPr="003A2F86">
        <w:rPr>
          <w:rFonts w:ascii="Arial" w:eastAsia="Times New Roman" w:hAnsi="Arial" w:cs="Arial"/>
          <w:b/>
          <w:bCs/>
        </w:rPr>
        <w:t xml:space="preserve">Pomoći proračunskim korisnicima iz proračuna koji im nije nadležan </w:t>
      </w:r>
      <w:r w:rsidRPr="003A2F86">
        <w:rPr>
          <w:rFonts w:ascii="Arial" w:eastAsia="Times New Roman" w:hAnsi="Arial" w:cs="Arial"/>
        </w:rPr>
        <w:t>(</w:t>
      </w:r>
      <w:r w:rsidRPr="003A2F86">
        <w:rPr>
          <w:rFonts w:ascii="Arial" w:eastAsia="Times New Roman" w:hAnsi="Arial" w:cs="Arial"/>
          <w:b/>
          <w:bCs/>
        </w:rPr>
        <w:t>636</w:t>
      </w:r>
      <w:r w:rsidRPr="003A2F86">
        <w:rPr>
          <w:rFonts w:ascii="Arial" w:eastAsia="Times New Roman" w:hAnsi="Arial" w:cs="Arial"/>
        </w:rPr>
        <w:t xml:space="preserve">) </w:t>
      </w:r>
      <w:r w:rsidR="006222A2">
        <w:rPr>
          <w:rFonts w:ascii="Arial" w:eastAsia="Times New Roman" w:hAnsi="Arial" w:cs="Arial"/>
        </w:rPr>
        <w:t>u 202</w:t>
      </w:r>
      <w:r w:rsidR="00604873">
        <w:rPr>
          <w:rFonts w:ascii="Arial" w:eastAsia="Times New Roman" w:hAnsi="Arial" w:cs="Arial"/>
        </w:rPr>
        <w:t>5</w:t>
      </w:r>
      <w:r w:rsidR="006222A2">
        <w:rPr>
          <w:rFonts w:ascii="Arial" w:eastAsia="Times New Roman" w:hAnsi="Arial" w:cs="Arial"/>
        </w:rPr>
        <w:t xml:space="preserve">. </w:t>
      </w:r>
      <w:r w:rsidRPr="003A2F86">
        <w:rPr>
          <w:rFonts w:ascii="Arial" w:eastAsia="Times New Roman" w:hAnsi="Arial" w:cs="Arial"/>
        </w:rPr>
        <w:t xml:space="preserve">su ostvarene u iznosu </w:t>
      </w:r>
      <w:bookmarkEnd w:id="104"/>
      <w:r w:rsidR="00210001" w:rsidRPr="00210001">
        <w:rPr>
          <w:rFonts w:ascii="Arial" w:eastAsia="Times New Roman" w:hAnsi="Arial" w:cs="Arial"/>
          <w:lang w:eastAsia="en-US"/>
        </w:rPr>
        <w:t xml:space="preserve">70.456,50 € (više za 30.199,50 € ili 75% nego prethodne godine), a odnose se na pomoći: Muzejima i galerijama Konavala (Ministarstvo kulture 53.787,50 €), Dječjim vrtićima Konavala (Ministarstvo znanosti, obrazovanja i sporta 7.649 €), Domu za starije i nemoćne osobe u iznosu 9.020 € (od Dubrovačko-neretvanske županije 2.000 € i od Ministarstva za sufinanciranje cijene energenata 7.020 €). </w:t>
      </w:r>
    </w:p>
    <w:p w14:paraId="6F65867B" w14:textId="77777777" w:rsidR="00210001" w:rsidRPr="00BF5EDD" w:rsidRDefault="00210001" w:rsidP="00210001">
      <w:pPr>
        <w:overflowPunct w:val="0"/>
        <w:autoSpaceDE w:val="0"/>
        <w:autoSpaceDN w:val="0"/>
        <w:adjustRightInd w:val="0"/>
        <w:spacing w:after="0" w:line="240" w:lineRule="auto"/>
        <w:jc w:val="both"/>
        <w:rPr>
          <w:rFonts w:ascii="Arial" w:eastAsia="Times New Roman" w:hAnsi="Arial" w:cs="Arial"/>
          <w:sz w:val="20"/>
          <w:szCs w:val="20"/>
          <w:lang w:eastAsia="en-US"/>
        </w:rPr>
      </w:pPr>
    </w:p>
    <w:p w14:paraId="7C28DD77" w14:textId="04C99C0D" w:rsidR="009E344C" w:rsidRPr="00210001" w:rsidRDefault="009E344C" w:rsidP="009E344C">
      <w:pPr>
        <w:overflowPunct w:val="0"/>
        <w:autoSpaceDE w:val="0"/>
        <w:autoSpaceDN w:val="0"/>
        <w:adjustRightInd w:val="0"/>
        <w:spacing w:after="0" w:line="240" w:lineRule="auto"/>
        <w:ind w:left="567"/>
        <w:jc w:val="both"/>
        <w:rPr>
          <w:rFonts w:ascii="Arial" w:eastAsia="Times New Roman" w:hAnsi="Arial" w:cs="Arial"/>
          <w:sz w:val="16"/>
          <w:szCs w:val="16"/>
        </w:rPr>
      </w:pPr>
      <w:r w:rsidRPr="00210001">
        <w:rPr>
          <w:rFonts w:ascii="Arial" w:eastAsia="Times New Roman" w:hAnsi="Arial" w:cs="Arial"/>
          <w:sz w:val="16"/>
          <w:szCs w:val="16"/>
        </w:rPr>
        <w:t>Pomoći proračunskim korisnicima iz proračuna koji im nije nadležan</w:t>
      </w:r>
      <w:r w:rsidRPr="00210001">
        <w:rPr>
          <w:rFonts w:ascii="Arial" w:eastAsia="Times New Roman" w:hAnsi="Arial" w:cs="Arial"/>
          <w:b/>
          <w:bCs/>
          <w:sz w:val="16"/>
          <w:szCs w:val="16"/>
        </w:rPr>
        <w:t xml:space="preserve"> </w:t>
      </w:r>
      <w:r w:rsidRPr="00210001">
        <w:rPr>
          <w:rFonts w:ascii="Arial" w:eastAsia="Times New Roman" w:hAnsi="Arial" w:cs="Arial"/>
          <w:sz w:val="16"/>
          <w:szCs w:val="16"/>
        </w:rPr>
        <w:t>(</w:t>
      </w:r>
      <w:r w:rsidRPr="00210001">
        <w:rPr>
          <w:rFonts w:ascii="Arial" w:eastAsia="Times New Roman" w:hAnsi="Arial" w:cs="Arial"/>
          <w:b/>
          <w:bCs/>
          <w:sz w:val="16"/>
          <w:szCs w:val="16"/>
        </w:rPr>
        <w:t>636</w:t>
      </w:r>
      <w:r w:rsidRPr="00210001">
        <w:rPr>
          <w:rFonts w:ascii="Arial" w:eastAsia="Times New Roman" w:hAnsi="Arial" w:cs="Arial"/>
          <w:sz w:val="16"/>
          <w:szCs w:val="16"/>
        </w:rPr>
        <w:t xml:space="preserve">) u 2024. su ostvarene u iznosu 40.257,00, a odnose se na pomoći: Muzejima i galerijama Konavala (Ministarstvo kulture 27.480 €), Dječjim vrtićima Konavala (Ministarstvo znanosti, obrazovanja i sporta 6.590 €), Domu za starije i nemoćne osobe u iznosu 6.187 € (od Dubrovačko-neretvanske županije 1.327 € i od Ministarstva za sufinanciranje cijene energenata 4.860 €). </w:t>
      </w:r>
    </w:p>
    <w:p w14:paraId="3B12E378" w14:textId="77777777" w:rsidR="007F2395" w:rsidRDefault="007F2395" w:rsidP="006222A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lang w:eastAsia="en-US"/>
        </w:rPr>
      </w:pPr>
    </w:p>
    <w:p w14:paraId="50985B66" w14:textId="7FB12D64" w:rsidR="00CF5028" w:rsidRDefault="00CF5028" w:rsidP="00CF502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center"/>
        <w:rPr>
          <w:rFonts w:ascii="Arial" w:eastAsia="Times New Roman" w:hAnsi="Arial" w:cs="Arial"/>
        </w:rPr>
      </w:pPr>
      <w:r w:rsidRPr="00847308">
        <w:rPr>
          <w:rFonts w:ascii="Arial" w:hAnsi="Arial" w:cs="Arial"/>
          <w:b/>
          <w:bCs/>
          <w:i/>
          <w:iCs/>
        </w:rPr>
        <w:t>63</w:t>
      </w:r>
      <w:r>
        <w:rPr>
          <w:rFonts w:ascii="Arial" w:hAnsi="Arial" w:cs="Arial"/>
          <w:b/>
          <w:bCs/>
          <w:i/>
          <w:iCs/>
        </w:rPr>
        <w:t>8</w:t>
      </w:r>
      <w:r w:rsidRPr="00847308">
        <w:rPr>
          <w:rFonts w:ascii="Arial" w:eastAsia="Times New Roman" w:hAnsi="Arial" w:cs="Arial"/>
          <w:b/>
          <w:bCs/>
          <w:i/>
          <w:iCs/>
          <w:lang w:eastAsia="en-US"/>
        </w:rPr>
        <w:t xml:space="preserve"> Pomoći </w:t>
      </w:r>
      <w:r>
        <w:rPr>
          <w:rFonts w:ascii="Arial" w:eastAsia="Times New Roman" w:hAnsi="Arial" w:cs="Arial"/>
          <w:b/>
          <w:bCs/>
          <w:i/>
          <w:iCs/>
          <w:lang w:eastAsia="en-US"/>
        </w:rPr>
        <w:t>temeljem prijenosa EU sredstava</w:t>
      </w:r>
    </w:p>
    <w:p w14:paraId="3D096935" w14:textId="77777777" w:rsidR="00C92BD2" w:rsidRPr="003A2F86" w:rsidRDefault="00C92BD2" w:rsidP="00C8408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p>
    <w:p w14:paraId="4460BC6D" w14:textId="77777777" w:rsidR="00210001" w:rsidRPr="00210001" w:rsidRDefault="005317BD" w:rsidP="00210001">
      <w:pPr>
        <w:overflowPunct w:val="0"/>
        <w:autoSpaceDE w:val="0"/>
        <w:autoSpaceDN w:val="0"/>
        <w:adjustRightInd w:val="0"/>
        <w:spacing w:after="0" w:line="240" w:lineRule="auto"/>
        <w:jc w:val="both"/>
        <w:rPr>
          <w:rFonts w:ascii="Arial" w:eastAsia="Times New Roman" w:hAnsi="Arial" w:cs="Arial"/>
        </w:rPr>
      </w:pPr>
      <w:bookmarkStart w:id="105" w:name="_Hlk160005885"/>
      <w:bookmarkStart w:id="106" w:name="_Hlk103073381"/>
      <w:r w:rsidRPr="003A2F86">
        <w:rPr>
          <w:rFonts w:ascii="Arial" w:eastAsia="Times New Roman" w:hAnsi="Arial" w:cs="Arial"/>
          <w:b/>
          <w:bCs/>
        </w:rPr>
        <w:t>Pomoći temeljem prijenosa EU sredstava (638)</w:t>
      </w:r>
      <w:r w:rsidRPr="003A2F86">
        <w:rPr>
          <w:rFonts w:ascii="Arial" w:eastAsia="Times New Roman" w:hAnsi="Arial" w:cs="Arial"/>
        </w:rPr>
        <w:t xml:space="preserve"> u 202</w:t>
      </w:r>
      <w:r w:rsidR="00CB7E97">
        <w:rPr>
          <w:rFonts w:ascii="Arial" w:eastAsia="Times New Roman" w:hAnsi="Arial" w:cs="Arial"/>
        </w:rPr>
        <w:t>5</w:t>
      </w:r>
      <w:r w:rsidRPr="003A2F86">
        <w:rPr>
          <w:rFonts w:ascii="Arial" w:eastAsia="Times New Roman" w:hAnsi="Arial" w:cs="Arial"/>
        </w:rPr>
        <w:t xml:space="preserve">. su ostvarene u iznosu </w:t>
      </w:r>
      <w:bookmarkEnd w:id="105"/>
      <w:r w:rsidR="00210001" w:rsidRPr="00210001">
        <w:rPr>
          <w:rFonts w:ascii="Arial" w:eastAsia="Times New Roman" w:hAnsi="Arial" w:cs="Arial"/>
        </w:rPr>
        <w:t>3.491.046,17 € i odnose se na:</w:t>
      </w:r>
    </w:p>
    <w:p w14:paraId="4E296D93" w14:textId="77777777" w:rsidR="00210001" w:rsidRPr="00210001" w:rsidRDefault="00210001">
      <w:pPr>
        <w:numPr>
          <w:ilvl w:val="0"/>
          <w:numId w:val="14"/>
        </w:numPr>
        <w:overflowPunct w:val="0"/>
        <w:autoSpaceDE w:val="0"/>
        <w:autoSpaceDN w:val="0"/>
        <w:adjustRightInd w:val="0"/>
        <w:spacing w:after="0" w:line="240" w:lineRule="auto"/>
        <w:jc w:val="both"/>
        <w:rPr>
          <w:rFonts w:ascii="Arial" w:eastAsia="Times New Roman" w:hAnsi="Arial" w:cs="Arial"/>
        </w:rPr>
      </w:pPr>
      <w:r w:rsidRPr="00210001">
        <w:rPr>
          <w:rFonts w:ascii="Arial" w:eastAsia="Times New Roman" w:hAnsi="Arial" w:cs="Arial"/>
        </w:rPr>
        <w:t>pomoć na temelju odobrenog konačnog obračuna za izgradnju vatrogasnog doma i nabavu vatrogasne opreme u iznosu 305.314,39 € ,te</w:t>
      </w:r>
    </w:p>
    <w:p w14:paraId="265D8149" w14:textId="77777777" w:rsidR="00210001" w:rsidRPr="00210001" w:rsidRDefault="00210001">
      <w:pPr>
        <w:numPr>
          <w:ilvl w:val="0"/>
          <w:numId w:val="14"/>
        </w:numPr>
        <w:overflowPunct w:val="0"/>
        <w:autoSpaceDE w:val="0"/>
        <w:autoSpaceDN w:val="0"/>
        <w:adjustRightInd w:val="0"/>
        <w:spacing w:after="0" w:line="240" w:lineRule="auto"/>
        <w:jc w:val="both"/>
        <w:rPr>
          <w:rFonts w:ascii="Arial" w:eastAsia="Times New Roman" w:hAnsi="Arial" w:cs="Arial"/>
        </w:rPr>
      </w:pPr>
      <w:r w:rsidRPr="00210001">
        <w:rPr>
          <w:rFonts w:ascii="Arial" w:eastAsia="Times New Roman" w:hAnsi="Arial" w:cs="Arial"/>
        </w:rPr>
        <w:t xml:space="preserve"> pomoć za temelju odobrenih zahtjeva za nadoknadom sredstava u iznosu 3.185.731,78 € za izgradnju nove osnovne škole u Cavtatu čiji radovi su započeli u 2025. godini.</w:t>
      </w:r>
    </w:p>
    <w:p w14:paraId="19B78077" w14:textId="60962F46" w:rsidR="00C8408C" w:rsidRPr="00270B77" w:rsidRDefault="00C8408C" w:rsidP="00C8408C">
      <w:pPr>
        <w:overflowPunct w:val="0"/>
        <w:autoSpaceDE w:val="0"/>
        <w:autoSpaceDN w:val="0"/>
        <w:adjustRightInd w:val="0"/>
        <w:spacing w:after="0" w:line="240" w:lineRule="auto"/>
        <w:jc w:val="both"/>
        <w:rPr>
          <w:rFonts w:ascii="Arial" w:hAnsi="Arial" w:cs="Arial"/>
          <w:sz w:val="12"/>
          <w:szCs w:val="12"/>
        </w:rPr>
      </w:pPr>
    </w:p>
    <w:bookmarkEnd w:id="106"/>
    <w:p w14:paraId="611ED947" w14:textId="0036FA3B" w:rsidR="00CB7E97" w:rsidRPr="00210001" w:rsidRDefault="005317BD" w:rsidP="00C44D4D">
      <w:pPr>
        <w:overflowPunct w:val="0"/>
        <w:autoSpaceDE w:val="0"/>
        <w:autoSpaceDN w:val="0"/>
        <w:adjustRightInd w:val="0"/>
        <w:spacing w:after="0" w:line="240" w:lineRule="auto"/>
        <w:ind w:left="567"/>
        <w:jc w:val="both"/>
        <w:rPr>
          <w:rFonts w:ascii="Arial" w:eastAsia="Times New Roman" w:hAnsi="Arial" w:cs="Arial"/>
          <w:sz w:val="16"/>
          <w:szCs w:val="16"/>
        </w:rPr>
      </w:pPr>
      <w:r w:rsidRPr="00210001">
        <w:rPr>
          <w:rFonts w:ascii="Arial" w:eastAsia="Times New Roman" w:hAnsi="Arial" w:cs="Arial"/>
          <w:sz w:val="16"/>
          <w:szCs w:val="16"/>
          <w:lang w:eastAsia="en-US"/>
        </w:rPr>
        <w:t xml:space="preserve">U </w:t>
      </w:r>
      <w:r w:rsidRPr="00210001">
        <w:rPr>
          <w:rFonts w:ascii="Arial" w:eastAsia="Times New Roman" w:hAnsi="Arial" w:cs="Arial"/>
          <w:b/>
          <w:bCs/>
          <w:sz w:val="16"/>
          <w:szCs w:val="16"/>
          <w:lang w:eastAsia="en-US"/>
        </w:rPr>
        <w:t>202</w:t>
      </w:r>
      <w:r w:rsidR="00BF5EDD">
        <w:rPr>
          <w:rFonts w:ascii="Arial" w:eastAsia="Times New Roman" w:hAnsi="Arial" w:cs="Arial"/>
          <w:b/>
          <w:bCs/>
          <w:sz w:val="16"/>
          <w:szCs w:val="16"/>
          <w:lang w:eastAsia="en-US"/>
        </w:rPr>
        <w:t>4</w:t>
      </w:r>
      <w:r w:rsidRPr="00210001">
        <w:rPr>
          <w:rFonts w:ascii="Arial" w:eastAsia="Times New Roman" w:hAnsi="Arial" w:cs="Arial"/>
          <w:sz w:val="16"/>
          <w:szCs w:val="16"/>
          <w:lang w:eastAsia="en-US"/>
        </w:rPr>
        <w:t xml:space="preserve">. godini su </w:t>
      </w:r>
      <w:r w:rsidR="006222A2" w:rsidRPr="00210001">
        <w:rPr>
          <w:rFonts w:ascii="Arial" w:eastAsia="Times New Roman" w:hAnsi="Arial" w:cs="Arial"/>
          <w:sz w:val="16"/>
          <w:szCs w:val="16"/>
          <w:lang w:eastAsia="en-US"/>
        </w:rPr>
        <w:t xml:space="preserve">bila </w:t>
      </w:r>
      <w:r w:rsidRPr="00210001">
        <w:rPr>
          <w:rFonts w:ascii="Arial" w:eastAsia="Times New Roman" w:hAnsi="Arial" w:cs="Arial"/>
          <w:sz w:val="16"/>
          <w:szCs w:val="16"/>
          <w:lang w:eastAsia="en-US"/>
        </w:rPr>
        <w:t xml:space="preserve">ostvarena EU sredstva (638) u iznosu </w:t>
      </w:r>
      <w:r w:rsidR="00CB7E97" w:rsidRPr="00210001">
        <w:rPr>
          <w:rFonts w:ascii="Arial" w:eastAsia="Times New Roman" w:hAnsi="Arial" w:cs="Arial"/>
          <w:sz w:val="16"/>
          <w:szCs w:val="16"/>
        </w:rPr>
        <w:t>12.220,84 €</w:t>
      </w:r>
      <w:r w:rsidR="00B87805" w:rsidRPr="00210001">
        <w:rPr>
          <w:rFonts w:ascii="Arial" w:eastAsia="Times New Roman" w:hAnsi="Arial" w:cs="Arial"/>
          <w:sz w:val="16"/>
          <w:szCs w:val="16"/>
        </w:rPr>
        <w:t xml:space="preserve"> na temelju konačnog obračuna po projektu Ot</w:t>
      </w:r>
      <w:r w:rsidR="00CB7E97" w:rsidRPr="00210001">
        <w:rPr>
          <w:rFonts w:ascii="Arial" w:eastAsia="Times New Roman" w:hAnsi="Arial" w:cs="Arial"/>
          <w:sz w:val="16"/>
          <w:szCs w:val="16"/>
        </w:rPr>
        <w:t xml:space="preserve">vorimo južna vrata lijepe naše II faza. </w:t>
      </w:r>
    </w:p>
    <w:p w14:paraId="0FC70531" w14:textId="77777777" w:rsidR="00CB7E97" w:rsidRPr="00270B77" w:rsidRDefault="00CB7E97" w:rsidP="006222A2">
      <w:pPr>
        <w:overflowPunct w:val="0"/>
        <w:autoSpaceDE w:val="0"/>
        <w:autoSpaceDN w:val="0"/>
        <w:adjustRightInd w:val="0"/>
        <w:spacing w:after="0" w:line="240" w:lineRule="auto"/>
        <w:ind w:left="567"/>
        <w:jc w:val="both"/>
        <w:rPr>
          <w:rFonts w:ascii="Arial" w:eastAsia="Times New Roman" w:hAnsi="Arial" w:cs="Arial"/>
          <w:sz w:val="12"/>
          <w:szCs w:val="12"/>
        </w:rPr>
      </w:pPr>
    </w:p>
    <w:p w14:paraId="7E6E254B" w14:textId="77777777" w:rsidR="004E52BB" w:rsidRPr="00CC05F3" w:rsidRDefault="004E52BB" w:rsidP="004E52B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r w:rsidRPr="003A2F86">
        <w:rPr>
          <w:rFonts w:ascii="Arial" w:eastAsia="Times New Roman" w:hAnsi="Arial" w:cs="Arial"/>
          <w:i/>
          <w:iCs/>
          <w:sz w:val="20"/>
          <w:szCs w:val="20"/>
        </w:rPr>
        <w:t>*Usporedba:</w:t>
      </w:r>
      <w:r w:rsidRPr="003A2F86">
        <w:rPr>
          <w:rFonts w:ascii="Arial" w:eastAsia="Times New Roman" w:hAnsi="Arial" w:cs="Arial"/>
        </w:rPr>
        <w:t xml:space="preserve"> </w:t>
      </w:r>
    </w:p>
    <w:tbl>
      <w:tblPr>
        <w:tblW w:w="14307" w:type="dxa"/>
        <w:jc w:val="center"/>
        <w:tblLook w:val="04A0" w:firstRow="1" w:lastRow="0" w:firstColumn="1" w:lastColumn="0" w:noHBand="0" w:noVBand="1"/>
      </w:tblPr>
      <w:tblGrid>
        <w:gridCol w:w="768"/>
        <w:gridCol w:w="1151"/>
        <w:gridCol w:w="12388"/>
      </w:tblGrid>
      <w:tr w:rsidR="004E52BB" w:rsidRPr="003A2F86" w14:paraId="3CCC0344" w14:textId="77777777" w:rsidTr="00BB3F8C">
        <w:trPr>
          <w:trHeight w:val="300"/>
          <w:jc w:val="center"/>
        </w:trPr>
        <w:tc>
          <w:tcPr>
            <w:tcW w:w="14307" w:type="dxa"/>
            <w:gridSpan w:val="3"/>
            <w:tcBorders>
              <w:top w:val="single" w:sz="8" w:space="0" w:color="000000"/>
              <w:left w:val="single" w:sz="8" w:space="0" w:color="000000"/>
              <w:bottom w:val="single" w:sz="8" w:space="0" w:color="000000"/>
              <w:right w:val="single" w:sz="8" w:space="0" w:color="000000"/>
            </w:tcBorders>
            <w:vAlign w:val="center"/>
            <w:hideMark/>
          </w:tcPr>
          <w:p w14:paraId="6299AE99" w14:textId="77777777" w:rsidR="004E52BB" w:rsidRPr="003A2F86" w:rsidRDefault="004E52BB" w:rsidP="00B223BA">
            <w:pPr>
              <w:spacing w:after="0" w:line="240" w:lineRule="auto"/>
              <w:jc w:val="center"/>
              <w:rPr>
                <w:rFonts w:ascii="Arial" w:eastAsia="Times New Roman" w:hAnsi="Arial" w:cs="Arial"/>
                <w:b/>
                <w:bCs/>
                <w:i/>
                <w:iCs/>
                <w:sz w:val="18"/>
                <w:szCs w:val="18"/>
              </w:rPr>
            </w:pPr>
            <w:r w:rsidRPr="003A2F86">
              <w:rPr>
                <w:rFonts w:ascii="Arial" w:eastAsia="Times New Roman" w:hAnsi="Arial" w:cs="Arial"/>
                <w:b/>
                <w:bCs/>
                <w:i/>
                <w:iCs/>
                <w:sz w:val="18"/>
                <w:szCs w:val="18"/>
              </w:rPr>
              <w:t>Prihod od pomoći temeljem prijenosa EU sredstava – (</w:t>
            </w:r>
            <w:r w:rsidRPr="003A2F86">
              <w:rPr>
                <w:rFonts w:ascii="Arial" w:eastAsia="Times New Roman" w:hAnsi="Arial" w:cs="Arial"/>
                <w:b/>
                <w:bCs/>
                <w:i/>
                <w:iCs/>
                <w:color w:val="FF0000"/>
                <w:sz w:val="18"/>
                <w:szCs w:val="18"/>
              </w:rPr>
              <w:t>638</w:t>
            </w:r>
            <w:r w:rsidRPr="003A2F86">
              <w:rPr>
                <w:rFonts w:ascii="Arial" w:eastAsia="Times New Roman" w:hAnsi="Arial" w:cs="Arial"/>
                <w:b/>
                <w:bCs/>
                <w:i/>
                <w:iCs/>
                <w:sz w:val="18"/>
                <w:szCs w:val="18"/>
              </w:rPr>
              <w:t>)</w:t>
            </w:r>
          </w:p>
        </w:tc>
      </w:tr>
      <w:tr w:rsidR="004E52BB" w:rsidRPr="003A2F86" w14:paraId="5E592698" w14:textId="77777777" w:rsidTr="00BB3F8C">
        <w:trPr>
          <w:trHeight w:val="300"/>
          <w:jc w:val="center"/>
        </w:trPr>
        <w:tc>
          <w:tcPr>
            <w:tcW w:w="768" w:type="dxa"/>
            <w:tcBorders>
              <w:top w:val="nil"/>
              <w:left w:val="single" w:sz="8" w:space="0" w:color="000000"/>
              <w:bottom w:val="single" w:sz="8" w:space="0" w:color="000000"/>
              <w:right w:val="single" w:sz="8" w:space="0" w:color="000000"/>
            </w:tcBorders>
            <w:vAlign w:val="center"/>
            <w:hideMark/>
          </w:tcPr>
          <w:p w14:paraId="79A61FD1" w14:textId="77777777" w:rsidR="004E52BB" w:rsidRPr="00BB3F8C" w:rsidRDefault="004E52BB" w:rsidP="00B223BA">
            <w:pPr>
              <w:spacing w:after="0" w:line="240" w:lineRule="auto"/>
              <w:jc w:val="center"/>
              <w:rPr>
                <w:rFonts w:ascii="Arial" w:eastAsia="Times New Roman" w:hAnsi="Arial" w:cs="Arial"/>
                <w:b/>
                <w:bCs/>
                <w:i/>
                <w:iCs/>
                <w:sz w:val="16"/>
                <w:szCs w:val="16"/>
              </w:rPr>
            </w:pPr>
            <w:r w:rsidRPr="00BB3F8C">
              <w:rPr>
                <w:rFonts w:ascii="Arial" w:eastAsia="Times New Roman" w:hAnsi="Arial" w:cs="Arial"/>
                <w:b/>
                <w:bCs/>
                <w:i/>
                <w:iCs/>
                <w:sz w:val="16"/>
                <w:szCs w:val="16"/>
              </w:rPr>
              <w:t>Godina</w:t>
            </w:r>
          </w:p>
        </w:tc>
        <w:tc>
          <w:tcPr>
            <w:tcW w:w="1151" w:type="dxa"/>
            <w:tcBorders>
              <w:top w:val="nil"/>
              <w:left w:val="nil"/>
              <w:bottom w:val="single" w:sz="8" w:space="0" w:color="000000"/>
              <w:right w:val="single" w:sz="8" w:space="0" w:color="000000"/>
            </w:tcBorders>
            <w:vAlign w:val="center"/>
            <w:hideMark/>
          </w:tcPr>
          <w:p w14:paraId="751F8624" w14:textId="57F035FB" w:rsidR="004E52BB" w:rsidRPr="003A2F86" w:rsidRDefault="004E52BB" w:rsidP="00B223BA">
            <w:pPr>
              <w:spacing w:after="0" w:line="240" w:lineRule="auto"/>
              <w:jc w:val="center"/>
              <w:rPr>
                <w:rFonts w:ascii="Arial" w:eastAsia="Times New Roman" w:hAnsi="Arial" w:cs="Arial"/>
                <w:b/>
                <w:bCs/>
                <w:i/>
                <w:iCs/>
                <w:sz w:val="18"/>
                <w:szCs w:val="18"/>
              </w:rPr>
            </w:pPr>
            <w:r w:rsidRPr="003A2F86">
              <w:rPr>
                <w:rFonts w:ascii="Arial" w:eastAsia="Times New Roman" w:hAnsi="Arial" w:cs="Arial"/>
                <w:b/>
                <w:bCs/>
                <w:i/>
                <w:iCs/>
                <w:sz w:val="18"/>
                <w:szCs w:val="18"/>
              </w:rPr>
              <w:t xml:space="preserve">Iznos </w:t>
            </w:r>
            <w:r w:rsidRPr="003A2F86">
              <w:rPr>
                <w:rFonts w:ascii="Arial" w:eastAsia="Times New Roman" w:hAnsi="Arial" w:cs="Arial"/>
                <w:b/>
                <w:bCs/>
                <w:i/>
                <w:iCs/>
                <w:color w:val="FF0000"/>
                <w:sz w:val="18"/>
                <w:szCs w:val="18"/>
              </w:rPr>
              <w:t>(€)</w:t>
            </w:r>
          </w:p>
        </w:tc>
        <w:tc>
          <w:tcPr>
            <w:tcW w:w="12388" w:type="dxa"/>
            <w:tcBorders>
              <w:top w:val="nil"/>
              <w:left w:val="nil"/>
              <w:bottom w:val="single" w:sz="8" w:space="0" w:color="000000"/>
              <w:right w:val="single" w:sz="8" w:space="0" w:color="000000"/>
            </w:tcBorders>
            <w:vAlign w:val="center"/>
            <w:hideMark/>
          </w:tcPr>
          <w:p w14:paraId="5569FE99" w14:textId="77777777" w:rsidR="004E52BB" w:rsidRPr="003A2F86" w:rsidRDefault="004E52BB" w:rsidP="00B223BA">
            <w:pPr>
              <w:spacing w:after="0" w:line="240" w:lineRule="auto"/>
              <w:jc w:val="center"/>
              <w:rPr>
                <w:rFonts w:ascii="Arial" w:eastAsia="Times New Roman" w:hAnsi="Arial" w:cs="Arial"/>
                <w:b/>
                <w:bCs/>
                <w:i/>
                <w:iCs/>
                <w:sz w:val="18"/>
                <w:szCs w:val="18"/>
              </w:rPr>
            </w:pPr>
            <w:r w:rsidRPr="003A2F86">
              <w:rPr>
                <w:rFonts w:ascii="Arial" w:eastAsia="Times New Roman" w:hAnsi="Arial" w:cs="Arial"/>
                <w:b/>
                <w:bCs/>
                <w:i/>
                <w:iCs/>
                <w:sz w:val="18"/>
                <w:szCs w:val="18"/>
              </w:rPr>
              <w:t>Obrazloženje</w:t>
            </w:r>
          </w:p>
        </w:tc>
      </w:tr>
      <w:tr w:rsidR="004E52BB" w:rsidRPr="003A2F86" w14:paraId="320963DA" w14:textId="77777777" w:rsidTr="00BB3F8C">
        <w:trPr>
          <w:trHeight w:val="99"/>
          <w:jc w:val="center"/>
        </w:trPr>
        <w:tc>
          <w:tcPr>
            <w:tcW w:w="768" w:type="dxa"/>
            <w:tcBorders>
              <w:top w:val="nil"/>
              <w:left w:val="single" w:sz="8" w:space="0" w:color="000000"/>
              <w:bottom w:val="single" w:sz="8" w:space="0" w:color="000000"/>
              <w:right w:val="single" w:sz="8" w:space="0" w:color="000000"/>
            </w:tcBorders>
            <w:vAlign w:val="center"/>
            <w:hideMark/>
          </w:tcPr>
          <w:p w14:paraId="1D2A8E75" w14:textId="77777777" w:rsidR="004E52BB" w:rsidRPr="003A2F86" w:rsidRDefault="004E52BB" w:rsidP="004E52BB">
            <w:pPr>
              <w:spacing w:after="0" w:line="240" w:lineRule="auto"/>
              <w:jc w:val="center"/>
              <w:rPr>
                <w:rFonts w:ascii="Arial" w:eastAsia="Times New Roman" w:hAnsi="Arial" w:cs="Arial"/>
                <w:i/>
                <w:iCs/>
                <w:sz w:val="16"/>
                <w:szCs w:val="16"/>
              </w:rPr>
            </w:pPr>
            <w:r w:rsidRPr="003A2F86">
              <w:rPr>
                <w:rFonts w:ascii="Arial" w:eastAsia="Times New Roman" w:hAnsi="Arial" w:cs="Arial"/>
                <w:i/>
                <w:iCs/>
                <w:sz w:val="16"/>
                <w:szCs w:val="16"/>
              </w:rPr>
              <w:t>2015</w:t>
            </w:r>
          </w:p>
        </w:tc>
        <w:tc>
          <w:tcPr>
            <w:tcW w:w="1151" w:type="dxa"/>
            <w:tcBorders>
              <w:top w:val="nil"/>
              <w:left w:val="nil"/>
              <w:bottom w:val="single" w:sz="8" w:space="0" w:color="000000"/>
              <w:right w:val="single" w:sz="8" w:space="0" w:color="000000"/>
            </w:tcBorders>
            <w:vAlign w:val="center"/>
            <w:hideMark/>
          </w:tcPr>
          <w:p w14:paraId="04A7CDF0" w14:textId="0F3380B5" w:rsidR="004E52BB" w:rsidRPr="003A2F86" w:rsidRDefault="004E52BB" w:rsidP="004E52BB">
            <w:pPr>
              <w:spacing w:after="0" w:line="240" w:lineRule="auto"/>
              <w:jc w:val="right"/>
              <w:rPr>
                <w:rFonts w:ascii="Arial" w:eastAsia="Times New Roman" w:hAnsi="Arial" w:cs="Arial"/>
                <w:i/>
                <w:iCs/>
                <w:sz w:val="16"/>
                <w:szCs w:val="16"/>
              </w:rPr>
            </w:pPr>
            <w:r w:rsidRPr="003A2F86">
              <w:rPr>
                <w:rFonts w:ascii="Arial" w:hAnsi="Arial" w:cs="Arial"/>
                <w:sz w:val="16"/>
                <w:szCs w:val="16"/>
              </w:rPr>
              <w:t>24.428,25</w:t>
            </w:r>
          </w:p>
        </w:tc>
        <w:tc>
          <w:tcPr>
            <w:tcW w:w="12388" w:type="dxa"/>
            <w:tcBorders>
              <w:top w:val="nil"/>
              <w:left w:val="nil"/>
              <w:bottom w:val="single" w:sz="8" w:space="0" w:color="000000"/>
              <w:right w:val="single" w:sz="8" w:space="0" w:color="000000"/>
            </w:tcBorders>
            <w:vAlign w:val="center"/>
            <w:hideMark/>
          </w:tcPr>
          <w:p w14:paraId="349422D7" w14:textId="578C8792" w:rsidR="004E52BB" w:rsidRPr="003A2F86" w:rsidRDefault="004E52BB" w:rsidP="004E52BB">
            <w:pPr>
              <w:spacing w:after="0" w:line="240" w:lineRule="auto"/>
              <w:jc w:val="both"/>
              <w:rPr>
                <w:rFonts w:ascii="Arial" w:eastAsia="Times New Roman" w:hAnsi="Arial" w:cs="Arial"/>
                <w:sz w:val="16"/>
                <w:szCs w:val="16"/>
              </w:rPr>
            </w:pPr>
            <w:r w:rsidRPr="003A2F86">
              <w:rPr>
                <w:rFonts w:ascii="Arial" w:hAnsi="Arial" w:cs="Arial"/>
                <w:sz w:val="16"/>
                <w:szCs w:val="16"/>
              </w:rPr>
              <w:t>za provedbu projekta „Ćiro“</w:t>
            </w:r>
          </w:p>
        </w:tc>
      </w:tr>
      <w:tr w:rsidR="004E52BB" w:rsidRPr="003A2F86" w14:paraId="1FD8F16B" w14:textId="77777777" w:rsidTr="00BB3F8C">
        <w:trPr>
          <w:trHeight w:val="331"/>
          <w:jc w:val="center"/>
        </w:trPr>
        <w:tc>
          <w:tcPr>
            <w:tcW w:w="768" w:type="dxa"/>
            <w:tcBorders>
              <w:top w:val="nil"/>
              <w:left w:val="single" w:sz="8" w:space="0" w:color="000000"/>
              <w:bottom w:val="single" w:sz="8" w:space="0" w:color="000000"/>
              <w:right w:val="single" w:sz="8" w:space="0" w:color="000000"/>
            </w:tcBorders>
            <w:vAlign w:val="center"/>
            <w:hideMark/>
          </w:tcPr>
          <w:p w14:paraId="2D48828E" w14:textId="77777777" w:rsidR="004E52BB" w:rsidRPr="003A2F86" w:rsidRDefault="004E52BB" w:rsidP="004E52BB">
            <w:pPr>
              <w:spacing w:after="0" w:line="240" w:lineRule="auto"/>
              <w:jc w:val="center"/>
              <w:rPr>
                <w:rFonts w:ascii="Arial" w:eastAsia="Times New Roman" w:hAnsi="Arial" w:cs="Arial"/>
                <w:i/>
                <w:iCs/>
                <w:sz w:val="16"/>
                <w:szCs w:val="16"/>
              </w:rPr>
            </w:pPr>
            <w:r w:rsidRPr="003A2F86">
              <w:rPr>
                <w:rFonts w:ascii="Arial" w:eastAsia="Times New Roman" w:hAnsi="Arial" w:cs="Arial"/>
                <w:i/>
                <w:iCs/>
                <w:sz w:val="16"/>
                <w:szCs w:val="16"/>
              </w:rPr>
              <w:t>2016</w:t>
            </w:r>
          </w:p>
        </w:tc>
        <w:tc>
          <w:tcPr>
            <w:tcW w:w="1151" w:type="dxa"/>
            <w:tcBorders>
              <w:top w:val="nil"/>
              <w:left w:val="nil"/>
              <w:bottom w:val="single" w:sz="8" w:space="0" w:color="000000"/>
              <w:right w:val="single" w:sz="8" w:space="0" w:color="000000"/>
            </w:tcBorders>
            <w:vAlign w:val="center"/>
            <w:hideMark/>
          </w:tcPr>
          <w:p w14:paraId="51C54BB0" w14:textId="53D3A122" w:rsidR="004E52BB" w:rsidRPr="003A2F86" w:rsidRDefault="004E52BB" w:rsidP="004E52BB">
            <w:pPr>
              <w:spacing w:after="0" w:line="240" w:lineRule="auto"/>
              <w:jc w:val="right"/>
              <w:rPr>
                <w:rFonts w:ascii="Arial" w:eastAsia="Times New Roman" w:hAnsi="Arial" w:cs="Arial"/>
                <w:i/>
                <w:iCs/>
                <w:sz w:val="16"/>
                <w:szCs w:val="16"/>
              </w:rPr>
            </w:pPr>
            <w:r w:rsidRPr="003A2F86">
              <w:rPr>
                <w:rFonts w:ascii="Arial" w:hAnsi="Arial" w:cs="Arial"/>
                <w:sz w:val="16"/>
                <w:szCs w:val="16"/>
              </w:rPr>
              <w:t>665.845,38</w:t>
            </w:r>
          </w:p>
        </w:tc>
        <w:tc>
          <w:tcPr>
            <w:tcW w:w="12388" w:type="dxa"/>
            <w:tcBorders>
              <w:top w:val="nil"/>
              <w:left w:val="nil"/>
              <w:bottom w:val="single" w:sz="8" w:space="0" w:color="000000"/>
              <w:right w:val="single" w:sz="8" w:space="0" w:color="000000"/>
            </w:tcBorders>
            <w:vAlign w:val="center"/>
            <w:hideMark/>
          </w:tcPr>
          <w:p w14:paraId="18F5916E" w14:textId="4BD89673" w:rsidR="004E52BB" w:rsidRPr="003A2F86" w:rsidRDefault="004E52BB" w:rsidP="004E52BB">
            <w:pPr>
              <w:spacing w:after="0" w:line="240" w:lineRule="auto"/>
              <w:jc w:val="both"/>
              <w:rPr>
                <w:rFonts w:ascii="Arial" w:eastAsia="Times New Roman" w:hAnsi="Arial" w:cs="Arial"/>
                <w:sz w:val="16"/>
                <w:szCs w:val="16"/>
              </w:rPr>
            </w:pPr>
            <w:r w:rsidRPr="003A2F86">
              <w:rPr>
                <w:rFonts w:ascii="Arial" w:hAnsi="Arial" w:cs="Arial"/>
                <w:sz w:val="16"/>
                <w:szCs w:val="16"/>
              </w:rPr>
              <w:t>za provedbu projekta „Ćiro“ u iznosu 166.648,47 €, te nakon završetka izgradnje i stavljanja u upotrebu kanalizacijskog sustava „Zvekovica“ financiranog iz IPARD programa 499.196,95 €</w:t>
            </w:r>
          </w:p>
        </w:tc>
      </w:tr>
      <w:tr w:rsidR="004E52BB" w:rsidRPr="003A2F86" w14:paraId="66FCE574" w14:textId="77777777" w:rsidTr="00BB3F8C">
        <w:trPr>
          <w:trHeight w:val="216"/>
          <w:jc w:val="center"/>
        </w:trPr>
        <w:tc>
          <w:tcPr>
            <w:tcW w:w="768" w:type="dxa"/>
            <w:tcBorders>
              <w:top w:val="nil"/>
              <w:left w:val="single" w:sz="8" w:space="0" w:color="000000"/>
              <w:bottom w:val="single" w:sz="8" w:space="0" w:color="000000"/>
              <w:right w:val="single" w:sz="8" w:space="0" w:color="000000"/>
            </w:tcBorders>
            <w:vAlign w:val="center"/>
            <w:hideMark/>
          </w:tcPr>
          <w:p w14:paraId="60B26225" w14:textId="77777777" w:rsidR="004E52BB" w:rsidRPr="003A2F86" w:rsidRDefault="004E52BB" w:rsidP="004E52BB">
            <w:pPr>
              <w:spacing w:after="0" w:line="240" w:lineRule="auto"/>
              <w:jc w:val="center"/>
              <w:rPr>
                <w:rFonts w:ascii="Arial" w:eastAsia="Times New Roman" w:hAnsi="Arial" w:cs="Arial"/>
                <w:i/>
                <w:iCs/>
                <w:sz w:val="16"/>
                <w:szCs w:val="16"/>
              </w:rPr>
            </w:pPr>
            <w:r w:rsidRPr="003A2F86">
              <w:rPr>
                <w:rFonts w:ascii="Arial" w:eastAsia="Times New Roman" w:hAnsi="Arial" w:cs="Arial"/>
                <w:i/>
                <w:iCs/>
                <w:sz w:val="16"/>
                <w:szCs w:val="16"/>
              </w:rPr>
              <w:t>2017</w:t>
            </w:r>
          </w:p>
        </w:tc>
        <w:tc>
          <w:tcPr>
            <w:tcW w:w="1151" w:type="dxa"/>
            <w:tcBorders>
              <w:top w:val="nil"/>
              <w:left w:val="nil"/>
              <w:bottom w:val="single" w:sz="8" w:space="0" w:color="000000"/>
              <w:right w:val="single" w:sz="8" w:space="0" w:color="000000"/>
            </w:tcBorders>
            <w:vAlign w:val="center"/>
            <w:hideMark/>
          </w:tcPr>
          <w:p w14:paraId="366C2233" w14:textId="4C51CB2C" w:rsidR="004E52BB" w:rsidRPr="003A2F86" w:rsidRDefault="004E52BB" w:rsidP="004E52BB">
            <w:pPr>
              <w:spacing w:after="0" w:line="240" w:lineRule="auto"/>
              <w:jc w:val="right"/>
              <w:rPr>
                <w:rFonts w:ascii="Arial" w:eastAsia="Times New Roman" w:hAnsi="Arial" w:cs="Arial"/>
                <w:i/>
                <w:iCs/>
                <w:sz w:val="16"/>
                <w:szCs w:val="16"/>
              </w:rPr>
            </w:pPr>
            <w:r w:rsidRPr="003A2F86">
              <w:rPr>
                <w:rFonts w:ascii="Arial" w:hAnsi="Arial" w:cs="Arial"/>
                <w:sz w:val="16"/>
                <w:szCs w:val="16"/>
              </w:rPr>
              <w:t>50.157,01</w:t>
            </w:r>
          </w:p>
        </w:tc>
        <w:tc>
          <w:tcPr>
            <w:tcW w:w="12388" w:type="dxa"/>
            <w:tcBorders>
              <w:top w:val="nil"/>
              <w:left w:val="nil"/>
              <w:bottom w:val="single" w:sz="8" w:space="0" w:color="000000"/>
              <w:right w:val="single" w:sz="8" w:space="0" w:color="000000"/>
            </w:tcBorders>
            <w:vAlign w:val="center"/>
            <w:hideMark/>
          </w:tcPr>
          <w:p w14:paraId="6D68C28F" w14:textId="160EB7DD" w:rsidR="004E52BB" w:rsidRPr="003A2F86" w:rsidRDefault="004E52BB" w:rsidP="004E52BB">
            <w:pPr>
              <w:spacing w:after="0" w:line="240" w:lineRule="auto"/>
              <w:jc w:val="both"/>
              <w:rPr>
                <w:rFonts w:ascii="Arial" w:eastAsia="Times New Roman" w:hAnsi="Arial" w:cs="Arial"/>
                <w:sz w:val="16"/>
                <w:szCs w:val="16"/>
              </w:rPr>
            </w:pPr>
            <w:r w:rsidRPr="003A2F86">
              <w:rPr>
                <w:rFonts w:ascii="Arial" w:hAnsi="Arial" w:cs="Arial"/>
                <w:sz w:val="16"/>
                <w:szCs w:val="16"/>
              </w:rPr>
              <w:t>provedba projekta „Ćiro“ nakon odobrenja finalnog izvještaja</w:t>
            </w:r>
          </w:p>
        </w:tc>
      </w:tr>
      <w:tr w:rsidR="004E52BB" w:rsidRPr="003A2F86" w14:paraId="4B438E75" w14:textId="77777777" w:rsidTr="00BB3F8C">
        <w:trPr>
          <w:trHeight w:val="406"/>
          <w:jc w:val="center"/>
        </w:trPr>
        <w:tc>
          <w:tcPr>
            <w:tcW w:w="768" w:type="dxa"/>
            <w:tcBorders>
              <w:top w:val="nil"/>
              <w:left w:val="single" w:sz="8" w:space="0" w:color="000000"/>
              <w:bottom w:val="single" w:sz="8" w:space="0" w:color="000000"/>
              <w:right w:val="single" w:sz="8" w:space="0" w:color="000000"/>
            </w:tcBorders>
            <w:vAlign w:val="center"/>
            <w:hideMark/>
          </w:tcPr>
          <w:p w14:paraId="0EFB7693" w14:textId="77777777" w:rsidR="004E52BB" w:rsidRPr="003A2F86" w:rsidRDefault="004E52BB" w:rsidP="004E52BB">
            <w:pPr>
              <w:spacing w:after="0" w:line="240" w:lineRule="auto"/>
              <w:jc w:val="center"/>
              <w:rPr>
                <w:rFonts w:ascii="Arial" w:eastAsia="Times New Roman" w:hAnsi="Arial" w:cs="Arial"/>
                <w:i/>
                <w:iCs/>
                <w:sz w:val="16"/>
                <w:szCs w:val="16"/>
              </w:rPr>
            </w:pPr>
            <w:r w:rsidRPr="003A2F86">
              <w:rPr>
                <w:rFonts w:ascii="Arial" w:eastAsia="Times New Roman" w:hAnsi="Arial" w:cs="Arial"/>
                <w:i/>
                <w:iCs/>
                <w:sz w:val="16"/>
                <w:szCs w:val="16"/>
              </w:rPr>
              <w:t>2018</w:t>
            </w:r>
          </w:p>
        </w:tc>
        <w:tc>
          <w:tcPr>
            <w:tcW w:w="1151" w:type="dxa"/>
            <w:tcBorders>
              <w:top w:val="nil"/>
              <w:left w:val="nil"/>
              <w:bottom w:val="single" w:sz="8" w:space="0" w:color="000000"/>
              <w:right w:val="single" w:sz="8" w:space="0" w:color="000000"/>
            </w:tcBorders>
            <w:vAlign w:val="center"/>
            <w:hideMark/>
          </w:tcPr>
          <w:p w14:paraId="60009A4D" w14:textId="029702D2" w:rsidR="004E52BB" w:rsidRPr="003A2F86" w:rsidRDefault="004E52BB" w:rsidP="004E52BB">
            <w:pPr>
              <w:spacing w:after="0" w:line="240" w:lineRule="auto"/>
              <w:jc w:val="right"/>
              <w:rPr>
                <w:rFonts w:ascii="Arial" w:eastAsia="Times New Roman" w:hAnsi="Arial" w:cs="Arial"/>
                <w:i/>
                <w:iCs/>
                <w:sz w:val="16"/>
                <w:szCs w:val="16"/>
              </w:rPr>
            </w:pPr>
            <w:r w:rsidRPr="003A2F86">
              <w:rPr>
                <w:rFonts w:ascii="Arial" w:hAnsi="Arial" w:cs="Arial"/>
                <w:sz w:val="16"/>
                <w:szCs w:val="16"/>
              </w:rPr>
              <w:t>34.250,12</w:t>
            </w:r>
          </w:p>
        </w:tc>
        <w:tc>
          <w:tcPr>
            <w:tcW w:w="12388" w:type="dxa"/>
            <w:tcBorders>
              <w:top w:val="nil"/>
              <w:left w:val="nil"/>
              <w:bottom w:val="single" w:sz="8" w:space="0" w:color="000000"/>
              <w:right w:val="single" w:sz="8" w:space="0" w:color="000000"/>
            </w:tcBorders>
            <w:vAlign w:val="center"/>
            <w:hideMark/>
          </w:tcPr>
          <w:p w14:paraId="122C5EF5" w14:textId="0D968B61" w:rsidR="004E52BB" w:rsidRPr="003A2F86" w:rsidRDefault="004E52BB" w:rsidP="004E52BB">
            <w:pPr>
              <w:spacing w:after="0" w:line="240" w:lineRule="auto"/>
              <w:jc w:val="both"/>
              <w:rPr>
                <w:rFonts w:ascii="Arial" w:eastAsia="Times New Roman" w:hAnsi="Arial" w:cs="Arial"/>
                <w:sz w:val="16"/>
                <w:szCs w:val="16"/>
              </w:rPr>
            </w:pPr>
            <w:r w:rsidRPr="003A2F86">
              <w:rPr>
                <w:rFonts w:ascii="Arial" w:hAnsi="Arial" w:cs="Arial"/>
                <w:sz w:val="16"/>
                <w:szCs w:val="16"/>
              </w:rPr>
              <w:t>Muzeji i galerije Konavala za provedbu programa ERASMUS+ (ugovor s partnerima Finska i Portugal) 33.904,29 €, te Dječji vrtić Konavle za sudjelovanje ustanove u projektu međunarodne suradnje unutar programa ERASMUS+ u iznosu 345,81 €</w:t>
            </w:r>
          </w:p>
        </w:tc>
      </w:tr>
      <w:tr w:rsidR="004E52BB" w:rsidRPr="003A2F86" w14:paraId="638DC8E4" w14:textId="77777777" w:rsidTr="00BB3F8C">
        <w:trPr>
          <w:trHeight w:val="596"/>
          <w:jc w:val="center"/>
        </w:trPr>
        <w:tc>
          <w:tcPr>
            <w:tcW w:w="768" w:type="dxa"/>
            <w:tcBorders>
              <w:top w:val="nil"/>
              <w:left w:val="single" w:sz="8" w:space="0" w:color="000000"/>
              <w:bottom w:val="single" w:sz="8" w:space="0" w:color="000000"/>
              <w:right w:val="single" w:sz="8" w:space="0" w:color="000000"/>
            </w:tcBorders>
            <w:vAlign w:val="center"/>
            <w:hideMark/>
          </w:tcPr>
          <w:p w14:paraId="79BCF3D8" w14:textId="77777777" w:rsidR="004E52BB" w:rsidRPr="003A2F86" w:rsidRDefault="004E52BB" w:rsidP="004E52BB">
            <w:pPr>
              <w:spacing w:after="0" w:line="240" w:lineRule="auto"/>
              <w:jc w:val="center"/>
              <w:rPr>
                <w:rFonts w:ascii="Arial" w:eastAsia="Times New Roman" w:hAnsi="Arial" w:cs="Arial"/>
                <w:i/>
                <w:iCs/>
                <w:sz w:val="16"/>
                <w:szCs w:val="16"/>
              </w:rPr>
            </w:pPr>
            <w:r w:rsidRPr="003A2F86">
              <w:rPr>
                <w:rFonts w:ascii="Arial" w:eastAsia="Times New Roman" w:hAnsi="Arial" w:cs="Arial"/>
                <w:i/>
                <w:iCs/>
                <w:sz w:val="16"/>
                <w:szCs w:val="16"/>
              </w:rPr>
              <w:lastRenderedPageBreak/>
              <w:t>2019.</w:t>
            </w:r>
          </w:p>
        </w:tc>
        <w:tc>
          <w:tcPr>
            <w:tcW w:w="1151" w:type="dxa"/>
            <w:tcBorders>
              <w:top w:val="nil"/>
              <w:left w:val="nil"/>
              <w:bottom w:val="single" w:sz="8" w:space="0" w:color="000000"/>
              <w:right w:val="single" w:sz="8" w:space="0" w:color="000000"/>
            </w:tcBorders>
            <w:vAlign w:val="center"/>
            <w:hideMark/>
          </w:tcPr>
          <w:p w14:paraId="60E3A166" w14:textId="0331B3E2" w:rsidR="004E52BB" w:rsidRPr="003A2F86" w:rsidRDefault="004E52BB" w:rsidP="004E52BB">
            <w:pPr>
              <w:spacing w:after="0" w:line="240" w:lineRule="auto"/>
              <w:jc w:val="right"/>
              <w:rPr>
                <w:rFonts w:ascii="Arial" w:eastAsia="Times New Roman" w:hAnsi="Arial" w:cs="Arial"/>
                <w:i/>
                <w:iCs/>
                <w:sz w:val="16"/>
                <w:szCs w:val="16"/>
              </w:rPr>
            </w:pPr>
            <w:r w:rsidRPr="003A2F86">
              <w:rPr>
                <w:rFonts w:ascii="Arial" w:hAnsi="Arial" w:cs="Arial"/>
                <w:sz w:val="16"/>
                <w:szCs w:val="16"/>
              </w:rPr>
              <w:t>183.895,01</w:t>
            </w:r>
          </w:p>
        </w:tc>
        <w:tc>
          <w:tcPr>
            <w:tcW w:w="12388" w:type="dxa"/>
            <w:tcBorders>
              <w:top w:val="nil"/>
              <w:left w:val="nil"/>
              <w:bottom w:val="single" w:sz="8" w:space="0" w:color="000000"/>
              <w:right w:val="single" w:sz="8" w:space="0" w:color="000000"/>
            </w:tcBorders>
            <w:vAlign w:val="center"/>
            <w:hideMark/>
          </w:tcPr>
          <w:p w14:paraId="17B3B0AE" w14:textId="224D93A3" w:rsidR="004E52BB" w:rsidRPr="003A2F86" w:rsidRDefault="004E52BB" w:rsidP="004E52BB">
            <w:pPr>
              <w:spacing w:after="0" w:line="240" w:lineRule="auto"/>
              <w:jc w:val="both"/>
              <w:rPr>
                <w:rFonts w:ascii="Arial" w:eastAsia="Times New Roman" w:hAnsi="Arial" w:cs="Arial"/>
                <w:sz w:val="16"/>
                <w:szCs w:val="16"/>
              </w:rPr>
            </w:pPr>
            <w:r w:rsidRPr="003A2F86">
              <w:rPr>
                <w:rFonts w:ascii="Arial" w:hAnsi="Arial" w:cs="Arial"/>
                <w:sz w:val="16"/>
                <w:szCs w:val="16"/>
              </w:rPr>
              <w:t>Sredstva Općine u iznosu 183.463,25 € i sredstva ustanovi Muzeji i galerije Konavala 431,50 € za sudjelovanje ustanove u projektu međunarodne suradnje unutar programa ERASMUS+. Pomoći Općini za izobrazno informativne aktivnosti 28.269,51 € i za projekt Otvorimo južna vrata lijepe naše koji se provodi putem vrtića 129.544,31 €, te kapitalna pomoć za izgradnju reciklažnog dvorišta 25.649,43 € (zaključeni ugovori sufinanciranje projekata EU sredstvima).</w:t>
            </w:r>
          </w:p>
        </w:tc>
      </w:tr>
      <w:tr w:rsidR="004E52BB" w:rsidRPr="003A2F86" w14:paraId="6433B30D" w14:textId="77777777" w:rsidTr="00535023">
        <w:trPr>
          <w:trHeight w:val="698"/>
          <w:jc w:val="center"/>
        </w:trPr>
        <w:tc>
          <w:tcPr>
            <w:tcW w:w="768" w:type="dxa"/>
            <w:tcBorders>
              <w:top w:val="single" w:sz="8" w:space="0" w:color="000000"/>
              <w:left w:val="single" w:sz="8" w:space="0" w:color="000000"/>
              <w:bottom w:val="single" w:sz="4" w:space="0" w:color="auto"/>
              <w:right w:val="single" w:sz="8" w:space="0" w:color="000000"/>
            </w:tcBorders>
            <w:vAlign w:val="center"/>
            <w:hideMark/>
          </w:tcPr>
          <w:p w14:paraId="5160D02F" w14:textId="77777777" w:rsidR="004E52BB" w:rsidRPr="003A2F86" w:rsidRDefault="004E52BB" w:rsidP="004E52BB">
            <w:pPr>
              <w:spacing w:after="0" w:line="240" w:lineRule="auto"/>
              <w:jc w:val="center"/>
              <w:rPr>
                <w:rFonts w:ascii="Arial" w:eastAsia="Times New Roman" w:hAnsi="Arial" w:cs="Arial"/>
                <w:i/>
                <w:iCs/>
                <w:sz w:val="16"/>
                <w:szCs w:val="16"/>
              </w:rPr>
            </w:pPr>
            <w:r w:rsidRPr="003A2F86">
              <w:rPr>
                <w:rFonts w:ascii="Arial" w:eastAsia="Times New Roman" w:hAnsi="Arial" w:cs="Arial"/>
                <w:i/>
                <w:iCs/>
                <w:sz w:val="16"/>
                <w:szCs w:val="16"/>
              </w:rPr>
              <w:t>2020.</w:t>
            </w:r>
          </w:p>
        </w:tc>
        <w:tc>
          <w:tcPr>
            <w:tcW w:w="1151" w:type="dxa"/>
            <w:tcBorders>
              <w:top w:val="nil"/>
              <w:left w:val="nil"/>
              <w:bottom w:val="single" w:sz="8" w:space="0" w:color="000000"/>
              <w:right w:val="single" w:sz="8" w:space="0" w:color="000000"/>
            </w:tcBorders>
            <w:vAlign w:val="center"/>
            <w:hideMark/>
          </w:tcPr>
          <w:p w14:paraId="0A1F707F" w14:textId="5BDC0295" w:rsidR="004E52BB" w:rsidRPr="003A2F86" w:rsidRDefault="004E52BB" w:rsidP="004E52BB">
            <w:pPr>
              <w:spacing w:after="0" w:line="240" w:lineRule="auto"/>
              <w:jc w:val="right"/>
              <w:rPr>
                <w:rFonts w:ascii="Arial" w:eastAsia="Times New Roman" w:hAnsi="Arial" w:cs="Arial"/>
                <w:i/>
                <w:iCs/>
                <w:sz w:val="16"/>
                <w:szCs w:val="16"/>
              </w:rPr>
            </w:pPr>
            <w:r w:rsidRPr="003A2F86">
              <w:rPr>
                <w:rFonts w:ascii="Arial" w:hAnsi="Arial" w:cs="Arial"/>
                <w:sz w:val="16"/>
                <w:szCs w:val="16"/>
              </w:rPr>
              <w:t>843.335,39</w:t>
            </w:r>
          </w:p>
        </w:tc>
        <w:tc>
          <w:tcPr>
            <w:tcW w:w="12388" w:type="dxa"/>
            <w:tcBorders>
              <w:top w:val="nil"/>
              <w:left w:val="nil"/>
              <w:bottom w:val="single" w:sz="8" w:space="0" w:color="000000"/>
              <w:right w:val="single" w:sz="8" w:space="0" w:color="000000"/>
            </w:tcBorders>
            <w:vAlign w:val="center"/>
            <w:hideMark/>
          </w:tcPr>
          <w:p w14:paraId="732B6E4F" w14:textId="418D9D18" w:rsidR="004E52BB" w:rsidRPr="003A2F86" w:rsidRDefault="004E52BB" w:rsidP="004E52BB">
            <w:pPr>
              <w:spacing w:after="0" w:line="240" w:lineRule="auto"/>
              <w:jc w:val="both"/>
              <w:rPr>
                <w:rFonts w:ascii="Arial" w:eastAsia="Times New Roman" w:hAnsi="Arial" w:cs="Arial"/>
                <w:sz w:val="16"/>
                <w:szCs w:val="16"/>
              </w:rPr>
            </w:pPr>
            <w:r w:rsidRPr="003A2F86">
              <w:rPr>
                <w:rFonts w:ascii="Arial" w:hAnsi="Arial" w:cs="Arial"/>
                <w:sz w:val="16"/>
                <w:szCs w:val="16"/>
              </w:rPr>
              <w:t>Pomoći temeljem prijenosa EU sredstava (638) su ostvarena u iznosu 834.799,14 € i to kao tekuće pomoći za projekt Otvorimo južna vrata lijepe naše koji se provodi putem vrtića 238.558,64 €, tekuće pomoći za izgradnju reciklažnog dvorišta 20.634,65 €, tekuća pomoć za izobrazno informativne aktivnosti 25.157,55 €, kapitalna pomoć za reciklažno dvorište 550.448,30 €, te sredstva proračunskog korisnika Muzeji i galerije Konavala za program ERASMUS+ (ugovor s partnerima Finska i Portugal) 8.536,25 €.</w:t>
            </w:r>
          </w:p>
        </w:tc>
      </w:tr>
      <w:tr w:rsidR="004E52BB" w:rsidRPr="003A2F86" w14:paraId="1645EA64" w14:textId="77777777" w:rsidTr="00BB3F8C">
        <w:trPr>
          <w:trHeight w:val="482"/>
          <w:jc w:val="center"/>
        </w:trPr>
        <w:tc>
          <w:tcPr>
            <w:tcW w:w="768" w:type="dxa"/>
            <w:tcBorders>
              <w:top w:val="single" w:sz="4" w:space="0" w:color="auto"/>
              <w:left w:val="single" w:sz="8" w:space="0" w:color="000000"/>
              <w:bottom w:val="single" w:sz="4" w:space="0" w:color="auto"/>
              <w:right w:val="single" w:sz="8" w:space="0" w:color="000000"/>
            </w:tcBorders>
            <w:vAlign w:val="center"/>
          </w:tcPr>
          <w:p w14:paraId="2E68D85C" w14:textId="77777777" w:rsidR="004E52BB" w:rsidRPr="003A2F86" w:rsidRDefault="004E52BB" w:rsidP="004E52BB">
            <w:pPr>
              <w:spacing w:after="0" w:line="240" w:lineRule="auto"/>
              <w:jc w:val="center"/>
              <w:rPr>
                <w:rFonts w:ascii="Arial" w:eastAsia="Times New Roman" w:hAnsi="Arial" w:cs="Arial"/>
                <w:i/>
                <w:iCs/>
                <w:sz w:val="16"/>
                <w:szCs w:val="16"/>
              </w:rPr>
            </w:pPr>
            <w:r w:rsidRPr="003A2F86">
              <w:rPr>
                <w:rFonts w:ascii="Arial" w:eastAsia="Times New Roman" w:hAnsi="Arial" w:cs="Arial"/>
                <w:i/>
                <w:iCs/>
                <w:sz w:val="16"/>
                <w:szCs w:val="16"/>
              </w:rPr>
              <w:t>2021.</w:t>
            </w:r>
          </w:p>
        </w:tc>
        <w:tc>
          <w:tcPr>
            <w:tcW w:w="1151" w:type="dxa"/>
            <w:tcBorders>
              <w:top w:val="nil"/>
              <w:left w:val="nil"/>
              <w:bottom w:val="single" w:sz="4" w:space="0" w:color="auto"/>
              <w:right w:val="single" w:sz="8" w:space="0" w:color="000000"/>
            </w:tcBorders>
            <w:vAlign w:val="center"/>
          </w:tcPr>
          <w:p w14:paraId="074104B6" w14:textId="05415897" w:rsidR="004E52BB" w:rsidRPr="003A2F86" w:rsidRDefault="004E52BB" w:rsidP="004E52BB">
            <w:pPr>
              <w:spacing w:after="0" w:line="240" w:lineRule="auto"/>
              <w:jc w:val="right"/>
              <w:rPr>
                <w:rFonts w:ascii="Arial" w:eastAsia="Times New Roman" w:hAnsi="Arial" w:cs="Arial"/>
                <w:i/>
                <w:iCs/>
                <w:sz w:val="16"/>
                <w:szCs w:val="16"/>
              </w:rPr>
            </w:pPr>
            <w:r w:rsidRPr="003A2F86">
              <w:rPr>
                <w:rFonts w:ascii="Arial" w:hAnsi="Arial" w:cs="Arial"/>
                <w:sz w:val="16"/>
                <w:szCs w:val="16"/>
              </w:rPr>
              <w:t>796.496,08</w:t>
            </w:r>
          </w:p>
        </w:tc>
        <w:tc>
          <w:tcPr>
            <w:tcW w:w="12388" w:type="dxa"/>
            <w:tcBorders>
              <w:top w:val="nil"/>
              <w:left w:val="nil"/>
              <w:bottom w:val="single" w:sz="4" w:space="0" w:color="auto"/>
              <w:right w:val="single" w:sz="8" w:space="0" w:color="000000"/>
            </w:tcBorders>
            <w:vAlign w:val="center"/>
          </w:tcPr>
          <w:p w14:paraId="645E71F0" w14:textId="4C29E198" w:rsidR="004E52BB" w:rsidRPr="003A2F86" w:rsidRDefault="005317BD" w:rsidP="004E52BB">
            <w:pPr>
              <w:spacing w:after="0" w:line="240" w:lineRule="auto"/>
              <w:jc w:val="both"/>
              <w:rPr>
                <w:rFonts w:ascii="Arial" w:eastAsia="Times New Roman" w:hAnsi="Arial" w:cs="Arial"/>
                <w:sz w:val="16"/>
                <w:szCs w:val="16"/>
              </w:rPr>
            </w:pPr>
            <w:r w:rsidRPr="003A2F86">
              <w:rPr>
                <w:rFonts w:ascii="Arial" w:hAnsi="Arial" w:cs="Arial"/>
                <w:sz w:val="16"/>
                <w:szCs w:val="16"/>
              </w:rPr>
              <w:t>Pomoći temeljem prijenosa EU sredstava (638) su ostvarena u iznosu 796.496,08 € i to kao tekuće pomoći za projekt Otvorimo južna vrata lijepe naše koji se provodi putem vrtića 178.286,96 €, kapitalna pomoć za izradu prostornog plana 13.696,37 €, te kapitalna pomoć za izgradnju vatrogasnog doma na Grudi u iznosu 604.512,75 €.</w:t>
            </w:r>
          </w:p>
        </w:tc>
      </w:tr>
      <w:tr w:rsidR="004E52BB" w:rsidRPr="003A2F86" w14:paraId="1DBE334D" w14:textId="77777777" w:rsidTr="00027F4C">
        <w:trPr>
          <w:trHeight w:val="273"/>
          <w:jc w:val="center"/>
        </w:trPr>
        <w:tc>
          <w:tcPr>
            <w:tcW w:w="768" w:type="dxa"/>
            <w:tcBorders>
              <w:top w:val="single" w:sz="4" w:space="0" w:color="auto"/>
              <w:left w:val="single" w:sz="8" w:space="0" w:color="000000"/>
              <w:bottom w:val="single" w:sz="4" w:space="0" w:color="auto"/>
              <w:right w:val="single" w:sz="8" w:space="0" w:color="000000"/>
            </w:tcBorders>
            <w:vAlign w:val="center"/>
          </w:tcPr>
          <w:p w14:paraId="133DCEE1" w14:textId="77777777" w:rsidR="004E52BB" w:rsidRPr="003A2F86" w:rsidRDefault="004E52BB" w:rsidP="004E52BB">
            <w:pPr>
              <w:spacing w:after="0" w:line="240" w:lineRule="auto"/>
              <w:jc w:val="center"/>
              <w:rPr>
                <w:rFonts w:ascii="Arial" w:eastAsia="Times New Roman" w:hAnsi="Arial" w:cs="Arial"/>
                <w:i/>
                <w:iCs/>
                <w:sz w:val="16"/>
                <w:szCs w:val="16"/>
              </w:rPr>
            </w:pPr>
            <w:r w:rsidRPr="003A2F86">
              <w:rPr>
                <w:rFonts w:ascii="Arial" w:eastAsia="Times New Roman" w:hAnsi="Arial" w:cs="Arial"/>
                <w:i/>
                <w:iCs/>
                <w:sz w:val="16"/>
                <w:szCs w:val="16"/>
              </w:rPr>
              <w:t>2022.</w:t>
            </w:r>
          </w:p>
        </w:tc>
        <w:tc>
          <w:tcPr>
            <w:tcW w:w="1151" w:type="dxa"/>
            <w:tcBorders>
              <w:top w:val="single" w:sz="4" w:space="0" w:color="auto"/>
              <w:left w:val="nil"/>
              <w:bottom w:val="single" w:sz="4" w:space="0" w:color="auto"/>
              <w:right w:val="single" w:sz="8" w:space="0" w:color="000000"/>
            </w:tcBorders>
            <w:vAlign w:val="center"/>
          </w:tcPr>
          <w:p w14:paraId="45364B54" w14:textId="3B3D63BB" w:rsidR="004E52BB" w:rsidRPr="003A2F86" w:rsidRDefault="004E52BB" w:rsidP="004E52BB">
            <w:pPr>
              <w:spacing w:after="0" w:line="240" w:lineRule="auto"/>
              <w:jc w:val="right"/>
              <w:rPr>
                <w:rFonts w:ascii="Arial" w:hAnsi="Arial" w:cs="Arial"/>
                <w:i/>
                <w:iCs/>
                <w:sz w:val="16"/>
                <w:szCs w:val="16"/>
              </w:rPr>
            </w:pPr>
            <w:r w:rsidRPr="003A2F86">
              <w:rPr>
                <w:rFonts w:ascii="Arial" w:hAnsi="Arial" w:cs="Arial"/>
                <w:sz w:val="16"/>
                <w:szCs w:val="16"/>
              </w:rPr>
              <w:t>136.480,20</w:t>
            </w:r>
          </w:p>
        </w:tc>
        <w:tc>
          <w:tcPr>
            <w:tcW w:w="12388" w:type="dxa"/>
            <w:tcBorders>
              <w:top w:val="single" w:sz="4" w:space="0" w:color="auto"/>
              <w:left w:val="nil"/>
              <w:bottom w:val="single" w:sz="4" w:space="0" w:color="auto"/>
              <w:right w:val="single" w:sz="8" w:space="0" w:color="000000"/>
            </w:tcBorders>
            <w:vAlign w:val="center"/>
          </w:tcPr>
          <w:p w14:paraId="4EF4BB31" w14:textId="5A23BEB0" w:rsidR="004E52BB" w:rsidRPr="003A2F86" w:rsidRDefault="004E52BB" w:rsidP="004E52BB">
            <w:pPr>
              <w:spacing w:after="0" w:line="240" w:lineRule="auto"/>
              <w:jc w:val="both"/>
              <w:rPr>
                <w:rFonts w:ascii="Arial" w:hAnsi="Arial" w:cs="Arial"/>
                <w:sz w:val="16"/>
                <w:szCs w:val="16"/>
              </w:rPr>
            </w:pPr>
            <w:r w:rsidRPr="003A2F86">
              <w:rPr>
                <w:rFonts w:ascii="Arial" w:hAnsi="Arial" w:cs="Arial"/>
                <w:sz w:val="16"/>
                <w:szCs w:val="16"/>
              </w:rPr>
              <w:t xml:space="preserve">Pomoći temeljem prijenosa EU sredstava (638) su ostvarena u iznosu 136.480,31 € i to kao tekuće pomoći za projekt Otvorimo južna vrata lijepe naše koji </w:t>
            </w:r>
            <w:r w:rsidR="00027F4C">
              <w:rPr>
                <w:rFonts w:ascii="Arial" w:hAnsi="Arial" w:cs="Arial"/>
                <w:sz w:val="16"/>
                <w:szCs w:val="16"/>
              </w:rPr>
              <w:t>je provodio vrtić</w:t>
            </w:r>
            <w:r w:rsidRPr="003A2F86">
              <w:rPr>
                <w:rFonts w:ascii="Arial" w:hAnsi="Arial" w:cs="Arial"/>
                <w:sz w:val="16"/>
                <w:szCs w:val="16"/>
              </w:rPr>
              <w:t>.</w:t>
            </w:r>
          </w:p>
        </w:tc>
      </w:tr>
      <w:tr w:rsidR="004E52BB" w:rsidRPr="003A2F86" w14:paraId="32C702D9" w14:textId="77777777" w:rsidTr="00027F4C">
        <w:trPr>
          <w:trHeight w:val="277"/>
          <w:jc w:val="center"/>
        </w:trPr>
        <w:tc>
          <w:tcPr>
            <w:tcW w:w="768" w:type="dxa"/>
            <w:tcBorders>
              <w:top w:val="single" w:sz="4" w:space="0" w:color="auto"/>
              <w:left w:val="single" w:sz="8" w:space="0" w:color="000000"/>
              <w:bottom w:val="single" w:sz="4" w:space="0" w:color="auto"/>
              <w:right w:val="single" w:sz="8" w:space="0" w:color="000000"/>
            </w:tcBorders>
            <w:vAlign w:val="center"/>
          </w:tcPr>
          <w:p w14:paraId="15528961" w14:textId="0E2A293B" w:rsidR="004E52BB" w:rsidRPr="003A2F86" w:rsidRDefault="004E52BB" w:rsidP="004E52BB">
            <w:pPr>
              <w:spacing w:after="0" w:line="240" w:lineRule="auto"/>
              <w:jc w:val="center"/>
              <w:rPr>
                <w:rFonts w:ascii="Arial" w:eastAsia="Times New Roman" w:hAnsi="Arial" w:cs="Arial"/>
                <w:i/>
                <w:iCs/>
                <w:sz w:val="16"/>
                <w:szCs w:val="16"/>
              </w:rPr>
            </w:pPr>
            <w:r w:rsidRPr="003A2F86">
              <w:rPr>
                <w:rFonts w:ascii="Arial" w:eastAsia="Times New Roman" w:hAnsi="Arial" w:cs="Arial"/>
                <w:i/>
                <w:iCs/>
                <w:sz w:val="16"/>
                <w:szCs w:val="16"/>
              </w:rPr>
              <w:t>2023.</w:t>
            </w:r>
          </w:p>
        </w:tc>
        <w:tc>
          <w:tcPr>
            <w:tcW w:w="1151" w:type="dxa"/>
            <w:tcBorders>
              <w:top w:val="single" w:sz="4" w:space="0" w:color="auto"/>
              <w:left w:val="nil"/>
              <w:bottom w:val="single" w:sz="4" w:space="0" w:color="auto"/>
              <w:right w:val="single" w:sz="8" w:space="0" w:color="000000"/>
            </w:tcBorders>
            <w:vAlign w:val="center"/>
          </w:tcPr>
          <w:p w14:paraId="1A6D0DDB" w14:textId="46C26A0B" w:rsidR="004E52BB" w:rsidRPr="003A2F86" w:rsidRDefault="009256BD" w:rsidP="004E52BB">
            <w:pPr>
              <w:spacing w:after="0" w:line="240" w:lineRule="auto"/>
              <w:jc w:val="right"/>
              <w:rPr>
                <w:rFonts w:ascii="Arial" w:hAnsi="Arial" w:cs="Arial"/>
                <w:i/>
                <w:iCs/>
                <w:sz w:val="16"/>
                <w:szCs w:val="16"/>
              </w:rPr>
            </w:pPr>
            <w:r w:rsidRPr="003A2F86">
              <w:rPr>
                <w:rFonts w:ascii="Arial" w:hAnsi="Arial" w:cs="Arial"/>
                <w:sz w:val="16"/>
                <w:szCs w:val="16"/>
              </w:rPr>
              <w:t>39.809,65</w:t>
            </w:r>
          </w:p>
        </w:tc>
        <w:tc>
          <w:tcPr>
            <w:tcW w:w="12388" w:type="dxa"/>
            <w:tcBorders>
              <w:top w:val="single" w:sz="4" w:space="0" w:color="auto"/>
              <w:left w:val="nil"/>
              <w:bottom w:val="single" w:sz="4" w:space="0" w:color="auto"/>
              <w:right w:val="single" w:sz="8" w:space="0" w:color="000000"/>
            </w:tcBorders>
            <w:vAlign w:val="center"/>
          </w:tcPr>
          <w:p w14:paraId="64B94633" w14:textId="53D48832" w:rsidR="004E52BB" w:rsidRPr="003A2F86" w:rsidRDefault="009256BD" w:rsidP="004E52BB">
            <w:pPr>
              <w:spacing w:after="0" w:line="240" w:lineRule="auto"/>
              <w:jc w:val="both"/>
              <w:rPr>
                <w:rFonts w:ascii="Arial" w:hAnsi="Arial" w:cs="Arial"/>
                <w:sz w:val="16"/>
                <w:szCs w:val="16"/>
              </w:rPr>
            </w:pPr>
            <w:r w:rsidRPr="003A2F86">
              <w:rPr>
                <w:rFonts w:ascii="Arial" w:hAnsi="Arial" w:cs="Arial"/>
                <w:sz w:val="16"/>
                <w:szCs w:val="16"/>
              </w:rPr>
              <w:t>Pomoći temeljem prijenosa EU sredstava (638) su ostvarena u iznosu 39.809,65 € i to kao tekuće pomoći za projekt Otvorimo južna vrata lijepe naše koji se provod</w:t>
            </w:r>
            <w:r w:rsidR="00027F4C">
              <w:rPr>
                <w:rFonts w:ascii="Arial" w:hAnsi="Arial" w:cs="Arial"/>
                <w:sz w:val="16"/>
                <w:szCs w:val="16"/>
              </w:rPr>
              <w:t>io</w:t>
            </w:r>
            <w:r w:rsidRPr="003A2F86">
              <w:rPr>
                <w:rFonts w:ascii="Arial" w:hAnsi="Arial" w:cs="Arial"/>
                <w:sz w:val="16"/>
                <w:szCs w:val="16"/>
              </w:rPr>
              <w:t xml:space="preserve"> vrtić.</w:t>
            </w:r>
          </w:p>
        </w:tc>
      </w:tr>
      <w:tr w:rsidR="00B8530F" w:rsidRPr="003A2F86" w14:paraId="7524A77C" w14:textId="77777777" w:rsidTr="00BB3F8C">
        <w:trPr>
          <w:trHeight w:val="413"/>
          <w:jc w:val="center"/>
        </w:trPr>
        <w:tc>
          <w:tcPr>
            <w:tcW w:w="768" w:type="dxa"/>
            <w:tcBorders>
              <w:top w:val="single" w:sz="4" w:space="0" w:color="auto"/>
              <w:left w:val="single" w:sz="8" w:space="0" w:color="000000"/>
              <w:bottom w:val="single" w:sz="4" w:space="0" w:color="auto"/>
              <w:right w:val="single" w:sz="8" w:space="0" w:color="000000"/>
            </w:tcBorders>
            <w:vAlign w:val="center"/>
          </w:tcPr>
          <w:p w14:paraId="42F644D9" w14:textId="2FD4FE72" w:rsidR="00B8530F" w:rsidRPr="003A2F86" w:rsidRDefault="00B8530F" w:rsidP="00B8530F">
            <w:pPr>
              <w:spacing w:after="0" w:line="240" w:lineRule="auto"/>
              <w:jc w:val="center"/>
              <w:rPr>
                <w:rFonts w:ascii="Arial" w:eastAsia="Times New Roman" w:hAnsi="Arial" w:cs="Arial"/>
                <w:i/>
                <w:iCs/>
                <w:sz w:val="16"/>
                <w:szCs w:val="16"/>
              </w:rPr>
            </w:pPr>
            <w:r w:rsidRPr="003A2F86">
              <w:rPr>
                <w:rFonts w:ascii="Arial" w:eastAsia="Times New Roman" w:hAnsi="Arial" w:cs="Arial"/>
                <w:i/>
                <w:iCs/>
                <w:sz w:val="16"/>
                <w:szCs w:val="16"/>
              </w:rPr>
              <w:t>2024.</w:t>
            </w:r>
          </w:p>
        </w:tc>
        <w:tc>
          <w:tcPr>
            <w:tcW w:w="1151" w:type="dxa"/>
            <w:tcBorders>
              <w:top w:val="nil"/>
              <w:left w:val="nil"/>
              <w:bottom w:val="single" w:sz="4" w:space="0" w:color="auto"/>
              <w:right w:val="single" w:sz="8" w:space="0" w:color="000000"/>
            </w:tcBorders>
            <w:vAlign w:val="center"/>
          </w:tcPr>
          <w:p w14:paraId="7CBC1DFB" w14:textId="0C001AB7" w:rsidR="00B8530F" w:rsidRPr="003A2F86" w:rsidRDefault="00B8530F" w:rsidP="00B8530F">
            <w:pPr>
              <w:spacing w:after="0" w:line="240" w:lineRule="auto"/>
              <w:jc w:val="right"/>
              <w:rPr>
                <w:rFonts w:ascii="Arial" w:hAnsi="Arial" w:cs="Arial"/>
                <w:sz w:val="16"/>
                <w:szCs w:val="16"/>
              </w:rPr>
            </w:pPr>
            <w:r w:rsidRPr="003A2F86">
              <w:rPr>
                <w:rFonts w:ascii="Arial" w:hAnsi="Arial" w:cs="Arial"/>
                <w:sz w:val="16"/>
                <w:szCs w:val="16"/>
              </w:rPr>
              <w:t>12.220,84</w:t>
            </w:r>
          </w:p>
        </w:tc>
        <w:tc>
          <w:tcPr>
            <w:tcW w:w="12388" w:type="dxa"/>
            <w:tcBorders>
              <w:top w:val="nil"/>
              <w:left w:val="nil"/>
              <w:bottom w:val="single" w:sz="4" w:space="0" w:color="auto"/>
              <w:right w:val="single" w:sz="8" w:space="0" w:color="000000"/>
            </w:tcBorders>
            <w:vAlign w:val="center"/>
          </w:tcPr>
          <w:p w14:paraId="57D72EA0" w14:textId="27DD6E20" w:rsidR="00B8530F" w:rsidRPr="003A2F86" w:rsidRDefault="00B8530F" w:rsidP="00B8530F">
            <w:pPr>
              <w:spacing w:after="0" w:line="240" w:lineRule="auto"/>
              <w:jc w:val="both"/>
              <w:rPr>
                <w:rFonts w:ascii="Arial" w:hAnsi="Arial" w:cs="Arial"/>
                <w:sz w:val="16"/>
                <w:szCs w:val="16"/>
              </w:rPr>
            </w:pPr>
            <w:r w:rsidRPr="003A2F86">
              <w:rPr>
                <w:rFonts w:ascii="Arial" w:hAnsi="Arial" w:cs="Arial"/>
                <w:sz w:val="16"/>
                <w:szCs w:val="16"/>
              </w:rPr>
              <w:t>Pomoći temeljem prijenosa EU sredstava (638) su ostvarena u iznosu 12.220,84 € i to kao tekuće pomoći za projekt Otvorimo južna vrata lijepe naše koji se provodi putem vrtića (prihvaćen završni izvještaj).</w:t>
            </w:r>
          </w:p>
        </w:tc>
      </w:tr>
      <w:tr w:rsidR="00BE31A9" w:rsidRPr="003A2F86" w14:paraId="02C4D390" w14:textId="77777777" w:rsidTr="00BB3F8C">
        <w:trPr>
          <w:trHeight w:val="413"/>
          <w:jc w:val="center"/>
        </w:trPr>
        <w:tc>
          <w:tcPr>
            <w:tcW w:w="768" w:type="dxa"/>
            <w:tcBorders>
              <w:top w:val="single" w:sz="4" w:space="0" w:color="auto"/>
              <w:left w:val="single" w:sz="8" w:space="0" w:color="000000"/>
              <w:bottom w:val="single" w:sz="4" w:space="0" w:color="auto"/>
              <w:right w:val="single" w:sz="8" w:space="0" w:color="000000"/>
            </w:tcBorders>
            <w:vAlign w:val="center"/>
          </w:tcPr>
          <w:p w14:paraId="3A7DDA42" w14:textId="33DFC022" w:rsidR="00BE31A9" w:rsidRPr="003A2F86" w:rsidRDefault="00BE31A9" w:rsidP="00B8530F">
            <w:pPr>
              <w:spacing w:after="0" w:line="240" w:lineRule="auto"/>
              <w:jc w:val="center"/>
              <w:rPr>
                <w:rFonts w:ascii="Arial" w:eastAsia="Times New Roman" w:hAnsi="Arial" w:cs="Arial"/>
                <w:i/>
                <w:iCs/>
                <w:sz w:val="16"/>
                <w:szCs w:val="16"/>
              </w:rPr>
            </w:pPr>
            <w:r>
              <w:rPr>
                <w:rFonts w:ascii="Arial" w:eastAsia="Times New Roman" w:hAnsi="Arial" w:cs="Arial"/>
                <w:i/>
                <w:iCs/>
                <w:sz w:val="16"/>
                <w:szCs w:val="16"/>
              </w:rPr>
              <w:t>2025.</w:t>
            </w:r>
          </w:p>
        </w:tc>
        <w:tc>
          <w:tcPr>
            <w:tcW w:w="1151" w:type="dxa"/>
            <w:tcBorders>
              <w:top w:val="single" w:sz="4" w:space="0" w:color="auto"/>
              <w:left w:val="nil"/>
              <w:bottom w:val="single" w:sz="8" w:space="0" w:color="000000"/>
              <w:right w:val="single" w:sz="8" w:space="0" w:color="000000"/>
            </w:tcBorders>
            <w:vAlign w:val="center"/>
          </w:tcPr>
          <w:p w14:paraId="092AE315" w14:textId="3B1DA1B7" w:rsidR="00BE31A9" w:rsidRPr="003A2F86" w:rsidRDefault="00210001" w:rsidP="00B8530F">
            <w:pPr>
              <w:spacing w:after="0" w:line="240" w:lineRule="auto"/>
              <w:jc w:val="right"/>
              <w:rPr>
                <w:rFonts w:ascii="Arial" w:hAnsi="Arial" w:cs="Arial"/>
                <w:sz w:val="16"/>
                <w:szCs w:val="16"/>
              </w:rPr>
            </w:pPr>
            <w:r>
              <w:rPr>
                <w:rFonts w:ascii="Arial" w:hAnsi="Arial" w:cs="Arial"/>
                <w:sz w:val="16"/>
                <w:szCs w:val="16"/>
              </w:rPr>
              <w:t>3.491.046,17</w:t>
            </w:r>
          </w:p>
        </w:tc>
        <w:tc>
          <w:tcPr>
            <w:tcW w:w="12388" w:type="dxa"/>
            <w:tcBorders>
              <w:top w:val="single" w:sz="4" w:space="0" w:color="auto"/>
              <w:left w:val="nil"/>
              <w:bottom w:val="single" w:sz="8" w:space="0" w:color="000000"/>
              <w:right w:val="single" w:sz="8" w:space="0" w:color="000000"/>
            </w:tcBorders>
            <w:vAlign w:val="center"/>
          </w:tcPr>
          <w:p w14:paraId="4D564C95" w14:textId="6A07DD6F" w:rsidR="00BE31A9" w:rsidRPr="003A2F86" w:rsidRDefault="00210001" w:rsidP="00B8530F">
            <w:pPr>
              <w:spacing w:after="0" w:line="240" w:lineRule="auto"/>
              <w:jc w:val="both"/>
              <w:rPr>
                <w:rFonts w:ascii="Arial" w:hAnsi="Arial" w:cs="Arial"/>
                <w:sz w:val="16"/>
                <w:szCs w:val="16"/>
              </w:rPr>
            </w:pPr>
            <w:r w:rsidRPr="00210001">
              <w:rPr>
                <w:rFonts w:ascii="Arial" w:hAnsi="Arial" w:cs="Arial"/>
                <w:sz w:val="16"/>
                <w:szCs w:val="16"/>
              </w:rPr>
              <w:t>Pomoći temeljem prijenosa EU sredstava (638) su ostvarena sredstva u iznosu 3.491.046,17 € i to kao kapitalne pomoći za projekt izgradnje osnovne škole u Cavtatu (prijenos putem Dubrovačko-neretvanske županije) u iznosu 3.185.731,78 € i za projekt izgradnje vatrogasnog doma na temelju konačnog obračuna 305.314,39 €.</w:t>
            </w:r>
          </w:p>
        </w:tc>
      </w:tr>
      <w:bookmarkEnd w:id="98"/>
    </w:tbl>
    <w:p w14:paraId="05952ECC" w14:textId="77777777" w:rsidR="00BF5EDD" w:rsidRDefault="00BF5EDD" w:rsidP="003602FE">
      <w:pPr>
        <w:overflowPunct w:val="0"/>
        <w:autoSpaceDE w:val="0"/>
        <w:autoSpaceDN w:val="0"/>
        <w:adjustRightInd w:val="0"/>
        <w:spacing w:after="0" w:line="240" w:lineRule="auto"/>
        <w:jc w:val="both"/>
        <w:rPr>
          <w:rFonts w:ascii="Arial" w:eastAsia="Times New Roman" w:hAnsi="Arial" w:cs="Arial"/>
        </w:rPr>
      </w:pPr>
    </w:p>
    <w:p w14:paraId="31F16CA8" w14:textId="66632BD3" w:rsidR="00B94C54" w:rsidRPr="003A2F86" w:rsidRDefault="00B15B5B" w:rsidP="003602FE">
      <w:pPr>
        <w:overflowPunct w:val="0"/>
        <w:autoSpaceDE w:val="0"/>
        <w:autoSpaceDN w:val="0"/>
        <w:adjustRightInd w:val="0"/>
        <w:spacing w:after="0" w:line="240" w:lineRule="auto"/>
        <w:jc w:val="both"/>
        <w:rPr>
          <w:rFonts w:ascii="Arial" w:eastAsia="Times New Roman" w:hAnsi="Arial" w:cs="Arial"/>
          <w:sz w:val="16"/>
          <w:szCs w:val="16"/>
        </w:rPr>
      </w:pPr>
      <w:r w:rsidRPr="003A2F86">
        <w:rPr>
          <w:rFonts w:ascii="Arial" w:eastAsia="Times New Roman" w:hAnsi="Arial" w:cs="Arial"/>
        </w:rPr>
        <w:t xml:space="preserve">U nastavku se daje kratak </w:t>
      </w:r>
      <w:r w:rsidRPr="003A2F86">
        <w:rPr>
          <w:rFonts w:ascii="Arial" w:eastAsia="Times New Roman" w:hAnsi="Arial" w:cs="Arial"/>
          <w:b/>
          <w:u w:val="single"/>
        </w:rPr>
        <w:t>pregled značajnijih</w:t>
      </w:r>
      <w:r w:rsidRPr="003A2F86">
        <w:rPr>
          <w:rFonts w:ascii="Arial" w:eastAsia="Times New Roman" w:hAnsi="Arial" w:cs="Arial"/>
        </w:rPr>
        <w:t xml:space="preserve"> </w:t>
      </w:r>
      <w:r w:rsidRPr="003A2F86">
        <w:rPr>
          <w:rFonts w:ascii="Arial" w:eastAsia="Times New Roman" w:hAnsi="Arial" w:cs="Arial"/>
          <w:b/>
        </w:rPr>
        <w:t xml:space="preserve">prihoda od pomoći </w:t>
      </w:r>
      <w:r w:rsidR="001865FB" w:rsidRPr="003A2F86">
        <w:rPr>
          <w:rFonts w:ascii="Arial" w:eastAsia="Times New Roman" w:hAnsi="Arial" w:cs="Arial"/>
          <w:bCs/>
        </w:rPr>
        <w:t>(evidentirani na podskup</w:t>
      </w:r>
      <w:r w:rsidR="003C7027" w:rsidRPr="003A2F86">
        <w:rPr>
          <w:rFonts w:ascii="Arial" w:eastAsia="Times New Roman" w:hAnsi="Arial" w:cs="Arial"/>
          <w:bCs/>
        </w:rPr>
        <w:t>i</w:t>
      </w:r>
      <w:r w:rsidR="001865FB" w:rsidRPr="003A2F86">
        <w:rPr>
          <w:rFonts w:ascii="Arial" w:eastAsia="Times New Roman" w:hAnsi="Arial" w:cs="Arial"/>
          <w:bCs/>
        </w:rPr>
        <w:t xml:space="preserve">nama prihoda </w:t>
      </w:r>
      <w:r w:rsidR="00535023">
        <w:rPr>
          <w:rFonts w:ascii="Arial" w:eastAsia="Times New Roman" w:hAnsi="Arial" w:cs="Arial"/>
          <w:bCs/>
        </w:rPr>
        <w:t xml:space="preserve">631, </w:t>
      </w:r>
      <w:r w:rsidR="001865FB" w:rsidRPr="003A2F86">
        <w:rPr>
          <w:rFonts w:ascii="Arial" w:eastAsia="Times New Roman" w:hAnsi="Arial" w:cs="Arial"/>
          <w:bCs/>
        </w:rPr>
        <w:t xml:space="preserve">632, 633, 634, 638, 663) </w:t>
      </w:r>
      <w:r w:rsidRPr="003A2F86">
        <w:rPr>
          <w:rFonts w:ascii="Arial" w:eastAsia="Times New Roman" w:hAnsi="Arial" w:cs="Arial"/>
          <w:b/>
        </w:rPr>
        <w:t xml:space="preserve">iz </w:t>
      </w:r>
      <w:r w:rsidRPr="003A2F86">
        <w:rPr>
          <w:rFonts w:ascii="Arial" w:eastAsia="Times New Roman" w:hAnsi="Arial" w:cs="Arial"/>
          <w:b/>
          <w:u w:val="single"/>
        </w:rPr>
        <w:t>prethodnih godina</w:t>
      </w:r>
      <w:r w:rsidRPr="003A2F86">
        <w:rPr>
          <w:rFonts w:ascii="Arial" w:eastAsia="Times New Roman" w:hAnsi="Arial" w:cs="Arial"/>
        </w:rPr>
        <w:t>, a na kraju tablice iskazuju se i zaključeni ugovori o sufinanciraju projekata na temelju kojih još nisu ostvareni prihodi</w:t>
      </w:r>
      <w:r w:rsidR="00783A2E" w:rsidRPr="003A2F86">
        <w:rPr>
          <w:rFonts w:ascii="Arial" w:eastAsia="Times New Roman" w:hAnsi="Arial" w:cs="Arial"/>
        </w:rPr>
        <w:t xml:space="preserve">, odnosno tek su se </w:t>
      </w:r>
      <w:r w:rsidR="00411FFA" w:rsidRPr="003A2F86">
        <w:rPr>
          <w:rFonts w:ascii="Arial" w:eastAsia="Times New Roman" w:hAnsi="Arial" w:cs="Arial"/>
        </w:rPr>
        <w:t>počeli ostvarivati.</w:t>
      </w:r>
    </w:p>
    <w:p w14:paraId="5CD5619E" w14:textId="77777777" w:rsidR="00A6443B" w:rsidRDefault="00A6443B" w:rsidP="00F84887">
      <w:pPr>
        <w:overflowPunct w:val="0"/>
        <w:autoSpaceDE w:val="0"/>
        <w:autoSpaceDN w:val="0"/>
        <w:adjustRightInd w:val="0"/>
        <w:spacing w:after="0" w:line="240" w:lineRule="auto"/>
        <w:jc w:val="both"/>
        <w:rPr>
          <w:rFonts w:ascii="Arial" w:eastAsia="Times New Roman" w:hAnsi="Arial" w:cs="Arial"/>
          <w:sz w:val="16"/>
          <w:szCs w:val="16"/>
        </w:rPr>
      </w:pPr>
    </w:p>
    <w:p w14:paraId="3EC8A8CD"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12184912" w14:textId="77777777" w:rsidR="00496F7D" w:rsidRDefault="00496F7D" w:rsidP="00F84887">
      <w:pPr>
        <w:overflowPunct w:val="0"/>
        <w:autoSpaceDE w:val="0"/>
        <w:autoSpaceDN w:val="0"/>
        <w:adjustRightInd w:val="0"/>
        <w:spacing w:after="0" w:line="240" w:lineRule="auto"/>
        <w:jc w:val="both"/>
        <w:rPr>
          <w:rFonts w:ascii="Arial" w:eastAsia="Times New Roman" w:hAnsi="Arial" w:cs="Arial"/>
          <w:sz w:val="16"/>
          <w:szCs w:val="16"/>
        </w:rPr>
      </w:pPr>
    </w:p>
    <w:p w14:paraId="562F628D" w14:textId="77777777" w:rsidR="00496F7D" w:rsidRDefault="00496F7D" w:rsidP="00F84887">
      <w:pPr>
        <w:overflowPunct w:val="0"/>
        <w:autoSpaceDE w:val="0"/>
        <w:autoSpaceDN w:val="0"/>
        <w:adjustRightInd w:val="0"/>
        <w:spacing w:after="0" w:line="240" w:lineRule="auto"/>
        <w:jc w:val="both"/>
        <w:rPr>
          <w:rFonts w:ascii="Arial" w:eastAsia="Times New Roman" w:hAnsi="Arial" w:cs="Arial"/>
          <w:sz w:val="16"/>
          <w:szCs w:val="16"/>
        </w:rPr>
      </w:pPr>
    </w:p>
    <w:p w14:paraId="46E3D0BA" w14:textId="77777777" w:rsidR="00496F7D" w:rsidRDefault="00496F7D" w:rsidP="00F84887">
      <w:pPr>
        <w:overflowPunct w:val="0"/>
        <w:autoSpaceDE w:val="0"/>
        <w:autoSpaceDN w:val="0"/>
        <w:adjustRightInd w:val="0"/>
        <w:spacing w:after="0" w:line="240" w:lineRule="auto"/>
        <w:jc w:val="both"/>
        <w:rPr>
          <w:rFonts w:ascii="Arial" w:eastAsia="Times New Roman" w:hAnsi="Arial" w:cs="Arial"/>
          <w:sz w:val="16"/>
          <w:szCs w:val="16"/>
        </w:rPr>
      </w:pPr>
    </w:p>
    <w:p w14:paraId="0B3130D3" w14:textId="77777777" w:rsidR="00496F7D" w:rsidRDefault="00496F7D" w:rsidP="00F84887">
      <w:pPr>
        <w:overflowPunct w:val="0"/>
        <w:autoSpaceDE w:val="0"/>
        <w:autoSpaceDN w:val="0"/>
        <w:adjustRightInd w:val="0"/>
        <w:spacing w:after="0" w:line="240" w:lineRule="auto"/>
        <w:jc w:val="both"/>
        <w:rPr>
          <w:rFonts w:ascii="Arial" w:eastAsia="Times New Roman" w:hAnsi="Arial" w:cs="Arial"/>
          <w:sz w:val="16"/>
          <w:szCs w:val="16"/>
        </w:rPr>
      </w:pPr>
    </w:p>
    <w:p w14:paraId="77E2039B" w14:textId="77777777" w:rsidR="00496F7D" w:rsidRDefault="00496F7D" w:rsidP="00F84887">
      <w:pPr>
        <w:overflowPunct w:val="0"/>
        <w:autoSpaceDE w:val="0"/>
        <w:autoSpaceDN w:val="0"/>
        <w:adjustRightInd w:val="0"/>
        <w:spacing w:after="0" w:line="240" w:lineRule="auto"/>
        <w:jc w:val="both"/>
        <w:rPr>
          <w:rFonts w:ascii="Arial" w:eastAsia="Times New Roman" w:hAnsi="Arial" w:cs="Arial"/>
          <w:sz w:val="16"/>
          <w:szCs w:val="16"/>
        </w:rPr>
      </w:pPr>
    </w:p>
    <w:p w14:paraId="112964FF" w14:textId="77777777" w:rsidR="00496F7D" w:rsidRDefault="00496F7D" w:rsidP="00F84887">
      <w:pPr>
        <w:overflowPunct w:val="0"/>
        <w:autoSpaceDE w:val="0"/>
        <w:autoSpaceDN w:val="0"/>
        <w:adjustRightInd w:val="0"/>
        <w:spacing w:after="0" w:line="240" w:lineRule="auto"/>
        <w:jc w:val="both"/>
        <w:rPr>
          <w:rFonts w:ascii="Arial" w:eastAsia="Times New Roman" w:hAnsi="Arial" w:cs="Arial"/>
          <w:sz w:val="16"/>
          <w:szCs w:val="16"/>
        </w:rPr>
      </w:pPr>
    </w:p>
    <w:p w14:paraId="2FD64DC0" w14:textId="77777777" w:rsidR="00496F7D" w:rsidRDefault="00496F7D" w:rsidP="00F84887">
      <w:pPr>
        <w:overflowPunct w:val="0"/>
        <w:autoSpaceDE w:val="0"/>
        <w:autoSpaceDN w:val="0"/>
        <w:adjustRightInd w:val="0"/>
        <w:spacing w:after="0" w:line="240" w:lineRule="auto"/>
        <w:jc w:val="both"/>
        <w:rPr>
          <w:rFonts w:ascii="Arial" w:eastAsia="Times New Roman" w:hAnsi="Arial" w:cs="Arial"/>
          <w:sz w:val="16"/>
          <w:szCs w:val="16"/>
        </w:rPr>
      </w:pPr>
    </w:p>
    <w:p w14:paraId="5FACEDE3" w14:textId="77777777" w:rsidR="00496F7D" w:rsidRDefault="00496F7D" w:rsidP="00F84887">
      <w:pPr>
        <w:overflowPunct w:val="0"/>
        <w:autoSpaceDE w:val="0"/>
        <w:autoSpaceDN w:val="0"/>
        <w:adjustRightInd w:val="0"/>
        <w:spacing w:after="0" w:line="240" w:lineRule="auto"/>
        <w:jc w:val="both"/>
        <w:rPr>
          <w:rFonts w:ascii="Arial" w:eastAsia="Times New Roman" w:hAnsi="Arial" w:cs="Arial"/>
          <w:sz w:val="16"/>
          <w:szCs w:val="16"/>
        </w:rPr>
      </w:pPr>
    </w:p>
    <w:p w14:paraId="11500948" w14:textId="77777777" w:rsidR="00496F7D" w:rsidRDefault="00496F7D" w:rsidP="00F84887">
      <w:pPr>
        <w:overflowPunct w:val="0"/>
        <w:autoSpaceDE w:val="0"/>
        <w:autoSpaceDN w:val="0"/>
        <w:adjustRightInd w:val="0"/>
        <w:spacing w:after="0" w:line="240" w:lineRule="auto"/>
        <w:jc w:val="both"/>
        <w:rPr>
          <w:rFonts w:ascii="Arial" w:eastAsia="Times New Roman" w:hAnsi="Arial" w:cs="Arial"/>
          <w:sz w:val="16"/>
          <w:szCs w:val="16"/>
        </w:rPr>
      </w:pPr>
    </w:p>
    <w:p w14:paraId="54D4513B" w14:textId="77777777" w:rsidR="00496F7D" w:rsidRDefault="00496F7D" w:rsidP="00F84887">
      <w:pPr>
        <w:overflowPunct w:val="0"/>
        <w:autoSpaceDE w:val="0"/>
        <w:autoSpaceDN w:val="0"/>
        <w:adjustRightInd w:val="0"/>
        <w:spacing w:after="0" w:line="240" w:lineRule="auto"/>
        <w:jc w:val="both"/>
        <w:rPr>
          <w:rFonts w:ascii="Arial" w:eastAsia="Times New Roman" w:hAnsi="Arial" w:cs="Arial"/>
          <w:sz w:val="16"/>
          <w:szCs w:val="16"/>
        </w:rPr>
      </w:pPr>
    </w:p>
    <w:p w14:paraId="7340BACA" w14:textId="77777777" w:rsidR="00496F7D" w:rsidRDefault="00496F7D" w:rsidP="00F84887">
      <w:pPr>
        <w:overflowPunct w:val="0"/>
        <w:autoSpaceDE w:val="0"/>
        <w:autoSpaceDN w:val="0"/>
        <w:adjustRightInd w:val="0"/>
        <w:spacing w:after="0" w:line="240" w:lineRule="auto"/>
        <w:jc w:val="both"/>
        <w:rPr>
          <w:rFonts w:ascii="Arial" w:eastAsia="Times New Roman" w:hAnsi="Arial" w:cs="Arial"/>
          <w:sz w:val="16"/>
          <w:szCs w:val="16"/>
        </w:rPr>
      </w:pPr>
    </w:p>
    <w:p w14:paraId="37A5D253"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7D242395"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424A05DE"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3E90F230"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1BA1B4A8"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79C5E0D3"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68D3D47F"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150A140C"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79B6465E"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5131CE35"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4143EC9F"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5F4ADAE9"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504B220F"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0F86E25E" w14:textId="77777777" w:rsidR="00BF5EDD"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p w14:paraId="51A540BA" w14:textId="77777777" w:rsidR="00BF5EDD" w:rsidRPr="003A2F86" w:rsidRDefault="00BF5EDD" w:rsidP="00F84887">
      <w:pPr>
        <w:overflowPunct w:val="0"/>
        <w:autoSpaceDE w:val="0"/>
        <w:autoSpaceDN w:val="0"/>
        <w:adjustRightInd w:val="0"/>
        <w:spacing w:after="0" w:line="240" w:lineRule="auto"/>
        <w:jc w:val="both"/>
        <w:rPr>
          <w:rFonts w:ascii="Arial" w:eastAsia="Times New Roman" w:hAnsi="Arial" w:cs="Arial"/>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750"/>
      </w:tblGrid>
      <w:tr w:rsidR="00F84887" w:rsidRPr="003A2F86" w14:paraId="75E1B5B1" w14:textId="77777777" w:rsidTr="00B223BA">
        <w:trPr>
          <w:jc w:val="center"/>
        </w:trPr>
        <w:tc>
          <w:tcPr>
            <w:tcW w:w="13750" w:type="dxa"/>
            <w:shd w:val="clear" w:color="auto" w:fill="B8CCE4" w:themeFill="accent1" w:themeFillTint="66"/>
            <w:vAlign w:val="center"/>
          </w:tcPr>
          <w:p w14:paraId="5819EE8E" w14:textId="77777777" w:rsidR="00F84887" w:rsidRPr="003A2F86" w:rsidRDefault="00F84887" w:rsidP="00B223BA">
            <w:pPr>
              <w:spacing w:after="0" w:line="240" w:lineRule="auto"/>
              <w:jc w:val="center"/>
              <w:rPr>
                <w:rFonts w:ascii="Arial" w:eastAsia="Times New Roman" w:hAnsi="Arial" w:cs="Arial"/>
                <w:b/>
                <w:i/>
                <w:iCs/>
                <w:sz w:val="20"/>
                <w:szCs w:val="20"/>
              </w:rPr>
            </w:pPr>
            <w:r w:rsidRPr="003A2F86">
              <w:rPr>
                <w:rFonts w:ascii="Arial" w:eastAsia="Times New Roman" w:hAnsi="Arial" w:cs="Arial"/>
                <w:b/>
                <w:i/>
                <w:iCs/>
                <w:sz w:val="20"/>
                <w:szCs w:val="20"/>
              </w:rPr>
              <w:lastRenderedPageBreak/>
              <w:t xml:space="preserve">Prihod od pomoći – </w:t>
            </w:r>
            <w:r w:rsidRPr="003A2F86">
              <w:rPr>
                <w:rFonts w:ascii="Arial" w:eastAsia="Times New Roman" w:hAnsi="Arial" w:cs="Arial"/>
                <w:b/>
                <w:i/>
                <w:iCs/>
                <w:color w:val="FF0000"/>
                <w:sz w:val="20"/>
                <w:szCs w:val="20"/>
                <w:u w:val="single"/>
              </w:rPr>
              <w:t>dio</w:t>
            </w:r>
            <w:r w:rsidRPr="003A2F86">
              <w:rPr>
                <w:rFonts w:ascii="Arial" w:eastAsia="Times New Roman" w:hAnsi="Arial" w:cs="Arial"/>
                <w:b/>
                <w:i/>
                <w:iCs/>
                <w:color w:val="FF0000"/>
                <w:sz w:val="20"/>
                <w:szCs w:val="20"/>
              </w:rPr>
              <w:t xml:space="preserve"> 63</w:t>
            </w:r>
            <w:r w:rsidRPr="003A2F86">
              <w:rPr>
                <w:rFonts w:ascii="Arial" w:eastAsia="Times New Roman" w:hAnsi="Arial" w:cs="Arial"/>
                <w:b/>
                <w:i/>
                <w:iCs/>
                <w:sz w:val="20"/>
                <w:szCs w:val="20"/>
              </w:rPr>
              <w:t xml:space="preserve"> (sufinanciranje projekata)</w:t>
            </w:r>
          </w:p>
        </w:tc>
      </w:tr>
    </w:tbl>
    <w:p w14:paraId="68248F6C" w14:textId="77777777" w:rsidR="00F84887" w:rsidRPr="003A2F86" w:rsidRDefault="00F84887" w:rsidP="003602FE">
      <w:pPr>
        <w:overflowPunct w:val="0"/>
        <w:autoSpaceDE w:val="0"/>
        <w:autoSpaceDN w:val="0"/>
        <w:adjustRightInd w:val="0"/>
        <w:spacing w:after="0" w:line="240" w:lineRule="auto"/>
        <w:jc w:val="both"/>
        <w:rPr>
          <w:rFonts w:ascii="Arial" w:eastAsia="Times New Roman" w:hAnsi="Arial" w:cs="Arial"/>
          <w:sz w:val="16"/>
          <w:szCs w:val="16"/>
        </w:rPr>
      </w:pPr>
    </w:p>
    <w:p w14:paraId="676D8FBB" w14:textId="3A203F6F" w:rsidR="0069140A" w:rsidRPr="003A2F86" w:rsidRDefault="00D62286" w:rsidP="003602FE">
      <w:pPr>
        <w:overflowPunct w:val="0"/>
        <w:autoSpaceDE w:val="0"/>
        <w:autoSpaceDN w:val="0"/>
        <w:adjustRightInd w:val="0"/>
        <w:spacing w:after="0" w:line="240" w:lineRule="auto"/>
        <w:jc w:val="both"/>
        <w:rPr>
          <w:rFonts w:ascii="Arial" w:eastAsia="Times New Roman" w:hAnsi="Arial" w:cs="Arial"/>
          <w:sz w:val="16"/>
          <w:szCs w:val="16"/>
        </w:rPr>
      </w:pPr>
      <w:r w:rsidRPr="00D62286">
        <w:rPr>
          <w:noProof/>
        </w:rPr>
        <w:drawing>
          <wp:inline distT="0" distB="0" distL="0" distR="0" wp14:anchorId="14A6D41B" wp14:editId="3189496C">
            <wp:extent cx="8830531" cy="4987401"/>
            <wp:effectExtent l="0" t="0" r="8890" b="3810"/>
            <wp:docPr id="17653918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830752" cy="4987526"/>
                    </a:xfrm>
                    <a:prstGeom prst="rect">
                      <a:avLst/>
                    </a:prstGeom>
                    <a:noFill/>
                    <a:ln>
                      <a:noFill/>
                    </a:ln>
                  </pic:spPr>
                </pic:pic>
              </a:graphicData>
            </a:graphic>
          </wp:inline>
        </w:drawing>
      </w:r>
    </w:p>
    <w:p w14:paraId="176D5CAA" w14:textId="77777777" w:rsidR="00F72456" w:rsidRPr="003A2F86" w:rsidRDefault="00F72456" w:rsidP="003602FE">
      <w:pPr>
        <w:overflowPunct w:val="0"/>
        <w:autoSpaceDE w:val="0"/>
        <w:autoSpaceDN w:val="0"/>
        <w:adjustRightInd w:val="0"/>
        <w:spacing w:after="0" w:line="240" w:lineRule="auto"/>
        <w:jc w:val="both"/>
        <w:rPr>
          <w:rFonts w:ascii="Arial" w:eastAsia="Times New Roman" w:hAnsi="Arial" w:cs="Arial"/>
          <w:sz w:val="16"/>
          <w:szCs w:val="16"/>
        </w:rPr>
      </w:pPr>
    </w:p>
    <w:p w14:paraId="6BEC3C1E" w14:textId="46DC2C1E" w:rsidR="00F72456" w:rsidRPr="003A2F86" w:rsidRDefault="00D62286" w:rsidP="003602FE">
      <w:pPr>
        <w:overflowPunct w:val="0"/>
        <w:autoSpaceDE w:val="0"/>
        <w:autoSpaceDN w:val="0"/>
        <w:adjustRightInd w:val="0"/>
        <w:spacing w:after="0" w:line="240" w:lineRule="auto"/>
        <w:jc w:val="both"/>
        <w:rPr>
          <w:rFonts w:ascii="Arial" w:eastAsia="Times New Roman" w:hAnsi="Arial" w:cs="Arial"/>
          <w:sz w:val="16"/>
          <w:szCs w:val="16"/>
        </w:rPr>
      </w:pPr>
      <w:r w:rsidRPr="00D62286">
        <w:rPr>
          <w:noProof/>
        </w:rPr>
        <w:lastRenderedPageBreak/>
        <w:drawing>
          <wp:inline distT="0" distB="0" distL="0" distR="0" wp14:anchorId="4306368B" wp14:editId="48548A76">
            <wp:extent cx="9251950" cy="5370830"/>
            <wp:effectExtent l="0" t="0" r="6350" b="1270"/>
            <wp:docPr id="1339833538"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251950" cy="5370830"/>
                    </a:xfrm>
                    <a:prstGeom prst="rect">
                      <a:avLst/>
                    </a:prstGeom>
                    <a:noFill/>
                    <a:ln>
                      <a:noFill/>
                    </a:ln>
                  </pic:spPr>
                </pic:pic>
              </a:graphicData>
            </a:graphic>
          </wp:inline>
        </w:drawing>
      </w:r>
    </w:p>
    <w:p w14:paraId="10C3AEDE" w14:textId="77777777" w:rsidR="00EF7FBB" w:rsidRPr="003A2F86" w:rsidRDefault="00EF7FBB" w:rsidP="003602FE">
      <w:pPr>
        <w:overflowPunct w:val="0"/>
        <w:autoSpaceDE w:val="0"/>
        <w:autoSpaceDN w:val="0"/>
        <w:adjustRightInd w:val="0"/>
        <w:spacing w:after="0" w:line="240" w:lineRule="auto"/>
        <w:jc w:val="both"/>
        <w:rPr>
          <w:rFonts w:ascii="Arial" w:eastAsia="Times New Roman" w:hAnsi="Arial" w:cs="Arial"/>
          <w:sz w:val="16"/>
          <w:szCs w:val="16"/>
        </w:rPr>
      </w:pPr>
    </w:p>
    <w:p w14:paraId="38A8CDA8" w14:textId="77777777" w:rsidR="00EF7FBB" w:rsidRPr="003A2F86" w:rsidRDefault="00EF7FBB" w:rsidP="003602FE">
      <w:pPr>
        <w:overflowPunct w:val="0"/>
        <w:autoSpaceDE w:val="0"/>
        <w:autoSpaceDN w:val="0"/>
        <w:adjustRightInd w:val="0"/>
        <w:spacing w:after="0" w:line="240" w:lineRule="auto"/>
        <w:jc w:val="both"/>
        <w:rPr>
          <w:rFonts w:ascii="Arial" w:eastAsia="Times New Roman" w:hAnsi="Arial" w:cs="Arial"/>
          <w:sz w:val="16"/>
          <w:szCs w:val="16"/>
        </w:rPr>
      </w:pPr>
    </w:p>
    <w:p w14:paraId="27FBAB45" w14:textId="6E50B45F" w:rsidR="00EF7FBB" w:rsidRDefault="00EF7FBB" w:rsidP="003602FE">
      <w:pPr>
        <w:overflowPunct w:val="0"/>
        <w:autoSpaceDE w:val="0"/>
        <w:autoSpaceDN w:val="0"/>
        <w:adjustRightInd w:val="0"/>
        <w:spacing w:after="0" w:line="240" w:lineRule="auto"/>
        <w:jc w:val="both"/>
        <w:rPr>
          <w:noProof/>
        </w:rPr>
      </w:pPr>
    </w:p>
    <w:p w14:paraId="78B891F4" w14:textId="77777777" w:rsidR="00D62286" w:rsidRDefault="00D62286" w:rsidP="003602FE">
      <w:pPr>
        <w:overflowPunct w:val="0"/>
        <w:autoSpaceDE w:val="0"/>
        <w:autoSpaceDN w:val="0"/>
        <w:adjustRightInd w:val="0"/>
        <w:spacing w:after="0" w:line="240" w:lineRule="auto"/>
        <w:jc w:val="both"/>
        <w:rPr>
          <w:noProof/>
        </w:rPr>
      </w:pPr>
    </w:p>
    <w:p w14:paraId="3BA15E20" w14:textId="20B6FA1D" w:rsidR="00D62286" w:rsidRPr="003A2F86" w:rsidRDefault="00D62286" w:rsidP="003602FE">
      <w:pPr>
        <w:overflowPunct w:val="0"/>
        <w:autoSpaceDE w:val="0"/>
        <w:autoSpaceDN w:val="0"/>
        <w:adjustRightInd w:val="0"/>
        <w:spacing w:after="0" w:line="240" w:lineRule="auto"/>
        <w:jc w:val="both"/>
        <w:rPr>
          <w:rFonts w:ascii="Arial" w:eastAsia="Times New Roman" w:hAnsi="Arial" w:cs="Arial"/>
          <w:sz w:val="16"/>
          <w:szCs w:val="16"/>
        </w:rPr>
      </w:pPr>
      <w:r w:rsidRPr="00D62286">
        <w:rPr>
          <w:noProof/>
        </w:rPr>
        <w:lastRenderedPageBreak/>
        <w:drawing>
          <wp:inline distT="0" distB="0" distL="0" distR="0" wp14:anchorId="64A0D0EA" wp14:editId="049BCC8A">
            <wp:extent cx="9251950" cy="5831205"/>
            <wp:effectExtent l="0" t="0" r="6350" b="0"/>
            <wp:docPr id="1605209394"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251950" cy="5831205"/>
                    </a:xfrm>
                    <a:prstGeom prst="rect">
                      <a:avLst/>
                    </a:prstGeom>
                    <a:noFill/>
                    <a:ln>
                      <a:noFill/>
                    </a:ln>
                  </pic:spPr>
                </pic:pic>
              </a:graphicData>
            </a:graphic>
          </wp:inline>
        </w:drawing>
      </w:r>
    </w:p>
    <w:p w14:paraId="25EB5EA0" w14:textId="77777777" w:rsidR="00EF7FBB" w:rsidRPr="003A2F86" w:rsidRDefault="00EF7FBB" w:rsidP="003602FE">
      <w:pPr>
        <w:overflowPunct w:val="0"/>
        <w:autoSpaceDE w:val="0"/>
        <w:autoSpaceDN w:val="0"/>
        <w:adjustRightInd w:val="0"/>
        <w:spacing w:after="0" w:line="240" w:lineRule="auto"/>
        <w:jc w:val="both"/>
        <w:rPr>
          <w:rFonts w:ascii="Arial" w:eastAsia="Times New Roman" w:hAnsi="Arial" w:cs="Arial"/>
          <w:sz w:val="16"/>
          <w:szCs w:val="16"/>
        </w:rPr>
      </w:pPr>
    </w:p>
    <w:p w14:paraId="189EE6DB" w14:textId="6A0D4B7D" w:rsidR="00EF7FBB" w:rsidRPr="003A2F86" w:rsidRDefault="00FE4544" w:rsidP="003602FE">
      <w:pPr>
        <w:overflowPunct w:val="0"/>
        <w:autoSpaceDE w:val="0"/>
        <w:autoSpaceDN w:val="0"/>
        <w:adjustRightInd w:val="0"/>
        <w:spacing w:after="0" w:line="240" w:lineRule="auto"/>
        <w:jc w:val="both"/>
        <w:rPr>
          <w:rFonts w:ascii="Arial" w:eastAsia="Times New Roman" w:hAnsi="Arial" w:cs="Arial"/>
          <w:sz w:val="16"/>
          <w:szCs w:val="16"/>
        </w:rPr>
      </w:pPr>
      <w:r w:rsidRPr="00FE4544">
        <w:rPr>
          <w:noProof/>
        </w:rPr>
        <w:lastRenderedPageBreak/>
        <w:drawing>
          <wp:inline distT="0" distB="0" distL="0" distR="0" wp14:anchorId="7CC319BB" wp14:editId="5608BFB0">
            <wp:extent cx="9251950" cy="5225415"/>
            <wp:effectExtent l="0" t="0" r="6350" b="0"/>
            <wp:docPr id="1045663005"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251950" cy="5225415"/>
                    </a:xfrm>
                    <a:prstGeom prst="rect">
                      <a:avLst/>
                    </a:prstGeom>
                    <a:noFill/>
                    <a:ln>
                      <a:noFill/>
                    </a:ln>
                  </pic:spPr>
                </pic:pic>
              </a:graphicData>
            </a:graphic>
          </wp:inline>
        </w:drawing>
      </w:r>
    </w:p>
    <w:p w14:paraId="7E7828D0" w14:textId="0D2CE3D1" w:rsidR="00EF7FBB" w:rsidRPr="003A2F86" w:rsidRDefault="00EF7FBB" w:rsidP="003602FE">
      <w:pPr>
        <w:overflowPunct w:val="0"/>
        <w:autoSpaceDE w:val="0"/>
        <w:autoSpaceDN w:val="0"/>
        <w:adjustRightInd w:val="0"/>
        <w:spacing w:after="0" w:line="240" w:lineRule="auto"/>
        <w:jc w:val="both"/>
        <w:rPr>
          <w:rFonts w:ascii="Arial" w:eastAsia="Times New Roman" w:hAnsi="Arial" w:cs="Arial"/>
          <w:sz w:val="16"/>
          <w:szCs w:val="16"/>
        </w:rPr>
      </w:pPr>
    </w:p>
    <w:p w14:paraId="617A4354" w14:textId="77777777" w:rsidR="00EF7FBB" w:rsidRPr="003A2F86" w:rsidRDefault="00EF7FBB" w:rsidP="003602FE">
      <w:pPr>
        <w:overflowPunct w:val="0"/>
        <w:autoSpaceDE w:val="0"/>
        <w:autoSpaceDN w:val="0"/>
        <w:adjustRightInd w:val="0"/>
        <w:spacing w:after="0" w:line="240" w:lineRule="auto"/>
        <w:jc w:val="both"/>
        <w:rPr>
          <w:rFonts w:ascii="Arial" w:eastAsia="Times New Roman" w:hAnsi="Arial" w:cs="Arial"/>
          <w:sz w:val="16"/>
          <w:szCs w:val="16"/>
        </w:rPr>
      </w:pPr>
    </w:p>
    <w:p w14:paraId="0702B67B" w14:textId="77777777" w:rsidR="00EF7FBB" w:rsidRPr="003A2F86" w:rsidRDefault="00EF7FBB" w:rsidP="003602FE">
      <w:pPr>
        <w:overflowPunct w:val="0"/>
        <w:autoSpaceDE w:val="0"/>
        <w:autoSpaceDN w:val="0"/>
        <w:adjustRightInd w:val="0"/>
        <w:spacing w:after="0" w:line="240" w:lineRule="auto"/>
        <w:jc w:val="both"/>
        <w:rPr>
          <w:rFonts w:ascii="Arial" w:eastAsia="Times New Roman" w:hAnsi="Arial" w:cs="Arial"/>
          <w:sz w:val="16"/>
          <w:szCs w:val="16"/>
        </w:rPr>
      </w:pPr>
    </w:p>
    <w:p w14:paraId="5E52290F" w14:textId="77777777" w:rsidR="00EF7FBB" w:rsidRPr="003A2F86" w:rsidRDefault="00EF7FBB" w:rsidP="003602FE">
      <w:pPr>
        <w:overflowPunct w:val="0"/>
        <w:autoSpaceDE w:val="0"/>
        <w:autoSpaceDN w:val="0"/>
        <w:adjustRightInd w:val="0"/>
        <w:spacing w:after="0" w:line="240" w:lineRule="auto"/>
        <w:jc w:val="both"/>
        <w:rPr>
          <w:rFonts w:ascii="Arial" w:eastAsia="Times New Roman" w:hAnsi="Arial" w:cs="Arial"/>
          <w:sz w:val="16"/>
          <w:szCs w:val="16"/>
        </w:rPr>
      </w:pPr>
    </w:p>
    <w:p w14:paraId="08EB2AFB" w14:textId="77777777" w:rsidR="0069140A" w:rsidRPr="003A2F86" w:rsidRDefault="0069140A" w:rsidP="003602FE">
      <w:pPr>
        <w:overflowPunct w:val="0"/>
        <w:autoSpaceDE w:val="0"/>
        <w:autoSpaceDN w:val="0"/>
        <w:adjustRightInd w:val="0"/>
        <w:spacing w:after="0" w:line="240" w:lineRule="auto"/>
        <w:jc w:val="both"/>
        <w:rPr>
          <w:rFonts w:ascii="Arial" w:eastAsia="Times New Roman" w:hAnsi="Arial" w:cs="Arial"/>
          <w:sz w:val="16"/>
          <w:szCs w:val="16"/>
        </w:rPr>
      </w:pPr>
    </w:p>
    <w:p w14:paraId="6C0C8B5F" w14:textId="6F704412" w:rsidR="0069140A" w:rsidRPr="003A2F86" w:rsidRDefault="0069140A" w:rsidP="003602FE">
      <w:pPr>
        <w:overflowPunct w:val="0"/>
        <w:autoSpaceDE w:val="0"/>
        <w:autoSpaceDN w:val="0"/>
        <w:adjustRightInd w:val="0"/>
        <w:spacing w:after="0" w:line="240" w:lineRule="auto"/>
        <w:jc w:val="both"/>
        <w:rPr>
          <w:rFonts w:ascii="Arial" w:eastAsia="Times New Roman" w:hAnsi="Arial" w:cs="Arial"/>
          <w:sz w:val="16"/>
          <w:szCs w:val="16"/>
        </w:rPr>
      </w:pPr>
    </w:p>
    <w:p w14:paraId="79A86387" w14:textId="2BB73AC1" w:rsidR="0069140A" w:rsidRDefault="00FE4544" w:rsidP="003602FE">
      <w:pPr>
        <w:overflowPunct w:val="0"/>
        <w:autoSpaceDE w:val="0"/>
        <w:autoSpaceDN w:val="0"/>
        <w:adjustRightInd w:val="0"/>
        <w:spacing w:after="0" w:line="240" w:lineRule="auto"/>
        <w:jc w:val="both"/>
        <w:rPr>
          <w:noProof/>
        </w:rPr>
      </w:pPr>
      <w:r w:rsidRPr="00FE4544">
        <w:rPr>
          <w:noProof/>
        </w:rPr>
        <w:lastRenderedPageBreak/>
        <w:drawing>
          <wp:inline distT="0" distB="0" distL="0" distR="0" wp14:anchorId="440410F8" wp14:editId="424D4B46">
            <wp:extent cx="9251950" cy="6071235"/>
            <wp:effectExtent l="0" t="0" r="6350" b="5715"/>
            <wp:docPr id="414674494"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251950" cy="6071235"/>
                    </a:xfrm>
                    <a:prstGeom prst="rect">
                      <a:avLst/>
                    </a:prstGeom>
                    <a:noFill/>
                    <a:ln>
                      <a:noFill/>
                    </a:ln>
                  </pic:spPr>
                </pic:pic>
              </a:graphicData>
            </a:graphic>
          </wp:inline>
        </w:drawing>
      </w:r>
    </w:p>
    <w:p w14:paraId="538936A8" w14:textId="770AFD46" w:rsidR="0069140A" w:rsidRPr="003A2F86" w:rsidRDefault="00FE4544" w:rsidP="003602FE">
      <w:pPr>
        <w:overflowPunct w:val="0"/>
        <w:autoSpaceDE w:val="0"/>
        <w:autoSpaceDN w:val="0"/>
        <w:adjustRightInd w:val="0"/>
        <w:spacing w:after="0" w:line="240" w:lineRule="auto"/>
        <w:jc w:val="both"/>
        <w:rPr>
          <w:rFonts w:ascii="Arial" w:eastAsia="Times New Roman" w:hAnsi="Arial" w:cs="Arial"/>
          <w:sz w:val="16"/>
          <w:szCs w:val="16"/>
        </w:rPr>
      </w:pPr>
      <w:r w:rsidRPr="00FE4544">
        <w:rPr>
          <w:noProof/>
        </w:rPr>
        <w:lastRenderedPageBreak/>
        <w:drawing>
          <wp:inline distT="0" distB="0" distL="0" distR="0" wp14:anchorId="6221666D" wp14:editId="42102B81">
            <wp:extent cx="9251950" cy="5856605"/>
            <wp:effectExtent l="0" t="0" r="6350" b="0"/>
            <wp:docPr id="1589835478"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251950" cy="5856605"/>
                    </a:xfrm>
                    <a:prstGeom prst="rect">
                      <a:avLst/>
                    </a:prstGeom>
                    <a:noFill/>
                    <a:ln>
                      <a:noFill/>
                    </a:ln>
                  </pic:spPr>
                </pic:pic>
              </a:graphicData>
            </a:graphic>
          </wp:inline>
        </w:drawing>
      </w:r>
    </w:p>
    <w:p w14:paraId="45AC02A6" w14:textId="0161BA86" w:rsidR="0069140A" w:rsidRDefault="0069140A" w:rsidP="003602FE">
      <w:pPr>
        <w:overflowPunct w:val="0"/>
        <w:autoSpaceDE w:val="0"/>
        <w:autoSpaceDN w:val="0"/>
        <w:adjustRightInd w:val="0"/>
        <w:spacing w:after="0" w:line="240" w:lineRule="auto"/>
        <w:jc w:val="both"/>
        <w:rPr>
          <w:noProof/>
        </w:rPr>
      </w:pPr>
    </w:p>
    <w:p w14:paraId="575F0F31" w14:textId="7DC0C3B8" w:rsidR="00FE4544" w:rsidRDefault="00FE4544" w:rsidP="003602FE">
      <w:pPr>
        <w:overflowPunct w:val="0"/>
        <w:autoSpaceDE w:val="0"/>
        <w:autoSpaceDN w:val="0"/>
        <w:adjustRightInd w:val="0"/>
        <w:spacing w:after="0" w:line="240" w:lineRule="auto"/>
        <w:jc w:val="both"/>
        <w:rPr>
          <w:noProof/>
        </w:rPr>
      </w:pPr>
      <w:r w:rsidRPr="00FE4544">
        <w:rPr>
          <w:noProof/>
        </w:rPr>
        <w:lastRenderedPageBreak/>
        <w:drawing>
          <wp:inline distT="0" distB="0" distL="0" distR="0" wp14:anchorId="46505166" wp14:editId="3D1585F4">
            <wp:extent cx="9034145" cy="6156325"/>
            <wp:effectExtent l="0" t="0" r="0" b="0"/>
            <wp:docPr id="1202473139"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034145" cy="6156325"/>
                    </a:xfrm>
                    <a:prstGeom prst="rect">
                      <a:avLst/>
                    </a:prstGeom>
                    <a:noFill/>
                    <a:ln>
                      <a:noFill/>
                    </a:ln>
                  </pic:spPr>
                </pic:pic>
              </a:graphicData>
            </a:graphic>
          </wp:inline>
        </w:drawing>
      </w:r>
    </w:p>
    <w:p w14:paraId="7EC52930" w14:textId="5560EBE7" w:rsidR="00FE4544" w:rsidRPr="003A2F86" w:rsidRDefault="00FE4544" w:rsidP="003602FE">
      <w:pPr>
        <w:overflowPunct w:val="0"/>
        <w:autoSpaceDE w:val="0"/>
        <w:autoSpaceDN w:val="0"/>
        <w:adjustRightInd w:val="0"/>
        <w:spacing w:after="0" w:line="240" w:lineRule="auto"/>
        <w:jc w:val="both"/>
        <w:rPr>
          <w:rFonts w:ascii="Arial" w:eastAsia="Times New Roman" w:hAnsi="Arial" w:cs="Arial"/>
          <w:sz w:val="16"/>
          <w:szCs w:val="16"/>
        </w:rPr>
      </w:pPr>
      <w:r w:rsidRPr="00FE4544">
        <w:rPr>
          <w:noProof/>
        </w:rPr>
        <w:lastRenderedPageBreak/>
        <w:drawing>
          <wp:inline distT="0" distB="0" distL="0" distR="0" wp14:anchorId="7F1C8292" wp14:editId="2DFEF8EE">
            <wp:extent cx="9251950" cy="5856605"/>
            <wp:effectExtent l="0" t="0" r="6350" b="0"/>
            <wp:docPr id="2092982557"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251950" cy="5856605"/>
                    </a:xfrm>
                    <a:prstGeom prst="rect">
                      <a:avLst/>
                    </a:prstGeom>
                    <a:noFill/>
                    <a:ln>
                      <a:noFill/>
                    </a:ln>
                  </pic:spPr>
                </pic:pic>
              </a:graphicData>
            </a:graphic>
          </wp:inline>
        </w:drawing>
      </w:r>
    </w:p>
    <w:p w14:paraId="3EA2FB5E" w14:textId="67216121" w:rsidR="0069140A" w:rsidRPr="003A2F86" w:rsidRDefault="0069140A" w:rsidP="003602FE">
      <w:pPr>
        <w:overflowPunct w:val="0"/>
        <w:autoSpaceDE w:val="0"/>
        <w:autoSpaceDN w:val="0"/>
        <w:adjustRightInd w:val="0"/>
        <w:spacing w:after="0" w:line="240" w:lineRule="auto"/>
        <w:jc w:val="both"/>
        <w:rPr>
          <w:rFonts w:ascii="Arial" w:eastAsia="Times New Roman" w:hAnsi="Arial" w:cs="Arial"/>
          <w:sz w:val="16"/>
          <w:szCs w:val="16"/>
        </w:rPr>
      </w:pPr>
    </w:p>
    <w:p w14:paraId="620B2825" w14:textId="7E9CA06D" w:rsidR="009D0C43" w:rsidRDefault="00FE4544" w:rsidP="003602FE">
      <w:pPr>
        <w:overflowPunct w:val="0"/>
        <w:autoSpaceDE w:val="0"/>
        <w:autoSpaceDN w:val="0"/>
        <w:adjustRightInd w:val="0"/>
        <w:spacing w:after="0" w:line="240" w:lineRule="auto"/>
        <w:jc w:val="both"/>
        <w:rPr>
          <w:noProof/>
        </w:rPr>
      </w:pPr>
      <w:r w:rsidRPr="00FE4544">
        <w:rPr>
          <w:noProof/>
        </w:rPr>
        <w:lastRenderedPageBreak/>
        <w:drawing>
          <wp:inline distT="0" distB="0" distL="0" distR="0" wp14:anchorId="66800CF1" wp14:editId="39EAC537">
            <wp:extent cx="8372475" cy="6156325"/>
            <wp:effectExtent l="0" t="0" r="9525" b="0"/>
            <wp:docPr id="1820980645"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372475" cy="6156325"/>
                    </a:xfrm>
                    <a:prstGeom prst="rect">
                      <a:avLst/>
                    </a:prstGeom>
                    <a:noFill/>
                    <a:ln>
                      <a:noFill/>
                    </a:ln>
                  </pic:spPr>
                </pic:pic>
              </a:graphicData>
            </a:graphic>
          </wp:inline>
        </w:drawing>
      </w:r>
    </w:p>
    <w:p w14:paraId="3B1A3450" w14:textId="510F04AC" w:rsidR="009D0C43" w:rsidRDefault="00FE4544" w:rsidP="00FE4544">
      <w:pPr>
        <w:overflowPunct w:val="0"/>
        <w:autoSpaceDE w:val="0"/>
        <w:autoSpaceDN w:val="0"/>
        <w:adjustRightInd w:val="0"/>
        <w:spacing w:after="0" w:line="240" w:lineRule="auto"/>
        <w:jc w:val="both"/>
        <w:rPr>
          <w:noProof/>
        </w:rPr>
      </w:pPr>
      <w:r w:rsidRPr="00FE4544">
        <w:rPr>
          <w:noProof/>
        </w:rPr>
        <w:lastRenderedPageBreak/>
        <w:drawing>
          <wp:inline distT="0" distB="0" distL="0" distR="0" wp14:anchorId="754A4645" wp14:editId="050FFAA3">
            <wp:extent cx="8603615" cy="6156325"/>
            <wp:effectExtent l="0" t="0" r="6985" b="0"/>
            <wp:docPr id="1578136662"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603615" cy="6156325"/>
                    </a:xfrm>
                    <a:prstGeom prst="rect">
                      <a:avLst/>
                    </a:prstGeom>
                    <a:noFill/>
                    <a:ln>
                      <a:noFill/>
                    </a:ln>
                  </pic:spPr>
                </pic:pic>
              </a:graphicData>
            </a:graphic>
          </wp:inline>
        </w:drawing>
      </w:r>
    </w:p>
    <w:p w14:paraId="3ED940BC" w14:textId="42447E05" w:rsidR="00FE4544" w:rsidRDefault="00C61B2B" w:rsidP="00C61B2B">
      <w:pPr>
        <w:overflowPunct w:val="0"/>
        <w:autoSpaceDE w:val="0"/>
        <w:autoSpaceDN w:val="0"/>
        <w:adjustRightInd w:val="0"/>
        <w:spacing w:after="0" w:line="240" w:lineRule="auto"/>
        <w:jc w:val="both"/>
        <w:rPr>
          <w:noProof/>
        </w:rPr>
      </w:pPr>
      <w:r w:rsidRPr="00C61B2B">
        <w:rPr>
          <w:noProof/>
        </w:rPr>
        <w:lastRenderedPageBreak/>
        <w:drawing>
          <wp:inline distT="0" distB="0" distL="0" distR="0" wp14:anchorId="4215A62D" wp14:editId="0D8F01CB">
            <wp:extent cx="9052560" cy="6156325"/>
            <wp:effectExtent l="0" t="0" r="0" b="0"/>
            <wp:docPr id="2084664567"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052560" cy="6156325"/>
                    </a:xfrm>
                    <a:prstGeom prst="rect">
                      <a:avLst/>
                    </a:prstGeom>
                    <a:noFill/>
                    <a:ln>
                      <a:noFill/>
                    </a:ln>
                  </pic:spPr>
                </pic:pic>
              </a:graphicData>
            </a:graphic>
          </wp:inline>
        </w:drawing>
      </w:r>
    </w:p>
    <w:p w14:paraId="56E5B51E" w14:textId="523AA922" w:rsidR="00FE4544" w:rsidRDefault="00C61B2B" w:rsidP="00C61B2B">
      <w:pPr>
        <w:overflowPunct w:val="0"/>
        <w:autoSpaceDE w:val="0"/>
        <w:autoSpaceDN w:val="0"/>
        <w:adjustRightInd w:val="0"/>
        <w:spacing w:after="0" w:line="240" w:lineRule="auto"/>
        <w:jc w:val="both"/>
        <w:rPr>
          <w:noProof/>
        </w:rPr>
      </w:pPr>
      <w:r w:rsidRPr="00C61B2B">
        <w:rPr>
          <w:noProof/>
        </w:rPr>
        <w:lastRenderedPageBreak/>
        <w:drawing>
          <wp:inline distT="0" distB="0" distL="0" distR="0" wp14:anchorId="27D8D47E" wp14:editId="3690207A">
            <wp:extent cx="9218930" cy="6156325"/>
            <wp:effectExtent l="0" t="0" r="1270" b="0"/>
            <wp:docPr id="1719868479"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218930" cy="6156325"/>
                    </a:xfrm>
                    <a:prstGeom prst="rect">
                      <a:avLst/>
                    </a:prstGeom>
                    <a:noFill/>
                    <a:ln>
                      <a:noFill/>
                    </a:ln>
                  </pic:spPr>
                </pic:pic>
              </a:graphicData>
            </a:graphic>
          </wp:inline>
        </w:drawing>
      </w:r>
    </w:p>
    <w:p w14:paraId="2C665ED2" w14:textId="7803682D" w:rsidR="009D0C43" w:rsidRDefault="00C61B2B" w:rsidP="00C61B2B">
      <w:pPr>
        <w:overflowPunct w:val="0"/>
        <w:autoSpaceDE w:val="0"/>
        <w:autoSpaceDN w:val="0"/>
        <w:adjustRightInd w:val="0"/>
        <w:spacing w:after="0" w:line="240" w:lineRule="auto"/>
        <w:jc w:val="both"/>
        <w:rPr>
          <w:noProof/>
        </w:rPr>
      </w:pPr>
      <w:r w:rsidRPr="00C61B2B">
        <w:rPr>
          <w:noProof/>
        </w:rPr>
        <w:lastRenderedPageBreak/>
        <w:drawing>
          <wp:inline distT="0" distB="0" distL="0" distR="0" wp14:anchorId="7A4E2827" wp14:editId="378E19B4">
            <wp:extent cx="9251950" cy="5017135"/>
            <wp:effectExtent l="0" t="0" r="6350" b="0"/>
            <wp:docPr id="53149338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251950" cy="5017135"/>
                    </a:xfrm>
                    <a:prstGeom prst="rect">
                      <a:avLst/>
                    </a:prstGeom>
                    <a:noFill/>
                    <a:ln>
                      <a:noFill/>
                    </a:ln>
                  </pic:spPr>
                </pic:pic>
              </a:graphicData>
            </a:graphic>
          </wp:inline>
        </w:drawing>
      </w:r>
    </w:p>
    <w:p w14:paraId="13705E76" w14:textId="77777777" w:rsidR="00C61B2B" w:rsidRDefault="00C61B2B" w:rsidP="00C61B2B">
      <w:pPr>
        <w:overflowPunct w:val="0"/>
        <w:autoSpaceDE w:val="0"/>
        <w:autoSpaceDN w:val="0"/>
        <w:adjustRightInd w:val="0"/>
        <w:spacing w:after="0" w:line="240" w:lineRule="auto"/>
        <w:jc w:val="both"/>
        <w:rPr>
          <w:noProof/>
        </w:rPr>
      </w:pPr>
    </w:p>
    <w:p w14:paraId="7507E158" w14:textId="617CDBB7" w:rsidR="00EF7FBB" w:rsidRPr="003A2F86" w:rsidRDefault="00EF7FBB" w:rsidP="00F76153">
      <w:pPr>
        <w:overflowPunct w:val="0"/>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br w:type="page"/>
      </w:r>
    </w:p>
    <w:p w14:paraId="4DE1E408" w14:textId="76B07544" w:rsidR="00891119" w:rsidRPr="003A2F86" w:rsidRDefault="00891119" w:rsidP="001B3297">
      <w:pPr>
        <w:pStyle w:val="Naslov4"/>
        <w:rPr>
          <w:rFonts w:ascii="Arial" w:hAnsi="Arial" w:cs="Arial"/>
          <w:shd w:val="clear" w:color="auto" w:fill="FFFFFF"/>
          <w:lang w:val="hr-HR"/>
        </w:rPr>
      </w:pPr>
      <w:bookmarkStart w:id="107" w:name="_Hlk103073780"/>
      <w:r w:rsidRPr="003A2F86">
        <w:rPr>
          <w:rFonts w:ascii="Arial" w:hAnsi="Arial" w:cs="Arial"/>
          <w:shd w:val="clear" w:color="auto" w:fill="FFFFFF"/>
          <w:lang w:val="hr-HR"/>
        </w:rPr>
        <w:lastRenderedPageBreak/>
        <w:tab/>
      </w:r>
      <w:bookmarkStart w:id="108" w:name="_Toc232981389"/>
      <w:r w:rsidR="001B3297" w:rsidRPr="003A2F86">
        <w:rPr>
          <w:rFonts w:ascii="Arial" w:hAnsi="Arial" w:cs="Arial"/>
          <w:shd w:val="clear" w:color="auto" w:fill="FFFFFF"/>
          <w:lang w:val="hr-HR"/>
        </w:rPr>
        <w:t>2.4.1</w:t>
      </w:r>
      <w:r w:rsidRPr="003A2F86">
        <w:rPr>
          <w:rFonts w:ascii="Arial" w:hAnsi="Arial" w:cs="Arial"/>
          <w:shd w:val="clear" w:color="auto" w:fill="FFFFFF"/>
          <w:lang w:val="hr-HR"/>
        </w:rPr>
        <w:t xml:space="preserve">.3. </w:t>
      </w:r>
      <w:r w:rsidRPr="003A2F86">
        <w:rPr>
          <w:rFonts w:ascii="Arial" w:hAnsi="Arial" w:cs="Arial"/>
          <w:shd w:val="clear" w:color="auto" w:fill="FFFFFF"/>
          <w:lang w:val="hr-HR"/>
        </w:rPr>
        <w:tab/>
        <w:t>Prihodi od imovine</w:t>
      </w:r>
      <w:r w:rsidR="00744D8B" w:rsidRPr="003A2F86">
        <w:rPr>
          <w:rFonts w:ascii="Arial" w:hAnsi="Arial" w:cs="Arial"/>
          <w:shd w:val="clear" w:color="auto" w:fill="FFFFFF"/>
          <w:lang w:val="hr-HR"/>
        </w:rPr>
        <w:t xml:space="preserve"> (64)</w:t>
      </w:r>
      <w:bookmarkEnd w:id="108"/>
    </w:p>
    <w:p w14:paraId="6DF5E1A4" w14:textId="77777777" w:rsidR="00891119" w:rsidRPr="003A2F86" w:rsidRDefault="00891119" w:rsidP="00891119">
      <w:pPr>
        <w:tabs>
          <w:tab w:val="left" w:pos="567"/>
        </w:tabs>
        <w:spacing w:after="0" w:line="240" w:lineRule="auto"/>
        <w:jc w:val="both"/>
        <w:rPr>
          <w:rFonts w:ascii="Arial" w:eastAsia="Times New Roman" w:hAnsi="Arial" w:cs="Arial"/>
          <w:lang w:eastAsia="en-US"/>
        </w:rPr>
      </w:pPr>
    </w:p>
    <w:p w14:paraId="2C23503C" w14:textId="77777777" w:rsidR="00364CBC" w:rsidRPr="008B0993" w:rsidRDefault="00A16565" w:rsidP="00364CBC">
      <w:pPr>
        <w:pStyle w:val="Tijeloteksta2"/>
        <w:rPr>
          <w:rFonts w:ascii="Arial" w:hAnsi="Arial" w:cs="Arial"/>
          <w:iCs/>
          <w:sz w:val="22"/>
          <w:szCs w:val="22"/>
          <w:lang w:val="hr-HR"/>
        </w:rPr>
      </w:pPr>
      <w:bookmarkStart w:id="109" w:name="_Hlk2529139"/>
      <w:r w:rsidRPr="008B0993">
        <w:rPr>
          <w:rFonts w:ascii="Arial" w:hAnsi="Arial" w:cs="Arial"/>
          <w:b/>
          <w:iCs/>
          <w:sz w:val="22"/>
          <w:szCs w:val="22"/>
          <w:lang w:val="hr-HR"/>
        </w:rPr>
        <w:t>Prihodi od imovine</w:t>
      </w:r>
      <w:r w:rsidRPr="008B0993">
        <w:rPr>
          <w:rFonts w:ascii="Arial" w:hAnsi="Arial" w:cs="Arial"/>
          <w:iCs/>
          <w:sz w:val="22"/>
          <w:szCs w:val="22"/>
          <w:lang w:val="hr-HR"/>
        </w:rPr>
        <w:t xml:space="preserve"> (64) ostvareni su </w:t>
      </w:r>
      <w:r w:rsidR="00364CBC" w:rsidRPr="008B0993">
        <w:rPr>
          <w:rFonts w:ascii="Arial" w:hAnsi="Arial" w:cs="Arial"/>
          <w:iCs/>
          <w:sz w:val="22"/>
          <w:szCs w:val="22"/>
          <w:lang w:val="hr-HR"/>
        </w:rPr>
        <w:t xml:space="preserve">u iznosu 1.981.636,37 € što je za 21.779,43 € ili 1,1% više u odnosu na prethodnu godinu. </w:t>
      </w:r>
    </w:p>
    <w:p w14:paraId="61C9D37A" w14:textId="77777777" w:rsidR="00364CBC" w:rsidRPr="00364CBC" w:rsidRDefault="00364CBC" w:rsidP="00364CBC">
      <w:pPr>
        <w:pStyle w:val="Tijeloteksta2"/>
        <w:rPr>
          <w:rFonts w:ascii="Arial" w:hAnsi="Arial" w:cs="Arial"/>
          <w:iCs/>
          <w:lang w:val="hr-HR"/>
        </w:rPr>
      </w:pPr>
    </w:p>
    <w:p w14:paraId="16C2ECAE" w14:textId="77777777" w:rsidR="00364CBC" w:rsidRPr="00364CBC" w:rsidRDefault="00364CBC" w:rsidP="00364CBC">
      <w:pPr>
        <w:pStyle w:val="Tijeloteksta2"/>
        <w:rPr>
          <w:rFonts w:ascii="Arial" w:hAnsi="Arial" w:cs="Arial"/>
          <w:iCs/>
          <w:lang w:val="hr-HR"/>
        </w:rPr>
      </w:pPr>
      <w:r w:rsidRPr="00364CBC">
        <w:rPr>
          <w:rFonts w:ascii="Arial" w:hAnsi="Arial" w:cs="Arial"/>
          <w:iCs/>
          <w:lang w:val="hr-HR"/>
        </w:rPr>
        <w:t xml:space="preserve">Prihodi od imovine se odnose na prihode od financijske imovine (kamate) (641) u iznosu 589.922,09 €, te prihode od nefinancijske imovine (koncesije na vodama, koncesije na pomorskom dobru, zakupi, spomenička renta, naknade za taxi prijevoz, naknada za korištenje javnih površina, naknada za korištenje prostora elektrana, te druge naknade) (642) u iznosu 1.391.714,28 €. </w:t>
      </w:r>
    </w:p>
    <w:p w14:paraId="2FF32638" w14:textId="4EFE7E44" w:rsidR="003A2F86" w:rsidRPr="008E5A88" w:rsidRDefault="003A2F86" w:rsidP="00364CBC">
      <w:pPr>
        <w:pStyle w:val="Tijeloteksta2"/>
        <w:rPr>
          <w:rFonts w:ascii="Arial" w:hAnsi="Arial" w:cs="Arial"/>
          <w:iCs/>
          <w:sz w:val="22"/>
          <w:szCs w:val="22"/>
          <w:lang w:val="hr-HR"/>
        </w:rPr>
      </w:pPr>
    </w:p>
    <w:p w14:paraId="5CD85B70" w14:textId="77777777" w:rsidR="008B0993" w:rsidRPr="008B0993" w:rsidRDefault="00A16565" w:rsidP="008B0993">
      <w:pPr>
        <w:pStyle w:val="Tijeloteksta2"/>
        <w:rPr>
          <w:rFonts w:ascii="Arial" w:hAnsi="Arial" w:cs="Arial"/>
          <w:lang w:val="hr-HR"/>
        </w:rPr>
      </w:pPr>
      <w:r w:rsidRPr="008E5A88">
        <w:rPr>
          <w:rFonts w:ascii="Arial" w:hAnsi="Arial" w:cs="Arial"/>
          <w:color w:val="1F497D" w:themeColor="text2"/>
          <w:sz w:val="22"/>
          <w:szCs w:val="22"/>
          <w:lang w:val="hr-HR"/>
        </w:rPr>
        <w:t xml:space="preserve">Prihodi od imovine se u cijelosti odnose na prihode Općine. </w:t>
      </w:r>
      <w:bookmarkStart w:id="110" w:name="_Hlk160006030"/>
      <w:bookmarkEnd w:id="109"/>
      <w:r w:rsidR="008B0993" w:rsidRPr="008B0993">
        <w:rPr>
          <w:rFonts w:ascii="Arial" w:hAnsi="Arial" w:cs="Arial"/>
          <w:lang w:val="hr-HR"/>
        </w:rPr>
        <w:t>Prihodi od financijske imovine (641) u iznosu 589.922,09 € su ostvareni manje nego prethodne godine. Ovi prihodi se odnose na kamate na oročena sredstva 55.359,53 €, depozite po viđenju i zatezne kamate u iznosu 1.414,44 €, prihodi od pozitivnih tečajnih razlika 892,42 €, te prihodi od ostvarene dobiti društva u suvlasništvu Općine (Zračna luka Dubrovnik) u iznosu 530.766,72 € (ovi prihodi su ostvarivani prvi put 2023. godine kada su iznosili 653.286,51 €, u 2024. su iznosili 788.110,88 €).</w:t>
      </w:r>
    </w:p>
    <w:bookmarkEnd w:id="110"/>
    <w:p w14:paraId="28A5DE5D" w14:textId="7338B68B" w:rsidR="0032374E" w:rsidRPr="008E5A88" w:rsidRDefault="0032374E" w:rsidP="008B0993">
      <w:pPr>
        <w:pStyle w:val="Tijeloteksta2"/>
        <w:rPr>
          <w:rFonts w:ascii="Arial" w:hAnsi="Arial" w:cs="Arial"/>
        </w:rPr>
      </w:pPr>
    </w:p>
    <w:p w14:paraId="3FB07E5E" w14:textId="07F318A3" w:rsidR="0032374E" w:rsidRPr="008E5A88" w:rsidRDefault="0032374E" w:rsidP="0032374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8E5A88">
        <w:rPr>
          <w:rFonts w:ascii="Arial" w:hAnsi="Arial" w:cs="Arial"/>
        </w:rPr>
        <w:t>Prihodi od nefinancijske imovine (</w:t>
      </w:r>
      <w:r w:rsidRPr="008E5A88">
        <w:rPr>
          <w:rFonts w:ascii="Arial" w:hAnsi="Arial" w:cs="Arial"/>
          <w:b/>
        </w:rPr>
        <w:t>642</w:t>
      </w:r>
      <w:r w:rsidRPr="008E5A88">
        <w:rPr>
          <w:rFonts w:ascii="Arial" w:hAnsi="Arial" w:cs="Arial"/>
        </w:rPr>
        <w:t xml:space="preserve">) </w:t>
      </w:r>
      <w:r w:rsidR="00421B59" w:rsidRPr="00AB7FAE">
        <w:rPr>
          <w:rFonts w:ascii="Arial" w:hAnsi="Arial" w:cs="Arial"/>
        </w:rPr>
        <w:t>u iznosu 1.391.714,28 € što je za 299.525,78 € ili 27,4% više u odnosu na prethodnu 2024. godinu.</w:t>
      </w:r>
    </w:p>
    <w:p w14:paraId="70ECAF2B" w14:textId="77777777" w:rsidR="0032374E" w:rsidRPr="008E5A88" w:rsidRDefault="0032374E" w:rsidP="0032374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24C2AE31" w14:textId="77777777" w:rsidR="00B53F96" w:rsidRPr="00B53F96" w:rsidRDefault="00B53F96" w:rsidP="00B53F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bookmarkStart w:id="111" w:name="_Hlk160006074"/>
      <w:bookmarkStart w:id="112" w:name="_Hlk160006061"/>
      <w:r w:rsidRPr="00B53F96">
        <w:rPr>
          <w:rFonts w:ascii="Arial" w:hAnsi="Arial" w:cs="Arial"/>
        </w:rPr>
        <w:t xml:space="preserve">Većina ovih prihoda je ostvarena na više nego prethodne godine, osim prihoda od korištenja elektrana i prihoda od koncesijskih odobrenja koja su manja nego 2024. godine jer su ista ostvarena na temelju rješenja iz prethodnih godina, a uvedena je nova dozvola za obavljanje djelatnosti na pomorskom dobru sukladno novih zakonskim odredbama.  </w:t>
      </w:r>
    </w:p>
    <w:p w14:paraId="5BA159ED" w14:textId="77777777" w:rsidR="00B53F96" w:rsidRPr="00B53F96" w:rsidRDefault="00B53F96" w:rsidP="00B53F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bookmarkEnd w:id="111"/>
    <w:p w14:paraId="4308E85A" w14:textId="4C226C0B" w:rsidR="0032374E" w:rsidRPr="008E5A88" w:rsidRDefault="0032374E" w:rsidP="0032374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8E5A88">
        <w:rPr>
          <w:rFonts w:ascii="Arial" w:hAnsi="Arial" w:cs="Arial"/>
        </w:rPr>
        <w:t>U okviru prihoda od nefinancijske imovine (</w:t>
      </w:r>
      <w:r w:rsidRPr="008E5A88">
        <w:rPr>
          <w:rFonts w:ascii="Arial" w:hAnsi="Arial" w:cs="Arial"/>
          <w:b/>
        </w:rPr>
        <w:t>642</w:t>
      </w:r>
      <w:r w:rsidRPr="008E5A88">
        <w:rPr>
          <w:rFonts w:ascii="Arial" w:hAnsi="Arial" w:cs="Arial"/>
        </w:rPr>
        <w:t xml:space="preserve">) ostvareni su prihodi iz druge države, Općine Herceg novi (Crna gora) u iznosu </w:t>
      </w:r>
      <w:r w:rsidR="00B53F96">
        <w:rPr>
          <w:rFonts w:ascii="Arial" w:hAnsi="Arial" w:cs="Arial"/>
        </w:rPr>
        <w:t>32</w:t>
      </w:r>
      <w:r w:rsidRPr="008E5A88">
        <w:rPr>
          <w:rFonts w:ascii="Arial" w:hAnsi="Arial" w:cs="Arial"/>
        </w:rPr>
        <w:t xml:space="preserve">5.000 € (ugovori potpisani koncem 2011. godine, a odnose se na naknadu za umanjenu upotrebnu vrijednost zemljišta u vlasništvu Općine Konavle kojom prolazi infrastrukturni objekt za transport vode cjevovod Plat – Herceg Novi). </w:t>
      </w:r>
    </w:p>
    <w:bookmarkEnd w:id="112"/>
    <w:p w14:paraId="3F011542" w14:textId="77777777" w:rsidR="00B53F96" w:rsidRDefault="00B53F96" w:rsidP="00B53F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522690AB" w14:textId="77777777" w:rsidR="00B53F96" w:rsidRPr="00B53F96" w:rsidRDefault="0032374E" w:rsidP="00B53F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8E5A88">
        <w:rPr>
          <w:rFonts w:ascii="Arial" w:hAnsi="Arial" w:cs="Arial"/>
        </w:rPr>
        <w:t xml:space="preserve">U okviru prihoda od nefinancijske imovine (64) vrijednosno su značajniji </w:t>
      </w:r>
      <w:r w:rsidRPr="008E5A88">
        <w:rPr>
          <w:rFonts w:ascii="Arial" w:hAnsi="Arial" w:cs="Arial"/>
          <w:b/>
          <w:bCs/>
          <w:i/>
          <w:iCs/>
        </w:rPr>
        <w:t>prihodi od naknade za korištenje javnih površina</w:t>
      </w:r>
      <w:r w:rsidRPr="008E5A88">
        <w:rPr>
          <w:rFonts w:ascii="Arial" w:hAnsi="Arial" w:cs="Arial"/>
        </w:rPr>
        <w:t xml:space="preserve"> (u okviru računa 6423). </w:t>
      </w:r>
      <w:r w:rsidR="00B53F96" w:rsidRPr="00B53F96">
        <w:rPr>
          <w:rFonts w:ascii="Arial" w:hAnsi="Arial" w:cs="Arial"/>
        </w:rPr>
        <w:t>Naime, ovi prihodi u izvještajnom razdoblju prethodne 2024. godine iznosili 301.914,90 €, a u 2025. godini iznose 469.830,78 € što je za 167.915,88 € ili 55,6% više nego prethodne godine.</w:t>
      </w:r>
    </w:p>
    <w:p w14:paraId="261852C2" w14:textId="2C88CB03" w:rsidR="00A87A78" w:rsidRDefault="00A87A78" w:rsidP="00B53F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p>
    <w:p w14:paraId="37A1B736" w14:textId="6DD55309" w:rsidR="00A87A78" w:rsidRPr="00B53F96" w:rsidRDefault="00A87A78" w:rsidP="00D0351C">
      <w:pPr>
        <w:spacing w:after="0" w:line="240" w:lineRule="auto"/>
        <w:ind w:left="567"/>
        <w:jc w:val="both"/>
        <w:rPr>
          <w:rFonts w:ascii="Arial" w:eastAsia="Times New Roman" w:hAnsi="Arial" w:cs="Arial"/>
          <w:sz w:val="16"/>
          <w:szCs w:val="16"/>
        </w:rPr>
      </w:pPr>
      <w:r w:rsidRPr="00B53F96">
        <w:rPr>
          <w:rFonts w:ascii="Arial" w:eastAsia="Times New Roman" w:hAnsi="Arial" w:cs="Arial"/>
          <w:sz w:val="16"/>
          <w:szCs w:val="16"/>
        </w:rPr>
        <w:t xml:space="preserve">Prihodi od naknade za korištenje javnih površina su sveukupno 2017. godine iznosili 112.967,38 €, 2018. godine 228.254,67 €, 2019. godine 305.557,07 €. Nadalje, 2020. godine ostvareni su u iznosu 71.976,95 €, 2021. godine u iznosu 141.681,11 €, dok su 2022. godine iznosili 305.578,30 € (više za 163.897,19 € ili 115,7% u odnosu na 2021. godinu, a skoro isto odnosno neznatno više u odnosu na 2019. godinu). Sveukupno u 2023. godini ovi prihodi su iznosili 205.358,65 €, </w:t>
      </w:r>
      <w:r w:rsidR="00907E7E" w:rsidRPr="00B53F96">
        <w:rPr>
          <w:rFonts w:ascii="Arial" w:eastAsia="Times New Roman" w:hAnsi="Arial" w:cs="Arial"/>
          <w:sz w:val="16"/>
          <w:szCs w:val="16"/>
        </w:rPr>
        <w:t xml:space="preserve">a u </w:t>
      </w:r>
      <w:r w:rsidRPr="00B53F96">
        <w:rPr>
          <w:rFonts w:ascii="Arial" w:eastAsia="Times New Roman" w:hAnsi="Arial" w:cs="Arial"/>
          <w:sz w:val="16"/>
          <w:szCs w:val="16"/>
        </w:rPr>
        <w:t xml:space="preserve">2024. </w:t>
      </w:r>
      <w:r w:rsidR="00907E7E" w:rsidRPr="00B53F96">
        <w:rPr>
          <w:rFonts w:ascii="Arial" w:eastAsia="Times New Roman" w:hAnsi="Arial" w:cs="Arial"/>
          <w:sz w:val="16"/>
          <w:szCs w:val="16"/>
        </w:rPr>
        <w:t>su iznosili</w:t>
      </w:r>
      <w:r w:rsidRPr="00B53F96">
        <w:rPr>
          <w:rFonts w:ascii="Arial" w:eastAsia="Times New Roman" w:hAnsi="Arial" w:cs="Arial"/>
          <w:sz w:val="16"/>
          <w:szCs w:val="16"/>
        </w:rPr>
        <w:t xml:space="preserve"> 301.914,90 €.</w:t>
      </w:r>
    </w:p>
    <w:p w14:paraId="53183092" w14:textId="77777777" w:rsidR="0032374E" w:rsidRDefault="0032374E" w:rsidP="00A165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0AFB6524" w14:textId="76984D98" w:rsidR="0032374E" w:rsidRPr="0032374E" w:rsidRDefault="0032374E" w:rsidP="0032374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32374E">
        <w:rPr>
          <w:rFonts w:ascii="Arial" w:hAnsi="Arial" w:cs="Arial"/>
          <w:b/>
          <w:bCs/>
          <w:i/>
          <w:iCs/>
        </w:rPr>
        <w:t>Prihodi od koncesijskih odobrenja</w:t>
      </w:r>
      <w:r w:rsidRPr="0032374E">
        <w:rPr>
          <w:rFonts w:ascii="Arial" w:hAnsi="Arial" w:cs="Arial"/>
        </w:rPr>
        <w:t xml:space="preserve"> su ostvareni u iznosu </w:t>
      </w:r>
      <w:r w:rsidR="00B53F96">
        <w:rPr>
          <w:rFonts w:ascii="Arial" w:hAnsi="Arial" w:cs="Arial"/>
        </w:rPr>
        <w:t>10.625,47</w:t>
      </w:r>
      <w:r w:rsidRPr="0032374E">
        <w:rPr>
          <w:rFonts w:ascii="Arial" w:hAnsi="Arial" w:cs="Arial"/>
        </w:rPr>
        <w:t xml:space="preserve"> € (</w:t>
      </w:r>
      <w:r w:rsidR="007679A9">
        <w:rPr>
          <w:rFonts w:ascii="Arial" w:hAnsi="Arial" w:cs="Arial"/>
        </w:rPr>
        <w:t xml:space="preserve">a prethodne godine </w:t>
      </w:r>
      <w:r w:rsidRPr="0032374E">
        <w:rPr>
          <w:rFonts w:ascii="Arial" w:hAnsi="Arial" w:cs="Arial"/>
        </w:rPr>
        <w:t xml:space="preserve">su iznosili </w:t>
      </w:r>
      <w:r w:rsidR="00B53F96">
        <w:rPr>
          <w:rFonts w:ascii="Arial" w:hAnsi="Arial" w:cs="Arial"/>
        </w:rPr>
        <w:t>66.540,97</w:t>
      </w:r>
      <w:r w:rsidRPr="0032374E">
        <w:rPr>
          <w:rFonts w:ascii="Arial" w:hAnsi="Arial" w:cs="Arial"/>
        </w:rPr>
        <w:t xml:space="preserve"> €). Naime, u 2024. godini je sukladno novim odredbama Zakona o pomorskom dobru i morskim lukama (Narodne novine 83/2023) i plana upravljanja pomorskim dobrom proveden natječaj za dodjelu dozvola na pomorskom dobru (koje zamjenjuju koncesijska odobrenja). </w:t>
      </w:r>
      <w:r>
        <w:rPr>
          <w:rFonts w:ascii="Arial" w:eastAsia="Times New Roman" w:hAnsi="Arial" w:cs="Arial"/>
        </w:rPr>
        <w:t>P</w:t>
      </w:r>
      <w:r w:rsidRPr="003A2F86">
        <w:rPr>
          <w:rFonts w:ascii="Arial" w:eastAsia="Times New Roman" w:hAnsi="Arial" w:cs="Arial"/>
        </w:rPr>
        <w:t xml:space="preserve">rema novom Zakonu o pomorskom dobru i morskim lukama (NN 83/2023), umjesto pojma koncesijskih odobrenja uveden je novi način dodjele putem </w:t>
      </w:r>
      <w:r w:rsidRPr="003A2F86">
        <w:rPr>
          <w:rFonts w:ascii="Arial" w:eastAsia="Times New Roman" w:hAnsi="Arial" w:cs="Arial"/>
          <w:b/>
          <w:bCs/>
        </w:rPr>
        <w:t>dozvola na pomorskom dobru</w:t>
      </w:r>
      <w:r w:rsidRPr="003A2F86">
        <w:rPr>
          <w:rFonts w:ascii="Arial" w:eastAsia="Times New Roman" w:hAnsi="Arial" w:cs="Arial"/>
        </w:rPr>
        <w:t xml:space="preserve">, raspored prihoda (70% općina i 30% županija) i njihovo korištenje (za upravljanje pomorskim dobrom i financiranje odnosno sufinanciranje projekata na pomorskom </w:t>
      </w:r>
      <w:r w:rsidRPr="003A2F86">
        <w:rPr>
          <w:rFonts w:ascii="Arial" w:eastAsia="Times New Roman" w:hAnsi="Arial" w:cs="Arial"/>
          <w:color w:val="231F20"/>
        </w:rPr>
        <w:t xml:space="preserve">dobru i za aktivnosti </w:t>
      </w:r>
      <w:r w:rsidRPr="003A2F86">
        <w:rPr>
          <w:rFonts w:ascii="Arial" w:eastAsia="Times New Roman" w:hAnsi="Arial" w:cs="Arial"/>
          <w:color w:val="231F20"/>
        </w:rPr>
        <w:lastRenderedPageBreak/>
        <w:t xml:space="preserve">kojima je cilj unaprjeđenje pomorskog dobra u općoj upotrebi, članak 42. spomenutog Zakona). </w:t>
      </w:r>
      <w:r w:rsidRPr="0032374E">
        <w:rPr>
          <w:rFonts w:ascii="Arial" w:hAnsi="Arial" w:cs="Arial"/>
        </w:rPr>
        <w:t>Ovi prihodi se evidentiraju u okviru prihoda od upravnih i administrativnih pristojbi i po posebnim propisima (65), a prihodi od koncesijskih odobrenja su ostvareni na temelju važećih koncesijskih odobrenja iz prethodnih godina.</w:t>
      </w:r>
    </w:p>
    <w:p w14:paraId="6963C9DA" w14:textId="77777777" w:rsidR="0032374E" w:rsidRPr="0032374E" w:rsidRDefault="0032374E" w:rsidP="0032374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34439DBE" w14:textId="7EF5ECA5" w:rsidR="0032374E" w:rsidRPr="0032374E" w:rsidRDefault="0032374E" w:rsidP="0032374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bookmarkStart w:id="113" w:name="_Hlk160006123"/>
      <w:r w:rsidRPr="0032374E">
        <w:rPr>
          <w:rFonts w:ascii="Arial" w:hAnsi="Arial" w:cs="Arial"/>
          <w:iCs/>
        </w:rPr>
        <w:t xml:space="preserve">U okviru ovih prihoda ostvareni su i prihodi od </w:t>
      </w:r>
      <w:r w:rsidRPr="0032374E">
        <w:rPr>
          <w:rFonts w:ascii="Arial" w:hAnsi="Arial" w:cs="Arial"/>
          <w:b/>
          <w:bCs/>
          <w:i/>
          <w:iCs/>
        </w:rPr>
        <w:t>naknade za korištenje prostora elektrana</w:t>
      </w:r>
      <w:r w:rsidRPr="0032374E">
        <w:rPr>
          <w:rFonts w:ascii="Arial" w:hAnsi="Arial" w:cs="Arial"/>
        </w:rPr>
        <w:t xml:space="preserve"> (račun 6423). Prihodi od </w:t>
      </w:r>
      <w:r w:rsidRPr="0032374E">
        <w:rPr>
          <w:rFonts w:ascii="Arial" w:hAnsi="Arial" w:cs="Arial"/>
          <w:i/>
          <w:iCs/>
        </w:rPr>
        <w:t>naknade za korištenje prostora elektrana</w:t>
      </w:r>
      <w:r w:rsidRPr="0032374E">
        <w:rPr>
          <w:rFonts w:ascii="Arial" w:hAnsi="Arial" w:cs="Arial"/>
        </w:rPr>
        <w:t xml:space="preserve"> (račun 6423) su u 202</w:t>
      </w:r>
      <w:r w:rsidR="00AE487D">
        <w:rPr>
          <w:rFonts w:ascii="Arial" w:hAnsi="Arial" w:cs="Arial"/>
        </w:rPr>
        <w:t>5</w:t>
      </w:r>
      <w:r w:rsidRPr="0032374E">
        <w:rPr>
          <w:rFonts w:ascii="Arial" w:hAnsi="Arial" w:cs="Arial"/>
        </w:rPr>
        <w:t xml:space="preserve">. ostvareni u iznosu </w:t>
      </w:r>
      <w:r w:rsidR="00F227FE" w:rsidRPr="00F227FE">
        <w:rPr>
          <w:rFonts w:ascii="Arial" w:hAnsi="Arial" w:cs="Arial"/>
        </w:rPr>
        <w:t>199.705,73 € što je za 45.992,97 € ili 18,7% manje nego prethodne 2024. godine.</w:t>
      </w:r>
      <w:r w:rsidRPr="0032374E">
        <w:rPr>
          <w:rFonts w:ascii="Arial" w:hAnsi="Arial" w:cs="Arial"/>
        </w:rPr>
        <w:t xml:space="preserve"> </w:t>
      </w:r>
    </w:p>
    <w:bookmarkEnd w:id="113"/>
    <w:p w14:paraId="3A674198" w14:textId="77777777" w:rsidR="0032374E" w:rsidRDefault="0032374E" w:rsidP="0032374E">
      <w:pPr>
        <w:spacing w:after="0" w:line="240" w:lineRule="auto"/>
        <w:jc w:val="both"/>
        <w:rPr>
          <w:rFonts w:ascii="Arial" w:eastAsia="Times New Roman" w:hAnsi="Arial" w:cs="Arial"/>
          <w:sz w:val="18"/>
          <w:szCs w:val="18"/>
        </w:rPr>
      </w:pPr>
    </w:p>
    <w:p w14:paraId="686BAD14" w14:textId="20E84BD1" w:rsidR="00A87A78" w:rsidRPr="00A87A78" w:rsidRDefault="00A87A78" w:rsidP="00D0351C">
      <w:pPr>
        <w:spacing w:after="0" w:line="240" w:lineRule="auto"/>
        <w:ind w:left="567"/>
        <w:jc w:val="both"/>
        <w:rPr>
          <w:rFonts w:ascii="Arial" w:eastAsia="Times New Roman" w:hAnsi="Arial" w:cs="Arial"/>
          <w:sz w:val="18"/>
          <w:szCs w:val="18"/>
        </w:rPr>
      </w:pPr>
      <w:r w:rsidRPr="00A87A78">
        <w:rPr>
          <w:rFonts w:ascii="Arial" w:eastAsia="Times New Roman" w:hAnsi="Arial" w:cs="Arial"/>
          <w:sz w:val="18"/>
          <w:szCs w:val="18"/>
        </w:rPr>
        <w:t xml:space="preserve">Elektrana je nakon sanacije od požara iz 2019., ponovno puštena u rad u ožujku 2020. Naknada se plaća prema Odluci o visini naknade za korištenje prostora koji koriste proizvodna postrojenja za proizvodnju električne energije (NN 24/95, 74/98, 99/98,84/13, 101/13). </w:t>
      </w:r>
      <w:bookmarkStart w:id="114" w:name="_Hlk145931447"/>
      <w:r w:rsidRPr="00A87A78">
        <w:rPr>
          <w:rFonts w:ascii="Arial" w:eastAsia="Times New Roman" w:hAnsi="Arial" w:cs="Arial"/>
          <w:sz w:val="18"/>
          <w:szCs w:val="18"/>
        </w:rPr>
        <w:t>Prihodi od naknade za korištenje prostora elektrana (u okviru računa 6423) su u 2014. bili ostvareni u iznosu 140.920,17 €, u 2015. u iznosu 77.872,01 €, u 2016. u iznosu 1.237.458,42 € jer je na temelju postignute nagodbe isplaćena razlika manjih uplata iz ranijih godina u iznosu 995.421,06 €, u 2017. u iznosu 158.633,51 €, u 2018. u iznosu 279.387,94 €, u 2019. u iznosu 33.960,81 € (elektrana bila zatvorena od početka siječnja 2019.), u 2020. su iznosili 126.370,62 €, u 2021. u iznosu 216.942,42 €, dok su u 2022. ovi prihodi ostvareni u iznosu 217.510,37 €, u 2023. godini u iznosu 235.579,13 €</w:t>
      </w:r>
      <w:r w:rsidR="00F73AD0">
        <w:rPr>
          <w:rFonts w:ascii="Arial" w:eastAsia="Times New Roman" w:hAnsi="Arial" w:cs="Arial"/>
          <w:sz w:val="18"/>
          <w:szCs w:val="18"/>
        </w:rPr>
        <w:t xml:space="preserve">, a u 2024. godini </w:t>
      </w:r>
      <w:r w:rsidR="00D50D9C">
        <w:rPr>
          <w:rFonts w:ascii="Arial" w:eastAsia="Times New Roman" w:hAnsi="Arial" w:cs="Arial"/>
          <w:sz w:val="18"/>
          <w:szCs w:val="18"/>
        </w:rPr>
        <w:t>245.698,70 €.</w:t>
      </w:r>
    </w:p>
    <w:bookmarkEnd w:id="114"/>
    <w:p w14:paraId="21074AEE" w14:textId="77777777" w:rsidR="0032374E" w:rsidRPr="0032374E" w:rsidRDefault="0032374E" w:rsidP="0032374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314C0974" w14:textId="77777777" w:rsidR="00F227FE" w:rsidRPr="00F227FE" w:rsidRDefault="0032374E" w:rsidP="00F227F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bookmarkStart w:id="115" w:name="_Hlk160006128"/>
      <w:r w:rsidRPr="0032374E">
        <w:rPr>
          <w:rFonts w:ascii="Arial" w:hAnsi="Arial" w:cs="Arial"/>
        </w:rPr>
        <w:t xml:space="preserve">Prihodi od </w:t>
      </w:r>
      <w:r w:rsidRPr="00651216">
        <w:rPr>
          <w:rFonts w:ascii="Arial" w:hAnsi="Arial" w:cs="Arial"/>
          <w:b/>
          <w:bCs/>
          <w:i/>
          <w:iCs/>
        </w:rPr>
        <w:t>zakupa poslovnih prostora</w:t>
      </w:r>
      <w:r w:rsidRPr="0032374E">
        <w:rPr>
          <w:rFonts w:ascii="Arial" w:hAnsi="Arial" w:cs="Arial"/>
        </w:rPr>
        <w:t xml:space="preserve"> (6422) su u tekućoj godini ostvareni u iznosu </w:t>
      </w:r>
      <w:r w:rsidR="00F227FE" w:rsidRPr="00F227FE">
        <w:rPr>
          <w:rFonts w:ascii="Arial" w:hAnsi="Arial" w:cs="Arial"/>
        </w:rPr>
        <w:t xml:space="preserve">258.661,54 € što je za 152.414,66 € ili 143,5% više nego u izvještajnom razdoblju prethodne 2024. godine kada su iznosili 106.246,88 €. </w:t>
      </w:r>
    </w:p>
    <w:p w14:paraId="34275B1B" w14:textId="4D13846D" w:rsidR="0032374E" w:rsidRPr="0032374E" w:rsidRDefault="0032374E" w:rsidP="0032374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0991B99A" w14:textId="59D0D0E1" w:rsidR="00F14A03" w:rsidRPr="00FC192E" w:rsidRDefault="00B27745" w:rsidP="00F14A0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iCs/>
        </w:rPr>
      </w:pPr>
      <w:r>
        <w:rPr>
          <w:rFonts w:ascii="Arial" w:hAnsi="Arial" w:cs="Arial"/>
          <w:b/>
          <w:bCs/>
          <w:i/>
          <w:iCs/>
        </w:rPr>
        <w:t>P</w:t>
      </w:r>
      <w:r w:rsidR="0032374E" w:rsidRPr="0032374E">
        <w:rPr>
          <w:rFonts w:ascii="Arial" w:hAnsi="Arial" w:cs="Arial"/>
          <w:b/>
          <w:bCs/>
          <w:i/>
          <w:iCs/>
        </w:rPr>
        <w:t>rihodi od naknade za koncesiju na pomorskom dobru (raspored)</w:t>
      </w:r>
      <w:r w:rsidR="0032374E" w:rsidRPr="0032374E">
        <w:rPr>
          <w:rFonts w:ascii="Arial" w:hAnsi="Arial" w:cs="Arial"/>
          <w:iCs/>
        </w:rPr>
        <w:t xml:space="preserve"> </w:t>
      </w:r>
      <w:r w:rsidR="00651216">
        <w:rPr>
          <w:rFonts w:ascii="Arial" w:hAnsi="Arial" w:cs="Arial"/>
          <w:iCs/>
        </w:rPr>
        <w:t xml:space="preserve">(račun 6421) </w:t>
      </w:r>
      <w:r w:rsidR="001F0877">
        <w:rPr>
          <w:rFonts w:ascii="Arial" w:hAnsi="Arial" w:cs="Arial"/>
          <w:iCs/>
        </w:rPr>
        <w:t>u tekućoj godini</w:t>
      </w:r>
      <w:bookmarkEnd w:id="115"/>
      <w:r w:rsidR="00F14A03" w:rsidRPr="00FC192E">
        <w:rPr>
          <w:rFonts w:ascii="Arial" w:hAnsi="Arial" w:cs="Arial"/>
          <w:iCs/>
        </w:rPr>
        <w:t xml:space="preserve"> iznose 58.251,98 € € ili 31.706,51 € ili 119,4 % više nego prethodne godine. </w:t>
      </w:r>
    </w:p>
    <w:p w14:paraId="6614E309" w14:textId="368A0E2E" w:rsidR="0032374E" w:rsidRDefault="0032374E" w:rsidP="00A165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2B5EA9A1" w14:textId="6543A2CF" w:rsidR="00A16565" w:rsidRPr="003A2F86" w:rsidRDefault="00A16565" w:rsidP="00A165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116" w:name="_Hlk2529204"/>
      <w:r w:rsidRPr="003A2F86">
        <w:rPr>
          <w:rFonts w:ascii="Arial" w:eastAsia="Times New Roman" w:hAnsi="Arial" w:cs="Arial"/>
        </w:rPr>
        <w:t>U 202</w:t>
      </w:r>
      <w:r w:rsidR="00B275B6">
        <w:rPr>
          <w:rFonts w:ascii="Arial" w:eastAsia="Times New Roman" w:hAnsi="Arial" w:cs="Arial"/>
        </w:rPr>
        <w:t>5</w:t>
      </w:r>
      <w:r w:rsidRPr="003A2F86">
        <w:rPr>
          <w:rFonts w:ascii="Arial" w:eastAsia="Times New Roman" w:hAnsi="Arial" w:cs="Arial"/>
        </w:rPr>
        <w:t xml:space="preserve">. su ostvareni </w:t>
      </w:r>
      <w:r w:rsidRPr="00A87A78">
        <w:rPr>
          <w:rFonts w:ascii="Arial" w:eastAsia="Times New Roman" w:hAnsi="Arial" w:cs="Arial"/>
          <w:b/>
          <w:bCs/>
          <w:i/>
          <w:iCs/>
        </w:rPr>
        <w:t>prihodi od Hrvatskog telekoma</w:t>
      </w:r>
      <w:r w:rsidRPr="003A2F86">
        <w:rPr>
          <w:rFonts w:ascii="Arial" w:eastAsia="Times New Roman" w:hAnsi="Arial" w:cs="Arial"/>
        </w:rPr>
        <w:t xml:space="preserve"> u iznosu 61.285,88 € (kao i prethodne godine) na ime godišnje naknade za pravo puta na nekretninama na temelju dva rješenja (plaćanje naknade za elektroničko komunikacijsku mrežu, elektroničku komunikacijsku infrastrukturu i drugu opremu izgrađenu na nekretninama u vlasništvu Općine sukladno Zakonu o elektroničkim komunikacijama i Pravilniku o potvrdi i naknadi za pravo puta).</w:t>
      </w:r>
      <w:r w:rsidR="00A74C37">
        <w:rPr>
          <w:rFonts w:ascii="Arial" w:eastAsia="Times New Roman" w:hAnsi="Arial" w:cs="Arial"/>
        </w:rPr>
        <w:t xml:space="preserve"> Pored navedenog ostvareni su prihodi od Hrvatskog telekoma</w:t>
      </w:r>
      <w:r w:rsidR="00954804">
        <w:rPr>
          <w:rFonts w:ascii="Arial" w:eastAsia="Times New Roman" w:hAnsi="Arial" w:cs="Arial"/>
        </w:rPr>
        <w:t xml:space="preserve"> za pravo služnosti </w:t>
      </w:r>
      <w:r w:rsidR="00F14A03">
        <w:rPr>
          <w:rFonts w:ascii="Arial" w:eastAsia="Times New Roman" w:hAnsi="Arial" w:cs="Arial"/>
        </w:rPr>
        <w:t>31,86</w:t>
      </w:r>
      <w:r w:rsidR="00954804">
        <w:rPr>
          <w:rFonts w:ascii="Arial" w:eastAsia="Times New Roman" w:hAnsi="Arial" w:cs="Arial"/>
        </w:rPr>
        <w:t xml:space="preserve"> €.</w:t>
      </w:r>
    </w:p>
    <w:p w14:paraId="36AB7179" w14:textId="77777777" w:rsidR="0032374E" w:rsidRDefault="0032374E" w:rsidP="00A165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p>
    <w:p w14:paraId="18C3145D" w14:textId="654E261C" w:rsidR="00A16565" w:rsidRPr="003A2F86" w:rsidRDefault="00D0351C" w:rsidP="00A165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18"/>
          <w:szCs w:val="18"/>
        </w:rPr>
        <w:t>Prihod od Hrvatskog telekoma</w:t>
      </w:r>
      <w:r w:rsidR="00A16565" w:rsidRPr="003A2F86">
        <w:rPr>
          <w:rFonts w:ascii="Arial" w:eastAsia="Times New Roman" w:hAnsi="Arial" w:cs="Arial"/>
          <w:sz w:val="18"/>
          <w:szCs w:val="18"/>
        </w:rPr>
        <w:t xml:space="preserve"> 32.342,56 € (243.685,02 kn) je ostvaren prema rješenju iz veljače 2019. godine kojim su obuhvaćene nekretnine na kojima općina nema upisano vlasništvo u zemljišnim knjigama (putevi i slično). </w:t>
      </w:r>
      <w:r>
        <w:rPr>
          <w:rFonts w:ascii="Arial" w:eastAsia="Times New Roman" w:hAnsi="Arial" w:cs="Arial"/>
          <w:sz w:val="18"/>
          <w:szCs w:val="18"/>
        </w:rPr>
        <w:t>Prihod od Hrvatskog telekoma</w:t>
      </w:r>
      <w:r w:rsidRPr="003A2F86">
        <w:rPr>
          <w:rFonts w:ascii="Arial" w:eastAsia="Times New Roman" w:hAnsi="Arial" w:cs="Arial"/>
          <w:sz w:val="18"/>
          <w:szCs w:val="18"/>
        </w:rPr>
        <w:t xml:space="preserve"> </w:t>
      </w:r>
      <w:r w:rsidR="00A16565" w:rsidRPr="003A2F86">
        <w:rPr>
          <w:rFonts w:ascii="Arial" w:eastAsia="Times New Roman" w:hAnsi="Arial" w:cs="Arial"/>
          <w:sz w:val="18"/>
          <w:szCs w:val="18"/>
        </w:rPr>
        <w:t>28.943,32 € (218.073,43 kn) je ostvaren na temelju rješenja iz srpnja 2020. Naime, u srpnju 2020. godine HAKOM je ispostavio rješenje kojim zamjenjuje djelomično rješenje iz siječnja 2018. Novim rješenjem iz srpnja 2020. se utvrđuje pravo Općine na naknadu od 24. siječnja 2019. umjesto od 7.11.2017. kako je djelomičnim rješenjem bilo utvrđeno.</w:t>
      </w:r>
    </w:p>
    <w:bookmarkEnd w:id="116"/>
    <w:p w14:paraId="29B790B6" w14:textId="77777777" w:rsidR="00A16565" w:rsidRPr="003A2F86" w:rsidRDefault="00A16565" w:rsidP="00A165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p>
    <w:p w14:paraId="4513C58C" w14:textId="77777777" w:rsidR="00651216" w:rsidRDefault="00BC58E1" w:rsidP="00BC58E1">
      <w:pPr>
        <w:spacing w:after="0" w:line="240" w:lineRule="auto"/>
        <w:jc w:val="both"/>
        <w:rPr>
          <w:rFonts w:ascii="Arial" w:eastAsia="Times New Roman" w:hAnsi="Arial" w:cs="Arial"/>
          <w:iCs/>
        </w:rPr>
      </w:pPr>
      <w:bookmarkStart w:id="117" w:name="_Hlk2529251"/>
      <w:bookmarkEnd w:id="107"/>
      <w:r w:rsidRPr="00A87A78">
        <w:rPr>
          <w:rFonts w:ascii="Arial" w:eastAsia="Times New Roman" w:hAnsi="Arial" w:cs="Arial"/>
          <w:b/>
          <w:bCs/>
          <w:i/>
        </w:rPr>
        <w:t>Naknada od naplate lučkih pristojbi</w:t>
      </w:r>
      <w:r w:rsidRPr="003A2F86">
        <w:rPr>
          <w:rFonts w:ascii="Arial" w:eastAsia="Times New Roman" w:hAnsi="Arial" w:cs="Arial"/>
          <w:iCs/>
        </w:rPr>
        <w:t xml:space="preserve"> na području Općine nije ostvarena. </w:t>
      </w:r>
    </w:p>
    <w:p w14:paraId="4BBAF761" w14:textId="77777777" w:rsidR="00651216" w:rsidRDefault="00651216" w:rsidP="00BC58E1">
      <w:pPr>
        <w:spacing w:after="0" w:line="240" w:lineRule="auto"/>
        <w:jc w:val="both"/>
        <w:rPr>
          <w:rFonts w:ascii="Arial" w:eastAsia="Times New Roman" w:hAnsi="Arial" w:cs="Arial"/>
          <w:iCs/>
        </w:rPr>
      </w:pPr>
    </w:p>
    <w:p w14:paraId="356C8360" w14:textId="16D0FFBA" w:rsidR="00BC58E1" w:rsidRPr="00651216" w:rsidRDefault="00BC58E1" w:rsidP="00651216">
      <w:pPr>
        <w:spacing w:after="0" w:line="240" w:lineRule="auto"/>
        <w:ind w:left="567"/>
        <w:jc w:val="both"/>
        <w:rPr>
          <w:rFonts w:ascii="Arial" w:eastAsia="Times New Roman" w:hAnsi="Arial" w:cs="Arial"/>
          <w:iCs/>
          <w:sz w:val="18"/>
          <w:szCs w:val="18"/>
        </w:rPr>
      </w:pPr>
      <w:r w:rsidRPr="00651216">
        <w:rPr>
          <w:rFonts w:ascii="Arial" w:eastAsia="Times New Roman" w:hAnsi="Arial" w:cs="Arial"/>
          <w:iCs/>
          <w:sz w:val="18"/>
          <w:szCs w:val="18"/>
        </w:rPr>
        <w:t xml:space="preserve">U 2019. godini je bila ostvarena naknada </w:t>
      </w:r>
      <w:r w:rsidR="00651216">
        <w:rPr>
          <w:rFonts w:ascii="Arial" w:eastAsia="Times New Roman" w:hAnsi="Arial" w:cs="Arial"/>
          <w:iCs/>
          <w:sz w:val="18"/>
          <w:szCs w:val="18"/>
        </w:rPr>
        <w:t xml:space="preserve">od naplate lučkih pristojbi </w:t>
      </w:r>
      <w:r w:rsidRPr="00651216">
        <w:rPr>
          <w:rFonts w:ascii="Arial" w:eastAsia="Times New Roman" w:hAnsi="Arial" w:cs="Arial"/>
          <w:iCs/>
          <w:sz w:val="18"/>
          <w:szCs w:val="18"/>
        </w:rPr>
        <w:t xml:space="preserve">u iznosu </w:t>
      </w:r>
      <w:r w:rsidR="0065429F" w:rsidRPr="00651216">
        <w:rPr>
          <w:rFonts w:ascii="Arial" w:eastAsia="Times New Roman" w:hAnsi="Arial" w:cs="Arial"/>
          <w:iCs/>
          <w:sz w:val="18"/>
          <w:szCs w:val="18"/>
        </w:rPr>
        <w:t xml:space="preserve">41.033,74 € </w:t>
      </w:r>
      <w:r w:rsidRPr="00651216">
        <w:rPr>
          <w:rFonts w:ascii="Arial" w:eastAsia="Times New Roman" w:hAnsi="Arial" w:cs="Arial"/>
          <w:iCs/>
          <w:sz w:val="18"/>
          <w:szCs w:val="18"/>
        </w:rPr>
        <w:t>(na temelju prihoda lučke uprave iz 2017., prema odredbama Pravilnika o kriterijima za određivanje namjene pojedinog dijela luke otvorene za javni promet županijskog i lokalnog značaja, način plaćanja veza, uvjete korištenja, te određivanja maksimalne visine naknade i raspodjele prihoda - Narodne novine 94/2007, 79/2008 i 114/2012).</w:t>
      </w:r>
      <w:r w:rsidR="00821CC0" w:rsidRPr="00651216">
        <w:rPr>
          <w:rFonts w:ascii="Arial" w:eastAsia="Times New Roman" w:hAnsi="Arial" w:cs="Arial"/>
          <w:iCs/>
          <w:sz w:val="18"/>
          <w:szCs w:val="18"/>
        </w:rPr>
        <w:t xml:space="preserve"> Lučka uprava je, uz sufinanciranje nadležnog Ministarstva, </w:t>
      </w:r>
      <w:r w:rsidR="00A74C37" w:rsidRPr="00651216">
        <w:rPr>
          <w:rFonts w:ascii="Arial" w:eastAsia="Times New Roman" w:hAnsi="Arial" w:cs="Arial"/>
          <w:iCs/>
          <w:sz w:val="18"/>
          <w:szCs w:val="18"/>
        </w:rPr>
        <w:t>provodila</w:t>
      </w:r>
      <w:r w:rsidR="00821CC0" w:rsidRPr="00651216">
        <w:rPr>
          <w:rFonts w:ascii="Arial" w:eastAsia="Times New Roman" w:hAnsi="Arial" w:cs="Arial"/>
          <w:iCs/>
          <w:sz w:val="18"/>
          <w:szCs w:val="18"/>
        </w:rPr>
        <w:t xml:space="preserve"> radove uređenja rive u Cavtatu</w:t>
      </w:r>
      <w:r w:rsidR="00A74C37" w:rsidRPr="00651216">
        <w:rPr>
          <w:rFonts w:ascii="Arial" w:eastAsia="Times New Roman" w:hAnsi="Arial" w:cs="Arial"/>
          <w:iCs/>
          <w:sz w:val="18"/>
          <w:szCs w:val="18"/>
        </w:rPr>
        <w:t xml:space="preserve"> u 2022. i 2023. godini</w:t>
      </w:r>
      <w:r w:rsidR="0065429F" w:rsidRPr="00651216">
        <w:rPr>
          <w:rFonts w:ascii="Arial" w:eastAsia="Times New Roman" w:hAnsi="Arial" w:cs="Arial"/>
          <w:iCs/>
          <w:sz w:val="18"/>
          <w:szCs w:val="18"/>
        </w:rPr>
        <w:t xml:space="preserve">. </w:t>
      </w:r>
    </w:p>
    <w:p w14:paraId="1EF8D836" w14:textId="77777777" w:rsidR="00BC58E1" w:rsidRPr="003A2F86" w:rsidRDefault="00BC58E1" w:rsidP="00D0351C">
      <w:pPr>
        <w:spacing w:after="0" w:line="240" w:lineRule="auto"/>
        <w:ind w:left="567"/>
        <w:jc w:val="both"/>
        <w:rPr>
          <w:rFonts w:ascii="Arial" w:eastAsia="Times New Roman" w:hAnsi="Arial" w:cs="Arial"/>
          <w:iCs/>
        </w:rPr>
      </w:pPr>
    </w:p>
    <w:bookmarkEnd w:id="117"/>
    <w:p w14:paraId="4032C0E3" w14:textId="77777777" w:rsidR="00445CF0" w:rsidRDefault="00471B9E" w:rsidP="00471B9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b/>
          <w:bCs/>
        </w:rPr>
      </w:pPr>
      <w:r w:rsidRPr="00445CF0">
        <w:rPr>
          <w:rFonts w:ascii="Arial" w:eastAsia="Times New Roman" w:hAnsi="Arial" w:cs="Arial"/>
        </w:rPr>
        <w:t xml:space="preserve">Prihodi </w:t>
      </w:r>
      <w:r w:rsidRPr="00445CF0">
        <w:rPr>
          <w:rFonts w:ascii="Arial" w:eastAsia="Times New Roman" w:hAnsi="Arial" w:cs="Arial"/>
          <w:b/>
          <w:bCs/>
        </w:rPr>
        <w:t>od novih na</w:t>
      </w:r>
      <w:r w:rsidR="00A8623C" w:rsidRPr="00445CF0">
        <w:rPr>
          <w:rFonts w:ascii="Arial" w:eastAsia="Times New Roman" w:hAnsi="Arial" w:cs="Arial"/>
          <w:b/>
          <w:bCs/>
        </w:rPr>
        <w:t>kn</w:t>
      </w:r>
      <w:r w:rsidRPr="00445CF0">
        <w:rPr>
          <w:rFonts w:ascii="Arial" w:eastAsia="Times New Roman" w:hAnsi="Arial" w:cs="Arial"/>
          <w:b/>
          <w:bCs/>
        </w:rPr>
        <w:t>ada za obavljanje prijevoza</w:t>
      </w:r>
      <w:r w:rsidRPr="00445CF0">
        <w:rPr>
          <w:rFonts w:ascii="Arial" w:eastAsia="Times New Roman" w:hAnsi="Arial" w:cs="Arial"/>
        </w:rPr>
        <w:t xml:space="preserve"> se iskazuju na računima prihoda po posebnim propisima (</w:t>
      </w:r>
      <w:r w:rsidRPr="00445CF0">
        <w:rPr>
          <w:rFonts w:ascii="Arial" w:eastAsia="Times New Roman" w:hAnsi="Arial" w:cs="Arial"/>
          <w:b/>
          <w:bCs/>
        </w:rPr>
        <w:t>6512)</w:t>
      </w:r>
      <w:r w:rsidR="00445CF0">
        <w:rPr>
          <w:rFonts w:ascii="Arial" w:eastAsia="Times New Roman" w:hAnsi="Arial" w:cs="Arial"/>
          <w:b/>
          <w:bCs/>
        </w:rPr>
        <w:t>.</w:t>
      </w:r>
    </w:p>
    <w:p w14:paraId="7FBCCF17" w14:textId="77777777" w:rsidR="00445CF0" w:rsidRPr="00774A8A" w:rsidRDefault="00445CF0" w:rsidP="00445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b/>
          <w:bCs/>
          <w:sz w:val="20"/>
          <w:szCs w:val="20"/>
        </w:rPr>
      </w:pPr>
    </w:p>
    <w:p w14:paraId="27F44CF3" w14:textId="660C908C" w:rsidR="00445CF0" w:rsidRPr="00774A8A" w:rsidRDefault="00445CF0" w:rsidP="00445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rPr>
      </w:pPr>
      <w:r w:rsidRPr="00774A8A">
        <w:rPr>
          <w:rFonts w:ascii="Arial" w:eastAsia="Times New Roman" w:hAnsi="Arial" w:cs="Arial"/>
          <w:sz w:val="16"/>
          <w:szCs w:val="16"/>
        </w:rPr>
        <w:t xml:space="preserve">U okviru prihoda (podskupina </w:t>
      </w:r>
      <w:r w:rsidRPr="00774A8A">
        <w:rPr>
          <w:rFonts w:ascii="Arial" w:eastAsia="Times New Roman" w:hAnsi="Arial" w:cs="Arial"/>
          <w:b/>
          <w:bCs/>
          <w:sz w:val="16"/>
          <w:szCs w:val="16"/>
        </w:rPr>
        <w:t>642</w:t>
      </w:r>
      <w:r w:rsidRPr="00774A8A">
        <w:rPr>
          <w:rFonts w:ascii="Arial" w:eastAsia="Times New Roman" w:hAnsi="Arial" w:cs="Arial"/>
          <w:sz w:val="16"/>
          <w:szCs w:val="16"/>
        </w:rPr>
        <w:t xml:space="preserve">), </w:t>
      </w:r>
      <w:r w:rsidRPr="00774A8A">
        <w:rPr>
          <w:rFonts w:ascii="Arial" w:eastAsia="Times New Roman" w:hAnsi="Arial" w:cs="Arial"/>
          <w:b/>
          <w:bCs/>
          <w:sz w:val="16"/>
          <w:szCs w:val="16"/>
          <w:u w:val="single"/>
        </w:rPr>
        <w:t>do konca 2017.</w:t>
      </w:r>
      <w:r w:rsidRPr="00774A8A">
        <w:rPr>
          <w:rFonts w:ascii="Arial" w:eastAsia="Times New Roman" w:hAnsi="Arial" w:cs="Arial"/>
          <w:sz w:val="16"/>
          <w:szCs w:val="16"/>
        </w:rPr>
        <w:t xml:space="preserve"> su bili značajni i </w:t>
      </w:r>
      <w:r w:rsidRPr="00774A8A">
        <w:rPr>
          <w:rFonts w:ascii="Arial" w:eastAsia="Times New Roman" w:hAnsi="Arial" w:cs="Arial"/>
          <w:b/>
          <w:i/>
          <w:sz w:val="16"/>
          <w:szCs w:val="16"/>
        </w:rPr>
        <w:t>prihodi od godišnjih naknada za autotaxi prijevoz</w:t>
      </w:r>
      <w:r w:rsidRPr="00774A8A">
        <w:rPr>
          <w:rFonts w:ascii="Arial" w:eastAsia="Times New Roman" w:hAnsi="Arial" w:cs="Arial"/>
          <w:sz w:val="16"/>
          <w:szCs w:val="16"/>
        </w:rPr>
        <w:t xml:space="preserve"> (raniji propisi) u iznosu (2017. godine 64.370,56 €), ali od 2018. godine ovih prihoda nema.</w:t>
      </w:r>
    </w:p>
    <w:p w14:paraId="1BE2C8E6" w14:textId="3B28AE80" w:rsidR="00445CF0" w:rsidRPr="00774A8A" w:rsidRDefault="00445CF0" w:rsidP="00471B9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b/>
          <w:bCs/>
          <w:sz w:val="16"/>
          <w:szCs w:val="16"/>
        </w:rPr>
      </w:pPr>
    </w:p>
    <w:p w14:paraId="714DFF7D" w14:textId="77777777" w:rsidR="00774A8A" w:rsidRPr="00774A8A" w:rsidRDefault="00774A8A" w:rsidP="00774A8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rPr>
      </w:pPr>
      <w:r w:rsidRPr="00774A8A">
        <w:rPr>
          <w:rFonts w:ascii="Arial" w:eastAsia="Times New Roman" w:hAnsi="Arial" w:cs="Arial"/>
          <w:sz w:val="16"/>
          <w:szCs w:val="16"/>
        </w:rPr>
        <w:t xml:space="preserve">Naknada za izdavanje dozvole za obavljanje autotaksi prijevoza na području Općine prema novim propisima (Zakon o prijevozu u cestovnom prometu NN 41/18 i Odluka Općinskog vijeća o visini naknade iz rujna 2018. (odluka objavljena u Službenom glasniku Općine Konavle broj 9/18) </w:t>
      </w:r>
      <w:r w:rsidRPr="00774A8A">
        <w:rPr>
          <w:rFonts w:ascii="Arial" w:eastAsia="Times New Roman" w:hAnsi="Arial" w:cs="Arial"/>
          <w:sz w:val="16"/>
          <w:szCs w:val="16"/>
          <w:u w:val="single"/>
        </w:rPr>
        <w:t>iznosi 66,36 € (500 kn) i vrijedi pet godina</w:t>
      </w:r>
      <w:r w:rsidRPr="00774A8A">
        <w:rPr>
          <w:rFonts w:ascii="Arial" w:eastAsia="Times New Roman" w:hAnsi="Arial" w:cs="Arial"/>
          <w:sz w:val="16"/>
          <w:szCs w:val="16"/>
        </w:rPr>
        <w:t xml:space="preserve">. Ova dozvola se izdaje za prijevoznika (isti može imati više vozila kojima obavlja prijevoz) i nije prenosiva, međutim nije moguće znati sa koliko vozila jedan prijevoznik obavlja autotaksi prijevoz na području Općine. </w:t>
      </w:r>
    </w:p>
    <w:p w14:paraId="584F64D5" w14:textId="77777777" w:rsidR="00774A8A" w:rsidRPr="00774A8A" w:rsidRDefault="00774A8A" w:rsidP="00774A8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6"/>
          <w:szCs w:val="16"/>
        </w:rPr>
      </w:pPr>
    </w:p>
    <w:p w14:paraId="1E803FFF" w14:textId="77777777" w:rsidR="00774A8A" w:rsidRPr="00774A8A" w:rsidRDefault="00774A8A" w:rsidP="00774A8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rPr>
      </w:pPr>
      <w:r w:rsidRPr="00774A8A">
        <w:rPr>
          <w:rFonts w:ascii="Arial" w:eastAsia="Times New Roman" w:hAnsi="Arial" w:cs="Arial"/>
          <w:sz w:val="16"/>
          <w:szCs w:val="16"/>
        </w:rPr>
        <w:t>Naknada za izdavanje dozvole naplaćuje se ovisno o najvećem broju vozila kojima se planira obavljati autotaksi prijevoz putnika, i to tako da se za jedno do dva vozila naplaćuje iznos kao za jednu dozvolu, za tri do deset vozila naplaćuje se iznos kao za šest dozvola, za 11 do 50 vozila naplaćuje se iznos kao za 30 dozvola, za 51 do 100 vozila naplaćuje se iznos kao za 70 dozvola, a za više od 100 vozila naplaćuje se iznos kao za 100 dozvola.</w:t>
      </w:r>
    </w:p>
    <w:p w14:paraId="2F694D39" w14:textId="77777777" w:rsidR="00774A8A" w:rsidRPr="00774A8A" w:rsidRDefault="00774A8A" w:rsidP="00774A8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rPr>
      </w:pPr>
    </w:p>
    <w:p w14:paraId="62D997D7" w14:textId="405B4CE9" w:rsidR="00445CF0" w:rsidRPr="00774A8A" w:rsidRDefault="00445CF0" w:rsidP="00445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rPr>
      </w:pPr>
      <w:r w:rsidRPr="00774A8A">
        <w:rPr>
          <w:rFonts w:ascii="Arial" w:eastAsia="Times New Roman" w:hAnsi="Arial" w:cs="Arial"/>
          <w:b/>
          <w:bCs/>
          <w:sz w:val="16"/>
          <w:szCs w:val="16"/>
        </w:rPr>
        <w:t xml:space="preserve">Prihodi od novih naknada za obavljanje prijevoza, </w:t>
      </w:r>
      <w:r w:rsidR="00471B9E" w:rsidRPr="00774A8A">
        <w:rPr>
          <w:rFonts w:ascii="Arial" w:eastAsia="Times New Roman" w:hAnsi="Arial" w:cs="Arial"/>
          <w:sz w:val="16"/>
          <w:szCs w:val="16"/>
        </w:rPr>
        <w:t>za usporedbu: prihodi od na</w:t>
      </w:r>
      <w:r w:rsidR="00A8623C" w:rsidRPr="00774A8A">
        <w:rPr>
          <w:rFonts w:ascii="Arial" w:eastAsia="Times New Roman" w:hAnsi="Arial" w:cs="Arial"/>
          <w:sz w:val="16"/>
          <w:szCs w:val="16"/>
        </w:rPr>
        <w:t>kn</w:t>
      </w:r>
      <w:r w:rsidR="00471B9E" w:rsidRPr="00774A8A">
        <w:rPr>
          <w:rFonts w:ascii="Arial" w:eastAsia="Times New Roman" w:hAnsi="Arial" w:cs="Arial"/>
          <w:sz w:val="16"/>
          <w:szCs w:val="16"/>
        </w:rPr>
        <w:t xml:space="preserve">ade u 2019. ostvareni u iznosu </w:t>
      </w:r>
      <w:r w:rsidR="0065429F" w:rsidRPr="00774A8A">
        <w:rPr>
          <w:rFonts w:ascii="Arial" w:eastAsia="Times New Roman" w:hAnsi="Arial" w:cs="Arial"/>
          <w:sz w:val="16"/>
          <w:szCs w:val="16"/>
        </w:rPr>
        <w:t>9.455,17 €</w:t>
      </w:r>
      <w:r w:rsidR="00774A8A" w:rsidRPr="00774A8A">
        <w:rPr>
          <w:rFonts w:ascii="Arial" w:eastAsia="Times New Roman" w:hAnsi="Arial" w:cs="Arial"/>
          <w:sz w:val="16"/>
          <w:szCs w:val="16"/>
        </w:rPr>
        <w:t xml:space="preserve"> (142 dozvole)</w:t>
      </w:r>
      <w:r w:rsidR="00032C7B" w:rsidRPr="00774A8A">
        <w:rPr>
          <w:rFonts w:ascii="Arial" w:eastAsia="Times New Roman" w:hAnsi="Arial" w:cs="Arial"/>
          <w:sz w:val="16"/>
          <w:szCs w:val="16"/>
        </w:rPr>
        <w:t xml:space="preserve">, u 2020. ostvareni </w:t>
      </w:r>
      <w:r w:rsidR="0065429F" w:rsidRPr="00774A8A">
        <w:rPr>
          <w:rFonts w:ascii="Arial" w:eastAsia="Times New Roman" w:hAnsi="Arial" w:cs="Arial"/>
          <w:sz w:val="16"/>
          <w:szCs w:val="16"/>
        </w:rPr>
        <w:t>2.455,37 €</w:t>
      </w:r>
      <w:r w:rsidR="00774A8A" w:rsidRPr="00774A8A">
        <w:rPr>
          <w:rFonts w:ascii="Arial" w:eastAsia="Times New Roman" w:hAnsi="Arial" w:cs="Arial"/>
          <w:sz w:val="16"/>
          <w:szCs w:val="16"/>
        </w:rPr>
        <w:t xml:space="preserve"> (37 dozvola)</w:t>
      </w:r>
      <w:r w:rsidR="004A29A1" w:rsidRPr="00774A8A">
        <w:rPr>
          <w:rFonts w:ascii="Arial" w:eastAsia="Times New Roman" w:hAnsi="Arial" w:cs="Arial"/>
          <w:sz w:val="16"/>
          <w:szCs w:val="16"/>
        </w:rPr>
        <w:t xml:space="preserve">, u 2022. </w:t>
      </w:r>
      <w:r w:rsidR="0065429F" w:rsidRPr="00774A8A">
        <w:rPr>
          <w:rFonts w:ascii="Arial" w:eastAsia="Times New Roman" w:hAnsi="Arial" w:cs="Arial"/>
          <w:sz w:val="16"/>
          <w:szCs w:val="16"/>
        </w:rPr>
        <w:t>u iznosu 6.437,06 €</w:t>
      </w:r>
      <w:r w:rsidR="00774A8A" w:rsidRPr="00774A8A">
        <w:rPr>
          <w:rFonts w:ascii="Arial" w:eastAsia="Times New Roman" w:hAnsi="Arial" w:cs="Arial"/>
          <w:sz w:val="16"/>
          <w:szCs w:val="16"/>
        </w:rPr>
        <w:t xml:space="preserve"> (97 dozvola)</w:t>
      </w:r>
      <w:r w:rsidR="0065429F" w:rsidRPr="00774A8A">
        <w:rPr>
          <w:rFonts w:ascii="Arial" w:eastAsia="Times New Roman" w:hAnsi="Arial" w:cs="Arial"/>
          <w:sz w:val="16"/>
          <w:szCs w:val="16"/>
        </w:rPr>
        <w:t xml:space="preserve">, u 2023. u iznosu </w:t>
      </w:r>
      <w:r w:rsidR="000B325D" w:rsidRPr="00774A8A">
        <w:rPr>
          <w:rFonts w:ascii="Arial" w:eastAsia="Times New Roman" w:hAnsi="Arial" w:cs="Arial"/>
          <w:sz w:val="16"/>
          <w:szCs w:val="16"/>
        </w:rPr>
        <w:t>15.329,16</w:t>
      </w:r>
      <w:r w:rsidR="00481FB7" w:rsidRPr="00774A8A">
        <w:rPr>
          <w:rFonts w:ascii="Arial" w:eastAsia="Times New Roman" w:hAnsi="Arial" w:cs="Arial"/>
          <w:sz w:val="16"/>
          <w:szCs w:val="16"/>
        </w:rPr>
        <w:t xml:space="preserve"> €</w:t>
      </w:r>
      <w:r w:rsidR="00774A8A" w:rsidRPr="00774A8A">
        <w:rPr>
          <w:rFonts w:ascii="Arial" w:eastAsia="Times New Roman" w:hAnsi="Arial" w:cs="Arial"/>
          <w:sz w:val="16"/>
          <w:szCs w:val="16"/>
        </w:rPr>
        <w:t xml:space="preserve"> (231 dozvola)</w:t>
      </w:r>
      <w:r w:rsidR="008A443E" w:rsidRPr="00774A8A">
        <w:rPr>
          <w:rFonts w:ascii="Arial" w:eastAsia="Times New Roman" w:hAnsi="Arial" w:cs="Arial"/>
          <w:sz w:val="16"/>
          <w:szCs w:val="16"/>
        </w:rPr>
        <w:t xml:space="preserve">, </w:t>
      </w:r>
      <w:r w:rsidRPr="00774A8A">
        <w:rPr>
          <w:rFonts w:ascii="Arial" w:eastAsia="Times New Roman" w:hAnsi="Arial" w:cs="Arial"/>
          <w:sz w:val="16"/>
          <w:szCs w:val="16"/>
        </w:rPr>
        <w:t>u</w:t>
      </w:r>
      <w:r w:rsidR="008A443E" w:rsidRPr="00774A8A">
        <w:rPr>
          <w:rFonts w:ascii="Arial" w:eastAsia="Times New Roman" w:hAnsi="Arial" w:cs="Arial"/>
          <w:sz w:val="16"/>
          <w:szCs w:val="16"/>
        </w:rPr>
        <w:t xml:space="preserve"> 2024. godin</w:t>
      </w:r>
      <w:r w:rsidRPr="00774A8A">
        <w:rPr>
          <w:rFonts w:ascii="Arial" w:eastAsia="Times New Roman" w:hAnsi="Arial" w:cs="Arial"/>
          <w:sz w:val="16"/>
          <w:szCs w:val="16"/>
        </w:rPr>
        <w:t>i 18.580,80 €</w:t>
      </w:r>
      <w:r w:rsidR="00774A8A" w:rsidRPr="00774A8A">
        <w:rPr>
          <w:rFonts w:ascii="Arial" w:eastAsia="Times New Roman" w:hAnsi="Arial" w:cs="Arial"/>
          <w:sz w:val="16"/>
          <w:szCs w:val="16"/>
        </w:rPr>
        <w:t xml:space="preserve"> (280 dozvola)</w:t>
      </w:r>
      <w:r w:rsidRPr="00774A8A">
        <w:rPr>
          <w:rFonts w:ascii="Arial" w:eastAsia="Times New Roman" w:hAnsi="Arial" w:cs="Arial"/>
          <w:sz w:val="16"/>
          <w:szCs w:val="16"/>
        </w:rPr>
        <w:t>, a u 2025. godini 21.699,69 €</w:t>
      </w:r>
      <w:r w:rsidR="00774A8A" w:rsidRPr="00774A8A">
        <w:rPr>
          <w:rFonts w:ascii="Arial" w:eastAsia="Times New Roman" w:hAnsi="Arial" w:cs="Arial"/>
          <w:sz w:val="16"/>
          <w:szCs w:val="16"/>
        </w:rPr>
        <w:t xml:space="preserve"> (327 dozvola)</w:t>
      </w:r>
      <w:r w:rsidRPr="00774A8A">
        <w:rPr>
          <w:rFonts w:ascii="Arial" w:eastAsia="Times New Roman" w:hAnsi="Arial" w:cs="Arial"/>
          <w:sz w:val="16"/>
          <w:szCs w:val="16"/>
        </w:rPr>
        <w:t>.</w:t>
      </w:r>
    </w:p>
    <w:p w14:paraId="1AAA1510" w14:textId="77777777" w:rsidR="00445CF0" w:rsidRPr="00774A8A" w:rsidRDefault="00445CF0" w:rsidP="00445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rPr>
      </w:pPr>
    </w:p>
    <w:p w14:paraId="43CF4B54" w14:textId="68C652B0" w:rsidR="00471B9E" w:rsidRPr="003A2F86" w:rsidRDefault="00943155" w:rsidP="00FB23D8">
      <w:pPr>
        <w:spacing w:after="0" w:line="240" w:lineRule="auto"/>
        <w:jc w:val="both"/>
        <w:rPr>
          <w:rFonts w:ascii="Arial" w:eastAsia="Times New Roman" w:hAnsi="Arial" w:cs="Arial"/>
        </w:rPr>
      </w:pPr>
      <w:r w:rsidRPr="003A2F86">
        <w:rPr>
          <w:rFonts w:ascii="Arial" w:eastAsia="Times New Roman" w:hAnsi="Arial" w:cs="Arial"/>
        </w:rPr>
        <w:t xml:space="preserve">U nastavku </w:t>
      </w:r>
      <w:r w:rsidR="0017752A" w:rsidRPr="003A2F86">
        <w:rPr>
          <w:rFonts w:ascii="Arial" w:eastAsia="Times New Roman" w:hAnsi="Arial" w:cs="Arial"/>
        </w:rPr>
        <w:t xml:space="preserve">se </w:t>
      </w:r>
      <w:r w:rsidRPr="003A2F86">
        <w:rPr>
          <w:rFonts w:ascii="Arial" w:eastAsia="Times New Roman" w:hAnsi="Arial" w:cs="Arial"/>
        </w:rPr>
        <w:t xml:space="preserve">daje usporedni prikaz ostvarenih prihoda od nefinancijske imovine </w:t>
      </w:r>
      <w:r w:rsidR="0017752A" w:rsidRPr="003A2F86">
        <w:rPr>
          <w:rFonts w:ascii="Arial" w:eastAsia="Times New Roman" w:hAnsi="Arial" w:cs="Arial"/>
        </w:rPr>
        <w:t xml:space="preserve">(642) </w:t>
      </w:r>
      <w:r w:rsidRPr="003A2F86">
        <w:rPr>
          <w:rFonts w:ascii="Arial" w:eastAsia="Times New Roman" w:hAnsi="Arial" w:cs="Arial"/>
        </w:rPr>
        <w:t>u razdoblju 2017-20</w:t>
      </w:r>
      <w:r w:rsidR="00635C77" w:rsidRPr="003A2F86">
        <w:rPr>
          <w:rFonts w:ascii="Arial" w:eastAsia="Times New Roman" w:hAnsi="Arial" w:cs="Arial"/>
        </w:rPr>
        <w:t>2</w:t>
      </w:r>
      <w:r w:rsidR="00774A8A">
        <w:rPr>
          <w:rFonts w:ascii="Arial" w:eastAsia="Times New Roman" w:hAnsi="Arial" w:cs="Arial"/>
        </w:rPr>
        <w:t>5</w:t>
      </w:r>
      <w:r w:rsidRPr="003A2F86">
        <w:rPr>
          <w:rFonts w:ascii="Arial" w:eastAsia="Times New Roman" w:hAnsi="Arial" w:cs="Arial"/>
        </w:rPr>
        <w:t>.</w:t>
      </w:r>
    </w:p>
    <w:p w14:paraId="73447C54" w14:textId="77777777" w:rsidR="00A87A78" w:rsidRPr="00EE5F8F" w:rsidRDefault="00A87A78" w:rsidP="00E428E7">
      <w:pPr>
        <w:spacing w:after="0" w:line="240" w:lineRule="auto"/>
        <w:jc w:val="both"/>
        <w:rPr>
          <w:rFonts w:ascii="Arial" w:eastAsia="Times New Roman" w:hAnsi="Arial" w:cs="Arial"/>
          <w:i/>
          <w:iCs/>
          <w:sz w:val="14"/>
          <w:szCs w:val="14"/>
        </w:rPr>
      </w:pPr>
    </w:p>
    <w:p w14:paraId="1F9B404B" w14:textId="209E4832" w:rsidR="00E428E7" w:rsidRPr="003A2F86" w:rsidRDefault="00943155" w:rsidP="00E428E7">
      <w:pPr>
        <w:spacing w:after="0" w:line="240" w:lineRule="auto"/>
        <w:jc w:val="both"/>
        <w:rPr>
          <w:rFonts w:ascii="Arial" w:eastAsia="Times New Roman" w:hAnsi="Arial" w:cs="Arial"/>
          <w:i/>
          <w:iCs/>
          <w:sz w:val="20"/>
          <w:szCs w:val="20"/>
        </w:rPr>
      </w:pPr>
      <w:r w:rsidRPr="003A2F86">
        <w:rPr>
          <w:rFonts w:ascii="Arial" w:eastAsia="Times New Roman" w:hAnsi="Arial" w:cs="Arial"/>
          <w:i/>
          <w:iCs/>
          <w:sz w:val="20"/>
          <w:szCs w:val="20"/>
        </w:rPr>
        <w:t>*Usporedba:</w:t>
      </w:r>
    </w:p>
    <w:tbl>
      <w:tblPr>
        <w:tblW w:w="14742" w:type="dxa"/>
        <w:tblInd w:w="-10" w:type="dxa"/>
        <w:tblLayout w:type="fixed"/>
        <w:tblLook w:val="04A0" w:firstRow="1" w:lastRow="0" w:firstColumn="1" w:lastColumn="0" w:noHBand="0" w:noVBand="1"/>
      </w:tblPr>
      <w:tblGrid>
        <w:gridCol w:w="14742"/>
      </w:tblGrid>
      <w:tr w:rsidR="00475EC4" w:rsidRPr="003A2F86" w14:paraId="3C3425F1" w14:textId="77777777" w:rsidTr="007D3662">
        <w:trPr>
          <w:trHeight w:val="304"/>
        </w:trPr>
        <w:tc>
          <w:tcPr>
            <w:tcW w:w="14742" w:type="dxa"/>
            <w:tcBorders>
              <w:top w:val="single" w:sz="8" w:space="0" w:color="auto"/>
              <w:left w:val="single" w:sz="8" w:space="0" w:color="auto"/>
              <w:bottom w:val="single" w:sz="8" w:space="0" w:color="000000"/>
              <w:right w:val="single" w:sz="8" w:space="0" w:color="auto"/>
            </w:tcBorders>
            <w:vAlign w:val="center"/>
            <w:hideMark/>
          </w:tcPr>
          <w:p w14:paraId="2DAC0B24" w14:textId="77777777" w:rsidR="00475EC4" w:rsidRPr="003A2F86" w:rsidRDefault="00475EC4" w:rsidP="00B223BA">
            <w:pPr>
              <w:spacing w:after="0" w:line="240" w:lineRule="auto"/>
              <w:jc w:val="center"/>
              <w:rPr>
                <w:rFonts w:ascii="Arial" w:eastAsia="Times New Roman" w:hAnsi="Arial" w:cs="Arial"/>
                <w:b/>
                <w:bCs/>
                <w:i/>
                <w:iCs/>
                <w:sz w:val="18"/>
                <w:szCs w:val="18"/>
              </w:rPr>
            </w:pPr>
            <w:r w:rsidRPr="003A2F86">
              <w:rPr>
                <w:rFonts w:ascii="Arial" w:eastAsia="Times New Roman" w:hAnsi="Arial" w:cs="Arial"/>
                <w:b/>
                <w:bCs/>
                <w:i/>
                <w:iCs/>
                <w:sz w:val="18"/>
                <w:szCs w:val="18"/>
              </w:rPr>
              <w:t>Prihod od nefinancijske imovine (</w:t>
            </w:r>
            <w:r w:rsidRPr="003A2F86">
              <w:rPr>
                <w:rFonts w:ascii="Arial" w:eastAsia="Times New Roman" w:hAnsi="Arial" w:cs="Arial"/>
                <w:b/>
                <w:bCs/>
                <w:i/>
                <w:iCs/>
                <w:color w:val="FF0000"/>
                <w:sz w:val="18"/>
                <w:szCs w:val="18"/>
              </w:rPr>
              <w:t>642</w:t>
            </w:r>
            <w:r w:rsidRPr="003A2F86">
              <w:rPr>
                <w:rFonts w:ascii="Arial" w:eastAsia="Times New Roman" w:hAnsi="Arial" w:cs="Arial"/>
                <w:b/>
                <w:bCs/>
                <w:i/>
                <w:iCs/>
                <w:sz w:val="18"/>
                <w:szCs w:val="18"/>
              </w:rPr>
              <w:t>)</w:t>
            </w:r>
          </w:p>
        </w:tc>
      </w:tr>
    </w:tbl>
    <w:p w14:paraId="04C4C3E4" w14:textId="77777777" w:rsidR="00475EC4" w:rsidRPr="003A2F86" w:rsidRDefault="00475EC4" w:rsidP="00E428E7">
      <w:pPr>
        <w:spacing w:after="0" w:line="240" w:lineRule="auto"/>
        <w:jc w:val="both"/>
        <w:rPr>
          <w:rFonts w:ascii="Arial" w:eastAsia="Times New Roman" w:hAnsi="Arial" w:cs="Arial"/>
          <w:i/>
          <w:iCs/>
          <w:sz w:val="6"/>
          <w:szCs w:val="6"/>
        </w:rPr>
      </w:pPr>
    </w:p>
    <w:p w14:paraId="56E1CE40" w14:textId="77777777" w:rsidR="00475EC4" w:rsidRPr="007D3662" w:rsidRDefault="00475EC4" w:rsidP="00E428E7">
      <w:pPr>
        <w:spacing w:after="0" w:line="240" w:lineRule="auto"/>
        <w:jc w:val="both"/>
        <w:rPr>
          <w:rFonts w:ascii="Arial" w:eastAsia="Times New Roman" w:hAnsi="Arial" w:cs="Arial"/>
          <w:i/>
          <w:iCs/>
          <w:sz w:val="10"/>
          <w:szCs w:val="10"/>
        </w:rPr>
      </w:pPr>
    </w:p>
    <w:tbl>
      <w:tblPr>
        <w:tblW w:w="14742" w:type="dxa"/>
        <w:tblInd w:w="-10" w:type="dxa"/>
        <w:tblCellMar>
          <w:top w:w="28" w:type="dxa"/>
          <w:left w:w="28" w:type="dxa"/>
          <w:bottom w:w="28" w:type="dxa"/>
          <w:right w:w="28" w:type="dxa"/>
        </w:tblCellMar>
        <w:tblLook w:val="04A0" w:firstRow="1" w:lastRow="0" w:firstColumn="1" w:lastColumn="0" w:noHBand="0" w:noVBand="1"/>
      </w:tblPr>
      <w:tblGrid>
        <w:gridCol w:w="9"/>
        <w:gridCol w:w="1257"/>
        <w:gridCol w:w="8"/>
        <w:gridCol w:w="1128"/>
        <w:gridCol w:w="6"/>
        <w:gridCol w:w="1134"/>
        <w:gridCol w:w="1136"/>
        <w:gridCol w:w="1134"/>
        <w:gridCol w:w="1134"/>
        <w:gridCol w:w="1276"/>
        <w:gridCol w:w="1134"/>
        <w:gridCol w:w="1134"/>
        <w:gridCol w:w="1134"/>
        <w:gridCol w:w="3118"/>
      </w:tblGrid>
      <w:tr w:rsidR="000F632C" w:rsidRPr="000F632C" w14:paraId="02BA53C7" w14:textId="77777777" w:rsidTr="0083333C">
        <w:trPr>
          <w:gridBefore w:val="1"/>
          <w:wBefore w:w="10" w:type="dxa"/>
          <w:trHeight w:val="450"/>
        </w:trPr>
        <w:tc>
          <w:tcPr>
            <w:tcW w:w="1266" w:type="dxa"/>
            <w:gridSpan w:val="2"/>
            <w:tcBorders>
              <w:top w:val="single" w:sz="4" w:space="0" w:color="auto"/>
              <w:left w:val="single" w:sz="8" w:space="0" w:color="auto"/>
              <w:bottom w:val="single" w:sz="8" w:space="0" w:color="auto"/>
              <w:right w:val="single" w:sz="8" w:space="0" w:color="000000"/>
            </w:tcBorders>
            <w:vAlign w:val="center"/>
            <w:hideMark/>
          </w:tcPr>
          <w:p w14:paraId="707A1068" w14:textId="77777777" w:rsidR="000F632C" w:rsidRPr="000F632C" w:rsidRDefault="000F632C" w:rsidP="000F632C">
            <w:pPr>
              <w:spacing w:after="0" w:line="240" w:lineRule="auto"/>
              <w:rPr>
                <w:rFonts w:ascii="Arial" w:eastAsia="Times New Roman" w:hAnsi="Arial" w:cs="Arial"/>
                <w:b/>
                <w:bCs/>
                <w:i/>
                <w:iCs/>
                <w:sz w:val="20"/>
                <w:szCs w:val="20"/>
              </w:rPr>
            </w:pPr>
            <w:bookmarkStart w:id="118" w:name="_Hlk206887671"/>
            <w:r w:rsidRPr="000F632C">
              <w:rPr>
                <w:rFonts w:ascii="Arial" w:eastAsia="Times New Roman" w:hAnsi="Arial" w:cs="Arial"/>
                <w:b/>
                <w:bCs/>
                <w:i/>
                <w:iCs/>
                <w:sz w:val="20"/>
                <w:szCs w:val="20"/>
              </w:rPr>
              <w:t>Vrsta prihoda</w:t>
            </w:r>
          </w:p>
        </w:tc>
        <w:tc>
          <w:tcPr>
            <w:tcW w:w="1134" w:type="dxa"/>
            <w:gridSpan w:val="2"/>
            <w:tcBorders>
              <w:top w:val="single" w:sz="4" w:space="0" w:color="auto"/>
              <w:left w:val="nil"/>
              <w:bottom w:val="single" w:sz="8" w:space="0" w:color="auto"/>
              <w:right w:val="single" w:sz="8" w:space="0" w:color="000000"/>
            </w:tcBorders>
            <w:vAlign w:val="center"/>
            <w:hideMark/>
          </w:tcPr>
          <w:p w14:paraId="15D4568E" w14:textId="77777777" w:rsidR="000F632C" w:rsidRPr="000F632C" w:rsidRDefault="000F632C" w:rsidP="000F632C">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2017.g. (€)</w:t>
            </w:r>
          </w:p>
        </w:tc>
        <w:tc>
          <w:tcPr>
            <w:tcW w:w="1134" w:type="dxa"/>
            <w:tcBorders>
              <w:top w:val="single" w:sz="4" w:space="0" w:color="auto"/>
              <w:left w:val="nil"/>
              <w:bottom w:val="single" w:sz="8" w:space="0" w:color="auto"/>
              <w:right w:val="single" w:sz="8" w:space="0" w:color="000000"/>
            </w:tcBorders>
            <w:vAlign w:val="center"/>
            <w:hideMark/>
          </w:tcPr>
          <w:p w14:paraId="0E0937DE" w14:textId="77777777" w:rsidR="000F632C" w:rsidRPr="000F632C" w:rsidRDefault="000F632C" w:rsidP="000F632C">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2018.g. (€)</w:t>
            </w:r>
          </w:p>
        </w:tc>
        <w:tc>
          <w:tcPr>
            <w:tcW w:w="1134" w:type="dxa"/>
            <w:tcBorders>
              <w:top w:val="single" w:sz="4" w:space="0" w:color="auto"/>
              <w:left w:val="nil"/>
              <w:bottom w:val="single" w:sz="8" w:space="0" w:color="auto"/>
              <w:right w:val="single" w:sz="8" w:space="0" w:color="000000"/>
            </w:tcBorders>
            <w:vAlign w:val="center"/>
            <w:hideMark/>
          </w:tcPr>
          <w:p w14:paraId="12B0EE8F" w14:textId="77777777" w:rsidR="000F632C" w:rsidRPr="000F632C" w:rsidRDefault="000F632C" w:rsidP="000F632C">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2019.g. (€)</w:t>
            </w:r>
          </w:p>
        </w:tc>
        <w:tc>
          <w:tcPr>
            <w:tcW w:w="1134" w:type="dxa"/>
            <w:tcBorders>
              <w:top w:val="single" w:sz="4" w:space="0" w:color="auto"/>
              <w:left w:val="nil"/>
              <w:bottom w:val="single" w:sz="8" w:space="0" w:color="auto"/>
              <w:right w:val="single" w:sz="8" w:space="0" w:color="000000"/>
            </w:tcBorders>
            <w:vAlign w:val="center"/>
            <w:hideMark/>
          </w:tcPr>
          <w:p w14:paraId="28BC8C30" w14:textId="77777777" w:rsidR="000F632C" w:rsidRPr="000F632C" w:rsidRDefault="000F632C" w:rsidP="000F632C">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2020.g. (€)</w:t>
            </w:r>
          </w:p>
        </w:tc>
        <w:tc>
          <w:tcPr>
            <w:tcW w:w="1134" w:type="dxa"/>
            <w:tcBorders>
              <w:top w:val="single" w:sz="4" w:space="0" w:color="auto"/>
              <w:left w:val="nil"/>
              <w:bottom w:val="single" w:sz="8" w:space="0" w:color="auto"/>
              <w:right w:val="single" w:sz="8" w:space="0" w:color="000000"/>
            </w:tcBorders>
            <w:vAlign w:val="center"/>
            <w:hideMark/>
          </w:tcPr>
          <w:p w14:paraId="645AD5AB" w14:textId="77777777" w:rsidR="000F632C" w:rsidRPr="000F632C" w:rsidRDefault="000F632C" w:rsidP="000F632C">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2021.g. (€)</w:t>
            </w:r>
          </w:p>
        </w:tc>
        <w:tc>
          <w:tcPr>
            <w:tcW w:w="1276" w:type="dxa"/>
            <w:tcBorders>
              <w:top w:val="single" w:sz="4" w:space="0" w:color="auto"/>
              <w:left w:val="nil"/>
              <w:bottom w:val="single" w:sz="8" w:space="0" w:color="auto"/>
              <w:right w:val="single" w:sz="8" w:space="0" w:color="auto"/>
            </w:tcBorders>
            <w:vAlign w:val="center"/>
            <w:hideMark/>
          </w:tcPr>
          <w:p w14:paraId="0BC3DEDC" w14:textId="77777777" w:rsidR="000F632C" w:rsidRPr="000F632C" w:rsidRDefault="000F632C" w:rsidP="000F632C">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/2022.g. (€)</w:t>
            </w:r>
          </w:p>
        </w:tc>
        <w:tc>
          <w:tcPr>
            <w:tcW w:w="1134" w:type="dxa"/>
            <w:tcBorders>
              <w:top w:val="single" w:sz="4" w:space="0" w:color="auto"/>
              <w:left w:val="nil"/>
              <w:bottom w:val="single" w:sz="8" w:space="0" w:color="auto"/>
              <w:right w:val="single" w:sz="8" w:space="0" w:color="auto"/>
            </w:tcBorders>
            <w:vAlign w:val="center"/>
            <w:hideMark/>
          </w:tcPr>
          <w:p w14:paraId="74495A50" w14:textId="77777777" w:rsidR="000F632C" w:rsidRPr="000F632C" w:rsidRDefault="000F632C" w:rsidP="000F632C">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2023.g. (€)</w:t>
            </w:r>
          </w:p>
        </w:tc>
        <w:tc>
          <w:tcPr>
            <w:tcW w:w="1134" w:type="dxa"/>
            <w:tcBorders>
              <w:top w:val="single" w:sz="4" w:space="0" w:color="auto"/>
              <w:left w:val="nil"/>
              <w:bottom w:val="single" w:sz="8" w:space="0" w:color="auto"/>
              <w:right w:val="single" w:sz="8" w:space="0" w:color="auto"/>
            </w:tcBorders>
            <w:vAlign w:val="center"/>
            <w:hideMark/>
          </w:tcPr>
          <w:p w14:paraId="3D1A9856" w14:textId="77777777" w:rsidR="000F632C" w:rsidRPr="000F632C" w:rsidRDefault="000F632C" w:rsidP="000F632C">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2024.g. (€)</w:t>
            </w:r>
          </w:p>
        </w:tc>
        <w:tc>
          <w:tcPr>
            <w:tcW w:w="1134" w:type="dxa"/>
            <w:tcBorders>
              <w:top w:val="single" w:sz="4" w:space="0" w:color="auto"/>
              <w:left w:val="nil"/>
              <w:bottom w:val="single" w:sz="8" w:space="0" w:color="auto"/>
              <w:right w:val="single" w:sz="8" w:space="0" w:color="auto"/>
            </w:tcBorders>
            <w:vAlign w:val="center"/>
            <w:hideMark/>
          </w:tcPr>
          <w:p w14:paraId="4052FD06" w14:textId="1B5F0E45" w:rsidR="000F632C" w:rsidRPr="000F632C" w:rsidRDefault="000F632C" w:rsidP="000F632C">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2025.g. (€)</w:t>
            </w:r>
          </w:p>
        </w:tc>
        <w:tc>
          <w:tcPr>
            <w:tcW w:w="3118" w:type="dxa"/>
            <w:tcBorders>
              <w:top w:val="single" w:sz="4" w:space="0" w:color="auto"/>
              <w:left w:val="nil"/>
              <w:bottom w:val="single" w:sz="8" w:space="0" w:color="auto"/>
              <w:right w:val="single" w:sz="8" w:space="0" w:color="auto"/>
            </w:tcBorders>
            <w:vAlign w:val="center"/>
            <w:hideMark/>
          </w:tcPr>
          <w:p w14:paraId="4AC1AA98" w14:textId="0B7B34DE" w:rsidR="000F632C" w:rsidRPr="000F632C" w:rsidRDefault="000F632C" w:rsidP="000F632C">
            <w:pPr>
              <w:spacing w:after="0" w:line="240" w:lineRule="auto"/>
              <w:jc w:val="center"/>
              <w:rPr>
                <w:rFonts w:ascii="Arial" w:eastAsia="Times New Roman" w:hAnsi="Arial" w:cs="Arial"/>
                <w:b/>
                <w:bCs/>
                <w:i/>
                <w:iCs/>
                <w:sz w:val="20"/>
                <w:szCs w:val="20"/>
              </w:rPr>
            </w:pPr>
            <w:r w:rsidRPr="000F632C">
              <w:rPr>
                <w:rFonts w:ascii="Arial" w:eastAsia="Times New Roman" w:hAnsi="Arial" w:cs="Arial"/>
                <w:b/>
                <w:bCs/>
                <w:i/>
                <w:iCs/>
                <w:sz w:val="20"/>
                <w:szCs w:val="20"/>
              </w:rPr>
              <w:t>Obrazloženje za prihode u razdoblju 202</w:t>
            </w:r>
            <w:r w:rsidR="007D3662">
              <w:rPr>
                <w:rFonts w:ascii="Arial" w:eastAsia="Times New Roman" w:hAnsi="Arial" w:cs="Arial"/>
                <w:b/>
                <w:bCs/>
                <w:i/>
                <w:iCs/>
                <w:sz w:val="20"/>
                <w:szCs w:val="20"/>
              </w:rPr>
              <w:t>5</w:t>
            </w:r>
            <w:r w:rsidRPr="000F632C">
              <w:rPr>
                <w:rFonts w:ascii="Arial" w:eastAsia="Times New Roman" w:hAnsi="Arial" w:cs="Arial"/>
                <w:b/>
                <w:bCs/>
                <w:i/>
                <w:iCs/>
                <w:sz w:val="20"/>
                <w:szCs w:val="20"/>
              </w:rPr>
              <w:t>.</w:t>
            </w:r>
          </w:p>
        </w:tc>
      </w:tr>
      <w:bookmarkEnd w:id="118"/>
      <w:tr w:rsidR="00EE5F8F" w:rsidRPr="000F632C" w14:paraId="5DF38C4F" w14:textId="77777777" w:rsidTr="0083333C">
        <w:trPr>
          <w:gridBefore w:val="1"/>
          <w:wBefore w:w="10" w:type="dxa"/>
          <w:trHeight w:val="1020"/>
        </w:trPr>
        <w:tc>
          <w:tcPr>
            <w:tcW w:w="1266" w:type="dxa"/>
            <w:gridSpan w:val="2"/>
            <w:tcBorders>
              <w:top w:val="nil"/>
              <w:left w:val="single" w:sz="4" w:space="0" w:color="auto"/>
              <w:bottom w:val="single" w:sz="4" w:space="0" w:color="auto"/>
              <w:right w:val="single" w:sz="4" w:space="0" w:color="auto"/>
            </w:tcBorders>
            <w:vAlign w:val="center"/>
            <w:hideMark/>
          </w:tcPr>
          <w:p w14:paraId="412CA281" w14:textId="77777777" w:rsidR="00EE5F8F" w:rsidRPr="000F632C" w:rsidRDefault="00EE5F8F" w:rsidP="00EE5F8F">
            <w:pPr>
              <w:spacing w:after="0" w:line="240" w:lineRule="auto"/>
              <w:rPr>
                <w:rFonts w:ascii="Arial" w:eastAsia="Times New Roman" w:hAnsi="Arial" w:cs="Arial"/>
                <w:sz w:val="16"/>
                <w:szCs w:val="16"/>
              </w:rPr>
            </w:pPr>
            <w:r w:rsidRPr="000F632C">
              <w:rPr>
                <w:rFonts w:ascii="Arial" w:eastAsia="Times New Roman" w:hAnsi="Arial" w:cs="Arial"/>
                <w:sz w:val="16"/>
                <w:szCs w:val="16"/>
              </w:rPr>
              <w:t>naknada za umanjenu upotrebnu vrijednost zemljišta</w:t>
            </w:r>
          </w:p>
        </w:tc>
        <w:tc>
          <w:tcPr>
            <w:tcW w:w="1134" w:type="dxa"/>
            <w:gridSpan w:val="2"/>
            <w:tcBorders>
              <w:top w:val="nil"/>
              <w:left w:val="single" w:sz="4" w:space="0" w:color="auto"/>
              <w:bottom w:val="single" w:sz="4" w:space="0" w:color="auto"/>
              <w:right w:val="single" w:sz="4" w:space="0" w:color="auto"/>
            </w:tcBorders>
            <w:vAlign w:val="center"/>
            <w:hideMark/>
          </w:tcPr>
          <w:p w14:paraId="686304F5" w14:textId="123C6A94"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272.642,97</w:t>
            </w:r>
          </w:p>
        </w:tc>
        <w:tc>
          <w:tcPr>
            <w:tcW w:w="1134" w:type="dxa"/>
            <w:tcBorders>
              <w:top w:val="nil"/>
              <w:left w:val="nil"/>
              <w:bottom w:val="single" w:sz="4" w:space="0" w:color="auto"/>
              <w:right w:val="single" w:sz="4" w:space="0" w:color="auto"/>
            </w:tcBorders>
            <w:vAlign w:val="center"/>
            <w:hideMark/>
          </w:tcPr>
          <w:p w14:paraId="39C21088" w14:textId="27F57AE2"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245.644,04</w:t>
            </w:r>
          </w:p>
        </w:tc>
        <w:tc>
          <w:tcPr>
            <w:tcW w:w="1134" w:type="dxa"/>
            <w:tcBorders>
              <w:top w:val="nil"/>
              <w:left w:val="nil"/>
              <w:bottom w:val="single" w:sz="4" w:space="0" w:color="auto"/>
              <w:right w:val="single" w:sz="4" w:space="0" w:color="auto"/>
            </w:tcBorders>
            <w:vAlign w:val="center"/>
            <w:hideMark/>
          </w:tcPr>
          <w:p w14:paraId="65010FF7" w14:textId="09F181EF"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295.078,16</w:t>
            </w:r>
          </w:p>
        </w:tc>
        <w:tc>
          <w:tcPr>
            <w:tcW w:w="1134" w:type="dxa"/>
            <w:tcBorders>
              <w:top w:val="nil"/>
              <w:left w:val="nil"/>
              <w:bottom w:val="single" w:sz="4" w:space="0" w:color="auto"/>
              <w:right w:val="single" w:sz="4" w:space="0" w:color="auto"/>
            </w:tcBorders>
            <w:vAlign w:val="center"/>
            <w:hideMark/>
          </w:tcPr>
          <w:p w14:paraId="74CE5968" w14:textId="0B537FD1"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300.155,23</w:t>
            </w:r>
          </w:p>
        </w:tc>
        <w:tc>
          <w:tcPr>
            <w:tcW w:w="1134" w:type="dxa"/>
            <w:tcBorders>
              <w:top w:val="nil"/>
              <w:left w:val="nil"/>
              <w:bottom w:val="single" w:sz="4" w:space="0" w:color="auto"/>
              <w:right w:val="single" w:sz="4" w:space="0" w:color="auto"/>
            </w:tcBorders>
            <w:vAlign w:val="center"/>
            <w:hideMark/>
          </w:tcPr>
          <w:p w14:paraId="2B48F374" w14:textId="4F407109"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299.640,89</w:t>
            </w:r>
          </w:p>
        </w:tc>
        <w:tc>
          <w:tcPr>
            <w:tcW w:w="1276" w:type="dxa"/>
            <w:tcBorders>
              <w:top w:val="nil"/>
              <w:left w:val="nil"/>
              <w:bottom w:val="single" w:sz="4" w:space="0" w:color="auto"/>
              <w:right w:val="single" w:sz="4" w:space="0" w:color="auto"/>
            </w:tcBorders>
            <w:vAlign w:val="center"/>
            <w:hideMark/>
          </w:tcPr>
          <w:p w14:paraId="28B0689B" w14:textId="26DCC354"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299.819,47</w:t>
            </w:r>
          </w:p>
        </w:tc>
        <w:tc>
          <w:tcPr>
            <w:tcW w:w="1134" w:type="dxa"/>
            <w:tcBorders>
              <w:top w:val="nil"/>
              <w:left w:val="nil"/>
              <w:bottom w:val="single" w:sz="4" w:space="0" w:color="auto"/>
              <w:right w:val="single" w:sz="4" w:space="0" w:color="auto"/>
            </w:tcBorders>
            <w:vAlign w:val="center"/>
            <w:hideMark/>
          </w:tcPr>
          <w:p w14:paraId="12A9D662" w14:textId="33C05CB3"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300.000,00</w:t>
            </w:r>
          </w:p>
        </w:tc>
        <w:tc>
          <w:tcPr>
            <w:tcW w:w="1134" w:type="dxa"/>
            <w:tcBorders>
              <w:top w:val="nil"/>
              <w:left w:val="nil"/>
              <w:bottom w:val="single" w:sz="4" w:space="0" w:color="auto"/>
              <w:right w:val="single" w:sz="4" w:space="0" w:color="auto"/>
            </w:tcBorders>
            <w:vAlign w:val="center"/>
            <w:hideMark/>
          </w:tcPr>
          <w:p w14:paraId="18921970" w14:textId="26644AB3"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275.000,00</w:t>
            </w:r>
          </w:p>
        </w:tc>
        <w:tc>
          <w:tcPr>
            <w:tcW w:w="1134" w:type="dxa"/>
            <w:tcBorders>
              <w:top w:val="nil"/>
              <w:left w:val="nil"/>
              <w:bottom w:val="single" w:sz="4" w:space="0" w:color="auto"/>
              <w:right w:val="single" w:sz="4" w:space="0" w:color="auto"/>
            </w:tcBorders>
            <w:vAlign w:val="center"/>
            <w:hideMark/>
          </w:tcPr>
          <w:p w14:paraId="37E69B21" w14:textId="4168AD5B"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325.000,00</w:t>
            </w:r>
          </w:p>
        </w:tc>
        <w:tc>
          <w:tcPr>
            <w:tcW w:w="3118" w:type="dxa"/>
            <w:tcBorders>
              <w:top w:val="nil"/>
              <w:left w:val="nil"/>
              <w:bottom w:val="single" w:sz="4" w:space="0" w:color="auto"/>
              <w:right w:val="single" w:sz="4" w:space="0" w:color="auto"/>
            </w:tcBorders>
            <w:vAlign w:val="center"/>
            <w:hideMark/>
          </w:tcPr>
          <w:p w14:paraId="24DA18BB" w14:textId="3431E465" w:rsidR="00EE5F8F" w:rsidRPr="000F632C" w:rsidRDefault="00EE5F8F" w:rsidP="00EE5F8F">
            <w:pPr>
              <w:spacing w:after="0" w:line="240" w:lineRule="auto"/>
              <w:jc w:val="both"/>
              <w:rPr>
                <w:rFonts w:ascii="Arial" w:eastAsia="Times New Roman" w:hAnsi="Arial" w:cs="Arial"/>
                <w:sz w:val="16"/>
                <w:szCs w:val="16"/>
              </w:rPr>
            </w:pPr>
            <w:r>
              <w:rPr>
                <w:rFonts w:ascii="Arial" w:hAnsi="Arial" w:cs="Arial"/>
                <w:sz w:val="18"/>
                <w:szCs w:val="18"/>
              </w:rPr>
              <w:t>Prihodi iz druge države, Herceg novi (Crna gora) (ugovori potpisani koncem 2011., a odnose se na naknadu za umanjenu upotrebnu vrijednost zemljišta u vlasništvu Općine kojom prolazi infrastrukturni objekt za transport vode cjevovod Plat – Herceg Novi.</w:t>
            </w:r>
          </w:p>
        </w:tc>
      </w:tr>
      <w:tr w:rsidR="00EE5F8F" w:rsidRPr="000F632C" w14:paraId="6C083F11" w14:textId="77777777" w:rsidTr="0083333C">
        <w:trPr>
          <w:gridBefore w:val="1"/>
          <w:wBefore w:w="10" w:type="dxa"/>
          <w:trHeight w:val="612"/>
        </w:trPr>
        <w:tc>
          <w:tcPr>
            <w:tcW w:w="1266" w:type="dxa"/>
            <w:gridSpan w:val="2"/>
            <w:tcBorders>
              <w:top w:val="nil"/>
              <w:left w:val="single" w:sz="4" w:space="0" w:color="auto"/>
              <w:bottom w:val="single" w:sz="4" w:space="0" w:color="auto"/>
              <w:right w:val="single" w:sz="4" w:space="0" w:color="auto"/>
            </w:tcBorders>
            <w:vAlign w:val="center"/>
            <w:hideMark/>
          </w:tcPr>
          <w:p w14:paraId="635A8C63" w14:textId="77777777" w:rsidR="00EE5F8F" w:rsidRPr="000F632C" w:rsidRDefault="00EE5F8F" w:rsidP="00EE5F8F">
            <w:pPr>
              <w:spacing w:after="0" w:line="240" w:lineRule="auto"/>
              <w:rPr>
                <w:rFonts w:ascii="Arial" w:eastAsia="Times New Roman" w:hAnsi="Arial" w:cs="Arial"/>
                <w:sz w:val="16"/>
                <w:szCs w:val="16"/>
              </w:rPr>
            </w:pPr>
            <w:r w:rsidRPr="000F632C">
              <w:rPr>
                <w:rFonts w:ascii="Arial" w:eastAsia="Times New Roman" w:hAnsi="Arial" w:cs="Arial"/>
                <w:sz w:val="16"/>
                <w:szCs w:val="16"/>
              </w:rPr>
              <w:t>naknada za korištenje prostora elektrana</w:t>
            </w:r>
          </w:p>
        </w:tc>
        <w:tc>
          <w:tcPr>
            <w:tcW w:w="1134" w:type="dxa"/>
            <w:gridSpan w:val="2"/>
            <w:tcBorders>
              <w:top w:val="nil"/>
              <w:left w:val="single" w:sz="4" w:space="0" w:color="auto"/>
              <w:bottom w:val="single" w:sz="4" w:space="0" w:color="auto"/>
              <w:right w:val="single" w:sz="4" w:space="0" w:color="auto"/>
            </w:tcBorders>
            <w:vAlign w:val="center"/>
            <w:hideMark/>
          </w:tcPr>
          <w:p w14:paraId="23C89C11" w14:textId="723FC9AE"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158.633,51</w:t>
            </w:r>
          </w:p>
        </w:tc>
        <w:tc>
          <w:tcPr>
            <w:tcW w:w="1134" w:type="dxa"/>
            <w:tcBorders>
              <w:top w:val="nil"/>
              <w:left w:val="nil"/>
              <w:bottom w:val="single" w:sz="4" w:space="0" w:color="auto"/>
              <w:right w:val="single" w:sz="4" w:space="0" w:color="auto"/>
            </w:tcBorders>
            <w:vAlign w:val="center"/>
            <w:hideMark/>
          </w:tcPr>
          <w:p w14:paraId="6217F371" w14:textId="055B8620"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279.387,94</w:t>
            </w:r>
          </w:p>
        </w:tc>
        <w:tc>
          <w:tcPr>
            <w:tcW w:w="1134" w:type="dxa"/>
            <w:tcBorders>
              <w:top w:val="nil"/>
              <w:left w:val="nil"/>
              <w:bottom w:val="single" w:sz="4" w:space="0" w:color="auto"/>
              <w:right w:val="single" w:sz="4" w:space="0" w:color="auto"/>
            </w:tcBorders>
            <w:vAlign w:val="center"/>
            <w:hideMark/>
          </w:tcPr>
          <w:p w14:paraId="4BE329E4" w14:textId="48134702"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33.960,81</w:t>
            </w:r>
          </w:p>
        </w:tc>
        <w:tc>
          <w:tcPr>
            <w:tcW w:w="1134" w:type="dxa"/>
            <w:tcBorders>
              <w:top w:val="nil"/>
              <w:left w:val="nil"/>
              <w:bottom w:val="single" w:sz="4" w:space="0" w:color="auto"/>
              <w:right w:val="single" w:sz="4" w:space="0" w:color="auto"/>
            </w:tcBorders>
            <w:vAlign w:val="center"/>
            <w:hideMark/>
          </w:tcPr>
          <w:p w14:paraId="64CAE29F" w14:textId="2E1DF938"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126.370,62</w:t>
            </w:r>
          </w:p>
        </w:tc>
        <w:tc>
          <w:tcPr>
            <w:tcW w:w="1134" w:type="dxa"/>
            <w:tcBorders>
              <w:top w:val="nil"/>
              <w:left w:val="nil"/>
              <w:bottom w:val="single" w:sz="4" w:space="0" w:color="auto"/>
              <w:right w:val="single" w:sz="4" w:space="0" w:color="auto"/>
            </w:tcBorders>
            <w:vAlign w:val="center"/>
            <w:hideMark/>
          </w:tcPr>
          <w:p w14:paraId="5664E2F3" w14:textId="35AD8BA3"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216.942,42</w:t>
            </w:r>
          </w:p>
        </w:tc>
        <w:tc>
          <w:tcPr>
            <w:tcW w:w="1276" w:type="dxa"/>
            <w:tcBorders>
              <w:top w:val="nil"/>
              <w:left w:val="nil"/>
              <w:bottom w:val="single" w:sz="4" w:space="0" w:color="auto"/>
              <w:right w:val="single" w:sz="4" w:space="0" w:color="auto"/>
            </w:tcBorders>
            <w:vAlign w:val="center"/>
            <w:hideMark/>
          </w:tcPr>
          <w:p w14:paraId="77636169" w14:textId="77615725"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217.510,37</w:t>
            </w:r>
          </w:p>
        </w:tc>
        <w:tc>
          <w:tcPr>
            <w:tcW w:w="1134" w:type="dxa"/>
            <w:tcBorders>
              <w:top w:val="nil"/>
              <w:left w:val="nil"/>
              <w:bottom w:val="single" w:sz="4" w:space="0" w:color="auto"/>
              <w:right w:val="single" w:sz="4" w:space="0" w:color="auto"/>
            </w:tcBorders>
            <w:vAlign w:val="center"/>
            <w:hideMark/>
          </w:tcPr>
          <w:p w14:paraId="3A9CF0E1" w14:textId="34826A60"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235.579,13</w:t>
            </w:r>
          </w:p>
        </w:tc>
        <w:tc>
          <w:tcPr>
            <w:tcW w:w="1134" w:type="dxa"/>
            <w:tcBorders>
              <w:top w:val="nil"/>
              <w:left w:val="nil"/>
              <w:bottom w:val="single" w:sz="4" w:space="0" w:color="auto"/>
              <w:right w:val="single" w:sz="4" w:space="0" w:color="auto"/>
            </w:tcBorders>
            <w:vAlign w:val="center"/>
            <w:hideMark/>
          </w:tcPr>
          <w:p w14:paraId="31D1CBC5" w14:textId="1523E09B"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245.698,70</w:t>
            </w:r>
          </w:p>
        </w:tc>
        <w:tc>
          <w:tcPr>
            <w:tcW w:w="1134" w:type="dxa"/>
            <w:tcBorders>
              <w:top w:val="nil"/>
              <w:left w:val="nil"/>
              <w:bottom w:val="single" w:sz="4" w:space="0" w:color="auto"/>
              <w:right w:val="single" w:sz="4" w:space="0" w:color="auto"/>
            </w:tcBorders>
            <w:vAlign w:val="center"/>
            <w:hideMark/>
          </w:tcPr>
          <w:p w14:paraId="58830AD9" w14:textId="05830092"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199.705,73</w:t>
            </w:r>
          </w:p>
        </w:tc>
        <w:tc>
          <w:tcPr>
            <w:tcW w:w="3118" w:type="dxa"/>
            <w:tcBorders>
              <w:top w:val="nil"/>
              <w:left w:val="nil"/>
              <w:bottom w:val="single" w:sz="4" w:space="0" w:color="auto"/>
              <w:right w:val="single" w:sz="4" w:space="0" w:color="auto"/>
            </w:tcBorders>
            <w:vAlign w:val="center"/>
            <w:hideMark/>
          </w:tcPr>
          <w:p w14:paraId="36440F35" w14:textId="22866902" w:rsidR="00EE5F8F" w:rsidRPr="000F632C" w:rsidRDefault="00EE5F8F" w:rsidP="00EE5F8F">
            <w:pPr>
              <w:spacing w:after="0" w:line="240" w:lineRule="auto"/>
              <w:jc w:val="both"/>
              <w:rPr>
                <w:rFonts w:ascii="Arial" w:eastAsia="Times New Roman" w:hAnsi="Arial" w:cs="Arial"/>
                <w:sz w:val="16"/>
                <w:szCs w:val="16"/>
              </w:rPr>
            </w:pPr>
            <w:r>
              <w:rPr>
                <w:rFonts w:ascii="Arial" w:hAnsi="Arial" w:cs="Arial"/>
                <w:sz w:val="18"/>
                <w:szCs w:val="18"/>
              </w:rPr>
              <w:t>Elektrana je bila isključena iz rada od 10.1.2019 radi požara na objektu u kojem je bilo ljudskih žrtava do ožujka 2020. kada je ponovno započela s radom.</w:t>
            </w:r>
          </w:p>
        </w:tc>
      </w:tr>
      <w:tr w:rsidR="00EE5F8F" w:rsidRPr="000F632C" w14:paraId="64912CF4" w14:textId="77777777" w:rsidTr="0083333C">
        <w:trPr>
          <w:gridBefore w:val="1"/>
          <w:wBefore w:w="10" w:type="dxa"/>
          <w:trHeight w:val="612"/>
        </w:trPr>
        <w:tc>
          <w:tcPr>
            <w:tcW w:w="1266" w:type="dxa"/>
            <w:gridSpan w:val="2"/>
            <w:tcBorders>
              <w:top w:val="nil"/>
              <w:left w:val="single" w:sz="4" w:space="0" w:color="auto"/>
              <w:bottom w:val="single" w:sz="4" w:space="0" w:color="auto"/>
              <w:right w:val="single" w:sz="4" w:space="0" w:color="auto"/>
            </w:tcBorders>
            <w:vAlign w:val="center"/>
            <w:hideMark/>
          </w:tcPr>
          <w:p w14:paraId="13684EB6" w14:textId="77777777" w:rsidR="00EE5F8F" w:rsidRPr="000F632C" w:rsidRDefault="00EE5F8F" w:rsidP="00EE5F8F">
            <w:pPr>
              <w:spacing w:after="0" w:line="240" w:lineRule="auto"/>
              <w:rPr>
                <w:rFonts w:ascii="Arial" w:eastAsia="Times New Roman" w:hAnsi="Arial" w:cs="Arial"/>
                <w:sz w:val="16"/>
                <w:szCs w:val="16"/>
              </w:rPr>
            </w:pPr>
            <w:r w:rsidRPr="000F632C">
              <w:rPr>
                <w:rFonts w:ascii="Arial" w:eastAsia="Times New Roman" w:hAnsi="Arial" w:cs="Arial"/>
                <w:sz w:val="16"/>
                <w:szCs w:val="16"/>
              </w:rPr>
              <w:t>prihodi od korištenja javnih površina (5738)</w:t>
            </w:r>
          </w:p>
        </w:tc>
        <w:tc>
          <w:tcPr>
            <w:tcW w:w="1134" w:type="dxa"/>
            <w:gridSpan w:val="2"/>
            <w:tcBorders>
              <w:top w:val="nil"/>
              <w:left w:val="single" w:sz="4" w:space="0" w:color="auto"/>
              <w:bottom w:val="single" w:sz="4" w:space="0" w:color="auto"/>
              <w:right w:val="single" w:sz="4" w:space="0" w:color="auto"/>
            </w:tcBorders>
            <w:vAlign w:val="center"/>
            <w:hideMark/>
          </w:tcPr>
          <w:p w14:paraId="23A06660" w14:textId="0D64B057"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112.967,38</w:t>
            </w:r>
          </w:p>
        </w:tc>
        <w:tc>
          <w:tcPr>
            <w:tcW w:w="1134" w:type="dxa"/>
            <w:tcBorders>
              <w:top w:val="nil"/>
              <w:left w:val="nil"/>
              <w:bottom w:val="single" w:sz="4" w:space="0" w:color="auto"/>
              <w:right w:val="single" w:sz="4" w:space="0" w:color="auto"/>
            </w:tcBorders>
            <w:vAlign w:val="center"/>
            <w:hideMark/>
          </w:tcPr>
          <w:p w14:paraId="5B842493" w14:textId="6DCC6370"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228.254,67</w:t>
            </w:r>
          </w:p>
        </w:tc>
        <w:tc>
          <w:tcPr>
            <w:tcW w:w="1134" w:type="dxa"/>
            <w:tcBorders>
              <w:top w:val="nil"/>
              <w:left w:val="nil"/>
              <w:bottom w:val="single" w:sz="4" w:space="0" w:color="auto"/>
              <w:right w:val="single" w:sz="4" w:space="0" w:color="auto"/>
            </w:tcBorders>
            <w:vAlign w:val="center"/>
            <w:hideMark/>
          </w:tcPr>
          <w:p w14:paraId="777C01FA" w14:textId="57A066D1"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305.557,07</w:t>
            </w:r>
          </w:p>
        </w:tc>
        <w:tc>
          <w:tcPr>
            <w:tcW w:w="1134" w:type="dxa"/>
            <w:tcBorders>
              <w:top w:val="nil"/>
              <w:left w:val="nil"/>
              <w:bottom w:val="single" w:sz="4" w:space="0" w:color="auto"/>
              <w:right w:val="single" w:sz="4" w:space="0" w:color="auto"/>
            </w:tcBorders>
            <w:vAlign w:val="center"/>
            <w:hideMark/>
          </w:tcPr>
          <w:p w14:paraId="6B64C735" w14:textId="5BE6F996"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71.976,95</w:t>
            </w:r>
          </w:p>
        </w:tc>
        <w:tc>
          <w:tcPr>
            <w:tcW w:w="1134" w:type="dxa"/>
            <w:tcBorders>
              <w:top w:val="nil"/>
              <w:left w:val="nil"/>
              <w:bottom w:val="single" w:sz="4" w:space="0" w:color="auto"/>
              <w:right w:val="single" w:sz="4" w:space="0" w:color="auto"/>
            </w:tcBorders>
            <w:vAlign w:val="center"/>
            <w:hideMark/>
          </w:tcPr>
          <w:p w14:paraId="143B31F8" w14:textId="2F163FB1"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141.681,11</w:t>
            </w:r>
          </w:p>
        </w:tc>
        <w:tc>
          <w:tcPr>
            <w:tcW w:w="1276" w:type="dxa"/>
            <w:tcBorders>
              <w:top w:val="nil"/>
              <w:left w:val="nil"/>
              <w:bottom w:val="single" w:sz="4" w:space="0" w:color="auto"/>
              <w:right w:val="single" w:sz="4" w:space="0" w:color="auto"/>
            </w:tcBorders>
            <w:vAlign w:val="center"/>
            <w:hideMark/>
          </w:tcPr>
          <w:p w14:paraId="3DF8B85B" w14:textId="36193392"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305.578,30</w:t>
            </w:r>
          </w:p>
        </w:tc>
        <w:tc>
          <w:tcPr>
            <w:tcW w:w="1134" w:type="dxa"/>
            <w:tcBorders>
              <w:top w:val="nil"/>
              <w:left w:val="nil"/>
              <w:bottom w:val="single" w:sz="4" w:space="0" w:color="auto"/>
              <w:right w:val="single" w:sz="4" w:space="0" w:color="auto"/>
            </w:tcBorders>
            <w:vAlign w:val="center"/>
            <w:hideMark/>
          </w:tcPr>
          <w:p w14:paraId="09C55CEB" w14:textId="3ED2922E"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205.358,65</w:t>
            </w:r>
          </w:p>
        </w:tc>
        <w:tc>
          <w:tcPr>
            <w:tcW w:w="1134" w:type="dxa"/>
            <w:tcBorders>
              <w:top w:val="nil"/>
              <w:left w:val="nil"/>
              <w:bottom w:val="single" w:sz="4" w:space="0" w:color="auto"/>
              <w:right w:val="single" w:sz="4" w:space="0" w:color="auto"/>
            </w:tcBorders>
            <w:vAlign w:val="center"/>
            <w:hideMark/>
          </w:tcPr>
          <w:p w14:paraId="738A5F63" w14:textId="1547AA6B"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301.914,90</w:t>
            </w:r>
          </w:p>
        </w:tc>
        <w:tc>
          <w:tcPr>
            <w:tcW w:w="1134" w:type="dxa"/>
            <w:tcBorders>
              <w:top w:val="nil"/>
              <w:left w:val="nil"/>
              <w:bottom w:val="single" w:sz="4" w:space="0" w:color="auto"/>
              <w:right w:val="single" w:sz="4" w:space="0" w:color="auto"/>
            </w:tcBorders>
            <w:vAlign w:val="center"/>
            <w:hideMark/>
          </w:tcPr>
          <w:p w14:paraId="1E7A45C3" w14:textId="2B86B606"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469.830,78</w:t>
            </w:r>
          </w:p>
        </w:tc>
        <w:tc>
          <w:tcPr>
            <w:tcW w:w="3118" w:type="dxa"/>
            <w:tcBorders>
              <w:top w:val="nil"/>
              <w:left w:val="nil"/>
              <w:bottom w:val="single" w:sz="4" w:space="0" w:color="auto"/>
              <w:right w:val="single" w:sz="4" w:space="0" w:color="auto"/>
            </w:tcBorders>
            <w:vAlign w:val="center"/>
            <w:hideMark/>
          </w:tcPr>
          <w:p w14:paraId="53D319CA" w14:textId="62A9CEC4" w:rsidR="00EE5F8F" w:rsidRPr="000F632C" w:rsidRDefault="00EE5F8F" w:rsidP="00EE5F8F">
            <w:pPr>
              <w:spacing w:after="0" w:line="240" w:lineRule="auto"/>
              <w:jc w:val="both"/>
              <w:rPr>
                <w:rFonts w:ascii="Arial" w:eastAsia="Times New Roman" w:hAnsi="Arial" w:cs="Arial"/>
                <w:sz w:val="16"/>
                <w:szCs w:val="16"/>
              </w:rPr>
            </w:pPr>
            <w:r>
              <w:rPr>
                <w:rFonts w:ascii="Arial" w:hAnsi="Arial" w:cs="Arial"/>
                <w:sz w:val="18"/>
                <w:szCs w:val="18"/>
              </w:rPr>
              <w:t xml:space="preserve">Na temelju zaključenih ugovora o korištenju javnih površina i ispostavljenih računa. Ovi prihodi se odnose na naplaćena dugovanja iz prethodne godine i korištenje javnih površina u 2025. </w:t>
            </w:r>
          </w:p>
        </w:tc>
      </w:tr>
      <w:tr w:rsidR="00EE5F8F" w:rsidRPr="000F632C" w14:paraId="59BFE569" w14:textId="77777777" w:rsidTr="0083333C">
        <w:trPr>
          <w:gridBefore w:val="1"/>
          <w:wBefore w:w="10" w:type="dxa"/>
          <w:trHeight w:val="300"/>
        </w:trPr>
        <w:tc>
          <w:tcPr>
            <w:tcW w:w="1266" w:type="dxa"/>
            <w:gridSpan w:val="2"/>
            <w:tcBorders>
              <w:top w:val="nil"/>
              <w:left w:val="single" w:sz="4" w:space="0" w:color="auto"/>
              <w:bottom w:val="single" w:sz="4" w:space="0" w:color="auto"/>
              <w:right w:val="single" w:sz="4" w:space="0" w:color="auto"/>
            </w:tcBorders>
            <w:vAlign w:val="center"/>
            <w:hideMark/>
          </w:tcPr>
          <w:p w14:paraId="30766CED" w14:textId="77777777" w:rsidR="00EE5F8F" w:rsidRPr="000F632C" w:rsidRDefault="00EE5F8F" w:rsidP="00EE5F8F">
            <w:pPr>
              <w:spacing w:after="0" w:line="240" w:lineRule="auto"/>
              <w:rPr>
                <w:rFonts w:ascii="Arial" w:eastAsia="Times New Roman" w:hAnsi="Arial" w:cs="Arial"/>
                <w:sz w:val="16"/>
                <w:szCs w:val="16"/>
              </w:rPr>
            </w:pPr>
            <w:r w:rsidRPr="000F632C">
              <w:rPr>
                <w:rFonts w:ascii="Arial" w:eastAsia="Times New Roman" w:hAnsi="Arial" w:cs="Arial"/>
                <w:sz w:val="16"/>
                <w:szCs w:val="16"/>
              </w:rPr>
              <w:t>koncesijska odobrenja (5843)</w:t>
            </w:r>
          </w:p>
        </w:tc>
        <w:tc>
          <w:tcPr>
            <w:tcW w:w="1134" w:type="dxa"/>
            <w:gridSpan w:val="2"/>
            <w:tcBorders>
              <w:top w:val="nil"/>
              <w:left w:val="single" w:sz="4" w:space="0" w:color="auto"/>
              <w:bottom w:val="single" w:sz="4" w:space="0" w:color="auto"/>
              <w:right w:val="single" w:sz="4" w:space="0" w:color="auto"/>
            </w:tcBorders>
            <w:vAlign w:val="center"/>
            <w:hideMark/>
          </w:tcPr>
          <w:p w14:paraId="4A3D833C" w14:textId="46211533"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51.330,21</w:t>
            </w:r>
          </w:p>
        </w:tc>
        <w:tc>
          <w:tcPr>
            <w:tcW w:w="1134" w:type="dxa"/>
            <w:tcBorders>
              <w:top w:val="nil"/>
              <w:left w:val="nil"/>
              <w:bottom w:val="single" w:sz="4" w:space="0" w:color="auto"/>
              <w:right w:val="single" w:sz="4" w:space="0" w:color="auto"/>
            </w:tcBorders>
            <w:vAlign w:val="center"/>
            <w:hideMark/>
          </w:tcPr>
          <w:p w14:paraId="34E0650C" w14:textId="24A1207A"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101.236,18</w:t>
            </w:r>
          </w:p>
        </w:tc>
        <w:tc>
          <w:tcPr>
            <w:tcW w:w="1134" w:type="dxa"/>
            <w:tcBorders>
              <w:top w:val="nil"/>
              <w:left w:val="nil"/>
              <w:bottom w:val="single" w:sz="4" w:space="0" w:color="auto"/>
              <w:right w:val="single" w:sz="4" w:space="0" w:color="auto"/>
            </w:tcBorders>
            <w:vAlign w:val="center"/>
            <w:hideMark/>
          </w:tcPr>
          <w:p w14:paraId="1F914571" w14:textId="281B1867"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145.752,80</w:t>
            </w:r>
          </w:p>
        </w:tc>
        <w:tc>
          <w:tcPr>
            <w:tcW w:w="1134" w:type="dxa"/>
            <w:tcBorders>
              <w:top w:val="nil"/>
              <w:left w:val="nil"/>
              <w:bottom w:val="single" w:sz="4" w:space="0" w:color="auto"/>
              <w:right w:val="single" w:sz="4" w:space="0" w:color="auto"/>
            </w:tcBorders>
            <w:vAlign w:val="center"/>
            <w:hideMark/>
          </w:tcPr>
          <w:p w14:paraId="2321CFDA" w14:textId="07DE8FF4"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17.168,49</w:t>
            </w:r>
          </w:p>
        </w:tc>
        <w:tc>
          <w:tcPr>
            <w:tcW w:w="1134" w:type="dxa"/>
            <w:tcBorders>
              <w:top w:val="nil"/>
              <w:left w:val="nil"/>
              <w:bottom w:val="single" w:sz="4" w:space="0" w:color="auto"/>
              <w:right w:val="single" w:sz="4" w:space="0" w:color="auto"/>
            </w:tcBorders>
            <w:vAlign w:val="center"/>
            <w:hideMark/>
          </w:tcPr>
          <w:p w14:paraId="632FA2D4" w14:textId="79D651C6"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53.109,63</w:t>
            </w:r>
          </w:p>
        </w:tc>
        <w:tc>
          <w:tcPr>
            <w:tcW w:w="1276" w:type="dxa"/>
            <w:tcBorders>
              <w:top w:val="nil"/>
              <w:left w:val="nil"/>
              <w:bottom w:val="single" w:sz="4" w:space="0" w:color="auto"/>
              <w:right w:val="single" w:sz="4" w:space="0" w:color="auto"/>
            </w:tcBorders>
            <w:vAlign w:val="center"/>
            <w:hideMark/>
          </w:tcPr>
          <w:p w14:paraId="3586878B" w14:textId="2201C3EB" w:rsidR="00EE5F8F" w:rsidRPr="000F632C" w:rsidRDefault="00EE5F8F" w:rsidP="00EE5F8F">
            <w:pPr>
              <w:spacing w:after="0" w:line="240" w:lineRule="auto"/>
              <w:jc w:val="right"/>
              <w:rPr>
                <w:rFonts w:ascii="Arial" w:eastAsia="Times New Roman" w:hAnsi="Arial" w:cs="Arial"/>
                <w:i/>
                <w:iCs/>
                <w:sz w:val="16"/>
                <w:szCs w:val="16"/>
              </w:rPr>
            </w:pPr>
            <w:r>
              <w:rPr>
                <w:rFonts w:ascii="Arial" w:hAnsi="Arial" w:cs="Arial"/>
                <w:i/>
                <w:iCs/>
                <w:sz w:val="18"/>
                <w:szCs w:val="18"/>
              </w:rPr>
              <w:t>132.360,01</w:t>
            </w:r>
          </w:p>
        </w:tc>
        <w:tc>
          <w:tcPr>
            <w:tcW w:w="1134" w:type="dxa"/>
            <w:tcBorders>
              <w:top w:val="nil"/>
              <w:left w:val="nil"/>
              <w:bottom w:val="single" w:sz="4" w:space="0" w:color="auto"/>
              <w:right w:val="single" w:sz="4" w:space="0" w:color="auto"/>
            </w:tcBorders>
            <w:vAlign w:val="center"/>
            <w:hideMark/>
          </w:tcPr>
          <w:p w14:paraId="050AA1E3" w14:textId="16374D2B"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90.798,16</w:t>
            </w:r>
          </w:p>
        </w:tc>
        <w:tc>
          <w:tcPr>
            <w:tcW w:w="1134" w:type="dxa"/>
            <w:tcBorders>
              <w:top w:val="nil"/>
              <w:left w:val="nil"/>
              <w:bottom w:val="single" w:sz="4" w:space="0" w:color="auto"/>
              <w:right w:val="single" w:sz="4" w:space="0" w:color="auto"/>
            </w:tcBorders>
            <w:vAlign w:val="center"/>
            <w:hideMark/>
          </w:tcPr>
          <w:p w14:paraId="03F13266" w14:textId="04F1E6C7"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66.540,97</w:t>
            </w:r>
          </w:p>
        </w:tc>
        <w:tc>
          <w:tcPr>
            <w:tcW w:w="1134" w:type="dxa"/>
            <w:tcBorders>
              <w:top w:val="nil"/>
              <w:left w:val="nil"/>
              <w:bottom w:val="single" w:sz="4" w:space="0" w:color="auto"/>
              <w:right w:val="single" w:sz="4" w:space="0" w:color="auto"/>
            </w:tcBorders>
            <w:vAlign w:val="center"/>
            <w:hideMark/>
          </w:tcPr>
          <w:p w14:paraId="5727179E" w14:textId="5CDC9550"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10.625,47</w:t>
            </w:r>
          </w:p>
        </w:tc>
        <w:tc>
          <w:tcPr>
            <w:tcW w:w="3118" w:type="dxa"/>
            <w:tcBorders>
              <w:top w:val="nil"/>
              <w:left w:val="nil"/>
              <w:bottom w:val="single" w:sz="4" w:space="0" w:color="auto"/>
              <w:right w:val="single" w:sz="4" w:space="0" w:color="auto"/>
            </w:tcBorders>
            <w:vAlign w:val="center"/>
            <w:hideMark/>
          </w:tcPr>
          <w:p w14:paraId="11C1FAD1" w14:textId="147B2471" w:rsidR="00EE5F8F" w:rsidRPr="000F632C" w:rsidRDefault="00EE5F8F" w:rsidP="00EE5F8F">
            <w:pPr>
              <w:spacing w:after="0" w:line="240" w:lineRule="auto"/>
              <w:jc w:val="both"/>
              <w:rPr>
                <w:rFonts w:ascii="Arial" w:eastAsia="Times New Roman" w:hAnsi="Arial" w:cs="Arial"/>
                <w:sz w:val="16"/>
                <w:szCs w:val="16"/>
              </w:rPr>
            </w:pPr>
            <w:r>
              <w:rPr>
                <w:rFonts w:ascii="Arial" w:hAnsi="Arial" w:cs="Arial"/>
                <w:sz w:val="18"/>
                <w:szCs w:val="18"/>
              </w:rPr>
              <w:t>Odobrenja je ranijih godina ispostavljala Općina. U 2024. godini ova odobrenja zamjenjuje dozvola za obavljanje djelatnosti na pomorskom dobru, a naplaćeni prihodi su ostvareni po ranije ispostavljenim važećim rješenjima.</w:t>
            </w:r>
          </w:p>
        </w:tc>
      </w:tr>
      <w:tr w:rsidR="00E5617A" w:rsidRPr="000F632C" w14:paraId="2163F2A0" w14:textId="77777777" w:rsidTr="0083333C">
        <w:trPr>
          <w:trHeight w:val="701"/>
        </w:trPr>
        <w:tc>
          <w:tcPr>
            <w:tcW w:w="1268" w:type="dxa"/>
            <w:gridSpan w:val="2"/>
            <w:tcBorders>
              <w:top w:val="single" w:sz="4" w:space="0" w:color="auto"/>
              <w:left w:val="single" w:sz="8" w:space="0" w:color="auto"/>
              <w:bottom w:val="single" w:sz="8" w:space="0" w:color="auto"/>
              <w:right w:val="single" w:sz="8" w:space="0" w:color="000000"/>
            </w:tcBorders>
            <w:vAlign w:val="center"/>
            <w:hideMark/>
          </w:tcPr>
          <w:p w14:paraId="11A2CBD9" w14:textId="77777777" w:rsidR="00E5617A" w:rsidRPr="000F632C" w:rsidRDefault="00E5617A" w:rsidP="00DB4807">
            <w:pPr>
              <w:spacing w:after="0" w:line="240" w:lineRule="auto"/>
              <w:rPr>
                <w:rFonts w:ascii="Arial" w:eastAsia="Times New Roman" w:hAnsi="Arial" w:cs="Arial"/>
                <w:b/>
                <w:bCs/>
                <w:i/>
                <w:iCs/>
                <w:sz w:val="20"/>
                <w:szCs w:val="20"/>
              </w:rPr>
            </w:pPr>
            <w:r w:rsidRPr="000F632C">
              <w:rPr>
                <w:rFonts w:ascii="Arial" w:eastAsia="Times New Roman" w:hAnsi="Arial" w:cs="Arial"/>
                <w:b/>
                <w:bCs/>
                <w:i/>
                <w:iCs/>
                <w:sz w:val="20"/>
                <w:szCs w:val="20"/>
              </w:rPr>
              <w:lastRenderedPageBreak/>
              <w:t>Vrsta prihoda</w:t>
            </w:r>
          </w:p>
        </w:tc>
        <w:tc>
          <w:tcPr>
            <w:tcW w:w="1136" w:type="dxa"/>
            <w:gridSpan w:val="2"/>
            <w:tcBorders>
              <w:top w:val="single" w:sz="4" w:space="0" w:color="auto"/>
              <w:left w:val="nil"/>
              <w:bottom w:val="single" w:sz="8" w:space="0" w:color="auto"/>
              <w:right w:val="single" w:sz="8" w:space="0" w:color="000000"/>
            </w:tcBorders>
            <w:vAlign w:val="center"/>
            <w:hideMark/>
          </w:tcPr>
          <w:p w14:paraId="2D72EFD1" w14:textId="77777777" w:rsidR="00E5617A" w:rsidRPr="000F632C" w:rsidRDefault="00E5617A" w:rsidP="00DB480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2017.g. (€)</w:t>
            </w:r>
          </w:p>
        </w:tc>
        <w:tc>
          <w:tcPr>
            <w:tcW w:w="1136" w:type="dxa"/>
            <w:gridSpan w:val="2"/>
            <w:tcBorders>
              <w:top w:val="single" w:sz="4" w:space="0" w:color="auto"/>
              <w:left w:val="nil"/>
              <w:bottom w:val="single" w:sz="8" w:space="0" w:color="auto"/>
              <w:right w:val="single" w:sz="8" w:space="0" w:color="000000"/>
            </w:tcBorders>
            <w:vAlign w:val="center"/>
            <w:hideMark/>
          </w:tcPr>
          <w:p w14:paraId="2D66F04E" w14:textId="77777777" w:rsidR="00E5617A" w:rsidRPr="000F632C" w:rsidRDefault="00E5617A" w:rsidP="00DB480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2018.g. (€)</w:t>
            </w:r>
          </w:p>
        </w:tc>
        <w:tc>
          <w:tcPr>
            <w:tcW w:w="1136" w:type="dxa"/>
            <w:tcBorders>
              <w:top w:val="single" w:sz="4" w:space="0" w:color="auto"/>
              <w:left w:val="nil"/>
              <w:bottom w:val="single" w:sz="8" w:space="0" w:color="auto"/>
              <w:right w:val="single" w:sz="8" w:space="0" w:color="000000"/>
            </w:tcBorders>
            <w:vAlign w:val="center"/>
            <w:hideMark/>
          </w:tcPr>
          <w:p w14:paraId="611DAFD5" w14:textId="77777777" w:rsidR="00E5617A" w:rsidRPr="000F632C" w:rsidRDefault="00E5617A" w:rsidP="00DB480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2019.g. (€)</w:t>
            </w:r>
          </w:p>
        </w:tc>
        <w:tc>
          <w:tcPr>
            <w:tcW w:w="1134" w:type="dxa"/>
            <w:tcBorders>
              <w:top w:val="single" w:sz="4" w:space="0" w:color="auto"/>
              <w:left w:val="nil"/>
              <w:bottom w:val="single" w:sz="8" w:space="0" w:color="auto"/>
              <w:right w:val="single" w:sz="8" w:space="0" w:color="000000"/>
            </w:tcBorders>
            <w:vAlign w:val="center"/>
            <w:hideMark/>
          </w:tcPr>
          <w:p w14:paraId="4AEF73DE" w14:textId="77777777" w:rsidR="00E5617A" w:rsidRPr="000F632C" w:rsidRDefault="00E5617A" w:rsidP="00DB480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2020.g. (€)</w:t>
            </w:r>
          </w:p>
        </w:tc>
        <w:tc>
          <w:tcPr>
            <w:tcW w:w="1134" w:type="dxa"/>
            <w:tcBorders>
              <w:top w:val="single" w:sz="4" w:space="0" w:color="auto"/>
              <w:left w:val="nil"/>
              <w:bottom w:val="single" w:sz="8" w:space="0" w:color="auto"/>
              <w:right w:val="single" w:sz="8" w:space="0" w:color="000000"/>
            </w:tcBorders>
            <w:vAlign w:val="center"/>
            <w:hideMark/>
          </w:tcPr>
          <w:p w14:paraId="5F3CDE4B" w14:textId="77777777" w:rsidR="00E5617A" w:rsidRPr="000F632C" w:rsidRDefault="00E5617A" w:rsidP="00DB480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2021.g. (€)</w:t>
            </w:r>
          </w:p>
        </w:tc>
        <w:tc>
          <w:tcPr>
            <w:tcW w:w="1276" w:type="dxa"/>
            <w:tcBorders>
              <w:top w:val="single" w:sz="4" w:space="0" w:color="auto"/>
              <w:left w:val="nil"/>
              <w:bottom w:val="single" w:sz="8" w:space="0" w:color="auto"/>
              <w:right w:val="single" w:sz="8" w:space="0" w:color="auto"/>
            </w:tcBorders>
            <w:vAlign w:val="center"/>
            <w:hideMark/>
          </w:tcPr>
          <w:p w14:paraId="3D28CA7F" w14:textId="77777777" w:rsidR="00E5617A" w:rsidRPr="000F632C" w:rsidRDefault="00E5617A" w:rsidP="00DB480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/2022.g. (€)</w:t>
            </w:r>
          </w:p>
        </w:tc>
        <w:tc>
          <w:tcPr>
            <w:tcW w:w="1134" w:type="dxa"/>
            <w:tcBorders>
              <w:top w:val="single" w:sz="4" w:space="0" w:color="auto"/>
              <w:left w:val="nil"/>
              <w:bottom w:val="single" w:sz="8" w:space="0" w:color="auto"/>
              <w:right w:val="single" w:sz="8" w:space="0" w:color="auto"/>
            </w:tcBorders>
            <w:vAlign w:val="center"/>
            <w:hideMark/>
          </w:tcPr>
          <w:p w14:paraId="60ED4F83" w14:textId="77777777" w:rsidR="00E5617A" w:rsidRPr="000F632C" w:rsidRDefault="00E5617A" w:rsidP="00DB480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2023.g. (€)</w:t>
            </w:r>
          </w:p>
        </w:tc>
        <w:tc>
          <w:tcPr>
            <w:tcW w:w="1134" w:type="dxa"/>
            <w:tcBorders>
              <w:top w:val="single" w:sz="4" w:space="0" w:color="auto"/>
              <w:left w:val="nil"/>
              <w:bottom w:val="single" w:sz="8" w:space="0" w:color="auto"/>
              <w:right w:val="single" w:sz="8" w:space="0" w:color="auto"/>
            </w:tcBorders>
            <w:vAlign w:val="center"/>
            <w:hideMark/>
          </w:tcPr>
          <w:p w14:paraId="0B104B94" w14:textId="77777777" w:rsidR="00E5617A" w:rsidRPr="000F632C" w:rsidRDefault="00E5617A" w:rsidP="00DB480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2024.g. (€)</w:t>
            </w:r>
          </w:p>
        </w:tc>
        <w:tc>
          <w:tcPr>
            <w:tcW w:w="1134" w:type="dxa"/>
            <w:tcBorders>
              <w:top w:val="single" w:sz="4" w:space="0" w:color="auto"/>
              <w:left w:val="nil"/>
              <w:bottom w:val="single" w:sz="8" w:space="0" w:color="auto"/>
              <w:right w:val="single" w:sz="8" w:space="0" w:color="auto"/>
            </w:tcBorders>
            <w:vAlign w:val="center"/>
            <w:hideMark/>
          </w:tcPr>
          <w:p w14:paraId="0B303154" w14:textId="233992BB" w:rsidR="00E5617A" w:rsidRPr="000F632C" w:rsidRDefault="00E5617A" w:rsidP="00DB480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2025.g. (€)</w:t>
            </w:r>
          </w:p>
        </w:tc>
        <w:tc>
          <w:tcPr>
            <w:tcW w:w="3120" w:type="dxa"/>
            <w:tcBorders>
              <w:top w:val="single" w:sz="4" w:space="0" w:color="auto"/>
              <w:left w:val="nil"/>
              <w:bottom w:val="single" w:sz="8" w:space="0" w:color="auto"/>
              <w:right w:val="single" w:sz="8" w:space="0" w:color="auto"/>
            </w:tcBorders>
            <w:vAlign w:val="center"/>
            <w:hideMark/>
          </w:tcPr>
          <w:p w14:paraId="52E11EB5" w14:textId="15A2C78C" w:rsidR="00E5617A" w:rsidRPr="000F632C" w:rsidRDefault="00E5617A" w:rsidP="00DB4807">
            <w:pPr>
              <w:spacing w:after="0" w:line="240" w:lineRule="auto"/>
              <w:jc w:val="center"/>
              <w:rPr>
                <w:rFonts w:ascii="Arial" w:eastAsia="Times New Roman" w:hAnsi="Arial" w:cs="Arial"/>
                <w:b/>
                <w:bCs/>
                <w:i/>
                <w:iCs/>
                <w:sz w:val="20"/>
                <w:szCs w:val="20"/>
              </w:rPr>
            </w:pPr>
            <w:r w:rsidRPr="000F632C">
              <w:rPr>
                <w:rFonts w:ascii="Arial" w:eastAsia="Times New Roman" w:hAnsi="Arial" w:cs="Arial"/>
                <w:b/>
                <w:bCs/>
                <w:i/>
                <w:iCs/>
                <w:sz w:val="20"/>
                <w:szCs w:val="20"/>
              </w:rPr>
              <w:t>Obrazloženje za prihode u razdoblju 202</w:t>
            </w:r>
            <w:r w:rsidR="007D3662">
              <w:rPr>
                <w:rFonts w:ascii="Arial" w:eastAsia="Times New Roman" w:hAnsi="Arial" w:cs="Arial"/>
                <w:b/>
                <w:bCs/>
                <w:i/>
                <w:iCs/>
                <w:sz w:val="20"/>
                <w:szCs w:val="20"/>
              </w:rPr>
              <w:t>5</w:t>
            </w:r>
            <w:r w:rsidRPr="000F632C">
              <w:rPr>
                <w:rFonts w:ascii="Arial" w:eastAsia="Times New Roman" w:hAnsi="Arial" w:cs="Arial"/>
                <w:b/>
                <w:bCs/>
                <w:i/>
                <w:iCs/>
                <w:sz w:val="20"/>
                <w:szCs w:val="20"/>
              </w:rPr>
              <w:t>.</w:t>
            </w:r>
          </w:p>
        </w:tc>
      </w:tr>
      <w:tr w:rsidR="0083333C" w:rsidRPr="00EE5F8F" w14:paraId="0EC48401" w14:textId="77777777" w:rsidTr="0083333C">
        <w:trPr>
          <w:trHeight w:val="701"/>
        </w:trPr>
        <w:tc>
          <w:tcPr>
            <w:tcW w:w="1268" w:type="dxa"/>
            <w:gridSpan w:val="2"/>
            <w:tcBorders>
              <w:top w:val="single" w:sz="4" w:space="0" w:color="auto"/>
              <w:left w:val="single" w:sz="4" w:space="0" w:color="auto"/>
              <w:bottom w:val="single" w:sz="4" w:space="0" w:color="auto"/>
              <w:right w:val="single" w:sz="4" w:space="0" w:color="auto"/>
            </w:tcBorders>
            <w:vAlign w:val="center"/>
          </w:tcPr>
          <w:p w14:paraId="2E6E3D7F" w14:textId="093C079C" w:rsidR="00EE5F8F" w:rsidRPr="00EE5F8F" w:rsidRDefault="00EE5F8F" w:rsidP="00EE5F8F">
            <w:pPr>
              <w:spacing w:after="0" w:line="240" w:lineRule="auto"/>
              <w:rPr>
                <w:rFonts w:ascii="Arial" w:eastAsia="Times New Roman" w:hAnsi="Arial" w:cs="Arial"/>
                <w:sz w:val="16"/>
                <w:szCs w:val="16"/>
              </w:rPr>
            </w:pPr>
            <w:r>
              <w:rPr>
                <w:rFonts w:ascii="Arial" w:hAnsi="Arial" w:cs="Arial"/>
                <w:sz w:val="16"/>
                <w:szCs w:val="16"/>
              </w:rPr>
              <w:t>prihodi od zakupa poslovnih prostora (7722)</w:t>
            </w:r>
          </w:p>
        </w:tc>
        <w:tc>
          <w:tcPr>
            <w:tcW w:w="1136" w:type="dxa"/>
            <w:gridSpan w:val="2"/>
            <w:tcBorders>
              <w:top w:val="nil"/>
              <w:left w:val="nil"/>
              <w:bottom w:val="single" w:sz="4" w:space="0" w:color="auto"/>
              <w:right w:val="single" w:sz="4" w:space="0" w:color="auto"/>
            </w:tcBorders>
            <w:vAlign w:val="center"/>
          </w:tcPr>
          <w:p w14:paraId="563A0A00" w14:textId="5EFC92EF" w:rsidR="00EE5F8F" w:rsidRPr="00EE5F8F" w:rsidRDefault="00EE5F8F" w:rsidP="00EE5F8F">
            <w:pPr>
              <w:spacing w:after="0" w:line="240" w:lineRule="auto"/>
              <w:rPr>
                <w:rFonts w:ascii="Arial" w:eastAsia="Times New Roman" w:hAnsi="Arial" w:cs="Arial"/>
                <w:sz w:val="16"/>
                <w:szCs w:val="16"/>
              </w:rPr>
            </w:pPr>
            <w:r>
              <w:rPr>
                <w:rFonts w:ascii="Arial" w:hAnsi="Arial" w:cs="Arial"/>
                <w:sz w:val="18"/>
                <w:szCs w:val="18"/>
              </w:rPr>
              <w:t>62.736,87</w:t>
            </w:r>
          </w:p>
        </w:tc>
        <w:tc>
          <w:tcPr>
            <w:tcW w:w="1136" w:type="dxa"/>
            <w:gridSpan w:val="2"/>
            <w:tcBorders>
              <w:top w:val="nil"/>
              <w:left w:val="nil"/>
              <w:bottom w:val="single" w:sz="4" w:space="0" w:color="auto"/>
              <w:right w:val="single" w:sz="4" w:space="0" w:color="auto"/>
            </w:tcBorders>
            <w:vAlign w:val="center"/>
          </w:tcPr>
          <w:p w14:paraId="0B9E8C2D" w14:textId="1A9DBB8F" w:rsidR="00EE5F8F" w:rsidRPr="00EE5F8F" w:rsidRDefault="00EE5F8F" w:rsidP="00EE5F8F">
            <w:pPr>
              <w:spacing w:after="0" w:line="240" w:lineRule="auto"/>
              <w:rPr>
                <w:rFonts w:ascii="Arial" w:eastAsia="Times New Roman" w:hAnsi="Arial" w:cs="Arial"/>
                <w:sz w:val="16"/>
                <w:szCs w:val="16"/>
              </w:rPr>
            </w:pPr>
            <w:r>
              <w:rPr>
                <w:rFonts w:ascii="Arial" w:hAnsi="Arial" w:cs="Arial"/>
                <w:sz w:val="18"/>
                <w:szCs w:val="18"/>
              </w:rPr>
              <w:t>62.914,88</w:t>
            </w:r>
          </w:p>
        </w:tc>
        <w:tc>
          <w:tcPr>
            <w:tcW w:w="1136" w:type="dxa"/>
            <w:tcBorders>
              <w:top w:val="nil"/>
              <w:left w:val="nil"/>
              <w:bottom w:val="single" w:sz="4" w:space="0" w:color="auto"/>
              <w:right w:val="single" w:sz="4" w:space="0" w:color="auto"/>
            </w:tcBorders>
            <w:vAlign w:val="center"/>
          </w:tcPr>
          <w:p w14:paraId="5C745C95" w14:textId="30312388" w:rsidR="00EE5F8F" w:rsidRPr="00EE5F8F" w:rsidRDefault="00EE5F8F" w:rsidP="00EE5F8F">
            <w:pPr>
              <w:spacing w:after="0" w:line="240" w:lineRule="auto"/>
              <w:rPr>
                <w:rFonts w:ascii="Arial" w:eastAsia="Times New Roman" w:hAnsi="Arial" w:cs="Arial"/>
                <w:sz w:val="16"/>
                <w:szCs w:val="16"/>
              </w:rPr>
            </w:pPr>
            <w:r>
              <w:rPr>
                <w:rFonts w:ascii="Arial" w:hAnsi="Arial" w:cs="Arial"/>
                <w:i/>
                <w:iCs/>
                <w:sz w:val="18"/>
                <w:szCs w:val="18"/>
              </w:rPr>
              <w:t>101.814,50</w:t>
            </w:r>
          </w:p>
        </w:tc>
        <w:tc>
          <w:tcPr>
            <w:tcW w:w="1134" w:type="dxa"/>
            <w:tcBorders>
              <w:top w:val="nil"/>
              <w:left w:val="nil"/>
              <w:bottom w:val="single" w:sz="4" w:space="0" w:color="auto"/>
              <w:right w:val="single" w:sz="4" w:space="0" w:color="auto"/>
            </w:tcBorders>
            <w:vAlign w:val="center"/>
          </w:tcPr>
          <w:p w14:paraId="7710AFD8" w14:textId="682CF64A" w:rsidR="00EE5F8F" w:rsidRPr="00EE5F8F" w:rsidRDefault="00EE5F8F" w:rsidP="00EE5F8F">
            <w:pPr>
              <w:spacing w:after="0" w:line="240" w:lineRule="auto"/>
              <w:rPr>
                <w:rFonts w:ascii="Arial" w:eastAsia="Times New Roman" w:hAnsi="Arial" w:cs="Arial"/>
                <w:sz w:val="16"/>
                <w:szCs w:val="16"/>
              </w:rPr>
            </w:pPr>
            <w:r>
              <w:rPr>
                <w:rFonts w:ascii="Arial" w:hAnsi="Arial" w:cs="Arial"/>
                <w:i/>
                <w:iCs/>
                <w:sz w:val="18"/>
                <w:szCs w:val="18"/>
              </w:rPr>
              <w:t>58.503,77</w:t>
            </w:r>
          </w:p>
        </w:tc>
        <w:tc>
          <w:tcPr>
            <w:tcW w:w="1134" w:type="dxa"/>
            <w:tcBorders>
              <w:top w:val="nil"/>
              <w:left w:val="nil"/>
              <w:bottom w:val="single" w:sz="4" w:space="0" w:color="auto"/>
              <w:right w:val="single" w:sz="4" w:space="0" w:color="auto"/>
            </w:tcBorders>
            <w:vAlign w:val="center"/>
          </w:tcPr>
          <w:p w14:paraId="5636EB00" w14:textId="1FF16594" w:rsidR="00EE5F8F" w:rsidRPr="00EE5F8F" w:rsidRDefault="00EE5F8F" w:rsidP="00EE5F8F">
            <w:pPr>
              <w:spacing w:after="0" w:line="240" w:lineRule="auto"/>
              <w:rPr>
                <w:rFonts w:ascii="Arial" w:eastAsia="Times New Roman" w:hAnsi="Arial" w:cs="Arial"/>
                <w:sz w:val="16"/>
                <w:szCs w:val="16"/>
              </w:rPr>
            </w:pPr>
            <w:r>
              <w:rPr>
                <w:rFonts w:ascii="Arial" w:hAnsi="Arial" w:cs="Arial"/>
                <w:i/>
                <w:iCs/>
                <w:sz w:val="18"/>
                <w:szCs w:val="18"/>
              </w:rPr>
              <w:t>95.526,23</w:t>
            </w:r>
          </w:p>
        </w:tc>
        <w:tc>
          <w:tcPr>
            <w:tcW w:w="1276" w:type="dxa"/>
            <w:tcBorders>
              <w:top w:val="nil"/>
              <w:left w:val="nil"/>
              <w:bottom w:val="single" w:sz="4" w:space="0" w:color="auto"/>
              <w:right w:val="single" w:sz="4" w:space="0" w:color="auto"/>
            </w:tcBorders>
            <w:vAlign w:val="center"/>
          </w:tcPr>
          <w:p w14:paraId="13E250D2" w14:textId="0AD29970" w:rsidR="00EE5F8F" w:rsidRPr="00EE5F8F" w:rsidRDefault="00EE5F8F" w:rsidP="00EE5F8F">
            <w:pPr>
              <w:spacing w:after="0" w:line="240" w:lineRule="auto"/>
              <w:rPr>
                <w:rFonts w:ascii="Arial" w:eastAsia="Times New Roman" w:hAnsi="Arial" w:cs="Arial"/>
                <w:sz w:val="16"/>
                <w:szCs w:val="16"/>
              </w:rPr>
            </w:pPr>
            <w:r>
              <w:rPr>
                <w:rFonts w:ascii="Arial" w:hAnsi="Arial" w:cs="Arial"/>
                <w:i/>
                <w:iCs/>
                <w:sz w:val="18"/>
                <w:szCs w:val="18"/>
              </w:rPr>
              <w:t>111.632,34</w:t>
            </w:r>
          </w:p>
        </w:tc>
        <w:tc>
          <w:tcPr>
            <w:tcW w:w="1134" w:type="dxa"/>
            <w:tcBorders>
              <w:top w:val="single" w:sz="4" w:space="0" w:color="auto"/>
              <w:left w:val="nil"/>
              <w:bottom w:val="single" w:sz="4" w:space="0" w:color="auto"/>
              <w:right w:val="single" w:sz="4" w:space="0" w:color="auto"/>
            </w:tcBorders>
            <w:vAlign w:val="center"/>
          </w:tcPr>
          <w:p w14:paraId="6C433864" w14:textId="4C5519C8" w:rsidR="00EE5F8F" w:rsidRPr="00EE5F8F" w:rsidRDefault="00EE5F8F" w:rsidP="00EE5F8F">
            <w:pPr>
              <w:spacing w:after="0" w:line="240" w:lineRule="auto"/>
              <w:rPr>
                <w:rFonts w:ascii="Arial" w:eastAsia="Times New Roman" w:hAnsi="Arial" w:cs="Arial"/>
                <w:sz w:val="16"/>
                <w:szCs w:val="16"/>
              </w:rPr>
            </w:pPr>
            <w:r>
              <w:rPr>
                <w:rFonts w:ascii="Arial" w:hAnsi="Arial" w:cs="Arial"/>
                <w:sz w:val="18"/>
                <w:szCs w:val="18"/>
              </w:rPr>
              <w:t>95.752,70</w:t>
            </w:r>
          </w:p>
        </w:tc>
        <w:tc>
          <w:tcPr>
            <w:tcW w:w="1134" w:type="dxa"/>
            <w:tcBorders>
              <w:top w:val="single" w:sz="4" w:space="0" w:color="auto"/>
              <w:left w:val="nil"/>
              <w:bottom w:val="single" w:sz="4" w:space="0" w:color="auto"/>
              <w:right w:val="single" w:sz="4" w:space="0" w:color="auto"/>
            </w:tcBorders>
            <w:vAlign w:val="center"/>
          </w:tcPr>
          <w:p w14:paraId="69D745B1" w14:textId="77CADB0E" w:rsidR="00EE5F8F" w:rsidRPr="00EE5F8F" w:rsidRDefault="00EE5F8F" w:rsidP="00EE5F8F">
            <w:pPr>
              <w:spacing w:after="0" w:line="240" w:lineRule="auto"/>
              <w:rPr>
                <w:rFonts w:ascii="Arial" w:eastAsia="Times New Roman" w:hAnsi="Arial" w:cs="Arial"/>
                <w:sz w:val="16"/>
                <w:szCs w:val="16"/>
              </w:rPr>
            </w:pPr>
            <w:r>
              <w:rPr>
                <w:rFonts w:ascii="Arial" w:hAnsi="Arial" w:cs="Arial"/>
                <w:sz w:val="18"/>
                <w:szCs w:val="18"/>
              </w:rPr>
              <w:t>106.246,88</w:t>
            </w:r>
          </w:p>
        </w:tc>
        <w:tc>
          <w:tcPr>
            <w:tcW w:w="1134" w:type="dxa"/>
            <w:tcBorders>
              <w:top w:val="single" w:sz="4" w:space="0" w:color="auto"/>
              <w:left w:val="nil"/>
              <w:bottom w:val="single" w:sz="4" w:space="0" w:color="auto"/>
              <w:right w:val="single" w:sz="4" w:space="0" w:color="auto"/>
            </w:tcBorders>
            <w:vAlign w:val="center"/>
          </w:tcPr>
          <w:p w14:paraId="029990C3" w14:textId="3C429A47" w:rsidR="00EE5F8F" w:rsidRPr="00EE5F8F" w:rsidRDefault="00EE5F8F" w:rsidP="00EE5F8F">
            <w:pPr>
              <w:spacing w:after="0" w:line="240" w:lineRule="auto"/>
              <w:rPr>
                <w:rFonts w:ascii="Arial" w:eastAsia="Times New Roman" w:hAnsi="Arial" w:cs="Arial"/>
                <w:sz w:val="16"/>
                <w:szCs w:val="16"/>
              </w:rPr>
            </w:pPr>
            <w:r>
              <w:rPr>
                <w:rFonts w:ascii="Arial" w:hAnsi="Arial" w:cs="Arial"/>
                <w:sz w:val="18"/>
                <w:szCs w:val="18"/>
              </w:rPr>
              <w:t>258.661,54</w:t>
            </w:r>
          </w:p>
        </w:tc>
        <w:tc>
          <w:tcPr>
            <w:tcW w:w="3120" w:type="dxa"/>
            <w:tcBorders>
              <w:top w:val="single" w:sz="4" w:space="0" w:color="auto"/>
              <w:left w:val="nil"/>
              <w:bottom w:val="single" w:sz="4" w:space="0" w:color="auto"/>
              <w:right w:val="single" w:sz="4" w:space="0" w:color="auto"/>
            </w:tcBorders>
            <w:vAlign w:val="center"/>
          </w:tcPr>
          <w:p w14:paraId="58534D2C" w14:textId="622568BD" w:rsidR="00EE5F8F" w:rsidRPr="005D6F11" w:rsidRDefault="00EE5F8F" w:rsidP="00EE5F8F">
            <w:pPr>
              <w:spacing w:after="0" w:line="240" w:lineRule="auto"/>
              <w:rPr>
                <w:rFonts w:ascii="Arial" w:eastAsia="Times New Roman" w:hAnsi="Arial" w:cs="Arial"/>
                <w:sz w:val="16"/>
                <w:szCs w:val="16"/>
              </w:rPr>
            </w:pPr>
            <w:r w:rsidRPr="005D6F11">
              <w:rPr>
                <w:rFonts w:ascii="Arial" w:hAnsi="Arial" w:cs="Arial"/>
                <w:sz w:val="16"/>
                <w:szCs w:val="16"/>
              </w:rPr>
              <w:t>Na temelju zaključenih ugovora i ispostavljenih računa zakupcima. Ovi prihodi se odnose na naplaćena dugovanja iz prethodne godine i na zakupe u 2025.</w:t>
            </w:r>
          </w:p>
        </w:tc>
      </w:tr>
      <w:tr w:rsidR="00EE5F8F" w:rsidRPr="000F632C" w14:paraId="7820DB2C" w14:textId="77777777" w:rsidTr="0083333C">
        <w:trPr>
          <w:trHeight w:val="3180"/>
        </w:trPr>
        <w:tc>
          <w:tcPr>
            <w:tcW w:w="1268" w:type="dxa"/>
            <w:gridSpan w:val="2"/>
            <w:tcBorders>
              <w:top w:val="nil"/>
              <w:left w:val="single" w:sz="4" w:space="0" w:color="auto"/>
              <w:bottom w:val="single" w:sz="4" w:space="0" w:color="auto"/>
              <w:right w:val="single" w:sz="4" w:space="0" w:color="auto"/>
            </w:tcBorders>
            <w:vAlign w:val="center"/>
            <w:hideMark/>
          </w:tcPr>
          <w:p w14:paraId="6EAC79D0" w14:textId="33CEED13" w:rsidR="00EE5F8F" w:rsidRPr="000F632C" w:rsidRDefault="00EE5F8F" w:rsidP="00EE5F8F">
            <w:pPr>
              <w:spacing w:after="0" w:line="240" w:lineRule="auto"/>
              <w:rPr>
                <w:rFonts w:ascii="Arial" w:eastAsia="Times New Roman" w:hAnsi="Arial" w:cs="Arial"/>
                <w:sz w:val="16"/>
                <w:szCs w:val="16"/>
              </w:rPr>
            </w:pPr>
            <w:r w:rsidRPr="000F632C">
              <w:rPr>
                <w:rFonts w:ascii="Arial" w:eastAsia="Times New Roman" w:hAnsi="Arial" w:cs="Arial"/>
                <w:sz w:val="16"/>
                <w:szCs w:val="16"/>
              </w:rPr>
              <w:t>naknada za pravo puta na nekretninama</w:t>
            </w:r>
          </w:p>
        </w:tc>
        <w:tc>
          <w:tcPr>
            <w:tcW w:w="1136" w:type="dxa"/>
            <w:gridSpan w:val="2"/>
            <w:tcBorders>
              <w:top w:val="nil"/>
              <w:left w:val="nil"/>
              <w:bottom w:val="single" w:sz="4" w:space="0" w:color="auto"/>
              <w:right w:val="single" w:sz="4" w:space="0" w:color="auto"/>
            </w:tcBorders>
            <w:vAlign w:val="center"/>
            <w:hideMark/>
          </w:tcPr>
          <w:p w14:paraId="69CA1FCA" w14:textId="77777777" w:rsidR="00EE5F8F" w:rsidRPr="000F632C" w:rsidRDefault="00EE5F8F" w:rsidP="00EE5F8F">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6" w:type="dxa"/>
            <w:gridSpan w:val="2"/>
            <w:tcBorders>
              <w:top w:val="nil"/>
              <w:left w:val="nil"/>
              <w:bottom w:val="single" w:sz="4" w:space="0" w:color="auto"/>
              <w:right w:val="single" w:sz="4" w:space="0" w:color="auto"/>
            </w:tcBorders>
            <w:vAlign w:val="center"/>
            <w:hideMark/>
          </w:tcPr>
          <w:p w14:paraId="0A3272B6" w14:textId="77777777" w:rsidR="00EE5F8F" w:rsidRPr="000F632C" w:rsidRDefault="00EE5F8F" w:rsidP="00EE5F8F">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57.887,14</w:t>
            </w:r>
          </w:p>
        </w:tc>
        <w:tc>
          <w:tcPr>
            <w:tcW w:w="1136" w:type="dxa"/>
            <w:tcBorders>
              <w:top w:val="nil"/>
              <w:left w:val="nil"/>
              <w:bottom w:val="single" w:sz="4" w:space="0" w:color="auto"/>
              <w:right w:val="single" w:sz="4" w:space="0" w:color="auto"/>
            </w:tcBorders>
            <w:vAlign w:val="center"/>
            <w:hideMark/>
          </w:tcPr>
          <w:p w14:paraId="4C6759ED" w14:textId="77777777" w:rsidR="00EE5F8F" w:rsidRPr="000F632C" w:rsidRDefault="00EE5F8F" w:rsidP="00EE5F8F">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61.286,13</w:t>
            </w:r>
          </w:p>
        </w:tc>
        <w:tc>
          <w:tcPr>
            <w:tcW w:w="1134" w:type="dxa"/>
            <w:tcBorders>
              <w:top w:val="nil"/>
              <w:left w:val="nil"/>
              <w:bottom w:val="single" w:sz="4" w:space="0" w:color="auto"/>
              <w:right w:val="single" w:sz="4" w:space="0" w:color="auto"/>
            </w:tcBorders>
            <w:vAlign w:val="center"/>
            <w:hideMark/>
          </w:tcPr>
          <w:p w14:paraId="33F1C093" w14:textId="77777777" w:rsidR="00EE5F8F" w:rsidRPr="000F632C" w:rsidRDefault="00EE5F8F" w:rsidP="00EE5F8F">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32.342,56</w:t>
            </w:r>
          </w:p>
        </w:tc>
        <w:tc>
          <w:tcPr>
            <w:tcW w:w="1134" w:type="dxa"/>
            <w:tcBorders>
              <w:top w:val="nil"/>
              <w:left w:val="nil"/>
              <w:bottom w:val="single" w:sz="4" w:space="0" w:color="auto"/>
              <w:right w:val="single" w:sz="4" w:space="0" w:color="auto"/>
            </w:tcBorders>
            <w:vAlign w:val="center"/>
            <w:hideMark/>
          </w:tcPr>
          <w:p w14:paraId="5C759B52" w14:textId="77777777" w:rsidR="00EE5F8F" w:rsidRPr="000F632C" w:rsidRDefault="00EE5F8F" w:rsidP="00EE5F8F">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32.342,56</w:t>
            </w:r>
          </w:p>
        </w:tc>
        <w:tc>
          <w:tcPr>
            <w:tcW w:w="1276" w:type="dxa"/>
            <w:tcBorders>
              <w:top w:val="nil"/>
              <w:left w:val="nil"/>
              <w:bottom w:val="single" w:sz="4" w:space="0" w:color="auto"/>
              <w:right w:val="single" w:sz="4" w:space="0" w:color="auto"/>
            </w:tcBorders>
            <w:vAlign w:val="center"/>
            <w:hideMark/>
          </w:tcPr>
          <w:p w14:paraId="26D4836A" w14:textId="77777777" w:rsidR="00EE5F8F" w:rsidRPr="000F632C" w:rsidRDefault="00EE5F8F" w:rsidP="00EE5F8F">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61.285,88</w:t>
            </w:r>
          </w:p>
        </w:tc>
        <w:tc>
          <w:tcPr>
            <w:tcW w:w="1134" w:type="dxa"/>
            <w:tcBorders>
              <w:top w:val="nil"/>
              <w:left w:val="nil"/>
              <w:bottom w:val="single" w:sz="4" w:space="0" w:color="auto"/>
              <w:right w:val="single" w:sz="4" w:space="0" w:color="auto"/>
            </w:tcBorders>
            <w:vAlign w:val="center"/>
            <w:hideMark/>
          </w:tcPr>
          <w:p w14:paraId="41C23F31" w14:textId="77777777" w:rsidR="00EE5F8F" w:rsidRPr="000F632C" w:rsidRDefault="00EE5F8F" w:rsidP="00EE5F8F">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61.301,81</w:t>
            </w:r>
          </w:p>
        </w:tc>
        <w:tc>
          <w:tcPr>
            <w:tcW w:w="1134" w:type="dxa"/>
            <w:tcBorders>
              <w:top w:val="nil"/>
              <w:left w:val="nil"/>
              <w:bottom w:val="single" w:sz="4" w:space="0" w:color="auto"/>
              <w:right w:val="single" w:sz="4" w:space="0" w:color="auto"/>
            </w:tcBorders>
            <w:vAlign w:val="center"/>
            <w:hideMark/>
          </w:tcPr>
          <w:p w14:paraId="53FF11CB" w14:textId="77777777" w:rsidR="00EE5F8F" w:rsidRPr="000F632C" w:rsidRDefault="00EE5F8F" w:rsidP="00EE5F8F">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61.285,88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5A6E29" w14:textId="1ADAF377" w:rsidR="00EE5F8F" w:rsidRPr="000F632C" w:rsidRDefault="00EE5F8F" w:rsidP="00EE5F8F">
            <w:pPr>
              <w:spacing w:after="0" w:line="240" w:lineRule="auto"/>
              <w:jc w:val="right"/>
              <w:rPr>
                <w:rFonts w:ascii="Arial" w:eastAsia="Times New Roman" w:hAnsi="Arial" w:cs="Arial"/>
                <w:sz w:val="16"/>
                <w:szCs w:val="16"/>
              </w:rPr>
            </w:pPr>
            <w:r>
              <w:rPr>
                <w:rFonts w:ascii="Arial" w:hAnsi="Arial" w:cs="Arial"/>
                <w:sz w:val="18"/>
                <w:szCs w:val="18"/>
              </w:rPr>
              <w:t>61.317,74</w:t>
            </w:r>
          </w:p>
        </w:tc>
        <w:tc>
          <w:tcPr>
            <w:tcW w:w="3120" w:type="dxa"/>
            <w:tcBorders>
              <w:top w:val="single" w:sz="4" w:space="0" w:color="auto"/>
              <w:left w:val="nil"/>
              <w:bottom w:val="single" w:sz="4" w:space="0" w:color="auto"/>
              <w:right w:val="single" w:sz="4" w:space="0" w:color="auto"/>
            </w:tcBorders>
            <w:vAlign w:val="center"/>
            <w:hideMark/>
          </w:tcPr>
          <w:p w14:paraId="57411DCB" w14:textId="05210B8B" w:rsidR="00EE5F8F" w:rsidRPr="005D6F11" w:rsidRDefault="00EE5F8F" w:rsidP="00EE5F8F">
            <w:pPr>
              <w:spacing w:after="0" w:line="240" w:lineRule="auto"/>
              <w:rPr>
                <w:rFonts w:ascii="Arial" w:eastAsia="Times New Roman" w:hAnsi="Arial" w:cs="Arial"/>
                <w:sz w:val="16"/>
                <w:szCs w:val="16"/>
              </w:rPr>
            </w:pPr>
            <w:r w:rsidRPr="005D6F11">
              <w:rPr>
                <w:rFonts w:ascii="Arial" w:hAnsi="Arial" w:cs="Arial"/>
                <w:sz w:val="16"/>
                <w:szCs w:val="16"/>
              </w:rPr>
              <w:t xml:space="preserve">Prihodi od Hrvatskog telekoma sukladno Zakonu o elektroničkim komunikacijama i Pravilniku o potvrdi i naknadi za pravo puta. U veljači 2019. godine HAKOM je ispostavio rješenje, a HT dostavio tablicu obračuna kojom su obuhvaćene nekretnine na kojima općina nema upisano vlasništvo u zemljišnim knjigama (putevi i slično), te godišnja naknada za ove nekretnine iznosi dodatno 243.685,02 kn (32.342,56 €). Prema djelomičnom rješenju HAKOM-a iz siječnja 2018. naknada za elektroničko komunikacijsku mrežu, elektroničku komunikacijsku infrastrukturu i drugu opremu izgrađenu na nekretninama u vlasništvu Općine iznosi 218.075,33 kn / 28.943,57 €.  Novim </w:t>
            </w:r>
            <w:r w:rsidRPr="005D6F11">
              <w:rPr>
                <w:rFonts w:ascii="Arial" w:hAnsi="Arial" w:cs="Arial"/>
                <w:b/>
                <w:bCs/>
                <w:sz w:val="16"/>
                <w:szCs w:val="16"/>
              </w:rPr>
              <w:t>rješenjem iz srpnja 2020.</w:t>
            </w:r>
            <w:r w:rsidRPr="005D6F11">
              <w:rPr>
                <w:rFonts w:ascii="Arial" w:hAnsi="Arial" w:cs="Arial"/>
                <w:sz w:val="16"/>
                <w:szCs w:val="16"/>
              </w:rPr>
              <w:t xml:space="preserve"> (zamjenjuje rješenje iz 2018.) se utvrđuje pravo Općine na naknadu od 24. siječnja 2019. umjesto od 7.11.2017.  U 2021. naplaćena naknada za razdoblje 24.01.2021.-23.01.2022. U 2022., 2023., 2024., kao i u 2025. g. je naplaćena naknada po rješenju iz veljače 2019. i srpnja 2020. godišnje u ukupnom iznosu 61.285,88 €.  Također, na temelju ugovora s Hrvatskim telekomom, ostvareni su prihodi za pravo služnosti na nekretninama na dvije lokacije u iznosu 31,86 €. </w:t>
            </w:r>
          </w:p>
        </w:tc>
      </w:tr>
      <w:tr w:rsidR="005D6F11" w:rsidRPr="000F632C" w14:paraId="4EDE9D35" w14:textId="77777777" w:rsidTr="0083333C">
        <w:trPr>
          <w:trHeight w:val="573"/>
        </w:trPr>
        <w:tc>
          <w:tcPr>
            <w:tcW w:w="1268" w:type="dxa"/>
            <w:gridSpan w:val="2"/>
            <w:tcBorders>
              <w:top w:val="single" w:sz="4" w:space="0" w:color="auto"/>
              <w:left w:val="single" w:sz="4" w:space="0" w:color="auto"/>
              <w:bottom w:val="single" w:sz="4" w:space="0" w:color="auto"/>
              <w:right w:val="single" w:sz="4" w:space="0" w:color="auto"/>
            </w:tcBorders>
            <w:vAlign w:val="center"/>
          </w:tcPr>
          <w:p w14:paraId="45AD6338" w14:textId="644C15B8" w:rsidR="005D6F11" w:rsidRPr="000F632C" w:rsidRDefault="005D6F11" w:rsidP="005D6F11">
            <w:pPr>
              <w:spacing w:after="0" w:line="240" w:lineRule="auto"/>
              <w:rPr>
                <w:rFonts w:ascii="Arial" w:eastAsia="Times New Roman" w:hAnsi="Arial" w:cs="Arial"/>
                <w:sz w:val="16"/>
                <w:szCs w:val="16"/>
              </w:rPr>
            </w:pPr>
            <w:r w:rsidRPr="000F632C">
              <w:rPr>
                <w:rFonts w:ascii="Arial" w:eastAsia="Times New Roman" w:hAnsi="Arial" w:cs="Arial"/>
                <w:sz w:val="16"/>
                <w:szCs w:val="16"/>
              </w:rPr>
              <w:t>naknada od naplate lučkih pristojbi</w:t>
            </w:r>
          </w:p>
        </w:tc>
        <w:tc>
          <w:tcPr>
            <w:tcW w:w="1136" w:type="dxa"/>
            <w:gridSpan w:val="2"/>
            <w:tcBorders>
              <w:top w:val="single" w:sz="4" w:space="0" w:color="auto"/>
              <w:left w:val="nil"/>
              <w:bottom w:val="single" w:sz="4" w:space="0" w:color="auto"/>
              <w:right w:val="single" w:sz="4" w:space="0" w:color="auto"/>
            </w:tcBorders>
            <w:vAlign w:val="center"/>
          </w:tcPr>
          <w:p w14:paraId="27C4315D" w14:textId="55EA2E0D" w:rsidR="005D6F11" w:rsidRPr="000F632C" w:rsidRDefault="005D6F11" w:rsidP="005D6F11">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25.209,24</w:t>
            </w:r>
          </w:p>
        </w:tc>
        <w:tc>
          <w:tcPr>
            <w:tcW w:w="1136" w:type="dxa"/>
            <w:gridSpan w:val="2"/>
            <w:tcBorders>
              <w:top w:val="single" w:sz="4" w:space="0" w:color="auto"/>
              <w:left w:val="nil"/>
              <w:bottom w:val="single" w:sz="4" w:space="0" w:color="auto"/>
              <w:right w:val="single" w:sz="4" w:space="0" w:color="auto"/>
            </w:tcBorders>
            <w:vAlign w:val="center"/>
          </w:tcPr>
          <w:p w14:paraId="2CA68458" w14:textId="13F58C61" w:rsidR="005D6F11" w:rsidRPr="000F632C" w:rsidRDefault="005D6F11" w:rsidP="005D6F11">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6" w:type="dxa"/>
            <w:tcBorders>
              <w:top w:val="single" w:sz="4" w:space="0" w:color="auto"/>
              <w:left w:val="nil"/>
              <w:bottom w:val="single" w:sz="4" w:space="0" w:color="auto"/>
              <w:right w:val="single" w:sz="4" w:space="0" w:color="auto"/>
            </w:tcBorders>
            <w:vAlign w:val="center"/>
          </w:tcPr>
          <w:p w14:paraId="0B2FE95B" w14:textId="4E172F0B" w:rsidR="005D6F11" w:rsidRPr="000F632C" w:rsidRDefault="005D6F11" w:rsidP="005D6F11">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41.033,74</w:t>
            </w:r>
          </w:p>
        </w:tc>
        <w:tc>
          <w:tcPr>
            <w:tcW w:w="1134" w:type="dxa"/>
            <w:tcBorders>
              <w:top w:val="single" w:sz="4" w:space="0" w:color="auto"/>
              <w:left w:val="nil"/>
              <w:bottom w:val="single" w:sz="4" w:space="0" w:color="auto"/>
              <w:right w:val="single" w:sz="4" w:space="0" w:color="auto"/>
            </w:tcBorders>
            <w:vAlign w:val="center"/>
          </w:tcPr>
          <w:p w14:paraId="4818032D" w14:textId="6A748F9C" w:rsidR="005D6F11" w:rsidRPr="000F632C" w:rsidRDefault="005D6F11" w:rsidP="005D6F11">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134" w:type="dxa"/>
            <w:tcBorders>
              <w:top w:val="single" w:sz="4" w:space="0" w:color="auto"/>
              <w:left w:val="nil"/>
              <w:bottom w:val="single" w:sz="4" w:space="0" w:color="auto"/>
              <w:right w:val="single" w:sz="4" w:space="0" w:color="auto"/>
            </w:tcBorders>
            <w:vAlign w:val="center"/>
          </w:tcPr>
          <w:p w14:paraId="5C3EBB40" w14:textId="14B652FA" w:rsidR="005D6F11" w:rsidRPr="000F632C" w:rsidRDefault="005D6F11" w:rsidP="005D6F11">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276" w:type="dxa"/>
            <w:tcBorders>
              <w:top w:val="single" w:sz="4" w:space="0" w:color="auto"/>
              <w:left w:val="nil"/>
              <w:bottom w:val="single" w:sz="4" w:space="0" w:color="auto"/>
              <w:right w:val="single" w:sz="4" w:space="0" w:color="auto"/>
            </w:tcBorders>
            <w:vAlign w:val="center"/>
          </w:tcPr>
          <w:p w14:paraId="6DA26149" w14:textId="319A0B9A" w:rsidR="005D6F11" w:rsidRPr="000F632C" w:rsidRDefault="005D6F11" w:rsidP="005D6F11">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134" w:type="dxa"/>
            <w:tcBorders>
              <w:top w:val="single" w:sz="4" w:space="0" w:color="auto"/>
              <w:left w:val="nil"/>
              <w:bottom w:val="single" w:sz="4" w:space="0" w:color="auto"/>
              <w:right w:val="single" w:sz="4" w:space="0" w:color="auto"/>
            </w:tcBorders>
            <w:vAlign w:val="center"/>
          </w:tcPr>
          <w:p w14:paraId="097B21F6" w14:textId="7DBBD10F" w:rsidR="005D6F11" w:rsidRPr="000F632C" w:rsidRDefault="005D6F11" w:rsidP="005D6F11">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tcBorders>
              <w:top w:val="single" w:sz="4" w:space="0" w:color="auto"/>
              <w:left w:val="nil"/>
              <w:bottom w:val="single" w:sz="4" w:space="0" w:color="auto"/>
              <w:right w:val="single" w:sz="4" w:space="0" w:color="auto"/>
            </w:tcBorders>
            <w:vAlign w:val="center"/>
          </w:tcPr>
          <w:p w14:paraId="53D29855" w14:textId="29501C8B" w:rsidR="005D6F11" w:rsidRPr="000F632C" w:rsidRDefault="005D6F11" w:rsidP="005D6F11">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512AD709" w14:textId="0163D026" w:rsidR="005D6F11" w:rsidRDefault="005D6F11" w:rsidP="005D6F11">
            <w:pPr>
              <w:spacing w:after="0" w:line="240" w:lineRule="auto"/>
              <w:jc w:val="right"/>
              <w:rPr>
                <w:rFonts w:ascii="Arial" w:hAnsi="Arial" w:cs="Arial"/>
                <w:sz w:val="18"/>
                <w:szCs w:val="18"/>
              </w:rPr>
            </w:pPr>
            <w:r>
              <w:rPr>
                <w:rFonts w:ascii="Arial" w:hAnsi="Arial" w:cs="Arial"/>
                <w:sz w:val="18"/>
                <w:szCs w:val="18"/>
              </w:rPr>
              <w:t>0,00</w:t>
            </w:r>
          </w:p>
        </w:tc>
        <w:tc>
          <w:tcPr>
            <w:tcW w:w="3120" w:type="dxa"/>
            <w:tcBorders>
              <w:top w:val="single" w:sz="4" w:space="0" w:color="auto"/>
              <w:left w:val="nil"/>
              <w:bottom w:val="single" w:sz="4" w:space="0" w:color="auto"/>
              <w:right w:val="single" w:sz="4" w:space="0" w:color="auto"/>
            </w:tcBorders>
            <w:vAlign w:val="center"/>
          </w:tcPr>
          <w:p w14:paraId="73884C28" w14:textId="6D34F880" w:rsidR="005D6F11" w:rsidRPr="005D6F11" w:rsidRDefault="005D6F11" w:rsidP="005D6F11">
            <w:pPr>
              <w:spacing w:after="0" w:line="240" w:lineRule="auto"/>
              <w:rPr>
                <w:rFonts w:ascii="Arial" w:hAnsi="Arial" w:cs="Arial"/>
                <w:sz w:val="16"/>
                <w:szCs w:val="16"/>
              </w:rPr>
            </w:pPr>
            <w:r w:rsidRPr="005D6F11">
              <w:rPr>
                <w:rFonts w:ascii="Arial" w:hAnsi="Arial" w:cs="Arial"/>
                <w:sz w:val="16"/>
                <w:szCs w:val="16"/>
              </w:rPr>
              <w:t xml:space="preserve">U 2019. godine je bila naplaćena naknada od naplate lučkih pristojbi na području Općine </w:t>
            </w:r>
            <w:r w:rsidRPr="005D6F11">
              <w:rPr>
                <w:rFonts w:ascii="Arial" w:hAnsi="Arial" w:cs="Arial"/>
                <w:b/>
                <w:bCs/>
                <w:sz w:val="16"/>
                <w:szCs w:val="16"/>
              </w:rPr>
              <w:t>tijekom 2017.</w:t>
            </w:r>
            <w:r w:rsidRPr="005D6F11">
              <w:rPr>
                <w:rFonts w:ascii="Arial" w:hAnsi="Arial" w:cs="Arial"/>
                <w:sz w:val="16"/>
                <w:szCs w:val="16"/>
              </w:rPr>
              <w:t xml:space="preserve"> te je Općini bilo doznačeno 30% neto prihoda iz 2017. u iznosu 41.033,74 € (prema odredbama Pravilnika o kriterijima za određivanje namjene pojedinog dijela luke otvorene za javni promet županijskog i lokalnog značaja, način plaćanja veza, uvjete korištenja, te određivanja maksimalne visine naknade i raspodjele prihoda – Narodne novine 94/2007, 79/2008, 114/2012, 47/2013).</w:t>
            </w:r>
          </w:p>
        </w:tc>
      </w:tr>
    </w:tbl>
    <w:p w14:paraId="3826EFD1" w14:textId="77777777" w:rsidR="005D6F11" w:rsidRDefault="005D6F11" w:rsidP="00F91AE6">
      <w:pPr>
        <w:spacing w:after="0" w:line="240" w:lineRule="auto"/>
        <w:jc w:val="both"/>
        <w:rPr>
          <w:rFonts w:ascii="Arial" w:eastAsia="Times New Roman" w:hAnsi="Arial" w:cs="Arial"/>
        </w:rPr>
      </w:pPr>
    </w:p>
    <w:tbl>
      <w:tblPr>
        <w:tblW w:w="14742" w:type="dxa"/>
        <w:tblInd w:w="-10" w:type="dxa"/>
        <w:tblCellMar>
          <w:top w:w="28" w:type="dxa"/>
          <w:left w:w="28" w:type="dxa"/>
          <w:bottom w:w="28" w:type="dxa"/>
          <w:right w:w="28" w:type="dxa"/>
        </w:tblCellMar>
        <w:tblLook w:val="04A0" w:firstRow="1" w:lastRow="0" w:firstColumn="1" w:lastColumn="0" w:noHBand="0" w:noVBand="1"/>
      </w:tblPr>
      <w:tblGrid>
        <w:gridCol w:w="1268"/>
        <w:gridCol w:w="1136"/>
        <w:gridCol w:w="1136"/>
        <w:gridCol w:w="1136"/>
        <w:gridCol w:w="1134"/>
        <w:gridCol w:w="1134"/>
        <w:gridCol w:w="1276"/>
        <w:gridCol w:w="1134"/>
        <w:gridCol w:w="1134"/>
        <w:gridCol w:w="1134"/>
        <w:gridCol w:w="3120"/>
      </w:tblGrid>
      <w:tr w:rsidR="005D6F11" w:rsidRPr="000F632C" w14:paraId="5A84A890" w14:textId="77777777" w:rsidTr="006E6137">
        <w:trPr>
          <w:trHeight w:val="701"/>
        </w:trPr>
        <w:tc>
          <w:tcPr>
            <w:tcW w:w="1268" w:type="dxa"/>
            <w:tcBorders>
              <w:top w:val="single" w:sz="4" w:space="0" w:color="auto"/>
              <w:left w:val="single" w:sz="8" w:space="0" w:color="auto"/>
              <w:bottom w:val="single" w:sz="8" w:space="0" w:color="auto"/>
              <w:right w:val="single" w:sz="8" w:space="0" w:color="000000"/>
            </w:tcBorders>
            <w:vAlign w:val="center"/>
            <w:hideMark/>
          </w:tcPr>
          <w:p w14:paraId="3F25CECF" w14:textId="77777777" w:rsidR="005D6F11" w:rsidRPr="000F632C" w:rsidRDefault="005D6F11" w:rsidP="006E6137">
            <w:pPr>
              <w:spacing w:after="0" w:line="240" w:lineRule="auto"/>
              <w:rPr>
                <w:rFonts w:ascii="Arial" w:eastAsia="Times New Roman" w:hAnsi="Arial" w:cs="Arial"/>
                <w:b/>
                <w:bCs/>
                <w:i/>
                <w:iCs/>
                <w:sz w:val="20"/>
                <w:szCs w:val="20"/>
              </w:rPr>
            </w:pPr>
            <w:r w:rsidRPr="000F632C">
              <w:rPr>
                <w:rFonts w:ascii="Arial" w:eastAsia="Times New Roman" w:hAnsi="Arial" w:cs="Arial"/>
                <w:b/>
                <w:bCs/>
                <w:i/>
                <w:iCs/>
                <w:sz w:val="20"/>
                <w:szCs w:val="20"/>
              </w:rPr>
              <w:t>Vrsta prihoda</w:t>
            </w:r>
          </w:p>
        </w:tc>
        <w:tc>
          <w:tcPr>
            <w:tcW w:w="1136" w:type="dxa"/>
            <w:tcBorders>
              <w:top w:val="single" w:sz="4" w:space="0" w:color="auto"/>
              <w:left w:val="nil"/>
              <w:bottom w:val="single" w:sz="8" w:space="0" w:color="auto"/>
              <w:right w:val="single" w:sz="8" w:space="0" w:color="000000"/>
            </w:tcBorders>
            <w:vAlign w:val="center"/>
            <w:hideMark/>
          </w:tcPr>
          <w:p w14:paraId="287BAF92"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2017.g. (€)</w:t>
            </w:r>
          </w:p>
        </w:tc>
        <w:tc>
          <w:tcPr>
            <w:tcW w:w="1136" w:type="dxa"/>
            <w:tcBorders>
              <w:top w:val="single" w:sz="4" w:space="0" w:color="auto"/>
              <w:left w:val="nil"/>
              <w:bottom w:val="single" w:sz="8" w:space="0" w:color="auto"/>
              <w:right w:val="single" w:sz="8" w:space="0" w:color="000000"/>
            </w:tcBorders>
            <w:vAlign w:val="center"/>
            <w:hideMark/>
          </w:tcPr>
          <w:p w14:paraId="2C0B3BBF"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2018.g. (€)</w:t>
            </w:r>
          </w:p>
        </w:tc>
        <w:tc>
          <w:tcPr>
            <w:tcW w:w="1136" w:type="dxa"/>
            <w:tcBorders>
              <w:top w:val="single" w:sz="4" w:space="0" w:color="auto"/>
              <w:left w:val="nil"/>
              <w:bottom w:val="single" w:sz="8" w:space="0" w:color="auto"/>
              <w:right w:val="single" w:sz="8" w:space="0" w:color="000000"/>
            </w:tcBorders>
            <w:vAlign w:val="center"/>
            <w:hideMark/>
          </w:tcPr>
          <w:p w14:paraId="45FFE1B5"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2019.g. (€)</w:t>
            </w:r>
          </w:p>
        </w:tc>
        <w:tc>
          <w:tcPr>
            <w:tcW w:w="1134" w:type="dxa"/>
            <w:tcBorders>
              <w:top w:val="single" w:sz="4" w:space="0" w:color="auto"/>
              <w:left w:val="nil"/>
              <w:bottom w:val="single" w:sz="8" w:space="0" w:color="auto"/>
              <w:right w:val="single" w:sz="8" w:space="0" w:color="000000"/>
            </w:tcBorders>
            <w:vAlign w:val="center"/>
            <w:hideMark/>
          </w:tcPr>
          <w:p w14:paraId="0482B5FF"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2020.g. (€)</w:t>
            </w:r>
          </w:p>
        </w:tc>
        <w:tc>
          <w:tcPr>
            <w:tcW w:w="1134" w:type="dxa"/>
            <w:tcBorders>
              <w:top w:val="single" w:sz="4" w:space="0" w:color="auto"/>
              <w:left w:val="nil"/>
              <w:bottom w:val="single" w:sz="8" w:space="0" w:color="auto"/>
              <w:right w:val="single" w:sz="8" w:space="0" w:color="000000"/>
            </w:tcBorders>
            <w:vAlign w:val="center"/>
            <w:hideMark/>
          </w:tcPr>
          <w:p w14:paraId="258CB7ED"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2021.g. (€)</w:t>
            </w:r>
          </w:p>
        </w:tc>
        <w:tc>
          <w:tcPr>
            <w:tcW w:w="1276" w:type="dxa"/>
            <w:tcBorders>
              <w:top w:val="single" w:sz="4" w:space="0" w:color="auto"/>
              <w:left w:val="nil"/>
              <w:bottom w:val="single" w:sz="8" w:space="0" w:color="auto"/>
              <w:right w:val="single" w:sz="8" w:space="0" w:color="auto"/>
            </w:tcBorders>
            <w:vAlign w:val="center"/>
            <w:hideMark/>
          </w:tcPr>
          <w:p w14:paraId="2278D318"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/2022.g. (€)</w:t>
            </w:r>
          </w:p>
        </w:tc>
        <w:tc>
          <w:tcPr>
            <w:tcW w:w="1134" w:type="dxa"/>
            <w:tcBorders>
              <w:top w:val="single" w:sz="4" w:space="0" w:color="auto"/>
              <w:left w:val="nil"/>
              <w:bottom w:val="single" w:sz="8" w:space="0" w:color="auto"/>
              <w:right w:val="single" w:sz="8" w:space="0" w:color="auto"/>
            </w:tcBorders>
            <w:vAlign w:val="center"/>
            <w:hideMark/>
          </w:tcPr>
          <w:p w14:paraId="10470AF3"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2023.g. (€)</w:t>
            </w:r>
          </w:p>
        </w:tc>
        <w:tc>
          <w:tcPr>
            <w:tcW w:w="1134" w:type="dxa"/>
            <w:tcBorders>
              <w:top w:val="single" w:sz="4" w:space="0" w:color="auto"/>
              <w:left w:val="nil"/>
              <w:bottom w:val="single" w:sz="8" w:space="0" w:color="auto"/>
              <w:right w:val="single" w:sz="8" w:space="0" w:color="auto"/>
            </w:tcBorders>
            <w:vAlign w:val="center"/>
            <w:hideMark/>
          </w:tcPr>
          <w:p w14:paraId="107BCDD8"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2024.g. (€)</w:t>
            </w:r>
          </w:p>
        </w:tc>
        <w:tc>
          <w:tcPr>
            <w:tcW w:w="1134" w:type="dxa"/>
            <w:tcBorders>
              <w:top w:val="single" w:sz="4" w:space="0" w:color="auto"/>
              <w:left w:val="nil"/>
              <w:bottom w:val="single" w:sz="8" w:space="0" w:color="auto"/>
              <w:right w:val="single" w:sz="8" w:space="0" w:color="auto"/>
            </w:tcBorders>
            <w:vAlign w:val="center"/>
            <w:hideMark/>
          </w:tcPr>
          <w:p w14:paraId="78948878" w14:textId="59E398FE"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2025.g. (€)</w:t>
            </w:r>
          </w:p>
        </w:tc>
        <w:tc>
          <w:tcPr>
            <w:tcW w:w="3120" w:type="dxa"/>
            <w:tcBorders>
              <w:top w:val="single" w:sz="4" w:space="0" w:color="auto"/>
              <w:left w:val="nil"/>
              <w:bottom w:val="single" w:sz="8" w:space="0" w:color="auto"/>
              <w:right w:val="single" w:sz="8" w:space="0" w:color="auto"/>
            </w:tcBorders>
            <w:vAlign w:val="center"/>
            <w:hideMark/>
          </w:tcPr>
          <w:p w14:paraId="75445BDA" w14:textId="77777777" w:rsidR="005D6F11" w:rsidRPr="000F632C" w:rsidRDefault="005D6F11" w:rsidP="006E6137">
            <w:pPr>
              <w:spacing w:after="0" w:line="240" w:lineRule="auto"/>
              <w:jc w:val="center"/>
              <w:rPr>
                <w:rFonts w:ascii="Arial" w:eastAsia="Times New Roman" w:hAnsi="Arial" w:cs="Arial"/>
                <w:b/>
                <w:bCs/>
                <w:i/>
                <w:iCs/>
                <w:sz w:val="20"/>
                <w:szCs w:val="20"/>
              </w:rPr>
            </w:pPr>
            <w:r w:rsidRPr="000F632C">
              <w:rPr>
                <w:rFonts w:ascii="Arial" w:eastAsia="Times New Roman" w:hAnsi="Arial" w:cs="Arial"/>
                <w:b/>
                <w:bCs/>
                <w:i/>
                <w:iCs/>
                <w:sz w:val="20"/>
                <w:szCs w:val="20"/>
              </w:rPr>
              <w:t>Obrazloženje za prihode u razdoblju 202</w:t>
            </w:r>
            <w:r>
              <w:rPr>
                <w:rFonts w:ascii="Arial" w:eastAsia="Times New Roman" w:hAnsi="Arial" w:cs="Arial"/>
                <w:b/>
                <w:bCs/>
                <w:i/>
                <w:iCs/>
                <w:sz w:val="20"/>
                <w:szCs w:val="20"/>
              </w:rPr>
              <w:t>5</w:t>
            </w:r>
            <w:r w:rsidRPr="000F632C">
              <w:rPr>
                <w:rFonts w:ascii="Arial" w:eastAsia="Times New Roman" w:hAnsi="Arial" w:cs="Arial"/>
                <w:b/>
                <w:bCs/>
                <w:i/>
                <w:iCs/>
                <w:sz w:val="20"/>
                <w:szCs w:val="20"/>
              </w:rPr>
              <w:t>.</w:t>
            </w:r>
          </w:p>
        </w:tc>
      </w:tr>
      <w:tr w:rsidR="005D6F11" w:rsidRPr="00EE5F8F" w14:paraId="37534C8A" w14:textId="77777777" w:rsidTr="006E6137">
        <w:trPr>
          <w:trHeight w:val="701"/>
        </w:trPr>
        <w:tc>
          <w:tcPr>
            <w:tcW w:w="1268" w:type="dxa"/>
            <w:tcBorders>
              <w:top w:val="single" w:sz="4" w:space="0" w:color="auto"/>
              <w:left w:val="single" w:sz="8" w:space="0" w:color="auto"/>
              <w:bottom w:val="single" w:sz="8" w:space="0" w:color="auto"/>
              <w:right w:val="single" w:sz="8" w:space="0" w:color="000000"/>
            </w:tcBorders>
            <w:vAlign w:val="center"/>
          </w:tcPr>
          <w:p w14:paraId="6169A5FE" w14:textId="77777777" w:rsidR="005D6F11" w:rsidRPr="00EE5F8F" w:rsidRDefault="005D6F11" w:rsidP="006E6137">
            <w:pPr>
              <w:spacing w:after="0" w:line="240" w:lineRule="auto"/>
              <w:rPr>
                <w:rFonts w:ascii="Arial" w:eastAsia="Times New Roman" w:hAnsi="Arial" w:cs="Arial"/>
                <w:sz w:val="16"/>
                <w:szCs w:val="16"/>
              </w:rPr>
            </w:pPr>
            <w:r w:rsidRPr="000F632C">
              <w:rPr>
                <w:rFonts w:ascii="Arial" w:eastAsia="Times New Roman" w:hAnsi="Arial" w:cs="Arial"/>
                <w:sz w:val="16"/>
                <w:szCs w:val="16"/>
              </w:rPr>
              <w:t>naknada za koncesiju na pomorskom dobru (raspored)</w:t>
            </w:r>
          </w:p>
        </w:tc>
        <w:tc>
          <w:tcPr>
            <w:tcW w:w="1136" w:type="dxa"/>
            <w:tcBorders>
              <w:top w:val="single" w:sz="4" w:space="0" w:color="auto"/>
              <w:left w:val="nil"/>
              <w:bottom w:val="single" w:sz="8" w:space="0" w:color="auto"/>
              <w:right w:val="single" w:sz="8" w:space="0" w:color="000000"/>
            </w:tcBorders>
            <w:vAlign w:val="center"/>
          </w:tcPr>
          <w:p w14:paraId="2D11E3BB" w14:textId="77777777" w:rsidR="005D6F11" w:rsidRPr="00EE5F8F"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13.449,64</w:t>
            </w:r>
          </w:p>
        </w:tc>
        <w:tc>
          <w:tcPr>
            <w:tcW w:w="1136" w:type="dxa"/>
            <w:tcBorders>
              <w:top w:val="single" w:sz="4" w:space="0" w:color="auto"/>
              <w:left w:val="nil"/>
              <w:bottom w:val="single" w:sz="8" w:space="0" w:color="auto"/>
              <w:right w:val="single" w:sz="8" w:space="0" w:color="000000"/>
            </w:tcBorders>
            <w:vAlign w:val="center"/>
          </w:tcPr>
          <w:p w14:paraId="225A4A56" w14:textId="77777777" w:rsidR="005D6F11" w:rsidRPr="00EE5F8F"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13.716,01</w:t>
            </w:r>
          </w:p>
        </w:tc>
        <w:tc>
          <w:tcPr>
            <w:tcW w:w="1136" w:type="dxa"/>
            <w:tcBorders>
              <w:top w:val="single" w:sz="4" w:space="0" w:color="auto"/>
              <w:left w:val="nil"/>
              <w:bottom w:val="single" w:sz="8" w:space="0" w:color="auto"/>
              <w:right w:val="single" w:sz="8" w:space="0" w:color="000000"/>
            </w:tcBorders>
            <w:vAlign w:val="center"/>
          </w:tcPr>
          <w:p w14:paraId="7CE29111" w14:textId="77777777" w:rsidR="005D6F11" w:rsidRPr="00EE5F8F"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i/>
                <w:iCs/>
                <w:sz w:val="16"/>
                <w:szCs w:val="16"/>
              </w:rPr>
              <w:t>13.740,79</w:t>
            </w:r>
          </w:p>
        </w:tc>
        <w:tc>
          <w:tcPr>
            <w:tcW w:w="1134" w:type="dxa"/>
            <w:tcBorders>
              <w:top w:val="single" w:sz="4" w:space="0" w:color="auto"/>
              <w:left w:val="nil"/>
              <w:bottom w:val="single" w:sz="8" w:space="0" w:color="auto"/>
              <w:right w:val="single" w:sz="8" w:space="0" w:color="000000"/>
            </w:tcBorders>
            <w:vAlign w:val="center"/>
          </w:tcPr>
          <w:p w14:paraId="1AE4327D" w14:textId="77777777" w:rsidR="005D6F11" w:rsidRPr="00EE5F8F"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i/>
                <w:iCs/>
                <w:sz w:val="16"/>
                <w:szCs w:val="16"/>
              </w:rPr>
              <w:t>9.499,48</w:t>
            </w:r>
          </w:p>
        </w:tc>
        <w:tc>
          <w:tcPr>
            <w:tcW w:w="1134" w:type="dxa"/>
            <w:tcBorders>
              <w:top w:val="single" w:sz="4" w:space="0" w:color="auto"/>
              <w:left w:val="nil"/>
              <w:bottom w:val="single" w:sz="8" w:space="0" w:color="auto"/>
              <w:right w:val="single" w:sz="8" w:space="0" w:color="000000"/>
            </w:tcBorders>
            <w:vAlign w:val="center"/>
          </w:tcPr>
          <w:p w14:paraId="3F719BE2" w14:textId="77777777" w:rsidR="005D6F11" w:rsidRPr="00EE5F8F"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i/>
                <w:iCs/>
                <w:sz w:val="16"/>
                <w:szCs w:val="16"/>
              </w:rPr>
              <w:t>12.761,55</w:t>
            </w:r>
          </w:p>
        </w:tc>
        <w:tc>
          <w:tcPr>
            <w:tcW w:w="1276" w:type="dxa"/>
            <w:tcBorders>
              <w:top w:val="single" w:sz="4" w:space="0" w:color="auto"/>
              <w:left w:val="nil"/>
              <w:bottom w:val="single" w:sz="8" w:space="0" w:color="auto"/>
              <w:right w:val="single" w:sz="8" w:space="0" w:color="auto"/>
            </w:tcBorders>
            <w:vAlign w:val="center"/>
          </w:tcPr>
          <w:p w14:paraId="047608F8" w14:textId="77777777" w:rsidR="005D6F11" w:rsidRPr="00EE5F8F"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i/>
                <w:iCs/>
                <w:sz w:val="16"/>
                <w:szCs w:val="16"/>
              </w:rPr>
              <w:t>13.884,98</w:t>
            </w:r>
          </w:p>
        </w:tc>
        <w:tc>
          <w:tcPr>
            <w:tcW w:w="1134" w:type="dxa"/>
            <w:tcBorders>
              <w:top w:val="single" w:sz="4" w:space="0" w:color="auto"/>
              <w:left w:val="nil"/>
              <w:bottom w:val="single" w:sz="8" w:space="0" w:color="auto"/>
              <w:right w:val="single" w:sz="8" w:space="0" w:color="auto"/>
            </w:tcBorders>
            <w:vAlign w:val="center"/>
          </w:tcPr>
          <w:p w14:paraId="3F42B9BB" w14:textId="77777777" w:rsidR="005D6F11" w:rsidRPr="00EE5F8F"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24.371,23</w:t>
            </w:r>
          </w:p>
        </w:tc>
        <w:tc>
          <w:tcPr>
            <w:tcW w:w="1134" w:type="dxa"/>
            <w:tcBorders>
              <w:top w:val="single" w:sz="4" w:space="0" w:color="auto"/>
              <w:left w:val="nil"/>
              <w:bottom w:val="single" w:sz="8" w:space="0" w:color="auto"/>
              <w:right w:val="single" w:sz="8" w:space="0" w:color="auto"/>
            </w:tcBorders>
            <w:vAlign w:val="center"/>
          </w:tcPr>
          <w:p w14:paraId="7DDC1824" w14:textId="77777777" w:rsidR="005D6F11" w:rsidRPr="00EE5F8F"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26.525,47</w:t>
            </w:r>
          </w:p>
        </w:tc>
        <w:tc>
          <w:tcPr>
            <w:tcW w:w="1134" w:type="dxa"/>
            <w:tcBorders>
              <w:top w:val="nil"/>
              <w:left w:val="single" w:sz="4" w:space="0" w:color="auto"/>
              <w:bottom w:val="single" w:sz="4" w:space="0" w:color="auto"/>
              <w:right w:val="single" w:sz="4" w:space="0" w:color="auto"/>
            </w:tcBorders>
            <w:vAlign w:val="center"/>
          </w:tcPr>
          <w:p w14:paraId="7F971BC7" w14:textId="77777777" w:rsidR="005D6F11" w:rsidRPr="00EE5F8F" w:rsidRDefault="005D6F11" w:rsidP="006E6137">
            <w:pPr>
              <w:spacing w:after="0" w:line="240" w:lineRule="auto"/>
              <w:jc w:val="right"/>
              <w:rPr>
                <w:rFonts w:ascii="Arial" w:eastAsia="Times New Roman" w:hAnsi="Arial" w:cs="Arial"/>
                <w:sz w:val="16"/>
                <w:szCs w:val="16"/>
              </w:rPr>
            </w:pPr>
            <w:r>
              <w:rPr>
                <w:rFonts w:ascii="Arial" w:hAnsi="Arial" w:cs="Arial"/>
                <w:sz w:val="18"/>
                <w:szCs w:val="18"/>
              </w:rPr>
              <w:t>58.251,98</w:t>
            </w:r>
          </w:p>
        </w:tc>
        <w:tc>
          <w:tcPr>
            <w:tcW w:w="3120" w:type="dxa"/>
            <w:tcBorders>
              <w:top w:val="nil"/>
              <w:left w:val="nil"/>
              <w:bottom w:val="single" w:sz="4" w:space="0" w:color="auto"/>
              <w:right w:val="single" w:sz="4" w:space="0" w:color="auto"/>
            </w:tcBorders>
            <w:vAlign w:val="center"/>
          </w:tcPr>
          <w:p w14:paraId="6311A77D" w14:textId="77777777" w:rsidR="005D6F11" w:rsidRPr="005D6F11" w:rsidRDefault="005D6F11" w:rsidP="006E6137">
            <w:pPr>
              <w:spacing w:after="0" w:line="240" w:lineRule="auto"/>
              <w:rPr>
                <w:rFonts w:ascii="Arial" w:eastAsia="Times New Roman" w:hAnsi="Arial" w:cs="Arial"/>
                <w:sz w:val="16"/>
                <w:szCs w:val="16"/>
              </w:rPr>
            </w:pPr>
            <w:r w:rsidRPr="005D6F11">
              <w:rPr>
                <w:rFonts w:ascii="Arial" w:hAnsi="Arial" w:cs="Arial"/>
                <w:sz w:val="16"/>
                <w:szCs w:val="16"/>
              </w:rPr>
              <w:t>raspored sredstava sukladno odredbama Zakona o pomorskom dobru i morskim lukama</w:t>
            </w:r>
          </w:p>
        </w:tc>
      </w:tr>
      <w:tr w:rsidR="005D6F11" w:rsidRPr="000F632C" w14:paraId="1319C37F" w14:textId="77777777" w:rsidTr="006E6137">
        <w:trPr>
          <w:trHeight w:val="1020"/>
        </w:trPr>
        <w:tc>
          <w:tcPr>
            <w:tcW w:w="1268" w:type="dxa"/>
            <w:tcBorders>
              <w:top w:val="nil"/>
              <w:left w:val="single" w:sz="4" w:space="0" w:color="auto"/>
              <w:bottom w:val="single" w:sz="4" w:space="0" w:color="auto"/>
              <w:right w:val="single" w:sz="4" w:space="0" w:color="auto"/>
            </w:tcBorders>
            <w:vAlign w:val="center"/>
            <w:hideMark/>
          </w:tcPr>
          <w:p w14:paraId="11AC13B7" w14:textId="77777777" w:rsidR="005D6F11" w:rsidRPr="000F632C" w:rsidRDefault="005D6F11" w:rsidP="006E6137">
            <w:pPr>
              <w:spacing w:after="0" w:line="240" w:lineRule="auto"/>
              <w:rPr>
                <w:rFonts w:ascii="Arial" w:eastAsia="Times New Roman" w:hAnsi="Arial" w:cs="Arial"/>
                <w:sz w:val="16"/>
                <w:szCs w:val="16"/>
              </w:rPr>
            </w:pPr>
            <w:r w:rsidRPr="000F632C">
              <w:rPr>
                <w:rFonts w:ascii="Arial" w:eastAsia="Times New Roman" w:hAnsi="Arial" w:cs="Arial"/>
                <w:sz w:val="16"/>
                <w:szCs w:val="16"/>
              </w:rPr>
              <w:t xml:space="preserve">naknada za zadržavanje nezakonito izgrađene zgrade u prostoru </w:t>
            </w:r>
          </w:p>
        </w:tc>
        <w:tc>
          <w:tcPr>
            <w:tcW w:w="1136" w:type="dxa"/>
            <w:tcBorders>
              <w:top w:val="nil"/>
              <w:left w:val="nil"/>
              <w:bottom w:val="single" w:sz="4" w:space="0" w:color="auto"/>
              <w:right w:val="single" w:sz="4" w:space="0" w:color="auto"/>
            </w:tcBorders>
            <w:vAlign w:val="center"/>
            <w:hideMark/>
          </w:tcPr>
          <w:p w14:paraId="117D1532"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10.282,63</w:t>
            </w:r>
          </w:p>
        </w:tc>
        <w:tc>
          <w:tcPr>
            <w:tcW w:w="1136" w:type="dxa"/>
            <w:tcBorders>
              <w:top w:val="nil"/>
              <w:left w:val="nil"/>
              <w:bottom w:val="single" w:sz="4" w:space="0" w:color="auto"/>
              <w:right w:val="single" w:sz="4" w:space="0" w:color="auto"/>
            </w:tcBorders>
            <w:vAlign w:val="center"/>
            <w:hideMark/>
          </w:tcPr>
          <w:p w14:paraId="06A2DE1C"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6.959,26</w:t>
            </w:r>
          </w:p>
        </w:tc>
        <w:tc>
          <w:tcPr>
            <w:tcW w:w="1136" w:type="dxa"/>
            <w:tcBorders>
              <w:top w:val="nil"/>
              <w:left w:val="nil"/>
              <w:bottom w:val="single" w:sz="4" w:space="0" w:color="auto"/>
              <w:right w:val="single" w:sz="4" w:space="0" w:color="auto"/>
            </w:tcBorders>
            <w:vAlign w:val="center"/>
            <w:hideMark/>
          </w:tcPr>
          <w:p w14:paraId="312F7B77"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12.117,51</w:t>
            </w:r>
          </w:p>
        </w:tc>
        <w:tc>
          <w:tcPr>
            <w:tcW w:w="1134" w:type="dxa"/>
            <w:tcBorders>
              <w:top w:val="nil"/>
              <w:left w:val="nil"/>
              <w:bottom w:val="single" w:sz="4" w:space="0" w:color="auto"/>
              <w:right w:val="single" w:sz="4" w:space="0" w:color="auto"/>
            </w:tcBorders>
            <w:vAlign w:val="center"/>
            <w:hideMark/>
          </w:tcPr>
          <w:p w14:paraId="05A04CEA"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4.760,84</w:t>
            </w:r>
          </w:p>
        </w:tc>
        <w:tc>
          <w:tcPr>
            <w:tcW w:w="1134" w:type="dxa"/>
            <w:tcBorders>
              <w:top w:val="nil"/>
              <w:left w:val="nil"/>
              <w:bottom w:val="single" w:sz="4" w:space="0" w:color="auto"/>
              <w:right w:val="single" w:sz="4" w:space="0" w:color="auto"/>
            </w:tcBorders>
            <w:vAlign w:val="center"/>
            <w:hideMark/>
          </w:tcPr>
          <w:p w14:paraId="71B367D3"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3.862,95</w:t>
            </w:r>
          </w:p>
        </w:tc>
        <w:tc>
          <w:tcPr>
            <w:tcW w:w="1276" w:type="dxa"/>
            <w:tcBorders>
              <w:top w:val="nil"/>
              <w:left w:val="nil"/>
              <w:bottom w:val="single" w:sz="4" w:space="0" w:color="auto"/>
              <w:right w:val="single" w:sz="4" w:space="0" w:color="auto"/>
            </w:tcBorders>
            <w:vAlign w:val="center"/>
            <w:hideMark/>
          </w:tcPr>
          <w:p w14:paraId="0AA2FA0C"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3.927,24</w:t>
            </w:r>
          </w:p>
        </w:tc>
        <w:tc>
          <w:tcPr>
            <w:tcW w:w="1134" w:type="dxa"/>
            <w:tcBorders>
              <w:top w:val="nil"/>
              <w:left w:val="nil"/>
              <w:bottom w:val="single" w:sz="4" w:space="0" w:color="auto"/>
              <w:right w:val="single" w:sz="4" w:space="0" w:color="auto"/>
            </w:tcBorders>
            <w:vAlign w:val="center"/>
            <w:hideMark/>
          </w:tcPr>
          <w:p w14:paraId="295F6385"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373,97</w:t>
            </w:r>
          </w:p>
        </w:tc>
        <w:tc>
          <w:tcPr>
            <w:tcW w:w="1134" w:type="dxa"/>
            <w:tcBorders>
              <w:top w:val="nil"/>
              <w:left w:val="nil"/>
              <w:bottom w:val="single" w:sz="4" w:space="0" w:color="auto"/>
              <w:right w:val="single" w:sz="4" w:space="0" w:color="auto"/>
            </w:tcBorders>
            <w:vAlign w:val="center"/>
            <w:hideMark/>
          </w:tcPr>
          <w:p w14:paraId="4B79B1E5"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968,64</w:t>
            </w:r>
          </w:p>
        </w:tc>
        <w:tc>
          <w:tcPr>
            <w:tcW w:w="1134" w:type="dxa"/>
            <w:tcBorders>
              <w:top w:val="nil"/>
              <w:left w:val="nil"/>
              <w:bottom w:val="single" w:sz="4" w:space="0" w:color="auto"/>
              <w:right w:val="single" w:sz="4" w:space="0" w:color="auto"/>
            </w:tcBorders>
            <w:vAlign w:val="center"/>
            <w:hideMark/>
          </w:tcPr>
          <w:p w14:paraId="16AA6A19" w14:textId="77777777" w:rsidR="005D6F11" w:rsidRPr="000F632C" w:rsidRDefault="005D6F11" w:rsidP="006E6137">
            <w:pPr>
              <w:spacing w:after="0" w:line="240" w:lineRule="auto"/>
              <w:jc w:val="right"/>
              <w:rPr>
                <w:rFonts w:ascii="Arial" w:eastAsia="Times New Roman" w:hAnsi="Arial" w:cs="Arial"/>
                <w:sz w:val="16"/>
                <w:szCs w:val="16"/>
              </w:rPr>
            </w:pPr>
            <w:r>
              <w:rPr>
                <w:rFonts w:ascii="Arial" w:eastAsia="Times New Roman" w:hAnsi="Arial" w:cs="Arial"/>
                <w:sz w:val="16"/>
                <w:szCs w:val="16"/>
              </w:rPr>
              <w:t>348,46</w:t>
            </w:r>
          </w:p>
        </w:tc>
        <w:tc>
          <w:tcPr>
            <w:tcW w:w="3120" w:type="dxa"/>
            <w:tcBorders>
              <w:top w:val="nil"/>
              <w:left w:val="nil"/>
              <w:bottom w:val="single" w:sz="4" w:space="0" w:color="auto"/>
              <w:right w:val="single" w:sz="4" w:space="0" w:color="auto"/>
            </w:tcBorders>
            <w:vAlign w:val="center"/>
            <w:hideMark/>
          </w:tcPr>
          <w:p w14:paraId="22B4F4A3" w14:textId="77777777" w:rsidR="005D6F11" w:rsidRPr="005D6F11" w:rsidRDefault="005D6F11" w:rsidP="006E6137">
            <w:pPr>
              <w:spacing w:after="0" w:line="240" w:lineRule="auto"/>
              <w:jc w:val="both"/>
              <w:rPr>
                <w:rFonts w:ascii="Arial" w:eastAsia="Times New Roman" w:hAnsi="Arial" w:cs="Arial"/>
                <w:sz w:val="16"/>
                <w:szCs w:val="16"/>
              </w:rPr>
            </w:pPr>
            <w:r w:rsidRPr="005D6F11">
              <w:rPr>
                <w:rFonts w:ascii="Arial" w:eastAsia="Times New Roman" w:hAnsi="Arial" w:cs="Arial"/>
                <w:sz w:val="16"/>
                <w:szCs w:val="16"/>
              </w:rPr>
              <w:t>Prihodi od naknade za zadržavanje nezakonito izgrađene zgrade u prostoru (</w:t>
            </w:r>
            <w:r w:rsidRPr="005D6F11">
              <w:rPr>
                <w:rFonts w:ascii="Arial" w:eastAsia="Times New Roman" w:hAnsi="Arial" w:cs="Arial"/>
                <w:b/>
                <w:bCs/>
                <w:sz w:val="16"/>
                <w:szCs w:val="16"/>
              </w:rPr>
              <w:t>6429</w:t>
            </w:r>
            <w:r w:rsidRPr="005D6F11">
              <w:rPr>
                <w:rFonts w:ascii="Arial" w:eastAsia="Times New Roman" w:hAnsi="Arial" w:cs="Arial"/>
                <w:sz w:val="16"/>
                <w:szCs w:val="16"/>
              </w:rPr>
              <w:t>) na temelju Zakona o postupanju s nezakonito izgrađenim zgradama (Narodne novine 86/12, 143/13, 65/17). Posljednjim izmjenama Zakona iz 2017. godine su promijenjeni i udjeli raspodjele prihoda te je ova naknada zajednički prihod državnog proračuna (40,0%), županijskog proračuna (30,0%) i proračuna Općine (30,0%).</w:t>
            </w:r>
          </w:p>
        </w:tc>
      </w:tr>
      <w:tr w:rsidR="005D6F11" w:rsidRPr="000F632C" w14:paraId="28F6EE58" w14:textId="77777777" w:rsidTr="006E6137">
        <w:trPr>
          <w:trHeight w:val="1224"/>
        </w:trPr>
        <w:tc>
          <w:tcPr>
            <w:tcW w:w="1268" w:type="dxa"/>
            <w:tcBorders>
              <w:top w:val="nil"/>
              <w:left w:val="single" w:sz="4" w:space="0" w:color="auto"/>
              <w:bottom w:val="single" w:sz="4" w:space="0" w:color="auto"/>
              <w:right w:val="single" w:sz="4" w:space="0" w:color="auto"/>
            </w:tcBorders>
            <w:vAlign w:val="center"/>
            <w:hideMark/>
          </w:tcPr>
          <w:p w14:paraId="5E6D8E0A" w14:textId="77777777" w:rsidR="005D6F11" w:rsidRPr="000F632C" w:rsidRDefault="005D6F11" w:rsidP="006E6137">
            <w:pPr>
              <w:spacing w:after="0" w:line="240" w:lineRule="auto"/>
              <w:rPr>
                <w:rFonts w:ascii="Arial" w:eastAsia="Times New Roman" w:hAnsi="Arial" w:cs="Arial"/>
                <w:sz w:val="16"/>
                <w:szCs w:val="16"/>
              </w:rPr>
            </w:pPr>
            <w:r w:rsidRPr="000F632C">
              <w:rPr>
                <w:rFonts w:ascii="Arial" w:eastAsia="Times New Roman" w:hAnsi="Arial" w:cs="Arial"/>
                <w:sz w:val="16"/>
                <w:szCs w:val="16"/>
              </w:rPr>
              <w:t>naknada za zakup poljoprivrednog zemljišta u državnom vlasništvu</w:t>
            </w:r>
          </w:p>
        </w:tc>
        <w:tc>
          <w:tcPr>
            <w:tcW w:w="1136" w:type="dxa"/>
            <w:tcBorders>
              <w:top w:val="nil"/>
              <w:left w:val="nil"/>
              <w:bottom w:val="single" w:sz="4" w:space="0" w:color="auto"/>
              <w:right w:val="single" w:sz="4" w:space="0" w:color="auto"/>
            </w:tcBorders>
            <w:vAlign w:val="center"/>
            <w:hideMark/>
          </w:tcPr>
          <w:p w14:paraId="2BEF0A99"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6" w:type="dxa"/>
            <w:tcBorders>
              <w:top w:val="nil"/>
              <w:left w:val="nil"/>
              <w:bottom w:val="single" w:sz="4" w:space="0" w:color="auto"/>
              <w:right w:val="single" w:sz="4" w:space="0" w:color="auto"/>
            </w:tcBorders>
            <w:vAlign w:val="center"/>
            <w:hideMark/>
          </w:tcPr>
          <w:p w14:paraId="0C7657D1"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455,65</w:t>
            </w:r>
          </w:p>
        </w:tc>
        <w:tc>
          <w:tcPr>
            <w:tcW w:w="1136" w:type="dxa"/>
            <w:tcBorders>
              <w:top w:val="nil"/>
              <w:left w:val="nil"/>
              <w:bottom w:val="single" w:sz="4" w:space="0" w:color="auto"/>
              <w:right w:val="single" w:sz="4" w:space="0" w:color="auto"/>
            </w:tcBorders>
            <w:vAlign w:val="center"/>
            <w:hideMark/>
          </w:tcPr>
          <w:p w14:paraId="3313A44D"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1.629,83</w:t>
            </w:r>
          </w:p>
        </w:tc>
        <w:tc>
          <w:tcPr>
            <w:tcW w:w="1134" w:type="dxa"/>
            <w:tcBorders>
              <w:top w:val="nil"/>
              <w:left w:val="nil"/>
              <w:bottom w:val="single" w:sz="4" w:space="0" w:color="auto"/>
              <w:right w:val="single" w:sz="4" w:space="0" w:color="auto"/>
            </w:tcBorders>
            <w:vAlign w:val="center"/>
            <w:hideMark/>
          </w:tcPr>
          <w:p w14:paraId="1392DA5E"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164,22</w:t>
            </w:r>
          </w:p>
        </w:tc>
        <w:tc>
          <w:tcPr>
            <w:tcW w:w="1134" w:type="dxa"/>
            <w:tcBorders>
              <w:top w:val="nil"/>
              <w:left w:val="nil"/>
              <w:bottom w:val="single" w:sz="4" w:space="0" w:color="auto"/>
              <w:right w:val="single" w:sz="4" w:space="0" w:color="auto"/>
            </w:tcBorders>
            <w:vAlign w:val="center"/>
            <w:hideMark/>
          </w:tcPr>
          <w:p w14:paraId="03D00B10"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276" w:type="dxa"/>
            <w:tcBorders>
              <w:top w:val="nil"/>
              <w:left w:val="nil"/>
              <w:bottom w:val="single" w:sz="4" w:space="0" w:color="auto"/>
              <w:right w:val="single" w:sz="4" w:space="0" w:color="auto"/>
            </w:tcBorders>
            <w:vAlign w:val="center"/>
            <w:hideMark/>
          </w:tcPr>
          <w:p w14:paraId="5F452027"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134" w:type="dxa"/>
            <w:tcBorders>
              <w:top w:val="nil"/>
              <w:left w:val="nil"/>
              <w:bottom w:val="single" w:sz="4" w:space="0" w:color="auto"/>
              <w:right w:val="single" w:sz="4" w:space="0" w:color="auto"/>
            </w:tcBorders>
            <w:vAlign w:val="center"/>
            <w:hideMark/>
          </w:tcPr>
          <w:p w14:paraId="79EF72F9"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809,61</w:t>
            </w:r>
          </w:p>
        </w:tc>
        <w:tc>
          <w:tcPr>
            <w:tcW w:w="1134" w:type="dxa"/>
            <w:tcBorders>
              <w:top w:val="nil"/>
              <w:left w:val="nil"/>
              <w:bottom w:val="single" w:sz="4" w:space="0" w:color="auto"/>
              <w:right w:val="single" w:sz="4" w:space="0" w:color="auto"/>
            </w:tcBorders>
            <w:vAlign w:val="center"/>
            <w:hideMark/>
          </w:tcPr>
          <w:p w14:paraId="721AAF7E"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tcBorders>
              <w:top w:val="nil"/>
              <w:left w:val="nil"/>
              <w:bottom w:val="single" w:sz="4" w:space="0" w:color="auto"/>
              <w:right w:val="single" w:sz="4" w:space="0" w:color="auto"/>
            </w:tcBorders>
            <w:vAlign w:val="center"/>
            <w:hideMark/>
          </w:tcPr>
          <w:p w14:paraId="04CB6A7D"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3120" w:type="dxa"/>
            <w:tcBorders>
              <w:top w:val="nil"/>
              <w:left w:val="nil"/>
              <w:bottom w:val="single" w:sz="4" w:space="0" w:color="auto"/>
              <w:right w:val="single" w:sz="4" w:space="0" w:color="auto"/>
            </w:tcBorders>
            <w:vAlign w:val="center"/>
            <w:hideMark/>
          </w:tcPr>
          <w:p w14:paraId="0AC0FEAD" w14:textId="77777777" w:rsidR="005D6F11" w:rsidRPr="005D6F11" w:rsidRDefault="005D6F11" w:rsidP="006E6137">
            <w:pPr>
              <w:spacing w:after="0" w:line="240" w:lineRule="auto"/>
              <w:jc w:val="both"/>
              <w:rPr>
                <w:rFonts w:ascii="Arial" w:eastAsia="Times New Roman" w:hAnsi="Arial" w:cs="Arial"/>
                <w:sz w:val="16"/>
                <w:szCs w:val="16"/>
              </w:rPr>
            </w:pPr>
            <w:r w:rsidRPr="005D6F11">
              <w:rPr>
                <w:rFonts w:ascii="Arial" w:eastAsia="Times New Roman" w:hAnsi="Arial" w:cs="Arial"/>
                <w:sz w:val="16"/>
                <w:szCs w:val="16"/>
              </w:rPr>
              <w:t>raspored 65% sredstava od naknade za zakup poljoprivrednog zemljišta u državnom vlasništvu (zaključeni ugovori fizičkih osoba i nadležnog ministarstva)</w:t>
            </w:r>
          </w:p>
        </w:tc>
      </w:tr>
      <w:tr w:rsidR="005D6F11" w:rsidRPr="000F632C" w14:paraId="176CCD13" w14:textId="77777777" w:rsidTr="006E6137">
        <w:trPr>
          <w:trHeight w:val="816"/>
        </w:trPr>
        <w:tc>
          <w:tcPr>
            <w:tcW w:w="1268" w:type="dxa"/>
            <w:tcBorders>
              <w:top w:val="nil"/>
              <w:left w:val="single" w:sz="4" w:space="0" w:color="auto"/>
              <w:bottom w:val="single" w:sz="4" w:space="0" w:color="auto"/>
              <w:right w:val="single" w:sz="4" w:space="0" w:color="auto"/>
            </w:tcBorders>
            <w:vAlign w:val="center"/>
            <w:hideMark/>
          </w:tcPr>
          <w:p w14:paraId="242261FD" w14:textId="77777777" w:rsidR="005D6F11" w:rsidRPr="000F632C" w:rsidRDefault="005D6F11" w:rsidP="006E6137">
            <w:pPr>
              <w:spacing w:after="0" w:line="240" w:lineRule="auto"/>
              <w:rPr>
                <w:rFonts w:ascii="Arial" w:eastAsia="Times New Roman" w:hAnsi="Arial" w:cs="Arial"/>
                <w:sz w:val="16"/>
                <w:szCs w:val="16"/>
              </w:rPr>
            </w:pPr>
            <w:r w:rsidRPr="000F632C">
              <w:rPr>
                <w:rFonts w:ascii="Arial" w:eastAsia="Times New Roman" w:hAnsi="Arial" w:cs="Arial"/>
                <w:sz w:val="16"/>
                <w:szCs w:val="16"/>
              </w:rPr>
              <w:t>naknada za obavljanje dimnjačarske službe</w:t>
            </w:r>
          </w:p>
        </w:tc>
        <w:tc>
          <w:tcPr>
            <w:tcW w:w="1136" w:type="dxa"/>
            <w:tcBorders>
              <w:top w:val="nil"/>
              <w:left w:val="nil"/>
              <w:bottom w:val="single" w:sz="4" w:space="0" w:color="auto"/>
              <w:right w:val="single" w:sz="4" w:space="0" w:color="auto"/>
            </w:tcBorders>
            <w:vAlign w:val="center"/>
            <w:hideMark/>
          </w:tcPr>
          <w:p w14:paraId="5615ED57"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611,31</w:t>
            </w:r>
          </w:p>
        </w:tc>
        <w:tc>
          <w:tcPr>
            <w:tcW w:w="1136" w:type="dxa"/>
            <w:tcBorders>
              <w:top w:val="nil"/>
              <w:left w:val="nil"/>
              <w:bottom w:val="single" w:sz="4" w:space="0" w:color="auto"/>
              <w:right w:val="single" w:sz="4" w:space="0" w:color="auto"/>
            </w:tcBorders>
            <w:vAlign w:val="center"/>
            <w:hideMark/>
          </w:tcPr>
          <w:p w14:paraId="223F18EB"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348,40</w:t>
            </w:r>
          </w:p>
        </w:tc>
        <w:tc>
          <w:tcPr>
            <w:tcW w:w="1136" w:type="dxa"/>
            <w:tcBorders>
              <w:top w:val="nil"/>
              <w:left w:val="nil"/>
              <w:bottom w:val="single" w:sz="4" w:space="0" w:color="auto"/>
              <w:right w:val="single" w:sz="4" w:space="0" w:color="auto"/>
            </w:tcBorders>
            <w:vAlign w:val="center"/>
            <w:hideMark/>
          </w:tcPr>
          <w:p w14:paraId="69ABC1F1"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598,71</w:t>
            </w:r>
          </w:p>
        </w:tc>
        <w:tc>
          <w:tcPr>
            <w:tcW w:w="1134" w:type="dxa"/>
            <w:tcBorders>
              <w:top w:val="nil"/>
              <w:left w:val="nil"/>
              <w:bottom w:val="single" w:sz="4" w:space="0" w:color="auto"/>
              <w:right w:val="single" w:sz="4" w:space="0" w:color="auto"/>
            </w:tcBorders>
            <w:vAlign w:val="center"/>
            <w:hideMark/>
          </w:tcPr>
          <w:p w14:paraId="7D3C1AD5"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260,22</w:t>
            </w:r>
          </w:p>
        </w:tc>
        <w:tc>
          <w:tcPr>
            <w:tcW w:w="1134" w:type="dxa"/>
            <w:tcBorders>
              <w:top w:val="nil"/>
              <w:left w:val="nil"/>
              <w:bottom w:val="single" w:sz="4" w:space="0" w:color="auto"/>
              <w:right w:val="single" w:sz="4" w:space="0" w:color="auto"/>
            </w:tcBorders>
            <w:vAlign w:val="center"/>
            <w:hideMark/>
          </w:tcPr>
          <w:p w14:paraId="05DE46E2"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464,53</w:t>
            </w:r>
          </w:p>
        </w:tc>
        <w:tc>
          <w:tcPr>
            <w:tcW w:w="1276" w:type="dxa"/>
            <w:tcBorders>
              <w:top w:val="nil"/>
              <w:left w:val="nil"/>
              <w:bottom w:val="single" w:sz="4" w:space="0" w:color="auto"/>
              <w:right w:val="single" w:sz="4" w:space="0" w:color="auto"/>
            </w:tcBorders>
            <w:vAlign w:val="center"/>
            <w:hideMark/>
          </w:tcPr>
          <w:p w14:paraId="3B51F5FD"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481,89</w:t>
            </w:r>
          </w:p>
        </w:tc>
        <w:tc>
          <w:tcPr>
            <w:tcW w:w="1134" w:type="dxa"/>
            <w:tcBorders>
              <w:top w:val="nil"/>
              <w:left w:val="nil"/>
              <w:bottom w:val="single" w:sz="4" w:space="0" w:color="auto"/>
              <w:right w:val="single" w:sz="4" w:space="0" w:color="auto"/>
            </w:tcBorders>
            <w:vAlign w:val="center"/>
            <w:hideMark/>
          </w:tcPr>
          <w:p w14:paraId="5256B2FE"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tcBorders>
              <w:top w:val="nil"/>
              <w:left w:val="nil"/>
              <w:bottom w:val="single" w:sz="4" w:space="0" w:color="auto"/>
              <w:right w:val="single" w:sz="4" w:space="0" w:color="auto"/>
            </w:tcBorders>
            <w:vAlign w:val="center"/>
            <w:hideMark/>
          </w:tcPr>
          <w:p w14:paraId="631D8A12"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900,00</w:t>
            </w:r>
          </w:p>
        </w:tc>
        <w:tc>
          <w:tcPr>
            <w:tcW w:w="1134" w:type="dxa"/>
            <w:tcBorders>
              <w:top w:val="nil"/>
              <w:left w:val="nil"/>
              <w:bottom w:val="single" w:sz="4" w:space="0" w:color="auto"/>
              <w:right w:val="single" w:sz="4" w:space="0" w:color="auto"/>
            </w:tcBorders>
            <w:vAlign w:val="center"/>
            <w:hideMark/>
          </w:tcPr>
          <w:p w14:paraId="7F46BF88"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3120" w:type="dxa"/>
            <w:tcBorders>
              <w:top w:val="nil"/>
              <w:left w:val="nil"/>
              <w:bottom w:val="single" w:sz="4" w:space="0" w:color="auto"/>
              <w:right w:val="single" w:sz="4" w:space="0" w:color="auto"/>
            </w:tcBorders>
            <w:vAlign w:val="center"/>
            <w:hideMark/>
          </w:tcPr>
          <w:p w14:paraId="582ED34B" w14:textId="77777777" w:rsidR="005D6F11" w:rsidRPr="005D6F11" w:rsidRDefault="005D6F11" w:rsidP="006E6137">
            <w:pPr>
              <w:spacing w:after="0" w:line="240" w:lineRule="auto"/>
              <w:jc w:val="both"/>
              <w:rPr>
                <w:rFonts w:ascii="Arial" w:eastAsia="Times New Roman" w:hAnsi="Arial" w:cs="Arial"/>
                <w:sz w:val="16"/>
                <w:szCs w:val="16"/>
              </w:rPr>
            </w:pPr>
            <w:r w:rsidRPr="005D6F11">
              <w:rPr>
                <w:rFonts w:ascii="Arial" w:eastAsia="Times New Roman" w:hAnsi="Arial" w:cs="Arial"/>
                <w:sz w:val="16"/>
                <w:szCs w:val="16"/>
              </w:rPr>
              <w:t xml:space="preserve">Na temelju zaključenog ugovora o koncesiji za obavljanje dimnjačarskih poslova na području Općine (za 2023. i 2024.g.). </w:t>
            </w:r>
          </w:p>
        </w:tc>
      </w:tr>
      <w:tr w:rsidR="005D6F11" w:rsidRPr="000F632C" w14:paraId="2AA23B17" w14:textId="77777777" w:rsidTr="0083333C">
        <w:trPr>
          <w:trHeight w:val="612"/>
        </w:trPr>
        <w:tc>
          <w:tcPr>
            <w:tcW w:w="1268" w:type="dxa"/>
            <w:tcBorders>
              <w:top w:val="nil"/>
              <w:left w:val="single" w:sz="4" w:space="0" w:color="auto"/>
              <w:bottom w:val="single" w:sz="4" w:space="0" w:color="auto"/>
              <w:right w:val="single" w:sz="4" w:space="0" w:color="auto"/>
            </w:tcBorders>
            <w:vAlign w:val="center"/>
            <w:hideMark/>
          </w:tcPr>
          <w:p w14:paraId="440409CD" w14:textId="77777777" w:rsidR="005D6F11" w:rsidRPr="000F632C" w:rsidRDefault="005D6F11" w:rsidP="006E6137">
            <w:pPr>
              <w:spacing w:after="0" w:line="240" w:lineRule="auto"/>
              <w:rPr>
                <w:rFonts w:ascii="Arial" w:eastAsia="Times New Roman" w:hAnsi="Arial" w:cs="Arial"/>
                <w:sz w:val="16"/>
                <w:szCs w:val="16"/>
              </w:rPr>
            </w:pPr>
            <w:r w:rsidRPr="000F632C">
              <w:rPr>
                <w:rFonts w:ascii="Arial" w:eastAsia="Times New Roman" w:hAnsi="Arial" w:cs="Arial"/>
                <w:sz w:val="16"/>
                <w:szCs w:val="16"/>
              </w:rPr>
              <w:t>naknada za koncesiju za crpljenje jama</w:t>
            </w:r>
          </w:p>
        </w:tc>
        <w:tc>
          <w:tcPr>
            <w:tcW w:w="1136" w:type="dxa"/>
            <w:tcBorders>
              <w:top w:val="nil"/>
              <w:left w:val="nil"/>
              <w:bottom w:val="single" w:sz="4" w:space="0" w:color="auto"/>
              <w:right w:val="single" w:sz="4" w:space="0" w:color="auto"/>
            </w:tcBorders>
            <w:vAlign w:val="center"/>
            <w:hideMark/>
          </w:tcPr>
          <w:p w14:paraId="69F8C447"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547,57</w:t>
            </w:r>
          </w:p>
        </w:tc>
        <w:tc>
          <w:tcPr>
            <w:tcW w:w="1136" w:type="dxa"/>
            <w:tcBorders>
              <w:top w:val="nil"/>
              <w:left w:val="nil"/>
              <w:bottom w:val="single" w:sz="4" w:space="0" w:color="auto"/>
              <w:right w:val="single" w:sz="4" w:space="0" w:color="auto"/>
            </w:tcBorders>
            <w:vAlign w:val="center"/>
            <w:hideMark/>
          </w:tcPr>
          <w:p w14:paraId="078ECA96"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6" w:type="dxa"/>
            <w:tcBorders>
              <w:top w:val="nil"/>
              <w:left w:val="nil"/>
              <w:bottom w:val="single" w:sz="4" w:space="0" w:color="auto"/>
              <w:right w:val="single" w:sz="4" w:space="0" w:color="auto"/>
            </w:tcBorders>
            <w:vAlign w:val="center"/>
            <w:hideMark/>
          </w:tcPr>
          <w:p w14:paraId="0BFE9A76"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578,68</w:t>
            </w:r>
          </w:p>
        </w:tc>
        <w:tc>
          <w:tcPr>
            <w:tcW w:w="1134" w:type="dxa"/>
            <w:tcBorders>
              <w:top w:val="nil"/>
              <w:left w:val="nil"/>
              <w:bottom w:val="single" w:sz="4" w:space="0" w:color="auto"/>
              <w:right w:val="single" w:sz="4" w:space="0" w:color="auto"/>
            </w:tcBorders>
            <w:vAlign w:val="center"/>
            <w:hideMark/>
          </w:tcPr>
          <w:p w14:paraId="41785CA9"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134" w:type="dxa"/>
            <w:tcBorders>
              <w:top w:val="nil"/>
              <w:left w:val="nil"/>
              <w:bottom w:val="single" w:sz="4" w:space="0" w:color="auto"/>
              <w:right w:val="single" w:sz="4" w:space="0" w:color="auto"/>
            </w:tcBorders>
            <w:vAlign w:val="center"/>
            <w:hideMark/>
          </w:tcPr>
          <w:p w14:paraId="41879749"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276" w:type="dxa"/>
            <w:tcBorders>
              <w:top w:val="nil"/>
              <w:left w:val="nil"/>
              <w:bottom w:val="single" w:sz="4" w:space="0" w:color="auto"/>
              <w:right w:val="single" w:sz="4" w:space="0" w:color="auto"/>
            </w:tcBorders>
            <w:vAlign w:val="center"/>
            <w:hideMark/>
          </w:tcPr>
          <w:p w14:paraId="09C3A7D6"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134" w:type="dxa"/>
            <w:tcBorders>
              <w:top w:val="nil"/>
              <w:left w:val="nil"/>
              <w:bottom w:val="single" w:sz="4" w:space="0" w:color="auto"/>
              <w:right w:val="single" w:sz="4" w:space="0" w:color="auto"/>
            </w:tcBorders>
            <w:vAlign w:val="center"/>
            <w:hideMark/>
          </w:tcPr>
          <w:p w14:paraId="320A67D4"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tcBorders>
              <w:top w:val="nil"/>
              <w:left w:val="nil"/>
              <w:bottom w:val="single" w:sz="4" w:space="0" w:color="auto"/>
              <w:right w:val="single" w:sz="4" w:space="0" w:color="auto"/>
            </w:tcBorders>
            <w:vAlign w:val="center"/>
            <w:hideMark/>
          </w:tcPr>
          <w:p w14:paraId="543DF480"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tcBorders>
              <w:top w:val="nil"/>
              <w:left w:val="nil"/>
              <w:bottom w:val="single" w:sz="4" w:space="0" w:color="auto"/>
              <w:right w:val="single" w:sz="4" w:space="0" w:color="auto"/>
            </w:tcBorders>
            <w:vAlign w:val="center"/>
            <w:hideMark/>
          </w:tcPr>
          <w:p w14:paraId="67D9AD16"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3120" w:type="dxa"/>
            <w:tcBorders>
              <w:top w:val="nil"/>
              <w:left w:val="nil"/>
              <w:bottom w:val="single" w:sz="4" w:space="0" w:color="auto"/>
              <w:right w:val="single" w:sz="4" w:space="0" w:color="auto"/>
            </w:tcBorders>
            <w:vAlign w:val="center"/>
            <w:hideMark/>
          </w:tcPr>
          <w:p w14:paraId="24D215FC" w14:textId="77777777" w:rsidR="005D6F11" w:rsidRPr="005D6F11" w:rsidRDefault="005D6F11" w:rsidP="006E6137">
            <w:pPr>
              <w:spacing w:after="0" w:line="240" w:lineRule="auto"/>
              <w:jc w:val="both"/>
              <w:rPr>
                <w:rFonts w:ascii="Arial" w:eastAsia="Times New Roman" w:hAnsi="Arial" w:cs="Arial"/>
                <w:sz w:val="16"/>
                <w:szCs w:val="16"/>
              </w:rPr>
            </w:pPr>
            <w:r w:rsidRPr="005D6F11">
              <w:rPr>
                <w:rFonts w:ascii="Arial" w:eastAsia="Times New Roman" w:hAnsi="Arial" w:cs="Arial"/>
                <w:sz w:val="16"/>
                <w:szCs w:val="16"/>
              </w:rPr>
              <w:t xml:space="preserve">U 2025. nisu ostvareni ovi prihodi. Prihodi u 2019.g. ostvareni od dvije pravne osobe na temelju ugovora koji su bili važeći do konca 2018. </w:t>
            </w:r>
          </w:p>
        </w:tc>
      </w:tr>
      <w:tr w:rsidR="0083333C" w:rsidRPr="000F632C" w14:paraId="355C223D" w14:textId="77777777" w:rsidTr="0083333C">
        <w:trPr>
          <w:trHeight w:val="612"/>
        </w:trPr>
        <w:tc>
          <w:tcPr>
            <w:tcW w:w="1268" w:type="dxa"/>
            <w:tcBorders>
              <w:top w:val="single" w:sz="4" w:space="0" w:color="auto"/>
              <w:left w:val="single" w:sz="4" w:space="0" w:color="auto"/>
              <w:bottom w:val="single" w:sz="4" w:space="0" w:color="auto"/>
              <w:right w:val="single" w:sz="4" w:space="0" w:color="auto"/>
            </w:tcBorders>
            <w:vAlign w:val="center"/>
          </w:tcPr>
          <w:p w14:paraId="1255B9B0" w14:textId="56836B8B" w:rsidR="0083333C" w:rsidRPr="000F632C" w:rsidRDefault="0083333C" w:rsidP="0083333C">
            <w:pPr>
              <w:spacing w:after="0" w:line="240" w:lineRule="auto"/>
              <w:rPr>
                <w:rFonts w:ascii="Arial" w:eastAsia="Times New Roman" w:hAnsi="Arial" w:cs="Arial"/>
                <w:sz w:val="16"/>
                <w:szCs w:val="16"/>
              </w:rPr>
            </w:pPr>
            <w:r w:rsidRPr="000F632C">
              <w:rPr>
                <w:rFonts w:ascii="Arial" w:eastAsia="Times New Roman" w:hAnsi="Arial" w:cs="Arial"/>
                <w:sz w:val="16"/>
                <w:szCs w:val="16"/>
              </w:rPr>
              <w:t>naknada za koncesiju za opskrbu trgovina i prijevoz osoba u staroj jezgri Cavtat posebnim električnim vozilom</w:t>
            </w:r>
          </w:p>
        </w:tc>
        <w:tc>
          <w:tcPr>
            <w:tcW w:w="1136" w:type="dxa"/>
            <w:tcBorders>
              <w:top w:val="single" w:sz="4" w:space="0" w:color="auto"/>
              <w:left w:val="nil"/>
              <w:bottom w:val="single" w:sz="4" w:space="0" w:color="auto"/>
              <w:right w:val="single" w:sz="4" w:space="0" w:color="auto"/>
            </w:tcBorders>
            <w:vAlign w:val="center"/>
          </w:tcPr>
          <w:p w14:paraId="7DC13FB8" w14:textId="0AC19608" w:rsidR="0083333C" w:rsidRPr="000F632C" w:rsidRDefault="0083333C" w:rsidP="0083333C">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6" w:type="dxa"/>
            <w:tcBorders>
              <w:top w:val="single" w:sz="4" w:space="0" w:color="auto"/>
              <w:left w:val="nil"/>
              <w:bottom w:val="single" w:sz="4" w:space="0" w:color="auto"/>
              <w:right w:val="single" w:sz="4" w:space="0" w:color="auto"/>
            </w:tcBorders>
            <w:vAlign w:val="center"/>
          </w:tcPr>
          <w:p w14:paraId="79B66B2E" w14:textId="3FA55EEA" w:rsidR="0083333C" w:rsidRPr="000F632C" w:rsidRDefault="0083333C" w:rsidP="0083333C">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387,11</w:t>
            </w:r>
          </w:p>
        </w:tc>
        <w:tc>
          <w:tcPr>
            <w:tcW w:w="1136" w:type="dxa"/>
            <w:tcBorders>
              <w:top w:val="single" w:sz="4" w:space="0" w:color="auto"/>
              <w:left w:val="nil"/>
              <w:bottom w:val="single" w:sz="4" w:space="0" w:color="auto"/>
              <w:right w:val="single" w:sz="4" w:space="0" w:color="auto"/>
            </w:tcBorders>
            <w:vAlign w:val="center"/>
          </w:tcPr>
          <w:p w14:paraId="663AAEEE" w14:textId="4636FEB7" w:rsidR="0083333C" w:rsidRPr="000F632C" w:rsidRDefault="0083333C" w:rsidP="0083333C">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679,38</w:t>
            </w:r>
          </w:p>
        </w:tc>
        <w:tc>
          <w:tcPr>
            <w:tcW w:w="1134" w:type="dxa"/>
            <w:tcBorders>
              <w:top w:val="single" w:sz="4" w:space="0" w:color="auto"/>
              <w:left w:val="nil"/>
              <w:bottom w:val="single" w:sz="4" w:space="0" w:color="auto"/>
              <w:right w:val="single" w:sz="4" w:space="0" w:color="auto"/>
            </w:tcBorders>
            <w:vAlign w:val="center"/>
          </w:tcPr>
          <w:p w14:paraId="7455DDF7" w14:textId="46D685CD" w:rsidR="0083333C" w:rsidRPr="000F632C" w:rsidRDefault="0083333C" w:rsidP="0083333C">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134" w:type="dxa"/>
            <w:tcBorders>
              <w:top w:val="single" w:sz="4" w:space="0" w:color="auto"/>
              <w:left w:val="nil"/>
              <w:bottom w:val="single" w:sz="4" w:space="0" w:color="auto"/>
              <w:right w:val="single" w:sz="4" w:space="0" w:color="auto"/>
            </w:tcBorders>
            <w:vAlign w:val="center"/>
          </w:tcPr>
          <w:p w14:paraId="1D313016" w14:textId="2ED7E2B7" w:rsidR="0083333C" w:rsidRPr="000F632C" w:rsidRDefault="0083333C" w:rsidP="0083333C">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663,61</w:t>
            </w:r>
          </w:p>
        </w:tc>
        <w:tc>
          <w:tcPr>
            <w:tcW w:w="1276" w:type="dxa"/>
            <w:tcBorders>
              <w:top w:val="single" w:sz="4" w:space="0" w:color="auto"/>
              <w:left w:val="nil"/>
              <w:bottom w:val="single" w:sz="4" w:space="0" w:color="auto"/>
              <w:right w:val="single" w:sz="4" w:space="0" w:color="auto"/>
            </w:tcBorders>
            <w:vAlign w:val="center"/>
          </w:tcPr>
          <w:p w14:paraId="030E9071" w14:textId="2B2146C5" w:rsidR="0083333C" w:rsidRPr="000F632C" w:rsidRDefault="0083333C" w:rsidP="0083333C">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831,89</w:t>
            </w:r>
          </w:p>
        </w:tc>
        <w:tc>
          <w:tcPr>
            <w:tcW w:w="1134" w:type="dxa"/>
            <w:tcBorders>
              <w:top w:val="single" w:sz="4" w:space="0" w:color="auto"/>
              <w:left w:val="nil"/>
              <w:bottom w:val="single" w:sz="4" w:space="0" w:color="auto"/>
              <w:right w:val="single" w:sz="4" w:space="0" w:color="auto"/>
            </w:tcBorders>
            <w:vAlign w:val="center"/>
          </w:tcPr>
          <w:p w14:paraId="60C7E75C" w14:textId="36A4C790" w:rsidR="0083333C" w:rsidRPr="000F632C" w:rsidRDefault="0083333C" w:rsidP="0083333C">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tcBorders>
              <w:top w:val="single" w:sz="4" w:space="0" w:color="auto"/>
              <w:left w:val="nil"/>
              <w:bottom w:val="single" w:sz="4" w:space="0" w:color="auto"/>
              <w:right w:val="single" w:sz="4" w:space="0" w:color="auto"/>
            </w:tcBorders>
            <w:vAlign w:val="center"/>
          </w:tcPr>
          <w:p w14:paraId="7003A9FC" w14:textId="6A88AA8A" w:rsidR="0083333C" w:rsidRPr="000F632C" w:rsidRDefault="0083333C" w:rsidP="0083333C">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tcBorders>
              <w:top w:val="single" w:sz="4" w:space="0" w:color="auto"/>
              <w:left w:val="nil"/>
              <w:bottom w:val="single" w:sz="4" w:space="0" w:color="auto"/>
              <w:right w:val="single" w:sz="4" w:space="0" w:color="auto"/>
            </w:tcBorders>
            <w:vAlign w:val="center"/>
          </w:tcPr>
          <w:p w14:paraId="579D192A" w14:textId="18035810" w:rsidR="0083333C" w:rsidRPr="000F632C" w:rsidRDefault="0083333C" w:rsidP="0083333C">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3120" w:type="dxa"/>
            <w:tcBorders>
              <w:top w:val="single" w:sz="4" w:space="0" w:color="auto"/>
              <w:left w:val="nil"/>
              <w:bottom w:val="single" w:sz="4" w:space="0" w:color="auto"/>
              <w:right w:val="single" w:sz="4" w:space="0" w:color="auto"/>
            </w:tcBorders>
            <w:vAlign w:val="center"/>
          </w:tcPr>
          <w:p w14:paraId="40DB3A66" w14:textId="53560ED1" w:rsidR="0083333C" w:rsidRPr="005D6F11" w:rsidRDefault="0083333C" w:rsidP="0083333C">
            <w:pPr>
              <w:spacing w:after="0" w:line="240" w:lineRule="auto"/>
              <w:jc w:val="both"/>
              <w:rPr>
                <w:rFonts w:ascii="Arial" w:eastAsia="Times New Roman" w:hAnsi="Arial" w:cs="Arial"/>
                <w:sz w:val="16"/>
                <w:szCs w:val="16"/>
              </w:rPr>
            </w:pPr>
            <w:r w:rsidRPr="000F632C">
              <w:rPr>
                <w:rFonts w:ascii="Arial" w:eastAsia="Times New Roman" w:hAnsi="Arial" w:cs="Arial"/>
                <w:sz w:val="16"/>
                <w:szCs w:val="16"/>
              </w:rPr>
              <w:t>Na temelju zaključenog ugovora o koncesiji Općine s pravnom osobom od 18.6.2018. (koncesija za obavljanje djelatnosti prijevoza osoba i opskrbe trgovina i građana unutar stare jezgre Cavtata posebnim električnim vozilima - karić). Ugovor bio na rok 5 godina, godišnje 5.000 kn / 663,61 €. U tekućoj godini nema ovih prihoda.</w:t>
            </w:r>
          </w:p>
        </w:tc>
      </w:tr>
    </w:tbl>
    <w:p w14:paraId="43874B4E" w14:textId="77777777" w:rsidR="005D6F11" w:rsidRDefault="005D6F11" w:rsidP="00F91AE6">
      <w:pPr>
        <w:spacing w:after="0" w:line="240" w:lineRule="auto"/>
        <w:jc w:val="both"/>
        <w:rPr>
          <w:rFonts w:ascii="Arial" w:eastAsia="Times New Roman" w:hAnsi="Arial" w:cs="Arial"/>
        </w:rPr>
      </w:pPr>
    </w:p>
    <w:p w14:paraId="666A377C" w14:textId="77777777" w:rsidR="0083333C" w:rsidRDefault="0083333C" w:rsidP="00F91AE6">
      <w:pPr>
        <w:spacing w:after="0" w:line="240" w:lineRule="auto"/>
        <w:jc w:val="both"/>
        <w:rPr>
          <w:rFonts w:ascii="Arial" w:eastAsia="Times New Roman" w:hAnsi="Arial" w:cs="Arial"/>
        </w:rPr>
      </w:pPr>
    </w:p>
    <w:p w14:paraId="7EB9E671" w14:textId="77777777" w:rsidR="0083333C" w:rsidRDefault="0083333C" w:rsidP="00F91AE6">
      <w:pPr>
        <w:spacing w:after="0" w:line="240" w:lineRule="auto"/>
        <w:jc w:val="both"/>
        <w:rPr>
          <w:rFonts w:ascii="Arial" w:eastAsia="Times New Roman" w:hAnsi="Arial" w:cs="Arial"/>
        </w:rPr>
      </w:pPr>
    </w:p>
    <w:p w14:paraId="3E0EC58D" w14:textId="77777777" w:rsidR="0083333C" w:rsidRDefault="0083333C" w:rsidP="00F91AE6">
      <w:pPr>
        <w:spacing w:after="0" w:line="240" w:lineRule="auto"/>
        <w:jc w:val="both"/>
        <w:rPr>
          <w:rFonts w:ascii="Arial" w:eastAsia="Times New Roman" w:hAnsi="Arial" w:cs="Arial"/>
        </w:rPr>
      </w:pPr>
    </w:p>
    <w:p w14:paraId="7DB2B535" w14:textId="77777777" w:rsidR="0083333C" w:rsidRDefault="0083333C" w:rsidP="00F91AE6">
      <w:pPr>
        <w:spacing w:after="0" w:line="240" w:lineRule="auto"/>
        <w:jc w:val="both"/>
        <w:rPr>
          <w:rFonts w:ascii="Arial" w:eastAsia="Times New Roman" w:hAnsi="Arial" w:cs="Arial"/>
        </w:rPr>
      </w:pPr>
    </w:p>
    <w:tbl>
      <w:tblPr>
        <w:tblW w:w="14742" w:type="dxa"/>
        <w:tblInd w:w="-10" w:type="dxa"/>
        <w:tblCellMar>
          <w:top w:w="28" w:type="dxa"/>
          <w:left w:w="28" w:type="dxa"/>
          <w:bottom w:w="28" w:type="dxa"/>
          <w:right w:w="28" w:type="dxa"/>
        </w:tblCellMar>
        <w:tblLook w:val="04A0" w:firstRow="1" w:lastRow="0" w:firstColumn="1" w:lastColumn="0" w:noHBand="0" w:noVBand="1"/>
      </w:tblPr>
      <w:tblGrid>
        <w:gridCol w:w="1268"/>
        <w:gridCol w:w="1136"/>
        <w:gridCol w:w="1136"/>
        <w:gridCol w:w="1136"/>
        <w:gridCol w:w="1134"/>
        <w:gridCol w:w="1134"/>
        <w:gridCol w:w="1276"/>
        <w:gridCol w:w="1134"/>
        <w:gridCol w:w="1134"/>
        <w:gridCol w:w="1134"/>
        <w:gridCol w:w="3120"/>
      </w:tblGrid>
      <w:tr w:rsidR="0083333C" w:rsidRPr="000F632C" w14:paraId="2AA8F294" w14:textId="77777777" w:rsidTr="006E6137">
        <w:trPr>
          <w:trHeight w:val="804"/>
        </w:trPr>
        <w:tc>
          <w:tcPr>
            <w:tcW w:w="1268" w:type="dxa"/>
            <w:tcBorders>
              <w:top w:val="single" w:sz="4" w:space="0" w:color="auto"/>
              <w:left w:val="single" w:sz="8" w:space="0" w:color="auto"/>
              <w:bottom w:val="single" w:sz="8" w:space="0" w:color="auto"/>
              <w:right w:val="single" w:sz="8" w:space="0" w:color="000000"/>
            </w:tcBorders>
            <w:vAlign w:val="center"/>
            <w:hideMark/>
          </w:tcPr>
          <w:p w14:paraId="173641ED" w14:textId="77777777" w:rsidR="0083333C" w:rsidRPr="000F632C" w:rsidRDefault="0083333C" w:rsidP="006E6137">
            <w:pPr>
              <w:spacing w:after="0" w:line="240" w:lineRule="auto"/>
              <w:rPr>
                <w:rFonts w:ascii="Arial" w:eastAsia="Times New Roman" w:hAnsi="Arial" w:cs="Arial"/>
                <w:b/>
                <w:bCs/>
                <w:i/>
                <w:iCs/>
                <w:sz w:val="20"/>
                <w:szCs w:val="20"/>
              </w:rPr>
            </w:pPr>
            <w:r w:rsidRPr="000F632C">
              <w:rPr>
                <w:rFonts w:ascii="Arial" w:eastAsia="Times New Roman" w:hAnsi="Arial" w:cs="Arial"/>
                <w:b/>
                <w:bCs/>
                <w:i/>
                <w:iCs/>
                <w:sz w:val="20"/>
                <w:szCs w:val="20"/>
              </w:rPr>
              <w:t>Vrsta prihoda</w:t>
            </w:r>
          </w:p>
        </w:tc>
        <w:tc>
          <w:tcPr>
            <w:tcW w:w="1136" w:type="dxa"/>
            <w:tcBorders>
              <w:top w:val="single" w:sz="4" w:space="0" w:color="auto"/>
              <w:left w:val="nil"/>
              <w:bottom w:val="single" w:sz="8" w:space="0" w:color="auto"/>
              <w:right w:val="single" w:sz="8" w:space="0" w:color="000000"/>
            </w:tcBorders>
            <w:vAlign w:val="center"/>
            <w:hideMark/>
          </w:tcPr>
          <w:p w14:paraId="178BE55C" w14:textId="77777777" w:rsidR="0083333C" w:rsidRPr="000F632C" w:rsidRDefault="0083333C"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2017.g. (€)</w:t>
            </w:r>
          </w:p>
        </w:tc>
        <w:tc>
          <w:tcPr>
            <w:tcW w:w="1136" w:type="dxa"/>
            <w:tcBorders>
              <w:top w:val="single" w:sz="4" w:space="0" w:color="auto"/>
              <w:left w:val="nil"/>
              <w:bottom w:val="single" w:sz="8" w:space="0" w:color="auto"/>
              <w:right w:val="single" w:sz="8" w:space="0" w:color="000000"/>
            </w:tcBorders>
            <w:vAlign w:val="center"/>
            <w:hideMark/>
          </w:tcPr>
          <w:p w14:paraId="6CEAC01A" w14:textId="77777777" w:rsidR="0083333C" w:rsidRPr="000F632C" w:rsidRDefault="0083333C"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2018.g. (€)</w:t>
            </w:r>
          </w:p>
        </w:tc>
        <w:tc>
          <w:tcPr>
            <w:tcW w:w="1136" w:type="dxa"/>
            <w:tcBorders>
              <w:top w:val="single" w:sz="4" w:space="0" w:color="auto"/>
              <w:left w:val="nil"/>
              <w:bottom w:val="single" w:sz="8" w:space="0" w:color="auto"/>
              <w:right w:val="single" w:sz="8" w:space="0" w:color="000000"/>
            </w:tcBorders>
            <w:vAlign w:val="center"/>
            <w:hideMark/>
          </w:tcPr>
          <w:p w14:paraId="04D8A2CE" w14:textId="77777777" w:rsidR="0083333C" w:rsidRPr="000F632C" w:rsidRDefault="0083333C"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2019.g. (€)</w:t>
            </w:r>
          </w:p>
        </w:tc>
        <w:tc>
          <w:tcPr>
            <w:tcW w:w="1134" w:type="dxa"/>
            <w:tcBorders>
              <w:top w:val="single" w:sz="4" w:space="0" w:color="auto"/>
              <w:left w:val="nil"/>
              <w:bottom w:val="single" w:sz="8" w:space="0" w:color="auto"/>
              <w:right w:val="single" w:sz="8" w:space="0" w:color="000000"/>
            </w:tcBorders>
            <w:vAlign w:val="center"/>
            <w:hideMark/>
          </w:tcPr>
          <w:p w14:paraId="05EA67F8" w14:textId="77777777" w:rsidR="0083333C" w:rsidRPr="000F632C" w:rsidRDefault="0083333C"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2020.g. (€)</w:t>
            </w:r>
          </w:p>
        </w:tc>
        <w:tc>
          <w:tcPr>
            <w:tcW w:w="1134" w:type="dxa"/>
            <w:tcBorders>
              <w:top w:val="single" w:sz="4" w:space="0" w:color="auto"/>
              <w:left w:val="nil"/>
              <w:bottom w:val="single" w:sz="8" w:space="0" w:color="auto"/>
              <w:right w:val="single" w:sz="8" w:space="0" w:color="000000"/>
            </w:tcBorders>
            <w:vAlign w:val="center"/>
            <w:hideMark/>
          </w:tcPr>
          <w:p w14:paraId="0CA3523D" w14:textId="77777777" w:rsidR="0083333C" w:rsidRPr="000F632C" w:rsidRDefault="0083333C"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2021.g. (€)</w:t>
            </w:r>
          </w:p>
        </w:tc>
        <w:tc>
          <w:tcPr>
            <w:tcW w:w="1276" w:type="dxa"/>
            <w:tcBorders>
              <w:top w:val="single" w:sz="4" w:space="0" w:color="auto"/>
              <w:left w:val="nil"/>
              <w:bottom w:val="single" w:sz="8" w:space="0" w:color="auto"/>
              <w:right w:val="single" w:sz="8" w:space="0" w:color="auto"/>
            </w:tcBorders>
            <w:vAlign w:val="center"/>
            <w:hideMark/>
          </w:tcPr>
          <w:p w14:paraId="7096AA06" w14:textId="77777777" w:rsidR="0083333C" w:rsidRPr="000F632C" w:rsidRDefault="0083333C"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/2022.g. (€)</w:t>
            </w:r>
          </w:p>
        </w:tc>
        <w:tc>
          <w:tcPr>
            <w:tcW w:w="1134" w:type="dxa"/>
            <w:tcBorders>
              <w:top w:val="single" w:sz="4" w:space="0" w:color="auto"/>
              <w:left w:val="nil"/>
              <w:bottom w:val="single" w:sz="8" w:space="0" w:color="auto"/>
              <w:right w:val="single" w:sz="8" w:space="0" w:color="auto"/>
            </w:tcBorders>
            <w:vAlign w:val="center"/>
            <w:hideMark/>
          </w:tcPr>
          <w:p w14:paraId="5F05AD67" w14:textId="77777777" w:rsidR="0083333C" w:rsidRPr="000F632C" w:rsidRDefault="0083333C"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2023.g. (€)</w:t>
            </w:r>
          </w:p>
        </w:tc>
        <w:tc>
          <w:tcPr>
            <w:tcW w:w="1134" w:type="dxa"/>
            <w:tcBorders>
              <w:top w:val="single" w:sz="4" w:space="0" w:color="auto"/>
              <w:left w:val="nil"/>
              <w:bottom w:val="single" w:sz="8" w:space="0" w:color="auto"/>
              <w:right w:val="single" w:sz="8" w:space="0" w:color="auto"/>
            </w:tcBorders>
            <w:vAlign w:val="center"/>
            <w:hideMark/>
          </w:tcPr>
          <w:p w14:paraId="77DA20C1" w14:textId="77777777" w:rsidR="0083333C" w:rsidRPr="000F632C" w:rsidRDefault="0083333C"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2024.g. (€)</w:t>
            </w:r>
          </w:p>
        </w:tc>
        <w:tc>
          <w:tcPr>
            <w:tcW w:w="1134" w:type="dxa"/>
            <w:tcBorders>
              <w:top w:val="single" w:sz="4" w:space="0" w:color="auto"/>
              <w:left w:val="nil"/>
              <w:bottom w:val="single" w:sz="8" w:space="0" w:color="auto"/>
              <w:right w:val="single" w:sz="8" w:space="0" w:color="auto"/>
            </w:tcBorders>
            <w:vAlign w:val="center"/>
            <w:hideMark/>
          </w:tcPr>
          <w:p w14:paraId="0627923D" w14:textId="0DA38165" w:rsidR="0083333C" w:rsidRPr="000F632C" w:rsidRDefault="0083333C"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2025.g. (€)</w:t>
            </w:r>
          </w:p>
        </w:tc>
        <w:tc>
          <w:tcPr>
            <w:tcW w:w="3120" w:type="dxa"/>
            <w:tcBorders>
              <w:top w:val="single" w:sz="4" w:space="0" w:color="auto"/>
              <w:left w:val="nil"/>
              <w:bottom w:val="single" w:sz="8" w:space="0" w:color="auto"/>
              <w:right w:val="single" w:sz="8" w:space="0" w:color="auto"/>
            </w:tcBorders>
            <w:vAlign w:val="center"/>
            <w:hideMark/>
          </w:tcPr>
          <w:p w14:paraId="3721E708" w14:textId="77777777" w:rsidR="0083333C" w:rsidRPr="000F632C" w:rsidRDefault="0083333C" w:rsidP="006E6137">
            <w:pPr>
              <w:spacing w:after="0" w:line="240" w:lineRule="auto"/>
              <w:jc w:val="center"/>
              <w:rPr>
                <w:rFonts w:ascii="Arial" w:eastAsia="Times New Roman" w:hAnsi="Arial" w:cs="Arial"/>
                <w:b/>
                <w:bCs/>
                <w:i/>
                <w:iCs/>
                <w:sz w:val="20"/>
                <w:szCs w:val="20"/>
              </w:rPr>
            </w:pPr>
            <w:r w:rsidRPr="000F632C">
              <w:rPr>
                <w:rFonts w:ascii="Arial" w:eastAsia="Times New Roman" w:hAnsi="Arial" w:cs="Arial"/>
                <w:b/>
                <w:bCs/>
                <w:i/>
                <w:iCs/>
                <w:sz w:val="20"/>
                <w:szCs w:val="20"/>
              </w:rPr>
              <w:t>Obrazloženje za prihode u razdoblju 202</w:t>
            </w:r>
            <w:r>
              <w:rPr>
                <w:rFonts w:ascii="Arial" w:eastAsia="Times New Roman" w:hAnsi="Arial" w:cs="Arial"/>
                <w:b/>
                <w:bCs/>
                <w:i/>
                <w:iCs/>
                <w:sz w:val="20"/>
                <w:szCs w:val="20"/>
              </w:rPr>
              <w:t>5</w:t>
            </w:r>
            <w:r w:rsidRPr="000F632C">
              <w:rPr>
                <w:rFonts w:ascii="Arial" w:eastAsia="Times New Roman" w:hAnsi="Arial" w:cs="Arial"/>
                <w:b/>
                <w:bCs/>
                <w:i/>
                <w:iCs/>
                <w:sz w:val="20"/>
                <w:szCs w:val="20"/>
              </w:rPr>
              <w:t>.</w:t>
            </w:r>
          </w:p>
        </w:tc>
      </w:tr>
      <w:tr w:rsidR="0083333C" w:rsidRPr="000F632C" w14:paraId="3D5B21A0" w14:textId="77777777" w:rsidTr="006E6137">
        <w:trPr>
          <w:trHeight w:val="684"/>
        </w:trPr>
        <w:tc>
          <w:tcPr>
            <w:tcW w:w="1268" w:type="dxa"/>
            <w:tcBorders>
              <w:top w:val="nil"/>
              <w:left w:val="single" w:sz="4" w:space="0" w:color="auto"/>
              <w:bottom w:val="single" w:sz="4" w:space="0" w:color="auto"/>
              <w:right w:val="single" w:sz="4" w:space="0" w:color="auto"/>
            </w:tcBorders>
            <w:vAlign w:val="center"/>
            <w:hideMark/>
          </w:tcPr>
          <w:p w14:paraId="6A9D914F" w14:textId="77777777" w:rsidR="0083333C" w:rsidRPr="000F632C" w:rsidRDefault="0083333C" w:rsidP="006E6137">
            <w:pPr>
              <w:spacing w:after="0" w:line="240" w:lineRule="auto"/>
              <w:rPr>
                <w:rFonts w:ascii="Arial" w:eastAsia="Times New Roman" w:hAnsi="Arial" w:cs="Arial"/>
                <w:sz w:val="16"/>
                <w:szCs w:val="16"/>
              </w:rPr>
            </w:pPr>
            <w:r w:rsidRPr="000F632C">
              <w:rPr>
                <w:rFonts w:ascii="Arial" w:eastAsia="Times New Roman" w:hAnsi="Arial" w:cs="Arial"/>
                <w:sz w:val="16"/>
                <w:szCs w:val="16"/>
              </w:rPr>
              <w:t>koncesija za premještanje vozila</w:t>
            </w:r>
          </w:p>
        </w:tc>
        <w:tc>
          <w:tcPr>
            <w:tcW w:w="1136" w:type="dxa"/>
            <w:tcBorders>
              <w:top w:val="nil"/>
              <w:left w:val="nil"/>
              <w:bottom w:val="single" w:sz="4" w:space="0" w:color="auto"/>
              <w:right w:val="single" w:sz="4" w:space="0" w:color="auto"/>
            </w:tcBorders>
            <w:vAlign w:val="center"/>
            <w:hideMark/>
          </w:tcPr>
          <w:p w14:paraId="39DC8361"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6" w:type="dxa"/>
            <w:tcBorders>
              <w:top w:val="nil"/>
              <w:left w:val="nil"/>
              <w:bottom w:val="single" w:sz="4" w:space="0" w:color="auto"/>
              <w:right w:val="single" w:sz="4" w:space="0" w:color="auto"/>
            </w:tcBorders>
            <w:vAlign w:val="center"/>
            <w:hideMark/>
          </w:tcPr>
          <w:p w14:paraId="5BA8E77E"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154,84</w:t>
            </w:r>
          </w:p>
        </w:tc>
        <w:tc>
          <w:tcPr>
            <w:tcW w:w="1136" w:type="dxa"/>
            <w:tcBorders>
              <w:top w:val="nil"/>
              <w:left w:val="nil"/>
              <w:bottom w:val="single" w:sz="4" w:space="0" w:color="auto"/>
              <w:right w:val="single" w:sz="4" w:space="0" w:color="auto"/>
            </w:tcBorders>
            <w:vAlign w:val="center"/>
            <w:hideMark/>
          </w:tcPr>
          <w:p w14:paraId="79C5C302"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400,38</w:t>
            </w:r>
          </w:p>
        </w:tc>
        <w:tc>
          <w:tcPr>
            <w:tcW w:w="1134" w:type="dxa"/>
            <w:tcBorders>
              <w:top w:val="nil"/>
              <w:left w:val="nil"/>
              <w:bottom w:val="single" w:sz="4" w:space="0" w:color="auto"/>
              <w:right w:val="single" w:sz="4" w:space="0" w:color="auto"/>
            </w:tcBorders>
            <w:vAlign w:val="center"/>
            <w:hideMark/>
          </w:tcPr>
          <w:p w14:paraId="32D715B2"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416,62</w:t>
            </w:r>
          </w:p>
        </w:tc>
        <w:tc>
          <w:tcPr>
            <w:tcW w:w="1134" w:type="dxa"/>
            <w:tcBorders>
              <w:top w:val="nil"/>
              <w:left w:val="nil"/>
              <w:bottom w:val="single" w:sz="4" w:space="0" w:color="auto"/>
              <w:right w:val="single" w:sz="4" w:space="0" w:color="auto"/>
            </w:tcBorders>
            <w:vAlign w:val="center"/>
            <w:hideMark/>
          </w:tcPr>
          <w:p w14:paraId="00680BC9"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265,45</w:t>
            </w:r>
          </w:p>
        </w:tc>
        <w:tc>
          <w:tcPr>
            <w:tcW w:w="1276" w:type="dxa"/>
            <w:tcBorders>
              <w:top w:val="nil"/>
              <w:left w:val="nil"/>
              <w:bottom w:val="single" w:sz="4" w:space="0" w:color="auto"/>
              <w:right w:val="single" w:sz="4" w:space="0" w:color="auto"/>
            </w:tcBorders>
            <w:vAlign w:val="center"/>
            <w:hideMark/>
          </w:tcPr>
          <w:p w14:paraId="3298C163"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542,34</w:t>
            </w:r>
          </w:p>
        </w:tc>
        <w:tc>
          <w:tcPr>
            <w:tcW w:w="1134" w:type="dxa"/>
            <w:tcBorders>
              <w:top w:val="nil"/>
              <w:left w:val="nil"/>
              <w:bottom w:val="single" w:sz="4" w:space="0" w:color="auto"/>
              <w:right w:val="single" w:sz="4" w:space="0" w:color="auto"/>
            </w:tcBorders>
            <w:vAlign w:val="center"/>
            <w:hideMark/>
          </w:tcPr>
          <w:p w14:paraId="293FC29E"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276,50</w:t>
            </w:r>
          </w:p>
        </w:tc>
        <w:tc>
          <w:tcPr>
            <w:tcW w:w="1134" w:type="dxa"/>
            <w:tcBorders>
              <w:top w:val="nil"/>
              <w:left w:val="nil"/>
              <w:bottom w:val="single" w:sz="4" w:space="0" w:color="auto"/>
              <w:right w:val="single" w:sz="4" w:space="0" w:color="auto"/>
            </w:tcBorders>
            <w:vAlign w:val="center"/>
            <w:hideMark/>
          </w:tcPr>
          <w:p w14:paraId="0E19EC7C"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tcBorders>
              <w:top w:val="nil"/>
              <w:left w:val="nil"/>
              <w:bottom w:val="single" w:sz="4" w:space="0" w:color="auto"/>
              <w:right w:val="single" w:sz="4" w:space="0" w:color="auto"/>
            </w:tcBorders>
            <w:vAlign w:val="center"/>
            <w:hideMark/>
          </w:tcPr>
          <w:p w14:paraId="139216A9"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3120" w:type="dxa"/>
            <w:tcBorders>
              <w:top w:val="nil"/>
              <w:left w:val="nil"/>
              <w:bottom w:val="single" w:sz="4" w:space="0" w:color="auto"/>
              <w:right w:val="single" w:sz="4" w:space="0" w:color="auto"/>
            </w:tcBorders>
            <w:vAlign w:val="center"/>
            <w:hideMark/>
          </w:tcPr>
          <w:p w14:paraId="667BFB0D" w14:textId="77777777" w:rsidR="0083333C" w:rsidRPr="000F632C" w:rsidRDefault="0083333C" w:rsidP="006E6137">
            <w:pPr>
              <w:spacing w:after="0" w:line="240" w:lineRule="auto"/>
              <w:jc w:val="both"/>
              <w:rPr>
                <w:rFonts w:ascii="Arial" w:eastAsia="Times New Roman" w:hAnsi="Arial" w:cs="Arial"/>
                <w:sz w:val="16"/>
                <w:szCs w:val="16"/>
              </w:rPr>
            </w:pPr>
            <w:r w:rsidRPr="000F632C">
              <w:rPr>
                <w:rFonts w:ascii="Arial" w:eastAsia="Times New Roman" w:hAnsi="Arial" w:cs="Arial"/>
                <w:sz w:val="16"/>
                <w:szCs w:val="16"/>
              </w:rPr>
              <w:t>Ugovor o koncesiji  za obavljanje djelatnosti premještanja nepropisno zaustavljenih i parkiranih vozila na području Općine od 18.6.2018, na rok 5 godina, godišnje 3.000 kn / 398,17 €. U tekućoj godini nema ovih prihoda.</w:t>
            </w:r>
          </w:p>
        </w:tc>
      </w:tr>
      <w:tr w:rsidR="0083333C" w:rsidRPr="000F632C" w14:paraId="2E9FB0C1" w14:textId="77777777" w:rsidTr="006E6137">
        <w:trPr>
          <w:trHeight w:val="456"/>
        </w:trPr>
        <w:tc>
          <w:tcPr>
            <w:tcW w:w="1268" w:type="dxa"/>
            <w:tcBorders>
              <w:top w:val="nil"/>
              <w:left w:val="single" w:sz="4" w:space="0" w:color="auto"/>
              <w:bottom w:val="single" w:sz="4" w:space="0" w:color="auto"/>
              <w:right w:val="single" w:sz="4" w:space="0" w:color="auto"/>
            </w:tcBorders>
            <w:vAlign w:val="center"/>
            <w:hideMark/>
          </w:tcPr>
          <w:p w14:paraId="6C25D349" w14:textId="77777777" w:rsidR="0083333C" w:rsidRPr="000F632C" w:rsidRDefault="0083333C" w:rsidP="006E6137">
            <w:pPr>
              <w:spacing w:after="0" w:line="240" w:lineRule="auto"/>
              <w:rPr>
                <w:rFonts w:ascii="Arial" w:eastAsia="Times New Roman" w:hAnsi="Arial" w:cs="Arial"/>
                <w:sz w:val="16"/>
                <w:szCs w:val="16"/>
              </w:rPr>
            </w:pPr>
            <w:r w:rsidRPr="000F632C">
              <w:rPr>
                <w:rFonts w:ascii="Arial" w:eastAsia="Times New Roman" w:hAnsi="Arial" w:cs="Arial"/>
                <w:sz w:val="16"/>
                <w:szCs w:val="16"/>
              </w:rPr>
              <w:t xml:space="preserve">koncesija za javni WC </w:t>
            </w:r>
          </w:p>
        </w:tc>
        <w:tc>
          <w:tcPr>
            <w:tcW w:w="1136" w:type="dxa"/>
            <w:tcBorders>
              <w:top w:val="nil"/>
              <w:left w:val="nil"/>
              <w:bottom w:val="single" w:sz="4" w:space="0" w:color="auto"/>
              <w:right w:val="single" w:sz="4" w:space="0" w:color="auto"/>
            </w:tcBorders>
            <w:vAlign w:val="center"/>
            <w:hideMark/>
          </w:tcPr>
          <w:p w14:paraId="02278166"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6" w:type="dxa"/>
            <w:tcBorders>
              <w:top w:val="nil"/>
              <w:left w:val="nil"/>
              <w:bottom w:val="single" w:sz="4" w:space="0" w:color="auto"/>
              <w:right w:val="single" w:sz="4" w:space="0" w:color="auto"/>
            </w:tcBorders>
            <w:vAlign w:val="center"/>
            <w:hideMark/>
          </w:tcPr>
          <w:p w14:paraId="409BCC7E"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232,26</w:t>
            </w:r>
          </w:p>
        </w:tc>
        <w:tc>
          <w:tcPr>
            <w:tcW w:w="1136" w:type="dxa"/>
            <w:tcBorders>
              <w:top w:val="nil"/>
              <w:left w:val="nil"/>
              <w:bottom w:val="single" w:sz="4" w:space="0" w:color="auto"/>
              <w:right w:val="single" w:sz="4" w:space="0" w:color="auto"/>
            </w:tcBorders>
            <w:vAlign w:val="center"/>
            <w:hideMark/>
          </w:tcPr>
          <w:p w14:paraId="3400DE96"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266,92</w:t>
            </w:r>
          </w:p>
        </w:tc>
        <w:tc>
          <w:tcPr>
            <w:tcW w:w="1134" w:type="dxa"/>
            <w:tcBorders>
              <w:top w:val="nil"/>
              <w:left w:val="nil"/>
              <w:bottom w:val="single" w:sz="4" w:space="0" w:color="auto"/>
              <w:right w:val="single" w:sz="4" w:space="0" w:color="auto"/>
            </w:tcBorders>
            <w:vAlign w:val="center"/>
            <w:hideMark/>
          </w:tcPr>
          <w:p w14:paraId="2067DEAF"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277,79</w:t>
            </w:r>
          </w:p>
        </w:tc>
        <w:tc>
          <w:tcPr>
            <w:tcW w:w="1134" w:type="dxa"/>
            <w:tcBorders>
              <w:top w:val="nil"/>
              <w:left w:val="nil"/>
              <w:bottom w:val="single" w:sz="4" w:space="0" w:color="auto"/>
              <w:right w:val="single" w:sz="4" w:space="0" w:color="auto"/>
            </w:tcBorders>
            <w:vAlign w:val="center"/>
            <w:hideMark/>
          </w:tcPr>
          <w:p w14:paraId="4BD6B046"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265,45</w:t>
            </w:r>
          </w:p>
        </w:tc>
        <w:tc>
          <w:tcPr>
            <w:tcW w:w="1276" w:type="dxa"/>
            <w:tcBorders>
              <w:top w:val="nil"/>
              <w:left w:val="nil"/>
              <w:bottom w:val="single" w:sz="4" w:space="0" w:color="auto"/>
              <w:right w:val="single" w:sz="4" w:space="0" w:color="auto"/>
            </w:tcBorders>
            <w:vAlign w:val="center"/>
            <w:hideMark/>
          </w:tcPr>
          <w:p w14:paraId="063538F6"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267,36</w:t>
            </w:r>
          </w:p>
        </w:tc>
        <w:tc>
          <w:tcPr>
            <w:tcW w:w="1134" w:type="dxa"/>
            <w:tcBorders>
              <w:top w:val="nil"/>
              <w:left w:val="nil"/>
              <w:bottom w:val="single" w:sz="4" w:space="0" w:color="auto"/>
              <w:right w:val="single" w:sz="4" w:space="0" w:color="auto"/>
            </w:tcBorders>
            <w:vAlign w:val="center"/>
            <w:hideMark/>
          </w:tcPr>
          <w:p w14:paraId="42D6EC71"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tcBorders>
              <w:top w:val="nil"/>
              <w:left w:val="nil"/>
              <w:bottom w:val="single" w:sz="4" w:space="0" w:color="auto"/>
              <w:right w:val="single" w:sz="4" w:space="0" w:color="auto"/>
            </w:tcBorders>
            <w:vAlign w:val="center"/>
            <w:hideMark/>
          </w:tcPr>
          <w:p w14:paraId="4A3971EF"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tcBorders>
              <w:top w:val="nil"/>
              <w:left w:val="nil"/>
              <w:bottom w:val="single" w:sz="4" w:space="0" w:color="auto"/>
              <w:right w:val="single" w:sz="4" w:space="0" w:color="auto"/>
            </w:tcBorders>
            <w:vAlign w:val="center"/>
            <w:hideMark/>
          </w:tcPr>
          <w:p w14:paraId="18D4B139"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3120" w:type="dxa"/>
            <w:tcBorders>
              <w:top w:val="nil"/>
              <w:left w:val="nil"/>
              <w:bottom w:val="single" w:sz="4" w:space="0" w:color="auto"/>
              <w:right w:val="single" w:sz="4" w:space="0" w:color="auto"/>
            </w:tcBorders>
            <w:vAlign w:val="center"/>
            <w:hideMark/>
          </w:tcPr>
          <w:p w14:paraId="329F918E" w14:textId="77777777" w:rsidR="0083333C" w:rsidRPr="000F632C" w:rsidRDefault="0083333C" w:rsidP="006E6137">
            <w:pPr>
              <w:spacing w:after="0" w:line="240" w:lineRule="auto"/>
              <w:jc w:val="both"/>
              <w:rPr>
                <w:rFonts w:ascii="Arial" w:eastAsia="Times New Roman" w:hAnsi="Arial" w:cs="Arial"/>
                <w:sz w:val="16"/>
                <w:szCs w:val="16"/>
              </w:rPr>
            </w:pPr>
            <w:r w:rsidRPr="000F632C">
              <w:rPr>
                <w:rFonts w:ascii="Arial" w:eastAsia="Times New Roman" w:hAnsi="Arial" w:cs="Arial"/>
                <w:sz w:val="16"/>
                <w:szCs w:val="16"/>
              </w:rPr>
              <w:t>Obavljanje djelatnosti održavanja i naplate javnog WC-a je povjerena društvu u vlasništvu Općine. U tekućoj godini nema ovih prihoda.</w:t>
            </w:r>
          </w:p>
        </w:tc>
      </w:tr>
      <w:tr w:rsidR="0083333C" w:rsidRPr="000F632C" w14:paraId="42560BC4" w14:textId="77777777" w:rsidTr="006E6137">
        <w:trPr>
          <w:trHeight w:val="1020"/>
        </w:trPr>
        <w:tc>
          <w:tcPr>
            <w:tcW w:w="1268" w:type="dxa"/>
            <w:tcBorders>
              <w:top w:val="nil"/>
              <w:left w:val="single" w:sz="4" w:space="0" w:color="auto"/>
              <w:bottom w:val="single" w:sz="4" w:space="0" w:color="auto"/>
              <w:right w:val="single" w:sz="4" w:space="0" w:color="auto"/>
            </w:tcBorders>
            <w:vAlign w:val="center"/>
            <w:hideMark/>
          </w:tcPr>
          <w:p w14:paraId="3F4CB07C" w14:textId="77777777" w:rsidR="0083333C" w:rsidRPr="000F632C" w:rsidRDefault="0083333C" w:rsidP="006E6137">
            <w:pPr>
              <w:spacing w:after="0" w:line="240" w:lineRule="auto"/>
              <w:rPr>
                <w:rFonts w:ascii="Arial" w:eastAsia="Times New Roman" w:hAnsi="Arial" w:cs="Arial"/>
                <w:sz w:val="16"/>
                <w:szCs w:val="16"/>
              </w:rPr>
            </w:pPr>
            <w:r w:rsidRPr="000F632C">
              <w:rPr>
                <w:rFonts w:ascii="Arial" w:eastAsia="Times New Roman" w:hAnsi="Arial" w:cs="Arial"/>
                <w:sz w:val="16"/>
                <w:szCs w:val="16"/>
              </w:rPr>
              <w:t>naknada za zauzetu površinu odobrenog eksploatacijskog polja (5827)</w:t>
            </w:r>
          </w:p>
        </w:tc>
        <w:tc>
          <w:tcPr>
            <w:tcW w:w="1136" w:type="dxa"/>
            <w:tcBorders>
              <w:top w:val="nil"/>
              <w:left w:val="nil"/>
              <w:bottom w:val="single" w:sz="4" w:space="0" w:color="auto"/>
              <w:right w:val="single" w:sz="4" w:space="0" w:color="auto"/>
            </w:tcBorders>
            <w:vAlign w:val="center"/>
            <w:hideMark/>
          </w:tcPr>
          <w:p w14:paraId="7C1B4CC0"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6" w:type="dxa"/>
            <w:tcBorders>
              <w:top w:val="nil"/>
              <w:left w:val="nil"/>
              <w:bottom w:val="single" w:sz="4" w:space="0" w:color="auto"/>
              <w:right w:val="single" w:sz="4" w:space="0" w:color="auto"/>
            </w:tcBorders>
            <w:vAlign w:val="center"/>
            <w:hideMark/>
          </w:tcPr>
          <w:p w14:paraId="3E5C5B6F"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887,92</w:t>
            </w:r>
          </w:p>
        </w:tc>
        <w:tc>
          <w:tcPr>
            <w:tcW w:w="1136" w:type="dxa"/>
            <w:tcBorders>
              <w:top w:val="nil"/>
              <w:left w:val="nil"/>
              <w:bottom w:val="single" w:sz="4" w:space="0" w:color="auto"/>
              <w:right w:val="single" w:sz="4" w:space="0" w:color="auto"/>
            </w:tcBorders>
            <w:vAlign w:val="center"/>
            <w:hideMark/>
          </w:tcPr>
          <w:p w14:paraId="782C8A90"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451,26</w:t>
            </w:r>
          </w:p>
        </w:tc>
        <w:tc>
          <w:tcPr>
            <w:tcW w:w="1134" w:type="dxa"/>
            <w:tcBorders>
              <w:top w:val="nil"/>
              <w:left w:val="nil"/>
              <w:bottom w:val="single" w:sz="4" w:space="0" w:color="auto"/>
              <w:right w:val="single" w:sz="4" w:space="0" w:color="auto"/>
            </w:tcBorders>
            <w:vAlign w:val="center"/>
            <w:hideMark/>
          </w:tcPr>
          <w:p w14:paraId="5FCC9CF6"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371,62</w:t>
            </w:r>
          </w:p>
        </w:tc>
        <w:tc>
          <w:tcPr>
            <w:tcW w:w="1134" w:type="dxa"/>
            <w:tcBorders>
              <w:top w:val="nil"/>
              <w:left w:val="nil"/>
              <w:bottom w:val="single" w:sz="4" w:space="0" w:color="auto"/>
              <w:right w:val="single" w:sz="4" w:space="0" w:color="auto"/>
            </w:tcBorders>
            <w:vAlign w:val="center"/>
            <w:hideMark/>
          </w:tcPr>
          <w:p w14:paraId="47AE83E0"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399,50</w:t>
            </w:r>
          </w:p>
        </w:tc>
        <w:tc>
          <w:tcPr>
            <w:tcW w:w="1276" w:type="dxa"/>
            <w:tcBorders>
              <w:top w:val="nil"/>
              <w:left w:val="nil"/>
              <w:bottom w:val="single" w:sz="4" w:space="0" w:color="auto"/>
              <w:right w:val="single" w:sz="4" w:space="0" w:color="auto"/>
            </w:tcBorders>
            <w:vAlign w:val="center"/>
            <w:hideMark/>
          </w:tcPr>
          <w:p w14:paraId="0D06018B"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407,46</w:t>
            </w:r>
          </w:p>
        </w:tc>
        <w:tc>
          <w:tcPr>
            <w:tcW w:w="1134" w:type="dxa"/>
            <w:tcBorders>
              <w:top w:val="nil"/>
              <w:left w:val="nil"/>
              <w:bottom w:val="single" w:sz="4" w:space="0" w:color="auto"/>
              <w:right w:val="single" w:sz="4" w:space="0" w:color="auto"/>
            </w:tcBorders>
            <w:vAlign w:val="center"/>
            <w:hideMark/>
          </w:tcPr>
          <w:p w14:paraId="3A75EAD1"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404,54</w:t>
            </w:r>
          </w:p>
        </w:tc>
        <w:tc>
          <w:tcPr>
            <w:tcW w:w="1134" w:type="dxa"/>
            <w:tcBorders>
              <w:top w:val="nil"/>
              <w:left w:val="nil"/>
              <w:bottom w:val="single" w:sz="4" w:space="0" w:color="auto"/>
              <w:right w:val="single" w:sz="4" w:space="0" w:color="auto"/>
            </w:tcBorders>
            <w:vAlign w:val="center"/>
            <w:hideMark/>
          </w:tcPr>
          <w:p w14:paraId="58BE2C0A"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1.004,54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AC6CDA" w14:textId="77777777" w:rsidR="0083333C" w:rsidRPr="000F632C" w:rsidRDefault="0083333C" w:rsidP="006E6137">
            <w:pPr>
              <w:spacing w:after="0" w:line="240" w:lineRule="auto"/>
              <w:jc w:val="right"/>
              <w:rPr>
                <w:rFonts w:ascii="Arial" w:eastAsia="Times New Roman" w:hAnsi="Arial" w:cs="Arial"/>
                <w:sz w:val="16"/>
                <w:szCs w:val="16"/>
              </w:rPr>
            </w:pPr>
            <w:r>
              <w:rPr>
                <w:rFonts w:ascii="Arial" w:hAnsi="Arial" w:cs="Arial"/>
                <w:sz w:val="18"/>
                <w:szCs w:val="18"/>
              </w:rPr>
              <w:t>762,00</w:t>
            </w:r>
          </w:p>
        </w:tc>
        <w:tc>
          <w:tcPr>
            <w:tcW w:w="3120" w:type="dxa"/>
            <w:tcBorders>
              <w:top w:val="single" w:sz="4" w:space="0" w:color="auto"/>
              <w:left w:val="nil"/>
              <w:bottom w:val="single" w:sz="4" w:space="0" w:color="auto"/>
              <w:right w:val="single" w:sz="4" w:space="0" w:color="auto"/>
            </w:tcBorders>
            <w:vAlign w:val="center"/>
            <w:hideMark/>
          </w:tcPr>
          <w:p w14:paraId="7BD8AC47" w14:textId="77777777" w:rsidR="0083333C" w:rsidRPr="005D6F11" w:rsidRDefault="0083333C" w:rsidP="006E6137">
            <w:pPr>
              <w:spacing w:after="0" w:line="240" w:lineRule="auto"/>
              <w:jc w:val="both"/>
              <w:rPr>
                <w:rFonts w:ascii="Arial" w:eastAsia="Times New Roman" w:hAnsi="Arial" w:cs="Arial"/>
                <w:sz w:val="16"/>
                <w:szCs w:val="16"/>
              </w:rPr>
            </w:pPr>
            <w:r w:rsidRPr="005D6F11">
              <w:rPr>
                <w:rFonts w:ascii="Arial" w:hAnsi="Arial" w:cs="Arial"/>
                <w:sz w:val="16"/>
                <w:szCs w:val="16"/>
              </w:rPr>
              <w:t>Naknadu uplaćuje jedno društvo na temelju rješenja koje ne ispostavlja Općina (zakonski propisi iz područja eksploatacije mineralnih sirovina (kamen, pijesak... )</w:t>
            </w:r>
          </w:p>
        </w:tc>
      </w:tr>
      <w:tr w:rsidR="0083333C" w:rsidRPr="000F632C" w14:paraId="6280EDD8" w14:textId="77777777" w:rsidTr="006E6137">
        <w:trPr>
          <w:trHeight w:val="612"/>
        </w:trPr>
        <w:tc>
          <w:tcPr>
            <w:tcW w:w="1268" w:type="dxa"/>
            <w:tcBorders>
              <w:top w:val="nil"/>
              <w:left w:val="single" w:sz="4" w:space="0" w:color="auto"/>
              <w:bottom w:val="single" w:sz="4" w:space="0" w:color="auto"/>
              <w:right w:val="single" w:sz="4" w:space="0" w:color="auto"/>
            </w:tcBorders>
            <w:vAlign w:val="center"/>
            <w:hideMark/>
          </w:tcPr>
          <w:p w14:paraId="7A0E2E4C" w14:textId="77777777" w:rsidR="0083333C" w:rsidRPr="000F632C" w:rsidRDefault="0083333C" w:rsidP="006E6137">
            <w:pPr>
              <w:spacing w:after="0" w:line="240" w:lineRule="auto"/>
              <w:rPr>
                <w:rFonts w:ascii="Arial" w:eastAsia="Times New Roman" w:hAnsi="Arial" w:cs="Arial"/>
                <w:sz w:val="16"/>
                <w:szCs w:val="16"/>
              </w:rPr>
            </w:pPr>
            <w:r w:rsidRPr="000F632C">
              <w:rPr>
                <w:rFonts w:ascii="Arial" w:eastAsia="Times New Roman" w:hAnsi="Arial" w:cs="Arial"/>
                <w:sz w:val="16"/>
                <w:szCs w:val="16"/>
              </w:rPr>
              <w:t>naknada za zahvaćanje pitke vode (2960)</w:t>
            </w:r>
          </w:p>
        </w:tc>
        <w:tc>
          <w:tcPr>
            <w:tcW w:w="1136" w:type="dxa"/>
            <w:tcBorders>
              <w:top w:val="nil"/>
              <w:left w:val="nil"/>
              <w:bottom w:val="single" w:sz="4" w:space="0" w:color="auto"/>
              <w:right w:val="single" w:sz="4" w:space="0" w:color="auto"/>
            </w:tcBorders>
            <w:vAlign w:val="center"/>
            <w:hideMark/>
          </w:tcPr>
          <w:p w14:paraId="0D13207C"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3.024,36</w:t>
            </w:r>
          </w:p>
        </w:tc>
        <w:tc>
          <w:tcPr>
            <w:tcW w:w="1136" w:type="dxa"/>
            <w:tcBorders>
              <w:top w:val="nil"/>
              <w:left w:val="nil"/>
              <w:bottom w:val="single" w:sz="4" w:space="0" w:color="auto"/>
              <w:right w:val="single" w:sz="4" w:space="0" w:color="auto"/>
            </w:tcBorders>
            <w:vAlign w:val="center"/>
            <w:hideMark/>
          </w:tcPr>
          <w:p w14:paraId="31D1E6BA"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1.346,15</w:t>
            </w:r>
          </w:p>
        </w:tc>
        <w:tc>
          <w:tcPr>
            <w:tcW w:w="1136" w:type="dxa"/>
            <w:tcBorders>
              <w:top w:val="nil"/>
              <w:left w:val="nil"/>
              <w:bottom w:val="single" w:sz="4" w:space="0" w:color="auto"/>
              <w:right w:val="single" w:sz="4" w:space="0" w:color="auto"/>
            </w:tcBorders>
            <w:vAlign w:val="center"/>
            <w:hideMark/>
          </w:tcPr>
          <w:p w14:paraId="5C8D3174"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1.966,82</w:t>
            </w:r>
          </w:p>
        </w:tc>
        <w:tc>
          <w:tcPr>
            <w:tcW w:w="1134" w:type="dxa"/>
            <w:tcBorders>
              <w:top w:val="nil"/>
              <w:left w:val="nil"/>
              <w:bottom w:val="single" w:sz="4" w:space="0" w:color="auto"/>
              <w:right w:val="single" w:sz="4" w:space="0" w:color="auto"/>
            </w:tcBorders>
            <w:vAlign w:val="center"/>
            <w:hideMark/>
          </w:tcPr>
          <w:p w14:paraId="2FAF1EB6"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720,41</w:t>
            </w:r>
          </w:p>
        </w:tc>
        <w:tc>
          <w:tcPr>
            <w:tcW w:w="1134" w:type="dxa"/>
            <w:tcBorders>
              <w:top w:val="nil"/>
              <w:left w:val="nil"/>
              <w:bottom w:val="single" w:sz="4" w:space="0" w:color="auto"/>
              <w:right w:val="single" w:sz="4" w:space="0" w:color="auto"/>
            </w:tcBorders>
            <w:vAlign w:val="center"/>
            <w:hideMark/>
          </w:tcPr>
          <w:p w14:paraId="6C39F159"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342,11</w:t>
            </w:r>
          </w:p>
        </w:tc>
        <w:tc>
          <w:tcPr>
            <w:tcW w:w="1276" w:type="dxa"/>
            <w:tcBorders>
              <w:top w:val="nil"/>
              <w:left w:val="nil"/>
              <w:bottom w:val="single" w:sz="4" w:space="0" w:color="auto"/>
              <w:right w:val="single" w:sz="4" w:space="0" w:color="auto"/>
            </w:tcBorders>
            <w:vAlign w:val="center"/>
            <w:hideMark/>
          </w:tcPr>
          <w:p w14:paraId="05ECDD3F"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872,75</w:t>
            </w:r>
          </w:p>
        </w:tc>
        <w:tc>
          <w:tcPr>
            <w:tcW w:w="1134" w:type="dxa"/>
            <w:tcBorders>
              <w:top w:val="nil"/>
              <w:left w:val="nil"/>
              <w:bottom w:val="single" w:sz="4" w:space="0" w:color="auto"/>
              <w:right w:val="single" w:sz="4" w:space="0" w:color="auto"/>
            </w:tcBorders>
            <w:vAlign w:val="center"/>
            <w:hideMark/>
          </w:tcPr>
          <w:p w14:paraId="6AF05B61"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639,87</w:t>
            </w:r>
          </w:p>
        </w:tc>
        <w:tc>
          <w:tcPr>
            <w:tcW w:w="1134" w:type="dxa"/>
            <w:tcBorders>
              <w:top w:val="nil"/>
              <w:left w:val="nil"/>
              <w:bottom w:val="single" w:sz="4" w:space="0" w:color="auto"/>
              <w:right w:val="single" w:sz="4" w:space="0" w:color="auto"/>
            </w:tcBorders>
            <w:vAlign w:val="center"/>
            <w:hideMark/>
          </w:tcPr>
          <w:p w14:paraId="21EE797F"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2.062,80</w:t>
            </w:r>
          </w:p>
        </w:tc>
        <w:tc>
          <w:tcPr>
            <w:tcW w:w="1134" w:type="dxa"/>
            <w:tcBorders>
              <w:top w:val="nil"/>
              <w:left w:val="nil"/>
              <w:bottom w:val="single" w:sz="4" w:space="0" w:color="auto"/>
              <w:right w:val="single" w:sz="4" w:space="0" w:color="auto"/>
            </w:tcBorders>
            <w:vAlign w:val="center"/>
            <w:hideMark/>
          </w:tcPr>
          <w:p w14:paraId="54B7CE48" w14:textId="77777777" w:rsidR="0083333C" w:rsidRPr="000F632C" w:rsidRDefault="0083333C" w:rsidP="006E6137">
            <w:pPr>
              <w:spacing w:after="0" w:line="240" w:lineRule="auto"/>
              <w:jc w:val="right"/>
              <w:rPr>
                <w:rFonts w:ascii="Arial" w:eastAsia="Times New Roman" w:hAnsi="Arial" w:cs="Arial"/>
                <w:sz w:val="16"/>
                <w:szCs w:val="16"/>
              </w:rPr>
            </w:pPr>
            <w:r w:rsidRPr="005D6F11">
              <w:rPr>
                <w:rFonts w:ascii="Arial" w:eastAsia="Times New Roman" w:hAnsi="Arial" w:cs="Arial"/>
                <w:sz w:val="16"/>
                <w:szCs w:val="16"/>
              </w:rPr>
              <w:t>1.862,26</w:t>
            </w:r>
          </w:p>
        </w:tc>
        <w:tc>
          <w:tcPr>
            <w:tcW w:w="3120" w:type="dxa"/>
            <w:tcBorders>
              <w:top w:val="nil"/>
              <w:left w:val="nil"/>
              <w:bottom w:val="single" w:sz="4" w:space="0" w:color="auto"/>
              <w:right w:val="single" w:sz="4" w:space="0" w:color="auto"/>
            </w:tcBorders>
            <w:vAlign w:val="center"/>
            <w:hideMark/>
          </w:tcPr>
          <w:p w14:paraId="2A71957F" w14:textId="77777777" w:rsidR="0083333C" w:rsidRPr="000F632C" w:rsidRDefault="0083333C" w:rsidP="006E6137">
            <w:pPr>
              <w:spacing w:after="0" w:line="240" w:lineRule="auto"/>
              <w:jc w:val="both"/>
              <w:rPr>
                <w:rFonts w:ascii="Arial" w:eastAsia="Times New Roman" w:hAnsi="Arial" w:cs="Arial"/>
                <w:sz w:val="16"/>
                <w:szCs w:val="16"/>
              </w:rPr>
            </w:pPr>
            <w:r w:rsidRPr="000F632C">
              <w:rPr>
                <w:rFonts w:ascii="Arial" w:eastAsia="Times New Roman" w:hAnsi="Arial" w:cs="Arial"/>
                <w:sz w:val="16"/>
                <w:szCs w:val="16"/>
              </w:rPr>
              <w:t>Naknadu uplaćuje jedno društvo na temelju rješenja koje nije ispostavlja Općina (zakonski propisi iz područja upravljanja vodama).</w:t>
            </w:r>
          </w:p>
        </w:tc>
      </w:tr>
      <w:tr w:rsidR="0083333C" w:rsidRPr="000F632C" w14:paraId="769E8D75" w14:textId="77777777" w:rsidTr="0083333C">
        <w:trPr>
          <w:trHeight w:val="1140"/>
        </w:trPr>
        <w:tc>
          <w:tcPr>
            <w:tcW w:w="1268" w:type="dxa"/>
            <w:tcBorders>
              <w:top w:val="nil"/>
              <w:left w:val="single" w:sz="4" w:space="0" w:color="auto"/>
              <w:bottom w:val="single" w:sz="4" w:space="0" w:color="auto"/>
              <w:right w:val="single" w:sz="4" w:space="0" w:color="auto"/>
            </w:tcBorders>
            <w:vAlign w:val="center"/>
            <w:hideMark/>
          </w:tcPr>
          <w:p w14:paraId="073166F7" w14:textId="77777777" w:rsidR="0083333C" w:rsidRPr="000F632C" w:rsidRDefault="0083333C" w:rsidP="006E6137">
            <w:pPr>
              <w:spacing w:after="0" w:line="240" w:lineRule="auto"/>
              <w:rPr>
                <w:rFonts w:ascii="Arial" w:eastAsia="Times New Roman" w:hAnsi="Arial" w:cs="Arial"/>
                <w:sz w:val="16"/>
                <w:szCs w:val="16"/>
              </w:rPr>
            </w:pPr>
            <w:r w:rsidRPr="000F632C">
              <w:rPr>
                <w:rFonts w:ascii="Arial" w:eastAsia="Times New Roman" w:hAnsi="Arial" w:cs="Arial"/>
                <w:sz w:val="16"/>
                <w:szCs w:val="16"/>
              </w:rPr>
              <w:t>spomenička renta</w:t>
            </w:r>
          </w:p>
        </w:tc>
        <w:tc>
          <w:tcPr>
            <w:tcW w:w="1136" w:type="dxa"/>
            <w:tcBorders>
              <w:top w:val="nil"/>
              <w:left w:val="nil"/>
              <w:bottom w:val="single" w:sz="4" w:space="0" w:color="auto"/>
              <w:right w:val="single" w:sz="4" w:space="0" w:color="auto"/>
            </w:tcBorders>
            <w:vAlign w:val="center"/>
            <w:hideMark/>
          </w:tcPr>
          <w:p w14:paraId="0D47D000"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909,59</w:t>
            </w:r>
          </w:p>
        </w:tc>
        <w:tc>
          <w:tcPr>
            <w:tcW w:w="1136" w:type="dxa"/>
            <w:tcBorders>
              <w:top w:val="nil"/>
              <w:left w:val="nil"/>
              <w:bottom w:val="single" w:sz="4" w:space="0" w:color="auto"/>
              <w:right w:val="single" w:sz="4" w:space="0" w:color="auto"/>
            </w:tcBorders>
            <w:vAlign w:val="center"/>
            <w:hideMark/>
          </w:tcPr>
          <w:p w14:paraId="1703414E"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1.533,89</w:t>
            </w:r>
          </w:p>
        </w:tc>
        <w:tc>
          <w:tcPr>
            <w:tcW w:w="1136" w:type="dxa"/>
            <w:tcBorders>
              <w:top w:val="nil"/>
              <w:left w:val="nil"/>
              <w:bottom w:val="single" w:sz="4" w:space="0" w:color="auto"/>
              <w:right w:val="single" w:sz="4" w:space="0" w:color="auto"/>
            </w:tcBorders>
            <w:vAlign w:val="center"/>
            <w:hideMark/>
          </w:tcPr>
          <w:p w14:paraId="72ED14BD"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1.098,82</w:t>
            </w:r>
          </w:p>
        </w:tc>
        <w:tc>
          <w:tcPr>
            <w:tcW w:w="1134" w:type="dxa"/>
            <w:tcBorders>
              <w:top w:val="nil"/>
              <w:left w:val="nil"/>
              <w:bottom w:val="single" w:sz="4" w:space="0" w:color="auto"/>
              <w:right w:val="single" w:sz="4" w:space="0" w:color="auto"/>
            </w:tcBorders>
            <w:vAlign w:val="center"/>
            <w:hideMark/>
          </w:tcPr>
          <w:p w14:paraId="0C419AD6"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856,38</w:t>
            </w:r>
          </w:p>
        </w:tc>
        <w:tc>
          <w:tcPr>
            <w:tcW w:w="1134" w:type="dxa"/>
            <w:tcBorders>
              <w:top w:val="nil"/>
              <w:left w:val="nil"/>
              <w:bottom w:val="single" w:sz="4" w:space="0" w:color="auto"/>
              <w:right w:val="single" w:sz="4" w:space="0" w:color="auto"/>
            </w:tcBorders>
            <w:vAlign w:val="center"/>
            <w:hideMark/>
          </w:tcPr>
          <w:p w14:paraId="4BDDC71A"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635,22</w:t>
            </w:r>
          </w:p>
        </w:tc>
        <w:tc>
          <w:tcPr>
            <w:tcW w:w="1276" w:type="dxa"/>
            <w:tcBorders>
              <w:top w:val="nil"/>
              <w:left w:val="nil"/>
              <w:bottom w:val="single" w:sz="4" w:space="0" w:color="auto"/>
              <w:right w:val="single" w:sz="4" w:space="0" w:color="auto"/>
            </w:tcBorders>
            <w:vAlign w:val="center"/>
            <w:hideMark/>
          </w:tcPr>
          <w:p w14:paraId="162C159A" w14:textId="77777777" w:rsidR="0083333C" w:rsidRPr="000F632C" w:rsidRDefault="0083333C"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279,35</w:t>
            </w:r>
          </w:p>
        </w:tc>
        <w:tc>
          <w:tcPr>
            <w:tcW w:w="1134" w:type="dxa"/>
            <w:tcBorders>
              <w:top w:val="nil"/>
              <w:left w:val="nil"/>
              <w:bottom w:val="single" w:sz="4" w:space="0" w:color="auto"/>
              <w:right w:val="single" w:sz="4" w:space="0" w:color="auto"/>
            </w:tcBorders>
            <w:vAlign w:val="center"/>
            <w:hideMark/>
          </w:tcPr>
          <w:p w14:paraId="344570AA"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278,26</w:t>
            </w:r>
          </w:p>
        </w:tc>
        <w:tc>
          <w:tcPr>
            <w:tcW w:w="1134" w:type="dxa"/>
            <w:tcBorders>
              <w:top w:val="nil"/>
              <w:left w:val="nil"/>
              <w:bottom w:val="single" w:sz="4" w:space="0" w:color="auto"/>
              <w:right w:val="single" w:sz="4" w:space="0" w:color="auto"/>
            </w:tcBorders>
            <w:vAlign w:val="center"/>
            <w:hideMark/>
          </w:tcPr>
          <w:p w14:paraId="66FFFAAE" w14:textId="77777777" w:rsidR="0083333C" w:rsidRPr="000F632C" w:rsidRDefault="0083333C"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389,92</w:t>
            </w:r>
          </w:p>
        </w:tc>
        <w:tc>
          <w:tcPr>
            <w:tcW w:w="1134" w:type="dxa"/>
            <w:tcBorders>
              <w:top w:val="nil"/>
              <w:left w:val="nil"/>
              <w:bottom w:val="single" w:sz="4" w:space="0" w:color="auto"/>
              <w:right w:val="single" w:sz="4" w:space="0" w:color="auto"/>
            </w:tcBorders>
            <w:vAlign w:val="center"/>
            <w:hideMark/>
          </w:tcPr>
          <w:p w14:paraId="0540C5A6" w14:textId="77777777" w:rsidR="0083333C" w:rsidRPr="000F632C" w:rsidRDefault="0083333C" w:rsidP="006E6137">
            <w:pPr>
              <w:spacing w:after="0" w:line="240" w:lineRule="auto"/>
              <w:jc w:val="right"/>
              <w:rPr>
                <w:rFonts w:ascii="Arial" w:eastAsia="Times New Roman" w:hAnsi="Arial" w:cs="Arial"/>
                <w:sz w:val="16"/>
                <w:szCs w:val="16"/>
              </w:rPr>
            </w:pPr>
            <w:r>
              <w:rPr>
                <w:rFonts w:ascii="Arial" w:eastAsia="Times New Roman" w:hAnsi="Arial" w:cs="Arial"/>
                <w:sz w:val="16"/>
                <w:szCs w:val="16"/>
              </w:rPr>
              <w:t>703,12</w:t>
            </w:r>
          </w:p>
        </w:tc>
        <w:tc>
          <w:tcPr>
            <w:tcW w:w="3120" w:type="dxa"/>
            <w:tcBorders>
              <w:top w:val="nil"/>
              <w:left w:val="nil"/>
              <w:bottom w:val="single" w:sz="4" w:space="0" w:color="auto"/>
              <w:right w:val="single" w:sz="4" w:space="0" w:color="auto"/>
            </w:tcBorders>
            <w:vAlign w:val="center"/>
            <w:hideMark/>
          </w:tcPr>
          <w:p w14:paraId="20EB1C04" w14:textId="77777777" w:rsidR="0083333C" w:rsidRPr="000F632C" w:rsidRDefault="0083333C" w:rsidP="006E6137">
            <w:pPr>
              <w:spacing w:after="0" w:line="240" w:lineRule="auto"/>
              <w:jc w:val="both"/>
              <w:rPr>
                <w:rFonts w:ascii="Arial" w:eastAsia="Times New Roman" w:hAnsi="Arial" w:cs="Arial"/>
                <w:sz w:val="16"/>
                <w:szCs w:val="16"/>
              </w:rPr>
            </w:pPr>
            <w:r w:rsidRPr="000F632C">
              <w:rPr>
                <w:rFonts w:ascii="Arial" w:eastAsia="Times New Roman" w:hAnsi="Arial" w:cs="Arial"/>
                <w:sz w:val="16"/>
                <w:szCs w:val="16"/>
              </w:rPr>
              <w:t>Nije utvrđeno općinskom odlukom. Naplaćena renta na temelju članka 14.a Zakona o zaštiti i očuvanju kulturnih dobara (plaća se po stopi od 0,05 posto i osnovica je obračun je ukupni prihod ostvaren obavljanjem samo određenih djelatnosti kao što su djelatnosti trgovine na veliko duhanskim proizvodima, parfemima i kozmetikom, trgovina na malo duhanskim proizvodima u specijaliziranim prodavaonicama, djelatnosti kockanja i klađenja, novčarsko posredovanje itd.).</w:t>
            </w:r>
          </w:p>
        </w:tc>
      </w:tr>
      <w:tr w:rsidR="0083333C" w:rsidRPr="000F632C" w14:paraId="6609F9B5" w14:textId="77777777" w:rsidTr="0083333C">
        <w:trPr>
          <w:trHeight w:val="1140"/>
        </w:trPr>
        <w:tc>
          <w:tcPr>
            <w:tcW w:w="1268" w:type="dxa"/>
            <w:tcBorders>
              <w:top w:val="single" w:sz="4" w:space="0" w:color="auto"/>
              <w:left w:val="single" w:sz="4" w:space="0" w:color="auto"/>
              <w:bottom w:val="single" w:sz="4" w:space="0" w:color="auto"/>
              <w:right w:val="single" w:sz="4" w:space="0" w:color="auto"/>
            </w:tcBorders>
            <w:vAlign w:val="center"/>
          </w:tcPr>
          <w:p w14:paraId="506C8A04" w14:textId="5D426B0C" w:rsidR="0083333C" w:rsidRPr="000F632C" w:rsidRDefault="0083333C" w:rsidP="0083333C">
            <w:pPr>
              <w:spacing w:after="0" w:line="240" w:lineRule="auto"/>
              <w:rPr>
                <w:rFonts w:ascii="Arial" w:eastAsia="Times New Roman" w:hAnsi="Arial" w:cs="Arial"/>
                <w:sz w:val="16"/>
                <w:szCs w:val="16"/>
              </w:rPr>
            </w:pPr>
            <w:r w:rsidRPr="000F632C">
              <w:rPr>
                <w:rFonts w:ascii="Arial" w:eastAsia="Times New Roman" w:hAnsi="Arial" w:cs="Arial"/>
                <w:sz w:val="16"/>
                <w:szCs w:val="16"/>
              </w:rPr>
              <w:t>dozvola za obavljanje autotaksi prijevoza (stari propisi)</w:t>
            </w:r>
          </w:p>
        </w:tc>
        <w:tc>
          <w:tcPr>
            <w:tcW w:w="1136" w:type="dxa"/>
            <w:tcBorders>
              <w:top w:val="single" w:sz="4" w:space="0" w:color="auto"/>
              <w:left w:val="nil"/>
              <w:bottom w:val="single" w:sz="4" w:space="0" w:color="auto"/>
              <w:right w:val="single" w:sz="4" w:space="0" w:color="auto"/>
            </w:tcBorders>
            <w:vAlign w:val="center"/>
          </w:tcPr>
          <w:p w14:paraId="6EF796A3" w14:textId="58118233" w:rsidR="0083333C" w:rsidRPr="000F632C" w:rsidRDefault="0083333C" w:rsidP="0083333C">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64.370,56</w:t>
            </w:r>
          </w:p>
        </w:tc>
        <w:tc>
          <w:tcPr>
            <w:tcW w:w="1136" w:type="dxa"/>
            <w:tcBorders>
              <w:top w:val="single" w:sz="4" w:space="0" w:color="auto"/>
              <w:left w:val="nil"/>
              <w:bottom w:val="single" w:sz="4" w:space="0" w:color="auto"/>
              <w:right w:val="single" w:sz="4" w:space="0" w:color="auto"/>
            </w:tcBorders>
            <w:vAlign w:val="center"/>
          </w:tcPr>
          <w:p w14:paraId="2B5AED97" w14:textId="32BCCC60" w:rsidR="0083333C" w:rsidRPr="000F632C" w:rsidRDefault="0083333C" w:rsidP="0083333C">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6" w:type="dxa"/>
            <w:tcBorders>
              <w:top w:val="single" w:sz="4" w:space="0" w:color="auto"/>
              <w:left w:val="nil"/>
              <w:bottom w:val="single" w:sz="4" w:space="0" w:color="auto"/>
              <w:right w:val="single" w:sz="4" w:space="0" w:color="auto"/>
            </w:tcBorders>
            <w:vAlign w:val="center"/>
          </w:tcPr>
          <w:p w14:paraId="5A5995CB" w14:textId="0FF93D4B" w:rsidR="0083333C" w:rsidRPr="000F632C" w:rsidRDefault="0083333C" w:rsidP="0083333C">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663,61</w:t>
            </w:r>
          </w:p>
        </w:tc>
        <w:tc>
          <w:tcPr>
            <w:tcW w:w="1134" w:type="dxa"/>
            <w:tcBorders>
              <w:top w:val="single" w:sz="4" w:space="0" w:color="auto"/>
              <w:left w:val="nil"/>
              <w:bottom w:val="single" w:sz="4" w:space="0" w:color="auto"/>
              <w:right w:val="single" w:sz="4" w:space="0" w:color="auto"/>
            </w:tcBorders>
            <w:vAlign w:val="center"/>
          </w:tcPr>
          <w:p w14:paraId="39D461B7" w14:textId="67B1257C" w:rsidR="0083333C" w:rsidRPr="000F632C" w:rsidRDefault="0083333C" w:rsidP="0083333C">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134" w:type="dxa"/>
            <w:tcBorders>
              <w:top w:val="single" w:sz="4" w:space="0" w:color="auto"/>
              <w:left w:val="nil"/>
              <w:bottom w:val="single" w:sz="4" w:space="0" w:color="auto"/>
              <w:right w:val="single" w:sz="4" w:space="0" w:color="auto"/>
            </w:tcBorders>
            <w:vAlign w:val="center"/>
          </w:tcPr>
          <w:p w14:paraId="23B58292" w14:textId="11F7EB94" w:rsidR="0083333C" w:rsidRPr="000F632C" w:rsidRDefault="0083333C" w:rsidP="0083333C">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276" w:type="dxa"/>
            <w:tcBorders>
              <w:top w:val="single" w:sz="4" w:space="0" w:color="auto"/>
              <w:left w:val="nil"/>
              <w:bottom w:val="single" w:sz="4" w:space="0" w:color="auto"/>
              <w:right w:val="single" w:sz="4" w:space="0" w:color="auto"/>
            </w:tcBorders>
            <w:vAlign w:val="center"/>
          </w:tcPr>
          <w:p w14:paraId="055EF3C2" w14:textId="6F1544F6" w:rsidR="0083333C" w:rsidRPr="000F632C" w:rsidRDefault="0083333C" w:rsidP="0083333C">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134" w:type="dxa"/>
            <w:tcBorders>
              <w:top w:val="single" w:sz="4" w:space="0" w:color="auto"/>
              <w:left w:val="nil"/>
              <w:bottom w:val="single" w:sz="4" w:space="0" w:color="auto"/>
              <w:right w:val="single" w:sz="4" w:space="0" w:color="auto"/>
            </w:tcBorders>
            <w:vAlign w:val="center"/>
          </w:tcPr>
          <w:p w14:paraId="26BA0F5A" w14:textId="1E03740D" w:rsidR="0083333C" w:rsidRPr="000F632C" w:rsidRDefault="0083333C" w:rsidP="0083333C">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tcBorders>
              <w:top w:val="single" w:sz="4" w:space="0" w:color="auto"/>
              <w:left w:val="nil"/>
              <w:bottom w:val="single" w:sz="4" w:space="0" w:color="auto"/>
              <w:right w:val="single" w:sz="4" w:space="0" w:color="auto"/>
            </w:tcBorders>
            <w:vAlign w:val="center"/>
          </w:tcPr>
          <w:p w14:paraId="4AEBBA2C" w14:textId="0587D2BE" w:rsidR="0083333C" w:rsidRPr="000F632C" w:rsidRDefault="0083333C" w:rsidP="0083333C">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tcBorders>
              <w:top w:val="single" w:sz="4" w:space="0" w:color="auto"/>
              <w:left w:val="nil"/>
              <w:bottom w:val="single" w:sz="4" w:space="0" w:color="auto"/>
              <w:right w:val="single" w:sz="4" w:space="0" w:color="auto"/>
            </w:tcBorders>
            <w:vAlign w:val="center"/>
          </w:tcPr>
          <w:p w14:paraId="505218F4" w14:textId="46AC8975" w:rsidR="0083333C" w:rsidRDefault="0083333C" w:rsidP="0083333C">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3120" w:type="dxa"/>
            <w:tcBorders>
              <w:top w:val="single" w:sz="4" w:space="0" w:color="auto"/>
              <w:left w:val="nil"/>
              <w:bottom w:val="single" w:sz="4" w:space="0" w:color="auto"/>
              <w:right w:val="single" w:sz="4" w:space="0" w:color="auto"/>
            </w:tcBorders>
            <w:vAlign w:val="center"/>
          </w:tcPr>
          <w:p w14:paraId="789422DA" w14:textId="64221D73" w:rsidR="0083333C" w:rsidRPr="000F632C" w:rsidRDefault="0083333C" w:rsidP="0083333C">
            <w:pPr>
              <w:spacing w:after="0" w:line="240" w:lineRule="auto"/>
              <w:jc w:val="both"/>
              <w:rPr>
                <w:rFonts w:ascii="Arial" w:eastAsia="Times New Roman" w:hAnsi="Arial" w:cs="Arial"/>
                <w:sz w:val="16"/>
                <w:szCs w:val="16"/>
              </w:rPr>
            </w:pPr>
            <w:r w:rsidRPr="000F632C">
              <w:rPr>
                <w:rFonts w:ascii="Arial" w:eastAsia="Times New Roman" w:hAnsi="Arial" w:cs="Arial"/>
                <w:sz w:val="16"/>
                <w:szCs w:val="16"/>
              </w:rPr>
              <w:t>Dozvole za obavljanje autotaksi prijevoza se od 2019. godine naplaćuju sukladno zakonskim propisima, a ne općinskim odlukama. U 2019. ostvareni prihod na temelju naplaćenog dugovanja iz 2018.g.</w:t>
            </w:r>
          </w:p>
        </w:tc>
      </w:tr>
    </w:tbl>
    <w:p w14:paraId="3BA5B0B3" w14:textId="77777777" w:rsidR="0083333C" w:rsidRDefault="0083333C" w:rsidP="0083333C">
      <w:pPr>
        <w:spacing w:after="0" w:line="240" w:lineRule="auto"/>
        <w:jc w:val="both"/>
        <w:rPr>
          <w:rFonts w:ascii="Arial" w:eastAsia="Times New Roman" w:hAnsi="Arial" w:cs="Arial"/>
          <w:i/>
          <w:iCs/>
          <w:sz w:val="20"/>
          <w:szCs w:val="20"/>
        </w:rPr>
      </w:pPr>
    </w:p>
    <w:p w14:paraId="3B1D50E8" w14:textId="77777777" w:rsidR="0083333C" w:rsidRDefault="0083333C" w:rsidP="00F91AE6">
      <w:pPr>
        <w:spacing w:after="0" w:line="240" w:lineRule="auto"/>
        <w:jc w:val="both"/>
        <w:rPr>
          <w:rFonts w:ascii="Arial" w:eastAsia="Times New Roman" w:hAnsi="Arial" w:cs="Arial"/>
        </w:rPr>
      </w:pPr>
    </w:p>
    <w:p w14:paraId="4ACBCE19" w14:textId="77777777" w:rsidR="0083333C" w:rsidRDefault="0083333C" w:rsidP="00F91AE6">
      <w:pPr>
        <w:spacing w:after="0" w:line="240" w:lineRule="auto"/>
        <w:jc w:val="both"/>
        <w:rPr>
          <w:rFonts w:ascii="Arial" w:eastAsia="Times New Roman" w:hAnsi="Arial" w:cs="Arial"/>
        </w:rPr>
      </w:pPr>
    </w:p>
    <w:p w14:paraId="49A2E840" w14:textId="77777777" w:rsidR="0083333C" w:rsidRDefault="0083333C" w:rsidP="00F91AE6">
      <w:pPr>
        <w:spacing w:after="0" w:line="240" w:lineRule="auto"/>
        <w:jc w:val="both"/>
        <w:rPr>
          <w:rFonts w:ascii="Arial" w:eastAsia="Times New Roman" w:hAnsi="Arial" w:cs="Arial"/>
        </w:rPr>
      </w:pPr>
    </w:p>
    <w:p w14:paraId="78287EE7" w14:textId="77777777" w:rsidR="005D6F11" w:rsidRDefault="005D6F11" w:rsidP="00F91AE6">
      <w:pPr>
        <w:spacing w:after="0" w:line="240" w:lineRule="auto"/>
        <w:jc w:val="both"/>
        <w:rPr>
          <w:rFonts w:ascii="Arial" w:eastAsia="Times New Roman" w:hAnsi="Arial" w:cs="Arial"/>
        </w:rPr>
      </w:pPr>
    </w:p>
    <w:tbl>
      <w:tblPr>
        <w:tblW w:w="14747" w:type="dxa"/>
        <w:tblInd w:w="-15" w:type="dxa"/>
        <w:tblCellMar>
          <w:top w:w="28" w:type="dxa"/>
          <w:left w:w="28" w:type="dxa"/>
          <w:bottom w:w="28" w:type="dxa"/>
          <w:right w:w="28" w:type="dxa"/>
        </w:tblCellMar>
        <w:tblLook w:val="04A0" w:firstRow="1" w:lastRow="0" w:firstColumn="1" w:lastColumn="0" w:noHBand="0" w:noVBand="1"/>
      </w:tblPr>
      <w:tblGrid>
        <w:gridCol w:w="10"/>
        <w:gridCol w:w="1258"/>
        <w:gridCol w:w="9"/>
        <w:gridCol w:w="1127"/>
        <w:gridCol w:w="8"/>
        <w:gridCol w:w="1128"/>
        <w:gridCol w:w="7"/>
        <w:gridCol w:w="1129"/>
        <w:gridCol w:w="6"/>
        <w:gridCol w:w="1128"/>
        <w:gridCol w:w="6"/>
        <w:gridCol w:w="1128"/>
        <w:gridCol w:w="6"/>
        <w:gridCol w:w="1270"/>
        <w:gridCol w:w="6"/>
        <w:gridCol w:w="1128"/>
        <w:gridCol w:w="6"/>
        <w:gridCol w:w="1128"/>
        <w:gridCol w:w="6"/>
        <w:gridCol w:w="1128"/>
        <w:gridCol w:w="6"/>
        <w:gridCol w:w="3119"/>
      </w:tblGrid>
      <w:tr w:rsidR="005D6F11" w:rsidRPr="000F632C" w14:paraId="382A7C4C" w14:textId="77777777" w:rsidTr="005D6F11">
        <w:trPr>
          <w:gridBefore w:val="1"/>
          <w:wBefore w:w="10" w:type="dxa"/>
          <w:trHeight w:val="804"/>
        </w:trPr>
        <w:tc>
          <w:tcPr>
            <w:tcW w:w="1267" w:type="dxa"/>
            <w:gridSpan w:val="2"/>
            <w:tcBorders>
              <w:top w:val="single" w:sz="4" w:space="0" w:color="auto"/>
              <w:left w:val="single" w:sz="8" w:space="0" w:color="auto"/>
              <w:bottom w:val="single" w:sz="8" w:space="0" w:color="auto"/>
              <w:right w:val="single" w:sz="8" w:space="0" w:color="000000"/>
            </w:tcBorders>
            <w:vAlign w:val="center"/>
            <w:hideMark/>
          </w:tcPr>
          <w:p w14:paraId="0169FAE9" w14:textId="77777777" w:rsidR="005D6F11" w:rsidRPr="000F632C" w:rsidRDefault="005D6F11" w:rsidP="006E6137">
            <w:pPr>
              <w:spacing w:after="0" w:line="240" w:lineRule="auto"/>
              <w:rPr>
                <w:rFonts w:ascii="Arial" w:eastAsia="Times New Roman" w:hAnsi="Arial" w:cs="Arial"/>
                <w:b/>
                <w:bCs/>
                <w:i/>
                <w:iCs/>
                <w:sz w:val="20"/>
                <w:szCs w:val="20"/>
              </w:rPr>
            </w:pPr>
            <w:bookmarkStart w:id="119" w:name="_Hlk228971866"/>
            <w:r w:rsidRPr="000F632C">
              <w:rPr>
                <w:rFonts w:ascii="Arial" w:eastAsia="Times New Roman" w:hAnsi="Arial" w:cs="Arial"/>
                <w:b/>
                <w:bCs/>
                <w:i/>
                <w:iCs/>
                <w:sz w:val="20"/>
                <w:szCs w:val="20"/>
              </w:rPr>
              <w:t>Vrsta prihoda</w:t>
            </w:r>
          </w:p>
        </w:tc>
        <w:tc>
          <w:tcPr>
            <w:tcW w:w="1135" w:type="dxa"/>
            <w:gridSpan w:val="2"/>
            <w:tcBorders>
              <w:top w:val="single" w:sz="4" w:space="0" w:color="auto"/>
              <w:left w:val="nil"/>
              <w:bottom w:val="single" w:sz="8" w:space="0" w:color="auto"/>
              <w:right w:val="single" w:sz="8" w:space="0" w:color="000000"/>
            </w:tcBorders>
            <w:vAlign w:val="center"/>
            <w:hideMark/>
          </w:tcPr>
          <w:p w14:paraId="59CB7956"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2017.g. (€)</w:t>
            </w:r>
          </w:p>
        </w:tc>
        <w:tc>
          <w:tcPr>
            <w:tcW w:w="1135" w:type="dxa"/>
            <w:gridSpan w:val="2"/>
            <w:tcBorders>
              <w:top w:val="single" w:sz="4" w:space="0" w:color="auto"/>
              <w:left w:val="nil"/>
              <w:bottom w:val="single" w:sz="8" w:space="0" w:color="auto"/>
              <w:right w:val="single" w:sz="8" w:space="0" w:color="000000"/>
            </w:tcBorders>
            <w:vAlign w:val="center"/>
            <w:hideMark/>
          </w:tcPr>
          <w:p w14:paraId="6DFAB706"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2018.g. (€)</w:t>
            </w:r>
          </w:p>
        </w:tc>
        <w:tc>
          <w:tcPr>
            <w:tcW w:w="1135" w:type="dxa"/>
            <w:gridSpan w:val="2"/>
            <w:tcBorders>
              <w:top w:val="single" w:sz="4" w:space="0" w:color="auto"/>
              <w:left w:val="nil"/>
              <w:bottom w:val="single" w:sz="8" w:space="0" w:color="auto"/>
              <w:right w:val="single" w:sz="8" w:space="0" w:color="000000"/>
            </w:tcBorders>
            <w:vAlign w:val="center"/>
            <w:hideMark/>
          </w:tcPr>
          <w:p w14:paraId="464C643B"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2019.g. (€)</w:t>
            </w:r>
          </w:p>
        </w:tc>
        <w:tc>
          <w:tcPr>
            <w:tcW w:w="1134" w:type="dxa"/>
            <w:gridSpan w:val="2"/>
            <w:tcBorders>
              <w:top w:val="single" w:sz="4" w:space="0" w:color="auto"/>
              <w:left w:val="nil"/>
              <w:bottom w:val="single" w:sz="8" w:space="0" w:color="auto"/>
              <w:right w:val="single" w:sz="8" w:space="0" w:color="000000"/>
            </w:tcBorders>
            <w:vAlign w:val="center"/>
            <w:hideMark/>
          </w:tcPr>
          <w:p w14:paraId="7BADF96E"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2020.g. (€)</w:t>
            </w:r>
          </w:p>
        </w:tc>
        <w:tc>
          <w:tcPr>
            <w:tcW w:w="1134" w:type="dxa"/>
            <w:gridSpan w:val="2"/>
            <w:tcBorders>
              <w:top w:val="single" w:sz="4" w:space="0" w:color="auto"/>
              <w:left w:val="nil"/>
              <w:bottom w:val="single" w:sz="8" w:space="0" w:color="auto"/>
              <w:right w:val="single" w:sz="8" w:space="0" w:color="000000"/>
            </w:tcBorders>
            <w:vAlign w:val="center"/>
            <w:hideMark/>
          </w:tcPr>
          <w:p w14:paraId="5C46F489"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2021.g. (€)</w:t>
            </w:r>
          </w:p>
        </w:tc>
        <w:tc>
          <w:tcPr>
            <w:tcW w:w="1276" w:type="dxa"/>
            <w:gridSpan w:val="2"/>
            <w:tcBorders>
              <w:top w:val="single" w:sz="4" w:space="0" w:color="auto"/>
              <w:left w:val="nil"/>
              <w:bottom w:val="single" w:sz="8" w:space="0" w:color="auto"/>
              <w:right w:val="single" w:sz="8" w:space="0" w:color="auto"/>
            </w:tcBorders>
            <w:vAlign w:val="center"/>
            <w:hideMark/>
          </w:tcPr>
          <w:p w14:paraId="2920041D"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/2022.g. (€)</w:t>
            </w:r>
          </w:p>
        </w:tc>
        <w:tc>
          <w:tcPr>
            <w:tcW w:w="1134" w:type="dxa"/>
            <w:gridSpan w:val="2"/>
            <w:tcBorders>
              <w:top w:val="single" w:sz="4" w:space="0" w:color="auto"/>
              <w:left w:val="nil"/>
              <w:bottom w:val="single" w:sz="8" w:space="0" w:color="auto"/>
              <w:right w:val="single" w:sz="8" w:space="0" w:color="auto"/>
            </w:tcBorders>
            <w:vAlign w:val="center"/>
            <w:hideMark/>
          </w:tcPr>
          <w:p w14:paraId="4C4A85EE"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2023.g. (€)</w:t>
            </w:r>
          </w:p>
        </w:tc>
        <w:tc>
          <w:tcPr>
            <w:tcW w:w="1134" w:type="dxa"/>
            <w:gridSpan w:val="2"/>
            <w:tcBorders>
              <w:top w:val="single" w:sz="4" w:space="0" w:color="auto"/>
              <w:left w:val="nil"/>
              <w:bottom w:val="single" w:sz="8" w:space="0" w:color="auto"/>
              <w:right w:val="single" w:sz="8" w:space="0" w:color="auto"/>
            </w:tcBorders>
            <w:vAlign w:val="center"/>
            <w:hideMark/>
          </w:tcPr>
          <w:p w14:paraId="6200DA8B" w14:textId="77777777"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2024.g. (€)</w:t>
            </w:r>
          </w:p>
        </w:tc>
        <w:tc>
          <w:tcPr>
            <w:tcW w:w="1134" w:type="dxa"/>
            <w:gridSpan w:val="2"/>
            <w:tcBorders>
              <w:top w:val="single" w:sz="4" w:space="0" w:color="auto"/>
              <w:left w:val="nil"/>
              <w:bottom w:val="single" w:sz="8" w:space="0" w:color="auto"/>
              <w:right w:val="single" w:sz="8" w:space="0" w:color="auto"/>
            </w:tcBorders>
            <w:vAlign w:val="center"/>
            <w:hideMark/>
          </w:tcPr>
          <w:p w14:paraId="55CCF397" w14:textId="74D15C2F" w:rsidR="005D6F11" w:rsidRPr="000F632C" w:rsidRDefault="005D6F11" w:rsidP="006E6137">
            <w:pPr>
              <w:spacing w:after="0" w:line="240" w:lineRule="auto"/>
              <w:jc w:val="center"/>
              <w:rPr>
                <w:rFonts w:ascii="Arial" w:eastAsia="Times New Roman" w:hAnsi="Arial" w:cs="Arial"/>
                <w:b/>
                <w:bCs/>
                <w:i/>
                <w:iCs/>
                <w:sz w:val="18"/>
                <w:szCs w:val="18"/>
              </w:rPr>
            </w:pPr>
            <w:r w:rsidRPr="000F632C">
              <w:rPr>
                <w:rFonts w:ascii="Arial" w:eastAsia="Times New Roman" w:hAnsi="Arial" w:cs="Arial"/>
                <w:b/>
                <w:bCs/>
                <w:i/>
                <w:iCs/>
                <w:sz w:val="18"/>
                <w:szCs w:val="18"/>
              </w:rPr>
              <w:t>Iznos 2025.g. (€)</w:t>
            </w:r>
          </w:p>
        </w:tc>
        <w:tc>
          <w:tcPr>
            <w:tcW w:w="3119" w:type="dxa"/>
            <w:tcBorders>
              <w:top w:val="single" w:sz="4" w:space="0" w:color="auto"/>
              <w:left w:val="nil"/>
              <w:bottom w:val="single" w:sz="8" w:space="0" w:color="auto"/>
              <w:right w:val="single" w:sz="8" w:space="0" w:color="auto"/>
            </w:tcBorders>
            <w:vAlign w:val="center"/>
            <w:hideMark/>
          </w:tcPr>
          <w:p w14:paraId="32A9D3AE" w14:textId="77777777" w:rsidR="005D6F11" w:rsidRPr="000F632C" w:rsidRDefault="005D6F11" w:rsidP="006E6137">
            <w:pPr>
              <w:spacing w:after="0" w:line="240" w:lineRule="auto"/>
              <w:jc w:val="center"/>
              <w:rPr>
                <w:rFonts w:ascii="Arial" w:eastAsia="Times New Roman" w:hAnsi="Arial" w:cs="Arial"/>
                <w:b/>
                <w:bCs/>
                <w:i/>
                <w:iCs/>
                <w:sz w:val="20"/>
                <w:szCs w:val="20"/>
              </w:rPr>
            </w:pPr>
            <w:r w:rsidRPr="000F632C">
              <w:rPr>
                <w:rFonts w:ascii="Arial" w:eastAsia="Times New Roman" w:hAnsi="Arial" w:cs="Arial"/>
                <w:b/>
                <w:bCs/>
                <w:i/>
                <w:iCs/>
                <w:sz w:val="20"/>
                <w:szCs w:val="20"/>
              </w:rPr>
              <w:t>Obrazloženje za prihode u razdoblju 202</w:t>
            </w:r>
            <w:r>
              <w:rPr>
                <w:rFonts w:ascii="Arial" w:eastAsia="Times New Roman" w:hAnsi="Arial" w:cs="Arial"/>
                <w:b/>
                <w:bCs/>
                <w:i/>
                <w:iCs/>
                <w:sz w:val="20"/>
                <w:szCs w:val="20"/>
              </w:rPr>
              <w:t>5</w:t>
            </w:r>
            <w:r w:rsidRPr="000F632C">
              <w:rPr>
                <w:rFonts w:ascii="Arial" w:eastAsia="Times New Roman" w:hAnsi="Arial" w:cs="Arial"/>
                <w:b/>
                <w:bCs/>
                <w:i/>
                <w:iCs/>
                <w:sz w:val="20"/>
                <w:szCs w:val="20"/>
              </w:rPr>
              <w:t>.</w:t>
            </w:r>
          </w:p>
        </w:tc>
      </w:tr>
      <w:bookmarkEnd w:id="119"/>
      <w:tr w:rsidR="005D6F11" w:rsidRPr="000F632C" w14:paraId="1AC6EBF4" w14:textId="77777777" w:rsidTr="0083333C">
        <w:trPr>
          <w:trHeight w:val="1020"/>
        </w:trPr>
        <w:tc>
          <w:tcPr>
            <w:tcW w:w="1268" w:type="dxa"/>
            <w:gridSpan w:val="2"/>
            <w:tcBorders>
              <w:top w:val="nil"/>
              <w:left w:val="single" w:sz="4" w:space="0" w:color="auto"/>
              <w:bottom w:val="single" w:sz="4" w:space="0" w:color="auto"/>
              <w:right w:val="single" w:sz="4" w:space="0" w:color="auto"/>
            </w:tcBorders>
            <w:vAlign w:val="center"/>
            <w:hideMark/>
          </w:tcPr>
          <w:p w14:paraId="595781F6" w14:textId="77777777" w:rsidR="005D6F11" w:rsidRPr="000F632C" w:rsidRDefault="005D6F11" w:rsidP="006E6137">
            <w:pPr>
              <w:spacing w:after="0" w:line="240" w:lineRule="auto"/>
              <w:rPr>
                <w:rFonts w:ascii="Arial" w:eastAsia="Times New Roman" w:hAnsi="Arial" w:cs="Arial"/>
                <w:sz w:val="16"/>
                <w:szCs w:val="16"/>
              </w:rPr>
            </w:pPr>
            <w:r w:rsidRPr="000F632C">
              <w:rPr>
                <w:rFonts w:ascii="Arial" w:eastAsia="Times New Roman" w:hAnsi="Arial" w:cs="Arial"/>
                <w:sz w:val="16"/>
                <w:szCs w:val="16"/>
              </w:rPr>
              <w:t>dozvola za obavljanje autotaksi prijevoza (novi propisi)</w:t>
            </w:r>
          </w:p>
        </w:tc>
        <w:tc>
          <w:tcPr>
            <w:tcW w:w="1136" w:type="dxa"/>
            <w:gridSpan w:val="2"/>
            <w:tcBorders>
              <w:top w:val="nil"/>
              <w:left w:val="nil"/>
              <w:bottom w:val="single" w:sz="4" w:space="0" w:color="auto"/>
              <w:right w:val="single" w:sz="4" w:space="0" w:color="auto"/>
            </w:tcBorders>
            <w:vAlign w:val="center"/>
            <w:hideMark/>
          </w:tcPr>
          <w:p w14:paraId="0D21ACB6"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6" w:type="dxa"/>
            <w:gridSpan w:val="2"/>
            <w:tcBorders>
              <w:top w:val="nil"/>
              <w:left w:val="nil"/>
              <w:bottom w:val="single" w:sz="4" w:space="0" w:color="auto"/>
              <w:right w:val="single" w:sz="4" w:space="0" w:color="auto"/>
            </w:tcBorders>
            <w:vAlign w:val="center"/>
            <w:hideMark/>
          </w:tcPr>
          <w:p w14:paraId="5FEB7CA2"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199,08</w:t>
            </w:r>
          </w:p>
        </w:tc>
        <w:tc>
          <w:tcPr>
            <w:tcW w:w="1136" w:type="dxa"/>
            <w:gridSpan w:val="2"/>
            <w:tcBorders>
              <w:top w:val="nil"/>
              <w:left w:val="nil"/>
              <w:bottom w:val="single" w:sz="4" w:space="0" w:color="auto"/>
              <w:right w:val="single" w:sz="4" w:space="0" w:color="auto"/>
            </w:tcBorders>
            <w:vAlign w:val="center"/>
            <w:hideMark/>
          </w:tcPr>
          <w:p w14:paraId="68194DBB"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134" w:type="dxa"/>
            <w:gridSpan w:val="2"/>
            <w:tcBorders>
              <w:top w:val="nil"/>
              <w:left w:val="nil"/>
              <w:bottom w:val="single" w:sz="4" w:space="0" w:color="auto"/>
              <w:right w:val="single" w:sz="4" w:space="0" w:color="auto"/>
            </w:tcBorders>
            <w:vAlign w:val="center"/>
            <w:hideMark/>
          </w:tcPr>
          <w:p w14:paraId="2DC7FAF1"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134" w:type="dxa"/>
            <w:gridSpan w:val="2"/>
            <w:tcBorders>
              <w:top w:val="nil"/>
              <w:left w:val="nil"/>
              <w:bottom w:val="single" w:sz="4" w:space="0" w:color="auto"/>
              <w:right w:val="single" w:sz="4" w:space="0" w:color="auto"/>
            </w:tcBorders>
            <w:vAlign w:val="center"/>
            <w:hideMark/>
          </w:tcPr>
          <w:p w14:paraId="6BF2BAA0"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276" w:type="dxa"/>
            <w:gridSpan w:val="2"/>
            <w:tcBorders>
              <w:top w:val="nil"/>
              <w:left w:val="nil"/>
              <w:bottom w:val="single" w:sz="4" w:space="0" w:color="auto"/>
              <w:right w:val="single" w:sz="4" w:space="0" w:color="auto"/>
            </w:tcBorders>
            <w:vAlign w:val="center"/>
            <w:hideMark/>
          </w:tcPr>
          <w:p w14:paraId="59EE8C7A"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0,00</w:t>
            </w:r>
          </w:p>
        </w:tc>
        <w:tc>
          <w:tcPr>
            <w:tcW w:w="1134" w:type="dxa"/>
            <w:gridSpan w:val="2"/>
            <w:tcBorders>
              <w:top w:val="nil"/>
              <w:left w:val="nil"/>
              <w:bottom w:val="single" w:sz="4" w:space="0" w:color="auto"/>
              <w:right w:val="single" w:sz="4" w:space="0" w:color="auto"/>
            </w:tcBorders>
            <w:vAlign w:val="center"/>
            <w:hideMark/>
          </w:tcPr>
          <w:p w14:paraId="2F900401"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gridSpan w:val="2"/>
            <w:tcBorders>
              <w:top w:val="nil"/>
              <w:left w:val="nil"/>
              <w:bottom w:val="single" w:sz="4" w:space="0" w:color="auto"/>
              <w:right w:val="single" w:sz="4" w:space="0" w:color="auto"/>
            </w:tcBorders>
            <w:vAlign w:val="center"/>
            <w:hideMark/>
          </w:tcPr>
          <w:p w14:paraId="42F6727B"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1134" w:type="dxa"/>
            <w:gridSpan w:val="2"/>
            <w:tcBorders>
              <w:top w:val="nil"/>
              <w:left w:val="nil"/>
              <w:bottom w:val="single" w:sz="4" w:space="0" w:color="auto"/>
              <w:right w:val="single" w:sz="4" w:space="0" w:color="auto"/>
            </w:tcBorders>
            <w:vAlign w:val="center"/>
            <w:hideMark/>
          </w:tcPr>
          <w:p w14:paraId="0392A38A"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0,00</w:t>
            </w:r>
          </w:p>
        </w:tc>
        <w:tc>
          <w:tcPr>
            <w:tcW w:w="3125" w:type="dxa"/>
            <w:gridSpan w:val="2"/>
            <w:tcBorders>
              <w:top w:val="nil"/>
              <w:left w:val="nil"/>
              <w:bottom w:val="single" w:sz="4" w:space="0" w:color="auto"/>
              <w:right w:val="single" w:sz="4" w:space="0" w:color="auto"/>
            </w:tcBorders>
            <w:vAlign w:val="center"/>
            <w:hideMark/>
          </w:tcPr>
          <w:p w14:paraId="2B98AA38" w14:textId="77777777" w:rsidR="005D6F11" w:rsidRPr="000F632C" w:rsidRDefault="005D6F11" w:rsidP="006E6137">
            <w:pPr>
              <w:spacing w:after="0" w:line="240" w:lineRule="auto"/>
              <w:jc w:val="both"/>
              <w:rPr>
                <w:rFonts w:ascii="Arial" w:eastAsia="Times New Roman" w:hAnsi="Arial" w:cs="Arial"/>
                <w:sz w:val="16"/>
                <w:szCs w:val="16"/>
              </w:rPr>
            </w:pPr>
            <w:r w:rsidRPr="000F632C">
              <w:rPr>
                <w:rFonts w:ascii="Arial" w:eastAsia="Times New Roman" w:hAnsi="Arial" w:cs="Arial"/>
                <w:sz w:val="16"/>
                <w:szCs w:val="16"/>
              </w:rPr>
              <w:t>Od 2019. ovi prihodi evidentiraju se na računu računskog plana 651291.</w:t>
            </w:r>
          </w:p>
        </w:tc>
      </w:tr>
      <w:tr w:rsidR="005D6F11" w:rsidRPr="000F632C" w14:paraId="38ED4979" w14:textId="77777777" w:rsidTr="0083333C">
        <w:trPr>
          <w:trHeight w:val="300"/>
        </w:trPr>
        <w:tc>
          <w:tcPr>
            <w:tcW w:w="1268" w:type="dxa"/>
            <w:gridSpan w:val="2"/>
            <w:tcBorders>
              <w:top w:val="nil"/>
              <w:left w:val="single" w:sz="4" w:space="0" w:color="auto"/>
              <w:bottom w:val="nil"/>
              <w:right w:val="single" w:sz="4" w:space="0" w:color="auto"/>
            </w:tcBorders>
            <w:vAlign w:val="center"/>
            <w:hideMark/>
          </w:tcPr>
          <w:p w14:paraId="5C56BFAA" w14:textId="77777777" w:rsidR="005D6F11" w:rsidRPr="000F632C" w:rsidRDefault="005D6F11" w:rsidP="006E6137">
            <w:pPr>
              <w:spacing w:after="0" w:line="240" w:lineRule="auto"/>
              <w:rPr>
                <w:rFonts w:ascii="Arial" w:eastAsia="Times New Roman" w:hAnsi="Arial" w:cs="Arial"/>
                <w:sz w:val="16"/>
                <w:szCs w:val="16"/>
              </w:rPr>
            </w:pPr>
            <w:r w:rsidRPr="000F632C">
              <w:rPr>
                <w:rFonts w:ascii="Arial" w:eastAsia="Times New Roman" w:hAnsi="Arial" w:cs="Arial"/>
                <w:sz w:val="16"/>
                <w:szCs w:val="16"/>
              </w:rPr>
              <w:t>druge naknade</w:t>
            </w:r>
          </w:p>
        </w:tc>
        <w:tc>
          <w:tcPr>
            <w:tcW w:w="1136" w:type="dxa"/>
            <w:gridSpan w:val="2"/>
            <w:tcBorders>
              <w:top w:val="nil"/>
              <w:left w:val="nil"/>
              <w:bottom w:val="nil"/>
              <w:right w:val="single" w:sz="4" w:space="0" w:color="auto"/>
            </w:tcBorders>
            <w:vAlign w:val="center"/>
            <w:hideMark/>
          </w:tcPr>
          <w:p w14:paraId="0703B64D"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473,18</w:t>
            </w:r>
          </w:p>
        </w:tc>
        <w:tc>
          <w:tcPr>
            <w:tcW w:w="1136" w:type="dxa"/>
            <w:gridSpan w:val="2"/>
            <w:tcBorders>
              <w:top w:val="nil"/>
              <w:left w:val="nil"/>
              <w:bottom w:val="nil"/>
              <w:right w:val="single" w:sz="4" w:space="0" w:color="auto"/>
            </w:tcBorders>
            <w:vAlign w:val="center"/>
            <w:hideMark/>
          </w:tcPr>
          <w:p w14:paraId="34755DC6"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255,20</w:t>
            </w:r>
          </w:p>
        </w:tc>
        <w:tc>
          <w:tcPr>
            <w:tcW w:w="1136" w:type="dxa"/>
            <w:gridSpan w:val="2"/>
            <w:tcBorders>
              <w:top w:val="nil"/>
              <w:left w:val="nil"/>
              <w:bottom w:val="nil"/>
              <w:right w:val="single" w:sz="4" w:space="0" w:color="auto"/>
            </w:tcBorders>
            <w:vAlign w:val="center"/>
            <w:hideMark/>
          </w:tcPr>
          <w:p w14:paraId="159B3871"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174,53</w:t>
            </w:r>
          </w:p>
        </w:tc>
        <w:tc>
          <w:tcPr>
            <w:tcW w:w="1134" w:type="dxa"/>
            <w:gridSpan w:val="2"/>
            <w:tcBorders>
              <w:top w:val="nil"/>
              <w:left w:val="nil"/>
              <w:bottom w:val="nil"/>
              <w:right w:val="single" w:sz="4" w:space="0" w:color="auto"/>
            </w:tcBorders>
            <w:vAlign w:val="center"/>
            <w:hideMark/>
          </w:tcPr>
          <w:p w14:paraId="7ED113C6"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2.994,27</w:t>
            </w:r>
          </w:p>
        </w:tc>
        <w:tc>
          <w:tcPr>
            <w:tcW w:w="1134" w:type="dxa"/>
            <w:gridSpan w:val="2"/>
            <w:tcBorders>
              <w:top w:val="nil"/>
              <w:left w:val="nil"/>
              <w:bottom w:val="nil"/>
              <w:right w:val="single" w:sz="4" w:space="0" w:color="auto"/>
            </w:tcBorders>
            <w:vAlign w:val="center"/>
            <w:hideMark/>
          </w:tcPr>
          <w:p w14:paraId="35F09322"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9.470,89</w:t>
            </w:r>
          </w:p>
        </w:tc>
        <w:tc>
          <w:tcPr>
            <w:tcW w:w="1276" w:type="dxa"/>
            <w:gridSpan w:val="2"/>
            <w:tcBorders>
              <w:top w:val="nil"/>
              <w:left w:val="nil"/>
              <w:bottom w:val="nil"/>
              <w:right w:val="single" w:sz="4" w:space="0" w:color="auto"/>
            </w:tcBorders>
            <w:vAlign w:val="center"/>
            <w:hideMark/>
          </w:tcPr>
          <w:p w14:paraId="69495119"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4.338,97</w:t>
            </w:r>
          </w:p>
        </w:tc>
        <w:tc>
          <w:tcPr>
            <w:tcW w:w="1134" w:type="dxa"/>
            <w:gridSpan w:val="2"/>
            <w:tcBorders>
              <w:top w:val="nil"/>
              <w:left w:val="nil"/>
              <w:bottom w:val="nil"/>
              <w:right w:val="single" w:sz="4" w:space="0" w:color="auto"/>
            </w:tcBorders>
            <w:vAlign w:val="center"/>
            <w:hideMark/>
          </w:tcPr>
          <w:p w14:paraId="3CB90C71"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3.657,84</w:t>
            </w:r>
          </w:p>
        </w:tc>
        <w:tc>
          <w:tcPr>
            <w:tcW w:w="1134" w:type="dxa"/>
            <w:gridSpan w:val="2"/>
            <w:tcBorders>
              <w:top w:val="nil"/>
              <w:left w:val="nil"/>
              <w:bottom w:val="nil"/>
              <w:right w:val="single" w:sz="4" w:space="0" w:color="auto"/>
            </w:tcBorders>
            <w:vAlign w:val="center"/>
            <w:hideMark/>
          </w:tcPr>
          <w:p w14:paraId="221F1528"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3.649,80</w:t>
            </w:r>
          </w:p>
        </w:tc>
        <w:tc>
          <w:tcPr>
            <w:tcW w:w="1134" w:type="dxa"/>
            <w:gridSpan w:val="2"/>
            <w:tcBorders>
              <w:top w:val="nil"/>
              <w:left w:val="nil"/>
              <w:bottom w:val="nil"/>
              <w:right w:val="single" w:sz="4" w:space="0" w:color="auto"/>
            </w:tcBorders>
            <w:vAlign w:val="center"/>
            <w:hideMark/>
          </w:tcPr>
          <w:p w14:paraId="1D7B6BA9" w14:textId="063996D9" w:rsidR="005D6F11" w:rsidRPr="000F632C" w:rsidRDefault="005D6F11" w:rsidP="006E6137">
            <w:pPr>
              <w:spacing w:after="0" w:line="240" w:lineRule="auto"/>
              <w:jc w:val="right"/>
              <w:rPr>
                <w:rFonts w:ascii="Arial" w:eastAsia="Times New Roman" w:hAnsi="Arial" w:cs="Arial"/>
                <w:sz w:val="16"/>
                <w:szCs w:val="16"/>
              </w:rPr>
            </w:pPr>
            <w:r>
              <w:rPr>
                <w:rFonts w:ascii="Arial" w:eastAsia="Times New Roman" w:hAnsi="Arial" w:cs="Arial"/>
                <w:sz w:val="16"/>
                <w:szCs w:val="16"/>
              </w:rPr>
              <w:t>4.645,20</w:t>
            </w:r>
          </w:p>
        </w:tc>
        <w:tc>
          <w:tcPr>
            <w:tcW w:w="3125" w:type="dxa"/>
            <w:gridSpan w:val="2"/>
            <w:tcBorders>
              <w:top w:val="nil"/>
              <w:left w:val="nil"/>
              <w:bottom w:val="nil"/>
              <w:right w:val="single" w:sz="4" w:space="0" w:color="auto"/>
            </w:tcBorders>
            <w:vAlign w:val="center"/>
            <w:hideMark/>
          </w:tcPr>
          <w:p w14:paraId="22DDFADA" w14:textId="77777777" w:rsidR="005D6F11" w:rsidRPr="000F632C" w:rsidRDefault="005D6F11" w:rsidP="006E6137">
            <w:pPr>
              <w:spacing w:after="0" w:line="240" w:lineRule="auto"/>
              <w:jc w:val="both"/>
              <w:rPr>
                <w:rFonts w:ascii="Arial" w:eastAsia="Times New Roman" w:hAnsi="Arial" w:cs="Arial"/>
                <w:sz w:val="16"/>
                <w:szCs w:val="16"/>
              </w:rPr>
            </w:pPr>
            <w:r w:rsidRPr="000F632C">
              <w:rPr>
                <w:rFonts w:ascii="Arial" w:eastAsia="Times New Roman" w:hAnsi="Arial" w:cs="Arial"/>
                <w:sz w:val="16"/>
                <w:szCs w:val="16"/>
              </w:rPr>
              <w:t>U 2025. su  ostvareni prihodi od naknade za korištenje zajedničkih prostora zgrade.</w:t>
            </w:r>
          </w:p>
        </w:tc>
      </w:tr>
      <w:tr w:rsidR="005D6F11" w:rsidRPr="000F632C" w14:paraId="26474C53" w14:textId="77777777" w:rsidTr="0083333C">
        <w:trPr>
          <w:trHeight w:val="300"/>
        </w:trPr>
        <w:tc>
          <w:tcPr>
            <w:tcW w:w="1268" w:type="dxa"/>
            <w:gridSpan w:val="2"/>
            <w:tcBorders>
              <w:top w:val="single" w:sz="8" w:space="0" w:color="auto"/>
              <w:left w:val="single" w:sz="8" w:space="0" w:color="auto"/>
              <w:bottom w:val="single" w:sz="8" w:space="0" w:color="auto"/>
              <w:right w:val="single" w:sz="8" w:space="0" w:color="000000"/>
            </w:tcBorders>
            <w:vAlign w:val="center"/>
            <w:hideMark/>
          </w:tcPr>
          <w:p w14:paraId="02287D5A" w14:textId="77777777" w:rsidR="005D6F11" w:rsidRPr="000F632C" w:rsidRDefault="005D6F11" w:rsidP="006E6137">
            <w:pPr>
              <w:spacing w:after="0" w:line="240" w:lineRule="auto"/>
              <w:rPr>
                <w:rFonts w:ascii="Arial" w:eastAsia="Times New Roman" w:hAnsi="Arial" w:cs="Arial"/>
                <w:b/>
                <w:bCs/>
                <w:sz w:val="20"/>
                <w:szCs w:val="20"/>
              </w:rPr>
            </w:pPr>
            <w:r w:rsidRPr="000F632C">
              <w:rPr>
                <w:rFonts w:ascii="Arial" w:eastAsia="Times New Roman" w:hAnsi="Arial" w:cs="Arial"/>
                <w:b/>
                <w:bCs/>
                <w:sz w:val="20"/>
                <w:szCs w:val="20"/>
              </w:rPr>
              <w:t>UKUPNO</w:t>
            </w:r>
          </w:p>
        </w:tc>
        <w:tc>
          <w:tcPr>
            <w:tcW w:w="1136" w:type="dxa"/>
            <w:gridSpan w:val="2"/>
            <w:tcBorders>
              <w:top w:val="single" w:sz="8" w:space="0" w:color="auto"/>
              <w:left w:val="single" w:sz="8" w:space="0" w:color="auto"/>
              <w:bottom w:val="single" w:sz="8" w:space="0" w:color="auto"/>
              <w:right w:val="single" w:sz="4" w:space="0" w:color="auto"/>
            </w:tcBorders>
            <w:vAlign w:val="center"/>
            <w:hideMark/>
          </w:tcPr>
          <w:p w14:paraId="665DA9BA" w14:textId="77777777" w:rsidR="005D6F11" w:rsidRPr="000F632C" w:rsidRDefault="005D6F11" w:rsidP="006E6137">
            <w:pPr>
              <w:spacing w:after="0" w:line="240" w:lineRule="auto"/>
              <w:jc w:val="right"/>
              <w:rPr>
                <w:rFonts w:ascii="Arial" w:eastAsia="Times New Roman" w:hAnsi="Arial" w:cs="Arial"/>
                <w:sz w:val="18"/>
                <w:szCs w:val="18"/>
              </w:rPr>
            </w:pPr>
            <w:r w:rsidRPr="000F632C">
              <w:rPr>
                <w:rFonts w:ascii="Arial" w:eastAsia="Times New Roman" w:hAnsi="Arial" w:cs="Arial"/>
                <w:sz w:val="18"/>
                <w:szCs w:val="18"/>
              </w:rPr>
              <w:t>777.189,02</w:t>
            </w:r>
          </w:p>
        </w:tc>
        <w:tc>
          <w:tcPr>
            <w:tcW w:w="1136" w:type="dxa"/>
            <w:gridSpan w:val="2"/>
            <w:tcBorders>
              <w:top w:val="single" w:sz="8" w:space="0" w:color="auto"/>
              <w:left w:val="single" w:sz="4" w:space="0" w:color="auto"/>
              <w:bottom w:val="single" w:sz="8" w:space="0" w:color="auto"/>
              <w:right w:val="single" w:sz="4" w:space="0" w:color="auto"/>
            </w:tcBorders>
            <w:vAlign w:val="center"/>
            <w:hideMark/>
          </w:tcPr>
          <w:p w14:paraId="32454214" w14:textId="77777777" w:rsidR="005D6F11" w:rsidRPr="000F632C" w:rsidRDefault="005D6F11" w:rsidP="006E6137">
            <w:pPr>
              <w:spacing w:after="0" w:line="240" w:lineRule="auto"/>
              <w:jc w:val="right"/>
              <w:rPr>
                <w:rFonts w:ascii="Arial" w:eastAsia="Times New Roman" w:hAnsi="Arial" w:cs="Arial"/>
                <w:sz w:val="16"/>
                <w:szCs w:val="16"/>
              </w:rPr>
            </w:pPr>
            <w:r w:rsidRPr="000F632C">
              <w:rPr>
                <w:rFonts w:ascii="Arial" w:eastAsia="Times New Roman" w:hAnsi="Arial" w:cs="Arial"/>
                <w:sz w:val="16"/>
                <w:szCs w:val="16"/>
              </w:rPr>
              <w:t>1.001.800,62</w:t>
            </w:r>
          </w:p>
        </w:tc>
        <w:tc>
          <w:tcPr>
            <w:tcW w:w="1136" w:type="dxa"/>
            <w:gridSpan w:val="2"/>
            <w:tcBorders>
              <w:top w:val="single" w:sz="8" w:space="0" w:color="auto"/>
              <w:left w:val="single" w:sz="4" w:space="0" w:color="auto"/>
              <w:bottom w:val="single" w:sz="8" w:space="0" w:color="auto"/>
              <w:right w:val="single" w:sz="4" w:space="0" w:color="auto"/>
            </w:tcBorders>
            <w:vAlign w:val="center"/>
            <w:hideMark/>
          </w:tcPr>
          <w:p w14:paraId="2604CD43" w14:textId="77777777" w:rsidR="005D6F11" w:rsidRPr="000F632C" w:rsidRDefault="005D6F11" w:rsidP="006E6137">
            <w:pPr>
              <w:spacing w:after="0" w:line="240" w:lineRule="auto"/>
              <w:jc w:val="right"/>
              <w:rPr>
                <w:rFonts w:ascii="Arial" w:eastAsia="Times New Roman" w:hAnsi="Arial" w:cs="Arial"/>
                <w:i/>
                <w:iCs/>
                <w:sz w:val="16"/>
                <w:szCs w:val="16"/>
              </w:rPr>
            </w:pPr>
            <w:r w:rsidRPr="000F632C">
              <w:rPr>
                <w:rFonts w:ascii="Arial" w:eastAsia="Times New Roman" w:hAnsi="Arial" w:cs="Arial"/>
                <w:i/>
                <w:iCs/>
                <w:sz w:val="16"/>
                <w:szCs w:val="16"/>
              </w:rPr>
              <w:t>1.018.850,47</w:t>
            </w:r>
          </w:p>
        </w:tc>
        <w:tc>
          <w:tcPr>
            <w:tcW w:w="1134" w:type="dxa"/>
            <w:gridSpan w:val="2"/>
            <w:tcBorders>
              <w:top w:val="single" w:sz="8" w:space="0" w:color="auto"/>
              <w:left w:val="single" w:sz="4" w:space="0" w:color="auto"/>
              <w:bottom w:val="single" w:sz="8" w:space="0" w:color="auto"/>
              <w:right w:val="single" w:sz="4" w:space="0" w:color="auto"/>
            </w:tcBorders>
            <w:vAlign w:val="center"/>
            <w:hideMark/>
          </w:tcPr>
          <w:p w14:paraId="21434E92" w14:textId="77777777" w:rsidR="005D6F11" w:rsidRPr="000F632C" w:rsidRDefault="005D6F11" w:rsidP="006E6137">
            <w:pPr>
              <w:spacing w:after="0" w:line="240" w:lineRule="auto"/>
              <w:jc w:val="right"/>
              <w:rPr>
                <w:rFonts w:ascii="Arial" w:eastAsia="Times New Roman" w:hAnsi="Arial" w:cs="Arial"/>
                <w:i/>
                <w:iCs/>
                <w:sz w:val="18"/>
                <w:szCs w:val="18"/>
              </w:rPr>
            </w:pPr>
            <w:r w:rsidRPr="000F632C">
              <w:rPr>
                <w:rFonts w:ascii="Arial" w:eastAsia="Times New Roman" w:hAnsi="Arial" w:cs="Arial"/>
                <w:i/>
                <w:iCs/>
                <w:sz w:val="18"/>
                <w:szCs w:val="18"/>
              </w:rPr>
              <w:t>626.839,48</w:t>
            </w:r>
          </w:p>
        </w:tc>
        <w:tc>
          <w:tcPr>
            <w:tcW w:w="1134" w:type="dxa"/>
            <w:gridSpan w:val="2"/>
            <w:tcBorders>
              <w:top w:val="single" w:sz="8" w:space="0" w:color="auto"/>
              <w:left w:val="single" w:sz="4" w:space="0" w:color="auto"/>
              <w:bottom w:val="single" w:sz="8" w:space="0" w:color="auto"/>
              <w:right w:val="single" w:sz="4" w:space="0" w:color="auto"/>
            </w:tcBorders>
            <w:vAlign w:val="center"/>
            <w:hideMark/>
          </w:tcPr>
          <w:p w14:paraId="2E29F89A" w14:textId="77777777" w:rsidR="005D6F11" w:rsidRPr="000F632C" w:rsidRDefault="005D6F11" w:rsidP="006E6137">
            <w:pPr>
              <w:spacing w:after="0" w:line="240" w:lineRule="auto"/>
              <w:jc w:val="right"/>
              <w:rPr>
                <w:rFonts w:ascii="Arial" w:eastAsia="Times New Roman" w:hAnsi="Arial" w:cs="Arial"/>
                <w:i/>
                <w:iCs/>
                <w:sz w:val="18"/>
                <w:szCs w:val="18"/>
              </w:rPr>
            </w:pPr>
            <w:r w:rsidRPr="000F632C">
              <w:rPr>
                <w:rFonts w:ascii="Arial" w:eastAsia="Times New Roman" w:hAnsi="Arial" w:cs="Arial"/>
                <w:i/>
                <w:iCs/>
                <w:sz w:val="18"/>
                <w:szCs w:val="18"/>
              </w:rPr>
              <w:t>868.374,10</w:t>
            </w:r>
          </w:p>
        </w:tc>
        <w:tc>
          <w:tcPr>
            <w:tcW w:w="1276" w:type="dxa"/>
            <w:gridSpan w:val="2"/>
            <w:tcBorders>
              <w:top w:val="single" w:sz="8" w:space="0" w:color="auto"/>
              <w:left w:val="single" w:sz="4" w:space="0" w:color="auto"/>
              <w:bottom w:val="single" w:sz="8" w:space="0" w:color="auto"/>
              <w:right w:val="single" w:sz="4" w:space="0" w:color="auto"/>
            </w:tcBorders>
            <w:vAlign w:val="center"/>
            <w:hideMark/>
          </w:tcPr>
          <w:p w14:paraId="1B330350" w14:textId="77777777" w:rsidR="005D6F11" w:rsidRPr="000F632C" w:rsidRDefault="005D6F11" w:rsidP="006E6137">
            <w:pPr>
              <w:spacing w:after="0" w:line="240" w:lineRule="auto"/>
              <w:jc w:val="right"/>
              <w:rPr>
                <w:rFonts w:ascii="Arial" w:eastAsia="Times New Roman" w:hAnsi="Arial" w:cs="Arial"/>
                <w:i/>
                <w:iCs/>
                <w:sz w:val="18"/>
                <w:szCs w:val="18"/>
              </w:rPr>
            </w:pPr>
            <w:r w:rsidRPr="000F632C">
              <w:rPr>
                <w:rFonts w:ascii="Arial" w:eastAsia="Times New Roman" w:hAnsi="Arial" w:cs="Arial"/>
                <w:i/>
                <w:iCs/>
                <w:sz w:val="18"/>
                <w:szCs w:val="18"/>
              </w:rPr>
              <w:t>1.154.020,60</w:t>
            </w:r>
          </w:p>
        </w:tc>
        <w:tc>
          <w:tcPr>
            <w:tcW w:w="1134" w:type="dxa"/>
            <w:gridSpan w:val="2"/>
            <w:tcBorders>
              <w:top w:val="single" w:sz="8" w:space="0" w:color="auto"/>
              <w:left w:val="nil"/>
              <w:bottom w:val="single" w:sz="8" w:space="0" w:color="auto"/>
              <w:right w:val="single" w:sz="8" w:space="0" w:color="000000"/>
            </w:tcBorders>
            <w:vAlign w:val="center"/>
            <w:hideMark/>
          </w:tcPr>
          <w:p w14:paraId="0F12E5F6" w14:textId="77777777" w:rsidR="005D6F11" w:rsidRPr="000F632C" w:rsidRDefault="005D6F11" w:rsidP="006E6137">
            <w:pPr>
              <w:spacing w:after="0" w:line="240" w:lineRule="auto"/>
              <w:jc w:val="right"/>
              <w:rPr>
                <w:rFonts w:ascii="Arial" w:eastAsia="Times New Roman" w:hAnsi="Arial" w:cs="Arial"/>
                <w:b/>
                <w:bCs/>
                <w:sz w:val="18"/>
                <w:szCs w:val="18"/>
              </w:rPr>
            </w:pPr>
            <w:r w:rsidRPr="000F632C">
              <w:rPr>
                <w:rFonts w:ascii="Arial" w:eastAsia="Times New Roman" w:hAnsi="Arial" w:cs="Arial"/>
                <w:b/>
                <w:bCs/>
                <w:sz w:val="18"/>
                <w:szCs w:val="18"/>
              </w:rPr>
              <w:t>1.019.602,27</w:t>
            </w:r>
          </w:p>
        </w:tc>
        <w:tc>
          <w:tcPr>
            <w:tcW w:w="1134" w:type="dxa"/>
            <w:gridSpan w:val="2"/>
            <w:tcBorders>
              <w:top w:val="single" w:sz="8" w:space="0" w:color="auto"/>
              <w:left w:val="nil"/>
              <w:bottom w:val="single" w:sz="8" w:space="0" w:color="auto"/>
              <w:right w:val="single" w:sz="8" w:space="0" w:color="auto"/>
            </w:tcBorders>
            <w:vAlign w:val="center"/>
            <w:hideMark/>
          </w:tcPr>
          <w:p w14:paraId="630CD64C" w14:textId="77777777" w:rsidR="005D6F11" w:rsidRPr="000F632C" w:rsidRDefault="005D6F11" w:rsidP="006E6137">
            <w:pPr>
              <w:spacing w:after="0" w:line="240" w:lineRule="auto"/>
              <w:jc w:val="right"/>
              <w:rPr>
                <w:rFonts w:ascii="Arial" w:eastAsia="Times New Roman" w:hAnsi="Arial" w:cs="Arial"/>
                <w:b/>
                <w:bCs/>
                <w:sz w:val="18"/>
                <w:szCs w:val="18"/>
              </w:rPr>
            </w:pPr>
            <w:r w:rsidRPr="000F632C">
              <w:rPr>
                <w:rFonts w:ascii="Arial" w:eastAsia="Times New Roman" w:hAnsi="Arial" w:cs="Arial"/>
                <w:b/>
                <w:bCs/>
                <w:sz w:val="18"/>
                <w:szCs w:val="18"/>
              </w:rPr>
              <w:t>1.092.188,50</w:t>
            </w:r>
          </w:p>
        </w:tc>
        <w:tc>
          <w:tcPr>
            <w:tcW w:w="1134" w:type="dxa"/>
            <w:gridSpan w:val="2"/>
            <w:tcBorders>
              <w:top w:val="single" w:sz="8" w:space="0" w:color="auto"/>
              <w:left w:val="nil"/>
              <w:bottom w:val="single" w:sz="8" w:space="0" w:color="auto"/>
              <w:right w:val="single" w:sz="8" w:space="0" w:color="auto"/>
            </w:tcBorders>
            <w:vAlign w:val="center"/>
            <w:hideMark/>
          </w:tcPr>
          <w:p w14:paraId="7E8609D5" w14:textId="62D25BCC" w:rsidR="005D6F11" w:rsidRPr="000F632C" w:rsidRDefault="005D6F11" w:rsidP="006E6137">
            <w:pPr>
              <w:spacing w:after="0" w:line="240" w:lineRule="auto"/>
              <w:jc w:val="right"/>
              <w:rPr>
                <w:rFonts w:ascii="Arial" w:eastAsia="Times New Roman" w:hAnsi="Arial" w:cs="Arial"/>
                <w:b/>
                <w:bCs/>
                <w:sz w:val="18"/>
                <w:szCs w:val="18"/>
              </w:rPr>
            </w:pPr>
            <w:r>
              <w:rPr>
                <w:rFonts w:ascii="Arial" w:eastAsia="Times New Roman" w:hAnsi="Arial" w:cs="Arial"/>
                <w:b/>
                <w:bCs/>
                <w:sz w:val="18"/>
                <w:szCs w:val="18"/>
              </w:rPr>
              <w:fldChar w:fldCharType="begin"/>
            </w:r>
            <w:r>
              <w:rPr>
                <w:rFonts w:ascii="Arial" w:eastAsia="Times New Roman" w:hAnsi="Arial" w:cs="Arial"/>
                <w:b/>
                <w:bCs/>
                <w:sz w:val="18"/>
                <w:szCs w:val="18"/>
              </w:rPr>
              <w:instrText xml:space="preserve"> =SUM(ABOVE) </w:instrText>
            </w:r>
            <w:r>
              <w:rPr>
                <w:rFonts w:ascii="Arial" w:eastAsia="Times New Roman" w:hAnsi="Arial" w:cs="Arial"/>
                <w:b/>
                <w:bCs/>
                <w:sz w:val="18"/>
                <w:szCs w:val="18"/>
              </w:rPr>
              <w:fldChar w:fldCharType="separate"/>
            </w:r>
            <w:r>
              <w:rPr>
                <w:rFonts w:ascii="Arial" w:eastAsia="Times New Roman" w:hAnsi="Arial" w:cs="Arial"/>
                <w:b/>
                <w:bCs/>
                <w:noProof/>
                <w:sz w:val="18"/>
                <w:szCs w:val="18"/>
              </w:rPr>
              <w:t>1.391.714,28</w:t>
            </w:r>
            <w:r>
              <w:rPr>
                <w:rFonts w:ascii="Arial" w:eastAsia="Times New Roman" w:hAnsi="Arial" w:cs="Arial"/>
                <w:b/>
                <w:bCs/>
                <w:sz w:val="18"/>
                <w:szCs w:val="18"/>
              </w:rPr>
              <w:fldChar w:fldCharType="end"/>
            </w:r>
          </w:p>
        </w:tc>
        <w:tc>
          <w:tcPr>
            <w:tcW w:w="3125" w:type="dxa"/>
            <w:gridSpan w:val="2"/>
            <w:tcBorders>
              <w:top w:val="single" w:sz="8" w:space="0" w:color="auto"/>
              <w:left w:val="nil"/>
              <w:bottom w:val="single" w:sz="8" w:space="0" w:color="auto"/>
              <w:right w:val="single" w:sz="8" w:space="0" w:color="auto"/>
            </w:tcBorders>
            <w:vAlign w:val="center"/>
            <w:hideMark/>
          </w:tcPr>
          <w:p w14:paraId="7734239E" w14:textId="77777777" w:rsidR="005D6F11" w:rsidRPr="000F632C" w:rsidRDefault="005D6F11" w:rsidP="006E6137">
            <w:pPr>
              <w:spacing w:after="0" w:line="240" w:lineRule="auto"/>
              <w:jc w:val="both"/>
              <w:rPr>
                <w:rFonts w:ascii="Arial" w:eastAsia="Times New Roman" w:hAnsi="Arial" w:cs="Arial"/>
                <w:b/>
                <w:bCs/>
                <w:sz w:val="18"/>
                <w:szCs w:val="18"/>
              </w:rPr>
            </w:pPr>
            <w:r w:rsidRPr="000F632C">
              <w:rPr>
                <w:rFonts w:ascii="Arial" w:eastAsia="Times New Roman" w:hAnsi="Arial" w:cs="Arial"/>
                <w:b/>
                <w:bCs/>
                <w:sz w:val="18"/>
                <w:szCs w:val="18"/>
              </w:rPr>
              <w:t> </w:t>
            </w:r>
          </w:p>
        </w:tc>
      </w:tr>
    </w:tbl>
    <w:p w14:paraId="5F84B45C" w14:textId="77777777" w:rsidR="00E5617A" w:rsidRDefault="00E5617A" w:rsidP="00F91AE6">
      <w:pPr>
        <w:spacing w:after="0" w:line="240" w:lineRule="auto"/>
        <w:jc w:val="both"/>
        <w:rPr>
          <w:rFonts w:ascii="Arial" w:eastAsia="Times New Roman" w:hAnsi="Arial" w:cs="Arial"/>
        </w:rPr>
      </w:pPr>
    </w:p>
    <w:p w14:paraId="2D01E1F0" w14:textId="2ACC65C7" w:rsidR="00F91AE6" w:rsidRPr="003A2F86" w:rsidRDefault="00F91AE6" w:rsidP="00F91AE6">
      <w:pPr>
        <w:spacing w:after="0" w:line="240" w:lineRule="auto"/>
        <w:jc w:val="both"/>
        <w:rPr>
          <w:rFonts w:ascii="Arial" w:eastAsia="Times New Roman" w:hAnsi="Arial" w:cs="Arial"/>
        </w:rPr>
      </w:pPr>
      <w:r w:rsidRPr="003A2F86">
        <w:rPr>
          <w:rFonts w:ascii="Arial" w:eastAsia="Times New Roman" w:hAnsi="Arial" w:cs="Arial"/>
        </w:rPr>
        <w:t xml:space="preserve">Prihodi od nefinancijske imovine su i prihodi od </w:t>
      </w:r>
      <w:r w:rsidRPr="003A2F86">
        <w:rPr>
          <w:rFonts w:ascii="Arial" w:eastAsia="Times New Roman" w:hAnsi="Arial" w:cs="Arial"/>
          <w:i/>
          <w:iCs/>
        </w:rPr>
        <w:t>naknade za zadržavanje nezakonito izgrađene zgrade u prostoru</w:t>
      </w:r>
      <w:r w:rsidRPr="003A2F86">
        <w:rPr>
          <w:rFonts w:ascii="Arial" w:eastAsia="Times New Roman" w:hAnsi="Arial" w:cs="Arial"/>
        </w:rPr>
        <w:t xml:space="preserve"> (6429) </w:t>
      </w:r>
      <w:r w:rsidR="000221EB" w:rsidRPr="003A2F86">
        <w:rPr>
          <w:rFonts w:ascii="Arial" w:eastAsia="Times New Roman" w:hAnsi="Arial" w:cs="Arial"/>
        </w:rPr>
        <w:t>ostvareni su u 202</w:t>
      </w:r>
      <w:r w:rsidR="00EE4120">
        <w:rPr>
          <w:rFonts w:ascii="Arial" w:eastAsia="Times New Roman" w:hAnsi="Arial" w:cs="Arial"/>
        </w:rPr>
        <w:t>5</w:t>
      </w:r>
      <w:r w:rsidR="000221EB" w:rsidRPr="003A2F86">
        <w:rPr>
          <w:rFonts w:ascii="Arial" w:eastAsia="Times New Roman" w:hAnsi="Arial" w:cs="Arial"/>
        </w:rPr>
        <w:t xml:space="preserve">. godini u </w:t>
      </w:r>
      <w:r w:rsidRPr="003A2F86">
        <w:rPr>
          <w:rFonts w:ascii="Arial" w:eastAsia="Times New Roman" w:hAnsi="Arial" w:cs="Arial"/>
        </w:rPr>
        <w:t xml:space="preserve">iznosu </w:t>
      </w:r>
      <w:r w:rsidR="0083333C">
        <w:rPr>
          <w:rFonts w:ascii="Arial" w:eastAsia="Times New Roman" w:hAnsi="Arial" w:cs="Arial"/>
        </w:rPr>
        <w:t>348,46</w:t>
      </w:r>
      <w:r w:rsidR="000221EB" w:rsidRPr="003A2F86">
        <w:rPr>
          <w:rFonts w:ascii="Arial" w:eastAsia="Times New Roman" w:hAnsi="Arial" w:cs="Arial"/>
        </w:rPr>
        <w:t xml:space="preserve"> €</w:t>
      </w:r>
      <w:r w:rsidRPr="003A2F86">
        <w:rPr>
          <w:rFonts w:ascii="Arial" w:eastAsia="Times New Roman" w:hAnsi="Arial" w:cs="Arial"/>
        </w:rPr>
        <w:t xml:space="preserve">, na temelju Zakona o postupanju s nezakonito izgrađenim zgradama (Narodne novine 86/12, 143/13, 65/17, 14/19). Navedena naknada je zajednički prihod državnog proračuna (40%), županijskog proračuna (30%) i proračuna Općine (30%). </w:t>
      </w:r>
    </w:p>
    <w:p w14:paraId="4E139A31" w14:textId="77777777" w:rsidR="00D64664" w:rsidRPr="003A2F86" w:rsidRDefault="00D64664" w:rsidP="00F91AE6">
      <w:pPr>
        <w:spacing w:after="0" w:line="240" w:lineRule="auto"/>
        <w:jc w:val="both"/>
        <w:rPr>
          <w:rFonts w:ascii="Arial" w:eastAsia="Times New Roman" w:hAnsi="Arial" w:cs="Arial"/>
        </w:rPr>
      </w:pPr>
    </w:p>
    <w:p w14:paraId="522C8620" w14:textId="77777777" w:rsidR="00172CDF" w:rsidRPr="003A2F86" w:rsidRDefault="00172CDF" w:rsidP="00172CDF">
      <w:pPr>
        <w:spacing w:after="0" w:line="240" w:lineRule="auto"/>
        <w:jc w:val="both"/>
        <w:rPr>
          <w:rFonts w:ascii="Arial" w:eastAsia="Times New Roman" w:hAnsi="Arial" w:cs="Arial"/>
          <w:i/>
          <w:iCs/>
          <w:sz w:val="20"/>
          <w:szCs w:val="20"/>
        </w:rPr>
      </w:pPr>
      <w:r w:rsidRPr="003A2F86">
        <w:rPr>
          <w:rFonts w:ascii="Arial" w:eastAsia="Times New Roman" w:hAnsi="Arial" w:cs="Arial"/>
          <w:i/>
          <w:iCs/>
          <w:sz w:val="20"/>
          <w:szCs w:val="20"/>
        </w:rPr>
        <w:t>*Usporedba: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294"/>
        <w:gridCol w:w="11623"/>
      </w:tblGrid>
      <w:tr w:rsidR="004C595F" w:rsidRPr="003A2F86" w14:paraId="690C74E8" w14:textId="77777777" w:rsidTr="000221EB">
        <w:trPr>
          <w:jc w:val="center"/>
        </w:trPr>
        <w:tc>
          <w:tcPr>
            <w:tcW w:w="14046" w:type="dxa"/>
            <w:gridSpan w:val="3"/>
            <w:vAlign w:val="center"/>
          </w:tcPr>
          <w:p w14:paraId="11226380" w14:textId="619A98B8" w:rsidR="00891119" w:rsidRPr="003A2F86" w:rsidRDefault="00891119" w:rsidP="00891119">
            <w:pPr>
              <w:spacing w:after="0" w:line="240" w:lineRule="auto"/>
              <w:jc w:val="center"/>
              <w:rPr>
                <w:rFonts w:ascii="Arial" w:eastAsia="Times New Roman" w:hAnsi="Arial" w:cs="Arial"/>
                <w:b/>
                <w:i/>
                <w:iCs/>
                <w:sz w:val="18"/>
                <w:szCs w:val="18"/>
                <w:lang w:eastAsia="en-US"/>
              </w:rPr>
            </w:pPr>
            <w:r w:rsidRPr="003A2F86">
              <w:rPr>
                <w:rFonts w:ascii="Arial" w:eastAsia="Times New Roman" w:hAnsi="Arial" w:cs="Arial"/>
                <w:b/>
                <w:i/>
                <w:iCs/>
                <w:sz w:val="18"/>
                <w:szCs w:val="18"/>
                <w:lang w:eastAsia="en-US"/>
              </w:rPr>
              <w:t xml:space="preserve">Prihod od </w:t>
            </w:r>
            <w:r w:rsidRPr="003A2F86">
              <w:rPr>
                <w:rFonts w:ascii="Arial" w:eastAsia="Times New Roman" w:hAnsi="Arial" w:cs="Arial"/>
                <w:b/>
                <w:i/>
                <w:sz w:val="18"/>
                <w:szCs w:val="18"/>
              </w:rPr>
              <w:t>na</w:t>
            </w:r>
            <w:r w:rsidR="00A8623C" w:rsidRPr="003A2F86">
              <w:rPr>
                <w:rFonts w:ascii="Arial" w:eastAsia="Times New Roman" w:hAnsi="Arial" w:cs="Arial"/>
                <w:b/>
                <w:i/>
                <w:sz w:val="18"/>
                <w:szCs w:val="18"/>
              </w:rPr>
              <w:t>kn</w:t>
            </w:r>
            <w:r w:rsidRPr="003A2F86">
              <w:rPr>
                <w:rFonts w:ascii="Arial" w:eastAsia="Times New Roman" w:hAnsi="Arial" w:cs="Arial"/>
                <w:b/>
                <w:i/>
                <w:sz w:val="18"/>
                <w:szCs w:val="18"/>
              </w:rPr>
              <w:t>ade za zadržavanje nezakonito izgrađene zgrade u prostoru</w:t>
            </w:r>
            <w:r w:rsidRPr="003A2F86">
              <w:rPr>
                <w:rFonts w:ascii="Arial" w:eastAsia="Times New Roman" w:hAnsi="Arial" w:cs="Arial"/>
                <w:b/>
                <w:i/>
                <w:iCs/>
                <w:sz w:val="18"/>
                <w:szCs w:val="18"/>
                <w:lang w:eastAsia="en-US"/>
              </w:rPr>
              <w:t xml:space="preserve"> </w:t>
            </w:r>
            <w:r w:rsidRPr="003A2F86">
              <w:rPr>
                <w:rFonts w:ascii="Arial" w:eastAsia="Times New Roman" w:hAnsi="Arial" w:cs="Arial"/>
                <w:b/>
                <w:i/>
                <w:iCs/>
                <w:color w:val="FF0000"/>
                <w:sz w:val="18"/>
                <w:szCs w:val="18"/>
                <w:lang w:eastAsia="en-US"/>
              </w:rPr>
              <w:t>(6429)</w:t>
            </w:r>
          </w:p>
          <w:p w14:paraId="6F4FF239" w14:textId="6AEF317E" w:rsidR="00891119" w:rsidRPr="003A2F86" w:rsidRDefault="00891119" w:rsidP="00891119">
            <w:pPr>
              <w:spacing w:after="0" w:line="240" w:lineRule="auto"/>
              <w:jc w:val="center"/>
              <w:rPr>
                <w:rFonts w:ascii="Arial" w:eastAsia="Times New Roman" w:hAnsi="Arial" w:cs="Arial"/>
                <w:b/>
                <w:i/>
                <w:iCs/>
                <w:sz w:val="18"/>
                <w:szCs w:val="18"/>
                <w:lang w:eastAsia="en-US"/>
              </w:rPr>
            </w:pPr>
            <w:r w:rsidRPr="003A2F86">
              <w:rPr>
                <w:rFonts w:ascii="Arial" w:eastAsia="Times New Roman" w:hAnsi="Arial" w:cs="Arial"/>
                <w:i/>
                <w:sz w:val="18"/>
                <w:szCs w:val="18"/>
              </w:rPr>
              <w:t>(30% prihod Općine)</w:t>
            </w:r>
            <w:r w:rsidR="0082604B" w:rsidRPr="003A2F86">
              <w:rPr>
                <w:rFonts w:ascii="Arial" w:eastAsia="Times New Roman" w:hAnsi="Arial" w:cs="Arial"/>
                <w:i/>
                <w:sz w:val="18"/>
                <w:szCs w:val="18"/>
              </w:rPr>
              <w:t xml:space="preserve"> (namjenski prihodi)</w:t>
            </w:r>
          </w:p>
        </w:tc>
      </w:tr>
      <w:tr w:rsidR="000221EB" w:rsidRPr="003A2F86" w14:paraId="5375D01F" w14:textId="77777777" w:rsidTr="000221EB">
        <w:trPr>
          <w:jc w:val="center"/>
        </w:trPr>
        <w:tc>
          <w:tcPr>
            <w:tcW w:w="1129" w:type="dxa"/>
          </w:tcPr>
          <w:p w14:paraId="1DEDE065" w14:textId="51AE1C35" w:rsidR="000221EB" w:rsidRPr="003A2F86" w:rsidRDefault="000221EB" w:rsidP="000221EB">
            <w:pPr>
              <w:spacing w:after="0" w:line="240" w:lineRule="auto"/>
              <w:jc w:val="center"/>
              <w:rPr>
                <w:rFonts w:ascii="Arial" w:eastAsia="Times New Roman" w:hAnsi="Arial" w:cs="Arial"/>
                <w:b/>
                <w:bCs/>
                <w:i/>
                <w:iCs/>
                <w:sz w:val="18"/>
                <w:szCs w:val="18"/>
                <w:lang w:eastAsia="en-US"/>
              </w:rPr>
            </w:pPr>
            <w:r w:rsidRPr="003A2F86">
              <w:rPr>
                <w:rFonts w:ascii="Arial" w:hAnsi="Arial" w:cs="Arial"/>
                <w:b/>
                <w:bCs/>
                <w:sz w:val="18"/>
                <w:szCs w:val="18"/>
              </w:rPr>
              <w:t>Godina</w:t>
            </w:r>
          </w:p>
        </w:tc>
        <w:tc>
          <w:tcPr>
            <w:tcW w:w="1294" w:type="dxa"/>
          </w:tcPr>
          <w:p w14:paraId="49C63CB0" w14:textId="4C64BECC" w:rsidR="000221EB" w:rsidRPr="003A2F86" w:rsidRDefault="000221EB" w:rsidP="000221EB">
            <w:pPr>
              <w:spacing w:after="0" w:line="240" w:lineRule="auto"/>
              <w:jc w:val="center"/>
              <w:rPr>
                <w:rFonts w:ascii="Arial" w:eastAsia="Times New Roman" w:hAnsi="Arial" w:cs="Arial"/>
                <w:b/>
                <w:bCs/>
                <w:i/>
                <w:iCs/>
                <w:sz w:val="18"/>
                <w:szCs w:val="18"/>
                <w:lang w:eastAsia="en-US"/>
              </w:rPr>
            </w:pPr>
            <w:r w:rsidRPr="003A2F86">
              <w:rPr>
                <w:rFonts w:ascii="Arial" w:hAnsi="Arial" w:cs="Arial"/>
                <w:b/>
                <w:bCs/>
                <w:sz w:val="18"/>
                <w:szCs w:val="18"/>
              </w:rPr>
              <w:t xml:space="preserve">Iznos </w:t>
            </w:r>
            <w:r w:rsidRPr="003A2F86">
              <w:rPr>
                <w:rFonts w:ascii="Arial" w:hAnsi="Arial" w:cs="Arial"/>
                <w:b/>
                <w:bCs/>
                <w:color w:val="FF0000"/>
                <w:sz w:val="18"/>
                <w:szCs w:val="18"/>
              </w:rPr>
              <w:t>(€)</w:t>
            </w:r>
          </w:p>
        </w:tc>
        <w:tc>
          <w:tcPr>
            <w:tcW w:w="11623" w:type="dxa"/>
          </w:tcPr>
          <w:p w14:paraId="5512F60A" w14:textId="7913C081" w:rsidR="000221EB" w:rsidRPr="003A2F86" w:rsidRDefault="000221EB" w:rsidP="000221EB">
            <w:pPr>
              <w:spacing w:after="0" w:line="240" w:lineRule="auto"/>
              <w:jc w:val="center"/>
              <w:rPr>
                <w:rFonts w:ascii="Arial" w:eastAsia="Times New Roman" w:hAnsi="Arial" w:cs="Arial"/>
                <w:b/>
                <w:bCs/>
                <w:i/>
                <w:iCs/>
                <w:sz w:val="18"/>
                <w:szCs w:val="18"/>
                <w:lang w:eastAsia="en-US"/>
              </w:rPr>
            </w:pPr>
            <w:r w:rsidRPr="003A2F86">
              <w:rPr>
                <w:rFonts w:ascii="Arial" w:hAnsi="Arial" w:cs="Arial"/>
                <w:b/>
                <w:bCs/>
                <w:sz w:val="18"/>
                <w:szCs w:val="18"/>
              </w:rPr>
              <w:t>Obrazloženje</w:t>
            </w:r>
          </w:p>
        </w:tc>
      </w:tr>
      <w:tr w:rsidR="000221EB" w:rsidRPr="003A2F86" w14:paraId="28958FE2" w14:textId="77777777" w:rsidTr="000221EB">
        <w:trPr>
          <w:jc w:val="center"/>
        </w:trPr>
        <w:tc>
          <w:tcPr>
            <w:tcW w:w="1129" w:type="dxa"/>
            <w:tcBorders>
              <w:top w:val="nil"/>
              <w:left w:val="single" w:sz="8" w:space="0" w:color="000000"/>
              <w:bottom w:val="single" w:sz="8" w:space="0" w:color="000000"/>
              <w:right w:val="single" w:sz="8" w:space="0" w:color="000000"/>
            </w:tcBorders>
          </w:tcPr>
          <w:p w14:paraId="69BE2414" w14:textId="262CD041" w:rsidR="000221EB" w:rsidRPr="003A2F86" w:rsidRDefault="000221EB" w:rsidP="000221EB">
            <w:pPr>
              <w:spacing w:after="0" w:line="240" w:lineRule="auto"/>
              <w:jc w:val="center"/>
              <w:rPr>
                <w:rFonts w:ascii="Arial" w:eastAsia="Times New Roman" w:hAnsi="Arial" w:cs="Arial"/>
                <w:i/>
                <w:iCs/>
                <w:sz w:val="18"/>
                <w:szCs w:val="18"/>
                <w:lang w:eastAsia="en-US"/>
              </w:rPr>
            </w:pPr>
            <w:r w:rsidRPr="003A2F86">
              <w:rPr>
                <w:rFonts w:ascii="Arial" w:hAnsi="Arial" w:cs="Arial"/>
                <w:sz w:val="18"/>
                <w:szCs w:val="18"/>
              </w:rPr>
              <w:t>2012.</w:t>
            </w:r>
          </w:p>
        </w:tc>
        <w:tc>
          <w:tcPr>
            <w:tcW w:w="1294" w:type="dxa"/>
            <w:tcBorders>
              <w:top w:val="nil"/>
              <w:left w:val="nil"/>
              <w:bottom w:val="single" w:sz="8" w:space="0" w:color="000000"/>
              <w:right w:val="single" w:sz="8" w:space="0" w:color="000000"/>
            </w:tcBorders>
          </w:tcPr>
          <w:p w14:paraId="3E7B05E8" w14:textId="08FB5BA8" w:rsidR="000221EB" w:rsidRPr="003A2F86" w:rsidRDefault="000221EB" w:rsidP="000221EB">
            <w:pPr>
              <w:spacing w:after="0" w:line="240" w:lineRule="auto"/>
              <w:jc w:val="right"/>
              <w:rPr>
                <w:rFonts w:ascii="Arial" w:eastAsia="Times New Roman" w:hAnsi="Arial" w:cs="Arial"/>
                <w:i/>
                <w:iCs/>
                <w:sz w:val="18"/>
                <w:szCs w:val="18"/>
                <w:lang w:eastAsia="en-US"/>
              </w:rPr>
            </w:pPr>
            <w:r w:rsidRPr="003A2F86">
              <w:rPr>
                <w:rFonts w:ascii="Arial" w:hAnsi="Arial" w:cs="Arial"/>
                <w:sz w:val="18"/>
                <w:szCs w:val="18"/>
              </w:rPr>
              <w:t>11.175,29</w:t>
            </w:r>
          </w:p>
        </w:tc>
        <w:tc>
          <w:tcPr>
            <w:tcW w:w="11623" w:type="dxa"/>
            <w:tcBorders>
              <w:top w:val="nil"/>
              <w:left w:val="nil"/>
              <w:bottom w:val="single" w:sz="8" w:space="0" w:color="000000"/>
              <w:right w:val="single" w:sz="8" w:space="0" w:color="000000"/>
            </w:tcBorders>
          </w:tcPr>
          <w:p w14:paraId="109E6BAD" w14:textId="1B58C3A7" w:rsidR="000221EB" w:rsidRPr="003A2F86" w:rsidRDefault="000221EB" w:rsidP="000221EB">
            <w:pPr>
              <w:spacing w:after="0" w:line="240" w:lineRule="auto"/>
              <w:jc w:val="both"/>
              <w:rPr>
                <w:rFonts w:ascii="Arial" w:eastAsia="Times New Roman" w:hAnsi="Arial" w:cs="Arial"/>
                <w:sz w:val="18"/>
                <w:szCs w:val="18"/>
                <w:lang w:eastAsia="en-US"/>
              </w:rPr>
            </w:pPr>
            <w:r w:rsidRPr="003A2F86">
              <w:rPr>
                <w:rFonts w:ascii="Arial" w:hAnsi="Arial" w:cs="Arial"/>
                <w:sz w:val="18"/>
                <w:szCs w:val="18"/>
              </w:rPr>
              <w:t>(prva godina ostvarivanja ovih prihoda)</w:t>
            </w:r>
          </w:p>
        </w:tc>
      </w:tr>
      <w:tr w:rsidR="000221EB" w:rsidRPr="003A2F86" w14:paraId="7D559301" w14:textId="77777777" w:rsidTr="000221EB">
        <w:trPr>
          <w:jc w:val="center"/>
        </w:trPr>
        <w:tc>
          <w:tcPr>
            <w:tcW w:w="1129" w:type="dxa"/>
            <w:tcBorders>
              <w:top w:val="nil"/>
              <w:left w:val="single" w:sz="8" w:space="0" w:color="000000"/>
              <w:bottom w:val="single" w:sz="8" w:space="0" w:color="000000"/>
              <w:right w:val="single" w:sz="8" w:space="0" w:color="000000"/>
            </w:tcBorders>
          </w:tcPr>
          <w:p w14:paraId="0CBDA83F" w14:textId="0FA36343" w:rsidR="000221EB" w:rsidRPr="003A2F86" w:rsidRDefault="000221EB" w:rsidP="000221EB">
            <w:pPr>
              <w:spacing w:after="0" w:line="240" w:lineRule="auto"/>
              <w:jc w:val="center"/>
              <w:rPr>
                <w:rFonts w:ascii="Arial" w:eastAsia="Times New Roman" w:hAnsi="Arial" w:cs="Arial"/>
                <w:i/>
                <w:iCs/>
                <w:sz w:val="18"/>
                <w:szCs w:val="18"/>
                <w:lang w:eastAsia="en-US"/>
              </w:rPr>
            </w:pPr>
            <w:r w:rsidRPr="003A2F86">
              <w:rPr>
                <w:rFonts w:ascii="Arial" w:hAnsi="Arial" w:cs="Arial"/>
                <w:sz w:val="18"/>
                <w:szCs w:val="18"/>
              </w:rPr>
              <w:t>2013.</w:t>
            </w:r>
          </w:p>
        </w:tc>
        <w:tc>
          <w:tcPr>
            <w:tcW w:w="1294" w:type="dxa"/>
            <w:tcBorders>
              <w:top w:val="nil"/>
              <w:left w:val="nil"/>
              <w:bottom w:val="single" w:sz="8" w:space="0" w:color="000000"/>
              <w:right w:val="single" w:sz="8" w:space="0" w:color="000000"/>
            </w:tcBorders>
          </w:tcPr>
          <w:p w14:paraId="62EC35E0" w14:textId="188E9412" w:rsidR="000221EB" w:rsidRPr="003A2F86" w:rsidRDefault="000221EB" w:rsidP="000221EB">
            <w:pPr>
              <w:spacing w:after="0" w:line="240" w:lineRule="auto"/>
              <w:jc w:val="right"/>
              <w:rPr>
                <w:rFonts w:ascii="Arial" w:eastAsia="Times New Roman" w:hAnsi="Arial" w:cs="Arial"/>
                <w:i/>
                <w:iCs/>
                <w:sz w:val="18"/>
                <w:szCs w:val="18"/>
                <w:lang w:eastAsia="en-US"/>
              </w:rPr>
            </w:pPr>
            <w:r w:rsidRPr="003A2F86">
              <w:rPr>
                <w:rFonts w:ascii="Arial" w:hAnsi="Arial" w:cs="Arial"/>
                <w:sz w:val="18"/>
                <w:szCs w:val="18"/>
              </w:rPr>
              <w:t>30.641,43</w:t>
            </w:r>
          </w:p>
        </w:tc>
        <w:tc>
          <w:tcPr>
            <w:tcW w:w="11623" w:type="dxa"/>
            <w:tcBorders>
              <w:top w:val="nil"/>
              <w:left w:val="nil"/>
              <w:bottom w:val="single" w:sz="8" w:space="0" w:color="000000"/>
              <w:right w:val="single" w:sz="8" w:space="0" w:color="000000"/>
            </w:tcBorders>
          </w:tcPr>
          <w:p w14:paraId="1ADBCD09" w14:textId="34695A4D" w:rsidR="000221EB" w:rsidRPr="003A2F86" w:rsidRDefault="000221EB" w:rsidP="000221EB">
            <w:pPr>
              <w:spacing w:after="0" w:line="240" w:lineRule="auto"/>
              <w:jc w:val="both"/>
              <w:rPr>
                <w:rFonts w:ascii="Arial" w:eastAsia="Times New Roman" w:hAnsi="Arial" w:cs="Arial"/>
                <w:sz w:val="18"/>
                <w:szCs w:val="18"/>
                <w:lang w:eastAsia="en-US"/>
              </w:rPr>
            </w:pPr>
            <w:r w:rsidRPr="003A2F86">
              <w:rPr>
                <w:rFonts w:ascii="Arial" w:hAnsi="Arial" w:cs="Arial"/>
                <w:sz w:val="18"/>
                <w:szCs w:val="18"/>
              </w:rPr>
              <w:t>što je za 19.466,15 € ili 174,2% više u odnosu na prethodnu 2012. godinu</w:t>
            </w:r>
          </w:p>
        </w:tc>
      </w:tr>
      <w:tr w:rsidR="000221EB" w:rsidRPr="003A2F86" w14:paraId="5ED1AAD5" w14:textId="77777777" w:rsidTr="000221EB">
        <w:trPr>
          <w:jc w:val="center"/>
        </w:trPr>
        <w:tc>
          <w:tcPr>
            <w:tcW w:w="1129" w:type="dxa"/>
            <w:tcBorders>
              <w:top w:val="nil"/>
              <w:left w:val="single" w:sz="8" w:space="0" w:color="000000"/>
              <w:bottom w:val="single" w:sz="8" w:space="0" w:color="000000"/>
              <w:right w:val="single" w:sz="8" w:space="0" w:color="000000"/>
            </w:tcBorders>
          </w:tcPr>
          <w:p w14:paraId="56F58B2B" w14:textId="24934D5E" w:rsidR="000221EB" w:rsidRPr="003A2F86" w:rsidRDefault="000221EB" w:rsidP="000221EB">
            <w:pPr>
              <w:spacing w:after="0" w:line="240" w:lineRule="auto"/>
              <w:jc w:val="center"/>
              <w:rPr>
                <w:rFonts w:ascii="Arial" w:eastAsia="Times New Roman" w:hAnsi="Arial" w:cs="Arial"/>
                <w:i/>
                <w:iCs/>
                <w:sz w:val="18"/>
                <w:szCs w:val="18"/>
                <w:lang w:eastAsia="en-US"/>
              </w:rPr>
            </w:pPr>
            <w:r w:rsidRPr="003A2F86">
              <w:rPr>
                <w:rFonts w:ascii="Arial" w:hAnsi="Arial" w:cs="Arial"/>
                <w:sz w:val="18"/>
                <w:szCs w:val="18"/>
              </w:rPr>
              <w:t>2014.</w:t>
            </w:r>
          </w:p>
        </w:tc>
        <w:tc>
          <w:tcPr>
            <w:tcW w:w="1294" w:type="dxa"/>
            <w:tcBorders>
              <w:top w:val="nil"/>
              <w:left w:val="nil"/>
              <w:bottom w:val="single" w:sz="8" w:space="0" w:color="000000"/>
              <w:right w:val="single" w:sz="8" w:space="0" w:color="000000"/>
            </w:tcBorders>
          </w:tcPr>
          <w:p w14:paraId="24E8C990" w14:textId="5B6980F0" w:rsidR="000221EB" w:rsidRPr="003A2F86" w:rsidRDefault="000221EB" w:rsidP="000221EB">
            <w:pPr>
              <w:spacing w:after="0" w:line="240" w:lineRule="auto"/>
              <w:jc w:val="right"/>
              <w:rPr>
                <w:rFonts w:ascii="Arial" w:eastAsia="Times New Roman" w:hAnsi="Arial" w:cs="Arial"/>
                <w:i/>
                <w:iCs/>
                <w:sz w:val="18"/>
                <w:szCs w:val="18"/>
                <w:lang w:eastAsia="en-US"/>
              </w:rPr>
            </w:pPr>
            <w:r w:rsidRPr="003A2F86">
              <w:rPr>
                <w:rFonts w:ascii="Arial" w:hAnsi="Arial" w:cs="Arial"/>
                <w:sz w:val="18"/>
                <w:szCs w:val="18"/>
              </w:rPr>
              <w:t>37.601,28</w:t>
            </w:r>
          </w:p>
        </w:tc>
        <w:tc>
          <w:tcPr>
            <w:tcW w:w="11623" w:type="dxa"/>
            <w:tcBorders>
              <w:top w:val="nil"/>
              <w:left w:val="nil"/>
              <w:bottom w:val="single" w:sz="8" w:space="0" w:color="000000"/>
              <w:right w:val="single" w:sz="8" w:space="0" w:color="000000"/>
            </w:tcBorders>
          </w:tcPr>
          <w:p w14:paraId="11896418" w14:textId="664A5283" w:rsidR="000221EB" w:rsidRPr="003A2F86" w:rsidRDefault="000221EB" w:rsidP="000221EB">
            <w:pPr>
              <w:spacing w:after="0" w:line="240" w:lineRule="auto"/>
              <w:jc w:val="both"/>
              <w:rPr>
                <w:rFonts w:ascii="Arial" w:eastAsia="Times New Roman" w:hAnsi="Arial" w:cs="Arial"/>
                <w:sz w:val="18"/>
                <w:szCs w:val="18"/>
                <w:lang w:eastAsia="en-US"/>
              </w:rPr>
            </w:pPr>
            <w:r w:rsidRPr="003A2F86">
              <w:rPr>
                <w:rFonts w:ascii="Arial" w:hAnsi="Arial" w:cs="Arial"/>
                <w:sz w:val="18"/>
                <w:szCs w:val="18"/>
              </w:rPr>
              <w:t>što je za 6.959,85 €n ili 22,7% više u odnosu na prethodnu 2013. godinu</w:t>
            </w:r>
          </w:p>
        </w:tc>
      </w:tr>
      <w:tr w:rsidR="000221EB" w:rsidRPr="003A2F86" w14:paraId="5D63ABEA" w14:textId="77777777" w:rsidTr="000221EB">
        <w:trPr>
          <w:jc w:val="center"/>
        </w:trPr>
        <w:tc>
          <w:tcPr>
            <w:tcW w:w="1129" w:type="dxa"/>
            <w:tcBorders>
              <w:top w:val="nil"/>
              <w:left w:val="single" w:sz="8" w:space="0" w:color="000000"/>
              <w:bottom w:val="single" w:sz="8" w:space="0" w:color="000000"/>
              <w:right w:val="single" w:sz="8" w:space="0" w:color="000000"/>
            </w:tcBorders>
          </w:tcPr>
          <w:p w14:paraId="2C939D79" w14:textId="27C7FF56" w:rsidR="000221EB" w:rsidRPr="003A2F86" w:rsidRDefault="000221EB" w:rsidP="000221EB">
            <w:pPr>
              <w:spacing w:after="0" w:line="240" w:lineRule="auto"/>
              <w:jc w:val="center"/>
              <w:rPr>
                <w:rFonts w:ascii="Arial" w:eastAsia="Times New Roman" w:hAnsi="Arial" w:cs="Arial"/>
                <w:i/>
                <w:iCs/>
                <w:sz w:val="18"/>
                <w:szCs w:val="18"/>
                <w:lang w:eastAsia="en-US"/>
              </w:rPr>
            </w:pPr>
            <w:r w:rsidRPr="003A2F86">
              <w:rPr>
                <w:rFonts w:ascii="Arial" w:hAnsi="Arial" w:cs="Arial"/>
                <w:sz w:val="18"/>
                <w:szCs w:val="18"/>
              </w:rPr>
              <w:t>2015.</w:t>
            </w:r>
          </w:p>
        </w:tc>
        <w:tc>
          <w:tcPr>
            <w:tcW w:w="1294" w:type="dxa"/>
            <w:tcBorders>
              <w:top w:val="nil"/>
              <w:left w:val="nil"/>
              <w:bottom w:val="single" w:sz="8" w:space="0" w:color="000000"/>
              <w:right w:val="single" w:sz="8" w:space="0" w:color="000000"/>
            </w:tcBorders>
          </w:tcPr>
          <w:p w14:paraId="360CFA9B" w14:textId="69B657D1" w:rsidR="000221EB" w:rsidRPr="003A2F86" w:rsidRDefault="000221EB" w:rsidP="000221EB">
            <w:pPr>
              <w:spacing w:after="0" w:line="240" w:lineRule="auto"/>
              <w:jc w:val="right"/>
              <w:rPr>
                <w:rFonts w:ascii="Arial" w:eastAsia="Times New Roman" w:hAnsi="Arial" w:cs="Arial"/>
                <w:i/>
                <w:iCs/>
                <w:sz w:val="18"/>
                <w:szCs w:val="18"/>
                <w:lang w:eastAsia="en-US"/>
              </w:rPr>
            </w:pPr>
            <w:r w:rsidRPr="003A2F86">
              <w:rPr>
                <w:rFonts w:ascii="Arial" w:hAnsi="Arial" w:cs="Arial"/>
                <w:sz w:val="18"/>
                <w:szCs w:val="18"/>
              </w:rPr>
              <w:t>17.442,39</w:t>
            </w:r>
          </w:p>
        </w:tc>
        <w:tc>
          <w:tcPr>
            <w:tcW w:w="11623" w:type="dxa"/>
            <w:tcBorders>
              <w:top w:val="nil"/>
              <w:left w:val="nil"/>
              <w:bottom w:val="single" w:sz="8" w:space="0" w:color="000000"/>
              <w:right w:val="single" w:sz="8" w:space="0" w:color="000000"/>
            </w:tcBorders>
          </w:tcPr>
          <w:p w14:paraId="2AF6E95F" w14:textId="12644334" w:rsidR="000221EB" w:rsidRPr="003A2F86" w:rsidRDefault="000221EB" w:rsidP="000221EB">
            <w:pPr>
              <w:spacing w:after="0" w:line="240" w:lineRule="auto"/>
              <w:jc w:val="both"/>
              <w:rPr>
                <w:rFonts w:ascii="Arial" w:eastAsia="Times New Roman" w:hAnsi="Arial" w:cs="Arial"/>
                <w:sz w:val="18"/>
                <w:szCs w:val="18"/>
                <w:lang w:eastAsia="en-US"/>
              </w:rPr>
            </w:pPr>
            <w:r w:rsidRPr="003A2F86">
              <w:rPr>
                <w:rFonts w:ascii="Arial" w:hAnsi="Arial" w:cs="Arial"/>
                <w:sz w:val="18"/>
                <w:szCs w:val="18"/>
              </w:rPr>
              <w:t>što je za 20.158,89 € ili 46,4% manje u odnosu na prethodnu 2014. godinu</w:t>
            </w:r>
          </w:p>
        </w:tc>
      </w:tr>
      <w:tr w:rsidR="000221EB" w:rsidRPr="003A2F86" w14:paraId="31F42B2A" w14:textId="77777777" w:rsidTr="000221EB">
        <w:trPr>
          <w:trHeight w:val="267"/>
          <w:jc w:val="center"/>
        </w:trPr>
        <w:tc>
          <w:tcPr>
            <w:tcW w:w="1129" w:type="dxa"/>
            <w:tcBorders>
              <w:top w:val="nil"/>
              <w:left w:val="single" w:sz="8" w:space="0" w:color="000000"/>
              <w:bottom w:val="single" w:sz="8" w:space="0" w:color="000000"/>
              <w:right w:val="single" w:sz="8" w:space="0" w:color="000000"/>
            </w:tcBorders>
          </w:tcPr>
          <w:p w14:paraId="53C71802" w14:textId="6F7048D1" w:rsidR="000221EB" w:rsidRPr="003A2F86" w:rsidRDefault="000221EB" w:rsidP="000221EB">
            <w:pPr>
              <w:spacing w:after="0" w:line="240" w:lineRule="auto"/>
              <w:jc w:val="center"/>
              <w:rPr>
                <w:rFonts w:ascii="Arial" w:eastAsia="Times New Roman" w:hAnsi="Arial" w:cs="Arial"/>
                <w:i/>
                <w:iCs/>
                <w:sz w:val="18"/>
                <w:szCs w:val="18"/>
                <w:lang w:eastAsia="en-US"/>
              </w:rPr>
            </w:pPr>
            <w:r w:rsidRPr="003A2F86">
              <w:rPr>
                <w:rFonts w:ascii="Arial" w:hAnsi="Arial" w:cs="Arial"/>
                <w:sz w:val="18"/>
                <w:szCs w:val="18"/>
              </w:rPr>
              <w:t>2016.</w:t>
            </w:r>
          </w:p>
        </w:tc>
        <w:tc>
          <w:tcPr>
            <w:tcW w:w="1294" w:type="dxa"/>
            <w:tcBorders>
              <w:top w:val="nil"/>
              <w:left w:val="nil"/>
              <w:bottom w:val="single" w:sz="8" w:space="0" w:color="000000"/>
              <w:right w:val="single" w:sz="8" w:space="0" w:color="000000"/>
            </w:tcBorders>
          </w:tcPr>
          <w:p w14:paraId="17F0E310" w14:textId="2A96D683" w:rsidR="000221EB" w:rsidRPr="003A2F86" w:rsidRDefault="000221EB" w:rsidP="000221EB">
            <w:pPr>
              <w:spacing w:after="0" w:line="240" w:lineRule="auto"/>
              <w:jc w:val="right"/>
              <w:rPr>
                <w:rFonts w:ascii="Arial" w:eastAsia="Times New Roman" w:hAnsi="Arial" w:cs="Arial"/>
                <w:i/>
                <w:iCs/>
                <w:sz w:val="18"/>
                <w:szCs w:val="18"/>
                <w:lang w:eastAsia="en-US"/>
              </w:rPr>
            </w:pPr>
            <w:r w:rsidRPr="003A2F86">
              <w:rPr>
                <w:rFonts w:ascii="Arial" w:hAnsi="Arial" w:cs="Arial"/>
                <w:sz w:val="18"/>
                <w:szCs w:val="18"/>
              </w:rPr>
              <w:t>17.938,57</w:t>
            </w:r>
          </w:p>
        </w:tc>
        <w:tc>
          <w:tcPr>
            <w:tcW w:w="11623" w:type="dxa"/>
            <w:tcBorders>
              <w:top w:val="nil"/>
              <w:left w:val="nil"/>
              <w:bottom w:val="single" w:sz="8" w:space="0" w:color="000000"/>
              <w:right w:val="single" w:sz="8" w:space="0" w:color="000000"/>
            </w:tcBorders>
          </w:tcPr>
          <w:p w14:paraId="0F43AA97" w14:textId="3D86EEEB" w:rsidR="000221EB" w:rsidRPr="003A2F86" w:rsidRDefault="000221EB" w:rsidP="000221EB">
            <w:pPr>
              <w:spacing w:after="0" w:line="240" w:lineRule="auto"/>
              <w:jc w:val="both"/>
              <w:rPr>
                <w:rFonts w:ascii="Arial" w:eastAsia="Times New Roman" w:hAnsi="Arial" w:cs="Arial"/>
                <w:sz w:val="18"/>
                <w:szCs w:val="18"/>
                <w:lang w:eastAsia="en-US"/>
              </w:rPr>
            </w:pPr>
            <w:r w:rsidRPr="003A2F86">
              <w:rPr>
                <w:rFonts w:ascii="Arial" w:hAnsi="Arial" w:cs="Arial"/>
                <w:sz w:val="18"/>
                <w:szCs w:val="18"/>
              </w:rPr>
              <w:t>što je za 496,17 € ili 2,8% više u odnosu na izvještajno razdoblje prethodne 2015. godine</w:t>
            </w:r>
          </w:p>
        </w:tc>
      </w:tr>
      <w:tr w:rsidR="000221EB" w:rsidRPr="003A2F86" w14:paraId="3D637D8B" w14:textId="77777777" w:rsidTr="000221EB">
        <w:trPr>
          <w:jc w:val="center"/>
        </w:trPr>
        <w:tc>
          <w:tcPr>
            <w:tcW w:w="1129" w:type="dxa"/>
            <w:tcBorders>
              <w:top w:val="nil"/>
              <w:left w:val="single" w:sz="8" w:space="0" w:color="000000"/>
              <w:bottom w:val="single" w:sz="8" w:space="0" w:color="000000"/>
              <w:right w:val="single" w:sz="8" w:space="0" w:color="000000"/>
            </w:tcBorders>
          </w:tcPr>
          <w:p w14:paraId="7F28A898" w14:textId="1DD7675C" w:rsidR="000221EB" w:rsidRPr="003A2F86" w:rsidRDefault="000221EB" w:rsidP="000221EB">
            <w:pPr>
              <w:spacing w:after="0" w:line="240" w:lineRule="auto"/>
              <w:jc w:val="center"/>
              <w:rPr>
                <w:rFonts w:ascii="Arial" w:eastAsia="Times New Roman" w:hAnsi="Arial" w:cs="Arial"/>
                <w:i/>
                <w:iCs/>
                <w:sz w:val="18"/>
                <w:szCs w:val="18"/>
                <w:lang w:eastAsia="en-US"/>
              </w:rPr>
            </w:pPr>
            <w:r w:rsidRPr="003A2F86">
              <w:rPr>
                <w:rFonts w:ascii="Arial" w:hAnsi="Arial" w:cs="Arial"/>
                <w:sz w:val="18"/>
                <w:szCs w:val="18"/>
              </w:rPr>
              <w:t>2017.</w:t>
            </w:r>
          </w:p>
        </w:tc>
        <w:tc>
          <w:tcPr>
            <w:tcW w:w="1294" w:type="dxa"/>
            <w:tcBorders>
              <w:top w:val="nil"/>
              <w:left w:val="nil"/>
              <w:bottom w:val="single" w:sz="8" w:space="0" w:color="000000"/>
              <w:right w:val="single" w:sz="8" w:space="0" w:color="000000"/>
            </w:tcBorders>
          </w:tcPr>
          <w:p w14:paraId="55D8D437" w14:textId="31D123AD" w:rsidR="000221EB" w:rsidRPr="003A2F86" w:rsidRDefault="000221EB" w:rsidP="000221EB">
            <w:pPr>
              <w:spacing w:after="0" w:line="240" w:lineRule="auto"/>
              <w:jc w:val="right"/>
              <w:rPr>
                <w:rFonts w:ascii="Arial" w:eastAsia="Times New Roman" w:hAnsi="Arial" w:cs="Arial"/>
                <w:i/>
                <w:sz w:val="18"/>
                <w:szCs w:val="18"/>
              </w:rPr>
            </w:pPr>
            <w:r w:rsidRPr="003A2F86">
              <w:rPr>
                <w:rFonts w:ascii="Arial" w:hAnsi="Arial" w:cs="Arial"/>
                <w:sz w:val="18"/>
                <w:szCs w:val="18"/>
              </w:rPr>
              <w:t>10.282,63</w:t>
            </w:r>
          </w:p>
        </w:tc>
        <w:tc>
          <w:tcPr>
            <w:tcW w:w="11623" w:type="dxa"/>
            <w:tcBorders>
              <w:top w:val="nil"/>
              <w:left w:val="nil"/>
              <w:bottom w:val="single" w:sz="8" w:space="0" w:color="000000"/>
              <w:right w:val="single" w:sz="8" w:space="0" w:color="000000"/>
            </w:tcBorders>
          </w:tcPr>
          <w:p w14:paraId="7A522BB3" w14:textId="56514CC9" w:rsidR="000221EB" w:rsidRPr="003A2F86" w:rsidRDefault="000221EB" w:rsidP="000221EB">
            <w:pPr>
              <w:spacing w:after="0" w:line="240" w:lineRule="auto"/>
              <w:jc w:val="both"/>
              <w:rPr>
                <w:rFonts w:ascii="Arial" w:eastAsia="Times New Roman" w:hAnsi="Arial" w:cs="Arial"/>
                <w:sz w:val="18"/>
                <w:szCs w:val="18"/>
                <w:lang w:eastAsia="en-US"/>
              </w:rPr>
            </w:pPr>
            <w:r w:rsidRPr="003A2F86">
              <w:rPr>
                <w:rFonts w:ascii="Arial" w:hAnsi="Arial" w:cs="Arial"/>
                <w:sz w:val="18"/>
                <w:szCs w:val="18"/>
              </w:rPr>
              <w:t>što je za 7.655,94 € ili 42,7% manje u odnosu na izvještajno razdoblje prethodne godine (u prvom polugodištu ovi prihodi bili 7.326,10 €).</w:t>
            </w:r>
          </w:p>
        </w:tc>
      </w:tr>
      <w:tr w:rsidR="000221EB" w:rsidRPr="003A2F86" w14:paraId="1DD1F6FE" w14:textId="77777777" w:rsidTr="000221EB">
        <w:trPr>
          <w:jc w:val="center"/>
        </w:trPr>
        <w:tc>
          <w:tcPr>
            <w:tcW w:w="1129" w:type="dxa"/>
            <w:tcBorders>
              <w:top w:val="nil"/>
              <w:left w:val="single" w:sz="8" w:space="0" w:color="000000"/>
              <w:bottom w:val="single" w:sz="8" w:space="0" w:color="000000"/>
              <w:right w:val="single" w:sz="8" w:space="0" w:color="000000"/>
            </w:tcBorders>
          </w:tcPr>
          <w:p w14:paraId="2CD41FBB" w14:textId="5D61A15D" w:rsidR="000221EB" w:rsidRPr="003A2F86" w:rsidRDefault="000221EB" w:rsidP="000221EB">
            <w:pPr>
              <w:spacing w:after="0" w:line="240" w:lineRule="auto"/>
              <w:jc w:val="center"/>
              <w:rPr>
                <w:rFonts w:ascii="Arial" w:eastAsia="Times New Roman" w:hAnsi="Arial" w:cs="Arial"/>
                <w:i/>
                <w:iCs/>
                <w:sz w:val="18"/>
                <w:szCs w:val="18"/>
                <w:lang w:eastAsia="en-US"/>
              </w:rPr>
            </w:pPr>
            <w:r w:rsidRPr="003A2F86">
              <w:rPr>
                <w:rFonts w:ascii="Arial" w:hAnsi="Arial" w:cs="Arial"/>
                <w:sz w:val="18"/>
                <w:szCs w:val="18"/>
              </w:rPr>
              <w:t>2018.</w:t>
            </w:r>
          </w:p>
        </w:tc>
        <w:tc>
          <w:tcPr>
            <w:tcW w:w="1294" w:type="dxa"/>
            <w:tcBorders>
              <w:top w:val="nil"/>
              <w:left w:val="nil"/>
              <w:bottom w:val="single" w:sz="8" w:space="0" w:color="000000"/>
              <w:right w:val="single" w:sz="8" w:space="0" w:color="000000"/>
            </w:tcBorders>
          </w:tcPr>
          <w:p w14:paraId="60D2016E" w14:textId="73AA293E" w:rsidR="000221EB" w:rsidRPr="003A2F86" w:rsidRDefault="000221EB" w:rsidP="000221EB">
            <w:pPr>
              <w:spacing w:after="0" w:line="240" w:lineRule="auto"/>
              <w:jc w:val="right"/>
              <w:rPr>
                <w:rFonts w:ascii="Arial" w:eastAsia="Times New Roman" w:hAnsi="Arial" w:cs="Arial"/>
                <w:i/>
                <w:sz w:val="18"/>
                <w:szCs w:val="18"/>
              </w:rPr>
            </w:pPr>
            <w:r w:rsidRPr="003A2F86">
              <w:rPr>
                <w:rFonts w:ascii="Arial" w:hAnsi="Arial" w:cs="Arial"/>
                <w:sz w:val="18"/>
                <w:szCs w:val="18"/>
              </w:rPr>
              <w:t>6.959,26</w:t>
            </w:r>
          </w:p>
        </w:tc>
        <w:tc>
          <w:tcPr>
            <w:tcW w:w="11623" w:type="dxa"/>
            <w:tcBorders>
              <w:top w:val="nil"/>
              <w:left w:val="nil"/>
              <w:bottom w:val="single" w:sz="8" w:space="0" w:color="000000"/>
              <w:right w:val="single" w:sz="8" w:space="0" w:color="000000"/>
            </w:tcBorders>
          </w:tcPr>
          <w:p w14:paraId="738DB126" w14:textId="44BBB6C1" w:rsidR="000221EB" w:rsidRPr="003A2F86" w:rsidRDefault="000221EB" w:rsidP="000221EB">
            <w:pPr>
              <w:spacing w:after="0" w:line="240" w:lineRule="auto"/>
              <w:jc w:val="both"/>
              <w:rPr>
                <w:rFonts w:ascii="Arial" w:eastAsia="Times New Roman" w:hAnsi="Arial" w:cs="Arial"/>
                <w:sz w:val="18"/>
                <w:szCs w:val="18"/>
                <w:lang w:eastAsia="en-US"/>
              </w:rPr>
            </w:pPr>
            <w:r w:rsidRPr="003A2F86">
              <w:rPr>
                <w:rFonts w:ascii="Arial" w:hAnsi="Arial" w:cs="Arial"/>
                <w:sz w:val="18"/>
                <w:szCs w:val="18"/>
              </w:rPr>
              <w:t>što je za 3.323,37 € ili 32,3 % manje u odnosu na izvještajno razdoblje prethodne godine (u prvom polugodištu ovi prihodi bili 2.964,78 €).</w:t>
            </w:r>
          </w:p>
        </w:tc>
      </w:tr>
      <w:tr w:rsidR="000221EB" w:rsidRPr="003A2F86" w14:paraId="426548EC" w14:textId="77777777" w:rsidTr="000221EB">
        <w:trPr>
          <w:jc w:val="center"/>
        </w:trPr>
        <w:tc>
          <w:tcPr>
            <w:tcW w:w="1129" w:type="dxa"/>
            <w:tcBorders>
              <w:top w:val="nil"/>
              <w:left w:val="single" w:sz="8" w:space="0" w:color="000000"/>
              <w:bottom w:val="single" w:sz="8" w:space="0" w:color="000000"/>
              <w:right w:val="single" w:sz="8" w:space="0" w:color="000000"/>
            </w:tcBorders>
          </w:tcPr>
          <w:p w14:paraId="1AFD2F3D" w14:textId="03BAB50C" w:rsidR="000221EB" w:rsidRPr="003A2F86" w:rsidRDefault="000221EB" w:rsidP="000221EB">
            <w:pPr>
              <w:spacing w:after="0" w:line="240" w:lineRule="auto"/>
              <w:jc w:val="center"/>
              <w:rPr>
                <w:rFonts w:ascii="Arial" w:eastAsia="Times New Roman" w:hAnsi="Arial" w:cs="Arial"/>
                <w:i/>
                <w:iCs/>
                <w:sz w:val="18"/>
                <w:szCs w:val="18"/>
                <w:lang w:eastAsia="en-US"/>
              </w:rPr>
            </w:pPr>
            <w:r w:rsidRPr="003A2F86">
              <w:rPr>
                <w:rFonts w:ascii="Arial" w:hAnsi="Arial" w:cs="Arial"/>
                <w:sz w:val="18"/>
                <w:szCs w:val="18"/>
              </w:rPr>
              <w:t>2019.</w:t>
            </w:r>
          </w:p>
        </w:tc>
        <w:tc>
          <w:tcPr>
            <w:tcW w:w="1294" w:type="dxa"/>
            <w:tcBorders>
              <w:top w:val="nil"/>
              <w:left w:val="nil"/>
              <w:bottom w:val="single" w:sz="8" w:space="0" w:color="000000"/>
              <w:right w:val="single" w:sz="8" w:space="0" w:color="000000"/>
            </w:tcBorders>
          </w:tcPr>
          <w:p w14:paraId="7E09FD24" w14:textId="691385ED" w:rsidR="000221EB" w:rsidRPr="003A2F86" w:rsidRDefault="000221EB" w:rsidP="000221EB">
            <w:pPr>
              <w:spacing w:after="0" w:line="240" w:lineRule="auto"/>
              <w:jc w:val="right"/>
              <w:rPr>
                <w:rFonts w:ascii="Arial" w:eastAsia="Times New Roman" w:hAnsi="Arial" w:cs="Arial"/>
                <w:i/>
                <w:iCs/>
                <w:sz w:val="18"/>
                <w:szCs w:val="18"/>
                <w:lang w:eastAsia="en-US"/>
              </w:rPr>
            </w:pPr>
            <w:r w:rsidRPr="003A2F86">
              <w:rPr>
                <w:rFonts w:ascii="Arial" w:hAnsi="Arial" w:cs="Arial"/>
                <w:sz w:val="18"/>
                <w:szCs w:val="18"/>
              </w:rPr>
              <w:t>12.117,51</w:t>
            </w:r>
          </w:p>
        </w:tc>
        <w:tc>
          <w:tcPr>
            <w:tcW w:w="11623" w:type="dxa"/>
            <w:tcBorders>
              <w:top w:val="nil"/>
              <w:left w:val="nil"/>
              <w:bottom w:val="single" w:sz="8" w:space="0" w:color="000000"/>
              <w:right w:val="single" w:sz="8" w:space="0" w:color="000000"/>
            </w:tcBorders>
          </w:tcPr>
          <w:p w14:paraId="604140F1" w14:textId="50EF1E03" w:rsidR="000221EB" w:rsidRPr="003A2F86" w:rsidRDefault="000221EB" w:rsidP="000221EB">
            <w:pPr>
              <w:spacing w:after="0" w:line="240" w:lineRule="auto"/>
              <w:jc w:val="both"/>
              <w:rPr>
                <w:rFonts w:ascii="Arial" w:eastAsia="Times New Roman" w:hAnsi="Arial" w:cs="Arial"/>
                <w:sz w:val="18"/>
                <w:szCs w:val="18"/>
                <w:lang w:eastAsia="en-US"/>
              </w:rPr>
            </w:pPr>
            <w:r w:rsidRPr="003A2F86">
              <w:rPr>
                <w:rFonts w:ascii="Arial" w:hAnsi="Arial" w:cs="Arial"/>
                <w:sz w:val="18"/>
                <w:szCs w:val="18"/>
              </w:rPr>
              <w:t>što je za 5.158,25 € ili 74,3 % više u odnosu na izvještajno razdoblje prethodne 2018. g.(u prvom polugodištu ovi prihodi bili 8.106,92 €).</w:t>
            </w:r>
          </w:p>
        </w:tc>
      </w:tr>
      <w:tr w:rsidR="000221EB" w:rsidRPr="003A2F86" w14:paraId="1BC49FB0" w14:textId="77777777" w:rsidTr="000221EB">
        <w:trPr>
          <w:jc w:val="center"/>
        </w:trPr>
        <w:tc>
          <w:tcPr>
            <w:tcW w:w="1129" w:type="dxa"/>
            <w:tcBorders>
              <w:top w:val="nil"/>
              <w:left w:val="single" w:sz="8" w:space="0" w:color="000000"/>
              <w:bottom w:val="single" w:sz="8" w:space="0" w:color="000000"/>
              <w:right w:val="single" w:sz="8" w:space="0" w:color="000000"/>
            </w:tcBorders>
          </w:tcPr>
          <w:p w14:paraId="42AB6ABD" w14:textId="5D7CB9CA" w:rsidR="000221EB" w:rsidRPr="003A2F86" w:rsidRDefault="000221EB" w:rsidP="000221EB">
            <w:pPr>
              <w:spacing w:after="0" w:line="240" w:lineRule="auto"/>
              <w:jc w:val="center"/>
              <w:rPr>
                <w:rFonts w:ascii="Arial" w:eastAsia="Times New Roman" w:hAnsi="Arial" w:cs="Arial"/>
                <w:iCs/>
                <w:sz w:val="18"/>
                <w:szCs w:val="18"/>
                <w:lang w:eastAsia="en-US"/>
              </w:rPr>
            </w:pPr>
            <w:r w:rsidRPr="003A2F86">
              <w:rPr>
                <w:rFonts w:ascii="Arial" w:hAnsi="Arial" w:cs="Arial"/>
                <w:sz w:val="18"/>
                <w:szCs w:val="18"/>
              </w:rPr>
              <w:t xml:space="preserve"> 2020.</w:t>
            </w:r>
          </w:p>
        </w:tc>
        <w:tc>
          <w:tcPr>
            <w:tcW w:w="1294" w:type="dxa"/>
            <w:tcBorders>
              <w:top w:val="nil"/>
              <w:left w:val="nil"/>
              <w:bottom w:val="single" w:sz="8" w:space="0" w:color="000000"/>
              <w:right w:val="single" w:sz="8" w:space="0" w:color="000000"/>
            </w:tcBorders>
          </w:tcPr>
          <w:p w14:paraId="452AA8CE" w14:textId="64AD99D0" w:rsidR="000221EB" w:rsidRPr="003A2F86" w:rsidRDefault="000221EB" w:rsidP="000221EB">
            <w:pPr>
              <w:spacing w:after="0" w:line="240" w:lineRule="auto"/>
              <w:jc w:val="right"/>
              <w:rPr>
                <w:rFonts w:ascii="Arial" w:eastAsia="Times New Roman" w:hAnsi="Arial" w:cs="Arial"/>
                <w:sz w:val="18"/>
                <w:szCs w:val="18"/>
              </w:rPr>
            </w:pPr>
            <w:r w:rsidRPr="003A2F86">
              <w:rPr>
                <w:rFonts w:ascii="Arial" w:hAnsi="Arial" w:cs="Arial"/>
                <w:sz w:val="18"/>
                <w:szCs w:val="18"/>
              </w:rPr>
              <w:t>4.760,84</w:t>
            </w:r>
          </w:p>
        </w:tc>
        <w:tc>
          <w:tcPr>
            <w:tcW w:w="11623" w:type="dxa"/>
            <w:tcBorders>
              <w:top w:val="nil"/>
              <w:left w:val="nil"/>
              <w:bottom w:val="single" w:sz="8" w:space="0" w:color="000000"/>
              <w:right w:val="single" w:sz="8" w:space="0" w:color="000000"/>
            </w:tcBorders>
          </w:tcPr>
          <w:p w14:paraId="109AC001" w14:textId="62C09491" w:rsidR="000221EB" w:rsidRPr="003A2F86" w:rsidRDefault="000221EB" w:rsidP="000221EB">
            <w:pPr>
              <w:spacing w:after="0" w:line="240" w:lineRule="auto"/>
              <w:jc w:val="both"/>
              <w:rPr>
                <w:rFonts w:ascii="Arial" w:eastAsia="Times New Roman" w:hAnsi="Arial" w:cs="Arial"/>
                <w:iCs/>
                <w:sz w:val="18"/>
                <w:szCs w:val="18"/>
              </w:rPr>
            </w:pPr>
            <w:r w:rsidRPr="003A2F86">
              <w:rPr>
                <w:rFonts w:ascii="Arial" w:hAnsi="Arial" w:cs="Arial"/>
                <w:sz w:val="18"/>
                <w:szCs w:val="18"/>
              </w:rPr>
              <w:t>što je za 7.356,67 € ili 60,7% manje u odnosu na izvještajno razdoblje prethodne 2019. g. (U prvom polugodištu ovi prihodi bili 1.914,92 €).</w:t>
            </w:r>
          </w:p>
        </w:tc>
      </w:tr>
      <w:tr w:rsidR="000221EB" w:rsidRPr="003A2F86" w14:paraId="5780BDE7" w14:textId="77777777" w:rsidTr="000221EB">
        <w:trPr>
          <w:jc w:val="center"/>
        </w:trPr>
        <w:tc>
          <w:tcPr>
            <w:tcW w:w="1129" w:type="dxa"/>
            <w:tcBorders>
              <w:top w:val="nil"/>
              <w:left w:val="single" w:sz="8" w:space="0" w:color="000000"/>
              <w:bottom w:val="single" w:sz="8" w:space="0" w:color="000000"/>
              <w:right w:val="single" w:sz="8" w:space="0" w:color="000000"/>
            </w:tcBorders>
          </w:tcPr>
          <w:p w14:paraId="31CFBE73" w14:textId="3ECF6735" w:rsidR="000221EB" w:rsidRPr="003A2F86" w:rsidRDefault="000221EB" w:rsidP="000221EB">
            <w:pPr>
              <w:spacing w:after="0" w:line="240" w:lineRule="auto"/>
              <w:jc w:val="center"/>
              <w:rPr>
                <w:rFonts w:ascii="Arial" w:eastAsia="Times New Roman" w:hAnsi="Arial" w:cs="Arial"/>
                <w:i/>
                <w:iCs/>
                <w:sz w:val="18"/>
                <w:szCs w:val="18"/>
                <w:lang w:eastAsia="en-US"/>
              </w:rPr>
            </w:pPr>
            <w:r w:rsidRPr="003A2F86">
              <w:rPr>
                <w:rFonts w:ascii="Arial" w:hAnsi="Arial" w:cs="Arial"/>
                <w:sz w:val="18"/>
                <w:szCs w:val="18"/>
              </w:rPr>
              <w:t>2021.</w:t>
            </w:r>
          </w:p>
        </w:tc>
        <w:tc>
          <w:tcPr>
            <w:tcW w:w="1294" w:type="dxa"/>
            <w:tcBorders>
              <w:top w:val="nil"/>
              <w:left w:val="nil"/>
              <w:bottom w:val="single" w:sz="8" w:space="0" w:color="000000"/>
              <w:right w:val="single" w:sz="8" w:space="0" w:color="000000"/>
            </w:tcBorders>
          </w:tcPr>
          <w:p w14:paraId="09CA0C8F" w14:textId="4F38D8AF" w:rsidR="000221EB" w:rsidRPr="003A2F86" w:rsidRDefault="000221EB" w:rsidP="000221EB">
            <w:pPr>
              <w:spacing w:after="0" w:line="240" w:lineRule="auto"/>
              <w:jc w:val="right"/>
              <w:rPr>
                <w:rFonts w:ascii="Arial" w:eastAsia="Times New Roman" w:hAnsi="Arial" w:cs="Arial"/>
                <w:sz w:val="18"/>
                <w:szCs w:val="18"/>
              </w:rPr>
            </w:pPr>
            <w:r w:rsidRPr="003A2F86">
              <w:rPr>
                <w:rFonts w:ascii="Arial" w:hAnsi="Arial" w:cs="Arial"/>
                <w:sz w:val="18"/>
                <w:szCs w:val="18"/>
              </w:rPr>
              <w:t>3.862,95</w:t>
            </w:r>
          </w:p>
        </w:tc>
        <w:tc>
          <w:tcPr>
            <w:tcW w:w="11623" w:type="dxa"/>
            <w:tcBorders>
              <w:top w:val="nil"/>
              <w:left w:val="nil"/>
              <w:bottom w:val="single" w:sz="8" w:space="0" w:color="000000"/>
              <w:right w:val="single" w:sz="8" w:space="0" w:color="000000"/>
            </w:tcBorders>
          </w:tcPr>
          <w:p w14:paraId="27508811" w14:textId="12E6E5CC" w:rsidR="000221EB" w:rsidRPr="003A2F86" w:rsidRDefault="000221EB" w:rsidP="000221EB">
            <w:pPr>
              <w:spacing w:after="0" w:line="240" w:lineRule="auto"/>
              <w:jc w:val="both"/>
              <w:rPr>
                <w:rFonts w:ascii="Arial" w:eastAsia="Times New Roman" w:hAnsi="Arial" w:cs="Arial"/>
                <w:iCs/>
                <w:sz w:val="18"/>
                <w:szCs w:val="18"/>
              </w:rPr>
            </w:pPr>
            <w:r w:rsidRPr="003A2F86">
              <w:rPr>
                <w:rFonts w:ascii="Arial" w:hAnsi="Arial" w:cs="Arial"/>
                <w:sz w:val="18"/>
                <w:szCs w:val="18"/>
              </w:rPr>
              <w:t>što je za 897,90 € ili 18,7% manje u odnosu na izvještajno razdoblje prethodne 2020. g. (U prvom polugodištu ovi prihodi bili 1.777,90 €).</w:t>
            </w:r>
          </w:p>
        </w:tc>
      </w:tr>
      <w:tr w:rsidR="000221EB" w:rsidRPr="003A2F86" w14:paraId="06E09CBA" w14:textId="77777777" w:rsidTr="000221EB">
        <w:trPr>
          <w:jc w:val="center"/>
        </w:trPr>
        <w:tc>
          <w:tcPr>
            <w:tcW w:w="1129" w:type="dxa"/>
            <w:tcBorders>
              <w:top w:val="nil"/>
              <w:left w:val="single" w:sz="8" w:space="0" w:color="000000"/>
              <w:bottom w:val="single" w:sz="8" w:space="0" w:color="000000"/>
              <w:right w:val="single" w:sz="8" w:space="0" w:color="000000"/>
            </w:tcBorders>
          </w:tcPr>
          <w:p w14:paraId="52E83EC1" w14:textId="5DADBB03" w:rsidR="000221EB" w:rsidRPr="003A2F86" w:rsidRDefault="000221EB" w:rsidP="000221EB">
            <w:pPr>
              <w:spacing w:after="0" w:line="240" w:lineRule="auto"/>
              <w:jc w:val="center"/>
              <w:rPr>
                <w:rFonts w:ascii="Arial" w:hAnsi="Arial" w:cs="Arial"/>
                <w:sz w:val="18"/>
                <w:szCs w:val="18"/>
              </w:rPr>
            </w:pPr>
            <w:r w:rsidRPr="003A2F86">
              <w:rPr>
                <w:rFonts w:ascii="Arial" w:hAnsi="Arial" w:cs="Arial"/>
                <w:sz w:val="18"/>
                <w:szCs w:val="18"/>
              </w:rPr>
              <w:t>2022.</w:t>
            </w:r>
          </w:p>
        </w:tc>
        <w:tc>
          <w:tcPr>
            <w:tcW w:w="1294" w:type="dxa"/>
            <w:tcBorders>
              <w:top w:val="nil"/>
              <w:left w:val="nil"/>
              <w:bottom w:val="single" w:sz="8" w:space="0" w:color="000000"/>
              <w:right w:val="single" w:sz="8" w:space="0" w:color="000000"/>
            </w:tcBorders>
          </w:tcPr>
          <w:p w14:paraId="32BC576B" w14:textId="3DF1E910" w:rsidR="000221EB" w:rsidRPr="003A2F86" w:rsidRDefault="000221EB" w:rsidP="000221EB">
            <w:pPr>
              <w:spacing w:after="0" w:line="240" w:lineRule="auto"/>
              <w:jc w:val="right"/>
              <w:rPr>
                <w:rFonts w:ascii="Arial" w:hAnsi="Arial" w:cs="Arial"/>
                <w:sz w:val="18"/>
                <w:szCs w:val="18"/>
              </w:rPr>
            </w:pPr>
            <w:r w:rsidRPr="003A2F86">
              <w:rPr>
                <w:rFonts w:ascii="Arial" w:hAnsi="Arial" w:cs="Arial"/>
                <w:sz w:val="18"/>
                <w:szCs w:val="18"/>
              </w:rPr>
              <w:t>3.927,24</w:t>
            </w:r>
          </w:p>
        </w:tc>
        <w:tc>
          <w:tcPr>
            <w:tcW w:w="11623" w:type="dxa"/>
            <w:tcBorders>
              <w:top w:val="nil"/>
              <w:left w:val="nil"/>
              <w:bottom w:val="single" w:sz="8" w:space="0" w:color="000000"/>
              <w:right w:val="single" w:sz="8" w:space="0" w:color="000000"/>
            </w:tcBorders>
          </w:tcPr>
          <w:p w14:paraId="7E726D86" w14:textId="7557FEF7" w:rsidR="000221EB" w:rsidRPr="003A2F86" w:rsidRDefault="000221EB" w:rsidP="000221EB">
            <w:pPr>
              <w:spacing w:after="0" w:line="240" w:lineRule="auto"/>
              <w:jc w:val="both"/>
              <w:rPr>
                <w:rFonts w:ascii="Arial" w:hAnsi="Arial" w:cs="Arial"/>
                <w:sz w:val="18"/>
                <w:szCs w:val="18"/>
              </w:rPr>
            </w:pPr>
            <w:r w:rsidRPr="003A2F86">
              <w:rPr>
                <w:rFonts w:ascii="Arial" w:hAnsi="Arial" w:cs="Arial"/>
                <w:sz w:val="18"/>
                <w:szCs w:val="18"/>
              </w:rPr>
              <w:t>što je za 64,30 € ili 1,7% više u odnosu na izvještajno razdoblje prethodne 2021. g. (U prvom polugodištu ovi prihodi bili 2.485,83 €).</w:t>
            </w:r>
          </w:p>
        </w:tc>
      </w:tr>
      <w:tr w:rsidR="00D64664" w:rsidRPr="003A2F86" w14:paraId="2081E5F1" w14:textId="77777777" w:rsidTr="00B223BA">
        <w:trPr>
          <w:jc w:val="center"/>
        </w:trPr>
        <w:tc>
          <w:tcPr>
            <w:tcW w:w="1129" w:type="dxa"/>
            <w:tcBorders>
              <w:top w:val="nil"/>
              <w:left w:val="single" w:sz="8" w:space="0" w:color="000000"/>
              <w:bottom w:val="single" w:sz="8" w:space="0" w:color="000000"/>
              <w:right w:val="single" w:sz="8" w:space="0" w:color="000000"/>
            </w:tcBorders>
          </w:tcPr>
          <w:p w14:paraId="16426AE8" w14:textId="24BC0321" w:rsidR="00D64664" w:rsidRPr="003A2F86" w:rsidRDefault="00D64664" w:rsidP="00D64664">
            <w:pPr>
              <w:spacing w:after="0" w:line="240" w:lineRule="auto"/>
              <w:jc w:val="center"/>
              <w:rPr>
                <w:rFonts w:ascii="Arial" w:hAnsi="Arial" w:cs="Arial"/>
                <w:sz w:val="18"/>
                <w:szCs w:val="18"/>
              </w:rPr>
            </w:pPr>
            <w:r w:rsidRPr="003A2F86">
              <w:rPr>
                <w:rFonts w:ascii="Arial" w:hAnsi="Arial" w:cs="Arial"/>
                <w:sz w:val="18"/>
                <w:szCs w:val="18"/>
              </w:rPr>
              <w:t>2023.</w:t>
            </w:r>
          </w:p>
        </w:tc>
        <w:tc>
          <w:tcPr>
            <w:tcW w:w="1294" w:type="dxa"/>
            <w:tcBorders>
              <w:top w:val="nil"/>
              <w:left w:val="nil"/>
              <w:bottom w:val="single" w:sz="8" w:space="0" w:color="000000"/>
              <w:right w:val="single" w:sz="8" w:space="0" w:color="000000"/>
            </w:tcBorders>
            <w:vAlign w:val="center"/>
          </w:tcPr>
          <w:p w14:paraId="0D0C0FDD" w14:textId="4B807B33" w:rsidR="00D64664" w:rsidRPr="003A2F86" w:rsidRDefault="00D64664" w:rsidP="00D64664">
            <w:pPr>
              <w:spacing w:after="0" w:line="240" w:lineRule="auto"/>
              <w:jc w:val="right"/>
              <w:rPr>
                <w:rFonts w:ascii="Arial" w:hAnsi="Arial" w:cs="Arial"/>
                <w:sz w:val="18"/>
                <w:szCs w:val="18"/>
              </w:rPr>
            </w:pPr>
            <w:r w:rsidRPr="003A2F86">
              <w:rPr>
                <w:rFonts w:ascii="Arial" w:hAnsi="Arial" w:cs="Arial"/>
                <w:i/>
                <w:iCs/>
                <w:sz w:val="18"/>
                <w:szCs w:val="18"/>
              </w:rPr>
              <w:t>373,97</w:t>
            </w:r>
          </w:p>
        </w:tc>
        <w:tc>
          <w:tcPr>
            <w:tcW w:w="11623" w:type="dxa"/>
            <w:tcBorders>
              <w:top w:val="nil"/>
              <w:left w:val="nil"/>
              <w:bottom w:val="single" w:sz="8" w:space="0" w:color="000000"/>
              <w:right w:val="single" w:sz="8" w:space="0" w:color="000000"/>
            </w:tcBorders>
            <w:vAlign w:val="center"/>
          </w:tcPr>
          <w:p w14:paraId="22C95300" w14:textId="4D24A0D6" w:rsidR="00D64664" w:rsidRPr="003A2F86" w:rsidRDefault="00D64664" w:rsidP="00D64664">
            <w:pPr>
              <w:spacing w:after="0" w:line="240" w:lineRule="auto"/>
              <w:jc w:val="both"/>
              <w:rPr>
                <w:rFonts w:ascii="Arial" w:hAnsi="Arial" w:cs="Arial"/>
                <w:sz w:val="18"/>
                <w:szCs w:val="18"/>
              </w:rPr>
            </w:pPr>
            <w:r w:rsidRPr="003A2F86">
              <w:rPr>
                <w:rFonts w:ascii="Arial" w:hAnsi="Arial" w:cs="Arial"/>
                <w:sz w:val="18"/>
                <w:szCs w:val="18"/>
              </w:rPr>
              <w:t xml:space="preserve">što je za 3.553,27 € manje u odnosu na izvještajno razdoblje prethodne 2022. g. (U prvom polugodištu ovi prihodi bili 45,57 €). </w:t>
            </w:r>
          </w:p>
        </w:tc>
      </w:tr>
      <w:tr w:rsidR="00D91A7C" w:rsidRPr="003A2F86" w14:paraId="1001D1F4" w14:textId="77777777" w:rsidTr="00B223BA">
        <w:trPr>
          <w:jc w:val="center"/>
        </w:trPr>
        <w:tc>
          <w:tcPr>
            <w:tcW w:w="1129" w:type="dxa"/>
            <w:tcBorders>
              <w:top w:val="nil"/>
              <w:left w:val="single" w:sz="8" w:space="0" w:color="000000"/>
              <w:bottom w:val="single" w:sz="8" w:space="0" w:color="000000"/>
              <w:right w:val="single" w:sz="8" w:space="0" w:color="000000"/>
            </w:tcBorders>
          </w:tcPr>
          <w:p w14:paraId="2B7853F4" w14:textId="1CB2F24D" w:rsidR="00D91A7C" w:rsidRPr="003A2F86" w:rsidRDefault="00D91A7C" w:rsidP="00D91A7C">
            <w:pPr>
              <w:spacing w:after="0" w:line="240" w:lineRule="auto"/>
              <w:jc w:val="center"/>
              <w:rPr>
                <w:rFonts w:ascii="Arial" w:hAnsi="Arial" w:cs="Arial"/>
                <w:sz w:val="18"/>
                <w:szCs w:val="18"/>
              </w:rPr>
            </w:pPr>
            <w:r w:rsidRPr="003A2F86">
              <w:rPr>
                <w:rFonts w:ascii="Arial" w:hAnsi="Arial" w:cs="Arial"/>
                <w:sz w:val="18"/>
                <w:szCs w:val="18"/>
              </w:rPr>
              <w:t>2024.</w:t>
            </w:r>
          </w:p>
        </w:tc>
        <w:tc>
          <w:tcPr>
            <w:tcW w:w="1294" w:type="dxa"/>
            <w:tcBorders>
              <w:top w:val="nil"/>
              <w:left w:val="nil"/>
              <w:bottom w:val="single" w:sz="8" w:space="0" w:color="000000"/>
              <w:right w:val="single" w:sz="8" w:space="0" w:color="000000"/>
            </w:tcBorders>
            <w:vAlign w:val="center"/>
          </w:tcPr>
          <w:p w14:paraId="423993E1" w14:textId="29F0B071" w:rsidR="00D91A7C" w:rsidRPr="00761AF1" w:rsidRDefault="00D91A7C" w:rsidP="00D91A7C">
            <w:pPr>
              <w:spacing w:after="0" w:line="240" w:lineRule="auto"/>
              <w:jc w:val="right"/>
              <w:rPr>
                <w:rFonts w:ascii="Arial" w:hAnsi="Arial" w:cs="Arial"/>
                <w:sz w:val="18"/>
                <w:szCs w:val="18"/>
              </w:rPr>
            </w:pPr>
            <w:r w:rsidRPr="00761AF1">
              <w:rPr>
                <w:rFonts w:ascii="Arial" w:hAnsi="Arial" w:cs="Arial"/>
                <w:sz w:val="18"/>
                <w:szCs w:val="18"/>
              </w:rPr>
              <w:t>968,64</w:t>
            </w:r>
          </w:p>
        </w:tc>
        <w:tc>
          <w:tcPr>
            <w:tcW w:w="11623" w:type="dxa"/>
            <w:tcBorders>
              <w:top w:val="nil"/>
              <w:left w:val="nil"/>
              <w:bottom w:val="single" w:sz="8" w:space="0" w:color="000000"/>
              <w:right w:val="single" w:sz="8" w:space="0" w:color="000000"/>
            </w:tcBorders>
            <w:vAlign w:val="center"/>
          </w:tcPr>
          <w:p w14:paraId="35EAE938" w14:textId="4C14689E" w:rsidR="00D91A7C" w:rsidRPr="003A2F86" w:rsidRDefault="00D91A7C" w:rsidP="00D91A7C">
            <w:pPr>
              <w:spacing w:after="0" w:line="240" w:lineRule="auto"/>
              <w:jc w:val="both"/>
              <w:rPr>
                <w:rFonts w:ascii="Arial" w:hAnsi="Arial" w:cs="Arial"/>
                <w:sz w:val="18"/>
                <w:szCs w:val="18"/>
              </w:rPr>
            </w:pPr>
            <w:r>
              <w:rPr>
                <w:rFonts w:ascii="Arial" w:hAnsi="Arial" w:cs="Arial"/>
                <w:sz w:val="18"/>
                <w:szCs w:val="18"/>
              </w:rPr>
              <w:t xml:space="preserve">što je za 594,67 € više u odnosu na izvještajno razdoblje prethodne 2023. g. (U prvom polugodištu ovi prihodi bili 604,57 €).  </w:t>
            </w:r>
          </w:p>
        </w:tc>
      </w:tr>
      <w:tr w:rsidR="00EE4120" w:rsidRPr="00EE4120" w14:paraId="491B1515" w14:textId="77777777" w:rsidTr="0091655E">
        <w:trPr>
          <w:jc w:val="center"/>
        </w:trPr>
        <w:tc>
          <w:tcPr>
            <w:tcW w:w="1129" w:type="dxa"/>
          </w:tcPr>
          <w:p w14:paraId="3A713FDC" w14:textId="67D75CEE" w:rsidR="00EE4120" w:rsidRPr="00EE4120" w:rsidRDefault="00EE4120" w:rsidP="00EE4120">
            <w:pPr>
              <w:spacing w:after="0" w:line="240" w:lineRule="auto"/>
              <w:jc w:val="center"/>
              <w:rPr>
                <w:rFonts w:ascii="Arial" w:hAnsi="Arial" w:cs="Arial"/>
                <w:sz w:val="18"/>
                <w:szCs w:val="18"/>
              </w:rPr>
            </w:pPr>
            <w:r>
              <w:rPr>
                <w:rFonts w:ascii="Arial" w:hAnsi="Arial" w:cs="Arial"/>
                <w:sz w:val="18"/>
                <w:szCs w:val="18"/>
              </w:rPr>
              <w:t>2025.</w:t>
            </w:r>
          </w:p>
        </w:tc>
        <w:tc>
          <w:tcPr>
            <w:tcW w:w="1294" w:type="dxa"/>
            <w:tcBorders>
              <w:top w:val="nil"/>
              <w:left w:val="nil"/>
              <w:bottom w:val="single" w:sz="8" w:space="0" w:color="000000"/>
              <w:right w:val="single" w:sz="8" w:space="0" w:color="000000"/>
            </w:tcBorders>
            <w:vAlign w:val="center"/>
          </w:tcPr>
          <w:p w14:paraId="25ABAB19" w14:textId="03D09E8A" w:rsidR="0083333C" w:rsidRPr="00761AF1" w:rsidRDefault="0083333C" w:rsidP="0083333C">
            <w:pPr>
              <w:spacing w:after="0" w:line="240" w:lineRule="auto"/>
              <w:jc w:val="right"/>
              <w:rPr>
                <w:rFonts w:ascii="Arial" w:hAnsi="Arial" w:cs="Arial"/>
                <w:sz w:val="18"/>
                <w:szCs w:val="18"/>
              </w:rPr>
            </w:pPr>
            <w:r>
              <w:rPr>
                <w:rFonts w:ascii="Arial" w:hAnsi="Arial" w:cs="Arial"/>
                <w:sz w:val="18"/>
                <w:szCs w:val="18"/>
              </w:rPr>
              <w:t>348,46</w:t>
            </w:r>
          </w:p>
        </w:tc>
        <w:tc>
          <w:tcPr>
            <w:tcW w:w="11623" w:type="dxa"/>
            <w:tcBorders>
              <w:top w:val="nil"/>
              <w:left w:val="nil"/>
              <w:bottom w:val="single" w:sz="8" w:space="0" w:color="000000"/>
              <w:right w:val="single" w:sz="8" w:space="0" w:color="000000"/>
            </w:tcBorders>
            <w:vAlign w:val="center"/>
          </w:tcPr>
          <w:p w14:paraId="45CF9F32" w14:textId="55B843AB" w:rsidR="00EE4120" w:rsidRPr="00EE4120" w:rsidRDefault="00761AF1" w:rsidP="00EE4120">
            <w:pPr>
              <w:spacing w:after="0" w:line="240" w:lineRule="auto"/>
              <w:rPr>
                <w:rFonts w:ascii="Arial" w:hAnsi="Arial" w:cs="Arial"/>
                <w:i/>
                <w:iCs/>
                <w:sz w:val="18"/>
                <w:szCs w:val="18"/>
              </w:rPr>
            </w:pPr>
            <w:r w:rsidRPr="00761AF1">
              <w:rPr>
                <w:rFonts w:ascii="Arial" w:hAnsi="Arial" w:cs="Arial"/>
                <w:i/>
                <w:iCs/>
                <w:sz w:val="18"/>
                <w:szCs w:val="18"/>
              </w:rPr>
              <w:t xml:space="preserve">što je za 380,6 € manje  u odnosu na izvještajno razdoblje prethodne 2024. g. (U prvom polugodištu ovi prihodi bili 224,21 €).  </w:t>
            </w:r>
          </w:p>
        </w:tc>
      </w:tr>
      <w:tr w:rsidR="00D91A7C" w:rsidRPr="003A2F86" w14:paraId="391D0702" w14:textId="77777777" w:rsidTr="0091655E">
        <w:trPr>
          <w:jc w:val="center"/>
        </w:trPr>
        <w:tc>
          <w:tcPr>
            <w:tcW w:w="1129" w:type="dxa"/>
          </w:tcPr>
          <w:p w14:paraId="612ED4B0" w14:textId="64E3222D" w:rsidR="00D91A7C" w:rsidRPr="003A2F86" w:rsidRDefault="00D91A7C" w:rsidP="00D91A7C">
            <w:pPr>
              <w:spacing w:after="0" w:line="240" w:lineRule="auto"/>
              <w:jc w:val="both"/>
              <w:rPr>
                <w:rFonts w:ascii="Arial" w:eastAsia="Times New Roman" w:hAnsi="Arial" w:cs="Arial"/>
                <w:b/>
                <w:bCs/>
                <w:i/>
                <w:iCs/>
                <w:sz w:val="18"/>
                <w:szCs w:val="18"/>
                <w:lang w:eastAsia="en-US"/>
              </w:rPr>
            </w:pPr>
            <w:r w:rsidRPr="003A2F86">
              <w:rPr>
                <w:rFonts w:ascii="Arial" w:hAnsi="Arial" w:cs="Arial"/>
                <w:b/>
                <w:bCs/>
                <w:sz w:val="18"/>
                <w:szCs w:val="18"/>
              </w:rPr>
              <w:t>UKUPNO</w:t>
            </w:r>
          </w:p>
        </w:tc>
        <w:tc>
          <w:tcPr>
            <w:tcW w:w="1294" w:type="dxa"/>
            <w:tcBorders>
              <w:top w:val="nil"/>
              <w:left w:val="nil"/>
              <w:bottom w:val="single" w:sz="8" w:space="0" w:color="000000"/>
              <w:right w:val="single" w:sz="8" w:space="0" w:color="000000"/>
            </w:tcBorders>
            <w:vAlign w:val="center"/>
          </w:tcPr>
          <w:p w14:paraId="5CA25527" w14:textId="33A455AA" w:rsidR="00D91A7C" w:rsidRPr="003A2F86" w:rsidRDefault="00D91A7C" w:rsidP="00D91A7C">
            <w:pPr>
              <w:spacing w:after="0" w:line="240" w:lineRule="auto"/>
              <w:jc w:val="right"/>
              <w:rPr>
                <w:rFonts w:ascii="Arial" w:eastAsia="Times New Roman" w:hAnsi="Arial" w:cs="Arial"/>
                <w:b/>
                <w:bCs/>
                <w:i/>
                <w:sz w:val="18"/>
                <w:szCs w:val="18"/>
              </w:rPr>
            </w:pPr>
            <w:r>
              <w:rPr>
                <w:rFonts w:ascii="Arial" w:hAnsi="Arial" w:cs="Arial"/>
                <w:b/>
                <w:bCs/>
                <w:i/>
                <w:iCs/>
                <w:sz w:val="18"/>
                <w:szCs w:val="18"/>
              </w:rPr>
              <w:t>158.</w:t>
            </w:r>
            <w:r w:rsidR="0083333C">
              <w:rPr>
                <w:rFonts w:ascii="Arial" w:hAnsi="Arial" w:cs="Arial"/>
                <w:b/>
                <w:bCs/>
                <w:i/>
                <w:iCs/>
                <w:sz w:val="18"/>
                <w:szCs w:val="18"/>
              </w:rPr>
              <w:t>400,46</w:t>
            </w:r>
          </w:p>
        </w:tc>
        <w:tc>
          <w:tcPr>
            <w:tcW w:w="11623" w:type="dxa"/>
            <w:tcBorders>
              <w:top w:val="nil"/>
              <w:left w:val="nil"/>
              <w:bottom w:val="single" w:sz="8" w:space="0" w:color="000000"/>
              <w:right w:val="single" w:sz="8" w:space="0" w:color="000000"/>
            </w:tcBorders>
            <w:vAlign w:val="center"/>
          </w:tcPr>
          <w:p w14:paraId="5AA9A49D" w14:textId="42772743" w:rsidR="00D91A7C" w:rsidRPr="003A2F86" w:rsidRDefault="00D91A7C" w:rsidP="00D91A7C">
            <w:pPr>
              <w:spacing w:after="0" w:line="240" w:lineRule="auto"/>
              <w:jc w:val="both"/>
              <w:rPr>
                <w:rFonts w:ascii="Arial" w:eastAsia="Times New Roman" w:hAnsi="Arial" w:cs="Arial"/>
                <w:i/>
                <w:iCs/>
                <w:sz w:val="18"/>
                <w:szCs w:val="18"/>
                <w:lang w:eastAsia="en-US"/>
              </w:rPr>
            </w:pPr>
            <w:r>
              <w:rPr>
                <w:rFonts w:ascii="Arial" w:hAnsi="Arial" w:cs="Arial"/>
                <w:i/>
                <w:iCs/>
                <w:sz w:val="18"/>
                <w:szCs w:val="18"/>
              </w:rPr>
              <w:t>Ostvareni prihodi od ove naknade od početka primjene Zakona o postupanju s nezakonito izgrađenim zgradama do konca 202</w:t>
            </w:r>
            <w:r w:rsidR="00761AF1">
              <w:rPr>
                <w:rFonts w:ascii="Arial" w:hAnsi="Arial" w:cs="Arial"/>
                <w:i/>
                <w:iCs/>
                <w:sz w:val="18"/>
                <w:szCs w:val="18"/>
              </w:rPr>
              <w:t>5</w:t>
            </w:r>
            <w:r>
              <w:rPr>
                <w:rFonts w:ascii="Arial" w:hAnsi="Arial" w:cs="Arial"/>
                <w:i/>
                <w:iCs/>
                <w:sz w:val="18"/>
                <w:szCs w:val="18"/>
              </w:rPr>
              <w:t>.</w:t>
            </w:r>
          </w:p>
        </w:tc>
      </w:tr>
    </w:tbl>
    <w:p w14:paraId="7DA2F47E" w14:textId="6F8A7783" w:rsidR="00FB51CA" w:rsidRPr="003A2F86" w:rsidRDefault="00FB51CA"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7425E84D" w14:textId="77777777" w:rsidR="00001050" w:rsidRPr="003A2F86" w:rsidRDefault="00001050"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05D0D50C" w14:textId="1D3B2CEA" w:rsidR="00891119" w:rsidRPr="003A2F86" w:rsidRDefault="001B3297" w:rsidP="001B3297">
      <w:pPr>
        <w:pStyle w:val="Naslov4"/>
        <w:rPr>
          <w:rFonts w:ascii="Arial" w:hAnsi="Arial" w:cs="Arial"/>
          <w:shd w:val="clear" w:color="auto" w:fill="FFFFFF"/>
          <w:lang w:val="hr-HR"/>
        </w:rPr>
      </w:pPr>
      <w:bookmarkStart w:id="120" w:name="_Toc232981390"/>
      <w:r w:rsidRPr="003A2F86">
        <w:rPr>
          <w:rFonts w:ascii="Arial" w:hAnsi="Arial" w:cs="Arial"/>
          <w:shd w:val="clear" w:color="auto" w:fill="FFFFFF"/>
          <w:lang w:val="hr-HR"/>
        </w:rPr>
        <w:lastRenderedPageBreak/>
        <w:t>2.4.1</w:t>
      </w:r>
      <w:r w:rsidR="00891119" w:rsidRPr="003A2F86">
        <w:rPr>
          <w:rFonts w:ascii="Arial" w:hAnsi="Arial" w:cs="Arial"/>
          <w:shd w:val="clear" w:color="auto" w:fill="FFFFFF"/>
          <w:lang w:val="hr-HR"/>
        </w:rPr>
        <w:t xml:space="preserve">.4. </w:t>
      </w:r>
      <w:r w:rsidR="00891119" w:rsidRPr="003A2F86">
        <w:rPr>
          <w:rFonts w:ascii="Arial" w:hAnsi="Arial" w:cs="Arial"/>
          <w:shd w:val="clear" w:color="auto" w:fill="FFFFFF"/>
          <w:lang w:val="hr-HR"/>
        </w:rPr>
        <w:tab/>
        <w:t>Prihodi po posebnim propisima</w:t>
      </w:r>
      <w:r w:rsidR="00744D8B" w:rsidRPr="003A2F86">
        <w:rPr>
          <w:rFonts w:ascii="Arial" w:hAnsi="Arial" w:cs="Arial"/>
          <w:shd w:val="clear" w:color="auto" w:fill="FFFFFF"/>
          <w:lang w:val="hr-HR"/>
        </w:rPr>
        <w:t xml:space="preserve"> (65)</w:t>
      </w:r>
      <w:bookmarkEnd w:id="120"/>
    </w:p>
    <w:p w14:paraId="3789F0DF" w14:textId="77777777" w:rsidR="00891119" w:rsidRPr="003A2F86" w:rsidRDefault="00891119" w:rsidP="00891119">
      <w:pPr>
        <w:tabs>
          <w:tab w:val="left" w:pos="567"/>
        </w:tabs>
        <w:spacing w:after="0" w:line="240" w:lineRule="auto"/>
        <w:jc w:val="both"/>
        <w:rPr>
          <w:rFonts w:ascii="Arial" w:eastAsia="Times New Roman" w:hAnsi="Arial" w:cs="Arial"/>
          <w:sz w:val="18"/>
          <w:szCs w:val="18"/>
          <w:lang w:eastAsia="en-US"/>
        </w:rPr>
      </w:pPr>
    </w:p>
    <w:p w14:paraId="31D3CF3D" w14:textId="77777777" w:rsidR="00203BE7" w:rsidRPr="00203BE7" w:rsidRDefault="00817DF6" w:rsidP="00203BE7">
      <w:pPr>
        <w:spacing w:after="0" w:line="240" w:lineRule="auto"/>
        <w:jc w:val="both"/>
        <w:rPr>
          <w:rFonts w:ascii="Arial" w:eastAsia="Times New Roman" w:hAnsi="Arial" w:cs="Arial"/>
          <w:iCs/>
          <w:lang w:eastAsia="en-US"/>
        </w:rPr>
      </w:pPr>
      <w:bookmarkStart w:id="121" w:name="_Hlk66210001"/>
      <w:r w:rsidRPr="003A2F86">
        <w:rPr>
          <w:rFonts w:ascii="Arial" w:eastAsia="Times New Roman" w:hAnsi="Arial" w:cs="Arial"/>
          <w:b/>
          <w:iCs/>
          <w:lang w:eastAsia="en-US"/>
        </w:rPr>
        <w:t xml:space="preserve">Prihodi od </w:t>
      </w:r>
      <w:r w:rsidRPr="003A2F86">
        <w:rPr>
          <w:rFonts w:ascii="Arial" w:eastAsia="Times New Roman" w:hAnsi="Arial" w:cs="Arial"/>
          <w:b/>
        </w:rPr>
        <w:t xml:space="preserve">upravnih i administrativnih pristojbi, pristojbi po posebnim propisima i naknada </w:t>
      </w:r>
      <w:r w:rsidRPr="003A2F86">
        <w:rPr>
          <w:rFonts w:ascii="Arial" w:eastAsia="Times New Roman" w:hAnsi="Arial" w:cs="Arial"/>
          <w:iCs/>
          <w:lang w:eastAsia="en-US"/>
        </w:rPr>
        <w:t xml:space="preserve">(65) </w:t>
      </w:r>
      <w:bookmarkStart w:id="122" w:name="_Hlk103075003"/>
      <w:bookmarkEnd w:id="121"/>
      <w:r w:rsidR="00203BE7" w:rsidRPr="00203BE7">
        <w:rPr>
          <w:rFonts w:ascii="Arial" w:eastAsia="Times New Roman" w:hAnsi="Arial" w:cs="Arial"/>
          <w:iCs/>
          <w:lang w:eastAsia="en-US"/>
        </w:rPr>
        <w:t>ostvareni su u iznosu 3.303.706,23 € što je za 83.369,28 € ili 2,6% više u odnosu na prethodnu godinu. Vrijednosno najznačajniji više ostvareni prihodi u okviru ove skupine su prihodi od turističke pristojbe i komunalne naknade.</w:t>
      </w:r>
    </w:p>
    <w:p w14:paraId="2E2303D2" w14:textId="25C220AB" w:rsidR="00D91A7C" w:rsidRPr="00D91A7C" w:rsidRDefault="00D91A7C" w:rsidP="00D91A7C">
      <w:pPr>
        <w:spacing w:after="0" w:line="240" w:lineRule="auto"/>
        <w:jc w:val="both"/>
        <w:rPr>
          <w:rFonts w:ascii="Arial" w:eastAsia="Times New Roman" w:hAnsi="Arial" w:cs="Arial"/>
          <w:iCs/>
          <w:lang w:eastAsia="en-US"/>
        </w:rPr>
      </w:pPr>
    </w:p>
    <w:p w14:paraId="589A977F" w14:textId="4A759DA8" w:rsidR="00891119" w:rsidRPr="00797866" w:rsidRDefault="00891119" w:rsidP="00D91A7C">
      <w:pPr>
        <w:spacing w:after="0" w:line="240" w:lineRule="auto"/>
        <w:jc w:val="both"/>
        <w:rPr>
          <w:rFonts w:ascii="Arial" w:eastAsia="Times New Roman" w:hAnsi="Arial" w:cs="Arial"/>
          <w:iCs/>
          <w:color w:val="17365D" w:themeColor="text2" w:themeShade="BF"/>
          <w:lang w:eastAsia="en-US"/>
        </w:rPr>
      </w:pPr>
      <w:r w:rsidRPr="003A2F86">
        <w:rPr>
          <w:rFonts w:ascii="Arial" w:eastAsia="Times New Roman" w:hAnsi="Arial" w:cs="Arial"/>
          <w:color w:val="1F497D" w:themeColor="text2"/>
        </w:rPr>
        <w:t>Ukupni prihodi od upravnih i administrativnih pristojbi, pristojbi po posebnim propisima i na</w:t>
      </w:r>
      <w:r w:rsidR="00A8623C" w:rsidRPr="003A2F86">
        <w:rPr>
          <w:rFonts w:ascii="Arial" w:eastAsia="Times New Roman" w:hAnsi="Arial" w:cs="Arial"/>
          <w:color w:val="1F497D" w:themeColor="text2"/>
        </w:rPr>
        <w:t>kn</w:t>
      </w:r>
      <w:r w:rsidRPr="003A2F86">
        <w:rPr>
          <w:rFonts w:ascii="Arial" w:eastAsia="Times New Roman" w:hAnsi="Arial" w:cs="Arial"/>
          <w:color w:val="1F497D" w:themeColor="text2"/>
        </w:rPr>
        <w:t xml:space="preserve">ade (65) Općine iznose </w:t>
      </w:r>
      <w:bookmarkStart w:id="123" w:name="_Hlk145931602"/>
      <w:r w:rsidR="00203BE7">
        <w:rPr>
          <w:rFonts w:ascii="Arial" w:eastAsia="Times New Roman" w:hAnsi="Arial" w:cs="Arial"/>
          <w:iCs/>
          <w:color w:val="1F497D" w:themeColor="text2"/>
          <w:lang w:eastAsia="en-US"/>
        </w:rPr>
        <w:t>1.838.952,37</w:t>
      </w:r>
      <w:r w:rsidR="00723226" w:rsidRPr="003A2F86">
        <w:rPr>
          <w:rFonts w:ascii="Arial" w:eastAsia="Times New Roman" w:hAnsi="Arial" w:cs="Arial"/>
          <w:iCs/>
          <w:color w:val="1F497D" w:themeColor="text2"/>
          <w:lang w:eastAsia="en-US"/>
        </w:rPr>
        <w:t xml:space="preserve"> €</w:t>
      </w:r>
      <w:r w:rsidRPr="003A2F86">
        <w:rPr>
          <w:rFonts w:ascii="Arial" w:eastAsia="Times New Roman" w:hAnsi="Arial" w:cs="Arial"/>
          <w:color w:val="1F497D" w:themeColor="text2"/>
        </w:rPr>
        <w:t xml:space="preserve">, </w:t>
      </w:r>
      <w:bookmarkEnd w:id="123"/>
      <w:r w:rsidRPr="003A2F86">
        <w:rPr>
          <w:rFonts w:ascii="Arial" w:eastAsia="Times New Roman" w:hAnsi="Arial" w:cs="Arial"/>
          <w:color w:val="1F497D" w:themeColor="text2"/>
        </w:rPr>
        <w:t xml:space="preserve">a </w:t>
      </w:r>
      <w:r w:rsidRPr="003A2F86">
        <w:rPr>
          <w:rFonts w:ascii="Arial" w:eastAsia="Times New Roman" w:hAnsi="Arial" w:cs="Arial"/>
          <w:color w:val="1F497D" w:themeColor="text2"/>
          <w:szCs w:val="24"/>
        </w:rPr>
        <w:t xml:space="preserve">prihodi proračunskih korisnika </w:t>
      </w:r>
      <w:r w:rsidRPr="003A2F86">
        <w:rPr>
          <w:rFonts w:ascii="Arial" w:eastAsia="Times New Roman" w:hAnsi="Arial" w:cs="Arial"/>
          <w:color w:val="17365D" w:themeColor="text2" w:themeShade="BF"/>
          <w:szCs w:val="24"/>
        </w:rPr>
        <w:t xml:space="preserve">iznose </w:t>
      </w:r>
      <w:bookmarkStart w:id="124" w:name="_Hlk145931686"/>
      <w:r w:rsidR="00203BE7">
        <w:rPr>
          <w:rFonts w:ascii="Arial" w:eastAsia="Times New Roman" w:hAnsi="Arial" w:cs="Arial"/>
          <w:iCs/>
          <w:color w:val="17365D" w:themeColor="text2" w:themeShade="BF"/>
          <w:lang w:eastAsia="en-US"/>
        </w:rPr>
        <w:t>1.464.753,86</w:t>
      </w:r>
      <w:r w:rsidR="00926084" w:rsidRPr="003A2F86">
        <w:rPr>
          <w:rFonts w:ascii="Arial" w:eastAsia="Times New Roman" w:hAnsi="Arial" w:cs="Arial"/>
          <w:iCs/>
          <w:color w:val="17365D" w:themeColor="text2" w:themeShade="BF"/>
          <w:lang w:eastAsia="en-US"/>
        </w:rPr>
        <w:t xml:space="preserve"> €</w:t>
      </w:r>
      <w:r w:rsidR="006F73F7" w:rsidRPr="003A2F86">
        <w:rPr>
          <w:rFonts w:ascii="Arial" w:eastAsia="Times New Roman" w:hAnsi="Arial" w:cs="Arial"/>
          <w:iCs/>
          <w:color w:val="17365D" w:themeColor="text2" w:themeShade="BF"/>
          <w:lang w:eastAsia="en-US"/>
        </w:rPr>
        <w:t>.</w:t>
      </w:r>
      <w:bookmarkEnd w:id="124"/>
    </w:p>
    <w:p w14:paraId="27AFBF2E" w14:textId="77777777" w:rsidR="00D91A7C" w:rsidRDefault="00D91A7C" w:rsidP="00D64664">
      <w:pPr>
        <w:spacing w:after="0" w:line="240" w:lineRule="auto"/>
        <w:jc w:val="both"/>
        <w:rPr>
          <w:rFonts w:ascii="Arial" w:eastAsia="Times New Roman" w:hAnsi="Arial" w:cs="Arial"/>
          <w:iCs/>
          <w:lang w:eastAsia="en-US"/>
        </w:rPr>
      </w:pPr>
    </w:p>
    <w:p w14:paraId="4407F5B7" w14:textId="0E0FDEEE" w:rsidR="00817DF6" w:rsidRPr="003A2F86" w:rsidRDefault="00817DF6" w:rsidP="00817DF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3A2F86">
        <w:rPr>
          <w:rFonts w:ascii="Arial" w:eastAsia="Calibri" w:hAnsi="Arial" w:cs="Arial"/>
          <w:lang w:eastAsia="en-US"/>
        </w:rPr>
        <w:t xml:space="preserve">Prihodi </w:t>
      </w:r>
      <w:r w:rsidR="00203BE7">
        <w:rPr>
          <w:rFonts w:ascii="Arial" w:eastAsia="Calibri" w:hAnsi="Arial" w:cs="Arial"/>
          <w:lang w:eastAsia="en-US"/>
        </w:rPr>
        <w:t xml:space="preserve">Općine </w:t>
      </w:r>
      <w:r w:rsidRPr="003A2F86">
        <w:rPr>
          <w:rFonts w:ascii="Arial" w:eastAsia="Calibri" w:hAnsi="Arial" w:cs="Arial"/>
          <w:lang w:eastAsia="en-US"/>
        </w:rPr>
        <w:t>od upravnih i administrativnih pristojbi (</w:t>
      </w:r>
      <w:r w:rsidRPr="003A2F86">
        <w:rPr>
          <w:rFonts w:ascii="Arial" w:eastAsia="Calibri" w:hAnsi="Arial" w:cs="Arial"/>
          <w:b/>
          <w:bCs/>
          <w:lang w:eastAsia="en-US"/>
        </w:rPr>
        <w:t>651</w:t>
      </w:r>
      <w:r w:rsidRPr="003A2F86">
        <w:rPr>
          <w:rFonts w:ascii="Arial" w:eastAsia="Calibri" w:hAnsi="Arial" w:cs="Arial"/>
          <w:lang w:eastAsia="en-US"/>
        </w:rPr>
        <w:t xml:space="preserve">) u iznosu </w:t>
      </w:r>
      <w:r w:rsidR="00203BE7">
        <w:rPr>
          <w:rFonts w:ascii="Arial" w:eastAsia="Calibri" w:hAnsi="Arial" w:cs="Arial"/>
          <w:lang w:eastAsia="en-US"/>
        </w:rPr>
        <w:t>414.379,42</w:t>
      </w:r>
      <w:r w:rsidR="001534F0" w:rsidRPr="003A2F86">
        <w:rPr>
          <w:rFonts w:ascii="Arial" w:eastAsia="Calibri" w:hAnsi="Arial" w:cs="Arial"/>
          <w:lang w:eastAsia="en-US"/>
        </w:rPr>
        <w:t xml:space="preserve"> €</w:t>
      </w:r>
      <w:r w:rsidRPr="003A2F86">
        <w:rPr>
          <w:rFonts w:ascii="Arial" w:eastAsia="Calibri" w:hAnsi="Arial" w:cs="Arial"/>
          <w:lang w:eastAsia="en-US"/>
        </w:rPr>
        <w:t xml:space="preserve"> se odnose na:</w:t>
      </w:r>
    </w:p>
    <w:p w14:paraId="006A4A52" w14:textId="0CEB00A6" w:rsidR="00817DF6" w:rsidRPr="003A2F86" w:rsidRDefault="00817DF6">
      <w:pPr>
        <w:pStyle w:val="Odlomakpopisa"/>
        <w:numPr>
          <w:ilvl w:val="0"/>
          <w:numId w:val="1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ind w:left="284" w:hanging="284"/>
        <w:rPr>
          <w:rFonts w:ascii="Arial" w:eastAsia="Calibri" w:hAnsi="Arial" w:cs="Arial"/>
          <w:sz w:val="22"/>
          <w:szCs w:val="22"/>
        </w:rPr>
      </w:pPr>
      <w:r w:rsidRPr="003A2F86">
        <w:rPr>
          <w:rFonts w:ascii="Arial" w:eastAsia="Calibri" w:hAnsi="Arial" w:cs="Arial"/>
          <w:sz w:val="22"/>
          <w:szCs w:val="22"/>
        </w:rPr>
        <w:t xml:space="preserve">prihode od turističke pristojbe </w:t>
      </w:r>
      <w:r w:rsidR="00642D1E" w:rsidRPr="00642D1E">
        <w:rPr>
          <w:rFonts w:ascii="Arial" w:eastAsia="Calibri" w:hAnsi="Arial" w:cs="Arial"/>
          <w:sz w:val="22"/>
          <w:szCs w:val="22"/>
        </w:rPr>
        <w:t>223.823,60 € (što je više za 5.329,74 € ili 2,4% nego prethodne 2024. godine</w:t>
      </w:r>
      <w:r w:rsidR="00642D1E">
        <w:rPr>
          <w:rFonts w:ascii="Arial" w:eastAsia="Calibri" w:hAnsi="Arial" w:cs="Arial"/>
          <w:sz w:val="22"/>
          <w:szCs w:val="22"/>
        </w:rPr>
        <w:t>)</w:t>
      </w:r>
      <w:r w:rsidRPr="003A2F86">
        <w:rPr>
          <w:rFonts w:ascii="Arial" w:eastAsia="Calibri" w:hAnsi="Arial" w:cs="Arial"/>
          <w:sz w:val="22"/>
          <w:szCs w:val="22"/>
        </w:rPr>
        <w:t xml:space="preserve">, </w:t>
      </w:r>
    </w:p>
    <w:p w14:paraId="0EF7C7EB" w14:textId="6EF72A37" w:rsidR="00CC19B3" w:rsidRPr="00B247B2" w:rsidRDefault="00D64664">
      <w:pPr>
        <w:pStyle w:val="Odlomakpopisa"/>
        <w:numPr>
          <w:ilvl w:val="0"/>
          <w:numId w:val="1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ind w:left="284" w:hanging="284"/>
        <w:rPr>
          <w:rFonts w:ascii="Arial" w:eastAsia="Calibri" w:hAnsi="Arial" w:cs="Arial"/>
          <w:sz w:val="18"/>
          <w:szCs w:val="18"/>
        </w:rPr>
      </w:pPr>
      <w:r w:rsidRPr="003A2F86">
        <w:rPr>
          <w:rFonts w:ascii="Arial" w:eastAsia="Calibri" w:hAnsi="Arial" w:cs="Arial"/>
          <w:sz w:val="22"/>
          <w:szCs w:val="22"/>
        </w:rPr>
        <w:t xml:space="preserve">prihode od </w:t>
      </w:r>
      <w:r w:rsidRPr="003A2F86">
        <w:rPr>
          <w:rFonts w:ascii="Arial" w:eastAsia="Calibri" w:hAnsi="Arial" w:cs="Arial"/>
          <w:b/>
          <w:bCs/>
          <w:i/>
          <w:iCs/>
          <w:sz w:val="22"/>
          <w:szCs w:val="22"/>
        </w:rPr>
        <w:t>dozvola za obavljanje autotaksi prijevoza prema novim propisima</w:t>
      </w:r>
      <w:r w:rsidRPr="003A2F86">
        <w:rPr>
          <w:rFonts w:ascii="Arial" w:eastAsia="Calibri" w:hAnsi="Arial" w:cs="Arial"/>
          <w:sz w:val="22"/>
          <w:szCs w:val="22"/>
        </w:rPr>
        <w:t xml:space="preserve"> u iznosu </w:t>
      </w:r>
      <w:r w:rsidR="00642D1E">
        <w:rPr>
          <w:rFonts w:ascii="Arial" w:eastAsia="Calibri" w:hAnsi="Arial" w:cs="Arial"/>
          <w:sz w:val="22"/>
          <w:szCs w:val="22"/>
        </w:rPr>
        <w:t>21.699,69</w:t>
      </w:r>
      <w:r w:rsidRPr="003A2F86">
        <w:rPr>
          <w:rFonts w:ascii="Arial" w:eastAsia="Calibri" w:hAnsi="Arial" w:cs="Arial"/>
          <w:sz w:val="22"/>
          <w:szCs w:val="22"/>
        </w:rPr>
        <w:t xml:space="preserve"> € (</w:t>
      </w:r>
      <w:r w:rsidRPr="00B247B2">
        <w:rPr>
          <w:rFonts w:ascii="Arial" w:eastAsia="Calibri" w:hAnsi="Arial" w:cs="Arial"/>
          <w:sz w:val="18"/>
          <w:szCs w:val="18"/>
        </w:rPr>
        <w:t>u 2018. iznosili 984,80 €, u 2019. iznosili 9.455,17 €, u 2020. iznosili 2.455,37 €, u 2021. su iznosili 9.423,32 €, u 2022.</w:t>
      </w:r>
      <w:r w:rsidR="00B247B2">
        <w:rPr>
          <w:rFonts w:ascii="Arial" w:eastAsia="Calibri" w:hAnsi="Arial" w:cs="Arial"/>
          <w:sz w:val="18"/>
          <w:szCs w:val="18"/>
        </w:rPr>
        <w:t xml:space="preserve"> iznosili</w:t>
      </w:r>
      <w:r w:rsidRPr="00B247B2">
        <w:rPr>
          <w:rFonts w:ascii="Arial" w:eastAsia="Calibri" w:hAnsi="Arial" w:cs="Arial"/>
          <w:sz w:val="18"/>
          <w:szCs w:val="18"/>
        </w:rPr>
        <w:t xml:space="preserve"> 7.830,65 €</w:t>
      </w:r>
      <w:r w:rsidR="00BC189E" w:rsidRPr="00B247B2">
        <w:rPr>
          <w:rFonts w:ascii="Arial" w:eastAsia="Calibri" w:hAnsi="Arial" w:cs="Arial"/>
          <w:sz w:val="18"/>
          <w:szCs w:val="18"/>
        </w:rPr>
        <w:t xml:space="preserve">, u 2023. </w:t>
      </w:r>
      <w:r w:rsidR="00B247B2">
        <w:rPr>
          <w:rFonts w:ascii="Arial" w:eastAsia="Calibri" w:hAnsi="Arial" w:cs="Arial"/>
          <w:sz w:val="18"/>
          <w:szCs w:val="18"/>
        </w:rPr>
        <w:t>iznosili</w:t>
      </w:r>
      <w:r w:rsidR="00BC189E" w:rsidRPr="00B247B2">
        <w:rPr>
          <w:rFonts w:ascii="Arial" w:eastAsia="Calibri" w:hAnsi="Arial" w:cs="Arial"/>
          <w:sz w:val="18"/>
          <w:szCs w:val="18"/>
        </w:rPr>
        <w:t xml:space="preserve"> 15.329,16 €</w:t>
      </w:r>
      <w:r w:rsidR="002D0A6B">
        <w:rPr>
          <w:rFonts w:ascii="Arial" w:eastAsia="Calibri" w:hAnsi="Arial" w:cs="Arial"/>
          <w:sz w:val="18"/>
          <w:szCs w:val="18"/>
        </w:rPr>
        <w:t>, a u 2024. iznosili 18.580,80 €</w:t>
      </w:r>
      <w:r w:rsidRPr="003A2F86">
        <w:rPr>
          <w:rFonts w:ascii="Arial" w:eastAsia="Calibri" w:hAnsi="Arial" w:cs="Arial"/>
          <w:sz w:val="22"/>
          <w:szCs w:val="22"/>
        </w:rPr>
        <w:t>)</w:t>
      </w:r>
      <w:r w:rsidR="00CC19B3" w:rsidRPr="00B247B2">
        <w:rPr>
          <w:rFonts w:ascii="Arial" w:eastAsia="Calibri" w:hAnsi="Arial" w:cs="Arial"/>
          <w:sz w:val="18"/>
          <w:szCs w:val="18"/>
        </w:rPr>
        <w:t>.</w:t>
      </w:r>
      <w:r w:rsidRPr="00B247B2">
        <w:rPr>
          <w:rFonts w:ascii="Arial" w:eastAsia="Calibri" w:hAnsi="Arial" w:cs="Arial"/>
          <w:sz w:val="18"/>
          <w:szCs w:val="18"/>
        </w:rPr>
        <w:t xml:space="preserve"> </w:t>
      </w:r>
      <w:r w:rsidR="00CC19B3" w:rsidRPr="00B247B2">
        <w:rPr>
          <w:rFonts w:ascii="Arial" w:eastAsia="Calibri" w:hAnsi="Arial" w:cs="Arial"/>
          <w:sz w:val="18"/>
          <w:szCs w:val="18"/>
        </w:rPr>
        <w:t>Do konca 2017. godine, autotaxi prijevoznici su plaćali naknade prema općinskim propisima (evidentirani u okviru računa 642, te su za 2017. iznosili 64.370,56 €).</w:t>
      </w:r>
    </w:p>
    <w:p w14:paraId="1D00C8B1" w14:textId="18FE47CE" w:rsidR="00CC19B3" w:rsidRPr="003A2F86" w:rsidRDefault="00CC19B3">
      <w:pPr>
        <w:pStyle w:val="Odlomakpopisa"/>
        <w:numPr>
          <w:ilvl w:val="0"/>
          <w:numId w:val="1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ind w:left="284" w:hanging="284"/>
        <w:rPr>
          <w:rFonts w:ascii="Arial" w:eastAsia="Calibri" w:hAnsi="Arial" w:cs="Arial"/>
          <w:sz w:val="22"/>
          <w:szCs w:val="22"/>
        </w:rPr>
      </w:pPr>
      <w:r w:rsidRPr="003A2F86">
        <w:rPr>
          <w:rFonts w:ascii="Arial" w:eastAsia="Calibri" w:hAnsi="Arial" w:cs="Arial"/>
          <w:sz w:val="22"/>
          <w:szCs w:val="22"/>
        </w:rPr>
        <w:t xml:space="preserve">prihode od prodaje državnih biljega i od drugih pristojbi </w:t>
      </w:r>
      <w:r w:rsidR="00642D1E">
        <w:rPr>
          <w:rFonts w:ascii="Arial" w:eastAsia="Calibri" w:hAnsi="Arial" w:cs="Arial"/>
          <w:sz w:val="22"/>
          <w:szCs w:val="22"/>
        </w:rPr>
        <w:t>99,14</w:t>
      </w:r>
      <w:r w:rsidRPr="003A2F86">
        <w:rPr>
          <w:rFonts w:ascii="Arial" w:eastAsia="Calibri" w:hAnsi="Arial" w:cs="Arial"/>
          <w:sz w:val="22"/>
          <w:szCs w:val="22"/>
        </w:rPr>
        <w:t xml:space="preserve"> €, </w:t>
      </w:r>
    </w:p>
    <w:p w14:paraId="0DD211E9" w14:textId="4289A7E1" w:rsidR="00CC19B3" w:rsidRPr="003A2F86" w:rsidRDefault="00CC19B3">
      <w:pPr>
        <w:pStyle w:val="Odlomakpopisa"/>
        <w:numPr>
          <w:ilvl w:val="0"/>
          <w:numId w:val="1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ind w:left="284" w:hanging="284"/>
        <w:rPr>
          <w:rFonts w:ascii="Arial" w:eastAsia="Calibri" w:hAnsi="Arial" w:cs="Arial"/>
          <w:sz w:val="22"/>
          <w:szCs w:val="22"/>
        </w:rPr>
      </w:pPr>
      <w:r w:rsidRPr="003A2F86">
        <w:rPr>
          <w:rFonts w:ascii="Arial" w:eastAsia="Calibri" w:hAnsi="Arial" w:cs="Arial"/>
          <w:sz w:val="22"/>
          <w:szCs w:val="22"/>
        </w:rPr>
        <w:t xml:space="preserve">prihode od pristojbi za izdavanje dozvola </w:t>
      </w:r>
      <w:r w:rsidR="00642D1E">
        <w:rPr>
          <w:rFonts w:ascii="Arial" w:eastAsia="Calibri" w:hAnsi="Arial" w:cs="Arial"/>
          <w:sz w:val="22"/>
          <w:szCs w:val="22"/>
        </w:rPr>
        <w:t>2.618,43</w:t>
      </w:r>
      <w:r w:rsidRPr="003A2F86">
        <w:rPr>
          <w:rFonts w:ascii="Arial" w:eastAsia="Calibri" w:hAnsi="Arial" w:cs="Arial"/>
          <w:sz w:val="22"/>
          <w:szCs w:val="22"/>
        </w:rPr>
        <w:t xml:space="preserve"> €, </w:t>
      </w:r>
    </w:p>
    <w:p w14:paraId="2B1CA1E3" w14:textId="18315F69" w:rsidR="00817DF6" w:rsidRPr="003A2F86" w:rsidRDefault="00D64664">
      <w:pPr>
        <w:pStyle w:val="Odlomakpopisa"/>
        <w:numPr>
          <w:ilvl w:val="0"/>
          <w:numId w:val="1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ind w:left="284" w:hanging="284"/>
        <w:rPr>
          <w:rFonts w:ascii="Arial" w:eastAsia="Calibri" w:hAnsi="Arial" w:cs="Arial"/>
          <w:sz w:val="22"/>
          <w:szCs w:val="22"/>
        </w:rPr>
      </w:pPr>
      <w:bookmarkStart w:id="125" w:name="_Hlk228972733"/>
      <w:r w:rsidRPr="003A2F86">
        <w:rPr>
          <w:rFonts w:ascii="Arial" w:eastAsia="Calibri" w:hAnsi="Arial" w:cs="Arial"/>
          <w:sz w:val="22"/>
          <w:szCs w:val="22"/>
        </w:rPr>
        <w:t xml:space="preserve">te </w:t>
      </w:r>
      <w:r w:rsidR="00BC189E" w:rsidRPr="003A2F86">
        <w:rPr>
          <w:rFonts w:ascii="Arial" w:eastAsia="Calibri" w:hAnsi="Arial" w:cs="Arial"/>
          <w:sz w:val="22"/>
          <w:szCs w:val="22"/>
        </w:rPr>
        <w:t>prihod</w:t>
      </w:r>
      <w:r w:rsidR="00C23737">
        <w:rPr>
          <w:rFonts w:ascii="Arial" w:eastAsia="Calibri" w:hAnsi="Arial" w:cs="Arial"/>
          <w:sz w:val="22"/>
          <w:szCs w:val="22"/>
        </w:rPr>
        <w:t>e</w:t>
      </w:r>
      <w:r w:rsidR="00BC189E" w:rsidRPr="003A2F86">
        <w:rPr>
          <w:rFonts w:ascii="Arial" w:eastAsia="Calibri" w:hAnsi="Arial" w:cs="Arial"/>
          <w:sz w:val="22"/>
          <w:szCs w:val="22"/>
        </w:rPr>
        <w:t xml:space="preserve"> od dozvola za obavljanje djelatnosti na pomorskom dobru u iznosu </w:t>
      </w:r>
      <w:r w:rsidR="00642D1E">
        <w:rPr>
          <w:rFonts w:ascii="Arial" w:eastAsia="Calibri" w:hAnsi="Arial" w:cs="Arial"/>
          <w:sz w:val="22"/>
          <w:szCs w:val="22"/>
        </w:rPr>
        <w:t>166.138,556</w:t>
      </w:r>
      <w:r w:rsidR="00846197">
        <w:rPr>
          <w:rFonts w:ascii="Arial" w:eastAsia="Calibri" w:hAnsi="Arial" w:cs="Arial"/>
          <w:sz w:val="22"/>
          <w:szCs w:val="22"/>
        </w:rPr>
        <w:t xml:space="preserve"> € </w:t>
      </w:r>
      <w:r w:rsidR="00C23737">
        <w:rPr>
          <w:rFonts w:ascii="Arial" w:eastAsia="Calibri" w:hAnsi="Arial" w:cs="Arial"/>
          <w:sz w:val="22"/>
          <w:szCs w:val="22"/>
        </w:rPr>
        <w:t>(</w:t>
      </w:r>
      <w:r w:rsidR="00775AFF">
        <w:rPr>
          <w:rFonts w:ascii="Arial" w:eastAsia="Calibri" w:hAnsi="Arial" w:cs="Arial"/>
          <w:sz w:val="22"/>
          <w:szCs w:val="22"/>
        </w:rPr>
        <w:t>u 2024. ovi prihodi prvi put ostvareni i iznosili su 135.591,96</w:t>
      </w:r>
      <w:r w:rsidR="00775AFF" w:rsidRPr="003A2F86">
        <w:rPr>
          <w:rFonts w:ascii="Arial" w:eastAsia="Calibri" w:hAnsi="Arial" w:cs="Arial"/>
          <w:sz w:val="22"/>
          <w:szCs w:val="22"/>
        </w:rPr>
        <w:t xml:space="preserve"> €</w:t>
      </w:r>
      <w:r w:rsidR="00C23737">
        <w:rPr>
          <w:rFonts w:ascii="Arial" w:eastAsia="Calibri" w:hAnsi="Arial" w:cs="Arial"/>
          <w:sz w:val="22"/>
          <w:szCs w:val="22"/>
        </w:rPr>
        <w:t>)</w:t>
      </w:r>
      <w:r w:rsidRPr="003A2F86">
        <w:rPr>
          <w:rFonts w:ascii="Arial" w:eastAsia="Calibri" w:hAnsi="Arial" w:cs="Arial"/>
          <w:sz w:val="22"/>
          <w:szCs w:val="22"/>
        </w:rPr>
        <w:t>.</w:t>
      </w:r>
    </w:p>
    <w:bookmarkEnd w:id="125"/>
    <w:p w14:paraId="6B6A5C5A" w14:textId="77777777" w:rsidR="00642D1E" w:rsidRPr="00A10829" w:rsidRDefault="00642D1E" w:rsidP="00110E4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18"/>
          <w:szCs w:val="18"/>
          <w:lang w:eastAsia="en-US"/>
        </w:rPr>
      </w:pPr>
    </w:p>
    <w:p w14:paraId="44F35C0C" w14:textId="77777777" w:rsidR="004E7BB3" w:rsidRPr="00A10829" w:rsidRDefault="004E7BB3" w:rsidP="004E7BB3">
      <w:pPr>
        <w:spacing w:after="0" w:line="240" w:lineRule="auto"/>
        <w:jc w:val="both"/>
        <w:rPr>
          <w:rFonts w:ascii="Arial" w:eastAsia="Times New Roman" w:hAnsi="Arial" w:cs="Arial"/>
          <w:i/>
          <w:iCs/>
          <w:sz w:val="18"/>
          <w:szCs w:val="18"/>
        </w:rPr>
      </w:pPr>
      <w:r w:rsidRPr="00A10829">
        <w:rPr>
          <w:rFonts w:ascii="Arial" w:eastAsia="Times New Roman" w:hAnsi="Arial" w:cs="Arial"/>
          <w:i/>
          <w:iCs/>
          <w:sz w:val="18"/>
          <w:szCs w:val="18"/>
        </w:rPr>
        <w:t>*Usporedba: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134"/>
        <w:gridCol w:w="12066"/>
      </w:tblGrid>
      <w:tr w:rsidR="004E7BB3" w:rsidRPr="003A2F86" w14:paraId="0F3D925D" w14:textId="77777777" w:rsidTr="00DB4807">
        <w:trPr>
          <w:jc w:val="center"/>
        </w:trPr>
        <w:tc>
          <w:tcPr>
            <w:tcW w:w="14046" w:type="dxa"/>
            <w:gridSpan w:val="3"/>
            <w:vAlign w:val="center"/>
          </w:tcPr>
          <w:p w14:paraId="471F1A37" w14:textId="77777777" w:rsidR="004E7BB3" w:rsidRPr="003A2F86" w:rsidRDefault="004E7BB3" w:rsidP="00DB4807">
            <w:pPr>
              <w:spacing w:after="0" w:line="240" w:lineRule="auto"/>
              <w:jc w:val="center"/>
              <w:rPr>
                <w:rFonts w:ascii="Arial" w:eastAsia="Times New Roman" w:hAnsi="Arial" w:cs="Arial"/>
                <w:b/>
                <w:i/>
                <w:iCs/>
                <w:sz w:val="18"/>
                <w:szCs w:val="18"/>
                <w:lang w:eastAsia="en-US"/>
              </w:rPr>
            </w:pPr>
            <w:r w:rsidRPr="0062007B">
              <w:rPr>
                <w:rFonts w:ascii="Arial" w:eastAsia="Times New Roman" w:hAnsi="Arial" w:cs="Arial"/>
                <w:b/>
                <w:i/>
                <w:iCs/>
                <w:sz w:val="18"/>
                <w:szCs w:val="18"/>
                <w:lang w:eastAsia="en-US"/>
              </w:rPr>
              <w:t>Prihod od dozvole za obavljanje djelatnosti na pomorskom dobru (</w:t>
            </w:r>
            <w:r w:rsidRPr="0062007B">
              <w:rPr>
                <w:rFonts w:ascii="Arial" w:eastAsia="Times New Roman" w:hAnsi="Arial" w:cs="Arial"/>
                <w:b/>
                <w:i/>
                <w:iCs/>
                <w:color w:val="EE0000"/>
                <w:sz w:val="18"/>
                <w:szCs w:val="18"/>
                <w:lang w:eastAsia="en-US"/>
              </w:rPr>
              <w:t>6512</w:t>
            </w:r>
            <w:r w:rsidRPr="0062007B">
              <w:rPr>
                <w:rFonts w:ascii="Arial" w:eastAsia="Times New Roman" w:hAnsi="Arial" w:cs="Arial"/>
                <w:b/>
                <w:i/>
                <w:iCs/>
                <w:sz w:val="18"/>
                <w:szCs w:val="18"/>
                <w:lang w:eastAsia="en-US"/>
              </w:rPr>
              <w:t xml:space="preserve">) </w:t>
            </w:r>
            <w:r w:rsidRPr="003A2F86">
              <w:rPr>
                <w:rFonts w:ascii="Arial" w:eastAsia="Times New Roman" w:hAnsi="Arial" w:cs="Arial"/>
                <w:i/>
                <w:sz w:val="18"/>
                <w:szCs w:val="18"/>
              </w:rPr>
              <w:t>(</w:t>
            </w:r>
            <w:r w:rsidRPr="00AA6321">
              <w:rPr>
                <w:rFonts w:ascii="Arial" w:eastAsia="Times New Roman" w:hAnsi="Arial" w:cs="Arial"/>
                <w:i/>
                <w:color w:val="0070C0"/>
                <w:sz w:val="18"/>
                <w:szCs w:val="18"/>
              </w:rPr>
              <w:t>70% prihod Općine</w:t>
            </w:r>
            <w:r>
              <w:rPr>
                <w:rFonts w:ascii="Arial" w:eastAsia="Times New Roman" w:hAnsi="Arial" w:cs="Arial"/>
                <w:i/>
                <w:sz w:val="18"/>
                <w:szCs w:val="18"/>
              </w:rPr>
              <w:t xml:space="preserve">, </w:t>
            </w:r>
            <w:r w:rsidRPr="00AA6321">
              <w:rPr>
                <w:rFonts w:ascii="Arial" w:eastAsia="Times New Roman" w:hAnsi="Arial" w:cs="Arial"/>
                <w:i/>
                <w:color w:val="A66500"/>
                <w:sz w:val="18"/>
                <w:szCs w:val="18"/>
              </w:rPr>
              <w:t>30 % DNŽ</w:t>
            </w:r>
            <w:r w:rsidRPr="003A2F86">
              <w:rPr>
                <w:rFonts w:ascii="Arial" w:eastAsia="Times New Roman" w:hAnsi="Arial" w:cs="Arial"/>
                <w:i/>
                <w:sz w:val="18"/>
                <w:szCs w:val="18"/>
              </w:rPr>
              <w:t>) (namjenski prihodi)</w:t>
            </w:r>
          </w:p>
        </w:tc>
      </w:tr>
      <w:tr w:rsidR="004E7BB3" w:rsidRPr="003A2F86" w14:paraId="1AE53936" w14:textId="77777777" w:rsidTr="00A10829">
        <w:trPr>
          <w:jc w:val="center"/>
        </w:trPr>
        <w:tc>
          <w:tcPr>
            <w:tcW w:w="846" w:type="dxa"/>
            <w:vAlign w:val="center"/>
          </w:tcPr>
          <w:p w14:paraId="4824C038" w14:textId="77777777" w:rsidR="004E7BB3" w:rsidRPr="003A2F86" w:rsidRDefault="004E7BB3" w:rsidP="00DB4807">
            <w:pPr>
              <w:spacing w:after="0" w:line="240" w:lineRule="auto"/>
              <w:jc w:val="center"/>
              <w:rPr>
                <w:rFonts w:ascii="Arial" w:eastAsia="Times New Roman" w:hAnsi="Arial" w:cs="Arial"/>
                <w:b/>
                <w:bCs/>
                <w:i/>
                <w:iCs/>
                <w:sz w:val="18"/>
                <w:szCs w:val="18"/>
                <w:lang w:eastAsia="en-US"/>
              </w:rPr>
            </w:pPr>
            <w:r w:rsidRPr="003A2F86">
              <w:rPr>
                <w:rFonts w:ascii="Arial" w:hAnsi="Arial" w:cs="Arial"/>
                <w:b/>
                <w:bCs/>
                <w:sz w:val="18"/>
                <w:szCs w:val="18"/>
              </w:rPr>
              <w:t>Godina</w:t>
            </w:r>
          </w:p>
        </w:tc>
        <w:tc>
          <w:tcPr>
            <w:tcW w:w="1134" w:type="dxa"/>
            <w:vAlign w:val="center"/>
          </w:tcPr>
          <w:p w14:paraId="44EEF44B" w14:textId="6FFEB6CB" w:rsidR="004E7BB3" w:rsidRPr="003A2F86" w:rsidRDefault="004E7BB3" w:rsidP="00DB4807">
            <w:pPr>
              <w:spacing w:after="0" w:line="240" w:lineRule="auto"/>
              <w:jc w:val="center"/>
              <w:rPr>
                <w:rFonts w:ascii="Arial" w:eastAsia="Times New Roman" w:hAnsi="Arial" w:cs="Arial"/>
                <w:b/>
                <w:bCs/>
                <w:i/>
                <w:iCs/>
                <w:sz w:val="18"/>
                <w:szCs w:val="18"/>
                <w:lang w:eastAsia="en-US"/>
              </w:rPr>
            </w:pPr>
            <w:r w:rsidRPr="003A2F86">
              <w:rPr>
                <w:rFonts w:ascii="Arial" w:hAnsi="Arial" w:cs="Arial"/>
                <w:b/>
                <w:bCs/>
                <w:sz w:val="18"/>
                <w:szCs w:val="18"/>
              </w:rPr>
              <w:t xml:space="preserve">Iznos </w:t>
            </w:r>
            <w:r w:rsidRPr="003A2F86">
              <w:rPr>
                <w:rFonts w:ascii="Arial" w:hAnsi="Arial" w:cs="Arial"/>
                <w:b/>
                <w:bCs/>
                <w:color w:val="FF0000"/>
                <w:sz w:val="18"/>
                <w:szCs w:val="18"/>
              </w:rPr>
              <w:t>(€)</w:t>
            </w:r>
            <w:r w:rsidR="00AA6321">
              <w:rPr>
                <w:rFonts w:ascii="Arial" w:hAnsi="Arial" w:cs="Arial"/>
                <w:b/>
                <w:bCs/>
                <w:color w:val="FF0000"/>
                <w:sz w:val="18"/>
                <w:szCs w:val="18"/>
              </w:rPr>
              <w:t xml:space="preserve"> </w:t>
            </w:r>
            <w:r w:rsidR="00AA6321" w:rsidRPr="00AA6321">
              <w:rPr>
                <w:rFonts w:ascii="Arial" w:hAnsi="Arial" w:cs="Arial"/>
                <w:b/>
                <w:bCs/>
                <w:color w:val="0070C0"/>
                <w:sz w:val="18"/>
                <w:szCs w:val="18"/>
              </w:rPr>
              <w:t>(prihod Općine)</w:t>
            </w:r>
          </w:p>
        </w:tc>
        <w:tc>
          <w:tcPr>
            <w:tcW w:w="12066" w:type="dxa"/>
            <w:vAlign w:val="center"/>
          </w:tcPr>
          <w:p w14:paraId="1E1EB3D2" w14:textId="77777777" w:rsidR="004E7BB3" w:rsidRPr="003A2F86" w:rsidRDefault="004E7BB3" w:rsidP="00DB4807">
            <w:pPr>
              <w:spacing w:after="0" w:line="240" w:lineRule="auto"/>
              <w:jc w:val="center"/>
              <w:rPr>
                <w:rFonts w:ascii="Arial" w:eastAsia="Times New Roman" w:hAnsi="Arial" w:cs="Arial"/>
                <w:b/>
                <w:bCs/>
                <w:i/>
                <w:iCs/>
                <w:sz w:val="18"/>
                <w:szCs w:val="18"/>
                <w:lang w:eastAsia="en-US"/>
              </w:rPr>
            </w:pPr>
            <w:r w:rsidRPr="003A2F86">
              <w:rPr>
                <w:rFonts w:ascii="Arial" w:hAnsi="Arial" w:cs="Arial"/>
                <w:b/>
                <w:bCs/>
                <w:sz w:val="18"/>
                <w:szCs w:val="18"/>
              </w:rPr>
              <w:t>Obrazloženje</w:t>
            </w:r>
          </w:p>
        </w:tc>
      </w:tr>
      <w:tr w:rsidR="004E7BB3" w:rsidRPr="00F301E1" w14:paraId="2167F673" w14:textId="77777777" w:rsidTr="00A10829">
        <w:trPr>
          <w:jc w:val="center"/>
        </w:trPr>
        <w:tc>
          <w:tcPr>
            <w:tcW w:w="846" w:type="dxa"/>
            <w:tcBorders>
              <w:top w:val="nil"/>
              <w:left w:val="single" w:sz="8" w:space="0" w:color="000000"/>
              <w:bottom w:val="single" w:sz="8" w:space="0" w:color="000000"/>
              <w:right w:val="single" w:sz="8" w:space="0" w:color="000000"/>
            </w:tcBorders>
            <w:vAlign w:val="center"/>
          </w:tcPr>
          <w:p w14:paraId="66D08FC0" w14:textId="77777777" w:rsidR="004E7BB3" w:rsidRPr="00F301E1" w:rsidRDefault="004E7BB3" w:rsidP="00DB4807">
            <w:pPr>
              <w:spacing w:after="0" w:line="240" w:lineRule="auto"/>
              <w:jc w:val="center"/>
              <w:rPr>
                <w:rFonts w:ascii="Arial" w:hAnsi="Arial" w:cs="Arial"/>
                <w:sz w:val="18"/>
                <w:szCs w:val="18"/>
              </w:rPr>
            </w:pPr>
            <w:r w:rsidRPr="003A2F86">
              <w:rPr>
                <w:rFonts w:ascii="Arial" w:hAnsi="Arial" w:cs="Arial"/>
                <w:sz w:val="18"/>
                <w:szCs w:val="18"/>
              </w:rPr>
              <w:t>20</w:t>
            </w:r>
            <w:r>
              <w:rPr>
                <w:rFonts w:ascii="Arial" w:hAnsi="Arial" w:cs="Arial"/>
                <w:sz w:val="18"/>
                <w:szCs w:val="18"/>
              </w:rPr>
              <w:t>24</w:t>
            </w:r>
            <w:r w:rsidRPr="003A2F86">
              <w:rPr>
                <w:rFonts w:ascii="Arial" w:hAnsi="Arial" w:cs="Arial"/>
                <w:sz w:val="18"/>
                <w:szCs w:val="18"/>
              </w:rPr>
              <w:t>.</w:t>
            </w:r>
          </w:p>
        </w:tc>
        <w:tc>
          <w:tcPr>
            <w:tcW w:w="1134" w:type="dxa"/>
            <w:tcBorders>
              <w:top w:val="nil"/>
              <w:left w:val="nil"/>
              <w:bottom w:val="single" w:sz="8" w:space="0" w:color="000000"/>
              <w:right w:val="single" w:sz="8" w:space="0" w:color="000000"/>
            </w:tcBorders>
            <w:vAlign w:val="center"/>
          </w:tcPr>
          <w:p w14:paraId="6A27AF5C" w14:textId="77777777" w:rsidR="004E7BB3" w:rsidRPr="00F301E1" w:rsidRDefault="004E7BB3" w:rsidP="00DB4807">
            <w:pPr>
              <w:spacing w:after="0" w:line="240" w:lineRule="auto"/>
              <w:jc w:val="right"/>
              <w:rPr>
                <w:rFonts w:ascii="Arial" w:hAnsi="Arial" w:cs="Arial"/>
                <w:sz w:val="18"/>
                <w:szCs w:val="18"/>
              </w:rPr>
            </w:pPr>
            <w:r>
              <w:rPr>
                <w:rFonts w:ascii="Arial" w:hAnsi="Arial" w:cs="Arial"/>
                <w:sz w:val="18"/>
                <w:szCs w:val="18"/>
              </w:rPr>
              <w:t>135.591,96</w:t>
            </w:r>
          </w:p>
        </w:tc>
        <w:tc>
          <w:tcPr>
            <w:tcW w:w="12066" w:type="dxa"/>
            <w:tcBorders>
              <w:top w:val="nil"/>
              <w:left w:val="nil"/>
              <w:bottom w:val="single" w:sz="8" w:space="0" w:color="000000"/>
              <w:right w:val="single" w:sz="8" w:space="0" w:color="000000"/>
            </w:tcBorders>
            <w:vAlign w:val="center"/>
          </w:tcPr>
          <w:p w14:paraId="0F7F4ADF" w14:textId="77777777" w:rsidR="004E7BB3" w:rsidRPr="00F301E1" w:rsidRDefault="004E7BB3" w:rsidP="00DB4807">
            <w:pPr>
              <w:spacing w:after="0" w:line="240" w:lineRule="auto"/>
              <w:jc w:val="both"/>
              <w:rPr>
                <w:rFonts w:ascii="Arial" w:hAnsi="Arial" w:cs="Arial"/>
                <w:sz w:val="18"/>
                <w:szCs w:val="18"/>
              </w:rPr>
            </w:pPr>
            <w:r>
              <w:rPr>
                <w:rFonts w:ascii="Arial" w:hAnsi="Arial" w:cs="Arial"/>
                <w:sz w:val="18"/>
                <w:szCs w:val="18"/>
              </w:rPr>
              <w:t>P</w:t>
            </w:r>
            <w:r w:rsidRPr="00F301E1">
              <w:rPr>
                <w:rFonts w:ascii="Arial" w:hAnsi="Arial" w:cs="Arial"/>
                <w:sz w:val="18"/>
                <w:szCs w:val="18"/>
              </w:rPr>
              <w:t>rvo ostvarenje ovih prihoda na temelju Zakona o pomorskom dobru i morskim lukama (NN 83/2023), U prvom polugodištu 2024. godine ovi prihodi iznosili 57.676,50 €.</w:t>
            </w:r>
          </w:p>
        </w:tc>
      </w:tr>
      <w:tr w:rsidR="004E7BB3" w:rsidRPr="00F301E1" w14:paraId="4C5E4474" w14:textId="77777777" w:rsidTr="00A10829">
        <w:trPr>
          <w:jc w:val="center"/>
        </w:trPr>
        <w:tc>
          <w:tcPr>
            <w:tcW w:w="846" w:type="dxa"/>
            <w:vAlign w:val="center"/>
          </w:tcPr>
          <w:p w14:paraId="2C665E6A" w14:textId="1A5DDD23" w:rsidR="004E7BB3" w:rsidRPr="00EE4120" w:rsidRDefault="004E7BB3" w:rsidP="00DB4807">
            <w:pPr>
              <w:spacing w:after="0" w:line="240" w:lineRule="auto"/>
              <w:jc w:val="center"/>
              <w:rPr>
                <w:rFonts w:ascii="Arial" w:hAnsi="Arial" w:cs="Arial"/>
                <w:sz w:val="18"/>
                <w:szCs w:val="18"/>
              </w:rPr>
            </w:pPr>
            <w:r>
              <w:rPr>
                <w:rFonts w:ascii="Arial" w:hAnsi="Arial" w:cs="Arial"/>
                <w:sz w:val="18"/>
                <w:szCs w:val="18"/>
              </w:rPr>
              <w:t>2025.</w:t>
            </w:r>
          </w:p>
        </w:tc>
        <w:tc>
          <w:tcPr>
            <w:tcW w:w="1134" w:type="dxa"/>
            <w:tcBorders>
              <w:top w:val="nil"/>
              <w:left w:val="nil"/>
              <w:bottom w:val="single" w:sz="8" w:space="0" w:color="000000"/>
              <w:right w:val="single" w:sz="8" w:space="0" w:color="000000"/>
            </w:tcBorders>
            <w:vAlign w:val="center"/>
          </w:tcPr>
          <w:p w14:paraId="6E40CAAB" w14:textId="6F9A4C8D" w:rsidR="004E7BB3" w:rsidRPr="00761AF1" w:rsidRDefault="00AA6321" w:rsidP="00DB4807">
            <w:pPr>
              <w:spacing w:after="0" w:line="240" w:lineRule="auto"/>
              <w:jc w:val="right"/>
              <w:rPr>
                <w:rFonts w:ascii="Arial" w:hAnsi="Arial" w:cs="Arial"/>
                <w:sz w:val="18"/>
                <w:szCs w:val="18"/>
              </w:rPr>
            </w:pPr>
            <w:r>
              <w:rPr>
                <w:rFonts w:ascii="Arial" w:hAnsi="Arial" w:cs="Arial"/>
                <w:sz w:val="18"/>
                <w:szCs w:val="18"/>
              </w:rPr>
              <w:t>166.138,56</w:t>
            </w:r>
          </w:p>
        </w:tc>
        <w:tc>
          <w:tcPr>
            <w:tcW w:w="12066" w:type="dxa"/>
            <w:tcBorders>
              <w:top w:val="nil"/>
              <w:left w:val="nil"/>
              <w:bottom w:val="single" w:sz="8" w:space="0" w:color="000000"/>
              <w:right w:val="single" w:sz="8" w:space="0" w:color="000000"/>
            </w:tcBorders>
            <w:vAlign w:val="center"/>
          </w:tcPr>
          <w:p w14:paraId="46ABEADF" w14:textId="1C1A960D" w:rsidR="004E7BB3" w:rsidRPr="00F301E1" w:rsidRDefault="00AA6321" w:rsidP="00DB4807">
            <w:pPr>
              <w:spacing w:after="0" w:line="240" w:lineRule="auto"/>
              <w:jc w:val="both"/>
              <w:rPr>
                <w:rFonts w:ascii="Arial" w:hAnsi="Arial" w:cs="Arial"/>
                <w:sz w:val="18"/>
                <w:szCs w:val="18"/>
              </w:rPr>
            </w:pPr>
            <w:r w:rsidRPr="0001315B">
              <w:rPr>
                <w:rFonts w:ascii="Arial" w:eastAsia="Times New Roman" w:hAnsi="Arial" w:cs="Arial"/>
                <w:sz w:val="18"/>
                <w:szCs w:val="18"/>
              </w:rPr>
              <w:t xml:space="preserve">što je više za </w:t>
            </w:r>
            <w:r>
              <w:rPr>
                <w:rFonts w:ascii="Arial" w:eastAsia="Times New Roman" w:hAnsi="Arial" w:cs="Arial"/>
                <w:sz w:val="18"/>
                <w:szCs w:val="18"/>
              </w:rPr>
              <w:t>30.546,60</w:t>
            </w:r>
            <w:r w:rsidRPr="0001315B">
              <w:rPr>
                <w:rFonts w:ascii="Arial" w:eastAsia="Times New Roman" w:hAnsi="Arial" w:cs="Arial"/>
                <w:sz w:val="18"/>
                <w:szCs w:val="18"/>
              </w:rPr>
              <w:t xml:space="preserve"> € ili </w:t>
            </w:r>
            <w:r>
              <w:rPr>
                <w:rFonts w:ascii="Arial" w:eastAsia="Times New Roman" w:hAnsi="Arial" w:cs="Arial"/>
                <w:sz w:val="18"/>
                <w:szCs w:val="18"/>
              </w:rPr>
              <w:t>22,5</w:t>
            </w:r>
            <w:r w:rsidRPr="0001315B">
              <w:rPr>
                <w:rFonts w:ascii="Arial" w:eastAsia="Times New Roman" w:hAnsi="Arial" w:cs="Arial"/>
                <w:sz w:val="18"/>
                <w:szCs w:val="18"/>
              </w:rPr>
              <w:t>% u odnosu na izvještajno razdoblje prethodne godine.</w:t>
            </w:r>
            <w:r>
              <w:rPr>
                <w:rFonts w:ascii="Arial" w:eastAsia="Times New Roman" w:hAnsi="Arial" w:cs="Arial"/>
                <w:sz w:val="18"/>
                <w:szCs w:val="18"/>
              </w:rPr>
              <w:t xml:space="preserve"> </w:t>
            </w:r>
            <w:r w:rsidR="004E7BB3" w:rsidRPr="00F301E1">
              <w:rPr>
                <w:rFonts w:ascii="Arial" w:hAnsi="Arial" w:cs="Arial"/>
                <w:sz w:val="18"/>
                <w:szCs w:val="18"/>
              </w:rPr>
              <w:t xml:space="preserve">U prvom polugodištu 2025. ovi prihodi </w:t>
            </w:r>
            <w:r>
              <w:rPr>
                <w:rFonts w:ascii="Arial" w:hAnsi="Arial" w:cs="Arial"/>
                <w:sz w:val="18"/>
                <w:szCs w:val="18"/>
              </w:rPr>
              <w:t>iznosili</w:t>
            </w:r>
            <w:r w:rsidR="004E7BB3" w:rsidRPr="00F301E1">
              <w:rPr>
                <w:rFonts w:ascii="Arial" w:hAnsi="Arial" w:cs="Arial"/>
                <w:sz w:val="18"/>
                <w:szCs w:val="18"/>
              </w:rPr>
              <w:t xml:space="preserve"> 79.285,22 €.</w:t>
            </w:r>
          </w:p>
        </w:tc>
      </w:tr>
    </w:tbl>
    <w:p w14:paraId="5774EF01" w14:textId="77777777" w:rsidR="004E7BB3" w:rsidRPr="00A10829" w:rsidRDefault="004E7BB3" w:rsidP="004E7BB3">
      <w:pPr>
        <w:spacing w:after="0" w:line="240" w:lineRule="auto"/>
        <w:jc w:val="both"/>
        <w:rPr>
          <w:rFonts w:ascii="Arial" w:eastAsia="Times New Roman" w:hAnsi="Arial" w:cs="Arial"/>
          <w:i/>
          <w:iCs/>
          <w:sz w:val="14"/>
          <w:szCs w:val="14"/>
        </w:rPr>
      </w:pPr>
    </w:p>
    <w:p w14:paraId="3C01E38A" w14:textId="77777777" w:rsidR="004E7BB3" w:rsidRPr="00A10829" w:rsidRDefault="004E7BB3" w:rsidP="004E7BB3">
      <w:pPr>
        <w:spacing w:after="0" w:line="240" w:lineRule="auto"/>
        <w:jc w:val="both"/>
        <w:rPr>
          <w:rFonts w:ascii="Arial" w:eastAsia="Times New Roman" w:hAnsi="Arial" w:cs="Arial"/>
          <w:i/>
          <w:iCs/>
          <w:sz w:val="18"/>
          <w:szCs w:val="18"/>
        </w:rPr>
      </w:pPr>
      <w:r w:rsidRPr="00A10829">
        <w:rPr>
          <w:rFonts w:ascii="Arial" w:eastAsia="Times New Roman" w:hAnsi="Arial" w:cs="Arial"/>
          <w:i/>
          <w:iCs/>
          <w:sz w:val="18"/>
          <w:szCs w:val="18"/>
        </w:rPr>
        <w:t>*Usporedba:</w:t>
      </w:r>
    </w:p>
    <w:tbl>
      <w:tblPr>
        <w:tblW w:w="14180" w:type="dxa"/>
        <w:jc w:val="center"/>
        <w:tblLayout w:type="fixed"/>
        <w:tblLook w:val="04A0" w:firstRow="1" w:lastRow="0" w:firstColumn="1" w:lastColumn="0" w:noHBand="0" w:noVBand="1"/>
      </w:tblPr>
      <w:tblGrid>
        <w:gridCol w:w="988"/>
        <w:gridCol w:w="1134"/>
        <w:gridCol w:w="12058"/>
      </w:tblGrid>
      <w:tr w:rsidR="004E7BB3" w:rsidRPr="0001315B" w14:paraId="4BF2F0DE" w14:textId="77777777" w:rsidTr="00FB6F9B">
        <w:trPr>
          <w:trHeight w:val="360"/>
          <w:jc w:val="center"/>
        </w:trPr>
        <w:tc>
          <w:tcPr>
            <w:tcW w:w="14180" w:type="dxa"/>
            <w:gridSpan w:val="3"/>
            <w:tcBorders>
              <w:top w:val="single" w:sz="4" w:space="0" w:color="auto"/>
              <w:left w:val="single" w:sz="4" w:space="0" w:color="auto"/>
              <w:bottom w:val="single" w:sz="4" w:space="0" w:color="auto"/>
              <w:right w:val="single" w:sz="4" w:space="0" w:color="auto"/>
            </w:tcBorders>
            <w:vAlign w:val="center"/>
            <w:hideMark/>
          </w:tcPr>
          <w:p w14:paraId="2F82E75F" w14:textId="77777777" w:rsidR="004E7BB3" w:rsidRPr="0001315B" w:rsidRDefault="004E7BB3" w:rsidP="00DB4807">
            <w:pPr>
              <w:spacing w:after="0" w:line="240" w:lineRule="auto"/>
              <w:jc w:val="center"/>
              <w:rPr>
                <w:rFonts w:ascii="Arial" w:eastAsia="Times New Roman" w:hAnsi="Arial" w:cs="Arial"/>
                <w:b/>
                <w:bCs/>
                <w:i/>
                <w:iCs/>
                <w:sz w:val="20"/>
                <w:szCs w:val="20"/>
              </w:rPr>
            </w:pPr>
            <w:r w:rsidRPr="0001315B">
              <w:rPr>
                <w:rFonts w:ascii="Arial" w:eastAsia="Times New Roman" w:hAnsi="Arial" w:cs="Arial"/>
                <w:b/>
                <w:bCs/>
                <w:i/>
                <w:iCs/>
                <w:sz w:val="20"/>
                <w:szCs w:val="20"/>
              </w:rPr>
              <w:t>Prihod od dozvole za obavljanje prijevoza (</w:t>
            </w:r>
            <w:r w:rsidRPr="0001315B">
              <w:rPr>
                <w:rFonts w:ascii="Arial" w:eastAsia="Times New Roman" w:hAnsi="Arial" w:cs="Arial"/>
                <w:b/>
                <w:bCs/>
                <w:i/>
                <w:iCs/>
                <w:color w:val="FF0000"/>
                <w:sz w:val="20"/>
                <w:szCs w:val="20"/>
              </w:rPr>
              <w:t>6512</w:t>
            </w:r>
            <w:r w:rsidRPr="0001315B">
              <w:rPr>
                <w:rFonts w:ascii="Arial" w:eastAsia="Times New Roman" w:hAnsi="Arial" w:cs="Arial"/>
                <w:b/>
                <w:bCs/>
                <w:i/>
                <w:iCs/>
                <w:sz w:val="20"/>
                <w:szCs w:val="20"/>
              </w:rPr>
              <w:t>)</w:t>
            </w:r>
          </w:p>
        </w:tc>
      </w:tr>
      <w:tr w:rsidR="006C6706" w:rsidRPr="0001315B" w14:paraId="7D4A89FE" w14:textId="77777777" w:rsidTr="00A10829">
        <w:trPr>
          <w:trHeight w:val="376"/>
          <w:jc w:val="center"/>
        </w:trPr>
        <w:tc>
          <w:tcPr>
            <w:tcW w:w="988" w:type="dxa"/>
            <w:tcBorders>
              <w:top w:val="single" w:sz="4" w:space="0" w:color="auto"/>
              <w:left w:val="single" w:sz="8" w:space="0" w:color="000000"/>
              <w:bottom w:val="single" w:sz="8" w:space="0" w:color="000000"/>
              <w:right w:val="single" w:sz="8" w:space="0" w:color="000000"/>
            </w:tcBorders>
            <w:vAlign w:val="center"/>
            <w:hideMark/>
          </w:tcPr>
          <w:p w14:paraId="420F47D2" w14:textId="77777777" w:rsidR="004E7BB3" w:rsidRPr="0001315B" w:rsidRDefault="004E7BB3" w:rsidP="00DB4807">
            <w:pPr>
              <w:spacing w:after="0" w:line="240" w:lineRule="auto"/>
              <w:jc w:val="center"/>
              <w:rPr>
                <w:rFonts w:ascii="Arial" w:hAnsi="Arial" w:cs="Arial"/>
                <w:b/>
                <w:bCs/>
                <w:sz w:val="18"/>
                <w:szCs w:val="18"/>
              </w:rPr>
            </w:pPr>
            <w:r w:rsidRPr="0001315B">
              <w:rPr>
                <w:rFonts w:ascii="Arial" w:hAnsi="Arial" w:cs="Arial"/>
                <w:b/>
                <w:bCs/>
                <w:sz w:val="18"/>
                <w:szCs w:val="18"/>
              </w:rPr>
              <w:t>Godina</w:t>
            </w:r>
          </w:p>
        </w:tc>
        <w:tc>
          <w:tcPr>
            <w:tcW w:w="1134" w:type="dxa"/>
            <w:tcBorders>
              <w:top w:val="single" w:sz="4" w:space="0" w:color="auto"/>
              <w:left w:val="nil"/>
              <w:bottom w:val="single" w:sz="8" w:space="0" w:color="000000"/>
              <w:right w:val="single" w:sz="8" w:space="0" w:color="000000"/>
            </w:tcBorders>
            <w:vAlign w:val="center"/>
            <w:hideMark/>
          </w:tcPr>
          <w:p w14:paraId="5F430E97" w14:textId="77777777" w:rsidR="004E7BB3" w:rsidRPr="0001315B" w:rsidRDefault="004E7BB3" w:rsidP="00DB4807">
            <w:pPr>
              <w:spacing w:after="0" w:line="240" w:lineRule="auto"/>
              <w:jc w:val="center"/>
              <w:rPr>
                <w:rFonts w:ascii="Arial" w:hAnsi="Arial" w:cs="Arial"/>
                <w:b/>
                <w:bCs/>
                <w:sz w:val="18"/>
                <w:szCs w:val="18"/>
              </w:rPr>
            </w:pPr>
            <w:r w:rsidRPr="0001315B">
              <w:rPr>
                <w:rFonts w:ascii="Arial" w:hAnsi="Arial" w:cs="Arial"/>
                <w:b/>
                <w:bCs/>
                <w:sz w:val="18"/>
                <w:szCs w:val="18"/>
              </w:rPr>
              <w:t>Iznos (</w:t>
            </w:r>
            <w:r w:rsidRPr="000B6DCB">
              <w:rPr>
                <w:rFonts w:ascii="Arial" w:hAnsi="Arial" w:cs="Arial"/>
                <w:b/>
                <w:bCs/>
                <w:color w:val="EE0000"/>
                <w:sz w:val="18"/>
                <w:szCs w:val="18"/>
              </w:rPr>
              <w:t>€</w:t>
            </w:r>
            <w:r w:rsidRPr="0001315B">
              <w:rPr>
                <w:rFonts w:ascii="Arial" w:hAnsi="Arial" w:cs="Arial"/>
                <w:b/>
                <w:bCs/>
                <w:sz w:val="18"/>
                <w:szCs w:val="18"/>
              </w:rPr>
              <w:t>)</w:t>
            </w:r>
          </w:p>
        </w:tc>
        <w:tc>
          <w:tcPr>
            <w:tcW w:w="12058" w:type="dxa"/>
            <w:tcBorders>
              <w:top w:val="single" w:sz="4" w:space="0" w:color="auto"/>
              <w:left w:val="nil"/>
              <w:bottom w:val="single" w:sz="8" w:space="0" w:color="000000"/>
              <w:right w:val="single" w:sz="8" w:space="0" w:color="000000"/>
            </w:tcBorders>
            <w:vAlign w:val="center"/>
            <w:hideMark/>
          </w:tcPr>
          <w:p w14:paraId="2A93A5C0" w14:textId="77777777" w:rsidR="004E7BB3" w:rsidRPr="0001315B" w:rsidRDefault="004E7BB3" w:rsidP="00DB4807">
            <w:pPr>
              <w:spacing w:after="0" w:line="240" w:lineRule="auto"/>
              <w:jc w:val="center"/>
              <w:rPr>
                <w:rFonts w:ascii="Arial" w:hAnsi="Arial" w:cs="Arial"/>
                <w:b/>
                <w:bCs/>
                <w:sz w:val="18"/>
                <w:szCs w:val="18"/>
              </w:rPr>
            </w:pPr>
            <w:r w:rsidRPr="0001315B">
              <w:rPr>
                <w:rFonts w:ascii="Arial" w:hAnsi="Arial" w:cs="Arial"/>
                <w:b/>
                <w:bCs/>
                <w:sz w:val="18"/>
                <w:szCs w:val="18"/>
              </w:rPr>
              <w:t xml:space="preserve">Obrazloženje </w:t>
            </w:r>
          </w:p>
        </w:tc>
      </w:tr>
      <w:tr w:rsidR="006C6706" w:rsidRPr="0001315B" w14:paraId="0603E64A" w14:textId="77777777" w:rsidTr="00A10829">
        <w:trPr>
          <w:trHeight w:val="273"/>
          <w:jc w:val="center"/>
        </w:trPr>
        <w:tc>
          <w:tcPr>
            <w:tcW w:w="988" w:type="dxa"/>
            <w:tcBorders>
              <w:top w:val="nil"/>
              <w:left w:val="single" w:sz="8" w:space="0" w:color="000000"/>
              <w:bottom w:val="single" w:sz="8" w:space="0" w:color="000000"/>
              <w:right w:val="single" w:sz="8" w:space="0" w:color="000000"/>
            </w:tcBorders>
            <w:vAlign w:val="center"/>
            <w:hideMark/>
          </w:tcPr>
          <w:p w14:paraId="2F9CCDE9" w14:textId="77777777" w:rsidR="004E7BB3" w:rsidRPr="0001315B" w:rsidRDefault="004E7BB3" w:rsidP="00DB4807">
            <w:pPr>
              <w:spacing w:after="0" w:line="240" w:lineRule="auto"/>
              <w:jc w:val="center"/>
              <w:rPr>
                <w:rFonts w:ascii="Arial" w:eastAsia="Times New Roman" w:hAnsi="Arial" w:cs="Arial"/>
                <w:i/>
                <w:iCs/>
                <w:sz w:val="18"/>
                <w:szCs w:val="18"/>
              </w:rPr>
            </w:pPr>
            <w:r w:rsidRPr="0001315B">
              <w:rPr>
                <w:rFonts w:ascii="Arial" w:eastAsia="Times New Roman" w:hAnsi="Arial" w:cs="Arial"/>
                <w:i/>
                <w:iCs/>
                <w:sz w:val="18"/>
                <w:szCs w:val="18"/>
              </w:rPr>
              <w:t>2018.</w:t>
            </w:r>
          </w:p>
        </w:tc>
        <w:tc>
          <w:tcPr>
            <w:tcW w:w="1134" w:type="dxa"/>
            <w:tcBorders>
              <w:top w:val="nil"/>
              <w:left w:val="nil"/>
              <w:bottom w:val="single" w:sz="8" w:space="0" w:color="000000"/>
              <w:right w:val="single" w:sz="8" w:space="0" w:color="000000"/>
            </w:tcBorders>
            <w:vAlign w:val="center"/>
            <w:hideMark/>
          </w:tcPr>
          <w:p w14:paraId="2D942835" w14:textId="77777777" w:rsidR="004E7BB3" w:rsidRPr="0001315B" w:rsidRDefault="004E7BB3" w:rsidP="00DB4807">
            <w:pPr>
              <w:spacing w:after="0" w:line="240" w:lineRule="auto"/>
              <w:jc w:val="right"/>
              <w:rPr>
                <w:rFonts w:ascii="Arial" w:eastAsia="Times New Roman" w:hAnsi="Arial" w:cs="Arial"/>
                <w:i/>
                <w:iCs/>
                <w:sz w:val="18"/>
                <w:szCs w:val="18"/>
              </w:rPr>
            </w:pPr>
            <w:r w:rsidRPr="0001315B">
              <w:rPr>
                <w:rFonts w:ascii="Arial" w:eastAsia="Times New Roman" w:hAnsi="Arial" w:cs="Arial"/>
                <w:i/>
                <w:iCs/>
                <w:sz w:val="18"/>
                <w:szCs w:val="18"/>
              </w:rPr>
              <w:t>984,80</w:t>
            </w:r>
          </w:p>
        </w:tc>
        <w:tc>
          <w:tcPr>
            <w:tcW w:w="12058" w:type="dxa"/>
            <w:tcBorders>
              <w:top w:val="nil"/>
              <w:left w:val="nil"/>
              <w:bottom w:val="single" w:sz="8" w:space="0" w:color="000000"/>
              <w:right w:val="single" w:sz="8" w:space="0" w:color="000000"/>
            </w:tcBorders>
            <w:vAlign w:val="center"/>
            <w:hideMark/>
          </w:tcPr>
          <w:p w14:paraId="27D73473" w14:textId="77777777" w:rsidR="004E7BB3" w:rsidRPr="0001315B" w:rsidRDefault="004E7BB3" w:rsidP="00DB4807">
            <w:pPr>
              <w:spacing w:after="0" w:line="240" w:lineRule="auto"/>
              <w:jc w:val="both"/>
              <w:rPr>
                <w:rFonts w:ascii="Arial" w:eastAsia="Times New Roman" w:hAnsi="Arial" w:cs="Arial"/>
                <w:sz w:val="18"/>
                <w:szCs w:val="18"/>
              </w:rPr>
            </w:pPr>
            <w:r w:rsidRPr="0001315B">
              <w:rPr>
                <w:rFonts w:ascii="Arial" w:eastAsia="Times New Roman" w:hAnsi="Arial" w:cs="Arial"/>
                <w:sz w:val="18"/>
                <w:szCs w:val="18"/>
              </w:rPr>
              <w:t>prva godina ostvarenja ovih prihoda po novim propisima</w:t>
            </w:r>
          </w:p>
        </w:tc>
      </w:tr>
      <w:tr w:rsidR="006C6706" w:rsidRPr="0001315B" w14:paraId="47A89D7D" w14:textId="77777777" w:rsidTr="00A10829">
        <w:trPr>
          <w:trHeight w:val="232"/>
          <w:jc w:val="center"/>
        </w:trPr>
        <w:tc>
          <w:tcPr>
            <w:tcW w:w="988" w:type="dxa"/>
            <w:tcBorders>
              <w:top w:val="nil"/>
              <w:left w:val="single" w:sz="8" w:space="0" w:color="000000"/>
              <w:bottom w:val="single" w:sz="8" w:space="0" w:color="000000"/>
              <w:right w:val="single" w:sz="8" w:space="0" w:color="000000"/>
            </w:tcBorders>
            <w:vAlign w:val="center"/>
            <w:hideMark/>
          </w:tcPr>
          <w:p w14:paraId="5EA6556F" w14:textId="77777777" w:rsidR="004E7BB3" w:rsidRPr="0001315B" w:rsidRDefault="004E7BB3" w:rsidP="00DB4807">
            <w:pPr>
              <w:spacing w:after="0" w:line="240" w:lineRule="auto"/>
              <w:jc w:val="center"/>
              <w:rPr>
                <w:rFonts w:ascii="Arial" w:eastAsia="Times New Roman" w:hAnsi="Arial" w:cs="Arial"/>
                <w:i/>
                <w:iCs/>
                <w:sz w:val="18"/>
                <w:szCs w:val="18"/>
              </w:rPr>
            </w:pPr>
            <w:r w:rsidRPr="0001315B">
              <w:rPr>
                <w:rFonts w:ascii="Arial" w:eastAsia="Times New Roman" w:hAnsi="Arial" w:cs="Arial"/>
                <w:i/>
                <w:iCs/>
                <w:sz w:val="18"/>
                <w:szCs w:val="18"/>
              </w:rPr>
              <w:t>2019.</w:t>
            </w:r>
          </w:p>
        </w:tc>
        <w:tc>
          <w:tcPr>
            <w:tcW w:w="1134" w:type="dxa"/>
            <w:tcBorders>
              <w:top w:val="nil"/>
              <w:left w:val="nil"/>
              <w:bottom w:val="single" w:sz="8" w:space="0" w:color="000000"/>
              <w:right w:val="single" w:sz="8" w:space="0" w:color="000000"/>
            </w:tcBorders>
            <w:vAlign w:val="center"/>
            <w:hideMark/>
          </w:tcPr>
          <w:p w14:paraId="2E287824" w14:textId="77777777" w:rsidR="004E7BB3" w:rsidRPr="0001315B" w:rsidRDefault="004E7BB3" w:rsidP="00DB4807">
            <w:pPr>
              <w:spacing w:after="0" w:line="240" w:lineRule="auto"/>
              <w:jc w:val="right"/>
              <w:rPr>
                <w:rFonts w:ascii="Arial" w:eastAsia="Times New Roman" w:hAnsi="Arial" w:cs="Arial"/>
                <w:i/>
                <w:iCs/>
                <w:sz w:val="18"/>
                <w:szCs w:val="18"/>
              </w:rPr>
            </w:pPr>
            <w:r w:rsidRPr="0001315B">
              <w:rPr>
                <w:rFonts w:ascii="Arial" w:eastAsia="Times New Roman" w:hAnsi="Arial" w:cs="Arial"/>
                <w:i/>
                <w:iCs/>
                <w:sz w:val="18"/>
                <w:szCs w:val="18"/>
              </w:rPr>
              <w:t>9.455,17</w:t>
            </w:r>
          </w:p>
        </w:tc>
        <w:tc>
          <w:tcPr>
            <w:tcW w:w="12058" w:type="dxa"/>
            <w:tcBorders>
              <w:top w:val="nil"/>
              <w:left w:val="nil"/>
              <w:bottom w:val="single" w:sz="8" w:space="0" w:color="000000"/>
              <w:right w:val="single" w:sz="8" w:space="0" w:color="000000"/>
            </w:tcBorders>
            <w:vAlign w:val="center"/>
            <w:hideMark/>
          </w:tcPr>
          <w:p w14:paraId="6195B75F" w14:textId="77777777" w:rsidR="004E7BB3" w:rsidRPr="0001315B" w:rsidRDefault="004E7BB3" w:rsidP="00DB4807">
            <w:pPr>
              <w:spacing w:after="0" w:line="240" w:lineRule="auto"/>
              <w:jc w:val="both"/>
              <w:rPr>
                <w:rFonts w:ascii="Arial" w:eastAsia="Times New Roman" w:hAnsi="Arial" w:cs="Arial"/>
                <w:sz w:val="18"/>
                <w:szCs w:val="18"/>
              </w:rPr>
            </w:pPr>
            <w:r w:rsidRPr="0001315B">
              <w:rPr>
                <w:rFonts w:ascii="Arial" w:eastAsia="Times New Roman" w:hAnsi="Arial" w:cs="Arial"/>
                <w:sz w:val="18"/>
                <w:szCs w:val="18"/>
              </w:rPr>
              <w:t> </w:t>
            </w:r>
          </w:p>
        </w:tc>
      </w:tr>
      <w:tr w:rsidR="006C6706" w:rsidRPr="0001315B" w14:paraId="6D7678F3" w14:textId="77777777" w:rsidTr="00A10829">
        <w:trPr>
          <w:trHeight w:val="123"/>
          <w:jc w:val="center"/>
        </w:trPr>
        <w:tc>
          <w:tcPr>
            <w:tcW w:w="988" w:type="dxa"/>
            <w:tcBorders>
              <w:top w:val="nil"/>
              <w:left w:val="single" w:sz="8" w:space="0" w:color="000000"/>
              <w:bottom w:val="single" w:sz="8" w:space="0" w:color="000000"/>
              <w:right w:val="single" w:sz="8" w:space="0" w:color="000000"/>
            </w:tcBorders>
            <w:vAlign w:val="center"/>
            <w:hideMark/>
          </w:tcPr>
          <w:p w14:paraId="2AAEA66B" w14:textId="77777777" w:rsidR="004E7BB3" w:rsidRPr="0001315B" w:rsidRDefault="004E7BB3" w:rsidP="00DB4807">
            <w:pPr>
              <w:spacing w:after="0" w:line="240" w:lineRule="auto"/>
              <w:jc w:val="center"/>
              <w:rPr>
                <w:rFonts w:ascii="Arial" w:eastAsia="Times New Roman" w:hAnsi="Arial" w:cs="Arial"/>
                <w:i/>
                <w:iCs/>
                <w:sz w:val="18"/>
                <w:szCs w:val="18"/>
              </w:rPr>
            </w:pPr>
            <w:r w:rsidRPr="0001315B">
              <w:rPr>
                <w:rFonts w:ascii="Arial" w:eastAsia="Times New Roman" w:hAnsi="Arial" w:cs="Arial"/>
                <w:i/>
                <w:iCs/>
                <w:sz w:val="18"/>
                <w:szCs w:val="18"/>
              </w:rPr>
              <w:t>2020.</w:t>
            </w:r>
          </w:p>
        </w:tc>
        <w:tc>
          <w:tcPr>
            <w:tcW w:w="1134" w:type="dxa"/>
            <w:tcBorders>
              <w:top w:val="nil"/>
              <w:left w:val="nil"/>
              <w:bottom w:val="single" w:sz="8" w:space="0" w:color="000000"/>
              <w:right w:val="single" w:sz="8" w:space="0" w:color="000000"/>
            </w:tcBorders>
            <w:vAlign w:val="center"/>
            <w:hideMark/>
          </w:tcPr>
          <w:p w14:paraId="093320D4" w14:textId="77777777" w:rsidR="004E7BB3" w:rsidRPr="0001315B" w:rsidRDefault="004E7BB3" w:rsidP="00DB4807">
            <w:pPr>
              <w:spacing w:after="0" w:line="240" w:lineRule="auto"/>
              <w:jc w:val="right"/>
              <w:rPr>
                <w:rFonts w:ascii="Arial" w:eastAsia="Times New Roman" w:hAnsi="Arial" w:cs="Arial"/>
                <w:i/>
                <w:iCs/>
                <w:sz w:val="18"/>
                <w:szCs w:val="18"/>
              </w:rPr>
            </w:pPr>
            <w:r w:rsidRPr="0001315B">
              <w:rPr>
                <w:rFonts w:ascii="Arial" w:eastAsia="Times New Roman" w:hAnsi="Arial" w:cs="Arial"/>
                <w:i/>
                <w:iCs/>
                <w:sz w:val="18"/>
                <w:szCs w:val="18"/>
              </w:rPr>
              <w:t>2.455,37</w:t>
            </w:r>
          </w:p>
        </w:tc>
        <w:tc>
          <w:tcPr>
            <w:tcW w:w="12058" w:type="dxa"/>
            <w:tcBorders>
              <w:top w:val="nil"/>
              <w:left w:val="nil"/>
              <w:bottom w:val="single" w:sz="8" w:space="0" w:color="000000"/>
              <w:right w:val="single" w:sz="8" w:space="0" w:color="000000"/>
            </w:tcBorders>
            <w:vAlign w:val="center"/>
            <w:hideMark/>
          </w:tcPr>
          <w:p w14:paraId="097F2336" w14:textId="77777777" w:rsidR="004E7BB3" w:rsidRPr="0001315B" w:rsidRDefault="004E7BB3" w:rsidP="00DB4807">
            <w:pPr>
              <w:spacing w:after="0" w:line="240" w:lineRule="auto"/>
              <w:jc w:val="both"/>
              <w:rPr>
                <w:rFonts w:ascii="Arial" w:eastAsia="Times New Roman" w:hAnsi="Arial" w:cs="Arial"/>
                <w:sz w:val="18"/>
                <w:szCs w:val="18"/>
              </w:rPr>
            </w:pPr>
            <w:r w:rsidRPr="0001315B">
              <w:rPr>
                <w:rFonts w:ascii="Arial" w:eastAsia="Times New Roman" w:hAnsi="Arial" w:cs="Arial"/>
                <w:sz w:val="18"/>
                <w:szCs w:val="18"/>
              </w:rPr>
              <w:t> </w:t>
            </w:r>
          </w:p>
        </w:tc>
      </w:tr>
      <w:tr w:rsidR="006C6706" w:rsidRPr="0001315B" w14:paraId="12C86926" w14:textId="77777777" w:rsidTr="00A10829">
        <w:trPr>
          <w:trHeight w:val="53"/>
          <w:jc w:val="center"/>
        </w:trPr>
        <w:tc>
          <w:tcPr>
            <w:tcW w:w="988" w:type="dxa"/>
            <w:tcBorders>
              <w:top w:val="nil"/>
              <w:left w:val="single" w:sz="8" w:space="0" w:color="000000"/>
              <w:bottom w:val="single" w:sz="8" w:space="0" w:color="000000"/>
              <w:right w:val="single" w:sz="8" w:space="0" w:color="000000"/>
            </w:tcBorders>
            <w:vAlign w:val="center"/>
            <w:hideMark/>
          </w:tcPr>
          <w:p w14:paraId="750AF42A" w14:textId="77777777" w:rsidR="004E7BB3" w:rsidRPr="0001315B" w:rsidRDefault="004E7BB3" w:rsidP="00DB4807">
            <w:pPr>
              <w:spacing w:after="0" w:line="240" w:lineRule="auto"/>
              <w:jc w:val="center"/>
              <w:rPr>
                <w:rFonts w:ascii="Arial" w:eastAsia="Times New Roman" w:hAnsi="Arial" w:cs="Arial"/>
                <w:i/>
                <w:iCs/>
                <w:sz w:val="18"/>
                <w:szCs w:val="18"/>
              </w:rPr>
            </w:pPr>
            <w:r w:rsidRPr="0001315B">
              <w:rPr>
                <w:rFonts w:ascii="Arial" w:eastAsia="Times New Roman" w:hAnsi="Arial" w:cs="Arial"/>
                <w:i/>
                <w:iCs/>
                <w:sz w:val="18"/>
                <w:szCs w:val="18"/>
              </w:rPr>
              <w:t>2021.</w:t>
            </w:r>
          </w:p>
        </w:tc>
        <w:tc>
          <w:tcPr>
            <w:tcW w:w="1134" w:type="dxa"/>
            <w:tcBorders>
              <w:top w:val="nil"/>
              <w:left w:val="nil"/>
              <w:bottom w:val="single" w:sz="8" w:space="0" w:color="000000"/>
              <w:right w:val="single" w:sz="8" w:space="0" w:color="000000"/>
            </w:tcBorders>
            <w:vAlign w:val="center"/>
            <w:hideMark/>
          </w:tcPr>
          <w:p w14:paraId="4045F30F" w14:textId="77777777" w:rsidR="004E7BB3" w:rsidRPr="0001315B" w:rsidRDefault="004E7BB3" w:rsidP="00DB4807">
            <w:pPr>
              <w:spacing w:after="0" w:line="240" w:lineRule="auto"/>
              <w:jc w:val="right"/>
              <w:rPr>
                <w:rFonts w:ascii="Arial" w:eastAsia="Times New Roman" w:hAnsi="Arial" w:cs="Arial"/>
                <w:i/>
                <w:iCs/>
                <w:sz w:val="18"/>
                <w:szCs w:val="18"/>
              </w:rPr>
            </w:pPr>
            <w:r w:rsidRPr="0001315B">
              <w:rPr>
                <w:rFonts w:ascii="Arial" w:eastAsia="Times New Roman" w:hAnsi="Arial" w:cs="Arial"/>
                <w:i/>
                <w:iCs/>
                <w:sz w:val="18"/>
                <w:szCs w:val="18"/>
              </w:rPr>
              <w:t>9.423,23</w:t>
            </w:r>
          </w:p>
        </w:tc>
        <w:tc>
          <w:tcPr>
            <w:tcW w:w="12058" w:type="dxa"/>
            <w:tcBorders>
              <w:top w:val="nil"/>
              <w:left w:val="nil"/>
              <w:bottom w:val="single" w:sz="8" w:space="0" w:color="000000"/>
              <w:right w:val="single" w:sz="8" w:space="0" w:color="000000"/>
            </w:tcBorders>
            <w:vAlign w:val="center"/>
            <w:hideMark/>
          </w:tcPr>
          <w:p w14:paraId="568A4D68" w14:textId="77777777" w:rsidR="004E7BB3" w:rsidRPr="0001315B" w:rsidRDefault="004E7BB3" w:rsidP="00DB4807">
            <w:pPr>
              <w:spacing w:after="0" w:line="240" w:lineRule="auto"/>
              <w:jc w:val="both"/>
              <w:rPr>
                <w:rFonts w:ascii="Arial" w:eastAsia="Times New Roman" w:hAnsi="Arial" w:cs="Arial"/>
                <w:sz w:val="18"/>
                <w:szCs w:val="18"/>
              </w:rPr>
            </w:pPr>
            <w:r w:rsidRPr="0001315B">
              <w:rPr>
                <w:rFonts w:ascii="Arial" w:eastAsia="Times New Roman" w:hAnsi="Arial" w:cs="Arial"/>
                <w:sz w:val="18"/>
                <w:szCs w:val="18"/>
              </w:rPr>
              <w:t> </w:t>
            </w:r>
          </w:p>
        </w:tc>
      </w:tr>
      <w:tr w:rsidR="006C6706" w:rsidRPr="0001315B" w14:paraId="11CF9518" w14:textId="77777777" w:rsidTr="00A10829">
        <w:trPr>
          <w:trHeight w:val="101"/>
          <w:jc w:val="center"/>
        </w:trPr>
        <w:tc>
          <w:tcPr>
            <w:tcW w:w="988" w:type="dxa"/>
            <w:tcBorders>
              <w:top w:val="nil"/>
              <w:left w:val="single" w:sz="8" w:space="0" w:color="000000"/>
              <w:bottom w:val="single" w:sz="8" w:space="0" w:color="000000"/>
              <w:right w:val="single" w:sz="8" w:space="0" w:color="000000"/>
            </w:tcBorders>
            <w:vAlign w:val="center"/>
            <w:hideMark/>
          </w:tcPr>
          <w:p w14:paraId="2D768C88" w14:textId="77777777" w:rsidR="004E7BB3" w:rsidRPr="0001315B" w:rsidRDefault="004E7BB3" w:rsidP="00DB4807">
            <w:pPr>
              <w:spacing w:after="0" w:line="240" w:lineRule="auto"/>
              <w:jc w:val="center"/>
              <w:rPr>
                <w:rFonts w:ascii="Arial" w:eastAsia="Times New Roman" w:hAnsi="Arial" w:cs="Arial"/>
                <w:i/>
                <w:iCs/>
                <w:sz w:val="18"/>
                <w:szCs w:val="18"/>
              </w:rPr>
            </w:pPr>
            <w:r w:rsidRPr="0001315B">
              <w:rPr>
                <w:rFonts w:ascii="Arial" w:eastAsia="Times New Roman" w:hAnsi="Arial" w:cs="Arial"/>
                <w:i/>
                <w:iCs/>
                <w:sz w:val="18"/>
                <w:szCs w:val="18"/>
              </w:rPr>
              <w:t>2022.</w:t>
            </w:r>
          </w:p>
        </w:tc>
        <w:tc>
          <w:tcPr>
            <w:tcW w:w="1134" w:type="dxa"/>
            <w:tcBorders>
              <w:top w:val="nil"/>
              <w:left w:val="nil"/>
              <w:bottom w:val="single" w:sz="8" w:space="0" w:color="000000"/>
              <w:right w:val="single" w:sz="8" w:space="0" w:color="000000"/>
            </w:tcBorders>
            <w:vAlign w:val="center"/>
            <w:hideMark/>
          </w:tcPr>
          <w:p w14:paraId="37F9F9F3" w14:textId="77777777" w:rsidR="004E7BB3" w:rsidRPr="0001315B" w:rsidRDefault="004E7BB3" w:rsidP="00DB4807">
            <w:pPr>
              <w:spacing w:after="0" w:line="240" w:lineRule="auto"/>
              <w:jc w:val="right"/>
              <w:rPr>
                <w:rFonts w:ascii="Arial" w:eastAsia="Times New Roman" w:hAnsi="Arial" w:cs="Arial"/>
                <w:i/>
                <w:iCs/>
                <w:sz w:val="18"/>
                <w:szCs w:val="18"/>
              </w:rPr>
            </w:pPr>
            <w:r w:rsidRPr="0001315B">
              <w:rPr>
                <w:rFonts w:ascii="Arial" w:eastAsia="Times New Roman" w:hAnsi="Arial" w:cs="Arial"/>
                <w:i/>
                <w:iCs/>
                <w:sz w:val="18"/>
                <w:szCs w:val="18"/>
              </w:rPr>
              <w:t>7.830,65</w:t>
            </w:r>
          </w:p>
        </w:tc>
        <w:tc>
          <w:tcPr>
            <w:tcW w:w="12058" w:type="dxa"/>
            <w:tcBorders>
              <w:top w:val="nil"/>
              <w:left w:val="nil"/>
              <w:bottom w:val="single" w:sz="8" w:space="0" w:color="000000"/>
              <w:right w:val="single" w:sz="8" w:space="0" w:color="000000"/>
            </w:tcBorders>
            <w:vAlign w:val="center"/>
            <w:hideMark/>
          </w:tcPr>
          <w:p w14:paraId="0BF6B021" w14:textId="77777777" w:rsidR="004E7BB3" w:rsidRPr="0001315B" w:rsidRDefault="004E7BB3" w:rsidP="00DB4807">
            <w:pPr>
              <w:spacing w:after="0" w:line="240" w:lineRule="auto"/>
              <w:jc w:val="both"/>
              <w:rPr>
                <w:rFonts w:ascii="Arial" w:eastAsia="Times New Roman" w:hAnsi="Arial" w:cs="Arial"/>
                <w:sz w:val="18"/>
                <w:szCs w:val="18"/>
              </w:rPr>
            </w:pPr>
            <w:r w:rsidRPr="0001315B">
              <w:rPr>
                <w:rFonts w:ascii="Arial" w:eastAsia="Times New Roman" w:hAnsi="Arial" w:cs="Arial"/>
                <w:sz w:val="18"/>
                <w:szCs w:val="18"/>
              </w:rPr>
              <w:t> </w:t>
            </w:r>
          </w:p>
        </w:tc>
      </w:tr>
      <w:tr w:rsidR="006C6706" w:rsidRPr="0001315B" w14:paraId="212C0102" w14:textId="77777777" w:rsidTr="00A10829">
        <w:trPr>
          <w:trHeight w:val="237"/>
          <w:jc w:val="center"/>
        </w:trPr>
        <w:tc>
          <w:tcPr>
            <w:tcW w:w="988" w:type="dxa"/>
            <w:tcBorders>
              <w:top w:val="nil"/>
              <w:left w:val="single" w:sz="8" w:space="0" w:color="000000"/>
              <w:bottom w:val="single" w:sz="8" w:space="0" w:color="000000"/>
              <w:right w:val="single" w:sz="8" w:space="0" w:color="000000"/>
            </w:tcBorders>
            <w:vAlign w:val="center"/>
            <w:hideMark/>
          </w:tcPr>
          <w:p w14:paraId="6397688C" w14:textId="77777777" w:rsidR="004E7BB3" w:rsidRPr="0001315B" w:rsidRDefault="004E7BB3" w:rsidP="00DB4807">
            <w:pPr>
              <w:spacing w:after="0" w:line="240" w:lineRule="auto"/>
              <w:jc w:val="center"/>
              <w:rPr>
                <w:rFonts w:ascii="Arial" w:eastAsia="Times New Roman" w:hAnsi="Arial" w:cs="Arial"/>
                <w:i/>
                <w:iCs/>
                <w:sz w:val="18"/>
                <w:szCs w:val="18"/>
              </w:rPr>
            </w:pPr>
            <w:r w:rsidRPr="0001315B">
              <w:rPr>
                <w:rFonts w:ascii="Arial" w:eastAsia="Times New Roman" w:hAnsi="Arial" w:cs="Arial"/>
                <w:i/>
                <w:iCs/>
                <w:sz w:val="18"/>
                <w:szCs w:val="18"/>
              </w:rPr>
              <w:t>2023.</w:t>
            </w:r>
          </w:p>
        </w:tc>
        <w:tc>
          <w:tcPr>
            <w:tcW w:w="1134" w:type="dxa"/>
            <w:tcBorders>
              <w:top w:val="nil"/>
              <w:left w:val="nil"/>
              <w:bottom w:val="single" w:sz="8" w:space="0" w:color="000000"/>
              <w:right w:val="single" w:sz="8" w:space="0" w:color="000000"/>
            </w:tcBorders>
            <w:vAlign w:val="center"/>
            <w:hideMark/>
          </w:tcPr>
          <w:p w14:paraId="4292B0DB" w14:textId="77777777" w:rsidR="004E7BB3" w:rsidRPr="0001315B" w:rsidRDefault="004E7BB3" w:rsidP="00DB4807">
            <w:pPr>
              <w:spacing w:after="0" w:line="240" w:lineRule="auto"/>
              <w:jc w:val="right"/>
              <w:rPr>
                <w:rFonts w:ascii="Arial" w:eastAsia="Times New Roman" w:hAnsi="Arial" w:cs="Arial"/>
                <w:i/>
                <w:iCs/>
                <w:sz w:val="18"/>
                <w:szCs w:val="18"/>
              </w:rPr>
            </w:pPr>
            <w:r w:rsidRPr="0001315B">
              <w:rPr>
                <w:rFonts w:ascii="Arial" w:eastAsia="Times New Roman" w:hAnsi="Arial" w:cs="Arial"/>
                <w:i/>
                <w:iCs/>
                <w:sz w:val="18"/>
                <w:szCs w:val="18"/>
              </w:rPr>
              <w:t>15.329,16</w:t>
            </w:r>
          </w:p>
        </w:tc>
        <w:tc>
          <w:tcPr>
            <w:tcW w:w="12058" w:type="dxa"/>
            <w:tcBorders>
              <w:top w:val="nil"/>
              <w:left w:val="nil"/>
              <w:bottom w:val="single" w:sz="8" w:space="0" w:color="000000"/>
              <w:right w:val="single" w:sz="8" w:space="0" w:color="000000"/>
            </w:tcBorders>
            <w:vAlign w:val="center"/>
            <w:hideMark/>
          </w:tcPr>
          <w:p w14:paraId="10978DEA" w14:textId="77777777" w:rsidR="004E7BB3" w:rsidRPr="0001315B" w:rsidRDefault="004E7BB3" w:rsidP="00DB4807">
            <w:pPr>
              <w:spacing w:after="0" w:line="240" w:lineRule="auto"/>
              <w:jc w:val="both"/>
              <w:rPr>
                <w:rFonts w:ascii="Arial" w:eastAsia="Times New Roman" w:hAnsi="Arial" w:cs="Arial"/>
                <w:sz w:val="18"/>
                <w:szCs w:val="18"/>
              </w:rPr>
            </w:pPr>
            <w:r w:rsidRPr="0001315B">
              <w:rPr>
                <w:rFonts w:ascii="Arial" w:eastAsia="Times New Roman" w:hAnsi="Arial" w:cs="Arial"/>
                <w:sz w:val="18"/>
                <w:szCs w:val="18"/>
              </w:rPr>
              <w:t>što je više za 7.498,51 € ili 95,8% u odnosu na izvještajno razdoblje prethodne godine.</w:t>
            </w:r>
          </w:p>
        </w:tc>
      </w:tr>
      <w:tr w:rsidR="006C6706" w:rsidRPr="0001315B" w14:paraId="2D42AF47" w14:textId="77777777" w:rsidTr="00A10829">
        <w:trPr>
          <w:trHeight w:val="178"/>
          <w:jc w:val="center"/>
        </w:trPr>
        <w:tc>
          <w:tcPr>
            <w:tcW w:w="988" w:type="dxa"/>
            <w:tcBorders>
              <w:top w:val="nil"/>
              <w:left w:val="single" w:sz="8" w:space="0" w:color="000000"/>
              <w:bottom w:val="single" w:sz="8" w:space="0" w:color="000000"/>
              <w:right w:val="single" w:sz="8" w:space="0" w:color="000000"/>
            </w:tcBorders>
            <w:vAlign w:val="center"/>
            <w:hideMark/>
          </w:tcPr>
          <w:p w14:paraId="302F69A4" w14:textId="77777777" w:rsidR="004E7BB3" w:rsidRPr="0001315B" w:rsidRDefault="004E7BB3" w:rsidP="00DB4807">
            <w:pPr>
              <w:spacing w:after="0" w:line="240" w:lineRule="auto"/>
              <w:jc w:val="center"/>
              <w:rPr>
                <w:rFonts w:ascii="Arial" w:eastAsia="Times New Roman" w:hAnsi="Arial" w:cs="Arial"/>
                <w:i/>
                <w:iCs/>
                <w:sz w:val="18"/>
                <w:szCs w:val="18"/>
              </w:rPr>
            </w:pPr>
            <w:r w:rsidRPr="0001315B">
              <w:rPr>
                <w:rFonts w:ascii="Arial" w:eastAsia="Times New Roman" w:hAnsi="Arial" w:cs="Arial"/>
                <w:i/>
                <w:iCs/>
                <w:sz w:val="18"/>
                <w:szCs w:val="18"/>
              </w:rPr>
              <w:t>2024.</w:t>
            </w:r>
          </w:p>
        </w:tc>
        <w:tc>
          <w:tcPr>
            <w:tcW w:w="1134" w:type="dxa"/>
            <w:tcBorders>
              <w:top w:val="nil"/>
              <w:left w:val="nil"/>
              <w:bottom w:val="single" w:sz="8" w:space="0" w:color="000000"/>
              <w:right w:val="single" w:sz="8" w:space="0" w:color="000000"/>
            </w:tcBorders>
            <w:vAlign w:val="center"/>
            <w:hideMark/>
          </w:tcPr>
          <w:p w14:paraId="25F49019" w14:textId="77777777" w:rsidR="004E7BB3" w:rsidRPr="0001315B" w:rsidRDefault="004E7BB3" w:rsidP="00DB4807">
            <w:pPr>
              <w:spacing w:after="0" w:line="240" w:lineRule="auto"/>
              <w:jc w:val="right"/>
              <w:rPr>
                <w:rFonts w:ascii="Arial" w:eastAsia="Times New Roman" w:hAnsi="Arial" w:cs="Arial"/>
                <w:i/>
                <w:iCs/>
                <w:sz w:val="18"/>
                <w:szCs w:val="18"/>
              </w:rPr>
            </w:pPr>
            <w:r w:rsidRPr="0001315B">
              <w:rPr>
                <w:rFonts w:ascii="Arial" w:eastAsia="Times New Roman" w:hAnsi="Arial" w:cs="Arial"/>
                <w:i/>
                <w:iCs/>
                <w:sz w:val="18"/>
                <w:szCs w:val="18"/>
              </w:rPr>
              <w:t>18.580,80</w:t>
            </w:r>
          </w:p>
        </w:tc>
        <w:tc>
          <w:tcPr>
            <w:tcW w:w="12058" w:type="dxa"/>
            <w:tcBorders>
              <w:top w:val="nil"/>
              <w:left w:val="nil"/>
              <w:bottom w:val="single" w:sz="8" w:space="0" w:color="000000"/>
              <w:right w:val="single" w:sz="8" w:space="0" w:color="000000"/>
            </w:tcBorders>
            <w:vAlign w:val="center"/>
            <w:hideMark/>
          </w:tcPr>
          <w:p w14:paraId="3248C88E" w14:textId="46AF20A4" w:rsidR="004E7BB3" w:rsidRPr="0001315B" w:rsidRDefault="004E7BB3" w:rsidP="00DB4807">
            <w:pPr>
              <w:spacing w:after="0" w:line="240" w:lineRule="auto"/>
              <w:jc w:val="both"/>
              <w:rPr>
                <w:rFonts w:ascii="Arial" w:eastAsia="Times New Roman" w:hAnsi="Arial" w:cs="Arial"/>
                <w:sz w:val="18"/>
                <w:szCs w:val="18"/>
              </w:rPr>
            </w:pPr>
            <w:r w:rsidRPr="0001315B">
              <w:rPr>
                <w:rFonts w:ascii="Arial" w:eastAsia="Times New Roman" w:hAnsi="Arial" w:cs="Arial"/>
                <w:sz w:val="18"/>
                <w:szCs w:val="18"/>
              </w:rPr>
              <w:t xml:space="preserve">što je više za 3.251,64 € ili 21,2% u odnosu na izvještajno razdoblje prethodne godine. </w:t>
            </w:r>
            <w:r w:rsidR="006C6706">
              <w:rPr>
                <w:rFonts w:ascii="Arial" w:eastAsia="Times New Roman" w:hAnsi="Arial" w:cs="Arial"/>
                <w:sz w:val="18"/>
                <w:szCs w:val="18"/>
              </w:rPr>
              <w:t>P</w:t>
            </w:r>
            <w:r w:rsidRPr="0001315B">
              <w:rPr>
                <w:rFonts w:ascii="Arial" w:eastAsia="Times New Roman" w:hAnsi="Arial" w:cs="Arial"/>
                <w:sz w:val="18"/>
                <w:szCs w:val="18"/>
              </w:rPr>
              <w:t xml:space="preserve">rihodi prvog polugodišta 2024. iznose 12.409,32 €. </w:t>
            </w:r>
          </w:p>
        </w:tc>
      </w:tr>
      <w:tr w:rsidR="006C6706" w:rsidRPr="0001315B" w14:paraId="05BFFFE9" w14:textId="77777777" w:rsidTr="00A10829">
        <w:trPr>
          <w:trHeight w:val="164"/>
          <w:jc w:val="center"/>
        </w:trPr>
        <w:tc>
          <w:tcPr>
            <w:tcW w:w="988" w:type="dxa"/>
            <w:tcBorders>
              <w:top w:val="nil"/>
              <w:left w:val="single" w:sz="8" w:space="0" w:color="000000"/>
              <w:bottom w:val="single" w:sz="8" w:space="0" w:color="000000"/>
              <w:right w:val="single" w:sz="8" w:space="0" w:color="000000"/>
            </w:tcBorders>
            <w:vAlign w:val="center"/>
            <w:hideMark/>
          </w:tcPr>
          <w:p w14:paraId="724AF967" w14:textId="6B92CEC3" w:rsidR="004E7BB3" w:rsidRPr="0001315B" w:rsidRDefault="004E7BB3" w:rsidP="00DB4807">
            <w:pPr>
              <w:spacing w:after="0" w:line="240" w:lineRule="auto"/>
              <w:jc w:val="center"/>
              <w:rPr>
                <w:rFonts w:ascii="Arial" w:eastAsia="Times New Roman" w:hAnsi="Arial" w:cs="Arial"/>
                <w:i/>
                <w:iCs/>
                <w:sz w:val="18"/>
                <w:szCs w:val="18"/>
              </w:rPr>
            </w:pPr>
            <w:r w:rsidRPr="0001315B">
              <w:rPr>
                <w:rFonts w:ascii="Arial" w:eastAsia="Times New Roman" w:hAnsi="Arial" w:cs="Arial"/>
                <w:i/>
                <w:iCs/>
                <w:sz w:val="18"/>
                <w:szCs w:val="18"/>
              </w:rPr>
              <w:t>2025.</w:t>
            </w:r>
          </w:p>
        </w:tc>
        <w:tc>
          <w:tcPr>
            <w:tcW w:w="1134" w:type="dxa"/>
            <w:tcBorders>
              <w:top w:val="nil"/>
              <w:left w:val="nil"/>
              <w:bottom w:val="single" w:sz="8" w:space="0" w:color="000000"/>
              <w:right w:val="single" w:sz="8" w:space="0" w:color="000000"/>
            </w:tcBorders>
            <w:vAlign w:val="center"/>
            <w:hideMark/>
          </w:tcPr>
          <w:p w14:paraId="414ED09D" w14:textId="04C8B9C0" w:rsidR="004E7BB3" w:rsidRPr="0001315B" w:rsidRDefault="00D34BF6" w:rsidP="00DB4807">
            <w:pPr>
              <w:spacing w:after="0" w:line="240" w:lineRule="auto"/>
              <w:jc w:val="right"/>
              <w:rPr>
                <w:rFonts w:ascii="Arial" w:eastAsia="Times New Roman" w:hAnsi="Arial" w:cs="Arial"/>
                <w:i/>
                <w:iCs/>
                <w:sz w:val="18"/>
                <w:szCs w:val="18"/>
              </w:rPr>
            </w:pPr>
            <w:r>
              <w:rPr>
                <w:rFonts w:ascii="Arial" w:eastAsia="Times New Roman" w:hAnsi="Arial" w:cs="Arial"/>
                <w:i/>
                <w:iCs/>
                <w:sz w:val="18"/>
                <w:szCs w:val="18"/>
              </w:rPr>
              <w:t>21.699,69</w:t>
            </w:r>
          </w:p>
        </w:tc>
        <w:tc>
          <w:tcPr>
            <w:tcW w:w="12058" w:type="dxa"/>
            <w:tcBorders>
              <w:top w:val="nil"/>
              <w:left w:val="nil"/>
              <w:bottom w:val="single" w:sz="8" w:space="0" w:color="000000"/>
              <w:right w:val="single" w:sz="8" w:space="0" w:color="000000"/>
            </w:tcBorders>
            <w:vAlign w:val="center"/>
            <w:hideMark/>
          </w:tcPr>
          <w:p w14:paraId="07A5FBF8" w14:textId="409C1045" w:rsidR="004E7BB3" w:rsidRPr="0001315B" w:rsidRDefault="00D34BF6" w:rsidP="00DB4807">
            <w:pPr>
              <w:spacing w:after="0" w:line="240" w:lineRule="auto"/>
              <w:jc w:val="both"/>
              <w:rPr>
                <w:rFonts w:ascii="Arial" w:eastAsia="Times New Roman" w:hAnsi="Arial" w:cs="Arial"/>
                <w:sz w:val="18"/>
                <w:szCs w:val="18"/>
              </w:rPr>
            </w:pPr>
            <w:r w:rsidRPr="0001315B">
              <w:rPr>
                <w:rFonts w:ascii="Arial" w:eastAsia="Times New Roman" w:hAnsi="Arial" w:cs="Arial"/>
                <w:sz w:val="18"/>
                <w:szCs w:val="18"/>
              </w:rPr>
              <w:t xml:space="preserve">što je više za </w:t>
            </w:r>
            <w:r>
              <w:rPr>
                <w:rFonts w:ascii="Arial" w:eastAsia="Times New Roman" w:hAnsi="Arial" w:cs="Arial"/>
                <w:sz w:val="18"/>
                <w:szCs w:val="18"/>
              </w:rPr>
              <w:t>3.118,89</w:t>
            </w:r>
            <w:r w:rsidRPr="0001315B">
              <w:rPr>
                <w:rFonts w:ascii="Arial" w:eastAsia="Times New Roman" w:hAnsi="Arial" w:cs="Arial"/>
                <w:sz w:val="18"/>
                <w:szCs w:val="18"/>
              </w:rPr>
              <w:t xml:space="preserve"> € ili </w:t>
            </w:r>
            <w:r>
              <w:rPr>
                <w:rFonts w:ascii="Arial" w:eastAsia="Times New Roman" w:hAnsi="Arial" w:cs="Arial"/>
                <w:sz w:val="18"/>
                <w:szCs w:val="18"/>
              </w:rPr>
              <w:t>16,8</w:t>
            </w:r>
            <w:r w:rsidRPr="0001315B">
              <w:rPr>
                <w:rFonts w:ascii="Arial" w:eastAsia="Times New Roman" w:hAnsi="Arial" w:cs="Arial"/>
                <w:sz w:val="18"/>
                <w:szCs w:val="18"/>
              </w:rPr>
              <w:t xml:space="preserve">% u odnosu na izvještajno razdoblje prethodne godine. </w:t>
            </w:r>
            <w:r w:rsidR="004E7BB3" w:rsidRPr="0001315B">
              <w:rPr>
                <w:rFonts w:ascii="Arial" w:eastAsia="Times New Roman" w:hAnsi="Arial" w:cs="Arial"/>
                <w:sz w:val="18"/>
                <w:szCs w:val="18"/>
              </w:rPr>
              <w:t>Ostvareni prihodi prvog polugodišta 2025. iznose 15.6</w:t>
            </w:r>
            <w:r w:rsidR="00A10829">
              <w:rPr>
                <w:rFonts w:ascii="Arial" w:eastAsia="Times New Roman" w:hAnsi="Arial" w:cs="Arial"/>
                <w:sz w:val="18"/>
                <w:szCs w:val="18"/>
              </w:rPr>
              <w:t>0</w:t>
            </w:r>
            <w:r w:rsidR="004E7BB3" w:rsidRPr="0001315B">
              <w:rPr>
                <w:rFonts w:ascii="Arial" w:eastAsia="Times New Roman" w:hAnsi="Arial" w:cs="Arial"/>
                <w:sz w:val="18"/>
                <w:szCs w:val="18"/>
              </w:rPr>
              <w:t xml:space="preserve">1,21 €. </w:t>
            </w:r>
          </w:p>
        </w:tc>
      </w:tr>
    </w:tbl>
    <w:p w14:paraId="31C94491" w14:textId="77777777" w:rsidR="004E7BB3" w:rsidRPr="004E7BB3" w:rsidRDefault="004E7BB3" w:rsidP="004E7BB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14"/>
          <w:szCs w:val="14"/>
          <w:lang w:eastAsia="en-US"/>
        </w:rPr>
      </w:pPr>
    </w:p>
    <w:bookmarkEnd w:id="122"/>
    <w:p w14:paraId="2801C57E" w14:textId="22BEB53D" w:rsidR="003A6E29" w:rsidRPr="003A2F86" w:rsidRDefault="00071EE4" w:rsidP="003A6E29">
      <w:pPr>
        <w:spacing w:after="0" w:line="240" w:lineRule="auto"/>
        <w:jc w:val="both"/>
        <w:rPr>
          <w:rFonts w:ascii="Arial" w:eastAsia="Calibri" w:hAnsi="Arial" w:cs="Arial"/>
          <w:lang w:eastAsia="en-US"/>
        </w:rPr>
      </w:pPr>
      <w:r w:rsidRPr="003A2F86">
        <w:rPr>
          <w:rFonts w:ascii="Arial" w:eastAsia="Times New Roman" w:hAnsi="Arial" w:cs="Arial"/>
          <w:i/>
          <w:iCs/>
          <w:sz w:val="20"/>
          <w:szCs w:val="20"/>
        </w:rPr>
        <w:t>*Usporedba:</w:t>
      </w:r>
      <w:r w:rsidRPr="003A2F86">
        <w:rPr>
          <w:rFonts w:ascii="Arial" w:eastAsia="Times New Roman" w:hAnsi="Arial" w:cs="Arial"/>
        </w:rPr>
        <w:t xml:space="preserve"> </w:t>
      </w:r>
    </w:p>
    <w:tbl>
      <w:tblPr>
        <w:tblW w:w="14307" w:type="dxa"/>
        <w:jc w:val="center"/>
        <w:tblLook w:val="04A0" w:firstRow="1" w:lastRow="0" w:firstColumn="1" w:lastColumn="0" w:noHBand="0" w:noVBand="1"/>
      </w:tblPr>
      <w:tblGrid>
        <w:gridCol w:w="993"/>
        <w:gridCol w:w="1124"/>
        <w:gridCol w:w="12190"/>
      </w:tblGrid>
      <w:tr w:rsidR="003A6E29" w:rsidRPr="003A2F86" w14:paraId="4EA1FC50" w14:textId="77777777" w:rsidTr="00AF1BBB">
        <w:trPr>
          <w:trHeight w:val="147"/>
          <w:jc w:val="center"/>
        </w:trPr>
        <w:tc>
          <w:tcPr>
            <w:tcW w:w="14307" w:type="dxa"/>
            <w:gridSpan w:val="3"/>
            <w:tcBorders>
              <w:top w:val="single" w:sz="8" w:space="0" w:color="auto"/>
              <w:left w:val="single" w:sz="8" w:space="0" w:color="auto"/>
              <w:bottom w:val="single" w:sz="8" w:space="0" w:color="000000"/>
              <w:right w:val="single" w:sz="4" w:space="0" w:color="auto"/>
            </w:tcBorders>
            <w:vAlign w:val="center"/>
            <w:hideMark/>
          </w:tcPr>
          <w:p w14:paraId="411E9E0C" w14:textId="77777777" w:rsidR="003A6E29" w:rsidRPr="003A2F86" w:rsidRDefault="003A6E29" w:rsidP="003A6E29">
            <w:pPr>
              <w:spacing w:after="0" w:line="240" w:lineRule="auto"/>
              <w:jc w:val="center"/>
              <w:rPr>
                <w:rFonts w:ascii="Arial" w:eastAsia="Times New Roman" w:hAnsi="Arial" w:cs="Arial"/>
                <w:b/>
                <w:bCs/>
                <w:i/>
                <w:iCs/>
                <w:color w:val="000000"/>
                <w:sz w:val="18"/>
                <w:szCs w:val="18"/>
              </w:rPr>
            </w:pPr>
            <w:r w:rsidRPr="003A2F86">
              <w:rPr>
                <w:rFonts w:ascii="Arial" w:eastAsia="Times New Roman" w:hAnsi="Arial" w:cs="Arial"/>
                <w:b/>
                <w:bCs/>
                <w:i/>
                <w:iCs/>
                <w:color w:val="000000"/>
                <w:sz w:val="18"/>
                <w:szCs w:val="18"/>
              </w:rPr>
              <w:t>Prihod od turističke pristojbe (</w:t>
            </w:r>
            <w:r w:rsidRPr="003A2F86">
              <w:rPr>
                <w:rFonts w:ascii="Arial" w:eastAsia="Times New Roman" w:hAnsi="Arial" w:cs="Arial"/>
                <w:b/>
                <w:bCs/>
                <w:i/>
                <w:iCs/>
                <w:color w:val="FF0000"/>
                <w:sz w:val="18"/>
                <w:szCs w:val="18"/>
              </w:rPr>
              <w:t>6514</w:t>
            </w:r>
            <w:r w:rsidRPr="003A2F86">
              <w:rPr>
                <w:rFonts w:ascii="Arial" w:eastAsia="Times New Roman" w:hAnsi="Arial" w:cs="Arial"/>
                <w:b/>
                <w:bCs/>
                <w:i/>
                <w:iCs/>
                <w:color w:val="000000"/>
                <w:sz w:val="18"/>
                <w:szCs w:val="18"/>
              </w:rPr>
              <w:t>)</w:t>
            </w:r>
          </w:p>
        </w:tc>
      </w:tr>
      <w:tr w:rsidR="003A6E29" w:rsidRPr="003A2F86" w14:paraId="70366F1B" w14:textId="77777777" w:rsidTr="00AF1BBB">
        <w:trPr>
          <w:trHeight w:val="199"/>
          <w:jc w:val="center"/>
        </w:trPr>
        <w:tc>
          <w:tcPr>
            <w:tcW w:w="993" w:type="dxa"/>
            <w:tcBorders>
              <w:top w:val="nil"/>
              <w:left w:val="single" w:sz="8" w:space="0" w:color="auto"/>
              <w:bottom w:val="single" w:sz="8" w:space="0" w:color="auto"/>
              <w:right w:val="single" w:sz="8" w:space="0" w:color="000000"/>
            </w:tcBorders>
            <w:vAlign w:val="center"/>
            <w:hideMark/>
          </w:tcPr>
          <w:p w14:paraId="37596D9E" w14:textId="77777777" w:rsidR="003A6E29" w:rsidRPr="003A2F86" w:rsidRDefault="003A6E29" w:rsidP="003A6E29">
            <w:pPr>
              <w:spacing w:after="0" w:line="240" w:lineRule="auto"/>
              <w:jc w:val="center"/>
              <w:rPr>
                <w:rFonts w:ascii="Arial" w:eastAsia="Times New Roman" w:hAnsi="Arial" w:cs="Arial"/>
                <w:b/>
                <w:bCs/>
                <w:i/>
                <w:iCs/>
                <w:color w:val="000000"/>
                <w:sz w:val="18"/>
                <w:szCs w:val="18"/>
              </w:rPr>
            </w:pPr>
            <w:r w:rsidRPr="003A2F86">
              <w:rPr>
                <w:rFonts w:ascii="Arial" w:eastAsia="Times New Roman" w:hAnsi="Arial" w:cs="Arial"/>
                <w:b/>
                <w:bCs/>
                <w:i/>
                <w:iCs/>
                <w:color w:val="000000"/>
                <w:sz w:val="18"/>
                <w:szCs w:val="18"/>
              </w:rPr>
              <w:t>Godina</w:t>
            </w:r>
          </w:p>
        </w:tc>
        <w:tc>
          <w:tcPr>
            <w:tcW w:w="1124" w:type="dxa"/>
            <w:tcBorders>
              <w:top w:val="nil"/>
              <w:left w:val="nil"/>
              <w:bottom w:val="single" w:sz="8" w:space="0" w:color="auto"/>
              <w:right w:val="single" w:sz="8" w:space="0" w:color="000000"/>
            </w:tcBorders>
            <w:vAlign w:val="center"/>
            <w:hideMark/>
          </w:tcPr>
          <w:p w14:paraId="7CCF1718" w14:textId="1216E461" w:rsidR="003A6E29" w:rsidRPr="003A2F86" w:rsidRDefault="003A6E29" w:rsidP="003A6E29">
            <w:pPr>
              <w:spacing w:after="0" w:line="240" w:lineRule="auto"/>
              <w:jc w:val="center"/>
              <w:rPr>
                <w:rFonts w:ascii="Arial" w:eastAsia="Times New Roman" w:hAnsi="Arial" w:cs="Arial"/>
                <w:b/>
                <w:bCs/>
                <w:i/>
                <w:iCs/>
                <w:color w:val="000000"/>
                <w:sz w:val="18"/>
                <w:szCs w:val="18"/>
              </w:rPr>
            </w:pPr>
            <w:r w:rsidRPr="003A2F86">
              <w:rPr>
                <w:rFonts w:ascii="Arial" w:eastAsia="Times New Roman" w:hAnsi="Arial" w:cs="Arial"/>
                <w:b/>
                <w:bCs/>
                <w:i/>
                <w:iCs/>
                <w:color w:val="000000"/>
                <w:sz w:val="18"/>
                <w:szCs w:val="18"/>
              </w:rPr>
              <w:t xml:space="preserve">Iznos </w:t>
            </w:r>
            <w:r w:rsidRPr="003A2F86">
              <w:rPr>
                <w:rFonts w:ascii="Arial" w:eastAsia="Times New Roman" w:hAnsi="Arial" w:cs="Arial"/>
                <w:b/>
                <w:bCs/>
                <w:i/>
                <w:iCs/>
                <w:color w:val="FF0000"/>
                <w:sz w:val="18"/>
                <w:szCs w:val="18"/>
              </w:rPr>
              <w:t>(</w:t>
            </w:r>
            <w:r w:rsidR="00BF4737" w:rsidRPr="003A2F86">
              <w:rPr>
                <w:rFonts w:ascii="Arial" w:eastAsia="Times New Roman" w:hAnsi="Arial" w:cs="Arial"/>
                <w:b/>
                <w:bCs/>
                <w:i/>
                <w:iCs/>
                <w:color w:val="FF0000"/>
                <w:sz w:val="18"/>
                <w:szCs w:val="18"/>
              </w:rPr>
              <w:t>€</w:t>
            </w:r>
            <w:r w:rsidRPr="003A2F86">
              <w:rPr>
                <w:rFonts w:ascii="Arial" w:eastAsia="Times New Roman" w:hAnsi="Arial" w:cs="Arial"/>
                <w:b/>
                <w:bCs/>
                <w:i/>
                <w:iCs/>
                <w:color w:val="FF0000"/>
                <w:sz w:val="18"/>
                <w:szCs w:val="18"/>
              </w:rPr>
              <w:t>)</w:t>
            </w:r>
          </w:p>
        </w:tc>
        <w:tc>
          <w:tcPr>
            <w:tcW w:w="12190" w:type="dxa"/>
            <w:tcBorders>
              <w:top w:val="nil"/>
              <w:left w:val="nil"/>
              <w:bottom w:val="single" w:sz="8" w:space="0" w:color="auto"/>
              <w:right w:val="single" w:sz="8" w:space="0" w:color="auto"/>
            </w:tcBorders>
            <w:vAlign w:val="center"/>
            <w:hideMark/>
          </w:tcPr>
          <w:p w14:paraId="2FB5E59C" w14:textId="77777777" w:rsidR="003A6E29" w:rsidRPr="003A2F86" w:rsidRDefault="003A6E29" w:rsidP="003A6E29">
            <w:pPr>
              <w:spacing w:after="0" w:line="240" w:lineRule="auto"/>
              <w:jc w:val="both"/>
              <w:rPr>
                <w:rFonts w:ascii="Arial" w:eastAsia="Times New Roman" w:hAnsi="Arial" w:cs="Arial"/>
                <w:b/>
                <w:bCs/>
                <w:i/>
                <w:iCs/>
                <w:color w:val="000000"/>
                <w:sz w:val="18"/>
                <w:szCs w:val="18"/>
              </w:rPr>
            </w:pPr>
            <w:r w:rsidRPr="003A2F86">
              <w:rPr>
                <w:rFonts w:ascii="Arial" w:eastAsia="Times New Roman" w:hAnsi="Arial" w:cs="Arial"/>
                <w:b/>
                <w:bCs/>
                <w:i/>
                <w:iCs/>
                <w:color w:val="000000"/>
                <w:sz w:val="18"/>
                <w:szCs w:val="18"/>
              </w:rPr>
              <w:t>Obrazloženje</w:t>
            </w:r>
          </w:p>
        </w:tc>
      </w:tr>
      <w:tr w:rsidR="00BF4737" w:rsidRPr="003A2F86" w14:paraId="369BDF03" w14:textId="77777777" w:rsidTr="00AF1BBB">
        <w:trPr>
          <w:trHeight w:val="204"/>
          <w:jc w:val="center"/>
        </w:trPr>
        <w:tc>
          <w:tcPr>
            <w:tcW w:w="993" w:type="dxa"/>
            <w:tcBorders>
              <w:top w:val="nil"/>
              <w:left w:val="single" w:sz="8" w:space="0" w:color="auto"/>
              <w:bottom w:val="single" w:sz="4" w:space="0" w:color="auto"/>
              <w:right w:val="single" w:sz="4" w:space="0" w:color="auto"/>
            </w:tcBorders>
            <w:vAlign w:val="center"/>
            <w:hideMark/>
          </w:tcPr>
          <w:p w14:paraId="73514C0D" w14:textId="2D4EFD43" w:rsidR="00BF4737" w:rsidRPr="003A2F86" w:rsidRDefault="00BF4737" w:rsidP="00BF4737">
            <w:pPr>
              <w:spacing w:after="0" w:line="240" w:lineRule="auto"/>
              <w:jc w:val="center"/>
              <w:rPr>
                <w:rFonts w:ascii="Arial" w:eastAsia="Times New Roman" w:hAnsi="Arial" w:cs="Arial"/>
                <w:i/>
                <w:iCs/>
                <w:color w:val="000000"/>
                <w:sz w:val="18"/>
                <w:szCs w:val="18"/>
              </w:rPr>
            </w:pPr>
            <w:r w:rsidRPr="003A2F86">
              <w:rPr>
                <w:rFonts w:ascii="Arial" w:hAnsi="Arial" w:cs="Arial"/>
                <w:sz w:val="18"/>
                <w:szCs w:val="18"/>
              </w:rPr>
              <w:t>2011.</w:t>
            </w:r>
          </w:p>
        </w:tc>
        <w:tc>
          <w:tcPr>
            <w:tcW w:w="1124" w:type="dxa"/>
            <w:tcBorders>
              <w:top w:val="nil"/>
              <w:left w:val="nil"/>
              <w:bottom w:val="single" w:sz="4" w:space="0" w:color="auto"/>
              <w:right w:val="single" w:sz="4" w:space="0" w:color="auto"/>
            </w:tcBorders>
            <w:vAlign w:val="center"/>
            <w:hideMark/>
          </w:tcPr>
          <w:p w14:paraId="10DF88A2" w14:textId="7A10C8AC" w:rsidR="00BF4737" w:rsidRPr="003A2F86" w:rsidRDefault="00BF4737" w:rsidP="00BF4737">
            <w:pPr>
              <w:spacing w:after="0" w:line="240" w:lineRule="auto"/>
              <w:jc w:val="right"/>
              <w:rPr>
                <w:rFonts w:ascii="Arial" w:eastAsia="Times New Roman" w:hAnsi="Arial" w:cs="Arial"/>
                <w:i/>
                <w:iCs/>
                <w:color w:val="000000"/>
                <w:sz w:val="18"/>
                <w:szCs w:val="18"/>
              </w:rPr>
            </w:pPr>
            <w:r w:rsidRPr="003A2F86">
              <w:rPr>
                <w:rFonts w:ascii="Arial" w:hAnsi="Arial" w:cs="Arial"/>
                <w:sz w:val="18"/>
                <w:szCs w:val="18"/>
              </w:rPr>
              <w:t>72.780,01</w:t>
            </w:r>
          </w:p>
        </w:tc>
        <w:tc>
          <w:tcPr>
            <w:tcW w:w="12190" w:type="dxa"/>
            <w:tcBorders>
              <w:top w:val="nil"/>
              <w:left w:val="nil"/>
              <w:bottom w:val="single" w:sz="4" w:space="0" w:color="auto"/>
              <w:right w:val="single" w:sz="8" w:space="0" w:color="auto"/>
            </w:tcBorders>
            <w:vAlign w:val="center"/>
            <w:hideMark/>
          </w:tcPr>
          <w:p w14:paraId="6A8976B5" w14:textId="70EF5E6D" w:rsidR="00BF4737" w:rsidRPr="003A2F86" w:rsidRDefault="00BF4737" w:rsidP="00BF4737">
            <w:pPr>
              <w:spacing w:after="0" w:line="240" w:lineRule="auto"/>
              <w:jc w:val="both"/>
              <w:rPr>
                <w:rFonts w:ascii="Arial" w:eastAsia="Times New Roman" w:hAnsi="Arial" w:cs="Arial"/>
                <w:color w:val="000000"/>
                <w:sz w:val="18"/>
                <w:szCs w:val="18"/>
              </w:rPr>
            </w:pPr>
          </w:p>
        </w:tc>
      </w:tr>
      <w:tr w:rsidR="00BF4737" w:rsidRPr="003A2F86" w14:paraId="7880C352" w14:textId="77777777" w:rsidTr="00AF1BBB">
        <w:trPr>
          <w:trHeight w:val="156"/>
          <w:jc w:val="center"/>
        </w:trPr>
        <w:tc>
          <w:tcPr>
            <w:tcW w:w="993" w:type="dxa"/>
            <w:tcBorders>
              <w:top w:val="nil"/>
              <w:left w:val="single" w:sz="8" w:space="0" w:color="auto"/>
              <w:bottom w:val="single" w:sz="4" w:space="0" w:color="auto"/>
              <w:right w:val="single" w:sz="4" w:space="0" w:color="auto"/>
            </w:tcBorders>
            <w:vAlign w:val="center"/>
            <w:hideMark/>
          </w:tcPr>
          <w:p w14:paraId="14C74717" w14:textId="5230629A" w:rsidR="00BF4737" w:rsidRPr="003A2F86" w:rsidRDefault="00BF4737" w:rsidP="00BF4737">
            <w:pPr>
              <w:spacing w:after="0" w:line="240" w:lineRule="auto"/>
              <w:jc w:val="center"/>
              <w:rPr>
                <w:rFonts w:ascii="Arial" w:eastAsia="Times New Roman" w:hAnsi="Arial" w:cs="Arial"/>
                <w:i/>
                <w:iCs/>
                <w:color w:val="000000"/>
                <w:sz w:val="18"/>
                <w:szCs w:val="18"/>
              </w:rPr>
            </w:pPr>
            <w:r w:rsidRPr="003A2F86">
              <w:rPr>
                <w:rFonts w:ascii="Arial" w:hAnsi="Arial" w:cs="Arial"/>
                <w:sz w:val="18"/>
                <w:szCs w:val="18"/>
              </w:rPr>
              <w:t>2012.</w:t>
            </w:r>
          </w:p>
        </w:tc>
        <w:tc>
          <w:tcPr>
            <w:tcW w:w="1124" w:type="dxa"/>
            <w:tcBorders>
              <w:top w:val="nil"/>
              <w:left w:val="nil"/>
              <w:bottom w:val="single" w:sz="4" w:space="0" w:color="auto"/>
              <w:right w:val="single" w:sz="4" w:space="0" w:color="auto"/>
            </w:tcBorders>
            <w:vAlign w:val="center"/>
            <w:hideMark/>
          </w:tcPr>
          <w:p w14:paraId="3BFEFE65" w14:textId="2DDEF79C" w:rsidR="00BF4737" w:rsidRPr="003A2F86" w:rsidRDefault="00BF4737" w:rsidP="00BF4737">
            <w:pPr>
              <w:spacing w:after="0" w:line="240" w:lineRule="auto"/>
              <w:jc w:val="right"/>
              <w:rPr>
                <w:rFonts w:ascii="Arial" w:eastAsia="Times New Roman" w:hAnsi="Arial" w:cs="Arial"/>
                <w:i/>
                <w:iCs/>
                <w:color w:val="000000"/>
                <w:sz w:val="18"/>
                <w:szCs w:val="18"/>
              </w:rPr>
            </w:pPr>
            <w:r w:rsidRPr="003A2F86">
              <w:rPr>
                <w:rFonts w:ascii="Arial" w:hAnsi="Arial" w:cs="Arial"/>
                <w:sz w:val="18"/>
                <w:szCs w:val="18"/>
              </w:rPr>
              <w:t>80.228,15</w:t>
            </w:r>
          </w:p>
        </w:tc>
        <w:tc>
          <w:tcPr>
            <w:tcW w:w="12190" w:type="dxa"/>
            <w:tcBorders>
              <w:top w:val="nil"/>
              <w:left w:val="nil"/>
              <w:bottom w:val="single" w:sz="4" w:space="0" w:color="auto"/>
              <w:right w:val="single" w:sz="8" w:space="0" w:color="auto"/>
            </w:tcBorders>
            <w:vAlign w:val="center"/>
            <w:hideMark/>
          </w:tcPr>
          <w:p w14:paraId="407235A5" w14:textId="416A5319" w:rsidR="00BF4737" w:rsidRPr="003A2F86" w:rsidRDefault="00BF4737" w:rsidP="00BF4737">
            <w:pPr>
              <w:spacing w:after="0" w:line="240" w:lineRule="auto"/>
              <w:jc w:val="both"/>
              <w:rPr>
                <w:rFonts w:ascii="Arial" w:eastAsia="Times New Roman" w:hAnsi="Arial" w:cs="Arial"/>
                <w:color w:val="000000"/>
                <w:sz w:val="16"/>
                <w:szCs w:val="16"/>
              </w:rPr>
            </w:pPr>
            <w:r w:rsidRPr="003A2F86">
              <w:rPr>
                <w:rFonts w:ascii="Arial" w:hAnsi="Arial" w:cs="Arial"/>
                <w:sz w:val="16"/>
                <w:szCs w:val="16"/>
              </w:rPr>
              <w:t xml:space="preserve">što je za 7.448,14 € ili 10,2% više u odnosu na izvještajno razdoblje prethodne godine </w:t>
            </w:r>
          </w:p>
        </w:tc>
      </w:tr>
      <w:tr w:rsidR="00BF4737" w:rsidRPr="003A2F86" w14:paraId="7A03C2C3" w14:textId="77777777" w:rsidTr="00AF1BBB">
        <w:trPr>
          <w:trHeight w:val="215"/>
          <w:jc w:val="center"/>
        </w:trPr>
        <w:tc>
          <w:tcPr>
            <w:tcW w:w="993" w:type="dxa"/>
            <w:tcBorders>
              <w:top w:val="nil"/>
              <w:left w:val="single" w:sz="8" w:space="0" w:color="auto"/>
              <w:bottom w:val="single" w:sz="4" w:space="0" w:color="auto"/>
              <w:right w:val="single" w:sz="4" w:space="0" w:color="auto"/>
            </w:tcBorders>
            <w:vAlign w:val="center"/>
            <w:hideMark/>
          </w:tcPr>
          <w:p w14:paraId="7ED20C75" w14:textId="2FA930FC" w:rsidR="00BF4737" w:rsidRPr="003A2F86" w:rsidRDefault="00BF4737" w:rsidP="00BF4737">
            <w:pPr>
              <w:spacing w:after="0" w:line="240" w:lineRule="auto"/>
              <w:jc w:val="center"/>
              <w:rPr>
                <w:rFonts w:ascii="Arial" w:eastAsia="Times New Roman" w:hAnsi="Arial" w:cs="Arial"/>
                <w:i/>
                <w:iCs/>
                <w:color w:val="000000"/>
                <w:sz w:val="18"/>
                <w:szCs w:val="18"/>
              </w:rPr>
            </w:pPr>
            <w:r w:rsidRPr="003A2F86">
              <w:rPr>
                <w:rFonts w:ascii="Arial" w:hAnsi="Arial" w:cs="Arial"/>
                <w:sz w:val="18"/>
                <w:szCs w:val="18"/>
              </w:rPr>
              <w:t>2013.</w:t>
            </w:r>
          </w:p>
        </w:tc>
        <w:tc>
          <w:tcPr>
            <w:tcW w:w="1124" w:type="dxa"/>
            <w:tcBorders>
              <w:top w:val="nil"/>
              <w:left w:val="nil"/>
              <w:bottom w:val="single" w:sz="4" w:space="0" w:color="auto"/>
              <w:right w:val="single" w:sz="4" w:space="0" w:color="auto"/>
            </w:tcBorders>
            <w:vAlign w:val="center"/>
            <w:hideMark/>
          </w:tcPr>
          <w:p w14:paraId="5B34E574" w14:textId="22F6CD71" w:rsidR="00BF4737" w:rsidRPr="003A2F86" w:rsidRDefault="00BF4737" w:rsidP="00BF4737">
            <w:pPr>
              <w:spacing w:after="0" w:line="240" w:lineRule="auto"/>
              <w:jc w:val="right"/>
              <w:rPr>
                <w:rFonts w:ascii="Arial" w:eastAsia="Times New Roman" w:hAnsi="Arial" w:cs="Arial"/>
                <w:i/>
                <w:iCs/>
                <w:color w:val="000000"/>
                <w:sz w:val="18"/>
                <w:szCs w:val="18"/>
              </w:rPr>
            </w:pPr>
            <w:r w:rsidRPr="003A2F86">
              <w:rPr>
                <w:rFonts w:ascii="Arial" w:hAnsi="Arial" w:cs="Arial"/>
                <w:sz w:val="18"/>
                <w:szCs w:val="18"/>
              </w:rPr>
              <w:t>82.406,37</w:t>
            </w:r>
          </w:p>
        </w:tc>
        <w:tc>
          <w:tcPr>
            <w:tcW w:w="12190" w:type="dxa"/>
            <w:tcBorders>
              <w:top w:val="nil"/>
              <w:left w:val="nil"/>
              <w:bottom w:val="single" w:sz="4" w:space="0" w:color="auto"/>
              <w:right w:val="single" w:sz="8" w:space="0" w:color="auto"/>
            </w:tcBorders>
            <w:vAlign w:val="center"/>
            <w:hideMark/>
          </w:tcPr>
          <w:p w14:paraId="17538436" w14:textId="7AA5D275" w:rsidR="00BF4737" w:rsidRPr="003A2F86" w:rsidRDefault="00BF4737" w:rsidP="00BF4737">
            <w:pPr>
              <w:spacing w:after="0" w:line="240" w:lineRule="auto"/>
              <w:jc w:val="both"/>
              <w:rPr>
                <w:rFonts w:ascii="Arial" w:eastAsia="Times New Roman" w:hAnsi="Arial" w:cs="Arial"/>
                <w:color w:val="000000"/>
                <w:sz w:val="16"/>
                <w:szCs w:val="16"/>
              </w:rPr>
            </w:pPr>
            <w:r w:rsidRPr="003A2F86">
              <w:rPr>
                <w:rFonts w:ascii="Arial" w:hAnsi="Arial" w:cs="Arial"/>
                <w:sz w:val="16"/>
                <w:szCs w:val="16"/>
              </w:rPr>
              <w:t xml:space="preserve">što je za 2.178,22 € ili 2,7% više u odnosu na izvještajno razdoblje prethodne godine </w:t>
            </w:r>
          </w:p>
        </w:tc>
      </w:tr>
      <w:tr w:rsidR="00BF4737" w:rsidRPr="003A2F86" w14:paraId="21587C23" w14:textId="77777777" w:rsidTr="00AF1BBB">
        <w:trPr>
          <w:trHeight w:val="276"/>
          <w:jc w:val="center"/>
        </w:trPr>
        <w:tc>
          <w:tcPr>
            <w:tcW w:w="993" w:type="dxa"/>
            <w:tcBorders>
              <w:top w:val="nil"/>
              <w:left w:val="single" w:sz="8" w:space="0" w:color="auto"/>
              <w:bottom w:val="single" w:sz="4" w:space="0" w:color="auto"/>
              <w:right w:val="single" w:sz="4" w:space="0" w:color="auto"/>
            </w:tcBorders>
            <w:vAlign w:val="center"/>
            <w:hideMark/>
          </w:tcPr>
          <w:p w14:paraId="7D53A70D" w14:textId="62130DDD" w:rsidR="00BF4737" w:rsidRPr="003A2F86" w:rsidRDefault="00BF4737" w:rsidP="00BF4737">
            <w:pPr>
              <w:spacing w:after="0" w:line="240" w:lineRule="auto"/>
              <w:jc w:val="center"/>
              <w:rPr>
                <w:rFonts w:ascii="Arial" w:eastAsia="Times New Roman" w:hAnsi="Arial" w:cs="Arial"/>
                <w:i/>
                <w:iCs/>
                <w:color w:val="000000"/>
                <w:sz w:val="18"/>
                <w:szCs w:val="18"/>
              </w:rPr>
            </w:pPr>
            <w:r w:rsidRPr="003A2F86">
              <w:rPr>
                <w:rFonts w:ascii="Arial" w:hAnsi="Arial" w:cs="Arial"/>
                <w:sz w:val="18"/>
                <w:szCs w:val="18"/>
              </w:rPr>
              <w:t>2014.</w:t>
            </w:r>
          </w:p>
        </w:tc>
        <w:tc>
          <w:tcPr>
            <w:tcW w:w="1124" w:type="dxa"/>
            <w:tcBorders>
              <w:top w:val="nil"/>
              <w:left w:val="nil"/>
              <w:bottom w:val="single" w:sz="4" w:space="0" w:color="auto"/>
              <w:right w:val="single" w:sz="4" w:space="0" w:color="auto"/>
            </w:tcBorders>
            <w:vAlign w:val="center"/>
            <w:hideMark/>
          </w:tcPr>
          <w:p w14:paraId="0D3C9370" w14:textId="1492AE3C" w:rsidR="00BF4737" w:rsidRPr="003A2F86" w:rsidRDefault="00BF4737" w:rsidP="00BF4737">
            <w:pPr>
              <w:spacing w:after="0" w:line="240" w:lineRule="auto"/>
              <w:jc w:val="right"/>
              <w:rPr>
                <w:rFonts w:ascii="Arial" w:eastAsia="Times New Roman" w:hAnsi="Arial" w:cs="Arial"/>
                <w:i/>
                <w:iCs/>
                <w:color w:val="000000"/>
                <w:sz w:val="18"/>
                <w:szCs w:val="18"/>
              </w:rPr>
            </w:pPr>
            <w:r w:rsidRPr="003A2F86">
              <w:rPr>
                <w:rFonts w:ascii="Arial" w:hAnsi="Arial" w:cs="Arial"/>
                <w:sz w:val="18"/>
                <w:szCs w:val="18"/>
              </w:rPr>
              <w:t>83.956,36</w:t>
            </w:r>
          </w:p>
        </w:tc>
        <w:tc>
          <w:tcPr>
            <w:tcW w:w="12190" w:type="dxa"/>
            <w:tcBorders>
              <w:top w:val="nil"/>
              <w:left w:val="nil"/>
              <w:bottom w:val="single" w:sz="4" w:space="0" w:color="auto"/>
              <w:right w:val="single" w:sz="8" w:space="0" w:color="auto"/>
            </w:tcBorders>
            <w:vAlign w:val="center"/>
            <w:hideMark/>
          </w:tcPr>
          <w:p w14:paraId="67F0F0F3" w14:textId="71C4AD39" w:rsidR="00BF4737" w:rsidRPr="003A2F86" w:rsidRDefault="00BF4737" w:rsidP="00BF4737">
            <w:pPr>
              <w:spacing w:after="0" w:line="240" w:lineRule="auto"/>
              <w:jc w:val="both"/>
              <w:rPr>
                <w:rFonts w:ascii="Arial" w:eastAsia="Times New Roman" w:hAnsi="Arial" w:cs="Arial"/>
                <w:color w:val="000000"/>
                <w:sz w:val="16"/>
                <w:szCs w:val="16"/>
              </w:rPr>
            </w:pPr>
            <w:r w:rsidRPr="003A2F86">
              <w:rPr>
                <w:rFonts w:ascii="Arial" w:hAnsi="Arial" w:cs="Arial"/>
                <w:sz w:val="16"/>
                <w:szCs w:val="16"/>
              </w:rPr>
              <w:t xml:space="preserve">što je za 1.549,99 € ili 1,9% više u odnosu na izvještajno razdoblje prethodne godine </w:t>
            </w:r>
          </w:p>
        </w:tc>
      </w:tr>
      <w:tr w:rsidR="00BF4737" w:rsidRPr="003A2F86" w14:paraId="183D31AD" w14:textId="77777777" w:rsidTr="00AF1BBB">
        <w:trPr>
          <w:trHeight w:val="300"/>
          <w:jc w:val="center"/>
        </w:trPr>
        <w:tc>
          <w:tcPr>
            <w:tcW w:w="993" w:type="dxa"/>
            <w:tcBorders>
              <w:top w:val="nil"/>
              <w:left w:val="single" w:sz="8" w:space="0" w:color="auto"/>
              <w:bottom w:val="single" w:sz="4" w:space="0" w:color="auto"/>
              <w:right w:val="single" w:sz="4" w:space="0" w:color="auto"/>
            </w:tcBorders>
            <w:vAlign w:val="center"/>
            <w:hideMark/>
          </w:tcPr>
          <w:p w14:paraId="5A9F06BB" w14:textId="3CFD2654" w:rsidR="00BF4737" w:rsidRPr="003A2F86" w:rsidRDefault="00BF4737" w:rsidP="00BF4737">
            <w:pPr>
              <w:spacing w:after="0" w:line="240" w:lineRule="auto"/>
              <w:jc w:val="center"/>
              <w:rPr>
                <w:rFonts w:ascii="Arial" w:eastAsia="Times New Roman" w:hAnsi="Arial" w:cs="Arial"/>
                <w:i/>
                <w:iCs/>
                <w:color w:val="000000"/>
                <w:sz w:val="18"/>
                <w:szCs w:val="18"/>
              </w:rPr>
            </w:pPr>
            <w:r w:rsidRPr="003A2F86">
              <w:rPr>
                <w:rFonts w:ascii="Arial" w:hAnsi="Arial" w:cs="Arial"/>
                <w:sz w:val="18"/>
                <w:szCs w:val="18"/>
              </w:rPr>
              <w:t>2015.</w:t>
            </w:r>
          </w:p>
        </w:tc>
        <w:tc>
          <w:tcPr>
            <w:tcW w:w="1124" w:type="dxa"/>
            <w:tcBorders>
              <w:top w:val="nil"/>
              <w:left w:val="nil"/>
              <w:bottom w:val="single" w:sz="4" w:space="0" w:color="auto"/>
              <w:right w:val="single" w:sz="4" w:space="0" w:color="auto"/>
            </w:tcBorders>
            <w:vAlign w:val="center"/>
            <w:hideMark/>
          </w:tcPr>
          <w:p w14:paraId="21D220BB" w14:textId="5A842958" w:rsidR="00BF4737" w:rsidRPr="003A2F86" w:rsidRDefault="00BF4737" w:rsidP="00BF4737">
            <w:pPr>
              <w:spacing w:after="0" w:line="240" w:lineRule="auto"/>
              <w:jc w:val="right"/>
              <w:rPr>
                <w:rFonts w:ascii="Arial" w:eastAsia="Times New Roman" w:hAnsi="Arial" w:cs="Arial"/>
                <w:i/>
                <w:iCs/>
                <w:color w:val="000000"/>
                <w:sz w:val="18"/>
                <w:szCs w:val="18"/>
              </w:rPr>
            </w:pPr>
            <w:r w:rsidRPr="003A2F86">
              <w:rPr>
                <w:rFonts w:ascii="Arial" w:hAnsi="Arial" w:cs="Arial"/>
                <w:sz w:val="18"/>
                <w:szCs w:val="18"/>
              </w:rPr>
              <w:t>85.035,88</w:t>
            </w:r>
          </w:p>
        </w:tc>
        <w:tc>
          <w:tcPr>
            <w:tcW w:w="12190" w:type="dxa"/>
            <w:tcBorders>
              <w:top w:val="nil"/>
              <w:left w:val="nil"/>
              <w:bottom w:val="single" w:sz="4" w:space="0" w:color="auto"/>
              <w:right w:val="single" w:sz="8" w:space="0" w:color="auto"/>
            </w:tcBorders>
            <w:vAlign w:val="center"/>
            <w:hideMark/>
          </w:tcPr>
          <w:p w14:paraId="153E75E3" w14:textId="0CBB2478" w:rsidR="00BF4737" w:rsidRPr="003A2F86" w:rsidRDefault="00BF4737" w:rsidP="00BF4737">
            <w:pPr>
              <w:spacing w:after="0" w:line="240" w:lineRule="auto"/>
              <w:jc w:val="both"/>
              <w:rPr>
                <w:rFonts w:ascii="Arial" w:eastAsia="Times New Roman" w:hAnsi="Arial" w:cs="Arial"/>
                <w:color w:val="000000"/>
                <w:sz w:val="16"/>
                <w:szCs w:val="16"/>
              </w:rPr>
            </w:pPr>
            <w:r w:rsidRPr="003A2F86">
              <w:rPr>
                <w:rFonts w:ascii="Arial" w:hAnsi="Arial" w:cs="Arial"/>
                <w:sz w:val="16"/>
                <w:szCs w:val="16"/>
              </w:rPr>
              <w:t xml:space="preserve">što je za 1.079,52 € ili 1,3% više u odnosu na izvještajno razdoblje prethodne godine </w:t>
            </w:r>
          </w:p>
        </w:tc>
      </w:tr>
      <w:tr w:rsidR="00BF4737" w:rsidRPr="003A2F86" w14:paraId="37E727BC" w14:textId="77777777" w:rsidTr="00AF1BBB">
        <w:trPr>
          <w:trHeight w:val="242"/>
          <w:jc w:val="center"/>
        </w:trPr>
        <w:tc>
          <w:tcPr>
            <w:tcW w:w="993" w:type="dxa"/>
            <w:tcBorders>
              <w:top w:val="nil"/>
              <w:left w:val="single" w:sz="8" w:space="0" w:color="auto"/>
              <w:bottom w:val="single" w:sz="4" w:space="0" w:color="auto"/>
              <w:right w:val="single" w:sz="4" w:space="0" w:color="auto"/>
            </w:tcBorders>
            <w:vAlign w:val="center"/>
            <w:hideMark/>
          </w:tcPr>
          <w:p w14:paraId="7EA773C4" w14:textId="07BAFAD4" w:rsidR="00BF4737" w:rsidRPr="003A2F86" w:rsidRDefault="00BF4737" w:rsidP="00BF4737">
            <w:pPr>
              <w:spacing w:after="0" w:line="240" w:lineRule="auto"/>
              <w:jc w:val="center"/>
              <w:rPr>
                <w:rFonts w:ascii="Arial" w:eastAsia="Times New Roman" w:hAnsi="Arial" w:cs="Arial"/>
                <w:i/>
                <w:iCs/>
                <w:color w:val="000000"/>
                <w:sz w:val="18"/>
                <w:szCs w:val="18"/>
              </w:rPr>
            </w:pPr>
            <w:r w:rsidRPr="003A2F86">
              <w:rPr>
                <w:rFonts w:ascii="Arial" w:hAnsi="Arial" w:cs="Arial"/>
                <w:sz w:val="18"/>
                <w:szCs w:val="18"/>
              </w:rPr>
              <w:t>2016.</w:t>
            </w:r>
          </w:p>
        </w:tc>
        <w:tc>
          <w:tcPr>
            <w:tcW w:w="1124" w:type="dxa"/>
            <w:tcBorders>
              <w:top w:val="nil"/>
              <w:left w:val="nil"/>
              <w:bottom w:val="single" w:sz="4" w:space="0" w:color="auto"/>
              <w:right w:val="single" w:sz="4" w:space="0" w:color="auto"/>
            </w:tcBorders>
            <w:vAlign w:val="center"/>
            <w:hideMark/>
          </w:tcPr>
          <w:p w14:paraId="79110FB3" w14:textId="348C228E" w:rsidR="00BF4737" w:rsidRPr="003A2F86" w:rsidRDefault="00BF4737" w:rsidP="00BF4737">
            <w:pPr>
              <w:spacing w:after="0" w:line="240" w:lineRule="auto"/>
              <w:jc w:val="right"/>
              <w:rPr>
                <w:rFonts w:ascii="Arial" w:eastAsia="Times New Roman" w:hAnsi="Arial" w:cs="Arial"/>
                <w:i/>
                <w:iCs/>
                <w:color w:val="000000"/>
                <w:sz w:val="18"/>
                <w:szCs w:val="18"/>
              </w:rPr>
            </w:pPr>
            <w:r w:rsidRPr="003A2F86">
              <w:rPr>
                <w:rFonts w:ascii="Arial" w:hAnsi="Arial" w:cs="Arial"/>
                <w:sz w:val="18"/>
                <w:szCs w:val="18"/>
              </w:rPr>
              <w:t>88.803,43</w:t>
            </w:r>
          </w:p>
        </w:tc>
        <w:tc>
          <w:tcPr>
            <w:tcW w:w="12190" w:type="dxa"/>
            <w:tcBorders>
              <w:top w:val="nil"/>
              <w:left w:val="nil"/>
              <w:bottom w:val="single" w:sz="4" w:space="0" w:color="auto"/>
              <w:right w:val="single" w:sz="8" w:space="0" w:color="auto"/>
            </w:tcBorders>
            <w:vAlign w:val="center"/>
            <w:hideMark/>
          </w:tcPr>
          <w:p w14:paraId="1E943CA4" w14:textId="1AF31892" w:rsidR="00BF4737" w:rsidRPr="003A2F86" w:rsidRDefault="00BF4737" w:rsidP="00BF4737">
            <w:pPr>
              <w:spacing w:after="0" w:line="240" w:lineRule="auto"/>
              <w:jc w:val="both"/>
              <w:rPr>
                <w:rFonts w:ascii="Arial" w:eastAsia="Times New Roman" w:hAnsi="Arial" w:cs="Arial"/>
                <w:color w:val="000000"/>
                <w:sz w:val="16"/>
                <w:szCs w:val="16"/>
              </w:rPr>
            </w:pPr>
            <w:r w:rsidRPr="003A2F86">
              <w:rPr>
                <w:rFonts w:ascii="Arial" w:hAnsi="Arial" w:cs="Arial"/>
                <w:sz w:val="16"/>
                <w:szCs w:val="16"/>
              </w:rPr>
              <w:t xml:space="preserve">što je za 3.767,55 € ili 4,4% više u odnosu na izvještajno razdoblje prethodne godine </w:t>
            </w:r>
          </w:p>
        </w:tc>
      </w:tr>
      <w:tr w:rsidR="00BF4737" w:rsidRPr="003A2F86" w14:paraId="1ACDB0F9" w14:textId="77777777" w:rsidTr="00AF1BBB">
        <w:trPr>
          <w:trHeight w:val="288"/>
          <w:jc w:val="center"/>
        </w:trPr>
        <w:tc>
          <w:tcPr>
            <w:tcW w:w="993" w:type="dxa"/>
            <w:tcBorders>
              <w:top w:val="nil"/>
              <w:left w:val="single" w:sz="8" w:space="0" w:color="auto"/>
              <w:bottom w:val="single" w:sz="4" w:space="0" w:color="auto"/>
              <w:right w:val="single" w:sz="4" w:space="0" w:color="auto"/>
            </w:tcBorders>
            <w:vAlign w:val="center"/>
            <w:hideMark/>
          </w:tcPr>
          <w:p w14:paraId="39EC2E11" w14:textId="2637C7D8" w:rsidR="00BF4737" w:rsidRPr="003A2F86" w:rsidRDefault="00BF4737" w:rsidP="00BF4737">
            <w:pPr>
              <w:spacing w:after="0" w:line="240" w:lineRule="auto"/>
              <w:jc w:val="center"/>
              <w:rPr>
                <w:rFonts w:ascii="Arial" w:eastAsia="Times New Roman" w:hAnsi="Arial" w:cs="Arial"/>
                <w:i/>
                <w:iCs/>
                <w:color w:val="000000"/>
                <w:sz w:val="18"/>
                <w:szCs w:val="18"/>
              </w:rPr>
            </w:pPr>
            <w:r w:rsidRPr="003A2F86">
              <w:rPr>
                <w:rFonts w:ascii="Arial" w:hAnsi="Arial" w:cs="Arial"/>
                <w:sz w:val="18"/>
                <w:szCs w:val="18"/>
              </w:rPr>
              <w:t>2017.</w:t>
            </w:r>
          </w:p>
        </w:tc>
        <w:tc>
          <w:tcPr>
            <w:tcW w:w="1124" w:type="dxa"/>
            <w:tcBorders>
              <w:top w:val="nil"/>
              <w:left w:val="nil"/>
              <w:bottom w:val="single" w:sz="4" w:space="0" w:color="auto"/>
              <w:right w:val="single" w:sz="4" w:space="0" w:color="auto"/>
            </w:tcBorders>
            <w:vAlign w:val="center"/>
            <w:hideMark/>
          </w:tcPr>
          <w:p w14:paraId="34B002B1" w14:textId="5952C1F5" w:rsidR="00BF4737" w:rsidRPr="003A2F86" w:rsidRDefault="00BF4737" w:rsidP="00BF4737">
            <w:pPr>
              <w:spacing w:after="0" w:line="240" w:lineRule="auto"/>
              <w:jc w:val="right"/>
              <w:rPr>
                <w:rFonts w:ascii="Arial" w:eastAsia="Times New Roman" w:hAnsi="Arial" w:cs="Arial"/>
                <w:i/>
                <w:iCs/>
                <w:color w:val="000000"/>
                <w:sz w:val="18"/>
                <w:szCs w:val="18"/>
              </w:rPr>
            </w:pPr>
            <w:r w:rsidRPr="003A2F86">
              <w:rPr>
                <w:rFonts w:ascii="Arial" w:hAnsi="Arial" w:cs="Arial"/>
                <w:sz w:val="18"/>
                <w:szCs w:val="18"/>
              </w:rPr>
              <w:t>96.475,18</w:t>
            </w:r>
          </w:p>
        </w:tc>
        <w:tc>
          <w:tcPr>
            <w:tcW w:w="12190" w:type="dxa"/>
            <w:tcBorders>
              <w:top w:val="nil"/>
              <w:left w:val="nil"/>
              <w:bottom w:val="single" w:sz="4" w:space="0" w:color="auto"/>
              <w:right w:val="single" w:sz="8" w:space="0" w:color="auto"/>
            </w:tcBorders>
            <w:vAlign w:val="center"/>
            <w:hideMark/>
          </w:tcPr>
          <w:p w14:paraId="5F6402D6" w14:textId="11CE4017" w:rsidR="00BF4737" w:rsidRPr="003A2F86" w:rsidRDefault="00BF4737" w:rsidP="00BF4737">
            <w:pPr>
              <w:spacing w:after="0" w:line="240" w:lineRule="auto"/>
              <w:jc w:val="both"/>
              <w:rPr>
                <w:rFonts w:ascii="Arial" w:eastAsia="Times New Roman" w:hAnsi="Arial" w:cs="Arial"/>
                <w:color w:val="000000"/>
                <w:sz w:val="16"/>
                <w:szCs w:val="16"/>
              </w:rPr>
            </w:pPr>
            <w:r w:rsidRPr="003A2F86">
              <w:rPr>
                <w:rFonts w:ascii="Arial" w:hAnsi="Arial" w:cs="Arial"/>
                <w:sz w:val="16"/>
                <w:szCs w:val="16"/>
              </w:rPr>
              <w:t xml:space="preserve">što je za 7.671,75 € ili 8,6% više u odnosu na izvještajno razdoblje prethodne godine </w:t>
            </w:r>
          </w:p>
        </w:tc>
      </w:tr>
      <w:tr w:rsidR="00BF4737" w:rsidRPr="003A2F86" w14:paraId="2477506F" w14:textId="77777777" w:rsidTr="00AF1BBB">
        <w:trPr>
          <w:trHeight w:val="264"/>
          <w:jc w:val="center"/>
        </w:trPr>
        <w:tc>
          <w:tcPr>
            <w:tcW w:w="993" w:type="dxa"/>
            <w:tcBorders>
              <w:top w:val="nil"/>
              <w:left w:val="single" w:sz="8" w:space="0" w:color="auto"/>
              <w:bottom w:val="single" w:sz="4" w:space="0" w:color="auto"/>
              <w:right w:val="single" w:sz="4" w:space="0" w:color="auto"/>
            </w:tcBorders>
            <w:vAlign w:val="center"/>
            <w:hideMark/>
          </w:tcPr>
          <w:p w14:paraId="600B0324" w14:textId="586A4F03" w:rsidR="00BF4737" w:rsidRPr="003A2F86" w:rsidRDefault="00BF4737" w:rsidP="00BF4737">
            <w:pPr>
              <w:spacing w:after="0" w:line="240" w:lineRule="auto"/>
              <w:jc w:val="center"/>
              <w:rPr>
                <w:rFonts w:ascii="Arial" w:eastAsia="Times New Roman" w:hAnsi="Arial" w:cs="Arial"/>
                <w:i/>
                <w:iCs/>
                <w:color w:val="000000"/>
                <w:sz w:val="18"/>
                <w:szCs w:val="18"/>
              </w:rPr>
            </w:pPr>
            <w:r w:rsidRPr="003A2F86">
              <w:rPr>
                <w:rFonts w:ascii="Arial" w:hAnsi="Arial" w:cs="Arial"/>
                <w:sz w:val="18"/>
                <w:szCs w:val="18"/>
              </w:rPr>
              <w:t>2018.</w:t>
            </w:r>
          </w:p>
        </w:tc>
        <w:tc>
          <w:tcPr>
            <w:tcW w:w="1124" w:type="dxa"/>
            <w:tcBorders>
              <w:top w:val="nil"/>
              <w:left w:val="nil"/>
              <w:bottom w:val="single" w:sz="4" w:space="0" w:color="auto"/>
              <w:right w:val="single" w:sz="4" w:space="0" w:color="auto"/>
            </w:tcBorders>
            <w:vAlign w:val="center"/>
            <w:hideMark/>
          </w:tcPr>
          <w:p w14:paraId="21846F3F" w14:textId="4248D16D" w:rsidR="00BF4737" w:rsidRPr="003A2F86" w:rsidRDefault="00BF4737" w:rsidP="00BF4737">
            <w:pPr>
              <w:spacing w:after="0" w:line="240" w:lineRule="auto"/>
              <w:jc w:val="right"/>
              <w:rPr>
                <w:rFonts w:ascii="Arial" w:eastAsia="Times New Roman" w:hAnsi="Arial" w:cs="Arial"/>
                <w:i/>
                <w:iCs/>
                <w:color w:val="000000"/>
                <w:sz w:val="18"/>
                <w:szCs w:val="18"/>
              </w:rPr>
            </w:pPr>
            <w:r w:rsidRPr="003A2F86">
              <w:rPr>
                <w:rFonts w:ascii="Arial" w:hAnsi="Arial" w:cs="Arial"/>
                <w:sz w:val="18"/>
                <w:szCs w:val="18"/>
              </w:rPr>
              <w:t>109.664,09</w:t>
            </w:r>
          </w:p>
        </w:tc>
        <w:tc>
          <w:tcPr>
            <w:tcW w:w="12190" w:type="dxa"/>
            <w:tcBorders>
              <w:top w:val="nil"/>
              <w:left w:val="nil"/>
              <w:bottom w:val="single" w:sz="4" w:space="0" w:color="auto"/>
              <w:right w:val="single" w:sz="8" w:space="0" w:color="auto"/>
            </w:tcBorders>
            <w:vAlign w:val="center"/>
            <w:hideMark/>
          </w:tcPr>
          <w:p w14:paraId="70AC7E54" w14:textId="03E06C36" w:rsidR="00BF4737" w:rsidRPr="003A2F86" w:rsidRDefault="00BF4737" w:rsidP="00BF4737">
            <w:pPr>
              <w:spacing w:after="0" w:line="240" w:lineRule="auto"/>
              <w:jc w:val="both"/>
              <w:rPr>
                <w:rFonts w:ascii="Arial" w:eastAsia="Times New Roman" w:hAnsi="Arial" w:cs="Arial"/>
                <w:color w:val="000000"/>
                <w:sz w:val="16"/>
                <w:szCs w:val="16"/>
              </w:rPr>
            </w:pPr>
            <w:r w:rsidRPr="003A2F86">
              <w:rPr>
                <w:rFonts w:ascii="Arial" w:hAnsi="Arial" w:cs="Arial"/>
                <w:sz w:val="16"/>
                <w:szCs w:val="16"/>
              </w:rPr>
              <w:t xml:space="preserve">što je za 13.188,91 € ili 13,7% više u odnosu na izvještajno razdoblje prethodne godine </w:t>
            </w:r>
          </w:p>
        </w:tc>
      </w:tr>
      <w:tr w:rsidR="00BF4737" w:rsidRPr="003A2F86" w14:paraId="6357609A" w14:textId="77777777" w:rsidTr="00AF1BBB">
        <w:trPr>
          <w:trHeight w:val="188"/>
          <w:jc w:val="center"/>
        </w:trPr>
        <w:tc>
          <w:tcPr>
            <w:tcW w:w="993" w:type="dxa"/>
            <w:tcBorders>
              <w:top w:val="nil"/>
              <w:left w:val="single" w:sz="8" w:space="0" w:color="auto"/>
              <w:bottom w:val="single" w:sz="4" w:space="0" w:color="auto"/>
              <w:right w:val="single" w:sz="4" w:space="0" w:color="auto"/>
            </w:tcBorders>
            <w:vAlign w:val="center"/>
            <w:hideMark/>
          </w:tcPr>
          <w:p w14:paraId="105565CE" w14:textId="54F08991" w:rsidR="00BF4737" w:rsidRPr="003A2F86" w:rsidRDefault="00BF4737" w:rsidP="00BF4737">
            <w:pPr>
              <w:spacing w:after="0" w:line="240" w:lineRule="auto"/>
              <w:jc w:val="center"/>
              <w:rPr>
                <w:rFonts w:ascii="Arial" w:eastAsia="Times New Roman" w:hAnsi="Arial" w:cs="Arial"/>
                <w:i/>
                <w:iCs/>
                <w:color w:val="000000"/>
                <w:sz w:val="18"/>
                <w:szCs w:val="18"/>
              </w:rPr>
            </w:pPr>
            <w:r w:rsidRPr="003A2F86">
              <w:rPr>
                <w:rFonts w:ascii="Arial" w:hAnsi="Arial" w:cs="Arial"/>
                <w:sz w:val="18"/>
                <w:szCs w:val="18"/>
              </w:rPr>
              <w:t>2019.</w:t>
            </w:r>
          </w:p>
        </w:tc>
        <w:tc>
          <w:tcPr>
            <w:tcW w:w="1124" w:type="dxa"/>
            <w:tcBorders>
              <w:top w:val="nil"/>
              <w:left w:val="nil"/>
              <w:bottom w:val="single" w:sz="4" w:space="0" w:color="auto"/>
              <w:right w:val="single" w:sz="4" w:space="0" w:color="auto"/>
            </w:tcBorders>
            <w:vAlign w:val="center"/>
            <w:hideMark/>
          </w:tcPr>
          <w:p w14:paraId="372F3B25" w14:textId="14333F71" w:rsidR="00BF4737" w:rsidRPr="003A2F86" w:rsidRDefault="00BF4737" w:rsidP="00BF4737">
            <w:pPr>
              <w:spacing w:after="0" w:line="240" w:lineRule="auto"/>
              <w:jc w:val="right"/>
              <w:rPr>
                <w:rFonts w:ascii="Arial" w:eastAsia="Times New Roman" w:hAnsi="Arial" w:cs="Arial"/>
                <w:i/>
                <w:iCs/>
                <w:color w:val="000000"/>
                <w:sz w:val="18"/>
                <w:szCs w:val="18"/>
              </w:rPr>
            </w:pPr>
            <w:r w:rsidRPr="003A2F86">
              <w:rPr>
                <w:rFonts w:ascii="Arial" w:hAnsi="Arial" w:cs="Arial"/>
                <w:sz w:val="18"/>
                <w:szCs w:val="18"/>
              </w:rPr>
              <w:t>137.450,79</w:t>
            </w:r>
          </w:p>
        </w:tc>
        <w:tc>
          <w:tcPr>
            <w:tcW w:w="12190" w:type="dxa"/>
            <w:tcBorders>
              <w:top w:val="nil"/>
              <w:left w:val="nil"/>
              <w:bottom w:val="single" w:sz="4" w:space="0" w:color="auto"/>
              <w:right w:val="single" w:sz="8" w:space="0" w:color="auto"/>
            </w:tcBorders>
            <w:vAlign w:val="center"/>
            <w:hideMark/>
          </w:tcPr>
          <w:p w14:paraId="29FCD3D5" w14:textId="0D6B60D2" w:rsidR="00BF4737" w:rsidRPr="003A2F86" w:rsidRDefault="00BF4737" w:rsidP="00BF4737">
            <w:pPr>
              <w:spacing w:after="0" w:line="240" w:lineRule="auto"/>
              <w:jc w:val="both"/>
              <w:rPr>
                <w:rFonts w:ascii="Arial" w:eastAsia="Times New Roman" w:hAnsi="Arial" w:cs="Arial"/>
                <w:color w:val="000000"/>
                <w:sz w:val="16"/>
                <w:szCs w:val="16"/>
              </w:rPr>
            </w:pPr>
            <w:r w:rsidRPr="003A2F86">
              <w:rPr>
                <w:rFonts w:ascii="Arial" w:hAnsi="Arial" w:cs="Arial"/>
                <w:sz w:val="16"/>
                <w:szCs w:val="16"/>
              </w:rPr>
              <w:t>što je za 27.786,70 € ili 25,3% više u odnosu na izvještajno razdoblje prethodne 2018. g. U prvom polugodištu 2019. ovi prihodi su iznosili 15.763,65 €.</w:t>
            </w:r>
          </w:p>
        </w:tc>
      </w:tr>
      <w:tr w:rsidR="00BF4737" w:rsidRPr="003A2F86" w14:paraId="46DBCA4C" w14:textId="77777777" w:rsidTr="00AF1BBB">
        <w:trPr>
          <w:trHeight w:val="274"/>
          <w:jc w:val="center"/>
        </w:trPr>
        <w:tc>
          <w:tcPr>
            <w:tcW w:w="993" w:type="dxa"/>
            <w:tcBorders>
              <w:top w:val="nil"/>
              <w:left w:val="single" w:sz="8" w:space="0" w:color="auto"/>
              <w:bottom w:val="single" w:sz="4" w:space="0" w:color="auto"/>
              <w:right w:val="single" w:sz="4" w:space="0" w:color="auto"/>
            </w:tcBorders>
            <w:vAlign w:val="center"/>
            <w:hideMark/>
          </w:tcPr>
          <w:p w14:paraId="2A21E610" w14:textId="7B07CA5E" w:rsidR="00BF4737" w:rsidRPr="003A2F86" w:rsidRDefault="00BF4737" w:rsidP="00BF4737">
            <w:pPr>
              <w:spacing w:after="0" w:line="240" w:lineRule="auto"/>
              <w:jc w:val="center"/>
              <w:rPr>
                <w:rFonts w:ascii="Arial" w:eastAsia="Times New Roman" w:hAnsi="Arial" w:cs="Arial"/>
                <w:i/>
                <w:iCs/>
                <w:color w:val="000000"/>
                <w:sz w:val="18"/>
                <w:szCs w:val="18"/>
              </w:rPr>
            </w:pPr>
            <w:r w:rsidRPr="003A2F86">
              <w:rPr>
                <w:rFonts w:ascii="Arial" w:hAnsi="Arial" w:cs="Arial"/>
                <w:sz w:val="18"/>
                <w:szCs w:val="18"/>
              </w:rPr>
              <w:t>2020.</w:t>
            </w:r>
          </w:p>
        </w:tc>
        <w:tc>
          <w:tcPr>
            <w:tcW w:w="1124" w:type="dxa"/>
            <w:tcBorders>
              <w:top w:val="single" w:sz="4" w:space="0" w:color="auto"/>
              <w:left w:val="nil"/>
              <w:bottom w:val="single" w:sz="4" w:space="0" w:color="auto"/>
              <w:right w:val="single" w:sz="4" w:space="0" w:color="auto"/>
            </w:tcBorders>
            <w:vAlign w:val="center"/>
            <w:hideMark/>
          </w:tcPr>
          <w:p w14:paraId="7183BFC9" w14:textId="0783714F" w:rsidR="00BF4737" w:rsidRPr="003A2F86" w:rsidRDefault="00BF4737" w:rsidP="00BF4737">
            <w:pPr>
              <w:spacing w:after="0" w:line="240" w:lineRule="auto"/>
              <w:jc w:val="right"/>
              <w:rPr>
                <w:rFonts w:ascii="Arial" w:eastAsia="Times New Roman" w:hAnsi="Arial" w:cs="Arial"/>
                <w:i/>
                <w:iCs/>
                <w:color w:val="000000"/>
                <w:sz w:val="18"/>
                <w:szCs w:val="18"/>
              </w:rPr>
            </w:pPr>
            <w:r w:rsidRPr="003A2F86">
              <w:rPr>
                <w:rFonts w:ascii="Arial" w:hAnsi="Arial" w:cs="Arial"/>
                <w:sz w:val="18"/>
                <w:szCs w:val="18"/>
              </w:rPr>
              <w:t>28.639,87</w:t>
            </w:r>
          </w:p>
        </w:tc>
        <w:tc>
          <w:tcPr>
            <w:tcW w:w="12190" w:type="dxa"/>
            <w:tcBorders>
              <w:top w:val="nil"/>
              <w:left w:val="single" w:sz="4" w:space="0" w:color="auto"/>
              <w:bottom w:val="single" w:sz="4" w:space="0" w:color="auto"/>
              <w:right w:val="single" w:sz="8" w:space="0" w:color="auto"/>
            </w:tcBorders>
            <w:vAlign w:val="center"/>
            <w:hideMark/>
          </w:tcPr>
          <w:p w14:paraId="66618943" w14:textId="4C6B1B4B" w:rsidR="00BF4737" w:rsidRPr="003A2F86" w:rsidRDefault="00BF4737" w:rsidP="00BF4737">
            <w:pPr>
              <w:spacing w:after="0" w:line="240" w:lineRule="auto"/>
              <w:jc w:val="both"/>
              <w:rPr>
                <w:rFonts w:ascii="Arial" w:eastAsia="Times New Roman" w:hAnsi="Arial" w:cs="Arial"/>
                <w:color w:val="000000"/>
                <w:sz w:val="16"/>
                <w:szCs w:val="16"/>
              </w:rPr>
            </w:pPr>
            <w:r w:rsidRPr="003A2F86">
              <w:rPr>
                <w:rFonts w:ascii="Arial" w:hAnsi="Arial" w:cs="Arial"/>
                <w:sz w:val="16"/>
                <w:szCs w:val="16"/>
              </w:rPr>
              <w:t>što je za 108.810,92 € ili 79,2% manje u odnosu na izvještajno razdoblje prethodne 2019. g. U prvom polugodištu 2020. ovi prihodi su iznosili 1.216,87 €.</w:t>
            </w:r>
          </w:p>
        </w:tc>
      </w:tr>
      <w:tr w:rsidR="00BF4737" w:rsidRPr="003A2F86" w14:paraId="5931A838" w14:textId="77777777" w:rsidTr="00AF1BBB">
        <w:trPr>
          <w:trHeight w:val="459"/>
          <w:jc w:val="center"/>
        </w:trPr>
        <w:tc>
          <w:tcPr>
            <w:tcW w:w="993" w:type="dxa"/>
            <w:tcBorders>
              <w:top w:val="single" w:sz="4" w:space="0" w:color="auto"/>
              <w:left w:val="single" w:sz="8" w:space="0" w:color="auto"/>
              <w:bottom w:val="single" w:sz="4" w:space="0" w:color="auto"/>
              <w:right w:val="single" w:sz="4" w:space="0" w:color="auto"/>
            </w:tcBorders>
            <w:vAlign w:val="center"/>
            <w:hideMark/>
          </w:tcPr>
          <w:p w14:paraId="78ECA238" w14:textId="7747ABC1" w:rsidR="00BF4737" w:rsidRPr="003A2F86" w:rsidRDefault="00BF4737" w:rsidP="00BF4737">
            <w:pPr>
              <w:spacing w:after="0" w:line="240" w:lineRule="auto"/>
              <w:jc w:val="center"/>
              <w:rPr>
                <w:rFonts w:ascii="Arial" w:eastAsia="Times New Roman" w:hAnsi="Arial" w:cs="Arial"/>
                <w:i/>
                <w:iCs/>
                <w:color w:val="000000"/>
                <w:sz w:val="18"/>
                <w:szCs w:val="18"/>
              </w:rPr>
            </w:pPr>
            <w:r w:rsidRPr="003A2F86">
              <w:rPr>
                <w:rFonts w:ascii="Arial" w:hAnsi="Arial" w:cs="Arial"/>
                <w:sz w:val="18"/>
                <w:szCs w:val="18"/>
              </w:rPr>
              <w:t>2021.</w:t>
            </w:r>
          </w:p>
        </w:tc>
        <w:tc>
          <w:tcPr>
            <w:tcW w:w="1124" w:type="dxa"/>
            <w:tcBorders>
              <w:top w:val="single" w:sz="4" w:space="0" w:color="auto"/>
              <w:left w:val="nil"/>
              <w:bottom w:val="single" w:sz="4" w:space="0" w:color="auto"/>
              <w:right w:val="single" w:sz="4" w:space="0" w:color="auto"/>
            </w:tcBorders>
            <w:vAlign w:val="center"/>
            <w:hideMark/>
          </w:tcPr>
          <w:p w14:paraId="29182BAA" w14:textId="54BB1862" w:rsidR="00BF4737" w:rsidRPr="003A2F86" w:rsidRDefault="00BF4737" w:rsidP="00BF4737">
            <w:pPr>
              <w:spacing w:after="0" w:line="240" w:lineRule="auto"/>
              <w:jc w:val="right"/>
              <w:rPr>
                <w:rFonts w:ascii="Arial" w:eastAsia="Times New Roman" w:hAnsi="Arial" w:cs="Arial"/>
                <w:i/>
                <w:iCs/>
                <w:color w:val="000000"/>
                <w:sz w:val="18"/>
                <w:szCs w:val="18"/>
              </w:rPr>
            </w:pPr>
            <w:r w:rsidRPr="003A2F86">
              <w:rPr>
                <w:rFonts w:ascii="Arial" w:hAnsi="Arial" w:cs="Arial"/>
                <w:sz w:val="18"/>
                <w:szCs w:val="18"/>
              </w:rPr>
              <w:t>56.955,92</w:t>
            </w:r>
          </w:p>
        </w:tc>
        <w:tc>
          <w:tcPr>
            <w:tcW w:w="12190" w:type="dxa"/>
            <w:tcBorders>
              <w:top w:val="single" w:sz="4" w:space="0" w:color="auto"/>
              <w:left w:val="nil"/>
              <w:bottom w:val="single" w:sz="4" w:space="0" w:color="auto"/>
              <w:right w:val="single" w:sz="8" w:space="0" w:color="auto"/>
            </w:tcBorders>
            <w:vAlign w:val="center"/>
            <w:hideMark/>
          </w:tcPr>
          <w:p w14:paraId="1F4FF333" w14:textId="7A6437D1" w:rsidR="00BF4737" w:rsidRPr="003A2F86" w:rsidRDefault="00BF4737" w:rsidP="00BF4737">
            <w:pPr>
              <w:spacing w:after="0" w:line="240" w:lineRule="auto"/>
              <w:jc w:val="both"/>
              <w:rPr>
                <w:rFonts w:ascii="Arial" w:eastAsia="Times New Roman" w:hAnsi="Arial" w:cs="Arial"/>
                <w:color w:val="000000"/>
                <w:sz w:val="16"/>
                <w:szCs w:val="16"/>
              </w:rPr>
            </w:pPr>
            <w:r w:rsidRPr="003A2F86">
              <w:rPr>
                <w:rFonts w:ascii="Arial" w:hAnsi="Arial" w:cs="Arial"/>
                <w:sz w:val="16"/>
                <w:szCs w:val="16"/>
              </w:rPr>
              <w:t>što je za 28.316,05 € ili 98,9% više u odnosu na izvještajno razdoblje prethodne 2020. g. Međutim, u odnosu na prihode 2019. godine, ovi prihodi su manji za</w:t>
            </w:r>
            <w:r w:rsidR="00AB02DE" w:rsidRPr="003A2F86">
              <w:rPr>
                <w:rFonts w:ascii="Arial" w:hAnsi="Arial" w:cs="Arial"/>
                <w:sz w:val="16"/>
                <w:szCs w:val="16"/>
              </w:rPr>
              <w:t xml:space="preserve"> </w:t>
            </w:r>
            <w:r w:rsidRPr="003A2F86">
              <w:rPr>
                <w:rFonts w:ascii="Arial" w:hAnsi="Arial" w:cs="Arial"/>
                <w:sz w:val="16"/>
                <w:szCs w:val="16"/>
              </w:rPr>
              <w:t>80.494,87 € ili 58,6%. U prvom polugodištu 2021. ovi prihodi su iznosili 2.940,85 €.</w:t>
            </w:r>
          </w:p>
        </w:tc>
      </w:tr>
      <w:tr w:rsidR="00BF4737" w:rsidRPr="003A2F86" w14:paraId="52D47128" w14:textId="77777777" w:rsidTr="00AF1BBB">
        <w:trPr>
          <w:trHeight w:val="290"/>
          <w:jc w:val="center"/>
        </w:trPr>
        <w:tc>
          <w:tcPr>
            <w:tcW w:w="993" w:type="dxa"/>
            <w:tcBorders>
              <w:top w:val="single" w:sz="4" w:space="0" w:color="auto"/>
              <w:left w:val="single" w:sz="8" w:space="0" w:color="auto"/>
              <w:bottom w:val="single" w:sz="4" w:space="0" w:color="auto"/>
              <w:right w:val="single" w:sz="4" w:space="0" w:color="auto"/>
            </w:tcBorders>
            <w:vAlign w:val="center"/>
          </w:tcPr>
          <w:p w14:paraId="15B088C6" w14:textId="0B7C9490" w:rsidR="00BF4737" w:rsidRPr="003A2F86" w:rsidRDefault="00BF4737" w:rsidP="00BF4737">
            <w:pPr>
              <w:spacing w:after="0" w:line="240" w:lineRule="auto"/>
              <w:jc w:val="center"/>
              <w:rPr>
                <w:rFonts w:ascii="Arial" w:eastAsia="Times New Roman" w:hAnsi="Arial" w:cs="Arial"/>
                <w:i/>
                <w:iCs/>
                <w:sz w:val="18"/>
                <w:szCs w:val="18"/>
              </w:rPr>
            </w:pPr>
            <w:r w:rsidRPr="003A2F86">
              <w:rPr>
                <w:rFonts w:ascii="Arial" w:hAnsi="Arial" w:cs="Arial"/>
                <w:sz w:val="18"/>
                <w:szCs w:val="18"/>
              </w:rPr>
              <w:t>2022.</w:t>
            </w:r>
          </w:p>
        </w:tc>
        <w:tc>
          <w:tcPr>
            <w:tcW w:w="1124" w:type="dxa"/>
            <w:tcBorders>
              <w:top w:val="single" w:sz="4" w:space="0" w:color="auto"/>
              <w:left w:val="nil"/>
              <w:bottom w:val="single" w:sz="4" w:space="0" w:color="auto"/>
              <w:right w:val="single" w:sz="4" w:space="0" w:color="auto"/>
            </w:tcBorders>
            <w:vAlign w:val="center"/>
          </w:tcPr>
          <w:p w14:paraId="307BCA67" w14:textId="7717CEBA" w:rsidR="00BF4737" w:rsidRPr="003A2F86" w:rsidRDefault="00BF4737" w:rsidP="00BF4737">
            <w:pPr>
              <w:spacing w:after="0" w:line="240" w:lineRule="auto"/>
              <w:jc w:val="right"/>
              <w:rPr>
                <w:rFonts w:ascii="Arial" w:eastAsia="Times New Roman" w:hAnsi="Arial" w:cs="Arial"/>
                <w:i/>
                <w:iCs/>
                <w:sz w:val="18"/>
                <w:szCs w:val="18"/>
              </w:rPr>
            </w:pPr>
            <w:r w:rsidRPr="003A2F86">
              <w:rPr>
                <w:rFonts w:ascii="Arial" w:hAnsi="Arial" w:cs="Arial"/>
                <w:sz w:val="18"/>
                <w:szCs w:val="18"/>
              </w:rPr>
              <w:t>162.246,16</w:t>
            </w:r>
          </w:p>
        </w:tc>
        <w:tc>
          <w:tcPr>
            <w:tcW w:w="12190" w:type="dxa"/>
            <w:tcBorders>
              <w:top w:val="single" w:sz="4" w:space="0" w:color="auto"/>
              <w:left w:val="nil"/>
              <w:bottom w:val="single" w:sz="4" w:space="0" w:color="auto"/>
              <w:right w:val="single" w:sz="8" w:space="0" w:color="auto"/>
            </w:tcBorders>
            <w:vAlign w:val="center"/>
          </w:tcPr>
          <w:p w14:paraId="1810AD48" w14:textId="431792B6" w:rsidR="00BF4737" w:rsidRPr="003A2F86" w:rsidRDefault="00BF4737" w:rsidP="00BF4737">
            <w:pPr>
              <w:spacing w:after="0" w:line="240" w:lineRule="auto"/>
              <w:jc w:val="both"/>
              <w:rPr>
                <w:rFonts w:ascii="Arial" w:eastAsia="Times New Roman" w:hAnsi="Arial" w:cs="Arial"/>
                <w:sz w:val="16"/>
                <w:szCs w:val="16"/>
              </w:rPr>
            </w:pPr>
            <w:r w:rsidRPr="003A2F86">
              <w:rPr>
                <w:rFonts w:ascii="Arial" w:hAnsi="Arial" w:cs="Arial"/>
                <w:sz w:val="16"/>
                <w:szCs w:val="16"/>
              </w:rPr>
              <w:t>što je za 105.290,24 € ili 184,9 % više u odnosu na izvještajno razdoblje prethodne 2021.g. U prvom polugodištu 2022. ovi prihodi su iznosili 30.801,03 €.</w:t>
            </w:r>
          </w:p>
        </w:tc>
      </w:tr>
      <w:tr w:rsidR="00CC19B3" w:rsidRPr="003A2F86" w14:paraId="0F1D61D6" w14:textId="77777777" w:rsidTr="00AF1BBB">
        <w:trPr>
          <w:trHeight w:val="242"/>
          <w:jc w:val="center"/>
        </w:trPr>
        <w:tc>
          <w:tcPr>
            <w:tcW w:w="993" w:type="dxa"/>
            <w:tcBorders>
              <w:top w:val="single" w:sz="4" w:space="0" w:color="auto"/>
              <w:left w:val="single" w:sz="8" w:space="0" w:color="auto"/>
              <w:bottom w:val="single" w:sz="4" w:space="0" w:color="auto"/>
              <w:right w:val="single" w:sz="4" w:space="0" w:color="auto"/>
            </w:tcBorders>
            <w:vAlign w:val="center"/>
          </w:tcPr>
          <w:p w14:paraId="523D36A8" w14:textId="453BF6E2" w:rsidR="00CC19B3" w:rsidRPr="003A2F86" w:rsidRDefault="00CC19B3" w:rsidP="00CC19B3">
            <w:pPr>
              <w:spacing w:after="0" w:line="240" w:lineRule="auto"/>
              <w:jc w:val="center"/>
              <w:rPr>
                <w:rFonts w:ascii="Arial" w:eastAsia="Times New Roman" w:hAnsi="Arial" w:cs="Arial"/>
                <w:i/>
                <w:iCs/>
                <w:sz w:val="18"/>
                <w:szCs w:val="18"/>
              </w:rPr>
            </w:pPr>
            <w:r w:rsidRPr="003A2F86">
              <w:rPr>
                <w:rFonts w:ascii="Arial" w:hAnsi="Arial" w:cs="Arial"/>
                <w:sz w:val="18"/>
                <w:szCs w:val="18"/>
              </w:rPr>
              <w:t>2023.</w:t>
            </w:r>
          </w:p>
        </w:tc>
        <w:tc>
          <w:tcPr>
            <w:tcW w:w="1124" w:type="dxa"/>
            <w:tcBorders>
              <w:top w:val="single" w:sz="4" w:space="0" w:color="auto"/>
              <w:left w:val="single" w:sz="4" w:space="0" w:color="auto"/>
              <w:bottom w:val="single" w:sz="4" w:space="0" w:color="auto"/>
              <w:right w:val="single" w:sz="4" w:space="0" w:color="auto"/>
            </w:tcBorders>
            <w:vAlign w:val="center"/>
          </w:tcPr>
          <w:p w14:paraId="11669AAF" w14:textId="79D24F42" w:rsidR="00CC19B3" w:rsidRPr="003A2F86" w:rsidRDefault="00CC19B3" w:rsidP="00CC19B3">
            <w:pPr>
              <w:spacing w:after="0" w:line="240" w:lineRule="auto"/>
              <w:jc w:val="right"/>
              <w:rPr>
                <w:rFonts w:ascii="Arial" w:eastAsia="Times New Roman" w:hAnsi="Arial" w:cs="Arial"/>
                <w:i/>
                <w:iCs/>
                <w:sz w:val="18"/>
                <w:szCs w:val="18"/>
              </w:rPr>
            </w:pPr>
            <w:r w:rsidRPr="003A2F86">
              <w:rPr>
                <w:rFonts w:ascii="Arial" w:hAnsi="Arial" w:cs="Arial"/>
                <w:i/>
                <w:iCs/>
                <w:sz w:val="18"/>
                <w:szCs w:val="18"/>
              </w:rPr>
              <w:t>193.986,45</w:t>
            </w:r>
          </w:p>
        </w:tc>
        <w:tc>
          <w:tcPr>
            <w:tcW w:w="12190" w:type="dxa"/>
            <w:tcBorders>
              <w:top w:val="single" w:sz="4" w:space="0" w:color="auto"/>
              <w:left w:val="nil"/>
              <w:bottom w:val="single" w:sz="4" w:space="0" w:color="auto"/>
              <w:right w:val="single" w:sz="8" w:space="0" w:color="auto"/>
            </w:tcBorders>
            <w:vAlign w:val="center"/>
          </w:tcPr>
          <w:p w14:paraId="2848E246" w14:textId="304B7884" w:rsidR="00CC19B3" w:rsidRPr="003A2F86" w:rsidRDefault="00CC19B3" w:rsidP="00CC19B3">
            <w:pPr>
              <w:spacing w:after="0" w:line="240" w:lineRule="auto"/>
              <w:jc w:val="both"/>
              <w:rPr>
                <w:rFonts w:ascii="Arial" w:eastAsia="Times New Roman" w:hAnsi="Arial" w:cs="Arial"/>
                <w:sz w:val="16"/>
                <w:szCs w:val="16"/>
              </w:rPr>
            </w:pPr>
            <w:r w:rsidRPr="003A2F86">
              <w:rPr>
                <w:rFonts w:ascii="Arial" w:hAnsi="Arial" w:cs="Arial"/>
                <w:sz w:val="16"/>
                <w:szCs w:val="16"/>
              </w:rPr>
              <w:t>što je za 31.740,29 € ili 19,6% više u odnosu na izvještajno razdoblje prethodne 2022. g. U prvom polugodištu 2023. ovi prihodi iznose 44.238,78 €.</w:t>
            </w:r>
          </w:p>
        </w:tc>
      </w:tr>
      <w:tr w:rsidR="00C23737" w:rsidRPr="00D0351C" w14:paraId="7800C159" w14:textId="77777777" w:rsidTr="00846197">
        <w:trPr>
          <w:trHeight w:val="287"/>
          <w:jc w:val="center"/>
        </w:trPr>
        <w:tc>
          <w:tcPr>
            <w:tcW w:w="993" w:type="dxa"/>
            <w:tcBorders>
              <w:top w:val="single" w:sz="4" w:space="0" w:color="auto"/>
              <w:left w:val="single" w:sz="8" w:space="0" w:color="auto"/>
              <w:bottom w:val="single" w:sz="4" w:space="0" w:color="auto"/>
              <w:right w:val="single" w:sz="4" w:space="0" w:color="auto"/>
            </w:tcBorders>
            <w:vAlign w:val="center"/>
          </w:tcPr>
          <w:p w14:paraId="02781D46" w14:textId="79A8F950" w:rsidR="00C23737" w:rsidRPr="00846197" w:rsidRDefault="00C23737" w:rsidP="00C23737">
            <w:pPr>
              <w:spacing w:after="0" w:line="240" w:lineRule="auto"/>
              <w:jc w:val="center"/>
              <w:rPr>
                <w:rFonts w:ascii="Arial" w:hAnsi="Arial" w:cs="Arial"/>
                <w:sz w:val="18"/>
                <w:szCs w:val="18"/>
              </w:rPr>
            </w:pPr>
            <w:r w:rsidRPr="00846197">
              <w:rPr>
                <w:rFonts w:ascii="Arial" w:hAnsi="Arial" w:cs="Arial"/>
                <w:sz w:val="18"/>
                <w:szCs w:val="18"/>
              </w:rPr>
              <w:t>2024.</w:t>
            </w:r>
          </w:p>
        </w:tc>
        <w:tc>
          <w:tcPr>
            <w:tcW w:w="1124" w:type="dxa"/>
            <w:tcBorders>
              <w:top w:val="single" w:sz="4" w:space="0" w:color="auto"/>
              <w:left w:val="single" w:sz="4" w:space="0" w:color="auto"/>
              <w:bottom w:val="single" w:sz="4" w:space="0" w:color="auto"/>
              <w:right w:val="single" w:sz="4" w:space="0" w:color="auto"/>
            </w:tcBorders>
            <w:vAlign w:val="center"/>
          </w:tcPr>
          <w:p w14:paraId="5507A67F" w14:textId="0B876EFE" w:rsidR="00C23737" w:rsidRPr="00D0351C" w:rsidRDefault="00C23737" w:rsidP="00C23737">
            <w:pPr>
              <w:spacing w:after="0" w:line="240" w:lineRule="auto"/>
              <w:jc w:val="right"/>
              <w:rPr>
                <w:rFonts w:ascii="Arial" w:hAnsi="Arial" w:cs="Arial"/>
                <w:i/>
                <w:iCs/>
                <w:sz w:val="18"/>
                <w:szCs w:val="18"/>
              </w:rPr>
            </w:pPr>
            <w:r w:rsidRPr="00D0351C">
              <w:rPr>
                <w:rFonts w:ascii="Arial" w:hAnsi="Arial" w:cs="Arial"/>
                <w:i/>
                <w:iCs/>
                <w:color w:val="000000"/>
                <w:sz w:val="18"/>
                <w:szCs w:val="18"/>
              </w:rPr>
              <w:t>218.493,86</w:t>
            </w:r>
          </w:p>
        </w:tc>
        <w:tc>
          <w:tcPr>
            <w:tcW w:w="12190" w:type="dxa"/>
            <w:tcBorders>
              <w:top w:val="single" w:sz="4" w:space="0" w:color="auto"/>
              <w:left w:val="nil"/>
              <w:bottom w:val="single" w:sz="4" w:space="0" w:color="auto"/>
              <w:right w:val="single" w:sz="8" w:space="0" w:color="auto"/>
            </w:tcBorders>
            <w:vAlign w:val="center"/>
          </w:tcPr>
          <w:p w14:paraId="218B4C74" w14:textId="1FB7AC44" w:rsidR="00C23737" w:rsidRPr="00D0351C" w:rsidRDefault="00C23737" w:rsidP="00C23737">
            <w:pPr>
              <w:spacing w:after="0" w:line="240" w:lineRule="auto"/>
              <w:jc w:val="both"/>
              <w:rPr>
                <w:rFonts w:ascii="Arial" w:hAnsi="Arial" w:cs="Arial"/>
                <w:sz w:val="16"/>
                <w:szCs w:val="16"/>
              </w:rPr>
            </w:pPr>
            <w:r w:rsidRPr="00D0351C">
              <w:rPr>
                <w:rFonts w:ascii="Arial" w:hAnsi="Arial" w:cs="Arial"/>
                <w:sz w:val="16"/>
                <w:szCs w:val="16"/>
              </w:rPr>
              <w:t>što je za 24.507,41 € ili 12,6% više u odnosu na izvještajno razdoblje prethodne godine. U prvom polugodištu 2024. ovi prihodi iznose 52.060,63 €.</w:t>
            </w:r>
          </w:p>
        </w:tc>
      </w:tr>
      <w:tr w:rsidR="00846197" w:rsidRPr="00D0351C" w14:paraId="11C41DFB" w14:textId="77777777" w:rsidTr="00AF1BBB">
        <w:trPr>
          <w:trHeight w:val="287"/>
          <w:jc w:val="center"/>
        </w:trPr>
        <w:tc>
          <w:tcPr>
            <w:tcW w:w="993" w:type="dxa"/>
            <w:tcBorders>
              <w:top w:val="single" w:sz="4" w:space="0" w:color="auto"/>
              <w:left w:val="single" w:sz="8" w:space="0" w:color="auto"/>
              <w:bottom w:val="single" w:sz="8" w:space="0" w:color="auto"/>
              <w:right w:val="single" w:sz="4" w:space="0" w:color="auto"/>
            </w:tcBorders>
            <w:vAlign w:val="center"/>
          </w:tcPr>
          <w:p w14:paraId="7FBBE6DA" w14:textId="1C52F8CF" w:rsidR="00846197" w:rsidRPr="00846197" w:rsidRDefault="00846197" w:rsidP="00C23737">
            <w:pPr>
              <w:spacing w:after="0" w:line="240" w:lineRule="auto"/>
              <w:jc w:val="center"/>
              <w:rPr>
                <w:rFonts w:ascii="Arial" w:hAnsi="Arial" w:cs="Arial"/>
                <w:sz w:val="18"/>
                <w:szCs w:val="18"/>
              </w:rPr>
            </w:pPr>
            <w:r>
              <w:rPr>
                <w:rFonts w:ascii="Arial" w:hAnsi="Arial" w:cs="Arial"/>
                <w:sz w:val="18"/>
                <w:szCs w:val="18"/>
              </w:rPr>
              <w:t>2025.</w:t>
            </w:r>
          </w:p>
        </w:tc>
        <w:tc>
          <w:tcPr>
            <w:tcW w:w="1124" w:type="dxa"/>
            <w:tcBorders>
              <w:top w:val="single" w:sz="4" w:space="0" w:color="auto"/>
              <w:left w:val="single" w:sz="4" w:space="0" w:color="auto"/>
              <w:bottom w:val="single" w:sz="4" w:space="0" w:color="auto"/>
              <w:right w:val="single" w:sz="4" w:space="0" w:color="auto"/>
            </w:tcBorders>
            <w:vAlign w:val="center"/>
          </w:tcPr>
          <w:p w14:paraId="66943EDE" w14:textId="2E7750AA" w:rsidR="00846197" w:rsidRPr="00D0351C" w:rsidRDefault="004824B5" w:rsidP="00C23737">
            <w:pPr>
              <w:spacing w:after="0" w:line="240" w:lineRule="auto"/>
              <w:jc w:val="right"/>
              <w:rPr>
                <w:rFonts w:ascii="Arial" w:hAnsi="Arial" w:cs="Arial"/>
                <w:i/>
                <w:iCs/>
                <w:color w:val="000000"/>
                <w:sz w:val="18"/>
                <w:szCs w:val="18"/>
              </w:rPr>
            </w:pPr>
            <w:r>
              <w:rPr>
                <w:rFonts w:ascii="Arial" w:hAnsi="Arial" w:cs="Arial"/>
                <w:i/>
                <w:iCs/>
                <w:color w:val="000000"/>
                <w:sz w:val="18"/>
                <w:szCs w:val="18"/>
              </w:rPr>
              <w:t>223.823,60</w:t>
            </w:r>
          </w:p>
        </w:tc>
        <w:tc>
          <w:tcPr>
            <w:tcW w:w="12190" w:type="dxa"/>
            <w:tcBorders>
              <w:top w:val="single" w:sz="4" w:space="0" w:color="auto"/>
              <w:left w:val="nil"/>
              <w:bottom w:val="single" w:sz="4" w:space="0" w:color="auto"/>
              <w:right w:val="single" w:sz="8" w:space="0" w:color="auto"/>
            </w:tcBorders>
            <w:vAlign w:val="center"/>
          </w:tcPr>
          <w:p w14:paraId="603CA649" w14:textId="6AAB679B" w:rsidR="00846197" w:rsidRPr="00D0351C" w:rsidRDefault="004824B5" w:rsidP="00C23737">
            <w:pPr>
              <w:spacing w:after="0" w:line="240" w:lineRule="auto"/>
              <w:jc w:val="both"/>
              <w:rPr>
                <w:rFonts w:ascii="Arial" w:hAnsi="Arial" w:cs="Arial"/>
                <w:sz w:val="16"/>
                <w:szCs w:val="16"/>
              </w:rPr>
            </w:pPr>
            <w:r w:rsidRPr="004824B5">
              <w:rPr>
                <w:rFonts w:ascii="Arial" w:hAnsi="Arial" w:cs="Arial"/>
                <w:sz w:val="16"/>
                <w:szCs w:val="16"/>
              </w:rPr>
              <w:t>što je za 5.329,74 € ili 2,4% više u odnosu na izvještajno razdoblje prethodne godine. U prvom polugodištu 2025. ovi prihodi iznose 60.198,68 €.</w:t>
            </w:r>
          </w:p>
        </w:tc>
      </w:tr>
    </w:tbl>
    <w:p w14:paraId="3B174554" w14:textId="77777777" w:rsidR="00D66155" w:rsidRDefault="00D66155" w:rsidP="00C237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contextualSpacing/>
        <w:jc w:val="both"/>
        <w:rPr>
          <w:rFonts w:ascii="Arial" w:eastAsia="Calibri" w:hAnsi="Arial" w:cs="Arial"/>
          <w:b/>
          <w:bCs/>
          <w:lang w:eastAsia="en-US"/>
        </w:rPr>
      </w:pPr>
      <w:bookmarkStart w:id="126" w:name="_Hlk103075446"/>
    </w:p>
    <w:p w14:paraId="1B96F0CE" w14:textId="7B1167C4" w:rsidR="00C23737" w:rsidRPr="00C23737" w:rsidRDefault="003C3AEE" w:rsidP="00C237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contextualSpacing/>
        <w:jc w:val="both"/>
        <w:rPr>
          <w:rFonts w:ascii="Arial" w:eastAsia="Calibri" w:hAnsi="Arial" w:cs="Arial"/>
          <w:lang w:eastAsia="en-US"/>
        </w:rPr>
      </w:pPr>
      <w:r w:rsidRPr="003A2F86">
        <w:rPr>
          <w:rFonts w:ascii="Arial" w:eastAsia="Calibri" w:hAnsi="Arial" w:cs="Arial"/>
          <w:b/>
          <w:bCs/>
          <w:lang w:eastAsia="en-US"/>
        </w:rPr>
        <w:t>Prihodi po posebnim propisima</w:t>
      </w:r>
      <w:r w:rsidRPr="003A2F86">
        <w:rPr>
          <w:rFonts w:ascii="Arial" w:eastAsia="Calibri" w:hAnsi="Arial" w:cs="Arial"/>
          <w:lang w:eastAsia="en-US"/>
        </w:rPr>
        <w:t xml:space="preserve"> (</w:t>
      </w:r>
      <w:r w:rsidRPr="003A2F86">
        <w:rPr>
          <w:rFonts w:ascii="Arial" w:eastAsia="Calibri" w:hAnsi="Arial" w:cs="Arial"/>
          <w:b/>
          <w:bCs/>
          <w:lang w:eastAsia="en-US"/>
        </w:rPr>
        <w:t>652</w:t>
      </w:r>
      <w:r w:rsidRPr="003A2F86">
        <w:rPr>
          <w:rFonts w:ascii="Arial" w:eastAsia="Calibri" w:hAnsi="Arial" w:cs="Arial"/>
          <w:lang w:eastAsia="en-US"/>
        </w:rPr>
        <w:t xml:space="preserve">) ostvareni su </w:t>
      </w:r>
      <w:r w:rsidR="00C23737" w:rsidRPr="00C23737">
        <w:rPr>
          <w:rFonts w:ascii="Arial" w:eastAsia="Calibri" w:hAnsi="Arial" w:cs="Arial"/>
          <w:lang w:eastAsia="en-US"/>
        </w:rPr>
        <w:t xml:space="preserve">u iznosu </w:t>
      </w:r>
      <w:r w:rsidR="00AD7701">
        <w:rPr>
          <w:rFonts w:ascii="Arial" w:eastAsia="Calibri" w:hAnsi="Arial" w:cs="Arial"/>
          <w:lang w:eastAsia="en-US"/>
        </w:rPr>
        <w:t>1.547.435,87</w:t>
      </w:r>
      <w:r w:rsidR="00C23737" w:rsidRPr="00C23737">
        <w:rPr>
          <w:rFonts w:ascii="Arial" w:eastAsia="Calibri" w:hAnsi="Arial" w:cs="Arial"/>
          <w:lang w:eastAsia="en-US"/>
        </w:rPr>
        <w:t xml:space="preserve"> € odnosno </w:t>
      </w:r>
      <w:r w:rsidR="00AD7701">
        <w:rPr>
          <w:rFonts w:ascii="Arial" w:eastAsia="Calibri" w:hAnsi="Arial" w:cs="Arial"/>
          <w:lang w:eastAsia="en-US"/>
        </w:rPr>
        <w:t>66.885,37</w:t>
      </w:r>
      <w:r w:rsidR="00C23737" w:rsidRPr="00C23737">
        <w:rPr>
          <w:rFonts w:ascii="Arial" w:eastAsia="Calibri" w:hAnsi="Arial" w:cs="Arial"/>
          <w:lang w:eastAsia="en-US"/>
        </w:rPr>
        <w:t xml:space="preserve"> € ili </w:t>
      </w:r>
      <w:r w:rsidR="00AD7701">
        <w:rPr>
          <w:rFonts w:ascii="Arial" w:eastAsia="Calibri" w:hAnsi="Arial" w:cs="Arial"/>
          <w:lang w:eastAsia="en-US"/>
        </w:rPr>
        <w:t>4,5</w:t>
      </w:r>
      <w:r w:rsidR="00C23737" w:rsidRPr="00C23737">
        <w:rPr>
          <w:rFonts w:ascii="Arial" w:eastAsia="Calibri" w:hAnsi="Arial" w:cs="Arial"/>
          <w:lang w:eastAsia="en-US"/>
        </w:rPr>
        <w:t>% više u odnosu na prethodnu godinu.</w:t>
      </w:r>
    </w:p>
    <w:p w14:paraId="0AA04457" w14:textId="77777777" w:rsidR="003C3AEE" w:rsidRPr="003A2F86" w:rsidRDefault="003C3AEE" w:rsidP="003C3AE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16"/>
          <w:szCs w:val="16"/>
          <w:lang w:eastAsia="en-US"/>
        </w:rPr>
      </w:pPr>
    </w:p>
    <w:p w14:paraId="416A773A" w14:textId="6A276275" w:rsidR="003C3AEE" w:rsidRPr="003A2F86" w:rsidRDefault="003C3AEE" w:rsidP="003C3AE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color w:val="17365D" w:themeColor="text2" w:themeShade="BF"/>
          <w:lang w:eastAsia="en-US"/>
        </w:rPr>
      </w:pPr>
      <w:r w:rsidRPr="003A2F86">
        <w:rPr>
          <w:rFonts w:ascii="Arial" w:eastAsia="Calibri" w:hAnsi="Arial" w:cs="Arial"/>
          <w:color w:val="17365D" w:themeColor="text2" w:themeShade="BF"/>
          <w:lang w:eastAsia="en-US"/>
        </w:rPr>
        <w:t xml:space="preserve">Na prihode Općine se odnosi </w:t>
      </w:r>
      <w:r w:rsidR="00AD7701">
        <w:rPr>
          <w:rFonts w:ascii="Arial" w:eastAsia="Calibri" w:hAnsi="Arial" w:cs="Arial"/>
          <w:color w:val="17365D" w:themeColor="text2" w:themeShade="BF"/>
          <w:lang w:eastAsia="en-US"/>
        </w:rPr>
        <w:t>82.682,01</w:t>
      </w:r>
      <w:r w:rsidR="00BF4737" w:rsidRPr="003A2F86">
        <w:rPr>
          <w:rFonts w:ascii="Arial" w:eastAsia="Calibri" w:hAnsi="Arial" w:cs="Arial"/>
          <w:color w:val="17365D" w:themeColor="text2" w:themeShade="BF"/>
          <w:lang w:eastAsia="en-US"/>
        </w:rPr>
        <w:t xml:space="preserve"> €</w:t>
      </w:r>
      <w:r w:rsidRPr="003A2F86">
        <w:rPr>
          <w:rFonts w:ascii="Arial" w:eastAsia="Calibri" w:hAnsi="Arial" w:cs="Arial"/>
          <w:color w:val="17365D" w:themeColor="text2" w:themeShade="BF"/>
          <w:lang w:eastAsia="en-US"/>
        </w:rPr>
        <w:t xml:space="preserve"> (</w:t>
      </w:r>
      <w:r w:rsidR="00AD7701">
        <w:rPr>
          <w:rFonts w:ascii="Arial" w:eastAsia="Calibri" w:hAnsi="Arial" w:cs="Arial"/>
          <w:color w:val="17365D" w:themeColor="text2" w:themeShade="BF"/>
          <w:lang w:eastAsia="en-US"/>
        </w:rPr>
        <w:t>manje</w:t>
      </w:r>
      <w:r w:rsidRPr="003A2F86">
        <w:rPr>
          <w:rFonts w:ascii="Arial" w:eastAsia="Calibri" w:hAnsi="Arial" w:cs="Arial"/>
          <w:color w:val="17365D" w:themeColor="text2" w:themeShade="BF"/>
          <w:lang w:eastAsia="en-US"/>
        </w:rPr>
        <w:t xml:space="preserve"> za </w:t>
      </w:r>
      <w:r w:rsidR="00AD7701">
        <w:rPr>
          <w:rFonts w:ascii="Arial" w:eastAsia="Calibri" w:hAnsi="Arial" w:cs="Arial"/>
          <w:color w:val="17365D" w:themeColor="text2" w:themeShade="BF"/>
          <w:lang w:eastAsia="en-US"/>
        </w:rPr>
        <w:t>7.419,32</w:t>
      </w:r>
      <w:r w:rsidR="00BF4737" w:rsidRPr="003A2F86">
        <w:rPr>
          <w:rFonts w:ascii="Arial" w:eastAsia="Calibri" w:hAnsi="Arial" w:cs="Arial"/>
          <w:color w:val="17365D" w:themeColor="text2" w:themeShade="BF"/>
          <w:lang w:eastAsia="en-US"/>
        </w:rPr>
        <w:t xml:space="preserve"> €</w:t>
      </w:r>
      <w:r w:rsidRPr="003A2F86">
        <w:rPr>
          <w:rFonts w:ascii="Arial" w:eastAsia="Calibri" w:hAnsi="Arial" w:cs="Arial"/>
          <w:color w:val="17365D" w:themeColor="text2" w:themeShade="BF"/>
          <w:lang w:eastAsia="en-US"/>
        </w:rPr>
        <w:t xml:space="preserve"> </w:t>
      </w:r>
      <w:r w:rsidR="00BF4737" w:rsidRPr="003A2F86">
        <w:rPr>
          <w:rFonts w:ascii="Arial" w:eastAsia="Calibri" w:hAnsi="Arial" w:cs="Arial"/>
          <w:color w:val="17365D" w:themeColor="text2" w:themeShade="BF"/>
          <w:lang w:eastAsia="en-US"/>
        </w:rPr>
        <w:t xml:space="preserve">ili </w:t>
      </w:r>
      <w:r w:rsidR="00055E8A">
        <w:rPr>
          <w:rFonts w:ascii="Arial" w:eastAsia="Calibri" w:hAnsi="Arial" w:cs="Arial"/>
          <w:color w:val="17365D" w:themeColor="text2" w:themeShade="BF"/>
          <w:lang w:eastAsia="en-US"/>
        </w:rPr>
        <w:t>8,</w:t>
      </w:r>
      <w:r w:rsidR="00AD7701">
        <w:rPr>
          <w:rFonts w:ascii="Arial" w:eastAsia="Calibri" w:hAnsi="Arial" w:cs="Arial"/>
          <w:color w:val="17365D" w:themeColor="text2" w:themeShade="BF"/>
          <w:lang w:eastAsia="en-US"/>
        </w:rPr>
        <w:t>2</w:t>
      </w:r>
      <w:r w:rsidR="00BF4737" w:rsidRPr="003A2F86">
        <w:rPr>
          <w:rFonts w:ascii="Arial" w:eastAsia="Calibri" w:hAnsi="Arial" w:cs="Arial"/>
          <w:color w:val="17365D" w:themeColor="text2" w:themeShade="BF"/>
          <w:lang w:eastAsia="en-US"/>
        </w:rPr>
        <w:t xml:space="preserve">% </w:t>
      </w:r>
      <w:r w:rsidRPr="003A2F86">
        <w:rPr>
          <w:rFonts w:ascii="Arial" w:eastAsia="Calibri" w:hAnsi="Arial" w:cs="Arial"/>
          <w:color w:val="17365D" w:themeColor="text2" w:themeShade="BF"/>
          <w:lang w:eastAsia="en-US"/>
        </w:rPr>
        <w:t>u odnosu na 202</w:t>
      </w:r>
      <w:r w:rsidR="00055E8A">
        <w:rPr>
          <w:rFonts w:ascii="Arial" w:eastAsia="Calibri" w:hAnsi="Arial" w:cs="Arial"/>
          <w:color w:val="17365D" w:themeColor="text2" w:themeShade="BF"/>
          <w:lang w:eastAsia="en-US"/>
        </w:rPr>
        <w:t>4</w:t>
      </w:r>
      <w:r w:rsidRPr="003A2F86">
        <w:rPr>
          <w:rFonts w:ascii="Arial" w:eastAsia="Calibri" w:hAnsi="Arial" w:cs="Arial"/>
          <w:color w:val="17365D" w:themeColor="text2" w:themeShade="BF"/>
          <w:lang w:eastAsia="en-US"/>
        </w:rPr>
        <w:t>.</w:t>
      </w:r>
      <w:r w:rsidR="00815EB4">
        <w:rPr>
          <w:rFonts w:ascii="Arial" w:eastAsia="Calibri" w:hAnsi="Arial" w:cs="Arial"/>
          <w:color w:val="17365D" w:themeColor="text2" w:themeShade="BF"/>
          <w:lang w:eastAsia="en-US"/>
        </w:rPr>
        <w:t xml:space="preserve"> </w:t>
      </w:r>
      <w:r w:rsidRPr="003A2F86">
        <w:rPr>
          <w:rFonts w:ascii="Arial" w:eastAsia="Calibri" w:hAnsi="Arial" w:cs="Arial"/>
          <w:color w:val="17365D" w:themeColor="text2" w:themeShade="BF"/>
          <w:lang w:eastAsia="en-US"/>
        </w:rPr>
        <w:t xml:space="preserve">g), a na prihode proračunskih korisnika </w:t>
      </w:r>
      <w:r w:rsidR="00AD7701">
        <w:rPr>
          <w:rFonts w:ascii="Arial" w:eastAsia="Calibri" w:hAnsi="Arial" w:cs="Arial"/>
          <w:color w:val="17365D" w:themeColor="text2" w:themeShade="BF"/>
          <w:lang w:eastAsia="en-US"/>
        </w:rPr>
        <w:t>1.464.753,86</w:t>
      </w:r>
      <w:r w:rsidR="00C57E65">
        <w:rPr>
          <w:rFonts w:ascii="Arial" w:eastAsia="Calibri" w:hAnsi="Arial" w:cs="Arial"/>
          <w:color w:val="17365D" w:themeColor="text2" w:themeShade="BF"/>
          <w:lang w:eastAsia="en-US"/>
        </w:rPr>
        <w:t xml:space="preserve"> </w:t>
      </w:r>
      <w:r w:rsidR="00BF4737" w:rsidRPr="003A2F86">
        <w:rPr>
          <w:rFonts w:ascii="Arial" w:eastAsia="Calibri" w:hAnsi="Arial" w:cs="Arial"/>
          <w:color w:val="17365D" w:themeColor="text2" w:themeShade="BF"/>
          <w:lang w:eastAsia="en-US"/>
        </w:rPr>
        <w:t>€</w:t>
      </w:r>
      <w:r w:rsidR="00CC19B3" w:rsidRPr="003A2F86">
        <w:rPr>
          <w:rFonts w:ascii="Arial" w:eastAsia="Calibri" w:hAnsi="Arial" w:cs="Arial"/>
          <w:color w:val="17365D" w:themeColor="text2" w:themeShade="BF"/>
          <w:lang w:eastAsia="en-US"/>
        </w:rPr>
        <w:t xml:space="preserve"> (više za </w:t>
      </w:r>
      <w:r w:rsidR="009443E7">
        <w:rPr>
          <w:rFonts w:ascii="Arial" w:eastAsia="Calibri" w:hAnsi="Arial" w:cs="Arial"/>
          <w:color w:val="17365D" w:themeColor="text2" w:themeShade="BF"/>
          <w:lang w:eastAsia="en-US"/>
        </w:rPr>
        <w:t>74.304,69</w:t>
      </w:r>
      <w:r w:rsidR="00CC19B3" w:rsidRPr="003A2F86">
        <w:rPr>
          <w:rFonts w:ascii="Arial" w:eastAsia="Calibri" w:hAnsi="Arial" w:cs="Arial"/>
          <w:color w:val="17365D" w:themeColor="text2" w:themeShade="BF"/>
          <w:lang w:eastAsia="en-US"/>
        </w:rPr>
        <w:t xml:space="preserve"> € ili </w:t>
      </w:r>
      <w:r w:rsidR="009443E7">
        <w:rPr>
          <w:rFonts w:ascii="Arial" w:eastAsia="Calibri" w:hAnsi="Arial" w:cs="Arial"/>
          <w:color w:val="17365D" w:themeColor="text2" w:themeShade="BF"/>
          <w:lang w:eastAsia="en-US"/>
        </w:rPr>
        <w:t>5</w:t>
      </w:r>
      <w:r w:rsidR="00B726DF">
        <w:rPr>
          <w:rFonts w:ascii="Arial" w:eastAsia="Calibri" w:hAnsi="Arial" w:cs="Arial"/>
          <w:color w:val="17365D" w:themeColor="text2" w:themeShade="BF"/>
          <w:lang w:eastAsia="en-US"/>
        </w:rPr>
        <w:t>,3</w:t>
      </w:r>
      <w:r w:rsidR="00CC19B3" w:rsidRPr="003A2F86">
        <w:rPr>
          <w:rFonts w:ascii="Arial" w:eastAsia="Calibri" w:hAnsi="Arial" w:cs="Arial"/>
          <w:color w:val="17365D" w:themeColor="text2" w:themeShade="BF"/>
          <w:lang w:eastAsia="en-US"/>
        </w:rPr>
        <w:t>% u odnosu na 202</w:t>
      </w:r>
      <w:r w:rsidR="00B726DF">
        <w:rPr>
          <w:rFonts w:ascii="Arial" w:eastAsia="Calibri" w:hAnsi="Arial" w:cs="Arial"/>
          <w:color w:val="17365D" w:themeColor="text2" w:themeShade="BF"/>
          <w:lang w:eastAsia="en-US"/>
        </w:rPr>
        <w:t>4</w:t>
      </w:r>
      <w:r w:rsidR="00CC19B3" w:rsidRPr="003A2F86">
        <w:rPr>
          <w:rFonts w:ascii="Arial" w:eastAsia="Calibri" w:hAnsi="Arial" w:cs="Arial"/>
          <w:color w:val="17365D" w:themeColor="text2" w:themeShade="BF"/>
          <w:lang w:eastAsia="en-US"/>
        </w:rPr>
        <w:t>.</w:t>
      </w:r>
      <w:r w:rsidR="00F42F8A">
        <w:rPr>
          <w:rFonts w:ascii="Arial" w:eastAsia="Calibri" w:hAnsi="Arial" w:cs="Arial"/>
          <w:color w:val="17365D" w:themeColor="text2" w:themeShade="BF"/>
          <w:lang w:eastAsia="en-US"/>
        </w:rPr>
        <w:t xml:space="preserve"> </w:t>
      </w:r>
      <w:r w:rsidR="00CC19B3" w:rsidRPr="003A2F86">
        <w:rPr>
          <w:rFonts w:ascii="Arial" w:eastAsia="Calibri" w:hAnsi="Arial" w:cs="Arial"/>
          <w:color w:val="17365D" w:themeColor="text2" w:themeShade="BF"/>
          <w:lang w:eastAsia="en-US"/>
        </w:rPr>
        <w:t>g)</w:t>
      </w:r>
      <w:r w:rsidRPr="003A2F86">
        <w:rPr>
          <w:rFonts w:ascii="Arial" w:eastAsia="Calibri" w:hAnsi="Arial" w:cs="Arial"/>
          <w:color w:val="17365D" w:themeColor="text2" w:themeShade="BF"/>
          <w:lang w:eastAsia="en-US"/>
        </w:rPr>
        <w:t>.</w:t>
      </w:r>
    </w:p>
    <w:p w14:paraId="0C61CAD5" w14:textId="77777777" w:rsidR="00BF4737" w:rsidRPr="003A2F86" w:rsidRDefault="00BF4737" w:rsidP="003C3AE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21DE7516" w14:textId="77777777" w:rsidR="00B247B2" w:rsidRPr="009443E7" w:rsidRDefault="00CC19B3" w:rsidP="00BF63B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Calibri" w:hAnsi="Arial" w:cs="Arial"/>
          <w:sz w:val="16"/>
          <w:szCs w:val="14"/>
          <w:lang w:eastAsia="en-US"/>
        </w:rPr>
      </w:pPr>
      <w:r w:rsidRPr="009443E7">
        <w:rPr>
          <w:rFonts w:ascii="Arial" w:eastAsia="Calibri" w:hAnsi="Arial" w:cs="Arial"/>
          <w:sz w:val="16"/>
          <w:szCs w:val="16"/>
          <w:lang w:eastAsia="en-US"/>
        </w:rPr>
        <w:t xml:space="preserve">Općina </w:t>
      </w:r>
      <w:r w:rsidR="00BB1FD3" w:rsidRPr="009443E7">
        <w:rPr>
          <w:rFonts w:ascii="Arial" w:eastAsia="Calibri" w:hAnsi="Arial" w:cs="Arial"/>
          <w:sz w:val="16"/>
          <w:szCs w:val="16"/>
          <w:lang w:eastAsia="en-US"/>
        </w:rPr>
        <w:t xml:space="preserve">je </w:t>
      </w:r>
      <w:r w:rsidRPr="009443E7">
        <w:rPr>
          <w:rFonts w:ascii="Arial" w:eastAsia="Calibri" w:hAnsi="Arial" w:cs="Arial"/>
          <w:sz w:val="16"/>
          <w:szCs w:val="16"/>
          <w:lang w:eastAsia="en-US"/>
        </w:rPr>
        <w:t>u 2021. i 2022. ostvarila jednokratnu naknadu za trajno priključenje Zračna luke na sustav javne odvodnje. U 2022. godini ovaj prihod je iznosio 64.149,36 €, a u 2021. godini 320.746,83 € (</w:t>
      </w:r>
      <w:r w:rsidRPr="009443E7">
        <w:rPr>
          <w:rFonts w:ascii="Arial" w:eastAsia="Calibri" w:hAnsi="Arial" w:cs="Arial"/>
          <w:sz w:val="16"/>
          <w:szCs w:val="14"/>
          <w:lang w:eastAsia="en-US"/>
        </w:rPr>
        <w:t xml:space="preserve">na temelju zaključenog ugovora s Općinom). Također, </w:t>
      </w:r>
      <w:r w:rsidR="00BB1FD3" w:rsidRPr="009443E7">
        <w:rPr>
          <w:rFonts w:ascii="Arial" w:eastAsia="Calibri" w:hAnsi="Arial" w:cs="Arial"/>
          <w:sz w:val="16"/>
          <w:szCs w:val="14"/>
          <w:lang w:eastAsia="en-US"/>
        </w:rPr>
        <w:t>2022.</w:t>
      </w:r>
      <w:r w:rsidRPr="009443E7">
        <w:rPr>
          <w:rFonts w:ascii="Arial" w:eastAsia="Calibri" w:hAnsi="Arial" w:cs="Arial"/>
          <w:sz w:val="16"/>
          <w:szCs w:val="14"/>
          <w:lang w:eastAsia="en-US"/>
        </w:rPr>
        <w:t xml:space="preserve"> godine su bili ostvareni prihodi od ošasne imovine (novčana sredstva) 40.389,68 €. </w:t>
      </w:r>
    </w:p>
    <w:p w14:paraId="0F27A940" w14:textId="77777777" w:rsidR="00F72A6E" w:rsidRDefault="00F72A6E" w:rsidP="00B247B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Cs w:val="20"/>
          <w:lang w:eastAsia="en-US"/>
        </w:rPr>
      </w:pPr>
    </w:p>
    <w:p w14:paraId="5157BD46" w14:textId="720F1976" w:rsidR="00CC19B3" w:rsidRPr="003A2F86" w:rsidRDefault="00BB1FD3" w:rsidP="00CC19B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Cs w:val="20"/>
          <w:lang w:eastAsia="en-US"/>
        </w:rPr>
      </w:pPr>
      <w:r w:rsidRPr="003A2F86">
        <w:rPr>
          <w:rFonts w:ascii="Arial" w:eastAsia="Calibri" w:hAnsi="Arial" w:cs="Arial"/>
          <w:szCs w:val="20"/>
          <w:lang w:eastAsia="en-US"/>
        </w:rPr>
        <w:t>P</w:t>
      </w:r>
      <w:r w:rsidR="00CC19B3" w:rsidRPr="003A2F86">
        <w:rPr>
          <w:rFonts w:ascii="Arial" w:eastAsia="Calibri" w:hAnsi="Arial" w:cs="Arial"/>
          <w:szCs w:val="20"/>
          <w:lang w:eastAsia="en-US"/>
        </w:rPr>
        <w:t xml:space="preserve">rihodi od ulaza u staru jezgru Cavtata </w:t>
      </w:r>
      <w:r w:rsidR="00031255">
        <w:rPr>
          <w:rFonts w:ascii="Arial" w:eastAsia="Calibri" w:hAnsi="Arial" w:cs="Arial"/>
          <w:szCs w:val="20"/>
          <w:lang w:eastAsia="en-US"/>
        </w:rPr>
        <w:t xml:space="preserve">(račun 652) </w:t>
      </w:r>
      <w:r w:rsidR="00CC19B3" w:rsidRPr="003A2F86">
        <w:rPr>
          <w:rFonts w:ascii="Arial" w:eastAsia="Calibri" w:hAnsi="Arial" w:cs="Arial"/>
          <w:szCs w:val="20"/>
          <w:lang w:eastAsia="en-US"/>
        </w:rPr>
        <w:t xml:space="preserve">su </w:t>
      </w:r>
      <w:r w:rsidRPr="003A2F86">
        <w:rPr>
          <w:rFonts w:ascii="Arial" w:eastAsia="Calibri" w:hAnsi="Arial" w:cs="Arial"/>
          <w:szCs w:val="20"/>
          <w:lang w:eastAsia="en-US"/>
        </w:rPr>
        <w:t>u izvještajnom razdoblju prethodne 202</w:t>
      </w:r>
      <w:r w:rsidR="00EA72E1">
        <w:rPr>
          <w:rFonts w:ascii="Arial" w:eastAsia="Calibri" w:hAnsi="Arial" w:cs="Arial"/>
          <w:szCs w:val="20"/>
          <w:lang w:eastAsia="en-US"/>
        </w:rPr>
        <w:t>4</w:t>
      </w:r>
      <w:r w:rsidRPr="003A2F86">
        <w:rPr>
          <w:rFonts w:ascii="Arial" w:eastAsia="Calibri" w:hAnsi="Arial" w:cs="Arial"/>
          <w:szCs w:val="20"/>
          <w:lang w:eastAsia="en-US"/>
        </w:rPr>
        <w:t>.</w:t>
      </w:r>
      <w:r w:rsidR="00CC19B3" w:rsidRPr="003A2F86">
        <w:rPr>
          <w:rFonts w:ascii="Arial" w:eastAsia="Calibri" w:hAnsi="Arial" w:cs="Arial"/>
          <w:szCs w:val="20"/>
          <w:lang w:eastAsia="en-US"/>
        </w:rPr>
        <w:t xml:space="preserve"> godine iznosili </w:t>
      </w:r>
      <w:r w:rsidR="00EA72E1">
        <w:rPr>
          <w:rFonts w:ascii="Arial" w:eastAsia="Calibri" w:hAnsi="Arial" w:cs="Arial"/>
          <w:szCs w:val="20"/>
          <w:lang w:eastAsia="en-US"/>
        </w:rPr>
        <w:t>24.654</w:t>
      </w:r>
      <w:r w:rsidR="00CC19B3" w:rsidRPr="003A2F86">
        <w:rPr>
          <w:rFonts w:ascii="Arial" w:eastAsia="Calibri" w:hAnsi="Arial" w:cs="Arial"/>
          <w:szCs w:val="20"/>
          <w:lang w:eastAsia="en-US"/>
        </w:rPr>
        <w:t xml:space="preserve"> €, dok u tekućoj godini iznose </w:t>
      </w:r>
      <w:r w:rsidR="009443E7">
        <w:rPr>
          <w:rFonts w:ascii="Arial" w:eastAsia="Calibri" w:hAnsi="Arial" w:cs="Arial"/>
          <w:szCs w:val="20"/>
          <w:lang w:eastAsia="en-US"/>
        </w:rPr>
        <w:t>32.519,02</w:t>
      </w:r>
      <w:r w:rsidR="00871860" w:rsidRPr="003A2F86">
        <w:rPr>
          <w:rFonts w:ascii="Arial" w:eastAsia="Calibri" w:hAnsi="Arial" w:cs="Arial"/>
          <w:szCs w:val="20"/>
          <w:lang w:eastAsia="en-US"/>
        </w:rPr>
        <w:t xml:space="preserve"> €</w:t>
      </w:r>
      <w:r w:rsidR="00EA72E1">
        <w:rPr>
          <w:rFonts w:ascii="Arial" w:eastAsia="Calibri" w:hAnsi="Arial" w:cs="Arial"/>
          <w:szCs w:val="20"/>
          <w:lang w:eastAsia="en-US"/>
        </w:rPr>
        <w:t>.</w:t>
      </w:r>
    </w:p>
    <w:p w14:paraId="30C4D6BE" w14:textId="77777777" w:rsidR="00EA7FD2" w:rsidRPr="003A2F86" w:rsidRDefault="00EA7FD2" w:rsidP="003C3AE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Cs w:val="20"/>
          <w:lang w:eastAsia="en-US"/>
        </w:rPr>
      </w:pPr>
    </w:p>
    <w:p w14:paraId="3D9B4DA9" w14:textId="5BE4A426" w:rsidR="00C23737" w:rsidRPr="00C23737" w:rsidRDefault="00C23737" w:rsidP="00C237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C23737">
        <w:rPr>
          <w:rFonts w:ascii="Arial" w:eastAsia="Calibri" w:hAnsi="Arial" w:cs="Arial"/>
          <w:lang w:eastAsia="en-US"/>
        </w:rPr>
        <w:t xml:space="preserve">Vrijednosno najznačajniji dio ovih prihoda </w:t>
      </w:r>
      <w:r w:rsidR="00C94415">
        <w:rPr>
          <w:rFonts w:ascii="Arial" w:eastAsia="Calibri" w:hAnsi="Arial" w:cs="Arial"/>
          <w:lang w:eastAsia="en-US"/>
        </w:rPr>
        <w:t xml:space="preserve">(račun 652) </w:t>
      </w:r>
      <w:r w:rsidRPr="00C23737">
        <w:rPr>
          <w:rFonts w:ascii="Arial" w:eastAsia="Calibri" w:hAnsi="Arial" w:cs="Arial"/>
          <w:lang w:eastAsia="en-US"/>
        </w:rPr>
        <w:t xml:space="preserve">Općine se odnosi na prihode </w:t>
      </w:r>
      <w:bookmarkStart w:id="127" w:name="_Hlk160006495"/>
      <w:r w:rsidRPr="00C23737">
        <w:rPr>
          <w:rFonts w:ascii="Arial" w:eastAsia="Calibri" w:hAnsi="Arial" w:cs="Arial"/>
          <w:lang w:eastAsia="en-US"/>
        </w:rPr>
        <w:t xml:space="preserve">od Hrvatskih voda za usluge naplate vodne naknade s komunalnom naknadom </w:t>
      </w:r>
      <w:bookmarkStart w:id="128" w:name="_Hlk160006505"/>
      <w:bookmarkEnd w:id="127"/>
      <w:r w:rsidR="00EA72E1">
        <w:rPr>
          <w:rFonts w:ascii="Arial" w:eastAsia="Calibri" w:hAnsi="Arial" w:cs="Arial"/>
          <w:lang w:eastAsia="en-US"/>
        </w:rPr>
        <w:t>40.956,41 €</w:t>
      </w:r>
      <w:r w:rsidR="00187BBA">
        <w:rPr>
          <w:rFonts w:ascii="Arial" w:eastAsia="Calibri" w:hAnsi="Arial" w:cs="Arial"/>
          <w:lang w:eastAsia="en-US"/>
        </w:rPr>
        <w:t>.</w:t>
      </w:r>
      <w:r w:rsidR="00EA72E1">
        <w:rPr>
          <w:rFonts w:ascii="Arial" w:eastAsia="Calibri" w:hAnsi="Arial" w:cs="Arial"/>
          <w:lang w:eastAsia="en-US"/>
        </w:rPr>
        <w:t xml:space="preserve"> </w:t>
      </w:r>
      <w:r w:rsidRPr="00C23737">
        <w:rPr>
          <w:rFonts w:ascii="Arial" w:eastAsia="Calibri" w:hAnsi="Arial" w:cs="Arial"/>
          <w:lang w:eastAsia="en-US"/>
        </w:rPr>
        <w:t xml:space="preserve">Nadalje, prihodi od naknade za saniranje odlagališta smeća </w:t>
      </w:r>
      <w:r w:rsidR="00AA3ED8">
        <w:rPr>
          <w:rFonts w:ascii="Arial" w:eastAsia="Calibri" w:hAnsi="Arial" w:cs="Arial"/>
          <w:lang w:eastAsia="en-US"/>
        </w:rPr>
        <w:t xml:space="preserve">su </w:t>
      </w:r>
      <w:r w:rsidRPr="00C23737">
        <w:rPr>
          <w:rFonts w:ascii="Arial" w:eastAsia="Calibri" w:hAnsi="Arial" w:cs="Arial"/>
          <w:lang w:eastAsia="en-US"/>
        </w:rPr>
        <w:t xml:space="preserve">ostvareni </w:t>
      </w:r>
      <w:r w:rsidR="00AA3ED8">
        <w:rPr>
          <w:rFonts w:ascii="Arial" w:eastAsia="Calibri" w:hAnsi="Arial" w:cs="Arial"/>
          <w:lang w:eastAsia="en-US"/>
        </w:rPr>
        <w:t xml:space="preserve">u </w:t>
      </w:r>
      <w:r w:rsidR="009443E7">
        <w:rPr>
          <w:rFonts w:ascii="Arial" w:eastAsia="Calibri" w:hAnsi="Arial" w:cs="Arial"/>
          <w:lang w:eastAsia="en-US"/>
        </w:rPr>
        <w:t>iznosu 7.309,72 €</w:t>
      </w:r>
      <w:r w:rsidRPr="00C23737">
        <w:rPr>
          <w:rFonts w:ascii="Arial" w:eastAsia="Calibri" w:hAnsi="Arial" w:cs="Arial"/>
          <w:lang w:eastAsia="en-US"/>
        </w:rPr>
        <w:t xml:space="preserve"> (</w:t>
      </w:r>
      <w:r w:rsidR="00AA3ED8">
        <w:rPr>
          <w:rFonts w:ascii="Arial" w:eastAsia="Calibri" w:hAnsi="Arial" w:cs="Arial"/>
          <w:lang w:eastAsia="en-US"/>
        </w:rPr>
        <w:t>ukupno u 2023. godini</w:t>
      </w:r>
      <w:r w:rsidRPr="00C23737">
        <w:rPr>
          <w:rFonts w:ascii="Arial" w:eastAsia="Calibri" w:hAnsi="Arial" w:cs="Arial"/>
          <w:lang w:eastAsia="en-US"/>
        </w:rPr>
        <w:t xml:space="preserve"> 63.549,57 €</w:t>
      </w:r>
      <w:r w:rsidR="00AA3ED8">
        <w:rPr>
          <w:rFonts w:ascii="Arial" w:eastAsia="Calibri" w:hAnsi="Arial" w:cs="Arial"/>
          <w:lang w:eastAsia="en-US"/>
        </w:rPr>
        <w:t xml:space="preserve">, a u 2024. godini </w:t>
      </w:r>
      <w:r w:rsidR="00AA3ED8" w:rsidRPr="00C23737">
        <w:rPr>
          <w:rFonts w:ascii="Arial" w:eastAsia="Calibri" w:hAnsi="Arial" w:cs="Arial"/>
          <w:lang w:eastAsia="en-US"/>
        </w:rPr>
        <w:t>21.187,30 €</w:t>
      </w:r>
      <w:r w:rsidRPr="00C23737">
        <w:rPr>
          <w:rFonts w:ascii="Arial" w:eastAsia="Calibri" w:hAnsi="Arial" w:cs="Arial"/>
          <w:lang w:eastAsia="en-US"/>
        </w:rPr>
        <w:t xml:space="preserve">). Također, ostvareni su prihodi od vodnog doprinosa (jedinici lokalne samouprave pripada 8,0% vodnoga doprinosa naplaćenoga na njenom području, a Hrvatske vode su obvezne navedeni prihod doznačavati u proračun jedinice jednom mjesečno) u iznosu </w:t>
      </w:r>
      <w:r w:rsidR="008406BA">
        <w:rPr>
          <w:rFonts w:ascii="Arial" w:eastAsia="Calibri" w:hAnsi="Arial" w:cs="Arial"/>
          <w:lang w:eastAsia="en-US"/>
        </w:rPr>
        <w:t>9,39</w:t>
      </w:r>
      <w:r w:rsidRPr="00C23737">
        <w:rPr>
          <w:rFonts w:ascii="Arial" w:eastAsia="Calibri" w:hAnsi="Arial" w:cs="Arial"/>
          <w:lang w:eastAsia="en-US"/>
        </w:rPr>
        <w:t xml:space="preserve"> € (</w:t>
      </w:r>
      <w:r w:rsidR="008406BA">
        <w:rPr>
          <w:rFonts w:ascii="Arial" w:eastAsia="Calibri" w:hAnsi="Arial" w:cs="Arial"/>
          <w:lang w:eastAsia="en-US"/>
        </w:rPr>
        <w:t xml:space="preserve">ukupno u 2023. godini </w:t>
      </w:r>
      <w:r w:rsidRPr="00C23737">
        <w:rPr>
          <w:rFonts w:ascii="Arial" w:eastAsia="Calibri" w:hAnsi="Arial" w:cs="Arial"/>
          <w:lang w:eastAsia="en-US"/>
        </w:rPr>
        <w:t>1.004,76</w:t>
      </w:r>
      <w:r w:rsidR="008406BA">
        <w:rPr>
          <w:rFonts w:ascii="Arial" w:eastAsia="Calibri" w:hAnsi="Arial" w:cs="Arial"/>
          <w:lang w:eastAsia="en-US"/>
        </w:rPr>
        <w:t xml:space="preserve"> €, u 2024. godini</w:t>
      </w:r>
      <w:r w:rsidRPr="00C23737">
        <w:rPr>
          <w:rFonts w:ascii="Arial" w:eastAsia="Calibri" w:hAnsi="Arial" w:cs="Arial"/>
          <w:lang w:eastAsia="en-US"/>
        </w:rPr>
        <w:t xml:space="preserve"> </w:t>
      </w:r>
      <w:r w:rsidR="00344128" w:rsidRPr="00C23737">
        <w:rPr>
          <w:rFonts w:ascii="Arial" w:eastAsia="Calibri" w:hAnsi="Arial" w:cs="Arial"/>
          <w:lang w:eastAsia="en-US"/>
        </w:rPr>
        <w:t>337,69 €</w:t>
      </w:r>
      <w:r w:rsidRPr="00C23737">
        <w:rPr>
          <w:rFonts w:ascii="Arial" w:eastAsia="Calibri" w:hAnsi="Arial" w:cs="Arial"/>
          <w:lang w:eastAsia="en-US"/>
        </w:rPr>
        <w:t xml:space="preserve">), od prenamjene poljoprivrednog zemljišta u iznosu </w:t>
      </w:r>
      <w:r w:rsidR="009443E7">
        <w:rPr>
          <w:rFonts w:ascii="Arial" w:eastAsia="Calibri" w:hAnsi="Arial" w:cs="Arial"/>
          <w:lang w:eastAsia="en-US"/>
        </w:rPr>
        <w:t>7,85</w:t>
      </w:r>
      <w:r w:rsidRPr="00C23737">
        <w:rPr>
          <w:rFonts w:ascii="Arial" w:eastAsia="Calibri" w:hAnsi="Arial" w:cs="Arial"/>
          <w:lang w:eastAsia="en-US"/>
        </w:rPr>
        <w:t xml:space="preserve"> € (</w:t>
      </w:r>
      <w:r w:rsidR="008406BA">
        <w:rPr>
          <w:rFonts w:ascii="Arial" w:eastAsia="Calibri" w:hAnsi="Arial" w:cs="Arial"/>
          <w:lang w:eastAsia="en-US"/>
        </w:rPr>
        <w:t xml:space="preserve">ukupno u 2023. godini </w:t>
      </w:r>
      <w:r w:rsidRPr="00C23737">
        <w:rPr>
          <w:rFonts w:ascii="Arial" w:eastAsia="Calibri" w:hAnsi="Arial" w:cs="Arial"/>
          <w:lang w:eastAsia="en-US"/>
        </w:rPr>
        <w:t xml:space="preserve">2.089,09 </w:t>
      </w:r>
      <w:r w:rsidRPr="00C23737">
        <w:rPr>
          <w:rFonts w:ascii="Arial" w:eastAsia="Calibri" w:hAnsi="Arial" w:cs="Arial"/>
          <w:lang w:eastAsia="en-US"/>
        </w:rPr>
        <w:lastRenderedPageBreak/>
        <w:t>€</w:t>
      </w:r>
      <w:r w:rsidR="008406BA">
        <w:rPr>
          <w:rFonts w:ascii="Arial" w:eastAsia="Calibri" w:hAnsi="Arial" w:cs="Arial"/>
          <w:lang w:eastAsia="en-US"/>
        </w:rPr>
        <w:t xml:space="preserve">, u 2024. godini </w:t>
      </w:r>
      <w:r w:rsidR="00D162B4" w:rsidRPr="00C23737">
        <w:rPr>
          <w:rFonts w:ascii="Arial" w:eastAsia="Calibri" w:hAnsi="Arial" w:cs="Arial"/>
          <w:lang w:eastAsia="en-US"/>
        </w:rPr>
        <w:t>1.085,28 €</w:t>
      </w:r>
      <w:r w:rsidRPr="00C23737">
        <w:rPr>
          <w:rFonts w:ascii="Arial" w:eastAsia="Calibri" w:hAnsi="Arial" w:cs="Arial"/>
          <w:lang w:eastAsia="en-US"/>
        </w:rPr>
        <w:t xml:space="preserve">), od naknade štete troškova ovrhe </w:t>
      </w:r>
      <w:r w:rsidR="00A30B8A">
        <w:rPr>
          <w:rFonts w:ascii="Arial" w:eastAsia="Calibri" w:hAnsi="Arial" w:cs="Arial"/>
          <w:lang w:eastAsia="en-US"/>
        </w:rPr>
        <w:t>79,62</w:t>
      </w:r>
      <w:r w:rsidRPr="00C23737">
        <w:rPr>
          <w:rFonts w:ascii="Arial" w:eastAsia="Calibri" w:hAnsi="Arial" w:cs="Arial"/>
          <w:lang w:eastAsia="en-US"/>
        </w:rPr>
        <w:t xml:space="preserve"> €</w:t>
      </w:r>
      <w:r w:rsidR="009443E7">
        <w:rPr>
          <w:rFonts w:ascii="Arial" w:eastAsia="Calibri" w:hAnsi="Arial" w:cs="Arial"/>
          <w:lang w:eastAsia="en-US"/>
        </w:rPr>
        <w:t>, te od naplate štete od osiguranja 1.800 €</w:t>
      </w:r>
      <w:r w:rsidR="00C94415">
        <w:rPr>
          <w:rFonts w:ascii="Arial" w:eastAsia="Calibri" w:hAnsi="Arial" w:cs="Arial"/>
          <w:lang w:eastAsia="en-US"/>
        </w:rPr>
        <w:t xml:space="preserve"> (prometna nezgoda vozilo u vlasništvu Općine)</w:t>
      </w:r>
      <w:r w:rsidR="009443E7">
        <w:rPr>
          <w:rFonts w:ascii="Arial" w:eastAsia="Calibri" w:hAnsi="Arial" w:cs="Arial"/>
          <w:lang w:eastAsia="en-US"/>
        </w:rPr>
        <w:t>.</w:t>
      </w:r>
      <w:r w:rsidRPr="00C23737">
        <w:rPr>
          <w:rFonts w:ascii="Arial" w:eastAsia="Calibri" w:hAnsi="Arial" w:cs="Arial"/>
          <w:lang w:eastAsia="en-US"/>
        </w:rPr>
        <w:t xml:space="preserve"> </w:t>
      </w:r>
      <w:bookmarkEnd w:id="128"/>
    </w:p>
    <w:p w14:paraId="175F18F7" w14:textId="77777777" w:rsidR="00C23737" w:rsidRDefault="00C23737" w:rsidP="00CC19B3">
      <w:pPr>
        <w:pStyle w:val="Odlomakpopisa"/>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ind w:left="0"/>
        <w:rPr>
          <w:rFonts w:ascii="Arial" w:eastAsia="Calibri" w:hAnsi="Arial" w:cs="Arial"/>
          <w:sz w:val="22"/>
          <w:szCs w:val="22"/>
        </w:rPr>
      </w:pPr>
    </w:p>
    <w:p w14:paraId="62B61338" w14:textId="098B96A4" w:rsidR="00C23737" w:rsidRPr="00D0351C" w:rsidRDefault="00C23737" w:rsidP="00C237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18"/>
          <w:szCs w:val="18"/>
          <w:lang w:eastAsia="en-US"/>
        </w:rPr>
      </w:pPr>
      <w:r w:rsidRPr="00C23737">
        <w:rPr>
          <w:rFonts w:ascii="Arial" w:eastAsia="Calibri" w:hAnsi="Arial" w:cs="Arial"/>
          <w:lang w:eastAsia="en-US"/>
        </w:rPr>
        <w:t xml:space="preserve">Prihodi od naknade za pružene usluge za obračun i naplatu naknade za uređenje voda koja se naplaćuje zajedno s komunalnom naknadom u tekućoj godini u iznosu </w:t>
      </w:r>
      <w:r w:rsidR="00A30B8A">
        <w:rPr>
          <w:rFonts w:ascii="Arial" w:eastAsia="Calibri" w:hAnsi="Arial" w:cs="Arial"/>
          <w:lang w:eastAsia="en-US"/>
        </w:rPr>
        <w:t xml:space="preserve">40.956,41 </w:t>
      </w:r>
      <w:r w:rsidRPr="00C23737">
        <w:rPr>
          <w:rFonts w:ascii="Arial" w:eastAsia="Calibri" w:hAnsi="Arial" w:cs="Arial"/>
          <w:lang w:eastAsia="en-US"/>
        </w:rPr>
        <w:t>€ se odnose na prihode od usluge naplate za 202</w:t>
      </w:r>
      <w:r w:rsidR="00A30B8A">
        <w:rPr>
          <w:rFonts w:ascii="Arial" w:eastAsia="Calibri" w:hAnsi="Arial" w:cs="Arial"/>
          <w:lang w:eastAsia="en-US"/>
        </w:rPr>
        <w:t>4</w:t>
      </w:r>
      <w:r w:rsidRPr="00C23737">
        <w:rPr>
          <w:rFonts w:ascii="Arial" w:eastAsia="Calibri" w:hAnsi="Arial" w:cs="Arial"/>
          <w:lang w:eastAsia="en-US"/>
        </w:rPr>
        <w:t>. godinu</w:t>
      </w:r>
      <w:r w:rsidR="00D0351C">
        <w:rPr>
          <w:rFonts w:ascii="Arial" w:eastAsia="Calibri" w:hAnsi="Arial" w:cs="Arial"/>
          <w:lang w:eastAsia="en-US"/>
        </w:rPr>
        <w:t>.</w:t>
      </w:r>
      <w:r w:rsidRPr="00C23737">
        <w:rPr>
          <w:rFonts w:ascii="Arial" w:eastAsia="Calibri" w:hAnsi="Arial" w:cs="Arial"/>
          <w:lang w:eastAsia="en-US"/>
        </w:rPr>
        <w:t xml:space="preserve"> </w:t>
      </w:r>
      <w:r w:rsidRPr="00D0351C">
        <w:rPr>
          <w:rFonts w:ascii="Arial" w:eastAsia="Calibri" w:hAnsi="Arial" w:cs="Arial"/>
          <w:sz w:val="18"/>
          <w:szCs w:val="18"/>
          <w:lang w:eastAsia="en-US"/>
        </w:rPr>
        <w:t>(</w:t>
      </w:r>
      <w:r w:rsidR="00D0351C">
        <w:rPr>
          <w:rFonts w:ascii="Arial" w:eastAsia="Calibri" w:hAnsi="Arial" w:cs="Arial"/>
          <w:sz w:val="18"/>
          <w:szCs w:val="18"/>
          <w:lang w:eastAsia="en-US"/>
        </w:rPr>
        <w:t>U</w:t>
      </w:r>
      <w:r w:rsidRPr="00D0351C">
        <w:rPr>
          <w:rFonts w:ascii="Arial" w:eastAsia="Calibri" w:hAnsi="Arial" w:cs="Arial"/>
          <w:sz w:val="18"/>
          <w:szCs w:val="18"/>
          <w:lang w:eastAsia="en-US"/>
        </w:rPr>
        <w:t xml:space="preserve"> 2014. ovi prihodi od usluga iznosili 9.577,28 €, u 2015. su iznosili 11.542,90 €, u 2017. su iznosili 22.155,42 €, u 2018. su iznosili 1.760,92 €, u 2019. su iznosili 29.742,52 €, u 2020. su iznosili 30.614,74 €, u 2021. su iznosili 35.160,15 €, u 2022. su iznosili 43.643,84 €, u 2023. godini 42.113,03 €</w:t>
      </w:r>
      <w:r w:rsidR="00620597">
        <w:rPr>
          <w:rFonts w:ascii="Arial" w:eastAsia="Calibri" w:hAnsi="Arial" w:cs="Arial"/>
          <w:sz w:val="18"/>
          <w:szCs w:val="18"/>
          <w:lang w:eastAsia="en-US"/>
        </w:rPr>
        <w:t xml:space="preserve">, u 2024. godini </w:t>
      </w:r>
      <w:r w:rsidR="00187BBA" w:rsidRPr="00187BBA">
        <w:rPr>
          <w:rFonts w:ascii="Arial" w:eastAsia="Calibri" w:hAnsi="Arial" w:cs="Arial"/>
          <w:sz w:val="18"/>
          <w:szCs w:val="18"/>
          <w:lang w:eastAsia="en-US"/>
        </w:rPr>
        <w:t>38.940,98 €</w:t>
      </w:r>
      <w:r w:rsidRPr="00D0351C">
        <w:rPr>
          <w:rFonts w:ascii="Arial" w:eastAsia="Calibri" w:hAnsi="Arial" w:cs="Arial"/>
          <w:sz w:val="18"/>
          <w:szCs w:val="18"/>
          <w:lang w:eastAsia="en-US"/>
        </w:rPr>
        <w:t>).</w:t>
      </w:r>
    </w:p>
    <w:p w14:paraId="7E0C3789" w14:textId="77777777" w:rsidR="00C23737" w:rsidRPr="00C23737" w:rsidRDefault="00C23737" w:rsidP="00C237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bookmarkEnd w:id="126"/>
    <w:p w14:paraId="5D3C7B1C" w14:textId="7FC919D3" w:rsidR="00CC19B3" w:rsidRPr="003A2F86" w:rsidRDefault="00A05B7B" w:rsidP="00CC19B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rPr>
      </w:pPr>
      <w:r w:rsidRPr="003A2F86">
        <w:rPr>
          <w:rFonts w:ascii="Arial" w:hAnsi="Arial" w:cs="Arial"/>
          <w:bCs/>
          <w:iCs/>
        </w:rPr>
        <w:t xml:space="preserve">U okviru prihodi od </w:t>
      </w:r>
      <w:r w:rsidRPr="003A2F86">
        <w:rPr>
          <w:rFonts w:ascii="Arial" w:hAnsi="Arial" w:cs="Arial"/>
          <w:bCs/>
        </w:rPr>
        <w:t>upravnih i administrativnih pristojbi, pristojbi po posebnim propisima i naknada</w:t>
      </w:r>
      <w:r w:rsidRPr="003A2F86">
        <w:rPr>
          <w:rFonts w:ascii="Arial" w:hAnsi="Arial" w:cs="Arial"/>
          <w:b/>
        </w:rPr>
        <w:t xml:space="preserve"> </w:t>
      </w:r>
      <w:r w:rsidRPr="003A2F86">
        <w:rPr>
          <w:rFonts w:ascii="Arial" w:hAnsi="Arial" w:cs="Arial"/>
          <w:iCs/>
        </w:rPr>
        <w:t xml:space="preserve">(65), vrijednosno najznačajniji prihodi </w:t>
      </w:r>
      <w:r w:rsidRPr="003A2F86">
        <w:rPr>
          <w:rFonts w:ascii="Arial" w:eastAsia="Calibri" w:hAnsi="Arial" w:cs="Arial"/>
          <w:lang w:eastAsia="en-US"/>
        </w:rPr>
        <w:t>Općine se odnose na prihode u okviru</w:t>
      </w:r>
      <w:r w:rsidR="009A2A97" w:rsidRPr="003A2F86">
        <w:rPr>
          <w:rFonts w:ascii="Arial" w:eastAsia="Calibri" w:hAnsi="Arial" w:cs="Arial"/>
          <w:lang w:eastAsia="en-US"/>
        </w:rPr>
        <w:t xml:space="preserve"> podskupine prihoda </w:t>
      </w:r>
      <w:r w:rsidR="009A2A97" w:rsidRPr="003A2F86">
        <w:rPr>
          <w:rFonts w:ascii="Arial" w:eastAsia="Calibri" w:hAnsi="Arial" w:cs="Arial"/>
          <w:b/>
          <w:bCs/>
          <w:lang w:eastAsia="en-US"/>
        </w:rPr>
        <w:t>653</w:t>
      </w:r>
      <w:r w:rsidRPr="003A2F86">
        <w:rPr>
          <w:rFonts w:ascii="Arial" w:eastAsia="Calibri" w:hAnsi="Arial" w:cs="Arial"/>
          <w:lang w:eastAsia="en-US"/>
        </w:rPr>
        <w:t xml:space="preserve"> (komunalni doprinos -</w:t>
      </w:r>
      <w:r w:rsidR="003C3AEE" w:rsidRPr="003A2F86">
        <w:rPr>
          <w:rFonts w:ascii="Arial" w:eastAsia="Calibri" w:hAnsi="Arial" w:cs="Arial"/>
          <w:lang w:eastAsia="en-US"/>
        </w:rPr>
        <w:t xml:space="preserve"> </w:t>
      </w:r>
      <w:r w:rsidRPr="003A2F86">
        <w:rPr>
          <w:rFonts w:ascii="Arial" w:eastAsia="Calibri" w:hAnsi="Arial" w:cs="Arial"/>
          <w:lang w:eastAsia="en-US"/>
        </w:rPr>
        <w:t>6531 i komunalna naknada -</w:t>
      </w:r>
      <w:r w:rsidR="003C3AEE" w:rsidRPr="003A2F86">
        <w:rPr>
          <w:rFonts w:ascii="Arial" w:eastAsia="Calibri" w:hAnsi="Arial" w:cs="Arial"/>
          <w:lang w:eastAsia="en-US"/>
        </w:rPr>
        <w:t xml:space="preserve"> </w:t>
      </w:r>
      <w:r w:rsidRPr="003A2F86">
        <w:rPr>
          <w:rFonts w:ascii="Arial" w:eastAsia="Calibri" w:hAnsi="Arial" w:cs="Arial"/>
          <w:lang w:eastAsia="en-US"/>
        </w:rPr>
        <w:t xml:space="preserve">6532) u ukupnom iznosu </w:t>
      </w:r>
      <w:r w:rsidR="00031255">
        <w:rPr>
          <w:rFonts w:ascii="Arial" w:eastAsia="Calibri" w:hAnsi="Arial" w:cs="Arial"/>
        </w:rPr>
        <w:t>1.341.890,94</w:t>
      </w:r>
      <w:r w:rsidR="00CC19B3" w:rsidRPr="003A2F86">
        <w:rPr>
          <w:rFonts w:ascii="Arial" w:eastAsia="Calibri" w:hAnsi="Arial" w:cs="Arial"/>
        </w:rPr>
        <w:t xml:space="preserve"> € što je za </w:t>
      </w:r>
      <w:r w:rsidR="00E36E45">
        <w:rPr>
          <w:rFonts w:ascii="Arial" w:eastAsia="Calibri" w:hAnsi="Arial" w:cs="Arial"/>
        </w:rPr>
        <w:t>23.054,48</w:t>
      </w:r>
      <w:r w:rsidR="00CC19B3" w:rsidRPr="003A2F86">
        <w:rPr>
          <w:rFonts w:ascii="Arial" w:eastAsia="Calibri" w:hAnsi="Arial" w:cs="Arial"/>
        </w:rPr>
        <w:t xml:space="preserve"> € ili </w:t>
      </w:r>
      <w:r w:rsidR="00E36E45">
        <w:rPr>
          <w:rFonts w:ascii="Arial" w:eastAsia="Calibri" w:hAnsi="Arial" w:cs="Arial"/>
        </w:rPr>
        <w:t>1,7</w:t>
      </w:r>
      <w:r w:rsidR="00CC19B3" w:rsidRPr="003A2F86">
        <w:rPr>
          <w:rFonts w:ascii="Arial" w:eastAsia="Calibri" w:hAnsi="Arial" w:cs="Arial"/>
        </w:rPr>
        <w:t>%</w:t>
      </w:r>
      <w:r w:rsidR="00E36E45">
        <w:rPr>
          <w:rFonts w:ascii="Arial" w:eastAsia="Calibri" w:hAnsi="Arial" w:cs="Arial"/>
        </w:rPr>
        <w:t xml:space="preserve"> manje</w:t>
      </w:r>
      <w:r w:rsidR="00CC19B3" w:rsidRPr="003A2F86">
        <w:rPr>
          <w:rFonts w:ascii="Arial" w:eastAsia="Calibri" w:hAnsi="Arial" w:cs="Arial"/>
        </w:rPr>
        <w:t xml:space="preserve"> u odnosu na </w:t>
      </w:r>
      <w:r w:rsidR="00CC19B3" w:rsidRPr="003A2F86">
        <w:rPr>
          <w:rFonts w:ascii="Arial" w:hAnsi="Arial" w:cs="Arial"/>
          <w:iCs/>
        </w:rPr>
        <w:t>izvještajno razdoblje prethodne godine.</w:t>
      </w:r>
    </w:p>
    <w:p w14:paraId="604E72B1" w14:textId="77777777" w:rsidR="00023378" w:rsidRPr="003A2F86" w:rsidRDefault="00023378" w:rsidP="009A2A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16"/>
          <w:szCs w:val="16"/>
          <w:lang w:eastAsia="en-US"/>
        </w:rPr>
      </w:pPr>
      <w:bookmarkStart w:id="129" w:name="_Hlk103075487"/>
    </w:p>
    <w:bookmarkEnd w:id="129"/>
    <w:p w14:paraId="4CB1EA4F" w14:textId="6C04119D" w:rsidR="00C23737" w:rsidRPr="00EE2CA0" w:rsidRDefault="00464968" w:rsidP="00C23737">
      <w:pPr>
        <w:pStyle w:val="Tijeloteksta2"/>
        <w:rPr>
          <w:rFonts w:ascii="Arial" w:hAnsi="Arial" w:cs="Arial"/>
          <w:iCs/>
          <w:sz w:val="22"/>
          <w:szCs w:val="22"/>
          <w:lang w:val="hr-HR"/>
        </w:rPr>
      </w:pPr>
      <w:r w:rsidRPr="00B247B2">
        <w:rPr>
          <w:rFonts w:ascii="Arial" w:hAnsi="Arial" w:cs="Arial"/>
          <w:iCs/>
          <w:sz w:val="22"/>
          <w:szCs w:val="22"/>
          <w:lang w:val="hr-HR"/>
        </w:rPr>
        <w:t xml:space="preserve">Prihodi od </w:t>
      </w:r>
      <w:r w:rsidRPr="00B247B2">
        <w:rPr>
          <w:rFonts w:ascii="Arial" w:hAnsi="Arial" w:cs="Arial"/>
          <w:b/>
          <w:bCs/>
          <w:iCs/>
          <w:sz w:val="22"/>
          <w:szCs w:val="22"/>
          <w:lang w:val="hr-HR"/>
        </w:rPr>
        <w:t>komunalnog doprinosa</w:t>
      </w:r>
      <w:r w:rsidRPr="00B247B2">
        <w:rPr>
          <w:rFonts w:ascii="Arial" w:hAnsi="Arial" w:cs="Arial"/>
          <w:iCs/>
          <w:sz w:val="22"/>
          <w:szCs w:val="22"/>
          <w:lang w:val="hr-HR"/>
        </w:rPr>
        <w:t xml:space="preserve"> (6531) su ostvareni u iznosu </w:t>
      </w:r>
      <w:r w:rsidR="00E36E45">
        <w:rPr>
          <w:rFonts w:ascii="Arial" w:hAnsi="Arial" w:cs="Arial"/>
          <w:iCs/>
          <w:sz w:val="22"/>
          <w:szCs w:val="22"/>
          <w:lang w:val="hr-HR"/>
        </w:rPr>
        <w:t>315.712,14</w:t>
      </w:r>
      <w:r w:rsidR="00C23737" w:rsidRPr="00B247B2">
        <w:rPr>
          <w:rFonts w:ascii="Arial" w:hAnsi="Arial" w:cs="Arial"/>
          <w:iCs/>
          <w:sz w:val="22"/>
          <w:szCs w:val="22"/>
          <w:lang w:val="hr-HR"/>
        </w:rPr>
        <w:t xml:space="preserve"> € što je </w:t>
      </w:r>
      <w:r w:rsidR="00C51C58">
        <w:rPr>
          <w:rFonts w:ascii="Arial" w:hAnsi="Arial" w:cs="Arial"/>
          <w:iCs/>
          <w:sz w:val="22"/>
          <w:szCs w:val="22"/>
          <w:lang w:val="hr-HR"/>
        </w:rPr>
        <w:t>više</w:t>
      </w:r>
      <w:r w:rsidR="00C23737" w:rsidRPr="00B247B2">
        <w:rPr>
          <w:rFonts w:ascii="Arial" w:hAnsi="Arial" w:cs="Arial"/>
          <w:iCs/>
          <w:sz w:val="22"/>
          <w:szCs w:val="22"/>
          <w:lang w:val="hr-HR"/>
        </w:rPr>
        <w:t xml:space="preserve"> za </w:t>
      </w:r>
      <w:r w:rsidR="00E36E45">
        <w:rPr>
          <w:rFonts w:ascii="Arial" w:hAnsi="Arial" w:cs="Arial"/>
          <w:iCs/>
          <w:sz w:val="22"/>
          <w:szCs w:val="22"/>
          <w:lang w:val="hr-HR"/>
        </w:rPr>
        <w:t>40.440,22</w:t>
      </w:r>
      <w:r w:rsidR="00C23737" w:rsidRPr="00B247B2">
        <w:rPr>
          <w:rFonts w:ascii="Arial" w:hAnsi="Arial" w:cs="Arial"/>
          <w:iCs/>
          <w:sz w:val="22"/>
          <w:szCs w:val="22"/>
          <w:lang w:val="hr-HR"/>
        </w:rPr>
        <w:t xml:space="preserve"> € ili </w:t>
      </w:r>
      <w:r w:rsidR="00E36E45">
        <w:rPr>
          <w:rFonts w:ascii="Arial" w:hAnsi="Arial" w:cs="Arial"/>
          <w:iCs/>
          <w:sz w:val="22"/>
          <w:szCs w:val="22"/>
          <w:lang w:val="hr-HR"/>
        </w:rPr>
        <w:t>14,7</w:t>
      </w:r>
      <w:r w:rsidR="00C23737" w:rsidRPr="00B247B2">
        <w:rPr>
          <w:rFonts w:ascii="Arial" w:hAnsi="Arial" w:cs="Arial"/>
          <w:iCs/>
          <w:sz w:val="22"/>
          <w:szCs w:val="22"/>
          <w:lang w:val="hr-HR"/>
        </w:rPr>
        <w:t xml:space="preserve">% u odnosu na </w:t>
      </w:r>
      <w:r w:rsidR="00C23737" w:rsidRPr="00EE2CA0">
        <w:rPr>
          <w:rFonts w:ascii="Arial" w:hAnsi="Arial" w:cs="Arial"/>
          <w:iCs/>
          <w:sz w:val="22"/>
          <w:szCs w:val="22"/>
          <w:lang w:val="hr-HR"/>
        </w:rPr>
        <w:fldChar w:fldCharType="begin"/>
      </w:r>
      <w:r w:rsidR="00C23737" w:rsidRPr="00EE2CA0">
        <w:rPr>
          <w:rFonts w:ascii="Arial" w:hAnsi="Arial" w:cs="Arial"/>
          <w:iCs/>
          <w:sz w:val="22"/>
          <w:szCs w:val="22"/>
          <w:lang w:val="hr-HR"/>
        </w:rPr>
        <w:instrText xml:space="preserve"> LINK Word.Document.8 "C:\\Users\\Korisnik\\Desktop\\2020. za godišnji\\Bilješke uz financijske izvještaje za 2020, RADNO sa zarezom duže.doc" "OLE_LINK1" \a \r  \* MERGEFORMAT </w:instrText>
      </w:r>
      <w:r w:rsidR="00C23737" w:rsidRPr="00EE2CA0">
        <w:rPr>
          <w:rFonts w:ascii="Arial" w:hAnsi="Arial" w:cs="Arial"/>
          <w:iCs/>
          <w:sz w:val="22"/>
          <w:szCs w:val="22"/>
          <w:lang w:val="hr-HR"/>
        </w:rPr>
        <w:fldChar w:fldCharType="separate"/>
      </w:r>
      <w:r w:rsidR="00C23737" w:rsidRPr="00EE2CA0">
        <w:rPr>
          <w:rFonts w:ascii="Arial" w:hAnsi="Arial" w:cs="Arial"/>
          <w:sz w:val="22"/>
          <w:szCs w:val="22"/>
          <w:lang w:val="hr-HR"/>
        </w:rPr>
        <w:t>isto izvještajno razdoblje prethodne godine</w:t>
      </w:r>
      <w:r w:rsidR="00C23737" w:rsidRPr="00EE2CA0">
        <w:rPr>
          <w:rFonts w:ascii="Arial" w:hAnsi="Arial" w:cs="Arial"/>
          <w:iCs/>
          <w:sz w:val="22"/>
          <w:szCs w:val="22"/>
          <w:lang w:val="hr-HR"/>
        </w:rPr>
        <w:fldChar w:fldCharType="end"/>
      </w:r>
      <w:r w:rsidR="00C23737" w:rsidRPr="00EE2CA0">
        <w:rPr>
          <w:rFonts w:ascii="Arial" w:hAnsi="Arial" w:cs="Arial"/>
          <w:iCs/>
          <w:sz w:val="22"/>
          <w:szCs w:val="22"/>
          <w:lang w:val="hr-HR"/>
        </w:rPr>
        <w:t>.</w:t>
      </w:r>
    </w:p>
    <w:p w14:paraId="534BA076" w14:textId="77777777" w:rsidR="00C51C58" w:rsidRDefault="00C51C58" w:rsidP="00C23737">
      <w:pPr>
        <w:pStyle w:val="Tijeloteksta2"/>
        <w:rPr>
          <w:rFonts w:ascii="Arial" w:eastAsia="Calibri" w:hAnsi="Arial" w:cs="Arial"/>
          <w:sz w:val="16"/>
          <w:szCs w:val="16"/>
          <w:lang w:val="hr-HR"/>
        </w:rPr>
      </w:pPr>
    </w:p>
    <w:p w14:paraId="643A97F2" w14:textId="3804583D" w:rsidR="009A2A97" w:rsidRPr="00EE2CA0" w:rsidRDefault="009A2A97" w:rsidP="003E14B7">
      <w:pPr>
        <w:spacing w:after="0" w:line="240" w:lineRule="auto"/>
        <w:jc w:val="both"/>
        <w:rPr>
          <w:rFonts w:ascii="Arial" w:eastAsia="Calibri" w:hAnsi="Arial" w:cs="Arial"/>
          <w:sz w:val="20"/>
          <w:szCs w:val="20"/>
          <w:lang w:eastAsia="en-US"/>
        </w:rPr>
      </w:pPr>
      <w:r w:rsidRPr="00EE2CA0">
        <w:rPr>
          <w:rFonts w:ascii="Arial" w:eastAsia="Times New Roman" w:hAnsi="Arial" w:cs="Arial"/>
          <w:i/>
          <w:iCs/>
          <w:sz w:val="18"/>
          <w:szCs w:val="18"/>
        </w:rPr>
        <w:t>* Usporedba:</w:t>
      </w:r>
      <w:r w:rsidRPr="00EE2CA0">
        <w:rPr>
          <w:rFonts w:ascii="Arial" w:eastAsia="Calibri" w:hAnsi="Arial" w:cs="Arial"/>
          <w:sz w:val="20"/>
          <w:szCs w:val="20"/>
          <w:lang w:eastAsia="en-US"/>
        </w:rPr>
        <w:t xml:space="preserve"> </w:t>
      </w:r>
    </w:p>
    <w:tbl>
      <w:tblPr>
        <w:tblW w:w="14705" w:type="dxa"/>
        <w:jc w:val="center"/>
        <w:tblLook w:val="04A0" w:firstRow="1" w:lastRow="0" w:firstColumn="1" w:lastColumn="0" w:noHBand="0" w:noVBand="1"/>
      </w:tblPr>
      <w:tblGrid>
        <w:gridCol w:w="1123"/>
        <w:gridCol w:w="1267"/>
        <w:gridCol w:w="12315"/>
      </w:tblGrid>
      <w:tr w:rsidR="003E14B7" w:rsidRPr="00EE2CA0" w14:paraId="27EE8242" w14:textId="77777777" w:rsidTr="00B57693">
        <w:trPr>
          <w:trHeight w:val="237"/>
          <w:jc w:val="center"/>
        </w:trPr>
        <w:tc>
          <w:tcPr>
            <w:tcW w:w="14705" w:type="dxa"/>
            <w:gridSpan w:val="3"/>
            <w:tcBorders>
              <w:top w:val="single" w:sz="8" w:space="0" w:color="000000"/>
              <w:left w:val="single" w:sz="8" w:space="0" w:color="000000"/>
              <w:bottom w:val="single" w:sz="8" w:space="0" w:color="000000"/>
              <w:right w:val="single" w:sz="4" w:space="0" w:color="auto"/>
            </w:tcBorders>
            <w:vAlign w:val="center"/>
            <w:hideMark/>
          </w:tcPr>
          <w:p w14:paraId="4E18C947" w14:textId="77777777" w:rsidR="003E14B7" w:rsidRPr="00EE2CA0" w:rsidRDefault="003E14B7" w:rsidP="003E14B7">
            <w:pPr>
              <w:spacing w:after="0" w:line="240" w:lineRule="auto"/>
              <w:jc w:val="center"/>
              <w:rPr>
                <w:rFonts w:ascii="Arial" w:eastAsia="Times New Roman" w:hAnsi="Arial" w:cs="Arial"/>
                <w:b/>
                <w:bCs/>
                <w:i/>
                <w:iCs/>
                <w:sz w:val="18"/>
                <w:szCs w:val="18"/>
              </w:rPr>
            </w:pPr>
            <w:r w:rsidRPr="00EE2CA0">
              <w:rPr>
                <w:rFonts w:ascii="Arial" w:eastAsia="Times New Roman" w:hAnsi="Arial" w:cs="Arial"/>
                <w:b/>
                <w:bCs/>
                <w:i/>
                <w:iCs/>
                <w:sz w:val="18"/>
                <w:szCs w:val="18"/>
              </w:rPr>
              <w:t>Prihod od komunalnog doprinosa (</w:t>
            </w:r>
            <w:r w:rsidRPr="00EE2CA0">
              <w:rPr>
                <w:rFonts w:ascii="Arial" w:eastAsia="Times New Roman" w:hAnsi="Arial" w:cs="Arial"/>
                <w:b/>
                <w:bCs/>
                <w:i/>
                <w:iCs/>
                <w:color w:val="FF0000"/>
                <w:sz w:val="18"/>
                <w:szCs w:val="18"/>
              </w:rPr>
              <w:t>6531</w:t>
            </w:r>
            <w:r w:rsidRPr="00EE2CA0">
              <w:rPr>
                <w:rFonts w:ascii="Arial" w:eastAsia="Times New Roman" w:hAnsi="Arial" w:cs="Arial"/>
                <w:b/>
                <w:bCs/>
                <w:i/>
                <w:iCs/>
                <w:sz w:val="18"/>
                <w:szCs w:val="18"/>
              </w:rPr>
              <w:t>)</w:t>
            </w:r>
          </w:p>
        </w:tc>
      </w:tr>
      <w:tr w:rsidR="003E14B7" w:rsidRPr="003A2F86" w14:paraId="64B7EE1C" w14:textId="77777777" w:rsidTr="0095794B">
        <w:trPr>
          <w:trHeight w:val="228"/>
          <w:jc w:val="center"/>
        </w:trPr>
        <w:tc>
          <w:tcPr>
            <w:tcW w:w="1123" w:type="dxa"/>
            <w:tcBorders>
              <w:top w:val="nil"/>
              <w:left w:val="single" w:sz="8" w:space="0" w:color="000000"/>
              <w:bottom w:val="single" w:sz="8" w:space="0" w:color="000000"/>
              <w:right w:val="single" w:sz="8" w:space="0" w:color="000000"/>
            </w:tcBorders>
            <w:vAlign w:val="center"/>
            <w:hideMark/>
          </w:tcPr>
          <w:p w14:paraId="0407F32D" w14:textId="77777777" w:rsidR="003E14B7" w:rsidRPr="003A2F86" w:rsidRDefault="003E14B7" w:rsidP="003E14B7">
            <w:pPr>
              <w:spacing w:after="0" w:line="240" w:lineRule="auto"/>
              <w:jc w:val="center"/>
              <w:rPr>
                <w:rFonts w:ascii="Arial" w:eastAsia="Times New Roman" w:hAnsi="Arial" w:cs="Arial"/>
                <w:b/>
                <w:bCs/>
                <w:i/>
                <w:iCs/>
                <w:sz w:val="18"/>
                <w:szCs w:val="18"/>
              </w:rPr>
            </w:pPr>
            <w:r w:rsidRPr="003A2F86">
              <w:rPr>
                <w:rFonts w:ascii="Arial" w:eastAsia="Times New Roman" w:hAnsi="Arial" w:cs="Arial"/>
                <w:b/>
                <w:bCs/>
                <w:i/>
                <w:iCs/>
                <w:sz w:val="18"/>
                <w:szCs w:val="18"/>
              </w:rPr>
              <w:t>Godina</w:t>
            </w:r>
          </w:p>
        </w:tc>
        <w:tc>
          <w:tcPr>
            <w:tcW w:w="1267" w:type="dxa"/>
            <w:tcBorders>
              <w:top w:val="nil"/>
              <w:left w:val="nil"/>
              <w:bottom w:val="single" w:sz="8" w:space="0" w:color="000000"/>
              <w:right w:val="single" w:sz="8" w:space="0" w:color="000000"/>
            </w:tcBorders>
            <w:vAlign w:val="center"/>
            <w:hideMark/>
          </w:tcPr>
          <w:p w14:paraId="4008A69E" w14:textId="1292927E" w:rsidR="003E14B7" w:rsidRPr="003A2F86" w:rsidRDefault="003E14B7" w:rsidP="003E14B7">
            <w:pPr>
              <w:spacing w:after="0" w:line="240" w:lineRule="auto"/>
              <w:jc w:val="center"/>
              <w:rPr>
                <w:rFonts w:ascii="Arial" w:eastAsia="Times New Roman" w:hAnsi="Arial" w:cs="Arial"/>
                <w:b/>
                <w:bCs/>
                <w:i/>
                <w:iCs/>
                <w:sz w:val="18"/>
                <w:szCs w:val="18"/>
              </w:rPr>
            </w:pPr>
            <w:r w:rsidRPr="003A2F86">
              <w:rPr>
                <w:rFonts w:ascii="Arial" w:eastAsia="Times New Roman" w:hAnsi="Arial" w:cs="Arial"/>
                <w:b/>
                <w:bCs/>
                <w:i/>
                <w:iCs/>
                <w:sz w:val="18"/>
                <w:szCs w:val="18"/>
              </w:rPr>
              <w:t xml:space="preserve">Iznos </w:t>
            </w:r>
            <w:r w:rsidRPr="003A2F86">
              <w:rPr>
                <w:rFonts w:ascii="Arial" w:eastAsia="Times New Roman" w:hAnsi="Arial" w:cs="Arial"/>
                <w:b/>
                <w:bCs/>
                <w:i/>
                <w:iCs/>
                <w:color w:val="FF0000"/>
                <w:sz w:val="18"/>
                <w:szCs w:val="18"/>
              </w:rPr>
              <w:t>(</w:t>
            </w:r>
            <w:r w:rsidR="00B57693" w:rsidRPr="003A2F86">
              <w:rPr>
                <w:rFonts w:ascii="Arial" w:eastAsia="Times New Roman" w:hAnsi="Arial" w:cs="Arial"/>
                <w:b/>
                <w:bCs/>
                <w:i/>
                <w:iCs/>
                <w:color w:val="FF0000"/>
                <w:sz w:val="18"/>
                <w:szCs w:val="18"/>
              </w:rPr>
              <w:t>€</w:t>
            </w:r>
            <w:r w:rsidRPr="003A2F86">
              <w:rPr>
                <w:rFonts w:ascii="Arial" w:eastAsia="Times New Roman" w:hAnsi="Arial" w:cs="Arial"/>
                <w:b/>
                <w:bCs/>
                <w:i/>
                <w:iCs/>
                <w:color w:val="FF0000"/>
                <w:sz w:val="18"/>
                <w:szCs w:val="18"/>
              </w:rPr>
              <w:t>)</w:t>
            </w:r>
          </w:p>
        </w:tc>
        <w:tc>
          <w:tcPr>
            <w:tcW w:w="12315" w:type="dxa"/>
            <w:tcBorders>
              <w:top w:val="nil"/>
              <w:left w:val="nil"/>
              <w:bottom w:val="single" w:sz="8" w:space="0" w:color="000000"/>
              <w:right w:val="single" w:sz="8" w:space="0" w:color="000000"/>
            </w:tcBorders>
            <w:vAlign w:val="center"/>
            <w:hideMark/>
          </w:tcPr>
          <w:p w14:paraId="26ECC7C1" w14:textId="77777777" w:rsidR="003E14B7" w:rsidRPr="003A2F86" w:rsidRDefault="003E14B7" w:rsidP="003E14B7">
            <w:pPr>
              <w:spacing w:after="0" w:line="240" w:lineRule="auto"/>
              <w:jc w:val="center"/>
              <w:rPr>
                <w:rFonts w:ascii="Arial" w:eastAsia="Times New Roman" w:hAnsi="Arial" w:cs="Arial"/>
                <w:b/>
                <w:bCs/>
                <w:i/>
                <w:iCs/>
                <w:sz w:val="18"/>
                <w:szCs w:val="18"/>
              </w:rPr>
            </w:pPr>
            <w:r w:rsidRPr="003A2F86">
              <w:rPr>
                <w:rFonts w:ascii="Arial" w:eastAsia="Times New Roman" w:hAnsi="Arial" w:cs="Arial"/>
                <w:b/>
                <w:bCs/>
                <w:i/>
                <w:iCs/>
                <w:sz w:val="18"/>
                <w:szCs w:val="18"/>
              </w:rPr>
              <w:t>Obrazloženje</w:t>
            </w:r>
          </w:p>
        </w:tc>
      </w:tr>
      <w:tr w:rsidR="00464968" w:rsidRPr="003A2F86" w14:paraId="57C51F64" w14:textId="77777777" w:rsidTr="0095794B">
        <w:trPr>
          <w:trHeight w:val="77"/>
          <w:jc w:val="center"/>
        </w:trPr>
        <w:tc>
          <w:tcPr>
            <w:tcW w:w="1123" w:type="dxa"/>
            <w:tcBorders>
              <w:top w:val="nil"/>
              <w:left w:val="single" w:sz="8" w:space="0" w:color="000000"/>
              <w:bottom w:val="single" w:sz="8" w:space="0" w:color="000000"/>
              <w:right w:val="single" w:sz="8" w:space="0" w:color="000000"/>
            </w:tcBorders>
            <w:vAlign w:val="center"/>
            <w:hideMark/>
          </w:tcPr>
          <w:p w14:paraId="7F368E72" w14:textId="7D88654C"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2012.</w:t>
            </w:r>
          </w:p>
        </w:tc>
        <w:tc>
          <w:tcPr>
            <w:tcW w:w="1267" w:type="dxa"/>
            <w:tcBorders>
              <w:top w:val="nil"/>
              <w:left w:val="nil"/>
              <w:bottom w:val="single" w:sz="8" w:space="0" w:color="000000"/>
              <w:right w:val="single" w:sz="8" w:space="0" w:color="000000"/>
            </w:tcBorders>
            <w:vAlign w:val="center"/>
            <w:hideMark/>
          </w:tcPr>
          <w:p w14:paraId="6B03A94B" w14:textId="2F3FC2DD"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55.284,73</w:t>
            </w:r>
          </w:p>
        </w:tc>
        <w:tc>
          <w:tcPr>
            <w:tcW w:w="12315" w:type="dxa"/>
            <w:tcBorders>
              <w:top w:val="nil"/>
              <w:left w:val="nil"/>
              <w:bottom w:val="single" w:sz="8" w:space="0" w:color="000000"/>
              <w:right w:val="single" w:sz="8" w:space="0" w:color="000000"/>
            </w:tcBorders>
            <w:vAlign w:val="center"/>
            <w:hideMark/>
          </w:tcPr>
          <w:p w14:paraId="06828215" w14:textId="33C4AAFE" w:rsidR="00464968" w:rsidRPr="003A2F86" w:rsidRDefault="00464968" w:rsidP="00464968">
            <w:pPr>
              <w:spacing w:after="0" w:line="240" w:lineRule="auto"/>
              <w:jc w:val="both"/>
              <w:rPr>
                <w:rFonts w:ascii="Arial" w:eastAsia="Times New Roman" w:hAnsi="Arial" w:cs="Arial"/>
                <w:i/>
                <w:iCs/>
                <w:sz w:val="18"/>
                <w:szCs w:val="18"/>
              </w:rPr>
            </w:pPr>
            <w:r w:rsidRPr="003A2F86">
              <w:rPr>
                <w:rFonts w:ascii="Arial" w:hAnsi="Arial" w:cs="Arial"/>
                <w:i/>
                <w:iCs/>
                <w:sz w:val="20"/>
                <w:szCs w:val="20"/>
              </w:rPr>
              <w:t> </w:t>
            </w:r>
          </w:p>
        </w:tc>
      </w:tr>
      <w:tr w:rsidR="00464968" w:rsidRPr="003A2F86" w14:paraId="4AD2BD41" w14:textId="77777777" w:rsidTr="0095794B">
        <w:trPr>
          <w:trHeight w:val="365"/>
          <w:jc w:val="center"/>
        </w:trPr>
        <w:tc>
          <w:tcPr>
            <w:tcW w:w="1123" w:type="dxa"/>
            <w:tcBorders>
              <w:top w:val="nil"/>
              <w:left w:val="single" w:sz="8" w:space="0" w:color="000000"/>
              <w:bottom w:val="single" w:sz="8" w:space="0" w:color="000000"/>
              <w:right w:val="single" w:sz="8" w:space="0" w:color="000000"/>
            </w:tcBorders>
            <w:vAlign w:val="center"/>
            <w:hideMark/>
          </w:tcPr>
          <w:p w14:paraId="40522F45" w14:textId="3620FE43"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2013.</w:t>
            </w:r>
          </w:p>
        </w:tc>
        <w:tc>
          <w:tcPr>
            <w:tcW w:w="1267" w:type="dxa"/>
            <w:tcBorders>
              <w:top w:val="nil"/>
              <w:left w:val="nil"/>
              <w:bottom w:val="single" w:sz="8" w:space="0" w:color="000000"/>
              <w:right w:val="single" w:sz="8" w:space="0" w:color="000000"/>
            </w:tcBorders>
            <w:vAlign w:val="center"/>
            <w:hideMark/>
          </w:tcPr>
          <w:p w14:paraId="2BEC5225" w14:textId="357BFA74"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423.109,43</w:t>
            </w:r>
          </w:p>
        </w:tc>
        <w:tc>
          <w:tcPr>
            <w:tcW w:w="12315" w:type="dxa"/>
            <w:tcBorders>
              <w:top w:val="nil"/>
              <w:left w:val="nil"/>
              <w:bottom w:val="single" w:sz="8" w:space="0" w:color="000000"/>
              <w:right w:val="single" w:sz="8" w:space="0" w:color="000000"/>
            </w:tcBorders>
            <w:vAlign w:val="center"/>
            <w:hideMark/>
          </w:tcPr>
          <w:p w14:paraId="24181462" w14:textId="7C29FB40"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od čega su se pojedinačno najznačajniji prihodi odnosili na prihode po rješenju Zračnoj luci Dubrovnik u iznosu 185.307,98 € (rekonstrukcija građenja grade C i privođenja konačnoj namjeni preostalog dijela tunela)</w:t>
            </w:r>
          </w:p>
        </w:tc>
      </w:tr>
      <w:tr w:rsidR="00464968" w:rsidRPr="003A2F86" w14:paraId="6E00C73F" w14:textId="77777777" w:rsidTr="0095794B">
        <w:trPr>
          <w:trHeight w:val="216"/>
          <w:jc w:val="center"/>
        </w:trPr>
        <w:tc>
          <w:tcPr>
            <w:tcW w:w="1123" w:type="dxa"/>
            <w:tcBorders>
              <w:top w:val="nil"/>
              <w:left w:val="single" w:sz="8" w:space="0" w:color="000000"/>
              <w:bottom w:val="single" w:sz="8" w:space="0" w:color="000000"/>
              <w:right w:val="single" w:sz="8" w:space="0" w:color="000000"/>
            </w:tcBorders>
            <w:vAlign w:val="center"/>
            <w:hideMark/>
          </w:tcPr>
          <w:p w14:paraId="11B355A9" w14:textId="0D979B2A"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2014.</w:t>
            </w:r>
          </w:p>
        </w:tc>
        <w:tc>
          <w:tcPr>
            <w:tcW w:w="1267" w:type="dxa"/>
            <w:tcBorders>
              <w:top w:val="nil"/>
              <w:left w:val="nil"/>
              <w:bottom w:val="single" w:sz="8" w:space="0" w:color="000000"/>
              <w:right w:val="single" w:sz="8" w:space="0" w:color="000000"/>
            </w:tcBorders>
            <w:vAlign w:val="center"/>
            <w:hideMark/>
          </w:tcPr>
          <w:p w14:paraId="27E9EF37" w14:textId="0499502D"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307.704,96</w:t>
            </w:r>
          </w:p>
        </w:tc>
        <w:tc>
          <w:tcPr>
            <w:tcW w:w="12315" w:type="dxa"/>
            <w:tcBorders>
              <w:top w:val="nil"/>
              <w:left w:val="nil"/>
              <w:bottom w:val="single" w:sz="8" w:space="0" w:color="000000"/>
              <w:right w:val="single" w:sz="8" w:space="0" w:color="000000"/>
            </w:tcBorders>
            <w:vAlign w:val="center"/>
            <w:hideMark/>
          </w:tcPr>
          <w:p w14:paraId="548ADB02" w14:textId="4F139D1A"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od čega u prvom polugodištu 2014. godine 130.364,86 €. Ovi prihodi su za 115.404,47 € ili 27,3% manji u odnosu na prethodnu godinu.</w:t>
            </w:r>
          </w:p>
        </w:tc>
      </w:tr>
      <w:tr w:rsidR="00464968" w:rsidRPr="003A2F86" w14:paraId="43693FF1" w14:textId="77777777" w:rsidTr="0095794B">
        <w:trPr>
          <w:trHeight w:val="248"/>
          <w:jc w:val="center"/>
        </w:trPr>
        <w:tc>
          <w:tcPr>
            <w:tcW w:w="1123" w:type="dxa"/>
            <w:tcBorders>
              <w:top w:val="nil"/>
              <w:left w:val="single" w:sz="8" w:space="0" w:color="000000"/>
              <w:bottom w:val="single" w:sz="8" w:space="0" w:color="000000"/>
              <w:right w:val="single" w:sz="8" w:space="0" w:color="000000"/>
            </w:tcBorders>
            <w:vAlign w:val="center"/>
            <w:hideMark/>
          </w:tcPr>
          <w:p w14:paraId="2EE8AED4" w14:textId="216063FC"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2015.</w:t>
            </w:r>
          </w:p>
        </w:tc>
        <w:tc>
          <w:tcPr>
            <w:tcW w:w="1267" w:type="dxa"/>
            <w:tcBorders>
              <w:top w:val="nil"/>
              <w:left w:val="nil"/>
              <w:bottom w:val="single" w:sz="8" w:space="0" w:color="000000"/>
              <w:right w:val="single" w:sz="8" w:space="0" w:color="000000"/>
            </w:tcBorders>
            <w:vAlign w:val="center"/>
            <w:hideMark/>
          </w:tcPr>
          <w:p w14:paraId="2F87C712" w14:textId="399A36C2"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179.871,33</w:t>
            </w:r>
          </w:p>
        </w:tc>
        <w:tc>
          <w:tcPr>
            <w:tcW w:w="12315" w:type="dxa"/>
            <w:tcBorders>
              <w:top w:val="nil"/>
              <w:left w:val="nil"/>
              <w:bottom w:val="single" w:sz="8" w:space="0" w:color="000000"/>
              <w:right w:val="single" w:sz="8" w:space="0" w:color="000000"/>
            </w:tcBorders>
            <w:vAlign w:val="center"/>
            <w:hideMark/>
          </w:tcPr>
          <w:p w14:paraId="06ECBF08" w14:textId="119B8819"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od čega u prvom polugodištu 2015. godine 94.035,54 €. Ovi prihodi su za 127.833,64 € ili 41,5% manji u odnosu na prethodnu godinu.</w:t>
            </w:r>
          </w:p>
        </w:tc>
      </w:tr>
      <w:tr w:rsidR="00464968" w:rsidRPr="003A2F86" w14:paraId="4FE5A536" w14:textId="77777777" w:rsidTr="0095794B">
        <w:trPr>
          <w:trHeight w:val="102"/>
          <w:jc w:val="center"/>
        </w:trPr>
        <w:tc>
          <w:tcPr>
            <w:tcW w:w="1123" w:type="dxa"/>
            <w:tcBorders>
              <w:top w:val="nil"/>
              <w:left w:val="single" w:sz="8" w:space="0" w:color="000000"/>
              <w:bottom w:val="single" w:sz="8" w:space="0" w:color="000000"/>
              <w:right w:val="single" w:sz="8" w:space="0" w:color="000000"/>
            </w:tcBorders>
            <w:vAlign w:val="center"/>
            <w:hideMark/>
          </w:tcPr>
          <w:p w14:paraId="37C6D692" w14:textId="029B4E73"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2016.</w:t>
            </w:r>
          </w:p>
        </w:tc>
        <w:tc>
          <w:tcPr>
            <w:tcW w:w="1267" w:type="dxa"/>
            <w:tcBorders>
              <w:top w:val="nil"/>
              <w:left w:val="nil"/>
              <w:bottom w:val="single" w:sz="8" w:space="0" w:color="000000"/>
              <w:right w:val="single" w:sz="8" w:space="0" w:color="000000"/>
            </w:tcBorders>
            <w:vAlign w:val="center"/>
            <w:hideMark/>
          </w:tcPr>
          <w:p w14:paraId="62226698" w14:textId="4BA36F8C"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253.160,69</w:t>
            </w:r>
          </w:p>
        </w:tc>
        <w:tc>
          <w:tcPr>
            <w:tcW w:w="12315" w:type="dxa"/>
            <w:tcBorders>
              <w:top w:val="nil"/>
              <w:left w:val="nil"/>
              <w:bottom w:val="single" w:sz="8" w:space="0" w:color="000000"/>
              <w:right w:val="single" w:sz="8" w:space="0" w:color="000000"/>
            </w:tcBorders>
            <w:vAlign w:val="center"/>
            <w:hideMark/>
          </w:tcPr>
          <w:p w14:paraId="5CC6C0F7" w14:textId="5AB2DE3D"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U prvom polugodištu 2016. godine ovi prihodi iznosili su 115.090,44 €. U 2016. godini ovi prihodi su za 73.289,36 € ili 40,8% veći u odnosu na prethodnu godinu.</w:t>
            </w:r>
          </w:p>
        </w:tc>
      </w:tr>
      <w:tr w:rsidR="00464968" w:rsidRPr="003A2F86" w14:paraId="0C8580AF" w14:textId="77777777" w:rsidTr="0095794B">
        <w:trPr>
          <w:trHeight w:val="263"/>
          <w:jc w:val="center"/>
        </w:trPr>
        <w:tc>
          <w:tcPr>
            <w:tcW w:w="1123" w:type="dxa"/>
            <w:tcBorders>
              <w:top w:val="nil"/>
              <w:left w:val="single" w:sz="8" w:space="0" w:color="000000"/>
              <w:bottom w:val="single" w:sz="8" w:space="0" w:color="000000"/>
              <w:right w:val="single" w:sz="8" w:space="0" w:color="000000"/>
            </w:tcBorders>
            <w:vAlign w:val="center"/>
            <w:hideMark/>
          </w:tcPr>
          <w:p w14:paraId="37FFEE85" w14:textId="1EE02579"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2017.</w:t>
            </w:r>
          </w:p>
        </w:tc>
        <w:tc>
          <w:tcPr>
            <w:tcW w:w="1267" w:type="dxa"/>
            <w:tcBorders>
              <w:top w:val="nil"/>
              <w:left w:val="nil"/>
              <w:bottom w:val="single" w:sz="8" w:space="0" w:color="000000"/>
              <w:right w:val="single" w:sz="8" w:space="0" w:color="000000"/>
            </w:tcBorders>
            <w:vAlign w:val="center"/>
            <w:hideMark/>
          </w:tcPr>
          <w:p w14:paraId="706E3F5A" w14:textId="5E9E7216"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223.595,87</w:t>
            </w:r>
          </w:p>
        </w:tc>
        <w:tc>
          <w:tcPr>
            <w:tcW w:w="12315" w:type="dxa"/>
            <w:tcBorders>
              <w:top w:val="nil"/>
              <w:left w:val="nil"/>
              <w:bottom w:val="single" w:sz="8" w:space="0" w:color="000000"/>
              <w:right w:val="single" w:sz="8" w:space="0" w:color="000000"/>
            </w:tcBorders>
            <w:vAlign w:val="center"/>
            <w:hideMark/>
          </w:tcPr>
          <w:p w14:paraId="50815422" w14:textId="2C8EDCB6"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što je manje za 29.564,82 € ili 11,7% u odnosu na izvještajno razdoblje prethodne godine. U prvom polugodištu 2017. godine ovi prihodi iznosili su 165.658,59 €.</w:t>
            </w:r>
          </w:p>
        </w:tc>
      </w:tr>
      <w:tr w:rsidR="00464968" w:rsidRPr="003A2F86" w14:paraId="22702B3C" w14:textId="77777777" w:rsidTr="0095794B">
        <w:trPr>
          <w:trHeight w:val="263"/>
          <w:jc w:val="center"/>
        </w:trPr>
        <w:tc>
          <w:tcPr>
            <w:tcW w:w="1123" w:type="dxa"/>
            <w:tcBorders>
              <w:top w:val="nil"/>
              <w:left w:val="single" w:sz="8" w:space="0" w:color="000000"/>
              <w:bottom w:val="single" w:sz="8" w:space="0" w:color="000000"/>
              <w:right w:val="single" w:sz="8" w:space="0" w:color="000000"/>
            </w:tcBorders>
            <w:vAlign w:val="center"/>
            <w:hideMark/>
          </w:tcPr>
          <w:p w14:paraId="78A6755D" w14:textId="022FB322"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2018.</w:t>
            </w:r>
          </w:p>
        </w:tc>
        <w:tc>
          <w:tcPr>
            <w:tcW w:w="1267" w:type="dxa"/>
            <w:tcBorders>
              <w:top w:val="nil"/>
              <w:left w:val="nil"/>
              <w:bottom w:val="single" w:sz="8" w:space="0" w:color="000000"/>
              <w:right w:val="single" w:sz="8" w:space="0" w:color="000000"/>
            </w:tcBorders>
            <w:vAlign w:val="center"/>
            <w:hideMark/>
          </w:tcPr>
          <w:p w14:paraId="24F16F0B" w14:textId="10DE5B01"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1.925.319,35</w:t>
            </w:r>
          </w:p>
        </w:tc>
        <w:tc>
          <w:tcPr>
            <w:tcW w:w="12315" w:type="dxa"/>
            <w:tcBorders>
              <w:top w:val="nil"/>
              <w:left w:val="nil"/>
              <w:bottom w:val="single" w:sz="8" w:space="0" w:color="000000"/>
              <w:right w:val="single" w:sz="8" w:space="0" w:color="000000"/>
            </w:tcBorders>
            <w:vAlign w:val="center"/>
            <w:hideMark/>
          </w:tcPr>
          <w:p w14:paraId="5D3DAF05" w14:textId="23091AD5"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što je više za 1.701.723,48 € ili 761,1% više u odnosu na izvještajno razdoblje prethodne godine. Vrijednosno najznačajniji iznos se odnosi na prihode po rješenjima Zračnoj luci Dubrovniku za rekonstrukciju i nadogradnju zgrade u ukupnom iznosu 1.508.053,87 €. U prvom polugodištu 2018. godine ovi prihodi iznosili su 176.931,07 €.</w:t>
            </w:r>
          </w:p>
        </w:tc>
      </w:tr>
      <w:tr w:rsidR="00464968" w:rsidRPr="003A2F86" w14:paraId="0AF05FD9" w14:textId="77777777" w:rsidTr="0095794B">
        <w:trPr>
          <w:trHeight w:val="202"/>
          <w:jc w:val="center"/>
        </w:trPr>
        <w:tc>
          <w:tcPr>
            <w:tcW w:w="1123" w:type="dxa"/>
            <w:tcBorders>
              <w:top w:val="nil"/>
              <w:left w:val="single" w:sz="8" w:space="0" w:color="000000"/>
              <w:bottom w:val="single" w:sz="8" w:space="0" w:color="000000"/>
              <w:right w:val="single" w:sz="8" w:space="0" w:color="000000"/>
            </w:tcBorders>
            <w:vAlign w:val="center"/>
            <w:hideMark/>
          </w:tcPr>
          <w:p w14:paraId="44375D29" w14:textId="3D19D19B"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2019.</w:t>
            </w:r>
          </w:p>
        </w:tc>
        <w:tc>
          <w:tcPr>
            <w:tcW w:w="1267" w:type="dxa"/>
            <w:tcBorders>
              <w:top w:val="nil"/>
              <w:left w:val="nil"/>
              <w:bottom w:val="single" w:sz="8" w:space="0" w:color="000000"/>
              <w:right w:val="single" w:sz="8" w:space="0" w:color="000000"/>
            </w:tcBorders>
            <w:vAlign w:val="center"/>
            <w:hideMark/>
          </w:tcPr>
          <w:p w14:paraId="1AFDC8DC" w14:textId="4A0E1C99"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223.405,79</w:t>
            </w:r>
          </w:p>
        </w:tc>
        <w:tc>
          <w:tcPr>
            <w:tcW w:w="12315" w:type="dxa"/>
            <w:tcBorders>
              <w:top w:val="nil"/>
              <w:left w:val="nil"/>
              <w:bottom w:val="single" w:sz="8" w:space="0" w:color="000000"/>
              <w:right w:val="single" w:sz="8" w:space="0" w:color="000000"/>
            </w:tcBorders>
            <w:vAlign w:val="center"/>
            <w:hideMark/>
          </w:tcPr>
          <w:p w14:paraId="150F6708" w14:textId="390D576D"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što je manje za 1.701.913,56 € ili 88,4% manje u odnosu na izvještajno razdoblje prethodne godine. U prvom polugodištu 2019. godine ovi prihodi iznosili su 119.769,09 €.</w:t>
            </w:r>
          </w:p>
        </w:tc>
      </w:tr>
      <w:tr w:rsidR="00464968" w:rsidRPr="003A2F86" w14:paraId="4BC78BEC" w14:textId="77777777" w:rsidTr="0095794B">
        <w:trPr>
          <w:trHeight w:val="264"/>
          <w:jc w:val="center"/>
        </w:trPr>
        <w:tc>
          <w:tcPr>
            <w:tcW w:w="1123" w:type="dxa"/>
            <w:tcBorders>
              <w:top w:val="nil"/>
              <w:left w:val="single" w:sz="8" w:space="0" w:color="000000"/>
              <w:bottom w:val="single" w:sz="8" w:space="0" w:color="000000"/>
              <w:right w:val="single" w:sz="8" w:space="0" w:color="000000"/>
            </w:tcBorders>
            <w:vAlign w:val="center"/>
            <w:hideMark/>
          </w:tcPr>
          <w:p w14:paraId="4299B550" w14:textId="56B3C460"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2020.</w:t>
            </w:r>
          </w:p>
        </w:tc>
        <w:tc>
          <w:tcPr>
            <w:tcW w:w="1267" w:type="dxa"/>
            <w:tcBorders>
              <w:top w:val="nil"/>
              <w:left w:val="nil"/>
              <w:bottom w:val="single" w:sz="8" w:space="0" w:color="000000"/>
              <w:right w:val="single" w:sz="8" w:space="0" w:color="000000"/>
            </w:tcBorders>
            <w:vAlign w:val="center"/>
            <w:hideMark/>
          </w:tcPr>
          <w:p w14:paraId="1DCDA1B8" w14:textId="09884338"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105.369,56</w:t>
            </w:r>
          </w:p>
        </w:tc>
        <w:tc>
          <w:tcPr>
            <w:tcW w:w="12315" w:type="dxa"/>
            <w:tcBorders>
              <w:top w:val="nil"/>
              <w:left w:val="nil"/>
              <w:bottom w:val="single" w:sz="8" w:space="0" w:color="000000"/>
              <w:right w:val="single" w:sz="8" w:space="0" w:color="000000"/>
            </w:tcBorders>
            <w:vAlign w:val="center"/>
            <w:hideMark/>
          </w:tcPr>
          <w:p w14:paraId="74C1D9A5" w14:textId="27906A7F"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što je manje za 118.036,23 € ili 52,8% manje u odnosu na izvještajno razdoblje prethodne godine. Ostvareni prihodi prvog polugodišta 2020. iznosili su 56.955,47 €.</w:t>
            </w:r>
          </w:p>
        </w:tc>
      </w:tr>
      <w:tr w:rsidR="00464968" w:rsidRPr="003A2F86" w14:paraId="1AF3E20A" w14:textId="77777777" w:rsidTr="0095794B">
        <w:trPr>
          <w:trHeight w:val="471"/>
          <w:jc w:val="center"/>
        </w:trPr>
        <w:tc>
          <w:tcPr>
            <w:tcW w:w="1123" w:type="dxa"/>
            <w:tcBorders>
              <w:top w:val="nil"/>
              <w:left w:val="single" w:sz="8" w:space="0" w:color="000000"/>
              <w:bottom w:val="single" w:sz="8" w:space="0" w:color="000000"/>
              <w:right w:val="single" w:sz="8" w:space="0" w:color="000000"/>
            </w:tcBorders>
            <w:vAlign w:val="center"/>
            <w:hideMark/>
          </w:tcPr>
          <w:p w14:paraId="414FB5AD" w14:textId="70F8775C"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2021.</w:t>
            </w:r>
          </w:p>
        </w:tc>
        <w:tc>
          <w:tcPr>
            <w:tcW w:w="1267" w:type="dxa"/>
            <w:tcBorders>
              <w:top w:val="nil"/>
              <w:left w:val="nil"/>
              <w:bottom w:val="single" w:sz="8" w:space="0" w:color="000000"/>
              <w:right w:val="single" w:sz="8" w:space="0" w:color="000000"/>
            </w:tcBorders>
            <w:vAlign w:val="center"/>
            <w:hideMark/>
          </w:tcPr>
          <w:p w14:paraId="29F978A1" w14:textId="562B27F6"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173.922,48</w:t>
            </w:r>
          </w:p>
        </w:tc>
        <w:tc>
          <w:tcPr>
            <w:tcW w:w="12315" w:type="dxa"/>
            <w:tcBorders>
              <w:top w:val="nil"/>
              <w:left w:val="nil"/>
              <w:bottom w:val="single" w:sz="8" w:space="0" w:color="000000"/>
              <w:right w:val="single" w:sz="8" w:space="0" w:color="000000"/>
            </w:tcBorders>
            <w:vAlign w:val="center"/>
            <w:hideMark/>
          </w:tcPr>
          <w:p w14:paraId="6295769A" w14:textId="7CAF9DC1"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što je više za 68.552,92 € ili 65,1% više u odnosu na izvještajno razdoblje prethodne godine. Ostvareni prihodi prvog polugodišta 2021. iznose 79.789,67 €. Ovi prihodi su najvećim dijelom ostvareni više jer je naplaćen jedan višegodišnji dug u iznosu 23.273,34 €.</w:t>
            </w:r>
          </w:p>
        </w:tc>
      </w:tr>
      <w:tr w:rsidR="00464968" w:rsidRPr="003A2F86" w14:paraId="47D64EB7" w14:textId="77777777" w:rsidTr="0095794B">
        <w:trPr>
          <w:trHeight w:val="188"/>
          <w:jc w:val="center"/>
        </w:trPr>
        <w:tc>
          <w:tcPr>
            <w:tcW w:w="1123" w:type="dxa"/>
            <w:tcBorders>
              <w:top w:val="nil"/>
              <w:left w:val="single" w:sz="8" w:space="0" w:color="000000"/>
              <w:bottom w:val="single" w:sz="8" w:space="0" w:color="000000"/>
              <w:right w:val="single" w:sz="8" w:space="0" w:color="000000"/>
            </w:tcBorders>
            <w:vAlign w:val="center"/>
          </w:tcPr>
          <w:p w14:paraId="761384D9" w14:textId="62B98FA6" w:rsidR="00464968" w:rsidRPr="003A2F86" w:rsidRDefault="00464968" w:rsidP="00464968">
            <w:pPr>
              <w:spacing w:after="0" w:line="240" w:lineRule="auto"/>
              <w:jc w:val="center"/>
              <w:rPr>
                <w:rFonts w:ascii="Arial" w:hAnsi="Arial" w:cs="Arial"/>
                <w:i/>
                <w:iCs/>
                <w:sz w:val="18"/>
                <w:szCs w:val="18"/>
              </w:rPr>
            </w:pPr>
            <w:r w:rsidRPr="003A2F86">
              <w:rPr>
                <w:rFonts w:ascii="Arial" w:hAnsi="Arial" w:cs="Arial"/>
                <w:i/>
                <w:iCs/>
                <w:sz w:val="18"/>
                <w:szCs w:val="18"/>
              </w:rPr>
              <w:t>2022.</w:t>
            </w:r>
          </w:p>
        </w:tc>
        <w:tc>
          <w:tcPr>
            <w:tcW w:w="1267" w:type="dxa"/>
            <w:tcBorders>
              <w:top w:val="nil"/>
              <w:left w:val="nil"/>
              <w:bottom w:val="single" w:sz="8" w:space="0" w:color="000000"/>
              <w:right w:val="single" w:sz="8" w:space="0" w:color="000000"/>
            </w:tcBorders>
            <w:vAlign w:val="center"/>
          </w:tcPr>
          <w:p w14:paraId="65DC5E48" w14:textId="49AEFC2D"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287.974,63</w:t>
            </w:r>
          </w:p>
        </w:tc>
        <w:tc>
          <w:tcPr>
            <w:tcW w:w="12315" w:type="dxa"/>
            <w:tcBorders>
              <w:top w:val="nil"/>
              <w:left w:val="nil"/>
              <w:bottom w:val="single" w:sz="8" w:space="0" w:color="000000"/>
              <w:right w:val="single" w:sz="8" w:space="0" w:color="000000"/>
            </w:tcBorders>
            <w:vAlign w:val="center"/>
          </w:tcPr>
          <w:p w14:paraId="5219EE43" w14:textId="6768E029"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 xml:space="preserve">što je više za 114.052,15 € ili 65,6% više u odnosu na izvještajno razdoblje prethodne godine. Ostvareni prihodi prvog polugodišta 2022. iznose 102.718,15 €. </w:t>
            </w:r>
          </w:p>
        </w:tc>
      </w:tr>
      <w:tr w:rsidR="00464968" w:rsidRPr="003A2F86" w14:paraId="67B3CCEF" w14:textId="77777777" w:rsidTr="00C51C58">
        <w:trPr>
          <w:trHeight w:val="249"/>
          <w:jc w:val="center"/>
        </w:trPr>
        <w:tc>
          <w:tcPr>
            <w:tcW w:w="1123" w:type="dxa"/>
            <w:tcBorders>
              <w:top w:val="single" w:sz="8" w:space="0" w:color="000000"/>
              <w:left w:val="single" w:sz="8" w:space="0" w:color="000000"/>
              <w:bottom w:val="single" w:sz="4" w:space="0" w:color="auto"/>
              <w:right w:val="single" w:sz="8" w:space="0" w:color="000000"/>
            </w:tcBorders>
            <w:vAlign w:val="center"/>
          </w:tcPr>
          <w:p w14:paraId="290D90DD" w14:textId="04668259" w:rsidR="00464968" w:rsidRPr="003A2F86" w:rsidRDefault="00464968" w:rsidP="00464968">
            <w:pPr>
              <w:spacing w:after="0" w:line="240" w:lineRule="auto"/>
              <w:jc w:val="center"/>
              <w:rPr>
                <w:rFonts w:ascii="Arial" w:hAnsi="Arial" w:cs="Arial"/>
                <w:i/>
                <w:iCs/>
                <w:sz w:val="18"/>
                <w:szCs w:val="18"/>
              </w:rPr>
            </w:pPr>
            <w:r w:rsidRPr="003A2F86">
              <w:rPr>
                <w:rFonts w:ascii="Arial" w:hAnsi="Arial" w:cs="Arial"/>
                <w:i/>
                <w:iCs/>
                <w:sz w:val="18"/>
                <w:szCs w:val="18"/>
              </w:rPr>
              <w:t>2023.</w:t>
            </w:r>
          </w:p>
        </w:tc>
        <w:tc>
          <w:tcPr>
            <w:tcW w:w="1267" w:type="dxa"/>
            <w:tcBorders>
              <w:top w:val="single" w:sz="8" w:space="0" w:color="000000"/>
              <w:left w:val="nil"/>
              <w:bottom w:val="single" w:sz="4" w:space="0" w:color="auto"/>
              <w:right w:val="single" w:sz="8" w:space="0" w:color="000000"/>
            </w:tcBorders>
            <w:vAlign w:val="center"/>
          </w:tcPr>
          <w:p w14:paraId="087B2955" w14:textId="71C369FD"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321.075,56</w:t>
            </w:r>
          </w:p>
        </w:tc>
        <w:tc>
          <w:tcPr>
            <w:tcW w:w="12315" w:type="dxa"/>
            <w:tcBorders>
              <w:top w:val="single" w:sz="8" w:space="0" w:color="000000"/>
              <w:left w:val="nil"/>
              <w:bottom w:val="single" w:sz="4" w:space="0" w:color="auto"/>
              <w:right w:val="single" w:sz="8" w:space="0" w:color="000000"/>
            </w:tcBorders>
            <w:vAlign w:val="center"/>
          </w:tcPr>
          <w:p w14:paraId="77ED5A72" w14:textId="77E5ACCC"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 xml:space="preserve">što je više za 33.100,93 € ili 11,9% više u odnosu na izvještajno razdoblje prethodne godine. Ostvareni prihodi prvog polugodišta 2023. iznose 158.623,85 €. </w:t>
            </w:r>
          </w:p>
        </w:tc>
      </w:tr>
      <w:tr w:rsidR="0095794B" w:rsidRPr="003A2F86" w14:paraId="13EA8182" w14:textId="77777777" w:rsidTr="00C51C58">
        <w:trPr>
          <w:trHeight w:val="345"/>
          <w:jc w:val="center"/>
        </w:trPr>
        <w:tc>
          <w:tcPr>
            <w:tcW w:w="1123" w:type="dxa"/>
            <w:tcBorders>
              <w:top w:val="single" w:sz="4" w:space="0" w:color="auto"/>
              <w:left w:val="single" w:sz="8" w:space="0" w:color="000000"/>
              <w:bottom w:val="single" w:sz="4" w:space="0" w:color="auto"/>
              <w:right w:val="single" w:sz="8" w:space="0" w:color="000000"/>
            </w:tcBorders>
            <w:vAlign w:val="center"/>
          </w:tcPr>
          <w:p w14:paraId="3272E996" w14:textId="7D71E5D6" w:rsidR="0095794B" w:rsidRPr="003A2F86" w:rsidRDefault="0095794B" w:rsidP="0095794B">
            <w:pPr>
              <w:spacing w:after="0" w:line="240" w:lineRule="auto"/>
              <w:jc w:val="center"/>
              <w:rPr>
                <w:rFonts w:ascii="Arial" w:hAnsi="Arial" w:cs="Arial"/>
                <w:i/>
                <w:iCs/>
                <w:sz w:val="18"/>
                <w:szCs w:val="18"/>
              </w:rPr>
            </w:pPr>
            <w:r w:rsidRPr="003A2F86">
              <w:rPr>
                <w:rFonts w:ascii="Arial" w:hAnsi="Arial" w:cs="Arial"/>
                <w:i/>
                <w:iCs/>
                <w:sz w:val="18"/>
                <w:szCs w:val="18"/>
              </w:rPr>
              <w:t>2024.</w:t>
            </w:r>
          </w:p>
        </w:tc>
        <w:tc>
          <w:tcPr>
            <w:tcW w:w="1267" w:type="dxa"/>
            <w:tcBorders>
              <w:top w:val="single" w:sz="4" w:space="0" w:color="auto"/>
              <w:left w:val="nil"/>
              <w:bottom w:val="single" w:sz="4" w:space="0" w:color="auto"/>
              <w:right w:val="single" w:sz="8" w:space="0" w:color="000000"/>
            </w:tcBorders>
            <w:vAlign w:val="center"/>
          </w:tcPr>
          <w:p w14:paraId="7D77EE8A" w14:textId="2DE646BF" w:rsidR="0095794B" w:rsidRPr="0095794B" w:rsidRDefault="0095794B" w:rsidP="0095794B">
            <w:pPr>
              <w:spacing w:after="0" w:line="240" w:lineRule="auto"/>
              <w:jc w:val="right"/>
              <w:rPr>
                <w:rFonts w:ascii="Arial" w:hAnsi="Arial" w:cs="Arial"/>
                <w:i/>
                <w:iCs/>
                <w:sz w:val="18"/>
                <w:szCs w:val="18"/>
              </w:rPr>
            </w:pPr>
            <w:r w:rsidRPr="0095794B">
              <w:rPr>
                <w:rFonts w:ascii="Arial" w:hAnsi="Arial" w:cs="Arial"/>
                <w:i/>
                <w:iCs/>
                <w:sz w:val="18"/>
                <w:szCs w:val="18"/>
              </w:rPr>
              <w:t>275.271,92</w:t>
            </w:r>
          </w:p>
        </w:tc>
        <w:tc>
          <w:tcPr>
            <w:tcW w:w="12315" w:type="dxa"/>
            <w:tcBorders>
              <w:top w:val="single" w:sz="4" w:space="0" w:color="auto"/>
              <w:left w:val="nil"/>
              <w:bottom w:val="single" w:sz="4" w:space="0" w:color="auto"/>
              <w:right w:val="single" w:sz="8" w:space="0" w:color="000000"/>
            </w:tcBorders>
            <w:vAlign w:val="center"/>
          </w:tcPr>
          <w:p w14:paraId="7D07162C" w14:textId="62645E1C" w:rsidR="0095794B" w:rsidRPr="0095794B" w:rsidRDefault="0095794B" w:rsidP="0095794B">
            <w:pPr>
              <w:spacing w:after="0" w:line="240" w:lineRule="auto"/>
              <w:jc w:val="both"/>
              <w:rPr>
                <w:rFonts w:ascii="Arial" w:hAnsi="Arial" w:cs="Arial"/>
                <w:sz w:val="16"/>
                <w:szCs w:val="16"/>
              </w:rPr>
            </w:pPr>
            <w:r w:rsidRPr="0095794B">
              <w:rPr>
                <w:rFonts w:ascii="Arial" w:hAnsi="Arial" w:cs="Arial"/>
                <w:sz w:val="16"/>
                <w:szCs w:val="16"/>
              </w:rPr>
              <w:t xml:space="preserve">što je manje za 45.803,640 € ili 14,3% manje u odnosu na izvještajno razdoblje prethodne godine. Ostvareni prihodi prvog polugodišta 2024. iznose 121.452,55 €. </w:t>
            </w:r>
          </w:p>
        </w:tc>
      </w:tr>
      <w:tr w:rsidR="00C51C58" w:rsidRPr="003A2F86" w14:paraId="7298BC5A" w14:textId="77777777" w:rsidTr="00C51C58">
        <w:trPr>
          <w:trHeight w:val="345"/>
          <w:jc w:val="center"/>
        </w:trPr>
        <w:tc>
          <w:tcPr>
            <w:tcW w:w="1123" w:type="dxa"/>
            <w:tcBorders>
              <w:top w:val="single" w:sz="4" w:space="0" w:color="auto"/>
              <w:left w:val="single" w:sz="8" w:space="0" w:color="000000"/>
              <w:bottom w:val="single" w:sz="8" w:space="0" w:color="000000"/>
              <w:right w:val="single" w:sz="8" w:space="0" w:color="000000"/>
            </w:tcBorders>
            <w:vAlign w:val="center"/>
          </w:tcPr>
          <w:p w14:paraId="2FA3A441" w14:textId="7324943E" w:rsidR="00C51C58" w:rsidRPr="003A2F86" w:rsidRDefault="00C51C58" w:rsidP="0095794B">
            <w:pPr>
              <w:spacing w:after="0" w:line="240" w:lineRule="auto"/>
              <w:jc w:val="center"/>
              <w:rPr>
                <w:rFonts w:ascii="Arial" w:hAnsi="Arial" w:cs="Arial"/>
                <w:i/>
                <w:iCs/>
                <w:sz w:val="18"/>
                <w:szCs w:val="18"/>
              </w:rPr>
            </w:pPr>
            <w:r>
              <w:rPr>
                <w:rFonts w:ascii="Arial" w:hAnsi="Arial" w:cs="Arial"/>
                <w:i/>
                <w:iCs/>
                <w:sz w:val="18"/>
                <w:szCs w:val="18"/>
              </w:rPr>
              <w:t>2025.</w:t>
            </w:r>
          </w:p>
        </w:tc>
        <w:tc>
          <w:tcPr>
            <w:tcW w:w="1267" w:type="dxa"/>
            <w:tcBorders>
              <w:top w:val="single" w:sz="4" w:space="0" w:color="auto"/>
              <w:left w:val="nil"/>
              <w:bottom w:val="single" w:sz="8" w:space="0" w:color="000000"/>
              <w:right w:val="single" w:sz="8" w:space="0" w:color="000000"/>
            </w:tcBorders>
            <w:vAlign w:val="center"/>
          </w:tcPr>
          <w:p w14:paraId="33E12502" w14:textId="709A012B" w:rsidR="00C51C58" w:rsidRPr="0095794B" w:rsidRDefault="00E36E45" w:rsidP="0095794B">
            <w:pPr>
              <w:spacing w:after="0" w:line="240" w:lineRule="auto"/>
              <w:jc w:val="right"/>
              <w:rPr>
                <w:rFonts w:ascii="Arial" w:hAnsi="Arial" w:cs="Arial"/>
                <w:i/>
                <w:iCs/>
                <w:sz w:val="18"/>
                <w:szCs w:val="18"/>
              </w:rPr>
            </w:pPr>
            <w:r>
              <w:rPr>
                <w:rFonts w:ascii="Arial" w:hAnsi="Arial" w:cs="Arial"/>
                <w:i/>
                <w:iCs/>
                <w:sz w:val="18"/>
                <w:szCs w:val="18"/>
              </w:rPr>
              <w:t>315.712,14</w:t>
            </w:r>
          </w:p>
        </w:tc>
        <w:tc>
          <w:tcPr>
            <w:tcW w:w="12315" w:type="dxa"/>
            <w:tcBorders>
              <w:top w:val="single" w:sz="4" w:space="0" w:color="auto"/>
              <w:left w:val="nil"/>
              <w:bottom w:val="single" w:sz="8" w:space="0" w:color="000000"/>
              <w:right w:val="single" w:sz="8" w:space="0" w:color="000000"/>
            </w:tcBorders>
            <w:vAlign w:val="center"/>
          </w:tcPr>
          <w:p w14:paraId="5F559DEF" w14:textId="4BFF0CE1" w:rsidR="00C51C58" w:rsidRPr="0095794B" w:rsidRDefault="00E36E45" w:rsidP="0095794B">
            <w:pPr>
              <w:spacing w:after="0" w:line="240" w:lineRule="auto"/>
              <w:jc w:val="both"/>
              <w:rPr>
                <w:rFonts w:ascii="Arial" w:hAnsi="Arial" w:cs="Arial"/>
                <w:sz w:val="16"/>
                <w:szCs w:val="16"/>
              </w:rPr>
            </w:pPr>
            <w:r w:rsidRPr="00E36E45">
              <w:rPr>
                <w:rFonts w:ascii="Arial" w:hAnsi="Arial" w:cs="Arial"/>
                <w:sz w:val="16"/>
                <w:szCs w:val="16"/>
              </w:rPr>
              <w:t>što je manje za 40.440,22 € ili 14,78% više u odnosu na izvještajno razdoblje prethodne godine. Ostvareni prihodi prvog polugodišta 2025. iznose 161.927,80 €.</w:t>
            </w:r>
          </w:p>
        </w:tc>
      </w:tr>
    </w:tbl>
    <w:p w14:paraId="20E9C1D8" w14:textId="42BE4CFE" w:rsidR="003E14B7" w:rsidRPr="0095794B" w:rsidRDefault="003E14B7" w:rsidP="009A2A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6FC989A0" w14:textId="64E2B662" w:rsidR="0095794B" w:rsidRDefault="00464968" w:rsidP="0095794B">
      <w:pPr>
        <w:pStyle w:val="Tijeloteksta2"/>
        <w:rPr>
          <w:rFonts w:ascii="Arial" w:eastAsia="Calibri" w:hAnsi="Arial" w:cs="Arial"/>
          <w:iCs/>
          <w:sz w:val="22"/>
          <w:szCs w:val="22"/>
          <w:lang w:val="hr-HR"/>
        </w:rPr>
      </w:pPr>
      <w:r w:rsidRPr="0095794B">
        <w:rPr>
          <w:rFonts w:ascii="Arial" w:eastAsia="Calibri" w:hAnsi="Arial" w:cs="Arial"/>
          <w:sz w:val="22"/>
          <w:szCs w:val="22"/>
          <w:lang w:val="hr-HR"/>
        </w:rPr>
        <w:t xml:space="preserve">Prihodi od </w:t>
      </w:r>
      <w:r w:rsidRPr="0095794B">
        <w:rPr>
          <w:rFonts w:ascii="Arial" w:eastAsia="Calibri" w:hAnsi="Arial" w:cs="Arial"/>
          <w:b/>
          <w:bCs/>
          <w:sz w:val="22"/>
          <w:szCs w:val="22"/>
          <w:lang w:val="hr-HR"/>
        </w:rPr>
        <w:t>komunalne naknade</w:t>
      </w:r>
      <w:r w:rsidRPr="0095794B">
        <w:rPr>
          <w:rFonts w:ascii="Arial" w:eastAsia="Calibri" w:hAnsi="Arial" w:cs="Arial"/>
          <w:sz w:val="22"/>
          <w:szCs w:val="22"/>
          <w:lang w:val="hr-HR"/>
        </w:rPr>
        <w:t xml:space="preserve"> (6532) su ostvareni u iznosu </w:t>
      </w:r>
      <w:r w:rsidR="00E36E45">
        <w:rPr>
          <w:rFonts w:ascii="Arial" w:eastAsia="Calibri" w:hAnsi="Arial" w:cs="Arial"/>
          <w:sz w:val="22"/>
          <w:szCs w:val="22"/>
          <w:lang w:val="hr-HR"/>
        </w:rPr>
        <w:t>1.026.178,80</w:t>
      </w:r>
      <w:r w:rsidR="0095794B" w:rsidRPr="0095794B">
        <w:rPr>
          <w:rFonts w:ascii="Arial" w:eastAsia="Calibri" w:hAnsi="Arial" w:cs="Arial"/>
          <w:sz w:val="22"/>
          <w:szCs w:val="22"/>
          <w:lang w:val="hr-HR"/>
        </w:rPr>
        <w:t xml:space="preserve"> € što je za </w:t>
      </w:r>
      <w:r w:rsidR="00E36E45">
        <w:rPr>
          <w:rFonts w:ascii="Arial" w:eastAsia="Calibri" w:hAnsi="Arial" w:cs="Arial"/>
          <w:sz w:val="22"/>
          <w:szCs w:val="22"/>
          <w:lang w:val="hr-HR"/>
        </w:rPr>
        <w:t>63.494,70</w:t>
      </w:r>
      <w:r w:rsidR="0095794B" w:rsidRPr="0095794B">
        <w:rPr>
          <w:rFonts w:ascii="Arial" w:eastAsia="Calibri" w:hAnsi="Arial" w:cs="Arial"/>
          <w:sz w:val="22"/>
          <w:szCs w:val="22"/>
          <w:lang w:val="hr-HR"/>
        </w:rPr>
        <w:t xml:space="preserve"> € ili </w:t>
      </w:r>
      <w:r w:rsidR="00E36E45">
        <w:rPr>
          <w:rFonts w:ascii="Arial" w:eastAsia="Calibri" w:hAnsi="Arial" w:cs="Arial"/>
          <w:sz w:val="22"/>
          <w:szCs w:val="22"/>
          <w:lang w:val="hr-HR"/>
        </w:rPr>
        <w:t>5,8</w:t>
      </w:r>
      <w:r w:rsidR="0095794B" w:rsidRPr="0095794B">
        <w:rPr>
          <w:rFonts w:ascii="Arial" w:eastAsia="Calibri" w:hAnsi="Arial" w:cs="Arial"/>
          <w:sz w:val="22"/>
          <w:szCs w:val="22"/>
          <w:lang w:val="hr-HR"/>
        </w:rPr>
        <w:t xml:space="preserve">% </w:t>
      </w:r>
      <w:r w:rsidR="00E36E45">
        <w:rPr>
          <w:rFonts w:ascii="Arial" w:eastAsia="Calibri" w:hAnsi="Arial" w:cs="Arial"/>
          <w:sz w:val="22"/>
          <w:szCs w:val="22"/>
          <w:lang w:val="hr-HR"/>
        </w:rPr>
        <w:t>manje</w:t>
      </w:r>
      <w:r w:rsidR="0095794B" w:rsidRPr="0095794B">
        <w:rPr>
          <w:rFonts w:ascii="Arial" w:eastAsia="Calibri" w:hAnsi="Arial" w:cs="Arial"/>
          <w:sz w:val="22"/>
          <w:szCs w:val="22"/>
          <w:lang w:val="hr-HR"/>
        </w:rPr>
        <w:t xml:space="preserve"> u odnosu na izvještajno </w:t>
      </w:r>
      <w:r w:rsidR="0095794B" w:rsidRPr="0095794B">
        <w:rPr>
          <w:rFonts w:ascii="Arial" w:eastAsia="Calibri" w:hAnsi="Arial" w:cs="Arial"/>
          <w:iCs/>
          <w:sz w:val="22"/>
          <w:szCs w:val="22"/>
          <w:lang w:val="hr-HR"/>
        </w:rPr>
        <w:t xml:space="preserve">razdoblje prethodne godine. </w:t>
      </w:r>
    </w:p>
    <w:p w14:paraId="106CB87D" w14:textId="77777777" w:rsidR="00EE2CA0" w:rsidRDefault="00EE2CA0" w:rsidP="0095794B">
      <w:pPr>
        <w:pStyle w:val="Tijeloteksta2"/>
        <w:rPr>
          <w:rFonts w:ascii="Arial" w:eastAsia="Calibri" w:hAnsi="Arial" w:cs="Arial"/>
          <w:iCs/>
          <w:sz w:val="22"/>
          <w:szCs w:val="22"/>
          <w:lang w:val="hr-HR"/>
        </w:rPr>
      </w:pPr>
    </w:p>
    <w:p w14:paraId="51B4DA08" w14:textId="3EE3F886" w:rsidR="0095794B" w:rsidRPr="00E36E45" w:rsidRDefault="0095794B" w:rsidP="00AD1580">
      <w:pPr>
        <w:spacing w:after="0" w:line="240" w:lineRule="auto"/>
        <w:ind w:left="567"/>
        <w:jc w:val="both"/>
        <w:rPr>
          <w:rFonts w:ascii="Arial" w:eastAsia="Calibri" w:hAnsi="Arial" w:cs="Arial"/>
          <w:sz w:val="16"/>
          <w:szCs w:val="16"/>
          <w:lang w:eastAsia="en-US"/>
        </w:rPr>
      </w:pPr>
      <w:r w:rsidRPr="00E36E45">
        <w:rPr>
          <w:rFonts w:ascii="Arial" w:eastAsia="Calibri" w:hAnsi="Arial" w:cs="Arial"/>
          <w:sz w:val="16"/>
          <w:szCs w:val="16"/>
          <w:lang w:eastAsia="en-US"/>
        </w:rPr>
        <w:t>Nakon proširenja obveznika komunalne naknade, ovi prihodi su bili značajnije povećani u 2019. i 2020. godini. U 2021. se bitno smanjio iznos ovih prihoda uvjetovan činjenicom da prema odredbama Zakona o komunalnom gospodarstvu u najvećem dijelu nisu naplaćeni prihodi od komunalne naknade od pravnih osoba koje nisu obavljale poslovnu djelatnost više od šest mjeseci. U 2022. su prihodi veći, odnosno vratili su se na razinu 2019. godine. Tijekom 2022. godine je proširen obim obuhvata obveznika komunalne naknade na Molunat nakon obavljene izmjere objekata.</w:t>
      </w:r>
    </w:p>
    <w:p w14:paraId="2DFBA211" w14:textId="77777777" w:rsidR="00AF1BBB" w:rsidRPr="003A2F86" w:rsidRDefault="00AF1BBB" w:rsidP="009A2A97">
      <w:pPr>
        <w:spacing w:after="0" w:line="240" w:lineRule="auto"/>
        <w:jc w:val="both"/>
        <w:rPr>
          <w:rFonts w:ascii="Arial" w:eastAsia="Times New Roman" w:hAnsi="Arial" w:cs="Arial"/>
          <w:sz w:val="12"/>
          <w:szCs w:val="12"/>
        </w:rPr>
      </w:pPr>
    </w:p>
    <w:p w14:paraId="7024516B" w14:textId="2C1CEE7C" w:rsidR="009A2A97" w:rsidRPr="003A2F86" w:rsidRDefault="009A2A97" w:rsidP="003E14B7">
      <w:pPr>
        <w:spacing w:after="0" w:line="240" w:lineRule="auto"/>
        <w:jc w:val="both"/>
        <w:rPr>
          <w:rFonts w:ascii="Arial" w:eastAsia="Calibri" w:hAnsi="Arial" w:cs="Arial"/>
          <w:lang w:eastAsia="en-US"/>
        </w:rPr>
      </w:pPr>
      <w:r w:rsidRPr="003A2F86">
        <w:rPr>
          <w:rFonts w:ascii="Arial" w:eastAsia="Times New Roman" w:hAnsi="Arial" w:cs="Arial"/>
          <w:i/>
          <w:iCs/>
          <w:sz w:val="20"/>
          <w:szCs w:val="20"/>
        </w:rPr>
        <w:t>* Usporedba:</w:t>
      </w:r>
    </w:p>
    <w:tbl>
      <w:tblPr>
        <w:tblW w:w="14601" w:type="dxa"/>
        <w:jc w:val="center"/>
        <w:tblLook w:val="04A0" w:firstRow="1" w:lastRow="0" w:firstColumn="1" w:lastColumn="0" w:noHBand="0" w:noVBand="1"/>
      </w:tblPr>
      <w:tblGrid>
        <w:gridCol w:w="1109"/>
        <w:gridCol w:w="1267"/>
        <w:gridCol w:w="12225"/>
      </w:tblGrid>
      <w:tr w:rsidR="003E14B7" w:rsidRPr="003A2F86" w14:paraId="47D4AB5B" w14:textId="77777777" w:rsidTr="00AF1BBB">
        <w:trPr>
          <w:trHeight w:val="155"/>
          <w:jc w:val="center"/>
        </w:trPr>
        <w:tc>
          <w:tcPr>
            <w:tcW w:w="14601" w:type="dxa"/>
            <w:gridSpan w:val="3"/>
            <w:tcBorders>
              <w:top w:val="single" w:sz="8" w:space="0" w:color="000000"/>
              <w:left w:val="single" w:sz="8" w:space="0" w:color="000000"/>
              <w:bottom w:val="single" w:sz="8" w:space="0" w:color="000000"/>
              <w:right w:val="single" w:sz="4" w:space="0" w:color="auto"/>
            </w:tcBorders>
            <w:vAlign w:val="center"/>
            <w:hideMark/>
          </w:tcPr>
          <w:p w14:paraId="0CEEFFB6" w14:textId="77777777" w:rsidR="003E14B7" w:rsidRPr="003A2F86" w:rsidRDefault="003E14B7" w:rsidP="003E14B7">
            <w:pPr>
              <w:spacing w:after="0" w:line="240" w:lineRule="auto"/>
              <w:jc w:val="center"/>
              <w:rPr>
                <w:rFonts w:ascii="Arial" w:eastAsia="Times New Roman" w:hAnsi="Arial" w:cs="Arial"/>
                <w:b/>
                <w:bCs/>
                <w:i/>
                <w:iCs/>
                <w:sz w:val="18"/>
                <w:szCs w:val="18"/>
              </w:rPr>
            </w:pPr>
            <w:r w:rsidRPr="003A2F86">
              <w:rPr>
                <w:rFonts w:ascii="Arial" w:eastAsia="Times New Roman" w:hAnsi="Arial" w:cs="Arial"/>
                <w:b/>
                <w:bCs/>
                <w:i/>
                <w:iCs/>
                <w:sz w:val="18"/>
                <w:szCs w:val="18"/>
              </w:rPr>
              <w:t>Prihod od komunalne naknade (</w:t>
            </w:r>
            <w:r w:rsidRPr="003A2F86">
              <w:rPr>
                <w:rFonts w:ascii="Arial" w:eastAsia="Times New Roman" w:hAnsi="Arial" w:cs="Arial"/>
                <w:b/>
                <w:bCs/>
                <w:i/>
                <w:iCs/>
                <w:color w:val="FF0000"/>
                <w:sz w:val="18"/>
                <w:szCs w:val="18"/>
              </w:rPr>
              <w:t>6532</w:t>
            </w:r>
            <w:r w:rsidRPr="003A2F86">
              <w:rPr>
                <w:rFonts w:ascii="Arial" w:eastAsia="Times New Roman" w:hAnsi="Arial" w:cs="Arial"/>
                <w:b/>
                <w:bCs/>
                <w:i/>
                <w:iCs/>
                <w:sz w:val="18"/>
                <w:szCs w:val="18"/>
              </w:rPr>
              <w:t>)</w:t>
            </w:r>
          </w:p>
        </w:tc>
      </w:tr>
      <w:tr w:rsidR="003E14B7" w:rsidRPr="003A2F86" w14:paraId="036F4701" w14:textId="77777777" w:rsidTr="00AF1BBB">
        <w:trPr>
          <w:trHeight w:val="135"/>
          <w:jc w:val="center"/>
        </w:trPr>
        <w:tc>
          <w:tcPr>
            <w:tcW w:w="1112" w:type="dxa"/>
            <w:tcBorders>
              <w:top w:val="nil"/>
              <w:left w:val="single" w:sz="8" w:space="0" w:color="000000"/>
              <w:bottom w:val="single" w:sz="8" w:space="0" w:color="000000"/>
              <w:right w:val="single" w:sz="8" w:space="0" w:color="000000"/>
            </w:tcBorders>
            <w:vAlign w:val="center"/>
            <w:hideMark/>
          </w:tcPr>
          <w:p w14:paraId="44BEA268" w14:textId="77777777" w:rsidR="003E14B7" w:rsidRPr="003A2F86" w:rsidRDefault="003E14B7" w:rsidP="003E14B7">
            <w:pPr>
              <w:spacing w:after="0" w:line="240" w:lineRule="auto"/>
              <w:jc w:val="center"/>
              <w:rPr>
                <w:rFonts w:ascii="Arial" w:eastAsia="Times New Roman" w:hAnsi="Arial" w:cs="Arial"/>
                <w:b/>
                <w:bCs/>
                <w:i/>
                <w:iCs/>
                <w:sz w:val="18"/>
                <w:szCs w:val="18"/>
              </w:rPr>
            </w:pPr>
            <w:r w:rsidRPr="003A2F86">
              <w:rPr>
                <w:rFonts w:ascii="Arial" w:eastAsia="Times New Roman" w:hAnsi="Arial" w:cs="Arial"/>
                <w:b/>
                <w:bCs/>
                <w:i/>
                <w:iCs/>
                <w:sz w:val="18"/>
                <w:szCs w:val="18"/>
              </w:rPr>
              <w:t>Godina</w:t>
            </w:r>
          </w:p>
        </w:tc>
        <w:tc>
          <w:tcPr>
            <w:tcW w:w="1146" w:type="dxa"/>
            <w:tcBorders>
              <w:top w:val="nil"/>
              <w:left w:val="nil"/>
              <w:bottom w:val="single" w:sz="8" w:space="0" w:color="000000"/>
              <w:right w:val="single" w:sz="8" w:space="0" w:color="000000"/>
            </w:tcBorders>
            <w:vAlign w:val="center"/>
            <w:hideMark/>
          </w:tcPr>
          <w:p w14:paraId="606950F6" w14:textId="0B9482E6" w:rsidR="003E14B7" w:rsidRPr="003A2F86" w:rsidRDefault="003E14B7" w:rsidP="003E14B7">
            <w:pPr>
              <w:spacing w:after="0" w:line="240" w:lineRule="auto"/>
              <w:jc w:val="center"/>
              <w:rPr>
                <w:rFonts w:ascii="Arial" w:eastAsia="Times New Roman" w:hAnsi="Arial" w:cs="Arial"/>
                <w:b/>
                <w:bCs/>
                <w:i/>
                <w:iCs/>
                <w:sz w:val="18"/>
                <w:szCs w:val="18"/>
              </w:rPr>
            </w:pPr>
            <w:r w:rsidRPr="003A2F86">
              <w:rPr>
                <w:rFonts w:ascii="Arial" w:eastAsia="Times New Roman" w:hAnsi="Arial" w:cs="Arial"/>
                <w:b/>
                <w:bCs/>
                <w:i/>
                <w:iCs/>
                <w:sz w:val="18"/>
                <w:szCs w:val="18"/>
              </w:rPr>
              <w:t xml:space="preserve">Iznos </w:t>
            </w:r>
            <w:r w:rsidRPr="003A2F86">
              <w:rPr>
                <w:rFonts w:ascii="Arial" w:eastAsia="Times New Roman" w:hAnsi="Arial" w:cs="Arial"/>
                <w:b/>
                <w:bCs/>
                <w:i/>
                <w:iCs/>
                <w:color w:val="FF0000"/>
                <w:sz w:val="18"/>
                <w:szCs w:val="18"/>
              </w:rPr>
              <w:t>(</w:t>
            </w:r>
            <w:r w:rsidR="00B57693" w:rsidRPr="003A2F86">
              <w:rPr>
                <w:rFonts w:ascii="Arial" w:eastAsia="Times New Roman" w:hAnsi="Arial" w:cs="Arial"/>
                <w:b/>
                <w:bCs/>
                <w:i/>
                <w:iCs/>
                <w:color w:val="FF0000"/>
                <w:sz w:val="18"/>
                <w:szCs w:val="18"/>
              </w:rPr>
              <w:t>€</w:t>
            </w:r>
            <w:r w:rsidRPr="003A2F86">
              <w:rPr>
                <w:rFonts w:ascii="Arial" w:eastAsia="Times New Roman" w:hAnsi="Arial" w:cs="Arial"/>
                <w:b/>
                <w:bCs/>
                <w:i/>
                <w:iCs/>
                <w:color w:val="FF0000"/>
                <w:sz w:val="18"/>
                <w:szCs w:val="18"/>
              </w:rPr>
              <w:t>)</w:t>
            </w:r>
          </w:p>
        </w:tc>
        <w:tc>
          <w:tcPr>
            <w:tcW w:w="12343" w:type="dxa"/>
            <w:tcBorders>
              <w:top w:val="nil"/>
              <w:left w:val="nil"/>
              <w:bottom w:val="single" w:sz="8" w:space="0" w:color="000000"/>
              <w:right w:val="single" w:sz="8" w:space="0" w:color="000000"/>
            </w:tcBorders>
            <w:vAlign w:val="center"/>
            <w:hideMark/>
          </w:tcPr>
          <w:p w14:paraId="4353DDC2" w14:textId="77777777" w:rsidR="003E14B7" w:rsidRPr="003A2F86" w:rsidRDefault="003E14B7" w:rsidP="003E14B7">
            <w:pPr>
              <w:spacing w:after="0" w:line="240" w:lineRule="auto"/>
              <w:jc w:val="center"/>
              <w:rPr>
                <w:rFonts w:ascii="Arial" w:eastAsia="Times New Roman" w:hAnsi="Arial" w:cs="Arial"/>
                <w:b/>
                <w:bCs/>
                <w:i/>
                <w:iCs/>
                <w:sz w:val="18"/>
                <w:szCs w:val="18"/>
              </w:rPr>
            </w:pPr>
            <w:r w:rsidRPr="003A2F86">
              <w:rPr>
                <w:rFonts w:ascii="Arial" w:eastAsia="Times New Roman" w:hAnsi="Arial" w:cs="Arial"/>
                <w:b/>
                <w:bCs/>
                <w:i/>
                <w:iCs/>
                <w:sz w:val="18"/>
                <w:szCs w:val="18"/>
              </w:rPr>
              <w:t>Obrazloženje</w:t>
            </w:r>
          </w:p>
        </w:tc>
      </w:tr>
      <w:tr w:rsidR="00464968" w:rsidRPr="003A2F86" w14:paraId="3378F7E9" w14:textId="77777777" w:rsidTr="00AF1BBB">
        <w:trPr>
          <w:trHeight w:val="219"/>
          <w:jc w:val="center"/>
        </w:trPr>
        <w:tc>
          <w:tcPr>
            <w:tcW w:w="1112" w:type="dxa"/>
            <w:tcBorders>
              <w:top w:val="nil"/>
              <w:left w:val="single" w:sz="8" w:space="0" w:color="000000"/>
              <w:bottom w:val="single" w:sz="8" w:space="0" w:color="000000"/>
              <w:right w:val="single" w:sz="8" w:space="0" w:color="000000"/>
            </w:tcBorders>
            <w:vAlign w:val="center"/>
            <w:hideMark/>
          </w:tcPr>
          <w:p w14:paraId="5F039793" w14:textId="6F39D5D6"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2012.</w:t>
            </w:r>
          </w:p>
        </w:tc>
        <w:tc>
          <w:tcPr>
            <w:tcW w:w="1146" w:type="dxa"/>
            <w:tcBorders>
              <w:top w:val="nil"/>
              <w:left w:val="nil"/>
              <w:bottom w:val="single" w:sz="8" w:space="0" w:color="000000"/>
              <w:right w:val="single" w:sz="8" w:space="0" w:color="000000"/>
            </w:tcBorders>
            <w:vAlign w:val="center"/>
            <w:hideMark/>
          </w:tcPr>
          <w:p w14:paraId="27DAD4AB" w14:textId="1CCDDEF1"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384.119,45</w:t>
            </w:r>
          </w:p>
        </w:tc>
        <w:tc>
          <w:tcPr>
            <w:tcW w:w="12343" w:type="dxa"/>
            <w:tcBorders>
              <w:top w:val="nil"/>
              <w:left w:val="nil"/>
              <w:bottom w:val="single" w:sz="8" w:space="0" w:color="000000"/>
              <w:right w:val="single" w:sz="8" w:space="0" w:color="000000"/>
            </w:tcBorders>
            <w:vAlign w:val="center"/>
            <w:hideMark/>
          </w:tcPr>
          <w:p w14:paraId="111D7E0A" w14:textId="79F11B56"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 </w:t>
            </w:r>
          </w:p>
        </w:tc>
      </w:tr>
      <w:tr w:rsidR="00464968" w:rsidRPr="003A2F86" w14:paraId="39C47CA7" w14:textId="77777777" w:rsidTr="00AF1BBB">
        <w:trPr>
          <w:trHeight w:val="110"/>
          <w:jc w:val="center"/>
        </w:trPr>
        <w:tc>
          <w:tcPr>
            <w:tcW w:w="1112" w:type="dxa"/>
            <w:tcBorders>
              <w:top w:val="nil"/>
              <w:left w:val="single" w:sz="8" w:space="0" w:color="000000"/>
              <w:bottom w:val="single" w:sz="8" w:space="0" w:color="000000"/>
              <w:right w:val="single" w:sz="8" w:space="0" w:color="000000"/>
            </w:tcBorders>
            <w:vAlign w:val="center"/>
            <w:hideMark/>
          </w:tcPr>
          <w:p w14:paraId="42CB7AEA" w14:textId="30746594"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2013.</w:t>
            </w:r>
          </w:p>
        </w:tc>
        <w:tc>
          <w:tcPr>
            <w:tcW w:w="1146" w:type="dxa"/>
            <w:tcBorders>
              <w:top w:val="nil"/>
              <w:left w:val="nil"/>
              <w:bottom w:val="single" w:sz="8" w:space="0" w:color="000000"/>
              <w:right w:val="single" w:sz="8" w:space="0" w:color="000000"/>
            </w:tcBorders>
            <w:vAlign w:val="center"/>
            <w:hideMark/>
          </w:tcPr>
          <w:p w14:paraId="1337319C" w14:textId="7B91A9DF"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401.874,14</w:t>
            </w:r>
          </w:p>
        </w:tc>
        <w:tc>
          <w:tcPr>
            <w:tcW w:w="12343" w:type="dxa"/>
            <w:tcBorders>
              <w:top w:val="nil"/>
              <w:left w:val="nil"/>
              <w:bottom w:val="single" w:sz="8" w:space="0" w:color="000000"/>
              <w:right w:val="single" w:sz="8" w:space="0" w:color="000000"/>
            </w:tcBorders>
            <w:vAlign w:val="center"/>
            <w:hideMark/>
          </w:tcPr>
          <w:p w14:paraId="4776F5E7" w14:textId="01E3032B"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u odnosu na prethodnu godinu veći su za 17.754,70 € ili 4,6%.</w:t>
            </w:r>
          </w:p>
        </w:tc>
      </w:tr>
      <w:tr w:rsidR="00464968" w:rsidRPr="003A2F86" w14:paraId="583CB244" w14:textId="77777777" w:rsidTr="00AF1BBB">
        <w:trPr>
          <w:trHeight w:val="261"/>
          <w:jc w:val="center"/>
        </w:trPr>
        <w:tc>
          <w:tcPr>
            <w:tcW w:w="1112" w:type="dxa"/>
            <w:tcBorders>
              <w:top w:val="nil"/>
              <w:left w:val="single" w:sz="8" w:space="0" w:color="000000"/>
              <w:bottom w:val="single" w:sz="8" w:space="0" w:color="000000"/>
              <w:right w:val="single" w:sz="8" w:space="0" w:color="000000"/>
            </w:tcBorders>
            <w:vAlign w:val="center"/>
            <w:hideMark/>
          </w:tcPr>
          <w:p w14:paraId="41EEF56C" w14:textId="17AFD703"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2014.</w:t>
            </w:r>
          </w:p>
        </w:tc>
        <w:tc>
          <w:tcPr>
            <w:tcW w:w="1146" w:type="dxa"/>
            <w:tcBorders>
              <w:top w:val="nil"/>
              <w:left w:val="nil"/>
              <w:bottom w:val="single" w:sz="8" w:space="0" w:color="000000"/>
              <w:right w:val="single" w:sz="8" w:space="0" w:color="000000"/>
            </w:tcBorders>
            <w:vAlign w:val="center"/>
            <w:hideMark/>
          </w:tcPr>
          <w:p w14:paraId="074A1983" w14:textId="389CCF39"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461.526,06</w:t>
            </w:r>
          </w:p>
        </w:tc>
        <w:tc>
          <w:tcPr>
            <w:tcW w:w="12343" w:type="dxa"/>
            <w:tcBorders>
              <w:top w:val="nil"/>
              <w:left w:val="nil"/>
              <w:bottom w:val="single" w:sz="8" w:space="0" w:color="000000"/>
              <w:right w:val="single" w:sz="8" w:space="0" w:color="000000"/>
            </w:tcBorders>
            <w:vAlign w:val="center"/>
            <w:hideMark/>
          </w:tcPr>
          <w:p w14:paraId="40C171EF" w14:textId="495A1464"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od čega u prvom polugodištu 2014. godine 215.915,85 €. U odnosu na prethodnu godinu veći su za 59.651,92 € ili 14,8%.</w:t>
            </w:r>
          </w:p>
        </w:tc>
      </w:tr>
      <w:tr w:rsidR="00464968" w:rsidRPr="003A2F86" w14:paraId="74CF13EB" w14:textId="77777777" w:rsidTr="00AF1BBB">
        <w:trPr>
          <w:trHeight w:val="252"/>
          <w:jc w:val="center"/>
        </w:trPr>
        <w:tc>
          <w:tcPr>
            <w:tcW w:w="1112" w:type="dxa"/>
            <w:tcBorders>
              <w:top w:val="nil"/>
              <w:left w:val="single" w:sz="8" w:space="0" w:color="000000"/>
              <w:bottom w:val="single" w:sz="8" w:space="0" w:color="000000"/>
              <w:right w:val="single" w:sz="8" w:space="0" w:color="000000"/>
            </w:tcBorders>
            <w:vAlign w:val="center"/>
            <w:hideMark/>
          </w:tcPr>
          <w:p w14:paraId="2B8FCFBE" w14:textId="1AFBAF16"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2015.</w:t>
            </w:r>
          </w:p>
        </w:tc>
        <w:tc>
          <w:tcPr>
            <w:tcW w:w="1146" w:type="dxa"/>
            <w:tcBorders>
              <w:top w:val="nil"/>
              <w:left w:val="nil"/>
              <w:bottom w:val="single" w:sz="8" w:space="0" w:color="000000"/>
              <w:right w:val="single" w:sz="8" w:space="0" w:color="000000"/>
            </w:tcBorders>
            <w:vAlign w:val="center"/>
            <w:hideMark/>
          </w:tcPr>
          <w:p w14:paraId="47217B39" w14:textId="6560602C"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442.031,68</w:t>
            </w:r>
          </w:p>
        </w:tc>
        <w:tc>
          <w:tcPr>
            <w:tcW w:w="12343" w:type="dxa"/>
            <w:tcBorders>
              <w:top w:val="nil"/>
              <w:left w:val="nil"/>
              <w:bottom w:val="single" w:sz="8" w:space="0" w:color="000000"/>
              <w:right w:val="single" w:sz="8" w:space="0" w:color="000000"/>
            </w:tcBorders>
            <w:vAlign w:val="center"/>
            <w:hideMark/>
          </w:tcPr>
          <w:p w14:paraId="6A811352" w14:textId="34DB4E53"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od čega u prvom polugodištu 2015. godine 213.640,86 €. U odnosu na prethodnu godinu manji su za 19.494,38 € ili 4,22%.</w:t>
            </w:r>
          </w:p>
        </w:tc>
      </w:tr>
      <w:tr w:rsidR="00464968" w:rsidRPr="003A2F86" w14:paraId="19B7E8AE" w14:textId="77777777" w:rsidTr="00AF1BBB">
        <w:trPr>
          <w:trHeight w:val="231"/>
          <w:jc w:val="center"/>
        </w:trPr>
        <w:tc>
          <w:tcPr>
            <w:tcW w:w="1112" w:type="dxa"/>
            <w:tcBorders>
              <w:top w:val="nil"/>
              <w:left w:val="single" w:sz="8" w:space="0" w:color="000000"/>
              <w:bottom w:val="single" w:sz="8" w:space="0" w:color="000000"/>
              <w:right w:val="single" w:sz="8" w:space="0" w:color="000000"/>
            </w:tcBorders>
            <w:vAlign w:val="center"/>
            <w:hideMark/>
          </w:tcPr>
          <w:p w14:paraId="473C0420" w14:textId="4C47043E"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2016.</w:t>
            </w:r>
          </w:p>
        </w:tc>
        <w:tc>
          <w:tcPr>
            <w:tcW w:w="1146" w:type="dxa"/>
            <w:tcBorders>
              <w:top w:val="nil"/>
              <w:left w:val="nil"/>
              <w:bottom w:val="single" w:sz="8" w:space="0" w:color="000000"/>
              <w:right w:val="single" w:sz="8" w:space="0" w:color="000000"/>
            </w:tcBorders>
            <w:vAlign w:val="center"/>
            <w:hideMark/>
          </w:tcPr>
          <w:p w14:paraId="64770CE0" w14:textId="091CFA7F"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482.012,02</w:t>
            </w:r>
          </w:p>
        </w:tc>
        <w:tc>
          <w:tcPr>
            <w:tcW w:w="12343" w:type="dxa"/>
            <w:tcBorders>
              <w:top w:val="nil"/>
              <w:left w:val="nil"/>
              <w:bottom w:val="single" w:sz="8" w:space="0" w:color="000000"/>
              <w:right w:val="single" w:sz="8" w:space="0" w:color="000000"/>
            </w:tcBorders>
            <w:vAlign w:val="center"/>
            <w:hideMark/>
          </w:tcPr>
          <w:p w14:paraId="4635D1A1" w14:textId="3CDF5BCC"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U prvom polugodištu 2016. godine ovi prihodi iznosili su 251.377,23 €. U 2016. godinu ovi prihodi su za 39.980,34 € ili 9,4% veći u odnosu na prethodnu godinu.</w:t>
            </w:r>
          </w:p>
        </w:tc>
      </w:tr>
      <w:tr w:rsidR="00464968" w:rsidRPr="003A2F86" w14:paraId="095A1AEC" w14:textId="77777777" w:rsidTr="00AF1BBB">
        <w:trPr>
          <w:trHeight w:val="249"/>
          <w:jc w:val="center"/>
        </w:trPr>
        <w:tc>
          <w:tcPr>
            <w:tcW w:w="1112" w:type="dxa"/>
            <w:tcBorders>
              <w:top w:val="nil"/>
              <w:left w:val="single" w:sz="8" w:space="0" w:color="000000"/>
              <w:bottom w:val="single" w:sz="8" w:space="0" w:color="000000"/>
              <w:right w:val="single" w:sz="8" w:space="0" w:color="000000"/>
            </w:tcBorders>
            <w:vAlign w:val="center"/>
            <w:hideMark/>
          </w:tcPr>
          <w:p w14:paraId="3F6610DC" w14:textId="7EC337D9"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2017.</w:t>
            </w:r>
          </w:p>
        </w:tc>
        <w:tc>
          <w:tcPr>
            <w:tcW w:w="1146" w:type="dxa"/>
            <w:tcBorders>
              <w:top w:val="nil"/>
              <w:left w:val="nil"/>
              <w:bottom w:val="single" w:sz="8" w:space="0" w:color="000000"/>
              <w:right w:val="single" w:sz="8" w:space="0" w:color="000000"/>
            </w:tcBorders>
            <w:vAlign w:val="center"/>
            <w:hideMark/>
          </w:tcPr>
          <w:p w14:paraId="49A1A3DC" w14:textId="6B05F8B9"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465.734,38</w:t>
            </w:r>
          </w:p>
        </w:tc>
        <w:tc>
          <w:tcPr>
            <w:tcW w:w="12343" w:type="dxa"/>
            <w:tcBorders>
              <w:top w:val="nil"/>
              <w:left w:val="nil"/>
              <w:bottom w:val="single" w:sz="8" w:space="0" w:color="000000"/>
              <w:right w:val="single" w:sz="8" w:space="0" w:color="000000"/>
            </w:tcBorders>
            <w:vAlign w:val="center"/>
            <w:hideMark/>
          </w:tcPr>
          <w:p w14:paraId="591803E4" w14:textId="7998F82C"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 xml:space="preserve">što je manje za 16.277,64 € ili 3,4% u odnosu na izvještajno razdoblje prethodne 2016. godine. U prvom polugodištu 2017. godine ovi prihodi iznosili su 239.892,61 €. </w:t>
            </w:r>
          </w:p>
        </w:tc>
      </w:tr>
      <w:tr w:rsidR="00464968" w:rsidRPr="003A2F86" w14:paraId="149E489E" w14:textId="77777777" w:rsidTr="00AF1BBB">
        <w:trPr>
          <w:trHeight w:val="267"/>
          <w:jc w:val="center"/>
        </w:trPr>
        <w:tc>
          <w:tcPr>
            <w:tcW w:w="1112" w:type="dxa"/>
            <w:tcBorders>
              <w:top w:val="nil"/>
              <w:left w:val="single" w:sz="8" w:space="0" w:color="000000"/>
              <w:bottom w:val="single" w:sz="8" w:space="0" w:color="000000"/>
              <w:right w:val="single" w:sz="8" w:space="0" w:color="000000"/>
            </w:tcBorders>
            <w:vAlign w:val="center"/>
            <w:hideMark/>
          </w:tcPr>
          <w:p w14:paraId="60C78216" w14:textId="465A3CC6"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2018.</w:t>
            </w:r>
          </w:p>
        </w:tc>
        <w:tc>
          <w:tcPr>
            <w:tcW w:w="1146" w:type="dxa"/>
            <w:tcBorders>
              <w:top w:val="nil"/>
              <w:left w:val="nil"/>
              <w:bottom w:val="single" w:sz="8" w:space="0" w:color="000000"/>
              <w:right w:val="single" w:sz="8" w:space="0" w:color="000000"/>
            </w:tcBorders>
            <w:vAlign w:val="center"/>
            <w:hideMark/>
          </w:tcPr>
          <w:p w14:paraId="60D6623A" w14:textId="678E4F19"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583.322,60</w:t>
            </w:r>
          </w:p>
        </w:tc>
        <w:tc>
          <w:tcPr>
            <w:tcW w:w="12343" w:type="dxa"/>
            <w:tcBorders>
              <w:top w:val="nil"/>
              <w:left w:val="nil"/>
              <w:bottom w:val="single" w:sz="8" w:space="0" w:color="000000"/>
              <w:right w:val="single" w:sz="8" w:space="0" w:color="000000"/>
            </w:tcBorders>
            <w:vAlign w:val="center"/>
            <w:hideMark/>
          </w:tcPr>
          <w:p w14:paraId="1B833BEA" w14:textId="3CA76B6A"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 xml:space="preserve">što je više za 117.588,22 € ili 25,3% u odnosu na izvještajno razdoblje prethodne godine. U prvom polugodištu 2018. godine ovi prihodi iznosili su 282.307,81 €. </w:t>
            </w:r>
          </w:p>
        </w:tc>
      </w:tr>
      <w:tr w:rsidR="00464968" w:rsidRPr="003A2F86" w14:paraId="36E078FD" w14:textId="77777777" w:rsidTr="00AF1BBB">
        <w:trPr>
          <w:trHeight w:val="256"/>
          <w:jc w:val="center"/>
        </w:trPr>
        <w:tc>
          <w:tcPr>
            <w:tcW w:w="1112" w:type="dxa"/>
            <w:tcBorders>
              <w:top w:val="nil"/>
              <w:left w:val="single" w:sz="8" w:space="0" w:color="000000"/>
              <w:bottom w:val="single" w:sz="8" w:space="0" w:color="000000"/>
              <w:right w:val="single" w:sz="8" w:space="0" w:color="000000"/>
            </w:tcBorders>
            <w:vAlign w:val="center"/>
            <w:hideMark/>
          </w:tcPr>
          <w:p w14:paraId="17548940" w14:textId="48DE603E"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2019.</w:t>
            </w:r>
          </w:p>
        </w:tc>
        <w:tc>
          <w:tcPr>
            <w:tcW w:w="1146" w:type="dxa"/>
            <w:tcBorders>
              <w:top w:val="nil"/>
              <w:left w:val="nil"/>
              <w:bottom w:val="single" w:sz="8" w:space="0" w:color="000000"/>
              <w:right w:val="single" w:sz="8" w:space="0" w:color="000000"/>
            </w:tcBorders>
            <w:vAlign w:val="center"/>
            <w:hideMark/>
          </w:tcPr>
          <w:p w14:paraId="21222A67" w14:textId="3F75AFC4"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830.736,26</w:t>
            </w:r>
          </w:p>
        </w:tc>
        <w:tc>
          <w:tcPr>
            <w:tcW w:w="12343" w:type="dxa"/>
            <w:tcBorders>
              <w:top w:val="nil"/>
              <w:left w:val="nil"/>
              <w:bottom w:val="single" w:sz="8" w:space="0" w:color="000000"/>
              <w:right w:val="single" w:sz="8" w:space="0" w:color="000000"/>
            </w:tcBorders>
            <w:vAlign w:val="center"/>
            <w:hideMark/>
          </w:tcPr>
          <w:p w14:paraId="36C17634" w14:textId="05F5C258"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 xml:space="preserve">što je više za 247.413,66 € ili 42,4% u odnosu na izvještajno razdoblje prethodne godine. U prvom polugodištu 2019. godine ovi prihodi iznosili su 340.306,99 €. </w:t>
            </w:r>
          </w:p>
        </w:tc>
      </w:tr>
      <w:tr w:rsidR="00464968" w:rsidRPr="003A2F86" w14:paraId="216AE866" w14:textId="77777777" w:rsidTr="00AF1BBB">
        <w:trPr>
          <w:trHeight w:val="276"/>
          <w:jc w:val="center"/>
        </w:trPr>
        <w:tc>
          <w:tcPr>
            <w:tcW w:w="1112" w:type="dxa"/>
            <w:tcBorders>
              <w:top w:val="nil"/>
              <w:left w:val="single" w:sz="8" w:space="0" w:color="000000"/>
              <w:bottom w:val="single" w:sz="8" w:space="0" w:color="000000"/>
              <w:right w:val="single" w:sz="8" w:space="0" w:color="000000"/>
            </w:tcBorders>
            <w:vAlign w:val="center"/>
            <w:hideMark/>
          </w:tcPr>
          <w:p w14:paraId="5C8E626B" w14:textId="2510CAFD"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2020.</w:t>
            </w:r>
          </w:p>
        </w:tc>
        <w:tc>
          <w:tcPr>
            <w:tcW w:w="1146" w:type="dxa"/>
            <w:tcBorders>
              <w:top w:val="nil"/>
              <w:left w:val="nil"/>
              <w:bottom w:val="single" w:sz="8" w:space="0" w:color="000000"/>
              <w:right w:val="single" w:sz="8" w:space="0" w:color="000000"/>
            </w:tcBorders>
            <w:vAlign w:val="center"/>
            <w:hideMark/>
          </w:tcPr>
          <w:p w14:paraId="5D627AE9" w14:textId="3705F4A7"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927.547,44</w:t>
            </w:r>
          </w:p>
        </w:tc>
        <w:tc>
          <w:tcPr>
            <w:tcW w:w="12343" w:type="dxa"/>
            <w:tcBorders>
              <w:top w:val="nil"/>
              <w:left w:val="nil"/>
              <w:bottom w:val="single" w:sz="8" w:space="0" w:color="000000"/>
              <w:right w:val="single" w:sz="8" w:space="0" w:color="000000"/>
            </w:tcBorders>
            <w:vAlign w:val="center"/>
            <w:hideMark/>
          </w:tcPr>
          <w:p w14:paraId="261226E5" w14:textId="3A60D301"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što je više za 96.811,18 € ili 11,7% u odnosu na izvještajno razdoblje prethodne godine. Ostvareni prihodi prvog polugodišta 2020. su iznosili 380.114,22 €. Ovi prihodi su povećani jer je u 2019., a zatim i početkom 2020. proširen obuhvat obveznika komunalne naknade nakon što je prethodne godine obavljena terenska izmjera i kontrola obveznika u dva naselja.</w:t>
            </w:r>
          </w:p>
        </w:tc>
      </w:tr>
      <w:tr w:rsidR="00464968" w:rsidRPr="003A2F86" w14:paraId="18611251" w14:textId="77777777" w:rsidTr="00AF1BBB">
        <w:trPr>
          <w:trHeight w:val="255"/>
          <w:jc w:val="center"/>
        </w:trPr>
        <w:tc>
          <w:tcPr>
            <w:tcW w:w="1112" w:type="dxa"/>
            <w:tcBorders>
              <w:top w:val="nil"/>
              <w:left w:val="single" w:sz="8" w:space="0" w:color="000000"/>
              <w:bottom w:val="single" w:sz="8" w:space="0" w:color="000000"/>
              <w:right w:val="single" w:sz="8" w:space="0" w:color="000000"/>
            </w:tcBorders>
            <w:vAlign w:val="center"/>
            <w:hideMark/>
          </w:tcPr>
          <w:p w14:paraId="1D62564A" w14:textId="1BC8457F"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2021.</w:t>
            </w:r>
          </w:p>
        </w:tc>
        <w:tc>
          <w:tcPr>
            <w:tcW w:w="1146" w:type="dxa"/>
            <w:tcBorders>
              <w:top w:val="nil"/>
              <w:left w:val="nil"/>
              <w:bottom w:val="single" w:sz="8" w:space="0" w:color="000000"/>
              <w:right w:val="single" w:sz="8" w:space="0" w:color="000000"/>
            </w:tcBorders>
            <w:vAlign w:val="center"/>
            <w:hideMark/>
          </w:tcPr>
          <w:p w14:paraId="6095286D" w14:textId="532922DC"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651.350,41</w:t>
            </w:r>
          </w:p>
        </w:tc>
        <w:tc>
          <w:tcPr>
            <w:tcW w:w="12343" w:type="dxa"/>
            <w:tcBorders>
              <w:top w:val="nil"/>
              <w:left w:val="nil"/>
              <w:bottom w:val="single" w:sz="8" w:space="0" w:color="000000"/>
              <w:right w:val="single" w:sz="8" w:space="0" w:color="000000"/>
            </w:tcBorders>
            <w:vAlign w:val="center"/>
            <w:hideMark/>
          </w:tcPr>
          <w:p w14:paraId="553CCBBE" w14:textId="502C1EA6"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što je manje za 276.197,04 € ili 29,8% u odnosu na izvještajno razdoblje prethodne godine. Ostvareni prihodi prvog polugodišta 2021. iznose 207.438,52 €.</w:t>
            </w:r>
          </w:p>
        </w:tc>
      </w:tr>
      <w:tr w:rsidR="00464968" w:rsidRPr="003A2F86" w14:paraId="3D1111EE" w14:textId="77777777" w:rsidTr="00AF1BBB">
        <w:trPr>
          <w:trHeight w:val="258"/>
          <w:jc w:val="center"/>
        </w:trPr>
        <w:tc>
          <w:tcPr>
            <w:tcW w:w="1112" w:type="dxa"/>
            <w:tcBorders>
              <w:top w:val="nil"/>
              <w:left w:val="single" w:sz="8" w:space="0" w:color="000000"/>
              <w:bottom w:val="single" w:sz="8" w:space="0" w:color="000000"/>
              <w:right w:val="single" w:sz="8" w:space="0" w:color="000000"/>
            </w:tcBorders>
            <w:vAlign w:val="center"/>
          </w:tcPr>
          <w:p w14:paraId="004731AE" w14:textId="77FE7F2E"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2022.</w:t>
            </w:r>
          </w:p>
        </w:tc>
        <w:tc>
          <w:tcPr>
            <w:tcW w:w="1146" w:type="dxa"/>
            <w:tcBorders>
              <w:top w:val="nil"/>
              <w:left w:val="nil"/>
              <w:bottom w:val="single" w:sz="8" w:space="0" w:color="000000"/>
              <w:right w:val="single" w:sz="8" w:space="0" w:color="000000"/>
            </w:tcBorders>
            <w:vAlign w:val="center"/>
          </w:tcPr>
          <w:p w14:paraId="46498BD2" w14:textId="3F274127"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864.623,37</w:t>
            </w:r>
          </w:p>
        </w:tc>
        <w:tc>
          <w:tcPr>
            <w:tcW w:w="12343" w:type="dxa"/>
            <w:tcBorders>
              <w:top w:val="nil"/>
              <w:left w:val="nil"/>
              <w:bottom w:val="single" w:sz="8" w:space="0" w:color="000000"/>
              <w:right w:val="single" w:sz="8" w:space="0" w:color="000000"/>
            </w:tcBorders>
            <w:vAlign w:val="center"/>
          </w:tcPr>
          <w:p w14:paraId="0E85C632" w14:textId="48B67E84"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što je više za 213.272,96 € ili 32,7% u odnosu na izvještajno razdoblje prethodne godine. Ostvareni prihodi prvog polugodišta 2022. iznose 475.710,39 €.</w:t>
            </w:r>
          </w:p>
        </w:tc>
      </w:tr>
      <w:tr w:rsidR="00464968" w:rsidRPr="003A2F86" w14:paraId="019DCB3A" w14:textId="77777777" w:rsidTr="00AF1BBB">
        <w:trPr>
          <w:trHeight w:val="277"/>
          <w:jc w:val="center"/>
        </w:trPr>
        <w:tc>
          <w:tcPr>
            <w:tcW w:w="1112" w:type="dxa"/>
            <w:tcBorders>
              <w:top w:val="nil"/>
              <w:left w:val="single" w:sz="8" w:space="0" w:color="000000"/>
              <w:bottom w:val="single" w:sz="4" w:space="0" w:color="auto"/>
              <w:right w:val="single" w:sz="8" w:space="0" w:color="000000"/>
            </w:tcBorders>
            <w:vAlign w:val="center"/>
          </w:tcPr>
          <w:p w14:paraId="73FE1BA6" w14:textId="23FB143F" w:rsidR="00464968" w:rsidRPr="003A2F86" w:rsidRDefault="00464968" w:rsidP="00464968">
            <w:pPr>
              <w:spacing w:after="0" w:line="240" w:lineRule="auto"/>
              <w:jc w:val="center"/>
              <w:rPr>
                <w:rFonts w:ascii="Arial" w:eastAsia="Times New Roman" w:hAnsi="Arial" w:cs="Arial"/>
                <w:i/>
                <w:iCs/>
                <w:sz w:val="18"/>
                <w:szCs w:val="18"/>
              </w:rPr>
            </w:pPr>
            <w:r w:rsidRPr="003A2F86">
              <w:rPr>
                <w:rFonts w:ascii="Arial" w:hAnsi="Arial" w:cs="Arial"/>
                <w:i/>
                <w:iCs/>
                <w:sz w:val="18"/>
                <w:szCs w:val="18"/>
              </w:rPr>
              <w:t>2023.</w:t>
            </w:r>
          </w:p>
        </w:tc>
        <w:tc>
          <w:tcPr>
            <w:tcW w:w="1146" w:type="dxa"/>
            <w:tcBorders>
              <w:top w:val="nil"/>
              <w:left w:val="nil"/>
              <w:bottom w:val="single" w:sz="4" w:space="0" w:color="auto"/>
              <w:right w:val="single" w:sz="8" w:space="0" w:color="000000"/>
            </w:tcBorders>
            <w:vAlign w:val="center"/>
          </w:tcPr>
          <w:p w14:paraId="76779CC6" w14:textId="46B7BA32" w:rsidR="00464968" w:rsidRPr="003A2F86" w:rsidRDefault="00464968" w:rsidP="00464968">
            <w:pPr>
              <w:spacing w:after="0" w:line="240" w:lineRule="auto"/>
              <w:jc w:val="right"/>
              <w:rPr>
                <w:rFonts w:ascii="Arial" w:eastAsia="Times New Roman" w:hAnsi="Arial" w:cs="Arial"/>
                <w:i/>
                <w:iCs/>
                <w:sz w:val="18"/>
                <w:szCs w:val="18"/>
              </w:rPr>
            </w:pPr>
            <w:r w:rsidRPr="003A2F86">
              <w:rPr>
                <w:rFonts w:ascii="Arial" w:hAnsi="Arial" w:cs="Arial"/>
                <w:i/>
                <w:iCs/>
                <w:sz w:val="18"/>
                <w:szCs w:val="18"/>
              </w:rPr>
              <w:t>985.391,54</w:t>
            </w:r>
          </w:p>
        </w:tc>
        <w:tc>
          <w:tcPr>
            <w:tcW w:w="12343" w:type="dxa"/>
            <w:tcBorders>
              <w:top w:val="nil"/>
              <w:left w:val="nil"/>
              <w:bottom w:val="single" w:sz="4" w:space="0" w:color="auto"/>
              <w:right w:val="single" w:sz="8" w:space="0" w:color="000000"/>
            </w:tcBorders>
            <w:vAlign w:val="center"/>
          </w:tcPr>
          <w:p w14:paraId="65C6404E" w14:textId="45E21A8C" w:rsidR="00464968" w:rsidRPr="003A2F86" w:rsidRDefault="00464968" w:rsidP="00464968">
            <w:pPr>
              <w:spacing w:after="0" w:line="240" w:lineRule="auto"/>
              <w:jc w:val="both"/>
              <w:rPr>
                <w:rFonts w:ascii="Arial" w:eastAsia="Times New Roman" w:hAnsi="Arial" w:cs="Arial"/>
                <w:sz w:val="16"/>
                <w:szCs w:val="16"/>
              </w:rPr>
            </w:pPr>
            <w:r w:rsidRPr="003A2F86">
              <w:rPr>
                <w:rFonts w:ascii="Arial" w:hAnsi="Arial" w:cs="Arial"/>
                <w:sz w:val="16"/>
                <w:szCs w:val="16"/>
              </w:rPr>
              <w:t>što je više za 120.768,17 € ili 14% u odnosu na izvještajno godišnje razdoblje prethodne godine. Ostvareni prihodi prvog polugodišta 2023. iznose 488.333,64 €.</w:t>
            </w:r>
          </w:p>
        </w:tc>
      </w:tr>
      <w:tr w:rsidR="002D002F" w:rsidRPr="003A2F86" w14:paraId="77BE4E95" w14:textId="77777777" w:rsidTr="00574DD4">
        <w:trPr>
          <w:trHeight w:val="254"/>
          <w:jc w:val="center"/>
        </w:trPr>
        <w:tc>
          <w:tcPr>
            <w:tcW w:w="1112" w:type="dxa"/>
            <w:tcBorders>
              <w:top w:val="single" w:sz="4" w:space="0" w:color="auto"/>
              <w:left w:val="single" w:sz="8" w:space="0" w:color="000000"/>
              <w:bottom w:val="single" w:sz="4" w:space="0" w:color="auto"/>
              <w:right w:val="single" w:sz="8" w:space="0" w:color="000000"/>
            </w:tcBorders>
            <w:vAlign w:val="center"/>
          </w:tcPr>
          <w:p w14:paraId="5BE6C124" w14:textId="7FB6D968" w:rsidR="002D002F" w:rsidRPr="003A2F86" w:rsidRDefault="002D002F" w:rsidP="00464968">
            <w:pPr>
              <w:spacing w:after="0" w:line="240" w:lineRule="auto"/>
              <w:jc w:val="center"/>
              <w:rPr>
                <w:rFonts w:ascii="Arial" w:hAnsi="Arial" w:cs="Arial"/>
                <w:i/>
                <w:iCs/>
                <w:sz w:val="18"/>
                <w:szCs w:val="18"/>
              </w:rPr>
            </w:pPr>
            <w:r w:rsidRPr="003A2F86">
              <w:rPr>
                <w:rFonts w:ascii="Arial" w:hAnsi="Arial" w:cs="Arial"/>
                <w:i/>
                <w:iCs/>
                <w:sz w:val="18"/>
                <w:szCs w:val="18"/>
              </w:rPr>
              <w:t>2024.</w:t>
            </w:r>
          </w:p>
        </w:tc>
        <w:tc>
          <w:tcPr>
            <w:tcW w:w="1146" w:type="dxa"/>
            <w:tcBorders>
              <w:top w:val="single" w:sz="4" w:space="0" w:color="auto"/>
              <w:left w:val="nil"/>
              <w:bottom w:val="single" w:sz="4" w:space="0" w:color="auto"/>
              <w:right w:val="single" w:sz="8" w:space="0" w:color="000000"/>
            </w:tcBorders>
            <w:vAlign w:val="center"/>
          </w:tcPr>
          <w:p w14:paraId="3E8C7265" w14:textId="207170E7" w:rsidR="002D002F" w:rsidRPr="003A2F86" w:rsidRDefault="0095794B" w:rsidP="00464968">
            <w:pPr>
              <w:spacing w:after="0" w:line="240" w:lineRule="auto"/>
              <w:jc w:val="right"/>
              <w:rPr>
                <w:rFonts w:ascii="Arial" w:hAnsi="Arial" w:cs="Arial"/>
                <w:i/>
                <w:iCs/>
                <w:sz w:val="18"/>
                <w:szCs w:val="18"/>
              </w:rPr>
            </w:pPr>
            <w:r w:rsidRPr="0095794B">
              <w:rPr>
                <w:rFonts w:ascii="Arial" w:hAnsi="Arial" w:cs="Arial"/>
                <w:i/>
                <w:iCs/>
                <w:sz w:val="18"/>
                <w:szCs w:val="18"/>
              </w:rPr>
              <w:t>1.089.673,50</w:t>
            </w:r>
          </w:p>
        </w:tc>
        <w:tc>
          <w:tcPr>
            <w:tcW w:w="12343" w:type="dxa"/>
            <w:tcBorders>
              <w:top w:val="single" w:sz="4" w:space="0" w:color="auto"/>
              <w:left w:val="nil"/>
              <w:bottom w:val="single" w:sz="4" w:space="0" w:color="auto"/>
              <w:right w:val="single" w:sz="8" w:space="0" w:color="000000"/>
            </w:tcBorders>
            <w:vAlign w:val="center"/>
          </w:tcPr>
          <w:p w14:paraId="2D0D713F" w14:textId="407E144A" w:rsidR="002D002F" w:rsidRPr="003A2F86" w:rsidRDefault="0095794B" w:rsidP="00464968">
            <w:pPr>
              <w:spacing w:after="0" w:line="240" w:lineRule="auto"/>
              <w:jc w:val="both"/>
              <w:rPr>
                <w:rFonts w:ascii="Arial" w:hAnsi="Arial" w:cs="Arial"/>
                <w:sz w:val="16"/>
                <w:szCs w:val="16"/>
              </w:rPr>
            </w:pPr>
            <w:r w:rsidRPr="0095794B">
              <w:rPr>
                <w:rFonts w:ascii="Arial" w:hAnsi="Arial" w:cs="Arial"/>
                <w:sz w:val="16"/>
                <w:szCs w:val="16"/>
              </w:rPr>
              <w:t>što je više za 104.281,96 € ili 10,6% u odnosu na izvještajno razdoblje prethodne godine. Ostvareni prihodi prvog polugodišta 2024. iznose 459.594,70 €.</w:t>
            </w:r>
          </w:p>
        </w:tc>
      </w:tr>
      <w:tr w:rsidR="00574DD4" w:rsidRPr="003A2F86" w14:paraId="7AADB62B" w14:textId="77777777" w:rsidTr="00AF1BBB">
        <w:trPr>
          <w:trHeight w:val="254"/>
          <w:jc w:val="center"/>
        </w:trPr>
        <w:tc>
          <w:tcPr>
            <w:tcW w:w="1112" w:type="dxa"/>
            <w:tcBorders>
              <w:top w:val="single" w:sz="4" w:space="0" w:color="auto"/>
              <w:left w:val="single" w:sz="8" w:space="0" w:color="000000"/>
              <w:bottom w:val="single" w:sz="8" w:space="0" w:color="000000"/>
              <w:right w:val="single" w:sz="8" w:space="0" w:color="000000"/>
            </w:tcBorders>
            <w:vAlign w:val="center"/>
          </w:tcPr>
          <w:p w14:paraId="69D9FE41" w14:textId="4E085B69" w:rsidR="00574DD4" w:rsidRPr="003A2F86" w:rsidRDefault="00574DD4" w:rsidP="00464968">
            <w:pPr>
              <w:spacing w:after="0" w:line="240" w:lineRule="auto"/>
              <w:jc w:val="center"/>
              <w:rPr>
                <w:rFonts w:ascii="Arial" w:hAnsi="Arial" w:cs="Arial"/>
                <w:i/>
                <w:iCs/>
                <w:sz w:val="18"/>
                <w:szCs w:val="18"/>
              </w:rPr>
            </w:pPr>
            <w:r>
              <w:rPr>
                <w:rFonts w:ascii="Arial" w:hAnsi="Arial" w:cs="Arial"/>
                <w:i/>
                <w:iCs/>
                <w:sz w:val="18"/>
                <w:szCs w:val="18"/>
              </w:rPr>
              <w:t>2025.</w:t>
            </w:r>
          </w:p>
        </w:tc>
        <w:tc>
          <w:tcPr>
            <w:tcW w:w="1146" w:type="dxa"/>
            <w:tcBorders>
              <w:top w:val="single" w:sz="4" w:space="0" w:color="auto"/>
              <w:left w:val="nil"/>
              <w:bottom w:val="single" w:sz="8" w:space="0" w:color="000000"/>
              <w:right w:val="single" w:sz="8" w:space="0" w:color="000000"/>
            </w:tcBorders>
            <w:vAlign w:val="center"/>
          </w:tcPr>
          <w:p w14:paraId="6AFBE218" w14:textId="27AC1DED" w:rsidR="00574DD4" w:rsidRPr="0095794B" w:rsidRDefault="00E36E45" w:rsidP="00464968">
            <w:pPr>
              <w:spacing w:after="0" w:line="240" w:lineRule="auto"/>
              <w:jc w:val="right"/>
              <w:rPr>
                <w:rFonts w:ascii="Arial" w:hAnsi="Arial" w:cs="Arial"/>
                <w:i/>
                <w:iCs/>
                <w:sz w:val="18"/>
                <w:szCs w:val="18"/>
              </w:rPr>
            </w:pPr>
            <w:r>
              <w:rPr>
                <w:rFonts w:ascii="Arial" w:hAnsi="Arial" w:cs="Arial"/>
                <w:i/>
                <w:iCs/>
                <w:sz w:val="18"/>
                <w:szCs w:val="18"/>
              </w:rPr>
              <w:t>1.026.178,80</w:t>
            </w:r>
          </w:p>
        </w:tc>
        <w:tc>
          <w:tcPr>
            <w:tcW w:w="12343" w:type="dxa"/>
            <w:tcBorders>
              <w:top w:val="single" w:sz="4" w:space="0" w:color="auto"/>
              <w:left w:val="nil"/>
              <w:bottom w:val="single" w:sz="8" w:space="0" w:color="000000"/>
              <w:right w:val="single" w:sz="8" w:space="0" w:color="000000"/>
            </w:tcBorders>
            <w:vAlign w:val="center"/>
          </w:tcPr>
          <w:p w14:paraId="5C1DB4CB" w14:textId="0B0A550D" w:rsidR="00574DD4" w:rsidRPr="0095794B" w:rsidRDefault="00E36E45" w:rsidP="00464968">
            <w:pPr>
              <w:spacing w:after="0" w:line="240" w:lineRule="auto"/>
              <w:jc w:val="both"/>
              <w:rPr>
                <w:rFonts w:ascii="Arial" w:hAnsi="Arial" w:cs="Arial"/>
                <w:sz w:val="16"/>
                <w:szCs w:val="16"/>
              </w:rPr>
            </w:pPr>
            <w:r w:rsidRPr="00E36E45">
              <w:rPr>
                <w:rFonts w:ascii="Arial" w:hAnsi="Arial" w:cs="Arial"/>
                <w:sz w:val="16"/>
                <w:szCs w:val="16"/>
              </w:rPr>
              <w:t>što je manje za 63.494,70 € ili 5,8% u odnosu na izvještajno razdoblje prethodne godine. Ostvareni prihodi prvog polugodišta 2025. iznose 525.674,45 €.</w:t>
            </w:r>
          </w:p>
        </w:tc>
      </w:tr>
    </w:tbl>
    <w:p w14:paraId="4130388A" w14:textId="62F430A2" w:rsidR="00CF0F33" w:rsidRPr="003A2F86" w:rsidRDefault="00CF0F33">
      <w:pPr>
        <w:rPr>
          <w:rFonts w:ascii="Arial" w:eastAsia="Times New Roman" w:hAnsi="Arial" w:cs="Arial"/>
          <w:iCs/>
          <w:lang w:eastAsia="en-US"/>
        </w:rPr>
      </w:pPr>
      <w:r w:rsidRPr="003A2F86">
        <w:rPr>
          <w:rFonts w:ascii="Arial" w:eastAsia="Times New Roman" w:hAnsi="Arial" w:cs="Arial"/>
          <w:iCs/>
          <w:color w:val="C00000"/>
          <w:lang w:eastAsia="en-US"/>
        </w:rPr>
        <w:br w:type="page"/>
      </w:r>
    </w:p>
    <w:p w14:paraId="0F2061E8" w14:textId="266EB43E" w:rsidR="009A2A97" w:rsidRPr="003A2F86" w:rsidRDefault="009A2A97" w:rsidP="009A2A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center"/>
        <w:rPr>
          <w:rFonts w:ascii="Arial" w:eastAsia="Times New Roman" w:hAnsi="Arial" w:cs="Arial"/>
          <w:iCs/>
          <w:lang w:eastAsia="en-US"/>
        </w:rPr>
      </w:pPr>
      <w:r w:rsidRPr="003A2F86">
        <w:rPr>
          <w:rFonts w:ascii="Arial" w:eastAsia="Times New Roman" w:hAnsi="Arial" w:cs="Arial"/>
          <w:b/>
          <w:u w:val="single"/>
          <w:lang w:eastAsia="en-US"/>
        </w:rPr>
        <w:lastRenderedPageBreak/>
        <w:t>Vlastiti prihodi proračunskih korisnika (podskupina računa 652)</w:t>
      </w:r>
    </w:p>
    <w:p w14:paraId="5D8BC7D7" w14:textId="77777777" w:rsidR="00515633" w:rsidRPr="003A2F86" w:rsidRDefault="00515633"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lang w:eastAsia="en-US"/>
        </w:rPr>
      </w:pPr>
    </w:p>
    <w:p w14:paraId="4974A02E" w14:textId="7758D4F9"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b/>
          <w:u w:val="single"/>
          <w:lang w:eastAsia="en-US"/>
        </w:rPr>
      </w:pPr>
      <w:r w:rsidRPr="003A2F86">
        <w:rPr>
          <w:rFonts w:ascii="Arial" w:eastAsia="Calibri" w:hAnsi="Arial" w:cs="Arial"/>
          <w:lang w:eastAsia="en-US"/>
        </w:rPr>
        <w:t xml:space="preserve">U okviru prihoda </w:t>
      </w:r>
      <w:r w:rsidR="00B3168E" w:rsidRPr="003A2F86">
        <w:rPr>
          <w:rFonts w:ascii="Arial" w:eastAsia="Calibri" w:hAnsi="Arial" w:cs="Arial"/>
          <w:lang w:eastAsia="en-US"/>
        </w:rPr>
        <w:t xml:space="preserve">po posebnim propisima </w:t>
      </w:r>
      <w:r w:rsidRPr="003A2F86">
        <w:rPr>
          <w:rFonts w:ascii="Arial" w:eastAsia="Calibri" w:hAnsi="Arial" w:cs="Arial"/>
          <w:lang w:eastAsia="en-US"/>
        </w:rPr>
        <w:t xml:space="preserve">(65), </w:t>
      </w:r>
      <w:bookmarkStart w:id="130" w:name="_Hlk103076119"/>
      <w:r w:rsidRPr="003A2F86">
        <w:rPr>
          <w:rFonts w:ascii="Arial" w:eastAsia="Times New Roman" w:hAnsi="Arial" w:cs="Arial"/>
          <w:b/>
          <w:lang w:eastAsia="en-US"/>
        </w:rPr>
        <w:t>vlastiti prihodi proračunskih korisnika (652)</w:t>
      </w:r>
      <w:r w:rsidRPr="003A2F86">
        <w:rPr>
          <w:rFonts w:ascii="Arial" w:eastAsia="Times New Roman" w:hAnsi="Arial" w:cs="Arial"/>
          <w:lang w:eastAsia="en-US"/>
        </w:rPr>
        <w:t xml:space="preserve"> u iznosu </w:t>
      </w:r>
      <w:r w:rsidR="000C05A2">
        <w:rPr>
          <w:rFonts w:ascii="Arial" w:eastAsia="Calibri" w:hAnsi="Arial" w:cs="Arial"/>
          <w:lang w:eastAsia="en-US"/>
        </w:rPr>
        <w:t>1.464.753,86</w:t>
      </w:r>
      <w:r w:rsidR="0010509D" w:rsidRPr="003A2F86">
        <w:rPr>
          <w:rFonts w:ascii="Arial" w:eastAsia="Calibri" w:hAnsi="Arial" w:cs="Arial"/>
          <w:lang w:eastAsia="en-US"/>
        </w:rPr>
        <w:t xml:space="preserve"> €</w:t>
      </w:r>
      <w:r w:rsidRPr="003A2F86">
        <w:rPr>
          <w:rFonts w:ascii="Arial" w:eastAsia="Times New Roman" w:hAnsi="Arial" w:cs="Arial"/>
          <w:lang w:eastAsia="en-US"/>
        </w:rPr>
        <w:t xml:space="preserve"> (</w:t>
      </w:r>
      <w:r w:rsidR="000C05A2">
        <w:rPr>
          <w:rFonts w:ascii="Arial" w:eastAsia="Calibri" w:hAnsi="Arial" w:cs="Arial"/>
          <w:lang w:eastAsia="en-US"/>
        </w:rPr>
        <w:t>74.304,69</w:t>
      </w:r>
      <w:r w:rsidR="002B6862" w:rsidRPr="003A2F86">
        <w:rPr>
          <w:rFonts w:ascii="Arial" w:eastAsia="Calibri" w:hAnsi="Arial" w:cs="Arial"/>
          <w:lang w:eastAsia="en-US"/>
        </w:rPr>
        <w:t xml:space="preserve"> €</w:t>
      </w:r>
      <w:r w:rsidRPr="003A2F86">
        <w:rPr>
          <w:rFonts w:ascii="Arial" w:eastAsia="Calibri" w:hAnsi="Arial" w:cs="Arial"/>
          <w:lang w:eastAsia="en-US"/>
        </w:rPr>
        <w:t xml:space="preserve"> </w:t>
      </w:r>
      <w:r w:rsidR="00EC1C82" w:rsidRPr="003A2F86">
        <w:rPr>
          <w:rFonts w:ascii="Arial" w:eastAsia="Calibri" w:hAnsi="Arial" w:cs="Arial"/>
          <w:lang w:eastAsia="en-US"/>
        </w:rPr>
        <w:t xml:space="preserve">ili </w:t>
      </w:r>
      <w:r w:rsidR="000C05A2">
        <w:rPr>
          <w:rFonts w:ascii="Arial" w:eastAsia="Calibri" w:hAnsi="Arial" w:cs="Arial"/>
          <w:lang w:eastAsia="en-US"/>
        </w:rPr>
        <w:t>5</w:t>
      </w:r>
      <w:r w:rsidR="008569C2">
        <w:rPr>
          <w:rFonts w:ascii="Arial" w:eastAsia="Calibri" w:hAnsi="Arial" w:cs="Arial"/>
          <w:lang w:eastAsia="en-US"/>
        </w:rPr>
        <w:t>,3</w:t>
      </w:r>
      <w:r w:rsidR="00EC1C82" w:rsidRPr="003A2F86">
        <w:rPr>
          <w:rFonts w:ascii="Arial" w:eastAsia="Calibri" w:hAnsi="Arial" w:cs="Arial"/>
          <w:lang w:eastAsia="en-US"/>
        </w:rPr>
        <w:t xml:space="preserve">% </w:t>
      </w:r>
      <w:r w:rsidR="0075571D" w:rsidRPr="003A2F86">
        <w:rPr>
          <w:rFonts w:ascii="Arial" w:eastAsia="Calibri" w:hAnsi="Arial" w:cs="Arial"/>
          <w:lang w:eastAsia="en-US"/>
        </w:rPr>
        <w:t>više</w:t>
      </w:r>
      <w:r w:rsidRPr="003A2F86">
        <w:rPr>
          <w:rFonts w:ascii="Arial" w:eastAsia="Calibri" w:hAnsi="Arial" w:cs="Arial"/>
          <w:lang w:eastAsia="en-US"/>
        </w:rPr>
        <w:t xml:space="preserve"> nego </w:t>
      </w:r>
      <w:r w:rsidR="0075571D" w:rsidRPr="003A2F86">
        <w:rPr>
          <w:rFonts w:ascii="Arial" w:eastAsia="Calibri" w:hAnsi="Arial" w:cs="Arial"/>
          <w:lang w:eastAsia="en-US"/>
        </w:rPr>
        <w:t>202</w:t>
      </w:r>
      <w:r w:rsidR="008569C2">
        <w:rPr>
          <w:rFonts w:ascii="Arial" w:eastAsia="Calibri" w:hAnsi="Arial" w:cs="Arial"/>
          <w:lang w:eastAsia="en-US"/>
        </w:rPr>
        <w:t>4</w:t>
      </w:r>
      <w:r w:rsidR="0075571D" w:rsidRPr="003A2F86">
        <w:rPr>
          <w:rFonts w:ascii="Arial" w:eastAsia="Calibri" w:hAnsi="Arial" w:cs="Arial"/>
          <w:lang w:eastAsia="en-US"/>
        </w:rPr>
        <w:t xml:space="preserve">. </w:t>
      </w:r>
      <w:r w:rsidRPr="003A2F86">
        <w:rPr>
          <w:rFonts w:ascii="Arial" w:eastAsia="Calibri" w:hAnsi="Arial" w:cs="Arial"/>
          <w:lang w:eastAsia="en-US"/>
        </w:rPr>
        <w:t>godine)</w:t>
      </w:r>
      <w:r w:rsidRPr="003A2F86">
        <w:rPr>
          <w:rFonts w:ascii="Arial" w:eastAsia="Times New Roman" w:hAnsi="Arial" w:cs="Arial"/>
          <w:lang w:eastAsia="en-US"/>
        </w:rPr>
        <w:t xml:space="preserve"> odnose se na:</w:t>
      </w:r>
    </w:p>
    <w:p w14:paraId="1A31E539" w14:textId="34881ACC"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r w:rsidRPr="003A2F86">
        <w:rPr>
          <w:rFonts w:ascii="Arial" w:eastAsia="Times New Roman" w:hAnsi="Arial" w:cs="Arial"/>
          <w:lang w:eastAsia="en-US"/>
        </w:rPr>
        <w:t xml:space="preserve">- prihodi od sufinanciranja cijene smještaja u vrtiću </w:t>
      </w:r>
      <w:bookmarkStart w:id="131" w:name="_Hlk145931905"/>
      <w:r w:rsidR="00A457F8">
        <w:rPr>
          <w:rFonts w:ascii="Arial" w:eastAsia="Times New Roman" w:hAnsi="Arial" w:cs="Arial"/>
          <w:lang w:eastAsia="en-US"/>
        </w:rPr>
        <w:t>484.471,98</w:t>
      </w:r>
      <w:r w:rsidR="002B6862" w:rsidRPr="003A2F86">
        <w:rPr>
          <w:rFonts w:ascii="Arial" w:eastAsia="Times New Roman" w:hAnsi="Arial" w:cs="Arial"/>
          <w:lang w:eastAsia="en-US"/>
        </w:rPr>
        <w:t xml:space="preserve"> €</w:t>
      </w:r>
      <w:r w:rsidR="00D3020E" w:rsidRPr="003A2F86">
        <w:rPr>
          <w:rFonts w:ascii="Arial" w:eastAsia="Times New Roman" w:hAnsi="Arial" w:cs="Arial"/>
          <w:lang w:eastAsia="en-US"/>
        </w:rPr>
        <w:t xml:space="preserve"> </w:t>
      </w:r>
      <w:bookmarkEnd w:id="131"/>
      <w:r w:rsidR="00A457F8">
        <w:rPr>
          <w:rFonts w:ascii="Arial" w:eastAsia="Times New Roman" w:hAnsi="Arial" w:cs="Arial"/>
          <w:lang w:eastAsia="en-US"/>
        </w:rPr>
        <w:t xml:space="preserve">i refundacije od naknade štete na imovini 1.213,59 € </w:t>
      </w:r>
      <w:r w:rsidR="004479DA" w:rsidRPr="003A2F86">
        <w:rPr>
          <w:rFonts w:ascii="Arial" w:eastAsia="Times New Roman" w:hAnsi="Arial" w:cs="Arial"/>
          <w:lang w:eastAsia="en-US"/>
        </w:rPr>
        <w:t>(</w:t>
      </w:r>
      <w:r w:rsidR="0096789B" w:rsidRPr="003A2F86">
        <w:rPr>
          <w:rFonts w:ascii="Arial" w:eastAsia="Times New Roman" w:hAnsi="Arial" w:cs="Arial"/>
          <w:lang w:eastAsia="en-US"/>
        </w:rPr>
        <w:t xml:space="preserve">Prihodi </w:t>
      </w:r>
      <w:r w:rsidR="00D3020E" w:rsidRPr="003A2F86">
        <w:rPr>
          <w:rFonts w:ascii="Arial" w:eastAsia="Times New Roman" w:hAnsi="Arial" w:cs="Arial"/>
          <w:lang w:eastAsia="en-US"/>
        </w:rPr>
        <w:t xml:space="preserve">od sufinanciranja </w:t>
      </w:r>
      <w:r w:rsidR="0075571D" w:rsidRPr="003A2F86">
        <w:rPr>
          <w:rFonts w:ascii="Arial" w:eastAsia="Times New Roman" w:hAnsi="Arial" w:cs="Arial"/>
          <w:lang w:eastAsia="en-US"/>
        </w:rPr>
        <w:t xml:space="preserve">veći </w:t>
      </w:r>
      <w:r w:rsidR="00F15F81" w:rsidRPr="003A2F86">
        <w:rPr>
          <w:rFonts w:ascii="Arial" w:eastAsia="Times New Roman" w:hAnsi="Arial" w:cs="Arial"/>
          <w:lang w:eastAsia="en-US"/>
        </w:rPr>
        <w:t xml:space="preserve">za </w:t>
      </w:r>
      <w:r w:rsidR="003F19D8">
        <w:rPr>
          <w:rFonts w:ascii="Arial" w:eastAsia="Times New Roman" w:hAnsi="Arial" w:cs="Arial"/>
          <w:lang w:eastAsia="en-US"/>
        </w:rPr>
        <w:t>146,20</w:t>
      </w:r>
      <w:r w:rsidR="002B6862" w:rsidRPr="003A2F86">
        <w:rPr>
          <w:rFonts w:ascii="Arial" w:eastAsia="Times New Roman" w:hAnsi="Arial" w:cs="Arial"/>
          <w:lang w:eastAsia="en-US"/>
        </w:rPr>
        <w:t xml:space="preserve"> €</w:t>
      </w:r>
      <w:r w:rsidR="002126FE" w:rsidRPr="003A2F86">
        <w:rPr>
          <w:rFonts w:ascii="Arial" w:eastAsia="Times New Roman" w:hAnsi="Arial" w:cs="Arial"/>
          <w:lang w:eastAsia="en-US"/>
        </w:rPr>
        <w:t xml:space="preserve"> ili </w:t>
      </w:r>
      <w:r w:rsidR="003F19D8">
        <w:rPr>
          <w:rFonts w:ascii="Arial" w:eastAsia="Times New Roman" w:hAnsi="Arial" w:cs="Arial"/>
          <w:lang w:eastAsia="en-US"/>
        </w:rPr>
        <w:t>0,03</w:t>
      </w:r>
      <w:r w:rsidR="002126FE" w:rsidRPr="003A2F86">
        <w:rPr>
          <w:rFonts w:ascii="Arial" w:eastAsia="Times New Roman" w:hAnsi="Arial" w:cs="Arial"/>
          <w:lang w:eastAsia="en-US"/>
        </w:rPr>
        <w:t>%</w:t>
      </w:r>
      <w:r w:rsidR="00CB7E9C" w:rsidRPr="003A2F86">
        <w:rPr>
          <w:rFonts w:ascii="Arial" w:eastAsia="Times New Roman" w:hAnsi="Arial" w:cs="Arial"/>
          <w:lang w:eastAsia="en-US"/>
        </w:rPr>
        <w:t xml:space="preserve"> </w:t>
      </w:r>
      <w:r w:rsidR="0096789B" w:rsidRPr="003A2F86">
        <w:rPr>
          <w:rFonts w:ascii="Arial" w:eastAsia="Times New Roman" w:hAnsi="Arial" w:cs="Arial"/>
          <w:lang w:eastAsia="en-US"/>
        </w:rPr>
        <w:t>u odnosu na izvještajno razdoblje prethodne godine</w:t>
      </w:r>
      <w:r w:rsidR="00A2546A" w:rsidRPr="003A2F86">
        <w:rPr>
          <w:rFonts w:ascii="Arial" w:eastAsia="Times New Roman" w:hAnsi="Arial" w:cs="Arial"/>
          <w:lang w:eastAsia="en-US"/>
        </w:rPr>
        <w:t>)</w:t>
      </w:r>
      <w:r w:rsidR="0096789B" w:rsidRPr="003A2F86">
        <w:rPr>
          <w:rFonts w:ascii="Arial" w:eastAsia="Times New Roman" w:hAnsi="Arial" w:cs="Arial"/>
          <w:lang w:eastAsia="en-US"/>
        </w:rPr>
        <w:t>.</w:t>
      </w:r>
      <w:r w:rsidR="002126FE" w:rsidRPr="003A2F86">
        <w:rPr>
          <w:rFonts w:ascii="Arial" w:eastAsia="Times New Roman" w:hAnsi="Arial" w:cs="Arial"/>
          <w:lang w:eastAsia="en-US"/>
        </w:rPr>
        <w:t xml:space="preserve"> </w:t>
      </w:r>
      <w:r w:rsidR="002C1344" w:rsidRPr="003A2F86">
        <w:rPr>
          <w:rFonts w:ascii="Arial" w:eastAsia="Times New Roman" w:hAnsi="Arial" w:cs="Arial"/>
          <w:lang w:eastAsia="en-US"/>
        </w:rPr>
        <w:t>Od listopada 2021. povećane su cijene smještaja u vrtiću.</w:t>
      </w:r>
    </w:p>
    <w:p w14:paraId="07336D63" w14:textId="18A50B81"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r w:rsidRPr="003A2F86">
        <w:rPr>
          <w:rFonts w:ascii="Arial" w:eastAsia="Times New Roman" w:hAnsi="Arial" w:cs="Arial"/>
          <w:lang w:eastAsia="en-US"/>
        </w:rPr>
        <w:t xml:space="preserve">- prihodi od prodaje ulaznica i suvenira u ustanovi u kulturi </w:t>
      </w:r>
      <w:bookmarkStart w:id="132" w:name="_Hlk145931939"/>
      <w:r w:rsidR="003F19D8">
        <w:rPr>
          <w:rFonts w:ascii="Arial" w:eastAsia="Times New Roman" w:hAnsi="Arial" w:cs="Arial"/>
          <w:lang w:eastAsia="en-US"/>
        </w:rPr>
        <w:t>53.625,35</w:t>
      </w:r>
      <w:r w:rsidR="002B6862" w:rsidRPr="003A2F86">
        <w:rPr>
          <w:rFonts w:ascii="Arial" w:eastAsia="Times New Roman" w:hAnsi="Arial" w:cs="Arial"/>
          <w:lang w:eastAsia="en-US"/>
        </w:rPr>
        <w:t xml:space="preserve"> €</w:t>
      </w:r>
      <w:r w:rsidR="00096C58" w:rsidRPr="003A2F86">
        <w:rPr>
          <w:rFonts w:ascii="Arial" w:eastAsia="Times New Roman" w:hAnsi="Arial" w:cs="Arial"/>
          <w:lang w:eastAsia="en-US"/>
        </w:rPr>
        <w:t xml:space="preserve"> </w:t>
      </w:r>
      <w:bookmarkEnd w:id="132"/>
      <w:r w:rsidR="00921FEF" w:rsidRPr="003A2F86">
        <w:rPr>
          <w:rFonts w:ascii="Arial" w:eastAsia="Times New Roman" w:hAnsi="Arial" w:cs="Arial"/>
          <w:lang w:eastAsia="en-US"/>
        </w:rPr>
        <w:t xml:space="preserve">(Prihodi </w:t>
      </w:r>
      <w:r w:rsidR="003F19D8">
        <w:rPr>
          <w:rFonts w:ascii="Arial" w:eastAsia="Times New Roman" w:hAnsi="Arial" w:cs="Arial"/>
          <w:lang w:eastAsia="en-US"/>
        </w:rPr>
        <w:t>veći</w:t>
      </w:r>
      <w:r w:rsidR="00921FEF" w:rsidRPr="003A2F86">
        <w:rPr>
          <w:rFonts w:ascii="Arial" w:eastAsia="Times New Roman" w:hAnsi="Arial" w:cs="Arial"/>
          <w:lang w:eastAsia="en-US"/>
        </w:rPr>
        <w:t xml:space="preserve"> za </w:t>
      </w:r>
      <w:r w:rsidR="003F19D8">
        <w:rPr>
          <w:rFonts w:ascii="Arial" w:eastAsia="Times New Roman" w:hAnsi="Arial" w:cs="Arial"/>
          <w:lang w:eastAsia="en-US"/>
        </w:rPr>
        <w:t>11.483,38</w:t>
      </w:r>
      <w:r w:rsidR="0061572D" w:rsidRPr="003A2F86">
        <w:rPr>
          <w:rFonts w:ascii="Arial" w:eastAsia="Times New Roman" w:hAnsi="Arial" w:cs="Arial"/>
          <w:lang w:eastAsia="en-US"/>
        </w:rPr>
        <w:t xml:space="preserve"> €</w:t>
      </w:r>
      <w:r w:rsidR="00921FEF" w:rsidRPr="003A2F86">
        <w:rPr>
          <w:rFonts w:ascii="Arial" w:eastAsia="Times New Roman" w:hAnsi="Arial" w:cs="Arial"/>
          <w:lang w:eastAsia="en-US"/>
        </w:rPr>
        <w:t xml:space="preserve"> </w:t>
      </w:r>
      <w:r w:rsidR="003F19D8">
        <w:rPr>
          <w:rFonts w:ascii="Arial" w:eastAsia="Times New Roman" w:hAnsi="Arial" w:cs="Arial"/>
          <w:lang w:eastAsia="en-US"/>
        </w:rPr>
        <w:t xml:space="preserve">ili 27,2% </w:t>
      </w:r>
      <w:r w:rsidR="00921FEF" w:rsidRPr="003A2F86">
        <w:rPr>
          <w:rFonts w:ascii="Arial" w:eastAsia="Times New Roman" w:hAnsi="Arial" w:cs="Arial"/>
          <w:lang w:eastAsia="en-US"/>
        </w:rPr>
        <w:t>u odnosu na izvještajno razdoblje prethodne godine).</w:t>
      </w:r>
      <w:r w:rsidR="004B4FB7" w:rsidRPr="003A2F86">
        <w:rPr>
          <w:rFonts w:ascii="Arial" w:eastAsia="Times New Roman" w:hAnsi="Arial" w:cs="Arial"/>
          <w:lang w:eastAsia="en-US"/>
        </w:rPr>
        <w:t xml:space="preserve"> </w:t>
      </w:r>
    </w:p>
    <w:p w14:paraId="024C28D0" w14:textId="69F10649" w:rsidR="00921FEF"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r w:rsidRPr="003A2F86">
        <w:rPr>
          <w:rFonts w:ascii="Arial" w:eastAsia="Times New Roman" w:hAnsi="Arial" w:cs="Arial"/>
          <w:lang w:eastAsia="en-US"/>
        </w:rPr>
        <w:t xml:space="preserve">- prihodi od usluga smještaja u Domu za starije i nemoćne osobe </w:t>
      </w:r>
      <w:bookmarkStart w:id="133" w:name="_Hlk145931956"/>
      <w:r w:rsidR="003F19D8">
        <w:rPr>
          <w:rFonts w:ascii="Arial" w:eastAsia="Times New Roman" w:hAnsi="Arial" w:cs="Arial"/>
          <w:lang w:eastAsia="en-US"/>
        </w:rPr>
        <w:t>918.809,17</w:t>
      </w:r>
      <w:r w:rsidR="0061572D" w:rsidRPr="003A2F86">
        <w:rPr>
          <w:rFonts w:ascii="Arial" w:eastAsia="Times New Roman" w:hAnsi="Arial" w:cs="Arial"/>
          <w:lang w:eastAsia="en-US"/>
        </w:rPr>
        <w:t xml:space="preserve"> €</w:t>
      </w:r>
      <w:r w:rsidR="00EC1C82" w:rsidRPr="003A2F86">
        <w:rPr>
          <w:rFonts w:ascii="Arial" w:eastAsia="Times New Roman" w:hAnsi="Arial" w:cs="Arial"/>
          <w:lang w:eastAsia="en-US"/>
        </w:rPr>
        <w:t xml:space="preserve"> </w:t>
      </w:r>
      <w:bookmarkEnd w:id="133"/>
      <w:r w:rsidR="00EC1C82" w:rsidRPr="003A2F86">
        <w:rPr>
          <w:rFonts w:ascii="Arial" w:eastAsia="Times New Roman" w:hAnsi="Arial" w:cs="Arial"/>
          <w:lang w:eastAsia="en-US"/>
        </w:rPr>
        <w:t>i od re</w:t>
      </w:r>
      <w:r w:rsidR="00CA06A2" w:rsidRPr="003A2F86">
        <w:rPr>
          <w:rFonts w:ascii="Arial" w:eastAsia="Times New Roman" w:hAnsi="Arial" w:cs="Arial"/>
          <w:lang w:eastAsia="en-US"/>
        </w:rPr>
        <w:t>f</w:t>
      </w:r>
      <w:r w:rsidR="00EC1C82" w:rsidRPr="003A2F86">
        <w:rPr>
          <w:rFonts w:ascii="Arial" w:eastAsia="Times New Roman" w:hAnsi="Arial" w:cs="Arial"/>
          <w:lang w:eastAsia="en-US"/>
        </w:rPr>
        <w:t>undacije i na</w:t>
      </w:r>
      <w:r w:rsidR="00A8623C" w:rsidRPr="003A2F86">
        <w:rPr>
          <w:rFonts w:ascii="Arial" w:eastAsia="Times New Roman" w:hAnsi="Arial" w:cs="Arial"/>
          <w:lang w:eastAsia="en-US"/>
        </w:rPr>
        <w:t>kn</w:t>
      </w:r>
      <w:r w:rsidR="00EC1C82" w:rsidRPr="003A2F86">
        <w:rPr>
          <w:rFonts w:ascii="Arial" w:eastAsia="Times New Roman" w:hAnsi="Arial" w:cs="Arial"/>
          <w:lang w:eastAsia="en-US"/>
        </w:rPr>
        <w:t xml:space="preserve">ade štete na imovini Doma </w:t>
      </w:r>
      <w:bookmarkStart w:id="134" w:name="_Hlk145931979"/>
      <w:r w:rsidR="003F19D8">
        <w:rPr>
          <w:rFonts w:ascii="Arial" w:eastAsia="Times New Roman" w:hAnsi="Arial" w:cs="Arial"/>
          <w:lang w:eastAsia="en-US"/>
        </w:rPr>
        <w:t>6.633,77</w:t>
      </w:r>
      <w:r w:rsidR="0061572D" w:rsidRPr="003A2F86">
        <w:rPr>
          <w:rFonts w:ascii="Arial" w:eastAsia="Times New Roman" w:hAnsi="Arial" w:cs="Arial"/>
          <w:lang w:eastAsia="en-US"/>
        </w:rPr>
        <w:t xml:space="preserve"> €</w:t>
      </w:r>
      <w:r w:rsidR="004479DA" w:rsidRPr="003A2F86">
        <w:rPr>
          <w:rFonts w:ascii="Arial" w:eastAsia="Times New Roman" w:hAnsi="Arial" w:cs="Arial"/>
          <w:lang w:eastAsia="en-US"/>
        </w:rPr>
        <w:t xml:space="preserve"> </w:t>
      </w:r>
      <w:bookmarkEnd w:id="134"/>
      <w:r w:rsidR="004479DA" w:rsidRPr="003A2F86">
        <w:rPr>
          <w:rFonts w:ascii="Arial" w:eastAsia="Times New Roman" w:hAnsi="Arial" w:cs="Arial"/>
          <w:lang w:eastAsia="en-US"/>
        </w:rPr>
        <w:t xml:space="preserve">(sveukupno </w:t>
      </w:r>
      <w:r w:rsidR="003F19D8">
        <w:rPr>
          <w:rFonts w:ascii="Arial" w:eastAsia="Times New Roman" w:hAnsi="Arial" w:cs="Arial"/>
          <w:lang w:eastAsia="en-US"/>
        </w:rPr>
        <w:t>925.442,94</w:t>
      </w:r>
      <w:r w:rsidR="00350AD6" w:rsidRPr="003A2F86">
        <w:rPr>
          <w:rFonts w:ascii="Arial" w:eastAsia="Times New Roman" w:hAnsi="Arial" w:cs="Arial"/>
          <w:lang w:eastAsia="en-US"/>
        </w:rPr>
        <w:t xml:space="preserve"> </w:t>
      </w:r>
      <w:r w:rsidR="0061572D" w:rsidRPr="003A2F86">
        <w:rPr>
          <w:rFonts w:ascii="Arial" w:eastAsia="Times New Roman" w:hAnsi="Arial" w:cs="Arial"/>
          <w:lang w:eastAsia="en-US"/>
        </w:rPr>
        <w:t>€</w:t>
      </w:r>
      <w:r w:rsidR="004479DA" w:rsidRPr="003A2F86">
        <w:rPr>
          <w:rFonts w:ascii="Arial" w:eastAsia="Times New Roman" w:hAnsi="Arial" w:cs="Arial"/>
          <w:lang w:eastAsia="en-US"/>
        </w:rPr>
        <w:t>)</w:t>
      </w:r>
      <w:r w:rsidR="00A2546A" w:rsidRPr="003A2F86">
        <w:rPr>
          <w:rFonts w:ascii="Arial" w:eastAsia="Times New Roman" w:hAnsi="Arial" w:cs="Arial"/>
          <w:lang w:eastAsia="en-US"/>
        </w:rPr>
        <w:t>.</w:t>
      </w:r>
      <w:r w:rsidR="009836CF" w:rsidRPr="003A2F86">
        <w:rPr>
          <w:rFonts w:ascii="Arial" w:eastAsia="Times New Roman" w:hAnsi="Arial" w:cs="Arial"/>
          <w:lang w:eastAsia="en-US"/>
        </w:rPr>
        <w:t xml:space="preserve"> </w:t>
      </w:r>
      <w:r w:rsidR="00921FEF" w:rsidRPr="003A2F86">
        <w:rPr>
          <w:rFonts w:ascii="Arial" w:eastAsia="Times New Roman" w:hAnsi="Arial" w:cs="Arial"/>
          <w:lang w:eastAsia="en-US"/>
        </w:rPr>
        <w:t xml:space="preserve">(Prihodi </w:t>
      </w:r>
      <w:r w:rsidR="00D3020E" w:rsidRPr="003A2F86">
        <w:rPr>
          <w:rFonts w:ascii="Arial" w:eastAsia="Times New Roman" w:hAnsi="Arial" w:cs="Arial"/>
          <w:lang w:eastAsia="en-US"/>
        </w:rPr>
        <w:t xml:space="preserve">od sufinanciranja </w:t>
      </w:r>
      <w:r w:rsidR="00921FEF" w:rsidRPr="003A2F86">
        <w:rPr>
          <w:rFonts w:ascii="Arial" w:eastAsia="Times New Roman" w:hAnsi="Arial" w:cs="Arial"/>
          <w:lang w:eastAsia="en-US"/>
        </w:rPr>
        <w:t xml:space="preserve">veći za </w:t>
      </w:r>
      <w:r w:rsidR="003F19D8">
        <w:rPr>
          <w:rFonts w:ascii="Arial" w:eastAsia="Times New Roman" w:hAnsi="Arial" w:cs="Arial"/>
          <w:lang w:eastAsia="en-US"/>
        </w:rPr>
        <w:t>61.511,25</w:t>
      </w:r>
      <w:r w:rsidR="0061572D" w:rsidRPr="003A2F86">
        <w:rPr>
          <w:rFonts w:ascii="Arial" w:eastAsia="Times New Roman" w:hAnsi="Arial" w:cs="Arial"/>
          <w:lang w:eastAsia="en-US"/>
        </w:rPr>
        <w:t xml:space="preserve"> €</w:t>
      </w:r>
      <w:r w:rsidR="000879CE">
        <w:rPr>
          <w:rFonts w:ascii="Arial" w:eastAsia="Times New Roman" w:hAnsi="Arial" w:cs="Arial"/>
          <w:lang w:eastAsia="en-US"/>
        </w:rPr>
        <w:t xml:space="preserve"> ili </w:t>
      </w:r>
      <w:r w:rsidR="003F19D8">
        <w:rPr>
          <w:rFonts w:ascii="Arial" w:eastAsia="Times New Roman" w:hAnsi="Arial" w:cs="Arial"/>
          <w:lang w:eastAsia="en-US"/>
        </w:rPr>
        <w:t>7,2</w:t>
      </w:r>
      <w:r w:rsidR="000879CE">
        <w:rPr>
          <w:rFonts w:ascii="Arial" w:eastAsia="Times New Roman" w:hAnsi="Arial" w:cs="Arial"/>
          <w:lang w:eastAsia="en-US"/>
        </w:rPr>
        <w:t xml:space="preserve"> %</w:t>
      </w:r>
      <w:r w:rsidR="00921FEF" w:rsidRPr="003A2F86">
        <w:rPr>
          <w:rFonts w:ascii="Arial" w:eastAsia="Times New Roman" w:hAnsi="Arial" w:cs="Arial"/>
          <w:lang w:eastAsia="en-US"/>
        </w:rPr>
        <w:t xml:space="preserve"> u odnosu na izvještajno razdoblje prethodne godine). </w:t>
      </w:r>
      <w:r w:rsidR="00350AD6" w:rsidRPr="003A2F86">
        <w:rPr>
          <w:rFonts w:ascii="Arial" w:eastAsia="Times New Roman" w:hAnsi="Arial" w:cs="Arial"/>
          <w:lang w:eastAsia="en-US"/>
        </w:rPr>
        <w:t>Početkom</w:t>
      </w:r>
      <w:r w:rsidR="0061572D" w:rsidRPr="003A2F86">
        <w:rPr>
          <w:rFonts w:ascii="Arial" w:eastAsia="Times New Roman" w:hAnsi="Arial" w:cs="Arial"/>
          <w:lang w:eastAsia="en-US"/>
        </w:rPr>
        <w:t xml:space="preserve"> 2021. godine </w:t>
      </w:r>
      <w:r w:rsidR="00921FEF" w:rsidRPr="003A2F86">
        <w:rPr>
          <w:rFonts w:ascii="Arial" w:eastAsia="Times New Roman" w:hAnsi="Arial" w:cs="Arial"/>
          <w:lang w:eastAsia="en-US"/>
        </w:rPr>
        <w:t>povećan</w:t>
      </w:r>
      <w:r w:rsidR="0061572D" w:rsidRPr="003A2F86">
        <w:rPr>
          <w:rFonts w:ascii="Arial" w:eastAsia="Times New Roman" w:hAnsi="Arial" w:cs="Arial"/>
          <w:lang w:eastAsia="en-US"/>
        </w:rPr>
        <w:t xml:space="preserve">e su </w:t>
      </w:r>
      <w:r w:rsidR="00921FEF" w:rsidRPr="003A2F86">
        <w:rPr>
          <w:rFonts w:ascii="Arial" w:eastAsia="Times New Roman" w:hAnsi="Arial" w:cs="Arial"/>
          <w:lang w:eastAsia="en-US"/>
        </w:rPr>
        <w:t>cijene smještaja u domu</w:t>
      </w:r>
      <w:r w:rsidR="00350AD6" w:rsidRPr="003A2F86">
        <w:rPr>
          <w:rFonts w:ascii="Arial" w:eastAsia="Times New Roman" w:hAnsi="Arial" w:cs="Arial"/>
          <w:lang w:eastAsia="en-US"/>
        </w:rPr>
        <w:t>, a novo povećanje cijena je bilo koncem lipnja 2024.</w:t>
      </w:r>
      <w:r w:rsidR="00921FEF" w:rsidRPr="003A2F86">
        <w:rPr>
          <w:rFonts w:ascii="Arial" w:eastAsia="Times New Roman" w:hAnsi="Arial" w:cs="Arial"/>
          <w:lang w:eastAsia="en-US"/>
        </w:rPr>
        <w:t xml:space="preserve"> </w:t>
      </w:r>
    </w:p>
    <w:p w14:paraId="5E968358" w14:textId="77777777" w:rsidR="00921FEF" w:rsidRPr="00B15877" w:rsidRDefault="00921FEF"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lang w:eastAsia="en-US"/>
        </w:rPr>
      </w:pPr>
    </w:p>
    <w:bookmarkEnd w:id="130"/>
    <w:p w14:paraId="10CDC2B8" w14:textId="77777777" w:rsidR="00AD1580" w:rsidRPr="003F19D8" w:rsidRDefault="009857B2" w:rsidP="00EE2CA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lang w:eastAsia="en-US"/>
        </w:rPr>
      </w:pPr>
      <w:r w:rsidRPr="003F19D8">
        <w:rPr>
          <w:rFonts w:ascii="Arial" w:eastAsia="Times New Roman" w:hAnsi="Arial" w:cs="Arial"/>
          <w:sz w:val="16"/>
          <w:szCs w:val="16"/>
          <w:lang w:eastAsia="en-US"/>
        </w:rPr>
        <w:t xml:space="preserve">Za vrijeme pandemije </w:t>
      </w:r>
      <w:r w:rsidR="00FD5C81" w:rsidRPr="003F19D8">
        <w:rPr>
          <w:rFonts w:ascii="Arial" w:eastAsia="Times New Roman" w:hAnsi="Arial" w:cs="Arial"/>
          <w:sz w:val="16"/>
          <w:szCs w:val="16"/>
          <w:lang w:eastAsia="en-US"/>
        </w:rPr>
        <w:t>bolesti COVID 19</w:t>
      </w:r>
      <w:r w:rsidRPr="003F19D8">
        <w:rPr>
          <w:rFonts w:ascii="Arial" w:eastAsia="Times New Roman" w:hAnsi="Arial" w:cs="Arial"/>
          <w:sz w:val="16"/>
          <w:szCs w:val="16"/>
          <w:lang w:eastAsia="en-US"/>
        </w:rPr>
        <w:t xml:space="preserve"> </w:t>
      </w:r>
      <w:r w:rsidR="00497088" w:rsidRPr="003F19D8">
        <w:rPr>
          <w:rFonts w:ascii="Arial" w:eastAsia="Times New Roman" w:hAnsi="Arial" w:cs="Arial"/>
          <w:sz w:val="16"/>
          <w:szCs w:val="16"/>
          <w:lang w:eastAsia="en-US"/>
        </w:rPr>
        <w:t xml:space="preserve">nisu se pružale </w:t>
      </w:r>
      <w:r w:rsidRPr="003F19D8">
        <w:rPr>
          <w:rFonts w:ascii="Arial" w:eastAsia="Times New Roman" w:hAnsi="Arial" w:cs="Arial"/>
          <w:sz w:val="16"/>
          <w:szCs w:val="16"/>
          <w:lang w:eastAsia="en-US"/>
        </w:rPr>
        <w:t xml:space="preserve">usluge dnevnog boravka čiji prihodi se iskazuju u okviru </w:t>
      </w:r>
      <w:r w:rsidR="00627BD6" w:rsidRPr="003F19D8">
        <w:rPr>
          <w:rFonts w:ascii="Arial" w:eastAsia="Times New Roman" w:hAnsi="Arial" w:cs="Arial"/>
          <w:sz w:val="16"/>
          <w:szCs w:val="16"/>
          <w:lang w:eastAsia="en-US"/>
        </w:rPr>
        <w:t>pod</w:t>
      </w:r>
      <w:r w:rsidRPr="003F19D8">
        <w:rPr>
          <w:rFonts w:ascii="Arial" w:eastAsia="Times New Roman" w:hAnsi="Arial" w:cs="Arial"/>
          <w:sz w:val="16"/>
          <w:szCs w:val="16"/>
          <w:lang w:eastAsia="en-US"/>
        </w:rPr>
        <w:t xml:space="preserve">skupine </w:t>
      </w:r>
      <w:r w:rsidR="00C83DB1" w:rsidRPr="003F19D8">
        <w:rPr>
          <w:rFonts w:ascii="Arial" w:eastAsia="Times New Roman" w:hAnsi="Arial" w:cs="Arial"/>
          <w:sz w:val="16"/>
          <w:szCs w:val="16"/>
          <w:lang w:eastAsia="en-US"/>
        </w:rPr>
        <w:t xml:space="preserve">prihoda </w:t>
      </w:r>
      <w:r w:rsidRPr="003F19D8">
        <w:rPr>
          <w:rFonts w:ascii="Arial" w:eastAsia="Times New Roman" w:hAnsi="Arial" w:cs="Arial"/>
          <w:sz w:val="16"/>
          <w:szCs w:val="16"/>
          <w:lang w:eastAsia="en-US"/>
        </w:rPr>
        <w:t>661.</w:t>
      </w:r>
      <w:r w:rsidR="00C57629" w:rsidRPr="003F19D8">
        <w:rPr>
          <w:rFonts w:ascii="Arial" w:eastAsia="Times New Roman" w:hAnsi="Arial" w:cs="Arial"/>
          <w:sz w:val="16"/>
          <w:szCs w:val="16"/>
          <w:lang w:eastAsia="en-US"/>
        </w:rPr>
        <w:t xml:space="preserve"> </w:t>
      </w:r>
      <w:r w:rsidR="00497088" w:rsidRPr="003F19D8">
        <w:rPr>
          <w:rFonts w:ascii="Arial" w:eastAsia="Times New Roman" w:hAnsi="Arial" w:cs="Arial"/>
          <w:sz w:val="16"/>
          <w:szCs w:val="16"/>
          <w:lang w:eastAsia="en-US"/>
        </w:rPr>
        <w:t xml:space="preserve">Ove usluge se ponovno pružaju </w:t>
      </w:r>
      <w:r w:rsidR="00350AD6" w:rsidRPr="003F19D8">
        <w:rPr>
          <w:rFonts w:ascii="Arial" w:eastAsia="Times New Roman" w:hAnsi="Arial" w:cs="Arial"/>
          <w:sz w:val="16"/>
          <w:szCs w:val="16"/>
          <w:lang w:eastAsia="en-US"/>
        </w:rPr>
        <w:t>od</w:t>
      </w:r>
      <w:r w:rsidR="00497088" w:rsidRPr="003F19D8">
        <w:rPr>
          <w:rFonts w:ascii="Arial" w:eastAsia="Times New Roman" w:hAnsi="Arial" w:cs="Arial"/>
          <w:sz w:val="16"/>
          <w:szCs w:val="16"/>
          <w:lang w:eastAsia="en-US"/>
        </w:rPr>
        <w:t xml:space="preserve"> 2022. godin</w:t>
      </w:r>
      <w:r w:rsidR="00350AD6" w:rsidRPr="003F19D8">
        <w:rPr>
          <w:rFonts w:ascii="Arial" w:eastAsia="Times New Roman" w:hAnsi="Arial" w:cs="Arial"/>
          <w:sz w:val="16"/>
          <w:szCs w:val="16"/>
          <w:lang w:eastAsia="en-US"/>
        </w:rPr>
        <w:t>e</w:t>
      </w:r>
      <w:r w:rsidR="00497088" w:rsidRPr="003F19D8">
        <w:rPr>
          <w:rFonts w:ascii="Arial" w:eastAsia="Times New Roman" w:hAnsi="Arial" w:cs="Arial"/>
          <w:sz w:val="16"/>
          <w:szCs w:val="16"/>
          <w:lang w:eastAsia="en-US"/>
        </w:rPr>
        <w:t xml:space="preserve">. </w:t>
      </w:r>
    </w:p>
    <w:p w14:paraId="4E1BF679" w14:textId="77777777" w:rsidR="00AD1580" w:rsidRDefault="00AD1580"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lang w:eastAsia="en-US"/>
        </w:rPr>
      </w:pPr>
    </w:p>
    <w:p w14:paraId="5AF832D9" w14:textId="156D7E3A" w:rsidR="009836CF" w:rsidRPr="003A2F86" w:rsidRDefault="0061572D"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r w:rsidRPr="003A2F86">
        <w:rPr>
          <w:rFonts w:ascii="Arial" w:eastAsia="Times New Roman" w:hAnsi="Arial" w:cs="Arial"/>
          <w:lang w:eastAsia="en-US"/>
        </w:rPr>
        <w:t>K</w:t>
      </w:r>
      <w:r w:rsidR="00C53971" w:rsidRPr="003A2F86">
        <w:rPr>
          <w:rFonts w:ascii="Arial" w:eastAsia="Times New Roman" w:hAnsi="Arial" w:cs="Arial"/>
          <w:lang w:eastAsia="en-US"/>
        </w:rPr>
        <w:t xml:space="preserve">oncem </w:t>
      </w:r>
      <w:r w:rsidR="00AB0F9F" w:rsidRPr="003A2F86">
        <w:rPr>
          <w:rFonts w:ascii="Arial" w:eastAsia="Times New Roman" w:hAnsi="Arial" w:cs="Arial"/>
          <w:lang w:eastAsia="en-US"/>
        </w:rPr>
        <w:t>202</w:t>
      </w:r>
      <w:r w:rsidR="000879CE">
        <w:rPr>
          <w:rFonts w:ascii="Arial" w:eastAsia="Times New Roman" w:hAnsi="Arial" w:cs="Arial"/>
          <w:lang w:eastAsia="en-US"/>
        </w:rPr>
        <w:t>5</w:t>
      </w:r>
      <w:r w:rsidR="00AB0F9F" w:rsidRPr="003A2F86">
        <w:rPr>
          <w:rFonts w:ascii="Arial" w:eastAsia="Times New Roman" w:hAnsi="Arial" w:cs="Arial"/>
          <w:lang w:eastAsia="en-US"/>
        </w:rPr>
        <w:t>. godine</w:t>
      </w:r>
      <w:r w:rsidR="005D412F">
        <w:rPr>
          <w:rFonts w:ascii="Arial" w:eastAsia="Times New Roman" w:hAnsi="Arial" w:cs="Arial"/>
          <w:lang w:eastAsia="en-US"/>
        </w:rPr>
        <w:t xml:space="preserve"> u Domu je smješteno</w:t>
      </w:r>
      <w:r w:rsidR="00A17FDB" w:rsidRPr="003A2F86">
        <w:rPr>
          <w:rFonts w:ascii="Arial" w:eastAsia="Times New Roman" w:hAnsi="Arial" w:cs="Arial"/>
          <w:lang w:eastAsia="en-US"/>
        </w:rPr>
        <w:t xml:space="preserve"> </w:t>
      </w:r>
      <w:r w:rsidR="008F54E0">
        <w:rPr>
          <w:rFonts w:ascii="Arial" w:eastAsia="Times New Roman" w:hAnsi="Arial" w:cs="Arial"/>
          <w:lang w:eastAsia="en-US"/>
        </w:rPr>
        <w:t>79</w:t>
      </w:r>
      <w:r w:rsidRPr="003A2F86">
        <w:rPr>
          <w:rFonts w:ascii="Arial" w:eastAsia="Times New Roman" w:hAnsi="Arial" w:cs="Arial"/>
          <w:lang w:eastAsia="en-US"/>
        </w:rPr>
        <w:t xml:space="preserve"> korisnika.</w:t>
      </w:r>
    </w:p>
    <w:p w14:paraId="7EC39E66" w14:textId="77777777" w:rsidR="00627BD6" w:rsidRPr="00B15877" w:rsidRDefault="00627BD6" w:rsidP="00DF049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18"/>
          <w:szCs w:val="18"/>
          <w:lang w:eastAsia="en-US"/>
        </w:rPr>
      </w:pPr>
    </w:p>
    <w:p w14:paraId="3B10E81F" w14:textId="77777777" w:rsidR="00EE2CA0" w:rsidRPr="003F19D8" w:rsidRDefault="00C57629" w:rsidP="00EE2CA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Calibri" w:hAnsi="Arial" w:cs="Arial"/>
          <w:sz w:val="16"/>
          <w:szCs w:val="16"/>
          <w:lang w:eastAsia="en-US"/>
        </w:rPr>
      </w:pPr>
      <w:r w:rsidRPr="003F19D8">
        <w:rPr>
          <w:rFonts w:ascii="Arial" w:eastAsia="Calibri" w:hAnsi="Arial" w:cs="Arial"/>
          <w:sz w:val="16"/>
          <w:szCs w:val="16"/>
          <w:lang w:eastAsia="en-US"/>
        </w:rPr>
        <w:t>U veljači 2020. je bila donesena odluka o povećanju cijena</w:t>
      </w:r>
      <w:r w:rsidR="00C53971" w:rsidRPr="003F19D8">
        <w:rPr>
          <w:rFonts w:ascii="Arial" w:eastAsia="Calibri" w:hAnsi="Arial" w:cs="Arial"/>
          <w:sz w:val="16"/>
          <w:szCs w:val="16"/>
          <w:lang w:eastAsia="en-US"/>
        </w:rPr>
        <w:t xml:space="preserve"> u Domu</w:t>
      </w:r>
      <w:r w:rsidRPr="003F19D8">
        <w:rPr>
          <w:rFonts w:ascii="Arial" w:eastAsia="Calibri" w:hAnsi="Arial" w:cs="Arial"/>
          <w:sz w:val="16"/>
          <w:szCs w:val="16"/>
          <w:lang w:eastAsia="en-US"/>
        </w:rPr>
        <w:t xml:space="preserve"> (Službeni glasnik Općine Konavle 1/2020</w:t>
      </w:r>
      <w:r w:rsidR="00921FEF" w:rsidRPr="003F19D8">
        <w:rPr>
          <w:rFonts w:ascii="Arial" w:eastAsia="Calibri" w:hAnsi="Arial" w:cs="Arial"/>
          <w:sz w:val="16"/>
          <w:szCs w:val="16"/>
          <w:lang w:eastAsia="en-US"/>
        </w:rPr>
        <w:t xml:space="preserve"> </w:t>
      </w:r>
      <w:r w:rsidR="00326CBF" w:rsidRPr="003F19D8">
        <w:rPr>
          <w:rFonts w:ascii="Arial" w:eastAsia="Calibri" w:hAnsi="Arial" w:cs="Arial"/>
          <w:sz w:val="16"/>
          <w:szCs w:val="16"/>
          <w:lang w:eastAsia="en-US"/>
        </w:rPr>
        <w:t xml:space="preserve">koje bi zamjenjivali cijene </w:t>
      </w:r>
      <w:r w:rsidR="00921FEF" w:rsidRPr="003F19D8">
        <w:rPr>
          <w:rFonts w:ascii="Arial" w:eastAsia="Calibri" w:hAnsi="Arial" w:cs="Arial"/>
          <w:sz w:val="16"/>
          <w:szCs w:val="16"/>
          <w:lang w:eastAsia="en-US"/>
        </w:rPr>
        <w:t>utvrđen</w:t>
      </w:r>
      <w:r w:rsidR="00326CBF" w:rsidRPr="003F19D8">
        <w:rPr>
          <w:rFonts w:ascii="Arial" w:eastAsia="Calibri" w:hAnsi="Arial" w:cs="Arial"/>
          <w:sz w:val="16"/>
          <w:szCs w:val="16"/>
          <w:lang w:eastAsia="en-US"/>
        </w:rPr>
        <w:t>e</w:t>
      </w:r>
      <w:r w:rsidR="00921FEF" w:rsidRPr="003F19D8">
        <w:rPr>
          <w:rFonts w:ascii="Arial" w:eastAsia="Calibri" w:hAnsi="Arial" w:cs="Arial"/>
          <w:sz w:val="16"/>
          <w:szCs w:val="16"/>
          <w:lang w:eastAsia="en-US"/>
        </w:rPr>
        <w:t xml:space="preserve"> u Službenom glasniku Općine Konavle 3/2015</w:t>
      </w:r>
      <w:r w:rsidRPr="003F19D8">
        <w:rPr>
          <w:rFonts w:ascii="Arial" w:eastAsia="Calibri" w:hAnsi="Arial" w:cs="Arial"/>
          <w:sz w:val="16"/>
          <w:szCs w:val="16"/>
          <w:lang w:eastAsia="en-US"/>
        </w:rPr>
        <w:t xml:space="preserve">), ali je primjena iste </w:t>
      </w:r>
      <w:r w:rsidR="006E157D" w:rsidRPr="003F19D8">
        <w:rPr>
          <w:rFonts w:ascii="Arial" w:eastAsia="Calibri" w:hAnsi="Arial" w:cs="Arial"/>
          <w:sz w:val="16"/>
          <w:szCs w:val="16"/>
          <w:lang w:eastAsia="en-US"/>
        </w:rPr>
        <w:t>zbog nas</w:t>
      </w:r>
      <w:r w:rsidR="006F0A7C" w:rsidRPr="003F19D8">
        <w:rPr>
          <w:rFonts w:ascii="Arial" w:eastAsia="Calibri" w:hAnsi="Arial" w:cs="Arial"/>
          <w:sz w:val="16"/>
          <w:szCs w:val="16"/>
          <w:lang w:eastAsia="en-US"/>
        </w:rPr>
        <w:t xml:space="preserve">tanka pandemije </w:t>
      </w:r>
      <w:r w:rsidR="0061572D" w:rsidRPr="003F19D8">
        <w:rPr>
          <w:rFonts w:ascii="Arial" w:eastAsia="Calibri" w:hAnsi="Arial" w:cs="Arial"/>
          <w:sz w:val="16"/>
          <w:szCs w:val="16"/>
          <w:lang w:eastAsia="en-US"/>
        </w:rPr>
        <w:t xml:space="preserve">bila </w:t>
      </w:r>
      <w:r w:rsidR="00921FEF" w:rsidRPr="003F19D8">
        <w:rPr>
          <w:rFonts w:ascii="Arial" w:eastAsia="Calibri" w:hAnsi="Arial" w:cs="Arial"/>
          <w:sz w:val="16"/>
          <w:szCs w:val="16"/>
          <w:lang w:eastAsia="en-US"/>
        </w:rPr>
        <w:t>obustavljena do početka siječnja 2021. godine (Službeni glasnik Općine Konavle 11/2020).</w:t>
      </w:r>
      <w:r w:rsidR="000D7C5B" w:rsidRPr="003F19D8">
        <w:rPr>
          <w:rFonts w:ascii="Arial" w:eastAsia="Calibri" w:hAnsi="Arial" w:cs="Arial"/>
          <w:sz w:val="16"/>
          <w:szCs w:val="16"/>
          <w:lang w:eastAsia="en-US"/>
        </w:rPr>
        <w:t xml:space="preserve"> </w:t>
      </w:r>
    </w:p>
    <w:p w14:paraId="31A09AA7" w14:textId="1EF319DC" w:rsidR="00D231C6" w:rsidRPr="003F19D8" w:rsidRDefault="000879CE" w:rsidP="00DF049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16"/>
          <w:szCs w:val="16"/>
          <w:lang w:eastAsia="en-US"/>
        </w:rPr>
      </w:pPr>
      <w:r w:rsidRPr="003F19D8">
        <w:rPr>
          <w:rFonts w:ascii="Arial" w:eastAsia="Calibri" w:hAnsi="Arial" w:cs="Arial"/>
          <w:sz w:val="16"/>
          <w:szCs w:val="16"/>
          <w:lang w:eastAsia="en-US"/>
        </w:rPr>
        <w:tab/>
      </w:r>
      <w:r w:rsidR="000D7C5B" w:rsidRPr="003F19D8">
        <w:rPr>
          <w:rFonts w:ascii="Arial" w:eastAsia="Calibri" w:hAnsi="Arial" w:cs="Arial"/>
          <w:sz w:val="16"/>
          <w:szCs w:val="16"/>
          <w:lang w:eastAsia="en-US"/>
        </w:rPr>
        <w:t>Nova odluka o cijenama usluga u Domu je donesena 21. lipnja 2024. godine (Službeni glasnik Općine Konavle 4/2024).</w:t>
      </w:r>
    </w:p>
    <w:p w14:paraId="7959CC36" w14:textId="7AD3F557" w:rsidR="00D231C6" w:rsidRPr="003F19D8" w:rsidRDefault="00D231C6" w:rsidP="00DF049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16"/>
          <w:szCs w:val="16"/>
          <w:lang w:eastAsia="en-US"/>
        </w:rPr>
      </w:pPr>
    </w:p>
    <w:p w14:paraId="3077FD19" w14:textId="1FF8723A" w:rsidR="0053618C" w:rsidRPr="003F19D8" w:rsidRDefault="0053618C" w:rsidP="00EE2CA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Calibri" w:hAnsi="Arial" w:cs="Arial"/>
          <w:sz w:val="16"/>
          <w:szCs w:val="16"/>
          <w:lang w:eastAsia="en-US"/>
        </w:rPr>
      </w:pPr>
      <w:r w:rsidRPr="003F19D8">
        <w:rPr>
          <w:rFonts w:ascii="Arial" w:eastAsia="Calibri" w:hAnsi="Arial" w:cs="Arial"/>
          <w:sz w:val="16"/>
          <w:szCs w:val="16"/>
          <w:lang w:eastAsia="en-US"/>
        </w:rPr>
        <w:t xml:space="preserve">U rujnu 2021. donesena je odluka o vrstama programa i utvrđivanju mjerila za sudjelovanje roditelja – korisnika u cijeni programa dječjeg vrtića (Službeni glasnik Općine Konavle 7 i 8/2021). Ovom odlukom </w:t>
      </w:r>
      <w:r w:rsidR="002605AF" w:rsidRPr="003F19D8">
        <w:rPr>
          <w:rFonts w:ascii="Arial" w:eastAsia="Calibri" w:hAnsi="Arial" w:cs="Arial"/>
          <w:sz w:val="16"/>
          <w:szCs w:val="16"/>
          <w:lang w:eastAsia="en-US"/>
        </w:rPr>
        <w:t>je prestala s primjenom odluka iz 2010., odnosno 2012. godine, te je utvrđena ekonomska cijena vrtića, iznos i uvjeti sudjelovanja korisnika – roditelja u cijeni</w:t>
      </w:r>
      <w:r w:rsidR="00CC0257" w:rsidRPr="003F19D8">
        <w:rPr>
          <w:rFonts w:ascii="Arial" w:eastAsia="Calibri" w:hAnsi="Arial" w:cs="Arial"/>
          <w:sz w:val="16"/>
          <w:szCs w:val="16"/>
          <w:lang w:eastAsia="en-US"/>
        </w:rPr>
        <w:t xml:space="preserve"> (primjena od listopada 2021.).</w:t>
      </w:r>
    </w:p>
    <w:p w14:paraId="661580E4" w14:textId="61FEA58F" w:rsidR="00100B0D" w:rsidRPr="00B15877" w:rsidRDefault="00100B0D" w:rsidP="00DF049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18"/>
          <w:szCs w:val="18"/>
          <w:lang w:eastAsia="en-US"/>
        </w:rPr>
      </w:pPr>
    </w:p>
    <w:p w14:paraId="56C15A7E" w14:textId="2755C76A" w:rsidR="00497088" w:rsidRPr="00D0351C" w:rsidRDefault="006F0A7C" w:rsidP="00DF049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18"/>
          <w:szCs w:val="18"/>
          <w:lang w:eastAsia="en-US"/>
        </w:rPr>
      </w:pPr>
      <w:r w:rsidRPr="003A2F86">
        <w:rPr>
          <w:rFonts w:ascii="Arial" w:eastAsia="Calibri" w:hAnsi="Arial" w:cs="Arial"/>
          <w:lang w:eastAsia="en-US"/>
        </w:rPr>
        <w:t>U 202</w:t>
      </w:r>
      <w:r w:rsidR="00B15877">
        <w:rPr>
          <w:rFonts w:ascii="Arial" w:eastAsia="Calibri" w:hAnsi="Arial" w:cs="Arial"/>
          <w:lang w:eastAsia="en-US"/>
        </w:rPr>
        <w:t>5</w:t>
      </w:r>
      <w:r w:rsidRPr="003A2F86">
        <w:rPr>
          <w:rFonts w:ascii="Arial" w:eastAsia="Calibri" w:hAnsi="Arial" w:cs="Arial"/>
          <w:lang w:eastAsia="en-US"/>
        </w:rPr>
        <w:t xml:space="preserve">. </w:t>
      </w:r>
      <w:r w:rsidR="00891119" w:rsidRPr="003A2F86">
        <w:rPr>
          <w:rFonts w:ascii="Arial" w:eastAsia="Calibri" w:hAnsi="Arial" w:cs="Arial"/>
          <w:lang w:eastAsia="en-US"/>
        </w:rPr>
        <w:t>proračunsk</w:t>
      </w:r>
      <w:r w:rsidR="00EC1C82" w:rsidRPr="003A2F86">
        <w:rPr>
          <w:rFonts w:ascii="Arial" w:eastAsia="Calibri" w:hAnsi="Arial" w:cs="Arial"/>
          <w:lang w:eastAsia="en-US"/>
        </w:rPr>
        <w:t>om korisniku Dječjem vrtiću iz općinskog proračuna refundira</w:t>
      </w:r>
      <w:r w:rsidR="006D6DCF" w:rsidRPr="003A2F86">
        <w:rPr>
          <w:rFonts w:ascii="Arial" w:eastAsia="Calibri" w:hAnsi="Arial" w:cs="Arial"/>
          <w:lang w:eastAsia="en-US"/>
        </w:rPr>
        <w:t>na su</w:t>
      </w:r>
      <w:r w:rsidR="00EC1C82" w:rsidRPr="003A2F86">
        <w:rPr>
          <w:rFonts w:ascii="Arial" w:eastAsia="Calibri" w:hAnsi="Arial" w:cs="Arial"/>
          <w:lang w:eastAsia="en-US"/>
        </w:rPr>
        <w:t xml:space="preserve"> sredstva za trošak boravka djece u dječjem vrtiću (socijalne i demografske mjere)</w:t>
      </w:r>
      <w:r w:rsidR="006D6DCF" w:rsidRPr="003A2F86">
        <w:rPr>
          <w:rFonts w:ascii="Arial" w:eastAsia="Calibri" w:hAnsi="Arial" w:cs="Arial"/>
          <w:lang w:eastAsia="en-US"/>
        </w:rPr>
        <w:t xml:space="preserve"> u iznosu </w:t>
      </w:r>
      <w:r w:rsidR="008F54E0">
        <w:rPr>
          <w:rFonts w:ascii="Arial" w:eastAsia="Calibri" w:hAnsi="Arial" w:cs="Arial"/>
          <w:lang w:eastAsia="en-US"/>
        </w:rPr>
        <w:t>69.595,75</w:t>
      </w:r>
      <w:r w:rsidR="0061572D" w:rsidRPr="003A2F86">
        <w:rPr>
          <w:rFonts w:ascii="Arial" w:eastAsia="Calibri" w:hAnsi="Arial" w:cs="Arial"/>
          <w:lang w:eastAsia="en-US"/>
        </w:rPr>
        <w:t xml:space="preserve"> €</w:t>
      </w:r>
      <w:r w:rsidR="00EC1C82" w:rsidRPr="003A2F86">
        <w:rPr>
          <w:rFonts w:ascii="Arial" w:eastAsia="Calibri" w:hAnsi="Arial" w:cs="Arial"/>
          <w:lang w:eastAsia="en-US"/>
        </w:rPr>
        <w:t xml:space="preserve">. </w:t>
      </w:r>
      <w:r w:rsidR="00EC1C82" w:rsidRPr="00D0351C">
        <w:rPr>
          <w:rFonts w:ascii="Arial" w:eastAsia="Calibri" w:hAnsi="Arial" w:cs="Arial"/>
          <w:sz w:val="18"/>
          <w:szCs w:val="18"/>
          <w:lang w:eastAsia="en-US"/>
        </w:rPr>
        <w:t xml:space="preserve">Ovi prihodi </w:t>
      </w:r>
      <w:r w:rsidR="00C83DB1" w:rsidRPr="00D0351C">
        <w:rPr>
          <w:rFonts w:ascii="Arial" w:eastAsia="Calibri" w:hAnsi="Arial" w:cs="Arial"/>
          <w:sz w:val="18"/>
          <w:szCs w:val="18"/>
          <w:lang w:eastAsia="en-US"/>
        </w:rPr>
        <w:t xml:space="preserve">vrtića su </w:t>
      </w:r>
      <w:r w:rsidR="00A43C21" w:rsidRPr="00D0351C">
        <w:rPr>
          <w:rFonts w:ascii="Arial" w:eastAsia="Calibri" w:hAnsi="Arial" w:cs="Arial"/>
          <w:sz w:val="18"/>
          <w:szCs w:val="18"/>
          <w:lang w:eastAsia="en-US"/>
        </w:rPr>
        <w:t xml:space="preserve">ukupno </w:t>
      </w:r>
      <w:r w:rsidR="00EC1C82" w:rsidRPr="00D0351C">
        <w:rPr>
          <w:rFonts w:ascii="Arial" w:eastAsia="Calibri" w:hAnsi="Arial" w:cs="Arial"/>
          <w:sz w:val="18"/>
          <w:szCs w:val="18"/>
          <w:lang w:eastAsia="en-US"/>
        </w:rPr>
        <w:t xml:space="preserve">u 2019. </w:t>
      </w:r>
      <w:r w:rsidR="00C83DB1" w:rsidRPr="00D0351C">
        <w:rPr>
          <w:rFonts w:ascii="Arial" w:eastAsia="Calibri" w:hAnsi="Arial" w:cs="Arial"/>
          <w:sz w:val="18"/>
          <w:szCs w:val="18"/>
          <w:lang w:eastAsia="en-US"/>
        </w:rPr>
        <w:t>i</w:t>
      </w:r>
      <w:r w:rsidR="00EC1C82" w:rsidRPr="00D0351C">
        <w:rPr>
          <w:rFonts w:ascii="Arial" w:eastAsia="Calibri" w:hAnsi="Arial" w:cs="Arial"/>
          <w:sz w:val="18"/>
          <w:szCs w:val="18"/>
          <w:lang w:eastAsia="en-US"/>
        </w:rPr>
        <w:t>znos</w:t>
      </w:r>
      <w:r w:rsidR="00C83DB1" w:rsidRPr="00D0351C">
        <w:rPr>
          <w:rFonts w:ascii="Arial" w:eastAsia="Calibri" w:hAnsi="Arial" w:cs="Arial"/>
          <w:sz w:val="18"/>
          <w:szCs w:val="18"/>
          <w:lang w:eastAsia="en-US"/>
        </w:rPr>
        <w:t xml:space="preserve">ili </w:t>
      </w:r>
      <w:r w:rsidR="00A55013" w:rsidRPr="00D0351C">
        <w:rPr>
          <w:rFonts w:ascii="Arial" w:eastAsia="Calibri" w:hAnsi="Arial" w:cs="Arial"/>
          <w:sz w:val="18"/>
          <w:szCs w:val="18"/>
          <w:lang w:eastAsia="en-US"/>
        </w:rPr>
        <w:t>80.057,07 €</w:t>
      </w:r>
      <w:r w:rsidR="00A43C21" w:rsidRPr="00D0351C">
        <w:rPr>
          <w:rFonts w:ascii="Arial" w:eastAsia="Calibri" w:hAnsi="Arial" w:cs="Arial"/>
          <w:sz w:val="18"/>
          <w:szCs w:val="18"/>
          <w:lang w:eastAsia="en-US"/>
        </w:rPr>
        <w:t>, u 2020.</w:t>
      </w:r>
      <w:r w:rsidR="00133D44" w:rsidRPr="00D0351C">
        <w:rPr>
          <w:rFonts w:ascii="Arial" w:eastAsia="Calibri" w:hAnsi="Arial" w:cs="Arial"/>
          <w:sz w:val="18"/>
          <w:szCs w:val="18"/>
          <w:lang w:eastAsia="en-US"/>
        </w:rPr>
        <w:t xml:space="preserve"> </w:t>
      </w:r>
      <w:r w:rsidR="00A43C21" w:rsidRPr="00D0351C">
        <w:rPr>
          <w:rFonts w:ascii="Arial" w:eastAsia="Calibri" w:hAnsi="Arial" w:cs="Arial"/>
          <w:sz w:val="18"/>
          <w:szCs w:val="18"/>
          <w:lang w:eastAsia="en-US"/>
        </w:rPr>
        <w:t xml:space="preserve">godini ukupno </w:t>
      </w:r>
      <w:r w:rsidR="00A55013" w:rsidRPr="00D0351C">
        <w:rPr>
          <w:rFonts w:ascii="Arial" w:eastAsia="Calibri" w:hAnsi="Arial" w:cs="Arial"/>
          <w:sz w:val="18"/>
          <w:szCs w:val="18"/>
          <w:lang w:eastAsia="en-US"/>
        </w:rPr>
        <w:t>55.119,12 €</w:t>
      </w:r>
      <w:r w:rsidR="00497088" w:rsidRPr="00D0351C">
        <w:rPr>
          <w:rFonts w:ascii="Arial" w:eastAsia="Calibri" w:hAnsi="Arial" w:cs="Arial"/>
          <w:sz w:val="18"/>
          <w:szCs w:val="18"/>
          <w:lang w:eastAsia="en-US"/>
        </w:rPr>
        <w:t xml:space="preserve">, u 2021. godini ukupno </w:t>
      </w:r>
      <w:r w:rsidR="00A55013" w:rsidRPr="00D0351C">
        <w:rPr>
          <w:rFonts w:ascii="Arial" w:eastAsia="Calibri" w:hAnsi="Arial" w:cs="Arial"/>
          <w:sz w:val="18"/>
          <w:szCs w:val="18"/>
          <w:lang w:eastAsia="en-US"/>
        </w:rPr>
        <w:t>65.480,12 €</w:t>
      </w:r>
      <w:r w:rsidR="0061572D" w:rsidRPr="00D0351C">
        <w:rPr>
          <w:rFonts w:ascii="Arial" w:eastAsia="Calibri" w:hAnsi="Arial" w:cs="Arial"/>
          <w:sz w:val="18"/>
          <w:szCs w:val="18"/>
          <w:lang w:eastAsia="en-US"/>
        </w:rPr>
        <w:t xml:space="preserve">, u 2022. </w:t>
      </w:r>
      <w:r w:rsidR="00CA1C19" w:rsidRPr="00D0351C">
        <w:rPr>
          <w:rFonts w:ascii="Arial" w:eastAsia="Calibri" w:hAnsi="Arial" w:cs="Arial"/>
          <w:sz w:val="18"/>
          <w:szCs w:val="18"/>
          <w:lang w:eastAsia="en-US"/>
        </w:rPr>
        <w:t xml:space="preserve">su </w:t>
      </w:r>
      <w:r w:rsidR="0061572D" w:rsidRPr="00D0351C">
        <w:rPr>
          <w:rFonts w:ascii="Arial" w:eastAsia="Calibri" w:hAnsi="Arial" w:cs="Arial"/>
          <w:sz w:val="18"/>
          <w:szCs w:val="18"/>
          <w:lang w:eastAsia="en-US"/>
        </w:rPr>
        <w:t xml:space="preserve">iznosili </w:t>
      </w:r>
      <w:r w:rsidR="00A55013" w:rsidRPr="00D0351C">
        <w:rPr>
          <w:rFonts w:ascii="Arial" w:eastAsia="Calibri" w:hAnsi="Arial" w:cs="Arial"/>
          <w:sz w:val="18"/>
          <w:szCs w:val="18"/>
          <w:lang w:eastAsia="en-US"/>
        </w:rPr>
        <w:t>53.236,45 €</w:t>
      </w:r>
      <w:r w:rsidR="00CA1C19" w:rsidRPr="00D0351C">
        <w:rPr>
          <w:rFonts w:ascii="Arial" w:eastAsia="Calibri" w:hAnsi="Arial" w:cs="Arial"/>
          <w:sz w:val="18"/>
          <w:szCs w:val="18"/>
          <w:lang w:eastAsia="en-US"/>
        </w:rPr>
        <w:t>, u 2023. godini 57.338,85 €</w:t>
      </w:r>
      <w:r w:rsidR="003B6AE9">
        <w:rPr>
          <w:rFonts w:ascii="Arial" w:eastAsia="Calibri" w:hAnsi="Arial" w:cs="Arial"/>
          <w:sz w:val="18"/>
          <w:szCs w:val="18"/>
          <w:lang w:eastAsia="en-US"/>
        </w:rPr>
        <w:t xml:space="preserve">, dok su u 2024. iznosili </w:t>
      </w:r>
      <w:r w:rsidR="00EC6C6F">
        <w:rPr>
          <w:rFonts w:ascii="Arial" w:eastAsia="Calibri" w:hAnsi="Arial" w:cs="Arial"/>
          <w:sz w:val="18"/>
          <w:szCs w:val="18"/>
          <w:lang w:eastAsia="en-US"/>
        </w:rPr>
        <w:t>68.075,16</w:t>
      </w:r>
      <w:r w:rsidR="003B6AE9">
        <w:rPr>
          <w:rFonts w:ascii="Arial" w:eastAsia="Calibri" w:hAnsi="Arial" w:cs="Arial"/>
          <w:sz w:val="18"/>
          <w:szCs w:val="18"/>
          <w:lang w:eastAsia="en-US"/>
        </w:rPr>
        <w:t xml:space="preserve"> €</w:t>
      </w:r>
      <w:r w:rsidR="00CA1C19" w:rsidRPr="00D0351C">
        <w:rPr>
          <w:rFonts w:ascii="Arial" w:eastAsia="Calibri" w:hAnsi="Arial" w:cs="Arial"/>
          <w:sz w:val="18"/>
          <w:szCs w:val="18"/>
          <w:lang w:eastAsia="en-US"/>
        </w:rPr>
        <w:t>.</w:t>
      </w:r>
      <w:r w:rsidR="00DF049A" w:rsidRPr="00D0351C">
        <w:rPr>
          <w:rFonts w:ascii="Arial" w:eastAsia="Calibri" w:hAnsi="Arial" w:cs="Arial"/>
          <w:sz w:val="18"/>
          <w:szCs w:val="18"/>
          <w:lang w:eastAsia="en-US"/>
        </w:rPr>
        <w:t xml:space="preserve"> </w:t>
      </w:r>
    </w:p>
    <w:p w14:paraId="5891839E" w14:textId="77777777" w:rsidR="00A55013" w:rsidRPr="003A2F86" w:rsidRDefault="00A55013" w:rsidP="00DF049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04FC21C4" w14:textId="43B5EEB1" w:rsidR="00EC1C82" w:rsidRPr="003A2F86" w:rsidRDefault="00DF049A" w:rsidP="00DF049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3A2F86">
        <w:rPr>
          <w:rFonts w:ascii="Arial" w:eastAsia="Calibri" w:hAnsi="Arial" w:cs="Arial"/>
          <w:lang w:eastAsia="en-US"/>
        </w:rPr>
        <w:t xml:space="preserve">Također, proračunskom korisniku </w:t>
      </w:r>
      <w:r w:rsidR="004479DA" w:rsidRPr="003A2F86">
        <w:rPr>
          <w:rFonts w:ascii="Arial" w:eastAsia="Calibri" w:hAnsi="Arial" w:cs="Arial"/>
          <w:lang w:eastAsia="en-US"/>
        </w:rPr>
        <w:t>Dom za starije i nemoćne osobe</w:t>
      </w:r>
      <w:r w:rsidRPr="003A2F86">
        <w:rPr>
          <w:rFonts w:ascii="Arial" w:eastAsia="Calibri" w:hAnsi="Arial" w:cs="Arial"/>
          <w:lang w:eastAsia="en-US"/>
        </w:rPr>
        <w:t xml:space="preserve"> iz općinskog proračuna </w:t>
      </w:r>
      <w:r w:rsidR="004479DA" w:rsidRPr="003A2F86">
        <w:rPr>
          <w:rFonts w:ascii="Arial" w:eastAsia="Calibri" w:hAnsi="Arial" w:cs="Arial"/>
          <w:lang w:eastAsia="en-US"/>
        </w:rPr>
        <w:t>se sufinancira 20% osnovne cijene usluga stanovnicima Općine s propisanim godinama boravka</w:t>
      </w:r>
      <w:r w:rsidR="005D412F">
        <w:rPr>
          <w:rFonts w:ascii="Arial" w:eastAsia="Calibri" w:hAnsi="Arial" w:cs="Arial"/>
          <w:lang w:eastAsia="en-US"/>
        </w:rPr>
        <w:t>. U</w:t>
      </w:r>
      <w:r w:rsidR="00295E3A" w:rsidRPr="003A2F86">
        <w:rPr>
          <w:rFonts w:ascii="Arial" w:eastAsia="Calibri" w:hAnsi="Arial" w:cs="Arial"/>
          <w:lang w:eastAsia="en-US"/>
        </w:rPr>
        <w:t xml:space="preserve"> </w:t>
      </w:r>
      <w:r w:rsidR="00C83DB1" w:rsidRPr="003A2F86">
        <w:rPr>
          <w:rFonts w:ascii="Arial" w:eastAsia="Calibri" w:hAnsi="Arial" w:cs="Arial"/>
          <w:lang w:eastAsia="en-US"/>
        </w:rPr>
        <w:t>202</w:t>
      </w:r>
      <w:r w:rsidR="003702C2">
        <w:rPr>
          <w:rFonts w:ascii="Arial" w:eastAsia="Calibri" w:hAnsi="Arial" w:cs="Arial"/>
          <w:lang w:eastAsia="en-US"/>
        </w:rPr>
        <w:t>5</w:t>
      </w:r>
      <w:r w:rsidR="00C83DB1" w:rsidRPr="003A2F86">
        <w:rPr>
          <w:rFonts w:ascii="Arial" w:eastAsia="Calibri" w:hAnsi="Arial" w:cs="Arial"/>
          <w:lang w:eastAsia="en-US"/>
        </w:rPr>
        <w:t xml:space="preserve">. sufinancirano je </w:t>
      </w:r>
      <w:r w:rsidR="008F54E0">
        <w:rPr>
          <w:rFonts w:ascii="Arial" w:eastAsia="Calibri" w:hAnsi="Arial" w:cs="Arial"/>
          <w:lang w:eastAsia="en-US"/>
        </w:rPr>
        <w:t>103.245,07</w:t>
      </w:r>
      <w:r w:rsidR="003702C2">
        <w:rPr>
          <w:rFonts w:ascii="Arial" w:eastAsia="Calibri" w:hAnsi="Arial" w:cs="Arial"/>
          <w:lang w:eastAsia="en-US"/>
        </w:rPr>
        <w:t xml:space="preserve"> €</w:t>
      </w:r>
      <w:r w:rsidR="00A17FDB" w:rsidRPr="003A2F86">
        <w:rPr>
          <w:rFonts w:ascii="Arial" w:eastAsia="Calibri" w:hAnsi="Arial" w:cs="Arial"/>
          <w:lang w:eastAsia="en-US"/>
        </w:rPr>
        <w:t>.</w:t>
      </w:r>
      <w:r w:rsidRPr="003A2F86">
        <w:rPr>
          <w:rFonts w:ascii="Arial" w:eastAsia="Calibri" w:hAnsi="Arial" w:cs="Arial"/>
          <w:lang w:eastAsia="en-US"/>
        </w:rPr>
        <w:t xml:space="preserve"> </w:t>
      </w:r>
      <w:r w:rsidRPr="00D0351C">
        <w:rPr>
          <w:rFonts w:ascii="Arial" w:eastAsia="Calibri" w:hAnsi="Arial" w:cs="Arial"/>
          <w:sz w:val="18"/>
          <w:szCs w:val="18"/>
          <w:lang w:eastAsia="en-US"/>
        </w:rPr>
        <w:t xml:space="preserve">Ovi prihodi </w:t>
      </w:r>
      <w:r w:rsidR="00C83DB1" w:rsidRPr="00D0351C">
        <w:rPr>
          <w:rFonts w:ascii="Arial" w:eastAsia="Calibri" w:hAnsi="Arial" w:cs="Arial"/>
          <w:sz w:val="18"/>
          <w:szCs w:val="18"/>
          <w:lang w:eastAsia="en-US"/>
        </w:rPr>
        <w:t xml:space="preserve">Doma </w:t>
      </w:r>
      <w:r w:rsidR="005D412F" w:rsidRPr="00D0351C">
        <w:rPr>
          <w:rFonts w:ascii="Arial" w:eastAsia="Calibri" w:hAnsi="Arial" w:cs="Arial"/>
          <w:sz w:val="18"/>
          <w:szCs w:val="18"/>
          <w:lang w:eastAsia="en-US"/>
        </w:rPr>
        <w:t xml:space="preserve">(a rashodi Općine) </w:t>
      </w:r>
      <w:r w:rsidR="00A43C21" w:rsidRPr="00D0351C">
        <w:rPr>
          <w:rFonts w:ascii="Arial" w:eastAsia="Calibri" w:hAnsi="Arial" w:cs="Arial"/>
          <w:sz w:val="18"/>
          <w:szCs w:val="18"/>
          <w:lang w:eastAsia="en-US"/>
        </w:rPr>
        <w:t xml:space="preserve">su ukupno </w:t>
      </w:r>
      <w:r w:rsidRPr="00D0351C">
        <w:rPr>
          <w:rFonts w:ascii="Arial" w:eastAsia="Calibri" w:hAnsi="Arial" w:cs="Arial"/>
          <w:sz w:val="18"/>
          <w:szCs w:val="18"/>
          <w:lang w:eastAsia="en-US"/>
        </w:rPr>
        <w:t xml:space="preserve">u 2019. </w:t>
      </w:r>
      <w:r w:rsidR="00C83DB1" w:rsidRPr="00D0351C">
        <w:rPr>
          <w:rFonts w:ascii="Arial" w:eastAsia="Calibri" w:hAnsi="Arial" w:cs="Arial"/>
          <w:sz w:val="18"/>
          <w:szCs w:val="18"/>
          <w:lang w:eastAsia="en-US"/>
        </w:rPr>
        <w:t xml:space="preserve">iznosili </w:t>
      </w:r>
      <w:r w:rsidR="00A55013" w:rsidRPr="00D0351C">
        <w:rPr>
          <w:rFonts w:ascii="Arial" w:eastAsia="Calibri" w:hAnsi="Arial" w:cs="Arial"/>
          <w:sz w:val="18"/>
          <w:szCs w:val="18"/>
          <w:lang w:eastAsia="en-US"/>
        </w:rPr>
        <w:t>62.132,16 €</w:t>
      </w:r>
      <w:r w:rsidR="00A43C21" w:rsidRPr="00D0351C">
        <w:rPr>
          <w:rFonts w:ascii="Arial" w:eastAsia="Calibri" w:hAnsi="Arial" w:cs="Arial"/>
          <w:sz w:val="18"/>
          <w:szCs w:val="18"/>
          <w:lang w:eastAsia="en-US"/>
        </w:rPr>
        <w:t xml:space="preserve">, u 2020. godini </w:t>
      </w:r>
      <w:r w:rsidR="00A55013" w:rsidRPr="00D0351C">
        <w:rPr>
          <w:rFonts w:ascii="Arial" w:eastAsia="Calibri" w:hAnsi="Arial" w:cs="Arial"/>
          <w:sz w:val="18"/>
          <w:szCs w:val="18"/>
          <w:lang w:eastAsia="en-US"/>
        </w:rPr>
        <w:t>63.390,03 €</w:t>
      </w:r>
      <w:r w:rsidR="007F1184" w:rsidRPr="00D0351C">
        <w:rPr>
          <w:rFonts w:ascii="Arial" w:eastAsia="Calibri" w:hAnsi="Arial" w:cs="Arial"/>
          <w:sz w:val="18"/>
          <w:szCs w:val="18"/>
          <w:lang w:eastAsia="en-US"/>
        </w:rPr>
        <w:t xml:space="preserve">, u 2021. godini </w:t>
      </w:r>
      <w:r w:rsidR="00A55013" w:rsidRPr="00D0351C">
        <w:rPr>
          <w:rFonts w:ascii="Arial" w:eastAsia="Calibri" w:hAnsi="Arial" w:cs="Arial"/>
          <w:sz w:val="18"/>
          <w:szCs w:val="18"/>
          <w:lang w:eastAsia="en-US"/>
        </w:rPr>
        <w:t>70.503,43 €, u 2022. godini 79.717,48 €</w:t>
      </w:r>
      <w:r w:rsidR="00CA1C19" w:rsidRPr="00D0351C">
        <w:rPr>
          <w:rFonts w:ascii="Arial" w:eastAsia="Calibri" w:hAnsi="Arial" w:cs="Arial"/>
          <w:sz w:val="18"/>
          <w:szCs w:val="18"/>
          <w:lang w:eastAsia="en-US"/>
        </w:rPr>
        <w:t xml:space="preserve">, u 2023. godini </w:t>
      </w:r>
      <w:r w:rsidR="005D412F" w:rsidRPr="00D0351C">
        <w:rPr>
          <w:rFonts w:ascii="Arial" w:eastAsia="Calibri" w:hAnsi="Arial" w:cs="Arial"/>
          <w:sz w:val="18"/>
          <w:szCs w:val="18"/>
          <w:lang w:eastAsia="en-US"/>
        </w:rPr>
        <w:t>84.455,98</w:t>
      </w:r>
      <w:r w:rsidR="00CA1C19" w:rsidRPr="00D0351C">
        <w:rPr>
          <w:rFonts w:ascii="Arial" w:eastAsia="Calibri" w:hAnsi="Arial" w:cs="Arial"/>
          <w:sz w:val="18"/>
          <w:szCs w:val="18"/>
          <w:lang w:eastAsia="en-US"/>
        </w:rPr>
        <w:t xml:space="preserve"> €</w:t>
      </w:r>
      <w:r w:rsidR="005B169E">
        <w:rPr>
          <w:rFonts w:ascii="Arial" w:eastAsia="Calibri" w:hAnsi="Arial" w:cs="Arial"/>
          <w:sz w:val="18"/>
          <w:szCs w:val="18"/>
          <w:lang w:eastAsia="en-US"/>
        </w:rPr>
        <w:t>,</w:t>
      </w:r>
      <w:r w:rsidR="00EC6C6F">
        <w:rPr>
          <w:rFonts w:ascii="Arial" w:eastAsia="Calibri" w:hAnsi="Arial" w:cs="Arial"/>
          <w:sz w:val="18"/>
          <w:szCs w:val="18"/>
          <w:lang w:eastAsia="en-US"/>
        </w:rPr>
        <w:t xml:space="preserve"> a u 2024. godini 89.979,38 €</w:t>
      </w:r>
      <w:r w:rsidR="00D0351C">
        <w:rPr>
          <w:rFonts w:ascii="Arial" w:eastAsia="Calibri" w:hAnsi="Arial" w:cs="Arial"/>
          <w:sz w:val="18"/>
          <w:szCs w:val="18"/>
          <w:lang w:eastAsia="en-US"/>
        </w:rPr>
        <w:t xml:space="preserve">. </w:t>
      </w:r>
      <w:r w:rsidR="00C83DB1" w:rsidRPr="003A2F86">
        <w:rPr>
          <w:rFonts w:ascii="Arial" w:eastAsia="Calibri" w:hAnsi="Arial" w:cs="Arial"/>
          <w:lang w:eastAsia="en-US"/>
        </w:rPr>
        <w:t xml:space="preserve">Sredstva sa sufinanciranje cijene smještaja u vrtiću i domu su uključena u ukupne prihode proračunskih korisnika iskazane u okviru podskupine prihoda 652. </w:t>
      </w:r>
    </w:p>
    <w:p w14:paraId="6F6084BD" w14:textId="77777777" w:rsidR="00A55013" w:rsidRPr="003A2F86" w:rsidRDefault="00A55013"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lang w:eastAsia="en-US"/>
        </w:rPr>
      </w:pPr>
    </w:p>
    <w:p w14:paraId="16976E5F" w14:textId="77777777" w:rsidR="001C45AE" w:rsidRPr="003A2F86" w:rsidRDefault="001C45AE"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lang w:eastAsia="en-US"/>
        </w:rPr>
      </w:pPr>
    </w:p>
    <w:p w14:paraId="4925BA3A" w14:textId="77777777" w:rsidR="00A55013" w:rsidRDefault="00A55013"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lang w:eastAsia="en-US"/>
        </w:rPr>
      </w:pPr>
    </w:p>
    <w:p w14:paraId="2847C34F" w14:textId="77777777" w:rsidR="005D412F" w:rsidRDefault="005D412F"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lang w:eastAsia="en-US"/>
        </w:rPr>
      </w:pPr>
    </w:p>
    <w:p w14:paraId="5A6DB46F" w14:textId="77777777" w:rsidR="008F54E0" w:rsidRDefault="008F54E0"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lang w:eastAsia="en-US"/>
        </w:rPr>
      </w:pPr>
    </w:p>
    <w:p w14:paraId="27094551" w14:textId="77777777" w:rsidR="005B169E" w:rsidRDefault="005B169E"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lang w:eastAsia="en-US"/>
        </w:rPr>
      </w:pPr>
    </w:p>
    <w:p w14:paraId="1EF19AE8" w14:textId="77777777" w:rsidR="005B169E" w:rsidRDefault="005B169E"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lang w:eastAsia="en-US"/>
        </w:rPr>
      </w:pPr>
    </w:p>
    <w:p w14:paraId="1B4FFCCB" w14:textId="77777777" w:rsidR="005B169E" w:rsidRDefault="005B169E"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lang w:eastAsia="en-US"/>
        </w:rPr>
      </w:pPr>
    </w:p>
    <w:p w14:paraId="3111639B" w14:textId="77777777" w:rsidR="00A55013" w:rsidRPr="003A2F86" w:rsidRDefault="00A55013"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lang w:eastAsia="en-US"/>
        </w:rPr>
      </w:pPr>
    </w:p>
    <w:p w14:paraId="658556D9" w14:textId="77777777"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b/>
          <w:i/>
          <w:iCs/>
          <w:lang w:eastAsia="en-US"/>
        </w:rPr>
      </w:pPr>
      <w:r w:rsidRPr="003A2F86">
        <w:rPr>
          <w:rFonts w:ascii="Arial" w:eastAsia="Calibri" w:hAnsi="Arial" w:cs="Arial"/>
          <w:b/>
          <w:i/>
          <w:iCs/>
          <w:lang w:eastAsia="en-US"/>
        </w:rPr>
        <w:lastRenderedPageBreak/>
        <w:t xml:space="preserve">* Dodatno obrazloženje uz prihode po posebnim propisima </w:t>
      </w:r>
      <w:r w:rsidRPr="003A2F86">
        <w:rPr>
          <w:rFonts w:ascii="Arial" w:eastAsia="Calibri" w:hAnsi="Arial" w:cs="Arial"/>
          <w:b/>
          <w:i/>
          <w:iCs/>
          <w:color w:val="FF0000"/>
          <w:lang w:eastAsia="en-US"/>
        </w:rPr>
        <w:t>(652)</w:t>
      </w:r>
      <w:r w:rsidR="00EC1C82" w:rsidRPr="003A2F86">
        <w:rPr>
          <w:rFonts w:ascii="Arial" w:eastAsia="Calibri" w:hAnsi="Arial" w:cs="Arial"/>
          <w:b/>
          <w:i/>
          <w:iCs/>
          <w:color w:val="FF0000"/>
          <w:lang w:eastAsia="en-US"/>
        </w:rPr>
        <w:t xml:space="preserve"> </w:t>
      </w:r>
      <w:r w:rsidR="00EC1C82" w:rsidRPr="003A2F86">
        <w:rPr>
          <w:rFonts w:ascii="Arial" w:eastAsia="Calibri" w:hAnsi="Arial" w:cs="Arial"/>
          <w:b/>
          <w:i/>
          <w:iCs/>
          <w:lang w:eastAsia="en-US"/>
        </w:rPr>
        <w:t xml:space="preserve">– </w:t>
      </w:r>
      <w:r w:rsidR="00EC1C82" w:rsidRPr="00AD1580">
        <w:rPr>
          <w:rFonts w:ascii="Arial" w:eastAsia="Calibri" w:hAnsi="Arial" w:cs="Arial"/>
          <w:b/>
          <w:i/>
          <w:iCs/>
          <w:color w:val="943634" w:themeColor="accent2" w:themeShade="BF"/>
          <w:lang w:eastAsia="en-US"/>
        </w:rPr>
        <w:t>proračunski korisnici</w:t>
      </w:r>
      <w:r w:rsidRPr="003A2F86">
        <w:rPr>
          <w:rFonts w:ascii="Arial" w:eastAsia="Calibri" w:hAnsi="Arial" w:cs="Arial"/>
          <w:b/>
          <w:i/>
          <w:iCs/>
          <w:lang w:eastAsia="en-US"/>
        </w:rPr>
        <w:t>:</w:t>
      </w:r>
    </w:p>
    <w:p w14:paraId="2467E2D0" w14:textId="0D58E71D" w:rsidR="00A43C21" w:rsidRDefault="00A43C21"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20FAC8A1" w14:textId="2712D4A4" w:rsidR="008F54E0" w:rsidRPr="003A2F86" w:rsidRDefault="008F54E0"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8F54E0">
        <w:rPr>
          <w:noProof/>
        </w:rPr>
        <w:drawing>
          <wp:inline distT="0" distB="0" distL="0" distR="0" wp14:anchorId="676AA021" wp14:editId="72361ED6">
            <wp:extent cx="9251950" cy="5342255"/>
            <wp:effectExtent l="0" t="0" r="6350" b="0"/>
            <wp:docPr id="1029791863"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251950" cy="5342255"/>
                    </a:xfrm>
                    <a:prstGeom prst="rect">
                      <a:avLst/>
                    </a:prstGeom>
                    <a:noFill/>
                    <a:ln>
                      <a:noFill/>
                    </a:ln>
                  </pic:spPr>
                </pic:pic>
              </a:graphicData>
            </a:graphic>
          </wp:inline>
        </w:drawing>
      </w:r>
    </w:p>
    <w:p w14:paraId="1881A7A4" w14:textId="2F23B133" w:rsidR="00597A79" w:rsidRPr="003A2F86" w:rsidRDefault="00597A79">
      <w:pPr>
        <w:rPr>
          <w:rFonts w:ascii="Arial" w:eastAsia="Calibri" w:hAnsi="Arial" w:cs="Arial"/>
          <w:lang w:eastAsia="en-US"/>
        </w:rPr>
      </w:pPr>
      <w:r w:rsidRPr="003A2F86">
        <w:rPr>
          <w:rFonts w:ascii="Arial" w:eastAsia="Calibri" w:hAnsi="Arial" w:cs="Arial"/>
          <w:lang w:eastAsia="en-US"/>
        </w:rPr>
        <w:br w:type="page"/>
      </w:r>
    </w:p>
    <w:p w14:paraId="163947F4" w14:textId="168B00C8" w:rsidR="00891119" w:rsidRPr="003A2F86" w:rsidRDefault="001D64C8" w:rsidP="001D64C8">
      <w:pPr>
        <w:pStyle w:val="Naslov4"/>
        <w:rPr>
          <w:rFonts w:ascii="Arial" w:hAnsi="Arial" w:cs="Arial"/>
          <w:lang w:val="hr-HR"/>
        </w:rPr>
      </w:pPr>
      <w:bookmarkStart w:id="135" w:name="_Toc232981391"/>
      <w:r w:rsidRPr="003A2F86">
        <w:rPr>
          <w:rFonts w:ascii="Arial" w:hAnsi="Arial" w:cs="Arial"/>
          <w:lang w:val="hr-HR"/>
        </w:rPr>
        <w:lastRenderedPageBreak/>
        <w:t>2.4.1</w:t>
      </w:r>
      <w:r w:rsidR="00891119" w:rsidRPr="003A2F86">
        <w:rPr>
          <w:rFonts w:ascii="Arial" w:hAnsi="Arial" w:cs="Arial"/>
          <w:lang w:val="hr-HR"/>
        </w:rPr>
        <w:t xml:space="preserve">.5. </w:t>
      </w:r>
      <w:r w:rsidR="00891119" w:rsidRPr="003A2F86">
        <w:rPr>
          <w:rFonts w:ascii="Arial" w:hAnsi="Arial" w:cs="Arial"/>
          <w:lang w:val="hr-HR"/>
        </w:rPr>
        <w:tab/>
      </w:r>
      <w:r w:rsidRPr="003A2F86">
        <w:rPr>
          <w:rFonts w:ascii="Arial" w:hAnsi="Arial" w:cs="Arial"/>
          <w:lang w:val="hr-HR"/>
        </w:rPr>
        <w:t>Prihodi od prodaje, donacija i o</w:t>
      </w:r>
      <w:r w:rsidR="00891119" w:rsidRPr="003A2F86">
        <w:rPr>
          <w:rFonts w:ascii="Arial" w:hAnsi="Arial" w:cs="Arial"/>
          <w:lang w:val="hr-HR"/>
        </w:rPr>
        <w:t xml:space="preserve">stali prihodi </w:t>
      </w:r>
      <w:r w:rsidR="00744D8B" w:rsidRPr="003A2F86">
        <w:rPr>
          <w:rFonts w:ascii="Arial" w:hAnsi="Arial" w:cs="Arial"/>
          <w:lang w:val="hr-HR"/>
        </w:rPr>
        <w:t>(66 i 68)</w:t>
      </w:r>
      <w:bookmarkEnd w:id="135"/>
    </w:p>
    <w:p w14:paraId="2E8A2047" w14:textId="77777777" w:rsidR="00891119" w:rsidRPr="003A2F86" w:rsidRDefault="00891119" w:rsidP="00891119">
      <w:pPr>
        <w:tabs>
          <w:tab w:val="left" w:pos="567"/>
        </w:tabs>
        <w:spacing w:after="0" w:line="240" w:lineRule="auto"/>
        <w:jc w:val="both"/>
        <w:rPr>
          <w:rFonts w:ascii="Arial" w:eastAsia="Times New Roman" w:hAnsi="Arial" w:cs="Arial"/>
          <w:lang w:eastAsia="en-US"/>
        </w:rPr>
      </w:pPr>
    </w:p>
    <w:p w14:paraId="040505F5" w14:textId="77777777" w:rsidR="00891119" w:rsidRPr="003A2F86" w:rsidRDefault="00891119" w:rsidP="00891119">
      <w:pPr>
        <w:tabs>
          <w:tab w:val="left" w:pos="567"/>
        </w:tabs>
        <w:spacing w:after="0" w:line="240" w:lineRule="auto"/>
        <w:jc w:val="both"/>
        <w:rPr>
          <w:rFonts w:ascii="Arial" w:eastAsia="Times New Roman" w:hAnsi="Arial" w:cs="Arial"/>
          <w:lang w:eastAsia="en-US"/>
        </w:rPr>
      </w:pPr>
      <w:r w:rsidRPr="003A2F86">
        <w:rPr>
          <w:rFonts w:ascii="Arial" w:eastAsia="Times New Roman" w:hAnsi="Arial" w:cs="Arial"/>
          <w:lang w:eastAsia="en-US"/>
        </w:rPr>
        <w:t>Ostali prihodi se odnose na prihode od prodaje proizvoda i pruženih usluga (vlastiti prihodi, 661), prihode od donacija (663), te prihode od kazni i ostalih prihoda (681 i 683).</w:t>
      </w:r>
    </w:p>
    <w:p w14:paraId="4FC24A64" w14:textId="77777777" w:rsidR="00F4256F" w:rsidRPr="003A2F86" w:rsidRDefault="00F4256F" w:rsidP="00891119">
      <w:pPr>
        <w:tabs>
          <w:tab w:val="left" w:pos="567"/>
        </w:tabs>
        <w:spacing w:after="0" w:line="240" w:lineRule="auto"/>
        <w:jc w:val="both"/>
        <w:rPr>
          <w:rFonts w:ascii="Arial" w:eastAsia="Times New Roman" w:hAnsi="Arial" w:cs="Arial"/>
          <w:lang w:eastAsia="en-US"/>
        </w:rPr>
      </w:pPr>
    </w:p>
    <w:p w14:paraId="3BF46BF6" w14:textId="7224EDFF" w:rsidR="003930C1" w:rsidRDefault="00FD6017" w:rsidP="005D412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3A2F86">
        <w:rPr>
          <w:rFonts w:ascii="Arial" w:eastAsia="Calibri" w:hAnsi="Arial" w:cs="Arial"/>
          <w:b/>
          <w:lang w:eastAsia="en-US"/>
        </w:rPr>
        <w:t xml:space="preserve">Prihodi od prodaje proizvoda i robe, te pruženih usluga i prihodi od donacija </w:t>
      </w:r>
      <w:r w:rsidRPr="003A2F86">
        <w:rPr>
          <w:rFonts w:ascii="Arial" w:eastAsia="Calibri" w:hAnsi="Arial" w:cs="Arial"/>
          <w:lang w:eastAsia="en-US"/>
        </w:rPr>
        <w:t xml:space="preserve">(66) </w:t>
      </w:r>
      <w:r w:rsidR="003930C1" w:rsidRPr="003930C1">
        <w:rPr>
          <w:rFonts w:ascii="Arial" w:eastAsia="Calibri" w:hAnsi="Arial" w:cs="Arial"/>
          <w:lang w:eastAsia="en-US"/>
        </w:rPr>
        <w:t xml:space="preserve">ostvareni su u iznosu 635.782,32 € što je za 304.926,29 € ili 92,2% više u odnosu na prethodnu godinu. </w:t>
      </w:r>
    </w:p>
    <w:p w14:paraId="4969F7F5" w14:textId="77777777" w:rsidR="0053323F" w:rsidRPr="005D412F" w:rsidRDefault="0053323F" w:rsidP="005D412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7E23D559" w14:textId="6A1992E3"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color w:val="1F497D" w:themeColor="text2"/>
          <w:szCs w:val="24"/>
        </w:rPr>
      </w:pPr>
      <w:r w:rsidRPr="003A2F86">
        <w:rPr>
          <w:rFonts w:ascii="Arial" w:eastAsia="Times New Roman" w:hAnsi="Arial" w:cs="Arial"/>
          <w:color w:val="1F497D" w:themeColor="text2"/>
        </w:rPr>
        <w:t>Ukupni prihodi od prodaje proizvoda i robe, te pruženih usluga i prihodi od donacija (</w:t>
      </w:r>
      <w:r w:rsidRPr="003A2F86">
        <w:rPr>
          <w:rFonts w:ascii="Arial" w:eastAsia="Times New Roman" w:hAnsi="Arial" w:cs="Arial"/>
          <w:b/>
          <w:bCs/>
          <w:color w:val="1F497D" w:themeColor="text2"/>
        </w:rPr>
        <w:t>66</w:t>
      </w:r>
      <w:r w:rsidRPr="003A2F86">
        <w:rPr>
          <w:rFonts w:ascii="Arial" w:eastAsia="Times New Roman" w:hAnsi="Arial" w:cs="Arial"/>
          <w:color w:val="1F497D" w:themeColor="text2"/>
        </w:rPr>
        <w:t xml:space="preserve">) Općine iznose </w:t>
      </w:r>
      <w:bookmarkStart w:id="136" w:name="_Hlk145932018"/>
      <w:r w:rsidR="0053323F">
        <w:rPr>
          <w:rFonts w:ascii="Arial" w:eastAsia="Times New Roman" w:hAnsi="Arial" w:cs="Arial"/>
          <w:color w:val="1F497D" w:themeColor="text2"/>
        </w:rPr>
        <w:t>514.673,03</w:t>
      </w:r>
      <w:r w:rsidR="001E1408" w:rsidRPr="003A2F86">
        <w:rPr>
          <w:rFonts w:ascii="Arial" w:eastAsia="Times New Roman" w:hAnsi="Arial" w:cs="Arial"/>
          <w:color w:val="1F497D" w:themeColor="text2"/>
        </w:rPr>
        <w:t xml:space="preserve"> €</w:t>
      </w:r>
      <w:r w:rsidR="00D702F6" w:rsidRPr="003A2F86">
        <w:rPr>
          <w:rFonts w:ascii="Arial" w:eastAsia="Times New Roman" w:hAnsi="Arial" w:cs="Arial"/>
          <w:color w:val="1F497D" w:themeColor="text2"/>
        </w:rPr>
        <w:t xml:space="preserve"> (donacije </w:t>
      </w:r>
      <w:r w:rsidR="0053323F">
        <w:rPr>
          <w:rFonts w:ascii="Arial" w:eastAsia="Times New Roman" w:hAnsi="Arial" w:cs="Arial"/>
          <w:color w:val="1F497D" w:themeColor="text2"/>
        </w:rPr>
        <w:t>514.354,70</w:t>
      </w:r>
      <w:r w:rsidR="00D702F6" w:rsidRPr="003A2F86">
        <w:rPr>
          <w:rFonts w:ascii="Arial" w:eastAsia="Times New Roman" w:hAnsi="Arial" w:cs="Arial"/>
          <w:color w:val="1F497D" w:themeColor="text2"/>
        </w:rPr>
        <w:t xml:space="preserve"> € i prihodi od prodaje </w:t>
      </w:r>
      <w:r w:rsidR="0053323F">
        <w:rPr>
          <w:rFonts w:ascii="Arial" w:eastAsia="Times New Roman" w:hAnsi="Arial" w:cs="Arial"/>
          <w:color w:val="1F497D" w:themeColor="text2"/>
        </w:rPr>
        <w:t>318,33</w:t>
      </w:r>
      <w:r w:rsidR="00770CDF">
        <w:rPr>
          <w:rFonts w:ascii="Arial" w:eastAsia="Times New Roman" w:hAnsi="Arial" w:cs="Arial"/>
          <w:color w:val="1F497D" w:themeColor="text2"/>
        </w:rPr>
        <w:t>9</w:t>
      </w:r>
      <w:r w:rsidR="00D702F6" w:rsidRPr="003A2F86">
        <w:rPr>
          <w:rFonts w:ascii="Arial" w:eastAsia="Times New Roman" w:hAnsi="Arial" w:cs="Arial"/>
          <w:color w:val="1F497D" w:themeColor="text2"/>
        </w:rPr>
        <w:t xml:space="preserve"> €)</w:t>
      </w:r>
      <w:r w:rsidRPr="003A2F86">
        <w:rPr>
          <w:rFonts w:ascii="Arial" w:eastAsia="Times New Roman" w:hAnsi="Arial" w:cs="Arial"/>
          <w:color w:val="1F497D" w:themeColor="text2"/>
        </w:rPr>
        <w:t xml:space="preserve">, </w:t>
      </w:r>
      <w:bookmarkEnd w:id="136"/>
      <w:r w:rsidRPr="003A2F86">
        <w:rPr>
          <w:rFonts w:ascii="Arial" w:eastAsia="Times New Roman" w:hAnsi="Arial" w:cs="Arial"/>
          <w:color w:val="1F497D" w:themeColor="text2"/>
        </w:rPr>
        <w:t xml:space="preserve">a </w:t>
      </w:r>
      <w:r w:rsidRPr="003A2F86">
        <w:rPr>
          <w:rFonts w:ascii="Arial" w:eastAsia="Times New Roman" w:hAnsi="Arial" w:cs="Arial"/>
          <w:color w:val="1F497D" w:themeColor="text2"/>
          <w:szCs w:val="24"/>
        </w:rPr>
        <w:t xml:space="preserve">prihodi proračunskih korisnika </w:t>
      </w:r>
      <w:bookmarkStart w:id="137" w:name="_Hlk145932039"/>
      <w:r w:rsidR="0053323F">
        <w:rPr>
          <w:rFonts w:ascii="Arial" w:eastAsia="Times New Roman" w:hAnsi="Arial" w:cs="Arial"/>
          <w:color w:val="1F497D" w:themeColor="text2"/>
          <w:szCs w:val="24"/>
        </w:rPr>
        <w:t>121.109,29</w:t>
      </w:r>
      <w:r w:rsidR="001E1408" w:rsidRPr="003A2F86">
        <w:rPr>
          <w:rFonts w:ascii="Arial" w:eastAsia="Times New Roman" w:hAnsi="Arial" w:cs="Arial"/>
          <w:color w:val="1F497D" w:themeColor="text2"/>
          <w:szCs w:val="24"/>
        </w:rPr>
        <w:t xml:space="preserve"> €</w:t>
      </w:r>
      <w:r w:rsidR="00D702F6" w:rsidRPr="003A2F86">
        <w:rPr>
          <w:rFonts w:ascii="Arial" w:eastAsia="Times New Roman" w:hAnsi="Arial" w:cs="Arial"/>
          <w:color w:val="1F497D" w:themeColor="text2"/>
          <w:szCs w:val="24"/>
        </w:rPr>
        <w:t xml:space="preserve"> (donacije </w:t>
      </w:r>
      <w:r w:rsidR="0053323F">
        <w:rPr>
          <w:rFonts w:ascii="Arial" w:eastAsia="Times New Roman" w:hAnsi="Arial" w:cs="Arial"/>
          <w:color w:val="1F497D" w:themeColor="text2"/>
          <w:szCs w:val="24"/>
        </w:rPr>
        <w:t>4.262,26</w:t>
      </w:r>
      <w:r w:rsidR="00D702F6" w:rsidRPr="003A2F86">
        <w:rPr>
          <w:rFonts w:ascii="Arial" w:eastAsia="Times New Roman" w:hAnsi="Arial" w:cs="Arial"/>
          <w:color w:val="1F497D" w:themeColor="text2"/>
          <w:szCs w:val="24"/>
        </w:rPr>
        <w:t xml:space="preserve"> € i prihodi od prodaje </w:t>
      </w:r>
      <w:r w:rsidR="0053323F">
        <w:rPr>
          <w:rFonts w:ascii="Arial" w:eastAsia="Times New Roman" w:hAnsi="Arial" w:cs="Arial"/>
          <w:color w:val="1F497D" w:themeColor="text2"/>
          <w:szCs w:val="24"/>
        </w:rPr>
        <w:t>116.847,03</w:t>
      </w:r>
      <w:r w:rsidR="00D702F6" w:rsidRPr="003A2F86">
        <w:rPr>
          <w:rFonts w:ascii="Arial" w:eastAsia="Times New Roman" w:hAnsi="Arial" w:cs="Arial"/>
          <w:color w:val="1F497D" w:themeColor="text2"/>
          <w:szCs w:val="24"/>
        </w:rPr>
        <w:t xml:space="preserve"> €)</w:t>
      </w:r>
      <w:r w:rsidRPr="003A2F86">
        <w:rPr>
          <w:rFonts w:ascii="Arial" w:eastAsia="Times New Roman" w:hAnsi="Arial" w:cs="Arial"/>
          <w:color w:val="1F497D" w:themeColor="text2"/>
          <w:szCs w:val="24"/>
        </w:rPr>
        <w:t>.</w:t>
      </w:r>
      <w:bookmarkEnd w:id="137"/>
    </w:p>
    <w:p w14:paraId="3FBCC58C" w14:textId="77777777"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1EE7DA3A" w14:textId="78010189" w:rsidR="00D702F6" w:rsidRPr="003A2F86" w:rsidRDefault="00D702F6" w:rsidP="00D702F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3A2F86">
        <w:rPr>
          <w:rFonts w:ascii="Arial" w:eastAsia="Calibri" w:hAnsi="Arial" w:cs="Arial"/>
          <w:lang w:eastAsia="en-US"/>
        </w:rPr>
        <w:t xml:space="preserve">Prihodi od usluga (661) u iznosu </w:t>
      </w:r>
      <w:r w:rsidR="0053323F">
        <w:rPr>
          <w:rFonts w:ascii="Arial" w:eastAsia="Calibri" w:hAnsi="Arial" w:cs="Arial"/>
          <w:lang w:eastAsia="en-US"/>
        </w:rPr>
        <w:t xml:space="preserve">117.165,36 </w:t>
      </w:r>
      <w:r w:rsidRPr="003A2F86">
        <w:rPr>
          <w:rFonts w:ascii="Arial" w:eastAsia="Calibri" w:hAnsi="Arial" w:cs="Arial"/>
          <w:lang w:eastAsia="en-US"/>
        </w:rPr>
        <w:t xml:space="preserve">€ se odnose na prihode Općine u iznosu </w:t>
      </w:r>
      <w:r w:rsidR="0053323F">
        <w:rPr>
          <w:rFonts w:ascii="Arial" w:eastAsia="Calibri" w:hAnsi="Arial" w:cs="Arial"/>
          <w:lang w:eastAsia="en-US"/>
        </w:rPr>
        <w:t>318,33</w:t>
      </w:r>
      <w:r w:rsidRPr="003A2F86">
        <w:rPr>
          <w:rFonts w:ascii="Arial" w:eastAsia="Calibri" w:hAnsi="Arial" w:cs="Arial"/>
          <w:lang w:eastAsia="en-US"/>
        </w:rPr>
        <w:t xml:space="preserve"> € od samoproizvodnje električne energije putem solarne elektrane na krovu zgrade (ovi prihodi prvi put ostvareni 2022. godine), te prihode proračunskih korisnika </w:t>
      </w:r>
      <w:r w:rsidR="0053323F">
        <w:rPr>
          <w:rFonts w:ascii="Arial" w:eastAsia="Calibri" w:hAnsi="Arial" w:cs="Arial"/>
          <w:lang w:eastAsia="en-US"/>
        </w:rPr>
        <w:t>116.847,03</w:t>
      </w:r>
      <w:r w:rsidRPr="003A2F86">
        <w:rPr>
          <w:rFonts w:ascii="Arial" w:eastAsia="Calibri" w:hAnsi="Arial" w:cs="Arial"/>
          <w:lang w:eastAsia="en-US"/>
        </w:rPr>
        <w:t xml:space="preserve"> €.</w:t>
      </w:r>
    </w:p>
    <w:p w14:paraId="2F6EAEAC" w14:textId="77777777" w:rsidR="00363C5F" w:rsidRDefault="00363C5F" w:rsidP="00363C5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0B99EA8A" w14:textId="47C31210" w:rsidR="00363C5F" w:rsidRDefault="00363C5F" w:rsidP="00363C5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363C5F">
        <w:rPr>
          <w:rFonts w:ascii="Arial" w:eastAsia="Calibri" w:hAnsi="Arial" w:cs="Arial"/>
          <w:lang w:eastAsia="en-US"/>
        </w:rPr>
        <w:t xml:space="preserve">Prihodi od donacija </w:t>
      </w:r>
      <w:r>
        <w:rPr>
          <w:rFonts w:ascii="Arial" w:eastAsia="Calibri" w:hAnsi="Arial" w:cs="Arial"/>
          <w:lang w:eastAsia="en-US"/>
        </w:rPr>
        <w:t xml:space="preserve">(663) </w:t>
      </w:r>
      <w:r w:rsidRPr="00363C5F">
        <w:rPr>
          <w:rFonts w:ascii="Arial" w:eastAsia="Calibri" w:hAnsi="Arial" w:cs="Arial"/>
          <w:lang w:eastAsia="en-US"/>
        </w:rPr>
        <w:t>su ostvareni</w:t>
      </w:r>
      <w:r>
        <w:rPr>
          <w:rFonts w:ascii="Arial" w:eastAsia="Calibri" w:hAnsi="Arial" w:cs="Arial"/>
          <w:lang w:eastAsia="en-US"/>
        </w:rPr>
        <w:t xml:space="preserve"> u iznosu </w:t>
      </w:r>
      <w:r w:rsidR="0053323F">
        <w:rPr>
          <w:rFonts w:ascii="Arial" w:eastAsia="Calibri" w:hAnsi="Arial" w:cs="Arial"/>
          <w:lang w:eastAsia="en-US"/>
        </w:rPr>
        <w:t>518.616,96</w:t>
      </w:r>
      <w:r>
        <w:rPr>
          <w:rFonts w:ascii="Arial" w:eastAsia="Calibri" w:hAnsi="Arial" w:cs="Arial"/>
          <w:lang w:eastAsia="en-US"/>
        </w:rPr>
        <w:t xml:space="preserve"> €</w:t>
      </w:r>
      <w:r w:rsidR="00F00D43">
        <w:rPr>
          <w:rFonts w:ascii="Arial" w:eastAsia="Calibri" w:hAnsi="Arial" w:cs="Arial"/>
          <w:lang w:eastAsia="en-US"/>
        </w:rPr>
        <w:t xml:space="preserve"> i odnose </w:t>
      </w:r>
      <w:r w:rsidR="0053323F">
        <w:rPr>
          <w:rFonts w:ascii="Arial" w:eastAsia="Calibri" w:hAnsi="Arial" w:cs="Arial"/>
          <w:lang w:eastAsia="en-US"/>
        </w:rPr>
        <w:t xml:space="preserve">se </w:t>
      </w:r>
      <w:r w:rsidR="00F00D43">
        <w:rPr>
          <w:rFonts w:ascii="Arial" w:eastAsia="Calibri" w:hAnsi="Arial" w:cs="Arial"/>
          <w:lang w:eastAsia="en-US"/>
        </w:rPr>
        <w:t>na prihode Općine</w:t>
      </w:r>
      <w:r w:rsidR="0053323F">
        <w:rPr>
          <w:rFonts w:ascii="Arial" w:eastAsia="Calibri" w:hAnsi="Arial" w:cs="Arial"/>
          <w:lang w:eastAsia="en-US"/>
        </w:rPr>
        <w:t xml:space="preserve"> u iznosu 514.354,70 € i prihode proračunskog korisnika (Muzeji i galerije Konavala</w:t>
      </w:r>
      <w:r w:rsidR="00D17A2C">
        <w:rPr>
          <w:rFonts w:ascii="Arial" w:eastAsia="Calibri" w:hAnsi="Arial" w:cs="Arial"/>
          <w:lang w:eastAsia="en-US"/>
        </w:rPr>
        <w:t xml:space="preserve"> i Dom za starije i nemoćne osobe</w:t>
      </w:r>
      <w:r w:rsidR="0053323F">
        <w:rPr>
          <w:rFonts w:ascii="Arial" w:eastAsia="Calibri" w:hAnsi="Arial" w:cs="Arial"/>
          <w:lang w:eastAsia="en-US"/>
        </w:rPr>
        <w:t>) 4.262,26 €</w:t>
      </w:r>
      <w:r w:rsidR="00F00D43">
        <w:rPr>
          <w:rFonts w:ascii="Arial" w:eastAsia="Calibri" w:hAnsi="Arial" w:cs="Arial"/>
          <w:lang w:eastAsia="en-US"/>
        </w:rPr>
        <w:t>.</w:t>
      </w:r>
    </w:p>
    <w:p w14:paraId="1CF212E7" w14:textId="77777777" w:rsidR="00363C5F" w:rsidRPr="00363C5F" w:rsidRDefault="00363C5F" w:rsidP="00363C5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442FD580" w14:textId="46C19DBE" w:rsidR="00363C5F" w:rsidRPr="00363C5F" w:rsidRDefault="00363C5F" w:rsidP="00363C5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363C5F">
        <w:rPr>
          <w:rFonts w:ascii="Arial" w:eastAsia="Calibri" w:hAnsi="Arial" w:cs="Arial"/>
          <w:lang w:eastAsia="en-US"/>
        </w:rPr>
        <w:t xml:space="preserve">Prihodi Općine od donacija </w:t>
      </w:r>
      <w:r>
        <w:rPr>
          <w:rFonts w:ascii="Arial" w:eastAsia="Calibri" w:hAnsi="Arial" w:cs="Arial"/>
          <w:lang w:eastAsia="en-US"/>
        </w:rPr>
        <w:t xml:space="preserve">(663) </w:t>
      </w:r>
      <w:r w:rsidRPr="00363C5F">
        <w:rPr>
          <w:rFonts w:ascii="Arial" w:eastAsia="Calibri" w:hAnsi="Arial" w:cs="Arial"/>
          <w:lang w:eastAsia="en-US"/>
        </w:rPr>
        <w:t>se odnose na:</w:t>
      </w:r>
    </w:p>
    <w:p w14:paraId="7A1E613E" w14:textId="7EBB2E4F" w:rsidR="00363C5F" w:rsidRDefault="00363C5F">
      <w:pPr>
        <w:numPr>
          <w:ilvl w:val="0"/>
          <w:numId w:val="1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363C5F">
        <w:rPr>
          <w:rFonts w:ascii="Arial" w:eastAsia="Calibri" w:hAnsi="Arial" w:cs="Arial"/>
          <w:lang w:eastAsia="en-US"/>
        </w:rPr>
        <w:t xml:space="preserve">donacija za mjesne odbore </w:t>
      </w:r>
      <w:r w:rsidR="0053323F">
        <w:rPr>
          <w:rFonts w:ascii="Arial" w:eastAsia="Calibri" w:hAnsi="Arial" w:cs="Arial"/>
          <w:lang w:eastAsia="en-US"/>
        </w:rPr>
        <w:t>158</w:t>
      </w:r>
      <w:r w:rsidRPr="00363C5F">
        <w:rPr>
          <w:rFonts w:ascii="Arial" w:eastAsia="Calibri" w:hAnsi="Arial" w:cs="Arial"/>
          <w:lang w:eastAsia="en-US"/>
        </w:rPr>
        <w:t>,00 €,</w:t>
      </w:r>
    </w:p>
    <w:p w14:paraId="5AD7240D" w14:textId="2199EB54" w:rsidR="00DD1A91" w:rsidRPr="00363C5F" w:rsidRDefault="00DD1A91">
      <w:pPr>
        <w:numPr>
          <w:ilvl w:val="0"/>
          <w:numId w:val="1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DD1A91">
        <w:rPr>
          <w:rFonts w:ascii="Arial" w:eastAsia="Calibri" w:hAnsi="Arial" w:cs="Arial"/>
          <w:lang w:eastAsia="en-US"/>
        </w:rPr>
        <w:t>donacija turističke zajednice 84.088,30 € za komunalna uređenja,</w:t>
      </w:r>
    </w:p>
    <w:p w14:paraId="7A858E3E" w14:textId="4E9AAD76" w:rsidR="00363C5F" w:rsidRPr="00363C5F" w:rsidRDefault="00363C5F">
      <w:pPr>
        <w:numPr>
          <w:ilvl w:val="0"/>
          <w:numId w:val="1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363C5F">
        <w:rPr>
          <w:rFonts w:ascii="Arial" w:eastAsia="Calibri" w:hAnsi="Arial" w:cs="Arial"/>
          <w:lang w:eastAsia="en-US"/>
        </w:rPr>
        <w:t xml:space="preserve">donacija za sufinanciranje strateškog projekta Marina Cavtat &amp; resort </w:t>
      </w:r>
      <w:r w:rsidR="0053323F">
        <w:rPr>
          <w:rFonts w:ascii="Arial" w:eastAsia="Calibri" w:hAnsi="Arial" w:cs="Arial"/>
          <w:lang w:eastAsia="en-US"/>
        </w:rPr>
        <w:t>47.808,88</w:t>
      </w:r>
      <w:r w:rsidRPr="00363C5F">
        <w:rPr>
          <w:rFonts w:ascii="Arial" w:eastAsia="Calibri" w:hAnsi="Arial" w:cs="Arial"/>
          <w:lang w:eastAsia="en-US"/>
        </w:rPr>
        <w:t xml:space="preserve"> € (donacija pravne osobe),</w:t>
      </w:r>
    </w:p>
    <w:p w14:paraId="522B811B" w14:textId="2DAD7EDD" w:rsidR="00DD1A91" w:rsidRDefault="00363C5F" w:rsidP="00DD1A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rPr>
      </w:pPr>
      <w:r w:rsidRPr="00363C5F">
        <w:rPr>
          <w:rFonts w:ascii="Arial" w:eastAsia="Calibri" w:hAnsi="Arial" w:cs="Arial"/>
          <w:lang w:eastAsia="en-US"/>
        </w:rPr>
        <w:t xml:space="preserve">donacija </w:t>
      </w:r>
      <w:r w:rsidR="004E51FF">
        <w:rPr>
          <w:rFonts w:ascii="Arial" w:eastAsia="Calibri" w:hAnsi="Arial" w:cs="Arial"/>
          <w:lang w:eastAsia="en-US"/>
        </w:rPr>
        <w:t>Zračne luke</w:t>
      </w:r>
      <w:r w:rsidRPr="00363C5F">
        <w:rPr>
          <w:rFonts w:ascii="Arial" w:eastAsia="Calibri" w:hAnsi="Arial" w:cs="Arial"/>
          <w:lang w:eastAsia="en-US"/>
        </w:rPr>
        <w:t xml:space="preserve"> </w:t>
      </w:r>
      <w:r w:rsidR="004E51FF">
        <w:rPr>
          <w:rFonts w:ascii="Arial" w:eastAsia="Calibri" w:hAnsi="Arial" w:cs="Arial"/>
          <w:lang w:eastAsia="en-US"/>
        </w:rPr>
        <w:t>18.896</w:t>
      </w:r>
      <w:r w:rsidRPr="00363C5F">
        <w:rPr>
          <w:rFonts w:ascii="Arial" w:eastAsia="Calibri" w:hAnsi="Arial" w:cs="Arial"/>
          <w:lang w:eastAsia="en-US"/>
        </w:rPr>
        <w:t xml:space="preserve"> € </w:t>
      </w:r>
      <w:r w:rsidR="00DD1A91">
        <w:rPr>
          <w:rFonts w:ascii="Arial" w:eastAsia="Calibri" w:hAnsi="Arial" w:cs="Arial"/>
        </w:rPr>
        <w:t>(za opremanje dječjeg igrališta 6.746 €, za prijevod knjige s portugalskog 3.000 €, te za nabavu slike Vlaha Bukovca 9.150 €), te</w:t>
      </w:r>
    </w:p>
    <w:p w14:paraId="7D9A2C37" w14:textId="15990475" w:rsidR="00363C5F" w:rsidRPr="00DD1A91" w:rsidRDefault="00363C5F">
      <w:pPr>
        <w:pStyle w:val="Odlomakpopisa"/>
        <w:numPr>
          <w:ilvl w:val="0"/>
          <w:numId w:val="1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rPr>
          <w:rFonts w:ascii="Arial" w:eastAsia="Calibri" w:hAnsi="Arial" w:cs="Arial"/>
        </w:rPr>
      </w:pPr>
      <w:r w:rsidRPr="00DD1A91">
        <w:rPr>
          <w:rFonts w:ascii="Arial" w:eastAsia="Calibri" w:hAnsi="Arial" w:cs="Arial"/>
        </w:rPr>
        <w:t xml:space="preserve">donacija pravne osobe </w:t>
      </w:r>
      <w:r w:rsidR="004A4F99" w:rsidRPr="00DD1A91">
        <w:rPr>
          <w:rFonts w:ascii="Arial" w:eastAsia="Calibri" w:hAnsi="Arial" w:cs="Arial"/>
        </w:rPr>
        <w:t xml:space="preserve">(glavnog partnera) </w:t>
      </w:r>
      <w:r w:rsidRPr="00DD1A91">
        <w:rPr>
          <w:rFonts w:ascii="Arial" w:eastAsia="Calibri" w:hAnsi="Arial" w:cs="Arial"/>
        </w:rPr>
        <w:t>za provedbu EU projekta Crossmart</w:t>
      </w:r>
      <w:r w:rsidR="00DD1A91">
        <w:rPr>
          <w:rFonts w:ascii="Arial" w:eastAsia="Calibri" w:hAnsi="Arial" w:cs="Arial"/>
        </w:rPr>
        <w:t xml:space="preserve"> u iznosu 363.403,52 €</w:t>
      </w:r>
      <w:r w:rsidRPr="00DD1A91">
        <w:rPr>
          <w:rFonts w:ascii="Arial" w:eastAsia="Calibri" w:hAnsi="Arial" w:cs="Arial"/>
        </w:rPr>
        <w:t>.</w:t>
      </w:r>
    </w:p>
    <w:p w14:paraId="0EAD7D25" w14:textId="77777777" w:rsidR="00DD1A91" w:rsidRDefault="00DD1A91" w:rsidP="00D702F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76886236" w14:textId="77777777" w:rsidR="00DD1A91" w:rsidRPr="00DD1A91" w:rsidRDefault="00DD1A91" w:rsidP="00DD1A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360"/>
        <w:jc w:val="both"/>
        <w:rPr>
          <w:rFonts w:ascii="Arial" w:eastAsia="Calibri" w:hAnsi="Arial" w:cs="Arial"/>
          <w:sz w:val="16"/>
          <w:szCs w:val="16"/>
          <w:lang w:eastAsia="en-US"/>
        </w:rPr>
      </w:pPr>
      <w:r w:rsidRPr="00DD1A91">
        <w:rPr>
          <w:rFonts w:ascii="Arial" w:eastAsia="Calibri" w:hAnsi="Arial" w:cs="Arial"/>
          <w:sz w:val="16"/>
          <w:szCs w:val="16"/>
          <w:lang w:eastAsia="en-US"/>
        </w:rPr>
        <w:t xml:space="preserve">Prihodi Općine od donacija su u </w:t>
      </w:r>
      <w:r w:rsidRPr="00DD1A91">
        <w:rPr>
          <w:rFonts w:ascii="Arial" w:eastAsia="Calibri" w:hAnsi="Arial" w:cs="Arial"/>
          <w:b/>
          <w:bCs/>
          <w:sz w:val="16"/>
          <w:szCs w:val="16"/>
          <w:lang w:eastAsia="en-US"/>
        </w:rPr>
        <w:t>2024</w:t>
      </w:r>
      <w:r w:rsidRPr="00DD1A91">
        <w:rPr>
          <w:rFonts w:ascii="Arial" w:eastAsia="Calibri" w:hAnsi="Arial" w:cs="Arial"/>
          <w:sz w:val="16"/>
          <w:szCs w:val="16"/>
          <w:lang w:eastAsia="en-US"/>
        </w:rPr>
        <w:t>. godini bili ostvareni u iznosu 220.310,35 € što je za 117.120,42 € ili 113,5% više nego prethodne godine (a najvećim dijelom radi donacije / predujma za provedbu novog projekta Crossmart). Donacije se odnose na:</w:t>
      </w:r>
    </w:p>
    <w:p w14:paraId="692C9C3D" w14:textId="77777777" w:rsidR="00DD1A91" w:rsidRPr="00DD1A91" w:rsidRDefault="00DD1A91" w:rsidP="00DD1A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360"/>
        <w:jc w:val="both"/>
        <w:rPr>
          <w:rFonts w:ascii="Arial" w:eastAsia="Calibri" w:hAnsi="Arial" w:cs="Arial"/>
          <w:sz w:val="16"/>
          <w:szCs w:val="16"/>
          <w:lang w:eastAsia="en-US"/>
        </w:rPr>
      </w:pPr>
      <w:r w:rsidRPr="00DD1A91">
        <w:rPr>
          <w:rFonts w:ascii="Arial" w:eastAsia="Calibri" w:hAnsi="Arial" w:cs="Arial"/>
          <w:sz w:val="16"/>
          <w:szCs w:val="16"/>
          <w:lang w:eastAsia="en-US"/>
        </w:rPr>
        <w:t>-</w:t>
      </w:r>
      <w:r w:rsidRPr="00DD1A91">
        <w:rPr>
          <w:rFonts w:ascii="Arial" w:eastAsia="Calibri" w:hAnsi="Arial" w:cs="Arial"/>
          <w:sz w:val="16"/>
          <w:szCs w:val="16"/>
          <w:lang w:eastAsia="en-US"/>
        </w:rPr>
        <w:tab/>
        <w:t>donacija za mjesne odbore 5.080,00 €,</w:t>
      </w:r>
    </w:p>
    <w:p w14:paraId="6F72BC47" w14:textId="77777777" w:rsidR="00DD1A91" w:rsidRPr="00DD1A91" w:rsidRDefault="00DD1A91" w:rsidP="00DD1A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360"/>
        <w:jc w:val="both"/>
        <w:rPr>
          <w:rFonts w:ascii="Arial" w:eastAsia="Calibri" w:hAnsi="Arial" w:cs="Arial"/>
          <w:sz w:val="16"/>
          <w:szCs w:val="16"/>
          <w:lang w:eastAsia="en-US"/>
        </w:rPr>
      </w:pPr>
      <w:r w:rsidRPr="00DD1A91">
        <w:rPr>
          <w:rFonts w:ascii="Arial" w:eastAsia="Calibri" w:hAnsi="Arial" w:cs="Arial"/>
          <w:sz w:val="16"/>
          <w:szCs w:val="16"/>
          <w:lang w:eastAsia="en-US"/>
        </w:rPr>
        <w:t>-</w:t>
      </w:r>
      <w:r w:rsidRPr="00DD1A91">
        <w:rPr>
          <w:rFonts w:ascii="Arial" w:eastAsia="Calibri" w:hAnsi="Arial" w:cs="Arial"/>
          <w:sz w:val="16"/>
          <w:szCs w:val="16"/>
          <w:lang w:eastAsia="en-US"/>
        </w:rPr>
        <w:tab/>
        <w:t>donacija za sufinanciranje strateškog projekta Marina Cavtat &amp; resort 40.087,94 € (donacija pravne osobe),</w:t>
      </w:r>
    </w:p>
    <w:p w14:paraId="1FADF41E" w14:textId="77777777" w:rsidR="00DD1A91" w:rsidRPr="00DD1A91" w:rsidRDefault="00DD1A91" w:rsidP="00DD1A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360"/>
        <w:jc w:val="both"/>
        <w:rPr>
          <w:rFonts w:ascii="Arial" w:eastAsia="Calibri" w:hAnsi="Arial" w:cs="Arial"/>
          <w:sz w:val="16"/>
          <w:szCs w:val="16"/>
          <w:lang w:eastAsia="en-US"/>
        </w:rPr>
      </w:pPr>
      <w:r w:rsidRPr="00DD1A91">
        <w:rPr>
          <w:rFonts w:ascii="Arial" w:eastAsia="Calibri" w:hAnsi="Arial" w:cs="Arial"/>
          <w:sz w:val="16"/>
          <w:szCs w:val="16"/>
          <w:lang w:eastAsia="en-US"/>
        </w:rPr>
        <w:t>-</w:t>
      </w:r>
      <w:r w:rsidRPr="00DD1A91">
        <w:rPr>
          <w:rFonts w:ascii="Arial" w:eastAsia="Calibri" w:hAnsi="Arial" w:cs="Arial"/>
          <w:sz w:val="16"/>
          <w:szCs w:val="16"/>
          <w:lang w:eastAsia="en-US"/>
        </w:rPr>
        <w:tab/>
        <w:t xml:space="preserve">donacija turističke zajednice 48.197,41 € za komunalna uređenja, te </w:t>
      </w:r>
    </w:p>
    <w:p w14:paraId="7B2105A2" w14:textId="6F7AF458" w:rsidR="00DD1A91" w:rsidRDefault="00DD1A91" w:rsidP="00DD1A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360"/>
        <w:jc w:val="both"/>
        <w:rPr>
          <w:rFonts w:ascii="Arial" w:eastAsia="Calibri" w:hAnsi="Arial" w:cs="Arial"/>
          <w:sz w:val="16"/>
          <w:szCs w:val="16"/>
          <w:lang w:eastAsia="en-US"/>
        </w:rPr>
      </w:pPr>
      <w:r w:rsidRPr="00DD1A91">
        <w:rPr>
          <w:rFonts w:ascii="Arial" w:eastAsia="Calibri" w:hAnsi="Arial" w:cs="Arial"/>
          <w:sz w:val="16"/>
          <w:szCs w:val="16"/>
          <w:lang w:eastAsia="en-US"/>
        </w:rPr>
        <w:t>-</w:t>
      </w:r>
      <w:r w:rsidRPr="00DD1A91">
        <w:rPr>
          <w:rFonts w:ascii="Arial" w:eastAsia="Calibri" w:hAnsi="Arial" w:cs="Arial"/>
          <w:sz w:val="16"/>
          <w:szCs w:val="16"/>
          <w:lang w:eastAsia="en-US"/>
        </w:rPr>
        <w:tab/>
        <w:t>donacija pravne osobe za provedbu EU projekta Crossmart u iznosu 126.945 €.</w:t>
      </w:r>
    </w:p>
    <w:p w14:paraId="2D3132AA" w14:textId="77777777" w:rsidR="00DD1A91" w:rsidRPr="00DD1A91" w:rsidRDefault="00DD1A91" w:rsidP="00DD1A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360"/>
        <w:jc w:val="both"/>
        <w:rPr>
          <w:rFonts w:ascii="Arial" w:eastAsia="Calibri" w:hAnsi="Arial" w:cs="Arial"/>
          <w:sz w:val="16"/>
          <w:szCs w:val="16"/>
          <w:lang w:eastAsia="en-US"/>
        </w:rPr>
      </w:pPr>
    </w:p>
    <w:p w14:paraId="5639E4F6" w14:textId="7DF746B5" w:rsidR="004E25D7" w:rsidRPr="003A2F86" w:rsidRDefault="004E25D7" w:rsidP="004E25D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center"/>
        <w:rPr>
          <w:rFonts w:ascii="Arial" w:eastAsia="Times New Roman" w:hAnsi="Arial" w:cs="Arial"/>
          <w:iCs/>
          <w:lang w:eastAsia="en-US"/>
        </w:rPr>
      </w:pPr>
      <w:r w:rsidRPr="003A2F86">
        <w:rPr>
          <w:rFonts w:ascii="Arial" w:eastAsia="Times New Roman" w:hAnsi="Arial" w:cs="Arial"/>
          <w:b/>
          <w:u w:val="single"/>
          <w:lang w:eastAsia="en-US"/>
        </w:rPr>
        <w:t>Vlastiti prihodi proračunskih korisnika (podskupina računa 661 i 663)</w:t>
      </w:r>
    </w:p>
    <w:p w14:paraId="7AC699D8" w14:textId="77777777" w:rsidR="00F1168D" w:rsidRPr="003A2F86" w:rsidRDefault="00F1168D" w:rsidP="00F1168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0C20C9F1" w14:textId="77777777" w:rsidR="00D17A2C" w:rsidRPr="00D17A2C" w:rsidRDefault="00D17A2C" w:rsidP="00D17A2C">
      <w:pPr>
        <w:spacing w:after="0" w:line="240" w:lineRule="auto"/>
        <w:jc w:val="both"/>
        <w:rPr>
          <w:rFonts w:ascii="Arial" w:eastAsia="Calibri" w:hAnsi="Arial" w:cs="Arial"/>
          <w:lang w:eastAsia="en-US"/>
        </w:rPr>
      </w:pPr>
      <w:r w:rsidRPr="00D17A2C">
        <w:rPr>
          <w:rFonts w:ascii="Arial" w:eastAsia="Calibri" w:hAnsi="Arial" w:cs="Arial"/>
          <w:lang w:eastAsia="en-US"/>
        </w:rPr>
        <w:t>Prihodi proračunskih korisnika (dio 66) u iznosu 121.109,29 € se odnose na prihode od prodaje (661) u iznosu 116.847,03 € i prihode od donacija (663) u iznosu 4.262,26 €.</w:t>
      </w:r>
    </w:p>
    <w:p w14:paraId="60EFCDEF" w14:textId="77777777" w:rsidR="00D17A2C" w:rsidRPr="00D17A2C" w:rsidRDefault="00D17A2C" w:rsidP="00D17A2C">
      <w:pPr>
        <w:spacing w:after="0" w:line="240" w:lineRule="auto"/>
        <w:jc w:val="both"/>
        <w:rPr>
          <w:rFonts w:ascii="Arial" w:eastAsia="Calibri" w:hAnsi="Arial" w:cs="Arial"/>
          <w:lang w:eastAsia="en-US"/>
        </w:rPr>
      </w:pPr>
    </w:p>
    <w:p w14:paraId="6ABC2A2E" w14:textId="77777777" w:rsidR="00D17A2C" w:rsidRPr="00D17A2C" w:rsidRDefault="00D17A2C" w:rsidP="00D17A2C">
      <w:pPr>
        <w:spacing w:after="0" w:line="240" w:lineRule="auto"/>
        <w:jc w:val="both"/>
        <w:rPr>
          <w:rFonts w:ascii="Arial" w:eastAsia="Calibri" w:hAnsi="Arial" w:cs="Arial"/>
          <w:lang w:eastAsia="en-US"/>
        </w:rPr>
      </w:pPr>
      <w:r w:rsidRPr="00D17A2C">
        <w:rPr>
          <w:rFonts w:ascii="Arial" w:eastAsia="Calibri" w:hAnsi="Arial" w:cs="Arial"/>
          <w:lang w:eastAsia="en-US"/>
        </w:rPr>
        <w:lastRenderedPageBreak/>
        <w:t xml:space="preserve">Prihodi proračunskih korisnika od prodaje (661) odnose se na Dječji vrtić za prihode od usluga prehrane djece u produženom boravku 35.815 € i drugih usluga 955,60 €, Muzeji i galerije Konavala za prodaju suvenira i slično 74.568,23 €, a Dom za starije i nemoćne osobe je ostvario prihode od usluga dnevnog boravka u iznosu 5.508,20 €. </w:t>
      </w:r>
    </w:p>
    <w:p w14:paraId="4FAB172D" w14:textId="77777777" w:rsidR="00D17A2C" w:rsidRPr="00D17A2C" w:rsidRDefault="00D17A2C" w:rsidP="00D17A2C">
      <w:pPr>
        <w:spacing w:after="0" w:line="240" w:lineRule="auto"/>
        <w:jc w:val="both"/>
        <w:rPr>
          <w:rFonts w:ascii="Arial" w:eastAsia="Calibri" w:hAnsi="Arial" w:cs="Arial"/>
          <w:lang w:eastAsia="en-US"/>
        </w:rPr>
      </w:pPr>
    </w:p>
    <w:p w14:paraId="29B31F54" w14:textId="71A50BD6" w:rsidR="00F8381C" w:rsidRPr="003A2F86" w:rsidRDefault="00D17A2C" w:rsidP="00D17A2C">
      <w:pPr>
        <w:spacing w:after="0" w:line="240" w:lineRule="auto"/>
        <w:jc w:val="both"/>
        <w:rPr>
          <w:rFonts w:ascii="Arial" w:eastAsia="Times New Roman" w:hAnsi="Arial" w:cs="Arial"/>
          <w:sz w:val="20"/>
          <w:szCs w:val="20"/>
        </w:rPr>
      </w:pPr>
      <w:r w:rsidRPr="00D17A2C">
        <w:rPr>
          <w:rFonts w:ascii="Arial" w:eastAsia="Calibri" w:hAnsi="Arial" w:cs="Arial"/>
          <w:lang w:eastAsia="en-US"/>
        </w:rPr>
        <w:t>Prihodi proračunskih korisnika od donacija (663) odnose se na Dječji vrtić 0 €, donacije Muzejima i galerijama 3.979 € i donacije Domu za starije i nemoćne osobe 283,26 €.</w:t>
      </w:r>
    </w:p>
    <w:p w14:paraId="7762C6C8" w14:textId="77777777" w:rsidR="00EA7FD2" w:rsidRPr="003A2F86" w:rsidRDefault="00EA7FD2" w:rsidP="00F8381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
          <w:iCs/>
          <w:sz w:val="20"/>
          <w:szCs w:val="20"/>
        </w:rPr>
      </w:pPr>
    </w:p>
    <w:p w14:paraId="60A85F1C" w14:textId="16F648D4" w:rsidR="007254F2" w:rsidRDefault="00F22810" w:rsidP="00F8381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
          <w:iCs/>
          <w:sz w:val="20"/>
          <w:szCs w:val="20"/>
        </w:rPr>
      </w:pPr>
      <w:r w:rsidRPr="003A2F86">
        <w:rPr>
          <w:rFonts w:ascii="Arial" w:eastAsia="Times New Roman" w:hAnsi="Arial" w:cs="Arial"/>
          <w:i/>
          <w:iCs/>
          <w:sz w:val="20"/>
          <w:szCs w:val="20"/>
        </w:rPr>
        <w:t>* Usporedba:</w:t>
      </w:r>
    </w:p>
    <w:p w14:paraId="756CBEBB" w14:textId="0A5F8995" w:rsidR="006331E1" w:rsidRPr="003A2F86" w:rsidRDefault="006331E1" w:rsidP="00F8381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
          <w:iCs/>
          <w:sz w:val="20"/>
          <w:szCs w:val="20"/>
        </w:rPr>
      </w:pPr>
    </w:p>
    <w:tbl>
      <w:tblPr>
        <w:tblStyle w:val="Reetkatablice"/>
        <w:tblW w:w="0" w:type="auto"/>
        <w:tblInd w:w="-147" w:type="dxa"/>
        <w:tblLook w:val="04A0" w:firstRow="1" w:lastRow="0" w:firstColumn="1" w:lastColumn="0" w:noHBand="0" w:noVBand="1"/>
      </w:tblPr>
      <w:tblGrid>
        <w:gridCol w:w="1067"/>
        <w:gridCol w:w="1107"/>
        <w:gridCol w:w="1107"/>
        <w:gridCol w:w="857"/>
        <w:gridCol w:w="1103"/>
        <w:gridCol w:w="1224"/>
        <w:gridCol w:w="8242"/>
      </w:tblGrid>
      <w:tr w:rsidR="00F8381C" w:rsidRPr="003A2F86" w14:paraId="010561CD" w14:textId="77777777" w:rsidTr="00716FD1">
        <w:trPr>
          <w:trHeight w:val="300"/>
        </w:trPr>
        <w:tc>
          <w:tcPr>
            <w:tcW w:w="14707" w:type="dxa"/>
            <w:gridSpan w:val="7"/>
            <w:hideMark/>
          </w:tcPr>
          <w:p w14:paraId="53A1CB69" w14:textId="77777777" w:rsidR="00F8381C" w:rsidRPr="003A2F86" w:rsidRDefault="00F8381C" w:rsidP="004162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sz w:val="18"/>
                <w:szCs w:val="18"/>
              </w:rPr>
            </w:pPr>
            <w:r w:rsidRPr="003A2F86">
              <w:rPr>
                <w:rFonts w:ascii="Arial" w:hAnsi="Arial" w:cs="Arial"/>
                <w:b/>
                <w:bCs/>
                <w:sz w:val="18"/>
                <w:szCs w:val="18"/>
              </w:rPr>
              <w:t>Prihodi od prodaje i pruženih usluga (</w:t>
            </w:r>
            <w:r w:rsidRPr="003A2F86">
              <w:rPr>
                <w:rFonts w:ascii="Arial" w:hAnsi="Arial" w:cs="Arial"/>
                <w:b/>
                <w:bCs/>
                <w:color w:val="FF0000"/>
                <w:sz w:val="18"/>
                <w:szCs w:val="18"/>
              </w:rPr>
              <w:t>661</w:t>
            </w:r>
            <w:r w:rsidRPr="003A2F86">
              <w:rPr>
                <w:rFonts w:ascii="Arial" w:hAnsi="Arial" w:cs="Arial"/>
                <w:b/>
                <w:bCs/>
                <w:sz w:val="18"/>
                <w:szCs w:val="18"/>
              </w:rPr>
              <w:t>)</w:t>
            </w:r>
          </w:p>
        </w:tc>
      </w:tr>
      <w:tr w:rsidR="00F8381C" w:rsidRPr="003A2F86" w14:paraId="2CE15306" w14:textId="77777777" w:rsidTr="00C37D80">
        <w:trPr>
          <w:trHeight w:val="765"/>
        </w:trPr>
        <w:tc>
          <w:tcPr>
            <w:tcW w:w="1067" w:type="dxa"/>
            <w:vAlign w:val="center"/>
            <w:hideMark/>
          </w:tcPr>
          <w:p w14:paraId="4685A31B" w14:textId="77777777" w:rsidR="00F8381C" w:rsidRPr="003A2F86" w:rsidRDefault="00F8381C" w:rsidP="007A557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sz w:val="18"/>
                <w:szCs w:val="18"/>
              </w:rPr>
            </w:pPr>
            <w:r w:rsidRPr="003A2F86">
              <w:rPr>
                <w:rFonts w:ascii="Arial" w:hAnsi="Arial" w:cs="Arial"/>
                <w:b/>
                <w:bCs/>
                <w:sz w:val="18"/>
                <w:szCs w:val="18"/>
              </w:rPr>
              <w:t>Godina</w:t>
            </w:r>
          </w:p>
        </w:tc>
        <w:tc>
          <w:tcPr>
            <w:tcW w:w="1107" w:type="dxa"/>
            <w:vAlign w:val="center"/>
            <w:hideMark/>
          </w:tcPr>
          <w:p w14:paraId="0FCF0E0B" w14:textId="77777777" w:rsidR="00F8381C" w:rsidRPr="003A2F86" w:rsidRDefault="00F8381C" w:rsidP="006C7B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sz w:val="18"/>
                <w:szCs w:val="18"/>
              </w:rPr>
            </w:pPr>
            <w:r w:rsidRPr="003A2F86">
              <w:rPr>
                <w:rFonts w:ascii="Arial" w:hAnsi="Arial" w:cs="Arial"/>
                <w:b/>
                <w:bCs/>
                <w:sz w:val="18"/>
                <w:szCs w:val="18"/>
              </w:rPr>
              <w:t>Dječji vrtić</w:t>
            </w:r>
          </w:p>
        </w:tc>
        <w:tc>
          <w:tcPr>
            <w:tcW w:w="1107" w:type="dxa"/>
            <w:vAlign w:val="center"/>
            <w:hideMark/>
          </w:tcPr>
          <w:p w14:paraId="155A62A9" w14:textId="77777777" w:rsidR="00F8381C" w:rsidRPr="003A2F86" w:rsidRDefault="00F8381C" w:rsidP="006C7B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sz w:val="18"/>
                <w:szCs w:val="18"/>
              </w:rPr>
            </w:pPr>
            <w:r w:rsidRPr="003A2F86">
              <w:rPr>
                <w:rFonts w:ascii="Arial" w:hAnsi="Arial" w:cs="Arial"/>
                <w:b/>
                <w:bCs/>
                <w:sz w:val="18"/>
                <w:szCs w:val="18"/>
              </w:rPr>
              <w:t>Muzeji i galerije</w:t>
            </w:r>
          </w:p>
        </w:tc>
        <w:tc>
          <w:tcPr>
            <w:tcW w:w="857" w:type="dxa"/>
            <w:vAlign w:val="center"/>
            <w:hideMark/>
          </w:tcPr>
          <w:p w14:paraId="4787BCBE" w14:textId="47A43B78" w:rsidR="00F8381C" w:rsidRPr="003A2F86" w:rsidRDefault="00F8381C" w:rsidP="006C7B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sz w:val="12"/>
                <w:szCs w:val="12"/>
              </w:rPr>
            </w:pPr>
            <w:r w:rsidRPr="003A2F86">
              <w:rPr>
                <w:rFonts w:ascii="Arial" w:hAnsi="Arial" w:cs="Arial"/>
                <w:b/>
                <w:bCs/>
                <w:sz w:val="12"/>
                <w:szCs w:val="12"/>
              </w:rPr>
              <w:t>Javna vatrogasna postrojba</w:t>
            </w:r>
          </w:p>
        </w:tc>
        <w:tc>
          <w:tcPr>
            <w:tcW w:w="1103" w:type="dxa"/>
            <w:vAlign w:val="center"/>
            <w:hideMark/>
          </w:tcPr>
          <w:p w14:paraId="3D60AC93" w14:textId="77777777" w:rsidR="00F8381C" w:rsidRPr="003A2F86" w:rsidRDefault="00F8381C" w:rsidP="006C7B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sz w:val="16"/>
                <w:szCs w:val="16"/>
              </w:rPr>
            </w:pPr>
            <w:r w:rsidRPr="003A2F86">
              <w:rPr>
                <w:rFonts w:ascii="Arial" w:hAnsi="Arial" w:cs="Arial"/>
                <w:b/>
                <w:bCs/>
                <w:sz w:val="16"/>
                <w:szCs w:val="16"/>
              </w:rPr>
              <w:t>Dom za starije i nemoćne osobe</w:t>
            </w:r>
          </w:p>
        </w:tc>
        <w:tc>
          <w:tcPr>
            <w:tcW w:w="1134" w:type="dxa"/>
            <w:vAlign w:val="center"/>
            <w:hideMark/>
          </w:tcPr>
          <w:p w14:paraId="40C95E4A" w14:textId="11C374E7" w:rsidR="00F8381C" w:rsidRPr="003A2F86" w:rsidRDefault="00F8381C" w:rsidP="006C7B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sz w:val="18"/>
                <w:szCs w:val="18"/>
              </w:rPr>
            </w:pPr>
            <w:r w:rsidRPr="003A2F86">
              <w:rPr>
                <w:rFonts w:ascii="Arial" w:hAnsi="Arial" w:cs="Arial"/>
                <w:b/>
                <w:bCs/>
                <w:sz w:val="18"/>
                <w:szCs w:val="18"/>
              </w:rPr>
              <w:t>Ukupno</w:t>
            </w:r>
            <w:r w:rsidR="00597899" w:rsidRPr="003A2F86">
              <w:rPr>
                <w:rFonts w:ascii="Arial" w:hAnsi="Arial" w:cs="Arial"/>
                <w:b/>
                <w:bCs/>
                <w:sz w:val="18"/>
                <w:szCs w:val="18"/>
              </w:rPr>
              <w:t xml:space="preserve"> </w:t>
            </w:r>
            <w:r w:rsidR="00597899" w:rsidRPr="003A2F86">
              <w:rPr>
                <w:rFonts w:ascii="Arial" w:hAnsi="Arial" w:cs="Arial"/>
                <w:b/>
                <w:bCs/>
                <w:color w:val="FF0000"/>
                <w:sz w:val="18"/>
                <w:szCs w:val="18"/>
              </w:rPr>
              <w:t>(€)</w:t>
            </w:r>
          </w:p>
        </w:tc>
        <w:tc>
          <w:tcPr>
            <w:tcW w:w="8332" w:type="dxa"/>
            <w:vAlign w:val="center"/>
            <w:hideMark/>
          </w:tcPr>
          <w:p w14:paraId="08332363" w14:textId="77777777" w:rsidR="00F8381C" w:rsidRPr="003A2F86" w:rsidRDefault="00F8381C" w:rsidP="007A557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sz w:val="18"/>
                <w:szCs w:val="18"/>
              </w:rPr>
            </w:pPr>
            <w:r w:rsidRPr="003A2F86">
              <w:rPr>
                <w:rFonts w:ascii="Arial" w:hAnsi="Arial" w:cs="Arial"/>
                <w:b/>
                <w:bCs/>
                <w:sz w:val="18"/>
                <w:szCs w:val="18"/>
              </w:rPr>
              <w:t>Obrazloženje</w:t>
            </w:r>
          </w:p>
        </w:tc>
      </w:tr>
      <w:tr w:rsidR="00C37D80" w:rsidRPr="003A2F86" w14:paraId="3C266832" w14:textId="77777777" w:rsidTr="00C37D80">
        <w:trPr>
          <w:trHeight w:val="357"/>
        </w:trPr>
        <w:tc>
          <w:tcPr>
            <w:tcW w:w="1067" w:type="dxa"/>
            <w:tcBorders>
              <w:top w:val="single" w:sz="4" w:space="0" w:color="auto"/>
              <w:left w:val="single" w:sz="4" w:space="0" w:color="auto"/>
              <w:bottom w:val="single" w:sz="4" w:space="0" w:color="auto"/>
              <w:right w:val="single" w:sz="4" w:space="0" w:color="auto"/>
            </w:tcBorders>
            <w:vAlign w:val="center"/>
          </w:tcPr>
          <w:p w14:paraId="4170B968" w14:textId="19CC6FEC"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rPr>
            </w:pPr>
            <w:r w:rsidRPr="006B60DC">
              <w:rPr>
                <w:rFonts w:ascii="Calibri" w:hAnsi="Calibri" w:cs="Calibri"/>
                <w:b/>
                <w:bCs/>
                <w:color w:val="000000"/>
              </w:rPr>
              <w:t>2016.</w:t>
            </w:r>
          </w:p>
        </w:tc>
        <w:tc>
          <w:tcPr>
            <w:tcW w:w="1107" w:type="dxa"/>
            <w:tcBorders>
              <w:top w:val="single" w:sz="4" w:space="0" w:color="auto"/>
              <w:left w:val="nil"/>
              <w:bottom w:val="single" w:sz="4" w:space="0" w:color="auto"/>
              <w:right w:val="single" w:sz="4" w:space="0" w:color="auto"/>
            </w:tcBorders>
            <w:vAlign w:val="center"/>
          </w:tcPr>
          <w:p w14:paraId="1C85B269" w14:textId="1DE364AA"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i/>
                <w:iCs/>
                <w:color w:val="000000"/>
              </w:rPr>
              <w:t>0,00</w:t>
            </w:r>
          </w:p>
        </w:tc>
        <w:tc>
          <w:tcPr>
            <w:tcW w:w="1107" w:type="dxa"/>
            <w:tcBorders>
              <w:top w:val="single" w:sz="4" w:space="0" w:color="auto"/>
              <w:left w:val="nil"/>
              <w:bottom w:val="single" w:sz="4" w:space="0" w:color="auto"/>
              <w:right w:val="single" w:sz="4" w:space="0" w:color="auto"/>
            </w:tcBorders>
            <w:vAlign w:val="center"/>
          </w:tcPr>
          <w:p w14:paraId="501A21A3" w14:textId="17A3851A"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i/>
                <w:iCs/>
                <w:color w:val="000000"/>
              </w:rPr>
              <w:t>4.049,66</w:t>
            </w:r>
          </w:p>
        </w:tc>
        <w:tc>
          <w:tcPr>
            <w:tcW w:w="857" w:type="dxa"/>
            <w:tcBorders>
              <w:top w:val="single" w:sz="4" w:space="0" w:color="auto"/>
              <w:left w:val="nil"/>
              <w:bottom w:val="single" w:sz="4" w:space="0" w:color="auto"/>
              <w:right w:val="single" w:sz="4" w:space="0" w:color="auto"/>
            </w:tcBorders>
            <w:vAlign w:val="center"/>
          </w:tcPr>
          <w:p w14:paraId="15894C99" w14:textId="69957D54"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i/>
                <w:iCs/>
                <w:color w:val="000000"/>
              </w:rPr>
              <w:t>0,00</w:t>
            </w:r>
          </w:p>
        </w:tc>
        <w:tc>
          <w:tcPr>
            <w:tcW w:w="1103" w:type="dxa"/>
            <w:tcBorders>
              <w:top w:val="single" w:sz="4" w:space="0" w:color="auto"/>
              <w:left w:val="nil"/>
              <w:bottom w:val="single" w:sz="4" w:space="0" w:color="auto"/>
              <w:right w:val="single" w:sz="4" w:space="0" w:color="auto"/>
            </w:tcBorders>
            <w:vAlign w:val="center"/>
          </w:tcPr>
          <w:p w14:paraId="4F4C5004" w14:textId="42F06F17"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i/>
                <w:iCs/>
                <w:color w:val="000000"/>
              </w:rPr>
              <w:t>0,00</w:t>
            </w:r>
          </w:p>
        </w:tc>
        <w:tc>
          <w:tcPr>
            <w:tcW w:w="1134" w:type="dxa"/>
            <w:tcBorders>
              <w:top w:val="single" w:sz="4" w:space="0" w:color="auto"/>
              <w:left w:val="nil"/>
              <w:bottom w:val="single" w:sz="4" w:space="0" w:color="auto"/>
              <w:right w:val="single" w:sz="4" w:space="0" w:color="auto"/>
            </w:tcBorders>
            <w:vAlign w:val="center"/>
          </w:tcPr>
          <w:p w14:paraId="3DA67967" w14:textId="3C331C26"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b/>
                <w:bCs/>
                <w:i/>
                <w:iCs/>
                <w:color w:val="000000"/>
              </w:rPr>
              <w:t>4.049,66</w:t>
            </w:r>
          </w:p>
        </w:tc>
        <w:tc>
          <w:tcPr>
            <w:tcW w:w="8332" w:type="dxa"/>
            <w:tcBorders>
              <w:top w:val="single" w:sz="4" w:space="0" w:color="auto"/>
              <w:left w:val="nil"/>
              <w:bottom w:val="single" w:sz="4" w:space="0" w:color="auto"/>
              <w:right w:val="single" w:sz="4" w:space="0" w:color="auto"/>
            </w:tcBorders>
            <w:vAlign w:val="center"/>
          </w:tcPr>
          <w:p w14:paraId="368C36FD" w14:textId="13B8D8FB" w:rsidR="00C37D80" w:rsidRPr="00C37D80"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hAnsi="Arial" w:cs="Arial"/>
                <w:b/>
                <w:bCs/>
                <w:sz w:val="14"/>
                <w:szCs w:val="14"/>
              </w:rPr>
            </w:pPr>
            <w:r w:rsidRPr="00C37D80">
              <w:rPr>
                <w:rFonts w:ascii="Calibri" w:hAnsi="Calibri" w:cs="Calibri"/>
                <w:sz w:val="14"/>
                <w:szCs w:val="14"/>
              </w:rPr>
              <w:t xml:space="preserve">Muzeji i galerije Konavala - prihodi od prodaje suvenira, razglednica i sl. Prethodne 2015. godine niti jedan proračunski korisnik nije imao prihode od pruženih usluga. </w:t>
            </w:r>
          </w:p>
        </w:tc>
      </w:tr>
      <w:tr w:rsidR="00C37D80" w:rsidRPr="003A2F86" w14:paraId="565FE587" w14:textId="77777777" w:rsidTr="00C37D80">
        <w:trPr>
          <w:trHeight w:val="405"/>
        </w:trPr>
        <w:tc>
          <w:tcPr>
            <w:tcW w:w="1067" w:type="dxa"/>
            <w:tcBorders>
              <w:top w:val="nil"/>
              <w:left w:val="single" w:sz="4" w:space="0" w:color="auto"/>
              <w:bottom w:val="single" w:sz="4" w:space="0" w:color="auto"/>
              <w:right w:val="single" w:sz="4" w:space="0" w:color="auto"/>
            </w:tcBorders>
            <w:vAlign w:val="center"/>
          </w:tcPr>
          <w:p w14:paraId="5139759A" w14:textId="114B3D08"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rPr>
            </w:pPr>
            <w:r w:rsidRPr="006B60DC">
              <w:rPr>
                <w:rFonts w:ascii="Calibri" w:hAnsi="Calibri" w:cs="Calibri"/>
                <w:b/>
                <w:bCs/>
                <w:color w:val="000000"/>
              </w:rPr>
              <w:t>2017.</w:t>
            </w:r>
          </w:p>
        </w:tc>
        <w:tc>
          <w:tcPr>
            <w:tcW w:w="1107" w:type="dxa"/>
            <w:tcBorders>
              <w:top w:val="nil"/>
              <w:left w:val="nil"/>
              <w:bottom w:val="single" w:sz="4" w:space="0" w:color="auto"/>
              <w:right w:val="single" w:sz="4" w:space="0" w:color="auto"/>
            </w:tcBorders>
            <w:vAlign w:val="center"/>
          </w:tcPr>
          <w:p w14:paraId="24617767" w14:textId="263F080C"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i/>
                <w:iCs/>
                <w:color w:val="000000"/>
              </w:rPr>
              <w:t>2.951,42</w:t>
            </w:r>
          </w:p>
        </w:tc>
        <w:tc>
          <w:tcPr>
            <w:tcW w:w="1107" w:type="dxa"/>
            <w:tcBorders>
              <w:top w:val="nil"/>
              <w:left w:val="nil"/>
              <w:bottom w:val="single" w:sz="4" w:space="0" w:color="auto"/>
              <w:right w:val="single" w:sz="4" w:space="0" w:color="auto"/>
            </w:tcBorders>
            <w:vAlign w:val="center"/>
          </w:tcPr>
          <w:p w14:paraId="4A2E77D2" w14:textId="20203DDD"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i/>
                <w:iCs/>
                <w:color w:val="000000"/>
              </w:rPr>
              <w:t>7.041,65</w:t>
            </w:r>
          </w:p>
        </w:tc>
        <w:tc>
          <w:tcPr>
            <w:tcW w:w="857" w:type="dxa"/>
            <w:tcBorders>
              <w:top w:val="nil"/>
              <w:left w:val="nil"/>
              <w:bottom w:val="single" w:sz="4" w:space="0" w:color="auto"/>
              <w:right w:val="single" w:sz="4" w:space="0" w:color="auto"/>
            </w:tcBorders>
            <w:vAlign w:val="center"/>
          </w:tcPr>
          <w:p w14:paraId="73B77F1D" w14:textId="528C8CBC"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i/>
                <w:iCs/>
                <w:color w:val="000000"/>
              </w:rPr>
              <w:t>0,00</w:t>
            </w:r>
          </w:p>
        </w:tc>
        <w:tc>
          <w:tcPr>
            <w:tcW w:w="1103" w:type="dxa"/>
            <w:tcBorders>
              <w:top w:val="nil"/>
              <w:left w:val="nil"/>
              <w:bottom w:val="single" w:sz="4" w:space="0" w:color="auto"/>
              <w:right w:val="single" w:sz="4" w:space="0" w:color="auto"/>
            </w:tcBorders>
            <w:vAlign w:val="center"/>
          </w:tcPr>
          <w:p w14:paraId="619474D8" w14:textId="16E6B226"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i/>
                <w:iCs/>
                <w:color w:val="000000"/>
              </w:rPr>
              <w:t>0,00</w:t>
            </w:r>
          </w:p>
        </w:tc>
        <w:tc>
          <w:tcPr>
            <w:tcW w:w="1134" w:type="dxa"/>
            <w:tcBorders>
              <w:top w:val="nil"/>
              <w:left w:val="nil"/>
              <w:bottom w:val="single" w:sz="4" w:space="0" w:color="auto"/>
              <w:right w:val="single" w:sz="4" w:space="0" w:color="auto"/>
            </w:tcBorders>
            <w:vAlign w:val="center"/>
          </w:tcPr>
          <w:p w14:paraId="17535F4F" w14:textId="48D3F1DC"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b/>
                <w:bCs/>
                <w:i/>
                <w:iCs/>
                <w:color w:val="000000"/>
              </w:rPr>
              <w:t>9.993,07</w:t>
            </w:r>
          </w:p>
        </w:tc>
        <w:tc>
          <w:tcPr>
            <w:tcW w:w="8332" w:type="dxa"/>
            <w:tcBorders>
              <w:top w:val="nil"/>
              <w:left w:val="nil"/>
              <w:bottom w:val="single" w:sz="4" w:space="0" w:color="auto"/>
              <w:right w:val="single" w:sz="4" w:space="0" w:color="auto"/>
            </w:tcBorders>
            <w:vAlign w:val="center"/>
          </w:tcPr>
          <w:p w14:paraId="747C0F32" w14:textId="3DBCF56D" w:rsidR="00C37D80" w:rsidRPr="00C37D80"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hAnsi="Arial" w:cs="Arial"/>
                <w:b/>
                <w:bCs/>
                <w:sz w:val="14"/>
                <w:szCs w:val="14"/>
              </w:rPr>
            </w:pPr>
            <w:r w:rsidRPr="00C37D80">
              <w:rPr>
                <w:rFonts w:ascii="Calibri" w:hAnsi="Calibri" w:cs="Calibri"/>
                <w:sz w:val="14"/>
                <w:szCs w:val="14"/>
              </w:rPr>
              <w:t xml:space="preserve">Dječji vrtić - prihodi od pružanja usluga prehrane djece u produženom boravku u OŠ Gruda. Muzeji i galerije Konavala - prihodi od prodaje suvenira, razglednica i sl.  </w:t>
            </w:r>
          </w:p>
        </w:tc>
      </w:tr>
      <w:tr w:rsidR="00C37D80" w:rsidRPr="003A2F86" w14:paraId="665E2139" w14:textId="77777777" w:rsidTr="00C37D80">
        <w:trPr>
          <w:trHeight w:val="553"/>
        </w:trPr>
        <w:tc>
          <w:tcPr>
            <w:tcW w:w="1067" w:type="dxa"/>
            <w:tcBorders>
              <w:top w:val="nil"/>
              <w:left w:val="single" w:sz="4" w:space="0" w:color="auto"/>
              <w:bottom w:val="single" w:sz="4" w:space="0" w:color="auto"/>
              <w:right w:val="single" w:sz="4" w:space="0" w:color="auto"/>
            </w:tcBorders>
            <w:noWrap/>
            <w:vAlign w:val="center"/>
            <w:hideMark/>
          </w:tcPr>
          <w:p w14:paraId="5B3AE0A6" w14:textId="0F5685B5"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rPr>
            </w:pPr>
            <w:r w:rsidRPr="006B60DC">
              <w:rPr>
                <w:rFonts w:ascii="Calibri" w:hAnsi="Calibri" w:cs="Calibri"/>
                <w:b/>
                <w:bCs/>
                <w:color w:val="000000"/>
              </w:rPr>
              <w:t>2018.</w:t>
            </w:r>
          </w:p>
        </w:tc>
        <w:tc>
          <w:tcPr>
            <w:tcW w:w="1107" w:type="dxa"/>
            <w:tcBorders>
              <w:top w:val="nil"/>
              <w:left w:val="nil"/>
              <w:bottom w:val="single" w:sz="4" w:space="0" w:color="auto"/>
              <w:right w:val="single" w:sz="4" w:space="0" w:color="auto"/>
            </w:tcBorders>
            <w:noWrap/>
            <w:vAlign w:val="center"/>
            <w:hideMark/>
          </w:tcPr>
          <w:p w14:paraId="7CC9277A" w14:textId="08B0F517"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9.947,57</w:t>
            </w:r>
          </w:p>
        </w:tc>
        <w:tc>
          <w:tcPr>
            <w:tcW w:w="1107" w:type="dxa"/>
            <w:tcBorders>
              <w:top w:val="nil"/>
              <w:left w:val="nil"/>
              <w:bottom w:val="single" w:sz="4" w:space="0" w:color="auto"/>
              <w:right w:val="single" w:sz="4" w:space="0" w:color="auto"/>
            </w:tcBorders>
            <w:noWrap/>
            <w:vAlign w:val="center"/>
            <w:hideMark/>
          </w:tcPr>
          <w:p w14:paraId="4BFC7818" w14:textId="1A3C7554"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17.806,57</w:t>
            </w:r>
          </w:p>
        </w:tc>
        <w:tc>
          <w:tcPr>
            <w:tcW w:w="857" w:type="dxa"/>
            <w:tcBorders>
              <w:top w:val="nil"/>
              <w:left w:val="nil"/>
              <w:bottom w:val="single" w:sz="4" w:space="0" w:color="auto"/>
              <w:right w:val="single" w:sz="4" w:space="0" w:color="auto"/>
            </w:tcBorders>
            <w:noWrap/>
            <w:vAlign w:val="center"/>
            <w:hideMark/>
          </w:tcPr>
          <w:p w14:paraId="2F980577" w14:textId="3ABB07D3"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0,00</w:t>
            </w:r>
          </w:p>
        </w:tc>
        <w:tc>
          <w:tcPr>
            <w:tcW w:w="1103" w:type="dxa"/>
            <w:tcBorders>
              <w:top w:val="nil"/>
              <w:left w:val="nil"/>
              <w:bottom w:val="single" w:sz="4" w:space="0" w:color="auto"/>
              <w:right w:val="single" w:sz="4" w:space="0" w:color="auto"/>
            </w:tcBorders>
            <w:noWrap/>
            <w:vAlign w:val="center"/>
            <w:hideMark/>
          </w:tcPr>
          <w:p w14:paraId="76166A6A" w14:textId="7F513C79"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1.256,59</w:t>
            </w:r>
          </w:p>
        </w:tc>
        <w:tc>
          <w:tcPr>
            <w:tcW w:w="1134" w:type="dxa"/>
            <w:tcBorders>
              <w:top w:val="nil"/>
              <w:left w:val="nil"/>
              <w:bottom w:val="single" w:sz="4" w:space="0" w:color="auto"/>
              <w:right w:val="single" w:sz="4" w:space="0" w:color="auto"/>
            </w:tcBorders>
            <w:noWrap/>
            <w:vAlign w:val="center"/>
            <w:hideMark/>
          </w:tcPr>
          <w:p w14:paraId="54FD4996" w14:textId="4ABB9309"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b/>
                <w:bCs/>
                <w:i/>
                <w:iCs/>
                <w:color w:val="000000"/>
              </w:rPr>
              <w:t>29.010,74</w:t>
            </w:r>
          </w:p>
        </w:tc>
        <w:tc>
          <w:tcPr>
            <w:tcW w:w="8332" w:type="dxa"/>
            <w:tcBorders>
              <w:top w:val="nil"/>
              <w:left w:val="nil"/>
              <w:bottom w:val="single" w:sz="4" w:space="0" w:color="auto"/>
              <w:right w:val="single" w:sz="4" w:space="0" w:color="auto"/>
            </w:tcBorders>
            <w:vAlign w:val="center"/>
            <w:hideMark/>
          </w:tcPr>
          <w:p w14:paraId="13FCDAAF" w14:textId="60065C70" w:rsidR="00C37D80" w:rsidRPr="00C37D80"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hAnsi="Arial" w:cs="Arial"/>
                <w:sz w:val="14"/>
                <w:szCs w:val="14"/>
              </w:rPr>
            </w:pPr>
            <w:r w:rsidRPr="00C37D80">
              <w:rPr>
                <w:rFonts w:ascii="Calibri" w:hAnsi="Calibri" w:cs="Calibri"/>
                <w:sz w:val="14"/>
                <w:szCs w:val="14"/>
              </w:rPr>
              <w:t>Dječji vrtić - prihodi od pružanja usluga prehrane djece u produženom boravku u OŠ Gruda. Muzeji i galerije Konavala - prihodi od prodaje suvenira, razglednica i sl.  Dom za starije i nemoćne osobe- prihodi od pružanja usluge dnevnog boravka.</w:t>
            </w:r>
          </w:p>
        </w:tc>
      </w:tr>
      <w:tr w:rsidR="00C37D80" w:rsidRPr="003A2F86" w14:paraId="48C0B5A1" w14:textId="77777777" w:rsidTr="00C37D80">
        <w:trPr>
          <w:trHeight w:val="533"/>
        </w:trPr>
        <w:tc>
          <w:tcPr>
            <w:tcW w:w="1067" w:type="dxa"/>
            <w:tcBorders>
              <w:top w:val="nil"/>
              <w:left w:val="single" w:sz="4" w:space="0" w:color="auto"/>
              <w:bottom w:val="single" w:sz="4" w:space="0" w:color="auto"/>
              <w:right w:val="single" w:sz="4" w:space="0" w:color="auto"/>
            </w:tcBorders>
            <w:noWrap/>
            <w:vAlign w:val="center"/>
            <w:hideMark/>
          </w:tcPr>
          <w:p w14:paraId="442D63A5" w14:textId="188A23CF"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rPr>
            </w:pPr>
            <w:r w:rsidRPr="006B60DC">
              <w:rPr>
                <w:rFonts w:ascii="Calibri" w:hAnsi="Calibri" w:cs="Calibri"/>
                <w:b/>
                <w:bCs/>
                <w:color w:val="000000"/>
              </w:rPr>
              <w:t>2019</w:t>
            </w:r>
          </w:p>
        </w:tc>
        <w:tc>
          <w:tcPr>
            <w:tcW w:w="1107" w:type="dxa"/>
            <w:tcBorders>
              <w:top w:val="nil"/>
              <w:left w:val="nil"/>
              <w:bottom w:val="single" w:sz="4" w:space="0" w:color="auto"/>
              <w:right w:val="single" w:sz="4" w:space="0" w:color="auto"/>
            </w:tcBorders>
            <w:noWrap/>
            <w:vAlign w:val="center"/>
            <w:hideMark/>
          </w:tcPr>
          <w:p w14:paraId="1C5485EA" w14:textId="5676BC91"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7.374,08</w:t>
            </w:r>
          </w:p>
        </w:tc>
        <w:tc>
          <w:tcPr>
            <w:tcW w:w="1107" w:type="dxa"/>
            <w:tcBorders>
              <w:top w:val="nil"/>
              <w:left w:val="nil"/>
              <w:bottom w:val="single" w:sz="4" w:space="0" w:color="auto"/>
              <w:right w:val="single" w:sz="4" w:space="0" w:color="auto"/>
            </w:tcBorders>
            <w:noWrap/>
            <w:vAlign w:val="center"/>
            <w:hideMark/>
          </w:tcPr>
          <w:p w14:paraId="71A214BB" w14:textId="6C0C52D3"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29.428,46</w:t>
            </w:r>
          </w:p>
        </w:tc>
        <w:tc>
          <w:tcPr>
            <w:tcW w:w="857" w:type="dxa"/>
            <w:tcBorders>
              <w:top w:val="nil"/>
              <w:left w:val="nil"/>
              <w:bottom w:val="single" w:sz="4" w:space="0" w:color="auto"/>
              <w:right w:val="single" w:sz="4" w:space="0" w:color="auto"/>
            </w:tcBorders>
            <w:noWrap/>
            <w:vAlign w:val="center"/>
            <w:hideMark/>
          </w:tcPr>
          <w:p w14:paraId="72024902" w14:textId="34AEBB16"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0,00</w:t>
            </w:r>
          </w:p>
        </w:tc>
        <w:tc>
          <w:tcPr>
            <w:tcW w:w="1103" w:type="dxa"/>
            <w:tcBorders>
              <w:top w:val="nil"/>
              <w:left w:val="nil"/>
              <w:bottom w:val="single" w:sz="4" w:space="0" w:color="auto"/>
              <w:right w:val="single" w:sz="4" w:space="0" w:color="auto"/>
            </w:tcBorders>
            <w:noWrap/>
            <w:vAlign w:val="center"/>
            <w:hideMark/>
          </w:tcPr>
          <w:p w14:paraId="5CB7D453" w14:textId="339D9108"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5.569,08</w:t>
            </w:r>
          </w:p>
        </w:tc>
        <w:tc>
          <w:tcPr>
            <w:tcW w:w="1134" w:type="dxa"/>
            <w:tcBorders>
              <w:top w:val="nil"/>
              <w:left w:val="nil"/>
              <w:bottom w:val="single" w:sz="4" w:space="0" w:color="auto"/>
              <w:right w:val="single" w:sz="4" w:space="0" w:color="auto"/>
            </w:tcBorders>
            <w:noWrap/>
            <w:vAlign w:val="center"/>
            <w:hideMark/>
          </w:tcPr>
          <w:p w14:paraId="13596513" w14:textId="0DE6D08A"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b/>
                <w:bCs/>
                <w:i/>
                <w:iCs/>
                <w:color w:val="000000"/>
              </w:rPr>
              <w:t>42.371,61</w:t>
            </w:r>
          </w:p>
        </w:tc>
        <w:tc>
          <w:tcPr>
            <w:tcW w:w="8332" w:type="dxa"/>
            <w:tcBorders>
              <w:top w:val="nil"/>
              <w:left w:val="nil"/>
              <w:bottom w:val="nil"/>
              <w:right w:val="single" w:sz="4" w:space="0" w:color="auto"/>
            </w:tcBorders>
            <w:vAlign w:val="center"/>
            <w:hideMark/>
          </w:tcPr>
          <w:p w14:paraId="6787331C" w14:textId="6AAAB3E7" w:rsidR="00C37D80" w:rsidRPr="00C37D80"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hAnsi="Arial" w:cs="Arial"/>
                <w:sz w:val="14"/>
                <w:szCs w:val="14"/>
              </w:rPr>
            </w:pPr>
            <w:r w:rsidRPr="00C37D80">
              <w:rPr>
                <w:rFonts w:ascii="Calibri" w:hAnsi="Calibri" w:cs="Calibri"/>
                <w:sz w:val="14"/>
                <w:szCs w:val="14"/>
              </w:rPr>
              <w:t>Dječji vrtić - prihodi od pružanja usluga prehrane djece u produženom boravku u OŠ Gruda i PŠ Čilipi. Muzeji i galerije Konavala - prihodi od prodaje suvenira, razglednica i sl.  Dom za starije i nemoćne osobe- prihodi od pružanja usluge dnevnog boravka.</w:t>
            </w:r>
          </w:p>
        </w:tc>
      </w:tr>
      <w:tr w:rsidR="00C37D80" w:rsidRPr="003A2F86" w14:paraId="1F2FC81D" w14:textId="77777777" w:rsidTr="00C37D80">
        <w:trPr>
          <w:trHeight w:val="967"/>
        </w:trPr>
        <w:tc>
          <w:tcPr>
            <w:tcW w:w="1067" w:type="dxa"/>
            <w:tcBorders>
              <w:top w:val="nil"/>
              <w:left w:val="single" w:sz="4" w:space="0" w:color="auto"/>
              <w:bottom w:val="single" w:sz="4" w:space="0" w:color="auto"/>
              <w:right w:val="single" w:sz="4" w:space="0" w:color="auto"/>
            </w:tcBorders>
            <w:vAlign w:val="center"/>
            <w:hideMark/>
          </w:tcPr>
          <w:p w14:paraId="2404B004" w14:textId="6066E347"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rPr>
            </w:pPr>
            <w:r w:rsidRPr="006B60DC">
              <w:rPr>
                <w:rFonts w:ascii="Calibri" w:hAnsi="Calibri" w:cs="Calibri"/>
                <w:b/>
                <w:bCs/>
                <w:color w:val="000000"/>
              </w:rPr>
              <w:t>2020.</w:t>
            </w:r>
          </w:p>
        </w:tc>
        <w:tc>
          <w:tcPr>
            <w:tcW w:w="1107" w:type="dxa"/>
            <w:tcBorders>
              <w:top w:val="nil"/>
              <w:left w:val="nil"/>
              <w:bottom w:val="single" w:sz="4" w:space="0" w:color="auto"/>
              <w:right w:val="single" w:sz="4" w:space="0" w:color="auto"/>
            </w:tcBorders>
            <w:noWrap/>
            <w:vAlign w:val="center"/>
            <w:hideMark/>
          </w:tcPr>
          <w:p w14:paraId="62E14AB7" w14:textId="734CF481"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15.419,07</w:t>
            </w:r>
          </w:p>
        </w:tc>
        <w:tc>
          <w:tcPr>
            <w:tcW w:w="1107" w:type="dxa"/>
            <w:tcBorders>
              <w:top w:val="nil"/>
              <w:left w:val="nil"/>
              <w:bottom w:val="single" w:sz="4" w:space="0" w:color="auto"/>
              <w:right w:val="single" w:sz="4" w:space="0" w:color="auto"/>
            </w:tcBorders>
            <w:noWrap/>
            <w:vAlign w:val="center"/>
            <w:hideMark/>
          </w:tcPr>
          <w:p w14:paraId="77FC3055" w14:textId="221EFF6A"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19.157,95</w:t>
            </w:r>
          </w:p>
        </w:tc>
        <w:tc>
          <w:tcPr>
            <w:tcW w:w="857" w:type="dxa"/>
            <w:tcBorders>
              <w:top w:val="nil"/>
              <w:left w:val="nil"/>
              <w:bottom w:val="single" w:sz="4" w:space="0" w:color="auto"/>
              <w:right w:val="single" w:sz="4" w:space="0" w:color="auto"/>
            </w:tcBorders>
            <w:noWrap/>
            <w:vAlign w:val="center"/>
            <w:hideMark/>
          </w:tcPr>
          <w:p w14:paraId="20D735A0" w14:textId="21010513"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0,00</w:t>
            </w:r>
          </w:p>
        </w:tc>
        <w:tc>
          <w:tcPr>
            <w:tcW w:w="1103" w:type="dxa"/>
            <w:tcBorders>
              <w:top w:val="nil"/>
              <w:left w:val="nil"/>
              <w:bottom w:val="single" w:sz="4" w:space="0" w:color="auto"/>
              <w:right w:val="single" w:sz="4" w:space="0" w:color="auto"/>
            </w:tcBorders>
            <w:noWrap/>
            <w:vAlign w:val="center"/>
            <w:hideMark/>
          </w:tcPr>
          <w:p w14:paraId="7B3101A1" w14:textId="254BF54C"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1.282,27</w:t>
            </w:r>
          </w:p>
        </w:tc>
        <w:tc>
          <w:tcPr>
            <w:tcW w:w="1134" w:type="dxa"/>
            <w:tcBorders>
              <w:top w:val="nil"/>
              <w:left w:val="nil"/>
              <w:bottom w:val="single" w:sz="4" w:space="0" w:color="auto"/>
              <w:right w:val="single" w:sz="4" w:space="0" w:color="auto"/>
            </w:tcBorders>
            <w:noWrap/>
            <w:vAlign w:val="center"/>
            <w:hideMark/>
          </w:tcPr>
          <w:p w14:paraId="22187AC5" w14:textId="32A13D69"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b/>
                <w:bCs/>
                <w:i/>
                <w:iCs/>
                <w:color w:val="000000"/>
              </w:rPr>
              <w:t>35.859,29</w:t>
            </w:r>
          </w:p>
        </w:tc>
        <w:tc>
          <w:tcPr>
            <w:tcW w:w="8332" w:type="dxa"/>
            <w:tcBorders>
              <w:top w:val="single" w:sz="4" w:space="0" w:color="auto"/>
              <w:left w:val="nil"/>
              <w:bottom w:val="nil"/>
              <w:right w:val="nil"/>
            </w:tcBorders>
            <w:vAlign w:val="center"/>
            <w:hideMark/>
          </w:tcPr>
          <w:p w14:paraId="202AA605" w14:textId="7C160C1A" w:rsidR="00C37D80" w:rsidRPr="00C37D80"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hAnsi="Arial" w:cs="Arial"/>
                <w:sz w:val="14"/>
                <w:szCs w:val="14"/>
              </w:rPr>
            </w:pPr>
            <w:r w:rsidRPr="00C37D80">
              <w:rPr>
                <w:rFonts w:ascii="Calibri" w:hAnsi="Calibri" w:cs="Calibri"/>
                <w:sz w:val="14"/>
                <w:szCs w:val="14"/>
              </w:rPr>
              <w:t>Dječji vrtić - prihodi od pružanja usluga prehrane djece u produženom boravku u OŠ Gruda i PŠ Čilipi, (dio školske godine usluga nije pružana jer su škole bile zatvorene zbog pandemije virusa). Muzeji i galerije Konavala - prihodi od prodaje suvenira, razglednica i sl. do sredine ožujka 2020. (kada su muzeji zatvoreni za posjetitelje) i ponovno od lipnja 2020. U Domu za starije i nemoćne osobe- nema prihoda od pružanja usluge dnevnog boravka do sredine ožujka 2020. kada je pružanje ove usluge zbog pandemije virusa COVID 19 obustavljeno.</w:t>
            </w:r>
          </w:p>
        </w:tc>
      </w:tr>
      <w:tr w:rsidR="00C37D80" w:rsidRPr="003A2F86" w14:paraId="2A73D738" w14:textId="77777777" w:rsidTr="00C37D80">
        <w:trPr>
          <w:trHeight w:val="555"/>
        </w:trPr>
        <w:tc>
          <w:tcPr>
            <w:tcW w:w="1067" w:type="dxa"/>
            <w:tcBorders>
              <w:top w:val="nil"/>
              <w:left w:val="single" w:sz="4" w:space="0" w:color="auto"/>
              <w:bottom w:val="single" w:sz="4" w:space="0" w:color="auto"/>
              <w:right w:val="single" w:sz="4" w:space="0" w:color="auto"/>
            </w:tcBorders>
            <w:vAlign w:val="center"/>
            <w:hideMark/>
          </w:tcPr>
          <w:p w14:paraId="071CC027" w14:textId="181C69F4"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rPr>
            </w:pPr>
            <w:r w:rsidRPr="006B60DC">
              <w:rPr>
                <w:rFonts w:ascii="Calibri" w:hAnsi="Calibri" w:cs="Calibri"/>
                <w:b/>
                <w:bCs/>
                <w:color w:val="000000"/>
              </w:rPr>
              <w:t>2021.</w:t>
            </w:r>
          </w:p>
        </w:tc>
        <w:tc>
          <w:tcPr>
            <w:tcW w:w="1107" w:type="dxa"/>
            <w:tcBorders>
              <w:top w:val="nil"/>
              <w:left w:val="nil"/>
              <w:bottom w:val="single" w:sz="4" w:space="0" w:color="auto"/>
              <w:right w:val="single" w:sz="4" w:space="0" w:color="auto"/>
            </w:tcBorders>
            <w:noWrap/>
            <w:vAlign w:val="center"/>
            <w:hideMark/>
          </w:tcPr>
          <w:p w14:paraId="750453CF" w14:textId="0DD9536E"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17.730,44</w:t>
            </w:r>
          </w:p>
        </w:tc>
        <w:tc>
          <w:tcPr>
            <w:tcW w:w="1107" w:type="dxa"/>
            <w:tcBorders>
              <w:top w:val="nil"/>
              <w:left w:val="nil"/>
              <w:bottom w:val="single" w:sz="4" w:space="0" w:color="auto"/>
              <w:right w:val="single" w:sz="4" w:space="0" w:color="auto"/>
            </w:tcBorders>
            <w:noWrap/>
            <w:vAlign w:val="center"/>
            <w:hideMark/>
          </w:tcPr>
          <w:p w14:paraId="42101C84" w14:textId="0C386EB8"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23.265,36</w:t>
            </w:r>
          </w:p>
        </w:tc>
        <w:tc>
          <w:tcPr>
            <w:tcW w:w="857" w:type="dxa"/>
            <w:tcBorders>
              <w:top w:val="nil"/>
              <w:left w:val="nil"/>
              <w:bottom w:val="single" w:sz="4" w:space="0" w:color="auto"/>
              <w:right w:val="single" w:sz="4" w:space="0" w:color="auto"/>
            </w:tcBorders>
            <w:noWrap/>
            <w:vAlign w:val="center"/>
            <w:hideMark/>
          </w:tcPr>
          <w:p w14:paraId="7F22D894" w14:textId="48ED4D14"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0,00</w:t>
            </w:r>
          </w:p>
        </w:tc>
        <w:tc>
          <w:tcPr>
            <w:tcW w:w="1103" w:type="dxa"/>
            <w:tcBorders>
              <w:top w:val="nil"/>
              <w:left w:val="nil"/>
              <w:bottom w:val="single" w:sz="4" w:space="0" w:color="auto"/>
              <w:right w:val="single" w:sz="4" w:space="0" w:color="auto"/>
            </w:tcBorders>
            <w:noWrap/>
            <w:vAlign w:val="center"/>
            <w:hideMark/>
          </w:tcPr>
          <w:p w14:paraId="76DBA3CB" w14:textId="31A6224F"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0,00</w:t>
            </w:r>
          </w:p>
        </w:tc>
        <w:tc>
          <w:tcPr>
            <w:tcW w:w="1134" w:type="dxa"/>
            <w:tcBorders>
              <w:top w:val="nil"/>
              <w:left w:val="nil"/>
              <w:bottom w:val="single" w:sz="4" w:space="0" w:color="auto"/>
              <w:right w:val="single" w:sz="4" w:space="0" w:color="auto"/>
            </w:tcBorders>
            <w:noWrap/>
            <w:vAlign w:val="center"/>
            <w:hideMark/>
          </w:tcPr>
          <w:p w14:paraId="632790AA" w14:textId="1BFDF63E"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b/>
                <w:bCs/>
                <w:i/>
                <w:iCs/>
                <w:color w:val="000000"/>
              </w:rPr>
              <w:t>40.995,80</w:t>
            </w:r>
          </w:p>
        </w:tc>
        <w:tc>
          <w:tcPr>
            <w:tcW w:w="8332" w:type="dxa"/>
            <w:tcBorders>
              <w:top w:val="single" w:sz="4" w:space="0" w:color="auto"/>
              <w:left w:val="nil"/>
              <w:bottom w:val="single" w:sz="4" w:space="0" w:color="auto"/>
              <w:right w:val="nil"/>
            </w:tcBorders>
            <w:vAlign w:val="center"/>
            <w:hideMark/>
          </w:tcPr>
          <w:p w14:paraId="7FE5B593" w14:textId="3888C042" w:rsidR="00C37D80" w:rsidRPr="00C37D80"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hAnsi="Arial" w:cs="Arial"/>
                <w:sz w:val="14"/>
                <w:szCs w:val="14"/>
              </w:rPr>
            </w:pPr>
            <w:r w:rsidRPr="00C37D80">
              <w:rPr>
                <w:rFonts w:ascii="Calibri" w:hAnsi="Calibri" w:cs="Calibri"/>
                <w:sz w:val="14"/>
                <w:szCs w:val="14"/>
              </w:rPr>
              <w:t>Dječji vrtić - prihodi od pružanja usluga prehrane djece u produženom boravku u OŠ Gruda i PŠ Čilipi, te od najma. Muzeji i galerije Konavala - prihodi od prodaje suvenira, razglednica i sl. U Domu za starije i nemoćne osobe- prihodi od pružanja usluge dnevnog boravka je zbog pandemije virusa COVID 19 obustavljeno.</w:t>
            </w:r>
          </w:p>
        </w:tc>
      </w:tr>
      <w:tr w:rsidR="00C37D80" w:rsidRPr="003A2F86" w14:paraId="6F88073A" w14:textId="77777777" w:rsidTr="00C37D80">
        <w:trPr>
          <w:trHeight w:val="595"/>
        </w:trPr>
        <w:tc>
          <w:tcPr>
            <w:tcW w:w="1067" w:type="dxa"/>
            <w:tcBorders>
              <w:top w:val="nil"/>
              <w:left w:val="single" w:sz="4" w:space="0" w:color="auto"/>
              <w:bottom w:val="single" w:sz="4" w:space="0" w:color="auto"/>
              <w:right w:val="single" w:sz="4" w:space="0" w:color="auto"/>
            </w:tcBorders>
            <w:vAlign w:val="center"/>
            <w:hideMark/>
          </w:tcPr>
          <w:p w14:paraId="52C5C34C" w14:textId="6C6A8349"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rPr>
            </w:pPr>
            <w:r w:rsidRPr="006B60DC">
              <w:rPr>
                <w:rFonts w:ascii="Calibri" w:hAnsi="Calibri" w:cs="Calibri"/>
                <w:b/>
                <w:bCs/>
                <w:color w:val="000000"/>
              </w:rPr>
              <w:t>2022.</w:t>
            </w:r>
          </w:p>
        </w:tc>
        <w:tc>
          <w:tcPr>
            <w:tcW w:w="1107" w:type="dxa"/>
            <w:tcBorders>
              <w:top w:val="nil"/>
              <w:left w:val="nil"/>
              <w:bottom w:val="single" w:sz="4" w:space="0" w:color="auto"/>
              <w:right w:val="single" w:sz="4" w:space="0" w:color="auto"/>
            </w:tcBorders>
            <w:noWrap/>
            <w:vAlign w:val="center"/>
            <w:hideMark/>
          </w:tcPr>
          <w:p w14:paraId="07E21C18" w14:textId="7B8E4718"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17.411,91</w:t>
            </w:r>
          </w:p>
        </w:tc>
        <w:tc>
          <w:tcPr>
            <w:tcW w:w="1107" w:type="dxa"/>
            <w:tcBorders>
              <w:top w:val="nil"/>
              <w:left w:val="nil"/>
              <w:bottom w:val="single" w:sz="4" w:space="0" w:color="auto"/>
              <w:right w:val="single" w:sz="4" w:space="0" w:color="auto"/>
            </w:tcBorders>
            <w:noWrap/>
            <w:vAlign w:val="center"/>
            <w:hideMark/>
          </w:tcPr>
          <w:p w14:paraId="085C8443" w14:textId="6CD9C733"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33.533,43</w:t>
            </w:r>
          </w:p>
        </w:tc>
        <w:tc>
          <w:tcPr>
            <w:tcW w:w="857" w:type="dxa"/>
            <w:tcBorders>
              <w:top w:val="nil"/>
              <w:left w:val="nil"/>
              <w:bottom w:val="single" w:sz="4" w:space="0" w:color="auto"/>
              <w:right w:val="single" w:sz="4" w:space="0" w:color="auto"/>
            </w:tcBorders>
            <w:noWrap/>
            <w:vAlign w:val="center"/>
            <w:hideMark/>
          </w:tcPr>
          <w:p w14:paraId="604AB303" w14:textId="3944D221"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0,00</w:t>
            </w:r>
          </w:p>
        </w:tc>
        <w:tc>
          <w:tcPr>
            <w:tcW w:w="1103" w:type="dxa"/>
            <w:tcBorders>
              <w:top w:val="nil"/>
              <w:left w:val="nil"/>
              <w:bottom w:val="single" w:sz="4" w:space="0" w:color="auto"/>
              <w:right w:val="single" w:sz="4" w:space="0" w:color="auto"/>
            </w:tcBorders>
            <w:noWrap/>
            <w:vAlign w:val="center"/>
            <w:hideMark/>
          </w:tcPr>
          <w:p w14:paraId="2CC26E88" w14:textId="05D5DA5A"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color w:val="000000"/>
              </w:rPr>
              <w:t>4.297,68</w:t>
            </w:r>
          </w:p>
        </w:tc>
        <w:tc>
          <w:tcPr>
            <w:tcW w:w="1134" w:type="dxa"/>
            <w:tcBorders>
              <w:top w:val="nil"/>
              <w:left w:val="nil"/>
              <w:bottom w:val="single" w:sz="4" w:space="0" w:color="auto"/>
              <w:right w:val="single" w:sz="4" w:space="0" w:color="auto"/>
            </w:tcBorders>
            <w:noWrap/>
            <w:vAlign w:val="center"/>
            <w:hideMark/>
          </w:tcPr>
          <w:p w14:paraId="3A171539" w14:textId="72495266"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b/>
                <w:bCs/>
                <w:i/>
                <w:iCs/>
                <w:color w:val="000000"/>
              </w:rPr>
              <w:t>55.243,02</w:t>
            </w:r>
          </w:p>
        </w:tc>
        <w:tc>
          <w:tcPr>
            <w:tcW w:w="8332" w:type="dxa"/>
            <w:tcBorders>
              <w:top w:val="nil"/>
              <w:left w:val="nil"/>
              <w:bottom w:val="single" w:sz="4" w:space="0" w:color="auto"/>
              <w:right w:val="single" w:sz="4" w:space="0" w:color="auto"/>
            </w:tcBorders>
            <w:vAlign w:val="center"/>
            <w:hideMark/>
          </w:tcPr>
          <w:p w14:paraId="2295FFEE" w14:textId="2DE7CF6C" w:rsidR="00C37D80" w:rsidRPr="00C37D80"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hAnsi="Arial" w:cs="Arial"/>
                <w:sz w:val="14"/>
                <w:szCs w:val="14"/>
              </w:rPr>
            </w:pPr>
            <w:r w:rsidRPr="00C37D80">
              <w:rPr>
                <w:rFonts w:ascii="Calibri" w:hAnsi="Calibri" w:cs="Calibri"/>
                <w:sz w:val="14"/>
                <w:szCs w:val="14"/>
              </w:rPr>
              <w:t>Dječji vrtić - prihodi od pružanja usluga prehrane djece u produženom boravku u OŠ Gruda i PŠ Čilipi, te od najma. Muzeji i galerije Konavala - prihodi od prodaje suvenira, razglednica i sl. U Domu za starije i nemoćne osobe- prihodi od pružanja usluge dnevnog boravka.</w:t>
            </w:r>
          </w:p>
        </w:tc>
      </w:tr>
      <w:tr w:rsidR="00C37D80" w:rsidRPr="003A2F86" w14:paraId="4EA40802" w14:textId="77777777" w:rsidTr="00C37D80">
        <w:trPr>
          <w:trHeight w:val="547"/>
        </w:trPr>
        <w:tc>
          <w:tcPr>
            <w:tcW w:w="1067" w:type="dxa"/>
            <w:tcBorders>
              <w:top w:val="nil"/>
              <w:left w:val="single" w:sz="4" w:space="0" w:color="auto"/>
              <w:bottom w:val="single" w:sz="4" w:space="0" w:color="auto"/>
              <w:right w:val="single" w:sz="4" w:space="0" w:color="auto"/>
            </w:tcBorders>
            <w:vAlign w:val="center"/>
          </w:tcPr>
          <w:p w14:paraId="7867A08E" w14:textId="5FA1DD4C"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rPr>
            </w:pPr>
            <w:r w:rsidRPr="006B60DC">
              <w:rPr>
                <w:rFonts w:ascii="Calibri" w:hAnsi="Calibri" w:cs="Calibri"/>
                <w:b/>
                <w:bCs/>
              </w:rPr>
              <w:t>2023.</w:t>
            </w:r>
          </w:p>
        </w:tc>
        <w:tc>
          <w:tcPr>
            <w:tcW w:w="1107" w:type="dxa"/>
            <w:tcBorders>
              <w:top w:val="nil"/>
              <w:left w:val="nil"/>
              <w:bottom w:val="single" w:sz="4" w:space="0" w:color="auto"/>
              <w:right w:val="single" w:sz="4" w:space="0" w:color="auto"/>
            </w:tcBorders>
            <w:noWrap/>
            <w:vAlign w:val="center"/>
          </w:tcPr>
          <w:p w14:paraId="3A8764F1" w14:textId="0778A196"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rPr>
              <w:t>23.541,43</w:t>
            </w:r>
          </w:p>
        </w:tc>
        <w:tc>
          <w:tcPr>
            <w:tcW w:w="1107" w:type="dxa"/>
            <w:tcBorders>
              <w:top w:val="nil"/>
              <w:left w:val="nil"/>
              <w:bottom w:val="single" w:sz="4" w:space="0" w:color="auto"/>
              <w:right w:val="single" w:sz="4" w:space="0" w:color="auto"/>
            </w:tcBorders>
            <w:noWrap/>
            <w:vAlign w:val="center"/>
          </w:tcPr>
          <w:p w14:paraId="7738470A" w14:textId="3E205C66"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rPr>
              <w:t>35.860,04</w:t>
            </w:r>
          </w:p>
        </w:tc>
        <w:tc>
          <w:tcPr>
            <w:tcW w:w="857" w:type="dxa"/>
            <w:tcBorders>
              <w:top w:val="nil"/>
              <w:left w:val="nil"/>
              <w:bottom w:val="single" w:sz="4" w:space="0" w:color="auto"/>
              <w:right w:val="single" w:sz="4" w:space="0" w:color="auto"/>
            </w:tcBorders>
            <w:noWrap/>
            <w:vAlign w:val="center"/>
          </w:tcPr>
          <w:p w14:paraId="450A5480" w14:textId="725A26C1"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rPr>
              <w:t>0,00</w:t>
            </w:r>
          </w:p>
        </w:tc>
        <w:tc>
          <w:tcPr>
            <w:tcW w:w="1103" w:type="dxa"/>
            <w:tcBorders>
              <w:top w:val="nil"/>
              <w:left w:val="nil"/>
              <w:bottom w:val="single" w:sz="4" w:space="0" w:color="auto"/>
              <w:right w:val="single" w:sz="4" w:space="0" w:color="auto"/>
            </w:tcBorders>
            <w:noWrap/>
            <w:vAlign w:val="center"/>
          </w:tcPr>
          <w:p w14:paraId="385894BB" w14:textId="62EC8A46"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rPr>
            </w:pPr>
            <w:r w:rsidRPr="006B60DC">
              <w:rPr>
                <w:rFonts w:ascii="Calibri" w:hAnsi="Calibri" w:cs="Calibri"/>
                <w:i/>
                <w:iCs/>
              </w:rPr>
              <w:t>6.896,32</w:t>
            </w:r>
          </w:p>
        </w:tc>
        <w:tc>
          <w:tcPr>
            <w:tcW w:w="1134" w:type="dxa"/>
            <w:tcBorders>
              <w:top w:val="nil"/>
              <w:left w:val="nil"/>
              <w:bottom w:val="single" w:sz="4" w:space="0" w:color="auto"/>
              <w:right w:val="single" w:sz="4" w:space="0" w:color="auto"/>
            </w:tcBorders>
            <w:noWrap/>
            <w:vAlign w:val="center"/>
          </w:tcPr>
          <w:p w14:paraId="394EA8CB" w14:textId="31630C35"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b/>
                <w:bCs/>
              </w:rPr>
            </w:pPr>
            <w:r w:rsidRPr="006B60DC">
              <w:rPr>
                <w:rFonts w:ascii="Calibri" w:hAnsi="Calibri" w:cs="Calibri"/>
                <w:b/>
                <w:bCs/>
                <w:i/>
                <w:iCs/>
              </w:rPr>
              <w:t>66.297,79</w:t>
            </w:r>
          </w:p>
        </w:tc>
        <w:tc>
          <w:tcPr>
            <w:tcW w:w="8332" w:type="dxa"/>
            <w:tcBorders>
              <w:top w:val="nil"/>
              <w:left w:val="nil"/>
              <w:bottom w:val="single" w:sz="4" w:space="0" w:color="auto"/>
              <w:right w:val="single" w:sz="4" w:space="0" w:color="auto"/>
            </w:tcBorders>
            <w:vAlign w:val="center"/>
          </w:tcPr>
          <w:p w14:paraId="19AE4BF0" w14:textId="617D7F9B" w:rsidR="00C37D80" w:rsidRPr="00C37D80"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hAnsi="Arial" w:cs="Arial"/>
                <w:sz w:val="14"/>
                <w:szCs w:val="14"/>
              </w:rPr>
            </w:pPr>
            <w:r w:rsidRPr="00C37D80">
              <w:rPr>
                <w:rFonts w:ascii="Calibri" w:hAnsi="Calibri" w:cs="Calibri"/>
                <w:sz w:val="14"/>
                <w:szCs w:val="14"/>
              </w:rPr>
              <w:t>Dječji vrtić - prihodi od pružanja usluga prehrane djece u produženom boravku u OŠ Gruda i PŠ Čilipi, te od najma. Muzeji i galerije Konavala - prihodi od prodaje suvenira, razglednica i sl. U Domu za starije i nemoćne osobe- prihodi od pružanja usluge dnevnog boravka.</w:t>
            </w:r>
          </w:p>
        </w:tc>
      </w:tr>
      <w:tr w:rsidR="00C37D80" w:rsidRPr="003A2F86" w14:paraId="30288455" w14:textId="77777777" w:rsidTr="00C37D80">
        <w:trPr>
          <w:trHeight w:val="547"/>
        </w:trPr>
        <w:tc>
          <w:tcPr>
            <w:tcW w:w="1067" w:type="dxa"/>
            <w:tcBorders>
              <w:top w:val="nil"/>
              <w:left w:val="single" w:sz="4" w:space="0" w:color="auto"/>
              <w:bottom w:val="single" w:sz="4" w:space="0" w:color="auto"/>
              <w:right w:val="single" w:sz="4" w:space="0" w:color="auto"/>
            </w:tcBorders>
            <w:vAlign w:val="center"/>
          </w:tcPr>
          <w:p w14:paraId="5F155562" w14:textId="482BFF0D"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color w:val="000000"/>
              </w:rPr>
            </w:pPr>
            <w:r w:rsidRPr="006B60DC">
              <w:rPr>
                <w:rFonts w:ascii="Calibri" w:hAnsi="Calibri" w:cs="Calibri"/>
                <w:b/>
                <w:bCs/>
              </w:rPr>
              <w:t>2024.</w:t>
            </w:r>
          </w:p>
        </w:tc>
        <w:tc>
          <w:tcPr>
            <w:tcW w:w="1107" w:type="dxa"/>
            <w:tcBorders>
              <w:top w:val="nil"/>
              <w:left w:val="nil"/>
              <w:bottom w:val="single" w:sz="4" w:space="0" w:color="auto"/>
              <w:right w:val="single" w:sz="4" w:space="0" w:color="auto"/>
            </w:tcBorders>
            <w:noWrap/>
            <w:vAlign w:val="center"/>
          </w:tcPr>
          <w:p w14:paraId="50798CE8" w14:textId="07EF209E"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Calibri" w:hAnsi="Calibri" w:cs="Calibri"/>
                <w:i/>
                <w:iCs/>
              </w:rPr>
            </w:pPr>
            <w:r w:rsidRPr="006B60DC">
              <w:rPr>
                <w:rFonts w:ascii="Calibri" w:hAnsi="Calibri" w:cs="Calibri"/>
                <w:i/>
                <w:iCs/>
              </w:rPr>
              <w:t>31.865,10</w:t>
            </w:r>
          </w:p>
        </w:tc>
        <w:tc>
          <w:tcPr>
            <w:tcW w:w="1107" w:type="dxa"/>
            <w:tcBorders>
              <w:top w:val="nil"/>
              <w:left w:val="nil"/>
              <w:bottom w:val="single" w:sz="4" w:space="0" w:color="auto"/>
              <w:right w:val="single" w:sz="4" w:space="0" w:color="auto"/>
            </w:tcBorders>
            <w:noWrap/>
            <w:vAlign w:val="center"/>
          </w:tcPr>
          <w:p w14:paraId="621F873B" w14:textId="04E56D74"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Calibri" w:hAnsi="Calibri" w:cs="Calibri"/>
                <w:i/>
                <w:iCs/>
              </w:rPr>
            </w:pPr>
            <w:r w:rsidRPr="006B60DC">
              <w:rPr>
                <w:rFonts w:ascii="Calibri" w:hAnsi="Calibri" w:cs="Calibri"/>
                <w:i/>
                <w:iCs/>
              </w:rPr>
              <w:t>32.832,79</w:t>
            </w:r>
          </w:p>
        </w:tc>
        <w:tc>
          <w:tcPr>
            <w:tcW w:w="857" w:type="dxa"/>
            <w:tcBorders>
              <w:top w:val="nil"/>
              <w:left w:val="nil"/>
              <w:bottom w:val="single" w:sz="4" w:space="0" w:color="auto"/>
              <w:right w:val="single" w:sz="4" w:space="0" w:color="auto"/>
            </w:tcBorders>
            <w:noWrap/>
            <w:vAlign w:val="center"/>
          </w:tcPr>
          <w:p w14:paraId="6E93D24D" w14:textId="791671B4"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Calibri" w:hAnsi="Calibri" w:cs="Calibri"/>
                <w:i/>
                <w:iCs/>
              </w:rPr>
            </w:pPr>
            <w:r w:rsidRPr="006B60DC">
              <w:rPr>
                <w:rFonts w:ascii="Calibri" w:hAnsi="Calibri" w:cs="Calibri"/>
                <w:i/>
                <w:iCs/>
              </w:rPr>
              <w:t>0,00</w:t>
            </w:r>
          </w:p>
        </w:tc>
        <w:tc>
          <w:tcPr>
            <w:tcW w:w="1103" w:type="dxa"/>
            <w:tcBorders>
              <w:top w:val="nil"/>
              <w:left w:val="nil"/>
              <w:bottom w:val="single" w:sz="4" w:space="0" w:color="auto"/>
              <w:right w:val="single" w:sz="4" w:space="0" w:color="auto"/>
            </w:tcBorders>
            <w:noWrap/>
            <w:vAlign w:val="center"/>
          </w:tcPr>
          <w:p w14:paraId="37F7B515" w14:textId="5BCA3A08"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Calibri" w:hAnsi="Calibri" w:cs="Calibri"/>
                <w:i/>
                <w:iCs/>
              </w:rPr>
            </w:pPr>
            <w:r w:rsidRPr="006B60DC">
              <w:rPr>
                <w:rFonts w:ascii="Calibri" w:hAnsi="Calibri" w:cs="Calibri"/>
                <w:i/>
                <w:iCs/>
              </w:rPr>
              <w:t>5.448,86</w:t>
            </w:r>
          </w:p>
        </w:tc>
        <w:tc>
          <w:tcPr>
            <w:tcW w:w="1134" w:type="dxa"/>
            <w:tcBorders>
              <w:top w:val="nil"/>
              <w:left w:val="nil"/>
              <w:bottom w:val="single" w:sz="4" w:space="0" w:color="auto"/>
              <w:right w:val="single" w:sz="4" w:space="0" w:color="auto"/>
            </w:tcBorders>
            <w:noWrap/>
            <w:vAlign w:val="center"/>
          </w:tcPr>
          <w:p w14:paraId="34EAA9B1" w14:textId="2C1DBA9C" w:rsidR="00C37D80" w:rsidRPr="006B60DC"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Calibri" w:hAnsi="Calibri" w:cs="Calibri"/>
                <w:b/>
                <w:bCs/>
                <w:i/>
                <w:iCs/>
              </w:rPr>
            </w:pPr>
            <w:r w:rsidRPr="006B60DC">
              <w:rPr>
                <w:rFonts w:ascii="Calibri" w:hAnsi="Calibri" w:cs="Calibri"/>
                <w:b/>
                <w:bCs/>
                <w:i/>
                <w:iCs/>
              </w:rPr>
              <w:t>70.146,75</w:t>
            </w:r>
          </w:p>
        </w:tc>
        <w:tc>
          <w:tcPr>
            <w:tcW w:w="8332" w:type="dxa"/>
            <w:tcBorders>
              <w:top w:val="nil"/>
              <w:left w:val="nil"/>
              <w:bottom w:val="single" w:sz="4" w:space="0" w:color="auto"/>
              <w:right w:val="single" w:sz="4" w:space="0" w:color="auto"/>
            </w:tcBorders>
            <w:vAlign w:val="center"/>
          </w:tcPr>
          <w:p w14:paraId="297CB495" w14:textId="2FDFB9AF" w:rsidR="00C37D80" w:rsidRPr="00C37D80" w:rsidRDefault="00C37D80" w:rsidP="00C37D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hAnsi="Arial" w:cs="Arial"/>
                <w:sz w:val="14"/>
                <w:szCs w:val="14"/>
              </w:rPr>
            </w:pPr>
            <w:r w:rsidRPr="00C37D80">
              <w:rPr>
                <w:rFonts w:ascii="Calibri" w:hAnsi="Calibri" w:cs="Calibri"/>
                <w:sz w:val="14"/>
                <w:szCs w:val="14"/>
              </w:rPr>
              <w:t>Dječji vrtić - prihodi od pružanja usluga prehrane djece u produženom boravku u OŠ Gruda i PŠ Čilipi, te od najma. Muzeji i galerije Konavala - prihodi od prodaje suvenira, razglednica i sl. U Domu za starije i nemoćne osobe- prihodi od pružanja usluge dnevnog boravka.</w:t>
            </w:r>
          </w:p>
        </w:tc>
      </w:tr>
      <w:tr w:rsidR="004C6160" w:rsidRPr="003A2F86" w14:paraId="192B61D2" w14:textId="77777777" w:rsidTr="008055FA">
        <w:trPr>
          <w:trHeight w:val="547"/>
        </w:trPr>
        <w:tc>
          <w:tcPr>
            <w:tcW w:w="1067" w:type="dxa"/>
            <w:tcBorders>
              <w:top w:val="nil"/>
              <w:left w:val="single" w:sz="4" w:space="0" w:color="auto"/>
              <w:bottom w:val="single" w:sz="4" w:space="0" w:color="auto"/>
              <w:right w:val="single" w:sz="4" w:space="0" w:color="auto"/>
            </w:tcBorders>
            <w:vAlign w:val="center"/>
          </w:tcPr>
          <w:p w14:paraId="65ED5B1F" w14:textId="173A0850" w:rsidR="004C6160" w:rsidRPr="006B60DC" w:rsidRDefault="004C6160" w:rsidP="004C61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hAnsi="Arial" w:cs="Arial"/>
                <w:b/>
                <w:bCs/>
                <w:color w:val="000000"/>
              </w:rPr>
            </w:pPr>
            <w:r w:rsidRPr="006B60DC">
              <w:rPr>
                <w:rFonts w:ascii="Calibri" w:hAnsi="Calibri" w:cs="Calibri"/>
                <w:b/>
                <w:bCs/>
              </w:rPr>
              <w:t>2025.</w:t>
            </w:r>
          </w:p>
        </w:tc>
        <w:tc>
          <w:tcPr>
            <w:tcW w:w="1107" w:type="dxa"/>
            <w:tcBorders>
              <w:top w:val="single" w:sz="4" w:space="0" w:color="auto"/>
              <w:left w:val="single" w:sz="4" w:space="0" w:color="auto"/>
              <w:bottom w:val="single" w:sz="4" w:space="0" w:color="auto"/>
              <w:right w:val="single" w:sz="4" w:space="0" w:color="auto"/>
            </w:tcBorders>
            <w:noWrap/>
            <w:vAlign w:val="center"/>
          </w:tcPr>
          <w:p w14:paraId="5DCD90A6" w14:textId="233C0344" w:rsidR="004C6160" w:rsidRPr="006B60DC" w:rsidRDefault="004C6160" w:rsidP="004C61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Calibri" w:hAnsi="Calibri" w:cs="Calibri"/>
                <w:i/>
                <w:iCs/>
              </w:rPr>
            </w:pPr>
            <w:r>
              <w:rPr>
                <w:rFonts w:ascii="Calibri" w:hAnsi="Calibri" w:cs="Calibri"/>
                <w:i/>
                <w:iCs/>
                <w:sz w:val="22"/>
                <w:szCs w:val="22"/>
              </w:rPr>
              <w:t>36.770,60</w:t>
            </w:r>
          </w:p>
        </w:tc>
        <w:tc>
          <w:tcPr>
            <w:tcW w:w="1107" w:type="dxa"/>
            <w:tcBorders>
              <w:top w:val="single" w:sz="4" w:space="0" w:color="auto"/>
              <w:left w:val="nil"/>
              <w:bottom w:val="single" w:sz="4" w:space="0" w:color="auto"/>
              <w:right w:val="single" w:sz="4" w:space="0" w:color="auto"/>
            </w:tcBorders>
            <w:noWrap/>
            <w:vAlign w:val="center"/>
          </w:tcPr>
          <w:p w14:paraId="323308B9" w14:textId="0F2CF2E4" w:rsidR="004C6160" w:rsidRPr="006B60DC" w:rsidRDefault="004C6160" w:rsidP="004C61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Calibri" w:hAnsi="Calibri" w:cs="Calibri"/>
                <w:i/>
                <w:iCs/>
              </w:rPr>
            </w:pPr>
            <w:r>
              <w:rPr>
                <w:rFonts w:ascii="Calibri" w:hAnsi="Calibri" w:cs="Calibri"/>
                <w:i/>
                <w:iCs/>
                <w:sz w:val="22"/>
                <w:szCs w:val="22"/>
              </w:rPr>
              <w:t>74.568,23</w:t>
            </w:r>
          </w:p>
        </w:tc>
        <w:tc>
          <w:tcPr>
            <w:tcW w:w="857" w:type="dxa"/>
            <w:tcBorders>
              <w:top w:val="single" w:sz="4" w:space="0" w:color="auto"/>
              <w:left w:val="nil"/>
              <w:bottom w:val="single" w:sz="4" w:space="0" w:color="auto"/>
              <w:right w:val="single" w:sz="4" w:space="0" w:color="auto"/>
            </w:tcBorders>
            <w:noWrap/>
            <w:vAlign w:val="center"/>
          </w:tcPr>
          <w:p w14:paraId="6AE26191" w14:textId="1AA1E07F" w:rsidR="004C6160" w:rsidRPr="006B60DC" w:rsidRDefault="004C6160" w:rsidP="004C61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Calibri" w:hAnsi="Calibri" w:cs="Calibri"/>
                <w:i/>
                <w:iCs/>
              </w:rPr>
            </w:pPr>
            <w:r>
              <w:rPr>
                <w:rFonts w:ascii="Calibri" w:hAnsi="Calibri" w:cs="Calibri"/>
                <w:i/>
                <w:iCs/>
                <w:sz w:val="22"/>
                <w:szCs w:val="22"/>
              </w:rPr>
              <w:t>0,00</w:t>
            </w:r>
          </w:p>
        </w:tc>
        <w:tc>
          <w:tcPr>
            <w:tcW w:w="1103" w:type="dxa"/>
            <w:tcBorders>
              <w:top w:val="single" w:sz="4" w:space="0" w:color="auto"/>
              <w:left w:val="nil"/>
              <w:bottom w:val="single" w:sz="4" w:space="0" w:color="auto"/>
              <w:right w:val="single" w:sz="4" w:space="0" w:color="auto"/>
            </w:tcBorders>
            <w:noWrap/>
            <w:vAlign w:val="center"/>
          </w:tcPr>
          <w:p w14:paraId="09C5F901" w14:textId="39CEA636" w:rsidR="004C6160" w:rsidRPr="006B60DC" w:rsidRDefault="004C6160" w:rsidP="004C61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Calibri" w:hAnsi="Calibri" w:cs="Calibri"/>
                <w:i/>
                <w:iCs/>
              </w:rPr>
            </w:pPr>
            <w:r>
              <w:rPr>
                <w:rFonts w:ascii="Calibri" w:hAnsi="Calibri" w:cs="Calibri"/>
                <w:i/>
                <w:iCs/>
                <w:sz w:val="22"/>
                <w:szCs w:val="22"/>
              </w:rPr>
              <w:t>5.508,20</w:t>
            </w:r>
          </w:p>
        </w:tc>
        <w:tc>
          <w:tcPr>
            <w:tcW w:w="1134" w:type="dxa"/>
            <w:tcBorders>
              <w:top w:val="single" w:sz="4" w:space="0" w:color="auto"/>
              <w:left w:val="nil"/>
              <w:bottom w:val="single" w:sz="4" w:space="0" w:color="auto"/>
              <w:right w:val="single" w:sz="4" w:space="0" w:color="auto"/>
            </w:tcBorders>
            <w:noWrap/>
            <w:vAlign w:val="center"/>
          </w:tcPr>
          <w:p w14:paraId="0AEE62A0" w14:textId="5C42922F" w:rsidR="004C6160" w:rsidRPr="006B60DC" w:rsidRDefault="004C6160" w:rsidP="004C61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Calibri" w:hAnsi="Calibri" w:cs="Calibri"/>
                <w:b/>
                <w:bCs/>
                <w:i/>
                <w:iCs/>
              </w:rPr>
            </w:pPr>
            <w:r>
              <w:rPr>
                <w:rFonts w:ascii="Calibri" w:hAnsi="Calibri" w:cs="Calibri"/>
                <w:b/>
                <w:bCs/>
                <w:i/>
                <w:iCs/>
                <w:sz w:val="22"/>
                <w:szCs w:val="22"/>
              </w:rPr>
              <w:t>116.847,03</w:t>
            </w:r>
          </w:p>
        </w:tc>
        <w:tc>
          <w:tcPr>
            <w:tcW w:w="8332" w:type="dxa"/>
            <w:tcBorders>
              <w:top w:val="nil"/>
              <w:left w:val="nil"/>
              <w:bottom w:val="single" w:sz="4" w:space="0" w:color="auto"/>
              <w:right w:val="single" w:sz="4" w:space="0" w:color="auto"/>
            </w:tcBorders>
            <w:vAlign w:val="center"/>
          </w:tcPr>
          <w:p w14:paraId="764A3DA2" w14:textId="3ED56699" w:rsidR="004C6160" w:rsidRPr="00C37D80" w:rsidRDefault="004C6160" w:rsidP="004C61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hAnsi="Arial" w:cs="Arial"/>
                <w:sz w:val="14"/>
                <w:szCs w:val="14"/>
              </w:rPr>
            </w:pPr>
            <w:r w:rsidRPr="00C37D80">
              <w:rPr>
                <w:rFonts w:ascii="Calibri" w:hAnsi="Calibri" w:cs="Calibri"/>
                <w:sz w:val="14"/>
                <w:szCs w:val="14"/>
              </w:rPr>
              <w:t>Dječji vrtić - prihodi od pružanja usluga prehrane djece u produženom boravku u OŠ Gruda i PŠ Čilipi, te od najma. Muzeji i galerije Konavala - prihodi od prodaje suvenira, razglednica i sl. U Domu za starije i nemoćne osobe- prihodi od pružanja usluge dnevnog boravka.</w:t>
            </w:r>
          </w:p>
        </w:tc>
      </w:tr>
    </w:tbl>
    <w:p w14:paraId="6650B6B9" w14:textId="77777777" w:rsidR="0039648D" w:rsidRPr="003A2F86" w:rsidRDefault="0039648D" w:rsidP="007F6D8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741119C7" w14:textId="77777777" w:rsidR="001C45AE" w:rsidRPr="003A2F86" w:rsidRDefault="001C45AE" w:rsidP="007F6D8F">
      <w:pPr>
        <w:spacing w:after="0" w:line="240" w:lineRule="auto"/>
        <w:rPr>
          <w:rFonts w:ascii="Arial" w:eastAsia="Calibri" w:hAnsi="Arial" w:cs="Arial"/>
          <w:lang w:eastAsia="en-US"/>
        </w:rPr>
      </w:pPr>
      <w:r w:rsidRPr="003A2F86">
        <w:rPr>
          <w:rFonts w:ascii="Arial" w:eastAsia="Calibri" w:hAnsi="Arial" w:cs="Arial"/>
          <w:lang w:eastAsia="en-US"/>
        </w:rPr>
        <w:br w:type="page"/>
      </w:r>
    </w:p>
    <w:p w14:paraId="5AA3616D" w14:textId="77777777"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655CFC0B" w14:textId="3328EC36" w:rsidR="00C739DA" w:rsidRPr="003A2F86" w:rsidRDefault="00E53B1F" w:rsidP="00E53B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center"/>
        <w:rPr>
          <w:rFonts w:ascii="Arial" w:eastAsia="Calibri" w:hAnsi="Arial" w:cs="Arial"/>
          <w:u w:val="single"/>
          <w:lang w:eastAsia="en-US"/>
        </w:rPr>
      </w:pPr>
      <w:r w:rsidRPr="003A2F86">
        <w:rPr>
          <w:rFonts w:ascii="Arial" w:eastAsia="Calibri" w:hAnsi="Arial" w:cs="Arial"/>
          <w:b/>
          <w:u w:val="single"/>
          <w:lang w:eastAsia="en-US"/>
        </w:rPr>
        <w:t xml:space="preserve">Kazne, upravne mjere i ostali prihodi </w:t>
      </w:r>
      <w:r w:rsidRPr="003A2F86">
        <w:rPr>
          <w:rFonts w:ascii="Arial" w:eastAsia="Calibri" w:hAnsi="Arial" w:cs="Arial"/>
          <w:u w:val="single"/>
          <w:lang w:eastAsia="en-US"/>
        </w:rPr>
        <w:t>(</w:t>
      </w:r>
      <w:r w:rsidRPr="003A2F86">
        <w:rPr>
          <w:rFonts w:ascii="Arial" w:eastAsia="Calibri" w:hAnsi="Arial" w:cs="Arial"/>
          <w:b/>
          <w:bCs/>
          <w:u w:val="single"/>
          <w:lang w:eastAsia="en-US"/>
        </w:rPr>
        <w:t>68</w:t>
      </w:r>
      <w:r w:rsidRPr="003A2F86">
        <w:rPr>
          <w:rFonts w:ascii="Arial" w:eastAsia="Calibri" w:hAnsi="Arial" w:cs="Arial"/>
          <w:u w:val="single"/>
          <w:lang w:eastAsia="en-US"/>
        </w:rPr>
        <w:t>)</w:t>
      </w:r>
    </w:p>
    <w:p w14:paraId="64093755" w14:textId="1B0D18AE" w:rsidR="00705A83" w:rsidRPr="003A2F86" w:rsidRDefault="00705A83"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7D672DFD" w14:textId="77777777" w:rsidR="00BF141C" w:rsidRPr="00BF141C" w:rsidRDefault="00E53B1F" w:rsidP="00BF141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3A2F86">
        <w:rPr>
          <w:rFonts w:ascii="Arial" w:eastAsia="Calibri" w:hAnsi="Arial" w:cs="Arial"/>
          <w:b/>
          <w:lang w:eastAsia="en-US"/>
        </w:rPr>
        <w:t xml:space="preserve">Kazne, upravne mjere i ostali prihodi </w:t>
      </w:r>
      <w:r w:rsidRPr="003A2F86">
        <w:rPr>
          <w:rFonts w:ascii="Arial" w:eastAsia="Calibri" w:hAnsi="Arial" w:cs="Arial"/>
          <w:lang w:eastAsia="en-US"/>
        </w:rPr>
        <w:t>(</w:t>
      </w:r>
      <w:r w:rsidRPr="003A2F86">
        <w:rPr>
          <w:rFonts w:ascii="Arial" w:eastAsia="Calibri" w:hAnsi="Arial" w:cs="Arial"/>
          <w:b/>
          <w:bCs/>
          <w:lang w:eastAsia="en-US"/>
        </w:rPr>
        <w:t>68</w:t>
      </w:r>
      <w:r w:rsidRPr="003A2F86">
        <w:rPr>
          <w:rFonts w:ascii="Arial" w:eastAsia="Calibri" w:hAnsi="Arial" w:cs="Arial"/>
          <w:lang w:eastAsia="en-US"/>
        </w:rPr>
        <w:t xml:space="preserve">) </w:t>
      </w:r>
      <w:r w:rsidR="00BF141C" w:rsidRPr="00BF141C">
        <w:rPr>
          <w:rFonts w:ascii="Arial" w:eastAsia="Calibri" w:hAnsi="Arial" w:cs="Arial"/>
          <w:lang w:eastAsia="en-US"/>
        </w:rPr>
        <w:t xml:space="preserve">ostvarene su u iznosu 58.869,54 € što je za 26.415,59 € ili 81,4% više u odnosu na ostvarenje prethodne 2024. godine. </w:t>
      </w:r>
      <w:r w:rsidR="00BF141C" w:rsidRPr="00BF141C">
        <w:rPr>
          <w:rFonts w:ascii="Arial" w:eastAsia="Calibri" w:hAnsi="Arial" w:cs="Arial"/>
          <w:color w:val="004F88"/>
          <w:lang w:eastAsia="en-US"/>
        </w:rPr>
        <w:t xml:space="preserve">Prihodi Općine iznose 58.110,11 € i prihode proračunskih korisnika 759,43 € </w:t>
      </w:r>
      <w:r w:rsidR="00BF141C" w:rsidRPr="00BF141C">
        <w:rPr>
          <w:rFonts w:ascii="Arial" w:eastAsia="Calibri" w:hAnsi="Arial" w:cs="Arial"/>
          <w:lang w:eastAsia="en-US"/>
        </w:rPr>
        <w:t>(razni povrati sredstava).</w:t>
      </w:r>
    </w:p>
    <w:p w14:paraId="7A5C353F" w14:textId="77777777" w:rsidR="00BF141C" w:rsidRPr="00BF141C" w:rsidRDefault="00BF141C" w:rsidP="00BF141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3E73B948" w14:textId="77777777" w:rsidR="00BF141C" w:rsidRPr="00BF141C" w:rsidRDefault="00BF141C" w:rsidP="00BF141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BF141C">
        <w:rPr>
          <w:rFonts w:ascii="Arial" w:eastAsia="Calibri" w:hAnsi="Arial" w:cs="Arial"/>
          <w:lang w:eastAsia="en-US"/>
        </w:rPr>
        <w:t>Prihodi Općine se odnose na prihode na temelju naplaćenih prekršaja u prometu (rješenja o počinjenim prekršajima u prometu - prometno redarstvo u ljetnoj sezoni) u iznosu 16.266 € (više za 6.182,99 € nego prethodne godine), prihoda od kazni u iznosu 2.184 € koje je naplatio komunalni redar, te ostalih prihoda u iznosu 39.660,11 €. Ostali prihodi se odnose na više različitih pojedinačnih uplata u iznosu 1.977,68 €, refundacije troška električke energije i vode zakupoprimaca u iznosu 10.253,15 €, naplatu penala u iznosu 15.869,28 € iz postupaka javne nabave, naplatu raspoređenih sredstava po aktima drugih institucija za prodaju građevinskog zemljišta bez izvršnog akta kojim se odobrava građenje u iznosu 11.560 €.</w:t>
      </w:r>
    </w:p>
    <w:p w14:paraId="0DC68A3E" w14:textId="7897E1AF" w:rsidR="00257C78" w:rsidRPr="003A2F86" w:rsidRDefault="00257C78" w:rsidP="00BF141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3EF624E0" w14:textId="39891869" w:rsidR="00FA76C0" w:rsidRPr="003A2F86" w:rsidRDefault="00E53B1F" w:rsidP="00E53B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3A2F86">
        <w:rPr>
          <w:rFonts w:ascii="Arial" w:eastAsia="Times New Roman" w:hAnsi="Arial" w:cs="Arial"/>
          <w:i/>
          <w:iCs/>
          <w:sz w:val="20"/>
          <w:szCs w:val="20"/>
        </w:rPr>
        <w:t>* Usporedba:</w:t>
      </w:r>
      <w:r w:rsidRPr="003A2F86">
        <w:rPr>
          <w:rFonts w:ascii="Arial" w:eastAsia="Calibri" w:hAnsi="Arial" w:cs="Arial"/>
          <w:lang w:eastAsia="en-US"/>
        </w:rPr>
        <w:t xml:space="preserve"> </w:t>
      </w:r>
      <w:bookmarkStart w:id="138" w:name="_Hlk103076400"/>
    </w:p>
    <w:tbl>
      <w:tblPr>
        <w:tblStyle w:val="Reetkatablice"/>
        <w:tblW w:w="13190" w:type="dxa"/>
        <w:jc w:val="center"/>
        <w:tblLook w:val="04A0" w:firstRow="1" w:lastRow="0" w:firstColumn="1" w:lastColumn="0" w:noHBand="0" w:noVBand="1"/>
      </w:tblPr>
      <w:tblGrid>
        <w:gridCol w:w="983"/>
        <w:gridCol w:w="1139"/>
        <w:gridCol w:w="6195"/>
        <w:gridCol w:w="2370"/>
        <w:gridCol w:w="2503"/>
      </w:tblGrid>
      <w:tr w:rsidR="003D15C8" w:rsidRPr="003A2F86" w14:paraId="2944A168" w14:textId="532F8D5B" w:rsidTr="003D15C8">
        <w:trPr>
          <w:trHeight w:val="285"/>
          <w:jc w:val="center"/>
        </w:trPr>
        <w:tc>
          <w:tcPr>
            <w:tcW w:w="983" w:type="dxa"/>
            <w:vMerge w:val="restart"/>
            <w:vAlign w:val="center"/>
          </w:tcPr>
          <w:p w14:paraId="060CC4DD" w14:textId="2A5D145F"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eastAsia="Calibri" w:hAnsi="Arial" w:cs="Arial"/>
                <w:b/>
                <w:bCs/>
                <w:i/>
                <w:iCs/>
                <w:lang w:eastAsia="en-US"/>
              </w:rPr>
            </w:pPr>
            <w:r w:rsidRPr="003A2F86">
              <w:rPr>
                <w:rFonts w:ascii="Arial" w:eastAsia="Calibri" w:hAnsi="Arial" w:cs="Arial"/>
                <w:b/>
                <w:bCs/>
                <w:i/>
                <w:iCs/>
                <w:sz w:val="18"/>
                <w:szCs w:val="18"/>
                <w:lang w:eastAsia="en-US"/>
              </w:rPr>
              <w:t>Godina</w:t>
            </w:r>
          </w:p>
        </w:tc>
        <w:tc>
          <w:tcPr>
            <w:tcW w:w="1139" w:type="dxa"/>
            <w:vMerge w:val="restart"/>
            <w:vAlign w:val="center"/>
          </w:tcPr>
          <w:p w14:paraId="138FC628" w14:textId="3173E320"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eastAsia="Calibri" w:hAnsi="Arial" w:cs="Arial"/>
                <w:b/>
                <w:bCs/>
                <w:i/>
                <w:iCs/>
                <w:lang w:eastAsia="en-US"/>
              </w:rPr>
            </w:pPr>
            <w:r w:rsidRPr="003A2F86">
              <w:rPr>
                <w:rFonts w:ascii="Arial" w:eastAsia="Calibri" w:hAnsi="Arial" w:cs="Arial"/>
                <w:b/>
                <w:bCs/>
                <w:i/>
                <w:iCs/>
                <w:sz w:val="18"/>
                <w:szCs w:val="18"/>
                <w:lang w:eastAsia="en-US"/>
              </w:rPr>
              <w:t xml:space="preserve">Iznos </w:t>
            </w:r>
            <w:r w:rsidRPr="003A2F86">
              <w:rPr>
                <w:rFonts w:ascii="Arial" w:eastAsia="Calibri" w:hAnsi="Arial" w:cs="Arial"/>
                <w:b/>
                <w:bCs/>
                <w:i/>
                <w:iCs/>
                <w:color w:val="FF0000"/>
                <w:sz w:val="18"/>
                <w:szCs w:val="18"/>
                <w:lang w:eastAsia="en-US"/>
              </w:rPr>
              <w:t>(€)</w:t>
            </w:r>
          </w:p>
        </w:tc>
        <w:tc>
          <w:tcPr>
            <w:tcW w:w="6195" w:type="dxa"/>
            <w:vAlign w:val="center"/>
          </w:tcPr>
          <w:p w14:paraId="15F669C6" w14:textId="689FBDF3"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b/>
                <w:bCs/>
                <w:i/>
                <w:iCs/>
                <w:lang w:eastAsia="en-US"/>
              </w:rPr>
            </w:pPr>
            <w:r w:rsidRPr="003A2F86">
              <w:rPr>
                <w:rFonts w:ascii="Arial" w:eastAsia="Calibri" w:hAnsi="Arial" w:cs="Arial"/>
                <w:b/>
                <w:bCs/>
                <w:i/>
                <w:iCs/>
                <w:lang w:eastAsia="en-US"/>
              </w:rPr>
              <w:t>Prihod od kazne za prekršaj u prometu (</w:t>
            </w:r>
            <w:r w:rsidRPr="003A2F86">
              <w:rPr>
                <w:rFonts w:ascii="Arial" w:eastAsia="Calibri" w:hAnsi="Arial" w:cs="Arial"/>
                <w:b/>
                <w:bCs/>
                <w:i/>
                <w:iCs/>
                <w:color w:val="FF0000"/>
                <w:lang w:eastAsia="en-US"/>
              </w:rPr>
              <w:t>6815</w:t>
            </w:r>
            <w:r w:rsidRPr="003A2F86">
              <w:rPr>
                <w:rFonts w:ascii="Arial" w:eastAsia="Calibri" w:hAnsi="Arial" w:cs="Arial"/>
                <w:b/>
                <w:bCs/>
                <w:i/>
                <w:iCs/>
                <w:lang w:eastAsia="en-US"/>
              </w:rPr>
              <w:t>)</w:t>
            </w:r>
          </w:p>
        </w:tc>
        <w:tc>
          <w:tcPr>
            <w:tcW w:w="2370" w:type="dxa"/>
            <w:vMerge w:val="restart"/>
            <w:vAlign w:val="center"/>
          </w:tcPr>
          <w:p w14:paraId="63364139" w14:textId="400237C2"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b/>
                <w:bCs/>
                <w:i/>
                <w:iCs/>
                <w:lang w:eastAsia="en-US"/>
              </w:rPr>
            </w:pPr>
            <w:r>
              <w:rPr>
                <w:rFonts w:ascii="Arial" w:eastAsia="Calibri" w:hAnsi="Arial" w:cs="Arial"/>
                <w:b/>
                <w:bCs/>
                <w:i/>
                <w:iCs/>
                <w:lang w:eastAsia="en-US"/>
              </w:rPr>
              <w:t xml:space="preserve">Kazne komunalno redarstvo </w:t>
            </w:r>
            <w:r w:rsidRPr="003A2F86">
              <w:rPr>
                <w:rFonts w:ascii="Arial" w:eastAsia="Calibri" w:hAnsi="Arial" w:cs="Arial"/>
                <w:b/>
                <w:bCs/>
                <w:i/>
                <w:iCs/>
                <w:lang w:eastAsia="en-US"/>
              </w:rPr>
              <w:t>(</w:t>
            </w:r>
            <w:r w:rsidRPr="003A2F86">
              <w:rPr>
                <w:rFonts w:ascii="Arial" w:eastAsia="Calibri" w:hAnsi="Arial" w:cs="Arial"/>
                <w:b/>
                <w:bCs/>
                <w:i/>
                <w:iCs/>
                <w:color w:val="FF0000"/>
                <w:lang w:eastAsia="en-US"/>
              </w:rPr>
              <w:t>6815</w:t>
            </w:r>
            <w:r w:rsidRPr="003A2F86">
              <w:rPr>
                <w:rFonts w:ascii="Arial" w:eastAsia="Calibri" w:hAnsi="Arial" w:cs="Arial"/>
                <w:b/>
                <w:bCs/>
                <w:i/>
                <w:iCs/>
                <w:lang w:eastAsia="en-US"/>
              </w:rPr>
              <w:t>)</w:t>
            </w:r>
          </w:p>
        </w:tc>
        <w:tc>
          <w:tcPr>
            <w:tcW w:w="2503" w:type="dxa"/>
            <w:vMerge w:val="restart"/>
            <w:vAlign w:val="center"/>
          </w:tcPr>
          <w:p w14:paraId="624EB8E5" w14:textId="67D7546E"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b/>
                <w:bCs/>
                <w:i/>
                <w:iCs/>
                <w:lang w:eastAsia="en-US"/>
              </w:rPr>
            </w:pPr>
            <w:r>
              <w:rPr>
                <w:rFonts w:ascii="Arial" w:eastAsia="Calibri" w:hAnsi="Arial" w:cs="Arial"/>
                <w:b/>
                <w:bCs/>
                <w:i/>
                <w:iCs/>
                <w:lang w:eastAsia="en-US"/>
              </w:rPr>
              <w:t xml:space="preserve">Prekršajni nalog </w:t>
            </w:r>
            <w:r w:rsidRPr="003A2F86">
              <w:rPr>
                <w:rFonts w:ascii="Arial" w:eastAsia="Calibri" w:hAnsi="Arial" w:cs="Arial"/>
                <w:b/>
                <w:bCs/>
                <w:i/>
                <w:iCs/>
                <w:lang w:eastAsia="en-US"/>
              </w:rPr>
              <w:t>(</w:t>
            </w:r>
            <w:r w:rsidRPr="003A2F86">
              <w:rPr>
                <w:rFonts w:ascii="Arial" w:eastAsia="Calibri" w:hAnsi="Arial" w:cs="Arial"/>
                <w:b/>
                <w:bCs/>
                <w:i/>
                <w:iCs/>
                <w:color w:val="FF0000"/>
                <w:lang w:eastAsia="en-US"/>
              </w:rPr>
              <w:t>6815</w:t>
            </w:r>
            <w:r w:rsidRPr="003A2F86">
              <w:rPr>
                <w:rFonts w:ascii="Arial" w:eastAsia="Calibri" w:hAnsi="Arial" w:cs="Arial"/>
                <w:b/>
                <w:bCs/>
                <w:i/>
                <w:iCs/>
                <w:lang w:eastAsia="en-US"/>
              </w:rPr>
              <w:t>)</w:t>
            </w:r>
          </w:p>
        </w:tc>
      </w:tr>
      <w:tr w:rsidR="003D15C8" w:rsidRPr="003A2F86" w14:paraId="68AFD367" w14:textId="1186B817" w:rsidTr="006778CB">
        <w:trPr>
          <w:trHeight w:val="315"/>
          <w:jc w:val="center"/>
        </w:trPr>
        <w:tc>
          <w:tcPr>
            <w:tcW w:w="983" w:type="dxa"/>
            <w:vMerge/>
            <w:hideMark/>
          </w:tcPr>
          <w:p w14:paraId="48F0C967" w14:textId="0D3E4EAE"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eastAsia="Calibri" w:hAnsi="Arial" w:cs="Arial"/>
                <w:b/>
                <w:bCs/>
                <w:i/>
                <w:iCs/>
                <w:sz w:val="18"/>
                <w:szCs w:val="18"/>
                <w:lang w:eastAsia="en-US"/>
              </w:rPr>
            </w:pPr>
          </w:p>
        </w:tc>
        <w:tc>
          <w:tcPr>
            <w:tcW w:w="1139" w:type="dxa"/>
            <w:vMerge/>
            <w:hideMark/>
          </w:tcPr>
          <w:p w14:paraId="586B5E37" w14:textId="525C13E4"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eastAsia="Calibri" w:hAnsi="Arial" w:cs="Arial"/>
                <w:b/>
                <w:bCs/>
                <w:i/>
                <w:iCs/>
                <w:sz w:val="18"/>
                <w:szCs w:val="18"/>
                <w:lang w:eastAsia="en-US"/>
              </w:rPr>
            </w:pPr>
          </w:p>
        </w:tc>
        <w:tc>
          <w:tcPr>
            <w:tcW w:w="6195" w:type="dxa"/>
            <w:hideMark/>
          </w:tcPr>
          <w:p w14:paraId="2A0A501B" w14:textId="77777777"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b/>
                <w:bCs/>
                <w:i/>
                <w:iCs/>
                <w:sz w:val="18"/>
                <w:szCs w:val="18"/>
                <w:lang w:eastAsia="en-US"/>
              </w:rPr>
            </w:pPr>
            <w:r w:rsidRPr="003A2F86">
              <w:rPr>
                <w:rFonts w:ascii="Arial" w:eastAsia="Calibri" w:hAnsi="Arial" w:cs="Arial"/>
                <w:b/>
                <w:bCs/>
                <w:i/>
                <w:iCs/>
                <w:sz w:val="18"/>
                <w:szCs w:val="18"/>
                <w:lang w:eastAsia="en-US"/>
              </w:rPr>
              <w:t>Obrazloženje</w:t>
            </w:r>
          </w:p>
        </w:tc>
        <w:tc>
          <w:tcPr>
            <w:tcW w:w="2370" w:type="dxa"/>
            <w:vMerge/>
            <w:vAlign w:val="center"/>
          </w:tcPr>
          <w:p w14:paraId="1491044A" w14:textId="77777777"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eastAsia="Calibri" w:hAnsi="Arial" w:cs="Arial"/>
                <w:b/>
                <w:bCs/>
                <w:i/>
                <w:iCs/>
                <w:sz w:val="18"/>
                <w:szCs w:val="18"/>
                <w:lang w:eastAsia="en-US"/>
              </w:rPr>
            </w:pPr>
          </w:p>
        </w:tc>
        <w:tc>
          <w:tcPr>
            <w:tcW w:w="2503" w:type="dxa"/>
            <w:vMerge/>
            <w:vAlign w:val="center"/>
          </w:tcPr>
          <w:p w14:paraId="78510133" w14:textId="77777777"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eastAsia="Calibri" w:hAnsi="Arial" w:cs="Arial"/>
                <w:b/>
                <w:bCs/>
                <w:i/>
                <w:iCs/>
                <w:sz w:val="18"/>
                <w:szCs w:val="18"/>
                <w:lang w:eastAsia="en-US"/>
              </w:rPr>
            </w:pPr>
          </w:p>
        </w:tc>
      </w:tr>
      <w:tr w:rsidR="003D15C8" w:rsidRPr="003A2F86" w14:paraId="26712D98" w14:textId="07D6F375" w:rsidTr="006778CB">
        <w:trPr>
          <w:trHeight w:val="300"/>
          <w:jc w:val="center"/>
        </w:trPr>
        <w:tc>
          <w:tcPr>
            <w:tcW w:w="983" w:type="dxa"/>
            <w:vAlign w:val="center"/>
            <w:hideMark/>
          </w:tcPr>
          <w:p w14:paraId="3C4E0E14" w14:textId="77777777"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iCs/>
                <w:sz w:val="16"/>
                <w:szCs w:val="16"/>
                <w:lang w:eastAsia="en-US"/>
              </w:rPr>
            </w:pPr>
            <w:r w:rsidRPr="006B60DC">
              <w:rPr>
                <w:rFonts w:ascii="Arial" w:eastAsia="Calibri" w:hAnsi="Arial" w:cs="Arial"/>
                <w:i/>
                <w:iCs/>
                <w:sz w:val="16"/>
                <w:szCs w:val="16"/>
                <w:lang w:eastAsia="en-US"/>
              </w:rPr>
              <w:t>2017.</w:t>
            </w:r>
          </w:p>
        </w:tc>
        <w:tc>
          <w:tcPr>
            <w:tcW w:w="1139" w:type="dxa"/>
            <w:vAlign w:val="center"/>
            <w:hideMark/>
          </w:tcPr>
          <w:p w14:paraId="197EF22E" w14:textId="42911EA6"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i/>
                <w:iCs/>
                <w:sz w:val="16"/>
                <w:szCs w:val="16"/>
                <w:lang w:eastAsia="en-US"/>
              </w:rPr>
            </w:pPr>
            <w:r w:rsidRPr="006B60DC">
              <w:rPr>
                <w:rFonts w:ascii="Arial" w:hAnsi="Arial" w:cs="Arial"/>
                <w:i/>
                <w:iCs/>
                <w:color w:val="000000"/>
                <w:sz w:val="16"/>
                <w:szCs w:val="16"/>
              </w:rPr>
              <w:t>544,16</w:t>
            </w:r>
          </w:p>
        </w:tc>
        <w:tc>
          <w:tcPr>
            <w:tcW w:w="6195" w:type="dxa"/>
            <w:vAlign w:val="center"/>
            <w:hideMark/>
          </w:tcPr>
          <w:p w14:paraId="361D8B2E" w14:textId="5B933070"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eastAsia="Calibri" w:hAnsi="Arial" w:cs="Arial"/>
                <w:sz w:val="16"/>
                <w:szCs w:val="16"/>
                <w:lang w:eastAsia="en-US"/>
              </w:rPr>
            </w:pPr>
            <w:r w:rsidRPr="006B60DC">
              <w:rPr>
                <w:rFonts w:ascii="Arial" w:hAnsi="Arial" w:cs="Arial"/>
                <w:color w:val="000000"/>
                <w:sz w:val="16"/>
                <w:szCs w:val="16"/>
              </w:rPr>
              <w:t>prva godina ostvarivanja ovih prihoda</w:t>
            </w:r>
          </w:p>
        </w:tc>
        <w:tc>
          <w:tcPr>
            <w:tcW w:w="2370" w:type="dxa"/>
            <w:vAlign w:val="center"/>
          </w:tcPr>
          <w:p w14:paraId="2CD5DDBC" w14:textId="72E50CDC"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color w:val="000000"/>
                <w:sz w:val="18"/>
                <w:szCs w:val="18"/>
              </w:rPr>
            </w:pPr>
            <w:r>
              <w:rPr>
                <w:rFonts w:ascii="Arial" w:hAnsi="Arial" w:cs="Arial"/>
                <w:color w:val="000000"/>
                <w:sz w:val="18"/>
                <w:szCs w:val="18"/>
              </w:rPr>
              <w:t>-</w:t>
            </w:r>
          </w:p>
        </w:tc>
        <w:tc>
          <w:tcPr>
            <w:tcW w:w="2503" w:type="dxa"/>
            <w:vAlign w:val="center"/>
          </w:tcPr>
          <w:p w14:paraId="5C467FE8" w14:textId="50695CE3"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color w:val="000000"/>
                <w:sz w:val="18"/>
                <w:szCs w:val="18"/>
              </w:rPr>
            </w:pPr>
            <w:r>
              <w:rPr>
                <w:rFonts w:ascii="Arial" w:hAnsi="Arial" w:cs="Arial"/>
                <w:color w:val="000000"/>
                <w:sz w:val="18"/>
                <w:szCs w:val="18"/>
              </w:rPr>
              <w:t>-</w:t>
            </w:r>
          </w:p>
        </w:tc>
      </w:tr>
      <w:tr w:rsidR="003D15C8" w:rsidRPr="003A2F86" w14:paraId="3ED81837" w14:textId="4EE2BD6E" w:rsidTr="006778CB">
        <w:trPr>
          <w:trHeight w:val="317"/>
          <w:jc w:val="center"/>
        </w:trPr>
        <w:tc>
          <w:tcPr>
            <w:tcW w:w="983" w:type="dxa"/>
            <w:vAlign w:val="center"/>
            <w:hideMark/>
          </w:tcPr>
          <w:p w14:paraId="5EEED770" w14:textId="77777777"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iCs/>
                <w:sz w:val="16"/>
                <w:szCs w:val="16"/>
                <w:lang w:eastAsia="en-US"/>
              </w:rPr>
            </w:pPr>
            <w:r w:rsidRPr="006B60DC">
              <w:rPr>
                <w:rFonts w:ascii="Arial" w:eastAsia="Calibri" w:hAnsi="Arial" w:cs="Arial"/>
                <w:i/>
                <w:iCs/>
                <w:sz w:val="16"/>
                <w:szCs w:val="16"/>
                <w:lang w:eastAsia="en-US"/>
              </w:rPr>
              <w:t>2018.</w:t>
            </w:r>
          </w:p>
        </w:tc>
        <w:tc>
          <w:tcPr>
            <w:tcW w:w="1139" w:type="dxa"/>
            <w:vAlign w:val="center"/>
            <w:hideMark/>
          </w:tcPr>
          <w:p w14:paraId="0BCBDEE0" w14:textId="3E97F832"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i/>
                <w:iCs/>
                <w:sz w:val="16"/>
                <w:szCs w:val="16"/>
                <w:lang w:eastAsia="en-US"/>
              </w:rPr>
            </w:pPr>
            <w:r w:rsidRPr="006B60DC">
              <w:rPr>
                <w:rFonts w:ascii="Arial" w:hAnsi="Arial" w:cs="Arial"/>
                <w:i/>
                <w:iCs/>
                <w:color w:val="000000"/>
                <w:sz w:val="16"/>
                <w:szCs w:val="16"/>
              </w:rPr>
              <w:t>10.156,32</w:t>
            </w:r>
          </w:p>
        </w:tc>
        <w:tc>
          <w:tcPr>
            <w:tcW w:w="6195" w:type="dxa"/>
            <w:vAlign w:val="center"/>
            <w:hideMark/>
          </w:tcPr>
          <w:p w14:paraId="2731DC2B" w14:textId="53D40017"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eastAsia="Calibri" w:hAnsi="Arial" w:cs="Arial"/>
                <w:sz w:val="16"/>
                <w:szCs w:val="16"/>
                <w:lang w:eastAsia="en-US"/>
              </w:rPr>
            </w:pPr>
            <w:r w:rsidRPr="006B60DC">
              <w:rPr>
                <w:rFonts w:ascii="Arial" w:hAnsi="Arial" w:cs="Arial"/>
                <w:color w:val="000000"/>
                <w:sz w:val="16"/>
                <w:szCs w:val="16"/>
              </w:rPr>
              <w:t>što je za 9.612,15 € više u odnosu na izvještajno razdoblje prethodne godine (prihodi prvog polugodišta 2018. iznosili 2.511,78 €)</w:t>
            </w:r>
          </w:p>
        </w:tc>
        <w:tc>
          <w:tcPr>
            <w:tcW w:w="2370" w:type="dxa"/>
            <w:vAlign w:val="center"/>
          </w:tcPr>
          <w:p w14:paraId="065078AC" w14:textId="582B4BBB"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color w:val="000000"/>
                <w:sz w:val="18"/>
                <w:szCs w:val="18"/>
              </w:rPr>
            </w:pPr>
            <w:r>
              <w:rPr>
                <w:rFonts w:ascii="Arial" w:hAnsi="Arial" w:cs="Arial"/>
                <w:color w:val="000000"/>
                <w:sz w:val="18"/>
                <w:szCs w:val="18"/>
              </w:rPr>
              <w:t>-</w:t>
            </w:r>
          </w:p>
        </w:tc>
        <w:tc>
          <w:tcPr>
            <w:tcW w:w="2503" w:type="dxa"/>
            <w:vAlign w:val="center"/>
          </w:tcPr>
          <w:p w14:paraId="6B8A0A30" w14:textId="021128FC"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color w:val="000000"/>
                <w:sz w:val="18"/>
                <w:szCs w:val="18"/>
              </w:rPr>
            </w:pPr>
            <w:r>
              <w:rPr>
                <w:rFonts w:ascii="Arial" w:hAnsi="Arial" w:cs="Arial"/>
                <w:color w:val="000000"/>
                <w:sz w:val="18"/>
                <w:szCs w:val="18"/>
              </w:rPr>
              <w:t>-</w:t>
            </w:r>
          </w:p>
        </w:tc>
      </w:tr>
      <w:tr w:rsidR="003D15C8" w:rsidRPr="003A2F86" w14:paraId="5AEB562A" w14:textId="3C0CD45D" w:rsidTr="006778CB">
        <w:trPr>
          <w:trHeight w:val="255"/>
          <w:jc w:val="center"/>
        </w:trPr>
        <w:tc>
          <w:tcPr>
            <w:tcW w:w="983" w:type="dxa"/>
            <w:vAlign w:val="center"/>
            <w:hideMark/>
          </w:tcPr>
          <w:p w14:paraId="0325D179" w14:textId="77777777"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iCs/>
                <w:sz w:val="16"/>
                <w:szCs w:val="16"/>
                <w:lang w:eastAsia="en-US"/>
              </w:rPr>
            </w:pPr>
            <w:r w:rsidRPr="006B60DC">
              <w:rPr>
                <w:rFonts w:ascii="Arial" w:eastAsia="Calibri" w:hAnsi="Arial" w:cs="Arial"/>
                <w:i/>
                <w:iCs/>
                <w:sz w:val="16"/>
                <w:szCs w:val="16"/>
                <w:lang w:eastAsia="en-US"/>
              </w:rPr>
              <w:t>2019.</w:t>
            </w:r>
          </w:p>
        </w:tc>
        <w:tc>
          <w:tcPr>
            <w:tcW w:w="1139" w:type="dxa"/>
            <w:vAlign w:val="center"/>
            <w:hideMark/>
          </w:tcPr>
          <w:p w14:paraId="5CE1BA1D" w14:textId="308DEDE8"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i/>
                <w:iCs/>
                <w:sz w:val="16"/>
                <w:szCs w:val="16"/>
                <w:lang w:eastAsia="en-US"/>
              </w:rPr>
            </w:pPr>
            <w:r w:rsidRPr="006B60DC">
              <w:rPr>
                <w:rFonts w:ascii="Arial" w:hAnsi="Arial" w:cs="Arial"/>
                <w:i/>
                <w:iCs/>
                <w:color w:val="000000"/>
                <w:sz w:val="16"/>
                <w:szCs w:val="16"/>
              </w:rPr>
              <w:t>15.939,24</w:t>
            </w:r>
          </w:p>
        </w:tc>
        <w:tc>
          <w:tcPr>
            <w:tcW w:w="6195" w:type="dxa"/>
            <w:vAlign w:val="center"/>
            <w:hideMark/>
          </w:tcPr>
          <w:p w14:paraId="5AADDC5A" w14:textId="458AC555"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eastAsia="Calibri" w:hAnsi="Arial" w:cs="Arial"/>
                <w:sz w:val="16"/>
                <w:szCs w:val="16"/>
                <w:lang w:eastAsia="en-US"/>
              </w:rPr>
            </w:pPr>
            <w:r w:rsidRPr="006B60DC">
              <w:rPr>
                <w:rFonts w:ascii="Arial" w:hAnsi="Arial" w:cs="Arial"/>
                <w:color w:val="000000"/>
                <w:sz w:val="16"/>
                <w:szCs w:val="16"/>
              </w:rPr>
              <w:t>što je za 5.782,93 € ili 56,9% više u odnosu na izvještajno razdoblje prethodne godine (prihodi prvog polugodišta 2019. iznosili 6.111,38 €)</w:t>
            </w:r>
          </w:p>
        </w:tc>
        <w:tc>
          <w:tcPr>
            <w:tcW w:w="2370" w:type="dxa"/>
            <w:vAlign w:val="center"/>
          </w:tcPr>
          <w:p w14:paraId="15520BBF" w14:textId="10052FDC"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color w:val="000000"/>
                <w:sz w:val="18"/>
                <w:szCs w:val="18"/>
              </w:rPr>
            </w:pPr>
            <w:r>
              <w:rPr>
                <w:rFonts w:ascii="Arial" w:hAnsi="Arial" w:cs="Arial"/>
                <w:color w:val="000000"/>
                <w:sz w:val="18"/>
                <w:szCs w:val="18"/>
              </w:rPr>
              <w:t>-</w:t>
            </w:r>
          </w:p>
        </w:tc>
        <w:tc>
          <w:tcPr>
            <w:tcW w:w="2503" w:type="dxa"/>
            <w:vAlign w:val="center"/>
          </w:tcPr>
          <w:p w14:paraId="533BBC2A" w14:textId="1966F961"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color w:val="000000"/>
                <w:sz w:val="18"/>
                <w:szCs w:val="18"/>
              </w:rPr>
            </w:pPr>
            <w:r>
              <w:rPr>
                <w:rFonts w:ascii="Arial" w:hAnsi="Arial" w:cs="Arial"/>
                <w:color w:val="000000"/>
                <w:sz w:val="18"/>
                <w:szCs w:val="18"/>
              </w:rPr>
              <w:t>-</w:t>
            </w:r>
          </w:p>
        </w:tc>
      </w:tr>
      <w:tr w:rsidR="003D15C8" w:rsidRPr="003A2F86" w14:paraId="38672A39" w14:textId="02E1BEFA" w:rsidTr="006778CB">
        <w:trPr>
          <w:trHeight w:val="288"/>
          <w:jc w:val="center"/>
        </w:trPr>
        <w:tc>
          <w:tcPr>
            <w:tcW w:w="983" w:type="dxa"/>
            <w:vAlign w:val="center"/>
            <w:hideMark/>
          </w:tcPr>
          <w:p w14:paraId="11557190" w14:textId="77777777"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iCs/>
                <w:sz w:val="16"/>
                <w:szCs w:val="16"/>
                <w:lang w:eastAsia="en-US"/>
              </w:rPr>
            </w:pPr>
            <w:r w:rsidRPr="006B60DC">
              <w:rPr>
                <w:rFonts w:ascii="Arial" w:eastAsia="Calibri" w:hAnsi="Arial" w:cs="Arial"/>
                <w:i/>
                <w:iCs/>
                <w:sz w:val="16"/>
                <w:szCs w:val="16"/>
                <w:lang w:eastAsia="en-US"/>
              </w:rPr>
              <w:t>2020.</w:t>
            </w:r>
          </w:p>
        </w:tc>
        <w:tc>
          <w:tcPr>
            <w:tcW w:w="1139" w:type="dxa"/>
            <w:vAlign w:val="center"/>
            <w:hideMark/>
          </w:tcPr>
          <w:p w14:paraId="15F24ECC" w14:textId="48B308CA"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i/>
                <w:iCs/>
                <w:sz w:val="16"/>
                <w:szCs w:val="16"/>
                <w:lang w:eastAsia="en-US"/>
              </w:rPr>
            </w:pPr>
            <w:r w:rsidRPr="006B60DC">
              <w:rPr>
                <w:rFonts w:ascii="Arial" w:hAnsi="Arial" w:cs="Arial"/>
                <w:i/>
                <w:iCs/>
                <w:color w:val="000000"/>
                <w:sz w:val="16"/>
                <w:szCs w:val="16"/>
              </w:rPr>
              <w:t>404,80</w:t>
            </w:r>
          </w:p>
        </w:tc>
        <w:tc>
          <w:tcPr>
            <w:tcW w:w="6195" w:type="dxa"/>
            <w:vAlign w:val="center"/>
            <w:hideMark/>
          </w:tcPr>
          <w:p w14:paraId="0BC5A567" w14:textId="1C28CC7B"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eastAsia="Calibri" w:hAnsi="Arial" w:cs="Arial"/>
                <w:sz w:val="16"/>
                <w:szCs w:val="16"/>
                <w:lang w:eastAsia="en-US"/>
              </w:rPr>
            </w:pPr>
            <w:r w:rsidRPr="006B60DC">
              <w:rPr>
                <w:rFonts w:ascii="Arial" w:hAnsi="Arial" w:cs="Arial"/>
                <w:color w:val="000000"/>
                <w:sz w:val="16"/>
                <w:szCs w:val="16"/>
              </w:rPr>
              <w:t>što je za 15.534,44 € ili 97,5% manje u odnosu na izvještajno razdoblje prethodne godine (prihodi prvog polugodišta 2020. iznosili 245,54 €)</w:t>
            </w:r>
          </w:p>
        </w:tc>
        <w:tc>
          <w:tcPr>
            <w:tcW w:w="2370" w:type="dxa"/>
            <w:vAlign w:val="center"/>
          </w:tcPr>
          <w:p w14:paraId="22813EF5" w14:textId="3209C61E"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color w:val="000000"/>
                <w:sz w:val="18"/>
                <w:szCs w:val="18"/>
              </w:rPr>
            </w:pPr>
            <w:r>
              <w:rPr>
                <w:rFonts w:ascii="Arial" w:hAnsi="Arial" w:cs="Arial"/>
                <w:color w:val="000000"/>
                <w:sz w:val="18"/>
                <w:szCs w:val="18"/>
              </w:rPr>
              <w:t>-</w:t>
            </w:r>
          </w:p>
        </w:tc>
        <w:tc>
          <w:tcPr>
            <w:tcW w:w="2503" w:type="dxa"/>
            <w:vAlign w:val="center"/>
          </w:tcPr>
          <w:p w14:paraId="2968407B" w14:textId="3D4A6F29"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color w:val="000000"/>
                <w:sz w:val="18"/>
                <w:szCs w:val="18"/>
              </w:rPr>
            </w:pPr>
            <w:r>
              <w:rPr>
                <w:rFonts w:ascii="Arial" w:hAnsi="Arial" w:cs="Arial"/>
                <w:color w:val="000000"/>
                <w:sz w:val="18"/>
                <w:szCs w:val="18"/>
              </w:rPr>
              <w:t>-</w:t>
            </w:r>
          </w:p>
        </w:tc>
      </w:tr>
      <w:tr w:rsidR="003D15C8" w:rsidRPr="003A2F86" w14:paraId="43D7639E" w14:textId="546803EE" w:rsidTr="006778CB">
        <w:trPr>
          <w:trHeight w:val="485"/>
          <w:jc w:val="center"/>
        </w:trPr>
        <w:tc>
          <w:tcPr>
            <w:tcW w:w="983" w:type="dxa"/>
            <w:vAlign w:val="center"/>
            <w:hideMark/>
          </w:tcPr>
          <w:p w14:paraId="68CBA352" w14:textId="77777777"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iCs/>
                <w:sz w:val="16"/>
                <w:szCs w:val="16"/>
                <w:lang w:eastAsia="en-US"/>
              </w:rPr>
            </w:pPr>
            <w:r w:rsidRPr="006B60DC">
              <w:rPr>
                <w:rFonts w:ascii="Arial" w:eastAsia="Calibri" w:hAnsi="Arial" w:cs="Arial"/>
                <w:i/>
                <w:iCs/>
                <w:sz w:val="16"/>
                <w:szCs w:val="16"/>
                <w:lang w:eastAsia="en-US"/>
              </w:rPr>
              <w:t>2021.</w:t>
            </w:r>
          </w:p>
        </w:tc>
        <w:tc>
          <w:tcPr>
            <w:tcW w:w="1139" w:type="dxa"/>
            <w:vAlign w:val="center"/>
            <w:hideMark/>
          </w:tcPr>
          <w:p w14:paraId="67458017" w14:textId="06C711E5"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i/>
                <w:iCs/>
                <w:sz w:val="16"/>
                <w:szCs w:val="16"/>
                <w:lang w:eastAsia="en-US"/>
              </w:rPr>
            </w:pPr>
            <w:r w:rsidRPr="006B60DC">
              <w:rPr>
                <w:rFonts w:ascii="Arial" w:hAnsi="Arial" w:cs="Arial"/>
                <w:i/>
                <w:iCs/>
                <w:color w:val="000000"/>
                <w:sz w:val="16"/>
                <w:szCs w:val="16"/>
              </w:rPr>
              <w:t>1.457,55</w:t>
            </w:r>
          </w:p>
        </w:tc>
        <w:tc>
          <w:tcPr>
            <w:tcW w:w="6195" w:type="dxa"/>
            <w:vAlign w:val="center"/>
            <w:hideMark/>
          </w:tcPr>
          <w:p w14:paraId="704FE37F" w14:textId="6C05DD50"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eastAsia="Calibri" w:hAnsi="Arial" w:cs="Arial"/>
                <w:sz w:val="16"/>
                <w:szCs w:val="16"/>
                <w:lang w:eastAsia="en-US"/>
              </w:rPr>
            </w:pPr>
            <w:r w:rsidRPr="006B60DC">
              <w:rPr>
                <w:rFonts w:ascii="Arial" w:hAnsi="Arial" w:cs="Arial"/>
                <w:sz w:val="16"/>
                <w:szCs w:val="16"/>
              </w:rPr>
              <w:t>što je za 1.052,74 € ili 260% više u odnosu na izvještajno razdoblje prethodne godine, ali čak 14.481,70 € ili 90,9% manje nego u izvještajnom razdoblju 2019. godine (prihodi prvog polugodišta 2021. godine su iznosili 205,72 €)</w:t>
            </w:r>
          </w:p>
        </w:tc>
        <w:tc>
          <w:tcPr>
            <w:tcW w:w="2370" w:type="dxa"/>
            <w:vAlign w:val="center"/>
          </w:tcPr>
          <w:p w14:paraId="16702BF6" w14:textId="3C023368"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sz w:val="18"/>
                <w:szCs w:val="18"/>
              </w:rPr>
            </w:pPr>
            <w:r>
              <w:rPr>
                <w:rFonts w:ascii="Arial" w:hAnsi="Arial" w:cs="Arial"/>
                <w:sz w:val="18"/>
                <w:szCs w:val="18"/>
              </w:rPr>
              <w:t>-</w:t>
            </w:r>
          </w:p>
        </w:tc>
        <w:tc>
          <w:tcPr>
            <w:tcW w:w="2503" w:type="dxa"/>
            <w:vAlign w:val="center"/>
          </w:tcPr>
          <w:p w14:paraId="356BB12E" w14:textId="28FBF5E4"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sz w:val="18"/>
                <w:szCs w:val="18"/>
              </w:rPr>
            </w:pPr>
            <w:r>
              <w:rPr>
                <w:rFonts w:ascii="Arial" w:hAnsi="Arial" w:cs="Arial"/>
                <w:sz w:val="18"/>
                <w:szCs w:val="18"/>
              </w:rPr>
              <w:t>-</w:t>
            </w:r>
          </w:p>
        </w:tc>
      </w:tr>
      <w:tr w:rsidR="003D15C8" w:rsidRPr="003A2F86" w14:paraId="64B44F66" w14:textId="60BD1D67" w:rsidTr="006778CB">
        <w:trPr>
          <w:trHeight w:val="280"/>
          <w:jc w:val="center"/>
        </w:trPr>
        <w:tc>
          <w:tcPr>
            <w:tcW w:w="983" w:type="dxa"/>
            <w:vAlign w:val="center"/>
            <w:hideMark/>
          </w:tcPr>
          <w:p w14:paraId="39156E34" w14:textId="61EF32B4"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iCs/>
                <w:sz w:val="16"/>
                <w:szCs w:val="16"/>
                <w:lang w:eastAsia="en-US"/>
              </w:rPr>
            </w:pPr>
            <w:r w:rsidRPr="006B60DC">
              <w:rPr>
                <w:rFonts w:ascii="Arial" w:eastAsia="Calibri" w:hAnsi="Arial" w:cs="Arial"/>
                <w:i/>
                <w:iCs/>
                <w:sz w:val="16"/>
                <w:szCs w:val="16"/>
                <w:lang w:eastAsia="en-US"/>
              </w:rPr>
              <w:t>2022.</w:t>
            </w:r>
          </w:p>
        </w:tc>
        <w:tc>
          <w:tcPr>
            <w:tcW w:w="1139" w:type="dxa"/>
            <w:vAlign w:val="center"/>
          </w:tcPr>
          <w:p w14:paraId="06319783" w14:textId="2CB0DC2A"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i/>
                <w:iCs/>
                <w:sz w:val="16"/>
                <w:szCs w:val="16"/>
                <w:lang w:eastAsia="en-US"/>
              </w:rPr>
            </w:pPr>
            <w:r w:rsidRPr="006B60DC">
              <w:rPr>
                <w:rFonts w:ascii="Arial" w:hAnsi="Arial" w:cs="Arial"/>
                <w:i/>
                <w:iCs/>
                <w:color w:val="000000"/>
                <w:sz w:val="16"/>
                <w:szCs w:val="16"/>
              </w:rPr>
              <w:t>3.912,00</w:t>
            </w:r>
          </w:p>
        </w:tc>
        <w:tc>
          <w:tcPr>
            <w:tcW w:w="6195" w:type="dxa"/>
            <w:vAlign w:val="center"/>
          </w:tcPr>
          <w:p w14:paraId="378E2F2B" w14:textId="07967469"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eastAsia="Calibri" w:hAnsi="Arial" w:cs="Arial"/>
                <w:sz w:val="16"/>
                <w:szCs w:val="16"/>
                <w:lang w:eastAsia="en-US"/>
              </w:rPr>
            </w:pPr>
            <w:r w:rsidRPr="006B60DC">
              <w:rPr>
                <w:rFonts w:ascii="Arial" w:hAnsi="Arial" w:cs="Arial"/>
                <w:sz w:val="16"/>
                <w:szCs w:val="16"/>
              </w:rPr>
              <w:t>što je za 2.454,46 € ili 168,4% više u odnosu na izvještajno razdoblje prethodne godine, ali čak 12.02,24 € ili 75,5% manje nego u izvještajnom razdoblju 2019. godine (prihodi prvog polugodišta 2022. godine su iznosili 1.284,09 €).</w:t>
            </w:r>
          </w:p>
        </w:tc>
        <w:tc>
          <w:tcPr>
            <w:tcW w:w="2370" w:type="dxa"/>
            <w:vAlign w:val="center"/>
          </w:tcPr>
          <w:p w14:paraId="5C4DACE5" w14:textId="3B7AF3B3"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sz w:val="18"/>
                <w:szCs w:val="18"/>
              </w:rPr>
            </w:pPr>
            <w:r>
              <w:rPr>
                <w:rFonts w:ascii="Arial" w:hAnsi="Arial" w:cs="Arial"/>
                <w:sz w:val="18"/>
                <w:szCs w:val="18"/>
              </w:rPr>
              <w:t>-</w:t>
            </w:r>
          </w:p>
        </w:tc>
        <w:tc>
          <w:tcPr>
            <w:tcW w:w="2503" w:type="dxa"/>
            <w:vAlign w:val="center"/>
          </w:tcPr>
          <w:p w14:paraId="521DE763" w14:textId="6F8AA531"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sz w:val="18"/>
                <w:szCs w:val="18"/>
              </w:rPr>
            </w:pPr>
            <w:r>
              <w:rPr>
                <w:rFonts w:ascii="Arial" w:hAnsi="Arial" w:cs="Arial"/>
                <w:sz w:val="18"/>
                <w:szCs w:val="18"/>
              </w:rPr>
              <w:t>-</w:t>
            </w:r>
          </w:p>
        </w:tc>
      </w:tr>
      <w:tr w:rsidR="003D15C8" w:rsidRPr="003A2F86" w14:paraId="480747F8" w14:textId="764801DC" w:rsidTr="006778CB">
        <w:trPr>
          <w:trHeight w:val="280"/>
          <w:jc w:val="center"/>
        </w:trPr>
        <w:tc>
          <w:tcPr>
            <w:tcW w:w="983" w:type="dxa"/>
            <w:vAlign w:val="center"/>
          </w:tcPr>
          <w:p w14:paraId="52E6D533" w14:textId="15B55BD4"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iCs/>
                <w:sz w:val="16"/>
                <w:szCs w:val="16"/>
                <w:lang w:eastAsia="en-US"/>
              </w:rPr>
            </w:pPr>
            <w:r w:rsidRPr="006B60DC">
              <w:rPr>
                <w:rFonts w:ascii="Arial" w:eastAsia="Calibri" w:hAnsi="Arial" w:cs="Arial"/>
                <w:i/>
                <w:iCs/>
                <w:sz w:val="16"/>
                <w:szCs w:val="16"/>
                <w:lang w:eastAsia="en-US"/>
              </w:rPr>
              <w:t>2023.</w:t>
            </w:r>
          </w:p>
        </w:tc>
        <w:tc>
          <w:tcPr>
            <w:tcW w:w="1139" w:type="dxa"/>
            <w:vAlign w:val="center"/>
          </w:tcPr>
          <w:p w14:paraId="7C8DF518" w14:textId="5F4C8F05"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i/>
                <w:iCs/>
                <w:sz w:val="16"/>
                <w:szCs w:val="16"/>
                <w:lang w:eastAsia="en-US"/>
              </w:rPr>
            </w:pPr>
            <w:r w:rsidRPr="006B60DC">
              <w:rPr>
                <w:rFonts w:ascii="Arial" w:hAnsi="Arial" w:cs="Arial"/>
                <w:i/>
                <w:iCs/>
                <w:color w:val="000000"/>
                <w:sz w:val="16"/>
                <w:szCs w:val="16"/>
              </w:rPr>
              <w:t>1.104,82</w:t>
            </w:r>
          </w:p>
        </w:tc>
        <w:tc>
          <w:tcPr>
            <w:tcW w:w="6195" w:type="dxa"/>
            <w:vAlign w:val="center"/>
          </w:tcPr>
          <w:p w14:paraId="6D008550" w14:textId="7309BAF5"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eastAsia="Calibri" w:hAnsi="Arial" w:cs="Arial"/>
                <w:sz w:val="16"/>
                <w:szCs w:val="16"/>
                <w:lang w:eastAsia="en-US"/>
              </w:rPr>
            </w:pPr>
            <w:r w:rsidRPr="006B60DC">
              <w:rPr>
                <w:rFonts w:ascii="Arial" w:hAnsi="Arial" w:cs="Arial"/>
                <w:sz w:val="16"/>
                <w:szCs w:val="16"/>
              </w:rPr>
              <w:t xml:space="preserve">što je za 2.807,18 € ili 71,8% manje u odnosu na izvještajno godišnje razdoblje prethodne godine (prihodi prvog polugodišta 2023. godine su iznosili 165 €). Manje nego prethodne godine </w:t>
            </w:r>
            <w:r w:rsidRPr="006B60DC">
              <w:rPr>
                <w:rFonts w:ascii="Arial" w:eastAsia="Calibri" w:hAnsi="Arial" w:cs="Arial"/>
                <w:sz w:val="16"/>
                <w:szCs w:val="16"/>
                <w:lang w:eastAsia="en-US"/>
              </w:rPr>
              <w:t>€ jer su se izvodili radovi uz rivu u Cavtatu što je utjecalo na manje prihode od kazni jer je bilo onemogućeno parkiranje.</w:t>
            </w:r>
          </w:p>
        </w:tc>
        <w:tc>
          <w:tcPr>
            <w:tcW w:w="2370" w:type="dxa"/>
            <w:vAlign w:val="center"/>
          </w:tcPr>
          <w:p w14:paraId="237BCDB2" w14:textId="76E3E879"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sz w:val="18"/>
                <w:szCs w:val="18"/>
              </w:rPr>
            </w:pPr>
            <w:r>
              <w:rPr>
                <w:rFonts w:ascii="Arial" w:hAnsi="Arial" w:cs="Arial"/>
                <w:sz w:val="18"/>
                <w:szCs w:val="18"/>
              </w:rPr>
              <w:t>-</w:t>
            </w:r>
          </w:p>
        </w:tc>
        <w:tc>
          <w:tcPr>
            <w:tcW w:w="2503" w:type="dxa"/>
            <w:vAlign w:val="center"/>
          </w:tcPr>
          <w:p w14:paraId="437C4012" w14:textId="7EA99A13" w:rsidR="003D15C8" w:rsidRPr="003A2F86"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hAnsi="Arial" w:cs="Arial"/>
                <w:sz w:val="18"/>
                <w:szCs w:val="18"/>
              </w:rPr>
            </w:pPr>
            <w:r>
              <w:rPr>
                <w:rFonts w:ascii="Arial" w:hAnsi="Arial" w:cs="Arial"/>
                <w:sz w:val="18"/>
                <w:szCs w:val="18"/>
              </w:rPr>
              <w:t>-</w:t>
            </w:r>
          </w:p>
        </w:tc>
      </w:tr>
      <w:tr w:rsidR="003D15C8" w:rsidRPr="00D26B62" w14:paraId="1F44DBE7" w14:textId="34E78777" w:rsidTr="006778CB">
        <w:trPr>
          <w:trHeight w:val="280"/>
          <w:jc w:val="center"/>
        </w:trPr>
        <w:tc>
          <w:tcPr>
            <w:tcW w:w="983" w:type="dxa"/>
            <w:vAlign w:val="center"/>
          </w:tcPr>
          <w:p w14:paraId="679A1A3A" w14:textId="43CEA6F3"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iCs/>
                <w:sz w:val="16"/>
                <w:szCs w:val="16"/>
                <w:lang w:eastAsia="en-US"/>
              </w:rPr>
            </w:pPr>
            <w:r w:rsidRPr="006B60DC">
              <w:rPr>
                <w:rFonts w:ascii="Arial" w:eastAsia="Calibri" w:hAnsi="Arial" w:cs="Arial"/>
                <w:i/>
                <w:iCs/>
                <w:sz w:val="16"/>
                <w:szCs w:val="16"/>
                <w:lang w:eastAsia="en-US"/>
              </w:rPr>
              <w:t>2024.</w:t>
            </w:r>
          </w:p>
        </w:tc>
        <w:tc>
          <w:tcPr>
            <w:tcW w:w="1139" w:type="dxa"/>
            <w:vAlign w:val="center"/>
          </w:tcPr>
          <w:p w14:paraId="1DED0B73" w14:textId="1FCA6117"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iCs/>
                <w:sz w:val="16"/>
                <w:szCs w:val="16"/>
                <w:lang w:eastAsia="en-US"/>
              </w:rPr>
            </w:pPr>
            <w:r w:rsidRPr="006B60DC">
              <w:rPr>
                <w:rFonts w:ascii="Arial" w:eastAsia="Calibri" w:hAnsi="Arial" w:cs="Arial"/>
                <w:i/>
                <w:iCs/>
                <w:sz w:val="16"/>
                <w:szCs w:val="16"/>
                <w:lang w:eastAsia="en-US"/>
              </w:rPr>
              <w:t>10.083,01</w:t>
            </w:r>
          </w:p>
        </w:tc>
        <w:tc>
          <w:tcPr>
            <w:tcW w:w="6195" w:type="dxa"/>
            <w:vAlign w:val="center"/>
          </w:tcPr>
          <w:p w14:paraId="29DD063B" w14:textId="73933F01"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rPr>
                <w:rFonts w:ascii="Arial" w:eastAsia="Calibri" w:hAnsi="Arial" w:cs="Arial"/>
                <w:i/>
                <w:iCs/>
                <w:sz w:val="16"/>
                <w:szCs w:val="16"/>
                <w:lang w:eastAsia="en-US"/>
              </w:rPr>
            </w:pPr>
            <w:r w:rsidRPr="006B60DC">
              <w:rPr>
                <w:rFonts w:ascii="Arial" w:eastAsia="Calibri" w:hAnsi="Arial" w:cs="Arial"/>
                <w:i/>
                <w:iCs/>
                <w:sz w:val="16"/>
                <w:szCs w:val="16"/>
                <w:lang w:eastAsia="en-US"/>
              </w:rPr>
              <w:t>što je za 8.978,19 € više u odnosu na izvještajno razdoblje prethodne godine (prihodi prvog polugodišta 2024. godine su iznosili 855 €.</w:t>
            </w:r>
          </w:p>
        </w:tc>
        <w:tc>
          <w:tcPr>
            <w:tcW w:w="2370" w:type="dxa"/>
            <w:vAlign w:val="center"/>
          </w:tcPr>
          <w:p w14:paraId="0B06D3E2" w14:textId="18A480E5" w:rsidR="003D15C8" w:rsidRPr="00D26B62"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i/>
                <w:iCs/>
                <w:sz w:val="18"/>
                <w:szCs w:val="18"/>
                <w:lang w:eastAsia="en-US"/>
              </w:rPr>
            </w:pPr>
            <w:r>
              <w:rPr>
                <w:rFonts w:ascii="Arial" w:eastAsia="Calibri" w:hAnsi="Arial" w:cs="Arial"/>
                <w:i/>
                <w:iCs/>
                <w:sz w:val="18"/>
                <w:szCs w:val="18"/>
                <w:lang w:eastAsia="en-US"/>
              </w:rPr>
              <w:t>4.458,51</w:t>
            </w:r>
          </w:p>
        </w:tc>
        <w:tc>
          <w:tcPr>
            <w:tcW w:w="2503" w:type="dxa"/>
            <w:vAlign w:val="center"/>
          </w:tcPr>
          <w:p w14:paraId="3144B008" w14:textId="5B3AAD3D" w:rsidR="003D15C8" w:rsidRPr="00D26B62"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i/>
                <w:iCs/>
                <w:sz w:val="18"/>
                <w:szCs w:val="18"/>
                <w:lang w:eastAsia="en-US"/>
              </w:rPr>
            </w:pPr>
            <w:r>
              <w:rPr>
                <w:rFonts w:ascii="Arial" w:eastAsia="Calibri" w:hAnsi="Arial" w:cs="Arial"/>
                <w:i/>
                <w:iCs/>
                <w:sz w:val="18"/>
                <w:szCs w:val="18"/>
                <w:lang w:eastAsia="en-US"/>
              </w:rPr>
              <w:t>-</w:t>
            </w:r>
          </w:p>
        </w:tc>
      </w:tr>
      <w:tr w:rsidR="003D15C8" w:rsidRPr="00D26B62" w14:paraId="16FDE975" w14:textId="36BC81A9" w:rsidTr="006778CB">
        <w:trPr>
          <w:trHeight w:val="280"/>
          <w:jc w:val="center"/>
        </w:trPr>
        <w:tc>
          <w:tcPr>
            <w:tcW w:w="983" w:type="dxa"/>
            <w:vAlign w:val="center"/>
          </w:tcPr>
          <w:p w14:paraId="5D7E552C" w14:textId="55593126" w:rsidR="003D15C8" w:rsidRPr="006B60DC" w:rsidRDefault="003D15C8"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iCs/>
                <w:sz w:val="16"/>
                <w:szCs w:val="16"/>
                <w:lang w:eastAsia="en-US"/>
              </w:rPr>
            </w:pPr>
            <w:r w:rsidRPr="006B60DC">
              <w:rPr>
                <w:rFonts w:ascii="Arial" w:eastAsia="Calibri" w:hAnsi="Arial" w:cs="Arial"/>
                <w:i/>
                <w:iCs/>
                <w:sz w:val="16"/>
                <w:szCs w:val="16"/>
                <w:lang w:eastAsia="en-US"/>
              </w:rPr>
              <w:t>2025.</w:t>
            </w:r>
          </w:p>
        </w:tc>
        <w:tc>
          <w:tcPr>
            <w:tcW w:w="1139" w:type="dxa"/>
            <w:vAlign w:val="center"/>
          </w:tcPr>
          <w:p w14:paraId="529661F5" w14:textId="6FFDF563" w:rsidR="003D15C8" w:rsidRPr="006B60DC" w:rsidRDefault="009B39A5"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i/>
                <w:iCs/>
                <w:sz w:val="16"/>
                <w:szCs w:val="16"/>
                <w:lang w:eastAsia="en-US"/>
              </w:rPr>
            </w:pPr>
            <w:r>
              <w:rPr>
                <w:rFonts w:ascii="Arial" w:eastAsia="Calibri" w:hAnsi="Arial" w:cs="Arial"/>
                <w:i/>
                <w:iCs/>
                <w:sz w:val="16"/>
                <w:szCs w:val="16"/>
                <w:lang w:eastAsia="en-US"/>
              </w:rPr>
              <w:t>16.266,00</w:t>
            </w:r>
          </w:p>
        </w:tc>
        <w:tc>
          <w:tcPr>
            <w:tcW w:w="6195" w:type="dxa"/>
            <w:vAlign w:val="center"/>
          </w:tcPr>
          <w:p w14:paraId="6E38E033" w14:textId="7D2C4E06" w:rsidR="003D15C8" w:rsidRPr="006B60DC" w:rsidRDefault="009B39A5"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rPr>
                <w:rFonts w:ascii="Arial" w:eastAsia="Calibri" w:hAnsi="Arial" w:cs="Arial"/>
                <w:i/>
                <w:iCs/>
                <w:sz w:val="16"/>
                <w:szCs w:val="16"/>
                <w:lang w:eastAsia="en-US"/>
              </w:rPr>
            </w:pPr>
            <w:r w:rsidRPr="009B39A5">
              <w:rPr>
                <w:rFonts w:ascii="Arial" w:eastAsia="Calibri" w:hAnsi="Arial" w:cs="Arial"/>
                <w:i/>
                <w:iCs/>
                <w:sz w:val="16"/>
                <w:szCs w:val="16"/>
                <w:lang w:eastAsia="en-US"/>
              </w:rPr>
              <w:t>što je za 6.182,99 € ili 61,3% više u odnosu na izvještajno razdoblje prethodne godine  (prihodi prvog polugodišta 2025. godine su iznosili 6.690,00 €.</w:t>
            </w:r>
          </w:p>
        </w:tc>
        <w:tc>
          <w:tcPr>
            <w:tcW w:w="2370" w:type="dxa"/>
            <w:vAlign w:val="center"/>
          </w:tcPr>
          <w:p w14:paraId="070EF0E7" w14:textId="584994BC" w:rsidR="003D15C8" w:rsidRPr="00D26B62" w:rsidRDefault="009B39A5"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i/>
                <w:iCs/>
                <w:sz w:val="18"/>
                <w:szCs w:val="18"/>
                <w:lang w:eastAsia="en-US"/>
              </w:rPr>
            </w:pPr>
            <w:r>
              <w:rPr>
                <w:rFonts w:ascii="Arial" w:eastAsia="Calibri" w:hAnsi="Arial" w:cs="Arial"/>
                <w:i/>
                <w:iCs/>
                <w:sz w:val="18"/>
                <w:szCs w:val="18"/>
                <w:lang w:eastAsia="en-US"/>
              </w:rPr>
              <w:t>1.557,46</w:t>
            </w:r>
          </w:p>
        </w:tc>
        <w:tc>
          <w:tcPr>
            <w:tcW w:w="2503" w:type="dxa"/>
            <w:vAlign w:val="center"/>
          </w:tcPr>
          <w:p w14:paraId="78C6F2C7" w14:textId="7981C2DC" w:rsidR="003D15C8" w:rsidRPr="00F25C10" w:rsidRDefault="009B39A5" w:rsidP="003D15C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i/>
                <w:iCs/>
                <w:sz w:val="18"/>
                <w:szCs w:val="18"/>
                <w:lang w:eastAsia="en-US"/>
              </w:rPr>
            </w:pPr>
            <w:r>
              <w:rPr>
                <w:rFonts w:ascii="Arial" w:eastAsia="Calibri" w:hAnsi="Arial" w:cs="Arial"/>
                <w:i/>
                <w:iCs/>
                <w:sz w:val="18"/>
                <w:szCs w:val="18"/>
                <w:lang w:eastAsia="en-US"/>
              </w:rPr>
              <w:t>626,54</w:t>
            </w:r>
          </w:p>
        </w:tc>
      </w:tr>
    </w:tbl>
    <w:p w14:paraId="4DB3DAF4" w14:textId="07E3B403" w:rsidR="00102CA3" w:rsidRPr="003A2F86" w:rsidRDefault="00102CA3" w:rsidP="00E53B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10"/>
          <w:szCs w:val="10"/>
          <w:lang w:eastAsia="en-US"/>
        </w:rPr>
      </w:pPr>
    </w:p>
    <w:p w14:paraId="360BF73E" w14:textId="4FA630C5" w:rsidR="000C1373" w:rsidRPr="003A2F86" w:rsidRDefault="000C1373">
      <w:pPr>
        <w:rPr>
          <w:rFonts w:ascii="Arial" w:eastAsia="Calibri" w:hAnsi="Arial" w:cs="Arial"/>
          <w:lang w:eastAsia="en-US"/>
        </w:rPr>
      </w:pPr>
      <w:r w:rsidRPr="003A2F86">
        <w:rPr>
          <w:rFonts w:ascii="Arial" w:eastAsia="Calibri" w:hAnsi="Arial" w:cs="Arial"/>
          <w:lang w:eastAsia="en-US"/>
        </w:rPr>
        <w:br w:type="page"/>
      </w:r>
    </w:p>
    <w:p w14:paraId="35A9C8AA" w14:textId="77777777" w:rsidR="00102CA3" w:rsidRPr="003A2F86" w:rsidRDefault="00102CA3" w:rsidP="00E53B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509CB383" w14:textId="229C6213" w:rsidR="00891119" w:rsidRPr="003A2F86" w:rsidRDefault="004113C9" w:rsidP="00F66355">
      <w:pPr>
        <w:pStyle w:val="Naslov3"/>
        <w:jc w:val="center"/>
        <w:rPr>
          <w:rFonts w:ascii="Arial" w:hAnsi="Arial" w:cs="Arial"/>
          <w:sz w:val="22"/>
          <w:szCs w:val="22"/>
          <w:lang w:val="hr-HR"/>
        </w:rPr>
      </w:pPr>
      <w:bookmarkStart w:id="139" w:name="_Toc232981392"/>
      <w:r w:rsidRPr="003A2F86">
        <w:rPr>
          <w:rFonts w:ascii="Arial" w:hAnsi="Arial" w:cs="Arial"/>
          <w:sz w:val="22"/>
          <w:szCs w:val="22"/>
          <w:lang w:val="hr-HR"/>
        </w:rPr>
        <w:t>2.</w:t>
      </w:r>
      <w:r w:rsidR="00F66355" w:rsidRPr="003A2F86">
        <w:rPr>
          <w:rFonts w:ascii="Arial" w:hAnsi="Arial" w:cs="Arial"/>
          <w:sz w:val="22"/>
          <w:szCs w:val="22"/>
          <w:lang w:val="hr-HR"/>
        </w:rPr>
        <w:t>4</w:t>
      </w:r>
      <w:r w:rsidRPr="003A2F86">
        <w:rPr>
          <w:rFonts w:ascii="Arial" w:hAnsi="Arial" w:cs="Arial"/>
          <w:sz w:val="22"/>
          <w:szCs w:val="22"/>
          <w:lang w:val="hr-HR"/>
        </w:rPr>
        <w:t>.2.</w:t>
      </w:r>
      <w:r w:rsidR="00891119" w:rsidRPr="003A2F86">
        <w:rPr>
          <w:rFonts w:ascii="Arial" w:hAnsi="Arial" w:cs="Arial"/>
          <w:sz w:val="22"/>
          <w:szCs w:val="22"/>
          <w:lang w:val="hr-HR"/>
        </w:rPr>
        <w:tab/>
        <w:t>P</w:t>
      </w:r>
      <w:r w:rsidR="00E97058" w:rsidRPr="003A2F86">
        <w:rPr>
          <w:rFonts w:ascii="Arial" w:hAnsi="Arial" w:cs="Arial"/>
          <w:sz w:val="22"/>
          <w:szCs w:val="22"/>
          <w:lang w:val="hr-HR"/>
        </w:rPr>
        <w:t>RIHODI OD PRODAJE NEFINANCIJSKE IMOVINE</w:t>
      </w:r>
      <w:r w:rsidR="00744D8B" w:rsidRPr="003A2F86">
        <w:rPr>
          <w:rFonts w:ascii="Arial" w:hAnsi="Arial" w:cs="Arial"/>
          <w:sz w:val="22"/>
          <w:szCs w:val="22"/>
          <w:lang w:val="hr-HR"/>
        </w:rPr>
        <w:t xml:space="preserve"> (7)</w:t>
      </w:r>
      <w:bookmarkEnd w:id="139"/>
    </w:p>
    <w:p w14:paraId="18F88395" w14:textId="77777777" w:rsidR="00297233" w:rsidRPr="003A2F86" w:rsidRDefault="00297233" w:rsidP="00D6545B">
      <w:pPr>
        <w:spacing w:after="0" w:line="240" w:lineRule="auto"/>
      </w:pPr>
    </w:p>
    <w:p w14:paraId="10DCA62D" w14:textId="72E0859B" w:rsidR="00297233" w:rsidRPr="003A2F86" w:rsidRDefault="009B39A5" w:rsidP="00557A5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rPr>
      </w:pPr>
      <w:bookmarkStart w:id="140" w:name="_Hlk230164304"/>
      <w:r w:rsidRPr="009B39A5">
        <w:rPr>
          <w:rFonts w:ascii="Arial" w:hAnsi="Arial" w:cs="Arial"/>
          <w:b/>
          <w:iCs/>
        </w:rPr>
        <w:t xml:space="preserve">Prihodi od prodaje nefinancijske imovine (7) </w:t>
      </w:r>
      <w:r w:rsidRPr="009B39A5">
        <w:rPr>
          <w:rFonts w:ascii="Arial" w:hAnsi="Arial" w:cs="Arial"/>
          <w:bCs/>
          <w:iCs/>
        </w:rPr>
        <w:t>su ostvareni u iznosu 570.855,55 € što je za 275.303,23 € ili 93,1% više u odnosu na prethodnu godinu kada su iznosili 295.552,32 €.</w:t>
      </w:r>
      <w:r>
        <w:rPr>
          <w:rFonts w:ascii="Arial" w:hAnsi="Arial" w:cs="Arial"/>
          <w:bCs/>
          <w:iCs/>
        </w:rPr>
        <w:t xml:space="preserve"> </w:t>
      </w:r>
      <w:r w:rsidR="006E5D66">
        <w:rPr>
          <w:rFonts w:ascii="Arial" w:eastAsia="Calibri" w:hAnsi="Arial" w:cs="Arial"/>
          <w:iCs/>
          <w:color w:val="1F497D" w:themeColor="text2"/>
          <w:lang w:eastAsia="en-US"/>
        </w:rPr>
        <w:t>O</w:t>
      </w:r>
      <w:r w:rsidR="00297233" w:rsidRPr="003A2F86">
        <w:rPr>
          <w:rFonts w:ascii="Arial" w:eastAsia="Calibri" w:hAnsi="Arial" w:cs="Arial"/>
          <w:iCs/>
          <w:color w:val="1F497D" w:themeColor="text2"/>
          <w:lang w:eastAsia="en-US"/>
        </w:rPr>
        <w:t xml:space="preserve">dnose </w:t>
      </w:r>
      <w:r w:rsidR="006E5D66">
        <w:rPr>
          <w:rFonts w:ascii="Arial" w:eastAsia="Calibri" w:hAnsi="Arial" w:cs="Arial"/>
          <w:iCs/>
          <w:color w:val="1F497D" w:themeColor="text2"/>
          <w:lang w:eastAsia="en-US"/>
        </w:rPr>
        <w:t xml:space="preserve">se </w:t>
      </w:r>
      <w:r w:rsidR="00297233" w:rsidRPr="003A2F86">
        <w:rPr>
          <w:rFonts w:ascii="Arial" w:eastAsia="Calibri" w:hAnsi="Arial" w:cs="Arial"/>
          <w:iCs/>
          <w:color w:val="1F497D" w:themeColor="text2"/>
          <w:lang w:eastAsia="en-US"/>
        </w:rPr>
        <w:t>na prihode Općine</w:t>
      </w:r>
      <w:r w:rsidR="006E5D66">
        <w:rPr>
          <w:rFonts w:ascii="Arial" w:eastAsia="Calibri" w:hAnsi="Arial" w:cs="Arial"/>
          <w:iCs/>
          <w:color w:val="1F497D" w:themeColor="text2"/>
          <w:lang w:eastAsia="en-US"/>
        </w:rPr>
        <w:t xml:space="preserve"> </w:t>
      </w:r>
      <w:r>
        <w:rPr>
          <w:rFonts w:ascii="Arial" w:eastAsia="Calibri" w:hAnsi="Arial" w:cs="Arial"/>
          <w:iCs/>
          <w:color w:val="1F497D" w:themeColor="text2"/>
          <w:lang w:eastAsia="en-US"/>
        </w:rPr>
        <w:t>570.805,55</w:t>
      </w:r>
      <w:r w:rsidR="006E5D66">
        <w:rPr>
          <w:rFonts w:ascii="Arial" w:eastAsia="Calibri" w:hAnsi="Arial" w:cs="Arial"/>
          <w:iCs/>
          <w:color w:val="1F497D" w:themeColor="text2"/>
          <w:lang w:eastAsia="en-US"/>
        </w:rPr>
        <w:t xml:space="preserve"> € i prihode proračunskog korisnika (Muzeji i galerije Konavala) 50 €.</w:t>
      </w:r>
    </w:p>
    <w:p w14:paraId="71D1912E" w14:textId="77777777" w:rsidR="00297233" w:rsidRPr="003A2F86" w:rsidRDefault="00297233" w:rsidP="002972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lang w:eastAsia="en-US"/>
        </w:rPr>
      </w:pPr>
    </w:p>
    <w:p w14:paraId="513BD623" w14:textId="77777777" w:rsidR="009B39A5" w:rsidRPr="009B39A5" w:rsidRDefault="006E5D66" w:rsidP="009B39A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lang w:eastAsia="en-US"/>
        </w:rPr>
      </w:pPr>
      <w:r>
        <w:rPr>
          <w:rFonts w:ascii="Arial" w:eastAsia="Calibri" w:hAnsi="Arial" w:cs="Arial"/>
          <w:iCs/>
          <w:lang w:eastAsia="en-US"/>
        </w:rPr>
        <w:t>Prihodi Općine</w:t>
      </w:r>
      <w:r w:rsidR="00557A53" w:rsidRPr="00557A53">
        <w:rPr>
          <w:rFonts w:ascii="Arial" w:eastAsia="Calibri" w:hAnsi="Arial" w:cs="Arial"/>
          <w:iCs/>
          <w:lang w:eastAsia="en-US"/>
        </w:rPr>
        <w:t xml:space="preserve"> se odnose na </w:t>
      </w:r>
      <w:r w:rsidR="009B39A5" w:rsidRPr="009B39A5">
        <w:rPr>
          <w:rFonts w:ascii="Arial" w:eastAsia="Calibri" w:hAnsi="Arial" w:cs="Arial"/>
          <w:iCs/>
          <w:lang w:eastAsia="en-US"/>
        </w:rPr>
        <w:t>prihode od prodaje zemljišta (</w:t>
      </w:r>
      <w:r w:rsidR="009B39A5" w:rsidRPr="009B39A5">
        <w:rPr>
          <w:rFonts w:ascii="Arial" w:eastAsia="Calibri" w:hAnsi="Arial" w:cs="Arial"/>
          <w:b/>
          <w:iCs/>
          <w:lang w:eastAsia="en-US"/>
        </w:rPr>
        <w:t>711</w:t>
      </w:r>
      <w:r w:rsidR="009B39A5" w:rsidRPr="009B39A5">
        <w:rPr>
          <w:rFonts w:ascii="Arial" w:eastAsia="Calibri" w:hAnsi="Arial" w:cs="Arial"/>
          <w:iCs/>
          <w:lang w:eastAsia="en-US"/>
        </w:rPr>
        <w:t>) u iznosu 540.772,00 € i prihode od prodaje proizvedene dugotrajne imovine (</w:t>
      </w:r>
      <w:r w:rsidR="009B39A5" w:rsidRPr="009B39A5">
        <w:rPr>
          <w:rFonts w:ascii="Arial" w:eastAsia="Calibri" w:hAnsi="Arial" w:cs="Arial"/>
          <w:b/>
          <w:iCs/>
          <w:lang w:eastAsia="en-US"/>
        </w:rPr>
        <w:t>72</w:t>
      </w:r>
      <w:r w:rsidR="009B39A5" w:rsidRPr="009B39A5">
        <w:rPr>
          <w:rFonts w:ascii="Arial" w:eastAsia="Calibri" w:hAnsi="Arial" w:cs="Arial"/>
          <w:iCs/>
          <w:lang w:eastAsia="en-US"/>
        </w:rPr>
        <w:t>) u iznosu 30.083,55 € i to prihodi od prodaje stanova na kojima je postojalo stanarsko pravo u iznosu 1.029,17 € i prihode od naknade troškova za legalizirane stanove na Zvekovici u iznosu 29.004,38 €, dok je proračunski korisnik ostvario prihod od 50 € za prodanu otpisanu opremu.</w:t>
      </w:r>
    </w:p>
    <w:p w14:paraId="07357322" w14:textId="3D832B2D" w:rsidR="00557A53" w:rsidRPr="00557A53" w:rsidRDefault="00557A53" w:rsidP="00557A5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lang w:eastAsia="en-US"/>
        </w:rPr>
      </w:pPr>
    </w:p>
    <w:p w14:paraId="22FFAABC" w14:textId="6E9ABAAD" w:rsidR="00557A53" w:rsidRDefault="009B39A5" w:rsidP="00C353E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9B39A5">
        <w:rPr>
          <w:rFonts w:ascii="Arial" w:eastAsia="Calibri" w:hAnsi="Arial" w:cs="Arial"/>
          <w:iCs/>
          <w:lang w:eastAsia="en-US"/>
        </w:rPr>
        <w:t>Ostvareni prihodi od prodaje zemljišta se odnose na prodaju zemljišta radi formiranja građevinskih čestica, a za potrebe ishođenja građevinske dozvole, te prodaju i zamjenu drugog zemljišta. Prodajna cijena je utvrđena na temelju procjene tržišne vrijednosti nekretnine ovlaštenog sudskog vještaka. U tekućoj godini je obavljena zamjena zemljišta sa zračnom lukom u iznosu 458.000 €, te nadoplata zračne luke za zamijenjeno zemljište u iznosu 39.000 €.</w:t>
      </w:r>
    </w:p>
    <w:p w14:paraId="695C2D35" w14:textId="59D8A925" w:rsidR="00C353EF" w:rsidRPr="003A2F86" w:rsidRDefault="00B47149" w:rsidP="00B4714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Calibri" w:hAnsi="Arial" w:cs="Arial"/>
          <w:sz w:val="18"/>
          <w:szCs w:val="18"/>
          <w:lang w:eastAsia="en-US"/>
        </w:rPr>
      </w:pPr>
      <w:r>
        <w:rPr>
          <w:rFonts w:ascii="Arial" w:eastAsia="Calibri" w:hAnsi="Arial" w:cs="Arial"/>
          <w:iCs/>
          <w:sz w:val="18"/>
          <w:szCs w:val="18"/>
          <w:lang w:eastAsia="en-US"/>
        </w:rPr>
        <w:t xml:space="preserve">U 2023. </w:t>
      </w:r>
      <w:r w:rsidR="00C353EF" w:rsidRPr="003A2F86">
        <w:rPr>
          <w:rFonts w:ascii="Arial" w:eastAsia="Calibri" w:hAnsi="Arial" w:cs="Arial"/>
          <w:iCs/>
          <w:sz w:val="18"/>
          <w:szCs w:val="18"/>
          <w:lang w:eastAsia="en-US"/>
        </w:rPr>
        <w:t>ostvareni prihodi od prodaje zemljišta su se odnosili prodaju zemljišta kupcima radi formiranja građevinskih čestica, a za potrebe ishođenja građevinske dozvole.</w:t>
      </w:r>
      <w:r w:rsidR="00477B00" w:rsidRPr="003A2F86">
        <w:rPr>
          <w:rFonts w:ascii="Arial" w:eastAsia="Calibri" w:hAnsi="Arial" w:cs="Arial"/>
          <w:iCs/>
          <w:sz w:val="18"/>
          <w:szCs w:val="18"/>
          <w:lang w:eastAsia="en-US"/>
        </w:rPr>
        <w:t xml:space="preserve"> Također, </w:t>
      </w:r>
      <w:r>
        <w:rPr>
          <w:rFonts w:ascii="Arial" w:eastAsia="Calibri" w:hAnsi="Arial" w:cs="Arial"/>
          <w:iCs/>
          <w:sz w:val="18"/>
          <w:szCs w:val="18"/>
          <w:lang w:eastAsia="en-US"/>
        </w:rPr>
        <w:t>u 2023.</w:t>
      </w:r>
      <w:r w:rsidR="00477B00" w:rsidRPr="003A2F86">
        <w:rPr>
          <w:rFonts w:ascii="Arial" w:eastAsia="Calibri" w:hAnsi="Arial" w:cs="Arial"/>
          <w:iCs/>
          <w:sz w:val="18"/>
          <w:szCs w:val="18"/>
          <w:lang w:eastAsia="en-US"/>
        </w:rPr>
        <w:t xml:space="preserve"> ostvarena su s</w:t>
      </w:r>
      <w:r w:rsidR="00477B00" w:rsidRPr="003A2F86">
        <w:rPr>
          <w:rFonts w:ascii="Arial" w:eastAsia="Calibri" w:hAnsi="Arial" w:cs="Arial"/>
          <w:sz w:val="18"/>
          <w:szCs w:val="18"/>
          <w:lang w:eastAsia="en-US"/>
        </w:rPr>
        <w:t xml:space="preserve">redstva od prodaje zemljišta 2.861.030,41 € Zračnoj luci Dubrovnik (prostor buduće poduzetničke zone, 51.531 m²). </w:t>
      </w:r>
      <w:r w:rsidR="00142295">
        <w:rPr>
          <w:rFonts w:ascii="Arial" w:eastAsia="Calibri" w:hAnsi="Arial" w:cs="Arial"/>
          <w:sz w:val="18"/>
          <w:szCs w:val="18"/>
          <w:lang w:eastAsia="en-US"/>
        </w:rPr>
        <w:t>Ovi prihodi još nisu u cijelosti utrošeni.</w:t>
      </w:r>
    </w:p>
    <w:p w14:paraId="2EBBECB0" w14:textId="77777777" w:rsidR="00477B00" w:rsidRPr="003A2F86" w:rsidRDefault="00477B00" w:rsidP="00C353E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42F39A56" w14:textId="77777777" w:rsidR="00142295" w:rsidRPr="00142295" w:rsidRDefault="00142295" w:rsidP="0014229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r w:rsidRPr="00142295">
        <w:rPr>
          <w:rFonts w:ascii="Arial" w:eastAsia="Calibri" w:hAnsi="Arial" w:cs="Arial"/>
          <w:lang w:eastAsia="en-US"/>
        </w:rPr>
        <w:t>Prihodi od prodaje stanova na kojima je postojalo stanarsko pravo (ugovori o kupoprodaji stanova sa stanarskim pravom koje je ranijih godina zaključila Općina i društvo Domouprava d.o.o. s kupcima) ostvareni su u iznosu 1.029,17 € što je za 1.179,68 € ili 53,4% manje u odnosu na prethodnu godinu. Ovi prihodi se odnose na prihode po ugovorima o kupoprodaji stanova sa stanarskim pravom koje je ranijih godina zaključila Općina i društvo Domouprava s kupcima, dok nije bilo prihoda na temelju ugovora o prodaji stanova koje je ranijih godina zaključila Općina s kupcima.</w:t>
      </w:r>
    </w:p>
    <w:bookmarkEnd w:id="140"/>
    <w:p w14:paraId="3FB69ADB" w14:textId="77777777" w:rsidR="00142295" w:rsidRDefault="00142295" w:rsidP="00996C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7E67CD3F" w14:textId="1C87E00F" w:rsidR="00C353EF" w:rsidRPr="003A2F86" w:rsidRDefault="00804101" w:rsidP="0014229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Calibri" w:hAnsi="Arial" w:cs="Arial"/>
          <w:lang w:eastAsia="en-US"/>
        </w:rPr>
      </w:pPr>
      <w:r w:rsidRPr="00142295">
        <w:rPr>
          <w:rFonts w:ascii="Arial" w:eastAsia="Calibri" w:hAnsi="Arial" w:cs="Arial"/>
          <w:sz w:val="16"/>
          <w:szCs w:val="16"/>
          <w:lang w:eastAsia="en-US"/>
        </w:rPr>
        <w:t xml:space="preserve">U izvještajnom razdoblju </w:t>
      </w:r>
      <w:r w:rsidR="0061154C" w:rsidRPr="00142295">
        <w:rPr>
          <w:rFonts w:ascii="Arial" w:eastAsia="Calibri" w:hAnsi="Arial" w:cs="Arial"/>
          <w:sz w:val="16"/>
          <w:szCs w:val="16"/>
          <w:lang w:eastAsia="en-US"/>
        </w:rPr>
        <w:t>2024.</w:t>
      </w:r>
      <w:r w:rsidRPr="00142295">
        <w:rPr>
          <w:rFonts w:ascii="Arial" w:eastAsia="Calibri" w:hAnsi="Arial" w:cs="Arial"/>
          <w:sz w:val="16"/>
          <w:szCs w:val="16"/>
          <w:lang w:eastAsia="en-US"/>
        </w:rPr>
        <w:t xml:space="preserve"> godine bili su </w:t>
      </w:r>
      <w:r w:rsidR="00477B00" w:rsidRPr="00142295">
        <w:rPr>
          <w:rFonts w:ascii="Arial" w:eastAsia="Calibri" w:hAnsi="Arial" w:cs="Arial"/>
          <w:sz w:val="16"/>
          <w:szCs w:val="16"/>
          <w:lang w:eastAsia="en-US"/>
        </w:rPr>
        <w:t xml:space="preserve">ostvareni prihodi </w:t>
      </w:r>
      <w:r w:rsidR="00014BB6" w:rsidRPr="00142295">
        <w:rPr>
          <w:rFonts w:ascii="Arial" w:eastAsia="Calibri" w:hAnsi="Arial" w:cs="Arial"/>
          <w:sz w:val="16"/>
          <w:szCs w:val="16"/>
          <w:lang w:eastAsia="en-US"/>
        </w:rPr>
        <w:t xml:space="preserve">u iznosu </w:t>
      </w:r>
      <w:r w:rsidRPr="00142295">
        <w:rPr>
          <w:rFonts w:ascii="Arial" w:eastAsia="Calibri" w:hAnsi="Arial" w:cs="Arial"/>
          <w:sz w:val="16"/>
          <w:szCs w:val="16"/>
          <w:lang w:eastAsia="en-US"/>
        </w:rPr>
        <w:t>205.279,63</w:t>
      </w:r>
      <w:r w:rsidR="00014BB6" w:rsidRPr="00142295">
        <w:rPr>
          <w:rFonts w:ascii="Arial" w:eastAsia="Calibri" w:hAnsi="Arial" w:cs="Arial"/>
          <w:sz w:val="16"/>
          <w:szCs w:val="16"/>
          <w:lang w:eastAsia="en-US"/>
        </w:rPr>
        <w:t xml:space="preserve"> € </w:t>
      </w:r>
      <w:r w:rsidR="00477B00" w:rsidRPr="00142295">
        <w:rPr>
          <w:rFonts w:ascii="Arial" w:eastAsia="Calibri" w:hAnsi="Arial" w:cs="Arial"/>
          <w:sz w:val="16"/>
          <w:szCs w:val="16"/>
          <w:lang w:eastAsia="en-US"/>
        </w:rPr>
        <w:t>od nadoknade</w:t>
      </w:r>
      <w:r w:rsidR="00014BB6" w:rsidRPr="00142295">
        <w:rPr>
          <w:rFonts w:ascii="Arial" w:eastAsia="Calibri" w:hAnsi="Arial" w:cs="Arial"/>
          <w:sz w:val="16"/>
          <w:szCs w:val="16"/>
          <w:lang w:eastAsia="en-US"/>
        </w:rPr>
        <w:t xml:space="preserve"> razmjernog dijela vrijednosti zemljišta na kojem su izgrađene zgrade i troškova koje je Općina imala u vezi legalizacije, ucrtavanja i etažiranja zgrada na Zvekovici, uključujući izradu snimki izvedenog stanja i naknadu za zadržavanje u prostoru, kao i troškova parcelacije zemljišta, izrade procjembenog elaborata, te komunalnih i vodnih doprinosa</w:t>
      </w:r>
      <w:r w:rsidR="00477B00" w:rsidRPr="00142295">
        <w:rPr>
          <w:rFonts w:ascii="Arial" w:eastAsia="Calibri" w:hAnsi="Arial" w:cs="Arial"/>
          <w:sz w:val="16"/>
          <w:szCs w:val="16"/>
          <w:lang w:eastAsia="en-US"/>
        </w:rPr>
        <w:t xml:space="preserve"> troškova</w:t>
      </w:r>
      <w:r w:rsidR="00014BB6" w:rsidRPr="00142295">
        <w:rPr>
          <w:rFonts w:ascii="Arial" w:eastAsia="Calibri" w:hAnsi="Arial" w:cs="Arial"/>
          <w:sz w:val="16"/>
          <w:szCs w:val="16"/>
          <w:lang w:eastAsia="en-US"/>
        </w:rPr>
        <w:t xml:space="preserve">, a sve </w:t>
      </w:r>
      <w:r w:rsidR="00477B00" w:rsidRPr="00142295">
        <w:rPr>
          <w:rFonts w:ascii="Arial" w:eastAsia="Calibri" w:hAnsi="Arial" w:cs="Arial"/>
          <w:sz w:val="16"/>
          <w:szCs w:val="16"/>
          <w:lang w:eastAsia="en-US"/>
        </w:rPr>
        <w:t>na temelju zaključenih sudskih nagodbi</w:t>
      </w:r>
      <w:r w:rsidR="00014BB6" w:rsidRPr="00142295">
        <w:rPr>
          <w:rFonts w:ascii="Arial" w:eastAsia="Calibri" w:hAnsi="Arial" w:cs="Arial"/>
          <w:sz w:val="16"/>
          <w:szCs w:val="16"/>
          <w:lang w:eastAsia="en-US"/>
        </w:rPr>
        <w:t>. Ovi prihodi su ostvareni nakon višegodišnjih pravnih postupaka i radnji.</w:t>
      </w:r>
      <w:r w:rsidRPr="00142295">
        <w:rPr>
          <w:rFonts w:ascii="Arial" w:eastAsia="Calibri" w:hAnsi="Arial" w:cs="Arial"/>
          <w:sz w:val="16"/>
          <w:szCs w:val="16"/>
          <w:lang w:eastAsia="en-US"/>
        </w:rPr>
        <w:t xml:space="preserve"> Sveukupno u 2024. godini ovi prihodi su ostvareni u iznosu 273.495,47 €. Dug na temelju </w:t>
      </w:r>
      <w:r w:rsidR="00142295">
        <w:rPr>
          <w:rFonts w:ascii="Arial" w:eastAsia="Calibri" w:hAnsi="Arial" w:cs="Arial"/>
          <w:sz w:val="16"/>
          <w:szCs w:val="16"/>
          <w:lang w:eastAsia="en-US"/>
        </w:rPr>
        <w:t xml:space="preserve">jedne </w:t>
      </w:r>
      <w:r w:rsidRPr="00142295">
        <w:rPr>
          <w:rFonts w:ascii="Arial" w:eastAsia="Calibri" w:hAnsi="Arial" w:cs="Arial"/>
          <w:sz w:val="16"/>
          <w:szCs w:val="16"/>
          <w:lang w:eastAsia="en-US"/>
        </w:rPr>
        <w:t xml:space="preserve">obročne otplate koncem 2025. godine iznosi </w:t>
      </w:r>
      <w:r w:rsidR="00142295">
        <w:rPr>
          <w:rFonts w:ascii="Arial" w:eastAsia="Calibri" w:hAnsi="Arial" w:cs="Arial"/>
          <w:sz w:val="16"/>
          <w:szCs w:val="16"/>
          <w:lang w:eastAsia="en-US"/>
        </w:rPr>
        <w:t>3.966,61</w:t>
      </w:r>
      <w:r w:rsidRPr="00142295">
        <w:rPr>
          <w:rFonts w:ascii="Arial" w:eastAsia="Calibri" w:hAnsi="Arial" w:cs="Arial"/>
          <w:sz w:val="16"/>
          <w:szCs w:val="16"/>
          <w:lang w:eastAsia="en-US"/>
        </w:rPr>
        <w:t xml:space="preserve"> €.</w:t>
      </w:r>
    </w:p>
    <w:p w14:paraId="1270D878" w14:textId="616396C6" w:rsidR="00C353EF" w:rsidRPr="003A2F86" w:rsidRDefault="00C353EF">
      <w:pPr>
        <w:rPr>
          <w:rFonts w:ascii="Arial" w:eastAsia="Calibri" w:hAnsi="Arial" w:cs="Arial"/>
          <w:iCs/>
          <w:lang w:eastAsia="en-US"/>
        </w:rPr>
      </w:pPr>
      <w:bookmarkStart w:id="141" w:name="_Hlk65499413"/>
      <w:r w:rsidRPr="003A2F86">
        <w:rPr>
          <w:rFonts w:ascii="Arial" w:eastAsia="Calibri" w:hAnsi="Arial" w:cs="Arial"/>
          <w:iCs/>
          <w:lang w:eastAsia="en-US"/>
        </w:rPr>
        <w:br w:type="page"/>
      </w:r>
    </w:p>
    <w:p w14:paraId="0D73D38E" w14:textId="5E602668" w:rsidR="002E304B" w:rsidRPr="003A2F86" w:rsidRDefault="002E304B" w:rsidP="002E304B">
      <w:pPr>
        <w:pStyle w:val="Naslov3"/>
        <w:jc w:val="center"/>
        <w:rPr>
          <w:rFonts w:ascii="Arial" w:hAnsi="Arial" w:cs="Arial"/>
          <w:sz w:val="22"/>
          <w:szCs w:val="22"/>
          <w:lang w:val="hr-HR"/>
        </w:rPr>
      </w:pPr>
      <w:bookmarkStart w:id="142" w:name="_Toc232981393"/>
      <w:bookmarkEnd w:id="141"/>
      <w:r w:rsidRPr="003A2F86">
        <w:rPr>
          <w:rFonts w:ascii="Arial" w:hAnsi="Arial" w:cs="Arial"/>
          <w:sz w:val="22"/>
          <w:szCs w:val="22"/>
          <w:lang w:val="hr-HR"/>
        </w:rPr>
        <w:lastRenderedPageBreak/>
        <w:t>2.4.3.</w:t>
      </w:r>
      <w:r w:rsidRPr="003A2F86">
        <w:rPr>
          <w:rFonts w:ascii="Arial" w:hAnsi="Arial" w:cs="Arial"/>
          <w:sz w:val="22"/>
          <w:szCs w:val="22"/>
          <w:lang w:val="hr-HR"/>
        </w:rPr>
        <w:tab/>
        <w:t>R</w:t>
      </w:r>
      <w:r w:rsidR="00E97058" w:rsidRPr="003A2F86">
        <w:rPr>
          <w:rFonts w:ascii="Arial" w:hAnsi="Arial" w:cs="Arial"/>
          <w:sz w:val="22"/>
          <w:szCs w:val="22"/>
          <w:lang w:val="hr-HR"/>
        </w:rPr>
        <w:t>ASHODI POSLOVANJA</w:t>
      </w:r>
      <w:r w:rsidR="00744D8B" w:rsidRPr="003A2F86">
        <w:rPr>
          <w:rFonts w:ascii="Arial" w:hAnsi="Arial" w:cs="Arial"/>
          <w:sz w:val="22"/>
          <w:szCs w:val="22"/>
          <w:lang w:val="hr-HR"/>
        </w:rPr>
        <w:t xml:space="preserve"> (3)</w:t>
      </w:r>
      <w:bookmarkStart w:id="143" w:name="Rashodi_poslovanja"/>
      <w:bookmarkEnd w:id="142"/>
      <w:bookmarkEnd w:id="143"/>
    </w:p>
    <w:p w14:paraId="37945C74" w14:textId="77777777" w:rsidR="00F66355" w:rsidRPr="003A2F86" w:rsidRDefault="00F66355"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04BCE6FE" w14:textId="01E84E4C" w:rsidR="00891119" w:rsidRDefault="002D329E"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bCs/>
          <w:iCs/>
        </w:rPr>
      </w:pPr>
      <w:bookmarkStart w:id="144" w:name="_Hlk230157994"/>
      <w:bookmarkEnd w:id="138"/>
      <w:r w:rsidRPr="002D329E">
        <w:rPr>
          <w:rFonts w:ascii="Arial" w:eastAsia="Times New Roman" w:hAnsi="Arial" w:cs="Arial"/>
          <w:b/>
          <w:iCs/>
        </w:rPr>
        <w:t>Rashodi poslovanja</w:t>
      </w:r>
      <w:r w:rsidRPr="002D329E">
        <w:rPr>
          <w:rFonts w:ascii="Arial" w:eastAsia="Times New Roman" w:hAnsi="Arial" w:cs="Arial"/>
          <w:bCs/>
          <w:iCs/>
        </w:rPr>
        <w:t xml:space="preserve"> (3) izvršeni su u iznosu </w:t>
      </w:r>
      <w:bookmarkStart w:id="145" w:name="_Hlk230347016"/>
      <w:r w:rsidRPr="002D329E">
        <w:rPr>
          <w:rFonts w:ascii="Arial" w:eastAsia="Times New Roman" w:hAnsi="Arial" w:cs="Arial"/>
          <w:bCs/>
          <w:iCs/>
        </w:rPr>
        <w:t xml:space="preserve">13.813.600,58 € što je za 1.736.675,58 € ili 14,4% više </w:t>
      </w:r>
      <w:bookmarkEnd w:id="145"/>
      <w:r w:rsidRPr="002D329E">
        <w:rPr>
          <w:rFonts w:ascii="Arial" w:eastAsia="Times New Roman" w:hAnsi="Arial" w:cs="Arial"/>
          <w:bCs/>
          <w:iCs/>
        </w:rPr>
        <w:t>u odnosu na izvršene rashode poslovanja u izvještajnom razdoblju prethodne godine.</w:t>
      </w:r>
    </w:p>
    <w:p w14:paraId="3A8EA726" w14:textId="77777777" w:rsidR="002D329E" w:rsidRPr="002D329E" w:rsidRDefault="002D329E"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bCs/>
          <w:iCs/>
        </w:rPr>
      </w:pPr>
    </w:p>
    <w:p w14:paraId="18B93B86" w14:textId="5DACE14A" w:rsidR="005E3453" w:rsidRPr="003A2F86" w:rsidRDefault="005E3453"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color w:val="1F497D" w:themeColor="text2"/>
        </w:rPr>
      </w:pPr>
      <w:r w:rsidRPr="003A2F86">
        <w:rPr>
          <w:rFonts w:ascii="Arial" w:eastAsia="Times New Roman" w:hAnsi="Arial" w:cs="Arial"/>
          <w:color w:val="1F497D" w:themeColor="text2"/>
        </w:rPr>
        <w:tab/>
        <w:t xml:space="preserve">Ukupni </w:t>
      </w:r>
      <w:r w:rsidRPr="003A2F86">
        <w:rPr>
          <w:rFonts w:ascii="Arial" w:eastAsia="Times New Roman" w:hAnsi="Arial" w:cs="Arial"/>
          <w:b/>
          <w:bCs/>
          <w:color w:val="1F497D" w:themeColor="text2"/>
        </w:rPr>
        <w:t xml:space="preserve">rashodi poslovanja Općine (razred 3 bez rashoda </w:t>
      </w:r>
      <w:r w:rsidRPr="003A2F86">
        <w:rPr>
          <w:rFonts w:ascii="Arial" w:eastAsia="Times New Roman" w:hAnsi="Arial" w:cs="Arial"/>
          <w:b/>
          <w:bCs/>
          <w:color w:val="1F497D" w:themeColor="text2"/>
          <w:u w:val="single"/>
        </w:rPr>
        <w:t>podskupina 367</w:t>
      </w:r>
      <w:r w:rsidRPr="003A2F86">
        <w:rPr>
          <w:rFonts w:ascii="Arial" w:eastAsia="Times New Roman" w:hAnsi="Arial" w:cs="Arial"/>
          <w:b/>
          <w:bCs/>
          <w:color w:val="1F497D" w:themeColor="text2"/>
        </w:rPr>
        <w:t>,</w:t>
      </w:r>
      <w:r w:rsidRPr="003A2F86">
        <w:rPr>
          <w:rFonts w:ascii="Arial" w:eastAsia="Times New Roman" w:hAnsi="Arial" w:cs="Arial"/>
          <w:color w:val="1F497D" w:themeColor="text2"/>
        </w:rPr>
        <w:t xml:space="preserve"> prijenosi proračunskim korisnicima iz nadležnog proračuna za financiranje redovne djelatnosti) iznose </w:t>
      </w:r>
      <w:bookmarkStart w:id="146" w:name="_Hlk145935144"/>
      <w:bookmarkStart w:id="147" w:name="_Hlk230347035"/>
      <w:r w:rsidR="00182406">
        <w:rPr>
          <w:rFonts w:ascii="Arial" w:eastAsia="Times New Roman" w:hAnsi="Arial" w:cs="Arial"/>
          <w:color w:val="1F497D" w:themeColor="text2"/>
        </w:rPr>
        <w:t>7.631.537,99</w:t>
      </w:r>
      <w:r w:rsidRPr="003A2F86">
        <w:rPr>
          <w:rFonts w:ascii="Arial" w:eastAsia="Times New Roman" w:hAnsi="Arial" w:cs="Arial"/>
          <w:color w:val="1F497D" w:themeColor="text2"/>
        </w:rPr>
        <w:t xml:space="preserve"> € </w:t>
      </w:r>
      <w:bookmarkEnd w:id="146"/>
      <w:r w:rsidRPr="003A2F86">
        <w:rPr>
          <w:rFonts w:ascii="Arial" w:eastAsia="Times New Roman" w:hAnsi="Arial" w:cs="Arial"/>
          <w:color w:val="1F497D" w:themeColor="text2"/>
        </w:rPr>
        <w:t>(</w:t>
      </w:r>
      <w:r w:rsidR="00182406">
        <w:rPr>
          <w:rFonts w:ascii="Arial" w:eastAsia="Times New Roman" w:hAnsi="Arial" w:cs="Arial"/>
          <w:color w:val="1F497D" w:themeColor="text2"/>
        </w:rPr>
        <w:t>55,2</w:t>
      </w:r>
      <w:r w:rsidRPr="003A2F86">
        <w:rPr>
          <w:rFonts w:ascii="Arial" w:eastAsia="Times New Roman" w:hAnsi="Arial" w:cs="Arial"/>
          <w:color w:val="1F497D" w:themeColor="text2"/>
        </w:rPr>
        <w:t>%)</w:t>
      </w:r>
      <w:bookmarkEnd w:id="147"/>
      <w:r w:rsidRPr="003A2F86">
        <w:rPr>
          <w:rFonts w:ascii="Arial" w:eastAsia="Times New Roman" w:hAnsi="Arial" w:cs="Arial"/>
          <w:color w:val="1F497D" w:themeColor="text2"/>
        </w:rPr>
        <w:t xml:space="preserve">, a </w:t>
      </w:r>
      <w:r w:rsidRPr="003A2F86">
        <w:rPr>
          <w:rFonts w:ascii="Arial" w:eastAsia="Times New Roman" w:hAnsi="Arial" w:cs="Arial"/>
          <w:b/>
          <w:bCs/>
          <w:color w:val="1F497D" w:themeColor="text2"/>
        </w:rPr>
        <w:t>rashodi poslovanja (3) proračunskih korisnika</w:t>
      </w:r>
      <w:r w:rsidRPr="003A2F86">
        <w:rPr>
          <w:rFonts w:ascii="Arial" w:eastAsia="Times New Roman" w:hAnsi="Arial" w:cs="Arial"/>
          <w:color w:val="1F497D" w:themeColor="text2"/>
        </w:rPr>
        <w:t xml:space="preserve"> iznose </w:t>
      </w:r>
      <w:bookmarkStart w:id="148" w:name="_Hlk230347051"/>
      <w:r w:rsidR="00182406">
        <w:rPr>
          <w:rFonts w:ascii="Arial" w:eastAsia="Times New Roman" w:hAnsi="Arial" w:cs="Arial"/>
          <w:color w:val="1F497D" w:themeColor="text2"/>
        </w:rPr>
        <w:t>6.182.062,59</w:t>
      </w:r>
      <w:r w:rsidRPr="003A2F86">
        <w:rPr>
          <w:rFonts w:ascii="Arial" w:eastAsia="Times New Roman" w:hAnsi="Arial" w:cs="Arial"/>
          <w:color w:val="1F497D" w:themeColor="text2"/>
        </w:rPr>
        <w:t xml:space="preserve"> € (</w:t>
      </w:r>
      <w:r w:rsidR="00182406">
        <w:rPr>
          <w:rFonts w:ascii="Arial" w:eastAsia="Times New Roman" w:hAnsi="Arial" w:cs="Arial"/>
          <w:color w:val="1F497D" w:themeColor="text2"/>
        </w:rPr>
        <w:t>44,8</w:t>
      </w:r>
      <w:r w:rsidRPr="003A2F86">
        <w:rPr>
          <w:rFonts w:ascii="Arial" w:eastAsia="Times New Roman" w:hAnsi="Arial" w:cs="Arial"/>
          <w:color w:val="1F497D" w:themeColor="text2"/>
        </w:rPr>
        <w:t>%)</w:t>
      </w:r>
      <w:bookmarkEnd w:id="148"/>
      <w:r w:rsidRPr="003A2F86">
        <w:rPr>
          <w:rFonts w:ascii="Arial" w:eastAsia="Times New Roman" w:hAnsi="Arial" w:cs="Arial"/>
          <w:color w:val="1F497D" w:themeColor="text2"/>
        </w:rPr>
        <w:t>.</w:t>
      </w:r>
    </w:p>
    <w:p w14:paraId="53BEE83C" w14:textId="0DEEAEEC" w:rsidR="00FD482B" w:rsidRDefault="001C444A"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b/>
          <w:bCs/>
          <w:u w:val="single"/>
        </w:rPr>
        <w:t>Rashodi podskupine 367</w:t>
      </w:r>
      <w:r w:rsidRPr="003A2F86">
        <w:rPr>
          <w:rFonts w:ascii="Arial" w:eastAsia="Times New Roman" w:hAnsi="Arial" w:cs="Arial"/>
        </w:rPr>
        <w:t xml:space="preserve"> predstavljaju iznos rashoda koji Općina financira, odnosno doznačuje proračunskim korisnicima </w:t>
      </w:r>
      <w:r w:rsidR="00B763B2" w:rsidRPr="003A2F86">
        <w:rPr>
          <w:rFonts w:ascii="Arial" w:eastAsia="Times New Roman" w:hAnsi="Arial" w:cs="Arial"/>
        </w:rPr>
        <w:t xml:space="preserve">čime se </w:t>
      </w:r>
      <w:r w:rsidRPr="003A2F86">
        <w:rPr>
          <w:rFonts w:ascii="Arial" w:eastAsia="Times New Roman" w:hAnsi="Arial" w:cs="Arial"/>
        </w:rPr>
        <w:t xml:space="preserve">povećava ukupan iznos rashoda proračuna Općine. Međutim, tablica u nastavku prikazuje </w:t>
      </w:r>
      <w:r w:rsidR="00B763B2" w:rsidRPr="003A2F86">
        <w:rPr>
          <w:rFonts w:ascii="Arial" w:eastAsia="Times New Roman" w:hAnsi="Arial" w:cs="Arial"/>
        </w:rPr>
        <w:t xml:space="preserve">koliko se od ukupno izvršenih rashoda odnosi na rashode proračunskih korisnika, a koliko Općina bez </w:t>
      </w:r>
      <w:r w:rsidR="00624C0F" w:rsidRPr="003A2F86">
        <w:rPr>
          <w:rFonts w:ascii="Arial" w:eastAsia="Times New Roman" w:hAnsi="Arial" w:cs="Arial"/>
        </w:rPr>
        <w:t xml:space="preserve">prijenosa </w:t>
      </w:r>
      <w:r w:rsidR="00B763B2" w:rsidRPr="003A2F86">
        <w:rPr>
          <w:rFonts w:ascii="Arial" w:eastAsia="Times New Roman" w:hAnsi="Arial" w:cs="Arial"/>
        </w:rPr>
        <w:t>proračunski</w:t>
      </w:r>
      <w:r w:rsidR="00624C0F" w:rsidRPr="003A2F86">
        <w:rPr>
          <w:rFonts w:ascii="Arial" w:eastAsia="Times New Roman" w:hAnsi="Arial" w:cs="Arial"/>
        </w:rPr>
        <w:t>m</w:t>
      </w:r>
      <w:r w:rsidR="00B763B2" w:rsidRPr="003A2F86">
        <w:rPr>
          <w:rFonts w:ascii="Arial" w:eastAsia="Times New Roman" w:hAnsi="Arial" w:cs="Arial"/>
        </w:rPr>
        <w:t xml:space="preserve"> korisni</w:t>
      </w:r>
      <w:r w:rsidR="00624C0F" w:rsidRPr="003A2F86">
        <w:rPr>
          <w:rFonts w:ascii="Arial" w:eastAsia="Times New Roman" w:hAnsi="Arial" w:cs="Arial"/>
        </w:rPr>
        <w:t>cima</w:t>
      </w:r>
      <w:r w:rsidR="00B763B2" w:rsidRPr="003A2F86">
        <w:rPr>
          <w:rFonts w:ascii="Arial" w:eastAsia="Times New Roman" w:hAnsi="Arial" w:cs="Arial"/>
        </w:rPr>
        <w:t>.</w:t>
      </w:r>
    </w:p>
    <w:p w14:paraId="5AE407AC" w14:textId="77777777" w:rsidR="00F34F33" w:rsidRDefault="00F34F33"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1E77F624" w14:textId="0FC043EB" w:rsidR="000F7EC5" w:rsidRDefault="00F34F33"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ab/>
        <w:t xml:space="preserve">Rashodi </w:t>
      </w:r>
      <w:r w:rsidR="000F7EC5">
        <w:rPr>
          <w:rFonts w:ascii="Arial" w:eastAsia="Times New Roman" w:hAnsi="Arial" w:cs="Arial"/>
        </w:rPr>
        <w:t xml:space="preserve">poslovanja (3) </w:t>
      </w:r>
      <w:r>
        <w:rPr>
          <w:rFonts w:ascii="Arial" w:eastAsia="Times New Roman" w:hAnsi="Arial" w:cs="Arial"/>
        </w:rPr>
        <w:t>Općine (bez rashoda</w:t>
      </w:r>
      <w:r w:rsidR="000F7EC5">
        <w:rPr>
          <w:rFonts w:ascii="Arial" w:eastAsia="Times New Roman" w:hAnsi="Arial" w:cs="Arial"/>
        </w:rPr>
        <w:t xml:space="preserve"> </w:t>
      </w:r>
      <w:r>
        <w:rPr>
          <w:rFonts w:ascii="Arial" w:eastAsia="Times New Roman" w:hAnsi="Arial" w:cs="Arial"/>
        </w:rPr>
        <w:t>p</w:t>
      </w:r>
      <w:r w:rsidR="000F7EC5">
        <w:rPr>
          <w:rFonts w:ascii="Arial" w:eastAsia="Times New Roman" w:hAnsi="Arial" w:cs="Arial"/>
        </w:rPr>
        <w:t>odskupina 367</w:t>
      </w:r>
      <w:r w:rsidR="000B71D9">
        <w:rPr>
          <w:rFonts w:ascii="Arial" w:eastAsia="Times New Roman" w:hAnsi="Arial" w:cs="Arial"/>
        </w:rPr>
        <w:t>, odnosno iznos 7.631.537,99 €</w:t>
      </w:r>
      <w:r w:rsidR="000F7EC5">
        <w:rPr>
          <w:rFonts w:ascii="Arial" w:eastAsia="Times New Roman" w:hAnsi="Arial" w:cs="Arial"/>
        </w:rPr>
        <w:t xml:space="preserve">) </w:t>
      </w:r>
      <w:r>
        <w:rPr>
          <w:rFonts w:ascii="Arial" w:eastAsia="Times New Roman" w:hAnsi="Arial" w:cs="Arial"/>
        </w:rPr>
        <w:t xml:space="preserve">su </w:t>
      </w:r>
      <w:r w:rsidR="000F7EC5">
        <w:rPr>
          <w:rFonts w:ascii="Arial" w:eastAsia="Times New Roman" w:hAnsi="Arial" w:cs="Arial"/>
        </w:rPr>
        <w:t>veći</w:t>
      </w:r>
      <w:r>
        <w:rPr>
          <w:rFonts w:ascii="Arial" w:eastAsia="Times New Roman" w:hAnsi="Arial" w:cs="Arial"/>
        </w:rPr>
        <w:t xml:space="preserve"> za </w:t>
      </w:r>
      <w:r w:rsidR="000B71D9">
        <w:rPr>
          <w:rFonts w:ascii="Arial" w:eastAsia="Times New Roman" w:hAnsi="Arial" w:cs="Arial"/>
        </w:rPr>
        <w:t>618.863,95</w:t>
      </w:r>
      <w:r>
        <w:rPr>
          <w:rFonts w:ascii="Arial" w:eastAsia="Times New Roman" w:hAnsi="Arial" w:cs="Arial"/>
        </w:rPr>
        <w:t xml:space="preserve"> € ili </w:t>
      </w:r>
      <w:r w:rsidR="000B71D9">
        <w:rPr>
          <w:rFonts w:ascii="Arial" w:eastAsia="Times New Roman" w:hAnsi="Arial" w:cs="Arial"/>
        </w:rPr>
        <w:t>8,8</w:t>
      </w:r>
      <w:r>
        <w:rPr>
          <w:rFonts w:ascii="Arial" w:eastAsia="Times New Roman" w:hAnsi="Arial" w:cs="Arial"/>
        </w:rPr>
        <w:t>% u odnosu na prethodnu godinu</w:t>
      </w:r>
      <w:r w:rsidR="000B71D9">
        <w:rPr>
          <w:rFonts w:ascii="Arial" w:eastAsia="Times New Roman" w:hAnsi="Arial" w:cs="Arial"/>
        </w:rPr>
        <w:t xml:space="preserve"> (7.012.674,04 €)</w:t>
      </w:r>
      <w:r w:rsidR="000F7EC5">
        <w:rPr>
          <w:rFonts w:ascii="Arial" w:eastAsia="Times New Roman" w:hAnsi="Arial" w:cs="Arial"/>
        </w:rPr>
        <w:t>. Rashodi po</w:t>
      </w:r>
      <w:r w:rsidR="000C1342">
        <w:rPr>
          <w:rFonts w:ascii="Arial" w:eastAsia="Times New Roman" w:hAnsi="Arial" w:cs="Arial"/>
        </w:rPr>
        <w:t>d</w:t>
      </w:r>
      <w:r w:rsidR="000F7EC5">
        <w:rPr>
          <w:rFonts w:ascii="Arial" w:eastAsia="Times New Roman" w:hAnsi="Arial" w:cs="Arial"/>
        </w:rPr>
        <w:t xml:space="preserve">skupine 367 su veći za </w:t>
      </w:r>
      <w:r w:rsidR="000B71D9">
        <w:rPr>
          <w:rFonts w:ascii="Arial" w:eastAsia="Times New Roman" w:hAnsi="Arial" w:cs="Arial"/>
        </w:rPr>
        <w:t>1.110.878,19</w:t>
      </w:r>
      <w:r w:rsidR="000F7EC5">
        <w:rPr>
          <w:rFonts w:ascii="Arial" w:eastAsia="Times New Roman" w:hAnsi="Arial" w:cs="Arial"/>
        </w:rPr>
        <w:t xml:space="preserve"> € ili </w:t>
      </w:r>
      <w:r w:rsidR="000B71D9">
        <w:rPr>
          <w:rFonts w:ascii="Arial" w:eastAsia="Times New Roman" w:hAnsi="Arial" w:cs="Arial"/>
        </w:rPr>
        <w:t>31,89</w:t>
      </w:r>
      <w:r w:rsidR="000F7EC5">
        <w:rPr>
          <w:rFonts w:ascii="Arial" w:eastAsia="Times New Roman" w:hAnsi="Arial" w:cs="Arial"/>
        </w:rPr>
        <w:t>%.</w:t>
      </w:r>
    </w:p>
    <w:p w14:paraId="22E22327" w14:textId="44520549" w:rsidR="00F34F33" w:rsidRPr="003A2F86" w:rsidRDefault="000F7EC5"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ab/>
        <w:t>Rashodi poslovanja (3) proračunskih korisnika</w:t>
      </w:r>
      <w:r w:rsidR="000B71D9">
        <w:rPr>
          <w:rFonts w:ascii="Arial" w:eastAsia="Times New Roman" w:hAnsi="Arial" w:cs="Arial"/>
        </w:rPr>
        <w:t xml:space="preserve"> (6.182.062,59 €)</w:t>
      </w:r>
      <w:r>
        <w:rPr>
          <w:rFonts w:ascii="Arial" w:eastAsia="Times New Roman" w:hAnsi="Arial" w:cs="Arial"/>
        </w:rPr>
        <w:t xml:space="preserve"> su veći za </w:t>
      </w:r>
      <w:r w:rsidR="000B71D9">
        <w:rPr>
          <w:rFonts w:ascii="Arial" w:eastAsia="Times New Roman" w:hAnsi="Arial" w:cs="Arial"/>
        </w:rPr>
        <w:t>1.117.811,63</w:t>
      </w:r>
      <w:r>
        <w:rPr>
          <w:rFonts w:ascii="Arial" w:eastAsia="Times New Roman" w:hAnsi="Arial" w:cs="Arial"/>
        </w:rPr>
        <w:t xml:space="preserve"> € ili </w:t>
      </w:r>
      <w:r w:rsidR="000B71D9">
        <w:rPr>
          <w:rFonts w:ascii="Arial" w:eastAsia="Times New Roman" w:hAnsi="Arial" w:cs="Arial"/>
        </w:rPr>
        <w:t>22,07</w:t>
      </w:r>
      <w:r>
        <w:rPr>
          <w:rFonts w:ascii="Arial" w:eastAsia="Times New Roman" w:hAnsi="Arial" w:cs="Arial"/>
        </w:rPr>
        <w:t>% u odnosu na prethodnu 202</w:t>
      </w:r>
      <w:r w:rsidR="000B71D9">
        <w:rPr>
          <w:rFonts w:ascii="Arial" w:eastAsia="Times New Roman" w:hAnsi="Arial" w:cs="Arial"/>
        </w:rPr>
        <w:t>4</w:t>
      </w:r>
      <w:r>
        <w:rPr>
          <w:rFonts w:ascii="Arial" w:eastAsia="Times New Roman" w:hAnsi="Arial" w:cs="Arial"/>
        </w:rPr>
        <w:t>. godinu</w:t>
      </w:r>
      <w:r w:rsidR="000B71D9">
        <w:rPr>
          <w:rFonts w:ascii="Arial" w:eastAsia="Times New Roman" w:hAnsi="Arial" w:cs="Arial"/>
        </w:rPr>
        <w:t xml:space="preserve"> (5.064.250,96 €)</w:t>
      </w:r>
      <w:r>
        <w:rPr>
          <w:rFonts w:ascii="Arial" w:eastAsia="Times New Roman" w:hAnsi="Arial" w:cs="Arial"/>
        </w:rPr>
        <w:t>.</w:t>
      </w:r>
    </w:p>
    <w:bookmarkEnd w:id="144"/>
    <w:p w14:paraId="169B6A91" w14:textId="77777777" w:rsidR="00B763B2" w:rsidRPr="003A2F86" w:rsidRDefault="00B763B2"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6EA8C39F" w14:textId="601C6C70" w:rsidR="00FD482B" w:rsidRPr="003A2F86" w:rsidRDefault="00D62E70" w:rsidP="00FD482B">
      <w:pPr>
        <w:pStyle w:val="Opisslike"/>
      </w:pPr>
      <w:bookmarkStart w:id="149" w:name="_Toc232981572"/>
      <w:r w:rsidRPr="003A2F86">
        <w:rPr>
          <w:noProof/>
        </w:rPr>
        <w:drawing>
          <wp:anchor distT="0" distB="0" distL="114300" distR="114300" simplePos="0" relativeHeight="251599872" behindDoc="0" locked="0" layoutInCell="1" allowOverlap="1" wp14:anchorId="6E129E3B" wp14:editId="09CDABA2">
            <wp:simplePos x="0" y="0"/>
            <wp:positionH relativeFrom="column">
              <wp:posOffset>-58420</wp:posOffset>
            </wp:positionH>
            <wp:positionV relativeFrom="paragraph">
              <wp:posOffset>304165</wp:posOffset>
            </wp:positionV>
            <wp:extent cx="9237345" cy="3000375"/>
            <wp:effectExtent l="0" t="0" r="0" b="0"/>
            <wp:wrapSquare wrapText="bothSides"/>
            <wp:docPr id="11"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14:sizeRelH relativeFrom="page">
              <wp14:pctWidth>0</wp14:pctWidth>
            </wp14:sizeRelH>
            <wp14:sizeRelV relativeFrom="page">
              <wp14:pctHeight>0</wp14:pctHeight>
            </wp14:sizeRelV>
          </wp:anchor>
        </w:drawing>
      </w:r>
      <w:r w:rsidR="00FD482B" w:rsidRPr="003A2F86">
        <w:rPr>
          <w:color w:val="FF0000"/>
        </w:rPr>
        <w:t xml:space="preserve">Graf </w:t>
      </w:r>
      <w:r w:rsidR="00FD482B" w:rsidRPr="003A2F86">
        <w:rPr>
          <w:color w:val="FF0000"/>
        </w:rPr>
        <w:fldChar w:fldCharType="begin"/>
      </w:r>
      <w:r w:rsidR="00FD482B" w:rsidRPr="003A2F86">
        <w:rPr>
          <w:color w:val="FF0000"/>
        </w:rPr>
        <w:instrText xml:space="preserve"> SEQ Graf \* ARABIC </w:instrText>
      </w:r>
      <w:r w:rsidR="00FD482B" w:rsidRPr="003A2F86">
        <w:rPr>
          <w:color w:val="FF0000"/>
        </w:rPr>
        <w:fldChar w:fldCharType="separate"/>
      </w:r>
      <w:r w:rsidR="00A821D8">
        <w:rPr>
          <w:noProof/>
          <w:color w:val="FF0000"/>
        </w:rPr>
        <w:t>12</w:t>
      </w:r>
      <w:r w:rsidR="00FD482B" w:rsidRPr="003A2F86">
        <w:rPr>
          <w:color w:val="FF0000"/>
        </w:rPr>
        <w:fldChar w:fldCharType="end"/>
      </w:r>
      <w:r w:rsidR="00FD482B" w:rsidRPr="003A2F86">
        <w:rPr>
          <w:color w:val="FF0000"/>
        </w:rPr>
        <w:t xml:space="preserve">.: </w:t>
      </w:r>
      <w:r w:rsidR="00FD482B" w:rsidRPr="003A2F86">
        <w:rPr>
          <w:rFonts w:ascii="Arial" w:hAnsi="Arial" w:cs="Arial"/>
        </w:rPr>
        <w:t xml:space="preserve">Struktura izvršenih </w:t>
      </w:r>
      <w:r w:rsidR="00FD482B" w:rsidRPr="003A2F86">
        <w:rPr>
          <w:rFonts w:ascii="Arial" w:hAnsi="Arial" w:cs="Arial"/>
          <w:u w:val="single"/>
        </w:rPr>
        <w:t>rashoda poslovanja (3</w:t>
      </w:r>
      <w:r w:rsidR="00FD482B" w:rsidRPr="003A2F86">
        <w:rPr>
          <w:rFonts w:ascii="Arial" w:hAnsi="Arial" w:cs="Arial"/>
          <w:u w:val="double"/>
        </w:rPr>
        <w:t>)</w:t>
      </w:r>
      <w:r w:rsidR="00FD482B" w:rsidRPr="003A2F86">
        <w:rPr>
          <w:rFonts w:ascii="Arial" w:hAnsi="Arial" w:cs="Arial"/>
        </w:rPr>
        <w:t xml:space="preserve"> u razdoblju 2015.-202</w:t>
      </w:r>
      <w:r w:rsidR="000B71D9">
        <w:rPr>
          <w:rFonts w:ascii="Arial" w:hAnsi="Arial" w:cs="Arial"/>
        </w:rPr>
        <w:t>5</w:t>
      </w:r>
      <w:r w:rsidR="00FD482B" w:rsidRPr="003A2F86">
        <w:rPr>
          <w:rFonts w:ascii="Arial" w:hAnsi="Arial" w:cs="Arial"/>
        </w:rPr>
        <w:t>.</w:t>
      </w:r>
      <w:r w:rsidR="00624C0F" w:rsidRPr="003A2F86">
        <w:rPr>
          <w:rFonts w:ascii="Arial" w:hAnsi="Arial" w:cs="Arial"/>
        </w:rPr>
        <w:t xml:space="preserve"> (€)</w:t>
      </w:r>
      <w:r w:rsidR="00FD482B" w:rsidRPr="003A2F86">
        <w:rPr>
          <w:rFonts w:ascii="Arial" w:hAnsi="Arial" w:cs="Arial"/>
        </w:rPr>
        <w:t xml:space="preserve">: </w:t>
      </w:r>
      <w:r w:rsidR="00FD482B" w:rsidRPr="00F06C2F">
        <w:rPr>
          <w:rFonts w:ascii="Arial" w:hAnsi="Arial" w:cs="Arial"/>
          <w:color w:val="1F497D" w:themeColor="text2"/>
        </w:rPr>
        <w:t xml:space="preserve">Općina </w:t>
      </w:r>
      <w:r w:rsidR="00FD482B" w:rsidRPr="003A2F86">
        <w:rPr>
          <w:rFonts w:ascii="Arial" w:hAnsi="Arial" w:cs="Arial"/>
        </w:rPr>
        <w:t xml:space="preserve">i </w:t>
      </w:r>
      <w:r w:rsidR="00487F1B" w:rsidRPr="003A2F86">
        <w:rPr>
          <w:rFonts w:ascii="Arial" w:hAnsi="Arial" w:cs="Arial"/>
        </w:rPr>
        <w:t xml:space="preserve">zbirno </w:t>
      </w:r>
      <w:r w:rsidR="00FD482B" w:rsidRPr="00F06C2F">
        <w:rPr>
          <w:rFonts w:ascii="Arial" w:hAnsi="Arial" w:cs="Arial"/>
          <w:color w:val="943634" w:themeColor="accent2" w:themeShade="BF"/>
        </w:rPr>
        <w:t xml:space="preserve">proračunski korisnici </w:t>
      </w:r>
      <w:r w:rsidR="00FD482B" w:rsidRPr="003A2F86">
        <w:rPr>
          <w:rFonts w:ascii="Arial" w:hAnsi="Arial" w:cs="Arial"/>
        </w:rPr>
        <w:t>Općine (PK)</w:t>
      </w:r>
      <w:bookmarkEnd w:id="149"/>
    </w:p>
    <w:p w14:paraId="48013A89" w14:textId="77777777" w:rsidR="008B6239" w:rsidRPr="003A2F86" w:rsidRDefault="008B623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422E0C2C" w14:textId="77777777" w:rsidR="001649CD" w:rsidRPr="003A2F86" w:rsidRDefault="001649CD" w:rsidP="00891119">
      <w:pPr>
        <w:spacing w:after="0" w:line="240" w:lineRule="auto"/>
        <w:jc w:val="both"/>
        <w:rPr>
          <w:rFonts w:ascii="Arial" w:eastAsia="Times New Roman" w:hAnsi="Arial" w:cs="Arial"/>
          <w:lang w:eastAsia="en-US"/>
        </w:rPr>
      </w:pPr>
    </w:p>
    <w:p w14:paraId="3EF5CA0C" w14:textId="60893E83" w:rsidR="00891119" w:rsidRPr="003A2F86" w:rsidRDefault="001C45AE" w:rsidP="001C45AE">
      <w:pPr>
        <w:pStyle w:val="Naslov4"/>
        <w:rPr>
          <w:rFonts w:ascii="Arial" w:hAnsi="Arial" w:cs="Arial"/>
          <w:lang w:val="hr-HR"/>
        </w:rPr>
      </w:pPr>
      <w:bookmarkStart w:id="150" w:name="_Toc232981394"/>
      <w:r w:rsidRPr="003A2F86">
        <w:rPr>
          <w:rFonts w:ascii="Arial" w:hAnsi="Arial" w:cs="Arial"/>
          <w:lang w:val="hr-HR"/>
        </w:rPr>
        <w:t>2.4.3</w:t>
      </w:r>
      <w:r w:rsidR="00891119" w:rsidRPr="003A2F86">
        <w:rPr>
          <w:rFonts w:ascii="Arial" w:hAnsi="Arial" w:cs="Arial"/>
          <w:lang w:val="hr-HR"/>
        </w:rPr>
        <w:t xml:space="preserve">.1. </w:t>
      </w:r>
      <w:r w:rsidR="00891119" w:rsidRPr="003A2F86">
        <w:rPr>
          <w:rFonts w:ascii="Arial" w:hAnsi="Arial" w:cs="Arial"/>
          <w:lang w:val="hr-HR"/>
        </w:rPr>
        <w:tab/>
        <w:t>Rashodi za zaposlene</w:t>
      </w:r>
      <w:r w:rsidR="002B2168" w:rsidRPr="003A2F86">
        <w:rPr>
          <w:rFonts w:ascii="Arial" w:hAnsi="Arial" w:cs="Arial"/>
          <w:lang w:val="hr-HR"/>
        </w:rPr>
        <w:t xml:space="preserve"> (31)</w:t>
      </w:r>
      <w:bookmarkEnd w:id="150"/>
    </w:p>
    <w:p w14:paraId="765500C7" w14:textId="77777777" w:rsidR="00891119" w:rsidRPr="003A2F86" w:rsidRDefault="00891119" w:rsidP="00891119">
      <w:pPr>
        <w:tabs>
          <w:tab w:val="left" w:pos="567"/>
        </w:tabs>
        <w:spacing w:after="0" w:line="240" w:lineRule="auto"/>
        <w:jc w:val="both"/>
        <w:rPr>
          <w:rFonts w:ascii="Arial" w:eastAsia="Times New Roman" w:hAnsi="Arial" w:cs="Arial"/>
          <w:lang w:eastAsia="en-US"/>
        </w:rPr>
      </w:pPr>
    </w:p>
    <w:p w14:paraId="360BCB01" w14:textId="4002B27D" w:rsidR="009358A4" w:rsidRPr="003A2F86" w:rsidRDefault="00891119" w:rsidP="009358A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r w:rsidRPr="003A2F86">
        <w:rPr>
          <w:rFonts w:ascii="Arial" w:eastAsia="Times New Roman" w:hAnsi="Arial" w:cs="Arial"/>
        </w:rPr>
        <w:t xml:space="preserve">Rashodi za zaposlene (31) obuhvaćaju </w:t>
      </w:r>
      <w:r w:rsidR="009358A4" w:rsidRPr="003A2F86">
        <w:rPr>
          <w:rFonts w:ascii="Arial" w:eastAsia="Times New Roman" w:hAnsi="Arial" w:cs="Arial"/>
          <w:iCs/>
        </w:rPr>
        <w:t>bruto plaće, doprinose na plaće i ostale rashode za zaposlene (na</w:t>
      </w:r>
      <w:r w:rsidR="00A8623C" w:rsidRPr="003A2F86">
        <w:rPr>
          <w:rFonts w:ascii="Arial" w:eastAsia="Times New Roman" w:hAnsi="Arial" w:cs="Arial"/>
          <w:iCs/>
        </w:rPr>
        <w:t>kn</w:t>
      </w:r>
      <w:r w:rsidR="009358A4" w:rsidRPr="003A2F86">
        <w:rPr>
          <w:rFonts w:ascii="Arial" w:eastAsia="Times New Roman" w:hAnsi="Arial" w:cs="Arial"/>
          <w:iCs/>
        </w:rPr>
        <w:t xml:space="preserve">ada za smrt užeg člana obitelji, božićnica, regres i slično) i to </w:t>
      </w:r>
      <w:r w:rsidRPr="003A2F86">
        <w:rPr>
          <w:rFonts w:ascii="Arial" w:eastAsia="Times New Roman" w:hAnsi="Arial" w:cs="Arial"/>
        </w:rPr>
        <w:t>plaće za zaposlenike općinske uprave, te zaposlenike četiri proračunska korisnika (Dječji vrtić Konavle, Muzeji i galerije Konavala, Javna vatrogasna postrojba Konavle, Dom za starije i nemoćne osobe).</w:t>
      </w:r>
      <w:r w:rsidR="009358A4" w:rsidRPr="003A2F86">
        <w:rPr>
          <w:rFonts w:ascii="Arial" w:eastAsia="Times New Roman" w:hAnsi="Arial" w:cs="Arial"/>
          <w:iCs/>
        </w:rPr>
        <w:t xml:space="preserve"> </w:t>
      </w:r>
    </w:p>
    <w:p w14:paraId="7D77B0D0" w14:textId="77777777"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151" w:name="_Hlk82682631"/>
    </w:p>
    <w:p w14:paraId="5139B5C9" w14:textId="56CE8C80" w:rsidR="001649CD" w:rsidRPr="003A2F86" w:rsidRDefault="001649CD" w:rsidP="001649C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iCs/>
        </w:rPr>
      </w:pPr>
      <w:bookmarkStart w:id="152" w:name="_Hlk230158010"/>
      <w:bookmarkStart w:id="153" w:name="_Hlk101768465"/>
      <w:r w:rsidRPr="003A2F86">
        <w:rPr>
          <w:rFonts w:ascii="Arial" w:hAnsi="Arial" w:cs="Arial"/>
          <w:b/>
          <w:iCs/>
          <w:color w:val="1F497D" w:themeColor="text2"/>
        </w:rPr>
        <w:t>Rashodi za zaposlene</w:t>
      </w:r>
      <w:r w:rsidRPr="003A2F86">
        <w:rPr>
          <w:rFonts w:ascii="Arial" w:hAnsi="Arial" w:cs="Arial"/>
          <w:iCs/>
          <w:color w:val="1F497D" w:themeColor="text2"/>
        </w:rPr>
        <w:t xml:space="preserve"> (31) izvršeni su u iznosu </w:t>
      </w:r>
      <w:r w:rsidR="000B71D9">
        <w:rPr>
          <w:rFonts w:ascii="Arial" w:hAnsi="Arial" w:cs="Arial"/>
          <w:iCs/>
          <w:color w:val="1F497D" w:themeColor="text2"/>
        </w:rPr>
        <w:t>5.842.607,93</w:t>
      </w:r>
      <w:r w:rsidRPr="003A2F86">
        <w:rPr>
          <w:rFonts w:ascii="Arial" w:hAnsi="Arial" w:cs="Arial"/>
          <w:iCs/>
          <w:color w:val="1F497D" w:themeColor="text2"/>
        </w:rPr>
        <w:t xml:space="preserve"> € što je za </w:t>
      </w:r>
      <w:r w:rsidR="00BD201C">
        <w:rPr>
          <w:rFonts w:ascii="Arial" w:hAnsi="Arial" w:cs="Arial"/>
          <w:iCs/>
          <w:color w:val="1F497D" w:themeColor="text2"/>
        </w:rPr>
        <w:t>1.039.770,59</w:t>
      </w:r>
      <w:r w:rsidRPr="003A2F86">
        <w:rPr>
          <w:rFonts w:ascii="Arial" w:hAnsi="Arial" w:cs="Arial"/>
          <w:iCs/>
          <w:color w:val="1F497D" w:themeColor="text2"/>
        </w:rPr>
        <w:t xml:space="preserve"> € ili </w:t>
      </w:r>
      <w:r w:rsidR="00BD201C">
        <w:rPr>
          <w:rFonts w:ascii="Arial" w:hAnsi="Arial" w:cs="Arial"/>
          <w:iCs/>
          <w:color w:val="1F497D" w:themeColor="text2"/>
        </w:rPr>
        <w:t>21,6</w:t>
      </w:r>
      <w:r w:rsidRPr="003A2F86">
        <w:rPr>
          <w:rFonts w:ascii="Arial" w:hAnsi="Arial" w:cs="Arial"/>
          <w:iCs/>
          <w:color w:val="1F497D" w:themeColor="text2"/>
        </w:rPr>
        <w:t xml:space="preserve">% više u odnosu na prethodnu godinu. </w:t>
      </w:r>
      <w:bookmarkStart w:id="154" w:name="_Hlk64846355"/>
    </w:p>
    <w:bookmarkEnd w:id="152"/>
    <w:p w14:paraId="2DFFBA3C" w14:textId="77777777" w:rsidR="001649CD" w:rsidRPr="003A2F86" w:rsidRDefault="001649CD" w:rsidP="001649C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iCs/>
        </w:rPr>
      </w:pPr>
    </w:p>
    <w:bookmarkEnd w:id="154"/>
    <w:p w14:paraId="466EC65E" w14:textId="1842AC52" w:rsidR="0041713F" w:rsidRPr="002122DE" w:rsidRDefault="001649CD" w:rsidP="004171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3A2F86">
        <w:rPr>
          <w:rFonts w:ascii="Arial" w:hAnsi="Arial" w:cs="Arial"/>
        </w:rPr>
        <w:t>Rashodi za zaposlene Općine (31) obuhvaćaju plaće za zaposlenike općinske uprave i dužnosnike (načelnika i zamjenika načelnika). Prosječan broj zaposlenih na osnovi stanja na početku</w:t>
      </w:r>
      <w:r w:rsidR="00635674" w:rsidRPr="003A2F86">
        <w:rPr>
          <w:rFonts w:ascii="Arial" w:hAnsi="Arial" w:cs="Arial"/>
        </w:rPr>
        <w:t xml:space="preserve"> </w:t>
      </w:r>
      <w:r w:rsidR="00BD201C">
        <w:rPr>
          <w:rFonts w:ascii="Arial" w:hAnsi="Arial" w:cs="Arial"/>
        </w:rPr>
        <w:t>27</w:t>
      </w:r>
      <w:r w:rsidR="0041713F" w:rsidRPr="002122DE">
        <w:rPr>
          <w:rFonts w:ascii="Arial" w:hAnsi="Arial" w:cs="Arial"/>
        </w:rPr>
        <w:t xml:space="preserve">, a na kraju razdoblja je </w:t>
      </w:r>
      <w:r w:rsidR="00BD201C">
        <w:rPr>
          <w:rFonts w:ascii="Arial" w:hAnsi="Arial" w:cs="Arial"/>
        </w:rPr>
        <w:t>27</w:t>
      </w:r>
      <w:r w:rsidR="0041713F" w:rsidRPr="002122DE">
        <w:rPr>
          <w:rFonts w:ascii="Arial" w:hAnsi="Arial" w:cs="Arial"/>
        </w:rPr>
        <w:t>.</w:t>
      </w:r>
    </w:p>
    <w:p w14:paraId="6010C446" w14:textId="77777777" w:rsidR="001649CD" w:rsidRPr="003A2F86" w:rsidRDefault="001649CD" w:rsidP="001649C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bookmarkEnd w:id="153"/>
    <w:p w14:paraId="2E3FD44A" w14:textId="019CF1FA" w:rsidR="0041713F" w:rsidRPr="0041713F" w:rsidRDefault="0041713F" w:rsidP="004171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41713F">
        <w:rPr>
          <w:rFonts w:ascii="Arial" w:hAnsi="Arial" w:cs="Arial"/>
        </w:rPr>
        <w:t xml:space="preserve">Prosječan broj zaposlenih kod korisnika na osnovi stanja na kraju izvještajnog razdoblja je </w:t>
      </w:r>
      <w:r w:rsidR="00BD201C">
        <w:rPr>
          <w:rFonts w:ascii="Arial" w:hAnsi="Arial" w:cs="Arial"/>
        </w:rPr>
        <w:t>187</w:t>
      </w:r>
      <w:r w:rsidRPr="0041713F">
        <w:rPr>
          <w:rFonts w:ascii="Arial" w:hAnsi="Arial" w:cs="Arial"/>
        </w:rPr>
        <w:t>, a na osnovi sati rada je 17</w:t>
      </w:r>
      <w:r w:rsidR="00BD201C">
        <w:rPr>
          <w:rFonts w:ascii="Arial" w:hAnsi="Arial" w:cs="Arial"/>
        </w:rPr>
        <w:t>9</w:t>
      </w:r>
      <w:r w:rsidRPr="0041713F">
        <w:rPr>
          <w:rFonts w:ascii="Arial" w:hAnsi="Arial" w:cs="Arial"/>
        </w:rPr>
        <w:t>.</w:t>
      </w:r>
    </w:p>
    <w:p w14:paraId="7522B32C" w14:textId="77777777" w:rsidR="001649CD" w:rsidRPr="003A2F86" w:rsidRDefault="001649CD" w:rsidP="001649C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589C10DC" w14:textId="5DF31AB6" w:rsidR="001649CD" w:rsidRPr="003A2F86" w:rsidRDefault="00710130" w:rsidP="001649C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r w:rsidRPr="00710130">
        <w:rPr>
          <w:rFonts w:ascii="Arial" w:hAnsi="Arial" w:cs="Arial"/>
        </w:rPr>
        <w:t>Od rujna 2024. izmijenjeni su koeficijenti za obračun plaće općinskih zaposlenika, kao i proračunskih korisnika.</w:t>
      </w:r>
      <w:r w:rsidR="00BD201C">
        <w:rPr>
          <w:rFonts w:ascii="Arial" w:hAnsi="Arial" w:cs="Arial"/>
        </w:rPr>
        <w:t xml:space="preserve"> </w:t>
      </w:r>
      <w:r w:rsidR="00BD201C" w:rsidRPr="00BD201C">
        <w:rPr>
          <w:rFonts w:ascii="Arial" w:eastAsia="Times New Roman" w:hAnsi="Arial" w:cs="Arial"/>
          <w:iCs/>
        </w:rPr>
        <w:t>Osnovica za obračun plaća do konca veljače 2025. je iznosila 947,18 €, od ožujka do konca kolovoza 2025. je iznosila 975,60 €, a od rujna 2025. godine iznosi 1.004,87 €.</w:t>
      </w:r>
    </w:p>
    <w:p w14:paraId="290208BF" w14:textId="2107CEB2" w:rsidR="001649CD" w:rsidRPr="003A2F86" w:rsidRDefault="001649CD" w:rsidP="001649C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r w:rsidRPr="003A2F86">
        <w:rPr>
          <w:rFonts w:ascii="Arial" w:eastAsia="Times New Roman" w:hAnsi="Arial" w:cs="Arial"/>
          <w:iCs/>
        </w:rPr>
        <w:t xml:space="preserve">Koeficijent za obračun plaće općinskog načelnika </w:t>
      </w:r>
      <w:r w:rsidR="00635674" w:rsidRPr="003A2F86">
        <w:rPr>
          <w:rFonts w:ascii="Arial" w:eastAsia="Times New Roman" w:hAnsi="Arial" w:cs="Arial"/>
          <w:iCs/>
        </w:rPr>
        <w:t xml:space="preserve">iznosi </w:t>
      </w:r>
      <w:r w:rsidRPr="003A2F86">
        <w:rPr>
          <w:rFonts w:ascii="Arial" w:eastAsia="Times New Roman" w:hAnsi="Arial" w:cs="Arial"/>
          <w:iCs/>
        </w:rPr>
        <w:t>4,5</w:t>
      </w:r>
      <w:r w:rsidR="00635674" w:rsidRPr="003A2F86">
        <w:rPr>
          <w:rFonts w:ascii="Arial" w:eastAsia="Times New Roman" w:hAnsi="Arial" w:cs="Arial"/>
          <w:iCs/>
        </w:rPr>
        <w:t>5</w:t>
      </w:r>
      <w:r w:rsidRPr="003A2F86">
        <w:rPr>
          <w:rFonts w:ascii="Arial" w:eastAsia="Times New Roman" w:hAnsi="Arial" w:cs="Arial"/>
          <w:iCs/>
        </w:rPr>
        <w:t xml:space="preserve">. </w:t>
      </w:r>
    </w:p>
    <w:p w14:paraId="145DC565" w14:textId="77777777" w:rsidR="001649CD" w:rsidRPr="003A2F86" w:rsidRDefault="001649CD" w:rsidP="001649C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0EF3A8A6" w14:textId="52549D92" w:rsidR="00710130" w:rsidRDefault="004F3360" w:rsidP="007101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r w:rsidRPr="003A2F86">
        <w:rPr>
          <w:rFonts w:ascii="Arial" w:eastAsia="Times New Roman" w:hAnsi="Arial" w:cs="Arial"/>
          <w:iCs/>
          <w:color w:val="007BB8"/>
        </w:rPr>
        <w:t xml:space="preserve">Rashodi za zaposlene (31) </w:t>
      </w:r>
      <w:r w:rsidRPr="003A2F86">
        <w:rPr>
          <w:rFonts w:ascii="Arial" w:eastAsia="Times New Roman" w:hAnsi="Arial" w:cs="Arial"/>
          <w:b/>
          <w:bCs/>
          <w:iCs/>
          <w:color w:val="007BB8"/>
        </w:rPr>
        <w:t>Općine</w:t>
      </w:r>
      <w:r w:rsidRPr="003A2F86">
        <w:rPr>
          <w:rFonts w:ascii="Arial" w:eastAsia="Times New Roman" w:hAnsi="Arial" w:cs="Arial"/>
          <w:iCs/>
        </w:rPr>
        <w:t xml:space="preserve"> (bez proračunskih korisnika)</w:t>
      </w:r>
      <w:r w:rsidR="00710130">
        <w:rPr>
          <w:rFonts w:ascii="Arial" w:eastAsia="Times New Roman" w:hAnsi="Arial" w:cs="Arial"/>
          <w:iCs/>
        </w:rPr>
        <w:t xml:space="preserve"> </w:t>
      </w:r>
      <w:r w:rsidR="00BD201C" w:rsidRPr="00BD201C">
        <w:rPr>
          <w:rFonts w:ascii="Arial" w:eastAsia="Times New Roman" w:hAnsi="Arial" w:cs="Arial"/>
          <w:iCs/>
        </w:rPr>
        <w:t xml:space="preserve">iznose </w:t>
      </w:r>
      <w:bookmarkStart w:id="155" w:name="_Hlk230347242"/>
      <w:r w:rsidR="00BD201C" w:rsidRPr="00BD201C">
        <w:rPr>
          <w:rFonts w:ascii="Arial" w:eastAsia="Times New Roman" w:hAnsi="Arial" w:cs="Arial"/>
          <w:iCs/>
        </w:rPr>
        <w:t>963.055,75 € (</w:t>
      </w:r>
      <w:bookmarkStart w:id="156" w:name="_Hlk230347278"/>
      <w:r w:rsidR="00BD201C" w:rsidRPr="00BD201C">
        <w:rPr>
          <w:rFonts w:ascii="Arial" w:eastAsia="Times New Roman" w:hAnsi="Arial" w:cs="Arial"/>
          <w:iCs/>
        </w:rPr>
        <w:t>90.167,59 € ili 10,3% više u odnosu na prethodnu godinu</w:t>
      </w:r>
      <w:bookmarkEnd w:id="155"/>
      <w:bookmarkEnd w:id="156"/>
      <w:r w:rsidR="00BD201C" w:rsidRPr="00BD201C">
        <w:rPr>
          <w:rFonts w:ascii="Arial" w:eastAsia="Times New Roman" w:hAnsi="Arial" w:cs="Arial"/>
          <w:iCs/>
        </w:rPr>
        <w:t>). Ovi rashodi za zaposlene uključuju plaće zaposlenika općinske uprave, plaće djelatnika zaposlenih na provedbi tri EU projekta, plaće dužnosnika (načelnika).</w:t>
      </w:r>
    </w:p>
    <w:p w14:paraId="6C8C7E70" w14:textId="77777777" w:rsidR="00BD201C" w:rsidRPr="00710130" w:rsidRDefault="00BD201C" w:rsidP="007101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p>
    <w:p w14:paraId="7412A058" w14:textId="7564A7BE" w:rsidR="00BD201C" w:rsidRPr="00052E85" w:rsidRDefault="00710130" w:rsidP="00BD201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bookmarkStart w:id="157" w:name="_Hlk230158021"/>
      <w:r w:rsidRPr="00710130">
        <w:rPr>
          <w:rFonts w:ascii="Arial" w:eastAsia="Times New Roman" w:hAnsi="Arial" w:cs="Arial"/>
          <w:iCs/>
        </w:rPr>
        <w:t xml:space="preserve">Rashodi za plaće djelatnika Općine </w:t>
      </w:r>
      <w:r w:rsidR="00BD201C">
        <w:rPr>
          <w:rFonts w:ascii="Arial" w:eastAsia="Times New Roman" w:hAnsi="Arial" w:cs="Arial"/>
          <w:iCs/>
        </w:rPr>
        <w:t>iznose</w:t>
      </w:r>
      <w:r>
        <w:rPr>
          <w:rFonts w:ascii="Arial" w:eastAsia="Times New Roman" w:hAnsi="Arial" w:cs="Arial"/>
          <w:iCs/>
        </w:rPr>
        <w:t xml:space="preserve"> </w:t>
      </w:r>
      <w:r w:rsidR="00BD201C" w:rsidRPr="00052E85">
        <w:rPr>
          <w:rFonts w:ascii="Arial" w:hAnsi="Arial" w:cs="Arial"/>
        </w:rPr>
        <w:t>963.055,75 € ili 16,5%</w:t>
      </w:r>
      <w:r w:rsidR="00F70BBF">
        <w:rPr>
          <w:rFonts w:ascii="Arial" w:hAnsi="Arial" w:cs="Arial"/>
        </w:rPr>
        <w:t xml:space="preserve"> </w:t>
      </w:r>
      <w:r w:rsidR="00BD201C" w:rsidRPr="00052E85">
        <w:rPr>
          <w:rFonts w:ascii="Arial" w:hAnsi="Arial" w:cs="Arial"/>
        </w:rPr>
        <w:t>ukupnih rashoda za zaposlene.</w:t>
      </w:r>
    </w:p>
    <w:p w14:paraId="099E4D7A" w14:textId="77777777" w:rsidR="00BD201C" w:rsidRPr="00052E85" w:rsidRDefault="00BD201C" w:rsidP="00BD201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7D3B1204" w14:textId="62A52096" w:rsidR="004F3360" w:rsidRPr="003A2F86" w:rsidRDefault="004F3360" w:rsidP="004F33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r w:rsidRPr="003A2F86">
        <w:rPr>
          <w:rFonts w:ascii="Arial" w:eastAsia="Times New Roman" w:hAnsi="Arial" w:cs="Arial"/>
          <w:iCs/>
        </w:rPr>
        <w:t xml:space="preserve">Rashodi za zaposlene svih </w:t>
      </w:r>
      <w:r w:rsidRPr="00BF5B2A">
        <w:rPr>
          <w:rFonts w:ascii="Arial" w:eastAsia="Times New Roman" w:hAnsi="Arial" w:cs="Arial"/>
          <w:b/>
          <w:bCs/>
          <w:iCs/>
          <w:color w:val="007BB8"/>
        </w:rPr>
        <w:t>proračunskih korisnika</w:t>
      </w:r>
      <w:r w:rsidRPr="00BF5B2A">
        <w:rPr>
          <w:rFonts w:ascii="Arial" w:eastAsia="Times New Roman" w:hAnsi="Arial" w:cs="Arial"/>
          <w:iCs/>
          <w:color w:val="007BB8"/>
        </w:rPr>
        <w:t xml:space="preserve"> </w:t>
      </w:r>
      <w:r w:rsidRPr="003A2F86">
        <w:rPr>
          <w:rFonts w:ascii="Arial" w:eastAsia="Times New Roman" w:hAnsi="Arial" w:cs="Arial"/>
          <w:iCs/>
        </w:rPr>
        <w:t xml:space="preserve">iznose </w:t>
      </w:r>
      <w:bookmarkStart w:id="158" w:name="_Hlk230347398"/>
      <w:r w:rsidR="00F70BBF" w:rsidRPr="00052E85">
        <w:rPr>
          <w:rFonts w:ascii="Arial" w:hAnsi="Arial" w:cs="Arial"/>
        </w:rPr>
        <w:t>4.879.552,18 € ili 83,5%</w:t>
      </w:r>
      <w:bookmarkEnd w:id="158"/>
      <w:r w:rsidR="00F70BBF" w:rsidRPr="00052E85">
        <w:rPr>
          <w:rFonts w:ascii="Arial" w:hAnsi="Arial" w:cs="Arial"/>
        </w:rPr>
        <w:t xml:space="preserve"> ukupnih rashoda za zaposlene</w:t>
      </w:r>
      <w:r w:rsidR="00F70BBF">
        <w:rPr>
          <w:rFonts w:ascii="Arial" w:eastAsia="Times New Roman" w:hAnsi="Arial" w:cs="Arial"/>
          <w:iCs/>
        </w:rPr>
        <w:t xml:space="preserve"> </w:t>
      </w:r>
      <w:r w:rsidRPr="003A2F86">
        <w:rPr>
          <w:rFonts w:ascii="Arial" w:eastAsia="Times New Roman" w:hAnsi="Arial" w:cs="Arial"/>
          <w:iCs/>
        </w:rPr>
        <w:t xml:space="preserve">(31), </w:t>
      </w:r>
      <w:r w:rsidRPr="003A2F86">
        <w:rPr>
          <w:rFonts w:ascii="Arial" w:eastAsia="Times New Roman" w:hAnsi="Arial" w:cs="Arial"/>
          <w:b/>
          <w:bCs/>
          <w:iCs/>
        </w:rPr>
        <w:t>razina 23</w:t>
      </w:r>
      <w:r w:rsidRPr="003A2F86">
        <w:rPr>
          <w:rFonts w:ascii="Arial" w:eastAsia="Times New Roman" w:hAnsi="Arial" w:cs="Arial"/>
          <w:iCs/>
        </w:rPr>
        <w:t>.</w:t>
      </w:r>
    </w:p>
    <w:p w14:paraId="7A24ECAC" w14:textId="759882E9" w:rsidR="004F3360" w:rsidRPr="003A2F86" w:rsidRDefault="004F3360" w:rsidP="0098054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p>
    <w:bookmarkEnd w:id="151"/>
    <w:bookmarkEnd w:id="157"/>
    <w:p w14:paraId="1F5D1A60" w14:textId="1CC5928C" w:rsidR="0098054A" w:rsidRPr="003A2F86" w:rsidRDefault="00E10E5A" w:rsidP="0098054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r w:rsidRPr="003A2F86">
        <w:rPr>
          <w:rFonts w:ascii="Arial" w:eastAsia="Times New Roman" w:hAnsi="Arial" w:cs="Arial"/>
          <w:iCs/>
        </w:rPr>
        <w:t xml:space="preserve">U isplaćenim plaćama </w:t>
      </w:r>
      <w:r w:rsidR="00254255" w:rsidRPr="003A2F86">
        <w:rPr>
          <w:rFonts w:ascii="Arial" w:eastAsia="Times New Roman" w:hAnsi="Arial" w:cs="Arial"/>
          <w:iCs/>
        </w:rPr>
        <w:t xml:space="preserve">su </w:t>
      </w:r>
      <w:r w:rsidRPr="003A2F86">
        <w:rPr>
          <w:rFonts w:ascii="Arial" w:eastAsia="Times New Roman" w:hAnsi="Arial" w:cs="Arial"/>
          <w:iCs/>
        </w:rPr>
        <w:t xml:space="preserve">izvršeni rashodi za plaće </w:t>
      </w:r>
      <w:r w:rsidR="00655A4E" w:rsidRPr="003A2F86">
        <w:rPr>
          <w:rFonts w:ascii="Arial" w:eastAsia="Times New Roman" w:hAnsi="Arial" w:cs="Arial"/>
          <w:iCs/>
        </w:rPr>
        <w:t xml:space="preserve">koje se sufinanciraju kroz </w:t>
      </w:r>
      <w:r w:rsidR="005C7C1F">
        <w:rPr>
          <w:rFonts w:ascii="Arial" w:eastAsia="Times New Roman" w:hAnsi="Arial" w:cs="Arial"/>
          <w:iCs/>
        </w:rPr>
        <w:t>tri projekta</w:t>
      </w:r>
      <w:r w:rsidR="0098054A" w:rsidRPr="003A2F86">
        <w:rPr>
          <w:rFonts w:ascii="Arial" w:eastAsia="Times New Roman" w:hAnsi="Arial" w:cs="Arial"/>
          <w:iCs/>
        </w:rPr>
        <w:t xml:space="preserve"> (sufinancirano sredstvima EU</w:t>
      </w:r>
      <w:r w:rsidR="00254255" w:rsidRPr="003A2F86">
        <w:rPr>
          <w:rFonts w:ascii="Arial" w:eastAsia="Times New Roman" w:hAnsi="Arial" w:cs="Arial"/>
          <w:iCs/>
        </w:rPr>
        <w:t>)</w:t>
      </w:r>
      <w:r w:rsidR="00D947DC" w:rsidRPr="003A2F86">
        <w:rPr>
          <w:rFonts w:ascii="Arial" w:eastAsia="Times New Roman" w:hAnsi="Arial" w:cs="Arial"/>
          <w:iCs/>
        </w:rPr>
        <w:t xml:space="preserve">. </w:t>
      </w:r>
      <w:r w:rsidR="00B03E89" w:rsidRPr="003A2F86">
        <w:rPr>
          <w:rFonts w:ascii="Arial" w:eastAsia="Times New Roman" w:hAnsi="Arial" w:cs="Arial"/>
          <w:iCs/>
        </w:rPr>
        <w:t xml:space="preserve">Doprinosi </w:t>
      </w:r>
      <w:r w:rsidR="00915A2F" w:rsidRPr="003A2F86">
        <w:rPr>
          <w:rFonts w:ascii="Arial" w:eastAsia="Times New Roman" w:hAnsi="Arial" w:cs="Arial"/>
          <w:iCs/>
        </w:rPr>
        <w:t xml:space="preserve">iz plaća i na plaće </w:t>
      </w:r>
      <w:r w:rsidR="00B03E89" w:rsidRPr="003A2F86">
        <w:rPr>
          <w:rFonts w:ascii="Arial" w:eastAsia="Times New Roman" w:hAnsi="Arial" w:cs="Arial"/>
          <w:iCs/>
        </w:rPr>
        <w:t>se tijekom 202</w:t>
      </w:r>
      <w:r w:rsidR="005C7C1F">
        <w:rPr>
          <w:rFonts w:ascii="Arial" w:eastAsia="Times New Roman" w:hAnsi="Arial" w:cs="Arial"/>
          <w:iCs/>
        </w:rPr>
        <w:t>5</w:t>
      </w:r>
      <w:r w:rsidR="00B03E89" w:rsidRPr="003A2F86">
        <w:rPr>
          <w:rFonts w:ascii="Arial" w:eastAsia="Times New Roman" w:hAnsi="Arial" w:cs="Arial"/>
          <w:iCs/>
        </w:rPr>
        <w:t xml:space="preserve">. </w:t>
      </w:r>
      <w:r w:rsidR="007803D3" w:rsidRPr="003A2F86">
        <w:rPr>
          <w:rFonts w:ascii="Arial" w:eastAsia="Times New Roman" w:hAnsi="Arial" w:cs="Arial"/>
          <w:iCs/>
        </w:rPr>
        <w:t>o</w:t>
      </w:r>
      <w:r w:rsidR="00B03E89" w:rsidRPr="003A2F86">
        <w:rPr>
          <w:rFonts w:ascii="Arial" w:eastAsia="Times New Roman" w:hAnsi="Arial" w:cs="Arial"/>
          <w:iCs/>
        </w:rPr>
        <w:t xml:space="preserve">bračunavaju kao i </w:t>
      </w:r>
      <w:r w:rsidR="00D947DC" w:rsidRPr="003A2F86">
        <w:rPr>
          <w:rFonts w:ascii="Arial" w:eastAsia="Times New Roman" w:hAnsi="Arial" w:cs="Arial"/>
          <w:iCs/>
        </w:rPr>
        <w:t>u razdoblju 2020.-202</w:t>
      </w:r>
      <w:r w:rsidR="005C7C1F">
        <w:rPr>
          <w:rFonts w:ascii="Arial" w:eastAsia="Times New Roman" w:hAnsi="Arial" w:cs="Arial"/>
          <w:iCs/>
        </w:rPr>
        <w:t>4</w:t>
      </w:r>
      <w:r w:rsidR="00D947DC" w:rsidRPr="003A2F86">
        <w:rPr>
          <w:rFonts w:ascii="Arial" w:eastAsia="Times New Roman" w:hAnsi="Arial" w:cs="Arial"/>
          <w:iCs/>
        </w:rPr>
        <w:t>. (</w:t>
      </w:r>
      <w:r w:rsidR="00ED39AC" w:rsidRPr="003A2F86">
        <w:rPr>
          <w:rFonts w:ascii="Arial" w:eastAsia="Times New Roman" w:hAnsi="Arial" w:cs="Arial"/>
          <w:iCs/>
        </w:rPr>
        <w:t>d</w:t>
      </w:r>
      <w:r w:rsidR="00157E04" w:rsidRPr="003A2F86">
        <w:rPr>
          <w:rFonts w:ascii="Arial" w:eastAsia="Times New Roman" w:hAnsi="Arial" w:cs="Arial"/>
          <w:iCs/>
        </w:rPr>
        <w:t>oprinos za zdravstveno</w:t>
      </w:r>
      <w:r w:rsidR="00915A2F" w:rsidRPr="003A2F86">
        <w:rPr>
          <w:rFonts w:ascii="Arial" w:eastAsia="Times New Roman" w:hAnsi="Arial" w:cs="Arial"/>
          <w:iCs/>
        </w:rPr>
        <w:t xml:space="preserve"> osiguranje iznosi 16,5% </w:t>
      </w:r>
      <w:r w:rsidR="00ED39AC" w:rsidRPr="003A2F86">
        <w:rPr>
          <w:rFonts w:ascii="Arial" w:eastAsia="Times New Roman" w:hAnsi="Arial" w:cs="Arial"/>
          <w:iCs/>
        </w:rPr>
        <w:t xml:space="preserve">- </w:t>
      </w:r>
      <w:r w:rsidR="00915A2F" w:rsidRPr="003A2F86">
        <w:rPr>
          <w:rFonts w:ascii="Arial" w:eastAsia="Times New Roman" w:hAnsi="Arial" w:cs="Arial"/>
          <w:iCs/>
        </w:rPr>
        <w:t xml:space="preserve"> do </w:t>
      </w:r>
      <w:r w:rsidR="008705F9" w:rsidRPr="003A2F86">
        <w:rPr>
          <w:rFonts w:ascii="Arial" w:eastAsia="Times New Roman" w:hAnsi="Arial" w:cs="Arial"/>
          <w:iCs/>
        </w:rPr>
        <w:t>konca 20</w:t>
      </w:r>
      <w:r w:rsidR="0088348F" w:rsidRPr="003A2F86">
        <w:rPr>
          <w:rFonts w:ascii="Arial" w:eastAsia="Times New Roman" w:hAnsi="Arial" w:cs="Arial"/>
          <w:iCs/>
        </w:rPr>
        <w:t>18</w:t>
      </w:r>
      <w:r w:rsidR="00ED39AC" w:rsidRPr="003A2F86">
        <w:rPr>
          <w:rFonts w:ascii="Arial" w:eastAsia="Times New Roman" w:hAnsi="Arial" w:cs="Arial"/>
          <w:iCs/>
        </w:rPr>
        <w:t>.g. iznosio 15%, te d</w:t>
      </w:r>
      <w:r w:rsidR="00157E04" w:rsidRPr="003A2F86">
        <w:rPr>
          <w:rFonts w:ascii="Arial" w:eastAsia="Times New Roman" w:hAnsi="Arial" w:cs="Arial"/>
          <w:iCs/>
        </w:rPr>
        <w:t xml:space="preserve">oprinosi iz plaće </w:t>
      </w:r>
      <w:r w:rsidR="00ED39AC" w:rsidRPr="003A2F86">
        <w:rPr>
          <w:rFonts w:ascii="Arial" w:eastAsia="Times New Roman" w:hAnsi="Arial" w:cs="Arial"/>
          <w:iCs/>
        </w:rPr>
        <w:t xml:space="preserve">- </w:t>
      </w:r>
      <w:r w:rsidR="00157E04" w:rsidRPr="003A2F86">
        <w:rPr>
          <w:rFonts w:ascii="Arial" w:eastAsia="Times New Roman" w:hAnsi="Arial" w:cs="Arial"/>
          <w:iCs/>
        </w:rPr>
        <w:t>mirovinsko osiguranje</w:t>
      </w:r>
      <w:r w:rsidR="00ED39AC" w:rsidRPr="003A2F86">
        <w:rPr>
          <w:rFonts w:ascii="Arial" w:eastAsia="Times New Roman" w:hAnsi="Arial" w:cs="Arial"/>
          <w:iCs/>
        </w:rPr>
        <w:t xml:space="preserve"> </w:t>
      </w:r>
      <w:r w:rsidR="00157E04" w:rsidRPr="003A2F86">
        <w:rPr>
          <w:rFonts w:ascii="Arial" w:eastAsia="Times New Roman" w:hAnsi="Arial" w:cs="Arial"/>
          <w:iCs/>
        </w:rPr>
        <w:t>je 20%</w:t>
      </w:r>
      <w:r w:rsidR="00ED39AC" w:rsidRPr="003A2F86">
        <w:rPr>
          <w:rFonts w:ascii="Arial" w:eastAsia="Times New Roman" w:hAnsi="Arial" w:cs="Arial"/>
          <w:iCs/>
        </w:rPr>
        <w:t>)</w:t>
      </w:r>
      <w:r w:rsidR="00157E04" w:rsidRPr="003A2F86">
        <w:rPr>
          <w:rFonts w:ascii="Arial" w:eastAsia="Times New Roman" w:hAnsi="Arial" w:cs="Arial"/>
          <w:iCs/>
        </w:rPr>
        <w:t>.</w:t>
      </w:r>
      <w:r w:rsidR="00915A2F" w:rsidRPr="003A2F86">
        <w:rPr>
          <w:rFonts w:ascii="Arial" w:eastAsia="Times New Roman" w:hAnsi="Arial" w:cs="Arial"/>
          <w:iCs/>
        </w:rPr>
        <w:t xml:space="preserve"> Od početka 2020. osnovni osobni odbitak je povećan s 3.800 </w:t>
      </w:r>
      <w:r w:rsidR="00A8623C" w:rsidRPr="003A2F86">
        <w:rPr>
          <w:rFonts w:ascii="Arial" w:eastAsia="Times New Roman" w:hAnsi="Arial" w:cs="Arial"/>
          <w:iCs/>
        </w:rPr>
        <w:t>kn</w:t>
      </w:r>
      <w:r w:rsidR="00915A2F" w:rsidRPr="003A2F86">
        <w:rPr>
          <w:rFonts w:ascii="Arial" w:eastAsia="Times New Roman" w:hAnsi="Arial" w:cs="Arial"/>
          <w:iCs/>
        </w:rPr>
        <w:t xml:space="preserve"> na 4.000 </w:t>
      </w:r>
      <w:r w:rsidR="00A8623C" w:rsidRPr="003A2F86">
        <w:rPr>
          <w:rFonts w:ascii="Arial" w:eastAsia="Times New Roman" w:hAnsi="Arial" w:cs="Arial"/>
          <w:iCs/>
        </w:rPr>
        <w:t>kn</w:t>
      </w:r>
      <w:r w:rsidR="00B66050" w:rsidRPr="003A2F86">
        <w:rPr>
          <w:rFonts w:ascii="Arial" w:eastAsia="Times New Roman" w:hAnsi="Arial" w:cs="Arial"/>
          <w:iCs/>
        </w:rPr>
        <w:t xml:space="preserve"> (530,90 €)</w:t>
      </w:r>
      <w:r w:rsidR="00915A2F" w:rsidRPr="003A2F86">
        <w:rPr>
          <w:rFonts w:ascii="Arial" w:eastAsia="Times New Roman" w:hAnsi="Arial" w:cs="Arial"/>
          <w:iCs/>
        </w:rPr>
        <w:t>.</w:t>
      </w:r>
      <w:r w:rsidR="00B66050" w:rsidRPr="003A2F86">
        <w:rPr>
          <w:rFonts w:ascii="Arial" w:eastAsia="Times New Roman" w:hAnsi="Arial" w:cs="Arial"/>
          <w:iCs/>
        </w:rPr>
        <w:t xml:space="preserve"> Osobni odbitak </w:t>
      </w:r>
      <w:r w:rsidR="005C7C1F">
        <w:rPr>
          <w:rFonts w:ascii="Arial" w:eastAsia="Times New Roman" w:hAnsi="Arial" w:cs="Arial"/>
          <w:iCs/>
        </w:rPr>
        <w:t xml:space="preserve">tijekom </w:t>
      </w:r>
      <w:r w:rsidR="00B66050" w:rsidRPr="003A2F86">
        <w:rPr>
          <w:rFonts w:ascii="Arial" w:eastAsia="Times New Roman" w:hAnsi="Arial" w:cs="Arial"/>
          <w:iCs/>
        </w:rPr>
        <w:t>202</w:t>
      </w:r>
      <w:r w:rsidR="00254255" w:rsidRPr="003A2F86">
        <w:rPr>
          <w:rFonts w:ascii="Arial" w:eastAsia="Times New Roman" w:hAnsi="Arial" w:cs="Arial"/>
          <w:iCs/>
        </w:rPr>
        <w:t>4</w:t>
      </w:r>
      <w:r w:rsidR="00B66050" w:rsidRPr="003A2F86">
        <w:rPr>
          <w:rFonts w:ascii="Arial" w:eastAsia="Times New Roman" w:hAnsi="Arial" w:cs="Arial"/>
          <w:iCs/>
        </w:rPr>
        <w:t>. godin</w:t>
      </w:r>
      <w:r w:rsidR="00254255" w:rsidRPr="003A2F86">
        <w:rPr>
          <w:rFonts w:ascii="Arial" w:eastAsia="Times New Roman" w:hAnsi="Arial" w:cs="Arial"/>
          <w:iCs/>
        </w:rPr>
        <w:t>e</w:t>
      </w:r>
      <w:r w:rsidR="00B66050" w:rsidRPr="003A2F86">
        <w:rPr>
          <w:rFonts w:ascii="Arial" w:eastAsia="Times New Roman" w:hAnsi="Arial" w:cs="Arial"/>
          <w:iCs/>
        </w:rPr>
        <w:t xml:space="preserve"> </w:t>
      </w:r>
      <w:r w:rsidR="005C7C1F">
        <w:rPr>
          <w:rFonts w:ascii="Arial" w:eastAsia="Times New Roman" w:hAnsi="Arial" w:cs="Arial"/>
          <w:iCs/>
        </w:rPr>
        <w:t xml:space="preserve">je iznosio </w:t>
      </w:r>
      <w:r w:rsidR="00254255" w:rsidRPr="003A2F86">
        <w:rPr>
          <w:rFonts w:ascii="Arial" w:eastAsia="Times New Roman" w:hAnsi="Arial" w:cs="Arial"/>
          <w:iCs/>
        </w:rPr>
        <w:t>560</w:t>
      </w:r>
      <w:r w:rsidR="00B66050" w:rsidRPr="003A2F86">
        <w:rPr>
          <w:rFonts w:ascii="Arial" w:eastAsia="Times New Roman" w:hAnsi="Arial" w:cs="Arial"/>
          <w:iCs/>
        </w:rPr>
        <w:t xml:space="preserve"> €</w:t>
      </w:r>
      <w:r w:rsidR="005C7C1F">
        <w:rPr>
          <w:rFonts w:ascii="Arial" w:eastAsia="Times New Roman" w:hAnsi="Arial" w:cs="Arial"/>
          <w:iCs/>
        </w:rPr>
        <w:t>, a od početka 2025. iznosi 600 €</w:t>
      </w:r>
      <w:r w:rsidR="00B66050" w:rsidRPr="003A2F86">
        <w:rPr>
          <w:rFonts w:ascii="Arial" w:eastAsia="Times New Roman" w:hAnsi="Arial" w:cs="Arial"/>
          <w:iCs/>
        </w:rPr>
        <w:t>.</w:t>
      </w:r>
    </w:p>
    <w:p w14:paraId="5FF7547C" w14:textId="77777777" w:rsidR="00D947DC" w:rsidRPr="003A2F86" w:rsidRDefault="00D947DC" w:rsidP="0098054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51C9990F" w14:textId="6165FF34" w:rsidR="00734B74" w:rsidRPr="003A2F86" w:rsidRDefault="00734B74" w:rsidP="008B19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 xml:space="preserve">Udio rashoda za </w:t>
      </w:r>
      <w:r w:rsidRPr="003A2F86">
        <w:rPr>
          <w:rFonts w:ascii="Arial" w:eastAsia="Times New Roman" w:hAnsi="Arial" w:cs="Arial"/>
          <w:b/>
          <w:bCs/>
        </w:rPr>
        <w:t xml:space="preserve">plaće Općinske uprave i </w:t>
      </w:r>
      <w:r w:rsidR="00DD380B" w:rsidRPr="003A2F86">
        <w:rPr>
          <w:rFonts w:ascii="Arial" w:eastAsia="Times New Roman" w:hAnsi="Arial" w:cs="Arial"/>
          <w:b/>
          <w:bCs/>
        </w:rPr>
        <w:t>dužnosnika</w:t>
      </w:r>
      <w:r w:rsidR="00DD380B" w:rsidRPr="003A2F86">
        <w:rPr>
          <w:rFonts w:ascii="Arial" w:eastAsia="Times New Roman" w:hAnsi="Arial" w:cs="Arial"/>
        </w:rPr>
        <w:t xml:space="preserve"> u sveukupnim rashodima i izdacima </w:t>
      </w:r>
      <w:r w:rsidR="00DD380B" w:rsidRPr="003A2F86">
        <w:rPr>
          <w:rFonts w:ascii="Arial" w:eastAsia="Times New Roman" w:hAnsi="Arial" w:cs="Arial"/>
          <w:b/>
          <w:bCs/>
        </w:rPr>
        <w:t>razine 22</w:t>
      </w:r>
      <w:r w:rsidR="00DD380B" w:rsidRPr="003A2F86">
        <w:rPr>
          <w:rFonts w:ascii="Arial" w:eastAsia="Times New Roman" w:hAnsi="Arial" w:cs="Arial"/>
        </w:rPr>
        <w:t xml:space="preserve"> </w:t>
      </w:r>
      <w:r w:rsidR="009E5BF0" w:rsidRPr="003A2F86">
        <w:rPr>
          <w:rFonts w:ascii="Arial" w:eastAsia="Times New Roman" w:hAnsi="Arial" w:cs="Arial"/>
        </w:rPr>
        <w:t>(rashodi Općine</w:t>
      </w:r>
      <w:r w:rsidR="00786B6D" w:rsidRPr="003A2F86">
        <w:rPr>
          <w:rFonts w:ascii="Arial" w:eastAsia="Times New Roman" w:hAnsi="Arial" w:cs="Arial"/>
        </w:rPr>
        <w:t xml:space="preserve"> s rashodima</w:t>
      </w:r>
      <w:r w:rsidR="009E5BF0" w:rsidRPr="003A2F86">
        <w:rPr>
          <w:rFonts w:ascii="Arial" w:eastAsia="Times New Roman" w:hAnsi="Arial" w:cs="Arial"/>
        </w:rPr>
        <w:t xml:space="preserve"> računa 367</w:t>
      </w:r>
      <w:r w:rsidR="00D947DC" w:rsidRPr="003A2F86">
        <w:rPr>
          <w:rFonts w:ascii="Arial" w:eastAsia="Times New Roman" w:hAnsi="Arial" w:cs="Arial"/>
        </w:rPr>
        <w:t xml:space="preserve"> – prijenosi proračunskim korisnicima</w:t>
      </w:r>
      <w:r w:rsidR="009E5BF0" w:rsidRPr="003A2F86">
        <w:rPr>
          <w:rFonts w:ascii="Arial" w:eastAsia="Times New Roman" w:hAnsi="Arial" w:cs="Arial"/>
        </w:rPr>
        <w:t xml:space="preserve">) </w:t>
      </w:r>
      <w:r w:rsidR="00DD380B" w:rsidRPr="003A2F86">
        <w:rPr>
          <w:rFonts w:ascii="Arial" w:eastAsia="Times New Roman" w:hAnsi="Arial" w:cs="Arial"/>
        </w:rPr>
        <w:t xml:space="preserve">iznosi </w:t>
      </w:r>
      <w:r w:rsidR="00F70BBF">
        <w:rPr>
          <w:rFonts w:ascii="Arial" w:eastAsia="Times New Roman" w:hAnsi="Arial" w:cs="Arial"/>
        </w:rPr>
        <w:t>3,89</w:t>
      </w:r>
      <w:r w:rsidR="00D947DC" w:rsidRPr="003A2F86">
        <w:rPr>
          <w:rFonts w:ascii="Arial" w:eastAsia="Times New Roman" w:hAnsi="Arial" w:cs="Arial"/>
        </w:rPr>
        <w:t>%</w:t>
      </w:r>
      <w:r w:rsidR="00DD380B" w:rsidRPr="003A2F86">
        <w:rPr>
          <w:rFonts w:ascii="Arial" w:eastAsia="Times New Roman" w:hAnsi="Arial" w:cs="Arial"/>
        </w:rPr>
        <w:t xml:space="preserve">, dok udio rashoda za plaće Općinske uprave i dužnosnika u rashodima i izdacima samo Općine (bez rashoda računa 367, odnosno </w:t>
      </w:r>
      <w:r w:rsidR="006D0795" w:rsidRPr="003A2F86">
        <w:rPr>
          <w:rFonts w:ascii="Arial" w:eastAsia="Times New Roman" w:hAnsi="Arial" w:cs="Arial"/>
        </w:rPr>
        <w:t xml:space="preserve">bez </w:t>
      </w:r>
      <w:r w:rsidR="009E5BF0" w:rsidRPr="003A2F86">
        <w:rPr>
          <w:rFonts w:ascii="Arial" w:eastAsia="Times New Roman" w:hAnsi="Arial" w:cs="Arial"/>
        </w:rPr>
        <w:t>pomoći proračunski</w:t>
      </w:r>
      <w:r w:rsidR="002E769C">
        <w:rPr>
          <w:rFonts w:ascii="Arial" w:eastAsia="Times New Roman" w:hAnsi="Arial" w:cs="Arial"/>
        </w:rPr>
        <w:t>m</w:t>
      </w:r>
      <w:r w:rsidR="009E5BF0" w:rsidRPr="003A2F86">
        <w:rPr>
          <w:rFonts w:ascii="Arial" w:eastAsia="Times New Roman" w:hAnsi="Arial" w:cs="Arial"/>
        </w:rPr>
        <w:t xml:space="preserve"> korisnicima za financiranje redovne djelatnosti) iznosi </w:t>
      </w:r>
      <w:r w:rsidR="00F70BBF">
        <w:rPr>
          <w:rFonts w:ascii="Arial" w:eastAsia="Times New Roman" w:hAnsi="Arial" w:cs="Arial"/>
        </w:rPr>
        <w:t>4,77</w:t>
      </w:r>
      <w:r w:rsidR="009E5BF0" w:rsidRPr="003A2F86">
        <w:rPr>
          <w:rFonts w:ascii="Arial" w:eastAsia="Times New Roman" w:hAnsi="Arial" w:cs="Arial"/>
        </w:rPr>
        <w:t>%</w:t>
      </w:r>
      <w:r w:rsidR="005F7259" w:rsidRPr="003A2F86">
        <w:rPr>
          <w:rFonts w:ascii="Arial" w:eastAsia="Times New Roman" w:hAnsi="Arial" w:cs="Arial"/>
        </w:rPr>
        <w:t>.</w:t>
      </w:r>
    </w:p>
    <w:p w14:paraId="7455969A" w14:textId="713B8B04" w:rsidR="00B70EAA" w:rsidRPr="003A2F86" w:rsidRDefault="00B70EAA" w:rsidP="00B70EAA">
      <w:pPr>
        <w:pStyle w:val="Opisslike"/>
      </w:pPr>
    </w:p>
    <w:p w14:paraId="7E517186" w14:textId="477FD3FD" w:rsidR="00407A28" w:rsidRPr="003A2F86" w:rsidRDefault="006A3908" w:rsidP="00FD482B">
      <w:pPr>
        <w:pStyle w:val="Opisslike"/>
        <w:rPr>
          <w:rFonts w:ascii="Arial" w:hAnsi="Arial" w:cs="Arial"/>
        </w:rPr>
      </w:pPr>
      <w:bookmarkStart w:id="159" w:name="_Toc232981573"/>
      <w:r w:rsidRPr="003A2F86">
        <w:rPr>
          <w:noProof/>
        </w:rPr>
        <w:lastRenderedPageBreak/>
        <w:drawing>
          <wp:anchor distT="0" distB="0" distL="114300" distR="114300" simplePos="0" relativeHeight="251616256" behindDoc="0" locked="0" layoutInCell="1" allowOverlap="1" wp14:anchorId="3DC6A203" wp14:editId="3813338A">
            <wp:simplePos x="0" y="0"/>
            <wp:positionH relativeFrom="column">
              <wp:posOffset>13335</wp:posOffset>
            </wp:positionH>
            <wp:positionV relativeFrom="paragraph">
              <wp:posOffset>287655</wp:posOffset>
            </wp:positionV>
            <wp:extent cx="9199245" cy="3143250"/>
            <wp:effectExtent l="0" t="0" r="0" b="0"/>
            <wp:wrapSquare wrapText="bothSides"/>
            <wp:docPr id="730" name="Chart 7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page">
              <wp14:pctWidth>0</wp14:pctWidth>
            </wp14:sizeRelH>
            <wp14:sizeRelV relativeFrom="page">
              <wp14:pctHeight>0</wp14:pctHeight>
            </wp14:sizeRelV>
          </wp:anchor>
        </w:drawing>
      </w:r>
      <w:r w:rsidR="00407A28" w:rsidRPr="003A2F86">
        <w:rPr>
          <w:color w:val="FF0000"/>
        </w:rPr>
        <w:t xml:space="preserve">Graf </w:t>
      </w:r>
      <w:r w:rsidR="00407A28" w:rsidRPr="003A2F86">
        <w:rPr>
          <w:color w:val="FF0000"/>
        </w:rPr>
        <w:fldChar w:fldCharType="begin"/>
      </w:r>
      <w:r w:rsidR="00407A28" w:rsidRPr="003A2F86">
        <w:rPr>
          <w:color w:val="FF0000"/>
        </w:rPr>
        <w:instrText xml:space="preserve"> SEQ Graf \* ARABIC </w:instrText>
      </w:r>
      <w:r w:rsidR="00407A28" w:rsidRPr="003A2F86">
        <w:rPr>
          <w:color w:val="FF0000"/>
        </w:rPr>
        <w:fldChar w:fldCharType="separate"/>
      </w:r>
      <w:r w:rsidR="00A821D8">
        <w:rPr>
          <w:noProof/>
          <w:color w:val="FF0000"/>
        </w:rPr>
        <w:t>13</w:t>
      </w:r>
      <w:r w:rsidR="00407A28" w:rsidRPr="003A2F86">
        <w:rPr>
          <w:color w:val="FF0000"/>
        </w:rPr>
        <w:fldChar w:fldCharType="end"/>
      </w:r>
      <w:r w:rsidR="00407A28" w:rsidRPr="003A2F86">
        <w:rPr>
          <w:color w:val="FF0000"/>
        </w:rPr>
        <w:t xml:space="preserve">.: </w:t>
      </w:r>
      <w:r w:rsidR="00407A28" w:rsidRPr="003A2F86">
        <w:rPr>
          <w:rFonts w:ascii="Arial" w:hAnsi="Arial" w:cs="Arial"/>
        </w:rPr>
        <w:t xml:space="preserve">Struktura izvršenih </w:t>
      </w:r>
      <w:r w:rsidR="00407A28" w:rsidRPr="003A2F86">
        <w:rPr>
          <w:rFonts w:ascii="Arial" w:hAnsi="Arial" w:cs="Arial"/>
          <w:u w:val="single"/>
        </w:rPr>
        <w:t>rashoda za zaposlene (31)</w:t>
      </w:r>
      <w:r w:rsidR="00407A28" w:rsidRPr="003A2F86">
        <w:rPr>
          <w:rFonts w:ascii="Arial" w:hAnsi="Arial" w:cs="Arial"/>
        </w:rPr>
        <w:t xml:space="preserve"> u razdoblju 2015.-20</w:t>
      </w:r>
      <w:r w:rsidR="008B19E1" w:rsidRPr="003A2F86">
        <w:rPr>
          <w:rFonts w:ascii="Arial" w:hAnsi="Arial" w:cs="Arial"/>
        </w:rPr>
        <w:t>2</w:t>
      </w:r>
      <w:r w:rsidR="00F70BBF">
        <w:rPr>
          <w:rFonts w:ascii="Arial" w:hAnsi="Arial" w:cs="Arial"/>
        </w:rPr>
        <w:t>5</w:t>
      </w:r>
      <w:r w:rsidR="00FD700B" w:rsidRPr="003A2F86">
        <w:rPr>
          <w:rFonts w:ascii="Arial" w:hAnsi="Arial" w:cs="Arial"/>
        </w:rPr>
        <w:t>.</w:t>
      </w:r>
      <w:r w:rsidR="006D0BF1" w:rsidRPr="003A2F86">
        <w:rPr>
          <w:rFonts w:ascii="Arial" w:hAnsi="Arial" w:cs="Arial"/>
        </w:rPr>
        <w:t xml:space="preserve"> (€)</w:t>
      </w:r>
      <w:r w:rsidR="00407A28" w:rsidRPr="003A2F86">
        <w:rPr>
          <w:rFonts w:ascii="Arial" w:hAnsi="Arial" w:cs="Arial"/>
        </w:rPr>
        <w:t xml:space="preserve">: </w:t>
      </w:r>
      <w:r w:rsidR="00407A28" w:rsidRPr="00277540">
        <w:rPr>
          <w:rFonts w:ascii="Arial" w:hAnsi="Arial" w:cs="Arial"/>
          <w:color w:val="1F497D" w:themeColor="text2"/>
        </w:rPr>
        <w:t xml:space="preserve">Općina </w:t>
      </w:r>
      <w:r w:rsidR="00407A28" w:rsidRPr="003A2F86">
        <w:rPr>
          <w:rFonts w:ascii="Arial" w:hAnsi="Arial" w:cs="Arial"/>
        </w:rPr>
        <w:t xml:space="preserve">i </w:t>
      </w:r>
      <w:r w:rsidR="00487F1B" w:rsidRPr="003A2F86">
        <w:rPr>
          <w:rFonts w:ascii="Arial" w:hAnsi="Arial" w:cs="Arial"/>
        </w:rPr>
        <w:t xml:space="preserve">zbirno </w:t>
      </w:r>
      <w:r w:rsidR="00407A28" w:rsidRPr="00277540">
        <w:rPr>
          <w:rFonts w:ascii="Arial" w:hAnsi="Arial" w:cs="Arial"/>
          <w:color w:val="943634" w:themeColor="accent2" w:themeShade="BF"/>
        </w:rPr>
        <w:t xml:space="preserve">proračunski korisnici </w:t>
      </w:r>
      <w:r w:rsidR="00407A28" w:rsidRPr="003A2F86">
        <w:rPr>
          <w:rFonts w:ascii="Arial" w:hAnsi="Arial" w:cs="Arial"/>
        </w:rPr>
        <w:t>Općine (PK)</w:t>
      </w:r>
      <w:bookmarkEnd w:id="159"/>
    </w:p>
    <w:p w14:paraId="3B0E2D4B" w14:textId="6A96C865" w:rsidR="00630AE2" w:rsidRPr="003A2F86" w:rsidRDefault="00630AE2" w:rsidP="00630AE2">
      <w:pPr>
        <w:autoSpaceDE w:val="0"/>
        <w:autoSpaceDN w:val="0"/>
        <w:adjustRightInd w:val="0"/>
        <w:spacing w:after="0" w:line="240" w:lineRule="auto"/>
        <w:jc w:val="both"/>
        <w:rPr>
          <w:rFonts w:ascii="Arial" w:eastAsia="Times New Roman" w:hAnsi="Arial" w:cs="Arial"/>
        </w:rPr>
      </w:pPr>
    </w:p>
    <w:p w14:paraId="326C3FB6" w14:textId="581BE01B" w:rsidR="001C3D95" w:rsidRPr="003A2F86" w:rsidRDefault="00B70EAA" w:rsidP="00B70EAA">
      <w:pPr>
        <w:pStyle w:val="Opisslike"/>
        <w:rPr>
          <w:rFonts w:ascii="Arial" w:hAnsi="Arial" w:cs="Arial"/>
        </w:rPr>
      </w:pPr>
      <w:bookmarkStart w:id="160" w:name="_Toc232981574"/>
      <w:r w:rsidRPr="003A2F86">
        <w:rPr>
          <w:rFonts w:ascii="Arial" w:hAnsi="Arial" w:cs="Arial"/>
          <w:iCs/>
          <w:noProof/>
          <w:color w:val="FF0000"/>
          <w:lang w:eastAsia="hr-HR"/>
        </w:rPr>
        <w:drawing>
          <wp:anchor distT="0" distB="0" distL="114300" distR="114300" simplePos="0" relativeHeight="251664384" behindDoc="0" locked="0" layoutInCell="1" allowOverlap="1" wp14:anchorId="6E2C9B00" wp14:editId="4B571D55">
            <wp:simplePos x="0" y="0"/>
            <wp:positionH relativeFrom="column">
              <wp:posOffset>-299085</wp:posOffset>
            </wp:positionH>
            <wp:positionV relativeFrom="paragraph">
              <wp:posOffset>147955</wp:posOffset>
            </wp:positionV>
            <wp:extent cx="9515475" cy="2297430"/>
            <wp:effectExtent l="0" t="0" r="9525" b="7620"/>
            <wp:wrapSquare wrapText="bothSides"/>
            <wp:docPr id="768" name="Grafikon 768"/>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14:sizeRelH relativeFrom="margin">
              <wp14:pctWidth>0</wp14:pctWidth>
            </wp14:sizeRelH>
            <wp14:sizeRelV relativeFrom="margin">
              <wp14:pctHeight>0</wp14:pctHeight>
            </wp14:sizeRelV>
          </wp:anchor>
        </w:drawing>
      </w:r>
      <w:r w:rsidR="00407A28" w:rsidRPr="003A2F86">
        <w:rPr>
          <w:color w:val="FF0000"/>
        </w:rPr>
        <w:t xml:space="preserve">Graf </w:t>
      </w:r>
      <w:r w:rsidR="00407A28" w:rsidRPr="003A2F86">
        <w:rPr>
          <w:color w:val="FF0000"/>
        </w:rPr>
        <w:fldChar w:fldCharType="begin"/>
      </w:r>
      <w:r w:rsidR="00407A28" w:rsidRPr="003A2F86">
        <w:rPr>
          <w:color w:val="FF0000"/>
        </w:rPr>
        <w:instrText xml:space="preserve"> SEQ Graf \* ARABIC </w:instrText>
      </w:r>
      <w:r w:rsidR="00407A28" w:rsidRPr="003A2F86">
        <w:rPr>
          <w:color w:val="FF0000"/>
        </w:rPr>
        <w:fldChar w:fldCharType="separate"/>
      </w:r>
      <w:r w:rsidR="00A821D8">
        <w:rPr>
          <w:noProof/>
          <w:color w:val="FF0000"/>
        </w:rPr>
        <w:t>14</w:t>
      </w:r>
      <w:r w:rsidR="00407A28" w:rsidRPr="003A2F86">
        <w:rPr>
          <w:color w:val="FF0000"/>
        </w:rPr>
        <w:fldChar w:fldCharType="end"/>
      </w:r>
      <w:r w:rsidR="00407A28" w:rsidRPr="003A2F86">
        <w:rPr>
          <w:color w:val="FF0000"/>
        </w:rPr>
        <w:t xml:space="preserve">.: </w:t>
      </w:r>
      <w:r w:rsidR="00407A28" w:rsidRPr="003A2F86">
        <w:rPr>
          <w:rFonts w:ascii="Arial" w:hAnsi="Arial" w:cs="Arial"/>
        </w:rPr>
        <w:t xml:space="preserve">Struktura izvršenih </w:t>
      </w:r>
      <w:r w:rsidR="00407A28" w:rsidRPr="003A2F86">
        <w:rPr>
          <w:rFonts w:ascii="Arial" w:hAnsi="Arial" w:cs="Arial"/>
          <w:u w:val="single"/>
        </w:rPr>
        <w:t>rashoda za zaposlene (31)</w:t>
      </w:r>
      <w:r w:rsidR="00407A28" w:rsidRPr="003A2F86">
        <w:rPr>
          <w:rFonts w:ascii="Arial" w:hAnsi="Arial" w:cs="Arial"/>
        </w:rPr>
        <w:t xml:space="preserve"> u </w:t>
      </w:r>
      <w:r w:rsidR="0032026B" w:rsidRPr="003A2F86">
        <w:rPr>
          <w:rFonts w:ascii="Arial" w:hAnsi="Arial" w:cs="Arial"/>
        </w:rPr>
        <w:t>202</w:t>
      </w:r>
      <w:r w:rsidR="003E1F8C">
        <w:rPr>
          <w:rFonts w:ascii="Arial" w:hAnsi="Arial" w:cs="Arial"/>
        </w:rPr>
        <w:t>5</w:t>
      </w:r>
      <w:r w:rsidR="00407A28" w:rsidRPr="003A2F86">
        <w:rPr>
          <w:rFonts w:ascii="Arial" w:hAnsi="Arial" w:cs="Arial"/>
        </w:rPr>
        <w:t>. po korisnicima</w:t>
      </w:r>
      <w:r w:rsidR="00917E83" w:rsidRPr="003A2F86">
        <w:rPr>
          <w:rFonts w:ascii="Arial" w:hAnsi="Arial" w:cs="Arial"/>
        </w:rPr>
        <w:t xml:space="preserve"> </w:t>
      </w:r>
      <w:r w:rsidR="00407A28" w:rsidRPr="003A2F86">
        <w:rPr>
          <w:rFonts w:ascii="Arial" w:hAnsi="Arial" w:cs="Arial"/>
        </w:rPr>
        <w:t xml:space="preserve">– </w:t>
      </w:r>
      <w:r w:rsidR="00407A28" w:rsidRPr="003823C8">
        <w:rPr>
          <w:rFonts w:ascii="Arial" w:hAnsi="Arial" w:cs="Arial"/>
          <w:color w:val="1F497D" w:themeColor="text2"/>
        </w:rPr>
        <w:t xml:space="preserve">Općina </w:t>
      </w:r>
      <w:r w:rsidR="00407A28" w:rsidRPr="003A2F86">
        <w:rPr>
          <w:rFonts w:ascii="Arial" w:hAnsi="Arial" w:cs="Arial"/>
        </w:rPr>
        <w:t xml:space="preserve">i </w:t>
      </w:r>
      <w:r w:rsidR="00407A28" w:rsidRPr="003823C8">
        <w:rPr>
          <w:rFonts w:ascii="Arial" w:hAnsi="Arial" w:cs="Arial"/>
          <w:color w:val="943634" w:themeColor="accent2" w:themeShade="BF"/>
        </w:rPr>
        <w:t>proračunski korisnici</w:t>
      </w:r>
      <w:r w:rsidR="00487F1B" w:rsidRPr="003823C8">
        <w:rPr>
          <w:rFonts w:ascii="Arial" w:hAnsi="Arial" w:cs="Arial"/>
          <w:color w:val="943634" w:themeColor="accent2" w:themeShade="BF"/>
        </w:rPr>
        <w:t xml:space="preserve"> </w:t>
      </w:r>
      <w:r w:rsidR="00487F1B" w:rsidRPr="003A2F86">
        <w:rPr>
          <w:rFonts w:ascii="Arial" w:hAnsi="Arial" w:cs="Arial"/>
        </w:rPr>
        <w:t>zbirno i pojedinačno</w:t>
      </w:r>
      <w:bookmarkEnd w:id="160"/>
    </w:p>
    <w:p w14:paraId="614DEF82" w14:textId="255291DE" w:rsidR="005F7259" w:rsidRPr="003A2F86" w:rsidRDefault="005F7259" w:rsidP="00891119">
      <w:pPr>
        <w:spacing w:after="0" w:line="240" w:lineRule="auto"/>
        <w:jc w:val="both"/>
        <w:rPr>
          <w:rFonts w:ascii="Arial" w:eastAsia="Times New Roman" w:hAnsi="Arial" w:cs="Arial"/>
          <w:b/>
          <w:lang w:eastAsia="en-US"/>
        </w:rPr>
      </w:pPr>
    </w:p>
    <w:p w14:paraId="1809130D" w14:textId="47F45A66" w:rsidR="00891119" w:rsidRPr="003A2F86" w:rsidRDefault="002B2168" w:rsidP="002B2168">
      <w:pPr>
        <w:pStyle w:val="Naslov4"/>
        <w:rPr>
          <w:rFonts w:ascii="Arial" w:hAnsi="Arial" w:cs="Arial"/>
          <w:lang w:val="hr-HR"/>
        </w:rPr>
      </w:pPr>
      <w:bookmarkStart w:id="161" w:name="_Toc232981395"/>
      <w:r w:rsidRPr="003A2F86">
        <w:rPr>
          <w:rFonts w:ascii="Arial" w:hAnsi="Arial" w:cs="Arial"/>
          <w:lang w:val="hr-HR"/>
        </w:rPr>
        <w:t>2.4.3</w:t>
      </w:r>
      <w:r w:rsidR="00891119" w:rsidRPr="003A2F86">
        <w:rPr>
          <w:rFonts w:ascii="Arial" w:hAnsi="Arial" w:cs="Arial"/>
          <w:lang w:val="hr-HR"/>
        </w:rPr>
        <w:t xml:space="preserve">.2. </w:t>
      </w:r>
      <w:r w:rsidR="00891119" w:rsidRPr="003A2F86">
        <w:rPr>
          <w:rFonts w:ascii="Arial" w:hAnsi="Arial" w:cs="Arial"/>
          <w:lang w:val="hr-HR"/>
        </w:rPr>
        <w:tab/>
        <w:t>Materijalni rashodi</w:t>
      </w:r>
      <w:r w:rsidR="00D3435A" w:rsidRPr="003A2F86">
        <w:rPr>
          <w:rFonts w:ascii="Arial" w:hAnsi="Arial" w:cs="Arial"/>
          <w:lang w:val="hr-HR"/>
        </w:rPr>
        <w:t xml:space="preserve"> (32)</w:t>
      </w:r>
      <w:bookmarkEnd w:id="161"/>
    </w:p>
    <w:p w14:paraId="2F2CA447" w14:textId="25400AED" w:rsidR="00891119" w:rsidRPr="003A2F86" w:rsidRDefault="00891119" w:rsidP="00343DA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1913A19C" w14:textId="77777777" w:rsidR="00CE04DC" w:rsidRPr="00CE04DC" w:rsidRDefault="00CE04DC" w:rsidP="00CE04D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162" w:name="_Hlk114740586"/>
      <w:r w:rsidRPr="00CE04DC">
        <w:rPr>
          <w:rFonts w:ascii="Arial" w:eastAsia="Times New Roman" w:hAnsi="Arial" w:cs="Arial"/>
          <w:b/>
          <w:iCs/>
        </w:rPr>
        <w:t>Materijalni rashodi</w:t>
      </w:r>
      <w:r w:rsidRPr="00CE04DC">
        <w:rPr>
          <w:rFonts w:ascii="Arial" w:eastAsia="Times New Roman" w:hAnsi="Arial" w:cs="Arial"/>
          <w:iCs/>
        </w:rPr>
        <w:t xml:space="preserve"> (32) izvršeni su u iznosu </w:t>
      </w:r>
      <w:bookmarkStart w:id="163" w:name="_Hlk230347474"/>
      <w:r w:rsidRPr="00CE04DC">
        <w:rPr>
          <w:rFonts w:ascii="Arial" w:eastAsia="Times New Roman" w:hAnsi="Arial" w:cs="Arial"/>
          <w:iCs/>
        </w:rPr>
        <w:t xml:space="preserve">6.024.604,26 € što je za 499.035,91 € ili 9% više </w:t>
      </w:r>
      <w:bookmarkEnd w:id="163"/>
      <w:r w:rsidRPr="00CE04DC">
        <w:rPr>
          <w:rFonts w:ascii="Arial" w:eastAsia="Times New Roman" w:hAnsi="Arial" w:cs="Arial"/>
          <w:iCs/>
        </w:rPr>
        <w:t>u odnosu na prethodnu godinu Rashodi se izvršavaju u većem obimu posebice kroz program održavanja komunalne infrastrukture.</w:t>
      </w:r>
    </w:p>
    <w:p w14:paraId="79A51908" w14:textId="77777777" w:rsidR="002E769C" w:rsidRPr="002E769C" w:rsidRDefault="002E769C" w:rsidP="002E769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iCs/>
        </w:rPr>
      </w:pPr>
    </w:p>
    <w:p w14:paraId="4EABC234" w14:textId="1778DC03" w:rsidR="00CE04DC" w:rsidRPr="00CE04DC" w:rsidRDefault="00CE04DC" w:rsidP="00CE04D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color w:val="004F88"/>
        </w:rPr>
      </w:pPr>
      <w:r w:rsidRPr="00CE04DC">
        <w:rPr>
          <w:rFonts w:ascii="Arial" w:eastAsia="Times New Roman" w:hAnsi="Arial" w:cs="Arial"/>
          <w:iCs/>
          <w:color w:val="004F88"/>
        </w:rPr>
        <w:t xml:space="preserve">Na rashode Općine odnosi se </w:t>
      </w:r>
      <w:bookmarkStart w:id="164" w:name="_Hlk230347487"/>
      <w:r w:rsidRPr="00CE04DC">
        <w:rPr>
          <w:rFonts w:ascii="Arial" w:eastAsia="Times New Roman" w:hAnsi="Arial" w:cs="Arial"/>
          <w:iCs/>
          <w:color w:val="004F88"/>
        </w:rPr>
        <w:t>4.722.667,49 € ili 78,4</w:t>
      </w:r>
      <w:bookmarkEnd w:id="164"/>
      <w:r w:rsidRPr="00CE04DC">
        <w:rPr>
          <w:rFonts w:ascii="Arial" w:eastAsia="Times New Roman" w:hAnsi="Arial" w:cs="Arial"/>
          <w:iCs/>
          <w:color w:val="004F88"/>
        </w:rPr>
        <w:t xml:space="preserve">%, a na proračunske korisnike </w:t>
      </w:r>
      <w:bookmarkStart w:id="165" w:name="_Hlk230347499"/>
      <w:r w:rsidRPr="00CE04DC">
        <w:rPr>
          <w:rFonts w:ascii="Arial" w:eastAsia="Times New Roman" w:hAnsi="Arial" w:cs="Arial"/>
          <w:iCs/>
          <w:color w:val="004F88"/>
        </w:rPr>
        <w:t>1</w:t>
      </w:r>
      <w:r>
        <w:rPr>
          <w:rFonts w:ascii="Arial" w:eastAsia="Times New Roman" w:hAnsi="Arial" w:cs="Arial"/>
          <w:iCs/>
          <w:color w:val="004F88"/>
        </w:rPr>
        <w:t>.</w:t>
      </w:r>
      <w:r w:rsidRPr="00CE04DC">
        <w:rPr>
          <w:rFonts w:ascii="Arial" w:eastAsia="Times New Roman" w:hAnsi="Arial" w:cs="Arial"/>
          <w:iCs/>
          <w:color w:val="004F88"/>
        </w:rPr>
        <w:t>301.936,77 € ili 21,6</w:t>
      </w:r>
      <w:bookmarkEnd w:id="165"/>
      <w:r w:rsidRPr="00CE04DC">
        <w:rPr>
          <w:rFonts w:ascii="Arial" w:eastAsia="Times New Roman" w:hAnsi="Arial" w:cs="Arial"/>
          <w:iCs/>
          <w:color w:val="004F88"/>
        </w:rPr>
        <w:t xml:space="preserve">% ukupnih materijalnih rashoda (32, razina 23). </w:t>
      </w:r>
    </w:p>
    <w:p w14:paraId="61058707" w14:textId="77777777" w:rsidR="00D04104" w:rsidRPr="003A2F86" w:rsidRDefault="00D04104" w:rsidP="00343DA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iCs/>
        </w:rPr>
      </w:pPr>
    </w:p>
    <w:p w14:paraId="0EFEFC8F" w14:textId="530BADB6" w:rsidR="00CE04DC" w:rsidRPr="00CE04DC" w:rsidRDefault="00CE04DC" w:rsidP="00CE04D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166" w:name="_Hlk133404756"/>
      <w:r w:rsidRPr="00CE04DC">
        <w:rPr>
          <w:rFonts w:ascii="Arial" w:eastAsia="Times New Roman" w:hAnsi="Arial" w:cs="Arial"/>
        </w:rPr>
        <w:t xml:space="preserve">U okviru materijalnih rashoda (32) najznačajniji rashodi Općine se odnose na rashode iz programa održavanja komunalne infrastrukture (komunalne usluge, usluge tekućeg i investicijskog održavanja) u iznosu </w:t>
      </w:r>
      <w:bookmarkStart w:id="167" w:name="_Hlk230347556"/>
      <w:r w:rsidRPr="00CE04DC">
        <w:rPr>
          <w:rFonts w:ascii="Arial" w:eastAsia="Times New Roman" w:hAnsi="Arial" w:cs="Arial"/>
        </w:rPr>
        <w:t xml:space="preserve">2.346.025,35 </w:t>
      </w:r>
      <w:bookmarkEnd w:id="167"/>
      <w:r w:rsidRPr="00CE04DC">
        <w:rPr>
          <w:rFonts w:ascii="Arial" w:eastAsia="Times New Roman" w:hAnsi="Arial" w:cs="Arial"/>
        </w:rPr>
        <w:t xml:space="preserve">€. </w:t>
      </w:r>
      <w:r>
        <w:rPr>
          <w:rFonts w:ascii="Arial" w:eastAsia="Times New Roman" w:hAnsi="Arial" w:cs="Arial"/>
        </w:rPr>
        <w:t>Veći rashodi</w:t>
      </w:r>
      <w:r w:rsidRPr="00CE04DC">
        <w:rPr>
          <w:rFonts w:ascii="Arial" w:eastAsia="Times New Roman" w:hAnsi="Arial" w:cs="Arial"/>
        </w:rPr>
        <w:t xml:space="preserve"> iz programa održavanja komunalne infrastrukture </w:t>
      </w:r>
      <w:r>
        <w:rPr>
          <w:rFonts w:ascii="Arial" w:eastAsia="Times New Roman" w:hAnsi="Arial" w:cs="Arial"/>
        </w:rPr>
        <w:t>su</w:t>
      </w:r>
      <w:r w:rsidRPr="00CE04DC">
        <w:rPr>
          <w:rFonts w:ascii="Arial" w:eastAsia="Times New Roman" w:hAnsi="Arial" w:cs="Arial"/>
        </w:rPr>
        <w:t xml:space="preserve"> utjecal</w:t>
      </w:r>
      <w:r>
        <w:rPr>
          <w:rFonts w:ascii="Arial" w:eastAsia="Times New Roman" w:hAnsi="Arial" w:cs="Arial"/>
        </w:rPr>
        <w:t>i</w:t>
      </w:r>
      <w:r w:rsidRPr="00CE04DC">
        <w:rPr>
          <w:rFonts w:ascii="Arial" w:eastAsia="Times New Roman" w:hAnsi="Arial" w:cs="Arial"/>
        </w:rPr>
        <w:t xml:space="preserve"> na povećanje troškova u odnosu na prethodnu godinu.</w:t>
      </w:r>
    </w:p>
    <w:p w14:paraId="64CAC733" w14:textId="672BAD93" w:rsidR="00CE04DC" w:rsidRPr="00CE04DC" w:rsidRDefault="00CE04DC" w:rsidP="00CE04D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50CEA560" w14:textId="77777777" w:rsidR="00CE04DC" w:rsidRPr="00CE04DC" w:rsidRDefault="00CE04DC" w:rsidP="00CE04D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CE04DC">
        <w:rPr>
          <w:rFonts w:ascii="Arial" w:eastAsia="Times New Roman" w:hAnsi="Arial" w:cs="Arial"/>
        </w:rPr>
        <w:t xml:space="preserve">U okviru materijalnih rashoda (32) najznačajniji rashodi proračunskih korisnika se odnose na nabavu namirnica za prehranu djece u dječjem vrtiću i prehranu starijih osoba u domu za starije i nemoćne osobe u iznosu </w:t>
      </w:r>
      <w:bookmarkStart w:id="168" w:name="_Hlk230347577"/>
      <w:r w:rsidRPr="00CE04DC">
        <w:rPr>
          <w:rFonts w:ascii="Arial" w:eastAsia="Times New Roman" w:hAnsi="Arial" w:cs="Arial"/>
        </w:rPr>
        <w:t xml:space="preserve">290.047,20 </w:t>
      </w:r>
      <w:bookmarkEnd w:id="168"/>
      <w:r w:rsidRPr="00CE04DC">
        <w:rPr>
          <w:rFonts w:ascii="Arial" w:eastAsia="Times New Roman" w:hAnsi="Arial" w:cs="Arial"/>
        </w:rPr>
        <w:t>€.</w:t>
      </w:r>
    </w:p>
    <w:p w14:paraId="22AB3655" w14:textId="77777777" w:rsidR="00CE04DC" w:rsidRPr="00CE04DC" w:rsidRDefault="00CE04DC" w:rsidP="00CE04D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bookmarkEnd w:id="166"/>
    <w:p w14:paraId="08B932F9" w14:textId="77777777" w:rsidR="008F2BF6" w:rsidRPr="003A2F86" w:rsidRDefault="008F2BF6" w:rsidP="00D0410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iCs/>
        </w:rPr>
      </w:pPr>
    </w:p>
    <w:p w14:paraId="4D35540C" w14:textId="73799DEF" w:rsidR="00D35EA9" w:rsidRPr="003A2F86" w:rsidRDefault="00407A28" w:rsidP="00407A28">
      <w:pPr>
        <w:pStyle w:val="Opisslike"/>
        <w:rPr>
          <w:rFonts w:ascii="Arial" w:hAnsi="Arial" w:cs="Arial"/>
        </w:rPr>
      </w:pPr>
      <w:bookmarkStart w:id="169" w:name="_Toc232981575"/>
      <w:bookmarkEnd w:id="162"/>
      <w:r w:rsidRPr="003A2F86">
        <w:rPr>
          <w:color w:val="FF0000"/>
        </w:rPr>
        <w:t xml:space="preserve">Graf </w:t>
      </w:r>
      <w:r w:rsidRPr="003A2F86">
        <w:rPr>
          <w:color w:val="FF0000"/>
        </w:rPr>
        <w:fldChar w:fldCharType="begin"/>
      </w:r>
      <w:r w:rsidRPr="003A2F86">
        <w:rPr>
          <w:color w:val="FF0000"/>
        </w:rPr>
        <w:instrText xml:space="preserve"> SEQ Graf \* ARABIC </w:instrText>
      </w:r>
      <w:r w:rsidRPr="003A2F86">
        <w:rPr>
          <w:color w:val="FF0000"/>
        </w:rPr>
        <w:fldChar w:fldCharType="separate"/>
      </w:r>
      <w:r w:rsidR="00A821D8">
        <w:rPr>
          <w:noProof/>
          <w:color w:val="FF0000"/>
        </w:rPr>
        <w:t>15</w:t>
      </w:r>
      <w:r w:rsidRPr="003A2F86">
        <w:rPr>
          <w:color w:val="FF0000"/>
        </w:rPr>
        <w:fldChar w:fldCharType="end"/>
      </w:r>
      <w:r w:rsidRPr="003A2F86">
        <w:rPr>
          <w:color w:val="FF0000"/>
        </w:rPr>
        <w:t xml:space="preserve">.: </w:t>
      </w:r>
      <w:r w:rsidRPr="003A2F86">
        <w:rPr>
          <w:rFonts w:ascii="Arial" w:hAnsi="Arial" w:cs="Arial"/>
        </w:rPr>
        <w:t xml:space="preserve">Struktura izvršenih </w:t>
      </w:r>
      <w:r w:rsidRPr="003A2F86">
        <w:rPr>
          <w:rFonts w:ascii="Arial" w:hAnsi="Arial" w:cs="Arial"/>
          <w:u w:val="single"/>
        </w:rPr>
        <w:t>materijalnih rashoda (32</w:t>
      </w:r>
      <w:r w:rsidRPr="003A2F86">
        <w:rPr>
          <w:rFonts w:ascii="Arial" w:hAnsi="Arial" w:cs="Arial"/>
          <w:u w:val="double"/>
        </w:rPr>
        <w:t>)</w:t>
      </w:r>
      <w:r w:rsidRPr="003A2F86">
        <w:rPr>
          <w:rFonts w:ascii="Arial" w:hAnsi="Arial" w:cs="Arial"/>
        </w:rPr>
        <w:t xml:space="preserve"> u razdoblju 2015.-20</w:t>
      </w:r>
      <w:r w:rsidR="0011498B" w:rsidRPr="003A2F86">
        <w:rPr>
          <w:rFonts w:ascii="Arial" w:hAnsi="Arial" w:cs="Arial"/>
        </w:rPr>
        <w:t>2</w:t>
      </w:r>
      <w:r w:rsidR="00CE04DC">
        <w:rPr>
          <w:rFonts w:ascii="Arial" w:hAnsi="Arial" w:cs="Arial"/>
        </w:rPr>
        <w:t>5</w:t>
      </w:r>
      <w:r w:rsidR="00A9558A" w:rsidRPr="003A2F86">
        <w:rPr>
          <w:rFonts w:ascii="Arial" w:hAnsi="Arial" w:cs="Arial"/>
        </w:rPr>
        <w:t xml:space="preserve">. </w:t>
      </w:r>
      <w:r w:rsidR="00567125" w:rsidRPr="003A2F86">
        <w:rPr>
          <w:rFonts w:ascii="Arial" w:hAnsi="Arial" w:cs="Arial"/>
        </w:rPr>
        <w:t>(€)</w:t>
      </w:r>
      <w:r w:rsidRPr="003A2F86">
        <w:rPr>
          <w:rFonts w:ascii="Arial" w:hAnsi="Arial" w:cs="Arial"/>
        </w:rPr>
        <w:t xml:space="preserve">: </w:t>
      </w:r>
      <w:r w:rsidRPr="00616BAC">
        <w:rPr>
          <w:rFonts w:ascii="Arial" w:hAnsi="Arial" w:cs="Arial"/>
          <w:color w:val="1F497D" w:themeColor="text2"/>
        </w:rPr>
        <w:t xml:space="preserve">Općina </w:t>
      </w:r>
      <w:r w:rsidRPr="003A2F86">
        <w:rPr>
          <w:rFonts w:ascii="Arial" w:hAnsi="Arial" w:cs="Arial"/>
        </w:rPr>
        <w:t xml:space="preserve">i </w:t>
      </w:r>
      <w:r w:rsidR="001D482D" w:rsidRPr="003A2F86">
        <w:rPr>
          <w:rFonts w:ascii="Arial" w:hAnsi="Arial" w:cs="Arial"/>
        </w:rPr>
        <w:t xml:space="preserve">zbirno </w:t>
      </w:r>
      <w:r w:rsidRPr="00616BAC">
        <w:rPr>
          <w:rFonts w:ascii="Arial" w:hAnsi="Arial" w:cs="Arial"/>
          <w:color w:val="943634" w:themeColor="accent2" w:themeShade="BF"/>
        </w:rPr>
        <w:t xml:space="preserve">proračunski korisnici </w:t>
      </w:r>
      <w:r w:rsidRPr="003A2F86">
        <w:rPr>
          <w:rFonts w:ascii="Arial" w:hAnsi="Arial" w:cs="Arial"/>
        </w:rPr>
        <w:t>Općine (PK)</w:t>
      </w:r>
      <w:bookmarkEnd w:id="169"/>
    </w:p>
    <w:p w14:paraId="47FEA067" w14:textId="136E27ED" w:rsidR="00D35EA9" w:rsidRPr="003A2F86" w:rsidRDefault="00FD482B" w:rsidP="00D35EA9">
      <w:pPr>
        <w:autoSpaceDE w:val="0"/>
        <w:autoSpaceDN w:val="0"/>
        <w:adjustRightInd w:val="0"/>
        <w:spacing w:after="0" w:line="240" w:lineRule="auto"/>
        <w:jc w:val="both"/>
        <w:rPr>
          <w:rFonts w:ascii="Arial" w:eastAsia="Times New Roman" w:hAnsi="Arial" w:cs="Arial"/>
        </w:rPr>
      </w:pPr>
      <w:r w:rsidRPr="003A2F86">
        <w:rPr>
          <w:noProof/>
        </w:rPr>
        <w:drawing>
          <wp:anchor distT="0" distB="0" distL="114300" distR="114300" simplePos="0" relativeHeight="251631616" behindDoc="0" locked="0" layoutInCell="1" allowOverlap="1" wp14:anchorId="6E45521C" wp14:editId="2E70E722">
            <wp:simplePos x="0" y="0"/>
            <wp:positionH relativeFrom="column">
              <wp:posOffset>130700</wp:posOffset>
            </wp:positionH>
            <wp:positionV relativeFrom="paragraph">
              <wp:posOffset>17007</wp:posOffset>
            </wp:positionV>
            <wp:extent cx="9237345" cy="3000375"/>
            <wp:effectExtent l="0" t="0" r="0" b="0"/>
            <wp:wrapTopAndBottom/>
            <wp:docPr id="738" name="Chart 7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14:sizeRelH relativeFrom="page">
              <wp14:pctWidth>0</wp14:pctWidth>
            </wp14:sizeRelH>
            <wp14:sizeRelV relativeFrom="page">
              <wp14:pctHeight>0</wp14:pctHeight>
            </wp14:sizeRelV>
          </wp:anchor>
        </w:drawing>
      </w:r>
    </w:p>
    <w:p w14:paraId="4F946488" w14:textId="77777777" w:rsidR="00463C67" w:rsidRDefault="00463C67" w:rsidP="0085759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4A4D7C59" w14:textId="54A37233" w:rsidR="00500BE9" w:rsidRPr="003A2F86" w:rsidRDefault="00891119" w:rsidP="0085759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Na</w:t>
      </w:r>
      <w:r w:rsidR="00A8623C" w:rsidRPr="003A2F86">
        <w:rPr>
          <w:rFonts w:ascii="Arial" w:eastAsia="Times New Roman" w:hAnsi="Arial" w:cs="Arial"/>
        </w:rPr>
        <w:t>kn</w:t>
      </w:r>
      <w:r w:rsidRPr="003A2F86">
        <w:rPr>
          <w:rFonts w:ascii="Arial" w:eastAsia="Times New Roman" w:hAnsi="Arial" w:cs="Arial"/>
        </w:rPr>
        <w:t xml:space="preserve">ade troškova zaposlenima (321) izvršene su u iznosu </w:t>
      </w:r>
      <w:r w:rsidR="005F4447">
        <w:rPr>
          <w:rFonts w:ascii="Arial" w:eastAsia="Times New Roman" w:hAnsi="Arial" w:cs="Arial"/>
        </w:rPr>
        <w:t>245.202,30</w:t>
      </w:r>
      <w:r w:rsidR="001930F3" w:rsidRPr="003A2F86">
        <w:rPr>
          <w:rFonts w:ascii="Arial" w:eastAsia="Times New Roman" w:hAnsi="Arial" w:cs="Arial"/>
        </w:rPr>
        <w:t xml:space="preserve"> €</w:t>
      </w:r>
      <w:r w:rsidRPr="003A2F86">
        <w:rPr>
          <w:rFonts w:ascii="Arial" w:eastAsia="Times New Roman" w:hAnsi="Arial" w:cs="Arial"/>
        </w:rPr>
        <w:t xml:space="preserve"> što je za </w:t>
      </w:r>
      <w:r w:rsidR="005F4447">
        <w:rPr>
          <w:rFonts w:ascii="Arial" w:eastAsia="Times New Roman" w:hAnsi="Arial" w:cs="Arial"/>
        </w:rPr>
        <w:t>11.506,74</w:t>
      </w:r>
      <w:r w:rsidR="001930F3" w:rsidRPr="003A2F86">
        <w:rPr>
          <w:rFonts w:ascii="Arial" w:eastAsia="Times New Roman" w:hAnsi="Arial" w:cs="Arial"/>
        </w:rPr>
        <w:t xml:space="preserve"> €</w:t>
      </w:r>
      <w:r w:rsidRPr="003A2F86">
        <w:rPr>
          <w:rFonts w:ascii="Arial" w:eastAsia="Times New Roman" w:hAnsi="Arial" w:cs="Arial"/>
        </w:rPr>
        <w:t xml:space="preserve"> ili </w:t>
      </w:r>
      <w:r w:rsidR="005F4447">
        <w:rPr>
          <w:rFonts w:ascii="Arial" w:eastAsia="Times New Roman" w:hAnsi="Arial" w:cs="Arial"/>
        </w:rPr>
        <w:t>4,9</w:t>
      </w:r>
      <w:r w:rsidRPr="003A2F86">
        <w:rPr>
          <w:rFonts w:ascii="Arial" w:eastAsia="Times New Roman" w:hAnsi="Arial" w:cs="Arial"/>
        </w:rPr>
        <w:t xml:space="preserve">% </w:t>
      </w:r>
      <w:r w:rsidR="001930F3" w:rsidRPr="003A2F86">
        <w:rPr>
          <w:rFonts w:ascii="Arial" w:eastAsia="Times New Roman" w:hAnsi="Arial" w:cs="Arial"/>
        </w:rPr>
        <w:t>više</w:t>
      </w:r>
      <w:r w:rsidRPr="003A2F86">
        <w:rPr>
          <w:rFonts w:ascii="Arial" w:eastAsia="Times New Roman" w:hAnsi="Arial" w:cs="Arial"/>
        </w:rPr>
        <w:t xml:space="preserve"> nego </w:t>
      </w:r>
      <w:r w:rsidR="009E612D">
        <w:rPr>
          <w:rFonts w:ascii="Arial" w:eastAsia="Times New Roman" w:hAnsi="Arial" w:cs="Arial"/>
        </w:rPr>
        <w:t xml:space="preserve">u istom razdoblju </w:t>
      </w:r>
      <w:r w:rsidRPr="003A2F86">
        <w:rPr>
          <w:rFonts w:ascii="Arial" w:eastAsia="Times New Roman" w:hAnsi="Arial" w:cs="Arial"/>
        </w:rPr>
        <w:t xml:space="preserve">prethodne godine. </w:t>
      </w:r>
      <w:r w:rsidRPr="003A2F86">
        <w:rPr>
          <w:rFonts w:ascii="Arial" w:eastAsia="Times New Roman" w:hAnsi="Arial" w:cs="Arial"/>
          <w:iCs/>
        </w:rPr>
        <w:t>Ove na</w:t>
      </w:r>
      <w:r w:rsidR="00A8623C" w:rsidRPr="003A2F86">
        <w:rPr>
          <w:rFonts w:ascii="Arial" w:eastAsia="Times New Roman" w:hAnsi="Arial" w:cs="Arial"/>
          <w:iCs/>
        </w:rPr>
        <w:t>kn</w:t>
      </w:r>
      <w:r w:rsidRPr="003A2F86">
        <w:rPr>
          <w:rFonts w:ascii="Arial" w:eastAsia="Times New Roman" w:hAnsi="Arial" w:cs="Arial"/>
          <w:iCs/>
        </w:rPr>
        <w:t>ade uključuju na</w:t>
      </w:r>
      <w:r w:rsidR="00A8623C" w:rsidRPr="003A2F86">
        <w:rPr>
          <w:rFonts w:ascii="Arial" w:eastAsia="Times New Roman" w:hAnsi="Arial" w:cs="Arial"/>
          <w:iCs/>
        </w:rPr>
        <w:t>kn</w:t>
      </w:r>
      <w:r w:rsidRPr="003A2F86">
        <w:rPr>
          <w:rFonts w:ascii="Arial" w:eastAsia="Times New Roman" w:hAnsi="Arial" w:cs="Arial"/>
          <w:iCs/>
        </w:rPr>
        <w:t xml:space="preserve">ade za prijevoz na posao i s posla </w:t>
      </w:r>
      <w:r w:rsidR="005F4447">
        <w:rPr>
          <w:rFonts w:ascii="Arial" w:eastAsia="Times New Roman" w:hAnsi="Arial" w:cs="Arial"/>
          <w:iCs/>
        </w:rPr>
        <w:t>201.439,34</w:t>
      </w:r>
      <w:r w:rsidR="001930F3" w:rsidRPr="003A2F86">
        <w:rPr>
          <w:rFonts w:ascii="Arial" w:eastAsia="Times New Roman" w:hAnsi="Arial" w:cs="Arial"/>
          <w:iCs/>
        </w:rPr>
        <w:t xml:space="preserve"> €</w:t>
      </w:r>
      <w:r w:rsidRPr="003A2F86">
        <w:rPr>
          <w:rFonts w:ascii="Arial" w:eastAsia="Times New Roman" w:hAnsi="Arial" w:cs="Arial"/>
          <w:iCs/>
        </w:rPr>
        <w:t xml:space="preserve">, službena putovanja </w:t>
      </w:r>
      <w:r w:rsidR="005F4447">
        <w:rPr>
          <w:rFonts w:ascii="Arial" w:eastAsia="Times New Roman" w:hAnsi="Arial" w:cs="Arial"/>
          <w:iCs/>
        </w:rPr>
        <w:t>22.612,65</w:t>
      </w:r>
      <w:r w:rsidR="001930F3" w:rsidRPr="003A2F86">
        <w:rPr>
          <w:rFonts w:ascii="Arial" w:eastAsia="Times New Roman" w:hAnsi="Arial" w:cs="Arial"/>
          <w:iCs/>
        </w:rPr>
        <w:t xml:space="preserve"> €</w:t>
      </w:r>
      <w:r w:rsidRPr="003A2F86">
        <w:rPr>
          <w:rFonts w:ascii="Arial" w:eastAsia="Times New Roman" w:hAnsi="Arial" w:cs="Arial"/>
          <w:iCs/>
        </w:rPr>
        <w:t xml:space="preserve"> i stručno usavršavanje zaposlenika </w:t>
      </w:r>
      <w:r w:rsidR="00142066">
        <w:rPr>
          <w:rFonts w:ascii="Arial" w:eastAsia="Times New Roman" w:hAnsi="Arial" w:cs="Arial"/>
          <w:iCs/>
        </w:rPr>
        <w:t>21.151,31</w:t>
      </w:r>
      <w:r w:rsidR="001930F3" w:rsidRPr="003A2F86">
        <w:rPr>
          <w:rFonts w:ascii="Arial" w:eastAsia="Times New Roman" w:hAnsi="Arial" w:cs="Arial"/>
          <w:iCs/>
        </w:rPr>
        <w:t xml:space="preserve"> €</w:t>
      </w:r>
      <w:r w:rsidRPr="003A2F86">
        <w:rPr>
          <w:rFonts w:ascii="Arial" w:eastAsia="Times New Roman" w:hAnsi="Arial" w:cs="Arial"/>
          <w:iCs/>
        </w:rPr>
        <w:t xml:space="preserve">. </w:t>
      </w:r>
      <w:r w:rsidRPr="003A2F86">
        <w:rPr>
          <w:rFonts w:ascii="Arial" w:eastAsia="Times New Roman" w:hAnsi="Arial" w:cs="Arial"/>
          <w:iCs/>
          <w:color w:val="244061" w:themeColor="accent1" w:themeShade="80"/>
        </w:rPr>
        <w:t>Na</w:t>
      </w:r>
      <w:r w:rsidRPr="003A2F86">
        <w:rPr>
          <w:rFonts w:ascii="Arial" w:eastAsia="Times New Roman" w:hAnsi="Arial" w:cs="Arial"/>
          <w:iCs/>
          <w:color w:val="7030A0"/>
        </w:rPr>
        <w:t xml:space="preserve"> </w:t>
      </w:r>
      <w:r w:rsidRPr="003A2F86">
        <w:rPr>
          <w:rFonts w:ascii="Arial" w:eastAsia="Times New Roman" w:hAnsi="Arial" w:cs="Arial"/>
          <w:iCs/>
          <w:color w:val="244061" w:themeColor="accent1" w:themeShade="80"/>
        </w:rPr>
        <w:t xml:space="preserve">rashode Općine odnosi se </w:t>
      </w:r>
      <w:r w:rsidR="00142066">
        <w:rPr>
          <w:rFonts w:ascii="Arial" w:eastAsia="Times New Roman" w:hAnsi="Arial" w:cs="Arial"/>
          <w:iCs/>
          <w:color w:val="244061" w:themeColor="accent1" w:themeShade="80"/>
        </w:rPr>
        <w:t>56.822,52</w:t>
      </w:r>
      <w:r w:rsidR="005D1A35" w:rsidRPr="003A2F86">
        <w:rPr>
          <w:rFonts w:ascii="Arial" w:eastAsia="Times New Roman" w:hAnsi="Arial" w:cs="Arial"/>
          <w:iCs/>
          <w:color w:val="244061" w:themeColor="accent1" w:themeShade="80"/>
        </w:rPr>
        <w:t xml:space="preserve"> €</w:t>
      </w:r>
      <w:r w:rsidRPr="003A2F86">
        <w:rPr>
          <w:rFonts w:ascii="Arial" w:eastAsia="Times New Roman" w:hAnsi="Arial" w:cs="Arial"/>
          <w:iCs/>
          <w:color w:val="5F497A" w:themeColor="accent4" w:themeShade="BF"/>
        </w:rPr>
        <w:t xml:space="preserve"> </w:t>
      </w:r>
      <w:r w:rsidRPr="003A2F86">
        <w:rPr>
          <w:rFonts w:ascii="Arial" w:eastAsia="Times New Roman" w:hAnsi="Arial" w:cs="Arial"/>
          <w:iCs/>
        </w:rPr>
        <w:t>(na</w:t>
      </w:r>
      <w:r w:rsidR="00A8623C" w:rsidRPr="003A2F86">
        <w:rPr>
          <w:rFonts w:ascii="Arial" w:eastAsia="Times New Roman" w:hAnsi="Arial" w:cs="Arial"/>
          <w:iCs/>
        </w:rPr>
        <w:t>kn</w:t>
      </w:r>
      <w:r w:rsidRPr="003A2F86">
        <w:rPr>
          <w:rFonts w:ascii="Arial" w:eastAsia="Times New Roman" w:hAnsi="Arial" w:cs="Arial"/>
          <w:iCs/>
        </w:rPr>
        <w:t xml:space="preserve">ade za prijevoz na posao i s posla </w:t>
      </w:r>
      <w:r w:rsidR="00142066">
        <w:rPr>
          <w:rFonts w:ascii="Arial" w:eastAsia="Times New Roman" w:hAnsi="Arial" w:cs="Arial"/>
          <w:iCs/>
        </w:rPr>
        <w:t>40.006,36</w:t>
      </w:r>
      <w:r w:rsidR="005D1A35" w:rsidRPr="003A2F86">
        <w:rPr>
          <w:rFonts w:ascii="Arial" w:eastAsia="Times New Roman" w:hAnsi="Arial" w:cs="Arial"/>
          <w:iCs/>
        </w:rPr>
        <w:t xml:space="preserve"> €</w:t>
      </w:r>
      <w:r w:rsidRPr="003A2F86">
        <w:rPr>
          <w:rFonts w:ascii="Arial" w:eastAsia="Times New Roman" w:hAnsi="Arial" w:cs="Arial"/>
          <w:iCs/>
        </w:rPr>
        <w:t xml:space="preserve">, službena putovanja </w:t>
      </w:r>
      <w:r w:rsidR="00142066">
        <w:rPr>
          <w:rFonts w:ascii="Arial" w:eastAsia="Times New Roman" w:hAnsi="Arial" w:cs="Arial"/>
          <w:iCs/>
        </w:rPr>
        <w:t>14.271,65</w:t>
      </w:r>
      <w:r w:rsidR="005D1A35" w:rsidRPr="003A2F86">
        <w:rPr>
          <w:rFonts w:ascii="Arial" w:eastAsia="Times New Roman" w:hAnsi="Arial" w:cs="Arial"/>
          <w:iCs/>
        </w:rPr>
        <w:t xml:space="preserve"> €</w:t>
      </w:r>
      <w:r w:rsidRPr="003A2F86">
        <w:rPr>
          <w:rFonts w:ascii="Arial" w:eastAsia="Times New Roman" w:hAnsi="Arial" w:cs="Arial"/>
          <w:iCs/>
        </w:rPr>
        <w:t xml:space="preserve"> i stručno usavršavanje zaposlenika </w:t>
      </w:r>
      <w:r w:rsidR="00142066">
        <w:rPr>
          <w:rFonts w:ascii="Arial" w:eastAsia="Times New Roman" w:hAnsi="Arial" w:cs="Arial"/>
          <w:iCs/>
        </w:rPr>
        <w:t>2.544,51</w:t>
      </w:r>
      <w:r w:rsidR="005D1A35" w:rsidRPr="003A2F86">
        <w:rPr>
          <w:rFonts w:ascii="Arial" w:eastAsia="Times New Roman" w:hAnsi="Arial" w:cs="Arial"/>
          <w:iCs/>
        </w:rPr>
        <w:t xml:space="preserve"> €</w:t>
      </w:r>
      <w:r w:rsidRPr="003A2F86">
        <w:rPr>
          <w:rFonts w:ascii="Arial" w:eastAsia="Times New Roman" w:hAnsi="Arial" w:cs="Arial"/>
          <w:iCs/>
        </w:rPr>
        <w:t xml:space="preserve">) </w:t>
      </w:r>
      <w:r w:rsidRPr="003A2F86">
        <w:rPr>
          <w:rFonts w:ascii="Arial" w:eastAsia="Times New Roman" w:hAnsi="Arial" w:cs="Arial"/>
          <w:iCs/>
          <w:color w:val="1F497D" w:themeColor="text2"/>
        </w:rPr>
        <w:t xml:space="preserve">i rashode proračunskih korisnika u iznosu </w:t>
      </w:r>
      <w:r w:rsidR="00142066">
        <w:rPr>
          <w:rFonts w:ascii="Arial" w:eastAsia="Times New Roman" w:hAnsi="Arial" w:cs="Arial"/>
          <w:iCs/>
          <w:color w:val="1F497D" w:themeColor="text2"/>
        </w:rPr>
        <w:t>188.379,78</w:t>
      </w:r>
      <w:r w:rsidR="0074431A" w:rsidRPr="003A2F86">
        <w:rPr>
          <w:rFonts w:ascii="Arial" w:eastAsia="Times New Roman" w:hAnsi="Arial" w:cs="Arial"/>
          <w:iCs/>
          <w:color w:val="1F497D" w:themeColor="text2"/>
        </w:rPr>
        <w:t xml:space="preserve"> €.</w:t>
      </w:r>
    </w:p>
    <w:p w14:paraId="3630A2E0" w14:textId="77777777" w:rsidR="00D2086A" w:rsidRDefault="00D2086A"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2A0326F6" w14:textId="47226C7A" w:rsidR="00891119" w:rsidRPr="00D2086A"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color w:val="1F497D" w:themeColor="text2"/>
        </w:rPr>
      </w:pPr>
      <w:r w:rsidRPr="003A2F86">
        <w:rPr>
          <w:rFonts w:ascii="Arial" w:eastAsia="Times New Roman" w:hAnsi="Arial" w:cs="Arial"/>
        </w:rPr>
        <w:t xml:space="preserve">Rashodi za materijal i energiju (322) izvršeni su u iznosu </w:t>
      </w:r>
      <w:r w:rsidR="00142066">
        <w:rPr>
          <w:rFonts w:ascii="Arial" w:eastAsia="Times New Roman" w:hAnsi="Arial" w:cs="Arial"/>
        </w:rPr>
        <w:t>962.353,71</w:t>
      </w:r>
      <w:r w:rsidR="005D1A35" w:rsidRPr="003A2F86">
        <w:rPr>
          <w:rFonts w:ascii="Arial" w:eastAsia="Times New Roman" w:hAnsi="Arial" w:cs="Arial"/>
        </w:rPr>
        <w:t xml:space="preserve"> €</w:t>
      </w:r>
      <w:r w:rsidR="009E612D">
        <w:rPr>
          <w:rFonts w:ascii="Arial" w:eastAsia="Times New Roman" w:hAnsi="Arial" w:cs="Arial"/>
        </w:rPr>
        <w:t xml:space="preserve"> </w:t>
      </w:r>
      <w:r w:rsidR="009E612D" w:rsidRPr="009E612D">
        <w:rPr>
          <w:rFonts w:ascii="Arial" w:eastAsia="Times New Roman" w:hAnsi="Arial" w:cs="Arial"/>
        </w:rPr>
        <w:t xml:space="preserve">što je za </w:t>
      </w:r>
      <w:r w:rsidR="00142066">
        <w:rPr>
          <w:rFonts w:ascii="Arial" w:eastAsia="Times New Roman" w:hAnsi="Arial" w:cs="Arial"/>
        </w:rPr>
        <w:t>44.543,97</w:t>
      </w:r>
      <w:r w:rsidR="009E612D" w:rsidRPr="009E612D">
        <w:rPr>
          <w:rFonts w:ascii="Arial" w:eastAsia="Times New Roman" w:hAnsi="Arial" w:cs="Arial"/>
        </w:rPr>
        <w:t xml:space="preserve"> € ili </w:t>
      </w:r>
      <w:r w:rsidR="00142066">
        <w:rPr>
          <w:rFonts w:ascii="Arial" w:eastAsia="Times New Roman" w:hAnsi="Arial" w:cs="Arial"/>
        </w:rPr>
        <w:t>4,9</w:t>
      </w:r>
      <w:r w:rsidR="009E612D" w:rsidRPr="009E612D">
        <w:rPr>
          <w:rFonts w:ascii="Arial" w:eastAsia="Times New Roman" w:hAnsi="Arial" w:cs="Arial"/>
        </w:rPr>
        <w:t xml:space="preserve">% </w:t>
      </w:r>
      <w:r w:rsidR="00142066">
        <w:rPr>
          <w:rFonts w:ascii="Arial" w:eastAsia="Times New Roman" w:hAnsi="Arial" w:cs="Arial"/>
        </w:rPr>
        <w:t>više</w:t>
      </w:r>
      <w:r w:rsidR="009E612D" w:rsidRPr="009E612D">
        <w:rPr>
          <w:rFonts w:ascii="Arial" w:eastAsia="Times New Roman" w:hAnsi="Arial" w:cs="Arial"/>
        </w:rPr>
        <w:t xml:space="preserve"> nego </w:t>
      </w:r>
      <w:r w:rsidR="009E612D">
        <w:rPr>
          <w:rFonts w:ascii="Arial" w:eastAsia="Times New Roman" w:hAnsi="Arial" w:cs="Arial"/>
        </w:rPr>
        <w:t>u istom razdoblju prethodne godine</w:t>
      </w:r>
      <w:r w:rsidR="009E612D" w:rsidRPr="009E612D">
        <w:rPr>
          <w:rFonts w:ascii="Arial" w:eastAsia="Times New Roman" w:hAnsi="Arial" w:cs="Arial"/>
        </w:rPr>
        <w:t>.</w:t>
      </w:r>
      <w:r w:rsidRPr="003A2F86">
        <w:rPr>
          <w:rFonts w:ascii="Arial" w:eastAsia="Times New Roman" w:hAnsi="Arial" w:cs="Arial"/>
        </w:rPr>
        <w:t xml:space="preserve"> Ovi rashodi se odnose na rashode za uredski materijal i ostale materijalne rashode, rashode za materijal i sirovine, rashode za energiju, rashode za materijal i dijelove za tekuće i investicijsko održavanje, sitan, te rashode za službenu i radnu odjeću i obuću.</w:t>
      </w:r>
      <w:r w:rsidRPr="003A2F86">
        <w:rPr>
          <w:rFonts w:ascii="Arial" w:eastAsia="Times New Roman" w:hAnsi="Arial" w:cs="Arial"/>
          <w:iCs/>
        </w:rPr>
        <w:t xml:space="preserve"> </w:t>
      </w:r>
      <w:r w:rsidRPr="003A2F86">
        <w:rPr>
          <w:rFonts w:ascii="Arial" w:eastAsia="Times New Roman" w:hAnsi="Arial" w:cs="Arial"/>
          <w:iCs/>
          <w:color w:val="1F497D" w:themeColor="text2"/>
        </w:rPr>
        <w:t xml:space="preserve">Na rashode </w:t>
      </w:r>
      <w:r w:rsidR="008526B4" w:rsidRPr="003A2F86">
        <w:rPr>
          <w:rFonts w:ascii="Arial" w:eastAsia="Times New Roman" w:hAnsi="Arial" w:cs="Arial"/>
          <w:iCs/>
          <w:color w:val="1F497D" w:themeColor="text2"/>
        </w:rPr>
        <w:t xml:space="preserve">(322) </w:t>
      </w:r>
      <w:r w:rsidRPr="003A2F86">
        <w:rPr>
          <w:rFonts w:ascii="Arial" w:eastAsia="Times New Roman" w:hAnsi="Arial" w:cs="Arial"/>
          <w:iCs/>
          <w:color w:val="1F497D" w:themeColor="text2"/>
        </w:rPr>
        <w:t xml:space="preserve">Općine odnosi se </w:t>
      </w:r>
      <w:r w:rsidR="00142066">
        <w:rPr>
          <w:rFonts w:ascii="Arial" w:eastAsia="Times New Roman" w:hAnsi="Arial" w:cs="Arial"/>
          <w:iCs/>
          <w:color w:val="1F497D" w:themeColor="text2"/>
        </w:rPr>
        <w:t>374.413,01</w:t>
      </w:r>
      <w:r w:rsidR="005D1A35" w:rsidRPr="003A2F86">
        <w:rPr>
          <w:rFonts w:ascii="Arial" w:eastAsia="Times New Roman" w:hAnsi="Arial" w:cs="Arial"/>
          <w:iCs/>
          <w:color w:val="1F497D" w:themeColor="text2"/>
        </w:rPr>
        <w:t xml:space="preserve"> €</w:t>
      </w:r>
      <w:r w:rsidR="008526B4" w:rsidRPr="003A2F86">
        <w:rPr>
          <w:rFonts w:ascii="Arial" w:eastAsia="Times New Roman" w:hAnsi="Arial" w:cs="Arial"/>
          <w:iCs/>
          <w:color w:val="1F497D" w:themeColor="text2"/>
        </w:rPr>
        <w:t xml:space="preserve">, a </w:t>
      </w:r>
      <w:r w:rsidRPr="003A2F86">
        <w:rPr>
          <w:rFonts w:ascii="Arial" w:eastAsia="Times New Roman" w:hAnsi="Arial" w:cs="Arial"/>
          <w:iCs/>
          <w:color w:val="1F497D" w:themeColor="text2"/>
        </w:rPr>
        <w:t xml:space="preserve">rashode proračunskih korisnika </w:t>
      </w:r>
      <w:r w:rsidR="00142066">
        <w:rPr>
          <w:rFonts w:ascii="Arial" w:eastAsia="Times New Roman" w:hAnsi="Arial" w:cs="Arial"/>
          <w:iCs/>
          <w:color w:val="1F497D" w:themeColor="text2"/>
        </w:rPr>
        <w:t>587.940,70</w:t>
      </w:r>
      <w:r w:rsidR="005D1A35" w:rsidRPr="003A2F86">
        <w:rPr>
          <w:rFonts w:ascii="Arial" w:eastAsia="Times New Roman" w:hAnsi="Arial" w:cs="Arial"/>
          <w:iCs/>
          <w:color w:val="1F497D" w:themeColor="text2"/>
        </w:rPr>
        <w:t xml:space="preserve"> €.</w:t>
      </w:r>
    </w:p>
    <w:p w14:paraId="55FA81E9" w14:textId="77777777"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0656999F" w14:textId="65FF2454" w:rsidR="007E1763" w:rsidRPr="003A2F86" w:rsidRDefault="007E1763" w:rsidP="007E176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 xml:space="preserve">U okviru ukupnih rashoda za materijal i energiju (322) vrijednosno </w:t>
      </w:r>
      <w:r w:rsidR="00D2086A">
        <w:rPr>
          <w:rFonts w:ascii="Arial" w:eastAsia="Times New Roman" w:hAnsi="Arial" w:cs="Arial"/>
        </w:rPr>
        <w:t>z</w:t>
      </w:r>
      <w:r w:rsidRPr="003A2F86">
        <w:rPr>
          <w:rFonts w:ascii="Arial" w:eastAsia="Times New Roman" w:hAnsi="Arial" w:cs="Arial"/>
        </w:rPr>
        <w:t xml:space="preserve">načajniji su rashodi za energiju (3223 - električna energija, plin, motorni benzin i dizel gorivo) u iznosu </w:t>
      </w:r>
      <w:r w:rsidR="00142066">
        <w:rPr>
          <w:rFonts w:ascii="Arial" w:eastAsia="Times New Roman" w:hAnsi="Arial" w:cs="Arial"/>
        </w:rPr>
        <w:t>318.395,42</w:t>
      </w:r>
      <w:r w:rsidR="005D1A35" w:rsidRPr="003A2F86">
        <w:rPr>
          <w:rFonts w:ascii="Arial" w:eastAsia="Times New Roman" w:hAnsi="Arial" w:cs="Arial"/>
        </w:rPr>
        <w:t xml:space="preserve"> €</w:t>
      </w:r>
      <w:r w:rsidRPr="003A2F86">
        <w:rPr>
          <w:rFonts w:ascii="Arial" w:eastAsia="Times New Roman" w:hAnsi="Arial" w:cs="Arial"/>
        </w:rPr>
        <w:t xml:space="preserve"> ili </w:t>
      </w:r>
      <w:r w:rsidR="00142066">
        <w:rPr>
          <w:rFonts w:ascii="Arial" w:eastAsia="Times New Roman" w:hAnsi="Arial" w:cs="Arial"/>
        </w:rPr>
        <w:t>33,09</w:t>
      </w:r>
      <w:r w:rsidRPr="003A2F86">
        <w:rPr>
          <w:rFonts w:ascii="Arial" w:eastAsia="Times New Roman" w:hAnsi="Arial" w:cs="Arial"/>
        </w:rPr>
        <w:t>% rashoda za materijal i energiju (u okviru čega troškovi električne energije za javnu rasvjetu</w:t>
      </w:r>
      <w:r w:rsidR="0074431A" w:rsidRPr="003A2F86">
        <w:rPr>
          <w:rFonts w:ascii="Arial" w:eastAsia="Times New Roman" w:hAnsi="Arial" w:cs="Arial"/>
        </w:rPr>
        <w:t xml:space="preserve"> iznose</w:t>
      </w:r>
      <w:r w:rsidRPr="003A2F86">
        <w:rPr>
          <w:rFonts w:ascii="Arial" w:eastAsia="Times New Roman" w:hAnsi="Arial" w:cs="Arial"/>
        </w:rPr>
        <w:t xml:space="preserve"> </w:t>
      </w:r>
      <w:r w:rsidR="00082AA2">
        <w:rPr>
          <w:rFonts w:ascii="Arial" w:eastAsia="Times New Roman" w:hAnsi="Arial" w:cs="Arial"/>
        </w:rPr>
        <w:t>85.384,53</w:t>
      </w:r>
      <w:r w:rsidR="005D1A35" w:rsidRPr="003A2F86">
        <w:rPr>
          <w:rFonts w:ascii="Arial" w:eastAsia="Times New Roman" w:hAnsi="Arial" w:cs="Arial"/>
        </w:rPr>
        <w:t xml:space="preserve"> €</w:t>
      </w:r>
      <w:r w:rsidRPr="003A2F86">
        <w:rPr>
          <w:rFonts w:ascii="Arial" w:eastAsia="Times New Roman" w:hAnsi="Arial" w:cs="Arial"/>
        </w:rPr>
        <w:t xml:space="preserve">). </w:t>
      </w:r>
    </w:p>
    <w:p w14:paraId="4350114C" w14:textId="77777777" w:rsidR="007E1763" w:rsidRPr="003A2F86" w:rsidRDefault="007E1763" w:rsidP="00BF0FD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71B474B6" w14:textId="25F402F1" w:rsidR="00BF0FDE" w:rsidRPr="003A2F86" w:rsidRDefault="007E1763" w:rsidP="00BF0FD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Rashodi</w:t>
      </w:r>
      <w:r w:rsidR="00BF0FDE" w:rsidRPr="003A2F86">
        <w:rPr>
          <w:rFonts w:ascii="Arial" w:eastAsia="Times New Roman" w:hAnsi="Arial" w:cs="Arial"/>
        </w:rPr>
        <w:t xml:space="preserve"> za materijal i sirovine (3222) iznose </w:t>
      </w:r>
      <w:r w:rsidR="00082AA2">
        <w:rPr>
          <w:rFonts w:ascii="Arial" w:eastAsia="Times New Roman" w:hAnsi="Arial" w:cs="Arial"/>
        </w:rPr>
        <w:t>355.061,17</w:t>
      </w:r>
      <w:r w:rsidR="005D1A35" w:rsidRPr="003A2F86">
        <w:rPr>
          <w:rFonts w:ascii="Arial" w:eastAsia="Times New Roman" w:hAnsi="Arial" w:cs="Arial"/>
        </w:rPr>
        <w:t xml:space="preserve"> €</w:t>
      </w:r>
      <w:r w:rsidR="00BF0FDE" w:rsidRPr="003A2F86">
        <w:rPr>
          <w:rFonts w:ascii="Arial" w:eastAsia="Times New Roman" w:hAnsi="Arial" w:cs="Arial"/>
        </w:rPr>
        <w:t xml:space="preserve">, od čega </w:t>
      </w:r>
      <w:r w:rsidR="00BF0FDE" w:rsidRPr="003A2F86">
        <w:rPr>
          <w:rFonts w:ascii="Arial" w:eastAsia="Times New Roman" w:hAnsi="Arial" w:cs="Arial"/>
          <w:color w:val="1F497D" w:themeColor="text2"/>
        </w:rPr>
        <w:t xml:space="preserve">rashodi Općine iznose </w:t>
      </w:r>
      <w:r w:rsidR="00082AA2">
        <w:rPr>
          <w:rFonts w:ascii="Arial" w:eastAsia="Times New Roman" w:hAnsi="Arial" w:cs="Arial"/>
          <w:color w:val="1F497D" w:themeColor="text2"/>
        </w:rPr>
        <w:t>49.068,70</w:t>
      </w:r>
      <w:r w:rsidR="005D1A35" w:rsidRPr="003A2F86">
        <w:rPr>
          <w:rFonts w:ascii="Arial" w:eastAsia="Times New Roman" w:hAnsi="Arial" w:cs="Arial"/>
          <w:color w:val="1F497D" w:themeColor="text2"/>
        </w:rPr>
        <w:t xml:space="preserve"> €</w:t>
      </w:r>
      <w:r w:rsidR="00BF0FDE" w:rsidRPr="003A2F86">
        <w:rPr>
          <w:rFonts w:ascii="Arial" w:eastAsia="Times New Roman" w:hAnsi="Arial" w:cs="Arial"/>
          <w:color w:val="1F497D" w:themeColor="text2"/>
        </w:rPr>
        <w:t xml:space="preserve">, a proračunskih korisnika </w:t>
      </w:r>
      <w:r w:rsidR="00082AA2">
        <w:rPr>
          <w:rFonts w:ascii="Arial" w:eastAsia="Times New Roman" w:hAnsi="Arial" w:cs="Arial"/>
          <w:color w:val="1F497D" w:themeColor="text2"/>
        </w:rPr>
        <w:t>305.992,47</w:t>
      </w:r>
      <w:r w:rsidR="005D1A35" w:rsidRPr="003A2F86">
        <w:rPr>
          <w:rFonts w:ascii="Arial" w:eastAsia="Times New Roman" w:hAnsi="Arial" w:cs="Arial"/>
          <w:color w:val="1F497D" w:themeColor="text2"/>
        </w:rPr>
        <w:t xml:space="preserve"> €</w:t>
      </w:r>
      <w:r w:rsidR="00BF0FDE" w:rsidRPr="003A2F86">
        <w:rPr>
          <w:rFonts w:ascii="Arial" w:eastAsia="Times New Roman" w:hAnsi="Arial" w:cs="Arial"/>
          <w:color w:val="1F497D" w:themeColor="text2"/>
        </w:rPr>
        <w:t xml:space="preserve">. </w:t>
      </w:r>
      <w:r w:rsidR="00BF0FDE" w:rsidRPr="003A2F86">
        <w:rPr>
          <w:rFonts w:ascii="Arial" w:eastAsia="Times New Roman" w:hAnsi="Arial" w:cs="Arial"/>
        </w:rPr>
        <w:t xml:space="preserve">Vrijednosno najznačajniji rashodi za materijal i sirovine proračunskih korisnika se odnosi na spomenutu nabavu i utrošak namirnica za dječji vrtić i dom za starije i nemoćne </w:t>
      </w:r>
      <w:r w:rsidR="00082AA2" w:rsidRPr="00082AA2">
        <w:rPr>
          <w:rFonts w:ascii="Arial" w:eastAsia="Times New Roman" w:hAnsi="Arial" w:cs="Arial"/>
          <w:iCs/>
        </w:rPr>
        <w:t xml:space="preserve">290.047,20 </w:t>
      </w:r>
      <w:r w:rsidR="00790182" w:rsidRPr="003A2F86">
        <w:rPr>
          <w:rFonts w:ascii="Arial" w:eastAsia="Times New Roman" w:hAnsi="Arial" w:cs="Arial"/>
          <w:iCs/>
        </w:rPr>
        <w:t>€.</w:t>
      </w:r>
    </w:p>
    <w:p w14:paraId="32EE5DBC" w14:textId="77777777"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7D8EB342" w14:textId="5EE80AB1" w:rsidR="00891119" w:rsidRPr="009E612D"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color w:val="227ACB"/>
        </w:rPr>
      </w:pPr>
      <w:r w:rsidRPr="003A2F86">
        <w:rPr>
          <w:rFonts w:ascii="Arial" w:eastAsia="Times New Roman" w:hAnsi="Arial" w:cs="Arial"/>
        </w:rPr>
        <w:t xml:space="preserve">Rashodi za materijal i dijelove za tekuće i investicijsko održavanje (3224) iznose </w:t>
      </w:r>
      <w:r w:rsidR="00082AA2">
        <w:rPr>
          <w:rFonts w:ascii="Arial" w:eastAsia="Times New Roman" w:hAnsi="Arial" w:cs="Arial"/>
        </w:rPr>
        <w:t>95.584,23</w:t>
      </w:r>
      <w:r w:rsidR="005D1A35" w:rsidRPr="003A2F86">
        <w:rPr>
          <w:rFonts w:ascii="Arial" w:eastAsia="Times New Roman" w:hAnsi="Arial" w:cs="Arial"/>
        </w:rPr>
        <w:t xml:space="preserve"> €</w:t>
      </w:r>
      <w:r w:rsidRPr="003A2F86">
        <w:rPr>
          <w:rFonts w:ascii="Arial" w:eastAsia="Times New Roman" w:hAnsi="Arial" w:cs="Arial"/>
        </w:rPr>
        <w:t xml:space="preserve">, od </w:t>
      </w:r>
      <w:r w:rsidRPr="009E612D">
        <w:rPr>
          <w:rFonts w:ascii="Arial" w:eastAsia="Times New Roman" w:hAnsi="Arial" w:cs="Arial"/>
        </w:rPr>
        <w:t xml:space="preserve">čega </w:t>
      </w:r>
      <w:r w:rsidRPr="009E612D">
        <w:rPr>
          <w:rFonts w:ascii="Arial" w:eastAsia="Times New Roman" w:hAnsi="Arial" w:cs="Arial"/>
          <w:color w:val="227ACB"/>
        </w:rPr>
        <w:t xml:space="preserve">rashodi Općine iznose </w:t>
      </w:r>
      <w:r w:rsidR="00082AA2">
        <w:rPr>
          <w:rFonts w:ascii="Arial" w:eastAsia="Times New Roman" w:hAnsi="Arial" w:cs="Arial"/>
          <w:color w:val="227ACB"/>
        </w:rPr>
        <w:t>70.179,73</w:t>
      </w:r>
      <w:r w:rsidR="005D1A35" w:rsidRPr="009E612D">
        <w:rPr>
          <w:rFonts w:ascii="Arial" w:eastAsia="Times New Roman" w:hAnsi="Arial" w:cs="Arial"/>
          <w:color w:val="227ACB"/>
        </w:rPr>
        <w:t xml:space="preserve"> €</w:t>
      </w:r>
      <w:r w:rsidRPr="009E612D">
        <w:rPr>
          <w:rFonts w:ascii="Arial" w:eastAsia="Times New Roman" w:hAnsi="Arial" w:cs="Arial"/>
          <w:color w:val="227ACB"/>
        </w:rPr>
        <w:t xml:space="preserve"> </w:t>
      </w:r>
      <w:r w:rsidRPr="009E612D">
        <w:rPr>
          <w:rFonts w:ascii="Arial" w:eastAsia="Times New Roman" w:hAnsi="Arial" w:cs="Arial"/>
        </w:rPr>
        <w:t>(u</w:t>
      </w:r>
      <w:r w:rsidRPr="003A2F86">
        <w:rPr>
          <w:rFonts w:ascii="Arial" w:eastAsia="Times New Roman" w:hAnsi="Arial" w:cs="Arial"/>
        </w:rPr>
        <w:t xml:space="preserve"> okviru čega se najznačajniji rashodi odnose na nabavu raznog materijala za komunalno održavanje)</w:t>
      </w:r>
      <w:r w:rsidR="00D73C78" w:rsidRPr="003A2F86">
        <w:rPr>
          <w:rFonts w:ascii="Arial" w:eastAsia="Times New Roman" w:hAnsi="Arial" w:cs="Arial"/>
        </w:rPr>
        <w:t xml:space="preserve">, dok </w:t>
      </w:r>
      <w:r w:rsidR="00D73C78" w:rsidRPr="009E612D">
        <w:rPr>
          <w:rFonts w:ascii="Arial" w:eastAsia="Times New Roman" w:hAnsi="Arial" w:cs="Arial"/>
          <w:color w:val="227ACB"/>
        </w:rPr>
        <w:t xml:space="preserve">rashodi proračunskih korisnika iznose </w:t>
      </w:r>
      <w:r w:rsidR="00082AA2">
        <w:rPr>
          <w:rFonts w:ascii="Arial" w:eastAsia="Times New Roman" w:hAnsi="Arial" w:cs="Arial"/>
          <w:color w:val="227ACB"/>
        </w:rPr>
        <w:t>25.404,50</w:t>
      </w:r>
      <w:r w:rsidR="009E612D" w:rsidRPr="009E612D">
        <w:rPr>
          <w:rFonts w:ascii="Arial" w:eastAsia="Times New Roman" w:hAnsi="Arial" w:cs="Arial"/>
          <w:color w:val="227ACB"/>
        </w:rPr>
        <w:t xml:space="preserve"> </w:t>
      </w:r>
      <w:r w:rsidR="00D73C78" w:rsidRPr="009E612D">
        <w:rPr>
          <w:rFonts w:ascii="Arial" w:eastAsia="Times New Roman" w:hAnsi="Arial" w:cs="Arial"/>
          <w:color w:val="227ACB"/>
        </w:rPr>
        <w:t>€.</w:t>
      </w:r>
    </w:p>
    <w:p w14:paraId="667FF37E" w14:textId="77777777" w:rsidR="00891119" w:rsidRPr="009E612D"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55AD272D" w14:textId="761E9C60" w:rsidR="00C20BAB"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color w:val="365F91" w:themeColor="accent1" w:themeShade="BF"/>
        </w:rPr>
      </w:pPr>
      <w:r w:rsidRPr="003A2F86">
        <w:rPr>
          <w:rFonts w:ascii="Arial" w:eastAsia="Times New Roman" w:hAnsi="Arial" w:cs="Arial"/>
        </w:rPr>
        <w:t xml:space="preserve">Rashodi za usluge (323) izvršeni su u iznosu </w:t>
      </w:r>
      <w:r w:rsidR="00082AA2">
        <w:rPr>
          <w:rFonts w:ascii="Arial" w:eastAsia="Times New Roman" w:hAnsi="Arial" w:cs="Arial"/>
        </w:rPr>
        <w:t>4.525.442,47</w:t>
      </w:r>
      <w:r w:rsidR="005D1A35" w:rsidRPr="003A2F86">
        <w:rPr>
          <w:rFonts w:ascii="Arial" w:eastAsia="Times New Roman" w:hAnsi="Arial" w:cs="Arial"/>
        </w:rPr>
        <w:t xml:space="preserve"> €</w:t>
      </w:r>
      <w:r w:rsidRPr="003A2F86">
        <w:rPr>
          <w:rFonts w:ascii="Arial" w:eastAsia="Times New Roman" w:hAnsi="Arial" w:cs="Arial"/>
        </w:rPr>
        <w:t xml:space="preserve"> što je za </w:t>
      </w:r>
      <w:r w:rsidR="00082AA2">
        <w:rPr>
          <w:rFonts w:ascii="Arial" w:eastAsia="Times New Roman" w:hAnsi="Arial" w:cs="Arial"/>
        </w:rPr>
        <w:t>385.594,71</w:t>
      </w:r>
      <w:r w:rsidR="005D1A35" w:rsidRPr="003A2F86">
        <w:rPr>
          <w:rFonts w:ascii="Arial" w:eastAsia="Times New Roman" w:hAnsi="Arial" w:cs="Arial"/>
        </w:rPr>
        <w:t xml:space="preserve"> €</w:t>
      </w:r>
      <w:r w:rsidRPr="003A2F86">
        <w:rPr>
          <w:rFonts w:ascii="Arial" w:eastAsia="Times New Roman" w:hAnsi="Arial" w:cs="Arial"/>
        </w:rPr>
        <w:t xml:space="preserve"> ili </w:t>
      </w:r>
      <w:r w:rsidR="00082AA2">
        <w:rPr>
          <w:rFonts w:ascii="Arial" w:eastAsia="Times New Roman" w:hAnsi="Arial" w:cs="Arial"/>
        </w:rPr>
        <w:t>9,3</w:t>
      </w:r>
      <w:r w:rsidRPr="003A2F86">
        <w:rPr>
          <w:rFonts w:ascii="Arial" w:eastAsia="Times New Roman" w:hAnsi="Arial" w:cs="Arial"/>
        </w:rPr>
        <w:t xml:space="preserve">% </w:t>
      </w:r>
      <w:r w:rsidR="00F32479">
        <w:rPr>
          <w:rFonts w:ascii="Arial" w:eastAsia="Times New Roman" w:hAnsi="Arial" w:cs="Arial"/>
        </w:rPr>
        <w:t>više</w:t>
      </w:r>
      <w:r w:rsidRPr="003A2F86">
        <w:rPr>
          <w:rFonts w:ascii="Arial" w:eastAsia="Times New Roman" w:hAnsi="Arial" w:cs="Arial"/>
        </w:rPr>
        <w:t xml:space="preserve"> u odnosu na prethodnu</w:t>
      </w:r>
      <w:r w:rsidR="009E612D">
        <w:rPr>
          <w:rFonts w:ascii="Arial" w:eastAsia="Times New Roman" w:hAnsi="Arial" w:cs="Arial"/>
        </w:rPr>
        <w:t xml:space="preserve"> godinu, </w:t>
      </w:r>
      <w:r w:rsidRPr="003A2F86">
        <w:rPr>
          <w:rFonts w:ascii="Arial" w:eastAsia="Times New Roman" w:hAnsi="Arial" w:cs="Arial"/>
          <w:iCs/>
          <w:color w:val="365F91" w:themeColor="accent1" w:themeShade="BF"/>
        </w:rPr>
        <w:t xml:space="preserve">Na rashode Općine odnosi se </w:t>
      </w:r>
      <w:r w:rsidR="00082AA2">
        <w:rPr>
          <w:rFonts w:ascii="Arial" w:eastAsia="Times New Roman" w:hAnsi="Arial" w:cs="Arial"/>
          <w:iCs/>
          <w:color w:val="365F91" w:themeColor="accent1" w:themeShade="BF"/>
        </w:rPr>
        <w:t>4.059.938,89</w:t>
      </w:r>
      <w:r w:rsidR="006E60C3" w:rsidRPr="003A2F86">
        <w:rPr>
          <w:rFonts w:ascii="Arial" w:eastAsia="Times New Roman" w:hAnsi="Arial" w:cs="Arial"/>
          <w:iCs/>
          <w:color w:val="365F91" w:themeColor="accent1" w:themeShade="BF"/>
        </w:rPr>
        <w:t xml:space="preserve"> €</w:t>
      </w:r>
      <w:r w:rsidRPr="003A2F86">
        <w:rPr>
          <w:rFonts w:ascii="Arial" w:eastAsia="Times New Roman" w:hAnsi="Arial" w:cs="Arial"/>
          <w:iCs/>
          <w:color w:val="365F91" w:themeColor="accent1" w:themeShade="BF"/>
        </w:rPr>
        <w:t xml:space="preserve"> i rashode proračunskih korisnika u iznosu </w:t>
      </w:r>
      <w:r w:rsidR="00082AA2">
        <w:rPr>
          <w:rFonts w:ascii="Arial" w:eastAsia="Times New Roman" w:hAnsi="Arial" w:cs="Arial"/>
          <w:iCs/>
          <w:color w:val="365F91" w:themeColor="accent1" w:themeShade="BF"/>
        </w:rPr>
        <w:t>465.503,58</w:t>
      </w:r>
      <w:r w:rsidR="006E60C3" w:rsidRPr="003A2F86">
        <w:rPr>
          <w:rFonts w:ascii="Arial" w:eastAsia="Times New Roman" w:hAnsi="Arial" w:cs="Arial"/>
          <w:iCs/>
          <w:color w:val="365F91" w:themeColor="accent1" w:themeShade="BF"/>
        </w:rPr>
        <w:t xml:space="preserve"> €</w:t>
      </w:r>
      <w:r w:rsidRPr="003A2F86">
        <w:rPr>
          <w:rFonts w:ascii="Arial" w:eastAsia="Times New Roman" w:hAnsi="Arial" w:cs="Arial"/>
          <w:iCs/>
          <w:color w:val="365F91" w:themeColor="accent1" w:themeShade="BF"/>
        </w:rPr>
        <w:t>.</w:t>
      </w:r>
      <w:r w:rsidR="00683706" w:rsidRPr="003A2F86">
        <w:rPr>
          <w:rFonts w:ascii="Arial" w:eastAsia="Times New Roman" w:hAnsi="Arial" w:cs="Arial"/>
          <w:iCs/>
          <w:color w:val="365F91" w:themeColor="accent1" w:themeShade="BF"/>
        </w:rPr>
        <w:t xml:space="preserve"> </w:t>
      </w:r>
    </w:p>
    <w:p w14:paraId="6EC4D398" w14:textId="77777777" w:rsidR="00C20BAB" w:rsidRPr="003A2F86" w:rsidRDefault="00C20BAB"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p>
    <w:p w14:paraId="2B5E07D1" w14:textId="40271B6F" w:rsidR="00891119" w:rsidRPr="00324198"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24198">
        <w:rPr>
          <w:rFonts w:ascii="Arial" w:eastAsia="Times New Roman" w:hAnsi="Arial" w:cs="Arial"/>
        </w:rPr>
        <w:t>Vrijednosno značajniji izvršeni rashodi za usluge (323) (ukupno Općina i proračunski korisnici) odnosi se na:</w:t>
      </w:r>
    </w:p>
    <w:p w14:paraId="199E3D28" w14:textId="7507DF65" w:rsidR="00B071E6" w:rsidRPr="001447DD" w:rsidRDefault="00651B9A" w:rsidP="00B071E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24198">
        <w:rPr>
          <w:rFonts w:ascii="Arial" w:eastAsia="Times New Roman" w:hAnsi="Arial" w:cs="Arial"/>
        </w:rPr>
        <w:tab/>
        <w:t xml:space="preserve">- usluge tekućeg i investicijskog održavanja (3232) ostvarene u iznosu </w:t>
      </w:r>
      <w:r w:rsidR="009F7A1C">
        <w:rPr>
          <w:rFonts w:ascii="Arial" w:eastAsia="Times New Roman" w:hAnsi="Arial" w:cs="Arial"/>
        </w:rPr>
        <w:t>2.526.456,38</w:t>
      </w:r>
      <w:r w:rsidR="005A37D9" w:rsidRPr="00324198">
        <w:rPr>
          <w:rFonts w:ascii="Arial" w:eastAsia="Times New Roman" w:hAnsi="Arial" w:cs="Arial"/>
        </w:rPr>
        <w:t xml:space="preserve"> €</w:t>
      </w:r>
      <w:r w:rsidRPr="00324198">
        <w:rPr>
          <w:rFonts w:ascii="Arial" w:eastAsia="Times New Roman" w:hAnsi="Arial" w:cs="Arial"/>
        </w:rPr>
        <w:t xml:space="preserve"> i to općina </w:t>
      </w:r>
      <w:r w:rsidR="009F7A1C">
        <w:rPr>
          <w:rFonts w:ascii="Arial" w:eastAsia="Times New Roman" w:hAnsi="Arial" w:cs="Arial"/>
        </w:rPr>
        <w:t>2.302.638,98</w:t>
      </w:r>
      <w:r w:rsidR="005A37D9" w:rsidRPr="00324198">
        <w:rPr>
          <w:rFonts w:ascii="Arial" w:eastAsia="Times New Roman" w:hAnsi="Arial" w:cs="Arial"/>
        </w:rPr>
        <w:t xml:space="preserve"> €</w:t>
      </w:r>
      <w:r w:rsidRPr="00324198">
        <w:rPr>
          <w:rFonts w:ascii="Arial" w:eastAsia="Times New Roman" w:hAnsi="Arial" w:cs="Arial"/>
        </w:rPr>
        <w:t xml:space="preserve">, a proračunski korisnici </w:t>
      </w:r>
      <w:r w:rsidR="009F7A1C">
        <w:rPr>
          <w:rFonts w:ascii="Arial" w:eastAsia="Times New Roman" w:hAnsi="Arial" w:cs="Arial"/>
        </w:rPr>
        <w:t>223.817,40</w:t>
      </w:r>
      <w:r w:rsidR="005A37D9" w:rsidRPr="00696C89">
        <w:rPr>
          <w:rFonts w:ascii="Arial" w:eastAsia="Times New Roman" w:hAnsi="Arial" w:cs="Arial"/>
        </w:rPr>
        <w:t xml:space="preserve"> €</w:t>
      </w:r>
      <w:r w:rsidRPr="00696C89">
        <w:rPr>
          <w:rFonts w:ascii="Arial" w:eastAsia="Times New Roman" w:hAnsi="Arial" w:cs="Arial"/>
        </w:rPr>
        <w:t xml:space="preserve"> (ukupno ovi rashodi su </w:t>
      </w:r>
      <w:r w:rsidR="009F7A1C">
        <w:rPr>
          <w:rFonts w:ascii="Arial" w:eastAsia="Times New Roman" w:hAnsi="Arial" w:cs="Arial"/>
        </w:rPr>
        <w:t>manje</w:t>
      </w:r>
      <w:r w:rsidRPr="00696C89">
        <w:rPr>
          <w:rFonts w:ascii="Arial" w:eastAsia="Times New Roman" w:hAnsi="Arial" w:cs="Arial"/>
        </w:rPr>
        <w:t xml:space="preserve"> izvršeni u odnosu na prethodnu proračunsku godinu za </w:t>
      </w:r>
      <w:r w:rsidR="001447DD">
        <w:rPr>
          <w:rFonts w:ascii="Arial" w:eastAsia="Times New Roman" w:hAnsi="Arial" w:cs="Arial"/>
          <w:iCs/>
        </w:rPr>
        <w:t>26.210,32</w:t>
      </w:r>
      <w:r w:rsidR="005A37D9" w:rsidRPr="00696C89">
        <w:rPr>
          <w:rFonts w:ascii="Arial" w:eastAsia="Times New Roman" w:hAnsi="Arial" w:cs="Arial"/>
          <w:iCs/>
        </w:rPr>
        <w:t xml:space="preserve"> €</w:t>
      </w:r>
      <w:r w:rsidRPr="00696C89">
        <w:rPr>
          <w:rFonts w:ascii="Arial" w:eastAsia="Times New Roman" w:hAnsi="Arial" w:cs="Arial"/>
          <w:iCs/>
        </w:rPr>
        <w:t xml:space="preserve"> ili </w:t>
      </w:r>
      <w:r w:rsidR="001447DD">
        <w:rPr>
          <w:rFonts w:ascii="Arial" w:eastAsia="Times New Roman" w:hAnsi="Arial" w:cs="Arial"/>
          <w:iCs/>
        </w:rPr>
        <w:t>1</w:t>
      </w:r>
      <w:r w:rsidRPr="00696C89">
        <w:rPr>
          <w:rFonts w:ascii="Arial" w:eastAsia="Times New Roman" w:hAnsi="Arial" w:cs="Arial"/>
        </w:rPr>
        <w:t xml:space="preserve">%). </w:t>
      </w:r>
      <w:r w:rsidR="001447DD">
        <w:rPr>
          <w:rFonts w:ascii="Arial" w:eastAsia="Times New Roman" w:hAnsi="Arial" w:cs="Arial"/>
        </w:rPr>
        <w:t>P</w:t>
      </w:r>
      <w:r w:rsidR="001447DD" w:rsidRPr="001447DD">
        <w:rPr>
          <w:rFonts w:ascii="Arial" w:eastAsia="Times New Roman" w:hAnsi="Arial" w:cs="Arial"/>
        </w:rPr>
        <w:t>ojedinačno gledajući veće izvršenje za održavanje nerazvrstanih cesta za 226.431,34 €, ali nije bilo održavanja drugih cesta koje je sufinancirala Županijska uprava za ceste i koje su prethodne godine iznosili 359.567,99 €.</w:t>
      </w:r>
    </w:p>
    <w:p w14:paraId="515EA096" w14:textId="53C4CC02" w:rsidR="00B942DC" w:rsidRPr="00771761" w:rsidRDefault="00B942DC" w:rsidP="00B942D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1447DD">
        <w:rPr>
          <w:rFonts w:ascii="Arial" w:eastAsia="Times New Roman" w:hAnsi="Arial" w:cs="Arial"/>
        </w:rPr>
        <w:tab/>
        <w:t xml:space="preserve">- rashodi za komunalne usluge (3234) ostvareni su u iznosu </w:t>
      </w:r>
      <w:r w:rsidR="001447DD" w:rsidRPr="001447DD">
        <w:rPr>
          <w:rFonts w:ascii="Arial" w:eastAsia="Times New Roman" w:hAnsi="Arial" w:cs="Arial"/>
        </w:rPr>
        <w:t>690.469,10</w:t>
      </w:r>
      <w:r w:rsidR="00084204" w:rsidRPr="001447DD">
        <w:rPr>
          <w:rFonts w:ascii="Arial" w:eastAsia="Times New Roman" w:hAnsi="Arial" w:cs="Arial"/>
        </w:rPr>
        <w:t xml:space="preserve"> €</w:t>
      </w:r>
      <w:r w:rsidRPr="001447DD">
        <w:rPr>
          <w:rFonts w:ascii="Arial" w:eastAsia="Times New Roman" w:hAnsi="Arial" w:cs="Arial"/>
        </w:rPr>
        <w:t xml:space="preserve"> i to općina </w:t>
      </w:r>
      <w:r w:rsidR="001447DD" w:rsidRPr="001447DD">
        <w:rPr>
          <w:rFonts w:ascii="Arial" w:eastAsia="Times New Roman" w:hAnsi="Arial" w:cs="Arial"/>
        </w:rPr>
        <w:t>638.896,12</w:t>
      </w:r>
      <w:r w:rsidR="00084204" w:rsidRPr="001447DD">
        <w:rPr>
          <w:rFonts w:ascii="Arial" w:eastAsia="Times New Roman" w:hAnsi="Arial" w:cs="Arial"/>
        </w:rPr>
        <w:t xml:space="preserve"> €</w:t>
      </w:r>
      <w:r w:rsidRPr="001447DD">
        <w:rPr>
          <w:rFonts w:ascii="Arial" w:eastAsia="Times New Roman" w:hAnsi="Arial" w:cs="Arial"/>
        </w:rPr>
        <w:t xml:space="preserve"> a proračunski korisnici </w:t>
      </w:r>
      <w:r w:rsidR="001447DD" w:rsidRPr="001447DD">
        <w:rPr>
          <w:rFonts w:ascii="Arial" w:eastAsia="Times New Roman" w:hAnsi="Arial" w:cs="Arial"/>
        </w:rPr>
        <w:t>51.572,98</w:t>
      </w:r>
      <w:r w:rsidR="00084204" w:rsidRPr="001447DD">
        <w:rPr>
          <w:rFonts w:ascii="Arial" w:eastAsia="Times New Roman" w:hAnsi="Arial" w:cs="Arial"/>
        </w:rPr>
        <w:t xml:space="preserve"> €</w:t>
      </w:r>
      <w:r w:rsidRPr="001447DD">
        <w:rPr>
          <w:rFonts w:ascii="Arial" w:eastAsia="Times New Roman" w:hAnsi="Arial" w:cs="Arial"/>
        </w:rPr>
        <w:t xml:space="preserve"> (ukupno rashodi na odjeljku 3234 </w:t>
      </w:r>
      <w:r w:rsidR="00696C89" w:rsidRPr="001447DD">
        <w:rPr>
          <w:rFonts w:ascii="Arial" w:eastAsia="Times New Roman" w:hAnsi="Arial" w:cs="Arial"/>
        </w:rPr>
        <w:t>više</w:t>
      </w:r>
      <w:r w:rsidRPr="001447DD">
        <w:rPr>
          <w:rFonts w:ascii="Arial" w:eastAsia="Times New Roman" w:hAnsi="Arial" w:cs="Arial"/>
        </w:rPr>
        <w:t xml:space="preserve"> izvršeni u odnosu na prethodnu proračunsku godinu </w:t>
      </w:r>
      <w:r w:rsidR="001447DD" w:rsidRPr="001447DD">
        <w:rPr>
          <w:rFonts w:ascii="Arial" w:eastAsia="Times New Roman" w:hAnsi="Arial" w:cs="Arial"/>
          <w:iCs/>
        </w:rPr>
        <w:t>209.239,13</w:t>
      </w:r>
      <w:r w:rsidR="00084204" w:rsidRPr="001447DD">
        <w:rPr>
          <w:rFonts w:ascii="Arial" w:eastAsia="Times New Roman" w:hAnsi="Arial" w:cs="Arial"/>
          <w:iCs/>
        </w:rPr>
        <w:t xml:space="preserve"> €</w:t>
      </w:r>
      <w:r w:rsidR="00E8715C" w:rsidRPr="001447DD">
        <w:rPr>
          <w:rFonts w:ascii="Arial" w:eastAsia="Times New Roman" w:hAnsi="Arial" w:cs="Arial"/>
          <w:iCs/>
        </w:rPr>
        <w:t xml:space="preserve"> ili </w:t>
      </w:r>
      <w:r w:rsidR="001447DD" w:rsidRPr="001447DD">
        <w:rPr>
          <w:rFonts w:ascii="Arial" w:eastAsia="Times New Roman" w:hAnsi="Arial" w:cs="Arial"/>
          <w:iCs/>
        </w:rPr>
        <w:t>43,5</w:t>
      </w:r>
      <w:r w:rsidR="00E8715C" w:rsidRPr="001447DD">
        <w:rPr>
          <w:rFonts w:ascii="Arial" w:eastAsia="Times New Roman" w:hAnsi="Arial" w:cs="Arial"/>
          <w:iCs/>
        </w:rPr>
        <w:t>%</w:t>
      </w:r>
      <w:r w:rsidR="001447DD">
        <w:rPr>
          <w:rFonts w:ascii="Arial" w:eastAsia="Times New Roman" w:hAnsi="Arial" w:cs="Arial"/>
          <w:iCs/>
        </w:rPr>
        <w:t xml:space="preserve">, a povećanje se odnosi na komunalne usluge </w:t>
      </w:r>
      <w:r w:rsidR="001447DD" w:rsidRPr="00771761">
        <w:rPr>
          <w:rFonts w:ascii="Arial" w:eastAsia="Times New Roman" w:hAnsi="Arial" w:cs="Arial"/>
          <w:iCs/>
        </w:rPr>
        <w:t>unutar programa održavanja komunalne infrastrukture</w:t>
      </w:r>
      <w:r w:rsidRPr="00771761">
        <w:rPr>
          <w:rFonts w:ascii="Arial" w:eastAsia="Times New Roman" w:hAnsi="Arial" w:cs="Arial"/>
        </w:rPr>
        <w:t>),</w:t>
      </w:r>
    </w:p>
    <w:p w14:paraId="54F25121" w14:textId="6F278918" w:rsidR="00891119" w:rsidRPr="00771761" w:rsidRDefault="000D4AE8" w:rsidP="000D4AE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771761">
        <w:rPr>
          <w:rFonts w:ascii="Arial" w:eastAsia="Times New Roman" w:hAnsi="Arial" w:cs="Arial"/>
        </w:rPr>
        <w:tab/>
        <w:t xml:space="preserve">- rashodi za intelektualne usluge (3237) </w:t>
      </w:r>
      <w:r w:rsidR="0051251D" w:rsidRPr="00771761">
        <w:rPr>
          <w:rFonts w:ascii="Arial" w:eastAsia="Times New Roman" w:hAnsi="Arial" w:cs="Arial"/>
        </w:rPr>
        <w:t>izvršeni</w:t>
      </w:r>
      <w:r w:rsidRPr="00771761">
        <w:rPr>
          <w:rFonts w:ascii="Arial" w:eastAsia="Times New Roman" w:hAnsi="Arial" w:cs="Arial"/>
        </w:rPr>
        <w:t xml:space="preserve"> su u iznosu </w:t>
      </w:r>
      <w:r w:rsidR="001447DD" w:rsidRPr="00771761">
        <w:rPr>
          <w:rFonts w:ascii="Arial" w:eastAsia="Times New Roman" w:hAnsi="Arial" w:cs="Arial"/>
        </w:rPr>
        <w:t xml:space="preserve">547.237,84 </w:t>
      </w:r>
      <w:r w:rsidR="00084204" w:rsidRPr="00771761">
        <w:rPr>
          <w:rFonts w:ascii="Arial" w:eastAsia="Times New Roman" w:hAnsi="Arial" w:cs="Arial"/>
        </w:rPr>
        <w:t>€</w:t>
      </w:r>
      <w:r w:rsidRPr="00771761">
        <w:rPr>
          <w:rFonts w:ascii="Arial" w:eastAsia="Times New Roman" w:hAnsi="Arial" w:cs="Arial"/>
        </w:rPr>
        <w:t xml:space="preserve"> i to općina </w:t>
      </w:r>
      <w:r w:rsidR="001447DD" w:rsidRPr="00771761">
        <w:rPr>
          <w:rFonts w:ascii="Arial" w:eastAsia="Times New Roman" w:hAnsi="Arial" w:cs="Arial"/>
        </w:rPr>
        <w:t>515.238,68</w:t>
      </w:r>
      <w:r w:rsidR="00084204" w:rsidRPr="00771761">
        <w:rPr>
          <w:rFonts w:ascii="Arial" w:eastAsia="Times New Roman" w:hAnsi="Arial" w:cs="Arial"/>
        </w:rPr>
        <w:t xml:space="preserve"> €</w:t>
      </w:r>
      <w:r w:rsidRPr="00771761">
        <w:rPr>
          <w:rFonts w:ascii="Arial" w:eastAsia="Times New Roman" w:hAnsi="Arial" w:cs="Arial"/>
        </w:rPr>
        <w:t xml:space="preserve">, a proračunski korisnici </w:t>
      </w:r>
      <w:r w:rsidR="001447DD" w:rsidRPr="00771761">
        <w:rPr>
          <w:rFonts w:ascii="Arial" w:eastAsia="Times New Roman" w:hAnsi="Arial" w:cs="Arial"/>
        </w:rPr>
        <w:t>31.999,16</w:t>
      </w:r>
      <w:r w:rsidR="00084204" w:rsidRPr="00771761">
        <w:rPr>
          <w:rFonts w:ascii="Arial" w:eastAsia="Times New Roman" w:hAnsi="Arial" w:cs="Arial"/>
        </w:rPr>
        <w:t xml:space="preserve"> €</w:t>
      </w:r>
      <w:r w:rsidRPr="00771761">
        <w:rPr>
          <w:rFonts w:ascii="Arial" w:eastAsia="Times New Roman" w:hAnsi="Arial" w:cs="Arial"/>
        </w:rPr>
        <w:t xml:space="preserve"> (Ukupno rashodi na odjeljku 3237 </w:t>
      </w:r>
      <w:r w:rsidR="00E14EE6" w:rsidRPr="00771761">
        <w:rPr>
          <w:rFonts w:ascii="Arial" w:eastAsia="Times New Roman" w:hAnsi="Arial" w:cs="Arial"/>
        </w:rPr>
        <w:t>više</w:t>
      </w:r>
      <w:r w:rsidRPr="00771761">
        <w:rPr>
          <w:rFonts w:ascii="Arial" w:eastAsia="Times New Roman" w:hAnsi="Arial" w:cs="Arial"/>
        </w:rPr>
        <w:t xml:space="preserve"> izvršeni u odnosu na prethodnu proračunsku godinu za </w:t>
      </w:r>
      <w:r w:rsidR="00771761" w:rsidRPr="00771761">
        <w:rPr>
          <w:rFonts w:ascii="Arial" w:eastAsia="Times New Roman" w:hAnsi="Arial" w:cs="Arial"/>
          <w:iCs/>
        </w:rPr>
        <w:t>116.999,63</w:t>
      </w:r>
      <w:r w:rsidR="00084204" w:rsidRPr="00771761">
        <w:rPr>
          <w:rFonts w:ascii="Arial" w:eastAsia="Times New Roman" w:hAnsi="Arial" w:cs="Arial"/>
          <w:iCs/>
        </w:rPr>
        <w:t xml:space="preserve"> €</w:t>
      </w:r>
      <w:r w:rsidRPr="00771761">
        <w:rPr>
          <w:rFonts w:ascii="Arial" w:eastAsia="Times New Roman" w:hAnsi="Arial" w:cs="Arial"/>
          <w:iCs/>
        </w:rPr>
        <w:t xml:space="preserve"> ili </w:t>
      </w:r>
      <w:r w:rsidR="00771761" w:rsidRPr="00771761">
        <w:rPr>
          <w:rFonts w:ascii="Arial" w:eastAsia="Times New Roman" w:hAnsi="Arial" w:cs="Arial"/>
          <w:iCs/>
        </w:rPr>
        <w:t>27,2</w:t>
      </w:r>
      <w:r w:rsidR="0051251D" w:rsidRPr="00771761">
        <w:rPr>
          <w:rFonts w:ascii="Arial" w:eastAsia="Times New Roman" w:hAnsi="Arial" w:cs="Arial"/>
          <w:iCs/>
        </w:rPr>
        <w:t>%</w:t>
      </w:r>
      <w:r w:rsidR="00084204" w:rsidRPr="00771761">
        <w:rPr>
          <w:rFonts w:ascii="Arial" w:eastAsia="Times New Roman" w:hAnsi="Arial" w:cs="Arial"/>
          <w:iCs/>
        </w:rPr>
        <w:t>.</w:t>
      </w:r>
      <w:r w:rsidR="004819B1" w:rsidRPr="00771761">
        <w:rPr>
          <w:rFonts w:ascii="Arial" w:eastAsia="Times New Roman" w:hAnsi="Arial" w:cs="Arial"/>
        </w:rPr>
        <w:t>)</w:t>
      </w:r>
      <w:r w:rsidR="00AC79F2" w:rsidRPr="00771761">
        <w:rPr>
          <w:rFonts w:ascii="Arial" w:eastAsia="Times New Roman" w:hAnsi="Arial" w:cs="Arial"/>
        </w:rPr>
        <w:t xml:space="preserve">. </w:t>
      </w:r>
      <w:r w:rsidR="001447DD" w:rsidRPr="00771761">
        <w:rPr>
          <w:rFonts w:ascii="Arial" w:eastAsia="Times New Roman" w:hAnsi="Arial" w:cs="Arial"/>
        </w:rPr>
        <w:t>Vrijednosno najveće povećanje - ovih rashoda se odnosi na veće usluge u okviru projekta izgradnje nove osnovne škole.</w:t>
      </w:r>
    </w:p>
    <w:p w14:paraId="6F1F3168" w14:textId="3A859A4A" w:rsidR="00891119" w:rsidRPr="000A2AE5" w:rsidRDefault="009B6770" w:rsidP="00A611C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E14AF4">
        <w:rPr>
          <w:rFonts w:ascii="Arial" w:eastAsia="Times New Roman" w:hAnsi="Arial" w:cs="Arial"/>
        </w:rPr>
        <w:lastRenderedPageBreak/>
        <w:tab/>
      </w:r>
      <w:r w:rsidR="00891119" w:rsidRPr="00E14AF4">
        <w:rPr>
          <w:rFonts w:ascii="Arial" w:eastAsia="Times New Roman" w:hAnsi="Arial" w:cs="Arial"/>
        </w:rPr>
        <w:t xml:space="preserve">- rashodi za zdravstvene i veterinarske usluge (3236) ostvareni su u iznosu </w:t>
      </w:r>
      <w:r w:rsidR="00771761" w:rsidRPr="00E14AF4">
        <w:rPr>
          <w:rFonts w:ascii="Arial" w:eastAsia="Times New Roman" w:hAnsi="Arial" w:cs="Arial"/>
        </w:rPr>
        <w:t>114.076,94</w:t>
      </w:r>
      <w:r w:rsidR="00084204" w:rsidRPr="00E14AF4">
        <w:rPr>
          <w:rFonts w:ascii="Arial" w:eastAsia="Times New Roman" w:hAnsi="Arial" w:cs="Arial"/>
        </w:rPr>
        <w:t xml:space="preserve"> €</w:t>
      </w:r>
      <w:r w:rsidR="00891119" w:rsidRPr="00E14AF4">
        <w:rPr>
          <w:rFonts w:ascii="Arial" w:eastAsia="Times New Roman" w:hAnsi="Arial" w:cs="Arial"/>
        </w:rPr>
        <w:t xml:space="preserve"> i to općina </w:t>
      </w:r>
      <w:r w:rsidR="00771761" w:rsidRPr="00E14AF4">
        <w:rPr>
          <w:rFonts w:ascii="Arial" w:eastAsia="Times New Roman" w:hAnsi="Arial" w:cs="Arial"/>
        </w:rPr>
        <w:t>71.470,97</w:t>
      </w:r>
      <w:r w:rsidR="00084204" w:rsidRPr="00E14AF4">
        <w:rPr>
          <w:rFonts w:ascii="Arial" w:eastAsia="Times New Roman" w:hAnsi="Arial" w:cs="Arial"/>
        </w:rPr>
        <w:t xml:space="preserve"> €</w:t>
      </w:r>
      <w:r w:rsidR="00891119" w:rsidRPr="00E14AF4">
        <w:rPr>
          <w:rFonts w:ascii="Arial" w:eastAsia="Times New Roman" w:hAnsi="Arial" w:cs="Arial"/>
        </w:rPr>
        <w:t xml:space="preserve"> (značajniji rashodi se odnose </w:t>
      </w:r>
      <w:r w:rsidR="00891119" w:rsidRPr="00E736E0">
        <w:rPr>
          <w:rFonts w:ascii="Arial" w:eastAsia="Times New Roman" w:hAnsi="Arial" w:cs="Arial"/>
        </w:rPr>
        <w:t xml:space="preserve">na sufinanciranje rada specijalističke ambulante kardiologije u iznosu </w:t>
      </w:r>
      <w:r w:rsidR="00E736E0" w:rsidRPr="00E736E0">
        <w:rPr>
          <w:rFonts w:ascii="Arial" w:eastAsia="Times New Roman" w:hAnsi="Arial" w:cs="Arial"/>
        </w:rPr>
        <w:t>34.638,93</w:t>
      </w:r>
      <w:r w:rsidR="009B2692" w:rsidRPr="00E736E0">
        <w:rPr>
          <w:rFonts w:ascii="Arial" w:eastAsia="Times New Roman" w:hAnsi="Arial" w:cs="Arial"/>
        </w:rPr>
        <w:t xml:space="preserve"> €</w:t>
      </w:r>
      <w:r w:rsidR="00891119" w:rsidRPr="00E736E0">
        <w:rPr>
          <w:rFonts w:ascii="Arial" w:eastAsia="Times New Roman" w:hAnsi="Arial" w:cs="Arial"/>
        </w:rPr>
        <w:t>, usluge fizijatra</w:t>
      </w:r>
      <w:r w:rsidR="009B2692" w:rsidRPr="00E736E0">
        <w:rPr>
          <w:rFonts w:ascii="Arial" w:eastAsia="Times New Roman" w:hAnsi="Arial" w:cs="Arial"/>
        </w:rPr>
        <w:t>,</w:t>
      </w:r>
      <w:r w:rsidR="00891119" w:rsidRPr="00E736E0">
        <w:rPr>
          <w:rFonts w:ascii="Arial" w:eastAsia="Times New Roman" w:hAnsi="Arial" w:cs="Arial"/>
        </w:rPr>
        <w:t xml:space="preserve"> rada stomatološke ambulante</w:t>
      </w:r>
      <w:r w:rsidR="009B2692" w:rsidRPr="00E736E0">
        <w:rPr>
          <w:rFonts w:ascii="Arial" w:eastAsia="Times New Roman" w:hAnsi="Arial" w:cs="Arial"/>
        </w:rPr>
        <w:t xml:space="preserve"> i čistačice u ambulanti</w:t>
      </w:r>
      <w:r w:rsidR="00891119" w:rsidRPr="00E736E0">
        <w:rPr>
          <w:rFonts w:ascii="Arial" w:eastAsia="Times New Roman" w:hAnsi="Arial" w:cs="Arial"/>
        </w:rPr>
        <w:t xml:space="preserve"> </w:t>
      </w:r>
      <w:r w:rsidR="00E736E0" w:rsidRPr="00E736E0">
        <w:rPr>
          <w:rFonts w:ascii="Arial" w:eastAsia="Times New Roman" w:hAnsi="Arial" w:cs="Arial"/>
        </w:rPr>
        <w:t>17.110</w:t>
      </w:r>
      <w:r w:rsidR="00084204" w:rsidRPr="00E736E0">
        <w:rPr>
          <w:rFonts w:ascii="Arial" w:eastAsia="Times New Roman" w:hAnsi="Arial" w:cs="Arial"/>
        </w:rPr>
        <w:t xml:space="preserve"> €</w:t>
      </w:r>
      <w:r w:rsidR="00891119" w:rsidRPr="00E736E0">
        <w:rPr>
          <w:rFonts w:ascii="Arial" w:eastAsia="Times New Roman" w:hAnsi="Arial" w:cs="Arial"/>
        </w:rPr>
        <w:t xml:space="preserve">, obavljanje laboratorijskih usluga za potrebe stanovništva u ambulantama u iznosu </w:t>
      </w:r>
      <w:r w:rsidR="00E14AF4" w:rsidRPr="00E736E0">
        <w:rPr>
          <w:rFonts w:ascii="Arial" w:eastAsia="Times New Roman" w:hAnsi="Arial" w:cs="Arial"/>
        </w:rPr>
        <w:t>19.112,04</w:t>
      </w:r>
      <w:r w:rsidR="00AC7B53" w:rsidRPr="00E736E0">
        <w:rPr>
          <w:rFonts w:ascii="Arial" w:eastAsia="Times New Roman" w:hAnsi="Arial" w:cs="Arial"/>
        </w:rPr>
        <w:t xml:space="preserve"> €</w:t>
      </w:r>
      <w:r w:rsidR="006927EB" w:rsidRPr="00E736E0">
        <w:rPr>
          <w:rFonts w:ascii="Arial" w:eastAsia="Times New Roman" w:hAnsi="Arial" w:cs="Arial"/>
        </w:rPr>
        <w:t xml:space="preserve"> </w:t>
      </w:r>
      <w:r w:rsidR="00891119" w:rsidRPr="00E736E0">
        <w:rPr>
          <w:rFonts w:ascii="Arial" w:eastAsia="Times New Roman" w:hAnsi="Arial" w:cs="Arial"/>
        </w:rPr>
        <w:t xml:space="preserve">tj. rad medicinsko - biokemijskog laboratorija; </w:t>
      </w:r>
      <w:r w:rsidR="00AE234E" w:rsidRPr="00E736E0">
        <w:rPr>
          <w:rFonts w:ascii="Arial" w:eastAsia="Times New Roman" w:hAnsi="Arial" w:cs="Arial"/>
        </w:rPr>
        <w:t xml:space="preserve">dok nije bilo </w:t>
      </w:r>
      <w:r w:rsidR="00891119" w:rsidRPr="00E736E0">
        <w:rPr>
          <w:rFonts w:ascii="Arial" w:eastAsia="Times New Roman" w:hAnsi="Arial" w:cs="Arial"/>
        </w:rPr>
        <w:t>sufinanciranj</w:t>
      </w:r>
      <w:r w:rsidR="00AE234E" w:rsidRPr="00E736E0">
        <w:rPr>
          <w:rFonts w:ascii="Arial" w:eastAsia="Times New Roman" w:hAnsi="Arial" w:cs="Arial"/>
        </w:rPr>
        <w:t xml:space="preserve">a </w:t>
      </w:r>
      <w:r w:rsidR="00891119" w:rsidRPr="00E736E0">
        <w:rPr>
          <w:rFonts w:ascii="Arial" w:eastAsia="Times New Roman" w:hAnsi="Arial" w:cs="Arial"/>
        </w:rPr>
        <w:t xml:space="preserve">rada Hitne medicinske pomoći u Zračnoj luci </w:t>
      </w:r>
      <w:r w:rsidR="00AE234E" w:rsidRPr="00E736E0">
        <w:rPr>
          <w:rFonts w:ascii="Arial" w:eastAsia="Times New Roman" w:hAnsi="Arial" w:cs="Arial"/>
        </w:rPr>
        <w:t>kao ranijih godina</w:t>
      </w:r>
      <w:r w:rsidR="009B2692" w:rsidRPr="00E736E0">
        <w:rPr>
          <w:rFonts w:ascii="Arial" w:eastAsia="Times New Roman" w:hAnsi="Arial" w:cs="Arial"/>
        </w:rPr>
        <w:t xml:space="preserve">, </w:t>
      </w:r>
      <w:r w:rsidR="00AE234E" w:rsidRPr="00E736E0">
        <w:rPr>
          <w:rFonts w:ascii="Arial" w:eastAsia="Times New Roman" w:hAnsi="Arial" w:cs="Arial"/>
        </w:rPr>
        <w:t>niti</w:t>
      </w:r>
      <w:r w:rsidR="009B2692" w:rsidRPr="00E736E0">
        <w:rPr>
          <w:rFonts w:ascii="Arial" w:eastAsia="Times New Roman" w:hAnsi="Arial" w:cs="Arial"/>
        </w:rPr>
        <w:t xml:space="preserve"> veterinarsk</w:t>
      </w:r>
      <w:r w:rsidR="00AE234E" w:rsidRPr="00E736E0">
        <w:rPr>
          <w:rFonts w:ascii="Arial" w:eastAsia="Times New Roman" w:hAnsi="Arial" w:cs="Arial"/>
        </w:rPr>
        <w:t>ih</w:t>
      </w:r>
      <w:r w:rsidR="009B2692" w:rsidRPr="00E736E0">
        <w:rPr>
          <w:rFonts w:ascii="Arial" w:eastAsia="Times New Roman" w:hAnsi="Arial" w:cs="Arial"/>
        </w:rPr>
        <w:t xml:space="preserve"> uslug</w:t>
      </w:r>
      <w:r w:rsidR="00AE234E" w:rsidRPr="00E736E0">
        <w:rPr>
          <w:rFonts w:ascii="Arial" w:eastAsia="Times New Roman" w:hAnsi="Arial" w:cs="Arial"/>
        </w:rPr>
        <w:t>a</w:t>
      </w:r>
      <w:r w:rsidR="009B2692" w:rsidRPr="00E736E0">
        <w:rPr>
          <w:rFonts w:ascii="Arial" w:eastAsia="Times New Roman" w:hAnsi="Arial" w:cs="Arial"/>
        </w:rPr>
        <w:t xml:space="preserve"> u okviru programa sanitarno </w:t>
      </w:r>
      <w:r w:rsidR="009B2692" w:rsidRPr="000A2AE5">
        <w:rPr>
          <w:rFonts w:ascii="Arial" w:eastAsia="Times New Roman" w:hAnsi="Arial" w:cs="Arial"/>
        </w:rPr>
        <w:t>veterinarskih aktivnosti i zaštite životinja</w:t>
      </w:r>
      <w:r w:rsidR="00891119" w:rsidRPr="000A2AE5">
        <w:rPr>
          <w:rFonts w:ascii="Arial" w:eastAsia="Times New Roman" w:hAnsi="Arial" w:cs="Arial"/>
        </w:rPr>
        <w:t xml:space="preserve">) iz programa Socijalno-zdravstvene zaštite), a proračunski korisnici </w:t>
      </w:r>
      <w:r w:rsidR="00771761" w:rsidRPr="000A2AE5">
        <w:rPr>
          <w:rFonts w:ascii="Arial" w:eastAsia="Times New Roman" w:hAnsi="Arial" w:cs="Arial"/>
        </w:rPr>
        <w:t>42.605,97</w:t>
      </w:r>
      <w:r w:rsidR="00084204" w:rsidRPr="000A2AE5">
        <w:rPr>
          <w:rFonts w:ascii="Arial" w:eastAsia="Times New Roman" w:hAnsi="Arial" w:cs="Arial"/>
        </w:rPr>
        <w:t xml:space="preserve"> €</w:t>
      </w:r>
      <w:r w:rsidR="00891119" w:rsidRPr="000A2AE5">
        <w:rPr>
          <w:rFonts w:ascii="Arial" w:eastAsia="Times New Roman" w:hAnsi="Arial" w:cs="Arial"/>
        </w:rPr>
        <w:t xml:space="preserve">. Ovi rashodi su </w:t>
      </w:r>
      <w:r w:rsidR="00771761" w:rsidRPr="000A2AE5">
        <w:rPr>
          <w:rFonts w:ascii="Arial" w:eastAsia="Times New Roman" w:hAnsi="Arial" w:cs="Arial"/>
        </w:rPr>
        <w:t>veći</w:t>
      </w:r>
      <w:r w:rsidR="00891119" w:rsidRPr="000A2AE5">
        <w:rPr>
          <w:rFonts w:ascii="Arial" w:eastAsia="Times New Roman" w:hAnsi="Arial" w:cs="Arial"/>
        </w:rPr>
        <w:t xml:space="preserve"> </w:t>
      </w:r>
      <w:r w:rsidR="00771761" w:rsidRPr="000A2AE5">
        <w:rPr>
          <w:rFonts w:ascii="Arial" w:eastAsia="Times New Roman" w:hAnsi="Arial" w:cs="Arial"/>
        </w:rPr>
        <w:t xml:space="preserve">u odnosu na prethodnu godinu za </w:t>
      </w:r>
      <w:r w:rsidR="00D02B88" w:rsidRPr="000A2AE5">
        <w:rPr>
          <w:rFonts w:ascii="Arial" w:eastAsia="Times New Roman" w:hAnsi="Arial" w:cs="Arial"/>
        </w:rPr>
        <w:t>2.019,12</w:t>
      </w:r>
      <w:r w:rsidR="00AC7B53" w:rsidRPr="000A2AE5">
        <w:rPr>
          <w:rFonts w:ascii="Arial" w:eastAsia="Times New Roman" w:hAnsi="Arial" w:cs="Arial"/>
        </w:rPr>
        <w:t xml:space="preserve"> €</w:t>
      </w:r>
      <w:r w:rsidRPr="000A2AE5">
        <w:rPr>
          <w:rFonts w:ascii="Arial" w:eastAsia="Times New Roman" w:hAnsi="Arial" w:cs="Arial"/>
        </w:rPr>
        <w:t xml:space="preserve"> ili </w:t>
      </w:r>
      <w:r w:rsidR="00D02B88" w:rsidRPr="000A2AE5">
        <w:rPr>
          <w:rFonts w:ascii="Arial" w:eastAsia="Times New Roman" w:hAnsi="Arial" w:cs="Arial"/>
        </w:rPr>
        <w:t>1,8</w:t>
      </w:r>
      <w:r w:rsidRPr="000A2AE5">
        <w:rPr>
          <w:rFonts w:ascii="Arial" w:eastAsia="Times New Roman" w:hAnsi="Arial" w:cs="Arial"/>
        </w:rPr>
        <w:t>%</w:t>
      </w:r>
      <w:r w:rsidR="00891119" w:rsidRPr="000A2AE5">
        <w:rPr>
          <w:rFonts w:ascii="Arial" w:eastAsia="Times New Roman" w:hAnsi="Arial" w:cs="Arial"/>
        </w:rPr>
        <w:t>.</w:t>
      </w:r>
      <w:r w:rsidR="00A611C4" w:rsidRPr="000A2AE5">
        <w:rPr>
          <w:rFonts w:ascii="Arial" w:eastAsia="Times New Roman" w:hAnsi="Arial" w:cs="Arial"/>
        </w:rPr>
        <w:t xml:space="preserve"> </w:t>
      </w:r>
    </w:p>
    <w:p w14:paraId="1AB75B7E" w14:textId="3ACF1A53" w:rsidR="00891119" w:rsidRPr="000A2AE5" w:rsidRDefault="00A611C4"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0A2AE5">
        <w:rPr>
          <w:rFonts w:ascii="Arial" w:eastAsia="Times New Roman" w:hAnsi="Arial" w:cs="Arial"/>
        </w:rPr>
        <w:tab/>
      </w:r>
      <w:r w:rsidR="00891119" w:rsidRPr="000A2AE5">
        <w:rPr>
          <w:rFonts w:ascii="Arial" w:eastAsia="Times New Roman" w:hAnsi="Arial" w:cs="Arial"/>
        </w:rPr>
        <w:t xml:space="preserve">- rashodi za zakupnine i najamnine (3235) ostvareni su u iznosu </w:t>
      </w:r>
      <w:r w:rsidR="00E736E0" w:rsidRPr="000A2AE5">
        <w:rPr>
          <w:rFonts w:ascii="Arial" w:eastAsia="Times New Roman" w:hAnsi="Arial" w:cs="Arial"/>
        </w:rPr>
        <w:t>244.984,04</w:t>
      </w:r>
      <w:r w:rsidR="00AC7B53" w:rsidRPr="000A2AE5">
        <w:rPr>
          <w:rFonts w:ascii="Arial" w:eastAsia="Times New Roman" w:hAnsi="Arial" w:cs="Arial"/>
        </w:rPr>
        <w:t xml:space="preserve"> €</w:t>
      </w:r>
      <w:r w:rsidR="00891119" w:rsidRPr="000A2AE5">
        <w:rPr>
          <w:rFonts w:ascii="Arial" w:eastAsia="Times New Roman" w:hAnsi="Arial" w:cs="Arial"/>
        </w:rPr>
        <w:t xml:space="preserve">, </w:t>
      </w:r>
      <w:r w:rsidR="0047499A" w:rsidRPr="000A2AE5">
        <w:rPr>
          <w:rFonts w:ascii="Arial" w:eastAsia="Times New Roman" w:hAnsi="Arial" w:cs="Arial"/>
        </w:rPr>
        <w:t>od čega</w:t>
      </w:r>
      <w:r w:rsidR="00891119" w:rsidRPr="000A2AE5">
        <w:rPr>
          <w:rFonts w:ascii="Arial" w:eastAsia="Times New Roman" w:hAnsi="Arial" w:cs="Arial"/>
        </w:rPr>
        <w:t xml:space="preserve"> Općin</w:t>
      </w:r>
      <w:r w:rsidR="0047499A" w:rsidRPr="000A2AE5">
        <w:rPr>
          <w:rFonts w:ascii="Arial" w:eastAsia="Times New Roman" w:hAnsi="Arial" w:cs="Arial"/>
        </w:rPr>
        <w:t>a</w:t>
      </w:r>
      <w:r w:rsidR="00891119" w:rsidRPr="000A2AE5">
        <w:rPr>
          <w:rFonts w:ascii="Arial" w:eastAsia="Times New Roman" w:hAnsi="Arial" w:cs="Arial"/>
        </w:rPr>
        <w:t xml:space="preserve"> </w:t>
      </w:r>
      <w:r w:rsidR="000A2AE5" w:rsidRPr="000A2AE5">
        <w:rPr>
          <w:rFonts w:ascii="Arial" w:eastAsia="Times New Roman" w:hAnsi="Arial" w:cs="Arial"/>
        </w:rPr>
        <w:t>241.384,04</w:t>
      </w:r>
      <w:r w:rsidR="00AC7B53" w:rsidRPr="000A2AE5">
        <w:rPr>
          <w:rFonts w:ascii="Arial" w:eastAsia="Times New Roman" w:hAnsi="Arial" w:cs="Arial"/>
        </w:rPr>
        <w:t xml:space="preserve"> €</w:t>
      </w:r>
      <w:r w:rsidR="0047499A" w:rsidRPr="000A2AE5">
        <w:rPr>
          <w:rFonts w:ascii="Arial" w:eastAsia="Times New Roman" w:hAnsi="Arial" w:cs="Arial"/>
        </w:rPr>
        <w:t xml:space="preserve"> i proračunski korisnici </w:t>
      </w:r>
      <w:r w:rsidR="000A2AE5" w:rsidRPr="000A2AE5">
        <w:rPr>
          <w:rFonts w:ascii="Arial" w:eastAsia="Times New Roman" w:hAnsi="Arial" w:cs="Arial"/>
        </w:rPr>
        <w:t>3.600</w:t>
      </w:r>
      <w:r w:rsidR="00AC7B53" w:rsidRPr="000A2AE5">
        <w:rPr>
          <w:rFonts w:ascii="Arial" w:eastAsia="Times New Roman" w:hAnsi="Arial" w:cs="Arial"/>
        </w:rPr>
        <w:t xml:space="preserve"> €</w:t>
      </w:r>
      <w:r w:rsidR="0047499A" w:rsidRPr="000A2AE5">
        <w:rPr>
          <w:rFonts w:ascii="Arial" w:eastAsia="Times New Roman" w:hAnsi="Arial" w:cs="Arial"/>
        </w:rPr>
        <w:t xml:space="preserve"> </w:t>
      </w:r>
      <w:r w:rsidR="00891119" w:rsidRPr="000A2AE5">
        <w:rPr>
          <w:rFonts w:ascii="Arial" w:eastAsia="Times New Roman" w:hAnsi="Arial" w:cs="Arial"/>
        </w:rPr>
        <w:t>(</w:t>
      </w:r>
      <w:r w:rsidR="000A2AE5" w:rsidRPr="000A2AE5">
        <w:rPr>
          <w:rFonts w:ascii="Arial" w:eastAsia="Times New Roman" w:hAnsi="Arial" w:cs="Arial"/>
        </w:rPr>
        <w:t>više</w:t>
      </w:r>
      <w:r w:rsidR="004B1B3D" w:rsidRPr="000A2AE5">
        <w:rPr>
          <w:rFonts w:ascii="Arial" w:eastAsia="Times New Roman" w:hAnsi="Arial" w:cs="Arial"/>
        </w:rPr>
        <w:t xml:space="preserve"> </w:t>
      </w:r>
      <w:r w:rsidR="00891119" w:rsidRPr="000A2AE5">
        <w:rPr>
          <w:rFonts w:ascii="Arial" w:eastAsia="Times New Roman" w:hAnsi="Arial" w:cs="Arial"/>
        </w:rPr>
        <w:t>izvršeni rashodi u odnosu na prethodn</w:t>
      </w:r>
      <w:r w:rsidR="004B1B3D" w:rsidRPr="000A2AE5">
        <w:rPr>
          <w:rFonts w:ascii="Arial" w:eastAsia="Times New Roman" w:hAnsi="Arial" w:cs="Arial"/>
        </w:rPr>
        <w:t>o</w:t>
      </w:r>
      <w:r w:rsidR="00891119" w:rsidRPr="000A2AE5">
        <w:rPr>
          <w:rFonts w:ascii="Arial" w:eastAsia="Times New Roman" w:hAnsi="Arial" w:cs="Arial"/>
        </w:rPr>
        <w:t xml:space="preserve"> proračunsk</w:t>
      </w:r>
      <w:r w:rsidR="004B1B3D" w:rsidRPr="000A2AE5">
        <w:rPr>
          <w:rFonts w:ascii="Arial" w:eastAsia="Times New Roman" w:hAnsi="Arial" w:cs="Arial"/>
        </w:rPr>
        <w:t>o</w:t>
      </w:r>
      <w:r w:rsidR="00891119" w:rsidRPr="000A2AE5">
        <w:rPr>
          <w:rFonts w:ascii="Arial" w:eastAsia="Times New Roman" w:hAnsi="Arial" w:cs="Arial"/>
        </w:rPr>
        <w:t xml:space="preserve"> </w:t>
      </w:r>
      <w:r w:rsidR="004B1B3D" w:rsidRPr="000A2AE5">
        <w:rPr>
          <w:rFonts w:ascii="Arial" w:eastAsia="Times New Roman" w:hAnsi="Arial" w:cs="Arial"/>
        </w:rPr>
        <w:t xml:space="preserve">razdoblje </w:t>
      </w:r>
      <w:r w:rsidR="00891119" w:rsidRPr="000A2AE5">
        <w:rPr>
          <w:rFonts w:ascii="Arial" w:eastAsia="Times New Roman" w:hAnsi="Arial" w:cs="Arial"/>
        </w:rPr>
        <w:t xml:space="preserve">za </w:t>
      </w:r>
      <w:r w:rsidR="000A2AE5" w:rsidRPr="000A2AE5">
        <w:rPr>
          <w:rFonts w:ascii="Arial" w:eastAsia="Times New Roman" w:hAnsi="Arial" w:cs="Arial"/>
        </w:rPr>
        <w:t>15.414,77</w:t>
      </w:r>
      <w:r w:rsidR="00AC7B53" w:rsidRPr="000A2AE5">
        <w:rPr>
          <w:rFonts w:ascii="Arial" w:eastAsia="Times New Roman" w:hAnsi="Arial" w:cs="Arial"/>
        </w:rPr>
        <w:t xml:space="preserve"> €</w:t>
      </w:r>
      <w:r w:rsidR="009B6770" w:rsidRPr="000A2AE5">
        <w:rPr>
          <w:rFonts w:ascii="Arial" w:eastAsia="Times New Roman" w:hAnsi="Arial" w:cs="Arial"/>
        </w:rPr>
        <w:t xml:space="preserve"> ili </w:t>
      </w:r>
      <w:r w:rsidR="000A2AE5" w:rsidRPr="000A2AE5">
        <w:rPr>
          <w:rFonts w:ascii="Arial" w:eastAsia="Times New Roman" w:hAnsi="Arial" w:cs="Arial"/>
        </w:rPr>
        <w:t>6,7</w:t>
      </w:r>
      <w:r w:rsidR="009B6770" w:rsidRPr="000A2AE5">
        <w:rPr>
          <w:rFonts w:ascii="Arial" w:eastAsia="Times New Roman" w:hAnsi="Arial" w:cs="Arial"/>
        </w:rPr>
        <w:t>%</w:t>
      </w:r>
      <w:r w:rsidR="006927EB" w:rsidRPr="000A2AE5">
        <w:rPr>
          <w:rFonts w:ascii="Arial" w:eastAsia="Times New Roman" w:hAnsi="Arial" w:cs="Arial"/>
        </w:rPr>
        <w:t>)</w:t>
      </w:r>
      <w:r w:rsidR="00891119" w:rsidRPr="000A2AE5">
        <w:rPr>
          <w:rFonts w:ascii="Arial" w:eastAsia="Times New Roman" w:hAnsi="Arial" w:cs="Arial"/>
        </w:rPr>
        <w:t xml:space="preserve">; ovi rashodi obuhvaćaju rashode za najmove odjeljenja dječjih vrtića u Čilipima i u Cavtatu u ukupnom iznosu </w:t>
      </w:r>
      <w:r w:rsidR="000A2AE5" w:rsidRPr="000A2AE5">
        <w:rPr>
          <w:rFonts w:ascii="Arial" w:eastAsia="Times New Roman" w:hAnsi="Arial" w:cs="Arial"/>
        </w:rPr>
        <w:t>62.100</w:t>
      </w:r>
      <w:r w:rsidR="00AC7B53" w:rsidRPr="000A2AE5">
        <w:rPr>
          <w:rFonts w:ascii="Arial" w:eastAsia="Times New Roman" w:hAnsi="Arial" w:cs="Arial"/>
        </w:rPr>
        <w:t xml:space="preserve"> €</w:t>
      </w:r>
      <w:r w:rsidR="004A16EE" w:rsidRPr="000A2AE5">
        <w:rPr>
          <w:rFonts w:ascii="Arial" w:eastAsia="Times New Roman" w:hAnsi="Arial" w:cs="Arial"/>
        </w:rPr>
        <w:t xml:space="preserve"> (prethodne godine </w:t>
      </w:r>
      <w:r w:rsidR="000A2AE5" w:rsidRPr="000A2AE5">
        <w:rPr>
          <w:rFonts w:ascii="Arial" w:eastAsia="Times New Roman" w:hAnsi="Arial" w:cs="Arial"/>
        </w:rPr>
        <w:t>53.656,20</w:t>
      </w:r>
      <w:r w:rsidR="00AC7B53" w:rsidRPr="000A2AE5">
        <w:rPr>
          <w:rFonts w:ascii="Arial" w:eastAsia="Times New Roman" w:hAnsi="Arial" w:cs="Arial"/>
        </w:rPr>
        <w:t xml:space="preserve"> </w:t>
      </w:r>
      <w:r w:rsidR="004B5388" w:rsidRPr="000A2AE5">
        <w:rPr>
          <w:rFonts w:ascii="Arial" w:eastAsia="Times New Roman" w:hAnsi="Arial" w:cs="Arial"/>
        </w:rPr>
        <w:t>€</w:t>
      </w:r>
      <w:r w:rsidR="004B1B3D" w:rsidRPr="000A2AE5">
        <w:rPr>
          <w:rFonts w:ascii="Arial" w:eastAsia="Times New Roman" w:hAnsi="Arial" w:cs="Arial"/>
        </w:rPr>
        <w:t>, a povećanje se odnosi na iznos poreza na dodanu vrijednost koji uvećava iznos najamnine jednog prostora</w:t>
      </w:r>
      <w:r w:rsidR="004A16EE" w:rsidRPr="000A2AE5">
        <w:rPr>
          <w:rFonts w:ascii="Arial" w:eastAsia="Times New Roman" w:hAnsi="Arial" w:cs="Arial"/>
        </w:rPr>
        <w:t>)</w:t>
      </w:r>
      <w:r w:rsidR="00891119" w:rsidRPr="000A2AE5">
        <w:rPr>
          <w:rFonts w:ascii="Arial" w:eastAsia="Times New Roman" w:hAnsi="Arial" w:cs="Arial"/>
        </w:rPr>
        <w:t xml:space="preserve">, te </w:t>
      </w:r>
      <w:r w:rsidR="004A16EE" w:rsidRPr="000A2AE5">
        <w:rPr>
          <w:rFonts w:ascii="Arial" w:eastAsia="Times New Roman" w:hAnsi="Arial" w:cs="Arial"/>
        </w:rPr>
        <w:t xml:space="preserve">rashode za najam uredskih prostora </w:t>
      </w:r>
      <w:r w:rsidR="000A2AE5" w:rsidRPr="000A2AE5">
        <w:rPr>
          <w:rFonts w:ascii="Arial" w:eastAsia="Times New Roman" w:hAnsi="Arial" w:cs="Arial"/>
        </w:rPr>
        <w:t>89.588,52</w:t>
      </w:r>
      <w:r w:rsidR="00AC7B53" w:rsidRPr="000A2AE5">
        <w:rPr>
          <w:rFonts w:ascii="Arial" w:eastAsia="Times New Roman" w:hAnsi="Arial" w:cs="Arial"/>
        </w:rPr>
        <w:t xml:space="preserve"> €</w:t>
      </w:r>
      <w:r w:rsidR="004A16EE" w:rsidRPr="000A2AE5">
        <w:rPr>
          <w:rFonts w:ascii="Arial" w:eastAsia="Times New Roman" w:hAnsi="Arial" w:cs="Arial"/>
        </w:rPr>
        <w:t xml:space="preserve"> (</w:t>
      </w:r>
      <w:r w:rsidR="00955557" w:rsidRPr="000A2AE5">
        <w:rPr>
          <w:rFonts w:ascii="Arial" w:eastAsia="Times New Roman" w:hAnsi="Arial" w:cs="Arial"/>
        </w:rPr>
        <w:t xml:space="preserve">kao i </w:t>
      </w:r>
      <w:r w:rsidR="004A16EE" w:rsidRPr="000A2AE5">
        <w:rPr>
          <w:rFonts w:ascii="Arial" w:eastAsia="Times New Roman" w:hAnsi="Arial" w:cs="Arial"/>
        </w:rPr>
        <w:t>prethodne godine), te druge najmove objekata i opreme kao što su korpe za sječu granja, najam kamera za video nadzor odlagališta otpada),</w:t>
      </w:r>
      <w:r w:rsidR="00891119" w:rsidRPr="000A2AE5">
        <w:rPr>
          <w:rFonts w:ascii="Arial" w:eastAsia="Times New Roman" w:hAnsi="Arial" w:cs="Arial"/>
        </w:rPr>
        <w:t xml:space="preserve"> </w:t>
      </w:r>
    </w:p>
    <w:p w14:paraId="073DBC3B" w14:textId="79F9EFA0" w:rsidR="00891119" w:rsidRPr="008033FD" w:rsidRDefault="00A611C4"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0A2AE5">
        <w:rPr>
          <w:rFonts w:ascii="Arial" w:eastAsia="Times New Roman" w:hAnsi="Arial" w:cs="Arial"/>
        </w:rPr>
        <w:tab/>
      </w:r>
      <w:r w:rsidR="00891119" w:rsidRPr="000A2AE5">
        <w:rPr>
          <w:rFonts w:ascii="Arial" w:eastAsia="Times New Roman" w:hAnsi="Arial" w:cs="Arial"/>
        </w:rPr>
        <w:t xml:space="preserve">- usluge promidžbe i informiranja (3233) ostvarene su u iznosu </w:t>
      </w:r>
      <w:r w:rsidR="000A2AE5" w:rsidRPr="000A2AE5">
        <w:rPr>
          <w:rFonts w:ascii="Arial" w:eastAsia="Times New Roman" w:hAnsi="Arial" w:cs="Arial"/>
        </w:rPr>
        <w:t>111.229,94</w:t>
      </w:r>
      <w:r w:rsidR="00C8299F" w:rsidRPr="000A2AE5">
        <w:rPr>
          <w:rFonts w:ascii="Arial" w:eastAsia="Times New Roman" w:hAnsi="Arial" w:cs="Arial"/>
        </w:rPr>
        <w:t xml:space="preserve"> €</w:t>
      </w:r>
      <w:r w:rsidR="00891119" w:rsidRPr="000A2AE5">
        <w:rPr>
          <w:rFonts w:ascii="Arial" w:eastAsia="Times New Roman" w:hAnsi="Arial" w:cs="Arial"/>
        </w:rPr>
        <w:t xml:space="preserve"> (ovi rashodi su </w:t>
      </w:r>
      <w:r w:rsidR="00955557" w:rsidRPr="000A2AE5">
        <w:rPr>
          <w:rFonts w:ascii="Arial" w:eastAsia="Times New Roman" w:hAnsi="Arial" w:cs="Arial"/>
        </w:rPr>
        <w:t>veći</w:t>
      </w:r>
      <w:r w:rsidR="00891119" w:rsidRPr="000A2AE5">
        <w:rPr>
          <w:rFonts w:ascii="Arial" w:eastAsia="Times New Roman" w:hAnsi="Arial" w:cs="Arial"/>
        </w:rPr>
        <w:t xml:space="preserve"> u odnosu na prethodnu godinu za </w:t>
      </w:r>
      <w:r w:rsidR="000A2AE5" w:rsidRPr="000A2AE5">
        <w:rPr>
          <w:rFonts w:ascii="Arial" w:eastAsia="Times New Roman" w:hAnsi="Arial" w:cs="Arial"/>
        </w:rPr>
        <w:t>33.498,72</w:t>
      </w:r>
      <w:r w:rsidR="00C8299F" w:rsidRPr="000A2AE5">
        <w:rPr>
          <w:rFonts w:ascii="Arial" w:eastAsia="Times New Roman" w:hAnsi="Arial" w:cs="Arial"/>
        </w:rPr>
        <w:t xml:space="preserve"> €</w:t>
      </w:r>
      <w:r w:rsidR="00891119" w:rsidRPr="000A2AE5">
        <w:rPr>
          <w:rFonts w:ascii="Arial" w:eastAsia="Times New Roman" w:hAnsi="Arial" w:cs="Arial"/>
        </w:rPr>
        <w:t xml:space="preserve"> </w:t>
      </w:r>
      <w:r w:rsidR="00DF58A1" w:rsidRPr="008033FD">
        <w:rPr>
          <w:rFonts w:ascii="Arial" w:eastAsia="Times New Roman" w:hAnsi="Arial" w:cs="Arial"/>
        </w:rPr>
        <w:t xml:space="preserve">ili </w:t>
      </w:r>
      <w:r w:rsidR="000A2AE5" w:rsidRPr="008033FD">
        <w:rPr>
          <w:rFonts w:ascii="Arial" w:eastAsia="Times New Roman" w:hAnsi="Arial" w:cs="Arial"/>
        </w:rPr>
        <w:t>43,1</w:t>
      </w:r>
      <w:r w:rsidR="00DF58A1" w:rsidRPr="008033FD">
        <w:rPr>
          <w:rFonts w:ascii="Arial" w:eastAsia="Times New Roman" w:hAnsi="Arial" w:cs="Arial"/>
        </w:rPr>
        <w:t>%</w:t>
      </w:r>
      <w:r w:rsidR="00891119" w:rsidRPr="008033FD">
        <w:rPr>
          <w:rFonts w:ascii="Arial" w:eastAsia="Times New Roman" w:hAnsi="Arial" w:cs="Arial"/>
        </w:rPr>
        <w:t xml:space="preserve">), i to općina </w:t>
      </w:r>
      <w:r w:rsidR="000A2AE5" w:rsidRPr="008033FD">
        <w:rPr>
          <w:rFonts w:ascii="Arial" w:eastAsia="Times New Roman" w:hAnsi="Arial" w:cs="Arial"/>
        </w:rPr>
        <w:t>105.968,21</w:t>
      </w:r>
      <w:r w:rsidR="00C8299F" w:rsidRPr="008033FD">
        <w:rPr>
          <w:rFonts w:ascii="Arial" w:eastAsia="Times New Roman" w:hAnsi="Arial" w:cs="Arial"/>
        </w:rPr>
        <w:t xml:space="preserve"> €</w:t>
      </w:r>
      <w:r w:rsidR="00891119" w:rsidRPr="008033FD">
        <w:rPr>
          <w:rFonts w:ascii="Arial" w:eastAsia="Times New Roman" w:hAnsi="Arial" w:cs="Arial"/>
        </w:rPr>
        <w:t xml:space="preserve"> (navedeni rashodi uključuju razvoj i održavanje Internet stranice Općine, čestitke povodom blagdana, objave oglasa i natječaja u tisku i Narodnim novinama, tisak službenog glasnika, savjetovanje s javnošću i upravljanje imovinom, te druge usluge promidžbe i informiranja), a proračunski korisnici </w:t>
      </w:r>
      <w:r w:rsidR="000A2AE5" w:rsidRPr="008033FD">
        <w:rPr>
          <w:rFonts w:ascii="Arial" w:eastAsia="Times New Roman" w:hAnsi="Arial" w:cs="Arial"/>
        </w:rPr>
        <w:t>5.261,73</w:t>
      </w:r>
      <w:r w:rsidR="00C8299F" w:rsidRPr="008033FD">
        <w:rPr>
          <w:rFonts w:ascii="Arial" w:eastAsia="Times New Roman" w:hAnsi="Arial" w:cs="Arial"/>
        </w:rPr>
        <w:t xml:space="preserve"> €</w:t>
      </w:r>
      <w:r w:rsidR="00924646" w:rsidRPr="008033FD">
        <w:rPr>
          <w:rFonts w:ascii="Arial" w:eastAsia="Times New Roman" w:hAnsi="Arial" w:cs="Arial"/>
        </w:rPr>
        <w:t xml:space="preserve">. </w:t>
      </w:r>
    </w:p>
    <w:p w14:paraId="0A74C9A0" w14:textId="2389FD1E" w:rsidR="0051251D" w:rsidRPr="008033FD" w:rsidRDefault="00A611C4" w:rsidP="0051251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8033FD">
        <w:rPr>
          <w:rFonts w:ascii="Arial" w:eastAsia="Times New Roman" w:hAnsi="Arial" w:cs="Arial"/>
        </w:rPr>
        <w:tab/>
      </w:r>
      <w:r w:rsidR="00891119" w:rsidRPr="008033FD">
        <w:rPr>
          <w:rFonts w:ascii="Arial" w:eastAsia="Times New Roman" w:hAnsi="Arial" w:cs="Arial"/>
        </w:rPr>
        <w:t xml:space="preserve">- rashodi za usluge telefona, pošte i prijevoza </w:t>
      </w:r>
      <w:r w:rsidR="001C6CAB" w:rsidRPr="008033FD">
        <w:rPr>
          <w:rFonts w:ascii="Arial" w:eastAsia="Times New Roman" w:hAnsi="Arial" w:cs="Arial"/>
        </w:rPr>
        <w:t xml:space="preserve">(3231) </w:t>
      </w:r>
      <w:r w:rsidR="00891119" w:rsidRPr="008033FD">
        <w:rPr>
          <w:rFonts w:ascii="Arial" w:eastAsia="Times New Roman" w:hAnsi="Arial" w:cs="Arial"/>
        </w:rPr>
        <w:t xml:space="preserve">ostvareni su u iznosu </w:t>
      </w:r>
      <w:r w:rsidR="00C474B8" w:rsidRPr="008033FD">
        <w:rPr>
          <w:rFonts w:ascii="Arial" w:eastAsia="Times New Roman" w:hAnsi="Arial" w:cs="Arial"/>
        </w:rPr>
        <w:t>58.984,69</w:t>
      </w:r>
      <w:r w:rsidR="00C8299F" w:rsidRPr="008033FD">
        <w:rPr>
          <w:rFonts w:ascii="Arial" w:eastAsia="Times New Roman" w:hAnsi="Arial" w:cs="Arial"/>
        </w:rPr>
        <w:t xml:space="preserve"> €</w:t>
      </w:r>
      <w:r w:rsidR="00891119" w:rsidRPr="008033FD">
        <w:rPr>
          <w:rFonts w:ascii="Arial" w:eastAsia="Times New Roman" w:hAnsi="Arial" w:cs="Arial"/>
        </w:rPr>
        <w:t xml:space="preserve"> (ovi rashodi su </w:t>
      </w:r>
      <w:r w:rsidR="00C474B8" w:rsidRPr="008033FD">
        <w:rPr>
          <w:rFonts w:ascii="Arial" w:eastAsia="Times New Roman" w:hAnsi="Arial" w:cs="Arial"/>
        </w:rPr>
        <w:t>veći</w:t>
      </w:r>
      <w:r w:rsidR="00891119" w:rsidRPr="008033FD">
        <w:rPr>
          <w:rFonts w:ascii="Arial" w:eastAsia="Times New Roman" w:hAnsi="Arial" w:cs="Arial"/>
        </w:rPr>
        <w:t xml:space="preserve"> u odnosu na prethodnu godinu za </w:t>
      </w:r>
      <w:r w:rsidR="00C474B8" w:rsidRPr="008033FD">
        <w:rPr>
          <w:rFonts w:ascii="Arial" w:eastAsia="Times New Roman" w:hAnsi="Arial" w:cs="Arial"/>
        </w:rPr>
        <w:t>4.634,47</w:t>
      </w:r>
      <w:r w:rsidR="004B1B3D" w:rsidRPr="008033FD">
        <w:rPr>
          <w:rFonts w:ascii="Arial" w:eastAsia="Times New Roman" w:hAnsi="Arial" w:cs="Arial"/>
        </w:rPr>
        <w:t>8</w:t>
      </w:r>
      <w:r w:rsidR="00955557" w:rsidRPr="008033FD">
        <w:rPr>
          <w:rFonts w:ascii="Arial" w:eastAsia="Times New Roman" w:hAnsi="Arial" w:cs="Arial"/>
        </w:rPr>
        <w:t xml:space="preserve"> €</w:t>
      </w:r>
      <w:r w:rsidR="00DF58A1" w:rsidRPr="008033FD">
        <w:rPr>
          <w:rFonts w:ascii="Arial" w:eastAsia="Times New Roman" w:hAnsi="Arial" w:cs="Arial"/>
        </w:rPr>
        <w:t xml:space="preserve"> ili </w:t>
      </w:r>
      <w:r w:rsidR="00C474B8" w:rsidRPr="008033FD">
        <w:rPr>
          <w:rFonts w:ascii="Arial" w:eastAsia="Times New Roman" w:hAnsi="Arial" w:cs="Arial"/>
        </w:rPr>
        <w:t>8,5</w:t>
      </w:r>
      <w:r w:rsidR="00C8299F" w:rsidRPr="008033FD">
        <w:rPr>
          <w:rFonts w:ascii="Arial" w:eastAsia="Times New Roman" w:hAnsi="Arial" w:cs="Arial"/>
        </w:rPr>
        <w:t xml:space="preserve">%), </w:t>
      </w:r>
      <w:r w:rsidR="00891119" w:rsidRPr="008033FD">
        <w:rPr>
          <w:rFonts w:ascii="Arial" w:eastAsia="Times New Roman" w:hAnsi="Arial" w:cs="Arial"/>
        </w:rPr>
        <w:t xml:space="preserve">i to općina </w:t>
      </w:r>
      <w:r w:rsidR="00C474B8" w:rsidRPr="008033FD">
        <w:rPr>
          <w:rFonts w:ascii="Arial" w:eastAsia="Times New Roman" w:hAnsi="Arial" w:cs="Arial"/>
        </w:rPr>
        <w:t>32.930,98</w:t>
      </w:r>
      <w:r w:rsidR="00C8299F" w:rsidRPr="008033FD">
        <w:rPr>
          <w:rFonts w:ascii="Arial" w:eastAsia="Times New Roman" w:hAnsi="Arial" w:cs="Arial"/>
        </w:rPr>
        <w:t xml:space="preserve"> €</w:t>
      </w:r>
      <w:r w:rsidR="00891119" w:rsidRPr="008033FD">
        <w:rPr>
          <w:rFonts w:ascii="Arial" w:eastAsia="Times New Roman" w:hAnsi="Arial" w:cs="Arial"/>
        </w:rPr>
        <w:t xml:space="preserve">, a proračunski korisnici </w:t>
      </w:r>
      <w:r w:rsidR="00C474B8" w:rsidRPr="008033FD">
        <w:rPr>
          <w:rFonts w:ascii="Arial" w:eastAsia="Times New Roman" w:hAnsi="Arial" w:cs="Arial"/>
        </w:rPr>
        <w:t>26.053,71</w:t>
      </w:r>
      <w:r w:rsidR="00C8299F" w:rsidRPr="008033FD">
        <w:rPr>
          <w:rFonts w:ascii="Arial" w:eastAsia="Times New Roman" w:hAnsi="Arial" w:cs="Arial"/>
        </w:rPr>
        <w:t xml:space="preserve"> €</w:t>
      </w:r>
      <w:r w:rsidR="0051251D" w:rsidRPr="008033FD">
        <w:rPr>
          <w:rFonts w:ascii="Arial" w:eastAsia="Times New Roman" w:hAnsi="Arial" w:cs="Arial"/>
        </w:rPr>
        <w:t xml:space="preserve"> (</w:t>
      </w:r>
      <w:r w:rsidR="00955557" w:rsidRPr="008033FD">
        <w:rPr>
          <w:rFonts w:ascii="Arial" w:eastAsia="Times New Roman" w:hAnsi="Arial" w:cs="Arial"/>
        </w:rPr>
        <w:t>U</w:t>
      </w:r>
      <w:r w:rsidR="0051251D" w:rsidRPr="008033FD">
        <w:rPr>
          <w:rFonts w:ascii="Arial" w:eastAsia="Times New Roman" w:hAnsi="Arial" w:cs="Arial"/>
        </w:rPr>
        <w:t xml:space="preserve"> okviru ovih rashoda usluge prijevoza </w:t>
      </w:r>
      <w:r w:rsidR="00955557" w:rsidRPr="008033FD">
        <w:rPr>
          <w:rFonts w:ascii="Arial" w:eastAsia="Times New Roman" w:hAnsi="Arial" w:cs="Arial"/>
        </w:rPr>
        <w:t xml:space="preserve">iznose </w:t>
      </w:r>
      <w:r w:rsidR="00C474B8" w:rsidRPr="008033FD">
        <w:rPr>
          <w:rFonts w:ascii="Arial" w:eastAsia="Times New Roman" w:hAnsi="Arial" w:cs="Arial"/>
        </w:rPr>
        <w:t>13.173,74</w:t>
      </w:r>
      <w:r w:rsidR="00955557" w:rsidRPr="008033FD">
        <w:rPr>
          <w:rFonts w:ascii="Arial" w:eastAsia="Times New Roman" w:hAnsi="Arial" w:cs="Arial"/>
        </w:rPr>
        <w:t xml:space="preserve"> €</w:t>
      </w:r>
      <w:r w:rsidR="0051251D" w:rsidRPr="008033FD">
        <w:rPr>
          <w:rFonts w:ascii="Arial" w:eastAsia="Times New Roman" w:hAnsi="Arial" w:cs="Arial"/>
        </w:rPr>
        <w:t>.)</w:t>
      </w:r>
    </w:p>
    <w:p w14:paraId="2B422023" w14:textId="53EA8247" w:rsidR="00A611C4" w:rsidRPr="008033FD" w:rsidRDefault="00A611C4" w:rsidP="00A611C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8033FD">
        <w:rPr>
          <w:rFonts w:ascii="Arial" w:eastAsia="Times New Roman" w:hAnsi="Arial" w:cs="Arial"/>
        </w:rPr>
        <w:tab/>
        <w:t xml:space="preserve">- rashodi za računalne usluge (3238) ostvareni su u iznosu </w:t>
      </w:r>
      <w:r w:rsidR="00C474B8" w:rsidRPr="008033FD">
        <w:rPr>
          <w:rFonts w:ascii="Arial" w:eastAsia="Times New Roman" w:hAnsi="Arial" w:cs="Arial"/>
        </w:rPr>
        <w:t>62.214,22</w:t>
      </w:r>
      <w:r w:rsidR="00294886" w:rsidRPr="008033FD">
        <w:rPr>
          <w:rFonts w:ascii="Arial" w:eastAsia="Times New Roman" w:hAnsi="Arial" w:cs="Arial"/>
        </w:rPr>
        <w:t xml:space="preserve"> €</w:t>
      </w:r>
      <w:r w:rsidRPr="008033FD">
        <w:rPr>
          <w:rFonts w:ascii="Arial" w:eastAsia="Times New Roman" w:hAnsi="Arial" w:cs="Arial"/>
        </w:rPr>
        <w:t xml:space="preserve"> </w:t>
      </w:r>
      <w:r w:rsidR="00441337" w:rsidRPr="008033FD">
        <w:rPr>
          <w:rFonts w:ascii="Arial" w:eastAsia="Times New Roman" w:hAnsi="Arial" w:cs="Arial"/>
        </w:rPr>
        <w:t xml:space="preserve">(ovi rashodi su veći u odnosu na prethodnu godinu za </w:t>
      </w:r>
      <w:r w:rsidR="00C474B8" w:rsidRPr="008033FD">
        <w:rPr>
          <w:rFonts w:ascii="Arial" w:eastAsia="Times New Roman" w:hAnsi="Arial" w:cs="Arial"/>
        </w:rPr>
        <w:t>20.735,09</w:t>
      </w:r>
      <w:r w:rsidR="00441337" w:rsidRPr="008033FD">
        <w:rPr>
          <w:rFonts w:ascii="Arial" w:eastAsia="Times New Roman" w:hAnsi="Arial" w:cs="Arial"/>
        </w:rPr>
        <w:t xml:space="preserve"> € ili </w:t>
      </w:r>
      <w:r w:rsidR="00C474B8" w:rsidRPr="008033FD">
        <w:rPr>
          <w:rFonts w:ascii="Arial" w:eastAsia="Times New Roman" w:hAnsi="Arial" w:cs="Arial"/>
        </w:rPr>
        <w:t>50</w:t>
      </w:r>
      <w:r w:rsidR="00441337" w:rsidRPr="008033FD">
        <w:rPr>
          <w:rFonts w:ascii="Arial" w:eastAsia="Times New Roman" w:hAnsi="Arial" w:cs="Arial"/>
        </w:rPr>
        <w:t xml:space="preserve">%), </w:t>
      </w:r>
      <w:r w:rsidRPr="008033FD">
        <w:rPr>
          <w:rFonts w:ascii="Arial" w:eastAsia="Times New Roman" w:hAnsi="Arial" w:cs="Arial"/>
        </w:rPr>
        <w:t xml:space="preserve">i to općina </w:t>
      </w:r>
      <w:r w:rsidR="00C474B8" w:rsidRPr="008033FD">
        <w:rPr>
          <w:rFonts w:ascii="Arial" w:eastAsia="Times New Roman" w:hAnsi="Arial" w:cs="Arial"/>
        </w:rPr>
        <w:t>54.368,14</w:t>
      </w:r>
      <w:r w:rsidR="00294886" w:rsidRPr="008033FD">
        <w:rPr>
          <w:rFonts w:ascii="Arial" w:eastAsia="Times New Roman" w:hAnsi="Arial" w:cs="Arial"/>
        </w:rPr>
        <w:t xml:space="preserve"> €</w:t>
      </w:r>
      <w:r w:rsidRPr="008033FD">
        <w:rPr>
          <w:rFonts w:ascii="Arial" w:eastAsia="Times New Roman" w:hAnsi="Arial" w:cs="Arial"/>
        </w:rPr>
        <w:t xml:space="preserve"> (</w:t>
      </w:r>
      <w:r w:rsidR="00955557" w:rsidRPr="008033FD">
        <w:rPr>
          <w:rFonts w:ascii="Arial" w:eastAsia="Times New Roman" w:hAnsi="Arial" w:cs="Arial"/>
        </w:rPr>
        <w:t>od čega</w:t>
      </w:r>
      <w:r w:rsidRPr="008033FD">
        <w:rPr>
          <w:rFonts w:ascii="Arial" w:eastAsia="Times New Roman" w:hAnsi="Arial" w:cs="Arial"/>
        </w:rPr>
        <w:t xml:space="preserve"> usluge održavanja i ažuriranja računalnog programa zajedno za općinu i četiri proračunska korisnika putem sustava općinske riznice</w:t>
      </w:r>
      <w:r w:rsidR="00955557" w:rsidRPr="008033FD">
        <w:rPr>
          <w:rFonts w:ascii="Arial" w:eastAsia="Times New Roman" w:hAnsi="Arial" w:cs="Arial"/>
        </w:rPr>
        <w:t xml:space="preserve"> </w:t>
      </w:r>
      <w:r w:rsidR="00C474B8" w:rsidRPr="008033FD">
        <w:rPr>
          <w:rFonts w:ascii="Arial" w:eastAsia="Times New Roman" w:hAnsi="Arial" w:cs="Arial"/>
        </w:rPr>
        <w:t>53.835,56</w:t>
      </w:r>
      <w:r w:rsidR="00955557" w:rsidRPr="008033FD">
        <w:rPr>
          <w:rFonts w:ascii="Arial" w:eastAsia="Times New Roman" w:hAnsi="Arial" w:cs="Arial"/>
        </w:rPr>
        <w:t xml:space="preserve"> €</w:t>
      </w:r>
      <w:r w:rsidRPr="008033FD">
        <w:rPr>
          <w:rFonts w:ascii="Arial" w:eastAsia="Times New Roman" w:hAnsi="Arial" w:cs="Arial"/>
        </w:rPr>
        <w:t xml:space="preserve">), a proračunski korisnici </w:t>
      </w:r>
      <w:r w:rsidR="00C474B8" w:rsidRPr="008033FD">
        <w:rPr>
          <w:rFonts w:ascii="Arial" w:eastAsia="Times New Roman" w:hAnsi="Arial" w:cs="Arial"/>
        </w:rPr>
        <w:t>7.846,08</w:t>
      </w:r>
      <w:r w:rsidR="00294886" w:rsidRPr="008033FD">
        <w:rPr>
          <w:rFonts w:ascii="Arial" w:eastAsia="Times New Roman" w:hAnsi="Arial" w:cs="Arial"/>
        </w:rPr>
        <w:t xml:space="preserve"> €</w:t>
      </w:r>
      <w:r w:rsidR="004F75CD" w:rsidRPr="008033FD">
        <w:rPr>
          <w:rFonts w:ascii="Arial" w:eastAsia="Times New Roman" w:hAnsi="Arial" w:cs="Arial"/>
        </w:rPr>
        <w:t xml:space="preserve">. </w:t>
      </w:r>
      <w:r w:rsidR="00294886" w:rsidRPr="008033FD">
        <w:rPr>
          <w:rFonts w:ascii="Arial" w:eastAsia="Times New Roman" w:hAnsi="Arial" w:cs="Arial"/>
        </w:rPr>
        <w:t xml:space="preserve">Od 2023., </w:t>
      </w:r>
      <w:r w:rsidR="004F75CD" w:rsidRPr="008033FD">
        <w:rPr>
          <w:rFonts w:ascii="Arial" w:eastAsia="Times New Roman" w:hAnsi="Arial" w:cs="Arial"/>
        </w:rPr>
        <w:t xml:space="preserve">zbog potrebe prilagođavanja programa novim obvezama (uvođenje e-pisarnice, program transparentnosti rashoda i prilagođavanja programa uvođenju </w:t>
      </w:r>
      <w:r w:rsidR="0022395F" w:rsidRPr="008033FD">
        <w:rPr>
          <w:rFonts w:ascii="Arial" w:eastAsia="Times New Roman" w:hAnsi="Arial" w:cs="Arial"/>
        </w:rPr>
        <w:t>eura</w:t>
      </w:r>
      <w:r w:rsidR="007D45A7" w:rsidRPr="008033FD">
        <w:rPr>
          <w:rFonts w:ascii="Arial" w:eastAsia="Times New Roman" w:hAnsi="Arial" w:cs="Arial"/>
        </w:rPr>
        <w:t xml:space="preserve">, </w:t>
      </w:r>
      <w:r w:rsidR="00C474B8" w:rsidRPr="008033FD">
        <w:rPr>
          <w:rFonts w:ascii="Arial" w:eastAsia="Times New Roman" w:hAnsi="Arial" w:cs="Arial"/>
        </w:rPr>
        <w:t xml:space="preserve">uvođenje novih poreza, uvođenje novih evidencija sukladno obvezama </w:t>
      </w:r>
      <w:r w:rsidR="008033FD" w:rsidRPr="008033FD">
        <w:rPr>
          <w:rFonts w:ascii="Arial" w:eastAsia="Times New Roman" w:hAnsi="Arial" w:cs="Arial"/>
        </w:rPr>
        <w:t xml:space="preserve">iz </w:t>
      </w:r>
      <w:r w:rsidR="00C474B8" w:rsidRPr="008033FD">
        <w:rPr>
          <w:rFonts w:ascii="Arial" w:eastAsia="Times New Roman" w:hAnsi="Arial" w:cs="Arial"/>
        </w:rPr>
        <w:t>Pravilnika o proračunskom računovodstvu</w:t>
      </w:r>
      <w:r w:rsidR="008033FD" w:rsidRPr="008033FD">
        <w:rPr>
          <w:rFonts w:ascii="Arial" w:eastAsia="Times New Roman" w:hAnsi="Arial" w:cs="Arial"/>
        </w:rPr>
        <w:t xml:space="preserve"> i računskom planu</w:t>
      </w:r>
      <w:r w:rsidR="00441337" w:rsidRPr="008033FD">
        <w:rPr>
          <w:rFonts w:ascii="Arial" w:eastAsia="Times New Roman" w:hAnsi="Arial" w:cs="Arial"/>
        </w:rPr>
        <w:t>)</w:t>
      </w:r>
      <w:r w:rsidR="004F75CD" w:rsidRPr="008033FD">
        <w:rPr>
          <w:rFonts w:ascii="Arial" w:eastAsia="Times New Roman" w:hAnsi="Arial" w:cs="Arial"/>
        </w:rPr>
        <w:t xml:space="preserve"> rashodi </w:t>
      </w:r>
      <w:r w:rsidR="008033FD" w:rsidRPr="008033FD">
        <w:rPr>
          <w:rFonts w:ascii="Arial" w:eastAsia="Times New Roman" w:hAnsi="Arial" w:cs="Arial"/>
        </w:rPr>
        <w:t>se značajno povećavaju</w:t>
      </w:r>
      <w:r w:rsidRPr="008033FD">
        <w:rPr>
          <w:rFonts w:ascii="Arial" w:eastAsia="Times New Roman" w:hAnsi="Arial" w:cs="Arial"/>
        </w:rPr>
        <w:t>),</w:t>
      </w:r>
    </w:p>
    <w:p w14:paraId="6ACB1732" w14:textId="07E9B5E8" w:rsidR="00D968E2" w:rsidRPr="008033FD" w:rsidRDefault="00AE5F79"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8033FD">
        <w:rPr>
          <w:rFonts w:ascii="Arial" w:eastAsia="Times New Roman" w:hAnsi="Arial" w:cs="Arial"/>
        </w:rPr>
        <w:tab/>
      </w:r>
      <w:r w:rsidR="00891119" w:rsidRPr="008033FD">
        <w:rPr>
          <w:rFonts w:ascii="Arial" w:eastAsia="Times New Roman" w:hAnsi="Arial" w:cs="Arial"/>
        </w:rPr>
        <w:t>- rashodi za ostale usluge (3239) ostva</w:t>
      </w:r>
      <w:r w:rsidR="00A70CBC" w:rsidRPr="008033FD">
        <w:rPr>
          <w:rFonts w:ascii="Arial" w:eastAsia="Times New Roman" w:hAnsi="Arial" w:cs="Arial"/>
        </w:rPr>
        <w:t xml:space="preserve">reni su u iznosu </w:t>
      </w:r>
      <w:r w:rsidR="008033FD" w:rsidRPr="008033FD">
        <w:rPr>
          <w:rFonts w:ascii="Arial" w:eastAsia="Times New Roman" w:hAnsi="Arial" w:cs="Arial"/>
        </w:rPr>
        <w:t>169.789,32</w:t>
      </w:r>
      <w:r w:rsidR="00294886" w:rsidRPr="008033FD">
        <w:rPr>
          <w:rFonts w:ascii="Arial" w:eastAsia="Times New Roman" w:hAnsi="Arial" w:cs="Arial"/>
        </w:rPr>
        <w:t xml:space="preserve"> €</w:t>
      </w:r>
      <w:r w:rsidR="00891119" w:rsidRPr="008033FD">
        <w:rPr>
          <w:rFonts w:ascii="Arial" w:eastAsia="Times New Roman" w:hAnsi="Arial" w:cs="Arial"/>
        </w:rPr>
        <w:t xml:space="preserve"> (</w:t>
      </w:r>
      <w:r w:rsidR="002E390A" w:rsidRPr="008033FD">
        <w:rPr>
          <w:rFonts w:ascii="Arial" w:eastAsia="Times New Roman" w:hAnsi="Arial" w:cs="Arial"/>
        </w:rPr>
        <w:t>više</w:t>
      </w:r>
      <w:r w:rsidR="00891119" w:rsidRPr="008033FD">
        <w:rPr>
          <w:rFonts w:ascii="Arial" w:eastAsia="Times New Roman" w:hAnsi="Arial" w:cs="Arial"/>
        </w:rPr>
        <w:t xml:space="preserve"> u odnosu na prethodnu godinu </w:t>
      </w:r>
      <w:r w:rsidR="008033FD" w:rsidRPr="008033FD">
        <w:rPr>
          <w:rFonts w:ascii="Arial" w:eastAsia="Times New Roman" w:hAnsi="Arial" w:cs="Arial"/>
        </w:rPr>
        <w:t>9.264,10</w:t>
      </w:r>
      <w:r w:rsidR="00294886" w:rsidRPr="008033FD">
        <w:rPr>
          <w:rFonts w:ascii="Arial" w:eastAsia="Times New Roman" w:hAnsi="Arial" w:cs="Arial"/>
        </w:rPr>
        <w:t xml:space="preserve"> €</w:t>
      </w:r>
      <w:r w:rsidRPr="008033FD">
        <w:rPr>
          <w:rFonts w:ascii="Arial" w:eastAsia="Times New Roman" w:hAnsi="Arial" w:cs="Arial"/>
        </w:rPr>
        <w:t xml:space="preserve"> ili </w:t>
      </w:r>
      <w:r w:rsidR="008033FD" w:rsidRPr="008033FD">
        <w:rPr>
          <w:rFonts w:ascii="Arial" w:eastAsia="Times New Roman" w:hAnsi="Arial" w:cs="Arial"/>
        </w:rPr>
        <w:t>5,8</w:t>
      </w:r>
      <w:r w:rsidRPr="008033FD">
        <w:rPr>
          <w:rFonts w:ascii="Arial" w:eastAsia="Times New Roman" w:hAnsi="Arial" w:cs="Arial"/>
        </w:rPr>
        <w:t>%</w:t>
      </w:r>
      <w:r w:rsidR="00891119" w:rsidRPr="008033FD">
        <w:rPr>
          <w:rFonts w:ascii="Arial" w:eastAsia="Times New Roman" w:hAnsi="Arial" w:cs="Arial"/>
        </w:rPr>
        <w:t xml:space="preserve">) i to općina </w:t>
      </w:r>
      <w:r w:rsidR="008033FD" w:rsidRPr="008033FD">
        <w:rPr>
          <w:rFonts w:ascii="Arial" w:eastAsia="Times New Roman" w:hAnsi="Arial" w:cs="Arial"/>
        </w:rPr>
        <w:t>97.042,77</w:t>
      </w:r>
      <w:r w:rsidR="00294886" w:rsidRPr="008033FD">
        <w:rPr>
          <w:rFonts w:ascii="Arial" w:eastAsia="Times New Roman" w:hAnsi="Arial" w:cs="Arial"/>
        </w:rPr>
        <w:t xml:space="preserve"> €</w:t>
      </w:r>
      <w:r w:rsidR="004819B1" w:rsidRPr="008033FD">
        <w:rPr>
          <w:rFonts w:ascii="Arial" w:eastAsia="Times New Roman" w:hAnsi="Arial" w:cs="Arial"/>
        </w:rPr>
        <w:t>, a</w:t>
      </w:r>
      <w:r w:rsidR="00891119" w:rsidRPr="008033FD">
        <w:rPr>
          <w:rFonts w:ascii="Arial" w:eastAsia="Times New Roman" w:hAnsi="Arial" w:cs="Arial"/>
        </w:rPr>
        <w:t xml:space="preserve"> proračunski korisnici </w:t>
      </w:r>
      <w:r w:rsidR="008033FD" w:rsidRPr="008033FD">
        <w:rPr>
          <w:rFonts w:ascii="Arial" w:eastAsia="Times New Roman" w:hAnsi="Arial" w:cs="Arial"/>
        </w:rPr>
        <w:t>72.746,55</w:t>
      </w:r>
      <w:r w:rsidR="00294886" w:rsidRPr="008033FD">
        <w:rPr>
          <w:rFonts w:ascii="Arial" w:eastAsia="Times New Roman" w:hAnsi="Arial" w:cs="Arial"/>
        </w:rPr>
        <w:t xml:space="preserve"> €</w:t>
      </w:r>
      <w:r w:rsidR="00A611C4" w:rsidRPr="008033FD">
        <w:rPr>
          <w:rFonts w:ascii="Arial" w:eastAsia="Times New Roman" w:hAnsi="Arial" w:cs="Arial"/>
        </w:rPr>
        <w:t>.</w:t>
      </w:r>
      <w:r w:rsidR="004819B1" w:rsidRPr="008033FD">
        <w:rPr>
          <w:rFonts w:ascii="Arial" w:eastAsia="Times New Roman" w:hAnsi="Arial" w:cs="Arial"/>
        </w:rPr>
        <w:t xml:space="preserve"> </w:t>
      </w:r>
      <w:r w:rsidR="004819B1" w:rsidRPr="008033FD">
        <w:rPr>
          <w:rFonts w:ascii="Arial" w:eastAsia="Times New Roman" w:hAnsi="Arial" w:cs="Arial"/>
          <w:sz w:val="18"/>
          <w:szCs w:val="18"/>
        </w:rPr>
        <w:t>(</w:t>
      </w:r>
      <w:r w:rsidR="0051251D" w:rsidRPr="008033FD">
        <w:rPr>
          <w:rFonts w:ascii="Arial" w:eastAsia="Times New Roman" w:hAnsi="Arial" w:cs="Arial"/>
          <w:sz w:val="18"/>
          <w:szCs w:val="18"/>
        </w:rPr>
        <w:t xml:space="preserve">Usluge Porezne uprave za naplatu prihoda u visini 1% naplaćenih prihoda za 2018. iznosili su </w:t>
      </w:r>
      <w:r w:rsidR="00294886" w:rsidRPr="008033FD">
        <w:rPr>
          <w:rFonts w:ascii="Arial" w:eastAsia="Times New Roman" w:hAnsi="Arial" w:cs="Arial"/>
          <w:sz w:val="18"/>
          <w:szCs w:val="18"/>
        </w:rPr>
        <w:t>29.781,76 €</w:t>
      </w:r>
      <w:r w:rsidR="0051251D" w:rsidRPr="008033FD">
        <w:rPr>
          <w:rFonts w:ascii="Arial" w:eastAsia="Times New Roman" w:hAnsi="Arial" w:cs="Arial"/>
          <w:sz w:val="18"/>
          <w:szCs w:val="18"/>
        </w:rPr>
        <w:t xml:space="preserve">, za 2019. godinu </w:t>
      </w:r>
      <w:r w:rsidR="00294886" w:rsidRPr="008033FD">
        <w:rPr>
          <w:rFonts w:ascii="Arial" w:eastAsia="Times New Roman" w:hAnsi="Arial" w:cs="Arial"/>
          <w:sz w:val="18"/>
          <w:szCs w:val="18"/>
        </w:rPr>
        <w:t>35.224,82 €</w:t>
      </w:r>
      <w:r w:rsidR="0051251D" w:rsidRPr="008033FD">
        <w:rPr>
          <w:rFonts w:ascii="Arial" w:eastAsia="Times New Roman" w:hAnsi="Arial" w:cs="Arial"/>
          <w:sz w:val="18"/>
          <w:szCs w:val="18"/>
        </w:rPr>
        <w:t xml:space="preserve">, za 2020. iznose </w:t>
      </w:r>
      <w:r w:rsidR="00294886" w:rsidRPr="008033FD">
        <w:rPr>
          <w:rFonts w:ascii="Arial" w:eastAsia="Times New Roman" w:hAnsi="Arial" w:cs="Arial"/>
          <w:sz w:val="18"/>
          <w:szCs w:val="18"/>
        </w:rPr>
        <w:t>26.658,25 €</w:t>
      </w:r>
      <w:r w:rsidR="0051251D" w:rsidRPr="008033FD">
        <w:rPr>
          <w:rFonts w:ascii="Arial" w:eastAsia="Times New Roman" w:hAnsi="Arial" w:cs="Arial"/>
          <w:sz w:val="18"/>
          <w:szCs w:val="18"/>
        </w:rPr>
        <w:t xml:space="preserve">, za 2021. su iznosili </w:t>
      </w:r>
      <w:r w:rsidR="00294886" w:rsidRPr="008033FD">
        <w:rPr>
          <w:rFonts w:ascii="Arial" w:eastAsia="Times New Roman" w:hAnsi="Arial" w:cs="Arial"/>
          <w:sz w:val="18"/>
          <w:szCs w:val="18"/>
        </w:rPr>
        <w:t>23.303,53 €</w:t>
      </w:r>
      <w:r w:rsidR="0051251D" w:rsidRPr="008033FD">
        <w:rPr>
          <w:rFonts w:ascii="Arial" w:eastAsia="Times New Roman" w:hAnsi="Arial" w:cs="Arial"/>
          <w:sz w:val="18"/>
          <w:szCs w:val="18"/>
        </w:rPr>
        <w:t xml:space="preserve">, za 2022. </w:t>
      </w:r>
      <w:r w:rsidR="00294886" w:rsidRPr="008033FD">
        <w:rPr>
          <w:rFonts w:ascii="Arial" w:eastAsia="Times New Roman" w:hAnsi="Arial" w:cs="Arial"/>
          <w:sz w:val="18"/>
          <w:szCs w:val="18"/>
        </w:rPr>
        <w:t xml:space="preserve">su iznosili 32.908,10 €, </w:t>
      </w:r>
      <w:r w:rsidR="00441337" w:rsidRPr="008033FD">
        <w:rPr>
          <w:rFonts w:ascii="Arial" w:eastAsia="Times New Roman" w:hAnsi="Arial" w:cs="Arial"/>
          <w:sz w:val="18"/>
          <w:szCs w:val="18"/>
        </w:rPr>
        <w:t>za</w:t>
      </w:r>
      <w:r w:rsidR="00294886" w:rsidRPr="008033FD">
        <w:rPr>
          <w:rFonts w:ascii="Arial" w:eastAsia="Times New Roman" w:hAnsi="Arial" w:cs="Arial"/>
          <w:sz w:val="18"/>
          <w:szCs w:val="18"/>
        </w:rPr>
        <w:t xml:space="preserve"> 2023. </w:t>
      </w:r>
      <w:r w:rsidR="00441337" w:rsidRPr="008033FD">
        <w:rPr>
          <w:rFonts w:ascii="Arial" w:eastAsia="Times New Roman" w:hAnsi="Arial" w:cs="Arial"/>
          <w:sz w:val="18"/>
          <w:szCs w:val="18"/>
        </w:rPr>
        <w:t xml:space="preserve">su iznosili </w:t>
      </w:r>
      <w:r w:rsidR="00770095" w:rsidRPr="008033FD">
        <w:rPr>
          <w:rFonts w:ascii="Arial" w:eastAsia="Times New Roman" w:hAnsi="Arial" w:cs="Arial"/>
          <w:sz w:val="18"/>
          <w:szCs w:val="18"/>
        </w:rPr>
        <w:t>50.339,27</w:t>
      </w:r>
      <w:r w:rsidR="00294886" w:rsidRPr="008033FD">
        <w:rPr>
          <w:rFonts w:ascii="Arial" w:eastAsia="Times New Roman" w:hAnsi="Arial" w:cs="Arial"/>
          <w:sz w:val="18"/>
          <w:szCs w:val="18"/>
        </w:rPr>
        <w:t xml:space="preserve"> €</w:t>
      </w:r>
      <w:r w:rsidR="00441337" w:rsidRPr="008033FD">
        <w:rPr>
          <w:rFonts w:ascii="Arial" w:eastAsia="Times New Roman" w:hAnsi="Arial" w:cs="Arial"/>
          <w:sz w:val="18"/>
          <w:szCs w:val="18"/>
        </w:rPr>
        <w:t xml:space="preserve">, za 2024. </w:t>
      </w:r>
      <w:r w:rsidR="00AC6571" w:rsidRPr="008033FD">
        <w:rPr>
          <w:rFonts w:ascii="Arial" w:eastAsia="Times New Roman" w:hAnsi="Arial" w:cs="Arial"/>
          <w:sz w:val="18"/>
          <w:szCs w:val="18"/>
        </w:rPr>
        <w:t>su iznosili</w:t>
      </w:r>
      <w:r w:rsidR="00441337" w:rsidRPr="008033FD">
        <w:rPr>
          <w:rFonts w:ascii="Arial" w:eastAsia="Times New Roman" w:hAnsi="Arial" w:cs="Arial"/>
          <w:sz w:val="18"/>
          <w:szCs w:val="18"/>
        </w:rPr>
        <w:t xml:space="preserve"> </w:t>
      </w:r>
      <w:r w:rsidR="007D45A7" w:rsidRPr="008033FD">
        <w:rPr>
          <w:rFonts w:ascii="Arial" w:eastAsia="Times New Roman" w:hAnsi="Arial" w:cs="Arial"/>
          <w:sz w:val="18"/>
          <w:szCs w:val="18"/>
        </w:rPr>
        <w:t>60.248,46</w:t>
      </w:r>
      <w:r w:rsidR="00441337" w:rsidRPr="008033FD">
        <w:rPr>
          <w:rFonts w:ascii="Arial" w:eastAsia="Times New Roman" w:hAnsi="Arial" w:cs="Arial"/>
          <w:sz w:val="18"/>
          <w:szCs w:val="18"/>
        </w:rPr>
        <w:t xml:space="preserve"> €</w:t>
      </w:r>
      <w:r w:rsidR="00AC6571" w:rsidRPr="008033FD">
        <w:rPr>
          <w:rFonts w:ascii="Arial" w:eastAsia="Times New Roman" w:hAnsi="Arial" w:cs="Arial"/>
          <w:sz w:val="18"/>
          <w:szCs w:val="18"/>
        </w:rPr>
        <w:t xml:space="preserve">, dok za 2025. iznose </w:t>
      </w:r>
      <w:r w:rsidR="008033FD" w:rsidRPr="008033FD">
        <w:rPr>
          <w:rFonts w:ascii="Arial" w:eastAsia="Times New Roman" w:hAnsi="Arial" w:cs="Arial"/>
          <w:sz w:val="18"/>
          <w:szCs w:val="18"/>
        </w:rPr>
        <w:t>70.384,26</w:t>
      </w:r>
      <w:r w:rsidR="00AC6571" w:rsidRPr="008033FD">
        <w:rPr>
          <w:rFonts w:ascii="Arial" w:eastAsia="Times New Roman" w:hAnsi="Arial" w:cs="Arial"/>
          <w:sz w:val="18"/>
          <w:szCs w:val="18"/>
        </w:rPr>
        <w:t xml:space="preserve"> €</w:t>
      </w:r>
      <w:r w:rsidR="00294886" w:rsidRPr="008033FD">
        <w:rPr>
          <w:rFonts w:ascii="Arial" w:eastAsia="Times New Roman" w:hAnsi="Arial" w:cs="Arial"/>
          <w:sz w:val="18"/>
          <w:szCs w:val="18"/>
        </w:rPr>
        <w:t>)</w:t>
      </w:r>
      <w:r w:rsidR="00294886" w:rsidRPr="008033FD">
        <w:rPr>
          <w:rFonts w:ascii="Arial" w:eastAsia="Times New Roman" w:hAnsi="Arial" w:cs="Arial"/>
        </w:rPr>
        <w:t>.</w:t>
      </w:r>
    </w:p>
    <w:p w14:paraId="513B4C8D" w14:textId="77777777" w:rsidR="00294886" w:rsidRPr="007D45A7" w:rsidRDefault="00294886"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0C45CAFC" w14:textId="286FEBED" w:rsidR="00D968E2" w:rsidRPr="007D45A7" w:rsidRDefault="00D968E2"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r w:rsidRPr="007D45A7">
        <w:rPr>
          <w:rFonts w:ascii="Arial" w:eastAsia="Times New Roman" w:hAnsi="Arial" w:cs="Arial"/>
          <w:b/>
          <w:bCs/>
        </w:rPr>
        <w:t>Naknade troškova osobama izvan radnog odnosa</w:t>
      </w:r>
      <w:r w:rsidRPr="007D45A7">
        <w:rPr>
          <w:rFonts w:ascii="Arial" w:eastAsia="Times New Roman" w:hAnsi="Arial" w:cs="Arial"/>
        </w:rPr>
        <w:t xml:space="preserve"> (324) izvršeni su u iznosu </w:t>
      </w:r>
      <w:r w:rsidR="008033FD">
        <w:rPr>
          <w:rFonts w:ascii="Arial" w:eastAsia="Times New Roman" w:hAnsi="Arial" w:cs="Arial"/>
        </w:rPr>
        <w:t>4.592,22</w:t>
      </w:r>
      <w:r w:rsidR="006A1054" w:rsidRPr="007D45A7">
        <w:rPr>
          <w:rFonts w:ascii="Arial" w:eastAsia="Times New Roman" w:hAnsi="Arial" w:cs="Arial"/>
        </w:rPr>
        <w:t xml:space="preserve"> </w:t>
      </w:r>
      <w:r w:rsidR="00294886" w:rsidRPr="007D45A7">
        <w:rPr>
          <w:rFonts w:ascii="Arial" w:eastAsia="Times New Roman" w:hAnsi="Arial" w:cs="Arial"/>
        </w:rPr>
        <w:t>€</w:t>
      </w:r>
      <w:r w:rsidRPr="007D45A7">
        <w:rPr>
          <w:rFonts w:ascii="Arial" w:eastAsia="Times New Roman" w:hAnsi="Arial" w:cs="Arial"/>
        </w:rPr>
        <w:t xml:space="preserve"> što je za </w:t>
      </w:r>
      <w:r w:rsidR="008033FD">
        <w:rPr>
          <w:rFonts w:ascii="Arial" w:eastAsia="Times New Roman" w:hAnsi="Arial" w:cs="Arial"/>
        </w:rPr>
        <w:t>2.541,56</w:t>
      </w:r>
      <w:r w:rsidR="00294886" w:rsidRPr="007D45A7">
        <w:rPr>
          <w:rFonts w:ascii="Arial" w:eastAsia="Times New Roman" w:hAnsi="Arial" w:cs="Arial"/>
        </w:rPr>
        <w:t xml:space="preserve"> €</w:t>
      </w:r>
      <w:r w:rsidRPr="007D45A7">
        <w:rPr>
          <w:rFonts w:ascii="Arial" w:eastAsia="Times New Roman" w:hAnsi="Arial" w:cs="Arial"/>
        </w:rPr>
        <w:t xml:space="preserve"> ili </w:t>
      </w:r>
      <w:r w:rsidR="008033FD">
        <w:rPr>
          <w:rFonts w:ascii="Arial" w:eastAsia="Times New Roman" w:hAnsi="Arial" w:cs="Arial"/>
        </w:rPr>
        <w:t>123,9</w:t>
      </w:r>
      <w:r w:rsidRPr="007D45A7">
        <w:rPr>
          <w:rFonts w:ascii="Arial" w:eastAsia="Times New Roman" w:hAnsi="Arial" w:cs="Arial"/>
        </w:rPr>
        <w:t xml:space="preserve">% </w:t>
      </w:r>
      <w:r w:rsidR="00026D16">
        <w:rPr>
          <w:rFonts w:ascii="Arial" w:eastAsia="Times New Roman" w:hAnsi="Arial" w:cs="Arial"/>
        </w:rPr>
        <w:t>više</w:t>
      </w:r>
      <w:r w:rsidRPr="007D45A7">
        <w:rPr>
          <w:rFonts w:ascii="Arial" w:eastAsia="Times New Roman" w:hAnsi="Arial" w:cs="Arial"/>
        </w:rPr>
        <w:t xml:space="preserve"> u odnosu na </w:t>
      </w:r>
      <w:r w:rsidRPr="007D45A7">
        <w:rPr>
          <w:rFonts w:ascii="Arial" w:eastAsia="Times New Roman" w:hAnsi="Arial" w:cs="Arial"/>
          <w:iCs/>
        </w:rPr>
        <w:t xml:space="preserve">izvještajno razdoblje prethodne godine kada su iznosili </w:t>
      </w:r>
      <w:r w:rsidR="008033FD">
        <w:rPr>
          <w:rFonts w:ascii="Arial" w:eastAsia="Times New Roman" w:hAnsi="Arial" w:cs="Arial"/>
          <w:iCs/>
        </w:rPr>
        <w:t>2.050,66</w:t>
      </w:r>
      <w:r w:rsidR="00294886" w:rsidRPr="007D45A7">
        <w:rPr>
          <w:rFonts w:ascii="Arial" w:eastAsia="Times New Roman" w:hAnsi="Arial" w:cs="Arial"/>
          <w:iCs/>
        </w:rPr>
        <w:t xml:space="preserve"> €</w:t>
      </w:r>
      <w:r w:rsidRPr="007D45A7">
        <w:rPr>
          <w:rFonts w:ascii="Arial" w:eastAsia="Times New Roman" w:hAnsi="Arial" w:cs="Arial"/>
          <w:iCs/>
        </w:rPr>
        <w:t xml:space="preserve">. </w:t>
      </w:r>
      <w:r w:rsidR="00067547">
        <w:rPr>
          <w:rFonts w:ascii="Arial" w:eastAsia="Times New Roman" w:hAnsi="Arial" w:cs="Arial"/>
          <w:iCs/>
          <w:color w:val="1F497D" w:themeColor="text2"/>
        </w:rPr>
        <w:t xml:space="preserve">Na rashode </w:t>
      </w:r>
      <w:r w:rsidR="0021122B" w:rsidRPr="0021122B">
        <w:rPr>
          <w:rFonts w:ascii="Arial" w:eastAsia="Times New Roman" w:hAnsi="Arial" w:cs="Arial"/>
          <w:iCs/>
          <w:color w:val="1F497D" w:themeColor="text2"/>
        </w:rPr>
        <w:t>Općine</w:t>
      </w:r>
      <w:r w:rsidR="00067547">
        <w:rPr>
          <w:rFonts w:ascii="Arial" w:eastAsia="Times New Roman" w:hAnsi="Arial" w:cs="Arial"/>
          <w:iCs/>
          <w:color w:val="1F497D" w:themeColor="text2"/>
        </w:rPr>
        <w:t xml:space="preserve"> se odnosi </w:t>
      </w:r>
      <w:r w:rsidR="008033FD">
        <w:rPr>
          <w:rFonts w:ascii="Arial" w:eastAsia="Times New Roman" w:hAnsi="Arial" w:cs="Arial"/>
          <w:iCs/>
          <w:color w:val="1F497D" w:themeColor="text2"/>
        </w:rPr>
        <w:t>4.058,81</w:t>
      </w:r>
      <w:r w:rsidR="00067547">
        <w:rPr>
          <w:rFonts w:ascii="Arial" w:eastAsia="Times New Roman" w:hAnsi="Arial" w:cs="Arial"/>
          <w:iCs/>
          <w:color w:val="1F497D" w:themeColor="text2"/>
        </w:rPr>
        <w:t xml:space="preserve"> €, a na proračunske korisnike 533,41 €</w:t>
      </w:r>
      <w:r w:rsidR="0021122B" w:rsidRPr="0021122B">
        <w:rPr>
          <w:rFonts w:ascii="Arial" w:eastAsia="Times New Roman" w:hAnsi="Arial" w:cs="Arial"/>
          <w:iCs/>
          <w:color w:val="1F497D" w:themeColor="text2"/>
        </w:rPr>
        <w:t>.</w:t>
      </w:r>
      <w:r w:rsidR="00CD3480" w:rsidRPr="0021122B">
        <w:rPr>
          <w:rFonts w:ascii="Arial" w:eastAsia="Times New Roman" w:hAnsi="Arial" w:cs="Arial"/>
          <w:iCs/>
          <w:color w:val="1F497D" w:themeColor="text2"/>
        </w:rPr>
        <w:t xml:space="preserve"> </w:t>
      </w:r>
      <w:r w:rsidR="007D45A7" w:rsidRPr="007D45A7">
        <w:rPr>
          <w:rFonts w:ascii="Arial" w:eastAsia="Times New Roman" w:hAnsi="Arial" w:cs="Arial"/>
          <w:iCs/>
        </w:rPr>
        <w:t>Vrijednosno najznačajnije o</w:t>
      </w:r>
      <w:r w:rsidRPr="007D45A7">
        <w:rPr>
          <w:rFonts w:ascii="Arial" w:eastAsia="Times New Roman" w:hAnsi="Arial" w:cs="Arial"/>
        </w:rPr>
        <w:t xml:space="preserve">ve naknade </w:t>
      </w:r>
      <w:r w:rsidRPr="007D45A7">
        <w:rPr>
          <w:rFonts w:ascii="Arial" w:eastAsia="Times New Roman" w:hAnsi="Arial" w:cs="Arial"/>
          <w:iCs/>
        </w:rPr>
        <w:t xml:space="preserve">(324) </w:t>
      </w:r>
      <w:r w:rsidR="007D45A7" w:rsidRPr="007D45A7">
        <w:rPr>
          <w:rFonts w:ascii="Arial" w:eastAsia="Times New Roman" w:hAnsi="Arial" w:cs="Arial"/>
          <w:iCs/>
        </w:rPr>
        <w:t xml:space="preserve">u iznosu </w:t>
      </w:r>
      <w:r w:rsidR="007A030A">
        <w:rPr>
          <w:rFonts w:ascii="Arial" w:eastAsia="Times New Roman" w:hAnsi="Arial" w:cs="Arial"/>
          <w:iCs/>
        </w:rPr>
        <w:t>968,44</w:t>
      </w:r>
      <w:r w:rsidR="007D45A7" w:rsidRPr="007D45A7">
        <w:rPr>
          <w:rFonts w:ascii="Arial" w:eastAsia="Times New Roman" w:hAnsi="Arial" w:cs="Arial"/>
          <w:iCs/>
        </w:rPr>
        <w:t xml:space="preserve"> € </w:t>
      </w:r>
      <w:r w:rsidRPr="007D45A7">
        <w:rPr>
          <w:rFonts w:ascii="Arial" w:eastAsia="Times New Roman" w:hAnsi="Arial" w:cs="Arial"/>
          <w:iCs/>
        </w:rPr>
        <w:t>se</w:t>
      </w:r>
      <w:r w:rsidR="00441337" w:rsidRPr="007D45A7">
        <w:rPr>
          <w:rFonts w:ascii="Arial" w:eastAsia="Times New Roman" w:hAnsi="Arial" w:cs="Arial"/>
          <w:iCs/>
        </w:rPr>
        <w:t xml:space="preserve"> </w:t>
      </w:r>
      <w:r w:rsidRPr="007D45A7">
        <w:rPr>
          <w:rFonts w:ascii="Arial" w:eastAsia="Times New Roman" w:hAnsi="Arial" w:cs="Arial"/>
          <w:iCs/>
        </w:rPr>
        <w:t>odnose na rashode Općine</w:t>
      </w:r>
      <w:r w:rsidRPr="007D45A7">
        <w:rPr>
          <w:rFonts w:ascii="Arial" w:eastAsia="Times New Roman" w:hAnsi="Arial" w:cs="Arial"/>
        </w:rPr>
        <w:t xml:space="preserve"> (troškovi rada Dubrovačko-neretvanske županije, Upravnog odjela za prostorno uređenje, gradnju i zaštitu okoliša, Ispostava Gruda - putni troškovi izlaska na očevid)</w:t>
      </w:r>
      <w:r w:rsidR="002F04F1" w:rsidRPr="007D45A7">
        <w:rPr>
          <w:rFonts w:ascii="Arial" w:eastAsia="Times New Roman" w:hAnsi="Arial" w:cs="Arial"/>
        </w:rPr>
        <w:t>.</w:t>
      </w:r>
    </w:p>
    <w:p w14:paraId="127F0AEC" w14:textId="77777777" w:rsidR="00D968E2" w:rsidRPr="007D45A7" w:rsidRDefault="00D968E2"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74FA2620" w14:textId="1AD06D55" w:rsidR="00D968E2" w:rsidRDefault="00D968E2"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r w:rsidRPr="007D45A7">
        <w:rPr>
          <w:rFonts w:ascii="Arial" w:eastAsia="Times New Roman" w:hAnsi="Arial" w:cs="Arial"/>
          <w:b/>
          <w:bCs/>
        </w:rPr>
        <w:t>Ostali nespomenuti rashodi poslovanja</w:t>
      </w:r>
      <w:r w:rsidRPr="007D45A7">
        <w:rPr>
          <w:rFonts w:ascii="Arial" w:eastAsia="Times New Roman" w:hAnsi="Arial" w:cs="Arial"/>
        </w:rPr>
        <w:t xml:space="preserve"> (329) izvršeni su u iznosu </w:t>
      </w:r>
      <w:r w:rsidR="007A030A">
        <w:rPr>
          <w:rFonts w:ascii="Arial" w:eastAsia="Times New Roman" w:hAnsi="Arial" w:cs="Arial"/>
        </w:rPr>
        <w:t>287.013,56</w:t>
      </w:r>
      <w:r w:rsidR="002F04F1" w:rsidRPr="007D45A7">
        <w:rPr>
          <w:rFonts w:ascii="Arial" w:eastAsia="Times New Roman" w:hAnsi="Arial" w:cs="Arial"/>
        </w:rPr>
        <w:t xml:space="preserve"> €</w:t>
      </w:r>
      <w:r w:rsidRPr="007D45A7">
        <w:rPr>
          <w:rFonts w:ascii="Arial" w:eastAsia="Times New Roman" w:hAnsi="Arial" w:cs="Arial"/>
        </w:rPr>
        <w:t xml:space="preserve"> što je za </w:t>
      </w:r>
      <w:r w:rsidR="007A030A">
        <w:rPr>
          <w:rFonts w:ascii="Arial" w:eastAsia="Times New Roman" w:hAnsi="Arial" w:cs="Arial"/>
        </w:rPr>
        <w:t>58.848,93</w:t>
      </w:r>
      <w:r w:rsidR="002F04F1" w:rsidRPr="007D45A7">
        <w:rPr>
          <w:rFonts w:ascii="Arial" w:eastAsia="Times New Roman" w:hAnsi="Arial" w:cs="Arial"/>
        </w:rPr>
        <w:t xml:space="preserve"> €</w:t>
      </w:r>
      <w:r w:rsidRPr="007D45A7">
        <w:rPr>
          <w:rFonts w:ascii="Arial" w:eastAsia="Times New Roman" w:hAnsi="Arial" w:cs="Arial"/>
        </w:rPr>
        <w:t xml:space="preserve"> ili </w:t>
      </w:r>
      <w:r w:rsidR="007A030A">
        <w:rPr>
          <w:rFonts w:ascii="Arial" w:eastAsia="Times New Roman" w:hAnsi="Arial" w:cs="Arial"/>
        </w:rPr>
        <w:t>23,6</w:t>
      </w:r>
      <w:r w:rsidRPr="007D45A7">
        <w:rPr>
          <w:rFonts w:ascii="Arial" w:eastAsia="Times New Roman" w:hAnsi="Arial" w:cs="Arial"/>
        </w:rPr>
        <w:t xml:space="preserve">% više u odnosu na prethodnu godinu. </w:t>
      </w:r>
      <w:r w:rsidR="00AB2A1A" w:rsidRPr="00CD3480">
        <w:rPr>
          <w:rFonts w:ascii="Arial" w:eastAsia="Times New Roman" w:hAnsi="Arial" w:cs="Arial"/>
          <w:iCs/>
          <w:color w:val="1F497D" w:themeColor="text2"/>
        </w:rPr>
        <w:t xml:space="preserve">U okviru ovih rashoda (329) izvršeni su rashodi Općine u iznosu </w:t>
      </w:r>
      <w:r w:rsidR="007A030A">
        <w:rPr>
          <w:rFonts w:ascii="Arial" w:eastAsia="Times New Roman" w:hAnsi="Arial" w:cs="Arial"/>
          <w:color w:val="1F497D" w:themeColor="text2"/>
        </w:rPr>
        <w:t>227.434,26</w:t>
      </w:r>
      <w:r w:rsidR="002F04F1" w:rsidRPr="00CD3480">
        <w:rPr>
          <w:rFonts w:ascii="Arial" w:eastAsia="Times New Roman" w:hAnsi="Arial" w:cs="Arial"/>
          <w:color w:val="1F497D" w:themeColor="text2"/>
        </w:rPr>
        <w:t xml:space="preserve"> €</w:t>
      </w:r>
      <w:r w:rsidR="00AB2A1A" w:rsidRPr="00CD3480">
        <w:rPr>
          <w:rFonts w:ascii="Arial" w:eastAsia="Times New Roman" w:hAnsi="Arial" w:cs="Arial"/>
          <w:iCs/>
          <w:color w:val="1F497D" w:themeColor="text2"/>
        </w:rPr>
        <w:t xml:space="preserve"> i rashodi proračunskih korisnika u iznosu </w:t>
      </w:r>
      <w:r w:rsidR="007A030A">
        <w:rPr>
          <w:rFonts w:ascii="Arial" w:eastAsia="Times New Roman" w:hAnsi="Arial" w:cs="Arial"/>
          <w:iCs/>
          <w:color w:val="1F497D" w:themeColor="text2"/>
        </w:rPr>
        <w:t>59.579,30</w:t>
      </w:r>
      <w:r w:rsidR="002F04F1" w:rsidRPr="00CD3480">
        <w:rPr>
          <w:rFonts w:ascii="Arial" w:eastAsia="Times New Roman" w:hAnsi="Arial" w:cs="Arial"/>
          <w:iCs/>
          <w:color w:val="1F497D" w:themeColor="text2"/>
        </w:rPr>
        <w:t xml:space="preserve"> € </w:t>
      </w:r>
      <w:r w:rsidR="00AB2A1A" w:rsidRPr="007D45A7">
        <w:rPr>
          <w:rFonts w:ascii="Arial" w:eastAsia="Times New Roman" w:hAnsi="Arial" w:cs="Arial"/>
          <w:iCs/>
        </w:rPr>
        <w:t xml:space="preserve">(premije osiguranja i druge pristojbe i naknade). </w:t>
      </w:r>
    </w:p>
    <w:p w14:paraId="7BC611D7" w14:textId="77777777" w:rsidR="007A030A" w:rsidRPr="007D45A7" w:rsidRDefault="007A030A"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3501A8AE" w14:textId="621194B9" w:rsidR="00C627EE" w:rsidRDefault="00EF4BC8" w:rsidP="00C627EE">
      <w:pPr>
        <w:spacing w:after="0" w:line="240" w:lineRule="auto"/>
        <w:jc w:val="both"/>
        <w:rPr>
          <w:rFonts w:ascii="Arial" w:eastAsia="Times New Roman" w:hAnsi="Arial" w:cs="Arial"/>
        </w:rPr>
      </w:pPr>
      <w:r>
        <w:rPr>
          <w:rFonts w:ascii="Arial" w:eastAsia="Times New Roman" w:hAnsi="Arial" w:cs="Arial"/>
        </w:rPr>
        <w:lastRenderedPageBreak/>
        <w:t>Rashodi Općine</w:t>
      </w:r>
      <w:r w:rsidR="00C17564" w:rsidRPr="00BE0561">
        <w:rPr>
          <w:rFonts w:ascii="Arial" w:eastAsia="Times New Roman" w:hAnsi="Arial" w:cs="Arial"/>
        </w:rPr>
        <w:t xml:space="preserve"> </w:t>
      </w:r>
      <w:r w:rsidR="00AB2A1A" w:rsidRPr="00BE0561">
        <w:rPr>
          <w:rFonts w:ascii="Arial" w:eastAsia="Times New Roman" w:hAnsi="Arial" w:cs="Arial"/>
        </w:rPr>
        <w:t xml:space="preserve">(329) se odnose na </w:t>
      </w:r>
      <w:r w:rsidR="00C627EE">
        <w:rPr>
          <w:rFonts w:ascii="Arial" w:eastAsia="Times New Roman" w:hAnsi="Arial" w:cs="Arial"/>
        </w:rPr>
        <w:t>naknade rada predstavničkog tijela i ostalih tijela (3291) 72.764,47 € (</w:t>
      </w:r>
      <w:r w:rsidR="00C627EE" w:rsidRPr="00BE0561">
        <w:rPr>
          <w:rFonts w:ascii="Arial" w:eastAsia="Times New Roman" w:hAnsi="Arial" w:cs="Arial"/>
        </w:rPr>
        <w:t xml:space="preserve">naknade rada predstavničkog tijela </w:t>
      </w:r>
      <w:r w:rsidR="00C627EE">
        <w:rPr>
          <w:rFonts w:ascii="Arial" w:eastAsia="Times New Roman" w:hAnsi="Arial" w:cs="Arial"/>
        </w:rPr>
        <w:t>6.494,67</w:t>
      </w:r>
      <w:r w:rsidR="00C627EE" w:rsidRPr="00BE0561">
        <w:rPr>
          <w:rFonts w:ascii="Arial" w:eastAsia="Times New Roman" w:hAnsi="Arial" w:cs="Arial"/>
        </w:rPr>
        <w:t xml:space="preserve"> €, </w:t>
      </w:r>
      <w:r w:rsidR="00C627EE">
        <w:rPr>
          <w:rFonts w:ascii="Arial" w:eastAsia="Times New Roman" w:hAnsi="Arial" w:cs="Arial"/>
        </w:rPr>
        <w:t xml:space="preserve">troškove provedbe lokalnih izbora 65.692,45 € - naknade birački odbori i izborno povjerenstvo, naknade službenog puta članovima predstavničkog tijela 577,35 €), </w:t>
      </w:r>
      <w:r w:rsidR="00C627EE" w:rsidRPr="00BE0561">
        <w:rPr>
          <w:rFonts w:ascii="Arial" w:eastAsia="Times New Roman" w:hAnsi="Arial" w:cs="Arial"/>
        </w:rPr>
        <w:t xml:space="preserve">premije osiguranja (3292) </w:t>
      </w:r>
      <w:r w:rsidR="00C627EE">
        <w:rPr>
          <w:rFonts w:ascii="Arial" w:eastAsia="Times New Roman" w:hAnsi="Arial" w:cs="Arial"/>
        </w:rPr>
        <w:t>14.774,62</w:t>
      </w:r>
      <w:r w:rsidR="00C627EE" w:rsidRPr="00BE0561">
        <w:rPr>
          <w:rFonts w:ascii="Arial" w:eastAsia="Times New Roman" w:hAnsi="Arial" w:cs="Arial"/>
        </w:rPr>
        <w:t xml:space="preserve"> €, reprezentaciju (3293) </w:t>
      </w:r>
      <w:r w:rsidR="00C627EE">
        <w:rPr>
          <w:rFonts w:ascii="Arial" w:eastAsia="Times New Roman" w:hAnsi="Arial" w:cs="Arial"/>
        </w:rPr>
        <w:t>40.518,69</w:t>
      </w:r>
      <w:r w:rsidR="00C627EE" w:rsidRPr="00BE0561">
        <w:rPr>
          <w:rFonts w:ascii="Arial" w:eastAsia="Times New Roman" w:hAnsi="Arial" w:cs="Arial"/>
        </w:rPr>
        <w:t xml:space="preserve"> €, članarine (3294) </w:t>
      </w:r>
      <w:r w:rsidR="00C627EE">
        <w:rPr>
          <w:rFonts w:ascii="Arial" w:eastAsia="Times New Roman" w:hAnsi="Arial" w:cs="Arial"/>
        </w:rPr>
        <w:t>4.918,87</w:t>
      </w:r>
      <w:r w:rsidR="00C627EE" w:rsidRPr="00BE0561">
        <w:rPr>
          <w:rFonts w:ascii="Arial" w:eastAsia="Times New Roman" w:hAnsi="Arial" w:cs="Arial"/>
        </w:rPr>
        <w:t xml:space="preserve"> €, pristojbe i naknade (3295) </w:t>
      </w:r>
      <w:r w:rsidR="00C627EE">
        <w:rPr>
          <w:rFonts w:ascii="Arial" w:eastAsia="Times New Roman" w:hAnsi="Arial" w:cs="Arial"/>
        </w:rPr>
        <w:t>49.437,63</w:t>
      </w:r>
      <w:r w:rsidR="00C627EE" w:rsidRPr="00BE0561">
        <w:rPr>
          <w:rFonts w:ascii="Arial" w:eastAsia="Times New Roman" w:hAnsi="Arial" w:cs="Arial"/>
        </w:rPr>
        <w:t xml:space="preserve"> €, te ostale rashode poslovanja (3299) </w:t>
      </w:r>
      <w:r w:rsidR="00C627EE">
        <w:rPr>
          <w:rFonts w:ascii="Arial" w:eastAsia="Times New Roman" w:hAnsi="Arial" w:cs="Arial"/>
        </w:rPr>
        <w:t>45.019,98</w:t>
      </w:r>
      <w:r w:rsidR="00C627EE" w:rsidRPr="00BE0561">
        <w:rPr>
          <w:rFonts w:ascii="Arial" w:eastAsia="Times New Roman" w:hAnsi="Arial" w:cs="Arial"/>
        </w:rPr>
        <w:t xml:space="preserve"> €. </w:t>
      </w:r>
    </w:p>
    <w:p w14:paraId="06CCA550" w14:textId="77777777" w:rsidR="00C627EE" w:rsidRDefault="00C627EE" w:rsidP="00C627EE">
      <w:pPr>
        <w:spacing w:after="0" w:line="240" w:lineRule="auto"/>
        <w:jc w:val="both"/>
        <w:rPr>
          <w:rFonts w:ascii="Arial" w:eastAsia="Times New Roman" w:hAnsi="Arial" w:cs="Arial"/>
        </w:rPr>
      </w:pPr>
    </w:p>
    <w:p w14:paraId="43CF5055" w14:textId="1BA70C5D" w:rsidR="007A030A" w:rsidRPr="007A030A" w:rsidRDefault="007A030A" w:rsidP="007A030A">
      <w:pPr>
        <w:spacing w:after="0" w:line="240" w:lineRule="auto"/>
        <w:jc w:val="both"/>
        <w:rPr>
          <w:rFonts w:ascii="Arial" w:eastAsia="Times New Roman" w:hAnsi="Arial" w:cs="Arial"/>
        </w:rPr>
      </w:pPr>
      <w:r w:rsidRPr="007A030A">
        <w:rPr>
          <w:rFonts w:ascii="Arial" w:eastAsia="Times New Roman" w:hAnsi="Arial" w:cs="Arial"/>
        </w:rPr>
        <w:t>Odlukom Općinskog vijeća 28. lipnja 2023. godine naknada za r</w:t>
      </w:r>
      <w:r w:rsidR="00C627EE">
        <w:rPr>
          <w:rFonts w:ascii="Arial" w:eastAsia="Times New Roman" w:hAnsi="Arial" w:cs="Arial"/>
        </w:rPr>
        <w:t>a</w:t>
      </w:r>
      <w:r w:rsidRPr="007A030A">
        <w:rPr>
          <w:rFonts w:ascii="Arial" w:eastAsia="Times New Roman" w:hAnsi="Arial" w:cs="Arial"/>
        </w:rPr>
        <w:t xml:space="preserve">d člana općinskog vijeća za sudjelovanje na sjednici je </w:t>
      </w:r>
      <w:r w:rsidR="00C627EE">
        <w:rPr>
          <w:rFonts w:ascii="Arial" w:eastAsia="Times New Roman" w:hAnsi="Arial" w:cs="Arial"/>
        </w:rPr>
        <w:t xml:space="preserve">određena u iznosu </w:t>
      </w:r>
      <w:r w:rsidRPr="007A030A">
        <w:rPr>
          <w:rFonts w:ascii="Arial" w:eastAsia="Times New Roman" w:hAnsi="Arial" w:cs="Arial"/>
        </w:rPr>
        <w:t xml:space="preserve">50 €, a predsjedniku 70 €. U rujnu 2025. izmijenjana je ova odluka. Prema odluci Općinskog vijeća od 23. rujna 2025. godine, naknada članovima općinskog vijeća iznosi neto 100 € po održanoj sjednici, a predsjedniku Općinskog vijeća neto 200 € po održanoj sjednici. </w:t>
      </w:r>
    </w:p>
    <w:p w14:paraId="3E893A1F" w14:textId="09C43A5B" w:rsidR="007A030A" w:rsidRDefault="007A030A" w:rsidP="007A030A">
      <w:pPr>
        <w:spacing w:after="0" w:line="240" w:lineRule="auto"/>
        <w:jc w:val="both"/>
        <w:rPr>
          <w:rFonts w:ascii="Arial" w:eastAsia="Times New Roman" w:hAnsi="Arial" w:cs="Arial"/>
        </w:rPr>
      </w:pPr>
      <w:r w:rsidRPr="007A030A">
        <w:rPr>
          <w:rFonts w:ascii="Arial" w:eastAsia="Times New Roman" w:hAnsi="Arial" w:cs="Arial"/>
        </w:rPr>
        <w:t>U 2025. godini zbog održavanja lokalnih izbora izvršeni su rashodi za naknade za rad biračkih odbora u iznosu 53.509,12 € i naknade za rad izbornog povjerenstva 12.183,33 €.</w:t>
      </w:r>
    </w:p>
    <w:p w14:paraId="384C6A53" w14:textId="77777777" w:rsidR="007A030A" w:rsidRDefault="007A030A" w:rsidP="00AB2A1A">
      <w:pPr>
        <w:spacing w:after="0" w:line="240" w:lineRule="auto"/>
        <w:jc w:val="both"/>
        <w:rPr>
          <w:rFonts w:ascii="Arial" w:eastAsia="Times New Roman" w:hAnsi="Arial" w:cs="Arial"/>
        </w:rPr>
      </w:pPr>
    </w:p>
    <w:p w14:paraId="279471B1" w14:textId="46776202" w:rsidR="007E4013" w:rsidRPr="00BE0561" w:rsidRDefault="007E4013" w:rsidP="007E401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Rashodi proračunskih korisnika (329) iznose </w:t>
      </w:r>
      <w:r w:rsidR="00C627EE">
        <w:rPr>
          <w:rFonts w:ascii="Arial" w:eastAsia="Times New Roman" w:hAnsi="Arial" w:cs="Arial"/>
        </w:rPr>
        <w:t>59.579,30</w:t>
      </w:r>
      <w:r>
        <w:rPr>
          <w:rFonts w:ascii="Arial" w:eastAsia="Times New Roman" w:hAnsi="Arial" w:cs="Arial"/>
        </w:rPr>
        <w:t xml:space="preserve"> €, od čega se vrijednosno značajniji odnose na naknade upravnim vijećima kod proračunskih korisnika </w:t>
      </w:r>
      <w:r w:rsidR="0002069C">
        <w:rPr>
          <w:rFonts w:ascii="Arial" w:eastAsia="Times New Roman" w:hAnsi="Arial" w:cs="Arial"/>
        </w:rPr>
        <w:t>30.637,37</w:t>
      </w:r>
      <w:r>
        <w:rPr>
          <w:rFonts w:ascii="Arial" w:eastAsia="Times New Roman" w:hAnsi="Arial" w:cs="Arial"/>
        </w:rPr>
        <w:t xml:space="preserve"> € (vrtić </w:t>
      </w:r>
      <w:r w:rsidR="0002069C">
        <w:rPr>
          <w:rFonts w:ascii="Arial" w:eastAsia="Times New Roman" w:hAnsi="Arial" w:cs="Arial"/>
        </w:rPr>
        <w:t>10.851,67</w:t>
      </w:r>
      <w:r>
        <w:rPr>
          <w:rFonts w:ascii="Arial" w:eastAsia="Times New Roman" w:hAnsi="Arial" w:cs="Arial"/>
        </w:rPr>
        <w:t xml:space="preserve"> €</w:t>
      </w:r>
      <w:r w:rsidR="0002069C">
        <w:rPr>
          <w:rFonts w:ascii="Arial" w:eastAsia="Times New Roman" w:hAnsi="Arial" w:cs="Arial"/>
        </w:rPr>
        <w:t>, muzeji i galerije 7.465,25 €,</w:t>
      </w:r>
      <w:r>
        <w:rPr>
          <w:rFonts w:ascii="Arial" w:eastAsia="Times New Roman" w:hAnsi="Arial" w:cs="Arial"/>
        </w:rPr>
        <w:t xml:space="preserve"> dom za stare </w:t>
      </w:r>
      <w:r w:rsidR="0002069C">
        <w:rPr>
          <w:rFonts w:ascii="Arial" w:eastAsia="Times New Roman" w:hAnsi="Arial" w:cs="Arial"/>
        </w:rPr>
        <w:t>12.320,45</w:t>
      </w:r>
      <w:r>
        <w:rPr>
          <w:rFonts w:ascii="Arial" w:eastAsia="Times New Roman" w:hAnsi="Arial" w:cs="Arial"/>
        </w:rPr>
        <w:t xml:space="preserve"> €) i premije osiguranja </w:t>
      </w:r>
      <w:r w:rsidR="0002069C">
        <w:rPr>
          <w:rFonts w:ascii="Arial" w:eastAsia="Times New Roman" w:hAnsi="Arial" w:cs="Arial"/>
        </w:rPr>
        <w:t>21.933,08</w:t>
      </w:r>
      <w:r>
        <w:rPr>
          <w:rFonts w:ascii="Arial" w:eastAsia="Times New Roman" w:hAnsi="Arial" w:cs="Arial"/>
        </w:rPr>
        <w:t xml:space="preserve"> €</w:t>
      </w:r>
      <w:r w:rsidR="0002069C">
        <w:rPr>
          <w:rFonts w:ascii="Arial" w:eastAsia="Times New Roman" w:hAnsi="Arial" w:cs="Arial"/>
        </w:rPr>
        <w:t xml:space="preserve"> (od čega osiguranje </w:t>
      </w:r>
      <w:r w:rsidR="001E54FB">
        <w:rPr>
          <w:rFonts w:ascii="Arial" w:eastAsia="Times New Roman" w:hAnsi="Arial" w:cs="Arial"/>
        </w:rPr>
        <w:t xml:space="preserve">zgrade </w:t>
      </w:r>
      <w:r w:rsidR="0002069C">
        <w:rPr>
          <w:rFonts w:ascii="Arial" w:eastAsia="Times New Roman" w:hAnsi="Arial" w:cs="Arial"/>
        </w:rPr>
        <w:t>doma za stare 6.831,74 €,</w:t>
      </w:r>
      <w:r w:rsidR="009A4BF0">
        <w:rPr>
          <w:rFonts w:ascii="Arial" w:eastAsia="Times New Roman" w:hAnsi="Arial" w:cs="Arial"/>
        </w:rPr>
        <w:t xml:space="preserve"> osiguranje imovine u muzejima 4.019,77 €, </w:t>
      </w:r>
      <w:r w:rsidR="00AF10F4">
        <w:rPr>
          <w:rFonts w:ascii="Arial" w:eastAsia="Times New Roman" w:hAnsi="Arial" w:cs="Arial"/>
        </w:rPr>
        <w:t xml:space="preserve">osiguranje u imovine i zaposlenika u vrtiću </w:t>
      </w:r>
      <w:r w:rsidR="001E54FB">
        <w:rPr>
          <w:rFonts w:ascii="Arial" w:eastAsia="Times New Roman" w:hAnsi="Arial" w:cs="Arial"/>
        </w:rPr>
        <w:t>7.751,02 €, osiguranje vozila u vatrogasnoj postrojbi 1.881,44 €)</w:t>
      </w:r>
      <w:r>
        <w:rPr>
          <w:rFonts w:ascii="Arial" w:eastAsia="Times New Roman" w:hAnsi="Arial" w:cs="Arial"/>
        </w:rPr>
        <w:t xml:space="preserve">. </w:t>
      </w:r>
    </w:p>
    <w:p w14:paraId="3982A450" w14:textId="04DA5C36" w:rsidR="007E4013" w:rsidRPr="00BE0561" w:rsidRDefault="007E4013" w:rsidP="00AB2A1A">
      <w:pPr>
        <w:spacing w:after="0" w:line="240" w:lineRule="auto"/>
        <w:jc w:val="both"/>
        <w:rPr>
          <w:rFonts w:ascii="Arial" w:eastAsia="Times New Roman" w:hAnsi="Arial" w:cs="Arial"/>
          <w:iCs/>
        </w:rPr>
      </w:pPr>
    </w:p>
    <w:p w14:paraId="7A28F570" w14:textId="77777777" w:rsidR="008E6B42" w:rsidRDefault="00790C2C" w:rsidP="00211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r w:rsidRPr="00CD3480">
        <w:rPr>
          <w:rFonts w:ascii="Arial" w:eastAsia="Times New Roman" w:hAnsi="Arial" w:cs="Arial"/>
          <w:sz w:val="18"/>
          <w:szCs w:val="18"/>
        </w:rPr>
        <w:t xml:space="preserve">Od ožujka 2020. do studenoga 2021., nije bilo isplate naknada za rad vijećnicima općinskog vijeća, dok naknada za rad upravnih vijeća ustanova </w:t>
      </w:r>
      <w:r w:rsidR="002F04F1" w:rsidRPr="00CD3480">
        <w:rPr>
          <w:rFonts w:ascii="Arial" w:eastAsia="Times New Roman" w:hAnsi="Arial" w:cs="Arial"/>
          <w:sz w:val="18"/>
          <w:szCs w:val="18"/>
        </w:rPr>
        <w:t>nije bilo do konca 2022. godine</w:t>
      </w:r>
      <w:r w:rsidRPr="00CD3480">
        <w:rPr>
          <w:rFonts w:ascii="Arial" w:eastAsia="Times New Roman" w:hAnsi="Arial" w:cs="Arial"/>
          <w:sz w:val="18"/>
          <w:szCs w:val="18"/>
        </w:rPr>
        <w:t>. Naime, nastupanjem okolnosti smanjenih prihoda proračuna sve naknade za rad vijećnicima kao i članovima upravnih vijeća su ukinute u ožujku 2020. Općinsko vijeće je lipnju 2021. donijelo novu Odluku o naknadama vijećnicima Općinskog vijeća (Službeni glasnik Općine Konavle broj 5/2021) kojom su utvrđene naknade za rad u visini važeće dnevnice za službeni put u RH (naknada po održanoj sjednici). U 2021. godini je bila isplaćena naknada samo za jednu održanu sjednicu. U 2022. su isplaćene naknade za preostale održane sjednice iz 2021. godine, kao i iz 2022. godine.</w:t>
      </w:r>
      <w:r w:rsidR="00214D99" w:rsidRPr="00CD3480">
        <w:rPr>
          <w:sz w:val="18"/>
          <w:szCs w:val="18"/>
        </w:rPr>
        <w:t xml:space="preserve"> </w:t>
      </w:r>
      <w:r w:rsidR="00214D99" w:rsidRPr="00CD3480">
        <w:rPr>
          <w:rFonts w:ascii="Arial" w:eastAsia="Times New Roman" w:hAnsi="Arial" w:cs="Arial"/>
          <w:sz w:val="18"/>
          <w:szCs w:val="18"/>
        </w:rPr>
        <w:t>Odlukom Općinskog vijeća 28. lipnja 2023. godine naknada za rad člana općinskog vijeća za sudjelovanje na sjednici je 50 €, a predsjedniku 70 €.</w:t>
      </w:r>
      <w:r w:rsidR="002F04F1" w:rsidRPr="00CD3480">
        <w:rPr>
          <w:rFonts w:ascii="Arial" w:eastAsia="Times New Roman" w:hAnsi="Arial" w:cs="Arial"/>
          <w:sz w:val="18"/>
          <w:szCs w:val="18"/>
        </w:rPr>
        <w:t xml:space="preserve"> </w:t>
      </w:r>
    </w:p>
    <w:p w14:paraId="3EFF66FE" w14:textId="695B99D2" w:rsidR="00790C2C" w:rsidRDefault="002F04F1" w:rsidP="00211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r w:rsidRPr="00CD3480">
        <w:rPr>
          <w:rFonts w:ascii="Arial" w:eastAsia="Times New Roman" w:hAnsi="Arial" w:cs="Arial"/>
          <w:sz w:val="18"/>
          <w:szCs w:val="18"/>
        </w:rPr>
        <w:t>Od početka 2023. isplaćuje se naknada za rad upravnog vijeća dječjih vrtića</w:t>
      </w:r>
      <w:r w:rsidR="001C3B74" w:rsidRPr="00CD3480">
        <w:rPr>
          <w:rFonts w:ascii="Arial" w:eastAsia="Times New Roman" w:hAnsi="Arial" w:cs="Arial"/>
          <w:sz w:val="18"/>
          <w:szCs w:val="18"/>
        </w:rPr>
        <w:t xml:space="preserve"> i u 2024. godine iznosi </w:t>
      </w:r>
      <w:r w:rsidR="00BE0561" w:rsidRPr="00CD3480">
        <w:rPr>
          <w:rFonts w:ascii="Arial" w:eastAsia="Times New Roman" w:hAnsi="Arial" w:cs="Arial"/>
          <w:sz w:val="18"/>
          <w:szCs w:val="18"/>
        </w:rPr>
        <w:t>8.322,60</w:t>
      </w:r>
      <w:r w:rsidR="001C3B74" w:rsidRPr="00CD3480">
        <w:rPr>
          <w:rFonts w:ascii="Arial" w:eastAsia="Times New Roman" w:hAnsi="Arial" w:cs="Arial"/>
          <w:sz w:val="18"/>
          <w:szCs w:val="18"/>
        </w:rPr>
        <w:t xml:space="preserve"> € (u </w:t>
      </w:r>
      <w:r w:rsidRPr="00CD3480">
        <w:rPr>
          <w:rFonts w:ascii="Arial" w:eastAsia="Times New Roman" w:hAnsi="Arial" w:cs="Arial"/>
          <w:sz w:val="18"/>
          <w:szCs w:val="18"/>
        </w:rPr>
        <w:t>2023. ovi rashodi iznos</w:t>
      </w:r>
      <w:r w:rsidR="001C3B74" w:rsidRPr="00CD3480">
        <w:rPr>
          <w:rFonts w:ascii="Arial" w:eastAsia="Times New Roman" w:hAnsi="Arial" w:cs="Arial"/>
          <w:sz w:val="18"/>
          <w:szCs w:val="18"/>
        </w:rPr>
        <w:t>ili</w:t>
      </w:r>
      <w:r w:rsidRPr="00CD3480">
        <w:rPr>
          <w:rFonts w:ascii="Arial" w:eastAsia="Times New Roman" w:hAnsi="Arial" w:cs="Arial"/>
          <w:sz w:val="18"/>
          <w:szCs w:val="18"/>
        </w:rPr>
        <w:t xml:space="preserve"> </w:t>
      </w:r>
      <w:r w:rsidR="00FC25AA" w:rsidRPr="00CD3480">
        <w:rPr>
          <w:rFonts w:ascii="Arial" w:eastAsia="Times New Roman" w:hAnsi="Arial" w:cs="Arial"/>
          <w:sz w:val="18"/>
          <w:szCs w:val="18"/>
        </w:rPr>
        <w:t>7.824,75</w:t>
      </w:r>
      <w:r w:rsidRPr="00CD3480">
        <w:rPr>
          <w:rFonts w:ascii="Arial" w:eastAsia="Times New Roman" w:hAnsi="Arial" w:cs="Arial"/>
          <w:sz w:val="18"/>
          <w:szCs w:val="18"/>
        </w:rPr>
        <w:t xml:space="preserve"> €</w:t>
      </w:r>
      <w:r w:rsidR="001C3B74" w:rsidRPr="00CD3480">
        <w:rPr>
          <w:rFonts w:ascii="Arial" w:eastAsia="Times New Roman" w:hAnsi="Arial" w:cs="Arial"/>
          <w:sz w:val="18"/>
          <w:szCs w:val="18"/>
        </w:rPr>
        <w:t>)</w:t>
      </w:r>
      <w:r w:rsidRPr="00CD3480">
        <w:rPr>
          <w:rFonts w:ascii="Arial" w:eastAsia="Times New Roman" w:hAnsi="Arial" w:cs="Arial"/>
          <w:sz w:val="18"/>
          <w:szCs w:val="18"/>
        </w:rPr>
        <w:t>.</w:t>
      </w:r>
      <w:r w:rsidR="00FC25AA" w:rsidRPr="00CD3480">
        <w:rPr>
          <w:rFonts w:ascii="Arial" w:eastAsia="Times New Roman" w:hAnsi="Arial" w:cs="Arial"/>
          <w:sz w:val="18"/>
          <w:szCs w:val="18"/>
        </w:rPr>
        <w:t xml:space="preserve"> Naknada za rad članova upravnog vijeća u Domu za starije </w:t>
      </w:r>
      <w:r w:rsidR="001C3B74" w:rsidRPr="00CD3480">
        <w:rPr>
          <w:rFonts w:ascii="Arial" w:eastAsia="Times New Roman" w:hAnsi="Arial" w:cs="Arial"/>
          <w:sz w:val="18"/>
          <w:szCs w:val="18"/>
        </w:rPr>
        <w:t>u 2023. je iznosila</w:t>
      </w:r>
      <w:r w:rsidR="00FC25AA" w:rsidRPr="00CD3480">
        <w:rPr>
          <w:rFonts w:ascii="Arial" w:eastAsia="Times New Roman" w:hAnsi="Arial" w:cs="Arial"/>
          <w:sz w:val="18"/>
          <w:szCs w:val="18"/>
        </w:rPr>
        <w:t xml:space="preserve"> 8.536,80 €</w:t>
      </w:r>
      <w:r w:rsidR="001C3B74" w:rsidRPr="00CD3480">
        <w:rPr>
          <w:rFonts w:ascii="Arial" w:eastAsia="Times New Roman" w:hAnsi="Arial" w:cs="Arial"/>
          <w:sz w:val="18"/>
          <w:szCs w:val="18"/>
        </w:rPr>
        <w:t>, a u 2024. godin</w:t>
      </w:r>
      <w:r w:rsidR="001E54FB">
        <w:rPr>
          <w:rFonts w:ascii="Arial" w:eastAsia="Times New Roman" w:hAnsi="Arial" w:cs="Arial"/>
          <w:sz w:val="18"/>
          <w:szCs w:val="18"/>
        </w:rPr>
        <w:t>i</w:t>
      </w:r>
      <w:r w:rsidR="001C3B74" w:rsidRPr="00CD3480">
        <w:rPr>
          <w:rFonts w:ascii="Arial" w:eastAsia="Times New Roman" w:hAnsi="Arial" w:cs="Arial"/>
          <w:sz w:val="18"/>
          <w:szCs w:val="18"/>
        </w:rPr>
        <w:t xml:space="preserve"> </w:t>
      </w:r>
      <w:r w:rsidR="00BE0561" w:rsidRPr="00CD3480">
        <w:rPr>
          <w:rFonts w:ascii="Arial" w:eastAsia="Times New Roman" w:hAnsi="Arial" w:cs="Arial"/>
          <w:sz w:val="18"/>
          <w:szCs w:val="18"/>
        </w:rPr>
        <w:t>8.323,20</w:t>
      </w:r>
      <w:r w:rsidR="001C3B74" w:rsidRPr="00CD3480">
        <w:rPr>
          <w:rFonts w:ascii="Arial" w:eastAsia="Times New Roman" w:hAnsi="Arial" w:cs="Arial"/>
          <w:sz w:val="18"/>
          <w:szCs w:val="18"/>
        </w:rPr>
        <w:t xml:space="preserve"> €</w:t>
      </w:r>
      <w:r w:rsidR="00FC25AA" w:rsidRPr="00CD3480">
        <w:rPr>
          <w:rFonts w:ascii="Arial" w:eastAsia="Times New Roman" w:hAnsi="Arial" w:cs="Arial"/>
          <w:sz w:val="18"/>
          <w:szCs w:val="18"/>
        </w:rPr>
        <w:t>.</w:t>
      </w:r>
      <w:r w:rsidR="001E54FB">
        <w:rPr>
          <w:rFonts w:ascii="Arial" w:eastAsia="Times New Roman" w:hAnsi="Arial" w:cs="Arial"/>
          <w:sz w:val="18"/>
          <w:szCs w:val="18"/>
        </w:rPr>
        <w:t xml:space="preserve"> </w:t>
      </w:r>
      <w:r w:rsidR="008E6B42" w:rsidRPr="008E6B42">
        <w:rPr>
          <w:rFonts w:ascii="Arial" w:eastAsia="Times New Roman" w:hAnsi="Arial" w:cs="Arial"/>
          <w:sz w:val="18"/>
          <w:szCs w:val="18"/>
        </w:rPr>
        <w:t xml:space="preserve">Naknada za rad članova upravnog vijeća u </w:t>
      </w:r>
      <w:r w:rsidR="008E6B42">
        <w:rPr>
          <w:rFonts w:ascii="Arial" w:eastAsia="Times New Roman" w:hAnsi="Arial" w:cs="Arial"/>
          <w:sz w:val="18"/>
          <w:szCs w:val="18"/>
        </w:rPr>
        <w:t>Muzejima i galerijama se isplaćuje od rujna 2025. godine.</w:t>
      </w:r>
    </w:p>
    <w:p w14:paraId="5A00CDA0" w14:textId="77777777" w:rsidR="007E4013" w:rsidRPr="00CD3480" w:rsidRDefault="007E4013" w:rsidP="00211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p>
    <w:p w14:paraId="6890E148" w14:textId="5B44BCE5" w:rsidR="008976D7" w:rsidRPr="006D630F" w:rsidRDefault="001C3B74" w:rsidP="008976D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BE0561">
        <w:rPr>
          <w:rFonts w:ascii="Arial" w:eastAsia="Times New Roman" w:hAnsi="Arial" w:cs="Arial"/>
        </w:rPr>
        <w:t>Sveukupno r</w:t>
      </w:r>
      <w:r w:rsidR="00C17564" w:rsidRPr="00BE0561">
        <w:rPr>
          <w:rFonts w:ascii="Arial" w:eastAsia="Times New Roman" w:hAnsi="Arial" w:cs="Arial"/>
        </w:rPr>
        <w:t xml:space="preserve">ashodi za premije osiguranja (3292) su ostvareni u iznosu </w:t>
      </w:r>
      <w:r w:rsidR="008E6B42">
        <w:rPr>
          <w:rFonts w:ascii="Arial" w:eastAsia="Times New Roman" w:hAnsi="Arial" w:cs="Arial"/>
        </w:rPr>
        <w:t>36.707,70</w:t>
      </w:r>
      <w:r w:rsidR="00B16E53" w:rsidRPr="00BE0561">
        <w:rPr>
          <w:rFonts w:ascii="Arial" w:eastAsia="Times New Roman" w:hAnsi="Arial" w:cs="Arial"/>
        </w:rPr>
        <w:t xml:space="preserve"> €</w:t>
      </w:r>
      <w:r w:rsidR="00C17564" w:rsidRPr="00BE0561">
        <w:rPr>
          <w:rFonts w:ascii="Arial" w:eastAsia="Times New Roman" w:hAnsi="Arial" w:cs="Arial"/>
        </w:rPr>
        <w:t xml:space="preserve"> što je za </w:t>
      </w:r>
      <w:r w:rsidR="008E6B42">
        <w:rPr>
          <w:rFonts w:ascii="Arial" w:eastAsia="Times New Roman" w:hAnsi="Arial" w:cs="Arial"/>
        </w:rPr>
        <w:t>7.832,81</w:t>
      </w:r>
      <w:r w:rsidRPr="00BE0561">
        <w:rPr>
          <w:rFonts w:ascii="Arial" w:eastAsia="Times New Roman" w:hAnsi="Arial" w:cs="Arial"/>
        </w:rPr>
        <w:t xml:space="preserve"> €</w:t>
      </w:r>
      <w:r w:rsidR="00C17564" w:rsidRPr="00BE0561">
        <w:rPr>
          <w:rFonts w:ascii="Arial" w:eastAsia="Times New Roman" w:hAnsi="Arial" w:cs="Arial"/>
        </w:rPr>
        <w:t xml:space="preserve"> ili </w:t>
      </w:r>
      <w:r w:rsidR="008E6B42">
        <w:rPr>
          <w:rFonts w:ascii="Arial" w:eastAsia="Times New Roman" w:hAnsi="Arial" w:cs="Arial"/>
        </w:rPr>
        <w:t>27,1</w:t>
      </w:r>
      <w:r w:rsidR="00C17564" w:rsidRPr="00BE0561">
        <w:rPr>
          <w:rFonts w:ascii="Arial" w:eastAsia="Times New Roman" w:hAnsi="Arial" w:cs="Arial"/>
        </w:rPr>
        <w:t xml:space="preserve">% </w:t>
      </w:r>
      <w:r w:rsidR="00BE0561" w:rsidRPr="00BE0561">
        <w:rPr>
          <w:rFonts w:ascii="Arial" w:eastAsia="Times New Roman" w:hAnsi="Arial" w:cs="Arial"/>
        </w:rPr>
        <w:t>više</w:t>
      </w:r>
      <w:r w:rsidR="00C17564" w:rsidRPr="00BE0561">
        <w:rPr>
          <w:rFonts w:ascii="Arial" w:eastAsia="Times New Roman" w:hAnsi="Arial" w:cs="Arial"/>
        </w:rPr>
        <w:t xml:space="preserve"> od rashoda iskazanih u prethodnoj </w:t>
      </w:r>
      <w:r w:rsidR="00C17564" w:rsidRPr="006D630F">
        <w:rPr>
          <w:rFonts w:ascii="Arial" w:eastAsia="Times New Roman" w:hAnsi="Arial" w:cs="Arial"/>
        </w:rPr>
        <w:t xml:space="preserve">proračunskoj godini (osiguranje vozila, imovine). </w:t>
      </w:r>
      <w:r w:rsidR="008976D7" w:rsidRPr="006D630F">
        <w:rPr>
          <w:rFonts w:ascii="Arial" w:hAnsi="Arial" w:cs="Arial"/>
        </w:rPr>
        <w:t>U 202</w:t>
      </w:r>
      <w:r w:rsidR="007E4013">
        <w:rPr>
          <w:rFonts w:ascii="Arial" w:hAnsi="Arial" w:cs="Arial"/>
        </w:rPr>
        <w:t>5</w:t>
      </w:r>
      <w:r w:rsidR="008976D7" w:rsidRPr="006D630F">
        <w:rPr>
          <w:rFonts w:ascii="Arial" w:hAnsi="Arial" w:cs="Arial"/>
        </w:rPr>
        <w:t xml:space="preserve">., kao niti u </w:t>
      </w:r>
      <w:r w:rsidRPr="006D630F">
        <w:rPr>
          <w:rFonts w:ascii="Arial" w:hAnsi="Arial" w:cs="Arial"/>
        </w:rPr>
        <w:t xml:space="preserve">razdoblju </w:t>
      </w:r>
      <w:r w:rsidR="008976D7" w:rsidRPr="006D630F">
        <w:rPr>
          <w:rFonts w:ascii="Arial" w:hAnsi="Arial" w:cs="Arial"/>
        </w:rPr>
        <w:t>2020</w:t>
      </w:r>
      <w:r w:rsidRPr="006D630F">
        <w:rPr>
          <w:rFonts w:ascii="Arial" w:hAnsi="Arial" w:cs="Arial"/>
        </w:rPr>
        <w:t>-202</w:t>
      </w:r>
      <w:r w:rsidR="007E4013">
        <w:rPr>
          <w:rFonts w:ascii="Arial" w:hAnsi="Arial" w:cs="Arial"/>
        </w:rPr>
        <w:t>4</w:t>
      </w:r>
      <w:r w:rsidR="008976D7" w:rsidRPr="006D630F">
        <w:rPr>
          <w:rFonts w:ascii="Arial" w:hAnsi="Arial" w:cs="Arial"/>
        </w:rPr>
        <w:t>. nije bilo plaćanj</w:t>
      </w:r>
      <w:r w:rsidR="009F07E0">
        <w:rPr>
          <w:rFonts w:ascii="Arial" w:hAnsi="Arial" w:cs="Arial"/>
        </w:rPr>
        <w:t>a</w:t>
      </w:r>
      <w:r w:rsidR="008976D7" w:rsidRPr="006D630F">
        <w:rPr>
          <w:rFonts w:ascii="Arial" w:hAnsi="Arial" w:cs="Arial"/>
        </w:rPr>
        <w:t xml:space="preserve"> premije osiguranja zaposlenika</w:t>
      </w:r>
      <w:r w:rsidR="00AB007F" w:rsidRPr="006D630F">
        <w:rPr>
          <w:rFonts w:ascii="Arial" w:hAnsi="Arial" w:cs="Arial"/>
        </w:rPr>
        <w:t xml:space="preserve"> Općine</w:t>
      </w:r>
      <w:r w:rsidR="008976D7" w:rsidRPr="006D630F">
        <w:rPr>
          <w:rFonts w:ascii="Arial" w:hAnsi="Arial" w:cs="Arial"/>
        </w:rPr>
        <w:t>.</w:t>
      </w:r>
    </w:p>
    <w:p w14:paraId="1A367F7C" w14:textId="77777777" w:rsidR="008976D7" w:rsidRPr="004F2598" w:rsidRDefault="008976D7" w:rsidP="008976D7">
      <w:pPr>
        <w:autoSpaceDE w:val="0"/>
        <w:autoSpaceDN w:val="0"/>
        <w:adjustRightInd w:val="0"/>
        <w:spacing w:after="0" w:line="240" w:lineRule="auto"/>
        <w:jc w:val="both"/>
        <w:rPr>
          <w:rFonts w:ascii="Arial" w:eastAsia="Times New Roman" w:hAnsi="Arial" w:cs="Arial"/>
          <w:color w:val="000000" w:themeColor="text1"/>
        </w:rPr>
      </w:pPr>
    </w:p>
    <w:p w14:paraId="3736ECAB" w14:textId="61143CAA" w:rsidR="00AB1A34" w:rsidRPr="00AB1A34" w:rsidRDefault="00297592" w:rsidP="00AB1A34">
      <w:pPr>
        <w:spacing w:after="0" w:line="240" w:lineRule="auto"/>
        <w:jc w:val="both"/>
        <w:rPr>
          <w:rFonts w:ascii="Arial" w:eastAsia="Times New Roman" w:hAnsi="Arial" w:cs="Arial"/>
        </w:rPr>
      </w:pPr>
      <w:r w:rsidRPr="00AB1A34">
        <w:rPr>
          <w:rFonts w:ascii="Arial" w:eastAsia="Times New Roman" w:hAnsi="Arial" w:cs="Arial"/>
        </w:rPr>
        <w:t>Rashodi za osiguranje</w:t>
      </w:r>
      <w:r w:rsidR="00C17564" w:rsidRPr="00AB1A34">
        <w:rPr>
          <w:rFonts w:ascii="Arial" w:eastAsia="Times New Roman" w:hAnsi="Arial" w:cs="Arial"/>
        </w:rPr>
        <w:t xml:space="preserve"> se odnose na rashode osiguranja prijevoznih sredstava i općinske imovine </w:t>
      </w:r>
      <w:r w:rsidR="00167111" w:rsidRPr="00AB1A34">
        <w:rPr>
          <w:rFonts w:ascii="Arial" w:eastAsia="Times New Roman" w:hAnsi="Arial" w:cs="Arial"/>
        </w:rPr>
        <w:t>14.774,62</w:t>
      </w:r>
      <w:r w:rsidR="00D6328B" w:rsidRPr="00AB1A34">
        <w:rPr>
          <w:rFonts w:ascii="Arial" w:eastAsia="Times New Roman" w:hAnsi="Arial" w:cs="Arial"/>
        </w:rPr>
        <w:t xml:space="preserve"> </w:t>
      </w:r>
      <w:r w:rsidRPr="00AB1A34">
        <w:rPr>
          <w:rFonts w:ascii="Arial" w:eastAsia="Times New Roman" w:hAnsi="Arial" w:cs="Arial"/>
        </w:rPr>
        <w:t>€</w:t>
      </w:r>
      <w:r w:rsidR="00C17564" w:rsidRPr="00AB1A34">
        <w:rPr>
          <w:rFonts w:ascii="Arial" w:eastAsia="Times New Roman" w:hAnsi="Arial" w:cs="Arial"/>
        </w:rPr>
        <w:t xml:space="preserve">, te rashode proračunskih korisnika </w:t>
      </w:r>
      <w:r w:rsidR="00AB1A34" w:rsidRPr="00AB1A34">
        <w:rPr>
          <w:rFonts w:ascii="Arial" w:eastAsia="Times New Roman" w:hAnsi="Arial" w:cs="Arial"/>
        </w:rPr>
        <w:t>21.933,08</w:t>
      </w:r>
      <w:r w:rsidRPr="00AB1A34">
        <w:rPr>
          <w:rFonts w:ascii="Arial" w:eastAsia="Times New Roman" w:hAnsi="Arial" w:cs="Arial"/>
        </w:rPr>
        <w:t xml:space="preserve"> €</w:t>
      </w:r>
      <w:r w:rsidR="00C17564" w:rsidRPr="00AB1A34">
        <w:rPr>
          <w:rFonts w:ascii="Arial" w:eastAsia="Times New Roman" w:hAnsi="Arial" w:cs="Arial"/>
        </w:rPr>
        <w:t xml:space="preserve">. Vrijednosno najznačajniji pojedinačni iznos police odnosi se na plaćanje premije osiguranja imovine. U Općini je to medicinska oprema kardiološke ambulante </w:t>
      </w:r>
      <w:r w:rsidR="00AB1A34" w:rsidRPr="00AB1A34">
        <w:rPr>
          <w:rFonts w:ascii="Arial" w:eastAsia="Times New Roman" w:hAnsi="Arial" w:cs="Arial"/>
        </w:rPr>
        <w:t>2.454,48</w:t>
      </w:r>
      <w:r w:rsidRPr="00AB1A34">
        <w:rPr>
          <w:rFonts w:ascii="Arial" w:eastAsia="Times New Roman" w:hAnsi="Arial" w:cs="Arial"/>
        </w:rPr>
        <w:t xml:space="preserve"> €</w:t>
      </w:r>
      <w:r w:rsidR="001172CB" w:rsidRPr="00AB1A34">
        <w:rPr>
          <w:rFonts w:ascii="Arial" w:eastAsia="Times New Roman" w:hAnsi="Arial" w:cs="Arial"/>
        </w:rPr>
        <w:t>,</w:t>
      </w:r>
      <w:r w:rsidR="004F2598" w:rsidRPr="008E6B42">
        <w:rPr>
          <w:rFonts w:ascii="Arial" w:eastAsia="Times New Roman" w:hAnsi="Arial" w:cs="Arial"/>
          <w:color w:val="C00000"/>
        </w:rPr>
        <w:t xml:space="preserve"> </w:t>
      </w:r>
      <w:r w:rsidR="00C17564" w:rsidRPr="00AB1A34">
        <w:rPr>
          <w:rFonts w:ascii="Arial" w:eastAsia="Times New Roman" w:hAnsi="Arial" w:cs="Arial"/>
        </w:rPr>
        <w:t xml:space="preserve">osiguranje u iznosu </w:t>
      </w:r>
      <w:r w:rsidR="00AB1A34" w:rsidRPr="00AB1A34">
        <w:rPr>
          <w:rFonts w:ascii="Arial" w:eastAsia="Times New Roman" w:hAnsi="Arial" w:cs="Arial"/>
        </w:rPr>
        <w:t>2.422,51</w:t>
      </w:r>
      <w:r w:rsidRPr="00AB1A34">
        <w:rPr>
          <w:rFonts w:ascii="Arial" w:eastAsia="Times New Roman" w:hAnsi="Arial" w:cs="Arial"/>
        </w:rPr>
        <w:t xml:space="preserve"> €</w:t>
      </w:r>
      <w:r w:rsidR="00C17564" w:rsidRPr="00AB1A34">
        <w:rPr>
          <w:rFonts w:ascii="Arial" w:eastAsia="Times New Roman" w:hAnsi="Arial" w:cs="Arial"/>
        </w:rPr>
        <w:t xml:space="preserve"> višenamjenske cisterne za vodu koja je 2019. godine dobivena na korištenje od Ministarstva gospodarstva, poduzetništva i obrta (koristi Javna vatrogasna postrojba)</w:t>
      </w:r>
      <w:r w:rsidRPr="00AB1A34">
        <w:rPr>
          <w:rFonts w:ascii="Arial" w:eastAsia="Times New Roman" w:hAnsi="Arial" w:cs="Arial"/>
        </w:rPr>
        <w:t xml:space="preserve"> </w:t>
      </w:r>
      <w:r w:rsidR="00C63097" w:rsidRPr="00AB1A34">
        <w:rPr>
          <w:rFonts w:ascii="Arial" w:eastAsia="Times New Roman" w:hAnsi="Arial" w:cs="Arial"/>
        </w:rPr>
        <w:t>i drugo</w:t>
      </w:r>
      <w:r w:rsidR="00C17564" w:rsidRPr="008E6B42">
        <w:rPr>
          <w:rFonts w:ascii="Arial" w:eastAsia="Times New Roman" w:hAnsi="Arial" w:cs="Arial"/>
          <w:color w:val="C00000"/>
        </w:rPr>
        <w:t xml:space="preserve">. </w:t>
      </w:r>
      <w:r w:rsidR="00AB1A34">
        <w:rPr>
          <w:rFonts w:ascii="Arial" w:eastAsia="Times New Roman" w:hAnsi="Arial" w:cs="Arial"/>
        </w:rPr>
        <w:t xml:space="preserve">Premije osiguranja u općini su veće nego prethodne godine za 5.702,20 €, a najveće povećanje se odnosi na osiguranje novih vozila nabavljenih putem projekata koji se sufinanciraju EU sredstvima </w:t>
      </w:r>
      <w:r w:rsidR="00AB1A34" w:rsidRPr="00AB1A34">
        <w:rPr>
          <w:rFonts w:ascii="Arial" w:eastAsia="Times New Roman" w:hAnsi="Arial" w:cs="Arial"/>
        </w:rPr>
        <w:t>(Waterlink i To 0 waste – osiguranje tri vozila i drona 5.645,63 €).</w:t>
      </w:r>
    </w:p>
    <w:p w14:paraId="1ACF65DC" w14:textId="77777777" w:rsidR="00AB1A34" w:rsidRPr="00AB1A34" w:rsidRDefault="00AB1A34" w:rsidP="00C17564">
      <w:pPr>
        <w:autoSpaceDE w:val="0"/>
        <w:autoSpaceDN w:val="0"/>
        <w:adjustRightInd w:val="0"/>
        <w:spacing w:after="0" w:line="240" w:lineRule="auto"/>
        <w:jc w:val="both"/>
        <w:rPr>
          <w:rFonts w:ascii="Arial" w:eastAsia="Times New Roman" w:hAnsi="Arial" w:cs="Arial"/>
        </w:rPr>
      </w:pPr>
    </w:p>
    <w:p w14:paraId="39FBD262" w14:textId="7C378288" w:rsidR="00C17564" w:rsidRPr="00AB1A34" w:rsidRDefault="00C17564" w:rsidP="00C17564">
      <w:pPr>
        <w:autoSpaceDE w:val="0"/>
        <w:autoSpaceDN w:val="0"/>
        <w:adjustRightInd w:val="0"/>
        <w:spacing w:after="0" w:line="240" w:lineRule="auto"/>
        <w:jc w:val="both"/>
        <w:rPr>
          <w:rFonts w:ascii="Arial" w:eastAsia="Times New Roman" w:hAnsi="Arial" w:cs="Arial"/>
        </w:rPr>
      </w:pPr>
      <w:r w:rsidRPr="00AB1A34">
        <w:rPr>
          <w:rFonts w:ascii="Arial" w:eastAsia="Times New Roman" w:hAnsi="Arial" w:cs="Arial"/>
        </w:rPr>
        <w:t xml:space="preserve">Kod proračunskih korisnika vrijednosno najznačajniji rashodi odnose se na osiguranje imovine i opreme doma za starije i nemoćne osobe </w:t>
      </w:r>
      <w:r w:rsidR="00AB1A34" w:rsidRPr="00AB1A34">
        <w:rPr>
          <w:rFonts w:ascii="Arial" w:eastAsia="Times New Roman" w:hAnsi="Arial" w:cs="Arial"/>
        </w:rPr>
        <w:t>6.831,74</w:t>
      </w:r>
      <w:r w:rsidR="00925528" w:rsidRPr="00AB1A34">
        <w:rPr>
          <w:rFonts w:ascii="Arial" w:eastAsia="Times New Roman" w:hAnsi="Arial" w:cs="Arial"/>
        </w:rPr>
        <w:t xml:space="preserve"> </w:t>
      </w:r>
      <w:r w:rsidR="00297592" w:rsidRPr="00AB1A34">
        <w:rPr>
          <w:rFonts w:ascii="Arial" w:eastAsia="Times New Roman" w:hAnsi="Arial" w:cs="Arial"/>
        </w:rPr>
        <w:t>€</w:t>
      </w:r>
      <w:r w:rsidRPr="00AB1A34">
        <w:rPr>
          <w:rFonts w:ascii="Arial" w:eastAsia="Times New Roman" w:hAnsi="Arial" w:cs="Arial"/>
        </w:rPr>
        <w:t xml:space="preserve"> (osiguranje zgrade koja je dana na korištenje Domu, ali je u vlasništvu Općine, te osiguranje opreme koja je u dana u vlasništvo Domu).</w:t>
      </w:r>
    </w:p>
    <w:p w14:paraId="0CC2D7B7" w14:textId="77777777" w:rsidR="00C17564" w:rsidRPr="00BB2C3F" w:rsidRDefault="00C17564" w:rsidP="00C1756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7AEC20A6" w14:textId="0FD7DC46" w:rsidR="008976D7" w:rsidRPr="00BB2C3F" w:rsidRDefault="00D968E2" w:rsidP="008976D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BB2C3F">
        <w:rPr>
          <w:rFonts w:ascii="Arial" w:eastAsia="Times New Roman" w:hAnsi="Arial" w:cs="Arial"/>
        </w:rPr>
        <w:lastRenderedPageBreak/>
        <w:t xml:space="preserve">Rashodi za reprezentaciju (3293) ostvareni su u iznosu </w:t>
      </w:r>
      <w:r w:rsidR="00AB1A34" w:rsidRPr="00BB2C3F">
        <w:rPr>
          <w:rFonts w:ascii="Arial" w:eastAsia="Times New Roman" w:hAnsi="Arial" w:cs="Arial"/>
        </w:rPr>
        <w:t>46.102,16</w:t>
      </w:r>
      <w:r w:rsidR="00297592" w:rsidRPr="00BB2C3F">
        <w:rPr>
          <w:rFonts w:ascii="Arial" w:eastAsia="Times New Roman" w:hAnsi="Arial" w:cs="Arial"/>
        </w:rPr>
        <w:t xml:space="preserve"> €</w:t>
      </w:r>
      <w:r w:rsidRPr="00BB2C3F">
        <w:rPr>
          <w:rFonts w:ascii="Arial" w:eastAsia="Times New Roman" w:hAnsi="Arial" w:cs="Arial"/>
        </w:rPr>
        <w:t xml:space="preserve"> što je za </w:t>
      </w:r>
      <w:r w:rsidR="00AB1A34" w:rsidRPr="00BB2C3F">
        <w:rPr>
          <w:rFonts w:ascii="Arial" w:eastAsia="Times New Roman" w:hAnsi="Arial" w:cs="Arial"/>
        </w:rPr>
        <w:t>17.505,96</w:t>
      </w:r>
      <w:r w:rsidR="006D630F" w:rsidRPr="00BB2C3F">
        <w:rPr>
          <w:rFonts w:ascii="Arial" w:eastAsia="Times New Roman" w:hAnsi="Arial" w:cs="Arial"/>
        </w:rPr>
        <w:t xml:space="preserve"> </w:t>
      </w:r>
      <w:r w:rsidR="00297592" w:rsidRPr="00BB2C3F">
        <w:rPr>
          <w:rFonts w:ascii="Arial" w:eastAsia="Times New Roman" w:hAnsi="Arial" w:cs="Arial"/>
        </w:rPr>
        <w:t>€</w:t>
      </w:r>
      <w:r w:rsidRPr="00BB2C3F">
        <w:rPr>
          <w:rFonts w:ascii="Arial" w:eastAsia="Times New Roman" w:hAnsi="Arial" w:cs="Arial"/>
        </w:rPr>
        <w:t xml:space="preserve"> </w:t>
      </w:r>
      <w:r w:rsidR="00AB1A34" w:rsidRPr="00BB2C3F">
        <w:rPr>
          <w:rFonts w:ascii="Arial" w:eastAsia="Times New Roman" w:hAnsi="Arial" w:cs="Arial"/>
        </w:rPr>
        <w:t xml:space="preserve">ili 27,5% manje </w:t>
      </w:r>
      <w:r w:rsidRPr="00BB2C3F">
        <w:rPr>
          <w:rFonts w:ascii="Arial" w:eastAsia="Times New Roman" w:hAnsi="Arial" w:cs="Arial"/>
        </w:rPr>
        <w:t xml:space="preserve">nego prethodne godine. </w:t>
      </w:r>
      <w:r w:rsidR="008976D7" w:rsidRPr="00BB2C3F">
        <w:rPr>
          <w:rFonts w:ascii="Arial" w:hAnsi="Arial" w:cs="Arial"/>
        </w:rPr>
        <w:t xml:space="preserve">Vrijednosno najznačajniji ovi rashodi se odnose na restoranske usluge prigodom obilježavanja </w:t>
      </w:r>
      <w:r w:rsidR="00C07967" w:rsidRPr="00BB2C3F">
        <w:rPr>
          <w:rFonts w:ascii="Arial" w:hAnsi="Arial" w:cs="Arial"/>
        </w:rPr>
        <w:t xml:space="preserve">božićnih </w:t>
      </w:r>
      <w:r w:rsidR="008976D7" w:rsidRPr="00BB2C3F">
        <w:rPr>
          <w:rFonts w:ascii="Arial" w:hAnsi="Arial" w:cs="Arial"/>
        </w:rPr>
        <w:t>blagdana te drugi rashodi povodom obilježavanja blagdana, obljetnica</w:t>
      </w:r>
      <w:r w:rsidR="00C07967" w:rsidRPr="00BB2C3F">
        <w:rPr>
          <w:rFonts w:ascii="Arial" w:hAnsi="Arial" w:cs="Arial"/>
        </w:rPr>
        <w:t>, protokolarnih posjeta</w:t>
      </w:r>
      <w:r w:rsidR="008976D7" w:rsidRPr="00BB2C3F">
        <w:rPr>
          <w:rFonts w:ascii="Arial" w:hAnsi="Arial" w:cs="Arial"/>
        </w:rPr>
        <w:t xml:space="preserve"> i slično. </w:t>
      </w:r>
      <w:r w:rsidR="00C07967" w:rsidRPr="00BB2C3F">
        <w:rPr>
          <w:rFonts w:ascii="Arial" w:hAnsi="Arial" w:cs="Arial"/>
        </w:rPr>
        <w:t xml:space="preserve">Rashode za </w:t>
      </w:r>
      <w:r w:rsidR="00BB2C3F" w:rsidRPr="00BB2C3F">
        <w:rPr>
          <w:rFonts w:ascii="Arial" w:hAnsi="Arial" w:cs="Arial"/>
        </w:rPr>
        <w:t xml:space="preserve">reprezentaciju prigodom </w:t>
      </w:r>
      <w:r w:rsidR="00C07967" w:rsidRPr="00BB2C3F">
        <w:rPr>
          <w:rFonts w:ascii="Arial" w:hAnsi="Arial" w:cs="Arial"/>
        </w:rPr>
        <w:t xml:space="preserve">obilježavanje Dana Općine </w:t>
      </w:r>
      <w:r w:rsidR="00BB2C3F" w:rsidRPr="00BB2C3F">
        <w:rPr>
          <w:rFonts w:ascii="Arial" w:hAnsi="Arial" w:cs="Arial"/>
        </w:rPr>
        <w:t>su izvršeni u iznosu 10.986,18 €</w:t>
      </w:r>
      <w:r w:rsidR="00C07967" w:rsidRPr="00BB2C3F">
        <w:rPr>
          <w:rFonts w:ascii="Arial" w:hAnsi="Arial" w:cs="Arial"/>
        </w:rPr>
        <w:t xml:space="preserve">. Rashodi </w:t>
      </w:r>
      <w:r w:rsidR="00BB2C3F" w:rsidRPr="00BB2C3F">
        <w:rPr>
          <w:rFonts w:ascii="Arial" w:hAnsi="Arial" w:cs="Arial"/>
        </w:rPr>
        <w:t xml:space="preserve">za reprezentaciju </w:t>
      </w:r>
      <w:r w:rsidR="00C07967" w:rsidRPr="00BB2C3F">
        <w:rPr>
          <w:rFonts w:ascii="Arial" w:hAnsi="Arial" w:cs="Arial"/>
        </w:rPr>
        <w:t xml:space="preserve">Općine iznose </w:t>
      </w:r>
      <w:r w:rsidR="00BB2C3F" w:rsidRPr="00BB2C3F">
        <w:rPr>
          <w:rFonts w:ascii="Arial" w:hAnsi="Arial" w:cs="Arial"/>
        </w:rPr>
        <w:t>40.518,69</w:t>
      </w:r>
      <w:r w:rsidR="00C07967" w:rsidRPr="00BB2C3F">
        <w:rPr>
          <w:rFonts w:ascii="Arial" w:hAnsi="Arial" w:cs="Arial"/>
        </w:rPr>
        <w:t xml:space="preserve"> €, a rashodi proračunskih korisnika </w:t>
      </w:r>
      <w:r w:rsidR="00BB2C3F" w:rsidRPr="00BB2C3F">
        <w:rPr>
          <w:rFonts w:ascii="Arial" w:hAnsi="Arial" w:cs="Arial"/>
        </w:rPr>
        <w:t>5.583,47</w:t>
      </w:r>
      <w:r w:rsidR="00C07967" w:rsidRPr="00BB2C3F">
        <w:rPr>
          <w:rFonts w:ascii="Arial" w:hAnsi="Arial" w:cs="Arial"/>
        </w:rPr>
        <w:t xml:space="preserve"> €.</w:t>
      </w:r>
    </w:p>
    <w:p w14:paraId="7F632AF1" w14:textId="4FAD67C8" w:rsidR="00C17564" w:rsidRPr="00D245FF" w:rsidRDefault="00C17564" w:rsidP="008976D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6D21AAC2" w14:textId="20AF3399" w:rsidR="00C17564" w:rsidRPr="00D245FF" w:rsidRDefault="00C17564" w:rsidP="008976D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D245FF">
        <w:rPr>
          <w:rFonts w:ascii="Arial" w:eastAsia="Times New Roman" w:hAnsi="Arial" w:cs="Arial"/>
        </w:rPr>
        <w:t xml:space="preserve">Rashodi za članarine (3294) su ostvareni u iznosu </w:t>
      </w:r>
      <w:r w:rsidR="00925528" w:rsidRPr="00D245FF">
        <w:rPr>
          <w:rFonts w:ascii="Arial" w:eastAsia="Times New Roman" w:hAnsi="Arial" w:cs="Arial"/>
        </w:rPr>
        <w:t>5.238,87</w:t>
      </w:r>
      <w:r w:rsidR="00297592" w:rsidRPr="00D245FF">
        <w:rPr>
          <w:rFonts w:ascii="Arial" w:eastAsia="Times New Roman" w:hAnsi="Arial" w:cs="Arial"/>
        </w:rPr>
        <w:t xml:space="preserve"> €</w:t>
      </w:r>
      <w:r w:rsidRPr="00D245FF">
        <w:rPr>
          <w:rFonts w:ascii="Arial" w:eastAsia="Times New Roman" w:hAnsi="Arial" w:cs="Arial"/>
        </w:rPr>
        <w:t>, od čega se odnose na rashode Općine</w:t>
      </w:r>
      <w:r w:rsidR="007D335E" w:rsidRPr="00D245FF">
        <w:rPr>
          <w:rFonts w:ascii="Arial" w:eastAsia="Times New Roman" w:hAnsi="Arial" w:cs="Arial"/>
        </w:rPr>
        <w:t xml:space="preserve"> </w:t>
      </w:r>
      <w:r w:rsidR="00925528" w:rsidRPr="00D245FF">
        <w:rPr>
          <w:rFonts w:ascii="Arial" w:eastAsia="Times New Roman" w:hAnsi="Arial" w:cs="Arial"/>
        </w:rPr>
        <w:t>4.918,87</w:t>
      </w:r>
      <w:r w:rsidR="007D335E" w:rsidRPr="00D245FF">
        <w:rPr>
          <w:rFonts w:ascii="Arial" w:eastAsia="Times New Roman" w:hAnsi="Arial" w:cs="Arial"/>
        </w:rPr>
        <w:t xml:space="preserve"> €</w:t>
      </w:r>
      <w:r w:rsidRPr="00D245FF">
        <w:rPr>
          <w:rFonts w:ascii="Arial" w:eastAsia="Times New Roman" w:hAnsi="Arial" w:cs="Arial"/>
        </w:rPr>
        <w:t xml:space="preserve"> (članarina Zajednica Općina</w:t>
      </w:r>
      <w:r w:rsidR="007D335E" w:rsidRPr="00D245FF">
        <w:rPr>
          <w:rFonts w:ascii="Arial" w:eastAsia="Times New Roman" w:hAnsi="Arial" w:cs="Arial"/>
        </w:rPr>
        <w:t>, članarina Lokalna akcijska skupina u ribarstvu</w:t>
      </w:r>
      <w:r w:rsidR="00C07967" w:rsidRPr="00D245FF">
        <w:rPr>
          <w:rFonts w:ascii="Arial" w:eastAsia="Times New Roman" w:hAnsi="Arial" w:cs="Arial"/>
        </w:rPr>
        <w:t>,</w:t>
      </w:r>
      <w:r w:rsidR="007D335E" w:rsidRPr="00D245FF">
        <w:rPr>
          <w:rFonts w:ascii="Arial" w:eastAsia="Times New Roman" w:hAnsi="Arial" w:cs="Arial"/>
        </w:rPr>
        <w:t xml:space="preserve"> članarina lokalna akcijska grupa Dubrovačka traversa)</w:t>
      </w:r>
      <w:r w:rsidRPr="00D245FF">
        <w:rPr>
          <w:rFonts w:ascii="Arial" w:eastAsia="Times New Roman" w:hAnsi="Arial" w:cs="Arial"/>
        </w:rPr>
        <w:t xml:space="preserve">, a </w:t>
      </w:r>
      <w:r w:rsidR="006D630F" w:rsidRPr="00D245FF">
        <w:rPr>
          <w:rFonts w:ascii="Arial" w:eastAsia="Times New Roman" w:hAnsi="Arial" w:cs="Arial"/>
        </w:rPr>
        <w:t>320</w:t>
      </w:r>
      <w:r w:rsidR="007D335E" w:rsidRPr="00D245FF">
        <w:rPr>
          <w:rFonts w:ascii="Arial" w:eastAsia="Times New Roman" w:hAnsi="Arial" w:cs="Arial"/>
        </w:rPr>
        <w:t xml:space="preserve"> €</w:t>
      </w:r>
      <w:r w:rsidRPr="00D245FF">
        <w:rPr>
          <w:rFonts w:ascii="Arial" w:eastAsia="Times New Roman" w:hAnsi="Arial" w:cs="Arial"/>
        </w:rPr>
        <w:t xml:space="preserve"> na proračunsk</w:t>
      </w:r>
      <w:r w:rsidR="007D335E" w:rsidRPr="00D245FF">
        <w:rPr>
          <w:rFonts w:ascii="Arial" w:eastAsia="Times New Roman" w:hAnsi="Arial" w:cs="Arial"/>
        </w:rPr>
        <w:t>og korisnika</w:t>
      </w:r>
      <w:r w:rsidRPr="00D245FF">
        <w:rPr>
          <w:rFonts w:ascii="Arial" w:eastAsia="Times New Roman" w:hAnsi="Arial" w:cs="Arial"/>
        </w:rPr>
        <w:t xml:space="preserve">. </w:t>
      </w:r>
    </w:p>
    <w:p w14:paraId="71195B5A" w14:textId="77777777" w:rsidR="00D968E2" w:rsidRPr="00D245FF" w:rsidRDefault="00D968E2"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5CF9F5B7" w14:textId="6FB456A3" w:rsidR="004456F7" w:rsidRPr="0090617B" w:rsidRDefault="00D968E2"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D245FF">
        <w:rPr>
          <w:rFonts w:ascii="Arial" w:eastAsia="Times New Roman" w:hAnsi="Arial" w:cs="Arial"/>
        </w:rPr>
        <w:t xml:space="preserve">Rashodi za pristojbe i naknade (3295) su ostvareni u iznosu </w:t>
      </w:r>
      <w:r w:rsidR="00D245FF" w:rsidRPr="00D245FF">
        <w:rPr>
          <w:rFonts w:ascii="Arial" w:eastAsia="Times New Roman" w:hAnsi="Arial" w:cs="Arial"/>
        </w:rPr>
        <w:t>50.007,33</w:t>
      </w:r>
      <w:r w:rsidR="007D335E" w:rsidRPr="00D245FF">
        <w:rPr>
          <w:rFonts w:ascii="Arial" w:eastAsia="Times New Roman" w:hAnsi="Arial" w:cs="Arial"/>
        </w:rPr>
        <w:t xml:space="preserve"> €</w:t>
      </w:r>
      <w:r w:rsidRPr="00D245FF">
        <w:rPr>
          <w:rFonts w:ascii="Arial" w:eastAsia="Times New Roman" w:hAnsi="Arial" w:cs="Arial"/>
        </w:rPr>
        <w:t xml:space="preserve"> što je </w:t>
      </w:r>
      <w:r w:rsidR="00D245FF" w:rsidRPr="00D245FF">
        <w:rPr>
          <w:rFonts w:ascii="Arial" w:eastAsia="Times New Roman" w:hAnsi="Arial" w:cs="Arial"/>
        </w:rPr>
        <w:t>manje</w:t>
      </w:r>
      <w:r w:rsidRPr="00D245FF">
        <w:rPr>
          <w:rFonts w:ascii="Arial" w:eastAsia="Times New Roman" w:hAnsi="Arial" w:cs="Arial"/>
        </w:rPr>
        <w:t xml:space="preserve"> za </w:t>
      </w:r>
      <w:r w:rsidR="00D245FF" w:rsidRPr="00D245FF">
        <w:rPr>
          <w:rFonts w:ascii="Arial" w:eastAsia="Times New Roman" w:hAnsi="Arial" w:cs="Arial"/>
        </w:rPr>
        <w:t>1.013,54</w:t>
      </w:r>
      <w:r w:rsidR="003D19ED" w:rsidRPr="00D245FF">
        <w:rPr>
          <w:rFonts w:ascii="Arial" w:eastAsia="Times New Roman" w:hAnsi="Arial" w:cs="Arial"/>
        </w:rPr>
        <w:t xml:space="preserve"> €</w:t>
      </w:r>
      <w:r w:rsidR="00D245FF" w:rsidRPr="00D245FF">
        <w:rPr>
          <w:rFonts w:ascii="Arial" w:eastAsia="Times New Roman" w:hAnsi="Arial" w:cs="Arial"/>
        </w:rPr>
        <w:t xml:space="preserve"> ili 2%</w:t>
      </w:r>
      <w:r w:rsidRPr="00D245FF">
        <w:rPr>
          <w:rFonts w:ascii="Arial" w:eastAsia="Times New Roman" w:hAnsi="Arial" w:cs="Arial"/>
        </w:rPr>
        <w:t xml:space="preserve"> u odnosu na prethodnu proračunsku godinu kada </w:t>
      </w:r>
      <w:r w:rsidRPr="0090617B">
        <w:rPr>
          <w:rFonts w:ascii="Arial" w:eastAsia="Times New Roman" w:hAnsi="Arial" w:cs="Arial"/>
        </w:rPr>
        <w:t xml:space="preserve">su iznosili </w:t>
      </w:r>
      <w:r w:rsidR="00D245FF" w:rsidRPr="0090617B">
        <w:rPr>
          <w:rFonts w:ascii="Arial" w:eastAsia="Times New Roman" w:hAnsi="Arial" w:cs="Arial"/>
        </w:rPr>
        <w:t>51.020,87</w:t>
      </w:r>
      <w:r w:rsidR="003D19ED" w:rsidRPr="0090617B">
        <w:rPr>
          <w:rFonts w:ascii="Arial" w:eastAsia="Times New Roman" w:hAnsi="Arial" w:cs="Arial"/>
        </w:rPr>
        <w:t xml:space="preserve"> €</w:t>
      </w:r>
      <w:r w:rsidR="00C07967" w:rsidRPr="0090617B">
        <w:rPr>
          <w:rFonts w:ascii="Arial" w:eastAsia="Times New Roman" w:hAnsi="Arial" w:cs="Arial"/>
        </w:rPr>
        <w:t>.</w:t>
      </w:r>
      <w:r w:rsidRPr="0090617B">
        <w:rPr>
          <w:rFonts w:ascii="Arial" w:eastAsia="Times New Roman" w:hAnsi="Arial" w:cs="Arial"/>
        </w:rPr>
        <w:t xml:space="preserve"> Ovi rashodi se odnose na javnobilježničke i sudske pristojbe, upravne pristojbe, troškove očevida, te novčane naknade poslodavca zbog nezapošljavanja osoba s invaliditetom. </w:t>
      </w:r>
      <w:r w:rsidR="004456F7" w:rsidRPr="0090617B">
        <w:rPr>
          <w:rFonts w:ascii="Arial" w:eastAsia="Times New Roman" w:hAnsi="Arial" w:cs="Arial"/>
        </w:rPr>
        <w:t xml:space="preserve">Rashodi Općine iznose </w:t>
      </w:r>
      <w:r w:rsidR="00D245FF" w:rsidRPr="0090617B">
        <w:rPr>
          <w:rFonts w:ascii="Arial" w:eastAsia="Times New Roman" w:hAnsi="Arial" w:cs="Arial"/>
        </w:rPr>
        <w:t>49.437,63</w:t>
      </w:r>
      <w:r w:rsidR="007D335E" w:rsidRPr="0090617B">
        <w:rPr>
          <w:rFonts w:ascii="Arial" w:eastAsia="Times New Roman" w:hAnsi="Arial" w:cs="Arial"/>
        </w:rPr>
        <w:t xml:space="preserve"> €</w:t>
      </w:r>
      <w:r w:rsidR="004456F7" w:rsidRPr="0090617B">
        <w:rPr>
          <w:rFonts w:ascii="Arial" w:eastAsia="Times New Roman" w:hAnsi="Arial" w:cs="Arial"/>
        </w:rPr>
        <w:t xml:space="preserve">, a rashodi proračunskih korisnika </w:t>
      </w:r>
      <w:r w:rsidR="00D245FF" w:rsidRPr="0090617B">
        <w:rPr>
          <w:rFonts w:ascii="Arial" w:eastAsia="Times New Roman" w:hAnsi="Arial" w:cs="Arial"/>
        </w:rPr>
        <w:t>569,70</w:t>
      </w:r>
      <w:r w:rsidR="007D335E" w:rsidRPr="0090617B">
        <w:rPr>
          <w:rFonts w:ascii="Arial" w:eastAsia="Times New Roman" w:hAnsi="Arial" w:cs="Arial"/>
        </w:rPr>
        <w:t xml:space="preserve"> €</w:t>
      </w:r>
      <w:r w:rsidR="004456F7" w:rsidRPr="0090617B">
        <w:rPr>
          <w:rFonts w:ascii="Arial" w:eastAsia="Times New Roman" w:hAnsi="Arial" w:cs="Arial"/>
        </w:rPr>
        <w:t>.</w:t>
      </w:r>
    </w:p>
    <w:p w14:paraId="7BDDCC85" w14:textId="77777777" w:rsidR="004456F7" w:rsidRPr="0090617B" w:rsidRDefault="004456F7"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29660CA7" w14:textId="16AD9261" w:rsidR="0021122B" w:rsidRPr="0090617B" w:rsidRDefault="00D968E2"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b/>
          <w:bCs/>
          <w:i/>
          <w:iCs/>
        </w:rPr>
      </w:pPr>
      <w:r w:rsidRPr="0090617B">
        <w:rPr>
          <w:rFonts w:ascii="Arial" w:eastAsia="Times New Roman" w:hAnsi="Arial" w:cs="Arial"/>
        </w:rPr>
        <w:t xml:space="preserve">Ranijih godina su u okviru ovih rashoda </w:t>
      </w:r>
      <w:r w:rsidR="00C17564" w:rsidRPr="0090617B">
        <w:rPr>
          <w:rFonts w:ascii="Arial" w:eastAsia="Times New Roman" w:hAnsi="Arial" w:cs="Arial"/>
        </w:rPr>
        <w:t xml:space="preserve">(3295) </w:t>
      </w:r>
      <w:r w:rsidRPr="0090617B">
        <w:rPr>
          <w:rFonts w:ascii="Arial" w:eastAsia="Times New Roman" w:hAnsi="Arial" w:cs="Arial"/>
        </w:rPr>
        <w:t xml:space="preserve">bili iskazani rashodi za </w:t>
      </w:r>
      <w:r w:rsidRPr="0090617B">
        <w:rPr>
          <w:rFonts w:ascii="Arial" w:eastAsia="Times New Roman" w:hAnsi="Arial" w:cs="Arial"/>
          <w:b/>
          <w:bCs/>
          <w:i/>
          <w:iCs/>
        </w:rPr>
        <w:t>plaćenu naknadu za zadržavanje nezakonito izgrađenih zgrada</w:t>
      </w:r>
      <w:r w:rsidR="0021122B" w:rsidRPr="0090617B">
        <w:rPr>
          <w:rFonts w:ascii="Arial" w:eastAsia="Times New Roman" w:hAnsi="Arial" w:cs="Arial"/>
          <w:b/>
          <w:bCs/>
          <w:i/>
          <w:iCs/>
        </w:rPr>
        <w:t>.</w:t>
      </w:r>
      <w:r w:rsidR="0021122B" w:rsidRPr="0090617B">
        <w:rPr>
          <w:rFonts w:ascii="Arial" w:eastAsia="Times New Roman" w:hAnsi="Arial" w:cs="Arial"/>
        </w:rPr>
        <w:t xml:space="preserve"> U 202</w:t>
      </w:r>
      <w:r w:rsidR="00925528" w:rsidRPr="0090617B">
        <w:rPr>
          <w:rFonts w:ascii="Arial" w:eastAsia="Times New Roman" w:hAnsi="Arial" w:cs="Arial"/>
        </w:rPr>
        <w:t>5</w:t>
      </w:r>
      <w:r w:rsidR="0021122B" w:rsidRPr="0090617B">
        <w:rPr>
          <w:rFonts w:ascii="Arial" w:eastAsia="Times New Roman" w:hAnsi="Arial" w:cs="Arial"/>
        </w:rPr>
        <w:t xml:space="preserve">. </w:t>
      </w:r>
      <w:r w:rsidR="00925528" w:rsidRPr="0090617B">
        <w:rPr>
          <w:rFonts w:ascii="Arial" w:eastAsia="Times New Roman" w:hAnsi="Arial" w:cs="Arial"/>
        </w:rPr>
        <w:t>ovi rashodi su izvršeni u iznosu 477,46 € (legalizacija doma kulture u Cavtatu).</w:t>
      </w:r>
    </w:p>
    <w:p w14:paraId="5F07C7F9" w14:textId="77777777" w:rsidR="0021122B" w:rsidRPr="0090617B" w:rsidRDefault="0021122B"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3E767C5E" w14:textId="0FCE44F5" w:rsidR="004456F7" w:rsidRPr="0090617B" w:rsidRDefault="0021122B" w:rsidP="00211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rPr>
      </w:pPr>
      <w:r w:rsidRPr="0090617B">
        <w:rPr>
          <w:rFonts w:ascii="Arial" w:eastAsia="Times New Roman" w:hAnsi="Arial" w:cs="Arial"/>
          <w:sz w:val="18"/>
          <w:szCs w:val="18"/>
        </w:rPr>
        <w:t>U</w:t>
      </w:r>
      <w:r w:rsidR="00D968E2" w:rsidRPr="0090617B">
        <w:rPr>
          <w:rFonts w:ascii="Arial" w:eastAsia="Times New Roman" w:hAnsi="Arial" w:cs="Arial"/>
          <w:sz w:val="18"/>
          <w:szCs w:val="18"/>
        </w:rPr>
        <w:t xml:space="preserve"> 2017. su </w:t>
      </w:r>
      <w:r w:rsidRPr="0090617B">
        <w:rPr>
          <w:rFonts w:ascii="Arial" w:eastAsia="Times New Roman" w:hAnsi="Arial" w:cs="Arial"/>
          <w:sz w:val="18"/>
          <w:szCs w:val="18"/>
        </w:rPr>
        <w:t xml:space="preserve">rashodi za naknadu za zadržavanje nezakonito izgrađenih zgrada </w:t>
      </w:r>
      <w:r w:rsidR="00D968E2" w:rsidRPr="0090617B">
        <w:rPr>
          <w:rFonts w:ascii="Arial" w:eastAsia="Times New Roman" w:hAnsi="Arial" w:cs="Arial"/>
          <w:sz w:val="18"/>
          <w:szCs w:val="18"/>
        </w:rPr>
        <w:t xml:space="preserve">rashodi izvršeni u iznosu </w:t>
      </w:r>
      <w:r w:rsidR="007D335E" w:rsidRPr="0090617B">
        <w:rPr>
          <w:rFonts w:ascii="Arial" w:eastAsia="Times New Roman" w:hAnsi="Arial" w:cs="Arial"/>
          <w:sz w:val="18"/>
          <w:szCs w:val="18"/>
        </w:rPr>
        <w:t>1.462,74 €</w:t>
      </w:r>
      <w:r w:rsidR="00D968E2" w:rsidRPr="0090617B">
        <w:rPr>
          <w:rFonts w:ascii="Arial" w:eastAsia="Times New Roman" w:hAnsi="Arial" w:cs="Arial"/>
          <w:sz w:val="18"/>
          <w:szCs w:val="18"/>
        </w:rPr>
        <w:t xml:space="preserve"> - sportski centar Gnjile, ex.škola Vitaljina, stambene i pomoćne zgrade Popovići polje, u 2018. su izvršeni u iznosu </w:t>
      </w:r>
      <w:r w:rsidR="007D335E" w:rsidRPr="0090617B">
        <w:rPr>
          <w:rFonts w:ascii="Arial" w:eastAsia="Times New Roman" w:hAnsi="Arial" w:cs="Arial"/>
          <w:sz w:val="18"/>
          <w:szCs w:val="18"/>
        </w:rPr>
        <w:t>2.327,26 €</w:t>
      </w:r>
      <w:r w:rsidR="00D968E2" w:rsidRPr="0090617B">
        <w:rPr>
          <w:rFonts w:ascii="Arial" w:eastAsia="Times New Roman" w:hAnsi="Arial" w:cs="Arial"/>
          <w:sz w:val="18"/>
          <w:szCs w:val="18"/>
        </w:rPr>
        <w:t xml:space="preserve"> - zgrada Konavoski dvori i zgrada bivše škole u Moluntu, u 2019. u iznosu </w:t>
      </w:r>
      <w:r w:rsidR="007D335E" w:rsidRPr="0090617B">
        <w:rPr>
          <w:rFonts w:ascii="Arial" w:eastAsia="Times New Roman" w:hAnsi="Arial" w:cs="Arial"/>
          <w:sz w:val="18"/>
          <w:szCs w:val="18"/>
        </w:rPr>
        <w:t>631,18 €</w:t>
      </w:r>
      <w:r w:rsidR="00D968E2" w:rsidRPr="0090617B">
        <w:rPr>
          <w:rFonts w:ascii="Arial" w:eastAsia="Times New Roman" w:hAnsi="Arial" w:cs="Arial"/>
          <w:sz w:val="18"/>
          <w:szCs w:val="18"/>
        </w:rPr>
        <w:t xml:space="preserve"> – sportski kompleks Šupjaka, a u 2020. u iznosu </w:t>
      </w:r>
      <w:r w:rsidR="007D335E" w:rsidRPr="0090617B">
        <w:rPr>
          <w:rFonts w:ascii="Arial" w:eastAsia="Times New Roman" w:hAnsi="Arial" w:cs="Arial"/>
          <w:sz w:val="18"/>
          <w:szCs w:val="18"/>
        </w:rPr>
        <w:t>262,58 €</w:t>
      </w:r>
      <w:r w:rsidR="00D968E2" w:rsidRPr="0090617B">
        <w:rPr>
          <w:rFonts w:ascii="Arial" w:eastAsia="Times New Roman" w:hAnsi="Arial" w:cs="Arial"/>
          <w:sz w:val="18"/>
          <w:szCs w:val="18"/>
        </w:rPr>
        <w:t xml:space="preserve"> - dom kulture Duba konavoska, </w:t>
      </w:r>
      <w:r w:rsidR="007D335E" w:rsidRPr="0090617B">
        <w:rPr>
          <w:rFonts w:ascii="Arial" w:eastAsia="Times New Roman" w:hAnsi="Arial" w:cs="Arial"/>
          <w:sz w:val="18"/>
          <w:szCs w:val="18"/>
        </w:rPr>
        <w:t>66,66 €</w:t>
      </w:r>
      <w:r w:rsidR="00D968E2" w:rsidRPr="0090617B">
        <w:rPr>
          <w:rFonts w:ascii="Arial" w:eastAsia="Times New Roman" w:hAnsi="Arial" w:cs="Arial"/>
          <w:sz w:val="18"/>
          <w:szCs w:val="18"/>
        </w:rPr>
        <w:t>- škola Popovići</w:t>
      </w:r>
      <w:r w:rsidR="00D968E2" w:rsidRPr="0090617B">
        <w:rPr>
          <w:rFonts w:ascii="Arial" w:eastAsia="Times New Roman" w:hAnsi="Arial" w:cs="Arial"/>
        </w:rPr>
        <w:t xml:space="preserve">). </w:t>
      </w:r>
    </w:p>
    <w:p w14:paraId="0BDF1CA7" w14:textId="77777777" w:rsidR="004456F7" w:rsidRPr="0090617B" w:rsidRDefault="004456F7"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141E32C8" w14:textId="481A8748" w:rsidR="0021122B" w:rsidRPr="0090617B" w:rsidRDefault="004456F7" w:rsidP="004456F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b/>
        </w:rPr>
      </w:pPr>
      <w:r w:rsidRPr="0090617B">
        <w:rPr>
          <w:rFonts w:ascii="Arial" w:eastAsia="Times New Roman" w:hAnsi="Arial" w:cs="Arial"/>
        </w:rPr>
        <w:t xml:space="preserve">Od 2019. godine Općina je obveznik plaćanja </w:t>
      </w:r>
      <w:r w:rsidRPr="0090617B">
        <w:rPr>
          <w:rFonts w:ascii="Arial" w:eastAsia="Times New Roman" w:hAnsi="Arial" w:cs="Arial"/>
          <w:b/>
        </w:rPr>
        <w:t xml:space="preserve">poticajne naknade za smanjenje količine miješanog komunalnog otpada. </w:t>
      </w:r>
      <w:r w:rsidR="0021122B" w:rsidRPr="0090617B">
        <w:rPr>
          <w:rFonts w:ascii="Arial" w:eastAsia="Times New Roman" w:hAnsi="Arial" w:cs="Arial"/>
        </w:rPr>
        <w:t>U 202</w:t>
      </w:r>
      <w:r w:rsidR="00106A2D" w:rsidRPr="0090617B">
        <w:rPr>
          <w:rFonts w:ascii="Arial" w:eastAsia="Times New Roman" w:hAnsi="Arial" w:cs="Arial"/>
        </w:rPr>
        <w:t>5</w:t>
      </w:r>
      <w:r w:rsidR="0021122B" w:rsidRPr="0090617B">
        <w:rPr>
          <w:rFonts w:ascii="Arial" w:eastAsia="Times New Roman" w:hAnsi="Arial" w:cs="Arial"/>
        </w:rPr>
        <w:t xml:space="preserve">. godini ovi rashodi </w:t>
      </w:r>
      <w:r w:rsidR="00106A2D" w:rsidRPr="0090617B">
        <w:rPr>
          <w:rFonts w:ascii="Arial" w:eastAsia="Times New Roman" w:hAnsi="Arial" w:cs="Arial"/>
        </w:rPr>
        <w:t>su izvršeni</w:t>
      </w:r>
      <w:r w:rsidR="005615C3">
        <w:rPr>
          <w:rFonts w:ascii="Arial" w:eastAsia="Times New Roman" w:hAnsi="Arial" w:cs="Arial"/>
        </w:rPr>
        <w:t xml:space="preserve"> u iznosu </w:t>
      </w:r>
      <w:r w:rsidR="005615C3" w:rsidRPr="007F403E">
        <w:rPr>
          <w:rFonts w:ascii="Arial" w:hAnsi="Arial" w:cs="Arial"/>
        </w:rPr>
        <w:t>39.686,06 € što je 5.186,98 € manje nego prethodne godine.</w:t>
      </w:r>
    </w:p>
    <w:p w14:paraId="37687D9B" w14:textId="77777777" w:rsidR="0021122B" w:rsidRPr="005615C3" w:rsidRDefault="0021122B" w:rsidP="004456F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bCs/>
        </w:rPr>
      </w:pPr>
    </w:p>
    <w:p w14:paraId="33960B32" w14:textId="1146471A" w:rsidR="004456F7" w:rsidRPr="005615C3" w:rsidRDefault="00082B02" w:rsidP="007518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rPr>
      </w:pPr>
      <w:r w:rsidRPr="005615C3">
        <w:rPr>
          <w:rFonts w:ascii="Arial" w:eastAsia="Times New Roman" w:hAnsi="Arial" w:cs="Arial"/>
          <w:sz w:val="18"/>
          <w:szCs w:val="18"/>
        </w:rPr>
        <w:t>Na</w:t>
      </w:r>
      <w:r w:rsidR="004456F7" w:rsidRPr="005615C3">
        <w:rPr>
          <w:rFonts w:ascii="Arial" w:eastAsia="Times New Roman" w:hAnsi="Arial" w:cs="Arial"/>
          <w:sz w:val="18"/>
          <w:szCs w:val="18"/>
        </w:rPr>
        <w:t xml:space="preserve"> temelju rješenja Fonda za zaštitu okoliša i energetsku učinkovitost u 2019. prvi put je plaćeno </w:t>
      </w:r>
      <w:r w:rsidR="007D335E" w:rsidRPr="005615C3">
        <w:rPr>
          <w:rFonts w:ascii="Arial" w:eastAsia="Times New Roman" w:hAnsi="Arial" w:cs="Arial"/>
          <w:sz w:val="18"/>
          <w:szCs w:val="18"/>
        </w:rPr>
        <w:t>2.195,20 €</w:t>
      </w:r>
      <w:r w:rsidR="004456F7" w:rsidRPr="005615C3">
        <w:rPr>
          <w:rFonts w:ascii="Arial" w:eastAsia="Times New Roman" w:hAnsi="Arial" w:cs="Arial"/>
          <w:sz w:val="18"/>
          <w:szCs w:val="18"/>
        </w:rPr>
        <w:t xml:space="preserve"> na ime </w:t>
      </w:r>
      <w:r w:rsidR="004456F7" w:rsidRPr="005615C3">
        <w:rPr>
          <w:rFonts w:ascii="Arial" w:eastAsia="Times New Roman" w:hAnsi="Arial" w:cs="Arial"/>
          <w:b/>
          <w:sz w:val="18"/>
          <w:szCs w:val="18"/>
        </w:rPr>
        <w:t>poticajne naknade za smanjenje količine miješanog komunalnog otpada</w:t>
      </w:r>
      <w:r w:rsidR="004456F7" w:rsidRPr="005615C3">
        <w:rPr>
          <w:rFonts w:ascii="Arial" w:eastAsia="Times New Roman" w:hAnsi="Arial" w:cs="Arial"/>
          <w:sz w:val="18"/>
          <w:szCs w:val="18"/>
        </w:rPr>
        <w:t xml:space="preserve"> za studeni i prosinac 2017. godine (početak primjene zakona) sukladno odredbama članka 29. Zakona o održivom gospodarenju otpadom (NN 94/13, 73/17, 14/19) i članka 24. Uredbe o gospodarenju komunalnim otpadom (NN 50/17). U 2020. je plaćena poticajna naknada za 2018. godinu u iznosu </w:t>
      </w:r>
      <w:r w:rsidR="007D335E" w:rsidRPr="005615C3">
        <w:rPr>
          <w:rFonts w:ascii="Arial" w:eastAsia="Times New Roman" w:hAnsi="Arial" w:cs="Arial"/>
          <w:sz w:val="18"/>
          <w:szCs w:val="18"/>
        </w:rPr>
        <w:t>926,96 €</w:t>
      </w:r>
      <w:r w:rsidR="004456F7" w:rsidRPr="005615C3">
        <w:rPr>
          <w:rFonts w:ascii="Arial" w:eastAsia="Times New Roman" w:hAnsi="Arial" w:cs="Arial"/>
          <w:sz w:val="18"/>
          <w:szCs w:val="18"/>
        </w:rPr>
        <w:t xml:space="preserve">. U 2021. Fond je ispostavio rješenje za plaćanje poticajne naknade u iznosu </w:t>
      </w:r>
      <w:r w:rsidR="007D335E" w:rsidRPr="005615C3">
        <w:rPr>
          <w:rFonts w:ascii="Arial" w:eastAsia="Times New Roman" w:hAnsi="Arial" w:cs="Arial"/>
          <w:sz w:val="18"/>
          <w:szCs w:val="18"/>
        </w:rPr>
        <w:t>8.917,15 €</w:t>
      </w:r>
      <w:r w:rsidR="004456F7" w:rsidRPr="005615C3">
        <w:rPr>
          <w:rFonts w:ascii="Arial" w:eastAsia="Times New Roman" w:hAnsi="Arial" w:cs="Arial"/>
          <w:sz w:val="18"/>
          <w:szCs w:val="18"/>
        </w:rPr>
        <w:t xml:space="preserve"> (naknada za 2020.godinu). Za 2022. godinu ova naknada iznosi </w:t>
      </w:r>
      <w:r w:rsidR="008E79BC" w:rsidRPr="005615C3">
        <w:rPr>
          <w:rFonts w:ascii="Arial" w:eastAsia="Times New Roman" w:hAnsi="Arial" w:cs="Arial"/>
          <w:sz w:val="18"/>
          <w:szCs w:val="18"/>
        </w:rPr>
        <w:t>31.379,12 €</w:t>
      </w:r>
      <w:r w:rsidR="004456F7" w:rsidRPr="005615C3">
        <w:rPr>
          <w:rFonts w:ascii="Arial" w:eastAsia="Times New Roman" w:hAnsi="Arial" w:cs="Arial"/>
          <w:sz w:val="18"/>
          <w:szCs w:val="18"/>
        </w:rPr>
        <w:t xml:space="preserve"> što je više za </w:t>
      </w:r>
      <w:r w:rsidR="008E79BC" w:rsidRPr="005615C3">
        <w:rPr>
          <w:rFonts w:ascii="Arial" w:eastAsia="Times New Roman" w:hAnsi="Arial" w:cs="Arial"/>
          <w:sz w:val="18"/>
          <w:szCs w:val="18"/>
        </w:rPr>
        <w:t>22.461,97 €</w:t>
      </w:r>
      <w:r w:rsidR="004456F7" w:rsidRPr="005615C3">
        <w:rPr>
          <w:rFonts w:ascii="Arial" w:eastAsia="Times New Roman" w:hAnsi="Arial" w:cs="Arial"/>
          <w:sz w:val="18"/>
          <w:szCs w:val="18"/>
        </w:rPr>
        <w:t xml:space="preserve"> nego </w:t>
      </w:r>
      <w:r w:rsidR="008E79BC" w:rsidRPr="005615C3">
        <w:rPr>
          <w:rFonts w:ascii="Arial" w:eastAsia="Times New Roman" w:hAnsi="Arial" w:cs="Arial"/>
          <w:sz w:val="18"/>
          <w:szCs w:val="18"/>
        </w:rPr>
        <w:t>2021.</w:t>
      </w:r>
      <w:r w:rsidR="004456F7" w:rsidRPr="005615C3">
        <w:rPr>
          <w:rFonts w:ascii="Arial" w:eastAsia="Times New Roman" w:hAnsi="Arial" w:cs="Arial"/>
          <w:sz w:val="18"/>
          <w:szCs w:val="18"/>
        </w:rPr>
        <w:t xml:space="preserve"> godine</w:t>
      </w:r>
      <w:r w:rsidR="00E1376B" w:rsidRPr="005615C3">
        <w:rPr>
          <w:rFonts w:ascii="Arial" w:eastAsia="Times New Roman" w:hAnsi="Arial" w:cs="Arial"/>
          <w:sz w:val="18"/>
          <w:szCs w:val="18"/>
        </w:rPr>
        <w:t xml:space="preserve">. Za 2023. godinu poticajna naknada </w:t>
      </w:r>
      <w:r w:rsidR="00C07967" w:rsidRPr="005615C3">
        <w:rPr>
          <w:rFonts w:ascii="Arial" w:eastAsia="Times New Roman" w:hAnsi="Arial" w:cs="Arial"/>
          <w:sz w:val="18"/>
          <w:szCs w:val="18"/>
        </w:rPr>
        <w:t xml:space="preserve">je iznosila </w:t>
      </w:r>
      <w:r w:rsidR="00E1376B" w:rsidRPr="005615C3">
        <w:rPr>
          <w:rFonts w:ascii="Arial" w:eastAsia="Times New Roman" w:hAnsi="Arial" w:cs="Arial"/>
          <w:sz w:val="18"/>
          <w:szCs w:val="18"/>
        </w:rPr>
        <w:t xml:space="preserve">40.278,43 € </w:t>
      </w:r>
      <w:r w:rsidR="00EE6839" w:rsidRPr="005615C3">
        <w:rPr>
          <w:rFonts w:ascii="Arial" w:eastAsia="Times New Roman" w:hAnsi="Arial" w:cs="Arial"/>
          <w:sz w:val="18"/>
          <w:szCs w:val="18"/>
        </w:rPr>
        <w:t>što je više za 8.899,31 € ili 28,4</w:t>
      </w:r>
      <w:r w:rsidR="009A1DCB" w:rsidRPr="005615C3">
        <w:rPr>
          <w:rFonts w:ascii="Arial" w:eastAsia="Times New Roman" w:hAnsi="Arial" w:cs="Arial"/>
          <w:sz w:val="18"/>
          <w:szCs w:val="18"/>
        </w:rPr>
        <w:t xml:space="preserve">% </w:t>
      </w:r>
      <w:r w:rsidR="00EE6839" w:rsidRPr="005615C3">
        <w:rPr>
          <w:rFonts w:ascii="Arial" w:eastAsia="Times New Roman" w:hAnsi="Arial" w:cs="Arial"/>
          <w:sz w:val="18"/>
          <w:szCs w:val="18"/>
        </w:rPr>
        <w:t>nego 2022. godine</w:t>
      </w:r>
      <w:r w:rsidR="009A1DCB" w:rsidRPr="005615C3">
        <w:rPr>
          <w:rFonts w:ascii="Arial" w:eastAsia="Times New Roman" w:hAnsi="Arial" w:cs="Arial"/>
          <w:sz w:val="18"/>
          <w:szCs w:val="18"/>
        </w:rPr>
        <w:t>.</w:t>
      </w:r>
      <w:r w:rsidR="00C07967" w:rsidRPr="005615C3">
        <w:rPr>
          <w:rFonts w:ascii="Arial" w:eastAsia="Times New Roman" w:hAnsi="Arial" w:cs="Arial"/>
        </w:rPr>
        <w:t xml:space="preserve"> </w:t>
      </w:r>
      <w:r w:rsidR="00751891" w:rsidRPr="005615C3">
        <w:rPr>
          <w:rFonts w:ascii="Arial" w:eastAsia="Times New Roman" w:hAnsi="Arial" w:cs="Arial"/>
        </w:rPr>
        <w:t xml:space="preserve">U 2024. godini rashodi za ovu naknadu iznose </w:t>
      </w:r>
      <w:r w:rsidR="00106A2D" w:rsidRPr="005615C3">
        <w:rPr>
          <w:rFonts w:ascii="Arial" w:eastAsia="Times New Roman" w:hAnsi="Arial" w:cs="Arial"/>
        </w:rPr>
        <w:t xml:space="preserve">44.873,04 € </w:t>
      </w:r>
      <w:r w:rsidR="00751891" w:rsidRPr="005615C3">
        <w:rPr>
          <w:rFonts w:ascii="Arial" w:eastAsia="Times New Roman" w:hAnsi="Arial" w:cs="Arial"/>
        </w:rPr>
        <w:t>(obračun za 2023. godinu).</w:t>
      </w:r>
    </w:p>
    <w:p w14:paraId="3C039D6C" w14:textId="77777777" w:rsidR="00106A2D" w:rsidRPr="005615C3" w:rsidRDefault="00106A2D"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3F0CA5EC" w14:textId="16E856DC" w:rsidR="008E79BC" w:rsidRPr="005615C3" w:rsidRDefault="00D968E2"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r w:rsidRPr="005615C3">
        <w:rPr>
          <w:rFonts w:ascii="Arial" w:eastAsia="Times New Roman" w:hAnsi="Arial" w:cs="Arial"/>
        </w:rPr>
        <w:t xml:space="preserve">U okviru rashoda za pristojbe i naknade (3295) iskazano je plaćanje </w:t>
      </w:r>
      <w:r w:rsidRPr="005615C3">
        <w:rPr>
          <w:rFonts w:ascii="Arial" w:eastAsia="Times New Roman" w:hAnsi="Arial" w:cs="Arial"/>
          <w:b/>
          <w:bCs/>
          <w:i/>
          <w:iCs/>
        </w:rPr>
        <w:t>novčane naknade zbog nezapošljavanja osobe s invaliditetom</w:t>
      </w:r>
      <w:r w:rsidRPr="005615C3">
        <w:rPr>
          <w:rFonts w:ascii="Arial" w:eastAsia="Times New Roman" w:hAnsi="Arial" w:cs="Arial"/>
        </w:rPr>
        <w:t>, što je obveza od početka 2015. godine. Ova naknada za Općinu je</w:t>
      </w:r>
      <w:r w:rsidR="008E79BC" w:rsidRPr="005615C3">
        <w:rPr>
          <w:rFonts w:ascii="Arial" w:eastAsia="Times New Roman" w:hAnsi="Arial" w:cs="Arial"/>
        </w:rPr>
        <w:t xml:space="preserve"> 202</w:t>
      </w:r>
      <w:r w:rsidR="00751891" w:rsidRPr="005615C3">
        <w:rPr>
          <w:rFonts w:ascii="Arial" w:eastAsia="Times New Roman" w:hAnsi="Arial" w:cs="Arial"/>
        </w:rPr>
        <w:t>5</w:t>
      </w:r>
      <w:r w:rsidR="008E79BC" w:rsidRPr="005615C3">
        <w:rPr>
          <w:rFonts w:ascii="Arial" w:eastAsia="Times New Roman" w:hAnsi="Arial" w:cs="Arial"/>
        </w:rPr>
        <w:t>. godine</w:t>
      </w:r>
      <w:r w:rsidRPr="005615C3">
        <w:rPr>
          <w:rFonts w:ascii="Arial" w:eastAsia="Times New Roman" w:hAnsi="Arial" w:cs="Arial"/>
        </w:rPr>
        <w:t xml:space="preserve"> izvršena u iznosu </w:t>
      </w:r>
      <w:r w:rsidR="005615C3" w:rsidRPr="005615C3">
        <w:rPr>
          <w:rFonts w:ascii="Arial" w:eastAsia="Times New Roman" w:hAnsi="Arial" w:cs="Arial"/>
        </w:rPr>
        <w:t>2.324</w:t>
      </w:r>
      <w:r w:rsidR="008E79BC" w:rsidRPr="005615C3">
        <w:rPr>
          <w:rFonts w:ascii="Arial" w:eastAsia="Times New Roman" w:hAnsi="Arial" w:cs="Arial"/>
        </w:rPr>
        <w:t xml:space="preserve"> €</w:t>
      </w:r>
      <w:r w:rsidR="00751891" w:rsidRPr="005615C3">
        <w:rPr>
          <w:rFonts w:ascii="Arial" w:eastAsia="Times New Roman" w:hAnsi="Arial" w:cs="Arial"/>
        </w:rPr>
        <w:t xml:space="preserve"> (mjesečno 194 €)</w:t>
      </w:r>
      <w:r w:rsidRPr="005615C3">
        <w:rPr>
          <w:rFonts w:ascii="Arial" w:eastAsia="Times New Roman" w:hAnsi="Arial" w:cs="Arial"/>
        </w:rPr>
        <w:t xml:space="preserve">. </w:t>
      </w:r>
      <w:r w:rsidRPr="005615C3">
        <w:rPr>
          <w:rFonts w:ascii="Arial" w:eastAsia="Times New Roman" w:hAnsi="Arial" w:cs="Arial"/>
          <w:sz w:val="18"/>
          <w:szCs w:val="18"/>
        </w:rPr>
        <w:t xml:space="preserve">Naime, prema Zakonu o doprinosima, za sve poslodavce propisana je obveza plaćanja naknade u visini 20% (od ožujka 2020.) propisane minimalne plaće </w:t>
      </w:r>
      <w:r w:rsidRPr="005615C3">
        <w:rPr>
          <w:rFonts w:ascii="Arial" w:eastAsia="Times New Roman" w:hAnsi="Arial" w:cs="Arial"/>
          <w:spacing w:val="3"/>
          <w:sz w:val="18"/>
          <w:szCs w:val="18"/>
          <w:lang w:eastAsia="en-US"/>
        </w:rPr>
        <w:t>za svaku osobu s invaliditetom koju su bili obvezni zaposliti</w:t>
      </w:r>
      <w:r w:rsidRPr="005615C3">
        <w:rPr>
          <w:rFonts w:ascii="Arial" w:eastAsia="Times New Roman" w:hAnsi="Arial" w:cs="Arial"/>
          <w:sz w:val="18"/>
          <w:szCs w:val="18"/>
        </w:rPr>
        <w:t xml:space="preserve"> (svi poslodavci koji zapošljavaju 20 i više radnika, ako nemaju određeni broj zaposlenih osoba s invaliditetom).</w:t>
      </w:r>
      <w:r w:rsidR="006A6095" w:rsidRPr="005615C3">
        <w:rPr>
          <w:rFonts w:ascii="Arial" w:eastAsia="Times New Roman" w:hAnsi="Arial" w:cs="Arial"/>
          <w:sz w:val="18"/>
          <w:szCs w:val="18"/>
        </w:rPr>
        <w:t xml:space="preserve"> </w:t>
      </w:r>
    </w:p>
    <w:p w14:paraId="6DC038C6" w14:textId="77777777" w:rsidR="004456F7" w:rsidRPr="005615C3" w:rsidRDefault="004456F7" w:rsidP="004456F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011EEB0B" w14:textId="789D66E9" w:rsidR="00D968E2" w:rsidRPr="005615C3" w:rsidRDefault="00D968E2" w:rsidP="00D96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5615C3">
        <w:rPr>
          <w:rFonts w:ascii="Arial" w:eastAsia="Times New Roman" w:hAnsi="Arial" w:cs="Arial"/>
        </w:rPr>
        <w:t xml:space="preserve">Ostali nespomenuti rashodi poslovanja (3299) ostvareni su u iznosu </w:t>
      </w:r>
      <w:r w:rsidR="005615C3" w:rsidRPr="005615C3">
        <w:rPr>
          <w:rFonts w:ascii="Arial" w:eastAsia="Times New Roman" w:hAnsi="Arial" w:cs="Arial"/>
        </w:rPr>
        <w:t>45.555,66</w:t>
      </w:r>
      <w:r w:rsidR="008E79BC" w:rsidRPr="005615C3">
        <w:rPr>
          <w:rFonts w:ascii="Arial" w:eastAsia="Times New Roman" w:hAnsi="Arial" w:cs="Arial"/>
        </w:rPr>
        <w:t xml:space="preserve"> €</w:t>
      </w:r>
      <w:r w:rsidRPr="005615C3">
        <w:rPr>
          <w:rFonts w:ascii="Arial" w:eastAsia="Times New Roman" w:hAnsi="Arial" w:cs="Arial"/>
        </w:rPr>
        <w:t xml:space="preserve"> što je </w:t>
      </w:r>
      <w:r w:rsidR="00F23774" w:rsidRPr="005615C3">
        <w:rPr>
          <w:rFonts w:ascii="Arial" w:eastAsia="Times New Roman" w:hAnsi="Arial" w:cs="Arial"/>
        </w:rPr>
        <w:t>manje</w:t>
      </w:r>
      <w:r w:rsidRPr="005615C3">
        <w:rPr>
          <w:rFonts w:ascii="Arial" w:eastAsia="Times New Roman" w:hAnsi="Arial" w:cs="Arial"/>
        </w:rPr>
        <w:t xml:space="preserve"> za </w:t>
      </w:r>
      <w:r w:rsidR="005615C3" w:rsidRPr="005615C3">
        <w:rPr>
          <w:rFonts w:ascii="Arial" w:eastAsia="Times New Roman" w:hAnsi="Arial" w:cs="Arial"/>
        </w:rPr>
        <w:t>16.959,46</w:t>
      </w:r>
      <w:r w:rsidR="008E79BC" w:rsidRPr="005615C3">
        <w:rPr>
          <w:rFonts w:ascii="Arial" w:eastAsia="Times New Roman" w:hAnsi="Arial" w:cs="Arial"/>
        </w:rPr>
        <w:t xml:space="preserve"> €</w:t>
      </w:r>
      <w:r w:rsidR="00F23774" w:rsidRPr="005615C3">
        <w:rPr>
          <w:rFonts w:ascii="Arial" w:eastAsia="Times New Roman" w:hAnsi="Arial" w:cs="Arial"/>
        </w:rPr>
        <w:t xml:space="preserve"> </w:t>
      </w:r>
      <w:r w:rsidR="005615C3" w:rsidRPr="005615C3">
        <w:rPr>
          <w:rFonts w:ascii="Arial" w:eastAsia="Times New Roman" w:hAnsi="Arial" w:cs="Arial"/>
        </w:rPr>
        <w:t xml:space="preserve">ili 27,1% </w:t>
      </w:r>
      <w:r w:rsidR="00F23774" w:rsidRPr="005615C3">
        <w:rPr>
          <w:rFonts w:ascii="Arial" w:eastAsia="Times New Roman" w:hAnsi="Arial" w:cs="Arial"/>
        </w:rPr>
        <w:t>u odnosu na izvještajno razdoblje prethodne godine</w:t>
      </w:r>
      <w:r w:rsidR="00C07967" w:rsidRPr="005615C3">
        <w:rPr>
          <w:rFonts w:ascii="Arial" w:eastAsia="Times New Roman" w:hAnsi="Arial" w:cs="Arial"/>
        </w:rPr>
        <w:t>.</w:t>
      </w:r>
      <w:r w:rsidRPr="005615C3">
        <w:rPr>
          <w:rFonts w:ascii="Arial" w:eastAsia="Times New Roman" w:hAnsi="Arial" w:cs="Arial"/>
        </w:rPr>
        <w:t xml:space="preserve"> </w:t>
      </w:r>
      <w:r w:rsidR="004456F7" w:rsidRPr="005615C3">
        <w:rPr>
          <w:rFonts w:ascii="Arial" w:eastAsia="Times New Roman" w:hAnsi="Arial" w:cs="Arial"/>
        </w:rPr>
        <w:t xml:space="preserve">Na rashode Općine se odnosi </w:t>
      </w:r>
      <w:r w:rsidR="005615C3" w:rsidRPr="005615C3">
        <w:rPr>
          <w:rFonts w:ascii="Arial" w:eastAsia="Times New Roman" w:hAnsi="Arial" w:cs="Arial"/>
        </w:rPr>
        <w:t>45.019,98</w:t>
      </w:r>
      <w:r w:rsidR="008E79BC" w:rsidRPr="005615C3">
        <w:rPr>
          <w:rFonts w:ascii="Arial" w:eastAsia="Times New Roman" w:hAnsi="Arial" w:cs="Arial"/>
        </w:rPr>
        <w:t xml:space="preserve"> €</w:t>
      </w:r>
      <w:r w:rsidR="004456F7" w:rsidRPr="005615C3">
        <w:rPr>
          <w:rFonts w:ascii="Arial" w:eastAsia="Times New Roman" w:hAnsi="Arial" w:cs="Arial"/>
        </w:rPr>
        <w:t xml:space="preserve">, a na proračunske korisnike </w:t>
      </w:r>
      <w:r w:rsidR="005615C3" w:rsidRPr="005615C3">
        <w:rPr>
          <w:rFonts w:ascii="Arial" w:eastAsia="Times New Roman" w:hAnsi="Arial" w:cs="Arial"/>
        </w:rPr>
        <w:t>535,68</w:t>
      </w:r>
      <w:r w:rsidR="008E79BC" w:rsidRPr="005615C3">
        <w:rPr>
          <w:rFonts w:ascii="Arial" w:eastAsia="Times New Roman" w:hAnsi="Arial" w:cs="Arial"/>
        </w:rPr>
        <w:t xml:space="preserve"> €</w:t>
      </w:r>
      <w:r w:rsidR="004456F7" w:rsidRPr="005615C3">
        <w:rPr>
          <w:rFonts w:ascii="Arial" w:eastAsia="Times New Roman" w:hAnsi="Arial" w:cs="Arial"/>
        </w:rPr>
        <w:t xml:space="preserve">. </w:t>
      </w:r>
      <w:r w:rsidRPr="005615C3">
        <w:rPr>
          <w:rFonts w:ascii="Arial" w:eastAsia="Times New Roman" w:hAnsi="Arial" w:cs="Arial"/>
        </w:rPr>
        <w:t xml:space="preserve">U okviru rashoda Općine </w:t>
      </w:r>
      <w:r w:rsidR="00F23774" w:rsidRPr="005615C3">
        <w:rPr>
          <w:rFonts w:ascii="Arial" w:eastAsia="Times New Roman" w:hAnsi="Arial" w:cs="Arial"/>
        </w:rPr>
        <w:t xml:space="preserve">prethodnih godina su se iskazivale </w:t>
      </w:r>
      <w:r w:rsidRPr="005615C3">
        <w:rPr>
          <w:rFonts w:ascii="Arial" w:eastAsia="Times New Roman" w:hAnsi="Arial" w:cs="Arial"/>
        </w:rPr>
        <w:t>uplat</w:t>
      </w:r>
      <w:r w:rsidR="008E79BC" w:rsidRPr="005615C3">
        <w:rPr>
          <w:rFonts w:ascii="Arial" w:eastAsia="Times New Roman" w:hAnsi="Arial" w:cs="Arial"/>
        </w:rPr>
        <w:t>e</w:t>
      </w:r>
      <w:r w:rsidRPr="005615C3">
        <w:rPr>
          <w:rFonts w:ascii="Arial" w:eastAsia="Times New Roman" w:hAnsi="Arial" w:cs="Arial"/>
        </w:rPr>
        <w:t xml:space="preserve"> u državni proračun u visini 55,0% naplaćenih prihoda od ugovora o prodaji stanova sa stanarskim pravom. </w:t>
      </w:r>
      <w:r w:rsidR="008E79BC" w:rsidRPr="005615C3">
        <w:rPr>
          <w:rFonts w:ascii="Arial" w:eastAsia="Times New Roman" w:hAnsi="Arial" w:cs="Arial"/>
        </w:rPr>
        <w:t xml:space="preserve">U </w:t>
      </w:r>
      <w:r w:rsidR="000027F3" w:rsidRPr="005615C3">
        <w:rPr>
          <w:rFonts w:ascii="Arial" w:eastAsia="Times New Roman" w:hAnsi="Arial" w:cs="Arial"/>
        </w:rPr>
        <w:t>2022.</w:t>
      </w:r>
      <w:r w:rsidR="008E79BC" w:rsidRPr="005615C3">
        <w:rPr>
          <w:rFonts w:ascii="Arial" w:eastAsia="Times New Roman" w:hAnsi="Arial" w:cs="Arial"/>
        </w:rPr>
        <w:t xml:space="preserve"> godini ovi rashodi su bili izvršeni u iznosu </w:t>
      </w:r>
      <w:r w:rsidR="00FC2207" w:rsidRPr="005615C3">
        <w:rPr>
          <w:rFonts w:ascii="Arial" w:eastAsia="Times New Roman" w:hAnsi="Arial" w:cs="Arial"/>
        </w:rPr>
        <w:t xml:space="preserve">4.607,26 €, </w:t>
      </w:r>
      <w:r w:rsidR="00082B02" w:rsidRPr="005615C3">
        <w:rPr>
          <w:rFonts w:ascii="Arial" w:eastAsia="Times New Roman" w:hAnsi="Arial" w:cs="Arial"/>
        </w:rPr>
        <w:t>u</w:t>
      </w:r>
      <w:r w:rsidR="00F4538A" w:rsidRPr="005615C3">
        <w:rPr>
          <w:rFonts w:ascii="Arial" w:eastAsia="Times New Roman" w:hAnsi="Arial" w:cs="Arial"/>
        </w:rPr>
        <w:t xml:space="preserve"> </w:t>
      </w:r>
      <w:r w:rsidR="000027F3" w:rsidRPr="005615C3">
        <w:rPr>
          <w:rFonts w:ascii="Arial" w:eastAsia="Times New Roman" w:hAnsi="Arial" w:cs="Arial"/>
        </w:rPr>
        <w:t>2023.</w:t>
      </w:r>
      <w:r w:rsidR="00F4538A" w:rsidRPr="005615C3">
        <w:rPr>
          <w:rFonts w:ascii="Arial" w:eastAsia="Times New Roman" w:hAnsi="Arial" w:cs="Arial"/>
        </w:rPr>
        <w:t xml:space="preserve"> godini </w:t>
      </w:r>
      <w:r w:rsidR="000027F3" w:rsidRPr="005615C3">
        <w:rPr>
          <w:rFonts w:ascii="Arial" w:eastAsia="Times New Roman" w:hAnsi="Arial" w:cs="Arial"/>
        </w:rPr>
        <w:t>u iznosu</w:t>
      </w:r>
      <w:r w:rsidR="00CF3CFA" w:rsidRPr="005615C3">
        <w:rPr>
          <w:rFonts w:ascii="Arial" w:eastAsia="Times New Roman" w:hAnsi="Arial" w:cs="Arial"/>
        </w:rPr>
        <w:t xml:space="preserve"> 344,38 €</w:t>
      </w:r>
      <w:r w:rsidR="000027F3" w:rsidRPr="005615C3">
        <w:rPr>
          <w:rFonts w:ascii="Arial" w:eastAsia="Times New Roman" w:hAnsi="Arial" w:cs="Arial"/>
        </w:rPr>
        <w:t xml:space="preserve">, a u 2024. godini </w:t>
      </w:r>
      <w:r w:rsidR="00792C2A" w:rsidRPr="005615C3">
        <w:rPr>
          <w:rFonts w:ascii="Arial" w:eastAsia="Times New Roman" w:hAnsi="Arial" w:cs="Arial"/>
        </w:rPr>
        <w:t>15,63 €</w:t>
      </w:r>
      <w:r w:rsidR="006D7615" w:rsidRPr="005615C3">
        <w:rPr>
          <w:rFonts w:ascii="Arial" w:eastAsia="Times New Roman" w:hAnsi="Arial" w:cs="Arial"/>
        </w:rPr>
        <w:t xml:space="preserve">. </w:t>
      </w:r>
      <w:r w:rsidR="005615C3" w:rsidRPr="005615C3">
        <w:rPr>
          <w:rFonts w:ascii="Arial" w:eastAsia="Times New Roman" w:hAnsi="Arial" w:cs="Arial"/>
        </w:rPr>
        <w:t xml:space="preserve">U 2025. godini nema ovih rashoda. </w:t>
      </w:r>
      <w:r w:rsidRPr="005615C3">
        <w:rPr>
          <w:rFonts w:ascii="Arial" w:eastAsia="Times New Roman" w:hAnsi="Arial" w:cs="Arial"/>
        </w:rPr>
        <w:t xml:space="preserve">Pored navedenog su izvršeni rashodi za cvijeće, svijeće i vijence za potrebe protokola, troškove fotokopiranja, izvatke iz katastra i sl. </w:t>
      </w:r>
    </w:p>
    <w:p w14:paraId="66A673A4" w14:textId="77777777" w:rsidR="00790C2C" w:rsidRPr="003A2F86" w:rsidRDefault="00790C2C"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25B5A4ED" w14:textId="72F001A9" w:rsidR="00891119" w:rsidRPr="003A2F86" w:rsidRDefault="00D3435A" w:rsidP="00D3435A">
      <w:pPr>
        <w:pStyle w:val="Naslov4"/>
        <w:rPr>
          <w:rFonts w:ascii="Arial" w:hAnsi="Arial" w:cs="Arial"/>
          <w:lang w:val="hr-HR"/>
        </w:rPr>
      </w:pPr>
      <w:bookmarkStart w:id="170" w:name="_Toc232981396"/>
      <w:r w:rsidRPr="003A2F86">
        <w:rPr>
          <w:rFonts w:ascii="Arial" w:hAnsi="Arial" w:cs="Arial"/>
          <w:lang w:val="hr-HR"/>
        </w:rPr>
        <w:t>2.4.3</w:t>
      </w:r>
      <w:r w:rsidR="00891119" w:rsidRPr="003A2F86">
        <w:rPr>
          <w:rFonts w:ascii="Arial" w:hAnsi="Arial" w:cs="Arial"/>
          <w:lang w:val="hr-HR"/>
        </w:rPr>
        <w:t xml:space="preserve">.3. </w:t>
      </w:r>
      <w:r w:rsidR="00891119" w:rsidRPr="003A2F86">
        <w:rPr>
          <w:rFonts w:ascii="Arial" w:hAnsi="Arial" w:cs="Arial"/>
          <w:lang w:val="hr-HR"/>
        </w:rPr>
        <w:tab/>
        <w:t>Financijski rashodi</w:t>
      </w:r>
      <w:r w:rsidRPr="003A2F86">
        <w:rPr>
          <w:rFonts w:ascii="Arial" w:hAnsi="Arial" w:cs="Arial"/>
          <w:lang w:val="hr-HR"/>
        </w:rPr>
        <w:t xml:space="preserve"> (34)</w:t>
      </w:r>
      <w:bookmarkEnd w:id="170"/>
    </w:p>
    <w:p w14:paraId="4484DE9B" w14:textId="77777777"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0C5AED6E" w14:textId="77777777" w:rsidR="005615C3" w:rsidRPr="005615C3" w:rsidRDefault="005615C3" w:rsidP="005615C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171" w:name="_Hlk145938147"/>
      <w:r w:rsidRPr="005615C3">
        <w:rPr>
          <w:rFonts w:ascii="Arial" w:eastAsia="Times New Roman" w:hAnsi="Arial" w:cs="Arial"/>
          <w:b/>
        </w:rPr>
        <w:t>Financijski rashodi</w:t>
      </w:r>
      <w:r w:rsidRPr="005615C3">
        <w:rPr>
          <w:rFonts w:ascii="Arial" w:eastAsia="Times New Roman" w:hAnsi="Arial" w:cs="Arial"/>
        </w:rPr>
        <w:t xml:space="preserve"> (34) izvršeni su u iznosu </w:t>
      </w:r>
      <w:bookmarkStart w:id="172" w:name="_Hlk230347950"/>
      <w:r w:rsidRPr="005615C3">
        <w:rPr>
          <w:rFonts w:ascii="Arial" w:eastAsia="Times New Roman" w:hAnsi="Arial" w:cs="Arial"/>
        </w:rPr>
        <w:t>84.487,59 € što je više za 26.681,53 € ili 46,2% u odnosu na prethodnu godinu. Ovi rashodi se odnose na kamate za primljene kredite i zajmove (342) u iznosu 15.080,32 € (prethodne godine iznosili 38.490,30 € redovne kamate po kreditu) i ostale financijske rashode (343) u iznosu 61.597,67 €.</w:t>
      </w:r>
      <w:bookmarkEnd w:id="172"/>
      <w:r w:rsidRPr="005615C3">
        <w:rPr>
          <w:rFonts w:ascii="Arial" w:eastAsia="Times New Roman" w:hAnsi="Arial" w:cs="Arial"/>
        </w:rPr>
        <w:t xml:space="preserve"> Ostali financijski rashodi se odnose na bankarske usluge i usluge platnog prometa. </w:t>
      </w:r>
    </w:p>
    <w:p w14:paraId="110EB656" w14:textId="77777777" w:rsidR="009C0D25" w:rsidRPr="003A2F86" w:rsidRDefault="009C0D25" w:rsidP="005435C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17671544" w14:textId="15E0AC9C" w:rsidR="009C0D25" w:rsidRPr="003A2F86" w:rsidRDefault="009C0D25" w:rsidP="009C0D2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r w:rsidRPr="003A2F86">
        <w:rPr>
          <w:rFonts w:ascii="Arial" w:eastAsia="Times New Roman" w:hAnsi="Arial" w:cs="Arial"/>
          <w:iCs/>
          <w:color w:val="1F497D" w:themeColor="text2"/>
        </w:rPr>
        <w:t xml:space="preserve">Na rashode Općine odnosi se </w:t>
      </w:r>
      <w:bookmarkStart w:id="173" w:name="_Hlk230348003"/>
      <w:bookmarkStart w:id="174" w:name="_Hlk200537118"/>
      <w:r w:rsidR="00E34D21">
        <w:rPr>
          <w:rFonts w:ascii="Arial" w:eastAsia="Times New Roman" w:hAnsi="Arial" w:cs="Arial"/>
          <w:iCs/>
          <w:color w:val="1F497D" w:themeColor="text2"/>
        </w:rPr>
        <w:t>83.913,95</w:t>
      </w:r>
      <w:bookmarkEnd w:id="173"/>
      <w:r w:rsidRPr="003A2F86">
        <w:rPr>
          <w:rFonts w:ascii="Arial" w:eastAsia="Times New Roman" w:hAnsi="Arial" w:cs="Arial"/>
          <w:iCs/>
          <w:color w:val="1F497D" w:themeColor="text2"/>
        </w:rPr>
        <w:t xml:space="preserve"> € </w:t>
      </w:r>
      <w:bookmarkEnd w:id="174"/>
      <w:r w:rsidRPr="003A2F86">
        <w:rPr>
          <w:rFonts w:ascii="Arial" w:eastAsia="Times New Roman" w:hAnsi="Arial" w:cs="Arial"/>
          <w:iCs/>
        </w:rPr>
        <w:t>ili 99,</w:t>
      </w:r>
      <w:r w:rsidR="00E34D21">
        <w:rPr>
          <w:rFonts w:ascii="Arial" w:eastAsia="Times New Roman" w:hAnsi="Arial" w:cs="Arial"/>
          <w:iCs/>
        </w:rPr>
        <w:t>3</w:t>
      </w:r>
      <w:r w:rsidRPr="003A2F86">
        <w:rPr>
          <w:rFonts w:ascii="Arial" w:eastAsia="Times New Roman" w:hAnsi="Arial" w:cs="Arial"/>
          <w:iCs/>
        </w:rPr>
        <w:t xml:space="preserve">%, </w:t>
      </w:r>
      <w:r w:rsidRPr="003A2F86">
        <w:rPr>
          <w:rFonts w:ascii="Arial" w:eastAsia="Times New Roman" w:hAnsi="Arial" w:cs="Arial"/>
          <w:iCs/>
          <w:color w:val="1F497D" w:themeColor="text2"/>
        </w:rPr>
        <w:t xml:space="preserve">a na proračunske korisnike </w:t>
      </w:r>
      <w:bookmarkStart w:id="175" w:name="_Hlk230348017"/>
      <w:r w:rsidR="00E34D21">
        <w:rPr>
          <w:rFonts w:ascii="Arial" w:eastAsia="Times New Roman" w:hAnsi="Arial" w:cs="Arial"/>
          <w:iCs/>
          <w:color w:val="1F497D" w:themeColor="text2"/>
        </w:rPr>
        <w:t>573,64</w:t>
      </w:r>
      <w:r w:rsidRPr="003A2F86">
        <w:rPr>
          <w:rFonts w:ascii="Arial" w:eastAsia="Times New Roman" w:hAnsi="Arial" w:cs="Arial"/>
          <w:iCs/>
          <w:color w:val="1F497D" w:themeColor="text2"/>
        </w:rPr>
        <w:t xml:space="preserve"> </w:t>
      </w:r>
      <w:bookmarkEnd w:id="175"/>
      <w:r w:rsidRPr="003A2F86">
        <w:rPr>
          <w:rFonts w:ascii="Arial" w:eastAsia="Times New Roman" w:hAnsi="Arial" w:cs="Arial"/>
          <w:iCs/>
          <w:color w:val="1F497D" w:themeColor="text2"/>
        </w:rPr>
        <w:t>€</w:t>
      </w:r>
      <w:r w:rsidRPr="003A2F86">
        <w:rPr>
          <w:rFonts w:ascii="Arial" w:eastAsia="Times New Roman" w:hAnsi="Arial" w:cs="Arial"/>
          <w:iCs/>
        </w:rPr>
        <w:t xml:space="preserve"> ili 0,</w:t>
      </w:r>
      <w:r w:rsidR="00E34D21">
        <w:rPr>
          <w:rFonts w:ascii="Arial" w:eastAsia="Times New Roman" w:hAnsi="Arial" w:cs="Arial"/>
          <w:iCs/>
        </w:rPr>
        <w:t>7</w:t>
      </w:r>
      <w:r w:rsidRPr="003A2F86">
        <w:rPr>
          <w:rFonts w:ascii="Arial" w:eastAsia="Times New Roman" w:hAnsi="Arial" w:cs="Arial"/>
          <w:iCs/>
        </w:rPr>
        <w:t>% ukupnih financijskih rashoda.</w:t>
      </w:r>
    </w:p>
    <w:p w14:paraId="10C8C65D" w14:textId="77777777" w:rsidR="008866EA" w:rsidRPr="003A2F86" w:rsidRDefault="008866EA" w:rsidP="008866E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323DD7D2" w14:textId="0DD812C0" w:rsidR="008866EA" w:rsidRPr="003A2F86" w:rsidRDefault="008866EA" w:rsidP="008866E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bookmarkStart w:id="176" w:name="_Hlk207631578"/>
      <w:r w:rsidRPr="003A2F86">
        <w:rPr>
          <w:rFonts w:ascii="Arial" w:hAnsi="Arial" w:cs="Arial"/>
        </w:rPr>
        <w:t>U tekućoj 20</w:t>
      </w:r>
      <w:r w:rsidR="004C16D0">
        <w:rPr>
          <w:rFonts w:ascii="Arial" w:hAnsi="Arial" w:cs="Arial"/>
        </w:rPr>
        <w:t>25</w:t>
      </w:r>
      <w:r w:rsidRPr="003A2F86">
        <w:rPr>
          <w:rFonts w:ascii="Arial" w:hAnsi="Arial" w:cs="Arial"/>
        </w:rPr>
        <w:t xml:space="preserve">. podmirene su kamate po kreditu za izgradnju doma za starije u iznosu </w:t>
      </w:r>
      <w:r w:rsidR="004C16D0">
        <w:rPr>
          <w:rFonts w:ascii="Arial" w:hAnsi="Arial" w:cs="Arial"/>
        </w:rPr>
        <w:t>2.498,06</w:t>
      </w:r>
      <w:r w:rsidRPr="003A2F86">
        <w:rPr>
          <w:rFonts w:ascii="Arial" w:hAnsi="Arial" w:cs="Arial"/>
        </w:rPr>
        <w:t xml:space="preserve"> €, redovne kamate za kredit za izgradnju vatrogasnog doma u iznosu </w:t>
      </w:r>
      <w:bookmarkStart w:id="177" w:name="_Hlk230347978"/>
      <w:r w:rsidR="00E34D21">
        <w:rPr>
          <w:rFonts w:ascii="Arial" w:hAnsi="Arial" w:cs="Arial"/>
        </w:rPr>
        <w:t>9.779,87</w:t>
      </w:r>
      <w:r w:rsidRPr="003A2F86">
        <w:rPr>
          <w:rFonts w:ascii="Arial" w:hAnsi="Arial" w:cs="Arial"/>
        </w:rPr>
        <w:t xml:space="preserve"> </w:t>
      </w:r>
      <w:bookmarkEnd w:id="177"/>
      <w:r w:rsidRPr="003A2F86">
        <w:rPr>
          <w:rFonts w:ascii="Arial" w:hAnsi="Arial" w:cs="Arial"/>
        </w:rPr>
        <w:t xml:space="preserve">€, te kamate za kredit za izmjenu javne rasvjete (energetska učinkovitost) u iznosu </w:t>
      </w:r>
      <w:bookmarkStart w:id="178" w:name="_Hlk230347991"/>
      <w:r w:rsidR="00E34D21">
        <w:rPr>
          <w:rFonts w:ascii="Arial" w:hAnsi="Arial" w:cs="Arial"/>
        </w:rPr>
        <w:t>2.802,39</w:t>
      </w:r>
      <w:r w:rsidRPr="003A2F86">
        <w:rPr>
          <w:rFonts w:ascii="Arial" w:hAnsi="Arial" w:cs="Arial"/>
        </w:rPr>
        <w:t xml:space="preserve"> </w:t>
      </w:r>
      <w:bookmarkEnd w:id="178"/>
      <w:r w:rsidRPr="003A2F86">
        <w:rPr>
          <w:rFonts w:ascii="Arial" w:hAnsi="Arial" w:cs="Arial"/>
        </w:rPr>
        <w:t xml:space="preserve">€. </w:t>
      </w:r>
    </w:p>
    <w:bookmarkEnd w:id="176"/>
    <w:p w14:paraId="5B9DBAE6" w14:textId="77777777" w:rsidR="009C0D25" w:rsidRPr="00E34D21" w:rsidRDefault="009C0D25" w:rsidP="005435C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6"/>
          <w:szCs w:val="16"/>
        </w:rPr>
      </w:pPr>
    </w:p>
    <w:p w14:paraId="04B5BBBE" w14:textId="43165423" w:rsidR="009C0D25" w:rsidRPr="00E34D21" w:rsidRDefault="004C16D0" w:rsidP="004C16D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rPr>
      </w:pPr>
      <w:r w:rsidRPr="00E34D21">
        <w:rPr>
          <w:rFonts w:ascii="Arial" w:eastAsia="Times New Roman" w:hAnsi="Arial" w:cs="Arial"/>
          <w:sz w:val="16"/>
          <w:szCs w:val="16"/>
        </w:rPr>
        <w:t xml:space="preserve">Sveukupno u </w:t>
      </w:r>
      <w:r w:rsidRPr="00E34D21">
        <w:rPr>
          <w:rFonts w:ascii="Arial" w:eastAsia="Times New Roman" w:hAnsi="Arial" w:cs="Arial"/>
          <w:b/>
          <w:bCs/>
          <w:sz w:val="16"/>
          <w:szCs w:val="16"/>
        </w:rPr>
        <w:t>2024</w:t>
      </w:r>
      <w:r w:rsidRPr="00E34D21">
        <w:rPr>
          <w:rFonts w:ascii="Arial" w:eastAsia="Times New Roman" w:hAnsi="Arial" w:cs="Arial"/>
          <w:sz w:val="16"/>
          <w:szCs w:val="16"/>
        </w:rPr>
        <w:t>. podmirene su kamate po kreditu za izgradnju doma za starije u iznosu 21.334,83 €, redovne kamate za odobreni kredit za izgradnju vatrogasnog doma u iznosu 13.378,46 €, te kamate za odobreni kredit za izmjenu javne rasvjete (energetska učinkovitost) u iznosu 3.777,01 €.</w:t>
      </w:r>
    </w:p>
    <w:p w14:paraId="0EBB8B5A" w14:textId="77777777" w:rsidR="00E34D21" w:rsidRPr="00E34D21" w:rsidRDefault="006D7615" w:rsidP="00E34D2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6"/>
          <w:szCs w:val="16"/>
        </w:rPr>
      </w:pPr>
      <w:r w:rsidRPr="00E34D21">
        <w:rPr>
          <w:rFonts w:ascii="Arial" w:eastAsia="Times New Roman" w:hAnsi="Arial" w:cs="Arial"/>
          <w:sz w:val="16"/>
          <w:szCs w:val="16"/>
        </w:rPr>
        <w:t xml:space="preserve">Za kredit </w:t>
      </w:r>
      <w:r w:rsidR="009C0D25" w:rsidRPr="00E34D21">
        <w:rPr>
          <w:rFonts w:ascii="Arial" w:eastAsia="Times New Roman" w:hAnsi="Arial" w:cs="Arial"/>
          <w:sz w:val="16"/>
          <w:szCs w:val="16"/>
        </w:rPr>
        <w:t xml:space="preserve">za izgradnju doma </w:t>
      </w:r>
      <w:r w:rsidR="00E34D21" w:rsidRPr="00E34D21">
        <w:rPr>
          <w:rFonts w:ascii="Arial" w:eastAsia="Times New Roman" w:hAnsi="Arial" w:cs="Arial"/>
          <w:sz w:val="16"/>
          <w:szCs w:val="16"/>
        </w:rPr>
        <w:t xml:space="preserve">za stare </w:t>
      </w:r>
      <w:r w:rsidRPr="00E34D21">
        <w:rPr>
          <w:rFonts w:ascii="Arial" w:eastAsia="Times New Roman" w:hAnsi="Arial" w:cs="Arial"/>
          <w:sz w:val="16"/>
          <w:szCs w:val="16"/>
        </w:rPr>
        <w:t xml:space="preserve">visina kamate stope za redovne kamate je </w:t>
      </w:r>
      <w:r w:rsidR="00792C2A" w:rsidRPr="00E34D21">
        <w:rPr>
          <w:rFonts w:ascii="Arial" w:eastAsia="Times New Roman" w:hAnsi="Arial" w:cs="Arial"/>
          <w:sz w:val="16"/>
          <w:szCs w:val="16"/>
        </w:rPr>
        <w:t xml:space="preserve">ranijih godina bila </w:t>
      </w:r>
      <w:r w:rsidRPr="00E34D21">
        <w:rPr>
          <w:rFonts w:ascii="Arial" w:eastAsia="Times New Roman" w:hAnsi="Arial" w:cs="Arial"/>
          <w:sz w:val="16"/>
          <w:szCs w:val="16"/>
        </w:rPr>
        <w:t>porasla</w:t>
      </w:r>
      <w:r w:rsidR="00A06C94" w:rsidRPr="00E34D21">
        <w:rPr>
          <w:rFonts w:ascii="Arial" w:eastAsia="Times New Roman" w:hAnsi="Arial" w:cs="Arial"/>
          <w:sz w:val="16"/>
          <w:szCs w:val="16"/>
        </w:rPr>
        <w:t xml:space="preserve">, ali je </w:t>
      </w:r>
      <w:r w:rsidR="00792C2A" w:rsidRPr="00E34D21">
        <w:rPr>
          <w:rFonts w:ascii="Arial" w:eastAsia="Times New Roman" w:hAnsi="Arial" w:cs="Arial"/>
          <w:sz w:val="16"/>
          <w:szCs w:val="16"/>
        </w:rPr>
        <w:t>koncem 2023 i u 2024. godini smanjena</w:t>
      </w:r>
      <w:r w:rsidRPr="00E34D21">
        <w:rPr>
          <w:rFonts w:ascii="Arial" w:eastAsia="Times New Roman" w:hAnsi="Arial" w:cs="Arial"/>
          <w:sz w:val="16"/>
          <w:szCs w:val="16"/>
        </w:rPr>
        <w:t xml:space="preserve">. </w:t>
      </w:r>
      <w:bookmarkStart w:id="179" w:name="_Hlk166596669"/>
      <w:r w:rsidRPr="00E34D21">
        <w:rPr>
          <w:rFonts w:ascii="Arial" w:eastAsia="Times New Roman" w:hAnsi="Arial" w:cs="Arial"/>
          <w:sz w:val="16"/>
          <w:szCs w:val="16"/>
        </w:rPr>
        <w:t xml:space="preserve">Za </w:t>
      </w:r>
      <w:r w:rsidR="00A06C94" w:rsidRPr="00E34D21">
        <w:rPr>
          <w:rFonts w:ascii="Arial" w:eastAsia="Times New Roman" w:hAnsi="Arial" w:cs="Arial"/>
          <w:sz w:val="16"/>
          <w:szCs w:val="16"/>
        </w:rPr>
        <w:t>2022. godinu</w:t>
      </w:r>
      <w:r w:rsidRPr="00E34D21">
        <w:rPr>
          <w:rFonts w:ascii="Arial" w:eastAsia="Times New Roman" w:hAnsi="Arial" w:cs="Arial"/>
          <w:sz w:val="16"/>
          <w:szCs w:val="16"/>
        </w:rPr>
        <w:t xml:space="preserve"> ove kamate su iznosile </w:t>
      </w:r>
      <w:r w:rsidR="009C0D25" w:rsidRPr="00E34D21">
        <w:rPr>
          <w:rFonts w:ascii="Arial" w:eastAsia="Times New Roman" w:hAnsi="Arial" w:cs="Arial"/>
          <w:sz w:val="16"/>
          <w:szCs w:val="16"/>
        </w:rPr>
        <w:t>14.249,05</w:t>
      </w:r>
      <w:r w:rsidRPr="00E34D21">
        <w:rPr>
          <w:rFonts w:ascii="Arial" w:eastAsia="Times New Roman" w:hAnsi="Arial" w:cs="Arial"/>
          <w:sz w:val="16"/>
          <w:szCs w:val="16"/>
        </w:rPr>
        <w:t xml:space="preserve"> €, dok </w:t>
      </w:r>
      <w:r w:rsidR="00A06C94" w:rsidRPr="00E34D21">
        <w:rPr>
          <w:rFonts w:ascii="Arial" w:eastAsia="Times New Roman" w:hAnsi="Arial" w:cs="Arial"/>
          <w:sz w:val="16"/>
          <w:szCs w:val="16"/>
        </w:rPr>
        <w:t xml:space="preserve">su </w:t>
      </w:r>
      <w:r w:rsidR="00E729CF" w:rsidRPr="00E34D21">
        <w:rPr>
          <w:rFonts w:ascii="Arial" w:eastAsia="Times New Roman" w:hAnsi="Arial" w:cs="Arial"/>
          <w:sz w:val="16"/>
          <w:szCs w:val="16"/>
        </w:rPr>
        <w:t xml:space="preserve">u 2023. godini </w:t>
      </w:r>
      <w:r w:rsidRPr="00E34D21">
        <w:rPr>
          <w:rFonts w:ascii="Arial" w:eastAsia="Times New Roman" w:hAnsi="Arial" w:cs="Arial"/>
          <w:sz w:val="16"/>
          <w:szCs w:val="16"/>
        </w:rPr>
        <w:t>iznos</w:t>
      </w:r>
      <w:r w:rsidR="00A06C94" w:rsidRPr="00E34D21">
        <w:rPr>
          <w:rFonts w:ascii="Arial" w:eastAsia="Times New Roman" w:hAnsi="Arial" w:cs="Arial"/>
          <w:sz w:val="16"/>
          <w:szCs w:val="16"/>
        </w:rPr>
        <w:t>ile</w:t>
      </w:r>
      <w:r w:rsidRPr="00E34D21">
        <w:rPr>
          <w:rFonts w:ascii="Arial" w:eastAsia="Times New Roman" w:hAnsi="Arial" w:cs="Arial"/>
          <w:sz w:val="16"/>
          <w:szCs w:val="16"/>
        </w:rPr>
        <w:t xml:space="preserve"> </w:t>
      </w:r>
      <w:r w:rsidR="009C0D25" w:rsidRPr="00E34D21">
        <w:rPr>
          <w:rFonts w:ascii="Arial" w:eastAsia="Times New Roman" w:hAnsi="Arial" w:cs="Arial"/>
          <w:sz w:val="16"/>
          <w:szCs w:val="16"/>
        </w:rPr>
        <w:t>32.382,77 € (</w:t>
      </w:r>
      <w:r w:rsidRPr="00E34D21">
        <w:rPr>
          <w:rFonts w:ascii="Arial" w:eastAsia="Times New Roman" w:hAnsi="Arial" w:cs="Arial"/>
          <w:sz w:val="16"/>
          <w:szCs w:val="16"/>
        </w:rPr>
        <w:t xml:space="preserve">više </w:t>
      </w:r>
      <w:r w:rsidR="009C0D25" w:rsidRPr="00E34D21">
        <w:rPr>
          <w:rFonts w:ascii="Arial" w:eastAsia="Times New Roman" w:hAnsi="Arial" w:cs="Arial"/>
          <w:sz w:val="16"/>
          <w:szCs w:val="16"/>
        </w:rPr>
        <w:t>18.133,72</w:t>
      </w:r>
      <w:r w:rsidRPr="00E34D21">
        <w:rPr>
          <w:rFonts w:ascii="Arial" w:eastAsia="Times New Roman" w:hAnsi="Arial" w:cs="Arial"/>
          <w:sz w:val="16"/>
          <w:szCs w:val="16"/>
        </w:rPr>
        <w:t xml:space="preserve"> €</w:t>
      </w:r>
      <w:r w:rsidR="009C0D25" w:rsidRPr="00E34D21">
        <w:rPr>
          <w:rFonts w:ascii="Arial" w:eastAsia="Times New Roman" w:hAnsi="Arial" w:cs="Arial"/>
          <w:sz w:val="16"/>
          <w:szCs w:val="16"/>
        </w:rPr>
        <w:t>)</w:t>
      </w:r>
      <w:r w:rsidR="000524B2" w:rsidRPr="00E34D21">
        <w:rPr>
          <w:rFonts w:ascii="Arial" w:eastAsia="Times New Roman" w:hAnsi="Arial" w:cs="Arial"/>
          <w:sz w:val="16"/>
          <w:szCs w:val="16"/>
        </w:rPr>
        <w:t xml:space="preserve">, a za 2024. godinu </w:t>
      </w:r>
      <w:r w:rsidR="0021122B" w:rsidRPr="00E34D21">
        <w:rPr>
          <w:rFonts w:ascii="Arial" w:eastAsia="Times New Roman" w:hAnsi="Arial" w:cs="Arial"/>
          <w:sz w:val="16"/>
          <w:szCs w:val="16"/>
        </w:rPr>
        <w:t xml:space="preserve">kamate </w:t>
      </w:r>
      <w:r w:rsidR="000524B2" w:rsidRPr="00E34D21">
        <w:rPr>
          <w:rFonts w:ascii="Arial" w:eastAsia="Times New Roman" w:hAnsi="Arial" w:cs="Arial"/>
          <w:sz w:val="16"/>
          <w:szCs w:val="16"/>
        </w:rPr>
        <w:t>iznose 21.334,83 € (manje za 11.047,94 € u odnosu na prethodnu godinu).</w:t>
      </w:r>
      <w:r w:rsidR="004C16D0" w:rsidRPr="00E34D21">
        <w:rPr>
          <w:rFonts w:ascii="Arial" w:eastAsia="Times New Roman" w:hAnsi="Arial" w:cs="Arial"/>
          <w:sz w:val="16"/>
          <w:szCs w:val="16"/>
        </w:rPr>
        <w:t xml:space="preserve"> </w:t>
      </w:r>
    </w:p>
    <w:p w14:paraId="11C705F9" w14:textId="77777777" w:rsidR="00E34D21" w:rsidRPr="00E34D21" w:rsidRDefault="00E34D21" w:rsidP="005435C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6"/>
          <w:szCs w:val="16"/>
        </w:rPr>
      </w:pPr>
    </w:p>
    <w:p w14:paraId="4184DAD5" w14:textId="391E6FB7" w:rsidR="00A06C94" w:rsidRDefault="004C16D0" w:rsidP="005435C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U 2025. godine u cijelosti je otplaćen kredit za izgradnju doma za stare. </w:t>
      </w:r>
    </w:p>
    <w:p w14:paraId="3E22E3D4" w14:textId="77777777" w:rsidR="004C16D0" w:rsidRPr="003A2F86" w:rsidRDefault="004C16D0" w:rsidP="005435C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49D2884B" w14:textId="5BF49DBD" w:rsidR="00A06C94" w:rsidRPr="0021122B" w:rsidRDefault="006D7615" w:rsidP="00082B0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r w:rsidRPr="0021122B">
        <w:rPr>
          <w:rFonts w:ascii="Arial" w:eastAsia="Times New Roman" w:hAnsi="Arial" w:cs="Arial"/>
          <w:sz w:val="18"/>
          <w:szCs w:val="18"/>
        </w:rPr>
        <w:t xml:space="preserve">Kamatna stopa za ovaj kredit </w:t>
      </w:r>
      <w:r w:rsidR="00A06C94" w:rsidRPr="0021122B">
        <w:rPr>
          <w:rFonts w:ascii="Arial" w:eastAsia="Times New Roman" w:hAnsi="Arial" w:cs="Arial"/>
          <w:sz w:val="18"/>
          <w:szCs w:val="18"/>
        </w:rPr>
        <w:t xml:space="preserve">30.6.22. iznosila je 0,016%, a </w:t>
      </w:r>
      <w:r w:rsidRPr="0021122B">
        <w:rPr>
          <w:rFonts w:ascii="Arial" w:eastAsia="Times New Roman" w:hAnsi="Arial" w:cs="Arial"/>
          <w:sz w:val="18"/>
          <w:szCs w:val="18"/>
        </w:rPr>
        <w:t>30.6.23</w:t>
      </w:r>
      <w:r w:rsidR="00506EBA" w:rsidRPr="0021122B">
        <w:rPr>
          <w:rFonts w:ascii="Arial" w:eastAsia="Times New Roman" w:hAnsi="Arial" w:cs="Arial"/>
          <w:sz w:val="18"/>
          <w:szCs w:val="18"/>
        </w:rPr>
        <w:t>.</w:t>
      </w:r>
      <w:r w:rsidRPr="0021122B">
        <w:rPr>
          <w:rFonts w:ascii="Arial" w:eastAsia="Times New Roman" w:hAnsi="Arial" w:cs="Arial"/>
          <w:sz w:val="18"/>
          <w:szCs w:val="18"/>
        </w:rPr>
        <w:t xml:space="preserve"> iznosi</w:t>
      </w:r>
      <w:r w:rsidR="00A06C94" w:rsidRPr="0021122B">
        <w:rPr>
          <w:rFonts w:ascii="Arial" w:eastAsia="Times New Roman" w:hAnsi="Arial" w:cs="Arial"/>
          <w:sz w:val="18"/>
          <w:szCs w:val="18"/>
        </w:rPr>
        <w:t>la je</w:t>
      </w:r>
      <w:r w:rsidRPr="0021122B">
        <w:rPr>
          <w:rFonts w:ascii="Arial" w:eastAsia="Times New Roman" w:hAnsi="Arial" w:cs="Arial"/>
          <w:sz w:val="18"/>
          <w:szCs w:val="18"/>
        </w:rPr>
        <w:t xml:space="preserve"> 4.495</w:t>
      </w:r>
      <w:r w:rsidR="00506EBA" w:rsidRPr="0021122B">
        <w:rPr>
          <w:rFonts w:ascii="Arial" w:eastAsia="Times New Roman" w:hAnsi="Arial" w:cs="Arial"/>
          <w:sz w:val="18"/>
          <w:szCs w:val="18"/>
        </w:rPr>
        <w:t>%</w:t>
      </w:r>
      <w:r w:rsidR="00A06C94" w:rsidRPr="0021122B">
        <w:rPr>
          <w:rFonts w:ascii="Arial" w:eastAsia="Times New Roman" w:hAnsi="Arial" w:cs="Arial"/>
          <w:sz w:val="18"/>
          <w:szCs w:val="18"/>
        </w:rPr>
        <w:t xml:space="preserve">. </w:t>
      </w:r>
    </w:p>
    <w:p w14:paraId="347530BA" w14:textId="20CBE9BC" w:rsidR="006D7615" w:rsidRPr="0021122B" w:rsidRDefault="009C0D25" w:rsidP="00082B0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r w:rsidRPr="0021122B">
        <w:rPr>
          <w:rFonts w:ascii="Arial" w:eastAsia="Times New Roman" w:hAnsi="Arial" w:cs="Arial"/>
          <w:sz w:val="18"/>
          <w:szCs w:val="18"/>
        </w:rPr>
        <w:t xml:space="preserve">Kamatna stopa za ovaj kredit </w:t>
      </w:r>
      <w:r w:rsidR="00A06C94" w:rsidRPr="0021122B">
        <w:rPr>
          <w:rFonts w:ascii="Arial" w:eastAsia="Times New Roman" w:hAnsi="Arial" w:cs="Arial"/>
          <w:sz w:val="18"/>
          <w:szCs w:val="18"/>
        </w:rPr>
        <w:t xml:space="preserve">31.12.22. iznosila je 2,673%, a </w:t>
      </w:r>
      <w:r w:rsidRPr="0021122B">
        <w:rPr>
          <w:rFonts w:ascii="Arial" w:eastAsia="Times New Roman" w:hAnsi="Arial" w:cs="Arial"/>
          <w:sz w:val="18"/>
          <w:szCs w:val="18"/>
        </w:rPr>
        <w:t>31.12.23. iznosi</w:t>
      </w:r>
      <w:r w:rsidR="00A06C94" w:rsidRPr="0021122B">
        <w:rPr>
          <w:rFonts w:ascii="Arial" w:eastAsia="Times New Roman" w:hAnsi="Arial" w:cs="Arial"/>
          <w:sz w:val="18"/>
          <w:szCs w:val="18"/>
        </w:rPr>
        <w:t>la je</w:t>
      </w:r>
      <w:r w:rsidRPr="0021122B">
        <w:rPr>
          <w:rFonts w:ascii="Arial" w:eastAsia="Times New Roman" w:hAnsi="Arial" w:cs="Arial"/>
          <w:sz w:val="18"/>
          <w:szCs w:val="18"/>
        </w:rPr>
        <w:t xml:space="preserve"> </w:t>
      </w:r>
      <w:r w:rsidR="00983151" w:rsidRPr="0021122B">
        <w:rPr>
          <w:rFonts w:ascii="Arial" w:eastAsia="Times New Roman" w:hAnsi="Arial" w:cs="Arial"/>
          <w:sz w:val="18"/>
          <w:szCs w:val="18"/>
        </w:rPr>
        <w:t>5,452</w:t>
      </w:r>
      <w:r w:rsidRPr="0021122B">
        <w:rPr>
          <w:rFonts w:ascii="Arial" w:eastAsia="Times New Roman" w:hAnsi="Arial" w:cs="Arial"/>
          <w:sz w:val="18"/>
          <w:szCs w:val="18"/>
        </w:rPr>
        <w:t>%</w:t>
      </w:r>
      <w:r w:rsidR="00A06C94" w:rsidRPr="0021122B">
        <w:rPr>
          <w:rFonts w:ascii="Arial" w:eastAsia="Times New Roman" w:hAnsi="Arial" w:cs="Arial"/>
          <w:sz w:val="18"/>
          <w:szCs w:val="18"/>
        </w:rPr>
        <w:t>.</w:t>
      </w:r>
      <w:r w:rsidRPr="0021122B">
        <w:rPr>
          <w:rFonts w:ascii="Arial" w:eastAsia="Times New Roman" w:hAnsi="Arial" w:cs="Arial"/>
          <w:sz w:val="18"/>
          <w:szCs w:val="18"/>
        </w:rPr>
        <w:t xml:space="preserve"> </w:t>
      </w:r>
    </w:p>
    <w:bookmarkEnd w:id="179"/>
    <w:p w14:paraId="573E1652" w14:textId="08B39220" w:rsidR="004C16D0" w:rsidRPr="004C16D0" w:rsidRDefault="004C16D0" w:rsidP="004C16D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r w:rsidRPr="004C16D0">
        <w:rPr>
          <w:rFonts w:ascii="Arial" w:eastAsia="Times New Roman" w:hAnsi="Arial" w:cs="Arial"/>
          <w:sz w:val="18"/>
          <w:szCs w:val="18"/>
        </w:rPr>
        <w:tab/>
        <w:t>Kamata u ožujku 2024. je iznosila 5,373 %, u lipnju 2024. je iznosila 5,382%, a 31.12.24. iznosila je 4,806%.</w:t>
      </w:r>
    </w:p>
    <w:p w14:paraId="74789A4C" w14:textId="77777777" w:rsidR="0021122B" w:rsidRDefault="0021122B" w:rsidP="005435C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09C362C4" w14:textId="5A276163" w:rsidR="00506EBA" w:rsidRDefault="00A06C94" w:rsidP="005435C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Kamata u ožujku 202</w:t>
      </w:r>
      <w:r w:rsidR="004C16D0">
        <w:rPr>
          <w:rFonts w:ascii="Arial" w:eastAsia="Times New Roman" w:hAnsi="Arial" w:cs="Arial"/>
        </w:rPr>
        <w:t>5</w:t>
      </w:r>
      <w:r w:rsidRPr="003A2F86">
        <w:rPr>
          <w:rFonts w:ascii="Arial" w:eastAsia="Times New Roman" w:hAnsi="Arial" w:cs="Arial"/>
        </w:rPr>
        <w:t xml:space="preserve">. je iznosila </w:t>
      </w:r>
      <w:r w:rsidR="004C16D0">
        <w:rPr>
          <w:rFonts w:ascii="Arial" w:eastAsia="Times New Roman" w:hAnsi="Arial" w:cs="Arial"/>
        </w:rPr>
        <w:t>4,163</w:t>
      </w:r>
      <w:r w:rsidRPr="003A2F86">
        <w:rPr>
          <w:rFonts w:ascii="Arial" w:eastAsia="Times New Roman" w:hAnsi="Arial" w:cs="Arial"/>
        </w:rPr>
        <w:t xml:space="preserve"> %</w:t>
      </w:r>
      <w:r w:rsidR="009923F0">
        <w:rPr>
          <w:rFonts w:ascii="Arial" w:eastAsia="Times New Roman" w:hAnsi="Arial" w:cs="Arial"/>
        </w:rPr>
        <w:t>, a u travnju 2025. godine u vrijeme konačne otplate kredita 3,808%.</w:t>
      </w:r>
    </w:p>
    <w:p w14:paraId="374000C6" w14:textId="77777777" w:rsidR="009923F0" w:rsidRDefault="009923F0" w:rsidP="005435C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4CE0CAAE" w14:textId="59E7649F" w:rsidR="009923F0" w:rsidRPr="003A2F86" w:rsidRDefault="009923F0" w:rsidP="00E34D2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Naknada za prijevremenu otplatu kredita je plaćena 1.463,53 € (kamate do konačne otplate u rujnu 2025. bi bile veće).</w:t>
      </w:r>
    </w:p>
    <w:bookmarkEnd w:id="171"/>
    <w:p w14:paraId="1C186DD2" w14:textId="77777777" w:rsidR="00E34D21" w:rsidRDefault="00E34D21" w:rsidP="00E34D2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bCs/>
        </w:rPr>
      </w:pPr>
    </w:p>
    <w:p w14:paraId="21655420" w14:textId="19EC5F80" w:rsidR="00E34D21" w:rsidRDefault="00E34D21" w:rsidP="00E34D2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bCs/>
        </w:rPr>
      </w:pPr>
      <w:r w:rsidRPr="00C82D1C">
        <w:rPr>
          <w:rFonts w:ascii="Arial" w:hAnsi="Arial" w:cs="Arial"/>
          <w:bCs/>
        </w:rPr>
        <w:t xml:space="preserve">U </w:t>
      </w:r>
      <w:r>
        <w:rPr>
          <w:rFonts w:ascii="Arial" w:hAnsi="Arial" w:cs="Arial"/>
          <w:bCs/>
        </w:rPr>
        <w:t>2025. godini je započelo korištenje kredita za izgradnju osnovne škole, a plaćena je naknada za odobravanje kredita 32.000 €, te izvršeni rashodi za interkalarne kamate 7.809,60 €.</w:t>
      </w:r>
    </w:p>
    <w:p w14:paraId="582CC254" w14:textId="45D47829" w:rsidR="00A76325" w:rsidRPr="003A2F86" w:rsidRDefault="00A76325" w:rsidP="00C1756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br w:type="page"/>
      </w:r>
    </w:p>
    <w:p w14:paraId="482800D5" w14:textId="5BB1FC0A" w:rsidR="00891119" w:rsidRPr="003A2F86" w:rsidRDefault="00D3435A" w:rsidP="00D3435A">
      <w:pPr>
        <w:pStyle w:val="Naslov4"/>
        <w:rPr>
          <w:rFonts w:ascii="Arial" w:hAnsi="Arial" w:cs="Arial"/>
          <w:lang w:val="hr-HR"/>
        </w:rPr>
      </w:pPr>
      <w:bookmarkStart w:id="180" w:name="_Toc232981397"/>
      <w:r w:rsidRPr="003A2F86">
        <w:rPr>
          <w:rFonts w:ascii="Arial" w:hAnsi="Arial" w:cs="Arial"/>
          <w:lang w:val="hr-HR"/>
        </w:rPr>
        <w:lastRenderedPageBreak/>
        <w:t>2.4.3</w:t>
      </w:r>
      <w:r w:rsidR="00891119" w:rsidRPr="003A2F86">
        <w:rPr>
          <w:rFonts w:ascii="Arial" w:hAnsi="Arial" w:cs="Arial"/>
          <w:lang w:val="hr-HR"/>
        </w:rPr>
        <w:t xml:space="preserve">.4. </w:t>
      </w:r>
      <w:r w:rsidR="00891119" w:rsidRPr="003A2F86">
        <w:rPr>
          <w:rFonts w:ascii="Arial" w:hAnsi="Arial" w:cs="Arial"/>
          <w:lang w:val="hr-HR"/>
        </w:rPr>
        <w:tab/>
      </w:r>
      <w:r w:rsidR="00891119" w:rsidRPr="003A2F86">
        <w:rPr>
          <w:rFonts w:ascii="Arial" w:hAnsi="Arial" w:cs="Arial"/>
          <w:iCs/>
          <w:lang w:val="hr-HR"/>
        </w:rPr>
        <w:t>Subvencije</w:t>
      </w:r>
      <w:r w:rsidRPr="003A2F86">
        <w:rPr>
          <w:rFonts w:ascii="Arial" w:hAnsi="Arial" w:cs="Arial"/>
          <w:iCs/>
          <w:lang w:val="hr-HR"/>
        </w:rPr>
        <w:t xml:space="preserve"> (35)</w:t>
      </w:r>
      <w:bookmarkEnd w:id="180"/>
    </w:p>
    <w:p w14:paraId="41B4CFEF" w14:textId="77777777" w:rsidR="00891119" w:rsidRPr="003A2F86" w:rsidRDefault="00891119" w:rsidP="00E34D2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120EDC6B" w14:textId="77777777" w:rsidR="00E34D21" w:rsidRPr="00F72CB3" w:rsidRDefault="00E34D21" w:rsidP="00E34D2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F72CB3">
        <w:rPr>
          <w:rFonts w:ascii="Arial" w:hAnsi="Arial" w:cs="Arial"/>
          <w:b/>
        </w:rPr>
        <w:t>Subvencije</w:t>
      </w:r>
      <w:r w:rsidRPr="00F72CB3">
        <w:rPr>
          <w:rFonts w:ascii="Arial" w:hAnsi="Arial" w:cs="Arial"/>
        </w:rPr>
        <w:t xml:space="preserve"> (35) izvršene su u iznosu </w:t>
      </w:r>
      <w:bookmarkStart w:id="181" w:name="_Hlk230348150"/>
      <w:r w:rsidRPr="00F72CB3">
        <w:rPr>
          <w:rFonts w:ascii="Arial" w:hAnsi="Arial" w:cs="Arial"/>
        </w:rPr>
        <w:t>504.592,43 € što je za 28.720,29 € ili 6% više</w:t>
      </w:r>
      <w:bookmarkEnd w:id="181"/>
      <w:r w:rsidRPr="00F72CB3">
        <w:rPr>
          <w:rFonts w:ascii="Arial" w:hAnsi="Arial" w:cs="Arial"/>
        </w:rPr>
        <w:t xml:space="preserve"> u odnosu na prethodnu godinu. </w:t>
      </w:r>
    </w:p>
    <w:p w14:paraId="5F2ABA67" w14:textId="77777777" w:rsidR="00E34D21" w:rsidRPr="00F72CB3" w:rsidRDefault="00E34D21" w:rsidP="00E34D2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bookmarkStart w:id="182" w:name="_Hlk230348164"/>
      <w:r w:rsidRPr="00F72CB3">
        <w:rPr>
          <w:rFonts w:ascii="Arial" w:hAnsi="Arial" w:cs="Arial"/>
        </w:rPr>
        <w:t>Subvencije se odnose na subvencije društvu Libertas (društvo u suvlasništvu Općine) za financiranje troškova javnog prijevoza (na temelju zaključenih ugovora o sufinanciranju nerentabilnih linija iz lipnja 2018. godine i više dodataka ugovoru) u iznosu 254.592,43 € (više za 78.720,29 € nego prethodne godine), te subvencije društvu Čistoća i zelenilo Konavle (društvo u vlasništvu Općine) za financiranje nadzora i sakupljanja nelegalno odloženog otpada diljem Općine nakon izgradnje reciklažnog dvorišta u iznosu 250.000 € (manje nego prethodne godine 50.000 €).</w:t>
      </w:r>
    </w:p>
    <w:bookmarkEnd w:id="182"/>
    <w:p w14:paraId="7159BA04" w14:textId="77777777" w:rsidR="00C13C7A" w:rsidRPr="003A2F86" w:rsidRDefault="00C13C7A" w:rsidP="00E34D2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517B27FD" w14:textId="77777777" w:rsidR="005435C4" w:rsidRPr="003A2F86" w:rsidRDefault="005435C4"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4D6720CD" w14:textId="6E875407" w:rsidR="00891119" w:rsidRPr="003A2F86" w:rsidRDefault="00D3435A" w:rsidP="00D3435A">
      <w:pPr>
        <w:pStyle w:val="Naslov4"/>
        <w:rPr>
          <w:rFonts w:ascii="Arial" w:hAnsi="Arial" w:cs="Arial"/>
          <w:lang w:val="hr-HR"/>
        </w:rPr>
      </w:pPr>
      <w:bookmarkStart w:id="183" w:name="_Toc232981398"/>
      <w:r w:rsidRPr="003A2F86">
        <w:rPr>
          <w:rFonts w:ascii="Arial" w:hAnsi="Arial" w:cs="Arial"/>
          <w:lang w:val="hr-HR"/>
        </w:rPr>
        <w:t>2.4.3.5</w:t>
      </w:r>
      <w:r w:rsidR="00891119" w:rsidRPr="003A2F86">
        <w:rPr>
          <w:rFonts w:ascii="Arial" w:hAnsi="Arial" w:cs="Arial"/>
          <w:lang w:val="hr-HR"/>
        </w:rPr>
        <w:t xml:space="preserve">. </w:t>
      </w:r>
      <w:r w:rsidR="00891119" w:rsidRPr="003A2F86">
        <w:rPr>
          <w:rFonts w:ascii="Arial" w:hAnsi="Arial" w:cs="Arial"/>
          <w:lang w:val="hr-HR"/>
        </w:rPr>
        <w:tab/>
        <w:t>Pomoći dane u inozemstvo i unutar općeg proračuna</w:t>
      </w:r>
      <w:r w:rsidRPr="003A2F86">
        <w:rPr>
          <w:rFonts w:ascii="Arial" w:hAnsi="Arial" w:cs="Arial"/>
          <w:lang w:val="hr-HR"/>
        </w:rPr>
        <w:t xml:space="preserve"> (36)</w:t>
      </w:r>
      <w:bookmarkEnd w:id="183"/>
    </w:p>
    <w:p w14:paraId="08623B02" w14:textId="77777777"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6880865A" w14:textId="1AB4552A" w:rsidR="002A3E41" w:rsidRPr="002A3E41" w:rsidRDefault="00E34D21" w:rsidP="002A3E4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5B0384">
        <w:rPr>
          <w:rFonts w:ascii="Arial" w:hAnsi="Arial" w:cs="Arial"/>
          <w:b/>
        </w:rPr>
        <w:t>Pomoći dane u inozemstvo i unutar općeg proračuna</w:t>
      </w:r>
      <w:r w:rsidRPr="005B0384">
        <w:rPr>
          <w:rFonts w:ascii="Arial" w:hAnsi="Arial" w:cs="Arial"/>
        </w:rPr>
        <w:t xml:space="preserve"> (36) izvršene su u iznosu </w:t>
      </w:r>
      <w:bookmarkStart w:id="184" w:name="_Hlk230348182"/>
      <w:r w:rsidRPr="005B0384">
        <w:rPr>
          <w:rFonts w:ascii="Arial" w:hAnsi="Arial" w:cs="Arial"/>
        </w:rPr>
        <w:t xml:space="preserve">135.204,03 € što je za 14.904,59 € ili 12,4% više </w:t>
      </w:r>
      <w:bookmarkEnd w:id="184"/>
      <w:r w:rsidRPr="005B0384">
        <w:rPr>
          <w:rFonts w:ascii="Arial" w:hAnsi="Arial" w:cs="Arial"/>
        </w:rPr>
        <w:t>u odnosu na prethodnu godinu</w:t>
      </w:r>
      <w:r>
        <w:rPr>
          <w:rFonts w:ascii="Arial" w:hAnsi="Arial" w:cs="Arial"/>
        </w:rPr>
        <w:t>.</w:t>
      </w:r>
      <w:r w:rsidRPr="003A2F86">
        <w:rPr>
          <w:rFonts w:ascii="Arial" w:hAnsi="Arial" w:cs="Arial"/>
          <w:color w:val="0070C0"/>
        </w:rPr>
        <w:t xml:space="preserve"> </w:t>
      </w:r>
      <w:r w:rsidR="002A3E41" w:rsidRPr="003A2F86">
        <w:rPr>
          <w:rFonts w:ascii="Arial" w:hAnsi="Arial" w:cs="Arial"/>
          <w:color w:val="0070C0"/>
        </w:rPr>
        <w:t>Ovi rashodi se u cijelosti odnose na rashode Općine.</w:t>
      </w:r>
    </w:p>
    <w:p w14:paraId="1A297BFA" w14:textId="4485F40C" w:rsidR="001B4F4E" w:rsidRPr="003A2F86" w:rsidRDefault="001B4F4E" w:rsidP="00C13C7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7B0E7C93" w14:textId="4CB8CDFA" w:rsidR="00C13C7A" w:rsidRPr="003A2F86" w:rsidRDefault="00C13C7A" w:rsidP="00C13C7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Tekuć</w:t>
      </w:r>
      <w:r w:rsidR="00FA0597" w:rsidRPr="003A2F86">
        <w:rPr>
          <w:rFonts w:ascii="Arial" w:eastAsia="Times New Roman" w:hAnsi="Arial" w:cs="Arial"/>
        </w:rPr>
        <w:t>ih</w:t>
      </w:r>
      <w:r w:rsidRPr="003A2F86">
        <w:rPr>
          <w:rFonts w:ascii="Arial" w:eastAsia="Times New Roman" w:hAnsi="Arial" w:cs="Arial"/>
        </w:rPr>
        <w:t xml:space="preserve"> pomoći međunarodnim organizacijama (3621) </w:t>
      </w:r>
      <w:r w:rsidR="00FA0597" w:rsidRPr="003A2F86">
        <w:rPr>
          <w:rFonts w:ascii="Arial" w:eastAsia="Times New Roman" w:hAnsi="Arial" w:cs="Arial"/>
        </w:rPr>
        <w:t>nema (ranijih godina se odnosile n</w:t>
      </w:r>
      <w:r w:rsidRPr="003A2F86">
        <w:rPr>
          <w:rFonts w:ascii="Arial" w:eastAsia="Times New Roman" w:hAnsi="Arial" w:cs="Arial"/>
        </w:rPr>
        <w:t xml:space="preserve">a doznaku ustanove Muzeji i galerije institucijama u inozemstvu </w:t>
      </w:r>
      <w:r w:rsidR="00FA0597" w:rsidRPr="003A2F86">
        <w:rPr>
          <w:rFonts w:ascii="Arial" w:eastAsia="Times New Roman" w:hAnsi="Arial" w:cs="Arial"/>
        </w:rPr>
        <w:t xml:space="preserve">- </w:t>
      </w:r>
      <w:r w:rsidRPr="003A2F86">
        <w:rPr>
          <w:rFonts w:ascii="Arial" w:eastAsia="Times New Roman" w:hAnsi="Arial" w:cs="Arial"/>
        </w:rPr>
        <w:t>partnerima u projektu unutar programa ERASMUS</w:t>
      </w:r>
      <w:r w:rsidR="00FA0597" w:rsidRPr="003A2F86">
        <w:rPr>
          <w:rFonts w:ascii="Arial" w:eastAsia="Times New Roman" w:hAnsi="Arial" w:cs="Arial"/>
        </w:rPr>
        <w:t>)</w:t>
      </w:r>
      <w:r w:rsidRPr="003A2F86">
        <w:rPr>
          <w:rFonts w:ascii="Arial" w:eastAsia="Times New Roman" w:hAnsi="Arial" w:cs="Arial"/>
        </w:rPr>
        <w:t>.</w:t>
      </w:r>
    </w:p>
    <w:p w14:paraId="2287CFC8" w14:textId="77777777" w:rsidR="0099436F" w:rsidRPr="003A2F86" w:rsidRDefault="0099436F" w:rsidP="00C13C7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20CDA0F4" w14:textId="1333FC0F" w:rsidR="00276996" w:rsidRDefault="002A3E41" w:rsidP="007969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b/>
          <w:bCs/>
        </w:rPr>
        <w:t>P</w:t>
      </w:r>
      <w:r w:rsidR="00C13C7A" w:rsidRPr="003A2F86">
        <w:rPr>
          <w:rFonts w:ascii="Arial" w:eastAsia="Times New Roman" w:hAnsi="Arial" w:cs="Arial"/>
          <w:b/>
          <w:bCs/>
        </w:rPr>
        <w:t>omoći unutar općeg proračuna</w:t>
      </w:r>
      <w:r w:rsidR="001B4F4E" w:rsidRPr="003A2F86">
        <w:rPr>
          <w:rFonts w:ascii="Arial" w:eastAsia="Times New Roman" w:hAnsi="Arial" w:cs="Arial"/>
          <w:b/>
          <w:bCs/>
        </w:rPr>
        <w:t xml:space="preserve"> (363)</w:t>
      </w:r>
      <w:r w:rsidR="00C13C7A" w:rsidRPr="003A2F86">
        <w:rPr>
          <w:rFonts w:ascii="Arial" w:eastAsia="Times New Roman" w:hAnsi="Arial" w:cs="Arial"/>
        </w:rPr>
        <w:t xml:space="preserve"> </w:t>
      </w:r>
      <w:r w:rsidR="009923F0">
        <w:rPr>
          <w:rFonts w:ascii="Arial" w:eastAsia="Times New Roman" w:hAnsi="Arial" w:cs="Arial"/>
        </w:rPr>
        <w:t xml:space="preserve">nema u 2025. godine. </w:t>
      </w:r>
    </w:p>
    <w:p w14:paraId="3E3CB214" w14:textId="77777777" w:rsidR="00276996" w:rsidRDefault="00276996" w:rsidP="007969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646BD8C5" w14:textId="0BA46ED6" w:rsidR="0079691F" w:rsidRPr="003A2F86" w:rsidRDefault="00276996" w:rsidP="002769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firstLine="567"/>
        <w:jc w:val="both"/>
        <w:rPr>
          <w:rFonts w:ascii="Arial" w:eastAsia="Times New Roman" w:hAnsi="Arial" w:cs="Arial"/>
        </w:rPr>
      </w:pPr>
      <w:r w:rsidRPr="00276996">
        <w:rPr>
          <w:rFonts w:ascii="Arial" w:eastAsia="Times New Roman" w:hAnsi="Arial" w:cs="Arial"/>
          <w:sz w:val="18"/>
          <w:szCs w:val="18"/>
        </w:rPr>
        <w:t xml:space="preserve">Ukupno u 2024. godini su bile izvršene ove pomoći </w:t>
      </w:r>
      <w:r w:rsidR="002A3E41" w:rsidRPr="00276996">
        <w:rPr>
          <w:rFonts w:ascii="Arial" w:eastAsia="Times New Roman" w:hAnsi="Arial" w:cs="Arial"/>
          <w:sz w:val="18"/>
          <w:szCs w:val="18"/>
        </w:rPr>
        <w:t>u iznosu 13.075,65 €</w:t>
      </w:r>
      <w:r w:rsidR="00D86863" w:rsidRPr="00276996">
        <w:rPr>
          <w:rFonts w:ascii="Arial" w:eastAsia="Times New Roman" w:hAnsi="Arial" w:cs="Arial"/>
          <w:sz w:val="18"/>
          <w:szCs w:val="18"/>
        </w:rPr>
        <w:t xml:space="preserve"> </w:t>
      </w:r>
      <w:r w:rsidR="002A3E41" w:rsidRPr="00276996">
        <w:rPr>
          <w:rFonts w:ascii="Arial" w:eastAsia="Times New Roman" w:hAnsi="Arial" w:cs="Arial"/>
          <w:sz w:val="18"/>
          <w:szCs w:val="18"/>
        </w:rPr>
        <w:t>(</w:t>
      </w:r>
      <w:r w:rsidR="00D86863" w:rsidRPr="00276996">
        <w:rPr>
          <w:rFonts w:ascii="Arial" w:eastAsia="Times New Roman" w:hAnsi="Arial" w:cs="Arial"/>
          <w:sz w:val="18"/>
          <w:szCs w:val="18"/>
        </w:rPr>
        <w:t xml:space="preserve">utrošak </w:t>
      </w:r>
      <w:r w:rsidR="0099436F" w:rsidRPr="00276996">
        <w:rPr>
          <w:rFonts w:ascii="Arial" w:eastAsia="Times New Roman" w:hAnsi="Arial" w:cs="Arial"/>
          <w:sz w:val="18"/>
          <w:szCs w:val="18"/>
        </w:rPr>
        <w:t>namjenske naknade</w:t>
      </w:r>
      <w:r w:rsidR="00D86863" w:rsidRPr="00276996">
        <w:rPr>
          <w:rFonts w:ascii="Arial" w:eastAsia="Times New Roman" w:hAnsi="Arial" w:cs="Arial"/>
          <w:sz w:val="18"/>
          <w:szCs w:val="18"/>
        </w:rPr>
        <w:t xml:space="preserve"> za sanaciju odlagališta otpada</w:t>
      </w:r>
      <w:r w:rsidR="0099436F" w:rsidRPr="00276996">
        <w:rPr>
          <w:rFonts w:ascii="Arial" w:eastAsia="Times New Roman" w:hAnsi="Arial" w:cs="Arial"/>
          <w:sz w:val="18"/>
          <w:szCs w:val="18"/>
        </w:rPr>
        <w:t>)</w:t>
      </w:r>
      <w:r w:rsidR="001B4F4E" w:rsidRPr="00276996">
        <w:rPr>
          <w:rFonts w:ascii="Arial" w:eastAsia="Times New Roman" w:hAnsi="Arial" w:cs="Arial"/>
          <w:sz w:val="18"/>
          <w:szCs w:val="18"/>
        </w:rPr>
        <w:t>.</w:t>
      </w:r>
      <w:r w:rsidR="00010A93" w:rsidRPr="00276996">
        <w:rPr>
          <w:rFonts w:ascii="Arial" w:eastAsia="Times New Roman" w:hAnsi="Arial" w:cs="Arial"/>
          <w:sz w:val="18"/>
          <w:szCs w:val="18"/>
        </w:rPr>
        <w:t xml:space="preserve"> </w:t>
      </w:r>
    </w:p>
    <w:p w14:paraId="64F2E91A" w14:textId="77777777" w:rsidR="0079691F" w:rsidRPr="00082B02" w:rsidRDefault="0079691F" w:rsidP="007969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p>
    <w:p w14:paraId="718504B2" w14:textId="1021A5B8" w:rsidR="0079691F" w:rsidRPr="003A2F86" w:rsidRDefault="0079691F" w:rsidP="00211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r w:rsidRPr="003A2F86">
        <w:rPr>
          <w:rFonts w:ascii="Arial" w:eastAsia="Times New Roman" w:hAnsi="Arial" w:cs="Arial"/>
          <w:sz w:val="18"/>
          <w:szCs w:val="18"/>
        </w:rPr>
        <w:t xml:space="preserve">Namjensku naknadu je naplaćivalo društvo u suvlasništvu Općine od korisnika usluga s područja Konavala, a služila je za sanaciju odlagališta otpada Grabovica. Dana 31. srpnja 2023. godine sukladno članku 179. stavak 1. Zakona o gospodarenju otpadom (NN 84/21) prestaje obveza plaćanja naknade za gradnju građevina za gospodarenje komunalnim otpadom iz članka 33. stavka 13. Zakona o održivom gospodarenju otpadom (Narodne novine 94/13, 73/17, 14/19 i 98/19), koja je određena odlukom predstavničkog tijela jedinice lokalne samouprave koja je donesena do dana stupanja na snagu ovoga Zakona (namjenska naknada). Slijedom navedenog, računi Čistoće d.o.o. od mjeseca kolovoza 2023. godine </w:t>
      </w:r>
      <w:r w:rsidR="006F4BCA" w:rsidRPr="003A2F86">
        <w:rPr>
          <w:rFonts w:ascii="Arial" w:eastAsia="Times New Roman" w:hAnsi="Arial" w:cs="Arial"/>
          <w:sz w:val="18"/>
          <w:szCs w:val="18"/>
        </w:rPr>
        <w:t>su</w:t>
      </w:r>
      <w:r w:rsidRPr="003A2F86">
        <w:rPr>
          <w:rFonts w:ascii="Arial" w:eastAsia="Times New Roman" w:hAnsi="Arial" w:cs="Arial"/>
          <w:sz w:val="18"/>
          <w:szCs w:val="18"/>
        </w:rPr>
        <w:t xml:space="preserve"> umanjeni za iznos namjenske naknade.</w:t>
      </w:r>
    </w:p>
    <w:p w14:paraId="17120419" w14:textId="77777777" w:rsidR="0079691F" w:rsidRPr="0021122B" w:rsidRDefault="0079691F" w:rsidP="007969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p>
    <w:p w14:paraId="7C4A36D0" w14:textId="77777777" w:rsidR="00A53B20" w:rsidRPr="00EE42F4" w:rsidRDefault="00A53B20" w:rsidP="00A53B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EE42F4">
        <w:rPr>
          <w:rFonts w:ascii="Arial" w:hAnsi="Arial" w:cs="Arial"/>
        </w:rPr>
        <w:t>Pomoći proračunskim korisnicima drugih proračuna (366) su izvršene u iznosu 135.204,03 € (više za 27.980,24 € nego prethodne godine) i odnose se na tekuće pomoći proračunskim korisnicima drugih proračuna (3661) u iznosu 105.204,03 €, te kapitalne pomoći proračunskim korisnicima u iznosu 30.000 € (3662). Pomoći proračunskim korisnicima su više 27.980,24 € ili 26,1% u odnosu na prethodnu godinu, s time da su veće i tekuće pomoći kao i kapitalne pomoći. Prijenosi se odnose na:</w:t>
      </w:r>
    </w:p>
    <w:p w14:paraId="4625B862" w14:textId="77777777" w:rsidR="00A53B20" w:rsidRPr="001B13C7" w:rsidRDefault="00A53B20" w:rsidP="00A53B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1B13C7">
        <w:rPr>
          <w:rFonts w:ascii="Arial" w:hAnsi="Arial" w:cs="Arial"/>
        </w:rPr>
        <w:t xml:space="preserve">- financiranje školskih i izvanškolskih aktivnosti u iznosu </w:t>
      </w:r>
      <w:bookmarkStart w:id="185" w:name="_Hlk230348295"/>
      <w:r w:rsidRPr="001B13C7">
        <w:rPr>
          <w:rFonts w:ascii="Arial" w:hAnsi="Arial" w:cs="Arial"/>
        </w:rPr>
        <w:t xml:space="preserve">45.925,54 </w:t>
      </w:r>
      <w:bookmarkEnd w:id="185"/>
      <w:r w:rsidRPr="001B13C7">
        <w:rPr>
          <w:rFonts w:ascii="Arial" w:hAnsi="Arial" w:cs="Arial"/>
        </w:rPr>
        <w:t>€ (rad glazbene škole Luke Sorkočević u osnovnoj školi Cavtat u iznosu 11.500 €- proračunski korisnik Dubrovačko-neretvanske županije; doznaka Dubrovačkim knjižnicama za redovan rad ispostave knjižnice u Cavtatu u iznosu 31.425,54 € - proračunski korisnik Grada Dubrovnika - više za 8.471,69 € nego prethodne godine, potpora osnovnoj školi Cavtat za školske aktivnosti u kulturi 1.500 €, potpora osnovnoj školi Gruda za školske aktivnosti u kulturi 1.500 €);</w:t>
      </w:r>
    </w:p>
    <w:p w14:paraId="301F53F4" w14:textId="77777777" w:rsidR="00A53B20" w:rsidRPr="002A04A7" w:rsidRDefault="00A53B20" w:rsidP="00A53B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1F1CB1">
        <w:rPr>
          <w:rFonts w:ascii="Arial" w:hAnsi="Arial" w:cs="Arial"/>
        </w:rPr>
        <w:t xml:space="preserve">- potpora osnovnoj školi Cavtat u iznosu 16.318,93 € za provedbu programa unapređenja kvaliteta življenja osoba s invaliditetom, odnosno za </w:t>
      </w:r>
      <w:bookmarkStart w:id="186" w:name="_Hlk97229250"/>
      <w:r w:rsidRPr="002A04A7">
        <w:rPr>
          <w:rFonts w:ascii="Arial" w:hAnsi="Arial" w:cs="Arial"/>
        </w:rPr>
        <w:t>zapošljavanje osobe s invaliditetom</w:t>
      </w:r>
      <w:bookmarkEnd w:id="186"/>
      <w:r w:rsidRPr="002A04A7">
        <w:rPr>
          <w:rFonts w:ascii="Arial" w:hAnsi="Arial" w:cs="Arial"/>
        </w:rPr>
        <w:t xml:space="preserve"> – više za 3.398,13 €;</w:t>
      </w:r>
    </w:p>
    <w:p w14:paraId="3CE49500" w14:textId="77777777" w:rsidR="00A53B20" w:rsidRPr="002A04A7" w:rsidRDefault="00A53B20" w:rsidP="00A53B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2A04A7">
        <w:rPr>
          <w:rFonts w:ascii="Arial" w:hAnsi="Arial" w:cs="Arial"/>
        </w:rPr>
        <w:t>- doznaka 42.999,89 € Dubrovačko-neretvanskoj županiji prema zaključenim ugovorima u visini sufinanciranja produženog boravka u osnovnoj školi Gruda i Cavtat</w:t>
      </w:r>
      <w:r>
        <w:rPr>
          <w:rFonts w:ascii="Arial" w:hAnsi="Arial" w:cs="Arial"/>
        </w:rPr>
        <w:t>.</w:t>
      </w:r>
    </w:p>
    <w:p w14:paraId="445064CA" w14:textId="77777777" w:rsidR="00A123DD" w:rsidRPr="00A123DD" w:rsidRDefault="00A123DD" w:rsidP="00A53B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2C556E20" w14:textId="1E1FA4FF" w:rsidR="00276996" w:rsidRDefault="00A123DD" w:rsidP="00A123D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bookmarkStart w:id="187" w:name="_Hlk200537596"/>
      <w:r w:rsidRPr="00A123DD">
        <w:rPr>
          <w:rFonts w:ascii="Arial" w:hAnsi="Arial" w:cs="Arial"/>
        </w:rPr>
        <w:t xml:space="preserve">Kapitalna pomoć u iznosu </w:t>
      </w:r>
      <w:r w:rsidR="00276996">
        <w:rPr>
          <w:rFonts w:ascii="Arial" w:hAnsi="Arial" w:cs="Arial"/>
        </w:rPr>
        <w:t>30</w:t>
      </w:r>
      <w:r w:rsidRPr="00A123DD">
        <w:rPr>
          <w:rFonts w:ascii="Arial" w:hAnsi="Arial" w:cs="Arial"/>
        </w:rPr>
        <w:t xml:space="preserve">.000 € se odnosi na prijenos Zavodu za hitnu medicinu (proračunski korisnik županije) za </w:t>
      </w:r>
      <w:r w:rsidR="00276996">
        <w:rPr>
          <w:rFonts w:ascii="Arial" w:hAnsi="Arial" w:cs="Arial"/>
        </w:rPr>
        <w:t xml:space="preserve">nabavu vozila za sanitetski prijevoz. </w:t>
      </w:r>
    </w:p>
    <w:bookmarkEnd w:id="187"/>
    <w:p w14:paraId="52E42A9A" w14:textId="2CEB1424" w:rsidR="00657828" w:rsidRPr="003A2F86" w:rsidRDefault="000B1E6A" w:rsidP="00211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r w:rsidRPr="003A2F86">
        <w:rPr>
          <w:rFonts w:ascii="Arial" w:eastAsia="Times New Roman" w:hAnsi="Arial" w:cs="Arial"/>
          <w:sz w:val="18"/>
          <w:szCs w:val="18"/>
        </w:rPr>
        <w:t xml:space="preserve">Sveukupno u 2022. godini je </w:t>
      </w:r>
      <w:r w:rsidR="00010A93" w:rsidRPr="003A2F86">
        <w:rPr>
          <w:rFonts w:ascii="Arial" w:eastAsia="Times New Roman" w:hAnsi="Arial" w:cs="Arial"/>
          <w:sz w:val="18"/>
          <w:szCs w:val="18"/>
        </w:rPr>
        <w:t>bila izvršena k</w:t>
      </w:r>
      <w:r w:rsidR="00657828" w:rsidRPr="003A2F86">
        <w:rPr>
          <w:rFonts w:ascii="Arial" w:eastAsia="Times New Roman" w:hAnsi="Arial" w:cs="Arial"/>
          <w:sz w:val="18"/>
          <w:szCs w:val="18"/>
        </w:rPr>
        <w:t xml:space="preserve">apitalna pomoć u iznosu </w:t>
      </w:r>
      <w:r w:rsidRPr="003A2F86">
        <w:rPr>
          <w:rFonts w:ascii="Arial" w:eastAsia="Times New Roman" w:hAnsi="Arial" w:cs="Arial"/>
          <w:sz w:val="18"/>
          <w:szCs w:val="18"/>
        </w:rPr>
        <w:t>13.272,28 €</w:t>
      </w:r>
      <w:r w:rsidR="00657828" w:rsidRPr="003A2F86">
        <w:rPr>
          <w:rFonts w:ascii="Arial" w:eastAsia="Times New Roman" w:hAnsi="Arial" w:cs="Arial"/>
          <w:sz w:val="18"/>
          <w:szCs w:val="18"/>
        </w:rPr>
        <w:t xml:space="preserve"> </w:t>
      </w:r>
      <w:r w:rsidR="002225FA" w:rsidRPr="003A2F86">
        <w:rPr>
          <w:rFonts w:ascii="Arial" w:eastAsia="Times New Roman" w:hAnsi="Arial" w:cs="Arial"/>
          <w:sz w:val="18"/>
          <w:szCs w:val="18"/>
        </w:rPr>
        <w:t>(</w:t>
      </w:r>
      <w:r w:rsidR="00657828" w:rsidRPr="003A2F86">
        <w:rPr>
          <w:rFonts w:ascii="Arial" w:eastAsia="Times New Roman" w:hAnsi="Arial" w:cs="Arial"/>
          <w:sz w:val="18"/>
          <w:szCs w:val="18"/>
        </w:rPr>
        <w:t>prijenos Domu zdravlja Dubrovnik</w:t>
      </w:r>
      <w:r w:rsidR="002225FA" w:rsidRPr="003A2F86">
        <w:rPr>
          <w:rFonts w:ascii="Arial" w:eastAsia="Times New Roman" w:hAnsi="Arial" w:cs="Arial"/>
          <w:sz w:val="18"/>
          <w:szCs w:val="18"/>
        </w:rPr>
        <w:t>,</w:t>
      </w:r>
      <w:r w:rsidR="00657828" w:rsidRPr="003A2F86">
        <w:rPr>
          <w:rFonts w:ascii="Arial" w:eastAsia="Times New Roman" w:hAnsi="Arial" w:cs="Arial"/>
          <w:sz w:val="18"/>
          <w:szCs w:val="18"/>
        </w:rPr>
        <w:t xml:space="preserve"> proračunski korisnik županije</w:t>
      </w:r>
      <w:r w:rsidR="002225FA" w:rsidRPr="003A2F86">
        <w:rPr>
          <w:rFonts w:ascii="Arial" w:eastAsia="Times New Roman" w:hAnsi="Arial" w:cs="Arial"/>
          <w:sz w:val="18"/>
          <w:szCs w:val="18"/>
        </w:rPr>
        <w:t xml:space="preserve">, </w:t>
      </w:r>
      <w:r w:rsidR="00657828" w:rsidRPr="003A2F86">
        <w:rPr>
          <w:rFonts w:ascii="Arial" w:eastAsia="Times New Roman" w:hAnsi="Arial" w:cs="Arial"/>
          <w:sz w:val="18"/>
          <w:szCs w:val="18"/>
        </w:rPr>
        <w:t xml:space="preserve">za nabavu kombi vozila za sanitetski prijevoz. Ovih pomoći </w:t>
      </w:r>
      <w:r w:rsidR="002225FA" w:rsidRPr="003A2F86">
        <w:rPr>
          <w:rFonts w:ascii="Arial" w:eastAsia="Times New Roman" w:hAnsi="Arial" w:cs="Arial"/>
          <w:sz w:val="18"/>
          <w:szCs w:val="18"/>
        </w:rPr>
        <w:t>nema u</w:t>
      </w:r>
      <w:r w:rsidR="00657828" w:rsidRPr="003A2F86">
        <w:rPr>
          <w:rFonts w:ascii="Arial" w:eastAsia="Times New Roman" w:hAnsi="Arial" w:cs="Arial"/>
          <w:sz w:val="18"/>
          <w:szCs w:val="18"/>
        </w:rPr>
        <w:t xml:space="preserve"> izvještajnom razdoblju</w:t>
      </w:r>
      <w:r w:rsidR="002225FA" w:rsidRPr="003A2F86">
        <w:rPr>
          <w:rFonts w:ascii="Arial" w:eastAsia="Times New Roman" w:hAnsi="Arial" w:cs="Arial"/>
          <w:sz w:val="18"/>
          <w:szCs w:val="18"/>
        </w:rPr>
        <w:t xml:space="preserve"> tekuće godine</w:t>
      </w:r>
      <w:r w:rsidR="00657828" w:rsidRPr="003A2F86">
        <w:rPr>
          <w:rFonts w:ascii="Arial" w:eastAsia="Times New Roman" w:hAnsi="Arial" w:cs="Arial"/>
          <w:sz w:val="18"/>
          <w:szCs w:val="18"/>
        </w:rPr>
        <w:t>.</w:t>
      </w:r>
    </w:p>
    <w:p w14:paraId="04140800" w14:textId="0F83A332" w:rsidR="0021122B" w:rsidRPr="003A2F86" w:rsidRDefault="0021122B" w:rsidP="00211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hAnsi="Arial" w:cs="Arial"/>
          <w:sz w:val="18"/>
          <w:szCs w:val="18"/>
        </w:rPr>
      </w:pPr>
      <w:r w:rsidRPr="003A2F86">
        <w:rPr>
          <w:rFonts w:ascii="Arial" w:hAnsi="Arial" w:cs="Arial"/>
          <w:sz w:val="18"/>
          <w:szCs w:val="18"/>
        </w:rPr>
        <w:t>Sveukupno u 2023. godini je bila izvršena kapitalna pomoć u iznosu 11.000 € se odnosi na prijenos Domu zdravlja Dubrovnik, (proračunski korisnik županije) za nabavu stolice za stomatološku ambulantu na Grudi. Prethodne godine je bila jedna pomoć u iznosu 3.981,68 € Općoj bolnici Dubrovnik za nabavu opreme za fizijatriju.</w:t>
      </w:r>
    </w:p>
    <w:p w14:paraId="629C62A6" w14:textId="54F437AB" w:rsidR="00276996" w:rsidRPr="00276996" w:rsidRDefault="00276996" w:rsidP="002769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firstLine="567"/>
        <w:jc w:val="both"/>
        <w:rPr>
          <w:rFonts w:ascii="Arial" w:hAnsi="Arial" w:cs="Arial"/>
          <w:sz w:val="18"/>
          <w:szCs w:val="18"/>
        </w:rPr>
      </w:pPr>
      <w:r w:rsidRPr="00276996">
        <w:rPr>
          <w:rFonts w:ascii="Arial" w:hAnsi="Arial" w:cs="Arial"/>
          <w:sz w:val="18"/>
          <w:szCs w:val="18"/>
        </w:rPr>
        <w:t>Sveukupno u 2024. godini je bila izvršena kapitalna pomoć u iznosu 12.000 € i odnosila se na nabavu EKG uređaja za hitnu medicinsku pomoć smještenu u zračnoj luci Dubrovnik.</w:t>
      </w:r>
    </w:p>
    <w:p w14:paraId="5787CC15" w14:textId="77777777" w:rsidR="00276996" w:rsidRPr="00FD0F25" w:rsidRDefault="00276996" w:rsidP="006232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p>
    <w:p w14:paraId="55496B59" w14:textId="168937D6" w:rsidR="00623214" w:rsidRPr="003A2F86" w:rsidRDefault="00623214" w:rsidP="006232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 xml:space="preserve">Prijenosi proračunskim korisnicima iz nadležnog proračuna za financiranje redovne djelatnosti (3671) su u financijskim izvještajima, razina 22, </w:t>
      </w:r>
      <w:r w:rsidR="0021122B">
        <w:rPr>
          <w:rFonts w:ascii="Arial" w:eastAsia="Times New Roman" w:hAnsi="Arial" w:cs="Arial"/>
        </w:rPr>
        <w:t>i</w:t>
      </w:r>
      <w:r w:rsidRPr="003A2F86">
        <w:rPr>
          <w:rFonts w:ascii="Arial" w:eastAsia="Times New Roman" w:hAnsi="Arial" w:cs="Arial"/>
        </w:rPr>
        <w:t xml:space="preserve">skazani u okviru podskupine 367 u iznosu </w:t>
      </w:r>
      <w:r w:rsidR="00A53B20">
        <w:rPr>
          <w:rFonts w:ascii="Arial" w:eastAsia="Times New Roman" w:hAnsi="Arial" w:cs="Arial"/>
          <w:b/>
          <w:bCs/>
        </w:rPr>
        <w:t>4.593.804,88</w:t>
      </w:r>
      <w:r w:rsidR="000B1E6A" w:rsidRPr="003A2F86">
        <w:rPr>
          <w:rFonts w:ascii="Arial" w:eastAsia="Times New Roman" w:hAnsi="Arial" w:cs="Arial"/>
          <w:b/>
          <w:bCs/>
        </w:rPr>
        <w:t xml:space="preserve"> €</w:t>
      </w:r>
      <w:r w:rsidR="00A53B20">
        <w:rPr>
          <w:rFonts w:ascii="Arial" w:eastAsia="Times New Roman" w:hAnsi="Arial" w:cs="Arial"/>
        </w:rPr>
        <w:t xml:space="preserve"> (</w:t>
      </w:r>
      <w:r w:rsidR="00A53B20" w:rsidRPr="00A53B20">
        <w:rPr>
          <w:rFonts w:ascii="Arial" w:eastAsia="Times New Roman" w:hAnsi="Arial" w:cs="Arial"/>
        </w:rPr>
        <w:t>više izvršeni za 1.110.878,19 € ili 31,9% u odnosu na prethodnu godinu</w:t>
      </w:r>
      <w:r w:rsidR="00A53B20">
        <w:rPr>
          <w:rFonts w:ascii="Arial" w:eastAsia="Times New Roman" w:hAnsi="Arial" w:cs="Arial"/>
        </w:rPr>
        <w:t>)</w:t>
      </w:r>
      <w:r w:rsidR="00A53B20" w:rsidRPr="00A53B20">
        <w:rPr>
          <w:rFonts w:ascii="Arial" w:eastAsia="Times New Roman" w:hAnsi="Arial" w:cs="Arial"/>
        </w:rPr>
        <w:t>.</w:t>
      </w:r>
      <w:r w:rsidRPr="003A2F86">
        <w:rPr>
          <w:rFonts w:ascii="Arial" w:eastAsia="Times New Roman" w:hAnsi="Arial" w:cs="Arial"/>
        </w:rPr>
        <w:t xml:space="preserve"> Međutim, u financijskim izvještajima, razina 23, kao i u </w:t>
      </w:r>
      <w:r w:rsidR="00A76325" w:rsidRPr="003A2F86">
        <w:rPr>
          <w:rFonts w:ascii="Arial" w:eastAsia="Times New Roman" w:hAnsi="Arial" w:cs="Arial"/>
        </w:rPr>
        <w:t xml:space="preserve">polugodišnjem / </w:t>
      </w:r>
      <w:r w:rsidRPr="003A2F86">
        <w:rPr>
          <w:rFonts w:ascii="Arial" w:eastAsia="Times New Roman" w:hAnsi="Arial" w:cs="Arial"/>
        </w:rPr>
        <w:t>godišnjem izvještaju o izvršenju proračuna, ovi rashodi se iskazuju pojedinačno prema prirodnoj vrsti svakog rashoda</w:t>
      </w:r>
      <w:r w:rsidRPr="003A2F86">
        <w:rPr>
          <w:rFonts w:ascii="Arial" w:eastAsia="Times New Roman" w:hAnsi="Arial" w:cs="Arial"/>
          <w:iCs/>
          <w:sz w:val="20"/>
        </w:rPr>
        <w:t xml:space="preserve"> </w:t>
      </w:r>
      <w:r w:rsidRPr="003A2F86">
        <w:rPr>
          <w:rFonts w:ascii="Arial" w:eastAsia="Times New Roman" w:hAnsi="Arial" w:cs="Arial"/>
          <w:iCs/>
        </w:rPr>
        <w:t>što znači da se ne iskazuju rashodi na podskupini 367.</w:t>
      </w:r>
    </w:p>
    <w:p w14:paraId="3764B599" w14:textId="78CF4F77" w:rsidR="006032DC" w:rsidRPr="003A2F86" w:rsidRDefault="00891119" w:rsidP="001F27A0">
      <w:pPr>
        <w:spacing w:after="0" w:line="240" w:lineRule="auto"/>
        <w:jc w:val="both"/>
        <w:rPr>
          <w:rFonts w:ascii="Arial" w:eastAsia="Times New Roman" w:hAnsi="Arial" w:cs="Arial"/>
          <w:sz w:val="20"/>
          <w:szCs w:val="20"/>
        </w:rPr>
      </w:pPr>
      <w:r w:rsidRPr="003A2F86">
        <w:rPr>
          <w:rFonts w:ascii="Arial" w:eastAsia="Times New Roman" w:hAnsi="Arial" w:cs="Arial"/>
          <w:i/>
          <w:iCs/>
          <w:sz w:val="20"/>
          <w:szCs w:val="20"/>
        </w:rPr>
        <w:t>* Usporedba:</w:t>
      </w:r>
    </w:p>
    <w:p w14:paraId="31948105" w14:textId="5B238E7B" w:rsidR="00A76325" w:rsidRPr="003A2F86" w:rsidRDefault="00A53B20" w:rsidP="004176BC">
      <w:pPr>
        <w:spacing w:after="0" w:line="240" w:lineRule="auto"/>
        <w:jc w:val="center"/>
        <w:rPr>
          <w:rFonts w:ascii="Arial" w:eastAsia="Times New Roman" w:hAnsi="Arial" w:cs="Arial"/>
          <w:sz w:val="20"/>
          <w:szCs w:val="20"/>
        </w:rPr>
      </w:pPr>
      <w:r w:rsidRPr="00A53B20">
        <w:rPr>
          <w:noProof/>
        </w:rPr>
        <w:drawing>
          <wp:inline distT="0" distB="0" distL="0" distR="0" wp14:anchorId="31C42A2B" wp14:editId="5B3C0F81">
            <wp:extent cx="7477977" cy="3083442"/>
            <wp:effectExtent l="0" t="0" r="0" b="3175"/>
            <wp:docPr id="179300166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492271" cy="3089336"/>
                    </a:xfrm>
                    <a:prstGeom prst="rect">
                      <a:avLst/>
                    </a:prstGeom>
                    <a:noFill/>
                    <a:ln>
                      <a:noFill/>
                    </a:ln>
                  </pic:spPr>
                </pic:pic>
              </a:graphicData>
            </a:graphic>
          </wp:inline>
        </w:drawing>
      </w:r>
      <w:r w:rsidR="00A76325" w:rsidRPr="003A2F86">
        <w:rPr>
          <w:rFonts w:ascii="Arial" w:eastAsia="Times New Roman" w:hAnsi="Arial" w:cs="Arial"/>
          <w:sz w:val="20"/>
          <w:szCs w:val="20"/>
        </w:rPr>
        <w:br w:type="page"/>
      </w:r>
    </w:p>
    <w:p w14:paraId="2168EF61" w14:textId="2033D6A6" w:rsidR="00891119" w:rsidRPr="003A2F86" w:rsidRDefault="00D3435A" w:rsidP="00D3435A">
      <w:pPr>
        <w:pStyle w:val="Naslov4"/>
        <w:rPr>
          <w:rFonts w:ascii="Arial" w:hAnsi="Arial" w:cs="Arial"/>
          <w:lang w:val="hr-HR"/>
        </w:rPr>
      </w:pPr>
      <w:bookmarkStart w:id="188" w:name="_Toc232981399"/>
      <w:r w:rsidRPr="003A2F86">
        <w:rPr>
          <w:rFonts w:ascii="Arial" w:hAnsi="Arial" w:cs="Arial"/>
          <w:lang w:val="hr-HR"/>
        </w:rPr>
        <w:lastRenderedPageBreak/>
        <w:t>3.4.3.6</w:t>
      </w:r>
      <w:r w:rsidR="00891119" w:rsidRPr="003A2F86">
        <w:rPr>
          <w:rFonts w:ascii="Arial" w:hAnsi="Arial" w:cs="Arial"/>
          <w:lang w:val="hr-HR"/>
        </w:rPr>
        <w:t xml:space="preserve">. </w:t>
      </w:r>
      <w:r w:rsidR="00891119" w:rsidRPr="003A2F86">
        <w:rPr>
          <w:rFonts w:ascii="Arial" w:hAnsi="Arial" w:cs="Arial"/>
          <w:lang w:val="hr-HR"/>
        </w:rPr>
        <w:tab/>
        <w:t>Na</w:t>
      </w:r>
      <w:r w:rsidR="00A8623C" w:rsidRPr="003A2F86">
        <w:rPr>
          <w:rFonts w:ascii="Arial" w:hAnsi="Arial" w:cs="Arial"/>
          <w:lang w:val="hr-HR"/>
        </w:rPr>
        <w:t>kn</w:t>
      </w:r>
      <w:r w:rsidR="00891119" w:rsidRPr="003A2F86">
        <w:rPr>
          <w:rFonts w:ascii="Arial" w:hAnsi="Arial" w:cs="Arial"/>
          <w:lang w:val="hr-HR"/>
        </w:rPr>
        <w:t>ade građanima i kućanstvima na temelju osiguranja i druge na</w:t>
      </w:r>
      <w:r w:rsidR="00A8623C" w:rsidRPr="003A2F86">
        <w:rPr>
          <w:rFonts w:ascii="Arial" w:hAnsi="Arial" w:cs="Arial"/>
          <w:lang w:val="hr-HR"/>
        </w:rPr>
        <w:t>kn</w:t>
      </w:r>
      <w:r w:rsidR="00891119" w:rsidRPr="003A2F86">
        <w:rPr>
          <w:rFonts w:ascii="Arial" w:hAnsi="Arial" w:cs="Arial"/>
          <w:lang w:val="hr-HR"/>
        </w:rPr>
        <w:t>ade</w:t>
      </w:r>
      <w:r w:rsidRPr="003A2F86">
        <w:rPr>
          <w:rFonts w:ascii="Arial" w:hAnsi="Arial" w:cs="Arial"/>
          <w:lang w:val="hr-HR"/>
        </w:rPr>
        <w:t xml:space="preserve"> (37)</w:t>
      </w:r>
      <w:bookmarkEnd w:id="188"/>
    </w:p>
    <w:p w14:paraId="51B412C9" w14:textId="77777777"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5B58F654" w14:textId="77777777" w:rsidR="00A53B20" w:rsidRPr="00A53B20" w:rsidRDefault="00A53B20" w:rsidP="00A53B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A53B20">
        <w:rPr>
          <w:rFonts w:ascii="Arial" w:eastAsia="Times New Roman" w:hAnsi="Arial" w:cs="Arial"/>
          <w:b/>
        </w:rPr>
        <w:t>Naknade građanima i kućanstvima na temelju osiguranja i druge naknade</w:t>
      </w:r>
      <w:r w:rsidRPr="00A53B20">
        <w:rPr>
          <w:rFonts w:ascii="Arial" w:eastAsia="Times New Roman" w:hAnsi="Arial" w:cs="Arial"/>
        </w:rPr>
        <w:t xml:space="preserve"> (37) izvršene su u iznosu </w:t>
      </w:r>
      <w:bookmarkStart w:id="189" w:name="_Hlk230348534"/>
      <w:r w:rsidRPr="00A53B20">
        <w:rPr>
          <w:rFonts w:ascii="Arial" w:eastAsia="Times New Roman" w:hAnsi="Arial" w:cs="Arial"/>
        </w:rPr>
        <w:t xml:space="preserve">548.868,17 € </w:t>
      </w:r>
      <w:bookmarkEnd w:id="189"/>
      <w:r w:rsidRPr="00A53B20">
        <w:rPr>
          <w:rFonts w:ascii="Arial" w:eastAsia="Times New Roman" w:hAnsi="Arial" w:cs="Arial"/>
        </w:rPr>
        <w:t xml:space="preserve">što je za 51.232,87 € ili 10,3% više u odnosu na prethodnu godinu. Ove naknade se odnose na naknade u novcu (3721) u iznosu 236.750,13 € i naknade u naravi (3722) u iznosu 312.118,04 €. </w:t>
      </w:r>
    </w:p>
    <w:p w14:paraId="7EEEECD9" w14:textId="77777777" w:rsidR="00A53B20" w:rsidRPr="00A53B20" w:rsidRDefault="00A53B20" w:rsidP="00A53B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2F013619" w14:textId="77777777" w:rsidR="00A53B20" w:rsidRPr="00A53B20" w:rsidRDefault="00A53B20" w:rsidP="00A53B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A53B20">
        <w:rPr>
          <w:rFonts w:ascii="Arial" w:eastAsia="Times New Roman" w:hAnsi="Arial" w:cs="Arial"/>
        </w:rPr>
        <w:t xml:space="preserve">Naknade u novcu su izvršene u iznosu 236.750,13 € ili više za 44.431,14 € ili 23,1% u odnosu na prethodnu godinu, a odnose se na: </w:t>
      </w:r>
    </w:p>
    <w:p w14:paraId="5C851AE5"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bookmarkStart w:id="190" w:name="_Hlk97229428"/>
      <w:r w:rsidRPr="00A53B20">
        <w:rPr>
          <w:rFonts w:ascii="Arial" w:eastAsia="Times New Roman" w:hAnsi="Arial" w:cs="Arial"/>
        </w:rPr>
        <w:t xml:space="preserve">potpore za novorođenu djecu u iznosu </w:t>
      </w:r>
      <w:bookmarkStart w:id="191" w:name="_Hlk230348718"/>
      <w:r w:rsidRPr="00A53B20">
        <w:rPr>
          <w:rFonts w:ascii="Arial" w:eastAsia="Times New Roman" w:hAnsi="Arial" w:cs="Arial"/>
        </w:rPr>
        <w:t xml:space="preserve">43.510 </w:t>
      </w:r>
      <w:bookmarkEnd w:id="191"/>
      <w:r w:rsidRPr="00A53B20">
        <w:rPr>
          <w:rFonts w:ascii="Arial" w:eastAsia="Times New Roman" w:hAnsi="Arial" w:cs="Arial"/>
        </w:rPr>
        <w:t xml:space="preserve">€ (više za 1.620 €, visina naknade nije se mijenjala u odnosu na prethodnu godinu), </w:t>
      </w:r>
    </w:p>
    <w:p w14:paraId="7965BDC5"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sufinanciranje prijevoza u novcu studentima izvan Dubrovnika 1.482 € (više za 874,04 €, mjera uvedena 2018.),</w:t>
      </w:r>
    </w:p>
    <w:p w14:paraId="4F2E3510"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 xml:space="preserve">stipendije i školarine u iznosu 141.100 € (više za 43.700 €), </w:t>
      </w:r>
    </w:p>
    <w:p w14:paraId="3AB68273"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 xml:space="preserve">pomoć za nabavu školskih udžbenika odnosno školskog pribora u iznosu </w:t>
      </w:r>
      <w:bookmarkStart w:id="192" w:name="_Hlk230348951"/>
      <w:r w:rsidRPr="00A53B20">
        <w:rPr>
          <w:rFonts w:ascii="Arial" w:eastAsia="Times New Roman" w:hAnsi="Arial" w:cs="Arial"/>
        </w:rPr>
        <w:t xml:space="preserve">16.050 </w:t>
      </w:r>
      <w:bookmarkEnd w:id="192"/>
      <w:r w:rsidRPr="00A53B20">
        <w:rPr>
          <w:rFonts w:ascii="Arial" w:eastAsia="Times New Roman" w:hAnsi="Arial" w:cs="Arial"/>
        </w:rPr>
        <w:t>€ ili 2.040 € više nego prethodne godine (od čega kroz program socijalne skrbi 8.210 €, a kroz demografski program 7.840 € sufinanciranje nabave školskog pribora za roditelje s više djece).</w:t>
      </w:r>
    </w:p>
    <w:p w14:paraId="06B7553D"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 xml:space="preserve">jednokratne novčane pomoći socijalno ugroženim i nemoćnim osobama u iznosu 3.910 € u skladu s odredbama socijalnog programa (860 € više nego prethodne godine), </w:t>
      </w:r>
    </w:p>
    <w:p w14:paraId="424DC85F"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 xml:space="preserve">jednokratne pomoći za podmirenje troškova stanovanja socijalno ugroženih i nemoćnih osoba u iznosu </w:t>
      </w:r>
      <w:bookmarkStart w:id="193" w:name="_Hlk230348898"/>
      <w:r w:rsidRPr="00A53B20">
        <w:rPr>
          <w:rFonts w:ascii="Arial" w:eastAsia="Times New Roman" w:hAnsi="Arial" w:cs="Arial"/>
        </w:rPr>
        <w:t xml:space="preserve">6.120 </w:t>
      </w:r>
      <w:bookmarkEnd w:id="193"/>
      <w:r w:rsidRPr="00A53B20">
        <w:rPr>
          <w:rFonts w:ascii="Arial" w:eastAsia="Times New Roman" w:hAnsi="Arial" w:cs="Arial"/>
        </w:rPr>
        <w:t xml:space="preserve">€, </w:t>
      </w:r>
    </w:p>
    <w:p w14:paraId="3D0CBBBB"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 xml:space="preserve">stalna pomoć socijalno ugroženim osobama u iznosu </w:t>
      </w:r>
      <w:bookmarkStart w:id="194" w:name="_Hlk230348919"/>
      <w:r w:rsidRPr="00A53B20">
        <w:rPr>
          <w:rFonts w:ascii="Arial" w:eastAsia="Times New Roman" w:hAnsi="Arial" w:cs="Arial"/>
        </w:rPr>
        <w:t xml:space="preserve">12.660 </w:t>
      </w:r>
      <w:bookmarkEnd w:id="194"/>
      <w:r w:rsidRPr="00A53B20">
        <w:rPr>
          <w:rFonts w:ascii="Arial" w:eastAsia="Times New Roman" w:hAnsi="Arial" w:cs="Arial"/>
        </w:rPr>
        <w:t>€ (više za 1.560 €),</w:t>
      </w:r>
    </w:p>
    <w:p w14:paraId="2C8AB8E5"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pomoć za liječenje i nabavu pomagala u iznosu 8.068,13 € (manje za 141,92 €),</w:t>
      </w:r>
    </w:p>
    <w:p w14:paraId="60E3F95D"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 xml:space="preserve">jednokratne pomoći povodom božićnih i novogodišnjih blagdana obiteljima poginulih branitelja u iznosu 2.850 € (150 € manje nego prethodne godine), </w:t>
      </w:r>
    </w:p>
    <w:p w14:paraId="24E24C43"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sufinanciranje priključka na vodovodnu i kanalizacijsku mrežu nije bilo (prethodne godine su ovi rashodi iznosili 720 €).</w:t>
      </w:r>
    </w:p>
    <w:p w14:paraId="18947A43"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pomoć mladoj invalidnoj osobi 1.000 €,</w:t>
      </w:r>
    </w:p>
    <w:p w14:paraId="1323209A" w14:textId="77777777" w:rsidR="00A53B20" w:rsidRPr="00A53B20" w:rsidRDefault="00A53B20" w:rsidP="00A53B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A53B20">
        <w:rPr>
          <w:rFonts w:ascii="Arial" w:eastAsia="Times New Roman" w:hAnsi="Arial" w:cs="Arial"/>
        </w:rPr>
        <w:t>Vrijednosno najveće povećanje se odnosi na više izvršene rashode za stipendije.</w:t>
      </w:r>
    </w:p>
    <w:p w14:paraId="45A679A1" w14:textId="77777777" w:rsidR="00A53B20" w:rsidRPr="00A53B20" w:rsidRDefault="00A53B20" w:rsidP="00A53B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1E94EC7B" w14:textId="77777777" w:rsidR="00A53B20" w:rsidRPr="00A53B20" w:rsidRDefault="00A53B20" w:rsidP="00A53B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A53B20">
        <w:rPr>
          <w:rFonts w:ascii="Arial" w:eastAsia="Times New Roman" w:hAnsi="Arial" w:cs="Arial"/>
        </w:rPr>
        <w:t>Naknade građanima i kućanstvima u naravi (3722) su izvršene u iznosu 312.118,04 € ili 6.801,73 € ili 2,2% više nego prethodne godine, a odnose se na:</w:t>
      </w:r>
    </w:p>
    <w:p w14:paraId="5241001A" w14:textId="1F61EA04" w:rsidR="00A53B20" w:rsidRPr="00A53B20" w:rsidRDefault="00A53B20">
      <w:pPr>
        <w:numPr>
          <w:ilvl w:val="0"/>
          <w:numId w:val="15"/>
        </w:numPr>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 xml:space="preserve">sufinanciranje cijene boravka djece u dječjem vrtiću u iznosu </w:t>
      </w:r>
      <w:bookmarkStart w:id="195" w:name="_Hlk230348678"/>
      <w:r w:rsidRPr="00A53B20">
        <w:rPr>
          <w:rFonts w:ascii="Arial" w:eastAsia="Times New Roman" w:hAnsi="Arial" w:cs="Arial"/>
        </w:rPr>
        <w:t>69.595,75</w:t>
      </w:r>
      <w:r w:rsidR="0034397C">
        <w:rPr>
          <w:rFonts w:ascii="Arial" w:eastAsia="Times New Roman" w:hAnsi="Arial" w:cs="Arial"/>
        </w:rPr>
        <w:t xml:space="preserve"> €</w:t>
      </w:r>
      <w:r w:rsidRPr="00A53B20">
        <w:rPr>
          <w:rFonts w:ascii="Arial" w:eastAsia="Times New Roman" w:hAnsi="Arial" w:cs="Arial"/>
        </w:rPr>
        <w:t xml:space="preserve"> </w:t>
      </w:r>
      <w:bookmarkStart w:id="196" w:name="_Hlk159973988"/>
      <w:bookmarkEnd w:id="195"/>
      <w:r w:rsidRPr="00A53B20">
        <w:rPr>
          <w:rFonts w:ascii="Arial" w:eastAsia="Times New Roman" w:hAnsi="Arial" w:cs="Arial"/>
        </w:rPr>
        <w:t xml:space="preserve">(od čega kroz program socijalne skrbi </w:t>
      </w:r>
      <w:bookmarkStart w:id="197" w:name="_Hlk230348691"/>
      <w:r w:rsidRPr="00A53B20">
        <w:rPr>
          <w:rFonts w:ascii="Arial" w:eastAsia="Times New Roman" w:hAnsi="Arial" w:cs="Arial"/>
        </w:rPr>
        <w:t xml:space="preserve">14.427,93 </w:t>
      </w:r>
      <w:bookmarkEnd w:id="197"/>
      <w:r w:rsidRPr="00A53B20">
        <w:rPr>
          <w:rFonts w:ascii="Arial" w:eastAsia="Times New Roman" w:hAnsi="Arial" w:cs="Arial"/>
        </w:rPr>
        <w:t xml:space="preserve">€, a kroz demografski program </w:t>
      </w:r>
      <w:bookmarkStart w:id="198" w:name="_Hlk230348704"/>
      <w:r w:rsidRPr="00A53B20">
        <w:rPr>
          <w:rFonts w:ascii="Arial" w:eastAsia="Times New Roman" w:hAnsi="Arial" w:cs="Arial"/>
        </w:rPr>
        <w:t xml:space="preserve">55.167,82 </w:t>
      </w:r>
      <w:bookmarkEnd w:id="198"/>
      <w:r w:rsidRPr="00A53B20">
        <w:rPr>
          <w:rFonts w:ascii="Arial" w:eastAsia="Times New Roman" w:hAnsi="Arial" w:cs="Arial"/>
        </w:rPr>
        <w:t>€).</w:t>
      </w:r>
      <w:bookmarkEnd w:id="196"/>
      <w:r w:rsidRPr="00A53B20">
        <w:rPr>
          <w:rFonts w:ascii="Arial" w:eastAsia="Times New Roman" w:hAnsi="Arial" w:cs="Arial"/>
        </w:rPr>
        <w:t xml:space="preserve"> Ukupno je za sufinanciranje cijene boravka djece u dječjem vrtiću izvršeno više 1.520,59 €. </w:t>
      </w:r>
    </w:p>
    <w:p w14:paraId="22ADC1FC"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 xml:space="preserve">sufinanciranje cijene prijevoza učenika i studenata u iznosu </w:t>
      </w:r>
      <w:bookmarkStart w:id="199" w:name="_Hlk230348742"/>
      <w:r w:rsidRPr="00A53B20">
        <w:rPr>
          <w:rFonts w:ascii="Arial" w:eastAsia="Times New Roman" w:hAnsi="Arial" w:cs="Arial"/>
        </w:rPr>
        <w:t xml:space="preserve">91.149,57 </w:t>
      </w:r>
      <w:bookmarkEnd w:id="199"/>
      <w:r w:rsidRPr="00A53B20">
        <w:rPr>
          <w:rFonts w:ascii="Arial" w:eastAsia="Times New Roman" w:hAnsi="Arial" w:cs="Arial"/>
        </w:rPr>
        <w:t xml:space="preserve">€ </w:t>
      </w:r>
      <w:bookmarkStart w:id="200" w:name="_Hlk159973958"/>
      <w:r w:rsidRPr="00A53B20">
        <w:rPr>
          <w:rFonts w:ascii="Arial" w:eastAsia="Times New Roman" w:hAnsi="Arial" w:cs="Arial"/>
        </w:rPr>
        <w:t>(više za 1.852,90 €),</w:t>
      </w:r>
      <w:bookmarkEnd w:id="200"/>
    </w:p>
    <w:p w14:paraId="7EF7A088"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 xml:space="preserve">sufinanciranje cijene prijevoza građana (bolesni, dobrovoljni darivatelji krvi, invalidi) u iznosu </w:t>
      </w:r>
      <w:bookmarkStart w:id="201" w:name="_Hlk230348769"/>
      <w:r w:rsidRPr="00A53B20">
        <w:rPr>
          <w:rFonts w:ascii="Arial" w:eastAsia="Times New Roman" w:hAnsi="Arial" w:cs="Arial"/>
        </w:rPr>
        <w:t xml:space="preserve">11.449,51 </w:t>
      </w:r>
      <w:bookmarkEnd w:id="201"/>
      <w:r w:rsidRPr="00A53B20">
        <w:rPr>
          <w:rFonts w:ascii="Arial" w:eastAsia="Times New Roman" w:hAnsi="Arial" w:cs="Arial"/>
        </w:rPr>
        <w:t xml:space="preserve">€ (manje za 6.394,42 €), </w:t>
      </w:r>
    </w:p>
    <w:p w14:paraId="7CD68640"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 xml:space="preserve">sufinanciranje prijevoza umirovljenika </w:t>
      </w:r>
      <w:bookmarkStart w:id="202" w:name="_Hlk230348788"/>
      <w:r w:rsidRPr="00A53B20">
        <w:rPr>
          <w:rFonts w:ascii="Arial" w:eastAsia="Times New Roman" w:hAnsi="Arial" w:cs="Arial"/>
        </w:rPr>
        <w:t xml:space="preserve">19.560,73 </w:t>
      </w:r>
      <w:bookmarkEnd w:id="202"/>
      <w:r w:rsidRPr="00A53B20">
        <w:rPr>
          <w:rFonts w:ascii="Arial" w:eastAsia="Times New Roman" w:hAnsi="Arial" w:cs="Arial"/>
        </w:rPr>
        <w:t>€ (u tekućoj godini izvršeno više nego prethodne godine 2.117,36 €),</w:t>
      </w:r>
    </w:p>
    <w:p w14:paraId="4CE94766"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 xml:space="preserve">sufinanciranje prijevoza izbjeglicama iz Ukrajine </w:t>
      </w:r>
      <w:bookmarkStart w:id="203" w:name="_Hlk230348830"/>
      <w:r w:rsidRPr="00A53B20">
        <w:rPr>
          <w:rFonts w:ascii="Arial" w:eastAsia="Times New Roman" w:hAnsi="Arial" w:cs="Arial"/>
        </w:rPr>
        <w:t xml:space="preserve">8.940,66 </w:t>
      </w:r>
      <w:bookmarkEnd w:id="203"/>
      <w:r w:rsidRPr="00A53B20">
        <w:rPr>
          <w:rFonts w:ascii="Arial" w:eastAsia="Times New Roman" w:hAnsi="Arial" w:cs="Arial"/>
        </w:rPr>
        <w:t>€ (ovi rashodi prvi put izvršeni 2022. godine u iznosu 4.559,03 €, a u tekućoj godini su manji za 1.279,69 € nego prethodne godine),</w:t>
      </w:r>
    </w:p>
    <w:p w14:paraId="2C650187" w14:textId="008DEAE3"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sufinanciranje cijene osnovnih usluga smještaja u Domu za starije i nemoćne osobe stanovnicima Općine (u visini 20%) u iznosu 103.245,07 € (više za 13.265,69 € nego prethodne godine, a svake godine je vidljiv sve veći porast ovih rashoda).</w:t>
      </w:r>
    </w:p>
    <w:p w14:paraId="39F859FB"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 xml:space="preserve">jednokratne pomoći socijalno ugroženim i nemoćnim osobama u iznosu </w:t>
      </w:r>
      <w:bookmarkStart w:id="204" w:name="_Hlk230348848"/>
      <w:r w:rsidRPr="00A53B20">
        <w:rPr>
          <w:rFonts w:ascii="Arial" w:eastAsia="Times New Roman" w:hAnsi="Arial" w:cs="Arial"/>
        </w:rPr>
        <w:t xml:space="preserve">5.225,65 </w:t>
      </w:r>
      <w:bookmarkEnd w:id="204"/>
      <w:r w:rsidRPr="00A53B20">
        <w:rPr>
          <w:rFonts w:ascii="Arial" w:eastAsia="Times New Roman" w:hAnsi="Arial" w:cs="Arial"/>
        </w:rPr>
        <w:t xml:space="preserve">€ u skladu s odredbama socijalnog programa (troškovi prehrane socijalno ugrožene osobe 688,31 €, troškovi popravka kuće stradale u požaru 2.137,34 €, troškovi najma stana socijalno ugroženoj osobi 2.400 €), </w:t>
      </w:r>
    </w:p>
    <w:p w14:paraId="07A0C608"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t>pomoći za ogrjev socijalno ugroženih u iznosu 1.458 € (nabava drvnog ogrjeva).</w:t>
      </w:r>
    </w:p>
    <w:p w14:paraId="3DD9DE33" w14:textId="77777777" w:rsidR="00A53B20" w:rsidRPr="00A53B20" w:rsidRDefault="00A53B20">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A53B20">
        <w:rPr>
          <w:rFonts w:ascii="Arial" w:eastAsia="Times New Roman" w:hAnsi="Arial" w:cs="Arial"/>
        </w:rPr>
        <w:lastRenderedPageBreak/>
        <w:t>sufinanciranje prijevoza vode stanovništvu s područja Općine bez vodovodne mreže u iznosu 1.493,10 € (više za 248,85 €).</w:t>
      </w:r>
    </w:p>
    <w:bookmarkEnd w:id="190"/>
    <w:p w14:paraId="735CE375" w14:textId="77777777" w:rsidR="005E0B29" w:rsidRDefault="005E0B2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1B7CB68C" w14:textId="56E03BA4" w:rsidR="00856864" w:rsidRPr="003A2F86" w:rsidRDefault="00640EEF"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U nastavku se daje pregled sufinanciranja usluga smještaja u dječjem vrtiću i domu za starije i nemoćne osobe (</w:t>
      </w:r>
      <w:r w:rsidRPr="003A2F86">
        <w:rPr>
          <w:rFonts w:ascii="Arial" w:eastAsia="Times New Roman" w:hAnsi="Arial" w:cs="Arial"/>
          <w:b/>
        </w:rPr>
        <w:t>proračunskim korisnicima Općine</w:t>
      </w:r>
      <w:r w:rsidRPr="003A2F86">
        <w:rPr>
          <w:rFonts w:ascii="Arial" w:eastAsia="Times New Roman" w:hAnsi="Arial" w:cs="Arial"/>
        </w:rPr>
        <w:t xml:space="preserve">). Naima, Općina kroz </w:t>
      </w:r>
      <w:r w:rsidR="00856864" w:rsidRPr="0021122B">
        <w:rPr>
          <w:rFonts w:ascii="Arial" w:eastAsia="Times New Roman" w:hAnsi="Arial" w:cs="Arial"/>
          <w:i/>
          <w:iCs/>
        </w:rPr>
        <w:t>Program demografskih mjera (2040)</w:t>
      </w:r>
      <w:r w:rsidR="00856864" w:rsidRPr="003A2F86">
        <w:rPr>
          <w:rFonts w:ascii="Arial" w:eastAsia="Times New Roman" w:hAnsi="Arial" w:cs="Arial"/>
        </w:rPr>
        <w:t xml:space="preserve"> i </w:t>
      </w:r>
      <w:r w:rsidR="00856864" w:rsidRPr="0021122B">
        <w:rPr>
          <w:rFonts w:ascii="Arial" w:eastAsia="Times New Roman" w:hAnsi="Arial" w:cs="Arial"/>
          <w:i/>
          <w:iCs/>
        </w:rPr>
        <w:t>Program socijalne pomoći (2041)</w:t>
      </w:r>
      <w:r w:rsidR="00856864" w:rsidRPr="003A2F86">
        <w:rPr>
          <w:rFonts w:ascii="Arial" w:eastAsia="Times New Roman" w:hAnsi="Arial" w:cs="Arial"/>
        </w:rPr>
        <w:t xml:space="preserve"> sufinancira smještaj djece u dječjem vrtiću (demografska mjera i mjera socijalne pomoći) te se iznosi sufinanciranja iskazuju kao rashodi (konta </w:t>
      </w:r>
      <w:r w:rsidR="001C2901" w:rsidRPr="003A2F86">
        <w:rPr>
          <w:rFonts w:ascii="Arial" w:eastAsia="Times New Roman" w:hAnsi="Arial" w:cs="Arial"/>
        </w:rPr>
        <w:t xml:space="preserve">rashoda </w:t>
      </w:r>
      <w:r w:rsidR="00856864" w:rsidRPr="003A2F86">
        <w:rPr>
          <w:rFonts w:ascii="Arial" w:eastAsia="Times New Roman" w:hAnsi="Arial" w:cs="Arial"/>
        </w:rPr>
        <w:t>na odjeljku 3722). S druge strane, proračunski korisnici Općine koji provode mjere smještaja iskazuju prihode u visin</w:t>
      </w:r>
      <w:r w:rsidR="001C2901" w:rsidRPr="003A2F86">
        <w:rPr>
          <w:rFonts w:ascii="Arial" w:eastAsia="Times New Roman" w:hAnsi="Arial" w:cs="Arial"/>
        </w:rPr>
        <w:t>i sufinanciranih iznosa (konta prihoda na odjeljku 6526).</w:t>
      </w:r>
      <w:r w:rsidR="001D5520" w:rsidRPr="003A2F86">
        <w:rPr>
          <w:rFonts w:ascii="Arial" w:eastAsia="Times New Roman" w:hAnsi="Arial" w:cs="Arial"/>
        </w:rPr>
        <w:t xml:space="preserve"> Dakle, kroz konsolidirani izvještaj, odnosno izvještaj o izvršenju proračuna iznosi sufinanciranja kod proračunskih korisnika Općine predstavljaju vlastite prihode proračunskih korisnika, a kod Općine iznosi sufinanciranja su rashodi proračuna.</w:t>
      </w:r>
    </w:p>
    <w:p w14:paraId="25E78A26" w14:textId="77777777" w:rsidR="003714DD" w:rsidRPr="003A2F86" w:rsidRDefault="003714DD" w:rsidP="00597899">
      <w:pPr>
        <w:spacing w:after="0" w:line="240" w:lineRule="auto"/>
        <w:ind w:left="1418" w:firstLine="709"/>
        <w:jc w:val="both"/>
        <w:rPr>
          <w:rFonts w:ascii="Arial" w:eastAsia="Times New Roman" w:hAnsi="Arial" w:cs="Arial"/>
          <w:i/>
          <w:iCs/>
          <w:sz w:val="20"/>
          <w:szCs w:val="20"/>
        </w:rPr>
      </w:pPr>
    </w:p>
    <w:p w14:paraId="6ABA2B26" w14:textId="6E7BFEB6" w:rsidR="001C2901" w:rsidRPr="003A2F86" w:rsidRDefault="001C2901" w:rsidP="00597899">
      <w:pPr>
        <w:spacing w:after="0" w:line="240" w:lineRule="auto"/>
        <w:ind w:left="1418" w:firstLine="709"/>
        <w:jc w:val="both"/>
        <w:rPr>
          <w:rFonts w:ascii="Arial" w:eastAsia="Times New Roman" w:hAnsi="Arial" w:cs="Arial"/>
          <w:i/>
          <w:iCs/>
          <w:sz w:val="20"/>
          <w:szCs w:val="20"/>
        </w:rPr>
      </w:pPr>
      <w:r w:rsidRPr="003A2F86">
        <w:rPr>
          <w:rFonts w:ascii="Arial" w:eastAsia="Times New Roman" w:hAnsi="Arial" w:cs="Arial"/>
          <w:i/>
          <w:iCs/>
          <w:sz w:val="20"/>
          <w:szCs w:val="20"/>
        </w:rPr>
        <w:t>* Usporedba:</w:t>
      </w:r>
    </w:p>
    <w:p w14:paraId="17A101B5" w14:textId="72536779" w:rsidR="0085356B" w:rsidRPr="003A2F86" w:rsidRDefault="005E0B29" w:rsidP="003714DD">
      <w:pPr>
        <w:spacing w:after="0" w:line="240" w:lineRule="auto"/>
        <w:jc w:val="center"/>
        <w:rPr>
          <w:rFonts w:ascii="Arial" w:eastAsia="Times New Roman" w:hAnsi="Arial" w:cs="Arial"/>
          <w:b/>
          <w:lang w:eastAsia="en-US"/>
        </w:rPr>
      </w:pPr>
      <w:r w:rsidRPr="005E0B29">
        <w:rPr>
          <w:noProof/>
        </w:rPr>
        <w:drawing>
          <wp:inline distT="0" distB="0" distL="0" distR="0" wp14:anchorId="33A86F82" wp14:editId="57F1CD07">
            <wp:extent cx="6868795" cy="4051300"/>
            <wp:effectExtent l="0" t="0" r="8255" b="6350"/>
            <wp:docPr id="81848009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868795" cy="4051300"/>
                    </a:xfrm>
                    <a:prstGeom prst="rect">
                      <a:avLst/>
                    </a:prstGeom>
                    <a:noFill/>
                    <a:ln>
                      <a:noFill/>
                    </a:ln>
                  </pic:spPr>
                </pic:pic>
              </a:graphicData>
            </a:graphic>
          </wp:inline>
        </w:drawing>
      </w:r>
    </w:p>
    <w:p w14:paraId="63FD19E5" w14:textId="610D76C0" w:rsidR="00C6029C" w:rsidRPr="003A2F86" w:rsidRDefault="00C6029C">
      <w:pPr>
        <w:rPr>
          <w:rFonts w:ascii="Arial" w:eastAsia="Times New Roman" w:hAnsi="Arial" w:cs="Arial"/>
          <w:b/>
          <w:lang w:eastAsia="en-US"/>
        </w:rPr>
      </w:pPr>
      <w:r w:rsidRPr="003A2F86">
        <w:rPr>
          <w:rFonts w:ascii="Arial" w:eastAsia="Times New Roman" w:hAnsi="Arial" w:cs="Arial"/>
          <w:b/>
          <w:lang w:eastAsia="en-US"/>
        </w:rPr>
        <w:br w:type="page"/>
      </w:r>
    </w:p>
    <w:p w14:paraId="31B7B04C" w14:textId="76D727C5" w:rsidR="00891119" w:rsidRPr="003A2F86" w:rsidRDefault="00B5484A" w:rsidP="00B5484A">
      <w:pPr>
        <w:pStyle w:val="Naslov4"/>
        <w:rPr>
          <w:rFonts w:ascii="Arial" w:hAnsi="Arial" w:cs="Arial"/>
          <w:lang w:val="hr-HR"/>
        </w:rPr>
      </w:pPr>
      <w:bookmarkStart w:id="205" w:name="_Toc232981400"/>
      <w:r w:rsidRPr="003A2F86">
        <w:rPr>
          <w:rFonts w:ascii="Arial" w:hAnsi="Arial" w:cs="Arial"/>
          <w:lang w:val="hr-HR"/>
        </w:rPr>
        <w:lastRenderedPageBreak/>
        <w:t>2.4.3</w:t>
      </w:r>
      <w:r w:rsidR="00891119" w:rsidRPr="003A2F86">
        <w:rPr>
          <w:rFonts w:ascii="Arial" w:hAnsi="Arial" w:cs="Arial"/>
          <w:lang w:val="hr-HR"/>
        </w:rPr>
        <w:t xml:space="preserve">.7. </w:t>
      </w:r>
      <w:r w:rsidR="00891119" w:rsidRPr="003A2F86">
        <w:rPr>
          <w:rFonts w:ascii="Arial" w:hAnsi="Arial" w:cs="Arial"/>
          <w:lang w:val="hr-HR"/>
        </w:rPr>
        <w:tab/>
        <w:t>Ostali rashodi</w:t>
      </w:r>
      <w:r w:rsidRPr="003A2F86">
        <w:rPr>
          <w:rFonts w:ascii="Arial" w:hAnsi="Arial" w:cs="Arial"/>
          <w:lang w:val="hr-HR"/>
        </w:rPr>
        <w:t xml:space="preserve"> (38)</w:t>
      </w:r>
      <w:bookmarkEnd w:id="205"/>
    </w:p>
    <w:p w14:paraId="6EF32611" w14:textId="77777777" w:rsidR="00623214" w:rsidRPr="003A2F86" w:rsidRDefault="00623214" w:rsidP="00616BA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u w:val="single"/>
        </w:rPr>
      </w:pPr>
    </w:p>
    <w:p w14:paraId="3F930187" w14:textId="77777777" w:rsidR="005E0B29" w:rsidRPr="005E0B29" w:rsidRDefault="005E0B29" w:rsidP="005E0B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206" w:name="_Hlk65516139"/>
      <w:bookmarkStart w:id="207" w:name="_Hlk97229886"/>
      <w:r w:rsidRPr="005E0B29">
        <w:rPr>
          <w:rFonts w:ascii="Arial" w:eastAsia="Times New Roman" w:hAnsi="Arial" w:cs="Arial"/>
          <w:b/>
        </w:rPr>
        <w:t>Ostali rashodi</w:t>
      </w:r>
      <w:r w:rsidRPr="005E0B29">
        <w:rPr>
          <w:rFonts w:ascii="Arial" w:eastAsia="Times New Roman" w:hAnsi="Arial" w:cs="Arial"/>
        </w:rPr>
        <w:t xml:space="preserve"> (38) izvršeni su u iznosu </w:t>
      </w:r>
      <w:bookmarkStart w:id="208" w:name="_Hlk230349034"/>
      <w:r w:rsidRPr="005E0B29">
        <w:rPr>
          <w:rFonts w:ascii="Arial" w:eastAsia="Times New Roman" w:hAnsi="Arial" w:cs="Arial"/>
        </w:rPr>
        <w:t xml:space="preserve">673.236,17 € što je za 76.329,80 € ili 12,8% više </w:t>
      </w:r>
      <w:bookmarkEnd w:id="208"/>
      <w:r w:rsidRPr="005E0B29">
        <w:rPr>
          <w:rFonts w:ascii="Arial" w:eastAsia="Times New Roman" w:hAnsi="Arial" w:cs="Arial"/>
        </w:rPr>
        <w:t>u odnosu na prethodnu godinu. Više su izvršene tekuće donacije, a manje kapitalne pomoći.</w:t>
      </w:r>
    </w:p>
    <w:p w14:paraId="0BD9DA29" w14:textId="77777777" w:rsidR="005E0B29" w:rsidRDefault="005E0B29" w:rsidP="00A123D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244C4237" w14:textId="77777777" w:rsidR="005E0B29" w:rsidRPr="005E0B29" w:rsidRDefault="005E0B29" w:rsidP="005E0B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5E0B29">
        <w:rPr>
          <w:rFonts w:ascii="Arial" w:eastAsia="Times New Roman" w:hAnsi="Arial" w:cs="Arial"/>
        </w:rPr>
        <w:t>Na temelju provedenog javnog natječaja dodijeljene su tekuće donacije za javne potrebe u kulturi, te socijalnoj skrbi.</w:t>
      </w:r>
    </w:p>
    <w:p w14:paraId="2546DFAC" w14:textId="77777777" w:rsidR="005E0B29" w:rsidRDefault="005E0B29" w:rsidP="005E0B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1C950A41" w14:textId="6F803A3B" w:rsidR="005E0B29" w:rsidRPr="005E0B29" w:rsidRDefault="005E0B29" w:rsidP="005E0B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5E0B29">
        <w:rPr>
          <w:rFonts w:ascii="Arial" w:eastAsia="Times New Roman" w:hAnsi="Arial" w:cs="Arial"/>
        </w:rPr>
        <w:t xml:space="preserve">Ostali rashodi (38) se odnose na tekuće donacije (381) u iznosu 522.528,08 €, te kapitalne pomoći (386) u iznosu 150.708,10 €. Kapitalne donacije (382) nisu izvršene a prethodne godine su iznosile 1.000 €. </w:t>
      </w:r>
    </w:p>
    <w:p w14:paraId="1878DB42" w14:textId="77777777" w:rsidR="005E0B29" w:rsidRDefault="005E0B29" w:rsidP="00A123D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154A3B5A" w14:textId="4296A7A8" w:rsidR="001F27A0" w:rsidRPr="003A2F86" w:rsidRDefault="00681E59" w:rsidP="00211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hAnsi="Arial" w:cs="Arial"/>
          <w:sz w:val="18"/>
          <w:szCs w:val="18"/>
        </w:rPr>
      </w:pPr>
      <w:r w:rsidRPr="003A2F86">
        <w:rPr>
          <w:rFonts w:ascii="Arial" w:hAnsi="Arial" w:cs="Arial"/>
          <w:sz w:val="18"/>
          <w:szCs w:val="18"/>
        </w:rPr>
        <w:t>Tekuće donacije (381) u 2019. su bile izvršene u iznosu 323.336,25 €, dok su u 2020. godini izvršene u iznosu 135.658,24 €, a u 2021. godini u iznosu 228.944,83 €. U 2022. godini su tekuće donacije izvršene u iznosu 214.799,33 €</w:t>
      </w:r>
      <w:r w:rsidR="001F27A0" w:rsidRPr="003A2F86">
        <w:rPr>
          <w:rFonts w:ascii="Arial" w:hAnsi="Arial" w:cs="Arial"/>
          <w:sz w:val="18"/>
          <w:szCs w:val="18"/>
        </w:rPr>
        <w:t xml:space="preserve">, a u </w:t>
      </w:r>
      <w:r w:rsidRPr="003A2F86">
        <w:rPr>
          <w:rFonts w:ascii="Arial" w:hAnsi="Arial" w:cs="Arial"/>
          <w:sz w:val="18"/>
          <w:szCs w:val="18"/>
        </w:rPr>
        <w:t xml:space="preserve">.2023. godini su </w:t>
      </w:r>
      <w:r w:rsidR="001F27A0" w:rsidRPr="003A2F86">
        <w:rPr>
          <w:rFonts w:ascii="Arial" w:hAnsi="Arial" w:cs="Arial"/>
          <w:sz w:val="18"/>
          <w:szCs w:val="18"/>
        </w:rPr>
        <w:t xml:space="preserve">bile </w:t>
      </w:r>
      <w:r w:rsidRPr="003A2F86">
        <w:rPr>
          <w:rFonts w:ascii="Arial" w:hAnsi="Arial" w:cs="Arial"/>
          <w:sz w:val="18"/>
          <w:szCs w:val="18"/>
        </w:rPr>
        <w:t xml:space="preserve">izvršene u iznosu 277.240,01 €. </w:t>
      </w:r>
      <w:r w:rsidR="00F863B0">
        <w:rPr>
          <w:rFonts w:ascii="Arial" w:hAnsi="Arial" w:cs="Arial"/>
          <w:sz w:val="18"/>
          <w:szCs w:val="18"/>
        </w:rPr>
        <w:t>U 2024. godini tekuće donacije su iznosile 405.138,94 €.</w:t>
      </w:r>
    </w:p>
    <w:p w14:paraId="64260345" w14:textId="77777777" w:rsidR="001F27A0" w:rsidRPr="00D90909" w:rsidRDefault="001F27A0" w:rsidP="00681E5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18"/>
          <w:szCs w:val="18"/>
        </w:rPr>
      </w:pPr>
    </w:p>
    <w:p w14:paraId="40EF74B2" w14:textId="084DC918" w:rsidR="005E0B29" w:rsidRDefault="005E0B29" w:rsidP="005E0B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Tekuće donacije u </w:t>
      </w:r>
      <w:r w:rsidRPr="005E0B29">
        <w:rPr>
          <w:rFonts w:ascii="Arial" w:eastAsia="Times New Roman" w:hAnsi="Arial" w:cs="Arial"/>
        </w:rPr>
        <w:t xml:space="preserve">2025. godini </w:t>
      </w:r>
      <w:r>
        <w:rPr>
          <w:rFonts w:ascii="Arial" w:eastAsia="Times New Roman" w:hAnsi="Arial" w:cs="Arial"/>
        </w:rPr>
        <w:t>iznose</w:t>
      </w:r>
      <w:r w:rsidRPr="005E0B29">
        <w:rPr>
          <w:rFonts w:ascii="Arial" w:eastAsia="Times New Roman" w:hAnsi="Arial" w:cs="Arial"/>
        </w:rPr>
        <w:t xml:space="preserve"> </w:t>
      </w:r>
      <w:bookmarkStart w:id="209" w:name="_Hlk230349064"/>
      <w:r w:rsidRPr="005E0B29">
        <w:rPr>
          <w:rFonts w:ascii="Arial" w:eastAsia="Times New Roman" w:hAnsi="Arial" w:cs="Arial"/>
        </w:rPr>
        <w:t xml:space="preserve">522.528,07 </w:t>
      </w:r>
      <w:bookmarkEnd w:id="209"/>
      <w:r w:rsidRPr="005E0B29">
        <w:rPr>
          <w:rFonts w:ascii="Arial" w:eastAsia="Times New Roman" w:hAnsi="Arial" w:cs="Arial"/>
        </w:rPr>
        <w:t>€ što je za 117.389,13 € ili 29% više u odnosu na prethodnu proračunsku godinu. U 2024. godini je bio samo proveden javni natječaj za dodjelu donacija iz područja kulture, dok je u tekućoj godini proveden natječaj iz područja kulture te iz područja socijalne skrbi.</w:t>
      </w:r>
    </w:p>
    <w:p w14:paraId="4504B9BB" w14:textId="77777777" w:rsidR="005E0B29" w:rsidRPr="005E0B29" w:rsidRDefault="005E0B29" w:rsidP="005E0B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413A2F47" w14:textId="77777777" w:rsidR="005E0B29" w:rsidRPr="005E0B29" w:rsidRDefault="005E0B29" w:rsidP="005E0B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5E0B29">
        <w:rPr>
          <w:rFonts w:ascii="Arial" w:eastAsia="Times New Roman" w:hAnsi="Arial" w:cs="Arial"/>
        </w:rPr>
        <w:t>Tekuće donacije (381) se odnose na:</w:t>
      </w:r>
    </w:p>
    <w:p w14:paraId="703495A6" w14:textId="77777777" w:rsidR="005E0B29" w:rsidRPr="005E0B29" w:rsidRDefault="005E0B29">
      <w:pPr>
        <w:numPr>
          <w:ilvl w:val="0"/>
          <w:numId w:val="16"/>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5E0B29">
        <w:rPr>
          <w:rFonts w:ascii="Arial" w:eastAsia="Times New Roman" w:hAnsi="Arial" w:cs="Arial"/>
        </w:rPr>
        <w:t xml:space="preserve">financiranje osnovnih aktivnosti Vatrogasne zajednice i dobrovoljnih vatrogasnih društava u iznosu 180.000 € (što je više za 20.000 € u odnosu na prethodnu godinu), </w:t>
      </w:r>
    </w:p>
    <w:p w14:paraId="2C5DFFDC" w14:textId="77777777" w:rsidR="005E0B29" w:rsidRPr="005E0B29" w:rsidRDefault="005E0B29">
      <w:pPr>
        <w:numPr>
          <w:ilvl w:val="0"/>
          <w:numId w:val="16"/>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5E0B29">
        <w:rPr>
          <w:rFonts w:ascii="Arial" w:eastAsia="Times New Roman" w:hAnsi="Arial" w:cs="Arial"/>
        </w:rPr>
        <w:t xml:space="preserve">udrugama i društvima u sportu 165.000 € (u skladu sa Zakonom o sportu putem Zajednice sportova Općine Konavle, više 25.000 € nego prethodne godine), </w:t>
      </w:r>
    </w:p>
    <w:p w14:paraId="2D2D6CD2" w14:textId="77777777" w:rsidR="005E0B29" w:rsidRPr="005E0B29" w:rsidRDefault="005E0B29">
      <w:pPr>
        <w:numPr>
          <w:ilvl w:val="0"/>
          <w:numId w:val="16"/>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5E0B29">
        <w:rPr>
          <w:rFonts w:ascii="Arial" w:eastAsia="Times New Roman" w:hAnsi="Arial" w:cs="Arial"/>
        </w:rPr>
        <w:t>udrugama i društvima u kulturi putem javnog natječaja 99.000 €,</w:t>
      </w:r>
    </w:p>
    <w:p w14:paraId="42B47C38" w14:textId="77777777" w:rsidR="005E0B29" w:rsidRPr="005E0B29" w:rsidRDefault="005E0B29">
      <w:pPr>
        <w:numPr>
          <w:ilvl w:val="0"/>
          <w:numId w:val="16"/>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5E0B29">
        <w:rPr>
          <w:rFonts w:ascii="Arial" w:eastAsia="Times New Roman" w:hAnsi="Arial" w:cs="Arial"/>
        </w:rPr>
        <w:t>udrugama i društvima iz područja socijalne skrbi putem javnog natječaja 14.130 €,</w:t>
      </w:r>
    </w:p>
    <w:p w14:paraId="210E5892" w14:textId="77777777" w:rsidR="005E0B29" w:rsidRPr="005E0B29" w:rsidRDefault="005E0B29">
      <w:pPr>
        <w:numPr>
          <w:ilvl w:val="0"/>
          <w:numId w:val="16"/>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5E0B29">
        <w:rPr>
          <w:rFonts w:ascii="Arial" w:eastAsia="Times New Roman" w:hAnsi="Arial" w:cs="Arial"/>
        </w:rPr>
        <w:t xml:space="preserve">donacije humanitarnim organizacijama - Crveni križ 20.000 € (kao nego prethodne godine), </w:t>
      </w:r>
    </w:p>
    <w:p w14:paraId="3E68A5EA" w14:textId="77777777" w:rsidR="005E0B29" w:rsidRPr="005E0B29" w:rsidRDefault="005E0B29">
      <w:pPr>
        <w:numPr>
          <w:ilvl w:val="0"/>
          <w:numId w:val="16"/>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5E0B29">
        <w:rPr>
          <w:rFonts w:ascii="Arial" w:eastAsia="Times New Roman" w:hAnsi="Arial" w:cs="Arial"/>
        </w:rPr>
        <w:t xml:space="preserve">donacija za rad Hrvatske gorske službe spašavanja 5.000 € (više za 1.000 €), </w:t>
      </w:r>
    </w:p>
    <w:p w14:paraId="4FB1E9C8" w14:textId="3C84E368" w:rsidR="005E0B29" w:rsidRPr="005E0B29" w:rsidRDefault="005E0B29">
      <w:pPr>
        <w:numPr>
          <w:ilvl w:val="0"/>
          <w:numId w:val="16"/>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bookmarkStart w:id="210" w:name="_Hlk230349276"/>
      <w:r w:rsidRPr="005E0B29">
        <w:rPr>
          <w:rFonts w:ascii="Arial" w:eastAsia="Times New Roman" w:hAnsi="Arial" w:cs="Arial"/>
        </w:rPr>
        <w:t xml:space="preserve">financiranje redovnog rada političkih stranaka </w:t>
      </w:r>
      <w:bookmarkStart w:id="211" w:name="_Hlk230349130"/>
      <w:r w:rsidR="00023E56">
        <w:rPr>
          <w:rFonts w:ascii="Arial" w:eastAsia="Times New Roman" w:hAnsi="Arial" w:cs="Arial"/>
        </w:rPr>
        <w:t>3.386,68</w:t>
      </w:r>
      <w:r w:rsidRPr="005E0B29">
        <w:rPr>
          <w:rFonts w:ascii="Arial" w:eastAsia="Times New Roman" w:hAnsi="Arial" w:cs="Arial"/>
        </w:rPr>
        <w:t xml:space="preserve"> </w:t>
      </w:r>
      <w:bookmarkEnd w:id="211"/>
      <w:r w:rsidRPr="005E0B29">
        <w:rPr>
          <w:rFonts w:ascii="Arial" w:eastAsia="Times New Roman" w:hAnsi="Arial" w:cs="Arial"/>
        </w:rPr>
        <w:t>€</w:t>
      </w:r>
      <w:r w:rsidR="00023E56">
        <w:rPr>
          <w:rFonts w:ascii="Arial" w:eastAsia="Times New Roman" w:hAnsi="Arial" w:cs="Arial"/>
        </w:rPr>
        <w:t xml:space="preserve"> i </w:t>
      </w:r>
      <w:r w:rsidR="00023E56" w:rsidRPr="005E0B29">
        <w:rPr>
          <w:rFonts w:ascii="Arial" w:eastAsia="Times New Roman" w:hAnsi="Arial" w:cs="Arial"/>
        </w:rPr>
        <w:t>rashodi za obvezno financiranje troškova izborne promidžbe</w:t>
      </w:r>
      <w:r w:rsidR="00023E56">
        <w:rPr>
          <w:rFonts w:ascii="Arial" w:eastAsia="Times New Roman" w:hAnsi="Arial" w:cs="Arial"/>
        </w:rPr>
        <w:t xml:space="preserve"> 3.337,84 € vezano uz provedbu </w:t>
      </w:r>
      <w:r w:rsidRPr="005E0B29">
        <w:rPr>
          <w:rFonts w:ascii="Arial" w:eastAsia="Times New Roman" w:hAnsi="Arial" w:cs="Arial"/>
        </w:rPr>
        <w:t>lokalnih izbora</w:t>
      </w:r>
      <w:bookmarkEnd w:id="210"/>
      <w:r w:rsidR="00023E56">
        <w:rPr>
          <w:rFonts w:ascii="Arial" w:eastAsia="Times New Roman" w:hAnsi="Arial" w:cs="Arial"/>
        </w:rPr>
        <w:t>)</w:t>
      </w:r>
      <w:r w:rsidRPr="005E0B29">
        <w:rPr>
          <w:rFonts w:ascii="Arial" w:eastAsia="Times New Roman" w:hAnsi="Arial" w:cs="Arial"/>
        </w:rPr>
        <w:t>,</w:t>
      </w:r>
    </w:p>
    <w:p w14:paraId="77628D72" w14:textId="77777777" w:rsidR="005E0B29" w:rsidRPr="005E0B29" w:rsidRDefault="005E0B29">
      <w:pPr>
        <w:numPr>
          <w:ilvl w:val="0"/>
          <w:numId w:val="16"/>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0" w:firstLine="0"/>
        <w:jc w:val="both"/>
        <w:rPr>
          <w:rFonts w:ascii="Arial" w:eastAsia="Times New Roman" w:hAnsi="Arial" w:cs="Arial"/>
        </w:rPr>
      </w:pPr>
      <w:r w:rsidRPr="005E0B29">
        <w:rPr>
          <w:rFonts w:ascii="Arial" w:eastAsia="Times New Roman" w:hAnsi="Arial" w:cs="Arial"/>
        </w:rPr>
        <w:t>ostale tekuće donacije u iznosu 32.673,55 € (donacije za potpore i pokroviteljstva na temelju ugovora više 6.584,61 € nego prethodne godine).</w:t>
      </w:r>
    </w:p>
    <w:p w14:paraId="6DCC0FF0" w14:textId="77777777" w:rsidR="005E0B29" w:rsidRDefault="005E0B29" w:rsidP="005E0B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p>
    <w:p w14:paraId="72B51783" w14:textId="3DD34A09" w:rsidR="00A600D4" w:rsidRPr="00FA43EE" w:rsidRDefault="00A600D4" w:rsidP="005E0B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r w:rsidRPr="0021122B">
        <w:rPr>
          <w:rFonts w:ascii="Arial" w:eastAsia="Times New Roman" w:hAnsi="Arial" w:cs="Arial"/>
          <w:sz w:val="18"/>
          <w:szCs w:val="18"/>
        </w:rPr>
        <w:t xml:space="preserve">Kapitalne donacije (382) </w:t>
      </w:r>
      <w:r w:rsidR="0021122B" w:rsidRPr="00FA43EE">
        <w:rPr>
          <w:rFonts w:ascii="Arial" w:eastAsia="Times New Roman" w:hAnsi="Arial" w:cs="Arial"/>
          <w:b/>
          <w:bCs/>
          <w:sz w:val="18"/>
          <w:szCs w:val="18"/>
        </w:rPr>
        <w:t>2023</w:t>
      </w:r>
      <w:r w:rsidR="0021122B" w:rsidRPr="0021122B">
        <w:rPr>
          <w:rFonts w:ascii="Arial" w:eastAsia="Times New Roman" w:hAnsi="Arial" w:cs="Arial"/>
          <w:sz w:val="18"/>
          <w:szCs w:val="18"/>
        </w:rPr>
        <w:t>.</w:t>
      </w:r>
      <w:r w:rsidRPr="0021122B">
        <w:rPr>
          <w:rFonts w:ascii="Arial" w:eastAsia="Times New Roman" w:hAnsi="Arial" w:cs="Arial"/>
          <w:sz w:val="18"/>
          <w:szCs w:val="18"/>
        </w:rPr>
        <w:t xml:space="preserve"> godine su</w:t>
      </w:r>
      <w:r w:rsidR="0021122B" w:rsidRPr="0021122B">
        <w:rPr>
          <w:rFonts w:ascii="Arial" w:eastAsia="Times New Roman" w:hAnsi="Arial" w:cs="Arial"/>
          <w:sz w:val="18"/>
          <w:szCs w:val="18"/>
        </w:rPr>
        <w:t xml:space="preserve"> bile</w:t>
      </w:r>
      <w:r w:rsidRPr="0021122B">
        <w:rPr>
          <w:rFonts w:ascii="Arial" w:eastAsia="Times New Roman" w:hAnsi="Arial" w:cs="Arial"/>
          <w:sz w:val="18"/>
          <w:szCs w:val="18"/>
        </w:rPr>
        <w:t xml:space="preserve"> izvršene u iznosu 31.404,46 € i odnosile su se na donacije za uređenje dvaju župnih ureda i nabavu opreme za pčelarsku udrugu. </w:t>
      </w:r>
      <w:bookmarkStart w:id="212" w:name="_Hlk200541127"/>
      <w:r w:rsidRPr="00FA43EE">
        <w:rPr>
          <w:rFonts w:ascii="Arial" w:eastAsia="Times New Roman" w:hAnsi="Arial" w:cs="Arial"/>
          <w:sz w:val="18"/>
          <w:szCs w:val="18"/>
        </w:rPr>
        <w:t xml:space="preserve">U </w:t>
      </w:r>
      <w:r w:rsidRPr="00FA43EE">
        <w:rPr>
          <w:rFonts w:ascii="Arial" w:eastAsia="Times New Roman" w:hAnsi="Arial" w:cs="Arial"/>
          <w:b/>
          <w:bCs/>
          <w:sz w:val="18"/>
          <w:szCs w:val="18"/>
        </w:rPr>
        <w:t>2024</w:t>
      </w:r>
      <w:r w:rsidRPr="00FA43EE">
        <w:rPr>
          <w:rFonts w:ascii="Arial" w:eastAsia="Times New Roman" w:hAnsi="Arial" w:cs="Arial"/>
          <w:sz w:val="18"/>
          <w:szCs w:val="18"/>
        </w:rPr>
        <w:t>. godini kapitalne donacije (382) su izvršene u iznosu 1.000 € i odnose se na donaciju udruzi za nabavu endoskopskog stupa i lasera za Opću bolnicu Dubrovnik.</w:t>
      </w:r>
    </w:p>
    <w:bookmarkEnd w:id="212"/>
    <w:p w14:paraId="581A4AF4" w14:textId="77777777" w:rsidR="00210A2D" w:rsidRDefault="00210A2D" w:rsidP="00681E5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18"/>
          <w:szCs w:val="18"/>
        </w:rPr>
      </w:pPr>
    </w:p>
    <w:p w14:paraId="53AAA7A0" w14:textId="221B3FE0" w:rsidR="00FA43EE" w:rsidRPr="00FA43EE" w:rsidRDefault="00FA43EE" w:rsidP="00FA43E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FA43EE">
        <w:rPr>
          <w:rFonts w:ascii="Arial" w:eastAsia="Times New Roman" w:hAnsi="Arial" w:cs="Arial"/>
        </w:rPr>
        <w:t xml:space="preserve">U </w:t>
      </w:r>
      <w:r w:rsidRPr="00FA43EE">
        <w:rPr>
          <w:rFonts w:ascii="Arial" w:eastAsia="Times New Roman" w:hAnsi="Arial" w:cs="Arial"/>
          <w:b/>
          <w:bCs/>
        </w:rPr>
        <w:t>202</w:t>
      </w:r>
      <w:r>
        <w:rPr>
          <w:rFonts w:ascii="Arial" w:eastAsia="Times New Roman" w:hAnsi="Arial" w:cs="Arial"/>
          <w:b/>
          <w:bCs/>
        </w:rPr>
        <w:t>5</w:t>
      </w:r>
      <w:r w:rsidRPr="00FA43EE">
        <w:rPr>
          <w:rFonts w:ascii="Arial" w:eastAsia="Times New Roman" w:hAnsi="Arial" w:cs="Arial"/>
        </w:rPr>
        <w:t>. godini kapitalne donacije (</w:t>
      </w:r>
      <w:r w:rsidRPr="005832B6">
        <w:rPr>
          <w:rFonts w:ascii="Arial" w:eastAsia="Times New Roman" w:hAnsi="Arial" w:cs="Arial"/>
          <w:b/>
          <w:bCs/>
        </w:rPr>
        <w:t>382</w:t>
      </w:r>
      <w:r w:rsidRPr="00FA43EE">
        <w:rPr>
          <w:rFonts w:ascii="Arial" w:eastAsia="Times New Roman" w:hAnsi="Arial" w:cs="Arial"/>
        </w:rPr>
        <w:t xml:space="preserve">) </w:t>
      </w:r>
      <w:r>
        <w:rPr>
          <w:rFonts w:ascii="Arial" w:eastAsia="Times New Roman" w:hAnsi="Arial" w:cs="Arial"/>
        </w:rPr>
        <w:t>nisu</w:t>
      </w:r>
      <w:r w:rsidR="005E0B29">
        <w:rPr>
          <w:rFonts w:ascii="Arial" w:eastAsia="Times New Roman" w:hAnsi="Arial" w:cs="Arial"/>
        </w:rPr>
        <w:t xml:space="preserve"> izvršene</w:t>
      </w:r>
      <w:r w:rsidRPr="00FA43EE">
        <w:rPr>
          <w:rFonts w:ascii="Arial" w:eastAsia="Times New Roman" w:hAnsi="Arial" w:cs="Arial"/>
        </w:rPr>
        <w:t>.</w:t>
      </w:r>
    </w:p>
    <w:p w14:paraId="643B57F8" w14:textId="77777777" w:rsidR="00FA43EE" w:rsidRPr="00FA43EE" w:rsidRDefault="00FA43EE" w:rsidP="00681E5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18"/>
          <w:szCs w:val="18"/>
        </w:rPr>
      </w:pPr>
    </w:p>
    <w:p w14:paraId="2FD47938" w14:textId="77777777" w:rsidR="00A600D4" w:rsidRPr="00A600D4" w:rsidRDefault="00A600D4" w:rsidP="00A600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A600D4">
        <w:rPr>
          <w:rFonts w:ascii="Arial" w:eastAsia="Times New Roman" w:hAnsi="Arial" w:cs="Arial"/>
        </w:rPr>
        <w:t>Kazne, penali i naknade šteta (</w:t>
      </w:r>
      <w:r w:rsidRPr="005832B6">
        <w:rPr>
          <w:rFonts w:ascii="Arial" w:eastAsia="Times New Roman" w:hAnsi="Arial" w:cs="Arial"/>
          <w:b/>
          <w:bCs/>
        </w:rPr>
        <w:t>383</w:t>
      </w:r>
      <w:r w:rsidRPr="00A600D4">
        <w:rPr>
          <w:rFonts w:ascii="Arial" w:eastAsia="Times New Roman" w:hAnsi="Arial" w:cs="Arial"/>
          <w:b/>
        </w:rPr>
        <w:t>)</w:t>
      </w:r>
      <w:r w:rsidRPr="00A600D4">
        <w:rPr>
          <w:rFonts w:ascii="Arial" w:eastAsia="Times New Roman" w:hAnsi="Arial" w:cs="Arial"/>
        </w:rPr>
        <w:t xml:space="preserve"> u tekućem izvještajnom razdoblju nisu izvršene, kao niti prethodne godine. </w:t>
      </w:r>
    </w:p>
    <w:p w14:paraId="1107C7C7" w14:textId="77777777" w:rsidR="00681E59" w:rsidRPr="00D90909" w:rsidRDefault="00681E59" w:rsidP="00681E5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18"/>
          <w:szCs w:val="18"/>
        </w:rPr>
      </w:pPr>
    </w:p>
    <w:p w14:paraId="38CA5167" w14:textId="73F8F179" w:rsidR="0084780C" w:rsidRPr="003A2F86" w:rsidRDefault="00681E59" w:rsidP="00211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hAnsi="Arial" w:cs="Arial"/>
          <w:sz w:val="18"/>
          <w:szCs w:val="18"/>
        </w:rPr>
      </w:pPr>
      <w:r w:rsidRPr="003A2F86">
        <w:rPr>
          <w:rFonts w:ascii="Arial" w:hAnsi="Arial" w:cs="Arial"/>
          <w:sz w:val="18"/>
          <w:szCs w:val="18"/>
        </w:rPr>
        <w:t>Kapitalne pomoći (386) u 2021. su izvršene u iznosu 190.324,31 €, u 2022. su izvršene u iznosu 67.025,24 €</w:t>
      </w:r>
      <w:r w:rsidR="00E637EF" w:rsidRPr="003A2F86">
        <w:rPr>
          <w:rFonts w:ascii="Arial" w:hAnsi="Arial" w:cs="Arial"/>
          <w:sz w:val="18"/>
          <w:szCs w:val="18"/>
        </w:rPr>
        <w:t xml:space="preserve">, dok su </w:t>
      </w:r>
      <w:r w:rsidR="00A3385B" w:rsidRPr="003A2F86">
        <w:rPr>
          <w:rFonts w:ascii="Arial" w:hAnsi="Arial" w:cs="Arial"/>
          <w:sz w:val="18"/>
          <w:szCs w:val="18"/>
        </w:rPr>
        <w:t>2023.</w:t>
      </w:r>
      <w:r w:rsidR="00E637EF" w:rsidRPr="003A2F86">
        <w:rPr>
          <w:rFonts w:ascii="Arial" w:hAnsi="Arial" w:cs="Arial"/>
          <w:sz w:val="18"/>
          <w:szCs w:val="18"/>
        </w:rPr>
        <w:t xml:space="preserve"> iznosile </w:t>
      </w:r>
      <w:r w:rsidR="0021122B">
        <w:rPr>
          <w:rFonts w:ascii="Arial" w:hAnsi="Arial" w:cs="Arial"/>
          <w:sz w:val="18"/>
          <w:szCs w:val="18"/>
        </w:rPr>
        <w:t>241.460,52</w:t>
      </w:r>
      <w:r w:rsidR="00E637EF" w:rsidRPr="003A2F86">
        <w:rPr>
          <w:rFonts w:ascii="Arial" w:hAnsi="Arial" w:cs="Arial"/>
          <w:sz w:val="18"/>
          <w:szCs w:val="18"/>
        </w:rPr>
        <w:t xml:space="preserve"> €.</w:t>
      </w:r>
    </w:p>
    <w:p w14:paraId="09950244" w14:textId="77777777" w:rsidR="0084780C" w:rsidRPr="00D90909" w:rsidRDefault="0084780C" w:rsidP="00681E5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18"/>
          <w:szCs w:val="18"/>
        </w:rPr>
      </w:pPr>
    </w:p>
    <w:p w14:paraId="5F3FE599" w14:textId="619B94D0" w:rsidR="00B43C6C" w:rsidRPr="00B43C6C" w:rsidRDefault="00C175AC" w:rsidP="00B43C6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lastRenderedPageBreak/>
        <w:t>U</w:t>
      </w:r>
      <w:r w:rsidR="00A600D4" w:rsidRPr="00A600D4">
        <w:rPr>
          <w:rFonts w:ascii="Arial" w:eastAsia="Times New Roman" w:hAnsi="Arial" w:cs="Arial"/>
        </w:rPr>
        <w:t xml:space="preserve"> 20</w:t>
      </w:r>
      <w:r w:rsidR="00FA43EE">
        <w:rPr>
          <w:rFonts w:ascii="Arial" w:eastAsia="Times New Roman" w:hAnsi="Arial" w:cs="Arial"/>
        </w:rPr>
        <w:t>25</w:t>
      </w:r>
      <w:r w:rsidR="00A600D4" w:rsidRPr="00A600D4">
        <w:rPr>
          <w:rFonts w:ascii="Arial" w:eastAsia="Times New Roman" w:hAnsi="Arial" w:cs="Arial"/>
        </w:rPr>
        <w:t xml:space="preserve">. godini </w:t>
      </w:r>
      <w:r w:rsidRPr="00A600D4">
        <w:rPr>
          <w:rFonts w:ascii="Arial" w:eastAsia="Times New Roman" w:hAnsi="Arial" w:cs="Arial"/>
        </w:rPr>
        <w:t xml:space="preserve">kapitalne pomoći </w:t>
      </w:r>
      <w:r w:rsidR="005832B6">
        <w:rPr>
          <w:rFonts w:ascii="Arial" w:eastAsia="Times New Roman" w:hAnsi="Arial" w:cs="Arial"/>
        </w:rPr>
        <w:t>(</w:t>
      </w:r>
      <w:r w:rsidR="005832B6" w:rsidRPr="005832B6">
        <w:rPr>
          <w:rFonts w:ascii="Arial" w:eastAsia="Times New Roman" w:hAnsi="Arial" w:cs="Arial"/>
          <w:b/>
          <w:bCs/>
        </w:rPr>
        <w:t>386</w:t>
      </w:r>
      <w:r w:rsidR="005832B6">
        <w:rPr>
          <w:rFonts w:ascii="Arial" w:eastAsia="Times New Roman" w:hAnsi="Arial" w:cs="Arial"/>
        </w:rPr>
        <w:t xml:space="preserve">) </w:t>
      </w:r>
      <w:r>
        <w:rPr>
          <w:rFonts w:ascii="Arial" w:eastAsia="Times New Roman" w:hAnsi="Arial" w:cs="Arial"/>
        </w:rPr>
        <w:t>iznose</w:t>
      </w:r>
      <w:r w:rsidR="00A600D4" w:rsidRPr="00A600D4">
        <w:rPr>
          <w:rFonts w:ascii="Arial" w:eastAsia="Times New Roman" w:hAnsi="Arial" w:cs="Arial"/>
        </w:rPr>
        <w:t xml:space="preserve"> </w:t>
      </w:r>
      <w:bookmarkStart w:id="213" w:name="_Hlk200541155"/>
      <w:r w:rsidR="00B43C6C" w:rsidRPr="00B43C6C">
        <w:rPr>
          <w:rFonts w:ascii="Arial" w:eastAsia="Times New Roman" w:hAnsi="Arial" w:cs="Arial"/>
        </w:rPr>
        <w:t xml:space="preserve">150.708,10 € što je manje za 40.059,33 € ili 21% u odnosu na prethodnu godinu. Ove pomoći se u cijelosti odnose na </w:t>
      </w:r>
      <w:r w:rsidR="00B43C6C">
        <w:rPr>
          <w:rFonts w:ascii="Arial" w:eastAsia="Times New Roman" w:hAnsi="Arial" w:cs="Arial"/>
        </w:rPr>
        <w:t>prijenose pomoći</w:t>
      </w:r>
      <w:r w:rsidR="00B43C6C" w:rsidRPr="00B43C6C">
        <w:rPr>
          <w:rFonts w:ascii="Arial" w:eastAsia="Times New Roman" w:hAnsi="Arial" w:cs="Arial"/>
        </w:rPr>
        <w:t xml:space="preserve"> društvima u vlasništvu Općine (Konavosko komunalno društvo d.o.o. i Čistoća i zelenilo Konavle d.o.o.), te društvu u suvlasništvu (Čistoća d.o.o. Dubrovnik) za nabavu nefinancijske imovine. Općina je, kao i prethodne godine, doznačila komunalnom društvu (Konavosko komunalno društvo d.o.o.) sredstva u iznosu </w:t>
      </w:r>
      <w:bookmarkStart w:id="214" w:name="_Hlk230349465"/>
      <w:r w:rsidR="00B43C6C" w:rsidRPr="00B43C6C">
        <w:rPr>
          <w:rFonts w:ascii="Arial" w:eastAsia="Times New Roman" w:hAnsi="Arial" w:cs="Arial"/>
        </w:rPr>
        <w:t xml:space="preserve">88.398,38 </w:t>
      </w:r>
      <w:bookmarkEnd w:id="214"/>
      <w:r w:rsidR="00B43C6C" w:rsidRPr="00B43C6C">
        <w:rPr>
          <w:rFonts w:ascii="Arial" w:eastAsia="Times New Roman" w:hAnsi="Arial" w:cs="Arial"/>
        </w:rPr>
        <w:t>€ (od čega 74.648,34 € za povrat dva obroka kredita - kredit za izgradnju kanalizacijskog sustava i vodovoda, te za kapitalna pomoć za vodovodni sustav 13.750,04 ,€ od čega naselje Palje brdo 2.200,04 €, projektiranje vodoopskrbnog sustava Kuna Konavoske 7.770 €, te izradu elaborata zaštite okoliša Kuna Konavoska 3.780 €). Društvu za održavanje čistoće i sakupljanje otpada (Čistoća i zelenilo Konavle d.o.o.) doznačeno je 55.000 € (za nabavu komunalnog vozila). Prijenos društvu u suvlasništvu u iznosu 7.309,72 € se odnosi na obvezu preuređenja i zatvaranja odlagališta otpada na Grabovici.</w:t>
      </w:r>
    </w:p>
    <w:bookmarkEnd w:id="213"/>
    <w:p w14:paraId="7C642D17" w14:textId="77777777" w:rsidR="00C175AC" w:rsidRDefault="00C175AC" w:rsidP="00B5484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18"/>
          <w:szCs w:val="18"/>
        </w:rPr>
      </w:pPr>
    </w:p>
    <w:p w14:paraId="05FEDE80" w14:textId="178A3E3E" w:rsidR="009C53D1" w:rsidRPr="003A2F86" w:rsidRDefault="00A3385B" w:rsidP="00513CC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r w:rsidRPr="003A2F86">
        <w:rPr>
          <w:rFonts w:ascii="Arial" w:hAnsi="Arial" w:cs="Arial"/>
          <w:sz w:val="18"/>
          <w:szCs w:val="18"/>
        </w:rPr>
        <w:t>U</w:t>
      </w:r>
      <w:r w:rsidR="00E637EF" w:rsidRPr="003A2F86">
        <w:rPr>
          <w:rFonts w:ascii="Arial" w:hAnsi="Arial" w:cs="Arial"/>
          <w:sz w:val="18"/>
          <w:szCs w:val="18"/>
        </w:rPr>
        <w:t xml:space="preserve"> 2023. godin</w:t>
      </w:r>
      <w:r w:rsidR="00D90909">
        <w:rPr>
          <w:rFonts w:ascii="Arial" w:hAnsi="Arial" w:cs="Arial"/>
          <w:sz w:val="18"/>
          <w:szCs w:val="18"/>
        </w:rPr>
        <w:t>i</w:t>
      </w:r>
      <w:r w:rsidR="00E637EF" w:rsidRPr="003A2F86">
        <w:rPr>
          <w:rFonts w:ascii="Arial" w:hAnsi="Arial" w:cs="Arial"/>
          <w:sz w:val="18"/>
          <w:szCs w:val="18"/>
        </w:rPr>
        <w:t xml:space="preserve"> izvršen p</w:t>
      </w:r>
      <w:r w:rsidR="00681E59" w:rsidRPr="003A2F86">
        <w:rPr>
          <w:rFonts w:ascii="Arial" w:hAnsi="Arial" w:cs="Arial"/>
          <w:sz w:val="18"/>
          <w:szCs w:val="18"/>
        </w:rPr>
        <w:t xml:space="preserve">rijenos u iznosu 14.666,05 € </w:t>
      </w:r>
      <w:r w:rsidR="00E637EF" w:rsidRPr="003A2F86">
        <w:rPr>
          <w:rFonts w:ascii="Arial" w:hAnsi="Arial" w:cs="Arial"/>
          <w:sz w:val="18"/>
          <w:szCs w:val="18"/>
        </w:rPr>
        <w:t xml:space="preserve">koji se odnosio na utrošak namjenske naknade na temelju obveze </w:t>
      </w:r>
      <w:r w:rsidR="00681E59" w:rsidRPr="003A2F86">
        <w:rPr>
          <w:rFonts w:ascii="Arial" w:hAnsi="Arial" w:cs="Arial"/>
          <w:sz w:val="18"/>
          <w:szCs w:val="18"/>
        </w:rPr>
        <w:t>preuređenja i zatvaranja odlagališta otpada na Grabovici</w:t>
      </w:r>
      <w:r w:rsidR="00D90909">
        <w:rPr>
          <w:rFonts w:ascii="Arial" w:hAnsi="Arial" w:cs="Arial"/>
          <w:sz w:val="18"/>
          <w:szCs w:val="18"/>
        </w:rPr>
        <w:t xml:space="preserve"> </w:t>
      </w:r>
      <w:r w:rsidR="00D90909" w:rsidRPr="003A2F86">
        <w:rPr>
          <w:rFonts w:ascii="Arial" w:hAnsi="Arial" w:cs="Arial"/>
          <w:sz w:val="18"/>
          <w:szCs w:val="18"/>
        </w:rPr>
        <w:t>(Čistoća d.o.o. Dubrovnik)</w:t>
      </w:r>
      <w:r w:rsidR="00681E59" w:rsidRPr="003A2F86">
        <w:rPr>
          <w:rFonts w:ascii="Arial" w:hAnsi="Arial" w:cs="Arial"/>
          <w:sz w:val="18"/>
          <w:szCs w:val="18"/>
        </w:rPr>
        <w:t>.</w:t>
      </w:r>
      <w:bookmarkEnd w:id="206"/>
      <w:bookmarkEnd w:id="207"/>
      <w:r w:rsidR="00FA43EE">
        <w:rPr>
          <w:rFonts w:ascii="Arial" w:hAnsi="Arial" w:cs="Arial"/>
          <w:sz w:val="18"/>
          <w:szCs w:val="18"/>
        </w:rPr>
        <w:t xml:space="preserve"> U 2024. godini ovaj prijenos</w:t>
      </w:r>
      <w:r w:rsidR="00B43C6C">
        <w:rPr>
          <w:rFonts w:ascii="Arial" w:hAnsi="Arial" w:cs="Arial"/>
          <w:sz w:val="18"/>
          <w:szCs w:val="18"/>
        </w:rPr>
        <w:t xml:space="preserve"> je</w:t>
      </w:r>
      <w:r w:rsidR="00FA43EE">
        <w:rPr>
          <w:rFonts w:ascii="Arial" w:hAnsi="Arial" w:cs="Arial"/>
          <w:sz w:val="18"/>
          <w:szCs w:val="18"/>
        </w:rPr>
        <w:t xml:space="preserve"> iznosio 8.111,65 €.</w:t>
      </w:r>
      <w:r w:rsidR="009C53D1" w:rsidRPr="003A2F86">
        <w:rPr>
          <w:rFonts w:ascii="Arial" w:eastAsia="Times New Roman" w:hAnsi="Arial" w:cs="Arial"/>
          <w:sz w:val="18"/>
          <w:szCs w:val="18"/>
        </w:rPr>
        <w:br w:type="page"/>
      </w:r>
    </w:p>
    <w:p w14:paraId="1DAA8030" w14:textId="5901140A" w:rsidR="00891119" w:rsidRPr="003A2F86" w:rsidRDefault="002E304B" w:rsidP="00A840CD">
      <w:pPr>
        <w:pStyle w:val="Naslov3"/>
        <w:jc w:val="center"/>
        <w:rPr>
          <w:rFonts w:ascii="Arial" w:hAnsi="Arial" w:cs="Arial"/>
          <w:sz w:val="22"/>
          <w:szCs w:val="22"/>
          <w:lang w:val="hr-HR"/>
        </w:rPr>
      </w:pPr>
      <w:bookmarkStart w:id="215" w:name="_Toc232981401"/>
      <w:r w:rsidRPr="003A2F86">
        <w:rPr>
          <w:rFonts w:ascii="Arial" w:hAnsi="Arial" w:cs="Arial"/>
          <w:sz w:val="22"/>
          <w:szCs w:val="22"/>
          <w:lang w:val="hr-HR"/>
        </w:rPr>
        <w:lastRenderedPageBreak/>
        <w:t>2.4.4.</w:t>
      </w:r>
      <w:r w:rsidR="00891119" w:rsidRPr="003A2F86">
        <w:rPr>
          <w:rFonts w:ascii="Arial" w:hAnsi="Arial" w:cs="Arial"/>
          <w:sz w:val="22"/>
          <w:szCs w:val="22"/>
          <w:lang w:val="hr-HR"/>
        </w:rPr>
        <w:tab/>
        <w:t>R</w:t>
      </w:r>
      <w:r w:rsidR="00E97058" w:rsidRPr="003A2F86">
        <w:rPr>
          <w:rFonts w:ascii="Arial" w:hAnsi="Arial" w:cs="Arial"/>
          <w:sz w:val="22"/>
          <w:szCs w:val="22"/>
          <w:lang w:val="hr-HR"/>
        </w:rPr>
        <w:t>ASHODI ZA NABAVU NEFINANCIJSKE IMOVINE</w:t>
      </w:r>
      <w:r w:rsidR="00B5484A" w:rsidRPr="003A2F86">
        <w:rPr>
          <w:rFonts w:ascii="Arial" w:hAnsi="Arial" w:cs="Arial"/>
          <w:sz w:val="22"/>
          <w:szCs w:val="22"/>
          <w:lang w:val="hr-HR"/>
        </w:rPr>
        <w:t xml:space="preserve"> (4)</w:t>
      </w:r>
      <w:bookmarkStart w:id="216" w:name="Rashodi_za_nabavu_nefinancijeke_imovine"/>
      <w:bookmarkEnd w:id="215"/>
      <w:bookmarkEnd w:id="216"/>
    </w:p>
    <w:p w14:paraId="310460F1" w14:textId="77777777"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0B8CAF95" w14:textId="51BBEF10" w:rsidR="00FD31DB" w:rsidRDefault="00580602" w:rsidP="0027112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217" w:name="_Hlk230158049"/>
      <w:r w:rsidRPr="00580602">
        <w:rPr>
          <w:rFonts w:ascii="Arial" w:eastAsia="Times New Roman" w:hAnsi="Arial" w:cs="Arial"/>
          <w:b/>
        </w:rPr>
        <w:t>Rashodi za nabavu nefinancijske imovne</w:t>
      </w:r>
      <w:r w:rsidRPr="00580602">
        <w:rPr>
          <w:rFonts w:ascii="Arial" w:eastAsia="Times New Roman" w:hAnsi="Arial" w:cs="Arial"/>
        </w:rPr>
        <w:t xml:space="preserve"> (4) su izvršeni u iznosu </w:t>
      </w:r>
      <w:bookmarkStart w:id="218" w:name="_Hlk230349604"/>
      <w:r w:rsidR="007D221D" w:rsidRPr="007D221D">
        <w:rPr>
          <w:rFonts w:ascii="Arial" w:eastAsia="Times New Roman" w:hAnsi="Arial" w:cs="Arial"/>
        </w:rPr>
        <w:t>11.626.094,90</w:t>
      </w:r>
      <w:bookmarkEnd w:id="218"/>
      <w:r w:rsidR="007D221D" w:rsidRPr="007D221D">
        <w:rPr>
          <w:rFonts w:ascii="Arial" w:eastAsia="Times New Roman" w:hAnsi="Arial" w:cs="Arial"/>
        </w:rPr>
        <w:t xml:space="preserve"> € što je za </w:t>
      </w:r>
      <w:bookmarkStart w:id="219" w:name="_Hlk230349613"/>
      <w:r w:rsidR="007D221D" w:rsidRPr="007D221D">
        <w:rPr>
          <w:rFonts w:ascii="Arial" w:eastAsia="Times New Roman" w:hAnsi="Arial" w:cs="Arial"/>
        </w:rPr>
        <w:t xml:space="preserve">8.993.678,89 € ili 341,7% </w:t>
      </w:r>
      <w:bookmarkEnd w:id="219"/>
      <w:r w:rsidR="007D221D" w:rsidRPr="007D221D">
        <w:rPr>
          <w:rFonts w:ascii="Arial" w:eastAsia="Times New Roman" w:hAnsi="Arial" w:cs="Arial"/>
        </w:rPr>
        <w:t>više u odnosu na izvještajno razdoblje prethodne godine.</w:t>
      </w:r>
    </w:p>
    <w:p w14:paraId="719250C0" w14:textId="77777777" w:rsidR="007D221D" w:rsidRPr="003A2F86" w:rsidRDefault="007D221D" w:rsidP="0027112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7DAD3E23" w14:textId="6DE2C431" w:rsidR="000B1FCF" w:rsidRPr="003A2F86" w:rsidRDefault="000B1FCF" w:rsidP="0027112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color w:val="1F497D" w:themeColor="text2"/>
        </w:rPr>
      </w:pPr>
      <w:r w:rsidRPr="003A2F86">
        <w:rPr>
          <w:rFonts w:ascii="Arial" w:eastAsia="Times New Roman" w:hAnsi="Arial" w:cs="Arial"/>
          <w:color w:val="1F497D" w:themeColor="text2"/>
        </w:rPr>
        <w:tab/>
      </w:r>
      <w:bookmarkStart w:id="220" w:name="_Hlk200541356"/>
      <w:r w:rsidRPr="003A2F86">
        <w:rPr>
          <w:rFonts w:ascii="Arial" w:eastAsia="Times New Roman" w:hAnsi="Arial" w:cs="Arial"/>
          <w:color w:val="1F497D" w:themeColor="text2"/>
        </w:rPr>
        <w:t xml:space="preserve">Ukupni rashodi za nabavu nefinancijske imovine Općine iznose </w:t>
      </w:r>
      <w:bookmarkStart w:id="221" w:name="_Hlk230349671"/>
      <w:r w:rsidR="007D221D">
        <w:rPr>
          <w:rFonts w:ascii="Arial" w:eastAsia="Times New Roman" w:hAnsi="Arial" w:cs="Arial"/>
          <w:color w:val="1F497D" w:themeColor="text2"/>
        </w:rPr>
        <w:t>11.559.105,90</w:t>
      </w:r>
      <w:r w:rsidR="00F9504C" w:rsidRPr="003A2F86">
        <w:rPr>
          <w:rFonts w:ascii="Arial" w:eastAsia="Times New Roman" w:hAnsi="Arial" w:cs="Arial"/>
          <w:color w:val="1F497D" w:themeColor="text2"/>
        </w:rPr>
        <w:t xml:space="preserve"> </w:t>
      </w:r>
      <w:bookmarkEnd w:id="221"/>
      <w:r w:rsidR="00F9504C" w:rsidRPr="003A2F86">
        <w:rPr>
          <w:rFonts w:ascii="Arial" w:eastAsia="Times New Roman" w:hAnsi="Arial" w:cs="Arial"/>
          <w:color w:val="1F497D" w:themeColor="text2"/>
        </w:rPr>
        <w:t>€</w:t>
      </w:r>
      <w:r w:rsidRPr="003A2F86">
        <w:rPr>
          <w:rFonts w:ascii="Arial" w:eastAsia="Times New Roman" w:hAnsi="Arial" w:cs="Arial"/>
          <w:color w:val="1F497D" w:themeColor="text2"/>
        </w:rPr>
        <w:t xml:space="preserve">, a rashodi za nabavu nefinancijske imovine proračunskih korisnika iznose </w:t>
      </w:r>
      <w:bookmarkStart w:id="222" w:name="_Hlk230349681"/>
      <w:r w:rsidR="007D221D">
        <w:rPr>
          <w:rFonts w:ascii="Arial" w:eastAsia="Times New Roman" w:hAnsi="Arial" w:cs="Arial"/>
          <w:color w:val="1F497D" w:themeColor="text2"/>
        </w:rPr>
        <w:t>66.989</w:t>
      </w:r>
      <w:r w:rsidR="00F9504C" w:rsidRPr="003A2F86">
        <w:rPr>
          <w:rFonts w:ascii="Arial" w:eastAsia="Times New Roman" w:hAnsi="Arial" w:cs="Arial"/>
          <w:color w:val="1F497D" w:themeColor="text2"/>
        </w:rPr>
        <w:t xml:space="preserve"> </w:t>
      </w:r>
      <w:bookmarkEnd w:id="222"/>
      <w:r w:rsidR="00F9504C" w:rsidRPr="003A2F86">
        <w:rPr>
          <w:rFonts w:ascii="Arial" w:eastAsia="Times New Roman" w:hAnsi="Arial" w:cs="Arial"/>
          <w:color w:val="1F497D" w:themeColor="text2"/>
        </w:rPr>
        <w:t>€</w:t>
      </w:r>
      <w:r w:rsidRPr="003A2F86">
        <w:rPr>
          <w:rFonts w:ascii="Arial" w:eastAsia="Times New Roman" w:hAnsi="Arial" w:cs="Arial"/>
          <w:color w:val="1F497D" w:themeColor="text2"/>
        </w:rPr>
        <w:t>.</w:t>
      </w:r>
    </w:p>
    <w:bookmarkEnd w:id="220"/>
    <w:p w14:paraId="0F980A65" w14:textId="77777777" w:rsidR="00873F04" w:rsidRPr="003A2F86" w:rsidRDefault="00873F04" w:rsidP="00153BB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21A00F73" w14:textId="05DA2056" w:rsidR="00777D33" w:rsidRPr="00777D33" w:rsidRDefault="00777D33" w:rsidP="00777D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b/>
          <w:bCs/>
        </w:rPr>
      </w:pPr>
      <w:bookmarkStart w:id="223" w:name="_Hlk176441873"/>
      <w:r w:rsidRPr="00777D33">
        <w:rPr>
          <w:rFonts w:ascii="Arial" w:eastAsia="Times New Roman" w:hAnsi="Arial" w:cs="Arial"/>
          <w:b/>
          <w:bCs/>
        </w:rPr>
        <w:tab/>
        <w:t xml:space="preserve">Ukupni rashodi za nabavu nefinancijske imovine (4) Općine </w:t>
      </w:r>
      <w:bookmarkStart w:id="224" w:name="_Hlk200541423"/>
      <w:r w:rsidRPr="00777D33">
        <w:rPr>
          <w:rFonts w:ascii="Arial" w:eastAsia="Times New Roman" w:hAnsi="Arial" w:cs="Arial"/>
          <w:b/>
          <w:bCs/>
        </w:rPr>
        <w:t xml:space="preserve">su veći za </w:t>
      </w:r>
      <w:r w:rsidR="007D221D">
        <w:rPr>
          <w:rFonts w:ascii="Arial" w:eastAsia="Times New Roman" w:hAnsi="Arial" w:cs="Arial"/>
          <w:b/>
          <w:bCs/>
        </w:rPr>
        <w:t>9.036.872,13</w:t>
      </w:r>
      <w:r w:rsidRPr="00777D33">
        <w:rPr>
          <w:rFonts w:ascii="Arial" w:eastAsia="Times New Roman" w:hAnsi="Arial" w:cs="Arial"/>
          <w:b/>
          <w:bCs/>
        </w:rPr>
        <w:t xml:space="preserve"> € ili </w:t>
      </w:r>
      <w:r w:rsidR="007D221D">
        <w:rPr>
          <w:rFonts w:ascii="Arial" w:eastAsia="Times New Roman" w:hAnsi="Arial" w:cs="Arial"/>
          <w:b/>
          <w:bCs/>
        </w:rPr>
        <w:t>358,3</w:t>
      </w:r>
      <w:r w:rsidRPr="00777D33">
        <w:rPr>
          <w:rFonts w:ascii="Arial" w:eastAsia="Times New Roman" w:hAnsi="Arial" w:cs="Arial"/>
          <w:b/>
          <w:bCs/>
        </w:rPr>
        <w:t xml:space="preserve">%, a rashodi proračunskih korisnika su </w:t>
      </w:r>
      <w:r w:rsidR="007D221D">
        <w:rPr>
          <w:rFonts w:ascii="Arial" w:eastAsia="Times New Roman" w:hAnsi="Arial" w:cs="Arial"/>
          <w:b/>
          <w:bCs/>
        </w:rPr>
        <w:t>manji</w:t>
      </w:r>
      <w:r w:rsidRPr="00777D33">
        <w:rPr>
          <w:rFonts w:ascii="Arial" w:eastAsia="Times New Roman" w:hAnsi="Arial" w:cs="Arial"/>
          <w:b/>
          <w:bCs/>
        </w:rPr>
        <w:t xml:space="preserve"> za </w:t>
      </w:r>
      <w:r w:rsidR="007D221D">
        <w:rPr>
          <w:rFonts w:ascii="Arial" w:eastAsia="Times New Roman" w:hAnsi="Arial" w:cs="Arial"/>
          <w:b/>
          <w:bCs/>
        </w:rPr>
        <w:t>43.193,24</w:t>
      </w:r>
      <w:r w:rsidRPr="00777D33">
        <w:rPr>
          <w:rFonts w:ascii="Arial" w:eastAsia="Times New Roman" w:hAnsi="Arial" w:cs="Arial"/>
          <w:b/>
          <w:bCs/>
        </w:rPr>
        <w:t xml:space="preserve"> € ili </w:t>
      </w:r>
      <w:r w:rsidR="007D221D">
        <w:rPr>
          <w:rFonts w:ascii="Arial" w:eastAsia="Times New Roman" w:hAnsi="Arial" w:cs="Arial"/>
          <w:b/>
          <w:bCs/>
        </w:rPr>
        <w:t>39,2</w:t>
      </w:r>
      <w:r w:rsidRPr="00777D33">
        <w:rPr>
          <w:rFonts w:ascii="Arial" w:eastAsia="Times New Roman" w:hAnsi="Arial" w:cs="Arial"/>
          <w:b/>
          <w:bCs/>
        </w:rPr>
        <w:t>%.</w:t>
      </w:r>
    </w:p>
    <w:p w14:paraId="66B42CA8" w14:textId="77777777" w:rsidR="00777D33" w:rsidRDefault="00777D33" w:rsidP="00777D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225" w:name="_Hlk65516997"/>
      <w:bookmarkEnd w:id="223"/>
      <w:bookmarkEnd w:id="224"/>
    </w:p>
    <w:p w14:paraId="4DAEE16E" w14:textId="4C7A3791" w:rsidR="00777D33" w:rsidRDefault="00777D33" w:rsidP="00777D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226" w:name="_Hlk200541436"/>
      <w:r w:rsidRPr="00777D33">
        <w:rPr>
          <w:rFonts w:ascii="Arial" w:eastAsia="Times New Roman" w:hAnsi="Arial" w:cs="Arial"/>
        </w:rPr>
        <w:t>U okviru ove skupine rashoda prethodne godine bili su izvršeni samo pojedinačno manja ulaganja, dok se u tekućoj godini vrijednosno najznačajniji rashodi odnose na izgradnju / uređenje parkinga, te nogostupa.</w:t>
      </w:r>
    </w:p>
    <w:bookmarkEnd w:id="217"/>
    <w:bookmarkEnd w:id="226"/>
    <w:p w14:paraId="3547013F" w14:textId="77777777" w:rsidR="004807FD" w:rsidRPr="00777D33" w:rsidRDefault="004807FD" w:rsidP="00777D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420BEAAD" w14:textId="53683F93" w:rsidR="00D92D0C" w:rsidRPr="003A2F86" w:rsidRDefault="000E3F08" w:rsidP="00917E83">
      <w:pPr>
        <w:pStyle w:val="Opisslike"/>
        <w:rPr>
          <w:rFonts w:ascii="Arial" w:hAnsi="Arial" w:cs="Arial"/>
        </w:rPr>
      </w:pPr>
      <w:bookmarkStart w:id="227" w:name="_Toc232981576"/>
      <w:bookmarkEnd w:id="225"/>
      <w:r w:rsidRPr="003A2F86">
        <w:rPr>
          <w:noProof/>
        </w:rPr>
        <w:drawing>
          <wp:anchor distT="0" distB="0" distL="114300" distR="114300" simplePos="0" relativeHeight="251649024" behindDoc="0" locked="0" layoutInCell="1" allowOverlap="1" wp14:anchorId="70BF3A72" wp14:editId="4CAFBC79">
            <wp:simplePos x="0" y="0"/>
            <wp:positionH relativeFrom="column">
              <wp:posOffset>-88900</wp:posOffset>
            </wp:positionH>
            <wp:positionV relativeFrom="paragraph">
              <wp:posOffset>284480</wp:posOffset>
            </wp:positionV>
            <wp:extent cx="9134475" cy="3374390"/>
            <wp:effectExtent l="0" t="0" r="0" b="0"/>
            <wp:wrapTopAndBottom/>
            <wp:docPr id="743" name="Chart 7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page">
              <wp14:pctWidth>0</wp14:pctWidth>
            </wp14:sizeRelH>
            <wp14:sizeRelV relativeFrom="page">
              <wp14:pctHeight>0</wp14:pctHeight>
            </wp14:sizeRelV>
          </wp:anchor>
        </w:drawing>
      </w:r>
      <w:r w:rsidR="0075731E" w:rsidRPr="003A2F86">
        <w:rPr>
          <w:color w:val="FF0000"/>
        </w:rPr>
        <w:t xml:space="preserve">Graf </w:t>
      </w:r>
      <w:r w:rsidR="0075731E" w:rsidRPr="003A2F86">
        <w:rPr>
          <w:color w:val="FF0000"/>
        </w:rPr>
        <w:fldChar w:fldCharType="begin"/>
      </w:r>
      <w:r w:rsidR="0075731E" w:rsidRPr="003A2F86">
        <w:rPr>
          <w:color w:val="FF0000"/>
        </w:rPr>
        <w:instrText xml:space="preserve"> SEQ Graf \* ARABIC </w:instrText>
      </w:r>
      <w:r w:rsidR="0075731E" w:rsidRPr="003A2F86">
        <w:rPr>
          <w:color w:val="FF0000"/>
        </w:rPr>
        <w:fldChar w:fldCharType="separate"/>
      </w:r>
      <w:r w:rsidR="00A821D8">
        <w:rPr>
          <w:noProof/>
          <w:color w:val="FF0000"/>
        </w:rPr>
        <w:t>16</w:t>
      </w:r>
      <w:r w:rsidR="0075731E" w:rsidRPr="003A2F86">
        <w:rPr>
          <w:color w:val="FF0000"/>
        </w:rPr>
        <w:fldChar w:fldCharType="end"/>
      </w:r>
      <w:r w:rsidR="0075731E" w:rsidRPr="003A2F86">
        <w:rPr>
          <w:color w:val="FF0000"/>
        </w:rPr>
        <w:t xml:space="preserve">.: </w:t>
      </w:r>
      <w:r w:rsidR="0075731E" w:rsidRPr="003A2F86">
        <w:rPr>
          <w:rFonts w:ascii="Arial" w:hAnsi="Arial" w:cs="Arial"/>
          <w:sz w:val="18"/>
          <w:szCs w:val="18"/>
        </w:rPr>
        <w:t xml:space="preserve">Struktura izvršenih </w:t>
      </w:r>
      <w:r w:rsidR="0075731E" w:rsidRPr="003A2F86">
        <w:rPr>
          <w:rFonts w:ascii="Arial" w:hAnsi="Arial" w:cs="Arial"/>
          <w:sz w:val="18"/>
          <w:szCs w:val="18"/>
          <w:u w:val="single"/>
        </w:rPr>
        <w:t>rashoda za nabavu nefinancijske imovine (4)</w:t>
      </w:r>
      <w:r w:rsidR="0075731E" w:rsidRPr="003A2F86">
        <w:rPr>
          <w:rFonts w:ascii="Arial" w:hAnsi="Arial" w:cs="Arial"/>
          <w:sz w:val="18"/>
          <w:szCs w:val="18"/>
        </w:rPr>
        <w:t xml:space="preserve"> u razdoblju 2015.-20</w:t>
      </w:r>
      <w:r w:rsidR="009F024D" w:rsidRPr="003A2F86">
        <w:rPr>
          <w:rFonts w:ascii="Arial" w:hAnsi="Arial" w:cs="Arial"/>
          <w:sz w:val="18"/>
          <w:szCs w:val="18"/>
        </w:rPr>
        <w:t>2</w:t>
      </w:r>
      <w:r w:rsidR="0011058F">
        <w:rPr>
          <w:rFonts w:ascii="Arial" w:hAnsi="Arial" w:cs="Arial"/>
          <w:sz w:val="18"/>
          <w:szCs w:val="18"/>
        </w:rPr>
        <w:t>5</w:t>
      </w:r>
      <w:r w:rsidR="002F4132">
        <w:rPr>
          <w:rFonts w:ascii="Arial" w:hAnsi="Arial" w:cs="Arial"/>
          <w:sz w:val="18"/>
          <w:szCs w:val="18"/>
        </w:rPr>
        <w:t>.</w:t>
      </w:r>
      <w:r w:rsidR="004E5404" w:rsidRPr="003A2F86">
        <w:rPr>
          <w:rFonts w:ascii="Arial" w:hAnsi="Arial" w:cs="Arial"/>
          <w:sz w:val="18"/>
          <w:szCs w:val="18"/>
        </w:rPr>
        <w:t xml:space="preserve"> </w:t>
      </w:r>
      <w:r w:rsidR="00E97058" w:rsidRPr="003A2F86">
        <w:rPr>
          <w:rFonts w:ascii="Arial" w:hAnsi="Arial" w:cs="Arial"/>
          <w:sz w:val="18"/>
          <w:szCs w:val="18"/>
        </w:rPr>
        <w:t>(</w:t>
      </w:r>
      <w:r w:rsidR="00E26DDB" w:rsidRPr="003A2F86">
        <w:rPr>
          <w:rFonts w:ascii="Arial" w:hAnsi="Arial" w:cs="Arial"/>
          <w:sz w:val="18"/>
          <w:szCs w:val="18"/>
        </w:rPr>
        <w:t>€)</w:t>
      </w:r>
      <w:r w:rsidR="0075731E" w:rsidRPr="003A2F86">
        <w:rPr>
          <w:rFonts w:ascii="Arial" w:hAnsi="Arial" w:cs="Arial"/>
          <w:sz w:val="18"/>
          <w:szCs w:val="18"/>
        </w:rPr>
        <w:t>:</w:t>
      </w:r>
      <w:r w:rsidR="006A7B7F" w:rsidRPr="003A2F86">
        <w:rPr>
          <w:rFonts w:ascii="Arial" w:hAnsi="Arial" w:cs="Arial"/>
          <w:sz w:val="18"/>
          <w:szCs w:val="18"/>
        </w:rPr>
        <w:t xml:space="preserve"> </w:t>
      </w:r>
      <w:r w:rsidR="0075731E" w:rsidRPr="00260628">
        <w:rPr>
          <w:rFonts w:ascii="Arial" w:hAnsi="Arial" w:cs="Arial"/>
          <w:color w:val="1F497D" w:themeColor="text2"/>
          <w:sz w:val="18"/>
          <w:szCs w:val="18"/>
        </w:rPr>
        <w:t xml:space="preserve">Općina </w:t>
      </w:r>
      <w:r w:rsidR="0075731E" w:rsidRPr="003A2F86">
        <w:rPr>
          <w:rFonts w:ascii="Arial" w:hAnsi="Arial" w:cs="Arial"/>
          <w:sz w:val="18"/>
          <w:szCs w:val="18"/>
        </w:rPr>
        <w:t xml:space="preserve">i </w:t>
      </w:r>
      <w:r w:rsidR="0097596B" w:rsidRPr="003A2F86">
        <w:rPr>
          <w:rFonts w:ascii="Arial" w:hAnsi="Arial" w:cs="Arial"/>
          <w:sz w:val="18"/>
          <w:szCs w:val="18"/>
        </w:rPr>
        <w:t xml:space="preserve">zbirno </w:t>
      </w:r>
      <w:r w:rsidR="0075731E" w:rsidRPr="00260628">
        <w:rPr>
          <w:rFonts w:ascii="Arial" w:hAnsi="Arial" w:cs="Arial"/>
          <w:color w:val="943634" w:themeColor="accent2" w:themeShade="BF"/>
          <w:sz w:val="18"/>
          <w:szCs w:val="18"/>
        </w:rPr>
        <w:t>proračunski korisnici</w:t>
      </w:r>
      <w:r w:rsidR="0075731E" w:rsidRPr="00260628">
        <w:rPr>
          <w:rFonts w:ascii="Arial" w:hAnsi="Arial" w:cs="Arial"/>
          <w:color w:val="943634" w:themeColor="accent2" w:themeShade="BF"/>
        </w:rPr>
        <w:t xml:space="preserve"> </w:t>
      </w:r>
      <w:r w:rsidR="0075731E" w:rsidRPr="003A2F86">
        <w:rPr>
          <w:rFonts w:ascii="Arial" w:hAnsi="Arial" w:cs="Arial"/>
          <w:sz w:val="18"/>
          <w:szCs w:val="18"/>
        </w:rPr>
        <w:t>Općine</w:t>
      </w:r>
      <w:bookmarkEnd w:id="227"/>
      <w:r w:rsidR="0075731E" w:rsidRPr="003A2F86">
        <w:rPr>
          <w:rFonts w:ascii="Arial" w:hAnsi="Arial" w:cs="Arial"/>
        </w:rPr>
        <w:t xml:space="preserve"> </w:t>
      </w:r>
    </w:p>
    <w:p w14:paraId="2A95FAA4" w14:textId="56BD38D3" w:rsidR="00CF3FDD" w:rsidRPr="003A2F86" w:rsidRDefault="00CF3FDD"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14379E1F" w14:textId="16266A58" w:rsidR="00891119" w:rsidRPr="003A2F86" w:rsidRDefault="00B5484A" w:rsidP="00B5484A">
      <w:pPr>
        <w:pStyle w:val="Naslov4"/>
        <w:rPr>
          <w:rFonts w:ascii="Arial" w:hAnsi="Arial" w:cs="Arial"/>
          <w:lang w:val="hr-HR"/>
        </w:rPr>
      </w:pPr>
      <w:bookmarkStart w:id="228" w:name="_Toc232981402"/>
      <w:r w:rsidRPr="003A2F86">
        <w:rPr>
          <w:rFonts w:ascii="Arial" w:hAnsi="Arial" w:cs="Arial"/>
          <w:lang w:val="hr-HR"/>
        </w:rPr>
        <w:t>2.4.4.</w:t>
      </w:r>
      <w:r w:rsidR="00891119" w:rsidRPr="003A2F86">
        <w:rPr>
          <w:rFonts w:ascii="Arial" w:hAnsi="Arial" w:cs="Arial"/>
          <w:lang w:val="hr-HR"/>
        </w:rPr>
        <w:t xml:space="preserve">1. </w:t>
      </w:r>
      <w:r w:rsidR="00891119" w:rsidRPr="003A2F86">
        <w:rPr>
          <w:rFonts w:ascii="Arial" w:hAnsi="Arial" w:cs="Arial"/>
          <w:lang w:val="hr-HR"/>
        </w:rPr>
        <w:tab/>
        <w:t>Rashodi za nabavu neproizvedene dugotrajne imovine</w:t>
      </w:r>
      <w:r w:rsidRPr="003A2F86">
        <w:rPr>
          <w:rFonts w:ascii="Arial" w:hAnsi="Arial" w:cs="Arial"/>
          <w:lang w:val="hr-HR"/>
        </w:rPr>
        <w:t xml:space="preserve"> (41)</w:t>
      </w:r>
      <w:bookmarkEnd w:id="228"/>
    </w:p>
    <w:p w14:paraId="34B9C4E2" w14:textId="77777777"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2009477F" w14:textId="0B68C0B9" w:rsidR="004807FD" w:rsidRDefault="004807FD" w:rsidP="004807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4807FD">
        <w:rPr>
          <w:rFonts w:ascii="Arial" w:eastAsia="Times New Roman" w:hAnsi="Arial" w:cs="Arial"/>
        </w:rPr>
        <w:t>Rashodi za nabavu ne</w:t>
      </w:r>
      <w:r w:rsidRPr="004807FD">
        <w:rPr>
          <w:rFonts w:ascii="Arial" w:eastAsia="Times New Roman" w:hAnsi="Arial" w:cs="Arial"/>
          <w:iCs/>
        </w:rPr>
        <w:t>proizvedene dugotrajne imovine</w:t>
      </w:r>
      <w:r w:rsidRPr="004807FD">
        <w:rPr>
          <w:rFonts w:ascii="Arial" w:eastAsia="Times New Roman" w:hAnsi="Arial" w:cs="Arial"/>
        </w:rPr>
        <w:t xml:space="preserve"> </w:t>
      </w:r>
      <w:r w:rsidRPr="004807FD">
        <w:rPr>
          <w:rFonts w:ascii="Arial" w:eastAsia="Times New Roman" w:hAnsi="Arial" w:cs="Arial"/>
          <w:iCs/>
        </w:rPr>
        <w:t xml:space="preserve">(41) </w:t>
      </w:r>
      <w:r w:rsidRPr="004807FD">
        <w:rPr>
          <w:rFonts w:ascii="Arial" w:eastAsia="Times New Roman" w:hAnsi="Arial" w:cs="Arial"/>
        </w:rPr>
        <w:t>u izvještajnom razdoblju prethodne 202</w:t>
      </w:r>
      <w:r w:rsidR="00091D90">
        <w:rPr>
          <w:rFonts w:ascii="Arial" w:eastAsia="Times New Roman" w:hAnsi="Arial" w:cs="Arial"/>
        </w:rPr>
        <w:t>4</w:t>
      </w:r>
      <w:r w:rsidRPr="004807FD">
        <w:rPr>
          <w:rFonts w:ascii="Arial" w:eastAsia="Times New Roman" w:hAnsi="Arial" w:cs="Arial"/>
        </w:rPr>
        <w:t xml:space="preserve">. su bili izvršeni u iznosu </w:t>
      </w:r>
      <w:r w:rsidR="00091D90">
        <w:rPr>
          <w:rFonts w:ascii="Arial" w:eastAsia="Times New Roman" w:hAnsi="Arial" w:cs="Arial"/>
        </w:rPr>
        <w:t>25.000</w:t>
      </w:r>
      <w:r w:rsidRPr="004807FD">
        <w:rPr>
          <w:rFonts w:ascii="Arial" w:eastAsia="Times New Roman" w:hAnsi="Arial" w:cs="Arial"/>
        </w:rPr>
        <w:t xml:space="preserve"> € (</w:t>
      </w:r>
      <w:r w:rsidR="00091D90" w:rsidRPr="00091D90">
        <w:rPr>
          <w:rFonts w:ascii="Arial" w:eastAsia="Times New Roman" w:hAnsi="Arial" w:cs="Arial"/>
        </w:rPr>
        <w:t>nabav</w:t>
      </w:r>
      <w:r w:rsidR="00091D90">
        <w:rPr>
          <w:rFonts w:ascii="Arial" w:eastAsia="Times New Roman" w:hAnsi="Arial" w:cs="Arial"/>
        </w:rPr>
        <w:t>a</w:t>
      </w:r>
      <w:r w:rsidR="00091D90" w:rsidRPr="00091D90">
        <w:rPr>
          <w:rFonts w:ascii="Arial" w:eastAsia="Times New Roman" w:hAnsi="Arial" w:cs="Arial"/>
        </w:rPr>
        <w:t xml:space="preserve"> zemljišta za izgradnju boćarskog doma</w:t>
      </w:r>
      <w:r w:rsidRPr="004807FD">
        <w:rPr>
          <w:rFonts w:ascii="Arial" w:eastAsia="Times New Roman" w:hAnsi="Arial" w:cs="Arial"/>
        </w:rPr>
        <w:t xml:space="preserve">), dok </w:t>
      </w:r>
      <w:r w:rsidR="0011058F">
        <w:rPr>
          <w:rFonts w:ascii="Arial" w:eastAsia="Times New Roman" w:hAnsi="Arial" w:cs="Arial"/>
        </w:rPr>
        <w:t xml:space="preserve">su </w:t>
      </w:r>
      <w:r w:rsidRPr="004807FD">
        <w:rPr>
          <w:rFonts w:ascii="Arial" w:eastAsia="Times New Roman" w:hAnsi="Arial" w:cs="Arial"/>
        </w:rPr>
        <w:t xml:space="preserve">u </w:t>
      </w:r>
      <w:r w:rsidR="00C175AC">
        <w:rPr>
          <w:rFonts w:ascii="Arial" w:eastAsia="Times New Roman" w:hAnsi="Arial" w:cs="Arial"/>
        </w:rPr>
        <w:t>202</w:t>
      </w:r>
      <w:r w:rsidR="00091D90">
        <w:rPr>
          <w:rFonts w:ascii="Arial" w:eastAsia="Times New Roman" w:hAnsi="Arial" w:cs="Arial"/>
        </w:rPr>
        <w:t>5</w:t>
      </w:r>
      <w:r w:rsidR="00C175AC">
        <w:rPr>
          <w:rFonts w:ascii="Arial" w:eastAsia="Times New Roman" w:hAnsi="Arial" w:cs="Arial"/>
        </w:rPr>
        <w:t>.</w:t>
      </w:r>
      <w:r w:rsidRPr="004807FD">
        <w:rPr>
          <w:rFonts w:ascii="Arial" w:eastAsia="Times New Roman" w:hAnsi="Arial" w:cs="Arial"/>
        </w:rPr>
        <w:t xml:space="preserve"> godini izvršeni</w:t>
      </w:r>
      <w:r w:rsidR="0011058F">
        <w:rPr>
          <w:rFonts w:ascii="Arial" w:eastAsia="Times New Roman" w:hAnsi="Arial" w:cs="Arial"/>
        </w:rPr>
        <w:t xml:space="preserve"> u iznosu 569.430 €.</w:t>
      </w:r>
    </w:p>
    <w:p w14:paraId="20644202" w14:textId="77777777" w:rsidR="0011058F" w:rsidRPr="0015718D" w:rsidRDefault="0011058F" w:rsidP="0011058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r w:rsidRPr="0015718D">
        <w:rPr>
          <w:rFonts w:ascii="Arial" w:hAnsi="Arial" w:cs="Arial"/>
        </w:rPr>
        <w:t xml:space="preserve">Izvršeni rashodi u 2025. godini se odnose na evidentiranje čestica zemljišta koje nisu bile evidentirane u analitičkoj evidenciji 7.430 €, zemljište koje je zamijenjeno sa zračnom lukom u iznosu 458.000 €, te zemljište kupljeno za arheološka istraživanja u iznosu 104.000 €. </w:t>
      </w:r>
    </w:p>
    <w:p w14:paraId="2A0BC3D3" w14:textId="77777777" w:rsidR="0011058F" w:rsidRPr="004807FD" w:rsidRDefault="0011058F" w:rsidP="004807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p>
    <w:p w14:paraId="755C0E41" w14:textId="247ED9D1" w:rsidR="00891119" w:rsidRPr="003A2F86" w:rsidRDefault="00B5484A" w:rsidP="00B5484A">
      <w:pPr>
        <w:pStyle w:val="Naslov4"/>
        <w:rPr>
          <w:rFonts w:ascii="Arial" w:hAnsi="Arial" w:cs="Arial"/>
          <w:lang w:val="hr-HR"/>
        </w:rPr>
      </w:pPr>
      <w:bookmarkStart w:id="229" w:name="_Toc232981403"/>
      <w:r w:rsidRPr="003A2F86">
        <w:rPr>
          <w:rFonts w:ascii="Arial" w:hAnsi="Arial" w:cs="Arial"/>
          <w:lang w:val="hr-HR"/>
        </w:rPr>
        <w:t>2.4.4.</w:t>
      </w:r>
      <w:r w:rsidR="00891119" w:rsidRPr="003A2F86">
        <w:rPr>
          <w:rFonts w:ascii="Arial" w:hAnsi="Arial" w:cs="Arial"/>
          <w:lang w:val="hr-HR"/>
        </w:rPr>
        <w:t xml:space="preserve">2. </w:t>
      </w:r>
      <w:r w:rsidR="00891119" w:rsidRPr="003A2F86">
        <w:rPr>
          <w:rFonts w:ascii="Arial" w:hAnsi="Arial" w:cs="Arial"/>
          <w:lang w:val="hr-HR"/>
        </w:rPr>
        <w:tab/>
        <w:t>Rashodi za nabavu proizvedene dugotrajne imovine</w:t>
      </w:r>
      <w:r w:rsidRPr="003A2F86">
        <w:rPr>
          <w:rFonts w:ascii="Arial" w:hAnsi="Arial" w:cs="Arial"/>
          <w:lang w:val="hr-HR"/>
        </w:rPr>
        <w:t xml:space="preserve"> (42)</w:t>
      </w:r>
      <w:bookmarkEnd w:id="229"/>
    </w:p>
    <w:p w14:paraId="679BC44E" w14:textId="3C5C8278"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089E4F7F" w14:textId="1F228503" w:rsidR="004807FD" w:rsidRDefault="004807FD" w:rsidP="000E3F0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230" w:name="_Hlk230158070"/>
      <w:r w:rsidRPr="004807FD">
        <w:rPr>
          <w:rFonts w:ascii="Arial" w:eastAsia="Times New Roman" w:hAnsi="Arial" w:cs="Arial"/>
        </w:rPr>
        <w:t xml:space="preserve">Rashodi za nabavu </w:t>
      </w:r>
      <w:r w:rsidRPr="004807FD">
        <w:rPr>
          <w:rFonts w:ascii="Arial" w:eastAsia="Times New Roman" w:hAnsi="Arial" w:cs="Arial"/>
          <w:iCs/>
        </w:rPr>
        <w:t>proizvedene dugotrajne imovine</w:t>
      </w:r>
      <w:r w:rsidRPr="004807FD">
        <w:rPr>
          <w:rFonts w:ascii="Arial" w:eastAsia="Times New Roman" w:hAnsi="Arial" w:cs="Arial"/>
        </w:rPr>
        <w:t xml:space="preserve"> </w:t>
      </w:r>
      <w:r w:rsidRPr="004807FD">
        <w:rPr>
          <w:rFonts w:ascii="Arial" w:eastAsia="Times New Roman" w:hAnsi="Arial" w:cs="Arial"/>
          <w:iCs/>
        </w:rPr>
        <w:t>(</w:t>
      </w:r>
      <w:r w:rsidRPr="004807FD">
        <w:rPr>
          <w:rFonts w:ascii="Arial" w:eastAsia="Times New Roman" w:hAnsi="Arial" w:cs="Arial"/>
          <w:b/>
          <w:bCs/>
          <w:iCs/>
        </w:rPr>
        <w:t>42</w:t>
      </w:r>
      <w:r w:rsidRPr="004807FD">
        <w:rPr>
          <w:rFonts w:ascii="Arial" w:eastAsia="Times New Roman" w:hAnsi="Arial" w:cs="Arial"/>
          <w:iCs/>
        </w:rPr>
        <w:t>)</w:t>
      </w:r>
      <w:r w:rsidRPr="004807FD">
        <w:rPr>
          <w:rFonts w:ascii="Arial" w:eastAsia="Times New Roman" w:hAnsi="Arial" w:cs="Arial"/>
        </w:rPr>
        <w:t xml:space="preserve"> u 202</w:t>
      </w:r>
      <w:r w:rsidR="00091D90">
        <w:rPr>
          <w:rFonts w:ascii="Arial" w:eastAsia="Times New Roman" w:hAnsi="Arial" w:cs="Arial"/>
        </w:rPr>
        <w:t>5</w:t>
      </w:r>
      <w:r w:rsidRPr="004807FD">
        <w:rPr>
          <w:rFonts w:ascii="Arial" w:eastAsia="Times New Roman" w:hAnsi="Arial" w:cs="Arial"/>
        </w:rPr>
        <w:t xml:space="preserve">. godini iznose </w:t>
      </w:r>
      <w:r w:rsidR="00091D90">
        <w:rPr>
          <w:rFonts w:ascii="Arial" w:eastAsia="Times New Roman" w:hAnsi="Arial" w:cs="Arial"/>
        </w:rPr>
        <w:t>3</w:t>
      </w:r>
      <w:r w:rsidR="0011058F" w:rsidRPr="0011058F">
        <w:rPr>
          <w:rFonts w:ascii="Arial" w:eastAsia="Times New Roman" w:hAnsi="Arial" w:cs="Arial"/>
        </w:rPr>
        <w:t>11.056.664,90 € što je za 8.449.248,89 € ili 324% više nego prethodne godine. Izvršeni rashodi se odnose na ulaganja u građevinske objekte (421) u iznosu 9.460.084,59 €, rashode za opremu (422) u iznosu 715.372,04 €, rashodi za nabavu prijevoznih sredstava 480.430,47 €, rashode za umjetnička djela i ostale izložbene vrijednosti 22.680 €, te rashode za znanstvene radove i dokumentaciju (426 - projektna dokumentacija i računalni programi) u iznosu 378.097,80 €.</w:t>
      </w:r>
    </w:p>
    <w:p w14:paraId="0B4ECD8F" w14:textId="77777777" w:rsidR="0011058F" w:rsidRPr="00260628" w:rsidRDefault="0011058F" w:rsidP="000E3F0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p>
    <w:p w14:paraId="518EC76A" w14:textId="5CF97B5A" w:rsidR="00091D90" w:rsidRPr="00091D90" w:rsidRDefault="00091D90" w:rsidP="00091D9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r w:rsidRPr="00091D90">
        <w:rPr>
          <w:rFonts w:ascii="Arial" w:eastAsia="Times New Roman" w:hAnsi="Arial" w:cs="Arial"/>
          <w:sz w:val="18"/>
          <w:szCs w:val="18"/>
        </w:rPr>
        <w:t xml:space="preserve">Rashodi za nabavu </w:t>
      </w:r>
      <w:r w:rsidRPr="00091D90">
        <w:rPr>
          <w:rFonts w:ascii="Arial" w:eastAsia="Times New Roman" w:hAnsi="Arial" w:cs="Arial"/>
          <w:iCs/>
          <w:sz w:val="18"/>
          <w:szCs w:val="18"/>
        </w:rPr>
        <w:t>proizvedene dugotrajne imovine</w:t>
      </w:r>
      <w:r w:rsidRPr="00091D90">
        <w:rPr>
          <w:rFonts w:ascii="Arial" w:eastAsia="Times New Roman" w:hAnsi="Arial" w:cs="Arial"/>
          <w:sz w:val="18"/>
          <w:szCs w:val="18"/>
        </w:rPr>
        <w:t xml:space="preserve"> </w:t>
      </w:r>
      <w:r w:rsidRPr="00091D90">
        <w:rPr>
          <w:rFonts w:ascii="Arial" w:eastAsia="Times New Roman" w:hAnsi="Arial" w:cs="Arial"/>
          <w:iCs/>
          <w:sz w:val="18"/>
          <w:szCs w:val="18"/>
        </w:rPr>
        <w:t>(</w:t>
      </w:r>
      <w:r w:rsidRPr="00091D90">
        <w:rPr>
          <w:rFonts w:ascii="Arial" w:eastAsia="Times New Roman" w:hAnsi="Arial" w:cs="Arial"/>
          <w:b/>
          <w:bCs/>
          <w:iCs/>
          <w:sz w:val="18"/>
          <w:szCs w:val="18"/>
        </w:rPr>
        <w:t>42</w:t>
      </w:r>
      <w:r w:rsidRPr="00091D90">
        <w:rPr>
          <w:rFonts w:ascii="Arial" w:eastAsia="Times New Roman" w:hAnsi="Arial" w:cs="Arial"/>
          <w:iCs/>
          <w:sz w:val="18"/>
          <w:szCs w:val="18"/>
        </w:rPr>
        <w:t>)</w:t>
      </w:r>
      <w:r w:rsidRPr="00091D90">
        <w:rPr>
          <w:rFonts w:ascii="Arial" w:eastAsia="Times New Roman" w:hAnsi="Arial" w:cs="Arial"/>
          <w:sz w:val="18"/>
          <w:szCs w:val="18"/>
        </w:rPr>
        <w:t xml:space="preserve"> u </w:t>
      </w:r>
      <w:r w:rsidRPr="00091D90">
        <w:rPr>
          <w:rFonts w:ascii="Arial" w:eastAsia="Times New Roman" w:hAnsi="Arial" w:cs="Arial"/>
          <w:b/>
          <w:bCs/>
          <w:sz w:val="18"/>
          <w:szCs w:val="18"/>
          <w:u w:val="single"/>
        </w:rPr>
        <w:t>2024</w:t>
      </w:r>
      <w:r w:rsidRPr="00091D90">
        <w:rPr>
          <w:rFonts w:ascii="Arial" w:eastAsia="Times New Roman" w:hAnsi="Arial" w:cs="Arial"/>
          <w:sz w:val="18"/>
          <w:szCs w:val="18"/>
        </w:rPr>
        <w:t xml:space="preserve">. godini </w:t>
      </w:r>
      <w:r>
        <w:rPr>
          <w:rFonts w:ascii="Arial" w:eastAsia="Times New Roman" w:hAnsi="Arial" w:cs="Arial"/>
          <w:sz w:val="18"/>
          <w:szCs w:val="18"/>
        </w:rPr>
        <w:t>su iznosili</w:t>
      </w:r>
      <w:r w:rsidRPr="00091D90">
        <w:rPr>
          <w:rFonts w:ascii="Arial" w:eastAsia="Times New Roman" w:hAnsi="Arial" w:cs="Arial"/>
          <w:sz w:val="18"/>
          <w:szCs w:val="18"/>
        </w:rPr>
        <w:t xml:space="preserve"> 2.607.416,01 €</w:t>
      </w:r>
      <w:r>
        <w:rPr>
          <w:rFonts w:ascii="Arial" w:eastAsia="Times New Roman" w:hAnsi="Arial" w:cs="Arial"/>
          <w:sz w:val="18"/>
          <w:szCs w:val="18"/>
        </w:rPr>
        <w:t>, a odnosili su se na u</w:t>
      </w:r>
      <w:r w:rsidRPr="00091D90">
        <w:rPr>
          <w:rFonts w:ascii="Arial" w:eastAsia="Times New Roman" w:hAnsi="Arial" w:cs="Arial"/>
          <w:sz w:val="18"/>
          <w:szCs w:val="18"/>
        </w:rPr>
        <w:t xml:space="preserve">laganja u građevinske objekte (421) u iznosu 1.876.420,11 €, rashode za opremu (422) u iznosu 303.321,46 €, rashodi za nabavu prijevoznih sredstava 229.125 €, rashode za umjetnička djela i ostale izložbene vrijednosti 4.300 €, te rashode za znanstvene radove i dokumentaciju (426 - projektna dokumentacija i računalni programi) u iznosu 194.249,44 €. </w:t>
      </w:r>
    </w:p>
    <w:p w14:paraId="2CB908AE" w14:textId="77777777" w:rsidR="00091D90" w:rsidRPr="00260628" w:rsidRDefault="00091D90" w:rsidP="007F46F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18"/>
          <w:szCs w:val="18"/>
        </w:rPr>
      </w:pPr>
    </w:p>
    <w:p w14:paraId="5041CCB5" w14:textId="2D1F81CB" w:rsidR="00891119" w:rsidRPr="003A2F86"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color w:val="1F497D" w:themeColor="text2"/>
        </w:rPr>
      </w:pPr>
      <w:r w:rsidRPr="003A2F86">
        <w:rPr>
          <w:rFonts w:ascii="Arial" w:eastAsia="Times New Roman" w:hAnsi="Arial" w:cs="Arial"/>
          <w:color w:val="1F497D" w:themeColor="text2"/>
        </w:rPr>
        <w:t xml:space="preserve">U okviru ovih rashoda (42) na rashode općine </w:t>
      </w:r>
      <w:r w:rsidR="00091D90" w:rsidRPr="0011058F">
        <w:rPr>
          <w:rFonts w:ascii="Arial" w:eastAsia="Times New Roman" w:hAnsi="Arial" w:cs="Arial"/>
          <w:b/>
          <w:bCs/>
          <w:color w:val="1F497D" w:themeColor="text2"/>
        </w:rPr>
        <w:t>2025</w:t>
      </w:r>
      <w:r w:rsidR="00091D90">
        <w:rPr>
          <w:rFonts w:ascii="Arial" w:eastAsia="Times New Roman" w:hAnsi="Arial" w:cs="Arial"/>
          <w:color w:val="1F497D" w:themeColor="text2"/>
        </w:rPr>
        <w:t xml:space="preserve">. godine </w:t>
      </w:r>
      <w:r w:rsidRPr="003A2F86">
        <w:rPr>
          <w:rFonts w:ascii="Arial" w:eastAsia="Times New Roman" w:hAnsi="Arial" w:cs="Arial"/>
          <w:color w:val="1F497D" w:themeColor="text2"/>
        </w:rPr>
        <w:t xml:space="preserve">odnosi se </w:t>
      </w:r>
      <w:r w:rsidR="0011058F">
        <w:rPr>
          <w:rFonts w:ascii="Arial" w:eastAsia="Times New Roman" w:hAnsi="Arial" w:cs="Arial"/>
          <w:color w:val="1F497D" w:themeColor="text2"/>
        </w:rPr>
        <w:t>10.989.675,90</w:t>
      </w:r>
      <w:r w:rsidR="00215669" w:rsidRPr="003A2F86">
        <w:rPr>
          <w:rFonts w:ascii="Arial" w:eastAsia="Times New Roman" w:hAnsi="Arial" w:cs="Arial"/>
          <w:color w:val="1F497D" w:themeColor="text2"/>
        </w:rPr>
        <w:t xml:space="preserve"> €</w:t>
      </w:r>
      <w:r w:rsidRPr="003A2F86">
        <w:rPr>
          <w:rFonts w:ascii="Arial" w:eastAsia="Times New Roman" w:hAnsi="Arial" w:cs="Arial"/>
          <w:color w:val="1F497D" w:themeColor="text2"/>
        </w:rPr>
        <w:t xml:space="preserve">, a na rashode proračunskih korisnika </w:t>
      </w:r>
      <w:r w:rsidR="0011058F">
        <w:rPr>
          <w:rFonts w:ascii="Arial" w:eastAsia="Times New Roman" w:hAnsi="Arial" w:cs="Arial"/>
          <w:color w:val="1F497D" w:themeColor="text2"/>
        </w:rPr>
        <w:t>66.989</w:t>
      </w:r>
      <w:r w:rsidR="00215669" w:rsidRPr="003A2F86">
        <w:rPr>
          <w:rFonts w:ascii="Arial" w:eastAsia="Times New Roman" w:hAnsi="Arial" w:cs="Arial"/>
          <w:color w:val="1F497D" w:themeColor="text2"/>
        </w:rPr>
        <w:t xml:space="preserve"> €</w:t>
      </w:r>
      <w:r w:rsidRPr="003A2F86">
        <w:rPr>
          <w:rFonts w:ascii="Arial" w:eastAsia="Times New Roman" w:hAnsi="Arial" w:cs="Arial"/>
          <w:color w:val="1F497D" w:themeColor="text2"/>
        </w:rPr>
        <w:t xml:space="preserve">. </w:t>
      </w:r>
    </w:p>
    <w:p w14:paraId="692AB4B0" w14:textId="77777777" w:rsidR="00CF3FDD" w:rsidRDefault="00CF3FDD" w:rsidP="00E5147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5E0B61BD" w14:textId="07D59371" w:rsidR="00B32CDB" w:rsidRPr="00B32CDB" w:rsidRDefault="00B32CDB" w:rsidP="00B32CD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B32CDB">
        <w:rPr>
          <w:rFonts w:ascii="Arial" w:eastAsia="Times New Roman" w:hAnsi="Arial" w:cs="Arial"/>
          <w:b/>
          <w:bCs/>
        </w:rPr>
        <w:t>Rashodi Općine</w:t>
      </w:r>
      <w:r>
        <w:rPr>
          <w:rFonts w:ascii="Arial" w:eastAsia="Times New Roman" w:hAnsi="Arial" w:cs="Arial"/>
        </w:rPr>
        <w:t xml:space="preserve"> </w:t>
      </w:r>
      <w:r w:rsidRPr="00B32CDB">
        <w:rPr>
          <w:rFonts w:ascii="Arial" w:eastAsia="Times New Roman" w:hAnsi="Arial" w:cs="Arial"/>
        </w:rPr>
        <w:t xml:space="preserve">za nabavu </w:t>
      </w:r>
      <w:r w:rsidRPr="00B32CDB">
        <w:rPr>
          <w:rFonts w:ascii="Arial" w:eastAsia="Times New Roman" w:hAnsi="Arial" w:cs="Arial"/>
          <w:iCs/>
        </w:rPr>
        <w:t>proizvedene dugotrajne imovine</w:t>
      </w:r>
      <w:r w:rsidRPr="00B32CDB">
        <w:rPr>
          <w:rFonts w:ascii="Arial" w:eastAsia="Times New Roman" w:hAnsi="Arial" w:cs="Arial"/>
        </w:rPr>
        <w:t xml:space="preserve"> </w:t>
      </w:r>
      <w:r w:rsidRPr="00B32CDB">
        <w:rPr>
          <w:rFonts w:ascii="Arial" w:eastAsia="Times New Roman" w:hAnsi="Arial" w:cs="Arial"/>
          <w:iCs/>
        </w:rPr>
        <w:t>(42)</w:t>
      </w:r>
      <w:r w:rsidRPr="00B32CDB">
        <w:rPr>
          <w:rFonts w:ascii="Arial" w:eastAsia="Times New Roman" w:hAnsi="Arial" w:cs="Arial"/>
        </w:rPr>
        <w:t xml:space="preserve"> u 202</w:t>
      </w:r>
      <w:r w:rsidR="00091D90">
        <w:rPr>
          <w:rFonts w:ascii="Arial" w:eastAsia="Times New Roman" w:hAnsi="Arial" w:cs="Arial"/>
        </w:rPr>
        <w:t>5</w:t>
      </w:r>
      <w:r w:rsidRPr="00B32CDB">
        <w:rPr>
          <w:rFonts w:ascii="Arial" w:eastAsia="Times New Roman" w:hAnsi="Arial" w:cs="Arial"/>
        </w:rPr>
        <w:t xml:space="preserve">. godini iznose </w:t>
      </w:r>
      <w:r w:rsidR="00AA7CCC">
        <w:rPr>
          <w:rFonts w:ascii="Arial" w:eastAsia="Times New Roman" w:hAnsi="Arial" w:cs="Arial"/>
        </w:rPr>
        <w:t>10.989.675,90</w:t>
      </w:r>
      <w:r w:rsidRPr="00B32CDB">
        <w:rPr>
          <w:rFonts w:ascii="Arial" w:eastAsia="Times New Roman" w:hAnsi="Arial" w:cs="Arial"/>
        </w:rPr>
        <w:t xml:space="preserve"> €. </w:t>
      </w:r>
      <w:bookmarkStart w:id="231" w:name="_Hlk5487264"/>
      <w:r w:rsidR="00AA7CCC" w:rsidRPr="00AA7CCC">
        <w:rPr>
          <w:rFonts w:ascii="Arial" w:eastAsia="Times New Roman" w:hAnsi="Arial" w:cs="Arial"/>
        </w:rPr>
        <w:t>Izvršeni rashodi se odnose na ulaganja u građevinske objekte (421) u iznosu 9.460.084,59 €, rashode za opremu (422) u iznosu 671.380,54 €, rashodi za nabavu prijevoznih sredstava 480.430,47 €, te rashode za znanstvene radove i dokumentaciju (426 - projektna dokumentacija i računalni programi) u iznosu 377.780,30 €.</w:t>
      </w:r>
    </w:p>
    <w:bookmarkEnd w:id="231"/>
    <w:p w14:paraId="7AB1ED65" w14:textId="77777777" w:rsidR="00B32CDB" w:rsidRDefault="00B32CDB" w:rsidP="0026062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b/>
          <w:bCs/>
          <w:sz w:val="18"/>
          <w:szCs w:val="18"/>
        </w:rPr>
      </w:pPr>
    </w:p>
    <w:p w14:paraId="4F011933" w14:textId="44B6B031" w:rsidR="00B32CDB" w:rsidRPr="003A2F86" w:rsidRDefault="00B32CDB" w:rsidP="00C175A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r w:rsidRPr="003A2F86">
        <w:rPr>
          <w:rFonts w:ascii="Arial" w:eastAsia="Times New Roman" w:hAnsi="Arial" w:cs="Arial"/>
          <w:b/>
          <w:bCs/>
          <w:sz w:val="18"/>
          <w:szCs w:val="18"/>
        </w:rPr>
        <w:t>Rashodi Općine</w:t>
      </w:r>
      <w:r w:rsidRPr="003A2F86">
        <w:rPr>
          <w:rFonts w:ascii="Arial" w:eastAsia="Times New Roman" w:hAnsi="Arial" w:cs="Arial"/>
          <w:sz w:val="18"/>
          <w:szCs w:val="18"/>
        </w:rPr>
        <w:t xml:space="preserve"> za nabavu </w:t>
      </w:r>
      <w:r w:rsidRPr="003A2F86">
        <w:rPr>
          <w:rFonts w:ascii="Arial" w:eastAsia="Times New Roman" w:hAnsi="Arial" w:cs="Arial"/>
          <w:iCs/>
          <w:sz w:val="18"/>
          <w:szCs w:val="18"/>
        </w:rPr>
        <w:t>proizvedene dugotrajne imovine</w:t>
      </w:r>
      <w:r w:rsidRPr="003A2F86">
        <w:rPr>
          <w:rFonts w:ascii="Arial" w:eastAsia="Times New Roman" w:hAnsi="Arial" w:cs="Arial"/>
          <w:sz w:val="18"/>
          <w:szCs w:val="18"/>
        </w:rPr>
        <w:t xml:space="preserve"> </w:t>
      </w:r>
      <w:r w:rsidRPr="003A2F86">
        <w:rPr>
          <w:rFonts w:ascii="Arial" w:eastAsia="Times New Roman" w:hAnsi="Arial" w:cs="Arial"/>
          <w:iCs/>
          <w:sz w:val="18"/>
          <w:szCs w:val="18"/>
        </w:rPr>
        <w:t>(42)</w:t>
      </w:r>
      <w:r w:rsidRPr="003A2F86">
        <w:rPr>
          <w:rFonts w:ascii="Arial" w:eastAsia="Times New Roman" w:hAnsi="Arial" w:cs="Arial"/>
          <w:sz w:val="18"/>
          <w:szCs w:val="18"/>
        </w:rPr>
        <w:t xml:space="preserve"> sveukupno u 2021. bili izvršeni u iznosu 591.159,43 €, a u 2022. godini su iznosili 2.150.744,34 €, u 2023. godini </w:t>
      </w:r>
      <w:r w:rsidR="00091D90">
        <w:rPr>
          <w:rFonts w:ascii="Arial" w:eastAsia="Times New Roman" w:hAnsi="Arial" w:cs="Arial"/>
          <w:sz w:val="18"/>
          <w:szCs w:val="18"/>
        </w:rPr>
        <w:t>su</w:t>
      </w:r>
      <w:r w:rsidRPr="003A2F86">
        <w:rPr>
          <w:rFonts w:ascii="Arial" w:eastAsia="Times New Roman" w:hAnsi="Arial" w:cs="Arial"/>
          <w:sz w:val="18"/>
          <w:szCs w:val="18"/>
        </w:rPr>
        <w:t xml:space="preserve"> iznosili 513.067,77 €</w:t>
      </w:r>
      <w:r w:rsidR="00091D90">
        <w:rPr>
          <w:rFonts w:ascii="Arial" w:eastAsia="Times New Roman" w:hAnsi="Arial" w:cs="Arial"/>
          <w:sz w:val="18"/>
          <w:szCs w:val="18"/>
        </w:rPr>
        <w:t>, dok su u 2024. godini iznosili 2.497.233,70 €.</w:t>
      </w:r>
    </w:p>
    <w:p w14:paraId="44093B76" w14:textId="77777777" w:rsidR="00B32CDB" w:rsidRPr="00260628" w:rsidRDefault="00B32CDB" w:rsidP="00E5147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p>
    <w:p w14:paraId="2CCCB376" w14:textId="2D5474CC" w:rsidR="00936F31" w:rsidRPr="003A2F86" w:rsidRDefault="00936F31"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b/>
          <w:bCs/>
        </w:rPr>
        <w:t>Rashodi proračunskih korisnika</w:t>
      </w:r>
      <w:r w:rsidRPr="003A2F86">
        <w:rPr>
          <w:rFonts w:ascii="Arial" w:eastAsia="Times New Roman" w:hAnsi="Arial" w:cs="Arial"/>
        </w:rPr>
        <w:t xml:space="preserve"> </w:t>
      </w:r>
      <w:r w:rsidR="006C140A" w:rsidRPr="003A2F86">
        <w:rPr>
          <w:rFonts w:ascii="Arial" w:eastAsia="Times New Roman" w:hAnsi="Arial" w:cs="Arial"/>
        </w:rPr>
        <w:t>u 202</w:t>
      </w:r>
      <w:r w:rsidR="00A34118">
        <w:rPr>
          <w:rFonts w:ascii="Arial" w:eastAsia="Times New Roman" w:hAnsi="Arial" w:cs="Arial"/>
        </w:rPr>
        <w:t>5</w:t>
      </w:r>
      <w:r w:rsidR="006C140A" w:rsidRPr="003A2F86">
        <w:rPr>
          <w:rFonts w:ascii="Arial" w:eastAsia="Times New Roman" w:hAnsi="Arial" w:cs="Arial"/>
        </w:rPr>
        <w:t xml:space="preserve">. godini za nabavu </w:t>
      </w:r>
      <w:r w:rsidR="00B15038" w:rsidRPr="003A2F86">
        <w:rPr>
          <w:rFonts w:ascii="Arial" w:eastAsia="Times New Roman" w:hAnsi="Arial" w:cs="Arial"/>
        </w:rPr>
        <w:t xml:space="preserve">proizvedene dugotrajne imovine (42) </w:t>
      </w:r>
      <w:r w:rsidRPr="003A2F86">
        <w:rPr>
          <w:rFonts w:ascii="Arial" w:eastAsia="Times New Roman" w:hAnsi="Arial" w:cs="Arial"/>
        </w:rPr>
        <w:t xml:space="preserve">se odnose na nabavu opreme (422) </w:t>
      </w:r>
      <w:r w:rsidR="00AA7CCC">
        <w:rPr>
          <w:rFonts w:ascii="Arial" w:eastAsia="Times New Roman" w:hAnsi="Arial" w:cs="Arial"/>
        </w:rPr>
        <w:t>66.989</w:t>
      </w:r>
      <w:r w:rsidR="00A34118">
        <w:rPr>
          <w:rFonts w:ascii="Arial" w:eastAsia="Times New Roman" w:hAnsi="Arial" w:cs="Arial"/>
        </w:rPr>
        <w:t>,00</w:t>
      </w:r>
      <w:r w:rsidR="006C140A" w:rsidRPr="003A2F86">
        <w:rPr>
          <w:rFonts w:ascii="Arial" w:eastAsia="Times New Roman" w:hAnsi="Arial" w:cs="Arial"/>
        </w:rPr>
        <w:t xml:space="preserve"> €</w:t>
      </w:r>
      <w:r w:rsidR="003332AB" w:rsidRPr="003A2F86">
        <w:rPr>
          <w:rFonts w:ascii="Arial" w:eastAsia="Times New Roman" w:hAnsi="Arial" w:cs="Arial"/>
        </w:rPr>
        <w:t>.</w:t>
      </w:r>
      <w:r w:rsidRPr="003A2F86">
        <w:rPr>
          <w:rFonts w:ascii="Arial" w:eastAsia="Times New Roman" w:hAnsi="Arial" w:cs="Arial"/>
        </w:rPr>
        <w:t xml:space="preserve"> </w:t>
      </w:r>
    </w:p>
    <w:p w14:paraId="039A9BE5" w14:textId="77777777" w:rsidR="006C140A" w:rsidRPr="003A2F86" w:rsidRDefault="006C140A" w:rsidP="00B54FE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bookmarkStart w:id="232" w:name="_Hlk5487381"/>
      <w:bookmarkStart w:id="233" w:name="_Hlk65517617"/>
    </w:p>
    <w:p w14:paraId="7BBBD75A" w14:textId="35D4F331" w:rsidR="00AA7CCC" w:rsidRPr="00AA7CCC" w:rsidRDefault="00B32CDB" w:rsidP="00AA7CC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B32CDB">
        <w:rPr>
          <w:rFonts w:ascii="Arial" w:eastAsia="Times New Roman" w:hAnsi="Arial" w:cs="Arial"/>
          <w:b/>
        </w:rPr>
        <w:t>Rashodi za građevinske objekte (</w:t>
      </w:r>
      <w:r w:rsidRPr="00B32CDB">
        <w:rPr>
          <w:rFonts w:ascii="Arial" w:eastAsia="Times New Roman" w:hAnsi="Arial" w:cs="Arial"/>
        </w:rPr>
        <w:t>421</w:t>
      </w:r>
      <w:r w:rsidRPr="00B32CDB">
        <w:rPr>
          <w:rFonts w:ascii="Arial" w:eastAsia="Times New Roman" w:hAnsi="Arial" w:cs="Arial"/>
          <w:b/>
        </w:rPr>
        <w:t xml:space="preserve">) </w:t>
      </w:r>
      <w:r w:rsidRPr="00B32CDB">
        <w:rPr>
          <w:rFonts w:ascii="Arial" w:eastAsia="Times New Roman" w:hAnsi="Arial" w:cs="Arial"/>
        </w:rPr>
        <w:t>u 202</w:t>
      </w:r>
      <w:r w:rsidR="00A34118">
        <w:rPr>
          <w:rFonts w:ascii="Arial" w:eastAsia="Times New Roman" w:hAnsi="Arial" w:cs="Arial"/>
        </w:rPr>
        <w:t>5</w:t>
      </w:r>
      <w:r w:rsidRPr="00B32CDB">
        <w:rPr>
          <w:rFonts w:ascii="Arial" w:eastAsia="Times New Roman" w:hAnsi="Arial" w:cs="Arial"/>
        </w:rPr>
        <w:t xml:space="preserve">. godini </w:t>
      </w:r>
      <w:r>
        <w:rPr>
          <w:rFonts w:ascii="Arial" w:eastAsia="Times New Roman" w:hAnsi="Arial" w:cs="Arial"/>
        </w:rPr>
        <w:t>iznose</w:t>
      </w:r>
      <w:r w:rsidRPr="00B32CDB">
        <w:rPr>
          <w:rFonts w:ascii="Arial" w:eastAsia="Times New Roman" w:hAnsi="Arial" w:cs="Arial"/>
        </w:rPr>
        <w:t xml:space="preserve"> </w:t>
      </w:r>
      <w:r w:rsidR="00AA7CCC" w:rsidRPr="00AA7CCC">
        <w:rPr>
          <w:rFonts w:ascii="Arial" w:eastAsia="Times New Roman" w:hAnsi="Arial" w:cs="Arial"/>
        </w:rPr>
        <w:t>9.460.084,59 € što je za 7.583.664,48 € ili 404,2% više u odnosu na prethodnu proračunsku godinu. Vrijednosno najznačajnija ulaganja se odnose na:</w:t>
      </w:r>
    </w:p>
    <w:p w14:paraId="70419832" w14:textId="77777777" w:rsidR="00AA7CCC" w:rsidRPr="00AA7CCC" w:rsidRDefault="00AA7CCC" w:rsidP="00AA7CC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234" w:name="_Hlk230350239"/>
      <w:r w:rsidRPr="00AA7CCC">
        <w:rPr>
          <w:rFonts w:ascii="Arial" w:eastAsia="Times New Roman" w:hAnsi="Arial" w:cs="Arial"/>
        </w:rPr>
        <w:t>- ulaganja u poslovne objekte (4212) u iznosu 8.158.414,89 € i to za gradnju nove osnovne škole u iznosu 8.065.188,75 €, radove na domovima kulture 27.125 €, te adaptaciju prostora za Centar za ruralni razvoj 66.101,14 €,</w:t>
      </w:r>
    </w:p>
    <w:p w14:paraId="1F78A3C9" w14:textId="77777777" w:rsidR="00AA7CCC" w:rsidRPr="00AA7CCC" w:rsidRDefault="00AA7CCC" w:rsidP="00AA7CC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AA7CCC">
        <w:rPr>
          <w:rFonts w:ascii="Arial" w:eastAsia="Times New Roman" w:hAnsi="Arial" w:cs="Arial"/>
        </w:rPr>
        <w:t xml:space="preserve">- ulaganja u ceste i ostale prometne objekte (4213) u iznosu 730.368,13 € koji se odnose na izgradnju lokalne ceste u okviru nove osnovne škole 243.577,26 €, parking na Grudi 184.807,51 €, radove na dovršetku parkinga u Tihoj u Cavtatu u iznosu 18.430 €, parking na Zvekovici 32.275,80 €, nogostup u Čilipima 153.479,84 €, izvođenje radova na uređenju prometnice i odvodnje u Cavtatu 97.797,72 €, </w:t>
      </w:r>
    </w:p>
    <w:p w14:paraId="791CAE6A" w14:textId="723025F7" w:rsidR="00B32CDB" w:rsidRDefault="00AA7CCC" w:rsidP="00AA7CC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AA7CCC">
        <w:rPr>
          <w:rFonts w:ascii="Arial" w:eastAsia="Times New Roman" w:hAnsi="Arial" w:cs="Arial"/>
        </w:rPr>
        <w:t>- ulaganja u ostale građevinske objekte (4214) u iznosu 571.301,57 € i to: postavljanje javne rasvjete 290.866,76 € na više lokacija, uređenje više dječjih igrališta  81.562,17 €, uređenje više sportskih igrališta 76.496,25 €, uređenje plaže 122.376,39 €.</w:t>
      </w:r>
    </w:p>
    <w:bookmarkEnd w:id="230"/>
    <w:bookmarkEnd w:id="234"/>
    <w:p w14:paraId="380AAC62" w14:textId="77777777" w:rsidR="00AA7CCC" w:rsidRPr="00B636A6" w:rsidRDefault="00AA7CCC" w:rsidP="00AA7CC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3E3EE924" w14:textId="77777777" w:rsidR="00A34118" w:rsidRPr="003A2F86" w:rsidRDefault="00A34118" w:rsidP="00A3411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hAnsi="Arial" w:cs="Arial"/>
          <w:sz w:val="18"/>
          <w:szCs w:val="18"/>
        </w:rPr>
      </w:pPr>
      <w:bookmarkStart w:id="235" w:name="_Hlk101790007"/>
      <w:r w:rsidRPr="003A2F86">
        <w:rPr>
          <w:rFonts w:ascii="Arial" w:hAnsi="Arial" w:cs="Arial"/>
          <w:b/>
          <w:sz w:val="18"/>
          <w:szCs w:val="18"/>
        </w:rPr>
        <w:t>Rashodi za građevinske objekte (</w:t>
      </w:r>
      <w:r w:rsidRPr="003A2F86">
        <w:rPr>
          <w:rFonts w:ascii="Arial" w:hAnsi="Arial" w:cs="Arial"/>
          <w:sz w:val="18"/>
          <w:szCs w:val="18"/>
        </w:rPr>
        <w:t>421</w:t>
      </w:r>
      <w:r w:rsidRPr="003A2F86">
        <w:rPr>
          <w:rFonts w:ascii="Arial" w:hAnsi="Arial" w:cs="Arial"/>
          <w:b/>
          <w:sz w:val="18"/>
          <w:szCs w:val="18"/>
        </w:rPr>
        <w:t xml:space="preserve">) </w:t>
      </w:r>
      <w:r w:rsidRPr="003A2F86">
        <w:rPr>
          <w:rFonts w:ascii="Arial" w:hAnsi="Arial" w:cs="Arial"/>
          <w:sz w:val="18"/>
          <w:szCs w:val="18"/>
        </w:rPr>
        <w:t xml:space="preserve">su u 2020. su bili izvršeni u iznosu 457.059,66 €, u 2021. u iznosu 591.159,33 €, u 2022. godini izvršeni u iznosu 1.518.730,29 €, u 2023. </w:t>
      </w:r>
      <w:r>
        <w:rPr>
          <w:rFonts w:ascii="Arial" w:hAnsi="Arial" w:cs="Arial"/>
          <w:sz w:val="18"/>
          <w:szCs w:val="18"/>
        </w:rPr>
        <w:t xml:space="preserve">su bili </w:t>
      </w:r>
      <w:r w:rsidRPr="003A2F86">
        <w:rPr>
          <w:rFonts w:ascii="Arial" w:hAnsi="Arial" w:cs="Arial"/>
          <w:sz w:val="18"/>
          <w:szCs w:val="18"/>
        </w:rPr>
        <w:t>izvršeni u iznosu 189.676,78 €</w:t>
      </w:r>
      <w:bookmarkEnd w:id="235"/>
      <w:r>
        <w:rPr>
          <w:rFonts w:ascii="Arial" w:hAnsi="Arial" w:cs="Arial"/>
          <w:sz w:val="18"/>
          <w:szCs w:val="18"/>
        </w:rPr>
        <w:t>, dok su u 2024. godini iznosili 1.876.420,11 €</w:t>
      </w:r>
    </w:p>
    <w:p w14:paraId="70A550A6" w14:textId="77777777" w:rsidR="00A34118" w:rsidRDefault="00A34118" w:rsidP="005A429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2C7ED6AD" w14:textId="4D2A2486" w:rsidR="00C175AC" w:rsidRDefault="00B32CDB" w:rsidP="0026062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236" w:name="_Hlk200541884"/>
      <w:r w:rsidRPr="00B32CDB">
        <w:rPr>
          <w:rFonts w:ascii="Arial" w:eastAsia="Times New Roman" w:hAnsi="Arial" w:cs="Arial"/>
          <w:b/>
        </w:rPr>
        <w:t>Rashodi za nabavu opreme (</w:t>
      </w:r>
      <w:r w:rsidRPr="00B32CDB">
        <w:rPr>
          <w:rFonts w:ascii="Arial" w:eastAsia="Times New Roman" w:hAnsi="Arial" w:cs="Arial"/>
        </w:rPr>
        <w:t>422</w:t>
      </w:r>
      <w:r w:rsidRPr="00B32CDB">
        <w:rPr>
          <w:rFonts w:ascii="Arial" w:eastAsia="Times New Roman" w:hAnsi="Arial" w:cs="Arial"/>
          <w:b/>
        </w:rPr>
        <w:t>)</w:t>
      </w:r>
      <w:r w:rsidRPr="00B32CDB">
        <w:rPr>
          <w:rFonts w:ascii="Arial" w:eastAsia="Times New Roman" w:hAnsi="Arial" w:cs="Arial"/>
        </w:rPr>
        <w:t xml:space="preserve"> </w:t>
      </w:r>
      <w:r w:rsidR="00B636A6">
        <w:rPr>
          <w:rFonts w:ascii="Arial" w:eastAsia="Times New Roman" w:hAnsi="Arial" w:cs="Arial"/>
        </w:rPr>
        <w:t>u 2025</w:t>
      </w:r>
      <w:bookmarkStart w:id="237" w:name="_Hlk207635820"/>
      <w:r w:rsidR="00B636A6">
        <w:rPr>
          <w:rFonts w:ascii="Arial" w:eastAsia="Times New Roman" w:hAnsi="Arial" w:cs="Arial"/>
        </w:rPr>
        <w:t xml:space="preserve">. </w:t>
      </w:r>
      <w:r w:rsidRPr="00B32CDB">
        <w:rPr>
          <w:rFonts w:ascii="Arial" w:eastAsia="Times New Roman" w:hAnsi="Arial" w:cs="Arial"/>
        </w:rPr>
        <w:t xml:space="preserve">izvršeni su u iznosu </w:t>
      </w:r>
      <w:bookmarkStart w:id="238" w:name="_Hlk230350308"/>
      <w:bookmarkEnd w:id="236"/>
      <w:bookmarkEnd w:id="237"/>
      <w:r w:rsidR="00AA7CCC" w:rsidRPr="00AA7CCC">
        <w:rPr>
          <w:rFonts w:ascii="Arial" w:eastAsia="Times New Roman" w:hAnsi="Arial" w:cs="Arial"/>
        </w:rPr>
        <w:t>715.372,0</w:t>
      </w:r>
      <w:r w:rsidR="00DE3DB8">
        <w:rPr>
          <w:rFonts w:ascii="Arial" w:eastAsia="Times New Roman" w:hAnsi="Arial" w:cs="Arial"/>
        </w:rPr>
        <w:t>4</w:t>
      </w:r>
      <w:r w:rsidR="00AA7CCC" w:rsidRPr="00AA7CCC">
        <w:rPr>
          <w:rFonts w:ascii="Arial" w:eastAsia="Times New Roman" w:hAnsi="Arial" w:cs="Arial"/>
        </w:rPr>
        <w:t xml:space="preserve"> € što je za 412.050,58 € ili 135,8% više u odnosu na prethodnu godinu kada su ovi rashodi iznosili 303.321,46 €.</w:t>
      </w:r>
      <w:bookmarkEnd w:id="238"/>
      <w:r w:rsidR="00AA7CCC" w:rsidRPr="00AA7CCC">
        <w:rPr>
          <w:rFonts w:ascii="Arial" w:eastAsia="Times New Roman" w:hAnsi="Arial" w:cs="Arial"/>
        </w:rPr>
        <w:t xml:space="preserve"> U 2024. godini vrijednosno najznačajniji rashodi su se odnosili na nabavu komunalne opreme (razni kontejneri) 145.050 €, oprema za vanjsko vježbalište u Čilipima (projekt Workout) 22.412,50 €, opremanje ekološkog parka u Pridvorju 15.687,50 € i drugo.</w:t>
      </w:r>
    </w:p>
    <w:p w14:paraId="79CB91C0" w14:textId="77777777" w:rsidR="00AA7CCC" w:rsidRPr="00C175AC" w:rsidRDefault="00AA7CCC" w:rsidP="0026062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p>
    <w:p w14:paraId="2C819FDA" w14:textId="632C106B" w:rsidR="00B32CDB" w:rsidRPr="00C175AC" w:rsidRDefault="00B32CDB" w:rsidP="00C175A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r w:rsidRPr="00C175AC">
        <w:rPr>
          <w:rFonts w:ascii="Arial" w:eastAsia="Times New Roman" w:hAnsi="Arial" w:cs="Arial"/>
          <w:sz w:val="18"/>
          <w:szCs w:val="18"/>
        </w:rPr>
        <w:t>U 2023. godini vrijednosno najznačajniji rashodi</w:t>
      </w:r>
      <w:r w:rsidR="00C175AC">
        <w:rPr>
          <w:rFonts w:ascii="Arial" w:eastAsia="Times New Roman" w:hAnsi="Arial" w:cs="Arial"/>
          <w:sz w:val="18"/>
          <w:szCs w:val="18"/>
        </w:rPr>
        <w:t xml:space="preserve"> za nabavu opreme </w:t>
      </w:r>
      <w:r w:rsidRPr="00C175AC">
        <w:rPr>
          <w:rFonts w:ascii="Arial" w:eastAsia="Times New Roman" w:hAnsi="Arial" w:cs="Arial"/>
          <w:sz w:val="18"/>
          <w:szCs w:val="18"/>
        </w:rPr>
        <w:t>su se odnosili na nabavu komunalne opreme (mobilni kontejner i preša balirka) 50.687,50 €, kamera – sustav videonadzora parkiranja u blizini zračne luke 13.487,50 €, te oprema za dječja igrališta 14.535,46 €.</w:t>
      </w:r>
    </w:p>
    <w:p w14:paraId="680B2055" w14:textId="0218C36C" w:rsidR="00B636A6" w:rsidRPr="00B636A6" w:rsidRDefault="00B636A6" w:rsidP="00B636A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firstLine="567"/>
        <w:jc w:val="both"/>
        <w:rPr>
          <w:rFonts w:ascii="Arial" w:eastAsia="Times New Roman" w:hAnsi="Arial" w:cs="Arial"/>
          <w:sz w:val="18"/>
          <w:szCs w:val="18"/>
        </w:rPr>
      </w:pPr>
      <w:r>
        <w:rPr>
          <w:rFonts w:ascii="Arial" w:eastAsia="Times New Roman" w:hAnsi="Arial" w:cs="Arial"/>
          <w:b/>
          <w:sz w:val="18"/>
          <w:szCs w:val="18"/>
        </w:rPr>
        <w:t xml:space="preserve">U 2024. </w:t>
      </w:r>
      <w:r w:rsidRPr="00B636A6">
        <w:rPr>
          <w:rFonts w:ascii="Arial" w:eastAsia="Times New Roman" w:hAnsi="Arial" w:cs="Arial"/>
          <w:bCs/>
          <w:sz w:val="18"/>
          <w:szCs w:val="18"/>
        </w:rPr>
        <w:t>rashodi za nabavu opreme</w:t>
      </w:r>
      <w:r w:rsidRPr="00B636A6">
        <w:rPr>
          <w:rFonts w:ascii="Arial" w:eastAsia="Times New Roman" w:hAnsi="Arial" w:cs="Arial"/>
          <w:b/>
          <w:sz w:val="18"/>
          <w:szCs w:val="18"/>
        </w:rPr>
        <w:t xml:space="preserve"> (</w:t>
      </w:r>
      <w:r w:rsidRPr="00B636A6">
        <w:rPr>
          <w:rFonts w:ascii="Arial" w:eastAsia="Times New Roman" w:hAnsi="Arial" w:cs="Arial"/>
          <w:sz w:val="18"/>
          <w:szCs w:val="18"/>
        </w:rPr>
        <w:t>422</w:t>
      </w:r>
      <w:r w:rsidRPr="00B636A6">
        <w:rPr>
          <w:rFonts w:ascii="Arial" w:eastAsia="Times New Roman" w:hAnsi="Arial" w:cs="Arial"/>
          <w:b/>
          <w:sz w:val="18"/>
          <w:szCs w:val="18"/>
        </w:rPr>
        <w:t>)</w:t>
      </w:r>
      <w:r w:rsidRPr="00B636A6">
        <w:rPr>
          <w:rFonts w:ascii="Arial" w:eastAsia="Times New Roman" w:hAnsi="Arial" w:cs="Arial"/>
          <w:sz w:val="18"/>
          <w:szCs w:val="18"/>
        </w:rPr>
        <w:t xml:space="preserve"> </w:t>
      </w:r>
      <w:r>
        <w:rPr>
          <w:rFonts w:ascii="Arial" w:eastAsia="Times New Roman" w:hAnsi="Arial" w:cs="Arial"/>
          <w:sz w:val="18"/>
          <w:szCs w:val="18"/>
        </w:rPr>
        <w:t>su iznosili</w:t>
      </w:r>
      <w:r w:rsidRPr="00B636A6">
        <w:rPr>
          <w:rFonts w:ascii="Arial" w:eastAsia="Times New Roman" w:hAnsi="Arial" w:cs="Arial"/>
          <w:sz w:val="18"/>
          <w:szCs w:val="18"/>
        </w:rPr>
        <w:t xml:space="preserve"> 303.321,46 €. </w:t>
      </w:r>
    </w:p>
    <w:p w14:paraId="03DE3814" w14:textId="77777777" w:rsidR="00B32CDB" w:rsidRPr="00C175AC" w:rsidRDefault="00B32CDB" w:rsidP="00B32CD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p>
    <w:p w14:paraId="7F1A0E7C" w14:textId="278C0E5B" w:rsidR="00B32CDB" w:rsidRPr="00B32CDB" w:rsidRDefault="00B32CDB" w:rsidP="00B32CD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color w:val="004E9A"/>
        </w:rPr>
      </w:pPr>
      <w:r w:rsidRPr="00B32CDB">
        <w:rPr>
          <w:rFonts w:ascii="Arial" w:eastAsia="Times New Roman" w:hAnsi="Arial" w:cs="Arial"/>
          <w:color w:val="004E9A"/>
        </w:rPr>
        <w:t>Rashodi Općine za nabavu opreme</w:t>
      </w:r>
      <w:r w:rsidR="00B636A6">
        <w:rPr>
          <w:rFonts w:ascii="Arial" w:eastAsia="Times New Roman" w:hAnsi="Arial" w:cs="Arial"/>
          <w:color w:val="004E9A"/>
        </w:rPr>
        <w:t xml:space="preserve"> u 2025.</w:t>
      </w:r>
      <w:r w:rsidRPr="00B32CDB">
        <w:rPr>
          <w:rFonts w:ascii="Arial" w:eastAsia="Times New Roman" w:hAnsi="Arial" w:cs="Arial"/>
          <w:color w:val="004E9A"/>
        </w:rPr>
        <w:t xml:space="preserve"> iznose </w:t>
      </w:r>
      <w:bookmarkStart w:id="239" w:name="_Hlk200541904"/>
      <w:r w:rsidR="00AA7CCC">
        <w:rPr>
          <w:rFonts w:ascii="Arial" w:eastAsia="Times New Roman" w:hAnsi="Arial" w:cs="Arial"/>
          <w:color w:val="004E9A"/>
        </w:rPr>
        <w:t>671.380,54</w:t>
      </w:r>
      <w:r w:rsidRPr="00B32CDB">
        <w:rPr>
          <w:rFonts w:ascii="Arial" w:eastAsia="Times New Roman" w:hAnsi="Arial" w:cs="Arial"/>
          <w:color w:val="004E9A"/>
        </w:rPr>
        <w:t xml:space="preserve"> </w:t>
      </w:r>
      <w:bookmarkEnd w:id="239"/>
      <w:r w:rsidRPr="00B32CDB">
        <w:rPr>
          <w:rFonts w:ascii="Arial" w:eastAsia="Times New Roman" w:hAnsi="Arial" w:cs="Arial"/>
          <w:color w:val="004E9A"/>
        </w:rPr>
        <w:t xml:space="preserve">€, a rashodi proračunskih korisnika iznose </w:t>
      </w:r>
      <w:bookmarkStart w:id="240" w:name="_Hlk200541911"/>
      <w:r w:rsidR="00AA7CCC">
        <w:rPr>
          <w:rFonts w:ascii="Arial" w:eastAsia="Times New Roman" w:hAnsi="Arial" w:cs="Arial"/>
          <w:color w:val="004E9A"/>
        </w:rPr>
        <w:t>43.991,50</w:t>
      </w:r>
      <w:r w:rsidRPr="00B32CDB">
        <w:rPr>
          <w:rFonts w:ascii="Arial" w:eastAsia="Times New Roman" w:hAnsi="Arial" w:cs="Arial"/>
          <w:color w:val="004E9A"/>
        </w:rPr>
        <w:t xml:space="preserve"> </w:t>
      </w:r>
      <w:bookmarkEnd w:id="240"/>
      <w:r w:rsidRPr="00B32CDB">
        <w:rPr>
          <w:rFonts w:ascii="Arial" w:eastAsia="Times New Roman" w:hAnsi="Arial" w:cs="Arial"/>
          <w:color w:val="004E9A"/>
        </w:rPr>
        <w:t>€.</w:t>
      </w:r>
    </w:p>
    <w:p w14:paraId="575804FE" w14:textId="77777777" w:rsidR="00B32CDB" w:rsidRPr="00A432E1" w:rsidRDefault="00B32CDB" w:rsidP="00A432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color w:val="EE0000"/>
          <w:lang w:eastAsia="en-US"/>
        </w:rPr>
      </w:pPr>
    </w:p>
    <w:p w14:paraId="5C75A776" w14:textId="295073B4" w:rsidR="00A432E1" w:rsidRPr="00880D4C" w:rsidRDefault="00A432E1" w:rsidP="00A432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bookmarkStart w:id="241" w:name="_Hlk230350409"/>
      <w:r w:rsidRPr="00880D4C">
        <w:rPr>
          <w:rFonts w:ascii="Arial" w:hAnsi="Arial" w:cs="Arial"/>
        </w:rPr>
        <w:t>U tekućoj godini rashodi Općine za nabavu opreme se najvećim dijelom odnose na nabavu opreme putem tri projekta koji se sufinanciraju EU sredstvima. U tekućoj godini rashodi za nabavu opreme odnose se na nabavu računalne opreme u iznosu 11.938,50 €, drug</w:t>
      </w:r>
      <w:r w:rsidR="00C91BE7">
        <w:rPr>
          <w:rFonts w:ascii="Arial" w:hAnsi="Arial" w:cs="Arial"/>
        </w:rPr>
        <w:t>og uredskog namještaja</w:t>
      </w:r>
      <w:r w:rsidRPr="00880D4C">
        <w:rPr>
          <w:rFonts w:ascii="Arial" w:hAnsi="Arial" w:cs="Arial"/>
        </w:rPr>
        <w:t xml:space="preserve"> 35.525,02 €, nabavu klima uređaja 6.193,90 €, nabavu projektor</w:t>
      </w:r>
      <w:r w:rsidR="00C91BE7">
        <w:rPr>
          <w:rFonts w:ascii="Arial" w:hAnsi="Arial" w:cs="Arial"/>
        </w:rPr>
        <w:t>a</w:t>
      </w:r>
      <w:r w:rsidRPr="00880D4C">
        <w:rPr>
          <w:rFonts w:ascii="Arial" w:hAnsi="Arial" w:cs="Arial"/>
        </w:rPr>
        <w:t xml:space="preserve"> i projekcijskog platna 1.525 €, nabavu laboratorijske opreme 111.234,28 € (projekt Waterlink – oprema za kontrolu kvalitete vode), nabavu mjernih i kontrolnih uređaja za kontrolu kvalitete ulja i kontrolu kvalitete vina, </w:t>
      </w:r>
      <w:bookmarkStart w:id="242" w:name="_Hlk230350844"/>
      <w:r w:rsidRPr="00880D4C">
        <w:rPr>
          <w:rFonts w:ascii="Arial" w:hAnsi="Arial" w:cs="Arial"/>
        </w:rPr>
        <w:t>oprema za mjerenje mutnoće i protoka vode</w:t>
      </w:r>
      <w:bookmarkEnd w:id="242"/>
      <w:r w:rsidRPr="00880D4C">
        <w:rPr>
          <w:rFonts w:ascii="Arial" w:hAnsi="Arial" w:cs="Arial"/>
        </w:rPr>
        <w:t xml:space="preserve"> (projekt Waterlink i projekt Crossmart) u iznosu 329.594,34 €, nabava pametnih </w:t>
      </w:r>
      <w:r>
        <w:rPr>
          <w:rFonts w:ascii="Arial" w:hAnsi="Arial" w:cs="Arial"/>
        </w:rPr>
        <w:t>lovki</w:t>
      </w:r>
      <w:r w:rsidRPr="00880D4C">
        <w:rPr>
          <w:rFonts w:ascii="Arial" w:hAnsi="Arial" w:cs="Arial"/>
        </w:rPr>
        <w:t xml:space="preserve"> za insekte 4.937,50 €, te opremanje radnog prostora u centru za ruralni razvoj (prostor za kontrolu kvalitete ulja i vina) u iznosu 13.597,50 €, opremanje dječjih igrališta 63.030 €, kamere za nadzor prometa 18.180 €, te polupodzemni spremnici za otpad 72.187,50 €.</w:t>
      </w:r>
    </w:p>
    <w:bookmarkEnd w:id="241"/>
    <w:p w14:paraId="28A64996" w14:textId="77777777" w:rsidR="00A432E1" w:rsidRPr="00880D4C" w:rsidRDefault="00A432E1" w:rsidP="00A432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rPr>
      </w:pPr>
    </w:p>
    <w:p w14:paraId="0E61D2AA" w14:textId="77777777" w:rsidR="00A432E1" w:rsidRPr="00BB0979" w:rsidRDefault="00A432E1" w:rsidP="00A432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bCs/>
        </w:rPr>
      </w:pPr>
      <w:r w:rsidRPr="00BB0979">
        <w:rPr>
          <w:rFonts w:ascii="Arial" w:hAnsi="Arial" w:cs="Arial"/>
          <w:bCs/>
        </w:rPr>
        <w:t>Rashodi proračunskih korisnika za nabavu opreme se odnose na opremanje dječjih skupina, kuhinje dječjeg vrtića i drugo.</w:t>
      </w:r>
    </w:p>
    <w:p w14:paraId="0776C3B5" w14:textId="77777777" w:rsidR="00940D3B" w:rsidRPr="00A432E1" w:rsidRDefault="00940D3B" w:rsidP="00A432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3DFD352A" w14:textId="20CB6FB1" w:rsidR="00F55B17" w:rsidRPr="00A432E1" w:rsidRDefault="00F55B17" w:rsidP="00C175A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bookmarkStart w:id="243" w:name="_Hlk176442320"/>
      <w:bookmarkEnd w:id="232"/>
      <w:r w:rsidRPr="00A432E1">
        <w:rPr>
          <w:rFonts w:ascii="Arial" w:eastAsia="Times New Roman" w:hAnsi="Arial" w:cs="Arial"/>
          <w:sz w:val="18"/>
          <w:szCs w:val="18"/>
        </w:rPr>
        <w:t xml:space="preserve">U </w:t>
      </w:r>
      <w:r w:rsidRPr="00A432E1">
        <w:rPr>
          <w:rFonts w:ascii="Arial" w:eastAsia="Times New Roman" w:hAnsi="Arial" w:cs="Arial"/>
          <w:b/>
          <w:bCs/>
          <w:sz w:val="18"/>
          <w:szCs w:val="18"/>
        </w:rPr>
        <w:t>2024</w:t>
      </w:r>
      <w:r w:rsidRPr="00A432E1">
        <w:rPr>
          <w:rFonts w:ascii="Arial" w:eastAsia="Times New Roman" w:hAnsi="Arial" w:cs="Arial"/>
          <w:sz w:val="18"/>
          <w:szCs w:val="18"/>
        </w:rPr>
        <w:t>. rashodi Općine za nabavu opreme su iznosili 221.939,22 € (od čega se dio odnosi na opremanje ekološkog parka u Pridvorju 15.687,5 € (trimer, agregat, traktorska kosilica, setovi stolova i klupa), traktorska kosilica za uređenje nogometnog igrališta 3.982,66 €, te komunalna oprema (kontejneri razni) 145.050,00 €, oprema za dječja igrališta 8.931,25 €, setovi stolova i klupa za rekreacijsku zonu na Obodu 4.125,00 €, oprema za vanjsko vježbalište u Čilipima (projekt Workout) 22.412,50 €, nabavu glazbene opreme 8.246,42 € (razglasna i druga oprema za kulturna događanja).</w:t>
      </w:r>
    </w:p>
    <w:bookmarkEnd w:id="243"/>
    <w:p w14:paraId="69D48492" w14:textId="77777777" w:rsidR="00F55B17" w:rsidRPr="00A432E1" w:rsidRDefault="00F55B17" w:rsidP="00B54FE6">
      <w:pPr>
        <w:tabs>
          <w:tab w:val="left" w:pos="5670"/>
        </w:tabs>
        <w:overflowPunct w:val="0"/>
        <w:autoSpaceDE w:val="0"/>
        <w:autoSpaceDN w:val="0"/>
        <w:adjustRightInd w:val="0"/>
        <w:spacing w:after="0" w:line="240" w:lineRule="auto"/>
        <w:jc w:val="both"/>
        <w:rPr>
          <w:rFonts w:ascii="Arial" w:eastAsia="Times New Roman" w:hAnsi="Arial" w:cs="Arial"/>
          <w:sz w:val="18"/>
          <w:szCs w:val="18"/>
        </w:rPr>
      </w:pPr>
    </w:p>
    <w:p w14:paraId="56331B10" w14:textId="77777777" w:rsidR="00A432E1" w:rsidRPr="00A432E1" w:rsidRDefault="00A432E1" w:rsidP="00A432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244" w:name="_Hlk191836028"/>
      <w:bookmarkStart w:id="245" w:name="_Hlk200542001"/>
      <w:r w:rsidRPr="00A432E1">
        <w:rPr>
          <w:rFonts w:ascii="Arial" w:eastAsia="Times New Roman" w:hAnsi="Arial" w:cs="Arial"/>
          <w:b/>
        </w:rPr>
        <w:t>Rashodi za prijevozna sredstva (</w:t>
      </w:r>
      <w:r w:rsidRPr="00A432E1">
        <w:rPr>
          <w:rFonts w:ascii="Arial" w:eastAsia="Times New Roman" w:hAnsi="Arial" w:cs="Arial"/>
        </w:rPr>
        <w:t>423</w:t>
      </w:r>
      <w:r w:rsidRPr="00A432E1">
        <w:rPr>
          <w:rFonts w:ascii="Arial" w:eastAsia="Times New Roman" w:hAnsi="Arial" w:cs="Arial"/>
          <w:b/>
        </w:rPr>
        <w:t>)</w:t>
      </w:r>
      <w:r w:rsidRPr="00A432E1">
        <w:rPr>
          <w:rFonts w:ascii="Arial" w:eastAsia="Times New Roman" w:hAnsi="Arial" w:cs="Arial"/>
        </w:rPr>
        <w:t xml:space="preserve"> prethodne godine su bili izvršeni u iznosu </w:t>
      </w:r>
      <w:bookmarkStart w:id="246" w:name="_Hlk230351531"/>
      <w:r w:rsidRPr="00A432E1">
        <w:rPr>
          <w:rFonts w:ascii="Arial" w:eastAsia="Times New Roman" w:hAnsi="Arial" w:cs="Arial"/>
        </w:rPr>
        <w:t xml:space="preserve">204.625 € </w:t>
      </w:r>
      <w:bookmarkEnd w:id="246"/>
      <w:r w:rsidRPr="00A432E1">
        <w:rPr>
          <w:rFonts w:ascii="Arial" w:eastAsia="Times New Roman" w:hAnsi="Arial" w:cs="Arial"/>
        </w:rPr>
        <w:t xml:space="preserve">(nabava rabljenog vozila za Općinu 11.500 € i nabava vatrogasnih auto ljestvi 193.125 €), dok su u tekućoj godini izvršeni u iznosu </w:t>
      </w:r>
      <w:bookmarkStart w:id="247" w:name="_Hlk230351557"/>
      <w:r w:rsidRPr="00A432E1">
        <w:rPr>
          <w:rFonts w:ascii="Arial" w:eastAsia="Times New Roman" w:hAnsi="Arial" w:cs="Arial"/>
        </w:rPr>
        <w:t xml:space="preserve">480.430,47 </w:t>
      </w:r>
      <w:bookmarkEnd w:id="247"/>
      <w:r w:rsidRPr="00A432E1">
        <w:rPr>
          <w:rFonts w:ascii="Arial" w:eastAsia="Times New Roman" w:hAnsi="Arial" w:cs="Arial"/>
        </w:rPr>
        <w:t>€. Izvršeni rashodi u tekućoj godini se odnose na:</w:t>
      </w:r>
    </w:p>
    <w:p w14:paraId="01A21B18" w14:textId="77777777" w:rsidR="00A432E1" w:rsidRPr="00A432E1" w:rsidRDefault="00A432E1">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bookmarkStart w:id="248" w:name="_Hlk230351570"/>
      <w:r w:rsidRPr="00A432E1">
        <w:rPr>
          <w:rFonts w:ascii="Arial" w:eastAsia="Times New Roman" w:hAnsi="Arial" w:cs="Arial"/>
        </w:rPr>
        <w:t>nabavu rabljenog vozila za Općinu u iznosu 3.500 €,</w:t>
      </w:r>
    </w:p>
    <w:p w14:paraId="42F618DF" w14:textId="77777777" w:rsidR="00A432E1" w:rsidRPr="00A432E1" w:rsidRDefault="00A432E1">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A432E1">
        <w:rPr>
          <w:rFonts w:ascii="Arial" w:eastAsia="Times New Roman" w:hAnsi="Arial" w:cs="Arial"/>
        </w:rPr>
        <w:t>nabavu teretnog vozila s kiperskim sandukom i dizalicom 272.333,75 € (sufinanciranje iz projekta To 0 waste),</w:t>
      </w:r>
    </w:p>
    <w:p w14:paraId="762502D8" w14:textId="77777777" w:rsidR="00A432E1" w:rsidRPr="00A432E1" w:rsidRDefault="00A432E1">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A432E1">
        <w:rPr>
          <w:rFonts w:ascii="Arial" w:eastAsia="Times New Roman" w:hAnsi="Arial" w:cs="Arial"/>
        </w:rPr>
        <w:t>nabavu specijaliziranog električnog komunalnog vozila u iznosu 141.875 € (sufinanciranje iz projekta To 0 waste),</w:t>
      </w:r>
    </w:p>
    <w:p w14:paraId="04EB09FD" w14:textId="77777777" w:rsidR="00A432E1" w:rsidRPr="00A432E1" w:rsidRDefault="00A432E1">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A432E1">
        <w:rPr>
          <w:rFonts w:ascii="Arial" w:eastAsia="Times New Roman" w:hAnsi="Arial" w:cs="Arial"/>
        </w:rPr>
        <w:t>nabavu vozila za terenski rad i obilazak crpnih stanica, te prikupljanje uzoraka za kontrolu kvalitete vode 49.762,72 € (sufinancirano iz projekt Waterlink),</w:t>
      </w:r>
    </w:p>
    <w:p w14:paraId="47EAE994" w14:textId="77777777" w:rsidR="00A432E1" w:rsidRPr="00A432E1" w:rsidRDefault="00A432E1">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A432E1">
        <w:rPr>
          <w:rFonts w:ascii="Arial" w:eastAsia="Times New Roman" w:hAnsi="Arial" w:cs="Arial"/>
        </w:rPr>
        <w:t xml:space="preserve"> nabava četverocikla za potrebe nogometnog kluba 6.595 €,</w:t>
      </w:r>
    </w:p>
    <w:p w14:paraId="1A0FB539" w14:textId="77777777" w:rsidR="00A432E1" w:rsidRPr="00A432E1" w:rsidRDefault="00A432E1">
      <w:pPr>
        <w:numPr>
          <w:ilvl w:val="0"/>
          <w:numId w:val="15"/>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A432E1">
        <w:rPr>
          <w:rFonts w:ascii="Arial" w:eastAsia="Times New Roman" w:hAnsi="Arial" w:cs="Arial"/>
        </w:rPr>
        <w:t>nabavu drona u iznosu 6.000 € (za nadzor i potrebe poljoprivrednika, projekt Crossmart).</w:t>
      </w:r>
    </w:p>
    <w:bookmarkEnd w:id="244"/>
    <w:bookmarkEnd w:id="248"/>
    <w:p w14:paraId="3D5BB088" w14:textId="77777777" w:rsidR="00940D3B" w:rsidRPr="00A432E1" w:rsidRDefault="00940D3B" w:rsidP="00B54FE6">
      <w:pPr>
        <w:tabs>
          <w:tab w:val="left" w:pos="5670"/>
        </w:tabs>
        <w:overflowPunct w:val="0"/>
        <w:autoSpaceDE w:val="0"/>
        <w:autoSpaceDN w:val="0"/>
        <w:adjustRightInd w:val="0"/>
        <w:spacing w:after="0" w:line="240" w:lineRule="auto"/>
        <w:jc w:val="both"/>
        <w:rPr>
          <w:rFonts w:ascii="Arial" w:eastAsia="Times New Roman" w:hAnsi="Arial" w:cs="Arial"/>
          <w:b/>
          <w:sz w:val="18"/>
          <w:szCs w:val="18"/>
        </w:rPr>
      </w:pPr>
    </w:p>
    <w:p w14:paraId="7245ED47" w14:textId="6E18029D" w:rsidR="000C5DE6" w:rsidRPr="00A432E1" w:rsidRDefault="00F55B17" w:rsidP="00C175A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bookmarkStart w:id="249" w:name="_Hlk145942485"/>
      <w:bookmarkEnd w:id="233"/>
      <w:bookmarkEnd w:id="245"/>
      <w:r w:rsidRPr="00A432E1">
        <w:rPr>
          <w:rFonts w:ascii="Arial" w:eastAsia="Times New Roman" w:hAnsi="Arial" w:cs="Arial"/>
          <w:sz w:val="18"/>
          <w:szCs w:val="18"/>
        </w:rPr>
        <w:lastRenderedPageBreak/>
        <w:t xml:space="preserve">U </w:t>
      </w:r>
      <w:r w:rsidRPr="00A432E1">
        <w:rPr>
          <w:rFonts w:ascii="Arial" w:eastAsia="Times New Roman" w:hAnsi="Arial" w:cs="Arial"/>
          <w:b/>
          <w:bCs/>
          <w:sz w:val="18"/>
          <w:szCs w:val="18"/>
        </w:rPr>
        <w:t>2024</w:t>
      </w:r>
      <w:r w:rsidRPr="00A432E1">
        <w:rPr>
          <w:rFonts w:ascii="Arial" w:eastAsia="Times New Roman" w:hAnsi="Arial" w:cs="Arial"/>
          <w:sz w:val="18"/>
          <w:szCs w:val="18"/>
        </w:rPr>
        <w:t xml:space="preserve">. godini </w:t>
      </w:r>
      <w:r w:rsidR="00C50A9B" w:rsidRPr="00A432E1">
        <w:rPr>
          <w:rFonts w:ascii="Arial" w:eastAsia="Times New Roman" w:hAnsi="Arial" w:cs="Arial"/>
          <w:sz w:val="18"/>
          <w:szCs w:val="18"/>
        </w:rPr>
        <w:t xml:space="preserve">su </w:t>
      </w:r>
      <w:r w:rsidRPr="00A432E1">
        <w:rPr>
          <w:rFonts w:ascii="Arial" w:eastAsia="Times New Roman" w:hAnsi="Arial" w:cs="Arial"/>
          <w:sz w:val="18"/>
          <w:szCs w:val="18"/>
        </w:rPr>
        <w:t xml:space="preserve">izvršeni </w:t>
      </w:r>
      <w:r w:rsidR="00E76F2C">
        <w:rPr>
          <w:rFonts w:ascii="Arial" w:eastAsia="Times New Roman" w:hAnsi="Arial" w:cs="Arial"/>
          <w:sz w:val="18"/>
          <w:szCs w:val="18"/>
        </w:rPr>
        <w:t xml:space="preserve">rashodi za nabavu prijevoznih sredstava </w:t>
      </w:r>
      <w:r w:rsidRPr="00A432E1">
        <w:rPr>
          <w:rFonts w:ascii="Arial" w:eastAsia="Times New Roman" w:hAnsi="Arial" w:cs="Arial"/>
          <w:sz w:val="18"/>
          <w:szCs w:val="18"/>
        </w:rPr>
        <w:t>u iznosu 229.125 €</w:t>
      </w:r>
      <w:r w:rsidR="00C50A9B" w:rsidRPr="00A432E1">
        <w:rPr>
          <w:rFonts w:ascii="Arial" w:eastAsia="Times New Roman" w:hAnsi="Arial" w:cs="Arial"/>
          <w:sz w:val="18"/>
          <w:szCs w:val="18"/>
        </w:rPr>
        <w:t xml:space="preserve"> (O</w:t>
      </w:r>
      <w:r w:rsidRPr="00A432E1">
        <w:rPr>
          <w:rFonts w:ascii="Arial" w:eastAsia="Times New Roman" w:hAnsi="Arial" w:cs="Arial"/>
          <w:sz w:val="18"/>
          <w:szCs w:val="18"/>
        </w:rPr>
        <w:t>pćin</w:t>
      </w:r>
      <w:r w:rsidR="00C50A9B" w:rsidRPr="00A432E1">
        <w:rPr>
          <w:rFonts w:ascii="Arial" w:eastAsia="Times New Roman" w:hAnsi="Arial" w:cs="Arial"/>
          <w:sz w:val="18"/>
          <w:szCs w:val="18"/>
        </w:rPr>
        <w:t>a</w:t>
      </w:r>
      <w:r w:rsidRPr="00A432E1">
        <w:rPr>
          <w:rFonts w:ascii="Arial" w:eastAsia="Times New Roman" w:hAnsi="Arial" w:cs="Arial"/>
          <w:sz w:val="18"/>
          <w:szCs w:val="18"/>
        </w:rPr>
        <w:t xml:space="preserve"> 204.625 € i dječji vrtić 24.500 €</w:t>
      </w:r>
      <w:r w:rsidR="00C50A9B" w:rsidRPr="00A432E1">
        <w:rPr>
          <w:rFonts w:ascii="Arial" w:eastAsia="Times New Roman" w:hAnsi="Arial" w:cs="Arial"/>
          <w:sz w:val="18"/>
          <w:szCs w:val="18"/>
        </w:rPr>
        <w:t>)</w:t>
      </w:r>
      <w:r w:rsidRPr="00A432E1">
        <w:rPr>
          <w:rFonts w:ascii="Arial" w:eastAsia="Times New Roman" w:hAnsi="Arial" w:cs="Arial"/>
          <w:sz w:val="18"/>
          <w:szCs w:val="18"/>
        </w:rPr>
        <w:t>. Općina je nabavila rabljeno vozilo 11.500 € i vatrogasne auto ljestv</w:t>
      </w:r>
      <w:r w:rsidR="00C50A9B" w:rsidRPr="00A432E1">
        <w:rPr>
          <w:rFonts w:ascii="Arial" w:eastAsia="Times New Roman" w:hAnsi="Arial" w:cs="Arial"/>
          <w:sz w:val="18"/>
          <w:szCs w:val="18"/>
        </w:rPr>
        <w:t>e</w:t>
      </w:r>
      <w:r w:rsidRPr="00A432E1">
        <w:rPr>
          <w:rFonts w:ascii="Arial" w:eastAsia="Times New Roman" w:hAnsi="Arial" w:cs="Arial"/>
          <w:sz w:val="18"/>
          <w:szCs w:val="18"/>
        </w:rPr>
        <w:t xml:space="preserve"> 193.125 € koje je prenijela bez naknade proračunskom korisniku Javnoj vatrogasnoj postrojbi.</w:t>
      </w:r>
    </w:p>
    <w:p w14:paraId="7FACAC48" w14:textId="77777777" w:rsidR="000C5DE6" w:rsidRPr="00991334" w:rsidRDefault="000C5DE6" w:rsidP="000C5DE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4"/>
          <w:szCs w:val="14"/>
        </w:rPr>
      </w:pPr>
    </w:p>
    <w:bookmarkEnd w:id="249"/>
    <w:p w14:paraId="47CACAC6" w14:textId="77777777" w:rsidR="00A432E1" w:rsidRPr="00A432E1" w:rsidRDefault="00A432E1" w:rsidP="00A432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A432E1">
        <w:rPr>
          <w:rFonts w:ascii="Arial" w:eastAsia="Times New Roman" w:hAnsi="Arial" w:cs="Arial"/>
          <w:b/>
        </w:rPr>
        <w:t>Rashodi za nabavu knjiga, umjetničkih dijela i ostalih izložbenih vrijednosti (</w:t>
      </w:r>
      <w:r w:rsidRPr="00A432E1">
        <w:rPr>
          <w:rFonts w:ascii="Arial" w:eastAsia="Times New Roman" w:hAnsi="Arial" w:cs="Arial"/>
        </w:rPr>
        <w:t xml:space="preserve">424) su izvršeni u iznosu 22.680 € što je za 18.380 € ili 427,4% više nego prethodne godine. Ovi rashodi se u cijelosti odnose na proračunskog korisnika (ustanova u kulturi, otkup izložbenih predmeta i kupnja slike Vlaha Bukovca). Prethodne godine ovi rashodi su iznosili 4.300 € (također ustanova u kulturi). </w:t>
      </w:r>
    </w:p>
    <w:p w14:paraId="31E917D3" w14:textId="77777777" w:rsidR="00A432E1" w:rsidRPr="00991334" w:rsidRDefault="00A432E1" w:rsidP="00A432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bookmarkStart w:id="250" w:name="_Hlk207636492"/>
    </w:p>
    <w:p w14:paraId="5643D3B7" w14:textId="77777777" w:rsidR="00A432E1" w:rsidRPr="00A432E1" w:rsidRDefault="00A432E1" w:rsidP="00A432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A432E1">
        <w:rPr>
          <w:rFonts w:ascii="Arial" w:eastAsia="Times New Roman" w:hAnsi="Arial" w:cs="Arial"/>
          <w:b/>
          <w:bCs/>
        </w:rPr>
        <w:t>Rashodi za nematerijalnu proizvedenu imovinu</w:t>
      </w:r>
      <w:r w:rsidRPr="00A432E1">
        <w:rPr>
          <w:rFonts w:ascii="Arial" w:eastAsia="Times New Roman" w:hAnsi="Arial" w:cs="Arial"/>
        </w:rPr>
        <w:t xml:space="preserve"> (426) su izvršeni u iznosu </w:t>
      </w:r>
      <w:bookmarkStart w:id="251" w:name="_Hlk230352114"/>
      <w:r w:rsidRPr="00A432E1">
        <w:rPr>
          <w:rFonts w:ascii="Arial" w:eastAsia="Times New Roman" w:hAnsi="Arial" w:cs="Arial"/>
        </w:rPr>
        <w:t xml:space="preserve">378.097,80 € što je za 183.848,36 € ili 94,6% više </w:t>
      </w:r>
      <w:bookmarkEnd w:id="251"/>
      <w:r w:rsidRPr="00A432E1">
        <w:rPr>
          <w:rFonts w:ascii="Arial" w:eastAsia="Times New Roman" w:hAnsi="Arial" w:cs="Arial"/>
        </w:rPr>
        <w:t>u odnosu na izvještajno razdoblje prethodne godine kada su ovi rashodi iznosili 194.249,44 €. Ovi rashodi se odnose na Općinu u iznosu 377.780,30 € i proračunskog korisnika (dom za stare i nemoćne osobe) u iznosu 317,50 € (program za kadrovsku evidenciju). Rashodi Općine se odnose na:</w:t>
      </w:r>
    </w:p>
    <w:p w14:paraId="031DFA10" w14:textId="77777777" w:rsidR="00A432E1" w:rsidRPr="00A432E1" w:rsidRDefault="00A432E1" w:rsidP="00E76F2C">
      <w:pPr>
        <w:numPr>
          <w:ilvl w:val="0"/>
          <w:numId w:val="5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hanging="567"/>
        <w:jc w:val="both"/>
        <w:rPr>
          <w:rFonts w:ascii="Arial" w:eastAsia="Times New Roman" w:hAnsi="Arial" w:cs="Arial"/>
        </w:rPr>
      </w:pPr>
      <w:bookmarkStart w:id="252" w:name="_Hlk5488416"/>
      <w:bookmarkStart w:id="253" w:name="_Hlk230352173"/>
      <w:r w:rsidRPr="00A432E1">
        <w:rPr>
          <w:rFonts w:ascii="Arial" w:eastAsia="Times New Roman" w:hAnsi="Arial" w:cs="Arial"/>
        </w:rPr>
        <w:t>izradu projektne dokumentacije (4263) i to:</w:t>
      </w:r>
    </w:p>
    <w:p w14:paraId="300EDE7A" w14:textId="77777777" w:rsidR="00A432E1" w:rsidRPr="00A432E1" w:rsidRDefault="00A432E1" w:rsidP="00E76F2C">
      <w:pPr>
        <w:numPr>
          <w:ilvl w:val="1"/>
          <w:numId w:val="5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hanging="720"/>
        <w:jc w:val="both"/>
        <w:rPr>
          <w:rFonts w:ascii="Arial" w:eastAsia="Times New Roman" w:hAnsi="Arial" w:cs="Arial"/>
        </w:rPr>
      </w:pPr>
      <w:r w:rsidRPr="00A432E1">
        <w:rPr>
          <w:rFonts w:ascii="Arial" w:eastAsia="Times New Roman" w:hAnsi="Arial" w:cs="Arial"/>
        </w:rPr>
        <w:t xml:space="preserve">izrada izmjena i dopuna </w:t>
      </w:r>
      <w:bookmarkStart w:id="254" w:name="_Hlk159999748"/>
      <w:r w:rsidRPr="00A432E1">
        <w:rPr>
          <w:rFonts w:ascii="Arial" w:eastAsia="Times New Roman" w:hAnsi="Arial" w:cs="Arial"/>
        </w:rPr>
        <w:t xml:space="preserve">urbanističkog plana u iznosu </w:t>
      </w:r>
      <w:bookmarkEnd w:id="254"/>
      <w:r w:rsidRPr="00A432E1">
        <w:rPr>
          <w:rFonts w:ascii="Arial" w:eastAsia="Times New Roman" w:hAnsi="Arial" w:cs="Arial"/>
        </w:rPr>
        <w:t xml:space="preserve">4.356,94 €, </w:t>
      </w:r>
    </w:p>
    <w:p w14:paraId="4579BDAC" w14:textId="4CA6B928" w:rsidR="00A432E1" w:rsidRPr="00A432E1" w:rsidRDefault="00A432E1" w:rsidP="00E76F2C">
      <w:pPr>
        <w:numPr>
          <w:ilvl w:val="1"/>
          <w:numId w:val="5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1134" w:hanging="414"/>
        <w:jc w:val="both"/>
        <w:rPr>
          <w:rFonts w:ascii="Arial" w:eastAsia="Times New Roman" w:hAnsi="Arial" w:cs="Arial"/>
        </w:rPr>
      </w:pPr>
      <w:r w:rsidRPr="00A432E1">
        <w:rPr>
          <w:rFonts w:ascii="Arial" w:eastAsia="Times New Roman" w:hAnsi="Arial" w:cs="Arial"/>
        </w:rPr>
        <w:t>izrad</w:t>
      </w:r>
      <w:r w:rsidR="00741DCF">
        <w:rPr>
          <w:rFonts w:ascii="Arial" w:eastAsia="Times New Roman" w:hAnsi="Arial" w:cs="Arial"/>
        </w:rPr>
        <w:t>a</w:t>
      </w:r>
      <w:r w:rsidRPr="00A432E1">
        <w:rPr>
          <w:rFonts w:ascii="Arial" w:eastAsia="Times New Roman" w:hAnsi="Arial" w:cs="Arial"/>
        </w:rPr>
        <w:t xml:space="preserve"> glavnog projekta za rekonstrukciju raskrižja na Prahivcu 12.875 €, projektne dokumentacije za uređenje prometnice i odvodnj</w:t>
      </w:r>
      <w:r w:rsidR="00991334">
        <w:rPr>
          <w:rFonts w:ascii="Arial" w:eastAsia="Times New Roman" w:hAnsi="Arial" w:cs="Arial"/>
        </w:rPr>
        <w:t>u</w:t>
      </w:r>
      <w:r w:rsidRPr="00A432E1">
        <w:rPr>
          <w:rFonts w:ascii="Arial" w:eastAsia="Times New Roman" w:hAnsi="Arial" w:cs="Arial"/>
        </w:rPr>
        <w:t xml:space="preserve"> u ulici Trumbićev put i Put dr. Ante Starčevića u Cavtatu 11.500 €, projektne dokumentacije za rekonstru</w:t>
      </w:r>
      <w:bookmarkStart w:id="255" w:name="_Hlk159999954"/>
      <w:r w:rsidRPr="00A432E1">
        <w:rPr>
          <w:rFonts w:ascii="Arial" w:eastAsia="Times New Roman" w:hAnsi="Arial" w:cs="Arial"/>
        </w:rPr>
        <w:t xml:space="preserve">kciju doma kulture i zgrade u Cavtatu 35.875 €, </w:t>
      </w:r>
    </w:p>
    <w:p w14:paraId="6A6E47AC" w14:textId="0ABED8D5" w:rsidR="00A432E1" w:rsidRPr="00A432E1" w:rsidRDefault="00A432E1" w:rsidP="00E76F2C">
      <w:pPr>
        <w:numPr>
          <w:ilvl w:val="1"/>
          <w:numId w:val="5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1134" w:hanging="414"/>
        <w:jc w:val="both"/>
        <w:rPr>
          <w:rFonts w:ascii="Arial" w:eastAsia="Times New Roman" w:hAnsi="Arial" w:cs="Arial"/>
        </w:rPr>
      </w:pPr>
      <w:r w:rsidRPr="00A432E1">
        <w:rPr>
          <w:rFonts w:ascii="Arial" w:eastAsia="Times New Roman" w:hAnsi="Arial" w:cs="Arial"/>
        </w:rPr>
        <w:t>izrad</w:t>
      </w:r>
      <w:r w:rsidR="00741DCF">
        <w:rPr>
          <w:rFonts w:ascii="Arial" w:eastAsia="Times New Roman" w:hAnsi="Arial" w:cs="Arial"/>
        </w:rPr>
        <w:t>a</w:t>
      </w:r>
      <w:r w:rsidRPr="00A432E1">
        <w:rPr>
          <w:rFonts w:ascii="Arial" w:eastAsia="Times New Roman" w:hAnsi="Arial" w:cs="Arial"/>
        </w:rPr>
        <w:t xml:space="preserve"> arhitektonskog projekta unutarnjeg uređenja i opremanja nove škole 84.768,75 € i druge dokumentacije za školu 2.544,25 €</w:t>
      </w:r>
      <w:r w:rsidR="003D5383">
        <w:rPr>
          <w:rFonts w:ascii="Arial" w:eastAsia="Times New Roman" w:hAnsi="Arial" w:cs="Arial"/>
        </w:rPr>
        <w:t>,</w:t>
      </w:r>
    </w:p>
    <w:p w14:paraId="23C089AC" w14:textId="17857CF7" w:rsidR="00A432E1" w:rsidRPr="00A432E1" w:rsidRDefault="00A432E1" w:rsidP="00E76F2C">
      <w:pPr>
        <w:numPr>
          <w:ilvl w:val="1"/>
          <w:numId w:val="5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hanging="720"/>
        <w:jc w:val="both"/>
        <w:rPr>
          <w:rFonts w:ascii="Arial" w:eastAsia="Times New Roman" w:hAnsi="Arial" w:cs="Arial"/>
        </w:rPr>
      </w:pPr>
      <w:r w:rsidRPr="00A432E1">
        <w:rPr>
          <w:rFonts w:ascii="Arial" w:eastAsia="Times New Roman" w:hAnsi="Arial" w:cs="Arial"/>
        </w:rPr>
        <w:t>izrad</w:t>
      </w:r>
      <w:r w:rsidR="00741DCF">
        <w:rPr>
          <w:rFonts w:ascii="Arial" w:eastAsia="Times New Roman" w:hAnsi="Arial" w:cs="Arial"/>
        </w:rPr>
        <w:t>a</w:t>
      </w:r>
      <w:r w:rsidRPr="00A432E1">
        <w:rPr>
          <w:rFonts w:ascii="Arial" w:eastAsia="Times New Roman" w:hAnsi="Arial" w:cs="Arial"/>
        </w:rPr>
        <w:t xml:space="preserve"> projektne dokumentacija za uređenje prilaza u buduću poslovnu zonu 13.137,50 €,</w:t>
      </w:r>
    </w:p>
    <w:p w14:paraId="2C6E4C73" w14:textId="68351C91" w:rsidR="00A432E1" w:rsidRPr="00A432E1" w:rsidRDefault="00A432E1" w:rsidP="00E76F2C">
      <w:pPr>
        <w:numPr>
          <w:ilvl w:val="1"/>
          <w:numId w:val="5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hanging="720"/>
        <w:jc w:val="both"/>
        <w:rPr>
          <w:rFonts w:ascii="Arial" w:eastAsia="Times New Roman" w:hAnsi="Arial" w:cs="Arial"/>
        </w:rPr>
      </w:pPr>
      <w:r w:rsidRPr="00A432E1">
        <w:rPr>
          <w:rFonts w:ascii="Arial" w:eastAsia="Times New Roman" w:hAnsi="Arial" w:cs="Arial"/>
        </w:rPr>
        <w:t>izrad</w:t>
      </w:r>
      <w:r w:rsidR="00741DCF">
        <w:rPr>
          <w:rFonts w:ascii="Arial" w:eastAsia="Times New Roman" w:hAnsi="Arial" w:cs="Arial"/>
        </w:rPr>
        <w:t>a</w:t>
      </w:r>
      <w:r w:rsidRPr="00A432E1">
        <w:rPr>
          <w:rFonts w:ascii="Arial" w:eastAsia="Times New Roman" w:hAnsi="Arial" w:cs="Arial"/>
        </w:rPr>
        <w:t xml:space="preserve"> projektne dokumentacije za uređenja javnih površina u Cavtatu 47.450 € (pretovarna zona, Ravnice, oko Mauzoleja, šetnica Rat),</w:t>
      </w:r>
    </w:p>
    <w:p w14:paraId="1E779DC3" w14:textId="02E4BA35" w:rsidR="00A432E1" w:rsidRPr="00A432E1" w:rsidRDefault="00A44C3D" w:rsidP="00E76F2C">
      <w:pPr>
        <w:numPr>
          <w:ilvl w:val="1"/>
          <w:numId w:val="5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hanging="720"/>
        <w:jc w:val="both"/>
        <w:rPr>
          <w:rFonts w:ascii="Arial" w:eastAsia="Times New Roman" w:hAnsi="Arial" w:cs="Arial"/>
        </w:rPr>
      </w:pPr>
      <w:r>
        <w:rPr>
          <w:rFonts w:ascii="Arial" w:eastAsia="Times New Roman" w:hAnsi="Arial" w:cs="Arial"/>
        </w:rPr>
        <w:t xml:space="preserve">projektna dokumentacija za </w:t>
      </w:r>
      <w:r w:rsidR="00A432E1" w:rsidRPr="00A432E1">
        <w:rPr>
          <w:rFonts w:ascii="Arial" w:eastAsia="Times New Roman" w:hAnsi="Arial" w:cs="Arial"/>
        </w:rPr>
        <w:t>raskrižje za pristup novoj osnovnoj školi 9.137,50 €,</w:t>
      </w:r>
    </w:p>
    <w:p w14:paraId="6DEC0E57" w14:textId="1058E9CE" w:rsidR="00A432E1" w:rsidRPr="00A432E1" w:rsidRDefault="00A44C3D" w:rsidP="00E76F2C">
      <w:pPr>
        <w:numPr>
          <w:ilvl w:val="1"/>
          <w:numId w:val="5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hanging="720"/>
        <w:jc w:val="both"/>
        <w:rPr>
          <w:rFonts w:ascii="Arial" w:eastAsia="Times New Roman" w:hAnsi="Arial" w:cs="Arial"/>
        </w:rPr>
      </w:pPr>
      <w:r>
        <w:rPr>
          <w:rFonts w:ascii="Arial" w:eastAsia="Times New Roman" w:hAnsi="Arial" w:cs="Arial"/>
        </w:rPr>
        <w:t xml:space="preserve">dokumentacija </w:t>
      </w:r>
      <w:r w:rsidR="00A432E1" w:rsidRPr="00A432E1">
        <w:rPr>
          <w:rFonts w:ascii="Arial" w:eastAsia="Times New Roman" w:hAnsi="Arial" w:cs="Arial"/>
        </w:rPr>
        <w:t>za uređenj</w:t>
      </w:r>
      <w:r>
        <w:rPr>
          <w:rFonts w:ascii="Arial" w:eastAsia="Times New Roman" w:hAnsi="Arial" w:cs="Arial"/>
        </w:rPr>
        <w:t>e</w:t>
      </w:r>
      <w:r w:rsidR="00A432E1" w:rsidRPr="00A432E1">
        <w:rPr>
          <w:rFonts w:ascii="Arial" w:eastAsia="Times New Roman" w:hAnsi="Arial" w:cs="Arial"/>
        </w:rPr>
        <w:t xml:space="preserve"> prilaza nogostupa uz županijsku cestu u Čilipima 15.175 €, nogostupa od Čilipa prema Zvekovici 9.900 €, </w:t>
      </w:r>
    </w:p>
    <w:p w14:paraId="13EF0AE8" w14:textId="77777777" w:rsidR="00A432E1" w:rsidRPr="00A432E1" w:rsidRDefault="00A432E1" w:rsidP="00E76F2C">
      <w:pPr>
        <w:numPr>
          <w:ilvl w:val="1"/>
          <w:numId w:val="5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hanging="720"/>
        <w:jc w:val="both"/>
        <w:rPr>
          <w:rFonts w:ascii="Arial" w:eastAsia="Times New Roman" w:hAnsi="Arial" w:cs="Arial"/>
        </w:rPr>
      </w:pPr>
      <w:r w:rsidRPr="00A432E1">
        <w:rPr>
          <w:rFonts w:ascii="Arial" w:eastAsia="Times New Roman" w:hAnsi="Arial" w:cs="Arial"/>
        </w:rPr>
        <w:t xml:space="preserve">projekt zelene tržnice na Grudi 22.250 €, </w:t>
      </w:r>
    </w:p>
    <w:bookmarkEnd w:id="252"/>
    <w:bookmarkEnd w:id="255"/>
    <w:p w14:paraId="54821DF4" w14:textId="77777777" w:rsidR="00A432E1" w:rsidRPr="00A432E1" w:rsidRDefault="00A432E1" w:rsidP="00E76F2C">
      <w:pPr>
        <w:numPr>
          <w:ilvl w:val="0"/>
          <w:numId w:val="5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hanging="720"/>
        <w:jc w:val="both"/>
        <w:rPr>
          <w:rFonts w:ascii="Arial" w:eastAsia="Times New Roman" w:hAnsi="Arial" w:cs="Arial"/>
        </w:rPr>
      </w:pPr>
      <w:r w:rsidRPr="00A432E1">
        <w:rPr>
          <w:rFonts w:ascii="Arial" w:eastAsia="Times New Roman" w:hAnsi="Arial" w:cs="Arial"/>
        </w:rPr>
        <w:t>ulaganje u računalne programe (4262) u iznosu 1.772,13 € (program kolanje i odobravanje računa, te aplikacija ugovori), te</w:t>
      </w:r>
    </w:p>
    <w:p w14:paraId="1EC3F1E9" w14:textId="77777777" w:rsidR="00A432E1" w:rsidRPr="00A432E1" w:rsidRDefault="00A432E1" w:rsidP="00E76F2C">
      <w:pPr>
        <w:numPr>
          <w:ilvl w:val="0"/>
          <w:numId w:val="5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hanging="567"/>
        <w:jc w:val="both"/>
        <w:rPr>
          <w:rFonts w:ascii="Arial" w:eastAsia="Times New Roman" w:hAnsi="Arial" w:cs="Arial"/>
        </w:rPr>
      </w:pPr>
      <w:r w:rsidRPr="00A432E1">
        <w:rPr>
          <w:rFonts w:ascii="Arial" w:eastAsia="Times New Roman" w:hAnsi="Arial" w:cs="Arial"/>
        </w:rPr>
        <w:t xml:space="preserve">ostalu nematerijalnu imovinu (4264) u iznosu 107.038,23 € (projektno tehnička dokumentacija za GIS sustav upravljanja neprihodovanom vodom 71.293,23 €, geodetsko snimanje i integraciju podataka u GIS sustav upravljanja vodom 19.745 €, te izradu projektno tehničke dokumentacije za izgradnju spojnog sjevovoda Pridvorje – Mihanići 16.000 € (sve u okviru projekta Waterlink). </w:t>
      </w:r>
    </w:p>
    <w:p w14:paraId="341A488E" w14:textId="77777777" w:rsidR="00B56ED2" w:rsidRPr="00A432E1" w:rsidRDefault="00B56ED2" w:rsidP="00C120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bCs/>
          <w:sz w:val="18"/>
          <w:szCs w:val="18"/>
        </w:rPr>
      </w:pPr>
    </w:p>
    <w:bookmarkEnd w:id="250"/>
    <w:bookmarkEnd w:id="253"/>
    <w:p w14:paraId="42641761" w14:textId="6EE436A3" w:rsidR="008C1A65" w:rsidRPr="00A432E1" w:rsidRDefault="00111106" w:rsidP="008C1A6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rPr>
      </w:pPr>
      <w:r w:rsidRPr="00A432E1">
        <w:rPr>
          <w:rFonts w:ascii="Arial" w:eastAsia="Times New Roman" w:hAnsi="Arial" w:cs="Arial"/>
          <w:b/>
          <w:bCs/>
          <w:sz w:val="18"/>
          <w:szCs w:val="18"/>
        </w:rPr>
        <w:t>Sveukupno</w:t>
      </w:r>
      <w:r w:rsidR="008C1A65" w:rsidRPr="00A432E1">
        <w:rPr>
          <w:rFonts w:ascii="Arial" w:eastAsia="Times New Roman" w:hAnsi="Arial" w:cs="Arial"/>
          <w:sz w:val="18"/>
          <w:szCs w:val="18"/>
        </w:rPr>
        <w:t xml:space="preserve"> </w:t>
      </w:r>
      <w:r w:rsidRPr="00A432E1">
        <w:rPr>
          <w:rFonts w:ascii="Arial" w:eastAsia="Times New Roman" w:hAnsi="Arial" w:cs="Arial"/>
          <w:sz w:val="18"/>
          <w:szCs w:val="18"/>
        </w:rPr>
        <w:t xml:space="preserve">u </w:t>
      </w:r>
      <w:r w:rsidRPr="00A432E1">
        <w:rPr>
          <w:rFonts w:ascii="Arial" w:eastAsia="Times New Roman" w:hAnsi="Arial" w:cs="Arial"/>
          <w:b/>
          <w:bCs/>
          <w:sz w:val="18"/>
          <w:szCs w:val="18"/>
          <w:u w:val="single"/>
        </w:rPr>
        <w:t>2024</w:t>
      </w:r>
      <w:r w:rsidRPr="00A432E1">
        <w:rPr>
          <w:rFonts w:ascii="Arial" w:eastAsia="Times New Roman" w:hAnsi="Arial" w:cs="Arial"/>
          <w:sz w:val="18"/>
          <w:szCs w:val="18"/>
        </w:rPr>
        <w:t xml:space="preserve">. rashodi za nematerijalnu proizvedenu imovinu (426) </w:t>
      </w:r>
      <w:r w:rsidR="008C1A65" w:rsidRPr="00A432E1">
        <w:rPr>
          <w:rFonts w:ascii="Arial" w:eastAsia="Times New Roman" w:hAnsi="Arial" w:cs="Arial"/>
          <w:sz w:val="18"/>
          <w:szCs w:val="18"/>
        </w:rPr>
        <w:t>su iznosili 194.249,44 € (u cijelosti Općina). Odnosili su se na izradu projektne dokumentacije (4263) i to:</w:t>
      </w:r>
      <w:r w:rsidR="00DD6C03" w:rsidRPr="00A432E1">
        <w:rPr>
          <w:rFonts w:ascii="Arial" w:eastAsia="Times New Roman" w:hAnsi="Arial" w:cs="Arial"/>
          <w:sz w:val="18"/>
          <w:szCs w:val="18"/>
        </w:rPr>
        <w:t xml:space="preserve"> </w:t>
      </w:r>
      <w:r w:rsidR="008C1A65" w:rsidRPr="00A432E1">
        <w:rPr>
          <w:rFonts w:ascii="Arial" w:eastAsia="Times New Roman" w:hAnsi="Arial" w:cs="Arial"/>
          <w:sz w:val="18"/>
          <w:szCs w:val="18"/>
        </w:rPr>
        <w:t xml:space="preserve">izrada izmjena i dopuna prostornog plana Općine, te izmjena i dopuna urbanističkog plana 20.895,51 €, </w:t>
      </w:r>
      <w:r w:rsidR="00DD6C03" w:rsidRPr="00A432E1">
        <w:rPr>
          <w:rFonts w:ascii="Arial" w:eastAsia="Times New Roman" w:hAnsi="Arial" w:cs="Arial"/>
          <w:sz w:val="18"/>
          <w:szCs w:val="18"/>
        </w:rPr>
        <w:t xml:space="preserve">projekt </w:t>
      </w:r>
      <w:r w:rsidR="008C1A65" w:rsidRPr="00A432E1">
        <w:rPr>
          <w:rFonts w:ascii="Arial" w:eastAsia="Times New Roman" w:hAnsi="Arial" w:cs="Arial"/>
          <w:sz w:val="18"/>
          <w:szCs w:val="18"/>
        </w:rPr>
        <w:t xml:space="preserve">uređenja prilaza nogostupa uz županijsku cestu u Čilipima 33.125 €, </w:t>
      </w:r>
      <w:r w:rsidR="00DD6C03" w:rsidRPr="00A432E1">
        <w:rPr>
          <w:rFonts w:ascii="Arial" w:eastAsia="Times New Roman" w:hAnsi="Arial" w:cs="Arial"/>
          <w:sz w:val="18"/>
          <w:szCs w:val="18"/>
        </w:rPr>
        <w:t xml:space="preserve">projekt </w:t>
      </w:r>
      <w:r w:rsidR="008C1A65" w:rsidRPr="00A432E1">
        <w:rPr>
          <w:rFonts w:ascii="Arial" w:eastAsia="Times New Roman" w:hAnsi="Arial" w:cs="Arial"/>
          <w:sz w:val="18"/>
          <w:szCs w:val="18"/>
        </w:rPr>
        <w:t>nogostupa od Čilipa prema Zvekovici 6.600 €,</w:t>
      </w:r>
      <w:r w:rsidR="00DD6C03" w:rsidRPr="00A432E1">
        <w:rPr>
          <w:rFonts w:ascii="Arial" w:eastAsia="Times New Roman" w:hAnsi="Arial" w:cs="Arial"/>
          <w:sz w:val="18"/>
          <w:szCs w:val="18"/>
        </w:rPr>
        <w:t xml:space="preserve"> projekt</w:t>
      </w:r>
      <w:r w:rsidR="008C1A65" w:rsidRPr="00A432E1">
        <w:rPr>
          <w:rFonts w:ascii="Arial" w:eastAsia="Times New Roman" w:hAnsi="Arial" w:cs="Arial"/>
          <w:sz w:val="18"/>
          <w:szCs w:val="18"/>
        </w:rPr>
        <w:t xml:space="preserve"> uređenj</w:t>
      </w:r>
      <w:r w:rsidR="00DD6C03" w:rsidRPr="00A432E1">
        <w:rPr>
          <w:rFonts w:ascii="Arial" w:eastAsia="Times New Roman" w:hAnsi="Arial" w:cs="Arial"/>
          <w:sz w:val="18"/>
          <w:szCs w:val="18"/>
        </w:rPr>
        <w:t>a</w:t>
      </w:r>
      <w:r w:rsidR="008C1A65" w:rsidRPr="00A432E1">
        <w:rPr>
          <w:rFonts w:ascii="Arial" w:eastAsia="Times New Roman" w:hAnsi="Arial" w:cs="Arial"/>
          <w:sz w:val="18"/>
          <w:szCs w:val="18"/>
        </w:rPr>
        <w:t xml:space="preserve"> i sanacij</w:t>
      </w:r>
      <w:r w:rsidR="00DD6C03" w:rsidRPr="00A432E1">
        <w:rPr>
          <w:rFonts w:ascii="Arial" w:eastAsia="Times New Roman" w:hAnsi="Arial" w:cs="Arial"/>
          <w:sz w:val="18"/>
          <w:szCs w:val="18"/>
        </w:rPr>
        <w:t>e</w:t>
      </w:r>
      <w:r w:rsidR="008C1A65" w:rsidRPr="00A432E1">
        <w:rPr>
          <w:rFonts w:ascii="Arial" w:eastAsia="Times New Roman" w:hAnsi="Arial" w:cs="Arial"/>
          <w:sz w:val="18"/>
          <w:szCs w:val="18"/>
        </w:rPr>
        <w:t xml:space="preserve"> ulice kneza Domagoja i Konavosku ulicu 32.275,00 €, </w:t>
      </w:r>
      <w:r w:rsidR="00DD6C03" w:rsidRPr="00A432E1">
        <w:rPr>
          <w:rFonts w:ascii="Arial" w:eastAsia="Times New Roman" w:hAnsi="Arial" w:cs="Arial"/>
          <w:sz w:val="18"/>
          <w:szCs w:val="18"/>
        </w:rPr>
        <w:t>projektna dokumentacija z</w:t>
      </w:r>
      <w:r w:rsidR="008C1A65" w:rsidRPr="00A432E1">
        <w:rPr>
          <w:rFonts w:ascii="Arial" w:eastAsia="Times New Roman" w:hAnsi="Arial" w:cs="Arial"/>
          <w:sz w:val="18"/>
          <w:szCs w:val="18"/>
        </w:rPr>
        <w:t xml:space="preserve">a ishođenje građevinske dozvole za rekonstrukcije kuće ex. Skvičalo u Pridvorju (kuća lijerice) u iznosu 24.375,00 €, </w:t>
      </w:r>
      <w:r w:rsidR="00DD6C03" w:rsidRPr="00A432E1">
        <w:rPr>
          <w:rFonts w:ascii="Arial" w:eastAsia="Times New Roman" w:hAnsi="Arial" w:cs="Arial"/>
          <w:sz w:val="18"/>
          <w:szCs w:val="18"/>
        </w:rPr>
        <w:t xml:space="preserve">dokumentacija za </w:t>
      </w:r>
      <w:r w:rsidR="008C1A65" w:rsidRPr="00A432E1">
        <w:rPr>
          <w:rFonts w:ascii="Arial" w:eastAsia="Times New Roman" w:hAnsi="Arial" w:cs="Arial"/>
          <w:sz w:val="18"/>
          <w:szCs w:val="18"/>
        </w:rPr>
        <w:t>prometnicu i oborinsku odvodnju u Cavtatu (Trumbićeva ulica i ulica dr.A.Starčevića) 14.125,00 €,</w:t>
      </w:r>
      <w:r w:rsidR="00DD6C03" w:rsidRPr="00A432E1">
        <w:rPr>
          <w:rFonts w:ascii="Arial" w:eastAsia="Times New Roman" w:hAnsi="Arial" w:cs="Arial"/>
          <w:sz w:val="18"/>
          <w:szCs w:val="18"/>
        </w:rPr>
        <w:t xml:space="preserve"> te projektna dokumentacija </w:t>
      </w:r>
      <w:r w:rsidR="008C1A65" w:rsidRPr="00A432E1">
        <w:rPr>
          <w:rFonts w:ascii="Arial" w:eastAsia="Times New Roman" w:hAnsi="Arial" w:cs="Arial"/>
          <w:sz w:val="18"/>
          <w:szCs w:val="18"/>
        </w:rPr>
        <w:t>za buduću osnovnu školu u Cavtatu 62.853,93 €.</w:t>
      </w:r>
    </w:p>
    <w:p w14:paraId="47BF1D1F" w14:textId="77777777" w:rsidR="00E76F2C" w:rsidRPr="00A432E1" w:rsidRDefault="00E76F2C"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18"/>
          <w:szCs w:val="18"/>
        </w:rPr>
      </w:pPr>
    </w:p>
    <w:p w14:paraId="788FF798" w14:textId="6A3BD830" w:rsidR="00891119" w:rsidRPr="00A432E1" w:rsidRDefault="00B5484A" w:rsidP="00B5484A">
      <w:pPr>
        <w:pStyle w:val="Naslov4"/>
        <w:rPr>
          <w:rFonts w:ascii="Arial" w:hAnsi="Arial" w:cs="Arial"/>
          <w:lang w:val="hr-HR"/>
        </w:rPr>
      </w:pPr>
      <w:bookmarkStart w:id="256" w:name="_Toc232981404"/>
      <w:r w:rsidRPr="00A432E1">
        <w:rPr>
          <w:rFonts w:ascii="Arial" w:hAnsi="Arial" w:cs="Arial"/>
          <w:lang w:val="hr-HR"/>
        </w:rPr>
        <w:t>2.4.4</w:t>
      </w:r>
      <w:r w:rsidR="00891119" w:rsidRPr="00A432E1">
        <w:rPr>
          <w:rFonts w:ascii="Arial" w:hAnsi="Arial" w:cs="Arial"/>
          <w:lang w:val="hr-HR"/>
        </w:rPr>
        <w:t xml:space="preserve">.3. </w:t>
      </w:r>
      <w:r w:rsidR="00891119" w:rsidRPr="00A432E1">
        <w:rPr>
          <w:rFonts w:ascii="Arial" w:hAnsi="Arial" w:cs="Arial"/>
          <w:lang w:val="hr-HR"/>
        </w:rPr>
        <w:tab/>
        <w:t>Rashodi za nabavu plemenitih metala i ostalih pohranjenih vrijednosti</w:t>
      </w:r>
      <w:r w:rsidRPr="00A432E1">
        <w:rPr>
          <w:rFonts w:ascii="Arial" w:hAnsi="Arial" w:cs="Arial"/>
          <w:lang w:val="hr-HR"/>
        </w:rPr>
        <w:t xml:space="preserve"> (43)</w:t>
      </w:r>
      <w:bookmarkEnd w:id="256"/>
    </w:p>
    <w:p w14:paraId="461A69C5" w14:textId="77777777" w:rsidR="00891119" w:rsidRPr="00991334"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20"/>
          <w:szCs w:val="20"/>
        </w:rPr>
      </w:pPr>
    </w:p>
    <w:p w14:paraId="45988428" w14:textId="4D841453" w:rsidR="0093429E" w:rsidRPr="00A432E1" w:rsidRDefault="0093429E" w:rsidP="0093429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iCs/>
        </w:rPr>
      </w:pPr>
      <w:r w:rsidRPr="00A432E1">
        <w:rPr>
          <w:rFonts w:ascii="Arial" w:eastAsia="Times New Roman" w:hAnsi="Arial" w:cs="Arial"/>
          <w:b/>
        </w:rPr>
        <w:t>Rashodi za nabavu plemenitih metala i ostalih pohranjenih vrijednosti</w:t>
      </w:r>
      <w:r w:rsidRPr="00A432E1">
        <w:rPr>
          <w:rFonts w:ascii="Arial" w:eastAsia="Times New Roman" w:hAnsi="Arial" w:cs="Arial"/>
        </w:rPr>
        <w:t xml:space="preserve"> (</w:t>
      </w:r>
      <w:r w:rsidRPr="00A432E1">
        <w:rPr>
          <w:rFonts w:ascii="Arial" w:eastAsia="Times New Roman" w:hAnsi="Arial" w:cs="Arial"/>
          <w:b/>
        </w:rPr>
        <w:t>43</w:t>
      </w:r>
      <w:r w:rsidRPr="00A432E1">
        <w:rPr>
          <w:rFonts w:ascii="Arial" w:eastAsia="Times New Roman" w:hAnsi="Arial" w:cs="Arial"/>
        </w:rPr>
        <w:t>) nisu izvršeni</w:t>
      </w:r>
      <w:r w:rsidR="00610703" w:rsidRPr="00A432E1">
        <w:rPr>
          <w:rFonts w:ascii="Arial" w:eastAsia="Times New Roman" w:hAnsi="Arial" w:cs="Arial"/>
        </w:rPr>
        <w:t>.</w:t>
      </w:r>
    </w:p>
    <w:p w14:paraId="1913E8EF" w14:textId="77777777" w:rsidR="00891119" w:rsidRPr="00A432E1"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p>
    <w:p w14:paraId="2BDBD49E" w14:textId="4099735F" w:rsidR="00891119" w:rsidRPr="00A432E1" w:rsidRDefault="00B5484A" w:rsidP="00B5484A">
      <w:pPr>
        <w:pStyle w:val="Naslov4"/>
        <w:rPr>
          <w:rFonts w:ascii="Arial" w:hAnsi="Arial" w:cs="Arial"/>
          <w:lang w:val="hr-HR"/>
        </w:rPr>
      </w:pPr>
      <w:bookmarkStart w:id="257" w:name="_Toc232981405"/>
      <w:r w:rsidRPr="00A432E1">
        <w:rPr>
          <w:rFonts w:ascii="Arial" w:hAnsi="Arial" w:cs="Arial"/>
          <w:lang w:val="hr-HR"/>
        </w:rPr>
        <w:t>2.4.4</w:t>
      </w:r>
      <w:r w:rsidR="00891119" w:rsidRPr="00A432E1">
        <w:rPr>
          <w:rFonts w:ascii="Arial" w:hAnsi="Arial" w:cs="Arial"/>
          <w:lang w:val="hr-HR"/>
        </w:rPr>
        <w:t xml:space="preserve">.4. </w:t>
      </w:r>
      <w:r w:rsidR="00891119" w:rsidRPr="00A432E1">
        <w:rPr>
          <w:rFonts w:ascii="Arial" w:hAnsi="Arial" w:cs="Arial"/>
          <w:lang w:val="hr-HR"/>
        </w:rPr>
        <w:tab/>
        <w:t>Rashodi za dodatna ulaganja na nefinancijskoj imovini</w:t>
      </w:r>
      <w:r w:rsidRPr="00A432E1">
        <w:rPr>
          <w:rFonts w:ascii="Arial" w:hAnsi="Arial" w:cs="Arial"/>
          <w:lang w:val="hr-HR"/>
        </w:rPr>
        <w:t xml:space="preserve"> (45)</w:t>
      </w:r>
      <w:bookmarkEnd w:id="257"/>
    </w:p>
    <w:p w14:paraId="2B78894A" w14:textId="77777777" w:rsidR="00891119" w:rsidRPr="00991334" w:rsidRDefault="00891119" w:rsidP="0089111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sz w:val="20"/>
          <w:szCs w:val="20"/>
        </w:rPr>
      </w:pPr>
    </w:p>
    <w:p w14:paraId="25D67686" w14:textId="00DE1256" w:rsidR="009C53D1" w:rsidRPr="00A432E1" w:rsidRDefault="00891119" w:rsidP="0094590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lang w:eastAsia="en-US"/>
        </w:rPr>
      </w:pPr>
      <w:r w:rsidRPr="00A432E1">
        <w:rPr>
          <w:rFonts w:ascii="Arial" w:eastAsia="Times New Roman" w:hAnsi="Arial" w:cs="Arial"/>
          <w:b/>
          <w:iCs/>
        </w:rPr>
        <w:t>Rashodi za dodatna ulaganja na nefinancijskoj imovini</w:t>
      </w:r>
      <w:r w:rsidRPr="00A432E1">
        <w:rPr>
          <w:rFonts w:ascii="Arial" w:eastAsia="Times New Roman" w:hAnsi="Arial" w:cs="Arial"/>
          <w:iCs/>
        </w:rPr>
        <w:t xml:space="preserve"> (</w:t>
      </w:r>
      <w:r w:rsidRPr="00A432E1">
        <w:rPr>
          <w:rFonts w:ascii="Arial" w:eastAsia="Times New Roman" w:hAnsi="Arial" w:cs="Arial"/>
          <w:b/>
          <w:iCs/>
        </w:rPr>
        <w:t>45</w:t>
      </w:r>
      <w:r w:rsidRPr="00A432E1">
        <w:rPr>
          <w:rFonts w:ascii="Arial" w:eastAsia="Times New Roman" w:hAnsi="Arial" w:cs="Arial"/>
          <w:iCs/>
        </w:rPr>
        <w:t xml:space="preserve">) nisu planirani niti izvršeni. </w:t>
      </w:r>
      <w:r w:rsidR="009C53D1" w:rsidRPr="00A432E1">
        <w:rPr>
          <w:rFonts w:ascii="Arial" w:eastAsia="Times New Roman" w:hAnsi="Arial" w:cs="Arial"/>
          <w:lang w:eastAsia="en-US"/>
        </w:rPr>
        <w:br w:type="page"/>
      </w:r>
    </w:p>
    <w:p w14:paraId="7996A75C" w14:textId="3235B64A" w:rsidR="004113C9" w:rsidRPr="003A2F86" w:rsidRDefault="002E304B" w:rsidP="002E304B">
      <w:pPr>
        <w:pStyle w:val="Naslov2"/>
        <w:jc w:val="center"/>
        <w:rPr>
          <w:rFonts w:ascii="Arial" w:eastAsia="Calibri" w:hAnsi="Arial" w:cs="Arial"/>
          <w:sz w:val="22"/>
          <w:szCs w:val="22"/>
          <w:lang w:val="hr-HR"/>
        </w:rPr>
      </w:pPr>
      <w:bookmarkStart w:id="258" w:name="_Toc232981406"/>
      <w:r w:rsidRPr="003A2F86">
        <w:rPr>
          <w:rFonts w:ascii="Arial" w:eastAsia="Calibri" w:hAnsi="Arial" w:cs="Arial"/>
          <w:sz w:val="22"/>
          <w:szCs w:val="22"/>
          <w:lang w:val="hr-HR"/>
        </w:rPr>
        <w:lastRenderedPageBreak/>
        <w:t xml:space="preserve">2.5. </w:t>
      </w:r>
      <w:r w:rsidR="008E02D0" w:rsidRPr="003A2F86">
        <w:rPr>
          <w:rFonts w:ascii="Arial" w:eastAsia="Calibri" w:hAnsi="Arial" w:cs="Arial"/>
          <w:sz w:val="22"/>
          <w:szCs w:val="22"/>
          <w:lang w:val="hr-HR"/>
        </w:rPr>
        <w:tab/>
      </w:r>
      <w:r w:rsidRPr="003A2F86">
        <w:rPr>
          <w:rFonts w:ascii="Arial" w:eastAsia="Calibri" w:hAnsi="Arial" w:cs="Arial"/>
          <w:sz w:val="22"/>
          <w:szCs w:val="22"/>
          <w:lang w:val="hr-HR"/>
        </w:rPr>
        <w:t>RAČUN FINANCIRANJA</w:t>
      </w:r>
      <w:bookmarkStart w:id="259" w:name="Račun_financiranja"/>
      <w:bookmarkEnd w:id="258"/>
      <w:bookmarkEnd w:id="259"/>
    </w:p>
    <w:p w14:paraId="709FA231" w14:textId="77777777" w:rsidR="002E304B" w:rsidRPr="003A2F86" w:rsidRDefault="002E304B" w:rsidP="004113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lang w:eastAsia="en-US"/>
        </w:rPr>
      </w:pPr>
    </w:p>
    <w:p w14:paraId="239F70E1" w14:textId="51EB4BAF" w:rsidR="004113C9" w:rsidRPr="003A2F86" w:rsidRDefault="004113C9" w:rsidP="00A840CD">
      <w:pPr>
        <w:pStyle w:val="Naslov3"/>
        <w:jc w:val="center"/>
        <w:rPr>
          <w:rFonts w:ascii="Arial" w:hAnsi="Arial" w:cs="Arial"/>
          <w:sz w:val="22"/>
          <w:szCs w:val="22"/>
          <w:lang w:val="hr-HR"/>
        </w:rPr>
      </w:pPr>
      <w:bookmarkStart w:id="260" w:name="_Toc232981407"/>
      <w:r w:rsidRPr="003A2F86">
        <w:rPr>
          <w:rFonts w:ascii="Arial" w:hAnsi="Arial" w:cs="Arial"/>
          <w:sz w:val="22"/>
          <w:szCs w:val="22"/>
          <w:lang w:val="hr-HR"/>
        </w:rPr>
        <w:t>2</w:t>
      </w:r>
      <w:r w:rsidR="002E304B" w:rsidRPr="003A2F86">
        <w:rPr>
          <w:rFonts w:ascii="Arial" w:hAnsi="Arial" w:cs="Arial"/>
          <w:sz w:val="22"/>
          <w:szCs w:val="22"/>
          <w:lang w:val="hr-HR"/>
        </w:rPr>
        <w:t>.5.</w:t>
      </w:r>
      <w:r w:rsidRPr="003A2F86">
        <w:rPr>
          <w:rFonts w:ascii="Arial" w:hAnsi="Arial" w:cs="Arial"/>
          <w:sz w:val="22"/>
          <w:szCs w:val="22"/>
          <w:lang w:val="hr-HR"/>
        </w:rPr>
        <w:t>1.</w:t>
      </w:r>
      <w:r w:rsidRPr="003A2F86">
        <w:rPr>
          <w:rFonts w:ascii="Arial" w:hAnsi="Arial" w:cs="Arial"/>
          <w:sz w:val="22"/>
          <w:szCs w:val="22"/>
          <w:lang w:val="hr-HR"/>
        </w:rPr>
        <w:tab/>
      </w:r>
      <w:r w:rsidRPr="003A2F86">
        <w:rPr>
          <w:rFonts w:ascii="Arial" w:hAnsi="Arial" w:cs="Arial"/>
          <w:sz w:val="22"/>
          <w:szCs w:val="22"/>
          <w:lang w:val="hr-HR"/>
        </w:rPr>
        <w:tab/>
      </w:r>
      <w:r w:rsidR="00E97058" w:rsidRPr="003A2F86">
        <w:rPr>
          <w:rFonts w:ascii="Arial" w:hAnsi="Arial" w:cs="Arial"/>
          <w:sz w:val="22"/>
          <w:szCs w:val="22"/>
          <w:lang w:val="hr-HR"/>
        </w:rPr>
        <w:t>PRIMICI OD FINANCIJSKE IMOVINE I ZADUŽIVANJA</w:t>
      </w:r>
      <w:r w:rsidR="00B5484A" w:rsidRPr="003A2F86">
        <w:rPr>
          <w:rFonts w:ascii="Arial" w:hAnsi="Arial" w:cs="Arial"/>
          <w:sz w:val="22"/>
          <w:szCs w:val="22"/>
          <w:lang w:val="hr-HR"/>
        </w:rPr>
        <w:t xml:space="preserve"> (8)</w:t>
      </w:r>
      <w:bookmarkEnd w:id="260"/>
    </w:p>
    <w:p w14:paraId="36BA3657" w14:textId="77777777" w:rsidR="004113C9" w:rsidRPr="003A2F86" w:rsidRDefault="004113C9" w:rsidP="004113C9">
      <w:pPr>
        <w:spacing w:after="0" w:line="240" w:lineRule="auto"/>
        <w:rPr>
          <w:rFonts w:ascii="Arial" w:eastAsia="Times New Roman" w:hAnsi="Arial" w:cs="Arial"/>
          <w:iCs/>
          <w:lang w:eastAsia="en-US"/>
        </w:rPr>
      </w:pPr>
    </w:p>
    <w:p w14:paraId="05089B90" w14:textId="26869444" w:rsidR="00026AA8" w:rsidRPr="00026AA8" w:rsidRDefault="004113C9" w:rsidP="00026AA8">
      <w:pPr>
        <w:pStyle w:val="Tijeloteksta2"/>
        <w:rPr>
          <w:rFonts w:ascii="Arial" w:hAnsi="Arial" w:cs="Arial"/>
          <w:iCs/>
          <w:sz w:val="22"/>
          <w:szCs w:val="22"/>
          <w:lang w:val="hr-HR"/>
        </w:rPr>
      </w:pPr>
      <w:bookmarkStart w:id="261" w:name="_Hlk230163438"/>
      <w:bookmarkStart w:id="262" w:name="_Hlk65501122"/>
      <w:r w:rsidRPr="003A2F86">
        <w:rPr>
          <w:rFonts w:ascii="Arial" w:hAnsi="Arial" w:cs="Arial"/>
          <w:b/>
          <w:bCs/>
          <w:iCs/>
          <w:sz w:val="22"/>
          <w:szCs w:val="22"/>
          <w:lang w:val="hr-HR"/>
        </w:rPr>
        <w:t>Primici od financijske imovine i zaduživanja</w:t>
      </w:r>
      <w:r w:rsidRPr="003A2F86">
        <w:rPr>
          <w:rFonts w:ascii="Arial" w:hAnsi="Arial" w:cs="Arial"/>
          <w:iCs/>
          <w:sz w:val="22"/>
          <w:szCs w:val="22"/>
          <w:lang w:val="hr-HR"/>
        </w:rPr>
        <w:t xml:space="preserve"> (8) su planirani u iznosu </w:t>
      </w:r>
      <w:r w:rsidR="00026AA8">
        <w:rPr>
          <w:rFonts w:ascii="Arial" w:hAnsi="Arial" w:cs="Arial"/>
          <w:iCs/>
          <w:sz w:val="22"/>
          <w:szCs w:val="22"/>
          <w:lang w:val="hr-HR"/>
        </w:rPr>
        <w:t>6.000</w:t>
      </w:r>
      <w:r w:rsidR="00CD080C" w:rsidRPr="003A2F86">
        <w:rPr>
          <w:rFonts w:ascii="Arial" w:hAnsi="Arial" w:cs="Arial"/>
          <w:iCs/>
          <w:sz w:val="22"/>
          <w:szCs w:val="22"/>
          <w:lang w:val="hr-HR"/>
        </w:rPr>
        <w:t>.000</w:t>
      </w:r>
      <w:r w:rsidRPr="003A2F86">
        <w:rPr>
          <w:rFonts w:ascii="Arial" w:hAnsi="Arial" w:cs="Arial"/>
          <w:iCs/>
          <w:sz w:val="22"/>
          <w:szCs w:val="22"/>
          <w:lang w:val="hr-HR"/>
        </w:rPr>
        <w:t xml:space="preserve"> €, a</w:t>
      </w:r>
      <w:r w:rsidR="00CD080C" w:rsidRPr="003A2F86">
        <w:rPr>
          <w:rFonts w:ascii="Arial" w:hAnsi="Arial" w:cs="Arial"/>
          <w:iCs/>
          <w:sz w:val="22"/>
          <w:szCs w:val="22"/>
          <w:lang w:val="hr-HR"/>
        </w:rPr>
        <w:t xml:space="preserve"> ostvareni</w:t>
      </w:r>
      <w:r w:rsidR="00026AA8">
        <w:rPr>
          <w:rFonts w:ascii="Arial" w:hAnsi="Arial" w:cs="Arial"/>
          <w:iCs/>
          <w:sz w:val="22"/>
          <w:szCs w:val="22"/>
          <w:lang w:val="hr-HR"/>
        </w:rPr>
        <w:t xml:space="preserve"> su u iznosu </w:t>
      </w:r>
      <w:r w:rsidR="00026AA8" w:rsidRPr="00026AA8">
        <w:rPr>
          <w:rFonts w:ascii="Arial" w:hAnsi="Arial" w:cs="Arial"/>
          <w:iCs/>
          <w:sz w:val="22"/>
          <w:szCs w:val="22"/>
          <w:lang w:val="hr-HR"/>
        </w:rPr>
        <w:t>3.079.325,13 €</w:t>
      </w:r>
      <w:r w:rsidR="005E2F89">
        <w:rPr>
          <w:rFonts w:ascii="Arial" w:hAnsi="Arial" w:cs="Arial"/>
          <w:iCs/>
          <w:sz w:val="22"/>
          <w:szCs w:val="22"/>
          <w:lang w:val="hr-HR"/>
        </w:rPr>
        <w:t>. P</w:t>
      </w:r>
      <w:r w:rsidR="00026AA8" w:rsidRPr="00026AA8">
        <w:rPr>
          <w:rFonts w:ascii="Arial" w:hAnsi="Arial" w:cs="Arial"/>
          <w:iCs/>
          <w:sz w:val="22"/>
          <w:szCs w:val="22"/>
          <w:lang w:val="hr-HR"/>
        </w:rPr>
        <w:t>rethodne godine nije bilo primitaka.</w:t>
      </w:r>
    </w:p>
    <w:p w14:paraId="36448D33" w14:textId="77777777" w:rsidR="00026AA8" w:rsidRPr="00026AA8" w:rsidRDefault="00026AA8" w:rsidP="00026AA8">
      <w:pPr>
        <w:pStyle w:val="Tijeloteksta2"/>
        <w:rPr>
          <w:rFonts w:ascii="Arial" w:hAnsi="Arial" w:cs="Arial"/>
          <w:iCs/>
          <w:sz w:val="22"/>
          <w:szCs w:val="22"/>
          <w:lang w:val="hr-HR"/>
        </w:rPr>
      </w:pPr>
    </w:p>
    <w:p w14:paraId="290F7C26" w14:textId="7EE9A59B" w:rsidR="00B82D68" w:rsidRPr="003A2F86" w:rsidRDefault="00026AA8" w:rsidP="00026AA8">
      <w:pPr>
        <w:pStyle w:val="Tijeloteksta2"/>
        <w:rPr>
          <w:rFonts w:ascii="Arial" w:hAnsi="Arial" w:cs="Arial"/>
          <w:iCs/>
          <w:sz w:val="22"/>
          <w:szCs w:val="22"/>
          <w:lang w:val="hr-HR"/>
        </w:rPr>
      </w:pPr>
      <w:r w:rsidRPr="00026AA8">
        <w:rPr>
          <w:rFonts w:ascii="Arial" w:hAnsi="Arial" w:cs="Arial"/>
          <w:iCs/>
          <w:sz w:val="22"/>
          <w:szCs w:val="22"/>
          <w:lang w:val="hr-HR"/>
        </w:rPr>
        <w:t>U 2025. ostvareni primici se odnose na zaduživanje za provedbu projekta izgradnje i opremanja nove osnovne škole u Cavtatu na temelju ugovora o kreditu iz rujna 2025.</w:t>
      </w:r>
    </w:p>
    <w:bookmarkEnd w:id="261"/>
    <w:p w14:paraId="092A3C26" w14:textId="77777777" w:rsidR="00CD080C" w:rsidRPr="003C2EE6" w:rsidRDefault="00CD080C" w:rsidP="00B82D68">
      <w:pPr>
        <w:pStyle w:val="Tijeloteksta2"/>
        <w:rPr>
          <w:rFonts w:ascii="Arial" w:hAnsi="Arial" w:cs="Arial"/>
          <w:iCs/>
          <w:sz w:val="18"/>
          <w:szCs w:val="18"/>
          <w:lang w:val="hr-HR"/>
        </w:rPr>
      </w:pPr>
    </w:p>
    <w:p w14:paraId="39578440" w14:textId="61584494" w:rsidR="004113C9" w:rsidRDefault="003C2EE6" w:rsidP="003C2EE6">
      <w:pPr>
        <w:pStyle w:val="Tijeloteksta2"/>
        <w:ind w:left="567"/>
        <w:rPr>
          <w:rFonts w:ascii="Arial" w:hAnsi="Arial" w:cs="Arial"/>
          <w:iCs/>
          <w:sz w:val="18"/>
          <w:szCs w:val="18"/>
          <w:lang w:val="hr-HR"/>
        </w:rPr>
      </w:pPr>
      <w:r>
        <w:rPr>
          <w:rFonts w:ascii="Arial" w:hAnsi="Arial" w:cs="Arial"/>
          <w:iCs/>
          <w:sz w:val="18"/>
          <w:szCs w:val="18"/>
          <w:lang w:val="hr-HR"/>
        </w:rPr>
        <w:t>U</w:t>
      </w:r>
      <w:r w:rsidR="004113C9" w:rsidRPr="003A2F86">
        <w:rPr>
          <w:rFonts w:ascii="Arial" w:hAnsi="Arial" w:cs="Arial"/>
          <w:iCs/>
          <w:sz w:val="18"/>
          <w:szCs w:val="18"/>
          <w:lang w:val="hr-HR"/>
        </w:rPr>
        <w:t xml:space="preserve"> </w:t>
      </w:r>
      <w:r w:rsidR="004113C9" w:rsidRPr="003C2EE6">
        <w:rPr>
          <w:rFonts w:ascii="Arial" w:hAnsi="Arial" w:cs="Arial"/>
          <w:b/>
          <w:bCs/>
          <w:iCs/>
          <w:sz w:val="18"/>
          <w:szCs w:val="18"/>
          <w:lang w:val="hr-HR"/>
        </w:rPr>
        <w:t>2020</w:t>
      </w:r>
      <w:r w:rsidR="004113C9" w:rsidRPr="003A2F86">
        <w:rPr>
          <w:rFonts w:ascii="Arial" w:hAnsi="Arial" w:cs="Arial"/>
          <w:iCs/>
          <w:sz w:val="18"/>
          <w:szCs w:val="18"/>
          <w:lang w:val="hr-HR"/>
        </w:rPr>
        <w:t xml:space="preserve">. godini ostvareni primici 907.884,63 € (6.840.456,71 kn) u cijelosti su se odnosili na primitke na temelju beskamatnih zajmova iz državnog proračuna koji su doznačeni na temelju pada prihoda uvjetovanih pandemijom bolesti COVID-19. Naime, Općina je u 2020. ostvarila primitke iz državnog proračuna, na ime povrata godišnjeg poreza na dohodak za 2019.g. i odgođenog plaćanja poreza na dohodak u iznosu u iznosu 456.627,08 € (3.440.456,71 kn) (sredstva u obliku kratkoročnog kredita doznačavana od svibnja do konca 2020.), te na temelju pada prihoda u iznosu 451.257,55 € (3.400.000 kn, sredstva doznačena koncem prosinca 2020. i propisani rok povrata je tri godine). </w:t>
      </w:r>
    </w:p>
    <w:p w14:paraId="68E8BB68" w14:textId="77777777" w:rsidR="003C2EE6" w:rsidRPr="003A2F86" w:rsidRDefault="003C2EE6" w:rsidP="003C2EE6">
      <w:pPr>
        <w:pStyle w:val="Tijeloteksta2"/>
        <w:ind w:left="567"/>
        <w:rPr>
          <w:rFonts w:ascii="Arial" w:hAnsi="Arial" w:cs="Arial"/>
          <w:iCs/>
          <w:sz w:val="18"/>
          <w:szCs w:val="18"/>
          <w:lang w:val="hr-HR"/>
        </w:rPr>
      </w:pPr>
    </w:p>
    <w:bookmarkEnd w:id="262"/>
    <w:p w14:paraId="79A2C5A4" w14:textId="124BC247" w:rsidR="003C2EE6" w:rsidRPr="003A2F86" w:rsidRDefault="003C2EE6" w:rsidP="003C2EE6">
      <w:pPr>
        <w:pStyle w:val="Tijeloteksta2"/>
        <w:ind w:left="567"/>
        <w:rPr>
          <w:rFonts w:ascii="Arial" w:hAnsi="Arial" w:cs="Arial"/>
          <w:iCs/>
          <w:sz w:val="18"/>
          <w:szCs w:val="18"/>
          <w:lang w:val="hr-HR"/>
        </w:rPr>
      </w:pPr>
      <w:r w:rsidRPr="003A2F86">
        <w:rPr>
          <w:rFonts w:ascii="Arial" w:hAnsi="Arial" w:cs="Arial"/>
          <w:iCs/>
          <w:sz w:val="18"/>
          <w:szCs w:val="18"/>
          <w:lang w:val="hr-HR"/>
        </w:rPr>
        <w:t xml:space="preserve">Ukupno u </w:t>
      </w:r>
      <w:r w:rsidRPr="003C2EE6">
        <w:rPr>
          <w:rFonts w:ascii="Arial" w:hAnsi="Arial" w:cs="Arial"/>
          <w:b/>
          <w:bCs/>
          <w:iCs/>
          <w:sz w:val="18"/>
          <w:szCs w:val="18"/>
          <w:lang w:val="hr-HR"/>
        </w:rPr>
        <w:t>2021</w:t>
      </w:r>
      <w:r w:rsidRPr="003A2F86">
        <w:rPr>
          <w:rFonts w:ascii="Arial" w:hAnsi="Arial" w:cs="Arial"/>
          <w:iCs/>
          <w:sz w:val="18"/>
          <w:szCs w:val="18"/>
          <w:lang w:val="hr-HR"/>
        </w:rPr>
        <w:t>. ostvareni primici 862.164,83 € (6.495.980,92 kn) su se odnosili na beskamatne zajmove iz državnog proračuna i to:</w:t>
      </w:r>
    </w:p>
    <w:p w14:paraId="74852142" w14:textId="77777777" w:rsidR="003C2EE6" w:rsidRPr="003A2F86" w:rsidRDefault="003C2EE6">
      <w:pPr>
        <w:pStyle w:val="Tijeloteksta2"/>
        <w:numPr>
          <w:ilvl w:val="0"/>
          <w:numId w:val="14"/>
        </w:numPr>
        <w:ind w:left="567"/>
        <w:rPr>
          <w:rFonts w:ascii="Arial" w:hAnsi="Arial" w:cs="Arial"/>
          <w:iCs/>
          <w:sz w:val="18"/>
          <w:szCs w:val="18"/>
          <w:lang w:val="hr-HR"/>
        </w:rPr>
      </w:pPr>
      <w:r w:rsidRPr="003A2F86">
        <w:rPr>
          <w:rFonts w:ascii="Arial" w:hAnsi="Arial" w:cs="Arial"/>
          <w:iCs/>
          <w:sz w:val="18"/>
          <w:szCs w:val="18"/>
          <w:lang w:val="hr-HR"/>
        </w:rPr>
        <w:t>na ime pada prihoda u iznosu 783.064,57 € (5.900.000 kn) (sredstva doznačena 16.12.21. i propisani rok povrata je tri godine), te</w:t>
      </w:r>
    </w:p>
    <w:p w14:paraId="3259D2CB" w14:textId="77777777" w:rsidR="003C2EE6" w:rsidRPr="003A2F86" w:rsidRDefault="003C2EE6">
      <w:pPr>
        <w:pStyle w:val="Tijeloteksta2"/>
        <w:numPr>
          <w:ilvl w:val="0"/>
          <w:numId w:val="14"/>
        </w:numPr>
        <w:ind w:left="567"/>
        <w:rPr>
          <w:rFonts w:ascii="Arial" w:hAnsi="Arial" w:cs="Arial"/>
          <w:iCs/>
          <w:sz w:val="18"/>
          <w:szCs w:val="18"/>
          <w:lang w:val="hr-HR"/>
        </w:rPr>
      </w:pPr>
      <w:r w:rsidRPr="003A2F86">
        <w:rPr>
          <w:rFonts w:ascii="Arial" w:hAnsi="Arial" w:cs="Arial"/>
          <w:iCs/>
          <w:sz w:val="18"/>
          <w:szCs w:val="18"/>
          <w:lang w:val="hr-HR"/>
        </w:rPr>
        <w:t xml:space="preserve">na ime povrata godišnjeg poreza na dohodak za 2020.g. u iznosu 79.100,26 € (595.980,92 kn) (povrat u četiri obroka u razdoblju siječanj – travanj 2022.). </w:t>
      </w:r>
    </w:p>
    <w:p w14:paraId="4B381400" w14:textId="77777777" w:rsidR="003C2EE6" w:rsidRDefault="003C2EE6" w:rsidP="003C2EE6">
      <w:pPr>
        <w:pStyle w:val="Tijeloteksta2"/>
        <w:ind w:left="567"/>
        <w:rPr>
          <w:rFonts w:ascii="Arial" w:hAnsi="Arial" w:cs="Arial"/>
          <w:iCs/>
          <w:sz w:val="18"/>
          <w:szCs w:val="18"/>
          <w:lang w:val="hr-HR"/>
        </w:rPr>
      </w:pPr>
    </w:p>
    <w:p w14:paraId="7BA86A1F" w14:textId="6A0FC1CD" w:rsidR="003C2EE6" w:rsidRPr="003A2F86" w:rsidRDefault="003C2EE6" w:rsidP="003C2EE6">
      <w:pPr>
        <w:pStyle w:val="Tijeloteksta2"/>
        <w:ind w:left="567"/>
        <w:rPr>
          <w:rFonts w:ascii="Arial" w:hAnsi="Arial" w:cs="Arial"/>
          <w:iCs/>
          <w:sz w:val="14"/>
          <w:szCs w:val="14"/>
          <w:lang w:val="hr-HR"/>
        </w:rPr>
      </w:pPr>
      <w:r w:rsidRPr="003A2F86">
        <w:rPr>
          <w:rFonts w:ascii="Arial" w:hAnsi="Arial" w:cs="Arial"/>
          <w:iCs/>
          <w:sz w:val="18"/>
          <w:szCs w:val="18"/>
          <w:lang w:val="hr-HR"/>
        </w:rPr>
        <w:t xml:space="preserve">Ukupno tijekom 2022. godine ostvareni su primici 1.114.871,59 € (8.400.000 kn) </w:t>
      </w:r>
      <w:r>
        <w:rPr>
          <w:rFonts w:ascii="Arial" w:hAnsi="Arial" w:cs="Arial"/>
          <w:iCs/>
          <w:sz w:val="18"/>
          <w:szCs w:val="18"/>
          <w:lang w:val="hr-HR"/>
        </w:rPr>
        <w:t>za potrebe</w:t>
      </w:r>
      <w:r w:rsidRPr="003A2F86">
        <w:rPr>
          <w:rFonts w:ascii="Arial" w:hAnsi="Arial" w:cs="Arial"/>
          <w:iCs/>
          <w:sz w:val="18"/>
          <w:szCs w:val="18"/>
          <w:lang w:val="hr-HR"/>
        </w:rPr>
        <w:t xml:space="preserve"> provedb</w:t>
      </w:r>
      <w:r>
        <w:rPr>
          <w:rFonts w:ascii="Arial" w:hAnsi="Arial" w:cs="Arial"/>
          <w:iCs/>
          <w:sz w:val="18"/>
          <w:szCs w:val="18"/>
          <w:lang w:val="hr-HR"/>
        </w:rPr>
        <w:t>e</w:t>
      </w:r>
      <w:r w:rsidRPr="003A2F86">
        <w:rPr>
          <w:rFonts w:ascii="Arial" w:hAnsi="Arial" w:cs="Arial"/>
          <w:iCs/>
          <w:sz w:val="18"/>
          <w:szCs w:val="18"/>
          <w:lang w:val="hr-HR"/>
        </w:rPr>
        <w:t xml:space="preserve"> projekta izgradnje vatrogasnog doma i nabavu vatrogasnog vozila i opreme</w:t>
      </w:r>
      <w:r w:rsidRPr="003A2F86">
        <w:rPr>
          <w:rFonts w:ascii="Arial" w:hAnsi="Arial" w:cs="Arial"/>
          <w:iCs/>
          <w:sz w:val="22"/>
          <w:szCs w:val="22"/>
          <w:lang w:val="hr-HR"/>
        </w:rPr>
        <w:t xml:space="preserve"> </w:t>
      </w:r>
      <w:r w:rsidRPr="003A2F86">
        <w:rPr>
          <w:rFonts w:ascii="Arial" w:hAnsi="Arial" w:cs="Arial"/>
          <w:iCs/>
          <w:sz w:val="18"/>
          <w:szCs w:val="18"/>
          <w:lang w:val="hr-HR"/>
        </w:rPr>
        <w:t>(predfinanciranje projekata EU).</w:t>
      </w:r>
    </w:p>
    <w:p w14:paraId="5965D6DF" w14:textId="77777777" w:rsidR="003C2EE6" w:rsidRDefault="003C2EE6" w:rsidP="003C2EE6">
      <w:pPr>
        <w:pStyle w:val="Tijeloteksta2"/>
        <w:ind w:left="567"/>
        <w:rPr>
          <w:rFonts w:ascii="Arial" w:hAnsi="Arial" w:cs="Arial"/>
          <w:iCs/>
          <w:sz w:val="18"/>
          <w:szCs w:val="18"/>
          <w:lang w:val="hr-HR"/>
        </w:rPr>
      </w:pPr>
    </w:p>
    <w:p w14:paraId="0AC3D2E2" w14:textId="19DD6D5A" w:rsidR="003C2EE6" w:rsidRDefault="003C2EE6" w:rsidP="003C2EE6">
      <w:pPr>
        <w:pStyle w:val="Tijeloteksta2"/>
        <w:ind w:left="567"/>
        <w:rPr>
          <w:rFonts w:ascii="Arial" w:hAnsi="Arial" w:cs="Arial"/>
          <w:iCs/>
          <w:sz w:val="18"/>
          <w:szCs w:val="18"/>
          <w:lang w:val="hr-HR"/>
        </w:rPr>
      </w:pPr>
      <w:r w:rsidRPr="003C2EE6">
        <w:rPr>
          <w:rFonts w:ascii="Arial" w:hAnsi="Arial" w:cs="Arial"/>
          <w:iCs/>
          <w:sz w:val="18"/>
          <w:szCs w:val="18"/>
          <w:lang w:val="hr-HR"/>
        </w:rPr>
        <w:t>Sveukupno u 2023. ostvareni primici su iznosili 850.000 € i odnosili su se na zaduživanje za provedbu projekta rekonstrukcije javne rasvjete (povećanje energetske učinkovitosti, isplaćen predujam za financiranje) na temelju ugovora o kreditu iz prosinca 2022., te dva dodatka ugovoru iz 2023. godine.</w:t>
      </w:r>
    </w:p>
    <w:p w14:paraId="75CA8375" w14:textId="77777777" w:rsidR="00E8319F" w:rsidRDefault="00E8319F" w:rsidP="003C2EE6">
      <w:pPr>
        <w:pStyle w:val="Tijeloteksta2"/>
        <w:ind w:left="567"/>
        <w:rPr>
          <w:rFonts w:ascii="Arial" w:hAnsi="Arial" w:cs="Arial"/>
          <w:iCs/>
          <w:sz w:val="18"/>
          <w:szCs w:val="18"/>
          <w:lang w:val="hr-HR"/>
        </w:rPr>
      </w:pPr>
    </w:p>
    <w:p w14:paraId="39C82D42" w14:textId="6D224CDD" w:rsidR="00E8319F" w:rsidRPr="003C2EE6" w:rsidRDefault="00E8319F" w:rsidP="003C2EE6">
      <w:pPr>
        <w:pStyle w:val="Tijeloteksta2"/>
        <w:ind w:left="567"/>
        <w:rPr>
          <w:rFonts w:ascii="Arial" w:hAnsi="Arial" w:cs="Arial"/>
          <w:iCs/>
          <w:sz w:val="18"/>
          <w:szCs w:val="18"/>
          <w:lang w:val="hr-HR"/>
        </w:rPr>
      </w:pPr>
      <w:r>
        <w:rPr>
          <w:rFonts w:ascii="Arial" w:hAnsi="Arial" w:cs="Arial"/>
          <w:iCs/>
          <w:sz w:val="18"/>
          <w:szCs w:val="18"/>
          <w:lang w:val="hr-HR"/>
        </w:rPr>
        <w:t xml:space="preserve">U 2024. nije bilo primitaka. </w:t>
      </w:r>
    </w:p>
    <w:p w14:paraId="6D796FF4" w14:textId="77777777" w:rsidR="004113C9" w:rsidRPr="003A2F86" w:rsidRDefault="004113C9" w:rsidP="004113C9">
      <w:pPr>
        <w:spacing w:after="0" w:line="240" w:lineRule="auto"/>
        <w:jc w:val="both"/>
        <w:rPr>
          <w:rFonts w:ascii="Arial" w:eastAsia="Times New Roman" w:hAnsi="Arial" w:cs="Arial"/>
          <w:iCs/>
          <w:sz w:val="18"/>
          <w:szCs w:val="18"/>
          <w:lang w:eastAsia="en-US"/>
        </w:rPr>
      </w:pPr>
    </w:p>
    <w:p w14:paraId="66C8C246" w14:textId="251095E4" w:rsidR="004113C9" w:rsidRPr="003A2F86" w:rsidRDefault="004113C9" w:rsidP="004113C9">
      <w:pPr>
        <w:spacing w:after="0" w:line="240" w:lineRule="auto"/>
        <w:jc w:val="both"/>
        <w:rPr>
          <w:rFonts w:ascii="Arial" w:eastAsia="Calibri" w:hAnsi="Arial" w:cs="Arial"/>
          <w:lang w:eastAsia="en-US"/>
        </w:rPr>
      </w:pPr>
      <w:r w:rsidRPr="003A2F86">
        <w:rPr>
          <w:rFonts w:ascii="Arial" w:eastAsia="Times New Roman" w:hAnsi="Arial" w:cs="Arial"/>
          <w:iCs/>
          <w:lang w:eastAsia="en-US"/>
        </w:rPr>
        <w:t xml:space="preserve">Detaljnije o primicima od zaduživanja u točki </w:t>
      </w:r>
      <w:hyperlink w:anchor="_4.2._IZVJEŠTAJ_O" w:history="1">
        <w:r w:rsidR="005E0C76" w:rsidRPr="00B356F8">
          <w:rPr>
            <w:rStyle w:val="Hiperveza"/>
            <w:rFonts w:ascii="Arial" w:eastAsia="Times New Roman" w:hAnsi="Arial" w:cs="Arial"/>
            <w:b/>
            <w:i/>
            <w:iCs/>
            <w:lang w:eastAsia="en-US"/>
          </w:rPr>
          <w:t>4</w:t>
        </w:r>
        <w:r w:rsidR="008B5541" w:rsidRPr="00B356F8">
          <w:rPr>
            <w:rStyle w:val="Hiperveza"/>
            <w:rFonts w:ascii="Arial" w:eastAsia="Times New Roman" w:hAnsi="Arial" w:cs="Arial"/>
            <w:i/>
            <w:lang w:eastAsia="en-US"/>
          </w:rPr>
          <w:t>.</w:t>
        </w:r>
        <w:r w:rsidR="008B5541" w:rsidRPr="00B356F8">
          <w:rPr>
            <w:rStyle w:val="Hiperveza"/>
            <w:rFonts w:ascii="Arial" w:eastAsia="Times New Roman" w:hAnsi="Arial" w:cs="Arial"/>
            <w:b/>
            <w:bCs/>
            <w:i/>
            <w:lang w:eastAsia="en-US"/>
          </w:rPr>
          <w:t>2.</w:t>
        </w:r>
        <w:r w:rsidRPr="00B356F8">
          <w:rPr>
            <w:rStyle w:val="Hiperveza"/>
            <w:rFonts w:ascii="Arial" w:eastAsia="Times New Roman" w:hAnsi="Arial" w:cs="Arial"/>
            <w:iCs/>
            <w:lang w:eastAsia="en-US"/>
          </w:rPr>
          <w:t xml:space="preserve"> </w:t>
        </w:r>
        <w:r w:rsidRPr="00B356F8">
          <w:rPr>
            <w:rStyle w:val="Hiperveza"/>
            <w:rFonts w:ascii="Arial" w:eastAsia="Times New Roman" w:hAnsi="Arial" w:cs="Arial"/>
            <w:b/>
            <w:i/>
            <w:iCs/>
            <w:lang w:eastAsia="en-US"/>
          </w:rPr>
          <w:t>Izvještaj o zaduživanju na domaćem i stranom tržištu novca i kapitala</w:t>
        </w:r>
      </w:hyperlink>
      <w:r w:rsidRPr="003A2F86">
        <w:rPr>
          <w:rFonts w:ascii="Arial" w:eastAsia="Times New Roman" w:hAnsi="Arial" w:cs="Arial"/>
          <w:iCs/>
          <w:lang w:eastAsia="en-US"/>
        </w:rPr>
        <w:t>.</w:t>
      </w:r>
      <w:r w:rsidRPr="003A2F86">
        <w:rPr>
          <w:rFonts w:ascii="Arial" w:eastAsia="Calibri" w:hAnsi="Arial" w:cs="Arial"/>
          <w:lang w:eastAsia="en-US"/>
        </w:rPr>
        <w:br w:type="page"/>
      </w:r>
    </w:p>
    <w:p w14:paraId="1AB01F5B" w14:textId="7E2E0717" w:rsidR="002E304B" w:rsidRPr="003A2F86" w:rsidRDefault="002E304B" w:rsidP="002E304B">
      <w:pPr>
        <w:pStyle w:val="Naslov3"/>
        <w:jc w:val="center"/>
        <w:rPr>
          <w:rFonts w:ascii="Arial" w:hAnsi="Arial" w:cs="Arial"/>
          <w:sz w:val="22"/>
          <w:szCs w:val="22"/>
          <w:lang w:val="hr-HR"/>
        </w:rPr>
      </w:pPr>
      <w:bookmarkStart w:id="263" w:name="_Toc232981408"/>
      <w:r w:rsidRPr="003A2F86">
        <w:rPr>
          <w:rFonts w:ascii="Arial" w:hAnsi="Arial" w:cs="Arial"/>
          <w:sz w:val="22"/>
          <w:szCs w:val="22"/>
          <w:lang w:val="hr-HR"/>
        </w:rPr>
        <w:lastRenderedPageBreak/>
        <w:t>2.5.2.</w:t>
      </w:r>
      <w:r w:rsidRPr="003A2F86">
        <w:rPr>
          <w:rFonts w:ascii="Arial" w:hAnsi="Arial" w:cs="Arial"/>
          <w:sz w:val="22"/>
          <w:szCs w:val="22"/>
          <w:lang w:val="hr-HR"/>
        </w:rPr>
        <w:tab/>
      </w:r>
      <w:r w:rsidR="00E97058" w:rsidRPr="003A2F86">
        <w:rPr>
          <w:rFonts w:ascii="Arial" w:hAnsi="Arial" w:cs="Arial"/>
          <w:sz w:val="22"/>
          <w:szCs w:val="22"/>
          <w:lang w:val="hr-HR"/>
        </w:rPr>
        <w:t>IZDACI ZA FINANCIJSKU IMOVINU I OTPLATE ZAJMOVA</w:t>
      </w:r>
      <w:r w:rsidR="00984893" w:rsidRPr="003A2F86">
        <w:rPr>
          <w:rFonts w:ascii="Arial" w:hAnsi="Arial" w:cs="Arial"/>
          <w:sz w:val="22"/>
          <w:szCs w:val="22"/>
          <w:lang w:val="hr-HR"/>
        </w:rPr>
        <w:t xml:space="preserve"> (5)</w:t>
      </w:r>
      <w:bookmarkEnd w:id="263"/>
    </w:p>
    <w:p w14:paraId="71AF96E9" w14:textId="77777777" w:rsidR="002E304B" w:rsidRPr="005E2F89" w:rsidRDefault="002E304B" w:rsidP="002E304B">
      <w:pPr>
        <w:spacing w:after="0" w:line="240" w:lineRule="auto"/>
        <w:jc w:val="both"/>
        <w:rPr>
          <w:rFonts w:ascii="Arial" w:eastAsia="Times New Roman" w:hAnsi="Arial" w:cs="Arial"/>
          <w:bCs/>
        </w:rPr>
      </w:pPr>
      <w:bookmarkStart w:id="264" w:name="_Hlk65522349"/>
      <w:bookmarkStart w:id="265" w:name="_Hlk115783989"/>
    </w:p>
    <w:p w14:paraId="0E510A6E" w14:textId="77777777" w:rsidR="00026AA8" w:rsidRPr="00026AA8" w:rsidRDefault="00EA57C6" w:rsidP="00026AA8">
      <w:pPr>
        <w:spacing w:after="0" w:line="240" w:lineRule="auto"/>
        <w:jc w:val="both"/>
        <w:rPr>
          <w:rFonts w:ascii="Arial" w:hAnsi="Arial" w:cs="Arial"/>
        </w:rPr>
      </w:pPr>
      <w:bookmarkStart w:id="266" w:name="_Hlk230163447"/>
      <w:r w:rsidRPr="003A2F86">
        <w:rPr>
          <w:rFonts w:ascii="Arial" w:hAnsi="Arial" w:cs="Arial"/>
          <w:b/>
        </w:rPr>
        <w:t>Izdaci za financijsku imovinu i otplate zajmova</w:t>
      </w:r>
      <w:r w:rsidRPr="003A2F86">
        <w:rPr>
          <w:rFonts w:ascii="Arial" w:hAnsi="Arial" w:cs="Arial"/>
        </w:rPr>
        <w:t xml:space="preserve"> </w:t>
      </w:r>
      <w:r w:rsidRPr="003A2F86">
        <w:rPr>
          <w:rFonts w:ascii="Arial" w:hAnsi="Arial" w:cs="Arial"/>
          <w:b/>
        </w:rPr>
        <w:t>(5)</w:t>
      </w:r>
      <w:r w:rsidRPr="003A2F86">
        <w:rPr>
          <w:rFonts w:ascii="Arial" w:hAnsi="Arial" w:cs="Arial"/>
        </w:rPr>
        <w:t xml:space="preserve"> </w:t>
      </w:r>
      <w:r w:rsidR="00026AA8" w:rsidRPr="00026AA8">
        <w:rPr>
          <w:rFonts w:ascii="Arial" w:hAnsi="Arial" w:cs="Arial"/>
        </w:rPr>
        <w:t xml:space="preserve">su izvršeni u iznosu 994.780,35 € što je za 450.574,01 € ili 82,8% više u odnosu na izvještajno razdoblje prethodne godine. </w:t>
      </w:r>
    </w:p>
    <w:p w14:paraId="5609D6AE" w14:textId="77777777" w:rsidR="00026AA8" w:rsidRPr="00026AA8" w:rsidRDefault="00026AA8" w:rsidP="00026AA8">
      <w:pPr>
        <w:spacing w:after="0" w:line="240" w:lineRule="auto"/>
        <w:jc w:val="both"/>
        <w:rPr>
          <w:rFonts w:ascii="Arial" w:hAnsi="Arial" w:cs="Arial"/>
        </w:rPr>
      </w:pPr>
      <w:r w:rsidRPr="00026AA8">
        <w:rPr>
          <w:rFonts w:ascii="Arial" w:hAnsi="Arial" w:cs="Arial"/>
        </w:rPr>
        <w:t>Izdaci u 2025. godini se odnose na:</w:t>
      </w:r>
    </w:p>
    <w:p w14:paraId="527DBE4E" w14:textId="463DE41A" w:rsidR="00026AA8" w:rsidRPr="00026AA8" w:rsidRDefault="00026AA8" w:rsidP="00026AA8">
      <w:pPr>
        <w:spacing w:after="0" w:line="240" w:lineRule="auto"/>
        <w:jc w:val="both"/>
        <w:rPr>
          <w:rFonts w:ascii="Arial" w:hAnsi="Arial" w:cs="Arial"/>
        </w:rPr>
      </w:pPr>
      <w:r w:rsidRPr="00026AA8">
        <w:rPr>
          <w:rFonts w:ascii="Arial" w:hAnsi="Arial" w:cs="Arial"/>
        </w:rPr>
        <w:t xml:space="preserve">- </w:t>
      </w:r>
      <w:bookmarkStart w:id="267" w:name="_Hlk230352783"/>
      <w:r w:rsidRPr="00026AA8">
        <w:rPr>
          <w:rFonts w:ascii="Arial" w:hAnsi="Arial" w:cs="Arial"/>
        </w:rPr>
        <w:t xml:space="preserve">izdatke za dani jamčevni polog u iznosu 1.000 € (na temelju višegodišnjeg ugovora o zakupu prostora </w:t>
      </w:r>
      <w:r w:rsidR="005E2F89">
        <w:rPr>
          <w:rFonts w:ascii="Arial" w:hAnsi="Arial" w:cs="Arial"/>
        </w:rPr>
        <w:t xml:space="preserve">zakupljenog </w:t>
      </w:r>
      <w:r w:rsidRPr="00026AA8">
        <w:rPr>
          <w:rFonts w:ascii="Arial" w:hAnsi="Arial" w:cs="Arial"/>
        </w:rPr>
        <w:t>za prenamjenu u muzejski prostor),</w:t>
      </w:r>
      <w:bookmarkEnd w:id="267"/>
    </w:p>
    <w:p w14:paraId="44241B6C" w14:textId="3CFAA229" w:rsidR="00F23256" w:rsidRDefault="00026AA8" w:rsidP="00026AA8">
      <w:pPr>
        <w:spacing w:after="0" w:line="240" w:lineRule="auto"/>
        <w:jc w:val="both"/>
        <w:rPr>
          <w:rFonts w:ascii="Arial" w:hAnsi="Arial" w:cs="Arial"/>
        </w:rPr>
      </w:pPr>
      <w:r w:rsidRPr="00026AA8">
        <w:rPr>
          <w:rFonts w:ascii="Arial" w:hAnsi="Arial" w:cs="Arial"/>
        </w:rPr>
        <w:t>- izdatke za otplatu glavnice primljenih kredita u iznosu 993.780,35 €.</w:t>
      </w:r>
    </w:p>
    <w:p w14:paraId="29D4D64A" w14:textId="60F9590F" w:rsidR="00FB4803" w:rsidRPr="00044003" w:rsidRDefault="00FB4803" w:rsidP="00EA57C6">
      <w:pPr>
        <w:spacing w:after="0" w:line="240" w:lineRule="auto"/>
        <w:jc w:val="both"/>
        <w:rPr>
          <w:rFonts w:ascii="Arial" w:hAnsi="Arial" w:cs="Arial"/>
          <w:sz w:val="18"/>
          <w:szCs w:val="18"/>
        </w:rPr>
      </w:pPr>
    </w:p>
    <w:p w14:paraId="41DAAD22" w14:textId="4BC10644" w:rsidR="00026AA8" w:rsidRPr="00026AA8" w:rsidRDefault="00026AA8" w:rsidP="00026AA8">
      <w:pPr>
        <w:spacing w:after="0" w:line="240" w:lineRule="auto"/>
        <w:jc w:val="both"/>
        <w:rPr>
          <w:rFonts w:ascii="Arial" w:hAnsi="Arial" w:cs="Arial"/>
        </w:rPr>
      </w:pPr>
      <w:r w:rsidRPr="00026AA8">
        <w:rPr>
          <w:rFonts w:ascii="Arial" w:hAnsi="Arial" w:cs="Arial"/>
        </w:rPr>
        <w:t>Općina je u 2025. otplatila u cijelosti kredit za izgradnju doma za starije i nemoćne osobe u iznosu 219.229,24 €. U 2025. godini je otplaćen kredit za rekonstrukciju javne rasvjete (energetska učinkovitost) u iznosu 99.683,20 €. U 2025. je  započela otplata kredita za izgradnju vatrogasnog doma i nabavu vatrogasne opreme, te je otplata izvršena u iznosu 674.867,91 € i to dijelom iz ostvarenih sredstava pomoći.</w:t>
      </w:r>
    </w:p>
    <w:p w14:paraId="14C152CD" w14:textId="54B63F8C" w:rsidR="00026AA8" w:rsidRDefault="00026AA8" w:rsidP="00026AA8">
      <w:pPr>
        <w:spacing w:after="0" w:line="240" w:lineRule="auto"/>
        <w:jc w:val="both"/>
        <w:rPr>
          <w:rFonts w:ascii="Arial" w:hAnsi="Arial" w:cs="Arial"/>
        </w:rPr>
      </w:pPr>
      <w:r w:rsidRPr="00026AA8">
        <w:rPr>
          <w:rFonts w:ascii="Arial" w:hAnsi="Arial" w:cs="Arial"/>
        </w:rPr>
        <w:t>U 2025. godini nije bilo otplate beskamatnih zajmova. Povrat beskamatnih kredita iz Državnog proračuna radi pada prihoda iz 2020. i 2021. je odobren do konca 2027. godine.</w:t>
      </w:r>
    </w:p>
    <w:bookmarkEnd w:id="266"/>
    <w:p w14:paraId="39AF211C" w14:textId="77777777" w:rsidR="00026AA8" w:rsidRPr="00F23256" w:rsidRDefault="00026AA8" w:rsidP="00026AA8">
      <w:pPr>
        <w:spacing w:after="0" w:line="240" w:lineRule="auto"/>
        <w:ind w:left="567"/>
        <w:jc w:val="both"/>
        <w:rPr>
          <w:rFonts w:ascii="Arial" w:hAnsi="Arial" w:cs="Arial"/>
          <w:sz w:val="18"/>
          <w:szCs w:val="18"/>
        </w:rPr>
      </w:pPr>
      <w:r w:rsidRPr="00F23256">
        <w:rPr>
          <w:rFonts w:ascii="Arial" w:hAnsi="Arial" w:cs="Arial"/>
          <w:sz w:val="18"/>
          <w:szCs w:val="18"/>
        </w:rPr>
        <w:t>U 2023. su bili izvršeni izdaci za depozite u iznosu 2.500.000 € (oročenje sredstava od prodaje nefinancijske imovine – prodanog zemljišta u budućoj poduzetničkoj zoni).</w:t>
      </w:r>
    </w:p>
    <w:p w14:paraId="0E960DE2" w14:textId="77777777" w:rsidR="00026AA8" w:rsidRPr="00F23256" w:rsidRDefault="00026AA8" w:rsidP="00026AA8">
      <w:pPr>
        <w:spacing w:after="0" w:line="240" w:lineRule="auto"/>
        <w:ind w:left="567"/>
        <w:jc w:val="both"/>
        <w:rPr>
          <w:rFonts w:ascii="Arial" w:hAnsi="Arial" w:cs="Arial"/>
          <w:sz w:val="18"/>
          <w:szCs w:val="18"/>
        </w:rPr>
      </w:pPr>
      <w:r w:rsidRPr="00F23256">
        <w:rPr>
          <w:rFonts w:ascii="Arial" w:hAnsi="Arial" w:cs="Arial"/>
          <w:sz w:val="18"/>
          <w:szCs w:val="18"/>
        </w:rPr>
        <w:t>U 202</w:t>
      </w:r>
      <w:r>
        <w:rPr>
          <w:rFonts w:ascii="Arial" w:hAnsi="Arial" w:cs="Arial"/>
          <w:sz w:val="18"/>
          <w:szCs w:val="18"/>
        </w:rPr>
        <w:t>4</w:t>
      </w:r>
      <w:r w:rsidRPr="00F23256">
        <w:rPr>
          <w:rFonts w:ascii="Arial" w:hAnsi="Arial" w:cs="Arial"/>
          <w:sz w:val="18"/>
          <w:szCs w:val="18"/>
        </w:rPr>
        <w:t xml:space="preserve">. su bili izvršeni izdaci za </w:t>
      </w:r>
      <w:r>
        <w:rPr>
          <w:rFonts w:ascii="Arial" w:hAnsi="Arial" w:cs="Arial"/>
          <w:sz w:val="18"/>
          <w:szCs w:val="18"/>
        </w:rPr>
        <w:t>otplate zajmova 544.206,34 €.</w:t>
      </w:r>
    </w:p>
    <w:p w14:paraId="1F185DDB" w14:textId="77777777" w:rsidR="00026AA8" w:rsidRDefault="00026AA8" w:rsidP="00EA57C6">
      <w:pPr>
        <w:spacing w:after="0" w:line="240" w:lineRule="auto"/>
        <w:jc w:val="both"/>
        <w:rPr>
          <w:rFonts w:ascii="Arial" w:hAnsi="Arial" w:cs="Arial"/>
        </w:rPr>
      </w:pPr>
    </w:p>
    <w:p w14:paraId="197E212B" w14:textId="1DE86E68" w:rsidR="00845F5F" w:rsidRPr="003A2F86" w:rsidRDefault="00845F5F" w:rsidP="00845F5F">
      <w:pPr>
        <w:pStyle w:val="Opisslike"/>
        <w:rPr>
          <w:rFonts w:ascii="Arial" w:hAnsi="Arial" w:cs="Arial"/>
        </w:rPr>
      </w:pPr>
      <w:bookmarkStart w:id="268" w:name="_Toc232981577"/>
      <w:r w:rsidRPr="003A2F86">
        <w:rPr>
          <w:color w:val="FF0000"/>
        </w:rPr>
        <w:t xml:space="preserve">Graf </w:t>
      </w:r>
      <w:r w:rsidRPr="003A2F86">
        <w:rPr>
          <w:color w:val="FF0000"/>
        </w:rPr>
        <w:fldChar w:fldCharType="begin"/>
      </w:r>
      <w:r w:rsidRPr="003A2F86">
        <w:rPr>
          <w:color w:val="FF0000"/>
        </w:rPr>
        <w:instrText xml:space="preserve"> SEQ Graf \* ARABIC </w:instrText>
      </w:r>
      <w:r w:rsidRPr="003A2F86">
        <w:rPr>
          <w:color w:val="FF0000"/>
        </w:rPr>
        <w:fldChar w:fldCharType="separate"/>
      </w:r>
      <w:r w:rsidR="00A821D8">
        <w:rPr>
          <w:noProof/>
          <w:color w:val="FF0000"/>
        </w:rPr>
        <w:t>17</w:t>
      </w:r>
      <w:r w:rsidRPr="003A2F86">
        <w:rPr>
          <w:color w:val="FF0000"/>
        </w:rPr>
        <w:fldChar w:fldCharType="end"/>
      </w:r>
      <w:r w:rsidRPr="003A2F86">
        <w:rPr>
          <w:color w:val="FF0000"/>
        </w:rPr>
        <w:t xml:space="preserve">.: </w:t>
      </w:r>
      <w:r w:rsidRPr="003A2F86">
        <w:rPr>
          <w:rFonts w:ascii="Arial" w:hAnsi="Arial" w:cs="Arial"/>
        </w:rPr>
        <w:t xml:space="preserve">Struktura izvršenih </w:t>
      </w:r>
      <w:r w:rsidRPr="003A2F86">
        <w:rPr>
          <w:rFonts w:ascii="Arial" w:hAnsi="Arial" w:cs="Arial"/>
          <w:u w:val="single"/>
        </w:rPr>
        <w:t>izdataka (5)</w:t>
      </w:r>
      <w:r w:rsidRPr="003A2F86">
        <w:rPr>
          <w:rFonts w:ascii="Arial" w:hAnsi="Arial" w:cs="Arial"/>
        </w:rPr>
        <w:t xml:space="preserve"> u razdoblju 2015.-202</w:t>
      </w:r>
      <w:r w:rsidR="00026AA8">
        <w:rPr>
          <w:rFonts w:ascii="Arial" w:hAnsi="Arial" w:cs="Arial"/>
        </w:rPr>
        <w:t>5</w:t>
      </w:r>
      <w:r w:rsidR="00E8319F">
        <w:rPr>
          <w:rFonts w:ascii="Arial" w:hAnsi="Arial" w:cs="Arial"/>
        </w:rPr>
        <w:t>.</w:t>
      </w:r>
      <w:r w:rsidRPr="003A2F86">
        <w:rPr>
          <w:rFonts w:ascii="Arial" w:hAnsi="Arial" w:cs="Arial"/>
        </w:rPr>
        <w:t xml:space="preserve"> (€): Općina</w:t>
      </w:r>
      <w:bookmarkEnd w:id="268"/>
    </w:p>
    <w:p w14:paraId="32EAF66A" w14:textId="48B6C677" w:rsidR="00044003" w:rsidRDefault="002E2E2B" w:rsidP="00D96966">
      <w:pPr>
        <w:spacing w:after="0" w:line="240" w:lineRule="auto"/>
        <w:jc w:val="both"/>
        <w:rPr>
          <w:rFonts w:ascii="Arial" w:hAnsi="Arial" w:cs="Arial"/>
        </w:rPr>
      </w:pPr>
      <w:r w:rsidRPr="00044003">
        <w:rPr>
          <w:rFonts w:ascii="Arial" w:eastAsia="Times New Roman" w:hAnsi="Arial" w:cs="Arial"/>
          <w:b/>
          <w:noProof/>
          <w:sz w:val="20"/>
          <w:szCs w:val="18"/>
          <w:lang w:eastAsia="en-US"/>
        </w:rPr>
        <w:drawing>
          <wp:inline distT="0" distB="0" distL="0" distR="0" wp14:anchorId="0AE4DF60" wp14:editId="14B9066B">
            <wp:extent cx="9494520" cy="3378200"/>
            <wp:effectExtent l="0" t="0" r="0" b="0"/>
            <wp:docPr id="744" name="Chart 7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106592AC" w14:textId="77777777" w:rsidR="00D96966" w:rsidRDefault="00D96966" w:rsidP="00D96966">
      <w:pPr>
        <w:spacing w:after="0" w:line="240" w:lineRule="auto"/>
        <w:jc w:val="both"/>
        <w:rPr>
          <w:rFonts w:ascii="Arial" w:hAnsi="Arial" w:cs="Arial"/>
        </w:rPr>
      </w:pPr>
    </w:p>
    <w:p w14:paraId="1602060B" w14:textId="5B42F62D" w:rsidR="00845F5F" w:rsidRPr="003A2F86" w:rsidRDefault="00845F5F" w:rsidP="00845F5F">
      <w:pPr>
        <w:pStyle w:val="Naslov4"/>
        <w:rPr>
          <w:rFonts w:ascii="Arial" w:hAnsi="Arial" w:cs="Arial"/>
          <w:lang w:val="hr-HR"/>
        </w:rPr>
      </w:pPr>
      <w:bookmarkStart w:id="269" w:name="_Toc232981409"/>
      <w:r w:rsidRPr="003A2F86">
        <w:rPr>
          <w:rFonts w:ascii="Arial" w:hAnsi="Arial" w:cs="Arial"/>
          <w:lang w:val="hr-HR"/>
        </w:rPr>
        <w:t xml:space="preserve">2.5.2.1. </w:t>
      </w:r>
      <w:r w:rsidRPr="003A2F86">
        <w:rPr>
          <w:rFonts w:ascii="Arial" w:hAnsi="Arial" w:cs="Arial"/>
          <w:lang w:val="hr-HR"/>
        </w:rPr>
        <w:tab/>
        <w:t>Izdaci za dane zajmove i depozite (51)</w:t>
      </w:r>
      <w:bookmarkEnd w:id="269"/>
    </w:p>
    <w:p w14:paraId="713AF6C0" w14:textId="77777777" w:rsidR="00E73FEA" w:rsidRPr="003A2F86" w:rsidRDefault="00E73FEA" w:rsidP="00EA57C6">
      <w:pPr>
        <w:spacing w:after="0" w:line="240" w:lineRule="auto"/>
        <w:jc w:val="both"/>
        <w:rPr>
          <w:rFonts w:ascii="Arial" w:hAnsi="Arial" w:cs="Arial"/>
        </w:rPr>
      </w:pPr>
    </w:p>
    <w:p w14:paraId="11C7570A" w14:textId="4E86DDD1" w:rsidR="00A04D64" w:rsidRPr="00026AA8" w:rsidRDefault="00845F5F" w:rsidP="00A04D64">
      <w:pPr>
        <w:spacing w:after="0" w:line="240" w:lineRule="auto"/>
        <w:jc w:val="both"/>
        <w:rPr>
          <w:rFonts w:ascii="Arial" w:hAnsi="Arial" w:cs="Arial"/>
        </w:rPr>
      </w:pPr>
      <w:r w:rsidRPr="003A2F86">
        <w:rPr>
          <w:rFonts w:ascii="Arial" w:hAnsi="Arial" w:cs="Arial"/>
        </w:rPr>
        <w:t xml:space="preserve">Izdaci za dane zajmove i </w:t>
      </w:r>
      <w:r w:rsidR="00A04D64">
        <w:rPr>
          <w:rFonts w:ascii="Arial" w:hAnsi="Arial" w:cs="Arial"/>
        </w:rPr>
        <w:t>jamčevne pologe</w:t>
      </w:r>
      <w:r w:rsidRPr="003A2F86">
        <w:rPr>
          <w:rFonts w:ascii="Arial" w:hAnsi="Arial" w:cs="Arial"/>
        </w:rPr>
        <w:t xml:space="preserve"> (51) su izvršeni u izvještajnom razdoblju tekuće godine</w:t>
      </w:r>
      <w:r w:rsidR="00A04D64">
        <w:rPr>
          <w:rFonts w:ascii="Arial" w:hAnsi="Arial" w:cs="Arial"/>
        </w:rPr>
        <w:t xml:space="preserve"> u iznosu 1.000 € </w:t>
      </w:r>
      <w:r w:rsidR="00A04D64" w:rsidRPr="00026AA8">
        <w:rPr>
          <w:rFonts w:ascii="Arial" w:hAnsi="Arial" w:cs="Arial"/>
        </w:rPr>
        <w:t>(jamčevni polog na temelju višegodišnjeg ugovora o zakupu jednog prostora kojeg je zakupila Općina za prenamjenu u muzejski prostor)</w:t>
      </w:r>
      <w:r w:rsidR="00A04D64">
        <w:rPr>
          <w:rFonts w:ascii="Arial" w:hAnsi="Arial" w:cs="Arial"/>
        </w:rPr>
        <w:t>.</w:t>
      </w:r>
    </w:p>
    <w:p w14:paraId="5DFB2CB4" w14:textId="77777777" w:rsidR="00F23256" w:rsidRDefault="00F23256" w:rsidP="00EA57C6">
      <w:pPr>
        <w:spacing w:after="0" w:line="240" w:lineRule="auto"/>
        <w:jc w:val="both"/>
        <w:rPr>
          <w:rFonts w:ascii="Arial" w:hAnsi="Arial" w:cs="Arial"/>
          <w:sz w:val="18"/>
          <w:szCs w:val="18"/>
        </w:rPr>
      </w:pPr>
    </w:p>
    <w:p w14:paraId="01719F43" w14:textId="7A4DB222" w:rsidR="00EA57C6" w:rsidRPr="00F23256" w:rsidRDefault="00BC75DC" w:rsidP="00E75472">
      <w:pPr>
        <w:spacing w:after="0" w:line="240" w:lineRule="auto"/>
        <w:ind w:left="567"/>
        <w:jc w:val="both"/>
        <w:rPr>
          <w:rFonts w:ascii="Arial" w:hAnsi="Arial" w:cs="Arial"/>
          <w:sz w:val="18"/>
          <w:szCs w:val="18"/>
        </w:rPr>
      </w:pPr>
      <w:r>
        <w:rPr>
          <w:rFonts w:ascii="Arial" w:hAnsi="Arial" w:cs="Arial"/>
          <w:sz w:val="18"/>
          <w:szCs w:val="18"/>
        </w:rPr>
        <w:t>U</w:t>
      </w:r>
      <w:r w:rsidR="00D266DB" w:rsidRPr="00F23256">
        <w:rPr>
          <w:rFonts w:ascii="Arial" w:hAnsi="Arial" w:cs="Arial"/>
          <w:sz w:val="18"/>
          <w:szCs w:val="18"/>
        </w:rPr>
        <w:t xml:space="preserve"> 2023. bili su izvršeni izdaci</w:t>
      </w:r>
      <w:r w:rsidR="00EA57C6" w:rsidRPr="00F23256">
        <w:rPr>
          <w:rFonts w:ascii="Arial" w:hAnsi="Arial" w:cs="Arial"/>
          <w:sz w:val="18"/>
          <w:szCs w:val="18"/>
        </w:rPr>
        <w:t xml:space="preserve"> za kratkoročne depozite</w:t>
      </w:r>
      <w:r w:rsidR="00845F5F" w:rsidRPr="00F23256">
        <w:rPr>
          <w:rFonts w:ascii="Arial" w:hAnsi="Arial" w:cs="Arial"/>
          <w:sz w:val="18"/>
          <w:szCs w:val="18"/>
        </w:rPr>
        <w:t xml:space="preserve"> (51)</w:t>
      </w:r>
      <w:r w:rsidR="00EA57C6" w:rsidRPr="00F23256">
        <w:rPr>
          <w:rFonts w:ascii="Arial" w:hAnsi="Arial" w:cs="Arial"/>
          <w:sz w:val="18"/>
          <w:szCs w:val="18"/>
        </w:rPr>
        <w:t xml:space="preserve"> u iznosu 2.500.000 € (oročenje sredstava od prodaje nefinancijske imovine – prodanog zemljišta u budućoj poduzetničkoj zoni)</w:t>
      </w:r>
      <w:r w:rsidR="00D266DB" w:rsidRPr="00F23256">
        <w:rPr>
          <w:rFonts w:ascii="Arial" w:hAnsi="Arial" w:cs="Arial"/>
          <w:sz w:val="18"/>
          <w:szCs w:val="18"/>
        </w:rPr>
        <w:t>.</w:t>
      </w:r>
    </w:p>
    <w:p w14:paraId="63A4C457" w14:textId="77777777" w:rsidR="002E304B" w:rsidRPr="003A2F86" w:rsidRDefault="002E304B" w:rsidP="002E304B">
      <w:pPr>
        <w:spacing w:after="0" w:line="240" w:lineRule="auto"/>
        <w:jc w:val="both"/>
        <w:rPr>
          <w:rFonts w:ascii="Arial" w:eastAsia="Times New Roman" w:hAnsi="Arial" w:cs="Arial"/>
        </w:rPr>
      </w:pPr>
    </w:p>
    <w:bookmarkEnd w:id="264"/>
    <w:p w14:paraId="3C77D19F" w14:textId="77777777" w:rsidR="003F6170" w:rsidRPr="003A2F86" w:rsidRDefault="003F6170" w:rsidP="002E304B">
      <w:pPr>
        <w:spacing w:after="0" w:line="240" w:lineRule="auto"/>
        <w:jc w:val="both"/>
        <w:rPr>
          <w:rFonts w:ascii="Arial" w:eastAsia="Times New Roman" w:hAnsi="Arial" w:cs="Arial"/>
          <w:bCs/>
          <w:lang w:eastAsia="en-US"/>
        </w:rPr>
      </w:pPr>
    </w:p>
    <w:p w14:paraId="6BB4ED9C" w14:textId="0BC838CB" w:rsidR="002E304B" w:rsidRPr="003A2F86" w:rsidRDefault="00984893" w:rsidP="00984893">
      <w:pPr>
        <w:pStyle w:val="Naslov4"/>
        <w:rPr>
          <w:rFonts w:ascii="Arial" w:hAnsi="Arial" w:cs="Arial"/>
          <w:lang w:val="hr-HR"/>
        </w:rPr>
      </w:pPr>
      <w:bookmarkStart w:id="270" w:name="_Toc232981410"/>
      <w:bookmarkEnd w:id="265"/>
      <w:r w:rsidRPr="003A2F86">
        <w:rPr>
          <w:rFonts w:ascii="Arial" w:hAnsi="Arial" w:cs="Arial"/>
          <w:lang w:val="hr-HR"/>
        </w:rPr>
        <w:t>2.5.2</w:t>
      </w:r>
      <w:r w:rsidR="002E304B" w:rsidRPr="003A2F86">
        <w:rPr>
          <w:rFonts w:ascii="Arial" w:hAnsi="Arial" w:cs="Arial"/>
          <w:lang w:val="hr-HR"/>
        </w:rPr>
        <w:t>.</w:t>
      </w:r>
      <w:r w:rsidR="00845F5F" w:rsidRPr="003A2F86">
        <w:rPr>
          <w:rFonts w:ascii="Arial" w:hAnsi="Arial" w:cs="Arial"/>
          <w:lang w:val="hr-HR"/>
        </w:rPr>
        <w:t>2</w:t>
      </w:r>
      <w:r w:rsidR="002E304B" w:rsidRPr="003A2F86">
        <w:rPr>
          <w:rFonts w:ascii="Arial" w:hAnsi="Arial" w:cs="Arial"/>
          <w:lang w:val="hr-HR"/>
        </w:rPr>
        <w:t xml:space="preserve">. </w:t>
      </w:r>
      <w:r w:rsidR="002E304B" w:rsidRPr="003A2F86">
        <w:rPr>
          <w:rFonts w:ascii="Arial" w:hAnsi="Arial" w:cs="Arial"/>
          <w:lang w:val="hr-HR"/>
        </w:rPr>
        <w:tab/>
        <w:t>Izdaci za dionice i udjele u glavnici (53)</w:t>
      </w:r>
      <w:bookmarkEnd w:id="270"/>
    </w:p>
    <w:p w14:paraId="170C6D37" w14:textId="77777777" w:rsidR="002E304B" w:rsidRPr="003A2F86" w:rsidRDefault="002E304B" w:rsidP="002E304B">
      <w:pPr>
        <w:spacing w:after="0" w:line="240" w:lineRule="auto"/>
        <w:jc w:val="both"/>
        <w:rPr>
          <w:rFonts w:ascii="Arial" w:eastAsia="Calibri" w:hAnsi="Arial" w:cs="Arial"/>
          <w:lang w:eastAsia="en-US"/>
        </w:rPr>
      </w:pPr>
    </w:p>
    <w:p w14:paraId="52C68E0D" w14:textId="4ED85420" w:rsidR="002E304B" w:rsidRPr="003A2F86" w:rsidRDefault="002E304B" w:rsidP="00E75472">
      <w:pPr>
        <w:spacing w:after="0" w:line="240" w:lineRule="auto"/>
        <w:jc w:val="both"/>
        <w:rPr>
          <w:rFonts w:ascii="Arial" w:eastAsia="Times New Roman" w:hAnsi="Arial" w:cs="Arial"/>
          <w:iCs/>
          <w:lang w:eastAsia="en-US"/>
        </w:rPr>
      </w:pPr>
      <w:r w:rsidRPr="003A2F86">
        <w:rPr>
          <w:rFonts w:ascii="Arial" w:eastAsia="Calibri" w:hAnsi="Arial" w:cs="Arial"/>
          <w:lang w:eastAsia="en-US"/>
        </w:rPr>
        <w:t xml:space="preserve">Izdaci za dionice i udjele u glavnici </w:t>
      </w:r>
      <w:r w:rsidRPr="003A2F86">
        <w:rPr>
          <w:rFonts w:ascii="Arial" w:eastAsia="Times New Roman" w:hAnsi="Arial" w:cs="Arial"/>
          <w:iCs/>
          <w:lang w:eastAsia="en-US"/>
        </w:rPr>
        <w:t>(532) u izvještajnom razdoblju 202</w:t>
      </w:r>
      <w:r w:rsidR="00BC75DC">
        <w:rPr>
          <w:rFonts w:ascii="Arial" w:eastAsia="Times New Roman" w:hAnsi="Arial" w:cs="Arial"/>
          <w:iCs/>
          <w:lang w:eastAsia="en-US"/>
        </w:rPr>
        <w:t>5</w:t>
      </w:r>
      <w:r w:rsidRPr="003A2F86">
        <w:rPr>
          <w:rFonts w:ascii="Arial" w:eastAsia="Times New Roman" w:hAnsi="Arial" w:cs="Arial"/>
          <w:iCs/>
          <w:lang w:eastAsia="en-US"/>
        </w:rPr>
        <w:t xml:space="preserve">. nisu izvršeni, </w:t>
      </w:r>
      <w:r w:rsidR="00D266DB" w:rsidRPr="003A2F86">
        <w:rPr>
          <w:rFonts w:ascii="Arial" w:eastAsia="Times New Roman" w:hAnsi="Arial" w:cs="Arial"/>
          <w:iCs/>
          <w:lang w:eastAsia="en-US"/>
        </w:rPr>
        <w:t xml:space="preserve">kao niti u izvještajnom razdoblju </w:t>
      </w:r>
      <w:r w:rsidRPr="003A2F86">
        <w:rPr>
          <w:rFonts w:ascii="Arial" w:eastAsia="Times New Roman" w:hAnsi="Arial" w:cs="Arial"/>
          <w:iCs/>
          <w:lang w:eastAsia="en-US"/>
        </w:rPr>
        <w:t xml:space="preserve">prethodne godine. </w:t>
      </w:r>
    </w:p>
    <w:p w14:paraId="6F20C126" w14:textId="77777777" w:rsidR="00F23256" w:rsidRDefault="00F23256" w:rsidP="00E75472">
      <w:pPr>
        <w:spacing w:after="0" w:line="240" w:lineRule="auto"/>
        <w:jc w:val="both"/>
        <w:rPr>
          <w:rFonts w:ascii="Arial" w:hAnsi="Arial" w:cs="Arial"/>
          <w:sz w:val="18"/>
          <w:szCs w:val="18"/>
        </w:rPr>
      </w:pPr>
    </w:p>
    <w:p w14:paraId="2B6E7E7E" w14:textId="07EECC50" w:rsidR="002E304B" w:rsidRPr="003A2F86" w:rsidRDefault="002E304B" w:rsidP="00F23256">
      <w:pPr>
        <w:spacing w:after="0" w:line="240" w:lineRule="auto"/>
        <w:ind w:left="567"/>
        <w:jc w:val="both"/>
        <w:rPr>
          <w:rFonts w:ascii="Arial" w:eastAsia="Calibri" w:hAnsi="Arial" w:cs="Arial"/>
          <w:sz w:val="18"/>
          <w:szCs w:val="18"/>
          <w:lang w:eastAsia="en-US"/>
        </w:rPr>
      </w:pPr>
      <w:r w:rsidRPr="003A2F86">
        <w:rPr>
          <w:rFonts w:ascii="Arial" w:hAnsi="Arial" w:cs="Arial"/>
          <w:sz w:val="18"/>
          <w:szCs w:val="18"/>
        </w:rPr>
        <w:t>Ranijih godina u okviru izdataka za dionice i udjele u glavnici (532) su bili iskazivani izdaci (dokapitalizacija) društvima u vlasništvu Općine - Konavosko komunalno društvo(otplata kamata zajma za vodoopskrbni sustav Đurinići – jamstvo, druga ulaganja u kanalizaciju i vodovod), kao i društvo Čistoća i zelenilo Konavle (nabava imovine).</w:t>
      </w:r>
    </w:p>
    <w:p w14:paraId="7C94F562" w14:textId="77777777" w:rsidR="004113C9" w:rsidRPr="003A2F86" w:rsidRDefault="004113C9" w:rsidP="00891119">
      <w:pPr>
        <w:spacing w:after="0" w:line="240" w:lineRule="auto"/>
        <w:jc w:val="both"/>
        <w:rPr>
          <w:rFonts w:ascii="Arial" w:eastAsia="Calibri" w:hAnsi="Arial" w:cs="Arial"/>
          <w:lang w:eastAsia="en-US"/>
        </w:rPr>
      </w:pPr>
    </w:p>
    <w:p w14:paraId="5F5D757C" w14:textId="39C5F8CD" w:rsidR="00891119" w:rsidRPr="003A2F86" w:rsidRDefault="00984893" w:rsidP="00984893">
      <w:pPr>
        <w:pStyle w:val="Naslov4"/>
        <w:rPr>
          <w:rFonts w:ascii="Arial" w:hAnsi="Arial" w:cs="Arial"/>
          <w:lang w:val="hr-HR"/>
        </w:rPr>
      </w:pPr>
      <w:bookmarkStart w:id="271" w:name="_Toc232981411"/>
      <w:r w:rsidRPr="003A2F86">
        <w:rPr>
          <w:rFonts w:ascii="Arial" w:hAnsi="Arial" w:cs="Arial"/>
          <w:lang w:val="hr-HR"/>
        </w:rPr>
        <w:t>2.5.2</w:t>
      </w:r>
      <w:r w:rsidR="00891119" w:rsidRPr="003A2F86">
        <w:rPr>
          <w:rFonts w:ascii="Arial" w:hAnsi="Arial" w:cs="Arial"/>
          <w:lang w:val="hr-HR"/>
        </w:rPr>
        <w:t>.</w:t>
      </w:r>
      <w:r w:rsidR="00845F5F" w:rsidRPr="003A2F86">
        <w:rPr>
          <w:rFonts w:ascii="Arial" w:hAnsi="Arial" w:cs="Arial"/>
          <w:lang w:val="hr-HR"/>
        </w:rPr>
        <w:t>3</w:t>
      </w:r>
      <w:r w:rsidR="00891119" w:rsidRPr="003A2F86">
        <w:rPr>
          <w:rFonts w:ascii="Arial" w:hAnsi="Arial" w:cs="Arial"/>
          <w:lang w:val="hr-HR"/>
        </w:rPr>
        <w:t xml:space="preserve">. </w:t>
      </w:r>
      <w:r w:rsidR="00891119" w:rsidRPr="003A2F86">
        <w:rPr>
          <w:rFonts w:ascii="Arial" w:hAnsi="Arial" w:cs="Arial"/>
          <w:lang w:val="hr-HR"/>
        </w:rPr>
        <w:tab/>
        <w:t>Izdaci za otplatu glavnice primljenih kredita i zajmova (54)</w:t>
      </w:r>
      <w:bookmarkEnd w:id="271"/>
    </w:p>
    <w:p w14:paraId="57800219" w14:textId="77777777" w:rsidR="003D4AF3" w:rsidRPr="003A2F86" w:rsidRDefault="003D4AF3" w:rsidP="002B5604">
      <w:pPr>
        <w:autoSpaceDE w:val="0"/>
        <w:autoSpaceDN w:val="0"/>
        <w:adjustRightInd w:val="0"/>
        <w:spacing w:after="0" w:line="240" w:lineRule="auto"/>
        <w:jc w:val="both"/>
        <w:rPr>
          <w:rFonts w:ascii="Arial" w:eastAsia="Times New Roman" w:hAnsi="Arial" w:cs="Arial"/>
        </w:rPr>
      </w:pPr>
    </w:p>
    <w:p w14:paraId="793129DD" w14:textId="08EF958E" w:rsidR="000D170E" w:rsidRPr="003A2F86" w:rsidRDefault="003D4AF3" w:rsidP="003D4AF3">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Izvršeni izdaci za otplatu glavnice kredita </w:t>
      </w:r>
      <w:r w:rsidR="00BD7097" w:rsidRPr="003A2F86">
        <w:rPr>
          <w:rFonts w:ascii="Arial" w:eastAsia="Times New Roman" w:hAnsi="Arial" w:cs="Arial"/>
          <w:iCs/>
          <w:lang w:eastAsia="en-US"/>
        </w:rPr>
        <w:t xml:space="preserve">(54) </w:t>
      </w:r>
      <w:r w:rsidRPr="003A2F86">
        <w:rPr>
          <w:rFonts w:ascii="Arial" w:eastAsia="Times New Roman" w:hAnsi="Arial" w:cs="Arial"/>
          <w:iCs/>
          <w:lang w:eastAsia="en-US"/>
        </w:rPr>
        <w:t>u 202</w:t>
      </w:r>
      <w:r w:rsidR="00BC75DC">
        <w:rPr>
          <w:rFonts w:ascii="Arial" w:eastAsia="Times New Roman" w:hAnsi="Arial" w:cs="Arial"/>
          <w:iCs/>
          <w:lang w:eastAsia="en-US"/>
        </w:rPr>
        <w:t>5</w:t>
      </w:r>
      <w:r w:rsidRPr="003A2F86">
        <w:rPr>
          <w:rFonts w:ascii="Arial" w:eastAsia="Times New Roman" w:hAnsi="Arial" w:cs="Arial"/>
          <w:iCs/>
          <w:lang w:eastAsia="en-US"/>
        </w:rPr>
        <w:t xml:space="preserve">. iznose </w:t>
      </w:r>
      <w:r w:rsidR="00A04D64">
        <w:rPr>
          <w:rFonts w:ascii="Arial" w:eastAsia="Times New Roman" w:hAnsi="Arial" w:cs="Arial"/>
          <w:iCs/>
          <w:lang w:eastAsia="en-US"/>
        </w:rPr>
        <w:t>993.780,35</w:t>
      </w:r>
      <w:r w:rsidR="00B56C07" w:rsidRPr="003A2F86">
        <w:rPr>
          <w:rFonts w:ascii="Arial" w:eastAsia="Times New Roman" w:hAnsi="Arial" w:cs="Arial"/>
          <w:iCs/>
          <w:lang w:eastAsia="en-US"/>
        </w:rPr>
        <w:t xml:space="preserve"> €</w:t>
      </w:r>
      <w:r w:rsidR="000D170E" w:rsidRPr="003A2F86">
        <w:rPr>
          <w:rFonts w:ascii="Arial" w:eastAsia="Times New Roman" w:hAnsi="Arial" w:cs="Arial"/>
          <w:iCs/>
          <w:lang w:eastAsia="en-US"/>
        </w:rPr>
        <w:t xml:space="preserve">. </w:t>
      </w:r>
    </w:p>
    <w:p w14:paraId="204561EA" w14:textId="77777777" w:rsidR="00B56C07" w:rsidRPr="00E75472" w:rsidRDefault="00B56C07" w:rsidP="003D4AF3">
      <w:pPr>
        <w:spacing w:after="0" w:line="240" w:lineRule="auto"/>
        <w:jc w:val="both"/>
        <w:rPr>
          <w:rFonts w:ascii="Arial" w:eastAsia="Times New Roman" w:hAnsi="Arial" w:cs="Arial"/>
          <w:iCs/>
          <w:sz w:val="18"/>
          <w:szCs w:val="18"/>
          <w:lang w:eastAsia="en-US"/>
        </w:rPr>
      </w:pPr>
    </w:p>
    <w:p w14:paraId="767245B9" w14:textId="3189CD88" w:rsidR="00BC75DC" w:rsidRPr="00BC75DC" w:rsidRDefault="00BC75DC" w:rsidP="00F23256">
      <w:pPr>
        <w:spacing w:after="0" w:line="240" w:lineRule="auto"/>
        <w:ind w:left="567"/>
        <w:jc w:val="both"/>
        <w:rPr>
          <w:rFonts w:ascii="Arial" w:eastAsia="Times New Roman" w:hAnsi="Arial" w:cs="Arial"/>
          <w:iCs/>
          <w:sz w:val="18"/>
          <w:szCs w:val="18"/>
          <w:lang w:eastAsia="en-US"/>
        </w:rPr>
      </w:pPr>
      <w:bookmarkStart w:id="272" w:name="_Hlk166651570"/>
      <w:bookmarkStart w:id="273" w:name="_Hlk145942817"/>
      <w:r w:rsidRPr="00BC75DC">
        <w:rPr>
          <w:rFonts w:ascii="Arial" w:eastAsia="Times New Roman" w:hAnsi="Arial" w:cs="Arial"/>
          <w:iCs/>
          <w:sz w:val="18"/>
          <w:szCs w:val="18"/>
          <w:lang w:eastAsia="en-US"/>
        </w:rPr>
        <w:t>U 2024. izdaci za otplatu kredita su iznosili 544.206,34 € (otplata kredita za izgradnju doma za stare 292.305,66 €, kredita za rekonstrukciju javne rasvjete 251.900,68 €</w:t>
      </w:r>
      <w:r>
        <w:rPr>
          <w:rFonts w:ascii="Arial" w:eastAsia="Times New Roman" w:hAnsi="Arial" w:cs="Arial"/>
          <w:iCs/>
          <w:sz w:val="18"/>
          <w:szCs w:val="18"/>
          <w:lang w:eastAsia="en-US"/>
        </w:rPr>
        <w:t>).</w:t>
      </w:r>
    </w:p>
    <w:bookmarkEnd w:id="272"/>
    <w:p w14:paraId="67B8C81F" w14:textId="77777777" w:rsidR="00B56C07" w:rsidRPr="00E75472" w:rsidRDefault="00B56C07" w:rsidP="003D4AF3">
      <w:pPr>
        <w:spacing w:after="0" w:line="240" w:lineRule="auto"/>
        <w:jc w:val="both"/>
        <w:rPr>
          <w:rFonts w:ascii="Arial" w:eastAsia="Times New Roman" w:hAnsi="Arial" w:cs="Arial"/>
          <w:iCs/>
          <w:sz w:val="18"/>
          <w:szCs w:val="18"/>
          <w:lang w:eastAsia="en-US"/>
        </w:rPr>
      </w:pPr>
    </w:p>
    <w:bookmarkEnd w:id="273"/>
    <w:p w14:paraId="5754BF8B" w14:textId="6937324A" w:rsidR="00E75472" w:rsidRPr="004B498C" w:rsidRDefault="004B498C" w:rsidP="00E75472">
      <w:pPr>
        <w:spacing w:after="0" w:line="240" w:lineRule="auto"/>
        <w:jc w:val="both"/>
        <w:rPr>
          <w:rFonts w:ascii="Arial" w:eastAsia="Times New Roman" w:hAnsi="Arial" w:cs="Arial"/>
          <w:iCs/>
          <w:lang w:eastAsia="en-US"/>
        </w:rPr>
      </w:pPr>
      <w:r w:rsidRPr="004B498C">
        <w:rPr>
          <w:rFonts w:ascii="Arial" w:eastAsia="Times New Roman" w:hAnsi="Arial" w:cs="Arial"/>
          <w:iCs/>
          <w:lang w:eastAsia="en-US"/>
        </w:rPr>
        <w:t>Općina je u 202</w:t>
      </w:r>
      <w:r w:rsidR="00BC75DC">
        <w:rPr>
          <w:rFonts w:ascii="Arial" w:eastAsia="Times New Roman" w:hAnsi="Arial" w:cs="Arial"/>
          <w:iCs/>
          <w:lang w:eastAsia="en-US"/>
        </w:rPr>
        <w:t>5</w:t>
      </w:r>
      <w:r w:rsidRPr="004B498C">
        <w:rPr>
          <w:rFonts w:ascii="Arial" w:eastAsia="Times New Roman" w:hAnsi="Arial" w:cs="Arial"/>
          <w:iCs/>
          <w:lang w:eastAsia="en-US"/>
        </w:rPr>
        <w:t xml:space="preserve">. </w:t>
      </w:r>
      <w:r w:rsidR="00BC75DC">
        <w:rPr>
          <w:rFonts w:ascii="Arial" w:eastAsia="Times New Roman" w:hAnsi="Arial" w:cs="Arial"/>
          <w:iCs/>
          <w:lang w:eastAsia="en-US"/>
        </w:rPr>
        <w:t xml:space="preserve">u cijelosti </w:t>
      </w:r>
      <w:r w:rsidR="00BC75DC" w:rsidRPr="00BC75DC">
        <w:rPr>
          <w:rFonts w:ascii="Arial" w:eastAsia="Times New Roman" w:hAnsi="Arial" w:cs="Arial"/>
          <w:i/>
          <w:lang w:eastAsia="en-US"/>
        </w:rPr>
        <w:t>k</w:t>
      </w:r>
      <w:r w:rsidRPr="00E75472">
        <w:rPr>
          <w:rFonts w:ascii="Arial" w:eastAsia="Times New Roman" w:hAnsi="Arial" w:cs="Arial"/>
          <w:i/>
          <w:lang w:eastAsia="en-US"/>
        </w:rPr>
        <w:t>redit za izgradnju doma za starije i nemoćne osobe</w:t>
      </w:r>
      <w:r w:rsidR="00E75472">
        <w:rPr>
          <w:rFonts w:ascii="Arial" w:eastAsia="Times New Roman" w:hAnsi="Arial" w:cs="Arial"/>
          <w:iCs/>
          <w:lang w:eastAsia="en-US"/>
        </w:rPr>
        <w:t xml:space="preserve"> (</w:t>
      </w:r>
      <w:r w:rsidR="00E75472" w:rsidRPr="004B498C">
        <w:rPr>
          <w:rFonts w:ascii="Arial" w:eastAsia="Times New Roman" w:hAnsi="Arial" w:cs="Arial"/>
          <w:iCs/>
          <w:lang w:eastAsia="en-US"/>
        </w:rPr>
        <w:t xml:space="preserve">glavnica </w:t>
      </w:r>
      <w:r w:rsidR="00BC75DC">
        <w:rPr>
          <w:rFonts w:ascii="Arial" w:eastAsia="Times New Roman" w:hAnsi="Arial" w:cs="Arial"/>
          <w:iCs/>
          <w:lang w:eastAsia="en-US"/>
        </w:rPr>
        <w:t>219.22</w:t>
      </w:r>
      <w:r w:rsidR="00C148A7">
        <w:rPr>
          <w:rFonts w:ascii="Arial" w:eastAsia="Times New Roman" w:hAnsi="Arial" w:cs="Arial"/>
          <w:iCs/>
          <w:lang w:eastAsia="en-US"/>
        </w:rPr>
        <w:t>9</w:t>
      </w:r>
      <w:r w:rsidR="00BC75DC">
        <w:rPr>
          <w:rFonts w:ascii="Arial" w:eastAsia="Times New Roman" w:hAnsi="Arial" w:cs="Arial"/>
          <w:iCs/>
          <w:lang w:eastAsia="en-US"/>
        </w:rPr>
        <w:t>,24</w:t>
      </w:r>
      <w:r w:rsidR="00E75472" w:rsidRPr="004B498C">
        <w:rPr>
          <w:rFonts w:ascii="Arial" w:eastAsia="Times New Roman" w:hAnsi="Arial" w:cs="Arial"/>
          <w:iCs/>
          <w:lang w:eastAsia="en-US"/>
        </w:rPr>
        <w:t xml:space="preserve"> €</w:t>
      </w:r>
      <w:r w:rsidR="00E75472">
        <w:rPr>
          <w:rFonts w:ascii="Arial" w:eastAsia="Times New Roman" w:hAnsi="Arial" w:cs="Arial"/>
          <w:iCs/>
          <w:lang w:eastAsia="en-US"/>
        </w:rPr>
        <w:t xml:space="preserve">, a </w:t>
      </w:r>
      <w:r w:rsidR="00E75472" w:rsidRPr="004B498C">
        <w:rPr>
          <w:rFonts w:ascii="Arial" w:eastAsia="Times New Roman" w:hAnsi="Arial" w:cs="Arial"/>
          <w:iCs/>
          <w:lang w:eastAsia="en-US"/>
        </w:rPr>
        <w:t xml:space="preserve">kamate </w:t>
      </w:r>
      <w:r w:rsidR="00BC75DC">
        <w:rPr>
          <w:rFonts w:ascii="Arial" w:eastAsia="Times New Roman" w:hAnsi="Arial" w:cs="Arial"/>
          <w:iCs/>
          <w:lang w:eastAsia="en-US"/>
        </w:rPr>
        <w:t>2.498,06</w:t>
      </w:r>
      <w:r w:rsidR="00E75472" w:rsidRPr="004B498C">
        <w:rPr>
          <w:rFonts w:ascii="Arial" w:eastAsia="Times New Roman" w:hAnsi="Arial" w:cs="Arial"/>
          <w:iCs/>
          <w:lang w:eastAsia="en-US"/>
        </w:rPr>
        <w:t xml:space="preserve"> €</w:t>
      </w:r>
      <w:r w:rsidR="00BC75DC">
        <w:rPr>
          <w:rFonts w:ascii="Arial" w:eastAsia="Times New Roman" w:hAnsi="Arial" w:cs="Arial"/>
          <w:iCs/>
          <w:lang w:eastAsia="en-US"/>
        </w:rPr>
        <w:t xml:space="preserve"> i naknada za prijevremenu otplatu kredita 1.463,53 €</w:t>
      </w:r>
      <w:r w:rsidR="00E75472" w:rsidRPr="004B498C">
        <w:rPr>
          <w:rFonts w:ascii="Arial" w:eastAsia="Times New Roman" w:hAnsi="Arial" w:cs="Arial"/>
          <w:iCs/>
          <w:lang w:eastAsia="en-US"/>
        </w:rPr>
        <w:t>).</w:t>
      </w:r>
      <w:r w:rsidR="00E75472">
        <w:rPr>
          <w:rFonts w:ascii="Arial" w:eastAsia="Times New Roman" w:hAnsi="Arial" w:cs="Arial"/>
          <w:iCs/>
          <w:lang w:eastAsia="en-US"/>
        </w:rPr>
        <w:t xml:space="preserve"> </w:t>
      </w:r>
    </w:p>
    <w:p w14:paraId="1BE55964" w14:textId="77777777" w:rsidR="00E75472" w:rsidRPr="00E75472" w:rsidRDefault="00E75472" w:rsidP="004B498C">
      <w:pPr>
        <w:spacing w:after="0" w:line="240" w:lineRule="auto"/>
        <w:jc w:val="both"/>
        <w:rPr>
          <w:rFonts w:ascii="Arial" w:eastAsia="Times New Roman" w:hAnsi="Arial" w:cs="Arial"/>
          <w:iCs/>
          <w:sz w:val="18"/>
          <w:szCs w:val="18"/>
          <w:lang w:eastAsia="en-US"/>
        </w:rPr>
      </w:pPr>
    </w:p>
    <w:p w14:paraId="34D61826" w14:textId="3BAFF194" w:rsidR="00E75472" w:rsidRPr="00E75472" w:rsidRDefault="004B498C" w:rsidP="00E75472">
      <w:pPr>
        <w:spacing w:after="0" w:line="240" w:lineRule="auto"/>
        <w:ind w:left="567"/>
        <w:jc w:val="both"/>
        <w:rPr>
          <w:rFonts w:ascii="Arial" w:eastAsia="Times New Roman" w:hAnsi="Arial" w:cs="Arial"/>
          <w:iCs/>
          <w:sz w:val="18"/>
          <w:szCs w:val="18"/>
          <w:lang w:eastAsia="en-US"/>
        </w:rPr>
      </w:pPr>
      <w:r w:rsidRPr="00E75472">
        <w:rPr>
          <w:rFonts w:ascii="Arial" w:eastAsia="Times New Roman" w:hAnsi="Arial" w:cs="Arial"/>
          <w:iCs/>
          <w:sz w:val="18"/>
          <w:szCs w:val="18"/>
          <w:lang w:eastAsia="en-US"/>
        </w:rPr>
        <w:t>Općina se u kolovozu 2013. zaduži</w:t>
      </w:r>
      <w:r w:rsidR="00111106">
        <w:rPr>
          <w:rFonts w:ascii="Arial" w:eastAsia="Times New Roman" w:hAnsi="Arial" w:cs="Arial"/>
          <w:iCs/>
          <w:sz w:val="18"/>
          <w:szCs w:val="18"/>
          <w:lang w:eastAsia="en-US"/>
        </w:rPr>
        <w:t>l</w:t>
      </w:r>
      <w:r w:rsidRPr="00E75472">
        <w:rPr>
          <w:rFonts w:ascii="Arial" w:eastAsia="Times New Roman" w:hAnsi="Arial" w:cs="Arial"/>
          <w:iCs/>
          <w:sz w:val="18"/>
          <w:szCs w:val="18"/>
          <w:lang w:eastAsia="en-US"/>
        </w:rPr>
        <w:t xml:space="preserve">a (OTP banka d.d.) za izgradnju Doma u iznosu 20.000.000 kn (2.630.750,95 EUR srednji tečaj HNB za 1 EUR na dan 26.4.2013.). Kredit je tijekom 2013. i 2014. iskorišten u iznosu 20.047.974,40 kn (2.660.823,47 €). Prvi obrok je dospio 31.12.2015., a posljednji 30.09.2024. Tromjesečni obrok za glavnicu kredita iznosi 73.076,42 EUR, te ukupni godišnji iznos za glavnicu kredita (četiri tromjesečna obroka) iznosi 292.305,68 EUR. Zbog nedostatka proračunskih sredstava uvjetovanih pandemijom bolesti COVID-19, Općina je s poslovnom bankom dana 19. lipnja 2020. zaključila dodatak ugovoru kojim je utvrđena odgoda plaćanja rata glavnice kredita do 31.12.2020. te se obračun kamata i prvi obrok plaća 31.03.2021. i otplata posljednjeg obroka </w:t>
      </w:r>
      <w:r w:rsidR="00E75472">
        <w:rPr>
          <w:rFonts w:ascii="Arial" w:eastAsia="Times New Roman" w:hAnsi="Arial" w:cs="Arial"/>
          <w:iCs/>
          <w:sz w:val="18"/>
          <w:szCs w:val="18"/>
          <w:lang w:eastAsia="en-US"/>
        </w:rPr>
        <w:t xml:space="preserve">se produžila </w:t>
      </w:r>
      <w:r w:rsidRPr="00E75472">
        <w:rPr>
          <w:rFonts w:ascii="Arial" w:eastAsia="Times New Roman" w:hAnsi="Arial" w:cs="Arial"/>
          <w:iCs/>
          <w:sz w:val="18"/>
          <w:szCs w:val="18"/>
          <w:lang w:eastAsia="en-US"/>
        </w:rPr>
        <w:t xml:space="preserve">30.9.2025. Kamatna stopa u razdoblju odgode plaćanja utvrđena je u visini redovne kamatne stope, ali naplata kamate je izvršena u 2021. na dan utvrđene ponovne otplate glavnice kredita. </w:t>
      </w:r>
      <w:r w:rsidR="00BC75DC">
        <w:rPr>
          <w:rFonts w:ascii="Arial" w:eastAsia="Times New Roman" w:hAnsi="Arial" w:cs="Arial"/>
          <w:iCs/>
          <w:sz w:val="18"/>
          <w:szCs w:val="18"/>
          <w:lang w:eastAsia="en-US"/>
        </w:rPr>
        <w:t>Kredit je u cijelosti otplaćen u travnju 2025. godine.</w:t>
      </w:r>
    </w:p>
    <w:p w14:paraId="70205413" w14:textId="77777777" w:rsidR="002E2E2B" w:rsidRDefault="002E2E2B" w:rsidP="00EA57C6">
      <w:pPr>
        <w:spacing w:after="0" w:line="240" w:lineRule="auto"/>
        <w:jc w:val="both"/>
        <w:rPr>
          <w:rFonts w:ascii="Arial" w:eastAsia="Times New Roman" w:hAnsi="Arial" w:cs="Arial"/>
          <w:iCs/>
          <w:sz w:val="18"/>
          <w:szCs w:val="18"/>
          <w:lang w:eastAsia="en-US"/>
        </w:rPr>
      </w:pPr>
    </w:p>
    <w:p w14:paraId="1853DADE" w14:textId="2D8BEB30" w:rsidR="00BC75DC" w:rsidRDefault="00BC75DC" w:rsidP="004B498C">
      <w:pPr>
        <w:spacing w:after="0" w:line="240" w:lineRule="auto"/>
        <w:jc w:val="both"/>
        <w:rPr>
          <w:rFonts w:ascii="Arial" w:eastAsia="Times New Roman" w:hAnsi="Arial" w:cs="Arial"/>
          <w:iCs/>
          <w:lang w:eastAsia="en-US"/>
        </w:rPr>
      </w:pPr>
      <w:r>
        <w:rPr>
          <w:rFonts w:ascii="Arial" w:eastAsia="Times New Roman" w:hAnsi="Arial" w:cs="Arial"/>
          <w:iCs/>
          <w:lang w:eastAsia="en-US"/>
        </w:rPr>
        <w:t>U 2025. godini plaćen</w:t>
      </w:r>
      <w:r w:rsidR="00A42579">
        <w:rPr>
          <w:rFonts w:ascii="Arial" w:eastAsia="Times New Roman" w:hAnsi="Arial" w:cs="Arial"/>
          <w:iCs/>
          <w:lang w:eastAsia="en-US"/>
        </w:rPr>
        <w:t>a</w:t>
      </w:r>
      <w:r>
        <w:rPr>
          <w:rFonts w:ascii="Arial" w:eastAsia="Times New Roman" w:hAnsi="Arial" w:cs="Arial"/>
          <w:iCs/>
          <w:lang w:eastAsia="en-US"/>
        </w:rPr>
        <w:t xml:space="preserve"> je glavnica kredita za energetsku učinkovitost javne rasvjete u iznosu </w:t>
      </w:r>
      <w:r w:rsidR="00C148A7">
        <w:rPr>
          <w:rFonts w:ascii="Arial" w:eastAsia="Times New Roman" w:hAnsi="Arial" w:cs="Arial"/>
          <w:iCs/>
          <w:lang w:eastAsia="en-US"/>
        </w:rPr>
        <w:t>99.683,20</w:t>
      </w:r>
      <w:r w:rsidR="00F27127">
        <w:rPr>
          <w:rFonts w:ascii="Arial" w:eastAsia="Times New Roman" w:hAnsi="Arial" w:cs="Arial"/>
          <w:iCs/>
          <w:lang w:eastAsia="en-US"/>
        </w:rPr>
        <w:t xml:space="preserve"> € uz kamate </w:t>
      </w:r>
      <w:r w:rsidR="00C148A7">
        <w:rPr>
          <w:rFonts w:ascii="Arial" w:eastAsia="Times New Roman" w:hAnsi="Arial" w:cs="Arial"/>
          <w:iCs/>
          <w:lang w:eastAsia="en-US"/>
        </w:rPr>
        <w:t>2.802,39</w:t>
      </w:r>
      <w:r w:rsidR="00F27127">
        <w:rPr>
          <w:rFonts w:ascii="Arial" w:eastAsia="Times New Roman" w:hAnsi="Arial" w:cs="Arial"/>
          <w:iCs/>
          <w:lang w:eastAsia="en-US"/>
        </w:rPr>
        <w:t xml:space="preserve"> €.</w:t>
      </w:r>
    </w:p>
    <w:p w14:paraId="75B31B6A" w14:textId="77777777" w:rsidR="00BC75DC" w:rsidRPr="00DE62BD" w:rsidRDefault="00BC75DC" w:rsidP="004B498C">
      <w:pPr>
        <w:spacing w:after="0" w:line="240" w:lineRule="auto"/>
        <w:jc w:val="both"/>
        <w:rPr>
          <w:rFonts w:ascii="Arial" w:eastAsia="Times New Roman" w:hAnsi="Arial" w:cs="Arial"/>
          <w:iCs/>
          <w:sz w:val="20"/>
          <w:szCs w:val="20"/>
          <w:lang w:eastAsia="en-US"/>
        </w:rPr>
      </w:pPr>
    </w:p>
    <w:p w14:paraId="561F8720" w14:textId="7EBDE495" w:rsidR="004B498C" w:rsidRPr="00F27127" w:rsidRDefault="004B498C" w:rsidP="00F27127">
      <w:pPr>
        <w:spacing w:after="0" w:line="240" w:lineRule="auto"/>
        <w:ind w:left="709"/>
        <w:jc w:val="both"/>
        <w:rPr>
          <w:rFonts w:ascii="Arial" w:eastAsia="Times New Roman" w:hAnsi="Arial" w:cs="Arial"/>
          <w:iCs/>
          <w:sz w:val="18"/>
          <w:szCs w:val="18"/>
          <w:lang w:eastAsia="en-US"/>
        </w:rPr>
      </w:pPr>
      <w:r w:rsidRPr="00F27127">
        <w:rPr>
          <w:rFonts w:ascii="Arial" w:eastAsia="Times New Roman" w:hAnsi="Arial" w:cs="Arial"/>
          <w:iCs/>
          <w:sz w:val="18"/>
          <w:szCs w:val="18"/>
          <w:lang w:eastAsia="en-US"/>
        </w:rPr>
        <w:t xml:space="preserve">U 2024. godini je započela otplata </w:t>
      </w:r>
      <w:r w:rsidRPr="00F27127">
        <w:rPr>
          <w:rFonts w:ascii="Arial" w:eastAsia="Times New Roman" w:hAnsi="Arial" w:cs="Arial"/>
          <w:i/>
          <w:sz w:val="18"/>
          <w:szCs w:val="18"/>
          <w:lang w:eastAsia="en-US"/>
        </w:rPr>
        <w:t>kredita za rekonstrukciju javne rasvjete</w:t>
      </w:r>
      <w:r w:rsidRPr="00F27127">
        <w:rPr>
          <w:rFonts w:ascii="Arial" w:eastAsia="Times New Roman" w:hAnsi="Arial" w:cs="Arial"/>
          <w:iCs/>
          <w:sz w:val="18"/>
          <w:szCs w:val="18"/>
          <w:lang w:eastAsia="en-US"/>
        </w:rPr>
        <w:t xml:space="preserve"> (energetska učinkovitost). Ovaj kredit je zaključen </w:t>
      </w:r>
      <w:r w:rsidR="00880700" w:rsidRPr="00F27127">
        <w:rPr>
          <w:rFonts w:ascii="Arial" w:eastAsia="Times New Roman" w:hAnsi="Arial" w:cs="Arial"/>
          <w:iCs/>
          <w:sz w:val="18"/>
          <w:szCs w:val="18"/>
          <w:lang w:eastAsia="en-US"/>
        </w:rPr>
        <w:t xml:space="preserve">u iznosu 850.000 € dana </w:t>
      </w:r>
      <w:r w:rsidRPr="00F27127">
        <w:rPr>
          <w:rFonts w:ascii="Arial" w:eastAsia="Times New Roman" w:hAnsi="Arial" w:cs="Arial"/>
          <w:iCs/>
          <w:sz w:val="18"/>
          <w:szCs w:val="18"/>
          <w:lang w:eastAsia="en-US"/>
        </w:rPr>
        <w:t>19.12.2022. s bankom (HBOR) i iskorišten je u iznosu 647.940,92 €. U 2024. godini vraćen dio neiskorištenog kredita u iznosu 202.059,08 € i otplaćena glavnica u iznosu 49.841,60 € (sveukupno 251.900,68 €). U 2024. godine su plaćene redovne kamate u iznosu 3.777,01 €.</w:t>
      </w:r>
      <w:r w:rsidR="00F27127">
        <w:rPr>
          <w:rFonts w:ascii="Arial" w:eastAsia="Times New Roman" w:hAnsi="Arial" w:cs="Arial"/>
          <w:iCs/>
          <w:sz w:val="18"/>
          <w:szCs w:val="18"/>
          <w:lang w:eastAsia="en-US"/>
        </w:rPr>
        <w:t xml:space="preserve"> Nakon plaćanja glavnice kredita u 2025. godini, obveze koncem lipnja 2025. godine iznose 548.257,72 €.</w:t>
      </w:r>
    </w:p>
    <w:p w14:paraId="714C63C3" w14:textId="77777777" w:rsidR="00A42579" w:rsidRDefault="00A42579" w:rsidP="00A42579">
      <w:pPr>
        <w:spacing w:after="0" w:line="240" w:lineRule="auto"/>
        <w:jc w:val="both"/>
        <w:rPr>
          <w:rFonts w:ascii="Arial" w:eastAsia="Times New Roman" w:hAnsi="Arial" w:cs="Arial"/>
          <w:iCs/>
          <w:sz w:val="18"/>
          <w:szCs w:val="18"/>
          <w:lang w:eastAsia="en-US"/>
        </w:rPr>
      </w:pPr>
    </w:p>
    <w:p w14:paraId="1A9C1406" w14:textId="46E0B12E" w:rsidR="00A42579" w:rsidRDefault="00A42579" w:rsidP="00A42579">
      <w:pPr>
        <w:spacing w:after="0" w:line="240" w:lineRule="auto"/>
        <w:jc w:val="both"/>
        <w:rPr>
          <w:rFonts w:ascii="Arial" w:eastAsia="Times New Roman" w:hAnsi="Arial" w:cs="Arial"/>
          <w:iCs/>
          <w:lang w:eastAsia="en-US"/>
        </w:rPr>
      </w:pPr>
      <w:r>
        <w:rPr>
          <w:rFonts w:ascii="Arial" w:eastAsia="Times New Roman" w:hAnsi="Arial" w:cs="Arial"/>
          <w:iCs/>
          <w:lang w:eastAsia="en-US"/>
        </w:rPr>
        <w:lastRenderedPageBreak/>
        <w:t xml:space="preserve">U 2025. godini plaćena je glavnica kredita za izgradnju vatrogasnog doma i nabavu vatrogasnog vozila i opreme u iznosu </w:t>
      </w:r>
      <w:r w:rsidR="00C148A7">
        <w:rPr>
          <w:rFonts w:ascii="Arial" w:eastAsia="Times New Roman" w:hAnsi="Arial" w:cs="Arial"/>
          <w:iCs/>
          <w:lang w:eastAsia="en-US"/>
        </w:rPr>
        <w:t>674.867,91</w:t>
      </w:r>
      <w:r>
        <w:rPr>
          <w:rFonts w:ascii="Arial" w:eastAsia="Times New Roman" w:hAnsi="Arial" w:cs="Arial"/>
          <w:iCs/>
          <w:lang w:eastAsia="en-US"/>
        </w:rPr>
        <w:t xml:space="preserve"> € uz kamate </w:t>
      </w:r>
      <w:r w:rsidR="00C148A7">
        <w:rPr>
          <w:rFonts w:ascii="Arial" w:eastAsia="Times New Roman" w:hAnsi="Arial" w:cs="Arial"/>
          <w:iCs/>
          <w:lang w:eastAsia="en-US"/>
        </w:rPr>
        <w:t>9.779,87</w:t>
      </w:r>
      <w:r>
        <w:rPr>
          <w:rFonts w:ascii="Arial" w:eastAsia="Times New Roman" w:hAnsi="Arial" w:cs="Arial"/>
          <w:iCs/>
          <w:lang w:eastAsia="en-US"/>
        </w:rPr>
        <w:t xml:space="preserve"> €.</w:t>
      </w:r>
    </w:p>
    <w:p w14:paraId="70B8D81C" w14:textId="77777777" w:rsidR="00A42579" w:rsidRDefault="00A42579" w:rsidP="00A42579">
      <w:pPr>
        <w:spacing w:after="0" w:line="240" w:lineRule="auto"/>
        <w:jc w:val="both"/>
        <w:rPr>
          <w:rFonts w:ascii="Arial" w:eastAsia="Times New Roman" w:hAnsi="Arial" w:cs="Arial"/>
          <w:iCs/>
          <w:lang w:eastAsia="en-US"/>
        </w:rPr>
      </w:pPr>
    </w:p>
    <w:p w14:paraId="7E479145" w14:textId="7432C96C" w:rsidR="00A42579" w:rsidRPr="00F27127" w:rsidRDefault="00A42579" w:rsidP="00A42579">
      <w:pPr>
        <w:spacing w:after="0" w:line="240" w:lineRule="auto"/>
        <w:ind w:left="709"/>
        <w:jc w:val="both"/>
        <w:rPr>
          <w:rFonts w:ascii="Arial" w:eastAsia="Times New Roman" w:hAnsi="Arial" w:cs="Arial"/>
          <w:iCs/>
          <w:sz w:val="18"/>
          <w:szCs w:val="18"/>
          <w:lang w:eastAsia="en-US"/>
        </w:rPr>
      </w:pPr>
      <w:r w:rsidRPr="00F27127">
        <w:rPr>
          <w:rFonts w:ascii="Arial" w:eastAsia="Times New Roman" w:hAnsi="Arial" w:cs="Arial"/>
          <w:iCs/>
          <w:sz w:val="18"/>
          <w:szCs w:val="18"/>
          <w:lang w:eastAsia="en-US"/>
        </w:rPr>
        <w:t>U 202</w:t>
      </w:r>
      <w:r>
        <w:rPr>
          <w:rFonts w:ascii="Arial" w:eastAsia="Times New Roman" w:hAnsi="Arial" w:cs="Arial"/>
          <w:iCs/>
          <w:sz w:val="18"/>
          <w:szCs w:val="18"/>
          <w:lang w:eastAsia="en-US"/>
        </w:rPr>
        <w:t>5</w:t>
      </w:r>
      <w:r w:rsidRPr="00F27127">
        <w:rPr>
          <w:rFonts w:ascii="Arial" w:eastAsia="Times New Roman" w:hAnsi="Arial" w:cs="Arial"/>
          <w:iCs/>
          <w:sz w:val="18"/>
          <w:szCs w:val="18"/>
          <w:lang w:eastAsia="en-US"/>
        </w:rPr>
        <w:t xml:space="preserve">. godini je započela otplata </w:t>
      </w:r>
      <w:r w:rsidRPr="00F27127">
        <w:rPr>
          <w:rFonts w:ascii="Arial" w:eastAsia="Times New Roman" w:hAnsi="Arial" w:cs="Arial"/>
          <w:i/>
          <w:sz w:val="18"/>
          <w:szCs w:val="18"/>
          <w:lang w:eastAsia="en-US"/>
        </w:rPr>
        <w:t xml:space="preserve">kredita za </w:t>
      </w:r>
      <w:r>
        <w:rPr>
          <w:rFonts w:ascii="Arial" w:eastAsia="Times New Roman" w:hAnsi="Arial" w:cs="Arial"/>
          <w:i/>
          <w:sz w:val="18"/>
          <w:szCs w:val="18"/>
          <w:lang w:eastAsia="en-US"/>
        </w:rPr>
        <w:t>izgradnju vatrogasnog doma</w:t>
      </w:r>
      <w:r w:rsidRPr="00F27127">
        <w:rPr>
          <w:rFonts w:ascii="Arial" w:eastAsia="Times New Roman" w:hAnsi="Arial" w:cs="Arial"/>
          <w:iCs/>
          <w:sz w:val="18"/>
          <w:szCs w:val="18"/>
          <w:lang w:eastAsia="en-US"/>
        </w:rPr>
        <w:t xml:space="preserve">. Ovaj kredit je zaključen u iznosu </w:t>
      </w:r>
      <w:r>
        <w:rPr>
          <w:rFonts w:ascii="Arial" w:eastAsia="Times New Roman" w:hAnsi="Arial" w:cs="Arial"/>
          <w:iCs/>
          <w:sz w:val="18"/>
          <w:szCs w:val="18"/>
          <w:lang w:eastAsia="en-US"/>
        </w:rPr>
        <w:t>1.114.871,59</w:t>
      </w:r>
      <w:r w:rsidRPr="00F27127">
        <w:rPr>
          <w:rFonts w:ascii="Arial" w:eastAsia="Times New Roman" w:hAnsi="Arial" w:cs="Arial"/>
          <w:iCs/>
          <w:sz w:val="18"/>
          <w:szCs w:val="18"/>
          <w:lang w:eastAsia="en-US"/>
        </w:rPr>
        <w:t xml:space="preserve"> € dana </w:t>
      </w:r>
      <w:r>
        <w:rPr>
          <w:rFonts w:ascii="Arial" w:eastAsia="Times New Roman" w:hAnsi="Arial" w:cs="Arial"/>
          <w:iCs/>
          <w:sz w:val="18"/>
          <w:szCs w:val="18"/>
          <w:lang w:eastAsia="en-US"/>
        </w:rPr>
        <w:t>1.3.2022.</w:t>
      </w:r>
      <w:r w:rsidRPr="00F27127">
        <w:rPr>
          <w:rFonts w:ascii="Arial" w:eastAsia="Times New Roman" w:hAnsi="Arial" w:cs="Arial"/>
          <w:iCs/>
          <w:sz w:val="18"/>
          <w:szCs w:val="18"/>
          <w:lang w:eastAsia="en-US"/>
        </w:rPr>
        <w:t xml:space="preserve"> s bankom (HBOR</w:t>
      </w:r>
      <w:r>
        <w:rPr>
          <w:rFonts w:ascii="Arial" w:eastAsia="Times New Roman" w:hAnsi="Arial" w:cs="Arial"/>
          <w:iCs/>
          <w:sz w:val="18"/>
          <w:szCs w:val="18"/>
          <w:lang w:eastAsia="en-US"/>
        </w:rPr>
        <w:t>). Nakon plaćanja glavnice kredita u 2025. godini, obveze koncem lipnja 2025. godine iznose 1.003.384,43 €.</w:t>
      </w:r>
    </w:p>
    <w:p w14:paraId="6B994080" w14:textId="77777777" w:rsidR="00A42579" w:rsidRDefault="00A42579" w:rsidP="004B498C">
      <w:pPr>
        <w:spacing w:after="0" w:line="240" w:lineRule="auto"/>
        <w:jc w:val="both"/>
        <w:rPr>
          <w:rFonts w:ascii="Arial" w:eastAsia="Times New Roman" w:hAnsi="Arial" w:cs="Arial"/>
          <w:iCs/>
          <w:lang w:eastAsia="en-US"/>
        </w:rPr>
      </w:pPr>
    </w:p>
    <w:p w14:paraId="7781470A" w14:textId="0F593029" w:rsidR="004B498C" w:rsidRPr="004B498C" w:rsidRDefault="004B498C" w:rsidP="004B498C">
      <w:pPr>
        <w:spacing w:after="0" w:line="240" w:lineRule="auto"/>
        <w:jc w:val="both"/>
        <w:rPr>
          <w:rFonts w:ascii="Arial" w:eastAsia="Times New Roman" w:hAnsi="Arial" w:cs="Arial"/>
          <w:iCs/>
          <w:lang w:eastAsia="en-US"/>
        </w:rPr>
      </w:pPr>
      <w:r w:rsidRPr="004B498C">
        <w:rPr>
          <w:rFonts w:ascii="Arial" w:eastAsia="Times New Roman" w:hAnsi="Arial" w:cs="Arial"/>
          <w:iCs/>
          <w:lang w:eastAsia="en-US"/>
        </w:rPr>
        <w:t>U 202</w:t>
      </w:r>
      <w:r w:rsidR="00F27127">
        <w:rPr>
          <w:rFonts w:ascii="Arial" w:eastAsia="Times New Roman" w:hAnsi="Arial" w:cs="Arial"/>
          <w:iCs/>
          <w:lang w:eastAsia="en-US"/>
        </w:rPr>
        <w:t>5</w:t>
      </w:r>
      <w:r w:rsidRPr="004B498C">
        <w:rPr>
          <w:rFonts w:ascii="Arial" w:eastAsia="Times New Roman" w:hAnsi="Arial" w:cs="Arial"/>
          <w:iCs/>
          <w:lang w:eastAsia="en-US"/>
        </w:rPr>
        <w:t xml:space="preserve">. godini nije bilo otplate </w:t>
      </w:r>
      <w:r w:rsidRPr="00E75472">
        <w:rPr>
          <w:rFonts w:ascii="Arial" w:eastAsia="Times New Roman" w:hAnsi="Arial" w:cs="Arial"/>
          <w:i/>
          <w:lang w:eastAsia="en-US"/>
        </w:rPr>
        <w:t>beskamatnih zajmova</w:t>
      </w:r>
      <w:r w:rsidRPr="004B498C">
        <w:rPr>
          <w:rFonts w:ascii="Arial" w:eastAsia="Times New Roman" w:hAnsi="Arial" w:cs="Arial"/>
          <w:iCs/>
          <w:lang w:eastAsia="en-US"/>
        </w:rPr>
        <w:t>. Povrat beskamatnih kredita iz Državnog proračuna radi pada prihoda iz 2020. i 2021. je odobren do konca 2027. godine.</w:t>
      </w:r>
    </w:p>
    <w:p w14:paraId="3F854A54" w14:textId="77777777" w:rsidR="004B498C" w:rsidRPr="003A2F86" w:rsidRDefault="004B498C" w:rsidP="00F23256">
      <w:pPr>
        <w:spacing w:after="0" w:line="240" w:lineRule="auto"/>
        <w:ind w:left="567"/>
        <w:jc w:val="both"/>
        <w:rPr>
          <w:rFonts w:ascii="Arial" w:eastAsia="Times New Roman" w:hAnsi="Arial" w:cs="Arial"/>
          <w:iCs/>
          <w:sz w:val="18"/>
          <w:szCs w:val="18"/>
          <w:lang w:eastAsia="en-US"/>
        </w:rPr>
      </w:pPr>
    </w:p>
    <w:p w14:paraId="3711B71F" w14:textId="2892F7B3" w:rsidR="002E2E2B" w:rsidRPr="003A2F86" w:rsidRDefault="00F27127" w:rsidP="00F23256">
      <w:pPr>
        <w:spacing w:after="0" w:line="240" w:lineRule="auto"/>
        <w:ind w:left="567"/>
        <w:jc w:val="both"/>
        <w:rPr>
          <w:rFonts w:ascii="Arial" w:eastAsia="Times New Roman" w:hAnsi="Arial" w:cs="Arial"/>
          <w:iCs/>
          <w:sz w:val="18"/>
          <w:szCs w:val="18"/>
          <w:lang w:eastAsia="en-US"/>
        </w:rPr>
      </w:pPr>
      <w:r>
        <w:rPr>
          <w:rFonts w:ascii="Arial" w:eastAsia="Times New Roman" w:hAnsi="Arial" w:cs="Arial"/>
          <w:iCs/>
          <w:sz w:val="18"/>
          <w:szCs w:val="18"/>
          <w:lang w:eastAsia="en-US"/>
        </w:rPr>
        <w:t>U</w:t>
      </w:r>
      <w:r w:rsidR="00D266DB" w:rsidRPr="003A2F86">
        <w:rPr>
          <w:rFonts w:ascii="Arial" w:eastAsia="Times New Roman" w:hAnsi="Arial" w:cs="Arial"/>
          <w:iCs/>
          <w:sz w:val="18"/>
          <w:szCs w:val="18"/>
          <w:lang w:eastAsia="en-US"/>
        </w:rPr>
        <w:t xml:space="preserve"> </w:t>
      </w:r>
      <w:r w:rsidR="002E2E2B" w:rsidRPr="003A2F86">
        <w:rPr>
          <w:rFonts w:ascii="Arial" w:eastAsia="Times New Roman" w:hAnsi="Arial" w:cs="Arial"/>
          <w:iCs/>
          <w:sz w:val="18"/>
          <w:szCs w:val="18"/>
          <w:lang w:eastAsia="en-US"/>
        </w:rPr>
        <w:t>202</w:t>
      </w:r>
      <w:r>
        <w:rPr>
          <w:rFonts w:ascii="Arial" w:eastAsia="Times New Roman" w:hAnsi="Arial" w:cs="Arial"/>
          <w:iCs/>
          <w:sz w:val="18"/>
          <w:szCs w:val="18"/>
          <w:lang w:eastAsia="en-US"/>
        </w:rPr>
        <w:t>4</w:t>
      </w:r>
      <w:r w:rsidR="002E2E2B" w:rsidRPr="003A2F86">
        <w:rPr>
          <w:rFonts w:ascii="Arial" w:eastAsia="Times New Roman" w:hAnsi="Arial" w:cs="Arial"/>
          <w:iCs/>
          <w:sz w:val="18"/>
          <w:szCs w:val="18"/>
          <w:lang w:eastAsia="en-US"/>
        </w:rPr>
        <w:t xml:space="preserve">. </w:t>
      </w:r>
      <w:r w:rsidR="00D266DB" w:rsidRPr="003A2F86">
        <w:rPr>
          <w:rFonts w:ascii="Arial" w:eastAsia="Times New Roman" w:hAnsi="Arial" w:cs="Arial"/>
          <w:iCs/>
          <w:sz w:val="18"/>
          <w:szCs w:val="18"/>
          <w:lang w:eastAsia="en-US"/>
        </w:rPr>
        <w:t xml:space="preserve">godine je bila evidentirana otplata </w:t>
      </w:r>
      <w:r w:rsidR="004B498C">
        <w:rPr>
          <w:rFonts w:ascii="Arial" w:eastAsia="Times New Roman" w:hAnsi="Arial" w:cs="Arial"/>
          <w:iCs/>
          <w:sz w:val="18"/>
          <w:szCs w:val="18"/>
          <w:lang w:eastAsia="en-US"/>
        </w:rPr>
        <w:t>79,46</w:t>
      </w:r>
      <w:r w:rsidR="00D266DB" w:rsidRPr="003A2F86">
        <w:rPr>
          <w:rFonts w:ascii="Arial" w:eastAsia="Times New Roman" w:hAnsi="Arial" w:cs="Arial"/>
          <w:iCs/>
          <w:sz w:val="18"/>
          <w:szCs w:val="18"/>
          <w:lang w:eastAsia="en-US"/>
        </w:rPr>
        <w:t xml:space="preserve"> € </w:t>
      </w:r>
      <w:r w:rsidR="003D4AF3" w:rsidRPr="003A2F86">
        <w:rPr>
          <w:rFonts w:ascii="Arial" w:eastAsia="Times New Roman" w:hAnsi="Arial" w:cs="Arial"/>
          <w:iCs/>
          <w:sz w:val="18"/>
          <w:szCs w:val="18"/>
          <w:lang w:eastAsia="en-US"/>
        </w:rPr>
        <w:t xml:space="preserve">beskamatnog zajma za iznos povrata </w:t>
      </w:r>
      <w:r w:rsidR="003D4AF3" w:rsidRPr="003A2F86">
        <w:rPr>
          <w:rFonts w:ascii="Arial" w:eastAsia="Times New Roman" w:hAnsi="Arial" w:cs="Arial"/>
          <w:bCs/>
          <w:iCs/>
          <w:sz w:val="18"/>
          <w:szCs w:val="18"/>
          <w:lang w:eastAsia="en-US"/>
        </w:rPr>
        <w:t>odgođenog plaćanja poreza i prireza na dohodak</w:t>
      </w:r>
      <w:r w:rsidR="003D4AF3" w:rsidRPr="003A2F86">
        <w:rPr>
          <w:rFonts w:ascii="Arial" w:eastAsia="Times New Roman" w:hAnsi="Arial" w:cs="Arial"/>
          <w:iCs/>
          <w:sz w:val="18"/>
          <w:szCs w:val="18"/>
          <w:lang w:eastAsia="en-US"/>
        </w:rPr>
        <w:t xml:space="preserve"> iz 2020. godine (općini odobren zajam u visini u kojoj je Porezna uprava odobrila poduzetnicima odgodu plaćanja poreza i prireza na dohodak). FINA </w:t>
      </w:r>
      <w:r w:rsidR="00EA57C6" w:rsidRPr="003A2F86">
        <w:rPr>
          <w:rFonts w:ascii="Arial" w:eastAsia="Times New Roman" w:hAnsi="Arial" w:cs="Arial"/>
          <w:iCs/>
          <w:sz w:val="18"/>
          <w:szCs w:val="18"/>
          <w:lang w:eastAsia="en-US"/>
        </w:rPr>
        <w:t xml:space="preserve">je </w:t>
      </w:r>
      <w:r w:rsidR="003D4AF3" w:rsidRPr="003A2F86">
        <w:rPr>
          <w:rFonts w:ascii="Arial" w:eastAsia="Times New Roman" w:hAnsi="Arial" w:cs="Arial"/>
          <w:iCs/>
          <w:sz w:val="18"/>
          <w:szCs w:val="18"/>
          <w:lang w:eastAsia="en-US"/>
        </w:rPr>
        <w:t>mjesečno dostavlja</w:t>
      </w:r>
      <w:r w:rsidR="00EA57C6" w:rsidRPr="003A2F86">
        <w:rPr>
          <w:rFonts w:ascii="Arial" w:eastAsia="Times New Roman" w:hAnsi="Arial" w:cs="Arial"/>
          <w:iCs/>
          <w:sz w:val="18"/>
          <w:szCs w:val="18"/>
          <w:lang w:eastAsia="en-US"/>
        </w:rPr>
        <w:t>la</w:t>
      </w:r>
      <w:r w:rsidR="003D4AF3" w:rsidRPr="003A2F86">
        <w:rPr>
          <w:rFonts w:ascii="Arial" w:eastAsia="Times New Roman" w:hAnsi="Arial" w:cs="Arial"/>
          <w:iCs/>
          <w:sz w:val="18"/>
          <w:szCs w:val="18"/>
          <w:lang w:eastAsia="en-US"/>
        </w:rPr>
        <w:t xml:space="preserve"> izvještaje o otplati dugovanja, te </w:t>
      </w:r>
      <w:r w:rsidR="00EA57C6" w:rsidRPr="003A2F86">
        <w:rPr>
          <w:rFonts w:ascii="Arial" w:eastAsia="Times New Roman" w:hAnsi="Arial" w:cs="Arial"/>
          <w:iCs/>
          <w:sz w:val="18"/>
          <w:szCs w:val="18"/>
          <w:lang w:eastAsia="en-US"/>
        </w:rPr>
        <w:t xml:space="preserve">su </w:t>
      </w:r>
      <w:r w:rsidR="003D4AF3" w:rsidRPr="003A2F86">
        <w:rPr>
          <w:rFonts w:ascii="Arial" w:eastAsia="Times New Roman" w:hAnsi="Arial" w:cs="Arial"/>
          <w:iCs/>
          <w:sz w:val="18"/>
          <w:szCs w:val="18"/>
          <w:lang w:eastAsia="en-US"/>
        </w:rPr>
        <w:t>se u navedenoj visini iskaz</w:t>
      </w:r>
      <w:r w:rsidR="00EA57C6" w:rsidRPr="003A2F86">
        <w:rPr>
          <w:rFonts w:ascii="Arial" w:eastAsia="Times New Roman" w:hAnsi="Arial" w:cs="Arial"/>
          <w:iCs/>
          <w:sz w:val="18"/>
          <w:szCs w:val="18"/>
          <w:lang w:eastAsia="en-US"/>
        </w:rPr>
        <w:t>ivale</w:t>
      </w:r>
      <w:r w:rsidR="003D4AF3" w:rsidRPr="003A2F86">
        <w:rPr>
          <w:rFonts w:ascii="Arial" w:eastAsia="Times New Roman" w:hAnsi="Arial" w:cs="Arial"/>
          <w:iCs/>
          <w:sz w:val="18"/>
          <w:szCs w:val="18"/>
          <w:lang w:eastAsia="en-US"/>
        </w:rPr>
        <w:t xml:space="preserve"> i otplate u poslovnim knjigama Općine.</w:t>
      </w:r>
      <w:r w:rsidR="00EA57C6" w:rsidRPr="003A2F86">
        <w:rPr>
          <w:rFonts w:ascii="Arial" w:eastAsia="Times New Roman" w:hAnsi="Arial" w:cs="Arial"/>
          <w:iCs/>
          <w:sz w:val="18"/>
          <w:szCs w:val="18"/>
          <w:lang w:eastAsia="en-US"/>
        </w:rPr>
        <w:t xml:space="preserve"> </w:t>
      </w:r>
    </w:p>
    <w:p w14:paraId="28F6BF2E" w14:textId="77777777" w:rsidR="004B498C" w:rsidRDefault="004B498C" w:rsidP="00EA57C6">
      <w:pPr>
        <w:spacing w:after="0" w:line="240" w:lineRule="auto"/>
        <w:jc w:val="both"/>
        <w:rPr>
          <w:rFonts w:ascii="Arial" w:eastAsia="Times New Roman" w:hAnsi="Arial" w:cs="Arial"/>
          <w:iCs/>
          <w:sz w:val="18"/>
          <w:szCs w:val="18"/>
          <w:lang w:eastAsia="en-US"/>
        </w:rPr>
      </w:pPr>
    </w:p>
    <w:p w14:paraId="1DD8583A" w14:textId="4E4A77DD" w:rsidR="003D4AF3" w:rsidRPr="00F27127" w:rsidRDefault="002E2E2B" w:rsidP="00F27127">
      <w:pPr>
        <w:spacing w:after="0" w:line="240" w:lineRule="auto"/>
        <w:ind w:left="567"/>
        <w:jc w:val="both"/>
        <w:rPr>
          <w:rFonts w:ascii="Arial" w:eastAsia="Times New Roman" w:hAnsi="Arial" w:cs="Arial"/>
          <w:iCs/>
          <w:sz w:val="18"/>
          <w:szCs w:val="18"/>
          <w:lang w:eastAsia="en-US"/>
        </w:rPr>
      </w:pPr>
      <w:r w:rsidRPr="00F27127">
        <w:rPr>
          <w:rFonts w:ascii="Arial" w:eastAsia="Times New Roman" w:hAnsi="Arial" w:cs="Arial"/>
          <w:iCs/>
          <w:sz w:val="18"/>
          <w:szCs w:val="18"/>
          <w:lang w:eastAsia="en-US"/>
        </w:rPr>
        <w:t>P</w:t>
      </w:r>
      <w:r w:rsidR="00EA57C6" w:rsidRPr="00F27127">
        <w:rPr>
          <w:rFonts w:ascii="Arial" w:eastAsia="Times New Roman" w:hAnsi="Arial" w:cs="Arial"/>
          <w:iCs/>
          <w:sz w:val="18"/>
          <w:szCs w:val="18"/>
          <w:lang w:eastAsia="en-US"/>
        </w:rPr>
        <w:t>rema obavijesti Ministarstva financija iz travnja 2024. godine, a prema podacima Porezne uprave više nema aktivnih mjera obročne otplate poreza na dohodak i prireza porezu na dohodak iz 2020. godine te se naplata dijela zajma isplaćenog u skladu s Naputkom o načinu isplate beskamatnog zajma jedinicama lokalne i područne (regionalne) samouprave, Hrvatskom zavodu za mirovinsko osiguranje i Hrvatskom zavodu za zdravstveno osiguranje (Narodne novine 46/20, 5/21 i 73/21) više ne provodi sukcesivno od poreznih obveznika u visini naplate odgođenog i/ili obročnom otplatom danog poreza na dohodak. Preostali iznos duga po osnovi odgode/obročne otplate poreza na dohodak te oslobođenja od plaćanja poreza na dohodak i prireza porezu na dohodak jedinice lokalne i područne (regionalne) samouprave vraćaju samostalno na jedinstveni račun državnog proračuna prema dinamici koju same odrede, a najkasnije do kraja 2027. godine. Obveze po ovom zajmu iznose 97.757,4</w:t>
      </w:r>
      <w:r w:rsidR="004B498C" w:rsidRPr="00F27127">
        <w:rPr>
          <w:rFonts w:ascii="Arial" w:eastAsia="Times New Roman" w:hAnsi="Arial" w:cs="Arial"/>
          <w:iCs/>
          <w:sz w:val="18"/>
          <w:szCs w:val="18"/>
          <w:lang w:eastAsia="en-US"/>
        </w:rPr>
        <w:t>1</w:t>
      </w:r>
      <w:r w:rsidR="00EA57C6" w:rsidRPr="00F27127">
        <w:rPr>
          <w:rFonts w:ascii="Arial" w:eastAsia="Times New Roman" w:hAnsi="Arial" w:cs="Arial"/>
          <w:iCs/>
          <w:sz w:val="18"/>
          <w:szCs w:val="18"/>
          <w:lang w:eastAsia="en-US"/>
        </w:rPr>
        <w:t xml:space="preserve"> €. Preostali iznos duga po ovoj osnovi ulazi u ukupnu godišnju obvezu jedinice lokalne i područne (regionalne) samouprave iz članka 121. Zakona o proračunu (Narodne novine 144/21) u visini prosječnog godišnjeg anuiteta beskamatnog zajma.</w:t>
      </w:r>
    </w:p>
    <w:p w14:paraId="41CB48A4" w14:textId="77777777" w:rsidR="008335F3" w:rsidRPr="003A2F86" w:rsidRDefault="008335F3" w:rsidP="00EA57C6">
      <w:pPr>
        <w:spacing w:after="0" w:line="240" w:lineRule="auto"/>
        <w:jc w:val="both"/>
        <w:rPr>
          <w:rFonts w:ascii="Arial" w:eastAsia="Times New Roman" w:hAnsi="Arial" w:cs="Arial"/>
          <w:iCs/>
          <w:lang w:eastAsia="en-US"/>
        </w:rPr>
      </w:pPr>
    </w:p>
    <w:p w14:paraId="23B5D02E" w14:textId="6A28E65A" w:rsidR="002C54DC" w:rsidRPr="003A2F86" w:rsidRDefault="002C54DC" w:rsidP="002C54DC">
      <w:pPr>
        <w:spacing w:after="0" w:line="240" w:lineRule="auto"/>
        <w:ind w:firstLine="708"/>
        <w:jc w:val="both"/>
        <w:rPr>
          <w:rFonts w:ascii="Arial" w:eastAsia="Calibri" w:hAnsi="Arial" w:cs="Arial"/>
          <w:b/>
          <w:lang w:eastAsia="en-US"/>
        </w:rPr>
      </w:pPr>
      <w:r w:rsidRPr="003A2F86">
        <w:rPr>
          <w:rFonts w:ascii="Arial" w:eastAsia="Calibri" w:hAnsi="Arial" w:cs="Arial"/>
          <w:lang w:eastAsia="en-US"/>
        </w:rPr>
        <w:t xml:space="preserve">* </w:t>
      </w:r>
      <w:r w:rsidRPr="003A2F86">
        <w:rPr>
          <w:rFonts w:ascii="Arial" w:eastAsia="Calibri" w:hAnsi="Arial" w:cs="Arial"/>
          <w:i/>
          <w:lang w:eastAsia="en-US"/>
        </w:rPr>
        <w:t>Kreditno zaduženje</w:t>
      </w:r>
      <w:r w:rsidRPr="003A2F86">
        <w:rPr>
          <w:rFonts w:ascii="Arial" w:eastAsia="Calibri" w:hAnsi="Arial" w:cs="Arial"/>
          <w:lang w:eastAsia="en-US"/>
        </w:rPr>
        <w:t xml:space="preserve"> (vid</w:t>
      </w:r>
      <w:r w:rsidR="00123810" w:rsidRPr="003A2F86">
        <w:rPr>
          <w:rFonts w:ascii="Arial" w:eastAsia="Calibri" w:hAnsi="Arial" w:cs="Arial"/>
          <w:lang w:eastAsia="en-US"/>
        </w:rPr>
        <w:t>jeti</w:t>
      </w:r>
      <w:r w:rsidRPr="003A2F86">
        <w:rPr>
          <w:rFonts w:ascii="Arial" w:eastAsia="Calibri" w:hAnsi="Arial" w:cs="Arial"/>
          <w:lang w:eastAsia="en-US"/>
        </w:rPr>
        <w:t xml:space="preserve"> detaljnije </w:t>
      </w:r>
      <w:hyperlink w:anchor="_4.2._IZVJEŠTAJ_O" w:history="1">
        <w:r w:rsidRPr="00B356F8">
          <w:rPr>
            <w:rStyle w:val="Hiperveza"/>
            <w:rFonts w:ascii="Arial" w:eastAsia="Calibri" w:hAnsi="Arial" w:cs="Arial"/>
            <w:lang w:eastAsia="en-US"/>
          </w:rPr>
          <w:t xml:space="preserve">točka </w:t>
        </w:r>
        <w:r w:rsidR="005E0C76" w:rsidRPr="00B356F8">
          <w:rPr>
            <w:rStyle w:val="Hiperveza"/>
            <w:rFonts w:ascii="Arial" w:eastAsia="Calibri" w:hAnsi="Arial" w:cs="Arial"/>
            <w:b/>
            <w:bCs/>
            <w:lang w:eastAsia="en-US"/>
          </w:rPr>
          <w:t>4</w:t>
        </w:r>
        <w:r w:rsidR="0011159B" w:rsidRPr="00B356F8">
          <w:rPr>
            <w:rStyle w:val="Hiperveza"/>
            <w:rFonts w:ascii="Arial" w:eastAsia="Calibri" w:hAnsi="Arial" w:cs="Arial"/>
            <w:b/>
            <w:bCs/>
            <w:lang w:eastAsia="en-US"/>
          </w:rPr>
          <w:t>.2</w:t>
        </w:r>
        <w:r w:rsidRPr="00B356F8">
          <w:rPr>
            <w:rStyle w:val="Hiperveza"/>
            <w:rFonts w:ascii="Arial" w:eastAsia="Calibri" w:hAnsi="Arial" w:cs="Arial"/>
            <w:b/>
            <w:bCs/>
            <w:lang w:eastAsia="en-US"/>
          </w:rPr>
          <w:t>. I</w:t>
        </w:r>
        <w:r w:rsidRPr="00B356F8">
          <w:rPr>
            <w:rStyle w:val="Hiperveza"/>
            <w:rFonts w:ascii="Arial" w:eastAsia="Calibri" w:hAnsi="Arial" w:cs="Arial"/>
            <w:b/>
            <w:lang w:eastAsia="en-US"/>
          </w:rPr>
          <w:t>zvještaj o zaduživanju na domaćem i stranom tržištu novca i kapitala</w:t>
        </w:r>
      </w:hyperlink>
      <w:r w:rsidRPr="00B356F8">
        <w:rPr>
          <w:rFonts w:ascii="Arial" w:eastAsia="Calibri" w:hAnsi="Arial" w:cs="Arial"/>
          <w:b/>
          <w:lang w:eastAsia="en-US"/>
        </w:rPr>
        <w:t>)</w:t>
      </w:r>
    </w:p>
    <w:p w14:paraId="78711BB2" w14:textId="77777777" w:rsidR="008E02D0" w:rsidRDefault="008E02D0" w:rsidP="00891119">
      <w:pPr>
        <w:autoSpaceDE w:val="0"/>
        <w:autoSpaceDN w:val="0"/>
        <w:adjustRightInd w:val="0"/>
        <w:spacing w:after="0" w:line="240" w:lineRule="auto"/>
        <w:jc w:val="both"/>
        <w:rPr>
          <w:rFonts w:ascii="Arial" w:eastAsia="Times New Roman" w:hAnsi="Arial" w:cs="Arial"/>
        </w:rPr>
      </w:pPr>
    </w:p>
    <w:p w14:paraId="6155192F" w14:textId="77777777" w:rsidR="004B498C" w:rsidRPr="003A2F86" w:rsidRDefault="004B498C" w:rsidP="00891119">
      <w:pPr>
        <w:autoSpaceDE w:val="0"/>
        <w:autoSpaceDN w:val="0"/>
        <w:adjustRightInd w:val="0"/>
        <w:spacing w:after="0" w:line="240" w:lineRule="auto"/>
        <w:jc w:val="both"/>
        <w:rPr>
          <w:rFonts w:ascii="Arial" w:eastAsia="Times New Roman" w:hAnsi="Arial" w:cs="Arial"/>
        </w:rPr>
      </w:pPr>
    </w:p>
    <w:p w14:paraId="10CBDCD3" w14:textId="4C75B334" w:rsidR="008E02D0" w:rsidRPr="003A2F86" w:rsidRDefault="008E02D0" w:rsidP="008E02D0">
      <w:pPr>
        <w:pStyle w:val="Naslov3"/>
        <w:jc w:val="center"/>
        <w:rPr>
          <w:rFonts w:ascii="Arial" w:hAnsi="Arial" w:cs="Arial"/>
          <w:sz w:val="22"/>
          <w:lang w:val="hr-HR"/>
        </w:rPr>
      </w:pPr>
      <w:bookmarkStart w:id="274" w:name="_Toc232981412"/>
      <w:r w:rsidRPr="003A2F86">
        <w:rPr>
          <w:rFonts w:ascii="Arial" w:hAnsi="Arial" w:cs="Arial"/>
          <w:sz w:val="22"/>
          <w:lang w:val="hr-HR"/>
        </w:rPr>
        <w:t>2.5.3.</w:t>
      </w:r>
      <w:r w:rsidRPr="003A2F86">
        <w:rPr>
          <w:rFonts w:ascii="Arial" w:hAnsi="Arial" w:cs="Arial"/>
          <w:sz w:val="22"/>
          <w:lang w:val="hr-HR"/>
        </w:rPr>
        <w:tab/>
        <w:t>ANALITIČKI PRIKAZ RAČUNA FINANCIRANJA</w:t>
      </w:r>
      <w:bookmarkEnd w:id="274"/>
    </w:p>
    <w:p w14:paraId="77E35521" w14:textId="77777777" w:rsidR="008E02D0" w:rsidRPr="003A2F86" w:rsidRDefault="008E02D0" w:rsidP="008E02D0">
      <w:pPr>
        <w:autoSpaceDE w:val="0"/>
        <w:autoSpaceDN w:val="0"/>
        <w:adjustRightInd w:val="0"/>
        <w:spacing w:after="0" w:line="240" w:lineRule="auto"/>
        <w:jc w:val="both"/>
        <w:rPr>
          <w:rFonts w:ascii="Arial" w:eastAsia="Times New Roman" w:hAnsi="Arial" w:cs="Arial"/>
          <w:sz w:val="12"/>
        </w:rPr>
      </w:pPr>
    </w:p>
    <w:p w14:paraId="6745C1F4" w14:textId="77777777" w:rsidR="008E02D0" w:rsidRPr="003A2F86" w:rsidRDefault="008E02D0" w:rsidP="008E02D0">
      <w:pPr>
        <w:autoSpaceDE w:val="0"/>
        <w:autoSpaceDN w:val="0"/>
        <w:adjustRightInd w:val="0"/>
        <w:spacing w:after="0" w:line="240" w:lineRule="auto"/>
        <w:jc w:val="both"/>
        <w:rPr>
          <w:rFonts w:ascii="Arial" w:eastAsia="Times New Roman" w:hAnsi="Arial" w:cs="Arial"/>
          <w:lang w:eastAsia="en-US"/>
        </w:rPr>
      </w:pPr>
      <w:r w:rsidRPr="003A2F86">
        <w:rPr>
          <w:rFonts w:ascii="Arial" w:eastAsia="Times New Roman" w:hAnsi="Arial" w:cs="Arial"/>
        </w:rPr>
        <w:t xml:space="preserve">Prethodnih godina, uz </w:t>
      </w:r>
      <w:r w:rsidRPr="003A2F86">
        <w:rPr>
          <w:rFonts w:ascii="Arial" w:eastAsia="Times New Roman" w:hAnsi="Arial" w:cs="Arial"/>
          <w:b/>
        </w:rPr>
        <w:t>tablicu B. Račun financiranja</w:t>
      </w:r>
      <w:r w:rsidRPr="003A2F86">
        <w:rPr>
          <w:rFonts w:ascii="Arial" w:eastAsia="Times New Roman" w:hAnsi="Arial" w:cs="Arial"/>
        </w:rPr>
        <w:t xml:space="preserve"> davao se analitički prikaz R</w:t>
      </w:r>
      <w:r w:rsidRPr="003A2F86">
        <w:rPr>
          <w:rFonts w:ascii="Arial" w:eastAsia="Times New Roman" w:hAnsi="Arial" w:cs="Arial"/>
          <w:lang w:eastAsia="en-US"/>
        </w:rPr>
        <w:t>ačuna financiranja kao pregled ostvarenih primitaka i izvršenih izdataka po svakom pojedinačnom zajmu, kreditu sukladno odredbama Pravilnika o polugodišnjem i godišnjem izvještaju o izvršenju proračuna (NN 24/13, 102/17, 1/20, 147/20) koji je bio na snazi do 25.7.2023. Odredbama novog Pravilnika o polugodišnjem i godišnjem izvještaju o izvršenju proračuna i financijskog plana (NN 85/23) objava ovog izvještaja više nije obveza.</w:t>
      </w:r>
    </w:p>
    <w:p w14:paraId="70F3A781" w14:textId="77777777" w:rsidR="00845F5F" w:rsidRPr="003A2F86" w:rsidRDefault="00845F5F" w:rsidP="008E02D0">
      <w:pPr>
        <w:autoSpaceDE w:val="0"/>
        <w:autoSpaceDN w:val="0"/>
        <w:adjustRightInd w:val="0"/>
        <w:spacing w:after="0" w:line="240" w:lineRule="auto"/>
        <w:jc w:val="both"/>
        <w:rPr>
          <w:rFonts w:ascii="Arial" w:eastAsia="Times New Roman" w:hAnsi="Arial" w:cs="Arial"/>
          <w:lang w:eastAsia="en-US"/>
        </w:rPr>
      </w:pPr>
    </w:p>
    <w:p w14:paraId="2DB9421D" w14:textId="2BE08189" w:rsidR="008E02D0" w:rsidRPr="003A2F86" w:rsidRDefault="008E02D0" w:rsidP="008E02D0">
      <w:pPr>
        <w:pStyle w:val="Opisslike"/>
        <w:keepNext/>
        <w:jc w:val="both"/>
        <w:rPr>
          <w:rFonts w:ascii="Arial" w:hAnsi="Arial" w:cs="Arial"/>
        </w:rPr>
      </w:pPr>
      <w:bookmarkStart w:id="275" w:name="_Toc232981539"/>
      <w:bookmarkStart w:id="276" w:name="_Hlk17962410"/>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20</w:t>
      </w:r>
      <w:r w:rsidRPr="003A2F86">
        <w:rPr>
          <w:color w:val="FF0000"/>
        </w:rPr>
        <w:fldChar w:fldCharType="end"/>
      </w:r>
      <w:r w:rsidRPr="003A2F86">
        <w:rPr>
          <w:color w:val="FF0000"/>
        </w:rPr>
        <w:t xml:space="preserve">.: </w:t>
      </w:r>
      <w:r w:rsidRPr="003A2F86">
        <w:rPr>
          <w:rFonts w:ascii="Arial" w:hAnsi="Arial" w:cs="Arial"/>
        </w:rPr>
        <w:t xml:space="preserve">Analitički prikaz računa financiranja za </w:t>
      </w:r>
      <w:r w:rsidR="00F27127">
        <w:rPr>
          <w:rFonts w:ascii="Arial" w:hAnsi="Arial" w:cs="Arial"/>
        </w:rPr>
        <w:t>2025.</w:t>
      </w:r>
      <w:bookmarkEnd w:id="275"/>
      <w:r w:rsidRPr="003A2F86">
        <w:rPr>
          <w:rFonts w:ascii="Arial" w:hAnsi="Arial" w:cs="Arial"/>
          <w:b w:val="0"/>
          <w:bCs w:val="0"/>
        </w:rPr>
        <w:t xml:space="preserve"> </w:t>
      </w:r>
    </w:p>
    <w:bookmarkEnd w:id="276"/>
    <w:p w14:paraId="4FB31115" w14:textId="77777777" w:rsidR="00D86646" w:rsidRDefault="00D86646" w:rsidP="008E02D0">
      <w:pPr>
        <w:jc w:val="center"/>
        <w:rPr>
          <w:rFonts w:ascii="Arial" w:eastAsia="Times New Roman" w:hAnsi="Arial" w:cs="Arial"/>
        </w:rPr>
      </w:pPr>
      <w:r w:rsidRPr="00D86646">
        <w:rPr>
          <w:noProof/>
        </w:rPr>
        <w:drawing>
          <wp:inline distT="0" distB="0" distL="0" distR="0" wp14:anchorId="7BEC990F" wp14:editId="446100FC">
            <wp:extent cx="9251950" cy="5504815"/>
            <wp:effectExtent l="0" t="0" r="6350" b="635"/>
            <wp:docPr id="213669616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251950" cy="5504815"/>
                    </a:xfrm>
                    <a:prstGeom prst="rect">
                      <a:avLst/>
                    </a:prstGeom>
                    <a:noFill/>
                    <a:ln>
                      <a:noFill/>
                    </a:ln>
                  </pic:spPr>
                </pic:pic>
              </a:graphicData>
            </a:graphic>
          </wp:inline>
        </w:drawing>
      </w:r>
    </w:p>
    <w:p w14:paraId="44A61802" w14:textId="77777777" w:rsidR="00D86646" w:rsidRDefault="00D86646" w:rsidP="008E02D0">
      <w:pPr>
        <w:jc w:val="center"/>
        <w:rPr>
          <w:rFonts w:ascii="Arial" w:eastAsia="Times New Roman" w:hAnsi="Arial" w:cs="Arial"/>
        </w:rPr>
      </w:pPr>
    </w:p>
    <w:p w14:paraId="63B9814D" w14:textId="08DC61E6" w:rsidR="008E02D0" w:rsidRPr="003A2F86" w:rsidRDefault="00D86646" w:rsidP="008E02D0">
      <w:pPr>
        <w:jc w:val="center"/>
        <w:rPr>
          <w:rFonts w:ascii="Arial" w:eastAsia="Times New Roman" w:hAnsi="Arial" w:cs="Arial"/>
        </w:rPr>
      </w:pPr>
      <w:r w:rsidRPr="00D86646">
        <w:rPr>
          <w:noProof/>
        </w:rPr>
        <w:lastRenderedPageBreak/>
        <w:drawing>
          <wp:inline distT="0" distB="0" distL="0" distR="0" wp14:anchorId="39C60D7F" wp14:editId="6F7931E5">
            <wp:extent cx="9251950" cy="5422900"/>
            <wp:effectExtent l="0" t="0" r="6350" b="6350"/>
            <wp:docPr id="195966517"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251950" cy="5422900"/>
                    </a:xfrm>
                    <a:prstGeom prst="rect">
                      <a:avLst/>
                    </a:prstGeom>
                    <a:noFill/>
                    <a:ln>
                      <a:noFill/>
                    </a:ln>
                  </pic:spPr>
                </pic:pic>
              </a:graphicData>
            </a:graphic>
          </wp:inline>
        </w:drawing>
      </w:r>
      <w:r w:rsidR="008E02D0" w:rsidRPr="003A2F86">
        <w:rPr>
          <w:rFonts w:ascii="Arial" w:eastAsia="Times New Roman" w:hAnsi="Arial" w:cs="Arial"/>
        </w:rPr>
        <w:br w:type="page"/>
      </w:r>
    </w:p>
    <w:p w14:paraId="241461C0" w14:textId="0DFF270B" w:rsidR="00891119" w:rsidRPr="003A2F86" w:rsidRDefault="00891119" w:rsidP="005436D3">
      <w:pPr>
        <w:pStyle w:val="Naslov2"/>
        <w:jc w:val="center"/>
        <w:rPr>
          <w:rFonts w:ascii="Arial" w:hAnsi="Arial" w:cs="Arial"/>
          <w:sz w:val="22"/>
          <w:szCs w:val="22"/>
          <w:lang w:val="hr-HR"/>
        </w:rPr>
      </w:pPr>
      <w:bookmarkStart w:id="277" w:name="_2.6._PRIKAZ_OSTVARENOG"/>
      <w:bookmarkStart w:id="278" w:name="_Toc232981413"/>
      <w:bookmarkEnd w:id="277"/>
      <w:r w:rsidRPr="003A2F86">
        <w:rPr>
          <w:rFonts w:ascii="Arial" w:hAnsi="Arial" w:cs="Arial"/>
          <w:sz w:val="22"/>
          <w:szCs w:val="22"/>
          <w:lang w:val="hr-HR"/>
        </w:rPr>
        <w:lastRenderedPageBreak/>
        <w:t>2.</w:t>
      </w:r>
      <w:r w:rsidR="005436D3" w:rsidRPr="003A2F86">
        <w:rPr>
          <w:rFonts w:ascii="Arial" w:hAnsi="Arial" w:cs="Arial"/>
          <w:sz w:val="22"/>
          <w:szCs w:val="22"/>
          <w:lang w:val="hr-HR"/>
        </w:rPr>
        <w:t>6</w:t>
      </w:r>
      <w:r w:rsidRPr="003A2F86">
        <w:rPr>
          <w:rFonts w:ascii="Arial" w:hAnsi="Arial" w:cs="Arial"/>
          <w:sz w:val="22"/>
          <w:szCs w:val="22"/>
          <w:lang w:val="hr-HR"/>
        </w:rPr>
        <w:t>.</w:t>
      </w:r>
      <w:r w:rsidRPr="003A2F86">
        <w:rPr>
          <w:rFonts w:ascii="Arial" w:hAnsi="Arial" w:cs="Arial"/>
          <w:sz w:val="22"/>
          <w:szCs w:val="22"/>
          <w:lang w:val="hr-HR"/>
        </w:rPr>
        <w:tab/>
      </w:r>
      <w:r w:rsidR="002E304B" w:rsidRPr="003A2F86">
        <w:rPr>
          <w:rFonts w:ascii="Arial" w:hAnsi="Arial" w:cs="Arial"/>
          <w:sz w:val="22"/>
          <w:szCs w:val="22"/>
          <w:lang w:val="hr-HR"/>
        </w:rPr>
        <w:t xml:space="preserve">PRIKAZ </w:t>
      </w:r>
      <w:r w:rsidR="005436D3" w:rsidRPr="003A2F86">
        <w:rPr>
          <w:rFonts w:ascii="Arial" w:hAnsi="Arial" w:cs="Arial"/>
          <w:sz w:val="22"/>
          <w:szCs w:val="22"/>
          <w:lang w:val="hr-HR"/>
        </w:rPr>
        <w:t xml:space="preserve">OSTVARENOG </w:t>
      </w:r>
      <w:r w:rsidR="002E304B" w:rsidRPr="003A2F86">
        <w:rPr>
          <w:rFonts w:ascii="Arial" w:hAnsi="Arial" w:cs="Arial"/>
          <w:sz w:val="22"/>
          <w:szCs w:val="22"/>
          <w:lang w:val="hr-HR"/>
        </w:rPr>
        <w:t>MANJKA ODNOSNO VIŠKA PRORAČUNA</w:t>
      </w:r>
      <w:r w:rsidR="00845F5F" w:rsidRPr="003A2F86">
        <w:rPr>
          <w:rFonts w:ascii="Arial" w:hAnsi="Arial" w:cs="Arial"/>
          <w:sz w:val="22"/>
          <w:szCs w:val="22"/>
          <w:lang w:val="hr-HR"/>
        </w:rPr>
        <w:t>, TE PRENESENOG VIŠKA ILI MANJKA PRIHODA NAD RASHODIMA</w:t>
      </w:r>
      <w:r w:rsidRPr="003A2F86">
        <w:rPr>
          <w:rFonts w:ascii="Arial" w:hAnsi="Arial" w:cs="Arial"/>
          <w:sz w:val="22"/>
          <w:szCs w:val="22"/>
          <w:lang w:val="hr-HR"/>
        </w:rPr>
        <w:t>– sveukupno Općina s proračunskim korisnicima</w:t>
      </w:r>
      <w:bookmarkStart w:id="279" w:name="Prikaz_ostvarenog_viška_manjka"/>
      <w:bookmarkEnd w:id="278"/>
      <w:bookmarkEnd w:id="279"/>
    </w:p>
    <w:p w14:paraId="3CF6BC85" w14:textId="77777777" w:rsidR="00891119" w:rsidRPr="003A2F86" w:rsidRDefault="00891119" w:rsidP="00891119">
      <w:pPr>
        <w:autoSpaceDE w:val="0"/>
        <w:autoSpaceDN w:val="0"/>
        <w:adjustRightInd w:val="0"/>
        <w:spacing w:after="0" w:line="240" w:lineRule="auto"/>
        <w:jc w:val="both"/>
        <w:rPr>
          <w:rFonts w:ascii="Arial" w:eastAsia="Times New Roman" w:hAnsi="Arial" w:cs="Arial"/>
        </w:rPr>
      </w:pPr>
    </w:p>
    <w:p w14:paraId="1F991325" w14:textId="378EF74C" w:rsidR="00D86646" w:rsidRPr="00D86646" w:rsidRDefault="00D86646" w:rsidP="00D86646">
      <w:pPr>
        <w:spacing w:after="0" w:line="240" w:lineRule="auto"/>
        <w:jc w:val="both"/>
        <w:rPr>
          <w:rFonts w:ascii="Arial" w:eastAsia="Times New Roman" w:hAnsi="Arial" w:cs="Arial"/>
          <w:iCs/>
          <w:lang w:eastAsia="en-US"/>
        </w:rPr>
      </w:pPr>
      <w:bookmarkStart w:id="280" w:name="_Hlk230352847"/>
      <w:bookmarkStart w:id="281" w:name="_Hlk102024501"/>
      <w:r w:rsidRPr="00D86646">
        <w:rPr>
          <w:rFonts w:ascii="Arial" w:eastAsia="Times New Roman" w:hAnsi="Arial" w:cs="Arial"/>
          <w:iCs/>
          <w:lang w:eastAsia="en-US"/>
        </w:rPr>
        <w:t xml:space="preserve">Ukupni prihodi i primici za razdoblje siječanj – prosinac 2025. ostvareni su u iznosu 23.152.793,05 € što je za 8.990.777,51 € ili 63,5% više u odnosu na izvještajno razdoblje prethodne godine. </w:t>
      </w:r>
    </w:p>
    <w:p w14:paraId="4E803F04" w14:textId="77777777" w:rsidR="00D86646" w:rsidRPr="00D86646" w:rsidRDefault="00D86646" w:rsidP="00D86646">
      <w:pPr>
        <w:spacing w:after="0" w:line="240" w:lineRule="auto"/>
        <w:jc w:val="both"/>
        <w:rPr>
          <w:rFonts w:ascii="Arial" w:eastAsia="Times New Roman" w:hAnsi="Arial" w:cs="Arial"/>
          <w:iCs/>
          <w:lang w:eastAsia="en-US"/>
        </w:rPr>
      </w:pPr>
      <w:r w:rsidRPr="00D86646">
        <w:rPr>
          <w:rFonts w:ascii="Arial" w:eastAsia="Times New Roman" w:hAnsi="Arial" w:cs="Arial"/>
          <w:iCs/>
          <w:lang w:eastAsia="en-US"/>
        </w:rPr>
        <w:t>Primitaka od zaduživanja prethodne godine nije bilo, a u tekućoj godini su ostvareni u iznosu 3.079.325,13 € (kredit za izgradnju osnovne škole).</w:t>
      </w:r>
    </w:p>
    <w:p w14:paraId="28FE6EB8" w14:textId="77777777" w:rsidR="00D86646" w:rsidRPr="00D86646" w:rsidRDefault="00D86646" w:rsidP="00D86646">
      <w:pPr>
        <w:spacing w:after="0" w:line="240" w:lineRule="auto"/>
        <w:jc w:val="both"/>
        <w:rPr>
          <w:rFonts w:ascii="Arial" w:eastAsia="Times New Roman" w:hAnsi="Arial" w:cs="Arial"/>
          <w:iCs/>
          <w:lang w:eastAsia="en-US"/>
        </w:rPr>
      </w:pPr>
    </w:p>
    <w:p w14:paraId="43EA62C2" w14:textId="02B1EAD1" w:rsidR="00D86646" w:rsidRPr="00D86646" w:rsidRDefault="00D86646" w:rsidP="00D86646">
      <w:pPr>
        <w:spacing w:after="0" w:line="240" w:lineRule="auto"/>
        <w:jc w:val="both"/>
        <w:rPr>
          <w:rFonts w:ascii="Arial" w:eastAsia="Times New Roman" w:hAnsi="Arial" w:cs="Arial"/>
          <w:iCs/>
          <w:lang w:eastAsia="en-US"/>
        </w:rPr>
      </w:pPr>
      <w:r w:rsidRPr="00D86646">
        <w:rPr>
          <w:rFonts w:ascii="Arial" w:eastAsia="Times New Roman" w:hAnsi="Arial" w:cs="Arial"/>
          <w:iCs/>
          <w:lang w:eastAsia="en-US"/>
        </w:rPr>
        <w:t xml:space="preserve">Ukupni rashodi i izdaci za razdoblje </w:t>
      </w:r>
      <w:bookmarkStart w:id="282" w:name="_Hlk230352877"/>
      <w:r w:rsidRPr="00D86646">
        <w:rPr>
          <w:rFonts w:ascii="Arial" w:eastAsia="Times New Roman" w:hAnsi="Arial" w:cs="Arial"/>
          <w:iCs/>
          <w:lang w:eastAsia="en-US"/>
        </w:rPr>
        <w:t>siječanj – prosinac 2025. izvršeni su u iznosu 26.434.475,83 € što je za 11.180.928,48 € ili 73,3% više u odnosu na izvještajno razdoblje prethodne godine</w:t>
      </w:r>
      <w:bookmarkEnd w:id="282"/>
      <w:r w:rsidRPr="00D86646">
        <w:rPr>
          <w:rFonts w:ascii="Arial" w:eastAsia="Times New Roman" w:hAnsi="Arial" w:cs="Arial"/>
          <w:iCs/>
          <w:lang w:eastAsia="en-US"/>
        </w:rPr>
        <w:t xml:space="preserve">. </w:t>
      </w:r>
    </w:p>
    <w:bookmarkEnd w:id="280"/>
    <w:p w14:paraId="11DB851F" w14:textId="77777777" w:rsidR="00D86646" w:rsidRPr="00D86646" w:rsidRDefault="00D86646" w:rsidP="00D86646">
      <w:pPr>
        <w:spacing w:after="0" w:line="240" w:lineRule="auto"/>
        <w:jc w:val="both"/>
        <w:rPr>
          <w:rFonts w:ascii="Arial" w:eastAsia="Times New Roman" w:hAnsi="Arial" w:cs="Arial"/>
          <w:iCs/>
          <w:lang w:eastAsia="en-US"/>
        </w:rPr>
      </w:pPr>
    </w:p>
    <w:p w14:paraId="2D8EA52B" w14:textId="7E89FCFC" w:rsidR="00D86646" w:rsidRPr="00D86646" w:rsidRDefault="00D86646" w:rsidP="00D86646">
      <w:pPr>
        <w:spacing w:after="0" w:line="240" w:lineRule="auto"/>
        <w:jc w:val="both"/>
        <w:rPr>
          <w:rFonts w:ascii="Arial" w:eastAsia="Times New Roman" w:hAnsi="Arial" w:cs="Arial"/>
          <w:iCs/>
          <w:lang w:eastAsia="en-US"/>
        </w:rPr>
      </w:pPr>
      <w:r w:rsidRPr="00D86646">
        <w:rPr>
          <w:rFonts w:ascii="Arial" w:eastAsia="Times New Roman" w:hAnsi="Arial" w:cs="Arial"/>
          <w:iCs/>
          <w:lang w:eastAsia="en-US"/>
        </w:rPr>
        <w:t xml:space="preserve">Manjak prihoda i primitaka nad rashodima i izdacima tekuće godine, </w:t>
      </w:r>
      <w:bookmarkStart w:id="283" w:name="_Hlk230352893"/>
      <w:r w:rsidRPr="00D86646">
        <w:rPr>
          <w:rFonts w:ascii="Arial" w:eastAsia="Times New Roman" w:hAnsi="Arial" w:cs="Arial"/>
          <w:iCs/>
          <w:lang w:eastAsia="en-US"/>
        </w:rPr>
        <w:t>odnosno za razdoblje siječanj – prosinac 2025. iznosi 3.281.682,78 € (manjak Općine 3.283.565,15 €, zbrojni višak proračunskih korisnika 1.882,37 €)</w:t>
      </w:r>
      <w:bookmarkEnd w:id="283"/>
      <w:r w:rsidRPr="00D86646">
        <w:rPr>
          <w:rFonts w:ascii="Arial" w:eastAsia="Times New Roman" w:hAnsi="Arial" w:cs="Arial"/>
          <w:iCs/>
          <w:lang w:eastAsia="en-US"/>
        </w:rPr>
        <w:t>.</w:t>
      </w:r>
    </w:p>
    <w:p w14:paraId="54633138" w14:textId="77777777" w:rsidR="00D86646" w:rsidRPr="00D86646" w:rsidRDefault="00D86646" w:rsidP="00D86646">
      <w:pPr>
        <w:spacing w:after="0" w:line="240" w:lineRule="auto"/>
        <w:jc w:val="both"/>
        <w:rPr>
          <w:rFonts w:ascii="Arial" w:eastAsia="Times New Roman" w:hAnsi="Arial" w:cs="Arial"/>
          <w:iCs/>
          <w:lang w:eastAsia="en-US"/>
        </w:rPr>
      </w:pPr>
    </w:p>
    <w:p w14:paraId="7C641FEF" w14:textId="77777777" w:rsidR="00D86646" w:rsidRPr="00D86646" w:rsidRDefault="00D86646" w:rsidP="00D86646">
      <w:pPr>
        <w:spacing w:after="0" w:line="240" w:lineRule="auto"/>
        <w:jc w:val="both"/>
        <w:rPr>
          <w:rFonts w:ascii="Arial" w:eastAsia="Times New Roman" w:hAnsi="Arial" w:cs="Arial"/>
          <w:iCs/>
          <w:lang w:eastAsia="en-US"/>
        </w:rPr>
      </w:pPr>
      <w:r w:rsidRPr="00D86646">
        <w:rPr>
          <w:rFonts w:ascii="Arial" w:eastAsia="Times New Roman" w:hAnsi="Arial" w:cs="Arial"/>
          <w:iCs/>
          <w:lang w:eastAsia="en-US"/>
        </w:rPr>
        <w:t>Osnovni razlog za visinu ostvarenog viška prihoda i primitaka prethodne 2024. godine su bila ostvarena sredstva za sufinanciranje projekata, te ostvarena i neraspoređena sredstva od prodaje zemljišta u budućoj poduzetničkoj zoni. Međutim, ostvareni tekući manjak u 2025. godini je rezultat izvršenih rashoda za izgradnju osnovne škole koja se sufinancira bespovratnim EU sredstvima, a nisu ostvarena sredstva pomoći (ostvaren predujam, ali još nije odobren zahtjev za nadoknadom sredstava zbog čega nije iskazan prihod od pomoći).</w:t>
      </w:r>
    </w:p>
    <w:p w14:paraId="282A17ED" w14:textId="77777777" w:rsidR="00D86646" w:rsidRPr="00D86646" w:rsidRDefault="00D86646" w:rsidP="00D86646">
      <w:pPr>
        <w:spacing w:after="0" w:line="240" w:lineRule="auto"/>
        <w:jc w:val="both"/>
        <w:rPr>
          <w:rFonts w:ascii="Arial" w:eastAsia="Times New Roman" w:hAnsi="Arial" w:cs="Arial"/>
          <w:iCs/>
          <w:lang w:eastAsia="en-US"/>
        </w:rPr>
      </w:pPr>
    </w:p>
    <w:p w14:paraId="53BFF069" w14:textId="5062D584" w:rsidR="002749D9" w:rsidRPr="002749D9" w:rsidRDefault="002749D9" w:rsidP="002749D9">
      <w:pPr>
        <w:spacing w:after="0" w:line="240" w:lineRule="auto"/>
        <w:jc w:val="both"/>
        <w:rPr>
          <w:rFonts w:ascii="Arial" w:eastAsia="Times New Roman" w:hAnsi="Arial" w:cs="Arial"/>
          <w:iCs/>
          <w:lang w:eastAsia="en-US"/>
        </w:rPr>
      </w:pPr>
      <w:r w:rsidRPr="002749D9">
        <w:rPr>
          <w:rFonts w:ascii="Arial" w:eastAsia="Times New Roman" w:hAnsi="Arial" w:cs="Arial"/>
          <w:iCs/>
          <w:lang w:eastAsia="en-US"/>
        </w:rPr>
        <w:t>Višak prihoda i primitaka iz prethodnih godina</w:t>
      </w:r>
      <w:r w:rsidRPr="002749D9">
        <w:rPr>
          <w:rFonts w:ascii="Arial" w:eastAsia="Times New Roman" w:hAnsi="Arial" w:cs="Arial"/>
          <w:b/>
          <w:bCs/>
          <w:iCs/>
          <w:lang w:eastAsia="en-US"/>
        </w:rPr>
        <w:t xml:space="preserve"> </w:t>
      </w:r>
      <w:r w:rsidRPr="002749D9">
        <w:rPr>
          <w:rFonts w:ascii="Arial" w:eastAsia="Times New Roman" w:hAnsi="Arial" w:cs="Arial"/>
          <w:iCs/>
          <w:lang w:eastAsia="en-US"/>
        </w:rPr>
        <w:t>je iznosio 2.068.159,72 € (višak Općine 2.314.003,03 € i zbirni manjak proračunskih korisnika 245.843,31 €).</w:t>
      </w:r>
      <w:r>
        <w:rPr>
          <w:rFonts w:ascii="Arial" w:eastAsia="Times New Roman" w:hAnsi="Arial" w:cs="Arial"/>
          <w:iCs/>
          <w:lang w:eastAsia="en-US"/>
        </w:rPr>
        <w:t xml:space="preserve">  </w:t>
      </w:r>
      <w:r w:rsidRPr="002749D9">
        <w:rPr>
          <w:rFonts w:ascii="Arial" w:eastAsia="Times New Roman" w:hAnsi="Arial" w:cs="Arial"/>
          <w:iCs/>
          <w:lang w:eastAsia="en-US"/>
        </w:rPr>
        <w:t>U tekućoj godini obavljen je ispravak vrijednosti rezultata iz prethodnog razdoblja u ukupnom iznosu 2.141.534,17 €. U okviru ovog iznosa iskazan je povećanje viška prihoda od financijske imovine u iznosu 2.500.000 € (oročenje sredstava kod poslovne banke za koje je ranije godine bio iskazan izdatak za oročavanje sredstava). Također, prethodne godine je bio iskazan prihod od pomoći u visini ostvarenih predujmova za provedbu EU projekata, a sukladno novim odredbama Pravilnika o proračunskom računovodstvu i računskom planu, te uputama Ministarstva financija ispravljen je ranije iskazani višak.</w:t>
      </w:r>
      <w:r>
        <w:rPr>
          <w:rFonts w:ascii="Arial" w:eastAsia="Times New Roman" w:hAnsi="Arial" w:cs="Arial"/>
          <w:iCs/>
          <w:lang w:eastAsia="en-US"/>
        </w:rPr>
        <w:t xml:space="preserve"> </w:t>
      </w:r>
      <w:r w:rsidRPr="002749D9">
        <w:rPr>
          <w:rFonts w:ascii="Arial" w:eastAsia="Times New Roman" w:hAnsi="Arial" w:cs="Arial"/>
          <w:iCs/>
          <w:lang w:eastAsia="en-US"/>
        </w:rPr>
        <w:t>Konačan višak prihoda i primitaka iz prethodnog razdoblja (9221-9222) iznosi 4.209.693,89 € (višak Općine 4.453.411,24 € i zbirni manjak proračunskih korisnika 243.717,35 €).</w:t>
      </w:r>
    </w:p>
    <w:p w14:paraId="4BF6E287" w14:textId="77777777" w:rsidR="002749D9" w:rsidRDefault="002749D9" w:rsidP="00D86646">
      <w:pPr>
        <w:spacing w:after="0" w:line="240" w:lineRule="auto"/>
        <w:jc w:val="both"/>
        <w:rPr>
          <w:rFonts w:ascii="Arial" w:eastAsia="Times New Roman" w:hAnsi="Arial" w:cs="Arial"/>
          <w:iCs/>
          <w:lang w:eastAsia="en-US"/>
        </w:rPr>
      </w:pPr>
    </w:p>
    <w:p w14:paraId="611B488B" w14:textId="4048FFF2" w:rsidR="00D86646" w:rsidRPr="00D86646" w:rsidRDefault="00D86646" w:rsidP="00D86646">
      <w:pPr>
        <w:spacing w:after="0" w:line="240" w:lineRule="auto"/>
        <w:jc w:val="both"/>
        <w:rPr>
          <w:rFonts w:ascii="Arial" w:eastAsia="Times New Roman" w:hAnsi="Arial" w:cs="Arial"/>
          <w:iCs/>
          <w:lang w:eastAsia="en-US"/>
        </w:rPr>
      </w:pPr>
      <w:r w:rsidRPr="00D86646">
        <w:rPr>
          <w:rFonts w:ascii="Arial" w:eastAsia="Times New Roman" w:hAnsi="Arial" w:cs="Arial"/>
          <w:iCs/>
          <w:lang w:eastAsia="en-US"/>
        </w:rPr>
        <w:t xml:space="preserve">Višak prihoda i primitaka raspoloživ u slijedećem razdoblju </w:t>
      </w:r>
      <w:bookmarkStart w:id="284" w:name="_Hlk230352950"/>
      <w:r w:rsidRPr="00D86646">
        <w:rPr>
          <w:rFonts w:ascii="Arial" w:eastAsia="Times New Roman" w:hAnsi="Arial" w:cs="Arial"/>
          <w:iCs/>
          <w:lang w:eastAsia="en-US"/>
        </w:rPr>
        <w:t>iznosi 928.011,11 €, od čega se na višak Općine odnosi 1.169.846,09 €, a na zbirne manjkove proračunskih korisnika 241.834,98 €.</w:t>
      </w:r>
    </w:p>
    <w:bookmarkEnd w:id="284"/>
    <w:p w14:paraId="6EBAE5EB" w14:textId="77777777" w:rsidR="00D86646" w:rsidRPr="00D86646" w:rsidRDefault="00D86646" w:rsidP="00D86646">
      <w:pPr>
        <w:spacing w:after="0" w:line="240" w:lineRule="auto"/>
        <w:jc w:val="both"/>
        <w:rPr>
          <w:rFonts w:ascii="Arial" w:eastAsia="Times New Roman" w:hAnsi="Arial" w:cs="Arial"/>
          <w:iCs/>
          <w:lang w:eastAsia="en-US"/>
        </w:rPr>
      </w:pPr>
    </w:p>
    <w:p w14:paraId="13135804" w14:textId="77777777" w:rsidR="00D86646" w:rsidRPr="00D86646" w:rsidRDefault="00D86646" w:rsidP="00D86646">
      <w:pPr>
        <w:spacing w:after="0" w:line="240" w:lineRule="auto"/>
        <w:jc w:val="both"/>
        <w:rPr>
          <w:rFonts w:ascii="Arial" w:eastAsia="Times New Roman" w:hAnsi="Arial" w:cs="Arial"/>
          <w:iCs/>
          <w:lang w:eastAsia="en-US"/>
        </w:rPr>
      </w:pPr>
      <w:r w:rsidRPr="00D86646">
        <w:rPr>
          <w:rFonts w:ascii="Arial" w:eastAsia="Times New Roman" w:hAnsi="Arial" w:cs="Arial"/>
          <w:iCs/>
          <w:lang w:eastAsia="en-US"/>
        </w:rPr>
        <w:t>Ukupan manjak prihoda proračunskih korisnika u iznosu 241.834,98 € se dijeli na slijedeći način:</w:t>
      </w:r>
    </w:p>
    <w:p w14:paraId="68245DCE" w14:textId="77777777" w:rsidR="00D86646" w:rsidRPr="00D86646" w:rsidRDefault="00D86646" w:rsidP="00D86646">
      <w:pPr>
        <w:spacing w:after="0" w:line="240" w:lineRule="auto"/>
        <w:jc w:val="both"/>
        <w:rPr>
          <w:rFonts w:ascii="Arial" w:eastAsia="Times New Roman" w:hAnsi="Arial" w:cs="Arial"/>
          <w:iCs/>
          <w:lang w:eastAsia="en-US"/>
        </w:rPr>
      </w:pPr>
      <w:r w:rsidRPr="00D86646">
        <w:rPr>
          <w:rFonts w:ascii="Arial" w:eastAsia="Times New Roman" w:hAnsi="Arial" w:cs="Arial"/>
          <w:iCs/>
          <w:lang w:eastAsia="en-US"/>
        </w:rPr>
        <w:t>- Dječji vrtić Konavle</w:t>
      </w:r>
      <w:r w:rsidRPr="00D86646">
        <w:rPr>
          <w:rFonts w:ascii="Arial" w:eastAsia="Times New Roman" w:hAnsi="Arial" w:cs="Arial"/>
          <w:iCs/>
          <w:lang w:eastAsia="en-US"/>
        </w:rPr>
        <w:tab/>
      </w:r>
      <w:r w:rsidRPr="00D86646">
        <w:rPr>
          <w:rFonts w:ascii="Arial" w:eastAsia="Times New Roman" w:hAnsi="Arial" w:cs="Arial"/>
          <w:iCs/>
          <w:lang w:eastAsia="en-US"/>
        </w:rPr>
        <w:tab/>
      </w:r>
      <w:r w:rsidRPr="00D86646">
        <w:rPr>
          <w:rFonts w:ascii="Arial" w:eastAsia="Times New Roman" w:hAnsi="Arial" w:cs="Arial"/>
          <w:iCs/>
          <w:lang w:eastAsia="en-US"/>
        </w:rPr>
        <w:tab/>
      </w:r>
      <w:r w:rsidRPr="00D86646">
        <w:rPr>
          <w:rFonts w:ascii="Arial" w:eastAsia="Times New Roman" w:hAnsi="Arial" w:cs="Arial"/>
          <w:iCs/>
          <w:lang w:eastAsia="en-US"/>
        </w:rPr>
        <w:tab/>
        <w:t>-</w:t>
      </w:r>
      <w:r w:rsidRPr="00D86646">
        <w:rPr>
          <w:rFonts w:ascii="Arial" w:eastAsia="Times New Roman" w:hAnsi="Arial" w:cs="Arial"/>
          <w:iCs/>
          <w:lang w:eastAsia="en-US"/>
        </w:rPr>
        <w:tab/>
        <w:t xml:space="preserve">manjak </w:t>
      </w:r>
      <w:r w:rsidRPr="00D86646">
        <w:rPr>
          <w:rFonts w:ascii="Arial" w:eastAsia="Times New Roman" w:hAnsi="Arial" w:cs="Arial"/>
          <w:iCs/>
          <w:lang w:eastAsia="en-US"/>
        </w:rPr>
        <w:tab/>
      </w:r>
      <w:bookmarkStart w:id="285" w:name="_Hlk230352980"/>
      <w:r w:rsidRPr="00D86646">
        <w:rPr>
          <w:rFonts w:ascii="Arial" w:eastAsia="Times New Roman" w:hAnsi="Arial" w:cs="Arial"/>
          <w:iCs/>
          <w:lang w:eastAsia="en-US"/>
        </w:rPr>
        <w:t xml:space="preserve">-  171.032,52 </w:t>
      </w:r>
      <w:bookmarkEnd w:id="285"/>
      <w:r w:rsidRPr="00D86646">
        <w:rPr>
          <w:rFonts w:ascii="Arial" w:eastAsia="Times New Roman" w:hAnsi="Arial" w:cs="Arial"/>
          <w:iCs/>
          <w:lang w:eastAsia="en-US"/>
        </w:rPr>
        <w:t>€</w:t>
      </w:r>
    </w:p>
    <w:p w14:paraId="562F8532" w14:textId="77777777" w:rsidR="00D86646" w:rsidRPr="00D86646" w:rsidRDefault="00D86646" w:rsidP="00D86646">
      <w:pPr>
        <w:spacing w:after="0" w:line="240" w:lineRule="auto"/>
        <w:jc w:val="both"/>
        <w:rPr>
          <w:rFonts w:ascii="Arial" w:eastAsia="Times New Roman" w:hAnsi="Arial" w:cs="Arial"/>
          <w:iCs/>
          <w:lang w:eastAsia="en-US"/>
        </w:rPr>
      </w:pPr>
      <w:r w:rsidRPr="00D86646">
        <w:rPr>
          <w:rFonts w:ascii="Arial" w:eastAsia="Times New Roman" w:hAnsi="Arial" w:cs="Arial"/>
          <w:iCs/>
          <w:lang w:eastAsia="en-US"/>
        </w:rPr>
        <w:t>- Muzeji i galerije Konavala</w:t>
      </w:r>
      <w:r w:rsidRPr="00D86646">
        <w:rPr>
          <w:rFonts w:ascii="Arial" w:eastAsia="Times New Roman" w:hAnsi="Arial" w:cs="Arial"/>
          <w:iCs/>
          <w:lang w:eastAsia="en-US"/>
        </w:rPr>
        <w:tab/>
      </w:r>
      <w:r w:rsidRPr="00D86646">
        <w:rPr>
          <w:rFonts w:ascii="Arial" w:eastAsia="Times New Roman" w:hAnsi="Arial" w:cs="Arial"/>
          <w:iCs/>
          <w:lang w:eastAsia="en-US"/>
        </w:rPr>
        <w:tab/>
      </w:r>
      <w:r w:rsidRPr="00D86646">
        <w:rPr>
          <w:rFonts w:ascii="Arial" w:eastAsia="Times New Roman" w:hAnsi="Arial" w:cs="Arial"/>
          <w:iCs/>
          <w:lang w:eastAsia="en-US"/>
        </w:rPr>
        <w:tab/>
        <w:t>-</w:t>
      </w:r>
      <w:r w:rsidRPr="00D86646">
        <w:rPr>
          <w:rFonts w:ascii="Arial" w:eastAsia="Times New Roman" w:hAnsi="Arial" w:cs="Arial"/>
          <w:iCs/>
          <w:lang w:eastAsia="en-US"/>
        </w:rPr>
        <w:tab/>
        <w:t>višak</w:t>
      </w:r>
      <w:r w:rsidRPr="00D86646">
        <w:rPr>
          <w:rFonts w:ascii="Arial" w:eastAsia="Times New Roman" w:hAnsi="Arial" w:cs="Arial"/>
          <w:iCs/>
          <w:lang w:eastAsia="en-US"/>
        </w:rPr>
        <w:tab/>
      </w:r>
      <w:r w:rsidRPr="00D86646">
        <w:rPr>
          <w:rFonts w:ascii="Arial" w:eastAsia="Times New Roman" w:hAnsi="Arial" w:cs="Arial"/>
          <w:iCs/>
          <w:lang w:eastAsia="en-US"/>
        </w:rPr>
        <w:tab/>
        <w:t>+   37.983,64 €</w:t>
      </w:r>
    </w:p>
    <w:p w14:paraId="7815B570" w14:textId="612B5D14" w:rsidR="00D86646" w:rsidRPr="00D86646" w:rsidRDefault="00D86646" w:rsidP="00D86646">
      <w:pPr>
        <w:spacing w:after="0" w:line="240" w:lineRule="auto"/>
        <w:jc w:val="both"/>
        <w:rPr>
          <w:rFonts w:ascii="Arial" w:eastAsia="Times New Roman" w:hAnsi="Arial" w:cs="Arial"/>
          <w:iCs/>
          <w:lang w:eastAsia="en-US"/>
        </w:rPr>
      </w:pPr>
      <w:r w:rsidRPr="00D86646">
        <w:rPr>
          <w:rFonts w:ascii="Arial" w:eastAsia="Times New Roman" w:hAnsi="Arial" w:cs="Arial"/>
          <w:iCs/>
          <w:lang w:eastAsia="en-US"/>
        </w:rPr>
        <w:t>- Javna vatrogasna postrojba Konavle</w:t>
      </w:r>
      <w:r w:rsidRPr="00D86646">
        <w:rPr>
          <w:rFonts w:ascii="Arial" w:eastAsia="Times New Roman" w:hAnsi="Arial" w:cs="Arial"/>
          <w:iCs/>
          <w:lang w:eastAsia="en-US"/>
        </w:rPr>
        <w:tab/>
        <w:t>-</w:t>
      </w:r>
      <w:r w:rsidRPr="00D86646">
        <w:rPr>
          <w:rFonts w:ascii="Arial" w:eastAsia="Times New Roman" w:hAnsi="Arial" w:cs="Arial"/>
          <w:iCs/>
          <w:lang w:eastAsia="en-US"/>
        </w:rPr>
        <w:tab/>
        <w:t>manjak</w:t>
      </w:r>
      <w:r w:rsidRPr="00D86646">
        <w:rPr>
          <w:rFonts w:ascii="Arial" w:eastAsia="Times New Roman" w:hAnsi="Arial" w:cs="Arial"/>
          <w:iCs/>
          <w:lang w:eastAsia="en-US"/>
        </w:rPr>
        <w:tab/>
        <w:t>-    63.943,52 €</w:t>
      </w:r>
    </w:p>
    <w:p w14:paraId="73DE8790" w14:textId="579EB429" w:rsidR="00D86646" w:rsidRPr="00D86646" w:rsidRDefault="00D86646" w:rsidP="00D86646">
      <w:pPr>
        <w:spacing w:after="0" w:line="240" w:lineRule="auto"/>
        <w:jc w:val="both"/>
        <w:rPr>
          <w:rFonts w:ascii="Arial" w:eastAsia="Times New Roman" w:hAnsi="Arial" w:cs="Arial"/>
          <w:iCs/>
          <w:lang w:eastAsia="en-US"/>
        </w:rPr>
      </w:pPr>
      <w:r w:rsidRPr="00D86646">
        <w:rPr>
          <w:rFonts w:ascii="Arial" w:eastAsia="Times New Roman" w:hAnsi="Arial" w:cs="Arial"/>
          <w:iCs/>
          <w:lang w:eastAsia="en-US"/>
        </w:rPr>
        <w:t xml:space="preserve">- Dom za starije i nemoćne osobe Konavle </w:t>
      </w:r>
      <w:r w:rsidRPr="00D86646">
        <w:rPr>
          <w:rFonts w:ascii="Arial" w:eastAsia="Times New Roman" w:hAnsi="Arial" w:cs="Arial"/>
          <w:iCs/>
          <w:lang w:eastAsia="en-US"/>
        </w:rPr>
        <w:tab/>
        <w:t xml:space="preserve">- </w:t>
      </w:r>
      <w:r w:rsidRPr="00D86646">
        <w:rPr>
          <w:rFonts w:ascii="Arial" w:eastAsia="Times New Roman" w:hAnsi="Arial" w:cs="Arial"/>
          <w:iCs/>
          <w:lang w:eastAsia="en-US"/>
        </w:rPr>
        <w:tab/>
        <w:t>manjak</w:t>
      </w:r>
      <w:r w:rsidRPr="00D86646">
        <w:rPr>
          <w:rFonts w:ascii="Arial" w:eastAsia="Times New Roman" w:hAnsi="Arial" w:cs="Arial"/>
          <w:iCs/>
          <w:lang w:eastAsia="en-US"/>
        </w:rPr>
        <w:tab/>
        <w:t>-    44.842,58 €.</w:t>
      </w:r>
    </w:p>
    <w:p w14:paraId="3B03A582" w14:textId="77777777" w:rsidR="00D86646" w:rsidRPr="00D86646" w:rsidRDefault="00D86646" w:rsidP="00D86646">
      <w:pPr>
        <w:spacing w:after="0" w:line="240" w:lineRule="auto"/>
        <w:jc w:val="both"/>
        <w:rPr>
          <w:rFonts w:ascii="Arial" w:eastAsia="Times New Roman" w:hAnsi="Arial" w:cs="Arial"/>
          <w:iCs/>
          <w:lang w:eastAsia="en-US"/>
        </w:rPr>
      </w:pPr>
    </w:p>
    <w:p w14:paraId="25743E1D" w14:textId="15F1525B" w:rsidR="00111106" w:rsidRPr="003A2F86" w:rsidRDefault="00D86646" w:rsidP="00D86646">
      <w:pPr>
        <w:spacing w:after="0" w:line="240" w:lineRule="auto"/>
        <w:jc w:val="both"/>
        <w:rPr>
          <w:rFonts w:ascii="Arial" w:eastAsia="Times New Roman" w:hAnsi="Arial" w:cs="Arial"/>
          <w:iCs/>
          <w:lang w:eastAsia="en-US"/>
        </w:rPr>
      </w:pPr>
      <w:r w:rsidRPr="00D86646">
        <w:rPr>
          <w:rFonts w:ascii="Arial" w:eastAsia="Times New Roman" w:hAnsi="Arial" w:cs="Arial"/>
          <w:iCs/>
          <w:lang w:eastAsia="en-US"/>
        </w:rPr>
        <w:t>Manjkovi proračunskih korisnika se najvećim dijelom odnose na izvršene rashode za plaće za mjesec prosinac 2025. godine za koje Općina doznačuje sredstva proračunskim korisnicima u siječnju 2026. godine.</w:t>
      </w:r>
    </w:p>
    <w:p w14:paraId="0D8410AA" w14:textId="4224AC3D" w:rsidR="00891119" w:rsidRPr="003A2F86" w:rsidRDefault="00892B2C" w:rsidP="00892B2C">
      <w:pPr>
        <w:pStyle w:val="Opisslike"/>
        <w:keepNext/>
        <w:jc w:val="both"/>
        <w:rPr>
          <w:rFonts w:ascii="Arial" w:eastAsia="Calibri" w:hAnsi="Arial" w:cs="Arial"/>
        </w:rPr>
      </w:pPr>
      <w:bookmarkStart w:id="286" w:name="_Toc232981540"/>
      <w:bookmarkEnd w:id="281"/>
      <w:r w:rsidRPr="003A2F86">
        <w:rPr>
          <w:color w:val="FF0000"/>
        </w:rPr>
        <w:lastRenderedPageBreak/>
        <w:t xml:space="preserve">Tablica </w:t>
      </w:r>
      <w:r w:rsidR="002A3DE2" w:rsidRPr="003A2F86">
        <w:rPr>
          <w:color w:val="FF0000"/>
        </w:rPr>
        <w:fldChar w:fldCharType="begin"/>
      </w:r>
      <w:r w:rsidR="002A3DE2" w:rsidRPr="003A2F86">
        <w:rPr>
          <w:color w:val="FF0000"/>
        </w:rPr>
        <w:instrText xml:space="preserve"> SEQ Tablica \* ARABIC </w:instrText>
      </w:r>
      <w:r w:rsidR="002A3DE2" w:rsidRPr="003A2F86">
        <w:rPr>
          <w:color w:val="FF0000"/>
        </w:rPr>
        <w:fldChar w:fldCharType="separate"/>
      </w:r>
      <w:r w:rsidR="00A821D8">
        <w:rPr>
          <w:noProof/>
          <w:color w:val="FF0000"/>
        </w:rPr>
        <w:t>21</w:t>
      </w:r>
      <w:r w:rsidR="002A3DE2" w:rsidRPr="003A2F86">
        <w:rPr>
          <w:color w:val="FF0000"/>
        </w:rPr>
        <w:fldChar w:fldCharType="end"/>
      </w:r>
      <w:r w:rsidRPr="003A2F86">
        <w:rPr>
          <w:color w:val="FF0000"/>
        </w:rPr>
        <w:t xml:space="preserve">.: </w:t>
      </w:r>
      <w:r w:rsidR="00891119" w:rsidRPr="003A2F86">
        <w:rPr>
          <w:rFonts w:ascii="Arial" w:eastAsia="Calibri" w:hAnsi="Arial" w:cs="Arial"/>
        </w:rPr>
        <w:t xml:space="preserve">Pregled </w:t>
      </w:r>
      <w:r w:rsidR="00EA4469" w:rsidRPr="003A2F86">
        <w:rPr>
          <w:rFonts w:ascii="Arial" w:eastAsia="Calibri" w:hAnsi="Arial" w:cs="Arial"/>
        </w:rPr>
        <w:t xml:space="preserve">ostvarenih </w:t>
      </w:r>
      <w:r w:rsidR="00891119" w:rsidRPr="003A2F86">
        <w:rPr>
          <w:rFonts w:ascii="Arial" w:eastAsia="Calibri" w:hAnsi="Arial" w:cs="Arial"/>
        </w:rPr>
        <w:t>viškova i manjkova Općine i proračunskih korisnika</w:t>
      </w:r>
      <w:r w:rsidR="00EA4469" w:rsidRPr="003A2F86">
        <w:rPr>
          <w:rFonts w:ascii="Arial" w:eastAsia="Calibri" w:hAnsi="Arial" w:cs="Arial"/>
        </w:rPr>
        <w:t xml:space="preserve"> u</w:t>
      </w:r>
      <w:r w:rsidR="004F3EA4" w:rsidRPr="003A2F86">
        <w:rPr>
          <w:rFonts w:ascii="Arial" w:eastAsia="Calibri" w:hAnsi="Arial" w:cs="Arial"/>
        </w:rPr>
        <w:t xml:space="preserve"> </w:t>
      </w:r>
      <w:r w:rsidR="00EA4469" w:rsidRPr="003A2F86">
        <w:rPr>
          <w:rFonts w:ascii="Arial" w:eastAsia="Calibri" w:hAnsi="Arial" w:cs="Arial"/>
        </w:rPr>
        <w:t>20</w:t>
      </w:r>
      <w:r w:rsidR="006B2BC6" w:rsidRPr="003A2F86">
        <w:rPr>
          <w:rFonts w:ascii="Arial" w:eastAsia="Calibri" w:hAnsi="Arial" w:cs="Arial"/>
        </w:rPr>
        <w:t>2</w:t>
      </w:r>
      <w:r w:rsidR="009221B5">
        <w:rPr>
          <w:rFonts w:ascii="Arial" w:eastAsia="Calibri" w:hAnsi="Arial" w:cs="Arial"/>
        </w:rPr>
        <w:t>5</w:t>
      </w:r>
      <w:r w:rsidR="00EA4469" w:rsidRPr="003A2F86">
        <w:rPr>
          <w:rFonts w:ascii="Arial" w:eastAsia="Calibri" w:hAnsi="Arial" w:cs="Arial"/>
        </w:rPr>
        <w:t>.</w:t>
      </w:r>
      <w:bookmarkEnd w:id="286"/>
    </w:p>
    <w:p w14:paraId="4B627A2B" w14:textId="001800F5" w:rsidR="004F3EA4" w:rsidRPr="003A2F86" w:rsidRDefault="00D86646" w:rsidP="0068639C">
      <w:pPr>
        <w:jc w:val="center"/>
        <w:rPr>
          <w:lang w:eastAsia="en-US"/>
        </w:rPr>
      </w:pPr>
      <w:r w:rsidRPr="00D86646">
        <w:rPr>
          <w:noProof/>
        </w:rPr>
        <w:drawing>
          <wp:inline distT="0" distB="0" distL="0" distR="0" wp14:anchorId="2FD0929F" wp14:editId="629646D3">
            <wp:extent cx="6687879" cy="2638351"/>
            <wp:effectExtent l="0" t="0" r="0" b="0"/>
            <wp:docPr id="1294314357"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95749" cy="2641456"/>
                    </a:xfrm>
                    <a:prstGeom prst="rect">
                      <a:avLst/>
                    </a:prstGeom>
                    <a:noFill/>
                    <a:ln>
                      <a:noFill/>
                    </a:ln>
                  </pic:spPr>
                </pic:pic>
              </a:graphicData>
            </a:graphic>
          </wp:inline>
        </w:drawing>
      </w:r>
    </w:p>
    <w:p w14:paraId="5889ABC3" w14:textId="4BCDB843" w:rsidR="00C24AE8" w:rsidRPr="003A2F86" w:rsidRDefault="002D329E" w:rsidP="00D9426C">
      <w:pPr>
        <w:jc w:val="center"/>
        <w:rPr>
          <w:rFonts w:ascii="Arial" w:eastAsia="Calibri" w:hAnsi="Arial" w:cs="Arial"/>
        </w:rPr>
      </w:pPr>
      <w:r w:rsidRPr="002D329E">
        <w:rPr>
          <w:noProof/>
        </w:rPr>
        <w:drawing>
          <wp:inline distT="0" distB="0" distL="0" distR="0" wp14:anchorId="4A90E709" wp14:editId="27385F35">
            <wp:extent cx="6655981" cy="2480753"/>
            <wp:effectExtent l="0" t="0" r="0" b="0"/>
            <wp:docPr id="1655004824"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62242" cy="2483086"/>
                    </a:xfrm>
                    <a:prstGeom prst="rect">
                      <a:avLst/>
                    </a:prstGeom>
                    <a:noFill/>
                    <a:ln>
                      <a:noFill/>
                    </a:ln>
                  </pic:spPr>
                </pic:pic>
              </a:graphicData>
            </a:graphic>
          </wp:inline>
        </w:drawing>
      </w:r>
      <w:r w:rsidR="00306778" w:rsidRPr="003A2F86">
        <w:t xml:space="preserve"> </w:t>
      </w:r>
      <w:r w:rsidR="00C24AE8" w:rsidRPr="003A2F86">
        <w:rPr>
          <w:rFonts w:ascii="Arial" w:eastAsia="Calibri" w:hAnsi="Arial" w:cs="Arial"/>
        </w:rPr>
        <w:br w:type="page"/>
      </w:r>
    </w:p>
    <w:p w14:paraId="3CB36D14" w14:textId="632FFD68" w:rsidR="001C1BB7" w:rsidRPr="003A2F86" w:rsidRDefault="001C1BB7" w:rsidP="00A840CD">
      <w:pPr>
        <w:pStyle w:val="Naslov2"/>
        <w:jc w:val="center"/>
        <w:rPr>
          <w:rFonts w:ascii="Arial" w:eastAsia="Calibri" w:hAnsi="Arial" w:cs="Arial"/>
          <w:sz w:val="22"/>
          <w:szCs w:val="22"/>
          <w:lang w:val="hr-HR"/>
        </w:rPr>
      </w:pPr>
      <w:bookmarkStart w:id="287" w:name="_Toc121678579"/>
      <w:bookmarkStart w:id="288" w:name="_Toc232981414"/>
      <w:r w:rsidRPr="003A2F86">
        <w:rPr>
          <w:rFonts w:ascii="Arial" w:eastAsia="Calibri" w:hAnsi="Arial" w:cs="Arial"/>
          <w:sz w:val="22"/>
          <w:szCs w:val="22"/>
          <w:lang w:val="hr-HR"/>
        </w:rPr>
        <w:lastRenderedPageBreak/>
        <w:t>2.</w:t>
      </w:r>
      <w:r w:rsidR="002D3049" w:rsidRPr="003A2F86">
        <w:rPr>
          <w:rFonts w:ascii="Arial" w:eastAsia="Calibri" w:hAnsi="Arial" w:cs="Arial"/>
          <w:sz w:val="22"/>
          <w:szCs w:val="22"/>
          <w:lang w:val="hr-HR"/>
        </w:rPr>
        <w:t>7</w:t>
      </w:r>
      <w:r w:rsidRPr="003A2F86">
        <w:rPr>
          <w:rFonts w:ascii="Arial" w:eastAsia="Calibri" w:hAnsi="Arial" w:cs="Arial"/>
          <w:sz w:val="22"/>
          <w:szCs w:val="22"/>
          <w:lang w:val="hr-HR"/>
        </w:rPr>
        <w:t>.</w:t>
      </w:r>
      <w:r w:rsidRPr="003A2F86">
        <w:rPr>
          <w:rFonts w:ascii="Arial" w:eastAsia="Calibri" w:hAnsi="Arial" w:cs="Arial"/>
          <w:sz w:val="22"/>
          <w:szCs w:val="22"/>
          <w:lang w:val="hr-HR"/>
        </w:rPr>
        <w:tab/>
      </w:r>
      <w:r w:rsidRPr="003A2F86">
        <w:rPr>
          <w:rFonts w:ascii="Arial" w:eastAsia="Calibri" w:hAnsi="Arial" w:cs="Arial"/>
          <w:sz w:val="22"/>
          <w:szCs w:val="22"/>
          <w:lang w:val="hr-HR"/>
        </w:rPr>
        <w:tab/>
        <w:t>EKONOMSKA KLASIFIKACIJA</w:t>
      </w:r>
      <w:bookmarkStart w:id="289" w:name="Ekonomska_klasifikacija"/>
      <w:bookmarkEnd w:id="287"/>
      <w:bookmarkEnd w:id="288"/>
      <w:bookmarkEnd w:id="289"/>
    </w:p>
    <w:p w14:paraId="4A6C62E5" w14:textId="77777777" w:rsidR="001C1BB7" w:rsidRPr="003A2F86" w:rsidRDefault="001C1BB7" w:rsidP="001C1BB7">
      <w:pPr>
        <w:spacing w:after="0" w:line="240" w:lineRule="auto"/>
        <w:jc w:val="both"/>
        <w:rPr>
          <w:rFonts w:ascii="Arial" w:eastAsia="Calibri" w:hAnsi="Arial" w:cs="Arial"/>
        </w:rPr>
      </w:pPr>
    </w:p>
    <w:p w14:paraId="63D73E22" w14:textId="349067F2" w:rsidR="009C5DA3" w:rsidRPr="003A2F86" w:rsidRDefault="00C02AD0" w:rsidP="001C1BB7">
      <w:pPr>
        <w:spacing w:after="0" w:line="240" w:lineRule="auto"/>
        <w:jc w:val="both"/>
        <w:rPr>
          <w:rFonts w:ascii="Arial" w:eastAsia="Calibri" w:hAnsi="Arial" w:cs="Arial"/>
          <w:b/>
          <w:bCs/>
          <w:i/>
          <w:iCs/>
        </w:rPr>
      </w:pPr>
      <w:r w:rsidRPr="003A2F86">
        <w:rPr>
          <w:rFonts w:ascii="Arial" w:eastAsia="Calibri" w:hAnsi="Arial" w:cs="Arial"/>
        </w:rPr>
        <w:t xml:space="preserve">Struktura ostvarenih prihoda i primitaka za razdoblje siječanj – </w:t>
      </w:r>
      <w:r w:rsidR="00A432E1">
        <w:rPr>
          <w:rFonts w:ascii="Arial" w:eastAsia="Calibri" w:hAnsi="Arial" w:cs="Arial"/>
        </w:rPr>
        <w:t>prosinac</w:t>
      </w:r>
      <w:r w:rsidRPr="003A2F86">
        <w:rPr>
          <w:rFonts w:ascii="Arial" w:eastAsia="Calibri" w:hAnsi="Arial" w:cs="Arial"/>
        </w:rPr>
        <w:t xml:space="preserve"> 202</w:t>
      </w:r>
      <w:r w:rsidR="009221B5">
        <w:rPr>
          <w:rFonts w:ascii="Arial" w:eastAsia="Calibri" w:hAnsi="Arial" w:cs="Arial"/>
        </w:rPr>
        <w:t>5</w:t>
      </w:r>
      <w:r w:rsidRPr="003A2F86">
        <w:rPr>
          <w:rFonts w:ascii="Arial" w:eastAsia="Calibri" w:hAnsi="Arial" w:cs="Arial"/>
        </w:rPr>
        <w:t xml:space="preserve">. godine u iznosu </w:t>
      </w:r>
      <w:r w:rsidR="0049378E">
        <w:rPr>
          <w:rFonts w:ascii="Arial" w:eastAsia="Calibri" w:hAnsi="Arial" w:cs="Arial"/>
          <w:b/>
          <w:bCs/>
        </w:rPr>
        <w:t>23.152.793,05</w:t>
      </w:r>
      <w:r w:rsidRPr="003A2F86">
        <w:rPr>
          <w:rFonts w:ascii="Arial" w:eastAsia="Calibri" w:hAnsi="Arial" w:cs="Arial"/>
          <w:b/>
          <w:bCs/>
        </w:rPr>
        <w:t xml:space="preserve"> €</w:t>
      </w:r>
      <w:r w:rsidRPr="003A2F86">
        <w:rPr>
          <w:rFonts w:ascii="Arial" w:eastAsia="Calibri" w:hAnsi="Arial" w:cs="Arial"/>
        </w:rPr>
        <w:t xml:space="preserve"> prikazana je u</w:t>
      </w:r>
      <w:r w:rsidR="009C5DA3" w:rsidRPr="003A2F86">
        <w:rPr>
          <w:rFonts w:ascii="Arial" w:eastAsia="Calibri" w:hAnsi="Arial" w:cs="Arial"/>
        </w:rPr>
        <w:t xml:space="preserve"> okviru točke </w:t>
      </w:r>
      <w:hyperlink w:anchor="_2.3.1.__PRIHODI" w:history="1">
        <w:r w:rsidR="009C5DA3" w:rsidRPr="00B356F8">
          <w:rPr>
            <w:rStyle w:val="Hiperveza"/>
            <w:rFonts w:ascii="Arial" w:eastAsia="Calibri" w:hAnsi="Arial" w:cs="Arial"/>
            <w:b/>
            <w:bCs/>
            <w:i/>
            <w:iCs/>
          </w:rPr>
          <w:t xml:space="preserve">2.3. SAŽETAK – IZVRŠENJE PRORAČUNA SIJEČANJ – </w:t>
        </w:r>
        <w:r w:rsidR="00A432E1">
          <w:rPr>
            <w:rStyle w:val="Hiperveza"/>
            <w:rFonts w:ascii="Arial" w:eastAsia="Calibri" w:hAnsi="Arial" w:cs="Arial"/>
            <w:b/>
            <w:bCs/>
            <w:i/>
            <w:iCs/>
          </w:rPr>
          <w:t>PROSINAC</w:t>
        </w:r>
        <w:r w:rsidR="009C5DA3" w:rsidRPr="00B356F8">
          <w:rPr>
            <w:rStyle w:val="Hiperveza"/>
            <w:rFonts w:ascii="Arial" w:eastAsia="Calibri" w:hAnsi="Arial" w:cs="Arial"/>
            <w:b/>
            <w:bCs/>
            <w:i/>
            <w:iCs/>
          </w:rPr>
          <w:t xml:space="preserve"> 202</w:t>
        </w:r>
        <w:r w:rsidR="009221B5">
          <w:rPr>
            <w:rStyle w:val="Hiperveza"/>
            <w:rFonts w:ascii="Arial" w:eastAsia="Calibri" w:hAnsi="Arial" w:cs="Arial"/>
            <w:b/>
            <w:bCs/>
            <w:i/>
            <w:iCs/>
          </w:rPr>
          <w:t>5</w:t>
        </w:r>
        <w:r w:rsidR="009C5DA3" w:rsidRPr="00B356F8">
          <w:rPr>
            <w:rStyle w:val="Hiperveza"/>
            <w:rFonts w:ascii="Arial" w:eastAsia="Calibri" w:hAnsi="Arial" w:cs="Arial"/>
            <w:b/>
            <w:bCs/>
            <w:i/>
            <w:iCs/>
          </w:rPr>
          <w:t>., 2.3.1. PRIHODI I PRIMICI</w:t>
        </w:r>
      </w:hyperlink>
      <w:r w:rsidR="009C5DA3" w:rsidRPr="00B356F8">
        <w:rPr>
          <w:rFonts w:ascii="Arial" w:eastAsia="Calibri" w:hAnsi="Arial" w:cs="Arial"/>
          <w:b/>
          <w:bCs/>
          <w:i/>
          <w:iCs/>
        </w:rPr>
        <w:t>,</w:t>
      </w:r>
      <w:r w:rsidR="009C5DA3" w:rsidRPr="00B356F8">
        <w:rPr>
          <w:rFonts w:ascii="Arial" w:eastAsia="Calibri" w:hAnsi="Arial" w:cs="Arial"/>
        </w:rPr>
        <w:t xml:space="preserve"> </w:t>
      </w:r>
      <w:r w:rsidR="00736F0C" w:rsidRPr="003A2F86">
        <w:rPr>
          <w:rFonts w:ascii="Arial" w:eastAsia="Calibri" w:hAnsi="Arial" w:cs="Arial"/>
        </w:rPr>
        <w:t>putem</w:t>
      </w:r>
      <w:r w:rsidRPr="003A2F86">
        <w:rPr>
          <w:rFonts w:ascii="Arial" w:eastAsia="Calibri" w:hAnsi="Arial" w:cs="Arial"/>
        </w:rPr>
        <w:t xml:space="preserve"> </w:t>
      </w:r>
      <w:r w:rsidR="009C5DA3" w:rsidRPr="003A2F86">
        <w:rPr>
          <w:rFonts w:ascii="Arial" w:eastAsia="Calibri" w:hAnsi="Arial" w:cs="Arial"/>
          <w:b/>
          <w:bCs/>
          <w:color w:val="FF0000"/>
        </w:rPr>
        <w:t>Graf</w:t>
      </w:r>
      <w:r w:rsidR="00736F0C" w:rsidRPr="003A2F86">
        <w:rPr>
          <w:rFonts w:ascii="Arial" w:eastAsia="Calibri" w:hAnsi="Arial" w:cs="Arial"/>
          <w:b/>
          <w:bCs/>
          <w:color w:val="FF0000"/>
        </w:rPr>
        <w:t>a</w:t>
      </w:r>
      <w:r w:rsidR="009C5DA3" w:rsidRPr="003A2F86">
        <w:rPr>
          <w:rFonts w:ascii="Arial" w:eastAsia="Calibri" w:hAnsi="Arial" w:cs="Arial"/>
          <w:b/>
          <w:bCs/>
          <w:color w:val="FF0000"/>
        </w:rPr>
        <w:t xml:space="preserve"> 6</w:t>
      </w:r>
      <w:r w:rsidR="009C5DA3" w:rsidRPr="003A2F86">
        <w:rPr>
          <w:rFonts w:ascii="Arial" w:eastAsia="Calibri" w:hAnsi="Arial" w:cs="Arial"/>
          <w:color w:val="FF0000"/>
        </w:rPr>
        <w:t>.</w:t>
      </w:r>
      <w:r w:rsidR="00951B98" w:rsidRPr="00B356F8">
        <w:rPr>
          <w:rFonts w:ascii="Arial" w:eastAsia="Calibri" w:hAnsi="Arial" w:cs="Arial"/>
        </w:rPr>
        <w:t>:</w:t>
      </w:r>
      <w:r w:rsidR="009C5DA3" w:rsidRPr="003A2F86">
        <w:rPr>
          <w:rFonts w:ascii="Arial" w:eastAsia="Calibri" w:hAnsi="Arial" w:cs="Arial"/>
        </w:rPr>
        <w:t xml:space="preserve"> </w:t>
      </w:r>
      <w:r w:rsidR="009C5DA3" w:rsidRPr="003A2F86">
        <w:rPr>
          <w:rFonts w:ascii="Arial" w:eastAsia="Calibri" w:hAnsi="Arial" w:cs="Arial"/>
          <w:b/>
          <w:bCs/>
          <w:i/>
          <w:iCs/>
        </w:rPr>
        <w:t>Struktura ostvarenih prihoda i primitaka u 202</w:t>
      </w:r>
      <w:r w:rsidR="000D4AAF">
        <w:rPr>
          <w:rFonts w:ascii="Arial" w:eastAsia="Calibri" w:hAnsi="Arial" w:cs="Arial"/>
          <w:b/>
          <w:bCs/>
          <w:i/>
          <w:iCs/>
        </w:rPr>
        <w:t>5</w:t>
      </w:r>
      <w:r w:rsidR="009C5DA3" w:rsidRPr="003A2F86">
        <w:rPr>
          <w:rFonts w:ascii="Arial" w:eastAsia="Calibri" w:hAnsi="Arial" w:cs="Arial"/>
          <w:b/>
          <w:bCs/>
          <w:i/>
          <w:iCs/>
        </w:rPr>
        <w:t>. po ekonomskoj klasifikaciji</w:t>
      </w:r>
      <w:r w:rsidR="007A5571" w:rsidRPr="003A2F86">
        <w:rPr>
          <w:rFonts w:ascii="Arial" w:eastAsia="Calibri" w:hAnsi="Arial" w:cs="Arial"/>
          <w:b/>
          <w:bCs/>
          <w:i/>
          <w:iCs/>
        </w:rPr>
        <w:t xml:space="preserve"> (€)</w:t>
      </w:r>
      <w:r w:rsidR="009C5DA3" w:rsidRPr="003A2F86">
        <w:rPr>
          <w:rFonts w:ascii="Arial" w:eastAsia="Calibri" w:hAnsi="Arial" w:cs="Arial"/>
          <w:b/>
          <w:bCs/>
          <w:i/>
          <w:iCs/>
        </w:rPr>
        <w:t xml:space="preserve">: </w:t>
      </w:r>
      <w:r w:rsidR="007A5571" w:rsidRPr="003A2F86">
        <w:rPr>
          <w:rFonts w:ascii="Arial" w:eastAsia="Calibri" w:hAnsi="Arial" w:cs="Arial"/>
          <w:b/>
          <w:bCs/>
          <w:i/>
          <w:iCs/>
        </w:rPr>
        <w:t xml:space="preserve">sveukupno </w:t>
      </w:r>
      <w:r w:rsidR="009C5DA3" w:rsidRPr="003A2F86">
        <w:rPr>
          <w:rFonts w:ascii="Arial" w:eastAsia="Calibri" w:hAnsi="Arial" w:cs="Arial"/>
          <w:b/>
          <w:bCs/>
          <w:i/>
          <w:iCs/>
        </w:rPr>
        <w:t>Općina i proračunski korisnici.</w:t>
      </w:r>
    </w:p>
    <w:p w14:paraId="67DD67EE" w14:textId="77777777" w:rsidR="009C5DA3" w:rsidRPr="003A2F86" w:rsidRDefault="009C5DA3" w:rsidP="001C1BB7">
      <w:pPr>
        <w:spacing w:after="0" w:line="240" w:lineRule="auto"/>
        <w:jc w:val="both"/>
        <w:rPr>
          <w:rFonts w:ascii="Arial" w:eastAsia="Calibri" w:hAnsi="Arial" w:cs="Arial"/>
        </w:rPr>
      </w:pPr>
    </w:p>
    <w:p w14:paraId="13E4572B" w14:textId="22668625" w:rsidR="009C5DA3" w:rsidRPr="003A2F86" w:rsidRDefault="00736F0C" w:rsidP="009C5DA3">
      <w:pPr>
        <w:spacing w:after="0" w:line="240" w:lineRule="auto"/>
        <w:jc w:val="both"/>
        <w:rPr>
          <w:rFonts w:ascii="Arial" w:eastAsia="Calibri" w:hAnsi="Arial" w:cs="Arial"/>
          <w:b/>
          <w:bCs/>
          <w:i/>
          <w:iCs/>
        </w:rPr>
      </w:pPr>
      <w:r w:rsidRPr="003A2F86">
        <w:rPr>
          <w:rFonts w:ascii="Arial" w:eastAsia="Calibri" w:hAnsi="Arial" w:cs="Arial"/>
        </w:rPr>
        <w:t xml:space="preserve">Struktura izvršenih rashoda i izdataka za razdoblje siječanj – </w:t>
      </w:r>
      <w:r w:rsidR="00A432E1">
        <w:rPr>
          <w:rFonts w:ascii="Arial" w:eastAsia="Calibri" w:hAnsi="Arial" w:cs="Arial"/>
        </w:rPr>
        <w:t>prosinac</w:t>
      </w:r>
      <w:r w:rsidRPr="003A2F86">
        <w:rPr>
          <w:rFonts w:ascii="Arial" w:eastAsia="Calibri" w:hAnsi="Arial" w:cs="Arial"/>
        </w:rPr>
        <w:t xml:space="preserve"> 202</w:t>
      </w:r>
      <w:r w:rsidR="009221B5">
        <w:rPr>
          <w:rFonts w:ascii="Arial" w:eastAsia="Calibri" w:hAnsi="Arial" w:cs="Arial"/>
        </w:rPr>
        <w:t>5</w:t>
      </w:r>
      <w:r w:rsidRPr="003A2F86">
        <w:rPr>
          <w:rFonts w:ascii="Arial" w:eastAsia="Calibri" w:hAnsi="Arial" w:cs="Arial"/>
        </w:rPr>
        <w:t xml:space="preserve">. godine u iznosu </w:t>
      </w:r>
      <w:r w:rsidR="0049378E">
        <w:rPr>
          <w:rFonts w:ascii="Arial" w:eastAsia="Calibri" w:hAnsi="Arial" w:cs="Arial"/>
          <w:b/>
          <w:bCs/>
        </w:rPr>
        <w:t>26.434.475,83</w:t>
      </w:r>
      <w:r w:rsidRPr="003A2F86">
        <w:rPr>
          <w:rFonts w:ascii="Arial" w:eastAsia="Calibri" w:hAnsi="Arial" w:cs="Arial"/>
          <w:b/>
          <w:bCs/>
        </w:rPr>
        <w:t xml:space="preserve"> €</w:t>
      </w:r>
      <w:r w:rsidRPr="003A2F86">
        <w:rPr>
          <w:rFonts w:ascii="Arial" w:eastAsia="Calibri" w:hAnsi="Arial" w:cs="Arial"/>
        </w:rPr>
        <w:t xml:space="preserve"> prikazana je u </w:t>
      </w:r>
      <w:r w:rsidR="009C5DA3" w:rsidRPr="003A2F86">
        <w:rPr>
          <w:rFonts w:ascii="Arial" w:eastAsia="Calibri" w:hAnsi="Arial" w:cs="Arial"/>
        </w:rPr>
        <w:t xml:space="preserve">okviru točke </w:t>
      </w:r>
      <w:hyperlink w:anchor="_2.3.2.__RASHODI" w:history="1">
        <w:r w:rsidR="009C5DA3" w:rsidRPr="00B356F8">
          <w:rPr>
            <w:rStyle w:val="Hiperveza"/>
            <w:rFonts w:ascii="Arial" w:eastAsia="Calibri" w:hAnsi="Arial" w:cs="Arial"/>
            <w:b/>
            <w:bCs/>
            <w:i/>
            <w:iCs/>
          </w:rPr>
          <w:t xml:space="preserve">2.3. SAŽETAK – IZVRŠENJE PRORAČUNA SIJEČANJ – </w:t>
        </w:r>
        <w:r w:rsidR="00A432E1">
          <w:rPr>
            <w:rStyle w:val="Hiperveza"/>
            <w:rFonts w:ascii="Arial" w:eastAsia="Calibri" w:hAnsi="Arial" w:cs="Arial"/>
            <w:b/>
            <w:bCs/>
            <w:i/>
            <w:iCs/>
          </w:rPr>
          <w:t>PROSINAC</w:t>
        </w:r>
        <w:r w:rsidR="009C5DA3" w:rsidRPr="00B356F8">
          <w:rPr>
            <w:rStyle w:val="Hiperveza"/>
            <w:rFonts w:ascii="Arial" w:eastAsia="Calibri" w:hAnsi="Arial" w:cs="Arial"/>
            <w:b/>
            <w:bCs/>
            <w:i/>
            <w:iCs/>
          </w:rPr>
          <w:t xml:space="preserve"> 202</w:t>
        </w:r>
        <w:r w:rsidR="009221B5">
          <w:rPr>
            <w:rStyle w:val="Hiperveza"/>
            <w:rFonts w:ascii="Arial" w:eastAsia="Calibri" w:hAnsi="Arial" w:cs="Arial"/>
            <w:b/>
            <w:bCs/>
            <w:i/>
            <w:iCs/>
          </w:rPr>
          <w:t>5</w:t>
        </w:r>
        <w:r w:rsidR="009C5DA3" w:rsidRPr="00B356F8">
          <w:rPr>
            <w:rStyle w:val="Hiperveza"/>
            <w:rFonts w:ascii="Arial" w:eastAsia="Calibri" w:hAnsi="Arial" w:cs="Arial"/>
            <w:b/>
            <w:bCs/>
            <w:i/>
            <w:iCs/>
          </w:rPr>
          <w:t>., 2.3.2. RASHODI I IZDACI</w:t>
        </w:r>
      </w:hyperlink>
      <w:r w:rsidR="009C5DA3" w:rsidRPr="00B356F8">
        <w:rPr>
          <w:rFonts w:ascii="Arial" w:eastAsia="Calibri" w:hAnsi="Arial" w:cs="Arial"/>
          <w:b/>
          <w:bCs/>
          <w:i/>
          <w:iCs/>
        </w:rPr>
        <w:t>,</w:t>
      </w:r>
      <w:r w:rsidR="009C5DA3" w:rsidRPr="003A2F86">
        <w:rPr>
          <w:rFonts w:ascii="Arial" w:eastAsia="Calibri" w:hAnsi="Arial" w:cs="Arial"/>
          <w:color w:val="FF0000"/>
        </w:rPr>
        <w:t xml:space="preserve"> </w:t>
      </w:r>
      <w:r w:rsidRPr="003A2F86">
        <w:rPr>
          <w:rFonts w:ascii="Arial" w:eastAsia="Calibri" w:hAnsi="Arial" w:cs="Arial"/>
        </w:rPr>
        <w:t>putem</w:t>
      </w:r>
      <w:r w:rsidR="009C5DA3" w:rsidRPr="003A2F86">
        <w:rPr>
          <w:rFonts w:ascii="Arial" w:eastAsia="Calibri" w:hAnsi="Arial" w:cs="Arial"/>
        </w:rPr>
        <w:t xml:space="preserve"> </w:t>
      </w:r>
      <w:r w:rsidR="009C5DA3" w:rsidRPr="003A2F86">
        <w:rPr>
          <w:rFonts w:ascii="Arial" w:eastAsia="Calibri" w:hAnsi="Arial" w:cs="Arial"/>
          <w:b/>
          <w:bCs/>
          <w:color w:val="FF0000"/>
        </w:rPr>
        <w:t>Graf</w:t>
      </w:r>
      <w:r w:rsidRPr="003A2F86">
        <w:rPr>
          <w:rFonts w:ascii="Arial" w:eastAsia="Calibri" w:hAnsi="Arial" w:cs="Arial"/>
          <w:b/>
          <w:bCs/>
          <w:color w:val="FF0000"/>
        </w:rPr>
        <w:t>a</w:t>
      </w:r>
      <w:r w:rsidR="009C5DA3" w:rsidRPr="003A2F86">
        <w:rPr>
          <w:rFonts w:ascii="Arial" w:eastAsia="Calibri" w:hAnsi="Arial" w:cs="Arial"/>
          <w:b/>
          <w:bCs/>
          <w:color w:val="FF0000"/>
        </w:rPr>
        <w:t xml:space="preserve"> 10.</w:t>
      </w:r>
      <w:r w:rsidR="00951B98" w:rsidRPr="00B356F8">
        <w:rPr>
          <w:rFonts w:ascii="Arial" w:eastAsia="Calibri" w:hAnsi="Arial" w:cs="Arial"/>
          <w:b/>
          <w:bCs/>
          <w:i/>
          <w:iCs/>
        </w:rPr>
        <w:t>:</w:t>
      </w:r>
      <w:r w:rsidR="009C5DA3" w:rsidRPr="003A2F86">
        <w:rPr>
          <w:rFonts w:ascii="Arial" w:eastAsia="Calibri" w:hAnsi="Arial" w:cs="Arial"/>
          <w:b/>
          <w:bCs/>
          <w:i/>
          <w:iCs/>
        </w:rPr>
        <w:t xml:space="preserve"> Struktura izvršenih rashoda i izdataka u 202</w:t>
      </w:r>
      <w:r w:rsidR="000D4AAF">
        <w:rPr>
          <w:rFonts w:ascii="Arial" w:eastAsia="Calibri" w:hAnsi="Arial" w:cs="Arial"/>
          <w:b/>
          <w:bCs/>
          <w:i/>
          <w:iCs/>
        </w:rPr>
        <w:t>5</w:t>
      </w:r>
      <w:r w:rsidR="009C5DA3" w:rsidRPr="003A2F86">
        <w:rPr>
          <w:rFonts w:ascii="Arial" w:eastAsia="Calibri" w:hAnsi="Arial" w:cs="Arial"/>
          <w:b/>
          <w:bCs/>
          <w:i/>
          <w:iCs/>
        </w:rPr>
        <w:t>. po ekonomskoj klasifikaciji</w:t>
      </w:r>
      <w:r w:rsidR="007A5571" w:rsidRPr="003A2F86">
        <w:rPr>
          <w:rFonts w:ascii="Arial" w:eastAsia="Calibri" w:hAnsi="Arial" w:cs="Arial"/>
          <w:b/>
          <w:bCs/>
          <w:i/>
          <w:iCs/>
        </w:rPr>
        <w:t xml:space="preserve"> (€)</w:t>
      </w:r>
      <w:r w:rsidR="009C5DA3" w:rsidRPr="003A2F86">
        <w:rPr>
          <w:rFonts w:ascii="Arial" w:eastAsia="Calibri" w:hAnsi="Arial" w:cs="Arial"/>
          <w:b/>
          <w:bCs/>
          <w:i/>
          <w:iCs/>
        </w:rPr>
        <w:t xml:space="preserve">: </w:t>
      </w:r>
      <w:r w:rsidR="007A5571" w:rsidRPr="003A2F86">
        <w:rPr>
          <w:rFonts w:ascii="Arial" w:eastAsia="Calibri" w:hAnsi="Arial" w:cs="Arial"/>
          <w:b/>
          <w:bCs/>
          <w:i/>
          <w:iCs/>
        </w:rPr>
        <w:t xml:space="preserve">sveukupno </w:t>
      </w:r>
      <w:r w:rsidR="009C5DA3" w:rsidRPr="003A2F86">
        <w:rPr>
          <w:rFonts w:ascii="Arial" w:eastAsia="Calibri" w:hAnsi="Arial" w:cs="Arial"/>
          <w:b/>
          <w:bCs/>
          <w:i/>
          <w:iCs/>
        </w:rPr>
        <w:t>Općina i proračunski korisnici.</w:t>
      </w:r>
    </w:p>
    <w:p w14:paraId="0E27E0FF" w14:textId="77777777" w:rsidR="009C5DA3" w:rsidRPr="003A2F86" w:rsidRDefault="009C5DA3" w:rsidP="001C1BB7">
      <w:pPr>
        <w:spacing w:after="0" w:line="240" w:lineRule="auto"/>
        <w:jc w:val="both"/>
        <w:rPr>
          <w:rFonts w:ascii="Arial" w:eastAsia="Calibri" w:hAnsi="Arial" w:cs="Arial"/>
        </w:rPr>
      </w:pPr>
    </w:p>
    <w:p w14:paraId="0C871B46" w14:textId="3BE76885" w:rsidR="001C1BB7" w:rsidRPr="003A2F86" w:rsidRDefault="00951B98" w:rsidP="001C1BB7">
      <w:pPr>
        <w:spacing w:after="0" w:line="240" w:lineRule="auto"/>
        <w:jc w:val="both"/>
        <w:rPr>
          <w:rFonts w:ascii="Arial" w:eastAsia="Calibri" w:hAnsi="Arial" w:cs="Arial"/>
          <w:iCs/>
        </w:rPr>
      </w:pPr>
      <w:r w:rsidRPr="003A2F86">
        <w:rPr>
          <w:rFonts w:ascii="Arial" w:eastAsia="Calibri" w:hAnsi="Arial" w:cs="Arial"/>
          <w:iCs/>
        </w:rPr>
        <w:t xml:space="preserve">Rashodi za </w:t>
      </w:r>
      <w:r w:rsidR="001C1BB7" w:rsidRPr="003A2F86">
        <w:rPr>
          <w:rFonts w:ascii="Arial" w:eastAsia="Calibri" w:hAnsi="Arial" w:cs="Arial"/>
          <w:iCs/>
        </w:rPr>
        <w:t>202</w:t>
      </w:r>
      <w:r w:rsidR="009221B5">
        <w:rPr>
          <w:rFonts w:ascii="Arial" w:eastAsia="Calibri" w:hAnsi="Arial" w:cs="Arial"/>
          <w:iCs/>
        </w:rPr>
        <w:t>5</w:t>
      </w:r>
      <w:r w:rsidR="001C1BB7" w:rsidRPr="003A2F86">
        <w:rPr>
          <w:rFonts w:ascii="Arial" w:eastAsia="Calibri" w:hAnsi="Arial" w:cs="Arial"/>
          <w:iCs/>
        </w:rPr>
        <w:t xml:space="preserve">. u okviru </w:t>
      </w:r>
      <w:r w:rsidR="001C1BB7" w:rsidRPr="003A2F86">
        <w:rPr>
          <w:rFonts w:ascii="Arial" w:eastAsia="Calibri" w:hAnsi="Arial" w:cs="Arial"/>
          <w:b/>
          <w:iCs/>
        </w:rPr>
        <w:t xml:space="preserve">razdjela 010 (Općinsko vijeće i načelnik) </w:t>
      </w:r>
      <w:r w:rsidRPr="003A2F86">
        <w:rPr>
          <w:rFonts w:ascii="Arial" w:eastAsia="Calibri" w:hAnsi="Arial" w:cs="Arial"/>
          <w:bCs/>
          <w:iCs/>
        </w:rPr>
        <w:t xml:space="preserve">izvršavaju se </w:t>
      </w:r>
      <w:r w:rsidR="001C1BB7" w:rsidRPr="003A2F86">
        <w:rPr>
          <w:rFonts w:ascii="Arial" w:eastAsia="Calibri" w:hAnsi="Arial" w:cs="Arial"/>
          <w:iCs/>
        </w:rPr>
        <w:t>putem dvije</w:t>
      </w:r>
      <w:r w:rsidR="001C1BB7" w:rsidRPr="003A2F86">
        <w:rPr>
          <w:rFonts w:ascii="Arial" w:eastAsia="Calibri" w:hAnsi="Arial" w:cs="Arial"/>
          <w:b/>
          <w:iCs/>
        </w:rPr>
        <w:t xml:space="preserve"> </w:t>
      </w:r>
      <w:r w:rsidR="001C1BB7" w:rsidRPr="003A2F86">
        <w:rPr>
          <w:rFonts w:ascii="Arial" w:eastAsia="Calibri" w:hAnsi="Arial" w:cs="Arial"/>
          <w:iCs/>
        </w:rPr>
        <w:t xml:space="preserve">glave, planirani su u iznosu </w:t>
      </w:r>
      <w:r w:rsidR="0049378E">
        <w:rPr>
          <w:rFonts w:ascii="Arial" w:eastAsia="Calibri" w:hAnsi="Arial" w:cs="Arial"/>
          <w:iCs/>
        </w:rPr>
        <w:t>205.800</w:t>
      </w:r>
      <w:r w:rsidR="001C1BB7" w:rsidRPr="003A2F86">
        <w:rPr>
          <w:rFonts w:ascii="Arial" w:eastAsia="Calibri" w:hAnsi="Arial" w:cs="Arial"/>
          <w:iCs/>
        </w:rPr>
        <w:t xml:space="preserve"> </w:t>
      </w:r>
      <w:r w:rsidR="00A8066C" w:rsidRPr="003A2F86">
        <w:rPr>
          <w:rFonts w:ascii="Arial" w:eastAsia="Calibri" w:hAnsi="Arial" w:cs="Arial"/>
          <w:iCs/>
        </w:rPr>
        <w:t>€</w:t>
      </w:r>
      <w:r w:rsidR="001C1BB7" w:rsidRPr="003A2F86">
        <w:rPr>
          <w:rFonts w:ascii="Arial" w:eastAsia="Calibri" w:hAnsi="Arial" w:cs="Arial"/>
          <w:iCs/>
        </w:rPr>
        <w:t xml:space="preserve">, </w:t>
      </w:r>
      <w:r w:rsidRPr="003A2F86">
        <w:rPr>
          <w:rFonts w:ascii="Arial" w:eastAsia="Calibri" w:hAnsi="Arial" w:cs="Arial"/>
          <w:iCs/>
        </w:rPr>
        <w:t xml:space="preserve">a </w:t>
      </w:r>
      <w:r w:rsidR="00A8066C" w:rsidRPr="003A2F86">
        <w:rPr>
          <w:rFonts w:ascii="Arial" w:eastAsia="Calibri" w:hAnsi="Arial" w:cs="Arial"/>
          <w:iCs/>
        </w:rPr>
        <w:t xml:space="preserve">izvršeni su u iznosu </w:t>
      </w:r>
      <w:r w:rsidR="00E839FD">
        <w:rPr>
          <w:rFonts w:ascii="Arial" w:eastAsia="Calibri" w:hAnsi="Arial" w:cs="Arial"/>
          <w:iCs/>
        </w:rPr>
        <w:t>168.211,26</w:t>
      </w:r>
      <w:r w:rsidR="00BB1D2A">
        <w:rPr>
          <w:rFonts w:ascii="Arial" w:eastAsia="Calibri" w:hAnsi="Arial" w:cs="Arial"/>
          <w:iCs/>
        </w:rPr>
        <w:t xml:space="preserve"> </w:t>
      </w:r>
      <w:r w:rsidR="00A8066C" w:rsidRPr="003A2F86">
        <w:rPr>
          <w:rFonts w:ascii="Arial" w:eastAsia="Calibri" w:hAnsi="Arial" w:cs="Arial"/>
          <w:iCs/>
        </w:rPr>
        <w:t xml:space="preserve">€ ili </w:t>
      </w:r>
      <w:r w:rsidR="0049378E">
        <w:rPr>
          <w:rFonts w:ascii="Arial" w:eastAsia="Calibri" w:hAnsi="Arial" w:cs="Arial"/>
          <w:iCs/>
        </w:rPr>
        <w:t>81,</w:t>
      </w:r>
      <w:r w:rsidR="00E839FD">
        <w:rPr>
          <w:rFonts w:ascii="Arial" w:eastAsia="Calibri" w:hAnsi="Arial" w:cs="Arial"/>
          <w:iCs/>
        </w:rPr>
        <w:t>7</w:t>
      </w:r>
      <w:r w:rsidR="00A8066C" w:rsidRPr="003A2F86">
        <w:rPr>
          <w:rFonts w:ascii="Arial" w:eastAsia="Calibri" w:hAnsi="Arial" w:cs="Arial"/>
          <w:iCs/>
        </w:rPr>
        <w:t xml:space="preserve"> %</w:t>
      </w:r>
      <w:r w:rsidR="001C1BB7" w:rsidRPr="003A2F86">
        <w:rPr>
          <w:rFonts w:ascii="Arial" w:eastAsia="Calibri" w:hAnsi="Arial" w:cs="Arial"/>
          <w:iCs/>
        </w:rPr>
        <w:t>. Vrijednosno najznačajniji rashodi odnose se na rashode za plaće načelnika (31)</w:t>
      </w:r>
      <w:r w:rsidR="009221B5">
        <w:rPr>
          <w:rFonts w:ascii="Arial" w:eastAsia="Calibri" w:hAnsi="Arial" w:cs="Arial"/>
          <w:iCs/>
        </w:rPr>
        <w:t xml:space="preserve">, te naknade </w:t>
      </w:r>
      <w:r w:rsidR="0028678E">
        <w:rPr>
          <w:rFonts w:ascii="Arial" w:eastAsia="Calibri" w:hAnsi="Arial" w:cs="Arial"/>
          <w:iCs/>
        </w:rPr>
        <w:t>za provedbu lokalnih izbora (32)</w:t>
      </w:r>
      <w:r w:rsidR="001C1BB7" w:rsidRPr="003A2F86">
        <w:rPr>
          <w:rFonts w:ascii="Arial" w:eastAsia="Calibri" w:hAnsi="Arial" w:cs="Arial"/>
          <w:iCs/>
        </w:rPr>
        <w:t>.</w:t>
      </w:r>
    </w:p>
    <w:p w14:paraId="362DF4F8" w14:textId="77777777" w:rsidR="001C1BB7" w:rsidRPr="003A2F86" w:rsidRDefault="001C1BB7" w:rsidP="001C1BB7">
      <w:pPr>
        <w:spacing w:after="0" w:line="240" w:lineRule="auto"/>
        <w:jc w:val="both"/>
        <w:rPr>
          <w:rFonts w:ascii="Arial" w:eastAsia="Calibri" w:hAnsi="Arial" w:cs="Arial"/>
          <w:iCs/>
        </w:rPr>
      </w:pPr>
    </w:p>
    <w:p w14:paraId="78F16358" w14:textId="6CF7F8AB" w:rsidR="00984893" w:rsidRPr="003A2F86" w:rsidRDefault="00951B98" w:rsidP="001C1BB7">
      <w:pPr>
        <w:spacing w:after="0" w:line="240" w:lineRule="auto"/>
        <w:jc w:val="both"/>
        <w:rPr>
          <w:rFonts w:ascii="Arial" w:eastAsia="Calibri" w:hAnsi="Arial" w:cs="Arial"/>
          <w:iCs/>
        </w:rPr>
      </w:pPr>
      <w:r w:rsidRPr="003A2F86">
        <w:rPr>
          <w:rFonts w:ascii="Arial" w:eastAsia="Calibri" w:hAnsi="Arial" w:cs="Arial"/>
          <w:iCs/>
        </w:rPr>
        <w:t>Rashodi z</w:t>
      </w:r>
      <w:r w:rsidR="001C1BB7" w:rsidRPr="003A2F86">
        <w:rPr>
          <w:rFonts w:ascii="Arial" w:eastAsia="Calibri" w:hAnsi="Arial" w:cs="Arial"/>
          <w:iCs/>
        </w:rPr>
        <w:t>a 20</w:t>
      </w:r>
      <w:r w:rsidR="0028678E">
        <w:rPr>
          <w:rFonts w:ascii="Arial" w:eastAsia="Calibri" w:hAnsi="Arial" w:cs="Arial"/>
          <w:iCs/>
        </w:rPr>
        <w:t>25</w:t>
      </w:r>
      <w:r w:rsidR="001C1BB7" w:rsidRPr="003A2F86">
        <w:rPr>
          <w:rFonts w:ascii="Arial" w:eastAsia="Calibri" w:hAnsi="Arial" w:cs="Arial"/>
          <w:iCs/>
        </w:rPr>
        <w:t xml:space="preserve">. u okviru </w:t>
      </w:r>
      <w:r w:rsidR="001C1BB7" w:rsidRPr="003A2F86">
        <w:rPr>
          <w:rFonts w:ascii="Arial" w:eastAsia="Calibri" w:hAnsi="Arial" w:cs="Arial"/>
          <w:b/>
          <w:iCs/>
        </w:rPr>
        <w:t>razdjela 020 (Upravni odjel za opće poslove, mjesnu samoupravu i društvene djelatnosti)</w:t>
      </w:r>
      <w:r w:rsidR="001C1BB7" w:rsidRPr="003A2F86">
        <w:rPr>
          <w:rFonts w:ascii="Arial" w:eastAsia="Calibri" w:hAnsi="Arial" w:cs="Arial"/>
          <w:iCs/>
        </w:rPr>
        <w:t xml:space="preserve"> </w:t>
      </w:r>
      <w:r w:rsidRPr="003A2F86">
        <w:rPr>
          <w:rFonts w:ascii="Arial" w:eastAsia="Calibri" w:hAnsi="Arial" w:cs="Arial"/>
          <w:iCs/>
        </w:rPr>
        <w:t xml:space="preserve">izvršavaju se </w:t>
      </w:r>
      <w:r w:rsidR="001C1BB7" w:rsidRPr="003A2F86">
        <w:rPr>
          <w:rFonts w:ascii="Arial" w:eastAsia="Calibri" w:hAnsi="Arial" w:cs="Arial"/>
          <w:iCs/>
        </w:rPr>
        <w:t xml:space="preserve">putem četiri glave, planirani </w:t>
      </w:r>
      <w:r w:rsidRPr="003A2F86">
        <w:rPr>
          <w:rFonts w:ascii="Arial" w:eastAsia="Calibri" w:hAnsi="Arial" w:cs="Arial"/>
          <w:iCs/>
        </w:rPr>
        <w:t xml:space="preserve">su </w:t>
      </w:r>
      <w:r w:rsidR="001C1BB7" w:rsidRPr="003A2F86">
        <w:rPr>
          <w:rFonts w:ascii="Arial" w:eastAsia="Calibri" w:hAnsi="Arial" w:cs="Arial"/>
          <w:iCs/>
        </w:rPr>
        <w:t xml:space="preserve">u iznosu </w:t>
      </w:r>
      <w:r w:rsidR="0049378E">
        <w:rPr>
          <w:rFonts w:ascii="Arial" w:eastAsia="Calibri" w:hAnsi="Arial" w:cs="Arial"/>
          <w:iCs/>
        </w:rPr>
        <w:t>8.897</w:t>
      </w:r>
      <w:r w:rsidR="000050FC">
        <w:rPr>
          <w:rFonts w:ascii="Arial" w:eastAsia="Calibri" w:hAnsi="Arial" w:cs="Arial"/>
          <w:iCs/>
        </w:rPr>
        <w:t>.220</w:t>
      </w:r>
      <w:r w:rsidR="00A8066C" w:rsidRPr="003A2F86">
        <w:rPr>
          <w:rFonts w:ascii="Arial" w:eastAsia="Calibri" w:hAnsi="Arial" w:cs="Arial"/>
          <w:iCs/>
        </w:rPr>
        <w:t xml:space="preserve"> €</w:t>
      </w:r>
      <w:r w:rsidR="001C1BB7" w:rsidRPr="003A2F86">
        <w:rPr>
          <w:rFonts w:ascii="Arial" w:eastAsia="Calibri" w:hAnsi="Arial" w:cs="Arial"/>
          <w:iCs/>
        </w:rPr>
        <w:t xml:space="preserve">, </w:t>
      </w:r>
      <w:r w:rsidR="00A8066C" w:rsidRPr="003A2F86">
        <w:rPr>
          <w:rFonts w:ascii="Arial" w:eastAsia="Calibri" w:hAnsi="Arial" w:cs="Arial"/>
          <w:iCs/>
        </w:rPr>
        <w:t xml:space="preserve">a izvršeni su u iznosu </w:t>
      </w:r>
      <w:r w:rsidR="000050FC">
        <w:rPr>
          <w:rFonts w:ascii="Arial" w:eastAsia="Calibri" w:hAnsi="Arial" w:cs="Arial"/>
          <w:iCs/>
        </w:rPr>
        <w:t>8.</w:t>
      </w:r>
      <w:r w:rsidR="00E839FD">
        <w:rPr>
          <w:rFonts w:ascii="Arial" w:eastAsia="Calibri" w:hAnsi="Arial" w:cs="Arial"/>
          <w:iCs/>
        </w:rPr>
        <w:t>222.911,68</w:t>
      </w:r>
      <w:r w:rsidR="00A8066C" w:rsidRPr="003A2F86">
        <w:rPr>
          <w:rFonts w:ascii="Arial" w:eastAsia="Calibri" w:hAnsi="Arial" w:cs="Arial"/>
          <w:iCs/>
        </w:rPr>
        <w:t xml:space="preserve"> €</w:t>
      </w:r>
      <w:r w:rsidR="001C1BB7" w:rsidRPr="003A2F86">
        <w:rPr>
          <w:rFonts w:ascii="Arial" w:eastAsia="Calibri" w:hAnsi="Arial" w:cs="Arial"/>
          <w:iCs/>
        </w:rPr>
        <w:t>.</w:t>
      </w:r>
      <w:r w:rsidR="00984893" w:rsidRPr="003A2F86">
        <w:rPr>
          <w:rFonts w:ascii="Arial" w:eastAsia="Calibri" w:hAnsi="Arial" w:cs="Arial"/>
          <w:iCs/>
        </w:rPr>
        <w:t xml:space="preserve"> </w:t>
      </w:r>
    </w:p>
    <w:p w14:paraId="67D05DFE" w14:textId="5F7D15C9" w:rsidR="001C1BB7" w:rsidRPr="003A2F86" w:rsidRDefault="001C1BB7" w:rsidP="001C1BB7">
      <w:pPr>
        <w:spacing w:after="0" w:line="240" w:lineRule="auto"/>
        <w:jc w:val="both"/>
        <w:rPr>
          <w:rFonts w:ascii="Arial" w:eastAsia="Calibri" w:hAnsi="Arial" w:cs="Arial"/>
          <w:iCs/>
        </w:rPr>
      </w:pPr>
      <w:r w:rsidRPr="003A2F86">
        <w:rPr>
          <w:rFonts w:ascii="Arial" w:eastAsia="Calibri" w:hAnsi="Arial" w:cs="Arial"/>
          <w:iCs/>
        </w:rPr>
        <w:t>Vrijednosno najznačajniji rashodi i izdaci glave 02002 (UO za opće poslove, mjesnu samoupravu i društvene djelatnosti) se odnose na rashode za bruto plaće (31) zaposlenika općinske uprave, rashode za usluge (323), naknade građanima i kućanstvima iz proračuna (372) i donacije (381).</w:t>
      </w:r>
    </w:p>
    <w:p w14:paraId="3FB2BD87" w14:textId="77777777" w:rsidR="001C1BB7" w:rsidRPr="003A2F86" w:rsidRDefault="001C1BB7" w:rsidP="001C1BB7">
      <w:pPr>
        <w:spacing w:after="0" w:line="240" w:lineRule="auto"/>
        <w:jc w:val="both"/>
        <w:rPr>
          <w:rFonts w:ascii="Arial" w:eastAsia="Calibri" w:hAnsi="Arial" w:cs="Arial"/>
          <w:iCs/>
        </w:rPr>
      </w:pPr>
      <w:r w:rsidRPr="003A2F86">
        <w:rPr>
          <w:rFonts w:ascii="Arial" w:eastAsia="Calibri" w:hAnsi="Arial" w:cs="Arial"/>
          <w:iCs/>
        </w:rPr>
        <w:t>Vrijednosno najznačajniji rashodi i izdaci u okviru glave 02003 (Ustanova u kulturi) se odnose na rashode za materijalne rashode (32) putem raznih projekata, te na rashode za zaposlene / plaće javne ustanove u kulturi (31).</w:t>
      </w:r>
    </w:p>
    <w:p w14:paraId="471DBF3B" w14:textId="77777777" w:rsidR="001C1BB7" w:rsidRPr="003A2F86" w:rsidRDefault="001C1BB7" w:rsidP="001C1BB7">
      <w:pPr>
        <w:spacing w:after="0" w:line="240" w:lineRule="auto"/>
        <w:jc w:val="both"/>
        <w:rPr>
          <w:rFonts w:ascii="Arial" w:eastAsia="Calibri" w:hAnsi="Arial" w:cs="Arial"/>
          <w:iCs/>
        </w:rPr>
      </w:pPr>
      <w:r w:rsidRPr="003A2F86">
        <w:rPr>
          <w:rFonts w:ascii="Arial" w:eastAsia="Calibri" w:hAnsi="Arial" w:cs="Arial"/>
          <w:iCs/>
        </w:rPr>
        <w:t>Vrijednosno najznačajniji rashodi i izdaci u okviru glave 02004 (Ustanova predškolskog odgoja) se odnose na plaće dječjeg vrtića (31), te materijalne rashode (32).</w:t>
      </w:r>
    </w:p>
    <w:p w14:paraId="5B3E1672" w14:textId="77777777" w:rsidR="001C1BB7" w:rsidRPr="003A2F86" w:rsidRDefault="001C1BB7" w:rsidP="001C1BB7">
      <w:pPr>
        <w:spacing w:after="0" w:line="240" w:lineRule="auto"/>
        <w:jc w:val="both"/>
        <w:rPr>
          <w:rFonts w:ascii="Arial" w:eastAsia="Calibri" w:hAnsi="Arial" w:cs="Arial"/>
          <w:iCs/>
        </w:rPr>
      </w:pPr>
      <w:r w:rsidRPr="003A2F86">
        <w:rPr>
          <w:rFonts w:ascii="Arial" w:eastAsia="Calibri" w:hAnsi="Arial" w:cs="Arial"/>
          <w:iCs/>
        </w:rPr>
        <w:t xml:space="preserve">Vrijednosno najznačajniji rashodi i izdaci u okviru glave 02005 (Ustanova socijalne skrbi) se odnose na plaće ustanove (31). </w:t>
      </w:r>
    </w:p>
    <w:p w14:paraId="77EFEF59" w14:textId="77777777" w:rsidR="001C1BB7" w:rsidRPr="003A2F86" w:rsidRDefault="001C1BB7" w:rsidP="001C1BB7">
      <w:pPr>
        <w:spacing w:after="0" w:line="240" w:lineRule="auto"/>
        <w:jc w:val="both"/>
        <w:rPr>
          <w:rFonts w:ascii="Arial" w:eastAsia="Calibri" w:hAnsi="Arial" w:cs="Arial"/>
          <w:iCs/>
        </w:rPr>
      </w:pPr>
    </w:p>
    <w:p w14:paraId="4ABE24AA" w14:textId="252C6D94" w:rsidR="001C1BB7" w:rsidRPr="003A2F86" w:rsidRDefault="00951B98" w:rsidP="001C1BB7">
      <w:pPr>
        <w:spacing w:after="0" w:line="240" w:lineRule="auto"/>
        <w:jc w:val="both"/>
        <w:rPr>
          <w:rFonts w:ascii="Arial" w:eastAsia="Calibri" w:hAnsi="Arial" w:cs="Arial"/>
          <w:iCs/>
        </w:rPr>
      </w:pPr>
      <w:r w:rsidRPr="003A2F86">
        <w:rPr>
          <w:rFonts w:ascii="Arial" w:eastAsia="Calibri" w:hAnsi="Arial" w:cs="Arial"/>
          <w:iCs/>
        </w:rPr>
        <w:t>Rashodi za 2</w:t>
      </w:r>
      <w:r w:rsidR="001C1BB7" w:rsidRPr="003A2F86">
        <w:rPr>
          <w:rFonts w:ascii="Arial" w:eastAsia="Calibri" w:hAnsi="Arial" w:cs="Arial"/>
          <w:iCs/>
        </w:rPr>
        <w:t>02</w:t>
      </w:r>
      <w:r w:rsidR="0028678E">
        <w:rPr>
          <w:rFonts w:ascii="Arial" w:eastAsia="Calibri" w:hAnsi="Arial" w:cs="Arial"/>
          <w:iCs/>
        </w:rPr>
        <w:t>5</w:t>
      </w:r>
      <w:r w:rsidR="001C1BB7" w:rsidRPr="003A2F86">
        <w:rPr>
          <w:rFonts w:ascii="Arial" w:eastAsia="Calibri" w:hAnsi="Arial" w:cs="Arial"/>
          <w:iCs/>
        </w:rPr>
        <w:t xml:space="preserve">. u okviru </w:t>
      </w:r>
      <w:r w:rsidR="001C1BB7" w:rsidRPr="003A2F86">
        <w:rPr>
          <w:rFonts w:ascii="Arial" w:eastAsia="Calibri" w:hAnsi="Arial" w:cs="Arial"/>
          <w:b/>
          <w:iCs/>
        </w:rPr>
        <w:t xml:space="preserve">razdjela 030 (Upravni odjel za </w:t>
      </w:r>
      <w:r w:rsidR="0061197D" w:rsidRPr="003A2F86">
        <w:rPr>
          <w:rFonts w:ascii="Arial" w:eastAsia="Calibri" w:hAnsi="Arial" w:cs="Arial"/>
          <w:b/>
          <w:iCs/>
        </w:rPr>
        <w:t xml:space="preserve">prostorno uređenje, zaštitu okoliša, </w:t>
      </w:r>
      <w:r w:rsidR="001C1BB7" w:rsidRPr="003A2F86">
        <w:rPr>
          <w:rFonts w:ascii="Arial" w:eastAsia="Calibri" w:hAnsi="Arial" w:cs="Arial"/>
          <w:b/>
          <w:iCs/>
        </w:rPr>
        <w:t>komunalni sustav i gospodarenje nekretninama)</w:t>
      </w:r>
      <w:r w:rsidR="001C1BB7" w:rsidRPr="003A2F86">
        <w:rPr>
          <w:rFonts w:ascii="Arial" w:eastAsia="Calibri" w:hAnsi="Arial" w:cs="Arial"/>
          <w:iCs/>
        </w:rPr>
        <w:t xml:space="preserve"> </w:t>
      </w:r>
      <w:r w:rsidRPr="003A2F86">
        <w:rPr>
          <w:rFonts w:ascii="Arial" w:eastAsia="Calibri" w:hAnsi="Arial" w:cs="Arial"/>
          <w:iCs/>
        </w:rPr>
        <w:t xml:space="preserve">izvršavaju se </w:t>
      </w:r>
      <w:r w:rsidR="001C1BB7" w:rsidRPr="003A2F86">
        <w:rPr>
          <w:rFonts w:ascii="Arial" w:eastAsia="Calibri" w:hAnsi="Arial" w:cs="Arial"/>
          <w:iCs/>
        </w:rPr>
        <w:t xml:space="preserve">putem dvije glave, planirani </w:t>
      </w:r>
      <w:r w:rsidRPr="003A2F86">
        <w:rPr>
          <w:rFonts w:ascii="Arial" w:eastAsia="Calibri" w:hAnsi="Arial" w:cs="Arial"/>
          <w:iCs/>
        </w:rPr>
        <w:t xml:space="preserve">su </w:t>
      </w:r>
      <w:r w:rsidR="001C1BB7" w:rsidRPr="003A2F86">
        <w:rPr>
          <w:rFonts w:ascii="Arial" w:eastAsia="Calibri" w:hAnsi="Arial" w:cs="Arial"/>
          <w:iCs/>
        </w:rPr>
        <w:t xml:space="preserve">u iznosu </w:t>
      </w:r>
      <w:r w:rsidR="000050FC">
        <w:rPr>
          <w:rFonts w:ascii="Arial" w:eastAsia="Calibri" w:hAnsi="Arial" w:cs="Arial"/>
          <w:iCs/>
        </w:rPr>
        <w:t>23.377.960</w:t>
      </w:r>
      <w:r w:rsidR="00A8066C" w:rsidRPr="003A2F86">
        <w:rPr>
          <w:rFonts w:ascii="Arial" w:eastAsia="Calibri" w:hAnsi="Arial" w:cs="Arial"/>
          <w:iCs/>
        </w:rPr>
        <w:t xml:space="preserve"> €</w:t>
      </w:r>
      <w:r w:rsidR="001C1BB7" w:rsidRPr="003A2F86">
        <w:rPr>
          <w:rFonts w:ascii="Arial" w:eastAsia="Calibri" w:hAnsi="Arial" w:cs="Arial"/>
          <w:iCs/>
        </w:rPr>
        <w:t xml:space="preserve">, </w:t>
      </w:r>
      <w:r w:rsidR="00A8066C" w:rsidRPr="003A2F86">
        <w:rPr>
          <w:rFonts w:ascii="Arial" w:eastAsia="Calibri" w:hAnsi="Arial" w:cs="Arial"/>
          <w:iCs/>
        </w:rPr>
        <w:t xml:space="preserve">a izvršeni su u iznosu </w:t>
      </w:r>
      <w:r w:rsidR="000050FC">
        <w:rPr>
          <w:rFonts w:ascii="Arial" w:eastAsia="Calibri" w:hAnsi="Arial" w:cs="Arial"/>
          <w:iCs/>
        </w:rPr>
        <w:t>16.547.491,75</w:t>
      </w:r>
      <w:r w:rsidR="00A8066C" w:rsidRPr="003A2F86">
        <w:rPr>
          <w:rFonts w:ascii="Arial" w:eastAsia="Calibri" w:hAnsi="Arial" w:cs="Arial"/>
          <w:iCs/>
        </w:rPr>
        <w:t xml:space="preserve"> €</w:t>
      </w:r>
      <w:r w:rsidR="001C1BB7" w:rsidRPr="003A2F86">
        <w:rPr>
          <w:rFonts w:ascii="Arial" w:eastAsia="Calibri" w:hAnsi="Arial" w:cs="Arial"/>
          <w:iCs/>
        </w:rPr>
        <w:t xml:space="preserve">. </w:t>
      </w:r>
    </w:p>
    <w:p w14:paraId="7B9166FE" w14:textId="1E1E6BDE" w:rsidR="001C1BB7" w:rsidRPr="003A2F86" w:rsidRDefault="001C1BB7" w:rsidP="001C1BB7">
      <w:pPr>
        <w:spacing w:after="0" w:line="240" w:lineRule="auto"/>
        <w:jc w:val="both"/>
        <w:rPr>
          <w:rFonts w:ascii="Arial" w:eastAsia="Calibri" w:hAnsi="Arial" w:cs="Arial"/>
          <w:iCs/>
        </w:rPr>
      </w:pPr>
      <w:r w:rsidRPr="003A2F86">
        <w:rPr>
          <w:rFonts w:ascii="Arial" w:eastAsia="Calibri" w:hAnsi="Arial" w:cs="Arial"/>
          <w:iCs/>
        </w:rPr>
        <w:t xml:space="preserve">Vrijednosno najznačajniji </w:t>
      </w:r>
      <w:r w:rsidR="008B1962" w:rsidRPr="003A2F86">
        <w:rPr>
          <w:rFonts w:ascii="Arial" w:eastAsia="Calibri" w:hAnsi="Arial" w:cs="Arial"/>
          <w:iCs/>
        </w:rPr>
        <w:t xml:space="preserve">izvršeni </w:t>
      </w:r>
      <w:r w:rsidRPr="003A2F86">
        <w:rPr>
          <w:rFonts w:ascii="Arial" w:eastAsia="Calibri" w:hAnsi="Arial" w:cs="Arial"/>
          <w:iCs/>
        </w:rPr>
        <w:t>rashodi i izdaci u okviru glave 03001 (</w:t>
      </w:r>
      <w:r w:rsidRPr="003A2F86">
        <w:rPr>
          <w:rFonts w:ascii="Arial" w:eastAsia="Calibri" w:hAnsi="Arial" w:cs="Arial"/>
          <w:b/>
          <w:iCs/>
        </w:rPr>
        <w:t xml:space="preserve">UO za </w:t>
      </w:r>
      <w:r w:rsidR="0061197D" w:rsidRPr="003A2F86">
        <w:rPr>
          <w:rFonts w:ascii="Arial" w:eastAsia="Calibri" w:hAnsi="Arial" w:cs="Arial"/>
          <w:b/>
          <w:iCs/>
        </w:rPr>
        <w:t xml:space="preserve">prostorno uređenje, zaštitu okoliša, </w:t>
      </w:r>
      <w:r w:rsidRPr="003A2F86">
        <w:rPr>
          <w:rFonts w:ascii="Arial" w:eastAsia="Calibri" w:hAnsi="Arial" w:cs="Arial"/>
          <w:b/>
          <w:iCs/>
        </w:rPr>
        <w:t>komunalni sustav i gospodarenje nekretninama</w:t>
      </w:r>
      <w:r w:rsidRPr="003A2F86">
        <w:rPr>
          <w:rFonts w:ascii="Arial" w:eastAsia="Calibri" w:hAnsi="Arial" w:cs="Arial"/>
          <w:iCs/>
        </w:rPr>
        <w:t xml:space="preserve">) se odnose na </w:t>
      </w:r>
      <w:r w:rsidR="0028678E">
        <w:rPr>
          <w:rFonts w:ascii="Arial" w:eastAsia="Calibri" w:hAnsi="Arial" w:cs="Arial"/>
          <w:iCs/>
        </w:rPr>
        <w:t xml:space="preserve">rashode za nabavu proizvedene dugotrajne imovine (42) – i to u okviru izgradnje nove osnovne škole, te </w:t>
      </w:r>
      <w:r w:rsidRPr="003A2F86">
        <w:rPr>
          <w:rFonts w:ascii="Arial" w:eastAsia="Calibri" w:hAnsi="Arial" w:cs="Arial"/>
          <w:iCs/>
        </w:rPr>
        <w:t xml:space="preserve">rashode za usluge (323) unutar materijalnih rashoda. Također, u okviru ovog razdjela se </w:t>
      </w:r>
      <w:r w:rsidR="00D16A4D" w:rsidRPr="003A2F86">
        <w:rPr>
          <w:rFonts w:ascii="Arial" w:eastAsia="Calibri" w:hAnsi="Arial" w:cs="Arial"/>
          <w:iCs/>
        </w:rPr>
        <w:t xml:space="preserve">izvršavaju se izdaci </w:t>
      </w:r>
      <w:r w:rsidRPr="003A2F86">
        <w:rPr>
          <w:rFonts w:ascii="Arial" w:eastAsia="Calibri" w:hAnsi="Arial" w:cs="Arial"/>
          <w:iCs/>
        </w:rPr>
        <w:t>za otplatu kredita (54) jer je u okviru ovog razdjela i upravljanje nekretninama.</w:t>
      </w:r>
      <w:r w:rsidR="00C81EA3">
        <w:rPr>
          <w:rFonts w:ascii="Arial" w:eastAsia="Calibri" w:hAnsi="Arial" w:cs="Arial"/>
          <w:iCs/>
        </w:rPr>
        <w:t xml:space="preserve"> </w:t>
      </w:r>
    </w:p>
    <w:p w14:paraId="14292B4B" w14:textId="71C7AC3F" w:rsidR="001C1BB7" w:rsidRPr="003A2F86" w:rsidRDefault="001C1BB7" w:rsidP="001C1BB7">
      <w:pPr>
        <w:spacing w:after="0" w:line="240" w:lineRule="auto"/>
        <w:jc w:val="both"/>
        <w:rPr>
          <w:rFonts w:ascii="Arial" w:eastAsia="Calibri" w:hAnsi="Arial" w:cs="Arial"/>
          <w:iCs/>
        </w:rPr>
      </w:pPr>
      <w:r w:rsidRPr="003A2F86">
        <w:rPr>
          <w:rFonts w:ascii="Arial" w:eastAsia="Calibri" w:hAnsi="Arial" w:cs="Arial"/>
          <w:iCs/>
        </w:rPr>
        <w:t>Vrijednosno najznačajniji rashodi i izdaci glave 03002 (Ustanova za vatrogasnu djelatnost) se odnose na plaće javne vatrogasne postrojbe (31).</w:t>
      </w:r>
    </w:p>
    <w:p w14:paraId="0A6E8A08" w14:textId="77777777" w:rsidR="001C1BB7" w:rsidRPr="003A2F86" w:rsidRDefault="001C1BB7" w:rsidP="001C1BB7">
      <w:pPr>
        <w:spacing w:after="0" w:line="240" w:lineRule="auto"/>
        <w:jc w:val="both"/>
        <w:rPr>
          <w:rFonts w:ascii="Arial" w:eastAsia="Calibri" w:hAnsi="Arial" w:cs="Arial"/>
          <w:iCs/>
        </w:rPr>
      </w:pPr>
    </w:p>
    <w:p w14:paraId="41DE8A70" w14:textId="7970C423" w:rsidR="001C1BB7" w:rsidRPr="003A2F86" w:rsidRDefault="00951B98" w:rsidP="001C1BB7">
      <w:pPr>
        <w:spacing w:after="0" w:line="240" w:lineRule="auto"/>
        <w:jc w:val="both"/>
        <w:rPr>
          <w:rFonts w:ascii="Arial" w:eastAsia="Calibri" w:hAnsi="Arial" w:cs="Arial"/>
          <w:iCs/>
        </w:rPr>
      </w:pPr>
      <w:r w:rsidRPr="003A2F86">
        <w:rPr>
          <w:rFonts w:ascii="Arial" w:eastAsia="Calibri" w:hAnsi="Arial" w:cs="Arial"/>
          <w:iCs/>
        </w:rPr>
        <w:t>Rashodi z</w:t>
      </w:r>
      <w:r w:rsidR="001C1BB7" w:rsidRPr="003A2F86">
        <w:rPr>
          <w:rFonts w:ascii="Arial" w:eastAsia="Calibri" w:hAnsi="Arial" w:cs="Arial"/>
          <w:iCs/>
        </w:rPr>
        <w:t>a 202</w:t>
      </w:r>
      <w:r w:rsidR="0028678E">
        <w:rPr>
          <w:rFonts w:ascii="Arial" w:eastAsia="Calibri" w:hAnsi="Arial" w:cs="Arial"/>
          <w:iCs/>
        </w:rPr>
        <w:t>5</w:t>
      </w:r>
      <w:r w:rsidR="001C1BB7" w:rsidRPr="003A2F86">
        <w:rPr>
          <w:rFonts w:ascii="Arial" w:eastAsia="Calibri" w:hAnsi="Arial" w:cs="Arial"/>
          <w:iCs/>
        </w:rPr>
        <w:t xml:space="preserve">. u okviru </w:t>
      </w:r>
      <w:r w:rsidR="001C1BB7" w:rsidRPr="003A2F86">
        <w:rPr>
          <w:rFonts w:ascii="Arial" w:eastAsia="Calibri" w:hAnsi="Arial" w:cs="Arial"/>
          <w:b/>
          <w:iCs/>
        </w:rPr>
        <w:t>razdjela 040 (Upravni odjel za ruralni razvoj, gospodarstvo i EU fondove)</w:t>
      </w:r>
      <w:r w:rsidR="001C1BB7" w:rsidRPr="003A2F86">
        <w:rPr>
          <w:rFonts w:ascii="Arial" w:eastAsia="Calibri" w:hAnsi="Arial" w:cs="Arial"/>
          <w:iCs/>
        </w:rPr>
        <w:t xml:space="preserve">, </w:t>
      </w:r>
      <w:r w:rsidRPr="003A2F86">
        <w:rPr>
          <w:rFonts w:ascii="Arial" w:eastAsia="Calibri" w:hAnsi="Arial" w:cs="Arial"/>
          <w:iCs/>
        </w:rPr>
        <w:t xml:space="preserve">izvršavaju se </w:t>
      </w:r>
      <w:r w:rsidR="001C1BB7" w:rsidRPr="003A2F86">
        <w:rPr>
          <w:rFonts w:ascii="Arial" w:eastAsia="Calibri" w:hAnsi="Arial" w:cs="Arial"/>
          <w:iCs/>
        </w:rPr>
        <w:t xml:space="preserve">putem jedne glave, planirani </w:t>
      </w:r>
      <w:r w:rsidRPr="003A2F86">
        <w:rPr>
          <w:rFonts w:ascii="Arial" w:eastAsia="Calibri" w:hAnsi="Arial" w:cs="Arial"/>
          <w:iCs/>
        </w:rPr>
        <w:t xml:space="preserve">su </w:t>
      </w:r>
      <w:r w:rsidR="001C1BB7" w:rsidRPr="003A2F86">
        <w:rPr>
          <w:rFonts w:ascii="Arial" w:eastAsia="Calibri" w:hAnsi="Arial" w:cs="Arial"/>
          <w:iCs/>
        </w:rPr>
        <w:t xml:space="preserve">u iznosu </w:t>
      </w:r>
      <w:r w:rsidR="000050FC">
        <w:rPr>
          <w:rFonts w:ascii="Arial" w:eastAsia="Calibri" w:hAnsi="Arial" w:cs="Arial"/>
          <w:iCs/>
        </w:rPr>
        <w:t>1.919.020</w:t>
      </w:r>
      <w:r w:rsidR="00A8066C" w:rsidRPr="003A2F86">
        <w:rPr>
          <w:rFonts w:ascii="Arial" w:eastAsia="Calibri" w:hAnsi="Arial" w:cs="Arial"/>
          <w:iCs/>
        </w:rPr>
        <w:t xml:space="preserve"> €, a izvršeni su u iznosu </w:t>
      </w:r>
      <w:r w:rsidR="000050FC">
        <w:rPr>
          <w:rFonts w:ascii="Arial" w:eastAsia="Calibri" w:hAnsi="Arial" w:cs="Arial"/>
          <w:iCs/>
        </w:rPr>
        <w:t>1.495.861,14</w:t>
      </w:r>
      <w:r w:rsidR="00A8066C" w:rsidRPr="003A2F86">
        <w:rPr>
          <w:rFonts w:ascii="Arial" w:eastAsia="Calibri" w:hAnsi="Arial" w:cs="Arial"/>
          <w:iCs/>
        </w:rPr>
        <w:t xml:space="preserve"> €</w:t>
      </w:r>
      <w:r w:rsidR="001C1BB7" w:rsidRPr="003A2F86">
        <w:rPr>
          <w:rFonts w:ascii="Arial" w:eastAsia="Calibri" w:hAnsi="Arial" w:cs="Arial"/>
          <w:iCs/>
        </w:rPr>
        <w:t>. Ovaj razdjel je formiran u srpnju 2017. godine. Za 202</w:t>
      </w:r>
      <w:r w:rsidR="0028678E">
        <w:rPr>
          <w:rFonts w:ascii="Arial" w:eastAsia="Calibri" w:hAnsi="Arial" w:cs="Arial"/>
          <w:iCs/>
        </w:rPr>
        <w:t>5</w:t>
      </w:r>
      <w:r w:rsidR="001C1BB7" w:rsidRPr="003A2F86">
        <w:rPr>
          <w:rFonts w:ascii="Arial" w:eastAsia="Calibri" w:hAnsi="Arial" w:cs="Arial"/>
          <w:iCs/>
        </w:rPr>
        <w:t xml:space="preserve">. su unutar ovog razdjela rashodi / troškovi provedbe i upravljanja projektima koji su u tijeku. </w:t>
      </w:r>
    </w:p>
    <w:p w14:paraId="7463A1B4" w14:textId="71AD3DE2" w:rsidR="008C2699" w:rsidRPr="003A2F86" w:rsidRDefault="008C2699" w:rsidP="0076012E">
      <w:pPr>
        <w:spacing w:after="0" w:line="240" w:lineRule="auto"/>
        <w:jc w:val="both"/>
        <w:rPr>
          <w:rFonts w:ascii="Arial" w:eastAsia="Calibri" w:hAnsi="Arial" w:cs="Arial"/>
          <w:iCs/>
        </w:rPr>
      </w:pPr>
      <w:r w:rsidRPr="003A2F86">
        <w:rPr>
          <w:rFonts w:ascii="Arial" w:eastAsia="Calibri" w:hAnsi="Arial" w:cs="Arial"/>
          <w:iCs/>
        </w:rPr>
        <w:br w:type="page"/>
      </w:r>
    </w:p>
    <w:p w14:paraId="348F3D25" w14:textId="40B57490" w:rsidR="00891119" w:rsidRPr="003A2F86" w:rsidRDefault="00891119" w:rsidP="00C7073C">
      <w:pPr>
        <w:pStyle w:val="Naslov2"/>
        <w:jc w:val="center"/>
        <w:rPr>
          <w:rFonts w:ascii="Arial" w:hAnsi="Arial" w:cs="Arial"/>
          <w:sz w:val="22"/>
          <w:szCs w:val="22"/>
          <w:lang w:val="hr-HR"/>
        </w:rPr>
      </w:pPr>
      <w:bookmarkStart w:id="290" w:name="_Toc232981415"/>
      <w:r w:rsidRPr="003A2F86">
        <w:rPr>
          <w:rFonts w:ascii="Arial" w:hAnsi="Arial" w:cs="Arial"/>
          <w:sz w:val="22"/>
          <w:szCs w:val="22"/>
          <w:lang w:val="hr-HR"/>
        </w:rPr>
        <w:lastRenderedPageBreak/>
        <w:t>2.</w:t>
      </w:r>
      <w:r w:rsidR="002D3049" w:rsidRPr="003A2F86">
        <w:rPr>
          <w:rFonts w:ascii="Arial" w:hAnsi="Arial" w:cs="Arial"/>
          <w:sz w:val="22"/>
          <w:szCs w:val="22"/>
          <w:lang w:val="hr-HR"/>
        </w:rPr>
        <w:t>8</w:t>
      </w:r>
      <w:r w:rsidRPr="003A2F86">
        <w:rPr>
          <w:rFonts w:ascii="Arial" w:hAnsi="Arial" w:cs="Arial"/>
          <w:sz w:val="22"/>
          <w:szCs w:val="22"/>
          <w:lang w:val="hr-HR"/>
        </w:rPr>
        <w:t>.</w:t>
      </w:r>
      <w:r w:rsidRPr="003A2F86">
        <w:rPr>
          <w:rFonts w:ascii="Arial" w:hAnsi="Arial" w:cs="Arial"/>
          <w:sz w:val="22"/>
          <w:szCs w:val="22"/>
          <w:lang w:val="hr-HR"/>
        </w:rPr>
        <w:tab/>
        <w:t>PRIHODI I PRIMICI, RASHODI I IZDACI PREMA IZVORIMA FINANCIRANJA</w:t>
      </w:r>
      <w:bookmarkStart w:id="291" w:name="Izvori_financiranja"/>
      <w:bookmarkEnd w:id="290"/>
      <w:bookmarkEnd w:id="291"/>
    </w:p>
    <w:p w14:paraId="76297E18" w14:textId="77777777" w:rsidR="00891119" w:rsidRPr="003A2F86" w:rsidRDefault="00891119" w:rsidP="00891119">
      <w:pPr>
        <w:spacing w:after="0" w:line="240" w:lineRule="auto"/>
        <w:jc w:val="center"/>
        <w:rPr>
          <w:rFonts w:ascii="Arial" w:eastAsia="Calibri" w:hAnsi="Arial" w:cs="Arial"/>
        </w:rPr>
      </w:pPr>
    </w:p>
    <w:p w14:paraId="30D74DC4" w14:textId="539D1391" w:rsidR="00891119" w:rsidRPr="003A2F86" w:rsidRDefault="00891119" w:rsidP="00891119">
      <w:pPr>
        <w:autoSpaceDE w:val="0"/>
        <w:autoSpaceDN w:val="0"/>
        <w:adjustRightInd w:val="0"/>
        <w:spacing w:after="0" w:line="240" w:lineRule="auto"/>
        <w:jc w:val="both"/>
        <w:rPr>
          <w:rFonts w:ascii="Arial" w:eastAsia="Calibri" w:hAnsi="Arial" w:cs="Arial"/>
        </w:rPr>
      </w:pPr>
      <w:bookmarkStart w:id="292" w:name="_Hlk146002113"/>
      <w:r w:rsidRPr="003A2F86">
        <w:rPr>
          <w:rFonts w:ascii="Arial" w:eastAsia="Calibri" w:hAnsi="Arial" w:cs="Arial"/>
        </w:rPr>
        <w:t>U Posebnom dijelu proračuna, rashodi i izdaci raspoređuju se po programima odnosno njihovim sastavnim dijelovima (aktivnostima, tekućim i kapitalnim projektima), kojih su nositelji upravni odjeli općinske uprave i proračunski korisnici. U okviru programa, projekata i aktivnosti, rashodi i izdaci se iskazuju prema ekonomskoj i funkcijskoj klasifikaciji i izvorima financiranja sukladno Pravilniku o proračunskim klasifikacijama (NN 26/10</w:t>
      </w:r>
      <w:r w:rsidR="009E3100" w:rsidRPr="003A2F86">
        <w:rPr>
          <w:rFonts w:ascii="Arial" w:eastAsia="Calibri" w:hAnsi="Arial" w:cs="Arial"/>
        </w:rPr>
        <w:t>,</w:t>
      </w:r>
      <w:r w:rsidRPr="003A2F86">
        <w:rPr>
          <w:rFonts w:ascii="Arial" w:eastAsia="Calibri" w:hAnsi="Arial" w:cs="Arial"/>
        </w:rPr>
        <w:t xml:space="preserve"> 120/13</w:t>
      </w:r>
      <w:r w:rsidR="009E3100" w:rsidRPr="003A2F86">
        <w:rPr>
          <w:rFonts w:ascii="Arial" w:eastAsia="Calibri" w:hAnsi="Arial" w:cs="Arial"/>
        </w:rPr>
        <w:t>, 1/20</w:t>
      </w:r>
      <w:r w:rsidRPr="003A2F86">
        <w:rPr>
          <w:rFonts w:ascii="Arial" w:eastAsia="Calibri" w:hAnsi="Arial" w:cs="Arial"/>
        </w:rPr>
        <w:t>).</w:t>
      </w:r>
      <w:r w:rsidR="0061197D" w:rsidRPr="003A2F86">
        <w:rPr>
          <w:rFonts w:ascii="Arial" w:eastAsia="Calibri" w:hAnsi="Arial" w:cs="Arial"/>
        </w:rPr>
        <w:t xml:space="preserve"> Donesen je </w:t>
      </w:r>
      <w:r w:rsidR="0061197D" w:rsidRPr="003A2F86">
        <w:rPr>
          <w:rFonts w:ascii="Arial" w:eastAsia="Calibri" w:hAnsi="Arial" w:cs="Arial"/>
          <w:b/>
          <w:bCs/>
        </w:rPr>
        <w:t>novi Pravilnik</w:t>
      </w:r>
      <w:r w:rsidR="0061197D" w:rsidRPr="003A2F86">
        <w:rPr>
          <w:rFonts w:ascii="Arial" w:eastAsia="Calibri" w:hAnsi="Arial" w:cs="Arial"/>
        </w:rPr>
        <w:t xml:space="preserve"> o proračunskim klasifikacijama (NN 4/2024) čije odredbe se primjenjuju u knjigovodstvenim evidencijama </w:t>
      </w:r>
      <w:r w:rsidR="0061197D" w:rsidRPr="003A2F86">
        <w:rPr>
          <w:rFonts w:ascii="Arial" w:eastAsia="Calibri" w:hAnsi="Arial" w:cs="Arial"/>
          <w:b/>
          <w:bCs/>
        </w:rPr>
        <w:t>od 1.1.2025</w:t>
      </w:r>
      <w:r w:rsidR="0061197D" w:rsidRPr="003A2F86">
        <w:rPr>
          <w:rFonts w:ascii="Arial" w:eastAsia="Calibri" w:hAnsi="Arial" w:cs="Arial"/>
        </w:rPr>
        <w:t>.</w:t>
      </w:r>
    </w:p>
    <w:p w14:paraId="4ECF132C" w14:textId="77777777" w:rsidR="00891119" w:rsidRPr="003A2F86" w:rsidRDefault="00891119" w:rsidP="00891119">
      <w:pPr>
        <w:autoSpaceDE w:val="0"/>
        <w:autoSpaceDN w:val="0"/>
        <w:adjustRightInd w:val="0"/>
        <w:spacing w:after="0" w:line="240" w:lineRule="auto"/>
        <w:jc w:val="both"/>
        <w:rPr>
          <w:rFonts w:ascii="Arial" w:eastAsia="Calibri" w:hAnsi="Arial" w:cs="Arial"/>
          <w:lang w:eastAsia="en-US"/>
        </w:rPr>
      </w:pPr>
    </w:p>
    <w:p w14:paraId="791F56F2" w14:textId="336B9373" w:rsidR="00891119" w:rsidRPr="003A2F86" w:rsidRDefault="00891119" w:rsidP="00891119">
      <w:pPr>
        <w:tabs>
          <w:tab w:val="left" w:pos="567"/>
        </w:tabs>
        <w:spacing w:after="0" w:line="240" w:lineRule="auto"/>
        <w:jc w:val="both"/>
        <w:rPr>
          <w:rFonts w:ascii="Arial" w:eastAsia="Times New Roman" w:hAnsi="Arial" w:cs="Arial"/>
          <w:lang w:eastAsia="en-US"/>
        </w:rPr>
      </w:pPr>
      <w:r w:rsidRPr="003A2F86">
        <w:rPr>
          <w:rFonts w:ascii="Arial" w:eastAsia="Times New Roman" w:hAnsi="Arial" w:cs="Arial"/>
          <w:b/>
          <w:bCs/>
          <w:lang w:eastAsia="en-US"/>
        </w:rPr>
        <w:t>Izvori financiranja</w:t>
      </w:r>
      <w:r w:rsidRPr="003A2F86">
        <w:rPr>
          <w:rFonts w:ascii="Arial" w:eastAsia="Times New Roman" w:hAnsi="Arial" w:cs="Arial"/>
          <w:bCs/>
          <w:lang w:eastAsia="en-US"/>
        </w:rPr>
        <w:t xml:space="preserve"> predstavljaju skupine prihoda i primitaka iz kojih se podmiruju rashodi i izdaci određene vrste i utvrđene namjene. </w:t>
      </w:r>
      <w:r w:rsidRPr="003A2F86">
        <w:rPr>
          <w:rFonts w:ascii="Arial" w:eastAsia="Times New Roman" w:hAnsi="Arial" w:cs="Arial"/>
          <w:lang w:eastAsia="en-US"/>
        </w:rPr>
        <w:t xml:space="preserve">Osnovni izvori financiranja su: 1. opći prihodi i primici; </w:t>
      </w:r>
      <w:r w:rsidR="00CA0D20">
        <w:rPr>
          <w:rFonts w:ascii="Arial" w:eastAsia="Times New Roman" w:hAnsi="Arial" w:cs="Arial"/>
          <w:lang w:eastAsia="en-US"/>
        </w:rPr>
        <w:t>3</w:t>
      </w:r>
      <w:r w:rsidRPr="003A2F86">
        <w:rPr>
          <w:rFonts w:ascii="Arial" w:eastAsia="Times New Roman" w:hAnsi="Arial" w:cs="Arial"/>
          <w:lang w:eastAsia="en-US"/>
        </w:rPr>
        <w:t xml:space="preserve">. vlastiti prihodi; </w:t>
      </w:r>
      <w:r w:rsidR="00CA0D20">
        <w:rPr>
          <w:rFonts w:ascii="Arial" w:eastAsia="Times New Roman" w:hAnsi="Arial" w:cs="Arial"/>
          <w:lang w:eastAsia="en-US"/>
        </w:rPr>
        <w:t>4</w:t>
      </w:r>
      <w:r w:rsidRPr="003A2F86">
        <w:rPr>
          <w:rFonts w:ascii="Arial" w:eastAsia="Times New Roman" w:hAnsi="Arial" w:cs="Arial"/>
          <w:lang w:eastAsia="en-US"/>
        </w:rPr>
        <w:t xml:space="preserve">. prihodi za posebne namjene; </w:t>
      </w:r>
      <w:r w:rsidR="00CA0D20">
        <w:rPr>
          <w:rFonts w:ascii="Arial" w:eastAsia="Times New Roman" w:hAnsi="Arial" w:cs="Arial"/>
          <w:lang w:eastAsia="en-US"/>
        </w:rPr>
        <w:t>5</w:t>
      </w:r>
      <w:r w:rsidRPr="003A2F86">
        <w:rPr>
          <w:rFonts w:ascii="Arial" w:eastAsia="Times New Roman" w:hAnsi="Arial" w:cs="Arial"/>
          <w:lang w:eastAsia="en-US"/>
        </w:rPr>
        <w:t xml:space="preserve">. pomoći; </w:t>
      </w:r>
      <w:r w:rsidR="00CA0D20">
        <w:rPr>
          <w:rFonts w:ascii="Arial" w:eastAsia="Times New Roman" w:hAnsi="Arial" w:cs="Arial"/>
          <w:lang w:eastAsia="en-US"/>
        </w:rPr>
        <w:t>6</w:t>
      </w:r>
      <w:r w:rsidRPr="003A2F86">
        <w:rPr>
          <w:rFonts w:ascii="Arial" w:eastAsia="Times New Roman" w:hAnsi="Arial" w:cs="Arial"/>
          <w:lang w:eastAsia="en-US"/>
        </w:rPr>
        <w:t xml:space="preserve">. donacije; </w:t>
      </w:r>
      <w:r w:rsidR="00CA0D20">
        <w:rPr>
          <w:rFonts w:ascii="Arial" w:eastAsia="Times New Roman" w:hAnsi="Arial" w:cs="Arial"/>
          <w:lang w:eastAsia="en-US"/>
        </w:rPr>
        <w:t>7</w:t>
      </w:r>
      <w:r w:rsidRPr="003A2F86">
        <w:rPr>
          <w:rFonts w:ascii="Arial" w:eastAsia="Times New Roman" w:hAnsi="Arial" w:cs="Arial"/>
          <w:lang w:eastAsia="en-US"/>
        </w:rPr>
        <w:t>. prihodi od prodaje ili zamjene nefinancijske imovine i na</w:t>
      </w:r>
      <w:r w:rsidR="00A8623C" w:rsidRPr="003A2F86">
        <w:rPr>
          <w:rFonts w:ascii="Arial" w:eastAsia="Times New Roman" w:hAnsi="Arial" w:cs="Arial"/>
          <w:lang w:eastAsia="en-US"/>
        </w:rPr>
        <w:t>kn</w:t>
      </w:r>
      <w:r w:rsidRPr="003A2F86">
        <w:rPr>
          <w:rFonts w:ascii="Arial" w:eastAsia="Times New Roman" w:hAnsi="Arial" w:cs="Arial"/>
          <w:lang w:eastAsia="en-US"/>
        </w:rPr>
        <w:t xml:space="preserve">ade šteta s osnova osiguranja i </w:t>
      </w:r>
      <w:r w:rsidR="00CA0D20">
        <w:rPr>
          <w:rFonts w:ascii="Arial" w:eastAsia="Times New Roman" w:hAnsi="Arial" w:cs="Arial"/>
          <w:lang w:eastAsia="en-US"/>
        </w:rPr>
        <w:t>8</w:t>
      </w:r>
      <w:r w:rsidRPr="003A2F86">
        <w:rPr>
          <w:rFonts w:ascii="Arial" w:eastAsia="Times New Roman" w:hAnsi="Arial" w:cs="Arial"/>
          <w:lang w:eastAsia="en-US"/>
        </w:rPr>
        <w:t>. namjenski primici.</w:t>
      </w:r>
    </w:p>
    <w:p w14:paraId="42578B8F" w14:textId="77777777" w:rsidR="00891119" w:rsidRPr="003A2F86" w:rsidRDefault="00891119" w:rsidP="00891119">
      <w:pPr>
        <w:tabs>
          <w:tab w:val="left" w:pos="567"/>
        </w:tabs>
        <w:spacing w:after="0" w:line="240" w:lineRule="auto"/>
        <w:jc w:val="both"/>
        <w:rPr>
          <w:rFonts w:ascii="Arial" w:eastAsia="Times New Roman" w:hAnsi="Arial" w:cs="Arial"/>
          <w:lang w:eastAsia="en-US"/>
        </w:rPr>
      </w:pPr>
    </w:p>
    <w:p w14:paraId="3391BA5A" w14:textId="4C83830A" w:rsidR="00891119" w:rsidRPr="003A2F86" w:rsidRDefault="00892B2C" w:rsidP="00892B2C">
      <w:pPr>
        <w:pStyle w:val="Opisslike"/>
        <w:keepNext/>
        <w:jc w:val="both"/>
      </w:pPr>
      <w:bookmarkStart w:id="293" w:name="_Toc232981541"/>
      <w:bookmarkStart w:id="294" w:name="_Hlk17962310"/>
      <w:r w:rsidRPr="003A2F86">
        <w:rPr>
          <w:color w:val="FF0000"/>
        </w:rPr>
        <w:t xml:space="preserve">Tablica </w:t>
      </w:r>
      <w:r w:rsidR="002A3DE2" w:rsidRPr="003A2F86">
        <w:rPr>
          <w:color w:val="FF0000"/>
        </w:rPr>
        <w:fldChar w:fldCharType="begin"/>
      </w:r>
      <w:r w:rsidR="002A3DE2" w:rsidRPr="003A2F86">
        <w:rPr>
          <w:color w:val="FF0000"/>
        </w:rPr>
        <w:instrText xml:space="preserve"> SEQ Tablica \* ARABIC </w:instrText>
      </w:r>
      <w:r w:rsidR="002A3DE2" w:rsidRPr="003A2F86">
        <w:rPr>
          <w:color w:val="FF0000"/>
        </w:rPr>
        <w:fldChar w:fldCharType="separate"/>
      </w:r>
      <w:r w:rsidR="00A821D8">
        <w:rPr>
          <w:noProof/>
          <w:color w:val="FF0000"/>
        </w:rPr>
        <w:t>22</w:t>
      </w:r>
      <w:r w:rsidR="002A3DE2" w:rsidRPr="003A2F86">
        <w:rPr>
          <w:color w:val="FF0000"/>
        </w:rPr>
        <w:fldChar w:fldCharType="end"/>
      </w:r>
      <w:r w:rsidRPr="003A2F86">
        <w:rPr>
          <w:color w:val="FF0000"/>
        </w:rPr>
        <w:t xml:space="preserve">.: </w:t>
      </w:r>
      <w:r w:rsidR="00891119" w:rsidRPr="003A2F86">
        <w:rPr>
          <w:rFonts w:ascii="Arial" w:hAnsi="Arial" w:cs="Arial"/>
        </w:rPr>
        <w:t xml:space="preserve">Proračun za razdoblje siječanj – </w:t>
      </w:r>
      <w:r w:rsidR="00457034">
        <w:rPr>
          <w:rFonts w:ascii="Arial" w:hAnsi="Arial" w:cs="Arial"/>
        </w:rPr>
        <w:t>prosinac</w:t>
      </w:r>
      <w:r w:rsidR="00891119" w:rsidRPr="003A2F86">
        <w:rPr>
          <w:rFonts w:ascii="Arial" w:hAnsi="Arial" w:cs="Arial"/>
        </w:rPr>
        <w:t xml:space="preserve"> 20</w:t>
      </w:r>
      <w:r w:rsidR="00F32DF6" w:rsidRPr="003A2F86">
        <w:rPr>
          <w:rFonts w:ascii="Arial" w:hAnsi="Arial" w:cs="Arial"/>
        </w:rPr>
        <w:t>2</w:t>
      </w:r>
      <w:r w:rsidR="00CC42DA">
        <w:rPr>
          <w:rFonts w:ascii="Arial" w:hAnsi="Arial" w:cs="Arial"/>
        </w:rPr>
        <w:t>5</w:t>
      </w:r>
      <w:r w:rsidR="00891119" w:rsidRPr="003A2F86">
        <w:rPr>
          <w:rFonts w:ascii="Arial" w:hAnsi="Arial" w:cs="Arial"/>
        </w:rPr>
        <w:t>. po izvorima financiranja</w:t>
      </w:r>
      <w:bookmarkEnd w:id="293"/>
    </w:p>
    <w:bookmarkEnd w:id="292"/>
    <w:bookmarkEnd w:id="294"/>
    <w:p w14:paraId="0F9BF6FC" w14:textId="77777777" w:rsidR="00871D15" w:rsidRPr="003A2F86" w:rsidRDefault="00871D15" w:rsidP="00891119">
      <w:pPr>
        <w:spacing w:after="0" w:line="240" w:lineRule="auto"/>
        <w:jc w:val="center"/>
        <w:rPr>
          <w:rFonts w:ascii="Arial" w:eastAsia="Calibri" w:hAnsi="Arial" w:cs="Arial"/>
        </w:rPr>
      </w:pPr>
    </w:p>
    <w:p w14:paraId="176ECD6B" w14:textId="41084289" w:rsidR="009B1959" w:rsidRPr="003A2F86" w:rsidRDefault="00001C58" w:rsidP="00891119">
      <w:pPr>
        <w:spacing w:after="0" w:line="240" w:lineRule="auto"/>
        <w:jc w:val="center"/>
        <w:rPr>
          <w:rFonts w:ascii="Arial" w:eastAsia="Calibri" w:hAnsi="Arial" w:cs="Arial"/>
        </w:rPr>
      </w:pPr>
      <w:r w:rsidRPr="00001C58">
        <w:rPr>
          <w:noProof/>
        </w:rPr>
        <w:drawing>
          <wp:inline distT="0" distB="0" distL="0" distR="0" wp14:anchorId="6F8AE174" wp14:editId="5C86F8EB">
            <wp:extent cx="6177280" cy="1967230"/>
            <wp:effectExtent l="0" t="0" r="0" b="0"/>
            <wp:docPr id="127510195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77280" cy="1967230"/>
                    </a:xfrm>
                    <a:prstGeom prst="rect">
                      <a:avLst/>
                    </a:prstGeom>
                    <a:noFill/>
                    <a:ln>
                      <a:noFill/>
                    </a:ln>
                  </pic:spPr>
                </pic:pic>
              </a:graphicData>
            </a:graphic>
          </wp:inline>
        </w:drawing>
      </w:r>
    </w:p>
    <w:p w14:paraId="72749E42" w14:textId="77777777" w:rsidR="0061197D" w:rsidRPr="003A2F86" w:rsidRDefault="0061197D" w:rsidP="00891119">
      <w:pPr>
        <w:spacing w:after="0" w:line="240" w:lineRule="auto"/>
        <w:jc w:val="center"/>
        <w:rPr>
          <w:rFonts w:ascii="Arial" w:eastAsia="Calibri" w:hAnsi="Arial" w:cs="Arial"/>
        </w:rPr>
      </w:pPr>
    </w:p>
    <w:p w14:paraId="0C905D70" w14:textId="0D3299D0" w:rsidR="00891119" w:rsidRPr="003A2F86" w:rsidRDefault="00891119" w:rsidP="00C7073C">
      <w:pPr>
        <w:pStyle w:val="Naslov2"/>
        <w:jc w:val="center"/>
        <w:rPr>
          <w:rFonts w:ascii="Arial" w:hAnsi="Arial" w:cs="Arial"/>
          <w:sz w:val="22"/>
          <w:szCs w:val="22"/>
          <w:lang w:val="hr-HR"/>
        </w:rPr>
      </w:pPr>
      <w:bookmarkStart w:id="295" w:name="_Toc232981416"/>
      <w:r w:rsidRPr="003A2F86">
        <w:rPr>
          <w:rFonts w:ascii="Arial" w:hAnsi="Arial" w:cs="Arial"/>
          <w:sz w:val="22"/>
          <w:szCs w:val="22"/>
          <w:lang w:val="hr-HR"/>
        </w:rPr>
        <w:t>2.</w:t>
      </w:r>
      <w:r w:rsidR="002D3049" w:rsidRPr="003A2F86">
        <w:rPr>
          <w:rFonts w:ascii="Arial" w:hAnsi="Arial" w:cs="Arial"/>
          <w:sz w:val="22"/>
          <w:szCs w:val="22"/>
          <w:lang w:val="hr-HR"/>
        </w:rPr>
        <w:t>9</w:t>
      </w:r>
      <w:r w:rsidRPr="003A2F86">
        <w:rPr>
          <w:rFonts w:ascii="Arial" w:hAnsi="Arial" w:cs="Arial"/>
          <w:sz w:val="22"/>
          <w:szCs w:val="22"/>
          <w:lang w:val="hr-HR"/>
        </w:rPr>
        <w:t>.</w:t>
      </w:r>
      <w:r w:rsidRPr="003A2F86">
        <w:rPr>
          <w:rFonts w:ascii="Arial" w:hAnsi="Arial" w:cs="Arial"/>
          <w:sz w:val="22"/>
          <w:szCs w:val="22"/>
          <w:lang w:val="hr-HR"/>
        </w:rPr>
        <w:tab/>
        <w:t>RASHODI PREMA FUNKCIJSKOJ KLASIFIKACIJI</w:t>
      </w:r>
      <w:bookmarkStart w:id="296" w:name="Funkcijska_klasifikacija"/>
      <w:bookmarkEnd w:id="295"/>
      <w:bookmarkEnd w:id="296"/>
    </w:p>
    <w:p w14:paraId="195D488A" w14:textId="77777777" w:rsidR="00891119" w:rsidRPr="003A2F86" w:rsidRDefault="00891119" w:rsidP="00891119">
      <w:pPr>
        <w:spacing w:after="0" w:line="240" w:lineRule="auto"/>
        <w:jc w:val="both"/>
        <w:rPr>
          <w:rFonts w:ascii="Arial" w:eastAsia="Calibri" w:hAnsi="Arial" w:cs="Arial"/>
        </w:rPr>
      </w:pPr>
      <w:bookmarkStart w:id="297" w:name="_Hlk146002204"/>
    </w:p>
    <w:p w14:paraId="2AB4881D" w14:textId="77777777" w:rsidR="00891119" w:rsidRPr="003A2F86" w:rsidRDefault="00891119" w:rsidP="00891119">
      <w:pPr>
        <w:autoSpaceDE w:val="0"/>
        <w:autoSpaceDN w:val="0"/>
        <w:adjustRightInd w:val="0"/>
        <w:spacing w:after="0" w:line="240" w:lineRule="auto"/>
        <w:jc w:val="both"/>
        <w:rPr>
          <w:rFonts w:ascii="Arial" w:eastAsia="Calibri" w:hAnsi="Arial" w:cs="Arial"/>
          <w:lang w:eastAsia="en-US"/>
        </w:rPr>
      </w:pPr>
      <w:r w:rsidRPr="003A2F86">
        <w:rPr>
          <w:rFonts w:ascii="Arial" w:eastAsia="Calibri" w:hAnsi="Arial" w:cs="Arial"/>
          <w:lang w:eastAsia="en-US"/>
        </w:rPr>
        <w:t xml:space="preserve">Sukladno </w:t>
      </w:r>
      <w:r w:rsidRPr="003A2F86">
        <w:rPr>
          <w:rFonts w:ascii="Arial" w:eastAsia="Calibri" w:hAnsi="Arial" w:cs="Arial"/>
        </w:rPr>
        <w:t>Pravilniku o proračunskim klasifikacijama (NN 26/10</w:t>
      </w:r>
      <w:r w:rsidR="009E3100" w:rsidRPr="003A2F86">
        <w:rPr>
          <w:rFonts w:ascii="Arial" w:eastAsia="Calibri" w:hAnsi="Arial" w:cs="Arial"/>
        </w:rPr>
        <w:t>,</w:t>
      </w:r>
      <w:r w:rsidRPr="003A2F86">
        <w:rPr>
          <w:rFonts w:ascii="Arial" w:eastAsia="Calibri" w:hAnsi="Arial" w:cs="Arial"/>
        </w:rPr>
        <w:t xml:space="preserve"> 120/13</w:t>
      </w:r>
      <w:r w:rsidR="009E3100" w:rsidRPr="003A2F86">
        <w:rPr>
          <w:rFonts w:ascii="Arial" w:eastAsia="Calibri" w:hAnsi="Arial" w:cs="Arial"/>
        </w:rPr>
        <w:t>, 1/20</w:t>
      </w:r>
      <w:r w:rsidRPr="003A2F86">
        <w:rPr>
          <w:rFonts w:ascii="Arial" w:eastAsia="Calibri" w:hAnsi="Arial" w:cs="Arial"/>
        </w:rPr>
        <w:t>)</w:t>
      </w:r>
      <w:r w:rsidRPr="003A2F86">
        <w:rPr>
          <w:rFonts w:ascii="Arial" w:eastAsia="Calibri" w:hAnsi="Arial" w:cs="Arial"/>
          <w:lang w:eastAsia="en-US"/>
        </w:rPr>
        <w:t xml:space="preserve">, </w:t>
      </w:r>
      <w:r w:rsidRPr="003A2F86">
        <w:rPr>
          <w:rFonts w:ascii="Arial" w:eastAsia="Calibri" w:hAnsi="Arial" w:cs="Arial"/>
          <w:b/>
          <w:lang w:eastAsia="en-US"/>
        </w:rPr>
        <w:t>funkcijska klasifikacija</w:t>
      </w:r>
      <w:r w:rsidRPr="003A2F86">
        <w:rPr>
          <w:rFonts w:ascii="Arial" w:eastAsia="Calibri" w:hAnsi="Arial" w:cs="Arial"/>
          <w:lang w:eastAsia="en-US"/>
        </w:rPr>
        <w:t xml:space="preserve"> sadrži rashode razvrstane prema njihovoj namjeni, dakle rashode poslovanja (3) i rashode za nabavu nefinancijske imovine (4). Izdaci za financijsku imovinu i otplate zajmova (5) se ne iskazuju kroz funkcijsku klasifikaciju. </w:t>
      </w:r>
    </w:p>
    <w:p w14:paraId="6AD679EE" w14:textId="77777777" w:rsidR="00891119" w:rsidRPr="003A2F86" w:rsidRDefault="00891119" w:rsidP="00891119">
      <w:pPr>
        <w:autoSpaceDE w:val="0"/>
        <w:autoSpaceDN w:val="0"/>
        <w:adjustRightInd w:val="0"/>
        <w:spacing w:after="0" w:line="240" w:lineRule="auto"/>
        <w:jc w:val="both"/>
        <w:rPr>
          <w:rFonts w:ascii="Arial" w:eastAsia="Times New Roman" w:hAnsi="Arial" w:cs="Arial"/>
        </w:rPr>
      </w:pPr>
    </w:p>
    <w:p w14:paraId="41107E8C" w14:textId="57948850" w:rsidR="00891119" w:rsidRPr="003A2F86" w:rsidRDefault="00891119" w:rsidP="00891119">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U okviru rashoda prema funkcijskoj klasifikaciji na proračunske korisnike odnosi se </w:t>
      </w:r>
      <w:r w:rsidR="00194755">
        <w:rPr>
          <w:rFonts w:ascii="Arial" w:eastAsia="Times New Roman" w:hAnsi="Arial" w:cs="Arial"/>
          <w:iCs/>
          <w:lang w:eastAsia="en-US"/>
        </w:rPr>
        <w:t>6.249.051,59</w:t>
      </w:r>
      <w:r w:rsidR="00AA39B5" w:rsidRPr="003A2F86">
        <w:rPr>
          <w:rFonts w:ascii="Arial" w:eastAsia="Times New Roman" w:hAnsi="Arial" w:cs="Arial"/>
          <w:iCs/>
          <w:lang w:eastAsia="en-US"/>
        </w:rPr>
        <w:t xml:space="preserve"> €</w:t>
      </w:r>
      <w:r w:rsidRPr="003A2F86">
        <w:rPr>
          <w:rFonts w:ascii="Arial" w:eastAsia="Times New Roman" w:hAnsi="Arial" w:cs="Arial"/>
          <w:iCs/>
          <w:lang w:eastAsia="en-US"/>
        </w:rPr>
        <w:t xml:space="preserve"> ili </w:t>
      </w:r>
      <w:r w:rsidR="00194755">
        <w:rPr>
          <w:rFonts w:ascii="Arial" w:eastAsia="Times New Roman" w:hAnsi="Arial" w:cs="Arial"/>
          <w:iCs/>
          <w:lang w:eastAsia="en-US"/>
        </w:rPr>
        <w:t>24,6</w:t>
      </w:r>
      <w:r w:rsidRPr="003A2F86">
        <w:rPr>
          <w:rFonts w:ascii="Arial" w:eastAsia="Times New Roman" w:hAnsi="Arial" w:cs="Arial"/>
          <w:iCs/>
          <w:lang w:eastAsia="en-US"/>
        </w:rPr>
        <w:t xml:space="preserve">% rashoda, a na Općinu se odnosi </w:t>
      </w:r>
      <w:r w:rsidR="00194755">
        <w:rPr>
          <w:rFonts w:ascii="Arial" w:eastAsia="Times New Roman" w:hAnsi="Arial" w:cs="Arial"/>
          <w:iCs/>
          <w:lang w:eastAsia="en-US"/>
        </w:rPr>
        <w:t>19.190.643,89</w:t>
      </w:r>
      <w:r w:rsidR="00AA39B5" w:rsidRPr="003A2F86">
        <w:rPr>
          <w:rFonts w:ascii="Arial" w:eastAsia="Times New Roman" w:hAnsi="Arial" w:cs="Arial"/>
          <w:iCs/>
          <w:lang w:eastAsia="en-US"/>
        </w:rPr>
        <w:t xml:space="preserve"> €</w:t>
      </w:r>
      <w:r w:rsidRPr="003A2F86">
        <w:rPr>
          <w:rFonts w:ascii="Arial" w:eastAsia="Times New Roman" w:hAnsi="Arial" w:cs="Arial"/>
          <w:iCs/>
          <w:lang w:eastAsia="en-US"/>
        </w:rPr>
        <w:t xml:space="preserve"> ili </w:t>
      </w:r>
      <w:r w:rsidR="00194755">
        <w:rPr>
          <w:rFonts w:ascii="Arial" w:eastAsia="Times New Roman" w:hAnsi="Arial" w:cs="Arial"/>
          <w:iCs/>
          <w:lang w:eastAsia="en-US"/>
        </w:rPr>
        <w:t>75,4</w:t>
      </w:r>
      <w:r w:rsidRPr="003A2F86">
        <w:rPr>
          <w:rFonts w:ascii="Arial" w:eastAsia="Times New Roman" w:hAnsi="Arial" w:cs="Arial"/>
          <w:iCs/>
          <w:lang w:eastAsia="en-US"/>
        </w:rPr>
        <w:t xml:space="preserve">% rashoda koji ulaze u Izvještaj prema funkcijskoj klasifikaciji. Sveukupno izvršeni rashodi prema funkcijskoj klasifikaciji iznose </w:t>
      </w:r>
      <w:r w:rsidR="00194755">
        <w:rPr>
          <w:rFonts w:ascii="Arial" w:eastAsia="Times New Roman" w:hAnsi="Arial" w:cs="Arial"/>
          <w:b/>
          <w:iCs/>
          <w:lang w:eastAsia="en-US"/>
        </w:rPr>
        <w:t>25.439.695,48</w:t>
      </w:r>
      <w:r w:rsidR="00AA39B5" w:rsidRPr="003A2F86">
        <w:rPr>
          <w:rFonts w:ascii="Arial" w:eastAsia="Times New Roman" w:hAnsi="Arial" w:cs="Arial"/>
          <w:b/>
          <w:iCs/>
          <w:lang w:eastAsia="en-US"/>
        </w:rPr>
        <w:t xml:space="preserve"> €</w:t>
      </w:r>
      <w:r w:rsidRPr="003A2F86">
        <w:rPr>
          <w:rFonts w:ascii="Arial" w:eastAsia="Times New Roman" w:hAnsi="Arial" w:cs="Arial"/>
          <w:iCs/>
          <w:lang w:eastAsia="en-US"/>
        </w:rPr>
        <w:t>.</w:t>
      </w:r>
    </w:p>
    <w:p w14:paraId="30D387AB" w14:textId="2DFCC403" w:rsidR="00026A58" w:rsidRPr="003A2F86" w:rsidRDefault="00026A58" w:rsidP="00891119">
      <w:pPr>
        <w:spacing w:after="0" w:line="240" w:lineRule="auto"/>
        <w:jc w:val="both"/>
        <w:rPr>
          <w:rFonts w:ascii="Arial" w:eastAsia="Times New Roman" w:hAnsi="Arial" w:cs="Arial"/>
          <w:iCs/>
          <w:lang w:eastAsia="en-US"/>
        </w:rPr>
      </w:pPr>
    </w:p>
    <w:p w14:paraId="3E08778C" w14:textId="47BA3C82" w:rsidR="00891119" w:rsidRPr="003A2F86" w:rsidRDefault="00892B2C" w:rsidP="00892B2C">
      <w:pPr>
        <w:pStyle w:val="Opisslike"/>
        <w:keepNext/>
        <w:jc w:val="both"/>
        <w:rPr>
          <w:rFonts w:ascii="Arial" w:hAnsi="Arial" w:cs="Arial"/>
        </w:rPr>
      </w:pPr>
      <w:bookmarkStart w:id="298" w:name="_Toc232981542"/>
      <w:bookmarkStart w:id="299" w:name="_Hlk17962329"/>
      <w:r w:rsidRPr="003A2F86">
        <w:rPr>
          <w:color w:val="FF0000"/>
        </w:rPr>
        <w:lastRenderedPageBreak/>
        <w:t xml:space="preserve">Tablica </w:t>
      </w:r>
      <w:r w:rsidR="002A3DE2" w:rsidRPr="003A2F86">
        <w:rPr>
          <w:color w:val="FF0000"/>
        </w:rPr>
        <w:fldChar w:fldCharType="begin"/>
      </w:r>
      <w:r w:rsidR="002A3DE2" w:rsidRPr="003A2F86">
        <w:rPr>
          <w:color w:val="FF0000"/>
        </w:rPr>
        <w:instrText xml:space="preserve"> SEQ Tablica \* ARABIC </w:instrText>
      </w:r>
      <w:r w:rsidR="002A3DE2" w:rsidRPr="003A2F86">
        <w:rPr>
          <w:color w:val="FF0000"/>
        </w:rPr>
        <w:fldChar w:fldCharType="separate"/>
      </w:r>
      <w:r w:rsidR="00A821D8">
        <w:rPr>
          <w:noProof/>
          <w:color w:val="FF0000"/>
        </w:rPr>
        <w:t>23</w:t>
      </w:r>
      <w:r w:rsidR="002A3DE2" w:rsidRPr="003A2F86">
        <w:rPr>
          <w:color w:val="FF0000"/>
        </w:rPr>
        <w:fldChar w:fldCharType="end"/>
      </w:r>
      <w:r w:rsidRPr="003A2F86">
        <w:rPr>
          <w:color w:val="FF0000"/>
        </w:rPr>
        <w:t xml:space="preserve">.: </w:t>
      </w:r>
      <w:r w:rsidR="00891119" w:rsidRPr="003A2F86">
        <w:rPr>
          <w:rFonts w:ascii="Arial" w:hAnsi="Arial" w:cs="Arial"/>
        </w:rPr>
        <w:t xml:space="preserve">Izvršenje proračuna za razdoblje siječanj – </w:t>
      </w:r>
      <w:r w:rsidR="00194755">
        <w:rPr>
          <w:rFonts w:ascii="Arial" w:hAnsi="Arial" w:cs="Arial"/>
        </w:rPr>
        <w:t>prosinac</w:t>
      </w:r>
      <w:r w:rsidR="00891119" w:rsidRPr="003A2F86">
        <w:rPr>
          <w:rFonts w:ascii="Arial" w:hAnsi="Arial" w:cs="Arial"/>
        </w:rPr>
        <w:t xml:space="preserve"> 20</w:t>
      </w:r>
      <w:r w:rsidR="00026A58" w:rsidRPr="003A2F86">
        <w:rPr>
          <w:rFonts w:ascii="Arial" w:hAnsi="Arial" w:cs="Arial"/>
        </w:rPr>
        <w:t>2</w:t>
      </w:r>
      <w:r w:rsidR="005B5629">
        <w:rPr>
          <w:rFonts w:ascii="Arial" w:hAnsi="Arial" w:cs="Arial"/>
        </w:rPr>
        <w:t>5</w:t>
      </w:r>
      <w:r w:rsidR="00891119" w:rsidRPr="003A2F86">
        <w:rPr>
          <w:rFonts w:ascii="Arial" w:hAnsi="Arial" w:cs="Arial"/>
        </w:rPr>
        <w:t>. po funkcijskoj klasifikaciji</w:t>
      </w:r>
      <w:bookmarkEnd w:id="298"/>
    </w:p>
    <w:p w14:paraId="4A06780C" w14:textId="65462605" w:rsidR="00B435BD" w:rsidRPr="003A2F86" w:rsidRDefault="00194755" w:rsidP="00B435BD">
      <w:pPr>
        <w:jc w:val="center"/>
        <w:rPr>
          <w:lang w:eastAsia="en-US"/>
        </w:rPr>
      </w:pPr>
      <w:r w:rsidRPr="00194755">
        <w:rPr>
          <w:noProof/>
        </w:rPr>
        <w:drawing>
          <wp:inline distT="0" distB="0" distL="0" distR="0" wp14:anchorId="01AC8284" wp14:editId="1D803890">
            <wp:extent cx="6057610" cy="5645888"/>
            <wp:effectExtent l="0" t="0" r="635" b="0"/>
            <wp:docPr id="27638922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63330" cy="5651220"/>
                    </a:xfrm>
                    <a:prstGeom prst="rect">
                      <a:avLst/>
                    </a:prstGeom>
                    <a:noFill/>
                    <a:ln>
                      <a:noFill/>
                    </a:ln>
                  </pic:spPr>
                </pic:pic>
              </a:graphicData>
            </a:graphic>
          </wp:inline>
        </w:drawing>
      </w:r>
    </w:p>
    <w:p w14:paraId="5125121C" w14:textId="6293784E" w:rsidR="005B5629" w:rsidRPr="005B5629" w:rsidRDefault="00194755" w:rsidP="005B5629">
      <w:pPr>
        <w:jc w:val="center"/>
        <w:rPr>
          <w:lang w:eastAsia="en-US"/>
        </w:rPr>
      </w:pPr>
      <w:r w:rsidRPr="00194755">
        <w:rPr>
          <w:noProof/>
        </w:rPr>
        <w:lastRenderedPageBreak/>
        <w:drawing>
          <wp:inline distT="0" distB="0" distL="0" distR="0" wp14:anchorId="0F96B8DF" wp14:editId="27938CF6">
            <wp:extent cx="7772400" cy="1956435"/>
            <wp:effectExtent l="0" t="0" r="0" b="5715"/>
            <wp:docPr id="344609742"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7772400" cy="1956435"/>
                    </a:xfrm>
                    <a:prstGeom prst="rect">
                      <a:avLst/>
                    </a:prstGeom>
                    <a:noFill/>
                    <a:ln>
                      <a:noFill/>
                    </a:ln>
                  </pic:spPr>
                </pic:pic>
              </a:graphicData>
            </a:graphic>
          </wp:inline>
        </w:drawing>
      </w:r>
    </w:p>
    <w:p w14:paraId="45AC6233" w14:textId="214DA9CD" w:rsidR="00B05CD2" w:rsidRPr="003A2F86" w:rsidRDefault="00B05CD2" w:rsidP="00B05CD2">
      <w:pPr>
        <w:pStyle w:val="Opisslike"/>
      </w:pPr>
      <w:bookmarkStart w:id="300" w:name="_Toc232981578"/>
      <w:r w:rsidRPr="003A2F86">
        <w:rPr>
          <w:color w:val="FF0000"/>
        </w:rPr>
        <w:t xml:space="preserve">Graf </w:t>
      </w:r>
      <w:r w:rsidRPr="003A2F86">
        <w:rPr>
          <w:color w:val="FF0000"/>
        </w:rPr>
        <w:fldChar w:fldCharType="begin"/>
      </w:r>
      <w:r w:rsidRPr="003A2F86">
        <w:rPr>
          <w:color w:val="FF0000"/>
        </w:rPr>
        <w:instrText xml:space="preserve"> SEQ Graf \* ARABIC </w:instrText>
      </w:r>
      <w:r w:rsidRPr="003A2F86">
        <w:rPr>
          <w:color w:val="FF0000"/>
        </w:rPr>
        <w:fldChar w:fldCharType="separate"/>
      </w:r>
      <w:r w:rsidR="00A821D8">
        <w:rPr>
          <w:noProof/>
          <w:color w:val="FF0000"/>
        </w:rPr>
        <w:t>18</w:t>
      </w:r>
      <w:r w:rsidRPr="003A2F86">
        <w:rPr>
          <w:color w:val="FF0000"/>
        </w:rPr>
        <w:fldChar w:fldCharType="end"/>
      </w:r>
      <w:r w:rsidRPr="003A2F86">
        <w:t xml:space="preserve">.: </w:t>
      </w:r>
      <w:r w:rsidRPr="003A2F86">
        <w:rPr>
          <w:rFonts w:ascii="Arial" w:hAnsi="Arial" w:cs="Arial"/>
          <w:sz w:val="22"/>
          <w:szCs w:val="22"/>
        </w:rPr>
        <w:t>Struktura izvršenih rashoda Proračuna u 202</w:t>
      </w:r>
      <w:r w:rsidR="005B5629">
        <w:rPr>
          <w:rFonts w:ascii="Arial" w:hAnsi="Arial" w:cs="Arial"/>
          <w:sz w:val="22"/>
          <w:szCs w:val="22"/>
        </w:rPr>
        <w:t>5</w:t>
      </w:r>
      <w:r w:rsidRPr="003A2F86">
        <w:rPr>
          <w:rFonts w:ascii="Arial" w:hAnsi="Arial" w:cs="Arial"/>
          <w:sz w:val="22"/>
          <w:szCs w:val="22"/>
        </w:rPr>
        <w:t xml:space="preserve">. </w:t>
      </w:r>
      <w:r w:rsidR="00EC0112" w:rsidRPr="003A2F86">
        <w:rPr>
          <w:rFonts w:ascii="Arial" w:hAnsi="Arial" w:cs="Arial"/>
          <w:sz w:val="22"/>
          <w:szCs w:val="22"/>
        </w:rPr>
        <w:t>po</w:t>
      </w:r>
      <w:r w:rsidRPr="003A2F86">
        <w:rPr>
          <w:rFonts w:ascii="Arial" w:hAnsi="Arial" w:cs="Arial"/>
          <w:sz w:val="22"/>
          <w:szCs w:val="22"/>
        </w:rPr>
        <w:t xml:space="preserve"> funkcijsk</w:t>
      </w:r>
      <w:r w:rsidR="00EC0112" w:rsidRPr="003A2F86">
        <w:rPr>
          <w:rFonts w:ascii="Arial" w:hAnsi="Arial" w:cs="Arial"/>
          <w:sz w:val="22"/>
          <w:szCs w:val="22"/>
        </w:rPr>
        <w:t>oj</w:t>
      </w:r>
      <w:r w:rsidRPr="003A2F86">
        <w:rPr>
          <w:rFonts w:ascii="Arial" w:hAnsi="Arial" w:cs="Arial"/>
          <w:sz w:val="22"/>
          <w:szCs w:val="22"/>
        </w:rPr>
        <w:t xml:space="preserve"> klasifikacij</w:t>
      </w:r>
      <w:r w:rsidR="00EC0112" w:rsidRPr="003A2F86">
        <w:rPr>
          <w:rFonts w:ascii="Arial" w:hAnsi="Arial" w:cs="Arial"/>
          <w:sz w:val="22"/>
          <w:szCs w:val="22"/>
        </w:rPr>
        <w:t>i (€):</w:t>
      </w:r>
      <w:r w:rsidRPr="003A2F86">
        <w:rPr>
          <w:rFonts w:ascii="Arial" w:hAnsi="Arial" w:cs="Arial"/>
          <w:sz w:val="22"/>
          <w:szCs w:val="22"/>
        </w:rPr>
        <w:t xml:space="preserve"> sveukupno </w:t>
      </w:r>
      <w:r w:rsidRPr="00154FCA">
        <w:rPr>
          <w:rFonts w:ascii="Arial" w:hAnsi="Arial" w:cs="Arial"/>
          <w:color w:val="1F497D" w:themeColor="text2"/>
          <w:sz w:val="22"/>
          <w:szCs w:val="22"/>
        </w:rPr>
        <w:t xml:space="preserve">Općina </w:t>
      </w:r>
      <w:r w:rsidRPr="003A2F86">
        <w:rPr>
          <w:rFonts w:ascii="Arial" w:hAnsi="Arial" w:cs="Arial"/>
          <w:sz w:val="22"/>
          <w:szCs w:val="22"/>
        </w:rPr>
        <w:t xml:space="preserve">i </w:t>
      </w:r>
      <w:r w:rsidRPr="00154FCA">
        <w:rPr>
          <w:rFonts w:ascii="Arial" w:hAnsi="Arial" w:cs="Arial"/>
          <w:color w:val="943634" w:themeColor="accent2" w:themeShade="BF"/>
          <w:sz w:val="22"/>
          <w:szCs w:val="22"/>
        </w:rPr>
        <w:t>proračunski korisnici</w:t>
      </w:r>
      <w:bookmarkEnd w:id="300"/>
      <w:r w:rsidRPr="00154FCA">
        <w:rPr>
          <w:rFonts w:ascii="Arial" w:hAnsi="Arial" w:cs="Arial"/>
          <w:color w:val="943634" w:themeColor="accent2" w:themeShade="BF"/>
          <w:sz w:val="22"/>
          <w:szCs w:val="22"/>
        </w:rPr>
        <w:t xml:space="preserve"> </w:t>
      </w:r>
    </w:p>
    <w:p w14:paraId="13D3D5BC" w14:textId="77777777" w:rsidR="00B05CD2" w:rsidRPr="003A2F86" w:rsidRDefault="00B05CD2" w:rsidP="00B05CD2">
      <w:pPr>
        <w:spacing w:after="0" w:line="240" w:lineRule="auto"/>
        <w:jc w:val="center"/>
        <w:rPr>
          <w:rFonts w:ascii="Arial" w:eastAsia="Times New Roman" w:hAnsi="Arial" w:cs="Arial"/>
          <w:lang w:eastAsia="en-US"/>
        </w:rPr>
      </w:pPr>
      <w:r w:rsidRPr="003A2F86">
        <w:rPr>
          <w:rFonts w:ascii="Arial" w:eastAsia="Times New Roman" w:hAnsi="Arial" w:cs="Arial"/>
          <w:noProof/>
          <w:color w:val="FF0000"/>
        </w:rPr>
        <w:drawing>
          <wp:inline distT="0" distB="0" distL="0" distR="0" wp14:anchorId="33DAFD03" wp14:editId="6FDDD27C">
            <wp:extent cx="7009765" cy="3452495"/>
            <wp:effectExtent l="0" t="0" r="635" b="14605"/>
            <wp:docPr id="781" name="Grafikon 78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E31A0C0" w14:textId="77777777" w:rsidR="00B05CD2" w:rsidRPr="00154FCA" w:rsidRDefault="00B05CD2" w:rsidP="00B05CD2">
      <w:pPr>
        <w:spacing w:after="0" w:line="240" w:lineRule="auto"/>
        <w:jc w:val="both"/>
        <w:rPr>
          <w:rFonts w:ascii="Arial" w:eastAsia="Times New Roman" w:hAnsi="Arial" w:cs="Arial"/>
          <w:i/>
          <w:sz w:val="18"/>
          <w:szCs w:val="18"/>
          <w:lang w:eastAsia="en-US"/>
        </w:rPr>
      </w:pPr>
      <w:bookmarkStart w:id="301" w:name="_Hlk145935017"/>
      <w:r w:rsidRPr="00154FCA">
        <w:rPr>
          <w:rFonts w:ascii="Arial" w:eastAsia="Times New Roman" w:hAnsi="Arial" w:cs="Arial"/>
          <w:b/>
          <w:i/>
          <w:sz w:val="18"/>
          <w:szCs w:val="18"/>
          <w:lang w:eastAsia="en-US"/>
        </w:rPr>
        <w:t>* Napomena:</w:t>
      </w:r>
      <w:r w:rsidRPr="00154FCA">
        <w:rPr>
          <w:rFonts w:ascii="Arial" w:eastAsia="Times New Roman" w:hAnsi="Arial" w:cs="Arial"/>
          <w:i/>
          <w:sz w:val="18"/>
          <w:szCs w:val="18"/>
          <w:lang w:eastAsia="en-US"/>
        </w:rPr>
        <w:t xml:space="preserve"> Sukladno zakonskim odredbama </w:t>
      </w:r>
      <w:r w:rsidRPr="00154FCA">
        <w:rPr>
          <w:rFonts w:ascii="Arial" w:eastAsia="Times New Roman" w:hAnsi="Arial" w:cs="Arial"/>
          <w:b/>
          <w:i/>
          <w:sz w:val="18"/>
          <w:szCs w:val="18"/>
          <w:lang w:eastAsia="en-US"/>
        </w:rPr>
        <w:t>izdaci za financijsku imovinu i otplate zajmova</w:t>
      </w:r>
      <w:r w:rsidRPr="00154FCA">
        <w:rPr>
          <w:rFonts w:ascii="Arial" w:eastAsia="Times New Roman" w:hAnsi="Arial" w:cs="Arial"/>
          <w:i/>
          <w:sz w:val="18"/>
          <w:szCs w:val="18"/>
          <w:lang w:eastAsia="en-US"/>
        </w:rPr>
        <w:t xml:space="preserve"> se ne uključuju u funkcijsku klasifikaciju. </w:t>
      </w:r>
    </w:p>
    <w:p w14:paraId="69EE873A" w14:textId="44ED9ED9" w:rsidR="00667DB2" w:rsidRPr="00154FCA" w:rsidRDefault="00B05CD2" w:rsidP="00077745">
      <w:pPr>
        <w:spacing w:after="0" w:line="240" w:lineRule="auto"/>
        <w:jc w:val="both"/>
        <w:rPr>
          <w:noProof/>
          <w:sz w:val="20"/>
          <w:szCs w:val="20"/>
        </w:rPr>
      </w:pPr>
      <w:r w:rsidRPr="00154FCA">
        <w:rPr>
          <w:rFonts w:ascii="Arial" w:eastAsia="Times New Roman" w:hAnsi="Arial" w:cs="Arial"/>
          <w:i/>
          <w:sz w:val="18"/>
          <w:szCs w:val="18"/>
          <w:lang w:eastAsia="en-US"/>
        </w:rPr>
        <w:t xml:space="preserve">                       Izdaci su u 202</w:t>
      </w:r>
      <w:r w:rsidR="005B5629">
        <w:rPr>
          <w:rFonts w:ascii="Arial" w:eastAsia="Times New Roman" w:hAnsi="Arial" w:cs="Arial"/>
          <w:i/>
          <w:sz w:val="18"/>
          <w:szCs w:val="18"/>
          <w:lang w:eastAsia="en-US"/>
        </w:rPr>
        <w:t>5</w:t>
      </w:r>
      <w:r w:rsidRPr="00154FCA">
        <w:rPr>
          <w:rFonts w:ascii="Arial" w:eastAsia="Times New Roman" w:hAnsi="Arial" w:cs="Arial"/>
          <w:i/>
          <w:sz w:val="18"/>
          <w:szCs w:val="18"/>
          <w:lang w:eastAsia="en-US"/>
        </w:rPr>
        <w:t xml:space="preserve">. izvršeni u iznosu </w:t>
      </w:r>
      <w:bookmarkStart w:id="302" w:name="_Hlk230346743"/>
      <w:r w:rsidR="00194755">
        <w:rPr>
          <w:rFonts w:ascii="Arial" w:eastAsia="Times New Roman" w:hAnsi="Arial" w:cs="Arial"/>
          <w:i/>
          <w:sz w:val="18"/>
          <w:szCs w:val="18"/>
          <w:lang w:eastAsia="en-US"/>
        </w:rPr>
        <w:t>994.780,35</w:t>
      </w:r>
      <w:r w:rsidRPr="00154FCA">
        <w:rPr>
          <w:rFonts w:ascii="Arial" w:eastAsia="Times New Roman" w:hAnsi="Arial" w:cs="Arial"/>
          <w:i/>
          <w:sz w:val="18"/>
          <w:szCs w:val="18"/>
          <w:lang w:eastAsia="en-US"/>
        </w:rPr>
        <w:t xml:space="preserve"> </w:t>
      </w:r>
      <w:bookmarkEnd w:id="302"/>
      <w:r w:rsidRPr="00154FCA">
        <w:rPr>
          <w:rFonts w:ascii="Arial" w:eastAsia="Times New Roman" w:hAnsi="Arial" w:cs="Arial"/>
          <w:i/>
          <w:sz w:val="18"/>
          <w:szCs w:val="18"/>
          <w:lang w:eastAsia="en-US"/>
        </w:rPr>
        <w:t>€.</w:t>
      </w:r>
      <w:bookmarkEnd w:id="301"/>
      <w:r w:rsidR="00667DB2" w:rsidRPr="00154FCA">
        <w:rPr>
          <w:noProof/>
          <w:sz w:val="20"/>
          <w:szCs w:val="20"/>
        </w:rPr>
        <w:br w:type="page"/>
      </w:r>
    </w:p>
    <w:p w14:paraId="7230DB05" w14:textId="2705846F" w:rsidR="00793F4F" w:rsidRPr="003A2F86" w:rsidRDefault="00793F4F" w:rsidP="00793F4F">
      <w:pPr>
        <w:pStyle w:val="Naslov2"/>
        <w:jc w:val="center"/>
        <w:rPr>
          <w:rFonts w:ascii="Arial" w:hAnsi="Arial" w:cs="Arial"/>
          <w:sz w:val="22"/>
          <w:szCs w:val="22"/>
          <w:lang w:val="hr-HR"/>
        </w:rPr>
      </w:pPr>
      <w:bookmarkStart w:id="303" w:name="_2.10._STANJE_NOVČANIH"/>
      <w:bookmarkStart w:id="304" w:name="_Toc232981417"/>
      <w:bookmarkEnd w:id="303"/>
      <w:r w:rsidRPr="003A2F86">
        <w:rPr>
          <w:rFonts w:ascii="Arial" w:hAnsi="Arial" w:cs="Arial"/>
          <w:sz w:val="22"/>
          <w:szCs w:val="22"/>
          <w:lang w:val="hr-HR"/>
        </w:rPr>
        <w:lastRenderedPageBreak/>
        <w:t>2.10.</w:t>
      </w:r>
      <w:r w:rsidRPr="003A2F86">
        <w:rPr>
          <w:rFonts w:ascii="Arial" w:hAnsi="Arial" w:cs="Arial"/>
          <w:sz w:val="22"/>
          <w:szCs w:val="22"/>
          <w:lang w:val="hr-HR"/>
        </w:rPr>
        <w:tab/>
        <w:t>STANJE NOVČANIH SREDSTAVA</w:t>
      </w:r>
      <w:bookmarkEnd w:id="304"/>
    </w:p>
    <w:p w14:paraId="574F4B6C" w14:textId="77777777" w:rsidR="00793F4F" w:rsidRPr="003A2F86" w:rsidRDefault="00793F4F" w:rsidP="00793F4F">
      <w:pPr>
        <w:spacing w:after="0" w:line="240" w:lineRule="auto"/>
        <w:jc w:val="both"/>
        <w:rPr>
          <w:rFonts w:ascii="Arial" w:eastAsia="Calibri" w:hAnsi="Arial" w:cs="Arial"/>
        </w:rPr>
      </w:pPr>
    </w:p>
    <w:p w14:paraId="180D4AC6" w14:textId="77777777" w:rsidR="00793F4F" w:rsidRPr="003A2F86" w:rsidRDefault="00793F4F" w:rsidP="00793F4F">
      <w:pPr>
        <w:autoSpaceDE w:val="0"/>
        <w:autoSpaceDN w:val="0"/>
        <w:adjustRightInd w:val="0"/>
        <w:spacing w:after="0" w:line="240" w:lineRule="auto"/>
        <w:jc w:val="both"/>
        <w:rPr>
          <w:rFonts w:ascii="Arial" w:eastAsia="Calibri" w:hAnsi="Arial" w:cs="Arial"/>
        </w:rPr>
      </w:pPr>
      <w:r w:rsidRPr="003A2F86">
        <w:rPr>
          <w:rFonts w:ascii="Arial" w:eastAsia="Times New Roman" w:hAnsi="Arial" w:cs="Arial"/>
        </w:rPr>
        <w:t xml:space="preserve">Općinsko vijeće Općine Konavle je u rujnu 2014. donijelo </w:t>
      </w:r>
      <w:r w:rsidRPr="003A2F86">
        <w:rPr>
          <w:rFonts w:ascii="Arial" w:eastAsia="Times New Roman" w:hAnsi="Arial" w:cs="Arial"/>
          <w:b/>
        </w:rPr>
        <w:t>Odluku o sustavu glavne knjige riznice Općine Konavle i načinu vođenja jedinstvenog računa riznice</w:t>
      </w:r>
      <w:r w:rsidRPr="003A2F86">
        <w:rPr>
          <w:rFonts w:ascii="Arial" w:eastAsia="Times New Roman" w:hAnsi="Arial" w:cs="Arial"/>
        </w:rPr>
        <w:t xml:space="preserve"> (Službeni glasnik Općine Konavle broj 7/2014), a odluka se primjenjuje od 1.1.2015.</w:t>
      </w:r>
      <w:r w:rsidRPr="003A2F86">
        <w:rPr>
          <w:rFonts w:ascii="Arial" w:eastAsia="Calibri" w:hAnsi="Arial" w:cs="Arial"/>
        </w:rPr>
        <w:t xml:space="preserve"> </w:t>
      </w:r>
    </w:p>
    <w:p w14:paraId="50FA4DEB" w14:textId="77777777" w:rsidR="00793F4F" w:rsidRPr="003A2F86" w:rsidRDefault="00793F4F" w:rsidP="00793F4F">
      <w:pPr>
        <w:autoSpaceDE w:val="0"/>
        <w:autoSpaceDN w:val="0"/>
        <w:adjustRightInd w:val="0"/>
        <w:spacing w:after="0" w:line="240" w:lineRule="auto"/>
        <w:jc w:val="both"/>
        <w:rPr>
          <w:rFonts w:ascii="Arial" w:eastAsia="Times New Roman" w:hAnsi="Arial" w:cs="Arial"/>
        </w:rPr>
      </w:pPr>
    </w:p>
    <w:p w14:paraId="2D8C0EDB" w14:textId="5D6FC8AE" w:rsidR="00793F4F" w:rsidRPr="003A2F86" w:rsidRDefault="00793F4F" w:rsidP="00793F4F">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 xml:space="preserve">U sljedećoj tablici daje se prikaz sveukupnog stanja novčanih sredstava, te podjela na sredstva Općine Konavle i sredstva proračunskih korisnika koja su iskazana unutar jedinstvenog žiro računa općinske riznice. Proračunski korisnici su u sustavu općinske riznice i nemaju svoje žiro račune, ali se u tablici koja slijedi odvojeno prikazuje iznos novčanih sredstava koja Općina Konavle u poslovnim knjigama iskazuje na </w:t>
      </w:r>
      <w:r w:rsidRPr="00513728">
        <w:rPr>
          <w:rFonts w:ascii="Arial" w:eastAsia="Times New Roman" w:hAnsi="Arial" w:cs="Arial"/>
          <w:b/>
          <w:bCs/>
        </w:rPr>
        <w:t>računu računskog plana</w:t>
      </w:r>
      <w:r w:rsidR="00FF3335">
        <w:rPr>
          <w:rFonts w:ascii="Arial" w:eastAsia="Times New Roman" w:hAnsi="Arial" w:cs="Arial"/>
          <w:b/>
          <w:bCs/>
        </w:rPr>
        <w:t xml:space="preserve"> 27411</w:t>
      </w:r>
      <w:r w:rsidRPr="00513728">
        <w:rPr>
          <w:rFonts w:ascii="Arial" w:eastAsia="Times New Roman" w:hAnsi="Arial" w:cs="Arial"/>
          <w:b/>
          <w:bCs/>
        </w:rPr>
        <w:t xml:space="preserve"> </w:t>
      </w:r>
      <w:r w:rsidRPr="003A2F86">
        <w:rPr>
          <w:rFonts w:ascii="Arial" w:eastAsia="Times New Roman" w:hAnsi="Arial" w:cs="Arial"/>
        </w:rPr>
        <w:t>Obveze proračuna za naplaćene prihode proračunskih korisnika</w:t>
      </w:r>
      <w:r w:rsidR="00513728">
        <w:rPr>
          <w:rFonts w:ascii="Arial" w:eastAsia="Times New Roman" w:hAnsi="Arial" w:cs="Arial"/>
        </w:rPr>
        <w:t xml:space="preserve"> </w:t>
      </w:r>
      <w:r w:rsidR="00513728" w:rsidRPr="00513728">
        <w:rPr>
          <w:rFonts w:ascii="Arial" w:eastAsia="Times New Roman" w:hAnsi="Arial" w:cs="Arial"/>
          <w:b/>
          <w:bCs/>
        </w:rPr>
        <w:t xml:space="preserve">(odnosno račun </w:t>
      </w:r>
      <w:r w:rsidR="00FF3335">
        <w:rPr>
          <w:rFonts w:ascii="Arial" w:eastAsia="Times New Roman" w:hAnsi="Arial" w:cs="Arial"/>
          <w:b/>
          <w:bCs/>
        </w:rPr>
        <w:t>23956</w:t>
      </w:r>
      <w:r w:rsidR="00513728" w:rsidRPr="00513728">
        <w:rPr>
          <w:rFonts w:ascii="Arial" w:eastAsia="Times New Roman" w:hAnsi="Arial" w:cs="Arial"/>
          <w:b/>
          <w:bCs/>
        </w:rPr>
        <w:t xml:space="preserve"> </w:t>
      </w:r>
      <w:r w:rsidR="00FF3335">
        <w:rPr>
          <w:rFonts w:ascii="Arial" w:eastAsia="Times New Roman" w:hAnsi="Arial" w:cs="Arial"/>
          <w:b/>
          <w:bCs/>
        </w:rPr>
        <w:t>do</w:t>
      </w:r>
      <w:r w:rsidR="00513728" w:rsidRPr="00513728">
        <w:rPr>
          <w:rFonts w:ascii="Arial" w:eastAsia="Times New Roman" w:hAnsi="Arial" w:cs="Arial"/>
          <w:b/>
          <w:bCs/>
        </w:rPr>
        <w:t xml:space="preserve"> </w:t>
      </w:r>
      <w:r w:rsidR="00FF3335">
        <w:rPr>
          <w:rFonts w:ascii="Arial" w:eastAsia="Times New Roman" w:hAnsi="Arial" w:cs="Arial"/>
          <w:b/>
          <w:bCs/>
        </w:rPr>
        <w:t>31.12.2024.</w:t>
      </w:r>
      <w:r w:rsidR="00513728" w:rsidRPr="00513728">
        <w:rPr>
          <w:rFonts w:ascii="Arial" w:eastAsia="Times New Roman" w:hAnsi="Arial" w:cs="Arial"/>
          <w:b/>
          <w:bCs/>
        </w:rPr>
        <w:t xml:space="preserve"> godine)</w:t>
      </w:r>
      <w:r w:rsidRPr="003A2F86">
        <w:rPr>
          <w:rFonts w:ascii="Arial" w:eastAsia="Times New Roman" w:hAnsi="Arial" w:cs="Arial"/>
        </w:rPr>
        <w:t>, a proračunski korisnici u svojim poslovnim knjigama na računu računskog plana 16721 Potraživanja proračunskih korisnika za sredstva uplaćena u nadležni proračun.</w:t>
      </w:r>
    </w:p>
    <w:p w14:paraId="7122C345" w14:textId="77777777" w:rsidR="00793F4F" w:rsidRPr="003A2F86" w:rsidRDefault="00793F4F" w:rsidP="00793F4F">
      <w:pPr>
        <w:spacing w:after="0" w:line="240" w:lineRule="auto"/>
        <w:jc w:val="both"/>
        <w:rPr>
          <w:rFonts w:ascii="Arial" w:eastAsia="Calibri" w:hAnsi="Arial" w:cs="Arial"/>
        </w:rPr>
      </w:pPr>
    </w:p>
    <w:p w14:paraId="5DAA147E" w14:textId="17253D7A" w:rsidR="00793F4F" w:rsidRPr="003A2F86" w:rsidRDefault="00793F4F" w:rsidP="00793F4F">
      <w:pPr>
        <w:pStyle w:val="Opisslike"/>
        <w:keepNext/>
        <w:jc w:val="both"/>
      </w:pPr>
      <w:bookmarkStart w:id="305" w:name="_Toc232981543"/>
      <w:r w:rsidRPr="003A2F86">
        <w:rPr>
          <w:color w:val="FF0000"/>
        </w:rPr>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24</w:t>
      </w:r>
      <w:r w:rsidRPr="003A2F86">
        <w:rPr>
          <w:color w:val="FF0000"/>
        </w:rPr>
        <w:fldChar w:fldCharType="end"/>
      </w:r>
      <w:r w:rsidRPr="003A2F86">
        <w:rPr>
          <w:color w:val="FF0000"/>
        </w:rPr>
        <w:t xml:space="preserve">.: </w:t>
      </w:r>
      <w:r w:rsidRPr="003A2F86">
        <w:rPr>
          <w:rFonts w:ascii="Arial" w:hAnsi="Arial" w:cs="Arial"/>
        </w:rPr>
        <w:t>Stanje novčanih sredstava</w:t>
      </w:r>
      <w:r w:rsidR="00EC0112" w:rsidRPr="003A2F86">
        <w:rPr>
          <w:rFonts w:ascii="Arial" w:hAnsi="Arial" w:cs="Arial"/>
        </w:rPr>
        <w:t xml:space="preserve"> na dan </w:t>
      </w:r>
      <w:r w:rsidR="00C207EB">
        <w:rPr>
          <w:rFonts w:ascii="Arial" w:hAnsi="Arial" w:cs="Arial"/>
        </w:rPr>
        <w:t>31.12</w:t>
      </w:r>
      <w:r w:rsidR="00FF3335">
        <w:rPr>
          <w:rFonts w:ascii="Arial" w:hAnsi="Arial" w:cs="Arial"/>
        </w:rPr>
        <w:t>.2025</w:t>
      </w:r>
      <w:r w:rsidR="00EC0112" w:rsidRPr="003A2F86">
        <w:rPr>
          <w:rFonts w:ascii="Arial" w:hAnsi="Arial" w:cs="Arial"/>
        </w:rPr>
        <w:t>.</w:t>
      </w:r>
      <w:bookmarkEnd w:id="305"/>
    </w:p>
    <w:p w14:paraId="60E10B4D" w14:textId="77777777" w:rsidR="00793F4F" w:rsidRPr="003A2F86" w:rsidRDefault="00793F4F" w:rsidP="00793F4F">
      <w:pPr>
        <w:spacing w:after="0" w:line="240" w:lineRule="auto"/>
        <w:jc w:val="both"/>
        <w:rPr>
          <w:rFonts w:ascii="Arial" w:eastAsia="Calibri" w:hAnsi="Arial" w:cs="Arial"/>
        </w:rPr>
      </w:pPr>
    </w:p>
    <w:tbl>
      <w:tblPr>
        <w:tblW w:w="9920" w:type="dxa"/>
        <w:jc w:val="center"/>
        <w:tblLook w:val="04A0" w:firstRow="1" w:lastRow="0" w:firstColumn="1" w:lastColumn="0" w:noHBand="0" w:noVBand="1"/>
      </w:tblPr>
      <w:tblGrid>
        <w:gridCol w:w="1360"/>
        <w:gridCol w:w="4360"/>
        <w:gridCol w:w="2100"/>
        <w:gridCol w:w="2100"/>
      </w:tblGrid>
      <w:tr w:rsidR="00C207EB" w:rsidRPr="003A2F86" w14:paraId="0166AAC3" w14:textId="77777777" w:rsidTr="00480574">
        <w:trPr>
          <w:trHeight w:val="300"/>
          <w:jc w:val="center"/>
        </w:trPr>
        <w:tc>
          <w:tcPr>
            <w:tcW w:w="1360" w:type="dxa"/>
            <w:tcBorders>
              <w:top w:val="single" w:sz="8" w:space="0" w:color="auto"/>
              <w:left w:val="single" w:sz="8" w:space="0" w:color="auto"/>
              <w:bottom w:val="single" w:sz="8" w:space="0" w:color="auto"/>
              <w:right w:val="single" w:sz="8" w:space="0" w:color="auto"/>
            </w:tcBorders>
            <w:vAlign w:val="center"/>
            <w:hideMark/>
          </w:tcPr>
          <w:p w14:paraId="347B6788" w14:textId="249ABAA1" w:rsidR="00C207EB" w:rsidRPr="003A2F86" w:rsidRDefault="00C207EB" w:rsidP="00C207EB">
            <w:pPr>
              <w:spacing w:after="0" w:line="240" w:lineRule="auto"/>
              <w:jc w:val="center"/>
              <w:rPr>
                <w:rFonts w:ascii="Arial" w:eastAsia="Times New Roman" w:hAnsi="Arial" w:cs="Arial"/>
                <w:b/>
                <w:bCs/>
                <w:color w:val="000000"/>
                <w:sz w:val="20"/>
                <w:szCs w:val="20"/>
              </w:rPr>
            </w:pPr>
            <w:r>
              <w:rPr>
                <w:rFonts w:ascii="Arial" w:hAnsi="Arial" w:cs="Arial"/>
                <w:b/>
                <w:bCs/>
                <w:color w:val="000000"/>
                <w:sz w:val="20"/>
                <w:szCs w:val="20"/>
              </w:rPr>
              <w:t>R. br.</w:t>
            </w:r>
          </w:p>
        </w:tc>
        <w:tc>
          <w:tcPr>
            <w:tcW w:w="4360" w:type="dxa"/>
            <w:tcBorders>
              <w:top w:val="single" w:sz="8" w:space="0" w:color="auto"/>
              <w:left w:val="nil"/>
              <w:bottom w:val="single" w:sz="8" w:space="0" w:color="auto"/>
              <w:right w:val="single" w:sz="8" w:space="0" w:color="auto"/>
            </w:tcBorders>
            <w:vAlign w:val="center"/>
            <w:hideMark/>
          </w:tcPr>
          <w:p w14:paraId="7D3FAF15" w14:textId="2DDDA477" w:rsidR="00C207EB" w:rsidRPr="003A2F86" w:rsidRDefault="00C207EB" w:rsidP="00C207EB">
            <w:pPr>
              <w:spacing w:after="0" w:line="240" w:lineRule="auto"/>
              <w:jc w:val="center"/>
              <w:rPr>
                <w:rFonts w:ascii="Arial" w:eastAsia="Times New Roman" w:hAnsi="Arial" w:cs="Arial"/>
                <w:b/>
                <w:bCs/>
                <w:color w:val="000000"/>
                <w:sz w:val="20"/>
                <w:szCs w:val="20"/>
              </w:rPr>
            </w:pPr>
            <w:r>
              <w:rPr>
                <w:rFonts w:ascii="Arial" w:hAnsi="Arial" w:cs="Arial"/>
                <w:b/>
                <w:bCs/>
                <w:color w:val="000000"/>
                <w:sz w:val="20"/>
                <w:szCs w:val="20"/>
              </w:rPr>
              <w:t>Naziv korisnika</w:t>
            </w:r>
          </w:p>
        </w:tc>
        <w:tc>
          <w:tcPr>
            <w:tcW w:w="2100" w:type="dxa"/>
            <w:tcBorders>
              <w:top w:val="single" w:sz="8" w:space="0" w:color="auto"/>
              <w:left w:val="nil"/>
              <w:bottom w:val="single" w:sz="8" w:space="0" w:color="auto"/>
              <w:right w:val="single" w:sz="8" w:space="0" w:color="auto"/>
            </w:tcBorders>
            <w:vAlign w:val="center"/>
          </w:tcPr>
          <w:p w14:paraId="31271A40" w14:textId="00B3E478" w:rsidR="00C207EB" w:rsidRPr="003A2F86" w:rsidRDefault="00C207EB" w:rsidP="00C207EB">
            <w:pPr>
              <w:spacing w:after="0" w:line="240" w:lineRule="auto"/>
              <w:jc w:val="center"/>
              <w:rPr>
                <w:rFonts w:ascii="Arial" w:eastAsia="Times New Roman" w:hAnsi="Arial" w:cs="Arial"/>
                <w:b/>
                <w:bCs/>
                <w:color w:val="000000"/>
                <w:sz w:val="20"/>
                <w:szCs w:val="20"/>
              </w:rPr>
            </w:pPr>
            <w:r>
              <w:rPr>
                <w:rFonts w:ascii="Arial" w:hAnsi="Arial" w:cs="Arial"/>
                <w:b/>
                <w:bCs/>
                <w:color w:val="000000"/>
                <w:sz w:val="20"/>
                <w:szCs w:val="20"/>
              </w:rPr>
              <w:t>Stanje 1.1.2025. (€)</w:t>
            </w:r>
          </w:p>
        </w:tc>
        <w:tc>
          <w:tcPr>
            <w:tcW w:w="2100" w:type="dxa"/>
            <w:tcBorders>
              <w:top w:val="single" w:sz="8" w:space="0" w:color="auto"/>
              <w:left w:val="nil"/>
              <w:bottom w:val="single" w:sz="8" w:space="0" w:color="auto"/>
              <w:right w:val="single" w:sz="8" w:space="0" w:color="auto"/>
            </w:tcBorders>
            <w:vAlign w:val="center"/>
            <w:hideMark/>
          </w:tcPr>
          <w:p w14:paraId="0F2CC14D" w14:textId="7D39AA44" w:rsidR="00C207EB" w:rsidRPr="003A2F86" w:rsidRDefault="00C207EB" w:rsidP="00C207EB">
            <w:pPr>
              <w:spacing w:after="0" w:line="240" w:lineRule="auto"/>
              <w:jc w:val="center"/>
              <w:rPr>
                <w:rFonts w:ascii="Arial" w:eastAsia="Times New Roman" w:hAnsi="Arial" w:cs="Arial"/>
                <w:b/>
                <w:bCs/>
                <w:color w:val="000000"/>
                <w:sz w:val="20"/>
                <w:szCs w:val="20"/>
              </w:rPr>
            </w:pPr>
            <w:r>
              <w:rPr>
                <w:rFonts w:ascii="Arial" w:hAnsi="Arial" w:cs="Arial"/>
                <w:b/>
                <w:bCs/>
                <w:color w:val="000000"/>
                <w:sz w:val="20"/>
                <w:szCs w:val="20"/>
              </w:rPr>
              <w:t>Stanje 31.12.2025. (€)</w:t>
            </w:r>
          </w:p>
        </w:tc>
      </w:tr>
      <w:tr w:rsidR="00C207EB" w:rsidRPr="003A2F86" w14:paraId="7725AF88" w14:textId="77777777" w:rsidTr="00480574">
        <w:trPr>
          <w:trHeight w:val="165"/>
          <w:jc w:val="center"/>
        </w:trPr>
        <w:tc>
          <w:tcPr>
            <w:tcW w:w="1360" w:type="dxa"/>
            <w:tcBorders>
              <w:top w:val="nil"/>
              <w:left w:val="single" w:sz="8" w:space="0" w:color="auto"/>
              <w:bottom w:val="single" w:sz="8" w:space="0" w:color="auto"/>
              <w:right w:val="single" w:sz="8" w:space="0" w:color="auto"/>
            </w:tcBorders>
            <w:vAlign w:val="center"/>
            <w:hideMark/>
          </w:tcPr>
          <w:p w14:paraId="5AB1A6AC" w14:textId="1FC221B4" w:rsidR="00C207EB" w:rsidRPr="003A2F86" w:rsidRDefault="00C207EB" w:rsidP="00C207EB">
            <w:pPr>
              <w:spacing w:after="0" w:line="240" w:lineRule="auto"/>
              <w:jc w:val="center"/>
              <w:rPr>
                <w:rFonts w:ascii="Arial" w:eastAsia="Times New Roman" w:hAnsi="Arial" w:cs="Arial"/>
                <w:color w:val="000000"/>
                <w:sz w:val="14"/>
                <w:szCs w:val="14"/>
              </w:rPr>
            </w:pPr>
            <w:r>
              <w:rPr>
                <w:rFonts w:ascii="Arial" w:hAnsi="Arial" w:cs="Arial"/>
                <w:color w:val="000000"/>
                <w:sz w:val="14"/>
                <w:szCs w:val="14"/>
              </w:rPr>
              <w:t>1</w:t>
            </w:r>
          </w:p>
        </w:tc>
        <w:tc>
          <w:tcPr>
            <w:tcW w:w="4360" w:type="dxa"/>
            <w:tcBorders>
              <w:top w:val="nil"/>
              <w:left w:val="nil"/>
              <w:bottom w:val="single" w:sz="8" w:space="0" w:color="auto"/>
              <w:right w:val="single" w:sz="8" w:space="0" w:color="auto"/>
            </w:tcBorders>
            <w:vAlign w:val="center"/>
            <w:hideMark/>
          </w:tcPr>
          <w:p w14:paraId="6C53F84A" w14:textId="3E1C0D7C" w:rsidR="00C207EB" w:rsidRPr="003A2F86" w:rsidRDefault="00C207EB" w:rsidP="00C207EB">
            <w:pPr>
              <w:spacing w:after="0" w:line="240" w:lineRule="auto"/>
              <w:jc w:val="center"/>
              <w:rPr>
                <w:rFonts w:ascii="Arial" w:eastAsia="Times New Roman" w:hAnsi="Arial" w:cs="Arial"/>
                <w:color w:val="000000"/>
                <w:sz w:val="14"/>
                <w:szCs w:val="14"/>
              </w:rPr>
            </w:pPr>
            <w:r>
              <w:rPr>
                <w:rFonts w:ascii="Arial" w:hAnsi="Arial" w:cs="Arial"/>
                <w:color w:val="000000"/>
                <w:sz w:val="14"/>
                <w:szCs w:val="14"/>
              </w:rPr>
              <w:t>2</w:t>
            </w:r>
          </w:p>
        </w:tc>
        <w:tc>
          <w:tcPr>
            <w:tcW w:w="2100" w:type="dxa"/>
            <w:tcBorders>
              <w:top w:val="nil"/>
              <w:left w:val="nil"/>
              <w:bottom w:val="single" w:sz="8" w:space="0" w:color="auto"/>
              <w:right w:val="single" w:sz="8" w:space="0" w:color="auto"/>
            </w:tcBorders>
            <w:vAlign w:val="center"/>
          </w:tcPr>
          <w:p w14:paraId="1F95A10D" w14:textId="49A76281" w:rsidR="00C207EB" w:rsidRPr="003A2F86" w:rsidRDefault="00C207EB" w:rsidP="00C207EB">
            <w:pPr>
              <w:spacing w:after="0" w:line="240" w:lineRule="auto"/>
              <w:jc w:val="center"/>
              <w:rPr>
                <w:rFonts w:ascii="Arial" w:eastAsia="Times New Roman" w:hAnsi="Arial" w:cs="Arial"/>
                <w:color w:val="000000"/>
                <w:sz w:val="14"/>
                <w:szCs w:val="14"/>
              </w:rPr>
            </w:pPr>
            <w:r>
              <w:rPr>
                <w:rFonts w:ascii="Arial" w:hAnsi="Arial" w:cs="Arial"/>
                <w:color w:val="000000"/>
                <w:sz w:val="14"/>
                <w:szCs w:val="14"/>
              </w:rPr>
              <w:t>4</w:t>
            </w:r>
          </w:p>
        </w:tc>
        <w:tc>
          <w:tcPr>
            <w:tcW w:w="2100" w:type="dxa"/>
            <w:tcBorders>
              <w:top w:val="nil"/>
              <w:left w:val="nil"/>
              <w:bottom w:val="single" w:sz="8" w:space="0" w:color="auto"/>
              <w:right w:val="single" w:sz="8" w:space="0" w:color="auto"/>
            </w:tcBorders>
            <w:vAlign w:val="center"/>
            <w:hideMark/>
          </w:tcPr>
          <w:p w14:paraId="6C691216" w14:textId="40BD86B8" w:rsidR="00C207EB" w:rsidRPr="003A2F86" w:rsidRDefault="00C207EB" w:rsidP="00C207EB">
            <w:pPr>
              <w:spacing w:after="0" w:line="240" w:lineRule="auto"/>
              <w:jc w:val="center"/>
              <w:rPr>
                <w:rFonts w:ascii="Arial" w:eastAsia="Times New Roman" w:hAnsi="Arial" w:cs="Arial"/>
                <w:color w:val="000000"/>
                <w:sz w:val="14"/>
                <w:szCs w:val="14"/>
              </w:rPr>
            </w:pPr>
            <w:r>
              <w:rPr>
                <w:rFonts w:ascii="Arial" w:hAnsi="Arial" w:cs="Arial"/>
                <w:color w:val="000000"/>
                <w:sz w:val="14"/>
                <w:szCs w:val="14"/>
              </w:rPr>
              <w:t>4</w:t>
            </w:r>
          </w:p>
        </w:tc>
      </w:tr>
      <w:tr w:rsidR="00C207EB" w:rsidRPr="003A2F86" w14:paraId="09ABB82D" w14:textId="77777777" w:rsidTr="00480574">
        <w:trPr>
          <w:trHeight w:val="300"/>
          <w:jc w:val="center"/>
        </w:trPr>
        <w:tc>
          <w:tcPr>
            <w:tcW w:w="1360" w:type="dxa"/>
            <w:tcBorders>
              <w:top w:val="nil"/>
              <w:left w:val="single" w:sz="8" w:space="0" w:color="auto"/>
              <w:bottom w:val="single" w:sz="8" w:space="0" w:color="auto"/>
              <w:right w:val="single" w:sz="8" w:space="0" w:color="auto"/>
            </w:tcBorders>
            <w:vAlign w:val="center"/>
            <w:hideMark/>
          </w:tcPr>
          <w:p w14:paraId="7BCBF86D" w14:textId="356C284C" w:rsidR="00C207EB" w:rsidRPr="003A2F86" w:rsidRDefault="00C207EB" w:rsidP="00C207EB">
            <w:pPr>
              <w:spacing w:after="0" w:line="240" w:lineRule="auto"/>
              <w:jc w:val="center"/>
              <w:rPr>
                <w:rFonts w:ascii="Calibri" w:eastAsia="Times New Roman" w:hAnsi="Calibri" w:cs="Calibri"/>
                <w:b/>
                <w:bCs/>
                <w:color w:val="000000"/>
                <w:sz w:val="18"/>
                <w:szCs w:val="18"/>
              </w:rPr>
            </w:pPr>
            <w:r>
              <w:rPr>
                <w:rFonts w:ascii="Calibri" w:hAnsi="Calibri" w:cs="Calibri"/>
                <w:b/>
                <w:bCs/>
                <w:color w:val="000000"/>
                <w:sz w:val="18"/>
                <w:szCs w:val="18"/>
              </w:rPr>
              <w:t xml:space="preserve">1 (1.a. +1.b. ) </w:t>
            </w:r>
          </w:p>
        </w:tc>
        <w:tc>
          <w:tcPr>
            <w:tcW w:w="4360" w:type="dxa"/>
            <w:tcBorders>
              <w:top w:val="nil"/>
              <w:left w:val="nil"/>
              <w:bottom w:val="single" w:sz="8" w:space="0" w:color="auto"/>
              <w:right w:val="single" w:sz="8" w:space="0" w:color="auto"/>
            </w:tcBorders>
            <w:vAlign w:val="center"/>
            <w:hideMark/>
          </w:tcPr>
          <w:p w14:paraId="5B066FE6" w14:textId="2D0C39DE" w:rsidR="00C207EB" w:rsidRPr="003A2F86" w:rsidRDefault="00C207EB" w:rsidP="00C207EB">
            <w:pPr>
              <w:spacing w:after="0" w:line="240" w:lineRule="auto"/>
              <w:jc w:val="center"/>
              <w:rPr>
                <w:rFonts w:ascii="Calibri" w:eastAsia="Times New Roman" w:hAnsi="Calibri" w:cs="Calibri"/>
                <w:b/>
                <w:bCs/>
                <w:i/>
                <w:iCs/>
                <w:color w:val="E36C0A"/>
              </w:rPr>
            </w:pPr>
            <w:r>
              <w:rPr>
                <w:rFonts w:ascii="Calibri" w:hAnsi="Calibri" w:cs="Calibri"/>
                <w:b/>
                <w:bCs/>
                <w:i/>
                <w:iCs/>
                <w:color w:val="E36C0A"/>
              </w:rPr>
              <w:t>Novčana sredstva u banci</w:t>
            </w:r>
          </w:p>
        </w:tc>
        <w:tc>
          <w:tcPr>
            <w:tcW w:w="2100" w:type="dxa"/>
            <w:tcBorders>
              <w:top w:val="nil"/>
              <w:left w:val="nil"/>
              <w:bottom w:val="single" w:sz="8" w:space="0" w:color="auto"/>
              <w:right w:val="single" w:sz="8" w:space="0" w:color="auto"/>
            </w:tcBorders>
            <w:vAlign w:val="center"/>
          </w:tcPr>
          <w:p w14:paraId="02AA8771" w14:textId="3DA383DC" w:rsidR="00C207EB" w:rsidRPr="003A2F86" w:rsidRDefault="00C207EB" w:rsidP="00C207EB">
            <w:pPr>
              <w:spacing w:after="0" w:line="240" w:lineRule="auto"/>
              <w:jc w:val="right"/>
              <w:rPr>
                <w:rFonts w:ascii="Calibri" w:eastAsia="Times New Roman" w:hAnsi="Calibri" w:cs="Calibri"/>
                <w:b/>
                <w:bCs/>
                <w:color w:val="C65911"/>
              </w:rPr>
            </w:pPr>
            <w:r>
              <w:rPr>
                <w:rFonts w:ascii="Calibri" w:hAnsi="Calibri" w:cs="Calibri"/>
                <w:b/>
                <w:bCs/>
                <w:color w:val="C65911"/>
              </w:rPr>
              <w:t>3.498.738,06</w:t>
            </w:r>
          </w:p>
        </w:tc>
        <w:tc>
          <w:tcPr>
            <w:tcW w:w="2100" w:type="dxa"/>
            <w:tcBorders>
              <w:top w:val="nil"/>
              <w:left w:val="nil"/>
              <w:bottom w:val="single" w:sz="8" w:space="0" w:color="auto"/>
              <w:right w:val="single" w:sz="8" w:space="0" w:color="auto"/>
            </w:tcBorders>
            <w:noWrap/>
            <w:vAlign w:val="center"/>
            <w:hideMark/>
          </w:tcPr>
          <w:p w14:paraId="20FF9F9A" w14:textId="2277CC4E" w:rsidR="00C207EB" w:rsidRPr="003A2F86" w:rsidRDefault="00C207EB" w:rsidP="00C207EB">
            <w:pPr>
              <w:spacing w:after="0" w:line="240" w:lineRule="auto"/>
              <w:jc w:val="right"/>
              <w:rPr>
                <w:rFonts w:ascii="Calibri" w:eastAsia="Times New Roman" w:hAnsi="Calibri" w:cs="Calibri"/>
                <w:b/>
                <w:bCs/>
                <w:color w:val="C65911"/>
              </w:rPr>
            </w:pPr>
            <w:r>
              <w:rPr>
                <w:rFonts w:ascii="Calibri" w:hAnsi="Calibri" w:cs="Calibri"/>
                <w:b/>
                <w:bCs/>
                <w:color w:val="C65911"/>
              </w:rPr>
              <w:t>1.570.200,05</w:t>
            </w:r>
          </w:p>
        </w:tc>
      </w:tr>
      <w:tr w:rsidR="00C207EB" w:rsidRPr="003A2F86" w14:paraId="0E3E596F" w14:textId="77777777" w:rsidTr="00480574">
        <w:trPr>
          <w:trHeight w:val="300"/>
          <w:jc w:val="center"/>
        </w:trPr>
        <w:tc>
          <w:tcPr>
            <w:tcW w:w="1360" w:type="dxa"/>
            <w:tcBorders>
              <w:top w:val="nil"/>
              <w:left w:val="single" w:sz="8" w:space="0" w:color="auto"/>
              <w:bottom w:val="single" w:sz="8" w:space="0" w:color="auto"/>
              <w:right w:val="single" w:sz="8" w:space="0" w:color="auto"/>
            </w:tcBorders>
            <w:vAlign w:val="center"/>
            <w:hideMark/>
          </w:tcPr>
          <w:p w14:paraId="1BC54C99" w14:textId="4C2DA924" w:rsidR="00C207EB" w:rsidRPr="003A2F86" w:rsidRDefault="00C207EB" w:rsidP="00C207EB">
            <w:pPr>
              <w:spacing w:after="0" w:line="240" w:lineRule="auto"/>
              <w:jc w:val="center"/>
              <w:rPr>
                <w:rFonts w:ascii="Calibri" w:eastAsia="Times New Roman" w:hAnsi="Calibri" w:cs="Calibri"/>
                <w:b/>
                <w:bCs/>
                <w:color w:val="000000"/>
              </w:rPr>
            </w:pPr>
            <w:r>
              <w:rPr>
                <w:rFonts w:ascii="Calibri" w:hAnsi="Calibri" w:cs="Calibri"/>
                <w:b/>
                <w:bCs/>
                <w:color w:val="000000"/>
              </w:rPr>
              <w:t>1.a.</w:t>
            </w:r>
          </w:p>
        </w:tc>
        <w:tc>
          <w:tcPr>
            <w:tcW w:w="4360" w:type="dxa"/>
            <w:tcBorders>
              <w:top w:val="nil"/>
              <w:left w:val="nil"/>
              <w:bottom w:val="single" w:sz="8" w:space="0" w:color="auto"/>
              <w:right w:val="single" w:sz="8" w:space="0" w:color="auto"/>
            </w:tcBorders>
            <w:vAlign w:val="center"/>
            <w:hideMark/>
          </w:tcPr>
          <w:p w14:paraId="7B185089" w14:textId="43F0B10B" w:rsidR="00C207EB" w:rsidRPr="003A2F86" w:rsidRDefault="00C207EB" w:rsidP="00C207EB">
            <w:pPr>
              <w:spacing w:after="0" w:line="240" w:lineRule="auto"/>
              <w:rPr>
                <w:rFonts w:ascii="Calibri" w:eastAsia="Times New Roman" w:hAnsi="Calibri" w:cs="Calibri"/>
                <w:i/>
                <w:iCs/>
                <w:color w:val="000000"/>
              </w:rPr>
            </w:pPr>
            <w:r>
              <w:rPr>
                <w:rFonts w:ascii="Calibri" w:hAnsi="Calibri" w:cs="Calibri"/>
                <w:i/>
                <w:iCs/>
                <w:color w:val="000000"/>
              </w:rPr>
              <w:t>Općina Konavle</w:t>
            </w:r>
          </w:p>
        </w:tc>
        <w:tc>
          <w:tcPr>
            <w:tcW w:w="2100" w:type="dxa"/>
            <w:tcBorders>
              <w:top w:val="nil"/>
              <w:left w:val="nil"/>
              <w:bottom w:val="single" w:sz="8" w:space="0" w:color="auto"/>
              <w:right w:val="single" w:sz="8" w:space="0" w:color="auto"/>
            </w:tcBorders>
            <w:vAlign w:val="center"/>
          </w:tcPr>
          <w:p w14:paraId="0F523ECF" w14:textId="2D3B5EB6" w:rsidR="00C207EB" w:rsidRPr="003A2F86" w:rsidRDefault="00C207EB" w:rsidP="00C207EB">
            <w:pPr>
              <w:spacing w:after="0" w:line="240" w:lineRule="auto"/>
              <w:jc w:val="right"/>
              <w:rPr>
                <w:rFonts w:ascii="Calibri" w:eastAsia="Times New Roman" w:hAnsi="Calibri" w:cs="Calibri"/>
                <w:i/>
                <w:iCs/>
                <w:color w:val="000000"/>
              </w:rPr>
            </w:pPr>
            <w:r>
              <w:rPr>
                <w:rFonts w:ascii="Calibri" w:hAnsi="Calibri" w:cs="Calibri"/>
                <w:i/>
                <w:iCs/>
                <w:color w:val="000000"/>
              </w:rPr>
              <w:t>3.312.081,26</w:t>
            </w:r>
          </w:p>
        </w:tc>
        <w:tc>
          <w:tcPr>
            <w:tcW w:w="2100" w:type="dxa"/>
            <w:tcBorders>
              <w:top w:val="nil"/>
              <w:left w:val="nil"/>
              <w:bottom w:val="single" w:sz="8" w:space="0" w:color="auto"/>
              <w:right w:val="single" w:sz="8" w:space="0" w:color="auto"/>
            </w:tcBorders>
            <w:noWrap/>
            <w:vAlign w:val="center"/>
            <w:hideMark/>
          </w:tcPr>
          <w:p w14:paraId="6ED6987E" w14:textId="674A9AB5" w:rsidR="00C207EB" w:rsidRPr="003A2F86" w:rsidRDefault="00C207EB" w:rsidP="00C207EB">
            <w:pPr>
              <w:spacing w:after="0" w:line="240" w:lineRule="auto"/>
              <w:jc w:val="right"/>
              <w:rPr>
                <w:rFonts w:ascii="Calibri" w:eastAsia="Times New Roman" w:hAnsi="Calibri" w:cs="Calibri"/>
                <w:i/>
                <w:iCs/>
                <w:color w:val="000000"/>
              </w:rPr>
            </w:pPr>
            <w:r>
              <w:rPr>
                <w:rFonts w:ascii="Calibri" w:hAnsi="Calibri" w:cs="Calibri"/>
                <w:i/>
                <w:iCs/>
                <w:color w:val="000000"/>
              </w:rPr>
              <w:t>1.340.834,46</w:t>
            </w:r>
          </w:p>
        </w:tc>
      </w:tr>
      <w:tr w:rsidR="00C207EB" w:rsidRPr="003A2F86" w14:paraId="53EDF982" w14:textId="77777777" w:rsidTr="00480574">
        <w:trPr>
          <w:trHeight w:val="300"/>
          <w:jc w:val="center"/>
        </w:trPr>
        <w:tc>
          <w:tcPr>
            <w:tcW w:w="1360" w:type="dxa"/>
            <w:tcBorders>
              <w:top w:val="nil"/>
              <w:left w:val="single" w:sz="8" w:space="0" w:color="auto"/>
              <w:bottom w:val="single" w:sz="8" w:space="0" w:color="auto"/>
              <w:right w:val="single" w:sz="8" w:space="0" w:color="auto"/>
            </w:tcBorders>
            <w:vAlign w:val="center"/>
            <w:hideMark/>
          </w:tcPr>
          <w:p w14:paraId="08F9A08A" w14:textId="7FC37FC2" w:rsidR="00C207EB" w:rsidRPr="003A2F86" w:rsidRDefault="00C207EB" w:rsidP="00C207EB">
            <w:pPr>
              <w:spacing w:after="0" w:line="240" w:lineRule="auto"/>
              <w:jc w:val="center"/>
              <w:rPr>
                <w:rFonts w:ascii="Calibri" w:eastAsia="Times New Roman" w:hAnsi="Calibri" w:cs="Calibri"/>
                <w:b/>
                <w:bCs/>
                <w:color w:val="1F497D"/>
              </w:rPr>
            </w:pPr>
            <w:r>
              <w:rPr>
                <w:rFonts w:ascii="Calibri" w:hAnsi="Calibri" w:cs="Calibri"/>
                <w:b/>
                <w:bCs/>
                <w:color w:val="1F497D"/>
              </w:rPr>
              <w:t>1.b.</w:t>
            </w:r>
          </w:p>
        </w:tc>
        <w:tc>
          <w:tcPr>
            <w:tcW w:w="4360" w:type="dxa"/>
            <w:tcBorders>
              <w:top w:val="nil"/>
              <w:left w:val="nil"/>
              <w:bottom w:val="single" w:sz="8" w:space="0" w:color="auto"/>
              <w:right w:val="single" w:sz="8" w:space="0" w:color="auto"/>
            </w:tcBorders>
            <w:vAlign w:val="center"/>
            <w:hideMark/>
          </w:tcPr>
          <w:p w14:paraId="6B907DDC" w14:textId="20798DA6" w:rsidR="00C207EB" w:rsidRPr="003A2F86" w:rsidRDefault="00C207EB" w:rsidP="00C207EB">
            <w:pPr>
              <w:spacing w:after="0" w:line="240" w:lineRule="auto"/>
              <w:rPr>
                <w:rFonts w:ascii="Calibri" w:eastAsia="Times New Roman" w:hAnsi="Calibri" w:cs="Calibri"/>
                <w:i/>
                <w:iCs/>
                <w:color w:val="1F497D"/>
              </w:rPr>
            </w:pPr>
            <w:r>
              <w:rPr>
                <w:rFonts w:ascii="Calibri" w:hAnsi="Calibri" w:cs="Calibri"/>
                <w:i/>
                <w:iCs/>
                <w:color w:val="1F497D"/>
              </w:rPr>
              <w:t>PRORAČUNSKI KORISNICI *</w:t>
            </w:r>
          </w:p>
        </w:tc>
        <w:tc>
          <w:tcPr>
            <w:tcW w:w="2100" w:type="dxa"/>
            <w:tcBorders>
              <w:top w:val="nil"/>
              <w:left w:val="nil"/>
              <w:bottom w:val="single" w:sz="8" w:space="0" w:color="auto"/>
              <w:right w:val="single" w:sz="8" w:space="0" w:color="auto"/>
            </w:tcBorders>
            <w:vAlign w:val="center"/>
          </w:tcPr>
          <w:p w14:paraId="7B26C832" w14:textId="7B068802" w:rsidR="00C207EB" w:rsidRPr="003A2F86" w:rsidRDefault="00C207EB" w:rsidP="00C207EB">
            <w:pPr>
              <w:spacing w:after="0" w:line="240" w:lineRule="auto"/>
              <w:jc w:val="right"/>
              <w:rPr>
                <w:rFonts w:ascii="Calibri" w:eastAsia="Times New Roman" w:hAnsi="Calibri" w:cs="Calibri"/>
                <w:i/>
                <w:iCs/>
                <w:color w:val="1F497D"/>
              </w:rPr>
            </w:pPr>
            <w:r>
              <w:rPr>
                <w:rFonts w:ascii="Calibri" w:hAnsi="Calibri" w:cs="Calibri"/>
                <w:i/>
                <w:iCs/>
                <w:color w:val="1F497D"/>
              </w:rPr>
              <w:t>186.656,80</w:t>
            </w:r>
          </w:p>
        </w:tc>
        <w:tc>
          <w:tcPr>
            <w:tcW w:w="2100" w:type="dxa"/>
            <w:tcBorders>
              <w:top w:val="nil"/>
              <w:left w:val="nil"/>
              <w:bottom w:val="single" w:sz="8" w:space="0" w:color="auto"/>
              <w:right w:val="single" w:sz="8" w:space="0" w:color="auto"/>
            </w:tcBorders>
            <w:noWrap/>
            <w:vAlign w:val="center"/>
            <w:hideMark/>
          </w:tcPr>
          <w:p w14:paraId="213955D0" w14:textId="474F48D1" w:rsidR="00C207EB" w:rsidRPr="003A2F86" w:rsidRDefault="00C207EB" w:rsidP="00C207EB">
            <w:pPr>
              <w:spacing w:after="0" w:line="240" w:lineRule="auto"/>
              <w:jc w:val="right"/>
              <w:rPr>
                <w:rFonts w:ascii="Calibri" w:eastAsia="Times New Roman" w:hAnsi="Calibri" w:cs="Calibri"/>
                <w:i/>
                <w:iCs/>
                <w:color w:val="1F497D"/>
              </w:rPr>
            </w:pPr>
            <w:r>
              <w:rPr>
                <w:rFonts w:ascii="Calibri" w:hAnsi="Calibri" w:cs="Calibri"/>
                <w:i/>
                <w:iCs/>
                <w:color w:val="1F497D"/>
              </w:rPr>
              <w:t>229.365,59</w:t>
            </w:r>
          </w:p>
        </w:tc>
      </w:tr>
      <w:tr w:rsidR="00C207EB" w:rsidRPr="003A2F86" w14:paraId="325F05A5" w14:textId="77777777" w:rsidTr="00480574">
        <w:trPr>
          <w:trHeight w:val="300"/>
          <w:jc w:val="center"/>
        </w:trPr>
        <w:tc>
          <w:tcPr>
            <w:tcW w:w="1360" w:type="dxa"/>
            <w:tcBorders>
              <w:top w:val="nil"/>
              <w:left w:val="single" w:sz="8" w:space="0" w:color="auto"/>
              <w:bottom w:val="single" w:sz="8" w:space="0" w:color="auto"/>
              <w:right w:val="single" w:sz="8" w:space="0" w:color="auto"/>
            </w:tcBorders>
            <w:vAlign w:val="center"/>
            <w:hideMark/>
          </w:tcPr>
          <w:p w14:paraId="6B89D29B" w14:textId="456CBE78" w:rsidR="00C207EB" w:rsidRPr="003A2F86" w:rsidRDefault="00C207EB" w:rsidP="00C207EB">
            <w:pPr>
              <w:spacing w:after="0" w:line="240" w:lineRule="auto"/>
              <w:jc w:val="center"/>
              <w:rPr>
                <w:rFonts w:ascii="Calibri" w:eastAsia="Times New Roman" w:hAnsi="Calibri" w:cs="Calibri"/>
                <w:color w:val="000000"/>
              </w:rPr>
            </w:pPr>
            <w:r>
              <w:rPr>
                <w:rFonts w:ascii="Calibri" w:hAnsi="Calibri" w:cs="Calibri"/>
                <w:color w:val="000000"/>
              </w:rPr>
              <w:t>1.b.1.</w:t>
            </w:r>
          </w:p>
        </w:tc>
        <w:tc>
          <w:tcPr>
            <w:tcW w:w="4360" w:type="dxa"/>
            <w:tcBorders>
              <w:top w:val="nil"/>
              <w:left w:val="nil"/>
              <w:bottom w:val="single" w:sz="8" w:space="0" w:color="auto"/>
              <w:right w:val="single" w:sz="8" w:space="0" w:color="auto"/>
            </w:tcBorders>
            <w:vAlign w:val="center"/>
            <w:hideMark/>
          </w:tcPr>
          <w:p w14:paraId="2161711B" w14:textId="18450417" w:rsidR="00C207EB" w:rsidRPr="003A2F86" w:rsidRDefault="00C207EB" w:rsidP="00C207EB">
            <w:pPr>
              <w:spacing w:after="0" w:line="240" w:lineRule="auto"/>
              <w:rPr>
                <w:rFonts w:ascii="Calibri" w:eastAsia="Times New Roman" w:hAnsi="Calibri" w:cs="Calibri"/>
                <w:color w:val="000000"/>
              </w:rPr>
            </w:pPr>
            <w:r>
              <w:rPr>
                <w:rFonts w:ascii="Calibri" w:hAnsi="Calibri" w:cs="Calibri"/>
                <w:color w:val="000000"/>
              </w:rPr>
              <w:t>Dječji vrtić Konavle</w:t>
            </w:r>
          </w:p>
        </w:tc>
        <w:tc>
          <w:tcPr>
            <w:tcW w:w="2100" w:type="dxa"/>
            <w:tcBorders>
              <w:top w:val="nil"/>
              <w:left w:val="nil"/>
              <w:bottom w:val="single" w:sz="8" w:space="0" w:color="auto"/>
              <w:right w:val="single" w:sz="8" w:space="0" w:color="auto"/>
            </w:tcBorders>
            <w:vAlign w:val="center"/>
          </w:tcPr>
          <w:p w14:paraId="04453964" w14:textId="557DFD19" w:rsidR="00C207EB" w:rsidRPr="003A2F86" w:rsidRDefault="00C207EB" w:rsidP="00C207EB">
            <w:pPr>
              <w:spacing w:after="0" w:line="240" w:lineRule="auto"/>
              <w:jc w:val="right"/>
              <w:rPr>
                <w:rFonts w:ascii="Calibri" w:eastAsia="Times New Roman" w:hAnsi="Calibri" w:cs="Calibri"/>
                <w:color w:val="000000"/>
              </w:rPr>
            </w:pPr>
            <w:r>
              <w:rPr>
                <w:rFonts w:ascii="Calibri" w:hAnsi="Calibri" w:cs="Calibri"/>
                <w:color w:val="000000"/>
              </w:rPr>
              <w:t>46.978,10</w:t>
            </w:r>
          </w:p>
        </w:tc>
        <w:tc>
          <w:tcPr>
            <w:tcW w:w="2100" w:type="dxa"/>
            <w:tcBorders>
              <w:top w:val="nil"/>
              <w:left w:val="nil"/>
              <w:bottom w:val="single" w:sz="8" w:space="0" w:color="auto"/>
              <w:right w:val="single" w:sz="8" w:space="0" w:color="auto"/>
            </w:tcBorders>
            <w:noWrap/>
            <w:vAlign w:val="center"/>
            <w:hideMark/>
          </w:tcPr>
          <w:p w14:paraId="323CE8C2" w14:textId="50DA659C" w:rsidR="00C207EB" w:rsidRPr="003A2F86" w:rsidRDefault="00C207EB" w:rsidP="00C207EB">
            <w:pPr>
              <w:spacing w:after="0" w:line="240" w:lineRule="auto"/>
              <w:jc w:val="right"/>
              <w:rPr>
                <w:rFonts w:ascii="Calibri" w:eastAsia="Times New Roman" w:hAnsi="Calibri" w:cs="Calibri"/>
                <w:color w:val="000000"/>
              </w:rPr>
            </w:pPr>
            <w:r>
              <w:rPr>
                <w:rFonts w:ascii="Calibri" w:hAnsi="Calibri" w:cs="Calibri"/>
                <w:color w:val="000000"/>
              </w:rPr>
              <w:t>85.165,00</w:t>
            </w:r>
          </w:p>
        </w:tc>
      </w:tr>
      <w:tr w:rsidR="00C207EB" w:rsidRPr="003A2F86" w14:paraId="00317D58" w14:textId="77777777" w:rsidTr="00480574">
        <w:trPr>
          <w:trHeight w:val="300"/>
          <w:jc w:val="center"/>
        </w:trPr>
        <w:tc>
          <w:tcPr>
            <w:tcW w:w="1360" w:type="dxa"/>
            <w:tcBorders>
              <w:top w:val="nil"/>
              <w:left w:val="single" w:sz="8" w:space="0" w:color="auto"/>
              <w:bottom w:val="single" w:sz="8" w:space="0" w:color="auto"/>
              <w:right w:val="single" w:sz="8" w:space="0" w:color="auto"/>
            </w:tcBorders>
            <w:vAlign w:val="center"/>
            <w:hideMark/>
          </w:tcPr>
          <w:p w14:paraId="02684E15" w14:textId="6991220A" w:rsidR="00C207EB" w:rsidRPr="003A2F86" w:rsidRDefault="00C207EB" w:rsidP="00C207EB">
            <w:pPr>
              <w:spacing w:after="0" w:line="240" w:lineRule="auto"/>
              <w:jc w:val="center"/>
              <w:rPr>
                <w:rFonts w:ascii="Calibri" w:eastAsia="Times New Roman" w:hAnsi="Calibri" w:cs="Calibri"/>
                <w:color w:val="000000"/>
              </w:rPr>
            </w:pPr>
            <w:r>
              <w:rPr>
                <w:rFonts w:ascii="Calibri" w:hAnsi="Calibri" w:cs="Calibri"/>
                <w:color w:val="000000"/>
              </w:rPr>
              <w:t>1.b.2.</w:t>
            </w:r>
          </w:p>
        </w:tc>
        <w:tc>
          <w:tcPr>
            <w:tcW w:w="4360" w:type="dxa"/>
            <w:tcBorders>
              <w:top w:val="nil"/>
              <w:left w:val="nil"/>
              <w:bottom w:val="single" w:sz="8" w:space="0" w:color="auto"/>
              <w:right w:val="single" w:sz="8" w:space="0" w:color="auto"/>
            </w:tcBorders>
            <w:vAlign w:val="center"/>
            <w:hideMark/>
          </w:tcPr>
          <w:p w14:paraId="76882583" w14:textId="7822F46B" w:rsidR="00C207EB" w:rsidRPr="003A2F86" w:rsidRDefault="00C207EB" w:rsidP="00C207EB">
            <w:pPr>
              <w:spacing w:after="0" w:line="240" w:lineRule="auto"/>
              <w:rPr>
                <w:rFonts w:ascii="Calibri" w:eastAsia="Times New Roman" w:hAnsi="Calibri" w:cs="Calibri"/>
                <w:color w:val="000000"/>
              </w:rPr>
            </w:pPr>
            <w:r>
              <w:rPr>
                <w:rFonts w:ascii="Calibri" w:hAnsi="Calibri" w:cs="Calibri"/>
                <w:color w:val="000000"/>
              </w:rPr>
              <w:t>Muzeji i galerije Konavala</w:t>
            </w:r>
          </w:p>
        </w:tc>
        <w:tc>
          <w:tcPr>
            <w:tcW w:w="2100" w:type="dxa"/>
            <w:tcBorders>
              <w:top w:val="nil"/>
              <w:left w:val="nil"/>
              <w:bottom w:val="single" w:sz="8" w:space="0" w:color="auto"/>
              <w:right w:val="single" w:sz="8" w:space="0" w:color="auto"/>
            </w:tcBorders>
            <w:vAlign w:val="center"/>
          </w:tcPr>
          <w:p w14:paraId="09EE43AE" w14:textId="70960E83" w:rsidR="00C207EB" w:rsidRPr="003A2F86" w:rsidRDefault="00C207EB" w:rsidP="00C207EB">
            <w:pPr>
              <w:spacing w:after="0" w:line="240" w:lineRule="auto"/>
              <w:jc w:val="right"/>
              <w:rPr>
                <w:rFonts w:ascii="Calibri" w:eastAsia="Times New Roman" w:hAnsi="Calibri" w:cs="Calibri"/>
                <w:color w:val="000000"/>
              </w:rPr>
            </w:pPr>
            <w:r>
              <w:rPr>
                <w:rFonts w:ascii="Calibri" w:hAnsi="Calibri" w:cs="Calibri"/>
                <w:color w:val="000000"/>
              </w:rPr>
              <w:t>54.778,87</w:t>
            </w:r>
          </w:p>
        </w:tc>
        <w:tc>
          <w:tcPr>
            <w:tcW w:w="2100" w:type="dxa"/>
            <w:tcBorders>
              <w:top w:val="nil"/>
              <w:left w:val="nil"/>
              <w:bottom w:val="single" w:sz="8" w:space="0" w:color="auto"/>
              <w:right w:val="single" w:sz="8" w:space="0" w:color="auto"/>
            </w:tcBorders>
            <w:noWrap/>
            <w:vAlign w:val="center"/>
            <w:hideMark/>
          </w:tcPr>
          <w:p w14:paraId="60140109" w14:textId="69726DC6" w:rsidR="00C207EB" w:rsidRPr="003A2F86" w:rsidRDefault="00C207EB" w:rsidP="00C207EB">
            <w:pPr>
              <w:spacing w:after="0" w:line="240" w:lineRule="auto"/>
              <w:jc w:val="right"/>
              <w:rPr>
                <w:rFonts w:ascii="Calibri" w:eastAsia="Times New Roman" w:hAnsi="Calibri" w:cs="Calibri"/>
                <w:color w:val="000000"/>
              </w:rPr>
            </w:pPr>
            <w:r>
              <w:rPr>
                <w:rFonts w:ascii="Calibri" w:hAnsi="Calibri" w:cs="Calibri"/>
                <w:color w:val="000000"/>
              </w:rPr>
              <w:t>83.381,93</w:t>
            </w:r>
          </w:p>
        </w:tc>
      </w:tr>
      <w:tr w:rsidR="00C207EB" w:rsidRPr="003A2F86" w14:paraId="0D79EEF5" w14:textId="77777777" w:rsidTr="00480574">
        <w:trPr>
          <w:trHeight w:val="300"/>
          <w:jc w:val="center"/>
        </w:trPr>
        <w:tc>
          <w:tcPr>
            <w:tcW w:w="1360" w:type="dxa"/>
            <w:tcBorders>
              <w:top w:val="nil"/>
              <w:left w:val="single" w:sz="8" w:space="0" w:color="auto"/>
              <w:bottom w:val="single" w:sz="8" w:space="0" w:color="auto"/>
              <w:right w:val="single" w:sz="8" w:space="0" w:color="auto"/>
            </w:tcBorders>
            <w:vAlign w:val="center"/>
            <w:hideMark/>
          </w:tcPr>
          <w:p w14:paraId="05A257D6" w14:textId="6420C0EA" w:rsidR="00C207EB" w:rsidRPr="003A2F86" w:rsidRDefault="00C207EB" w:rsidP="00C207EB">
            <w:pPr>
              <w:spacing w:after="0" w:line="240" w:lineRule="auto"/>
              <w:jc w:val="center"/>
              <w:rPr>
                <w:rFonts w:ascii="Calibri" w:eastAsia="Times New Roman" w:hAnsi="Calibri" w:cs="Calibri"/>
                <w:color w:val="000000"/>
              </w:rPr>
            </w:pPr>
            <w:r>
              <w:rPr>
                <w:rFonts w:ascii="Calibri" w:hAnsi="Calibri" w:cs="Calibri"/>
                <w:color w:val="000000"/>
              </w:rPr>
              <w:t>1.b.3.</w:t>
            </w:r>
          </w:p>
        </w:tc>
        <w:tc>
          <w:tcPr>
            <w:tcW w:w="4360" w:type="dxa"/>
            <w:tcBorders>
              <w:top w:val="nil"/>
              <w:left w:val="nil"/>
              <w:bottom w:val="single" w:sz="8" w:space="0" w:color="auto"/>
              <w:right w:val="single" w:sz="8" w:space="0" w:color="auto"/>
            </w:tcBorders>
            <w:vAlign w:val="center"/>
            <w:hideMark/>
          </w:tcPr>
          <w:p w14:paraId="40106F6E" w14:textId="267159DB" w:rsidR="00C207EB" w:rsidRPr="003A2F86" w:rsidRDefault="00C207EB" w:rsidP="00C207EB">
            <w:pPr>
              <w:spacing w:after="0" w:line="240" w:lineRule="auto"/>
              <w:rPr>
                <w:rFonts w:ascii="Calibri" w:eastAsia="Times New Roman" w:hAnsi="Calibri" w:cs="Calibri"/>
                <w:color w:val="000000"/>
              </w:rPr>
            </w:pPr>
            <w:r>
              <w:rPr>
                <w:rFonts w:ascii="Calibri" w:hAnsi="Calibri" w:cs="Calibri"/>
                <w:color w:val="000000"/>
              </w:rPr>
              <w:t>Javna vatrogasna postrojba Konavle</w:t>
            </w:r>
          </w:p>
        </w:tc>
        <w:tc>
          <w:tcPr>
            <w:tcW w:w="2100" w:type="dxa"/>
            <w:tcBorders>
              <w:top w:val="nil"/>
              <w:left w:val="nil"/>
              <w:bottom w:val="single" w:sz="8" w:space="0" w:color="auto"/>
              <w:right w:val="single" w:sz="8" w:space="0" w:color="auto"/>
            </w:tcBorders>
            <w:vAlign w:val="center"/>
          </w:tcPr>
          <w:p w14:paraId="697882A0" w14:textId="041459E6" w:rsidR="00C207EB" w:rsidRPr="003A2F86" w:rsidRDefault="00C207EB" w:rsidP="00C207EB">
            <w:pPr>
              <w:spacing w:after="0" w:line="240" w:lineRule="auto"/>
              <w:jc w:val="right"/>
              <w:rPr>
                <w:rFonts w:ascii="Calibri" w:eastAsia="Times New Roman" w:hAnsi="Calibri" w:cs="Calibri"/>
                <w:color w:val="000000"/>
              </w:rPr>
            </w:pPr>
            <w:r>
              <w:rPr>
                <w:rFonts w:ascii="Calibri" w:hAnsi="Calibri" w:cs="Calibri"/>
                <w:color w:val="000000"/>
              </w:rPr>
              <w:t>0</w:t>
            </w:r>
          </w:p>
        </w:tc>
        <w:tc>
          <w:tcPr>
            <w:tcW w:w="2100" w:type="dxa"/>
            <w:tcBorders>
              <w:top w:val="nil"/>
              <w:left w:val="nil"/>
              <w:bottom w:val="single" w:sz="8" w:space="0" w:color="auto"/>
              <w:right w:val="single" w:sz="8" w:space="0" w:color="auto"/>
            </w:tcBorders>
            <w:noWrap/>
            <w:vAlign w:val="center"/>
            <w:hideMark/>
          </w:tcPr>
          <w:p w14:paraId="518FAA22" w14:textId="1B8C6CBA" w:rsidR="00C207EB" w:rsidRPr="003A2F86" w:rsidRDefault="00C207EB" w:rsidP="00C207EB">
            <w:pPr>
              <w:spacing w:after="0" w:line="240" w:lineRule="auto"/>
              <w:jc w:val="right"/>
              <w:rPr>
                <w:rFonts w:ascii="Calibri" w:eastAsia="Times New Roman" w:hAnsi="Calibri" w:cs="Calibri"/>
                <w:color w:val="000000"/>
              </w:rPr>
            </w:pPr>
            <w:r>
              <w:rPr>
                <w:rFonts w:ascii="Calibri" w:hAnsi="Calibri" w:cs="Calibri"/>
                <w:color w:val="000000"/>
              </w:rPr>
              <w:t>0</w:t>
            </w:r>
          </w:p>
        </w:tc>
      </w:tr>
      <w:tr w:rsidR="00C207EB" w:rsidRPr="003A2F86" w14:paraId="4233755A" w14:textId="77777777" w:rsidTr="00480574">
        <w:trPr>
          <w:trHeight w:val="300"/>
          <w:jc w:val="center"/>
        </w:trPr>
        <w:tc>
          <w:tcPr>
            <w:tcW w:w="1360" w:type="dxa"/>
            <w:tcBorders>
              <w:top w:val="nil"/>
              <w:left w:val="single" w:sz="8" w:space="0" w:color="auto"/>
              <w:bottom w:val="nil"/>
              <w:right w:val="single" w:sz="8" w:space="0" w:color="auto"/>
            </w:tcBorders>
            <w:vAlign w:val="center"/>
            <w:hideMark/>
          </w:tcPr>
          <w:p w14:paraId="19D0D28C" w14:textId="63F33EFB" w:rsidR="00C207EB" w:rsidRPr="003A2F86" w:rsidRDefault="00C207EB" w:rsidP="00C207EB">
            <w:pPr>
              <w:spacing w:after="0" w:line="240" w:lineRule="auto"/>
              <w:jc w:val="center"/>
              <w:rPr>
                <w:rFonts w:ascii="Calibri" w:eastAsia="Times New Roman" w:hAnsi="Calibri" w:cs="Calibri"/>
                <w:color w:val="000000"/>
              </w:rPr>
            </w:pPr>
            <w:r>
              <w:rPr>
                <w:rFonts w:ascii="Calibri" w:hAnsi="Calibri" w:cs="Calibri"/>
                <w:color w:val="000000"/>
              </w:rPr>
              <w:t>1.b.4.</w:t>
            </w:r>
          </w:p>
        </w:tc>
        <w:tc>
          <w:tcPr>
            <w:tcW w:w="4360" w:type="dxa"/>
            <w:tcBorders>
              <w:top w:val="nil"/>
              <w:left w:val="nil"/>
              <w:bottom w:val="nil"/>
              <w:right w:val="single" w:sz="8" w:space="0" w:color="auto"/>
            </w:tcBorders>
            <w:vAlign w:val="center"/>
            <w:hideMark/>
          </w:tcPr>
          <w:p w14:paraId="7B29F868" w14:textId="4D35C52D" w:rsidR="00C207EB" w:rsidRPr="003A2F86" w:rsidRDefault="00C207EB" w:rsidP="00C207EB">
            <w:pPr>
              <w:spacing w:after="0" w:line="240" w:lineRule="auto"/>
              <w:rPr>
                <w:rFonts w:ascii="Calibri" w:eastAsia="Times New Roman" w:hAnsi="Calibri" w:cs="Calibri"/>
                <w:color w:val="000000"/>
              </w:rPr>
            </w:pPr>
            <w:r>
              <w:rPr>
                <w:rFonts w:ascii="Calibri" w:hAnsi="Calibri" w:cs="Calibri"/>
                <w:color w:val="000000"/>
              </w:rPr>
              <w:t>Dom za starije i nemoćne osobe Konavle</w:t>
            </w:r>
          </w:p>
        </w:tc>
        <w:tc>
          <w:tcPr>
            <w:tcW w:w="2100" w:type="dxa"/>
            <w:tcBorders>
              <w:top w:val="nil"/>
              <w:left w:val="nil"/>
              <w:bottom w:val="nil"/>
              <w:right w:val="single" w:sz="8" w:space="0" w:color="auto"/>
            </w:tcBorders>
            <w:vAlign w:val="center"/>
          </w:tcPr>
          <w:p w14:paraId="3836E378" w14:textId="266AE81C" w:rsidR="00C207EB" w:rsidRPr="003A2F86" w:rsidRDefault="00C207EB" w:rsidP="00C207EB">
            <w:pPr>
              <w:spacing w:after="0" w:line="240" w:lineRule="auto"/>
              <w:jc w:val="right"/>
              <w:rPr>
                <w:rFonts w:ascii="Calibri" w:eastAsia="Times New Roman" w:hAnsi="Calibri" w:cs="Calibri"/>
                <w:color w:val="000000"/>
              </w:rPr>
            </w:pPr>
            <w:r>
              <w:rPr>
                <w:rFonts w:ascii="Calibri" w:hAnsi="Calibri" w:cs="Calibri"/>
                <w:color w:val="000000"/>
              </w:rPr>
              <w:t>84.899,83</w:t>
            </w:r>
          </w:p>
        </w:tc>
        <w:tc>
          <w:tcPr>
            <w:tcW w:w="2100" w:type="dxa"/>
            <w:tcBorders>
              <w:top w:val="nil"/>
              <w:left w:val="nil"/>
              <w:bottom w:val="nil"/>
              <w:right w:val="single" w:sz="8" w:space="0" w:color="auto"/>
            </w:tcBorders>
            <w:noWrap/>
            <w:vAlign w:val="center"/>
            <w:hideMark/>
          </w:tcPr>
          <w:p w14:paraId="142BACCA" w14:textId="272D898A" w:rsidR="00C207EB" w:rsidRPr="003A2F86" w:rsidRDefault="00C207EB" w:rsidP="00C207EB">
            <w:pPr>
              <w:spacing w:after="0" w:line="240" w:lineRule="auto"/>
              <w:jc w:val="right"/>
              <w:rPr>
                <w:rFonts w:ascii="Calibri" w:eastAsia="Times New Roman" w:hAnsi="Calibri" w:cs="Calibri"/>
                <w:color w:val="000000"/>
              </w:rPr>
            </w:pPr>
            <w:r>
              <w:rPr>
                <w:rFonts w:ascii="Calibri" w:hAnsi="Calibri" w:cs="Calibri"/>
                <w:color w:val="000000"/>
              </w:rPr>
              <w:t>60.818,66</w:t>
            </w:r>
          </w:p>
        </w:tc>
      </w:tr>
      <w:tr w:rsidR="00C207EB" w:rsidRPr="003A2F86" w14:paraId="20502877" w14:textId="77777777" w:rsidTr="00480574">
        <w:trPr>
          <w:trHeight w:val="315"/>
          <w:jc w:val="center"/>
        </w:trPr>
        <w:tc>
          <w:tcPr>
            <w:tcW w:w="1360" w:type="dxa"/>
            <w:tcBorders>
              <w:top w:val="single" w:sz="8" w:space="0" w:color="auto"/>
              <w:left w:val="single" w:sz="8" w:space="0" w:color="auto"/>
              <w:bottom w:val="nil"/>
              <w:right w:val="single" w:sz="8" w:space="0" w:color="auto"/>
            </w:tcBorders>
            <w:vAlign w:val="center"/>
            <w:hideMark/>
          </w:tcPr>
          <w:p w14:paraId="4B29E82B" w14:textId="06335672" w:rsidR="00C207EB" w:rsidRPr="003A2F86" w:rsidRDefault="00C207EB" w:rsidP="00C207EB">
            <w:pPr>
              <w:spacing w:after="0" w:line="240" w:lineRule="auto"/>
              <w:jc w:val="center"/>
              <w:rPr>
                <w:rFonts w:ascii="Calibri" w:eastAsia="Times New Roman" w:hAnsi="Calibri" w:cs="Calibri"/>
                <w:b/>
                <w:bCs/>
                <w:color w:val="000000"/>
                <w:sz w:val="18"/>
                <w:szCs w:val="18"/>
              </w:rPr>
            </w:pPr>
            <w:r>
              <w:rPr>
                <w:rFonts w:ascii="Calibri" w:hAnsi="Calibri" w:cs="Calibri"/>
                <w:b/>
                <w:bCs/>
                <w:color w:val="000000"/>
                <w:sz w:val="18"/>
                <w:szCs w:val="18"/>
              </w:rPr>
              <w:t>2</w:t>
            </w:r>
          </w:p>
        </w:tc>
        <w:tc>
          <w:tcPr>
            <w:tcW w:w="4360" w:type="dxa"/>
            <w:tcBorders>
              <w:top w:val="single" w:sz="8" w:space="0" w:color="auto"/>
              <w:left w:val="nil"/>
              <w:bottom w:val="nil"/>
              <w:right w:val="single" w:sz="8" w:space="0" w:color="auto"/>
            </w:tcBorders>
            <w:vAlign w:val="center"/>
            <w:hideMark/>
          </w:tcPr>
          <w:p w14:paraId="21BC97BC" w14:textId="508B5E58" w:rsidR="00C207EB" w:rsidRPr="003A2F86" w:rsidRDefault="00C207EB" w:rsidP="00C207EB">
            <w:pPr>
              <w:spacing w:after="0" w:line="240" w:lineRule="auto"/>
              <w:jc w:val="center"/>
              <w:rPr>
                <w:rFonts w:ascii="Calibri" w:eastAsia="Times New Roman" w:hAnsi="Calibri" w:cs="Calibri"/>
                <w:b/>
                <w:bCs/>
                <w:i/>
                <w:iCs/>
                <w:color w:val="E36C0A"/>
              </w:rPr>
            </w:pPr>
            <w:r>
              <w:rPr>
                <w:rFonts w:ascii="Calibri" w:hAnsi="Calibri" w:cs="Calibri"/>
                <w:b/>
                <w:bCs/>
                <w:i/>
                <w:iCs/>
                <w:color w:val="E36C0A"/>
              </w:rPr>
              <w:t>Novčana sredstva u blagajni</w:t>
            </w:r>
          </w:p>
        </w:tc>
        <w:tc>
          <w:tcPr>
            <w:tcW w:w="2100" w:type="dxa"/>
            <w:tcBorders>
              <w:top w:val="single" w:sz="8" w:space="0" w:color="auto"/>
              <w:left w:val="nil"/>
              <w:bottom w:val="nil"/>
              <w:right w:val="single" w:sz="8" w:space="0" w:color="auto"/>
            </w:tcBorders>
            <w:vAlign w:val="center"/>
          </w:tcPr>
          <w:p w14:paraId="0ABB7CBF" w14:textId="1428F11E" w:rsidR="00C207EB" w:rsidRPr="003A2F86" w:rsidRDefault="00C207EB" w:rsidP="00C207EB">
            <w:pPr>
              <w:spacing w:after="0" w:line="240" w:lineRule="auto"/>
              <w:jc w:val="right"/>
              <w:rPr>
                <w:rFonts w:ascii="Calibri" w:eastAsia="Times New Roman" w:hAnsi="Calibri" w:cs="Calibri"/>
                <w:b/>
                <w:bCs/>
                <w:color w:val="C65911"/>
              </w:rPr>
            </w:pPr>
            <w:r>
              <w:rPr>
                <w:rFonts w:ascii="Calibri" w:hAnsi="Calibri" w:cs="Calibri"/>
                <w:b/>
                <w:bCs/>
                <w:color w:val="C65911"/>
              </w:rPr>
              <w:t>429,01</w:t>
            </w:r>
          </w:p>
        </w:tc>
        <w:tc>
          <w:tcPr>
            <w:tcW w:w="2100" w:type="dxa"/>
            <w:tcBorders>
              <w:top w:val="single" w:sz="8" w:space="0" w:color="auto"/>
              <w:left w:val="nil"/>
              <w:bottom w:val="nil"/>
              <w:right w:val="single" w:sz="8" w:space="0" w:color="auto"/>
            </w:tcBorders>
            <w:noWrap/>
            <w:vAlign w:val="center"/>
            <w:hideMark/>
          </w:tcPr>
          <w:p w14:paraId="5B15C02B" w14:textId="5ADE5749" w:rsidR="00C207EB" w:rsidRPr="003A2F86" w:rsidRDefault="00C207EB" w:rsidP="00C207EB">
            <w:pPr>
              <w:spacing w:after="0" w:line="240" w:lineRule="auto"/>
              <w:jc w:val="right"/>
              <w:rPr>
                <w:rFonts w:ascii="Calibri" w:eastAsia="Times New Roman" w:hAnsi="Calibri" w:cs="Calibri"/>
                <w:b/>
                <w:bCs/>
                <w:color w:val="C65911"/>
              </w:rPr>
            </w:pPr>
            <w:r>
              <w:rPr>
                <w:rFonts w:ascii="Calibri" w:hAnsi="Calibri" w:cs="Calibri"/>
                <w:b/>
                <w:bCs/>
                <w:color w:val="C65911"/>
              </w:rPr>
              <w:t>394,23</w:t>
            </w:r>
          </w:p>
        </w:tc>
      </w:tr>
      <w:tr w:rsidR="00C207EB" w:rsidRPr="003A2F86" w14:paraId="5D6C8623" w14:textId="77777777" w:rsidTr="00480574">
        <w:trPr>
          <w:trHeight w:val="315"/>
          <w:jc w:val="center"/>
        </w:trPr>
        <w:tc>
          <w:tcPr>
            <w:tcW w:w="1360" w:type="dxa"/>
            <w:tcBorders>
              <w:top w:val="single" w:sz="8" w:space="0" w:color="auto"/>
              <w:left w:val="single" w:sz="8" w:space="0" w:color="auto"/>
              <w:bottom w:val="nil"/>
              <w:right w:val="single" w:sz="8" w:space="0" w:color="auto"/>
            </w:tcBorders>
            <w:vAlign w:val="center"/>
          </w:tcPr>
          <w:p w14:paraId="101A3238" w14:textId="66FAAFE2" w:rsidR="00C207EB" w:rsidRPr="003A2F86" w:rsidRDefault="00C207EB" w:rsidP="00C207EB">
            <w:pPr>
              <w:spacing w:after="0" w:line="240" w:lineRule="auto"/>
              <w:jc w:val="center"/>
              <w:rPr>
                <w:rFonts w:ascii="Calibri" w:eastAsia="Times New Roman" w:hAnsi="Calibri" w:cs="Calibri"/>
                <w:b/>
                <w:bCs/>
                <w:color w:val="000000"/>
                <w:sz w:val="18"/>
                <w:szCs w:val="18"/>
              </w:rPr>
            </w:pPr>
            <w:r>
              <w:rPr>
                <w:rFonts w:ascii="Calibri" w:hAnsi="Calibri" w:cs="Calibri"/>
                <w:b/>
                <w:bCs/>
                <w:color w:val="000000"/>
                <w:sz w:val="18"/>
                <w:szCs w:val="18"/>
              </w:rPr>
              <w:t>3</w:t>
            </w:r>
          </w:p>
        </w:tc>
        <w:tc>
          <w:tcPr>
            <w:tcW w:w="4360" w:type="dxa"/>
            <w:tcBorders>
              <w:top w:val="single" w:sz="8" w:space="0" w:color="auto"/>
              <w:left w:val="nil"/>
              <w:bottom w:val="nil"/>
              <w:right w:val="single" w:sz="8" w:space="0" w:color="auto"/>
            </w:tcBorders>
            <w:vAlign w:val="center"/>
          </w:tcPr>
          <w:p w14:paraId="58054843" w14:textId="6A932320" w:rsidR="00C207EB" w:rsidRPr="003A2F86" w:rsidRDefault="00C207EB" w:rsidP="00C207EB">
            <w:pPr>
              <w:spacing w:after="0" w:line="240" w:lineRule="auto"/>
              <w:jc w:val="center"/>
              <w:rPr>
                <w:rFonts w:ascii="Calibri" w:eastAsia="Times New Roman" w:hAnsi="Calibri" w:cs="Calibri"/>
                <w:b/>
                <w:bCs/>
                <w:i/>
                <w:iCs/>
                <w:color w:val="E36C0A"/>
              </w:rPr>
            </w:pPr>
            <w:r>
              <w:rPr>
                <w:rFonts w:ascii="Calibri" w:hAnsi="Calibri" w:cs="Calibri"/>
                <w:b/>
                <w:bCs/>
                <w:i/>
                <w:iCs/>
                <w:color w:val="E36C0A"/>
              </w:rPr>
              <w:t>Izdvojena (oročena) novčana sredstva</w:t>
            </w:r>
          </w:p>
        </w:tc>
        <w:tc>
          <w:tcPr>
            <w:tcW w:w="2100" w:type="dxa"/>
            <w:tcBorders>
              <w:top w:val="single" w:sz="8" w:space="0" w:color="auto"/>
              <w:left w:val="nil"/>
              <w:bottom w:val="nil"/>
              <w:right w:val="single" w:sz="8" w:space="0" w:color="auto"/>
            </w:tcBorders>
            <w:vAlign w:val="center"/>
          </w:tcPr>
          <w:p w14:paraId="5DB21BD6" w14:textId="7BFE2068" w:rsidR="00C207EB" w:rsidRPr="003A2F86" w:rsidRDefault="00C207EB" w:rsidP="00C207EB">
            <w:pPr>
              <w:spacing w:after="0" w:line="240" w:lineRule="auto"/>
              <w:jc w:val="right"/>
              <w:rPr>
                <w:rFonts w:ascii="Calibri" w:eastAsia="Times New Roman" w:hAnsi="Calibri" w:cs="Calibri"/>
                <w:b/>
                <w:bCs/>
                <w:color w:val="C65911"/>
              </w:rPr>
            </w:pPr>
            <w:r>
              <w:rPr>
                <w:rFonts w:ascii="Calibri" w:hAnsi="Calibri" w:cs="Calibri"/>
                <w:b/>
                <w:bCs/>
                <w:color w:val="C65911"/>
              </w:rPr>
              <w:t>0</w:t>
            </w:r>
          </w:p>
        </w:tc>
        <w:tc>
          <w:tcPr>
            <w:tcW w:w="2100" w:type="dxa"/>
            <w:tcBorders>
              <w:top w:val="single" w:sz="8" w:space="0" w:color="auto"/>
              <w:left w:val="nil"/>
              <w:bottom w:val="nil"/>
              <w:right w:val="single" w:sz="8" w:space="0" w:color="auto"/>
            </w:tcBorders>
            <w:noWrap/>
            <w:vAlign w:val="center"/>
          </w:tcPr>
          <w:p w14:paraId="14E2D75B" w14:textId="08B4CEEC" w:rsidR="00C207EB" w:rsidRPr="003A2F86" w:rsidRDefault="00C207EB" w:rsidP="00C207EB">
            <w:pPr>
              <w:spacing w:after="0" w:line="240" w:lineRule="auto"/>
              <w:jc w:val="right"/>
              <w:rPr>
                <w:rFonts w:ascii="Calibri" w:eastAsia="Times New Roman" w:hAnsi="Calibri" w:cs="Calibri"/>
                <w:b/>
                <w:bCs/>
                <w:color w:val="C65911"/>
              </w:rPr>
            </w:pPr>
            <w:r>
              <w:rPr>
                <w:rFonts w:ascii="Calibri" w:hAnsi="Calibri" w:cs="Calibri"/>
                <w:b/>
                <w:bCs/>
                <w:color w:val="C65911"/>
              </w:rPr>
              <w:t>2.555.139,86</w:t>
            </w:r>
          </w:p>
        </w:tc>
      </w:tr>
      <w:tr w:rsidR="00C207EB" w:rsidRPr="003A2F86" w14:paraId="4365137B" w14:textId="77777777" w:rsidTr="00480574">
        <w:trPr>
          <w:trHeight w:val="315"/>
          <w:jc w:val="center"/>
        </w:trPr>
        <w:tc>
          <w:tcPr>
            <w:tcW w:w="136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E2D2024" w14:textId="250552CC" w:rsidR="00C207EB" w:rsidRPr="003A2F86" w:rsidRDefault="00C207EB" w:rsidP="00C207EB">
            <w:pPr>
              <w:spacing w:after="0" w:line="240" w:lineRule="auto"/>
              <w:jc w:val="center"/>
              <w:rPr>
                <w:rFonts w:ascii="Calibri" w:eastAsia="Times New Roman" w:hAnsi="Calibri" w:cs="Calibri"/>
                <w:b/>
                <w:bCs/>
                <w:color w:val="000000"/>
                <w:sz w:val="18"/>
                <w:szCs w:val="18"/>
              </w:rPr>
            </w:pPr>
            <w:r>
              <w:rPr>
                <w:rFonts w:ascii="Calibri" w:hAnsi="Calibri" w:cs="Calibri"/>
                <w:b/>
                <w:bCs/>
                <w:color w:val="000000"/>
                <w:sz w:val="18"/>
                <w:szCs w:val="18"/>
              </w:rPr>
              <w:t xml:space="preserve">4 (1 +2+3) </w:t>
            </w:r>
          </w:p>
        </w:tc>
        <w:tc>
          <w:tcPr>
            <w:tcW w:w="4360" w:type="dxa"/>
            <w:tcBorders>
              <w:top w:val="single" w:sz="8" w:space="0" w:color="auto"/>
              <w:left w:val="nil"/>
              <w:bottom w:val="single" w:sz="8" w:space="0" w:color="auto"/>
              <w:right w:val="single" w:sz="8" w:space="0" w:color="auto"/>
            </w:tcBorders>
            <w:shd w:val="clear" w:color="000000" w:fill="D9D9D9"/>
            <w:vAlign w:val="center"/>
            <w:hideMark/>
          </w:tcPr>
          <w:p w14:paraId="6436E6C8" w14:textId="13C5142D" w:rsidR="00C207EB" w:rsidRPr="003A2F86" w:rsidRDefault="00C207EB" w:rsidP="00C207EB">
            <w:pPr>
              <w:spacing w:after="0" w:line="240" w:lineRule="auto"/>
              <w:jc w:val="center"/>
              <w:rPr>
                <w:rFonts w:ascii="Calibri" w:eastAsia="Times New Roman" w:hAnsi="Calibri" w:cs="Calibri"/>
                <w:b/>
                <w:bCs/>
                <w:i/>
                <w:iCs/>
                <w:color w:val="E36C0A"/>
              </w:rPr>
            </w:pPr>
            <w:r>
              <w:rPr>
                <w:rFonts w:ascii="Calibri" w:hAnsi="Calibri" w:cs="Calibri"/>
                <w:b/>
                <w:bCs/>
                <w:i/>
                <w:iCs/>
                <w:color w:val="E36C0A"/>
              </w:rPr>
              <w:t xml:space="preserve">Sveukupno novčana sredstva (banka i blagajna) </w:t>
            </w:r>
          </w:p>
        </w:tc>
        <w:tc>
          <w:tcPr>
            <w:tcW w:w="2100" w:type="dxa"/>
            <w:tcBorders>
              <w:top w:val="single" w:sz="8" w:space="0" w:color="auto"/>
              <w:left w:val="nil"/>
              <w:bottom w:val="single" w:sz="8" w:space="0" w:color="auto"/>
              <w:right w:val="single" w:sz="8" w:space="0" w:color="auto"/>
            </w:tcBorders>
            <w:shd w:val="clear" w:color="000000" w:fill="D9D9D9"/>
            <w:vAlign w:val="center"/>
          </w:tcPr>
          <w:p w14:paraId="78030B9C" w14:textId="44B15AC4" w:rsidR="00C207EB" w:rsidRPr="003A2F86" w:rsidRDefault="00C207EB" w:rsidP="00C207EB">
            <w:pPr>
              <w:spacing w:after="0" w:line="240" w:lineRule="auto"/>
              <w:jc w:val="right"/>
              <w:rPr>
                <w:rFonts w:ascii="Calibri" w:eastAsia="Times New Roman" w:hAnsi="Calibri" w:cs="Calibri"/>
                <w:b/>
                <w:bCs/>
                <w:color w:val="C65911"/>
              </w:rPr>
            </w:pPr>
            <w:r>
              <w:rPr>
                <w:rFonts w:ascii="Calibri" w:hAnsi="Calibri" w:cs="Calibri"/>
                <w:b/>
                <w:bCs/>
                <w:color w:val="C65911"/>
              </w:rPr>
              <w:t>3.499.167,07</w:t>
            </w:r>
          </w:p>
        </w:tc>
        <w:tc>
          <w:tcPr>
            <w:tcW w:w="2100" w:type="dxa"/>
            <w:tcBorders>
              <w:top w:val="single" w:sz="8" w:space="0" w:color="auto"/>
              <w:left w:val="nil"/>
              <w:bottom w:val="single" w:sz="8" w:space="0" w:color="auto"/>
              <w:right w:val="single" w:sz="8" w:space="0" w:color="auto"/>
            </w:tcBorders>
            <w:shd w:val="clear" w:color="000000" w:fill="D9D9D9"/>
            <w:noWrap/>
            <w:vAlign w:val="center"/>
            <w:hideMark/>
          </w:tcPr>
          <w:p w14:paraId="29408177" w14:textId="4192C1EB" w:rsidR="00C207EB" w:rsidRPr="003A2F86" w:rsidRDefault="00C207EB" w:rsidP="00C207EB">
            <w:pPr>
              <w:spacing w:after="0" w:line="240" w:lineRule="auto"/>
              <w:jc w:val="right"/>
              <w:rPr>
                <w:rFonts w:ascii="Calibri" w:eastAsia="Times New Roman" w:hAnsi="Calibri" w:cs="Calibri"/>
                <w:b/>
                <w:bCs/>
                <w:color w:val="C65911"/>
              </w:rPr>
            </w:pPr>
            <w:r>
              <w:rPr>
                <w:rFonts w:ascii="Calibri" w:hAnsi="Calibri" w:cs="Calibri"/>
                <w:b/>
                <w:bCs/>
                <w:color w:val="C65911"/>
              </w:rPr>
              <w:t>4.125.734,14</w:t>
            </w:r>
          </w:p>
        </w:tc>
      </w:tr>
    </w:tbl>
    <w:p w14:paraId="17A92F4D" w14:textId="3ECFF2AE" w:rsidR="00793F4F" w:rsidRPr="00A542A2" w:rsidRDefault="00793F4F" w:rsidP="00793F4F">
      <w:pPr>
        <w:spacing w:after="0" w:line="240" w:lineRule="auto"/>
        <w:jc w:val="both"/>
        <w:rPr>
          <w:rFonts w:ascii="Arial" w:eastAsia="Calibri" w:hAnsi="Arial" w:cs="Arial"/>
          <w:i/>
          <w:iCs/>
          <w:color w:val="1F497D" w:themeColor="text2"/>
          <w:sz w:val="16"/>
          <w:szCs w:val="16"/>
        </w:rPr>
      </w:pPr>
      <w:r w:rsidRPr="00A542A2">
        <w:rPr>
          <w:rFonts w:ascii="Arial" w:eastAsia="Calibri" w:hAnsi="Arial" w:cs="Arial"/>
          <w:i/>
          <w:iCs/>
          <w:color w:val="1F497D" w:themeColor="text2"/>
          <w:sz w:val="16"/>
          <w:szCs w:val="16"/>
        </w:rPr>
        <w:t xml:space="preserve">*iskazani iznosi novčanih sredstava proračunskih korisnika </w:t>
      </w:r>
      <w:r w:rsidR="00A542A2" w:rsidRPr="00A542A2">
        <w:rPr>
          <w:rFonts w:ascii="Arial" w:eastAsia="Calibri" w:hAnsi="Arial" w:cs="Arial"/>
          <w:i/>
          <w:iCs/>
          <w:color w:val="1F497D" w:themeColor="text2"/>
          <w:sz w:val="16"/>
          <w:szCs w:val="16"/>
        </w:rPr>
        <w:t xml:space="preserve">(točka 1.b.) </w:t>
      </w:r>
      <w:r w:rsidRPr="00A542A2">
        <w:rPr>
          <w:rFonts w:ascii="Arial" w:eastAsia="Calibri" w:hAnsi="Arial" w:cs="Arial"/>
          <w:i/>
          <w:iCs/>
          <w:color w:val="1F497D" w:themeColor="text2"/>
          <w:sz w:val="16"/>
          <w:szCs w:val="16"/>
        </w:rPr>
        <w:t>odnose se na potraživanja proračunskih korisnika za naplaćene prihode putem općinske riznice (podskupina 167).</w:t>
      </w:r>
    </w:p>
    <w:p w14:paraId="508859BD" w14:textId="77777777" w:rsidR="00793F4F" w:rsidRPr="003A2F86" w:rsidRDefault="00793F4F" w:rsidP="00793F4F">
      <w:pPr>
        <w:spacing w:after="0" w:line="240" w:lineRule="auto"/>
        <w:jc w:val="both"/>
        <w:rPr>
          <w:rFonts w:ascii="Arial" w:eastAsia="Calibri" w:hAnsi="Arial" w:cs="Arial"/>
        </w:rPr>
      </w:pPr>
    </w:p>
    <w:p w14:paraId="19E78D6A" w14:textId="402F64B3" w:rsidR="00C16B09" w:rsidRDefault="00793F4F" w:rsidP="00793F4F">
      <w:pPr>
        <w:spacing w:after="0" w:line="240" w:lineRule="auto"/>
        <w:jc w:val="both"/>
        <w:rPr>
          <w:rFonts w:ascii="Arial" w:eastAsia="Calibri" w:hAnsi="Arial" w:cs="Arial"/>
        </w:rPr>
      </w:pPr>
      <w:r w:rsidRPr="003A2F86">
        <w:rPr>
          <w:rFonts w:ascii="Arial" w:eastAsia="Calibri" w:hAnsi="Arial" w:cs="Arial"/>
        </w:rPr>
        <w:t>Najznačajnije stanje novčanih sredstava se odnosi na neutrošena sredstva za sufinanciranje</w:t>
      </w:r>
      <w:r w:rsidR="004B3E52">
        <w:rPr>
          <w:rFonts w:ascii="Arial" w:eastAsia="Calibri" w:hAnsi="Arial" w:cs="Arial"/>
        </w:rPr>
        <w:t xml:space="preserve">, </w:t>
      </w:r>
      <w:r w:rsidRPr="003A2F86">
        <w:rPr>
          <w:rFonts w:ascii="Arial" w:eastAsia="Calibri" w:hAnsi="Arial" w:cs="Arial"/>
        </w:rPr>
        <w:t>te ostvarena i neraspoređena sredstva od prodaje zemljišta u budućoj poduzetničkoj zoni</w:t>
      </w:r>
      <w:r w:rsidR="00C207EB">
        <w:rPr>
          <w:rFonts w:ascii="Arial" w:eastAsia="Calibri" w:hAnsi="Arial" w:cs="Arial"/>
        </w:rPr>
        <w:t xml:space="preserve"> i ova sredstva su izdvojena na poslovnom računu (oročena).</w:t>
      </w:r>
    </w:p>
    <w:p w14:paraId="1492F50A" w14:textId="77777777" w:rsidR="00C16B09" w:rsidRDefault="00C16B09">
      <w:pPr>
        <w:rPr>
          <w:rFonts w:ascii="Arial" w:eastAsia="Calibri" w:hAnsi="Arial" w:cs="Arial"/>
        </w:rPr>
      </w:pPr>
      <w:r>
        <w:rPr>
          <w:rFonts w:ascii="Arial" w:eastAsia="Calibri" w:hAnsi="Arial" w:cs="Arial"/>
        </w:rPr>
        <w:br w:type="page"/>
      </w:r>
    </w:p>
    <w:p w14:paraId="33707EFE" w14:textId="77777777" w:rsidR="00793F4F" w:rsidRPr="003A2F86" w:rsidRDefault="00793F4F" w:rsidP="00793F4F">
      <w:pPr>
        <w:spacing w:after="0" w:line="240" w:lineRule="auto"/>
        <w:jc w:val="both"/>
        <w:rPr>
          <w:rFonts w:ascii="Arial" w:eastAsia="Calibri" w:hAnsi="Arial" w:cs="Arial"/>
        </w:rPr>
      </w:pPr>
    </w:p>
    <w:p w14:paraId="7DC49356" w14:textId="01C9C8AF" w:rsidR="00793F4F" w:rsidRPr="003A2F86" w:rsidRDefault="00793F4F" w:rsidP="00793F4F">
      <w:pPr>
        <w:pStyle w:val="Naslov2"/>
        <w:jc w:val="center"/>
        <w:rPr>
          <w:rFonts w:ascii="Arial" w:hAnsi="Arial" w:cs="Arial"/>
          <w:sz w:val="22"/>
          <w:szCs w:val="22"/>
          <w:lang w:val="hr-HR"/>
        </w:rPr>
      </w:pPr>
      <w:bookmarkStart w:id="306" w:name="_2.11._PRIHODI_I"/>
      <w:bookmarkStart w:id="307" w:name="_Toc232981418"/>
      <w:bookmarkEnd w:id="306"/>
      <w:r w:rsidRPr="003A2F86">
        <w:rPr>
          <w:rFonts w:ascii="Arial" w:hAnsi="Arial" w:cs="Arial"/>
          <w:sz w:val="22"/>
          <w:szCs w:val="22"/>
          <w:lang w:val="hr-HR"/>
        </w:rPr>
        <w:t>2.11.</w:t>
      </w:r>
      <w:r w:rsidRPr="003A2F86">
        <w:rPr>
          <w:rFonts w:ascii="Arial" w:hAnsi="Arial" w:cs="Arial"/>
          <w:sz w:val="22"/>
          <w:szCs w:val="22"/>
          <w:lang w:val="hr-HR"/>
        </w:rPr>
        <w:tab/>
        <w:t>PRIHODI I PRIMICI, RASHODI I IZDACI OSTVARENI PREUZIMANJEM NEFINANCIJSKE I FINANCIJSKE IMOVINE U NAPLATI POTRAŽIVANJA JAVNIH DAVANJA</w:t>
      </w:r>
      <w:bookmarkEnd w:id="307"/>
    </w:p>
    <w:p w14:paraId="79554BDD" w14:textId="77777777" w:rsidR="00793F4F" w:rsidRPr="003A2F86" w:rsidRDefault="00793F4F" w:rsidP="00793F4F">
      <w:pPr>
        <w:spacing w:after="0" w:line="240" w:lineRule="auto"/>
        <w:jc w:val="center"/>
        <w:rPr>
          <w:rFonts w:ascii="Arial" w:eastAsia="Calibri" w:hAnsi="Arial" w:cs="Arial"/>
        </w:rPr>
      </w:pPr>
    </w:p>
    <w:p w14:paraId="584C66C7" w14:textId="1931FDD9" w:rsidR="00793F4F" w:rsidRPr="003A2F86" w:rsidRDefault="00793F4F" w:rsidP="00793F4F">
      <w:pPr>
        <w:spacing w:after="0" w:line="240" w:lineRule="auto"/>
        <w:jc w:val="both"/>
        <w:rPr>
          <w:rFonts w:ascii="Arial" w:eastAsia="Calibri" w:hAnsi="Arial" w:cs="Arial"/>
        </w:rPr>
      </w:pPr>
      <w:r w:rsidRPr="003A2F86">
        <w:rPr>
          <w:rFonts w:ascii="Arial" w:eastAsia="Calibri" w:hAnsi="Arial" w:cs="Arial"/>
        </w:rPr>
        <w:t xml:space="preserve">Općina Konavle, niti proračunski korisnici nisu u proračunskom razdoblju siječanj – </w:t>
      </w:r>
      <w:r w:rsidR="0028121B">
        <w:rPr>
          <w:rFonts w:ascii="Arial" w:eastAsia="Calibri" w:hAnsi="Arial" w:cs="Arial"/>
        </w:rPr>
        <w:t>prosinac</w:t>
      </w:r>
      <w:r w:rsidRPr="003A2F86">
        <w:rPr>
          <w:rFonts w:ascii="Arial" w:eastAsia="Calibri" w:hAnsi="Arial" w:cs="Arial"/>
        </w:rPr>
        <w:t xml:space="preserve"> 202</w:t>
      </w:r>
      <w:r w:rsidR="008A47C4">
        <w:rPr>
          <w:rFonts w:ascii="Arial" w:eastAsia="Calibri" w:hAnsi="Arial" w:cs="Arial"/>
        </w:rPr>
        <w:t>5</w:t>
      </w:r>
      <w:r w:rsidRPr="003A2F86">
        <w:rPr>
          <w:rFonts w:ascii="Arial" w:eastAsia="Calibri" w:hAnsi="Arial" w:cs="Arial"/>
        </w:rPr>
        <w:t>. godine imali prihoda i primitaka niti rashoda i izdataka ostvarenih preuzimanjem nefinancijske i financijske imovine u naplati potraživanja javnih davanja.</w:t>
      </w:r>
    </w:p>
    <w:p w14:paraId="0FDB0075" w14:textId="77777777" w:rsidR="00793F4F" w:rsidRPr="003A2F86" w:rsidRDefault="00793F4F" w:rsidP="00077745">
      <w:pPr>
        <w:spacing w:after="0" w:line="240" w:lineRule="auto"/>
        <w:jc w:val="both"/>
        <w:rPr>
          <w:noProof/>
        </w:rPr>
      </w:pPr>
    </w:p>
    <w:p w14:paraId="4F44BC1E" w14:textId="55437EBE" w:rsidR="006C6F8B" w:rsidRPr="003A2F86" w:rsidRDefault="00DB0163" w:rsidP="008E02D0">
      <w:pPr>
        <w:pStyle w:val="Naslov2"/>
        <w:jc w:val="center"/>
        <w:rPr>
          <w:rFonts w:ascii="Arial" w:hAnsi="Arial" w:cs="Arial"/>
          <w:sz w:val="22"/>
          <w:szCs w:val="22"/>
          <w:lang w:val="hr-HR"/>
        </w:rPr>
      </w:pPr>
      <w:bookmarkStart w:id="308" w:name="_Toc232981419"/>
      <w:bookmarkEnd w:id="297"/>
      <w:bookmarkEnd w:id="299"/>
      <w:r w:rsidRPr="003A2F86">
        <w:rPr>
          <w:rFonts w:ascii="Arial" w:hAnsi="Arial" w:cs="Arial"/>
          <w:sz w:val="22"/>
          <w:szCs w:val="22"/>
          <w:lang w:val="hr-HR"/>
        </w:rPr>
        <w:t>2.1</w:t>
      </w:r>
      <w:r w:rsidR="00793F4F" w:rsidRPr="003A2F86">
        <w:rPr>
          <w:rFonts w:ascii="Arial" w:hAnsi="Arial" w:cs="Arial"/>
          <w:sz w:val="22"/>
          <w:szCs w:val="22"/>
          <w:lang w:val="hr-HR"/>
        </w:rPr>
        <w:t>2</w:t>
      </w:r>
      <w:r w:rsidRPr="003A2F86">
        <w:rPr>
          <w:rFonts w:ascii="Arial" w:hAnsi="Arial" w:cs="Arial"/>
          <w:sz w:val="22"/>
          <w:szCs w:val="22"/>
          <w:lang w:val="hr-HR"/>
        </w:rPr>
        <w:t>.</w:t>
      </w:r>
      <w:r w:rsidRPr="003A2F86">
        <w:rPr>
          <w:rFonts w:ascii="Arial" w:hAnsi="Arial" w:cs="Arial"/>
          <w:sz w:val="22"/>
          <w:szCs w:val="22"/>
          <w:lang w:val="hr-HR"/>
        </w:rPr>
        <w:tab/>
      </w:r>
      <w:r w:rsidR="006C6F8B" w:rsidRPr="003A2F86">
        <w:rPr>
          <w:rFonts w:ascii="Arial" w:hAnsi="Arial" w:cs="Arial"/>
          <w:sz w:val="22"/>
          <w:szCs w:val="22"/>
          <w:lang w:val="hr-HR"/>
        </w:rPr>
        <w:t>PRILOG UZ OBRAZLOŽENJE OPĆEG DIJELA PRORAČUNA</w:t>
      </w:r>
      <w:bookmarkEnd w:id="308"/>
    </w:p>
    <w:p w14:paraId="7DF1DE94" w14:textId="77777777" w:rsidR="006C6F8B" w:rsidRPr="003A2F86" w:rsidRDefault="006C6F8B" w:rsidP="006C6F8B">
      <w:pPr>
        <w:rPr>
          <w:lang w:eastAsia="en-US"/>
        </w:rPr>
      </w:pPr>
    </w:p>
    <w:p w14:paraId="5A0BA363" w14:textId="08633F04" w:rsidR="00DB0163" w:rsidRPr="003A2F86" w:rsidRDefault="006C6F8B" w:rsidP="006C6F8B">
      <w:pPr>
        <w:pStyle w:val="Naslov3"/>
        <w:jc w:val="center"/>
        <w:rPr>
          <w:rFonts w:ascii="Arial" w:hAnsi="Arial" w:cs="Arial"/>
          <w:sz w:val="22"/>
          <w:szCs w:val="22"/>
          <w:lang w:val="hr-HR"/>
        </w:rPr>
      </w:pPr>
      <w:bookmarkStart w:id="309" w:name="_Toc232981420"/>
      <w:r w:rsidRPr="003A2F86">
        <w:rPr>
          <w:rFonts w:ascii="Arial" w:hAnsi="Arial" w:cs="Arial"/>
          <w:sz w:val="22"/>
          <w:szCs w:val="22"/>
          <w:lang w:val="hr-HR"/>
        </w:rPr>
        <w:t>2.1</w:t>
      </w:r>
      <w:r w:rsidR="00793F4F" w:rsidRPr="003A2F86">
        <w:rPr>
          <w:rFonts w:ascii="Arial" w:hAnsi="Arial" w:cs="Arial"/>
          <w:sz w:val="22"/>
          <w:szCs w:val="22"/>
          <w:lang w:val="hr-HR"/>
        </w:rPr>
        <w:t>2</w:t>
      </w:r>
      <w:r w:rsidRPr="003A2F86">
        <w:rPr>
          <w:rFonts w:ascii="Arial" w:hAnsi="Arial" w:cs="Arial"/>
          <w:sz w:val="22"/>
          <w:szCs w:val="22"/>
          <w:lang w:val="hr-HR"/>
        </w:rPr>
        <w:t>.1.</w:t>
      </w:r>
      <w:r w:rsidRPr="003A2F86">
        <w:rPr>
          <w:rFonts w:ascii="Arial" w:hAnsi="Arial" w:cs="Arial"/>
          <w:sz w:val="22"/>
          <w:szCs w:val="22"/>
          <w:lang w:val="hr-HR"/>
        </w:rPr>
        <w:tab/>
      </w:r>
      <w:r w:rsidRPr="003A2F86">
        <w:rPr>
          <w:rFonts w:ascii="Arial" w:hAnsi="Arial" w:cs="Arial"/>
          <w:sz w:val="22"/>
          <w:szCs w:val="22"/>
          <w:lang w:val="hr-HR"/>
        </w:rPr>
        <w:tab/>
      </w:r>
      <w:r w:rsidR="00DB0163" w:rsidRPr="003A2F86">
        <w:rPr>
          <w:rFonts w:ascii="Arial" w:hAnsi="Arial" w:cs="Arial"/>
          <w:sz w:val="22"/>
          <w:szCs w:val="22"/>
          <w:lang w:val="hr-HR"/>
        </w:rPr>
        <w:t>IZVJEŠĆE O UTROŠKU SREDSTAVA KOMUNALNE NAKNADE I KOMUNALNOG DOPRINOSA U 202</w:t>
      </w:r>
      <w:r w:rsidR="008A47C4">
        <w:rPr>
          <w:rFonts w:ascii="Arial" w:hAnsi="Arial" w:cs="Arial"/>
          <w:sz w:val="22"/>
          <w:szCs w:val="22"/>
          <w:lang w:val="hr-HR"/>
        </w:rPr>
        <w:t>5</w:t>
      </w:r>
      <w:r w:rsidR="00DB0163" w:rsidRPr="003A2F86">
        <w:rPr>
          <w:rFonts w:ascii="Arial" w:hAnsi="Arial" w:cs="Arial"/>
          <w:sz w:val="22"/>
          <w:szCs w:val="22"/>
          <w:lang w:val="hr-HR"/>
        </w:rPr>
        <w:t>.</w:t>
      </w:r>
      <w:bookmarkEnd w:id="309"/>
    </w:p>
    <w:p w14:paraId="7AFE385A" w14:textId="73BAB6F6" w:rsidR="00DB0163" w:rsidRPr="003A2F86" w:rsidRDefault="00DB0163" w:rsidP="00DB0163">
      <w:pPr>
        <w:spacing w:after="0" w:line="240" w:lineRule="auto"/>
        <w:rPr>
          <w:rFonts w:ascii="Arial" w:eastAsia="Times New Roman" w:hAnsi="Arial" w:cs="Arial"/>
        </w:rPr>
      </w:pPr>
    </w:p>
    <w:p w14:paraId="5D09DE62" w14:textId="36DE1E43" w:rsidR="000A124E" w:rsidRPr="003A2F86" w:rsidRDefault="000A124E" w:rsidP="000A124E">
      <w:pPr>
        <w:spacing w:after="0" w:line="240" w:lineRule="auto"/>
        <w:jc w:val="both"/>
        <w:rPr>
          <w:rFonts w:ascii="Arial" w:eastAsia="Times New Roman" w:hAnsi="Arial" w:cs="Arial"/>
        </w:rPr>
      </w:pPr>
      <w:r w:rsidRPr="003A2F86">
        <w:rPr>
          <w:rFonts w:ascii="Arial" w:eastAsia="Times New Roman" w:hAnsi="Arial" w:cs="Arial"/>
        </w:rPr>
        <w:t xml:space="preserve">Prema odredbama Zakona o komunalnom gospodarstvu, sredstva </w:t>
      </w:r>
      <w:r w:rsidRPr="003A2F86">
        <w:rPr>
          <w:rFonts w:ascii="Arial" w:eastAsia="Times New Roman" w:hAnsi="Arial" w:cs="Arial"/>
          <w:b/>
          <w:bCs/>
        </w:rPr>
        <w:t>komunalne naknade</w:t>
      </w:r>
      <w:r w:rsidRPr="003A2F86">
        <w:rPr>
          <w:rFonts w:ascii="Arial" w:eastAsia="Times New Roman" w:hAnsi="Arial" w:cs="Arial"/>
        </w:rPr>
        <w:t xml:space="preserve"> mogu se koristiti za:</w:t>
      </w:r>
    </w:p>
    <w:p w14:paraId="69ABF1B4" w14:textId="79948A08" w:rsidR="000A124E" w:rsidRPr="003A2F86" w:rsidRDefault="000A124E" w:rsidP="000A124E">
      <w:pPr>
        <w:spacing w:after="0" w:line="240" w:lineRule="auto"/>
        <w:ind w:firstLine="708"/>
        <w:jc w:val="both"/>
        <w:rPr>
          <w:rFonts w:ascii="Arial" w:eastAsia="Calibri" w:hAnsi="Arial" w:cs="Arial"/>
        </w:rPr>
      </w:pPr>
      <w:r w:rsidRPr="003A2F86">
        <w:rPr>
          <w:rFonts w:ascii="Arial" w:eastAsia="Times New Roman" w:hAnsi="Arial" w:cs="Arial"/>
        </w:rPr>
        <w:t>- održavanje komunalne infrastrukture (</w:t>
      </w:r>
      <w:r w:rsidRPr="003A2F86">
        <w:rPr>
          <w:rFonts w:ascii="Arial" w:eastAsia="Calibri" w:hAnsi="Arial" w:cs="Arial"/>
        </w:rPr>
        <w:t>održavanja nerazvrstanih cesta; održavanja javnih površina na kojima nije dopušten promet motornih vozila; održavanje građevina javne odvodnje oborinskih voda; održavanja javnih zelenih površina; održavanje građevina, uređaja i predmeta javne namjene; održavanja groblja i krematorija unutar groblja; održavanja čistoće javnih površina; održavanje javne rasvjete),</w:t>
      </w:r>
      <w:r w:rsidR="001A08A8" w:rsidRPr="003A2F86">
        <w:rPr>
          <w:rFonts w:ascii="Arial" w:eastAsia="Calibri" w:hAnsi="Arial" w:cs="Arial"/>
        </w:rPr>
        <w:t xml:space="preserve"> te</w:t>
      </w:r>
    </w:p>
    <w:p w14:paraId="17AD4546" w14:textId="6D40B4A0" w:rsidR="000A124E" w:rsidRPr="003A2F86" w:rsidRDefault="000A124E" w:rsidP="000A124E">
      <w:pPr>
        <w:spacing w:after="0" w:line="240" w:lineRule="auto"/>
        <w:ind w:firstLine="708"/>
        <w:jc w:val="both"/>
        <w:rPr>
          <w:rFonts w:ascii="Arial" w:eastAsia="Times New Roman" w:hAnsi="Arial" w:cs="Arial"/>
        </w:rPr>
      </w:pPr>
      <w:r w:rsidRPr="003A2F86">
        <w:rPr>
          <w:rFonts w:ascii="Arial" w:eastAsia="Calibri" w:hAnsi="Arial" w:cs="Arial"/>
        </w:rPr>
        <w:t xml:space="preserve">- </w:t>
      </w:r>
      <w:r w:rsidRPr="003A2F86">
        <w:rPr>
          <w:rFonts w:ascii="Arial" w:eastAsia="Times New Roman" w:hAnsi="Arial" w:cs="Arial"/>
        </w:rPr>
        <w:t>za financiranje građenja i održavanja objekata predškolskog, školskog, zdravstvenog i socijalnog sadržaja, javnih građevina sportske i kulturne namjene te poboljšanja energetske učinkovitosti zgrada u vlasništvu Općine, ako se time ne dovodi u pitanje mogućnost održavanja i građenja komunalne infrastrukture, a sve pod uvjetom da je isto uređeno odlukom predstavničkog tijela.</w:t>
      </w:r>
    </w:p>
    <w:p w14:paraId="6D475EC0" w14:textId="77777777" w:rsidR="000A124E" w:rsidRPr="003A2F86" w:rsidRDefault="000A124E" w:rsidP="000A124E">
      <w:pPr>
        <w:spacing w:after="0" w:line="240" w:lineRule="auto"/>
        <w:rPr>
          <w:rFonts w:ascii="Arial" w:eastAsia="Times New Roman" w:hAnsi="Arial" w:cs="Arial"/>
        </w:rPr>
      </w:pPr>
    </w:p>
    <w:p w14:paraId="56DD3533" w14:textId="7B89925D" w:rsidR="000A124E" w:rsidRPr="003A2F86" w:rsidRDefault="000A124E" w:rsidP="0079548E">
      <w:pPr>
        <w:spacing w:after="0" w:line="240" w:lineRule="auto"/>
        <w:jc w:val="both"/>
        <w:rPr>
          <w:rFonts w:ascii="Arial" w:eastAsia="Times New Roman" w:hAnsi="Arial" w:cs="Arial"/>
        </w:rPr>
      </w:pPr>
      <w:r w:rsidRPr="003A2F86">
        <w:rPr>
          <w:rFonts w:ascii="Arial" w:eastAsia="Times New Roman" w:hAnsi="Arial" w:cs="Arial"/>
        </w:rPr>
        <w:t xml:space="preserve">Prema odredbama Zakona o komunalnom gospodarstvu, sredstva </w:t>
      </w:r>
      <w:r w:rsidRPr="003A2F86">
        <w:rPr>
          <w:rFonts w:ascii="Arial" w:eastAsia="Times New Roman" w:hAnsi="Arial" w:cs="Arial"/>
          <w:b/>
          <w:bCs/>
        </w:rPr>
        <w:t>komunalnog doprinosa</w:t>
      </w:r>
      <w:r w:rsidRPr="003A2F86">
        <w:rPr>
          <w:rFonts w:ascii="Arial" w:eastAsia="Times New Roman" w:hAnsi="Arial" w:cs="Arial"/>
        </w:rPr>
        <w:t xml:space="preserve"> mogu se koristiti samo za financiranje građenja i održavanja komunalne infrastrukture.</w:t>
      </w:r>
    </w:p>
    <w:p w14:paraId="0ACB4DED" w14:textId="34794674" w:rsidR="000A124E" w:rsidRDefault="000A124E" w:rsidP="00DB0163">
      <w:pPr>
        <w:spacing w:after="0" w:line="240" w:lineRule="auto"/>
        <w:rPr>
          <w:rFonts w:ascii="Arial" w:eastAsia="Times New Roman" w:hAnsi="Arial" w:cs="Arial"/>
        </w:rPr>
      </w:pPr>
    </w:p>
    <w:p w14:paraId="12E01116" w14:textId="77777777" w:rsidR="00CA69D2" w:rsidRDefault="00CA69D2" w:rsidP="00DB0163">
      <w:pPr>
        <w:spacing w:after="0" w:line="240" w:lineRule="auto"/>
        <w:rPr>
          <w:rFonts w:ascii="Arial" w:eastAsia="Times New Roman" w:hAnsi="Arial" w:cs="Arial"/>
        </w:rPr>
      </w:pPr>
    </w:p>
    <w:p w14:paraId="3CD86E0D" w14:textId="77777777" w:rsidR="00CA69D2" w:rsidRDefault="00CA69D2" w:rsidP="00DB0163">
      <w:pPr>
        <w:spacing w:after="0" w:line="240" w:lineRule="auto"/>
        <w:rPr>
          <w:rFonts w:ascii="Arial" w:eastAsia="Times New Roman" w:hAnsi="Arial" w:cs="Arial"/>
        </w:rPr>
      </w:pPr>
    </w:p>
    <w:p w14:paraId="10ED1A41" w14:textId="77777777" w:rsidR="00CA69D2" w:rsidRDefault="00CA69D2" w:rsidP="00DB0163">
      <w:pPr>
        <w:spacing w:after="0" w:line="240" w:lineRule="auto"/>
        <w:rPr>
          <w:rFonts w:ascii="Arial" w:eastAsia="Times New Roman" w:hAnsi="Arial" w:cs="Arial"/>
        </w:rPr>
      </w:pPr>
    </w:p>
    <w:p w14:paraId="5C6992BB" w14:textId="77777777" w:rsidR="00CA69D2" w:rsidRDefault="00CA69D2" w:rsidP="00DB0163">
      <w:pPr>
        <w:spacing w:after="0" w:line="240" w:lineRule="auto"/>
        <w:rPr>
          <w:rFonts w:ascii="Arial" w:eastAsia="Times New Roman" w:hAnsi="Arial" w:cs="Arial"/>
        </w:rPr>
      </w:pPr>
    </w:p>
    <w:p w14:paraId="22999954" w14:textId="77777777" w:rsidR="00CA69D2" w:rsidRDefault="00CA69D2" w:rsidP="00DB0163">
      <w:pPr>
        <w:spacing w:after="0" w:line="240" w:lineRule="auto"/>
        <w:rPr>
          <w:rFonts w:ascii="Arial" w:eastAsia="Times New Roman" w:hAnsi="Arial" w:cs="Arial"/>
        </w:rPr>
      </w:pPr>
    </w:p>
    <w:p w14:paraId="3C3DEBD1" w14:textId="77777777" w:rsidR="00CA69D2" w:rsidRDefault="00CA69D2" w:rsidP="00DB0163">
      <w:pPr>
        <w:spacing w:after="0" w:line="240" w:lineRule="auto"/>
        <w:rPr>
          <w:rFonts w:ascii="Arial" w:eastAsia="Times New Roman" w:hAnsi="Arial" w:cs="Arial"/>
        </w:rPr>
      </w:pPr>
    </w:p>
    <w:p w14:paraId="633C3465" w14:textId="77777777" w:rsidR="00CA69D2" w:rsidRDefault="00CA69D2" w:rsidP="00DB0163">
      <w:pPr>
        <w:spacing w:after="0" w:line="240" w:lineRule="auto"/>
        <w:rPr>
          <w:rFonts w:ascii="Arial" w:eastAsia="Times New Roman" w:hAnsi="Arial" w:cs="Arial"/>
        </w:rPr>
      </w:pPr>
    </w:p>
    <w:p w14:paraId="7762A300" w14:textId="77777777" w:rsidR="00CA69D2" w:rsidRDefault="00CA69D2" w:rsidP="00DB0163">
      <w:pPr>
        <w:spacing w:after="0" w:line="240" w:lineRule="auto"/>
        <w:rPr>
          <w:rFonts w:ascii="Arial" w:eastAsia="Times New Roman" w:hAnsi="Arial" w:cs="Arial"/>
        </w:rPr>
      </w:pPr>
    </w:p>
    <w:p w14:paraId="699AE69B" w14:textId="77777777" w:rsidR="00CA69D2" w:rsidRDefault="00CA69D2" w:rsidP="00DB0163">
      <w:pPr>
        <w:spacing w:after="0" w:line="240" w:lineRule="auto"/>
        <w:rPr>
          <w:rFonts w:ascii="Arial" w:eastAsia="Times New Roman" w:hAnsi="Arial" w:cs="Arial"/>
        </w:rPr>
      </w:pPr>
    </w:p>
    <w:p w14:paraId="2E0628B8" w14:textId="77777777" w:rsidR="00CA69D2" w:rsidRDefault="00CA69D2" w:rsidP="00DB0163">
      <w:pPr>
        <w:spacing w:after="0" w:line="240" w:lineRule="auto"/>
        <w:rPr>
          <w:rFonts w:ascii="Arial" w:eastAsia="Times New Roman" w:hAnsi="Arial" w:cs="Arial"/>
        </w:rPr>
      </w:pPr>
    </w:p>
    <w:p w14:paraId="4836C769" w14:textId="77777777" w:rsidR="00CA69D2" w:rsidRDefault="00CA69D2" w:rsidP="00DB0163">
      <w:pPr>
        <w:spacing w:after="0" w:line="240" w:lineRule="auto"/>
        <w:rPr>
          <w:rFonts w:ascii="Arial" w:eastAsia="Times New Roman" w:hAnsi="Arial" w:cs="Arial"/>
        </w:rPr>
      </w:pPr>
    </w:p>
    <w:p w14:paraId="5265F9FE" w14:textId="77777777" w:rsidR="00CA69D2" w:rsidRDefault="00CA69D2" w:rsidP="00DB0163">
      <w:pPr>
        <w:spacing w:after="0" w:line="240" w:lineRule="auto"/>
        <w:rPr>
          <w:rFonts w:ascii="Arial" w:eastAsia="Times New Roman" w:hAnsi="Arial" w:cs="Arial"/>
        </w:rPr>
      </w:pPr>
    </w:p>
    <w:p w14:paraId="2B25B016" w14:textId="77777777" w:rsidR="00CA69D2" w:rsidRDefault="00CA69D2" w:rsidP="00DB0163">
      <w:pPr>
        <w:spacing w:after="0" w:line="240" w:lineRule="auto"/>
        <w:rPr>
          <w:rFonts w:ascii="Arial" w:eastAsia="Times New Roman" w:hAnsi="Arial" w:cs="Arial"/>
        </w:rPr>
      </w:pPr>
    </w:p>
    <w:p w14:paraId="41D0F7C1" w14:textId="77777777" w:rsidR="00CA69D2" w:rsidRDefault="00CA69D2" w:rsidP="00DB0163">
      <w:pPr>
        <w:spacing w:after="0" w:line="240" w:lineRule="auto"/>
        <w:rPr>
          <w:rFonts w:ascii="Arial" w:eastAsia="Times New Roman" w:hAnsi="Arial" w:cs="Arial"/>
        </w:rPr>
      </w:pPr>
    </w:p>
    <w:p w14:paraId="73CBEA87" w14:textId="77777777" w:rsidR="00CA69D2" w:rsidRPr="003A2F86" w:rsidRDefault="00CA69D2" w:rsidP="00DB0163">
      <w:pPr>
        <w:spacing w:after="0" w:line="240" w:lineRule="auto"/>
        <w:rPr>
          <w:rFonts w:ascii="Arial" w:eastAsia="Times New Roman" w:hAnsi="Arial" w:cs="Arial"/>
        </w:rPr>
      </w:pPr>
    </w:p>
    <w:p w14:paraId="5CB7FF75" w14:textId="2AB4E497" w:rsidR="004B6CE0" w:rsidRPr="003A2F86" w:rsidRDefault="004B6CE0" w:rsidP="004B6CE0">
      <w:pPr>
        <w:pStyle w:val="Opisslike"/>
        <w:rPr>
          <w:rFonts w:ascii="Arial" w:hAnsi="Arial" w:cs="Arial"/>
        </w:rPr>
      </w:pPr>
      <w:bookmarkStart w:id="310" w:name="_Toc232981544"/>
      <w:r w:rsidRPr="003A2F86">
        <w:rPr>
          <w:color w:val="FF0000"/>
        </w:rPr>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25</w:t>
      </w:r>
      <w:r w:rsidRPr="003A2F86">
        <w:rPr>
          <w:color w:val="FF0000"/>
        </w:rPr>
        <w:fldChar w:fldCharType="end"/>
      </w:r>
      <w:r w:rsidRPr="003A2F86">
        <w:rPr>
          <w:color w:val="FF0000"/>
        </w:rPr>
        <w:t xml:space="preserve">.: </w:t>
      </w:r>
      <w:r w:rsidRPr="003A2F86">
        <w:rPr>
          <w:rFonts w:ascii="Arial" w:hAnsi="Arial" w:cs="Arial"/>
        </w:rPr>
        <w:t xml:space="preserve">Prikaz utroška sredstava komunalne naknade i komunalnog doprinosa u </w:t>
      </w:r>
      <w:r w:rsidR="008A47C4">
        <w:rPr>
          <w:rFonts w:ascii="Arial" w:hAnsi="Arial" w:cs="Arial"/>
        </w:rPr>
        <w:t>2025</w:t>
      </w:r>
      <w:r w:rsidRPr="003A2F86">
        <w:rPr>
          <w:rFonts w:ascii="Arial" w:hAnsi="Arial" w:cs="Arial"/>
        </w:rPr>
        <w:t>.</w:t>
      </w:r>
      <w:bookmarkEnd w:id="310"/>
    </w:p>
    <w:p w14:paraId="10785BFE" w14:textId="77777777" w:rsidR="00CA69D2" w:rsidRDefault="00CA69D2" w:rsidP="008170E6">
      <w:pPr>
        <w:spacing w:after="0" w:line="240" w:lineRule="auto"/>
        <w:rPr>
          <w:lang w:eastAsia="en-US"/>
        </w:rPr>
      </w:pPr>
    </w:p>
    <w:tbl>
      <w:tblPr>
        <w:tblW w:w="12100" w:type="dxa"/>
        <w:jc w:val="center"/>
        <w:tblLook w:val="04A0" w:firstRow="1" w:lastRow="0" w:firstColumn="1" w:lastColumn="0" w:noHBand="0" w:noVBand="1"/>
      </w:tblPr>
      <w:tblGrid>
        <w:gridCol w:w="707"/>
        <w:gridCol w:w="948"/>
        <w:gridCol w:w="857"/>
        <w:gridCol w:w="3768"/>
        <w:gridCol w:w="1180"/>
        <w:gridCol w:w="1760"/>
        <w:gridCol w:w="1440"/>
        <w:gridCol w:w="1440"/>
      </w:tblGrid>
      <w:tr w:rsidR="0028121B" w:rsidRPr="0028121B" w14:paraId="541137A3" w14:textId="77777777" w:rsidTr="001D287D">
        <w:trPr>
          <w:trHeight w:val="1170"/>
          <w:jc w:val="center"/>
        </w:trPr>
        <w:tc>
          <w:tcPr>
            <w:tcW w:w="707"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611F83E" w14:textId="77777777" w:rsidR="0028121B" w:rsidRPr="0028121B" w:rsidRDefault="0028121B" w:rsidP="0028121B">
            <w:pPr>
              <w:spacing w:after="0" w:line="240" w:lineRule="auto"/>
              <w:rPr>
                <w:rFonts w:ascii="Arial" w:eastAsia="Times New Roman" w:hAnsi="Arial" w:cs="Arial"/>
                <w:b/>
                <w:bCs/>
                <w:sz w:val="14"/>
                <w:szCs w:val="14"/>
              </w:rPr>
            </w:pPr>
            <w:r w:rsidRPr="0028121B">
              <w:rPr>
                <w:rFonts w:ascii="Arial" w:eastAsia="Times New Roman" w:hAnsi="Arial" w:cs="Arial"/>
                <w:b/>
                <w:bCs/>
                <w:sz w:val="14"/>
                <w:szCs w:val="14"/>
              </w:rPr>
              <w:t>Razdjel / GLAVA</w:t>
            </w:r>
          </w:p>
        </w:tc>
        <w:tc>
          <w:tcPr>
            <w:tcW w:w="948" w:type="dxa"/>
            <w:tcBorders>
              <w:top w:val="single" w:sz="8" w:space="0" w:color="auto"/>
              <w:left w:val="nil"/>
              <w:bottom w:val="single" w:sz="8" w:space="0" w:color="auto"/>
              <w:right w:val="single" w:sz="8" w:space="0" w:color="auto"/>
            </w:tcBorders>
            <w:shd w:val="clear" w:color="000000" w:fill="D9D9D9"/>
            <w:vAlign w:val="center"/>
            <w:hideMark/>
          </w:tcPr>
          <w:p w14:paraId="1A6D34B9" w14:textId="77777777" w:rsidR="0028121B" w:rsidRPr="0028121B" w:rsidRDefault="0028121B" w:rsidP="0028121B">
            <w:pPr>
              <w:spacing w:after="0" w:line="240" w:lineRule="auto"/>
              <w:rPr>
                <w:rFonts w:ascii="Arial" w:eastAsia="Times New Roman" w:hAnsi="Arial" w:cs="Arial"/>
                <w:b/>
                <w:bCs/>
                <w:sz w:val="14"/>
                <w:szCs w:val="14"/>
              </w:rPr>
            </w:pPr>
            <w:r w:rsidRPr="0028121B">
              <w:rPr>
                <w:rFonts w:ascii="Arial" w:eastAsia="Times New Roman" w:hAnsi="Arial" w:cs="Arial"/>
                <w:b/>
                <w:bCs/>
                <w:sz w:val="14"/>
                <w:szCs w:val="14"/>
              </w:rPr>
              <w:t>PROGRAM</w:t>
            </w:r>
          </w:p>
        </w:tc>
        <w:tc>
          <w:tcPr>
            <w:tcW w:w="857" w:type="dxa"/>
            <w:tcBorders>
              <w:top w:val="single" w:sz="8" w:space="0" w:color="auto"/>
              <w:left w:val="nil"/>
              <w:bottom w:val="single" w:sz="8" w:space="0" w:color="auto"/>
              <w:right w:val="single" w:sz="8" w:space="0" w:color="auto"/>
            </w:tcBorders>
            <w:shd w:val="clear" w:color="000000" w:fill="D9D9D9"/>
            <w:vAlign w:val="center"/>
            <w:hideMark/>
          </w:tcPr>
          <w:p w14:paraId="6A8C5AA5" w14:textId="77777777" w:rsidR="0028121B" w:rsidRPr="0028121B" w:rsidRDefault="0028121B" w:rsidP="0028121B">
            <w:pPr>
              <w:spacing w:after="0" w:line="240" w:lineRule="auto"/>
              <w:rPr>
                <w:rFonts w:ascii="Arial" w:eastAsia="Times New Roman" w:hAnsi="Arial" w:cs="Arial"/>
                <w:b/>
                <w:bCs/>
                <w:sz w:val="14"/>
                <w:szCs w:val="14"/>
              </w:rPr>
            </w:pPr>
            <w:r w:rsidRPr="0028121B">
              <w:rPr>
                <w:rFonts w:ascii="Arial" w:eastAsia="Times New Roman" w:hAnsi="Arial" w:cs="Arial"/>
                <w:b/>
                <w:bCs/>
                <w:sz w:val="14"/>
                <w:szCs w:val="14"/>
              </w:rPr>
              <w:t>Aktivnost / projekt</w:t>
            </w:r>
          </w:p>
        </w:tc>
        <w:tc>
          <w:tcPr>
            <w:tcW w:w="3768" w:type="dxa"/>
            <w:tcBorders>
              <w:top w:val="single" w:sz="8" w:space="0" w:color="auto"/>
              <w:left w:val="nil"/>
              <w:bottom w:val="single" w:sz="8" w:space="0" w:color="auto"/>
              <w:right w:val="single" w:sz="8" w:space="0" w:color="auto"/>
            </w:tcBorders>
            <w:vAlign w:val="center"/>
            <w:hideMark/>
          </w:tcPr>
          <w:p w14:paraId="257E6A0C" w14:textId="77777777" w:rsidR="0028121B" w:rsidRPr="0028121B" w:rsidRDefault="0028121B" w:rsidP="0028121B">
            <w:pPr>
              <w:spacing w:after="0" w:line="240" w:lineRule="auto"/>
              <w:rPr>
                <w:rFonts w:ascii="Arial" w:eastAsia="Times New Roman" w:hAnsi="Arial" w:cs="Arial"/>
                <w:b/>
                <w:bCs/>
                <w:sz w:val="18"/>
                <w:szCs w:val="18"/>
              </w:rPr>
            </w:pPr>
            <w:r w:rsidRPr="0028121B">
              <w:rPr>
                <w:rFonts w:ascii="Arial" w:eastAsia="Times New Roman" w:hAnsi="Arial" w:cs="Arial"/>
                <w:b/>
                <w:bCs/>
                <w:sz w:val="18"/>
                <w:szCs w:val="18"/>
              </w:rPr>
              <w:t>UO ZA KOMUNALNI SUSTAV I GOSPODARENJE NEKRETNINAMA</w:t>
            </w:r>
          </w:p>
        </w:tc>
        <w:tc>
          <w:tcPr>
            <w:tcW w:w="1180" w:type="dxa"/>
            <w:tcBorders>
              <w:top w:val="single" w:sz="8" w:space="0" w:color="auto"/>
              <w:left w:val="nil"/>
              <w:bottom w:val="nil"/>
              <w:right w:val="single" w:sz="8" w:space="0" w:color="000000"/>
            </w:tcBorders>
            <w:vAlign w:val="center"/>
            <w:hideMark/>
          </w:tcPr>
          <w:p w14:paraId="7DB71CBB" w14:textId="77777777" w:rsidR="0028121B" w:rsidRPr="0028121B" w:rsidRDefault="0028121B" w:rsidP="0028121B">
            <w:pPr>
              <w:spacing w:after="0" w:line="240" w:lineRule="auto"/>
              <w:jc w:val="center"/>
              <w:rPr>
                <w:rFonts w:ascii="Arial" w:eastAsia="Times New Roman" w:hAnsi="Arial" w:cs="Arial"/>
                <w:b/>
                <w:bCs/>
                <w:sz w:val="16"/>
                <w:szCs w:val="16"/>
              </w:rPr>
            </w:pPr>
            <w:r w:rsidRPr="0028121B">
              <w:rPr>
                <w:rFonts w:ascii="Arial" w:eastAsia="Times New Roman" w:hAnsi="Arial" w:cs="Arial"/>
                <w:b/>
                <w:bCs/>
                <w:sz w:val="16"/>
                <w:szCs w:val="16"/>
              </w:rPr>
              <w:t>Izvršenje aktivnosti / projekta u 2025. (€)</w:t>
            </w:r>
          </w:p>
        </w:tc>
        <w:tc>
          <w:tcPr>
            <w:tcW w:w="1760" w:type="dxa"/>
            <w:tcBorders>
              <w:top w:val="single" w:sz="8" w:space="0" w:color="auto"/>
              <w:left w:val="nil"/>
              <w:bottom w:val="single" w:sz="8" w:space="0" w:color="auto"/>
              <w:right w:val="single" w:sz="8" w:space="0" w:color="auto"/>
            </w:tcBorders>
            <w:vAlign w:val="center"/>
            <w:hideMark/>
          </w:tcPr>
          <w:p w14:paraId="74D631FC" w14:textId="77777777" w:rsidR="0028121B" w:rsidRPr="0028121B" w:rsidRDefault="0028121B" w:rsidP="0028121B">
            <w:pPr>
              <w:spacing w:after="0" w:line="240" w:lineRule="auto"/>
              <w:jc w:val="center"/>
              <w:rPr>
                <w:rFonts w:ascii="Calibri" w:eastAsia="Times New Roman" w:hAnsi="Calibri" w:cs="Calibri"/>
                <w:b/>
                <w:bCs/>
                <w:sz w:val="16"/>
                <w:szCs w:val="16"/>
              </w:rPr>
            </w:pPr>
            <w:r w:rsidRPr="0028121B">
              <w:rPr>
                <w:rFonts w:ascii="Calibri" w:eastAsia="Times New Roman" w:hAnsi="Calibri" w:cs="Calibri"/>
                <w:b/>
                <w:bCs/>
                <w:sz w:val="16"/>
                <w:szCs w:val="16"/>
              </w:rPr>
              <w:t>dio podmirenih rashoda iz izvora komunalni doprinos i komunalna naknada (iznos - €)</w:t>
            </w:r>
          </w:p>
        </w:tc>
        <w:tc>
          <w:tcPr>
            <w:tcW w:w="1440" w:type="dxa"/>
            <w:tcBorders>
              <w:top w:val="single" w:sz="8" w:space="0" w:color="auto"/>
              <w:left w:val="nil"/>
              <w:bottom w:val="single" w:sz="8" w:space="0" w:color="auto"/>
              <w:right w:val="single" w:sz="8" w:space="0" w:color="auto"/>
            </w:tcBorders>
            <w:vAlign w:val="center"/>
            <w:hideMark/>
          </w:tcPr>
          <w:p w14:paraId="58487AB8" w14:textId="77777777" w:rsidR="0028121B" w:rsidRPr="0028121B" w:rsidRDefault="0028121B" w:rsidP="0028121B">
            <w:pPr>
              <w:spacing w:after="0" w:line="240" w:lineRule="auto"/>
              <w:jc w:val="center"/>
              <w:rPr>
                <w:rFonts w:ascii="Calibri" w:eastAsia="Times New Roman" w:hAnsi="Calibri" w:cs="Calibri"/>
                <w:b/>
                <w:bCs/>
                <w:sz w:val="16"/>
                <w:szCs w:val="16"/>
              </w:rPr>
            </w:pPr>
            <w:r w:rsidRPr="0028121B">
              <w:rPr>
                <w:rFonts w:ascii="Calibri" w:eastAsia="Times New Roman" w:hAnsi="Calibri" w:cs="Calibri"/>
                <w:b/>
                <w:bCs/>
                <w:sz w:val="16"/>
                <w:szCs w:val="16"/>
              </w:rPr>
              <w:t>izvor podmirenja rashoda: komunalni doprinos (iznos - €)</w:t>
            </w:r>
          </w:p>
        </w:tc>
        <w:tc>
          <w:tcPr>
            <w:tcW w:w="1440" w:type="dxa"/>
            <w:tcBorders>
              <w:top w:val="single" w:sz="8" w:space="0" w:color="auto"/>
              <w:left w:val="nil"/>
              <w:bottom w:val="single" w:sz="8" w:space="0" w:color="auto"/>
              <w:right w:val="single" w:sz="8" w:space="0" w:color="auto"/>
            </w:tcBorders>
            <w:vAlign w:val="center"/>
            <w:hideMark/>
          </w:tcPr>
          <w:p w14:paraId="6F98CD84" w14:textId="77777777" w:rsidR="0028121B" w:rsidRPr="0028121B" w:rsidRDefault="0028121B" w:rsidP="0028121B">
            <w:pPr>
              <w:spacing w:after="0" w:line="240" w:lineRule="auto"/>
              <w:jc w:val="center"/>
              <w:rPr>
                <w:rFonts w:ascii="Calibri" w:eastAsia="Times New Roman" w:hAnsi="Calibri" w:cs="Calibri"/>
                <w:b/>
                <w:bCs/>
                <w:sz w:val="16"/>
                <w:szCs w:val="16"/>
              </w:rPr>
            </w:pPr>
            <w:r w:rsidRPr="0028121B">
              <w:rPr>
                <w:rFonts w:ascii="Calibri" w:eastAsia="Times New Roman" w:hAnsi="Calibri" w:cs="Calibri"/>
                <w:b/>
                <w:bCs/>
                <w:sz w:val="16"/>
                <w:szCs w:val="16"/>
              </w:rPr>
              <w:t>izvor podmirenja rashoda: komunalna naknada  (iznos - €)</w:t>
            </w:r>
          </w:p>
        </w:tc>
      </w:tr>
      <w:tr w:rsidR="0028121B" w:rsidRPr="0028121B" w14:paraId="41E874D5" w14:textId="77777777" w:rsidTr="001D287D">
        <w:trPr>
          <w:trHeight w:val="203"/>
          <w:jc w:val="center"/>
        </w:trPr>
        <w:tc>
          <w:tcPr>
            <w:tcW w:w="707" w:type="dxa"/>
            <w:tcBorders>
              <w:top w:val="nil"/>
              <w:left w:val="single" w:sz="8" w:space="0" w:color="auto"/>
              <w:bottom w:val="single" w:sz="8" w:space="0" w:color="auto"/>
              <w:right w:val="nil"/>
            </w:tcBorders>
            <w:vAlign w:val="center"/>
            <w:hideMark/>
          </w:tcPr>
          <w:p w14:paraId="33905DA1" w14:textId="77777777" w:rsidR="0028121B" w:rsidRPr="0028121B" w:rsidRDefault="0028121B" w:rsidP="0028121B">
            <w:pPr>
              <w:spacing w:after="0" w:line="240" w:lineRule="auto"/>
              <w:jc w:val="center"/>
              <w:rPr>
                <w:rFonts w:ascii="Arial" w:eastAsia="Times New Roman" w:hAnsi="Arial" w:cs="Arial"/>
                <w:sz w:val="14"/>
                <w:szCs w:val="14"/>
              </w:rPr>
            </w:pPr>
            <w:r w:rsidRPr="0028121B">
              <w:rPr>
                <w:rFonts w:ascii="Arial" w:eastAsia="Times New Roman" w:hAnsi="Arial" w:cs="Arial"/>
                <w:sz w:val="14"/>
                <w:szCs w:val="14"/>
              </w:rPr>
              <w:t>2</w:t>
            </w:r>
          </w:p>
        </w:tc>
        <w:tc>
          <w:tcPr>
            <w:tcW w:w="948" w:type="dxa"/>
            <w:tcBorders>
              <w:top w:val="nil"/>
              <w:left w:val="single" w:sz="8" w:space="0" w:color="auto"/>
              <w:bottom w:val="single" w:sz="8" w:space="0" w:color="auto"/>
              <w:right w:val="single" w:sz="8" w:space="0" w:color="auto"/>
            </w:tcBorders>
            <w:vAlign w:val="center"/>
            <w:hideMark/>
          </w:tcPr>
          <w:p w14:paraId="4464B52A" w14:textId="77777777" w:rsidR="0028121B" w:rsidRPr="0028121B" w:rsidRDefault="0028121B" w:rsidP="0028121B">
            <w:pPr>
              <w:spacing w:after="0" w:line="240" w:lineRule="auto"/>
              <w:jc w:val="center"/>
              <w:rPr>
                <w:rFonts w:ascii="Arial" w:eastAsia="Times New Roman" w:hAnsi="Arial" w:cs="Arial"/>
                <w:sz w:val="14"/>
                <w:szCs w:val="14"/>
              </w:rPr>
            </w:pPr>
            <w:r w:rsidRPr="0028121B">
              <w:rPr>
                <w:rFonts w:ascii="Arial" w:eastAsia="Times New Roman" w:hAnsi="Arial" w:cs="Arial"/>
                <w:sz w:val="14"/>
                <w:szCs w:val="14"/>
              </w:rPr>
              <w:t>3</w:t>
            </w:r>
          </w:p>
        </w:tc>
        <w:tc>
          <w:tcPr>
            <w:tcW w:w="857" w:type="dxa"/>
            <w:tcBorders>
              <w:top w:val="nil"/>
              <w:left w:val="nil"/>
              <w:bottom w:val="single" w:sz="8" w:space="0" w:color="auto"/>
              <w:right w:val="single" w:sz="8" w:space="0" w:color="auto"/>
            </w:tcBorders>
            <w:vAlign w:val="center"/>
            <w:hideMark/>
          </w:tcPr>
          <w:p w14:paraId="6686F7A1" w14:textId="77777777" w:rsidR="0028121B" w:rsidRPr="0028121B" w:rsidRDefault="0028121B" w:rsidP="0028121B">
            <w:pPr>
              <w:spacing w:after="0" w:line="240" w:lineRule="auto"/>
              <w:jc w:val="center"/>
              <w:rPr>
                <w:rFonts w:ascii="Arial" w:eastAsia="Times New Roman" w:hAnsi="Arial" w:cs="Arial"/>
                <w:sz w:val="14"/>
                <w:szCs w:val="14"/>
              </w:rPr>
            </w:pPr>
            <w:r w:rsidRPr="0028121B">
              <w:rPr>
                <w:rFonts w:ascii="Arial" w:eastAsia="Times New Roman" w:hAnsi="Arial" w:cs="Arial"/>
                <w:sz w:val="14"/>
                <w:szCs w:val="14"/>
              </w:rPr>
              <w:t> </w:t>
            </w:r>
          </w:p>
        </w:tc>
        <w:tc>
          <w:tcPr>
            <w:tcW w:w="3768" w:type="dxa"/>
            <w:tcBorders>
              <w:top w:val="nil"/>
              <w:left w:val="nil"/>
              <w:bottom w:val="single" w:sz="8" w:space="0" w:color="auto"/>
              <w:right w:val="single" w:sz="8" w:space="0" w:color="auto"/>
            </w:tcBorders>
            <w:vAlign w:val="center"/>
            <w:hideMark/>
          </w:tcPr>
          <w:p w14:paraId="62D6C07D" w14:textId="77777777" w:rsidR="0028121B" w:rsidRPr="0028121B" w:rsidRDefault="0028121B" w:rsidP="0028121B">
            <w:pPr>
              <w:spacing w:after="0" w:line="240" w:lineRule="auto"/>
              <w:jc w:val="center"/>
              <w:rPr>
                <w:rFonts w:ascii="Arial" w:eastAsia="Times New Roman" w:hAnsi="Arial" w:cs="Arial"/>
                <w:sz w:val="14"/>
                <w:szCs w:val="14"/>
              </w:rPr>
            </w:pPr>
            <w:r w:rsidRPr="0028121B">
              <w:rPr>
                <w:rFonts w:ascii="Arial" w:eastAsia="Times New Roman" w:hAnsi="Arial" w:cs="Arial"/>
                <w:sz w:val="14"/>
                <w:szCs w:val="14"/>
              </w:rPr>
              <w:t>4</w:t>
            </w:r>
          </w:p>
        </w:tc>
        <w:tc>
          <w:tcPr>
            <w:tcW w:w="1180" w:type="dxa"/>
            <w:tcBorders>
              <w:top w:val="single" w:sz="8" w:space="0" w:color="auto"/>
              <w:left w:val="nil"/>
              <w:bottom w:val="nil"/>
              <w:right w:val="nil"/>
            </w:tcBorders>
            <w:vAlign w:val="center"/>
            <w:hideMark/>
          </w:tcPr>
          <w:p w14:paraId="63A375EB" w14:textId="77777777" w:rsidR="0028121B" w:rsidRPr="0028121B" w:rsidRDefault="0028121B" w:rsidP="0028121B">
            <w:pPr>
              <w:spacing w:after="0" w:line="240" w:lineRule="auto"/>
              <w:jc w:val="center"/>
              <w:rPr>
                <w:rFonts w:ascii="Arial" w:eastAsia="Times New Roman" w:hAnsi="Arial" w:cs="Arial"/>
                <w:sz w:val="14"/>
                <w:szCs w:val="14"/>
              </w:rPr>
            </w:pPr>
            <w:r w:rsidRPr="0028121B">
              <w:rPr>
                <w:rFonts w:ascii="Arial" w:eastAsia="Times New Roman" w:hAnsi="Arial" w:cs="Arial"/>
                <w:sz w:val="14"/>
                <w:szCs w:val="14"/>
              </w:rPr>
              <w:t>5</w:t>
            </w:r>
          </w:p>
        </w:tc>
        <w:tc>
          <w:tcPr>
            <w:tcW w:w="1760" w:type="dxa"/>
            <w:tcBorders>
              <w:top w:val="nil"/>
              <w:left w:val="single" w:sz="8" w:space="0" w:color="auto"/>
              <w:bottom w:val="single" w:sz="8" w:space="0" w:color="auto"/>
              <w:right w:val="single" w:sz="8" w:space="0" w:color="auto"/>
            </w:tcBorders>
            <w:vAlign w:val="center"/>
            <w:hideMark/>
          </w:tcPr>
          <w:p w14:paraId="10EF918A" w14:textId="77777777" w:rsidR="0028121B" w:rsidRPr="0028121B" w:rsidRDefault="0028121B" w:rsidP="0028121B">
            <w:pPr>
              <w:spacing w:after="0" w:line="240" w:lineRule="auto"/>
              <w:jc w:val="center"/>
              <w:rPr>
                <w:rFonts w:ascii="Calibri" w:eastAsia="Times New Roman" w:hAnsi="Calibri" w:cs="Calibri"/>
                <w:sz w:val="14"/>
                <w:szCs w:val="14"/>
              </w:rPr>
            </w:pPr>
            <w:r w:rsidRPr="0028121B">
              <w:rPr>
                <w:rFonts w:ascii="Calibri" w:eastAsia="Times New Roman" w:hAnsi="Calibri" w:cs="Calibri"/>
                <w:sz w:val="14"/>
                <w:szCs w:val="14"/>
              </w:rPr>
              <w:t>6 (7+8)</w:t>
            </w:r>
          </w:p>
        </w:tc>
        <w:tc>
          <w:tcPr>
            <w:tcW w:w="1440" w:type="dxa"/>
            <w:tcBorders>
              <w:top w:val="nil"/>
              <w:left w:val="nil"/>
              <w:bottom w:val="single" w:sz="8" w:space="0" w:color="auto"/>
              <w:right w:val="single" w:sz="8" w:space="0" w:color="auto"/>
            </w:tcBorders>
            <w:vAlign w:val="center"/>
            <w:hideMark/>
          </w:tcPr>
          <w:p w14:paraId="51AF1474" w14:textId="77777777" w:rsidR="0028121B" w:rsidRPr="0028121B" w:rsidRDefault="0028121B" w:rsidP="0028121B">
            <w:pPr>
              <w:spacing w:after="0" w:line="240" w:lineRule="auto"/>
              <w:jc w:val="center"/>
              <w:rPr>
                <w:rFonts w:ascii="Calibri" w:eastAsia="Times New Roman" w:hAnsi="Calibri" w:cs="Calibri"/>
                <w:sz w:val="14"/>
                <w:szCs w:val="14"/>
              </w:rPr>
            </w:pPr>
            <w:r w:rsidRPr="0028121B">
              <w:rPr>
                <w:rFonts w:ascii="Calibri" w:eastAsia="Times New Roman" w:hAnsi="Calibri" w:cs="Calibri"/>
                <w:sz w:val="14"/>
                <w:szCs w:val="14"/>
              </w:rPr>
              <w:t>7</w:t>
            </w:r>
          </w:p>
        </w:tc>
        <w:tc>
          <w:tcPr>
            <w:tcW w:w="1440" w:type="dxa"/>
            <w:tcBorders>
              <w:top w:val="nil"/>
              <w:left w:val="nil"/>
              <w:bottom w:val="single" w:sz="8" w:space="0" w:color="auto"/>
              <w:right w:val="single" w:sz="8" w:space="0" w:color="auto"/>
            </w:tcBorders>
            <w:vAlign w:val="center"/>
            <w:hideMark/>
          </w:tcPr>
          <w:p w14:paraId="44B07E42" w14:textId="77777777" w:rsidR="0028121B" w:rsidRPr="0028121B" w:rsidRDefault="0028121B" w:rsidP="0028121B">
            <w:pPr>
              <w:spacing w:after="0" w:line="240" w:lineRule="auto"/>
              <w:jc w:val="center"/>
              <w:rPr>
                <w:rFonts w:ascii="Calibri" w:eastAsia="Times New Roman" w:hAnsi="Calibri" w:cs="Calibri"/>
                <w:sz w:val="14"/>
                <w:szCs w:val="14"/>
              </w:rPr>
            </w:pPr>
            <w:r w:rsidRPr="0028121B">
              <w:rPr>
                <w:rFonts w:ascii="Calibri" w:eastAsia="Times New Roman" w:hAnsi="Calibri" w:cs="Calibri"/>
                <w:sz w:val="14"/>
                <w:szCs w:val="14"/>
              </w:rPr>
              <w:t>8</w:t>
            </w:r>
          </w:p>
        </w:tc>
      </w:tr>
      <w:tr w:rsidR="001D287D" w:rsidRPr="0028121B" w14:paraId="76EE0AA4" w14:textId="77777777" w:rsidTr="001D287D">
        <w:trPr>
          <w:trHeight w:val="315"/>
          <w:jc w:val="center"/>
        </w:trPr>
        <w:tc>
          <w:tcPr>
            <w:tcW w:w="707" w:type="dxa"/>
            <w:tcBorders>
              <w:top w:val="single" w:sz="8" w:space="0" w:color="auto"/>
              <w:left w:val="single" w:sz="8" w:space="0" w:color="auto"/>
              <w:bottom w:val="single" w:sz="8" w:space="0" w:color="auto"/>
              <w:right w:val="nil"/>
            </w:tcBorders>
            <w:shd w:val="clear" w:color="000000" w:fill="F2F2F2"/>
            <w:vAlign w:val="center"/>
            <w:hideMark/>
          </w:tcPr>
          <w:p w14:paraId="0DD6D477" w14:textId="28E1080C" w:rsidR="001D287D" w:rsidRPr="0028121B" w:rsidRDefault="001D287D" w:rsidP="001D287D">
            <w:pPr>
              <w:spacing w:after="0" w:line="240" w:lineRule="auto"/>
              <w:rPr>
                <w:rFonts w:ascii="Arial" w:eastAsia="Times New Roman" w:hAnsi="Arial" w:cs="Arial"/>
                <w:b/>
                <w:bCs/>
                <w:sz w:val="14"/>
                <w:szCs w:val="14"/>
              </w:rPr>
            </w:pPr>
            <w:r>
              <w:rPr>
                <w:rFonts w:ascii="Arial" w:hAnsi="Arial" w:cs="Arial"/>
                <w:b/>
                <w:bCs/>
                <w:sz w:val="14"/>
                <w:szCs w:val="14"/>
              </w:rPr>
              <w:t> </w:t>
            </w:r>
          </w:p>
        </w:tc>
        <w:tc>
          <w:tcPr>
            <w:tcW w:w="948" w:type="dxa"/>
            <w:tcBorders>
              <w:top w:val="single" w:sz="8" w:space="0" w:color="auto"/>
              <w:left w:val="nil"/>
              <w:bottom w:val="single" w:sz="8" w:space="0" w:color="auto"/>
              <w:right w:val="nil"/>
            </w:tcBorders>
            <w:shd w:val="clear" w:color="000000" w:fill="F2F2F2"/>
            <w:vAlign w:val="center"/>
            <w:hideMark/>
          </w:tcPr>
          <w:p w14:paraId="05A19ED8" w14:textId="4E297D24" w:rsidR="001D287D" w:rsidRPr="0028121B" w:rsidRDefault="001D287D" w:rsidP="001D287D">
            <w:pPr>
              <w:spacing w:after="0" w:line="240" w:lineRule="auto"/>
              <w:rPr>
                <w:rFonts w:ascii="Arial" w:eastAsia="Times New Roman" w:hAnsi="Arial" w:cs="Arial"/>
                <w:b/>
                <w:bCs/>
                <w:sz w:val="14"/>
                <w:szCs w:val="14"/>
              </w:rPr>
            </w:pPr>
            <w:r>
              <w:rPr>
                <w:rFonts w:ascii="Arial" w:hAnsi="Arial" w:cs="Arial"/>
                <w:b/>
                <w:bCs/>
                <w:sz w:val="14"/>
                <w:szCs w:val="14"/>
              </w:rPr>
              <w:t> </w:t>
            </w:r>
          </w:p>
        </w:tc>
        <w:tc>
          <w:tcPr>
            <w:tcW w:w="857" w:type="dxa"/>
            <w:tcBorders>
              <w:top w:val="single" w:sz="8" w:space="0" w:color="auto"/>
              <w:left w:val="nil"/>
              <w:bottom w:val="single" w:sz="8" w:space="0" w:color="auto"/>
              <w:right w:val="nil"/>
            </w:tcBorders>
            <w:shd w:val="clear" w:color="000000" w:fill="F2F2F2"/>
            <w:vAlign w:val="center"/>
            <w:hideMark/>
          </w:tcPr>
          <w:p w14:paraId="24576E22" w14:textId="6939D008" w:rsidR="001D287D" w:rsidRPr="0028121B" w:rsidRDefault="001D287D" w:rsidP="001D287D">
            <w:pPr>
              <w:spacing w:after="0" w:line="240" w:lineRule="auto"/>
              <w:rPr>
                <w:rFonts w:ascii="Arial" w:eastAsia="Times New Roman" w:hAnsi="Arial" w:cs="Arial"/>
                <w:b/>
                <w:bCs/>
                <w:sz w:val="14"/>
                <w:szCs w:val="14"/>
              </w:rPr>
            </w:pPr>
            <w:r>
              <w:rPr>
                <w:rFonts w:ascii="Arial" w:hAnsi="Arial" w:cs="Arial"/>
                <w:b/>
                <w:bCs/>
                <w:sz w:val="14"/>
                <w:szCs w:val="14"/>
              </w:rPr>
              <w:t> </w:t>
            </w:r>
          </w:p>
        </w:tc>
        <w:tc>
          <w:tcPr>
            <w:tcW w:w="3768" w:type="dxa"/>
            <w:tcBorders>
              <w:top w:val="single" w:sz="8" w:space="0" w:color="auto"/>
              <w:left w:val="nil"/>
              <w:bottom w:val="single" w:sz="8" w:space="0" w:color="auto"/>
              <w:right w:val="single" w:sz="8" w:space="0" w:color="auto"/>
            </w:tcBorders>
            <w:shd w:val="clear" w:color="000000" w:fill="F2F2F2"/>
            <w:vAlign w:val="center"/>
            <w:hideMark/>
          </w:tcPr>
          <w:p w14:paraId="4928C187" w14:textId="05C8D17B" w:rsidR="001D287D" w:rsidRPr="0028121B" w:rsidRDefault="001D287D" w:rsidP="001D287D">
            <w:pPr>
              <w:spacing w:after="0" w:line="240" w:lineRule="auto"/>
              <w:jc w:val="right"/>
              <w:rPr>
                <w:rFonts w:ascii="Arial" w:eastAsia="Times New Roman" w:hAnsi="Arial" w:cs="Arial"/>
                <w:b/>
                <w:bCs/>
                <w:sz w:val="16"/>
                <w:szCs w:val="16"/>
              </w:rPr>
            </w:pPr>
            <w:r>
              <w:rPr>
                <w:rFonts w:ascii="Arial" w:hAnsi="Arial" w:cs="Arial"/>
                <w:b/>
                <w:bCs/>
                <w:sz w:val="16"/>
                <w:szCs w:val="16"/>
              </w:rPr>
              <w:t>UKUPNO rashodi RAZDJEL 030</w:t>
            </w:r>
          </w:p>
        </w:tc>
        <w:tc>
          <w:tcPr>
            <w:tcW w:w="1180" w:type="dxa"/>
            <w:tcBorders>
              <w:top w:val="single" w:sz="8" w:space="0" w:color="auto"/>
              <w:left w:val="nil"/>
              <w:bottom w:val="single" w:sz="8" w:space="0" w:color="auto"/>
              <w:right w:val="single" w:sz="8" w:space="0" w:color="auto"/>
            </w:tcBorders>
            <w:shd w:val="clear" w:color="000000" w:fill="F2F2F2"/>
            <w:vAlign w:val="center"/>
            <w:hideMark/>
          </w:tcPr>
          <w:p w14:paraId="3B953435" w14:textId="4F2E17AA" w:rsidR="001D287D" w:rsidRPr="0028121B" w:rsidRDefault="001D287D" w:rsidP="001D287D">
            <w:pPr>
              <w:spacing w:after="0" w:line="240" w:lineRule="auto"/>
              <w:jc w:val="right"/>
              <w:rPr>
                <w:rFonts w:ascii="Arial" w:eastAsia="Times New Roman" w:hAnsi="Arial" w:cs="Arial"/>
                <w:b/>
                <w:bCs/>
                <w:sz w:val="16"/>
                <w:szCs w:val="16"/>
              </w:rPr>
            </w:pPr>
            <w:r>
              <w:rPr>
                <w:rFonts w:ascii="Arial" w:hAnsi="Arial" w:cs="Arial"/>
                <w:b/>
                <w:bCs/>
                <w:sz w:val="16"/>
                <w:szCs w:val="16"/>
              </w:rPr>
              <w:t> </w:t>
            </w:r>
          </w:p>
        </w:tc>
        <w:tc>
          <w:tcPr>
            <w:tcW w:w="1760" w:type="dxa"/>
            <w:tcBorders>
              <w:top w:val="single" w:sz="8" w:space="0" w:color="auto"/>
              <w:left w:val="nil"/>
              <w:bottom w:val="single" w:sz="8" w:space="0" w:color="auto"/>
              <w:right w:val="single" w:sz="8" w:space="0" w:color="auto"/>
            </w:tcBorders>
            <w:shd w:val="clear" w:color="000000" w:fill="F2F2F2"/>
            <w:vAlign w:val="center"/>
            <w:hideMark/>
          </w:tcPr>
          <w:p w14:paraId="660098C3" w14:textId="01CF694E" w:rsidR="001D287D" w:rsidRPr="0028121B" w:rsidRDefault="001D287D" w:rsidP="001D287D">
            <w:pPr>
              <w:spacing w:after="0" w:line="240" w:lineRule="auto"/>
              <w:jc w:val="right"/>
              <w:rPr>
                <w:rFonts w:ascii="Arial" w:eastAsia="Times New Roman" w:hAnsi="Arial" w:cs="Arial"/>
                <w:b/>
                <w:bCs/>
                <w:sz w:val="16"/>
                <w:szCs w:val="16"/>
              </w:rPr>
            </w:pPr>
            <w:r>
              <w:rPr>
                <w:rFonts w:ascii="Arial" w:hAnsi="Arial" w:cs="Arial"/>
                <w:b/>
                <w:bCs/>
                <w:sz w:val="16"/>
                <w:szCs w:val="16"/>
              </w:rPr>
              <w:t>1.341.890,94</w:t>
            </w:r>
          </w:p>
        </w:tc>
        <w:tc>
          <w:tcPr>
            <w:tcW w:w="1440" w:type="dxa"/>
            <w:tcBorders>
              <w:top w:val="single" w:sz="8" w:space="0" w:color="auto"/>
              <w:left w:val="nil"/>
              <w:bottom w:val="single" w:sz="8" w:space="0" w:color="auto"/>
              <w:right w:val="single" w:sz="8" w:space="0" w:color="auto"/>
            </w:tcBorders>
            <w:shd w:val="clear" w:color="000000" w:fill="F2F2F2"/>
            <w:vAlign w:val="center"/>
            <w:hideMark/>
          </w:tcPr>
          <w:p w14:paraId="3FF163EE" w14:textId="73049D29" w:rsidR="001D287D" w:rsidRPr="0028121B" w:rsidRDefault="001D287D" w:rsidP="001D287D">
            <w:pPr>
              <w:spacing w:after="0" w:line="240" w:lineRule="auto"/>
              <w:jc w:val="right"/>
              <w:rPr>
                <w:rFonts w:ascii="Arial" w:eastAsia="Times New Roman" w:hAnsi="Arial" w:cs="Arial"/>
                <w:b/>
                <w:bCs/>
                <w:sz w:val="16"/>
                <w:szCs w:val="16"/>
              </w:rPr>
            </w:pPr>
            <w:r>
              <w:rPr>
                <w:rFonts w:ascii="Arial" w:hAnsi="Arial" w:cs="Arial"/>
                <w:b/>
                <w:bCs/>
                <w:sz w:val="16"/>
                <w:szCs w:val="16"/>
              </w:rPr>
              <w:t>315.712,14</w:t>
            </w:r>
          </w:p>
        </w:tc>
        <w:tc>
          <w:tcPr>
            <w:tcW w:w="1440" w:type="dxa"/>
            <w:tcBorders>
              <w:top w:val="single" w:sz="8" w:space="0" w:color="auto"/>
              <w:left w:val="nil"/>
              <w:bottom w:val="single" w:sz="8" w:space="0" w:color="auto"/>
              <w:right w:val="single" w:sz="8" w:space="0" w:color="auto"/>
            </w:tcBorders>
            <w:shd w:val="clear" w:color="000000" w:fill="F2F2F2"/>
            <w:vAlign w:val="center"/>
            <w:hideMark/>
          </w:tcPr>
          <w:p w14:paraId="2A937B4D" w14:textId="1EF18E83" w:rsidR="001D287D" w:rsidRPr="0028121B" w:rsidRDefault="001D287D" w:rsidP="001D287D">
            <w:pPr>
              <w:spacing w:after="0" w:line="240" w:lineRule="auto"/>
              <w:jc w:val="right"/>
              <w:rPr>
                <w:rFonts w:ascii="Arial" w:eastAsia="Times New Roman" w:hAnsi="Arial" w:cs="Arial"/>
                <w:b/>
                <w:bCs/>
                <w:sz w:val="16"/>
                <w:szCs w:val="16"/>
              </w:rPr>
            </w:pPr>
            <w:r>
              <w:rPr>
                <w:rFonts w:ascii="Arial" w:hAnsi="Arial" w:cs="Arial"/>
                <w:b/>
                <w:bCs/>
                <w:sz w:val="16"/>
                <w:szCs w:val="16"/>
              </w:rPr>
              <w:t>1.026.178,80</w:t>
            </w:r>
          </w:p>
        </w:tc>
      </w:tr>
      <w:tr w:rsidR="001D287D" w:rsidRPr="0028121B" w14:paraId="558E905D" w14:textId="77777777" w:rsidTr="001D287D">
        <w:trPr>
          <w:trHeight w:val="465"/>
          <w:jc w:val="center"/>
        </w:trPr>
        <w:tc>
          <w:tcPr>
            <w:tcW w:w="707" w:type="dxa"/>
            <w:tcBorders>
              <w:top w:val="nil"/>
              <w:left w:val="nil"/>
              <w:bottom w:val="single" w:sz="8" w:space="0" w:color="auto"/>
              <w:right w:val="single" w:sz="8" w:space="0" w:color="auto"/>
            </w:tcBorders>
            <w:vAlign w:val="center"/>
            <w:hideMark/>
          </w:tcPr>
          <w:p w14:paraId="251B3555" w14:textId="5A4EAA48"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030 01</w:t>
            </w:r>
          </w:p>
        </w:tc>
        <w:tc>
          <w:tcPr>
            <w:tcW w:w="948" w:type="dxa"/>
            <w:tcBorders>
              <w:top w:val="nil"/>
              <w:left w:val="nil"/>
              <w:bottom w:val="single" w:sz="8" w:space="0" w:color="auto"/>
              <w:right w:val="single" w:sz="8" w:space="0" w:color="auto"/>
            </w:tcBorders>
            <w:vAlign w:val="center"/>
            <w:hideMark/>
          </w:tcPr>
          <w:p w14:paraId="1FD9CC2E" w14:textId="462C9A37"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857" w:type="dxa"/>
            <w:tcBorders>
              <w:top w:val="nil"/>
              <w:left w:val="nil"/>
              <w:bottom w:val="single" w:sz="8" w:space="0" w:color="auto"/>
              <w:right w:val="single" w:sz="8" w:space="0" w:color="auto"/>
            </w:tcBorders>
            <w:vAlign w:val="center"/>
            <w:hideMark/>
          </w:tcPr>
          <w:p w14:paraId="017AD370" w14:textId="7E784028"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3768" w:type="dxa"/>
            <w:tcBorders>
              <w:top w:val="nil"/>
              <w:left w:val="nil"/>
              <w:bottom w:val="single" w:sz="8" w:space="0" w:color="auto"/>
              <w:right w:val="single" w:sz="8" w:space="0" w:color="auto"/>
            </w:tcBorders>
            <w:vAlign w:val="center"/>
            <w:hideMark/>
          </w:tcPr>
          <w:p w14:paraId="600E112E" w14:textId="1802D1BD"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UO ZA KOMUNALNI SUSTAV I GOSPODARENJE NEKRETNINAMA</w:t>
            </w:r>
          </w:p>
        </w:tc>
        <w:tc>
          <w:tcPr>
            <w:tcW w:w="1180" w:type="dxa"/>
            <w:tcBorders>
              <w:top w:val="nil"/>
              <w:left w:val="nil"/>
              <w:bottom w:val="single" w:sz="8" w:space="0" w:color="auto"/>
              <w:right w:val="single" w:sz="8" w:space="0" w:color="auto"/>
            </w:tcBorders>
            <w:noWrap/>
            <w:vAlign w:val="center"/>
            <w:hideMark/>
          </w:tcPr>
          <w:p w14:paraId="16B5F2F9" w14:textId="6C7781DC" w:rsidR="001D287D" w:rsidRPr="0028121B" w:rsidRDefault="001D287D" w:rsidP="001D287D">
            <w:pPr>
              <w:spacing w:after="0" w:line="240" w:lineRule="auto"/>
              <w:rPr>
                <w:rFonts w:ascii="Calibri" w:eastAsia="Times New Roman" w:hAnsi="Calibri" w:cs="Calibri"/>
                <w:b/>
                <w:bCs/>
                <w:sz w:val="18"/>
                <w:szCs w:val="18"/>
              </w:rPr>
            </w:pPr>
            <w:r>
              <w:rPr>
                <w:rFonts w:ascii="Calibri" w:hAnsi="Calibri" w:cs="Calibri"/>
                <w:b/>
                <w:bCs/>
                <w:sz w:val="18"/>
                <w:szCs w:val="18"/>
              </w:rPr>
              <w:t> </w:t>
            </w:r>
          </w:p>
        </w:tc>
        <w:tc>
          <w:tcPr>
            <w:tcW w:w="1760" w:type="dxa"/>
            <w:tcBorders>
              <w:top w:val="nil"/>
              <w:left w:val="nil"/>
              <w:bottom w:val="single" w:sz="8" w:space="0" w:color="auto"/>
              <w:right w:val="single" w:sz="8" w:space="0" w:color="auto"/>
            </w:tcBorders>
            <w:noWrap/>
            <w:vAlign w:val="center"/>
            <w:hideMark/>
          </w:tcPr>
          <w:p w14:paraId="5D36F08E" w14:textId="6EDCF2DB" w:rsidR="001D287D" w:rsidRPr="0028121B" w:rsidRDefault="001D287D" w:rsidP="001D287D">
            <w:pPr>
              <w:spacing w:after="0" w:line="240" w:lineRule="auto"/>
              <w:jc w:val="right"/>
              <w:rPr>
                <w:rFonts w:ascii="Calibri" w:eastAsia="Times New Roman" w:hAnsi="Calibri" w:cs="Calibri"/>
                <w:b/>
                <w:bCs/>
                <w:sz w:val="18"/>
                <w:szCs w:val="18"/>
              </w:rPr>
            </w:pPr>
            <w:r>
              <w:rPr>
                <w:rFonts w:ascii="Calibri" w:hAnsi="Calibri" w:cs="Calibri"/>
                <w:b/>
                <w:bCs/>
                <w:sz w:val="18"/>
                <w:szCs w:val="18"/>
              </w:rPr>
              <w:t>1.341.890,94</w:t>
            </w:r>
          </w:p>
        </w:tc>
        <w:tc>
          <w:tcPr>
            <w:tcW w:w="1440" w:type="dxa"/>
            <w:tcBorders>
              <w:top w:val="nil"/>
              <w:left w:val="nil"/>
              <w:bottom w:val="single" w:sz="8" w:space="0" w:color="auto"/>
              <w:right w:val="single" w:sz="8" w:space="0" w:color="auto"/>
            </w:tcBorders>
            <w:noWrap/>
            <w:vAlign w:val="center"/>
            <w:hideMark/>
          </w:tcPr>
          <w:p w14:paraId="1FB756F9" w14:textId="005D9524" w:rsidR="001D287D" w:rsidRPr="0028121B" w:rsidRDefault="001D287D" w:rsidP="001D287D">
            <w:pPr>
              <w:spacing w:after="0" w:line="240" w:lineRule="auto"/>
              <w:jc w:val="right"/>
              <w:rPr>
                <w:rFonts w:ascii="Calibri" w:eastAsia="Times New Roman" w:hAnsi="Calibri" w:cs="Calibri"/>
                <w:b/>
                <w:bCs/>
                <w:sz w:val="18"/>
                <w:szCs w:val="18"/>
              </w:rPr>
            </w:pPr>
            <w:r>
              <w:rPr>
                <w:rFonts w:ascii="Calibri" w:hAnsi="Calibri" w:cs="Calibri"/>
                <w:b/>
                <w:bCs/>
                <w:sz w:val="18"/>
                <w:szCs w:val="18"/>
              </w:rPr>
              <w:t>315.712,14</w:t>
            </w:r>
          </w:p>
        </w:tc>
        <w:tc>
          <w:tcPr>
            <w:tcW w:w="1440" w:type="dxa"/>
            <w:tcBorders>
              <w:top w:val="nil"/>
              <w:left w:val="nil"/>
              <w:bottom w:val="single" w:sz="8" w:space="0" w:color="auto"/>
              <w:right w:val="single" w:sz="8" w:space="0" w:color="auto"/>
            </w:tcBorders>
            <w:noWrap/>
            <w:vAlign w:val="center"/>
            <w:hideMark/>
          </w:tcPr>
          <w:p w14:paraId="57904AB3" w14:textId="2967094A" w:rsidR="001D287D" w:rsidRPr="0028121B" w:rsidRDefault="001D287D" w:rsidP="001D287D">
            <w:pPr>
              <w:spacing w:after="0" w:line="240" w:lineRule="auto"/>
              <w:jc w:val="right"/>
              <w:rPr>
                <w:rFonts w:ascii="Calibri" w:eastAsia="Times New Roman" w:hAnsi="Calibri" w:cs="Calibri"/>
                <w:b/>
                <w:bCs/>
                <w:sz w:val="18"/>
                <w:szCs w:val="18"/>
              </w:rPr>
            </w:pPr>
            <w:r>
              <w:rPr>
                <w:rFonts w:ascii="Calibri" w:hAnsi="Calibri" w:cs="Calibri"/>
                <w:b/>
                <w:bCs/>
                <w:sz w:val="18"/>
                <w:szCs w:val="18"/>
              </w:rPr>
              <w:t>1.026.178,80</w:t>
            </w:r>
          </w:p>
        </w:tc>
      </w:tr>
      <w:tr w:rsidR="001D287D" w:rsidRPr="0028121B" w14:paraId="255C80FD" w14:textId="77777777" w:rsidTr="001D287D">
        <w:trPr>
          <w:trHeight w:val="465"/>
          <w:jc w:val="center"/>
        </w:trPr>
        <w:tc>
          <w:tcPr>
            <w:tcW w:w="707" w:type="dxa"/>
            <w:tcBorders>
              <w:top w:val="nil"/>
              <w:left w:val="nil"/>
              <w:bottom w:val="nil"/>
              <w:right w:val="single" w:sz="8" w:space="0" w:color="auto"/>
            </w:tcBorders>
            <w:vAlign w:val="center"/>
            <w:hideMark/>
          </w:tcPr>
          <w:p w14:paraId="594529BC" w14:textId="49F4B82A"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single" w:sz="8" w:space="0" w:color="auto"/>
            </w:tcBorders>
            <w:vAlign w:val="center"/>
            <w:hideMark/>
          </w:tcPr>
          <w:p w14:paraId="4D5EE4FE" w14:textId="4E9EECD2" w:rsidR="001D287D" w:rsidRPr="0028121B" w:rsidRDefault="001D287D" w:rsidP="001D287D">
            <w:pPr>
              <w:spacing w:after="0" w:line="240" w:lineRule="auto"/>
              <w:rPr>
                <w:rFonts w:ascii="Arial" w:eastAsia="Times New Roman" w:hAnsi="Arial" w:cs="Arial"/>
                <w:b/>
                <w:bCs/>
                <w:sz w:val="14"/>
                <w:szCs w:val="14"/>
              </w:rPr>
            </w:pPr>
            <w:r>
              <w:rPr>
                <w:rFonts w:ascii="Arial" w:hAnsi="Arial" w:cs="Arial"/>
                <w:b/>
                <w:bCs/>
                <w:sz w:val="14"/>
                <w:szCs w:val="14"/>
              </w:rPr>
              <w:t>2091</w:t>
            </w:r>
          </w:p>
        </w:tc>
        <w:tc>
          <w:tcPr>
            <w:tcW w:w="857" w:type="dxa"/>
            <w:tcBorders>
              <w:top w:val="nil"/>
              <w:left w:val="nil"/>
              <w:bottom w:val="single" w:sz="8" w:space="0" w:color="auto"/>
              <w:right w:val="single" w:sz="8" w:space="0" w:color="auto"/>
            </w:tcBorders>
            <w:vAlign w:val="center"/>
            <w:hideMark/>
          </w:tcPr>
          <w:p w14:paraId="4C83B9FE" w14:textId="32C5095E" w:rsidR="001D287D" w:rsidRPr="0028121B" w:rsidRDefault="001D287D" w:rsidP="001D287D">
            <w:pPr>
              <w:spacing w:after="0" w:line="240" w:lineRule="auto"/>
              <w:rPr>
                <w:rFonts w:ascii="Arial" w:eastAsia="Times New Roman" w:hAnsi="Arial" w:cs="Arial"/>
                <w:b/>
                <w:bCs/>
                <w:sz w:val="14"/>
                <w:szCs w:val="14"/>
              </w:rPr>
            </w:pPr>
            <w:r>
              <w:rPr>
                <w:rFonts w:ascii="Arial" w:hAnsi="Arial" w:cs="Arial"/>
                <w:b/>
                <w:bCs/>
                <w:sz w:val="14"/>
                <w:szCs w:val="14"/>
              </w:rPr>
              <w:t> </w:t>
            </w:r>
          </w:p>
        </w:tc>
        <w:tc>
          <w:tcPr>
            <w:tcW w:w="3768" w:type="dxa"/>
            <w:tcBorders>
              <w:top w:val="nil"/>
              <w:left w:val="nil"/>
              <w:bottom w:val="single" w:sz="8" w:space="0" w:color="auto"/>
              <w:right w:val="single" w:sz="8" w:space="0" w:color="auto"/>
            </w:tcBorders>
            <w:vAlign w:val="center"/>
            <w:hideMark/>
          </w:tcPr>
          <w:p w14:paraId="74831751" w14:textId="7BA9C3CA" w:rsidR="001D287D" w:rsidRPr="0028121B" w:rsidRDefault="001D287D" w:rsidP="001D287D">
            <w:pPr>
              <w:spacing w:after="0" w:line="240" w:lineRule="auto"/>
              <w:rPr>
                <w:rFonts w:ascii="Arial" w:eastAsia="Times New Roman" w:hAnsi="Arial" w:cs="Arial"/>
                <w:b/>
                <w:bCs/>
                <w:sz w:val="16"/>
                <w:szCs w:val="16"/>
              </w:rPr>
            </w:pPr>
            <w:r>
              <w:rPr>
                <w:rFonts w:ascii="Arial" w:hAnsi="Arial" w:cs="Arial"/>
                <w:b/>
                <w:bCs/>
                <w:sz w:val="16"/>
                <w:szCs w:val="16"/>
              </w:rPr>
              <w:t>Program održavanja komunalne infrastrukture</w:t>
            </w:r>
          </w:p>
        </w:tc>
        <w:tc>
          <w:tcPr>
            <w:tcW w:w="1180" w:type="dxa"/>
            <w:tcBorders>
              <w:top w:val="nil"/>
              <w:left w:val="nil"/>
              <w:bottom w:val="single" w:sz="8" w:space="0" w:color="auto"/>
              <w:right w:val="single" w:sz="8" w:space="0" w:color="auto"/>
            </w:tcBorders>
            <w:noWrap/>
            <w:vAlign w:val="center"/>
            <w:hideMark/>
          </w:tcPr>
          <w:p w14:paraId="64227AA8" w14:textId="50BC33D7" w:rsidR="001D287D" w:rsidRPr="0028121B" w:rsidRDefault="001D287D" w:rsidP="001D287D">
            <w:pPr>
              <w:spacing w:after="0" w:line="240" w:lineRule="auto"/>
              <w:jc w:val="right"/>
              <w:rPr>
                <w:rFonts w:ascii="Calibri" w:eastAsia="Times New Roman" w:hAnsi="Calibri" w:cs="Calibri"/>
                <w:b/>
                <w:bCs/>
                <w:sz w:val="18"/>
                <w:szCs w:val="18"/>
              </w:rPr>
            </w:pPr>
            <w:r>
              <w:rPr>
                <w:rFonts w:ascii="Calibri" w:hAnsi="Calibri" w:cs="Calibri"/>
                <w:b/>
                <w:bCs/>
                <w:sz w:val="18"/>
                <w:szCs w:val="18"/>
              </w:rPr>
              <w:t>2.364.205,35</w:t>
            </w:r>
          </w:p>
        </w:tc>
        <w:tc>
          <w:tcPr>
            <w:tcW w:w="1760" w:type="dxa"/>
            <w:tcBorders>
              <w:top w:val="nil"/>
              <w:left w:val="nil"/>
              <w:bottom w:val="single" w:sz="8" w:space="0" w:color="auto"/>
              <w:right w:val="single" w:sz="8" w:space="0" w:color="auto"/>
            </w:tcBorders>
            <w:noWrap/>
            <w:vAlign w:val="center"/>
            <w:hideMark/>
          </w:tcPr>
          <w:p w14:paraId="19C85F2B" w14:textId="107B0B51" w:rsidR="001D287D" w:rsidRPr="0028121B" w:rsidRDefault="001D287D" w:rsidP="001D287D">
            <w:pPr>
              <w:spacing w:after="0" w:line="240" w:lineRule="auto"/>
              <w:jc w:val="right"/>
              <w:rPr>
                <w:rFonts w:ascii="Calibri" w:eastAsia="Times New Roman" w:hAnsi="Calibri" w:cs="Calibri"/>
                <w:b/>
                <w:bCs/>
                <w:sz w:val="18"/>
                <w:szCs w:val="18"/>
              </w:rPr>
            </w:pPr>
            <w:r>
              <w:rPr>
                <w:rFonts w:ascii="Calibri" w:hAnsi="Calibri" w:cs="Calibri"/>
                <w:b/>
                <w:bCs/>
                <w:sz w:val="18"/>
                <w:szCs w:val="18"/>
              </w:rPr>
              <w:t>1.135.577,29</w:t>
            </w:r>
          </w:p>
        </w:tc>
        <w:tc>
          <w:tcPr>
            <w:tcW w:w="1440" w:type="dxa"/>
            <w:tcBorders>
              <w:top w:val="nil"/>
              <w:left w:val="nil"/>
              <w:bottom w:val="single" w:sz="8" w:space="0" w:color="auto"/>
              <w:right w:val="single" w:sz="8" w:space="0" w:color="auto"/>
            </w:tcBorders>
            <w:noWrap/>
            <w:vAlign w:val="center"/>
            <w:hideMark/>
          </w:tcPr>
          <w:p w14:paraId="36F7A9D2" w14:textId="22B34E10" w:rsidR="001D287D" w:rsidRPr="0028121B" w:rsidRDefault="001D287D" w:rsidP="001D287D">
            <w:pPr>
              <w:spacing w:after="0" w:line="240" w:lineRule="auto"/>
              <w:jc w:val="right"/>
              <w:rPr>
                <w:rFonts w:ascii="Calibri" w:eastAsia="Times New Roman" w:hAnsi="Calibri" w:cs="Calibri"/>
                <w:b/>
                <w:bCs/>
                <w:sz w:val="18"/>
                <w:szCs w:val="18"/>
              </w:rPr>
            </w:pPr>
            <w:r>
              <w:rPr>
                <w:rFonts w:ascii="Calibri" w:hAnsi="Calibri" w:cs="Calibri"/>
                <w:b/>
                <w:bCs/>
                <w:sz w:val="18"/>
                <w:szCs w:val="18"/>
              </w:rPr>
              <w:t>240.696,14</w:t>
            </w:r>
          </w:p>
        </w:tc>
        <w:tc>
          <w:tcPr>
            <w:tcW w:w="1440" w:type="dxa"/>
            <w:tcBorders>
              <w:top w:val="nil"/>
              <w:left w:val="nil"/>
              <w:bottom w:val="single" w:sz="8" w:space="0" w:color="auto"/>
              <w:right w:val="single" w:sz="8" w:space="0" w:color="auto"/>
            </w:tcBorders>
            <w:noWrap/>
            <w:vAlign w:val="center"/>
            <w:hideMark/>
          </w:tcPr>
          <w:p w14:paraId="563AB5C7" w14:textId="006B8741" w:rsidR="001D287D" w:rsidRPr="0028121B" w:rsidRDefault="001D287D" w:rsidP="001D287D">
            <w:pPr>
              <w:spacing w:after="0" w:line="240" w:lineRule="auto"/>
              <w:jc w:val="right"/>
              <w:rPr>
                <w:rFonts w:ascii="Calibri" w:eastAsia="Times New Roman" w:hAnsi="Calibri" w:cs="Calibri"/>
                <w:b/>
                <w:bCs/>
                <w:sz w:val="18"/>
                <w:szCs w:val="18"/>
              </w:rPr>
            </w:pPr>
            <w:r>
              <w:rPr>
                <w:rFonts w:ascii="Calibri" w:hAnsi="Calibri" w:cs="Calibri"/>
                <w:b/>
                <w:bCs/>
                <w:sz w:val="18"/>
                <w:szCs w:val="18"/>
              </w:rPr>
              <w:t>894.881,15</w:t>
            </w:r>
          </w:p>
        </w:tc>
      </w:tr>
      <w:tr w:rsidR="001D287D" w:rsidRPr="0028121B" w14:paraId="07887844" w14:textId="77777777" w:rsidTr="001D287D">
        <w:trPr>
          <w:trHeight w:val="450"/>
          <w:jc w:val="center"/>
        </w:trPr>
        <w:tc>
          <w:tcPr>
            <w:tcW w:w="707" w:type="dxa"/>
            <w:tcBorders>
              <w:top w:val="single" w:sz="8" w:space="0" w:color="auto"/>
              <w:left w:val="nil"/>
              <w:bottom w:val="nil"/>
              <w:right w:val="single" w:sz="8" w:space="0" w:color="auto"/>
            </w:tcBorders>
            <w:vAlign w:val="center"/>
            <w:hideMark/>
          </w:tcPr>
          <w:p w14:paraId="68CD40C0" w14:textId="37CA67E2"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single" w:sz="8" w:space="0" w:color="auto"/>
              <w:left w:val="nil"/>
              <w:bottom w:val="nil"/>
              <w:right w:val="nil"/>
            </w:tcBorders>
            <w:vAlign w:val="center"/>
            <w:hideMark/>
          </w:tcPr>
          <w:p w14:paraId="2539F399" w14:textId="7C862909" w:rsidR="001D287D" w:rsidRPr="0028121B" w:rsidRDefault="001D287D" w:rsidP="001D287D">
            <w:pPr>
              <w:spacing w:after="0" w:line="240" w:lineRule="auto"/>
              <w:rPr>
                <w:rFonts w:ascii="Arial" w:eastAsia="Times New Roman" w:hAnsi="Arial" w:cs="Arial"/>
                <w:b/>
                <w:bCs/>
                <w:sz w:val="14"/>
                <w:szCs w:val="14"/>
              </w:rPr>
            </w:pPr>
            <w:r>
              <w:rPr>
                <w:rFonts w:ascii="Arial" w:hAnsi="Arial" w:cs="Arial"/>
                <w:b/>
                <w:bCs/>
                <w:sz w:val="14"/>
                <w:szCs w:val="14"/>
              </w:rPr>
              <w:t> </w:t>
            </w: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3B42F2FF" w14:textId="75C82080"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A209101</w:t>
            </w:r>
          </w:p>
        </w:tc>
        <w:tc>
          <w:tcPr>
            <w:tcW w:w="3768" w:type="dxa"/>
            <w:tcBorders>
              <w:top w:val="nil"/>
              <w:left w:val="nil"/>
              <w:bottom w:val="single" w:sz="4" w:space="0" w:color="auto"/>
              <w:right w:val="single" w:sz="4" w:space="0" w:color="auto"/>
            </w:tcBorders>
            <w:shd w:val="clear" w:color="000000" w:fill="FFFFFF"/>
            <w:vAlign w:val="center"/>
            <w:hideMark/>
          </w:tcPr>
          <w:p w14:paraId="1271063E" w14:textId="52F5692C"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Održavanje čistoće javnih površina 7, godišnji ugovor</w:t>
            </w:r>
          </w:p>
        </w:tc>
        <w:tc>
          <w:tcPr>
            <w:tcW w:w="1180" w:type="dxa"/>
            <w:tcBorders>
              <w:top w:val="nil"/>
              <w:left w:val="nil"/>
              <w:bottom w:val="single" w:sz="4" w:space="0" w:color="auto"/>
              <w:right w:val="single" w:sz="4" w:space="0" w:color="auto"/>
            </w:tcBorders>
            <w:vAlign w:val="center"/>
            <w:hideMark/>
          </w:tcPr>
          <w:p w14:paraId="150937B1" w14:textId="7F58EA3D"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249.795,36</w:t>
            </w:r>
          </w:p>
        </w:tc>
        <w:tc>
          <w:tcPr>
            <w:tcW w:w="1760" w:type="dxa"/>
            <w:tcBorders>
              <w:top w:val="nil"/>
              <w:left w:val="nil"/>
              <w:bottom w:val="single" w:sz="4" w:space="0" w:color="auto"/>
              <w:right w:val="single" w:sz="4" w:space="0" w:color="auto"/>
            </w:tcBorders>
            <w:vAlign w:val="center"/>
            <w:hideMark/>
          </w:tcPr>
          <w:p w14:paraId="1DAA3980" w14:textId="73296E4A"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81.946,34</w:t>
            </w:r>
          </w:p>
        </w:tc>
        <w:tc>
          <w:tcPr>
            <w:tcW w:w="1440" w:type="dxa"/>
            <w:tcBorders>
              <w:top w:val="nil"/>
              <w:left w:val="nil"/>
              <w:bottom w:val="single" w:sz="4" w:space="0" w:color="auto"/>
              <w:right w:val="single" w:sz="4" w:space="0" w:color="auto"/>
            </w:tcBorders>
            <w:vAlign w:val="center"/>
            <w:hideMark/>
          </w:tcPr>
          <w:p w14:paraId="266C9FD2" w14:textId="1A177565"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4.753,53</w:t>
            </w:r>
          </w:p>
        </w:tc>
        <w:tc>
          <w:tcPr>
            <w:tcW w:w="1440" w:type="dxa"/>
            <w:tcBorders>
              <w:top w:val="nil"/>
              <w:left w:val="nil"/>
              <w:bottom w:val="single" w:sz="4" w:space="0" w:color="auto"/>
              <w:right w:val="single" w:sz="4" w:space="0" w:color="auto"/>
            </w:tcBorders>
            <w:vAlign w:val="center"/>
            <w:hideMark/>
          </w:tcPr>
          <w:p w14:paraId="303BF73C" w14:textId="2FB9F30B"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77.192,81</w:t>
            </w:r>
          </w:p>
        </w:tc>
      </w:tr>
      <w:tr w:rsidR="001D287D" w:rsidRPr="0028121B" w14:paraId="36E68EEC" w14:textId="77777777" w:rsidTr="001D287D">
        <w:trPr>
          <w:trHeight w:val="450"/>
          <w:jc w:val="center"/>
        </w:trPr>
        <w:tc>
          <w:tcPr>
            <w:tcW w:w="707" w:type="dxa"/>
            <w:tcBorders>
              <w:top w:val="nil"/>
              <w:left w:val="nil"/>
              <w:bottom w:val="nil"/>
              <w:right w:val="single" w:sz="8" w:space="0" w:color="auto"/>
            </w:tcBorders>
            <w:vAlign w:val="center"/>
            <w:hideMark/>
          </w:tcPr>
          <w:p w14:paraId="197A7669" w14:textId="22A3C915"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0A1D6C58" w14:textId="77777777" w:rsidR="001D287D" w:rsidRPr="0028121B"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25D22969" w14:textId="62BDF8AC"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A209102</w:t>
            </w:r>
          </w:p>
        </w:tc>
        <w:tc>
          <w:tcPr>
            <w:tcW w:w="3768" w:type="dxa"/>
            <w:tcBorders>
              <w:top w:val="nil"/>
              <w:left w:val="nil"/>
              <w:bottom w:val="single" w:sz="4" w:space="0" w:color="auto"/>
              <w:right w:val="single" w:sz="4" w:space="0" w:color="auto"/>
            </w:tcBorders>
            <w:shd w:val="clear" w:color="000000" w:fill="FFFFFF"/>
            <w:vAlign w:val="center"/>
            <w:hideMark/>
          </w:tcPr>
          <w:p w14:paraId="0A8B78E4" w14:textId="059C6BA2"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Održavanje javnih zelenih površina 4, godišnji ugovor</w:t>
            </w:r>
          </w:p>
        </w:tc>
        <w:tc>
          <w:tcPr>
            <w:tcW w:w="1180" w:type="dxa"/>
            <w:tcBorders>
              <w:top w:val="nil"/>
              <w:left w:val="nil"/>
              <w:bottom w:val="single" w:sz="4" w:space="0" w:color="auto"/>
              <w:right w:val="single" w:sz="4" w:space="0" w:color="auto"/>
            </w:tcBorders>
            <w:vAlign w:val="center"/>
            <w:hideMark/>
          </w:tcPr>
          <w:p w14:paraId="23A96AD8" w14:textId="2D28550B"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137.457,54</w:t>
            </w:r>
          </w:p>
        </w:tc>
        <w:tc>
          <w:tcPr>
            <w:tcW w:w="1760" w:type="dxa"/>
            <w:tcBorders>
              <w:top w:val="nil"/>
              <w:left w:val="nil"/>
              <w:bottom w:val="single" w:sz="4" w:space="0" w:color="auto"/>
              <w:right w:val="single" w:sz="4" w:space="0" w:color="auto"/>
            </w:tcBorders>
            <w:vAlign w:val="center"/>
            <w:hideMark/>
          </w:tcPr>
          <w:p w14:paraId="357493CC" w14:textId="383BD704"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124.961,40</w:t>
            </w:r>
          </w:p>
        </w:tc>
        <w:tc>
          <w:tcPr>
            <w:tcW w:w="1440" w:type="dxa"/>
            <w:tcBorders>
              <w:top w:val="nil"/>
              <w:left w:val="nil"/>
              <w:bottom w:val="single" w:sz="4" w:space="0" w:color="auto"/>
              <w:right w:val="single" w:sz="4" w:space="0" w:color="auto"/>
            </w:tcBorders>
            <w:vAlign w:val="center"/>
            <w:hideMark/>
          </w:tcPr>
          <w:p w14:paraId="5456BCD8" w14:textId="2AE92EC0"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47.535,32</w:t>
            </w:r>
          </w:p>
        </w:tc>
        <w:tc>
          <w:tcPr>
            <w:tcW w:w="1440" w:type="dxa"/>
            <w:tcBorders>
              <w:top w:val="nil"/>
              <w:left w:val="nil"/>
              <w:bottom w:val="single" w:sz="4" w:space="0" w:color="auto"/>
              <w:right w:val="single" w:sz="4" w:space="0" w:color="auto"/>
            </w:tcBorders>
            <w:vAlign w:val="center"/>
            <w:hideMark/>
          </w:tcPr>
          <w:p w14:paraId="1E978C1A" w14:textId="4C07CBA8"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77.426,08</w:t>
            </w:r>
          </w:p>
        </w:tc>
      </w:tr>
      <w:tr w:rsidR="001D287D" w:rsidRPr="0028121B" w14:paraId="302694D3" w14:textId="77777777" w:rsidTr="001D287D">
        <w:trPr>
          <w:trHeight w:val="510"/>
          <w:jc w:val="center"/>
        </w:trPr>
        <w:tc>
          <w:tcPr>
            <w:tcW w:w="707" w:type="dxa"/>
            <w:tcBorders>
              <w:top w:val="nil"/>
              <w:left w:val="nil"/>
              <w:bottom w:val="nil"/>
              <w:right w:val="single" w:sz="8" w:space="0" w:color="auto"/>
            </w:tcBorders>
            <w:vAlign w:val="center"/>
            <w:hideMark/>
          </w:tcPr>
          <w:p w14:paraId="4605C688" w14:textId="02A0E78E"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669E1E3B" w14:textId="77777777" w:rsidR="001D287D" w:rsidRPr="0028121B"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5AFA9A91" w14:textId="3281A868"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A209103</w:t>
            </w:r>
          </w:p>
        </w:tc>
        <w:tc>
          <w:tcPr>
            <w:tcW w:w="3768" w:type="dxa"/>
            <w:tcBorders>
              <w:top w:val="nil"/>
              <w:left w:val="nil"/>
              <w:bottom w:val="single" w:sz="4" w:space="0" w:color="auto"/>
              <w:right w:val="single" w:sz="4" w:space="0" w:color="auto"/>
            </w:tcBorders>
            <w:shd w:val="clear" w:color="000000" w:fill="FFFFFF"/>
            <w:vAlign w:val="center"/>
            <w:hideMark/>
          </w:tcPr>
          <w:p w14:paraId="5B08A469" w14:textId="6371FB55"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Održavanje javnih zelenih povr.4, odluke (novo hortikulturno uređenje, oštećenja, vrem.nepog. i sl.)</w:t>
            </w:r>
          </w:p>
        </w:tc>
        <w:tc>
          <w:tcPr>
            <w:tcW w:w="1180" w:type="dxa"/>
            <w:tcBorders>
              <w:top w:val="nil"/>
              <w:left w:val="nil"/>
              <w:bottom w:val="single" w:sz="4" w:space="0" w:color="auto"/>
              <w:right w:val="single" w:sz="4" w:space="0" w:color="auto"/>
            </w:tcBorders>
            <w:vAlign w:val="center"/>
            <w:hideMark/>
          </w:tcPr>
          <w:p w14:paraId="75983405" w14:textId="416D9F88"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221.973,61</w:t>
            </w:r>
          </w:p>
        </w:tc>
        <w:tc>
          <w:tcPr>
            <w:tcW w:w="1760" w:type="dxa"/>
            <w:tcBorders>
              <w:top w:val="nil"/>
              <w:left w:val="nil"/>
              <w:bottom w:val="single" w:sz="4" w:space="0" w:color="auto"/>
              <w:right w:val="single" w:sz="4" w:space="0" w:color="auto"/>
            </w:tcBorders>
            <w:vAlign w:val="center"/>
            <w:hideMark/>
          </w:tcPr>
          <w:p w14:paraId="6B10A8E3" w14:textId="51CD1AAA"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108.955,77</w:t>
            </w:r>
          </w:p>
        </w:tc>
        <w:tc>
          <w:tcPr>
            <w:tcW w:w="1440" w:type="dxa"/>
            <w:tcBorders>
              <w:top w:val="nil"/>
              <w:left w:val="nil"/>
              <w:bottom w:val="single" w:sz="4" w:space="0" w:color="auto"/>
              <w:right w:val="single" w:sz="4" w:space="0" w:color="auto"/>
            </w:tcBorders>
            <w:vAlign w:val="center"/>
            <w:hideMark/>
          </w:tcPr>
          <w:p w14:paraId="792BFD14" w14:textId="34C58E72"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11.410,71</w:t>
            </w:r>
          </w:p>
        </w:tc>
        <w:tc>
          <w:tcPr>
            <w:tcW w:w="1440" w:type="dxa"/>
            <w:tcBorders>
              <w:top w:val="nil"/>
              <w:left w:val="nil"/>
              <w:bottom w:val="single" w:sz="4" w:space="0" w:color="auto"/>
              <w:right w:val="single" w:sz="4" w:space="0" w:color="auto"/>
            </w:tcBorders>
            <w:vAlign w:val="center"/>
            <w:hideMark/>
          </w:tcPr>
          <w:p w14:paraId="2798E8C5" w14:textId="1E6C026E"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97.545,06</w:t>
            </w:r>
          </w:p>
        </w:tc>
      </w:tr>
      <w:tr w:rsidR="001D287D" w:rsidRPr="0028121B" w14:paraId="55865CF6" w14:textId="77777777" w:rsidTr="001D287D">
        <w:trPr>
          <w:trHeight w:val="345"/>
          <w:jc w:val="center"/>
        </w:trPr>
        <w:tc>
          <w:tcPr>
            <w:tcW w:w="707" w:type="dxa"/>
            <w:tcBorders>
              <w:top w:val="nil"/>
              <w:left w:val="nil"/>
              <w:bottom w:val="nil"/>
              <w:right w:val="single" w:sz="8" w:space="0" w:color="auto"/>
            </w:tcBorders>
            <w:vAlign w:val="center"/>
            <w:hideMark/>
          </w:tcPr>
          <w:p w14:paraId="53283286" w14:textId="69F8E856"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482730A5" w14:textId="77777777" w:rsidR="001D287D" w:rsidRPr="0028121B"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22820E59" w14:textId="5A2A0EE1"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A209106</w:t>
            </w:r>
          </w:p>
        </w:tc>
        <w:tc>
          <w:tcPr>
            <w:tcW w:w="3768" w:type="dxa"/>
            <w:tcBorders>
              <w:top w:val="nil"/>
              <w:left w:val="nil"/>
              <w:bottom w:val="single" w:sz="4" w:space="0" w:color="auto"/>
              <w:right w:val="single" w:sz="4" w:space="0" w:color="auto"/>
            </w:tcBorders>
            <w:shd w:val="clear" w:color="000000" w:fill="FFFFFF"/>
            <w:vAlign w:val="center"/>
            <w:hideMark/>
          </w:tcPr>
          <w:p w14:paraId="726D2F17" w14:textId="2F9DD70A"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Održavanje nerazvrstanih cesta 1 (godišnji ugovor)</w:t>
            </w:r>
          </w:p>
        </w:tc>
        <w:tc>
          <w:tcPr>
            <w:tcW w:w="1180" w:type="dxa"/>
            <w:tcBorders>
              <w:top w:val="nil"/>
              <w:left w:val="nil"/>
              <w:bottom w:val="single" w:sz="4" w:space="0" w:color="auto"/>
              <w:right w:val="single" w:sz="4" w:space="0" w:color="auto"/>
            </w:tcBorders>
            <w:vAlign w:val="center"/>
            <w:hideMark/>
          </w:tcPr>
          <w:p w14:paraId="61B47F7D" w14:textId="637C1FE7"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797.963,88</w:t>
            </w:r>
          </w:p>
        </w:tc>
        <w:tc>
          <w:tcPr>
            <w:tcW w:w="1760" w:type="dxa"/>
            <w:tcBorders>
              <w:top w:val="nil"/>
              <w:left w:val="nil"/>
              <w:bottom w:val="single" w:sz="4" w:space="0" w:color="auto"/>
              <w:right w:val="single" w:sz="4" w:space="0" w:color="auto"/>
            </w:tcBorders>
            <w:vAlign w:val="center"/>
            <w:hideMark/>
          </w:tcPr>
          <w:p w14:paraId="648BBB3F" w14:textId="6C5FFCFC"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205.232,57</w:t>
            </w:r>
          </w:p>
        </w:tc>
        <w:tc>
          <w:tcPr>
            <w:tcW w:w="1440" w:type="dxa"/>
            <w:tcBorders>
              <w:top w:val="nil"/>
              <w:left w:val="nil"/>
              <w:bottom w:val="single" w:sz="4" w:space="0" w:color="auto"/>
              <w:right w:val="single" w:sz="4" w:space="0" w:color="auto"/>
            </w:tcBorders>
            <w:vAlign w:val="center"/>
            <w:hideMark/>
          </w:tcPr>
          <w:p w14:paraId="5F9B3BBF" w14:textId="7B20EB15"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21.738,88</w:t>
            </w:r>
          </w:p>
        </w:tc>
        <w:tc>
          <w:tcPr>
            <w:tcW w:w="1440" w:type="dxa"/>
            <w:tcBorders>
              <w:top w:val="nil"/>
              <w:left w:val="nil"/>
              <w:bottom w:val="single" w:sz="4" w:space="0" w:color="auto"/>
              <w:right w:val="single" w:sz="4" w:space="0" w:color="auto"/>
            </w:tcBorders>
            <w:vAlign w:val="center"/>
            <w:hideMark/>
          </w:tcPr>
          <w:p w14:paraId="615002C0" w14:textId="2641414C"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183.493,69</w:t>
            </w:r>
          </w:p>
        </w:tc>
      </w:tr>
      <w:tr w:rsidR="001D287D" w:rsidRPr="0028121B" w14:paraId="2D49ACCD" w14:textId="77777777" w:rsidTr="001D287D">
        <w:trPr>
          <w:trHeight w:val="315"/>
          <w:jc w:val="center"/>
        </w:trPr>
        <w:tc>
          <w:tcPr>
            <w:tcW w:w="707" w:type="dxa"/>
            <w:tcBorders>
              <w:top w:val="nil"/>
              <w:left w:val="nil"/>
              <w:bottom w:val="nil"/>
              <w:right w:val="single" w:sz="8" w:space="0" w:color="auto"/>
            </w:tcBorders>
            <w:vAlign w:val="center"/>
            <w:hideMark/>
          </w:tcPr>
          <w:p w14:paraId="1EA921B6" w14:textId="3C3F987C"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597EFC83" w14:textId="77777777" w:rsidR="001D287D" w:rsidRPr="0028121B"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77AA0CAC" w14:textId="45682E6D"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A209108</w:t>
            </w:r>
          </w:p>
        </w:tc>
        <w:tc>
          <w:tcPr>
            <w:tcW w:w="3768" w:type="dxa"/>
            <w:tcBorders>
              <w:top w:val="nil"/>
              <w:left w:val="nil"/>
              <w:bottom w:val="single" w:sz="4" w:space="0" w:color="auto"/>
              <w:right w:val="single" w:sz="4" w:space="0" w:color="auto"/>
            </w:tcBorders>
            <w:shd w:val="clear" w:color="000000" w:fill="FFFFFF"/>
            <w:vAlign w:val="center"/>
            <w:hideMark/>
          </w:tcPr>
          <w:p w14:paraId="51B50F94" w14:textId="0520439B"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Održ. cesta 1, organizacija prometa u mirovanju</w:t>
            </w:r>
          </w:p>
        </w:tc>
        <w:tc>
          <w:tcPr>
            <w:tcW w:w="1180" w:type="dxa"/>
            <w:tcBorders>
              <w:top w:val="nil"/>
              <w:left w:val="nil"/>
              <w:bottom w:val="single" w:sz="4" w:space="0" w:color="auto"/>
              <w:right w:val="single" w:sz="4" w:space="0" w:color="auto"/>
            </w:tcBorders>
            <w:vAlign w:val="center"/>
            <w:hideMark/>
          </w:tcPr>
          <w:p w14:paraId="2A238C97" w14:textId="1E9102F5"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47.565,28</w:t>
            </w:r>
          </w:p>
        </w:tc>
        <w:tc>
          <w:tcPr>
            <w:tcW w:w="1760" w:type="dxa"/>
            <w:tcBorders>
              <w:top w:val="nil"/>
              <w:left w:val="nil"/>
              <w:bottom w:val="single" w:sz="4" w:space="0" w:color="auto"/>
              <w:right w:val="single" w:sz="4" w:space="0" w:color="auto"/>
            </w:tcBorders>
            <w:vAlign w:val="center"/>
            <w:hideMark/>
          </w:tcPr>
          <w:p w14:paraId="30D53EF2" w14:textId="5EDB4C14"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47.464,28</w:t>
            </w:r>
          </w:p>
        </w:tc>
        <w:tc>
          <w:tcPr>
            <w:tcW w:w="1440" w:type="dxa"/>
            <w:tcBorders>
              <w:top w:val="nil"/>
              <w:left w:val="nil"/>
              <w:bottom w:val="single" w:sz="4" w:space="0" w:color="auto"/>
              <w:right w:val="single" w:sz="4" w:space="0" w:color="auto"/>
            </w:tcBorders>
            <w:vAlign w:val="center"/>
            <w:hideMark/>
          </w:tcPr>
          <w:p w14:paraId="7FDC8554" w14:textId="5FFA16FA" w:rsidR="001D287D" w:rsidRPr="0028121B" w:rsidRDefault="001D287D" w:rsidP="001D287D">
            <w:pPr>
              <w:spacing w:after="0" w:line="240" w:lineRule="auto"/>
              <w:rPr>
                <w:rFonts w:ascii="Calibri" w:eastAsia="Times New Roman" w:hAnsi="Calibri" w:cs="Calibri"/>
                <w:sz w:val="16"/>
                <w:szCs w:val="16"/>
              </w:rPr>
            </w:pPr>
            <w:r>
              <w:rPr>
                <w:rFonts w:ascii="Calibri" w:hAnsi="Calibri" w:cs="Calibri"/>
                <w:sz w:val="16"/>
                <w:szCs w:val="16"/>
              </w:rPr>
              <w:t> </w:t>
            </w:r>
          </w:p>
        </w:tc>
        <w:tc>
          <w:tcPr>
            <w:tcW w:w="1440" w:type="dxa"/>
            <w:tcBorders>
              <w:top w:val="nil"/>
              <w:left w:val="nil"/>
              <w:bottom w:val="single" w:sz="4" w:space="0" w:color="auto"/>
              <w:right w:val="single" w:sz="4" w:space="0" w:color="auto"/>
            </w:tcBorders>
            <w:vAlign w:val="center"/>
            <w:hideMark/>
          </w:tcPr>
          <w:p w14:paraId="49F3E94B" w14:textId="6041C8E3"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47.464,28</w:t>
            </w:r>
          </w:p>
        </w:tc>
      </w:tr>
      <w:tr w:rsidR="001D287D" w:rsidRPr="0028121B" w14:paraId="062C0A98" w14:textId="77777777" w:rsidTr="001D287D">
        <w:trPr>
          <w:trHeight w:val="300"/>
          <w:jc w:val="center"/>
        </w:trPr>
        <w:tc>
          <w:tcPr>
            <w:tcW w:w="707" w:type="dxa"/>
            <w:tcBorders>
              <w:top w:val="nil"/>
              <w:left w:val="nil"/>
              <w:bottom w:val="nil"/>
              <w:right w:val="single" w:sz="8" w:space="0" w:color="auto"/>
            </w:tcBorders>
            <w:vAlign w:val="center"/>
            <w:hideMark/>
          </w:tcPr>
          <w:p w14:paraId="7E77040B" w14:textId="4E275B93"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36E31674" w14:textId="77777777" w:rsidR="001D287D" w:rsidRPr="0028121B"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40E12EBE" w14:textId="74544B28"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A209109</w:t>
            </w:r>
          </w:p>
        </w:tc>
        <w:tc>
          <w:tcPr>
            <w:tcW w:w="3768" w:type="dxa"/>
            <w:tcBorders>
              <w:top w:val="nil"/>
              <w:left w:val="nil"/>
              <w:bottom w:val="single" w:sz="4" w:space="0" w:color="auto"/>
              <w:right w:val="single" w:sz="4" w:space="0" w:color="auto"/>
            </w:tcBorders>
            <w:shd w:val="clear" w:color="000000" w:fill="FFFFFF"/>
            <w:vAlign w:val="center"/>
            <w:hideMark/>
          </w:tcPr>
          <w:p w14:paraId="19CAF742" w14:textId="4A0EDE82"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Održavanje i čišćenje cesta 1 - zimska služba</w:t>
            </w:r>
          </w:p>
        </w:tc>
        <w:tc>
          <w:tcPr>
            <w:tcW w:w="1180" w:type="dxa"/>
            <w:tcBorders>
              <w:top w:val="nil"/>
              <w:left w:val="nil"/>
              <w:bottom w:val="single" w:sz="4" w:space="0" w:color="auto"/>
              <w:right w:val="single" w:sz="4" w:space="0" w:color="auto"/>
            </w:tcBorders>
            <w:vAlign w:val="center"/>
            <w:hideMark/>
          </w:tcPr>
          <w:p w14:paraId="1A7C565A" w14:textId="0474678D"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2.475,00</w:t>
            </w:r>
          </w:p>
        </w:tc>
        <w:tc>
          <w:tcPr>
            <w:tcW w:w="1760" w:type="dxa"/>
            <w:tcBorders>
              <w:top w:val="nil"/>
              <w:left w:val="nil"/>
              <w:bottom w:val="single" w:sz="4" w:space="0" w:color="auto"/>
              <w:right w:val="single" w:sz="4" w:space="0" w:color="auto"/>
            </w:tcBorders>
            <w:vAlign w:val="center"/>
            <w:hideMark/>
          </w:tcPr>
          <w:p w14:paraId="2F097717" w14:textId="41F5433F"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2.475,00</w:t>
            </w:r>
          </w:p>
        </w:tc>
        <w:tc>
          <w:tcPr>
            <w:tcW w:w="1440" w:type="dxa"/>
            <w:tcBorders>
              <w:top w:val="nil"/>
              <w:left w:val="nil"/>
              <w:bottom w:val="single" w:sz="4" w:space="0" w:color="auto"/>
              <w:right w:val="single" w:sz="4" w:space="0" w:color="auto"/>
            </w:tcBorders>
            <w:vAlign w:val="center"/>
            <w:hideMark/>
          </w:tcPr>
          <w:p w14:paraId="192A7045" w14:textId="1985A260" w:rsidR="001D287D" w:rsidRPr="0028121B" w:rsidRDefault="001D287D" w:rsidP="001D287D">
            <w:pPr>
              <w:spacing w:after="0" w:line="240" w:lineRule="auto"/>
              <w:rPr>
                <w:rFonts w:ascii="Calibri" w:eastAsia="Times New Roman" w:hAnsi="Calibri" w:cs="Calibri"/>
                <w:sz w:val="16"/>
                <w:szCs w:val="16"/>
              </w:rPr>
            </w:pPr>
            <w:r>
              <w:rPr>
                <w:rFonts w:ascii="Calibri" w:hAnsi="Calibri" w:cs="Calibri"/>
                <w:sz w:val="16"/>
                <w:szCs w:val="16"/>
              </w:rPr>
              <w:t> </w:t>
            </w:r>
          </w:p>
        </w:tc>
        <w:tc>
          <w:tcPr>
            <w:tcW w:w="1440" w:type="dxa"/>
            <w:tcBorders>
              <w:top w:val="nil"/>
              <w:left w:val="nil"/>
              <w:bottom w:val="single" w:sz="4" w:space="0" w:color="auto"/>
              <w:right w:val="single" w:sz="4" w:space="0" w:color="auto"/>
            </w:tcBorders>
            <w:vAlign w:val="center"/>
            <w:hideMark/>
          </w:tcPr>
          <w:p w14:paraId="0C21C26A" w14:textId="0998FFEC"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2.475,00</w:t>
            </w:r>
          </w:p>
        </w:tc>
      </w:tr>
      <w:tr w:rsidR="001D287D" w:rsidRPr="0028121B" w14:paraId="714FEBA4" w14:textId="77777777" w:rsidTr="001D287D">
        <w:trPr>
          <w:trHeight w:val="300"/>
          <w:jc w:val="center"/>
        </w:trPr>
        <w:tc>
          <w:tcPr>
            <w:tcW w:w="707" w:type="dxa"/>
            <w:tcBorders>
              <w:top w:val="nil"/>
              <w:left w:val="nil"/>
              <w:bottom w:val="nil"/>
              <w:right w:val="single" w:sz="8" w:space="0" w:color="auto"/>
            </w:tcBorders>
            <w:vAlign w:val="center"/>
            <w:hideMark/>
          </w:tcPr>
          <w:p w14:paraId="629F1187" w14:textId="5E0C7AEC"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0B705D9C" w14:textId="77777777" w:rsidR="001D287D" w:rsidRPr="0028121B"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70C3DCEC" w14:textId="3BE76D73"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A209111</w:t>
            </w:r>
          </w:p>
        </w:tc>
        <w:tc>
          <w:tcPr>
            <w:tcW w:w="3768" w:type="dxa"/>
            <w:tcBorders>
              <w:top w:val="nil"/>
              <w:left w:val="nil"/>
              <w:bottom w:val="single" w:sz="4" w:space="0" w:color="auto"/>
              <w:right w:val="single" w:sz="4" w:space="0" w:color="auto"/>
            </w:tcBorders>
            <w:shd w:val="clear" w:color="000000" w:fill="FFFFFF"/>
            <w:vAlign w:val="center"/>
            <w:hideMark/>
          </w:tcPr>
          <w:p w14:paraId="24FF2CDE" w14:textId="210D8FB7"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Održavanje javne rasvjete 8</w:t>
            </w:r>
          </w:p>
        </w:tc>
        <w:tc>
          <w:tcPr>
            <w:tcW w:w="1180" w:type="dxa"/>
            <w:tcBorders>
              <w:top w:val="nil"/>
              <w:left w:val="nil"/>
              <w:bottom w:val="single" w:sz="4" w:space="0" w:color="auto"/>
              <w:right w:val="single" w:sz="4" w:space="0" w:color="auto"/>
            </w:tcBorders>
            <w:vAlign w:val="center"/>
            <w:hideMark/>
          </w:tcPr>
          <w:p w14:paraId="6C69001C" w14:textId="15438AEB"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175.738,26</w:t>
            </w:r>
          </w:p>
        </w:tc>
        <w:tc>
          <w:tcPr>
            <w:tcW w:w="1760" w:type="dxa"/>
            <w:tcBorders>
              <w:top w:val="nil"/>
              <w:left w:val="nil"/>
              <w:bottom w:val="single" w:sz="4" w:space="0" w:color="auto"/>
              <w:right w:val="single" w:sz="4" w:space="0" w:color="auto"/>
            </w:tcBorders>
            <w:vAlign w:val="center"/>
            <w:hideMark/>
          </w:tcPr>
          <w:p w14:paraId="13362C9C" w14:textId="2059CE8E"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163.613,26</w:t>
            </w:r>
          </w:p>
        </w:tc>
        <w:tc>
          <w:tcPr>
            <w:tcW w:w="1440" w:type="dxa"/>
            <w:tcBorders>
              <w:top w:val="nil"/>
              <w:left w:val="nil"/>
              <w:bottom w:val="single" w:sz="4" w:space="0" w:color="auto"/>
              <w:right w:val="single" w:sz="4" w:space="0" w:color="auto"/>
            </w:tcBorders>
            <w:vAlign w:val="center"/>
            <w:hideMark/>
          </w:tcPr>
          <w:p w14:paraId="205A08A8" w14:textId="67FA1C35"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73.259,53</w:t>
            </w:r>
          </w:p>
        </w:tc>
        <w:tc>
          <w:tcPr>
            <w:tcW w:w="1440" w:type="dxa"/>
            <w:tcBorders>
              <w:top w:val="nil"/>
              <w:left w:val="nil"/>
              <w:bottom w:val="single" w:sz="4" w:space="0" w:color="auto"/>
              <w:right w:val="single" w:sz="4" w:space="0" w:color="auto"/>
            </w:tcBorders>
            <w:vAlign w:val="center"/>
            <w:hideMark/>
          </w:tcPr>
          <w:p w14:paraId="390AE069" w14:textId="3672DDE4"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90.353,73</w:t>
            </w:r>
          </w:p>
        </w:tc>
      </w:tr>
      <w:tr w:rsidR="001D287D" w:rsidRPr="0028121B" w14:paraId="529496DB" w14:textId="77777777" w:rsidTr="001D287D">
        <w:trPr>
          <w:trHeight w:val="450"/>
          <w:jc w:val="center"/>
        </w:trPr>
        <w:tc>
          <w:tcPr>
            <w:tcW w:w="707" w:type="dxa"/>
            <w:tcBorders>
              <w:top w:val="nil"/>
              <w:left w:val="nil"/>
              <w:bottom w:val="nil"/>
              <w:right w:val="single" w:sz="8" w:space="0" w:color="auto"/>
            </w:tcBorders>
            <w:vAlign w:val="center"/>
            <w:hideMark/>
          </w:tcPr>
          <w:p w14:paraId="220FE811" w14:textId="64C7064B"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5746A6D2" w14:textId="77777777" w:rsidR="001D287D" w:rsidRPr="0028121B"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4C7AAD8A" w14:textId="1081A7F1"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A209115</w:t>
            </w:r>
          </w:p>
        </w:tc>
        <w:tc>
          <w:tcPr>
            <w:tcW w:w="3768" w:type="dxa"/>
            <w:tcBorders>
              <w:top w:val="nil"/>
              <w:left w:val="nil"/>
              <w:bottom w:val="single" w:sz="4" w:space="0" w:color="auto"/>
              <w:right w:val="single" w:sz="4" w:space="0" w:color="auto"/>
            </w:tcBorders>
            <w:shd w:val="clear" w:color="000000" w:fill="FFFFFF"/>
            <w:vAlign w:val="center"/>
            <w:hideMark/>
          </w:tcPr>
          <w:p w14:paraId="19606C83" w14:textId="04370F94"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Izvanredno održavanje cesta i potpornih zidova radi održavanja sigurnosti prometa 1</w:t>
            </w:r>
          </w:p>
        </w:tc>
        <w:tc>
          <w:tcPr>
            <w:tcW w:w="1180" w:type="dxa"/>
            <w:tcBorders>
              <w:top w:val="nil"/>
              <w:left w:val="nil"/>
              <w:bottom w:val="single" w:sz="4" w:space="0" w:color="auto"/>
              <w:right w:val="single" w:sz="4" w:space="0" w:color="auto"/>
            </w:tcBorders>
            <w:vAlign w:val="center"/>
            <w:hideMark/>
          </w:tcPr>
          <w:p w14:paraId="232FAE37" w14:textId="49A6A982"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262.868,53</w:t>
            </w:r>
          </w:p>
        </w:tc>
        <w:tc>
          <w:tcPr>
            <w:tcW w:w="1760" w:type="dxa"/>
            <w:tcBorders>
              <w:top w:val="nil"/>
              <w:left w:val="nil"/>
              <w:bottom w:val="single" w:sz="4" w:space="0" w:color="auto"/>
              <w:right w:val="single" w:sz="4" w:space="0" w:color="auto"/>
            </w:tcBorders>
            <w:vAlign w:val="center"/>
            <w:hideMark/>
          </w:tcPr>
          <w:p w14:paraId="773B3889" w14:textId="3673C236"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262.752,96</w:t>
            </w:r>
          </w:p>
        </w:tc>
        <w:tc>
          <w:tcPr>
            <w:tcW w:w="1440" w:type="dxa"/>
            <w:tcBorders>
              <w:top w:val="nil"/>
              <w:left w:val="nil"/>
              <w:bottom w:val="single" w:sz="4" w:space="0" w:color="auto"/>
              <w:right w:val="single" w:sz="4" w:space="0" w:color="auto"/>
            </w:tcBorders>
            <w:vAlign w:val="center"/>
            <w:hideMark/>
          </w:tcPr>
          <w:p w14:paraId="35F4E7B1" w14:textId="0401A925"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34.081,60</w:t>
            </w:r>
          </w:p>
        </w:tc>
        <w:tc>
          <w:tcPr>
            <w:tcW w:w="1440" w:type="dxa"/>
            <w:tcBorders>
              <w:top w:val="nil"/>
              <w:left w:val="nil"/>
              <w:bottom w:val="single" w:sz="4" w:space="0" w:color="auto"/>
              <w:right w:val="single" w:sz="4" w:space="0" w:color="auto"/>
            </w:tcBorders>
            <w:vAlign w:val="center"/>
            <w:hideMark/>
          </w:tcPr>
          <w:p w14:paraId="0F6937F6" w14:textId="1A2E9608"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228.671,36</w:t>
            </w:r>
          </w:p>
        </w:tc>
      </w:tr>
      <w:tr w:rsidR="001D287D" w:rsidRPr="0028121B" w14:paraId="472D4708" w14:textId="77777777" w:rsidTr="001D287D">
        <w:trPr>
          <w:trHeight w:val="450"/>
          <w:jc w:val="center"/>
        </w:trPr>
        <w:tc>
          <w:tcPr>
            <w:tcW w:w="707" w:type="dxa"/>
            <w:tcBorders>
              <w:top w:val="nil"/>
              <w:left w:val="nil"/>
              <w:bottom w:val="nil"/>
              <w:right w:val="single" w:sz="8" w:space="0" w:color="auto"/>
            </w:tcBorders>
            <w:vAlign w:val="center"/>
            <w:hideMark/>
          </w:tcPr>
          <w:p w14:paraId="296C3C22" w14:textId="5E0DC4B8"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384B9F65" w14:textId="77777777" w:rsidR="001D287D" w:rsidRPr="0028121B"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482EC4A0" w14:textId="38BFDB78"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A209116</w:t>
            </w:r>
          </w:p>
        </w:tc>
        <w:tc>
          <w:tcPr>
            <w:tcW w:w="3768" w:type="dxa"/>
            <w:tcBorders>
              <w:top w:val="nil"/>
              <w:left w:val="nil"/>
              <w:bottom w:val="single" w:sz="4" w:space="0" w:color="auto"/>
              <w:right w:val="single" w:sz="4" w:space="0" w:color="auto"/>
            </w:tcBorders>
            <w:shd w:val="clear" w:color="000000" w:fill="FFFFFF"/>
            <w:vAlign w:val="center"/>
            <w:hideMark/>
          </w:tcPr>
          <w:p w14:paraId="453A0D49" w14:textId="20944FC2"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Sufinanciranje izvanrednog održavanja dijela lokalnih, županijskih i drž. cesta 1 (ŽUC/HC)</w:t>
            </w:r>
          </w:p>
        </w:tc>
        <w:tc>
          <w:tcPr>
            <w:tcW w:w="1180" w:type="dxa"/>
            <w:tcBorders>
              <w:top w:val="nil"/>
              <w:left w:val="nil"/>
              <w:bottom w:val="single" w:sz="4" w:space="0" w:color="auto"/>
              <w:right w:val="single" w:sz="4" w:space="0" w:color="auto"/>
            </w:tcBorders>
            <w:vAlign w:val="center"/>
            <w:hideMark/>
          </w:tcPr>
          <w:p w14:paraId="5F1C7738" w14:textId="32DF1D9A"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15.525,00</w:t>
            </w:r>
          </w:p>
        </w:tc>
        <w:tc>
          <w:tcPr>
            <w:tcW w:w="1760" w:type="dxa"/>
            <w:tcBorders>
              <w:top w:val="nil"/>
              <w:left w:val="nil"/>
              <w:bottom w:val="single" w:sz="4" w:space="0" w:color="auto"/>
              <w:right w:val="single" w:sz="4" w:space="0" w:color="auto"/>
            </w:tcBorders>
            <w:vAlign w:val="center"/>
            <w:hideMark/>
          </w:tcPr>
          <w:p w14:paraId="6216870B" w14:textId="19CBC562"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15.525,00</w:t>
            </w:r>
          </w:p>
        </w:tc>
        <w:tc>
          <w:tcPr>
            <w:tcW w:w="1440" w:type="dxa"/>
            <w:tcBorders>
              <w:top w:val="nil"/>
              <w:left w:val="nil"/>
              <w:bottom w:val="single" w:sz="4" w:space="0" w:color="auto"/>
              <w:right w:val="single" w:sz="4" w:space="0" w:color="auto"/>
            </w:tcBorders>
            <w:vAlign w:val="center"/>
            <w:hideMark/>
          </w:tcPr>
          <w:p w14:paraId="154799D3" w14:textId="32992420" w:rsidR="001D287D" w:rsidRPr="0028121B" w:rsidRDefault="001D287D" w:rsidP="001D287D">
            <w:pPr>
              <w:spacing w:after="0" w:line="240" w:lineRule="auto"/>
              <w:rPr>
                <w:rFonts w:ascii="Calibri" w:eastAsia="Times New Roman" w:hAnsi="Calibri" w:cs="Calibri"/>
                <w:sz w:val="16"/>
                <w:szCs w:val="16"/>
              </w:rPr>
            </w:pPr>
            <w:r>
              <w:rPr>
                <w:rFonts w:ascii="Calibri" w:hAnsi="Calibri" w:cs="Calibri"/>
                <w:sz w:val="16"/>
                <w:szCs w:val="16"/>
              </w:rPr>
              <w:t> </w:t>
            </w:r>
          </w:p>
        </w:tc>
        <w:tc>
          <w:tcPr>
            <w:tcW w:w="1440" w:type="dxa"/>
            <w:tcBorders>
              <w:top w:val="nil"/>
              <w:left w:val="nil"/>
              <w:bottom w:val="single" w:sz="4" w:space="0" w:color="auto"/>
              <w:right w:val="single" w:sz="4" w:space="0" w:color="auto"/>
            </w:tcBorders>
            <w:vAlign w:val="center"/>
            <w:hideMark/>
          </w:tcPr>
          <w:p w14:paraId="76E4EB8C" w14:textId="34F95A5A"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15.525,00</w:t>
            </w:r>
          </w:p>
        </w:tc>
      </w:tr>
      <w:tr w:rsidR="001D287D" w:rsidRPr="0028121B" w14:paraId="5BB4D388" w14:textId="77777777" w:rsidTr="001D287D">
        <w:trPr>
          <w:trHeight w:val="300"/>
          <w:jc w:val="center"/>
        </w:trPr>
        <w:tc>
          <w:tcPr>
            <w:tcW w:w="707" w:type="dxa"/>
            <w:tcBorders>
              <w:top w:val="nil"/>
              <w:left w:val="nil"/>
              <w:bottom w:val="nil"/>
              <w:right w:val="single" w:sz="8" w:space="0" w:color="auto"/>
            </w:tcBorders>
            <w:vAlign w:val="center"/>
            <w:hideMark/>
          </w:tcPr>
          <w:p w14:paraId="2F0ACA69" w14:textId="2FF5955C"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4C03E314" w14:textId="77777777" w:rsidR="001D287D" w:rsidRPr="0028121B"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4C2B544D" w14:textId="07172F0E"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A209117</w:t>
            </w:r>
          </w:p>
        </w:tc>
        <w:tc>
          <w:tcPr>
            <w:tcW w:w="3768" w:type="dxa"/>
            <w:tcBorders>
              <w:top w:val="nil"/>
              <w:left w:val="nil"/>
              <w:bottom w:val="single" w:sz="4" w:space="0" w:color="auto"/>
              <w:right w:val="single" w:sz="4" w:space="0" w:color="auto"/>
            </w:tcBorders>
            <w:shd w:val="clear" w:color="000000" w:fill="FFFFFF"/>
            <w:vAlign w:val="center"/>
            <w:hideMark/>
          </w:tcPr>
          <w:p w14:paraId="354DE63D" w14:textId="6063F7FC"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Održavanje sustava odvodnje oborinskih voda</w:t>
            </w:r>
          </w:p>
        </w:tc>
        <w:tc>
          <w:tcPr>
            <w:tcW w:w="1180" w:type="dxa"/>
            <w:tcBorders>
              <w:top w:val="nil"/>
              <w:left w:val="nil"/>
              <w:bottom w:val="single" w:sz="4" w:space="0" w:color="auto"/>
              <w:right w:val="single" w:sz="4" w:space="0" w:color="auto"/>
            </w:tcBorders>
            <w:vAlign w:val="center"/>
            <w:hideMark/>
          </w:tcPr>
          <w:p w14:paraId="08868AF4" w14:textId="4739C1E4"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27.035,84</w:t>
            </w:r>
          </w:p>
        </w:tc>
        <w:tc>
          <w:tcPr>
            <w:tcW w:w="1760" w:type="dxa"/>
            <w:tcBorders>
              <w:top w:val="nil"/>
              <w:left w:val="nil"/>
              <w:bottom w:val="single" w:sz="4" w:space="0" w:color="auto"/>
              <w:right w:val="single" w:sz="4" w:space="0" w:color="auto"/>
            </w:tcBorders>
            <w:vAlign w:val="center"/>
            <w:hideMark/>
          </w:tcPr>
          <w:p w14:paraId="2C8D6F7C" w14:textId="06465C2D"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25.164,19</w:t>
            </w:r>
          </w:p>
        </w:tc>
        <w:tc>
          <w:tcPr>
            <w:tcW w:w="1440" w:type="dxa"/>
            <w:tcBorders>
              <w:top w:val="nil"/>
              <w:left w:val="nil"/>
              <w:bottom w:val="single" w:sz="4" w:space="0" w:color="auto"/>
              <w:right w:val="single" w:sz="4" w:space="0" w:color="auto"/>
            </w:tcBorders>
            <w:vAlign w:val="center"/>
            <w:hideMark/>
          </w:tcPr>
          <w:p w14:paraId="48FAAE68" w14:textId="54699923"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9.401,65</w:t>
            </w:r>
          </w:p>
        </w:tc>
        <w:tc>
          <w:tcPr>
            <w:tcW w:w="1440" w:type="dxa"/>
            <w:tcBorders>
              <w:top w:val="nil"/>
              <w:left w:val="nil"/>
              <w:bottom w:val="single" w:sz="4" w:space="0" w:color="auto"/>
              <w:right w:val="single" w:sz="4" w:space="0" w:color="auto"/>
            </w:tcBorders>
            <w:vAlign w:val="center"/>
            <w:hideMark/>
          </w:tcPr>
          <w:p w14:paraId="540194C3" w14:textId="068456D8"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15.762,54</w:t>
            </w:r>
          </w:p>
        </w:tc>
      </w:tr>
      <w:tr w:rsidR="001D287D" w:rsidRPr="0028121B" w14:paraId="736DC309" w14:textId="77777777" w:rsidTr="001D287D">
        <w:trPr>
          <w:trHeight w:val="300"/>
          <w:jc w:val="center"/>
        </w:trPr>
        <w:tc>
          <w:tcPr>
            <w:tcW w:w="707" w:type="dxa"/>
            <w:tcBorders>
              <w:top w:val="nil"/>
              <w:left w:val="nil"/>
              <w:bottom w:val="nil"/>
              <w:right w:val="single" w:sz="8" w:space="0" w:color="auto"/>
            </w:tcBorders>
            <w:vAlign w:val="center"/>
            <w:hideMark/>
          </w:tcPr>
          <w:p w14:paraId="4323E851" w14:textId="27BDBA1A"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53943215" w14:textId="77777777" w:rsidR="001D287D" w:rsidRPr="0028121B"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7752347B" w14:textId="7890F209"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A209121</w:t>
            </w:r>
          </w:p>
        </w:tc>
        <w:tc>
          <w:tcPr>
            <w:tcW w:w="3768" w:type="dxa"/>
            <w:tcBorders>
              <w:top w:val="nil"/>
              <w:left w:val="nil"/>
              <w:bottom w:val="single" w:sz="4" w:space="0" w:color="auto"/>
              <w:right w:val="single" w:sz="4" w:space="0" w:color="auto"/>
            </w:tcBorders>
            <w:shd w:val="clear" w:color="000000" w:fill="FFFFFF"/>
            <w:vAlign w:val="center"/>
            <w:hideMark/>
          </w:tcPr>
          <w:p w14:paraId="27B43F42" w14:textId="4748F5A4"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Održavanje groblja 6</w:t>
            </w:r>
          </w:p>
        </w:tc>
        <w:tc>
          <w:tcPr>
            <w:tcW w:w="1180" w:type="dxa"/>
            <w:tcBorders>
              <w:top w:val="nil"/>
              <w:left w:val="nil"/>
              <w:bottom w:val="single" w:sz="4" w:space="0" w:color="auto"/>
              <w:right w:val="single" w:sz="4" w:space="0" w:color="auto"/>
            </w:tcBorders>
            <w:vAlign w:val="center"/>
            <w:hideMark/>
          </w:tcPr>
          <w:p w14:paraId="48EB8218" w14:textId="251B5B69"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18.000,00</w:t>
            </w:r>
          </w:p>
        </w:tc>
        <w:tc>
          <w:tcPr>
            <w:tcW w:w="1760" w:type="dxa"/>
            <w:tcBorders>
              <w:top w:val="nil"/>
              <w:left w:val="nil"/>
              <w:bottom w:val="single" w:sz="4" w:space="0" w:color="auto"/>
              <w:right w:val="single" w:sz="4" w:space="0" w:color="auto"/>
            </w:tcBorders>
            <w:vAlign w:val="center"/>
            <w:hideMark/>
          </w:tcPr>
          <w:p w14:paraId="0DEAB8A0" w14:textId="66ADAAA8"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18.000,00</w:t>
            </w:r>
          </w:p>
        </w:tc>
        <w:tc>
          <w:tcPr>
            <w:tcW w:w="1440" w:type="dxa"/>
            <w:tcBorders>
              <w:top w:val="nil"/>
              <w:left w:val="nil"/>
              <w:bottom w:val="single" w:sz="4" w:space="0" w:color="auto"/>
              <w:right w:val="single" w:sz="4" w:space="0" w:color="auto"/>
            </w:tcBorders>
            <w:vAlign w:val="center"/>
            <w:hideMark/>
          </w:tcPr>
          <w:p w14:paraId="00B986CE" w14:textId="49B8CDEC" w:rsidR="001D287D" w:rsidRPr="0028121B" w:rsidRDefault="001D287D" w:rsidP="001D287D">
            <w:pPr>
              <w:spacing w:after="0" w:line="240" w:lineRule="auto"/>
              <w:rPr>
                <w:rFonts w:ascii="Calibri" w:eastAsia="Times New Roman" w:hAnsi="Calibri" w:cs="Calibri"/>
                <w:sz w:val="16"/>
                <w:szCs w:val="16"/>
              </w:rPr>
            </w:pPr>
            <w:r>
              <w:rPr>
                <w:rFonts w:ascii="Calibri" w:hAnsi="Calibri" w:cs="Calibri"/>
                <w:sz w:val="16"/>
                <w:szCs w:val="16"/>
              </w:rPr>
              <w:t> </w:t>
            </w:r>
          </w:p>
        </w:tc>
        <w:tc>
          <w:tcPr>
            <w:tcW w:w="1440" w:type="dxa"/>
            <w:tcBorders>
              <w:top w:val="nil"/>
              <w:left w:val="nil"/>
              <w:bottom w:val="single" w:sz="4" w:space="0" w:color="auto"/>
              <w:right w:val="single" w:sz="4" w:space="0" w:color="auto"/>
            </w:tcBorders>
            <w:vAlign w:val="center"/>
            <w:hideMark/>
          </w:tcPr>
          <w:p w14:paraId="6875348C" w14:textId="68BB83A4"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18.000,00</w:t>
            </w:r>
          </w:p>
        </w:tc>
      </w:tr>
      <w:tr w:rsidR="001D287D" w:rsidRPr="0028121B" w14:paraId="305E09AE" w14:textId="77777777" w:rsidTr="001D287D">
        <w:trPr>
          <w:trHeight w:val="450"/>
          <w:jc w:val="center"/>
        </w:trPr>
        <w:tc>
          <w:tcPr>
            <w:tcW w:w="707" w:type="dxa"/>
            <w:tcBorders>
              <w:top w:val="nil"/>
              <w:left w:val="nil"/>
              <w:bottom w:val="nil"/>
              <w:right w:val="single" w:sz="8" w:space="0" w:color="auto"/>
            </w:tcBorders>
            <w:vAlign w:val="center"/>
            <w:hideMark/>
          </w:tcPr>
          <w:p w14:paraId="54E03651" w14:textId="7091AEFC"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3890999E" w14:textId="77777777" w:rsidR="001D287D" w:rsidRPr="0028121B"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1E621439" w14:textId="46221AFB"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A209123</w:t>
            </w:r>
          </w:p>
        </w:tc>
        <w:tc>
          <w:tcPr>
            <w:tcW w:w="3768" w:type="dxa"/>
            <w:tcBorders>
              <w:top w:val="nil"/>
              <w:left w:val="nil"/>
              <w:bottom w:val="single" w:sz="4" w:space="0" w:color="auto"/>
              <w:right w:val="single" w:sz="4" w:space="0" w:color="auto"/>
            </w:tcBorders>
            <w:shd w:val="clear" w:color="000000" w:fill="FFFFFF"/>
            <w:vAlign w:val="center"/>
            <w:hideMark/>
          </w:tcPr>
          <w:p w14:paraId="33AE8FAC" w14:textId="1F2D6F89"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Održ. građevina, uređaja i predmeta javne namjene, 5</w:t>
            </w:r>
          </w:p>
        </w:tc>
        <w:tc>
          <w:tcPr>
            <w:tcW w:w="1180" w:type="dxa"/>
            <w:tcBorders>
              <w:top w:val="nil"/>
              <w:left w:val="nil"/>
              <w:bottom w:val="single" w:sz="4" w:space="0" w:color="auto"/>
              <w:right w:val="single" w:sz="4" w:space="0" w:color="auto"/>
            </w:tcBorders>
            <w:vAlign w:val="center"/>
            <w:hideMark/>
          </w:tcPr>
          <w:p w14:paraId="4ACA7F78" w14:textId="3B19BD9A"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51.812,45</w:t>
            </w:r>
          </w:p>
        </w:tc>
        <w:tc>
          <w:tcPr>
            <w:tcW w:w="1760" w:type="dxa"/>
            <w:tcBorders>
              <w:top w:val="nil"/>
              <w:left w:val="nil"/>
              <w:bottom w:val="single" w:sz="4" w:space="0" w:color="auto"/>
              <w:right w:val="single" w:sz="4" w:space="0" w:color="auto"/>
            </w:tcBorders>
            <w:vAlign w:val="center"/>
            <w:hideMark/>
          </w:tcPr>
          <w:p w14:paraId="5588EB18" w14:textId="382A02EC"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41.875,22</w:t>
            </w:r>
          </w:p>
        </w:tc>
        <w:tc>
          <w:tcPr>
            <w:tcW w:w="1440" w:type="dxa"/>
            <w:tcBorders>
              <w:top w:val="nil"/>
              <w:left w:val="nil"/>
              <w:bottom w:val="single" w:sz="4" w:space="0" w:color="auto"/>
              <w:right w:val="single" w:sz="4" w:space="0" w:color="auto"/>
            </w:tcBorders>
            <w:vAlign w:val="center"/>
            <w:hideMark/>
          </w:tcPr>
          <w:p w14:paraId="00AFE305" w14:textId="3F7FB7FA"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10.322,19</w:t>
            </w:r>
          </w:p>
        </w:tc>
        <w:tc>
          <w:tcPr>
            <w:tcW w:w="1440" w:type="dxa"/>
            <w:tcBorders>
              <w:top w:val="nil"/>
              <w:left w:val="nil"/>
              <w:bottom w:val="single" w:sz="4" w:space="0" w:color="auto"/>
              <w:right w:val="single" w:sz="4" w:space="0" w:color="auto"/>
            </w:tcBorders>
            <w:vAlign w:val="center"/>
            <w:hideMark/>
          </w:tcPr>
          <w:p w14:paraId="76A4EE7C" w14:textId="2449F193"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31.553,03</w:t>
            </w:r>
          </w:p>
        </w:tc>
      </w:tr>
      <w:tr w:rsidR="001D287D" w:rsidRPr="0028121B" w14:paraId="089E9A04" w14:textId="77777777" w:rsidTr="001D287D">
        <w:trPr>
          <w:trHeight w:val="465"/>
          <w:jc w:val="center"/>
        </w:trPr>
        <w:tc>
          <w:tcPr>
            <w:tcW w:w="707" w:type="dxa"/>
            <w:tcBorders>
              <w:top w:val="nil"/>
              <w:left w:val="nil"/>
              <w:bottom w:val="nil"/>
              <w:right w:val="single" w:sz="8" w:space="0" w:color="auto"/>
            </w:tcBorders>
            <w:vAlign w:val="center"/>
            <w:hideMark/>
          </w:tcPr>
          <w:p w14:paraId="22A6162E" w14:textId="05FE0AE6" w:rsidR="001D287D" w:rsidRPr="0028121B"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58AD9E81" w14:textId="77777777" w:rsidR="001D287D" w:rsidRPr="0028121B"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17A692C2" w14:textId="3652FC15"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A209124</w:t>
            </w:r>
          </w:p>
        </w:tc>
        <w:tc>
          <w:tcPr>
            <w:tcW w:w="3768" w:type="dxa"/>
            <w:tcBorders>
              <w:top w:val="nil"/>
              <w:left w:val="nil"/>
              <w:bottom w:val="single" w:sz="4" w:space="0" w:color="auto"/>
              <w:right w:val="single" w:sz="4" w:space="0" w:color="auto"/>
            </w:tcBorders>
            <w:shd w:val="clear" w:color="000000" w:fill="FFFFFF"/>
            <w:vAlign w:val="center"/>
            <w:hideMark/>
          </w:tcPr>
          <w:p w14:paraId="6C58D26C" w14:textId="3FF38125" w:rsidR="001D287D" w:rsidRPr="0028121B" w:rsidRDefault="001D287D" w:rsidP="001D287D">
            <w:pPr>
              <w:spacing w:after="0" w:line="240" w:lineRule="auto"/>
              <w:rPr>
                <w:rFonts w:ascii="Arial" w:eastAsia="Times New Roman" w:hAnsi="Arial" w:cs="Arial"/>
                <w:sz w:val="16"/>
                <w:szCs w:val="16"/>
              </w:rPr>
            </w:pPr>
            <w:r>
              <w:rPr>
                <w:rFonts w:ascii="Arial" w:hAnsi="Arial" w:cs="Arial"/>
                <w:sz w:val="16"/>
                <w:szCs w:val="16"/>
              </w:rPr>
              <w:t>Održ. jav.površina na kojima nije dopušten promet motornim vozilima 2</w:t>
            </w:r>
          </w:p>
        </w:tc>
        <w:tc>
          <w:tcPr>
            <w:tcW w:w="1180" w:type="dxa"/>
            <w:tcBorders>
              <w:top w:val="nil"/>
              <w:left w:val="nil"/>
              <w:bottom w:val="single" w:sz="4" w:space="0" w:color="auto"/>
              <w:right w:val="single" w:sz="4" w:space="0" w:color="auto"/>
            </w:tcBorders>
            <w:vAlign w:val="center"/>
            <w:hideMark/>
          </w:tcPr>
          <w:p w14:paraId="268D710C" w14:textId="65C1A661"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355.994,60</w:t>
            </w:r>
          </w:p>
        </w:tc>
        <w:tc>
          <w:tcPr>
            <w:tcW w:w="1760" w:type="dxa"/>
            <w:tcBorders>
              <w:top w:val="nil"/>
              <w:left w:val="nil"/>
              <w:bottom w:val="single" w:sz="4" w:space="0" w:color="auto"/>
              <w:right w:val="single" w:sz="4" w:space="0" w:color="auto"/>
            </w:tcBorders>
            <w:vAlign w:val="center"/>
            <w:hideMark/>
          </w:tcPr>
          <w:p w14:paraId="1B369DEC" w14:textId="3F926CCB"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37.611,30</w:t>
            </w:r>
          </w:p>
        </w:tc>
        <w:tc>
          <w:tcPr>
            <w:tcW w:w="1440" w:type="dxa"/>
            <w:tcBorders>
              <w:top w:val="nil"/>
              <w:left w:val="nil"/>
              <w:bottom w:val="single" w:sz="4" w:space="0" w:color="auto"/>
              <w:right w:val="single" w:sz="4" w:space="0" w:color="auto"/>
            </w:tcBorders>
            <w:vAlign w:val="center"/>
            <w:hideMark/>
          </w:tcPr>
          <w:p w14:paraId="195521EE" w14:textId="7EC35E0A"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28.192,73</w:t>
            </w:r>
          </w:p>
        </w:tc>
        <w:tc>
          <w:tcPr>
            <w:tcW w:w="1440" w:type="dxa"/>
            <w:tcBorders>
              <w:top w:val="nil"/>
              <w:left w:val="nil"/>
              <w:bottom w:val="single" w:sz="4" w:space="0" w:color="auto"/>
              <w:right w:val="single" w:sz="4" w:space="0" w:color="auto"/>
            </w:tcBorders>
            <w:vAlign w:val="center"/>
            <w:hideMark/>
          </w:tcPr>
          <w:p w14:paraId="72036DF7" w14:textId="7AA5E50A" w:rsidR="001D287D" w:rsidRPr="0028121B" w:rsidRDefault="001D287D" w:rsidP="001D287D">
            <w:pPr>
              <w:spacing w:after="0" w:line="240" w:lineRule="auto"/>
              <w:jc w:val="right"/>
              <w:rPr>
                <w:rFonts w:ascii="Calibri" w:eastAsia="Times New Roman" w:hAnsi="Calibri" w:cs="Calibri"/>
                <w:sz w:val="16"/>
                <w:szCs w:val="16"/>
              </w:rPr>
            </w:pPr>
            <w:r>
              <w:rPr>
                <w:rFonts w:ascii="Calibri" w:hAnsi="Calibri" w:cs="Calibri"/>
                <w:sz w:val="16"/>
                <w:szCs w:val="16"/>
              </w:rPr>
              <w:t>9.418,57</w:t>
            </w:r>
          </w:p>
        </w:tc>
      </w:tr>
    </w:tbl>
    <w:p w14:paraId="076046CF" w14:textId="77777777" w:rsidR="0028121B" w:rsidRDefault="0028121B" w:rsidP="008170E6">
      <w:pPr>
        <w:spacing w:after="0" w:line="240" w:lineRule="auto"/>
        <w:rPr>
          <w:lang w:eastAsia="en-US"/>
        </w:rPr>
      </w:pPr>
    </w:p>
    <w:p w14:paraId="123E2E43" w14:textId="77777777" w:rsidR="0028121B" w:rsidRDefault="0028121B" w:rsidP="008170E6">
      <w:pPr>
        <w:spacing w:after="0" w:line="240" w:lineRule="auto"/>
        <w:rPr>
          <w:lang w:eastAsia="en-US"/>
        </w:rPr>
      </w:pPr>
    </w:p>
    <w:tbl>
      <w:tblPr>
        <w:tblW w:w="12100" w:type="dxa"/>
        <w:jc w:val="center"/>
        <w:tblLook w:val="04A0" w:firstRow="1" w:lastRow="0" w:firstColumn="1" w:lastColumn="0" w:noHBand="0" w:noVBand="1"/>
      </w:tblPr>
      <w:tblGrid>
        <w:gridCol w:w="707"/>
        <w:gridCol w:w="948"/>
        <w:gridCol w:w="857"/>
        <w:gridCol w:w="3768"/>
        <w:gridCol w:w="1180"/>
        <w:gridCol w:w="1760"/>
        <w:gridCol w:w="1440"/>
        <w:gridCol w:w="1440"/>
      </w:tblGrid>
      <w:tr w:rsidR="000B4857" w:rsidRPr="000B4857" w14:paraId="1752BB28" w14:textId="77777777" w:rsidTr="001D287D">
        <w:trPr>
          <w:trHeight w:val="1170"/>
          <w:jc w:val="center"/>
        </w:trPr>
        <w:tc>
          <w:tcPr>
            <w:tcW w:w="707"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2F89C66" w14:textId="77777777" w:rsidR="000B4857" w:rsidRPr="000B4857" w:rsidRDefault="000B4857" w:rsidP="000B4857">
            <w:pPr>
              <w:spacing w:after="0" w:line="240" w:lineRule="auto"/>
              <w:rPr>
                <w:rFonts w:ascii="Arial" w:eastAsia="Times New Roman" w:hAnsi="Arial" w:cs="Arial"/>
                <w:b/>
                <w:bCs/>
                <w:sz w:val="14"/>
                <w:szCs w:val="14"/>
              </w:rPr>
            </w:pPr>
            <w:r w:rsidRPr="000B4857">
              <w:rPr>
                <w:rFonts w:ascii="Arial" w:eastAsia="Times New Roman" w:hAnsi="Arial" w:cs="Arial"/>
                <w:b/>
                <w:bCs/>
                <w:sz w:val="14"/>
                <w:szCs w:val="14"/>
              </w:rPr>
              <w:lastRenderedPageBreak/>
              <w:t>Razdjel / GLAVA</w:t>
            </w:r>
          </w:p>
        </w:tc>
        <w:tc>
          <w:tcPr>
            <w:tcW w:w="948" w:type="dxa"/>
            <w:tcBorders>
              <w:top w:val="single" w:sz="8" w:space="0" w:color="auto"/>
              <w:left w:val="nil"/>
              <w:bottom w:val="single" w:sz="8" w:space="0" w:color="auto"/>
              <w:right w:val="single" w:sz="8" w:space="0" w:color="auto"/>
            </w:tcBorders>
            <w:shd w:val="clear" w:color="000000" w:fill="D9D9D9"/>
            <w:vAlign w:val="center"/>
            <w:hideMark/>
          </w:tcPr>
          <w:p w14:paraId="4694FBDA" w14:textId="77777777" w:rsidR="000B4857" w:rsidRPr="000B4857" w:rsidRDefault="000B4857" w:rsidP="000B4857">
            <w:pPr>
              <w:spacing w:after="0" w:line="240" w:lineRule="auto"/>
              <w:rPr>
                <w:rFonts w:ascii="Arial" w:eastAsia="Times New Roman" w:hAnsi="Arial" w:cs="Arial"/>
                <w:b/>
                <w:bCs/>
                <w:sz w:val="14"/>
                <w:szCs w:val="14"/>
              </w:rPr>
            </w:pPr>
            <w:r w:rsidRPr="000B4857">
              <w:rPr>
                <w:rFonts w:ascii="Arial" w:eastAsia="Times New Roman" w:hAnsi="Arial" w:cs="Arial"/>
                <w:b/>
                <w:bCs/>
                <w:sz w:val="14"/>
                <w:szCs w:val="14"/>
              </w:rPr>
              <w:t>PROGRAM</w:t>
            </w:r>
          </w:p>
        </w:tc>
        <w:tc>
          <w:tcPr>
            <w:tcW w:w="857" w:type="dxa"/>
            <w:tcBorders>
              <w:top w:val="single" w:sz="8" w:space="0" w:color="auto"/>
              <w:left w:val="nil"/>
              <w:bottom w:val="single" w:sz="8" w:space="0" w:color="auto"/>
              <w:right w:val="single" w:sz="8" w:space="0" w:color="auto"/>
            </w:tcBorders>
            <w:shd w:val="clear" w:color="000000" w:fill="D9D9D9"/>
            <w:vAlign w:val="center"/>
            <w:hideMark/>
          </w:tcPr>
          <w:p w14:paraId="5C8EAB57" w14:textId="77777777" w:rsidR="000B4857" w:rsidRPr="000B4857" w:rsidRDefault="000B4857" w:rsidP="000B4857">
            <w:pPr>
              <w:spacing w:after="0" w:line="240" w:lineRule="auto"/>
              <w:rPr>
                <w:rFonts w:ascii="Arial" w:eastAsia="Times New Roman" w:hAnsi="Arial" w:cs="Arial"/>
                <w:b/>
                <w:bCs/>
                <w:sz w:val="14"/>
                <w:szCs w:val="14"/>
              </w:rPr>
            </w:pPr>
            <w:r w:rsidRPr="000B4857">
              <w:rPr>
                <w:rFonts w:ascii="Arial" w:eastAsia="Times New Roman" w:hAnsi="Arial" w:cs="Arial"/>
                <w:b/>
                <w:bCs/>
                <w:sz w:val="14"/>
                <w:szCs w:val="14"/>
              </w:rPr>
              <w:t>Aktivnost / projekt</w:t>
            </w:r>
          </w:p>
        </w:tc>
        <w:tc>
          <w:tcPr>
            <w:tcW w:w="3768" w:type="dxa"/>
            <w:tcBorders>
              <w:top w:val="single" w:sz="8" w:space="0" w:color="auto"/>
              <w:left w:val="nil"/>
              <w:bottom w:val="single" w:sz="8" w:space="0" w:color="auto"/>
              <w:right w:val="single" w:sz="8" w:space="0" w:color="auto"/>
            </w:tcBorders>
            <w:vAlign w:val="center"/>
            <w:hideMark/>
          </w:tcPr>
          <w:p w14:paraId="68501DF1" w14:textId="77777777" w:rsidR="000B4857" w:rsidRPr="000B4857" w:rsidRDefault="000B4857" w:rsidP="000B4857">
            <w:pPr>
              <w:spacing w:after="0" w:line="240" w:lineRule="auto"/>
              <w:rPr>
                <w:rFonts w:ascii="Arial" w:eastAsia="Times New Roman" w:hAnsi="Arial" w:cs="Arial"/>
                <w:b/>
                <w:bCs/>
                <w:sz w:val="18"/>
                <w:szCs w:val="18"/>
              </w:rPr>
            </w:pPr>
            <w:r w:rsidRPr="000B4857">
              <w:rPr>
                <w:rFonts w:ascii="Arial" w:eastAsia="Times New Roman" w:hAnsi="Arial" w:cs="Arial"/>
                <w:b/>
                <w:bCs/>
                <w:sz w:val="18"/>
                <w:szCs w:val="18"/>
              </w:rPr>
              <w:t>UO ZA KOMUNALNI SUSTAV I GOSPODARENJE NEKRETNINAMA</w:t>
            </w:r>
          </w:p>
        </w:tc>
        <w:tc>
          <w:tcPr>
            <w:tcW w:w="1180" w:type="dxa"/>
            <w:tcBorders>
              <w:top w:val="single" w:sz="8" w:space="0" w:color="auto"/>
              <w:left w:val="nil"/>
              <w:bottom w:val="nil"/>
              <w:right w:val="single" w:sz="8" w:space="0" w:color="000000"/>
            </w:tcBorders>
            <w:vAlign w:val="center"/>
            <w:hideMark/>
          </w:tcPr>
          <w:p w14:paraId="6499919F" w14:textId="77777777" w:rsidR="000B4857" w:rsidRPr="000B4857" w:rsidRDefault="000B4857" w:rsidP="000B4857">
            <w:pPr>
              <w:spacing w:after="0" w:line="240" w:lineRule="auto"/>
              <w:jc w:val="center"/>
              <w:rPr>
                <w:rFonts w:ascii="Arial" w:eastAsia="Times New Roman" w:hAnsi="Arial" w:cs="Arial"/>
                <w:b/>
                <w:bCs/>
                <w:sz w:val="16"/>
                <w:szCs w:val="16"/>
              </w:rPr>
            </w:pPr>
            <w:r w:rsidRPr="000B4857">
              <w:rPr>
                <w:rFonts w:ascii="Arial" w:eastAsia="Times New Roman" w:hAnsi="Arial" w:cs="Arial"/>
                <w:b/>
                <w:bCs/>
                <w:sz w:val="16"/>
                <w:szCs w:val="16"/>
              </w:rPr>
              <w:t>Izvršenje aktivnosti / projekta u 2025. (€)</w:t>
            </w:r>
          </w:p>
        </w:tc>
        <w:tc>
          <w:tcPr>
            <w:tcW w:w="1760" w:type="dxa"/>
            <w:tcBorders>
              <w:top w:val="single" w:sz="8" w:space="0" w:color="auto"/>
              <w:left w:val="nil"/>
              <w:bottom w:val="single" w:sz="8" w:space="0" w:color="auto"/>
              <w:right w:val="single" w:sz="8" w:space="0" w:color="auto"/>
            </w:tcBorders>
            <w:vAlign w:val="center"/>
            <w:hideMark/>
          </w:tcPr>
          <w:p w14:paraId="72747041" w14:textId="77777777" w:rsidR="000B4857" w:rsidRPr="000B4857" w:rsidRDefault="000B4857" w:rsidP="000B4857">
            <w:pPr>
              <w:spacing w:after="0" w:line="240" w:lineRule="auto"/>
              <w:jc w:val="center"/>
              <w:rPr>
                <w:rFonts w:ascii="Calibri" w:eastAsia="Times New Roman" w:hAnsi="Calibri" w:cs="Calibri"/>
                <w:b/>
                <w:bCs/>
                <w:sz w:val="16"/>
                <w:szCs w:val="16"/>
              </w:rPr>
            </w:pPr>
            <w:r w:rsidRPr="000B4857">
              <w:rPr>
                <w:rFonts w:ascii="Calibri" w:eastAsia="Times New Roman" w:hAnsi="Calibri" w:cs="Calibri"/>
                <w:b/>
                <w:bCs/>
                <w:sz w:val="16"/>
                <w:szCs w:val="16"/>
              </w:rPr>
              <w:t>dio podmirenih rashoda iz izvora komunalni doprinos i komunalna naknada (iznos - €)</w:t>
            </w:r>
          </w:p>
        </w:tc>
        <w:tc>
          <w:tcPr>
            <w:tcW w:w="1440" w:type="dxa"/>
            <w:tcBorders>
              <w:top w:val="single" w:sz="8" w:space="0" w:color="auto"/>
              <w:left w:val="nil"/>
              <w:bottom w:val="single" w:sz="8" w:space="0" w:color="auto"/>
              <w:right w:val="single" w:sz="8" w:space="0" w:color="auto"/>
            </w:tcBorders>
            <w:vAlign w:val="center"/>
            <w:hideMark/>
          </w:tcPr>
          <w:p w14:paraId="7803523D" w14:textId="77777777" w:rsidR="000B4857" w:rsidRPr="000B4857" w:rsidRDefault="000B4857" w:rsidP="000B4857">
            <w:pPr>
              <w:spacing w:after="0" w:line="240" w:lineRule="auto"/>
              <w:jc w:val="center"/>
              <w:rPr>
                <w:rFonts w:ascii="Calibri" w:eastAsia="Times New Roman" w:hAnsi="Calibri" w:cs="Calibri"/>
                <w:b/>
                <w:bCs/>
                <w:sz w:val="16"/>
                <w:szCs w:val="16"/>
              </w:rPr>
            </w:pPr>
            <w:r w:rsidRPr="000B4857">
              <w:rPr>
                <w:rFonts w:ascii="Calibri" w:eastAsia="Times New Roman" w:hAnsi="Calibri" w:cs="Calibri"/>
                <w:b/>
                <w:bCs/>
                <w:sz w:val="16"/>
                <w:szCs w:val="16"/>
              </w:rPr>
              <w:t>izvor podmirenja rashoda: komunalni doprinos (iznos - €)</w:t>
            </w:r>
          </w:p>
        </w:tc>
        <w:tc>
          <w:tcPr>
            <w:tcW w:w="1440" w:type="dxa"/>
            <w:tcBorders>
              <w:top w:val="single" w:sz="8" w:space="0" w:color="auto"/>
              <w:left w:val="nil"/>
              <w:bottom w:val="single" w:sz="8" w:space="0" w:color="auto"/>
              <w:right w:val="single" w:sz="8" w:space="0" w:color="auto"/>
            </w:tcBorders>
            <w:vAlign w:val="center"/>
            <w:hideMark/>
          </w:tcPr>
          <w:p w14:paraId="3276EC44" w14:textId="77777777" w:rsidR="000B4857" w:rsidRPr="000B4857" w:rsidRDefault="000B4857" w:rsidP="000B4857">
            <w:pPr>
              <w:spacing w:after="0" w:line="240" w:lineRule="auto"/>
              <w:jc w:val="center"/>
              <w:rPr>
                <w:rFonts w:ascii="Calibri" w:eastAsia="Times New Roman" w:hAnsi="Calibri" w:cs="Calibri"/>
                <w:b/>
                <w:bCs/>
                <w:sz w:val="16"/>
                <w:szCs w:val="16"/>
              </w:rPr>
            </w:pPr>
            <w:r w:rsidRPr="000B4857">
              <w:rPr>
                <w:rFonts w:ascii="Calibri" w:eastAsia="Times New Roman" w:hAnsi="Calibri" w:cs="Calibri"/>
                <w:b/>
                <w:bCs/>
                <w:sz w:val="16"/>
                <w:szCs w:val="16"/>
              </w:rPr>
              <w:t>izvor podmirenja rashoda: komunalna naknada  (iznos - €)</w:t>
            </w:r>
          </w:p>
        </w:tc>
      </w:tr>
      <w:tr w:rsidR="000B4857" w:rsidRPr="000B4857" w14:paraId="3E69D02D" w14:textId="77777777" w:rsidTr="001D287D">
        <w:trPr>
          <w:trHeight w:val="203"/>
          <w:jc w:val="center"/>
        </w:trPr>
        <w:tc>
          <w:tcPr>
            <w:tcW w:w="707" w:type="dxa"/>
            <w:tcBorders>
              <w:top w:val="nil"/>
              <w:left w:val="single" w:sz="8" w:space="0" w:color="auto"/>
              <w:bottom w:val="single" w:sz="8" w:space="0" w:color="auto"/>
              <w:right w:val="nil"/>
            </w:tcBorders>
            <w:vAlign w:val="center"/>
            <w:hideMark/>
          </w:tcPr>
          <w:p w14:paraId="5BE2A7D3" w14:textId="77777777" w:rsidR="000B4857" w:rsidRPr="000B4857" w:rsidRDefault="000B4857" w:rsidP="000B4857">
            <w:pPr>
              <w:spacing w:after="0" w:line="240" w:lineRule="auto"/>
              <w:jc w:val="center"/>
              <w:rPr>
                <w:rFonts w:ascii="Arial" w:eastAsia="Times New Roman" w:hAnsi="Arial" w:cs="Arial"/>
                <w:sz w:val="14"/>
                <w:szCs w:val="14"/>
              </w:rPr>
            </w:pPr>
            <w:r w:rsidRPr="000B4857">
              <w:rPr>
                <w:rFonts w:ascii="Arial" w:eastAsia="Times New Roman" w:hAnsi="Arial" w:cs="Arial"/>
                <w:sz w:val="14"/>
                <w:szCs w:val="14"/>
              </w:rPr>
              <w:t>2</w:t>
            </w:r>
          </w:p>
        </w:tc>
        <w:tc>
          <w:tcPr>
            <w:tcW w:w="948" w:type="dxa"/>
            <w:tcBorders>
              <w:top w:val="nil"/>
              <w:left w:val="single" w:sz="8" w:space="0" w:color="auto"/>
              <w:bottom w:val="single" w:sz="8" w:space="0" w:color="auto"/>
              <w:right w:val="single" w:sz="8" w:space="0" w:color="auto"/>
            </w:tcBorders>
            <w:vAlign w:val="center"/>
            <w:hideMark/>
          </w:tcPr>
          <w:p w14:paraId="214D2FA2" w14:textId="77777777" w:rsidR="000B4857" w:rsidRPr="000B4857" w:rsidRDefault="000B4857" w:rsidP="000B4857">
            <w:pPr>
              <w:spacing w:after="0" w:line="240" w:lineRule="auto"/>
              <w:jc w:val="center"/>
              <w:rPr>
                <w:rFonts w:ascii="Arial" w:eastAsia="Times New Roman" w:hAnsi="Arial" w:cs="Arial"/>
                <w:sz w:val="14"/>
                <w:szCs w:val="14"/>
              </w:rPr>
            </w:pPr>
            <w:r w:rsidRPr="000B4857">
              <w:rPr>
                <w:rFonts w:ascii="Arial" w:eastAsia="Times New Roman" w:hAnsi="Arial" w:cs="Arial"/>
                <w:sz w:val="14"/>
                <w:szCs w:val="14"/>
              </w:rPr>
              <w:t>3</w:t>
            </w:r>
          </w:p>
        </w:tc>
        <w:tc>
          <w:tcPr>
            <w:tcW w:w="857" w:type="dxa"/>
            <w:tcBorders>
              <w:top w:val="nil"/>
              <w:left w:val="nil"/>
              <w:bottom w:val="single" w:sz="8" w:space="0" w:color="auto"/>
              <w:right w:val="single" w:sz="8" w:space="0" w:color="auto"/>
            </w:tcBorders>
            <w:vAlign w:val="center"/>
            <w:hideMark/>
          </w:tcPr>
          <w:p w14:paraId="2929157F" w14:textId="77777777" w:rsidR="000B4857" w:rsidRPr="000B4857" w:rsidRDefault="000B4857" w:rsidP="000B4857">
            <w:pPr>
              <w:spacing w:after="0" w:line="240" w:lineRule="auto"/>
              <w:jc w:val="center"/>
              <w:rPr>
                <w:rFonts w:ascii="Arial" w:eastAsia="Times New Roman" w:hAnsi="Arial" w:cs="Arial"/>
                <w:sz w:val="14"/>
                <w:szCs w:val="14"/>
              </w:rPr>
            </w:pPr>
            <w:r w:rsidRPr="000B4857">
              <w:rPr>
                <w:rFonts w:ascii="Arial" w:eastAsia="Times New Roman" w:hAnsi="Arial" w:cs="Arial"/>
                <w:sz w:val="14"/>
                <w:szCs w:val="14"/>
              </w:rPr>
              <w:t> </w:t>
            </w:r>
          </w:p>
        </w:tc>
        <w:tc>
          <w:tcPr>
            <w:tcW w:w="3768" w:type="dxa"/>
            <w:tcBorders>
              <w:top w:val="nil"/>
              <w:left w:val="nil"/>
              <w:bottom w:val="single" w:sz="8" w:space="0" w:color="auto"/>
              <w:right w:val="single" w:sz="8" w:space="0" w:color="auto"/>
            </w:tcBorders>
            <w:vAlign w:val="center"/>
            <w:hideMark/>
          </w:tcPr>
          <w:p w14:paraId="282A7318" w14:textId="77777777" w:rsidR="000B4857" w:rsidRPr="000B4857" w:rsidRDefault="000B4857" w:rsidP="000B4857">
            <w:pPr>
              <w:spacing w:after="0" w:line="240" w:lineRule="auto"/>
              <w:jc w:val="center"/>
              <w:rPr>
                <w:rFonts w:ascii="Arial" w:eastAsia="Times New Roman" w:hAnsi="Arial" w:cs="Arial"/>
                <w:sz w:val="14"/>
                <w:szCs w:val="14"/>
              </w:rPr>
            </w:pPr>
            <w:r w:rsidRPr="000B4857">
              <w:rPr>
                <w:rFonts w:ascii="Arial" w:eastAsia="Times New Roman" w:hAnsi="Arial" w:cs="Arial"/>
                <w:sz w:val="14"/>
                <w:szCs w:val="14"/>
              </w:rPr>
              <w:t>4</w:t>
            </w:r>
          </w:p>
        </w:tc>
        <w:tc>
          <w:tcPr>
            <w:tcW w:w="1180" w:type="dxa"/>
            <w:tcBorders>
              <w:top w:val="single" w:sz="8" w:space="0" w:color="auto"/>
              <w:left w:val="nil"/>
              <w:bottom w:val="nil"/>
              <w:right w:val="nil"/>
            </w:tcBorders>
            <w:vAlign w:val="center"/>
            <w:hideMark/>
          </w:tcPr>
          <w:p w14:paraId="7F8E1DE8" w14:textId="77777777" w:rsidR="000B4857" w:rsidRPr="000B4857" w:rsidRDefault="000B4857" w:rsidP="000B4857">
            <w:pPr>
              <w:spacing w:after="0" w:line="240" w:lineRule="auto"/>
              <w:jc w:val="center"/>
              <w:rPr>
                <w:rFonts w:ascii="Arial" w:eastAsia="Times New Roman" w:hAnsi="Arial" w:cs="Arial"/>
                <w:sz w:val="14"/>
                <w:szCs w:val="14"/>
              </w:rPr>
            </w:pPr>
            <w:r w:rsidRPr="000B4857">
              <w:rPr>
                <w:rFonts w:ascii="Arial" w:eastAsia="Times New Roman" w:hAnsi="Arial" w:cs="Arial"/>
                <w:sz w:val="14"/>
                <w:szCs w:val="14"/>
              </w:rPr>
              <w:t>5</w:t>
            </w:r>
          </w:p>
        </w:tc>
        <w:tc>
          <w:tcPr>
            <w:tcW w:w="1760" w:type="dxa"/>
            <w:tcBorders>
              <w:top w:val="nil"/>
              <w:left w:val="single" w:sz="8" w:space="0" w:color="auto"/>
              <w:bottom w:val="single" w:sz="8" w:space="0" w:color="auto"/>
              <w:right w:val="single" w:sz="8" w:space="0" w:color="auto"/>
            </w:tcBorders>
            <w:vAlign w:val="center"/>
            <w:hideMark/>
          </w:tcPr>
          <w:p w14:paraId="0A1E4459" w14:textId="77777777" w:rsidR="000B4857" w:rsidRPr="000B4857" w:rsidRDefault="000B4857" w:rsidP="000B4857">
            <w:pPr>
              <w:spacing w:after="0" w:line="240" w:lineRule="auto"/>
              <w:jc w:val="center"/>
              <w:rPr>
                <w:rFonts w:ascii="Calibri" w:eastAsia="Times New Roman" w:hAnsi="Calibri" w:cs="Calibri"/>
                <w:sz w:val="14"/>
                <w:szCs w:val="14"/>
              </w:rPr>
            </w:pPr>
            <w:r w:rsidRPr="000B4857">
              <w:rPr>
                <w:rFonts w:ascii="Calibri" w:eastAsia="Times New Roman" w:hAnsi="Calibri" w:cs="Calibri"/>
                <w:sz w:val="14"/>
                <w:szCs w:val="14"/>
              </w:rPr>
              <w:t>6 (7+8)</w:t>
            </w:r>
          </w:p>
        </w:tc>
        <w:tc>
          <w:tcPr>
            <w:tcW w:w="1440" w:type="dxa"/>
            <w:tcBorders>
              <w:top w:val="nil"/>
              <w:left w:val="nil"/>
              <w:bottom w:val="single" w:sz="8" w:space="0" w:color="auto"/>
              <w:right w:val="single" w:sz="8" w:space="0" w:color="auto"/>
            </w:tcBorders>
            <w:vAlign w:val="center"/>
            <w:hideMark/>
          </w:tcPr>
          <w:p w14:paraId="4630AF92" w14:textId="77777777" w:rsidR="000B4857" w:rsidRPr="000B4857" w:rsidRDefault="000B4857" w:rsidP="000B4857">
            <w:pPr>
              <w:spacing w:after="0" w:line="240" w:lineRule="auto"/>
              <w:jc w:val="center"/>
              <w:rPr>
                <w:rFonts w:ascii="Calibri" w:eastAsia="Times New Roman" w:hAnsi="Calibri" w:cs="Calibri"/>
                <w:sz w:val="14"/>
                <w:szCs w:val="14"/>
              </w:rPr>
            </w:pPr>
            <w:r w:rsidRPr="000B4857">
              <w:rPr>
                <w:rFonts w:ascii="Calibri" w:eastAsia="Times New Roman" w:hAnsi="Calibri" w:cs="Calibri"/>
                <w:sz w:val="14"/>
                <w:szCs w:val="14"/>
              </w:rPr>
              <w:t>7</w:t>
            </w:r>
          </w:p>
        </w:tc>
        <w:tc>
          <w:tcPr>
            <w:tcW w:w="1440" w:type="dxa"/>
            <w:tcBorders>
              <w:top w:val="nil"/>
              <w:left w:val="nil"/>
              <w:bottom w:val="single" w:sz="8" w:space="0" w:color="auto"/>
              <w:right w:val="single" w:sz="8" w:space="0" w:color="auto"/>
            </w:tcBorders>
            <w:vAlign w:val="center"/>
            <w:hideMark/>
          </w:tcPr>
          <w:p w14:paraId="54CC5871" w14:textId="77777777" w:rsidR="000B4857" w:rsidRPr="000B4857" w:rsidRDefault="000B4857" w:rsidP="000B4857">
            <w:pPr>
              <w:spacing w:after="0" w:line="240" w:lineRule="auto"/>
              <w:jc w:val="center"/>
              <w:rPr>
                <w:rFonts w:ascii="Calibri" w:eastAsia="Times New Roman" w:hAnsi="Calibri" w:cs="Calibri"/>
                <w:sz w:val="14"/>
                <w:szCs w:val="14"/>
              </w:rPr>
            </w:pPr>
            <w:r w:rsidRPr="000B4857">
              <w:rPr>
                <w:rFonts w:ascii="Calibri" w:eastAsia="Times New Roman" w:hAnsi="Calibri" w:cs="Calibri"/>
                <w:sz w:val="14"/>
                <w:szCs w:val="14"/>
              </w:rPr>
              <w:t>8</w:t>
            </w:r>
          </w:p>
        </w:tc>
      </w:tr>
      <w:tr w:rsidR="001D287D" w:rsidRPr="000B4857" w14:paraId="15DD68ED" w14:textId="77777777" w:rsidTr="001D287D">
        <w:trPr>
          <w:trHeight w:val="315"/>
          <w:jc w:val="center"/>
        </w:trPr>
        <w:tc>
          <w:tcPr>
            <w:tcW w:w="707" w:type="dxa"/>
            <w:tcBorders>
              <w:top w:val="single" w:sz="8" w:space="0" w:color="auto"/>
              <w:left w:val="single" w:sz="8" w:space="0" w:color="auto"/>
              <w:bottom w:val="single" w:sz="8" w:space="0" w:color="auto"/>
              <w:right w:val="single" w:sz="8" w:space="0" w:color="auto"/>
            </w:tcBorders>
            <w:vAlign w:val="center"/>
            <w:hideMark/>
          </w:tcPr>
          <w:p w14:paraId="7C64221D" w14:textId="3939B248" w:rsidR="001D287D" w:rsidRPr="000B4857"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single" w:sz="8" w:space="0" w:color="auto"/>
              <w:left w:val="nil"/>
              <w:bottom w:val="single" w:sz="8" w:space="0" w:color="auto"/>
              <w:right w:val="single" w:sz="8" w:space="0" w:color="auto"/>
            </w:tcBorders>
            <w:vAlign w:val="center"/>
            <w:hideMark/>
          </w:tcPr>
          <w:p w14:paraId="287DB596" w14:textId="4AC8D4C3" w:rsidR="001D287D" w:rsidRPr="000B4857" w:rsidRDefault="001D287D" w:rsidP="001D287D">
            <w:pPr>
              <w:spacing w:after="0" w:line="240" w:lineRule="auto"/>
              <w:rPr>
                <w:rFonts w:ascii="Arial" w:eastAsia="Times New Roman" w:hAnsi="Arial" w:cs="Arial"/>
                <w:b/>
                <w:bCs/>
                <w:sz w:val="14"/>
                <w:szCs w:val="14"/>
              </w:rPr>
            </w:pPr>
            <w:r>
              <w:rPr>
                <w:rFonts w:ascii="Arial" w:hAnsi="Arial" w:cs="Arial"/>
                <w:b/>
                <w:bCs/>
                <w:sz w:val="14"/>
                <w:szCs w:val="14"/>
              </w:rPr>
              <w:t>2092</w:t>
            </w:r>
          </w:p>
        </w:tc>
        <w:tc>
          <w:tcPr>
            <w:tcW w:w="857" w:type="dxa"/>
            <w:tcBorders>
              <w:top w:val="single" w:sz="8" w:space="0" w:color="auto"/>
              <w:left w:val="nil"/>
              <w:bottom w:val="single" w:sz="8" w:space="0" w:color="auto"/>
              <w:right w:val="single" w:sz="8" w:space="0" w:color="auto"/>
            </w:tcBorders>
            <w:vAlign w:val="center"/>
            <w:hideMark/>
          </w:tcPr>
          <w:p w14:paraId="79AC097D" w14:textId="63953D1E" w:rsidR="001D287D" w:rsidRPr="000B4857" w:rsidRDefault="001D287D" w:rsidP="001D287D">
            <w:pPr>
              <w:spacing w:after="0" w:line="240" w:lineRule="auto"/>
              <w:rPr>
                <w:rFonts w:ascii="Arial" w:eastAsia="Times New Roman" w:hAnsi="Arial" w:cs="Arial"/>
                <w:b/>
                <w:bCs/>
                <w:sz w:val="14"/>
                <w:szCs w:val="14"/>
              </w:rPr>
            </w:pPr>
            <w:r>
              <w:rPr>
                <w:rFonts w:ascii="Arial" w:hAnsi="Arial" w:cs="Arial"/>
                <w:b/>
                <w:bCs/>
                <w:sz w:val="14"/>
                <w:szCs w:val="14"/>
              </w:rPr>
              <w:t> </w:t>
            </w:r>
          </w:p>
        </w:tc>
        <w:tc>
          <w:tcPr>
            <w:tcW w:w="3768" w:type="dxa"/>
            <w:tcBorders>
              <w:top w:val="single" w:sz="8" w:space="0" w:color="auto"/>
              <w:left w:val="nil"/>
              <w:bottom w:val="single" w:sz="8" w:space="0" w:color="auto"/>
              <w:right w:val="single" w:sz="8" w:space="0" w:color="auto"/>
            </w:tcBorders>
            <w:vAlign w:val="center"/>
            <w:hideMark/>
          </w:tcPr>
          <w:p w14:paraId="57F503FC" w14:textId="684E1834" w:rsidR="001D287D" w:rsidRPr="000B4857" w:rsidRDefault="001D287D" w:rsidP="001D287D">
            <w:pPr>
              <w:spacing w:after="0" w:line="240" w:lineRule="auto"/>
              <w:rPr>
                <w:rFonts w:ascii="Arial" w:eastAsia="Times New Roman" w:hAnsi="Arial" w:cs="Arial"/>
                <w:b/>
                <w:bCs/>
                <w:sz w:val="16"/>
                <w:szCs w:val="16"/>
              </w:rPr>
            </w:pPr>
            <w:r>
              <w:rPr>
                <w:rFonts w:ascii="Arial" w:hAnsi="Arial" w:cs="Arial"/>
                <w:b/>
                <w:bCs/>
                <w:sz w:val="16"/>
                <w:szCs w:val="16"/>
              </w:rPr>
              <w:t>Program građenja komunalne infrastrukture</w:t>
            </w:r>
          </w:p>
        </w:tc>
        <w:tc>
          <w:tcPr>
            <w:tcW w:w="1180" w:type="dxa"/>
            <w:tcBorders>
              <w:top w:val="single" w:sz="8" w:space="0" w:color="auto"/>
              <w:left w:val="nil"/>
              <w:bottom w:val="single" w:sz="8" w:space="0" w:color="auto"/>
              <w:right w:val="single" w:sz="8" w:space="0" w:color="auto"/>
            </w:tcBorders>
            <w:noWrap/>
            <w:vAlign w:val="center"/>
            <w:hideMark/>
          </w:tcPr>
          <w:p w14:paraId="6DA6B2E3" w14:textId="7BCC0CC5" w:rsidR="001D287D" w:rsidRPr="000B4857" w:rsidRDefault="001D287D" w:rsidP="008F3371">
            <w:pPr>
              <w:spacing w:after="0" w:line="240" w:lineRule="auto"/>
              <w:jc w:val="right"/>
              <w:rPr>
                <w:rFonts w:ascii="Calibri" w:eastAsia="Times New Roman" w:hAnsi="Calibri" w:cs="Calibri"/>
                <w:b/>
                <w:bCs/>
                <w:sz w:val="18"/>
                <w:szCs w:val="18"/>
              </w:rPr>
            </w:pPr>
            <w:r>
              <w:rPr>
                <w:rFonts w:ascii="Calibri" w:hAnsi="Calibri" w:cs="Calibri"/>
                <w:b/>
                <w:bCs/>
                <w:sz w:val="18"/>
                <w:szCs w:val="18"/>
              </w:rPr>
              <w:t>1.292.819,00</w:t>
            </w:r>
          </w:p>
        </w:tc>
        <w:tc>
          <w:tcPr>
            <w:tcW w:w="1760" w:type="dxa"/>
            <w:tcBorders>
              <w:top w:val="single" w:sz="8" w:space="0" w:color="auto"/>
              <w:left w:val="nil"/>
              <w:bottom w:val="single" w:sz="8" w:space="0" w:color="auto"/>
              <w:right w:val="single" w:sz="8" w:space="0" w:color="auto"/>
            </w:tcBorders>
            <w:noWrap/>
            <w:vAlign w:val="center"/>
            <w:hideMark/>
          </w:tcPr>
          <w:p w14:paraId="2F298E39" w14:textId="1235F94E" w:rsidR="001D287D" w:rsidRPr="000B4857" w:rsidRDefault="001D287D" w:rsidP="008F3371">
            <w:pPr>
              <w:spacing w:after="0" w:line="240" w:lineRule="auto"/>
              <w:jc w:val="right"/>
              <w:rPr>
                <w:rFonts w:ascii="Calibri" w:eastAsia="Times New Roman" w:hAnsi="Calibri" w:cs="Calibri"/>
                <w:b/>
                <w:bCs/>
                <w:sz w:val="18"/>
                <w:szCs w:val="18"/>
              </w:rPr>
            </w:pPr>
            <w:r>
              <w:rPr>
                <w:rFonts w:ascii="Calibri" w:hAnsi="Calibri" w:cs="Calibri"/>
                <w:b/>
                <w:bCs/>
                <w:sz w:val="18"/>
                <w:szCs w:val="18"/>
              </w:rPr>
              <w:t>206.313,65</w:t>
            </w:r>
          </w:p>
        </w:tc>
        <w:tc>
          <w:tcPr>
            <w:tcW w:w="1440" w:type="dxa"/>
            <w:tcBorders>
              <w:top w:val="single" w:sz="8" w:space="0" w:color="auto"/>
              <w:left w:val="nil"/>
              <w:bottom w:val="single" w:sz="8" w:space="0" w:color="auto"/>
              <w:right w:val="single" w:sz="8" w:space="0" w:color="auto"/>
            </w:tcBorders>
            <w:noWrap/>
            <w:vAlign w:val="center"/>
            <w:hideMark/>
          </w:tcPr>
          <w:p w14:paraId="6841FFF0" w14:textId="7D515C58" w:rsidR="001D287D" w:rsidRPr="000B4857" w:rsidRDefault="001D287D" w:rsidP="008F3371">
            <w:pPr>
              <w:spacing w:after="0" w:line="240" w:lineRule="auto"/>
              <w:jc w:val="right"/>
              <w:rPr>
                <w:rFonts w:ascii="Calibri" w:eastAsia="Times New Roman" w:hAnsi="Calibri" w:cs="Calibri"/>
                <w:b/>
                <w:bCs/>
                <w:sz w:val="18"/>
                <w:szCs w:val="18"/>
              </w:rPr>
            </w:pPr>
            <w:r>
              <w:rPr>
                <w:rFonts w:ascii="Calibri" w:hAnsi="Calibri" w:cs="Calibri"/>
                <w:b/>
                <w:bCs/>
                <w:sz w:val="18"/>
                <w:szCs w:val="18"/>
              </w:rPr>
              <w:t>75.016,00</w:t>
            </w:r>
          </w:p>
        </w:tc>
        <w:tc>
          <w:tcPr>
            <w:tcW w:w="1440" w:type="dxa"/>
            <w:tcBorders>
              <w:top w:val="single" w:sz="8" w:space="0" w:color="auto"/>
              <w:left w:val="nil"/>
              <w:bottom w:val="single" w:sz="8" w:space="0" w:color="auto"/>
              <w:right w:val="single" w:sz="8" w:space="0" w:color="auto"/>
            </w:tcBorders>
            <w:noWrap/>
            <w:vAlign w:val="center"/>
            <w:hideMark/>
          </w:tcPr>
          <w:p w14:paraId="47049538" w14:textId="6FEBBCA8" w:rsidR="001D287D" w:rsidRPr="000B4857" w:rsidRDefault="001D287D" w:rsidP="008F3371">
            <w:pPr>
              <w:spacing w:after="0" w:line="240" w:lineRule="auto"/>
              <w:jc w:val="right"/>
              <w:rPr>
                <w:rFonts w:ascii="Calibri" w:eastAsia="Times New Roman" w:hAnsi="Calibri" w:cs="Calibri"/>
                <w:b/>
                <w:bCs/>
                <w:sz w:val="18"/>
                <w:szCs w:val="18"/>
              </w:rPr>
            </w:pPr>
            <w:r>
              <w:rPr>
                <w:rFonts w:ascii="Calibri" w:hAnsi="Calibri" w:cs="Calibri"/>
                <w:b/>
                <w:bCs/>
                <w:sz w:val="18"/>
                <w:szCs w:val="18"/>
              </w:rPr>
              <w:t>131.297,65</w:t>
            </w:r>
          </w:p>
        </w:tc>
      </w:tr>
      <w:tr w:rsidR="001D287D" w:rsidRPr="000B4857" w14:paraId="729C8C6D" w14:textId="77777777" w:rsidTr="001D287D">
        <w:trPr>
          <w:trHeight w:val="480"/>
          <w:jc w:val="center"/>
        </w:trPr>
        <w:tc>
          <w:tcPr>
            <w:tcW w:w="707" w:type="dxa"/>
            <w:tcBorders>
              <w:top w:val="nil"/>
              <w:left w:val="nil"/>
              <w:bottom w:val="nil"/>
              <w:right w:val="single" w:sz="8" w:space="0" w:color="auto"/>
            </w:tcBorders>
            <w:vAlign w:val="center"/>
            <w:hideMark/>
          </w:tcPr>
          <w:p w14:paraId="6A0F0EEE" w14:textId="50C6E1A5" w:rsidR="001D287D" w:rsidRPr="000B4857"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5EBCC190" w14:textId="77777777" w:rsidR="001D287D" w:rsidRPr="000B4857"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0A5A89E2" w14:textId="2A378238"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K209201</w:t>
            </w:r>
          </w:p>
        </w:tc>
        <w:tc>
          <w:tcPr>
            <w:tcW w:w="3768" w:type="dxa"/>
            <w:tcBorders>
              <w:top w:val="nil"/>
              <w:left w:val="nil"/>
              <w:bottom w:val="single" w:sz="4" w:space="0" w:color="auto"/>
              <w:right w:val="single" w:sz="4" w:space="0" w:color="auto"/>
            </w:tcBorders>
            <w:shd w:val="clear" w:color="000000" w:fill="FFFFFF"/>
            <w:vAlign w:val="center"/>
            <w:hideMark/>
          </w:tcPr>
          <w:p w14:paraId="4E684B0A" w14:textId="34EDD302"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Javne prometne površine na kojima nije dopušten promet motor.vozilom 2;trg,šetnica,plaža i sl.</w:t>
            </w:r>
          </w:p>
        </w:tc>
        <w:tc>
          <w:tcPr>
            <w:tcW w:w="1180" w:type="dxa"/>
            <w:tcBorders>
              <w:top w:val="nil"/>
              <w:left w:val="single" w:sz="4" w:space="0" w:color="auto"/>
              <w:bottom w:val="single" w:sz="4" w:space="0" w:color="auto"/>
              <w:right w:val="single" w:sz="4" w:space="0" w:color="auto"/>
            </w:tcBorders>
            <w:noWrap/>
            <w:vAlign w:val="center"/>
            <w:hideMark/>
          </w:tcPr>
          <w:p w14:paraId="1213915B" w14:textId="73C6FD11"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190.448,89</w:t>
            </w:r>
          </w:p>
        </w:tc>
        <w:tc>
          <w:tcPr>
            <w:tcW w:w="1760" w:type="dxa"/>
            <w:tcBorders>
              <w:top w:val="nil"/>
              <w:left w:val="nil"/>
              <w:bottom w:val="single" w:sz="4" w:space="0" w:color="auto"/>
              <w:right w:val="single" w:sz="8" w:space="0" w:color="auto"/>
            </w:tcBorders>
            <w:noWrap/>
            <w:vAlign w:val="center"/>
            <w:hideMark/>
          </w:tcPr>
          <w:p w14:paraId="13BC17EB" w14:textId="5235947C"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0,00</w:t>
            </w:r>
          </w:p>
        </w:tc>
        <w:tc>
          <w:tcPr>
            <w:tcW w:w="1440" w:type="dxa"/>
            <w:tcBorders>
              <w:top w:val="nil"/>
              <w:left w:val="single" w:sz="4" w:space="0" w:color="auto"/>
              <w:bottom w:val="single" w:sz="4" w:space="0" w:color="auto"/>
              <w:right w:val="single" w:sz="8" w:space="0" w:color="auto"/>
            </w:tcBorders>
            <w:noWrap/>
            <w:vAlign w:val="center"/>
            <w:hideMark/>
          </w:tcPr>
          <w:p w14:paraId="31EE4D44" w14:textId="25E9E426"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0,00</w:t>
            </w:r>
          </w:p>
        </w:tc>
        <w:tc>
          <w:tcPr>
            <w:tcW w:w="1440" w:type="dxa"/>
            <w:tcBorders>
              <w:top w:val="nil"/>
              <w:left w:val="single" w:sz="4" w:space="0" w:color="auto"/>
              <w:bottom w:val="single" w:sz="4" w:space="0" w:color="auto"/>
              <w:right w:val="single" w:sz="8" w:space="0" w:color="auto"/>
            </w:tcBorders>
            <w:noWrap/>
            <w:vAlign w:val="center"/>
            <w:hideMark/>
          </w:tcPr>
          <w:p w14:paraId="1E16FAB4" w14:textId="3B93BB9F"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0,00</w:t>
            </w:r>
          </w:p>
        </w:tc>
      </w:tr>
      <w:tr w:rsidR="001D287D" w:rsidRPr="000B4857" w14:paraId="38721634" w14:textId="77777777" w:rsidTr="001D287D">
        <w:trPr>
          <w:trHeight w:val="450"/>
          <w:jc w:val="center"/>
        </w:trPr>
        <w:tc>
          <w:tcPr>
            <w:tcW w:w="707" w:type="dxa"/>
            <w:tcBorders>
              <w:top w:val="nil"/>
              <w:left w:val="nil"/>
              <w:bottom w:val="nil"/>
              <w:right w:val="single" w:sz="8" w:space="0" w:color="auto"/>
            </w:tcBorders>
            <w:vAlign w:val="center"/>
            <w:hideMark/>
          </w:tcPr>
          <w:p w14:paraId="7AC424E9" w14:textId="4293FB43" w:rsidR="001D287D" w:rsidRPr="000B4857"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51C8ED76" w14:textId="77777777" w:rsidR="001D287D" w:rsidRPr="000B4857"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244ABA96" w14:textId="214EB952"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K209202</w:t>
            </w:r>
          </w:p>
        </w:tc>
        <w:tc>
          <w:tcPr>
            <w:tcW w:w="3768" w:type="dxa"/>
            <w:tcBorders>
              <w:top w:val="nil"/>
              <w:left w:val="nil"/>
              <w:bottom w:val="single" w:sz="4" w:space="0" w:color="auto"/>
              <w:right w:val="single" w:sz="4" w:space="0" w:color="auto"/>
            </w:tcBorders>
            <w:shd w:val="clear" w:color="000000" w:fill="FFFFFF"/>
            <w:vAlign w:val="center"/>
            <w:hideMark/>
          </w:tcPr>
          <w:p w14:paraId="61E4C37D" w14:textId="7636DFB3"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Projektiranje, rekonstrukcija i izgradnja nerazvrstanih cesta, putova</w:t>
            </w:r>
          </w:p>
        </w:tc>
        <w:tc>
          <w:tcPr>
            <w:tcW w:w="1180" w:type="dxa"/>
            <w:tcBorders>
              <w:top w:val="nil"/>
              <w:left w:val="single" w:sz="4" w:space="0" w:color="auto"/>
              <w:bottom w:val="single" w:sz="4" w:space="0" w:color="auto"/>
              <w:right w:val="single" w:sz="4" w:space="0" w:color="auto"/>
            </w:tcBorders>
            <w:noWrap/>
            <w:vAlign w:val="center"/>
            <w:hideMark/>
          </w:tcPr>
          <w:p w14:paraId="202C78B1" w14:textId="137E0AE1"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23.375,00</w:t>
            </w:r>
          </w:p>
        </w:tc>
        <w:tc>
          <w:tcPr>
            <w:tcW w:w="1760" w:type="dxa"/>
            <w:tcBorders>
              <w:top w:val="nil"/>
              <w:left w:val="nil"/>
              <w:bottom w:val="single" w:sz="4" w:space="0" w:color="auto"/>
              <w:right w:val="single" w:sz="8" w:space="0" w:color="auto"/>
            </w:tcBorders>
            <w:noWrap/>
            <w:vAlign w:val="center"/>
            <w:hideMark/>
          </w:tcPr>
          <w:p w14:paraId="651ECF74" w14:textId="2F2074AE"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23.375,00</w:t>
            </w:r>
          </w:p>
        </w:tc>
        <w:tc>
          <w:tcPr>
            <w:tcW w:w="1440" w:type="dxa"/>
            <w:tcBorders>
              <w:top w:val="nil"/>
              <w:left w:val="single" w:sz="4" w:space="0" w:color="auto"/>
              <w:bottom w:val="single" w:sz="4" w:space="0" w:color="auto"/>
              <w:right w:val="single" w:sz="8" w:space="0" w:color="auto"/>
            </w:tcBorders>
            <w:noWrap/>
            <w:vAlign w:val="center"/>
            <w:hideMark/>
          </w:tcPr>
          <w:p w14:paraId="6A0974F9" w14:textId="416052D1"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 </w:t>
            </w:r>
          </w:p>
        </w:tc>
        <w:tc>
          <w:tcPr>
            <w:tcW w:w="1440" w:type="dxa"/>
            <w:tcBorders>
              <w:top w:val="nil"/>
              <w:left w:val="single" w:sz="4" w:space="0" w:color="auto"/>
              <w:bottom w:val="single" w:sz="4" w:space="0" w:color="auto"/>
              <w:right w:val="single" w:sz="8" w:space="0" w:color="auto"/>
            </w:tcBorders>
            <w:noWrap/>
            <w:vAlign w:val="center"/>
            <w:hideMark/>
          </w:tcPr>
          <w:p w14:paraId="07D95A83" w14:textId="28BC46A0"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23.375,00</w:t>
            </w:r>
          </w:p>
        </w:tc>
      </w:tr>
      <w:tr w:rsidR="001D287D" w:rsidRPr="000B4857" w14:paraId="31B4BDD3" w14:textId="77777777" w:rsidTr="001D287D">
        <w:trPr>
          <w:trHeight w:val="300"/>
          <w:jc w:val="center"/>
        </w:trPr>
        <w:tc>
          <w:tcPr>
            <w:tcW w:w="707" w:type="dxa"/>
            <w:tcBorders>
              <w:top w:val="nil"/>
              <w:left w:val="nil"/>
              <w:bottom w:val="nil"/>
              <w:right w:val="single" w:sz="8" w:space="0" w:color="auto"/>
            </w:tcBorders>
            <w:vAlign w:val="center"/>
            <w:hideMark/>
          </w:tcPr>
          <w:p w14:paraId="0BCA8EBA" w14:textId="22576A12" w:rsidR="001D287D" w:rsidRPr="000B4857"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74D23422" w14:textId="77777777" w:rsidR="001D287D" w:rsidRPr="000B4857"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3F26EFE4" w14:textId="52652851"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K209203</w:t>
            </w:r>
          </w:p>
        </w:tc>
        <w:tc>
          <w:tcPr>
            <w:tcW w:w="3768" w:type="dxa"/>
            <w:tcBorders>
              <w:top w:val="nil"/>
              <w:left w:val="nil"/>
              <w:bottom w:val="single" w:sz="4" w:space="0" w:color="auto"/>
              <w:right w:val="single" w:sz="4" w:space="0" w:color="auto"/>
            </w:tcBorders>
            <w:shd w:val="clear" w:color="000000" w:fill="FFFFFF"/>
            <w:vAlign w:val="center"/>
            <w:hideMark/>
          </w:tcPr>
          <w:p w14:paraId="53CDDB43" w14:textId="632896CB"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Rekonstrukcija i izgradnja javne rasvjete 7</w:t>
            </w:r>
          </w:p>
        </w:tc>
        <w:tc>
          <w:tcPr>
            <w:tcW w:w="1180" w:type="dxa"/>
            <w:tcBorders>
              <w:top w:val="nil"/>
              <w:left w:val="single" w:sz="4" w:space="0" w:color="auto"/>
              <w:bottom w:val="single" w:sz="4" w:space="0" w:color="auto"/>
              <w:right w:val="single" w:sz="4" w:space="0" w:color="auto"/>
            </w:tcBorders>
            <w:noWrap/>
            <w:vAlign w:val="center"/>
            <w:hideMark/>
          </w:tcPr>
          <w:p w14:paraId="1B618696" w14:textId="232232BE"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208.726,75</w:t>
            </w:r>
          </w:p>
        </w:tc>
        <w:tc>
          <w:tcPr>
            <w:tcW w:w="1760" w:type="dxa"/>
            <w:tcBorders>
              <w:top w:val="nil"/>
              <w:left w:val="nil"/>
              <w:bottom w:val="single" w:sz="4" w:space="0" w:color="auto"/>
              <w:right w:val="single" w:sz="8" w:space="0" w:color="auto"/>
            </w:tcBorders>
            <w:noWrap/>
            <w:vAlign w:val="center"/>
            <w:hideMark/>
          </w:tcPr>
          <w:p w14:paraId="0774FBE4" w14:textId="3A5D0748"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30.481,25</w:t>
            </w:r>
          </w:p>
        </w:tc>
        <w:tc>
          <w:tcPr>
            <w:tcW w:w="1440" w:type="dxa"/>
            <w:tcBorders>
              <w:top w:val="nil"/>
              <w:left w:val="single" w:sz="4" w:space="0" w:color="auto"/>
              <w:bottom w:val="single" w:sz="4" w:space="0" w:color="auto"/>
              <w:right w:val="single" w:sz="8" w:space="0" w:color="auto"/>
            </w:tcBorders>
            <w:noWrap/>
            <w:vAlign w:val="center"/>
            <w:hideMark/>
          </w:tcPr>
          <w:p w14:paraId="2DF013AD" w14:textId="2F0E3FDD"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28.793,75</w:t>
            </w:r>
          </w:p>
        </w:tc>
        <w:tc>
          <w:tcPr>
            <w:tcW w:w="1440" w:type="dxa"/>
            <w:tcBorders>
              <w:top w:val="nil"/>
              <w:left w:val="single" w:sz="4" w:space="0" w:color="auto"/>
              <w:bottom w:val="single" w:sz="4" w:space="0" w:color="auto"/>
              <w:right w:val="single" w:sz="8" w:space="0" w:color="auto"/>
            </w:tcBorders>
            <w:noWrap/>
            <w:vAlign w:val="center"/>
            <w:hideMark/>
          </w:tcPr>
          <w:p w14:paraId="6E2F9003" w14:textId="411F9C26"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1.687,50</w:t>
            </w:r>
          </w:p>
        </w:tc>
      </w:tr>
      <w:tr w:rsidR="001D287D" w:rsidRPr="000B4857" w14:paraId="5146E43C" w14:textId="77777777" w:rsidTr="001D287D">
        <w:trPr>
          <w:trHeight w:val="450"/>
          <w:jc w:val="center"/>
        </w:trPr>
        <w:tc>
          <w:tcPr>
            <w:tcW w:w="707" w:type="dxa"/>
            <w:tcBorders>
              <w:top w:val="nil"/>
              <w:left w:val="nil"/>
              <w:bottom w:val="nil"/>
              <w:right w:val="single" w:sz="8" w:space="0" w:color="auto"/>
            </w:tcBorders>
            <w:vAlign w:val="center"/>
            <w:hideMark/>
          </w:tcPr>
          <w:p w14:paraId="7DE30F81" w14:textId="0BFA9835" w:rsidR="001D287D" w:rsidRPr="000B4857"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0AD6CF7D" w14:textId="77777777" w:rsidR="001D287D" w:rsidRPr="000B4857"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6DE29931" w14:textId="51AF5DFD"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K209204</w:t>
            </w:r>
          </w:p>
        </w:tc>
        <w:tc>
          <w:tcPr>
            <w:tcW w:w="3768" w:type="dxa"/>
            <w:tcBorders>
              <w:top w:val="nil"/>
              <w:left w:val="nil"/>
              <w:bottom w:val="single" w:sz="4" w:space="0" w:color="auto"/>
              <w:right w:val="single" w:sz="4" w:space="0" w:color="auto"/>
            </w:tcBorders>
            <w:shd w:val="clear" w:color="000000" w:fill="FFFFFF"/>
            <w:vAlign w:val="center"/>
            <w:hideMark/>
          </w:tcPr>
          <w:p w14:paraId="291BE224" w14:textId="0255B9E4"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Rekonstrukcija javne rasvjete - Povećanje učinkovitosti sustava javne rasvjete</w:t>
            </w:r>
          </w:p>
        </w:tc>
        <w:tc>
          <w:tcPr>
            <w:tcW w:w="1180" w:type="dxa"/>
            <w:tcBorders>
              <w:top w:val="nil"/>
              <w:left w:val="single" w:sz="4" w:space="0" w:color="auto"/>
              <w:bottom w:val="single" w:sz="4" w:space="0" w:color="auto"/>
              <w:right w:val="single" w:sz="4" w:space="0" w:color="auto"/>
            </w:tcBorders>
            <w:noWrap/>
            <w:vAlign w:val="center"/>
            <w:hideMark/>
          </w:tcPr>
          <w:p w14:paraId="2DBF43F0" w14:textId="18075138"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673,50</w:t>
            </w:r>
          </w:p>
        </w:tc>
        <w:tc>
          <w:tcPr>
            <w:tcW w:w="1760" w:type="dxa"/>
            <w:tcBorders>
              <w:top w:val="nil"/>
              <w:left w:val="nil"/>
              <w:bottom w:val="single" w:sz="4" w:space="0" w:color="auto"/>
              <w:right w:val="single" w:sz="8" w:space="0" w:color="auto"/>
            </w:tcBorders>
            <w:noWrap/>
            <w:vAlign w:val="center"/>
            <w:hideMark/>
          </w:tcPr>
          <w:p w14:paraId="1D9E2542" w14:textId="45C5A9BB"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673,50</w:t>
            </w:r>
          </w:p>
        </w:tc>
        <w:tc>
          <w:tcPr>
            <w:tcW w:w="1440" w:type="dxa"/>
            <w:tcBorders>
              <w:top w:val="nil"/>
              <w:left w:val="single" w:sz="4" w:space="0" w:color="auto"/>
              <w:bottom w:val="single" w:sz="4" w:space="0" w:color="auto"/>
              <w:right w:val="single" w:sz="8" w:space="0" w:color="auto"/>
            </w:tcBorders>
            <w:noWrap/>
            <w:vAlign w:val="center"/>
            <w:hideMark/>
          </w:tcPr>
          <w:p w14:paraId="57080B00" w14:textId="55BB411F"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673,50</w:t>
            </w:r>
          </w:p>
        </w:tc>
        <w:tc>
          <w:tcPr>
            <w:tcW w:w="1440" w:type="dxa"/>
            <w:tcBorders>
              <w:top w:val="nil"/>
              <w:left w:val="single" w:sz="4" w:space="0" w:color="auto"/>
              <w:bottom w:val="single" w:sz="4" w:space="0" w:color="auto"/>
              <w:right w:val="single" w:sz="8" w:space="0" w:color="auto"/>
            </w:tcBorders>
            <w:noWrap/>
            <w:vAlign w:val="center"/>
            <w:hideMark/>
          </w:tcPr>
          <w:p w14:paraId="6A9AD76A" w14:textId="1696AB23"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 </w:t>
            </w:r>
          </w:p>
        </w:tc>
      </w:tr>
      <w:tr w:rsidR="001D287D" w:rsidRPr="000B4857" w14:paraId="19D2B4E8" w14:textId="77777777" w:rsidTr="001D287D">
        <w:trPr>
          <w:trHeight w:val="300"/>
          <w:jc w:val="center"/>
        </w:trPr>
        <w:tc>
          <w:tcPr>
            <w:tcW w:w="707" w:type="dxa"/>
            <w:tcBorders>
              <w:top w:val="nil"/>
              <w:left w:val="nil"/>
              <w:bottom w:val="nil"/>
              <w:right w:val="single" w:sz="8" w:space="0" w:color="auto"/>
            </w:tcBorders>
            <w:vAlign w:val="center"/>
            <w:hideMark/>
          </w:tcPr>
          <w:p w14:paraId="27AEACC3" w14:textId="2BCAAB8A" w:rsidR="001D287D" w:rsidRPr="000B4857"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73267BF2" w14:textId="77777777" w:rsidR="001D287D" w:rsidRPr="000B4857"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266DDB37" w14:textId="03E6DCE1"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T209209</w:t>
            </w:r>
          </w:p>
        </w:tc>
        <w:tc>
          <w:tcPr>
            <w:tcW w:w="3768" w:type="dxa"/>
            <w:tcBorders>
              <w:top w:val="nil"/>
              <w:left w:val="nil"/>
              <w:bottom w:val="single" w:sz="4" w:space="0" w:color="auto"/>
              <w:right w:val="single" w:sz="4" w:space="0" w:color="auto"/>
            </w:tcBorders>
            <w:shd w:val="clear" w:color="000000" w:fill="FFFFFF"/>
            <w:vAlign w:val="center"/>
            <w:hideMark/>
          </w:tcPr>
          <w:p w14:paraId="5F7FA0D3" w14:textId="0468A04F"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Izgradnja, uređenje, opremanje parkinga 3</w:t>
            </w:r>
          </w:p>
        </w:tc>
        <w:tc>
          <w:tcPr>
            <w:tcW w:w="1180" w:type="dxa"/>
            <w:tcBorders>
              <w:top w:val="nil"/>
              <w:left w:val="single" w:sz="4" w:space="0" w:color="auto"/>
              <w:bottom w:val="single" w:sz="4" w:space="0" w:color="auto"/>
              <w:right w:val="single" w:sz="4" w:space="0" w:color="auto"/>
            </w:tcBorders>
            <w:noWrap/>
            <w:vAlign w:val="center"/>
            <w:hideMark/>
          </w:tcPr>
          <w:p w14:paraId="3E49A24F" w14:textId="2E03F7E6"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270.655,81</w:t>
            </w:r>
          </w:p>
        </w:tc>
        <w:tc>
          <w:tcPr>
            <w:tcW w:w="1760" w:type="dxa"/>
            <w:tcBorders>
              <w:top w:val="nil"/>
              <w:left w:val="nil"/>
              <w:bottom w:val="single" w:sz="4" w:space="0" w:color="auto"/>
              <w:right w:val="single" w:sz="8" w:space="0" w:color="auto"/>
            </w:tcBorders>
            <w:noWrap/>
            <w:vAlign w:val="center"/>
            <w:hideMark/>
          </w:tcPr>
          <w:p w14:paraId="29E47A81" w14:textId="54B3FF70"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34.299,09</w:t>
            </w:r>
          </w:p>
        </w:tc>
        <w:tc>
          <w:tcPr>
            <w:tcW w:w="1440" w:type="dxa"/>
            <w:tcBorders>
              <w:top w:val="nil"/>
              <w:left w:val="single" w:sz="4" w:space="0" w:color="auto"/>
              <w:bottom w:val="single" w:sz="4" w:space="0" w:color="auto"/>
              <w:right w:val="single" w:sz="8" w:space="0" w:color="auto"/>
            </w:tcBorders>
            <w:noWrap/>
            <w:vAlign w:val="center"/>
            <w:hideMark/>
          </w:tcPr>
          <w:p w14:paraId="3D3C7D7B" w14:textId="010B57C5"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30.280,00</w:t>
            </w:r>
          </w:p>
        </w:tc>
        <w:tc>
          <w:tcPr>
            <w:tcW w:w="1440" w:type="dxa"/>
            <w:tcBorders>
              <w:top w:val="nil"/>
              <w:left w:val="single" w:sz="4" w:space="0" w:color="auto"/>
              <w:bottom w:val="single" w:sz="4" w:space="0" w:color="auto"/>
              <w:right w:val="single" w:sz="8" w:space="0" w:color="auto"/>
            </w:tcBorders>
            <w:noWrap/>
            <w:vAlign w:val="center"/>
            <w:hideMark/>
          </w:tcPr>
          <w:p w14:paraId="54A6B09F" w14:textId="58427890"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4.019,09</w:t>
            </w:r>
          </w:p>
        </w:tc>
      </w:tr>
      <w:tr w:rsidR="001D287D" w:rsidRPr="000B4857" w14:paraId="1F360EB7" w14:textId="77777777" w:rsidTr="001D287D">
        <w:trPr>
          <w:trHeight w:val="300"/>
          <w:jc w:val="center"/>
        </w:trPr>
        <w:tc>
          <w:tcPr>
            <w:tcW w:w="707" w:type="dxa"/>
            <w:tcBorders>
              <w:top w:val="nil"/>
              <w:left w:val="nil"/>
              <w:bottom w:val="nil"/>
              <w:right w:val="single" w:sz="8" w:space="0" w:color="auto"/>
            </w:tcBorders>
            <w:vAlign w:val="center"/>
            <w:hideMark/>
          </w:tcPr>
          <w:p w14:paraId="4372E666" w14:textId="7DC5B8DD" w:rsidR="001D287D" w:rsidRPr="000B4857"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29FDA0C9" w14:textId="77777777" w:rsidR="001D287D" w:rsidRPr="000B4857"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020E0EAC" w14:textId="5497E916"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K209216</w:t>
            </w:r>
          </w:p>
        </w:tc>
        <w:tc>
          <w:tcPr>
            <w:tcW w:w="3768" w:type="dxa"/>
            <w:tcBorders>
              <w:top w:val="nil"/>
              <w:left w:val="nil"/>
              <w:bottom w:val="single" w:sz="4" w:space="0" w:color="auto"/>
              <w:right w:val="single" w:sz="4" w:space="0" w:color="auto"/>
            </w:tcBorders>
            <w:shd w:val="clear" w:color="000000" w:fill="FFFFFF"/>
            <w:vAlign w:val="center"/>
            <w:hideMark/>
          </w:tcPr>
          <w:p w14:paraId="7055932E" w14:textId="416B212D"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Nogostup naselje Čilipi, 1</w:t>
            </w:r>
          </w:p>
        </w:tc>
        <w:tc>
          <w:tcPr>
            <w:tcW w:w="1180" w:type="dxa"/>
            <w:tcBorders>
              <w:top w:val="nil"/>
              <w:left w:val="single" w:sz="4" w:space="0" w:color="auto"/>
              <w:bottom w:val="single" w:sz="4" w:space="0" w:color="auto"/>
              <w:right w:val="single" w:sz="4" w:space="0" w:color="auto"/>
            </w:tcBorders>
            <w:noWrap/>
            <w:vAlign w:val="center"/>
            <w:hideMark/>
          </w:tcPr>
          <w:p w14:paraId="1DFC3C7C" w14:textId="6E3BF899"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255.575,41</w:t>
            </w:r>
          </w:p>
        </w:tc>
        <w:tc>
          <w:tcPr>
            <w:tcW w:w="1760" w:type="dxa"/>
            <w:tcBorders>
              <w:top w:val="nil"/>
              <w:left w:val="nil"/>
              <w:bottom w:val="single" w:sz="4" w:space="0" w:color="auto"/>
              <w:right w:val="single" w:sz="8" w:space="0" w:color="auto"/>
            </w:tcBorders>
            <w:noWrap/>
            <w:vAlign w:val="center"/>
            <w:hideMark/>
          </w:tcPr>
          <w:p w14:paraId="70A91352" w14:textId="244987BC"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78.268,87</w:t>
            </w:r>
          </w:p>
        </w:tc>
        <w:tc>
          <w:tcPr>
            <w:tcW w:w="1440" w:type="dxa"/>
            <w:tcBorders>
              <w:top w:val="nil"/>
              <w:left w:val="single" w:sz="4" w:space="0" w:color="auto"/>
              <w:bottom w:val="single" w:sz="4" w:space="0" w:color="auto"/>
              <w:right w:val="single" w:sz="8" w:space="0" w:color="auto"/>
            </w:tcBorders>
            <w:noWrap/>
            <w:vAlign w:val="center"/>
            <w:hideMark/>
          </w:tcPr>
          <w:p w14:paraId="21572C6C" w14:textId="0E4368E6"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1.300,00</w:t>
            </w:r>
          </w:p>
        </w:tc>
        <w:tc>
          <w:tcPr>
            <w:tcW w:w="1440" w:type="dxa"/>
            <w:tcBorders>
              <w:top w:val="nil"/>
              <w:left w:val="single" w:sz="4" w:space="0" w:color="auto"/>
              <w:bottom w:val="single" w:sz="4" w:space="0" w:color="auto"/>
              <w:right w:val="single" w:sz="8" w:space="0" w:color="auto"/>
            </w:tcBorders>
            <w:noWrap/>
            <w:vAlign w:val="center"/>
            <w:hideMark/>
          </w:tcPr>
          <w:p w14:paraId="284FF9FC" w14:textId="0D6F073E"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76.968,87</w:t>
            </w:r>
          </w:p>
        </w:tc>
      </w:tr>
      <w:tr w:rsidR="001D287D" w:rsidRPr="000B4857" w14:paraId="48DEF3B8" w14:textId="77777777" w:rsidTr="001D287D">
        <w:trPr>
          <w:trHeight w:val="300"/>
          <w:jc w:val="center"/>
        </w:trPr>
        <w:tc>
          <w:tcPr>
            <w:tcW w:w="707" w:type="dxa"/>
            <w:tcBorders>
              <w:top w:val="nil"/>
              <w:left w:val="nil"/>
              <w:bottom w:val="nil"/>
              <w:right w:val="single" w:sz="8" w:space="0" w:color="auto"/>
            </w:tcBorders>
            <w:vAlign w:val="center"/>
            <w:hideMark/>
          </w:tcPr>
          <w:p w14:paraId="77DF57F8" w14:textId="71F343BB" w:rsidR="001D287D" w:rsidRPr="000B4857"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4E3ECEF6" w14:textId="77777777" w:rsidR="001D287D" w:rsidRPr="000B4857"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5A969599" w14:textId="1C682412"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K209220</w:t>
            </w:r>
          </w:p>
        </w:tc>
        <w:tc>
          <w:tcPr>
            <w:tcW w:w="3768" w:type="dxa"/>
            <w:tcBorders>
              <w:top w:val="nil"/>
              <w:left w:val="nil"/>
              <w:bottom w:val="single" w:sz="4" w:space="0" w:color="auto"/>
              <w:right w:val="single" w:sz="4" w:space="0" w:color="auto"/>
            </w:tcBorders>
            <w:shd w:val="clear" w:color="000000" w:fill="FFFFFF"/>
            <w:vAlign w:val="center"/>
            <w:hideMark/>
          </w:tcPr>
          <w:p w14:paraId="5DF5ED71" w14:textId="45021E8C"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Nogostup Čilipi - Zvekovica</w:t>
            </w:r>
          </w:p>
        </w:tc>
        <w:tc>
          <w:tcPr>
            <w:tcW w:w="1180" w:type="dxa"/>
            <w:tcBorders>
              <w:top w:val="nil"/>
              <w:left w:val="single" w:sz="4" w:space="0" w:color="auto"/>
              <w:bottom w:val="single" w:sz="4" w:space="0" w:color="auto"/>
              <w:right w:val="single" w:sz="4" w:space="0" w:color="auto"/>
            </w:tcBorders>
            <w:noWrap/>
            <w:vAlign w:val="center"/>
            <w:hideMark/>
          </w:tcPr>
          <w:p w14:paraId="3EA2E03E" w14:textId="1DB34B73"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9.900,00</w:t>
            </w:r>
          </w:p>
        </w:tc>
        <w:tc>
          <w:tcPr>
            <w:tcW w:w="1760" w:type="dxa"/>
            <w:tcBorders>
              <w:top w:val="nil"/>
              <w:left w:val="nil"/>
              <w:bottom w:val="single" w:sz="4" w:space="0" w:color="auto"/>
              <w:right w:val="single" w:sz="8" w:space="0" w:color="auto"/>
            </w:tcBorders>
            <w:noWrap/>
            <w:vAlign w:val="center"/>
            <w:hideMark/>
          </w:tcPr>
          <w:p w14:paraId="09817C59" w14:textId="0F49DA9C"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9.900,00</w:t>
            </w:r>
          </w:p>
        </w:tc>
        <w:tc>
          <w:tcPr>
            <w:tcW w:w="1440" w:type="dxa"/>
            <w:tcBorders>
              <w:top w:val="nil"/>
              <w:left w:val="single" w:sz="4" w:space="0" w:color="auto"/>
              <w:bottom w:val="single" w:sz="4" w:space="0" w:color="auto"/>
              <w:right w:val="single" w:sz="8" w:space="0" w:color="auto"/>
            </w:tcBorders>
            <w:noWrap/>
            <w:vAlign w:val="center"/>
            <w:hideMark/>
          </w:tcPr>
          <w:p w14:paraId="478C234B" w14:textId="022D64CA"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9.900,00</w:t>
            </w:r>
          </w:p>
        </w:tc>
        <w:tc>
          <w:tcPr>
            <w:tcW w:w="1440" w:type="dxa"/>
            <w:tcBorders>
              <w:top w:val="nil"/>
              <w:left w:val="single" w:sz="4" w:space="0" w:color="auto"/>
              <w:bottom w:val="single" w:sz="4" w:space="0" w:color="auto"/>
              <w:right w:val="single" w:sz="8" w:space="0" w:color="auto"/>
            </w:tcBorders>
            <w:noWrap/>
            <w:vAlign w:val="center"/>
            <w:hideMark/>
          </w:tcPr>
          <w:p w14:paraId="6632E097" w14:textId="2FA9BEBE"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 </w:t>
            </w:r>
          </w:p>
        </w:tc>
      </w:tr>
      <w:tr w:rsidR="001D287D" w:rsidRPr="000B4857" w14:paraId="6AB39460" w14:textId="77777777" w:rsidTr="001D287D">
        <w:trPr>
          <w:trHeight w:val="450"/>
          <w:jc w:val="center"/>
        </w:trPr>
        <w:tc>
          <w:tcPr>
            <w:tcW w:w="707" w:type="dxa"/>
            <w:tcBorders>
              <w:top w:val="nil"/>
              <w:left w:val="nil"/>
              <w:bottom w:val="nil"/>
              <w:right w:val="single" w:sz="8" w:space="0" w:color="auto"/>
            </w:tcBorders>
            <w:vAlign w:val="center"/>
            <w:hideMark/>
          </w:tcPr>
          <w:p w14:paraId="2C38C525" w14:textId="1A4DAEF1" w:rsidR="001D287D" w:rsidRPr="000B4857"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18EFD41E" w14:textId="77777777" w:rsidR="001D287D" w:rsidRPr="000B4857"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43A934CD" w14:textId="11CCB4F8"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T209222</w:t>
            </w:r>
          </w:p>
        </w:tc>
        <w:tc>
          <w:tcPr>
            <w:tcW w:w="3768" w:type="dxa"/>
            <w:tcBorders>
              <w:top w:val="nil"/>
              <w:left w:val="nil"/>
              <w:bottom w:val="single" w:sz="4" w:space="0" w:color="auto"/>
              <w:right w:val="single" w:sz="4" w:space="0" w:color="auto"/>
            </w:tcBorders>
            <w:shd w:val="clear" w:color="000000" w:fill="FFFFFF"/>
            <w:vAlign w:val="center"/>
            <w:hideMark/>
          </w:tcPr>
          <w:p w14:paraId="4D5B7543" w14:textId="4D0F68A7"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Uređenje šetnice i parka okoliša Mauzoleja Račić s grobljem i pratećim objektom, 8</w:t>
            </w:r>
          </w:p>
        </w:tc>
        <w:tc>
          <w:tcPr>
            <w:tcW w:w="1180" w:type="dxa"/>
            <w:tcBorders>
              <w:top w:val="nil"/>
              <w:left w:val="single" w:sz="4" w:space="0" w:color="auto"/>
              <w:bottom w:val="single" w:sz="4" w:space="0" w:color="auto"/>
              <w:right w:val="single" w:sz="4" w:space="0" w:color="auto"/>
            </w:tcBorders>
            <w:noWrap/>
            <w:vAlign w:val="center"/>
            <w:hideMark/>
          </w:tcPr>
          <w:p w14:paraId="48AE6E8B" w14:textId="132830B1"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9.200,00</w:t>
            </w:r>
          </w:p>
        </w:tc>
        <w:tc>
          <w:tcPr>
            <w:tcW w:w="1760" w:type="dxa"/>
            <w:tcBorders>
              <w:top w:val="nil"/>
              <w:left w:val="nil"/>
              <w:bottom w:val="single" w:sz="4" w:space="0" w:color="auto"/>
              <w:right w:val="single" w:sz="8" w:space="0" w:color="auto"/>
            </w:tcBorders>
            <w:noWrap/>
            <w:vAlign w:val="center"/>
            <w:hideMark/>
          </w:tcPr>
          <w:p w14:paraId="66D3B737" w14:textId="5059CEEA"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0,00</w:t>
            </w:r>
          </w:p>
        </w:tc>
        <w:tc>
          <w:tcPr>
            <w:tcW w:w="1440" w:type="dxa"/>
            <w:tcBorders>
              <w:top w:val="nil"/>
              <w:left w:val="single" w:sz="4" w:space="0" w:color="auto"/>
              <w:bottom w:val="single" w:sz="4" w:space="0" w:color="auto"/>
              <w:right w:val="single" w:sz="8" w:space="0" w:color="auto"/>
            </w:tcBorders>
            <w:noWrap/>
            <w:vAlign w:val="center"/>
            <w:hideMark/>
          </w:tcPr>
          <w:p w14:paraId="6328A852" w14:textId="2D829B29"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 </w:t>
            </w:r>
          </w:p>
        </w:tc>
        <w:tc>
          <w:tcPr>
            <w:tcW w:w="1440" w:type="dxa"/>
            <w:tcBorders>
              <w:top w:val="nil"/>
              <w:left w:val="single" w:sz="4" w:space="0" w:color="auto"/>
              <w:bottom w:val="single" w:sz="4" w:space="0" w:color="auto"/>
              <w:right w:val="single" w:sz="8" w:space="0" w:color="auto"/>
            </w:tcBorders>
            <w:noWrap/>
            <w:vAlign w:val="center"/>
            <w:hideMark/>
          </w:tcPr>
          <w:p w14:paraId="29CE4ED9" w14:textId="0EE9408B"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 </w:t>
            </w:r>
          </w:p>
        </w:tc>
      </w:tr>
      <w:tr w:rsidR="001D287D" w:rsidRPr="000B4857" w14:paraId="2FC6BBF6" w14:textId="77777777" w:rsidTr="001D287D">
        <w:trPr>
          <w:trHeight w:val="300"/>
          <w:jc w:val="center"/>
        </w:trPr>
        <w:tc>
          <w:tcPr>
            <w:tcW w:w="707" w:type="dxa"/>
            <w:tcBorders>
              <w:top w:val="nil"/>
              <w:left w:val="nil"/>
              <w:bottom w:val="nil"/>
              <w:right w:val="single" w:sz="8" w:space="0" w:color="auto"/>
            </w:tcBorders>
            <w:vAlign w:val="center"/>
            <w:hideMark/>
          </w:tcPr>
          <w:p w14:paraId="065013E6" w14:textId="19717145" w:rsidR="001D287D" w:rsidRPr="000B4857"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49181D0B" w14:textId="77777777" w:rsidR="001D287D" w:rsidRPr="000B4857"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3D1F1B91" w14:textId="69EDA4F9"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K209223</w:t>
            </w:r>
          </w:p>
        </w:tc>
        <w:tc>
          <w:tcPr>
            <w:tcW w:w="3768" w:type="dxa"/>
            <w:tcBorders>
              <w:top w:val="nil"/>
              <w:left w:val="nil"/>
              <w:bottom w:val="single" w:sz="4" w:space="0" w:color="auto"/>
              <w:right w:val="single" w:sz="4" w:space="0" w:color="auto"/>
            </w:tcBorders>
            <w:shd w:val="clear" w:color="000000" w:fill="FFFFFF"/>
            <w:vAlign w:val="center"/>
            <w:hideMark/>
          </w:tcPr>
          <w:p w14:paraId="6D716B15" w14:textId="6B7E9584"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Cesta Prahivac - Epidaurus</w:t>
            </w:r>
          </w:p>
        </w:tc>
        <w:tc>
          <w:tcPr>
            <w:tcW w:w="1180" w:type="dxa"/>
            <w:tcBorders>
              <w:top w:val="nil"/>
              <w:left w:val="single" w:sz="4" w:space="0" w:color="auto"/>
              <w:bottom w:val="single" w:sz="4" w:space="0" w:color="auto"/>
              <w:right w:val="single" w:sz="4" w:space="0" w:color="auto"/>
            </w:tcBorders>
            <w:noWrap/>
            <w:vAlign w:val="center"/>
            <w:hideMark/>
          </w:tcPr>
          <w:p w14:paraId="3325E390" w14:textId="56E1CE5E"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40.250,00</w:t>
            </w:r>
          </w:p>
        </w:tc>
        <w:tc>
          <w:tcPr>
            <w:tcW w:w="1760" w:type="dxa"/>
            <w:tcBorders>
              <w:top w:val="nil"/>
              <w:left w:val="nil"/>
              <w:bottom w:val="single" w:sz="4" w:space="0" w:color="auto"/>
              <w:right w:val="single" w:sz="8" w:space="0" w:color="auto"/>
            </w:tcBorders>
            <w:noWrap/>
            <w:vAlign w:val="center"/>
            <w:hideMark/>
          </w:tcPr>
          <w:p w14:paraId="4F97EA8C" w14:textId="11E78BCF"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0,00</w:t>
            </w:r>
          </w:p>
        </w:tc>
        <w:tc>
          <w:tcPr>
            <w:tcW w:w="1440" w:type="dxa"/>
            <w:tcBorders>
              <w:top w:val="nil"/>
              <w:left w:val="single" w:sz="4" w:space="0" w:color="auto"/>
              <w:bottom w:val="single" w:sz="4" w:space="0" w:color="auto"/>
              <w:right w:val="single" w:sz="8" w:space="0" w:color="auto"/>
            </w:tcBorders>
            <w:noWrap/>
            <w:vAlign w:val="center"/>
            <w:hideMark/>
          </w:tcPr>
          <w:p w14:paraId="120DD188" w14:textId="2EBDA2C2"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 </w:t>
            </w:r>
          </w:p>
        </w:tc>
        <w:tc>
          <w:tcPr>
            <w:tcW w:w="1440" w:type="dxa"/>
            <w:tcBorders>
              <w:top w:val="nil"/>
              <w:left w:val="single" w:sz="4" w:space="0" w:color="auto"/>
              <w:bottom w:val="single" w:sz="4" w:space="0" w:color="auto"/>
              <w:right w:val="single" w:sz="8" w:space="0" w:color="auto"/>
            </w:tcBorders>
            <w:noWrap/>
            <w:vAlign w:val="center"/>
            <w:hideMark/>
          </w:tcPr>
          <w:p w14:paraId="372C0BA0" w14:textId="44585D68"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 </w:t>
            </w:r>
          </w:p>
        </w:tc>
      </w:tr>
      <w:tr w:rsidR="001D287D" w:rsidRPr="000B4857" w14:paraId="4DE649A3" w14:textId="77777777" w:rsidTr="001D287D">
        <w:trPr>
          <w:trHeight w:val="450"/>
          <w:jc w:val="center"/>
        </w:trPr>
        <w:tc>
          <w:tcPr>
            <w:tcW w:w="707" w:type="dxa"/>
            <w:tcBorders>
              <w:top w:val="nil"/>
              <w:left w:val="nil"/>
              <w:bottom w:val="nil"/>
              <w:right w:val="single" w:sz="8" w:space="0" w:color="auto"/>
            </w:tcBorders>
            <w:vAlign w:val="center"/>
            <w:hideMark/>
          </w:tcPr>
          <w:p w14:paraId="7625A71A" w14:textId="777E2C1A" w:rsidR="001D287D" w:rsidRPr="000B4857"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1D888F60" w14:textId="77777777" w:rsidR="001D287D" w:rsidRPr="000B4857"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1AF12454" w14:textId="3C7D89F4"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A209226</w:t>
            </w:r>
          </w:p>
        </w:tc>
        <w:tc>
          <w:tcPr>
            <w:tcW w:w="3768" w:type="dxa"/>
            <w:tcBorders>
              <w:top w:val="nil"/>
              <w:left w:val="nil"/>
              <w:bottom w:val="single" w:sz="4" w:space="0" w:color="auto"/>
              <w:right w:val="single" w:sz="4" w:space="0" w:color="auto"/>
            </w:tcBorders>
            <w:shd w:val="clear" w:color="000000" w:fill="FFFFFF"/>
            <w:vAlign w:val="center"/>
            <w:hideMark/>
          </w:tcPr>
          <w:p w14:paraId="300B64D0" w14:textId="32B8938F"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Javne zelene površine: Uređenje igr. za djecu s primjenom sigurnosnih standarda, 5</w:t>
            </w:r>
          </w:p>
        </w:tc>
        <w:tc>
          <w:tcPr>
            <w:tcW w:w="1180" w:type="dxa"/>
            <w:tcBorders>
              <w:top w:val="nil"/>
              <w:left w:val="single" w:sz="4" w:space="0" w:color="auto"/>
              <w:bottom w:val="single" w:sz="4" w:space="0" w:color="auto"/>
              <w:right w:val="single" w:sz="4" w:space="0" w:color="auto"/>
            </w:tcBorders>
            <w:noWrap/>
            <w:vAlign w:val="center"/>
            <w:hideMark/>
          </w:tcPr>
          <w:p w14:paraId="40273F2D" w14:textId="50173E83"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146.460,92</w:t>
            </w:r>
          </w:p>
        </w:tc>
        <w:tc>
          <w:tcPr>
            <w:tcW w:w="1760" w:type="dxa"/>
            <w:tcBorders>
              <w:top w:val="nil"/>
              <w:left w:val="nil"/>
              <w:bottom w:val="single" w:sz="4" w:space="0" w:color="auto"/>
              <w:right w:val="single" w:sz="8" w:space="0" w:color="auto"/>
            </w:tcBorders>
            <w:noWrap/>
            <w:vAlign w:val="center"/>
            <w:hideMark/>
          </w:tcPr>
          <w:p w14:paraId="3CAF835B" w14:textId="18060A0C"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25.785,94</w:t>
            </w:r>
          </w:p>
        </w:tc>
        <w:tc>
          <w:tcPr>
            <w:tcW w:w="1440" w:type="dxa"/>
            <w:tcBorders>
              <w:top w:val="nil"/>
              <w:left w:val="single" w:sz="4" w:space="0" w:color="auto"/>
              <w:bottom w:val="single" w:sz="4" w:space="0" w:color="auto"/>
              <w:right w:val="single" w:sz="8" w:space="0" w:color="auto"/>
            </w:tcBorders>
            <w:noWrap/>
            <w:vAlign w:val="center"/>
            <w:hideMark/>
          </w:tcPr>
          <w:p w14:paraId="344F0404" w14:textId="5DF225D8"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4.068,75</w:t>
            </w:r>
          </w:p>
        </w:tc>
        <w:tc>
          <w:tcPr>
            <w:tcW w:w="1440" w:type="dxa"/>
            <w:tcBorders>
              <w:top w:val="nil"/>
              <w:left w:val="single" w:sz="4" w:space="0" w:color="auto"/>
              <w:bottom w:val="single" w:sz="4" w:space="0" w:color="auto"/>
              <w:right w:val="single" w:sz="8" w:space="0" w:color="auto"/>
            </w:tcBorders>
            <w:noWrap/>
            <w:vAlign w:val="center"/>
            <w:hideMark/>
          </w:tcPr>
          <w:p w14:paraId="5659CBA4" w14:textId="5725EC43"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21.717,19</w:t>
            </w:r>
          </w:p>
        </w:tc>
      </w:tr>
      <w:tr w:rsidR="001D287D" w:rsidRPr="000B4857" w14:paraId="0E940E69" w14:textId="77777777" w:rsidTr="001D287D">
        <w:trPr>
          <w:trHeight w:val="450"/>
          <w:jc w:val="center"/>
        </w:trPr>
        <w:tc>
          <w:tcPr>
            <w:tcW w:w="707" w:type="dxa"/>
            <w:tcBorders>
              <w:top w:val="nil"/>
              <w:left w:val="nil"/>
              <w:bottom w:val="nil"/>
              <w:right w:val="single" w:sz="8" w:space="0" w:color="auto"/>
            </w:tcBorders>
            <w:vAlign w:val="center"/>
            <w:hideMark/>
          </w:tcPr>
          <w:p w14:paraId="16A3E41C" w14:textId="5B0D760D" w:rsidR="001D287D" w:rsidRPr="000B4857"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2872BD3F" w14:textId="77777777" w:rsidR="001D287D" w:rsidRPr="000B4857"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54D2E0C5" w14:textId="1A3D9F31"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A209227</w:t>
            </w:r>
          </w:p>
        </w:tc>
        <w:tc>
          <w:tcPr>
            <w:tcW w:w="3768" w:type="dxa"/>
            <w:tcBorders>
              <w:top w:val="nil"/>
              <w:left w:val="nil"/>
              <w:bottom w:val="single" w:sz="4" w:space="0" w:color="auto"/>
              <w:right w:val="single" w:sz="4" w:space="0" w:color="auto"/>
            </w:tcBorders>
            <w:shd w:val="clear" w:color="000000" w:fill="FFFFFF"/>
            <w:vAlign w:val="center"/>
            <w:hideMark/>
          </w:tcPr>
          <w:p w14:paraId="3905B8F6" w14:textId="28B45E34"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Aktivnosti u svezi evidentiranja i upisa nerazvrstanih cesta u zemljišne knjige, 1</w:t>
            </w:r>
          </w:p>
        </w:tc>
        <w:tc>
          <w:tcPr>
            <w:tcW w:w="1180" w:type="dxa"/>
            <w:tcBorders>
              <w:top w:val="nil"/>
              <w:left w:val="single" w:sz="4" w:space="0" w:color="auto"/>
              <w:bottom w:val="single" w:sz="4" w:space="0" w:color="auto"/>
              <w:right w:val="single" w:sz="4" w:space="0" w:color="auto"/>
            </w:tcBorders>
            <w:noWrap/>
            <w:vAlign w:val="center"/>
            <w:hideMark/>
          </w:tcPr>
          <w:p w14:paraId="2B959594" w14:textId="3F8361F5"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10.742,50</w:t>
            </w:r>
          </w:p>
        </w:tc>
        <w:tc>
          <w:tcPr>
            <w:tcW w:w="1760" w:type="dxa"/>
            <w:tcBorders>
              <w:top w:val="nil"/>
              <w:left w:val="nil"/>
              <w:bottom w:val="single" w:sz="4" w:space="0" w:color="auto"/>
              <w:right w:val="single" w:sz="8" w:space="0" w:color="auto"/>
            </w:tcBorders>
            <w:noWrap/>
            <w:vAlign w:val="center"/>
            <w:hideMark/>
          </w:tcPr>
          <w:p w14:paraId="24980AEF" w14:textId="107889FE"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3.530,00</w:t>
            </w:r>
          </w:p>
        </w:tc>
        <w:tc>
          <w:tcPr>
            <w:tcW w:w="1440" w:type="dxa"/>
            <w:tcBorders>
              <w:top w:val="nil"/>
              <w:left w:val="single" w:sz="4" w:space="0" w:color="auto"/>
              <w:bottom w:val="single" w:sz="4" w:space="0" w:color="auto"/>
              <w:right w:val="single" w:sz="8" w:space="0" w:color="auto"/>
            </w:tcBorders>
            <w:noWrap/>
            <w:vAlign w:val="center"/>
            <w:hideMark/>
          </w:tcPr>
          <w:p w14:paraId="77E84731" w14:textId="29E76D51"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 </w:t>
            </w:r>
          </w:p>
        </w:tc>
        <w:tc>
          <w:tcPr>
            <w:tcW w:w="1440" w:type="dxa"/>
            <w:tcBorders>
              <w:top w:val="nil"/>
              <w:left w:val="single" w:sz="4" w:space="0" w:color="auto"/>
              <w:bottom w:val="single" w:sz="4" w:space="0" w:color="auto"/>
              <w:right w:val="single" w:sz="8" w:space="0" w:color="auto"/>
            </w:tcBorders>
            <w:noWrap/>
            <w:vAlign w:val="center"/>
            <w:hideMark/>
          </w:tcPr>
          <w:p w14:paraId="250010DF" w14:textId="3DA1837B"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3.530,00</w:t>
            </w:r>
          </w:p>
        </w:tc>
      </w:tr>
      <w:tr w:rsidR="001D287D" w:rsidRPr="000B4857" w14:paraId="3FD5423C" w14:textId="77777777" w:rsidTr="001D287D">
        <w:trPr>
          <w:trHeight w:val="300"/>
          <w:jc w:val="center"/>
        </w:trPr>
        <w:tc>
          <w:tcPr>
            <w:tcW w:w="707" w:type="dxa"/>
            <w:tcBorders>
              <w:top w:val="nil"/>
              <w:left w:val="nil"/>
              <w:bottom w:val="nil"/>
              <w:right w:val="single" w:sz="8" w:space="0" w:color="auto"/>
            </w:tcBorders>
            <w:vAlign w:val="center"/>
            <w:hideMark/>
          </w:tcPr>
          <w:p w14:paraId="60F98BFD" w14:textId="7636C60F" w:rsidR="001D287D" w:rsidRPr="000B4857"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nil"/>
              <w:right w:val="nil"/>
            </w:tcBorders>
            <w:vAlign w:val="center"/>
            <w:hideMark/>
          </w:tcPr>
          <w:p w14:paraId="607C4B70" w14:textId="77777777" w:rsidR="001D287D" w:rsidRPr="000B4857" w:rsidRDefault="001D287D" w:rsidP="001D287D">
            <w:pPr>
              <w:spacing w:after="0" w:line="240" w:lineRule="auto"/>
              <w:rPr>
                <w:rFonts w:ascii="Arial" w:eastAsia="Times New Roman" w:hAnsi="Arial" w:cs="Arial"/>
                <w:sz w:val="14"/>
                <w:szCs w:val="14"/>
              </w:rPr>
            </w:pP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1B67026C" w14:textId="2D47BC48"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K209231</w:t>
            </w:r>
          </w:p>
        </w:tc>
        <w:tc>
          <w:tcPr>
            <w:tcW w:w="3768" w:type="dxa"/>
            <w:tcBorders>
              <w:top w:val="nil"/>
              <w:left w:val="nil"/>
              <w:bottom w:val="single" w:sz="4" w:space="0" w:color="auto"/>
              <w:right w:val="single" w:sz="4" w:space="0" w:color="auto"/>
            </w:tcBorders>
            <w:shd w:val="clear" w:color="000000" w:fill="FFFFFF"/>
            <w:vAlign w:val="center"/>
            <w:hideMark/>
          </w:tcPr>
          <w:p w14:paraId="59D4B0F1" w14:textId="3776B0B9"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Čilipi, dva ulaza, buduća poduzetnička zona</w:t>
            </w:r>
          </w:p>
        </w:tc>
        <w:tc>
          <w:tcPr>
            <w:tcW w:w="1180" w:type="dxa"/>
            <w:tcBorders>
              <w:top w:val="nil"/>
              <w:left w:val="single" w:sz="4" w:space="0" w:color="auto"/>
              <w:bottom w:val="single" w:sz="4" w:space="0" w:color="auto"/>
              <w:right w:val="single" w:sz="4" w:space="0" w:color="auto"/>
            </w:tcBorders>
            <w:noWrap/>
            <w:vAlign w:val="center"/>
            <w:hideMark/>
          </w:tcPr>
          <w:p w14:paraId="4F94E0DF" w14:textId="7706BFD6"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17.512,50</w:t>
            </w:r>
          </w:p>
        </w:tc>
        <w:tc>
          <w:tcPr>
            <w:tcW w:w="1760" w:type="dxa"/>
            <w:tcBorders>
              <w:top w:val="nil"/>
              <w:left w:val="nil"/>
              <w:bottom w:val="single" w:sz="4" w:space="0" w:color="auto"/>
              <w:right w:val="single" w:sz="8" w:space="0" w:color="auto"/>
            </w:tcBorders>
            <w:noWrap/>
            <w:vAlign w:val="center"/>
            <w:hideMark/>
          </w:tcPr>
          <w:p w14:paraId="1D83A441" w14:textId="18C777DF"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0,00</w:t>
            </w:r>
          </w:p>
        </w:tc>
        <w:tc>
          <w:tcPr>
            <w:tcW w:w="1440" w:type="dxa"/>
            <w:tcBorders>
              <w:top w:val="nil"/>
              <w:left w:val="single" w:sz="4" w:space="0" w:color="auto"/>
              <w:bottom w:val="single" w:sz="4" w:space="0" w:color="auto"/>
              <w:right w:val="single" w:sz="8" w:space="0" w:color="auto"/>
            </w:tcBorders>
            <w:noWrap/>
            <w:vAlign w:val="center"/>
            <w:hideMark/>
          </w:tcPr>
          <w:p w14:paraId="5E4111E6" w14:textId="55FC68DD"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 </w:t>
            </w:r>
          </w:p>
        </w:tc>
        <w:tc>
          <w:tcPr>
            <w:tcW w:w="1440" w:type="dxa"/>
            <w:tcBorders>
              <w:top w:val="nil"/>
              <w:left w:val="single" w:sz="4" w:space="0" w:color="auto"/>
              <w:bottom w:val="single" w:sz="4" w:space="0" w:color="auto"/>
              <w:right w:val="single" w:sz="8" w:space="0" w:color="auto"/>
            </w:tcBorders>
            <w:noWrap/>
            <w:vAlign w:val="center"/>
            <w:hideMark/>
          </w:tcPr>
          <w:p w14:paraId="01589EEB" w14:textId="41C6BA95"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 </w:t>
            </w:r>
          </w:p>
        </w:tc>
      </w:tr>
      <w:tr w:rsidR="001D287D" w:rsidRPr="000B4857" w14:paraId="1BF1CD2B" w14:textId="77777777" w:rsidTr="001D287D">
        <w:trPr>
          <w:trHeight w:val="465"/>
          <w:jc w:val="center"/>
        </w:trPr>
        <w:tc>
          <w:tcPr>
            <w:tcW w:w="707" w:type="dxa"/>
            <w:tcBorders>
              <w:top w:val="nil"/>
              <w:left w:val="nil"/>
              <w:bottom w:val="single" w:sz="4" w:space="0" w:color="auto"/>
              <w:right w:val="single" w:sz="8" w:space="0" w:color="auto"/>
            </w:tcBorders>
            <w:vAlign w:val="center"/>
            <w:hideMark/>
          </w:tcPr>
          <w:p w14:paraId="735ADFB9" w14:textId="5077907C" w:rsidR="001D287D" w:rsidRPr="000B4857" w:rsidRDefault="001D287D" w:rsidP="001D287D">
            <w:pPr>
              <w:spacing w:after="0" w:line="240" w:lineRule="auto"/>
              <w:rPr>
                <w:rFonts w:ascii="Arial" w:eastAsia="Times New Roman" w:hAnsi="Arial" w:cs="Arial"/>
                <w:sz w:val="14"/>
                <w:szCs w:val="14"/>
              </w:rPr>
            </w:pPr>
            <w:r>
              <w:rPr>
                <w:rFonts w:ascii="Arial" w:hAnsi="Arial" w:cs="Arial"/>
                <w:sz w:val="14"/>
                <w:szCs w:val="14"/>
              </w:rPr>
              <w:t> </w:t>
            </w:r>
          </w:p>
        </w:tc>
        <w:tc>
          <w:tcPr>
            <w:tcW w:w="948" w:type="dxa"/>
            <w:tcBorders>
              <w:top w:val="nil"/>
              <w:left w:val="nil"/>
              <w:bottom w:val="single" w:sz="4" w:space="0" w:color="auto"/>
              <w:right w:val="nil"/>
            </w:tcBorders>
            <w:vAlign w:val="center"/>
            <w:hideMark/>
          </w:tcPr>
          <w:p w14:paraId="00459F0B" w14:textId="016EAF8A" w:rsidR="001D287D" w:rsidRPr="000B4857" w:rsidRDefault="001D287D" w:rsidP="001D287D">
            <w:pPr>
              <w:spacing w:after="0" w:line="240" w:lineRule="auto"/>
              <w:rPr>
                <w:rFonts w:ascii="Arial" w:eastAsia="Times New Roman" w:hAnsi="Arial" w:cs="Arial"/>
                <w:b/>
                <w:bCs/>
                <w:sz w:val="14"/>
                <w:szCs w:val="14"/>
              </w:rPr>
            </w:pPr>
            <w:r>
              <w:rPr>
                <w:rFonts w:ascii="Arial" w:hAnsi="Arial" w:cs="Arial"/>
                <w:b/>
                <w:bCs/>
                <w:sz w:val="14"/>
                <w:szCs w:val="14"/>
              </w:rPr>
              <w:t> </w:t>
            </w:r>
          </w:p>
        </w:tc>
        <w:tc>
          <w:tcPr>
            <w:tcW w:w="857" w:type="dxa"/>
            <w:tcBorders>
              <w:top w:val="nil"/>
              <w:left w:val="single" w:sz="4" w:space="0" w:color="auto"/>
              <w:bottom w:val="single" w:sz="4" w:space="0" w:color="auto"/>
              <w:right w:val="single" w:sz="4" w:space="0" w:color="auto"/>
            </w:tcBorders>
            <w:shd w:val="clear" w:color="000000" w:fill="FFFFFF"/>
            <w:vAlign w:val="center"/>
            <w:hideMark/>
          </w:tcPr>
          <w:p w14:paraId="09F30C97" w14:textId="535A4F9E"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K209235</w:t>
            </w:r>
          </w:p>
        </w:tc>
        <w:tc>
          <w:tcPr>
            <w:tcW w:w="3768" w:type="dxa"/>
            <w:tcBorders>
              <w:top w:val="nil"/>
              <w:left w:val="nil"/>
              <w:bottom w:val="single" w:sz="4" w:space="0" w:color="auto"/>
              <w:right w:val="single" w:sz="4" w:space="0" w:color="auto"/>
            </w:tcBorders>
            <w:shd w:val="clear" w:color="000000" w:fill="FFFFFF"/>
            <w:vAlign w:val="center"/>
            <w:hideMark/>
          </w:tcPr>
          <w:p w14:paraId="4C36BB0C" w14:textId="76A96960" w:rsidR="001D287D" w:rsidRPr="000B4857" w:rsidRDefault="001D287D" w:rsidP="001D287D">
            <w:pPr>
              <w:spacing w:after="0" w:line="240" w:lineRule="auto"/>
              <w:rPr>
                <w:rFonts w:ascii="Arial" w:eastAsia="Times New Roman" w:hAnsi="Arial" w:cs="Arial"/>
                <w:sz w:val="16"/>
                <w:szCs w:val="16"/>
              </w:rPr>
            </w:pPr>
            <w:r>
              <w:rPr>
                <w:rFonts w:ascii="Arial" w:hAnsi="Arial" w:cs="Arial"/>
                <w:sz w:val="16"/>
                <w:szCs w:val="16"/>
              </w:rPr>
              <w:t>Cavtat, Put dr. Ante Starčevića s oborinskom odvodnjom</w:t>
            </w:r>
          </w:p>
        </w:tc>
        <w:tc>
          <w:tcPr>
            <w:tcW w:w="1180" w:type="dxa"/>
            <w:tcBorders>
              <w:top w:val="nil"/>
              <w:left w:val="single" w:sz="4" w:space="0" w:color="auto"/>
              <w:bottom w:val="single" w:sz="4" w:space="0" w:color="auto"/>
              <w:right w:val="single" w:sz="4" w:space="0" w:color="auto"/>
            </w:tcBorders>
            <w:noWrap/>
            <w:vAlign w:val="center"/>
            <w:hideMark/>
          </w:tcPr>
          <w:p w14:paraId="6AB29A6F" w14:textId="1623DCB6"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109.297,72</w:t>
            </w:r>
          </w:p>
        </w:tc>
        <w:tc>
          <w:tcPr>
            <w:tcW w:w="1760" w:type="dxa"/>
            <w:tcBorders>
              <w:top w:val="nil"/>
              <w:left w:val="nil"/>
              <w:bottom w:val="single" w:sz="4" w:space="0" w:color="auto"/>
              <w:right w:val="single" w:sz="8" w:space="0" w:color="auto"/>
            </w:tcBorders>
            <w:noWrap/>
            <w:vAlign w:val="center"/>
            <w:hideMark/>
          </w:tcPr>
          <w:p w14:paraId="60DB7222" w14:textId="662775EA"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0,00</w:t>
            </w:r>
          </w:p>
        </w:tc>
        <w:tc>
          <w:tcPr>
            <w:tcW w:w="1440" w:type="dxa"/>
            <w:tcBorders>
              <w:top w:val="nil"/>
              <w:left w:val="single" w:sz="4" w:space="0" w:color="auto"/>
              <w:bottom w:val="single" w:sz="4" w:space="0" w:color="auto"/>
              <w:right w:val="single" w:sz="8" w:space="0" w:color="auto"/>
            </w:tcBorders>
            <w:noWrap/>
            <w:vAlign w:val="center"/>
            <w:hideMark/>
          </w:tcPr>
          <w:p w14:paraId="5DB66C13" w14:textId="3F503495"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 </w:t>
            </w:r>
          </w:p>
        </w:tc>
        <w:tc>
          <w:tcPr>
            <w:tcW w:w="1440" w:type="dxa"/>
            <w:tcBorders>
              <w:top w:val="nil"/>
              <w:left w:val="single" w:sz="4" w:space="0" w:color="auto"/>
              <w:bottom w:val="single" w:sz="4" w:space="0" w:color="auto"/>
              <w:right w:val="single" w:sz="8" w:space="0" w:color="auto"/>
            </w:tcBorders>
            <w:noWrap/>
            <w:vAlign w:val="center"/>
            <w:hideMark/>
          </w:tcPr>
          <w:p w14:paraId="3A5CFA0E" w14:textId="686024A0" w:rsidR="001D287D" w:rsidRPr="000B4857" w:rsidRDefault="001D287D" w:rsidP="008F3371">
            <w:pPr>
              <w:spacing w:after="0" w:line="240" w:lineRule="auto"/>
              <w:jc w:val="right"/>
              <w:rPr>
                <w:rFonts w:ascii="Calibri" w:eastAsia="Times New Roman" w:hAnsi="Calibri" w:cs="Calibri"/>
                <w:sz w:val="18"/>
                <w:szCs w:val="18"/>
              </w:rPr>
            </w:pPr>
            <w:r>
              <w:rPr>
                <w:rFonts w:ascii="Calibri" w:hAnsi="Calibri" w:cs="Calibri"/>
                <w:sz w:val="18"/>
                <w:szCs w:val="18"/>
              </w:rPr>
              <w:t> </w:t>
            </w:r>
          </w:p>
        </w:tc>
      </w:tr>
    </w:tbl>
    <w:p w14:paraId="5E6A746D" w14:textId="77777777" w:rsidR="0028121B" w:rsidRDefault="0028121B" w:rsidP="008170E6">
      <w:pPr>
        <w:spacing w:after="0" w:line="240" w:lineRule="auto"/>
        <w:rPr>
          <w:lang w:eastAsia="en-US"/>
        </w:rPr>
      </w:pPr>
    </w:p>
    <w:p w14:paraId="12878854" w14:textId="7250DAA3" w:rsidR="002D3049" w:rsidRPr="003A2F86" w:rsidRDefault="00AF78C0" w:rsidP="00191D4E">
      <w:pPr>
        <w:spacing w:after="0" w:line="240" w:lineRule="auto"/>
        <w:jc w:val="both"/>
        <w:rPr>
          <w:rFonts w:ascii="Arial" w:eastAsia="Times New Roman" w:hAnsi="Arial" w:cs="Arial"/>
          <w:sz w:val="24"/>
          <w:szCs w:val="24"/>
        </w:rPr>
      </w:pPr>
      <w:r w:rsidRPr="003A2F86">
        <w:rPr>
          <w:rFonts w:ascii="Arial" w:eastAsia="Times New Roman" w:hAnsi="Arial" w:cs="Arial"/>
        </w:rPr>
        <w:t>P</w:t>
      </w:r>
      <w:r w:rsidR="00046A91" w:rsidRPr="003A2F86">
        <w:rPr>
          <w:rFonts w:ascii="Arial" w:eastAsia="Times New Roman" w:hAnsi="Arial" w:cs="Arial"/>
        </w:rPr>
        <w:t>rihodi od komunalno</w:t>
      </w:r>
      <w:r w:rsidR="009D134C" w:rsidRPr="003A2F86">
        <w:rPr>
          <w:rFonts w:ascii="Arial" w:eastAsia="Times New Roman" w:hAnsi="Arial" w:cs="Arial"/>
        </w:rPr>
        <w:t>g</w:t>
      </w:r>
      <w:r w:rsidR="00046A91" w:rsidRPr="003A2F86">
        <w:rPr>
          <w:rFonts w:ascii="Arial" w:eastAsia="Times New Roman" w:hAnsi="Arial" w:cs="Arial"/>
        </w:rPr>
        <w:t xml:space="preserve"> doprinosa i komunalne naknade u 202</w:t>
      </w:r>
      <w:r w:rsidR="008A47C4">
        <w:rPr>
          <w:rFonts w:ascii="Arial" w:eastAsia="Times New Roman" w:hAnsi="Arial" w:cs="Arial"/>
        </w:rPr>
        <w:t>5</w:t>
      </w:r>
      <w:r w:rsidR="00046A91" w:rsidRPr="003A2F86">
        <w:rPr>
          <w:rFonts w:ascii="Arial" w:eastAsia="Times New Roman" w:hAnsi="Arial" w:cs="Arial"/>
        </w:rPr>
        <w:t xml:space="preserve">. </w:t>
      </w:r>
      <w:r w:rsidRPr="003A2F86">
        <w:rPr>
          <w:rFonts w:ascii="Arial" w:eastAsia="Times New Roman" w:hAnsi="Arial" w:cs="Arial"/>
        </w:rPr>
        <w:t xml:space="preserve">ukupno su ostvareni u iznosu </w:t>
      </w:r>
      <w:r w:rsidR="000B4857">
        <w:rPr>
          <w:rFonts w:ascii="Arial" w:eastAsia="Times New Roman" w:hAnsi="Arial" w:cs="Arial"/>
        </w:rPr>
        <w:t>1.341.890,94</w:t>
      </w:r>
      <w:r w:rsidR="00752138" w:rsidRPr="003A2F86">
        <w:rPr>
          <w:rFonts w:ascii="Arial" w:eastAsia="Times New Roman" w:hAnsi="Arial" w:cs="Arial"/>
        </w:rPr>
        <w:t xml:space="preserve"> €, a utrošeni su u </w:t>
      </w:r>
      <w:r w:rsidR="00867243" w:rsidRPr="003A2F86">
        <w:rPr>
          <w:rFonts w:ascii="Arial" w:eastAsia="Times New Roman" w:hAnsi="Arial" w:cs="Arial"/>
        </w:rPr>
        <w:t xml:space="preserve">istom </w:t>
      </w:r>
      <w:r w:rsidR="00752138" w:rsidRPr="003A2F86">
        <w:rPr>
          <w:rFonts w:ascii="Arial" w:eastAsia="Times New Roman" w:hAnsi="Arial" w:cs="Arial"/>
        </w:rPr>
        <w:t>iznosu</w:t>
      </w:r>
      <w:r w:rsidR="001D287D">
        <w:rPr>
          <w:rFonts w:ascii="Arial" w:eastAsia="Times New Roman" w:hAnsi="Arial" w:cs="Arial"/>
        </w:rPr>
        <w:t xml:space="preserve"> un</w:t>
      </w:r>
      <w:r w:rsidRPr="003A2F86">
        <w:rPr>
          <w:rFonts w:ascii="Arial" w:eastAsia="Times New Roman" w:hAnsi="Arial" w:cs="Arial"/>
        </w:rPr>
        <w:t xml:space="preserve">utar </w:t>
      </w:r>
      <w:r w:rsidR="006D12A8">
        <w:rPr>
          <w:rFonts w:ascii="Arial" w:eastAsia="Times New Roman" w:hAnsi="Arial" w:cs="Arial"/>
        </w:rPr>
        <w:t>P</w:t>
      </w:r>
      <w:r w:rsidR="00790259" w:rsidRPr="003A2F86">
        <w:rPr>
          <w:rFonts w:ascii="Arial" w:eastAsia="Times New Roman" w:hAnsi="Arial" w:cs="Arial"/>
        </w:rPr>
        <w:t xml:space="preserve">rograma </w:t>
      </w:r>
      <w:r w:rsidR="006D12A8">
        <w:rPr>
          <w:rFonts w:ascii="Arial" w:eastAsia="Times New Roman" w:hAnsi="Arial" w:cs="Arial"/>
        </w:rPr>
        <w:t>o</w:t>
      </w:r>
      <w:r w:rsidR="00790259" w:rsidRPr="003A2F86">
        <w:rPr>
          <w:rFonts w:ascii="Arial" w:eastAsia="Times New Roman" w:hAnsi="Arial" w:cs="Arial"/>
        </w:rPr>
        <w:t xml:space="preserve">državanja komunalne </w:t>
      </w:r>
      <w:r w:rsidR="005F37C0" w:rsidRPr="003A2F86">
        <w:rPr>
          <w:rFonts w:ascii="Arial" w:eastAsia="Times New Roman" w:hAnsi="Arial" w:cs="Arial"/>
        </w:rPr>
        <w:t xml:space="preserve">infrastrukture </w:t>
      </w:r>
      <w:r w:rsidRPr="003A2F86">
        <w:rPr>
          <w:rFonts w:ascii="Arial" w:eastAsia="Times New Roman" w:hAnsi="Arial" w:cs="Arial"/>
        </w:rPr>
        <w:t xml:space="preserve">(2091) </w:t>
      </w:r>
      <w:r w:rsidR="005F37C0" w:rsidRPr="003A2F86">
        <w:rPr>
          <w:rFonts w:ascii="Arial" w:eastAsia="Times New Roman" w:hAnsi="Arial" w:cs="Arial"/>
        </w:rPr>
        <w:t>i Programa građenja komunalne infrastrukture</w:t>
      </w:r>
      <w:r w:rsidRPr="003A2F86">
        <w:rPr>
          <w:rFonts w:ascii="Arial" w:eastAsia="Times New Roman" w:hAnsi="Arial" w:cs="Arial"/>
        </w:rPr>
        <w:t xml:space="preserve"> (2092)</w:t>
      </w:r>
      <w:r w:rsidR="00867243" w:rsidRPr="003A2F86">
        <w:rPr>
          <w:rFonts w:ascii="Arial" w:eastAsia="Times New Roman" w:hAnsi="Arial" w:cs="Arial"/>
        </w:rPr>
        <w:t>. Komunalna n</w:t>
      </w:r>
      <w:r w:rsidRPr="003A2F86">
        <w:rPr>
          <w:rFonts w:ascii="Arial" w:eastAsia="Times New Roman" w:hAnsi="Arial" w:cs="Arial"/>
        </w:rPr>
        <w:t xml:space="preserve">aknada </w:t>
      </w:r>
      <w:r w:rsidR="00867243" w:rsidRPr="003A2F86">
        <w:rPr>
          <w:rFonts w:ascii="Arial" w:eastAsia="Times New Roman" w:hAnsi="Arial" w:cs="Arial"/>
        </w:rPr>
        <w:t>može biti</w:t>
      </w:r>
      <w:r w:rsidR="007061DC" w:rsidRPr="003A2F86">
        <w:rPr>
          <w:rFonts w:ascii="Arial" w:eastAsia="Times New Roman" w:hAnsi="Arial" w:cs="Arial"/>
        </w:rPr>
        <w:t xml:space="preserve"> </w:t>
      </w:r>
      <w:r w:rsidRPr="003A2F86">
        <w:rPr>
          <w:rFonts w:ascii="Arial" w:eastAsia="Times New Roman" w:hAnsi="Arial" w:cs="Arial"/>
        </w:rPr>
        <w:t xml:space="preserve">utrošena za financiranje građenja i održavanja objekata predškolskog, školskog, zdravstvenog i socijalnog sadržaja, javnih građevina sportske i kulturne namjene (sukladno Zakonu o komunalnom gospodarstvu). Za druge namjene koje nisu propisane Zakonom o komunalnom gospodarstvu </w:t>
      </w:r>
      <w:r w:rsidR="00752138" w:rsidRPr="003A2F86">
        <w:rPr>
          <w:rFonts w:ascii="Arial" w:eastAsia="Times New Roman" w:hAnsi="Arial" w:cs="Arial"/>
        </w:rPr>
        <w:t>nije bilo utroška.</w:t>
      </w:r>
      <w:r w:rsidR="00191D4E" w:rsidRPr="003A2F86">
        <w:rPr>
          <w:rFonts w:ascii="Arial" w:eastAsia="Times New Roman" w:hAnsi="Arial" w:cs="Arial"/>
        </w:rPr>
        <w:t xml:space="preserve"> </w:t>
      </w:r>
      <w:r w:rsidR="00DB0163" w:rsidRPr="003A2F86">
        <w:rPr>
          <w:rFonts w:ascii="Arial" w:eastAsia="Times New Roman" w:hAnsi="Arial" w:cs="Arial"/>
          <w:sz w:val="24"/>
          <w:szCs w:val="24"/>
        </w:rPr>
        <w:br w:type="page"/>
      </w:r>
    </w:p>
    <w:p w14:paraId="5E123A45" w14:textId="157E9D19" w:rsidR="00891119" w:rsidRPr="003A2F86" w:rsidRDefault="006C6F8B" w:rsidP="006C6F8B">
      <w:pPr>
        <w:pStyle w:val="Naslov1"/>
        <w:rPr>
          <w:rFonts w:ascii="Arial" w:hAnsi="Arial" w:cs="Arial"/>
          <w:sz w:val="22"/>
          <w:szCs w:val="22"/>
          <w:lang w:val="hr-HR"/>
        </w:rPr>
      </w:pPr>
      <w:bookmarkStart w:id="311" w:name="_3.__OBRAZLOŽENJE"/>
      <w:bookmarkStart w:id="312" w:name="_Toc232981421"/>
      <w:bookmarkEnd w:id="311"/>
      <w:r w:rsidRPr="003A2F86">
        <w:rPr>
          <w:rFonts w:ascii="Arial" w:hAnsi="Arial" w:cs="Arial"/>
          <w:sz w:val="22"/>
          <w:szCs w:val="22"/>
          <w:lang w:val="hr-HR"/>
        </w:rPr>
        <w:lastRenderedPageBreak/>
        <w:t>3</w:t>
      </w:r>
      <w:r w:rsidR="00891119" w:rsidRPr="003A2F86">
        <w:rPr>
          <w:rFonts w:ascii="Arial" w:hAnsi="Arial" w:cs="Arial"/>
          <w:sz w:val="22"/>
          <w:szCs w:val="22"/>
          <w:lang w:val="hr-HR"/>
        </w:rPr>
        <w:t xml:space="preserve">. </w:t>
      </w:r>
      <w:r w:rsidR="00891119" w:rsidRPr="003A2F86">
        <w:rPr>
          <w:rFonts w:ascii="Arial" w:hAnsi="Arial" w:cs="Arial"/>
          <w:sz w:val="22"/>
          <w:szCs w:val="22"/>
          <w:lang w:val="hr-HR"/>
        </w:rPr>
        <w:tab/>
      </w:r>
      <w:r w:rsidRPr="003A2F86">
        <w:rPr>
          <w:rFonts w:ascii="Arial" w:hAnsi="Arial" w:cs="Arial"/>
          <w:sz w:val="22"/>
          <w:szCs w:val="22"/>
          <w:lang w:val="hr-HR"/>
        </w:rPr>
        <w:t>OBRAZLOŽENJE POSEBNOG DIJELA IZVJEŠTAJA O IZVRŠENJU PRORAČUNA</w:t>
      </w:r>
      <w:bookmarkEnd w:id="312"/>
      <w:r w:rsidRPr="003A2F86">
        <w:rPr>
          <w:rFonts w:ascii="Arial" w:hAnsi="Arial" w:cs="Arial"/>
          <w:sz w:val="22"/>
          <w:szCs w:val="22"/>
          <w:lang w:val="hr-HR"/>
        </w:rPr>
        <w:t xml:space="preserve"> </w:t>
      </w:r>
      <w:bookmarkStart w:id="313" w:name="Obrazloženje_posebnog_dijela_izvještaja"/>
      <w:bookmarkEnd w:id="313"/>
    </w:p>
    <w:p w14:paraId="7C524440" w14:textId="77777777" w:rsidR="00891119" w:rsidRPr="003A2F86" w:rsidRDefault="00891119" w:rsidP="00891119">
      <w:pPr>
        <w:autoSpaceDE w:val="0"/>
        <w:autoSpaceDN w:val="0"/>
        <w:adjustRightInd w:val="0"/>
        <w:spacing w:after="0" w:line="240" w:lineRule="auto"/>
        <w:jc w:val="both"/>
        <w:rPr>
          <w:rFonts w:ascii="Arial" w:eastAsia="Times New Roman" w:hAnsi="Arial" w:cs="Arial"/>
          <w:i/>
        </w:rPr>
      </w:pPr>
    </w:p>
    <w:p w14:paraId="7B114D9F" w14:textId="3CAC1BAC" w:rsidR="00891119" w:rsidRPr="003A2F86" w:rsidRDefault="00891119" w:rsidP="00891119">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Posebni dio prora</w:t>
      </w:r>
      <w:r w:rsidRPr="003A2F86">
        <w:rPr>
          <w:rFonts w:ascii="Arial" w:eastAsia="TimesNewRoman" w:hAnsi="Arial" w:cs="Arial"/>
        </w:rPr>
        <w:t>č</w:t>
      </w:r>
      <w:r w:rsidRPr="003A2F86">
        <w:rPr>
          <w:rFonts w:ascii="Arial" w:eastAsia="Times New Roman" w:hAnsi="Arial" w:cs="Arial"/>
        </w:rPr>
        <w:t>una iskazuje se po organizacijsko</w:t>
      </w:r>
      <w:r w:rsidR="006C6F8B" w:rsidRPr="003A2F86">
        <w:rPr>
          <w:rFonts w:ascii="Arial" w:eastAsia="Times New Roman" w:hAnsi="Arial" w:cs="Arial"/>
        </w:rPr>
        <w:t>j</w:t>
      </w:r>
      <w:r w:rsidRPr="003A2F86">
        <w:rPr>
          <w:rFonts w:ascii="Arial" w:eastAsia="Times New Roman" w:hAnsi="Arial" w:cs="Arial"/>
        </w:rPr>
        <w:t xml:space="preserve"> i programskoj klasifikaciji na razini podskupine i odjeljka, dakle kroz dvije tablice (izvještaj u privitku, </w:t>
      </w:r>
      <w:hyperlink w:anchor="_11._PRIVITAK:_OPĆI" w:history="1">
        <w:r w:rsidRPr="00B356F8">
          <w:rPr>
            <w:rStyle w:val="Hiperveza"/>
            <w:rFonts w:ascii="Arial" w:eastAsia="Times New Roman" w:hAnsi="Arial" w:cs="Arial"/>
          </w:rPr>
          <w:t xml:space="preserve">članak 3. </w:t>
        </w:r>
        <w:r w:rsidR="00F1405A" w:rsidRPr="00B356F8">
          <w:rPr>
            <w:rStyle w:val="Hiperveza"/>
            <w:rFonts w:ascii="Arial" w:eastAsia="Times New Roman" w:hAnsi="Arial" w:cs="Arial"/>
          </w:rPr>
          <w:t>I</w:t>
        </w:r>
        <w:r w:rsidRPr="00B356F8">
          <w:rPr>
            <w:rStyle w:val="Hiperveza"/>
            <w:rFonts w:ascii="Arial" w:eastAsia="Times New Roman" w:hAnsi="Arial" w:cs="Arial"/>
          </w:rPr>
          <w:t>zvještaja o izvršenju Proračuna Općine Konavle</w:t>
        </w:r>
      </w:hyperlink>
      <w:r w:rsidR="00784938" w:rsidRPr="003A2F86">
        <w:rPr>
          <w:rFonts w:ascii="Arial" w:eastAsia="Times New Roman" w:hAnsi="Arial" w:cs="Arial"/>
          <w:color w:val="FF0000"/>
        </w:rPr>
        <w:t xml:space="preserve"> </w:t>
      </w:r>
      <w:r w:rsidR="00784938" w:rsidRPr="003A2F86">
        <w:rPr>
          <w:rFonts w:ascii="Arial" w:eastAsia="Times New Roman" w:hAnsi="Arial" w:cs="Arial"/>
        </w:rPr>
        <w:t>– financijski dio izvještaja</w:t>
      </w:r>
      <w:r w:rsidRPr="003A2F86">
        <w:rPr>
          <w:rFonts w:ascii="Arial" w:eastAsia="Times New Roman" w:hAnsi="Arial" w:cs="Arial"/>
        </w:rPr>
        <w:t>).</w:t>
      </w:r>
    </w:p>
    <w:p w14:paraId="61DBCF0F" w14:textId="77777777" w:rsidR="00891119" w:rsidRPr="003A2F86" w:rsidRDefault="00891119" w:rsidP="00891119">
      <w:pPr>
        <w:spacing w:after="0" w:line="240" w:lineRule="auto"/>
        <w:jc w:val="both"/>
        <w:rPr>
          <w:rFonts w:ascii="Arial" w:eastAsia="Calibri" w:hAnsi="Arial" w:cs="Arial"/>
          <w:lang w:eastAsia="en-US"/>
        </w:rPr>
      </w:pPr>
      <w:bookmarkStart w:id="314" w:name="_Hlk146002294"/>
    </w:p>
    <w:p w14:paraId="48A36DDB" w14:textId="1C0D02AB" w:rsidR="00891119" w:rsidRPr="003A2F86" w:rsidRDefault="00891119" w:rsidP="00891119">
      <w:pPr>
        <w:spacing w:after="0" w:line="240" w:lineRule="auto"/>
        <w:jc w:val="both"/>
        <w:rPr>
          <w:rFonts w:ascii="Arial" w:eastAsia="Times New Roman" w:hAnsi="Arial" w:cs="Arial"/>
          <w:b/>
          <w:bCs/>
          <w:iCs/>
          <w:lang w:eastAsia="en-US"/>
        </w:rPr>
      </w:pPr>
      <w:bookmarkStart w:id="315" w:name="_Hlk207637694"/>
      <w:r w:rsidRPr="003A2F86">
        <w:rPr>
          <w:rFonts w:ascii="Arial" w:eastAsia="Times New Roman" w:hAnsi="Arial" w:cs="Arial"/>
          <w:b/>
          <w:bCs/>
          <w:iCs/>
          <w:color w:val="0070C0"/>
          <w:lang w:eastAsia="en-US"/>
        </w:rPr>
        <w:t xml:space="preserve">Ukupni rashodi i izdaci </w:t>
      </w:r>
      <w:r w:rsidRPr="003A2F86">
        <w:rPr>
          <w:rFonts w:ascii="Arial" w:eastAsia="Times New Roman" w:hAnsi="Arial" w:cs="Arial"/>
          <w:b/>
          <w:bCs/>
          <w:iCs/>
          <w:lang w:eastAsia="en-US"/>
        </w:rPr>
        <w:t xml:space="preserve">Proračuna za razdoblje siječanj – </w:t>
      </w:r>
      <w:r w:rsidR="00516125">
        <w:rPr>
          <w:rFonts w:ascii="Arial" w:eastAsia="Times New Roman" w:hAnsi="Arial" w:cs="Arial"/>
          <w:b/>
          <w:bCs/>
          <w:iCs/>
          <w:lang w:eastAsia="en-US"/>
        </w:rPr>
        <w:t>prosinac</w:t>
      </w:r>
      <w:r w:rsidRPr="003A2F86">
        <w:rPr>
          <w:rFonts w:ascii="Arial" w:eastAsia="Times New Roman" w:hAnsi="Arial" w:cs="Arial"/>
          <w:b/>
          <w:bCs/>
          <w:iCs/>
          <w:lang w:eastAsia="en-US"/>
        </w:rPr>
        <w:t xml:space="preserve"> 20</w:t>
      </w:r>
      <w:r w:rsidR="00114EBC" w:rsidRPr="003A2F86">
        <w:rPr>
          <w:rFonts w:ascii="Arial" w:eastAsia="Times New Roman" w:hAnsi="Arial" w:cs="Arial"/>
          <w:b/>
          <w:bCs/>
          <w:iCs/>
          <w:lang w:eastAsia="en-US"/>
        </w:rPr>
        <w:t>2</w:t>
      </w:r>
      <w:r w:rsidR="008A47C4">
        <w:rPr>
          <w:rFonts w:ascii="Arial" w:eastAsia="Times New Roman" w:hAnsi="Arial" w:cs="Arial"/>
          <w:b/>
          <w:bCs/>
          <w:iCs/>
          <w:lang w:eastAsia="en-US"/>
        </w:rPr>
        <w:t>5</w:t>
      </w:r>
      <w:r w:rsidRPr="003A2F86">
        <w:rPr>
          <w:rFonts w:ascii="Arial" w:eastAsia="Times New Roman" w:hAnsi="Arial" w:cs="Arial"/>
          <w:b/>
          <w:bCs/>
          <w:iCs/>
          <w:lang w:eastAsia="en-US"/>
        </w:rPr>
        <w:t xml:space="preserve">. </w:t>
      </w:r>
      <w:r w:rsidR="002951D4" w:rsidRPr="003A2F86">
        <w:rPr>
          <w:rFonts w:ascii="Arial" w:eastAsia="Times New Roman" w:hAnsi="Arial" w:cs="Arial"/>
          <w:b/>
          <w:bCs/>
          <w:iCs/>
          <w:lang w:eastAsia="en-US"/>
        </w:rPr>
        <w:t>izvršeni</w:t>
      </w:r>
      <w:r w:rsidRPr="003A2F86">
        <w:rPr>
          <w:rFonts w:ascii="Arial" w:eastAsia="Times New Roman" w:hAnsi="Arial" w:cs="Arial"/>
          <w:b/>
          <w:bCs/>
          <w:iCs/>
          <w:lang w:eastAsia="en-US"/>
        </w:rPr>
        <w:t xml:space="preserve"> su u iznosu </w:t>
      </w:r>
      <w:r w:rsidR="00516125">
        <w:rPr>
          <w:rFonts w:ascii="Arial" w:eastAsia="Times New Roman" w:hAnsi="Arial" w:cs="Arial"/>
          <w:b/>
          <w:bCs/>
          <w:iCs/>
          <w:color w:val="0070C0"/>
          <w:lang w:eastAsia="en-US"/>
        </w:rPr>
        <w:t>26.434.475,83</w:t>
      </w:r>
      <w:r w:rsidR="002951D4" w:rsidRPr="003A2F86">
        <w:rPr>
          <w:rFonts w:ascii="Arial" w:eastAsia="Times New Roman" w:hAnsi="Arial" w:cs="Arial"/>
          <w:b/>
          <w:bCs/>
          <w:iCs/>
          <w:color w:val="0070C0"/>
          <w:lang w:eastAsia="en-US"/>
        </w:rPr>
        <w:t xml:space="preserve"> €</w:t>
      </w:r>
      <w:r w:rsidRPr="003A2F86">
        <w:rPr>
          <w:rFonts w:ascii="Arial" w:eastAsia="Times New Roman" w:hAnsi="Arial" w:cs="Arial"/>
          <w:b/>
          <w:bCs/>
          <w:iCs/>
          <w:color w:val="0070C0"/>
          <w:lang w:eastAsia="en-US"/>
        </w:rPr>
        <w:t>.</w:t>
      </w:r>
    </w:p>
    <w:bookmarkEnd w:id="315"/>
    <w:p w14:paraId="5C2D00F2" w14:textId="77777777" w:rsidR="006C6F8B" w:rsidRPr="003A2F86" w:rsidRDefault="006C6F8B" w:rsidP="00891119">
      <w:pPr>
        <w:spacing w:after="0" w:line="240" w:lineRule="auto"/>
        <w:jc w:val="both"/>
        <w:rPr>
          <w:rFonts w:ascii="Arial" w:eastAsia="Times New Roman" w:hAnsi="Arial" w:cs="Arial"/>
          <w:iCs/>
          <w:lang w:eastAsia="en-US"/>
        </w:rPr>
      </w:pPr>
    </w:p>
    <w:p w14:paraId="40BA4A9E" w14:textId="0DC1BAEE" w:rsidR="00891119" w:rsidRPr="003A2F86" w:rsidRDefault="00891119" w:rsidP="00891119">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Posebni dio proračuna sadrži:</w:t>
      </w:r>
    </w:p>
    <w:p w14:paraId="45CD63FE" w14:textId="77777777" w:rsidR="00891119" w:rsidRPr="003A2F86" w:rsidRDefault="00891119" w:rsidP="00596424">
      <w:pPr>
        <w:spacing w:after="0" w:line="240" w:lineRule="auto"/>
        <w:ind w:left="567"/>
        <w:jc w:val="both"/>
        <w:rPr>
          <w:rFonts w:ascii="Arial" w:eastAsia="Times New Roman" w:hAnsi="Arial" w:cs="Arial"/>
          <w:iCs/>
          <w:lang w:eastAsia="en-US"/>
        </w:rPr>
      </w:pPr>
      <w:r w:rsidRPr="003A2F86">
        <w:rPr>
          <w:rFonts w:ascii="Arial" w:eastAsia="Times New Roman" w:hAnsi="Arial" w:cs="Arial"/>
          <w:iCs/>
          <w:lang w:eastAsia="en-US"/>
        </w:rPr>
        <w:t>- izvršenje po organizacijskoj klasifikaciji (izvršenje po razdjelima i glavi),</w:t>
      </w:r>
    </w:p>
    <w:p w14:paraId="7381E3E2" w14:textId="77777777" w:rsidR="00891119" w:rsidRPr="003A2F86" w:rsidRDefault="00891119" w:rsidP="00596424">
      <w:pPr>
        <w:spacing w:after="0" w:line="240" w:lineRule="auto"/>
        <w:ind w:left="567"/>
        <w:jc w:val="both"/>
        <w:rPr>
          <w:rFonts w:ascii="Arial" w:eastAsia="Times New Roman" w:hAnsi="Arial" w:cs="Arial"/>
          <w:iCs/>
          <w:lang w:eastAsia="en-US"/>
        </w:rPr>
      </w:pPr>
      <w:r w:rsidRPr="003A2F86">
        <w:rPr>
          <w:rFonts w:ascii="Arial" w:eastAsia="Times New Roman" w:hAnsi="Arial" w:cs="Arial"/>
          <w:iCs/>
          <w:lang w:eastAsia="en-US"/>
        </w:rPr>
        <w:t>- izvršenje po programskoj klasifikaciji (izvršenje po razdjelima i glavi, programu, aktivnosti i projektu, te računima ekonomske klasifikacije na razini podskupine i odjeljka, kao i izvorima financiranja</w:t>
      </w:r>
      <w:r w:rsidR="00AB02E3" w:rsidRPr="003A2F86">
        <w:rPr>
          <w:rFonts w:ascii="Arial" w:eastAsia="Times New Roman" w:hAnsi="Arial" w:cs="Arial"/>
          <w:iCs/>
          <w:lang w:eastAsia="en-US"/>
        </w:rPr>
        <w:t xml:space="preserve"> u okviru svakog programa i projekta zbrojno</w:t>
      </w:r>
      <w:r w:rsidRPr="003A2F86">
        <w:rPr>
          <w:rFonts w:ascii="Arial" w:eastAsia="Times New Roman" w:hAnsi="Arial" w:cs="Arial"/>
          <w:iCs/>
          <w:lang w:eastAsia="en-US"/>
        </w:rPr>
        <w:t xml:space="preserve"> na razini glave organizacijske klasifikacije).</w:t>
      </w:r>
    </w:p>
    <w:p w14:paraId="5910426C" w14:textId="77777777" w:rsidR="00891119" w:rsidRPr="003A2F86" w:rsidRDefault="00891119" w:rsidP="00891119">
      <w:pPr>
        <w:spacing w:after="0" w:line="240" w:lineRule="auto"/>
        <w:rPr>
          <w:rFonts w:ascii="Arial" w:eastAsia="Times New Roman" w:hAnsi="Arial" w:cs="Arial"/>
          <w:iCs/>
          <w:lang w:eastAsia="en-US"/>
        </w:rPr>
      </w:pPr>
    </w:p>
    <w:p w14:paraId="5EC1057E" w14:textId="77777777" w:rsidR="006C6F8B" w:rsidRPr="003A2F86" w:rsidRDefault="006C6F8B" w:rsidP="00891119">
      <w:pPr>
        <w:spacing w:after="0" w:line="240" w:lineRule="auto"/>
        <w:rPr>
          <w:rFonts w:ascii="Arial" w:eastAsia="Times New Roman" w:hAnsi="Arial" w:cs="Arial"/>
          <w:iCs/>
          <w:lang w:eastAsia="en-US"/>
        </w:rPr>
      </w:pPr>
    </w:p>
    <w:p w14:paraId="5FD103AC" w14:textId="540128C9" w:rsidR="00891119" w:rsidRPr="003A2F86" w:rsidRDefault="006C6F8B" w:rsidP="006C6F8B">
      <w:pPr>
        <w:pStyle w:val="Naslov2"/>
        <w:jc w:val="center"/>
        <w:rPr>
          <w:rFonts w:ascii="Arial" w:hAnsi="Arial" w:cs="Arial"/>
          <w:sz w:val="22"/>
          <w:szCs w:val="22"/>
          <w:lang w:val="hr-HR"/>
        </w:rPr>
      </w:pPr>
      <w:bookmarkStart w:id="316" w:name="_Toc232981422"/>
      <w:r w:rsidRPr="003A2F86">
        <w:rPr>
          <w:rFonts w:ascii="Arial" w:hAnsi="Arial" w:cs="Arial"/>
          <w:sz w:val="22"/>
          <w:szCs w:val="22"/>
          <w:lang w:val="hr-HR"/>
        </w:rPr>
        <w:t>3.1</w:t>
      </w:r>
      <w:r w:rsidR="00891119" w:rsidRPr="003A2F86">
        <w:rPr>
          <w:rFonts w:ascii="Arial" w:hAnsi="Arial" w:cs="Arial"/>
          <w:sz w:val="22"/>
          <w:szCs w:val="22"/>
          <w:lang w:val="hr-HR"/>
        </w:rPr>
        <w:t>.</w:t>
      </w:r>
      <w:r w:rsidR="00891119" w:rsidRPr="003A2F86">
        <w:rPr>
          <w:rFonts w:ascii="Arial" w:hAnsi="Arial" w:cs="Arial"/>
          <w:sz w:val="22"/>
          <w:szCs w:val="22"/>
          <w:lang w:val="hr-HR"/>
        </w:rPr>
        <w:tab/>
        <w:t>ORGANIZACIJSKA KLASIFIKACIJA</w:t>
      </w:r>
      <w:r w:rsidR="00A90B2E" w:rsidRPr="003A2F86">
        <w:rPr>
          <w:rFonts w:ascii="Arial" w:hAnsi="Arial" w:cs="Arial"/>
          <w:sz w:val="22"/>
          <w:szCs w:val="22"/>
          <w:lang w:val="hr-HR"/>
        </w:rPr>
        <w:t xml:space="preserve"> </w:t>
      </w:r>
      <w:r w:rsidR="0030073B" w:rsidRPr="003A2F86">
        <w:rPr>
          <w:rFonts w:ascii="Arial" w:hAnsi="Arial" w:cs="Arial"/>
          <w:sz w:val="22"/>
          <w:szCs w:val="22"/>
          <w:lang w:val="hr-HR"/>
        </w:rPr>
        <w:t xml:space="preserve">- </w:t>
      </w:r>
      <w:r w:rsidR="00A90B2E" w:rsidRPr="003A2F86">
        <w:rPr>
          <w:rFonts w:ascii="Arial" w:hAnsi="Arial" w:cs="Arial"/>
          <w:sz w:val="22"/>
          <w:szCs w:val="22"/>
          <w:lang w:val="hr-HR"/>
        </w:rPr>
        <w:t>s usporednim pregledom izvršenja u izvještajnim razdobljima 2019.</w:t>
      </w:r>
      <w:r w:rsidR="002951D4" w:rsidRPr="003A2F86">
        <w:rPr>
          <w:rFonts w:ascii="Arial" w:hAnsi="Arial" w:cs="Arial"/>
          <w:sz w:val="22"/>
          <w:szCs w:val="22"/>
          <w:lang w:val="hr-HR"/>
        </w:rPr>
        <w:t>-</w:t>
      </w:r>
      <w:r w:rsidR="0004295E" w:rsidRPr="003A2F86">
        <w:rPr>
          <w:rFonts w:ascii="Arial" w:hAnsi="Arial" w:cs="Arial"/>
          <w:sz w:val="22"/>
          <w:szCs w:val="22"/>
          <w:lang w:val="hr-HR"/>
        </w:rPr>
        <w:t>202</w:t>
      </w:r>
      <w:r w:rsidR="00516125">
        <w:rPr>
          <w:rFonts w:ascii="Arial" w:hAnsi="Arial" w:cs="Arial"/>
          <w:sz w:val="22"/>
          <w:szCs w:val="22"/>
          <w:lang w:val="hr-HR"/>
        </w:rPr>
        <w:t>5</w:t>
      </w:r>
      <w:r w:rsidR="00B223BA" w:rsidRPr="003A2F86">
        <w:rPr>
          <w:rFonts w:ascii="Arial" w:hAnsi="Arial" w:cs="Arial"/>
          <w:sz w:val="22"/>
          <w:szCs w:val="22"/>
          <w:lang w:val="hr-HR"/>
        </w:rPr>
        <w:t>.</w:t>
      </w:r>
      <w:bookmarkEnd w:id="316"/>
    </w:p>
    <w:p w14:paraId="7086C089" w14:textId="77777777" w:rsidR="00891119" w:rsidRPr="003A2F86" w:rsidRDefault="00891119" w:rsidP="00891119">
      <w:pPr>
        <w:spacing w:after="0" w:line="240" w:lineRule="auto"/>
        <w:rPr>
          <w:rFonts w:ascii="Arial" w:eastAsia="Times New Roman" w:hAnsi="Arial" w:cs="Arial"/>
          <w:iCs/>
          <w:lang w:eastAsia="en-US"/>
        </w:rPr>
      </w:pPr>
    </w:p>
    <w:p w14:paraId="7C954CEA" w14:textId="0F2B581B" w:rsidR="00AB02E3" w:rsidRPr="003A2F86" w:rsidRDefault="00AB02E3" w:rsidP="00AB02E3">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Rashodi i izdaci Proračuna za razdoblje siječanj – </w:t>
      </w:r>
      <w:r w:rsidR="00516125">
        <w:rPr>
          <w:rFonts w:ascii="Arial" w:eastAsia="Times New Roman" w:hAnsi="Arial" w:cs="Arial"/>
          <w:iCs/>
          <w:lang w:eastAsia="en-US"/>
        </w:rPr>
        <w:t>prosinac</w:t>
      </w:r>
      <w:r w:rsidRPr="003A2F86">
        <w:rPr>
          <w:rFonts w:ascii="Arial" w:eastAsia="Times New Roman" w:hAnsi="Arial" w:cs="Arial"/>
          <w:iCs/>
          <w:lang w:eastAsia="en-US"/>
        </w:rPr>
        <w:t xml:space="preserve"> 20</w:t>
      </w:r>
      <w:r w:rsidR="00114EBC" w:rsidRPr="003A2F86">
        <w:rPr>
          <w:rFonts w:ascii="Arial" w:eastAsia="Times New Roman" w:hAnsi="Arial" w:cs="Arial"/>
          <w:iCs/>
          <w:lang w:eastAsia="en-US"/>
        </w:rPr>
        <w:t>2</w:t>
      </w:r>
      <w:r w:rsidR="008A47C4">
        <w:rPr>
          <w:rFonts w:ascii="Arial" w:eastAsia="Times New Roman" w:hAnsi="Arial" w:cs="Arial"/>
          <w:iCs/>
          <w:lang w:eastAsia="en-US"/>
        </w:rPr>
        <w:t>5</w:t>
      </w:r>
      <w:r w:rsidRPr="003A2F86">
        <w:rPr>
          <w:rFonts w:ascii="Arial" w:eastAsia="Times New Roman" w:hAnsi="Arial" w:cs="Arial"/>
          <w:iCs/>
          <w:lang w:eastAsia="en-US"/>
        </w:rPr>
        <w:t>. odnose se na rashode:</w:t>
      </w:r>
    </w:p>
    <w:p w14:paraId="06B4A4AC" w14:textId="77777777" w:rsidR="00AB02E3" w:rsidRPr="003A2F86" w:rsidRDefault="00AB02E3" w:rsidP="00AB02E3">
      <w:pPr>
        <w:spacing w:after="0" w:line="240" w:lineRule="auto"/>
        <w:jc w:val="both"/>
        <w:rPr>
          <w:rFonts w:ascii="Arial" w:eastAsia="Times New Roman" w:hAnsi="Arial" w:cs="Arial"/>
          <w:iCs/>
          <w:lang w:eastAsia="en-US"/>
        </w:rPr>
      </w:pPr>
    </w:p>
    <w:p w14:paraId="5B1E111B" w14:textId="700848DA" w:rsidR="00AB02E3" w:rsidRPr="003A2F86" w:rsidRDefault="00AB02E3">
      <w:pPr>
        <w:numPr>
          <w:ilvl w:val="0"/>
          <w:numId w:val="10"/>
        </w:num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razdjela 010 (Općinsko vijeće i načelnik) u iznosu </w:t>
      </w:r>
      <w:r w:rsidR="00E839FD">
        <w:rPr>
          <w:rFonts w:ascii="Arial" w:eastAsia="Times New Roman" w:hAnsi="Arial" w:cs="Arial"/>
          <w:iCs/>
          <w:lang w:eastAsia="en-US"/>
        </w:rPr>
        <w:t>168.211,26</w:t>
      </w:r>
      <w:r w:rsidR="002951D4" w:rsidRPr="003A2F86">
        <w:rPr>
          <w:rFonts w:ascii="Arial" w:eastAsia="Times New Roman" w:hAnsi="Arial" w:cs="Arial"/>
          <w:iCs/>
          <w:lang w:eastAsia="en-US"/>
        </w:rPr>
        <w:t xml:space="preserve"> €</w:t>
      </w:r>
      <w:r w:rsidRPr="003A2F86">
        <w:rPr>
          <w:rFonts w:ascii="Arial" w:eastAsia="Times New Roman" w:hAnsi="Arial" w:cs="Arial"/>
          <w:iCs/>
          <w:lang w:eastAsia="en-US"/>
        </w:rPr>
        <w:t>,</w:t>
      </w:r>
    </w:p>
    <w:p w14:paraId="2B83229C" w14:textId="79DE357A" w:rsidR="00AB02E3" w:rsidRPr="003A2F86" w:rsidRDefault="00AB02E3">
      <w:pPr>
        <w:numPr>
          <w:ilvl w:val="0"/>
          <w:numId w:val="10"/>
        </w:num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razdjela 020 (Upravni odjel za opće poslove, mjesnu samoupravu i društvene djelatnosti) u iznosu </w:t>
      </w:r>
      <w:r w:rsidR="00516125">
        <w:rPr>
          <w:rFonts w:ascii="Arial" w:eastAsia="Times New Roman" w:hAnsi="Arial" w:cs="Arial"/>
          <w:iCs/>
          <w:lang w:eastAsia="en-US"/>
        </w:rPr>
        <w:t>8.22</w:t>
      </w:r>
      <w:r w:rsidR="00E839FD">
        <w:rPr>
          <w:rFonts w:ascii="Arial" w:eastAsia="Times New Roman" w:hAnsi="Arial" w:cs="Arial"/>
          <w:iCs/>
          <w:lang w:eastAsia="en-US"/>
        </w:rPr>
        <w:t>2</w:t>
      </w:r>
      <w:r w:rsidR="00516125">
        <w:rPr>
          <w:rFonts w:ascii="Arial" w:eastAsia="Times New Roman" w:hAnsi="Arial" w:cs="Arial"/>
          <w:iCs/>
          <w:lang w:eastAsia="en-US"/>
        </w:rPr>
        <w:t>.</w:t>
      </w:r>
      <w:r w:rsidR="00D40165">
        <w:rPr>
          <w:rFonts w:ascii="Arial" w:eastAsia="Times New Roman" w:hAnsi="Arial" w:cs="Arial"/>
          <w:iCs/>
          <w:lang w:eastAsia="en-US"/>
        </w:rPr>
        <w:t>911,68</w:t>
      </w:r>
      <w:r w:rsidR="002951D4" w:rsidRPr="003A2F86">
        <w:rPr>
          <w:rFonts w:ascii="Arial" w:eastAsia="Times New Roman" w:hAnsi="Arial" w:cs="Arial"/>
          <w:iCs/>
          <w:lang w:eastAsia="en-US"/>
        </w:rPr>
        <w:t xml:space="preserve"> €</w:t>
      </w:r>
      <w:r w:rsidRPr="003A2F86">
        <w:rPr>
          <w:rFonts w:ascii="Arial" w:eastAsia="Times New Roman" w:hAnsi="Arial" w:cs="Arial"/>
          <w:iCs/>
          <w:lang w:eastAsia="en-US"/>
        </w:rPr>
        <w:t>,</w:t>
      </w:r>
    </w:p>
    <w:p w14:paraId="60D3806E" w14:textId="5310C22F" w:rsidR="00AB02E3" w:rsidRPr="003A2F86" w:rsidRDefault="00AB02E3">
      <w:pPr>
        <w:numPr>
          <w:ilvl w:val="0"/>
          <w:numId w:val="10"/>
        </w:num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razdjela 030 (Upravni odjel za </w:t>
      </w:r>
      <w:r w:rsidR="00B223BA" w:rsidRPr="003A2F86">
        <w:rPr>
          <w:rFonts w:ascii="Arial" w:eastAsia="Times New Roman" w:hAnsi="Arial" w:cs="Arial"/>
          <w:iCs/>
          <w:lang w:eastAsia="en-US"/>
        </w:rPr>
        <w:t xml:space="preserve">prostorno uređenje, zaštitu okoliša, </w:t>
      </w:r>
      <w:r w:rsidRPr="003A2F86">
        <w:rPr>
          <w:rFonts w:ascii="Arial" w:eastAsia="Times New Roman" w:hAnsi="Arial" w:cs="Arial"/>
          <w:iCs/>
          <w:lang w:eastAsia="en-US"/>
        </w:rPr>
        <w:t xml:space="preserve">komunalni sustav i gospodarenje nekretninama) u iznosu </w:t>
      </w:r>
      <w:r w:rsidR="00516125">
        <w:rPr>
          <w:rFonts w:ascii="Arial" w:eastAsia="Times New Roman" w:hAnsi="Arial" w:cs="Arial"/>
          <w:iCs/>
          <w:lang w:eastAsia="en-US"/>
        </w:rPr>
        <w:t>16.547.491,75</w:t>
      </w:r>
      <w:r w:rsidR="002951D4" w:rsidRPr="003A2F86">
        <w:rPr>
          <w:rFonts w:ascii="Arial" w:eastAsia="Times New Roman" w:hAnsi="Arial" w:cs="Arial"/>
          <w:iCs/>
          <w:lang w:eastAsia="en-US"/>
        </w:rPr>
        <w:t xml:space="preserve"> €</w:t>
      </w:r>
      <w:r w:rsidRPr="003A2F86">
        <w:rPr>
          <w:rFonts w:ascii="Arial" w:eastAsia="Times New Roman" w:hAnsi="Arial" w:cs="Arial"/>
          <w:iCs/>
          <w:lang w:eastAsia="en-US"/>
        </w:rPr>
        <w:t>,</w:t>
      </w:r>
    </w:p>
    <w:p w14:paraId="49542E0F" w14:textId="2FEB394A" w:rsidR="00B3557A" w:rsidRPr="003A2F86" w:rsidRDefault="00AB02E3">
      <w:pPr>
        <w:numPr>
          <w:ilvl w:val="0"/>
          <w:numId w:val="10"/>
        </w:num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razdjela 040 (Upravni odjel za ruralni razvoj, gospodarstvo i EU fondove) u iznosu </w:t>
      </w:r>
      <w:r w:rsidR="00516125">
        <w:rPr>
          <w:rFonts w:ascii="Arial" w:eastAsia="Times New Roman" w:hAnsi="Arial" w:cs="Arial"/>
          <w:iCs/>
          <w:lang w:eastAsia="en-US"/>
        </w:rPr>
        <w:t>1.495.861,14</w:t>
      </w:r>
      <w:r w:rsidR="002951D4" w:rsidRPr="003A2F86">
        <w:rPr>
          <w:rFonts w:ascii="Arial" w:eastAsia="Times New Roman" w:hAnsi="Arial" w:cs="Arial"/>
          <w:iCs/>
          <w:lang w:eastAsia="en-US"/>
        </w:rPr>
        <w:t xml:space="preserve"> €</w:t>
      </w:r>
      <w:r w:rsidR="00B3557A" w:rsidRPr="003A2F86">
        <w:rPr>
          <w:rFonts w:ascii="Arial" w:eastAsia="Times New Roman" w:hAnsi="Arial" w:cs="Arial"/>
          <w:iCs/>
          <w:lang w:eastAsia="en-US"/>
        </w:rPr>
        <w:t>.</w:t>
      </w:r>
    </w:p>
    <w:p w14:paraId="4B99F892" w14:textId="77777777" w:rsidR="006B2323" w:rsidRPr="003A2F86" w:rsidRDefault="006B2323" w:rsidP="006B2323">
      <w:pPr>
        <w:spacing w:after="0" w:line="240" w:lineRule="auto"/>
        <w:jc w:val="both"/>
        <w:rPr>
          <w:rFonts w:ascii="Arial" w:eastAsia="Times New Roman" w:hAnsi="Arial" w:cs="Arial"/>
          <w:iCs/>
          <w:lang w:eastAsia="en-US"/>
        </w:rPr>
      </w:pPr>
    </w:p>
    <w:p w14:paraId="7B9F0407" w14:textId="68101246" w:rsidR="00AB02E3" w:rsidRPr="003A2F86" w:rsidRDefault="006B2323" w:rsidP="006B2323">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R</w:t>
      </w:r>
      <w:r w:rsidR="00AB02E3" w:rsidRPr="003A2F86">
        <w:rPr>
          <w:rFonts w:ascii="Arial" w:eastAsia="Times New Roman" w:hAnsi="Arial" w:cs="Arial"/>
          <w:iCs/>
          <w:lang w:eastAsia="en-US"/>
        </w:rPr>
        <w:t>azdjel</w:t>
      </w:r>
      <w:r w:rsidR="00B3557A" w:rsidRPr="003A2F86">
        <w:rPr>
          <w:rFonts w:ascii="Arial" w:eastAsia="Times New Roman" w:hAnsi="Arial" w:cs="Arial"/>
          <w:iCs/>
          <w:lang w:eastAsia="en-US"/>
        </w:rPr>
        <w:t xml:space="preserve"> </w:t>
      </w:r>
      <w:r w:rsidR="00AB02E3" w:rsidRPr="003A2F86">
        <w:rPr>
          <w:rFonts w:ascii="Arial" w:eastAsia="Times New Roman" w:hAnsi="Arial" w:cs="Arial"/>
          <w:iCs/>
          <w:lang w:eastAsia="en-US"/>
        </w:rPr>
        <w:t xml:space="preserve">050 (Upravni odjel za prostorno uređenje i zaštitu okoliša) </w:t>
      </w:r>
      <w:r w:rsidR="00B3557A" w:rsidRPr="003A2F86">
        <w:rPr>
          <w:rFonts w:ascii="Arial" w:eastAsia="Times New Roman" w:hAnsi="Arial" w:cs="Arial"/>
          <w:iCs/>
          <w:lang w:eastAsia="en-US"/>
        </w:rPr>
        <w:t>je početkom 2024. godine spojen s razdjelom 0</w:t>
      </w:r>
      <w:r w:rsidR="0030073B" w:rsidRPr="003A2F86">
        <w:rPr>
          <w:rFonts w:ascii="Arial" w:eastAsia="Times New Roman" w:hAnsi="Arial" w:cs="Arial"/>
          <w:iCs/>
          <w:lang w:eastAsia="en-US"/>
        </w:rPr>
        <w:t>3</w:t>
      </w:r>
      <w:r w:rsidR="00B3557A" w:rsidRPr="003A2F86">
        <w:rPr>
          <w:rFonts w:ascii="Arial" w:eastAsia="Times New Roman" w:hAnsi="Arial" w:cs="Arial"/>
          <w:iCs/>
          <w:lang w:eastAsia="en-US"/>
        </w:rPr>
        <w:t>0.</w:t>
      </w:r>
    </w:p>
    <w:p w14:paraId="7E7D99B9" w14:textId="77777777" w:rsidR="006B5F44" w:rsidRPr="003A2F86" w:rsidRDefault="006B5F44" w:rsidP="00162169">
      <w:pPr>
        <w:spacing w:after="0" w:line="240" w:lineRule="auto"/>
        <w:jc w:val="both"/>
        <w:rPr>
          <w:rFonts w:ascii="Arial" w:eastAsia="Times New Roman" w:hAnsi="Arial" w:cs="Arial"/>
          <w:iCs/>
          <w:sz w:val="16"/>
          <w:lang w:eastAsia="en-US"/>
        </w:rPr>
      </w:pPr>
    </w:p>
    <w:p w14:paraId="27B65C0D" w14:textId="7850B6F9" w:rsidR="008A1FDD" w:rsidRPr="003A2F86" w:rsidRDefault="008A1FDD" w:rsidP="00162169">
      <w:pPr>
        <w:spacing w:after="0" w:line="240" w:lineRule="auto"/>
        <w:jc w:val="both"/>
        <w:rPr>
          <w:rFonts w:ascii="Arial" w:eastAsia="Times New Roman" w:hAnsi="Arial" w:cs="Arial"/>
          <w:iCs/>
          <w:szCs w:val="32"/>
          <w:lang w:eastAsia="en-US"/>
        </w:rPr>
      </w:pPr>
      <w:bookmarkStart w:id="317" w:name="_Hlk80799543"/>
      <w:r w:rsidRPr="003A2F86">
        <w:rPr>
          <w:rFonts w:ascii="Arial" w:eastAsia="Times New Roman" w:hAnsi="Arial" w:cs="Arial"/>
          <w:b/>
          <w:bCs/>
          <w:iCs/>
          <w:szCs w:val="32"/>
          <w:lang w:eastAsia="en-US"/>
        </w:rPr>
        <w:t xml:space="preserve">Rashodi svakog razdjela su u nastavku prikazani kroz </w:t>
      </w:r>
      <w:r w:rsidR="008B51C5" w:rsidRPr="003A2F86">
        <w:rPr>
          <w:rFonts w:ascii="Arial" w:eastAsia="Times New Roman" w:hAnsi="Arial" w:cs="Arial"/>
          <w:b/>
          <w:bCs/>
          <w:iCs/>
          <w:szCs w:val="32"/>
          <w:lang w:eastAsia="en-US"/>
        </w:rPr>
        <w:t xml:space="preserve">tablicu u kojoj </w:t>
      </w:r>
      <w:r w:rsidR="00D7728A" w:rsidRPr="003A2F86">
        <w:rPr>
          <w:rFonts w:ascii="Arial" w:eastAsia="Times New Roman" w:hAnsi="Arial" w:cs="Arial"/>
          <w:b/>
          <w:bCs/>
          <w:iCs/>
          <w:szCs w:val="32"/>
          <w:lang w:eastAsia="en-US"/>
        </w:rPr>
        <w:t xml:space="preserve">se daje usporedba iznosa izvršenih rashoda u tekućoj i </w:t>
      </w:r>
      <w:r w:rsidR="00B42227">
        <w:rPr>
          <w:rFonts w:ascii="Arial" w:eastAsia="Times New Roman" w:hAnsi="Arial" w:cs="Arial"/>
          <w:b/>
          <w:bCs/>
          <w:iCs/>
          <w:szCs w:val="32"/>
          <w:lang w:eastAsia="en-US"/>
        </w:rPr>
        <w:t>pet</w:t>
      </w:r>
      <w:r w:rsidR="00D7728A" w:rsidRPr="003A2F86">
        <w:rPr>
          <w:rFonts w:ascii="Arial" w:eastAsia="Times New Roman" w:hAnsi="Arial" w:cs="Arial"/>
          <w:b/>
          <w:bCs/>
          <w:iCs/>
          <w:szCs w:val="32"/>
          <w:lang w:eastAsia="en-US"/>
        </w:rPr>
        <w:t xml:space="preserve"> prethodn</w:t>
      </w:r>
      <w:r w:rsidR="00B42227">
        <w:rPr>
          <w:rFonts w:ascii="Arial" w:eastAsia="Times New Roman" w:hAnsi="Arial" w:cs="Arial"/>
          <w:b/>
          <w:bCs/>
          <w:iCs/>
          <w:szCs w:val="32"/>
          <w:lang w:eastAsia="en-US"/>
        </w:rPr>
        <w:t>ih</w:t>
      </w:r>
      <w:r w:rsidR="00D7728A" w:rsidRPr="003A2F86">
        <w:rPr>
          <w:rFonts w:ascii="Arial" w:eastAsia="Times New Roman" w:hAnsi="Arial" w:cs="Arial"/>
          <w:b/>
          <w:bCs/>
          <w:iCs/>
          <w:szCs w:val="32"/>
          <w:lang w:eastAsia="en-US"/>
        </w:rPr>
        <w:t xml:space="preserve"> proračunsk</w:t>
      </w:r>
      <w:r w:rsidR="00B42227">
        <w:rPr>
          <w:rFonts w:ascii="Arial" w:eastAsia="Times New Roman" w:hAnsi="Arial" w:cs="Arial"/>
          <w:b/>
          <w:bCs/>
          <w:iCs/>
          <w:szCs w:val="32"/>
          <w:lang w:eastAsia="en-US"/>
        </w:rPr>
        <w:t>ih</w:t>
      </w:r>
      <w:r w:rsidR="00D7728A" w:rsidRPr="003A2F86">
        <w:rPr>
          <w:rFonts w:ascii="Arial" w:eastAsia="Times New Roman" w:hAnsi="Arial" w:cs="Arial"/>
          <w:b/>
          <w:bCs/>
          <w:iCs/>
          <w:szCs w:val="32"/>
          <w:lang w:eastAsia="en-US"/>
        </w:rPr>
        <w:t xml:space="preserve"> godin</w:t>
      </w:r>
      <w:r w:rsidR="00B42227">
        <w:rPr>
          <w:rFonts w:ascii="Arial" w:eastAsia="Times New Roman" w:hAnsi="Arial" w:cs="Arial"/>
          <w:b/>
          <w:bCs/>
          <w:iCs/>
          <w:szCs w:val="32"/>
          <w:lang w:eastAsia="en-US"/>
        </w:rPr>
        <w:t>a</w:t>
      </w:r>
      <w:r w:rsidR="00D7728A" w:rsidRPr="003A2F86">
        <w:rPr>
          <w:rFonts w:ascii="Arial" w:eastAsia="Times New Roman" w:hAnsi="Arial" w:cs="Arial"/>
          <w:iCs/>
          <w:szCs w:val="32"/>
          <w:lang w:eastAsia="en-US"/>
        </w:rPr>
        <w:t xml:space="preserve">, s obzirom da </w:t>
      </w:r>
      <w:r w:rsidR="006B5F44" w:rsidRPr="003A2F86">
        <w:rPr>
          <w:rFonts w:ascii="Arial" w:eastAsia="Times New Roman" w:hAnsi="Arial" w:cs="Arial"/>
          <w:iCs/>
          <w:szCs w:val="32"/>
          <w:lang w:eastAsia="en-US"/>
        </w:rPr>
        <w:t>je izvršenje rashoda u 2020. i 2021. uvjetovano smanjenim proračunski</w:t>
      </w:r>
      <w:r w:rsidR="00501627" w:rsidRPr="003A2F86">
        <w:rPr>
          <w:rFonts w:ascii="Arial" w:eastAsia="Times New Roman" w:hAnsi="Arial" w:cs="Arial"/>
          <w:iCs/>
          <w:szCs w:val="32"/>
          <w:lang w:eastAsia="en-US"/>
        </w:rPr>
        <w:t>m</w:t>
      </w:r>
      <w:r w:rsidR="006B5F44" w:rsidRPr="003A2F86">
        <w:rPr>
          <w:rFonts w:ascii="Arial" w:eastAsia="Times New Roman" w:hAnsi="Arial" w:cs="Arial"/>
          <w:iCs/>
          <w:szCs w:val="32"/>
          <w:lang w:eastAsia="en-US"/>
        </w:rPr>
        <w:t xml:space="preserve"> prihodima.</w:t>
      </w:r>
    </w:p>
    <w:bookmarkEnd w:id="314"/>
    <w:bookmarkEnd w:id="317"/>
    <w:p w14:paraId="0F308580" w14:textId="68ECA11A" w:rsidR="006B5F44" w:rsidRPr="003A2F86" w:rsidRDefault="006B5F44" w:rsidP="00162169">
      <w:pPr>
        <w:spacing w:after="0" w:line="240" w:lineRule="auto"/>
        <w:jc w:val="both"/>
      </w:pPr>
    </w:p>
    <w:p w14:paraId="695A52F7" w14:textId="77777777" w:rsidR="004D13DB" w:rsidRPr="003A2F86" w:rsidRDefault="004D13DB" w:rsidP="00162169">
      <w:pPr>
        <w:spacing w:after="0" w:line="240" w:lineRule="auto"/>
        <w:jc w:val="both"/>
      </w:pPr>
    </w:p>
    <w:p w14:paraId="2FFC010C" w14:textId="77777777" w:rsidR="006B2323" w:rsidRPr="003A2F86" w:rsidRDefault="006B2323" w:rsidP="00162169">
      <w:pPr>
        <w:spacing w:after="0" w:line="240" w:lineRule="auto"/>
        <w:jc w:val="both"/>
      </w:pPr>
    </w:p>
    <w:p w14:paraId="796DE798" w14:textId="77777777" w:rsidR="004D13DB" w:rsidRPr="003A2F86" w:rsidRDefault="004D13DB" w:rsidP="00162169">
      <w:pPr>
        <w:spacing w:after="0" w:line="240" w:lineRule="auto"/>
        <w:jc w:val="both"/>
      </w:pPr>
    </w:p>
    <w:p w14:paraId="184B2421" w14:textId="77777777" w:rsidR="004D13DB" w:rsidRPr="003A2F86" w:rsidRDefault="004D13DB" w:rsidP="00162169">
      <w:pPr>
        <w:spacing w:after="0" w:line="240" w:lineRule="auto"/>
        <w:jc w:val="both"/>
      </w:pPr>
    </w:p>
    <w:p w14:paraId="773A002B" w14:textId="77777777" w:rsidR="004D13DB" w:rsidRPr="003A2F86" w:rsidRDefault="004D13DB" w:rsidP="00162169">
      <w:pPr>
        <w:spacing w:after="0" w:line="240" w:lineRule="auto"/>
        <w:jc w:val="both"/>
      </w:pPr>
    </w:p>
    <w:p w14:paraId="3FDD7C3C" w14:textId="77777777" w:rsidR="004D13DB" w:rsidRPr="003A2F86" w:rsidRDefault="004D13DB" w:rsidP="00162169">
      <w:pPr>
        <w:spacing w:after="0" w:line="240" w:lineRule="auto"/>
        <w:jc w:val="both"/>
      </w:pPr>
    </w:p>
    <w:p w14:paraId="5B7F6C42" w14:textId="77777777" w:rsidR="004D13DB" w:rsidRPr="003A2F86" w:rsidRDefault="004D13DB" w:rsidP="00162169">
      <w:pPr>
        <w:spacing w:after="0" w:line="240" w:lineRule="auto"/>
        <w:jc w:val="both"/>
      </w:pPr>
    </w:p>
    <w:p w14:paraId="538ED2B4" w14:textId="77777777" w:rsidR="004D13DB" w:rsidRPr="003A2F86" w:rsidRDefault="004D13DB" w:rsidP="00162169">
      <w:pPr>
        <w:spacing w:after="0" w:line="240" w:lineRule="auto"/>
        <w:jc w:val="both"/>
      </w:pPr>
    </w:p>
    <w:p w14:paraId="1F003018" w14:textId="77777777" w:rsidR="004D13DB" w:rsidRPr="003A2F86" w:rsidRDefault="004D13DB" w:rsidP="00162169">
      <w:pPr>
        <w:spacing w:after="0" w:line="240" w:lineRule="auto"/>
        <w:jc w:val="both"/>
        <w:rPr>
          <w:rFonts w:ascii="Arial" w:eastAsia="Times New Roman" w:hAnsi="Arial" w:cs="Arial"/>
          <w:iCs/>
          <w:sz w:val="16"/>
          <w:lang w:eastAsia="en-US"/>
        </w:rPr>
      </w:pPr>
    </w:p>
    <w:p w14:paraId="2D0320A6" w14:textId="3C6759D0" w:rsidR="006B5F44" w:rsidRPr="003A2F86" w:rsidRDefault="006B5F44" w:rsidP="00162169">
      <w:pPr>
        <w:spacing w:after="0" w:line="240" w:lineRule="auto"/>
        <w:jc w:val="both"/>
        <w:rPr>
          <w:rFonts w:ascii="Arial" w:eastAsia="Times New Roman" w:hAnsi="Arial" w:cs="Arial"/>
          <w:iCs/>
          <w:sz w:val="16"/>
          <w:lang w:eastAsia="en-US"/>
        </w:rPr>
      </w:pPr>
    </w:p>
    <w:p w14:paraId="494701F3" w14:textId="77777777" w:rsidR="006B5F44" w:rsidRPr="003A2F86" w:rsidRDefault="006B5F44" w:rsidP="00162169">
      <w:pPr>
        <w:spacing w:after="0" w:line="240" w:lineRule="auto"/>
        <w:jc w:val="both"/>
        <w:rPr>
          <w:rFonts w:ascii="Arial" w:eastAsia="Times New Roman" w:hAnsi="Arial" w:cs="Arial"/>
          <w:iCs/>
          <w:sz w:val="16"/>
          <w:lang w:eastAsia="en-US"/>
        </w:rPr>
      </w:pPr>
    </w:p>
    <w:tbl>
      <w:tblPr>
        <w:tblW w:w="11341" w:type="dxa"/>
        <w:jc w:val="center"/>
        <w:tblLook w:val="04A0" w:firstRow="1" w:lastRow="0" w:firstColumn="1" w:lastColumn="0" w:noHBand="0" w:noVBand="1"/>
      </w:tblPr>
      <w:tblGrid>
        <w:gridCol w:w="1245"/>
        <w:gridCol w:w="973"/>
        <w:gridCol w:w="9123"/>
      </w:tblGrid>
      <w:tr w:rsidR="0083010D" w:rsidRPr="003A2F86" w14:paraId="3E3C8181" w14:textId="77777777" w:rsidTr="0006533E">
        <w:trPr>
          <w:trHeight w:val="212"/>
          <w:jc w:val="center"/>
        </w:trPr>
        <w:tc>
          <w:tcPr>
            <w:tcW w:w="1245" w:type="dxa"/>
            <w:tcBorders>
              <w:top w:val="nil"/>
              <w:left w:val="nil"/>
              <w:bottom w:val="nil"/>
              <w:right w:val="nil"/>
            </w:tcBorders>
            <w:shd w:val="clear" w:color="000000" w:fill="A5A5A5"/>
            <w:noWrap/>
            <w:vAlign w:val="center"/>
            <w:hideMark/>
          </w:tcPr>
          <w:p w14:paraId="774FCBC1" w14:textId="77777777" w:rsidR="00162169" w:rsidRPr="003A2F86" w:rsidRDefault="00162169" w:rsidP="00BD2DA1">
            <w:pPr>
              <w:spacing w:after="0" w:line="240" w:lineRule="auto"/>
              <w:jc w:val="center"/>
              <w:rPr>
                <w:rFonts w:ascii="Arial" w:eastAsia="Times New Roman" w:hAnsi="Arial" w:cs="Arial"/>
                <w:b/>
                <w:bCs/>
                <w:sz w:val="18"/>
                <w:szCs w:val="18"/>
              </w:rPr>
            </w:pPr>
            <w:bookmarkStart w:id="318" w:name="_Hlk114757569"/>
            <w:r w:rsidRPr="003A2F86">
              <w:rPr>
                <w:rFonts w:ascii="Arial" w:eastAsia="Times New Roman" w:hAnsi="Arial" w:cs="Arial"/>
                <w:b/>
                <w:bCs/>
                <w:sz w:val="18"/>
                <w:szCs w:val="18"/>
              </w:rPr>
              <w:lastRenderedPageBreak/>
              <w:t>RAZDJEL:</w:t>
            </w:r>
          </w:p>
        </w:tc>
        <w:tc>
          <w:tcPr>
            <w:tcW w:w="973" w:type="dxa"/>
            <w:tcBorders>
              <w:top w:val="nil"/>
              <w:left w:val="nil"/>
              <w:bottom w:val="nil"/>
              <w:right w:val="nil"/>
            </w:tcBorders>
            <w:shd w:val="clear" w:color="000000" w:fill="A5A5A5"/>
            <w:noWrap/>
            <w:vAlign w:val="center"/>
            <w:hideMark/>
          </w:tcPr>
          <w:p w14:paraId="4B489B5B" w14:textId="77777777" w:rsidR="00162169" w:rsidRPr="003A2F86" w:rsidRDefault="00162169" w:rsidP="00162169">
            <w:pPr>
              <w:spacing w:after="0" w:line="240" w:lineRule="auto"/>
              <w:jc w:val="center"/>
              <w:rPr>
                <w:rFonts w:ascii="Arial" w:eastAsia="Times New Roman" w:hAnsi="Arial" w:cs="Arial"/>
                <w:b/>
                <w:bCs/>
                <w:sz w:val="18"/>
                <w:szCs w:val="18"/>
              </w:rPr>
            </w:pPr>
            <w:r w:rsidRPr="003A2F86">
              <w:rPr>
                <w:rFonts w:ascii="Arial" w:eastAsia="Times New Roman" w:hAnsi="Arial" w:cs="Arial"/>
                <w:b/>
                <w:bCs/>
                <w:sz w:val="18"/>
                <w:szCs w:val="18"/>
              </w:rPr>
              <w:t>010</w:t>
            </w:r>
          </w:p>
        </w:tc>
        <w:tc>
          <w:tcPr>
            <w:tcW w:w="9123" w:type="dxa"/>
            <w:tcBorders>
              <w:top w:val="nil"/>
              <w:left w:val="nil"/>
              <w:bottom w:val="nil"/>
              <w:right w:val="nil"/>
            </w:tcBorders>
            <w:shd w:val="clear" w:color="000000" w:fill="A5A5A5"/>
            <w:noWrap/>
            <w:vAlign w:val="center"/>
            <w:hideMark/>
          </w:tcPr>
          <w:p w14:paraId="3B7CCFCB" w14:textId="77777777" w:rsidR="00162169" w:rsidRPr="003A2F86" w:rsidRDefault="00162169" w:rsidP="00BD2DA1">
            <w:pPr>
              <w:spacing w:after="0" w:line="240" w:lineRule="auto"/>
              <w:jc w:val="center"/>
              <w:rPr>
                <w:rFonts w:ascii="Arial" w:eastAsia="Times New Roman" w:hAnsi="Arial" w:cs="Arial"/>
                <w:b/>
                <w:bCs/>
              </w:rPr>
            </w:pPr>
            <w:r w:rsidRPr="003A2F86">
              <w:rPr>
                <w:rFonts w:ascii="Arial" w:eastAsia="Times New Roman" w:hAnsi="Arial" w:cs="Arial"/>
                <w:b/>
                <w:bCs/>
              </w:rPr>
              <w:t>OPĆINSKO VIJEĆE I NAČELNIK</w:t>
            </w:r>
          </w:p>
        </w:tc>
      </w:tr>
    </w:tbl>
    <w:p w14:paraId="3240F4C7" w14:textId="77777777" w:rsidR="0006533E" w:rsidRPr="003A2F86" w:rsidRDefault="0006533E" w:rsidP="00891119">
      <w:pPr>
        <w:spacing w:after="0" w:line="240" w:lineRule="auto"/>
        <w:jc w:val="both"/>
        <w:rPr>
          <w:rFonts w:ascii="Arial" w:eastAsia="Times New Roman" w:hAnsi="Arial" w:cs="Arial"/>
          <w:iCs/>
          <w:sz w:val="16"/>
          <w:lang w:eastAsia="en-US"/>
        </w:rPr>
      </w:pPr>
    </w:p>
    <w:p w14:paraId="00FB31A4" w14:textId="53D40CDB" w:rsidR="00891119" w:rsidRPr="003A2F86" w:rsidRDefault="00891119" w:rsidP="00891119">
      <w:pPr>
        <w:spacing w:after="0" w:line="240" w:lineRule="auto"/>
        <w:jc w:val="both"/>
        <w:rPr>
          <w:rFonts w:ascii="Arial" w:eastAsia="Times New Roman" w:hAnsi="Arial" w:cs="Arial"/>
          <w:iCs/>
          <w:lang w:eastAsia="en-US"/>
        </w:rPr>
      </w:pPr>
      <w:bookmarkStart w:id="319" w:name="_Hlk146003591"/>
      <w:r w:rsidRPr="003A2F86">
        <w:rPr>
          <w:rFonts w:ascii="Arial" w:eastAsia="Times New Roman" w:hAnsi="Arial" w:cs="Arial"/>
          <w:iCs/>
          <w:lang w:eastAsia="en-US"/>
        </w:rPr>
        <w:t xml:space="preserve">Rashodi i izdaci razdjela 010 (Općinsko vijeće i načelnik) u iznosu </w:t>
      </w:r>
      <w:r w:rsidR="00D40165">
        <w:rPr>
          <w:rFonts w:ascii="Arial" w:eastAsia="Times New Roman" w:hAnsi="Arial" w:cs="Arial"/>
          <w:iCs/>
          <w:lang w:eastAsia="en-US"/>
        </w:rPr>
        <w:t>168.211,26</w:t>
      </w:r>
      <w:r w:rsidR="002951D4" w:rsidRPr="003A2F86">
        <w:rPr>
          <w:rFonts w:ascii="Arial" w:eastAsia="Times New Roman" w:hAnsi="Arial" w:cs="Arial"/>
          <w:iCs/>
          <w:lang w:eastAsia="en-US"/>
        </w:rPr>
        <w:t xml:space="preserve"> €</w:t>
      </w:r>
      <w:r w:rsidRPr="003A2F86">
        <w:rPr>
          <w:rFonts w:ascii="Arial" w:eastAsia="Times New Roman" w:hAnsi="Arial" w:cs="Arial"/>
          <w:iCs/>
          <w:lang w:eastAsia="en-US"/>
        </w:rPr>
        <w:t xml:space="preserve"> odnose se na rashode podijeljene u dvije glave:</w:t>
      </w:r>
    </w:p>
    <w:p w14:paraId="3CA9DC49" w14:textId="77777777" w:rsidR="009B2D4E" w:rsidRPr="003A2F86" w:rsidRDefault="009B2D4E" w:rsidP="00891119">
      <w:pPr>
        <w:spacing w:after="0" w:line="240" w:lineRule="auto"/>
        <w:jc w:val="both"/>
        <w:rPr>
          <w:rFonts w:ascii="Arial" w:eastAsia="Times New Roman" w:hAnsi="Arial" w:cs="Arial"/>
          <w:iCs/>
          <w:lang w:eastAsia="en-US"/>
        </w:rPr>
      </w:pPr>
    </w:p>
    <w:p w14:paraId="4107C64D" w14:textId="61527618" w:rsidR="00103B7C" w:rsidRDefault="00D40165" w:rsidP="00D40165">
      <w:pPr>
        <w:spacing w:after="0" w:line="240" w:lineRule="auto"/>
        <w:jc w:val="center"/>
        <w:rPr>
          <w:rFonts w:ascii="Arial" w:eastAsia="Times New Roman" w:hAnsi="Arial" w:cs="Arial"/>
          <w:iCs/>
          <w:lang w:eastAsia="en-US"/>
        </w:rPr>
      </w:pPr>
      <w:bookmarkStart w:id="320" w:name="_Hlk207638188"/>
      <w:bookmarkStart w:id="321" w:name="_Hlk166657482"/>
      <w:r w:rsidRPr="00D40165">
        <w:rPr>
          <w:noProof/>
        </w:rPr>
        <w:drawing>
          <wp:inline distT="0" distB="0" distL="0" distR="0" wp14:anchorId="50997686" wp14:editId="30FFD31B">
            <wp:extent cx="8345805" cy="2374900"/>
            <wp:effectExtent l="0" t="0" r="0" b="6350"/>
            <wp:docPr id="10718902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345805" cy="2374900"/>
                    </a:xfrm>
                    <a:prstGeom prst="rect">
                      <a:avLst/>
                    </a:prstGeom>
                    <a:noFill/>
                    <a:ln>
                      <a:noFill/>
                    </a:ln>
                  </pic:spPr>
                </pic:pic>
              </a:graphicData>
            </a:graphic>
          </wp:inline>
        </w:drawing>
      </w:r>
    </w:p>
    <w:p w14:paraId="32DEBD0B" w14:textId="1592EFD7" w:rsidR="00891119" w:rsidRPr="003A2F86" w:rsidRDefault="00BD2DA1" w:rsidP="00891119">
      <w:pPr>
        <w:spacing w:after="0" w:line="240" w:lineRule="auto"/>
        <w:jc w:val="both"/>
        <w:rPr>
          <w:rFonts w:ascii="Arial" w:eastAsia="Times New Roman" w:hAnsi="Arial" w:cs="Arial"/>
          <w:iCs/>
          <w:lang w:eastAsia="en-US"/>
        </w:rPr>
      </w:pPr>
      <w:bookmarkStart w:id="322" w:name="_Hlk230354031"/>
      <w:r w:rsidRPr="003A2F86">
        <w:rPr>
          <w:rFonts w:ascii="Arial" w:eastAsia="Times New Roman" w:hAnsi="Arial" w:cs="Arial"/>
          <w:iCs/>
          <w:lang w:eastAsia="en-US"/>
        </w:rPr>
        <w:t>Vrijednosno značajniji r</w:t>
      </w:r>
      <w:r w:rsidR="00891119" w:rsidRPr="003A2F86">
        <w:rPr>
          <w:rFonts w:ascii="Arial" w:eastAsia="Times New Roman" w:hAnsi="Arial" w:cs="Arial"/>
          <w:iCs/>
          <w:lang w:eastAsia="en-US"/>
        </w:rPr>
        <w:t xml:space="preserve">ashodi Općinskog vijeća – predstavničko tijelo (glava 01001) se odnose na </w:t>
      </w:r>
      <w:r w:rsidR="00931E82">
        <w:rPr>
          <w:rFonts w:ascii="Arial" w:eastAsia="Times New Roman" w:hAnsi="Arial" w:cs="Arial"/>
          <w:iCs/>
          <w:lang w:eastAsia="en-US"/>
        </w:rPr>
        <w:t xml:space="preserve">naknade za rad biračkih odbora i izbornog povjerenstva kod provedbe lokalnih izbora </w:t>
      </w:r>
      <w:r w:rsidR="00BF33E2">
        <w:rPr>
          <w:rFonts w:ascii="Arial" w:eastAsia="Times New Roman" w:hAnsi="Arial" w:cs="Arial"/>
          <w:iCs/>
          <w:lang w:eastAsia="en-US"/>
        </w:rPr>
        <w:t>65.692,45</w:t>
      </w:r>
      <w:r w:rsidR="00931E82">
        <w:rPr>
          <w:rFonts w:ascii="Arial" w:eastAsia="Times New Roman" w:hAnsi="Arial" w:cs="Arial"/>
          <w:iCs/>
          <w:lang w:eastAsia="en-US"/>
        </w:rPr>
        <w:t xml:space="preserve"> €, te </w:t>
      </w:r>
      <w:r w:rsidR="002951D4" w:rsidRPr="003A2F86">
        <w:rPr>
          <w:rFonts w:ascii="Arial" w:eastAsia="Times New Roman" w:hAnsi="Arial" w:cs="Arial"/>
          <w:iCs/>
          <w:lang w:eastAsia="en-US"/>
        </w:rPr>
        <w:t xml:space="preserve">naknade za redovan rad općinskog vijeća </w:t>
      </w:r>
      <w:r w:rsidR="00BF33E2">
        <w:rPr>
          <w:rFonts w:ascii="Arial" w:eastAsia="Times New Roman" w:hAnsi="Arial" w:cs="Arial"/>
          <w:iCs/>
          <w:lang w:eastAsia="en-US"/>
        </w:rPr>
        <w:t>6.494,67</w:t>
      </w:r>
      <w:r w:rsidR="002951D4" w:rsidRPr="003A2F86">
        <w:rPr>
          <w:rFonts w:ascii="Arial" w:eastAsia="Times New Roman" w:hAnsi="Arial" w:cs="Arial"/>
          <w:iCs/>
          <w:lang w:eastAsia="en-US"/>
        </w:rPr>
        <w:t xml:space="preserve"> €</w:t>
      </w:r>
      <w:r w:rsidR="00BF33E2">
        <w:rPr>
          <w:rFonts w:ascii="Arial" w:eastAsia="Times New Roman" w:hAnsi="Arial" w:cs="Arial"/>
          <w:iCs/>
          <w:lang w:eastAsia="en-US"/>
        </w:rPr>
        <w:t>,</w:t>
      </w:r>
      <w:r w:rsidR="002951D4" w:rsidRPr="003A2F86">
        <w:rPr>
          <w:rFonts w:ascii="Arial" w:eastAsia="Times New Roman" w:hAnsi="Arial" w:cs="Arial"/>
          <w:iCs/>
          <w:lang w:eastAsia="en-US"/>
        </w:rPr>
        <w:t xml:space="preserve"> </w:t>
      </w:r>
      <w:r w:rsidR="00891119" w:rsidRPr="003A2F86">
        <w:rPr>
          <w:rFonts w:ascii="Arial" w:eastAsia="Times New Roman" w:hAnsi="Arial" w:cs="Arial"/>
          <w:iCs/>
          <w:lang w:eastAsia="en-US"/>
        </w:rPr>
        <w:t xml:space="preserve">rashode </w:t>
      </w:r>
      <w:r w:rsidR="00A33921" w:rsidRPr="003A2F86">
        <w:rPr>
          <w:rFonts w:ascii="Arial" w:eastAsia="Times New Roman" w:hAnsi="Arial" w:cs="Arial"/>
          <w:iCs/>
          <w:lang w:eastAsia="en-US"/>
        </w:rPr>
        <w:t xml:space="preserve">za </w:t>
      </w:r>
      <w:r w:rsidR="00891119" w:rsidRPr="003A2F86">
        <w:rPr>
          <w:rFonts w:ascii="Arial" w:eastAsia="Times New Roman" w:hAnsi="Arial" w:cs="Arial"/>
          <w:iCs/>
          <w:lang w:eastAsia="en-US"/>
        </w:rPr>
        <w:t xml:space="preserve">financiranje rada političkih stranaka i nezavisnih vijećnika </w:t>
      </w:r>
      <w:r w:rsidR="00DF117E" w:rsidRPr="003A2F86">
        <w:rPr>
          <w:rFonts w:ascii="Arial" w:eastAsia="Times New Roman" w:hAnsi="Arial" w:cs="Arial"/>
          <w:iCs/>
          <w:lang w:eastAsia="en-US"/>
        </w:rPr>
        <w:t xml:space="preserve">koji </w:t>
      </w:r>
      <w:r w:rsidR="00A33921" w:rsidRPr="003A2F86">
        <w:rPr>
          <w:rFonts w:ascii="Arial" w:eastAsia="Times New Roman" w:hAnsi="Arial" w:cs="Arial"/>
          <w:iCs/>
          <w:lang w:eastAsia="en-US"/>
        </w:rPr>
        <w:t xml:space="preserve">su </w:t>
      </w:r>
      <w:r w:rsidR="005B6C32" w:rsidRPr="003A2F86">
        <w:rPr>
          <w:rFonts w:ascii="Arial" w:eastAsia="Times New Roman" w:hAnsi="Arial" w:cs="Arial"/>
          <w:iCs/>
          <w:lang w:eastAsia="en-US"/>
        </w:rPr>
        <w:t>izvršeni u</w:t>
      </w:r>
      <w:r w:rsidR="00A33921" w:rsidRPr="003A2F86">
        <w:rPr>
          <w:rFonts w:ascii="Arial" w:eastAsia="Times New Roman" w:hAnsi="Arial" w:cs="Arial"/>
          <w:iCs/>
          <w:lang w:eastAsia="en-US"/>
        </w:rPr>
        <w:t xml:space="preserve"> </w:t>
      </w:r>
      <w:r w:rsidR="0033780F" w:rsidRPr="003A2F86">
        <w:rPr>
          <w:rFonts w:ascii="Arial" w:eastAsia="Times New Roman" w:hAnsi="Arial" w:cs="Arial"/>
          <w:iCs/>
          <w:lang w:eastAsia="en-US"/>
        </w:rPr>
        <w:t xml:space="preserve">iznosu </w:t>
      </w:r>
      <w:r w:rsidR="00BF33E2">
        <w:rPr>
          <w:rFonts w:ascii="Arial" w:eastAsia="Times New Roman" w:hAnsi="Arial" w:cs="Arial"/>
          <w:iCs/>
          <w:lang w:eastAsia="en-US"/>
        </w:rPr>
        <w:t>3.386,68</w:t>
      </w:r>
      <w:r w:rsidR="002951D4" w:rsidRPr="003A2F86">
        <w:rPr>
          <w:rFonts w:ascii="Arial" w:eastAsia="Times New Roman" w:hAnsi="Arial" w:cs="Arial"/>
          <w:iCs/>
          <w:lang w:eastAsia="en-US"/>
        </w:rPr>
        <w:t xml:space="preserve"> €</w:t>
      </w:r>
      <w:r w:rsidR="00BF33E2">
        <w:rPr>
          <w:rFonts w:ascii="Arial" w:eastAsia="Times New Roman" w:hAnsi="Arial" w:cs="Arial"/>
          <w:iCs/>
          <w:lang w:eastAsia="en-US"/>
        </w:rPr>
        <w:t>, rashodi za pripremu i tisak službenog glasnika 5.420,68 € i drugo</w:t>
      </w:r>
      <w:r w:rsidR="0033780F" w:rsidRPr="003A2F86">
        <w:rPr>
          <w:rFonts w:ascii="Arial" w:eastAsia="Times New Roman" w:hAnsi="Arial" w:cs="Arial"/>
          <w:iCs/>
          <w:lang w:eastAsia="en-US"/>
        </w:rPr>
        <w:t>.</w:t>
      </w:r>
    </w:p>
    <w:p w14:paraId="478018A8" w14:textId="77777777" w:rsidR="00DC2020" w:rsidRPr="003A2F86" w:rsidRDefault="00DC2020" w:rsidP="00891119">
      <w:pPr>
        <w:spacing w:after="0" w:line="240" w:lineRule="auto"/>
        <w:jc w:val="both"/>
        <w:rPr>
          <w:rFonts w:ascii="Arial" w:eastAsia="Times New Roman" w:hAnsi="Arial" w:cs="Arial"/>
          <w:iCs/>
          <w:lang w:eastAsia="en-US"/>
        </w:rPr>
      </w:pPr>
    </w:p>
    <w:p w14:paraId="26070BC4" w14:textId="12638192" w:rsidR="00891119" w:rsidRPr="003A2F86" w:rsidRDefault="00891119" w:rsidP="00891119">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Rashodi Načelnika– nositelj izvršnih ovlasti (glava 01002) u iznosu </w:t>
      </w:r>
      <w:r w:rsidR="00D40165">
        <w:rPr>
          <w:rFonts w:ascii="Arial" w:eastAsia="Times New Roman" w:hAnsi="Arial" w:cs="Arial"/>
          <w:iCs/>
          <w:lang w:eastAsia="en-US"/>
        </w:rPr>
        <w:t>78.161</w:t>
      </w:r>
      <w:r w:rsidR="002951D4" w:rsidRPr="003A2F86">
        <w:rPr>
          <w:rFonts w:ascii="Arial" w:eastAsia="Times New Roman" w:hAnsi="Arial" w:cs="Arial"/>
          <w:iCs/>
          <w:lang w:eastAsia="en-US"/>
        </w:rPr>
        <w:t xml:space="preserve"> €</w:t>
      </w:r>
      <w:r w:rsidRPr="003A2F86">
        <w:rPr>
          <w:rFonts w:ascii="Arial" w:eastAsia="Times New Roman" w:hAnsi="Arial" w:cs="Arial"/>
          <w:iCs/>
          <w:lang w:eastAsia="en-US"/>
        </w:rPr>
        <w:t xml:space="preserve"> </w:t>
      </w:r>
      <w:bookmarkEnd w:id="322"/>
      <w:r w:rsidRPr="003A2F86">
        <w:rPr>
          <w:rFonts w:ascii="Arial" w:eastAsia="Times New Roman" w:hAnsi="Arial" w:cs="Arial"/>
          <w:iCs/>
          <w:lang w:eastAsia="en-US"/>
        </w:rPr>
        <w:t>odnose se na troškove plaće, doprinosa i na</w:t>
      </w:r>
      <w:r w:rsidR="00A8623C" w:rsidRPr="003A2F86">
        <w:rPr>
          <w:rFonts w:ascii="Arial" w:eastAsia="Times New Roman" w:hAnsi="Arial" w:cs="Arial"/>
          <w:iCs/>
          <w:lang w:eastAsia="en-US"/>
        </w:rPr>
        <w:t>kn</w:t>
      </w:r>
      <w:r w:rsidRPr="003A2F86">
        <w:rPr>
          <w:rFonts w:ascii="Arial" w:eastAsia="Times New Roman" w:hAnsi="Arial" w:cs="Arial"/>
          <w:iCs/>
          <w:lang w:eastAsia="en-US"/>
        </w:rPr>
        <w:t>ade troškova za službena putovanja načelnika.</w:t>
      </w:r>
    </w:p>
    <w:p w14:paraId="775B1D97" w14:textId="77777777" w:rsidR="00891119" w:rsidRPr="003A2F86" w:rsidRDefault="00891119" w:rsidP="00891119">
      <w:pPr>
        <w:spacing w:after="0" w:line="240" w:lineRule="auto"/>
        <w:jc w:val="both"/>
        <w:rPr>
          <w:rFonts w:ascii="Arial" w:eastAsia="Times New Roman" w:hAnsi="Arial" w:cs="Arial"/>
          <w:iCs/>
          <w:lang w:eastAsia="en-US"/>
        </w:rPr>
      </w:pPr>
    </w:p>
    <w:p w14:paraId="7D8B1D51" w14:textId="48F101DB" w:rsidR="00891119" w:rsidRPr="003A2F86" w:rsidRDefault="00891119" w:rsidP="00891119">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Proračunska zaliha je planirana u iznosu </w:t>
      </w:r>
      <w:r w:rsidR="002951D4" w:rsidRPr="003A2F86">
        <w:rPr>
          <w:rFonts w:ascii="Arial" w:eastAsia="Times New Roman" w:hAnsi="Arial" w:cs="Arial"/>
          <w:iCs/>
          <w:lang w:eastAsia="en-US"/>
        </w:rPr>
        <w:t>30.000 €</w:t>
      </w:r>
      <w:r w:rsidRPr="003A2F86">
        <w:rPr>
          <w:rFonts w:ascii="Arial" w:eastAsia="Times New Roman" w:hAnsi="Arial" w:cs="Arial"/>
          <w:iCs/>
          <w:lang w:eastAsia="en-US"/>
        </w:rPr>
        <w:t>, a nije korištena.</w:t>
      </w:r>
    </w:p>
    <w:bookmarkEnd w:id="320"/>
    <w:p w14:paraId="5CF0A92E" w14:textId="69E99B48" w:rsidR="00891119" w:rsidRPr="003A2F86" w:rsidRDefault="00891119" w:rsidP="00891119">
      <w:pPr>
        <w:spacing w:after="0" w:line="240" w:lineRule="auto"/>
        <w:jc w:val="both"/>
        <w:rPr>
          <w:rFonts w:ascii="Arial" w:eastAsia="Times New Roman" w:hAnsi="Arial" w:cs="Arial"/>
          <w:iCs/>
          <w:lang w:eastAsia="en-US"/>
        </w:rPr>
      </w:pPr>
    </w:p>
    <w:bookmarkEnd w:id="319"/>
    <w:bookmarkEnd w:id="321"/>
    <w:p w14:paraId="41F70CD9" w14:textId="3DB4A5B1" w:rsidR="00685399" w:rsidRPr="003A2F86" w:rsidRDefault="00685399" w:rsidP="00891119">
      <w:pPr>
        <w:spacing w:after="0" w:line="240" w:lineRule="auto"/>
        <w:jc w:val="both"/>
        <w:rPr>
          <w:rFonts w:ascii="Arial" w:eastAsia="Times New Roman" w:hAnsi="Arial" w:cs="Arial"/>
          <w:iCs/>
          <w:lang w:eastAsia="en-US"/>
        </w:rPr>
      </w:pPr>
    </w:p>
    <w:bookmarkEnd w:id="318"/>
    <w:p w14:paraId="56454E5E" w14:textId="3BDC4889" w:rsidR="00685399" w:rsidRPr="003A2F86" w:rsidRDefault="00685399" w:rsidP="00891119">
      <w:pPr>
        <w:spacing w:after="0" w:line="240" w:lineRule="auto"/>
        <w:jc w:val="both"/>
        <w:rPr>
          <w:rFonts w:ascii="Arial" w:eastAsia="Times New Roman" w:hAnsi="Arial" w:cs="Arial"/>
          <w:iCs/>
          <w:lang w:eastAsia="en-US"/>
        </w:rPr>
      </w:pPr>
    </w:p>
    <w:p w14:paraId="0CD78830" w14:textId="439059CD" w:rsidR="00685399" w:rsidRPr="003A2F86" w:rsidRDefault="00685399" w:rsidP="00891119">
      <w:pPr>
        <w:spacing w:after="0" w:line="240" w:lineRule="auto"/>
        <w:jc w:val="both"/>
        <w:rPr>
          <w:rFonts w:ascii="Arial" w:eastAsia="Times New Roman" w:hAnsi="Arial" w:cs="Arial"/>
          <w:iCs/>
          <w:lang w:eastAsia="en-US"/>
        </w:rPr>
      </w:pPr>
    </w:p>
    <w:p w14:paraId="382FF59F" w14:textId="22EEA589" w:rsidR="00685399" w:rsidRPr="003A2F86" w:rsidRDefault="00685399" w:rsidP="00891119">
      <w:pPr>
        <w:spacing w:after="0" w:line="240" w:lineRule="auto"/>
        <w:jc w:val="both"/>
        <w:rPr>
          <w:rFonts w:ascii="Arial" w:eastAsia="Times New Roman" w:hAnsi="Arial" w:cs="Arial"/>
          <w:iCs/>
          <w:lang w:eastAsia="en-US"/>
        </w:rPr>
      </w:pPr>
    </w:p>
    <w:p w14:paraId="38514B44" w14:textId="21C14905" w:rsidR="00685399" w:rsidRPr="003A2F86" w:rsidRDefault="00685399" w:rsidP="00891119">
      <w:pPr>
        <w:spacing w:after="0" w:line="240" w:lineRule="auto"/>
        <w:jc w:val="both"/>
        <w:rPr>
          <w:rFonts w:ascii="Arial" w:eastAsia="Times New Roman" w:hAnsi="Arial" w:cs="Arial"/>
          <w:iCs/>
          <w:lang w:eastAsia="en-US"/>
        </w:rPr>
      </w:pPr>
    </w:p>
    <w:p w14:paraId="0F1B0C14" w14:textId="1BAB04C7" w:rsidR="00685399" w:rsidRPr="003A2F86" w:rsidRDefault="00685399" w:rsidP="00891119">
      <w:pPr>
        <w:spacing w:after="0" w:line="240" w:lineRule="auto"/>
        <w:jc w:val="both"/>
        <w:rPr>
          <w:rFonts w:ascii="Arial" w:eastAsia="Times New Roman" w:hAnsi="Arial" w:cs="Arial"/>
          <w:iCs/>
          <w:lang w:eastAsia="en-US"/>
        </w:rPr>
      </w:pPr>
    </w:p>
    <w:p w14:paraId="4719EF70" w14:textId="77777777" w:rsidR="00DE4809" w:rsidRPr="003A2F86" w:rsidRDefault="00DE4809" w:rsidP="00891119">
      <w:pPr>
        <w:spacing w:after="0" w:line="240" w:lineRule="auto"/>
        <w:jc w:val="both"/>
        <w:rPr>
          <w:rFonts w:ascii="Arial" w:eastAsia="Times New Roman" w:hAnsi="Arial" w:cs="Arial"/>
          <w:iCs/>
          <w:lang w:eastAsia="en-US"/>
        </w:rPr>
      </w:pPr>
    </w:p>
    <w:p w14:paraId="0AE311E6" w14:textId="44326298" w:rsidR="00685399" w:rsidRPr="003A2F86" w:rsidRDefault="00685399" w:rsidP="00891119">
      <w:pPr>
        <w:spacing w:after="0" w:line="240" w:lineRule="auto"/>
        <w:jc w:val="both"/>
        <w:rPr>
          <w:rFonts w:ascii="Arial" w:eastAsia="Times New Roman" w:hAnsi="Arial" w:cs="Arial"/>
          <w:iCs/>
          <w:lang w:eastAsia="en-US"/>
        </w:rPr>
      </w:pPr>
    </w:p>
    <w:p w14:paraId="24CC38EA" w14:textId="77777777" w:rsidR="00D03A4A" w:rsidRPr="003A2F86" w:rsidRDefault="00D03A4A" w:rsidP="00891119">
      <w:pPr>
        <w:spacing w:after="0" w:line="240" w:lineRule="auto"/>
        <w:jc w:val="both"/>
        <w:rPr>
          <w:rFonts w:ascii="Arial" w:eastAsia="Times New Roman" w:hAnsi="Arial" w:cs="Arial"/>
          <w:iCs/>
          <w:lang w:eastAsia="en-US"/>
        </w:rPr>
      </w:pPr>
    </w:p>
    <w:tbl>
      <w:tblPr>
        <w:tblW w:w="12474" w:type="dxa"/>
        <w:jc w:val="center"/>
        <w:tblLook w:val="04A0" w:firstRow="1" w:lastRow="0" w:firstColumn="1" w:lastColumn="0" w:noHBand="0" w:noVBand="1"/>
      </w:tblPr>
      <w:tblGrid>
        <w:gridCol w:w="1245"/>
        <w:gridCol w:w="973"/>
        <w:gridCol w:w="10256"/>
      </w:tblGrid>
      <w:tr w:rsidR="0033780F" w:rsidRPr="003A2F86" w14:paraId="254BA25F" w14:textId="77777777" w:rsidTr="006F457B">
        <w:trPr>
          <w:trHeight w:val="382"/>
          <w:jc w:val="center"/>
        </w:trPr>
        <w:tc>
          <w:tcPr>
            <w:tcW w:w="1245" w:type="dxa"/>
            <w:tcBorders>
              <w:top w:val="nil"/>
              <w:left w:val="nil"/>
              <w:bottom w:val="nil"/>
              <w:right w:val="nil"/>
            </w:tcBorders>
            <w:shd w:val="clear" w:color="000000" w:fill="A5A5A5"/>
            <w:noWrap/>
            <w:vAlign w:val="center"/>
            <w:hideMark/>
          </w:tcPr>
          <w:p w14:paraId="17973430" w14:textId="77777777" w:rsidR="00891119" w:rsidRPr="003A2F86" w:rsidRDefault="00891119" w:rsidP="00162169">
            <w:pPr>
              <w:spacing w:after="0" w:line="240" w:lineRule="auto"/>
              <w:jc w:val="center"/>
              <w:rPr>
                <w:rFonts w:ascii="Arial" w:eastAsia="Times New Roman" w:hAnsi="Arial" w:cs="Arial"/>
                <w:b/>
                <w:bCs/>
                <w:sz w:val="18"/>
                <w:szCs w:val="18"/>
              </w:rPr>
            </w:pPr>
            <w:r w:rsidRPr="003A2F86">
              <w:rPr>
                <w:rFonts w:ascii="Arial" w:eastAsia="Times New Roman" w:hAnsi="Arial" w:cs="Arial"/>
                <w:b/>
                <w:bCs/>
                <w:sz w:val="18"/>
                <w:szCs w:val="18"/>
              </w:rPr>
              <w:lastRenderedPageBreak/>
              <w:t>RAZDJEL:</w:t>
            </w:r>
          </w:p>
        </w:tc>
        <w:tc>
          <w:tcPr>
            <w:tcW w:w="973" w:type="dxa"/>
            <w:tcBorders>
              <w:top w:val="nil"/>
              <w:left w:val="nil"/>
              <w:bottom w:val="nil"/>
              <w:right w:val="nil"/>
            </w:tcBorders>
            <w:shd w:val="clear" w:color="000000" w:fill="A5A5A5"/>
            <w:noWrap/>
            <w:vAlign w:val="center"/>
            <w:hideMark/>
          </w:tcPr>
          <w:p w14:paraId="1EB9CD30" w14:textId="77777777" w:rsidR="00891119" w:rsidRPr="003A2F86" w:rsidRDefault="00891119" w:rsidP="00162169">
            <w:pPr>
              <w:spacing w:after="0" w:line="240" w:lineRule="auto"/>
              <w:jc w:val="center"/>
              <w:rPr>
                <w:rFonts w:ascii="Arial" w:eastAsia="Times New Roman" w:hAnsi="Arial" w:cs="Arial"/>
                <w:b/>
                <w:bCs/>
                <w:sz w:val="18"/>
                <w:szCs w:val="18"/>
              </w:rPr>
            </w:pPr>
            <w:r w:rsidRPr="003A2F86">
              <w:rPr>
                <w:rFonts w:ascii="Arial" w:eastAsia="Times New Roman" w:hAnsi="Arial" w:cs="Arial"/>
                <w:b/>
                <w:bCs/>
                <w:sz w:val="18"/>
                <w:szCs w:val="18"/>
              </w:rPr>
              <w:t>020</w:t>
            </w:r>
          </w:p>
        </w:tc>
        <w:tc>
          <w:tcPr>
            <w:tcW w:w="10256" w:type="dxa"/>
            <w:tcBorders>
              <w:top w:val="nil"/>
              <w:left w:val="nil"/>
              <w:bottom w:val="nil"/>
              <w:right w:val="nil"/>
            </w:tcBorders>
            <w:shd w:val="clear" w:color="000000" w:fill="A5A5A5"/>
            <w:noWrap/>
            <w:vAlign w:val="center"/>
            <w:hideMark/>
          </w:tcPr>
          <w:p w14:paraId="5901634F" w14:textId="77777777" w:rsidR="00891119" w:rsidRPr="003A2F86" w:rsidRDefault="00891119" w:rsidP="006F457B">
            <w:pPr>
              <w:spacing w:after="0" w:line="240" w:lineRule="auto"/>
              <w:jc w:val="center"/>
              <w:rPr>
                <w:rFonts w:ascii="Arial" w:eastAsia="Times New Roman" w:hAnsi="Arial" w:cs="Arial"/>
                <w:b/>
                <w:bCs/>
              </w:rPr>
            </w:pPr>
            <w:r w:rsidRPr="003A2F86">
              <w:rPr>
                <w:rFonts w:ascii="Arial" w:eastAsia="Times New Roman" w:hAnsi="Arial" w:cs="Arial"/>
                <w:b/>
                <w:bCs/>
              </w:rPr>
              <w:t xml:space="preserve">UPRAVNI ODJEL ZA OPĆE POSLOVE, MJESNU SAMOUPRAVU I DRUŠTVENE DJELATNOSTI </w:t>
            </w:r>
          </w:p>
        </w:tc>
      </w:tr>
    </w:tbl>
    <w:p w14:paraId="61A0D3BA" w14:textId="77777777" w:rsidR="00891119" w:rsidRPr="003A2F86" w:rsidRDefault="00891119" w:rsidP="00891119">
      <w:pPr>
        <w:spacing w:after="0" w:line="240" w:lineRule="auto"/>
        <w:rPr>
          <w:rFonts w:ascii="Arial" w:eastAsia="Times New Roman" w:hAnsi="Arial" w:cs="Arial"/>
          <w:iCs/>
          <w:sz w:val="12"/>
          <w:szCs w:val="12"/>
          <w:lang w:eastAsia="en-US"/>
        </w:rPr>
      </w:pPr>
      <w:bookmarkStart w:id="323" w:name="_Hlk146003788"/>
    </w:p>
    <w:p w14:paraId="71E76FC4" w14:textId="1BDB4B1C" w:rsidR="00891119" w:rsidRPr="003A2F86" w:rsidRDefault="00891119" w:rsidP="00891119">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 xml:space="preserve">Rashodi i izdaci razdjela 020 (Upravni odjel za opće poslove, mjesnu samoupravu i društvene djelatnosti) u iznosu </w:t>
      </w:r>
      <w:r w:rsidR="00BF33E2">
        <w:rPr>
          <w:rFonts w:ascii="Arial" w:eastAsia="Times New Roman" w:hAnsi="Arial" w:cs="Arial"/>
          <w:iCs/>
          <w:lang w:eastAsia="en-US"/>
        </w:rPr>
        <w:t>8.22</w:t>
      </w:r>
      <w:r w:rsidR="00811C2C">
        <w:rPr>
          <w:rFonts w:ascii="Arial" w:eastAsia="Times New Roman" w:hAnsi="Arial" w:cs="Arial"/>
          <w:iCs/>
          <w:lang w:eastAsia="en-US"/>
        </w:rPr>
        <w:t>2</w:t>
      </w:r>
      <w:r w:rsidR="00BF33E2">
        <w:rPr>
          <w:rFonts w:ascii="Arial" w:eastAsia="Times New Roman" w:hAnsi="Arial" w:cs="Arial"/>
          <w:iCs/>
          <w:lang w:eastAsia="en-US"/>
        </w:rPr>
        <w:t>.</w:t>
      </w:r>
      <w:r w:rsidR="00811C2C">
        <w:rPr>
          <w:rFonts w:ascii="Arial" w:eastAsia="Times New Roman" w:hAnsi="Arial" w:cs="Arial"/>
          <w:iCs/>
          <w:lang w:eastAsia="en-US"/>
        </w:rPr>
        <w:t>911,68</w:t>
      </w:r>
      <w:r w:rsidR="009B2D4E" w:rsidRPr="003A2F86">
        <w:rPr>
          <w:rFonts w:ascii="Arial" w:eastAsia="Times New Roman" w:hAnsi="Arial" w:cs="Arial"/>
          <w:iCs/>
          <w:lang w:eastAsia="en-US"/>
        </w:rPr>
        <w:t xml:space="preserve"> €</w:t>
      </w:r>
      <w:r w:rsidRPr="003A2F86">
        <w:rPr>
          <w:rFonts w:ascii="Arial" w:eastAsia="Times New Roman" w:hAnsi="Arial" w:cs="Arial"/>
          <w:iCs/>
          <w:lang w:eastAsia="en-US"/>
        </w:rPr>
        <w:t xml:space="preserve"> odnose se na rashode podijeljene u </w:t>
      </w:r>
      <w:r w:rsidR="006F457B" w:rsidRPr="003A2F86">
        <w:rPr>
          <w:rFonts w:ascii="Arial" w:eastAsia="Times New Roman" w:hAnsi="Arial" w:cs="Arial"/>
          <w:iCs/>
          <w:lang w:eastAsia="en-US"/>
        </w:rPr>
        <w:t>četiri glave</w:t>
      </w:r>
      <w:r w:rsidRPr="003A2F86">
        <w:rPr>
          <w:rFonts w:ascii="Arial" w:eastAsia="Times New Roman" w:hAnsi="Arial" w:cs="Arial"/>
          <w:iCs/>
          <w:lang w:eastAsia="en-US"/>
        </w:rPr>
        <w:t>:</w:t>
      </w:r>
    </w:p>
    <w:p w14:paraId="2DB6DBC3" w14:textId="0FE849EC" w:rsidR="00811C2C" w:rsidRDefault="00811C2C" w:rsidP="00811C2C">
      <w:pPr>
        <w:spacing w:after="0" w:line="240" w:lineRule="auto"/>
        <w:jc w:val="center"/>
        <w:rPr>
          <w:rFonts w:ascii="Arial" w:eastAsia="Times New Roman" w:hAnsi="Arial" w:cs="Arial"/>
          <w:iCs/>
          <w:lang w:eastAsia="en-US"/>
        </w:rPr>
      </w:pPr>
      <w:bookmarkStart w:id="324" w:name="_Hlk166657627"/>
      <w:r w:rsidRPr="00811C2C">
        <w:rPr>
          <w:noProof/>
        </w:rPr>
        <w:drawing>
          <wp:inline distT="0" distB="0" distL="0" distR="0" wp14:anchorId="79982DCB" wp14:editId="56AEEDDE">
            <wp:extent cx="8345805" cy="2934335"/>
            <wp:effectExtent l="0" t="0" r="0" b="0"/>
            <wp:docPr id="24666067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345805" cy="2934335"/>
                    </a:xfrm>
                    <a:prstGeom prst="rect">
                      <a:avLst/>
                    </a:prstGeom>
                    <a:noFill/>
                    <a:ln>
                      <a:noFill/>
                    </a:ln>
                  </pic:spPr>
                </pic:pic>
              </a:graphicData>
            </a:graphic>
          </wp:inline>
        </w:drawing>
      </w:r>
    </w:p>
    <w:p w14:paraId="0943451B" w14:textId="5B198E92" w:rsidR="00B42227" w:rsidRDefault="00891119" w:rsidP="00891119">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Vrijednosno najznačajniji rashodi u okviru ovog razdjela se odnose na rashode izvršene u okviru glave</w:t>
      </w:r>
      <w:r w:rsidR="00B42227">
        <w:rPr>
          <w:rFonts w:ascii="Arial" w:eastAsia="Times New Roman" w:hAnsi="Arial" w:cs="Arial"/>
          <w:iCs/>
          <w:lang w:eastAsia="en-US"/>
        </w:rPr>
        <w:t xml:space="preserve"> 02005 – Ustanova predškolskog odgoja u iznosu </w:t>
      </w:r>
      <w:r w:rsidR="007336C5">
        <w:rPr>
          <w:rFonts w:ascii="Arial" w:eastAsia="Times New Roman" w:hAnsi="Arial" w:cs="Arial"/>
          <w:iCs/>
          <w:lang w:eastAsia="en-US"/>
        </w:rPr>
        <w:t>3.339.039,90</w:t>
      </w:r>
      <w:r w:rsidR="00B42227">
        <w:rPr>
          <w:rFonts w:ascii="Arial" w:eastAsia="Times New Roman" w:hAnsi="Arial" w:cs="Arial"/>
          <w:iCs/>
          <w:lang w:eastAsia="en-US"/>
        </w:rPr>
        <w:t xml:space="preserve"> €</w:t>
      </w:r>
      <w:r w:rsidR="00D20330">
        <w:rPr>
          <w:rFonts w:ascii="Arial" w:eastAsia="Times New Roman" w:hAnsi="Arial" w:cs="Arial"/>
          <w:iCs/>
          <w:lang w:eastAsia="en-US"/>
        </w:rPr>
        <w:t xml:space="preserve"> što čini </w:t>
      </w:r>
      <w:r w:rsidR="00FD069C">
        <w:rPr>
          <w:rFonts w:ascii="Arial" w:eastAsia="Times New Roman" w:hAnsi="Arial" w:cs="Arial"/>
          <w:iCs/>
          <w:lang w:eastAsia="en-US"/>
        </w:rPr>
        <w:t>40,</w:t>
      </w:r>
      <w:r w:rsidR="007336C5">
        <w:rPr>
          <w:rFonts w:ascii="Arial" w:eastAsia="Times New Roman" w:hAnsi="Arial" w:cs="Arial"/>
          <w:iCs/>
          <w:lang w:eastAsia="en-US"/>
        </w:rPr>
        <w:t>6</w:t>
      </w:r>
      <w:r w:rsidR="00D20330">
        <w:rPr>
          <w:rFonts w:ascii="Arial" w:eastAsia="Times New Roman" w:hAnsi="Arial" w:cs="Arial"/>
          <w:iCs/>
          <w:lang w:eastAsia="en-US"/>
        </w:rPr>
        <w:t xml:space="preserve">% ukupnih rashoda i izdataka ovog razdjela, odnosno </w:t>
      </w:r>
      <w:r w:rsidR="00FD069C">
        <w:rPr>
          <w:rFonts w:ascii="Arial" w:eastAsia="Times New Roman" w:hAnsi="Arial" w:cs="Arial"/>
          <w:iCs/>
          <w:lang w:eastAsia="en-US"/>
        </w:rPr>
        <w:t>1</w:t>
      </w:r>
      <w:r w:rsidR="007336C5">
        <w:rPr>
          <w:rFonts w:ascii="Arial" w:eastAsia="Times New Roman" w:hAnsi="Arial" w:cs="Arial"/>
          <w:iCs/>
          <w:lang w:eastAsia="en-US"/>
        </w:rPr>
        <w:t>2</w:t>
      </w:r>
      <w:r w:rsidR="00FD069C">
        <w:rPr>
          <w:rFonts w:ascii="Arial" w:eastAsia="Times New Roman" w:hAnsi="Arial" w:cs="Arial"/>
          <w:iCs/>
          <w:lang w:eastAsia="en-US"/>
        </w:rPr>
        <w:t>,6</w:t>
      </w:r>
      <w:r w:rsidR="00D20330">
        <w:rPr>
          <w:rFonts w:ascii="Arial" w:eastAsia="Times New Roman" w:hAnsi="Arial" w:cs="Arial"/>
          <w:iCs/>
          <w:lang w:eastAsia="en-US"/>
        </w:rPr>
        <w:t>% ukupnih rashoda i izdataka proračuna.</w:t>
      </w:r>
    </w:p>
    <w:p w14:paraId="583227B7" w14:textId="6A6BE631" w:rsidR="00B42227" w:rsidRDefault="00D20330" w:rsidP="00891119">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U okviru ove glave vrijednosno najznačajniji su rashodi za bruto plaće s doprinosima</w:t>
      </w:r>
      <w:r>
        <w:rPr>
          <w:rFonts w:ascii="Arial" w:eastAsia="Times New Roman" w:hAnsi="Arial" w:cs="Arial"/>
          <w:iCs/>
          <w:lang w:eastAsia="en-US"/>
        </w:rPr>
        <w:t xml:space="preserve"> (311 i 313)</w:t>
      </w:r>
      <w:r w:rsidRPr="003A2F86">
        <w:rPr>
          <w:rFonts w:ascii="Arial" w:eastAsia="Times New Roman" w:hAnsi="Arial" w:cs="Arial"/>
          <w:iCs/>
          <w:lang w:eastAsia="en-US"/>
        </w:rPr>
        <w:t xml:space="preserve">, rashodi za zaposlene </w:t>
      </w:r>
      <w:r>
        <w:rPr>
          <w:rFonts w:ascii="Arial" w:eastAsia="Times New Roman" w:hAnsi="Arial" w:cs="Arial"/>
          <w:iCs/>
          <w:lang w:eastAsia="en-US"/>
        </w:rPr>
        <w:t xml:space="preserve">(312) </w:t>
      </w:r>
      <w:r w:rsidRPr="003A2F86">
        <w:rPr>
          <w:rFonts w:ascii="Arial" w:eastAsia="Times New Roman" w:hAnsi="Arial" w:cs="Arial"/>
          <w:iCs/>
          <w:lang w:eastAsia="en-US"/>
        </w:rPr>
        <w:t xml:space="preserve">i naknade troškova zaposlenima </w:t>
      </w:r>
      <w:r>
        <w:rPr>
          <w:rFonts w:ascii="Arial" w:eastAsia="Times New Roman" w:hAnsi="Arial" w:cs="Arial"/>
          <w:iCs/>
          <w:lang w:eastAsia="en-US"/>
        </w:rPr>
        <w:t xml:space="preserve">(321) </w:t>
      </w:r>
      <w:r w:rsidRPr="003A2F86">
        <w:rPr>
          <w:rFonts w:ascii="Arial" w:eastAsia="Times New Roman" w:hAnsi="Arial" w:cs="Arial"/>
          <w:iCs/>
          <w:lang w:eastAsia="en-US"/>
        </w:rPr>
        <w:t>u ukupnom iz</w:t>
      </w:r>
      <w:r>
        <w:rPr>
          <w:rFonts w:ascii="Arial" w:eastAsia="Times New Roman" w:hAnsi="Arial" w:cs="Arial"/>
          <w:iCs/>
          <w:lang w:eastAsia="en-US"/>
        </w:rPr>
        <w:t>n</w:t>
      </w:r>
      <w:r w:rsidRPr="003A2F86">
        <w:rPr>
          <w:rFonts w:ascii="Arial" w:eastAsia="Times New Roman" w:hAnsi="Arial" w:cs="Arial"/>
          <w:iCs/>
          <w:lang w:eastAsia="en-US"/>
        </w:rPr>
        <w:t xml:space="preserve">osu </w:t>
      </w:r>
      <w:r w:rsidR="007336C5">
        <w:rPr>
          <w:rFonts w:ascii="Arial" w:eastAsia="Times New Roman" w:hAnsi="Arial" w:cs="Arial"/>
          <w:iCs/>
          <w:lang w:eastAsia="en-US"/>
        </w:rPr>
        <w:t>2.810.502,80</w:t>
      </w:r>
      <w:r w:rsidRPr="003A2F86">
        <w:rPr>
          <w:rFonts w:ascii="Arial" w:eastAsia="Times New Roman" w:hAnsi="Arial" w:cs="Arial"/>
          <w:iCs/>
          <w:lang w:eastAsia="en-US"/>
        </w:rPr>
        <w:t xml:space="preserve"> € (što čini </w:t>
      </w:r>
      <w:r w:rsidR="007336C5">
        <w:rPr>
          <w:rFonts w:ascii="Arial" w:eastAsia="Times New Roman" w:hAnsi="Arial" w:cs="Arial"/>
          <w:iCs/>
          <w:lang w:eastAsia="en-US"/>
        </w:rPr>
        <w:t>34,2</w:t>
      </w:r>
      <w:r w:rsidRPr="003A2F86">
        <w:rPr>
          <w:rFonts w:ascii="Arial" w:eastAsia="Times New Roman" w:hAnsi="Arial" w:cs="Arial"/>
          <w:iCs/>
          <w:lang w:eastAsia="en-US"/>
        </w:rPr>
        <w:t xml:space="preserve">% ukupnih rashoda razdjela 020 odnosno </w:t>
      </w:r>
      <w:r w:rsidR="007336C5">
        <w:rPr>
          <w:rFonts w:ascii="Arial" w:eastAsia="Times New Roman" w:hAnsi="Arial" w:cs="Arial"/>
          <w:iCs/>
          <w:lang w:eastAsia="en-US"/>
        </w:rPr>
        <w:t>10,6</w:t>
      </w:r>
      <w:r w:rsidRPr="003A2F86">
        <w:rPr>
          <w:rFonts w:ascii="Arial" w:eastAsia="Times New Roman" w:hAnsi="Arial" w:cs="Arial"/>
          <w:iCs/>
          <w:lang w:eastAsia="en-US"/>
        </w:rPr>
        <w:t>% sveukupno izvršenih rashodi i izdataka proračuna)</w:t>
      </w:r>
      <w:r>
        <w:rPr>
          <w:rFonts w:ascii="Arial" w:eastAsia="Times New Roman" w:hAnsi="Arial" w:cs="Arial"/>
          <w:iCs/>
          <w:lang w:eastAsia="en-US"/>
        </w:rPr>
        <w:t xml:space="preserve">, odnosno </w:t>
      </w:r>
      <w:r w:rsidR="00FD069C">
        <w:rPr>
          <w:rFonts w:ascii="Arial" w:eastAsia="Times New Roman" w:hAnsi="Arial" w:cs="Arial"/>
          <w:iCs/>
          <w:lang w:eastAsia="en-US"/>
        </w:rPr>
        <w:t>84</w:t>
      </w:r>
      <w:r w:rsidR="007336C5">
        <w:rPr>
          <w:rFonts w:ascii="Arial" w:eastAsia="Times New Roman" w:hAnsi="Arial" w:cs="Arial"/>
          <w:iCs/>
          <w:lang w:eastAsia="en-US"/>
        </w:rPr>
        <w:t>,2</w:t>
      </w:r>
      <w:r w:rsidR="00B83D3F">
        <w:rPr>
          <w:rFonts w:ascii="Arial" w:eastAsia="Times New Roman" w:hAnsi="Arial" w:cs="Arial"/>
          <w:iCs/>
          <w:lang w:eastAsia="en-US"/>
        </w:rPr>
        <w:t>% ukupno izvršenih rashoda ovog proračunskog korisnika (vrtić).</w:t>
      </w:r>
    </w:p>
    <w:p w14:paraId="7179B1B9" w14:textId="77777777" w:rsidR="00D20330" w:rsidRDefault="00D20330" w:rsidP="00891119">
      <w:pPr>
        <w:spacing w:after="0" w:line="240" w:lineRule="auto"/>
        <w:jc w:val="both"/>
        <w:rPr>
          <w:rFonts w:ascii="Arial" w:eastAsia="Times New Roman" w:hAnsi="Arial" w:cs="Arial"/>
          <w:iCs/>
          <w:lang w:eastAsia="en-US"/>
        </w:rPr>
      </w:pPr>
    </w:p>
    <w:p w14:paraId="20797964" w14:textId="1B813CA7" w:rsidR="0030073B" w:rsidRPr="003A2F86" w:rsidRDefault="00B83D3F" w:rsidP="00891119">
      <w:pPr>
        <w:spacing w:after="0" w:line="240" w:lineRule="auto"/>
        <w:jc w:val="both"/>
        <w:rPr>
          <w:rFonts w:ascii="Arial" w:eastAsia="Times New Roman" w:hAnsi="Arial" w:cs="Arial"/>
          <w:iCs/>
          <w:lang w:eastAsia="en-US"/>
        </w:rPr>
      </w:pPr>
      <w:r>
        <w:rPr>
          <w:rFonts w:ascii="Arial" w:eastAsia="Times New Roman" w:hAnsi="Arial" w:cs="Arial"/>
          <w:iCs/>
          <w:lang w:eastAsia="en-US"/>
        </w:rPr>
        <w:t xml:space="preserve">Potom slijede rashodi izvršeni u okviru glave </w:t>
      </w:r>
      <w:r w:rsidR="006F457B" w:rsidRPr="003A2F86">
        <w:rPr>
          <w:rFonts w:ascii="Arial" w:eastAsia="Times New Roman" w:hAnsi="Arial" w:cs="Arial"/>
          <w:iCs/>
          <w:lang w:eastAsia="en-US"/>
        </w:rPr>
        <w:t>02002 UO</w:t>
      </w:r>
      <w:r w:rsidR="00521CE4" w:rsidRPr="003A2F86">
        <w:rPr>
          <w:rFonts w:ascii="Arial" w:eastAsia="Times New Roman" w:hAnsi="Arial" w:cs="Arial"/>
          <w:iCs/>
          <w:lang w:eastAsia="en-US"/>
        </w:rPr>
        <w:t xml:space="preserve"> </w:t>
      </w:r>
      <w:r w:rsidR="006F457B" w:rsidRPr="003A2F86">
        <w:rPr>
          <w:rFonts w:ascii="Arial" w:eastAsia="Times New Roman" w:hAnsi="Arial" w:cs="Arial"/>
          <w:iCs/>
          <w:lang w:eastAsia="en-US"/>
        </w:rPr>
        <w:t xml:space="preserve">za opće poslove, mjesnu samoupravu </w:t>
      </w:r>
      <w:bookmarkStart w:id="325" w:name="_Hlk166657611"/>
      <w:r w:rsidR="006F457B" w:rsidRPr="003A2F86">
        <w:rPr>
          <w:rFonts w:ascii="Arial" w:eastAsia="Times New Roman" w:hAnsi="Arial" w:cs="Arial"/>
          <w:iCs/>
          <w:lang w:eastAsia="en-US"/>
        </w:rPr>
        <w:t xml:space="preserve">i društvene djelatnosti u iznosu </w:t>
      </w:r>
      <w:r w:rsidR="007336C5">
        <w:rPr>
          <w:rFonts w:ascii="Arial" w:eastAsia="Times New Roman" w:hAnsi="Arial" w:cs="Arial"/>
          <w:iCs/>
          <w:lang w:eastAsia="en-US"/>
        </w:rPr>
        <w:t>2.73</w:t>
      </w:r>
      <w:r w:rsidR="00916B10">
        <w:rPr>
          <w:rFonts w:ascii="Arial" w:eastAsia="Times New Roman" w:hAnsi="Arial" w:cs="Arial"/>
          <w:iCs/>
          <w:lang w:eastAsia="en-US"/>
        </w:rPr>
        <w:t>1.928,93</w:t>
      </w:r>
      <w:r w:rsidR="009B2D4E" w:rsidRPr="003A2F86">
        <w:rPr>
          <w:rFonts w:ascii="Arial" w:eastAsia="Times New Roman" w:hAnsi="Arial" w:cs="Arial"/>
          <w:iCs/>
          <w:lang w:eastAsia="en-US"/>
        </w:rPr>
        <w:t xml:space="preserve"> €</w:t>
      </w:r>
      <w:r w:rsidR="006F457B" w:rsidRPr="003A2F86">
        <w:rPr>
          <w:rFonts w:ascii="Arial" w:eastAsia="Times New Roman" w:hAnsi="Arial" w:cs="Arial"/>
          <w:iCs/>
          <w:lang w:eastAsia="en-US"/>
        </w:rPr>
        <w:t xml:space="preserve">. </w:t>
      </w:r>
      <w:r>
        <w:rPr>
          <w:rFonts w:ascii="Arial" w:eastAsia="Times New Roman" w:hAnsi="Arial" w:cs="Arial"/>
          <w:iCs/>
          <w:lang w:eastAsia="en-US"/>
        </w:rPr>
        <w:t xml:space="preserve">U </w:t>
      </w:r>
      <w:r w:rsidR="006F457B" w:rsidRPr="003A2F86">
        <w:rPr>
          <w:rFonts w:ascii="Arial" w:eastAsia="Times New Roman" w:hAnsi="Arial" w:cs="Arial"/>
          <w:iCs/>
          <w:lang w:eastAsia="en-US"/>
        </w:rPr>
        <w:t xml:space="preserve">okviru ove glave izvršene su plaće i drugi zajednički troškovi upravnih tijela (električna energija, voda, telefon, uredski i ostali materijal, tekuće održavanje objekata i opreme, računalne usluge, intelektualne usluge, bankarske usluge i sl.) u iznosu </w:t>
      </w:r>
      <w:r w:rsidR="007336C5">
        <w:rPr>
          <w:rFonts w:ascii="Arial" w:eastAsia="Times New Roman" w:hAnsi="Arial" w:cs="Arial"/>
          <w:iCs/>
          <w:lang w:eastAsia="en-US"/>
        </w:rPr>
        <w:t>1.2</w:t>
      </w:r>
      <w:r w:rsidR="00916B10">
        <w:rPr>
          <w:rFonts w:ascii="Arial" w:eastAsia="Times New Roman" w:hAnsi="Arial" w:cs="Arial"/>
          <w:iCs/>
          <w:lang w:eastAsia="en-US"/>
        </w:rPr>
        <w:t>68.886,33</w:t>
      </w:r>
      <w:r w:rsidR="009B2D4E" w:rsidRPr="003A2F86">
        <w:rPr>
          <w:rFonts w:ascii="Arial" w:eastAsia="Times New Roman" w:hAnsi="Arial" w:cs="Arial"/>
          <w:iCs/>
          <w:lang w:eastAsia="en-US"/>
        </w:rPr>
        <w:t xml:space="preserve"> €</w:t>
      </w:r>
      <w:r w:rsidR="006F457B" w:rsidRPr="003A2F86">
        <w:rPr>
          <w:rFonts w:ascii="Arial" w:eastAsia="Times New Roman" w:hAnsi="Arial" w:cs="Arial"/>
          <w:iCs/>
          <w:lang w:eastAsia="en-US"/>
        </w:rPr>
        <w:t xml:space="preserve"> koji čine </w:t>
      </w:r>
      <w:r w:rsidR="00276CE1">
        <w:rPr>
          <w:rFonts w:ascii="Arial" w:eastAsia="Times New Roman" w:hAnsi="Arial" w:cs="Arial"/>
          <w:iCs/>
          <w:lang w:eastAsia="en-US"/>
        </w:rPr>
        <w:t>15,4</w:t>
      </w:r>
      <w:r w:rsidR="006F457B" w:rsidRPr="003A2F86">
        <w:rPr>
          <w:rFonts w:ascii="Arial" w:eastAsia="Times New Roman" w:hAnsi="Arial" w:cs="Arial"/>
          <w:iCs/>
          <w:lang w:eastAsia="en-US"/>
        </w:rPr>
        <w:t xml:space="preserve">% ukupnih rashoda i izdataka ovog razdjela, odnosno </w:t>
      </w:r>
      <w:r w:rsidR="00276CE1">
        <w:rPr>
          <w:rFonts w:ascii="Arial" w:eastAsia="Times New Roman" w:hAnsi="Arial" w:cs="Arial"/>
          <w:iCs/>
          <w:lang w:eastAsia="en-US"/>
        </w:rPr>
        <w:t>4,8</w:t>
      </w:r>
      <w:r w:rsidR="006F457B" w:rsidRPr="003A2F86">
        <w:rPr>
          <w:rFonts w:ascii="Arial" w:eastAsia="Times New Roman" w:hAnsi="Arial" w:cs="Arial"/>
          <w:iCs/>
          <w:lang w:eastAsia="en-US"/>
        </w:rPr>
        <w:t>% ukupnih rashoda i izdataka proračuna.</w:t>
      </w:r>
      <w:r w:rsidR="00351167" w:rsidRPr="003A2F86">
        <w:rPr>
          <w:rFonts w:ascii="Arial" w:eastAsia="Times New Roman" w:hAnsi="Arial" w:cs="Arial"/>
          <w:iCs/>
          <w:lang w:eastAsia="en-US"/>
        </w:rPr>
        <w:t xml:space="preserve"> </w:t>
      </w:r>
    </w:p>
    <w:p w14:paraId="06BAEF90" w14:textId="77777777" w:rsidR="0030073B" w:rsidRPr="003A2F86" w:rsidRDefault="0030073B" w:rsidP="00891119">
      <w:pPr>
        <w:spacing w:after="0" w:line="240" w:lineRule="auto"/>
        <w:jc w:val="both"/>
        <w:rPr>
          <w:rFonts w:ascii="Arial" w:eastAsia="Times New Roman" w:hAnsi="Arial" w:cs="Arial"/>
          <w:iCs/>
          <w:lang w:eastAsia="en-US"/>
        </w:rPr>
      </w:pPr>
    </w:p>
    <w:p w14:paraId="52870E0E" w14:textId="27140BA5" w:rsidR="0017178A" w:rsidRPr="003A2F86" w:rsidRDefault="00351167" w:rsidP="0017178A">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U okviru ovog razdjela</w:t>
      </w:r>
      <w:r w:rsidR="009B2D4E" w:rsidRPr="003A2F86">
        <w:rPr>
          <w:rFonts w:ascii="Arial" w:eastAsia="Times New Roman" w:hAnsi="Arial" w:cs="Arial"/>
          <w:iCs/>
          <w:lang w:eastAsia="en-US"/>
        </w:rPr>
        <w:t xml:space="preserve"> </w:t>
      </w:r>
      <w:r w:rsidR="00DE413D">
        <w:rPr>
          <w:rFonts w:ascii="Arial" w:eastAsia="Times New Roman" w:hAnsi="Arial" w:cs="Arial"/>
          <w:iCs/>
          <w:lang w:eastAsia="en-US"/>
        </w:rPr>
        <w:t>planiraju se</w:t>
      </w:r>
      <w:r w:rsidR="00DE4809" w:rsidRPr="003A2F86">
        <w:rPr>
          <w:rFonts w:ascii="Arial" w:eastAsia="Times New Roman" w:hAnsi="Arial" w:cs="Arial"/>
          <w:iCs/>
          <w:lang w:eastAsia="en-US"/>
        </w:rPr>
        <w:t xml:space="preserve"> povrati beskamatnih zajmova. </w:t>
      </w:r>
      <w:r w:rsidR="001144FE" w:rsidRPr="003A2F86">
        <w:rPr>
          <w:rFonts w:ascii="Arial" w:eastAsia="Times New Roman" w:hAnsi="Arial" w:cs="Arial"/>
          <w:iCs/>
          <w:lang w:eastAsia="en-US"/>
        </w:rPr>
        <w:t>U tekućoj godini Općina nije vraćala beskamatne</w:t>
      </w:r>
      <w:r w:rsidR="00DE413D">
        <w:rPr>
          <w:rFonts w:ascii="Arial" w:eastAsia="Times New Roman" w:hAnsi="Arial" w:cs="Arial"/>
          <w:iCs/>
          <w:lang w:eastAsia="en-US"/>
        </w:rPr>
        <w:t xml:space="preserve"> zajmove</w:t>
      </w:r>
      <w:r w:rsidR="00B81F0D" w:rsidRPr="003A2F86">
        <w:rPr>
          <w:rFonts w:ascii="Arial" w:eastAsia="Times New Roman" w:hAnsi="Arial" w:cs="Arial"/>
          <w:iCs/>
          <w:lang w:eastAsia="en-US"/>
        </w:rPr>
        <w:t>.</w:t>
      </w:r>
      <w:r w:rsidR="0017178A" w:rsidRPr="003A2F86">
        <w:rPr>
          <w:rFonts w:ascii="Arial" w:eastAsia="Times New Roman" w:hAnsi="Arial" w:cs="Arial"/>
          <w:iCs/>
          <w:lang w:eastAsia="en-US"/>
        </w:rPr>
        <w:t xml:space="preserve"> Naputkom o izmjeni naputka o isplate sredstava beskamatnog zajma jedinicama lokalne i područne (regionalne) samouprave uslijed pada prihoda (NN 130/20, 134/23) je produžen rok za otplatu zajma isplaćenog jedinicama u 2020. godini do 31.12.2027. Također, produžen je i rok za otplatu beskamatnog zajma uslijed pada prihoda iz 2021. godine (prijedlog Zakona o izvršavanju državnog proračuna RH za 2024. godinu).</w:t>
      </w:r>
    </w:p>
    <w:bookmarkEnd w:id="324"/>
    <w:bookmarkEnd w:id="325"/>
    <w:p w14:paraId="162E774E" w14:textId="77777777" w:rsidR="002B18EF" w:rsidRPr="003A2F86" w:rsidRDefault="002B18EF" w:rsidP="00891119">
      <w:pPr>
        <w:spacing w:after="0" w:line="240" w:lineRule="auto"/>
        <w:rPr>
          <w:rFonts w:ascii="Arial" w:eastAsia="Times New Roman" w:hAnsi="Arial" w:cs="Arial"/>
          <w:iCs/>
          <w:lang w:eastAsia="en-US"/>
        </w:rPr>
      </w:pPr>
    </w:p>
    <w:tbl>
      <w:tblPr>
        <w:tblW w:w="11908" w:type="dxa"/>
        <w:jc w:val="center"/>
        <w:tblLook w:val="04A0" w:firstRow="1" w:lastRow="0" w:firstColumn="1" w:lastColumn="0" w:noHBand="0" w:noVBand="1"/>
      </w:tblPr>
      <w:tblGrid>
        <w:gridCol w:w="1245"/>
        <w:gridCol w:w="973"/>
        <w:gridCol w:w="9690"/>
      </w:tblGrid>
      <w:tr w:rsidR="00501627" w:rsidRPr="003A2F86" w14:paraId="7B10E56C" w14:textId="77777777" w:rsidTr="00931206">
        <w:trPr>
          <w:trHeight w:val="382"/>
          <w:jc w:val="center"/>
        </w:trPr>
        <w:tc>
          <w:tcPr>
            <w:tcW w:w="1245" w:type="dxa"/>
            <w:tcBorders>
              <w:top w:val="nil"/>
              <w:left w:val="nil"/>
              <w:bottom w:val="nil"/>
              <w:right w:val="nil"/>
            </w:tcBorders>
            <w:shd w:val="clear" w:color="000000" w:fill="A5A5A5"/>
            <w:noWrap/>
            <w:vAlign w:val="center"/>
            <w:hideMark/>
          </w:tcPr>
          <w:bookmarkEnd w:id="323"/>
          <w:p w14:paraId="4997654A" w14:textId="77777777" w:rsidR="00891119" w:rsidRPr="003A2F86" w:rsidRDefault="00891119" w:rsidP="00162169">
            <w:pPr>
              <w:spacing w:after="0" w:line="240" w:lineRule="auto"/>
              <w:jc w:val="center"/>
              <w:rPr>
                <w:rFonts w:ascii="Arial" w:eastAsia="Times New Roman" w:hAnsi="Arial" w:cs="Arial"/>
                <w:b/>
                <w:bCs/>
                <w:sz w:val="18"/>
                <w:szCs w:val="18"/>
              </w:rPr>
            </w:pPr>
            <w:r w:rsidRPr="003A2F86">
              <w:rPr>
                <w:rFonts w:ascii="Arial" w:eastAsia="Times New Roman" w:hAnsi="Arial" w:cs="Arial"/>
                <w:b/>
                <w:bCs/>
                <w:sz w:val="18"/>
                <w:szCs w:val="18"/>
              </w:rPr>
              <w:t>RAZDJEL:</w:t>
            </w:r>
          </w:p>
        </w:tc>
        <w:tc>
          <w:tcPr>
            <w:tcW w:w="973" w:type="dxa"/>
            <w:tcBorders>
              <w:top w:val="nil"/>
              <w:left w:val="nil"/>
              <w:bottom w:val="nil"/>
              <w:right w:val="nil"/>
            </w:tcBorders>
            <w:shd w:val="clear" w:color="000000" w:fill="A5A5A5"/>
            <w:noWrap/>
            <w:vAlign w:val="center"/>
            <w:hideMark/>
          </w:tcPr>
          <w:p w14:paraId="5015A4F1" w14:textId="77777777" w:rsidR="00891119" w:rsidRPr="003A2F86" w:rsidRDefault="00891119" w:rsidP="00162169">
            <w:pPr>
              <w:spacing w:after="0" w:line="240" w:lineRule="auto"/>
              <w:jc w:val="center"/>
              <w:rPr>
                <w:rFonts w:ascii="Arial" w:eastAsia="Times New Roman" w:hAnsi="Arial" w:cs="Arial"/>
                <w:b/>
                <w:bCs/>
                <w:sz w:val="18"/>
                <w:szCs w:val="18"/>
              </w:rPr>
            </w:pPr>
            <w:r w:rsidRPr="003A2F86">
              <w:rPr>
                <w:rFonts w:ascii="Arial" w:eastAsia="Times New Roman" w:hAnsi="Arial" w:cs="Arial"/>
                <w:b/>
                <w:bCs/>
                <w:sz w:val="18"/>
                <w:szCs w:val="18"/>
              </w:rPr>
              <w:t>030</w:t>
            </w:r>
          </w:p>
        </w:tc>
        <w:tc>
          <w:tcPr>
            <w:tcW w:w="9690" w:type="dxa"/>
            <w:tcBorders>
              <w:top w:val="nil"/>
              <w:left w:val="nil"/>
              <w:bottom w:val="nil"/>
              <w:right w:val="nil"/>
            </w:tcBorders>
            <w:shd w:val="clear" w:color="000000" w:fill="A5A5A5"/>
            <w:noWrap/>
            <w:vAlign w:val="center"/>
            <w:hideMark/>
          </w:tcPr>
          <w:p w14:paraId="6965A251" w14:textId="7DF914B4" w:rsidR="00891119" w:rsidRPr="003A2F86" w:rsidRDefault="00891119" w:rsidP="00162169">
            <w:pPr>
              <w:spacing w:after="0" w:line="240" w:lineRule="auto"/>
              <w:jc w:val="center"/>
              <w:rPr>
                <w:rFonts w:ascii="Arial" w:eastAsia="Times New Roman" w:hAnsi="Arial" w:cs="Arial"/>
                <w:b/>
                <w:bCs/>
              </w:rPr>
            </w:pPr>
            <w:r w:rsidRPr="003A2F86">
              <w:rPr>
                <w:rFonts w:ascii="Arial" w:eastAsia="Times New Roman" w:hAnsi="Arial" w:cs="Arial"/>
                <w:b/>
                <w:bCs/>
              </w:rPr>
              <w:t xml:space="preserve">UPRAVNI ODJEL ZA </w:t>
            </w:r>
            <w:r w:rsidR="002B18EF" w:rsidRPr="003A2F86">
              <w:rPr>
                <w:rFonts w:ascii="Arial" w:eastAsia="Times New Roman" w:hAnsi="Arial" w:cs="Arial"/>
                <w:b/>
                <w:bCs/>
              </w:rPr>
              <w:t xml:space="preserve">PROSTORNO UREĐENJE, ZAŠTITU OKOLIŠA, </w:t>
            </w:r>
            <w:r w:rsidRPr="003A2F86">
              <w:rPr>
                <w:rFonts w:ascii="Arial" w:eastAsia="Times New Roman" w:hAnsi="Arial" w:cs="Arial"/>
                <w:b/>
                <w:bCs/>
              </w:rPr>
              <w:t>KOMUNALNI SUSTAV I GOSPODARENJE NEKRETNINAMA</w:t>
            </w:r>
          </w:p>
        </w:tc>
      </w:tr>
    </w:tbl>
    <w:p w14:paraId="523E64EE" w14:textId="77777777" w:rsidR="00891119" w:rsidRPr="003A2F86" w:rsidRDefault="00891119" w:rsidP="00891119">
      <w:pPr>
        <w:spacing w:after="0" w:line="240" w:lineRule="auto"/>
        <w:rPr>
          <w:rFonts w:ascii="Arial" w:eastAsia="Times New Roman" w:hAnsi="Arial" w:cs="Arial"/>
          <w:iCs/>
          <w:sz w:val="18"/>
          <w:lang w:eastAsia="en-US"/>
        </w:rPr>
      </w:pPr>
    </w:p>
    <w:p w14:paraId="7A495086" w14:textId="4933B3DC" w:rsidR="005C6076" w:rsidRDefault="00891119" w:rsidP="00DF6AC9">
      <w:pPr>
        <w:spacing w:after="0" w:line="240" w:lineRule="auto"/>
        <w:jc w:val="both"/>
        <w:rPr>
          <w:rFonts w:ascii="Arial" w:eastAsia="Times New Roman" w:hAnsi="Arial" w:cs="Arial"/>
          <w:iCs/>
          <w:lang w:eastAsia="en-US"/>
        </w:rPr>
      </w:pPr>
      <w:bookmarkStart w:id="326" w:name="_Hlk146003850"/>
      <w:r w:rsidRPr="003A2F86">
        <w:rPr>
          <w:rFonts w:ascii="Arial" w:eastAsia="Times New Roman" w:hAnsi="Arial" w:cs="Arial"/>
          <w:iCs/>
          <w:lang w:eastAsia="en-US"/>
        </w:rPr>
        <w:t xml:space="preserve">Rashodi i izdaci razdjela 030 (Upravni odjel za </w:t>
      </w:r>
      <w:r w:rsidR="002B18EF" w:rsidRPr="003A2F86">
        <w:rPr>
          <w:rFonts w:ascii="Arial" w:eastAsia="Times New Roman" w:hAnsi="Arial" w:cs="Arial"/>
          <w:iCs/>
          <w:lang w:eastAsia="en-US"/>
        </w:rPr>
        <w:t xml:space="preserve">prostorno uređenje, zaštitu okoliša, </w:t>
      </w:r>
      <w:r w:rsidRPr="003A2F86">
        <w:rPr>
          <w:rFonts w:ascii="Arial" w:eastAsia="Times New Roman" w:hAnsi="Arial" w:cs="Arial"/>
          <w:iCs/>
          <w:lang w:eastAsia="en-US"/>
        </w:rPr>
        <w:t xml:space="preserve">komunalni sustav i gospodarenje nekretninama) u iznosu </w:t>
      </w:r>
      <w:r w:rsidR="00276CE1">
        <w:rPr>
          <w:rFonts w:ascii="Arial" w:eastAsia="Times New Roman" w:hAnsi="Arial" w:cs="Arial"/>
          <w:iCs/>
          <w:lang w:eastAsia="en-US"/>
        </w:rPr>
        <w:t>16.547.491,75</w:t>
      </w:r>
      <w:r w:rsidR="001144FE" w:rsidRPr="003A2F86">
        <w:rPr>
          <w:rFonts w:ascii="Arial" w:eastAsia="Times New Roman" w:hAnsi="Arial" w:cs="Arial"/>
          <w:iCs/>
          <w:lang w:eastAsia="en-US"/>
        </w:rPr>
        <w:t xml:space="preserve"> €</w:t>
      </w:r>
      <w:r w:rsidRPr="003A2F86">
        <w:rPr>
          <w:rFonts w:ascii="Arial" w:eastAsia="Times New Roman" w:hAnsi="Arial" w:cs="Arial"/>
          <w:iCs/>
          <w:lang w:eastAsia="en-US"/>
        </w:rPr>
        <w:t xml:space="preserve"> odnose se na rashode podijeljene u dvije glave:</w:t>
      </w:r>
    </w:p>
    <w:p w14:paraId="1A26F2D1" w14:textId="77777777" w:rsidR="00DE413D" w:rsidRPr="003A2F86" w:rsidRDefault="00DE413D" w:rsidP="00DF6AC9">
      <w:pPr>
        <w:spacing w:after="0" w:line="240" w:lineRule="auto"/>
        <w:jc w:val="both"/>
        <w:rPr>
          <w:rFonts w:ascii="Arial" w:eastAsia="Times New Roman" w:hAnsi="Arial" w:cs="Arial"/>
          <w:iCs/>
          <w:lang w:eastAsia="en-US"/>
        </w:rPr>
      </w:pPr>
    </w:p>
    <w:p w14:paraId="6FC46289" w14:textId="15C7089F" w:rsidR="00501627" w:rsidRPr="003A2F86" w:rsidRDefault="00276CE1" w:rsidP="00DE413D">
      <w:pPr>
        <w:spacing w:after="0" w:line="240" w:lineRule="auto"/>
        <w:jc w:val="center"/>
        <w:rPr>
          <w:rFonts w:ascii="Arial" w:eastAsia="Times New Roman" w:hAnsi="Arial" w:cs="Arial"/>
          <w:iCs/>
          <w:lang w:eastAsia="en-US"/>
        </w:rPr>
      </w:pPr>
      <w:r w:rsidRPr="00276CE1">
        <w:rPr>
          <w:noProof/>
        </w:rPr>
        <w:drawing>
          <wp:inline distT="0" distB="0" distL="0" distR="0" wp14:anchorId="099A4842" wp14:editId="5E3441A4">
            <wp:extent cx="8346440" cy="2604770"/>
            <wp:effectExtent l="0" t="0" r="0" b="5080"/>
            <wp:docPr id="13500177"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346440" cy="2604770"/>
                    </a:xfrm>
                    <a:prstGeom prst="rect">
                      <a:avLst/>
                    </a:prstGeom>
                    <a:noFill/>
                    <a:ln>
                      <a:noFill/>
                    </a:ln>
                  </pic:spPr>
                </pic:pic>
              </a:graphicData>
            </a:graphic>
          </wp:inline>
        </w:drawing>
      </w:r>
    </w:p>
    <w:p w14:paraId="22D9E249" w14:textId="470F861E" w:rsidR="0018134F" w:rsidRPr="003A2F86" w:rsidRDefault="0018134F" w:rsidP="00891119">
      <w:pPr>
        <w:spacing w:after="0" w:line="240" w:lineRule="auto"/>
        <w:jc w:val="both"/>
        <w:rPr>
          <w:rFonts w:ascii="Arial" w:eastAsia="Times New Roman" w:hAnsi="Arial" w:cs="Arial"/>
          <w:iCs/>
          <w:lang w:eastAsia="en-US"/>
        </w:rPr>
      </w:pPr>
      <w:bookmarkStart w:id="327" w:name="_Hlk146003882"/>
      <w:bookmarkStart w:id="328" w:name="_Hlk166657718"/>
      <w:bookmarkEnd w:id="326"/>
    </w:p>
    <w:p w14:paraId="6FDAAF4E" w14:textId="38855EF8" w:rsidR="00891119" w:rsidRPr="003A2F86" w:rsidRDefault="00891119" w:rsidP="00891119">
      <w:pPr>
        <w:spacing w:after="0" w:line="240" w:lineRule="auto"/>
        <w:jc w:val="both"/>
        <w:rPr>
          <w:rFonts w:ascii="Arial" w:eastAsia="Times New Roman" w:hAnsi="Arial" w:cs="Arial"/>
          <w:iCs/>
          <w:lang w:eastAsia="en-US"/>
        </w:rPr>
      </w:pPr>
      <w:bookmarkStart w:id="329" w:name="_Hlk207638356"/>
      <w:r w:rsidRPr="003A2F86">
        <w:rPr>
          <w:rFonts w:ascii="Arial" w:eastAsia="Times New Roman" w:hAnsi="Arial" w:cs="Arial"/>
          <w:iCs/>
          <w:lang w:eastAsia="en-US"/>
        </w:rPr>
        <w:t xml:space="preserve">Vrijednosno najznačajniji rashodi u okviru ovog razdjela se odnose na rashode izvršene u okviru glave 03001 –Upravni odjel za </w:t>
      </w:r>
      <w:r w:rsidR="002B18EF" w:rsidRPr="003A2F86">
        <w:rPr>
          <w:rFonts w:ascii="Arial" w:eastAsia="Times New Roman" w:hAnsi="Arial" w:cs="Arial"/>
          <w:iCs/>
          <w:lang w:eastAsia="en-US"/>
        </w:rPr>
        <w:t xml:space="preserve">prostorno uređenje, zaštitu okoliša, </w:t>
      </w:r>
      <w:r w:rsidRPr="003A2F86">
        <w:rPr>
          <w:rFonts w:ascii="Arial" w:eastAsia="Times New Roman" w:hAnsi="Arial" w:cs="Arial"/>
          <w:iCs/>
          <w:lang w:eastAsia="en-US"/>
        </w:rPr>
        <w:t xml:space="preserve">komunalni sustav i gospodarenje nekretninama u iznosu </w:t>
      </w:r>
      <w:r w:rsidR="00276CE1">
        <w:rPr>
          <w:rFonts w:ascii="Arial" w:eastAsia="Times New Roman" w:hAnsi="Arial" w:cs="Arial"/>
          <w:iCs/>
          <w:lang w:eastAsia="en-US"/>
        </w:rPr>
        <w:t>15.789.422,91</w:t>
      </w:r>
      <w:r w:rsidR="009673E5" w:rsidRPr="003A2F86">
        <w:rPr>
          <w:rFonts w:ascii="Arial" w:eastAsia="Times New Roman" w:hAnsi="Arial" w:cs="Arial"/>
          <w:iCs/>
          <w:lang w:eastAsia="en-US"/>
        </w:rPr>
        <w:t xml:space="preserve"> €</w:t>
      </w:r>
      <w:r w:rsidRPr="003A2F86">
        <w:rPr>
          <w:rFonts w:ascii="Arial" w:eastAsia="Times New Roman" w:hAnsi="Arial" w:cs="Arial"/>
          <w:iCs/>
          <w:lang w:eastAsia="en-US"/>
        </w:rPr>
        <w:t xml:space="preserve"> koji čine </w:t>
      </w:r>
      <w:r w:rsidR="00276CE1">
        <w:rPr>
          <w:rFonts w:ascii="Arial" w:eastAsia="Times New Roman" w:hAnsi="Arial" w:cs="Arial"/>
          <w:iCs/>
          <w:lang w:eastAsia="en-US"/>
        </w:rPr>
        <w:t>95,4</w:t>
      </w:r>
      <w:r w:rsidR="00DE413D">
        <w:rPr>
          <w:rFonts w:ascii="Arial" w:eastAsia="Times New Roman" w:hAnsi="Arial" w:cs="Arial"/>
          <w:iCs/>
          <w:lang w:eastAsia="en-US"/>
        </w:rPr>
        <w:t>%</w:t>
      </w:r>
      <w:r w:rsidRPr="003A2F86">
        <w:rPr>
          <w:rFonts w:ascii="Arial" w:eastAsia="Times New Roman" w:hAnsi="Arial" w:cs="Arial"/>
          <w:iCs/>
          <w:lang w:eastAsia="en-US"/>
        </w:rPr>
        <w:t xml:space="preserve"> ukupnih rashoda i izdataka ovog razdjela, odnosno </w:t>
      </w:r>
      <w:r w:rsidR="00276CE1">
        <w:rPr>
          <w:rFonts w:ascii="Arial" w:eastAsia="Times New Roman" w:hAnsi="Arial" w:cs="Arial"/>
          <w:iCs/>
          <w:lang w:eastAsia="en-US"/>
        </w:rPr>
        <w:t>59,7</w:t>
      </w:r>
      <w:r w:rsidRPr="003A2F86">
        <w:rPr>
          <w:rFonts w:ascii="Arial" w:eastAsia="Times New Roman" w:hAnsi="Arial" w:cs="Arial"/>
          <w:iCs/>
          <w:lang w:eastAsia="en-US"/>
        </w:rPr>
        <w:t xml:space="preserve">% ukupno izvršenih rashoda i izdataka. </w:t>
      </w:r>
    </w:p>
    <w:bookmarkEnd w:id="327"/>
    <w:bookmarkEnd w:id="328"/>
    <w:p w14:paraId="36E596D8" w14:textId="4BE62C9B" w:rsidR="00501627" w:rsidRPr="003A2F86" w:rsidRDefault="00501627" w:rsidP="00891119">
      <w:pPr>
        <w:spacing w:after="0" w:line="240" w:lineRule="auto"/>
        <w:jc w:val="both"/>
        <w:rPr>
          <w:rFonts w:ascii="Arial" w:eastAsia="Times New Roman" w:hAnsi="Arial" w:cs="Arial"/>
          <w:iCs/>
          <w:lang w:eastAsia="en-US"/>
        </w:rPr>
      </w:pPr>
    </w:p>
    <w:p w14:paraId="1E15F4A8" w14:textId="77777777" w:rsidR="001D5E19" w:rsidRPr="003A2F86" w:rsidRDefault="001D5E19" w:rsidP="001D5E19">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U okviru ovog razdjela se izvršavaju izdaci za otplate kredita korištenih za provedbu investicija, Program održavanja komunalne infrastrukture, Program građenja komunalne infrastrukture, Program gospodarenja otpadom, Program sanitarno veterinarskih aktivnosti i zaštite životinja, Programi izgradnje i uređenja objekata javne namjene (predškolski odgoj i školstvo, sport, socijalna zaštita i zdravstvo, kultura, pomorsko dobro, poduzetnička zona, razvoj i sigurnost prometa i drugo).</w:t>
      </w:r>
    </w:p>
    <w:p w14:paraId="4B57A254" w14:textId="77777777" w:rsidR="001D5E19" w:rsidRPr="003A2F86" w:rsidRDefault="001D5E19" w:rsidP="001D5E19">
      <w:pPr>
        <w:spacing w:after="0" w:line="240" w:lineRule="auto"/>
        <w:jc w:val="both"/>
        <w:rPr>
          <w:rFonts w:ascii="Arial" w:eastAsia="Times New Roman" w:hAnsi="Arial" w:cs="Arial"/>
          <w:iCs/>
          <w:lang w:eastAsia="en-US"/>
        </w:rPr>
      </w:pPr>
    </w:p>
    <w:p w14:paraId="6376DD3F" w14:textId="1229E206" w:rsidR="0021031F" w:rsidRPr="003A2F86" w:rsidRDefault="0021031F" w:rsidP="0021031F">
      <w:pPr>
        <w:spacing w:after="0" w:line="240" w:lineRule="auto"/>
        <w:jc w:val="both"/>
        <w:rPr>
          <w:rFonts w:ascii="Arial" w:eastAsia="Times New Roman" w:hAnsi="Arial" w:cs="Arial"/>
          <w:iCs/>
          <w:lang w:eastAsia="en-US"/>
        </w:rPr>
      </w:pPr>
      <w:r w:rsidRPr="003A2F86">
        <w:rPr>
          <w:rFonts w:ascii="Arial" w:eastAsia="Times New Roman" w:hAnsi="Arial" w:cs="Arial"/>
          <w:iCs/>
          <w:lang w:eastAsia="en-US"/>
        </w:rPr>
        <w:t>Rashodi za</w:t>
      </w:r>
      <w:r w:rsidR="00964A6A">
        <w:rPr>
          <w:rFonts w:ascii="Arial" w:eastAsia="Times New Roman" w:hAnsi="Arial" w:cs="Arial"/>
          <w:iCs/>
          <w:lang w:eastAsia="en-US"/>
        </w:rPr>
        <w:t xml:space="preserve"> Javnu vatrogasnu postrojbu su izvršeni u iznosu </w:t>
      </w:r>
      <w:r w:rsidR="00276CE1">
        <w:rPr>
          <w:rFonts w:ascii="Arial" w:eastAsia="Times New Roman" w:hAnsi="Arial" w:cs="Arial"/>
          <w:iCs/>
          <w:lang w:eastAsia="en-US"/>
        </w:rPr>
        <w:t>758.068,84</w:t>
      </w:r>
      <w:r w:rsidR="00964A6A">
        <w:rPr>
          <w:rFonts w:ascii="Arial" w:eastAsia="Times New Roman" w:hAnsi="Arial" w:cs="Arial"/>
          <w:iCs/>
          <w:lang w:eastAsia="en-US"/>
        </w:rPr>
        <w:t xml:space="preserve"> €, a s</w:t>
      </w:r>
      <w:r w:rsidRPr="003A2F86">
        <w:rPr>
          <w:rFonts w:ascii="Arial" w:eastAsia="Times New Roman" w:hAnsi="Arial" w:cs="Arial"/>
          <w:iCs/>
          <w:lang w:eastAsia="en-US"/>
        </w:rPr>
        <w:t xml:space="preserve">ufinancirali </w:t>
      </w:r>
      <w:r w:rsidR="00964A6A">
        <w:rPr>
          <w:rFonts w:ascii="Arial" w:eastAsia="Times New Roman" w:hAnsi="Arial" w:cs="Arial"/>
          <w:iCs/>
          <w:lang w:eastAsia="en-US"/>
        </w:rPr>
        <w:t xml:space="preserve">su se </w:t>
      </w:r>
      <w:r w:rsidRPr="003A2F86">
        <w:rPr>
          <w:rFonts w:ascii="Arial" w:eastAsia="Times New Roman" w:hAnsi="Arial" w:cs="Arial"/>
          <w:iCs/>
          <w:lang w:eastAsia="en-US"/>
        </w:rPr>
        <w:t xml:space="preserve">sredstvima minimalnih financijskih standarda iz državnog proračuna u iznosu </w:t>
      </w:r>
      <w:r w:rsidR="00276CE1">
        <w:rPr>
          <w:rFonts w:ascii="Arial" w:eastAsia="Times New Roman" w:hAnsi="Arial" w:cs="Arial"/>
          <w:iCs/>
          <w:lang w:eastAsia="en-US"/>
        </w:rPr>
        <w:t>312.246</w:t>
      </w:r>
      <w:r w:rsidRPr="003A2F86">
        <w:rPr>
          <w:rFonts w:ascii="Arial" w:eastAsia="Times New Roman" w:hAnsi="Arial" w:cs="Arial"/>
          <w:iCs/>
          <w:lang w:eastAsia="en-US"/>
        </w:rPr>
        <w:t xml:space="preserve"> € čime je osigurano financiranje </w:t>
      </w:r>
      <w:r w:rsidR="00276CE1">
        <w:rPr>
          <w:rFonts w:ascii="Arial" w:eastAsia="Times New Roman" w:hAnsi="Arial" w:cs="Arial"/>
          <w:iCs/>
          <w:lang w:eastAsia="en-US"/>
        </w:rPr>
        <w:t>41,2</w:t>
      </w:r>
      <w:r w:rsidRPr="003A2F86">
        <w:rPr>
          <w:rFonts w:ascii="Arial" w:eastAsia="Times New Roman" w:hAnsi="Arial" w:cs="Arial"/>
          <w:iCs/>
          <w:lang w:eastAsia="en-US"/>
        </w:rPr>
        <w:t>% sveukupnih troškova javne vatrogasne postrojbe</w:t>
      </w:r>
      <w:r w:rsidR="00DE413D">
        <w:rPr>
          <w:rFonts w:ascii="Arial" w:eastAsia="Times New Roman" w:hAnsi="Arial" w:cs="Arial"/>
          <w:iCs/>
          <w:lang w:eastAsia="en-US"/>
        </w:rPr>
        <w:t xml:space="preserve"> (glava 03002 – Ustanova za vatrogasnu djelatnost).</w:t>
      </w:r>
    </w:p>
    <w:bookmarkEnd w:id="329"/>
    <w:p w14:paraId="27D461CC" w14:textId="77777777" w:rsidR="009673E5" w:rsidRPr="003A2F86" w:rsidRDefault="009673E5" w:rsidP="00891119">
      <w:pPr>
        <w:spacing w:after="0" w:line="240" w:lineRule="auto"/>
        <w:jc w:val="both"/>
        <w:rPr>
          <w:rFonts w:ascii="Arial" w:eastAsia="Times New Roman" w:hAnsi="Arial" w:cs="Arial"/>
          <w:iCs/>
          <w:lang w:eastAsia="en-US"/>
        </w:rPr>
      </w:pPr>
    </w:p>
    <w:tbl>
      <w:tblPr>
        <w:tblW w:w="11908" w:type="dxa"/>
        <w:jc w:val="center"/>
        <w:tblLook w:val="04A0" w:firstRow="1" w:lastRow="0" w:firstColumn="1" w:lastColumn="0" w:noHBand="0" w:noVBand="1"/>
      </w:tblPr>
      <w:tblGrid>
        <w:gridCol w:w="1245"/>
        <w:gridCol w:w="973"/>
        <w:gridCol w:w="9690"/>
      </w:tblGrid>
      <w:tr w:rsidR="00501627" w:rsidRPr="003A2F86" w14:paraId="77E1C588" w14:textId="77777777" w:rsidTr="00BA0C91">
        <w:trPr>
          <w:trHeight w:val="326"/>
          <w:jc w:val="center"/>
        </w:trPr>
        <w:tc>
          <w:tcPr>
            <w:tcW w:w="1245" w:type="dxa"/>
            <w:tcBorders>
              <w:top w:val="nil"/>
              <w:left w:val="nil"/>
              <w:bottom w:val="nil"/>
              <w:right w:val="nil"/>
            </w:tcBorders>
            <w:shd w:val="clear" w:color="000000" w:fill="A5A5A5"/>
            <w:noWrap/>
            <w:vAlign w:val="center"/>
            <w:hideMark/>
          </w:tcPr>
          <w:p w14:paraId="710C3A50" w14:textId="77777777" w:rsidR="00162169" w:rsidRPr="003A2F86" w:rsidRDefault="00162169" w:rsidP="00931206">
            <w:pPr>
              <w:spacing w:after="0" w:line="240" w:lineRule="auto"/>
              <w:jc w:val="center"/>
              <w:rPr>
                <w:rFonts w:ascii="Arial" w:eastAsia="Times New Roman" w:hAnsi="Arial" w:cs="Arial"/>
                <w:b/>
                <w:bCs/>
                <w:sz w:val="18"/>
                <w:szCs w:val="18"/>
              </w:rPr>
            </w:pPr>
            <w:r w:rsidRPr="003A2F86">
              <w:rPr>
                <w:rFonts w:ascii="Arial" w:eastAsia="Times New Roman" w:hAnsi="Arial" w:cs="Arial"/>
                <w:b/>
                <w:bCs/>
                <w:sz w:val="18"/>
                <w:szCs w:val="18"/>
              </w:rPr>
              <w:lastRenderedPageBreak/>
              <w:t>RAZDJEL:</w:t>
            </w:r>
          </w:p>
        </w:tc>
        <w:tc>
          <w:tcPr>
            <w:tcW w:w="973" w:type="dxa"/>
            <w:tcBorders>
              <w:top w:val="nil"/>
              <w:left w:val="nil"/>
              <w:bottom w:val="nil"/>
              <w:right w:val="nil"/>
            </w:tcBorders>
            <w:shd w:val="clear" w:color="000000" w:fill="A5A5A5"/>
            <w:noWrap/>
            <w:vAlign w:val="center"/>
            <w:hideMark/>
          </w:tcPr>
          <w:p w14:paraId="7D26000D" w14:textId="77777777" w:rsidR="00162169" w:rsidRPr="003A2F86" w:rsidRDefault="00162169" w:rsidP="00931206">
            <w:pPr>
              <w:spacing w:after="0" w:line="240" w:lineRule="auto"/>
              <w:jc w:val="center"/>
              <w:rPr>
                <w:rFonts w:ascii="Arial" w:eastAsia="Times New Roman" w:hAnsi="Arial" w:cs="Arial"/>
                <w:b/>
                <w:bCs/>
                <w:sz w:val="18"/>
                <w:szCs w:val="18"/>
              </w:rPr>
            </w:pPr>
            <w:r w:rsidRPr="003A2F86">
              <w:rPr>
                <w:rFonts w:ascii="Arial" w:eastAsia="Times New Roman" w:hAnsi="Arial" w:cs="Arial"/>
                <w:b/>
                <w:bCs/>
                <w:sz w:val="18"/>
                <w:szCs w:val="18"/>
              </w:rPr>
              <w:t>0</w:t>
            </w:r>
            <w:r w:rsidR="00BD2DA1" w:rsidRPr="003A2F86">
              <w:rPr>
                <w:rFonts w:ascii="Arial" w:eastAsia="Times New Roman" w:hAnsi="Arial" w:cs="Arial"/>
                <w:b/>
                <w:bCs/>
                <w:sz w:val="18"/>
                <w:szCs w:val="18"/>
              </w:rPr>
              <w:t>4</w:t>
            </w:r>
            <w:r w:rsidRPr="003A2F86">
              <w:rPr>
                <w:rFonts w:ascii="Arial" w:eastAsia="Times New Roman" w:hAnsi="Arial" w:cs="Arial"/>
                <w:b/>
                <w:bCs/>
                <w:sz w:val="18"/>
                <w:szCs w:val="18"/>
              </w:rPr>
              <w:t>0</w:t>
            </w:r>
          </w:p>
        </w:tc>
        <w:tc>
          <w:tcPr>
            <w:tcW w:w="9690" w:type="dxa"/>
            <w:tcBorders>
              <w:top w:val="nil"/>
              <w:left w:val="nil"/>
              <w:bottom w:val="nil"/>
              <w:right w:val="nil"/>
            </w:tcBorders>
            <w:shd w:val="clear" w:color="000000" w:fill="A5A5A5"/>
            <w:noWrap/>
            <w:vAlign w:val="center"/>
            <w:hideMark/>
          </w:tcPr>
          <w:p w14:paraId="35DCEFA1" w14:textId="77777777" w:rsidR="00162169" w:rsidRPr="003A2F86" w:rsidRDefault="00162169" w:rsidP="00931206">
            <w:pPr>
              <w:spacing w:after="0" w:line="240" w:lineRule="auto"/>
              <w:jc w:val="center"/>
              <w:rPr>
                <w:rFonts w:ascii="Arial" w:eastAsia="Times New Roman" w:hAnsi="Arial" w:cs="Arial"/>
                <w:b/>
                <w:bCs/>
              </w:rPr>
            </w:pPr>
            <w:r w:rsidRPr="003A2F86">
              <w:rPr>
                <w:rFonts w:ascii="Arial" w:eastAsia="Times New Roman" w:hAnsi="Arial" w:cs="Arial"/>
                <w:b/>
                <w:bCs/>
              </w:rPr>
              <w:t xml:space="preserve">UPRAVNI ODJEL ZA </w:t>
            </w:r>
            <w:r w:rsidR="00BD2DA1" w:rsidRPr="003A2F86">
              <w:rPr>
                <w:rFonts w:ascii="Arial" w:eastAsia="Times New Roman" w:hAnsi="Arial" w:cs="Arial"/>
                <w:b/>
                <w:bCs/>
              </w:rPr>
              <w:t>RURALNI RAZVOJ, GOSPODARSTVO I EU FONDOVE</w:t>
            </w:r>
          </w:p>
        </w:tc>
      </w:tr>
    </w:tbl>
    <w:p w14:paraId="2B63EEA4" w14:textId="77777777" w:rsidR="00162169" w:rsidRPr="003A2F86" w:rsidRDefault="00162169" w:rsidP="00162169">
      <w:pPr>
        <w:spacing w:after="0" w:line="240" w:lineRule="auto"/>
        <w:rPr>
          <w:rFonts w:ascii="Arial" w:eastAsia="Times New Roman" w:hAnsi="Arial" w:cs="Arial"/>
          <w:iCs/>
          <w:sz w:val="10"/>
          <w:lang w:eastAsia="en-US"/>
        </w:rPr>
      </w:pPr>
    </w:p>
    <w:p w14:paraId="33C6C359" w14:textId="07F2FAC9" w:rsidR="00953FBC" w:rsidRDefault="00953FBC" w:rsidP="00953FBC">
      <w:pPr>
        <w:spacing w:after="0" w:line="240" w:lineRule="auto"/>
        <w:jc w:val="both"/>
        <w:rPr>
          <w:rFonts w:ascii="Arial" w:eastAsia="Times New Roman" w:hAnsi="Arial" w:cs="Arial"/>
          <w:iCs/>
          <w:lang w:eastAsia="en-US"/>
        </w:rPr>
      </w:pPr>
      <w:bookmarkStart w:id="330" w:name="_Hlk146004009"/>
      <w:r w:rsidRPr="003A2F86">
        <w:rPr>
          <w:rFonts w:ascii="Arial" w:eastAsia="Times New Roman" w:hAnsi="Arial" w:cs="Arial"/>
          <w:iCs/>
          <w:lang w:eastAsia="en-US"/>
        </w:rPr>
        <w:t>Rashodi i izdaci razdjela 0</w:t>
      </w:r>
      <w:r w:rsidR="00BD2DA1" w:rsidRPr="003A2F86">
        <w:rPr>
          <w:rFonts w:ascii="Arial" w:eastAsia="Times New Roman" w:hAnsi="Arial" w:cs="Arial"/>
          <w:iCs/>
          <w:lang w:eastAsia="en-US"/>
        </w:rPr>
        <w:t>4</w:t>
      </w:r>
      <w:r w:rsidRPr="003A2F86">
        <w:rPr>
          <w:rFonts w:ascii="Arial" w:eastAsia="Times New Roman" w:hAnsi="Arial" w:cs="Arial"/>
          <w:iCs/>
          <w:lang w:eastAsia="en-US"/>
        </w:rPr>
        <w:t xml:space="preserve">0 (Upravni odjel za </w:t>
      </w:r>
      <w:r w:rsidR="00BD2DA1" w:rsidRPr="003A2F86">
        <w:rPr>
          <w:rFonts w:ascii="Arial" w:eastAsia="Times New Roman" w:hAnsi="Arial" w:cs="Arial"/>
          <w:iCs/>
          <w:lang w:eastAsia="en-US"/>
        </w:rPr>
        <w:t>ruralni razvoj, gospodarstvo i EU fondove</w:t>
      </w:r>
      <w:r w:rsidRPr="003A2F86">
        <w:rPr>
          <w:rFonts w:ascii="Arial" w:eastAsia="Times New Roman" w:hAnsi="Arial" w:cs="Arial"/>
          <w:iCs/>
          <w:lang w:eastAsia="en-US"/>
        </w:rPr>
        <w:t xml:space="preserve">) u iznosu </w:t>
      </w:r>
      <w:r w:rsidR="00276CE1">
        <w:rPr>
          <w:rFonts w:ascii="Arial" w:eastAsia="Times New Roman" w:hAnsi="Arial" w:cs="Arial"/>
          <w:iCs/>
          <w:lang w:eastAsia="en-US"/>
        </w:rPr>
        <w:t>1.495.861,14</w:t>
      </w:r>
      <w:r w:rsidR="009673E5" w:rsidRPr="003A2F86">
        <w:rPr>
          <w:rFonts w:ascii="Arial" w:eastAsia="Times New Roman" w:hAnsi="Arial" w:cs="Arial"/>
          <w:iCs/>
          <w:lang w:eastAsia="en-US"/>
        </w:rPr>
        <w:t xml:space="preserve"> €</w:t>
      </w:r>
      <w:r w:rsidRPr="003A2F86">
        <w:rPr>
          <w:rFonts w:ascii="Arial" w:eastAsia="Times New Roman" w:hAnsi="Arial" w:cs="Arial"/>
          <w:iCs/>
          <w:lang w:eastAsia="en-US"/>
        </w:rPr>
        <w:t xml:space="preserve"> odnose se na rashode </w:t>
      </w:r>
      <w:r w:rsidR="00BD2DA1" w:rsidRPr="003A2F86">
        <w:rPr>
          <w:rFonts w:ascii="Arial" w:eastAsia="Times New Roman" w:hAnsi="Arial" w:cs="Arial"/>
          <w:iCs/>
          <w:lang w:eastAsia="en-US"/>
        </w:rPr>
        <w:t>jedne glave</w:t>
      </w:r>
      <w:r w:rsidR="00931206" w:rsidRPr="003A2F86">
        <w:rPr>
          <w:rFonts w:ascii="Arial" w:eastAsia="Times New Roman" w:hAnsi="Arial" w:cs="Arial"/>
          <w:iCs/>
          <w:lang w:eastAsia="en-US"/>
        </w:rPr>
        <w:t>.</w:t>
      </w:r>
    </w:p>
    <w:p w14:paraId="731DE4DA" w14:textId="77777777" w:rsidR="00DE413D" w:rsidRDefault="00DE413D" w:rsidP="00953FBC">
      <w:pPr>
        <w:spacing w:after="0" w:line="240" w:lineRule="auto"/>
        <w:jc w:val="both"/>
        <w:rPr>
          <w:rFonts w:ascii="Arial" w:eastAsia="Times New Roman" w:hAnsi="Arial" w:cs="Arial"/>
          <w:iCs/>
          <w:lang w:eastAsia="en-US"/>
        </w:rPr>
      </w:pPr>
    </w:p>
    <w:p w14:paraId="0C53FBFD" w14:textId="41BD5468" w:rsidR="00DE413D" w:rsidRPr="003A2F86" w:rsidRDefault="00276CE1" w:rsidP="00DE413D">
      <w:pPr>
        <w:spacing w:after="0" w:line="240" w:lineRule="auto"/>
        <w:jc w:val="center"/>
        <w:rPr>
          <w:rFonts w:ascii="Arial" w:eastAsia="Times New Roman" w:hAnsi="Arial" w:cs="Arial"/>
          <w:iCs/>
          <w:lang w:eastAsia="en-US"/>
        </w:rPr>
      </w:pPr>
      <w:r w:rsidRPr="00276CE1">
        <w:rPr>
          <w:noProof/>
        </w:rPr>
        <w:drawing>
          <wp:inline distT="0" distB="0" distL="0" distR="0" wp14:anchorId="2FB62CA8" wp14:editId="582C9783">
            <wp:extent cx="8346440" cy="2296795"/>
            <wp:effectExtent l="0" t="0" r="0" b="8255"/>
            <wp:docPr id="1621906804"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346440" cy="2296795"/>
                    </a:xfrm>
                    <a:prstGeom prst="rect">
                      <a:avLst/>
                    </a:prstGeom>
                    <a:noFill/>
                    <a:ln>
                      <a:noFill/>
                    </a:ln>
                  </pic:spPr>
                </pic:pic>
              </a:graphicData>
            </a:graphic>
          </wp:inline>
        </w:drawing>
      </w:r>
    </w:p>
    <w:bookmarkEnd w:id="330"/>
    <w:p w14:paraId="3F04C8A5" w14:textId="77777777" w:rsidR="00D03A4A" w:rsidRPr="003A2F86" w:rsidRDefault="00D03A4A" w:rsidP="00953FBC">
      <w:pPr>
        <w:spacing w:after="0" w:line="240" w:lineRule="auto"/>
        <w:jc w:val="both"/>
        <w:rPr>
          <w:rFonts w:ascii="Arial" w:eastAsia="Times New Roman" w:hAnsi="Arial" w:cs="Arial"/>
          <w:iCs/>
          <w:sz w:val="16"/>
          <w:szCs w:val="16"/>
          <w:lang w:eastAsia="en-US"/>
        </w:rPr>
      </w:pPr>
    </w:p>
    <w:tbl>
      <w:tblPr>
        <w:tblW w:w="11908" w:type="dxa"/>
        <w:jc w:val="center"/>
        <w:tblLook w:val="04A0" w:firstRow="1" w:lastRow="0" w:firstColumn="1" w:lastColumn="0" w:noHBand="0" w:noVBand="1"/>
      </w:tblPr>
      <w:tblGrid>
        <w:gridCol w:w="1245"/>
        <w:gridCol w:w="973"/>
        <w:gridCol w:w="9690"/>
      </w:tblGrid>
      <w:tr w:rsidR="00501627" w:rsidRPr="003A2F86" w14:paraId="6081D0A3" w14:textId="77777777" w:rsidTr="00BA0C91">
        <w:trPr>
          <w:trHeight w:val="284"/>
          <w:jc w:val="center"/>
        </w:trPr>
        <w:tc>
          <w:tcPr>
            <w:tcW w:w="1245" w:type="dxa"/>
            <w:tcBorders>
              <w:top w:val="nil"/>
              <w:left w:val="nil"/>
              <w:bottom w:val="nil"/>
              <w:right w:val="nil"/>
            </w:tcBorders>
            <w:shd w:val="clear" w:color="000000" w:fill="A5A5A5"/>
            <w:noWrap/>
            <w:vAlign w:val="center"/>
            <w:hideMark/>
          </w:tcPr>
          <w:p w14:paraId="41356622" w14:textId="77777777" w:rsidR="00953FBC" w:rsidRPr="003A2F86" w:rsidRDefault="00953FBC" w:rsidP="00931206">
            <w:pPr>
              <w:spacing w:after="0" w:line="240" w:lineRule="auto"/>
              <w:jc w:val="center"/>
              <w:rPr>
                <w:rFonts w:ascii="Arial" w:eastAsia="Times New Roman" w:hAnsi="Arial" w:cs="Arial"/>
                <w:b/>
                <w:bCs/>
                <w:sz w:val="18"/>
                <w:szCs w:val="18"/>
              </w:rPr>
            </w:pPr>
            <w:r w:rsidRPr="003A2F86">
              <w:rPr>
                <w:rFonts w:ascii="Arial" w:eastAsia="Times New Roman" w:hAnsi="Arial" w:cs="Arial"/>
                <w:b/>
                <w:bCs/>
                <w:sz w:val="18"/>
                <w:szCs w:val="18"/>
              </w:rPr>
              <w:t>RAZDJEL:</w:t>
            </w:r>
          </w:p>
        </w:tc>
        <w:tc>
          <w:tcPr>
            <w:tcW w:w="973" w:type="dxa"/>
            <w:tcBorders>
              <w:top w:val="nil"/>
              <w:left w:val="nil"/>
              <w:bottom w:val="nil"/>
              <w:right w:val="nil"/>
            </w:tcBorders>
            <w:shd w:val="clear" w:color="000000" w:fill="A5A5A5"/>
            <w:noWrap/>
            <w:vAlign w:val="center"/>
            <w:hideMark/>
          </w:tcPr>
          <w:p w14:paraId="389BFEC5" w14:textId="77777777" w:rsidR="00953FBC" w:rsidRPr="003A2F86" w:rsidRDefault="00953FBC" w:rsidP="00931206">
            <w:pPr>
              <w:spacing w:after="0" w:line="240" w:lineRule="auto"/>
              <w:jc w:val="center"/>
              <w:rPr>
                <w:rFonts w:ascii="Arial" w:eastAsia="Times New Roman" w:hAnsi="Arial" w:cs="Arial"/>
                <w:b/>
                <w:bCs/>
                <w:sz w:val="18"/>
                <w:szCs w:val="18"/>
              </w:rPr>
            </w:pPr>
            <w:r w:rsidRPr="003A2F86">
              <w:rPr>
                <w:rFonts w:ascii="Arial" w:eastAsia="Times New Roman" w:hAnsi="Arial" w:cs="Arial"/>
                <w:b/>
                <w:bCs/>
                <w:sz w:val="18"/>
                <w:szCs w:val="18"/>
              </w:rPr>
              <w:t>0</w:t>
            </w:r>
            <w:r w:rsidR="00931206" w:rsidRPr="003A2F86">
              <w:rPr>
                <w:rFonts w:ascii="Arial" w:eastAsia="Times New Roman" w:hAnsi="Arial" w:cs="Arial"/>
                <w:b/>
                <w:bCs/>
                <w:sz w:val="18"/>
                <w:szCs w:val="18"/>
              </w:rPr>
              <w:t>5</w:t>
            </w:r>
            <w:r w:rsidRPr="003A2F86">
              <w:rPr>
                <w:rFonts w:ascii="Arial" w:eastAsia="Times New Roman" w:hAnsi="Arial" w:cs="Arial"/>
                <w:b/>
                <w:bCs/>
                <w:sz w:val="18"/>
                <w:szCs w:val="18"/>
              </w:rPr>
              <w:t>0</w:t>
            </w:r>
          </w:p>
        </w:tc>
        <w:tc>
          <w:tcPr>
            <w:tcW w:w="9690" w:type="dxa"/>
            <w:tcBorders>
              <w:top w:val="nil"/>
              <w:left w:val="nil"/>
              <w:bottom w:val="nil"/>
              <w:right w:val="nil"/>
            </w:tcBorders>
            <w:shd w:val="clear" w:color="000000" w:fill="A5A5A5"/>
            <w:noWrap/>
            <w:vAlign w:val="center"/>
            <w:hideMark/>
          </w:tcPr>
          <w:p w14:paraId="53899765" w14:textId="77777777" w:rsidR="00953FBC" w:rsidRPr="003A2F86" w:rsidRDefault="00953FBC" w:rsidP="00931206">
            <w:pPr>
              <w:spacing w:after="0" w:line="240" w:lineRule="auto"/>
              <w:jc w:val="center"/>
              <w:rPr>
                <w:rFonts w:ascii="Arial" w:eastAsia="Times New Roman" w:hAnsi="Arial" w:cs="Arial"/>
                <w:b/>
                <w:bCs/>
              </w:rPr>
            </w:pPr>
            <w:r w:rsidRPr="003A2F86">
              <w:rPr>
                <w:rFonts w:ascii="Arial" w:eastAsia="Times New Roman" w:hAnsi="Arial" w:cs="Arial"/>
                <w:b/>
                <w:bCs/>
              </w:rPr>
              <w:t>UPRAVNI ODJEL ZA PROSTORNO UREĐENJE I ZAŠTITU OKOLIŠA</w:t>
            </w:r>
          </w:p>
        </w:tc>
      </w:tr>
    </w:tbl>
    <w:p w14:paraId="6F2DD9F9" w14:textId="77777777" w:rsidR="00953FBC" w:rsidRPr="003A2F86" w:rsidRDefault="00953FBC" w:rsidP="00953FBC">
      <w:pPr>
        <w:spacing w:after="0" w:line="240" w:lineRule="auto"/>
        <w:rPr>
          <w:rFonts w:ascii="Arial" w:eastAsia="Times New Roman" w:hAnsi="Arial" w:cs="Arial"/>
          <w:iCs/>
          <w:sz w:val="14"/>
          <w:lang w:eastAsia="en-US"/>
        </w:rPr>
      </w:pPr>
    </w:p>
    <w:p w14:paraId="4D1020B7" w14:textId="3B52CFF5" w:rsidR="00162169" w:rsidRPr="003A2F86" w:rsidRDefault="0030073B" w:rsidP="00891119">
      <w:pPr>
        <w:spacing w:after="0" w:line="240" w:lineRule="auto"/>
        <w:jc w:val="both"/>
        <w:rPr>
          <w:rFonts w:ascii="Arial" w:eastAsia="Times New Roman" w:hAnsi="Arial" w:cs="Arial"/>
          <w:iCs/>
          <w:lang w:eastAsia="en-US"/>
        </w:rPr>
      </w:pPr>
      <w:bookmarkStart w:id="331" w:name="_Hlk146004056"/>
      <w:r w:rsidRPr="003A2F86">
        <w:rPr>
          <w:rFonts w:ascii="Arial" w:eastAsia="Times New Roman" w:hAnsi="Arial" w:cs="Arial"/>
          <w:iCs/>
          <w:lang w:eastAsia="en-US"/>
        </w:rPr>
        <w:t xml:space="preserve">Početkom 2024. godine ukinut je razdjel </w:t>
      </w:r>
      <w:r w:rsidR="00953FBC" w:rsidRPr="003A2F86">
        <w:rPr>
          <w:rFonts w:ascii="Arial" w:eastAsia="Times New Roman" w:hAnsi="Arial" w:cs="Arial"/>
          <w:iCs/>
          <w:lang w:eastAsia="en-US"/>
        </w:rPr>
        <w:t>0</w:t>
      </w:r>
      <w:r w:rsidR="00931206" w:rsidRPr="003A2F86">
        <w:rPr>
          <w:rFonts w:ascii="Arial" w:eastAsia="Times New Roman" w:hAnsi="Arial" w:cs="Arial"/>
          <w:iCs/>
          <w:lang w:eastAsia="en-US"/>
        </w:rPr>
        <w:t>5</w:t>
      </w:r>
      <w:r w:rsidR="00953FBC" w:rsidRPr="003A2F86">
        <w:rPr>
          <w:rFonts w:ascii="Arial" w:eastAsia="Times New Roman" w:hAnsi="Arial" w:cs="Arial"/>
          <w:iCs/>
          <w:lang w:eastAsia="en-US"/>
        </w:rPr>
        <w:t>0 (Upravni odjel za prostorno uređenje i zaštitu okoliša)</w:t>
      </w:r>
      <w:r w:rsidRPr="003A2F86">
        <w:rPr>
          <w:rFonts w:ascii="Arial" w:eastAsia="Times New Roman" w:hAnsi="Arial" w:cs="Arial"/>
          <w:iCs/>
          <w:lang w:eastAsia="en-US"/>
        </w:rPr>
        <w:t xml:space="preserve"> i spojen je s razdjelom 030.</w:t>
      </w:r>
      <w:r w:rsidR="00953FBC" w:rsidRPr="003A2F86">
        <w:rPr>
          <w:rFonts w:ascii="Arial" w:eastAsia="Times New Roman" w:hAnsi="Arial" w:cs="Arial"/>
          <w:iCs/>
          <w:lang w:eastAsia="en-US"/>
        </w:rPr>
        <w:t xml:space="preserve"> </w:t>
      </w:r>
    </w:p>
    <w:bookmarkEnd w:id="331"/>
    <w:p w14:paraId="0A47E9CA" w14:textId="77777777" w:rsidR="003642AE" w:rsidRPr="003A2F86" w:rsidRDefault="003642AE" w:rsidP="003642AE">
      <w:pPr>
        <w:spacing w:after="0" w:line="240" w:lineRule="auto"/>
        <w:jc w:val="center"/>
        <w:rPr>
          <w:sz w:val="12"/>
          <w:szCs w:val="12"/>
        </w:rPr>
      </w:pPr>
    </w:p>
    <w:p w14:paraId="2230B457" w14:textId="066C29ED" w:rsidR="0030073B" w:rsidRPr="003A2F86" w:rsidRDefault="004A7BDC" w:rsidP="003642AE">
      <w:pPr>
        <w:spacing w:after="0" w:line="240" w:lineRule="auto"/>
        <w:jc w:val="center"/>
        <w:rPr>
          <w:noProof/>
        </w:rPr>
      </w:pPr>
      <w:r w:rsidRPr="004A7BDC">
        <w:rPr>
          <w:noProof/>
        </w:rPr>
        <w:drawing>
          <wp:inline distT="0" distB="0" distL="0" distR="0" wp14:anchorId="3DC36BD6" wp14:editId="1F6BD236">
            <wp:extent cx="8346440" cy="2275205"/>
            <wp:effectExtent l="0" t="0" r="0" b="0"/>
            <wp:docPr id="1709711526"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346440" cy="2275205"/>
                    </a:xfrm>
                    <a:prstGeom prst="rect">
                      <a:avLst/>
                    </a:prstGeom>
                    <a:noFill/>
                    <a:ln>
                      <a:noFill/>
                    </a:ln>
                  </pic:spPr>
                </pic:pic>
              </a:graphicData>
            </a:graphic>
          </wp:inline>
        </w:drawing>
      </w:r>
    </w:p>
    <w:p w14:paraId="69F9ADCF" w14:textId="68C68031" w:rsidR="00891119" w:rsidRPr="003A2F86" w:rsidRDefault="00891119" w:rsidP="003642AE">
      <w:pPr>
        <w:spacing w:after="0" w:line="240" w:lineRule="auto"/>
        <w:jc w:val="center"/>
        <w:rPr>
          <w:rFonts w:ascii="Arial" w:eastAsia="Times New Roman" w:hAnsi="Arial" w:cs="Arial"/>
          <w:iCs/>
          <w:lang w:eastAsia="en-US"/>
        </w:rPr>
      </w:pPr>
      <w:r w:rsidRPr="003A2F86">
        <w:rPr>
          <w:rFonts w:ascii="Arial" w:eastAsia="Times New Roman" w:hAnsi="Arial" w:cs="Arial"/>
          <w:iCs/>
          <w:lang w:eastAsia="en-US"/>
        </w:rPr>
        <w:br w:type="page"/>
      </w:r>
    </w:p>
    <w:p w14:paraId="2A8DBFE8" w14:textId="2DF47022" w:rsidR="00891119" w:rsidRPr="003A2F86" w:rsidRDefault="006C6F8B" w:rsidP="006C6F8B">
      <w:pPr>
        <w:pStyle w:val="Naslov2"/>
        <w:jc w:val="center"/>
        <w:rPr>
          <w:rFonts w:ascii="Arial" w:hAnsi="Arial" w:cs="Arial"/>
          <w:sz w:val="22"/>
          <w:szCs w:val="22"/>
          <w:lang w:val="hr-HR"/>
        </w:rPr>
      </w:pPr>
      <w:bookmarkStart w:id="332" w:name="_Toc232981423"/>
      <w:r w:rsidRPr="003A2F86">
        <w:rPr>
          <w:rFonts w:ascii="Arial" w:hAnsi="Arial" w:cs="Arial"/>
          <w:sz w:val="22"/>
          <w:szCs w:val="22"/>
          <w:lang w:val="hr-HR"/>
        </w:rPr>
        <w:lastRenderedPageBreak/>
        <w:t>3.</w:t>
      </w:r>
      <w:r w:rsidR="00891119" w:rsidRPr="003A2F86">
        <w:rPr>
          <w:rFonts w:ascii="Arial" w:hAnsi="Arial" w:cs="Arial"/>
          <w:sz w:val="22"/>
          <w:szCs w:val="22"/>
          <w:lang w:val="hr-HR"/>
        </w:rPr>
        <w:t>2.</w:t>
      </w:r>
      <w:r w:rsidR="00891119" w:rsidRPr="003A2F86">
        <w:rPr>
          <w:rFonts w:ascii="Arial" w:hAnsi="Arial" w:cs="Arial"/>
          <w:sz w:val="22"/>
          <w:szCs w:val="22"/>
          <w:lang w:val="hr-HR"/>
        </w:rPr>
        <w:tab/>
        <w:t>PROGRAMSKA KLASIFIKACIJA –</w:t>
      </w:r>
      <w:r w:rsidR="00CB1FC0" w:rsidRPr="003A2F86">
        <w:rPr>
          <w:rFonts w:ascii="Arial" w:hAnsi="Arial" w:cs="Arial"/>
          <w:sz w:val="22"/>
          <w:szCs w:val="22"/>
          <w:lang w:val="hr-HR"/>
        </w:rPr>
        <w:t>rashod</w:t>
      </w:r>
      <w:r w:rsidR="00FD704A" w:rsidRPr="003A2F86">
        <w:rPr>
          <w:rFonts w:ascii="Arial" w:hAnsi="Arial" w:cs="Arial"/>
          <w:sz w:val="22"/>
          <w:szCs w:val="22"/>
          <w:lang w:val="hr-HR"/>
        </w:rPr>
        <w:t>i</w:t>
      </w:r>
      <w:r w:rsidR="00891119" w:rsidRPr="003A2F86">
        <w:rPr>
          <w:rFonts w:ascii="Arial" w:hAnsi="Arial" w:cs="Arial"/>
          <w:sz w:val="22"/>
          <w:szCs w:val="22"/>
          <w:lang w:val="hr-HR"/>
        </w:rPr>
        <w:t xml:space="preserve"> po razdjelima 010 / 020 / 030 / 040</w:t>
      </w:r>
      <w:r w:rsidR="00CB1FC0" w:rsidRPr="003A2F86">
        <w:rPr>
          <w:rFonts w:ascii="Arial" w:hAnsi="Arial" w:cs="Arial"/>
          <w:sz w:val="22"/>
          <w:szCs w:val="22"/>
          <w:lang w:val="hr-HR"/>
        </w:rPr>
        <w:t>, glavama i programima</w:t>
      </w:r>
      <w:bookmarkStart w:id="333" w:name="Programska_klasifikacija_tablice"/>
      <w:bookmarkEnd w:id="332"/>
      <w:bookmarkEnd w:id="333"/>
    </w:p>
    <w:p w14:paraId="1B07FBBA" w14:textId="77777777" w:rsidR="00891119" w:rsidRPr="003A2F86" w:rsidRDefault="00891119" w:rsidP="00891119">
      <w:pPr>
        <w:spacing w:after="0" w:line="240" w:lineRule="auto"/>
        <w:rPr>
          <w:rFonts w:ascii="Times New Roman" w:eastAsia="Times New Roman" w:hAnsi="Times New Roman" w:cs="Times New Roman"/>
          <w:sz w:val="20"/>
          <w:szCs w:val="20"/>
          <w:lang w:eastAsia="en-US"/>
        </w:rPr>
      </w:pPr>
    </w:p>
    <w:p w14:paraId="16678BD3" w14:textId="6DBD714A" w:rsidR="006C6F8B" w:rsidRPr="003A2F86" w:rsidRDefault="006C6F8B" w:rsidP="00D6545B">
      <w:pPr>
        <w:pStyle w:val="Naslov3"/>
        <w:jc w:val="center"/>
        <w:rPr>
          <w:rFonts w:ascii="Arial" w:hAnsi="Arial" w:cs="Arial"/>
          <w:sz w:val="22"/>
          <w:szCs w:val="22"/>
          <w:lang w:val="hr-HR"/>
        </w:rPr>
      </w:pPr>
      <w:bookmarkStart w:id="334" w:name="_Toc232981424"/>
      <w:r w:rsidRPr="003A2F86">
        <w:rPr>
          <w:rFonts w:ascii="Arial" w:hAnsi="Arial" w:cs="Arial"/>
          <w:sz w:val="22"/>
          <w:szCs w:val="22"/>
          <w:lang w:val="hr-HR"/>
        </w:rPr>
        <w:t>3.2.1.</w:t>
      </w:r>
      <w:r w:rsidRPr="003A2F86">
        <w:rPr>
          <w:rFonts w:ascii="Arial" w:hAnsi="Arial" w:cs="Arial"/>
          <w:sz w:val="22"/>
          <w:szCs w:val="22"/>
          <w:lang w:val="hr-HR"/>
        </w:rPr>
        <w:tab/>
      </w:r>
      <w:r w:rsidRPr="003A2F86">
        <w:rPr>
          <w:rFonts w:ascii="Arial" w:hAnsi="Arial" w:cs="Arial"/>
          <w:sz w:val="22"/>
          <w:szCs w:val="22"/>
          <w:lang w:val="hr-HR"/>
        </w:rPr>
        <w:tab/>
      </w:r>
      <w:r w:rsidR="00307E1E" w:rsidRPr="003A2F86">
        <w:rPr>
          <w:rFonts w:ascii="Arial" w:hAnsi="Arial" w:cs="Arial"/>
          <w:sz w:val="22"/>
          <w:szCs w:val="22"/>
          <w:lang w:val="hr-HR"/>
        </w:rPr>
        <w:t>PREGLED RASHODA PO RAZDJELIMA, GLAVAMA I PROGRAMIMA</w:t>
      </w:r>
      <w:bookmarkEnd w:id="334"/>
    </w:p>
    <w:p w14:paraId="4C81EDD1" w14:textId="77777777" w:rsidR="006C6F8B" w:rsidRPr="003A2F86" w:rsidRDefault="006C6F8B" w:rsidP="00891119">
      <w:pPr>
        <w:spacing w:after="0" w:line="240" w:lineRule="auto"/>
        <w:rPr>
          <w:rFonts w:ascii="Times New Roman" w:eastAsia="Times New Roman" w:hAnsi="Times New Roman" w:cs="Times New Roman"/>
          <w:sz w:val="20"/>
          <w:szCs w:val="20"/>
          <w:lang w:eastAsia="en-US"/>
        </w:rPr>
      </w:pPr>
    </w:p>
    <w:p w14:paraId="1C50DD3F" w14:textId="48031D93" w:rsidR="00891119" w:rsidRPr="003A2F86" w:rsidRDefault="00931206" w:rsidP="00891119">
      <w:pPr>
        <w:autoSpaceDE w:val="0"/>
        <w:autoSpaceDN w:val="0"/>
        <w:adjustRightInd w:val="0"/>
        <w:spacing w:after="0" w:line="240" w:lineRule="auto"/>
        <w:jc w:val="both"/>
        <w:rPr>
          <w:rFonts w:ascii="Arial" w:eastAsia="Calibri" w:hAnsi="Arial" w:cs="Arial"/>
        </w:rPr>
      </w:pPr>
      <w:r w:rsidRPr="003A2F86">
        <w:rPr>
          <w:rFonts w:ascii="Arial" w:eastAsia="Calibri" w:hAnsi="Arial" w:cs="Arial"/>
        </w:rPr>
        <w:t>U posebnom dijelu proračuna, o</w:t>
      </w:r>
      <w:r w:rsidR="00891119" w:rsidRPr="003A2F86">
        <w:rPr>
          <w:rFonts w:ascii="Arial" w:eastAsia="Calibri" w:hAnsi="Arial" w:cs="Arial"/>
        </w:rPr>
        <w:t>sim po organizacijskoj klasifikaciji, planirani rashodi i izdaci raspoređuju se po programima odnosno njihovim sastavnim dijelovima (aktivnostima, tekućim i kapitalnim projektima), kojih su nositelji upravni odjeli općinske uprave i proračunski korisnici. U okviru programa, projekata i aktivnosti, rashodi i izdaci se iskazuju prema ekonomskoj i izvorima financiranja sukladno Pravilniku o proračunskim klasifikacijama (NN 26/10</w:t>
      </w:r>
      <w:r w:rsidR="00290822" w:rsidRPr="003A2F86">
        <w:rPr>
          <w:rFonts w:ascii="Arial" w:eastAsia="Calibri" w:hAnsi="Arial" w:cs="Arial"/>
        </w:rPr>
        <w:t>,</w:t>
      </w:r>
      <w:r w:rsidR="00891119" w:rsidRPr="003A2F86">
        <w:rPr>
          <w:rFonts w:ascii="Arial" w:eastAsia="Calibri" w:hAnsi="Arial" w:cs="Arial"/>
        </w:rPr>
        <w:t xml:space="preserve"> 120/13</w:t>
      </w:r>
      <w:r w:rsidR="00290822" w:rsidRPr="003A2F86">
        <w:rPr>
          <w:rFonts w:ascii="Arial" w:eastAsia="Calibri" w:hAnsi="Arial" w:cs="Arial"/>
        </w:rPr>
        <w:t>, 1/20</w:t>
      </w:r>
      <w:r w:rsidR="00891119" w:rsidRPr="003A2F86">
        <w:rPr>
          <w:rFonts w:ascii="Arial" w:eastAsia="Calibri" w:hAnsi="Arial" w:cs="Arial"/>
        </w:rPr>
        <w:t>).</w:t>
      </w:r>
      <w:r w:rsidR="0030073B" w:rsidRPr="003A2F86">
        <w:rPr>
          <w:rFonts w:ascii="Arial" w:eastAsia="Calibri" w:hAnsi="Arial" w:cs="Arial"/>
        </w:rPr>
        <w:t xml:space="preserve"> Novi Pravilnik o proračunskim klasifikacijama (NN 4/2024) će se primjenjivati u knjigovodstvenim evidencijama od 1.1.2025.</w:t>
      </w:r>
    </w:p>
    <w:p w14:paraId="114BEA9C" w14:textId="70122F83" w:rsidR="00891119" w:rsidRDefault="00891119" w:rsidP="00891119">
      <w:pPr>
        <w:spacing w:after="0" w:line="240" w:lineRule="auto"/>
        <w:jc w:val="both"/>
        <w:rPr>
          <w:rFonts w:ascii="Arial" w:eastAsia="Times New Roman" w:hAnsi="Arial" w:cs="Arial"/>
          <w:b/>
          <w:bCs/>
          <w:lang w:eastAsia="en-US"/>
        </w:rPr>
      </w:pPr>
      <w:r w:rsidRPr="003A2F86">
        <w:rPr>
          <w:rFonts w:ascii="Arial" w:eastAsia="Times New Roman" w:hAnsi="Arial" w:cs="Arial"/>
          <w:lang w:eastAsia="en-US"/>
        </w:rPr>
        <w:t xml:space="preserve">U nastavku se daje </w:t>
      </w:r>
      <w:r w:rsidRPr="003A2F86">
        <w:rPr>
          <w:rFonts w:ascii="Arial" w:eastAsia="Times New Roman" w:hAnsi="Arial" w:cs="Arial"/>
          <w:b/>
          <w:u w:val="single"/>
          <w:lang w:eastAsia="en-US"/>
        </w:rPr>
        <w:t>pregled izvršenja Programa</w:t>
      </w:r>
      <w:r w:rsidRPr="003A2F86">
        <w:rPr>
          <w:rFonts w:ascii="Arial" w:eastAsia="Times New Roman" w:hAnsi="Arial" w:cs="Arial"/>
          <w:lang w:eastAsia="en-US"/>
        </w:rPr>
        <w:t xml:space="preserve"> prema djelokrugu rada općinskog vijeća i načelnika, te upravnih tijela Općine Konavle</w:t>
      </w:r>
      <w:r w:rsidR="00CB1FC0" w:rsidRPr="003A2F86">
        <w:rPr>
          <w:rFonts w:ascii="Arial" w:eastAsia="Times New Roman" w:hAnsi="Arial" w:cs="Arial"/>
          <w:lang w:eastAsia="en-US"/>
        </w:rPr>
        <w:t xml:space="preserve"> kao i proračunskih korisnika</w:t>
      </w:r>
      <w:r w:rsidRPr="003A2F86">
        <w:rPr>
          <w:rFonts w:ascii="Arial" w:eastAsia="Times New Roman" w:hAnsi="Arial" w:cs="Arial"/>
          <w:lang w:eastAsia="en-US"/>
        </w:rPr>
        <w:t xml:space="preserve">. </w:t>
      </w:r>
      <w:r w:rsidR="008B51C5" w:rsidRPr="003A2F86">
        <w:rPr>
          <w:rFonts w:ascii="Arial" w:eastAsia="Times New Roman" w:hAnsi="Arial" w:cs="Arial"/>
          <w:lang w:eastAsia="en-US"/>
        </w:rPr>
        <w:t xml:space="preserve">Rashodi svakog programa su u nastavku prikazani kroz tablicu u kojoj se daje </w:t>
      </w:r>
      <w:r w:rsidR="008B51C5" w:rsidRPr="003A2F86">
        <w:rPr>
          <w:rFonts w:ascii="Arial" w:eastAsia="Times New Roman" w:hAnsi="Arial" w:cs="Arial"/>
          <w:b/>
          <w:bCs/>
          <w:lang w:eastAsia="en-US"/>
        </w:rPr>
        <w:t xml:space="preserve">usporedba iznosa izvršenih rashoda u tekućoj i </w:t>
      </w:r>
      <w:r w:rsidR="0030073B" w:rsidRPr="003A2F86">
        <w:rPr>
          <w:rFonts w:ascii="Arial" w:eastAsia="Times New Roman" w:hAnsi="Arial" w:cs="Arial"/>
          <w:b/>
          <w:bCs/>
          <w:lang w:eastAsia="en-US"/>
        </w:rPr>
        <w:t>pet</w:t>
      </w:r>
      <w:r w:rsidR="008B51C5" w:rsidRPr="003A2F86">
        <w:rPr>
          <w:rFonts w:ascii="Arial" w:eastAsia="Times New Roman" w:hAnsi="Arial" w:cs="Arial"/>
          <w:b/>
          <w:bCs/>
          <w:lang w:eastAsia="en-US"/>
        </w:rPr>
        <w:t xml:space="preserve"> prethodn</w:t>
      </w:r>
      <w:r w:rsidR="0030073B" w:rsidRPr="003A2F86">
        <w:rPr>
          <w:rFonts w:ascii="Arial" w:eastAsia="Times New Roman" w:hAnsi="Arial" w:cs="Arial"/>
          <w:b/>
          <w:bCs/>
          <w:lang w:eastAsia="en-US"/>
        </w:rPr>
        <w:t>ih</w:t>
      </w:r>
      <w:r w:rsidR="008B51C5" w:rsidRPr="003A2F86">
        <w:rPr>
          <w:rFonts w:ascii="Arial" w:eastAsia="Times New Roman" w:hAnsi="Arial" w:cs="Arial"/>
          <w:b/>
          <w:bCs/>
          <w:lang w:eastAsia="en-US"/>
        </w:rPr>
        <w:t xml:space="preserve"> proračunsk</w:t>
      </w:r>
      <w:r w:rsidR="0030073B" w:rsidRPr="003A2F86">
        <w:rPr>
          <w:rFonts w:ascii="Arial" w:eastAsia="Times New Roman" w:hAnsi="Arial" w:cs="Arial"/>
          <w:b/>
          <w:bCs/>
          <w:lang w:eastAsia="en-US"/>
        </w:rPr>
        <w:t>ih</w:t>
      </w:r>
      <w:r w:rsidR="008B51C5" w:rsidRPr="003A2F86">
        <w:rPr>
          <w:rFonts w:ascii="Arial" w:eastAsia="Times New Roman" w:hAnsi="Arial" w:cs="Arial"/>
          <w:b/>
          <w:bCs/>
          <w:lang w:eastAsia="en-US"/>
        </w:rPr>
        <w:t xml:space="preserve"> godin</w:t>
      </w:r>
      <w:r w:rsidR="0030073B" w:rsidRPr="003A2F86">
        <w:rPr>
          <w:rFonts w:ascii="Arial" w:eastAsia="Times New Roman" w:hAnsi="Arial" w:cs="Arial"/>
          <w:b/>
          <w:bCs/>
          <w:lang w:eastAsia="en-US"/>
        </w:rPr>
        <w:t>a</w:t>
      </w:r>
      <w:r w:rsidR="008B51C5" w:rsidRPr="003A2F86">
        <w:rPr>
          <w:rFonts w:ascii="Arial" w:eastAsia="Times New Roman" w:hAnsi="Arial" w:cs="Arial"/>
          <w:b/>
          <w:bCs/>
          <w:lang w:eastAsia="en-US"/>
        </w:rPr>
        <w:t>.</w:t>
      </w:r>
    </w:p>
    <w:p w14:paraId="5740E9F3" w14:textId="1106215D" w:rsidR="00916B10" w:rsidRPr="003A2F86" w:rsidRDefault="00916B10" w:rsidP="00E60B36">
      <w:pPr>
        <w:spacing w:after="0" w:line="240" w:lineRule="auto"/>
        <w:jc w:val="center"/>
        <w:rPr>
          <w:rFonts w:ascii="Arial" w:eastAsia="Times New Roman" w:hAnsi="Arial" w:cs="Arial"/>
          <w:b/>
          <w:bCs/>
          <w:lang w:eastAsia="en-US"/>
        </w:rPr>
      </w:pPr>
      <w:r w:rsidRPr="00916B10">
        <w:rPr>
          <w:noProof/>
        </w:rPr>
        <w:drawing>
          <wp:inline distT="0" distB="0" distL="0" distR="0" wp14:anchorId="471BCF65" wp14:editId="54889E90">
            <wp:extent cx="8753806" cy="2286083"/>
            <wp:effectExtent l="0" t="0" r="9525" b="0"/>
            <wp:docPr id="180018344"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761305" cy="2288041"/>
                    </a:xfrm>
                    <a:prstGeom prst="rect">
                      <a:avLst/>
                    </a:prstGeom>
                    <a:noFill/>
                    <a:ln>
                      <a:noFill/>
                    </a:ln>
                  </pic:spPr>
                </pic:pic>
              </a:graphicData>
            </a:graphic>
          </wp:inline>
        </w:drawing>
      </w:r>
    </w:p>
    <w:p w14:paraId="35B61E40" w14:textId="6B6586F7" w:rsidR="00041A7D" w:rsidRDefault="00041A7D" w:rsidP="003642AE">
      <w:pPr>
        <w:spacing w:after="0" w:line="240" w:lineRule="auto"/>
        <w:jc w:val="center"/>
        <w:rPr>
          <w:rFonts w:ascii="Arial" w:eastAsia="Times New Roman" w:hAnsi="Arial" w:cs="Arial"/>
          <w:b/>
          <w:bCs/>
          <w:sz w:val="6"/>
          <w:szCs w:val="6"/>
          <w:lang w:eastAsia="en-US"/>
        </w:rPr>
      </w:pPr>
      <w:r w:rsidRPr="00041A7D">
        <w:rPr>
          <w:noProof/>
        </w:rPr>
        <w:drawing>
          <wp:inline distT="0" distB="0" distL="0" distR="0" wp14:anchorId="04111993" wp14:editId="66600B2E">
            <wp:extent cx="8711025" cy="1944884"/>
            <wp:effectExtent l="0" t="0" r="0" b="0"/>
            <wp:docPr id="230632834"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736669" cy="1950610"/>
                    </a:xfrm>
                    <a:prstGeom prst="rect">
                      <a:avLst/>
                    </a:prstGeom>
                    <a:noFill/>
                    <a:ln>
                      <a:noFill/>
                    </a:ln>
                  </pic:spPr>
                </pic:pic>
              </a:graphicData>
            </a:graphic>
          </wp:inline>
        </w:drawing>
      </w:r>
    </w:p>
    <w:p w14:paraId="4646BFE0" w14:textId="77777777" w:rsidR="00041A7D" w:rsidRDefault="00041A7D" w:rsidP="003642AE">
      <w:pPr>
        <w:spacing w:after="0" w:line="240" w:lineRule="auto"/>
        <w:jc w:val="center"/>
        <w:rPr>
          <w:rFonts w:ascii="Arial" w:eastAsia="Times New Roman" w:hAnsi="Arial" w:cs="Arial"/>
          <w:b/>
          <w:bCs/>
          <w:sz w:val="6"/>
          <w:szCs w:val="6"/>
          <w:lang w:eastAsia="en-US"/>
        </w:rPr>
      </w:pPr>
    </w:p>
    <w:p w14:paraId="49F5538C" w14:textId="77777777" w:rsidR="00041A7D" w:rsidRDefault="00041A7D" w:rsidP="003642AE">
      <w:pPr>
        <w:spacing w:after="0" w:line="240" w:lineRule="auto"/>
        <w:jc w:val="center"/>
        <w:rPr>
          <w:rFonts w:ascii="Arial" w:eastAsia="Times New Roman" w:hAnsi="Arial" w:cs="Arial"/>
          <w:b/>
          <w:bCs/>
          <w:sz w:val="6"/>
          <w:szCs w:val="6"/>
          <w:lang w:eastAsia="en-US"/>
        </w:rPr>
      </w:pPr>
    </w:p>
    <w:p w14:paraId="6A72A210" w14:textId="77777777" w:rsidR="00041A7D" w:rsidRPr="001808CC" w:rsidRDefault="00041A7D" w:rsidP="003642AE">
      <w:pPr>
        <w:spacing w:after="0" w:line="240" w:lineRule="auto"/>
        <w:jc w:val="center"/>
        <w:rPr>
          <w:rFonts w:ascii="Arial" w:eastAsia="Times New Roman" w:hAnsi="Arial" w:cs="Arial"/>
          <w:b/>
          <w:bCs/>
          <w:sz w:val="6"/>
          <w:szCs w:val="6"/>
          <w:lang w:eastAsia="en-US"/>
        </w:rPr>
      </w:pPr>
    </w:p>
    <w:p w14:paraId="5A78C8AB" w14:textId="03098C9A" w:rsidR="00026C1C" w:rsidRPr="003A2F86" w:rsidRDefault="00041A7D" w:rsidP="00F93E31">
      <w:pPr>
        <w:spacing w:after="0" w:line="240" w:lineRule="auto"/>
        <w:jc w:val="center"/>
        <w:rPr>
          <w:noProof/>
        </w:rPr>
      </w:pPr>
      <w:r w:rsidRPr="00041A7D">
        <w:rPr>
          <w:noProof/>
        </w:rPr>
        <w:drawing>
          <wp:inline distT="0" distB="0" distL="0" distR="0" wp14:anchorId="51A4288B" wp14:editId="07E5CB89">
            <wp:extent cx="9251950" cy="5026025"/>
            <wp:effectExtent l="0" t="0" r="6350" b="3175"/>
            <wp:docPr id="1420326986"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251950" cy="5026025"/>
                    </a:xfrm>
                    <a:prstGeom prst="rect">
                      <a:avLst/>
                    </a:prstGeom>
                    <a:noFill/>
                    <a:ln>
                      <a:noFill/>
                    </a:ln>
                  </pic:spPr>
                </pic:pic>
              </a:graphicData>
            </a:graphic>
          </wp:inline>
        </w:drawing>
      </w:r>
    </w:p>
    <w:p w14:paraId="1DD7A6ED" w14:textId="77777777" w:rsidR="00026C1C" w:rsidRPr="003A2F86" w:rsidRDefault="00026C1C" w:rsidP="00F93E31">
      <w:pPr>
        <w:spacing w:after="0" w:line="240" w:lineRule="auto"/>
        <w:jc w:val="center"/>
        <w:rPr>
          <w:noProof/>
        </w:rPr>
      </w:pPr>
    </w:p>
    <w:p w14:paraId="2298FF9A" w14:textId="77777777" w:rsidR="00026C1C" w:rsidRPr="003A2F86" w:rsidRDefault="00026C1C" w:rsidP="00F93E31">
      <w:pPr>
        <w:spacing w:after="0" w:line="240" w:lineRule="auto"/>
        <w:jc w:val="center"/>
        <w:rPr>
          <w:noProof/>
        </w:rPr>
      </w:pPr>
    </w:p>
    <w:p w14:paraId="21368317" w14:textId="21304085" w:rsidR="00A542A2" w:rsidRDefault="00A542A2" w:rsidP="00F93E31">
      <w:pPr>
        <w:spacing w:after="0" w:line="240" w:lineRule="auto"/>
        <w:jc w:val="center"/>
        <w:rPr>
          <w:noProof/>
        </w:rPr>
      </w:pPr>
    </w:p>
    <w:p w14:paraId="3EA8DC6A" w14:textId="77777777" w:rsidR="007C176C" w:rsidRDefault="007C176C" w:rsidP="00F93E31">
      <w:pPr>
        <w:spacing w:after="0" w:line="240" w:lineRule="auto"/>
        <w:jc w:val="center"/>
        <w:rPr>
          <w:noProof/>
        </w:rPr>
      </w:pPr>
    </w:p>
    <w:p w14:paraId="69980E37" w14:textId="291CAC1E" w:rsidR="007C176C" w:rsidRDefault="0071322E" w:rsidP="00F93E31">
      <w:pPr>
        <w:spacing w:after="0" w:line="240" w:lineRule="auto"/>
        <w:jc w:val="center"/>
        <w:rPr>
          <w:noProof/>
        </w:rPr>
      </w:pPr>
      <w:r w:rsidRPr="0071322E">
        <w:rPr>
          <w:noProof/>
        </w:rPr>
        <w:lastRenderedPageBreak/>
        <w:drawing>
          <wp:inline distT="0" distB="0" distL="0" distR="0" wp14:anchorId="05D5D98F" wp14:editId="33B45B3B">
            <wp:extent cx="8897620" cy="6156325"/>
            <wp:effectExtent l="0" t="0" r="0" b="0"/>
            <wp:docPr id="1038652966"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897620" cy="6156325"/>
                    </a:xfrm>
                    <a:prstGeom prst="rect">
                      <a:avLst/>
                    </a:prstGeom>
                    <a:noFill/>
                    <a:ln>
                      <a:noFill/>
                    </a:ln>
                  </pic:spPr>
                </pic:pic>
              </a:graphicData>
            </a:graphic>
          </wp:inline>
        </w:drawing>
      </w:r>
    </w:p>
    <w:p w14:paraId="34D26B18" w14:textId="7CC25CC7" w:rsidR="007C176C" w:rsidRDefault="0071322E" w:rsidP="00F93E31">
      <w:pPr>
        <w:spacing w:after="0" w:line="240" w:lineRule="auto"/>
        <w:jc w:val="center"/>
        <w:rPr>
          <w:noProof/>
        </w:rPr>
      </w:pPr>
      <w:r w:rsidRPr="0071322E">
        <w:rPr>
          <w:noProof/>
        </w:rPr>
        <w:lastRenderedPageBreak/>
        <w:drawing>
          <wp:inline distT="0" distB="0" distL="0" distR="0" wp14:anchorId="65E90DF3" wp14:editId="109D76E3">
            <wp:extent cx="9251950" cy="2656205"/>
            <wp:effectExtent l="0" t="0" r="6350" b="0"/>
            <wp:docPr id="1068211681"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9251950" cy="2656205"/>
                    </a:xfrm>
                    <a:prstGeom prst="rect">
                      <a:avLst/>
                    </a:prstGeom>
                    <a:noFill/>
                    <a:ln>
                      <a:noFill/>
                    </a:ln>
                  </pic:spPr>
                </pic:pic>
              </a:graphicData>
            </a:graphic>
          </wp:inline>
        </w:drawing>
      </w:r>
    </w:p>
    <w:p w14:paraId="05D5884D" w14:textId="364F40BA" w:rsidR="007C176C" w:rsidRDefault="007C176C" w:rsidP="00F93E31">
      <w:pPr>
        <w:spacing w:after="0" w:line="240" w:lineRule="auto"/>
        <w:jc w:val="center"/>
        <w:rPr>
          <w:noProof/>
        </w:rPr>
      </w:pPr>
    </w:p>
    <w:p w14:paraId="3DE78000" w14:textId="6EE99679" w:rsidR="007C176C" w:rsidRDefault="0071322E" w:rsidP="00F93E31">
      <w:pPr>
        <w:spacing w:after="0" w:line="240" w:lineRule="auto"/>
        <w:jc w:val="center"/>
        <w:rPr>
          <w:noProof/>
        </w:rPr>
      </w:pPr>
      <w:r w:rsidRPr="0071322E">
        <w:rPr>
          <w:noProof/>
        </w:rPr>
        <w:drawing>
          <wp:inline distT="0" distB="0" distL="0" distR="0" wp14:anchorId="2DF1696A" wp14:editId="66F4BB04">
            <wp:extent cx="9251950" cy="2019935"/>
            <wp:effectExtent l="0" t="0" r="6350" b="0"/>
            <wp:docPr id="811207239"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251950" cy="2019935"/>
                    </a:xfrm>
                    <a:prstGeom prst="rect">
                      <a:avLst/>
                    </a:prstGeom>
                    <a:noFill/>
                    <a:ln>
                      <a:noFill/>
                    </a:ln>
                  </pic:spPr>
                </pic:pic>
              </a:graphicData>
            </a:graphic>
          </wp:inline>
        </w:drawing>
      </w:r>
    </w:p>
    <w:p w14:paraId="753114F3" w14:textId="77777777" w:rsidR="007C176C" w:rsidRDefault="007C176C" w:rsidP="00F93E31">
      <w:pPr>
        <w:spacing w:after="0" w:line="240" w:lineRule="auto"/>
        <w:jc w:val="center"/>
        <w:rPr>
          <w:noProof/>
        </w:rPr>
      </w:pPr>
    </w:p>
    <w:p w14:paraId="7A08C6FE" w14:textId="77777777" w:rsidR="00AC36B6" w:rsidRPr="003A2F86" w:rsidRDefault="00AC36B6" w:rsidP="00891119">
      <w:pPr>
        <w:spacing w:after="0" w:line="240" w:lineRule="auto"/>
        <w:jc w:val="both"/>
        <w:rPr>
          <w:rFonts w:ascii="Arial" w:eastAsia="Times New Roman" w:hAnsi="Arial" w:cs="Arial"/>
          <w:sz w:val="10"/>
          <w:szCs w:val="20"/>
          <w:lang w:eastAsia="en-US"/>
        </w:rPr>
      </w:pPr>
    </w:p>
    <w:p w14:paraId="3C1C0563" w14:textId="5E072C83" w:rsidR="00E649E6" w:rsidRPr="003A2F86" w:rsidRDefault="00E649E6" w:rsidP="00857DD6">
      <w:pPr>
        <w:spacing w:after="0" w:line="240" w:lineRule="auto"/>
        <w:jc w:val="both"/>
        <w:rPr>
          <w:rFonts w:ascii="Times New Roman" w:eastAsia="Times New Roman" w:hAnsi="Times New Roman" w:cs="Times New Roman"/>
          <w:sz w:val="20"/>
          <w:szCs w:val="20"/>
          <w:lang w:eastAsia="en-US"/>
        </w:rPr>
      </w:pPr>
      <w:r w:rsidRPr="003A2F86">
        <w:rPr>
          <w:rFonts w:ascii="Times New Roman" w:eastAsia="Times New Roman" w:hAnsi="Times New Roman" w:cs="Times New Roman"/>
          <w:sz w:val="20"/>
          <w:szCs w:val="20"/>
          <w:lang w:eastAsia="en-US"/>
        </w:rPr>
        <w:br w:type="page"/>
      </w:r>
    </w:p>
    <w:p w14:paraId="069C2A3C" w14:textId="45D5D99D" w:rsidR="00E5151C" w:rsidRPr="003A2F86" w:rsidRDefault="00E5151C" w:rsidP="00375FAF">
      <w:pPr>
        <w:pStyle w:val="Naslov2"/>
        <w:rPr>
          <w:lang w:val="hr-HR"/>
        </w:rPr>
      </w:pPr>
      <w:bookmarkStart w:id="335" w:name="_Toc232981425"/>
      <w:r w:rsidRPr="003A2F86">
        <w:rPr>
          <w:lang w:val="hr-HR"/>
        </w:rPr>
        <w:lastRenderedPageBreak/>
        <w:t>3.</w:t>
      </w:r>
      <w:r w:rsidR="00375FAF" w:rsidRPr="003A2F86">
        <w:rPr>
          <w:lang w:val="hr-HR"/>
        </w:rPr>
        <w:t>3</w:t>
      </w:r>
      <w:r w:rsidRPr="003A2F86">
        <w:rPr>
          <w:lang w:val="hr-HR"/>
        </w:rPr>
        <w:t>.</w:t>
      </w:r>
      <w:r w:rsidRPr="003A2F86">
        <w:rPr>
          <w:lang w:val="hr-HR"/>
        </w:rPr>
        <w:tab/>
      </w:r>
      <w:r w:rsidRPr="003A2F86">
        <w:rPr>
          <w:lang w:val="hr-HR"/>
        </w:rPr>
        <w:tab/>
      </w:r>
      <w:r w:rsidR="00E91B60" w:rsidRPr="003A2F86">
        <w:rPr>
          <w:lang w:val="hr-HR"/>
        </w:rPr>
        <w:t xml:space="preserve">OBRAZLOŽENJE </w:t>
      </w:r>
      <w:r w:rsidR="00A33CE5" w:rsidRPr="003A2F86">
        <w:rPr>
          <w:lang w:val="hr-HR"/>
        </w:rPr>
        <w:t xml:space="preserve">IZVRŠENJA </w:t>
      </w:r>
      <w:r w:rsidR="00785D05">
        <w:rPr>
          <w:lang w:val="hr-HR"/>
        </w:rPr>
        <w:t xml:space="preserve">POSEBNOG DIJELA </w:t>
      </w:r>
      <w:r w:rsidR="00E91B60" w:rsidRPr="003A2F86">
        <w:rPr>
          <w:lang w:val="hr-HR"/>
        </w:rPr>
        <w:t>PRORAČUNA</w:t>
      </w:r>
      <w:bookmarkEnd w:id="335"/>
      <w:r w:rsidR="00E91B60" w:rsidRPr="003A2F86">
        <w:rPr>
          <w:lang w:val="hr-HR"/>
        </w:rPr>
        <w:t xml:space="preserve"> </w:t>
      </w:r>
    </w:p>
    <w:p w14:paraId="1A078D18" w14:textId="77777777" w:rsidR="00891119" w:rsidRPr="003A2F86" w:rsidRDefault="00891119" w:rsidP="00891119">
      <w:pPr>
        <w:spacing w:after="0" w:line="240" w:lineRule="auto"/>
        <w:rPr>
          <w:rFonts w:ascii="Times New Roman" w:eastAsia="Times New Roman" w:hAnsi="Times New Roman" w:cs="Times New Roman"/>
          <w:sz w:val="20"/>
          <w:szCs w:val="20"/>
          <w:lang w:eastAsia="en-US"/>
        </w:rPr>
      </w:pPr>
    </w:p>
    <w:p w14:paraId="2EBC9B4D" w14:textId="47E75F79" w:rsidR="00891119" w:rsidRPr="003A2F86" w:rsidRDefault="00E91B60" w:rsidP="00375FAF">
      <w:pPr>
        <w:pStyle w:val="Naslov3"/>
        <w:rPr>
          <w:lang w:val="hr-HR"/>
        </w:rPr>
      </w:pPr>
      <w:bookmarkStart w:id="336" w:name="_Toc403676997"/>
      <w:bookmarkStart w:id="337" w:name="_Toc435014649"/>
      <w:bookmarkStart w:id="338" w:name="_Toc232981426"/>
      <w:r w:rsidRPr="003A2F86">
        <w:rPr>
          <w:rFonts w:eastAsia="Calibri"/>
          <w:lang w:val="hr-HR"/>
        </w:rPr>
        <w:t>3.</w:t>
      </w:r>
      <w:r w:rsidR="00375FAF" w:rsidRPr="003A2F86">
        <w:rPr>
          <w:rFonts w:eastAsia="Calibri"/>
          <w:lang w:val="hr-HR"/>
        </w:rPr>
        <w:t>3</w:t>
      </w:r>
      <w:r w:rsidRPr="003A2F86">
        <w:rPr>
          <w:rFonts w:eastAsia="Calibri"/>
          <w:lang w:val="hr-HR"/>
        </w:rPr>
        <w:t>.1</w:t>
      </w:r>
      <w:r w:rsidR="00891119" w:rsidRPr="003A2F86">
        <w:rPr>
          <w:rFonts w:eastAsia="Calibri"/>
          <w:lang w:val="hr-HR"/>
        </w:rPr>
        <w:t>.</w:t>
      </w:r>
      <w:r w:rsidR="00891119" w:rsidRPr="003A2F86">
        <w:rPr>
          <w:rFonts w:eastAsia="Calibri"/>
          <w:lang w:val="hr-HR"/>
        </w:rPr>
        <w:tab/>
        <w:t>RAZDJEL: (010) OPĆINSKO VIJEĆE I NAČELNIK</w:t>
      </w:r>
      <w:bookmarkEnd w:id="336"/>
      <w:bookmarkEnd w:id="337"/>
      <w:bookmarkEnd w:id="338"/>
      <w:r w:rsidR="00891119" w:rsidRPr="003A2F86">
        <w:rPr>
          <w:rFonts w:eastAsia="Calibri"/>
          <w:lang w:val="hr-HR"/>
        </w:rPr>
        <w:t xml:space="preserve"> </w:t>
      </w:r>
    </w:p>
    <w:p w14:paraId="149E9AB0" w14:textId="77777777" w:rsidR="00891119" w:rsidRPr="003A2F86" w:rsidRDefault="00891119" w:rsidP="00891119">
      <w:pPr>
        <w:spacing w:after="0" w:line="240" w:lineRule="auto"/>
        <w:rPr>
          <w:rFonts w:ascii="Arial" w:eastAsia="Times New Roman" w:hAnsi="Arial" w:cs="Arial"/>
          <w:iCs/>
          <w:sz w:val="20"/>
          <w:szCs w:val="20"/>
          <w:lang w:eastAsia="en-US"/>
        </w:rPr>
      </w:pPr>
    </w:p>
    <w:p w14:paraId="23A110E1" w14:textId="2D978919" w:rsidR="00DC1256" w:rsidRPr="003A2F86" w:rsidRDefault="00DC1256" w:rsidP="00DC1256">
      <w:pPr>
        <w:spacing w:after="0" w:line="240" w:lineRule="auto"/>
        <w:jc w:val="both"/>
        <w:rPr>
          <w:rFonts w:ascii="Arial" w:eastAsia="Times New Roman" w:hAnsi="Arial" w:cs="Arial"/>
          <w:iCs/>
          <w:sz w:val="20"/>
          <w:szCs w:val="20"/>
          <w:lang w:eastAsia="en-US"/>
        </w:rPr>
      </w:pPr>
      <w:r w:rsidRPr="003A2F86">
        <w:rPr>
          <w:rFonts w:ascii="Arial" w:eastAsia="Times New Roman" w:hAnsi="Arial" w:cs="Arial"/>
          <w:iCs/>
          <w:sz w:val="20"/>
          <w:szCs w:val="20"/>
          <w:lang w:eastAsia="en-US"/>
        </w:rPr>
        <w:t xml:space="preserve">Rashodi i izdaci razdjela 010 (Općinsko vijeće i načelnik) u iznosu </w:t>
      </w:r>
      <w:r w:rsidR="00041A7D">
        <w:rPr>
          <w:rFonts w:ascii="Arial" w:eastAsia="Times New Roman" w:hAnsi="Arial" w:cs="Arial"/>
          <w:iCs/>
          <w:sz w:val="20"/>
          <w:szCs w:val="20"/>
          <w:lang w:eastAsia="en-US"/>
        </w:rPr>
        <w:t>168.211,26</w:t>
      </w:r>
      <w:r w:rsidR="001C314D" w:rsidRPr="003A2F86">
        <w:rPr>
          <w:rFonts w:ascii="Arial" w:eastAsia="Times New Roman" w:hAnsi="Arial" w:cs="Arial"/>
          <w:iCs/>
          <w:sz w:val="20"/>
          <w:szCs w:val="20"/>
          <w:lang w:eastAsia="en-US"/>
        </w:rPr>
        <w:t xml:space="preserve"> €</w:t>
      </w:r>
      <w:r w:rsidRPr="003A2F86">
        <w:rPr>
          <w:rFonts w:ascii="Arial" w:eastAsia="Times New Roman" w:hAnsi="Arial" w:cs="Arial"/>
          <w:iCs/>
          <w:sz w:val="20"/>
          <w:szCs w:val="20"/>
          <w:lang w:eastAsia="en-US"/>
        </w:rPr>
        <w:t xml:space="preserve"> odnose se na rashode podijeljene u dvije glave (01001 – Općinsko vijeće – predstavničko tijelo, te 01002 – Načelnik i zamjenik načelnika), a svaka glava se sastoji od programa podijeljenih u aktivnosti i projekte.</w:t>
      </w:r>
    </w:p>
    <w:p w14:paraId="3B95F06E" w14:textId="77777777" w:rsidR="00AC36B6" w:rsidRDefault="00AC36B6" w:rsidP="00891119">
      <w:pPr>
        <w:spacing w:after="0" w:line="240" w:lineRule="auto"/>
        <w:jc w:val="both"/>
        <w:rPr>
          <w:rFonts w:ascii="Arial" w:eastAsia="Times New Roman" w:hAnsi="Arial" w:cs="Arial"/>
          <w:iCs/>
          <w:sz w:val="20"/>
          <w:szCs w:val="20"/>
          <w:lang w:eastAsia="en-US"/>
        </w:rPr>
      </w:pPr>
    </w:p>
    <w:p w14:paraId="5A39C9A7" w14:textId="5EC58994" w:rsidR="003A30DC" w:rsidRDefault="00464ACC" w:rsidP="00464ACC">
      <w:pPr>
        <w:spacing w:after="0" w:line="240" w:lineRule="auto"/>
        <w:jc w:val="center"/>
        <w:rPr>
          <w:rFonts w:ascii="Arial" w:eastAsia="Times New Roman" w:hAnsi="Arial" w:cs="Arial"/>
          <w:iCs/>
          <w:sz w:val="20"/>
          <w:szCs w:val="20"/>
          <w:lang w:eastAsia="en-US"/>
        </w:rPr>
      </w:pPr>
      <w:r w:rsidRPr="00464ACC">
        <w:rPr>
          <w:noProof/>
        </w:rPr>
        <w:drawing>
          <wp:inline distT="0" distB="0" distL="0" distR="0" wp14:anchorId="3CCC4F5D" wp14:editId="78974882">
            <wp:extent cx="8345805" cy="2374900"/>
            <wp:effectExtent l="0" t="0" r="0" b="6350"/>
            <wp:docPr id="903355793"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345805" cy="2374900"/>
                    </a:xfrm>
                    <a:prstGeom prst="rect">
                      <a:avLst/>
                    </a:prstGeom>
                    <a:noFill/>
                    <a:ln>
                      <a:noFill/>
                    </a:ln>
                  </pic:spPr>
                </pic:pic>
              </a:graphicData>
            </a:graphic>
          </wp:inline>
        </w:drawing>
      </w:r>
    </w:p>
    <w:p w14:paraId="130B2E2E" w14:textId="77777777" w:rsidR="003A30DC" w:rsidRPr="003A2F86" w:rsidRDefault="003A30DC" w:rsidP="00891119">
      <w:pPr>
        <w:spacing w:after="0" w:line="240" w:lineRule="auto"/>
        <w:jc w:val="both"/>
        <w:rPr>
          <w:rFonts w:ascii="Arial" w:eastAsia="Times New Roman" w:hAnsi="Arial" w:cs="Arial"/>
          <w:iCs/>
          <w:sz w:val="20"/>
          <w:szCs w:val="20"/>
          <w:lang w:eastAsia="en-US"/>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29"/>
        <w:gridCol w:w="13123"/>
      </w:tblGrid>
      <w:tr w:rsidR="007B75F4" w:rsidRPr="003A2F86" w14:paraId="29FDB133" w14:textId="77777777" w:rsidTr="00BE67BB">
        <w:tc>
          <w:tcPr>
            <w:tcW w:w="1329" w:type="dxa"/>
            <w:vAlign w:val="center"/>
          </w:tcPr>
          <w:p w14:paraId="5B289635" w14:textId="77777777" w:rsidR="007B75F4" w:rsidRPr="003A2F86" w:rsidRDefault="007B75F4" w:rsidP="007B75F4">
            <w:pPr>
              <w:spacing w:after="0" w:line="240" w:lineRule="auto"/>
              <w:rPr>
                <w:rFonts w:ascii="Arial" w:eastAsia="Calibri" w:hAnsi="Arial" w:cs="Arial"/>
                <w:b/>
                <w:bCs/>
              </w:rPr>
            </w:pPr>
            <w:r w:rsidRPr="003A2F86">
              <w:rPr>
                <w:rFonts w:ascii="Arial" w:eastAsia="Calibri" w:hAnsi="Arial" w:cs="Arial"/>
                <w:b/>
                <w:bCs/>
              </w:rPr>
              <w:t xml:space="preserve">Sažetak djelokruga rada </w:t>
            </w:r>
          </w:p>
        </w:tc>
        <w:tc>
          <w:tcPr>
            <w:tcW w:w="13123" w:type="dxa"/>
            <w:vAlign w:val="bottom"/>
          </w:tcPr>
          <w:p w14:paraId="3F175203" w14:textId="77777777" w:rsidR="007B75F4" w:rsidRPr="003A2F86" w:rsidRDefault="007B75F4" w:rsidP="007B75F4">
            <w:pPr>
              <w:spacing w:after="0" w:line="240" w:lineRule="auto"/>
              <w:rPr>
                <w:rFonts w:ascii="Arial" w:eastAsia="Calibri" w:hAnsi="Arial" w:cs="Arial"/>
              </w:rPr>
            </w:pPr>
            <w:r w:rsidRPr="003A2F86">
              <w:rPr>
                <w:rFonts w:ascii="Arial" w:eastAsia="Calibri" w:hAnsi="Arial" w:cs="Arial"/>
                <w:b/>
                <w:bCs/>
              </w:rPr>
              <w:t>Općinsko vijeće</w:t>
            </w:r>
            <w:r w:rsidRPr="003A2F86">
              <w:rPr>
                <w:rFonts w:ascii="Arial" w:eastAsia="Calibri" w:hAnsi="Arial" w:cs="Arial"/>
              </w:rPr>
              <w:t xml:space="preserve"> kao predstavničko tijelo je tijelo građana i tijelo lokalne samouprave, koje donosi odluke i akte u okviru prava i dužnosti Općine, te obavlja i druge poslove u skladu sa Ustavom, zakonom i Statutom.</w:t>
            </w:r>
          </w:p>
          <w:p w14:paraId="53B6E1B5" w14:textId="77777777" w:rsidR="007B75F4" w:rsidRPr="003A2F86" w:rsidRDefault="007B75F4" w:rsidP="007B75F4">
            <w:pPr>
              <w:spacing w:after="0" w:line="240" w:lineRule="auto"/>
              <w:rPr>
                <w:rFonts w:ascii="Arial" w:eastAsia="Calibri" w:hAnsi="Arial" w:cs="Arial"/>
              </w:rPr>
            </w:pPr>
            <w:r w:rsidRPr="003A2F86">
              <w:rPr>
                <w:rFonts w:ascii="Arial" w:eastAsia="Calibri" w:hAnsi="Arial" w:cs="Arial"/>
                <w:b/>
                <w:bCs/>
              </w:rPr>
              <w:t>Općinski načelnik</w:t>
            </w:r>
            <w:r w:rsidRPr="003A2F86">
              <w:rPr>
                <w:rFonts w:ascii="Arial" w:eastAsia="Calibri" w:hAnsi="Arial" w:cs="Arial"/>
              </w:rPr>
              <w:t xml:space="preserve"> je izvršno tijelo jedinice lokalne samouprave</w:t>
            </w:r>
          </w:p>
        </w:tc>
      </w:tr>
    </w:tbl>
    <w:p w14:paraId="0483C035" w14:textId="77777777" w:rsidR="007B75F4" w:rsidRPr="003A2F86" w:rsidRDefault="007B75F4" w:rsidP="00A83BD4">
      <w:pPr>
        <w:spacing w:after="0" w:line="240" w:lineRule="auto"/>
        <w:rPr>
          <w:rFonts w:ascii="Arial" w:eastAsia="Calibri" w:hAnsi="Arial" w:cs="Arial"/>
        </w:rPr>
      </w:pPr>
    </w:p>
    <w:p w14:paraId="4D715A17" w14:textId="77777777" w:rsidR="007B75F4" w:rsidRPr="003A2F86" w:rsidRDefault="007B75F4" w:rsidP="00A83BD4">
      <w:pPr>
        <w:spacing w:after="0" w:line="240" w:lineRule="auto"/>
        <w:rPr>
          <w:rFonts w:ascii="Arial" w:eastAsia="Calibri" w:hAnsi="Arial" w:cs="Arial"/>
        </w:rPr>
      </w:pPr>
    </w:p>
    <w:p w14:paraId="1099FDF9" w14:textId="77777777" w:rsidR="007B75F4" w:rsidRPr="003A2F86" w:rsidRDefault="007B75F4" w:rsidP="00A83BD4">
      <w:pPr>
        <w:spacing w:after="0" w:line="240" w:lineRule="auto"/>
        <w:rPr>
          <w:rFonts w:ascii="Arial" w:eastAsia="Calibri" w:hAnsi="Arial" w:cs="Arial"/>
        </w:rPr>
      </w:pPr>
    </w:p>
    <w:p w14:paraId="4FB512C2" w14:textId="77777777" w:rsidR="007B75F4" w:rsidRPr="003A2F86" w:rsidRDefault="007B75F4" w:rsidP="00A83BD4">
      <w:pPr>
        <w:spacing w:after="0" w:line="240" w:lineRule="auto"/>
        <w:rPr>
          <w:rFonts w:ascii="Arial" w:eastAsia="Calibri" w:hAnsi="Arial" w:cs="Arial"/>
        </w:rPr>
      </w:pPr>
    </w:p>
    <w:p w14:paraId="6238A576" w14:textId="77777777" w:rsidR="007B75F4" w:rsidRDefault="007B75F4" w:rsidP="00A83BD4">
      <w:pPr>
        <w:spacing w:after="0" w:line="240" w:lineRule="auto"/>
        <w:rPr>
          <w:rFonts w:ascii="Arial" w:eastAsia="Calibri" w:hAnsi="Arial" w:cs="Arial"/>
        </w:rPr>
      </w:pPr>
    </w:p>
    <w:p w14:paraId="1A728CAB" w14:textId="77777777" w:rsidR="00BE0C18" w:rsidRDefault="00BE0C18" w:rsidP="00A83BD4">
      <w:pPr>
        <w:spacing w:after="0" w:line="240" w:lineRule="auto"/>
        <w:rPr>
          <w:rFonts w:ascii="Arial" w:eastAsia="Calibri" w:hAnsi="Arial" w:cs="Arial"/>
        </w:rPr>
      </w:pPr>
    </w:p>
    <w:p w14:paraId="250EDD14" w14:textId="77777777" w:rsidR="003A30DC" w:rsidRPr="003A2F86" w:rsidRDefault="003A30DC" w:rsidP="00A83BD4">
      <w:pPr>
        <w:spacing w:after="0" w:line="240" w:lineRule="auto"/>
        <w:rPr>
          <w:rFonts w:ascii="Arial" w:eastAsia="Calibri" w:hAnsi="Arial" w:cs="Arial"/>
        </w:rPr>
      </w:pPr>
    </w:p>
    <w:p w14:paraId="20E0505F" w14:textId="77777777" w:rsidR="00BE0C18" w:rsidRPr="003A2F86" w:rsidRDefault="00BE0C18" w:rsidP="00BE0C18">
      <w:pPr>
        <w:spacing w:after="0" w:line="240" w:lineRule="auto"/>
        <w:rPr>
          <w:rFonts w:ascii="Arial" w:eastAsia="Calibri" w:hAnsi="Arial" w:cs="Arial"/>
        </w:rPr>
      </w:pPr>
    </w:p>
    <w:p w14:paraId="587822AE" w14:textId="77777777" w:rsidR="00BE0C18" w:rsidRPr="003A2F86" w:rsidRDefault="00BE0C18" w:rsidP="00BE0C18">
      <w:pPr>
        <w:spacing w:after="0" w:line="240" w:lineRule="auto"/>
        <w:rPr>
          <w:rFonts w:ascii="Arial" w:eastAsia="Calibri" w:hAnsi="Arial" w:cs="Arial"/>
        </w:rPr>
      </w:pPr>
    </w:p>
    <w:p w14:paraId="13D742B5" w14:textId="77777777" w:rsidR="00BE0C18" w:rsidRPr="003A2F86" w:rsidRDefault="00BE0C18" w:rsidP="00BE0C18">
      <w:pPr>
        <w:spacing w:after="0" w:line="240" w:lineRule="auto"/>
        <w:rPr>
          <w:rFonts w:ascii="Arial" w:eastAsia="Calibri" w:hAnsi="Arial" w:cs="Arial"/>
        </w:rPr>
      </w:pPr>
    </w:p>
    <w:p w14:paraId="4426D6E5" w14:textId="77777777" w:rsidR="00BE0C18" w:rsidRDefault="00BE0C18" w:rsidP="00BE0C18">
      <w:pPr>
        <w:spacing w:after="0" w:line="240" w:lineRule="auto"/>
        <w:rPr>
          <w:rFonts w:ascii="Arial" w:eastAsia="Calibri" w:hAnsi="Arial" w:cs="Arial"/>
        </w:rPr>
      </w:pPr>
    </w:p>
    <w:p w14:paraId="5E161A93" w14:textId="77777777" w:rsidR="00464ACC" w:rsidRPr="003A2F86" w:rsidRDefault="00464ACC" w:rsidP="00BE0C18">
      <w:pPr>
        <w:spacing w:after="0" w:line="240" w:lineRule="auto"/>
        <w:rPr>
          <w:rFonts w:ascii="Arial" w:eastAsia="Calibri" w:hAnsi="Arial" w:cs="Arial"/>
        </w:rPr>
      </w:pPr>
    </w:p>
    <w:p w14:paraId="210EF16D" w14:textId="77777777" w:rsidR="00BE0C18" w:rsidRPr="003A2F86" w:rsidRDefault="00BE0C18">
      <w:pPr>
        <w:pStyle w:val="Odlomakpopisa"/>
        <w:numPr>
          <w:ilvl w:val="0"/>
          <w:numId w:val="26"/>
        </w:num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eastAsia="Calibri" w:hAnsi="Arial" w:cs="Arial"/>
          <w:b/>
        </w:rPr>
      </w:pPr>
      <w:r w:rsidRPr="003A2F86">
        <w:rPr>
          <w:rFonts w:ascii="Arial" w:eastAsia="Calibri" w:hAnsi="Arial" w:cs="Arial"/>
          <w:b/>
        </w:rPr>
        <w:lastRenderedPageBreak/>
        <w:t>OBRAZLOŽENJE OPĆEG DIJELA FINANCIJSKOG PLANA</w:t>
      </w:r>
    </w:p>
    <w:p w14:paraId="20321238" w14:textId="49B97DAB" w:rsidR="00D63A51" w:rsidRPr="003A2F86" w:rsidRDefault="00D63A51" w:rsidP="00A83BD4">
      <w:pPr>
        <w:spacing w:after="0" w:line="240" w:lineRule="auto"/>
        <w:jc w:val="center"/>
        <w:rPr>
          <w:rFonts w:ascii="Arial" w:eastAsia="Calibri" w:hAnsi="Arial" w:cs="Arial"/>
        </w:rPr>
      </w:pPr>
    </w:p>
    <w:p w14:paraId="20374984" w14:textId="68959C94" w:rsidR="000F3D70" w:rsidRPr="003A2F86" w:rsidRDefault="00E44597" w:rsidP="00A83BD4">
      <w:pPr>
        <w:jc w:val="center"/>
        <w:rPr>
          <w:rFonts w:ascii="Arial" w:eastAsia="Calibri" w:hAnsi="Arial" w:cs="Arial"/>
        </w:rPr>
      </w:pPr>
      <w:r w:rsidRPr="00E44597">
        <w:rPr>
          <w:noProof/>
        </w:rPr>
        <w:drawing>
          <wp:inline distT="0" distB="0" distL="0" distR="0" wp14:anchorId="683B5BAF" wp14:editId="7637DF47">
            <wp:extent cx="8246830" cy="5672841"/>
            <wp:effectExtent l="0" t="0" r="1905" b="4445"/>
            <wp:docPr id="1996249638"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247644" cy="5673401"/>
                    </a:xfrm>
                    <a:prstGeom prst="rect">
                      <a:avLst/>
                    </a:prstGeom>
                    <a:noFill/>
                    <a:ln>
                      <a:noFill/>
                    </a:ln>
                  </pic:spPr>
                </pic:pic>
              </a:graphicData>
            </a:graphic>
          </wp:inline>
        </w:drawing>
      </w:r>
    </w:p>
    <w:p w14:paraId="6A2BCB01" w14:textId="77777777" w:rsidR="00AA433D" w:rsidRDefault="00AA433D" w:rsidP="007B75F4">
      <w:pPr>
        <w:spacing w:after="0" w:line="240" w:lineRule="auto"/>
        <w:ind w:firstLine="708"/>
        <w:jc w:val="both"/>
        <w:rPr>
          <w:rFonts w:ascii="Arial" w:eastAsia="Calibri" w:hAnsi="Arial" w:cs="Arial"/>
          <w:sz w:val="20"/>
          <w:szCs w:val="20"/>
          <w:u w:val="single"/>
          <w:lang w:eastAsia="en-US"/>
        </w:rPr>
      </w:pPr>
    </w:p>
    <w:p w14:paraId="6235C154" w14:textId="3BB667B9" w:rsidR="007B75F4" w:rsidRPr="003A2F86" w:rsidRDefault="00396029" w:rsidP="007B75F4">
      <w:pPr>
        <w:spacing w:after="0" w:line="240" w:lineRule="auto"/>
        <w:ind w:firstLine="708"/>
        <w:jc w:val="both"/>
        <w:rPr>
          <w:rFonts w:ascii="Arial" w:eastAsia="Calibri" w:hAnsi="Arial" w:cs="Arial"/>
          <w:sz w:val="20"/>
          <w:szCs w:val="20"/>
          <w:lang w:eastAsia="en-US"/>
        </w:rPr>
      </w:pPr>
      <w:r w:rsidRPr="003A2F86">
        <w:rPr>
          <w:rFonts w:ascii="Arial" w:eastAsia="Calibri" w:hAnsi="Arial" w:cs="Arial"/>
          <w:sz w:val="20"/>
          <w:szCs w:val="20"/>
          <w:u w:val="single"/>
          <w:lang w:eastAsia="en-US"/>
        </w:rPr>
        <w:t>Ostvareni</w:t>
      </w:r>
      <w:r w:rsidR="007B75F4" w:rsidRPr="003A2F86">
        <w:rPr>
          <w:rFonts w:ascii="Arial" w:eastAsia="Calibri" w:hAnsi="Arial" w:cs="Arial"/>
          <w:sz w:val="20"/>
          <w:szCs w:val="20"/>
          <w:u w:val="single"/>
          <w:lang w:eastAsia="en-US"/>
        </w:rPr>
        <w:t xml:space="preserve"> prihodi poslovanja</w:t>
      </w:r>
      <w:r w:rsidR="007B75F4" w:rsidRPr="003A2F86">
        <w:rPr>
          <w:rFonts w:ascii="Arial" w:eastAsia="Calibri" w:hAnsi="Arial" w:cs="Arial"/>
          <w:sz w:val="20"/>
          <w:szCs w:val="20"/>
          <w:lang w:eastAsia="en-US"/>
        </w:rPr>
        <w:t xml:space="preserve"> za 202</w:t>
      </w:r>
      <w:r w:rsidR="00E95253">
        <w:rPr>
          <w:rFonts w:ascii="Arial" w:eastAsia="Calibri" w:hAnsi="Arial" w:cs="Arial"/>
          <w:sz w:val="20"/>
          <w:szCs w:val="20"/>
          <w:lang w:eastAsia="en-US"/>
        </w:rPr>
        <w:t>5</w:t>
      </w:r>
      <w:r w:rsidRPr="003A2F86">
        <w:rPr>
          <w:rFonts w:ascii="Arial" w:eastAsia="Calibri" w:hAnsi="Arial" w:cs="Arial"/>
          <w:sz w:val="20"/>
          <w:szCs w:val="20"/>
          <w:lang w:eastAsia="en-US"/>
        </w:rPr>
        <w:t>.</w:t>
      </w:r>
      <w:r w:rsidR="007B75F4" w:rsidRPr="003A2F86">
        <w:rPr>
          <w:rFonts w:ascii="Arial" w:eastAsia="Calibri" w:hAnsi="Arial" w:cs="Arial"/>
          <w:sz w:val="20"/>
          <w:szCs w:val="20"/>
          <w:lang w:eastAsia="en-US"/>
        </w:rPr>
        <w:t>:</w:t>
      </w:r>
    </w:p>
    <w:p w14:paraId="4346A87B" w14:textId="3CA693B7" w:rsidR="007B75F4" w:rsidRPr="003A2F86" w:rsidRDefault="007B75F4">
      <w:pPr>
        <w:numPr>
          <w:ilvl w:val="0"/>
          <w:numId w:val="8"/>
        </w:num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 xml:space="preserve">Razdjel ne ostvaruje vlastite prihode, osim </w:t>
      </w:r>
      <w:r w:rsidR="00396029" w:rsidRPr="003A2F86">
        <w:rPr>
          <w:rFonts w:ascii="Arial" w:eastAsia="Calibri" w:hAnsi="Arial" w:cs="Arial"/>
          <w:sz w:val="20"/>
          <w:szCs w:val="20"/>
          <w:lang w:eastAsia="en-US"/>
        </w:rPr>
        <w:t xml:space="preserve">u slučaju primanja pomoći </w:t>
      </w:r>
      <w:r w:rsidRPr="003A2F86">
        <w:rPr>
          <w:rFonts w:ascii="Arial" w:eastAsia="Calibri" w:hAnsi="Arial" w:cs="Arial"/>
          <w:sz w:val="20"/>
          <w:szCs w:val="20"/>
          <w:lang w:eastAsia="en-US"/>
        </w:rPr>
        <w:t>za sufinanciranje provedbe dijela lokalnih izbora (za izbor župana i članova županijske skupštine)</w:t>
      </w:r>
      <w:r w:rsidR="00396029" w:rsidRPr="003A2F86">
        <w:rPr>
          <w:rFonts w:ascii="Arial" w:eastAsia="Calibri" w:hAnsi="Arial" w:cs="Arial"/>
          <w:sz w:val="20"/>
          <w:szCs w:val="20"/>
          <w:lang w:eastAsia="en-US"/>
        </w:rPr>
        <w:t>. U 202</w:t>
      </w:r>
      <w:r w:rsidR="00E95253">
        <w:rPr>
          <w:rFonts w:ascii="Arial" w:eastAsia="Calibri" w:hAnsi="Arial" w:cs="Arial"/>
          <w:sz w:val="20"/>
          <w:szCs w:val="20"/>
          <w:lang w:eastAsia="en-US"/>
        </w:rPr>
        <w:t>5</w:t>
      </w:r>
      <w:r w:rsidR="00396029" w:rsidRPr="003A2F86">
        <w:rPr>
          <w:rFonts w:ascii="Arial" w:eastAsia="Calibri" w:hAnsi="Arial" w:cs="Arial"/>
          <w:sz w:val="20"/>
          <w:szCs w:val="20"/>
          <w:lang w:eastAsia="en-US"/>
        </w:rPr>
        <w:t xml:space="preserve">. </w:t>
      </w:r>
      <w:r w:rsidR="00E95253">
        <w:rPr>
          <w:rFonts w:ascii="Arial" w:eastAsia="Calibri" w:hAnsi="Arial" w:cs="Arial"/>
          <w:sz w:val="20"/>
          <w:szCs w:val="20"/>
          <w:lang w:eastAsia="en-US"/>
        </w:rPr>
        <w:t xml:space="preserve">ovi prihodi su ostvareni u iznosu </w:t>
      </w:r>
      <w:r w:rsidR="0041498F">
        <w:rPr>
          <w:rFonts w:ascii="Arial" w:eastAsia="Calibri" w:hAnsi="Arial" w:cs="Arial"/>
          <w:sz w:val="20"/>
          <w:szCs w:val="20"/>
          <w:lang w:eastAsia="en-US"/>
        </w:rPr>
        <w:t>44.660</w:t>
      </w:r>
      <w:r w:rsidR="00E95253">
        <w:rPr>
          <w:rFonts w:ascii="Arial" w:eastAsia="Calibri" w:hAnsi="Arial" w:cs="Arial"/>
          <w:sz w:val="20"/>
          <w:szCs w:val="20"/>
          <w:lang w:eastAsia="en-US"/>
        </w:rPr>
        <w:t>,31 €</w:t>
      </w:r>
      <w:r w:rsidR="008E133B" w:rsidRPr="003A2F86">
        <w:rPr>
          <w:rFonts w:ascii="Arial" w:eastAsia="Calibri" w:hAnsi="Arial" w:cs="Arial"/>
          <w:sz w:val="20"/>
          <w:szCs w:val="20"/>
          <w:lang w:eastAsia="en-US"/>
        </w:rPr>
        <w:t>.</w:t>
      </w:r>
    </w:p>
    <w:p w14:paraId="45DCD465" w14:textId="7B4151F0" w:rsidR="000F3D70" w:rsidRPr="003A2F86" w:rsidRDefault="00E95253">
      <w:pPr>
        <w:numPr>
          <w:ilvl w:val="0"/>
          <w:numId w:val="8"/>
        </w:numPr>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 xml:space="preserve">Ostali </w:t>
      </w:r>
      <w:r w:rsidR="007B75F4" w:rsidRPr="003A2F86">
        <w:rPr>
          <w:rFonts w:ascii="Arial" w:eastAsia="Calibri" w:hAnsi="Arial" w:cs="Arial"/>
          <w:sz w:val="20"/>
          <w:szCs w:val="20"/>
          <w:lang w:eastAsia="en-US"/>
        </w:rPr>
        <w:t>prihodi za 20</w:t>
      </w:r>
      <w:r>
        <w:rPr>
          <w:rFonts w:ascii="Arial" w:eastAsia="Calibri" w:hAnsi="Arial" w:cs="Arial"/>
          <w:sz w:val="20"/>
          <w:szCs w:val="20"/>
          <w:lang w:eastAsia="en-US"/>
        </w:rPr>
        <w:t>25</w:t>
      </w:r>
      <w:r w:rsidR="007B75F4" w:rsidRPr="003A2F86">
        <w:rPr>
          <w:rFonts w:ascii="Arial" w:eastAsia="Calibri" w:hAnsi="Arial" w:cs="Arial"/>
          <w:sz w:val="20"/>
          <w:szCs w:val="20"/>
          <w:lang w:eastAsia="en-US"/>
        </w:rPr>
        <w:t>. (</w:t>
      </w:r>
      <w:r w:rsidR="00CB3F71">
        <w:rPr>
          <w:rFonts w:ascii="Arial" w:eastAsia="Calibri" w:hAnsi="Arial" w:cs="Arial"/>
          <w:sz w:val="20"/>
          <w:szCs w:val="20"/>
          <w:lang w:eastAsia="en-US"/>
        </w:rPr>
        <w:t>12</w:t>
      </w:r>
      <w:r w:rsidR="00E44597">
        <w:rPr>
          <w:rFonts w:ascii="Arial" w:eastAsia="Calibri" w:hAnsi="Arial" w:cs="Arial"/>
          <w:sz w:val="20"/>
          <w:szCs w:val="20"/>
          <w:lang w:eastAsia="en-US"/>
        </w:rPr>
        <w:t>3.550,95</w:t>
      </w:r>
      <w:r w:rsidR="007B75F4" w:rsidRPr="003A2F86">
        <w:rPr>
          <w:rFonts w:ascii="Arial" w:eastAsia="Calibri" w:hAnsi="Arial" w:cs="Arial"/>
          <w:sz w:val="20"/>
          <w:szCs w:val="20"/>
          <w:lang w:eastAsia="en-US"/>
        </w:rPr>
        <w:t xml:space="preserve"> </w:t>
      </w:r>
      <w:r w:rsidR="004B1380" w:rsidRPr="003A2F86">
        <w:rPr>
          <w:rFonts w:ascii="Arial" w:eastAsia="Calibri" w:hAnsi="Arial" w:cs="Arial"/>
          <w:sz w:val="20"/>
          <w:szCs w:val="20"/>
          <w:lang w:eastAsia="en-US"/>
        </w:rPr>
        <w:t>€</w:t>
      </w:r>
      <w:r w:rsidR="007B75F4" w:rsidRPr="003A2F86">
        <w:rPr>
          <w:rFonts w:ascii="Arial" w:eastAsia="Calibri" w:hAnsi="Arial" w:cs="Arial"/>
          <w:sz w:val="20"/>
          <w:szCs w:val="20"/>
          <w:lang w:eastAsia="en-US"/>
        </w:rPr>
        <w:t>) se odnose na prihode koji se u financijskom planu razdjela iskazuje na 671</w:t>
      </w:r>
      <w:r w:rsidR="00396029" w:rsidRPr="003A2F86">
        <w:rPr>
          <w:rFonts w:ascii="Arial" w:eastAsia="Calibri" w:hAnsi="Arial" w:cs="Arial"/>
          <w:sz w:val="20"/>
          <w:szCs w:val="20"/>
          <w:lang w:eastAsia="en-US"/>
        </w:rPr>
        <w:t xml:space="preserve">. </w:t>
      </w:r>
    </w:p>
    <w:p w14:paraId="6C0C74BE" w14:textId="77777777" w:rsidR="007B75F4" w:rsidRPr="003A2F86" w:rsidRDefault="007B75F4" w:rsidP="007B75F4">
      <w:pPr>
        <w:spacing w:after="0" w:line="240" w:lineRule="auto"/>
        <w:jc w:val="both"/>
        <w:rPr>
          <w:rFonts w:ascii="Arial" w:eastAsia="Calibri" w:hAnsi="Arial" w:cs="Arial"/>
          <w:sz w:val="20"/>
          <w:szCs w:val="20"/>
          <w:lang w:eastAsia="en-US"/>
        </w:rPr>
      </w:pPr>
    </w:p>
    <w:p w14:paraId="34E77FC8" w14:textId="4E33B0CE" w:rsidR="007B75F4" w:rsidRPr="003A2F86" w:rsidRDefault="00396029" w:rsidP="007B75F4">
      <w:pPr>
        <w:spacing w:after="0" w:line="240" w:lineRule="auto"/>
        <w:ind w:firstLine="708"/>
        <w:jc w:val="both"/>
        <w:rPr>
          <w:rFonts w:ascii="Arial" w:eastAsia="Calibri" w:hAnsi="Arial" w:cs="Arial"/>
          <w:sz w:val="20"/>
          <w:szCs w:val="20"/>
          <w:lang w:eastAsia="en-US"/>
        </w:rPr>
      </w:pPr>
      <w:r w:rsidRPr="003A2F86">
        <w:rPr>
          <w:rFonts w:ascii="Arial" w:eastAsia="Calibri" w:hAnsi="Arial" w:cs="Arial"/>
          <w:sz w:val="20"/>
          <w:szCs w:val="20"/>
          <w:u w:val="single"/>
          <w:lang w:eastAsia="en-US"/>
        </w:rPr>
        <w:t>Izvršeni</w:t>
      </w:r>
      <w:r w:rsidR="007B75F4" w:rsidRPr="003A2F86">
        <w:rPr>
          <w:rFonts w:ascii="Arial" w:eastAsia="Calibri" w:hAnsi="Arial" w:cs="Arial"/>
          <w:sz w:val="20"/>
          <w:szCs w:val="20"/>
          <w:u w:val="single"/>
          <w:lang w:eastAsia="en-US"/>
        </w:rPr>
        <w:t xml:space="preserve"> rashodi poslovanja</w:t>
      </w:r>
      <w:r w:rsidR="007B75F4" w:rsidRPr="003A2F86">
        <w:rPr>
          <w:rFonts w:ascii="Arial" w:eastAsia="Calibri" w:hAnsi="Arial" w:cs="Arial"/>
          <w:sz w:val="20"/>
          <w:szCs w:val="20"/>
          <w:lang w:eastAsia="en-US"/>
        </w:rPr>
        <w:t xml:space="preserve"> sastoje se od:</w:t>
      </w:r>
    </w:p>
    <w:p w14:paraId="6CBC51D3" w14:textId="28F9A03B" w:rsidR="007B75F4" w:rsidRPr="003A2F86" w:rsidRDefault="007B75F4">
      <w:pPr>
        <w:numPr>
          <w:ilvl w:val="0"/>
          <w:numId w:val="27"/>
        </w:numPr>
        <w:spacing w:after="0" w:line="240" w:lineRule="auto"/>
        <w:contextualSpacing/>
        <w:jc w:val="both"/>
        <w:rPr>
          <w:rFonts w:ascii="Arial" w:eastAsia="Calibri" w:hAnsi="Arial" w:cs="Arial"/>
          <w:sz w:val="20"/>
          <w:szCs w:val="20"/>
          <w:lang w:eastAsia="en-US"/>
        </w:rPr>
      </w:pPr>
      <w:r w:rsidRPr="003A2F86">
        <w:rPr>
          <w:rFonts w:ascii="Arial" w:eastAsia="Calibri" w:hAnsi="Arial" w:cs="Arial"/>
          <w:sz w:val="20"/>
          <w:szCs w:val="20"/>
          <w:lang w:eastAsia="en-US"/>
        </w:rPr>
        <w:t xml:space="preserve">rashoda za </w:t>
      </w:r>
      <w:r w:rsidR="00396029" w:rsidRPr="003A2F86">
        <w:rPr>
          <w:rFonts w:ascii="Arial" w:eastAsia="Calibri" w:hAnsi="Arial" w:cs="Arial"/>
          <w:sz w:val="20"/>
          <w:szCs w:val="20"/>
          <w:lang w:eastAsia="en-US"/>
        </w:rPr>
        <w:t xml:space="preserve">osnovne aktivnosti načelnika u iznosu </w:t>
      </w:r>
      <w:r w:rsidR="002C6F39">
        <w:rPr>
          <w:rFonts w:ascii="Arial" w:eastAsia="Calibri" w:hAnsi="Arial" w:cs="Arial"/>
          <w:sz w:val="20"/>
          <w:szCs w:val="20"/>
          <w:lang w:eastAsia="en-US"/>
        </w:rPr>
        <w:t>78.161</w:t>
      </w:r>
      <w:r w:rsidR="00396029" w:rsidRPr="003A2F86">
        <w:rPr>
          <w:rFonts w:ascii="Arial" w:eastAsia="Calibri" w:hAnsi="Arial" w:cs="Arial"/>
          <w:sz w:val="20"/>
          <w:szCs w:val="20"/>
          <w:lang w:eastAsia="en-US"/>
        </w:rPr>
        <w:t xml:space="preserve"> € od čega plaća </w:t>
      </w:r>
      <w:r w:rsidRPr="003A2F86">
        <w:rPr>
          <w:rFonts w:ascii="Arial" w:eastAsia="Calibri" w:hAnsi="Arial" w:cs="Arial"/>
          <w:sz w:val="20"/>
          <w:szCs w:val="20"/>
          <w:lang w:eastAsia="en-US"/>
        </w:rPr>
        <w:t>načelnika</w:t>
      </w:r>
      <w:r w:rsidR="00396029" w:rsidRPr="003A2F86">
        <w:rPr>
          <w:rFonts w:ascii="Arial" w:eastAsia="Calibri" w:hAnsi="Arial" w:cs="Arial"/>
          <w:sz w:val="20"/>
          <w:szCs w:val="20"/>
          <w:lang w:eastAsia="en-US"/>
        </w:rPr>
        <w:t xml:space="preserve"> (31)</w:t>
      </w:r>
      <w:r w:rsidRPr="003A2F86">
        <w:rPr>
          <w:rFonts w:ascii="Arial" w:eastAsia="Calibri" w:hAnsi="Arial" w:cs="Arial"/>
          <w:sz w:val="20"/>
          <w:szCs w:val="20"/>
          <w:lang w:eastAsia="en-US"/>
        </w:rPr>
        <w:t xml:space="preserve"> u iznosu </w:t>
      </w:r>
      <w:r w:rsidR="00CB3F71">
        <w:rPr>
          <w:rFonts w:ascii="Arial" w:eastAsia="Calibri" w:hAnsi="Arial" w:cs="Arial"/>
          <w:sz w:val="20"/>
          <w:szCs w:val="20"/>
          <w:lang w:eastAsia="en-US"/>
        </w:rPr>
        <w:t>7</w:t>
      </w:r>
      <w:r w:rsidR="002C6F39">
        <w:rPr>
          <w:rFonts w:ascii="Arial" w:eastAsia="Calibri" w:hAnsi="Arial" w:cs="Arial"/>
          <w:sz w:val="20"/>
          <w:szCs w:val="20"/>
          <w:lang w:eastAsia="en-US"/>
        </w:rPr>
        <w:t>3.498,91</w:t>
      </w:r>
      <w:r w:rsidR="00396029" w:rsidRPr="003A2F86">
        <w:rPr>
          <w:rFonts w:ascii="Arial" w:eastAsia="Calibri" w:hAnsi="Arial" w:cs="Arial"/>
          <w:sz w:val="20"/>
          <w:szCs w:val="20"/>
          <w:lang w:eastAsia="en-US"/>
        </w:rPr>
        <w:t xml:space="preserve"> €</w:t>
      </w:r>
      <w:r w:rsidRPr="003A2F86">
        <w:rPr>
          <w:rFonts w:ascii="Arial" w:eastAsia="Calibri" w:hAnsi="Arial" w:cs="Arial"/>
          <w:sz w:val="20"/>
          <w:szCs w:val="20"/>
          <w:lang w:eastAsia="en-US"/>
        </w:rPr>
        <w:t xml:space="preserve"> (odnose se na rashode za bruto plaću, doprinose na plaću), </w:t>
      </w:r>
      <w:r w:rsidR="00396029" w:rsidRPr="003A2F86">
        <w:rPr>
          <w:rFonts w:ascii="Arial" w:eastAsia="Calibri" w:hAnsi="Arial" w:cs="Arial"/>
          <w:sz w:val="20"/>
          <w:szCs w:val="20"/>
          <w:lang w:eastAsia="en-US"/>
        </w:rPr>
        <w:t>te naknade troškova (32)</w:t>
      </w:r>
      <w:r w:rsidRPr="003A2F86">
        <w:rPr>
          <w:rFonts w:ascii="Arial" w:eastAsia="Calibri" w:hAnsi="Arial" w:cs="Arial"/>
          <w:sz w:val="20"/>
          <w:szCs w:val="20"/>
          <w:lang w:eastAsia="en-US"/>
        </w:rPr>
        <w:t xml:space="preserve"> </w:t>
      </w:r>
      <w:r w:rsidR="00396029" w:rsidRPr="003A2F86">
        <w:rPr>
          <w:rFonts w:ascii="Arial" w:eastAsia="Calibri" w:hAnsi="Arial" w:cs="Arial"/>
          <w:sz w:val="20"/>
          <w:szCs w:val="20"/>
          <w:lang w:eastAsia="en-US"/>
        </w:rPr>
        <w:t xml:space="preserve">u iznosu </w:t>
      </w:r>
      <w:r w:rsidR="00CB3F71">
        <w:rPr>
          <w:rFonts w:ascii="Arial" w:eastAsia="Calibri" w:hAnsi="Arial" w:cs="Arial"/>
          <w:sz w:val="20"/>
          <w:szCs w:val="20"/>
          <w:lang w:eastAsia="en-US"/>
        </w:rPr>
        <w:t>4.662,09</w:t>
      </w:r>
      <w:r w:rsidR="00396029" w:rsidRPr="003A2F86">
        <w:rPr>
          <w:rFonts w:ascii="Arial" w:eastAsia="Calibri" w:hAnsi="Arial" w:cs="Arial"/>
          <w:sz w:val="20"/>
          <w:szCs w:val="20"/>
          <w:lang w:eastAsia="en-US"/>
        </w:rPr>
        <w:t xml:space="preserve"> € (službena putovanja</w:t>
      </w:r>
      <w:r w:rsidRPr="003A2F86">
        <w:rPr>
          <w:rFonts w:ascii="Arial" w:eastAsia="Calibri" w:hAnsi="Arial" w:cs="Arial"/>
          <w:sz w:val="20"/>
          <w:szCs w:val="20"/>
          <w:lang w:eastAsia="en-US"/>
        </w:rPr>
        <w:t>),</w:t>
      </w:r>
    </w:p>
    <w:p w14:paraId="6EF01434" w14:textId="14F0CC9B" w:rsidR="007B75F4" w:rsidRPr="003A2F86" w:rsidRDefault="00396029">
      <w:pPr>
        <w:numPr>
          <w:ilvl w:val="0"/>
          <w:numId w:val="27"/>
        </w:numPr>
        <w:spacing w:after="0" w:line="240" w:lineRule="auto"/>
        <w:contextualSpacing/>
        <w:jc w:val="both"/>
        <w:rPr>
          <w:rFonts w:ascii="Arial" w:eastAsia="Calibri" w:hAnsi="Arial" w:cs="Arial"/>
          <w:sz w:val="20"/>
          <w:szCs w:val="20"/>
          <w:u w:val="single"/>
          <w:lang w:eastAsia="en-US"/>
        </w:rPr>
      </w:pPr>
      <w:r w:rsidRPr="003A2F86">
        <w:rPr>
          <w:rFonts w:ascii="Arial" w:eastAsia="Calibri" w:hAnsi="Arial" w:cs="Arial"/>
          <w:sz w:val="20"/>
          <w:szCs w:val="20"/>
          <w:lang w:eastAsia="en-US"/>
        </w:rPr>
        <w:t xml:space="preserve">osnovne aktivnosti općinskog vijeća u iznosu </w:t>
      </w:r>
      <w:r w:rsidR="00CB3F71">
        <w:rPr>
          <w:rFonts w:ascii="Arial" w:eastAsia="Calibri" w:hAnsi="Arial" w:cs="Arial"/>
          <w:sz w:val="20"/>
          <w:szCs w:val="20"/>
          <w:lang w:eastAsia="en-US"/>
        </w:rPr>
        <w:t>90.050,26</w:t>
      </w:r>
      <w:r w:rsidRPr="003A2F86">
        <w:rPr>
          <w:rFonts w:ascii="Arial" w:eastAsia="Calibri" w:hAnsi="Arial" w:cs="Arial"/>
          <w:sz w:val="20"/>
          <w:szCs w:val="20"/>
          <w:lang w:eastAsia="en-US"/>
        </w:rPr>
        <w:t xml:space="preserve"> € (naknade za rad predstavničkog tijela</w:t>
      </w:r>
      <w:r w:rsidR="00CB3F71">
        <w:rPr>
          <w:rFonts w:ascii="Arial" w:eastAsia="Calibri" w:hAnsi="Arial" w:cs="Arial"/>
          <w:sz w:val="20"/>
          <w:szCs w:val="20"/>
          <w:lang w:eastAsia="en-US"/>
        </w:rPr>
        <w:t xml:space="preserve"> i troškovi službenog puta</w:t>
      </w:r>
      <w:r w:rsidRPr="003A2F86">
        <w:rPr>
          <w:rFonts w:ascii="Arial" w:eastAsia="Calibri" w:hAnsi="Arial" w:cs="Arial"/>
          <w:sz w:val="20"/>
          <w:szCs w:val="20"/>
          <w:lang w:eastAsia="en-US"/>
        </w:rPr>
        <w:t xml:space="preserve"> </w:t>
      </w:r>
      <w:r w:rsidR="00CB3F71">
        <w:rPr>
          <w:rFonts w:ascii="Arial" w:eastAsia="Calibri" w:hAnsi="Arial" w:cs="Arial"/>
          <w:sz w:val="20"/>
          <w:szCs w:val="20"/>
          <w:lang w:eastAsia="en-US"/>
        </w:rPr>
        <w:t>7.072,02</w:t>
      </w:r>
      <w:r w:rsidRPr="003A2F86">
        <w:rPr>
          <w:rFonts w:ascii="Arial" w:eastAsia="Calibri" w:hAnsi="Arial" w:cs="Arial"/>
          <w:sz w:val="20"/>
          <w:szCs w:val="20"/>
          <w:lang w:eastAsia="en-US"/>
        </w:rPr>
        <w:t xml:space="preserve"> €, redovno financiranje političkih stranaka </w:t>
      </w:r>
      <w:r w:rsidR="00CB3F71">
        <w:rPr>
          <w:rFonts w:ascii="Arial" w:eastAsia="Calibri" w:hAnsi="Arial" w:cs="Arial"/>
          <w:sz w:val="20"/>
          <w:szCs w:val="20"/>
          <w:lang w:eastAsia="en-US"/>
        </w:rPr>
        <w:t>3.386,68</w:t>
      </w:r>
      <w:r w:rsidRPr="003A2F86">
        <w:rPr>
          <w:rFonts w:ascii="Arial" w:eastAsia="Calibri" w:hAnsi="Arial" w:cs="Arial"/>
          <w:sz w:val="20"/>
          <w:szCs w:val="20"/>
          <w:lang w:eastAsia="en-US"/>
        </w:rPr>
        <w:t xml:space="preserve"> € i priprema materijala za sjednice Općinskog vijeća</w:t>
      </w:r>
      <w:r w:rsidR="00D63A51" w:rsidRPr="003A2F86">
        <w:rPr>
          <w:rFonts w:ascii="Arial" w:eastAsia="Calibri" w:hAnsi="Arial" w:cs="Arial"/>
          <w:sz w:val="20"/>
          <w:szCs w:val="20"/>
          <w:lang w:eastAsia="en-US"/>
        </w:rPr>
        <w:t>,</w:t>
      </w:r>
      <w:r w:rsidRPr="003A2F86">
        <w:rPr>
          <w:rFonts w:ascii="Arial" w:eastAsia="Calibri" w:hAnsi="Arial" w:cs="Arial"/>
          <w:sz w:val="20"/>
          <w:szCs w:val="20"/>
          <w:lang w:eastAsia="en-US"/>
        </w:rPr>
        <w:t xml:space="preserve"> objavu službenog glasnika </w:t>
      </w:r>
      <w:r w:rsidR="00CB3F71">
        <w:rPr>
          <w:rFonts w:ascii="Arial" w:eastAsia="Calibri" w:hAnsi="Arial" w:cs="Arial"/>
          <w:sz w:val="20"/>
          <w:szCs w:val="20"/>
          <w:lang w:eastAsia="en-US"/>
        </w:rPr>
        <w:t>5.420,68</w:t>
      </w:r>
      <w:r w:rsidRPr="003A2F86">
        <w:rPr>
          <w:rFonts w:ascii="Arial" w:eastAsia="Calibri" w:hAnsi="Arial" w:cs="Arial"/>
          <w:sz w:val="20"/>
          <w:szCs w:val="20"/>
          <w:lang w:eastAsia="en-US"/>
        </w:rPr>
        <w:t xml:space="preserve"> €</w:t>
      </w:r>
      <w:r w:rsidR="00D63A51" w:rsidRPr="003A2F86">
        <w:rPr>
          <w:rFonts w:ascii="Arial" w:eastAsia="Calibri" w:hAnsi="Arial" w:cs="Arial"/>
          <w:sz w:val="20"/>
          <w:szCs w:val="20"/>
          <w:lang w:eastAsia="en-US"/>
        </w:rPr>
        <w:t xml:space="preserve">, nagrade za Dan Općine </w:t>
      </w:r>
      <w:r w:rsidR="00CB3F71">
        <w:rPr>
          <w:rFonts w:ascii="Arial" w:eastAsia="Calibri" w:hAnsi="Arial" w:cs="Arial"/>
          <w:sz w:val="20"/>
          <w:szCs w:val="20"/>
          <w:lang w:eastAsia="en-US"/>
        </w:rPr>
        <w:t>2.531,81</w:t>
      </w:r>
      <w:r w:rsidR="00D63A51" w:rsidRPr="003A2F86">
        <w:rPr>
          <w:rFonts w:ascii="Arial" w:eastAsia="Calibri" w:hAnsi="Arial" w:cs="Arial"/>
          <w:sz w:val="20"/>
          <w:szCs w:val="20"/>
          <w:lang w:eastAsia="en-US"/>
        </w:rPr>
        <w:t xml:space="preserve"> €</w:t>
      </w:r>
      <w:r w:rsidR="00E95253">
        <w:rPr>
          <w:rFonts w:ascii="Arial" w:eastAsia="Calibri" w:hAnsi="Arial" w:cs="Arial"/>
          <w:sz w:val="20"/>
          <w:szCs w:val="20"/>
          <w:lang w:eastAsia="en-US"/>
        </w:rPr>
        <w:t xml:space="preserve">, te troškovi provedbe lokalnih izbora </w:t>
      </w:r>
      <w:r w:rsidR="00CB3F71">
        <w:rPr>
          <w:rFonts w:ascii="Arial" w:eastAsia="Calibri" w:hAnsi="Arial" w:cs="Arial"/>
          <w:sz w:val="20"/>
          <w:szCs w:val="20"/>
          <w:lang w:eastAsia="en-US"/>
        </w:rPr>
        <w:t>71.639,07</w:t>
      </w:r>
      <w:r w:rsidR="00E95253">
        <w:rPr>
          <w:rFonts w:ascii="Arial" w:eastAsia="Calibri" w:hAnsi="Arial" w:cs="Arial"/>
          <w:sz w:val="20"/>
          <w:szCs w:val="20"/>
          <w:lang w:eastAsia="en-US"/>
        </w:rPr>
        <w:t xml:space="preserve"> €</w:t>
      </w:r>
      <w:r w:rsidR="00D63A51" w:rsidRPr="003A2F86">
        <w:rPr>
          <w:rFonts w:ascii="Arial" w:eastAsia="Calibri" w:hAnsi="Arial" w:cs="Arial"/>
          <w:sz w:val="20"/>
          <w:szCs w:val="20"/>
          <w:lang w:eastAsia="en-US"/>
        </w:rPr>
        <w:t>)</w:t>
      </w:r>
      <w:r w:rsidRPr="003A2F86">
        <w:rPr>
          <w:rFonts w:ascii="Arial" w:eastAsia="Calibri" w:hAnsi="Arial" w:cs="Arial"/>
          <w:sz w:val="20"/>
          <w:szCs w:val="20"/>
          <w:lang w:eastAsia="en-US"/>
        </w:rPr>
        <w:t xml:space="preserve">. Redovno financiranje rada političkih stranaka se iskazuje putem računa tekućih donacija. </w:t>
      </w:r>
    </w:p>
    <w:p w14:paraId="2EB9F5C7" w14:textId="77777777" w:rsidR="00396029" w:rsidRPr="003A2F86" w:rsidRDefault="00396029" w:rsidP="00396029">
      <w:pPr>
        <w:spacing w:after="0" w:line="240" w:lineRule="auto"/>
        <w:ind w:left="1068"/>
        <w:contextualSpacing/>
        <w:jc w:val="both"/>
        <w:rPr>
          <w:rFonts w:ascii="Arial" w:eastAsia="Calibri" w:hAnsi="Arial" w:cs="Arial"/>
          <w:sz w:val="20"/>
          <w:szCs w:val="20"/>
          <w:u w:val="single"/>
          <w:lang w:eastAsia="en-US"/>
        </w:rPr>
      </w:pPr>
    </w:p>
    <w:p w14:paraId="0B440C06" w14:textId="77777777" w:rsidR="007B75F4" w:rsidRPr="003A2F86" w:rsidRDefault="007B75F4" w:rsidP="007B75F4">
      <w:pPr>
        <w:spacing w:after="0" w:line="240" w:lineRule="auto"/>
        <w:ind w:left="1068"/>
        <w:contextualSpacing/>
        <w:jc w:val="both"/>
        <w:rPr>
          <w:rFonts w:ascii="Arial" w:eastAsia="Calibri" w:hAnsi="Arial" w:cs="Arial"/>
          <w:sz w:val="20"/>
          <w:szCs w:val="20"/>
          <w:u w:val="single"/>
          <w:lang w:eastAsia="en-US"/>
        </w:rPr>
      </w:pPr>
      <w:r w:rsidRPr="003A2F86">
        <w:rPr>
          <w:rFonts w:ascii="Arial" w:eastAsia="Calibri" w:hAnsi="Arial" w:cs="Arial"/>
          <w:sz w:val="20"/>
          <w:szCs w:val="20"/>
          <w:u w:val="single"/>
          <w:lang w:eastAsia="en-US"/>
        </w:rPr>
        <w:t>Manjak prihoda:</w:t>
      </w:r>
    </w:p>
    <w:p w14:paraId="4C8E02D8" w14:textId="46E15342" w:rsidR="007B75F4" w:rsidRPr="003A2F86" w:rsidRDefault="007B75F4">
      <w:pPr>
        <w:numPr>
          <w:ilvl w:val="0"/>
          <w:numId w:val="8"/>
        </w:numPr>
        <w:spacing w:after="0" w:line="240" w:lineRule="auto"/>
        <w:contextualSpacing/>
        <w:jc w:val="both"/>
        <w:rPr>
          <w:rFonts w:ascii="Arial" w:eastAsia="Calibri" w:hAnsi="Arial" w:cs="Arial"/>
          <w:sz w:val="20"/>
          <w:szCs w:val="20"/>
          <w:lang w:eastAsia="en-US"/>
        </w:rPr>
      </w:pPr>
      <w:r w:rsidRPr="003A2F86">
        <w:rPr>
          <w:rFonts w:ascii="Arial" w:eastAsia="Calibri" w:hAnsi="Arial" w:cs="Arial"/>
          <w:sz w:val="20"/>
          <w:szCs w:val="20"/>
          <w:lang w:eastAsia="en-US"/>
        </w:rPr>
        <w:t xml:space="preserve">u financijskom planu ovog razdjela manjak prihoda </w:t>
      </w:r>
      <w:r w:rsidR="004B1380" w:rsidRPr="003A2F86">
        <w:rPr>
          <w:rFonts w:ascii="Arial" w:eastAsia="Calibri" w:hAnsi="Arial" w:cs="Arial"/>
          <w:sz w:val="20"/>
          <w:szCs w:val="20"/>
          <w:lang w:eastAsia="en-US"/>
        </w:rPr>
        <w:t>se</w:t>
      </w:r>
      <w:r w:rsidRPr="003A2F86">
        <w:rPr>
          <w:rFonts w:ascii="Arial" w:eastAsia="Calibri" w:hAnsi="Arial" w:cs="Arial"/>
          <w:sz w:val="20"/>
          <w:szCs w:val="20"/>
          <w:lang w:eastAsia="en-US"/>
        </w:rPr>
        <w:t xml:space="preserve"> podmiruje iz izvora opći prihodi i primici </w:t>
      </w:r>
      <w:r w:rsidR="004B1380" w:rsidRPr="003A2F86">
        <w:rPr>
          <w:rFonts w:ascii="Arial" w:eastAsia="Calibri" w:hAnsi="Arial" w:cs="Arial"/>
          <w:sz w:val="20"/>
          <w:szCs w:val="20"/>
          <w:lang w:eastAsia="en-US"/>
        </w:rPr>
        <w:t>i</w:t>
      </w:r>
      <w:r w:rsidRPr="003A2F86">
        <w:rPr>
          <w:rFonts w:ascii="Arial" w:eastAsia="Calibri" w:hAnsi="Arial" w:cs="Arial"/>
          <w:sz w:val="20"/>
          <w:szCs w:val="20"/>
          <w:lang w:eastAsia="en-US"/>
        </w:rPr>
        <w:t xml:space="preserve"> u financijskom planu razdjela iskazuje kao prihod na 671 čime dolazi do uravnoteženosti financijskog plana.</w:t>
      </w:r>
    </w:p>
    <w:p w14:paraId="7F0FE8F0" w14:textId="77777777" w:rsidR="007B75F4" w:rsidRPr="003A2F86" w:rsidRDefault="007B75F4" w:rsidP="007B75F4">
      <w:pPr>
        <w:spacing w:after="0" w:line="240" w:lineRule="auto"/>
        <w:jc w:val="both"/>
        <w:rPr>
          <w:rFonts w:ascii="Times New Roman" w:eastAsia="Times New Roman" w:hAnsi="Times New Roman" w:cs="Times New Roman"/>
          <w:sz w:val="20"/>
          <w:szCs w:val="20"/>
        </w:rPr>
      </w:pPr>
    </w:p>
    <w:p w14:paraId="5F2917D9" w14:textId="77777777" w:rsidR="00BE0C18" w:rsidRPr="003A2F86" w:rsidRDefault="00BE0C18" w:rsidP="00BE0C18">
      <w:pPr>
        <w:spacing w:after="0" w:line="240" w:lineRule="auto"/>
        <w:jc w:val="both"/>
        <w:rPr>
          <w:rFonts w:ascii="Times New Roman" w:eastAsia="Times New Roman" w:hAnsi="Times New Roman" w:cs="Times New Roman"/>
          <w:sz w:val="20"/>
          <w:szCs w:val="20"/>
        </w:rPr>
      </w:pPr>
    </w:p>
    <w:p w14:paraId="4684CBF4" w14:textId="77777777" w:rsidR="00BE0C18" w:rsidRPr="003A2F86" w:rsidRDefault="00BE0C18">
      <w:pPr>
        <w:numPr>
          <w:ilvl w:val="0"/>
          <w:numId w:val="26"/>
        </w:numPr>
        <w:pBdr>
          <w:top w:val="single" w:sz="4" w:space="1" w:color="auto"/>
          <w:left w:val="single" w:sz="4" w:space="4" w:color="auto"/>
          <w:bottom w:val="single" w:sz="4" w:space="1" w:color="auto"/>
          <w:right w:val="single" w:sz="4" w:space="4" w:color="auto"/>
        </w:pBdr>
        <w:shd w:val="clear" w:color="auto" w:fill="DBE5F1"/>
        <w:spacing w:after="0" w:line="240" w:lineRule="auto"/>
        <w:jc w:val="both"/>
        <w:rPr>
          <w:rFonts w:ascii="Arial" w:eastAsia="Calibri" w:hAnsi="Arial" w:cs="Arial"/>
          <w:b/>
          <w:sz w:val="20"/>
          <w:szCs w:val="20"/>
          <w:lang w:eastAsia="en-US"/>
        </w:rPr>
      </w:pPr>
      <w:r w:rsidRPr="003A2F86">
        <w:rPr>
          <w:rFonts w:ascii="Arial" w:eastAsia="Calibri" w:hAnsi="Arial" w:cs="Arial"/>
          <w:b/>
          <w:sz w:val="20"/>
          <w:szCs w:val="20"/>
          <w:lang w:eastAsia="en-US"/>
        </w:rPr>
        <w:t>OBRAZLOŽENJE POSEBNOG DIJELA FINANCIJSKOG PLANA</w:t>
      </w:r>
    </w:p>
    <w:p w14:paraId="6F912D99" w14:textId="77777777" w:rsidR="00BE0C18" w:rsidRPr="003A2F86" w:rsidRDefault="00BE0C18" w:rsidP="00BE0C18">
      <w:pPr>
        <w:spacing w:after="0" w:line="240" w:lineRule="auto"/>
        <w:jc w:val="both"/>
        <w:rPr>
          <w:rFonts w:ascii="Arial" w:eastAsia="Calibri" w:hAnsi="Arial" w:cs="Arial"/>
          <w:b/>
          <w:sz w:val="20"/>
          <w:szCs w:val="20"/>
          <w:lang w:eastAsia="en-US"/>
        </w:rPr>
      </w:pPr>
    </w:p>
    <w:p w14:paraId="2F8F3E3E" w14:textId="77777777" w:rsidR="00BE0C18" w:rsidRPr="003A2F86" w:rsidRDefault="00BE0C18" w:rsidP="00BE0C18">
      <w:pPr>
        <w:spacing w:before="1" w:after="0" w:line="244" w:lineRule="auto"/>
        <w:ind w:left="212" w:right="543"/>
        <w:jc w:val="both"/>
        <w:rPr>
          <w:rFonts w:ascii="Arial" w:eastAsia="Calibri" w:hAnsi="Arial" w:cs="Arial"/>
          <w:sz w:val="20"/>
          <w:szCs w:val="20"/>
          <w:lang w:eastAsia="en-US"/>
        </w:rPr>
      </w:pPr>
      <w:r w:rsidRPr="003A2F86">
        <w:rPr>
          <w:rFonts w:ascii="Arial" w:eastAsia="Calibri" w:hAnsi="Arial" w:cs="Arial"/>
          <w:sz w:val="20"/>
          <w:szCs w:val="20"/>
          <w:lang w:eastAsia="en-US"/>
        </w:rPr>
        <w:t>Posebni dio financijskog plana iskazuje rashode i izdatke po organizacijskoj klasifikaciji, po ekonomskoj i programskoj klasifikaciji, te izvorima financiranja.</w:t>
      </w:r>
    </w:p>
    <w:p w14:paraId="2553AD83" w14:textId="77777777" w:rsidR="00BE0C18" w:rsidRPr="003A2F86" w:rsidRDefault="00BE0C18" w:rsidP="00BE0C18">
      <w:pPr>
        <w:rPr>
          <w:rFonts w:ascii="Arial" w:eastAsia="Calibri" w:hAnsi="Arial" w:cs="Arial"/>
        </w:rPr>
      </w:pPr>
    </w:p>
    <w:p w14:paraId="78A8C509" w14:textId="77777777" w:rsidR="00C53F82" w:rsidRDefault="00C53F82" w:rsidP="007B75F4">
      <w:pPr>
        <w:rPr>
          <w:rFonts w:ascii="Arial" w:eastAsia="Calibri" w:hAnsi="Arial" w:cs="Arial"/>
        </w:rPr>
      </w:pPr>
    </w:p>
    <w:p w14:paraId="5F514ECB" w14:textId="77777777" w:rsidR="00C53F82" w:rsidRDefault="00C53F82" w:rsidP="007B75F4">
      <w:pPr>
        <w:rPr>
          <w:rFonts w:ascii="Arial" w:eastAsia="Calibri" w:hAnsi="Arial" w:cs="Arial"/>
        </w:rPr>
      </w:pPr>
    </w:p>
    <w:p w14:paraId="7596DA63" w14:textId="77777777" w:rsidR="00C53F82" w:rsidRPr="003A2F86" w:rsidRDefault="00C53F82" w:rsidP="007B75F4">
      <w:pPr>
        <w:rPr>
          <w:rFonts w:ascii="Arial" w:eastAsia="Calibri" w:hAnsi="Arial" w:cs="Arial"/>
        </w:rPr>
      </w:pPr>
    </w:p>
    <w:p w14:paraId="15B61065" w14:textId="77777777" w:rsidR="007B75F4" w:rsidRPr="003A2F86" w:rsidRDefault="007B75F4" w:rsidP="007B75F4">
      <w:pPr>
        <w:rPr>
          <w:rFonts w:ascii="Arial" w:eastAsia="Calibri" w:hAnsi="Arial" w:cs="Arial"/>
        </w:rPr>
      </w:pPr>
    </w:p>
    <w:p w14:paraId="7C408B15" w14:textId="77777777" w:rsidR="007B75F4" w:rsidRDefault="007B75F4" w:rsidP="007B75F4">
      <w:pPr>
        <w:rPr>
          <w:rFonts w:ascii="Arial" w:eastAsia="Calibri" w:hAnsi="Arial" w:cs="Arial"/>
        </w:rPr>
      </w:pPr>
    </w:p>
    <w:p w14:paraId="17AEF03C" w14:textId="77777777" w:rsidR="00AF1828" w:rsidRPr="003A2F86" w:rsidRDefault="00AF1828" w:rsidP="007B75F4">
      <w:pPr>
        <w:rPr>
          <w:rFonts w:ascii="Arial" w:eastAsia="Calibri" w:hAnsi="Arial" w:cs="Arial"/>
        </w:rPr>
      </w:pPr>
    </w:p>
    <w:p w14:paraId="32DB6415" w14:textId="77777777" w:rsidR="00E95253" w:rsidRDefault="00E95253" w:rsidP="007B75F4">
      <w:pPr>
        <w:rPr>
          <w:rFonts w:ascii="Arial" w:eastAsia="Calibri" w:hAnsi="Arial" w:cs="Arial"/>
        </w:rPr>
      </w:pPr>
    </w:p>
    <w:p w14:paraId="615A013A" w14:textId="77777777" w:rsidR="00BE0C18" w:rsidRPr="003A2F86" w:rsidRDefault="00BE0C18" w:rsidP="00BE0C18">
      <w:pPr>
        <w:rPr>
          <w:rFonts w:ascii="Arial" w:eastAsia="Calibri" w:hAnsi="Arial" w:cs="Arial"/>
        </w:rPr>
      </w:pPr>
    </w:p>
    <w:p w14:paraId="54EDEFED" w14:textId="77777777" w:rsidR="00BE0C18" w:rsidRPr="003A2F86" w:rsidRDefault="00BE0C18" w:rsidP="00BE0C18">
      <w:pPr>
        <w:pStyle w:val="Naslov4"/>
        <w:rPr>
          <w:rFonts w:ascii="Arial" w:eastAsia="Calibri" w:hAnsi="Arial" w:cs="Arial"/>
          <w:szCs w:val="22"/>
          <w:lang w:val="hr-HR"/>
        </w:rPr>
      </w:pPr>
      <w:bookmarkStart w:id="339" w:name="_Toc403676998"/>
      <w:bookmarkStart w:id="340" w:name="_Toc435014650"/>
      <w:bookmarkStart w:id="341" w:name="_Toc200628495"/>
      <w:bookmarkStart w:id="342" w:name="_Toc232981427"/>
      <w:r w:rsidRPr="003A2F86">
        <w:rPr>
          <w:rFonts w:ascii="Arial" w:eastAsia="Calibri" w:hAnsi="Arial" w:cs="Arial"/>
          <w:szCs w:val="22"/>
          <w:lang w:val="hr-HR"/>
        </w:rPr>
        <w:lastRenderedPageBreak/>
        <w:t>3.3.1.1.</w:t>
      </w:r>
      <w:r w:rsidRPr="003A2F86">
        <w:rPr>
          <w:rFonts w:ascii="Arial" w:eastAsia="Calibri" w:hAnsi="Arial" w:cs="Arial"/>
          <w:szCs w:val="22"/>
          <w:lang w:val="hr-HR"/>
        </w:rPr>
        <w:tab/>
        <w:t>GLAVA: (010 01) OPĆINSKO VIJEĆE – PREDSTAVNIČKO TIJELO</w:t>
      </w:r>
      <w:bookmarkEnd w:id="339"/>
      <w:bookmarkEnd w:id="340"/>
      <w:bookmarkEnd w:id="341"/>
      <w:bookmarkEnd w:id="342"/>
      <w:r w:rsidRPr="003A2F86">
        <w:rPr>
          <w:rFonts w:ascii="Arial" w:eastAsia="Calibri" w:hAnsi="Arial" w:cs="Arial"/>
          <w:szCs w:val="22"/>
          <w:lang w:val="hr-HR"/>
        </w:rPr>
        <w:t xml:space="preserve"> </w:t>
      </w:r>
    </w:p>
    <w:p w14:paraId="471A397A" w14:textId="77777777" w:rsidR="00BE0C18" w:rsidRPr="003A2F86" w:rsidRDefault="00BE0C18" w:rsidP="00BE0C18">
      <w:pPr>
        <w:spacing w:after="0" w:line="240" w:lineRule="auto"/>
        <w:jc w:val="both"/>
        <w:rPr>
          <w:rFonts w:ascii="Arial" w:eastAsia="Times New Roman" w:hAnsi="Arial" w:cs="Arial"/>
          <w:sz w:val="20"/>
          <w:szCs w:val="20"/>
          <w:lang w:eastAsia="en-US"/>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83"/>
        <w:gridCol w:w="12051"/>
      </w:tblGrid>
      <w:tr w:rsidR="00BE0C18" w:rsidRPr="003A2F86" w14:paraId="3DB76767" w14:textId="77777777" w:rsidTr="00410A4B">
        <w:tc>
          <w:tcPr>
            <w:tcW w:w="1983" w:type="dxa"/>
            <w:vAlign w:val="center"/>
          </w:tcPr>
          <w:p w14:paraId="541BEA1E" w14:textId="77777777" w:rsidR="00BE0C18" w:rsidRPr="003A2F86" w:rsidRDefault="00BE0C18" w:rsidP="00410A4B">
            <w:pPr>
              <w:spacing w:after="0" w:line="240" w:lineRule="auto"/>
              <w:jc w:val="both"/>
              <w:rPr>
                <w:rFonts w:ascii="Arial" w:eastAsia="Calibri" w:hAnsi="Arial" w:cs="Arial"/>
                <w:sz w:val="20"/>
                <w:szCs w:val="20"/>
              </w:rPr>
            </w:pPr>
            <w:r w:rsidRPr="003A2F86">
              <w:rPr>
                <w:rFonts w:ascii="Arial" w:eastAsia="Calibri" w:hAnsi="Arial" w:cs="Arial"/>
                <w:sz w:val="20"/>
                <w:szCs w:val="20"/>
              </w:rPr>
              <w:t>DJELOKRUG RADA:</w:t>
            </w:r>
          </w:p>
        </w:tc>
        <w:tc>
          <w:tcPr>
            <w:tcW w:w="12051" w:type="dxa"/>
            <w:vAlign w:val="bottom"/>
          </w:tcPr>
          <w:p w14:paraId="4DF150D9" w14:textId="77777777" w:rsidR="00BE0C18" w:rsidRPr="003A2F86" w:rsidRDefault="00BE0C18" w:rsidP="00410A4B">
            <w:pPr>
              <w:spacing w:after="0" w:line="240" w:lineRule="auto"/>
              <w:jc w:val="both"/>
              <w:rPr>
                <w:rFonts w:ascii="Arial" w:eastAsia="Calibri" w:hAnsi="Arial" w:cs="Arial"/>
                <w:sz w:val="20"/>
                <w:szCs w:val="20"/>
              </w:rPr>
            </w:pPr>
            <w:r w:rsidRPr="003A2F86">
              <w:rPr>
                <w:rFonts w:ascii="Arial" w:eastAsia="Calibri" w:hAnsi="Arial" w:cs="Arial"/>
                <w:sz w:val="20"/>
                <w:szCs w:val="20"/>
              </w:rPr>
              <w:t>Općinsko vijeće kao predstavničko tijelo je tijelo građana i tijelo lokalne samouprave, koje donosi odluke i akte u okviru prava i dužnosti Općine, te obavlja i druge poslove u skladu sa Ustavom, zakonom i Statutom.</w:t>
            </w:r>
          </w:p>
        </w:tc>
      </w:tr>
    </w:tbl>
    <w:p w14:paraId="4006BAB3" w14:textId="77777777" w:rsidR="00BE0C18" w:rsidRPr="003A2F86" w:rsidRDefault="00BE0C18" w:rsidP="00BE0C18">
      <w:pPr>
        <w:spacing w:after="0" w:line="240" w:lineRule="auto"/>
        <w:jc w:val="both"/>
        <w:rPr>
          <w:rFonts w:ascii="Arial" w:eastAsia="Calibri" w:hAnsi="Arial" w:cs="Arial"/>
          <w:sz w:val="20"/>
          <w:szCs w:val="20"/>
          <w:lang w:eastAsia="en-US"/>
        </w:rPr>
      </w:pPr>
    </w:p>
    <w:p w14:paraId="5D354E86" w14:textId="77777777" w:rsidR="00BE0C18" w:rsidRPr="003A2F86" w:rsidRDefault="00BE0C18" w:rsidP="00BE0C18">
      <w:pPr>
        <w:spacing w:after="0" w:line="240" w:lineRule="auto"/>
        <w:jc w:val="both"/>
        <w:rPr>
          <w:rFonts w:ascii="Arial" w:eastAsia="Calibri" w:hAnsi="Arial" w:cs="Arial"/>
          <w:sz w:val="20"/>
          <w:szCs w:val="20"/>
        </w:rPr>
      </w:pPr>
      <w:r w:rsidRPr="003A2F86">
        <w:rPr>
          <w:rFonts w:ascii="Arial" w:eastAsia="Calibri" w:hAnsi="Arial" w:cs="Arial"/>
          <w:sz w:val="20"/>
          <w:szCs w:val="20"/>
        </w:rPr>
        <w:t>U razdjelu Općinsko vijeće i načelnik, glava Općinsko vijeće izvodi se jedan Program.</w:t>
      </w:r>
    </w:p>
    <w:p w14:paraId="6112614A" w14:textId="77777777" w:rsidR="00BE0C18" w:rsidRPr="003A2F86" w:rsidRDefault="00BE0C18" w:rsidP="00BE0C18">
      <w:pPr>
        <w:spacing w:after="0" w:line="240" w:lineRule="auto"/>
        <w:jc w:val="both"/>
        <w:rPr>
          <w:rFonts w:ascii="Arial" w:eastAsia="Calibri" w:hAnsi="Arial" w:cs="Arial"/>
          <w:sz w:val="20"/>
          <w:szCs w:val="20"/>
        </w:rPr>
      </w:pPr>
    </w:p>
    <w:p w14:paraId="192B4254" w14:textId="77777777" w:rsidR="00BE0C18" w:rsidRPr="003A2F86" w:rsidRDefault="00BE0C18" w:rsidP="00BE0C18">
      <w:pPr>
        <w:pStyle w:val="Naslov3"/>
        <w:rPr>
          <w:rFonts w:ascii="Arial" w:eastAsia="Calibri" w:hAnsi="Arial" w:cs="Arial"/>
          <w:sz w:val="22"/>
          <w:szCs w:val="22"/>
          <w:lang w:val="hr-HR"/>
        </w:rPr>
      </w:pPr>
      <w:bookmarkStart w:id="343" w:name="_Toc26778176"/>
      <w:bookmarkStart w:id="344" w:name="_Toc200628496"/>
      <w:bookmarkStart w:id="345" w:name="_Toc232981428"/>
      <w:r w:rsidRPr="003A2F86">
        <w:rPr>
          <w:rFonts w:ascii="Arial" w:eastAsia="Calibri" w:hAnsi="Arial" w:cs="Arial"/>
          <w:sz w:val="22"/>
          <w:szCs w:val="22"/>
          <w:lang w:val="hr-HR"/>
        </w:rPr>
        <w:t>Program (1010): Osnovne aktivnosti Općinskog vijeća</w:t>
      </w:r>
      <w:bookmarkEnd w:id="343"/>
      <w:bookmarkEnd w:id="344"/>
      <w:bookmarkEnd w:id="345"/>
    </w:p>
    <w:p w14:paraId="2B9C6051" w14:textId="77777777" w:rsidR="00BE0C18" w:rsidRPr="003A2F86" w:rsidRDefault="00BE0C18" w:rsidP="00BE0C18">
      <w:pPr>
        <w:spacing w:after="0" w:line="240" w:lineRule="auto"/>
        <w:jc w:val="both"/>
        <w:rPr>
          <w:rFonts w:ascii="Arial" w:eastAsia="Calibri" w:hAnsi="Arial" w:cs="Arial"/>
          <w:sz w:val="20"/>
          <w:szCs w:val="20"/>
          <w:lang w:eastAsia="en-US"/>
        </w:rPr>
      </w:pPr>
      <w:bookmarkStart w:id="346" w:name="_Hlk113122563"/>
      <w:bookmarkStart w:id="347" w:name="_Hlk80343763"/>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30"/>
        <w:gridCol w:w="12616"/>
      </w:tblGrid>
      <w:tr w:rsidR="00BE0C18" w:rsidRPr="003A2F86" w14:paraId="3D8CC938" w14:textId="77777777" w:rsidTr="00410A4B">
        <w:tc>
          <w:tcPr>
            <w:tcW w:w="1730" w:type="dxa"/>
          </w:tcPr>
          <w:p w14:paraId="2927C810" w14:textId="77777777" w:rsidR="00BE0C18" w:rsidRPr="003A2F86" w:rsidRDefault="00BE0C18" w:rsidP="00410A4B">
            <w:pPr>
              <w:spacing w:after="0" w:line="240" w:lineRule="auto"/>
              <w:jc w:val="both"/>
              <w:rPr>
                <w:rFonts w:ascii="Arial" w:eastAsia="Calibri" w:hAnsi="Arial" w:cs="Arial"/>
                <w:sz w:val="18"/>
                <w:szCs w:val="18"/>
                <w:lang w:eastAsia="en-US"/>
              </w:rPr>
            </w:pPr>
            <w:r w:rsidRPr="003A2F86">
              <w:rPr>
                <w:rFonts w:ascii="Arial" w:eastAsia="Calibri" w:hAnsi="Arial" w:cs="Arial"/>
                <w:sz w:val="18"/>
                <w:szCs w:val="18"/>
                <w:lang w:eastAsia="en-US"/>
              </w:rPr>
              <w:t>OPIS PROGRAMA:</w:t>
            </w:r>
          </w:p>
        </w:tc>
        <w:tc>
          <w:tcPr>
            <w:tcW w:w="12616" w:type="dxa"/>
          </w:tcPr>
          <w:p w14:paraId="7632CFF9"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Programom se omogućava redovno obavljanje zadataka Općinskog vijeća i njegovih radnih tijela (financiranje političkih stranaka, naknade za rad članova predstavničkog tijela i radnih tijela predstavničkog tijela) i provođenje programa u nadležnosti vijeća (dodjela javnih priznanja povodom Dana Općine, priprema materijala za sjednice Općinskog vijeća i objava akata).</w:t>
            </w:r>
          </w:p>
          <w:p w14:paraId="16616C36" w14:textId="77777777" w:rsidR="00BE0C18" w:rsidRPr="003A2F86" w:rsidRDefault="00BE0C18" w:rsidP="00410A4B">
            <w:pPr>
              <w:spacing w:after="0" w:line="240" w:lineRule="auto"/>
              <w:jc w:val="both"/>
              <w:rPr>
                <w:rFonts w:ascii="Arial" w:eastAsia="Calibri" w:hAnsi="Arial" w:cs="Arial"/>
                <w:sz w:val="20"/>
                <w:szCs w:val="20"/>
                <w:lang w:eastAsia="en-US"/>
              </w:rPr>
            </w:pPr>
          </w:p>
          <w:p w14:paraId="328104B2"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Provedba načela kojim se građanima jamči pravo na lokalnu i područnu (regionalnu samoupravu), bolje i učinkovitije funkcioniranje predstavničkog tijela i izvršnog tijela, te njihovih radnih tijela, a sve u cilju kvalitetnijeg ostvarivanja i pružanja usluga građanima na području Općine Konavle.</w:t>
            </w:r>
          </w:p>
          <w:p w14:paraId="1A9DF988"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 xml:space="preserve">– Osnovne aktivnosti općinskog vijeća - isplaćuje se redovita naknada za rad članovima Općinskog vijeća (13 članova) i njezinih radnih tijela temeljem Odluke, kao i svi ostali troškovi nastali za neometani rad predstavničkog tijela. </w:t>
            </w:r>
          </w:p>
          <w:p w14:paraId="397A9A38"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 xml:space="preserve">-Sredstva za financiranje političkih stranaka zastupljenih u Općinskom vijeću Općine Konavle osiguravaju se sukladno Zakonu o financiranju političkih aktivnosti, izborne promidžbe i referenduma i Odluke o raspoređivanju sredstava za financiranje političkih stranaka zastupljenih u Općinskom vijeću koja se donosi za svaku kalendarsku godinu. </w:t>
            </w:r>
          </w:p>
          <w:p w14:paraId="2F7B1895"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 xml:space="preserve">-Tiskanjem i objavom Službenog glasnika Općine Konavle osigurava se javnost rada Općinskog vijeća i načelnika, te osigurava zakonitost akata.  </w:t>
            </w:r>
          </w:p>
          <w:p w14:paraId="206AD57C"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 xml:space="preserve">-U aktivnosti- Nagrade povodom Dana Općine- provodi se postupak objave Javnog poziva za dodjelu nagrada i dodjeljuju se  javna priznanja sukladno Odluci Općinskog vijeća, kojom je uređen postupak predlaganja, odnosno izbor kandidata za nagrade, kao i godišnji broj pojedinačnih i skupnih nagrada </w:t>
            </w:r>
          </w:p>
        </w:tc>
      </w:tr>
      <w:tr w:rsidR="00BE0C18" w:rsidRPr="003A2F86" w14:paraId="62E7C0FC" w14:textId="77777777" w:rsidTr="00410A4B">
        <w:tc>
          <w:tcPr>
            <w:tcW w:w="1730" w:type="dxa"/>
          </w:tcPr>
          <w:p w14:paraId="5D1034A5" w14:textId="77777777" w:rsidR="00BE0C18" w:rsidRPr="003A2F86" w:rsidRDefault="00BE0C18" w:rsidP="00410A4B">
            <w:pPr>
              <w:spacing w:after="0" w:line="240" w:lineRule="auto"/>
              <w:rPr>
                <w:rFonts w:ascii="Arial" w:eastAsia="Calibri" w:hAnsi="Arial" w:cs="Arial"/>
                <w:sz w:val="18"/>
                <w:szCs w:val="18"/>
                <w:lang w:eastAsia="en-US"/>
              </w:rPr>
            </w:pPr>
            <w:r w:rsidRPr="003A2F86">
              <w:rPr>
                <w:rFonts w:ascii="Arial" w:eastAsia="Calibri" w:hAnsi="Arial" w:cs="Arial"/>
                <w:sz w:val="18"/>
                <w:szCs w:val="18"/>
                <w:lang w:eastAsia="en-US"/>
              </w:rPr>
              <w:t>ZAKONSKE I DRUGE PRAVNE OSNOVE PROGRAMA:</w:t>
            </w:r>
          </w:p>
        </w:tc>
        <w:tc>
          <w:tcPr>
            <w:tcW w:w="12616" w:type="dxa"/>
          </w:tcPr>
          <w:p w14:paraId="51C08CD6" w14:textId="77777777" w:rsidR="00BE0C18" w:rsidRPr="003A2F86" w:rsidRDefault="00BE0C18" w:rsidP="00410A4B">
            <w:pPr>
              <w:autoSpaceDE w:val="0"/>
              <w:autoSpaceDN w:val="0"/>
              <w:adjustRightInd w:val="0"/>
              <w:spacing w:after="0" w:line="240" w:lineRule="auto"/>
              <w:jc w:val="both"/>
              <w:rPr>
                <w:rFonts w:ascii="Arial" w:eastAsia="Times New Roman" w:hAnsi="Arial" w:cs="Arial"/>
                <w:sz w:val="20"/>
                <w:szCs w:val="20"/>
                <w:lang w:eastAsia="en-US"/>
              </w:rPr>
            </w:pPr>
            <w:r w:rsidRPr="003A2F86">
              <w:rPr>
                <w:rFonts w:ascii="Arial" w:eastAsia="Times New Roman" w:hAnsi="Arial" w:cs="Arial"/>
                <w:sz w:val="20"/>
                <w:szCs w:val="20"/>
                <w:lang w:eastAsia="en-US"/>
              </w:rPr>
              <w:t xml:space="preserve">Zakon o lokalnoj i područnoj (regionalnoj) samoupravi (NN 33/01, 60/01, 129/05, 109/07, 125/08, 36/09, 150/11, 144/12, 19/13, 137/15, 98/19, 144/20), Zakon o financiranju političkih aktivnosti, izborne promidžbe i referenduma (NN 29/19, 98/19), Zakon o izboru članova predstavničkih tijela jedinica lokalne i područne (regionalne) samouprave (NN 33/01, 10/02, 155/02, 45/03, 43/04, 40/05, 44/05, 44/06, 109/07, 144/12), Zakon o lokalnim izborima (Narodne novine 144/12, 121/16, 98/19, 42/20, 144/20, 37/21), Poslovnik Općinskog vijeća Općine Konavle </w:t>
            </w:r>
            <w:r w:rsidRPr="003A2F86">
              <w:rPr>
                <w:rFonts w:ascii="Arial" w:eastAsia="Calibri" w:hAnsi="Arial" w:cs="Arial"/>
                <w:sz w:val="20"/>
                <w:szCs w:val="20"/>
                <w:lang w:eastAsia="en-US"/>
              </w:rPr>
              <w:t>(Službeni glasnik Općine Konavle 7/21 – pročišćeni tekst)</w:t>
            </w:r>
            <w:r w:rsidRPr="003A2F86">
              <w:rPr>
                <w:rFonts w:ascii="Arial" w:eastAsia="Times New Roman" w:hAnsi="Arial" w:cs="Arial"/>
                <w:sz w:val="20"/>
                <w:szCs w:val="20"/>
                <w:lang w:eastAsia="en-US"/>
              </w:rPr>
              <w:t xml:space="preserve">, </w:t>
            </w:r>
            <w:r w:rsidRPr="003A2F86">
              <w:rPr>
                <w:rFonts w:ascii="Arial" w:eastAsia="Calibri" w:hAnsi="Arial" w:cs="Arial"/>
                <w:sz w:val="20"/>
                <w:szCs w:val="20"/>
                <w:lang w:eastAsia="en-US"/>
              </w:rPr>
              <w:t xml:space="preserve">Odluka o javnim priznanjima Općine Konavle (Službeni glasnik Općine Konavle 4/11), </w:t>
            </w:r>
            <w:r w:rsidRPr="003A2F86">
              <w:rPr>
                <w:rFonts w:ascii="Arial" w:eastAsia="Times New Roman" w:hAnsi="Arial" w:cs="Arial"/>
                <w:sz w:val="20"/>
                <w:szCs w:val="20"/>
                <w:lang w:eastAsia="en-US"/>
              </w:rPr>
              <w:t xml:space="preserve">opći akti Općinskog vijeća kojima je uređeno financiranje političkih stranaka, Odluka o visini i načinu obračuna naknade za rad članova općinskog vijeća, Statut Općine </w:t>
            </w:r>
            <w:r w:rsidRPr="003A2F86">
              <w:rPr>
                <w:rFonts w:ascii="Arial" w:eastAsia="Calibri" w:hAnsi="Arial" w:cs="Arial"/>
                <w:sz w:val="20"/>
                <w:szCs w:val="20"/>
                <w:lang w:eastAsia="en-US"/>
              </w:rPr>
              <w:t>(Službeni glasnik Općine Konavle 7/21 – pročišćeni tekst)</w:t>
            </w:r>
            <w:r w:rsidRPr="003A2F86">
              <w:rPr>
                <w:rFonts w:ascii="Arial" w:eastAsia="Times New Roman" w:hAnsi="Arial" w:cs="Arial"/>
                <w:sz w:val="20"/>
                <w:szCs w:val="20"/>
                <w:lang w:eastAsia="en-US"/>
              </w:rPr>
              <w:t xml:space="preserve"> i drugi opći akti. </w:t>
            </w:r>
          </w:p>
        </w:tc>
      </w:tr>
      <w:tr w:rsidR="00BE0C18" w:rsidRPr="003A2F86" w14:paraId="71D99587" w14:textId="77777777" w:rsidTr="00410A4B">
        <w:tc>
          <w:tcPr>
            <w:tcW w:w="1730" w:type="dxa"/>
          </w:tcPr>
          <w:p w14:paraId="6FE37C2E" w14:textId="77777777" w:rsidR="00BE0C18" w:rsidRPr="003A2F86" w:rsidRDefault="00BE0C18" w:rsidP="00410A4B">
            <w:pPr>
              <w:spacing w:after="0" w:line="240" w:lineRule="auto"/>
              <w:rPr>
                <w:rFonts w:ascii="Arial" w:eastAsia="Calibri" w:hAnsi="Arial" w:cs="Arial"/>
                <w:sz w:val="18"/>
                <w:szCs w:val="18"/>
                <w:lang w:eastAsia="en-US"/>
              </w:rPr>
            </w:pPr>
            <w:r w:rsidRPr="003A2F86">
              <w:rPr>
                <w:rFonts w:ascii="Arial" w:eastAsia="Calibri" w:hAnsi="Arial" w:cs="Arial"/>
                <w:sz w:val="18"/>
                <w:szCs w:val="18"/>
                <w:lang w:eastAsia="en-US"/>
              </w:rPr>
              <w:t>OPĆI CILJ, posebni ciljevi:</w:t>
            </w:r>
          </w:p>
        </w:tc>
        <w:tc>
          <w:tcPr>
            <w:tcW w:w="12616" w:type="dxa"/>
          </w:tcPr>
          <w:p w14:paraId="051FDB7D" w14:textId="77777777" w:rsidR="00BE0C18" w:rsidRPr="003A2F86" w:rsidRDefault="00BE0C18" w:rsidP="00410A4B">
            <w:pPr>
              <w:autoSpaceDE w:val="0"/>
              <w:autoSpaceDN w:val="0"/>
              <w:adjustRightInd w:val="0"/>
              <w:spacing w:after="0" w:line="240" w:lineRule="auto"/>
              <w:jc w:val="both"/>
              <w:rPr>
                <w:rFonts w:ascii="Arial" w:eastAsia="Times New Roman" w:hAnsi="Arial" w:cs="Arial"/>
                <w:sz w:val="20"/>
                <w:szCs w:val="20"/>
                <w:lang w:eastAsia="en-US"/>
              </w:rPr>
            </w:pPr>
            <w:r w:rsidRPr="003A2F86">
              <w:rPr>
                <w:rFonts w:ascii="Arial" w:eastAsia="Times New Roman" w:hAnsi="Arial" w:cs="Arial"/>
                <w:sz w:val="20"/>
                <w:szCs w:val="20"/>
                <w:lang w:eastAsia="en-US"/>
              </w:rPr>
              <w:t>Glavni cilj programa je osiguravanje redovnog funkcioniranja predstavničkog tijela (Općinsko vijeće), te izvršavanje poslova iz djelokruga rada predstavničkog tijela određenih zakonom i općim aktima Općinskog vijeća, te zastupanje i zaštita interesa Općine Konavle u upravnim postupcima.</w:t>
            </w:r>
          </w:p>
          <w:p w14:paraId="3233F7BE" w14:textId="77777777" w:rsidR="00BE0C18" w:rsidRPr="003A2F86" w:rsidRDefault="00BE0C18" w:rsidP="00410A4B">
            <w:pPr>
              <w:autoSpaceDE w:val="0"/>
              <w:autoSpaceDN w:val="0"/>
              <w:adjustRightInd w:val="0"/>
              <w:spacing w:after="0" w:line="240" w:lineRule="auto"/>
              <w:jc w:val="both"/>
              <w:rPr>
                <w:rFonts w:ascii="Arial" w:eastAsia="Times New Roman" w:hAnsi="Arial" w:cs="Arial"/>
                <w:sz w:val="20"/>
                <w:szCs w:val="20"/>
                <w:lang w:eastAsia="en-US"/>
              </w:rPr>
            </w:pPr>
            <w:r w:rsidRPr="003A2F86">
              <w:rPr>
                <w:rFonts w:ascii="Arial" w:eastAsia="Times New Roman" w:hAnsi="Arial" w:cs="Arial"/>
                <w:sz w:val="20"/>
                <w:szCs w:val="20"/>
                <w:lang w:eastAsia="en-US"/>
              </w:rPr>
              <w:t>- Efikasno obavljanje poslova lokalnog značaja, razvoj demokratskog i višestranačkog sustava, informiranje građana o aktivnostima u općinskoj upravi.</w:t>
            </w:r>
          </w:p>
          <w:p w14:paraId="0EB409BF" w14:textId="77777777" w:rsidR="00BE0C18" w:rsidRPr="003A2F86" w:rsidRDefault="00BE0C18" w:rsidP="00410A4B">
            <w:pPr>
              <w:autoSpaceDE w:val="0"/>
              <w:autoSpaceDN w:val="0"/>
              <w:adjustRightInd w:val="0"/>
              <w:spacing w:after="0" w:line="240" w:lineRule="auto"/>
              <w:jc w:val="both"/>
              <w:rPr>
                <w:rFonts w:ascii="Arial" w:eastAsia="Times New Roman" w:hAnsi="Arial" w:cs="Arial"/>
                <w:sz w:val="20"/>
                <w:szCs w:val="20"/>
                <w:lang w:eastAsia="en-US"/>
              </w:rPr>
            </w:pPr>
            <w:r w:rsidRPr="003A2F86">
              <w:rPr>
                <w:rFonts w:ascii="Arial" w:eastAsia="Calibri" w:hAnsi="Arial" w:cs="Arial"/>
                <w:sz w:val="20"/>
                <w:szCs w:val="20"/>
                <w:lang w:eastAsia="en-US"/>
              </w:rPr>
              <w:t>CILJ PROGRAMA: osiguravanje organizacijskih, tehničkih i drugih uvjeta za održavanje redovitih sjednica Općinskog vijeća (umnožavanje, uvezivanje, dostava potrebnih materijala za sjednice Općinskog vijeća).</w:t>
            </w:r>
          </w:p>
          <w:p w14:paraId="2BE69012" w14:textId="77777777" w:rsidR="00BE0C18" w:rsidRPr="003A2F86" w:rsidRDefault="00BE0C18" w:rsidP="00410A4B">
            <w:pPr>
              <w:spacing w:after="0" w:line="240" w:lineRule="auto"/>
              <w:jc w:val="both"/>
              <w:rPr>
                <w:rFonts w:ascii="Arial" w:eastAsia="Calibri" w:hAnsi="Arial" w:cs="Arial"/>
                <w:sz w:val="20"/>
                <w:szCs w:val="20"/>
                <w:lang w:eastAsia="en-US"/>
              </w:rPr>
            </w:pPr>
          </w:p>
          <w:p w14:paraId="4731D868"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lastRenderedPageBreak/>
              <w:t>U cilju ostvarivanja javnosti rada Općinskog vijeća, te ispunjenje formalno-pravnih preduvjeta za pravnu obvezivost akata i stupanja na snagu istog, vrši se objava u službenom glasilu „Službeni glasnik Općine Konavle“ kao i objava akata i drugih dokumenata u sredstvima javnog priopćavanja (pravodobno, svrsishodno i temeljito informiranje stanovništva o donesenim aktima Općinskog vijeća Općine Konavle).</w:t>
            </w:r>
          </w:p>
          <w:p w14:paraId="5E47EDC3"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Poticati rad političkih stranaka kao izraz demokratskog višestranačkog sustava, odnosno najviše vrijednosti ustavnog poretka, te osigurati redovan i pravovremen rad općinskog vijeća, donošenje općih i posebnih akata na vrijeme.</w:t>
            </w:r>
          </w:p>
          <w:p w14:paraId="087945D5" w14:textId="77777777" w:rsidR="00BE0C18" w:rsidRPr="003A2F86" w:rsidRDefault="00BE0C18" w:rsidP="00410A4B">
            <w:pPr>
              <w:spacing w:after="0" w:line="240" w:lineRule="auto"/>
              <w:jc w:val="both"/>
              <w:rPr>
                <w:rFonts w:ascii="Arial" w:eastAsia="Calibri" w:hAnsi="Arial" w:cs="Arial"/>
                <w:sz w:val="20"/>
                <w:szCs w:val="20"/>
                <w:lang w:eastAsia="en-US"/>
              </w:rPr>
            </w:pPr>
          </w:p>
          <w:p w14:paraId="2F78B6C0"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 xml:space="preserve">Financiranje (sredstva za rad) političkih stranaka zastupljenih u Općinskom vijeću obavlja se sukladno Zakonu o financiranju političkih aktivnosti, izborne promidžbe i referenduma i Odluci o rasporedu sredstava za redovito godišnje financiranje političkih stranaka iz proračuna Općine Konavle. </w:t>
            </w:r>
          </w:p>
          <w:p w14:paraId="4507AA55"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 xml:space="preserve">Financijsko praćenje postupka podnošenja prijedloga i dodjele javnih priznanja Općine Konavle, te rada Odbora za javna priznanja Općine Konavle (iznosi pojedinačnih nagrada, sredstva za izradu povelja i plaketa), zatim odavanje priznanja za iznimna postignuća i doprinos osobitog značaja za razvitak i ugled Općine Konavle, cilj je aktivnosti Nagrade povodom Dana Općine. </w:t>
            </w:r>
          </w:p>
          <w:p w14:paraId="521E5CC3" w14:textId="77777777" w:rsidR="00BE0C18" w:rsidRPr="003A2F86" w:rsidRDefault="00BE0C18" w:rsidP="00410A4B">
            <w:pPr>
              <w:autoSpaceDE w:val="0"/>
              <w:autoSpaceDN w:val="0"/>
              <w:adjustRightInd w:val="0"/>
              <w:spacing w:after="0" w:line="240" w:lineRule="auto"/>
              <w:jc w:val="both"/>
              <w:rPr>
                <w:rFonts w:ascii="Arial" w:eastAsia="Times New Roman" w:hAnsi="Arial" w:cs="Arial"/>
                <w:sz w:val="20"/>
                <w:szCs w:val="20"/>
                <w:lang w:eastAsia="en-US"/>
              </w:rPr>
            </w:pPr>
            <w:r w:rsidRPr="003A2F86">
              <w:rPr>
                <w:rFonts w:ascii="Arial" w:eastAsia="Calibri" w:hAnsi="Arial" w:cs="Arial"/>
                <w:sz w:val="20"/>
                <w:szCs w:val="20"/>
                <w:lang w:eastAsia="en-US"/>
              </w:rPr>
              <w:t>- Koordinacijom rada radnih tijela Općinskoga vijeća i Općinskog načelnika sa stručnim službama Općine osigurava se kontinuirano funkcioniranje te poboljšava efikasnost rada Općinskog Vijeća kao predstavničkog tijela i Općinskog načelnika Općine Konavle kao nositelja izvršne vlasti, sukladno zakonu.</w:t>
            </w:r>
          </w:p>
        </w:tc>
      </w:tr>
    </w:tbl>
    <w:p w14:paraId="434A6370" w14:textId="77777777" w:rsidR="00BE0C18" w:rsidRPr="003A2F86" w:rsidRDefault="00BE0C18" w:rsidP="00BE0C18">
      <w:pPr>
        <w:spacing w:after="0" w:line="240" w:lineRule="auto"/>
        <w:jc w:val="both"/>
        <w:rPr>
          <w:rFonts w:ascii="Arial" w:eastAsia="Calibri" w:hAnsi="Arial" w:cs="Arial"/>
          <w:sz w:val="20"/>
          <w:szCs w:val="20"/>
          <w:lang w:eastAsia="en-US"/>
        </w:rPr>
      </w:pPr>
    </w:p>
    <w:p w14:paraId="17D5A239" w14:textId="77777777" w:rsidR="00BE0C18" w:rsidRPr="003A2F86" w:rsidRDefault="00BE0C18">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3A2F86">
        <w:rPr>
          <w:rFonts w:ascii="Arial" w:eastAsia="Calibri" w:hAnsi="Arial" w:cs="Arial"/>
          <w:b/>
          <w:sz w:val="20"/>
          <w:szCs w:val="20"/>
          <w:lang w:eastAsia="en-US"/>
        </w:rPr>
        <w:t>Procjena i ishodište potrebnih sredstava za aktivnosti unutar programa</w:t>
      </w:r>
    </w:p>
    <w:p w14:paraId="79BD12B6" w14:textId="77777777" w:rsidR="00BE0C18" w:rsidRPr="003A2F86" w:rsidRDefault="00BE0C18" w:rsidP="00BE0C18">
      <w:pPr>
        <w:spacing w:after="0" w:line="240" w:lineRule="auto"/>
        <w:jc w:val="both"/>
        <w:rPr>
          <w:rFonts w:ascii="Arial" w:eastAsia="Calibri" w:hAnsi="Arial" w:cs="Arial"/>
          <w:sz w:val="20"/>
          <w:szCs w:val="20"/>
          <w:lang w:eastAsia="en-US"/>
        </w:rPr>
      </w:pPr>
    </w:p>
    <w:p w14:paraId="6583BE2F" w14:textId="6B84395F" w:rsidR="00BE0C18" w:rsidRPr="003A2F86" w:rsidRDefault="00BE0C18" w:rsidP="00BE0C18">
      <w:pPr>
        <w:spacing w:after="0" w:line="240" w:lineRule="auto"/>
        <w:jc w:val="both"/>
        <w:rPr>
          <w:rFonts w:ascii="Arial" w:eastAsia="Calibri" w:hAnsi="Arial" w:cs="Arial"/>
          <w:sz w:val="20"/>
          <w:szCs w:val="20"/>
        </w:rPr>
      </w:pPr>
      <w:bookmarkStart w:id="348" w:name="_Hlk175836732"/>
      <w:r>
        <w:rPr>
          <w:rFonts w:ascii="Arial" w:eastAsia="Calibri" w:hAnsi="Arial" w:cs="Arial"/>
          <w:sz w:val="20"/>
          <w:szCs w:val="20"/>
        </w:rPr>
        <w:t>Izvršenje aktivnosti sadržanih u ovom programu za 2013.-202</w:t>
      </w:r>
      <w:r w:rsidR="00DE218E">
        <w:rPr>
          <w:rFonts w:ascii="Arial" w:eastAsia="Calibri" w:hAnsi="Arial" w:cs="Arial"/>
          <w:sz w:val="20"/>
          <w:szCs w:val="20"/>
        </w:rPr>
        <w:t>4</w:t>
      </w:r>
      <w:r>
        <w:rPr>
          <w:rFonts w:ascii="Arial" w:eastAsia="Calibri" w:hAnsi="Arial" w:cs="Arial"/>
          <w:sz w:val="20"/>
          <w:szCs w:val="20"/>
        </w:rPr>
        <w:t>., plan za 202</w:t>
      </w:r>
      <w:r w:rsidR="00DE218E">
        <w:rPr>
          <w:rFonts w:ascii="Arial" w:eastAsia="Calibri" w:hAnsi="Arial" w:cs="Arial"/>
          <w:sz w:val="20"/>
          <w:szCs w:val="20"/>
        </w:rPr>
        <w:t>5</w:t>
      </w:r>
      <w:r>
        <w:rPr>
          <w:rFonts w:ascii="Arial" w:eastAsia="Calibri" w:hAnsi="Arial" w:cs="Arial"/>
          <w:sz w:val="20"/>
          <w:szCs w:val="20"/>
        </w:rPr>
        <w:t>., izvršenje za 20</w:t>
      </w:r>
      <w:r w:rsidR="00DE218E">
        <w:rPr>
          <w:rFonts w:ascii="Arial" w:eastAsia="Calibri" w:hAnsi="Arial" w:cs="Arial"/>
          <w:sz w:val="20"/>
          <w:szCs w:val="20"/>
        </w:rPr>
        <w:t>25</w:t>
      </w:r>
      <w:r>
        <w:rPr>
          <w:rFonts w:ascii="Arial" w:eastAsia="Calibri" w:hAnsi="Arial" w:cs="Arial"/>
          <w:sz w:val="20"/>
          <w:szCs w:val="20"/>
        </w:rPr>
        <w:t>., projekcije za 202</w:t>
      </w:r>
      <w:r w:rsidR="00DE218E">
        <w:rPr>
          <w:rFonts w:ascii="Arial" w:eastAsia="Calibri" w:hAnsi="Arial" w:cs="Arial"/>
          <w:sz w:val="20"/>
          <w:szCs w:val="20"/>
        </w:rPr>
        <w:t>6</w:t>
      </w:r>
      <w:r>
        <w:rPr>
          <w:rFonts w:ascii="Arial" w:eastAsia="Calibri" w:hAnsi="Arial" w:cs="Arial"/>
          <w:sz w:val="20"/>
          <w:szCs w:val="20"/>
        </w:rPr>
        <w:t>.-202</w:t>
      </w:r>
      <w:r w:rsidR="00DE218E">
        <w:rPr>
          <w:rFonts w:ascii="Arial" w:eastAsia="Calibri" w:hAnsi="Arial" w:cs="Arial"/>
          <w:sz w:val="20"/>
          <w:szCs w:val="20"/>
        </w:rPr>
        <w:t>7</w:t>
      </w:r>
      <w:r>
        <w:rPr>
          <w:rFonts w:ascii="Arial" w:eastAsia="Calibri" w:hAnsi="Arial" w:cs="Arial"/>
          <w:sz w:val="20"/>
          <w:szCs w:val="20"/>
        </w:rPr>
        <w:t>. iskazuju se u valuti EURO kako slijedi:</w:t>
      </w:r>
    </w:p>
    <w:bookmarkEnd w:id="346"/>
    <w:bookmarkEnd w:id="348"/>
    <w:p w14:paraId="0A240AD6" w14:textId="77777777" w:rsidR="00BE0C18" w:rsidRPr="003A2F86" w:rsidRDefault="00BE0C18" w:rsidP="00BE0C18">
      <w:pPr>
        <w:spacing w:after="0" w:line="240" w:lineRule="auto"/>
        <w:rPr>
          <w:rFonts w:ascii="Arial" w:eastAsia="Calibri" w:hAnsi="Arial" w:cs="Arial"/>
          <w:sz w:val="20"/>
          <w:szCs w:val="20"/>
        </w:rPr>
      </w:pPr>
    </w:p>
    <w:p w14:paraId="2F2C7C18" w14:textId="70D01D2E" w:rsidR="008A16BA" w:rsidRPr="003A2F86" w:rsidRDefault="008A16BA" w:rsidP="00BE0C18">
      <w:pPr>
        <w:spacing w:after="0" w:line="240" w:lineRule="auto"/>
        <w:rPr>
          <w:rFonts w:ascii="Arial" w:eastAsia="Calibri" w:hAnsi="Arial" w:cs="Arial"/>
          <w:sz w:val="20"/>
          <w:szCs w:val="20"/>
        </w:rPr>
      </w:pPr>
      <w:r w:rsidRPr="008A16BA">
        <w:rPr>
          <w:noProof/>
        </w:rPr>
        <w:drawing>
          <wp:inline distT="0" distB="0" distL="0" distR="0" wp14:anchorId="754AED05" wp14:editId="2B998AD0">
            <wp:extent cx="9251950" cy="1522730"/>
            <wp:effectExtent l="0" t="0" r="6350" b="1270"/>
            <wp:docPr id="1748735589"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9251950" cy="1522730"/>
                    </a:xfrm>
                    <a:prstGeom prst="rect">
                      <a:avLst/>
                    </a:prstGeom>
                    <a:noFill/>
                    <a:ln>
                      <a:noFill/>
                    </a:ln>
                  </pic:spPr>
                </pic:pic>
              </a:graphicData>
            </a:graphic>
          </wp:inline>
        </w:drawing>
      </w:r>
    </w:p>
    <w:p w14:paraId="2838F606" w14:textId="77777777" w:rsidR="00BE0C18" w:rsidRPr="003A2F86" w:rsidRDefault="00BE0C18" w:rsidP="00BE0C18">
      <w:pPr>
        <w:spacing w:after="0" w:line="240" w:lineRule="auto"/>
        <w:jc w:val="right"/>
        <w:rPr>
          <w:rFonts w:ascii="Arial" w:eastAsia="Calibri" w:hAnsi="Arial" w:cs="Arial"/>
          <w:sz w:val="20"/>
          <w:szCs w:val="20"/>
          <w:lang w:eastAsia="en-US"/>
        </w:rPr>
      </w:pPr>
      <w:r w:rsidRPr="003A2F86">
        <w:rPr>
          <w:rFonts w:ascii="Arial" w:eastAsia="Calibri" w:hAnsi="Arial" w:cs="Arial"/>
          <w:b/>
          <w:sz w:val="20"/>
          <w:szCs w:val="20"/>
          <w:lang w:eastAsia="en-US"/>
        </w:rPr>
        <w:t>RAZLOG ODSTUPANJA OD PROŠLOGODIŠNJIH PROJEKCIJA</w:t>
      </w:r>
      <w:r w:rsidRPr="003A2F86">
        <w:rPr>
          <w:rFonts w:ascii="Arial" w:eastAsia="Calibri" w:hAnsi="Arial" w:cs="Arial"/>
          <w:sz w:val="20"/>
          <w:szCs w:val="20"/>
          <w:lang w:eastAsia="en-US"/>
        </w:rPr>
        <w:t xml:space="preserve">: </w:t>
      </w:r>
    </w:p>
    <w:p w14:paraId="2C43188D" w14:textId="77777777" w:rsidR="00BE0C18" w:rsidRPr="003A2F86" w:rsidRDefault="00BE0C18" w:rsidP="00BE0C18">
      <w:pPr>
        <w:spacing w:after="0" w:line="240" w:lineRule="auto"/>
        <w:jc w:val="right"/>
        <w:rPr>
          <w:rFonts w:ascii="Arial" w:eastAsia="Calibri" w:hAnsi="Arial" w:cs="Arial"/>
          <w:sz w:val="20"/>
          <w:szCs w:val="20"/>
          <w:lang w:eastAsia="en-US"/>
        </w:rPr>
      </w:pPr>
      <w:r w:rsidRPr="003A2F86">
        <w:rPr>
          <w:rFonts w:ascii="Arial" w:eastAsia="Calibri" w:hAnsi="Arial" w:cs="Arial"/>
          <w:sz w:val="20"/>
          <w:szCs w:val="20"/>
          <w:lang w:eastAsia="en-US"/>
        </w:rPr>
        <w:t>Po navedenom programu nije bilo značajnih odstupanja.</w:t>
      </w:r>
    </w:p>
    <w:p w14:paraId="2511A0EE" w14:textId="77777777" w:rsidR="00BE0C18" w:rsidRPr="003A2F86" w:rsidRDefault="00BE0C18" w:rsidP="00BE0C18">
      <w:pPr>
        <w:spacing w:after="0" w:line="240" w:lineRule="auto"/>
        <w:rPr>
          <w:rFonts w:ascii="Arial" w:eastAsia="Calibri" w:hAnsi="Arial" w:cs="Arial"/>
          <w:sz w:val="20"/>
          <w:szCs w:val="20"/>
        </w:rPr>
      </w:pPr>
    </w:p>
    <w:bookmarkEnd w:id="347"/>
    <w:p w14:paraId="30579DC8" w14:textId="77777777" w:rsidR="00BE0C18" w:rsidRPr="003A2F86" w:rsidRDefault="00BE0C18" w:rsidP="00BE0C18">
      <w:pPr>
        <w:spacing w:after="0" w:line="240" w:lineRule="auto"/>
        <w:jc w:val="both"/>
        <w:rPr>
          <w:rFonts w:ascii="Arial" w:eastAsia="Calibri" w:hAnsi="Arial" w:cs="Arial"/>
          <w:i/>
          <w:sz w:val="20"/>
          <w:szCs w:val="20"/>
        </w:rPr>
      </w:pPr>
      <w:r w:rsidRPr="003A2F86">
        <w:rPr>
          <w:rFonts w:ascii="Arial" w:eastAsia="Calibri" w:hAnsi="Arial" w:cs="Arial"/>
          <w:b/>
          <w:sz w:val="20"/>
          <w:szCs w:val="20"/>
        </w:rPr>
        <w:t>Ishodište i pokazatelji na kojima se zasnivaju izračuni i ocjene</w:t>
      </w:r>
      <w:r w:rsidRPr="003A2F86">
        <w:rPr>
          <w:rFonts w:ascii="Arial" w:eastAsia="Calibri" w:hAnsi="Arial" w:cs="Arial"/>
          <w:sz w:val="20"/>
          <w:szCs w:val="20"/>
        </w:rPr>
        <w:t xml:space="preserve"> </w:t>
      </w:r>
      <w:r w:rsidRPr="003A2F86">
        <w:rPr>
          <w:rFonts w:ascii="Arial" w:eastAsia="Calibri" w:hAnsi="Arial" w:cs="Arial"/>
          <w:b/>
          <w:sz w:val="20"/>
          <w:szCs w:val="20"/>
        </w:rPr>
        <w:t>potrebnih sredstava za provođenje programa:</w:t>
      </w:r>
      <w:r w:rsidRPr="003A2F86">
        <w:rPr>
          <w:rFonts w:ascii="Arial" w:eastAsia="Calibri" w:hAnsi="Arial" w:cs="Arial"/>
          <w:sz w:val="20"/>
          <w:szCs w:val="20"/>
        </w:rPr>
        <w:t xml:space="preserve"> Planske veličine su određene u predloženim iznosima temeljem ostvarenih ciljeva i postignutih rezultata iz prethodnih godina, te predviđanja promjena u izvršenju ciljeva u narednom razdoblju.</w:t>
      </w:r>
    </w:p>
    <w:p w14:paraId="2C4CDAE6" w14:textId="77777777" w:rsidR="00BE0C18" w:rsidRPr="003A2F86" w:rsidRDefault="00BE0C18" w:rsidP="00BE0C18">
      <w:pPr>
        <w:spacing w:after="0" w:line="240" w:lineRule="auto"/>
        <w:jc w:val="both"/>
        <w:rPr>
          <w:rFonts w:ascii="Arial" w:eastAsia="Calibri" w:hAnsi="Arial" w:cs="Arial"/>
          <w:sz w:val="20"/>
          <w:szCs w:val="20"/>
        </w:rPr>
      </w:pPr>
      <w:r w:rsidRPr="003A2F86">
        <w:rPr>
          <w:rFonts w:ascii="Arial" w:eastAsia="Calibri" w:hAnsi="Arial" w:cs="Arial"/>
          <w:b/>
          <w:sz w:val="20"/>
          <w:szCs w:val="20"/>
        </w:rPr>
        <w:t>Izvještaj o postignutim ciljevima i rezultatima programa temeljenim na pokazateljima uspješnosti u prethodnoj godini</w:t>
      </w:r>
      <w:r w:rsidRPr="003A2F86">
        <w:rPr>
          <w:rFonts w:ascii="Arial" w:eastAsia="Calibri" w:hAnsi="Arial" w:cs="Arial"/>
          <w:sz w:val="20"/>
          <w:szCs w:val="20"/>
        </w:rPr>
        <w:t>: Izvršenje je u okviru očekivanih vrijednosti.</w:t>
      </w:r>
    </w:p>
    <w:p w14:paraId="1B7669D9" w14:textId="77777777" w:rsidR="00BE0C18" w:rsidRPr="003A2F86" w:rsidRDefault="00BE0C18" w:rsidP="00BE0C18">
      <w:pPr>
        <w:shd w:val="clear" w:color="auto" w:fill="FFFFFF"/>
        <w:spacing w:after="0" w:line="240" w:lineRule="auto"/>
        <w:jc w:val="both"/>
        <w:rPr>
          <w:rFonts w:ascii="Calibri" w:eastAsia="Times New Roman" w:hAnsi="Calibri" w:cs="Calibri"/>
          <w:b/>
          <w:sz w:val="24"/>
          <w:szCs w:val="24"/>
        </w:rPr>
      </w:pPr>
    </w:p>
    <w:p w14:paraId="28C75777" w14:textId="07C4A2EC" w:rsidR="00BE0C18" w:rsidRPr="003A2F86" w:rsidRDefault="00BE0C18" w:rsidP="00BE0C18">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Ukupno planirana sredstva na razini Programa 1010 iznose </w:t>
      </w:r>
      <w:r w:rsidR="008A16BA">
        <w:rPr>
          <w:rFonts w:ascii="Arial" w:eastAsia="Calibri" w:hAnsi="Arial" w:cs="Arial"/>
          <w:sz w:val="20"/>
          <w:szCs w:val="20"/>
        </w:rPr>
        <w:t>94.700</w:t>
      </w:r>
      <w:r w:rsidRPr="003A2F86">
        <w:rPr>
          <w:rFonts w:ascii="Arial" w:eastAsia="Calibri" w:hAnsi="Arial" w:cs="Arial"/>
          <w:sz w:val="20"/>
          <w:szCs w:val="20"/>
        </w:rPr>
        <w:t xml:space="preserve"> €, dok izvršenje iznosi </w:t>
      </w:r>
      <w:r w:rsidR="008A16BA">
        <w:rPr>
          <w:rFonts w:ascii="Arial" w:eastAsia="Calibri" w:hAnsi="Arial" w:cs="Arial"/>
          <w:sz w:val="20"/>
          <w:szCs w:val="20"/>
        </w:rPr>
        <w:t>90.050,26</w:t>
      </w:r>
      <w:r w:rsidRPr="003A2F86">
        <w:rPr>
          <w:rFonts w:ascii="Arial" w:eastAsia="Calibri" w:hAnsi="Arial" w:cs="Arial"/>
          <w:sz w:val="20"/>
          <w:szCs w:val="20"/>
        </w:rPr>
        <w:t xml:space="preserve"> €, te je program izvršen u visini </w:t>
      </w:r>
      <w:r w:rsidR="008A16BA">
        <w:rPr>
          <w:rFonts w:ascii="Arial" w:eastAsia="Calibri" w:hAnsi="Arial" w:cs="Arial"/>
          <w:sz w:val="20"/>
          <w:szCs w:val="20"/>
        </w:rPr>
        <w:t>95,1</w:t>
      </w:r>
      <w:r w:rsidRPr="003A2F86">
        <w:rPr>
          <w:rFonts w:ascii="Arial" w:eastAsia="Calibri" w:hAnsi="Arial" w:cs="Arial"/>
          <w:sz w:val="20"/>
          <w:szCs w:val="20"/>
        </w:rPr>
        <w:t>%.</w:t>
      </w:r>
    </w:p>
    <w:p w14:paraId="02733B76" w14:textId="77777777" w:rsidR="00BE0C18" w:rsidRPr="003A2F86" w:rsidRDefault="00BE0C18" w:rsidP="00BE0C18">
      <w:pPr>
        <w:spacing w:after="0" w:line="240" w:lineRule="auto"/>
        <w:jc w:val="both"/>
        <w:rPr>
          <w:rFonts w:ascii="Arial" w:eastAsia="Calibri" w:hAnsi="Arial" w:cs="Arial"/>
          <w:sz w:val="20"/>
          <w:szCs w:val="20"/>
        </w:rPr>
      </w:pPr>
    </w:p>
    <w:p w14:paraId="19BCDF6F" w14:textId="77777777" w:rsidR="00BE0C18" w:rsidRPr="003A2F86" w:rsidRDefault="00BE0C18">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3A2F86">
        <w:rPr>
          <w:rFonts w:ascii="Arial" w:eastAsia="Calibri" w:hAnsi="Arial" w:cs="Arial"/>
          <w:b/>
          <w:sz w:val="20"/>
          <w:szCs w:val="20"/>
          <w:lang w:eastAsia="en-US"/>
        </w:rPr>
        <w:lastRenderedPageBreak/>
        <w:t>Obrazloženje aktivnosti / projekata i pokazatelji uspješnosti</w:t>
      </w:r>
    </w:p>
    <w:p w14:paraId="7DD45654" w14:textId="77777777" w:rsidR="00BE0C18" w:rsidRPr="003A2F86" w:rsidRDefault="00BE0C18" w:rsidP="00BE0C18">
      <w:pPr>
        <w:spacing w:after="0" w:line="240" w:lineRule="auto"/>
        <w:jc w:val="both"/>
        <w:rPr>
          <w:rFonts w:ascii="Arial" w:eastAsia="Calibri" w:hAnsi="Arial" w:cs="Arial"/>
          <w:sz w:val="20"/>
          <w:szCs w:val="20"/>
        </w:rPr>
      </w:pPr>
    </w:p>
    <w:p w14:paraId="5600BD6A" w14:textId="77777777" w:rsidR="00BE0C18" w:rsidRPr="003A2F86" w:rsidRDefault="00BE0C18" w:rsidP="00BE0C18">
      <w:pPr>
        <w:spacing w:after="0" w:line="240" w:lineRule="auto"/>
        <w:jc w:val="both"/>
        <w:rPr>
          <w:rFonts w:ascii="Arial" w:eastAsia="Calibri" w:hAnsi="Arial" w:cs="Arial"/>
          <w:sz w:val="20"/>
          <w:szCs w:val="20"/>
        </w:rPr>
      </w:pPr>
      <w:r w:rsidRPr="003A2F86">
        <w:rPr>
          <w:rFonts w:ascii="Arial" w:eastAsia="Calibri" w:hAnsi="Arial" w:cs="Arial"/>
          <w:sz w:val="20"/>
          <w:szCs w:val="20"/>
        </w:rPr>
        <w:t>Unutar programa izvode se slijedeće aktivnosti i projekti:</w:t>
      </w:r>
    </w:p>
    <w:p w14:paraId="756F70BC" w14:textId="77777777" w:rsidR="00BE0C18" w:rsidRPr="003A2F86" w:rsidRDefault="00BE0C18" w:rsidP="00BE0C18">
      <w:pPr>
        <w:spacing w:after="0" w:line="240" w:lineRule="auto"/>
        <w:jc w:val="both"/>
        <w:rPr>
          <w:rFonts w:ascii="Arial" w:eastAsia="Calibri" w:hAnsi="Arial" w:cs="Arial"/>
          <w:sz w:val="20"/>
          <w:szCs w:val="20"/>
        </w:rPr>
      </w:pPr>
    </w:p>
    <w:p w14:paraId="4F44C559" w14:textId="201630F4" w:rsidR="00BE0C18" w:rsidRDefault="00BE0C18" w:rsidP="00BE0C18">
      <w:pPr>
        <w:spacing w:after="0" w:line="240" w:lineRule="auto"/>
        <w:jc w:val="both"/>
        <w:rPr>
          <w:rFonts w:ascii="Arial" w:eastAsia="Calibri" w:hAnsi="Arial" w:cs="Arial"/>
          <w:sz w:val="20"/>
          <w:szCs w:val="20"/>
          <w:lang w:eastAsia="en-US"/>
        </w:rPr>
      </w:pPr>
      <w:r w:rsidRPr="003A2F86">
        <w:rPr>
          <w:rFonts w:ascii="Arial" w:eastAsia="Calibri" w:hAnsi="Arial" w:cs="Arial"/>
          <w:b/>
          <w:sz w:val="20"/>
          <w:szCs w:val="20"/>
          <w:lang w:eastAsia="en-US"/>
        </w:rPr>
        <w:t>1. A101001: Redovan rad predstavničkog tijela i radnih tijela</w:t>
      </w:r>
      <w:r w:rsidRPr="003A2F86">
        <w:rPr>
          <w:rFonts w:ascii="Arial" w:eastAsia="Calibri" w:hAnsi="Arial" w:cs="Arial"/>
          <w:sz w:val="20"/>
          <w:szCs w:val="20"/>
          <w:lang w:eastAsia="en-US"/>
        </w:rPr>
        <w:t xml:space="preserve"> – u sklopu navedene aktivnosti planirani su rashodi za naknade troškova osobama izvan radnog odnosa i ostali nespomenuti rashodi poslovanja koji se odnose na naknade za rad predstavničkog tijela. Planirana sredstva za provođenje navedene aktivnosti iznose </w:t>
      </w:r>
      <w:r w:rsidR="006974FC">
        <w:rPr>
          <w:rFonts w:ascii="Arial" w:eastAsia="Calibri" w:hAnsi="Arial" w:cs="Arial"/>
          <w:sz w:val="20"/>
          <w:szCs w:val="20"/>
          <w:lang w:eastAsia="en-US"/>
        </w:rPr>
        <w:t>11.400</w:t>
      </w:r>
      <w:r w:rsidRPr="003A2F86">
        <w:rPr>
          <w:rFonts w:ascii="Arial" w:eastAsia="Calibri" w:hAnsi="Arial" w:cs="Arial"/>
          <w:sz w:val="20"/>
          <w:szCs w:val="20"/>
          <w:lang w:eastAsia="en-US"/>
        </w:rPr>
        <w:t xml:space="preserve"> €. Kao povremeni rashodi javljaju se troškovi službenog puta vijećnika koji su nastali u obnašanju njihove vijećničke dužnosti. </w:t>
      </w:r>
      <w:r>
        <w:rPr>
          <w:rFonts w:ascii="Arial" w:eastAsia="Calibri" w:hAnsi="Arial" w:cs="Arial"/>
          <w:sz w:val="20"/>
          <w:szCs w:val="20"/>
          <w:lang w:eastAsia="en-US"/>
        </w:rPr>
        <w:t xml:space="preserve">Rashodi su izvršeni u iznosu </w:t>
      </w:r>
      <w:r w:rsidR="006974FC">
        <w:rPr>
          <w:rFonts w:ascii="Arial" w:eastAsia="Calibri" w:hAnsi="Arial" w:cs="Arial"/>
          <w:sz w:val="20"/>
          <w:szCs w:val="20"/>
          <w:lang w:eastAsia="en-US"/>
        </w:rPr>
        <w:t>7.072,02</w:t>
      </w:r>
      <w:r>
        <w:rPr>
          <w:rFonts w:ascii="Arial" w:eastAsia="Calibri" w:hAnsi="Arial" w:cs="Arial"/>
          <w:sz w:val="20"/>
          <w:szCs w:val="20"/>
          <w:lang w:eastAsia="en-US"/>
        </w:rPr>
        <w:t xml:space="preserve"> €.</w:t>
      </w:r>
    </w:p>
    <w:p w14:paraId="6C960481" w14:textId="77777777" w:rsidR="006974FC" w:rsidRDefault="006974FC" w:rsidP="00BE0C18">
      <w:pPr>
        <w:spacing w:after="0" w:line="240" w:lineRule="auto"/>
        <w:jc w:val="both"/>
        <w:rPr>
          <w:rFonts w:ascii="Arial" w:eastAsia="Calibri" w:hAnsi="Arial" w:cs="Arial"/>
          <w:sz w:val="20"/>
          <w:szCs w:val="20"/>
          <w:lang w:eastAsia="en-US"/>
        </w:rPr>
      </w:pPr>
    </w:p>
    <w:p w14:paraId="193057FB" w14:textId="77777777" w:rsidR="00EE59E5" w:rsidRDefault="00EE59E5" w:rsidP="00EE59E5">
      <w:pPr>
        <w:spacing w:after="0" w:line="240" w:lineRule="auto"/>
        <w:ind w:left="567"/>
        <w:jc w:val="both"/>
        <w:rPr>
          <w:rFonts w:ascii="Arial" w:eastAsia="Calibri" w:hAnsi="Arial" w:cs="Arial"/>
          <w:sz w:val="18"/>
          <w:szCs w:val="18"/>
          <w:lang w:eastAsia="en-US"/>
        </w:rPr>
      </w:pPr>
      <w:r w:rsidRPr="00EE59E5">
        <w:rPr>
          <w:rFonts w:ascii="Arial" w:eastAsia="Calibri" w:hAnsi="Arial" w:cs="Arial"/>
          <w:sz w:val="18"/>
          <w:szCs w:val="18"/>
          <w:lang w:eastAsia="en-US"/>
        </w:rPr>
        <w:t>Na temelju rezultata izbora provedenih za članove predstavničkog tijela (Općinskog vijeća, 16. svibnja 2021.), konstituirajuća sjednica Općinskog vijeća održana je 16. lipnja 2021. Općinsko vijeće, sukladno odredbama Zakona o lokalnim izborima (NN 144/12, 121/16, 98/19, 42/20, 144/20, 37/21) čini 13 članova (umjesto 15 članova u ranijem sazivu Općinskog vijeća).</w:t>
      </w:r>
    </w:p>
    <w:p w14:paraId="6519A092" w14:textId="77777777" w:rsidR="00EE59E5" w:rsidRPr="006974FC" w:rsidRDefault="00EE59E5" w:rsidP="00EE59E5">
      <w:pPr>
        <w:spacing w:after="0" w:line="240" w:lineRule="auto"/>
        <w:ind w:left="567"/>
        <w:jc w:val="both"/>
        <w:rPr>
          <w:rFonts w:ascii="Arial" w:eastAsia="Calibri" w:hAnsi="Arial" w:cs="Arial"/>
          <w:sz w:val="20"/>
          <w:szCs w:val="20"/>
          <w:lang w:eastAsia="en-US"/>
        </w:rPr>
      </w:pPr>
    </w:p>
    <w:p w14:paraId="4DB98F3A" w14:textId="77777777" w:rsidR="00BE0C18" w:rsidRDefault="00BE0C18" w:rsidP="00BE0C18">
      <w:pPr>
        <w:spacing w:after="0" w:line="240" w:lineRule="auto"/>
        <w:ind w:left="567"/>
        <w:jc w:val="both"/>
        <w:rPr>
          <w:rFonts w:ascii="Arial" w:eastAsia="Calibri" w:hAnsi="Arial" w:cs="Arial"/>
          <w:sz w:val="18"/>
          <w:szCs w:val="18"/>
        </w:rPr>
      </w:pPr>
      <w:r w:rsidRPr="00596424">
        <w:rPr>
          <w:rFonts w:ascii="Arial" w:eastAsia="Calibri" w:hAnsi="Arial" w:cs="Arial"/>
          <w:sz w:val="18"/>
          <w:szCs w:val="18"/>
          <w:lang w:eastAsia="en-US"/>
        </w:rPr>
        <w:t xml:space="preserve">Naknade članovima predstavničkog tijela isplaćivale su se ranijih godina (do ožujka 2020.) na temelju Odluke o naknade vijećnicima od 15.7.2009. U ožujku 2020. vijećnici općinskog vijeća su se odrekli vijećničke naknade zbog smanjenih proračunskih sredstava uzrokovanih pandemijom bolesti COVID 19. </w:t>
      </w:r>
      <w:r w:rsidRPr="00596424">
        <w:rPr>
          <w:rFonts w:ascii="Arial" w:eastAsia="Calibri" w:hAnsi="Arial" w:cs="Arial"/>
          <w:sz w:val="18"/>
          <w:szCs w:val="18"/>
        </w:rPr>
        <w:t xml:space="preserve">U lipnju 2021. je bila donesena Odluka o naknadi vijećnicima Općinskog vijeća prema kojoj se vijećnicima isplaćivala naknada za sudjelovanje na sjednici u visini važeće dnevnice u RH. </w:t>
      </w:r>
    </w:p>
    <w:p w14:paraId="62B87E95" w14:textId="77777777" w:rsidR="00BE0C18" w:rsidRDefault="00BE0C18" w:rsidP="00BE0C18">
      <w:pPr>
        <w:spacing w:after="0" w:line="240" w:lineRule="auto"/>
        <w:ind w:left="567"/>
        <w:jc w:val="both"/>
        <w:rPr>
          <w:rFonts w:ascii="Arial" w:eastAsia="Calibri" w:hAnsi="Arial" w:cs="Arial"/>
          <w:sz w:val="18"/>
          <w:szCs w:val="18"/>
        </w:rPr>
      </w:pPr>
    </w:p>
    <w:p w14:paraId="5ADD0427" w14:textId="0275734E" w:rsidR="00BE0C18" w:rsidRPr="003A2F86" w:rsidRDefault="00BE0C18" w:rsidP="00BE0C18">
      <w:pPr>
        <w:spacing w:after="0" w:line="240" w:lineRule="auto"/>
        <w:ind w:left="567"/>
        <w:jc w:val="both"/>
        <w:rPr>
          <w:rFonts w:ascii="Arial" w:eastAsia="Calibri" w:hAnsi="Arial" w:cs="Arial"/>
          <w:sz w:val="20"/>
          <w:szCs w:val="20"/>
        </w:rPr>
      </w:pPr>
      <w:r w:rsidRPr="003A2F86">
        <w:rPr>
          <w:rFonts w:ascii="Arial" w:eastAsia="Calibri" w:hAnsi="Arial" w:cs="Arial"/>
          <w:sz w:val="20"/>
          <w:szCs w:val="20"/>
        </w:rPr>
        <w:t>U lipnju 2023. godine donesena je Odluka o naknadama članovima i predsjedniku Općinskog vijeća prema kojoj naknada za sudjelovanje u radu članovima Općinskog vijeća iznosi neto 50 € po održanoj sjednici, dok naknada predsjedniku Općinskog vijeća iznosi neto 70 € po održanoj sjednici (Službeni glasnik Općine Konavle broj 4/2023).</w:t>
      </w:r>
    </w:p>
    <w:p w14:paraId="6BF526D4" w14:textId="77777777" w:rsidR="00BE0C18" w:rsidRDefault="00BE0C18" w:rsidP="00BE0C18">
      <w:pPr>
        <w:spacing w:after="0" w:line="240" w:lineRule="auto"/>
        <w:jc w:val="both"/>
        <w:rPr>
          <w:rFonts w:ascii="Arial" w:eastAsia="Calibri" w:hAnsi="Arial" w:cs="Arial"/>
          <w:sz w:val="20"/>
          <w:szCs w:val="20"/>
        </w:rPr>
      </w:pPr>
    </w:p>
    <w:p w14:paraId="5961332F" w14:textId="77777777" w:rsidR="00EE59E5" w:rsidRPr="00EE59E5" w:rsidRDefault="00EE59E5" w:rsidP="00EE59E5">
      <w:pPr>
        <w:spacing w:after="0" w:line="240" w:lineRule="auto"/>
        <w:jc w:val="both"/>
        <w:rPr>
          <w:rFonts w:ascii="Arial" w:eastAsia="Calibri" w:hAnsi="Arial" w:cs="Arial"/>
          <w:sz w:val="20"/>
          <w:szCs w:val="20"/>
          <w:lang w:eastAsia="en-US"/>
        </w:rPr>
      </w:pPr>
      <w:r w:rsidRPr="00EE59E5">
        <w:rPr>
          <w:rFonts w:ascii="Arial" w:eastAsia="Calibri" w:hAnsi="Arial" w:cs="Arial"/>
          <w:sz w:val="20"/>
          <w:szCs w:val="20"/>
          <w:lang w:eastAsia="en-US"/>
        </w:rPr>
        <w:t>Na temelju rezultata izbora provedenih za članove predstavničkog tijela (Općinskog vijeća, 18. svibnja 2025.), konstituirajuća sjednica Općinskog vijeća održana je 12. lipnja 2025. Općinsko vijeće, sukladno odredbama Zakona o lokalnim izborima (NN 144/12, 121/16, 98/19, 42/20, 144/20, 37/21) čini 13 članova.</w:t>
      </w:r>
    </w:p>
    <w:p w14:paraId="63A6E509" w14:textId="77777777" w:rsidR="006974FC" w:rsidRPr="00EE59E5" w:rsidRDefault="006974FC" w:rsidP="006974FC">
      <w:pPr>
        <w:spacing w:after="0" w:line="240" w:lineRule="auto"/>
        <w:jc w:val="both"/>
        <w:rPr>
          <w:rFonts w:ascii="Arial" w:eastAsia="Calibri" w:hAnsi="Arial" w:cs="Arial"/>
          <w:sz w:val="20"/>
          <w:szCs w:val="20"/>
          <w:lang w:eastAsia="en-US"/>
        </w:rPr>
      </w:pPr>
    </w:p>
    <w:p w14:paraId="0A3CFE0D" w14:textId="395EDC31" w:rsidR="006974FC" w:rsidRPr="00EE59E5" w:rsidRDefault="006974FC" w:rsidP="006974FC">
      <w:pPr>
        <w:spacing w:after="0" w:line="240" w:lineRule="auto"/>
        <w:jc w:val="both"/>
        <w:rPr>
          <w:rFonts w:ascii="Arial" w:eastAsia="Calibri" w:hAnsi="Arial" w:cs="Arial"/>
          <w:sz w:val="20"/>
          <w:szCs w:val="20"/>
          <w:lang w:eastAsia="en-US"/>
        </w:rPr>
      </w:pPr>
      <w:r w:rsidRPr="00EE59E5">
        <w:rPr>
          <w:rFonts w:ascii="Arial" w:eastAsia="Calibri" w:hAnsi="Arial" w:cs="Arial"/>
          <w:sz w:val="20"/>
          <w:szCs w:val="20"/>
          <w:lang w:eastAsia="en-US"/>
        </w:rPr>
        <w:t>U rujnu 2025. izmijenjana je odluka</w:t>
      </w:r>
      <w:r w:rsidR="00EE59E5">
        <w:rPr>
          <w:rFonts w:ascii="Arial" w:eastAsia="Calibri" w:hAnsi="Arial" w:cs="Arial"/>
          <w:sz w:val="20"/>
          <w:szCs w:val="20"/>
          <w:lang w:eastAsia="en-US"/>
        </w:rPr>
        <w:t xml:space="preserve"> o naknadama </w:t>
      </w:r>
      <w:r w:rsidR="00EE59E5" w:rsidRPr="003A2F86">
        <w:rPr>
          <w:rFonts w:ascii="Arial" w:eastAsia="Calibri" w:hAnsi="Arial" w:cs="Arial"/>
          <w:sz w:val="20"/>
          <w:szCs w:val="20"/>
        </w:rPr>
        <w:t>članovima i predsjedniku Općinskog vijeća</w:t>
      </w:r>
      <w:r w:rsidRPr="00EE59E5">
        <w:rPr>
          <w:rFonts w:ascii="Arial" w:eastAsia="Calibri" w:hAnsi="Arial" w:cs="Arial"/>
          <w:sz w:val="20"/>
          <w:szCs w:val="20"/>
          <w:lang w:eastAsia="en-US"/>
        </w:rPr>
        <w:t>. Prema odluci Općinskog vijeća od 23. rujna 2025. godine, naknada članovima općinskog vijeća iznosi neto 100 € po održanoj sjednici, a predsjedniku Općinskog vijeća neto 200 € po održanoj sjednici.</w:t>
      </w:r>
    </w:p>
    <w:p w14:paraId="2C2B0A75" w14:textId="77777777" w:rsidR="006974FC" w:rsidRPr="003A2F86" w:rsidRDefault="006974FC" w:rsidP="00BE0C18">
      <w:pPr>
        <w:spacing w:after="0" w:line="240" w:lineRule="auto"/>
        <w:jc w:val="both"/>
        <w:rPr>
          <w:rFonts w:ascii="Arial" w:eastAsia="Calibri" w:hAnsi="Arial" w:cs="Arial"/>
          <w:sz w:val="20"/>
          <w:szCs w:val="20"/>
        </w:rPr>
      </w:pPr>
    </w:p>
    <w:p w14:paraId="36DF8AFA" w14:textId="16061E27" w:rsidR="00BE0C18" w:rsidRPr="003A2F86" w:rsidRDefault="00BE0C18" w:rsidP="00BE0C18">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rPr>
        <w:t>U 202</w:t>
      </w:r>
      <w:r w:rsidR="00EE59E5">
        <w:rPr>
          <w:rFonts w:ascii="Arial" w:eastAsia="Calibri" w:hAnsi="Arial" w:cs="Arial"/>
          <w:sz w:val="20"/>
          <w:szCs w:val="20"/>
        </w:rPr>
        <w:t>5</w:t>
      </w:r>
      <w:r w:rsidRPr="003A2F86">
        <w:rPr>
          <w:rFonts w:ascii="Arial" w:eastAsia="Calibri" w:hAnsi="Arial" w:cs="Arial"/>
          <w:sz w:val="20"/>
          <w:szCs w:val="20"/>
        </w:rPr>
        <w:t>.</w:t>
      </w:r>
      <w:r w:rsidRPr="003A2F86">
        <w:rPr>
          <w:rFonts w:ascii="Arial" w:eastAsia="Calibri" w:hAnsi="Arial" w:cs="Arial"/>
          <w:sz w:val="20"/>
          <w:szCs w:val="20"/>
          <w:lang w:eastAsia="en-US"/>
        </w:rPr>
        <w:t xml:space="preserve"> održano je </w:t>
      </w:r>
      <w:r>
        <w:rPr>
          <w:rFonts w:ascii="Arial" w:eastAsia="Calibri" w:hAnsi="Arial" w:cs="Arial"/>
          <w:sz w:val="20"/>
          <w:szCs w:val="20"/>
          <w:lang w:eastAsia="en-US"/>
        </w:rPr>
        <w:t>šest</w:t>
      </w:r>
      <w:r w:rsidRPr="003A2F86">
        <w:rPr>
          <w:rFonts w:ascii="Arial" w:eastAsia="Calibri" w:hAnsi="Arial" w:cs="Arial"/>
          <w:sz w:val="20"/>
          <w:szCs w:val="20"/>
          <w:lang w:eastAsia="en-US"/>
        </w:rPr>
        <w:t xml:space="preserve"> sjednic</w:t>
      </w:r>
      <w:r>
        <w:rPr>
          <w:rFonts w:ascii="Arial" w:eastAsia="Calibri" w:hAnsi="Arial" w:cs="Arial"/>
          <w:sz w:val="20"/>
          <w:szCs w:val="20"/>
          <w:lang w:eastAsia="en-US"/>
        </w:rPr>
        <w:t>a</w:t>
      </w:r>
      <w:r w:rsidRPr="003A2F86">
        <w:rPr>
          <w:rFonts w:ascii="Arial" w:eastAsia="Calibri" w:hAnsi="Arial" w:cs="Arial"/>
          <w:sz w:val="20"/>
          <w:szCs w:val="20"/>
          <w:lang w:eastAsia="en-US"/>
        </w:rPr>
        <w:t xml:space="preserve"> (</w:t>
      </w:r>
      <w:r w:rsidR="008960C0">
        <w:rPr>
          <w:rFonts w:ascii="Arial" w:eastAsia="Calibri" w:hAnsi="Arial" w:cs="Arial"/>
          <w:sz w:val="20"/>
          <w:szCs w:val="20"/>
          <w:lang w:eastAsia="en-US"/>
        </w:rPr>
        <w:t>12.2</w:t>
      </w:r>
      <w:r w:rsidRPr="003A2F86">
        <w:rPr>
          <w:rFonts w:ascii="Arial" w:eastAsia="Calibri" w:hAnsi="Arial" w:cs="Arial"/>
          <w:sz w:val="20"/>
          <w:szCs w:val="20"/>
          <w:lang w:eastAsia="en-US"/>
        </w:rPr>
        <w:t>.202</w:t>
      </w:r>
      <w:r w:rsidR="008960C0">
        <w:rPr>
          <w:rFonts w:ascii="Arial" w:eastAsia="Calibri" w:hAnsi="Arial" w:cs="Arial"/>
          <w:sz w:val="20"/>
          <w:szCs w:val="20"/>
          <w:lang w:eastAsia="en-US"/>
        </w:rPr>
        <w:t>5</w:t>
      </w:r>
      <w:r w:rsidRPr="003A2F86">
        <w:rPr>
          <w:rFonts w:ascii="Arial" w:eastAsia="Calibri" w:hAnsi="Arial" w:cs="Arial"/>
          <w:sz w:val="20"/>
          <w:szCs w:val="20"/>
          <w:lang w:eastAsia="en-US"/>
        </w:rPr>
        <w:t>.), (</w:t>
      </w:r>
      <w:r w:rsidR="008960C0">
        <w:rPr>
          <w:rFonts w:ascii="Arial" w:eastAsia="Calibri" w:hAnsi="Arial" w:cs="Arial"/>
          <w:sz w:val="20"/>
          <w:szCs w:val="20"/>
          <w:lang w:eastAsia="en-US"/>
        </w:rPr>
        <w:t>27.2</w:t>
      </w:r>
      <w:r w:rsidRPr="003A2F86">
        <w:rPr>
          <w:rFonts w:ascii="Arial" w:eastAsia="Calibri" w:hAnsi="Arial" w:cs="Arial"/>
          <w:sz w:val="20"/>
          <w:szCs w:val="20"/>
          <w:lang w:eastAsia="en-US"/>
        </w:rPr>
        <w:t>.202</w:t>
      </w:r>
      <w:r w:rsidR="008960C0">
        <w:rPr>
          <w:rFonts w:ascii="Arial" w:eastAsia="Calibri" w:hAnsi="Arial" w:cs="Arial"/>
          <w:sz w:val="20"/>
          <w:szCs w:val="20"/>
          <w:lang w:eastAsia="en-US"/>
        </w:rPr>
        <w:t>5</w:t>
      </w:r>
      <w:r w:rsidRPr="003A2F86">
        <w:rPr>
          <w:rFonts w:ascii="Arial" w:eastAsia="Calibri" w:hAnsi="Arial" w:cs="Arial"/>
          <w:sz w:val="20"/>
          <w:szCs w:val="20"/>
          <w:lang w:eastAsia="en-US"/>
        </w:rPr>
        <w:t>.), (</w:t>
      </w:r>
      <w:r w:rsidR="008960C0">
        <w:rPr>
          <w:rFonts w:ascii="Arial" w:eastAsia="Calibri" w:hAnsi="Arial" w:cs="Arial"/>
          <w:sz w:val="20"/>
          <w:szCs w:val="20"/>
          <w:lang w:eastAsia="en-US"/>
        </w:rPr>
        <w:t>31.3</w:t>
      </w:r>
      <w:r w:rsidRPr="003A2F86">
        <w:rPr>
          <w:rFonts w:ascii="Arial" w:eastAsia="Calibri" w:hAnsi="Arial" w:cs="Arial"/>
          <w:sz w:val="20"/>
          <w:szCs w:val="20"/>
          <w:lang w:eastAsia="en-US"/>
        </w:rPr>
        <w:t>.202</w:t>
      </w:r>
      <w:r w:rsidR="008960C0">
        <w:rPr>
          <w:rFonts w:ascii="Arial" w:eastAsia="Calibri" w:hAnsi="Arial" w:cs="Arial"/>
          <w:sz w:val="20"/>
          <w:szCs w:val="20"/>
          <w:lang w:eastAsia="en-US"/>
        </w:rPr>
        <w:t>5</w:t>
      </w:r>
      <w:r w:rsidRPr="003A2F86">
        <w:rPr>
          <w:rFonts w:ascii="Arial" w:eastAsia="Calibri" w:hAnsi="Arial" w:cs="Arial"/>
          <w:sz w:val="20"/>
          <w:szCs w:val="20"/>
          <w:lang w:eastAsia="en-US"/>
        </w:rPr>
        <w:t>.)</w:t>
      </w:r>
      <w:r>
        <w:rPr>
          <w:rFonts w:ascii="Arial" w:eastAsia="Calibri" w:hAnsi="Arial" w:cs="Arial"/>
          <w:sz w:val="20"/>
          <w:szCs w:val="20"/>
          <w:lang w:eastAsia="en-US"/>
        </w:rPr>
        <w:t>, (</w:t>
      </w:r>
      <w:r w:rsidR="008960C0">
        <w:rPr>
          <w:rFonts w:ascii="Arial" w:eastAsia="Calibri" w:hAnsi="Arial" w:cs="Arial"/>
          <w:sz w:val="20"/>
          <w:szCs w:val="20"/>
          <w:lang w:eastAsia="en-US"/>
        </w:rPr>
        <w:t>12.6</w:t>
      </w:r>
      <w:r>
        <w:rPr>
          <w:rFonts w:ascii="Arial" w:eastAsia="Calibri" w:hAnsi="Arial" w:cs="Arial"/>
          <w:sz w:val="20"/>
          <w:szCs w:val="20"/>
          <w:lang w:eastAsia="en-US"/>
        </w:rPr>
        <w:t>.2</w:t>
      </w:r>
      <w:r w:rsidR="008960C0">
        <w:rPr>
          <w:rFonts w:ascii="Arial" w:eastAsia="Calibri" w:hAnsi="Arial" w:cs="Arial"/>
          <w:sz w:val="20"/>
          <w:szCs w:val="20"/>
          <w:lang w:eastAsia="en-US"/>
        </w:rPr>
        <w:t>5</w:t>
      </w:r>
      <w:r>
        <w:rPr>
          <w:rFonts w:ascii="Arial" w:eastAsia="Calibri" w:hAnsi="Arial" w:cs="Arial"/>
          <w:sz w:val="20"/>
          <w:szCs w:val="20"/>
          <w:lang w:eastAsia="en-US"/>
        </w:rPr>
        <w:t>.), (</w:t>
      </w:r>
      <w:r w:rsidR="008960C0">
        <w:rPr>
          <w:rFonts w:ascii="Arial" w:eastAsia="Calibri" w:hAnsi="Arial" w:cs="Arial"/>
          <w:sz w:val="20"/>
          <w:szCs w:val="20"/>
          <w:lang w:eastAsia="en-US"/>
        </w:rPr>
        <w:t>23.</w:t>
      </w:r>
      <w:r>
        <w:rPr>
          <w:rFonts w:ascii="Arial" w:eastAsia="Calibri" w:hAnsi="Arial" w:cs="Arial"/>
          <w:sz w:val="20"/>
          <w:szCs w:val="20"/>
          <w:lang w:eastAsia="en-US"/>
        </w:rPr>
        <w:t>9.2</w:t>
      </w:r>
      <w:r w:rsidR="008960C0">
        <w:rPr>
          <w:rFonts w:ascii="Arial" w:eastAsia="Calibri" w:hAnsi="Arial" w:cs="Arial"/>
          <w:sz w:val="20"/>
          <w:szCs w:val="20"/>
          <w:lang w:eastAsia="en-US"/>
        </w:rPr>
        <w:t>5</w:t>
      </w:r>
      <w:r>
        <w:rPr>
          <w:rFonts w:ascii="Arial" w:eastAsia="Calibri" w:hAnsi="Arial" w:cs="Arial"/>
          <w:sz w:val="20"/>
          <w:szCs w:val="20"/>
          <w:lang w:eastAsia="en-US"/>
        </w:rPr>
        <w:t>.), (1</w:t>
      </w:r>
      <w:r w:rsidR="008960C0">
        <w:rPr>
          <w:rFonts w:ascii="Arial" w:eastAsia="Calibri" w:hAnsi="Arial" w:cs="Arial"/>
          <w:sz w:val="20"/>
          <w:szCs w:val="20"/>
          <w:lang w:eastAsia="en-US"/>
        </w:rPr>
        <w:t>7</w:t>
      </w:r>
      <w:r>
        <w:rPr>
          <w:rFonts w:ascii="Arial" w:eastAsia="Calibri" w:hAnsi="Arial" w:cs="Arial"/>
          <w:sz w:val="20"/>
          <w:szCs w:val="20"/>
          <w:lang w:eastAsia="en-US"/>
        </w:rPr>
        <w:t>.12.2</w:t>
      </w:r>
      <w:r w:rsidR="008960C0">
        <w:rPr>
          <w:rFonts w:ascii="Arial" w:eastAsia="Calibri" w:hAnsi="Arial" w:cs="Arial"/>
          <w:sz w:val="20"/>
          <w:szCs w:val="20"/>
          <w:lang w:eastAsia="en-US"/>
        </w:rPr>
        <w:t>5</w:t>
      </w:r>
      <w:r>
        <w:rPr>
          <w:rFonts w:ascii="Arial" w:eastAsia="Calibri" w:hAnsi="Arial" w:cs="Arial"/>
          <w:sz w:val="20"/>
          <w:szCs w:val="20"/>
          <w:lang w:eastAsia="en-US"/>
        </w:rPr>
        <w:t>.)</w:t>
      </w:r>
      <w:r w:rsidRPr="003A2F86">
        <w:rPr>
          <w:rFonts w:ascii="Arial" w:eastAsia="Calibri" w:hAnsi="Arial" w:cs="Arial"/>
          <w:sz w:val="20"/>
          <w:szCs w:val="20"/>
          <w:lang w:eastAsia="en-US"/>
        </w:rPr>
        <w:t>.</w:t>
      </w:r>
    </w:p>
    <w:p w14:paraId="38E36B51" w14:textId="77777777" w:rsidR="00BE0C18" w:rsidRPr="003A2F86" w:rsidRDefault="00BE0C18" w:rsidP="00BE0C18">
      <w:pPr>
        <w:spacing w:after="0" w:line="240" w:lineRule="auto"/>
        <w:jc w:val="both"/>
        <w:rPr>
          <w:rFonts w:ascii="Arial" w:eastAsia="Calibri" w:hAnsi="Arial" w:cs="Arial"/>
          <w:sz w:val="20"/>
          <w:szCs w:val="20"/>
        </w:rPr>
      </w:pPr>
    </w:p>
    <w:p w14:paraId="0798DBBE" w14:textId="62D59309" w:rsidR="00BE0C18" w:rsidRPr="003A2F86" w:rsidRDefault="00BE0C18" w:rsidP="00BE0C18">
      <w:pPr>
        <w:spacing w:after="0" w:line="240" w:lineRule="auto"/>
        <w:jc w:val="both"/>
        <w:rPr>
          <w:rFonts w:ascii="Arial" w:eastAsia="Calibri" w:hAnsi="Arial" w:cs="Arial"/>
          <w:sz w:val="20"/>
          <w:szCs w:val="20"/>
          <w:lang w:eastAsia="en-US"/>
        </w:rPr>
      </w:pPr>
      <w:r w:rsidRPr="003A2F86">
        <w:rPr>
          <w:rFonts w:ascii="Arial" w:eastAsia="Calibri" w:hAnsi="Arial" w:cs="Arial"/>
          <w:b/>
          <w:sz w:val="20"/>
          <w:szCs w:val="20"/>
          <w:lang w:eastAsia="en-US"/>
        </w:rPr>
        <w:t xml:space="preserve">2. A101002: Financiranje rada političkih stranaka i nezavisnih vijećnika </w:t>
      </w:r>
      <w:r w:rsidRPr="003A2F86">
        <w:rPr>
          <w:rFonts w:ascii="Arial" w:eastAsia="Calibri" w:hAnsi="Arial" w:cs="Arial"/>
          <w:sz w:val="20"/>
          <w:szCs w:val="20"/>
          <w:lang w:eastAsia="en-US"/>
        </w:rPr>
        <w:t xml:space="preserve">– ovom aktivnošću obuhvaćeni su rashodi za tekuće donacije, odnosno naknade političkim strankama za rad vijećnika. Planirana sredstva za provođenje navedene aktivnosti su utvrđena u iznosu </w:t>
      </w:r>
      <w:r w:rsidR="008960C0">
        <w:rPr>
          <w:rFonts w:ascii="Arial" w:eastAsia="Calibri" w:hAnsi="Arial" w:cs="Arial"/>
          <w:sz w:val="20"/>
          <w:szCs w:val="20"/>
          <w:lang w:eastAsia="en-US"/>
        </w:rPr>
        <w:t>3.392</w:t>
      </w:r>
      <w:r w:rsidRPr="003A2F86">
        <w:rPr>
          <w:rFonts w:ascii="Arial" w:eastAsia="Calibri" w:hAnsi="Arial" w:cs="Arial"/>
          <w:sz w:val="20"/>
          <w:szCs w:val="20"/>
          <w:lang w:eastAsia="en-US"/>
        </w:rPr>
        <w:t xml:space="preserve"> €. </w:t>
      </w:r>
    </w:p>
    <w:p w14:paraId="0E32CF49" w14:textId="77777777" w:rsidR="00BE0C18" w:rsidRPr="003A2F86" w:rsidRDefault="00BE0C18" w:rsidP="00BE0C18">
      <w:pPr>
        <w:spacing w:after="0" w:line="240" w:lineRule="auto"/>
        <w:jc w:val="both"/>
        <w:rPr>
          <w:rFonts w:ascii="Arial" w:eastAsia="Calibri" w:hAnsi="Arial" w:cs="Arial"/>
          <w:sz w:val="20"/>
          <w:szCs w:val="20"/>
          <w:lang w:eastAsia="en-US"/>
        </w:rPr>
      </w:pPr>
    </w:p>
    <w:p w14:paraId="4E46CD07" w14:textId="52A3D787" w:rsidR="00BE0C18" w:rsidRPr="003A2F86" w:rsidRDefault="00BE0C18" w:rsidP="00BE0C18">
      <w:pPr>
        <w:spacing w:after="0" w:line="240" w:lineRule="auto"/>
        <w:jc w:val="both"/>
        <w:rPr>
          <w:rFonts w:ascii="Arial" w:eastAsia="Calibri" w:hAnsi="Arial" w:cs="Arial"/>
          <w:sz w:val="20"/>
          <w:szCs w:val="20"/>
        </w:rPr>
      </w:pPr>
      <w:r w:rsidRPr="003A2F86">
        <w:rPr>
          <w:rFonts w:ascii="Arial" w:eastAsia="Calibri" w:hAnsi="Arial" w:cs="Arial"/>
          <w:sz w:val="20"/>
          <w:szCs w:val="20"/>
          <w:lang w:eastAsia="en-US"/>
        </w:rPr>
        <w:t>Odlukom o rasporedu sredstava za redovito godišnje financiranje političkih stranaka iz Proračuna Općine Konavle koja se objavljuje u Službenom glasniku Općine Konavle utvrđuju se sredstva za članove Općinskog vijeća. Odluka za 202</w:t>
      </w:r>
      <w:r w:rsidR="008960C0">
        <w:rPr>
          <w:rFonts w:ascii="Arial" w:eastAsia="Calibri" w:hAnsi="Arial" w:cs="Arial"/>
          <w:sz w:val="20"/>
          <w:szCs w:val="20"/>
          <w:lang w:eastAsia="en-US"/>
        </w:rPr>
        <w:t>5</w:t>
      </w:r>
      <w:r w:rsidRPr="003A2F86">
        <w:rPr>
          <w:rFonts w:ascii="Arial" w:eastAsia="Calibri" w:hAnsi="Arial" w:cs="Arial"/>
          <w:sz w:val="20"/>
          <w:szCs w:val="20"/>
          <w:lang w:eastAsia="en-US"/>
        </w:rPr>
        <w:t xml:space="preserve">. godinu objavljena u službenom glasniku </w:t>
      </w:r>
      <w:r w:rsidR="008960C0">
        <w:rPr>
          <w:rFonts w:ascii="Arial" w:eastAsia="Calibri" w:hAnsi="Arial" w:cs="Arial"/>
          <w:sz w:val="20"/>
          <w:szCs w:val="20"/>
          <w:lang w:eastAsia="en-US"/>
        </w:rPr>
        <w:t>11/2024</w:t>
      </w:r>
      <w:r w:rsidRPr="003A2F86">
        <w:rPr>
          <w:rFonts w:ascii="Arial" w:eastAsia="Calibri" w:hAnsi="Arial" w:cs="Arial"/>
          <w:sz w:val="20"/>
          <w:szCs w:val="20"/>
          <w:lang w:eastAsia="en-US"/>
        </w:rPr>
        <w:t>. Novi saziv općinskog vijeća</w:t>
      </w:r>
      <w:r w:rsidR="008960C0">
        <w:rPr>
          <w:rFonts w:ascii="Arial" w:eastAsia="Calibri" w:hAnsi="Arial" w:cs="Arial"/>
          <w:sz w:val="20"/>
          <w:szCs w:val="20"/>
          <w:lang w:eastAsia="en-US"/>
        </w:rPr>
        <w:t>, od 12. lipnja 2025. godine,</w:t>
      </w:r>
      <w:r w:rsidRPr="003A2F86">
        <w:rPr>
          <w:rFonts w:ascii="Arial" w:eastAsia="Calibri" w:hAnsi="Arial" w:cs="Arial"/>
          <w:sz w:val="20"/>
          <w:szCs w:val="20"/>
          <w:lang w:eastAsia="en-US"/>
        </w:rPr>
        <w:t xml:space="preserve"> od 13 članova ima </w:t>
      </w:r>
      <w:r w:rsidR="004A7C01">
        <w:rPr>
          <w:rFonts w:ascii="Arial" w:eastAsia="Calibri" w:hAnsi="Arial" w:cs="Arial"/>
          <w:sz w:val="20"/>
          <w:szCs w:val="20"/>
          <w:lang w:eastAsia="en-US"/>
        </w:rPr>
        <w:t>3</w:t>
      </w:r>
      <w:r w:rsidRPr="003A2F86">
        <w:rPr>
          <w:rFonts w:ascii="Arial" w:eastAsia="Calibri" w:hAnsi="Arial" w:cs="Arial"/>
          <w:sz w:val="20"/>
          <w:szCs w:val="20"/>
          <w:lang w:eastAsia="en-US"/>
        </w:rPr>
        <w:t xml:space="preserve"> člana podzastupljenog spola. Za svakog člana Općinskog vijeća za 202</w:t>
      </w:r>
      <w:r w:rsidR="004A7C01">
        <w:rPr>
          <w:rFonts w:ascii="Arial" w:eastAsia="Calibri" w:hAnsi="Arial" w:cs="Arial"/>
          <w:sz w:val="20"/>
          <w:szCs w:val="20"/>
          <w:lang w:eastAsia="en-US"/>
        </w:rPr>
        <w:t>5</w:t>
      </w:r>
      <w:r w:rsidRPr="003A2F86">
        <w:rPr>
          <w:rFonts w:ascii="Arial" w:eastAsia="Calibri" w:hAnsi="Arial" w:cs="Arial"/>
          <w:sz w:val="20"/>
          <w:szCs w:val="20"/>
          <w:lang w:eastAsia="en-US"/>
        </w:rPr>
        <w:t>. godinu su utvrđena sredstva u iznosu 300 € godišnje, a za svakog člana Općinskog vijeća podzastupljenog spola utvrđena su dodatna sredstva u iznosu 30 € godišnje.</w:t>
      </w:r>
      <w:r w:rsidRPr="003A2F86">
        <w:rPr>
          <w:rFonts w:ascii="Arial" w:eastAsia="Calibri" w:hAnsi="Arial" w:cs="Arial"/>
          <w:sz w:val="20"/>
          <w:szCs w:val="20"/>
        </w:rPr>
        <w:t xml:space="preserve"> U 202</w:t>
      </w:r>
      <w:r w:rsidR="004A7C01">
        <w:rPr>
          <w:rFonts w:ascii="Arial" w:eastAsia="Calibri" w:hAnsi="Arial" w:cs="Arial"/>
          <w:sz w:val="20"/>
          <w:szCs w:val="20"/>
        </w:rPr>
        <w:t>5</w:t>
      </w:r>
      <w:r w:rsidRPr="003A2F86">
        <w:rPr>
          <w:rFonts w:ascii="Arial" w:eastAsia="Calibri" w:hAnsi="Arial" w:cs="Arial"/>
          <w:sz w:val="20"/>
          <w:szCs w:val="20"/>
        </w:rPr>
        <w:t xml:space="preserve">. izvršeno je </w:t>
      </w:r>
      <w:r w:rsidR="004A7C01">
        <w:rPr>
          <w:rFonts w:ascii="Arial" w:eastAsia="Calibri" w:hAnsi="Arial" w:cs="Arial"/>
          <w:sz w:val="20"/>
          <w:szCs w:val="20"/>
        </w:rPr>
        <w:t>3.386,68</w:t>
      </w:r>
      <w:r w:rsidRPr="003A2F86">
        <w:rPr>
          <w:rFonts w:ascii="Arial" w:eastAsia="Calibri" w:hAnsi="Arial" w:cs="Arial"/>
          <w:sz w:val="20"/>
          <w:szCs w:val="20"/>
        </w:rPr>
        <w:t xml:space="preserve"> €.</w:t>
      </w:r>
    </w:p>
    <w:p w14:paraId="0D347783" w14:textId="77777777" w:rsidR="00BE0C18" w:rsidRPr="003A2F86" w:rsidRDefault="00BE0C18" w:rsidP="00BE0C18">
      <w:pPr>
        <w:spacing w:after="0" w:line="240" w:lineRule="auto"/>
        <w:jc w:val="both"/>
        <w:rPr>
          <w:rFonts w:ascii="Arial" w:eastAsia="Calibri" w:hAnsi="Arial" w:cs="Arial"/>
          <w:sz w:val="20"/>
          <w:szCs w:val="20"/>
          <w:lang w:eastAsia="en-US"/>
        </w:rPr>
      </w:pPr>
    </w:p>
    <w:p w14:paraId="30D99AA2" w14:textId="042FE945" w:rsidR="00BE0C18" w:rsidRPr="003A2F86" w:rsidRDefault="00BE0C18" w:rsidP="00BE0C18">
      <w:pPr>
        <w:spacing w:after="0" w:line="240" w:lineRule="auto"/>
        <w:jc w:val="both"/>
        <w:rPr>
          <w:rFonts w:ascii="Arial" w:eastAsia="Calibri" w:hAnsi="Arial" w:cs="Arial"/>
          <w:sz w:val="20"/>
          <w:szCs w:val="20"/>
          <w:lang w:eastAsia="en-US"/>
        </w:rPr>
      </w:pPr>
      <w:r w:rsidRPr="003A2F86">
        <w:rPr>
          <w:rFonts w:ascii="Arial" w:eastAsia="Calibri" w:hAnsi="Arial" w:cs="Arial"/>
          <w:b/>
          <w:sz w:val="20"/>
          <w:szCs w:val="20"/>
          <w:lang w:eastAsia="en-US"/>
        </w:rPr>
        <w:t>3. A101003: Nagrade povodom Dana Općine</w:t>
      </w:r>
      <w:r w:rsidRPr="003A2F86">
        <w:rPr>
          <w:rFonts w:ascii="Arial" w:eastAsia="Calibri" w:hAnsi="Arial" w:cs="Arial"/>
          <w:sz w:val="20"/>
          <w:szCs w:val="20"/>
          <w:lang w:eastAsia="en-US"/>
        </w:rPr>
        <w:t xml:space="preserve"> – u sklopu navedene aktivnosti planirani su rashodi za ostale nespomenute rashode poslovanja (izrada povelja i plaketa, trošak nagrada). Rashodi su planirani u iznosu </w:t>
      </w:r>
      <w:r w:rsidR="004A7C01">
        <w:rPr>
          <w:rFonts w:ascii="Arial" w:eastAsia="Calibri" w:hAnsi="Arial" w:cs="Arial"/>
          <w:sz w:val="20"/>
          <w:szCs w:val="20"/>
          <w:lang w:eastAsia="en-US"/>
        </w:rPr>
        <w:t>2.566</w:t>
      </w:r>
      <w:r w:rsidRPr="003A2F86">
        <w:rPr>
          <w:rFonts w:ascii="Arial" w:eastAsia="Calibri" w:hAnsi="Arial" w:cs="Arial"/>
          <w:sz w:val="20"/>
          <w:szCs w:val="20"/>
          <w:lang w:eastAsia="en-US"/>
        </w:rPr>
        <w:t xml:space="preserve"> €, a rashodi su izvršeni</w:t>
      </w:r>
      <w:r>
        <w:rPr>
          <w:rFonts w:ascii="Arial" w:eastAsia="Calibri" w:hAnsi="Arial" w:cs="Arial"/>
          <w:sz w:val="20"/>
          <w:szCs w:val="20"/>
          <w:lang w:eastAsia="en-US"/>
        </w:rPr>
        <w:t xml:space="preserve"> u iznosu </w:t>
      </w:r>
      <w:r w:rsidR="004A7C01">
        <w:rPr>
          <w:rFonts w:ascii="Arial" w:eastAsia="Calibri" w:hAnsi="Arial" w:cs="Arial"/>
          <w:sz w:val="20"/>
          <w:szCs w:val="20"/>
          <w:lang w:eastAsia="en-US"/>
        </w:rPr>
        <w:t>2.531,81</w:t>
      </w:r>
      <w:r>
        <w:rPr>
          <w:rFonts w:ascii="Arial" w:eastAsia="Calibri" w:hAnsi="Arial" w:cs="Arial"/>
          <w:sz w:val="20"/>
          <w:szCs w:val="20"/>
          <w:lang w:eastAsia="en-US"/>
        </w:rPr>
        <w:t xml:space="preserve"> €</w:t>
      </w:r>
      <w:r w:rsidRPr="003A2F86">
        <w:rPr>
          <w:rFonts w:ascii="Arial" w:eastAsia="Calibri" w:hAnsi="Arial" w:cs="Arial"/>
          <w:sz w:val="20"/>
          <w:szCs w:val="20"/>
          <w:lang w:eastAsia="en-US"/>
        </w:rPr>
        <w:t xml:space="preserve"> </w:t>
      </w:r>
      <w:r>
        <w:rPr>
          <w:rFonts w:ascii="Arial" w:eastAsia="Calibri" w:hAnsi="Arial" w:cs="Arial"/>
          <w:sz w:val="20"/>
          <w:szCs w:val="20"/>
          <w:lang w:eastAsia="en-US"/>
        </w:rPr>
        <w:t>(svečane povelje i pokloni)</w:t>
      </w:r>
      <w:r w:rsidRPr="003A2F86">
        <w:rPr>
          <w:rFonts w:ascii="Arial" w:eastAsia="Calibri" w:hAnsi="Arial" w:cs="Arial"/>
          <w:sz w:val="20"/>
          <w:szCs w:val="20"/>
          <w:lang w:eastAsia="en-US"/>
        </w:rPr>
        <w:t xml:space="preserve">. </w:t>
      </w:r>
    </w:p>
    <w:p w14:paraId="270DFB9D" w14:textId="77777777" w:rsidR="00BE0C18" w:rsidRPr="003A2F86" w:rsidRDefault="00BE0C18" w:rsidP="00BE0C18">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lastRenderedPageBreak/>
        <w:t>Obilježavanje dana Općine 21. listopada - taj dan se na prigodan način obilježava održavanjem svečane sjednice Općinskog vijeća. Na istoj sjednici dodjeljuju se javna priznanja sukladno Odluci Općinskog vijeća, kojom je uređen postupak predlaganja, odnosno izbor kandidata za nagrade kao i godišnji broj pojedinačnih i skupnih nagrada.</w:t>
      </w:r>
    </w:p>
    <w:p w14:paraId="5E7A89CE" w14:textId="77777777" w:rsidR="00BE0C18" w:rsidRPr="003A2F86" w:rsidRDefault="00BE0C18" w:rsidP="00BE0C18">
      <w:pPr>
        <w:spacing w:after="0" w:line="240" w:lineRule="auto"/>
        <w:jc w:val="both"/>
        <w:rPr>
          <w:rFonts w:ascii="Arial" w:eastAsia="Calibri" w:hAnsi="Arial" w:cs="Arial"/>
          <w:sz w:val="20"/>
          <w:szCs w:val="20"/>
          <w:lang w:eastAsia="en-US"/>
        </w:rPr>
      </w:pPr>
    </w:p>
    <w:p w14:paraId="5B982224" w14:textId="0B06FD5B" w:rsidR="004A7C01" w:rsidRPr="002F21E3" w:rsidRDefault="004A7C01" w:rsidP="004A7C01">
      <w:pPr>
        <w:spacing w:after="0" w:line="240" w:lineRule="auto"/>
        <w:jc w:val="both"/>
        <w:rPr>
          <w:rFonts w:ascii="Arial" w:eastAsia="Calibri" w:hAnsi="Arial" w:cs="Arial"/>
          <w:sz w:val="20"/>
          <w:szCs w:val="20"/>
        </w:rPr>
      </w:pPr>
      <w:r w:rsidRPr="002F21E3">
        <w:rPr>
          <w:rFonts w:ascii="Arial" w:eastAsia="Calibri" w:hAnsi="Arial" w:cs="Arial"/>
          <w:b/>
          <w:sz w:val="20"/>
          <w:szCs w:val="20"/>
        </w:rPr>
        <w:t>4. A101004: Lokalni izbori</w:t>
      </w:r>
      <w:r w:rsidRPr="002F21E3">
        <w:rPr>
          <w:rFonts w:ascii="Arial" w:eastAsia="Calibri" w:hAnsi="Arial" w:cs="Arial"/>
          <w:sz w:val="20"/>
          <w:szCs w:val="20"/>
        </w:rPr>
        <w:t xml:space="preserve"> – u sklopu navedene aktivnosti su planirani rashodi u iznosu </w:t>
      </w:r>
      <w:r>
        <w:rPr>
          <w:rFonts w:ascii="Arial" w:eastAsia="Calibri" w:hAnsi="Arial" w:cs="Arial"/>
          <w:sz w:val="20"/>
          <w:szCs w:val="20"/>
        </w:rPr>
        <w:t>71.642 €</w:t>
      </w:r>
      <w:r w:rsidRPr="002F21E3">
        <w:rPr>
          <w:rFonts w:ascii="Arial" w:eastAsia="Calibri" w:hAnsi="Arial" w:cs="Arial"/>
          <w:sz w:val="20"/>
          <w:szCs w:val="20"/>
        </w:rPr>
        <w:t>.</w:t>
      </w:r>
    </w:p>
    <w:p w14:paraId="7662A235" w14:textId="77777777" w:rsidR="004A7C01" w:rsidRPr="00E63590" w:rsidRDefault="004A7C01" w:rsidP="004A7C01">
      <w:pPr>
        <w:spacing w:after="0" w:line="240" w:lineRule="auto"/>
        <w:rPr>
          <w:rFonts w:ascii="Arial" w:eastAsia="Calibri" w:hAnsi="Arial" w:cs="Arial"/>
          <w:sz w:val="18"/>
          <w:szCs w:val="18"/>
        </w:rPr>
      </w:pPr>
      <w:r w:rsidRPr="00E63590">
        <w:rPr>
          <w:rFonts w:ascii="Arial" w:eastAsia="Calibri" w:hAnsi="Arial" w:cs="Arial"/>
          <w:sz w:val="18"/>
          <w:szCs w:val="18"/>
        </w:rPr>
        <w:t xml:space="preserve">U 2017. su održani lokalni izbori (21. svibnja 2017. - prvi krug i 4. lipnja 2017. – drugi krug). </w:t>
      </w:r>
    </w:p>
    <w:p w14:paraId="40F5B102" w14:textId="77777777" w:rsidR="004A7C01" w:rsidRPr="00E63590" w:rsidRDefault="004A7C01" w:rsidP="004A7C01">
      <w:pPr>
        <w:spacing w:after="0" w:line="240" w:lineRule="auto"/>
        <w:rPr>
          <w:rFonts w:ascii="Arial" w:eastAsia="Calibri" w:hAnsi="Arial" w:cs="Arial"/>
          <w:sz w:val="18"/>
          <w:szCs w:val="18"/>
        </w:rPr>
      </w:pPr>
      <w:r w:rsidRPr="00E63590">
        <w:rPr>
          <w:rFonts w:ascii="Arial" w:eastAsia="Calibri" w:hAnsi="Arial" w:cs="Arial"/>
          <w:sz w:val="18"/>
          <w:szCs w:val="18"/>
        </w:rPr>
        <w:t>U 2021. su održani lokalni izbori 16.5.2021. (samo jedan krug izbora).</w:t>
      </w:r>
    </w:p>
    <w:p w14:paraId="2C9466FB" w14:textId="33659E6D" w:rsidR="004A7C01" w:rsidRPr="00E63590" w:rsidRDefault="004A7C01" w:rsidP="004A7C01">
      <w:pPr>
        <w:spacing w:after="0" w:line="240" w:lineRule="auto"/>
        <w:rPr>
          <w:rFonts w:ascii="Arial" w:eastAsia="Calibri" w:hAnsi="Arial" w:cs="Arial"/>
          <w:sz w:val="18"/>
          <w:szCs w:val="18"/>
        </w:rPr>
      </w:pPr>
      <w:r w:rsidRPr="00E63590">
        <w:rPr>
          <w:rFonts w:ascii="Arial" w:eastAsia="Calibri" w:hAnsi="Arial" w:cs="Arial"/>
          <w:sz w:val="18"/>
          <w:szCs w:val="18"/>
        </w:rPr>
        <w:t xml:space="preserve">Lokalni izbori za izbor općinskog načelnika i članove općinskog vijeća su održani 18. svibnja 2025. godine. </w:t>
      </w:r>
    </w:p>
    <w:p w14:paraId="54343EBC" w14:textId="77777777" w:rsidR="004A7C01" w:rsidRPr="002F21E3" w:rsidRDefault="004A7C01" w:rsidP="004A7C01">
      <w:pPr>
        <w:spacing w:after="0" w:line="240" w:lineRule="auto"/>
        <w:rPr>
          <w:rFonts w:ascii="Arial" w:eastAsia="Calibri" w:hAnsi="Arial" w:cs="Arial"/>
          <w:sz w:val="20"/>
          <w:szCs w:val="20"/>
        </w:rPr>
      </w:pPr>
    </w:p>
    <w:p w14:paraId="543F6913" w14:textId="31EB7AFC" w:rsidR="004A7C01" w:rsidRPr="002F21E3" w:rsidRDefault="004A7C01" w:rsidP="004A7C01">
      <w:pPr>
        <w:spacing w:after="0" w:line="240" w:lineRule="auto"/>
        <w:jc w:val="both"/>
        <w:rPr>
          <w:rFonts w:ascii="Arial" w:eastAsia="Calibri" w:hAnsi="Arial" w:cs="Arial"/>
          <w:sz w:val="20"/>
          <w:szCs w:val="20"/>
        </w:rPr>
      </w:pPr>
      <w:r w:rsidRPr="002F21E3">
        <w:rPr>
          <w:rFonts w:ascii="Arial" w:eastAsia="Calibri" w:hAnsi="Arial" w:cs="Arial"/>
          <w:sz w:val="20"/>
          <w:szCs w:val="20"/>
        </w:rPr>
        <w:t xml:space="preserve">Izvršeni su rashodi u iznosu </w:t>
      </w:r>
      <w:r>
        <w:rPr>
          <w:rFonts w:ascii="Arial" w:eastAsia="Calibri" w:hAnsi="Arial" w:cs="Arial"/>
          <w:sz w:val="20"/>
          <w:szCs w:val="20"/>
        </w:rPr>
        <w:t>71.639,07 €</w:t>
      </w:r>
      <w:r w:rsidRPr="002F21E3">
        <w:rPr>
          <w:rFonts w:ascii="Arial" w:eastAsia="Calibri" w:hAnsi="Arial" w:cs="Arial"/>
          <w:sz w:val="20"/>
          <w:szCs w:val="20"/>
        </w:rPr>
        <w:t xml:space="preserve"> koji se odnose na nabavu uredskog materijala i ostale materijalne rashode u iznosu </w:t>
      </w:r>
      <w:r w:rsidR="00272A6D">
        <w:rPr>
          <w:rFonts w:ascii="Arial" w:eastAsia="Calibri" w:hAnsi="Arial" w:cs="Arial"/>
          <w:sz w:val="20"/>
          <w:szCs w:val="20"/>
        </w:rPr>
        <w:t>1.674,42 €</w:t>
      </w:r>
      <w:r w:rsidRPr="002F21E3">
        <w:rPr>
          <w:rFonts w:ascii="Arial" w:eastAsia="Calibri" w:hAnsi="Arial" w:cs="Arial"/>
          <w:sz w:val="20"/>
          <w:szCs w:val="20"/>
        </w:rPr>
        <w:t xml:space="preserve">, rashode za usluge (objave kandidacijskih lista i rezultata izbora) u iznosu </w:t>
      </w:r>
      <w:r w:rsidR="00272A6D">
        <w:rPr>
          <w:rFonts w:ascii="Arial" w:eastAsia="Calibri" w:hAnsi="Arial" w:cs="Arial"/>
          <w:sz w:val="20"/>
          <w:szCs w:val="20"/>
        </w:rPr>
        <w:t>934,36 €</w:t>
      </w:r>
      <w:r w:rsidRPr="002F21E3">
        <w:rPr>
          <w:rFonts w:ascii="Arial" w:eastAsia="Calibri" w:hAnsi="Arial" w:cs="Arial"/>
          <w:sz w:val="20"/>
          <w:szCs w:val="20"/>
        </w:rPr>
        <w:t xml:space="preserve">, rashode za naknade biračkim odborima i izbornom povjerenstvu </w:t>
      </w:r>
      <w:r w:rsidR="00272A6D">
        <w:rPr>
          <w:rFonts w:ascii="Arial" w:eastAsia="Calibri" w:hAnsi="Arial" w:cs="Arial"/>
          <w:sz w:val="20"/>
          <w:szCs w:val="20"/>
        </w:rPr>
        <w:t>65.692,45 €</w:t>
      </w:r>
      <w:r w:rsidRPr="002F21E3">
        <w:rPr>
          <w:rFonts w:ascii="Arial" w:eastAsia="Calibri" w:hAnsi="Arial" w:cs="Arial"/>
          <w:sz w:val="20"/>
          <w:szCs w:val="20"/>
        </w:rPr>
        <w:t xml:space="preserve">. Predsjedniku i potpredsjedniku biračkih odbora za provedbu lokalnih izbora naknada je iznosila </w:t>
      </w:r>
      <w:r w:rsidR="001F074A">
        <w:rPr>
          <w:rFonts w:ascii="Arial" w:eastAsia="Calibri" w:hAnsi="Arial" w:cs="Arial"/>
          <w:sz w:val="20"/>
          <w:szCs w:val="20"/>
        </w:rPr>
        <w:t>80 €</w:t>
      </w:r>
      <w:r w:rsidRPr="002F21E3">
        <w:rPr>
          <w:rFonts w:ascii="Arial" w:eastAsia="Calibri" w:hAnsi="Arial" w:cs="Arial"/>
          <w:sz w:val="20"/>
          <w:szCs w:val="20"/>
        </w:rPr>
        <w:t xml:space="preserve"> neto po osobi, za svaki krug glasovanja. Članovima biračkih odbora za provedbu lokalnih izbora, naknada je iznosila </w:t>
      </w:r>
      <w:r w:rsidR="001F074A">
        <w:rPr>
          <w:rFonts w:ascii="Arial" w:eastAsia="Calibri" w:hAnsi="Arial" w:cs="Arial"/>
          <w:sz w:val="20"/>
          <w:szCs w:val="20"/>
        </w:rPr>
        <w:t>60 €</w:t>
      </w:r>
      <w:r w:rsidRPr="002F21E3">
        <w:rPr>
          <w:rFonts w:ascii="Arial" w:eastAsia="Calibri" w:hAnsi="Arial" w:cs="Arial"/>
          <w:sz w:val="20"/>
          <w:szCs w:val="20"/>
        </w:rPr>
        <w:t xml:space="preserve"> neto po osobi, posebno za svaki krug glasovanja (sukladno odluci Vlade RH od </w:t>
      </w:r>
      <w:r w:rsidR="001F074A">
        <w:rPr>
          <w:rFonts w:ascii="Arial" w:eastAsia="Calibri" w:hAnsi="Arial" w:cs="Arial"/>
          <w:sz w:val="20"/>
          <w:szCs w:val="20"/>
        </w:rPr>
        <w:t>14.4.2025</w:t>
      </w:r>
      <w:r w:rsidRPr="002F21E3">
        <w:rPr>
          <w:rFonts w:ascii="Arial" w:eastAsia="Calibri" w:hAnsi="Arial" w:cs="Arial"/>
          <w:sz w:val="20"/>
          <w:szCs w:val="20"/>
        </w:rPr>
        <w:t>.).</w:t>
      </w:r>
    </w:p>
    <w:p w14:paraId="1FAED918" w14:textId="7BA61272" w:rsidR="004A7C01" w:rsidRDefault="004A7C01" w:rsidP="004A7C01">
      <w:pPr>
        <w:spacing w:after="0" w:line="240" w:lineRule="auto"/>
        <w:rPr>
          <w:rFonts w:ascii="Arial" w:eastAsia="Calibri" w:hAnsi="Arial" w:cs="Arial"/>
          <w:sz w:val="20"/>
          <w:szCs w:val="20"/>
        </w:rPr>
      </w:pPr>
      <w:r w:rsidRPr="001C2F65">
        <w:rPr>
          <w:rFonts w:ascii="Arial" w:eastAsia="Calibri" w:hAnsi="Arial" w:cs="Arial"/>
          <w:sz w:val="20"/>
          <w:szCs w:val="20"/>
        </w:rPr>
        <w:t xml:space="preserve">Predsjedniku, potpredsjedniku i članovima stalnog sastava izbornih povjerenstava općine naknada je određena u iznosu od </w:t>
      </w:r>
      <w:r w:rsidR="001F074A">
        <w:rPr>
          <w:rFonts w:ascii="Arial" w:eastAsia="Calibri" w:hAnsi="Arial" w:cs="Arial"/>
          <w:sz w:val="20"/>
          <w:szCs w:val="20"/>
        </w:rPr>
        <w:t>600 €</w:t>
      </w:r>
      <w:r w:rsidRPr="001C2F65">
        <w:rPr>
          <w:rFonts w:ascii="Arial" w:eastAsia="Calibri" w:hAnsi="Arial" w:cs="Arial"/>
          <w:sz w:val="20"/>
          <w:szCs w:val="20"/>
        </w:rPr>
        <w:t xml:space="preserve"> neto po osobi (sukladno odluci Vlade RH od </w:t>
      </w:r>
      <w:r w:rsidR="001F074A">
        <w:rPr>
          <w:rFonts w:ascii="Arial" w:eastAsia="Calibri" w:hAnsi="Arial" w:cs="Arial"/>
          <w:sz w:val="20"/>
          <w:szCs w:val="20"/>
        </w:rPr>
        <w:t>14.4.2025</w:t>
      </w:r>
      <w:r w:rsidRPr="001C2F65">
        <w:rPr>
          <w:rFonts w:ascii="Arial" w:eastAsia="Calibri" w:hAnsi="Arial" w:cs="Arial"/>
          <w:sz w:val="20"/>
          <w:szCs w:val="20"/>
        </w:rPr>
        <w:t>.).</w:t>
      </w:r>
      <w:r w:rsidR="001F074A">
        <w:rPr>
          <w:rFonts w:ascii="Arial" w:eastAsia="Calibri" w:hAnsi="Arial" w:cs="Arial"/>
          <w:sz w:val="20"/>
          <w:szCs w:val="20"/>
        </w:rPr>
        <w:t xml:space="preserve"> Članovima proširenog sastava izbornih povjerenstava određena je u visini 50% utvrđene naknade. Za održavanje drugog kruga izbora (1.6.25. – izbori za župana), naknada članovima izbornog povjerenstva je određena u visini 60 % utvrđenih naknada za prvi krug izbora.</w:t>
      </w:r>
    </w:p>
    <w:p w14:paraId="0C231376" w14:textId="77777777" w:rsidR="001F074A" w:rsidRPr="001C2F65" w:rsidRDefault="001F074A" w:rsidP="004A7C01">
      <w:pPr>
        <w:spacing w:after="0" w:line="240" w:lineRule="auto"/>
        <w:rPr>
          <w:rFonts w:ascii="Arial" w:eastAsia="Calibri" w:hAnsi="Arial" w:cs="Arial"/>
          <w:sz w:val="20"/>
          <w:szCs w:val="20"/>
        </w:rPr>
      </w:pPr>
    </w:p>
    <w:p w14:paraId="11CB235F" w14:textId="4865EED3" w:rsidR="004A7C01" w:rsidRPr="001C2F65" w:rsidRDefault="004A7C01" w:rsidP="004A7C01">
      <w:pPr>
        <w:spacing w:after="0" w:line="240" w:lineRule="auto"/>
        <w:rPr>
          <w:rFonts w:ascii="Arial" w:eastAsia="Calibri" w:hAnsi="Arial" w:cs="Arial"/>
          <w:sz w:val="20"/>
          <w:szCs w:val="20"/>
        </w:rPr>
      </w:pPr>
      <w:r w:rsidRPr="001C2F65">
        <w:rPr>
          <w:rFonts w:ascii="Arial" w:eastAsia="Calibri" w:hAnsi="Arial" w:cs="Arial"/>
          <w:sz w:val="20"/>
          <w:szCs w:val="20"/>
        </w:rPr>
        <w:t xml:space="preserve">Naknada troškova izborne promidžbe političkim strankama i nezavisnim članovima predstavničkog tijela izvršeni su u iznosu </w:t>
      </w:r>
      <w:r w:rsidR="009C7FC0">
        <w:rPr>
          <w:rFonts w:ascii="Arial" w:eastAsia="Calibri" w:hAnsi="Arial" w:cs="Arial"/>
          <w:sz w:val="20"/>
          <w:szCs w:val="20"/>
        </w:rPr>
        <w:t>1.325 €</w:t>
      </w:r>
      <w:r w:rsidRPr="001C2F65">
        <w:rPr>
          <w:rFonts w:ascii="Arial" w:eastAsia="Calibri" w:hAnsi="Arial" w:cs="Arial"/>
          <w:sz w:val="20"/>
          <w:szCs w:val="20"/>
        </w:rPr>
        <w:t xml:space="preserve">, a kandidatima za općinskog načelnika u iznosu </w:t>
      </w:r>
      <w:r w:rsidR="009C7FC0">
        <w:rPr>
          <w:rFonts w:ascii="Arial" w:eastAsia="Calibri" w:hAnsi="Arial" w:cs="Arial"/>
          <w:sz w:val="20"/>
          <w:szCs w:val="20"/>
        </w:rPr>
        <w:t>2.012,84 €</w:t>
      </w:r>
      <w:r w:rsidRPr="001C2F65">
        <w:rPr>
          <w:rFonts w:ascii="Arial" w:eastAsia="Calibri" w:hAnsi="Arial" w:cs="Arial"/>
          <w:sz w:val="20"/>
          <w:szCs w:val="20"/>
        </w:rPr>
        <w:t xml:space="preserve">. </w:t>
      </w:r>
    </w:p>
    <w:p w14:paraId="6562BFAF" w14:textId="77777777" w:rsidR="00BE0C18" w:rsidRPr="003A2F86" w:rsidRDefault="00BE0C18" w:rsidP="00BE0C18">
      <w:pPr>
        <w:spacing w:after="0" w:line="240" w:lineRule="auto"/>
        <w:jc w:val="both"/>
        <w:rPr>
          <w:rFonts w:ascii="Arial" w:eastAsia="Calibri" w:hAnsi="Arial" w:cs="Arial"/>
          <w:sz w:val="20"/>
          <w:szCs w:val="20"/>
          <w:lang w:eastAsia="en-US"/>
        </w:rPr>
      </w:pPr>
    </w:p>
    <w:p w14:paraId="18607C1C" w14:textId="73A433F3" w:rsidR="00BE0C18" w:rsidRDefault="00BE0C18" w:rsidP="00BE0C18">
      <w:pPr>
        <w:spacing w:after="0" w:line="240" w:lineRule="auto"/>
        <w:jc w:val="both"/>
        <w:rPr>
          <w:rFonts w:ascii="Arial" w:eastAsia="Calibri" w:hAnsi="Arial" w:cs="Arial"/>
          <w:sz w:val="20"/>
          <w:szCs w:val="20"/>
          <w:lang w:eastAsia="en-US"/>
        </w:rPr>
      </w:pPr>
      <w:r w:rsidRPr="003A2F86">
        <w:rPr>
          <w:rFonts w:ascii="Arial" w:eastAsia="Calibri" w:hAnsi="Arial" w:cs="Arial"/>
          <w:b/>
          <w:sz w:val="20"/>
          <w:szCs w:val="20"/>
          <w:lang w:eastAsia="en-US"/>
        </w:rPr>
        <w:t>5. A101005: Priprema materijala za sjednice Općinskog vijeća i objava akata - Službeni glasnik</w:t>
      </w:r>
      <w:r w:rsidRPr="003A2F86">
        <w:rPr>
          <w:rFonts w:ascii="Arial" w:eastAsia="Calibri" w:hAnsi="Arial" w:cs="Arial"/>
          <w:sz w:val="20"/>
          <w:szCs w:val="20"/>
          <w:lang w:eastAsia="en-US"/>
        </w:rPr>
        <w:t xml:space="preserve">– u sklopu navedene aktivnosti planirani su rashodi za usluge promidžbe i informiranja, odnosno kopiranje i uvezivanje materijala za općinske vijećnike, kao i tisak službenog glasnika u iznosu </w:t>
      </w:r>
      <w:r w:rsidR="009C7FC0">
        <w:rPr>
          <w:rFonts w:ascii="Arial" w:eastAsia="Calibri" w:hAnsi="Arial" w:cs="Arial"/>
          <w:sz w:val="20"/>
          <w:szCs w:val="20"/>
          <w:lang w:eastAsia="en-US"/>
        </w:rPr>
        <w:t>5.700</w:t>
      </w:r>
      <w:r w:rsidRPr="003A2F86">
        <w:rPr>
          <w:rFonts w:ascii="Arial" w:eastAsia="Calibri" w:hAnsi="Arial" w:cs="Arial"/>
          <w:sz w:val="20"/>
          <w:szCs w:val="20"/>
          <w:lang w:eastAsia="en-US"/>
        </w:rPr>
        <w:t xml:space="preserve"> €. U 202</w:t>
      </w:r>
      <w:r w:rsidR="009C7FC0">
        <w:rPr>
          <w:rFonts w:ascii="Arial" w:eastAsia="Calibri" w:hAnsi="Arial" w:cs="Arial"/>
          <w:sz w:val="20"/>
          <w:szCs w:val="20"/>
          <w:lang w:eastAsia="en-US"/>
        </w:rPr>
        <w:t>5</w:t>
      </w:r>
      <w:r w:rsidRPr="003A2F86">
        <w:rPr>
          <w:rFonts w:ascii="Arial" w:eastAsia="Calibri" w:hAnsi="Arial" w:cs="Arial"/>
          <w:sz w:val="20"/>
          <w:szCs w:val="20"/>
          <w:lang w:eastAsia="en-US"/>
        </w:rPr>
        <w:t xml:space="preserve">. je objavljeno </w:t>
      </w:r>
      <w:r w:rsidR="009C7FC0">
        <w:rPr>
          <w:rFonts w:ascii="Arial" w:eastAsia="Calibri" w:hAnsi="Arial" w:cs="Arial"/>
          <w:sz w:val="20"/>
          <w:szCs w:val="20"/>
          <w:lang w:eastAsia="en-US"/>
        </w:rPr>
        <w:t>11</w:t>
      </w:r>
      <w:r w:rsidRPr="003A2F86">
        <w:rPr>
          <w:rFonts w:ascii="Arial" w:eastAsia="Calibri" w:hAnsi="Arial" w:cs="Arial"/>
          <w:sz w:val="20"/>
          <w:szCs w:val="20"/>
          <w:lang w:eastAsia="en-US"/>
        </w:rPr>
        <w:t xml:space="preserve"> služben</w:t>
      </w:r>
      <w:r w:rsidR="009C7FC0">
        <w:rPr>
          <w:rFonts w:ascii="Arial" w:eastAsia="Calibri" w:hAnsi="Arial" w:cs="Arial"/>
          <w:sz w:val="20"/>
          <w:szCs w:val="20"/>
          <w:lang w:eastAsia="en-US"/>
        </w:rPr>
        <w:t>ih</w:t>
      </w:r>
      <w:r w:rsidRPr="003A2F86">
        <w:rPr>
          <w:rFonts w:ascii="Arial" w:eastAsia="Calibri" w:hAnsi="Arial" w:cs="Arial"/>
          <w:sz w:val="20"/>
          <w:szCs w:val="20"/>
          <w:lang w:eastAsia="en-US"/>
        </w:rPr>
        <w:t xml:space="preserve"> glasnika.</w:t>
      </w:r>
      <w:r>
        <w:rPr>
          <w:rFonts w:ascii="Arial" w:eastAsia="Calibri" w:hAnsi="Arial" w:cs="Arial"/>
          <w:sz w:val="20"/>
          <w:szCs w:val="20"/>
          <w:lang w:eastAsia="en-US"/>
        </w:rPr>
        <w:t xml:space="preserve"> </w:t>
      </w:r>
    </w:p>
    <w:p w14:paraId="4886085A" w14:textId="77777777" w:rsidR="00BE0C18" w:rsidRPr="003A2F86" w:rsidRDefault="00BE0C18" w:rsidP="00BE0C18">
      <w:pPr>
        <w:spacing w:after="0" w:line="240" w:lineRule="auto"/>
        <w:jc w:val="both"/>
        <w:rPr>
          <w:rFonts w:ascii="Arial" w:eastAsia="Calibri" w:hAnsi="Arial" w:cs="Arial"/>
          <w:sz w:val="20"/>
          <w:szCs w:val="20"/>
          <w:lang w:eastAsia="en-US"/>
        </w:rPr>
      </w:pPr>
    </w:p>
    <w:p w14:paraId="58FB37CA" w14:textId="77777777" w:rsidR="00BE0C18" w:rsidRPr="003A2F86" w:rsidRDefault="00BE0C18" w:rsidP="00BE0C18">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Službeni glasnik Općine Konavle izdaje se sukladno članku 73. stavak 2. Zakona o lokalnoj i područnoj (regionalnoj) samoupravi i Statuta Općine. U glasniku se objavljuju akti koje donosi općinski načelnik i Općinsko vijeće. Isti se izdaje po potrebi i nakon svake održane sjednice Općinskog vijeća.</w:t>
      </w:r>
    </w:p>
    <w:p w14:paraId="40B99148" w14:textId="77777777" w:rsidR="00BE0C18" w:rsidRPr="003A2F86" w:rsidRDefault="00BE0C18" w:rsidP="00BE0C18">
      <w:pPr>
        <w:spacing w:after="0" w:line="240" w:lineRule="auto"/>
        <w:jc w:val="both"/>
        <w:rPr>
          <w:rFonts w:ascii="Arial" w:eastAsia="Calibri" w:hAnsi="Arial" w:cs="Arial"/>
          <w:sz w:val="20"/>
          <w:szCs w:val="20"/>
          <w:lang w:eastAsia="en-US"/>
        </w:rPr>
      </w:pPr>
    </w:p>
    <w:p w14:paraId="159CC443" w14:textId="77777777" w:rsidR="008C1A51" w:rsidRDefault="00BE0C18" w:rsidP="008C1A51">
      <w:pPr>
        <w:shd w:val="clear" w:color="auto" w:fill="FFFFFF"/>
        <w:spacing w:after="0" w:line="240" w:lineRule="auto"/>
        <w:jc w:val="both"/>
        <w:rPr>
          <w:rFonts w:ascii="Calibri" w:eastAsia="Times New Roman" w:hAnsi="Calibri" w:cs="Calibri"/>
          <w:sz w:val="24"/>
          <w:szCs w:val="24"/>
        </w:rPr>
      </w:pPr>
      <w:r w:rsidRPr="003A2F86">
        <w:rPr>
          <w:rFonts w:ascii="Calibri" w:eastAsia="Times New Roman" w:hAnsi="Calibri" w:cs="Calibri"/>
          <w:b/>
          <w:sz w:val="24"/>
          <w:szCs w:val="24"/>
        </w:rPr>
        <w:t>POKAZATELJI REZULTATA:</w:t>
      </w:r>
      <w:r w:rsidRPr="003A2F86">
        <w:rPr>
          <w:rFonts w:ascii="Calibri" w:eastAsia="Times New Roman" w:hAnsi="Calibri" w:cs="Calibri"/>
          <w:sz w:val="24"/>
          <w:szCs w:val="24"/>
        </w:rPr>
        <w:t xml:space="preserve"> </w:t>
      </w:r>
    </w:p>
    <w:p w14:paraId="4623AF9F" w14:textId="77777777" w:rsidR="008C1A51" w:rsidRDefault="008C1A51" w:rsidP="008C1A51">
      <w:pPr>
        <w:shd w:val="clear" w:color="auto" w:fill="FFFFFF"/>
        <w:spacing w:after="0" w:line="240" w:lineRule="auto"/>
        <w:jc w:val="both"/>
        <w:rPr>
          <w:rFonts w:ascii="Calibri" w:eastAsia="Times New Roman" w:hAnsi="Calibri" w:cs="Calibri"/>
          <w:sz w:val="24"/>
          <w:szCs w:val="24"/>
        </w:rPr>
      </w:pPr>
    </w:p>
    <w:tbl>
      <w:tblPr>
        <w:tblStyle w:val="Reetkatablice536"/>
        <w:tblW w:w="13430" w:type="dxa"/>
        <w:jc w:val="center"/>
        <w:tblLayout w:type="fixed"/>
        <w:tblLook w:val="04A0" w:firstRow="1" w:lastRow="0" w:firstColumn="1" w:lastColumn="0" w:noHBand="0" w:noVBand="1"/>
      </w:tblPr>
      <w:tblGrid>
        <w:gridCol w:w="2405"/>
        <w:gridCol w:w="2693"/>
        <w:gridCol w:w="1134"/>
        <w:gridCol w:w="988"/>
        <w:gridCol w:w="1242"/>
        <w:gridCol w:w="1242"/>
        <w:gridCol w:w="1242"/>
        <w:gridCol w:w="1242"/>
        <w:gridCol w:w="1242"/>
      </w:tblGrid>
      <w:tr w:rsidR="008C1A51" w:rsidRPr="00AD7A76" w14:paraId="2DBA9E06" w14:textId="77777777" w:rsidTr="00636FE8">
        <w:trPr>
          <w:jc w:val="center"/>
        </w:trPr>
        <w:tc>
          <w:tcPr>
            <w:tcW w:w="2405" w:type="dxa"/>
            <w:shd w:val="clear" w:color="auto" w:fill="BFBFBF"/>
            <w:vAlign w:val="center"/>
          </w:tcPr>
          <w:p w14:paraId="425E23A4" w14:textId="77777777" w:rsidR="008C1A51" w:rsidRPr="00AD7A76" w:rsidRDefault="008C1A51" w:rsidP="008C1A51">
            <w:pPr>
              <w:jc w:val="center"/>
              <w:rPr>
                <w:rFonts w:ascii="Arial" w:eastAsia="Calibri" w:hAnsi="Arial" w:cs="Arial"/>
                <w:sz w:val="18"/>
                <w:szCs w:val="18"/>
              </w:rPr>
            </w:pPr>
            <w:r w:rsidRPr="00AD7A76">
              <w:rPr>
                <w:rFonts w:ascii="Arial" w:eastAsia="Calibri" w:hAnsi="Arial" w:cs="Arial"/>
                <w:sz w:val="18"/>
                <w:szCs w:val="18"/>
              </w:rPr>
              <w:t>Pokazatelj rezultata</w:t>
            </w:r>
          </w:p>
        </w:tc>
        <w:tc>
          <w:tcPr>
            <w:tcW w:w="2693" w:type="dxa"/>
            <w:shd w:val="clear" w:color="auto" w:fill="BFBFBF"/>
            <w:vAlign w:val="center"/>
          </w:tcPr>
          <w:p w14:paraId="308A31D5" w14:textId="77777777" w:rsidR="008C1A51" w:rsidRPr="00AD7A76" w:rsidRDefault="008C1A51" w:rsidP="008C1A51">
            <w:pPr>
              <w:jc w:val="center"/>
              <w:rPr>
                <w:rFonts w:ascii="Arial" w:eastAsia="Calibri" w:hAnsi="Arial" w:cs="Arial"/>
                <w:sz w:val="18"/>
                <w:szCs w:val="18"/>
              </w:rPr>
            </w:pPr>
            <w:r w:rsidRPr="00AD7A76">
              <w:rPr>
                <w:rFonts w:ascii="Arial" w:eastAsia="Calibri" w:hAnsi="Arial" w:cs="Arial"/>
                <w:sz w:val="18"/>
                <w:szCs w:val="18"/>
              </w:rPr>
              <w:t>Definicija</w:t>
            </w:r>
          </w:p>
        </w:tc>
        <w:tc>
          <w:tcPr>
            <w:tcW w:w="1134" w:type="dxa"/>
            <w:shd w:val="clear" w:color="auto" w:fill="BFBFBF"/>
            <w:vAlign w:val="center"/>
          </w:tcPr>
          <w:p w14:paraId="40A67765" w14:textId="77777777" w:rsidR="008C1A51" w:rsidRPr="00AD7A76" w:rsidRDefault="008C1A51" w:rsidP="008C1A51">
            <w:pPr>
              <w:jc w:val="center"/>
              <w:rPr>
                <w:rFonts w:ascii="Arial" w:eastAsia="Calibri" w:hAnsi="Arial" w:cs="Arial"/>
                <w:sz w:val="18"/>
                <w:szCs w:val="18"/>
              </w:rPr>
            </w:pPr>
            <w:r w:rsidRPr="00AD7A76">
              <w:rPr>
                <w:rFonts w:ascii="Arial" w:eastAsia="Calibri" w:hAnsi="Arial" w:cs="Arial"/>
                <w:sz w:val="18"/>
                <w:szCs w:val="18"/>
              </w:rPr>
              <w:t>Jedinica</w:t>
            </w:r>
          </w:p>
        </w:tc>
        <w:tc>
          <w:tcPr>
            <w:tcW w:w="988" w:type="dxa"/>
            <w:shd w:val="clear" w:color="auto" w:fill="BFBFBF"/>
            <w:vAlign w:val="center"/>
          </w:tcPr>
          <w:p w14:paraId="4D3F2E50" w14:textId="77777777" w:rsidR="008C1A51" w:rsidRPr="00AD7A76" w:rsidRDefault="008C1A51" w:rsidP="008C1A51">
            <w:pPr>
              <w:jc w:val="center"/>
              <w:rPr>
                <w:rFonts w:ascii="Arial" w:eastAsia="Calibri" w:hAnsi="Arial" w:cs="Arial"/>
                <w:sz w:val="18"/>
                <w:szCs w:val="18"/>
              </w:rPr>
            </w:pPr>
            <w:r w:rsidRPr="00AD7A76">
              <w:rPr>
                <w:rFonts w:ascii="Arial" w:eastAsia="Calibri" w:hAnsi="Arial" w:cs="Arial"/>
                <w:sz w:val="18"/>
                <w:szCs w:val="18"/>
              </w:rPr>
              <w:t>Izvor podataka</w:t>
            </w:r>
          </w:p>
        </w:tc>
        <w:tc>
          <w:tcPr>
            <w:tcW w:w="1242" w:type="dxa"/>
            <w:shd w:val="clear" w:color="auto" w:fill="BFBFBF"/>
            <w:vAlign w:val="center"/>
          </w:tcPr>
          <w:p w14:paraId="0BE09DFD" w14:textId="12DE135C" w:rsidR="008C1A51" w:rsidRPr="00AD7A76" w:rsidRDefault="008C1A51" w:rsidP="008C1A51">
            <w:pPr>
              <w:jc w:val="center"/>
              <w:rPr>
                <w:rFonts w:ascii="Arial" w:eastAsia="Calibri" w:hAnsi="Arial" w:cs="Arial"/>
                <w:sz w:val="18"/>
                <w:szCs w:val="18"/>
              </w:rPr>
            </w:pPr>
            <w:r w:rsidRPr="00AD7A76">
              <w:rPr>
                <w:rFonts w:ascii="Arial" w:eastAsia="Calibri" w:hAnsi="Arial" w:cs="Arial"/>
                <w:sz w:val="18"/>
                <w:szCs w:val="18"/>
              </w:rPr>
              <w:t>Polazna vrijednost 202</w:t>
            </w:r>
            <w:r>
              <w:rPr>
                <w:rFonts w:ascii="Arial" w:eastAsia="Calibri" w:hAnsi="Arial" w:cs="Arial"/>
                <w:sz w:val="18"/>
                <w:szCs w:val="18"/>
              </w:rPr>
              <w:t>4</w:t>
            </w:r>
            <w:r w:rsidRPr="00AD7A76">
              <w:rPr>
                <w:rFonts w:ascii="Arial" w:eastAsia="Calibri" w:hAnsi="Arial" w:cs="Arial"/>
                <w:sz w:val="18"/>
                <w:szCs w:val="18"/>
              </w:rPr>
              <w:t>.</w:t>
            </w:r>
          </w:p>
        </w:tc>
        <w:tc>
          <w:tcPr>
            <w:tcW w:w="1242" w:type="dxa"/>
            <w:shd w:val="clear" w:color="auto" w:fill="BFBFBF"/>
            <w:vAlign w:val="center"/>
          </w:tcPr>
          <w:p w14:paraId="2CB454C7" w14:textId="3A4A304A" w:rsidR="008C1A51" w:rsidRPr="003A2F86" w:rsidRDefault="008C1A51" w:rsidP="008C1A51">
            <w:pPr>
              <w:jc w:val="center"/>
              <w:rPr>
                <w:rFonts w:ascii="Arial" w:eastAsia="Calibri" w:hAnsi="Arial" w:cs="Arial"/>
                <w:sz w:val="16"/>
                <w:szCs w:val="16"/>
              </w:rPr>
            </w:pPr>
            <w:r w:rsidRPr="00AD7A76">
              <w:rPr>
                <w:rFonts w:ascii="Arial" w:eastAsia="Calibri" w:hAnsi="Arial" w:cs="Arial"/>
                <w:sz w:val="18"/>
                <w:szCs w:val="18"/>
              </w:rPr>
              <w:t>Ciljana vrijednost 2025.</w:t>
            </w:r>
          </w:p>
        </w:tc>
        <w:tc>
          <w:tcPr>
            <w:tcW w:w="1242" w:type="dxa"/>
            <w:shd w:val="clear" w:color="auto" w:fill="BFBFBF"/>
            <w:vAlign w:val="center"/>
          </w:tcPr>
          <w:p w14:paraId="2D6816E9" w14:textId="7F0FE86D" w:rsidR="008C1A51" w:rsidRPr="00AD7A76" w:rsidRDefault="008C1A51" w:rsidP="008C1A51">
            <w:pPr>
              <w:jc w:val="center"/>
              <w:rPr>
                <w:rFonts w:ascii="Arial" w:eastAsia="Calibri" w:hAnsi="Arial" w:cs="Arial"/>
                <w:sz w:val="16"/>
                <w:szCs w:val="16"/>
              </w:rPr>
            </w:pPr>
            <w:r w:rsidRPr="003A2F86">
              <w:rPr>
                <w:rFonts w:ascii="Arial" w:eastAsia="Calibri" w:hAnsi="Arial" w:cs="Arial"/>
                <w:sz w:val="16"/>
                <w:szCs w:val="16"/>
              </w:rPr>
              <w:t>Izvršeno 20</w:t>
            </w:r>
            <w:r>
              <w:rPr>
                <w:rFonts w:ascii="Arial" w:eastAsia="Calibri" w:hAnsi="Arial" w:cs="Arial"/>
                <w:sz w:val="16"/>
                <w:szCs w:val="16"/>
              </w:rPr>
              <w:t>25</w:t>
            </w:r>
            <w:r w:rsidRPr="003A2F86">
              <w:rPr>
                <w:rFonts w:ascii="Arial" w:eastAsia="Calibri" w:hAnsi="Arial" w:cs="Arial"/>
                <w:sz w:val="16"/>
                <w:szCs w:val="16"/>
              </w:rPr>
              <w:t>.</w:t>
            </w:r>
          </w:p>
        </w:tc>
        <w:tc>
          <w:tcPr>
            <w:tcW w:w="1242" w:type="dxa"/>
            <w:shd w:val="clear" w:color="auto" w:fill="BFBFBF"/>
          </w:tcPr>
          <w:p w14:paraId="4AF8186B" w14:textId="77777777" w:rsidR="008C1A51" w:rsidRPr="00AD7A76" w:rsidRDefault="008C1A51" w:rsidP="008C1A51">
            <w:pPr>
              <w:jc w:val="center"/>
              <w:rPr>
                <w:rFonts w:ascii="Arial" w:eastAsia="Calibri" w:hAnsi="Arial" w:cs="Arial"/>
                <w:sz w:val="18"/>
                <w:szCs w:val="18"/>
              </w:rPr>
            </w:pPr>
            <w:r w:rsidRPr="00AD7A76">
              <w:rPr>
                <w:rFonts w:ascii="Arial" w:eastAsia="Calibri" w:hAnsi="Arial" w:cs="Arial"/>
                <w:sz w:val="18"/>
                <w:szCs w:val="18"/>
              </w:rPr>
              <w:t>Ciljana vrijednost 2026.</w:t>
            </w:r>
          </w:p>
        </w:tc>
        <w:tc>
          <w:tcPr>
            <w:tcW w:w="1242" w:type="dxa"/>
            <w:shd w:val="clear" w:color="auto" w:fill="BFBFBF"/>
          </w:tcPr>
          <w:p w14:paraId="2ACDA188" w14:textId="77777777" w:rsidR="008C1A51" w:rsidRPr="00AD7A76" w:rsidRDefault="008C1A51" w:rsidP="008C1A51">
            <w:pPr>
              <w:jc w:val="center"/>
              <w:rPr>
                <w:rFonts w:ascii="Arial" w:eastAsia="Calibri" w:hAnsi="Arial" w:cs="Arial"/>
                <w:sz w:val="18"/>
                <w:szCs w:val="18"/>
              </w:rPr>
            </w:pPr>
            <w:r w:rsidRPr="00AD7A76">
              <w:rPr>
                <w:rFonts w:ascii="Arial" w:eastAsia="Calibri" w:hAnsi="Arial" w:cs="Arial"/>
                <w:sz w:val="18"/>
                <w:szCs w:val="18"/>
              </w:rPr>
              <w:t>Ciljana vrijednost 2027.</w:t>
            </w:r>
          </w:p>
        </w:tc>
      </w:tr>
      <w:tr w:rsidR="008C1A51" w:rsidRPr="00AD7A76" w14:paraId="3E2478E3" w14:textId="77777777" w:rsidTr="00636FE8">
        <w:trPr>
          <w:trHeight w:val="273"/>
          <w:jc w:val="center"/>
        </w:trPr>
        <w:tc>
          <w:tcPr>
            <w:tcW w:w="2405" w:type="dxa"/>
            <w:tcBorders>
              <w:top w:val="single" w:sz="4" w:space="0" w:color="auto"/>
              <w:left w:val="single" w:sz="4" w:space="0" w:color="auto"/>
              <w:bottom w:val="single" w:sz="4" w:space="0" w:color="auto"/>
              <w:right w:val="single" w:sz="4" w:space="0" w:color="auto"/>
            </w:tcBorders>
            <w:vAlign w:val="center"/>
          </w:tcPr>
          <w:p w14:paraId="6B4D07D2" w14:textId="77777777" w:rsidR="008C1A51" w:rsidRPr="00AD7A76" w:rsidRDefault="008C1A51" w:rsidP="008C1A51">
            <w:pPr>
              <w:rPr>
                <w:rFonts w:ascii="Arial" w:hAnsi="Arial" w:cs="Arial"/>
                <w:sz w:val="18"/>
                <w:szCs w:val="18"/>
              </w:rPr>
            </w:pPr>
            <w:r w:rsidRPr="00AD7A76">
              <w:rPr>
                <w:rFonts w:ascii="Arial" w:hAnsi="Arial" w:cs="Arial"/>
                <w:sz w:val="18"/>
                <w:szCs w:val="18"/>
              </w:rPr>
              <w:t>Broj sjednica Općinskog vijeća</w:t>
            </w:r>
          </w:p>
        </w:tc>
        <w:tc>
          <w:tcPr>
            <w:tcW w:w="2693" w:type="dxa"/>
            <w:tcBorders>
              <w:top w:val="single" w:sz="4" w:space="0" w:color="auto"/>
              <w:left w:val="single" w:sz="4" w:space="0" w:color="auto"/>
              <w:bottom w:val="single" w:sz="4" w:space="0" w:color="auto"/>
              <w:right w:val="single" w:sz="4" w:space="0" w:color="auto"/>
            </w:tcBorders>
            <w:vAlign w:val="center"/>
          </w:tcPr>
          <w:p w14:paraId="0531F39C" w14:textId="77777777" w:rsidR="008C1A51" w:rsidRPr="00AD7A76" w:rsidRDefault="008C1A51">
            <w:pPr>
              <w:pStyle w:val="Odlomakpopisa"/>
              <w:numPr>
                <w:ilvl w:val="0"/>
                <w:numId w:val="8"/>
              </w:numPr>
              <w:ind w:left="0" w:firstLine="160"/>
              <w:jc w:val="left"/>
              <w:rPr>
                <w:rFonts w:ascii="Arial" w:hAnsi="Arial" w:cs="Arial"/>
                <w:sz w:val="18"/>
                <w:szCs w:val="18"/>
              </w:rPr>
            </w:pPr>
            <w:r w:rsidRPr="00AD7A76">
              <w:rPr>
                <w:rFonts w:ascii="Arial" w:hAnsi="Arial" w:cs="Arial"/>
                <w:sz w:val="18"/>
                <w:szCs w:val="18"/>
              </w:rPr>
              <w:t>Pravovremena i učinkovita priprema sjednica Općinskog vijeća preduvjet je za donošenje općih akata i drugih odluka</w:t>
            </w:r>
          </w:p>
          <w:p w14:paraId="685B65EF" w14:textId="77777777" w:rsidR="008C1A51" w:rsidRPr="00AD7A76" w:rsidRDefault="008C1A51">
            <w:pPr>
              <w:pStyle w:val="Odlomakpopisa"/>
              <w:numPr>
                <w:ilvl w:val="0"/>
                <w:numId w:val="8"/>
              </w:numPr>
              <w:ind w:left="160" w:firstLine="0"/>
              <w:jc w:val="left"/>
              <w:rPr>
                <w:rFonts w:ascii="Arial" w:hAnsi="Arial" w:cs="Arial"/>
                <w:sz w:val="18"/>
                <w:szCs w:val="18"/>
              </w:rPr>
            </w:pPr>
            <w:r w:rsidRPr="00AD7A76">
              <w:rPr>
                <w:rFonts w:ascii="Arial" w:hAnsi="Arial" w:cs="Arial"/>
                <w:sz w:val="18"/>
                <w:szCs w:val="18"/>
              </w:rPr>
              <w:t>Redovito održavanje sjednica općinskog vijeća</w:t>
            </w:r>
          </w:p>
        </w:tc>
        <w:tc>
          <w:tcPr>
            <w:tcW w:w="1134" w:type="dxa"/>
            <w:tcBorders>
              <w:top w:val="single" w:sz="4" w:space="0" w:color="auto"/>
              <w:left w:val="single" w:sz="4" w:space="0" w:color="auto"/>
              <w:bottom w:val="single" w:sz="4" w:space="0" w:color="auto"/>
              <w:right w:val="single" w:sz="4" w:space="0" w:color="auto"/>
            </w:tcBorders>
            <w:vAlign w:val="center"/>
          </w:tcPr>
          <w:p w14:paraId="15627FDB"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Broj sjednica</w:t>
            </w:r>
          </w:p>
        </w:tc>
        <w:tc>
          <w:tcPr>
            <w:tcW w:w="988" w:type="dxa"/>
            <w:tcBorders>
              <w:top w:val="single" w:sz="4" w:space="0" w:color="auto"/>
              <w:left w:val="single" w:sz="4" w:space="0" w:color="auto"/>
              <w:bottom w:val="single" w:sz="4" w:space="0" w:color="auto"/>
              <w:right w:val="single" w:sz="4" w:space="0" w:color="auto"/>
            </w:tcBorders>
            <w:vAlign w:val="center"/>
          </w:tcPr>
          <w:p w14:paraId="7ECFBBF6"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Općina</w:t>
            </w:r>
          </w:p>
        </w:tc>
        <w:tc>
          <w:tcPr>
            <w:tcW w:w="1242" w:type="dxa"/>
            <w:vAlign w:val="center"/>
          </w:tcPr>
          <w:p w14:paraId="026AD08B" w14:textId="0D69C5DC" w:rsidR="008C1A51" w:rsidRPr="00AD7A76" w:rsidRDefault="008C1A51" w:rsidP="008C1A51">
            <w:pPr>
              <w:jc w:val="center"/>
              <w:rPr>
                <w:rFonts w:ascii="Arial" w:hAnsi="Arial" w:cs="Arial"/>
                <w:sz w:val="18"/>
                <w:szCs w:val="18"/>
              </w:rPr>
            </w:pPr>
            <w:r w:rsidRPr="003A2F86">
              <w:rPr>
                <w:rFonts w:ascii="Arial" w:hAnsi="Arial" w:cs="Arial"/>
                <w:sz w:val="16"/>
                <w:szCs w:val="16"/>
              </w:rPr>
              <w:t>6</w:t>
            </w:r>
          </w:p>
        </w:tc>
        <w:tc>
          <w:tcPr>
            <w:tcW w:w="1242" w:type="dxa"/>
            <w:vAlign w:val="center"/>
          </w:tcPr>
          <w:p w14:paraId="34AEF14E" w14:textId="4B2B6704" w:rsidR="008C1A51" w:rsidRPr="00AD7A76" w:rsidRDefault="008C1A51" w:rsidP="008C1A51">
            <w:pPr>
              <w:jc w:val="center"/>
              <w:rPr>
                <w:rFonts w:ascii="Arial" w:hAnsi="Arial" w:cs="Arial"/>
                <w:sz w:val="16"/>
                <w:szCs w:val="16"/>
              </w:rPr>
            </w:pPr>
            <w:r w:rsidRPr="00AD7A76">
              <w:rPr>
                <w:rFonts w:ascii="Arial" w:hAnsi="Arial" w:cs="Arial"/>
                <w:sz w:val="18"/>
                <w:szCs w:val="18"/>
              </w:rPr>
              <w:t>7</w:t>
            </w:r>
          </w:p>
        </w:tc>
        <w:tc>
          <w:tcPr>
            <w:tcW w:w="1242" w:type="dxa"/>
            <w:vAlign w:val="center"/>
          </w:tcPr>
          <w:p w14:paraId="785E452F" w14:textId="20549124" w:rsidR="008C1A51" w:rsidRPr="00AD7A76" w:rsidRDefault="008C1A51" w:rsidP="008C1A51">
            <w:pPr>
              <w:jc w:val="center"/>
              <w:rPr>
                <w:rFonts w:ascii="Arial" w:hAnsi="Arial" w:cs="Arial"/>
                <w:sz w:val="16"/>
                <w:szCs w:val="16"/>
              </w:rPr>
            </w:pPr>
            <w:r>
              <w:rPr>
                <w:rFonts w:ascii="Arial" w:hAnsi="Arial" w:cs="Arial"/>
                <w:sz w:val="16"/>
                <w:szCs w:val="16"/>
              </w:rPr>
              <w:t>6</w:t>
            </w:r>
          </w:p>
        </w:tc>
        <w:tc>
          <w:tcPr>
            <w:tcW w:w="1242" w:type="dxa"/>
            <w:vAlign w:val="center"/>
          </w:tcPr>
          <w:p w14:paraId="7FD31EBE"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7</w:t>
            </w:r>
          </w:p>
        </w:tc>
        <w:tc>
          <w:tcPr>
            <w:tcW w:w="1242" w:type="dxa"/>
            <w:vAlign w:val="center"/>
          </w:tcPr>
          <w:p w14:paraId="614F66B8"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7</w:t>
            </w:r>
          </w:p>
        </w:tc>
      </w:tr>
      <w:tr w:rsidR="008C1A51" w:rsidRPr="00AD7A76" w14:paraId="4BE581D7" w14:textId="77777777" w:rsidTr="00636FE8">
        <w:trPr>
          <w:trHeight w:val="273"/>
          <w:jc w:val="center"/>
        </w:trPr>
        <w:tc>
          <w:tcPr>
            <w:tcW w:w="2405" w:type="dxa"/>
            <w:tcBorders>
              <w:top w:val="single" w:sz="4" w:space="0" w:color="auto"/>
              <w:left w:val="single" w:sz="4" w:space="0" w:color="auto"/>
              <w:bottom w:val="single" w:sz="4" w:space="0" w:color="auto"/>
              <w:right w:val="single" w:sz="4" w:space="0" w:color="auto"/>
            </w:tcBorders>
            <w:vAlign w:val="center"/>
          </w:tcPr>
          <w:p w14:paraId="183E605A" w14:textId="77777777" w:rsidR="008C1A51" w:rsidRPr="00AD7A76" w:rsidRDefault="008C1A51" w:rsidP="008C1A51">
            <w:pPr>
              <w:rPr>
                <w:rFonts w:ascii="Arial" w:hAnsi="Arial" w:cs="Arial"/>
                <w:sz w:val="18"/>
                <w:szCs w:val="18"/>
              </w:rPr>
            </w:pPr>
            <w:r w:rsidRPr="00AD7A76">
              <w:rPr>
                <w:rFonts w:ascii="Arial" w:hAnsi="Arial" w:cs="Arial"/>
                <w:sz w:val="18"/>
                <w:szCs w:val="18"/>
              </w:rPr>
              <w:t xml:space="preserve">Pravilna i pravovremena isplata naknada za rad </w:t>
            </w:r>
            <w:r w:rsidRPr="00AD7A76">
              <w:rPr>
                <w:rFonts w:ascii="Arial" w:hAnsi="Arial" w:cs="Arial"/>
                <w:sz w:val="18"/>
                <w:szCs w:val="18"/>
              </w:rPr>
              <w:lastRenderedPageBreak/>
              <w:t>članovima Općinskog vijeća sukladno odluci</w:t>
            </w:r>
          </w:p>
        </w:tc>
        <w:tc>
          <w:tcPr>
            <w:tcW w:w="2693" w:type="dxa"/>
            <w:tcBorders>
              <w:top w:val="single" w:sz="4" w:space="0" w:color="auto"/>
              <w:left w:val="single" w:sz="4" w:space="0" w:color="auto"/>
              <w:bottom w:val="single" w:sz="4" w:space="0" w:color="auto"/>
              <w:right w:val="single" w:sz="4" w:space="0" w:color="auto"/>
            </w:tcBorders>
            <w:vAlign w:val="center"/>
          </w:tcPr>
          <w:p w14:paraId="2C0325E7" w14:textId="77777777" w:rsidR="008C1A51" w:rsidRPr="00AD7A76" w:rsidRDefault="008C1A51" w:rsidP="008C1A51">
            <w:pPr>
              <w:rPr>
                <w:rFonts w:ascii="Arial" w:hAnsi="Arial" w:cs="Arial"/>
                <w:sz w:val="18"/>
                <w:szCs w:val="18"/>
              </w:rPr>
            </w:pPr>
            <w:r w:rsidRPr="00AD7A76">
              <w:rPr>
                <w:rFonts w:ascii="Arial" w:hAnsi="Arial" w:cs="Arial"/>
                <w:sz w:val="18"/>
                <w:szCs w:val="18"/>
              </w:rPr>
              <w:lastRenderedPageBreak/>
              <w:t xml:space="preserve">Osiguravanje financijskih sredstava za naknadu za rad </w:t>
            </w:r>
            <w:r w:rsidRPr="00AD7A76">
              <w:rPr>
                <w:rFonts w:ascii="Arial" w:hAnsi="Arial" w:cs="Arial"/>
                <w:sz w:val="18"/>
                <w:szCs w:val="18"/>
              </w:rPr>
              <w:lastRenderedPageBreak/>
              <w:t>članova Općinskog vijeća i članova radnih tijela</w:t>
            </w:r>
          </w:p>
        </w:tc>
        <w:tc>
          <w:tcPr>
            <w:tcW w:w="1134" w:type="dxa"/>
            <w:tcBorders>
              <w:top w:val="single" w:sz="4" w:space="0" w:color="auto"/>
              <w:left w:val="single" w:sz="4" w:space="0" w:color="auto"/>
              <w:bottom w:val="single" w:sz="4" w:space="0" w:color="auto"/>
              <w:right w:val="single" w:sz="4" w:space="0" w:color="auto"/>
            </w:tcBorders>
            <w:vAlign w:val="center"/>
          </w:tcPr>
          <w:p w14:paraId="0FD1D428"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lastRenderedPageBreak/>
              <w:t>%</w:t>
            </w:r>
          </w:p>
        </w:tc>
        <w:tc>
          <w:tcPr>
            <w:tcW w:w="988" w:type="dxa"/>
            <w:tcBorders>
              <w:top w:val="single" w:sz="4" w:space="0" w:color="auto"/>
              <w:left w:val="single" w:sz="4" w:space="0" w:color="auto"/>
              <w:bottom w:val="single" w:sz="4" w:space="0" w:color="auto"/>
              <w:right w:val="single" w:sz="4" w:space="0" w:color="auto"/>
            </w:tcBorders>
            <w:vAlign w:val="center"/>
          </w:tcPr>
          <w:p w14:paraId="7FC4AFB6"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Općina</w:t>
            </w:r>
          </w:p>
        </w:tc>
        <w:tc>
          <w:tcPr>
            <w:tcW w:w="1242" w:type="dxa"/>
            <w:vAlign w:val="center"/>
          </w:tcPr>
          <w:p w14:paraId="3795C743" w14:textId="59E879DE" w:rsidR="008C1A51" w:rsidRPr="00AD7A76" w:rsidRDefault="008C1A51" w:rsidP="008C1A51">
            <w:pPr>
              <w:jc w:val="center"/>
              <w:rPr>
                <w:rFonts w:ascii="Arial" w:hAnsi="Arial" w:cs="Arial"/>
                <w:sz w:val="18"/>
                <w:szCs w:val="18"/>
              </w:rPr>
            </w:pPr>
            <w:r w:rsidRPr="003A2F86">
              <w:rPr>
                <w:rFonts w:ascii="Arial" w:hAnsi="Arial" w:cs="Arial"/>
                <w:sz w:val="16"/>
                <w:szCs w:val="16"/>
              </w:rPr>
              <w:t>100%</w:t>
            </w:r>
          </w:p>
        </w:tc>
        <w:tc>
          <w:tcPr>
            <w:tcW w:w="1242" w:type="dxa"/>
            <w:vAlign w:val="center"/>
          </w:tcPr>
          <w:p w14:paraId="67DF57C4" w14:textId="5B1BE004" w:rsidR="008C1A51" w:rsidRPr="00AD7A76" w:rsidRDefault="008C1A51" w:rsidP="008C1A51">
            <w:pPr>
              <w:jc w:val="center"/>
              <w:rPr>
                <w:rFonts w:ascii="Arial" w:hAnsi="Arial" w:cs="Arial"/>
                <w:sz w:val="16"/>
                <w:szCs w:val="16"/>
              </w:rPr>
            </w:pPr>
            <w:r w:rsidRPr="00AD7A76">
              <w:rPr>
                <w:rFonts w:ascii="Arial" w:hAnsi="Arial" w:cs="Arial"/>
                <w:sz w:val="18"/>
                <w:szCs w:val="18"/>
              </w:rPr>
              <w:t>100 %</w:t>
            </w:r>
          </w:p>
        </w:tc>
        <w:tc>
          <w:tcPr>
            <w:tcW w:w="1242" w:type="dxa"/>
            <w:vAlign w:val="center"/>
          </w:tcPr>
          <w:p w14:paraId="02948EEC" w14:textId="09EC2382" w:rsidR="008C1A51" w:rsidRPr="00AD7A76" w:rsidRDefault="008C1A51" w:rsidP="008C1A51">
            <w:pPr>
              <w:jc w:val="center"/>
              <w:rPr>
                <w:rFonts w:ascii="Arial" w:hAnsi="Arial" w:cs="Arial"/>
                <w:sz w:val="16"/>
                <w:szCs w:val="16"/>
              </w:rPr>
            </w:pPr>
            <w:r w:rsidRPr="00AD7A76">
              <w:rPr>
                <w:rFonts w:ascii="Arial" w:hAnsi="Arial" w:cs="Arial"/>
                <w:sz w:val="18"/>
                <w:szCs w:val="18"/>
              </w:rPr>
              <w:t>100 %</w:t>
            </w:r>
          </w:p>
        </w:tc>
        <w:tc>
          <w:tcPr>
            <w:tcW w:w="1242" w:type="dxa"/>
            <w:vAlign w:val="center"/>
          </w:tcPr>
          <w:p w14:paraId="18889920"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100 %</w:t>
            </w:r>
          </w:p>
        </w:tc>
        <w:tc>
          <w:tcPr>
            <w:tcW w:w="1242" w:type="dxa"/>
            <w:vAlign w:val="center"/>
          </w:tcPr>
          <w:p w14:paraId="4B671034"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100 %</w:t>
            </w:r>
          </w:p>
        </w:tc>
      </w:tr>
      <w:tr w:rsidR="008C1A51" w:rsidRPr="00AD7A76" w14:paraId="31FC4402" w14:textId="77777777" w:rsidTr="00636FE8">
        <w:trPr>
          <w:trHeight w:val="558"/>
          <w:jc w:val="center"/>
        </w:trPr>
        <w:tc>
          <w:tcPr>
            <w:tcW w:w="2405" w:type="dxa"/>
            <w:tcBorders>
              <w:top w:val="single" w:sz="4" w:space="0" w:color="auto"/>
              <w:left w:val="single" w:sz="4" w:space="0" w:color="auto"/>
              <w:bottom w:val="single" w:sz="4" w:space="0" w:color="auto"/>
              <w:right w:val="single" w:sz="4" w:space="0" w:color="auto"/>
            </w:tcBorders>
          </w:tcPr>
          <w:p w14:paraId="3EB304F9" w14:textId="77777777" w:rsidR="008C1A51" w:rsidRPr="00AD7A76" w:rsidRDefault="008C1A51" w:rsidP="008C1A51">
            <w:pPr>
              <w:rPr>
                <w:rFonts w:ascii="Arial" w:hAnsi="Arial" w:cs="Arial"/>
                <w:sz w:val="18"/>
                <w:szCs w:val="18"/>
              </w:rPr>
            </w:pPr>
            <w:r w:rsidRPr="00AD7A76">
              <w:rPr>
                <w:rFonts w:ascii="Arial" w:hAnsi="Arial" w:cs="Arial"/>
                <w:sz w:val="18"/>
                <w:szCs w:val="18"/>
              </w:rPr>
              <w:t>Pravilna i pravovremena isplata financijskih sredstava za političko djelovanje stranaka i nezavisnih vijećnika koji sudjeluju u radu Općinskog vijeća.</w:t>
            </w:r>
          </w:p>
        </w:tc>
        <w:tc>
          <w:tcPr>
            <w:tcW w:w="2693" w:type="dxa"/>
            <w:tcBorders>
              <w:top w:val="single" w:sz="4" w:space="0" w:color="auto"/>
              <w:left w:val="single" w:sz="4" w:space="0" w:color="auto"/>
              <w:bottom w:val="single" w:sz="4" w:space="0" w:color="auto"/>
              <w:right w:val="single" w:sz="4" w:space="0" w:color="auto"/>
            </w:tcBorders>
          </w:tcPr>
          <w:p w14:paraId="74D2A590" w14:textId="77777777" w:rsidR="008C1A51" w:rsidRPr="00AD7A76" w:rsidRDefault="008C1A51" w:rsidP="008C1A51">
            <w:pPr>
              <w:rPr>
                <w:rFonts w:ascii="Arial" w:hAnsi="Arial" w:cs="Arial"/>
                <w:sz w:val="18"/>
                <w:szCs w:val="18"/>
              </w:rPr>
            </w:pPr>
            <w:r w:rsidRPr="00AD7A76">
              <w:rPr>
                <w:rFonts w:ascii="Arial" w:hAnsi="Arial" w:cs="Arial"/>
                <w:sz w:val="18"/>
                <w:szCs w:val="18"/>
              </w:rPr>
              <w:t xml:space="preserve">Osiguravanje financijskih sredstava za političko djelovanje stranaka i nezavisnih vijećnika koji sudjeluju u radu Općinskog vijeća sukladno Odluci o rasporedu sredstava za redovito godišnje financiranje političkih stranaka iz Proračuna Općine Konavle </w:t>
            </w:r>
          </w:p>
        </w:tc>
        <w:tc>
          <w:tcPr>
            <w:tcW w:w="1134" w:type="dxa"/>
            <w:tcBorders>
              <w:top w:val="single" w:sz="4" w:space="0" w:color="auto"/>
              <w:left w:val="single" w:sz="4" w:space="0" w:color="auto"/>
              <w:bottom w:val="single" w:sz="4" w:space="0" w:color="auto"/>
              <w:right w:val="single" w:sz="4" w:space="0" w:color="auto"/>
            </w:tcBorders>
            <w:vAlign w:val="center"/>
          </w:tcPr>
          <w:p w14:paraId="50266EBC"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 isplaćenih sredstava (isplata kvartalno)</w:t>
            </w:r>
          </w:p>
        </w:tc>
        <w:tc>
          <w:tcPr>
            <w:tcW w:w="988" w:type="dxa"/>
            <w:tcBorders>
              <w:top w:val="single" w:sz="4" w:space="0" w:color="auto"/>
              <w:left w:val="single" w:sz="4" w:space="0" w:color="auto"/>
              <w:bottom w:val="single" w:sz="4" w:space="0" w:color="auto"/>
              <w:right w:val="single" w:sz="4" w:space="0" w:color="auto"/>
            </w:tcBorders>
            <w:vAlign w:val="center"/>
          </w:tcPr>
          <w:p w14:paraId="6D731203"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Općina</w:t>
            </w:r>
          </w:p>
        </w:tc>
        <w:tc>
          <w:tcPr>
            <w:tcW w:w="1242" w:type="dxa"/>
            <w:tcBorders>
              <w:top w:val="single" w:sz="4" w:space="0" w:color="auto"/>
              <w:left w:val="single" w:sz="4" w:space="0" w:color="auto"/>
              <w:bottom w:val="single" w:sz="4" w:space="0" w:color="auto"/>
              <w:right w:val="single" w:sz="4" w:space="0" w:color="auto"/>
            </w:tcBorders>
            <w:vAlign w:val="center"/>
          </w:tcPr>
          <w:p w14:paraId="7286F69F" w14:textId="5289BB95" w:rsidR="008C1A51" w:rsidRPr="00AD7A76" w:rsidRDefault="008C1A51" w:rsidP="008C1A51">
            <w:pPr>
              <w:jc w:val="center"/>
              <w:rPr>
                <w:rFonts w:ascii="Arial" w:hAnsi="Arial" w:cs="Arial"/>
                <w:sz w:val="18"/>
                <w:szCs w:val="18"/>
              </w:rPr>
            </w:pPr>
            <w:r w:rsidRPr="003A2F86">
              <w:rPr>
                <w:rFonts w:ascii="Arial" w:hAnsi="Arial" w:cs="Arial"/>
                <w:sz w:val="16"/>
                <w:szCs w:val="16"/>
              </w:rPr>
              <w:t>100%</w:t>
            </w:r>
          </w:p>
        </w:tc>
        <w:tc>
          <w:tcPr>
            <w:tcW w:w="1242" w:type="dxa"/>
            <w:vAlign w:val="center"/>
          </w:tcPr>
          <w:p w14:paraId="19577153" w14:textId="576DD1F1" w:rsidR="008C1A51" w:rsidRPr="00AD7A76" w:rsidRDefault="008C1A51" w:rsidP="008C1A51">
            <w:pPr>
              <w:jc w:val="center"/>
              <w:rPr>
                <w:rFonts w:ascii="Arial" w:hAnsi="Arial" w:cs="Arial"/>
                <w:sz w:val="16"/>
                <w:szCs w:val="16"/>
              </w:rPr>
            </w:pPr>
            <w:r w:rsidRPr="00AD7A76">
              <w:rPr>
                <w:rFonts w:ascii="Arial" w:hAnsi="Arial" w:cs="Arial"/>
                <w:sz w:val="18"/>
                <w:szCs w:val="18"/>
              </w:rPr>
              <w:t>100 %</w:t>
            </w:r>
          </w:p>
        </w:tc>
        <w:tc>
          <w:tcPr>
            <w:tcW w:w="1242" w:type="dxa"/>
            <w:vAlign w:val="center"/>
          </w:tcPr>
          <w:p w14:paraId="41D2C814" w14:textId="431AE494" w:rsidR="008C1A51" w:rsidRPr="00AD7A76" w:rsidRDefault="008C1A51" w:rsidP="008C1A51">
            <w:pPr>
              <w:jc w:val="center"/>
              <w:rPr>
                <w:rFonts w:ascii="Arial" w:hAnsi="Arial" w:cs="Arial"/>
                <w:sz w:val="16"/>
                <w:szCs w:val="16"/>
              </w:rPr>
            </w:pPr>
            <w:r w:rsidRPr="00AD7A76">
              <w:rPr>
                <w:rFonts w:ascii="Arial" w:hAnsi="Arial" w:cs="Arial"/>
                <w:sz w:val="18"/>
                <w:szCs w:val="18"/>
              </w:rPr>
              <w:t>100 %</w:t>
            </w:r>
          </w:p>
        </w:tc>
        <w:tc>
          <w:tcPr>
            <w:tcW w:w="1242" w:type="dxa"/>
            <w:vAlign w:val="center"/>
          </w:tcPr>
          <w:p w14:paraId="6E467062"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100 %</w:t>
            </w:r>
          </w:p>
        </w:tc>
        <w:tc>
          <w:tcPr>
            <w:tcW w:w="1242" w:type="dxa"/>
            <w:vAlign w:val="center"/>
          </w:tcPr>
          <w:p w14:paraId="1F5243B5"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100 %</w:t>
            </w:r>
          </w:p>
        </w:tc>
      </w:tr>
      <w:tr w:rsidR="008C1A51" w:rsidRPr="00AD7A76" w14:paraId="562CE404" w14:textId="77777777" w:rsidTr="00636FE8">
        <w:trPr>
          <w:trHeight w:val="558"/>
          <w:jc w:val="center"/>
        </w:trPr>
        <w:tc>
          <w:tcPr>
            <w:tcW w:w="2405" w:type="dxa"/>
            <w:tcBorders>
              <w:top w:val="single" w:sz="4" w:space="0" w:color="auto"/>
              <w:left w:val="single" w:sz="4" w:space="0" w:color="auto"/>
              <w:bottom w:val="single" w:sz="4" w:space="0" w:color="auto"/>
              <w:right w:val="single" w:sz="4" w:space="0" w:color="auto"/>
            </w:tcBorders>
          </w:tcPr>
          <w:p w14:paraId="35C9BE9E" w14:textId="77777777" w:rsidR="008C1A51" w:rsidRPr="00AD7A76" w:rsidRDefault="008C1A51" w:rsidP="008C1A51">
            <w:pPr>
              <w:rPr>
                <w:rFonts w:ascii="Arial" w:hAnsi="Arial" w:cs="Arial"/>
                <w:sz w:val="18"/>
                <w:szCs w:val="18"/>
              </w:rPr>
            </w:pPr>
            <w:r w:rsidRPr="00AD7A76">
              <w:rPr>
                <w:rFonts w:ascii="Arial" w:hAnsi="Arial" w:cs="Arial"/>
                <w:sz w:val="18"/>
                <w:szCs w:val="18"/>
              </w:rPr>
              <w:t>Učinkovita provedba odabira i dodjele godišnjih nagrada i javnih priznanja na Dan Općine(21. listopada)</w:t>
            </w:r>
          </w:p>
        </w:tc>
        <w:tc>
          <w:tcPr>
            <w:tcW w:w="2693" w:type="dxa"/>
            <w:tcBorders>
              <w:top w:val="single" w:sz="4" w:space="0" w:color="auto"/>
              <w:left w:val="single" w:sz="4" w:space="0" w:color="auto"/>
              <w:bottom w:val="single" w:sz="4" w:space="0" w:color="auto"/>
              <w:right w:val="single" w:sz="4" w:space="0" w:color="auto"/>
            </w:tcBorders>
          </w:tcPr>
          <w:p w14:paraId="17A28E97" w14:textId="77777777" w:rsidR="008C1A51" w:rsidRPr="00AD7A76" w:rsidRDefault="008C1A51" w:rsidP="008C1A51">
            <w:pPr>
              <w:rPr>
                <w:rFonts w:ascii="Arial" w:hAnsi="Arial" w:cs="Arial"/>
                <w:sz w:val="18"/>
                <w:szCs w:val="18"/>
              </w:rPr>
            </w:pPr>
            <w:r w:rsidRPr="00AD7A76">
              <w:rPr>
                <w:rFonts w:ascii="Arial" w:hAnsi="Arial" w:cs="Arial"/>
                <w:sz w:val="18"/>
                <w:szCs w:val="18"/>
              </w:rPr>
              <w:t xml:space="preserve">Provedba javnog poziva za odabir laureata i osiguravanje financijskih sredstava za troškove dodjele godišnjih nagrada i javnih priznanja </w:t>
            </w:r>
          </w:p>
        </w:tc>
        <w:tc>
          <w:tcPr>
            <w:tcW w:w="1134" w:type="dxa"/>
            <w:tcBorders>
              <w:top w:val="single" w:sz="4" w:space="0" w:color="auto"/>
              <w:left w:val="single" w:sz="4" w:space="0" w:color="auto"/>
              <w:bottom w:val="single" w:sz="4" w:space="0" w:color="auto"/>
              <w:right w:val="single" w:sz="4" w:space="0" w:color="auto"/>
            </w:tcBorders>
            <w:vAlign w:val="center"/>
          </w:tcPr>
          <w:p w14:paraId="5244EC81"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w:t>
            </w:r>
          </w:p>
        </w:tc>
        <w:tc>
          <w:tcPr>
            <w:tcW w:w="988" w:type="dxa"/>
            <w:tcBorders>
              <w:top w:val="single" w:sz="4" w:space="0" w:color="auto"/>
              <w:left w:val="single" w:sz="4" w:space="0" w:color="auto"/>
              <w:bottom w:val="single" w:sz="4" w:space="0" w:color="auto"/>
              <w:right w:val="single" w:sz="4" w:space="0" w:color="auto"/>
            </w:tcBorders>
            <w:vAlign w:val="center"/>
          </w:tcPr>
          <w:p w14:paraId="3931ECCD"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Općina</w:t>
            </w:r>
          </w:p>
        </w:tc>
        <w:tc>
          <w:tcPr>
            <w:tcW w:w="1242" w:type="dxa"/>
            <w:tcBorders>
              <w:top w:val="single" w:sz="4" w:space="0" w:color="auto"/>
              <w:left w:val="single" w:sz="4" w:space="0" w:color="auto"/>
              <w:bottom w:val="single" w:sz="4" w:space="0" w:color="auto"/>
              <w:right w:val="single" w:sz="4" w:space="0" w:color="auto"/>
            </w:tcBorders>
            <w:vAlign w:val="center"/>
          </w:tcPr>
          <w:p w14:paraId="4B564971" w14:textId="331C1948" w:rsidR="008C1A51" w:rsidRPr="00AD7A76" w:rsidRDefault="008C1A51" w:rsidP="008C1A51">
            <w:pPr>
              <w:jc w:val="center"/>
              <w:rPr>
                <w:rFonts w:ascii="Arial" w:hAnsi="Arial" w:cs="Arial"/>
                <w:sz w:val="18"/>
                <w:szCs w:val="18"/>
              </w:rPr>
            </w:pPr>
            <w:r w:rsidRPr="003A2F86">
              <w:rPr>
                <w:rFonts w:ascii="Arial" w:hAnsi="Arial" w:cs="Arial"/>
                <w:sz w:val="16"/>
                <w:szCs w:val="16"/>
              </w:rPr>
              <w:t>100 %</w:t>
            </w:r>
          </w:p>
        </w:tc>
        <w:tc>
          <w:tcPr>
            <w:tcW w:w="1242" w:type="dxa"/>
            <w:vAlign w:val="center"/>
          </w:tcPr>
          <w:p w14:paraId="73D7C7C6" w14:textId="2B1BF83F" w:rsidR="008C1A51" w:rsidRPr="00AD7A76" w:rsidRDefault="008C1A51" w:rsidP="008C1A51">
            <w:pPr>
              <w:jc w:val="center"/>
              <w:rPr>
                <w:rFonts w:ascii="Arial" w:hAnsi="Arial" w:cs="Arial"/>
                <w:sz w:val="16"/>
                <w:szCs w:val="16"/>
              </w:rPr>
            </w:pPr>
            <w:r w:rsidRPr="00AD7A76">
              <w:rPr>
                <w:rFonts w:ascii="Arial" w:hAnsi="Arial" w:cs="Arial"/>
                <w:sz w:val="18"/>
                <w:szCs w:val="18"/>
              </w:rPr>
              <w:t>100 %</w:t>
            </w:r>
          </w:p>
        </w:tc>
        <w:tc>
          <w:tcPr>
            <w:tcW w:w="1242" w:type="dxa"/>
            <w:vAlign w:val="center"/>
          </w:tcPr>
          <w:p w14:paraId="4E5238EE" w14:textId="79BFDE00" w:rsidR="008C1A51" w:rsidRPr="00AD7A76" w:rsidRDefault="008C1A51" w:rsidP="008C1A51">
            <w:pPr>
              <w:jc w:val="center"/>
              <w:rPr>
                <w:rFonts w:ascii="Arial" w:hAnsi="Arial" w:cs="Arial"/>
                <w:sz w:val="16"/>
                <w:szCs w:val="16"/>
              </w:rPr>
            </w:pPr>
            <w:r w:rsidRPr="00AD7A76">
              <w:rPr>
                <w:rFonts w:ascii="Arial" w:hAnsi="Arial" w:cs="Arial"/>
                <w:sz w:val="18"/>
                <w:szCs w:val="18"/>
              </w:rPr>
              <w:t>100 %</w:t>
            </w:r>
          </w:p>
        </w:tc>
        <w:tc>
          <w:tcPr>
            <w:tcW w:w="1242" w:type="dxa"/>
            <w:vAlign w:val="center"/>
          </w:tcPr>
          <w:p w14:paraId="1E75BF07"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100 %</w:t>
            </w:r>
          </w:p>
        </w:tc>
        <w:tc>
          <w:tcPr>
            <w:tcW w:w="1242" w:type="dxa"/>
            <w:vAlign w:val="center"/>
          </w:tcPr>
          <w:p w14:paraId="262E3826"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100 %</w:t>
            </w:r>
          </w:p>
        </w:tc>
      </w:tr>
      <w:tr w:rsidR="008C1A51" w:rsidRPr="00AD7A76" w14:paraId="085D2C96" w14:textId="77777777" w:rsidTr="00636FE8">
        <w:trPr>
          <w:trHeight w:val="558"/>
          <w:jc w:val="center"/>
        </w:trPr>
        <w:tc>
          <w:tcPr>
            <w:tcW w:w="2405" w:type="dxa"/>
            <w:tcBorders>
              <w:top w:val="single" w:sz="4" w:space="0" w:color="auto"/>
              <w:left w:val="single" w:sz="4" w:space="0" w:color="auto"/>
              <w:bottom w:val="single" w:sz="4" w:space="0" w:color="auto"/>
              <w:right w:val="single" w:sz="4" w:space="0" w:color="auto"/>
            </w:tcBorders>
          </w:tcPr>
          <w:p w14:paraId="133461F8" w14:textId="77777777" w:rsidR="008C1A51" w:rsidRPr="00AD7A76" w:rsidRDefault="008C1A51" w:rsidP="008C1A51">
            <w:pPr>
              <w:rPr>
                <w:rFonts w:ascii="Arial" w:hAnsi="Arial" w:cs="Arial"/>
                <w:sz w:val="18"/>
                <w:szCs w:val="18"/>
              </w:rPr>
            </w:pPr>
            <w:r w:rsidRPr="00AD7A76">
              <w:rPr>
                <w:rFonts w:ascii="Arial" w:hAnsi="Arial" w:cs="Arial"/>
                <w:sz w:val="18"/>
                <w:szCs w:val="18"/>
              </w:rPr>
              <w:t>Uspješnost provedbe izbora</w:t>
            </w:r>
          </w:p>
        </w:tc>
        <w:tc>
          <w:tcPr>
            <w:tcW w:w="2693" w:type="dxa"/>
            <w:tcBorders>
              <w:top w:val="single" w:sz="4" w:space="0" w:color="auto"/>
              <w:left w:val="single" w:sz="4" w:space="0" w:color="auto"/>
              <w:bottom w:val="single" w:sz="4" w:space="0" w:color="auto"/>
              <w:right w:val="single" w:sz="4" w:space="0" w:color="auto"/>
            </w:tcBorders>
          </w:tcPr>
          <w:p w14:paraId="5B9F2BE0" w14:textId="77777777" w:rsidR="008C1A51" w:rsidRPr="00AD7A76" w:rsidRDefault="008C1A51" w:rsidP="008C1A51">
            <w:pPr>
              <w:rPr>
                <w:rFonts w:ascii="Arial" w:hAnsi="Arial" w:cs="Arial"/>
                <w:sz w:val="18"/>
                <w:szCs w:val="18"/>
              </w:rPr>
            </w:pPr>
            <w:r w:rsidRPr="00AD7A76">
              <w:rPr>
                <w:rFonts w:ascii="Arial" w:hAnsi="Arial" w:cs="Arial"/>
                <w:sz w:val="18"/>
                <w:szCs w:val="18"/>
              </w:rPr>
              <w:t>Izvršenje svih radnji i postupaka vezanih uz provedbu lokalnih izbora</w:t>
            </w:r>
          </w:p>
        </w:tc>
        <w:tc>
          <w:tcPr>
            <w:tcW w:w="1134" w:type="dxa"/>
            <w:tcBorders>
              <w:top w:val="single" w:sz="4" w:space="0" w:color="auto"/>
              <w:left w:val="single" w:sz="4" w:space="0" w:color="auto"/>
              <w:bottom w:val="single" w:sz="4" w:space="0" w:color="auto"/>
              <w:right w:val="single" w:sz="4" w:space="0" w:color="auto"/>
            </w:tcBorders>
            <w:vAlign w:val="center"/>
          </w:tcPr>
          <w:p w14:paraId="046326D7"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w:t>
            </w:r>
          </w:p>
        </w:tc>
        <w:tc>
          <w:tcPr>
            <w:tcW w:w="988" w:type="dxa"/>
            <w:tcBorders>
              <w:top w:val="single" w:sz="4" w:space="0" w:color="auto"/>
              <w:left w:val="single" w:sz="4" w:space="0" w:color="auto"/>
              <w:bottom w:val="single" w:sz="4" w:space="0" w:color="auto"/>
              <w:right w:val="single" w:sz="4" w:space="0" w:color="auto"/>
            </w:tcBorders>
            <w:vAlign w:val="center"/>
          </w:tcPr>
          <w:p w14:paraId="6AD5C03F"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Općina</w:t>
            </w:r>
          </w:p>
        </w:tc>
        <w:tc>
          <w:tcPr>
            <w:tcW w:w="1242" w:type="dxa"/>
            <w:tcBorders>
              <w:top w:val="single" w:sz="4" w:space="0" w:color="auto"/>
              <w:left w:val="single" w:sz="4" w:space="0" w:color="auto"/>
              <w:bottom w:val="single" w:sz="4" w:space="0" w:color="auto"/>
              <w:right w:val="single" w:sz="4" w:space="0" w:color="auto"/>
            </w:tcBorders>
            <w:vAlign w:val="center"/>
          </w:tcPr>
          <w:p w14:paraId="253D2F4B" w14:textId="7B40A327" w:rsidR="008C1A51" w:rsidRPr="00AD7A76" w:rsidRDefault="008C1A51" w:rsidP="008C1A51">
            <w:pPr>
              <w:jc w:val="center"/>
              <w:rPr>
                <w:rFonts w:ascii="Arial" w:hAnsi="Arial" w:cs="Arial"/>
                <w:sz w:val="18"/>
                <w:szCs w:val="18"/>
              </w:rPr>
            </w:pPr>
            <w:r w:rsidRPr="003A2F86">
              <w:rPr>
                <w:rFonts w:ascii="Arial" w:hAnsi="Arial" w:cs="Arial"/>
                <w:sz w:val="16"/>
                <w:szCs w:val="16"/>
              </w:rPr>
              <w:t>-</w:t>
            </w:r>
          </w:p>
        </w:tc>
        <w:tc>
          <w:tcPr>
            <w:tcW w:w="1242" w:type="dxa"/>
            <w:vAlign w:val="center"/>
          </w:tcPr>
          <w:p w14:paraId="0ADDE030" w14:textId="6B0F5FBA" w:rsidR="008C1A51" w:rsidRPr="00AD7A76" w:rsidRDefault="008C1A51" w:rsidP="008C1A51">
            <w:pPr>
              <w:jc w:val="center"/>
              <w:rPr>
                <w:rFonts w:ascii="Arial" w:hAnsi="Arial" w:cs="Arial"/>
                <w:sz w:val="16"/>
                <w:szCs w:val="16"/>
              </w:rPr>
            </w:pPr>
            <w:r w:rsidRPr="00AD7A76">
              <w:rPr>
                <w:rFonts w:ascii="Arial" w:hAnsi="Arial" w:cs="Arial"/>
                <w:sz w:val="18"/>
                <w:szCs w:val="18"/>
              </w:rPr>
              <w:t>100%</w:t>
            </w:r>
          </w:p>
        </w:tc>
        <w:tc>
          <w:tcPr>
            <w:tcW w:w="1242" w:type="dxa"/>
            <w:vAlign w:val="center"/>
          </w:tcPr>
          <w:p w14:paraId="277B9B90" w14:textId="50B496D7" w:rsidR="008C1A51" w:rsidRPr="00AD7A76" w:rsidRDefault="008C1A51" w:rsidP="008C1A51">
            <w:pPr>
              <w:jc w:val="center"/>
              <w:rPr>
                <w:rFonts w:ascii="Arial" w:hAnsi="Arial" w:cs="Arial"/>
                <w:sz w:val="16"/>
                <w:szCs w:val="16"/>
              </w:rPr>
            </w:pPr>
            <w:r w:rsidRPr="00AD7A76">
              <w:rPr>
                <w:rFonts w:ascii="Arial" w:hAnsi="Arial" w:cs="Arial"/>
                <w:sz w:val="18"/>
                <w:szCs w:val="18"/>
              </w:rPr>
              <w:t>100%</w:t>
            </w:r>
          </w:p>
        </w:tc>
        <w:tc>
          <w:tcPr>
            <w:tcW w:w="1242" w:type="dxa"/>
            <w:vAlign w:val="center"/>
          </w:tcPr>
          <w:p w14:paraId="60A1C2E5"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w:t>
            </w:r>
          </w:p>
        </w:tc>
        <w:tc>
          <w:tcPr>
            <w:tcW w:w="1242" w:type="dxa"/>
            <w:vAlign w:val="center"/>
          </w:tcPr>
          <w:p w14:paraId="38BEBCC9"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w:t>
            </w:r>
          </w:p>
        </w:tc>
      </w:tr>
      <w:tr w:rsidR="008C1A51" w:rsidRPr="00AD7A76" w14:paraId="691FCE72" w14:textId="77777777" w:rsidTr="00636FE8">
        <w:trPr>
          <w:trHeight w:val="558"/>
          <w:jc w:val="center"/>
        </w:trPr>
        <w:tc>
          <w:tcPr>
            <w:tcW w:w="2405" w:type="dxa"/>
            <w:tcBorders>
              <w:top w:val="single" w:sz="4" w:space="0" w:color="auto"/>
              <w:left w:val="single" w:sz="4" w:space="0" w:color="auto"/>
              <w:bottom w:val="single" w:sz="4" w:space="0" w:color="auto"/>
              <w:right w:val="single" w:sz="4" w:space="0" w:color="auto"/>
            </w:tcBorders>
          </w:tcPr>
          <w:p w14:paraId="7984277E" w14:textId="77777777" w:rsidR="008C1A51" w:rsidRPr="00AD7A76" w:rsidRDefault="008C1A51" w:rsidP="008C1A51">
            <w:pPr>
              <w:rPr>
                <w:rFonts w:ascii="Arial" w:hAnsi="Arial" w:cs="Arial"/>
                <w:sz w:val="18"/>
                <w:szCs w:val="18"/>
              </w:rPr>
            </w:pPr>
            <w:r w:rsidRPr="00AD7A76">
              <w:rPr>
                <w:rFonts w:ascii="Arial" w:hAnsi="Arial" w:cs="Arial"/>
                <w:sz w:val="18"/>
                <w:szCs w:val="18"/>
              </w:rPr>
              <w:t>Pravilna i pravovremena isplata za troškove izdavanja Službenog glasnika Općine Konavle, koja sredstva se isplaćuju po izdavanju i objavi svakog pojedinog broja, a po pristiglim računima.</w:t>
            </w:r>
          </w:p>
        </w:tc>
        <w:tc>
          <w:tcPr>
            <w:tcW w:w="2693" w:type="dxa"/>
            <w:tcBorders>
              <w:top w:val="single" w:sz="4" w:space="0" w:color="auto"/>
              <w:left w:val="single" w:sz="4" w:space="0" w:color="auto"/>
              <w:bottom w:val="single" w:sz="4" w:space="0" w:color="auto"/>
              <w:right w:val="single" w:sz="4" w:space="0" w:color="auto"/>
            </w:tcBorders>
          </w:tcPr>
          <w:p w14:paraId="5DEC0508" w14:textId="77777777" w:rsidR="008C1A51" w:rsidRPr="00AD7A76" w:rsidRDefault="008C1A51" w:rsidP="008C1A51">
            <w:pPr>
              <w:rPr>
                <w:rFonts w:ascii="Arial" w:hAnsi="Arial" w:cs="Arial"/>
                <w:sz w:val="18"/>
                <w:szCs w:val="18"/>
              </w:rPr>
            </w:pPr>
            <w:r w:rsidRPr="00AD7A76">
              <w:rPr>
                <w:rFonts w:ascii="Arial" w:hAnsi="Arial" w:cs="Arial"/>
                <w:sz w:val="18"/>
                <w:szCs w:val="18"/>
              </w:rPr>
              <w:t>Osiguravanje financijskih sredstava za troškove izdavanja Službenog glasnika Općine Konavle</w:t>
            </w:r>
          </w:p>
        </w:tc>
        <w:tc>
          <w:tcPr>
            <w:tcW w:w="1134" w:type="dxa"/>
            <w:tcBorders>
              <w:top w:val="single" w:sz="4" w:space="0" w:color="auto"/>
              <w:left w:val="single" w:sz="4" w:space="0" w:color="auto"/>
              <w:bottom w:val="single" w:sz="4" w:space="0" w:color="auto"/>
              <w:right w:val="single" w:sz="4" w:space="0" w:color="auto"/>
            </w:tcBorders>
            <w:vAlign w:val="center"/>
          </w:tcPr>
          <w:p w14:paraId="4289F247"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w:t>
            </w:r>
          </w:p>
        </w:tc>
        <w:tc>
          <w:tcPr>
            <w:tcW w:w="988" w:type="dxa"/>
            <w:tcBorders>
              <w:top w:val="single" w:sz="4" w:space="0" w:color="auto"/>
              <w:left w:val="single" w:sz="4" w:space="0" w:color="auto"/>
              <w:bottom w:val="single" w:sz="4" w:space="0" w:color="auto"/>
              <w:right w:val="single" w:sz="4" w:space="0" w:color="auto"/>
            </w:tcBorders>
            <w:vAlign w:val="center"/>
          </w:tcPr>
          <w:p w14:paraId="412056A0"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Općina</w:t>
            </w:r>
          </w:p>
        </w:tc>
        <w:tc>
          <w:tcPr>
            <w:tcW w:w="1242" w:type="dxa"/>
            <w:tcBorders>
              <w:top w:val="single" w:sz="4" w:space="0" w:color="auto"/>
              <w:left w:val="single" w:sz="4" w:space="0" w:color="auto"/>
              <w:bottom w:val="single" w:sz="4" w:space="0" w:color="auto"/>
              <w:right w:val="single" w:sz="4" w:space="0" w:color="auto"/>
            </w:tcBorders>
            <w:vAlign w:val="center"/>
          </w:tcPr>
          <w:p w14:paraId="10A800E2" w14:textId="54602C32" w:rsidR="008C1A51" w:rsidRPr="00AD7A76" w:rsidRDefault="008C1A51" w:rsidP="008C1A51">
            <w:pPr>
              <w:jc w:val="center"/>
              <w:rPr>
                <w:rFonts w:ascii="Arial" w:hAnsi="Arial" w:cs="Arial"/>
              </w:rPr>
            </w:pPr>
            <w:r w:rsidRPr="003A2F86">
              <w:rPr>
                <w:rFonts w:ascii="Arial" w:hAnsi="Arial" w:cs="Arial"/>
                <w:sz w:val="16"/>
                <w:szCs w:val="16"/>
              </w:rPr>
              <w:t>100%</w:t>
            </w:r>
          </w:p>
        </w:tc>
        <w:tc>
          <w:tcPr>
            <w:tcW w:w="1242" w:type="dxa"/>
            <w:vAlign w:val="center"/>
          </w:tcPr>
          <w:p w14:paraId="5C57F0DC" w14:textId="47D8506A" w:rsidR="008C1A51" w:rsidRPr="00AD7A76" w:rsidRDefault="008C1A51" w:rsidP="008C1A51">
            <w:pPr>
              <w:jc w:val="center"/>
              <w:rPr>
                <w:rFonts w:ascii="Arial" w:hAnsi="Arial" w:cs="Arial"/>
                <w:sz w:val="16"/>
                <w:szCs w:val="16"/>
              </w:rPr>
            </w:pPr>
            <w:r w:rsidRPr="00AD7A76">
              <w:rPr>
                <w:rFonts w:ascii="Arial" w:hAnsi="Arial" w:cs="Arial"/>
                <w:sz w:val="18"/>
                <w:szCs w:val="18"/>
              </w:rPr>
              <w:t>100 %</w:t>
            </w:r>
          </w:p>
        </w:tc>
        <w:tc>
          <w:tcPr>
            <w:tcW w:w="1242" w:type="dxa"/>
            <w:vAlign w:val="center"/>
          </w:tcPr>
          <w:p w14:paraId="76B271E0" w14:textId="3B0BA53A" w:rsidR="008C1A51" w:rsidRPr="00AD7A76" w:rsidRDefault="008C1A51" w:rsidP="008C1A51">
            <w:pPr>
              <w:jc w:val="center"/>
              <w:rPr>
                <w:rFonts w:ascii="Arial" w:hAnsi="Arial" w:cs="Arial"/>
                <w:sz w:val="16"/>
                <w:szCs w:val="16"/>
              </w:rPr>
            </w:pPr>
            <w:r w:rsidRPr="00AD7A76">
              <w:rPr>
                <w:rFonts w:ascii="Arial" w:hAnsi="Arial" w:cs="Arial"/>
                <w:sz w:val="18"/>
                <w:szCs w:val="18"/>
              </w:rPr>
              <w:t>100 %</w:t>
            </w:r>
          </w:p>
        </w:tc>
        <w:tc>
          <w:tcPr>
            <w:tcW w:w="1242" w:type="dxa"/>
            <w:vAlign w:val="center"/>
          </w:tcPr>
          <w:p w14:paraId="53E58A38"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100 %</w:t>
            </w:r>
          </w:p>
        </w:tc>
        <w:tc>
          <w:tcPr>
            <w:tcW w:w="1242" w:type="dxa"/>
            <w:vAlign w:val="center"/>
          </w:tcPr>
          <w:p w14:paraId="27F47B02"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100 %</w:t>
            </w:r>
          </w:p>
        </w:tc>
      </w:tr>
      <w:tr w:rsidR="008C1A51" w:rsidRPr="00AD7A76" w14:paraId="149E7F0C" w14:textId="77777777" w:rsidTr="00636FE8">
        <w:trPr>
          <w:trHeight w:val="558"/>
          <w:jc w:val="center"/>
        </w:trPr>
        <w:tc>
          <w:tcPr>
            <w:tcW w:w="2405" w:type="dxa"/>
            <w:tcBorders>
              <w:top w:val="single" w:sz="4" w:space="0" w:color="auto"/>
              <w:left w:val="single" w:sz="4" w:space="0" w:color="auto"/>
              <w:bottom w:val="single" w:sz="4" w:space="0" w:color="auto"/>
              <w:right w:val="single" w:sz="4" w:space="0" w:color="auto"/>
            </w:tcBorders>
          </w:tcPr>
          <w:p w14:paraId="043FD9A3" w14:textId="77777777" w:rsidR="008C1A51" w:rsidRPr="00AD7A76" w:rsidRDefault="008C1A51" w:rsidP="008C1A51">
            <w:pPr>
              <w:rPr>
                <w:rFonts w:ascii="Arial" w:hAnsi="Arial" w:cs="Arial"/>
                <w:sz w:val="18"/>
                <w:szCs w:val="18"/>
              </w:rPr>
            </w:pPr>
            <w:r w:rsidRPr="00AD7A76">
              <w:rPr>
                <w:rFonts w:ascii="Arial" w:hAnsi="Arial" w:cs="Arial"/>
                <w:sz w:val="18"/>
                <w:szCs w:val="18"/>
              </w:rPr>
              <w:t xml:space="preserve">Broj izdanih službenih glasila </w:t>
            </w:r>
          </w:p>
          <w:p w14:paraId="208CFD1C" w14:textId="77777777" w:rsidR="008C1A51" w:rsidRPr="00AD7A76" w:rsidRDefault="008C1A51" w:rsidP="008C1A51">
            <w:pPr>
              <w:rPr>
                <w:rFonts w:ascii="Arial" w:hAnsi="Arial" w:cs="Arial"/>
                <w:sz w:val="18"/>
                <w:szCs w:val="18"/>
              </w:rPr>
            </w:pPr>
          </w:p>
        </w:tc>
        <w:tc>
          <w:tcPr>
            <w:tcW w:w="2693" w:type="dxa"/>
            <w:tcBorders>
              <w:top w:val="single" w:sz="4" w:space="0" w:color="auto"/>
              <w:left w:val="single" w:sz="4" w:space="0" w:color="auto"/>
              <w:bottom w:val="single" w:sz="4" w:space="0" w:color="auto"/>
              <w:right w:val="single" w:sz="4" w:space="0" w:color="auto"/>
            </w:tcBorders>
          </w:tcPr>
          <w:p w14:paraId="5BD6EC2B" w14:textId="77777777" w:rsidR="008C1A51" w:rsidRPr="00AD7A76" w:rsidRDefault="008C1A51" w:rsidP="008C1A51">
            <w:pPr>
              <w:rPr>
                <w:rFonts w:ascii="Arial" w:hAnsi="Arial" w:cs="Arial"/>
                <w:sz w:val="18"/>
                <w:szCs w:val="18"/>
              </w:rPr>
            </w:pPr>
            <w:r w:rsidRPr="00AD7A76">
              <w:rPr>
                <w:rFonts w:ascii="Arial" w:hAnsi="Arial" w:cs="Arial"/>
                <w:sz w:val="18"/>
                <w:szCs w:val="18"/>
              </w:rPr>
              <w:t>Pravovremena i učinkovita priprema i objava službenog glasnika, te osiguravanje financijskih sredstava za troškove izdavanja Službenog glasnika Općine Konavle</w:t>
            </w:r>
          </w:p>
        </w:tc>
        <w:tc>
          <w:tcPr>
            <w:tcW w:w="1134" w:type="dxa"/>
            <w:tcBorders>
              <w:top w:val="single" w:sz="4" w:space="0" w:color="auto"/>
              <w:left w:val="single" w:sz="4" w:space="0" w:color="auto"/>
              <w:bottom w:val="single" w:sz="4" w:space="0" w:color="auto"/>
              <w:right w:val="single" w:sz="4" w:space="0" w:color="auto"/>
            </w:tcBorders>
            <w:vAlign w:val="center"/>
          </w:tcPr>
          <w:p w14:paraId="5F2F1505"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Broj glasila</w:t>
            </w:r>
          </w:p>
        </w:tc>
        <w:tc>
          <w:tcPr>
            <w:tcW w:w="988" w:type="dxa"/>
            <w:tcBorders>
              <w:top w:val="single" w:sz="4" w:space="0" w:color="auto"/>
              <w:left w:val="single" w:sz="4" w:space="0" w:color="auto"/>
              <w:bottom w:val="single" w:sz="4" w:space="0" w:color="auto"/>
              <w:right w:val="single" w:sz="4" w:space="0" w:color="auto"/>
            </w:tcBorders>
            <w:vAlign w:val="center"/>
          </w:tcPr>
          <w:p w14:paraId="2C465422" w14:textId="77777777" w:rsidR="008C1A51" w:rsidRPr="00AD7A76" w:rsidRDefault="008C1A51" w:rsidP="008C1A51">
            <w:pPr>
              <w:jc w:val="center"/>
              <w:rPr>
                <w:rFonts w:ascii="Arial" w:hAnsi="Arial" w:cs="Arial"/>
                <w:sz w:val="18"/>
                <w:szCs w:val="18"/>
              </w:rPr>
            </w:pPr>
          </w:p>
        </w:tc>
        <w:tc>
          <w:tcPr>
            <w:tcW w:w="1242" w:type="dxa"/>
            <w:tcBorders>
              <w:top w:val="single" w:sz="4" w:space="0" w:color="auto"/>
              <w:left w:val="single" w:sz="4" w:space="0" w:color="auto"/>
              <w:bottom w:val="single" w:sz="4" w:space="0" w:color="auto"/>
              <w:right w:val="single" w:sz="4" w:space="0" w:color="auto"/>
            </w:tcBorders>
            <w:vAlign w:val="center"/>
          </w:tcPr>
          <w:p w14:paraId="211664BC" w14:textId="098E06E7" w:rsidR="008C1A51" w:rsidRPr="00AD7A76" w:rsidRDefault="008C1A51" w:rsidP="008C1A51">
            <w:pPr>
              <w:jc w:val="center"/>
              <w:rPr>
                <w:rFonts w:ascii="Arial" w:hAnsi="Arial" w:cs="Arial"/>
                <w:sz w:val="18"/>
                <w:szCs w:val="18"/>
              </w:rPr>
            </w:pPr>
            <w:r>
              <w:rPr>
                <w:rFonts w:ascii="Arial" w:hAnsi="Arial" w:cs="Arial"/>
                <w:sz w:val="16"/>
                <w:szCs w:val="16"/>
              </w:rPr>
              <w:t>11</w:t>
            </w:r>
          </w:p>
        </w:tc>
        <w:tc>
          <w:tcPr>
            <w:tcW w:w="1242" w:type="dxa"/>
            <w:vAlign w:val="center"/>
          </w:tcPr>
          <w:p w14:paraId="45F65D2A" w14:textId="5091D76F" w:rsidR="008C1A51" w:rsidRPr="00AD7A76" w:rsidRDefault="008C1A51" w:rsidP="008C1A51">
            <w:pPr>
              <w:jc w:val="center"/>
              <w:rPr>
                <w:rFonts w:ascii="Arial" w:hAnsi="Arial" w:cs="Arial"/>
                <w:sz w:val="16"/>
                <w:szCs w:val="16"/>
              </w:rPr>
            </w:pPr>
            <w:r w:rsidRPr="00AD7A76">
              <w:rPr>
                <w:rFonts w:ascii="Arial" w:hAnsi="Arial" w:cs="Arial"/>
                <w:sz w:val="18"/>
                <w:szCs w:val="18"/>
              </w:rPr>
              <w:t>13</w:t>
            </w:r>
          </w:p>
        </w:tc>
        <w:tc>
          <w:tcPr>
            <w:tcW w:w="1242" w:type="dxa"/>
            <w:vAlign w:val="center"/>
          </w:tcPr>
          <w:p w14:paraId="21C834C6" w14:textId="7D5E1E0F" w:rsidR="008C1A51" w:rsidRPr="00AD7A76" w:rsidRDefault="008C1A51" w:rsidP="008C1A51">
            <w:pPr>
              <w:jc w:val="center"/>
              <w:rPr>
                <w:rFonts w:ascii="Arial" w:hAnsi="Arial" w:cs="Arial"/>
                <w:sz w:val="16"/>
                <w:szCs w:val="16"/>
              </w:rPr>
            </w:pPr>
            <w:r>
              <w:rPr>
                <w:rFonts w:ascii="Arial" w:hAnsi="Arial" w:cs="Arial"/>
                <w:sz w:val="18"/>
                <w:szCs w:val="18"/>
              </w:rPr>
              <w:t>11</w:t>
            </w:r>
          </w:p>
        </w:tc>
        <w:tc>
          <w:tcPr>
            <w:tcW w:w="1242" w:type="dxa"/>
            <w:vAlign w:val="center"/>
          </w:tcPr>
          <w:p w14:paraId="1B747EBA"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13</w:t>
            </w:r>
          </w:p>
        </w:tc>
        <w:tc>
          <w:tcPr>
            <w:tcW w:w="1242" w:type="dxa"/>
            <w:vAlign w:val="center"/>
          </w:tcPr>
          <w:p w14:paraId="5F2E772A" w14:textId="77777777" w:rsidR="008C1A51" w:rsidRPr="00AD7A76" w:rsidRDefault="008C1A51" w:rsidP="008C1A51">
            <w:pPr>
              <w:jc w:val="center"/>
              <w:rPr>
                <w:rFonts w:ascii="Arial" w:hAnsi="Arial" w:cs="Arial"/>
                <w:sz w:val="18"/>
                <w:szCs w:val="18"/>
              </w:rPr>
            </w:pPr>
            <w:r w:rsidRPr="00AD7A76">
              <w:rPr>
                <w:rFonts w:ascii="Arial" w:hAnsi="Arial" w:cs="Arial"/>
                <w:sz w:val="18"/>
                <w:szCs w:val="18"/>
              </w:rPr>
              <w:t>13</w:t>
            </w:r>
          </w:p>
        </w:tc>
      </w:tr>
    </w:tbl>
    <w:p w14:paraId="62092063" w14:textId="77777777" w:rsidR="008C1A51" w:rsidRDefault="008C1A51" w:rsidP="008C1A51">
      <w:pPr>
        <w:shd w:val="clear" w:color="auto" w:fill="FFFFFF"/>
        <w:spacing w:after="0" w:line="240" w:lineRule="auto"/>
        <w:jc w:val="both"/>
        <w:rPr>
          <w:rFonts w:ascii="Calibri" w:eastAsia="Times New Roman" w:hAnsi="Calibri" w:cs="Calibri"/>
          <w:sz w:val="24"/>
          <w:szCs w:val="24"/>
        </w:rPr>
      </w:pPr>
    </w:p>
    <w:p w14:paraId="1B1368C9" w14:textId="132C586C" w:rsidR="00BE0C18" w:rsidRPr="003A2F86" w:rsidRDefault="00BE0C18" w:rsidP="008C1A51">
      <w:pPr>
        <w:shd w:val="clear" w:color="auto" w:fill="FFFFFF"/>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Aktivnosti vezane uz opći i posebne ciljeve postignute su sukladno postocima izvršenja. </w:t>
      </w:r>
      <w:r w:rsidRPr="003A2F86">
        <w:rPr>
          <w:rFonts w:ascii="Arial" w:eastAsia="Calibri" w:hAnsi="Arial" w:cs="Arial"/>
          <w:sz w:val="20"/>
          <w:szCs w:val="20"/>
        </w:rPr>
        <w:br w:type="page"/>
      </w:r>
    </w:p>
    <w:p w14:paraId="52A7B04C" w14:textId="77777777" w:rsidR="00BE0C18" w:rsidRPr="003A2F86" w:rsidRDefault="00BE0C18" w:rsidP="00BE0C18">
      <w:pPr>
        <w:spacing w:after="0" w:line="240" w:lineRule="auto"/>
        <w:jc w:val="both"/>
        <w:rPr>
          <w:rFonts w:ascii="Arial" w:eastAsia="Calibri" w:hAnsi="Arial" w:cs="Arial"/>
          <w:sz w:val="20"/>
          <w:szCs w:val="20"/>
        </w:rPr>
      </w:pPr>
    </w:p>
    <w:p w14:paraId="0623462E" w14:textId="77777777" w:rsidR="00BE0C18" w:rsidRPr="003A2F86" w:rsidRDefault="00BE0C18" w:rsidP="00BE0C18">
      <w:pPr>
        <w:pStyle w:val="Naslov4"/>
        <w:rPr>
          <w:rFonts w:eastAsia="Calibri"/>
          <w:lang w:val="hr-HR"/>
        </w:rPr>
      </w:pPr>
      <w:bookmarkStart w:id="349" w:name="_Toc403677000"/>
      <w:bookmarkStart w:id="350" w:name="_Toc435014652"/>
      <w:bookmarkStart w:id="351" w:name="_Toc200628497"/>
      <w:bookmarkStart w:id="352" w:name="_Toc232981429"/>
      <w:r w:rsidRPr="003A2F86">
        <w:rPr>
          <w:rFonts w:eastAsia="Calibri"/>
          <w:lang w:val="hr-HR"/>
        </w:rPr>
        <w:t xml:space="preserve">3.3.1.2. </w:t>
      </w:r>
      <w:r w:rsidRPr="003A2F86">
        <w:rPr>
          <w:rFonts w:eastAsia="Calibri"/>
          <w:lang w:val="hr-HR"/>
        </w:rPr>
        <w:tab/>
        <w:t>GLAVA: (010 02) NAČELNIK– NOSITELJ IZVRŠNIH OVLASTI</w:t>
      </w:r>
      <w:bookmarkEnd w:id="349"/>
      <w:bookmarkEnd w:id="350"/>
      <w:bookmarkEnd w:id="351"/>
      <w:bookmarkEnd w:id="352"/>
      <w:r w:rsidRPr="003A2F86">
        <w:rPr>
          <w:rFonts w:eastAsia="Calibri"/>
          <w:lang w:val="hr-HR"/>
        </w:rPr>
        <w:t xml:space="preserve"> </w:t>
      </w:r>
    </w:p>
    <w:p w14:paraId="1247FBC6" w14:textId="77777777" w:rsidR="00BE0C18" w:rsidRPr="003A2F86" w:rsidRDefault="00BE0C18" w:rsidP="00BE0C18">
      <w:pPr>
        <w:spacing w:after="0" w:line="240" w:lineRule="auto"/>
        <w:jc w:val="both"/>
        <w:rPr>
          <w:rFonts w:ascii="Arial" w:eastAsia="Calibri" w:hAnsi="Arial" w:cs="Arial"/>
          <w:sz w:val="20"/>
          <w:szCs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746"/>
        <w:gridCol w:w="10708"/>
      </w:tblGrid>
      <w:tr w:rsidR="00BE0C18" w:rsidRPr="003A2F86" w14:paraId="058B4E82" w14:textId="77777777" w:rsidTr="00410A4B">
        <w:tc>
          <w:tcPr>
            <w:tcW w:w="2746" w:type="dxa"/>
            <w:vAlign w:val="bottom"/>
          </w:tcPr>
          <w:p w14:paraId="6E92A315"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DJELOKRUG RADA:</w:t>
            </w:r>
          </w:p>
        </w:tc>
        <w:tc>
          <w:tcPr>
            <w:tcW w:w="10708" w:type="dxa"/>
            <w:vAlign w:val="bottom"/>
          </w:tcPr>
          <w:p w14:paraId="0A8759C3"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 xml:space="preserve">Općinski načelnik je izvršno tijelo jedinice lokalne samouprave. </w:t>
            </w:r>
          </w:p>
        </w:tc>
      </w:tr>
    </w:tbl>
    <w:p w14:paraId="4C4F7B56" w14:textId="77777777" w:rsidR="00BE0C18" w:rsidRPr="003A2F86" w:rsidRDefault="00BE0C18" w:rsidP="00BE0C18">
      <w:pPr>
        <w:spacing w:after="0" w:line="240" w:lineRule="auto"/>
        <w:jc w:val="both"/>
        <w:rPr>
          <w:rFonts w:ascii="Arial" w:eastAsia="Calibri" w:hAnsi="Arial" w:cs="Arial"/>
          <w:sz w:val="20"/>
          <w:szCs w:val="20"/>
          <w:lang w:eastAsia="en-US"/>
        </w:rPr>
      </w:pPr>
    </w:p>
    <w:p w14:paraId="203B6F3B" w14:textId="32F2BA42" w:rsidR="00BE0C18" w:rsidRPr="003A2F86" w:rsidRDefault="00BE0C18" w:rsidP="00BE0C18">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Vlada Republike Hrvatske je 14. travnja 202</w:t>
      </w:r>
      <w:r w:rsidR="00636FE8">
        <w:rPr>
          <w:rFonts w:ascii="Arial" w:eastAsia="Calibri" w:hAnsi="Arial" w:cs="Arial"/>
          <w:sz w:val="20"/>
          <w:szCs w:val="20"/>
          <w:lang w:eastAsia="en-US"/>
        </w:rPr>
        <w:t>5</w:t>
      </w:r>
      <w:r w:rsidRPr="003A2F86">
        <w:rPr>
          <w:rFonts w:ascii="Arial" w:eastAsia="Calibri" w:hAnsi="Arial" w:cs="Arial"/>
          <w:sz w:val="20"/>
          <w:szCs w:val="20"/>
          <w:lang w:eastAsia="en-US"/>
        </w:rPr>
        <w:t>. donijela odluku o raspisivanju izbora za općinske načelnike, gradonačelnike i župane, te njihove zamjenike. Izbori su održani su 1</w:t>
      </w:r>
      <w:r w:rsidR="00636FE8">
        <w:rPr>
          <w:rFonts w:ascii="Arial" w:eastAsia="Calibri" w:hAnsi="Arial" w:cs="Arial"/>
          <w:sz w:val="20"/>
          <w:szCs w:val="20"/>
          <w:lang w:eastAsia="en-US"/>
        </w:rPr>
        <w:t>8</w:t>
      </w:r>
      <w:r w:rsidRPr="003A2F86">
        <w:rPr>
          <w:rFonts w:ascii="Arial" w:eastAsia="Calibri" w:hAnsi="Arial" w:cs="Arial"/>
          <w:sz w:val="20"/>
          <w:szCs w:val="20"/>
          <w:lang w:eastAsia="en-US"/>
        </w:rPr>
        <w:t>. svibnja 202</w:t>
      </w:r>
      <w:r w:rsidR="00636FE8">
        <w:rPr>
          <w:rFonts w:ascii="Arial" w:eastAsia="Calibri" w:hAnsi="Arial" w:cs="Arial"/>
          <w:sz w:val="20"/>
          <w:szCs w:val="20"/>
          <w:lang w:eastAsia="en-US"/>
        </w:rPr>
        <w:t>5</w:t>
      </w:r>
      <w:r w:rsidRPr="003A2F86">
        <w:rPr>
          <w:rFonts w:ascii="Arial" w:eastAsia="Calibri" w:hAnsi="Arial" w:cs="Arial"/>
          <w:sz w:val="20"/>
          <w:szCs w:val="20"/>
          <w:lang w:eastAsia="en-US"/>
        </w:rPr>
        <w:t>. (prvi krug). Općinski načelnik je izabran u prvom krugu redovitih izbora</w:t>
      </w:r>
      <w:r w:rsidR="00636FE8">
        <w:rPr>
          <w:rFonts w:ascii="Arial" w:eastAsia="Calibri" w:hAnsi="Arial" w:cs="Arial"/>
          <w:sz w:val="20"/>
          <w:szCs w:val="20"/>
          <w:lang w:eastAsia="en-US"/>
        </w:rPr>
        <w:t>.</w:t>
      </w:r>
      <w:r w:rsidR="002817AF">
        <w:rPr>
          <w:rFonts w:ascii="Arial" w:eastAsia="Calibri" w:hAnsi="Arial" w:cs="Arial"/>
          <w:sz w:val="20"/>
          <w:szCs w:val="20"/>
          <w:lang w:eastAsia="en-US"/>
        </w:rPr>
        <w:t xml:space="preserve"> Načelnik je </w:t>
      </w:r>
      <w:r w:rsidR="00472D92">
        <w:rPr>
          <w:rFonts w:ascii="Arial" w:eastAsia="Calibri" w:hAnsi="Arial" w:cs="Arial"/>
          <w:sz w:val="20"/>
          <w:szCs w:val="20"/>
          <w:lang w:eastAsia="en-US"/>
        </w:rPr>
        <w:t>ostao isti.</w:t>
      </w:r>
      <w:r w:rsidRPr="003A2F86">
        <w:rPr>
          <w:rFonts w:ascii="Arial" w:eastAsia="Calibri" w:hAnsi="Arial" w:cs="Arial"/>
          <w:sz w:val="20"/>
          <w:szCs w:val="20"/>
          <w:lang w:eastAsia="en-US"/>
        </w:rPr>
        <w:t xml:space="preserve"> </w:t>
      </w:r>
    </w:p>
    <w:p w14:paraId="2326EDDF" w14:textId="77777777" w:rsidR="00BE0C18" w:rsidRPr="003A2F86" w:rsidRDefault="00BE0C18" w:rsidP="00BE0C18">
      <w:pPr>
        <w:spacing w:after="0" w:line="240" w:lineRule="auto"/>
        <w:jc w:val="both"/>
        <w:rPr>
          <w:rFonts w:ascii="Arial" w:eastAsia="Calibri" w:hAnsi="Arial" w:cs="Arial"/>
          <w:sz w:val="20"/>
          <w:szCs w:val="20"/>
          <w:lang w:eastAsia="en-US"/>
        </w:rPr>
      </w:pPr>
    </w:p>
    <w:p w14:paraId="278049C6" w14:textId="77777777" w:rsidR="00BE0C18" w:rsidRPr="003A2F86" w:rsidRDefault="00BE0C18" w:rsidP="00BE0C18">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U razdjelu Općinsko vijeće i načelnik (010), glava Načelnik– nositelj izvršnih ovlasti (01002), izvodi se jedan Program.</w:t>
      </w:r>
    </w:p>
    <w:p w14:paraId="7F9AE886" w14:textId="77777777" w:rsidR="00BE0C18" w:rsidRPr="003A2F86" w:rsidRDefault="00BE0C18" w:rsidP="00BE0C18">
      <w:pPr>
        <w:spacing w:after="0" w:line="240" w:lineRule="auto"/>
        <w:jc w:val="both"/>
        <w:rPr>
          <w:rFonts w:ascii="Arial" w:eastAsia="Calibri" w:hAnsi="Arial" w:cs="Arial"/>
          <w:sz w:val="20"/>
          <w:szCs w:val="20"/>
        </w:rPr>
      </w:pPr>
    </w:p>
    <w:p w14:paraId="74D75456" w14:textId="77777777" w:rsidR="00BE0C18" w:rsidRPr="003A2F86" w:rsidRDefault="00BE0C18" w:rsidP="00BE0C18">
      <w:pPr>
        <w:pStyle w:val="Naslov3"/>
        <w:rPr>
          <w:rFonts w:ascii="Arial" w:eastAsia="Calibri" w:hAnsi="Arial" w:cs="Arial"/>
          <w:sz w:val="22"/>
          <w:szCs w:val="22"/>
          <w:lang w:val="hr-HR"/>
        </w:rPr>
      </w:pPr>
      <w:bookmarkStart w:id="353" w:name="_Toc403677001"/>
      <w:bookmarkStart w:id="354" w:name="_Toc435014653"/>
      <w:bookmarkStart w:id="355" w:name="_Toc200628498"/>
      <w:bookmarkStart w:id="356" w:name="_Toc232981430"/>
      <w:r w:rsidRPr="003A2F86">
        <w:rPr>
          <w:rFonts w:ascii="Arial" w:eastAsia="Calibri" w:hAnsi="Arial" w:cs="Arial"/>
          <w:sz w:val="22"/>
          <w:szCs w:val="22"/>
          <w:lang w:val="hr-HR"/>
        </w:rPr>
        <w:t>Program (1020): Osnovne aktivnosti izvršnog tijela</w:t>
      </w:r>
      <w:bookmarkEnd w:id="353"/>
      <w:bookmarkEnd w:id="354"/>
      <w:bookmarkEnd w:id="355"/>
      <w:bookmarkEnd w:id="356"/>
    </w:p>
    <w:p w14:paraId="03CB6A98" w14:textId="77777777" w:rsidR="00BE0C18" w:rsidRPr="003A2F86" w:rsidRDefault="00BE0C18" w:rsidP="00BE0C18">
      <w:pPr>
        <w:spacing w:after="0" w:line="240" w:lineRule="auto"/>
        <w:jc w:val="both"/>
        <w:rPr>
          <w:rFonts w:ascii="Arial" w:eastAsia="Calibri"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44"/>
        <w:gridCol w:w="12268"/>
      </w:tblGrid>
      <w:tr w:rsidR="00BE0C18" w:rsidRPr="003A2F86" w14:paraId="00F2468C" w14:textId="77777777" w:rsidTr="00410A4B">
        <w:tc>
          <w:tcPr>
            <w:tcW w:w="2044" w:type="dxa"/>
          </w:tcPr>
          <w:p w14:paraId="2DC50CBB"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OPIS PROGRAMA:</w:t>
            </w:r>
          </w:p>
        </w:tc>
        <w:tc>
          <w:tcPr>
            <w:tcW w:w="12268" w:type="dxa"/>
          </w:tcPr>
          <w:p w14:paraId="7B862EA8"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 xml:space="preserve">Programom se omogućava redovno izvršavanje poslova iz djelokruga Općinskog načelnika. Ovaj program obuhvaća rashode za redovan rad Općinskog načelnika, te sredstva proračunske zalihe. Proračunska zaliha bi sukladno zakonskim odredbama mogla biti u visini od 0,5% planiranih općih prihoda proračuna bez primitka, a koristi se za financiranje rashoda nastalih pri otklanjanju posljedica elementarnih nepogoda, epidemija, ekoloških i ostalih nepredviđenih nesreća odnosno izvanrednih događaja tijekom godine. O utrošku sredstava proračunske zalihe koju tijekom godine troši Općinski načelnik, podnosi se izvješće Općinskom vijeću. </w:t>
            </w:r>
          </w:p>
          <w:p w14:paraId="65B8E33B"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Za rad izvršnog tijela isplaćuje se plaća Načelniku.</w:t>
            </w:r>
          </w:p>
        </w:tc>
      </w:tr>
      <w:tr w:rsidR="00BE0C18" w:rsidRPr="003A2F86" w14:paraId="387F525A" w14:textId="77777777" w:rsidTr="00410A4B">
        <w:tc>
          <w:tcPr>
            <w:tcW w:w="2044" w:type="dxa"/>
          </w:tcPr>
          <w:p w14:paraId="698922DA" w14:textId="77777777" w:rsidR="00BE0C18" w:rsidRPr="003A2F86" w:rsidRDefault="00BE0C18" w:rsidP="00410A4B">
            <w:pPr>
              <w:spacing w:after="0" w:line="240" w:lineRule="auto"/>
              <w:rPr>
                <w:rFonts w:ascii="Arial" w:eastAsia="Calibri" w:hAnsi="Arial" w:cs="Arial"/>
                <w:sz w:val="18"/>
                <w:szCs w:val="18"/>
                <w:lang w:eastAsia="en-US"/>
              </w:rPr>
            </w:pPr>
            <w:r w:rsidRPr="003A2F86">
              <w:rPr>
                <w:rFonts w:ascii="Arial" w:eastAsia="Calibri" w:hAnsi="Arial" w:cs="Arial"/>
                <w:sz w:val="18"/>
                <w:szCs w:val="18"/>
                <w:lang w:eastAsia="en-US"/>
              </w:rPr>
              <w:t>ZAKONSKE I DRUGE PRAVNE OSNOVE PROGRAMA:</w:t>
            </w:r>
          </w:p>
        </w:tc>
        <w:tc>
          <w:tcPr>
            <w:tcW w:w="12268" w:type="dxa"/>
          </w:tcPr>
          <w:p w14:paraId="4D0AF5AA" w14:textId="77777777" w:rsidR="00BE0C18" w:rsidRPr="003A2F86" w:rsidRDefault="00BE0C18" w:rsidP="00410A4B">
            <w:pPr>
              <w:autoSpaceDE w:val="0"/>
              <w:autoSpaceDN w:val="0"/>
              <w:adjustRightInd w:val="0"/>
              <w:spacing w:after="0" w:line="240" w:lineRule="auto"/>
              <w:jc w:val="both"/>
              <w:rPr>
                <w:rFonts w:ascii="Arial" w:eastAsia="Calibri" w:hAnsi="Arial" w:cs="Arial"/>
                <w:sz w:val="20"/>
                <w:szCs w:val="20"/>
                <w:lang w:eastAsia="en-US"/>
              </w:rPr>
            </w:pPr>
            <w:r w:rsidRPr="003A2F86">
              <w:rPr>
                <w:rFonts w:ascii="Arial" w:eastAsia="Times New Roman" w:hAnsi="Arial" w:cs="Arial"/>
                <w:sz w:val="20"/>
                <w:szCs w:val="20"/>
                <w:lang w:eastAsia="en-US"/>
              </w:rPr>
              <w:t xml:space="preserve">Zakon o lokalnoj i područnoj (regionalnoj) samoupravi (NN 33/01, 60/01, 129/05, 109/07, 125/08, 36/09, 150/11, 144/12, 19/13, 137/15, 98/19, 144/20), Zakon o proračunu (NN 144/21), Odluka o određivanju osnovice i visini koeficijenta za općinskog načelnika, Statut Općine, </w:t>
            </w:r>
            <w:r w:rsidRPr="003A2F86">
              <w:rPr>
                <w:rFonts w:ascii="Arial" w:eastAsia="Calibri" w:hAnsi="Arial" w:cs="Arial"/>
                <w:sz w:val="20"/>
                <w:szCs w:val="20"/>
                <w:lang w:eastAsia="en-US"/>
              </w:rPr>
              <w:t>Odluka o plaći i drugim pravima iz rada Općinskog načelnika i</w:t>
            </w:r>
            <w:r w:rsidRPr="003A2F86">
              <w:rPr>
                <w:rFonts w:ascii="Arial" w:eastAsia="Times New Roman" w:hAnsi="Arial" w:cs="Arial"/>
                <w:sz w:val="20"/>
                <w:szCs w:val="20"/>
                <w:lang w:eastAsia="en-US"/>
              </w:rPr>
              <w:t xml:space="preserve"> drugi opći akti. </w:t>
            </w:r>
          </w:p>
        </w:tc>
      </w:tr>
      <w:tr w:rsidR="00BE0C18" w:rsidRPr="003A2F86" w14:paraId="0A5FCB89" w14:textId="77777777" w:rsidTr="00410A4B">
        <w:tc>
          <w:tcPr>
            <w:tcW w:w="2044" w:type="dxa"/>
          </w:tcPr>
          <w:p w14:paraId="07870723"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OPĆI CILJ:</w:t>
            </w:r>
          </w:p>
        </w:tc>
        <w:tc>
          <w:tcPr>
            <w:tcW w:w="12268" w:type="dxa"/>
          </w:tcPr>
          <w:p w14:paraId="62298548"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Osiguravanje uvjeta za redoviti i nesmetani rad Općinskog načelnika. Pravovremeno izvršavanje zadatka iz nadležnosti Općinskog načelnika, pravovremeno doneseni akti, zadovoljstvo građana organizacijom i radom Općine i njenih proračunskih korisnika kao javnog servisa.</w:t>
            </w:r>
          </w:p>
          <w:p w14:paraId="6DEB0481"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Efikasno obavljanje poslova lokalnog značaja, razvoj demokratskog i višestranačkog sustava, utvrđivanje strategije razvoja Općine Konavle, razvoj demokratskog i višestranačkog sustava, informiranje građana o aktivnostima u općinskoj upravi.</w:t>
            </w:r>
          </w:p>
          <w:p w14:paraId="6C18B189"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Promocija i prezentacija Općine na kulturnom, gospodarskom i turističkom planu u zemlji i inozemstvu te informiranje javnosti o poduzetim aktivnostima i projektima.</w:t>
            </w:r>
          </w:p>
        </w:tc>
      </w:tr>
      <w:tr w:rsidR="00BE0C18" w:rsidRPr="003A2F86" w14:paraId="6C60DCCE" w14:textId="77777777" w:rsidTr="00410A4B">
        <w:tc>
          <w:tcPr>
            <w:tcW w:w="2044" w:type="dxa"/>
          </w:tcPr>
          <w:p w14:paraId="180FF680"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POSEBNI CILJEVI:</w:t>
            </w:r>
          </w:p>
        </w:tc>
        <w:tc>
          <w:tcPr>
            <w:tcW w:w="12268" w:type="dxa"/>
            <w:vAlign w:val="bottom"/>
          </w:tcPr>
          <w:p w14:paraId="37705B07" w14:textId="77777777" w:rsidR="00BE0C18" w:rsidRPr="003A2F86" w:rsidRDefault="00BE0C18" w:rsidP="00410A4B">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Osiguranje izvršavanja zadataka u funkcioniranju izvršnog tijela, transparentnost rada općinske uprave, unapređenje identiteta i promidžba.</w:t>
            </w:r>
          </w:p>
        </w:tc>
      </w:tr>
    </w:tbl>
    <w:p w14:paraId="5B03ACB1" w14:textId="77777777" w:rsidR="00BE0C18" w:rsidRPr="003A2F86" w:rsidRDefault="00BE0C18" w:rsidP="00BE0C18">
      <w:pPr>
        <w:spacing w:after="0" w:line="240" w:lineRule="auto"/>
        <w:jc w:val="both"/>
        <w:rPr>
          <w:rFonts w:ascii="Arial" w:eastAsia="Calibri" w:hAnsi="Arial" w:cs="Arial"/>
          <w:sz w:val="20"/>
          <w:szCs w:val="20"/>
          <w:lang w:eastAsia="en-US"/>
        </w:rPr>
      </w:pPr>
    </w:p>
    <w:p w14:paraId="3704E4D5" w14:textId="77777777" w:rsidR="00BE0C18" w:rsidRPr="003A2F86" w:rsidRDefault="00BE0C18">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3A2F86">
        <w:rPr>
          <w:rFonts w:ascii="Arial" w:eastAsia="Calibri" w:hAnsi="Arial" w:cs="Arial"/>
          <w:b/>
          <w:sz w:val="20"/>
          <w:szCs w:val="20"/>
          <w:lang w:eastAsia="en-US"/>
        </w:rPr>
        <w:t>Procjena i ishodište potrebnih sredstava za aktivnosti unutar programa</w:t>
      </w:r>
    </w:p>
    <w:p w14:paraId="51CB93BF" w14:textId="77777777" w:rsidR="00BE0C18" w:rsidRPr="003A2F86" w:rsidRDefault="00BE0C18" w:rsidP="00BE0C18">
      <w:pPr>
        <w:spacing w:after="0" w:line="240" w:lineRule="auto"/>
        <w:jc w:val="both"/>
        <w:rPr>
          <w:rFonts w:ascii="Arial" w:eastAsia="Calibri" w:hAnsi="Arial" w:cs="Arial"/>
          <w:sz w:val="20"/>
          <w:szCs w:val="20"/>
          <w:lang w:eastAsia="en-US"/>
        </w:rPr>
      </w:pPr>
    </w:p>
    <w:p w14:paraId="09EFF476" w14:textId="33FE8A04" w:rsidR="00BE0C18" w:rsidRPr="003A2F86" w:rsidRDefault="008A16BA" w:rsidP="00BE0C18">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5581FFD3" w14:textId="77777777" w:rsidR="00BE0C18" w:rsidRPr="003A2F86" w:rsidRDefault="00BE0C18" w:rsidP="00BE0C18">
      <w:pPr>
        <w:shd w:val="clear" w:color="auto" w:fill="FFFFFF"/>
        <w:spacing w:after="0" w:line="240" w:lineRule="auto"/>
        <w:jc w:val="both"/>
        <w:rPr>
          <w:rFonts w:ascii="Arial" w:eastAsia="Times New Roman" w:hAnsi="Arial" w:cs="Arial"/>
          <w:b/>
          <w:sz w:val="20"/>
          <w:szCs w:val="24"/>
          <w:lang w:eastAsia="en-US"/>
        </w:rPr>
      </w:pPr>
    </w:p>
    <w:p w14:paraId="77401AE4" w14:textId="77777777" w:rsidR="00BE0C18" w:rsidRDefault="00BE0C18" w:rsidP="00BE0C18">
      <w:pPr>
        <w:shd w:val="clear" w:color="auto" w:fill="FFFFFF"/>
        <w:spacing w:after="0" w:line="240" w:lineRule="auto"/>
        <w:jc w:val="both"/>
        <w:rPr>
          <w:rFonts w:ascii="Arial" w:eastAsia="Times New Roman" w:hAnsi="Arial" w:cs="Arial"/>
          <w:b/>
          <w:sz w:val="20"/>
          <w:szCs w:val="24"/>
          <w:lang w:eastAsia="en-US"/>
        </w:rPr>
      </w:pPr>
    </w:p>
    <w:p w14:paraId="7154837A" w14:textId="77777777" w:rsidR="00BE0C18" w:rsidRDefault="00BE0C18" w:rsidP="00BE0C18">
      <w:pPr>
        <w:shd w:val="clear" w:color="auto" w:fill="FFFFFF"/>
        <w:spacing w:after="0" w:line="240" w:lineRule="auto"/>
        <w:jc w:val="both"/>
        <w:rPr>
          <w:rFonts w:ascii="Arial" w:eastAsia="Times New Roman" w:hAnsi="Arial" w:cs="Arial"/>
          <w:b/>
          <w:sz w:val="20"/>
          <w:szCs w:val="24"/>
          <w:lang w:eastAsia="en-US"/>
        </w:rPr>
      </w:pPr>
    </w:p>
    <w:p w14:paraId="5244D9D4" w14:textId="67392AA8" w:rsidR="00BE0C18" w:rsidRDefault="00BE0C18" w:rsidP="00BE0C18">
      <w:pPr>
        <w:shd w:val="clear" w:color="auto" w:fill="FFFFFF"/>
        <w:spacing w:after="0" w:line="240" w:lineRule="auto"/>
        <w:jc w:val="both"/>
        <w:rPr>
          <w:rFonts w:ascii="Arial" w:eastAsia="Times New Roman" w:hAnsi="Arial" w:cs="Arial"/>
          <w:b/>
          <w:sz w:val="20"/>
          <w:szCs w:val="24"/>
          <w:lang w:eastAsia="en-US"/>
        </w:rPr>
      </w:pPr>
    </w:p>
    <w:p w14:paraId="50032BF0" w14:textId="01F8DEC4" w:rsidR="00725206" w:rsidRDefault="00725206" w:rsidP="00BE0C18">
      <w:pPr>
        <w:shd w:val="clear" w:color="auto" w:fill="FFFFFF"/>
        <w:spacing w:after="0" w:line="240" w:lineRule="auto"/>
        <w:jc w:val="both"/>
        <w:rPr>
          <w:rFonts w:ascii="Arial" w:eastAsia="Times New Roman" w:hAnsi="Arial" w:cs="Arial"/>
          <w:b/>
          <w:sz w:val="20"/>
          <w:szCs w:val="24"/>
          <w:lang w:eastAsia="en-US"/>
        </w:rPr>
      </w:pPr>
    </w:p>
    <w:p w14:paraId="7FF8CC22" w14:textId="3DF63F27" w:rsidR="002C6F39" w:rsidRPr="003A2F86" w:rsidRDefault="002C6F39" w:rsidP="00BE0C18">
      <w:pPr>
        <w:shd w:val="clear" w:color="auto" w:fill="FFFFFF"/>
        <w:spacing w:after="0" w:line="240" w:lineRule="auto"/>
        <w:jc w:val="both"/>
        <w:rPr>
          <w:rFonts w:ascii="Arial" w:eastAsia="Times New Roman" w:hAnsi="Arial" w:cs="Arial"/>
          <w:b/>
          <w:sz w:val="20"/>
          <w:szCs w:val="24"/>
          <w:lang w:eastAsia="en-US"/>
        </w:rPr>
      </w:pPr>
      <w:r w:rsidRPr="002C6F39">
        <w:rPr>
          <w:noProof/>
        </w:rPr>
        <w:lastRenderedPageBreak/>
        <w:drawing>
          <wp:inline distT="0" distB="0" distL="0" distR="0" wp14:anchorId="0843BFB2" wp14:editId="7B6F901F">
            <wp:extent cx="9251950" cy="938530"/>
            <wp:effectExtent l="0" t="0" r="6350" b="0"/>
            <wp:docPr id="21542865"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9251950" cy="938530"/>
                    </a:xfrm>
                    <a:prstGeom prst="rect">
                      <a:avLst/>
                    </a:prstGeom>
                    <a:noFill/>
                    <a:ln>
                      <a:noFill/>
                    </a:ln>
                  </pic:spPr>
                </pic:pic>
              </a:graphicData>
            </a:graphic>
          </wp:inline>
        </w:drawing>
      </w:r>
    </w:p>
    <w:p w14:paraId="36657342" w14:textId="77777777" w:rsidR="00BE0C18" w:rsidRPr="003A2F86" w:rsidRDefault="00BE0C18" w:rsidP="00BE0C18">
      <w:pPr>
        <w:spacing w:after="0" w:line="240" w:lineRule="auto"/>
        <w:jc w:val="right"/>
        <w:rPr>
          <w:rFonts w:ascii="Arial" w:eastAsia="Calibri" w:hAnsi="Arial" w:cs="Arial"/>
          <w:sz w:val="20"/>
          <w:szCs w:val="20"/>
          <w:lang w:eastAsia="en-US"/>
        </w:rPr>
      </w:pPr>
      <w:r w:rsidRPr="003A2F86">
        <w:rPr>
          <w:rFonts w:ascii="Arial" w:eastAsia="Calibri" w:hAnsi="Arial" w:cs="Arial"/>
          <w:b/>
          <w:sz w:val="20"/>
          <w:szCs w:val="20"/>
          <w:lang w:eastAsia="en-US"/>
        </w:rPr>
        <w:t>RAZLOG ODSTUPANJA OD PROŠLOGODIŠNJIH PROJEKCIJA</w:t>
      </w:r>
      <w:r w:rsidRPr="003A2F86">
        <w:rPr>
          <w:rFonts w:ascii="Arial" w:eastAsia="Calibri" w:hAnsi="Arial" w:cs="Arial"/>
          <w:sz w:val="20"/>
          <w:szCs w:val="20"/>
          <w:lang w:eastAsia="en-US"/>
        </w:rPr>
        <w:t>:</w:t>
      </w:r>
    </w:p>
    <w:p w14:paraId="6D036B43" w14:textId="77777777" w:rsidR="00BE0C18" w:rsidRPr="003A2F86" w:rsidRDefault="00BE0C18" w:rsidP="00BE0C18">
      <w:pPr>
        <w:spacing w:after="0" w:line="240" w:lineRule="auto"/>
        <w:jc w:val="right"/>
        <w:rPr>
          <w:rFonts w:ascii="Arial" w:eastAsia="Calibri" w:hAnsi="Arial" w:cs="Arial"/>
          <w:sz w:val="20"/>
          <w:szCs w:val="20"/>
          <w:lang w:eastAsia="en-US"/>
        </w:rPr>
      </w:pPr>
      <w:r w:rsidRPr="003A2F86">
        <w:rPr>
          <w:rFonts w:ascii="Arial" w:eastAsia="Calibri" w:hAnsi="Arial" w:cs="Arial"/>
          <w:sz w:val="20"/>
          <w:szCs w:val="20"/>
          <w:lang w:eastAsia="en-US"/>
        </w:rPr>
        <w:t>Po navedenom programu nije bilo značajnih odstupanja. Nisu korištena sredstva proračunske zalihe.</w:t>
      </w:r>
    </w:p>
    <w:p w14:paraId="3736E3B3" w14:textId="77777777" w:rsidR="00BE0C18" w:rsidRPr="003A2F86" w:rsidRDefault="00BE0C18" w:rsidP="00BE0C18">
      <w:pPr>
        <w:shd w:val="clear" w:color="auto" w:fill="FFFFFF"/>
        <w:spacing w:after="0" w:line="240" w:lineRule="auto"/>
        <w:jc w:val="both"/>
        <w:rPr>
          <w:rFonts w:ascii="Arial" w:eastAsia="Times New Roman" w:hAnsi="Arial" w:cs="Arial"/>
          <w:b/>
          <w:sz w:val="20"/>
          <w:szCs w:val="24"/>
          <w:lang w:eastAsia="en-US"/>
        </w:rPr>
      </w:pPr>
    </w:p>
    <w:p w14:paraId="4FCA1554" w14:textId="77777777" w:rsidR="00BE0C18" w:rsidRPr="003A2F86" w:rsidRDefault="00BE0C18" w:rsidP="00BE0C18">
      <w:pPr>
        <w:shd w:val="clear" w:color="auto" w:fill="FFFFFF"/>
        <w:spacing w:after="0" w:line="240" w:lineRule="auto"/>
        <w:jc w:val="both"/>
        <w:rPr>
          <w:rFonts w:ascii="Arial" w:eastAsia="Times New Roman" w:hAnsi="Arial" w:cs="Arial"/>
          <w:i/>
          <w:sz w:val="20"/>
          <w:szCs w:val="24"/>
          <w:lang w:eastAsia="en-US"/>
        </w:rPr>
      </w:pPr>
      <w:r w:rsidRPr="003A2F86">
        <w:rPr>
          <w:rFonts w:ascii="Arial" w:eastAsia="Times New Roman" w:hAnsi="Arial" w:cs="Arial"/>
          <w:b/>
          <w:sz w:val="20"/>
          <w:szCs w:val="24"/>
          <w:lang w:eastAsia="en-US"/>
        </w:rPr>
        <w:t>Ishodište i pokazatelji na kojima se zasnivaju izračuni i ocjene</w:t>
      </w:r>
      <w:r w:rsidRPr="003A2F86">
        <w:rPr>
          <w:rFonts w:ascii="Arial" w:eastAsia="Times New Roman" w:hAnsi="Arial" w:cs="Arial"/>
          <w:sz w:val="20"/>
          <w:szCs w:val="24"/>
          <w:lang w:eastAsia="en-US"/>
        </w:rPr>
        <w:t xml:space="preserve"> </w:t>
      </w:r>
      <w:r w:rsidRPr="003A2F86">
        <w:rPr>
          <w:rFonts w:ascii="Arial" w:eastAsia="Times New Roman" w:hAnsi="Arial" w:cs="Arial"/>
          <w:b/>
          <w:sz w:val="20"/>
          <w:szCs w:val="24"/>
          <w:lang w:eastAsia="en-US"/>
        </w:rPr>
        <w:t>potrebnih sredstava za provođenje programa:</w:t>
      </w:r>
      <w:r w:rsidRPr="003A2F86">
        <w:rPr>
          <w:rFonts w:ascii="Arial" w:eastAsia="Times New Roman" w:hAnsi="Arial" w:cs="Arial"/>
          <w:sz w:val="20"/>
          <w:szCs w:val="24"/>
          <w:lang w:eastAsia="en-US"/>
        </w:rPr>
        <w:t xml:space="preserve"> Planske veličine su određene u predloženim iznosima temeljem ostvarenih ciljeva i postignutih rezultata iz prethodnih godina, te predviđanja promjena u izvršenju ciljeva u narednom razdoblju.</w:t>
      </w:r>
    </w:p>
    <w:p w14:paraId="16A1266A" w14:textId="77777777" w:rsidR="00BE0C18" w:rsidRPr="003A2F86" w:rsidRDefault="00BE0C18" w:rsidP="00BE0C18">
      <w:pPr>
        <w:shd w:val="clear" w:color="auto" w:fill="FFFFFF"/>
        <w:spacing w:after="0" w:line="240" w:lineRule="auto"/>
        <w:jc w:val="both"/>
        <w:rPr>
          <w:rFonts w:ascii="Arial" w:eastAsia="Calibri" w:hAnsi="Arial" w:cs="Arial"/>
          <w:sz w:val="20"/>
          <w:szCs w:val="20"/>
        </w:rPr>
      </w:pPr>
      <w:r w:rsidRPr="003A2F86">
        <w:rPr>
          <w:rFonts w:ascii="Arial" w:eastAsia="Times New Roman" w:hAnsi="Arial" w:cs="Arial"/>
          <w:b/>
          <w:sz w:val="20"/>
          <w:szCs w:val="24"/>
          <w:lang w:eastAsia="en-US"/>
        </w:rPr>
        <w:t>Izvještaj o postignutim ciljevima i rezultatima programa temeljenim na pokazateljima uspješnosti u prethodnoj godini</w:t>
      </w:r>
      <w:r w:rsidRPr="003A2F86">
        <w:rPr>
          <w:rFonts w:ascii="Arial" w:eastAsia="Times New Roman" w:hAnsi="Arial" w:cs="Arial"/>
          <w:sz w:val="20"/>
          <w:szCs w:val="24"/>
          <w:lang w:eastAsia="en-US"/>
        </w:rPr>
        <w:t xml:space="preserve">: </w:t>
      </w:r>
      <w:r w:rsidRPr="003A2F86">
        <w:rPr>
          <w:rFonts w:ascii="Arial" w:eastAsia="Calibri" w:hAnsi="Arial" w:cs="Arial"/>
          <w:sz w:val="20"/>
          <w:szCs w:val="20"/>
        </w:rPr>
        <w:t xml:space="preserve">Izvršenje je u skladu s očekivanim vrijednostima. </w:t>
      </w:r>
    </w:p>
    <w:p w14:paraId="3F4B5D64" w14:textId="77777777" w:rsidR="00BE0C18" w:rsidRPr="003A2F86" w:rsidRDefault="00BE0C18" w:rsidP="00BE0C18">
      <w:pPr>
        <w:shd w:val="clear" w:color="auto" w:fill="FFFFFF"/>
        <w:spacing w:after="0" w:line="240" w:lineRule="auto"/>
        <w:jc w:val="both"/>
        <w:rPr>
          <w:rFonts w:ascii="Arial" w:eastAsia="Calibri" w:hAnsi="Arial" w:cs="Arial"/>
          <w:sz w:val="20"/>
          <w:szCs w:val="20"/>
        </w:rPr>
      </w:pPr>
    </w:p>
    <w:p w14:paraId="494A9799" w14:textId="46F3AD24" w:rsidR="00BE0C18" w:rsidRPr="003A2F86" w:rsidRDefault="00BE0C18" w:rsidP="00BE0C18">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Ukupno planirana sredstva na razini programa 1020 iznose </w:t>
      </w:r>
      <w:r w:rsidR="00263740">
        <w:rPr>
          <w:rFonts w:ascii="Arial" w:eastAsia="Calibri" w:hAnsi="Arial" w:cs="Arial"/>
          <w:sz w:val="20"/>
          <w:szCs w:val="20"/>
        </w:rPr>
        <w:t>111.100</w:t>
      </w:r>
      <w:r w:rsidRPr="003A2F86">
        <w:rPr>
          <w:rFonts w:ascii="Arial" w:eastAsia="Calibri" w:hAnsi="Arial" w:cs="Arial"/>
          <w:sz w:val="20"/>
          <w:szCs w:val="20"/>
        </w:rPr>
        <w:t xml:space="preserve"> €, dok izvršenje iznosi </w:t>
      </w:r>
      <w:r w:rsidR="002C6F39">
        <w:rPr>
          <w:rFonts w:ascii="Arial" w:eastAsia="Calibri" w:hAnsi="Arial" w:cs="Arial"/>
          <w:sz w:val="20"/>
          <w:szCs w:val="20"/>
        </w:rPr>
        <w:t>78.161</w:t>
      </w:r>
      <w:r w:rsidRPr="003A2F86">
        <w:rPr>
          <w:rFonts w:ascii="Arial" w:eastAsia="Calibri" w:hAnsi="Arial" w:cs="Arial"/>
          <w:sz w:val="20"/>
          <w:szCs w:val="20"/>
        </w:rPr>
        <w:t xml:space="preserve"> €, te je program izvršen u visini </w:t>
      </w:r>
      <w:r w:rsidR="002C6F39">
        <w:rPr>
          <w:rFonts w:ascii="Arial" w:eastAsia="Calibri" w:hAnsi="Arial" w:cs="Arial"/>
          <w:sz w:val="20"/>
          <w:szCs w:val="20"/>
        </w:rPr>
        <w:t>70,4</w:t>
      </w:r>
      <w:r w:rsidRPr="003A2F86">
        <w:rPr>
          <w:rFonts w:ascii="Arial" w:eastAsia="Calibri" w:hAnsi="Arial" w:cs="Arial"/>
          <w:sz w:val="20"/>
          <w:szCs w:val="20"/>
        </w:rPr>
        <w:t>%.</w:t>
      </w:r>
    </w:p>
    <w:p w14:paraId="4DA6B35B" w14:textId="77777777" w:rsidR="00BE0C18" w:rsidRPr="003A2F86" w:rsidRDefault="00BE0C18" w:rsidP="00BE0C18">
      <w:pPr>
        <w:spacing w:after="0" w:line="240" w:lineRule="auto"/>
        <w:jc w:val="both"/>
        <w:rPr>
          <w:rFonts w:ascii="Arial" w:eastAsia="Calibri" w:hAnsi="Arial" w:cs="Arial"/>
          <w:sz w:val="20"/>
          <w:szCs w:val="20"/>
        </w:rPr>
      </w:pPr>
    </w:p>
    <w:p w14:paraId="0F3B7DAF" w14:textId="77777777" w:rsidR="00BE0C18" w:rsidRPr="003A2F86" w:rsidRDefault="00BE0C18">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3A2F86">
        <w:rPr>
          <w:rFonts w:ascii="Arial" w:eastAsia="Calibri" w:hAnsi="Arial" w:cs="Arial"/>
          <w:b/>
          <w:sz w:val="20"/>
          <w:szCs w:val="20"/>
          <w:lang w:eastAsia="en-US"/>
        </w:rPr>
        <w:t>Obrazloženje aktivnosti / projekata i pokazatelji uspješnosti</w:t>
      </w:r>
    </w:p>
    <w:p w14:paraId="78514AF5" w14:textId="77777777" w:rsidR="00BE0C18" w:rsidRPr="003A2F86" w:rsidRDefault="00BE0C18" w:rsidP="00BE0C18">
      <w:pPr>
        <w:spacing w:after="0" w:line="240" w:lineRule="auto"/>
        <w:jc w:val="both"/>
        <w:rPr>
          <w:rFonts w:ascii="Arial" w:eastAsia="Calibri" w:hAnsi="Arial" w:cs="Arial"/>
          <w:sz w:val="20"/>
          <w:szCs w:val="20"/>
          <w:lang w:eastAsia="en-US"/>
        </w:rPr>
      </w:pPr>
    </w:p>
    <w:p w14:paraId="61B59588" w14:textId="77777777" w:rsidR="00BE0C18" w:rsidRPr="003A2F86" w:rsidRDefault="00BE0C18" w:rsidP="00BE0C18">
      <w:pPr>
        <w:spacing w:after="0" w:line="240" w:lineRule="auto"/>
        <w:jc w:val="both"/>
        <w:rPr>
          <w:rFonts w:ascii="Arial" w:eastAsia="Calibri" w:hAnsi="Arial" w:cs="Arial"/>
          <w:sz w:val="20"/>
          <w:szCs w:val="20"/>
        </w:rPr>
      </w:pPr>
      <w:r w:rsidRPr="003A2F86">
        <w:rPr>
          <w:rFonts w:ascii="Arial" w:eastAsia="Calibri" w:hAnsi="Arial" w:cs="Arial"/>
          <w:sz w:val="20"/>
          <w:szCs w:val="20"/>
        </w:rPr>
        <w:t>Unutar programa izvode se slijedeće aktivnosti i projekti:</w:t>
      </w:r>
    </w:p>
    <w:p w14:paraId="0E367E6A" w14:textId="77777777" w:rsidR="00BE0C18" w:rsidRPr="003A2F86" w:rsidRDefault="00BE0C18" w:rsidP="00BE0C18">
      <w:pPr>
        <w:spacing w:after="0" w:line="240" w:lineRule="auto"/>
        <w:jc w:val="both"/>
        <w:rPr>
          <w:rFonts w:ascii="Arial" w:eastAsia="Calibri" w:hAnsi="Arial" w:cs="Arial"/>
          <w:sz w:val="20"/>
          <w:szCs w:val="20"/>
        </w:rPr>
      </w:pPr>
    </w:p>
    <w:p w14:paraId="5B9C7396" w14:textId="3D27033D" w:rsidR="00BE0C18" w:rsidRPr="003A2F86" w:rsidRDefault="00BE0C18" w:rsidP="00BE0C18">
      <w:pPr>
        <w:rPr>
          <w:rFonts w:ascii="Arial" w:eastAsia="Calibri" w:hAnsi="Arial" w:cs="Arial"/>
          <w:sz w:val="20"/>
          <w:szCs w:val="20"/>
          <w:lang w:eastAsia="en-US"/>
        </w:rPr>
      </w:pPr>
      <w:r w:rsidRPr="003A2F86">
        <w:rPr>
          <w:rFonts w:ascii="Arial" w:eastAsia="Calibri" w:hAnsi="Arial" w:cs="Arial"/>
          <w:b/>
          <w:sz w:val="20"/>
          <w:szCs w:val="20"/>
          <w:lang w:eastAsia="en-US"/>
        </w:rPr>
        <w:t xml:space="preserve">1. A102001: Troškovi redovnog rada izvršnog tijela </w:t>
      </w:r>
      <w:r w:rsidRPr="003A2F86">
        <w:rPr>
          <w:rFonts w:ascii="Arial" w:eastAsia="Calibri" w:hAnsi="Arial" w:cs="Arial"/>
          <w:sz w:val="20"/>
          <w:szCs w:val="20"/>
          <w:lang w:eastAsia="en-US"/>
        </w:rPr>
        <w:t xml:space="preserve">– u sklopu navedene aktivnosti su rashodi za plaću načelnika i naknade troškova za službena putovanja. Planirana sredstva za provođenje navedene aktivnosti iznose </w:t>
      </w:r>
      <w:r w:rsidR="00263740">
        <w:rPr>
          <w:rFonts w:ascii="Arial" w:eastAsia="Calibri" w:hAnsi="Arial" w:cs="Arial"/>
          <w:sz w:val="20"/>
          <w:szCs w:val="20"/>
          <w:lang w:eastAsia="en-US"/>
        </w:rPr>
        <w:t>111.100</w:t>
      </w:r>
      <w:r w:rsidRPr="003A2F86">
        <w:rPr>
          <w:rFonts w:ascii="Arial" w:eastAsia="Calibri" w:hAnsi="Arial" w:cs="Arial"/>
          <w:sz w:val="20"/>
          <w:szCs w:val="20"/>
          <w:lang w:eastAsia="en-US"/>
        </w:rPr>
        <w:t xml:space="preserve"> € za 202</w:t>
      </w:r>
      <w:r w:rsidR="00263740">
        <w:rPr>
          <w:rFonts w:ascii="Arial" w:eastAsia="Calibri" w:hAnsi="Arial" w:cs="Arial"/>
          <w:sz w:val="20"/>
          <w:szCs w:val="20"/>
          <w:lang w:eastAsia="en-US"/>
        </w:rPr>
        <w:t>5</w:t>
      </w:r>
      <w:r w:rsidRPr="003A2F86">
        <w:rPr>
          <w:rFonts w:ascii="Arial" w:eastAsia="Calibri" w:hAnsi="Arial" w:cs="Arial"/>
          <w:sz w:val="20"/>
          <w:szCs w:val="20"/>
          <w:lang w:eastAsia="en-US"/>
        </w:rPr>
        <w:t xml:space="preserve">. godinu, te </w:t>
      </w:r>
      <w:r w:rsidR="00263740">
        <w:rPr>
          <w:rFonts w:ascii="Arial" w:eastAsia="Calibri" w:hAnsi="Arial" w:cs="Arial"/>
          <w:sz w:val="20"/>
          <w:szCs w:val="20"/>
          <w:lang w:eastAsia="en-US"/>
        </w:rPr>
        <w:t xml:space="preserve">118.200 </w:t>
      </w:r>
      <w:r w:rsidRPr="003A2F86">
        <w:rPr>
          <w:rFonts w:ascii="Arial" w:eastAsia="Calibri" w:hAnsi="Arial" w:cs="Arial"/>
          <w:sz w:val="20"/>
          <w:szCs w:val="20"/>
          <w:lang w:eastAsia="en-US"/>
        </w:rPr>
        <w:t>€ za 202</w:t>
      </w:r>
      <w:r w:rsidR="00263740">
        <w:rPr>
          <w:rFonts w:ascii="Arial" w:eastAsia="Calibri" w:hAnsi="Arial" w:cs="Arial"/>
          <w:sz w:val="20"/>
          <w:szCs w:val="20"/>
          <w:lang w:eastAsia="en-US"/>
        </w:rPr>
        <w:t>6</w:t>
      </w:r>
      <w:r w:rsidRPr="003A2F86">
        <w:rPr>
          <w:rFonts w:ascii="Arial" w:eastAsia="Calibri" w:hAnsi="Arial" w:cs="Arial"/>
          <w:sz w:val="20"/>
          <w:szCs w:val="20"/>
          <w:lang w:eastAsia="en-US"/>
        </w:rPr>
        <w:t xml:space="preserve">. </w:t>
      </w:r>
      <w:r w:rsidR="00263740">
        <w:rPr>
          <w:rFonts w:ascii="Arial" w:eastAsia="Calibri" w:hAnsi="Arial" w:cs="Arial"/>
          <w:sz w:val="20"/>
          <w:szCs w:val="20"/>
          <w:lang w:eastAsia="en-US"/>
        </w:rPr>
        <w:t xml:space="preserve">i 2027. </w:t>
      </w:r>
      <w:r w:rsidRPr="003A2F86">
        <w:rPr>
          <w:rFonts w:ascii="Arial" w:eastAsia="Calibri" w:hAnsi="Arial" w:cs="Arial"/>
          <w:sz w:val="20"/>
          <w:szCs w:val="20"/>
          <w:lang w:eastAsia="en-US"/>
        </w:rPr>
        <w:t>godinu.</w:t>
      </w:r>
    </w:p>
    <w:p w14:paraId="1C0B1B7C" w14:textId="144BC1CA" w:rsidR="00BE0C18" w:rsidRPr="003A2F86" w:rsidRDefault="00BE0C18" w:rsidP="00BE0C18">
      <w:pPr>
        <w:spacing w:after="0" w:line="240" w:lineRule="auto"/>
        <w:jc w:val="both"/>
        <w:rPr>
          <w:rFonts w:ascii="Arial" w:eastAsia="Calibri" w:hAnsi="Arial" w:cs="Arial"/>
          <w:sz w:val="20"/>
          <w:szCs w:val="20"/>
        </w:rPr>
      </w:pPr>
      <w:r w:rsidRPr="003A2F86">
        <w:rPr>
          <w:rFonts w:ascii="Arial" w:eastAsia="Calibri" w:hAnsi="Arial" w:cs="Arial"/>
          <w:sz w:val="20"/>
          <w:szCs w:val="20"/>
        </w:rPr>
        <w:t>U 202</w:t>
      </w:r>
      <w:r w:rsidR="00263740">
        <w:rPr>
          <w:rFonts w:ascii="Arial" w:eastAsia="Calibri" w:hAnsi="Arial" w:cs="Arial"/>
          <w:sz w:val="20"/>
          <w:szCs w:val="20"/>
        </w:rPr>
        <w:t>5</w:t>
      </w:r>
      <w:r w:rsidRPr="003A2F86">
        <w:rPr>
          <w:rFonts w:ascii="Arial" w:eastAsia="Calibri" w:hAnsi="Arial" w:cs="Arial"/>
          <w:sz w:val="20"/>
          <w:szCs w:val="20"/>
        </w:rPr>
        <w:t xml:space="preserve">. izvršeno je </w:t>
      </w:r>
      <w:r w:rsidR="002C6F39">
        <w:rPr>
          <w:rFonts w:ascii="Arial" w:eastAsia="Calibri" w:hAnsi="Arial" w:cs="Arial"/>
          <w:sz w:val="20"/>
          <w:szCs w:val="20"/>
        </w:rPr>
        <w:t>78.161</w:t>
      </w:r>
      <w:r w:rsidRPr="003A2F86">
        <w:rPr>
          <w:rFonts w:ascii="Arial" w:eastAsia="Calibri" w:hAnsi="Arial" w:cs="Arial"/>
          <w:sz w:val="20"/>
          <w:szCs w:val="20"/>
        </w:rPr>
        <w:t xml:space="preserve"> € ili </w:t>
      </w:r>
      <w:r w:rsidR="00263740">
        <w:rPr>
          <w:rFonts w:ascii="Arial" w:eastAsia="Calibri" w:hAnsi="Arial" w:cs="Arial"/>
          <w:sz w:val="20"/>
          <w:szCs w:val="20"/>
        </w:rPr>
        <w:t>9</w:t>
      </w:r>
      <w:r w:rsidR="002C6F39">
        <w:rPr>
          <w:rFonts w:ascii="Arial" w:eastAsia="Calibri" w:hAnsi="Arial" w:cs="Arial"/>
          <w:sz w:val="20"/>
          <w:szCs w:val="20"/>
        </w:rPr>
        <w:t>6,4</w:t>
      </w:r>
      <w:r w:rsidRPr="003A2F86">
        <w:rPr>
          <w:rFonts w:ascii="Arial" w:eastAsia="Calibri" w:hAnsi="Arial" w:cs="Arial"/>
          <w:sz w:val="20"/>
          <w:szCs w:val="20"/>
        </w:rPr>
        <w:t xml:space="preserve">%. Ovi rashodi se odnose na rashode za zaposlene (31) odnosno rashode za plaće izvršnog tijela u iznosu </w:t>
      </w:r>
      <w:r w:rsidR="00637850">
        <w:rPr>
          <w:rFonts w:ascii="Arial" w:eastAsia="Calibri" w:hAnsi="Arial" w:cs="Arial"/>
          <w:sz w:val="20"/>
          <w:szCs w:val="20"/>
        </w:rPr>
        <w:t>73.498,91</w:t>
      </w:r>
      <w:r w:rsidRPr="003A2F86">
        <w:rPr>
          <w:rFonts w:ascii="Arial" w:eastAsia="Calibri" w:hAnsi="Arial" w:cs="Arial"/>
          <w:sz w:val="20"/>
          <w:szCs w:val="20"/>
        </w:rPr>
        <w:t xml:space="preserve"> € i rashode za službena putovanja </w:t>
      </w:r>
      <w:r w:rsidR="00263740">
        <w:rPr>
          <w:rFonts w:ascii="Arial" w:eastAsia="Calibri" w:hAnsi="Arial" w:cs="Arial"/>
          <w:sz w:val="20"/>
          <w:szCs w:val="20"/>
        </w:rPr>
        <w:t>4.662,09</w:t>
      </w:r>
      <w:r w:rsidRPr="003A2F86">
        <w:rPr>
          <w:rFonts w:ascii="Arial" w:eastAsia="Calibri" w:hAnsi="Arial" w:cs="Arial"/>
          <w:sz w:val="20"/>
          <w:szCs w:val="20"/>
        </w:rPr>
        <w:t xml:space="preserve"> €.</w:t>
      </w:r>
    </w:p>
    <w:p w14:paraId="712A1D4A" w14:textId="77777777" w:rsidR="00BE0C18" w:rsidRPr="003A2F86" w:rsidRDefault="00BE0C18" w:rsidP="00BE0C18">
      <w:pPr>
        <w:spacing w:after="0" w:line="240" w:lineRule="auto"/>
        <w:jc w:val="both"/>
        <w:rPr>
          <w:rFonts w:ascii="Arial" w:eastAsia="Calibri" w:hAnsi="Arial" w:cs="Arial"/>
          <w:sz w:val="20"/>
          <w:szCs w:val="20"/>
        </w:rPr>
      </w:pPr>
    </w:p>
    <w:p w14:paraId="77B29764" w14:textId="77777777" w:rsidR="00BE0C18" w:rsidRDefault="00BE0C18" w:rsidP="00BE0C18">
      <w:pPr>
        <w:spacing w:after="0" w:line="240" w:lineRule="auto"/>
        <w:ind w:left="567"/>
        <w:jc w:val="both"/>
        <w:rPr>
          <w:rFonts w:ascii="Arial" w:eastAsia="Calibri" w:hAnsi="Arial" w:cs="Arial"/>
          <w:sz w:val="18"/>
          <w:szCs w:val="18"/>
        </w:rPr>
      </w:pPr>
      <w:r w:rsidRPr="00596424">
        <w:rPr>
          <w:rFonts w:ascii="Arial" w:eastAsia="Calibri" w:hAnsi="Arial" w:cs="Arial"/>
          <w:sz w:val="18"/>
          <w:szCs w:val="18"/>
        </w:rPr>
        <w:t xml:space="preserve">Nakon nastupanja izvanrednih okolnosti i smanjenih proračunskih prihoda zbog utjecaja pandemije bolesti COVID 19, općinsko vijeće je u ožujku 2020. donijelo odluku prema kojoj su smanjeni koeficijenti za obračuna plaća načelniku za 30%, kao što su smanjene i osnovice za obračun plaća zaposlenika. U prosincu 2020. Općinsko vijeće je donijelo novu odluku prema kojoj je koeficijent za obračun plaće načelniku umanjen za 25% u odnosu na dopuštene koeficijente. Prema navedenom, koeficijent za obračun plaće općinskog načelnika iznosi 3,413. U prosincu 2021. Općinsko vijeće je donijelo odluku prema kojoj koeficijent za obračun plaća načelnika iznosi 3,64, dok prema odluci iz lipnja 2022. koeficijent iznosi 4,05, a prema odluci iz prosinca 2022. koeficijent za obračun plaća iznosi 4,54. </w:t>
      </w:r>
    </w:p>
    <w:p w14:paraId="1966CCBE" w14:textId="77777777" w:rsidR="00BE0C18" w:rsidRDefault="00BE0C18" w:rsidP="00BE0C18">
      <w:pPr>
        <w:spacing w:after="0" w:line="240" w:lineRule="auto"/>
        <w:ind w:left="567"/>
        <w:jc w:val="both"/>
        <w:rPr>
          <w:rFonts w:ascii="Arial" w:eastAsia="Calibri" w:hAnsi="Arial" w:cs="Arial"/>
          <w:sz w:val="18"/>
          <w:szCs w:val="18"/>
        </w:rPr>
      </w:pPr>
    </w:p>
    <w:p w14:paraId="17C960C7" w14:textId="77777777" w:rsidR="00BE0C18" w:rsidRPr="003A2F86" w:rsidRDefault="00BE0C18" w:rsidP="00BE0C18">
      <w:pPr>
        <w:spacing w:after="0" w:line="240" w:lineRule="auto"/>
        <w:jc w:val="both"/>
        <w:rPr>
          <w:rFonts w:ascii="Arial" w:eastAsia="Calibri" w:hAnsi="Arial" w:cs="Arial"/>
          <w:sz w:val="20"/>
          <w:szCs w:val="20"/>
        </w:rPr>
      </w:pPr>
      <w:r w:rsidRPr="003A2F86">
        <w:rPr>
          <w:rFonts w:ascii="Arial" w:eastAsia="Calibri" w:hAnsi="Arial" w:cs="Arial"/>
          <w:sz w:val="20"/>
          <w:szCs w:val="20"/>
        </w:rPr>
        <w:t>Odlukom Općinskog vijeća iz prosinca 2023. godine koeficijent za obračun plać</w:t>
      </w:r>
      <w:r>
        <w:rPr>
          <w:rFonts w:ascii="Arial" w:eastAsia="Calibri" w:hAnsi="Arial" w:cs="Arial"/>
          <w:sz w:val="20"/>
          <w:szCs w:val="20"/>
        </w:rPr>
        <w:t>e načelnika</w:t>
      </w:r>
      <w:r w:rsidRPr="003A2F86">
        <w:rPr>
          <w:rFonts w:ascii="Arial" w:eastAsia="Calibri" w:hAnsi="Arial" w:cs="Arial"/>
          <w:sz w:val="20"/>
          <w:szCs w:val="20"/>
        </w:rPr>
        <w:t xml:space="preserve"> iznosi 4,55.</w:t>
      </w:r>
      <w:r>
        <w:rPr>
          <w:rFonts w:ascii="Arial" w:eastAsia="Calibri" w:hAnsi="Arial" w:cs="Arial"/>
          <w:sz w:val="20"/>
          <w:szCs w:val="20"/>
        </w:rPr>
        <w:t xml:space="preserve"> Odlukom Općinskog vijeća od 22.8.2024., a u svezi Odluke Vlade Republike Hrvatske o visini osnovice za obračun plaće državnih dužnosnika (NN 88/2024), utvrđena je visina osnovice za obračun plaće općinskog načelnika u bruto iznosu 947,18 €.</w:t>
      </w:r>
    </w:p>
    <w:p w14:paraId="23927E46" w14:textId="77777777" w:rsidR="00BE0C18" w:rsidRPr="003A2F86" w:rsidRDefault="00BE0C18" w:rsidP="00BE0C18">
      <w:pPr>
        <w:spacing w:after="0" w:line="240" w:lineRule="auto"/>
        <w:jc w:val="both"/>
        <w:rPr>
          <w:rFonts w:ascii="Arial" w:eastAsia="Calibri" w:hAnsi="Arial" w:cs="Arial"/>
          <w:sz w:val="20"/>
          <w:szCs w:val="20"/>
        </w:rPr>
      </w:pPr>
    </w:p>
    <w:p w14:paraId="4602FDF3" w14:textId="0612BD53" w:rsidR="00BE0C18" w:rsidRPr="003A2F86" w:rsidRDefault="00BE0C18" w:rsidP="00BE0C18">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Rashodi za zaposlene (31) – izvršno tijelo (načelnik i zamjenik načelnika) iznose </w:t>
      </w:r>
      <w:r w:rsidR="00637850">
        <w:rPr>
          <w:rFonts w:ascii="Arial" w:eastAsia="Calibri" w:hAnsi="Arial" w:cs="Arial"/>
          <w:sz w:val="20"/>
          <w:szCs w:val="20"/>
        </w:rPr>
        <w:t>73.498,91</w:t>
      </w:r>
      <w:r w:rsidRPr="003A2F86">
        <w:rPr>
          <w:rFonts w:ascii="Arial" w:eastAsia="Calibri" w:hAnsi="Arial" w:cs="Arial"/>
          <w:sz w:val="20"/>
          <w:szCs w:val="20"/>
        </w:rPr>
        <w:t xml:space="preserve"> € ili 0,</w:t>
      </w:r>
      <w:r w:rsidR="00D63CD6">
        <w:rPr>
          <w:rFonts w:ascii="Arial" w:eastAsia="Calibri" w:hAnsi="Arial" w:cs="Arial"/>
          <w:sz w:val="20"/>
          <w:szCs w:val="20"/>
        </w:rPr>
        <w:t>2</w:t>
      </w:r>
      <w:r w:rsidR="00637850">
        <w:rPr>
          <w:rFonts w:ascii="Arial" w:eastAsia="Calibri" w:hAnsi="Arial" w:cs="Arial"/>
          <w:sz w:val="20"/>
          <w:szCs w:val="20"/>
        </w:rPr>
        <w:t>9</w:t>
      </w:r>
      <w:r w:rsidRPr="003A2F86">
        <w:rPr>
          <w:rFonts w:ascii="Arial" w:eastAsia="Calibri" w:hAnsi="Arial" w:cs="Arial"/>
          <w:sz w:val="20"/>
          <w:szCs w:val="20"/>
        </w:rPr>
        <w:t xml:space="preserve">% ukupnih rashoda (rashodi poslovanja „3“ i rashodi na nabavu nefinancijske imovine „4“), odnosno </w:t>
      </w:r>
      <w:r>
        <w:rPr>
          <w:rFonts w:ascii="Arial" w:eastAsia="Calibri" w:hAnsi="Arial" w:cs="Arial"/>
          <w:sz w:val="20"/>
          <w:szCs w:val="20"/>
        </w:rPr>
        <w:t>0,</w:t>
      </w:r>
      <w:r w:rsidR="00D63CD6">
        <w:rPr>
          <w:rFonts w:ascii="Arial" w:eastAsia="Calibri" w:hAnsi="Arial" w:cs="Arial"/>
          <w:sz w:val="20"/>
          <w:szCs w:val="20"/>
        </w:rPr>
        <w:t>2</w:t>
      </w:r>
      <w:r w:rsidR="00637850">
        <w:rPr>
          <w:rFonts w:ascii="Arial" w:eastAsia="Calibri" w:hAnsi="Arial" w:cs="Arial"/>
          <w:sz w:val="20"/>
          <w:szCs w:val="20"/>
        </w:rPr>
        <w:t>8</w:t>
      </w:r>
      <w:r w:rsidRPr="003A2F86">
        <w:rPr>
          <w:rFonts w:ascii="Arial" w:eastAsia="Calibri" w:hAnsi="Arial" w:cs="Arial"/>
          <w:sz w:val="20"/>
          <w:szCs w:val="20"/>
        </w:rPr>
        <w:t>% ukupnih rashoda i izdataka Općine (rashodi poslovanja „3“ i rashodi na nabavu nefinancijske imovine „4“ uvećani za izdatke za financijsku imovinu i otplate zajmova „5“).</w:t>
      </w:r>
    </w:p>
    <w:p w14:paraId="7BD527CB" w14:textId="77777777" w:rsidR="00BE0C18" w:rsidRPr="003A2F86" w:rsidRDefault="00BE0C18" w:rsidP="00BE0C18">
      <w:pPr>
        <w:spacing w:after="0" w:line="240" w:lineRule="auto"/>
        <w:jc w:val="both"/>
        <w:rPr>
          <w:rFonts w:ascii="Arial" w:eastAsia="Calibri" w:hAnsi="Arial" w:cs="Arial"/>
          <w:b/>
          <w:sz w:val="20"/>
          <w:szCs w:val="20"/>
        </w:rPr>
      </w:pPr>
    </w:p>
    <w:p w14:paraId="3B6492C1" w14:textId="77777777" w:rsidR="00BE0C18" w:rsidRPr="003A2F86" w:rsidRDefault="00BE0C18" w:rsidP="00BE0C18">
      <w:pPr>
        <w:spacing w:after="0" w:line="240" w:lineRule="auto"/>
        <w:jc w:val="both"/>
        <w:rPr>
          <w:rFonts w:ascii="Arial" w:eastAsia="Calibri" w:hAnsi="Arial" w:cs="Arial"/>
          <w:b/>
          <w:sz w:val="20"/>
          <w:szCs w:val="20"/>
        </w:rPr>
      </w:pPr>
    </w:p>
    <w:tbl>
      <w:tblPr>
        <w:tblStyle w:val="Reetkatablice536"/>
        <w:tblW w:w="13909" w:type="dxa"/>
        <w:jc w:val="center"/>
        <w:tblLayout w:type="fixed"/>
        <w:tblLook w:val="04A0" w:firstRow="1" w:lastRow="0" w:firstColumn="1" w:lastColumn="0" w:noHBand="0" w:noVBand="1"/>
      </w:tblPr>
      <w:tblGrid>
        <w:gridCol w:w="2950"/>
        <w:gridCol w:w="2995"/>
        <w:gridCol w:w="993"/>
        <w:gridCol w:w="1134"/>
        <w:gridCol w:w="1276"/>
        <w:gridCol w:w="1276"/>
        <w:gridCol w:w="1095"/>
        <w:gridCol w:w="1095"/>
        <w:gridCol w:w="1095"/>
      </w:tblGrid>
      <w:tr w:rsidR="00BE0C18" w:rsidRPr="003A2F86" w14:paraId="152AF1CB" w14:textId="77777777" w:rsidTr="00410A4B">
        <w:trPr>
          <w:jc w:val="center"/>
        </w:trPr>
        <w:tc>
          <w:tcPr>
            <w:tcW w:w="2950" w:type="dxa"/>
            <w:shd w:val="clear" w:color="auto" w:fill="BFBFBF"/>
            <w:vAlign w:val="center"/>
          </w:tcPr>
          <w:p w14:paraId="1C5EC145" w14:textId="77777777" w:rsidR="00BE0C18" w:rsidRPr="003A2F86" w:rsidRDefault="00BE0C18" w:rsidP="00410A4B">
            <w:pPr>
              <w:jc w:val="center"/>
              <w:rPr>
                <w:rFonts w:ascii="Arial" w:eastAsia="Calibri" w:hAnsi="Arial" w:cs="Arial"/>
              </w:rPr>
            </w:pPr>
            <w:bookmarkStart w:id="357" w:name="_Hlk88143498"/>
            <w:bookmarkStart w:id="358" w:name="_Hlk144729091"/>
            <w:r w:rsidRPr="003A2F86">
              <w:rPr>
                <w:rFonts w:ascii="Arial" w:eastAsia="Calibri" w:hAnsi="Arial" w:cs="Arial"/>
              </w:rPr>
              <w:lastRenderedPageBreak/>
              <w:t>Pokazatelj rezultata</w:t>
            </w:r>
          </w:p>
        </w:tc>
        <w:tc>
          <w:tcPr>
            <w:tcW w:w="2995" w:type="dxa"/>
            <w:shd w:val="clear" w:color="auto" w:fill="BFBFBF"/>
            <w:vAlign w:val="center"/>
          </w:tcPr>
          <w:p w14:paraId="7A292EA8" w14:textId="77777777" w:rsidR="00BE0C18" w:rsidRPr="003A2F86" w:rsidRDefault="00BE0C18" w:rsidP="00410A4B">
            <w:pPr>
              <w:jc w:val="center"/>
              <w:rPr>
                <w:rFonts w:ascii="Arial" w:eastAsia="Calibri" w:hAnsi="Arial" w:cs="Arial"/>
              </w:rPr>
            </w:pPr>
            <w:r w:rsidRPr="003A2F86">
              <w:rPr>
                <w:rFonts w:ascii="Arial" w:eastAsia="Calibri" w:hAnsi="Arial" w:cs="Arial"/>
              </w:rPr>
              <w:t>Definicija</w:t>
            </w:r>
          </w:p>
        </w:tc>
        <w:tc>
          <w:tcPr>
            <w:tcW w:w="993" w:type="dxa"/>
            <w:shd w:val="clear" w:color="auto" w:fill="BFBFBF"/>
            <w:vAlign w:val="center"/>
          </w:tcPr>
          <w:p w14:paraId="18EFE4E2" w14:textId="77777777" w:rsidR="00BE0C18" w:rsidRPr="003A2F86" w:rsidRDefault="00BE0C18" w:rsidP="00410A4B">
            <w:pPr>
              <w:jc w:val="center"/>
              <w:rPr>
                <w:rFonts w:ascii="Arial" w:eastAsia="Calibri" w:hAnsi="Arial" w:cs="Arial"/>
              </w:rPr>
            </w:pPr>
            <w:r w:rsidRPr="003A2F86">
              <w:rPr>
                <w:rFonts w:ascii="Arial" w:eastAsia="Calibri" w:hAnsi="Arial" w:cs="Arial"/>
              </w:rPr>
              <w:t>Jedinica</w:t>
            </w:r>
          </w:p>
        </w:tc>
        <w:tc>
          <w:tcPr>
            <w:tcW w:w="1134" w:type="dxa"/>
            <w:shd w:val="clear" w:color="auto" w:fill="BFBFBF"/>
            <w:vAlign w:val="center"/>
          </w:tcPr>
          <w:p w14:paraId="462C83B3" w14:textId="77777777" w:rsidR="00BE0C18" w:rsidRPr="003A2F86" w:rsidRDefault="00BE0C18" w:rsidP="00410A4B">
            <w:pPr>
              <w:jc w:val="center"/>
              <w:rPr>
                <w:rFonts w:ascii="Arial" w:eastAsia="Calibri" w:hAnsi="Arial" w:cs="Arial"/>
              </w:rPr>
            </w:pPr>
            <w:r w:rsidRPr="003A2F86">
              <w:rPr>
                <w:rFonts w:ascii="Arial" w:eastAsia="Calibri" w:hAnsi="Arial" w:cs="Arial"/>
              </w:rPr>
              <w:t>Izvor podataka</w:t>
            </w:r>
          </w:p>
        </w:tc>
        <w:tc>
          <w:tcPr>
            <w:tcW w:w="1276" w:type="dxa"/>
            <w:shd w:val="clear" w:color="auto" w:fill="BFBFBF"/>
            <w:vAlign w:val="center"/>
          </w:tcPr>
          <w:p w14:paraId="34C53C73" w14:textId="4ECFE8B1" w:rsidR="00BE0C18" w:rsidRPr="003A2F86" w:rsidRDefault="00BE0C18" w:rsidP="00410A4B">
            <w:pPr>
              <w:jc w:val="center"/>
              <w:rPr>
                <w:rFonts w:ascii="Arial" w:eastAsia="Calibri" w:hAnsi="Arial" w:cs="Arial"/>
              </w:rPr>
            </w:pPr>
            <w:r w:rsidRPr="003A2F86">
              <w:rPr>
                <w:rFonts w:ascii="Arial" w:eastAsia="Calibri" w:hAnsi="Arial" w:cs="Arial"/>
              </w:rPr>
              <w:t>Polazna vrijednost 202</w:t>
            </w:r>
            <w:r w:rsidR="003E1C1B">
              <w:rPr>
                <w:rFonts w:ascii="Arial" w:eastAsia="Calibri" w:hAnsi="Arial" w:cs="Arial"/>
              </w:rPr>
              <w:t>4</w:t>
            </w:r>
            <w:r w:rsidRPr="003A2F86">
              <w:rPr>
                <w:rFonts w:ascii="Arial" w:eastAsia="Calibri" w:hAnsi="Arial" w:cs="Arial"/>
              </w:rPr>
              <w:t>.</w:t>
            </w:r>
          </w:p>
        </w:tc>
        <w:tc>
          <w:tcPr>
            <w:tcW w:w="1276" w:type="dxa"/>
            <w:shd w:val="clear" w:color="auto" w:fill="BFBFBF"/>
            <w:vAlign w:val="center"/>
          </w:tcPr>
          <w:p w14:paraId="0DACDA20" w14:textId="4858FC6C" w:rsidR="00BE0C18" w:rsidRPr="003A2F86" w:rsidRDefault="00BE0C18" w:rsidP="00410A4B">
            <w:pPr>
              <w:jc w:val="center"/>
              <w:rPr>
                <w:rFonts w:ascii="Arial" w:eastAsia="Calibri" w:hAnsi="Arial" w:cs="Arial"/>
              </w:rPr>
            </w:pPr>
            <w:r w:rsidRPr="003A2F86">
              <w:rPr>
                <w:rFonts w:ascii="Arial" w:eastAsia="Calibri" w:hAnsi="Arial" w:cs="Arial"/>
              </w:rPr>
              <w:t>Ciljana vrijednost 202</w:t>
            </w:r>
            <w:r w:rsidR="003E1C1B">
              <w:rPr>
                <w:rFonts w:ascii="Arial" w:eastAsia="Calibri" w:hAnsi="Arial" w:cs="Arial"/>
              </w:rPr>
              <w:t>5</w:t>
            </w:r>
            <w:r w:rsidRPr="003A2F86">
              <w:rPr>
                <w:rFonts w:ascii="Arial" w:eastAsia="Calibri" w:hAnsi="Arial" w:cs="Arial"/>
              </w:rPr>
              <w:t>.</w:t>
            </w:r>
          </w:p>
        </w:tc>
        <w:tc>
          <w:tcPr>
            <w:tcW w:w="1095" w:type="dxa"/>
            <w:shd w:val="clear" w:color="auto" w:fill="BFBFBF"/>
            <w:vAlign w:val="center"/>
          </w:tcPr>
          <w:p w14:paraId="3B38C901" w14:textId="65D134BA" w:rsidR="00BE0C18" w:rsidRPr="003A2F86" w:rsidRDefault="00BE0C18" w:rsidP="00410A4B">
            <w:pPr>
              <w:jc w:val="center"/>
              <w:rPr>
                <w:rFonts w:ascii="Arial" w:eastAsia="Calibri" w:hAnsi="Arial" w:cs="Arial"/>
              </w:rPr>
            </w:pPr>
            <w:r w:rsidRPr="003A2F86">
              <w:rPr>
                <w:rFonts w:ascii="Arial" w:eastAsia="Calibri" w:hAnsi="Arial" w:cs="Arial"/>
              </w:rPr>
              <w:t>Izvršeno 20</w:t>
            </w:r>
            <w:r w:rsidR="003E1C1B">
              <w:rPr>
                <w:rFonts w:ascii="Arial" w:eastAsia="Calibri" w:hAnsi="Arial" w:cs="Arial"/>
              </w:rPr>
              <w:t>25</w:t>
            </w:r>
            <w:r w:rsidRPr="003A2F86">
              <w:rPr>
                <w:rFonts w:ascii="Arial" w:eastAsia="Calibri" w:hAnsi="Arial" w:cs="Arial"/>
              </w:rPr>
              <w:t xml:space="preserve">. </w:t>
            </w:r>
          </w:p>
        </w:tc>
        <w:tc>
          <w:tcPr>
            <w:tcW w:w="1095" w:type="dxa"/>
            <w:shd w:val="clear" w:color="auto" w:fill="BFBFBF"/>
          </w:tcPr>
          <w:p w14:paraId="0C83FADE" w14:textId="3A98368B" w:rsidR="00BE0C18" w:rsidRPr="003A2F86" w:rsidRDefault="00BE0C18" w:rsidP="00410A4B">
            <w:pPr>
              <w:jc w:val="center"/>
              <w:rPr>
                <w:rFonts w:ascii="Arial" w:eastAsia="Calibri" w:hAnsi="Arial" w:cs="Arial"/>
              </w:rPr>
            </w:pPr>
            <w:r w:rsidRPr="003A2F86">
              <w:rPr>
                <w:rFonts w:ascii="Arial" w:eastAsia="Calibri" w:hAnsi="Arial" w:cs="Arial"/>
              </w:rPr>
              <w:t>Ciljana vrijednost 202</w:t>
            </w:r>
            <w:r w:rsidR="003E1C1B">
              <w:rPr>
                <w:rFonts w:ascii="Arial" w:eastAsia="Calibri" w:hAnsi="Arial" w:cs="Arial"/>
              </w:rPr>
              <w:t>6</w:t>
            </w:r>
            <w:r w:rsidRPr="003A2F86">
              <w:rPr>
                <w:rFonts w:ascii="Arial" w:eastAsia="Calibri" w:hAnsi="Arial" w:cs="Arial"/>
              </w:rPr>
              <w:t>.</w:t>
            </w:r>
          </w:p>
        </w:tc>
        <w:tc>
          <w:tcPr>
            <w:tcW w:w="1095" w:type="dxa"/>
            <w:shd w:val="clear" w:color="auto" w:fill="BFBFBF"/>
          </w:tcPr>
          <w:p w14:paraId="3E3BBF69" w14:textId="03EC2EE4" w:rsidR="00BE0C18" w:rsidRPr="003A2F86" w:rsidRDefault="00BE0C18" w:rsidP="00410A4B">
            <w:pPr>
              <w:jc w:val="center"/>
              <w:rPr>
                <w:rFonts w:ascii="Arial" w:eastAsia="Calibri" w:hAnsi="Arial" w:cs="Arial"/>
              </w:rPr>
            </w:pPr>
            <w:r w:rsidRPr="003A2F86">
              <w:rPr>
                <w:rFonts w:ascii="Arial" w:eastAsia="Calibri" w:hAnsi="Arial" w:cs="Arial"/>
              </w:rPr>
              <w:t>Ciljana vrijednost 20</w:t>
            </w:r>
            <w:r w:rsidR="003E1C1B">
              <w:rPr>
                <w:rFonts w:ascii="Arial" w:eastAsia="Calibri" w:hAnsi="Arial" w:cs="Arial"/>
              </w:rPr>
              <w:t>27</w:t>
            </w:r>
            <w:r w:rsidRPr="003A2F86">
              <w:rPr>
                <w:rFonts w:ascii="Arial" w:eastAsia="Calibri" w:hAnsi="Arial" w:cs="Arial"/>
              </w:rPr>
              <w:t>.</w:t>
            </w:r>
          </w:p>
        </w:tc>
      </w:tr>
      <w:tr w:rsidR="00BE0C18" w:rsidRPr="003A2F86" w14:paraId="293AEC59" w14:textId="77777777" w:rsidTr="00410A4B">
        <w:trPr>
          <w:trHeight w:val="1031"/>
          <w:jc w:val="center"/>
        </w:trPr>
        <w:tc>
          <w:tcPr>
            <w:tcW w:w="2950" w:type="dxa"/>
            <w:tcBorders>
              <w:top w:val="single" w:sz="4" w:space="0" w:color="auto"/>
              <w:left w:val="single" w:sz="4" w:space="0" w:color="auto"/>
              <w:bottom w:val="single" w:sz="4" w:space="0" w:color="auto"/>
              <w:right w:val="single" w:sz="4" w:space="0" w:color="auto"/>
            </w:tcBorders>
            <w:vAlign w:val="center"/>
          </w:tcPr>
          <w:p w14:paraId="2B8AB9A3" w14:textId="77777777" w:rsidR="00BE0C18" w:rsidRPr="003A2F86" w:rsidRDefault="00BE0C18" w:rsidP="00410A4B">
            <w:pPr>
              <w:rPr>
                <w:rFonts w:ascii="Arial" w:hAnsi="Arial" w:cs="Arial"/>
              </w:rPr>
            </w:pPr>
            <w:r w:rsidRPr="003A2F86">
              <w:rPr>
                <w:rFonts w:ascii="Arial" w:hAnsi="Arial" w:cs="Arial"/>
              </w:rPr>
              <w:t>Neometano funkcioniranje izvršnog tijela Općine sukladno zakonskoj regulativi</w:t>
            </w:r>
          </w:p>
        </w:tc>
        <w:tc>
          <w:tcPr>
            <w:tcW w:w="2995" w:type="dxa"/>
            <w:tcBorders>
              <w:top w:val="single" w:sz="4" w:space="0" w:color="auto"/>
              <w:left w:val="single" w:sz="4" w:space="0" w:color="auto"/>
              <w:bottom w:val="single" w:sz="4" w:space="0" w:color="auto"/>
              <w:right w:val="single" w:sz="4" w:space="0" w:color="auto"/>
            </w:tcBorders>
            <w:vAlign w:val="center"/>
          </w:tcPr>
          <w:p w14:paraId="0400613C" w14:textId="77777777" w:rsidR="00BE0C18" w:rsidRPr="003A2F86" w:rsidRDefault="00BE0C18" w:rsidP="00410A4B">
            <w:pPr>
              <w:rPr>
                <w:rFonts w:ascii="Arial" w:hAnsi="Arial" w:cs="Arial"/>
              </w:rPr>
            </w:pPr>
            <w:r w:rsidRPr="003A2F86">
              <w:rPr>
                <w:rFonts w:ascii="Arial" w:hAnsi="Arial" w:cs="Arial"/>
              </w:rPr>
              <w:t>Uredno izvršavanje financijskih obveza koje izvršno tijelo Općine ima u ostvarenju programa rada</w:t>
            </w:r>
          </w:p>
        </w:tc>
        <w:tc>
          <w:tcPr>
            <w:tcW w:w="993" w:type="dxa"/>
            <w:tcBorders>
              <w:top w:val="single" w:sz="4" w:space="0" w:color="auto"/>
              <w:left w:val="single" w:sz="4" w:space="0" w:color="auto"/>
              <w:bottom w:val="single" w:sz="4" w:space="0" w:color="auto"/>
              <w:right w:val="single" w:sz="4" w:space="0" w:color="auto"/>
            </w:tcBorders>
            <w:vAlign w:val="center"/>
          </w:tcPr>
          <w:p w14:paraId="1D9EE50F" w14:textId="77777777" w:rsidR="00BE0C18" w:rsidRPr="003A2F86" w:rsidRDefault="00BE0C18" w:rsidP="00410A4B">
            <w:pPr>
              <w:jc w:val="center"/>
              <w:rPr>
                <w:rFonts w:ascii="Arial" w:hAnsi="Arial" w:cs="Arial"/>
              </w:rPr>
            </w:pPr>
            <w:r w:rsidRPr="003A2F86">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73C63501" w14:textId="77777777" w:rsidR="00BE0C18" w:rsidRPr="003A2F86" w:rsidRDefault="00BE0C18" w:rsidP="00410A4B">
            <w:pPr>
              <w:jc w:val="center"/>
              <w:rPr>
                <w:rFonts w:ascii="Arial" w:hAnsi="Arial" w:cs="Arial"/>
              </w:rPr>
            </w:pPr>
            <w:r w:rsidRPr="003A2F86">
              <w:rPr>
                <w:rFonts w:ascii="Arial" w:hAnsi="Arial" w:cs="Arial"/>
              </w:rPr>
              <w:t>Općina</w:t>
            </w:r>
          </w:p>
        </w:tc>
        <w:tc>
          <w:tcPr>
            <w:tcW w:w="1276" w:type="dxa"/>
            <w:vAlign w:val="center"/>
          </w:tcPr>
          <w:p w14:paraId="15EC6F49" w14:textId="77777777" w:rsidR="00BE0C18" w:rsidRPr="003A2F86" w:rsidRDefault="00BE0C18" w:rsidP="00410A4B">
            <w:pPr>
              <w:jc w:val="center"/>
              <w:rPr>
                <w:rFonts w:ascii="Arial" w:hAnsi="Arial" w:cs="Arial"/>
              </w:rPr>
            </w:pPr>
            <w:r w:rsidRPr="003A2F86">
              <w:rPr>
                <w:rFonts w:ascii="Arial" w:hAnsi="Arial" w:cs="Arial"/>
              </w:rPr>
              <w:t>100 %</w:t>
            </w:r>
          </w:p>
        </w:tc>
        <w:tc>
          <w:tcPr>
            <w:tcW w:w="1276" w:type="dxa"/>
            <w:vAlign w:val="center"/>
          </w:tcPr>
          <w:p w14:paraId="2A760A2E" w14:textId="77777777" w:rsidR="00BE0C18" w:rsidRPr="003A2F86" w:rsidRDefault="00BE0C18" w:rsidP="00410A4B">
            <w:pPr>
              <w:jc w:val="center"/>
              <w:rPr>
                <w:rFonts w:ascii="Arial" w:hAnsi="Arial" w:cs="Arial"/>
              </w:rPr>
            </w:pPr>
            <w:r w:rsidRPr="003A2F86">
              <w:rPr>
                <w:rFonts w:ascii="Arial" w:hAnsi="Arial" w:cs="Arial"/>
              </w:rPr>
              <w:t>100 %</w:t>
            </w:r>
          </w:p>
        </w:tc>
        <w:tc>
          <w:tcPr>
            <w:tcW w:w="1095" w:type="dxa"/>
            <w:vAlign w:val="center"/>
          </w:tcPr>
          <w:p w14:paraId="0D714534" w14:textId="77777777" w:rsidR="00BE0C18" w:rsidRPr="003A2F86" w:rsidRDefault="00BE0C18" w:rsidP="00410A4B">
            <w:pPr>
              <w:jc w:val="center"/>
              <w:rPr>
                <w:rFonts w:ascii="Arial" w:hAnsi="Arial" w:cs="Arial"/>
              </w:rPr>
            </w:pPr>
            <w:r w:rsidRPr="003A2F86">
              <w:rPr>
                <w:rFonts w:ascii="Arial" w:hAnsi="Arial" w:cs="Arial"/>
              </w:rPr>
              <w:t>100%</w:t>
            </w:r>
          </w:p>
        </w:tc>
        <w:tc>
          <w:tcPr>
            <w:tcW w:w="1095" w:type="dxa"/>
            <w:vAlign w:val="center"/>
          </w:tcPr>
          <w:p w14:paraId="4D78A219" w14:textId="77777777" w:rsidR="00BE0C18" w:rsidRPr="003A2F86" w:rsidRDefault="00BE0C18" w:rsidP="00410A4B">
            <w:pPr>
              <w:jc w:val="center"/>
              <w:rPr>
                <w:rFonts w:ascii="Arial" w:hAnsi="Arial" w:cs="Arial"/>
              </w:rPr>
            </w:pPr>
            <w:r w:rsidRPr="003A2F86">
              <w:rPr>
                <w:rFonts w:ascii="Arial" w:hAnsi="Arial" w:cs="Arial"/>
              </w:rPr>
              <w:t>100 %</w:t>
            </w:r>
          </w:p>
        </w:tc>
        <w:tc>
          <w:tcPr>
            <w:tcW w:w="1095" w:type="dxa"/>
            <w:vAlign w:val="center"/>
          </w:tcPr>
          <w:p w14:paraId="27EF7A7E" w14:textId="77777777" w:rsidR="00BE0C18" w:rsidRPr="003A2F86" w:rsidRDefault="00BE0C18" w:rsidP="00410A4B">
            <w:pPr>
              <w:jc w:val="center"/>
              <w:rPr>
                <w:rFonts w:ascii="Arial" w:hAnsi="Arial" w:cs="Arial"/>
              </w:rPr>
            </w:pPr>
            <w:r w:rsidRPr="003A2F86">
              <w:rPr>
                <w:rFonts w:ascii="Arial" w:hAnsi="Arial" w:cs="Arial"/>
              </w:rPr>
              <w:t>100 %</w:t>
            </w:r>
          </w:p>
        </w:tc>
      </w:tr>
      <w:bookmarkEnd w:id="357"/>
    </w:tbl>
    <w:p w14:paraId="5489CB20" w14:textId="77777777" w:rsidR="00BE0C18" w:rsidRPr="003A2F86" w:rsidRDefault="00BE0C18" w:rsidP="00BE0C18">
      <w:pPr>
        <w:spacing w:after="0" w:line="240" w:lineRule="auto"/>
        <w:rPr>
          <w:rFonts w:ascii="Arial" w:eastAsia="Calibri" w:hAnsi="Arial" w:cs="Arial"/>
        </w:rPr>
      </w:pPr>
    </w:p>
    <w:bookmarkEnd w:id="358"/>
    <w:p w14:paraId="45427EB0" w14:textId="7D45FFC6" w:rsidR="00BE0C18" w:rsidRPr="003A2F86" w:rsidRDefault="00BE0C18" w:rsidP="00BE0C18">
      <w:pPr>
        <w:spacing w:after="0" w:line="240" w:lineRule="auto"/>
        <w:jc w:val="both"/>
        <w:rPr>
          <w:rFonts w:ascii="Arial" w:eastAsia="Calibri" w:hAnsi="Arial" w:cs="Arial"/>
          <w:sz w:val="20"/>
          <w:szCs w:val="20"/>
          <w:lang w:eastAsia="en-US"/>
        </w:rPr>
      </w:pPr>
      <w:r w:rsidRPr="003A2F86">
        <w:rPr>
          <w:rFonts w:ascii="Arial" w:eastAsia="Calibri" w:hAnsi="Arial" w:cs="Arial"/>
          <w:b/>
          <w:sz w:val="20"/>
          <w:szCs w:val="20"/>
          <w:lang w:eastAsia="en-US"/>
        </w:rPr>
        <w:t xml:space="preserve">2. A102002: Proračunska zaliha </w:t>
      </w:r>
      <w:r w:rsidRPr="003A2F86">
        <w:rPr>
          <w:rFonts w:ascii="Arial" w:eastAsia="Calibri" w:hAnsi="Arial" w:cs="Arial"/>
          <w:sz w:val="20"/>
          <w:szCs w:val="20"/>
          <w:lang w:eastAsia="en-US"/>
        </w:rPr>
        <w:t>– u sklopu navedene aktivnosti planirani su rashodi za nepredviđene rashode i izdatke u visini 30.000 €. Sredstva na stavci Proračunske zalihe mogu iznositi najviše do 0,5% planiranih općih prihoda proračuna tekuće godine.</w:t>
      </w:r>
      <w:r w:rsidR="003E1C1B">
        <w:rPr>
          <w:rFonts w:ascii="Arial" w:eastAsia="Calibri" w:hAnsi="Arial" w:cs="Arial"/>
          <w:sz w:val="20"/>
          <w:szCs w:val="20"/>
          <w:lang w:eastAsia="en-US"/>
        </w:rPr>
        <w:t xml:space="preserve"> </w:t>
      </w:r>
    </w:p>
    <w:p w14:paraId="23030DA4" w14:textId="7D3FE856" w:rsidR="00BE0C18" w:rsidRPr="003A2F86" w:rsidRDefault="00BE0C18" w:rsidP="00BE0C18">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 xml:space="preserve">Sredstva proračunske zalihe mogu se koristiti za financiranje rashoda nastalih pri otklanjanju posljedica elementarnih nepogoda, epidemija, ekoloških i ostalih nepredvidivih nesreća odnosno izvanrednih događaja tijekom godine. </w:t>
      </w:r>
      <w:r w:rsidR="003E1C1B">
        <w:rPr>
          <w:rFonts w:ascii="Arial" w:eastAsia="Calibri" w:hAnsi="Arial" w:cs="Arial"/>
          <w:sz w:val="20"/>
          <w:szCs w:val="20"/>
          <w:lang w:eastAsia="en-US"/>
        </w:rPr>
        <w:t>Ovi rashodi nisu izvršavani.</w:t>
      </w:r>
    </w:p>
    <w:p w14:paraId="472F0F0A" w14:textId="77777777" w:rsidR="00BE0C18" w:rsidRPr="003A2F86" w:rsidRDefault="00BE0C18" w:rsidP="00BE0C18">
      <w:pPr>
        <w:spacing w:after="0" w:line="240" w:lineRule="auto"/>
        <w:jc w:val="both"/>
        <w:rPr>
          <w:rFonts w:ascii="Arial" w:eastAsia="Calibri" w:hAnsi="Arial" w:cs="Arial"/>
          <w:sz w:val="20"/>
          <w:szCs w:val="20"/>
        </w:rPr>
      </w:pPr>
    </w:p>
    <w:p w14:paraId="7360D0E4" w14:textId="77777777" w:rsidR="00BE0C18" w:rsidRPr="003A2F86" w:rsidRDefault="00BE0C18" w:rsidP="00BE0C18">
      <w:pPr>
        <w:spacing w:after="0" w:line="240" w:lineRule="auto"/>
        <w:jc w:val="both"/>
        <w:rPr>
          <w:rFonts w:ascii="Arial" w:eastAsia="Times New Roman" w:hAnsi="Arial" w:cs="Arial"/>
          <w:sz w:val="20"/>
          <w:szCs w:val="20"/>
          <w:lang w:eastAsia="en-US"/>
        </w:rPr>
      </w:pPr>
      <w:r w:rsidRPr="003A2F86">
        <w:rPr>
          <w:rFonts w:ascii="Arial" w:eastAsia="Times New Roman" w:hAnsi="Arial" w:cs="Arial"/>
          <w:sz w:val="20"/>
          <w:szCs w:val="20"/>
          <w:lang w:eastAsia="en-US"/>
        </w:rPr>
        <w:t>Visina sredstava proračunske zalihe utvrđuje se Odlukom o izvršavanju proračuna.</w:t>
      </w:r>
    </w:p>
    <w:p w14:paraId="643AA7FF" w14:textId="77777777" w:rsidR="00BE0C18" w:rsidRPr="003A2F86" w:rsidRDefault="00BE0C18" w:rsidP="00BE0C18">
      <w:pPr>
        <w:spacing w:after="0" w:line="240" w:lineRule="auto"/>
        <w:jc w:val="both"/>
        <w:rPr>
          <w:rFonts w:ascii="Arial" w:eastAsia="Calibri" w:hAnsi="Arial" w:cs="Arial"/>
          <w:sz w:val="20"/>
          <w:szCs w:val="20"/>
          <w:lang w:eastAsia="en-US"/>
        </w:rPr>
      </w:pPr>
    </w:p>
    <w:tbl>
      <w:tblPr>
        <w:tblStyle w:val="Reetkatablice536"/>
        <w:tblW w:w="13728" w:type="dxa"/>
        <w:jc w:val="center"/>
        <w:tblLayout w:type="fixed"/>
        <w:tblLook w:val="04A0" w:firstRow="1" w:lastRow="0" w:firstColumn="1" w:lastColumn="0" w:noHBand="0" w:noVBand="1"/>
      </w:tblPr>
      <w:tblGrid>
        <w:gridCol w:w="2950"/>
        <w:gridCol w:w="2995"/>
        <w:gridCol w:w="993"/>
        <w:gridCol w:w="1134"/>
        <w:gridCol w:w="1276"/>
        <w:gridCol w:w="1095"/>
        <w:gridCol w:w="1095"/>
        <w:gridCol w:w="1095"/>
        <w:gridCol w:w="1095"/>
      </w:tblGrid>
      <w:tr w:rsidR="00BE0C18" w:rsidRPr="003A2F86" w14:paraId="3BEC23D2" w14:textId="77777777" w:rsidTr="00410A4B">
        <w:trPr>
          <w:jc w:val="center"/>
        </w:trPr>
        <w:tc>
          <w:tcPr>
            <w:tcW w:w="2950" w:type="dxa"/>
            <w:shd w:val="clear" w:color="auto" w:fill="BFBFBF"/>
            <w:vAlign w:val="center"/>
          </w:tcPr>
          <w:p w14:paraId="394BD481" w14:textId="77777777" w:rsidR="00BE0C18" w:rsidRPr="003A2F86" w:rsidRDefault="00BE0C18" w:rsidP="00410A4B">
            <w:pPr>
              <w:jc w:val="center"/>
              <w:rPr>
                <w:rFonts w:ascii="Arial" w:eastAsia="Calibri" w:hAnsi="Arial" w:cs="Arial"/>
                <w:lang w:eastAsia="en-US"/>
              </w:rPr>
            </w:pPr>
            <w:r w:rsidRPr="003A2F86">
              <w:rPr>
                <w:rFonts w:ascii="Arial" w:eastAsia="Calibri" w:hAnsi="Arial" w:cs="Arial"/>
                <w:lang w:eastAsia="en-US"/>
              </w:rPr>
              <w:t>Pokazatelj rezultata</w:t>
            </w:r>
          </w:p>
        </w:tc>
        <w:tc>
          <w:tcPr>
            <w:tcW w:w="2995" w:type="dxa"/>
            <w:shd w:val="clear" w:color="auto" w:fill="BFBFBF"/>
            <w:vAlign w:val="center"/>
          </w:tcPr>
          <w:p w14:paraId="2D241DCC" w14:textId="77777777" w:rsidR="00BE0C18" w:rsidRPr="003A2F86" w:rsidRDefault="00BE0C18" w:rsidP="00410A4B">
            <w:pPr>
              <w:jc w:val="center"/>
              <w:rPr>
                <w:rFonts w:ascii="Arial" w:eastAsia="Calibri" w:hAnsi="Arial" w:cs="Arial"/>
                <w:lang w:eastAsia="en-US"/>
              </w:rPr>
            </w:pPr>
            <w:r w:rsidRPr="003A2F86">
              <w:rPr>
                <w:rFonts w:ascii="Arial" w:eastAsia="Calibri" w:hAnsi="Arial" w:cs="Arial"/>
                <w:lang w:eastAsia="en-US"/>
              </w:rPr>
              <w:t>Definicija</w:t>
            </w:r>
          </w:p>
        </w:tc>
        <w:tc>
          <w:tcPr>
            <w:tcW w:w="993" w:type="dxa"/>
            <w:shd w:val="clear" w:color="auto" w:fill="BFBFBF"/>
            <w:vAlign w:val="center"/>
          </w:tcPr>
          <w:p w14:paraId="5D97F925" w14:textId="77777777" w:rsidR="00BE0C18" w:rsidRPr="003A2F86" w:rsidRDefault="00BE0C18" w:rsidP="00410A4B">
            <w:pPr>
              <w:jc w:val="center"/>
              <w:rPr>
                <w:rFonts w:ascii="Arial" w:eastAsia="Calibri" w:hAnsi="Arial" w:cs="Arial"/>
                <w:lang w:eastAsia="en-US"/>
              </w:rPr>
            </w:pPr>
            <w:r w:rsidRPr="003A2F86">
              <w:rPr>
                <w:rFonts w:ascii="Arial" w:eastAsia="Calibri" w:hAnsi="Arial" w:cs="Arial"/>
                <w:lang w:eastAsia="en-US"/>
              </w:rPr>
              <w:t>Jedinica</w:t>
            </w:r>
          </w:p>
        </w:tc>
        <w:tc>
          <w:tcPr>
            <w:tcW w:w="1134" w:type="dxa"/>
            <w:shd w:val="clear" w:color="auto" w:fill="BFBFBF"/>
            <w:vAlign w:val="center"/>
          </w:tcPr>
          <w:p w14:paraId="2A3DD8B5" w14:textId="77777777" w:rsidR="00BE0C18" w:rsidRPr="003A2F86" w:rsidRDefault="00BE0C18" w:rsidP="00410A4B">
            <w:pPr>
              <w:jc w:val="center"/>
              <w:rPr>
                <w:rFonts w:ascii="Arial" w:eastAsia="Calibri" w:hAnsi="Arial" w:cs="Arial"/>
                <w:lang w:eastAsia="en-US"/>
              </w:rPr>
            </w:pPr>
            <w:r w:rsidRPr="003A2F86">
              <w:rPr>
                <w:rFonts w:ascii="Arial" w:eastAsia="Calibri" w:hAnsi="Arial" w:cs="Arial"/>
                <w:lang w:eastAsia="en-US"/>
              </w:rPr>
              <w:t>Izvor podataka</w:t>
            </w:r>
          </w:p>
        </w:tc>
        <w:tc>
          <w:tcPr>
            <w:tcW w:w="1276" w:type="dxa"/>
            <w:shd w:val="clear" w:color="auto" w:fill="BFBFBF"/>
            <w:vAlign w:val="center"/>
          </w:tcPr>
          <w:p w14:paraId="21AF708C" w14:textId="33C42E28" w:rsidR="00BE0C18" w:rsidRPr="003A2F86" w:rsidRDefault="00BE0C18" w:rsidP="00410A4B">
            <w:pPr>
              <w:jc w:val="center"/>
              <w:rPr>
                <w:rFonts w:ascii="Arial" w:eastAsia="Calibri" w:hAnsi="Arial" w:cs="Arial"/>
                <w:lang w:eastAsia="en-US"/>
              </w:rPr>
            </w:pPr>
            <w:r w:rsidRPr="003A2F86">
              <w:rPr>
                <w:rFonts w:ascii="Arial" w:eastAsia="Calibri" w:hAnsi="Arial" w:cs="Arial"/>
                <w:lang w:eastAsia="en-US"/>
              </w:rPr>
              <w:t>Polazna vrijednost 202</w:t>
            </w:r>
            <w:r w:rsidR="003E1C1B">
              <w:rPr>
                <w:rFonts w:ascii="Arial" w:eastAsia="Calibri" w:hAnsi="Arial" w:cs="Arial"/>
                <w:lang w:eastAsia="en-US"/>
              </w:rPr>
              <w:t>4</w:t>
            </w:r>
            <w:r w:rsidRPr="003A2F86">
              <w:rPr>
                <w:rFonts w:ascii="Arial" w:eastAsia="Calibri" w:hAnsi="Arial" w:cs="Arial"/>
                <w:lang w:eastAsia="en-US"/>
              </w:rPr>
              <w:t>.</w:t>
            </w:r>
          </w:p>
        </w:tc>
        <w:tc>
          <w:tcPr>
            <w:tcW w:w="1095" w:type="dxa"/>
            <w:shd w:val="clear" w:color="auto" w:fill="BFBFBF"/>
          </w:tcPr>
          <w:p w14:paraId="627D67B3" w14:textId="089A545A" w:rsidR="00BE0C18" w:rsidRPr="003A2F86" w:rsidRDefault="00BE0C18" w:rsidP="00410A4B">
            <w:pPr>
              <w:jc w:val="center"/>
              <w:rPr>
                <w:rFonts w:ascii="Arial" w:eastAsia="Calibri" w:hAnsi="Arial" w:cs="Arial"/>
                <w:lang w:eastAsia="en-US"/>
              </w:rPr>
            </w:pPr>
            <w:r w:rsidRPr="003A2F86">
              <w:rPr>
                <w:rFonts w:ascii="Arial" w:eastAsia="Calibri" w:hAnsi="Arial" w:cs="Arial"/>
                <w:lang w:eastAsia="en-US"/>
              </w:rPr>
              <w:t>Ciljana vrijednost 202</w:t>
            </w:r>
            <w:r w:rsidR="003E1C1B">
              <w:rPr>
                <w:rFonts w:ascii="Arial" w:eastAsia="Calibri" w:hAnsi="Arial" w:cs="Arial"/>
                <w:lang w:eastAsia="en-US"/>
              </w:rPr>
              <w:t>5</w:t>
            </w:r>
            <w:r w:rsidRPr="003A2F86">
              <w:rPr>
                <w:rFonts w:ascii="Arial" w:eastAsia="Calibri" w:hAnsi="Arial" w:cs="Arial"/>
                <w:lang w:eastAsia="en-US"/>
              </w:rPr>
              <w:t>.</w:t>
            </w:r>
          </w:p>
        </w:tc>
        <w:tc>
          <w:tcPr>
            <w:tcW w:w="1095" w:type="dxa"/>
            <w:shd w:val="clear" w:color="auto" w:fill="BFBFBF"/>
            <w:vAlign w:val="center"/>
          </w:tcPr>
          <w:p w14:paraId="00002AC1" w14:textId="364B121C" w:rsidR="00BE0C18" w:rsidRPr="003A2F86" w:rsidRDefault="00BE0C18" w:rsidP="00410A4B">
            <w:pPr>
              <w:jc w:val="center"/>
              <w:rPr>
                <w:rFonts w:ascii="Arial" w:eastAsia="Calibri" w:hAnsi="Arial" w:cs="Arial"/>
                <w:lang w:eastAsia="en-US"/>
              </w:rPr>
            </w:pPr>
            <w:r w:rsidRPr="003A2F86">
              <w:rPr>
                <w:rFonts w:ascii="Arial" w:eastAsia="Calibri" w:hAnsi="Arial" w:cs="Arial"/>
                <w:lang w:eastAsia="en-US"/>
              </w:rPr>
              <w:t>Izvršeno 202</w:t>
            </w:r>
            <w:r w:rsidR="003E1C1B">
              <w:rPr>
                <w:rFonts w:ascii="Arial" w:eastAsia="Calibri" w:hAnsi="Arial" w:cs="Arial"/>
                <w:lang w:eastAsia="en-US"/>
              </w:rPr>
              <w:t>5</w:t>
            </w:r>
            <w:r w:rsidRPr="003A2F86">
              <w:rPr>
                <w:rFonts w:ascii="Arial" w:eastAsia="Calibri" w:hAnsi="Arial" w:cs="Arial"/>
                <w:lang w:eastAsia="en-US"/>
              </w:rPr>
              <w:t xml:space="preserve">. </w:t>
            </w:r>
          </w:p>
        </w:tc>
        <w:tc>
          <w:tcPr>
            <w:tcW w:w="1095" w:type="dxa"/>
            <w:shd w:val="clear" w:color="auto" w:fill="BFBFBF"/>
          </w:tcPr>
          <w:p w14:paraId="2174D0BB" w14:textId="73DFDBA5" w:rsidR="00BE0C18" w:rsidRPr="003A2F86" w:rsidRDefault="00BE0C18" w:rsidP="00410A4B">
            <w:pPr>
              <w:jc w:val="center"/>
              <w:rPr>
                <w:rFonts w:ascii="Arial" w:eastAsia="Calibri" w:hAnsi="Arial" w:cs="Arial"/>
                <w:lang w:eastAsia="en-US"/>
              </w:rPr>
            </w:pPr>
            <w:r w:rsidRPr="003A2F86">
              <w:rPr>
                <w:rFonts w:ascii="Arial" w:eastAsia="Calibri" w:hAnsi="Arial" w:cs="Arial"/>
                <w:lang w:eastAsia="en-US"/>
              </w:rPr>
              <w:t>Ciljana vrijednost 202</w:t>
            </w:r>
            <w:r w:rsidR="003E1C1B">
              <w:rPr>
                <w:rFonts w:ascii="Arial" w:eastAsia="Calibri" w:hAnsi="Arial" w:cs="Arial"/>
                <w:lang w:eastAsia="en-US"/>
              </w:rPr>
              <w:t>6</w:t>
            </w:r>
            <w:r w:rsidRPr="003A2F86">
              <w:rPr>
                <w:rFonts w:ascii="Arial" w:eastAsia="Calibri" w:hAnsi="Arial" w:cs="Arial"/>
                <w:lang w:eastAsia="en-US"/>
              </w:rPr>
              <w:t>.</w:t>
            </w:r>
          </w:p>
        </w:tc>
        <w:tc>
          <w:tcPr>
            <w:tcW w:w="1095" w:type="dxa"/>
            <w:shd w:val="clear" w:color="auto" w:fill="BFBFBF"/>
          </w:tcPr>
          <w:p w14:paraId="19786CA1" w14:textId="5A838B47" w:rsidR="00BE0C18" w:rsidRPr="003A2F86" w:rsidRDefault="00BE0C18" w:rsidP="00410A4B">
            <w:pPr>
              <w:jc w:val="center"/>
              <w:rPr>
                <w:rFonts w:ascii="Arial" w:eastAsia="Calibri" w:hAnsi="Arial" w:cs="Arial"/>
                <w:lang w:eastAsia="en-US"/>
              </w:rPr>
            </w:pPr>
            <w:r w:rsidRPr="003A2F86">
              <w:rPr>
                <w:rFonts w:ascii="Arial" w:eastAsia="Calibri" w:hAnsi="Arial" w:cs="Arial"/>
                <w:lang w:eastAsia="en-US"/>
              </w:rPr>
              <w:t>Ciljana vrijednost 20</w:t>
            </w:r>
            <w:r w:rsidR="003E1C1B">
              <w:rPr>
                <w:rFonts w:ascii="Arial" w:eastAsia="Calibri" w:hAnsi="Arial" w:cs="Arial"/>
                <w:lang w:eastAsia="en-US"/>
              </w:rPr>
              <w:t>27</w:t>
            </w:r>
            <w:r w:rsidRPr="003A2F86">
              <w:rPr>
                <w:rFonts w:ascii="Arial" w:eastAsia="Calibri" w:hAnsi="Arial" w:cs="Arial"/>
                <w:lang w:eastAsia="en-US"/>
              </w:rPr>
              <w:t>.</w:t>
            </w:r>
          </w:p>
        </w:tc>
      </w:tr>
      <w:tr w:rsidR="00BE0C18" w:rsidRPr="003A2F86" w14:paraId="398BC89F" w14:textId="77777777" w:rsidTr="00410A4B">
        <w:trPr>
          <w:trHeight w:val="1031"/>
          <w:jc w:val="center"/>
        </w:trPr>
        <w:tc>
          <w:tcPr>
            <w:tcW w:w="2950" w:type="dxa"/>
            <w:tcBorders>
              <w:top w:val="single" w:sz="4" w:space="0" w:color="auto"/>
              <w:left w:val="single" w:sz="4" w:space="0" w:color="auto"/>
              <w:bottom w:val="single" w:sz="4" w:space="0" w:color="auto"/>
              <w:right w:val="single" w:sz="4" w:space="0" w:color="auto"/>
            </w:tcBorders>
          </w:tcPr>
          <w:p w14:paraId="6D270621" w14:textId="77777777" w:rsidR="00BE0C18" w:rsidRPr="003A2F86" w:rsidRDefault="00BE0C18" w:rsidP="00410A4B">
            <w:pPr>
              <w:jc w:val="center"/>
              <w:rPr>
                <w:rFonts w:ascii="Arial" w:hAnsi="Arial" w:cs="Arial"/>
                <w:lang w:eastAsia="en-US"/>
              </w:rPr>
            </w:pPr>
            <w:r w:rsidRPr="003A2F86">
              <w:rPr>
                <w:rFonts w:ascii="Arial" w:hAnsi="Arial" w:cs="Arial"/>
                <w:lang w:eastAsia="en-US"/>
              </w:rPr>
              <w:t>Osiguranom proračunskom zalihom za izvanredne okolnosti u okviru zakonom zadanom postotku rješavati hitne i neplanirane potrebe</w:t>
            </w:r>
          </w:p>
        </w:tc>
        <w:tc>
          <w:tcPr>
            <w:tcW w:w="2995" w:type="dxa"/>
            <w:tcBorders>
              <w:top w:val="single" w:sz="4" w:space="0" w:color="auto"/>
              <w:left w:val="single" w:sz="4" w:space="0" w:color="auto"/>
              <w:bottom w:val="single" w:sz="4" w:space="0" w:color="auto"/>
              <w:right w:val="single" w:sz="4" w:space="0" w:color="auto"/>
            </w:tcBorders>
          </w:tcPr>
          <w:p w14:paraId="0D230DD6" w14:textId="77777777" w:rsidR="00BE0C18" w:rsidRPr="003A2F86" w:rsidRDefault="00BE0C18" w:rsidP="00410A4B">
            <w:pPr>
              <w:jc w:val="center"/>
              <w:rPr>
                <w:rFonts w:ascii="Arial" w:hAnsi="Arial" w:cs="Arial"/>
                <w:lang w:eastAsia="en-US"/>
              </w:rPr>
            </w:pPr>
            <w:r w:rsidRPr="003A2F86">
              <w:rPr>
                <w:rFonts w:ascii="Arial" w:hAnsi="Arial" w:cs="Arial"/>
                <w:lang w:eastAsia="en-US"/>
              </w:rPr>
              <w:t>Izdavanje rješenja o korištenju sredstava proračunske zalihe</w:t>
            </w:r>
          </w:p>
        </w:tc>
        <w:tc>
          <w:tcPr>
            <w:tcW w:w="993" w:type="dxa"/>
            <w:tcBorders>
              <w:top w:val="single" w:sz="4" w:space="0" w:color="auto"/>
              <w:left w:val="single" w:sz="4" w:space="0" w:color="auto"/>
              <w:bottom w:val="single" w:sz="4" w:space="0" w:color="auto"/>
              <w:right w:val="single" w:sz="4" w:space="0" w:color="auto"/>
            </w:tcBorders>
            <w:vAlign w:val="center"/>
          </w:tcPr>
          <w:p w14:paraId="14D6894F" w14:textId="77777777" w:rsidR="00BE0C18" w:rsidRPr="003A2F86" w:rsidRDefault="00BE0C18" w:rsidP="00410A4B">
            <w:pPr>
              <w:jc w:val="center"/>
              <w:rPr>
                <w:rFonts w:ascii="Arial" w:hAnsi="Arial" w:cs="Arial"/>
                <w:lang w:eastAsia="en-US"/>
              </w:rPr>
            </w:pPr>
            <w:r w:rsidRPr="003A2F86">
              <w:rPr>
                <w:rFonts w:ascii="Arial"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055E68E1" w14:textId="77777777" w:rsidR="00BE0C18" w:rsidRPr="003A2F86" w:rsidRDefault="00BE0C18" w:rsidP="00410A4B">
            <w:pPr>
              <w:jc w:val="center"/>
              <w:rPr>
                <w:rFonts w:ascii="Arial" w:hAnsi="Arial" w:cs="Arial"/>
                <w:lang w:eastAsia="en-US"/>
              </w:rPr>
            </w:pPr>
            <w:r w:rsidRPr="003A2F86">
              <w:rPr>
                <w:rFonts w:ascii="Arial" w:hAnsi="Arial" w:cs="Arial"/>
                <w:lang w:eastAsia="en-US"/>
              </w:rPr>
              <w:t>Općina</w:t>
            </w:r>
          </w:p>
        </w:tc>
        <w:tc>
          <w:tcPr>
            <w:tcW w:w="1276" w:type="dxa"/>
            <w:vAlign w:val="center"/>
          </w:tcPr>
          <w:p w14:paraId="11EA36AA" w14:textId="77777777" w:rsidR="00BE0C18" w:rsidRPr="003A2F86" w:rsidRDefault="00BE0C18" w:rsidP="00410A4B">
            <w:pPr>
              <w:jc w:val="center"/>
              <w:rPr>
                <w:rFonts w:ascii="Arial" w:hAnsi="Arial" w:cs="Arial"/>
                <w:lang w:eastAsia="en-US"/>
              </w:rPr>
            </w:pPr>
            <w:r w:rsidRPr="003A2F86">
              <w:rPr>
                <w:rFonts w:ascii="Arial" w:hAnsi="Arial" w:cs="Arial"/>
                <w:lang w:eastAsia="en-US"/>
              </w:rPr>
              <w:t>-</w:t>
            </w:r>
          </w:p>
        </w:tc>
        <w:tc>
          <w:tcPr>
            <w:tcW w:w="1095" w:type="dxa"/>
            <w:vAlign w:val="center"/>
          </w:tcPr>
          <w:p w14:paraId="613FD0B4" w14:textId="77777777" w:rsidR="00BE0C18" w:rsidRPr="003A2F86" w:rsidRDefault="00BE0C18" w:rsidP="00410A4B">
            <w:pPr>
              <w:jc w:val="center"/>
              <w:rPr>
                <w:rFonts w:ascii="Arial" w:hAnsi="Arial" w:cs="Arial"/>
                <w:lang w:eastAsia="en-US"/>
              </w:rPr>
            </w:pPr>
            <w:r w:rsidRPr="003A2F86">
              <w:rPr>
                <w:rFonts w:ascii="Arial" w:hAnsi="Arial" w:cs="Arial"/>
                <w:lang w:eastAsia="en-US"/>
              </w:rPr>
              <w:t>100 %</w:t>
            </w:r>
          </w:p>
        </w:tc>
        <w:tc>
          <w:tcPr>
            <w:tcW w:w="1095" w:type="dxa"/>
            <w:vAlign w:val="center"/>
          </w:tcPr>
          <w:p w14:paraId="68366507" w14:textId="77777777" w:rsidR="00BE0C18" w:rsidRPr="003A2F86" w:rsidRDefault="00BE0C18" w:rsidP="00410A4B">
            <w:pPr>
              <w:jc w:val="center"/>
              <w:rPr>
                <w:rFonts w:ascii="Arial" w:hAnsi="Arial" w:cs="Arial"/>
                <w:lang w:eastAsia="en-US"/>
              </w:rPr>
            </w:pPr>
            <w:r w:rsidRPr="003A2F86">
              <w:rPr>
                <w:rFonts w:ascii="Arial" w:hAnsi="Arial" w:cs="Arial"/>
                <w:lang w:eastAsia="en-US"/>
              </w:rPr>
              <w:t>-</w:t>
            </w:r>
          </w:p>
        </w:tc>
        <w:tc>
          <w:tcPr>
            <w:tcW w:w="1095" w:type="dxa"/>
            <w:vAlign w:val="center"/>
          </w:tcPr>
          <w:p w14:paraId="09CE9D01" w14:textId="77777777" w:rsidR="00BE0C18" w:rsidRPr="003A2F86" w:rsidRDefault="00BE0C18" w:rsidP="00410A4B">
            <w:pPr>
              <w:jc w:val="center"/>
              <w:rPr>
                <w:rFonts w:ascii="Arial" w:hAnsi="Arial" w:cs="Arial"/>
                <w:lang w:eastAsia="en-US"/>
              </w:rPr>
            </w:pPr>
            <w:r w:rsidRPr="003A2F86">
              <w:rPr>
                <w:rFonts w:ascii="Arial" w:hAnsi="Arial" w:cs="Arial"/>
                <w:lang w:eastAsia="en-US"/>
              </w:rPr>
              <w:t>100 %</w:t>
            </w:r>
          </w:p>
        </w:tc>
        <w:tc>
          <w:tcPr>
            <w:tcW w:w="1095" w:type="dxa"/>
            <w:vAlign w:val="center"/>
          </w:tcPr>
          <w:p w14:paraId="5669F293" w14:textId="77777777" w:rsidR="00BE0C18" w:rsidRPr="003A2F86" w:rsidRDefault="00BE0C18" w:rsidP="00410A4B">
            <w:pPr>
              <w:jc w:val="center"/>
              <w:rPr>
                <w:rFonts w:ascii="Arial" w:hAnsi="Arial" w:cs="Arial"/>
                <w:lang w:eastAsia="en-US"/>
              </w:rPr>
            </w:pPr>
            <w:r w:rsidRPr="003A2F86">
              <w:rPr>
                <w:rFonts w:ascii="Arial" w:hAnsi="Arial" w:cs="Arial"/>
                <w:lang w:eastAsia="en-US"/>
              </w:rPr>
              <w:t>100 %</w:t>
            </w:r>
          </w:p>
        </w:tc>
      </w:tr>
    </w:tbl>
    <w:p w14:paraId="429C3FB9" w14:textId="77777777" w:rsidR="00BE0C18" w:rsidRPr="003A2F86" w:rsidRDefault="00BE0C18" w:rsidP="00BE0C18">
      <w:pPr>
        <w:spacing w:after="0" w:line="240" w:lineRule="auto"/>
        <w:jc w:val="both"/>
        <w:rPr>
          <w:rFonts w:ascii="Arial" w:eastAsia="Calibri" w:hAnsi="Arial" w:cs="Arial"/>
          <w:sz w:val="20"/>
          <w:szCs w:val="20"/>
          <w:lang w:eastAsia="en-US"/>
        </w:rPr>
      </w:pPr>
    </w:p>
    <w:p w14:paraId="1161579D" w14:textId="7F456C60" w:rsidR="007B75F4" w:rsidRPr="003A2F86" w:rsidRDefault="00BE0C18" w:rsidP="00BE0C18">
      <w:pPr>
        <w:rPr>
          <w:rFonts w:ascii="Arial" w:eastAsia="Calibri" w:hAnsi="Arial" w:cs="Arial"/>
        </w:rPr>
      </w:pPr>
      <w:r w:rsidRPr="003A2F86">
        <w:rPr>
          <w:rFonts w:ascii="Arial" w:eastAsia="Calibri" w:hAnsi="Arial" w:cs="Arial"/>
          <w:sz w:val="20"/>
          <w:szCs w:val="20"/>
        </w:rPr>
        <w:t>Aktivnosti vezane uz opće i posebne ciljeve postignute su sukladno postocima izvršenja.</w:t>
      </w:r>
    </w:p>
    <w:p w14:paraId="7EB0F638" w14:textId="1D158C81" w:rsidR="00676A9B" w:rsidRDefault="00676A9B">
      <w:pPr>
        <w:rPr>
          <w:rFonts w:ascii="Arial" w:eastAsia="Calibri" w:hAnsi="Arial" w:cs="Arial"/>
        </w:rPr>
      </w:pPr>
      <w:r>
        <w:rPr>
          <w:rFonts w:ascii="Arial" w:eastAsia="Calibri" w:hAnsi="Arial" w:cs="Arial"/>
        </w:rPr>
        <w:br w:type="page"/>
      </w:r>
    </w:p>
    <w:p w14:paraId="5EBBE011" w14:textId="77777777" w:rsidR="007B75F4" w:rsidRPr="003A2F86" w:rsidRDefault="007B75F4" w:rsidP="007B75F4">
      <w:pPr>
        <w:rPr>
          <w:rFonts w:ascii="Arial" w:eastAsia="Calibri" w:hAnsi="Arial" w:cs="Arial"/>
        </w:rPr>
      </w:pPr>
    </w:p>
    <w:p w14:paraId="0B7A70E4" w14:textId="3B0B475B" w:rsidR="00891119" w:rsidRPr="003A2F86" w:rsidRDefault="00345277" w:rsidP="00375FAF">
      <w:pPr>
        <w:pStyle w:val="Naslov3"/>
        <w:rPr>
          <w:rFonts w:ascii="Arial" w:eastAsia="Calibri" w:hAnsi="Arial" w:cs="Arial"/>
          <w:sz w:val="22"/>
          <w:szCs w:val="22"/>
          <w:lang w:val="hr-HR"/>
        </w:rPr>
      </w:pPr>
      <w:bookmarkStart w:id="359" w:name="_Toc435014654"/>
      <w:bookmarkStart w:id="360" w:name="_Toc232981431"/>
      <w:r w:rsidRPr="003A2F86">
        <w:rPr>
          <w:rFonts w:ascii="Arial" w:eastAsia="Calibri" w:hAnsi="Arial" w:cs="Arial"/>
          <w:sz w:val="22"/>
          <w:szCs w:val="22"/>
          <w:lang w:val="hr-HR"/>
        </w:rPr>
        <w:t>3.</w:t>
      </w:r>
      <w:r w:rsidR="00375FAF" w:rsidRPr="003A2F86">
        <w:rPr>
          <w:rFonts w:ascii="Arial" w:eastAsia="Calibri" w:hAnsi="Arial" w:cs="Arial"/>
          <w:sz w:val="22"/>
          <w:szCs w:val="22"/>
          <w:lang w:val="hr-HR"/>
        </w:rPr>
        <w:t>3</w:t>
      </w:r>
      <w:r w:rsidRPr="003A2F86">
        <w:rPr>
          <w:rFonts w:ascii="Arial" w:eastAsia="Calibri" w:hAnsi="Arial" w:cs="Arial"/>
          <w:sz w:val="22"/>
          <w:szCs w:val="22"/>
          <w:lang w:val="hr-HR"/>
        </w:rPr>
        <w:t>.2</w:t>
      </w:r>
      <w:r w:rsidR="00891119" w:rsidRPr="003A2F86">
        <w:rPr>
          <w:rFonts w:ascii="Arial" w:eastAsia="Calibri" w:hAnsi="Arial" w:cs="Arial"/>
          <w:sz w:val="22"/>
          <w:szCs w:val="22"/>
          <w:lang w:val="hr-HR"/>
        </w:rPr>
        <w:t>.</w:t>
      </w:r>
      <w:r w:rsidR="00891119" w:rsidRPr="003A2F86">
        <w:rPr>
          <w:rFonts w:ascii="Arial" w:eastAsia="Calibri" w:hAnsi="Arial" w:cs="Arial"/>
          <w:sz w:val="22"/>
          <w:szCs w:val="22"/>
          <w:lang w:val="hr-HR"/>
        </w:rPr>
        <w:tab/>
        <w:t xml:space="preserve">RAZDJEL: (020) UPRAVNI ODJEL ZA OPĆE POSLOVE, MJESNU SAMOUPRAVU I DRUŠTVENE </w:t>
      </w:r>
      <w:bookmarkEnd w:id="359"/>
      <w:r w:rsidR="00646600" w:rsidRPr="003A2F86">
        <w:rPr>
          <w:rFonts w:ascii="Arial" w:eastAsia="Calibri" w:hAnsi="Arial" w:cs="Arial"/>
          <w:sz w:val="22"/>
          <w:szCs w:val="22"/>
          <w:lang w:val="hr-HR"/>
        </w:rPr>
        <w:t>DJELATNOSTI</w:t>
      </w:r>
      <w:bookmarkEnd w:id="360"/>
    </w:p>
    <w:p w14:paraId="7349A262" w14:textId="77777777" w:rsidR="00891119" w:rsidRPr="003A2F86" w:rsidRDefault="00891119" w:rsidP="00891119">
      <w:pPr>
        <w:spacing w:after="0" w:line="240" w:lineRule="auto"/>
        <w:rPr>
          <w:rFonts w:ascii="Times New Roman" w:eastAsia="Calibri" w:hAnsi="Times New Roman" w:cs="Arial"/>
          <w:sz w:val="20"/>
          <w:szCs w:val="20"/>
          <w:lang w:eastAsia="en-US"/>
        </w:rPr>
      </w:pPr>
    </w:p>
    <w:p w14:paraId="6AE77559" w14:textId="238628BC" w:rsidR="00891119" w:rsidRPr="003A2F86" w:rsidRDefault="00891119" w:rsidP="00891119">
      <w:pPr>
        <w:spacing w:after="0" w:line="240" w:lineRule="auto"/>
        <w:jc w:val="both"/>
        <w:rPr>
          <w:rFonts w:ascii="Arial" w:eastAsia="Times New Roman" w:hAnsi="Arial" w:cs="Arial"/>
          <w:iCs/>
          <w:sz w:val="20"/>
          <w:szCs w:val="20"/>
          <w:lang w:eastAsia="en-US"/>
        </w:rPr>
      </w:pPr>
      <w:r w:rsidRPr="003A2F86">
        <w:rPr>
          <w:rFonts w:ascii="Arial" w:eastAsia="Times New Roman" w:hAnsi="Arial" w:cs="Arial"/>
          <w:iCs/>
          <w:sz w:val="20"/>
          <w:szCs w:val="20"/>
          <w:lang w:eastAsia="en-US"/>
        </w:rPr>
        <w:t xml:space="preserve">Rashodi i izdaci razdjela 020 (Upravni odjel za opće poslove, mjesnu samoupravu i društvene djelatnosti) odnose se na rashode podijeljene u </w:t>
      </w:r>
      <w:r w:rsidR="00F07891" w:rsidRPr="003A2F86">
        <w:rPr>
          <w:rFonts w:ascii="Arial" w:eastAsia="Times New Roman" w:hAnsi="Arial" w:cs="Arial"/>
          <w:iCs/>
          <w:sz w:val="20"/>
          <w:szCs w:val="20"/>
          <w:lang w:eastAsia="en-US"/>
        </w:rPr>
        <w:t>četiri</w:t>
      </w:r>
      <w:r w:rsidRPr="003A2F86">
        <w:rPr>
          <w:rFonts w:ascii="Arial" w:eastAsia="Times New Roman" w:hAnsi="Arial" w:cs="Arial"/>
          <w:iCs/>
          <w:sz w:val="20"/>
          <w:szCs w:val="20"/>
          <w:lang w:eastAsia="en-US"/>
        </w:rPr>
        <w:t xml:space="preserve"> glav</w:t>
      </w:r>
      <w:r w:rsidR="00F07891" w:rsidRPr="003A2F86">
        <w:rPr>
          <w:rFonts w:ascii="Arial" w:eastAsia="Times New Roman" w:hAnsi="Arial" w:cs="Arial"/>
          <w:iCs/>
          <w:sz w:val="20"/>
          <w:szCs w:val="20"/>
          <w:lang w:eastAsia="en-US"/>
        </w:rPr>
        <w:t>e</w:t>
      </w:r>
      <w:r w:rsidRPr="003A2F86">
        <w:rPr>
          <w:rFonts w:ascii="Arial" w:eastAsia="Times New Roman" w:hAnsi="Arial" w:cs="Arial"/>
          <w:iCs/>
          <w:sz w:val="20"/>
          <w:szCs w:val="20"/>
          <w:lang w:eastAsia="en-US"/>
        </w:rPr>
        <w:t>, a svaka glava se sastoji od programa podijeljenih u aktivnosti i projekte</w:t>
      </w:r>
      <w:r w:rsidR="00D46C70" w:rsidRPr="003A2F86">
        <w:rPr>
          <w:rFonts w:ascii="Arial" w:eastAsia="Times New Roman" w:hAnsi="Arial" w:cs="Arial"/>
          <w:iCs/>
          <w:sz w:val="20"/>
          <w:szCs w:val="20"/>
          <w:lang w:eastAsia="en-US"/>
        </w:rPr>
        <w:t>.</w:t>
      </w:r>
    </w:p>
    <w:p w14:paraId="6CD5697E" w14:textId="77777777" w:rsidR="00055611" w:rsidRPr="003A2F86" w:rsidRDefault="00055611" w:rsidP="00891119">
      <w:pPr>
        <w:spacing w:after="0" w:line="240" w:lineRule="auto"/>
        <w:jc w:val="both"/>
        <w:rPr>
          <w:rFonts w:ascii="Arial" w:eastAsia="Times New Roman" w:hAnsi="Arial" w:cs="Arial"/>
          <w:iCs/>
          <w:sz w:val="20"/>
          <w:szCs w:val="20"/>
          <w:lang w:eastAsia="en-US"/>
        </w:rPr>
      </w:pPr>
    </w:p>
    <w:p w14:paraId="4CC08243" w14:textId="68AEFF6C" w:rsidR="00637850" w:rsidRPr="003A2F86" w:rsidRDefault="00637850" w:rsidP="006160AA">
      <w:pPr>
        <w:spacing w:after="0" w:line="240" w:lineRule="auto"/>
        <w:jc w:val="center"/>
        <w:rPr>
          <w:lang w:eastAsia="en-US"/>
        </w:rPr>
      </w:pPr>
      <w:bookmarkStart w:id="361" w:name="_Toc435014655"/>
      <w:r w:rsidRPr="00637850">
        <w:rPr>
          <w:noProof/>
        </w:rPr>
        <w:drawing>
          <wp:inline distT="0" distB="0" distL="0" distR="0" wp14:anchorId="76201EA2" wp14:editId="0C4FB3BD">
            <wp:extent cx="8340725" cy="2934335"/>
            <wp:effectExtent l="0" t="0" r="3175" b="0"/>
            <wp:docPr id="728185697"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340725" cy="2934335"/>
                    </a:xfrm>
                    <a:prstGeom prst="rect">
                      <a:avLst/>
                    </a:prstGeom>
                    <a:noFill/>
                    <a:ln>
                      <a:noFill/>
                    </a:ln>
                  </pic:spPr>
                </pic:pic>
              </a:graphicData>
            </a:graphic>
          </wp:inline>
        </w:drawing>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29"/>
        <w:gridCol w:w="13123"/>
      </w:tblGrid>
      <w:tr w:rsidR="006160AA" w:rsidRPr="00F43E37" w14:paraId="07C9E27E" w14:textId="77777777" w:rsidTr="00E14E80">
        <w:tc>
          <w:tcPr>
            <w:tcW w:w="1329" w:type="dxa"/>
            <w:vAlign w:val="center"/>
          </w:tcPr>
          <w:p w14:paraId="3C0A9B59" w14:textId="77777777" w:rsidR="00E14E80" w:rsidRPr="00F43E37" w:rsidRDefault="00E14E80" w:rsidP="00055CA1">
            <w:pPr>
              <w:spacing w:after="0" w:line="240" w:lineRule="auto"/>
              <w:jc w:val="both"/>
              <w:rPr>
                <w:rFonts w:ascii="Arial" w:eastAsia="Calibri" w:hAnsi="Arial" w:cs="Arial"/>
                <w:b/>
                <w:bCs/>
                <w:sz w:val="20"/>
                <w:szCs w:val="20"/>
              </w:rPr>
            </w:pPr>
            <w:r w:rsidRPr="00F43E37">
              <w:rPr>
                <w:rFonts w:ascii="Arial" w:eastAsia="Calibri" w:hAnsi="Arial" w:cs="Arial"/>
                <w:b/>
                <w:bCs/>
                <w:sz w:val="20"/>
                <w:szCs w:val="20"/>
              </w:rPr>
              <w:t>Sažetak djelokruga rada:</w:t>
            </w:r>
          </w:p>
        </w:tc>
        <w:tc>
          <w:tcPr>
            <w:tcW w:w="13130" w:type="dxa"/>
            <w:vAlign w:val="bottom"/>
          </w:tcPr>
          <w:p w14:paraId="7DF6708E" w14:textId="77777777" w:rsidR="00E14E80" w:rsidRPr="00F43E37" w:rsidRDefault="00E14E80" w:rsidP="00055CA1">
            <w:pPr>
              <w:spacing w:after="0" w:line="240" w:lineRule="auto"/>
              <w:jc w:val="both"/>
              <w:rPr>
                <w:rFonts w:ascii="Arial" w:eastAsia="Calibri" w:hAnsi="Arial" w:cs="Arial"/>
                <w:sz w:val="20"/>
                <w:szCs w:val="20"/>
              </w:rPr>
            </w:pPr>
            <w:r w:rsidRPr="00F43E37">
              <w:rPr>
                <w:rFonts w:ascii="Arial" w:eastAsia="Calibri" w:hAnsi="Arial" w:cs="Arial"/>
                <w:sz w:val="20"/>
                <w:szCs w:val="20"/>
              </w:rPr>
              <w:t>Upravni odjel za opće poslove, mjesnu samoupravu i društvene djelatnosti upravlja i predstavlja Odjel, organizira, usmjerava i usklađuje rad Odjela, brine o zakonitosti rada i osigurava uredno i pravovremeno izvršavanje poslova i zadaća Odjela, redovito prati propise, stanje, probleme i pitanja iz svoga djelokruga, te Načelniku, Općinskom vijeću i drugim nadležnim tijelima predlaže mjere, pravna sredstva i postupke za poboljšanje stanja u svom djelokrugu, koordinira suradnju s ostalim odjelima, obavlja poslove upravljanja ljudskim potencijalom, priprema i organizira rad Općinskog vijeća i njegovih radnih tijela, te u tom smislu koordinira rad službi drugih upravnih tijela, obavlja stručne, upravne i tehničke poslove u pripremi sjednica Općinskog vijeća, u dogovoru s predsjednikom Općinskog vijeća organizira sjednice, sudjeluje u izradbi nacrta prijedloga općih i pojedinačnih akata koje donosi Općinsko vijeće i njegova radna tijela, organizira davanje odgovora na vijećnička pitanja, uredno i pregledno sređuje i čuva te dostavlja nadležnim tijelima sve akte koji su doneseni na sjednicama Općinskog vijeća. Nadalje, brine o unapređenju rada i o standardu u djelatnostima predškolskog odgoja, socijalne skrbi, kulture, tehničke kulture, sporta i rekreacije, te o pružanju pomoći socijalno ugroženim osobama i obiteljima, kao i o poslovima odnosa s javnošću.</w:t>
            </w:r>
          </w:p>
          <w:p w14:paraId="724905DF" w14:textId="77777777" w:rsidR="00E14E80" w:rsidRPr="00F43E37" w:rsidRDefault="00E14E80" w:rsidP="00055CA1">
            <w:pPr>
              <w:spacing w:after="0" w:line="240" w:lineRule="auto"/>
              <w:jc w:val="both"/>
              <w:rPr>
                <w:rFonts w:ascii="Arial" w:eastAsia="Calibri" w:hAnsi="Arial" w:cs="Arial"/>
                <w:sz w:val="20"/>
                <w:szCs w:val="20"/>
              </w:rPr>
            </w:pPr>
            <w:r w:rsidRPr="00F43E37">
              <w:rPr>
                <w:rFonts w:ascii="Arial" w:eastAsia="Calibri" w:hAnsi="Arial" w:cs="Arial"/>
                <w:sz w:val="20"/>
                <w:szCs w:val="20"/>
              </w:rPr>
              <w:t xml:space="preserve">Vodi brigu o radu i poslovanju sportskih, kulturnih, socijalno zdravstvenih i drugih udruga (udruge hrvatskih branitelja iz Domovinskog rada, udruge za rad s mladima i sve druge udruge građana u vezi javnih potreba od interesa za Općinu) u dijelu koji se financira iz proračuna, koordinira obavljanje poslova koji obuhvaćaju brigu o djeci, predškolski odgoj i obrazovanje, kulturu, sport, tehničku kulturu, zdravstvo, zdravstvenu zaštitu, socijalnu skrb i brigu o starima i nemoćnima, analizira i sudjeluje u davanju prijedloga za odabir programa javnih potreba prema područjima javnih potreba, obavlja </w:t>
            </w:r>
            <w:r w:rsidRPr="00F43E37">
              <w:rPr>
                <w:rFonts w:ascii="Arial" w:eastAsia="Calibri" w:hAnsi="Arial" w:cs="Arial"/>
                <w:sz w:val="20"/>
                <w:szCs w:val="20"/>
              </w:rPr>
              <w:lastRenderedPageBreak/>
              <w:t>poslove vezane uz stipendiranje učenika i studenata, priprema socijalne programe i programe javnih potreba i izvješća o ostvarenju navedenih programa, predlaže mjere za zaštitu i unapređenje socijalne skrbi na razini Općine, predlaže i provodi različite oblike pomoći socijalno ugroženim osobama. Također, prikuplja financijske planove i izmjene planova proračunskih korisnika u svojoj nadležnosti (Dječji vrtić Konavle, Muzeji i galerije Konavala, te Dom za starije i nemoćne osobe), usklađuje prijedloge financijskih planova s Upravnim odjelom za proračun i financije i raspoloživim sredstvima u proračunu Općine, te odobrava izvršenje rashoda i kontrolira izvršenje financijskih planova, kao i druge poslove sukladno važećim zakonskim propisima.</w:t>
            </w:r>
          </w:p>
          <w:p w14:paraId="767339D0" w14:textId="77777777" w:rsidR="00E14E80" w:rsidRPr="00F43E37" w:rsidRDefault="00E14E80" w:rsidP="00055CA1">
            <w:pPr>
              <w:spacing w:after="0" w:line="240" w:lineRule="auto"/>
              <w:jc w:val="both"/>
              <w:rPr>
                <w:rFonts w:ascii="Arial" w:eastAsia="Calibri" w:hAnsi="Arial" w:cs="Arial"/>
                <w:sz w:val="20"/>
                <w:szCs w:val="20"/>
              </w:rPr>
            </w:pPr>
          </w:p>
          <w:p w14:paraId="3D7DDFDE" w14:textId="582E3072" w:rsidR="00E14E80" w:rsidRPr="00F43E37" w:rsidRDefault="00E14E80" w:rsidP="00055CA1">
            <w:pPr>
              <w:spacing w:after="0" w:line="240" w:lineRule="auto"/>
              <w:jc w:val="both"/>
              <w:rPr>
                <w:rFonts w:ascii="Arial" w:eastAsia="Calibri" w:hAnsi="Arial" w:cs="Arial"/>
                <w:sz w:val="20"/>
                <w:szCs w:val="20"/>
              </w:rPr>
            </w:pPr>
            <w:r w:rsidRPr="00F43E37">
              <w:rPr>
                <w:rFonts w:ascii="Arial" w:eastAsia="Calibri" w:hAnsi="Arial" w:cs="Arial"/>
                <w:sz w:val="20"/>
                <w:szCs w:val="20"/>
              </w:rPr>
              <w:t xml:space="preserve">Odlukom o ustrojstvu i djelokrugu upravnih tijela Općine Konavle (Službeni glasnik Općine Konavle </w:t>
            </w:r>
            <w:r w:rsidR="003B542A" w:rsidRPr="00F43E37">
              <w:rPr>
                <w:rFonts w:ascii="Arial" w:eastAsia="Calibri" w:hAnsi="Arial" w:cs="Arial"/>
                <w:sz w:val="20"/>
                <w:szCs w:val="20"/>
              </w:rPr>
              <w:t>6/23</w:t>
            </w:r>
            <w:r w:rsidRPr="00F43E37">
              <w:rPr>
                <w:rFonts w:ascii="Arial" w:eastAsia="Calibri" w:hAnsi="Arial" w:cs="Arial"/>
                <w:sz w:val="20"/>
                <w:szCs w:val="20"/>
              </w:rPr>
              <w:t>) i Pravilnikom o unutarnjem redu (Službeni glasnik Općine Konavle 1/</w:t>
            </w:r>
            <w:r w:rsidR="003B542A" w:rsidRPr="00F43E37">
              <w:rPr>
                <w:rFonts w:ascii="Arial" w:eastAsia="Calibri" w:hAnsi="Arial" w:cs="Arial"/>
                <w:sz w:val="20"/>
                <w:szCs w:val="20"/>
              </w:rPr>
              <w:t xml:space="preserve">24, </w:t>
            </w:r>
            <w:r w:rsidR="00C160D8" w:rsidRPr="00F43E37">
              <w:rPr>
                <w:rFonts w:ascii="Arial" w:eastAsia="Calibri" w:hAnsi="Arial" w:cs="Arial"/>
                <w:sz w:val="20"/>
                <w:szCs w:val="20"/>
              </w:rPr>
              <w:t xml:space="preserve">2/24, </w:t>
            </w:r>
            <w:r w:rsidR="003B542A" w:rsidRPr="00F43E37">
              <w:rPr>
                <w:rFonts w:ascii="Arial" w:eastAsia="Calibri" w:hAnsi="Arial" w:cs="Arial"/>
                <w:sz w:val="20"/>
                <w:szCs w:val="20"/>
              </w:rPr>
              <w:t>5/24</w:t>
            </w:r>
            <w:r w:rsidR="00B35917">
              <w:rPr>
                <w:rFonts w:ascii="Arial" w:eastAsia="Calibri" w:hAnsi="Arial" w:cs="Arial"/>
                <w:sz w:val="20"/>
                <w:szCs w:val="20"/>
              </w:rPr>
              <w:t>, 6/25</w:t>
            </w:r>
            <w:r w:rsidRPr="00F43E37">
              <w:rPr>
                <w:rFonts w:ascii="Arial" w:eastAsia="Calibri" w:hAnsi="Arial" w:cs="Arial"/>
                <w:sz w:val="20"/>
                <w:szCs w:val="20"/>
              </w:rPr>
              <w:t xml:space="preserve">) utvrđeno je ustrojstvo i područje rada Odjela. Ustrojstvene jedinice odjela su: Upravni odjel za opće poslove, mjesnu samoupravu i društvene djelatnosti, Upravni odjel za proračun i financije, Upravni odjel za </w:t>
            </w:r>
            <w:r w:rsidR="003B542A" w:rsidRPr="00F43E37">
              <w:rPr>
                <w:rFonts w:ascii="Arial" w:eastAsia="Calibri" w:hAnsi="Arial" w:cs="Arial"/>
                <w:sz w:val="20"/>
                <w:szCs w:val="20"/>
              </w:rPr>
              <w:t xml:space="preserve">prostorno uređenje, zaštitu okoliša, </w:t>
            </w:r>
            <w:r w:rsidRPr="00F43E37">
              <w:rPr>
                <w:rFonts w:ascii="Arial" w:eastAsia="Calibri" w:hAnsi="Arial" w:cs="Arial"/>
                <w:sz w:val="20"/>
                <w:szCs w:val="20"/>
              </w:rPr>
              <w:t xml:space="preserve">komunalni sustav i gospodarenje nekretninama, Upravni odjel za ruralni razvoj, gospodarstvo i EU fondove, Služba proračunskog nadzora i unutarnje kontrole. </w:t>
            </w:r>
          </w:p>
          <w:p w14:paraId="2B4D309F" w14:textId="77777777" w:rsidR="003B542A" w:rsidRPr="00F43E37" w:rsidRDefault="003B542A" w:rsidP="00055CA1">
            <w:pPr>
              <w:spacing w:after="0" w:line="240" w:lineRule="auto"/>
              <w:jc w:val="both"/>
              <w:rPr>
                <w:rFonts w:ascii="Arial" w:eastAsia="Calibri" w:hAnsi="Arial" w:cs="Arial"/>
                <w:sz w:val="20"/>
                <w:szCs w:val="20"/>
              </w:rPr>
            </w:pPr>
          </w:p>
          <w:p w14:paraId="21021281" w14:textId="7B296391" w:rsidR="00E14E80" w:rsidRPr="00F43E37" w:rsidRDefault="00E14E80" w:rsidP="00055CA1">
            <w:pPr>
              <w:spacing w:after="0" w:line="240" w:lineRule="auto"/>
              <w:jc w:val="both"/>
              <w:rPr>
                <w:rFonts w:ascii="Arial" w:eastAsia="Calibri" w:hAnsi="Arial" w:cs="Arial"/>
                <w:sz w:val="20"/>
                <w:szCs w:val="20"/>
              </w:rPr>
            </w:pPr>
            <w:r w:rsidRPr="00F43E37">
              <w:rPr>
                <w:rFonts w:ascii="Arial" w:eastAsia="Calibri" w:hAnsi="Arial" w:cs="Arial"/>
                <w:sz w:val="20"/>
                <w:szCs w:val="20"/>
              </w:rPr>
              <w:t xml:space="preserve">U okviru </w:t>
            </w:r>
            <w:r w:rsidR="003B542A" w:rsidRPr="00F43E37">
              <w:rPr>
                <w:rFonts w:ascii="Arial" w:eastAsia="Calibri" w:hAnsi="Arial" w:cs="Arial"/>
                <w:sz w:val="20"/>
                <w:szCs w:val="20"/>
              </w:rPr>
              <w:t>U</w:t>
            </w:r>
            <w:r w:rsidRPr="00F43E37">
              <w:rPr>
                <w:rFonts w:ascii="Arial" w:eastAsia="Calibri" w:hAnsi="Arial" w:cs="Arial"/>
                <w:sz w:val="20"/>
                <w:szCs w:val="20"/>
              </w:rPr>
              <w:t>pravnog odjela</w:t>
            </w:r>
            <w:r w:rsidR="003B542A" w:rsidRPr="00F43E37">
              <w:rPr>
                <w:rFonts w:ascii="Arial" w:eastAsia="Calibri" w:hAnsi="Arial" w:cs="Arial"/>
                <w:sz w:val="20"/>
                <w:szCs w:val="20"/>
              </w:rPr>
              <w:t xml:space="preserve"> za opće poslove, mjesnu samoupravu i društvene djelatnosti</w:t>
            </w:r>
            <w:r w:rsidRPr="00F43E37">
              <w:rPr>
                <w:rFonts w:ascii="Arial" w:eastAsia="Calibri" w:hAnsi="Arial" w:cs="Arial"/>
                <w:sz w:val="20"/>
                <w:szCs w:val="20"/>
              </w:rPr>
              <w:t xml:space="preserve"> izvršavaju se rashodi koji se odnose na javnu upravu i administraciju, odnosno zajedničke troškove upravnih tijela (plaće i materijalna prava zaposlenika, te opći troškovi vezani uz rad - električna energija, voda, telefon, uredski materijal i sl.) </w:t>
            </w:r>
          </w:p>
          <w:p w14:paraId="678CA3F2" w14:textId="77777777" w:rsidR="00E14E80" w:rsidRPr="00F43E37" w:rsidRDefault="00E14E80" w:rsidP="00055CA1">
            <w:pPr>
              <w:spacing w:after="0" w:line="240" w:lineRule="auto"/>
              <w:jc w:val="both"/>
              <w:rPr>
                <w:rFonts w:ascii="Arial" w:eastAsia="Calibri" w:hAnsi="Arial" w:cs="Arial"/>
                <w:sz w:val="20"/>
                <w:szCs w:val="20"/>
              </w:rPr>
            </w:pPr>
          </w:p>
          <w:p w14:paraId="197A66E3" w14:textId="77777777" w:rsidR="00E14E80" w:rsidRPr="00F43E37" w:rsidRDefault="00E14E80" w:rsidP="00055CA1">
            <w:pPr>
              <w:spacing w:after="0" w:line="240" w:lineRule="auto"/>
              <w:jc w:val="both"/>
              <w:rPr>
                <w:rFonts w:ascii="Arial" w:eastAsia="Calibri" w:hAnsi="Arial" w:cs="Arial"/>
                <w:sz w:val="20"/>
                <w:szCs w:val="20"/>
              </w:rPr>
            </w:pPr>
            <w:r w:rsidRPr="00F43E37">
              <w:rPr>
                <w:rFonts w:ascii="Arial" w:eastAsia="Calibri" w:hAnsi="Arial" w:cs="Arial"/>
                <w:sz w:val="20"/>
                <w:szCs w:val="20"/>
              </w:rPr>
              <w:t>Općinsko vijeće Općine Konavle je na 8. sjednici održanoj 11. rujna 2014. godine donijelo Odluku o sustavu glavne knjige riznice Općine Konavle i načinu vođenja jedinstvenog računa riznice (Službeni glasnik Općine Konavle 7/2014). Naime, u skladu s odredbama Zakona o proračunu o poslovanju putem jedinstvenog računa Općine. Jedinstveni račun riznice je račun preko kojeg se izvršavaju uplate prihoda i primitaka te isplate rashoda i izdataka općinskog proračuna i proračunskih korisnika. Primjena sustava riznice je započela od 01. siječnja 2015. godine.</w:t>
            </w:r>
          </w:p>
        </w:tc>
      </w:tr>
    </w:tbl>
    <w:p w14:paraId="52FA6A20" w14:textId="77777777" w:rsidR="00E14E80" w:rsidRPr="003A2F86" w:rsidRDefault="00E14E80" w:rsidP="00055CA1">
      <w:pPr>
        <w:spacing w:after="0" w:line="240" w:lineRule="auto"/>
        <w:jc w:val="both"/>
        <w:rPr>
          <w:lang w:eastAsia="en-US"/>
        </w:rPr>
      </w:pPr>
    </w:p>
    <w:p w14:paraId="2A3B650B" w14:textId="77777777" w:rsidR="00E14E80" w:rsidRPr="003A2F86" w:rsidRDefault="00E14E80" w:rsidP="002222F0">
      <w:pPr>
        <w:spacing w:after="0" w:line="240" w:lineRule="auto"/>
        <w:rPr>
          <w:lang w:eastAsia="en-US"/>
        </w:rPr>
      </w:pPr>
    </w:p>
    <w:p w14:paraId="72DD5AA7" w14:textId="77777777" w:rsidR="00E14E80" w:rsidRPr="003A2F86" w:rsidRDefault="00E14E80" w:rsidP="002222F0">
      <w:pPr>
        <w:spacing w:after="0" w:line="240" w:lineRule="auto"/>
        <w:rPr>
          <w:lang w:eastAsia="en-US"/>
        </w:rPr>
      </w:pPr>
    </w:p>
    <w:p w14:paraId="5E25D480" w14:textId="77777777" w:rsidR="00E14E80" w:rsidRPr="003A2F86" w:rsidRDefault="00E14E80" w:rsidP="002222F0">
      <w:pPr>
        <w:spacing w:after="0" w:line="240" w:lineRule="auto"/>
        <w:rPr>
          <w:lang w:eastAsia="en-US"/>
        </w:rPr>
      </w:pPr>
    </w:p>
    <w:p w14:paraId="712DCBF9" w14:textId="77777777" w:rsidR="00E14E80" w:rsidRPr="003A2F86" w:rsidRDefault="00E14E80" w:rsidP="002222F0">
      <w:pPr>
        <w:spacing w:after="0" w:line="240" w:lineRule="auto"/>
        <w:rPr>
          <w:lang w:eastAsia="en-US"/>
        </w:rPr>
      </w:pPr>
    </w:p>
    <w:p w14:paraId="146000BC" w14:textId="77777777" w:rsidR="00E14E80" w:rsidRDefault="00E14E80" w:rsidP="002222F0">
      <w:pPr>
        <w:spacing w:after="0" w:line="240" w:lineRule="auto"/>
        <w:rPr>
          <w:lang w:eastAsia="en-US"/>
        </w:rPr>
      </w:pPr>
    </w:p>
    <w:p w14:paraId="2C8DB0B1" w14:textId="77777777" w:rsidR="003E1C1B" w:rsidRDefault="003E1C1B" w:rsidP="002222F0">
      <w:pPr>
        <w:spacing w:after="0" w:line="240" w:lineRule="auto"/>
        <w:rPr>
          <w:lang w:eastAsia="en-US"/>
        </w:rPr>
      </w:pPr>
    </w:p>
    <w:p w14:paraId="320F5D75" w14:textId="77777777" w:rsidR="003E1C1B" w:rsidRDefault="003E1C1B" w:rsidP="002222F0">
      <w:pPr>
        <w:spacing w:after="0" w:line="240" w:lineRule="auto"/>
        <w:rPr>
          <w:lang w:eastAsia="en-US"/>
        </w:rPr>
      </w:pPr>
    </w:p>
    <w:p w14:paraId="7D1E6688" w14:textId="77777777" w:rsidR="003E1C1B" w:rsidRPr="003A2F86" w:rsidRDefault="003E1C1B" w:rsidP="002222F0">
      <w:pPr>
        <w:spacing w:after="0" w:line="240" w:lineRule="auto"/>
        <w:rPr>
          <w:lang w:eastAsia="en-US"/>
        </w:rPr>
      </w:pPr>
    </w:p>
    <w:p w14:paraId="6A8E9450" w14:textId="77777777" w:rsidR="00E14E80" w:rsidRPr="003A2F86" w:rsidRDefault="00E14E80" w:rsidP="002222F0">
      <w:pPr>
        <w:spacing w:after="0" w:line="240" w:lineRule="auto"/>
        <w:rPr>
          <w:lang w:eastAsia="en-US"/>
        </w:rPr>
      </w:pPr>
    </w:p>
    <w:p w14:paraId="00B00DBC" w14:textId="77777777" w:rsidR="00E14E80" w:rsidRPr="003A2F86" w:rsidRDefault="00E14E80" w:rsidP="002222F0">
      <w:pPr>
        <w:spacing w:after="0" w:line="240" w:lineRule="auto"/>
        <w:rPr>
          <w:lang w:eastAsia="en-US"/>
        </w:rPr>
      </w:pPr>
    </w:p>
    <w:p w14:paraId="40723B4B" w14:textId="77777777" w:rsidR="00E14E80" w:rsidRDefault="00E14E80" w:rsidP="002222F0">
      <w:pPr>
        <w:spacing w:after="0" w:line="240" w:lineRule="auto"/>
        <w:rPr>
          <w:lang w:eastAsia="en-US"/>
        </w:rPr>
      </w:pPr>
    </w:p>
    <w:p w14:paraId="63E3C6B1" w14:textId="77777777" w:rsidR="00F43E37" w:rsidRDefault="00F43E37" w:rsidP="002222F0">
      <w:pPr>
        <w:spacing w:after="0" w:line="240" w:lineRule="auto"/>
        <w:rPr>
          <w:lang w:eastAsia="en-US"/>
        </w:rPr>
      </w:pPr>
    </w:p>
    <w:p w14:paraId="6F21016B" w14:textId="77777777" w:rsidR="00F43E37" w:rsidRDefault="00F43E37" w:rsidP="002222F0">
      <w:pPr>
        <w:spacing w:after="0" w:line="240" w:lineRule="auto"/>
        <w:rPr>
          <w:lang w:eastAsia="en-US"/>
        </w:rPr>
      </w:pPr>
    </w:p>
    <w:p w14:paraId="1FA48F27" w14:textId="77777777" w:rsidR="00F43E37" w:rsidRDefault="00F43E37" w:rsidP="002222F0">
      <w:pPr>
        <w:spacing w:after="0" w:line="240" w:lineRule="auto"/>
        <w:rPr>
          <w:lang w:eastAsia="en-US"/>
        </w:rPr>
      </w:pPr>
    </w:p>
    <w:p w14:paraId="3EA096A0" w14:textId="77777777" w:rsidR="00676A9B" w:rsidRPr="003A2F86" w:rsidRDefault="00676A9B" w:rsidP="00676A9B">
      <w:pPr>
        <w:spacing w:after="0" w:line="240" w:lineRule="auto"/>
        <w:rPr>
          <w:lang w:eastAsia="en-US"/>
        </w:rPr>
      </w:pPr>
    </w:p>
    <w:p w14:paraId="31BF4E72" w14:textId="77777777" w:rsidR="00676A9B" w:rsidRPr="003A2F86" w:rsidRDefault="00676A9B" w:rsidP="00676A9B">
      <w:pPr>
        <w:spacing w:after="0" w:line="240" w:lineRule="auto"/>
        <w:rPr>
          <w:lang w:eastAsia="en-US"/>
        </w:rPr>
      </w:pPr>
    </w:p>
    <w:p w14:paraId="1331287C" w14:textId="77777777" w:rsidR="00676A9B" w:rsidRPr="003A2F86" w:rsidRDefault="00676A9B">
      <w:pPr>
        <w:pStyle w:val="Odlomakpopisa"/>
        <w:numPr>
          <w:ilvl w:val="0"/>
          <w:numId w:val="26"/>
        </w:num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eastAsia="Calibri" w:hAnsi="Arial" w:cs="Arial"/>
          <w:b/>
        </w:rPr>
      </w:pPr>
      <w:r w:rsidRPr="003A2F86">
        <w:rPr>
          <w:rFonts w:ascii="Arial" w:eastAsia="Calibri" w:hAnsi="Arial" w:cs="Arial"/>
          <w:b/>
        </w:rPr>
        <w:lastRenderedPageBreak/>
        <w:t>OBRAZLOŽENJE OPĆEG DIJELA FINANCIJSKOG PLANA</w:t>
      </w:r>
    </w:p>
    <w:p w14:paraId="5FEAD1F2" w14:textId="77777777" w:rsidR="00676A9B" w:rsidRPr="003A2F86" w:rsidRDefault="00676A9B" w:rsidP="00676A9B">
      <w:pPr>
        <w:spacing w:after="0" w:line="240" w:lineRule="auto"/>
        <w:rPr>
          <w:sz w:val="8"/>
          <w:szCs w:val="8"/>
          <w:lang w:eastAsia="en-US"/>
        </w:rPr>
      </w:pPr>
    </w:p>
    <w:p w14:paraId="4E8513E5" w14:textId="77777777" w:rsidR="00676A9B" w:rsidRPr="00C80520" w:rsidRDefault="00676A9B" w:rsidP="00676A9B">
      <w:pPr>
        <w:spacing w:after="0" w:line="240" w:lineRule="auto"/>
        <w:jc w:val="center"/>
        <w:rPr>
          <w:lang w:eastAsia="en-US"/>
        </w:rPr>
      </w:pPr>
    </w:p>
    <w:p w14:paraId="3D3EF895" w14:textId="7641EC80" w:rsidR="00F43E37" w:rsidRPr="003A2F86" w:rsidRDefault="00CC6285" w:rsidP="00E64595">
      <w:pPr>
        <w:spacing w:after="0" w:line="240" w:lineRule="auto"/>
        <w:jc w:val="center"/>
        <w:rPr>
          <w:lang w:eastAsia="en-US"/>
        </w:rPr>
      </w:pPr>
      <w:r w:rsidRPr="00CC6285">
        <w:rPr>
          <w:noProof/>
        </w:rPr>
        <w:drawing>
          <wp:inline distT="0" distB="0" distL="0" distR="0" wp14:anchorId="272A8758" wp14:editId="653808FB">
            <wp:extent cx="7269309" cy="5473435"/>
            <wp:effectExtent l="0" t="0" r="8255" b="0"/>
            <wp:docPr id="46695830"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272060" cy="5475506"/>
                    </a:xfrm>
                    <a:prstGeom prst="rect">
                      <a:avLst/>
                    </a:prstGeom>
                    <a:noFill/>
                    <a:ln>
                      <a:noFill/>
                    </a:ln>
                  </pic:spPr>
                </pic:pic>
              </a:graphicData>
            </a:graphic>
          </wp:inline>
        </w:drawing>
      </w:r>
    </w:p>
    <w:p w14:paraId="66207562" w14:textId="35A6BAB9" w:rsidR="000B6A06" w:rsidRPr="003A2F86" w:rsidRDefault="000B6A06" w:rsidP="00BE52B4">
      <w:pPr>
        <w:spacing w:after="0" w:line="240" w:lineRule="auto"/>
        <w:jc w:val="center"/>
        <w:rPr>
          <w:lang w:eastAsia="en-US"/>
        </w:rPr>
      </w:pPr>
    </w:p>
    <w:p w14:paraId="6C94FF2B" w14:textId="41424A05" w:rsidR="00BE52B4" w:rsidRPr="003A2F86" w:rsidRDefault="00BE52B4" w:rsidP="00BE52B4">
      <w:pPr>
        <w:spacing w:after="0" w:line="240" w:lineRule="auto"/>
        <w:rPr>
          <w:rFonts w:ascii="Arial" w:eastAsia="Calibri" w:hAnsi="Arial" w:cs="Arial"/>
        </w:rPr>
      </w:pPr>
      <w:r w:rsidRPr="003A2F86">
        <w:rPr>
          <w:rFonts w:ascii="Arial" w:eastAsia="Calibri" w:hAnsi="Arial" w:cs="Arial"/>
          <w:b/>
          <w:bCs/>
          <w:highlight w:val="yellow"/>
          <w:u w:val="single"/>
        </w:rPr>
        <w:lastRenderedPageBreak/>
        <w:t>Ukupno proračunski korisnici u nadležnosti Upravnog odjela</w:t>
      </w:r>
      <w:r w:rsidRPr="003A2F86">
        <w:rPr>
          <w:rFonts w:ascii="Arial" w:eastAsia="Calibri" w:hAnsi="Arial" w:cs="Arial"/>
          <w:highlight w:val="yellow"/>
        </w:rPr>
        <w:t xml:space="preserve"> (Dječji vrtić Konavle, Muzeji i galerije Konavala, Dom za starije i nemoćne osobe Konavle)</w:t>
      </w:r>
    </w:p>
    <w:p w14:paraId="565952A4" w14:textId="1449AAAD" w:rsidR="00E14E80" w:rsidRPr="003A2F86" w:rsidRDefault="00E64595" w:rsidP="00B35917">
      <w:pPr>
        <w:spacing w:after="0" w:line="240" w:lineRule="auto"/>
        <w:jc w:val="center"/>
        <w:rPr>
          <w:lang w:eastAsia="en-US"/>
        </w:rPr>
      </w:pPr>
      <w:r w:rsidRPr="00E64595">
        <w:rPr>
          <w:noProof/>
        </w:rPr>
        <w:drawing>
          <wp:inline distT="0" distB="0" distL="0" distR="0" wp14:anchorId="521E6C2D" wp14:editId="21EA472D">
            <wp:extent cx="7087146" cy="5467050"/>
            <wp:effectExtent l="0" t="0" r="0" b="635"/>
            <wp:docPr id="582663924"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091069" cy="5470076"/>
                    </a:xfrm>
                    <a:prstGeom prst="rect">
                      <a:avLst/>
                    </a:prstGeom>
                    <a:noFill/>
                    <a:ln>
                      <a:noFill/>
                    </a:ln>
                  </pic:spPr>
                </pic:pic>
              </a:graphicData>
            </a:graphic>
          </wp:inline>
        </w:drawing>
      </w:r>
    </w:p>
    <w:p w14:paraId="2AA20A04" w14:textId="77777777" w:rsidR="00906A75" w:rsidRPr="00F43E37" w:rsidRDefault="00906A75">
      <w:pPr>
        <w:numPr>
          <w:ilvl w:val="0"/>
          <w:numId w:val="8"/>
        </w:numPr>
        <w:spacing w:after="0" w:line="240" w:lineRule="auto"/>
        <w:ind w:left="0" w:firstLine="0"/>
        <w:jc w:val="both"/>
        <w:rPr>
          <w:rFonts w:ascii="Arial" w:eastAsia="Calibri" w:hAnsi="Arial" w:cs="Arial"/>
          <w:sz w:val="20"/>
          <w:szCs w:val="20"/>
        </w:rPr>
      </w:pPr>
      <w:r w:rsidRPr="00F43E37">
        <w:rPr>
          <w:rFonts w:ascii="Arial" w:eastAsia="Calibri" w:hAnsi="Arial" w:cs="Arial"/>
          <w:sz w:val="20"/>
          <w:szCs w:val="20"/>
        </w:rPr>
        <w:lastRenderedPageBreak/>
        <w:t xml:space="preserve">U okviru upravnog odjela su u nadležnosti tri proračunska korisnika koji ostvaruju prihode od obavljanja djelatnosti i pomoći kako je prikazano u tablici u nastavku. </w:t>
      </w:r>
    </w:p>
    <w:p w14:paraId="7CF3C392" w14:textId="115E93A7" w:rsidR="00906A75" w:rsidRPr="00F43E37" w:rsidRDefault="00906A75" w:rsidP="00906A75">
      <w:pPr>
        <w:spacing w:after="0" w:line="240" w:lineRule="auto"/>
        <w:rPr>
          <w:rFonts w:ascii="Arial" w:eastAsia="Calibri" w:hAnsi="Arial" w:cs="Arial"/>
          <w:sz w:val="20"/>
          <w:szCs w:val="20"/>
        </w:rPr>
      </w:pPr>
    </w:p>
    <w:p w14:paraId="628FE2AF" w14:textId="47D8AA38" w:rsidR="00B35917" w:rsidRDefault="00E64595" w:rsidP="00906A75">
      <w:pPr>
        <w:spacing w:after="0" w:line="240" w:lineRule="auto"/>
        <w:rPr>
          <w:rFonts w:ascii="Arial" w:eastAsia="Calibri" w:hAnsi="Arial" w:cs="Arial"/>
          <w:sz w:val="20"/>
          <w:szCs w:val="20"/>
        </w:rPr>
      </w:pPr>
      <w:r w:rsidRPr="00E64595">
        <w:rPr>
          <w:noProof/>
        </w:rPr>
        <w:drawing>
          <wp:inline distT="0" distB="0" distL="0" distR="0" wp14:anchorId="288C78D6" wp14:editId="03E9ED34">
            <wp:extent cx="9251950" cy="1430655"/>
            <wp:effectExtent l="0" t="0" r="6350" b="0"/>
            <wp:docPr id="1893969615"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251950" cy="1430655"/>
                    </a:xfrm>
                    <a:prstGeom prst="rect">
                      <a:avLst/>
                    </a:prstGeom>
                    <a:noFill/>
                    <a:ln>
                      <a:noFill/>
                    </a:ln>
                  </pic:spPr>
                </pic:pic>
              </a:graphicData>
            </a:graphic>
          </wp:inline>
        </w:drawing>
      </w:r>
    </w:p>
    <w:p w14:paraId="4CC0EB13" w14:textId="77777777" w:rsidR="00E64595" w:rsidRDefault="00E64595" w:rsidP="00906A75">
      <w:pPr>
        <w:spacing w:after="0" w:line="240" w:lineRule="auto"/>
        <w:rPr>
          <w:rFonts w:ascii="Arial" w:eastAsia="Calibri" w:hAnsi="Arial" w:cs="Arial"/>
          <w:sz w:val="20"/>
          <w:szCs w:val="20"/>
        </w:rPr>
      </w:pPr>
    </w:p>
    <w:p w14:paraId="0A70DDB7" w14:textId="16FB9647" w:rsidR="00906A75" w:rsidRPr="00F43E37" w:rsidRDefault="00906A75" w:rsidP="00906A75">
      <w:pPr>
        <w:spacing w:after="0" w:line="240" w:lineRule="auto"/>
        <w:rPr>
          <w:rFonts w:ascii="Arial" w:eastAsia="Calibri" w:hAnsi="Arial" w:cs="Arial"/>
          <w:sz w:val="20"/>
          <w:szCs w:val="20"/>
        </w:rPr>
      </w:pPr>
      <w:r w:rsidRPr="00F43E37">
        <w:rPr>
          <w:rFonts w:ascii="Arial" w:eastAsia="Calibri" w:hAnsi="Arial" w:cs="Arial"/>
          <w:sz w:val="20"/>
          <w:szCs w:val="20"/>
        </w:rPr>
        <w:t xml:space="preserve">Osnovni prihodi od obavljanja djelatnosti </w:t>
      </w:r>
      <w:r w:rsidR="0099514B" w:rsidRPr="00F43E37">
        <w:rPr>
          <w:rFonts w:ascii="Arial" w:eastAsia="Calibri" w:hAnsi="Arial" w:cs="Arial"/>
          <w:sz w:val="20"/>
          <w:szCs w:val="20"/>
        </w:rPr>
        <w:t>iskazuju se</w:t>
      </w:r>
      <w:r w:rsidRPr="00F43E37">
        <w:rPr>
          <w:rFonts w:ascii="Arial" w:eastAsia="Calibri" w:hAnsi="Arial" w:cs="Arial"/>
          <w:sz w:val="20"/>
          <w:szCs w:val="20"/>
        </w:rPr>
        <w:t xml:space="preserve"> putem razreda 65 i 663, dok se drugi prihodi odnose na prihode od pružanja usluga, od pomoći i donacija. </w:t>
      </w:r>
    </w:p>
    <w:p w14:paraId="33B45C4F" w14:textId="2CFA816C" w:rsidR="0099514B" w:rsidRPr="00F43E37" w:rsidRDefault="0099514B" w:rsidP="00382C70">
      <w:pPr>
        <w:spacing w:after="0" w:line="240" w:lineRule="auto"/>
        <w:ind w:firstLine="360"/>
        <w:rPr>
          <w:rFonts w:ascii="Arial" w:eastAsia="Calibri" w:hAnsi="Arial" w:cs="Arial"/>
          <w:sz w:val="20"/>
          <w:szCs w:val="20"/>
        </w:rPr>
      </w:pPr>
      <w:r w:rsidRPr="00F43E37">
        <w:rPr>
          <w:rFonts w:ascii="Arial" w:eastAsia="Calibri" w:hAnsi="Arial" w:cs="Arial"/>
          <w:sz w:val="20"/>
          <w:szCs w:val="20"/>
        </w:rPr>
        <w:t xml:space="preserve">- </w:t>
      </w:r>
      <w:r w:rsidR="00382C70" w:rsidRPr="00F43E37">
        <w:rPr>
          <w:rFonts w:ascii="Arial" w:eastAsia="Calibri" w:hAnsi="Arial" w:cs="Arial"/>
          <w:sz w:val="20"/>
          <w:szCs w:val="20"/>
        </w:rPr>
        <w:tab/>
      </w:r>
      <w:r w:rsidRPr="00F43E37">
        <w:rPr>
          <w:rFonts w:ascii="Arial" w:eastAsia="Calibri" w:hAnsi="Arial" w:cs="Arial"/>
          <w:sz w:val="20"/>
          <w:szCs w:val="20"/>
        </w:rPr>
        <w:t>U okviru upravnog odjela iskazuju se prihodi od poreza, te nenamjenski prihodi od pomoći i donacija.</w:t>
      </w:r>
    </w:p>
    <w:p w14:paraId="5722454B" w14:textId="7BE7F8ED" w:rsidR="00906A75" w:rsidRPr="00F43E37" w:rsidRDefault="00906A75">
      <w:pPr>
        <w:numPr>
          <w:ilvl w:val="0"/>
          <w:numId w:val="8"/>
        </w:numPr>
        <w:spacing w:after="0" w:line="240" w:lineRule="auto"/>
        <w:jc w:val="both"/>
        <w:rPr>
          <w:rFonts w:ascii="Arial" w:eastAsia="Calibri" w:hAnsi="Arial" w:cs="Arial"/>
          <w:sz w:val="20"/>
          <w:szCs w:val="20"/>
        </w:rPr>
      </w:pPr>
      <w:r w:rsidRPr="00F43E37">
        <w:rPr>
          <w:rFonts w:ascii="Arial" w:eastAsia="Calibri" w:hAnsi="Arial" w:cs="Arial"/>
          <w:sz w:val="20"/>
          <w:szCs w:val="20"/>
        </w:rPr>
        <w:t>Svi drugi prihodi, osim vlastitih prihoda proračunskih korisnika u nadležnosti</w:t>
      </w:r>
      <w:r w:rsidR="0099514B" w:rsidRPr="00F43E37">
        <w:rPr>
          <w:rFonts w:ascii="Arial" w:eastAsia="Calibri" w:hAnsi="Arial" w:cs="Arial"/>
          <w:sz w:val="20"/>
          <w:szCs w:val="20"/>
        </w:rPr>
        <w:t>, te prihoda od poreza i pomoći</w:t>
      </w:r>
      <w:r w:rsidRPr="00F43E37">
        <w:rPr>
          <w:rFonts w:ascii="Arial" w:eastAsia="Calibri" w:hAnsi="Arial" w:cs="Arial"/>
          <w:sz w:val="20"/>
          <w:szCs w:val="20"/>
        </w:rPr>
        <w:t>, se odnose na prihode koji bi se iskazivali na 671.</w:t>
      </w:r>
    </w:p>
    <w:p w14:paraId="58C93C9D" w14:textId="77777777" w:rsidR="00906A75" w:rsidRPr="00F43E37" w:rsidRDefault="00906A75" w:rsidP="00906A75">
      <w:pPr>
        <w:spacing w:after="0" w:line="240" w:lineRule="auto"/>
        <w:rPr>
          <w:rFonts w:ascii="Arial" w:eastAsia="Calibri" w:hAnsi="Arial" w:cs="Arial"/>
          <w:sz w:val="20"/>
          <w:szCs w:val="20"/>
        </w:rPr>
      </w:pPr>
    </w:p>
    <w:p w14:paraId="3B27423B" w14:textId="6DDFACCC" w:rsidR="00906A75" w:rsidRPr="00F43E37" w:rsidRDefault="00906A75" w:rsidP="00906A75">
      <w:pPr>
        <w:spacing w:after="0" w:line="240" w:lineRule="auto"/>
        <w:ind w:firstLine="708"/>
        <w:rPr>
          <w:rFonts w:ascii="Arial" w:eastAsia="Calibri" w:hAnsi="Arial" w:cs="Arial"/>
          <w:sz w:val="20"/>
          <w:szCs w:val="20"/>
        </w:rPr>
      </w:pPr>
      <w:r w:rsidRPr="00F43E37">
        <w:rPr>
          <w:rFonts w:ascii="Arial" w:eastAsia="Calibri" w:hAnsi="Arial" w:cs="Arial"/>
          <w:sz w:val="20"/>
          <w:szCs w:val="20"/>
          <w:u w:val="single"/>
        </w:rPr>
        <w:t>Izvršeni rashodi poslovanja</w:t>
      </w:r>
      <w:r w:rsidRPr="00F43E37">
        <w:rPr>
          <w:rFonts w:ascii="Arial" w:eastAsia="Calibri" w:hAnsi="Arial" w:cs="Arial"/>
          <w:sz w:val="20"/>
          <w:szCs w:val="20"/>
        </w:rPr>
        <w:t xml:space="preserve"> sastoje se od:</w:t>
      </w:r>
    </w:p>
    <w:p w14:paraId="6C249A30" w14:textId="77777777" w:rsidR="00906A75" w:rsidRPr="00F43E37" w:rsidRDefault="00906A75">
      <w:pPr>
        <w:numPr>
          <w:ilvl w:val="0"/>
          <w:numId w:val="8"/>
        </w:numPr>
        <w:spacing w:after="0" w:line="240" w:lineRule="auto"/>
        <w:ind w:left="0" w:firstLine="0"/>
        <w:contextualSpacing/>
        <w:jc w:val="both"/>
        <w:rPr>
          <w:rFonts w:ascii="Arial" w:eastAsia="Calibri" w:hAnsi="Arial" w:cs="Arial"/>
          <w:sz w:val="20"/>
          <w:szCs w:val="20"/>
        </w:rPr>
      </w:pPr>
      <w:r w:rsidRPr="00F43E37">
        <w:rPr>
          <w:rFonts w:ascii="Arial" w:eastAsia="Calibri" w:hAnsi="Arial" w:cs="Arial"/>
          <w:sz w:val="20"/>
          <w:szCs w:val="20"/>
        </w:rPr>
        <w:t>rashoda za plaće zaposlenika Općine, te plaće proračunskih korisnika</w:t>
      </w:r>
    </w:p>
    <w:p w14:paraId="533C0B96" w14:textId="77777777" w:rsidR="00906A75" w:rsidRPr="00F43E37" w:rsidRDefault="00906A75">
      <w:pPr>
        <w:numPr>
          <w:ilvl w:val="0"/>
          <w:numId w:val="8"/>
        </w:numPr>
        <w:spacing w:after="0" w:line="240" w:lineRule="auto"/>
        <w:ind w:left="0" w:firstLine="0"/>
        <w:contextualSpacing/>
        <w:jc w:val="both"/>
        <w:rPr>
          <w:rFonts w:ascii="Arial" w:eastAsia="Calibri" w:hAnsi="Arial" w:cs="Arial"/>
          <w:sz w:val="20"/>
          <w:szCs w:val="20"/>
        </w:rPr>
      </w:pPr>
      <w:r w:rsidRPr="00F43E37">
        <w:rPr>
          <w:rFonts w:ascii="Arial" w:eastAsia="Calibri" w:hAnsi="Arial" w:cs="Arial"/>
          <w:sz w:val="20"/>
          <w:szCs w:val="20"/>
        </w:rPr>
        <w:t xml:space="preserve">materijalnih rashoda za redovno funkcioniranje općinske uprave, </w:t>
      </w:r>
    </w:p>
    <w:p w14:paraId="419565EA" w14:textId="77777777" w:rsidR="00906A75" w:rsidRPr="00F43E37" w:rsidRDefault="00906A75">
      <w:pPr>
        <w:numPr>
          <w:ilvl w:val="0"/>
          <w:numId w:val="8"/>
        </w:numPr>
        <w:spacing w:after="0" w:line="240" w:lineRule="auto"/>
        <w:ind w:left="0" w:firstLine="0"/>
        <w:contextualSpacing/>
        <w:jc w:val="both"/>
        <w:rPr>
          <w:rFonts w:ascii="Arial" w:eastAsia="Calibri" w:hAnsi="Arial" w:cs="Arial"/>
          <w:sz w:val="20"/>
          <w:szCs w:val="20"/>
        </w:rPr>
      </w:pPr>
      <w:r w:rsidRPr="00F43E37">
        <w:rPr>
          <w:rFonts w:ascii="Arial" w:eastAsia="Calibri" w:hAnsi="Arial" w:cs="Arial"/>
          <w:sz w:val="20"/>
          <w:szCs w:val="20"/>
        </w:rPr>
        <w:t>financijskih rashoda koji se odnose na redovno poslovanje putem jedinstvenog računa riznice</w:t>
      </w:r>
    </w:p>
    <w:p w14:paraId="1B73957B" w14:textId="77777777" w:rsidR="00906A75" w:rsidRPr="00F43E37" w:rsidRDefault="00906A75">
      <w:pPr>
        <w:numPr>
          <w:ilvl w:val="0"/>
          <w:numId w:val="8"/>
        </w:numPr>
        <w:spacing w:after="0" w:line="240" w:lineRule="auto"/>
        <w:ind w:left="0" w:firstLine="0"/>
        <w:contextualSpacing/>
        <w:jc w:val="both"/>
        <w:rPr>
          <w:rFonts w:ascii="Arial" w:eastAsia="Calibri" w:hAnsi="Arial" w:cs="Arial"/>
          <w:sz w:val="20"/>
          <w:szCs w:val="20"/>
        </w:rPr>
      </w:pPr>
      <w:r w:rsidRPr="00F43E37">
        <w:rPr>
          <w:rFonts w:ascii="Arial" w:eastAsia="Calibri" w:hAnsi="Arial" w:cs="Arial"/>
          <w:sz w:val="20"/>
          <w:szCs w:val="20"/>
        </w:rPr>
        <w:t>pomoći unutar općeg proračuna (koji se odnose na financiranje proračunskih korisnika drugih proračuna kao što su knjižnica, umjetnička škola, osnovne škole, hitna medicina i drugi – a izvršavaju se putem programa javnih potreba)</w:t>
      </w:r>
    </w:p>
    <w:p w14:paraId="3C3A507F" w14:textId="77777777" w:rsidR="00906A75" w:rsidRPr="00F43E37" w:rsidRDefault="00906A75">
      <w:pPr>
        <w:numPr>
          <w:ilvl w:val="0"/>
          <w:numId w:val="8"/>
        </w:numPr>
        <w:spacing w:after="0" w:line="240" w:lineRule="auto"/>
        <w:ind w:left="0" w:firstLine="0"/>
        <w:contextualSpacing/>
        <w:jc w:val="both"/>
        <w:rPr>
          <w:rFonts w:ascii="Arial" w:eastAsia="Calibri" w:hAnsi="Arial" w:cs="Arial"/>
          <w:sz w:val="20"/>
          <w:szCs w:val="20"/>
        </w:rPr>
      </w:pPr>
      <w:r w:rsidRPr="00F43E37">
        <w:rPr>
          <w:rFonts w:ascii="Arial" w:eastAsia="Calibri" w:hAnsi="Arial" w:cs="Arial"/>
          <w:sz w:val="20"/>
          <w:szCs w:val="20"/>
        </w:rPr>
        <w:t>ostalih rashoda (najvećim dijelom tekuće donacije koje se izvršavaju putem programa javnih potreba u sportu, kulturi, socijali)</w:t>
      </w:r>
    </w:p>
    <w:p w14:paraId="242EF68C" w14:textId="77777777" w:rsidR="00906A75" w:rsidRPr="00F43E37" w:rsidRDefault="00906A75">
      <w:pPr>
        <w:numPr>
          <w:ilvl w:val="0"/>
          <w:numId w:val="8"/>
        </w:numPr>
        <w:spacing w:after="0" w:line="240" w:lineRule="auto"/>
        <w:ind w:left="0" w:firstLine="0"/>
        <w:contextualSpacing/>
        <w:jc w:val="both"/>
        <w:rPr>
          <w:rFonts w:ascii="Arial" w:eastAsia="Calibri" w:hAnsi="Arial" w:cs="Arial"/>
          <w:sz w:val="20"/>
          <w:szCs w:val="20"/>
        </w:rPr>
      </w:pPr>
      <w:r w:rsidRPr="00F43E37">
        <w:rPr>
          <w:rFonts w:ascii="Arial" w:eastAsia="Calibri" w:hAnsi="Arial" w:cs="Arial"/>
          <w:sz w:val="20"/>
          <w:szCs w:val="20"/>
        </w:rPr>
        <w:t>naknada građanima i kućanstvima (izvršavanje rashoda putem programa socijalnih potreba, demografskih mjera i zdravstvenih potreba),</w:t>
      </w:r>
    </w:p>
    <w:p w14:paraId="38B52D9B" w14:textId="77777777" w:rsidR="00906A75" w:rsidRPr="00F43E37" w:rsidRDefault="00906A75">
      <w:pPr>
        <w:numPr>
          <w:ilvl w:val="0"/>
          <w:numId w:val="8"/>
        </w:numPr>
        <w:spacing w:after="0" w:line="240" w:lineRule="auto"/>
        <w:ind w:left="0" w:firstLine="0"/>
        <w:contextualSpacing/>
        <w:jc w:val="both"/>
        <w:rPr>
          <w:rFonts w:ascii="Arial" w:eastAsia="Calibri" w:hAnsi="Arial" w:cs="Arial"/>
          <w:sz w:val="20"/>
          <w:szCs w:val="20"/>
        </w:rPr>
      </w:pPr>
      <w:r w:rsidRPr="00F43E37">
        <w:rPr>
          <w:rFonts w:ascii="Arial" w:eastAsia="Calibri" w:hAnsi="Arial" w:cs="Arial"/>
          <w:sz w:val="20"/>
          <w:szCs w:val="20"/>
        </w:rPr>
        <w:t>rashoda za nabavu uredske opreme i namještaja za upravne odjele Općine.</w:t>
      </w:r>
    </w:p>
    <w:p w14:paraId="19A3577F" w14:textId="77777777" w:rsidR="00906A75" w:rsidRPr="00F43E37" w:rsidRDefault="00906A75" w:rsidP="00904CBF">
      <w:pPr>
        <w:spacing w:after="0" w:line="240" w:lineRule="auto"/>
        <w:contextualSpacing/>
        <w:rPr>
          <w:rFonts w:ascii="Arial" w:eastAsia="Calibri" w:hAnsi="Arial" w:cs="Arial"/>
          <w:sz w:val="20"/>
          <w:szCs w:val="20"/>
        </w:rPr>
      </w:pPr>
    </w:p>
    <w:p w14:paraId="2A6061DA" w14:textId="77777777" w:rsidR="00906A75" w:rsidRPr="00F43E37" w:rsidRDefault="00906A75">
      <w:pPr>
        <w:numPr>
          <w:ilvl w:val="0"/>
          <w:numId w:val="8"/>
        </w:numPr>
        <w:spacing w:after="0" w:line="240" w:lineRule="auto"/>
        <w:ind w:left="0" w:firstLine="0"/>
        <w:jc w:val="both"/>
        <w:rPr>
          <w:rFonts w:ascii="Arial" w:eastAsia="Calibri" w:hAnsi="Arial" w:cs="Arial"/>
          <w:sz w:val="20"/>
          <w:szCs w:val="20"/>
        </w:rPr>
      </w:pPr>
      <w:r w:rsidRPr="00F43E37">
        <w:rPr>
          <w:rFonts w:ascii="Arial" w:eastAsia="Calibri" w:hAnsi="Arial" w:cs="Arial"/>
          <w:sz w:val="20"/>
          <w:szCs w:val="20"/>
        </w:rPr>
        <w:t xml:space="preserve">U okviru upravnog odjela rashodi za tri proračunska korisnika koji su u nadležnosti odjela prikazani su u tablici u nastavku. </w:t>
      </w:r>
    </w:p>
    <w:p w14:paraId="48354F3B" w14:textId="37A2623F" w:rsidR="00E64595" w:rsidRDefault="00E64595" w:rsidP="00141305">
      <w:pPr>
        <w:pStyle w:val="Odlomakpopisa"/>
        <w:ind w:left="0"/>
        <w:contextualSpacing/>
        <w:jc w:val="center"/>
        <w:rPr>
          <w:rFonts w:ascii="Arial" w:eastAsia="Calibri" w:hAnsi="Arial" w:cs="Arial"/>
          <w:u w:val="single"/>
        </w:rPr>
      </w:pPr>
      <w:r w:rsidRPr="00E64595">
        <w:rPr>
          <w:rFonts w:eastAsia="Calibri"/>
          <w:noProof/>
        </w:rPr>
        <w:drawing>
          <wp:inline distT="0" distB="0" distL="0" distR="0" wp14:anchorId="62C05484" wp14:editId="39781DBE">
            <wp:extent cx="9251950" cy="1592580"/>
            <wp:effectExtent l="0" t="0" r="6350" b="7620"/>
            <wp:docPr id="813866420"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9251950" cy="1592580"/>
                    </a:xfrm>
                    <a:prstGeom prst="rect">
                      <a:avLst/>
                    </a:prstGeom>
                    <a:noFill/>
                    <a:ln>
                      <a:noFill/>
                    </a:ln>
                  </pic:spPr>
                </pic:pic>
              </a:graphicData>
            </a:graphic>
          </wp:inline>
        </w:drawing>
      </w:r>
    </w:p>
    <w:p w14:paraId="2B85FF69" w14:textId="77777777" w:rsidR="00E64595" w:rsidRDefault="00E64595" w:rsidP="00141305">
      <w:pPr>
        <w:pStyle w:val="Odlomakpopisa"/>
        <w:ind w:left="0"/>
        <w:contextualSpacing/>
        <w:jc w:val="center"/>
        <w:rPr>
          <w:rFonts w:ascii="Arial" w:eastAsia="Calibri" w:hAnsi="Arial" w:cs="Arial"/>
          <w:u w:val="single"/>
        </w:rPr>
      </w:pPr>
    </w:p>
    <w:p w14:paraId="1DA468AE" w14:textId="5FBBA2F0" w:rsidR="00906A75" w:rsidRPr="003A2F86" w:rsidRDefault="00906A75" w:rsidP="00906A75">
      <w:pPr>
        <w:pStyle w:val="Odlomakpopisa"/>
        <w:ind w:left="1068"/>
        <w:contextualSpacing/>
        <w:rPr>
          <w:rFonts w:ascii="Arial" w:eastAsia="Calibri" w:hAnsi="Arial" w:cs="Arial"/>
          <w:u w:val="single"/>
        </w:rPr>
      </w:pPr>
      <w:r w:rsidRPr="003A2F86">
        <w:rPr>
          <w:rFonts w:ascii="Arial" w:eastAsia="Calibri" w:hAnsi="Arial" w:cs="Arial"/>
          <w:u w:val="single"/>
        </w:rPr>
        <w:lastRenderedPageBreak/>
        <w:t>Višak prihoda:</w:t>
      </w:r>
    </w:p>
    <w:p w14:paraId="3E4ACC77" w14:textId="77777777" w:rsidR="00676A9B" w:rsidRDefault="00906A75" w:rsidP="00676A9B">
      <w:pPr>
        <w:spacing w:after="0" w:line="240" w:lineRule="auto"/>
        <w:rPr>
          <w:rFonts w:ascii="Arial" w:eastAsia="Calibri" w:hAnsi="Arial" w:cs="Arial"/>
        </w:rPr>
      </w:pPr>
      <w:r w:rsidRPr="007E7FDB">
        <w:rPr>
          <w:rFonts w:ascii="Arial" w:eastAsia="Calibri" w:hAnsi="Arial" w:cs="Arial"/>
        </w:rPr>
        <w:t>u financijskom planu ovog razdjela dio proračunskih korisnika ostvaruje manjak prihoda koji se podmiruje iz izvora opći prihodi i primici Upravnog odjela (razdjela). Upravni odjel ostvaruje višak prihoda koji koriste drugi Upravni odjeli</w:t>
      </w:r>
      <w:r w:rsidR="0099514B" w:rsidRPr="007E7FDB">
        <w:rPr>
          <w:rFonts w:ascii="Arial" w:eastAsia="Calibri" w:hAnsi="Arial" w:cs="Arial"/>
        </w:rPr>
        <w:t xml:space="preserve"> (prihodi od por</w:t>
      </w:r>
      <w:r w:rsidR="004443EE" w:rsidRPr="007E7FDB">
        <w:rPr>
          <w:rFonts w:ascii="Arial" w:eastAsia="Calibri" w:hAnsi="Arial" w:cs="Arial"/>
        </w:rPr>
        <w:t>e</w:t>
      </w:r>
      <w:r w:rsidR="0099514B" w:rsidRPr="007E7FDB">
        <w:rPr>
          <w:rFonts w:ascii="Arial" w:eastAsia="Calibri" w:hAnsi="Arial" w:cs="Arial"/>
        </w:rPr>
        <w:t>za).</w:t>
      </w:r>
    </w:p>
    <w:p w14:paraId="2913EFF9" w14:textId="77777777" w:rsidR="00676A9B" w:rsidRPr="003A2F86" w:rsidRDefault="00676A9B" w:rsidP="00676A9B">
      <w:pPr>
        <w:spacing w:after="0" w:line="240" w:lineRule="auto"/>
      </w:pPr>
    </w:p>
    <w:p w14:paraId="5692C24D" w14:textId="77777777" w:rsidR="00676A9B" w:rsidRPr="003A2F86" w:rsidRDefault="00676A9B">
      <w:pPr>
        <w:numPr>
          <w:ilvl w:val="0"/>
          <w:numId w:val="26"/>
        </w:numPr>
        <w:pBdr>
          <w:top w:val="single" w:sz="4" w:space="1" w:color="auto"/>
          <w:left w:val="single" w:sz="4" w:space="4" w:color="auto"/>
          <w:bottom w:val="single" w:sz="4" w:space="1" w:color="auto"/>
          <w:right w:val="single" w:sz="4" w:space="4" w:color="auto"/>
        </w:pBdr>
        <w:shd w:val="clear" w:color="auto" w:fill="DBE5F1" w:themeFill="accent1" w:themeFillTint="33"/>
        <w:spacing w:after="0" w:line="240" w:lineRule="auto"/>
        <w:jc w:val="both"/>
        <w:rPr>
          <w:rFonts w:ascii="Arial" w:eastAsia="Calibri" w:hAnsi="Arial" w:cs="Arial"/>
          <w:b/>
        </w:rPr>
      </w:pPr>
      <w:r w:rsidRPr="003A2F86">
        <w:rPr>
          <w:rFonts w:ascii="Arial" w:eastAsia="Calibri" w:hAnsi="Arial" w:cs="Arial"/>
          <w:b/>
        </w:rPr>
        <w:t>OBRAZLOŽENJE POSEBNOG DIJELA FINANCIJSKOG PLANA</w:t>
      </w:r>
    </w:p>
    <w:p w14:paraId="5734F257" w14:textId="77777777" w:rsidR="00676A9B" w:rsidRPr="00F43E37" w:rsidRDefault="00676A9B" w:rsidP="00676A9B">
      <w:pPr>
        <w:spacing w:after="0" w:line="240" w:lineRule="auto"/>
        <w:rPr>
          <w:rFonts w:ascii="Arial" w:eastAsia="Calibri" w:hAnsi="Arial" w:cs="Arial"/>
          <w:b/>
          <w:sz w:val="20"/>
          <w:szCs w:val="20"/>
        </w:rPr>
      </w:pPr>
    </w:p>
    <w:p w14:paraId="2541E2CD" w14:textId="77777777" w:rsidR="00676A9B" w:rsidRPr="00F43E37" w:rsidRDefault="00676A9B" w:rsidP="00676A9B">
      <w:pPr>
        <w:spacing w:after="0" w:line="240" w:lineRule="auto"/>
        <w:rPr>
          <w:rFonts w:ascii="Arial" w:eastAsia="Calibri" w:hAnsi="Arial" w:cs="Arial"/>
          <w:sz w:val="20"/>
          <w:szCs w:val="20"/>
        </w:rPr>
      </w:pPr>
      <w:r w:rsidRPr="00F43E37">
        <w:rPr>
          <w:rFonts w:ascii="Arial" w:eastAsia="Calibri" w:hAnsi="Arial" w:cs="Arial"/>
          <w:sz w:val="20"/>
          <w:szCs w:val="20"/>
        </w:rPr>
        <w:t>Posebni dio financijskog plana iskazuje rashode i izdatke po organizacijskoj klasifikaciji, po ekonomskoj i programskoj klasifikaciji, te izvorima financiranja.</w:t>
      </w:r>
    </w:p>
    <w:p w14:paraId="6BA69B3A" w14:textId="77777777" w:rsidR="00676A9B" w:rsidRDefault="00676A9B" w:rsidP="00676A9B">
      <w:pPr>
        <w:spacing w:after="0" w:line="240" w:lineRule="auto"/>
        <w:rPr>
          <w:lang w:eastAsia="en-US"/>
        </w:rPr>
      </w:pPr>
    </w:p>
    <w:p w14:paraId="104FBA94" w14:textId="77777777" w:rsidR="00676A9B" w:rsidRPr="00676A9B" w:rsidRDefault="00676A9B" w:rsidP="00676A9B">
      <w:pPr>
        <w:spacing w:after="0" w:line="240" w:lineRule="auto"/>
        <w:rPr>
          <w:lang w:eastAsia="en-US"/>
        </w:rPr>
      </w:pPr>
    </w:p>
    <w:p w14:paraId="5DB589B8" w14:textId="77777777" w:rsidR="00676A9B" w:rsidRPr="00676A9B" w:rsidRDefault="00676A9B" w:rsidP="00676A9B">
      <w:pPr>
        <w:keepNext/>
        <w:spacing w:after="0" w:line="240" w:lineRule="auto"/>
        <w:jc w:val="center"/>
        <w:outlineLvl w:val="3"/>
        <w:rPr>
          <w:rFonts w:ascii="Times New Roman" w:eastAsia="Calibri" w:hAnsi="Times New Roman" w:cs="Times New Roman"/>
          <w:b/>
          <w:szCs w:val="20"/>
          <w:lang w:eastAsia="en-US"/>
        </w:rPr>
      </w:pPr>
      <w:bookmarkStart w:id="362" w:name="_Toc200628500"/>
      <w:bookmarkStart w:id="363" w:name="_Toc232981432"/>
      <w:r w:rsidRPr="00676A9B">
        <w:rPr>
          <w:rFonts w:ascii="Times New Roman" w:eastAsia="Calibri" w:hAnsi="Times New Roman" w:cs="Times New Roman"/>
          <w:b/>
          <w:szCs w:val="20"/>
          <w:lang w:eastAsia="en-US"/>
        </w:rPr>
        <w:t>3.3.2.1.</w:t>
      </w:r>
      <w:r w:rsidRPr="00676A9B">
        <w:rPr>
          <w:rFonts w:ascii="Times New Roman" w:eastAsia="Calibri" w:hAnsi="Times New Roman" w:cs="Times New Roman"/>
          <w:b/>
          <w:szCs w:val="20"/>
          <w:lang w:eastAsia="en-US"/>
        </w:rPr>
        <w:tab/>
        <w:t>GLAVA: (020 02) UO ZA OPĆE POSLOVE, MJESNU SAMOUPRAVU I DRUŠTVENE DJELATNOSTI</w:t>
      </w:r>
      <w:bookmarkEnd w:id="362"/>
      <w:bookmarkEnd w:id="363"/>
      <w:r w:rsidRPr="00676A9B">
        <w:rPr>
          <w:rFonts w:ascii="Times New Roman" w:eastAsia="Calibri" w:hAnsi="Times New Roman" w:cs="Times New Roman"/>
          <w:b/>
          <w:szCs w:val="20"/>
          <w:lang w:eastAsia="en-US"/>
        </w:rPr>
        <w:t xml:space="preserve"> </w:t>
      </w:r>
    </w:p>
    <w:p w14:paraId="18713C66" w14:textId="77777777" w:rsidR="00676A9B" w:rsidRPr="00676A9B" w:rsidRDefault="00676A9B" w:rsidP="00676A9B">
      <w:pPr>
        <w:autoSpaceDE w:val="0"/>
        <w:autoSpaceDN w:val="0"/>
        <w:adjustRightInd w:val="0"/>
        <w:spacing w:after="0" w:line="240" w:lineRule="auto"/>
        <w:jc w:val="both"/>
        <w:rPr>
          <w:rFonts w:ascii="Arial" w:eastAsia="Calibri" w:hAnsi="Arial" w:cs="Arial"/>
          <w:sz w:val="18"/>
          <w:szCs w:val="20"/>
        </w:rPr>
      </w:pPr>
    </w:p>
    <w:p w14:paraId="4B26E5C1" w14:textId="77777777" w:rsidR="00676A9B" w:rsidRPr="00676A9B" w:rsidRDefault="00676A9B" w:rsidP="00676A9B">
      <w:pPr>
        <w:spacing w:after="0" w:line="240" w:lineRule="auto"/>
        <w:rPr>
          <w:rFonts w:ascii="Arial" w:eastAsia="Calibri" w:hAnsi="Arial" w:cs="Arial"/>
          <w:sz w:val="20"/>
        </w:rPr>
      </w:pPr>
      <w:r w:rsidRPr="00676A9B">
        <w:rPr>
          <w:rFonts w:ascii="Arial" w:eastAsia="Calibri" w:hAnsi="Arial" w:cs="Arial"/>
        </w:rPr>
        <w:t xml:space="preserve">Unutar Glave (020 02) – UO </w:t>
      </w:r>
      <w:r w:rsidRPr="00676A9B">
        <w:rPr>
          <w:rFonts w:ascii="Arial" w:eastAsia="Calibri" w:hAnsi="Arial" w:cs="Arial"/>
          <w:sz w:val="20"/>
          <w:szCs w:val="20"/>
        </w:rPr>
        <w:t>za opće poslove, mjesnu samoupravu i društvene djelatnosti</w:t>
      </w:r>
      <w:r w:rsidRPr="00676A9B">
        <w:rPr>
          <w:rFonts w:ascii="Arial" w:eastAsia="Calibri" w:hAnsi="Arial" w:cs="Arial"/>
        </w:rPr>
        <w:t xml:space="preserve"> </w:t>
      </w:r>
      <w:r w:rsidRPr="00676A9B">
        <w:rPr>
          <w:rFonts w:ascii="Arial" w:eastAsia="Calibri" w:hAnsi="Arial" w:cs="Arial"/>
          <w:sz w:val="20"/>
        </w:rPr>
        <w:t>izvodi se 12 programa.</w:t>
      </w:r>
    </w:p>
    <w:p w14:paraId="2E48E8A4" w14:textId="77777777" w:rsidR="00676A9B" w:rsidRPr="00676A9B" w:rsidRDefault="00676A9B" w:rsidP="00676A9B">
      <w:pPr>
        <w:spacing w:after="0" w:line="240" w:lineRule="auto"/>
        <w:rPr>
          <w:rFonts w:ascii="Arial" w:eastAsia="Calibri" w:hAnsi="Arial" w:cs="Arial"/>
          <w:sz w:val="20"/>
          <w:szCs w:val="20"/>
          <w:lang w:eastAsia="en-US"/>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3"/>
        <w:gridCol w:w="850"/>
        <w:gridCol w:w="11482"/>
      </w:tblGrid>
      <w:tr w:rsidR="00676A9B" w:rsidRPr="00676A9B" w14:paraId="0BC1686D" w14:textId="77777777" w:rsidTr="00410A4B">
        <w:tc>
          <w:tcPr>
            <w:tcW w:w="1413" w:type="dxa"/>
            <w:shd w:val="solid" w:color="B4B4B4" w:fill="auto"/>
          </w:tcPr>
          <w:p w14:paraId="3E11B904"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PROGRAM</w:t>
            </w:r>
          </w:p>
        </w:tc>
        <w:tc>
          <w:tcPr>
            <w:tcW w:w="850" w:type="dxa"/>
            <w:shd w:val="solid" w:color="B4B4B4" w:fill="auto"/>
          </w:tcPr>
          <w:p w14:paraId="48F39556" w14:textId="77777777" w:rsidR="00676A9B" w:rsidRPr="00676A9B" w:rsidRDefault="00676A9B" w:rsidP="00676A9B">
            <w:pPr>
              <w:spacing w:after="0" w:line="240" w:lineRule="auto"/>
              <w:jc w:val="both"/>
              <w:rPr>
                <w:rFonts w:ascii="Arial" w:eastAsia="Times New Roman" w:hAnsi="Arial" w:cs="Arial"/>
                <w:b/>
                <w:sz w:val="20"/>
                <w:szCs w:val="20"/>
                <w:lang w:eastAsia="en-US"/>
              </w:rPr>
            </w:pPr>
            <w:r w:rsidRPr="00676A9B">
              <w:rPr>
                <w:rFonts w:ascii="Arial" w:eastAsia="Times New Roman" w:hAnsi="Arial" w:cs="Arial"/>
                <w:b/>
                <w:sz w:val="20"/>
                <w:szCs w:val="20"/>
                <w:lang w:eastAsia="en-US"/>
              </w:rPr>
              <w:t>2010</w:t>
            </w:r>
          </w:p>
        </w:tc>
        <w:tc>
          <w:tcPr>
            <w:tcW w:w="11482" w:type="dxa"/>
            <w:shd w:val="solid" w:color="B4B4B4" w:fill="auto"/>
          </w:tcPr>
          <w:p w14:paraId="43B4D7A3"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Javna uprava i administracija - zajednički troškovi upravnih tijela</w:t>
            </w:r>
          </w:p>
        </w:tc>
      </w:tr>
      <w:tr w:rsidR="00676A9B" w:rsidRPr="00676A9B" w14:paraId="53D0807E" w14:textId="77777777" w:rsidTr="00410A4B">
        <w:trPr>
          <w:trHeight w:val="153"/>
        </w:trPr>
        <w:tc>
          <w:tcPr>
            <w:tcW w:w="1413" w:type="dxa"/>
            <w:shd w:val="solid" w:color="B4B4B4" w:fill="auto"/>
          </w:tcPr>
          <w:p w14:paraId="15CFD9C5"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PROGRAM</w:t>
            </w:r>
          </w:p>
        </w:tc>
        <w:tc>
          <w:tcPr>
            <w:tcW w:w="850" w:type="dxa"/>
            <w:shd w:val="solid" w:color="B4B4B4" w:fill="auto"/>
          </w:tcPr>
          <w:p w14:paraId="61E20892" w14:textId="77777777" w:rsidR="00676A9B" w:rsidRPr="00676A9B" w:rsidRDefault="00676A9B" w:rsidP="00676A9B">
            <w:pPr>
              <w:spacing w:after="0" w:line="240" w:lineRule="auto"/>
              <w:jc w:val="both"/>
              <w:rPr>
                <w:rFonts w:ascii="Arial" w:eastAsia="Times New Roman" w:hAnsi="Arial" w:cs="Arial"/>
                <w:b/>
                <w:sz w:val="20"/>
                <w:szCs w:val="20"/>
                <w:lang w:eastAsia="en-US"/>
              </w:rPr>
            </w:pPr>
            <w:r w:rsidRPr="00676A9B">
              <w:rPr>
                <w:rFonts w:ascii="Arial" w:eastAsia="Times New Roman" w:hAnsi="Arial" w:cs="Arial"/>
                <w:b/>
                <w:sz w:val="20"/>
                <w:szCs w:val="20"/>
                <w:lang w:eastAsia="en-US"/>
              </w:rPr>
              <w:t>2011</w:t>
            </w:r>
          </w:p>
        </w:tc>
        <w:tc>
          <w:tcPr>
            <w:tcW w:w="11482" w:type="dxa"/>
            <w:shd w:val="solid" w:color="B4B4B4" w:fill="auto"/>
          </w:tcPr>
          <w:p w14:paraId="376FB71C"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Mjesna samouprava – zajednički opći troškovi</w:t>
            </w:r>
          </w:p>
        </w:tc>
      </w:tr>
      <w:tr w:rsidR="00676A9B" w:rsidRPr="00676A9B" w14:paraId="5D1B9782" w14:textId="77777777" w:rsidTr="00410A4B">
        <w:tc>
          <w:tcPr>
            <w:tcW w:w="1413" w:type="dxa"/>
            <w:shd w:val="solid" w:color="B4B4B4" w:fill="auto"/>
          </w:tcPr>
          <w:p w14:paraId="00DE3B04"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PROGRAM</w:t>
            </w:r>
          </w:p>
        </w:tc>
        <w:tc>
          <w:tcPr>
            <w:tcW w:w="850" w:type="dxa"/>
            <w:shd w:val="solid" w:color="B4B4B4" w:fill="auto"/>
          </w:tcPr>
          <w:p w14:paraId="688AC8BD" w14:textId="77777777" w:rsidR="00676A9B" w:rsidRPr="00676A9B" w:rsidRDefault="00676A9B" w:rsidP="00676A9B">
            <w:pPr>
              <w:spacing w:after="0" w:line="240" w:lineRule="auto"/>
              <w:jc w:val="both"/>
              <w:rPr>
                <w:rFonts w:ascii="Arial" w:eastAsia="Times New Roman" w:hAnsi="Arial" w:cs="Arial"/>
                <w:b/>
                <w:sz w:val="20"/>
                <w:szCs w:val="20"/>
                <w:lang w:eastAsia="en-US"/>
              </w:rPr>
            </w:pPr>
            <w:r w:rsidRPr="00676A9B">
              <w:rPr>
                <w:rFonts w:ascii="Arial" w:eastAsia="Times New Roman" w:hAnsi="Arial" w:cs="Arial"/>
                <w:b/>
                <w:sz w:val="20"/>
                <w:szCs w:val="20"/>
                <w:lang w:eastAsia="en-US"/>
              </w:rPr>
              <w:t>2020</w:t>
            </w:r>
          </w:p>
        </w:tc>
        <w:tc>
          <w:tcPr>
            <w:tcW w:w="11482" w:type="dxa"/>
            <w:shd w:val="solid" w:color="B4B4B4" w:fill="auto"/>
          </w:tcPr>
          <w:p w14:paraId="2F43F505" w14:textId="77777777" w:rsidR="00676A9B" w:rsidRPr="00676A9B" w:rsidRDefault="00676A9B" w:rsidP="00676A9B">
            <w:pPr>
              <w:spacing w:after="0" w:line="240" w:lineRule="auto"/>
              <w:rPr>
                <w:rFonts w:ascii="Arial" w:eastAsia="Times New Roman" w:hAnsi="Arial" w:cs="Arial"/>
                <w:sz w:val="20"/>
                <w:szCs w:val="20"/>
                <w:lang w:eastAsia="en-US"/>
              </w:rPr>
            </w:pPr>
            <w:r w:rsidRPr="00676A9B">
              <w:rPr>
                <w:rFonts w:ascii="Arial" w:eastAsia="Times New Roman" w:hAnsi="Arial" w:cs="Arial"/>
                <w:sz w:val="20"/>
                <w:szCs w:val="20"/>
                <w:lang w:eastAsia="en-US"/>
              </w:rPr>
              <w:t>Protokol, odnosi s javnošću, obljetnice, blagdani i pokroviteljstva</w:t>
            </w:r>
          </w:p>
        </w:tc>
      </w:tr>
      <w:tr w:rsidR="00676A9B" w:rsidRPr="00676A9B" w14:paraId="11B3D45C" w14:textId="77777777" w:rsidTr="00410A4B">
        <w:tc>
          <w:tcPr>
            <w:tcW w:w="1413" w:type="dxa"/>
            <w:shd w:val="solid" w:color="B4B4B4" w:fill="auto"/>
          </w:tcPr>
          <w:p w14:paraId="06903623"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PROGRAM</w:t>
            </w:r>
          </w:p>
        </w:tc>
        <w:tc>
          <w:tcPr>
            <w:tcW w:w="850" w:type="dxa"/>
            <w:shd w:val="solid" w:color="B4B4B4" w:fill="auto"/>
          </w:tcPr>
          <w:p w14:paraId="6579A35F" w14:textId="77777777" w:rsidR="00676A9B" w:rsidRPr="00676A9B" w:rsidRDefault="00676A9B" w:rsidP="00676A9B">
            <w:pPr>
              <w:spacing w:after="0" w:line="240" w:lineRule="auto"/>
              <w:jc w:val="both"/>
              <w:rPr>
                <w:rFonts w:ascii="Arial" w:eastAsia="Times New Roman" w:hAnsi="Arial" w:cs="Arial"/>
                <w:b/>
                <w:sz w:val="20"/>
                <w:szCs w:val="20"/>
                <w:lang w:eastAsia="en-US"/>
              </w:rPr>
            </w:pPr>
            <w:r w:rsidRPr="00676A9B">
              <w:rPr>
                <w:rFonts w:ascii="Arial" w:eastAsia="Times New Roman" w:hAnsi="Arial" w:cs="Arial"/>
                <w:b/>
                <w:sz w:val="20"/>
                <w:szCs w:val="20"/>
                <w:lang w:eastAsia="en-US"/>
              </w:rPr>
              <w:t>2021</w:t>
            </w:r>
          </w:p>
        </w:tc>
        <w:tc>
          <w:tcPr>
            <w:tcW w:w="11482" w:type="dxa"/>
            <w:shd w:val="solid" w:color="B4B4B4" w:fill="auto"/>
          </w:tcPr>
          <w:p w14:paraId="067D585E" w14:textId="77777777" w:rsidR="00676A9B" w:rsidRPr="00676A9B" w:rsidRDefault="00676A9B" w:rsidP="00676A9B">
            <w:pPr>
              <w:spacing w:after="0" w:line="240" w:lineRule="auto"/>
              <w:rPr>
                <w:rFonts w:ascii="Arial" w:eastAsia="Times New Roman" w:hAnsi="Arial" w:cs="Arial"/>
                <w:sz w:val="20"/>
                <w:szCs w:val="20"/>
                <w:lang w:eastAsia="en-US"/>
              </w:rPr>
            </w:pPr>
            <w:r w:rsidRPr="00676A9B">
              <w:rPr>
                <w:rFonts w:ascii="Arial" w:eastAsia="Times New Roman" w:hAnsi="Arial" w:cs="Arial"/>
                <w:sz w:val="20"/>
                <w:szCs w:val="20"/>
                <w:lang w:eastAsia="en-US"/>
              </w:rPr>
              <w:t>Redovan rad UO za opće poslove, mjesnu samoupravu i društvene djelatnosti – povremeni opći troškovi u nadležnosti odjela</w:t>
            </w:r>
          </w:p>
        </w:tc>
      </w:tr>
      <w:tr w:rsidR="00676A9B" w:rsidRPr="00676A9B" w14:paraId="640F1492" w14:textId="77777777" w:rsidTr="00410A4B">
        <w:tc>
          <w:tcPr>
            <w:tcW w:w="1413" w:type="dxa"/>
            <w:shd w:val="solid" w:color="B4B4B4" w:fill="auto"/>
          </w:tcPr>
          <w:p w14:paraId="3AE68877"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PROGRAM</w:t>
            </w:r>
          </w:p>
        </w:tc>
        <w:tc>
          <w:tcPr>
            <w:tcW w:w="850" w:type="dxa"/>
            <w:shd w:val="solid" w:color="B4B4B4" w:fill="auto"/>
          </w:tcPr>
          <w:p w14:paraId="390E1C2A" w14:textId="77777777" w:rsidR="00676A9B" w:rsidRPr="00676A9B" w:rsidRDefault="00676A9B" w:rsidP="00676A9B">
            <w:pPr>
              <w:spacing w:after="0" w:line="240" w:lineRule="auto"/>
              <w:jc w:val="both"/>
              <w:rPr>
                <w:rFonts w:ascii="Arial" w:eastAsia="Times New Roman" w:hAnsi="Arial" w:cs="Arial"/>
                <w:b/>
                <w:sz w:val="20"/>
                <w:szCs w:val="20"/>
                <w:lang w:eastAsia="en-US"/>
              </w:rPr>
            </w:pPr>
            <w:r w:rsidRPr="00676A9B">
              <w:rPr>
                <w:rFonts w:ascii="Arial" w:eastAsia="Times New Roman" w:hAnsi="Arial" w:cs="Arial"/>
                <w:b/>
                <w:sz w:val="20"/>
                <w:szCs w:val="20"/>
                <w:lang w:eastAsia="en-US"/>
              </w:rPr>
              <w:t>2022</w:t>
            </w:r>
          </w:p>
        </w:tc>
        <w:tc>
          <w:tcPr>
            <w:tcW w:w="11482" w:type="dxa"/>
            <w:shd w:val="solid" w:color="B4B4B4" w:fill="auto"/>
          </w:tcPr>
          <w:p w14:paraId="6D5B566A" w14:textId="77777777" w:rsidR="00676A9B" w:rsidRPr="00676A9B" w:rsidRDefault="00676A9B" w:rsidP="00676A9B">
            <w:pPr>
              <w:spacing w:after="0" w:line="240" w:lineRule="auto"/>
              <w:rPr>
                <w:rFonts w:ascii="Arial" w:eastAsia="Times New Roman" w:hAnsi="Arial" w:cs="Arial"/>
                <w:sz w:val="20"/>
                <w:szCs w:val="20"/>
                <w:lang w:eastAsia="en-US"/>
              </w:rPr>
            </w:pPr>
            <w:r w:rsidRPr="00676A9B">
              <w:rPr>
                <w:rFonts w:ascii="Arial" w:eastAsia="Times New Roman" w:hAnsi="Arial" w:cs="Arial"/>
                <w:sz w:val="20"/>
                <w:szCs w:val="20"/>
                <w:lang w:eastAsia="en-US"/>
              </w:rPr>
              <w:t>Provedba izbora i referenduma</w:t>
            </w:r>
          </w:p>
        </w:tc>
      </w:tr>
      <w:tr w:rsidR="00676A9B" w:rsidRPr="00676A9B" w14:paraId="3A1B43B6" w14:textId="77777777" w:rsidTr="00410A4B">
        <w:tc>
          <w:tcPr>
            <w:tcW w:w="1413" w:type="dxa"/>
            <w:shd w:val="solid" w:color="B4B4B4" w:fill="auto"/>
          </w:tcPr>
          <w:p w14:paraId="31950CD1"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PROGRAM</w:t>
            </w:r>
          </w:p>
        </w:tc>
        <w:tc>
          <w:tcPr>
            <w:tcW w:w="850" w:type="dxa"/>
            <w:shd w:val="solid" w:color="B4B4B4" w:fill="auto"/>
          </w:tcPr>
          <w:p w14:paraId="3E19775B" w14:textId="77777777" w:rsidR="00676A9B" w:rsidRPr="00676A9B" w:rsidRDefault="00676A9B" w:rsidP="00676A9B">
            <w:pPr>
              <w:spacing w:after="0" w:line="240" w:lineRule="auto"/>
              <w:jc w:val="both"/>
              <w:rPr>
                <w:rFonts w:ascii="Arial" w:eastAsia="Times New Roman" w:hAnsi="Arial" w:cs="Arial"/>
                <w:b/>
                <w:sz w:val="20"/>
                <w:szCs w:val="20"/>
                <w:lang w:eastAsia="en-US"/>
              </w:rPr>
            </w:pPr>
            <w:r w:rsidRPr="00676A9B">
              <w:rPr>
                <w:rFonts w:ascii="Arial" w:eastAsia="Times New Roman" w:hAnsi="Arial" w:cs="Arial"/>
                <w:b/>
                <w:sz w:val="20"/>
                <w:szCs w:val="20"/>
                <w:lang w:eastAsia="en-US"/>
              </w:rPr>
              <w:t>2032</w:t>
            </w:r>
          </w:p>
        </w:tc>
        <w:tc>
          <w:tcPr>
            <w:tcW w:w="11482" w:type="dxa"/>
            <w:shd w:val="solid" w:color="B4B4B4" w:fill="auto"/>
          </w:tcPr>
          <w:p w14:paraId="7204B832" w14:textId="77777777" w:rsidR="00676A9B" w:rsidRPr="00676A9B" w:rsidRDefault="00676A9B" w:rsidP="00676A9B">
            <w:pPr>
              <w:spacing w:after="0" w:line="240" w:lineRule="auto"/>
              <w:rPr>
                <w:rFonts w:ascii="Arial" w:eastAsia="Times New Roman" w:hAnsi="Arial" w:cs="Arial"/>
                <w:sz w:val="20"/>
                <w:szCs w:val="20"/>
                <w:lang w:eastAsia="en-US"/>
              </w:rPr>
            </w:pPr>
            <w:r w:rsidRPr="00676A9B">
              <w:rPr>
                <w:rFonts w:ascii="Arial" w:eastAsia="Times New Roman" w:hAnsi="Arial" w:cs="Arial"/>
                <w:sz w:val="20"/>
                <w:szCs w:val="20"/>
                <w:lang w:eastAsia="en-US"/>
              </w:rPr>
              <w:t>Javne potrebe u kulturi</w:t>
            </w:r>
          </w:p>
        </w:tc>
      </w:tr>
      <w:tr w:rsidR="00676A9B" w:rsidRPr="00676A9B" w14:paraId="6F4CC8F7" w14:textId="77777777" w:rsidTr="00410A4B">
        <w:tc>
          <w:tcPr>
            <w:tcW w:w="1413" w:type="dxa"/>
            <w:shd w:val="solid" w:color="B4B4B4" w:fill="auto"/>
          </w:tcPr>
          <w:p w14:paraId="4301662C"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PROGRAM</w:t>
            </w:r>
          </w:p>
        </w:tc>
        <w:tc>
          <w:tcPr>
            <w:tcW w:w="850" w:type="dxa"/>
            <w:shd w:val="solid" w:color="B4B4B4" w:fill="auto"/>
          </w:tcPr>
          <w:p w14:paraId="27B983A6" w14:textId="77777777" w:rsidR="00676A9B" w:rsidRPr="00676A9B" w:rsidRDefault="00676A9B" w:rsidP="00676A9B">
            <w:pPr>
              <w:spacing w:after="0" w:line="240" w:lineRule="auto"/>
              <w:jc w:val="both"/>
              <w:rPr>
                <w:rFonts w:ascii="Arial" w:eastAsia="Times New Roman" w:hAnsi="Arial" w:cs="Arial"/>
                <w:b/>
                <w:sz w:val="20"/>
                <w:szCs w:val="20"/>
                <w:lang w:eastAsia="en-US"/>
              </w:rPr>
            </w:pPr>
            <w:r w:rsidRPr="00676A9B">
              <w:rPr>
                <w:rFonts w:ascii="Arial" w:eastAsia="Times New Roman" w:hAnsi="Arial" w:cs="Arial"/>
                <w:b/>
                <w:sz w:val="20"/>
                <w:szCs w:val="20"/>
                <w:lang w:eastAsia="en-US"/>
              </w:rPr>
              <w:t>2034</w:t>
            </w:r>
          </w:p>
        </w:tc>
        <w:tc>
          <w:tcPr>
            <w:tcW w:w="11482" w:type="dxa"/>
            <w:shd w:val="solid" w:color="B4B4B4" w:fill="auto"/>
          </w:tcPr>
          <w:p w14:paraId="12FC2CBB" w14:textId="77777777" w:rsidR="00676A9B" w:rsidRPr="00676A9B" w:rsidRDefault="00676A9B" w:rsidP="00676A9B">
            <w:pPr>
              <w:spacing w:after="0" w:line="240" w:lineRule="auto"/>
              <w:rPr>
                <w:rFonts w:ascii="Arial" w:eastAsia="Times New Roman" w:hAnsi="Arial" w:cs="Arial"/>
                <w:sz w:val="20"/>
                <w:szCs w:val="20"/>
                <w:lang w:eastAsia="en-US"/>
              </w:rPr>
            </w:pPr>
            <w:r w:rsidRPr="00676A9B">
              <w:rPr>
                <w:rFonts w:ascii="Arial" w:eastAsia="Times New Roman" w:hAnsi="Arial" w:cs="Arial"/>
                <w:sz w:val="20"/>
                <w:szCs w:val="20"/>
                <w:lang w:eastAsia="en-US"/>
              </w:rPr>
              <w:t>Javne potrebe u sportu</w:t>
            </w:r>
          </w:p>
        </w:tc>
      </w:tr>
      <w:tr w:rsidR="00676A9B" w:rsidRPr="00676A9B" w14:paraId="44D6857D" w14:textId="77777777" w:rsidTr="00410A4B">
        <w:tc>
          <w:tcPr>
            <w:tcW w:w="1413" w:type="dxa"/>
            <w:shd w:val="solid" w:color="B4B4B4" w:fill="auto"/>
          </w:tcPr>
          <w:p w14:paraId="6FC68D0F"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PROGRAM</w:t>
            </w:r>
          </w:p>
        </w:tc>
        <w:tc>
          <w:tcPr>
            <w:tcW w:w="850" w:type="dxa"/>
            <w:shd w:val="solid" w:color="B4B4B4" w:fill="auto"/>
          </w:tcPr>
          <w:p w14:paraId="2F1E76DB" w14:textId="77777777" w:rsidR="00676A9B" w:rsidRPr="00676A9B" w:rsidRDefault="00676A9B" w:rsidP="00676A9B">
            <w:pPr>
              <w:spacing w:after="0" w:line="240" w:lineRule="auto"/>
              <w:jc w:val="both"/>
              <w:rPr>
                <w:rFonts w:ascii="Arial" w:eastAsia="Times New Roman" w:hAnsi="Arial" w:cs="Arial"/>
                <w:b/>
                <w:sz w:val="20"/>
                <w:szCs w:val="20"/>
                <w:lang w:eastAsia="en-US"/>
              </w:rPr>
            </w:pPr>
            <w:r w:rsidRPr="00676A9B">
              <w:rPr>
                <w:rFonts w:ascii="Arial" w:eastAsia="Times New Roman" w:hAnsi="Arial" w:cs="Arial"/>
                <w:b/>
                <w:sz w:val="20"/>
                <w:szCs w:val="20"/>
                <w:lang w:eastAsia="en-US"/>
              </w:rPr>
              <w:t>2040</w:t>
            </w:r>
          </w:p>
        </w:tc>
        <w:tc>
          <w:tcPr>
            <w:tcW w:w="11482" w:type="dxa"/>
            <w:shd w:val="solid" w:color="B4B4B4" w:fill="auto"/>
          </w:tcPr>
          <w:p w14:paraId="3EC27385" w14:textId="77777777" w:rsidR="00676A9B" w:rsidRPr="00676A9B" w:rsidRDefault="00676A9B" w:rsidP="00676A9B">
            <w:pPr>
              <w:spacing w:after="0" w:line="240" w:lineRule="auto"/>
              <w:rPr>
                <w:rFonts w:ascii="Arial" w:eastAsia="Times New Roman" w:hAnsi="Arial" w:cs="Arial"/>
                <w:sz w:val="20"/>
                <w:szCs w:val="20"/>
                <w:lang w:eastAsia="en-US"/>
              </w:rPr>
            </w:pPr>
            <w:r w:rsidRPr="00676A9B">
              <w:rPr>
                <w:rFonts w:ascii="Arial" w:eastAsia="Times New Roman" w:hAnsi="Arial" w:cs="Arial"/>
                <w:sz w:val="20"/>
                <w:szCs w:val="20"/>
                <w:lang w:eastAsia="en-US"/>
              </w:rPr>
              <w:t>Program demografskih mjera</w:t>
            </w:r>
          </w:p>
        </w:tc>
      </w:tr>
      <w:tr w:rsidR="00676A9B" w:rsidRPr="00676A9B" w14:paraId="090BBFC2" w14:textId="77777777" w:rsidTr="00410A4B">
        <w:tc>
          <w:tcPr>
            <w:tcW w:w="1413" w:type="dxa"/>
            <w:shd w:val="solid" w:color="B4B4B4" w:fill="auto"/>
          </w:tcPr>
          <w:p w14:paraId="74CBF3E2"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PROGRAM</w:t>
            </w:r>
          </w:p>
        </w:tc>
        <w:tc>
          <w:tcPr>
            <w:tcW w:w="850" w:type="dxa"/>
            <w:shd w:val="solid" w:color="B4B4B4" w:fill="auto"/>
          </w:tcPr>
          <w:p w14:paraId="4F581F62" w14:textId="77777777" w:rsidR="00676A9B" w:rsidRPr="00676A9B" w:rsidRDefault="00676A9B" w:rsidP="00676A9B">
            <w:pPr>
              <w:spacing w:after="0" w:line="240" w:lineRule="auto"/>
              <w:jc w:val="both"/>
              <w:rPr>
                <w:rFonts w:ascii="Arial" w:eastAsia="Times New Roman" w:hAnsi="Arial" w:cs="Arial"/>
                <w:b/>
                <w:sz w:val="20"/>
                <w:szCs w:val="20"/>
                <w:lang w:eastAsia="en-US"/>
              </w:rPr>
            </w:pPr>
            <w:r w:rsidRPr="00676A9B">
              <w:rPr>
                <w:rFonts w:ascii="Arial" w:eastAsia="Times New Roman" w:hAnsi="Arial" w:cs="Arial"/>
                <w:b/>
                <w:sz w:val="20"/>
                <w:szCs w:val="20"/>
                <w:lang w:eastAsia="en-US"/>
              </w:rPr>
              <w:t>2041</w:t>
            </w:r>
          </w:p>
        </w:tc>
        <w:tc>
          <w:tcPr>
            <w:tcW w:w="11482" w:type="dxa"/>
            <w:shd w:val="solid" w:color="B4B4B4" w:fill="auto"/>
          </w:tcPr>
          <w:p w14:paraId="02B8DD3B" w14:textId="77777777" w:rsidR="00676A9B" w:rsidRPr="00676A9B" w:rsidRDefault="00676A9B" w:rsidP="00676A9B">
            <w:pPr>
              <w:spacing w:after="0" w:line="240" w:lineRule="auto"/>
              <w:rPr>
                <w:rFonts w:ascii="Arial" w:eastAsia="Times New Roman" w:hAnsi="Arial" w:cs="Arial"/>
                <w:sz w:val="20"/>
                <w:szCs w:val="20"/>
                <w:lang w:eastAsia="en-US"/>
              </w:rPr>
            </w:pPr>
            <w:r w:rsidRPr="00676A9B">
              <w:rPr>
                <w:rFonts w:ascii="Arial" w:eastAsia="Times New Roman" w:hAnsi="Arial" w:cs="Arial"/>
                <w:sz w:val="20"/>
                <w:szCs w:val="20"/>
                <w:lang w:eastAsia="en-US"/>
              </w:rPr>
              <w:t>Program socijalne pomoći</w:t>
            </w:r>
          </w:p>
        </w:tc>
      </w:tr>
      <w:tr w:rsidR="00676A9B" w:rsidRPr="00676A9B" w14:paraId="48854BF4" w14:textId="77777777" w:rsidTr="00410A4B">
        <w:tc>
          <w:tcPr>
            <w:tcW w:w="1413" w:type="dxa"/>
            <w:shd w:val="solid" w:color="B4B4B4" w:fill="auto"/>
          </w:tcPr>
          <w:p w14:paraId="22C8261C"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PROGRAM</w:t>
            </w:r>
          </w:p>
        </w:tc>
        <w:tc>
          <w:tcPr>
            <w:tcW w:w="850" w:type="dxa"/>
            <w:shd w:val="solid" w:color="B4B4B4" w:fill="auto"/>
          </w:tcPr>
          <w:p w14:paraId="736AC638" w14:textId="77777777" w:rsidR="00676A9B" w:rsidRPr="00676A9B" w:rsidRDefault="00676A9B" w:rsidP="00676A9B">
            <w:pPr>
              <w:spacing w:after="0" w:line="240" w:lineRule="auto"/>
              <w:jc w:val="both"/>
              <w:rPr>
                <w:rFonts w:ascii="Arial" w:eastAsia="Times New Roman" w:hAnsi="Arial" w:cs="Arial"/>
                <w:b/>
                <w:sz w:val="20"/>
                <w:szCs w:val="20"/>
                <w:lang w:eastAsia="en-US"/>
              </w:rPr>
            </w:pPr>
            <w:r w:rsidRPr="00676A9B">
              <w:rPr>
                <w:rFonts w:ascii="Arial" w:eastAsia="Times New Roman" w:hAnsi="Arial" w:cs="Arial"/>
                <w:b/>
                <w:sz w:val="20"/>
                <w:szCs w:val="20"/>
                <w:lang w:eastAsia="en-US"/>
              </w:rPr>
              <w:t>2042</w:t>
            </w:r>
          </w:p>
        </w:tc>
        <w:tc>
          <w:tcPr>
            <w:tcW w:w="11482" w:type="dxa"/>
            <w:shd w:val="solid" w:color="B4B4B4" w:fill="auto"/>
          </w:tcPr>
          <w:p w14:paraId="62433CED" w14:textId="77777777" w:rsidR="00676A9B" w:rsidRPr="00676A9B" w:rsidRDefault="00676A9B" w:rsidP="00676A9B">
            <w:pPr>
              <w:spacing w:after="0" w:line="240" w:lineRule="auto"/>
              <w:rPr>
                <w:rFonts w:ascii="Arial" w:eastAsia="Times New Roman" w:hAnsi="Arial" w:cs="Arial"/>
                <w:sz w:val="20"/>
                <w:szCs w:val="20"/>
                <w:lang w:eastAsia="en-US"/>
              </w:rPr>
            </w:pPr>
            <w:r w:rsidRPr="00676A9B">
              <w:rPr>
                <w:rFonts w:ascii="Arial" w:eastAsia="Times New Roman" w:hAnsi="Arial" w:cs="Arial"/>
                <w:sz w:val="20"/>
                <w:szCs w:val="20"/>
                <w:lang w:eastAsia="en-US"/>
              </w:rPr>
              <w:t>Zdravstvena zaštita</w:t>
            </w:r>
          </w:p>
        </w:tc>
      </w:tr>
      <w:tr w:rsidR="00676A9B" w:rsidRPr="00676A9B" w14:paraId="60290D28" w14:textId="77777777" w:rsidTr="00410A4B">
        <w:tc>
          <w:tcPr>
            <w:tcW w:w="1413" w:type="dxa"/>
            <w:shd w:val="solid" w:color="B4B4B4" w:fill="auto"/>
          </w:tcPr>
          <w:p w14:paraId="3CBFB325"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PROGRAM</w:t>
            </w:r>
          </w:p>
        </w:tc>
        <w:tc>
          <w:tcPr>
            <w:tcW w:w="850" w:type="dxa"/>
            <w:shd w:val="solid" w:color="B4B4B4" w:fill="auto"/>
          </w:tcPr>
          <w:p w14:paraId="214874AD" w14:textId="77777777" w:rsidR="00676A9B" w:rsidRPr="00676A9B" w:rsidRDefault="00676A9B" w:rsidP="00676A9B">
            <w:pPr>
              <w:spacing w:after="0" w:line="240" w:lineRule="auto"/>
              <w:jc w:val="both"/>
              <w:rPr>
                <w:rFonts w:ascii="Arial" w:eastAsia="Times New Roman" w:hAnsi="Arial" w:cs="Arial"/>
                <w:b/>
                <w:sz w:val="20"/>
                <w:szCs w:val="20"/>
                <w:lang w:eastAsia="en-US"/>
              </w:rPr>
            </w:pPr>
            <w:r w:rsidRPr="00676A9B">
              <w:rPr>
                <w:rFonts w:ascii="Arial" w:eastAsia="Times New Roman" w:hAnsi="Arial" w:cs="Arial"/>
                <w:b/>
                <w:sz w:val="20"/>
                <w:szCs w:val="20"/>
                <w:lang w:eastAsia="en-US"/>
              </w:rPr>
              <w:t>2043</w:t>
            </w:r>
          </w:p>
        </w:tc>
        <w:tc>
          <w:tcPr>
            <w:tcW w:w="11482" w:type="dxa"/>
            <w:shd w:val="solid" w:color="B4B4B4" w:fill="auto"/>
          </w:tcPr>
          <w:p w14:paraId="73B0C957" w14:textId="77777777" w:rsidR="00676A9B" w:rsidRPr="00676A9B" w:rsidRDefault="00676A9B" w:rsidP="00676A9B">
            <w:pPr>
              <w:spacing w:after="0" w:line="240" w:lineRule="auto"/>
              <w:rPr>
                <w:rFonts w:ascii="Arial" w:eastAsia="Times New Roman" w:hAnsi="Arial" w:cs="Arial"/>
                <w:sz w:val="20"/>
                <w:szCs w:val="20"/>
                <w:lang w:eastAsia="en-US"/>
              </w:rPr>
            </w:pPr>
            <w:r w:rsidRPr="00676A9B">
              <w:rPr>
                <w:rFonts w:ascii="Arial" w:eastAsia="Times New Roman" w:hAnsi="Arial" w:cs="Arial"/>
                <w:sz w:val="20"/>
                <w:szCs w:val="20"/>
                <w:lang w:eastAsia="en-US"/>
              </w:rPr>
              <w:t>Socijalna skrb i zaštita kroz institucije i udruge građana</w:t>
            </w:r>
          </w:p>
        </w:tc>
      </w:tr>
      <w:tr w:rsidR="00676A9B" w:rsidRPr="00676A9B" w14:paraId="41A87CC7" w14:textId="77777777" w:rsidTr="00410A4B">
        <w:tc>
          <w:tcPr>
            <w:tcW w:w="1413" w:type="dxa"/>
            <w:shd w:val="solid" w:color="B4B4B4" w:fill="auto"/>
          </w:tcPr>
          <w:p w14:paraId="21EAAFCB"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PROGRAM</w:t>
            </w:r>
          </w:p>
        </w:tc>
        <w:tc>
          <w:tcPr>
            <w:tcW w:w="850" w:type="dxa"/>
            <w:shd w:val="solid" w:color="B4B4B4" w:fill="auto"/>
          </w:tcPr>
          <w:p w14:paraId="4366C6AD" w14:textId="77777777" w:rsidR="00676A9B" w:rsidRPr="00676A9B" w:rsidRDefault="00676A9B" w:rsidP="00676A9B">
            <w:pPr>
              <w:spacing w:after="0" w:line="240" w:lineRule="auto"/>
              <w:jc w:val="both"/>
              <w:rPr>
                <w:rFonts w:ascii="Arial" w:eastAsia="Times New Roman" w:hAnsi="Arial" w:cs="Arial"/>
                <w:b/>
                <w:sz w:val="20"/>
                <w:szCs w:val="20"/>
                <w:lang w:eastAsia="en-US"/>
              </w:rPr>
            </w:pPr>
            <w:r w:rsidRPr="00676A9B">
              <w:rPr>
                <w:rFonts w:ascii="Arial" w:eastAsia="Times New Roman" w:hAnsi="Arial" w:cs="Arial"/>
                <w:b/>
                <w:sz w:val="20"/>
                <w:szCs w:val="20"/>
                <w:lang w:eastAsia="en-US"/>
              </w:rPr>
              <w:t>2052</w:t>
            </w:r>
          </w:p>
        </w:tc>
        <w:tc>
          <w:tcPr>
            <w:tcW w:w="11482" w:type="dxa"/>
            <w:shd w:val="solid" w:color="B4B4B4" w:fill="auto"/>
          </w:tcPr>
          <w:p w14:paraId="58E0C312" w14:textId="77777777" w:rsidR="00676A9B" w:rsidRPr="00676A9B" w:rsidRDefault="00676A9B" w:rsidP="00676A9B">
            <w:pPr>
              <w:spacing w:after="0" w:line="240" w:lineRule="auto"/>
              <w:rPr>
                <w:rFonts w:ascii="Arial" w:eastAsia="Times New Roman" w:hAnsi="Arial" w:cs="Arial"/>
                <w:sz w:val="20"/>
                <w:szCs w:val="20"/>
                <w:lang w:eastAsia="en-US"/>
              </w:rPr>
            </w:pPr>
            <w:r w:rsidRPr="00676A9B">
              <w:rPr>
                <w:rFonts w:ascii="Arial" w:eastAsia="Times New Roman" w:hAnsi="Arial" w:cs="Arial"/>
                <w:sz w:val="20"/>
                <w:szCs w:val="20"/>
                <w:lang w:eastAsia="en-US"/>
              </w:rPr>
              <w:t>Predškolski odgoj</w:t>
            </w:r>
          </w:p>
        </w:tc>
      </w:tr>
    </w:tbl>
    <w:p w14:paraId="77C7C611" w14:textId="77777777" w:rsidR="00676A9B" w:rsidRPr="00676A9B" w:rsidRDefault="00676A9B" w:rsidP="00676A9B">
      <w:pPr>
        <w:spacing w:after="0" w:line="240" w:lineRule="auto"/>
        <w:jc w:val="both"/>
        <w:rPr>
          <w:rFonts w:ascii="Arial" w:eastAsia="Times New Roman" w:hAnsi="Arial" w:cs="Arial"/>
          <w:lang w:eastAsia="en-US"/>
        </w:rPr>
      </w:pPr>
    </w:p>
    <w:p w14:paraId="460669F8" w14:textId="77777777" w:rsidR="00676A9B" w:rsidRPr="00676A9B" w:rsidRDefault="00676A9B" w:rsidP="00676A9B">
      <w:pPr>
        <w:spacing w:after="0" w:line="240" w:lineRule="auto"/>
        <w:jc w:val="both"/>
        <w:rPr>
          <w:rFonts w:ascii="Arial" w:eastAsia="Times New Roman" w:hAnsi="Arial" w:cs="Arial"/>
          <w:lang w:eastAsia="en-US"/>
        </w:rPr>
      </w:pPr>
    </w:p>
    <w:p w14:paraId="7F1C293B" w14:textId="77777777" w:rsidR="00676A9B" w:rsidRPr="00676A9B" w:rsidRDefault="00676A9B" w:rsidP="00676A9B">
      <w:pPr>
        <w:keepNext/>
        <w:spacing w:after="0" w:line="240" w:lineRule="auto"/>
        <w:jc w:val="both"/>
        <w:outlineLvl w:val="2"/>
        <w:rPr>
          <w:rFonts w:ascii="Times New Roman" w:eastAsia="Calibri" w:hAnsi="Times New Roman" w:cs="Times New Roman"/>
          <w:b/>
          <w:sz w:val="24"/>
          <w:szCs w:val="24"/>
          <w:lang w:eastAsia="en-US"/>
        </w:rPr>
      </w:pPr>
      <w:bookmarkStart w:id="364" w:name="_Toc121678596"/>
      <w:bookmarkStart w:id="365" w:name="_Toc200628501"/>
      <w:bookmarkStart w:id="366" w:name="_Toc232981433"/>
      <w:r w:rsidRPr="00676A9B">
        <w:rPr>
          <w:rFonts w:ascii="Times New Roman" w:eastAsia="Calibri" w:hAnsi="Times New Roman" w:cs="Times New Roman"/>
          <w:b/>
          <w:sz w:val="24"/>
          <w:szCs w:val="24"/>
          <w:lang w:eastAsia="en-US"/>
        </w:rPr>
        <w:t>Program (2010): Javna uprava i administracija -  zajednički troškovi upravnih tijela</w:t>
      </w:r>
      <w:bookmarkEnd w:id="364"/>
      <w:bookmarkEnd w:id="365"/>
      <w:bookmarkEnd w:id="366"/>
    </w:p>
    <w:p w14:paraId="7666A9FA" w14:textId="77777777" w:rsidR="00676A9B" w:rsidRPr="00676A9B" w:rsidRDefault="00676A9B" w:rsidP="00676A9B">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2474"/>
      </w:tblGrid>
      <w:tr w:rsidR="00676A9B" w:rsidRPr="00676A9B" w14:paraId="2F3CF3F3" w14:textId="77777777" w:rsidTr="00410A4B">
        <w:tc>
          <w:tcPr>
            <w:tcW w:w="1668" w:type="dxa"/>
            <w:tcBorders>
              <w:top w:val="dotted" w:sz="4" w:space="0" w:color="auto"/>
              <w:left w:val="dotted" w:sz="4" w:space="0" w:color="auto"/>
              <w:bottom w:val="dotted" w:sz="4" w:space="0" w:color="auto"/>
              <w:right w:val="dotted" w:sz="4" w:space="0" w:color="auto"/>
            </w:tcBorders>
          </w:tcPr>
          <w:p w14:paraId="5B93CB3D"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Opis PROGRAMA:</w:t>
            </w:r>
          </w:p>
        </w:tc>
        <w:tc>
          <w:tcPr>
            <w:tcW w:w="12474" w:type="dxa"/>
            <w:tcBorders>
              <w:top w:val="dotted" w:sz="4" w:space="0" w:color="auto"/>
              <w:left w:val="dotted" w:sz="4" w:space="0" w:color="auto"/>
              <w:bottom w:val="dotted" w:sz="4" w:space="0" w:color="auto"/>
              <w:right w:val="dotted" w:sz="4" w:space="0" w:color="auto"/>
            </w:tcBorders>
            <w:vAlign w:val="bottom"/>
          </w:tcPr>
          <w:p w14:paraId="4FE8C0E5"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Cilj programa je osiguravanje materijalnih uvjeta za rad općinske uprave radi zadovoljavanja potreba građana u okviru zakonom utvrđenih zadaća koje obavlja jedinica lokalne samouprave. Ovaj program obuhvaća aktivnosti kojima se osiguravaju sredstva za redovno financiranje prava zaposlenika iz radnog odnosa, za sve odjele općinske uprave, aktivnosti za podmirenje materijalnih rashoda koji uključuju naknade za prijevoz zaposlenika, aktivnosti za podmirivanje financijskih rashoda za bankarske usluge i usluge platnog prometa, te aktivnosti za financiranje usluga naplate, otplate kamata i glavnice za primljene kredite i drugo. Također, cilj programa je i poboljšanje kvalitete i brzine radnih procesa i postupaka rada uprave kroz nabavku modernije opreme i stvaranje kvalitetnijih uvjeta rada djelatnika.</w:t>
            </w:r>
          </w:p>
        </w:tc>
      </w:tr>
      <w:tr w:rsidR="00676A9B" w:rsidRPr="00676A9B" w14:paraId="7A0D5AE2" w14:textId="77777777" w:rsidTr="00410A4B">
        <w:tc>
          <w:tcPr>
            <w:tcW w:w="1668" w:type="dxa"/>
            <w:tcBorders>
              <w:top w:val="dotted" w:sz="4" w:space="0" w:color="auto"/>
              <w:left w:val="dotted" w:sz="4" w:space="0" w:color="auto"/>
              <w:bottom w:val="dotted" w:sz="4" w:space="0" w:color="auto"/>
              <w:right w:val="dotted" w:sz="4" w:space="0" w:color="auto"/>
            </w:tcBorders>
          </w:tcPr>
          <w:p w14:paraId="50677430" w14:textId="77777777" w:rsidR="00676A9B" w:rsidRPr="00676A9B" w:rsidRDefault="00676A9B" w:rsidP="00676A9B">
            <w:pPr>
              <w:spacing w:after="0" w:line="240" w:lineRule="auto"/>
              <w:rPr>
                <w:rFonts w:ascii="Arial" w:eastAsia="Calibri" w:hAnsi="Arial" w:cs="Arial"/>
                <w:sz w:val="20"/>
                <w:szCs w:val="20"/>
                <w:lang w:eastAsia="en-US"/>
              </w:rPr>
            </w:pPr>
            <w:r w:rsidRPr="00676A9B">
              <w:rPr>
                <w:rFonts w:ascii="Arial" w:eastAsia="Calibri" w:hAnsi="Arial" w:cs="Arial"/>
                <w:sz w:val="20"/>
                <w:szCs w:val="20"/>
                <w:lang w:eastAsia="en-US"/>
              </w:rPr>
              <w:t xml:space="preserve">ZAKONSKE I DRUGE PRAVNE </w:t>
            </w:r>
            <w:r w:rsidRPr="00676A9B">
              <w:rPr>
                <w:rFonts w:ascii="Arial" w:eastAsia="Calibri" w:hAnsi="Arial" w:cs="Arial"/>
                <w:sz w:val="20"/>
                <w:szCs w:val="20"/>
                <w:lang w:eastAsia="en-US"/>
              </w:rPr>
              <w:lastRenderedPageBreak/>
              <w:t>OSNOVE PROGRAMA:</w:t>
            </w:r>
          </w:p>
        </w:tc>
        <w:tc>
          <w:tcPr>
            <w:tcW w:w="12474" w:type="dxa"/>
            <w:tcBorders>
              <w:top w:val="dotted" w:sz="4" w:space="0" w:color="auto"/>
              <w:left w:val="dotted" w:sz="4" w:space="0" w:color="auto"/>
              <w:bottom w:val="dotted" w:sz="4" w:space="0" w:color="auto"/>
              <w:right w:val="dotted" w:sz="4" w:space="0" w:color="auto"/>
            </w:tcBorders>
          </w:tcPr>
          <w:p w14:paraId="2BE13725"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lastRenderedPageBreak/>
              <w:t xml:space="preserve">Zakon o lokalnoj i područnoj (regionalnoj) samoupravi (NN 33/01, 60/01, 129/05, 109/07, 125/08, 36/09, 150/11, 144/12, 19/13, 137/15, 98/19, 144/20), Zakon o područjima županija, gradova i općina u RH (NN 86/06, 125/06, 16/07, 95/08, 46/10, 145/10, 37/13, 44/13, 45/13 i 110/15), Odluka o koeficijentima za obračun plaća službenika i namještenika, </w:t>
            </w:r>
            <w:r w:rsidRPr="00676A9B">
              <w:rPr>
                <w:rFonts w:ascii="Arial" w:eastAsia="Times New Roman" w:hAnsi="Arial" w:cs="Arial"/>
                <w:sz w:val="20"/>
                <w:szCs w:val="20"/>
              </w:rPr>
              <w:t xml:space="preserve">Zakon o financiranju jedinica lokalne i područne (regionalne) samouprave (NN 127/17, 138/20, 151/22, 114/23), </w:t>
            </w:r>
            <w:r w:rsidRPr="00676A9B">
              <w:rPr>
                <w:rFonts w:ascii="Arial" w:eastAsia="Calibri" w:hAnsi="Arial" w:cs="Arial"/>
                <w:sz w:val="20"/>
                <w:szCs w:val="20"/>
              </w:rPr>
              <w:t xml:space="preserve">Zakon o proračunu (NNN 144/21), Zakon o plaćama u lokalnoj i područnoj (regionalnoj) </w:t>
            </w:r>
            <w:r w:rsidRPr="00676A9B">
              <w:rPr>
                <w:rFonts w:ascii="Arial" w:eastAsia="Calibri" w:hAnsi="Arial" w:cs="Arial"/>
                <w:sz w:val="20"/>
                <w:szCs w:val="20"/>
              </w:rPr>
              <w:lastRenderedPageBreak/>
              <w:t>samoupravi (NN 28/10, 10/23), Zakon u o službenicima i namještenicima u lokalnoj i područnoj (regionalnoj) samoupravi (NN broj 86/08, 61/11, 4/18, 112/19), Zakon o plaćama u javnim službama (NN broj 27/14, 39/09, 155/23), Zakon o plaćama u državnoj službi i javnim službama (Narodne novine 155/23 - na snazi od 1.1.24.), Zakon o lokalnim porezima (Narodne novine 115/1, 101/17, 114/22), Zakon o porezu na dohodak (Narodne novine 115/16, 106/18, 121/19, 32/20, 138/20, 151/22, 114/23), Pravilnik o porezu na dohodak (Narodne novine 10/17, 128/17, 106/18, 1/19, 80/19, 1/20, 74/20, 1/21, 102/22, 112/22, 156/22, 1/23, 3/23, 56/23, 143/23), Zakon o porezu na dodanu vrijednost (Narodne novine 73/13, 99/13, 148/13, 153/13, 143/14, 115/16, 106/18, 121/19, 138/20, 39/22, 113,22, 33/23, 114/23, 35/24), Pravilnik o porezu na dodanu vrijednost (Narodne novine 79/13, 85/13-ispravak, 160/13, 35/14, 157/14, 130/15, 1/17, 41/17, 128/17, 1/19, 1/20, 1/21, 73/21, 41/22, 133/22, 43/23, 1/24, 39/24), Opći porezni zakon (Narodne novine 115/16, 106/18, 121/19, 32/20, 42/20, 114/22), Ovršni zakon (Narodne novine 112/12, 25/13,93/14, 55/16, 73/17, 131/20, 114/22, 6/24), Zakon o naplati poreznog duga uzrokovanog gospodarskom krizom (Narodne novine 94/13), Zakon o naplati poreznog duga fizičkih osoba (Narodne novine 55/13), Zakon o otpisu dugova fizičkim osobama (Narodne novine 62/18), Zakon o općem upravnom postupku (NN 47/09, 110/21), Zakon o upravnim sporovima (NN 20/10, 143/12, 152/14, 94/16, 29/17, 110/21), Zakon o fiskalnoj odgovornosti (Narodne novine 111/18, 83/23), Uredba o sastavljanju i predaji Izjave o fiskalnoj odgovornosti i izvještaja o primjeni fiskalnih pravila (Narodne novine 95/19), Pravilnik o proračunskom računovodstvu i računskom planu (Narodne novine 124/14, 115/15, 87/16, 3/18, 112/18, 126/19, 108/20), Pravilnik o proračunskom računovodstvu i računskom planu (Narodne novine 158/23), Pravilnik o proračunskim klasifikacijama (Narodne novine 26/10, 120/13, 1/20), Pravilnik o proračunskim klasifikacijama (Narodne novine 4/24), Pravilnik o utvrđivanju proračunskih i izvanproračunskih korisnika državnog proračuna i proračunskih i izvanproračunskih korisnika proračuna jedinica lokalne i područne (regionalne) samouprave te o načinu vođenja Registra (Narodne novine 128/09 i 142/14, 23/19), Pravilnik o postupku dugoročnog zaduživanja te davanja jamstava i suglasnosti jedinica lokalne i područne (regionalne) samouprave (Narodne novine 67/22), Zakon o javnoj nabavi (Narodne novine 120/16, 114/22), Zakon o sustavu unutarnjih financijskih kontrola u javnom sektoru (Narodne novine 78/15, 102/19), Zakon o političkim strankama (NN 76/93, 111/96, 164/98, 36/01, 28/06), Zakon o radu (NN 93/14, 127/17, 98/19, 151/22), Zakon o pravu na pristup informacijama (NN 25/13, 85/15, 69/22), Zakon o savjetima mladih (NN 41/14), Zakon o sprječavanju sukoba interesa (NN 143/21 – na snazi od 25.12.2021.), Uredba o uredskom poslovanju (NN 75/21), Statut, Odluka o ustrojstvu i djelokrugu upravnih tijela Općine Konavle, Pravilnik o unutarnjem redu, drugi zakoni i propisi.</w:t>
            </w:r>
          </w:p>
        </w:tc>
      </w:tr>
      <w:tr w:rsidR="00676A9B" w:rsidRPr="00676A9B" w14:paraId="4D81A2D6" w14:textId="77777777" w:rsidTr="00410A4B">
        <w:tc>
          <w:tcPr>
            <w:tcW w:w="1668" w:type="dxa"/>
            <w:tcBorders>
              <w:top w:val="dotted" w:sz="4" w:space="0" w:color="auto"/>
              <w:left w:val="dotted" w:sz="4" w:space="0" w:color="auto"/>
              <w:bottom w:val="dotted" w:sz="4" w:space="0" w:color="auto"/>
              <w:right w:val="dotted" w:sz="4" w:space="0" w:color="auto"/>
            </w:tcBorders>
          </w:tcPr>
          <w:p w14:paraId="6D648523"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lastRenderedPageBreak/>
              <w:t>Opći cilj:</w:t>
            </w:r>
          </w:p>
        </w:tc>
        <w:tc>
          <w:tcPr>
            <w:tcW w:w="12474" w:type="dxa"/>
            <w:tcBorders>
              <w:top w:val="dotted" w:sz="4" w:space="0" w:color="auto"/>
              <w:left w:val="dotted" w:sz="4" w:space="0" w:color="auto"/>
              <w:bottom w:val="dotted" w:sz="4" w:space="0" w:color="auto"/>
              <w:right w:val="dotted" w:sz="4" w:space="0" w:color="auto"/>
            </w:tcBorders>
            <w:vAlign w:val="bottom"/>
          </w:tcPr>
          <w:p w14:paraId="4454856D"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Pravovremeno izvršavanje aktivnosti iz nadležnosti općinske uprave.</w:t>
            </w:r>
          </w:p>
          <w:p w14:paraId="798F8E38"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Efikasno obavljanje poslova lokalnog značaja, upravljanje Općinom, izvršavanje proračuna.</w:t>
            </w:r>
          </w:p>
          <w:p w14:paraId="13500291"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Cilj programa je dugoročno provoditi politiku plaća i drugih materijalnih prava zaposlenika Općine u skladu sa propisima, internim aktima koji uređuju mjerila i način korištenja proračunskih sredstava za financiranje mase plaća, kao i proračunskim mogućnostima te osigurati sredstva za nesmetano obavljanje upravnih, stručnih i ostalih poslova u odjelima općinske uprave.</w:t>
            </w:r>
          </w:p>
          <w:p w14:paraId="7F7F30D7"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Racionalno korištenje rashoda i naplata općinskih poreza.</w:t>
            </w:r>
          </w:p>
        </w:tc>
      </w:tr>
      <w:tr w:rsidR="00676A9B" w:rsidRPr="00676A9B" w14:paraId="3482A0E5" w14:textId="77777777" w:rsidTr="00410A4B">
        <w:tc>
          <w:tcPr>
            <w:tcW w:w="1668" w:type="dxa"/>
            <w:tcBorders>
              <w:top w:val="dotted" w:sz="4" w:space="0" w:color="auto"/>
              <w:left w:val="dotted" w:sz="4" w:space="0" w:color="auto"/>
              <w:bottom w:val="dotted" w:sz="4" w:space="0" w:color="auto"/>
              <w:right w:val="dotted" w:sz="4" w:space="0" w:color="auto"/>
            </w:tcBorders>
            <w:vAlign w:val="bottom"/>
          </w:tcPr>
          <w:p w14:paraId="0150D9F7"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POSEBNI CILJEVI:</w:t>
            </w:r>
          </w:p>
        </w:tc>
        <w:tc>
          <w:tcPr>
            <w:tcW w:w="12474" w:type="dxa"/>
            <w:tcBorders>
              <w:top w:val="dotted" w:sz="4" w:space="0" w:color="auto"/>
              <w:left w:val="dotted" w:sz="4" w:space="0" w:color="auto"/>
              <w:bottom w:val="dotted" w:sz="4" w:space="0" w:color="auto"/>
              <w:right w:val="dotted" w:sz="4" w:space="0" w:color="auto"/>
            </w:tcBorders>
            <w:vAlign w:val="bottom"/>
          </w:tcPr>
          <w:p w14:paraId="15C693A1"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Osigurati sredstva za redovno funkcioniranje Općine u skladu s proračunskim mogućnostima, te povećanje efikasnosti istih, kao i provođenje mjera efikasnog korištenja sredstava proračuna i ostvarenje ušteda.</w:t>
            </w:r>
          </w:p>
          <w:p w14:paraId="7E1A321F"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Redovita otplata beskamatnih zajmova. </w:t>
            </w:r>
          </w:p>
          <w:p w14:paraId="4E01C22A"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Izvođenjem Programa u obavljanju računovodstvenih poslova osigurati pravilnu primjenu zakona i drugih propisa donesenih na temelju zakona, pratiti namjensko korištenje sredstava, postići kvalitetan nadzor nad materijalnim i financijskim poslovanjem odjela općinske uprave, kontinuirano pratiti razinu likvidnosti proračuna radi podmirenja zakonskih, ugovornih, kreditnih i drugih financijskih obveza Općine te financirati javne rashode na razini Općine putem planskih financijskih dokumenata prihvaćenih od strane Općinskog vijeća, kao i uspješnost funkcioniranja općinske riznice.</w:t>
            </w:r>
          </w:p>
        </w:tc>
      </w:tr>
    </w:tbl>
    <w:p w14:paraId="126350A7" w14:textId="77777777" w:rsidR="00676A9B" w:rsidRDefault="00676A9B" w:rsidP="00676A9B">
      <w:pPr>
        <w:shd w:val="clear" w:color="auto" w:fill="FFFFFF"/>
        <w:spacing w:after="0" w:line="240" w:lineRule="auto"/>
        <w:jc w:val="both"/>
        <w:rPr>
          <w:rFonts w:ascii="Arial" w:eastAsia="Times New Roman" w:hAnsi="Arial" w:cs="Arial"/>
          <w:sz w:val="14"/>
          <w:szCs w:val="14"/>
          <w:bdr w:val="none" w:sz="0" w:space="0" w:color="auto" w:frame="1"/>
          <w:lang w:eastAsia="en-US"/>
        </w:rPr>
      </w:pPr>
    </w:p>
    <w:p w14:paraId="25F30F8D" w14:textId="77777777" w:rsidR="00B058F7" w:rsidRPr="00676A9B" w:rsidRDefault="00B058F7" w:rsidP="00676A9B">
      <w:pPr>
        <w:shd w:val="clear" w:color="auto" w:fill="FFFFFF"/>
        <w:spacing w:after="0" w:line="240" w:lineRule="auto"/>
        <w:jc w:val="both"/>
        <w:rPr>
          <w:rFonts w:ascii="Arial" w:eastAsia="Times New Roman" w:hAnsi="Arial" w:cs="Arial"/>
          <w:sz w:val="14"/>
          <w:szCs w:val="14"/>
          <w:bdr w:val="none" w:sz="0" w:space="0" w:color="auto" w:frame="1"/>
          <w:lang w:eastAsia="en-US"/>
        </w:rPr>
      </w:pPr>
    </w:p>
    <w:p w14:paraId="0719D9E2"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676A9B">
        <w:rPr>
          <w:rFonts w:ascii="Arial" w:eastAsia="Calibri" w:hAnsi="Arial" w:cs="Arial"/>
          <w:b/>
          <w:sz w:val="20"/>
          <w:szCs w:val="20"/>
          <w:lang w:eastAsia="en-US"/>
        </w:rPr>
        <w:t>Procjena i ishodište potrebnih sredstava za aktivnosti unutar programa</w:t>
      </w:r>
    </w:p>
    <w:p w14:paraId="05C863F5" w14:textId="77777777" w:rsidR="00676A9B" w:rsidRPr="00676A9B" w:rsidRDefault="00676A9B" w:rsidP="00676A9B">
      <w:pPr>
        <w:spacing w:after="0" w:line="240" w:lineRule="auto"/>
        <w:jc w:val="both"/>
        <w:rPr>
          <w:rFonts w:ascii="Arial" w:eastAsia="Calibri" w:hAnsi="Arial" w:cs="Arial"/>
          <w:sz w:val="16"/>
          <w:szCs w:val="16"/>
          <w:lang w:eastAsia="en-US"/>
        </w:rPr>
      </w:pPr>
    </w:p>
    <w:p w14:paraId="73AF71F6"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Izvršenje aktivnosti ovog programa u razdoblju za 2013.-2019. koje su završene ili premještene u druge programe (iskazano u valuti EURO):</w:t>
      </w:r>
    </w:p>
    <w:p w14:paraId="2CB3E0E8" w14:textId="77777777" w:rsidR="00676A9B" w:rsidRPr="00676A9B" w:rsidRDefault="00676A9B" w:rsidP="00676A9B">
      <w:pPr>
        <w:spacing w:after="0" w:line="240" w:lineRule="auto"/>
        <w:jc w:val="both"/>
        <w:rPr>
          <w:rFonts w:ascii="Arial" w:eastAsia="Calibri" w:hAnsi="Arial" w:cs="Arial"/>
          <w:sz w:val="20"/>
          <w:szCs w:val="20"/>
          <w:lang w:eastAsia="en-US"/>
        </w:rPr>
      </w:pPr>
    </w:p>
    <w:p w14:paraId="0BC7E58C" w14:textId="77777777" w:rsidR="00676A9B" w:rsidRDefault="00676A9B" w:rsidP="00676A9B">
      <w:pPr>
        <w:spacing w:after="0" w:line="240" w:lineRule="auto"/>
        <w:jc w:val="center"/>
        <w:rPr>
          <w:rFonts w:ascii="Arial" w:eastAsia="Times New Roman" w:hAnsi="Arial" w:cs="Arial"/>
          <w:color w:val="FF0000"/>
          <w:sz w:val="20"/>
          <w:szCs w:val="20"/>
          <w:lang w:eastAsia="en-US"/>
        </w:rPr>
      </w:pPr>
      <w:r w:rsidRPr="00676A9B">
        <w:rPr>
          <w:noProof/>
          <w:color w:val="FF0000"/>
        </w:rPr>
        <w:drawing>
          <wp:inline distT="0" distB="0" distL="0" distR="0" wp14:anchorId="764418A5" wp14:editId="2D726076">
            <wp:extent cx="8579485" cy="3951605"/>
            <wp:effectExtent l="0" t="0" r="0" b="0"/>
            <wp:docPr id="823407488"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8579485" cy="3951605"/>
                    </a:xfrm>
                    <a:prstGeom prst="rect">
                      <a:avLst/>
                    </a:prstGeom>
                    <a:noFill/>
                    <a:ln>
                      <a:noFill/>
                    </a:ln>
                  </pic:spPr>
                </pic:pic>
              </a:graphicData>
            </a:graphic>
          </wp:inline>
        </w:drawing>
      </w:r>
    </w:p>
    <w:p w14:paraId="0EBDE75B" w14:textId="77777777" w:rsidR="00676A9B" w:rsidRPr="00676A9B" w:rsidRDefault="00676A9B">
      <w:pPr>
        <w:numPr>
          <w:ilvl w:val="0"/>
          <w:numId w:val="6"/>
        </w:numPr>
        <w:spacing w:after="0" w:line="240" w:lineRule="auto"/>
        <w:jc w:val="both"/>
        <w:rPr>
          <w:rFonts w:ascii="Arial" w:eastAsia="Calibri" w:hAnsi="Arial" w:cs="Arial"/>
          <w:sz w:val="20"/>
          <w:szCs w:val="20"/>
        </w:rPr>
      </w:pPr>
      <w:r w:rsidRPr="00676A9B">
        <w:rPr>
          <w:rFonts w:ascii="Arial" w:eastAsia="Calibri" w:hAnsi="Arial" w:cs="Arial"/>
          <w:sz w:val="20"/>
          <w:szCs w:val="20"/>
        </w:rPr>
        <w:t>Od 2019. godine cjelokupni troškovi vezani uz otplatu kredita i jamstvenu zalihu se iskazuju unutar upravnog odjela unutar kojeg je upravljanje nekretninama (PROGRAM 2012 Jamstveni fond i otplate kredita, razdjel 030)</w:t>
      </w:r>
    </w:p>
    <w:p w14:paraId="26614A14" w14:textId="77777777" w:rsidR="00676A9B" w:rsidRPr="00676A9B" w:rsidRDefault="00676A9B">
      <w:pPr>
        <w:numPr>
          <w:ilvl w:val="0"/>
          <w:numId w:val="6"/>
        </w:numPr>
        <w:spacing w:after="0" w:line="240" w:lineRule="auto"/>
        <w:jc w:val="both"/>
        <w:rPr>
          <w:rFonts w:ascii="Arial" w:eastAsia="Calibri" w:hAnsi="Arial" w:cs="Arial"/>
          <w:sz w:val="20"/>
          <w:szCs w:val="20"/>
        </w:rPr>
      </w:pPr>
      <w:r w:rsidRPr="00676A9B">
        <w:rPr>
          <w:rFonts w:ascii="Arial" w:eastAsia="Calibri" w:hAnsi="Arial" w:cs="Arial"/>
          <w:sz w:val="20"/>
          <w:szCs w:val="20"/>
        </w:rPr>
        <w:t>Od 2019. godine cjelokupni troškovi vezani uz provedbu izbora (osim lokalnih) i referenduma se iskazuju unutar upravnog PROGRAMA 2022 Provedba izbora i referenduma</w:t>
      </w:r>
    </w:p>
    <w:p w14:paraId="7D63A7B2" w14:textId="77777777" w:rsidR="00676A9B" w:rsidRPr="00676A9B" w:rsidRDefault="00676A9B" w:rsidP="00676A9B">
      <w:pPr>
        <w:spacing w:after="0" w:line="240" w:lineRule="auto"/>
        <w:rPr>
          <w:rFonts w:ascii="Arial" w:eastAsia="Calibri" w:hAnsi="Arial" w:cs="Arial"/>
          <w:sz w:val="20"/>
          <w:szCs w:val="20"/>
        </w:rPr>
      </w:pPr>
    </w:p>
    <w:p w14:paraId="73254DF9" w14:textId="215F0037" w:rsidR="00676A9B" w:rsidRPr="00676A9B" w:rsidRDefault="008A16BA" w:rsidP="00676A9B">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792D4277" w14:textId="7BB7D5D2" w:rsidR="00676A9B" w:rsidRDefault="00676A9B" w:rsidP="00676A9B">
      <w:pPr>
        <w:spacing w:after="0" w:line="240" w:lineRule="auto"/>
        <w:jc w:val="both"/>
        <w:rPr>
          <w:rFonts w:ascii="Arial" w:eastAsia="Calibri" w:hAnsi="Arial" w:cs="Arial"/>
          <w:sz w:val="20"/>
          <w:szCs w:val="20"/>
        </w:rPr>
      </w:pPr>
    </w:p>
    <w:p w14:paraId="7105DF70" w14:textId="498D17EE" w:rsidR="00FE4E0A" w:rsidRPr="00676A9B" w:rsidRDefault="00CC6285" w:rsidP="00676A9B">
      <w:pPr>
        <w:spacing w:after="0" w:line="240" w:lineRule="auto"/>
        <w:jc w:val="both"/>
        <w:rPr>
          <w:rFonts w:ascii="Arial" w:eastAsia="Calibri" w:hAnsi="Arial" w:cs="Arial"/>
          <w:sz w:val="20"/>
          <w:szCs w:val="20"/>
        </w:rPr>
      </w:pPr>
      <w:r w:rsidRPr="00CC6285">
        <w:rPr>
          <w:noProof/>
        </w:rPr>
        <w:lastRenderedPageBreak/>
        <w:drawing>
          <wp:inline distT="0" distB="0" distL="0" distR="0" wp14:anchorId="3E510269" wp14:editId="365A993F">
            <wp:extent cx="9251950" cy="777240"/>
            <wp:effectExtent l="0" t="0" r="6350" b="3810"/>
            <wp:docPr id="574907051"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9251950" cy="777240"/>
                    </a:xfrm>
                    <a:prstGeom prst="rect">
                      <a:avLst/>
                    </a:prstGeom>
                    <a:noFill/>
                    <a:ln>
                      <a:noFill/>
                    </a:ln>
                  </pic:spPr>
                </pic:pic>
              </a:graphicData>
            </a:graphic>
          </wp:inline>
        </w:drawing>
      </w:r>
    </w:p>
    <w:p w14:paraId="585BB68E" w14:textId="77777777" w:rsidR="00676A9B" w:rsidRPr="00676A9B" w:rsidRDefault="00676A9B" w:rsidP="00676A9B">
      <w:pPr>
        <w:spacing w:after="0" w:line="240" w:lineRule="auto"/>
        <w:jc w:val="right"/>
        <w:rPr>
          <w:rFonts w:ascii="Arial" w:eastAsia="Calibri" w:hAnsi="Arial" w:cs="Arial"/>
          <w:sz w:val="20"/>
          <w:szCs w:val="20"/>
        </w:rPr>
      </w:pPr>
      <w:r w:rsidRPr="00676A9B">
        <w:rPr>
          <w:rFonts w:ascii="Arial" w:eastAsia="Calibri" w:hAnsi="Arial" w:cs="Arial"/>
          <w:b/>
          <w:sz w:val="20"/>
          <w:szCs w:val="20"/>
        </w:rPr>
        <w:t>RAZLOG ODSTUPANJA OD PROŠLOGODIŠNJIH PROJEKCIJA</w:t>
      </w:r>
      <w:r w:rsidRPr="00676A9B">
        <w:rPr>
          <w:rFonts w:ascii="Arial" w:eastAsia="Calibri" w:hAnsi="Arial" w:cs="Arial"/>
          <w:sz w:val="20"/>
          <w:szCs w:val="20"/>
        </w:rPr>
        <w:t xml:space="preserve">: </w:t>
      </w:r>
    </w:p>
    <w:p w14:paraId="51775202" w14:textId="77777777" w:rsidR="00676A9B" w:rsidRPr="00676A9B" w:rsidRDefault="00676A9B" w:rsidP="00676A9B">
      <w:pPr>
        <w:spacing w:after="0" w:line="240" w:lineRule="auto"/>
        <w:jc w:val="right"/>
        <w:rPr>
          <w:rFonts w:ascii="Arial" w:eastAsia="Calibri" w:hAnsi="Arial" w:cs="Arial"/>
          <w:sz w:val="20"/>
          <w:szCs w:val="20"/>
        </w:rPr>
      </w:pPr>
      <w:r w:rsidRPr="00676A9B">
        <w:rPr>
          <w:rFonts w:ascii="Arial" w:eastAsia="Calibri" w:hAnsi="Arial" w:cs="Arial"/>
          <w:sz w:val="20"/>
          <w:szCs w:val="20"/>
        </w:rPr>
        <w:t>Po navedenom programu nije bilo značajnijih odstupanja.</w:t>
      </w:r>
    </w:p>
    <w:p w14:paraId="6991EA32" w14:textId="77777777" w:rsidR="00676A9B" w:rsidRPr="00676A9B" w:rsidRDefault="00676A9B" w:rsidP="00676A9B">
      <w:pPr>
        <w:spacing w:after="0" w:line="240" w:lineRule="auto"/>
        <w:jc w:val="right"/>
        <w:rPr>
          <w:rFonts w:ascii="Arial" w:eastAsia="Calibri" w:hAnsi="Arial" w:cs="Arial"/>
          <w:sz w:val="20"/>
          <w:szCs w:val="20"/>
        </w:rPr>
      </w:pPr>
    </w:p>
    <w:p w14:paraId="1DD26758" w14:textId="77777777" w:rsidR="00676A9B" w:rsidRPr="00676A9B" w:rsidRDefault="00676A9B" w:rsidP="00676A9B">
      <w:pPr>
        <w:spacing w:after="0" w:line="240" w:lineRule="auto"/>
        <w:jc w:val="both"/>
        <w:rPr>
          <w:rFonts w:ascii="Arial" w:eastAsia="Calibri" w:hAnsi="Arial" w:cs="Arial"/>
          <w:i/>
          <w:sz w:val="20"/>
          <w:szCs w:val="20"/>
        </w:rPr>
      </w:pPr>
      <w:r w:rsidRPr="00676A9B">
        <w:rPr>
          <w:rFonts w:ascii="Arial" w:eastAsia="Calibri" w:hAnsi="Arial" w:cs="Arial"/>
          <w:b/>
          <w:sz w:val="20"/>
          <w:szCs w:val="20"/>
        </w:rPr>
        <w:t>Ishodište i pokazatelji na kojima se zasnivaju izračuni i ocjene</w:t>
      </w:r>
      <w:r w:rsidRPr="00676A9B">
        <w:rPr>
          <w:rFonts w:ascii="Arial" w:eastAsia="Calibri" w:hAnsi="Arial" w:cs="Arial"/>
          <w:sz w:val="20"/>
          <w:szCs w:val="20"/>
        </w:rPr>
        <w:t xml:space="preserve"> </w:t>
      </w:r>
      <w:r w:rsidRPr="00676A9B">
        <w:rPr>
          <w:rFonts w:ascii="Arial" w:eastAsia="Calibri" w:hAnsi="Arial" w:cs="Arial"/>
          <w:b/>
          <w:sz w:val="20"/>
          <w:szCs w:val="20"/>
        </w:rPr>
        <w:t>potrebnih sredstava za provođenje programa:</w:t>
      </w:r>
      <w:r w:rsidRPr="00676A9B">
        <w:rPr>
          <w:rFonts w:ascii="Arial" w:eastAsia="Calibri" w:hAnsi="Arial" w:cs="Arial"/>
          <w:sz w:val="20"/>
          <w:szCs w:val="20"/>
        </w:rPr>
        <w:t xml:space="preserve"> Planske veličine su određene u predloženim iznosima temeljem ostvarenih ciljeva i postignutih rezultata iz prethodnih godina, te predviđanja promjena u izvršenju ciljeva u narednom razdoblju.</w:t>
      </w:r>
    </w:p>
    <w:p w14:paraId="2BD35304" w14:textId="77777777" w:rsidR="00676A9B" w:rsidRPr="00676A9B" w:rsidRDefault="00676A9B" w:rsidP="00676A9B">
      <w:pPr>
        <w:spacing w:after="0" w:line="240" w:lineRule="auto"/>
        <w:jc w:val="both"/>
        <w:rPr>
          <w:rFonts w:ascii="Arial" w:eastAsia="Calibri" w:hAnsi="Arial" w:cs="Arial"/>
          <w:bCs/>
          <w:sz w:val="20"/>
          <w:szCs w:val="20"/>
        </w:rPr>
      </w:pPr>
      <w:r w:rsidRPr="00676A9B">
        <w:rPr>
          <w:rFonts w:ascii="Arial" w:eastAsia="Calibri" w:hAnsi="Arial" w:cs="Arial"/>
          <w:b/>
          <w:sz w:val="20"/>
          <w:szCs w:val="20"/>
        </w:rPr>
        <w:t xml:space="preserve">Izvještaj o postignutim ciljevima i rezultatima programa temeljenim na pokazateljima uspješnosti u prethodnoj godini: </w:t>
      </w:r>
      <w:r w:rsidRPr="00676A9B">
        <w:rPr>
          <w:rFonts w:ascii="Arial" w:eastAsia="Calibri" w:hAnsi="Arial" w:cs="Arial"/>
          <w:bCs/>
          <w:sz w:val="20"/>
          <w:szCs w:val="20"/>
        </w:rPr>
        <w:t xml:space="preserve">Izvršenje je u okviru očekivanih vrijednosti. </w:t>
      </w:r>
    </w:p>
    <w:p w14:paraId="65249532" w14:textId="77777777" w:rsidR="00676A9B" w:rsidRPr="00676A9B" w:rsidRDefault="00676A9B" w:rsidP="00676A9B">
      <w:pPr>
        <w:spacing w:after="0" w:line="240" w:lineRule="auto"/>
        <w:jc w:val="both"/>
        <w:rPr>
          <w:rFonts w:ascii="Arial" w:eastAsia="Calibri" w:hAnsi="Arial" w:cs="Arial"/>
          <w:sz w:val="20"/>
          <w:szCs w:val="20"/>
        </w:rPr>
      </w:pPr>
    </w:p>
    <w:p w14:paraId="477C89B6" w14:textId="188C362D" w:rsidR="00676A9B" w:rsidRPr="00676A9B" w:rsidRDefault="00676A9B" w:rsidP="00676A9B">
      <w:pPr>
        <w:spacing w:after="0" w:line="240" w:lineRule="auto"/>
        <w:rPr>
          <w:rFonts w:ascii="Arial" w:eastAsia="Calibri" w:hAnsi="Arial" w:cs="Arial"/>
          <w:sz w:val="20"/>
          <w:szCs w:val="20"/>
        </w:rPr>
      </w:pPr>
      <w:r w:rsidRPr="00676A9B">
        <w:rPr>
          <w:rFonts w:ascii="Arial" w:eastAsia="Calibri" w:hAnsi="Arial" w:cs="Arial"/>
          <w:sz w:val="20"/>
          <w:szCs w:val="20"/>
        </w:rPr>
        <w:t xml:space="preserve">Ukupno planirana sredstva na razini programa 2010. iznose </w:t>
      </w:r>
      <w:r w:rsidR="00FE4E0A">
        <w:rPr>
          <w:rFonts w:ascii="Arial" w:eastAsia="Calibri" w:hAnsi="Arial" w:cs="Arial"/>
          <w:sz w:val="20"/>
          <w:szCs w:val="20"/>
        </w:rPr>
        <w:t>1.413.808</w:t>
      </w:r>
      <w:r w:rsidRPr="00676A9B">
        <w:rPr>
          <w:rFonts w:ascii="Arial" w:eastAsia="Calibri" w:hAnsi="Arial" w:cs="Arial"/>
          <w:sz w:val="20"/>
          <w:szCs w:val="20"/>
        </w:rPr>
        <w:t xml:space="preserve"> € za 202</w:t>
      </w:r>
      <w:r w:rsidR="00FE4E0A">
        <w:rPr>
          <w:rFonts w:ascii="Arial" w:eastAsia="Calibri" w:hAnsi="Arial" w:cs="Arial"/>
          <w:sz w:val="20"/>
          <w:szCs w:val="20"/>
        </w:rPr>
        <w:t>5</w:t>
      </w:r>
      <w:r w:rsidRPr="00676A9B">
        <w:rPr>
          <w:rFonts w:ascii="Arial" w:eastAsia="Calibri" w:hAnsi="Arial" w:cs="Arial"/>
          <w:sz w:val="20"/>
          <w:szCs w:val="20"/>
        </w:rPr>
        <w:t xml:space="preserve">. odnosno </w:t>
      </w:r>
      <w:r w:rsidR="00FE4E0A">
        <w:rPr>
          <w:rFonts w:ascii="Arial" w:eastAsia="Calibri" w:hAnsi="Arial" w:cs="Arial"/>
          <w:sz w:val="20"/>
          <w:szCs w:val="20"/>
        </w:rPr>
        <w:t>2.026.876</w:t>
      </w:r>
      <w:r w:rsidRPr="00676A9B">
        <w:rPr>
          <w:rFonts w:ascii="Arial" w:eastAsia="Calibri" w:hAnsi="Arial" w:cs="Arial"/>
          <w:sz w:val="20"/>
          <w:szCs w:val="20"/>
        </w:rPr>
        <w:t xml:space="preserve"> € za 202</w:t>
      </w:r>
      <w:r w:rsidR="00FE4E0A">
        <w:rPr>
          <w:rFonts w:ascii="Arial" w:eastAsia="Calibri" w:hAnsi="Arial" w:cs="Arial"/>
          <w:sz w:val="20"/>
          <w:szCs w:val="20"/>
        </w:rPr>
        <w:t>6</w:t>
      </w:r>
      <w:r w:rsidRPr="00676A9B">
        <w:rPr>
          <w:rFonts w:ascii="Arial" w:eastAsia="Calibri" w:hAnsi="Arial" w:cs="Arial"/>
          <w:sz w:val="20"/>
          <w:szCs w:val="20"/>
        </w:rPr>
        <w:t xml:space="preserve">. i </w:t>
      </w:r>
      <w:r w:rsidR="00FE4E0A">
        <w:rPr>
          <w:rFonts w:ascii="Arial" w:eastAsia="Calibri" w:hAnsi="Arial" w:cs="Arial"/>
          <w:sz w:val="20"/>
          <w:szCs w:val="20"/>
        </w:rPr>
        <w:t>2.081.436</w:t>
      </w:r>
      <w:r w:rsidRPr="00676A9B">
        <w:rPr>
          <w:rFonts w:ascii="Arial" w:eastAsia="Calibri" w:hAnsi="Arial" w:cs="Arial"/>
          <w:sz w:val="20"/>
          <w:szCs w:val="20"/>
        </w:rPr>
        <w:t xml:space="preserve"> € za 202</w:t>
      </w:r>
      <w:r w:rsidR="00FE4E0A">
        <w:rPr>
          <w:rFonts w:ascii="Arial" w:eastAsia="Calibri" w:hAnsi="Arial" w:cs="Arial"/>
          <w:sz w:val="20"/>
          <w:szCs w:val="20"/>
        </w:rPr>
        <w:t>7</w:t>
      </w:r>
      <w:r w:rsidRPr="00676A9B">
        <w:rPr>
          <w:rFonts w:ascii="Arial" w:eastAsia="Calibri" w:hAnsi="Arial" w:cs="Arial"/>
          <w:sz w:val="20"/>
          <w:szCs w:val="20"/>
        </w:rPr>
        <w:t>. godinu. Povrat beskamatnih zajmova je odgođen do konca 2027. godine, te je u sljedećem proračunskom razdoblju planiran povrat samo dijela beskamatnih zajmova koji sveukupno iznose oko 1.335.000 €.</w:t>
      </w:r>
    </w:p>
    <w:p w14:paraId="0FBBF033" w14:textId="77777777" w:rsidR="00676A9B" w:rsidRPr="00676A9B" w:rsidRDefault="00676A9B" w:rsidP="00676A9B">
      <w:pPr>
        <w:spacing w:after="0" w:line="240" w:lineRule="auto"/>
        <w:jc w:val="both"/>
        <w:rPr>
          <w:rFonts w:ascii="Arial" w:eastAsia="Calibri" w:hAnsi="Arial" w:cs="Arial"/>
          <w:sz w:val="20"/>
          <w:szCs w:val="20"/>
        </w:rPr>
      </w:pPr>
    </w:p>
    <w:p w14:paraId="37FA8947" w14:textId="50ED68B4"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Izvršenje za 202</w:t>
      </w:r>
      <w:r w:rsidR="00FE4E0A">
        <w:rPr>
          <w:rFonts w:ascii="Arial" w:eastAsia="Calibri" w:hAnsi="Arial" w:cs="Arial"/>
          <w:sz w:val="20"/>
          <w:szCs w:val="20"/>
        </w:rPr>
        <w:t>5</w:t>
      </w:r>
      <w:r w:rsidRPr="00676A9B">
        <w:rPr>
          <w:rFonts w:ascii="Arial" w:eastAsia="Calibri" w:hAnsi="Arial" w:cs="Arial"/>
          <w:sz w:val="20"/>
          <w:szCs w:val="20"/>
        </w:rPr>
        <w:t xml:space="preserve">. iznosi </w:t>
      </w:r>
      <w:r w:rsidR="00FE4E0A">
        <w:rPr>
          <w:rFonts w:ascii="Arial" w:eastAsia="Calibri" w:hAnsi="Arial" w:cs="Arial"/>
          <w:sz w:val="20"/>
          <w:szCs w:val="20"/>
        </w:rPr>
        <w:t>1.</w:t>
      </w:r>
      <w:r w:rsidR="002C2863">
        <w:rPr>
          <w:rFonts w:ascii="Arial" w:eastAsia="Calibri" w:hAnsi="Arial" w:cs="Arial"/>
          <w:sz w:val="20"/>
          <w:szCs w:val="20"/>
        </w:rPr>
        <w:t>268.886,33</w:t>
      </w:r>
      <w:r w:rsidRPr="00676A9B">
        <w:rPr>
          <w:rFonts w:ascii="Arial" w:eastAsia="Calibri" w:hAnsi="Arial" w:cs="Arial"/>
          <w:sz w:val="20"/>
          <w:szCs w:val="20"/>
        </w:rPr>
        <w:t xml:space="preserve"> €, te je program izvršen u visini 89,</w:t>
      </w:r>
      <w:r w:rsidR="002C2863">
        <w:rPr>
          <w:rFonts w:ascii="Arial" w:eastAsia="Calibri" w:hAnsi="Arial" w:cs="Arial"/>
          <w:sz w:val="20"/>
          <w:szCs w:val="20"/>
        </w:rPr>
        <w:t>7</w:t>
      </w:r>
      <w:r w:rsidRPr="00676A9B">
        <w:rPr>
          <w:rFonts w:ascii="Arial" w:eastAsia="Calibri" w:hAnsi="Arial" w:cs="Arial"/>
          <w:sz w:val="20"/>
          <w:szCs w:val="20"/>
        </w:rPr>
        <w:t>%.</w:t>
      </w:r>
    </w:p>
    <w:p w14:paraId="21713DD7" w14:textId="77777777" w:rsidR="00676A9B" w:rsidRPr="00676A9B" w:rsidRDefault="00676A9B" w:rsidP="00676A9B">
      <w:pPr>
        <w:spacing w:after="0" w:line="240" w:lineRule="auto"/>
        <w:jc w:val="both"/>
        <w:rPr>
          <w:rFonts w:ascii="Arial" w:eastAsia="Calibri" w:hAnsi="Arial" w:cs="Arial"/>
          <w:sz w:val="20"/>
          <w:szCs w:val="20"/>
          <w:lang w:eastAsia="en-US"/>
        </w:rPr>
      </w:pPr>
    </w:p>
    <w:p w14:paraId="105E1ACE"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676A9B">
        <w:rPr>
          <w:rFonts w:ascii="Arial" w:eastAsia="Calibri" w:hAnsi="Arial" w:cs="Arial"/>
          <w:b/>
          <w:sz w:val="20"/>
          <w:szCs w:val="20"/>
          <w:lang w:eastAsia="en-US"/>
        </w:rPr>
        <w:t>Obrazloženje aktivnosti / projekata i pokazatelji uspješnosti</w:t>
      </w:r>
    </w:p>
    <w:p w14:paraId="0536FF12" w14:textId="77777777" w:rsidR="00676A9B" w:rsidRPr="00676A9B" w:rsidRDefault="00676A9B" w:rsidP="00676A9B">
      <w:pPr>
        <w:spacing w:after="0" w:line="240" w:lineRule="auto"/>
        <w:jc w:val="both"/>
        <w:rPr>
          <w:rFonts w:ascii="Arial" w:eastAsia="Calibri" w:hAnsi="Arial" w:cs="Arial"/>
          <w:sz w:val="20"/>
          <w:szCs w:val="20"/>
        </w:rPr>
      </w:pPr>
    </w:p>
    <w:p w14:paraId="29E40BCA"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Unutar programa izvode se slijedeće aktivnosti i projekti:</w:t>
      </w:r>
    </w:p>
    <w:p w14:paraId="2CA50B57" w14:textId="77777777" w:rsidR="00676A9B" w:rsidRPr="00676A9B" w:rsidRDefault="00676A9B" w:rsidP="00676A9B">
      <w:pPr>
        <w:autoSpaceDE w:val="0"/>
        <w:autoSpaceDN w:val="0"/>
        <w:adjustRightInd w:val="0"/>
        <w:spacing w:after="0" w:line="240" w:lineRule="auto"/>
        <w:jc w:val="both"/>
        <w:rPr>
          <w:rFonts w:ascii="Arial" w:eastAsia="Calibri" w:hAnsi="Arial" w:cs="Arial"/>
          <w:b/>
          <w:sz w:val="20"/>
          <w:szCs w:val="20"/>
        </w:rPr>
      </w:pPr>
    </w:p>
    <w:p w14:paraId="52B0E2F8"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rPr>
        <w:t xml:space="preserve">1. A201001: Zajednički troškovi upravnih tijela </w:t>
      </w:r>
      <w:r w:rsidRPr="00676A9B">
        <w:rPr>
          <w:rFonts w:ascii="Arial" w:eastAsia="Calibri" w:hAnsi="Arial" w:cs="Arial"/>
          <w:sz w:val="20"/>
          <w:szCs w:val="20"/>
        </w:rPr>
        <w:t xml:space="preserve">– </w:t>
      </w:r>
      <w:r w:rsidRPr="00676A9B">
        <w:rPr>
          <w:rFonts w:ascii="Arial" w:eastAsia="Calibri" w:hAnsi="Arial" w:cs="Arial"/>
          <w:sz w:val="20"/>
          <w:szCs w:val="20"/>
          <w:lang w:eastAsia="en-US"/>
        </w:rPr>
        <w:t xml:space="preserve">u sklopu navedene aktivnosti su rashodi za plaće za službenike Općine Konavle te pripadajući porezi i doprinosi, rashodi vezani za službena putovanja, naknade za prijevoz na posao i s posla, stručno usavršavanje, uredski i drugi materijal, literaturu, energiju, gorivo, sitan inventar, rashode za usluge (telefon, održavanje objekata, opreme i prijevoznih sredstava, usluge promidžbe, komunalne usluge, intelektualne usluge, najamnine), naknade troškova osobama izvan radnog odnosa, premije osiguranja, reprezentaciju, pristojbe i naknade, kamate i troškove platnog prometa, naknade šteta pravnim i fizičkim osobama. </w:t>
      </w:r>
    </w:p>
    <w:p w14:paraId="6700202E" w14:textId="77777777" w:rsidR="00676A9B" w:rsidRPr="00676A9B" w:rsidRDefault="00676A9B" w:rsidP="00676A9B">
      <w:pPr>
        <w:autoSpaceDE w:val="0"/>
        <w:autoSpaceDN w:val="0"/>
        <w:adjustRightInd w:val="0"/>
        <w:spacing w:after="0" w:line="240" w:lineRule="auto"/>
        <w:ind w:left="567"/>
        <w:jc w:val="both"/>
        <w:rPr>
          <w:rFonts w:ascii="Arial" w:eastAsia="Calibri" w:hAnsi="Arial" w:cs="Arial"/>
          <w:sz w:val="18"/>
          <w:szCs w:val="18"/>
          <w:lang w:eastAsia="en-US"/>
        </w:rPr>
      </w:pPr>
      <w:r w:rsidRPr="00676A9B">
        <w:rPr>
          <w:rFonts w:ascii="Arial" w:eastAsia="Calibri" w:hAnsi="Arial" w:cs="Arial"/>
          <w:sz w:val="18"/>
          <w:szCs w:val="18"/>
          <w:lang w:eastAsia="en-US"/>
        </w:rPr>
        <w:t>Povrat beskamatnih zajmova odobrenih na temelju pada prihoda u 2020. i 2021. godini je odgođen do konca 2027. godine, te je u sljedećem proračunskom razdoblju planiran povrat samo dijela beskamatnih zajmova koji sveukupno iznose oko 1.335.000 €.</w:t>
      </w:r>
    </w:p>
    <w:p w14:paraId="0ADF679F" w14:textId="77777777" w:rsidR="00676A9B" w:rsidRPr="00676A9B" w:rsidRDefault="00676A9B" w:rsidP="00676A9B">
      <w:pPr>
        <w:autoSpaceDE w:val="0"/>
        <w:autoSpaceDN w:val="0"/>
        <w:adjustRightInd w:val="0"/>
        <w:spacing w:after="0" w:line="240" w:lineRule="auto"/>
        <w:jc w:val="both"/>
        <w:rPr>
          <w:rFonts w:ascii="Arial" w:eastAsia="Calibri" w:hAnsi="Arial" w:cs="Arial"/>
          <w:sz w:val="18"/>
          <w:szCs w:val="18"/>
          <w:lang w:eastAsia="en-US"/>
        </w:rPr>
      </w:pPr>
    </w:p>
    <w:p w14:paraId="337EEF5A" w14:textId="5DDCB58C" w:rsidR="00676A9B" w:rsidRDefault="00676A9B" w:rsidP="00676A9B">
      <w:pPr>
        <w:autoSpaceDE w:val="0"/>
        <w:autoSpaceDN w:val="0"/>
        <w:adjustRightInd w:val="0"/>
        <w:spacing w:after="0" w:line="240" w:lineRule="auto"/>
        <w:jc w:val="both"/>
        <w:rPr>
          <w:rFonts w:ascii="Arial" w:eastAsia="Calibri" w:hAnsi="Arial" w:cs="Arial"/>
          <w:sz w:val="20"/>
          <w:szCs w:val="20"/>
        </w:rPr>
      </w:pPr>
      <w:r w:rsidRPr="001F3B8A">
        <w:rPr>
          <w:rFonts w:ascii="Arial" w:eastAsia="Calibri" w:hAnsi="Arial" w:cs="Arial"/>
          <w:sz w:val="20"/>
          <w:szCs w:val="20"/>
        </w:rPr>
        <w:t>Ukupno planirana sredstva za navedene aktivnosti iznose u 202</w:t>
      </w:r>
      <w:r w:rsidR="001F3B8A" w:rsidRPr="001F3B8A">
        <w:rPr>
          <w:rFonts w:ascii="Arial" w:eastAsia="Calibri" w:hAnsi="Arial" w:cs="Arial"/>
          <w:sz w:val="20"/>
          <w:szCs w:val="20"/>
        </w:rPr>
        <w:t>5</w:t>
      </w:r>
      <w:r w:rsidRPr="001F3B8A">
        <w:rPr>
          <w:rFonts w:ascii="Arial" w:eastAsia="Calibri" w:hAnsi="Arial" w:cs="Arial"/>
          <w:sz w:val="20"/>
          <w:szCs w:val="20"/>
        </w:rPr>
        <w:t xml:space="preserve">. godini iznose </w:t>
      </w:r>
      <w:r w:rsidR="001F3B8A" w:rsidRPr="001F3B8A">
        <w:rPr>
          <w:rFonts w:ascii="Arial" w:eastAsia="Calibri" w:hAnsi="Arial" w:cs="Arial"/>
          <w:sz w:val="20"/>
          <w:szCs w:val="20"/>
        </w:rPr>
        <w:t>1.413.808</w:t>
      </w:r>
      <w:r w:rsidRPr="001F3B8A">
        <w:rPr>
          <w:rFonts w:ascii="Arial" w:eastAsia="Calibri" w:hAnsi="Arial" w:cs="Arial"/>
          <w:sz w:val="20"/>
          <w:szCs w:val="20"/>
        </w:rPr>
        <w:t xml:space="preserve"> €, </w:t>
      </w:r>
      <w:r w:rsidR="001F3B8A" w:rsidRPr="001F3B8A">
        <w:rPr>
          <w:rFonts w:ascii="Arial" w:eastAsia="Calibri" w:hAnsi="Arial" w:cs="Arial"/>
          <w:sz w:val="20"/>
          <w:szCs w:val="20"/>
        </w:rPr>
        <w:t>odnosno 2.026.876 € za 2026. i 2.081.436 € za 2027. godinu.</w:t>
      </w:r>
    </w:p>
    <w:p w14:paraId="3F3A0033" w14:textId="77777777" w:rsidR="001F3B8A" w:rsidRPr="001F3B8A" w:rsidRDefault="001F3B8A" w:rsidP="00676A9B">
      <w:pPr>
        <w:autoSpaceDE w:val="0"/>
        <w:autoSpaceDN w:val="0"/>
        <w:adjustRightInd w:val="0"/>
        <w:spacing w:after="0" w:line="240" w:lineRule="auto"/>
        <w:jc w:val="both"/>
        <w:rPr>
          <w:rFonts w:ascii="Arial" w:eastAsia="Calibri" w:hAnsi="Arial" w:cs="Arial"/>
          <w:sz w:val="20"/>
          <w:szCs w:val="20"/>
          <w:lang w:eastAsia="en-US"/>
        </w:rPr>
      </w:pPr>
    </w:p>
    <w:p w14:paraId="27B124E4" w14:textId="7DDD2206"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Planirani Rashodi za zaposlene (31) upravnih tijela iznose </w:t>
      </w:r>
      <w:r w:rsidR="001F3B8A">
        <w:rPr>
          <w:rFonts w:ascii="Arial" w:eastAsia="Calibri" w:hAnsi="Arial" w:cs="Arial"/>
          <w:sz w:val="20"/>
          <w:szCs w:val="20"/>
          <w:lang w:eastAsia="en-US"/>
        </w:rPr>
        <w:t>891.630</w:t>
      </w:r>
      <w:r w:rsidRPr="00676A9B">
        <w:rPr>
          <w:rFonts w:ascii="Arial" w:eastAsia="Calibri" w:hAnsi="Arial" w:cs="Arial"/>
          <w:sz w:val="20"/>
          <w:szCs w:val="20"/>
          <w:lang w:eastAsia="en-US"/>
        </w:rPr>
        <w:t xml:space="preserve"> €. Rashodi za zaposlenike upravnih tijela Općine (31) obuhvaćaju plaće za zaposlenike općinske uprave, bez udjela plaća zaposlenih na projektima (sufinanciranje EU sredstvima). </w:t>
      </w:r>
    </w:p>
    <w:p w14:paraId="51E10675"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40C1A938" w14:textId="7FF69C3E"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20"/>
          <w:szCs w:val="20"/>
        </w:rPr>
      </w:pPr>
      <w:r w:rsidRPr="00676A9B">
        <w:rPr>
          <w:rFonts w:ascii="Arial" w:hAnsi="Arial" w:cs="Arial"/>
          <w:sz w:val="20"/>
          <w:szCs w:val="20"/>
        </w:rPr>
        <w:t>Prosječan broj zaposlenih na osnovi stanja na kraju 202</w:t>
      </w:r>
      <w:r w:rsidR="001F3B8A">
        <w:rPr>
          <w:rFonts w:ascii="Arial" w:hAnsi="Arial" w:cs="Arial"/>
          <w:sz w:val="20"/>
          <w:szCs w:val="20"/>
        </w:rPr>
        <w:t>5</w:t>
      </w:r>
      <w:r w:rsidRPr="00676A9B">
        <w:rPr>
          <w:rFonts w:ascii="Arial" w:hAnsi="Arial" w:cs="Arial"/>
          <w:sz w:val="20"/>
          <w:szCs w:val="20"/>
        </w:rPr>
        <w:t>. godine je bio 27 (uključujući načelnika), dok broj zaposlenih na osnovi sati rada iznosi 2</w:t>
      </w:r>
      <w:r w:rsidR="001F3B8A">
        <w:rPr>
          <w:rFonts w:ascii="Arial" w:hAnsi="Arial" w:cs="Arial"/>
          <w:sz w:val="20"/>
          <w:szCs w:val="20"/>
        </w:rPr>
        <w:t>7</w:t>
      </w:r>
      <w:r w:rsidRPr="00676A9B">
        <w:rPr>
          <w:rFonts w:ascii="Arial" w:hAnsi="Arial" w:cs="Arial"/>
          <w:sz w:val="20"/>
          <w:szCs w:val="20"/>
        </w:rPr>
        <w:t xml:space="preserve"> (uključujući načelnika).</w:t>
      </w:r>
    </w:p>
    <w:p w14:paraId="6085A6B4" w14:textId="7822E1FE"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20"/>
          <w:szCs w:val="20"/>
        </w:rPr>
      </w:pPr>
      <w:r w:rsidRPr="00676A9B">
        <w:rPr>
          <w:rFonts w:ascii="Arial" w:hAnsi="Arial" w:cs="Arial"/>
          <w:sz w:val="20"/>
          <w:szCs w:val="20"/>
        </w:rPr>
        <w:t>Prosječan broj zaposlenih kod korisnika na osnovi stanja na kraju 202</w:t>
      </w:r>
      <w:r w:rsidR="001F3B8A">
        <w:rPr>
          <w:rFonts w:ascii="Arial" w:hAnsi="Arial" w:cs="Arial"/>
          <w:sz w:val="20"/>
          <w:szCs w:val="20"/>
        </w:rPr>
        <w:t>5</w:t>
      </w:r>
      <w:r w:rsidRPr="00676A9B">
        <w:rPr>
          <w:rFonts w:ascii="Arial" w:hAnsi="Arial" w:cs="Arial"/>
          <w:sz w:val="20"/>
          <w:szCs w:val="20"/>
        </w:rPr>
        <w:t>. je 18</w:t>
      </w:r>
      <w:r w:rsidR="001F3B8A">
        <w:rPr>
          <w:rFonts w:ascii="Arial" w:hAnsi="Arial" w:cs="Arial"/>
          <w:sz w:val="20"/>
          <w:szCs w:val="20"/>
        </w:rPr>
        <w:t>7</w:t>
      </w:r>
      <w:r w:rsidRPr="00676A9B">
        <w:rPr>
          <w:rFonts w:ascii="Arial" w:hAnsi="Arial" w:cs="Arial"/>
          <w:sz w:val="20"/>
          <w:szCs w:val="20"/>
        </w:rPr>
        <w:t>. Prosječan broj zaposlenih na osnovi sati rada na kraju 202</w:t>
      </w:r>
      <w:r w:rsidR="001F3B8A">
        <w:rPr>
          <w:rFonts w:ascii="Arial" w:hAnsi="Arial" w:cs="Arial"/>
          <w:sz w:val="20"/>
          <w:szCs w:val="20"/>
        </w:rPr>
        <w:t>5</w:t>
      </w:r>
      <w:r w:rsidRPr="00676A9B">
        <w:rPr>
          <w:rFonts w:ascii="Arial" w:hAnsi="Arial" w:cs="Arial"/>
          <w:sz w:val="20"/>
          <w:szCs w:val="20"/>
        </w:rPr>
        <w:t>. je 17</w:t>
      </w:r>
      <w:r w:rsidR="001F3B8A">
        <w:rPr>
          <w:rFonts w:ascii="Arial" w:hAnsi="Arial" w:cs="Arial"/>
          <w:sz w:val="20"/>
          <w:szCs w:val="20"/>
        </w:rPr>
        <w:t>9</w:t>
      </w:r>
      <w:r w:rsidRPr="00676A9B">
        <w:rPr>
          <w:rFonts w:ascii="Arial" w:hAnsi="Arial" w:cs="Arial"/>
          <w:sz w:val="20"/>
          <w:szCs w:val="20"/>
        </w:rPr>
        <w:t>.</w:t>
      </w:r>
    </w:p>
    <w:p w14:paraId="02592DAC"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hAnsi="Arial" w:cs="Arial"/>
          <w:sz w:val="18"/>
          <w:szCs w:val="18"/>
        </w:rPr>
      </w:pPr>
    </w:p>
    <w:p w14:paraId="3239D0A3" w14:textId="77777777" w:rsidR="00676A9B" w:rsidRPr="00676A9B" w:rsidRDefault="00676A9B" w:rsidP="00676A9B">
      <w:pPr>
        <w:autoSpaceDE w:val="0"/>
        <w:autoSpaceDN w:val="0"/>
        <w:adjustRightInd w:val="0"/>
        <w:spacing w:after="0" w:line="240" w:lineRule="auto"/>
        <w:ind w:left="567"/>
        <w:jc w:val="both"/>
        <w:rPr>
          <w:rFonts w:ascii="Arial" w:eastAsia="Calibri" w:hAnsi="Arial" w:cs="Arial"/>
          <w:sz w:val="18"/>
          <w:szCs w:val="18"/>
          <w:lang w:eastAsia="en-US"/>
        </w:rPr>
      </w:pPr>
      <w:r w:rsidRPr="00676A9B">
        <w:rPr>
          <w:rFonts w:ascii="Arial" w:eastAsia="Calibri" w:hAnsi="Arial" w:cs="Arial"/>
          <w:sz w:val="18"/>
          <w:szCs w:val="18"/>
          <w:lang w:eastAsia="en-US"/>
        </w:rPr>
        <w:lastRenderedPageBreak/>
        <w:t xml:space="preserve">Zbog smanjenih proračunskih prihoda na temelju odluke načelnika od 27. ožujka 2020., u suglasnosti s općinskim vijećem, osnovica za obračun plaća djelatnika u 2020. je bila smanjena za 30%. Od siječnja do konca ožujka 2023. godine osnovica za obračun plaća (osim za javnu vatrogasnu postrojbu) je iznosila 797 €, za travanj i svibanj 2023. godine je bila 876,70 €, da bi se od lipnja 2023. godine ponovno izjednačila s osnovicom za obračun plaća državnih službenika i namještenika u iznosu 902,08 €, odnosno od listopada 2023. godine iznosi 947,18 €. </w:t>
      </w:r>
    </w:p>
    <w:p w14:paraId="61E6C04A" w14:textId="77777777" w:rsidR="001F3B8A" w:rsidRDefault="001F3B8A" w:rsidP="001F3B8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20"/>
          <w:szCs w:val="20"/>
        </w:rPr>
      </w:pPr>
    </w:p>
    <w:p w14:paraId="71CA38BD" w14:textId="49A5A7D2" w:rsidR="001F3B8A" w:rsidRPr="001F3B8A" w:rsidRDefault="001F3B8A" w:rsidP="001F3B8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hAnsi="Arial" w:cs="Arial"/>
          <w:sz w:val="20"/>
          <w:szCs w:val="20"/>
        </w:rPr>
      </w:pPr>
      <w:r w:rsidRPr="001F3B8A">
        <w:rPr>
          <w:rFonts w:ascii="Arial" w:hAnsi="Arial" w:cs="Arial"/>
          <w:sz w:val="20"/>
          <w:szCs w:val="20"/>
        </w:rPr>
        <w:t xml:space="preserve">Osnovica za obračun plaća do konca veljače 2025. je iznosila 947,18 €, od ožujka do konca kolovoza </w:t>
      </w:r>
      <w:r>
        <w:rPr>
          <w:rFonts w:ascii="Arial" w:hAnsi="Arial" w:cs="Arial"/>
          <w:sz w:val="20"/>
          <w:szCs w:val="20"/>
        </w:rPr>
        <w:t xml:space="preserve">2025. </w:t>
      </w:r>
      <w:r w:rsidRPr="001F3B8A">
        <w:rPr>
          <w:rFonts w:ascii="Arial" w:hAnsi="Arial" w:cs="Arial"/>
          <w:sz w:val="20"/>
          <w:szCs w:val="20"/>
        </w:rPr>
        <w:t>je iznosila 975,60 €, a od rujna 2025. godine iznosi 1.004,87 €.</w:t>
      </w:r>
    </w:p>
    <w:p w14:paraId="6F05DD0C" w14:textId="77777777" w:rsidR="00676A9B" w:rsidRPr="001F3B8A" w:rsidRDefault="00676A9B" w:rsidP="001F3B8A">
      <w:pPr>
        <w:autoSpaceDE w:val="0"/>
        <w:autoSpaceDN w:val="0"/>
        <w:adjustRightInd w:val="0"/>
        <w:spacing w:after="0" w:line="240" w:lineRule="auto"/>
        <w:jc w:val="both"/>
        <w:rPr>
          <w:rFonts w:ascii="Arial" w:eastAsia="Calibri" w:hAnsi="Arial" w:cs="Arial"/>
          <w:sz w:val="20"/>
          <w:szCs w:val="20"/>
        </w:rPr>
      </w:pPr>
    </w:p>
    <w:p w14:paraId="4EFE126A" w14:textId="2560C04F"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Rashodi za zaposlene (31) upravnih tijela (bez plaća zaposlenika koji se sufinanciraju putem projekata i plaće općinskog načelnika) iznose </w:t>
      </w:r>
      <w:r w:rsidR="006901DA">
        <w:rPr>
          <w:rFonts w:ascii="Arial" w:eastAsia="Calibri" w:hAnsi="Arial" w:cs="Arial"/>
          <w:sz w:val="20"/>
          <w:szCs w:val="20"/>
        </w:rPr>
        <w:t>79</w:t>
      </w:r>
      <w:r w:rsidR="002C2863">
        <w:rPr>
          <w:rFonts w:ascii="Arial" w:eastAsia="Calibri" w:hAnsi="Arial" w:cs="Arial"/>
          <w:sz w:val="20"/>
          <w:szCs w:val="20"/>
        </w:rPr>
        <w:t>0.514,49</w:t>
      </w:r>
      <w:r w:rsidRPr="00676A9B">
        <w:rPr>
          <w:rFonts w:ascii="Arial" w:eastAsia="Calibri" w:hAnsi="Arial" w:cs="Arial"/>
          <w:sz w:val="20"/>
          <w:szCs w:val="20"/>
        </w:rPr>
        <w:t xml:space="preserve"> € ili </w:t>
      </w:r>
      <w:r w:rsidR="006901DA">
        <w:rPr>
          <w:rFonts w:ascii="Arial" w:eastAsia="Calibri" w:hAnsi="Arial" w:cs="Arial"/>
          <w:sz w:val="20"/>
          <w:szCs w:val="20"/>
        </w:rPr>
        <w:t>3,1</w:t>
      </w:r>
      <w:r w:rsidRPr="00676A9B">
        <w:rPr>
          <w:rFonts w:ascii="Arial" w:eastAsia="Calibri" w:hAnsi="Arial" w:cs="Arial"/>
          <w:sz w:val="20"/>
          <w:szCs w:val="20"/>
        </w:rPr>
        <w:t xml:space="preserve">% ukupnih rashoda (rashodi poslovanja „3“ i rashodi na nabavu nefinancijske imovine „4“), odnosno </w:t>
      </w:r>
      <w:r w:rsidR="006901DA">
        <w:rPr>
          <w:rFonts w:ascii="Arial" w:eastAsia="Calibri" w:hAnsi="Arial" w:cs="Arial"/>
          <w:sz w:val="20"/>
          <w:szCs w:val="20"/>
        </w:rPr>
        <w:t>3</w:t>
      </w:r>
      <w:r w:rsidRPr="00676A9B">
        <w:rPr>
          <w:rFonts w:ascii="Arial" w:eastAsia="Calibri" w:hAnsi="Arial" w:cs="Arial"/>
          <w:sz w:val="20"/>
          <w:szCs w:val="20"/>
        </w:rPr>
        <w:t xml:space="preserve">% ukupnih rashoda i izdataka Općine (rashodi poslovanja „3“ i rashodi na nabavu nefinancijske imovine „4“ uvećani za izdatke za financijsku imovinu i otplate zajmova (razina 23) ili </w:t>
      </w:r>
      <w:r w:rsidR="006901DA">
        <w:rPr>
          <w:rFonts w:ascii="Arial" w:eastAsia="Calibri" w:hAnsi="Arial" w:cs="Arial"/>
          <w:sz w:val="20"/>
          <w:szCs w:val="20"/>
        </w:rPr>
        <w:t>13,6</w:t>
      </w:r>
      <w:r w:rsidRPr="00676A9B">
        <w:rPr>
          <w:rFonts w:ascii="Arial" w:eastAsia="Calibri" w:hAnsi="Arial" w:cs="Arial"/>
          <w:sz w:val="20"/>
          <w:szCs w:val="20"/>
        </w:rPr>
        <w:t xml:space="preserve">% sveukupnih rashoda za zaposlene (razina 23). </w:t>
      </w:r>
    </w:p>
    <w:p w14:paraId="04154C7F"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Rashodi za zaposlene Općine (31) obuhvaćaju plaće za zaposlenike općinske uprave, dok zaposlenika na poslovima javnih radova nije bilo u tekućoj godini. </w:t>
      </w:r>
    </w:p>
    <w:p w14:paraId="40244B66"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4B6D68C9" w14:textId="5C6770B5"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Udio rashoda za zaposlene Općine (svi zaposlenici, uključujući i zaposlenika na projektima i općinski načelnik) u iznosu </w:t>
      </w:r>
      <w:r w:rsidR="006901DA">
        <w:rPr>
          <w:rFonts w:ascii="Arial" w:eastAsia="Calibri" w:hAnsi="Arial" w:cs="Arial"/>
          <w:sz w:val="20"/>
          <w:szCs w:val="20"/>
        </w:rPr>
        <w:t>963.055,75</w:t>
      </w:r>
      <w:r w:rsidRPr="00676A9B">
        <w:rPr>
          <w:rFonts w:ascii="Arial" w:eastAsia="Calibri" w:hAnsi="Arial" w:cs="Arial"/>
          <w:sz w:val="20"/>
          <w:szCs w:val="20"/>
        </w:rPr>
        <w:t xml:space="preserve"> € u rashodima i izdacima Općine (razina 22) iznosi </w:t>
      </w:r>
      <w:r w:rsidR="00AE24EC">
        <w:rPr>
          <w:rFonts w:ascii="Arial" w:eastAsia="Calibri" w:hAnsi="Arial" w:cs="Arial"/>
          <w:sz w:val="20"/>
          <w:szCs w:val="20"/>
        </w:rPr>
        <w:t>3,9</w:t>
      </w:r>
      <w:r w:rsidRPr="00676A9B">
        <w:rPr>
          <w:rFonts w:ascii="Arial" w:eastAsia="Calibri" w:hAnsi="Arial" w:cs="Arial"/>
          <w:sz w:val="20"/>
          <w:szCs w:val="20"/>
        </w:rPr>
        <w:t xml:space="preserve">% (razina 22 umanjena za rashode za prijenose proračunskim korisnicima putem računa 367), odnosno </w:t>
      </w:r>
      <w:r w:rsidR="00AE24EC">
        <w:rPr>
          <w:rFonts w:ascii="Arial" w:eastAsia="Calibri" w:hAnsi="Arial" w:cs="Arial"/>
          <w:sz w:val="20"/>
          <w:szCs w:val="20"/>
        </w:rPr>
        <w:t>3,2</w:t>
      </w:r>
      <w:r w:rsidRPr="00676A9B">
        <w:rPr>
          <w:rFonts w:ascii="Arial" w:eastAsia="Calibri" w:hAnsi="Arial" w:cs="Arial"/>
          <w:sz w:val="20"/>
          <w:szCs w:val="20"/>
        </w:rPr>
        <w:t xml:space="preserve">% svih rashoda Općine (sveukupno rashodi razina 22). Rashodi za zaposlene (31) na projektima koji se sufinanciraju EU sredstvima su iskazani u iznosu </w:t>
      </w:r>
      <w:r w:rsidR="00B56508">
        <w:rPr>
          <w:rFonts w:ascii="Arial" w:eastAsia="Calibri" w:hAnsi="Arial" w:cs="Arial"/>
          <w:sz w:val="20"/>
          <w:szCs w:val="20"/>
        </w:rPr>
        <w:t>99.042,35</w:t>
      </w:r>
      <w:r w:rsidRPr="00676A9B">
        <w:rPr>
          <w:rFonts w:ascii="Arial" w:eastAsia="Calibri" w:hAnsi="Arial" w:cs="Arial"/>
          <w:sz w:val="20"/>
          <w:szCs w:val="20"/>
        </w:rPr>
        <w:t xml:space="preserve"> € (</w:t>
      </w:r>
      <w:r w:rsidR="00B56508">
        <w:rPr>
          <w:rFonts w:ascii="Arial" w:eastAsia="Calibri" w:hAnsi="Arial" w:cs="Arial"/>
          <w:sz w:val="20"/>
          <w:szCs w:val="20"/>
        </w:rPr>
        <w:t>četiri</w:t>
      </w:r>
      <w:r w:rsidRPr="00676A9B">
        <w:rPr>
          <w:rFonts w:ascii="Arial" w:eastAsia="Calibri" w:hAnsi="Arial" w:cs="Arial"/>
          <w:sz w:val="20"/>
          <w:szCs w:val="20"/>
        </w:rPr>
        <w:t xml:space="preserve"> projekta). </w:t>
      </w:r>
    </w:p>
    <w:p w14:paraId="3F59D3F7"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7425889D" w14:textId="38FD1B66"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Naknade troškova zaposlenima </w:t>
      </w:r>
      <w:r w:rsidR="00B058F7">
        <w:rPr>
          <w:rFonts w:ascii="Arial" w:eastAsia="Calibri" w:hAnsi="Arial" w:cs="Arial"/>
          <w:sz w:val="20"/>
          <w:szCs w:val="20"/>
        </w:rPr>
        <w:t xml:space="preserve">(321) </w:t>
      </w:r>
      <w:r w:rsidRPr="00676A9B">
        <w:rPr>
          <w:rFonts w:ascii="Arial" w:eastAsia="Calibri" w:hAnsi="Arial" w:cs="Arial"/>
          <w:sz w:val="20"/>
          <w:szCs w:val="20"/>
        </w:rPr>
        <w:t xml:space="preserve">iznose </w:t>
      </w:r>
      <w:r w:rsidR="00B56508">
        <w:rPr>
          <w:rFonts w:ascii="Arial" w:eastAsia="Calibri" w:hAnsi="Arial" w:cs="Arial"/>
          <w:sz w:val="20"/>
          <w:szCs w:val="20"/>
        </w:rPr>
        <w:t>45.621,88</w:t>
      </w:r>
      <w:r w:rsidRPr="00676A9B">
        <w:rPr>
          <w:rFonts w:ascii="Arial" w:eastAsia="Calibri" w:hAnsi="Arial" w:cs="Arial"/>
          <w:sz w:val="20"/>
          <w:szCs w:val="20"/>
        </w:rPr>
        <w:t xml:space="preserve"> € (prijevoz na posao i s posla, stručno usavršavanje, službena putovanja.</w:t>
      </w:r>
    </w:p>
    <w:p w14:paraId="5EF6DFBA"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3FF1C39A"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U okviru ove aktivnosti se planiraju sredstva za usluge Porezne uprave u visini 1% naplaćenih prihoda od poreza iz nadležnosti jedinice</w:t>
      </w:r>
      <w:r w:rsidRPr="00676A9B">
        <w:rPr>
          <w:rFonts w:ascii="Arial" w:eastAsia="Calibri" w:hAnsi="Arial" w:cs="Arial"/>
          <w:bCs/>
          <w:sz w:val="20"/>
          <w:szCs w:val="20"/>
          <w:lang w:eastAsia="en-US"/>
        </w:rPr>
        <w:t xml:space="preserve">, </w:t>
      </w:r>
      <w:r w:rsidRPr="00676A9B">
        <w:rPr>
          <w:rFonts w:ascii="Arial" w:eastAsia="Calibri" w:hAnsi="Arial" w:cs="Arial"/>
          <w:sz w:val="20"/>
          <w:szCs w:val="20"/>
          <w:lang w:eastAsia="en-US"/>
        </w:rPr>
        <w:t>računalne usluge – održavanje programa Općine i svih njenih proračunskih korisnika uključenih u sustav riznice, odvjetničke usluge (naplata prihoda iz inozemstva), troškovi najma poslovnih prostorija, te troškove električne energije, telefona i drugi pojedinačno manji troškovi.</w:t>
      </w:r>
    </w:p>
    <w:p w14:paraId="38E9CD67" w14:textId="01408813"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Glavninu sredstava ove aktivnosti čini naknada od 1% Poreznoj upravi (</w:t>
      </w:r>
      <w:r w:rsidR="00B56508">
        <w:rPr>
          <w:rFonts w:ascii="Arial" w:eastAsia="Calibri" w:hAnsi="Arial" w:cs="Arial"/>
          <w:sz w:val="20"/>
          <w:szCs w:val="20"/>
          <w:lang w:eastAsia="en-US"/>
        </w:rPr>
        <w:t>70.384,26</w:t>
      </w:r>
      <w:r w:rsidRPr="00676A9B">
        <w:rPr>
          <w:rFonts w:ascii="Arial" w:eastAsia="Calibri" w:hAnsi="Arial" w:cs="Arial"/>
          <w:sz w:val="20"/>
          <w:szCs w:val="20"/>
          <w:lang w:eastAsia="en-US"/>
        </w:rPr>
        <w:t xml:space="preserve"> €). Izračun sredstava za 1% naknade Poreznoj upravi se vrši na temelju procjene ostvarenih prihoda od poreza na dohodak prema izviješću FINA-e obrazac P1.</w:t>
      </w:r>
    </w:p>
    <w:p w14:paraId="7C79B5D1" w14:textId="36A29E12"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Drugi rashodi unutar ove aktivnosti odnose se na računalne usluge – održavanje programa Općine i svih njenih proračunskih korisnika uključenih u sustav riznice </w:t>
      </w:r>
      <w:r w:rsidR="00B56508">
        <w:rPr>
          <w:rFonts w:ascii="Arial" w:eastAsia="Calibri" w:hAnsi="Arial" w:cs="Arial"/>
          <w:sz w:val="20"/>
          <w:szCs w:val="20"/>
        </w:rPr>
        <w:t>53.835,56</w:t>
      </w:r>
      <w:r w:rsidRPr="00676A9B">
        <w:rPr>
          <w:rFonts w:ascii="Arial" w:eastAsia="Calibri" w:hAnsi="Arial" w:cs="Arial"/>
          <w:sz w:val="20"/>
          <w:szCs w:val="20"/>
        </w:rPr>
        <w:t xml:space="preserve"> €, odvjetničke usluge 22.500 € (naplata prihoda iz inozemstva), troškovi najma poslovnih prostorija 89.588,52 €, te troškove električne energije, telefona i drugi pojedinačno manji troškovi.</w:t>
      </w:r>
    </w:p>
    <w:tbl>
      <w:tblPr>
        <w:tblStyle w:val="Reetkatablice536"/>
        <w:tblW w:w="13728" w:type="dxa"/>
        <w:jc w:val="center"/>
        <w:tblLayout w:type="fixed"/>
        <w:tblLook w:val="04A0" w:firstRow="1" w:lastRow="0" w:firstColumn="1" w:lastColumn="0" w:noHBand="0" w:noVBand="1"/>
      </w:tblPr>
      <w:tblGrid>
        <w:gridCol w:w="2122"/>
        <w:gridCol w:w="2409"/>
        <w:gridCol w:w="1134"/>
        <w:gridCol w:w="2552"/>
        <w:gridCol w:w="1131"/>
        <w:gridCol w:w="1095"/>
        <w:gridCol w:w="1095"/>
        <w:gridCol w:w="1095"/>
        <w:gridCol w:w="1095"/>
      </w:tblGrid>
      <w:tr w:rsidR="00676A9B" w:rsidRPr="00676A9B" w14:paraId="0EF38295" w14:textId="77777777" w:rsidTr="00B56508">
        <w:trPr>
          <w:jc w:val="center"/>
        </w:trPr>
        <w:tc>
          <w:tcPr>
            <w:tcW w:w="2122" w:type="dxa"/>
            <w:shd w:val="clear" w:color="auto" w:fill="BFBFBF"/>
            <w:vAlign w:val="center"/>
          </w:tcPr>
          <w:p w14:paraId="2D6E22D8" w14:textId="77777777" w:rsidR="00676A9B" w:rsidRPr="00676A9B" w:rsidRDefault="00676A9B" w:rsidP="00676A9B">
            <w:pPr>
              <w:jc w:val="center"/>
              <w:rPr>
                <w:rFonts w:ascii="Arial" w:eastAsia="Calibri" w:hAnsi="Arial" w:cs="Arial"/>
                <w:sz w:val="18"/>
                <w:szCs w:val="18"/>
              </w:rPr>
            </w:pPr>
            <w:r w:rsidRPr="00676A9B">
              <w:rPr>
                <w:rFonts w:ascii="Arial" w:eastAsia="Calibri" w:hAnsi="Arial" w:cs="Arial"/>
                <w:sz w:val="18"/>
                <w:szCs w:val="18"/>
              </w:rPr>
              <w:t>Pokazatelj rezultata</w:t>
            </w:r>
          </w:p>
        </w:tc>
        <w:tc>
          <w:tcPr>
            <w:tcW w:w="2409" w:type="dxa"/>
            <w:shd w:val="clear" w:color="auto" w:fill="BFBFBF"/>
            <w:vAlign w:val="center"/>
          </w:tcPr>
          <w:p w14:paraId="753B953A" w14:textId="77777777" w:rsidR="00676A9B" w:rsidRPr="00676A9B" w:rsidRDefault="00676A9B" w:rsidP="00676A9B">
            <w:pPr>
              <w:jc w:val="center"/>
              <w:rPr>
                <w:rFonts w:ascii="Arial" w:eastAsia="Calibri" w:hAnsi="Arial" w:cs="Arial"/>
                <w:sz w:val="18"/>
                <w:szCs w:val="18"/>
              </w:rPr>
            </w:pPr>
            <w:r w:rsidRPr="00676A9B">
              <w:rPr>
                <w:rFonts w:ascii="Arial" w:eastAsia="Calibri" w:hAnsi="Arial" w:cs="Arial"/>
                <w:sz w:val="18"/>
                <w:szCs w:val="18"/>
              </w:rPr>
              <w:t>Definicija</w:t>
            </w:r>
          </w:p>
        </w:tc>
        <w:tc>
          <w:tcPr>
            <w:tcW w:w="1134" w:type="dxa"/>
            <w:shd w:val="clear" w:color="auto" w:fill="BFBFBF"/>
            <w:vAlign w:val="center"/>
          </w:tcPr>
          <w:p w14:paraId="09D8CD55" w14:textId="77777777" w:rsidR="00676A9B" w:rsidRPr="00676A9B" w:rsidRDefault="00676A9B" w:rsidP="00676A9B">
            <w:pPr>
              <w:jc w:val="center"/>
              <w:rPr>
                <w:rFonts w:ascii="Arial" w:eastAsia="Calibri" w:hAnsi="Arial" w:cs="Arial"/>
                <w:sz w:val="18"/>
                <w:szCs w:val="18"/>
              </w:rPr>
            </w:pPr>
            <w:r w:rsidRPr="00676A9B">
              <w:rPr>
                <w:rFonts w:ascii="Arial" w:eastAsia="Calibri" w:hAnsi="Arial" w:cs="Arial"/>
                <w:sz w:val="16"/>
                <w:szCs w:val="16"/>
              </w:rPr>
              <w:t>Jedinica</w:t>
            </w:r>
          </w:p>
        </w:tc>
        <w:tc>
          <w:tcPr>
            <w:tcW w:w="2552" w:type="dxa"/>
            <w:shd w:val="clear" w:color="auto" w:fill="BFBFBF"/>
            <w:vAlign w:val="center"/>
          </w:tcPr>
          <w:p w14:paraId="5D49E1B6" w14:textId="77777777" w:rsidR="00676A9B" w:rsidRPr="00676A9B" w:rsidRDefault="00676A9B" w:rsidP="00676A9B">
            <w:pPr>
              <w:jc w:val="center"/>
              <w:rPr>
                <w:rFonts w:ascii="Arial" w:eastAsia="Calibri" w:hAnsi="Arial" w:cs="Arial"/>
                <w:sz w:val="18"/>
                <w:szCs w:val="18"/>
              </w:rPr>
            </w:pPr>
            <w:r w:rsidRPr="00676A9B">
              <w:rPr>
                <w:rFonts w:ascii="Arial" w:eastAsia="Calibri" w:hAnsi="Arial" w:cs="Arial"/>
                <w:sz w:val="18"/>
                <w:szCs w:val="18"/>
              </w:rPr>
              <w:t>Izvor podataka</w:t>
            </w:r>
          </w:p>
        </w:tc>
        <w:tc>
          <w:tcPr>
            <w:tcW w:w="1131" w:type="dxa"/>
            <w:shd w:val="clear" w:color="auto" w:fill="BFBFBF"/>
            <w:vAlign w:val="center"/>
          </w:tcPr>
          <w:p w14:paraId="7664E6EB" w14:textId="11456E4C" w:rsidR="00676A9B" w:rsidRPr="00676A9B" w:rsidRDefault="00676A9B" w:rsidP="00676A9B">
            <w:pPr>
              <w:jc w:val="center"/>
              <w:rPr>
                <w:rFonts w:ascii="Arial" w:eastAsia="Calibri" w:hAnsi="Arial" w:cs="Arial"/>
                <w:sz w:val="18"/>
                <w:szCs w:val="18"/>
              </w:rPr>
            </w:pPr>
            <w:r w:rsidRPr="00676A9B">
              <w:rPr>
                <w:rFonts w:ascii="Arial" w:eastAsia="Calibri" w:hAnsi="Arial" w:cs="Arial"/>
                <w:sz w:val="18"/>
                <w:szCs w:val="18"/>
              </w:rPr>
              <w:t>Polazna vrijednost 202</w:t>
            </w:r>
            <w:r w:rsidR="00B56508">
              <w:rPr>
                <w:rFonts w:ascii="Arial" w:eastAsia="Calibri" w:hAnsi="Arial" w:cs="Arial"/>
                <w:sz w:val="18"/>
                <w:szCs w:val="18"/>
              </w:rPr>
              <w:t>4</w:t>
            </w:r>
            <w:r w:rsidRPr="00676A9B">
              <w:rPr>
                <w:rFonts w:ascii="Arial" w:eastAsia="Calibri" w:hAnsi="Arial" w:cs="Arial"/>
                <w:sz w:val="18"/>
                <w:szCs w:val="18"/>
              </w:rPr>
              <w:t>.</w:t>
            </w:r>
          </w:p>
        </w:tc>
        <w:tc>
          <w:tcPr>
            <w:tcW w:w="1095" w:type="dxa"/>
            <w:shd w:val="clear" w:color="auto" w:fill="BFBFBF"/>
          </w:tcPr>
          <w:p w14:paraId="17FBC37A" w14:textId="6C0A7E9B" w:rsidR="00676A9B" w:rsidRPr="00676A9B" w:rsidRDefault="00676A9B" w:rsidP="00676A9B">
            <w:pPr>
              <w:jc w:val="center"/>
              <w:rPr>
                <w:rFonts w:ascii="Arial" w:eastAsia="Calibri" w:hAnsi="Arial" w:cs="Arial"/>
                <w:sz w:val="18"/>
                <w:szCs w:val="18"/>
              </w:rPr>
            </w:pPr>
            <w:r w:rsidRPr="00676A9B">
              <w:rPr>
                <w:rFonts w:ascii="Arial" w:eastAsia="Calibri" w:hAnsi="Arial" w:cs="Arial"/>
                <w:sz w:val="18"/>
                <w:szCs w:val="18"/>
              </w:rPr>
              <w:t>Ciljana vrijednost 202</w:t>
            </w:r>
            <w:r w:rsidR="00B56508">
              <w:rPr>
                <w:rFonts w:ascii="Arial" w:eastAsia="Calibri" w:hAnsi="Arial" w:cs="Arial"/>
                <w:sz w:val="18"/>
                <w:szCs w:val="18"/>
              </w:rPr>
              <w:t>5</w:t>
            </w:r>
            <w:r w:rsidRPr="00676A9B">
              <w:rPr>
                <w:rFonts w:ascii="Arial" w:eastAsia="Calibri" w:hAnsi="Arial" w:cs="Arial"/>
                <w:sz w:val="18"/>
                <w:szCs w:val="18"/>
              </w:rPr>
              <w:t>.</w:t>
            </w:r>
          </w:p>
        </w:tc>
        <w:tc>
          <w:tcPr>
            <w:tcW w:w="1095" w:type="dxa"/>
            <w:shd w:val="clear" w:color="auto" w:fill="BFBFBF"/>
            <w:vAlign w:val="center"/>
          </w:tcPr>
          <w:p w14:paraId="3086EDC6" w14:textId="6D33F2D1" w:rsidR="00676A9B" w:rsidRPr="00676A9B" w:rsidRDefault="00676A9B" w:rsidP="00676A9B">
            <w:pPr>
              <w:jc w:val="center"/>
              <w:rPr>
                <w:rFonts w:ascii="Arial" w:eastAsia="Calibri" w:hAnsi="Arial" w:cs="Arial"/>
                <w:sz w:val="18"/>
                <w:szCs w:val="18"/>
              </w:rPr>
            </w:pPr>
            <w:r w:rsidRPr="00676A9B">
              <w:rPr>
                <w:rFonts w:ascii="Arial" w:eastAsia="Calibri" w:hAnsi="Arial" w:cs="Arial"/>
                <w:sz w:val="18"/>
                <w:szCs w:val="18"/>
              </w:rPr>
              <w:t>Izvršeno 202</w:t>
            </w:r>
            <w:r w:rsidR="00B56508">
              <w:rPr>
                <w:rFonts w:ascii="Arial" w:eastAsia="Calibri" w:hAnsi="Arial" w:cs="Arial"/>
                <w:sz w:val="18"/>
                <w:szCs w:val="18"/>
              </w:rPr>
              <w:t>5</w:t>
            </w:r>
            <w:r w:rsidRPr="00676A9B">
              <w:rPr>
                <w:rFonts w:ascii="Arial" w:eastAsia="Calibri" w:hAnsi="Arial" w:cs="Arial"/>
                <w:sz w:val="18"/>
                <w:szCs w:val="18"/>
              </w:rPr>
              <w:t xml:space="preserve">. </w:t>
            </w:r>
          </w:p>
        </w:tc>
        <w:tc>
          <w:tcPr>
            <w:tcW w:w="1095" w:type="dxa"/>
            <w:shd w:val="clear" w:color="auto" w:fill="BFBFBF"/>
          </w:tcPr>
          <w:p w14:paraId="435C7F39" w14:textId="324C4103" w:rsidR="00676A9B" w:rsidRPr="00676A9B" w:rsidRDefault="00676A9B" w:rsidP="00676A9B">
            <w:pPr>
              <w:jc w:val="center"/>
              <w:rPr>
                <w:rFonts w:ascii="Arial" w:eastAsia="Calibri" w:hAnsi="Arial" w:cs="Arial"/>
                <w:sz w:val="18"/>
                <w:szCs w:val="18"/>
              </w:rPr>
            </w:pPr>
            <w:r w:rsidRPr="00676A9B">
              <w:rPr>
                <w:rFonts w:ascii="Arial" w:eastAsia="Calibri" w:hAnsi="Arial" w:cs="Arial"/>
                <w:sz w:val="18"/>
                <w:szCs w:val="18"/>
              </w:rPr>
              <w:t>Ciljana vrijednost 202</w:t>
            </w:r>
            <w:r w:rsidR="00B56508">
              <w:rPr>
                <w:rFonts w:ascii="Arial" w:eastAsia="Calibri" w:hAnsi="Arial" w:cs="Arial"/>
                <w:sz w:val="18"/>
                <w:szCs w:val="18"/>
              </w:rPr>
              <w:t>6</w:t>
            </w:r>
            <w:r w:rsidRPr="00676A9B">
              <w:rPr>
                <w:rFonts w:ascii="Arial" w:eastAsia="Calibri" w:hAnsi="Arial" w:cs="Arial"/>
                <w:sz w:val="18"/>
                <w:szCs w:val="18"/>
              </w:rPr>
              <w:t>.</w:t>
            </w:r>
          </w:p>
        </w:tc>
        <w:tc>
          <w:tcPr>
            <w:tcW w:w="1095" w:type="dxa"/>
            <w:shd w:val="clear" w:color="auto" w:fill="BFBFBF"/>
          </w:tcPr>
          <w:p w14:paraId="4E8993AF" w14:textId="2F1838EE" w:rsidR="00676A9B" w:rsidRPr="00676A9B" w:rsidRDefault="00676A9B" w:rsidP="00676A9B">
            <w:pPr>
              <w:jc w:val="center"/>
              <w:rPr>
                <w:rFonts w:ascii="Arial" w:eastAsia="Calibri" w:hAnsi="Arial" w:cs="Arial"/>
                <w:sz w:val="18"/>
                <w:szCs w:val="18"/>
              </w:rPr>
            </w:pPr>
            <w:r w:rsidRPr="00676A9B">
              <w:rPr>
                <w:rFonts w:ascii="Arial" w:eastAsia="Calibri" w:hAnsi="Arial" w:cs="Arial"/>
                <w:sz w:val="18"/>
                <w:szCs w:val="18"/>
              </w:rPr>
              <w:t>Ciljana vrijednost 202</w:t>
            </w:r>
            <w:r w:rsidR="00B56508">
              <w:rPr>
                <w:rFonts w:ascii="Arial" w:eastAsia="Calibri" w:hAnsi="Arial" w:cs="Arial"/>
                <w:sz w:val="18"/>
                <w:szCs w:val="18"/>
              </w:rPr>
              <w:t>7</w:t>
            </w:r>
            <w:r w:rsidRPr="00676A9B">
              <w:rPr>
                <w:rFonts w:ascii="Arial" w:eastAsia="Calibri" w:hAnsi="Arial" w:cs="Arial"/>
                <w:sz w:val="18"/>
                <w:szCs w:val="18"/>
              </w:rPr>
              <w:t>.</w:t>
            </w:r>
          </w:p>
        </w:tc>
      </w:tr>
      <w:tr w:rsidR="00676A9B" w:rsidRPr="00676A9B" w14:paraId="365F0E48" w14:textId="77777777" w:rsidTr="00B56508">
        <w:trPr>
          <w:trHeight w:val="763"/>
          <w:jc w:val="center"/>
        </w:trPr>
        <w:tc>
          <w:tcPr>
            <w:tcW w:w="2122" w:type="dxa"/>
            <w:tcBorders>
              <w:top w:val="single" w:sz="4" w:space="0" w:color="auto"/>
              <w:left w:val="single" w:sz="4" w:space="0" w:color="auto"/>
              <w:bottom w:val="single" w:sz="4" w:space="0" w:color="auto"/>
              <w:right w:val="single" w:sz="4" w:space="0" w:color="auto"/>
            </w:tcBorders>
          </w:tcPr>
          <w:p w14:paraId="2EE55816" w14:textId="77777777" w:rsidR="00676A9B" w:rsidRPr="00676A9B" w:rsidRDefault="00676A9B" w:rsidP="00676A9B">
            <w:pPr>
              <w:rPr>
                <w:rFonts w:ascii="Arial" w:hAnsi="Arial" w:cs="Arial"/>
                <w:sz w:val="18"/>
                <w:szCs w:val="18"/>
              </w:rPr>
            </w:pPr>
            <w:r w:rsidRPr="00676A9B">
              <w:rPr>
                <w:rFonts w:ascii="Arial" w:eastAsia="Calibri" w:hAnsi="Arial" w:cs="Arial"/>
                <w:sz w:val="16"/>
                <w:szCs w:val="16"/>
              </w:rPr>
              <w:t>Izvršavanje poslova iz djelokruga rada, redovito podmirivanje obveza prema zaposlenicima</w:t>
            </w:r>
          </w:p>
        </w:tc>
        <w:tc>
          <w:tcPr>
            <w:tcW w:w="2409" w:type="dxa"/>
            <w:tcBorders>
              <w:top w:val="single" w:sz="4" w:space="0" w:color="auto"/>
              <w:left w:val="single" w:sz="4" w:space="0" w:color="auto"/>
              <w:bottom w:val="single" w:sz="4" w:space="0" w:color="auto"/>
              <w:right w:val="single" w:sz="4" w:space="0" w:color="auto"/>
            </w:tcBorders>
          </w:tcPr>
          <w:p w14:paraId="2F71022F" w14:textId="77777777" w:rsidR="00676A9B" w:rsidRPr="00676A9B" w:rsidRDefault="00676A9B" w:rsidP="00676A9B">
            <w:pPr>
              <w:autoSpaceDE w:val="0"/>
              <w:autoSpaceDN w:val="0"/>
              <w:adjustRightInd w:val="0"/>
              <w:jc w:val="center"/>
              <w:rPr>
                <w:rFonts w:ascii="Arial" w:hAnsi="Arial" w:cs="Arial"/>
                <w:sz w:val="18"/>
                <w:szCs w:val="18"/>
              </w:rPr>
            </w:pPr>
            <w:r w:rsidRPr="00676A9B">
              <w:rPr>
                <w:rFonts w:ascii="Arial" w:eastAsia="Calibri" w:hAnsi="Arial" w:cs="Arial"/>
                <w:sz w:val="16"/>
                <w:szCs w:val="16"/>
              </w:rPr>
              <w:t>Pravovremeno podmirivanje tekućih troškova poslovanja; redovita isplata plaća i drugih naknada</w:t>
            </w:r>
          </w:p>
        </w:tc>
        <w:tc>
          <w:tcPr>
            <w:tcW w:w="1134" w:type="dxa"/>
            <w:vAlign w:val="center"/>
          </w:tcPr>
          <w:p w14:paraId="1D6D95C6" w14:textId="77777777" w:rsidR="00676A9B" w:rsidRPr="00676A9B" w:rsidRDefault="00676A9B" w:rsidP="00676A9B">
            <w:pPr>
              <w:rPr>
                <w:rFonts w:ascii="Arial" w:hAnsi="Arial" w:cs="Arial"/>
                <w:sz w:val="18"/>
                <w:szCs w:val="18"/>
              </w:rPr>
            </w:pPr>
            <w:r w:rsidRPr="00676A9B">
              <w:rPr>
                <w:rFonts w:ascii="Arial" w:hAnsi="Arial" w:cs="Arial"/>
                <w:sz w:val="16"/>
                <w:szCs w:val="16"/>
              </w:rPr>
              <w:t>%</w:t>
            </w:r>
          </w:p>
        </w:tc>
        <w:tc>
          <w:tcPr>
            <w:tcW w:w="2552" w:type="dxa"/>
            <w:vAlign w:val="center"/>
          </w:tcPr>
          <w:p w14:paraId="10179876" w14:textId="77777777" w:rsidR="00676A9B" w:rsidRPr="00676A9B" w:rsidRDefault="00676A9B" w:rsidP="00676A9B">
            <w:pPr>
              <w:jc w:val="center"/>
              <w:rPr>
                <w:rFonts w:ascii="Arial" w:hAnsi="Arial" w:cs="Arial"/>
                <w:sz w:val="18"/>
                <w:szCs w:val="18"/>
              </w:rPr>
            </w:pPr>
            <w:r w:rsidRPr="00676A9B">
              <w:rPr>
                <w:rFonts w:ascii="Arial" w:hAnsi="Arial" w:cs="Arial"/>
                <w:sz w:val="16"/>
                <w:szCs w:val="16"/>
              </w:rPr>
              <w:t>Općina</w:t>
            </w:r>
          </w:p>
        </w:tc>
        <w:tc>
          <w:tcPr>
            <w:tcW w:w="1131" w:type="dxa"/>
            <w:vAlign w:val="center"/>
          </w:tcPr>
          <w:p w14:paraId="74409DF0" w14:textId="77777777" w:rsidR="00676A9B" w:rsidRPr="00676A9B" w:rsidRDefault="00676A9B" w:rsidP="00676A9B">
            <w:pPr>
              <w:jc w:val="center"/>
              <w:rPr>
                <w:rFonts w:ascii="Arial" w:hAnsi="Arial" w:cs="Arial"/>
                <w:sz w:val="18"/>
                <w:szCs w:val="18"/>
              </w:rPr>
            </w:pPr>
            <w:r w:rsidRPr="00676A9B">
              <w:rPr>
                <w:rFonts w:ascii="Arial" w:hAnsi="Arial" w:cs="Arial"/>
                <w:sz w:val="16"/>
                <w:szCs w:val="16"/>
              </w:rPr>
              <w:t>100 %</w:t>
            </w:r>
          </w:p>
        </w:tc>
        <w:tc>
          <w:tcPr>
            <w:tcW w:w="1095" w:type="dxa"/>
            <w:vAlign w:val="center"/>
          </w:tcPr>
          <w:p w14:paraId="6DF7ED6E" w14:textId="77777777" w:rsidR="00676A9B" w:rsidRPr="00676A9B" w:rsidRDefault="00676A9B" w:rsidP="00676A9B">
            <w:pPr>
              <w:jc w:val="center"/>
              <w:rPr>
                <w:rFonts w:ascii="Arial" w:hAnsi="Arial" w:cs="Arial"/>
                <w:sz w:val="16"/>
                <w:szCs w:val="16"/>
              </w:rPr>
            </w:pPr>
            <w:r w:rsidRPr="00676A9B">
              <w:rPr>
                <w:rFonts w:ascii="Arial" w:hAnsi="Arial" w:cs="Arial"/>
                <w:sz w:val="16"/>
                <w:szCs w:val="16"/>
              </w:rPr>
              <w:t>100 %</w:t>
            </w:r>
          </w:p>
        </w:tc>
        <w:tc>
          <w:tcPr>
            <w:tcW w:w="1095" w:type="dxa"/>
            <w:vAlign w:val="center"/>
          </w:tcPr>
          <w:p w14:paraId="5B5C8EDE" w14:textId="77777777" w:rsidR="00676A9B" w:rsidRPr="00676A9B" w:rsidRDefault="00676A9B" w:rsidP="00676A9B">
            <w:pPr>
              <w:jc w:val="center"/>
              <w:rPr>
                <w:rFonts w:ascii="Arial" w:hAnsi="Arial" w:cs="Arial"/>
                <w:sz w:val="16"/>
                <w:szCs w:val="16"/>
              </w:rPr>
            </w:pPr>
            <w:r w:rsidRPr="00676A9B">
              <w:rPr>
                <w:rFonts w:ascii="Arial" w:hAnsi="Arial" w:cs="Arial"/>
                <w:sz w:val="16"/>
                <w:szCs w:val="16"/>
              </w:rPr>
              <w:t>100%</w:t>
            </w:r>
          </w:p>
        </w:tc>
        <w:tc>
          <w:tcPr>
            <w:tcW w:w="1095" w:type="dxa"/>
            <w:vAlign w:val="center"/>
          </w:tcPr>
          <w:p w14:paraId="08E1C8DF" w14:textId="77777777" w:rsidR="00676A9B" w:rsidRPr="00676A9B" w:rsidRDefault="00676A9B" w:rsidP="00676A9B">
            <w:pPr>
              <w:jc w:val="center"/>
              <w:rPr>
                <w:rFonts w:ascii="Arial" w:hAnsi="Arial" w:cs="Arial"/>
                <w:sz w:val="18"/>
                <w:szCs w:val="18"/>
              </w:rPr>
            </w:pPr>
            <w:r w:rsidRPr="00676A9B">
              <w:rPr>
                <w:rFonts w:ascii="Arial" w:hAnsi="Arial" w:cs="Arial"/>
                <w:sz w:val="16"/>
                <w:szCs w:val="16"/>
              </w:rPr>
              <w:t>100 %</w:t>
            </w:r>
          </w:p>
        </w:tc>
        <w:tc>
          <w:tcPr>
            <w:tcW w:w="1095" w:type="dxa"/>
            <w:vAlign w:val="center"/>
          </w:tcPr>
          <w:p w14:paraId="58E3CDE7" w14:textId="77777777" w:rsidR="00676A9B" w:rsidRPr="00676A9B" w:rsidRDefault="00676A9B" w:rsidP="00676A9B">
            <w:pPr>
              <w:jc w:val="center"/>
              <w:rPr>
                <w:rFonts w:ascii="Arial" w:hAnsi="Arial" w:cs="Arial"/>
                <w:sz w:val="18"/>
                <w:szCs w:val="18"/>
              </w:rPr>
            </w:pPr>
            <w:r w:rsidRPr="00676A9B">
              <w:rPr>
                <w:rFonts w:ascii="Arial" w:hAnsi="Arial" w:cs="Arial"/>
                <w:sz w:val="16"/>
                <w:szCs w:val="16"/>
              </w:rPr>
              <w:t>100 %</w:t>
            </w:r>
          </w:p>
        </w:tc>
      </w:tr>
      <w:tr w:rsidR="00676A9B" w:rsidRPr="00676A9B" w14:paraId="0962D9C1" w14:textId="77777777" w:rsidTr="00B56508">
        <w:trPr>
          <w:trHeight w:val="1031"/>
          <w:jc w:val="center"/>
        </w:trPr>
        <w:tc>
          <w:tcPr>
            <w:tcW w:w="2122" w:type="dxa"/>
            <w:vAlign w:val="center"/>
          </w:tcPr>
          <w:p w14:paraId="77B3A131" w14:textId="77777777" w:rsidR="00676A9B" w:rsidRPr="00676A9B" w:rsidRDefault="00676A9B" w:rsidP="00676A9B">
            <w:pPr>
              <w:rPr>
                <w:rFonts w:ascii="Arial" w:hAnsi="Arial" w:cs="Arial"/>
                <w:sz w:val="18"/>
                <w:szCs w:val="18"/>
              </w:rPr>
            </w:pPr>
            <w:r w:rsidRPr="00676A9B">
              <w:rPr>
                <w:rFonts w:ascii="Arial" w:eastAsia="Calibri" w:hAnsi="Arial" w:cs="Arial"/>
                <w:sz w:val="16"/>
                <w:szCs w:val="16"/>
              </w:rPr>
              <w:t>Izrađeni svi zakonom propisani akti</w:t>
            </w:r>
          </w:p>
        </w:tc>
        <w:tc>
          <w:tcPr>
            <w:tcW w:w="2409" w:type="dxa"/>
            <w:vAlign w:val="center"/>
          </w:tcPr>
          <w:p w14:paraId="413BC81E" w14:textId="77777777" w:rsidR="00676A9B" w:rsidRPr="00676A9B" w:rsidRDefault="00676A9B" w:rsidP="00676A9B">
            <w:pPr>
              <w:rPr>
                <w:rFonts w:ascii="Arial" w:hAnsi="Arial" w:cs="Arial"/>
                <w:sz w:val="18"/>
                <w:szCs w:val="18"/>
              </w:rPr>
            </w:pPr>
            <w:r w:rsidRPr="00676A9B">
              <w:rPr>
                <w:rFonts w:ascii="Arial" w:eastAsia="Calibri" w:hAnsi="Arial" w:cs="Arial"/>
                <w:sz w:val="16"/>
                <w:szCs w:val="16"/>
              </w:rPr>
              <w:t>Obavljanje poslova evidentiranja, izvještavanja te izrade propisanih zakonskih akata</w:t>
            </w:r>
          </w:p>
        </w:tc>
        <w:tc>
          <w:tcPr>
            <w:tcW w:w="1134" w:type="dxa"/>
            <w:vAlign w:val="center"/>
          </w:tcPr>
          <w:p w14:paraId="2D78EF5B" w14:textId="77777777" w:rsidR="00676A9B" w:rsidRPr="00676A9B" w:rsidRDefault="00676A9B" w:rsidP="00676A9B">
            <w:pPr>
              <w:rPr>
                <w:rFonts w:ascii="Arial" w:hAnsi="Arial" w:cs="Arial"/>
                <w:sz w:val="18"/>
                <w:szCs w:val="18"/>
              </w:rPr>
            </w:pPr>
            <w:r w:rsidRPr="00676A9B">
              <w:rPr>
                <w:rFonts w:ascii="Arial" w:eastAsia="Calibri" w:hAnsi="Arial" w:cs="Arial"/>
                <w:sz w:val="16"/>
                <w:szCs w:val="16"/>
              </w:rPr>
              <w:t>%</w:t>
            </w:r>
          </w:p>
        </w:tc>
        <w:tc>
          <w:tcPr>
            <w:tcW w:w="2552" w:type="dxa"/>
            <w:vAlign w:val="center"/>
          </w:tcPr>
          <w:p w14:paraId="13834257" w14:textId="77777777" w:rsidR="00676A9B" w:rsidRPr="00676A9B" w:rsidRDefault="00676A9B" w:rsidP="00676A9B">
            <w:pPr>
              <w:rPr>
                <w:rFonts w:ascii="Arial" w:hAnsi="Arial" w:cs="Arial"/>
                <w:sz w:val="18"/>
                <w:szCs w:val="18"/>
              </w:rPr>
            </w:pPr>
            <w:r w:rsidRPr="00676A9B">
              <w:rPr>
                <w:rFonts w:ascii="Arial" w:eastAsia="Calibri" w:hAnsi="Arial" w:cs="Arial"/>
                <w:sz w:val="16"/>
                <w:szCs w:val="16"/>
              </w:rPr>
              <w:t>Zakon o proračunu, Zakon o javnoj nabavi, Pravilnik o polugodišnjem i godišnjem izvještaju o izvršavanju proračuna, Pravilnik o financijskom izvještavanju u proračunskom računovodstvu</w:t>
            </w:r>
            <w:r w:rsidRPr="00676A9B">
              <w:rPr>
                <w:rFonts w:ascii="Arial" w:hAnsi="Arial" w:cs="Arial"/>
                <w:sz w:val="16"/>
                <w:szCs w:val="16"/>
              </w:rPr>
              <w:t xml:space="preserve"> Općina</w:t>
            </w:r>
          </w:p>
        </w:tc>
        <w:tc>
          <w:tcPr>
            <w:tcW w:w="1131" w:type="dxa"/>
            <w:vAlign w:val="center"/>
          </w:tcPr>
          <w:p w14:paraId="2D94B3A3" w14:textId="77777777" w:rsidR="00676A9B" w:rsidRPr="00676A9B" w:rsidRDefault="00676A9B" w:rsidP="00676A9B">
            <w:pPr>
              <w:jc w:val="center"/>
              <w:rPr>
                <w:rFonts w:ascii="Arial" w:hAnsi="Arial" w:cs="Arial"/>
                <w:sz w:val="18"/>
                <w:szCs w:val="18"/>
              </w:rPr>
            </w:pPr>
            <w:r w:rsidRPr="00676A9B">
              <w:rPr>
                <w:rFonts w:ascii="Arial" w:hAnsi="Arial" w:cs="Arial"/>
                <w:sz w:val="16"/>
                <w:szCs w:val="16"/>
              </w:rPr>
              <w:t>100 %</w:t>
            </w:r>
          </w:p>
        </w:tc>
        <w:tc>
          <w:tcPr>
            <w:tcW w:w="1095" w:type="dxa"/>
            <w:vAlign w:val="center"/>
          </w:tcPr>
          <w:p w14:paraId="3CBC3840" w14:textId="77777777" w:rsidR="00676A9B" w:rsidRPr="00676A9B" w:rsidRDefault="00676A9B" w:rsidP="00676A9B">
            <w:pPr>
              <w:jc w:val="center"/>
              <w:rPr>
                <w:rFonts w:ascii="Arial" w:hAnsi="Arial" w:cs="Arial"/>
                <w:sz w:val="16"/>
                <w:szCs w:val="16"/>
              </w:rPr>
            </w:pPr>
            <w:r w:rsidRPr="00676A9B">
              <w:rPr>
                <w:rFonts w:ascii="Arial" w:hAnsi="Arial" w:cs="Arial"/>
                <w:sz w:val="16"/>
                <w:szCs w:val="16"/>
              </w:rPr>
              <w:t>100 %</w:t>
            </w:r>
          </w:p>
        </w:tc>
        <w:tc>
          <w:tcPr>
            <w:tcW w:w="1095" w:type="dxa"/>
            <w:vAlign w:val="center"/>
          </w:tcPr>
          <w:p w14:paraId="1BC6C665" w14:textId="77777777" w:rsidR="00676A9B" w:rsidRPr="00676A9B" w:rsidRDefault="00676A9B" w:rsidP="00676A9B">
            <w:pPr>
              <w:jc w:val="center"/>
              <w:rPr>
                <w:rFonts w:ascii="Arial" w:hAnsi="Arial" w:cs="Arial"/>
                <w:sz w:val="16"/>
                <w:szCs w:val="16"/>
              </w:rPr>
            </w:pPr>
            <w:r w:rsidRPr="00676A9B">
              <w:rPr>
                <w:rFonts w:ascii="Arial" w:hAnsi="Arial" w:cs="Arial"/>
                <w:sz w:val="16"/>
                <w:szCs w:val="16"/>
              </w:rPr>
              <w:t>100%</w:t>
            </w:r>
          </w:p>
        </w:tc>
        <w:tc>
          <w:tcPr>
            <w:tcW w:w="1095" w:type="dxa"/>
            <w:vAlign w:val="center"/>
          </w:tcPr>
          <w:p w14:paraId="33B5CDAF" w14:textId="77777777" w:rsidR="00676A9B" w:rsidRPr="00676A9B" w:rsidRDefault="00676A9B" w:rsidP="00676A9B">
            <w:pPr>
              <w:jc w:val="center"/>
              <w:rPr>
                <w:rFonts w:ascii="Arial" w:hAnsi="Arial" w:cs="Arial"/>
                <w:sz w:val="18"/>
                <w:szCs w:val="18"/>
              </w:rPr>
            </w:pPr>
            <w:r w:rsidRPr="00676A9B">
              <w:rPr>
                <w:rFonts w:ascii="Arial" w:hAnsi="Arial" w:cs="Arial"/>
                <w:sz w:val="16"/>
                <w:szCs w:val="16"/>
              </w:rPr>
              <w:t>100 %</w:t>
            </w:r>
          </w:p>
        </w:tc>
        <w:tc>
          <w:tcPr>
            <w:tcW w:w="1095" w:type="dxa"/>
            <w:vAlign w:val="center"/>
          </w:tcPr>
          <w:p w14:paraId="60A086DE" w14:textId="77777777" w:rsidR="00676A9B" w:rsidRPr="00676A9B" w:rsidRDefault="00676A9B" w:rsidP="00676A9B">
            <w:pPr>
              <w:jc w:val="center"/>
              <w:rPr>
                <w:rFonts w:ascii="Arial" w:hAnsi="Arial" w:cs="Arial"/>
                <w:sz w:val="18"/>
                <w:szCs w:val="18"/>
              </w:rPr>
            </w:pPr>
            <w:r w:rsidRPr="00676A9B">
              <w:rPr>
                <w:rFonts w:ascii="Arial" w:hAnsi="Arial" w:cs="Arial"/>
                <w:sz w:val="16"/>
                <w:szCs w:val="16"/>
              </w:rPr>
              <w:t>100 %</w:t>
            </w:r>
          </w:p>
        </w:tc>
      </w:tr>
    </w:tbl>
    <w:p w14:paraId="63A755EE"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Sredstvima planiranim i utrošenim u okviru ovog programa ostvaruje se zadani Cilj programa.</w:t>
      </w:r>
      <w:r w:rsidRPr="00676A9B">
        <w:rPr>
          <w:rFonts w:ascii="Arial" w:eastAsia="Calibri" w:hAnsi="Arial" w:cs="Arial"/>
          <w:sz w:val="20"/>
          <w:szCs w:val="20"/>
        </w:rPr>
        <w:br w:type="page"/>
      </w:r>
    </w:p>
    <w:p w14:paraId="25987410" w14:textId="77777777" w:rsidR="00676A9B" w:rsidRPr="00676A9B" w:rsidRDefault="00676A9B" w:rsidP="00676A9B">
      <w:pPr>
        <w:keepNext/>
        <w:spacing w:after="0" w:line="240" w:lineRule="auto"/>
        <w:jc w:val="both"/>
        <w:outlineLvl w:val="2"/>
        <w:rPr>
          <w:rFonts w:ascii="Times New Roman" w:eastAsia="Calibri" w:hAnsi="Times New Roman" w:cs="Times New Roman"/>
          <w:b/>
          <w:sz w:val="24"/>
          <w:szCs w:val="20"/>
          <w:lang w:eastAsia="en-US"/>
        </w:rPr>
      </w:pPr>
      <w:bookmarkStart w:id="367" w:name="_Toc435014662"/>
      <w:bookmarkStart w:id="368" w:name="_Toc200628502"/>
      <w:bookmarkStart w:id="369" w:name="_Toc232981434"/>
      <w:r w:rsidRPr="00676A9B">
        <w:rPr>
          <w:rFonts w:ascii="Times New Roman" w:eastAsia="Calibri" w:hAnsi="Times New Roman" w:cs="Times New Roman"/>
          <w:b/>
          <w:sz w:val="24"/>
          <w:szCs w:val="20"/>
          <w:lang w:eastAsia="en-US"/>
        </w:rPr>
        <w:lastRenderedPageBreak/>
        <w:t>Program (2011): Mjesna samouprava</w:t>
      </w:r>
      <w:bookmarkEnd w:id="367"/>
      <w:r w:rsidRPr="00676A9B">
        <w:rPr>
          <w:rFonts w:ascii="Times New Roman" w:eastAsia="Calibri" w:hAnsi="Times New Roman" w:cs="Times New Roman"/>
          <w:b/>
          <w:sz w:val="24"/>
          <w:szCs w:val="20"/>
          <w:lang w:eastAsia="en-US"/>
        </w:rPr>
        <w:t xml:space="preserve"> zajednički opći troškovi</w:t>
      </w:r>
      <w:bookmarkEnd w:id="368"/>
      <w:bookmarkEnd w:id="369"/>
    </w:p>
    <w:p w14:paraId="64A9532A" w14:textId="77777777" w:rsidR="00676A9B" w:rsidRPr="00676A9B" w:rsidRDefault="00676A9B" w:rsidP="00676A9B">
      <w:pPr>
        <w:spacing w:after="0" w:line="240" w:lineRule="auto"/>
        <w:rPr>
          <w:rFonts w:ascii="Times New Roman" w:eastAsia="Calibri" w:hAnsi="Times New Roman" w:cs="Times New Roman"/>
          <w:sz w:val="20"/>
          <w:szCs w:val="20"/>
          <w:lang w:eastAsia="en-US"/>
        </w:rPr>
      </w:pPr>
    </w:p>
    <w:p w14:paraId="4EE86BCA"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Ovim programom osiguravaju se sredstva za redovito financiranje mjesnih odbora.</w:t>
      </w:r>
    </w:p>
    <w:p w14:paraId="457C160D" w14:textId="77777777" w:rsidR="00676A9B" w:rsidRPr="00676A9B" w:rsidRDefault="00676A9B" w:rsidP="00676A9B">
      <w:pPr>
        <w:spacing w:after="0" w:line="240" w:lineRule="auto"/>
        <w:jc w:val="both"/>
        <w:rPr>
          <w:rFonts w:ascii="Arial" w:eastAsia="Times New Roman" w:hAnsi="Arial" w:cs="Arial"/>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2445"/>
      </w:tblGrid>
      <w:tr w:rsidR="00676A9B" w:rsidRPr="00676A9B" w14:paraId="729D4805" w14:textId="77777777" w:rsidTr="00410A4B">
        <w:tc>
          <w:tcPr>
            <w:tcW w:w="1838" w:type="dxa"/>
            <w:tcBorders>
              <w:top w:val="dotted" w:sz="4" w:space="0" w:color="auto"/>
              <w:left w:val="dotted" w:sz="4" w:space="0" w:color="auto"/>
              <w:bottom w:val="dotted" w:sz="4" w:space="0" w:color="auto"/>
              <w:right w:val="dotted" w:sz="4" w:space="0" w:color="auto"/>
            </w:tcBorders>
          </w:tcPr>
          <w:p w14:paraId="4466B941"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OPIS PROGRAMA:</w:t>
            </w:r>
          </w:p>
        </w:tc>
        <w:tc>
          <w:tcPr>
            <w:tcW w:w="12445" w:type="dxa"/>
            <w:tcBorders>
              <w:top w:val="dotted" w:sz="4" w:space="0" w:color="auto"/>
              <w:left w:val="dotted" w:sz="4" w:space="0" w:color="auto"/>
              <w:bottom w:val="dotted" w:sz="4" w:space="0" w:color="auto"/>
              <w:right w:val="dotted" w:sz="4" w:space="0" w:color="auto"/>
            </w:tcBorders>
          </w:tcPr>
          <w:p w14:paraId="33DDC5DC"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Mjesna samouprava obuhvaća institucionalne oblike i postupke putem kojih građani Općine sudjeluju u odlučivanju o poslovima koji neposredno i svakodnevno utječu na njihov život i rad u užim lokalnim zajednicama. Oblici mjesne samouprave na području Općine Konavle su Mjesni odbori. Svrha je obavljanje poslova iz djelokruga svakog Mjesnog odbora, a cilj je neposredno ostvarivanje potreba građana.</w:t>
            </w:r>
          </w:p>
          <w:p w14:paraId="5DFC5B31"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Na području Općine Konavle osnovano je 27 mjesnih odbora:</w:t>
            </w:r>
          </w:p>
          <w:p w14:paraId="35435193"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 Cavtat, Čilipi, Drvenik, Duba Konavoska, Dubravka-Dunave, Gabrile, Gruda (Gruda, Tušići, Zastolje, Bačev Do), Komaji, Kuna Konavoska, Lovorno, Ljuta, Mihanići, Mikulići, Močići, Molunat, Obod (Obod, Donji Obod, Poluganje), Pločice, Poljice, Popovići, Pridvorje, Radovčići, Stravča, Šilješci – Brotnice -Jasenice, Uskoplje, Vitaljina, Vodovađa (Vodovađa, Vataje, Pavlje Brdo, Gunjina, Karasovići, Bani), Zvekovica. </w:t>
            </w:r>
          </w:p>
        </w:tc>
      </w:tr>
      <w:tr w:rsidR="00676A9B" w:rsidRPr="00676A9B" w14:paraId="4BBF11DA" w14:textId="77777777" w:rsidTr="00410A4B">
        <w:tc>
          <w:tcPr>
            <w:tcW w:w="1838" w:type="dxa"/>
            <w:tcBorders>
              <w:top w:val="dotted" w:sz="4" w:space="0" w:color="auto"/>
              <w:left w:val="dotted" w:sz="4" w:space="0" w:color="auto"/>
              <w:bottom w:val="dotted" w:sz="4" w:space="0" w:color="auto"/>
              <w:right w:val="dotted" w:sz="4" w:space="0" w:color="auto"/>
            </w:tcBorders>
          </w:tcPr>
          <w:p w14:paraId="16E0DCEF" w14:textId="77777777" w:rsidR="00676A9B" w:rsidRPr="00676A9B" w:rsidRDefault="00676A9B" w:rsidP="00676A9B">
            <w:pPr>
              <w:spacing w:after="0" w:line="240" w:lineRule="auto"/>
              <w:jc w:val="both"/>
              <w:rPr>
                <w:rFonts w:ascii="Arial" w:eastAsia="Calibri" w:hAnsi="Arial" w:cs="Arial"/>
                <w:sz w:val="16"/>
                <w:szCs w:val="16"/>
                <w:lang w:eastAsia="en-US"/>
              </w:rPr>
            </w:pPr>
            <w:r w:rsidRPr="00676A9B">
              <w:rPr>
                <w:rFonts w:ascii="Arial" w:eastAsia="Calibri" w:hAnsi="Arial" w:cs="Arial"/>
                <w:sz w:val="16"/>
                <w:szCs w:val="16"/>
                <w:lang w:eastAsia="en-US"/>
              </w:rPr>
              <w:t>ZAKONSKE I DRUGE PRAVNE OSNOVE PROGRAMA:</w:t>
            </w:r>
          </w:p>
        </w:tc>
        <w:tc>
          <w:tcPr>
            <w:tcW w:w="12445" w:type="dxa"/>
            <w:tcBorders>
              <w:top w:val="dotted" w:sz="4" w:space="0" w:color="auto"/>
              <w:left w:val="dotted" w:sz="4" w:space="0" w:color="auto"/>
              <w:bottom w:val="dotted" w:sz="4" w:space="0" w:color="auto"/>
              <w:right w:val="dotted" w:sz="4" w:space="0" w:color="auto"/>
            </w:tcBorders>
          </w:tcPr>
          <w:p w14:paraId="4B886CB4"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Zakon o lokalnoj i područnoj (regionalnoj) samoupravi (NN 33/01,60/01,129/05, 109/07,125/08, 36/09, 150/11, 144/12, 19/13, 137/15, 123/17, 98/19, 144/20), Statut i drugi akti</w:t>
            </w:r>
          </w:p>
        </w:tc>
      </w:tr>
      <w:tr w:rsidR="00676A9B" w:rsidRPr="00676A9B" w14:paraId="59DE96D9" w14:textId="77777777" w:rsidTr="00410A4B">
        <w:tc>
          <w:tcPr>
            <w:tcW w:w="1838" w:type="dxa"/>
            <w:tcBorders>
              <w:top w:val="dotted" w:sz="4" w:space="0" w:color="auto"/>
              <w:left w:val="dotted" w:sz="4" w:space="0" w:color="auto"/>
              <w:bottom w:val="dotted" w:sz="4" w:space="0" w:color="auto"/>
              <w:right w:val="dotted" w:sz="4" w:space="0" w:color="auto"/>
            </w:tcBorders>
          </w:tcPr>
          <w:p w14:paraId="7C1CB793"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OPĆI CILJ:</w:t>
            </w:r>
          </w:p>
        </w:tc>
        <w:tc>
          <w:tcPr>
            <w:tcW w:w="12445" w:type="dxa"/>
            <w:tcBorders>
              <w:top w:val="dotted" w:sz="4" w:space="0" w:color="auto"/>
              <w:left w:val="dotted" w:sz="4" w:space="0" w:color="auto"/>
              <w:bottom w:val="dotted" w:sz="4" w:space="0" w:color="auto"/>
              <w:right w:val="dotted" w:sz="4" w:space="0" w:color="auto"/>
            </w:tcBorders>
          </w:tcPr>
          <w:p w14:paraId="74BB8B5E"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Calibri" w:hAnsi="Arial" w:cs="Arial"/>
                <w:sz w:val="20"/>
                <w:szCs w:val="20"/>
                <w:lang w:eastAsia="en-US"/>
              </w:rPr>
              <w:t>Programom Mjesna samouprava osiguravaju se prostorni i tehnički uvjeti za rad mjesnih odbora na području Općine Konavle.</w:t>
            </w:r>
          </w:p>
        </w:tc>
      </w:tr>
      <w:tr w:rsidR="00676A9B" w:rsidRPr="00676A9B" w14:paraId="5D4096C1" w14:textId="77777777" w:rsidTr="00410A4B">
        <w:tc>
          <w:tcPr>
            <w:tcW w:w="1838" w:type="dxa"/>
            <w:tcBorders>
              <w:top w:val="dotted" w:sz="4" w:space="0" w:color="auto"/>
              <w:left w:val="dotted" w:sz="4" w:space="0" w:color="auto"/>
              <w:bottom w:val="dotted" w:sz="4" w:space="0" w:color="auto"/>
              <w:right w:val="dotted" w:sz="4" w:space="0" w:color="auto"/>
            </w:tcBorders>
            <w:vAlign w:val="bottom"/>
          </w:tcPr>
          <w:p w14:paraId="4B4DECDB"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POSEBNI CILJEVI (što se programom želi postići):</w:t>
            </w:r>
          </w:p>
        </w:tc>
        <w:tc>
          <w:tcPr>
            <w:tcW w:w="12445" w:type="dxa"/>
            <w:tcBorders>
              <w:top w:val="dotted" w:sz="4" w:space="0" w:color="auto"/>
              <w:left w:val="dotted" w:sz="4" w:space="0" w:color="auto"/>
              <w:bottom w:val="dotted" w:sz="4" w:space="0" w:color="auto"/>
              <w:right w:val="dotted" w:sz="4" w:space="0" w:color="auto"/>
            </w:tcBorders>
            <w:vAlign w:val="bottom"/>
          </w:tcPr>
          <w:p w14:paraId="0784683A"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Cilj je osiguravanje minimalnih uvjeta za rad mjesnih odbora u pogledu nabave materijala i održavanja objekata.</w:t>
            </w:r>
          </w:p>
          <w:p w14:paraId="7D9F244D"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Program obuhvaća poslove koji se odnose na uređenje naselja, koje svaki mjesni odbor planira pojedinačno, što je u konačnici obuhvaćeno Programom gradnje, odnosno održavanja objekata i uređaja komunalne infrastrukture.</w:t>
            </w:r>
          </w:p>
        </w:tc>
      </w:tr>
    </w:tbl>
    <w:p w14:paraId="11E462D3" w14:textId="77777777" w:rsidR="00676A9B" w:rsidRPr="00676A9B" w:rsidRDefault="00676A9B" w:rsidP="00676A9B">
      <w:pPr>
        <w:spacing w:after="0" w:line="240" w:lineRule="auto"/>
        <w:jc w:val="both"/>
        <w:rPr>
          <w:rFonts w:ascii="Arial" w:eastAsia="Calibri" w:hAnsi="Arial" w:cs="Arial"/>
          <w:sz w:val="20"/>
          <w:szCs w:val="20"/>
          <w:lang w:eastAsia="en-US"/>
        </w:rPr>
      </w:pPr>
    </w:p>
    <w:p w14:paraId="1D1BD1B8" w14:textId="37C4021D" w:rsidR="00B058F7" w:rsidRPr="00B058F7" w:rsidRDefault="00B058F7" w:rsidP="00B058F7">
      <w:pPr>
        <w:rPr>
          <w:rFonts w:ascii="Arial" w:eastAsia="Calibri" w:hAnsi="Arial" w:cs="Arial"/>
          <w:sz w:val="20"/>
          <w:szCs w:val="20"/>
        </w:rPr>
      </w:pPr>
      <w:r w:rsidRPr="00B058F7">
        <w:rPr>
          <w:rFonts w:ascii="Arial" w:eastAsia="Calibri" w:hAnsi="Arial" w:cs="Arial"/>
          <w:sz w:val="20"/>
          <w:szCs w:val="20"/>
        </w:rPr>
        <w:t xml:space="preserve">Ukupno planirana sredstva na razini programa 2011 za 2025. godinu iznose </w:t>
      </w:r>
      <w:r>
        <w:rPr>
          <w:rFonts w:ascii="Arial" w:eastAsia="Calibri" w:hAnsi="Arial" w:cs="Arial"/>
          <w:sz w:val="20"/>
          <w:szCs w:val="20"/>
        </w:rPr>
        <w:t>143.385</w:t>
      </w:r>
      <w:r w:rsidRPr="00B058F7">
        <w:rPr>
          <w:rFonts w:ascii="Arial" w:eastAsia="Calibri" w:hAnsi="Arial" w:cs="Arial"/>
          <w:sz w:val="20"/>
          <w:szCs w:val="20"/>
        </w:rPr>
        <w:t xml:space="preserve"> €, dok za 2026. i 2027. godinu iznose 175.800 € svake godine.</w:t>
      </w:r>
    </w:p>
    <w:p w14:paraId="01B00409" w14:textId="6DF3BB24"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Izvršenje</w:t>
      </w:r>
      <w:r w:rsidR="00B058F7">
        <w:rPr>
          <w:rFonts w:ascii="Arial" w:eastAsia="Calibri" w:hAnsi="Arial" w:cs="Arial"/>
          <w:sz w:val="20"/>
          <w:szCs w:val="20"/>
        </w:rPr>
        <w:t xml:space="preserve"> za 2025. godinu </w:t>
      </w:r>
      <w:r w:rsidRPr="00676A9B">
        <w:rPr>
          <w:rFonts w:ascii="Arial" w:eastAsia="Calibri" w:hAnsi="Arial" w:cs="Arial"/>
          <w:sz w:val="20"/>
          <w:szCs w:val="20"/>
        </w:rPr>
        <w:t xml:space="preserve">iznosi </w:t>
      </w:r>
      <w:r w:rsidR="00B058F7">
        <w:rPr>
          <w:rFonts w:ascii="Arial" w:eastAsia="Calibri" w:hAnsi="Arial" w:cs="Arial"/>
          <w:sz w:val="20"/>
          <w:szCs w:val="20"/>
        </w:rPr>
        <w:t>126.002,15</w:t>
      </w:r>
      <w:r w:rsidRPr="00676A9B">
        <w:rPr>
          <w:rFonts w:ascii="Arial" w:eastAsia="Calibri" w:hAnsi="Arial" w:cs="Arial"/>
          <w:sz w:val="20"/>
          <w:szCs w:val="20"/>
        </w:rPr>
        <w:t xml:space="preserve"> €, te je program izvršen u visini </w:t>
      </w:r>
      <w:r w:rsidR="00B058F7">
        <w:rPr>
          <w:rFonts w:ascii="Arial" w:eastAsia="Calibri" w:hAnsi="Arial" w:cs="Arial"/>
          <w:sz w:val="20"/>
          <w:szCs w:val="20"/>
        </w:rPr>
        <w:t>87,9</w:t>
      </w:r>
      <w:r w:rsidRPr="00676A9B">
        <w:rPr>
          <w:rFonts w:ascii="Arial" w:eastAsia="Calibri" w:hAnsi="Arial" w:cs="Arial"/>
          <w:sz w:val="20"/>
          <w:szCs w:val="20"/>
        </w:rPr>
        <w:t>%.</w:t>
      </w:r>
    </w:p>
    <w:p w14:paraId="58977667" w14:textId="77777777" w:rsidR="00676A9B" w:rsidRPr="00676A9B" w:rsidRDefault="00676A9B" w:rsidP="00676A9B">
      <w:pPr>
        <w:spacing w:after="0" w:line="240" w:lineRule="auto"/>
        <w:jc w:val="both"/>
        <w:rPr>
          <w:rFonts w:ascii="Arial" w:eastAsia="Calibri" w:hAnsi="Arial" w:cs="Arial"/>
          <w:sz w:val="20"/>
          <w:szCs w:val="20"/>
        </w:rPr>
      </w:pPr>
    </w:p>
    <w:p w14:paraId="45A642E8"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676A9B">
        <w:rPr>
          <w:rFonts w:ascii="Arial" w:eastAsia="Calibri" w:hAnsi="Arial" w:cs="Arial"/>
          <w:b/>
          <w:sz w:val="20"/>
          <w:szCs w:val="20"/>
          <w:lang w:eastAsia="en-US"/>
        </w:rPr>
        <w:t>Procjena i ishodište potrebnih sredstava za aktivnosti unutar programa</w:t>
      </w:r>
    </w:p>
    <w:p w14:paraId="1661A7EF" w14:textId="77777777" w:rsidR="00676A9B" w:rsidRPr="00676A9B" w:rsidRDefault="00676A9B" w:rsidP="00676A9B">
      <w:pPr>
        <w:spacing w:after="0" w:line="240" w:lineRule="auto"/>
        <w:jc w:val="both"/>
        <w:rPr>
          <w:rFonts w:ascii="Arial" w:eastAsia="Calibri" w:hAnsi="Arial" w:cs="Arial"/>
          <w:sz w:val="20"/>
          <w:szCs w:val="20"/>
        </w:rPr>
      </w:pPr>
    </w:p>
    <w:p w14:paraId="3B7433A5" w14:textId="67194484" w:rsidR="00676A9B" w:rsidRPr="00676A9B" w:rsidRDefault="008A16BA" w:rsidP="00676A9B">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73EE2724" w14:textId="336E03DC" w:rsidR="00676A9B" w:rsidRPr="00676A9B" w:rsidRDefault="00CC651A" w:rsidP="00676A9B">
      <w:pPr>
        <w:spacing w:after="0" w:line="240" w:lineRule="auto"/>
        <w:jc w:val="both"/>
        <w:rPr>
          <w:rFonts w:ascii="Arial" w:eastAsia="Calibri" w:hAnsi="Arial" w:cs="Arial"/>
          <w:sz w:val="20"/>
          <w:szCs w:val="20"/>
        </w:rPr>
      </w:pPr>
      <w:r w:rsidRPr="00CC651A">
        <w:rPr>
          <w:noProof/>
        </w:rPr>
        <w:drawing>
          <wp:inline distT="0" distB="0" distL="0" distR="0" wp14:anchorId="0A444AB7" wp14:editId="247B65CE">
            <wp:extent cx="9251950" cy="913765"/>
            <wp:effectExtent l="0" t="0" r="6350" b="635"/>
            <wp:docPr id="176655906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9251950" cy="913765"/>
                    </a:xfrm>
                    <a:prstGeom prst="rect">
                      <a:avLst/>
                    </a:prstGeom>
                    <a:noFill/>
                    <a:ln>
                      <a:noFill/>
                    </a:ln>
                  </pic:spPr>
                </pic:pic>
              </a:graphicData>
            </a:graphic>
          </wp:inline>
        </w:drawing>
      </w:r>
    </w:p>
    <w:p w14:paraId="126086FE" w14:textId="2CFD67F4" w:rsidR="00676A9B" w:rsidRPr="00676A9B" w:rsidRDefault="00676A9B" w:rsidP="00676A9B">
      <w:pPr>
        <w:spacing w:after="0" w:line="240" w:lineRule="auto"/>
        <w:rPr>
          <w:rFonts w:ascii="Arial" w:eastAsia="Calibri" w:hAnsi="Arial" w:cs="Arial"/>
          <w:sz w:val="20"/>
          <w:szCs w:val="20"/>
        </w:rPr>
      </w:pPr>
    </w:p>
    <w:p w14:paraId="1C277BF1"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b/>
          <w:sz w:val="20"/>
          <w:szCs w:val="20"/>
          <w:lang w:eastAsia="en-US"/>
        </w:rPr>
        <w:t>RAZLOG ODSTUPANJA OD PROŠLOGODIŠNJIH PROJEKCIJA</w:t>
      </w:r>
      <w:r w:rsidRPr="00676A9B">
        <w:rPr>
          <w:rFonts w:ascii="Arial" w:eastAsia="Times New Roman" w:hAnsi="Arial" w:cs="Arial"/>
          <w:sz w:val="20"/>
          <w:szCs w:val="20"/>
          <w:lang w:eastAsia="en-US"/>
        </w:rPr>
        <w:t xml:space="preserve">: </w:t>
      </w:r>
    </w:p>
    <w:p w14:paraId="31CA92D6"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sz w:val="20"/>
          <w:szCs w:val="20"/>
          <w:lang w:eastAsia="en-US"/>
        </w:rPr>
        <w:t>Po navedenom programu nije bilo značajnijih odstupanja.</w:t>
      </w:r>
    </w:p>
    <w:p w14:paraId="436FDDC1" w14:textId="77777777" w:rsidR="00676A9B" w:rsidRPr="00676A9B" w:rsidRDefault="00676A9B" w:rsidP="00676A9B">
      <w:pPr>
        <w:spacing w:after="0" w:line="240" w:lineRule="auto"/>
        <w:rPr>
          <w:rFonts w:ascii="Arial" w:eastAsia="Calibri" w:hAnsi="Arial" w:cs="Arial"/>
          <w:sz w:val="20"/>
          <w:szCs w:val="20"/>
        </w:rPr>
      </w:pPr>
    </w:p>
    <w:p w14:paraId="359B0FED" w14:textId="77777777" w:rsidR="00676A9B" w:rsidRPr="00676A9B" w:rsidRDefault="00676A9B" w:rsidP="00676A9B">
      <w:pPr>
        <w:spacing w:after="0" w:line="240" w:lineRule="auto"/>
        <w:jc w:val="both"/>
        <w:rPr>
          <w:rFonts w:ascii="Arial" w:eastAsia="Calibri" w:hAnsi="Arial" w:cs="Arial"/>
          <w:i/>
          <w:sz w:val="20"/>
          <w:szCs w:val="20"/>
        </w:rPr>
      </w:pPr>
      <w:r w:rsidRPr="00676A9B">
        <w:rPr>
          <w:rFonts w:ascii="Arial" w:eastAsia="Calibri" w:hAnsi="Arial" w:cs="Arial"/>
          <w:b/>
          <w:sz w:val="20"/>
          <w:szCs w:val="20"/>
        </w:rPr>
        <w:t>Ishodište i pokazatelji na kojima se zasnivaju izračuni i ocjene</w:t>
      </w:r>
      <w:r w:rsidRPr="00676A9B">
        <w:rPr>
          <w:rFonts w:ascii="Arial" w:eastAsia="Calibri" w:hAnsi="Arial" w:cs="Arial"/>
          <w:sz w:val="20"/>
          <w:szCs w:val="20"/>
        </w:rPr>
        <w:t xml:space="preserve"> </w:t>
      </w:r>
      <w:r w:rsidRPr="00676A9B">
        <w:rPr>
          <w:rFonts w:ascii="Arial" w:eastAsia="Calibri" w:hAnsi="Arial" w:cs="Arial"/>
          <w:b/>
          <w:sz w:val="20"/>
          <w:szCs w:val="20"/>
        </w:rPr>
        <w:t>potrebnih sredstava za provođenje programa:</w:t>
      </w:r>
      <w:r w:rsidRPr="00676A9B">
        <w:rPr>
          <w:rFonts w:ascii="Arial" w:eastAsia="Calibri" w:hAnsi="Arial" w:cs="Arial"/>
          <w:sz w:val="20"/>
          <w:szCs w:val="20"/>
        </w:rPr>
        <w:t xml:space="preserve"> Planske veličine su određene u predloženim iznosima temeljem ostvarenih ciljeva i postignutih rezultata iz prethodnih godina, te predviđanja promjena u izvršenju ciljeva u narednom razdoblju.</w:t>
      </w:r>
    </w:p>
    <w:p w14:paraId="18BED6A2" w14:textId="77777777" w:rsidR="00676A9B" w:rsidRPr="00676A9B" w:rsidRDefault="00676A9B" w:rsidP="00676A9B">
      <w:pPr>
        <w:shd w:val="clear" w:color="auto" w:fill="FFFFFF"/>
        <w:spacing w:after="0" w:line="240" w:lineRule="auto"/>
        <w:jc w:val="both"/>
        <w:rPr>
          <w:rFonts w:ascii="Arial" w:eastAsia="Calibri" w:hAnsi="Arial" w:cs="Arial"/>
          <w:sz w:val="20"/>
          <w:szCs w:val="20"/>
        </w:rPr>
      </w:pPr>
      <w:r w:rsidRPr="00676A9B">
        <w:rPr>
          <w:rFonts w:ascii="Arial" w:eastAsia="Calibri" w:hAnsi="Arial" w:cs="Arial"/>
          <w:b/>
          <w:sz w:val="20"/>
          <w:szCs w:val="20"/>
        </w:rPr>
        <w:t>Izvještaj o postignutim ciljevima i rezultatima programa temeljenim na pokazateljima uspješnosti u prethodnoj godini</w:t>
      </w:r>
      <w:r w:rsidRPr="00676A9B">
        <w:rPr>
          <w:rFonts w:ascii="Arial" w:eastAsia="Calibri" w:hAnsi="Arial" w:cs="Arial"/>
          <w:sz w:val="20"/>
          <w:szCs w:val="20"/>
        </w:rPr>
        <w:t>: Izvršenje je u okviru očekivanih vrijednosti.</w:t>
      </w:r>
    </w:p>
    <w:p w14:paraId="559A9FC6"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676A9B">
        <w:rPr>
          <w:rFonts w:ascii="Arial" w:eastAsia="Calibri" w:hAnsi="Arial" w:cs="Arial"/>
          <w:b/>
          <w:sz w:val="20"/>
          <w:szCs w:val="20"/>
          <w:lang w:eastAsia="en-US"/>
        </w:rPr>
        <w:lastRenderedPageBreak/>
        <w:t>Obrazloženje aktivnosti / projekata i pokazatelji uspješnosti</w:t>
      </w:r>
    </w:p>
    <w:p w14:paraId="27F042A0" w14:textId="77777777" w:rsidR="00676A9B" w:rsidRPr="00676A9B" w:rsidRDefault="00676A9B" w:rsidP="00676A9B">
      <w:pPr>
        <w:spacing w:after="0" w:line="240" w:lineRule="auto"/>
        <w:jc w:val="both"/>
        <w:rPr>
          <w:rFonts w:ascii="Arial" w:eastAsia="Calibri" w:hAnsi="Arial" w:cs="Arial"/>
          <w:sz w:val="20"/>
          <w:szCs w:val="20"/>
        </w:rPr>
      </w:pPr>
    </w:p>
    <w:p w14:paraId="4738C9D8"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Unutar programa izvode se slijedeće aktivnosti i projekti:</w:t>
      </w:r>
    </w:p>
    <w:p w14:paraId="68A43583"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7EA5DED1" w14:textId="5C989FAD" w:rsidR="00676A9B" w:rsidRPr="00676A9B" w:rsidRDefault="00676A9B" w:rsidP="00676A9B">
      <w:pPr>
        <w:autoSpaceDE w:val="0"/>
        <w:autoSpaceDN w:val="0"/>
        <w:adjustRightInd w:val="0"/>
        <w:spacing w:after="0" w:line="240" w:lineRule="auto"/>
        <w:jc w:val="both"/>
        <w:rPr>
          <w:rFonts w:ascii="Arial" w:eastAsia="Calibri" w:hAnsi="Arial" w:cs="Arial"/>
          <w:iCs/>
          <w:sz w:val="20"/>
          <w:szCs w:val="20"/>
        </w:rPr>
      </w:pPr>
      <w:r w:rsidRPr="00676A9B">
        <w:rPr>
          <w:rFonts w:ascii="Arial" w:eastAsia="Calibri" w:hAnsi="Arial" w:cs="Arial"/>
          <w:b/>
          <w:iCs/>
          <w:sz w:val="20"/>
          <w:szCs w:val="20"/>
        </w:rPr>
        <w:t xml:space="preserve">1. A201101: Financiranje osnovnih aktivnosti mjesne samouprave </w:t>
      </w:r>
      <w:r w:rsidRPr="00676A9B">
        <w:rPr>
          <w:rFonts w:ascii="Arial" w:eastAsia="Calibri" w:hAnsi="Arial" w:cs="Arial"/>
          <w:iCs/>
          <w:sz w:val="20"/>
          <w:szCs w:val="20"/>
        </w:rPr>
        <w:t xml:space="preserve">- u sklopu navedene aktivnosti planirani su rashodi u iznosu </w:t>
      </w:r>
      <w:r w:rsidR="00CC651A">
        <w:rPr>
          <w:rFonts w:ascii="Arial" w:eastAsia="Calibri" w:hAnsi="Arial" w:cs="Arial"/>
          <w:iCs/>
          <w:sz w:val="20"/>
          <w:szCs w:val="20"/>
        </w:rPr>
        <w:t>143.385</w:t>
      </w:r>
      <w:r w:rsidRPr="00676A9B">
        <w:rPr>
          <w:rFonts w:ascii="Arial" w:eastAsia="Calibri" w:hAnsi="Arial" w:cs="Arial"/>
          <w:iCs/>
          <w:sz w:val="20"/>
          <w:szCs w:val="20"/>
        </w:rPr>
        <w:t xml:space="preserve"> €, a </w:t>
      </w:r>
      <w:r w:rsidR="00CC651A">
        <w:rPr>
          <w:rFonts w:ascii="Arial" w:eastAsia="Calibri" w:hAnsi="Arial" w:cs="Arial"/>
          <w:iCs/>
          <w:sz w:val="20"/>
          <w:szCs w:val="20"/>
        </w:rPr>
        <w:t>175.800</w:t>
      </w:r>
      <w:r w:rsidRPr="00676A9B">
        <w:rPr>
          <w:rFonts w:ascii="Arial" w:eastAsia="Calibri" w:hAnsi="Arial" w:cs="Arial"/>
          <w:iCs/>
          <w:sz w:val="20"/>
          <w:szCs w:val="20"/>
        </w:rPr>
        <w:t xml:space="preserve"> € za 202</w:t>
      </w:r>
      <w:r w:rsidR="00CC651A">
        <w:rPr>
          <w:rFonts w:ascii="Arial" w:eastAsia="Calibri" w:hAnsi="Arial" w:cs="Arial"/>
          <w:iCs/>
          <w:sz w:val="20"/>
          <w:szCs w:val="20"/>
        </w:rPr>
        <w:t>6</w:t>
      </w:r>
      <w:r w:rsidRPr="00676A9B">
        <w:rPr>
          <w:rFonts w:ascii="Arial" w:eastAsia="Calibri" w:hAnsi="Arial" w:cs="Arial"/>
          <w:iCs/>
          <w:sz w:val="20"/>
          <w:szCs w:val="20"/>
        </w:rPr>
        <w:t>. i 202</w:t>
      </w:r>
      <w:r w:rsidR="00CC651A">
        <w:rPr>
          <w:rFonts w:ascii="Arial" w:eastAsia="Calibri" w:hAnsi="Arial" w:cs="Arial"/>
          <w:iCs/>
          <w:sz w:val="20"/>
          <w:szCs w:val="20"/>
        </w:rPr>
        <w:t>7</w:t>
      </w:r>
      <w:r w:rsidRPr="00676A9B">
        <w:rPr>
          <w:rFonts w:ascii="Arial" w:eastAsia="Calibri" w:hAnsi="Arial" w:cs="Arial"/>
          <w:iCs/>
          <w:sz w:val="20"/>
          <w:szCs w:val="20"/>
        </w:rPr>
        <w:t>. godinu . Planirana sredstva se odnose na rashode za troškove električne energije, troškove utroška vode i odvoza smeća, te materijal i usluge za tekuće i investicijsko održavanje. Kroz ovu aktivnost se iskazuje i utrošak namjenskih donacija koje mjesni odbori ostvare.</w:t>
      </w:r>
    </w:p>
    <w:p w14:paraId="16649122" w14:textId="77777777" w:rsidR="00676A9B" w:rsidRPr="00676A9B" w:rsidRDefault="00676A9B" w:rsidP="00676A9B">
      <w:pPr>
        <w:autoSpaceDE w:val="0"/>
        <w:autoSpaceDN w:val="0"/>
        <w:adjustRightInd w:val="0"/>
        <w:spacing w:after="0" w:line="240" w:lineRule="auto"/>
        <w:jc w:val="both"/>
        <w:rPr>
          <w:rFonts w:ascii="Arial" w:eastAsia="Calibri" w:hAnsi="Arial" w:cs="Arial"/>
          <w:iCs/>
          <w:sz w:val="20"/>
          <w:szCs w:val="20"/>
        </w:rPr>
      </w:pPr>
    </w:p>
    <w:p w14:paraId="2B2086B1" w14:textId="642B4FB0" w:rsidR="00676A9B" w:rsidRPr="00676A9B" w:rsidRDefault="00676A9B" w:rsidP="00676A9B">
      <w:pPr>
        <w:autoSpaceDE w:val="0"/>
        <w:autoSpaceDN w:val="0"/>
        <w:adjustRightInd w:val="0"/>
        <w:spacing w:after="0" w:line="240" w:lineRule="auto"/>
        <w:jc w:val="both"/>
        <w:rPr>
          <w:rFonts w:ascii="Arial" w:eastAsia="Calibri" w:hAnsi="Arial" w:cs="Arial"/>
          <w:iCs/>
          <w:sz w:val="20"/>
          <w:szCs w:val="20"/>
        </w:rPr>
      </w:pPr>
      <w:r w:rsidRPr="00676A9B">
        <w:rPr>
          <w:rFonts w:ascii="Arial" w:eastAsia="Calibri" w:hAnsi="Arial" w:cs="Arial"/>
          <w:iCs/>
          <w:sz w:val="20"/>
          <w:szCs w:val="20"/>
        </w:rPr>
        <w:t xml:space="preserve">Rashodi su izvršeni u iznosu </w:t>
      </w:r>
      <w:r w:rsidR="00CC651A">
        <w:rPr>
          <w:rFonts w:ascii="Arial" w:eastAsia="Calibri" w:hAnsi="Arial" w:cs="Arial"/>
          <w:iCs/>
          <w:sz w:val="20"/>
          <w:szCs w:val="20"/>
        </w:rPr>
        <w:t>126.002,15</w:t>
      </w:r>
      <w:r w:rsidRPr="00676A9B">
        <w:rPr>
          <w:rFonts w:ascii="Arial" w:eastAsia="Calibri" w:hAnsi="Arial" w:cs="Arial"/>
          <w:iCs/>
          <w:sz w:val="20"/>
          <w:szCs w:val="20"/>
        </w:rPr>
        <w:t xml:space="preserve"> € od čega troškovi električne energije iznose </w:t>
      </w:r>
      <w:r w:rsidR="00CC651A">
        <w:rPr>
          <w:rFonts w:ascii="Arial" w:eastAsia="Calibri" w:hAnsi="Arial" w:cs="Arial"/>
          <w:iCs/>
          <w:sz w:val="20"/>
          <w:szCs w:val="20"/>
        </w:rPr>
        <w:t>75.478,02</w:t>
      </w:r>
      <w:r w:rsidRPr="00676A9B">
        <w:rPr>
          <w:rFonts w:ascii="Arial" w:eastAsia="Calibri" w:hAnsi="Arial" w:cs="Arial"/>
          <w:iCs/>
          <w:sz w:val="20"/>
          <w:szCs w:val="20"/>
        </w:rPr>
        <w:t xml:space="preserve"> €, materijal za tekuće i investicijsko održavanje u okviru mjesnog odbora </w:t>
      </w:r>
      <w:r w:rsidR="00CC651A">
        <w:rPr>
          <w:rFonts w:ascii="Arial" w:eastAsia="Calibri" w:hAnsi="Arial" w:cs="Arial"/>
          <w:iCs/>
          <w:sz w:val="20"/>
          <w:szCs w:val="20"/>
        </w:rPr>
        <w:t>31.469,95</w:t>
      </w:r>
      <w:r w:rsidRPr="00676A9B">
        <w:rPr>
          <w:rFonts w:ascii="Arial" w:eastAsia="Calibri" w:hAnsi="Arial" w:cs="Arial"/>
          <w:iCs/>
          <w:sz w:val="20"/>
          <w:szCs w:val="20"/>
        </w:rPr>
        <w:t xml:space="preserve"> €, troškovi opskrbe vodom </w:t>
      </w:r>
      <w:r w:rsidR="00CC651A">
        <w:rPr>
          <w:rFonts w:ascii="Arial" w:eastAsia="Calibri" w:hAnsi="Arial" w:cs="Arial"/>
          <w:iCs/>
          <w:sz w:val="20"/>
          <w:szCs w:val="20"/>
        </w:rPr>
        <w:t>13.276,62</w:t>
      </w:r>
      <w:r w:rsidRPr="00676A9B">
        <w:rPr>
          <w:rFonts w:ascii="Arial" w:eastAsia="Calibri" w:hAnsi="Arial" w:cs="Arial"/>
          <w:iCs/>
          <w:sz w:val="20"/>
          <w:szCs w:val="20"/>
        </w:rPr>
        <w:t xml:space="preserve"> €, odvoza smeća </w:t>
      </w:r>
      <w:r w:rsidR="00CC651A">
        <w:rPr>
          <w:rFonts w:ascii="Arial" w:eastAsia="Calibri" w:hAnsi="Arial" w:cs="Arial"/>
          <w:iCs/>
          <w:sz w:val="20"/>
          <w:szCs w:val="20"/>
        </w:rPr>
        <w:t>5.578,23</w:t>
      </w:r>
      <w:r w:rsidRPr="00676A9B">
        <w:rPr>
          <w:rFonts w:ascii="Arial" w:eastAsia="Calibri" w:hAnsi="Arial" w:cs="Arial"/>
          <w:iCs/>
          <w:sz w:val="20"/>
          <w:szCs w:val="20"/>
        </w:rPr>
        <w:t xml:space="preserve"> €, te drugi materijalni troškovi </w:t>
      </w:r>
      <w:r w:rsidR="00CC651A">
        <w:rPr>
          <w:rFonts w:ascii="Arial" w:eastAsia="Calibri" w:hAnsi="Arial" w:cs="Arial"/>
          <w:iCs/>
          <w:sz w:val="20"/>
          <w:szCs w:val="20"/>
        </w:rPr>
        <w:t>199,33</w:t>
      </w:r>
      <w:r w:rsidRPr="00676A9B">
        <w:rPr>
          <w:rFonts w:ascii="Arial" w:eastAsia="Calibri" w:hAnsi="Arial" w:cs="Arial"/>
          <w:iCs/>
          <w:sz w:val="20"/>
          <w:szCs w:val="20"/>
        </w:rPr>
        <w:t xml:space="preserve"> €.</w:t>
      </w:r>
    </w:p>
    <w:p w14:paraId="19DBF6C4" w14:textId="77777777" w:rsidR="00676A9B" w:rsidRDefault="00676A9B" w:rsidP="00676A9B">
      <w:pPr>
        <w:autoSpaceDE w:val="0"/>
        <w:autoSpaceDN w:val="0"/>
        <w:adjustRightInd w:val="0"/>
        <w:spacing w:after="0" w:line="240" w:lineRule="auto"/>
        <w:jc w:val="both"/>
        <w:rPr>
          <w:rFonts w:ascii="Arial" w:eastAsia="Calibri" w:hAnsi="Arial" w:cs="Arial"/>
          <w:iCs/>
          <w:sz w:val="20"/>
          <w:szCs w:val="20"/>
        </w:rPr>
      </w:pPr>
      <w:r w:rsidRPr="00676A9B">
        <w:rPr>
          <w:rFonts w:ascii="Arial" w:eastAsia="Calibri" w:hAnsi="Arial" w:cs="Arial"/>
          <w:iCs/>
          <w:sz w:val="20"/>
          <w:szCs w:val="20"/>
        </w:rPr>
        <w:t>U tablici u nastavku se daje prikaz potrošnje električne energije u domovima i sličnim objektima mjesne samouprave.</w:t>
      </w:r>
    </w:p>
    <w:p w14:paraId="2696751A" w14:textId="77777777" w:rsidR="00676A9B" w:rsidRPr="00676A9B" w:rsidRDefault="00676A9B" w:rsidP="00676A9B">
      <w:pPr>
        <w:autoSpaceDE w:val="0"/>
        <w:autoSpaceDN w:val="0"/>
        <w:adjustRightInd w:val="0"/>
        <w:spacing w:after="0" w:line="240" w:lineRule="auto"/>
        <w:ind w:left="709" w:firstLine="709"/>
        <w:jc w:val="both"/>
        <w:rPr>
          <w:rFonts w:ascii="Arial" w:eastAsia="Calibri" w:hAnsi="Arial" w:cs="Arial"/>
          <w:i/>
          <w:sz w:val="20"/>
          <w:szCs w:val="20"/>
        </w:rPr>
      </w:pPr>
      <w:r w:rsidRPr="00676A9B">
        <w:rPr>
          <w:rFonts w:ascii="Arial" w:eastAsia="Calibri" w:hAnsi="Arial" w:cs="Arial"/>
          <w:i/>
          <w:sz w:val="20"/>
          <w:szCs w:val="20"/>
        </w:rPr>
        <w:t>Usporedba:</w:t>
      </w:r>
    </w:p>
    <w:p w14:paraId="75172D40" w14:textId="1DD36C1E" w:rsidR="00676A9B" w:rsidRPr="00676A9B" w:rsidRDefault="00DE40B6" w:rsidP="00676A9B">
      <w:pPr>
        <w:autoSpaceDE w:val="0"/>
        <w:autoSpaceDN w:val="0"/>
        <w:adjustRightInd w:val="0"/>
        <w:spacing w:after="0" w:line="240" w:lineRule="auto"/>
        <w:jc w:val="center"/>
        <w:rPr>
          <w:rFonts w:ascii="Arial" w:eastAsia="Calibri" w:hAnsi="Arial" w:cs="Arial"/>
          <w:sz w:val="20"/>
          <w:szCs w:val="20"/>
        </w:rPr>
      </w:pPr>
      <w:r w:rsidRPr="00DE40B6">
        <w:rPr>
          <w:noProof/>
        </w:rPr>
        <w:drawing>
          <wp:inline distT="0" distB="0" distL="0" distR="0" wp14:anchorId="0558E38B" wp14:editId="227F8C25">
            <wp:extent cx="7820025" cy="4197150"/>
            <wp:effectExtent l="0" t="0" r="0" b="0"/>
            <wp:docPr id="46480302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828535" cy="4201717"/>
                    </a:xfrm>
                    <a:prstGeom prst="rect">
                      <a:avLst/>
                    </a:prstGeom>
                    <a:noFill/>
                    <a:ln>
                      <a:noFill/>
                    </a:ln>
                  </pic:spPr>
                </pic:pic>
              </a:graphicData>
            </a:graphic>
          </wp:inline>
        </w:drawing>
      </w:r>
    </w:p>
    <w:p w14:paraId="152FE30B" w14:textId="77777777" w:rsidR="00676A9B" w:rsidRPr="00676A9B" w:rsidRDefault="00676A9B" w:rsidP="00676A9B">
      <w:pPr>
        <w:autoSpaceDE w:val="0"/>
        <w:autoSpaceDN w:val="0"/>
        <w:adjustRightInd w:val="0"/>
        <w:spacing w:after="0" w:line="240" w:lineRule="auto"/>
        <w:jc w:val="both"/>
        <w:rPr>
          <w:rFonts w:ascii="Arial" w:eastAsia="Calibri" w:hAnsi="Arial" w:cs="Arial"/>
          <w:sz w:val="12"/>
          <w:szCs w:val="12"/>
        </w:rPr>
      </w:pPr>
    </w:p>
    <w:tbl>
      <w:tblPr>
        <w:tblW w:w="13035" w:type="dxa"/>
        <w:jc w:val="center"/>
        <w:tblLayout w:type="fixed"/>
        <w:tblLook w:val="04A0" w:firstRow="1" w:lastRow="0" w:firstColumn="1" w:lastColumn="0" w:noHBand="0" w:noVBand="1"/>
      </w:tblPr>
      <w:tblGrid>
        <w:gridCol w:w="2972"/>
        <w:gridCol w:w="2823"/>
        <w:gridCol w:w="1004"/>
        <w:gridCol w:w="1134"/>
        <w:gridCol w:w="1134"/>
        <w:gridCol w:w="992"/>
        <w:gridCol w:w="992"/>
        <w:gridCol w:w="992"/>
        <w:gridCol w:w="992"/>
      </w:tblGrid>
      <w:tr w:rsidR="00676A9B" w:rsidRPr="00676A9B" w14:paraId="432B4490" w14:textId="77777777" w:rsidTr="00DE40B6">
        <w:trPr>
          <w:trHeight w:val="61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925DAF6"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Pokazatelj rezultata</w:t>
            </w:r>
          </w:p>
        </w:tc>
        <w:tc>
          <w:tcPr>
            <w:tcW w:w="282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C4DF185"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Definicija</w:t>
            </w:r>
          </w:p>
        </w:tc>
        <w:tc>
          <w:tcPr>
            <w:tcW w:w="100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5377993"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C3FB26D"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2ACD803" w14:textId="28CB399D"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Polazna vrijednost 202</w:t>
            </w:r>
            <w:r w:rsidR="00DE40B6">
              <w:rPr>
                <w:rFonts w:ascii="Arial" w:eastAsia="Calibri" w:hAnsi="Arial" w:cs="Arial"/>
                <w:sz w:val="18"/>
                <w:szCs w:val="18"/>
                <w:lang w:eastAsia="en-US"/>
              </w:rPr>
              <w:t>4</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BE7D1D0" w14:textId="71C08CC8"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DE40B6">
              <w:rPr>
                <w:rFonts w:ascii="Arial" w:eastAsia="Calibri" w:hAnsi="Arial" w:cs="Arial"/>
                <w:sz w:val="18"/>
                <w:szCs w:val="18"/>
                <w:lang w:eastAsia="en-US"/>
              </w:rPr>
              <w:t>5</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76919F7" w14:textId="4523F941"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Izvršeno 202</w:t>
            </w:r>
            <w:r w:rsidR="00DE40B6">
              <w:rPr>
                <w:rFonts w:ascii="Arial" w:eastAsia="Calibri" w:hAnsi="Arial" w:cs="Arial"/>
                <w:sz w:val="18"/>
                <w:szCs w:val="18"/>
                <w:lang w:eastAsia="en-US"/>
              </w:rPr>
              <w:t>5</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615E6E1" w14:textId="6B4F4CA2"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DE40B6">
              <w:rPr>
                <w:rFonts w:ascii="Arial" w:eastAsia="Calibri" w:hAnsi="Arial" w:cs="Arial"/>
                <w:sz w:val="18"/>
                <w:szCs w:val="18"/>
                <w:lang w:eastAsia="en-US"/>
              </w:rPr>
              <w:t>6</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14730E3" w14:textId="7E20FD3F"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DE40B6">
              <w:rPr>
                <w:rFonts w:ascii="Arial" w:eastAsia="Calibri" w:hAnsi="Arial" w:cs="Arial"/>
                <w:sz w:val="18"/>
                <w:szCs w:val="18"/>
                <w:lang w:eastAsia="en-US"/>
              </w:rPr>
              <w:t>7</w:t>
            </w:r>
            <w:r w:rsidRPr="00676A9B">
              <w:rPr>
                <w:rFonts w:ascii="Arial" w:eastAsia="Calibri" w:hAnsi="Arial" w:cs="Arial"/>
                <w:sz w:val="18"/>
                <w:szCs w:val="18"/>
                <w:lang w:eastAsia="en-US"/>
              </w:rPr>
              <w:t>.</w:t>
            </w:r>
          </w:p>
        </w:tc>
      </w:tr>
      <w:tr w:rsidR="00676A9B" w:rsidRPr="00676A9B" w14:paraId="193C6491" w14:textId="77777777" w:rsidTr="00DE40B6">
        <w:trPr>
          <w:trHeight w:val="416"/>
          <w:jc w:val="center"/>
        </w:trPr>
        <w:tc>
          <w:tcPr>
            <w:tcW w:w="2972" w:type="dxa"/>
            <w:tcBorders>
              <w:top w:val="single" w:sz="4" w:space="0" w:color="auto"/>
              <w:left w:val="single" w:sz="4" w:space="0" w:color="auto"/>
              <w:bottom w:val="single" w:sz="4" w:space="0" w:color="auto"/>
              <w:right w:val="single" w:sz="4" w:space="0" w:color="auto"/>
            </w:tcBorders>
            <w:vAlign w:val="center"/>
            <w:hideMark/>
          </w:tcPr>
          <w:p w14:paraId="6DF228D1"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 xml:space="preserve">Pravovremeno plaćanje obveza za objekte koje koriste mjesni odbori i osiguravanje uvjeta za rad u istim </w:t>
            </w:r>
          </w:p>
        </w:tc>
        <w:tc>
          <w:tcPr>
            <w:tcW w:w="2823" w:type="dxa"/>
            <w:tcBorders>
              <w:top w:val="single" w:sz="4" w:space="0" w:color="auto"/>
              <w:left w:val="single" w:sz="4" w:space="0" w:color="auto"/>
              <w:bottom w:val="single" w:sz="4" w:space="0" w:color="auto"/>
              <w:right w:val="single" w:sz="4" w:space="0" w:color="auto"/>
            </w:tcBorders>
            <w:vAlign w:val="center"/>
            <w:hideMark/>
          </w:tcPr>
          <w:p w14:paraId="7E14D854" w14:textId="77777777" w:rsidR="00676A9B" w:rsidRPr="00676A9B" w:rsidRDefault="00676A9B" w:rsidP="00676A9B">
            <w:pPr>
              <w:spacing w:after="0" w:line="240" w:lineRule="auto"/>
              <w:rPr>
                <w:rFonts w:ascii="Arial" w:eastAsia="Calibri" w:hAnsi="Arial" w:cs="Arial"/>
                <w:sz w:val="16"/>
                <w:szCs w:val="16"/>
                <w:lang w:eastAsia="en-US"/>
              </w:rPr>
            </w:pPr>
            <w:r w:rsidRPr="00676A9B">
              <w:rPr>
                <w:rFonts w:ascii="Arial" w:eastAsia="Calibri" w:hAnsi="Arial" w:cs="Arial"/>
                <w:sz w:val="16"/>
                <w:szCs w:val="16"/>
                <w:lang w:eastAsia="en-US"/>
              </w:rPr>
              <w:t>Osiguravanje osnovnih uvjeta za djelovanje mjesne samouprave u objektima (održavanje prostorija, plaćanja utroška električne energije, vode i odvoza smeća)</w:t>
            </w:r>
          </w:p>
        </w:tc>
        <w:tc>
          <w:tcPr>
            <w:tcW w:w="1004" w:type="dxa"/>
            <w:tcBorders>
              <w:top w:val="single" w:sz="4" w:space="0" w:color="auto"/>
              <w:left w:val="single" w:sz="4" w:space="0" w:color="auto"/>
              <w:bottom w:val="single" w:sz="4" w:space="0" w:color="auto"/>
              <w:right w:val="single" w:sz="4" w:space="0" w:color="auto"/>
            </w:tcBorders>
            <w:vAlign w:val="center"/>
            <w:hideMark/>
          </w:tcPr>
          <w:p w14:paraId="00BBF8D8" w14:textId="77777777"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46205B"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0B540B25" w14:textId="77777777" w:rsidR="00676A9B" w:rsidRPr="00676A9B" w:rsidRDefault="00676A9B" w:rsidP="00676A9B">
            <w:pPr>
              <w:spacing w:after="0" w:line="240" w:lineRule="auto"/>
              <w:jc w:val="center"/>
              <w:rPr>
                <w:rFonts w:ascii="Arial" w:eastAsia="Times New Roman" w:hAnsi="Arial" w:cs="Arial"/>
                <w:sz w:val="18"/>
                <w:szCs w:val="18"/>
                <w:lang w:eastAsia="en-US"/>
              </w:rPr>
            </w:pPr>
            <w:r w:rsidRPr="00676A9B">
              <w:rPr>
                <w:rFonts w:ascii="Arial" w:eastAsia="Times New Roman" w:hAnsi="Arial" w:cs="Arial"/>
                <w:sz w:val="18"/>
                <w:szCs w:val="18"/>
                <w:lang w:eastAsia="en-US"/>
              </w:rPr>
              <w:t>100 %</w:t>
            </w:r>
          </w:p>
        </w:tc>
        <w:tc>
          <w:tcPr>
            <w:tcW w:w="992" w:type="dxa"/>
            <w:tcBorders>
              <w:top w:val="single" w:sz="4" w:space="0" w:color="000000"/>
              <w:left w:val="single" w:sz="4" w:space="0" w:color="000000"/>
              <w:bottom w:val="single" w:sz="4" w:space="0" w:color="000000"/>
              <w:right w:val="single" w:sz="4" w:space="0" w:color="000000"/>
            </w:tcBorders>
            <w:vAlign w:val="center"/>
          </w:tcPr>
          <w:p w14:paraId="323C3F58" w14:textId="77777777"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100 %</w:t>
            </w:r>
          </w:p>
        </w:tc>
        <w:tc>
          <w:tcPr>
            <w:tcW w:w="992" w:type="dxa"/>
            <w:tcBorders>
              <w:top w:val="single" w:sz="4" w:space="0" w:color="000000"/>
              <w:left w:val="single" w:sz="4" w:space="0" w:color="000000"/>
              <w:bottom w:val="single" w:sz="4" w:space="0" w:color="000000"/>
              <w:right w:val="single" w:sz="4" w:space="0" w:color="000000"/>
            </w:tcBorders>
            <w:vAlign w:val="center"/>
          </w:tcPr>
          <w:p w14:paraId="4C56CF96" w14:textId="77777777"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966854F" w14:textId="77777777"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100 %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D14FD0B" w14:textId="77777777"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100 %</w:t>
            </w:r>
          </w:p>
        </w:tc>
      </w:tr>
    </w:tbl>
    <w:p w14:paraId="3CEAD2C9" w14:textId="77777777" w:rsidR="00676A9B" w:rsidRPr="00676A9B" w:rsidRDefault="00676A9B" w:rsidP="00676A9B">
      <w:pPr>
        <w:autoSpaceDE w:val="0"/>
        <w:autoSpaceDN w:val="0"/>
        <w:adjustRightInd w:val="0"/>
        <w:spacing w:after="0" w:line="240" w:lineRule="auto"/>
        <w:jc w:val="both"/>
        <w:rPr>
          <w:rFonts w:ascii="Arial" w:eastAsia="Calibri" w:hAnsi="Arial" w:cs="Arial"/>
          <w:sz w:val="8"/>
          <w:szCs w:val="8"/>
        </w:rPr>
      </w:pPr>
    </w:p>
    <w:p w14:paraId="17A54722"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Sredstvima planiranim i utrošenim u okviru ovog programa ostvaruje se zadani cilj programa.</w:t>
      </w:r>
      <w:r w:rsidRPr="00676A9B">
        <w:rPr>
          <w:rFonts w:ascii="Arial" w:eastAsia="Calibri" w:hAnsi="Arial" w:cs="Arial"/>
          <w:sz w:val="20"/>
          <w:szCs w:val="20"/>
        </w:rPr>
        <w:br w:type="page"/>
      </w:r>
    </w:p>
    <w:p w14:paraId="3AA69C39" w14:textId="77777777" w:rsidR="00676A9B" w:rsidRPr="00676A9B" w:rsidRDefault="00676A9B" w:rsidP="00676A9B">
      <w:pPr>
        <w:keepNext/>
        <w:spacing w:after="0" w:line="240" w:lineRule="auto"/>
        <w:jc w:val="both"/>
        <w:outlineLvl w:val="2"/>
        <w:rPr>
          <w:rFonts w:ascii="Times New Roman" w:eastAsia="Calibri" w:hAnsi="Times New Roman" w:cs="Times New Roman"/>
          <w:b/>
          <w:sz w:val="24"/>
          <w:szCs w:val="20"/>
          <w:lang w:eastAsia="en-US"/>
        </w:rPr>
      </w:pPr>
      <w:bookmarkStart w:id="370" w:name="_Toc200628503"/>
      <w:bookmarkStart w:id="371" w:name="_Toc232981435"/>
      <w:r w:rsidRPr="00676A9B">
        <w:rPr>
          <w:rFonts w:ascii="Times New Roman" w:eastAsia="Calibri" w:hAnsi="Times New Roman" w:cs="Times New Roman"/>
          <w:b/>
          <w:sz w:val="24"/>
          <w:szCs w:val="20"/>
          <w:lang w:eastAsia="en-US"/>
        </w:rPr>
        <w:lastRenderedPageBreak/>
        <w:t>Program (2020): Protokol, odnosi s javnošću, obljetnice, blagdani i pokroviteljstva</w:t>
      </w:r>
      <w:bookmarkEnd w:id="370"/>
      <w:bookmarkEnd w:id="371"/>
    </w:p>
    <w:p w14:paraId="24C40B61" w14:textId="77777777" w:rsidR="00676A9B" w:rsidRPr="00676A9B" w:rsidRDefault="00676A9B" w:rsidP="00676A9B">
      <w:pPr>
        <w:spacing w:after="0" w:line="240" w:lineRule="auto"/>
        <w:jc w:val="both"/>
        <w:rPr>
          <w:rFonts w:ascii="Times New Roman" w:eastAsia="Calibri" w:hAnsi="Times New Roman" w:cs="Times New Roman"/>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5"/>
        <w:gridCol w:w="12899"/>
      </w:tblGrid>
      <w:tr w:rsidR="00676A9B" w:rsidRPr="00676A9B" w14:paraId="0AC15059" w14:textId="77777777" w:rsidTr="00410A4B">
        <w:tc>
          <w:tcPr>
            <w:tcW w:w="1555" w:type="dxa"/>
          </w:tcPr>
          <w:p w14:paraId="0FF54575"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OPIS PROGRAMA:</w:t>
            </w:r>
          </w:p>
        </w:tc>
        <w:tc>
          <w:tcPr>
            <w:tcW w:w="12899" w:type="dxa"/>
          </w:tcPr>
          <w:p w14:paraId="4F765C57"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Programom se omogućava redovno obavljanje zadataka u dijelu protokola i odnosa s javnošću, kao i obilježavanje blagdana, obljetnica i slično. </w:t>
            </w:r>
            <w:r w:rsidRPr="00676A9B">
              <w:rPr>
                <w:rFonts w:ascii="Arial" w:eastAsia="Times New Roman" w:hAnsi="Arial" w:cs="Arial"/>
                <w:sz w:val="20"/>
                <w:szCs w:val="20"/>
                <w:lang w:eastAsia="en-US"/>
              </w:rPr>
              <w:t xml:space="preserve">Ovaj program obuhvaća materijalne rashode, te potpore i pokroviteljstva. </w:t>
            </w:r>
            <w:r w:rsidRPr="00676A9B">
              <w:rPr>
                <w:rFonts w:ascii="Arial" w:eastAsia="Calibri" w:hAnsi="Arial" w:cs="Arial"/>
                <w:sz w:val="20"/>
                <w:szCs w:val="20"/>
                <w:lang w:eastAsia="en-US"/>
              </w:rPr>
              <w:t>Program obuhvaća aktivnosti kojima se osiguravaju sredstva za usluge promidžbe i informiranja, druge nespomenute rashode poslovanja te sredstva za potpore i pokroviteljstva. Kroz aktivnosti ovog programa iskazuju se redovne aktivnosti ureda načelnika koji se ogledaju u odnosima s javnošću, održavanjem i uređenjem mrežne stranice Općine, pokroviteljstvima, sufinanciranjem organizacije određenih manifestacija, obilježavanja blagdana, obilježavanja Dana Općine i slično.</w:t>
            </w:r>
          </w:p>
        </w:tc>
      </w:tr>
      <w:tr w:rsidR="00676A9B" w:rsidRPr="00676A9B" w14:paraId="0C8E9B43" w14:textId="77777777" w:rsidTr="00410A4B">
        <w:tc>
          <w:tcPr>
            <w:tcW w:w="1555" w:type="dxa"/>
          </w:tcPr>
          <w:p w14:paraId="35341889" w14:textId="77777777" w:rsidR="00676A9B" w:rsidRPr="00676A9B" w:rsidRDefault="00676A9B" w:rsidP="00676A9B">
            <w:pPr>
              <w:spacing w:after="0" w:line="240" w:lineRule="auto"/>
              <w:rPr>
                <w:rFonts w:ascii="Arial" w:eastAsia="Calibri" w:hAnsi="Arial" w:cs="Arial"/>
                <w:sz w:val="16"/>
                <w:szCs w:val="16"/>
                <w:lang w:eastAsia="en-US"/>
              </w:rPr>
            </w:pPr>
            <w:r w:rsidRPr="00676A9B">
              <w:rPr>
                <w:rFonts w:ascii="Arial" w:eastAsia="Calibri" w:hAnsi="Arial" w:cs="Arial"/>
                <w:sz w:val="16"/>
                <w:szCs w:val="16"/>
                <w:lang w:eastAsia="en-US"/>
              </w:rPr>
              <w:t>ZAKONSKE I DRUGE PRAVNE OSNOVE PROGRAMA:</w:t>
            </w:r>
          </w:p>
        </w:tc>
        <w:tc>
          <w:tcPr>
            <w:tcW w:w="12899" w:type="dxa"/>
          </w:tcPr>
          <w:p w14:paraId="2A9E0E12"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Zakon o lokalnoj i područnoj (regionalnoj) samoupravi (NN 33/01,60/01,129/05, 109/07,125/08, 36/09, 150/11, 144/12, 19/13, 137/15, 123/17, 98/19, 144/20), Zakon o financiranju jedinica lokalne i područne (regionalne) samouprave (NN 127/17, 138/20), Zakon o proračunu (NN 144/21), drugi zakoni i propisi</w:t>
            </w:r>
          </w:p>
        </w:tc>
      </w:tr>
      <w:tr w:rsidR="00676A9B" w:rsidRPr="00676A9B" w14:paraId="5DA2B0B1" w14:textId="77777777" w:rsidTr="00410A4B">
        <w:tc>
          <w:tcPr>
            <w:tcW w:w="1555" w:type="dxa"/>
          </w:tcPr>
          <w:p w14:paraId="55E72132"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CILJ PROGRAMA:</w:t>
            </w:r>
          </w:p>
        </w:tc>
        <w:tc>
          <w:tcPr>
            <w:tcW w:w="12899" w:type="dxa"/>
          </w:tcPr>
          <w:p w14:paraId="1EF15C6C"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Cilj ovog programa je izvještavanje javnosti o radu načelnika, kao i rada Općinskog vijeća preko sredstava javnog priopćavanja, planiranje i praćenje projekata, osiguravanje korisnicima pravo na pristup informacijama, organiziranje protokolarnih prijema, prijemi udruga, športskih organizacija, ustanova i slično, obilježavanje raznih manifestacija, božićno-novogodišnji prijemi, obilježavanje i prijemi za Dan Općine, poticanje kulturnih, zabavnih, sportskih manifestacija i slično.</w:t>
            </w:r>
          </w:p>
          <w:p w14:paraId="2C736C3C"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Cilj ovog programa je obavljanje aktivnosti vezanih uz promociju Općine i njenih razvojnih mogućnosti. Protokolarne aktivnosti Općinskog vijeća i Općinskog načelnika odvijaju se prema unaprijed poznatim događajima te prema drugim događajima koji su od interesa za Općinu, a koji nisu unaprijed poznati. Također, kroz ovaj program se aktivno surađuje s medijima s ciljem informiranja građana o aktivnostima i projektima koji se financiraju iz proračuna te omogućava kontinuirano praćenje rada Općinskog vijeća i Općinskog načelnika.</w:t>
            </w:r>
          </w:p>
          <w:p w14:paraId="630BFAD5"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S ciljem jačanja gospodarskih i kulturnih veza te promicanja razvojnih mogućnosti u zemlji i inozemstvu planirani su protokolarni posjeti i suradnja s gradovima i općinama u RH i međunarodna suradnja.</w:t>
            </w:r>
          </w:p>
        </w:tc>
      </w:tr>
      <w:tr w:rsidR="00676A9B" w:rsidRPr="00676A9B" w14:paraId="1338813C" w14:textId="77777777" w:rsidTr="00410A4B">
        <w:tc>
          <w:tcPr>
            <w:tcW w:w="1555" w:type="dxa"/>
            <w:vAlign w:val="bottom"/>
          </w:tcPr>
          <w:p w14:paraId="4561650B"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POSEBNI CILJEVI:</w:t>
            </w:r>
          </w:p>
        </w:tc>
        <w:tc>
          <w:tcPr>
            <w:tcW w:w="12899" w:type="dxa"/>
            <w:vAlign w:val="bottom"/>
          </w:tcPr>
          <w:p w14:paraId="446E42AB"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Osiguravanje izvršavanja zadataka i funkcioniranje upravnih tijela, transparentnost rada općinske uprave, unapređenje identiteta i promidžba. </w:t>
            </w:r>
          </w:p>
          <w:p w14:paraId="550074A2"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Osigurati sredstva za redovno obavljanje zadataka načelnika i općinskog vijeća iz dijela protokola, manifestacija, obljetnica i odnosa s javnošću.</w:t>
            </w:r>
          </w:p>
          <w:p w14:paraId="0D8754E1"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Aktivnosti obilježavanja Dana Općine, proslave i manifestacije obuhvaćaju niz aktivnosti vezanih za prigodno obilježavanje državnih blagdana i značajnih datuma iz povijesti Općine.</w:t>
            </w:r>
          </w:p>
          <w:p w14:paraId="1BCFF00A"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Osmišljavanje, provedba ili financiranje aktivnosti, odnosno akcija namijenjenih informiranju, promoviranju Općine i manifestacija od posebnog interesa za Općinu. Redovito komuniciranje s javnosti putem medija. Briga o pravodobnom informiranju javnosti i transparentnost podataka vezanih uz rad Općine Konavle.</w:t>
            </w:r>
          </w:p>
        </w:tc>
      </w:tr>
    </w:tbl>
    <w:p w14:paraId="79C286DA" w14:textId="77777777" w:rsidR="00676A9B" w:rsidRPr="00676A9B" w:rsidRDefault="00676A9B" w:rsidP="00676A9B">
      <w:pPr>
        <w:spacing w:after="0" w:line="240" w:lineRule="auto"/>
        <w:jc w:val="both"/>
        <w:rPr>
          <w:rFonts w:ascii="Arial" w:eastAsia="Calibri" w:hAnsi="Arial" w:cs="Arial"/>
          <w:sz w:val="20"/>
          <w:szCs w:val="20"/>
          <w:lang w:eastAsia="en-US"/>
        </w:rPr>
      </w:pPr>
    </w:p>
    <w:p w14:paraId="36BC51E8"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676A9B">
        <w:rPr>
          <w:rFonts w:ascii="Arial" w:eastAsia="Calibri" w:hAnsi="Arial" w:cs="Arial"/>
          <w:b/>
          <w:sz w:val="20"/>
          <w:szCs w:val="20"/>
          <w:lang w:eastAsia="en-US"/>
        </w:rPr>
        <w:t>Procjena i ishodište potrebnih sredstava za aktivnosti unutar programa</w:t>
      </w:r>
    </w:p>
    <w:p w14:paraId="719EFCBB" w14:textId="77777777" w:rsidR="00676A9B" w:rsidRPr="00676A9B" w:rsidRDefault="00676A9B" w:rsidP="00676A9B">
      <w:pPr>
        <w:spacing w:after="0" w:line="240" w:lineRule="auto"/>
        <w:jc w:val="both"/>
        <w:rPr>
          <w:rFonts w:ascii="Arial" w:eastAsia="Calibri" w:hAnsi="Arial" w:cs="Arial"/>
          <w:sz w:val="20"/>
          <w:szCs w:val="20"/>
          <w:lang w:eastAsia="en-US"/>
        </w:rPr>
      </w:pPr>
    </w:p>
    <w:p w14:paraId="7B528EC3" w14:textId="251B513B" w:rsidR="00676A9B" w:rsidRPr="00676A9B" w:rsidRDefault="008A16BA" w:rsidP="00676A9B">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293BC05C" w14:textId="77777777" w:rsidR="00676A9B" w:rsidRPr="00676A9B" w:rsidRDefault="00676A9B" w:rsidP="00676A9B">
      <w:pPr>
        <w:spacing w:after="0" w:line="240" w:lineRule="auto"/>
        <w:rPr>
          <w:rFonts w:ascii="Arial" w:eastAsia="Calibri" w:hAnsi="Arial" w:cs="Arial"/>
          <w:sz w:val="12"/>
          <w:szCs w:val="12"/>
        </w:rPr>
      </w:pPr>
    </w:p>
    <w:p w14:paraId="744F4416" w14:textId="77777777" w:rsidR="00676A9B" w:rsidRPr="00676A9B" w:rsidRDefault="00676A9B" w:rsidP="00676A9B">
      <w:pPr>
        <w:spacing w:after="0" w:line="240" w:lineRule="auto"/>
        <w:rPr>
          <w:rFonts w:ascii="Arial" w:eastAsia="Calibri" w:hAnsi="Arial" w:cs="Arial"/>
          <w:sz w:val="12"/>
          <w:szCs w:val="12"/>
        </w:rPr>
      </w:pPr>
    </w:p>
    <w:p w14:paraId="1FF408D0" w14:textId="77777777" w:rsidR="00676A9B" w:rsidRPr="00676A9B" w:rsidRDefault="00676A9B" w:rsidP="00676A9B">
      <w:pPr>
        <w:spacing w:after="0" w:line="240" w:lineRule="auto"/>
        <w:rPr>
          <w:rFonts w:ascii="Arial" w:eastAsia="Calibri" w:hAnsi="Arial" w:cs="Arial"/>
          <w:sz w:val="12"/>
          <w:szCs w:val="12"/>
        </w:rPr>
      </w:pPr>
    </w:p>
    <w:p w14:paraId="236A95E1" w14:textId="77777777" w:rsidR="00B832DF" w:rsidRDefault="00B832DF" w:rsidP="00676A9B">
      <w:pPr>
        <w:spacing w:after="0" w:line="240" w:lineRule="auto"/>
        <w:rPr>
          <w:noProof/>
        </w:rPr>
      </w:pPr>
    </w:p>
    <w:p w14:paraId="0BC2A648" w14:textId="77777777" w:rsidR="00B832DF" w:rsidRDefault="00B832DF" w:rsidP="00676A9B">
      <w:pPr>
        <w:spacing w:after="0" w:line="240" w:lineRule="auto"/>
        <w:rPr>
          <w:noProof/>
        </w:rPr>
      </w:pPr>
    </w:p>
    <w:p w14:paraId="394A7B46" w14:textId="77777777" w:rsidR="00B832DF" w:rsidRDefault="00B832DF" w:rsidP="00676A9B">
      <w:pPr>
        <w:spacing w:after="0" w:line="240" w:lineRule="auto"/>
        <w:rPr>
          <w:noProof/>
        </w:rPr>
      </w:pPr>
    </w:p>
    <w:p w14:paraId="275DAFE3" w14:textId="77777777" w:rsidR="00B832DF" w:rsidRDefault="00B832DF" w:rsidP="00676A9B">
      <w:pPr>
        <w:spacing w:after="0" w:line="240" w:lineRule="auto"/>
        <w:rPr>
          <w:noProof/>
        </w:rPr>
      </w:pPr>
    </w:p>
    <w:p w14:paraId="0FC9BD91" w14:textId="77777777" w:rsidR="00B832DF" w:rsidRDefault="00B832DF" w:rsidP="00676A9B">
      <w:pPr>
        <w:spacing w:after="0" w:line="240" w:lineRule="auto"/>
        <w:rPr>
          <w:noProof/>
        </w:rPr>
      </w:pPr>
    </w:p>
    <w:p w14:paraId="6FA29920" w14:textId="77777777" w:rsidR="00B832DF" w:rsidRDefault="00B832DF" w:rsidP="00676A9B">
      <w:pPr>
        <w:spacing w:after="0" w:line="240" w:lineRule="auto"/>
        <w:rPr>
          <w:noProof/>
        </w:rPr>
      </w:pPr>
    </w:p>
    <w:p w14:paraId="6B8D0BF8" w14:textId="66608B0C" w:rsidR="00B832DF" w:rsidRDefault="00B832DF" w:rsidP="00676A9B">
      <w:pPr>
        <w:spacing w:after="0" w:line="240" w:lineRule="auto"/>
        <w:rPr>
          <w:noProof/>
        </w:rPr>
      </w:pPr>
      <w:r w:rsidRPr="00B832DF">
        <w:rPr>
          <w:noProof/>
        </w:rPr>
        <w:lastRenderedPageBreak/>
        <w:drawing>
          <wp:inline distT="0" distB="0" distL="0" distR="0" wp14:anchorId="16696417" wp14:editId="37BD37FA">
            <wp:extent cx="9251950" cy="1568450"/>
            <wp:effectExtent l="0" t="0" r="6350" b="0"/>
            <wp:docPr id="175000743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9251950" cy="1568450"/>
                    </a:xfrm>
                    <a:prstGeom prst="rect">
                      <a:avLst/>
                    </a:prstGeom>
                    <a:noFill/>
                    <a:ln>
                      <a:noFill/>
                    </a:ln>
                  </pic:spPr>
                </pic:pic>
              </a:graphicData>
            </a:graphic>
          </wp:inline>
        </w:drawing>
      </w:r>
    </w:p>
    <w:p w14:paraId="3530C887" w14:textId="77777777" w:rsidR="00B832DF" w:rsidRDefault="00B832DF" w:rsidP="00676A9B">
      <w:pPr>
        <w:spacing w:after="0" w:line="240" w:lineRule="auto"/>
        <w:rPr>
          <w:noProof/>
        </w:rPr>
      </w:pPr>
    </w:p>
    <w:p w14:paraId="3982EF4D" w14:textId="77777777" w:rsidR="00676A9B" w:rsidRPr="00676A9B" w:rsidRDefault="00676A9B">
      <w:pPr>
        <w:numPr>
          <w:ilvl w:val="0"/>
          <w:numId w:val="6"/>
        </w:numPr>
        <w:spacing w:after="0" w:line="240" w:lineRule="auto"/>
        <w:jc w:val="both"/>
        <w:rPr>
          <w:rFonts w:ascii="Arial" w:eastAsia="Calibri" w:hAnsi="Arial" w:cs="Arial"/>
          <w:sz w:val="18"/>
          <w:szCs w:val="20"/>
        </w:rPr>
      </w:pPr>
      <w:r w:rsidRPr="00676A9B">
        <w:rPr>
          <w:rFonts w:ascii="Arial" w:eastAsia="Calibri" w:hAnsi="Arial" w:cs="Arial"/>
          <w:sz w:val="18"/>
          <w:szCs w:val="20"/>
        </w:rPr>
        <w:t>U proračunskom razdoblju 2019.-2021. aktivnost A202001 razdvojena je na još dvije aktivnosti radi transparentnog iskazivanja rashoda (A202003 i A202004).</w:t>
      </w:r>
    </w:p>
    <w:p w14:paraId="6F2327D3"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b/>
          <w:sz w:val="20"/>
          <w:szCs w:val="20"/>
          <w:lang w:eastAsia="en-US"/>
        </w:rPr>
        <w:t>RAZLOG ODSTUPANJA OD PROŠLOGODIŠNJIH PROJEKCIJA</w:t>
      </w:r>
      <w:r w:rsidRPr="00676A9B">
        <w:rPr>
          <w:rFonts w:ascii="Arial" w:eastAsia="Times New Roman" w:hAnsi="Arial" w:cs="Arial"/>
          <w:sz w:val="20"/>
          <w:szCs w:val="20"/>
          <w:lang w:eastAsia="en-US"/>
        </w:rPr>
        <w:t xml:space="preserve">: </w:t>
      </w:r>
    </w:p>
    <w:p w14:paraId="32BBB51A"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sz w:val="20"/>
          <w:szCs w:val="20"/>
          <w:lang w:eastAsia="en-US"/>
        </w:rPr>
        <w:t>Po navedenom programu nije bilo značajnijih odstupanja.</w:t>
      </w:r>
    </w:p>
    <w:p w14:paraId="661F6C34" w14:textId="77777777" w:rsidR="00676A9B" w:rsidRPr="00676A9B" w:rsidRDefault="00676A9B" w:rsidP="00676A9B">
      <w:pPr>
        <w:spacing w:after="0" w:line="240" w:lineRule="auto"/>
        <w:jc w:val="both"/>
        <w:rPr>
          <w:rFonts w:ascii="Arial" w:eastAsia="Calibri" w:hAnsi="Arial" w:cs="Arial"/>
          <w:sz w:val="20"/>
          <w:szCs w:val="20"/>
          <w:lang w:eastAsia="en-US"/>
        </w:rPr>
      </w:pPr>
    </w:p>
    <w:p w14:paraId="5E86E4D9" w14:textId="77777777" w:rsidR="00676A9B" w:rsidRPr="00676A9B" w:rsidRDefault="00676A9B" w:rsidP="00676A9B">
      <w:pPr>
        <w:spacing w:after="0" w:line="240" w:lineRule="auto"/>
        <w:jc w:val="both"/>
        <w:rPr>
          <w:rFonts w:ascii="Arial" w:eastAsia="Calibri" w:hAnsi="Arial" w:cs="Arial"/>
          <w:i/>
          <w:sz w:val="20"/>
          <w:szCs w:val="20"/>
          <w:lang w:eastAsia="en-US"/>
        </w:rPr>
      </w:pPr>
      <w:r w:rsidRPr="00676A9B">
        <w:rPr>
          <w:rFonts w:ascii="Arial" w:eastAsia="Calibri" w:hAnsi="Arial" w:cs="Arial"/>
          <w:b/>
          <w:sz w:val="20"/>
          <w:szCs w:val="20"/>
          <w:lang w:eastAsia="en-US"/>
        </w:rPr>
        <w:t>Ishodište i pokazatelji na kojima se zasnivaju izračuni i ocjene</w:t>
      </w:r>
      <w:r w:rsidRPr="00676A9B">
        <w:rPr>
          <w:rFonts w:ascii="Arial" w:eastAsia="Calibri" w:hAnsi="Arial" w:cs="Arial"/>
          <w:sz w:val="20"/>
          <w:szCs w:val="20"/>
          <w:lang w:eastAsia="en-US"/>
        </w:rPr>
        <w:t xml:space="preserve"> </w:t>
      </w:r>
      <w:r w:rsidRPr="00676A9B">
        <w:rPr>
          <w:rFonts w:ascii="Arial" w:eastAsia="Calibri" w:hAnsi="Arial" w:cs="Arial"/>
          <w:b/>
          <w:sz w:val="20"/>
          <w:szCs w:val="20"/>
          <w:lang w:eastAsia="en-US"/>
        </w:rPr>
        <w:t>potrebnih sredstava za provođenje programa:</w:t>
      </w:r>
      <w:r w:rsidRPr="00676A9B">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7806507D"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Izvještaj o postignutim ciljevima i rezultatima programa temeljenim na pokazateljima uspješnosti u prethodnoj godini: </w:t>
      </w:r>
      <w:r w:rsidRPr="00676A9B">
        <w:rPr>
          <w:rFonts w:ascii="Arial" w:eastAsia="Calibri" w:hAnsi="Arial" w:cs="Arial"/>
          <w:sz w:val="20"/>
          <w:szCs w:val="20"/>
          <w:lang w:eastAsia="en-US"/>
        </w:rPr>
        <w:t>Izvršenje je u okviru očekivanih vrijednosti.</w:t>
      </w:r>
    </w:p>
    <w:p w14:paraId="254ACEB0" w14:textId="77777777" w:rsidR="00676A9B" w:rsidRPr="00676A9B" w:rsidRDefault="00676A9B" w:rsidP="00676A9B">
      <w:pPr>
        <w:shd w:val="clear" w:color="auto" w:fill="FFFFFF"/>
        <w:spacing w:after="0" w:line="240" w:lineRule="auto"/>
        <w:jc w:val="both"/>
        <w:rPr>
          <w:rFonts w:ascii="Calibri" w:eastAsia="Times New Roman" w:hAnsi="Calibri" w:cs="Calibri"/>
          <w:b/>
          <w:sz w:val="24"/>
          <w:szCs w:val="24"/>
          <w:lang w:eastAsia="en-US"/>
        </w:rPr>
      </w:pPr>
    </w:p>
    <w:p w14:paraId="41E7F268" w14:textId="67C54027" w:rsidR="00676A9B" w:rsidRPr="00676A9B" w:rsidRDefault="00B832DF" w:rsidP="00676A9B">
      <w:pPr>
        <w:spacing w:after="0" w:line="240" w:lineRule="auto"/>
        <w:jc w:val="both"/>
        <w:rPr>
          <w:rFonts w:ascii="Arial" w:eastAsia="Calibri" w:hAnsi="Arial" w:cs="Arial"/>
          <w:sz w:val="20"/>
          <w:szCs w:val="20"/>
          <w:lang w:eastAsia="en-US"/>
        </w:rPr>
      </w:pPr>
      <w:r w:rsidRPr="00B832DF">
        <w:rPr>
          <w:rFonts w:ascii="Arial" w:eastAsia="Calibri" w:hAnsi="Arial" w:cs="Arial"/>
          <w:sz w:val="20"/>
          <w:szCs w:val="20"/>
          <w:lang w:eastAsia="en-US"/>
        </w:rPr>
        <w:t>Ukupno planirana sredstva na razini programa 2020 iznose 306.000 € za 2025. kao i za 2026. i 2027.godinu.</w:t>
      </w:r>
      <w:r w:rsidR="00676A9B" w:rsidRPr="00676A9B">
        <w:rPr>
          <w:rFonts w:ascii="Arial" w:eastAsia="Calibri" w:hAnsi="Arial" w:cs="Arial"/>
          <w:sz w:val="20"/>
          <w:szCs w:val="20"/>
          <w:lang w:eastAsia="en-US"/>
        </w:rPr>
        <w:t xml:space="preserve"> Rashodi za 202</w:t>
      </w:r>
      <w:r>
        <w:rPr>
          <w:rFonts w:ascii="Arial" w:eastAsia="Calibri" w:hAnsi="Arial" w:cs="Arial"/>
          <w:sz w:val="20"/>
          <w:szCs w:val="20"/>
          <w:lang w:eastAsia="en-US"/>
        </w:rPr>
        <w:t>5</w:t>
      </w:r>
      <w:r w:rsidR="00676A9B" w:rsidRPr="00676A9B">
        <w:rPr>
          <w:rFonts w:ascii="Arial" w:eastAsia="Calibri" w:hAnsi="Arial" w:cs="Arial"/>
          <w:sz w:val="20"/>
          <w:szCs w:val="20"/>
          <w:lang w:eastAsia="en-US"/>
        </w:rPr>
        <w:t xml:space="preserve">. su izvršeni u iznosu </w:t>
      </w:r>
      <w:r>
        <w:rPr>
          <w:rFonts w:ascii="Arial" w:eastAsia="Calibri" w:hAnsi="Arial" w:cs="Arial"/>
          <w:sz w:val="20"/>
          <w:szCs w:val="20"/>
          <w:lang w:eastAsia="en-US"/>
        </w:rPr>
        <w:t>224.449,11</w:t>
      </w:r>
      <w:r w:rsidR="00676A9B" w:rsidRPr="00676A9B">
        <w:rPr>
          <w:rFonts w:ascii="Arial" w:eastAsia="Calibri" w:hAnsi="Arial" w:cs="Arial"/>
          <w:sz w:val="20"/>
          <w:szCs w:val="20"/>
          <w:lang w:eastAsia="en-US"/>
        </w:rPr>
        <w:t xml:space="preserve"> € ili </w:t>
      </w:r>
      <w:r>
        <w:rPr>
          <w:rFonts w:ascii="Arial" w:eastAsia="Calibri" w:hAnsi="Arial" w:cs="Arial"/>
          <w:sz w:val="20"/>
          <w:szCs w:val="20"/>
          <w:lang w:eastAsia="en-US"/>
        </w:rPr>
        <w:t>8</w:t>
      </w:r>
      <w:r w:rsidR="00676A9B" w:rsidRPr="00676A9B">
        <w:rPr>
          <w:rFonts w:ascii="Arial" w:eastAsia="Calibri" w:hAnsi="Arial" w:cs="Arial"/>
          <w:sz w:val="20"/>
          <w:szCs w:val="20"/>
          <w:lang w:eastAsia="en-US"/>
        </w:rPr>
        <w:t>0,2 %.</w:t>
      </w:r>
    </w:p>
    <w:p w14:paraId="7A4B49A8" w14:textId="77777777" w:rsidR="00676A9B" w:rsidRPr="00676A9B" w:rsidRDefault="00676A9B" w:rsidP="00676A9B">
      <w:pPr>
        <w:spacing w:after="0" w:line="240" w:lineRule="auto"/>
        <w:jc w:val="both"/>
        <w:rPr>
          <w:rFonts w:ascii="Arial" w:eastAsia="Calibri" w:hAnsi="Arial" w:cs="Arial"/>
          <w:sz w:val="20"/>
          <w:szCs w:val="20"/>
          <w:lang w:eastAsia="en-US"/>
        </w:rPr>
      </w:pPr>
    </w:p>
    <w:p w14:paraId="3555B5FB"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676A9B">
        <w:rPr>
          <w:rFonts w:ascii="Arial" w:eastAsia="Calibri" w:hAnsi="Arial" w:cs="Arial"/>
          <w:b/>
          <w:sz w:val="20"/>
          <w:szCs w:val="20"/>
          <w:lang w:eastAsia="en-US"/>
        </w:rPr>
        <w:t>Obrazloženje aktivnosti / projekata i pokazatelji uspješnosti</w:t>
      </w:r>
    </w:p>
    <w:p w14:paraId="34333314" w14:textId="77777777" w:rsidR="00676A9B" w:rsidRPr="00676A9B" w:rsidRDefault="00676A9B" w:rsidP="00676A9B">
      <w:pPr>
        <w:spacing w:after="0" w:line="240" w:lineRule="auto"/>
        <w:jc w:val="both"/>
        <w:rPr>
          <w:rFonts w:ascii="Arial" w:eastAsia="Calibri" w:hAnsi="Arial" w:cs="Arial"/>
          <w:sz w:val="20"/>
          <w:szCs w:val="20"/>
          <w:lang w:eastAsia="en-US"/>
        </w:rPr>
      </w:pPr>
    </w:p>
    <w:p w14:paraId="2B3B5863"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Unutar programa izvode se slijedeće aktivnosti i projekti:</w:t>
      </w:r>
    </w:p>
    <w:p w14:paraId="1EBAAACE" w14:textId="77777777" w:rsidR="00676A9B" w:rsidRPr="00676A9B" w:rsidRDefault="00676A9B" w:rsidP="00676A9B">
      <w:pPr>
        <w:spacing w:after="0" w:line="240" w:lineRule="auto"/>
        <w:jc w:val="both"/>
        <w:rPr>
          <w:rFonts w:ascii="Arial" w:eastAsia="Calibri" w:hAnsi="Arial" w:cs="Arial"/>
          <w:sz w:val="20"/>
          <w:szCs w:val="20"/>
          <w:lang w:eastAsia="en-US"/>
        </w:rPr>
      </w:pPr>
    </w:p>
    <w:p w14:paraId="7A375655" w14:textId="073C369D"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1. A202001: Odnosi s javnošću, mediji, protokolarni posjeti i slično - </w:t>
      </w:r>
      <w:r w:rsidRPr="00676A9B">
        <w:rPr>
          <w:rFonts w:ascii="Arial" w:eastAsia="Calibri" w:hAnsi="Arial" w:cs="Arial"/>
          <w:sz w:val="20"/>
          <w:szCs w:val="20"/>
          <w:lang w:eastAsia="en-US"/>
        </w:rPr>
        <w:t>u sklopu navedene aktivnosti su rashodi za usluge promidžbe, reprezentaciju, protokolarne darove i ostale nespomenute rashode poslovanja. Ukupno planirana sredstva za navedene aktivnosti iznose 1</w:t>
      </w:r>
      <w:r w:rsidR="00B832DF">
        <w:rPr>
          <w:rFonts w:ascii="Arial" w:eastAsia="Calibri" w:hAnsi="Arial" w:cs="Arial"/>
          <w:sz w:val="20"/>
          <w:szCs w:val="20"/>
          <w:lang w:eastAsia="en-US"/>
        </w:rPr>
        <w:t>33</w:t>
      </w:r>
      <w:r w:rsidRPr="00676A9B">
        <w:rPr>
          <w:rFonts w:ascii="Arial" w:eastAsia="Calibri" w:hAnsi="Arial" w:cs="Arial"/>
          <w:sz w:val="20"/>
          <w:szCs w:val="20"/>
          <w:lang w:eastAsia="en-US"/>
        </w:rPr>
        <w:t>.000 €. Ovi rashodi se odnose na rashode za troškove informiranja, oglašavanja blagdanskih i drugih čestitki u tiskanim i audiovizualnim medijima temeljem potpisanih ugovora (portali i tiskovine, radio i televizija), usluge u svezi održavanja Internet stranice i praćenje rada Općine, usluge reprezentacije za protokolarne posjete i druge usluge reprezentacije u okviru čega su i rashodi za protokolarne darove (npr. vino, monografije sl.).</w:t>
      </w:r>
    </w:p>
    <w:p w14:paraId="37F7EF3E"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3DA1FACF"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CILJ: Unaprjeđenje i promicanje lokalne i područne samouprave. </w:t>
      </w:r>
    </w:p>
    <w:p w14:paraId="0A1FB683" w14:textId="77777777" w:rsidR="00676A9B" w:rsidRPr="00676A9B" w:rsidRDefault="00676A9B" w:rsidP="00676A9B">
      <w:pPr>
        <w:autoSpaceDE w:val="0"/>
        <w:autoSpaceDN w:val="0"/>
        <w:adjustRightInd w:val="0"/>
        <w:spacing w:after="0" w:line="240" w:lineRule="auto"/>
        <w:ind w:firstLine="567"/>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Stručno i pravovremeno obavljanje poslova koje se odnose na protokolarne aktivnosti Općine. </w:t>
      </w:r>
    </w:p>
    <w:p w14:paraId="7DA974DC" w14:textId="77777777" w:rsidR="00676A9B" w:rsidRPr="00676A9B" w:rsidRDefault="00676A9B" w:rsidP="00676A9B">
      <w:pPr>
        <w:autoSpaceDE w:val="0"/>
        <w:autoSpaceDN w:val="0"/>
        <w:adjustRightInd w:val="0"/>
        <w:spacing w:after="0" w:line="240" w:lineRule="auto"/>
        <w:ind w:left="567"/>
        <w:jc w:val="both"/>
        <w:rPr>
          <w:rFonts w:ascii="Arial" w:eastAsia="Calibri" w:hAnsi="Arial" w:cs="Arial"/>
          <w:sz w:val="20"/>
          <w:szCs w:val="20"/>
          <w:lang w:eastAsia="en-US"/>
        </w:rPr>
      </w:pPr>
      <w:r w:rsidRPr="00676A9B">
        <w:rPr>
          <w:rFonts w:ascii="Arial" w:eastAsia="Calibri" w:hAnsi="Arial" w:cs="Arial"/>
          <w:sz w:val="20"/>
          <w:szCs w:val="20"/>
          <w:lang w:eastAsia="en-US"/>
        </w:rPr>
        <w:t>Sponzoriranje opće-društveno korisnih aktivnosti kao i pokroviteljstvo manifestacija u znanosti, kulturi i obrazovanju, te drugih događanja od općinskog interesa.</w:t>
      </w:r>
    </w:p>
    <w:p w14:paraId="68F521BE" w14:textId="77777777" w:rsidR="00676A9B" w:rsidRPr="00676A9B" w:rsidRDefault="00676A9B" w:rsidP="00676A9B">
      <w:pPr>
        <w:spacing w:after="0" w:line="240" w:lineRule="auto"/>
        <w:jc w:val="both"/>
        <w:rPr>
          <w:rFonts w:ascii="Arial" w:eastAsia="Calibri" w:hAnsi="Arial" w:cs="Arial"/>
          <w:sz w:val="20"/>
          <w:szCs w:val="20"/>
          <w:lang w:eastAsia="en-US"/>
        </w:rPr>
      </w:pPr>
    </w:p>
    <w:p w14:paraId="1F1C5FC0" w14:textId="42729CE4"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Izvršeno je </w:t>
      </w:r>
      <w:r w:rsidR="00B832DF">
        <w:rPr>
          <w:rFonts w:ascii="Arial" w:eastAsia="Calibri" w:hAnsi="Arial" w:cs="Arial"/>
          <w:sz w:val="20"/>
          <w:szCs w:val="20"/>
        </w:rPr>
        <w:t>104.561,16</w:t>
      </w:r>
      <w:r w:rsidRPr="00676A9B">
        <w:rPr>
          <w:rFonts w:ascii="Arial" w:eastAsia="Calibri" w:hAnsi="Arial" w:cs="Arial"/>
          <w:sz w:val="20"/>
          <w:szCs w:val="20"/>
        </w:rPr>
        <w:t xml:space="preserve"> € ili </w:t>
      </w:r>
      <w:r w:rsidR="00B832DF">
        <w:rPr>
          <w:rFonts w:ascii="Arial" w:eastAsia="Calibri" w:hAnsi="Arial" w:cs="Arial"/>
          <w:sz w:val="20"/>
          <w:szCs w:val="20"/>
        </w:rPr>
        <w:t>78,6</w:t>
      </w:r>
      <w:r w:rsidRPr="00676A9B">
        <w:rPr>
          <w:rFonts w:ascii="Arial" w:eastAsia="Calibri" w:hAnsi="Arial" w:cs="Arial"/>
          <w:sz w:val="20"/>
          <w:szCs w:val="20"/>
        </w:rPr>
        <w:t xml:space="preserve">%. Ovi rashodi se odnose na rashode za troškove informiranja, oglašavanja blagdanskih i drugih čestitki u tiskanim i audiovizualnim medijima temeljem potpisanih ugovora (portali i tiskovine, objava čestitki tijekom godine </w:t>
      </w:r>
      <w:r w:rsidR="00B832DF">
        <w:rPr>
          <w:rFonts w:ascii="Arial" w:eastAsia="Calibri" w:hAnsi="Arial" w:cs="Arial"/>
          <w:sz w:val="20"/>
          <w:szCs w:val="20"/>
        </w:rPr>
        <w:t>46.752,25</w:t>
      </w:r>
      <w:r w:rsidRPr="00676A9B">
        <w:rPr>
          <w:rFonts w:ascii="Arial" w:eastAsia="Calibri" w:hAnsi="Arial" w:cs="Arial"/>
          <w:sz w:val="20"/>
          <w:szCs w:val="20"/>
        </w:rPr>
        <w:t xml:space="preserve"> €, radio i televizija </w:t>
      </w:r>
      <w:r w:rsidR="00B832DF">
        <w:rPr>
          <w:rFonts w:ascii="Arial" w:eastAsia="Calibri" w:hAnsi="Arial" w:cs="Arial"/>
          <w:sz w:val="20"/>
          <w:szCs w:val="20"/>
        </w:rPr>
        <w:t>4.650</w:t>
      </w:r>
      <w:r w:rsidRPr="00676A9B">
        <w:rPr>
          <w:rFonts w:ascii="Arial" w:eastAsia="Calibri" w:hAnsi="Arial" w:cs="Arial"/>
          <w:sz w:val="20"/>
          <w:szCs w:val="20"/>
        </w:rPr>
        <w:t xml:space="preserve"> €, sponzoriranje priloga Svet</w:t>
      </w:r>
      <w:r w:rsidR="00144194">
        <w:rPr>
          <w:rFonts w:ascii="Arial" w:eastAsia="Calibri" w:hAnsi="Arial" w:cs="Arial"/>
          <w:sz w:val="20"/>
          <w:szCs w:val="20"/>
        </w:rPr>
        <w:t>i</w:t>
      </w:r>
      <w:r w:rsidRPr="00676A9B">
        <w:rPr>
          <w:rFonts w:ascii="Arial" w:eastAsia="Calibri" w:hAnsi="Arial" w:cs="Arial"/>
          <w:sz w:val="20"/>
          <w:szCs w:val="20"/>
        </w:rPr>
        <w:t xml:space="preserve"> Vlaho, </w:t>
      </w:r>
      <w:r w:rsidR="00144194">
        <w:rPr>
          <w:rFonts w:ascii="Arial" w:eastAsia="Calibri" w:hAnsi="Arial" w:cs="Arial"/>
          <w:sz w:val="20"/>
          <w:szCs w:val="20"/>
        </w:rPr>
        <w:t xml:space="preserve">priloga Vinski podrumi, brošura Oluja – bitka svih bitaka, brošura – Local favorites, objava o Domovinskom ratu – Borna Marinić, Čestitka za Dan pobjede i domovinske </w:t>
      </w:r>
      <w:r w:rsidR="00144194">
        <w:rPr>
          <w:rFonts w:ascii="Arial" w:eastAsia="Calibri" w:hAnsi="Arial" w:cs="Arial"/>
          <w:sz w:val="20"/>
          <w:szCs w:val="20"/>
        </w:rPr>
        <w:lastRenderedPageBreak/>
        <w:t xml:space="preserve">zahvalnosti, </w:t>
      </w:r>
      <w:r w:rsidR="00144194" w:rsidRPr="00676A9B">
        <w:rPr>
          <w:rFonts w:ascii="Arial" w:eastAsia="Calibri" w:hAnsi="Arial" w:cs="Arial"/>
          <w:sz w:val="20"/>
          <w:szCs w:val="20"/>
        </w:rPr>
        <w:t>Svi naši prvaši,</w:t>
      </w:r>
      <w:r w:rsidR="00144194" w:rsidRPr="00144194">
        <w:rPr>
          <w:rFonts w:ascii="Arial" w:eastAsia="Calibri" w:hAnsi="Arial" w:cs="Arial"/>
          <w:sz w:val="20"/>
          <w:szCs w:val="20"/>
        </w:rPr>
        <w:t xml:space="preserve"> </w:t>
      </w:r>
      <w:r w:rsidR="00144194" w:rsidRPr="00676A9B">
        <w:rPr>
          <w:rFonts w:ascii="Arial" w:eastAsia="Calibri" w:hAnsi="Arial" w:cs="Arial"/>
          <w:sz w:val="20"/>
          <w:szCs w:val="20"/>
        </w:rPr>
        <w:t>Moj prvi dan škole,</w:t>
      </w:r>
      <w:r w:rsidR="00FA5405">
        <w:rPr>
          <w:rFonts w:ascii="Arial" w:eastAsia="Calibri" w:hAnsi="Arial" w:cs="Arial"/>
          <w:sz w:val="20"/>
          <w:szCs w:val="20"/>
        </w:rPr>
        <w:t xml:space="preserve"> Gospodarski horizonti </w:t>
      </w:r>
      <w:r w:rsidRPr="00676A9B">
        <w:rPr>
          <w:rFonts w:ascii="Arial" w:eastAsia="Calibri" w:hAnsi="Arial" w:cs="Arial"/>
          <w:sz w:val="20"/>
          <w:szCs w:val="20"/>
        </w:rPr>
        <w:t xml:space="preserve">i drugo u ukupnom iznosu </w:t>
      </w:r>
      <w:r w:rsidR="00FA5405">
        <w:rPr>
          <w:rFonts w:ascii="Arial" w:eastAsia="Calibri" w:hAnsi="Arial" w:cs="Arial"/>
          <w:sz w:val="20"/>
          <w:szCs w:val="20"/>
        </w:rPr>
        <w:t>10.265</w:t>
      </w:r>
      <w:r w:rsidRPr="00676A9B">
        <w:rPr>
          <w:rFonts w:ascii="Arial" w:eastAsia="Calibri" w:hAnsi="Arial" w:cs="Arial"/>
          <w:sz w:val="20"/>
          <w:szCs w:val="20"/>
        </w:rPr>
        <w:t xml:space="preserve"> €), usluge u svezi održavanja Internet stranice i praćenje rada Općine </w:t>
      </w:r>
      <w:r w:rsidR="00FA5405">
        <w:rPr>
          <w:rFonts w:ascii="Arial" w:eastAsia="Calibri" w:hAnsi="Arial" w:cs="Arial"/>
          <w:sz w:val="20"/>
          <w:szCs w:val="20"/>
        </w:rPr>
        <w:t>7.300</w:t>
      </w:r>
      <w:r w:rsidRPr="00676A9B">
        <w:rPr>
          <w:rFonts w:ascii="Arial" w:eastAsia="Calibri" w:hAnsi="Arial" w:cs="Arial"/>
          <w:sz w:val="20"/>
          <w:szCs w:val="20"/>
        </w:rPr>
        <w:t xml:space="preserve"> €,</w:t>
      </w:r>
      <w:r w:rsidR="00FA5405" w:rsidRPr="00FA5405">
        <w:rPr>
          <w:rFonts w:ascii="Arial" w:eastAsia="Calibri" w:hAnsi="Arial" w:cs="Arial"/>
          <w:sz w:val="20"/>
          <w:szCs w:val="20"/>
        </w:rPr>
        <w:t xml:space="preserve"> </w:t>
      </w:r>
      <w:r w:rsidR="00FA5405" w:rsidRPr="00676A9B">
        <w:rPr>
          <w:rFonts w:ascii="Arial" w:eastAsia="Calibri" w:hAnsi="Arial" w:cs="Arial"/>
          <w:sz w:val="20"/>
          <w:szCs w:val="20"/>
        </w:rPr>
        <w:t>dizajn knjige</w:t>
      </w:r>
      <w:r w:rsidR="00FA5405">
        <w:rPr>
          <w:rFonts w:ascii="Arial" w:eastAsia="Calibri" w:hAnsi="Arial" w:cs="Arial"/>
          <w:sz w:val="20"/>
          <w:szCs w:val="20"/>
        </w:rPr>
        <w:t xml:space="preserve"> „Župa Konavle prije uspostave Dubrovačke uprave“ 3.123,58 €, </w:t>
      </w:r>
      <w:r w:rsidR="00FA5405" w:rsidRPr="00676A9B">
        <w:rPr>
          <w:rFonts w:ascii="Arial" w:eastAsia="Calibri" w:hAnsi="Arial" w:cs="Arial"/>
          <w:sz w:val="20"/>
          <w:szCs w:val="20"/>
        </w:rPr>
        <w:t>otkupi knjiga za protokolarne poklone</w:t>
      </w:r>
      <w:r w:rsidR="0021442D">
        <w:rPr>
          <w:rFonts w:ascii="Arial" w:eastAsia="Calibri" w:hAnsi="Arial" w:cs="Arial"/>
          <w:sz w:val="20"/>
          <w:szCs w:val="20"/>
        </w:rPr>
        <w:t xml:space="preserve"> 4.156,33 €, vođenje programa moderator svečanog otvaranja radova izgradnje osnovne škole 654,54 €, najam razglasa za svečano otvaranje škole 1.150 €, </w:t>
      </w:r>
      <w:r w:rsidRPr="00676A9B">
        <w:rPr>
          <w:rFonts w:ascii="Arial" w:eastAsia="Calibri" w:hAnsi="Arial" w:cs="Arial"/>
          <w:sz w:val="20"/>
          <w:szCs w:val="20"/>
        </w:rPr>
        <w:t>usluge reprezentacije za protokolarne posjete i druge usluge reprezentacije u iznosu</w:t>
      </w:r>
      <w:r w:rsidR="00EA34A1">
        <w:rPr>
          <w:rFonts w:ascii="Arial" w:eastAsia="Calibri" w:hAnsi="Arial" w:cs="Arial"/>
          <w:sz w:val="20"/>
          <w:szCs w:val="20"/>
        </w:rPr>
        <w:t xml:space="preserve"> </w:t>
      </w:r>
      <w:r w:rsidR="0021442D">
        <w:rPr>
          <w:rFonts w:ascii="Arial" w:eastAsia="Calibri" w:hAnsi="Arial" w:cs="Arial"/>
          <w:sz w:val="20"/>
          <w:szCs w:val="20"/>
        </w:rPr>
        <w:t>5.</w:t>
      </w:r>
      <w:r w:rsidR="00783C4F">
        <w:rPr>
          <w:rFonts w:ascii="Arial" w:eastAsia="Calibri" w:hAnsi="Arial" w:cs="Arial"/>
          <w:sz w:val="20"/>
          <w:szCs w:val="20"/>
        </w:rPr>
        <w:t>794,91</w:t>
      </w:r>
      <w:r w:rsidRPr="00676A9B">
        <w:rPr>
          <w:rFonts w:ascii="Arial" w:eastAsia="Calibri" w:hAnsi="Arial" w:cs="Arial"/>
          <w:sz w:val="20"/>
          <w:szCs w:val="20"/>
        </w:rPr>
        <w:t xml:space="preserve"> €, rashodi za protokolarne darove </w:t>
      </w:r>
      <w:r w:rsidR="0021442D">
        <w:rPr>
          <w:rFonts w:ascii="Arial" w:eastAsia="Calibri" w:hAnsi="Arial" w:cs="Arial"/>
          <w:sz w:val="20"/>
          <w:szCs w:val="20"/>
        </w:rPr>
        <w:t>20.220,55</w:t>
      </w:r>
      <w:r w:rsidRPr="00676A9B">
        <w:rPr>
          <w:rFonts w:ascii="Arial" w:eastAsia="Calibri" w:hAnsi="Arial" w:cs="Arial"/>
          <w:sz w:val="20"/>
          <w:szCs w:val="20"/>
        </w:rPr>
        <w:t xml:space="preserve"> € (npr. vino, monografije, značke, sl.)</w:t>
      </w:r>
      <w:r w:rsidR="00783C4F">
        <w:rPr>
          <w:rFonts w:ascii="Arial" w:eastAsia="Calibri" w:hAnsi="Arial" w:cs="Arial"/>
          <w:sz w:val="20"/>
          <w:szCs w:val="20"/>
        </w:rPr>
        <w:t>, cvjetni aranžmani 494 €.</w:t>
      </w:r>
    </w:p>
    <w:p w14:paraId="1E92078B" w14:textId="77777777" w:rsidR="00676A9B" w:rsidRPr="00676A9B" w:rsidRDefault="00676A9B" w:rsidP="00676A9B">
      <w:pPr>
        <w:spacing w:after="0" w:line="240" w:lineRule="auto"/>
        <w:jc w:val="both"/>
        <w:rPr>
          <w:rFonts w:ascii="Arial" w:eastAsia="Calibri" w:hAnsi="Arial" w:cs="Arial"/>
          <w:sz w:val="20"/>
          <w:szCs w:val="20"/>
          <w:lang w:eastAsia="en-US"/>
        </w:rPr>
      </w:pPr>
    </w:p>
    <w:tbl>
      <w:tblPr>
        <w:tblW w:w="14018" w:type="dxa"/>
        <w:jc w:val="center"/>
        <w:tblLayout w:type="fixed"/>
        <w:tblLook w:val="04A0" w:firstRow="1" w:lastRow="0" w:firstColumn="1" w:lastColumn="0" w:noHBand="0" w:noVBand="1"/>
      </w:tblPr>
      <w:tblGrid>
        <w:gridCol w:w="2843"/>
        <w:gridCol w:w="3658"/>
        <w:gridCol w:w="1281"/>
        <w:gridCol w:w="1134"/>
        <w:gridCol w:w="1134"/>
        <w:gridCol w:w="992"/>
        <w:gridCol w:w="992"/>
        <w:gridCol w:w="992"/>
        <w:gridCol w:w="992"/>
      </w:tblGrid>
      <w:tr w:rsidR="00676A9B" w:rsidRPr="00676A9B" w14:paraId="4BBD0CDB" w14:textId="77777777" w:rsidTr="00410A4B">
        <w:trPr>
          <w:trHeight w:val="617"/>
          <w:jc w:val="center"/>
        </w:trPr>
        <w:tc>
          <w:tcPr>
            <w:tcW w:w="284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3381B36"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Pokazatelj rezultata</w:t>
            </w:r>
          </w:p>
        </w:tc>
        <w:tc>
          <w:tcPr>
            <w:tcW w:w="36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A78DDE6"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Definicija</w:t>
            </w:r>
          </w:p>
        </w:tc>
        <w:tc>
          <w:tcPr>
            <w:tcW w:w="128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9E5C75B"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F1D98D8"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D7D6572" w14:textId="4991B320"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Polazna vrijednost 202</w:t>
            </w:r>
            <w:r w:rsidR="00C324CE">
              <w:rPr>
                <w:rFonts w:ascii="Arial" w:eastAsia="Calibri" w:hAnsi="Arial" w:cs="Arial"/>
                <w:sz w:val="18"/>
                <w:szCs w:val="18"/>
                <w:lang w:eastAsia="en-US"/>
              </w:rPr>
              <w:t>4</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EA98B20" w14:textId="55486522"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C324CE">
              <w:rPr>
                <w:rFonts w:ascii="Arial" w:eastAsia="Calibri" w:hAnsi="Arial" w:cs="Arial"/>
                <w:sz w:val="18"/>
                <w:szCs w:val="18"/>
                <w:lang w:eastAsia="en-US"/>
              </w:rPr>
              <w:t>5</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94B13C2" w14:textId="5CC26DEC"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Izvršeno 202</w:t>
            </w:r>
            <w:r w:rsidR="00C324CE">
              <w:rPr>
                <w:rFonts w:ascii="Arial" w:eastAsia="Calibri" w:hAnsi="Arial" w:cs="Arial"/>
                <w:sz w:val="18"/>
                <w:szCs w:val="18"/>
                <w:lang w:eastAsia="en-US"/>
              </w:rPr>
              <w:t>5</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041B7BD" w14:textId="5A6F62F1"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C324CE">
              <w:rPr>
                <w:rFonts w:ascii="Arial" w:eastAsia="Calibri" w:hAnsi="Arial" w:cs="Arial"/>
                <w:sz w:val="18"/>
                <w:szCs w:val="18"/>
                <w:lang w:eastAsia="en-US"/>
              </w:rPr>
              <w:t>6</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432CBB1" w14:textId="1C465087"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C324CE">
              <w:rPr>
                <w:rFonts w:ascii="Arial" w:eastAsia="Calibri" w:hAnsi="Arial" w:cs="Arial"/>
                <w:sz w:val="18"/>
                <w:szCs w:val="18"/>
                <w:lang w:eastAsia="en-US"/>
              </w:rPr>
              <w:t>7</w:t>
            </w:r>
            <w:r w:rsidRPr="00676A9B">
              <w:rPr>
                <w:rFonts w:ascii="Arial" w:eastAsia="Calibri" w:hAnsi="Arial" w:cs="Arial"/>
                <w:sz w:val="18"/>
                <w:szCs w:val="18"/>
                <w:lang w:eastAsia="en-US"/>
              </w:rPr>
              <w:t>.</w:t>
            </w:r>
          </w:p>
        </w:tc>
      </w:tr>
      <w:tr w:rsidR="00676A9B" w:rsidRPr="00676A9B" w14:paraId="4E33671A" w14:textId="77777777" w:rsidTr="00410A4B">
        <w:trPr>
          <w:trHeight w:val="617"/>
          <w:jc w:val="center"/>
        </w:trPr>
        <w:tc>
          <w:tcPr>
            <w:tcW w:w="2843" w:type="dxa"/>
            <w:tcBorders>
              <w:top w:val="single" w:sz="4" w:space="0" w:color="000000"/>
              <w:left w:val="single" w:sz="4" w:space="0" w:color="000000"/>
              <w:bottom w:val="single" w:sz="4" w:space="0" w:color="000000"/>
              <w:right w:val="single" w:sz="4" w:space="0" w:color="000000"/>
            </w:tcBorders>
            <w:vAlign w:val="center"/>
          </w:tcPr>
          <w:p w14:paraId="2EA3194F" w14:textId="77777777" w:rsidR="00676A9B" w:rsidRPr="00676A9B" w:rsidRDefault="00676A9B" w:rsidP="00676A9B">
            <w:pPr>
              <w:spacing w:after="0" w:line="240" w:lineRule="auto"/>
              <w:rPr>
                <w:rFonts w:ascii="Arial" w:eastAsia="Times New Roman" w:hAnsi="Arial" w:cs="Arial"/>
                <w:sz w:val="18"/>
                <w:szCs w:val="18"/>
                <w:lang w:eastAsia="en-US"/>
              </w:rPr>
            </w:pPr>
            <w:r w:rsidRPr="00676A9B">
              <w:rPr>
                <w:rFonts w:ascii="Arial" w:eastAsia="Calibri" w:hAnsi="Arial" w:cs="Arial"/>
                <w:sz w:val="18"/>
                <w:szCs w:val="18"/>
                <w:lang w:eastAsia="en-US"/>
              </w:rPr>
              <w:t>Povećana medijska vidljivost i kvalitetna informiranost javnosti o djelokrugu i načinu rada općinskog načelnika/ općinskog vijeća, te svih programa i aktivnosti iz djelokruga rada upravnih odjela</w:t>
            </w:r>
          </w:p>
        </w:tc>
        <w:tc>
          <w:tcPr>
            <w:tcW w:w="3658" w:type="dxa"/>
            <w:tcBorders>
              <w:top w:val="single" w:sz="4" w:space="0" w:color="000000"/>
              <w:left w:val="single" w:sz="4" w:space="0" w:color="000000"/>
              <w:bottom w:val="single" w:sz="4" w:space="0" w:color="000000"/>
              <w:right w:val="single" w:sz="4" w:space="0" w:color="000000"/>
            </w:tcBorders>
            <w:vAlign w:val="center"/>
          </w:tcPr>
          <w:p w14:paraId="420EA6D1" w14:textId="77777777" w:rsidR="00676A9B" w:rsidRPr="00676A9B" w:rsidRDefault="00676A9B" w:rsidP="00676A9B">
            <w:pPr>
              <w:spacing w:after="0" w:line="240" w:lineRule="auto"/>
              <w:rPr>
                <w:rFonts w:ascii="Arial" w:eastAsia="Times New Roman" w:hAnsi="Arial" w:cs="Arial"/>
                <w:sz w:val="18"/>
                <w:szCs w:val="18"/>
                <w:lang w:eastAsia="en-US"/>
              </w:rPr>
            </w:pPr>
            <w:r w:rsidRPr="00676A9B">
              <w:rPr>
                <w:rFonts w:ascii="Arial" w:eastAsia="Times New Roman" w:hAnsi="Arial" w:cs="Arial"/>
                <w:sz w:val="18"/>
                <w:szCs w:val="18"/>
                <w:lang w:eastAsia="en-US"/>
              </w:rPr>
              <w:t xml:space="preserve">Redovito informiranje javnosti o radu Općine </w:t>
            </w:r>
            <w:r w:rsidRPr="00676A9B">
              <w:rPr>
                <w:rFonts w:ascii="Arial" w:eastAsia="Times New Roman" w:hAnsi="Arial" w:cs="Arial"/>
                <w:sz w:val="18"/>
                <w:szCs w:val="18"/>
              </w:rPr>
              <w:t xml:space="preserve">Redovite medijske objave informacija o aktivnostima i radu Općinskog vijeća i Načelnika te o aktivnostima i projektima koji se financiraju iz Proračuna ( objave </w:t>
            </w:r>
            <w:r w:rsidRPr="00676A9B">
              <w:rPr>
                <w:rFonts w:ascii="Arial" w:eastAsia="Times New Roman" w:hAnsi="Arial" w:cs="Arial"/>
                <w:sz w:val="18"/>
                <w:szCs w:val="18"/>
                <w:lang w:eastAsia="en-US"/>
              </w:rPr>
              <w:t>u svim medijskim kanalima, intervjuima, putem web platformi i društvenih mreža)</w:t>
            </w:r>
          </w:p>
        </w:tc>
        <w:tc>
          <w:tcPr>
            <w:tcW w:w="1281" w:type="dxa"/>
            <w:tcBorders>
              <w:top w:val="single" w:sz="4" w:space="0" w:color="000000"/>
              <w:left w:val="single" w:sz="4" w:space="0" w:color="000000"/>
              <w:bottom w:val="single" w:sz="4" w:space="0" w:color="000000"/>
              <w:right w:val="single" w:sz="4" w:space="0" w:color="000000"/>
            </w:tcBorders>
            <w:vAlign w:val="center"/>
          </w:tcPr>
          <w:p w14:paraId="472285D4" w14:textId="77777777" w:rsidR="00676A9B" w:rsidRPr="00676A9B" w:rsidRDefault="00676A9B" w:rsidP="00676A9B">
            <w:pPr>
              <w:spacing w:after="0" w:line="240" w:lineRule="auto"/>
              <w:jc w:val="center"/>
              <w:rPr>
                <w:rFonts w:ascii="Arial" w:eastAsia="Times New Roman" w:hAnsi="Arial" w:cs="Arial"/>
                <w:sz w:val="14"/>
                <w:szCs w:val="14"/>
                <w:lang w:eastAsia="en-US"/>
              </w:rPr>
            </w:pPr>
            <w:r w:rsidRPr="00676A9B">
              <w:rPr>
                <w:rFonts w:ascii="Arial" w:eastAsia="Times New Roman" w:hAnsi="Arial" w:cs="Arial"/>
                <w:sz w:val="14"/>
                <w:szCs w:val="14"/>
                <w:lang w:eastAsia="en-US"/>
              </w:rPr>
              <w:t xml:space="preserve">Broj zaključenih ugovora s medijima, objave održanih sjednica općinskog vijeća i intervjui </w:t>
            </w:r>
          </w:p>
        </w:tc>
        <w:tc>
          <w:tcPr>
            <w:tcW w:w="1134" w:type="dxa"/>
            <w:tcBorders>
              <w:top w:val="single" w:sz="4" w:space="0" w:color="000000"/>
              <w:left w:val="single" w:sz="4" w:space="0" w:color="000000"/>
              <w:bottom w:val="single" w:sz="4" w:space="0" w:color="000000"/>
              <w:right w:val="single" w:sz="4" w:space="0" w:color="000000"/>
            </w:tcBorders>
            <w:vAlign w:val="center"/>
          </w:tcPr>
          <w:p w14:paraId="1274F10E" w14:textId="77777777" w:rsidR="00676A9B" w:rsidRPr="00676A9B" w:rsidRDefault="00676A9B" w:rsidP="00676A9B">
            <w:pPr>
              <w:spacing w:after="0" w:line="240" w:lineRule="auto"/>
              <w:jc w:val="center"/>
              <w:rPr>
                <w:rFonts w:ascii="Arial" w:eastAsia="Times New Roman" w:hAnsi="Arial" w:cs="Arial"/>
                <w:sz w:val="18"/>
                <w:szCs w:val="18"/>
                <w:lang w:eastAsia="en-US"/>
              </w:rPr>
            </w:pPr>
            <w:r w:rsidRPr="00676A9B">
              <w:rPr>
                <w:rFonts w:ascii="Arial" w:eastAsia="Times New Roman" w:hAnsi="Arial" w:cs="Arial"/>
                <w:sz w:val="18"/>
                <w:szCs w:val="18"/>
                <w:lang w:eastAsia="en-US"/>
              </w:rPr>
              <w:t>Općina</w:t>
            </w:r>
          </w:p>
        </w:tc>
        <w:tc>
          <w:tcPr>
            <w:tcW w:w="1134" w:type="dxa"/>
            <w:tcBorders>
              <w:top w:val="single" w:sz="4" w:space="0" w:color="000000"/>
              <w:left w:val="single" w:sz="4" w:space="0" w:color="000000"/>
              <w:bottom w:val="single" w:sz="4" w:space="0" w:color="000000"/>
              <w:right w:val="single" w:sz="4" w:space="0" w:color="000000"/>
            </w:tcBorders>
            <w:vAlign w:val="center"/>
          </w:tcPr>
          <w:p w14:paraId="2B50742A" w14:textId="337E7A35" w:rsidR="00676A9B" w:rsidRPr="00676A9B" w:rsidRDefault="00C324CE" w:rsidP="00676A9B">
            <w:pPr>
              <w:spacing w:after="0" w:line="240" w:lineRule="auto"/>
              <w:jc w:val="center"/>
              <w:rPr>
                <w:rFonts w:ascii="Arial" w:eastAsia="Times New Roman" w:hAnsi="Arial" w:cs="Arial"/>
                <w:sz w:val="18"/>
                <w:szCs w:val="18"/>
                <w:lang w:eastAsia="en-US"/>
              </w:rPr>
            </w:pPr>
            <w:r>
              <w:rPr>
                <w:rFonts w:ascii="Arial" w:eastAsia="Times New Roman" w:hAnsi="Arial" w:cs="Arial"/>
                <w:sz w:val="18"/>
                <w:szCs w:val="18"/>
                <w:lang w:eastAsia="en-US"/>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48852D13" w14:textId="7BE6C253" w:rsidR="00676A9B" w:rsidRPr="00676A9B" w:rsidRDefault="00C324CE" w:rsidP="00676A9B">
            <w:pPr>
              <w:spacing w:after="0" w:line="240" w:lineRule="auto"/>
              <w:jc w:val="center"/>
              <w:rPr>
                <w:rFonts w:ascii="Arial" w:eastAsia="Times New Roman" w:hAnsi="Arial" w:cs="Arial"/>
                <w:sz w:val="18"/>
                <w:szCs w:val="18"/>
                <w:lang w:eastAsia="en-US"/>
              </w:rPr>
            </w:pPr>
            <w:r>
              <w:rPr>
                <w:rFonts w:ascii="Arial" w:eastAsia="Times New Roman" w:hAnsi="Arial" w:cs="Arial"/>
                <w:sz w:val="18"/>
                <w:szCs w:val="18"/>
                <w:lang w:eastAsia="en-US"/>
              </w:rP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381F061F" w14:textId="244E634C" w:rsidR="00676A9B" w:rsidRPr="00676A9B" w:rsidRDefault="00C324CE" w:rsidP="00676A9B">
            <w:pPr>
              <w:spacing w:after="0" w:line="240" w:lineRule="auto"/>
              <w:jc w:val="center"/>
              <w:rPr>
                <w:rFonts w:ascii="Arial" w:eastAsia="Times New Roman" w:hAnsi="Arial" w:cs="Arial"/>
                <w:sz w:val="18"/>
                <w:szCs w:val="18"/>
                <w:lang w:eastAsia="en-US"/>
              </w:rPr>
            </w:pPr>
            <w:r>
              <w:rPr>
                <w:rFonts w:ascii="Arial" w:eastAsia="Times New Roman" w:hAnsi="Arial" w:cs="Arial"/>
                <w:sz w:val="18"/>
                <w:szCs w:val="18"/>
                <w:lang w:eastAsia="en-US"/>
              </w:rPr>
              <w:t>11</w:t>
            </w:r>
            <w:r w:rsidR="00676A9B" w:rsidRPr="00676A9B">
              <w:rPr>
                <w:rFonts w:ascii="Arial" w:eastAsia="Times New Roman"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193AB366" w14:textId="5B074308" w:rsidR="00676A9B" w:rsidRPr="00676A9B" w:rsidRDefault="00C324CE" w:rsidP="00676A9B">
            <w:pPr>
              <w:spacing w:after="0" w:line="240" w:lineRule="auto"/>
              <w:jc w:val="center"/>
              <w:rPr>
                <w:rFonts w:ascii="Arial" w:eastAsia="Times New Roman" w:hAnsi="Arial" w:cs="Arial"/>
                <w:sz w:val="18"/>
                <w:szCs w:val="18"/>
                <w:lang w:eastAsia="en-US"/>
              </w:rPr>
            </w:pPr>
            <w:r>
              <w:rPr>
                <w:rFonts w:ascii="Arial" w:eastAsia="Times New Roman" w:hAnsi="Arial" w:cs="Arial"/>
                <w:sz w:val="18"/>
                <w:szCs w:val="18"/>
                <w:lang w:eastAsia="en-US"/>
              </w:rP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7C010540" w14:textId="640D2F29" w:rsidR="00676A9B" w:rsidRPr="00676A9B" w:rsidRDefault="00C324CE" w:rsidP="00676A9B">
            <w:pPr>
              <w:spacing w:after="0" w:line="240" w:lineRule="auto"/>
              <w:jc w:val="center"/>
              <w:rPr>
                <w:rFonts w:ascii="Arial" w:eastAsia="Times New Roman" w:hAnsi="Arial" w:cs="Arial"/>
                <w:sz w:val="18"/>
                <w:szCs w:val="18"/>
                <w:lang w:eastAsia="en-US"/>
              </w:rPr>
            </w:pPr>
            <w:r>
              <w:rPr>
                <w:rFonts w:ascii="Arial" w:eastAsia="Times New Roman" w:hAnsi="Arial" w:cs="Arial"/>
                <w:sz w:val="18"/>
                <w:szCs w:val="18"/>
                <w:lang w:eastAsia="en-US"/>
              </w:rPr>
              <w:t>15</w:t>
            </w:r>
          </w:p>
        </w:tc>
      </w:tr>
      <w:tr w:rsidR="00676A9B" w:rsidRPr="00676A9B" w14:paraId="0EFEC8DC" w14:textId="77777777" w:rsidTr="00410A4B">
        <w:trPr>
          <w:trHeight w:val="649"/>
          <w:jc w:val="center"/>
        </w:trPr>
        <w:tc>
          <w:tcPr>
            <w:tcW w:w="2843" w:type="dxa"/>
            <w:tcBorders>
              <w:top w:val="single" w:sz="4" w:space="0" w:color="auto"/>
              <w:left w:val="single" w:sz="4" w:space="0" w:color="auto"/>
              <w:bottom w:val="single" w:sz="4" w:space="0" w:color="auto"/>
              <w:right w:val="single" w:sz="4" w:space="0" w:color="auto"/>
            </w:tcBorders>
          </w:tcPr>
          <w:p w14:paraId="25073E38" w14:textId="77777777" w:rsidR="00676A9B" w:rsidRPr="00676A9B" w:rsidRDefault="00676A9B" w:rsidP="00676A9B">
            <w:pPr>
              <w:spacing w:after="0" w:line="240" w:lineRule="auto"/>
              <w:rPr>
                <w:rFonts w:ascii="Arial" w:eastAsia="Calibri" w:hAnsi="Arial" w:cs="Arial"/>
                <w:sz w:val="18"/>
                <w:szCs w:val="18"/>
                <w:lang w:eastAsia="en-US"/>
              </w:rPr>
            </w:pPr>
            <w:r w:rsidRPr="00676A9B">
              <w:rPr>
                <w:rFonts w:ascii="Arial" w:eastAsia="Times New Roman" w:hAnsi="Arial" w:cs="Arial"/>
                <w:sz w:val="18"/>
                <w:szCs w:val="18"/>
              </w:rPr>
              <w:t>Izvršavanje aktivnosti osnovne djelatnosti vezana uz protokol</w:t>
            </w:r>
          </w:p>
        </w:tc>
        <w:tc>
          <w:tcPr>
            <w:tcW w:w="3658" w:type="dxa"/>
            <w:tcBorders>
              <w:top w:val="single" w:sz="4" w:space="0" w:color="auto"/>
              <w:left w:val="single" w:sz="4" w:space="0" w:color="auto"/>
              <w:bottom w:val="single" w:sz="4" w:space="0" w:color="auto"/>
              <w:right w:val="single" w:sz="4" w:space="0" w:color="auto"/>
            </w:tcBorders>
          </w:tcPr>
          <w:p w14:paraId="21EAA1CB" w14:textId="77777777" w:rsidR="00676A9B" w:rsidRPr="00676A9B" w:rsidRDefault="00676A9B" w:rsidP="00676A9B">
            <w:pPr>
              <w:spacing w:after="0" w:line="240" w:lineRule="auto"/>
              <w:rPr>
                <w:rFonts w:ascii="Arial" w:eastAsia="Calibri" w:hAnsi="Arial" w:cs="Arial"/>
                <w:sz w:val="18"/>
                <w:szCs w:val="18"/>
                <w:lang w:eastAsia="en-US"/>
              </w:rPr>
            </w:pPr>
            <w:r w:rsidRPr="00676A9B">
              <w:rPr>
                <w:rFonts w:ascii="Arial" w:eastAsia="Times New Roman" w:hAnsi="Arial" w:cs="Arial"/>
                <w:sz w:val="18"/>
                <w:szCs w:val="18"/>
                <w:lang w:eastAsia="en-US"/>
              </w:rPr>
              <w:t>Organizacija protokolarnih i službenih sastanaka, obilježavanja važnih događaja i obljetnica i sudjelovanje na događajima u jedinicama lokalne samouprave</w:t>
            </w:r>
          </w:p>
        </w:tc>
        <w:tc>
          <w:tcPr>
            <w:tcW w:w="1281" w:type="dxa"/>
            <w:tcBorders>
              <w:top w:val="single" w:sz="4" w:space="0" w:color="auto"/>
              <w:left w:val="single" w:sz="4" w:space="0" w:color="auto"/>
              <w:bottom w:val="single" w:sz="4" w:space="0" w:color="auto"/>
              <w:right w:val="single" w:sz="4" w:space="0" w:color="auto"/>
            </w:tcBorders>
            <w:vAlign w:val="center"/>
            <w:hideMark/>
          </w:tcPr>
          <w:p w14:paraId="414DAC1B" w14:textId="77777777"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D06CF6" w14:textId="77777777"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65F0FB72" w14:textId="77777777" w:rsidR="00676A9B" w:rsidRPr="00676A9B" w:rsidRDefault="00676A9B" w:rsidP="00676A9B">
            <w:pPr>
              <w:spacing w:after="0" w:line="240" w:lineRule="auto"/>
              <w:jc w:val="center"/>
              <w:rPr>
                <w:rFonts w:ascii="Arial" w:eastAsia="Times New Roman" w:hAnsi="Arial" w:cs="Arial"/>
                <w:sz w:val="18"/>
                <w:szCs w:val="18"/>
                <w:lang w:eastAsia="en-US"/>
              </w:rPr>
            </w:pPr>
            <w:r w:rsidRPr="00676A9B">
              <w:rPr>
                <w:rFonts w:ascii="Arial" w:eastAsia="Times New Roman" w:hAnsi="Arial" w:cs="Arial"/>
                <w:sz w:val="18"/>
                <w:szCs w:val="18"/>
                <w:lang w:eastAsia="en-US"/>
              </w:rPr>
              <w:t>100 %</w:t>
            </w:r>
          </w:p>
        </w:tc>
        <w:tc>
          <w:tcPr>
            <w:tcW w:w="992" w:type="dxa"/>
            <w:tcBorders>
              <w:top w:val="single" w:sz="4" w:space="0" w:color="000000"/>
              <w:left w:val="single" w:sz="4" w:space="0" w:color="000000"/>
              <w:bottom w:val="single" w:sz="4" w:space="0" w:color="000000"/>
              <w:right w:val="single" w:sz="4" w:space="0" w:color="000000"/>
            </w:tcBorders>
            <w:vAlign w:val="center"/>
          </w:tcPr>
          <w:p w14:paraId="68EB3BB3" w14:textId="77777777"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100 %</w:t>
            </w:r>
          </w:p>
        </w:tc>
        <w:tc>
          <w:tcPr>
            <w:tcW w:w="992" w:type="dxa"/>
            <w:tcBorders>
              <w:top w:val="single" w:sz="4" w:space="0" w:color="000000"/>
              <w:left w:val="single" w:sz="4" w:space="0" w:color="000000"/>
              <w:bottom w:val="single" w:sz="4" w:space="0" w:color="000000"/>
              <w:right w:val="single" w:sz="4" w:space="0" w:color="000000"/>
            </w:tcBorders>
            <w:vAlign w:val="center"/>
          </w:tcPr>
          <w:p w14:paraId="235E2276" w14:textId="77777777"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100 %</w:t>
            </w:r>
          </w:p>
        </w:tc>
        <w:tc>
          <w:tcPr>
            <w:tcW w:w="992" w:type="dxa"/>
            <w:tcBorders>
              <w:top w:val="single" w:sz="4" w:space="0" w:color="000000"/>
              <w:left w:val="single" w:sz="4" w:space="0" w:color="000000"/>
              <w:bottom w:val="single" w:sz="4" w:space="0" w:color="000000"/>
              <w:right w:val="single" w:sz="4" w:space="0" w:color="000000"/>
            </w:tcBorders>
            <w:vAlign w:val="center"/>
          </w:tcPr>
          <w:p w14:paraId="6D5CD9F0" w14:textId="77777777"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100 %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E21BA8F" w14:textId="77777777"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100 %</w:t>
            </w:r>
          </w:p>
        </w:tc>
      </w:tr>
    </w:tbl>
    <w:p w14:paraId="5F6C4948" w14:textId="5C64F049"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*10  ugovora s medijima i </w:t>
      </w:r>
      <w:r w:rsidR="00C324CE">
        <w:rPr>
          <w:rFonts w:ascii="Arial" w:eastAsia="Calibri" w:hAnsi="Arial" w:cs="Arial"/>
          <w:sz w:val="20"/>
          <w:szCs w:val="20"/>
          <w:lang w:eastAsia="en-US"/>
        </w:rPr>
        <w:t>1</w:t>
      </w:r>
      <w:r w:rsidRPr="00676A9B">
        <w:rPr>
          <w:rFonts w:ascii="Arial" w:eastAsia="Calibri" w:hAnsi="Arial" w:cs="Arial"/>
          <w:sz w:val="20"/>
          <w:szCs w:val="20"/>
          <w:lang w:eastAsia="en-US"/>
        </w:rPr>
        <w:t xml:space="preserve"> ugovor za praćenje rada Općinskog vijeća i održavanje Web stranice Općine</w:t>
      </w:r>
    </w:p>
    <w:p w14:paraId="5844332F" w14:textId="77777777" w:rsidR="00676A9B" w:rsidRPr="00676A9B" w:rsidRDefault="00676A9B" w:rsidP="00676A9B">
      <w:pPr>
        <w:autoSpaceDE w:val="0"/>
        <w:autoSpaceDN w:val="0"/>
        <w:adjustRightInd w:val="0"/>
        <w:spacing w:after="0" w:line="240" w:lineRule="auto"/>
        <w:rPr>
          <w:rFonts w:ascii="Arial" w:eastAsia="Calibri" w:hAnsi="Arial" w:cs="Arial"/>
          <w:sz w:val="20"/>
          <w:szCs w:val="20"/>
        </w:rPr>
      </w:pPr>
    </w:p>
    <w:p w14:paraId="4B6C7EB8" w14:textId="664E3A7E"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2. A202002: Potpore i pokroviteljstva </w:t>
      </w:r>
      <w:r w:rsidRPr="00676A9B">
        <w:rPr>
          <w:rFonts w:ascii="Arial" w:eastAsia="Calibri" w:hAnsi="Arial" w:cs="Arial"/>
          <w:sz w:val="20"/>
          <w:szCs w:val="20"/>
          <w:lang w:eastAsia="en-US"/>
        </w:rPr>
        <w:t xml:space="preserve">- u sklopu navedene aktivnosti su rashodi za tekuće pomoći i donacije prema odlukama i zaključcima načelnika, te zaključenim ugovorima, kao i rashodi za najmove i druge usluge manje pojedinačne vrijednosti koje Općina podmiri, a odnose se na organizaciju pojedinih manifestacija kojima se obogaćuje kulturno-turistička ponuda, odnosno kojom se obogaćuje društveni život, zadovoljavaju potrebe kako domicilnog stanovništva tako i gostiju. Planirana sredstva za navedene aktivnosti iznose </w:t>
      </w:r>
      <w:r w:rsidR="001E460F">
        <w:rPr>
          <w:rFonts w:ascii="Arial" w:eastAsia="Calibri" w:hAnsi="Arial" w:cs="Arial"/>
          <w:sz w:val="20"/>
          <w:szCs w:val="20"/>
          <w:lang w:eastAsia="en-US"/>
        </w:rPr>
        <w:t>58.800</w:t>
      </w:r>
      <w:r w:rsidRPr="00676A9B">
        <w:rPr>
          <w:rFonts w:ascii="Arial" w:eastAsia="Calibri" w:hAnsi="Arial" w:cs="Arial"/>
          <w:sz w:val="20"/>
          <w:szCs w:val="20"/>
          <w:lang w:eastAsia="en-US"/>
        </w:rPr>
        <w:t xml:space="preserve"> € od čega </w:t>
      </w:r>
      <w:r w:rsidR="001E460F">
        <w:rPr>
          <w:rFonts w:ascii="Arial" w:eastAsia="Calibri" w:hAnsi="Arial" w:cs="Arial"/>
          <w:sz w:val="20"/>
          <w:szCs w:val="20"/>
          <w:lang w:eastAsia="en-US"/>
        </w:rPr>
        <w:t>40.000</w:t>
      </w:r>
      <w:r w:rsidRPr="00676A9B">
        <w:rPr>
          <w:rFonts w:ascii="Arial" w:eastAsia="Calibri" w:hAnsi="Arial" w:cs="Arial"/>
          <w:sz w:val="20"/>
          <w:szCs w:val="20"/>
          <w:lang w:eastAsia="en-US"/>
        </w:rPr>
        <w:t xml:space="preserve"> € za donacije sredstava udrugama na temelju projekata i zaključenih ugovora o sponzorstvu/pokroviteljstvu. Drugi planirani rashodi se odnose na rashode za materijalne troškove organizacije kulturnih, sportskih zabavnih manifestacija od interesa za domicilno stanovništvo. </w:t>
      </w:r>
    </w:p>
    <w:p w14:paraId="1C464139"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4E40DC28" w14:textId="77777777" w:rsidR="00676A9B" w:rsidRPr="001E460F"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CILJ: je potpora realizaciji projekata neprofitnim organizacija koji mogu pridonijeti poboljšanju kvalitete života šire društvene zajednice Općine. Djelovanje organizacija civilnog društva potiče se putem financijskih potpora koje se neprofitnim organizacijama dodjeljuju iz proračuna Općine, U okviru ove aktivnosti dodjeljuju se financijske potpore neprofitnim organizacijama za projekte te jednokratne, jednodnevne i višednevne manifestacije te građanske inicijative koje nisu bile planirane u godišnjem planu ili nisu prijavljeni na javni natječaj. Programom se potiču njihove opće-društveno korisne aktivnosti kao i pokroviteljstvo manifestacija u kulturi, sportu, socijali i </w:t>
      </w:r>
      <w:r w:rsidRPr="001E460F">
        <w:rPr>
          <w:rFonts w:ascii="Arial" w:eastAsia="Calibri" w:hAnsi="Arial" w:cs="Arial"/>
          <w:sz w:val="20"/>
          <w:szCs w:val="20"/>
          <w:lang w:eastAsia="en-US"/>
        </w:rPr>
        <w:t>obrazovanju od općinskog interesa.</w:t>
      </w:r>
    </w:p>
    <w:p w14:paraId="294ACA11" w14:textId="77777777" w:rsidR="00676A9B" w:rsidRPr="001E460F"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0D94A1E1" w14:textId="64195FDB" w:rsidR="005200A9" w:rsidRDefault="00676A9B" w:rsidP="00676A9B">
      <w:pPr>
        <w:autoSpaceDE w:val="0"/>
        <w:autoSpaceDN w:val="0"/>
        <w:adjustRightInd w:val="0"/>
        <w:spacing w:after="0" w:line="240" w:lineRule="auto"/>
        <w:jc w:val="both"/>
        <w:rPr>
          <w:rFonts w:ascii="Arial" w:eastAsia="Calibri" w:hAnsi="Arial" w:cs="Arial"/>
          <w:bCs/>
          <w:sz w:val="20"/>
          <w:szCs w:val="20"/>
        </w:rPr>
      </w:pPr>
      <w:r w:rsidRPr="001E460F">
        <w:rPr>
          <w:rFonts w:ascii="Arial" w:eastAsia="Calibri" w:hAnsi="Arial" w:cs="Arial"/>
          <w:sz w:val="20"/>
          <w:szCs w:val="20"/>
        </w:rPr>
        <w:t xml:space="preserve">Izvršeno je </w:t>
      </w:r>
      <w:r w:rsidR="001E460F" w:rsidRPr="001E460F">
        <w:rPr>
          <w:rFonts w:ascii="Arial" w:eastAsia="Calibri" w:hAnsi="Arial" w:cs="Arial"/>
          <w:sz w:val="20"/>
          <w:szCs w:val="20"/>
        </w:rPr>
        <w:t>47.444,05</w:t>
      </w:r>
      <w:r w:rsidRPr="001E460F">
        <w:rPr>
          <w:rFonts w:ascii="Arial" w:eastAsia="Calibri" w:hAnsi="Arial" w:cs="Arial"/>
          <w:sz w:val="20"/>
          <w:szCs w:val="20"/>
        </w:rPr>
        <w:t xml:space="preserve"> € ili </w:t>
      </w:r>
      <w:r w:rsidR="001E460F" w:rsidRPr="001E460F">
        <w:rPr>
          <w:rFonts w:ascii="Arial" w:eastAsia="Calibri" w:hAnsi="Arial" w:cs="Arial"/>
          <w:sz w:val="20"/>
          <w:szCs w:val="20"/>
        </w:rPr>
        <w:t>80,7</w:t>
      </w:r>
      <w:r w:rsidRPr="001E460F">
        <w:rPr>
          <w:rFonts w:ascii="Arial" w:eastAsia="Calibri" w:hAnsi="Arial" w:cs="Arial"/>
          <w:sz w:val="20"/>
          <w:szCs w:val="20"/>
        </w:rPr>
        <w:t xml:space="preserve">%. Ovi rashodi se odnose na donacije udrugama u iznosu </w:t>
      </w:r>
      <w:r w:rsidR="001E460F" w:rsidRPr="001E460F">
        <w:rPr>
          <w:rFonts w:ascii="Arial" w:eastAsia="Calibri" w:hAnsi="Arial" w:cs="Arial"/>
          <w:sz w:val="20"/>
          <w:szCs w:val="20"/>
        </w:rPr>
        <w:t>32.673,55</w:t>
      </w:r>
      <w:r w:rsidRPr="001E460F">
        <w:rPr>
          <w:rFonts w:ascii="Arial" w:eastAsia="Calibri" w:hAnsi="Arial" w:cs="Arial"/>
          <w:sz w:val="20"/>
          <w:szCs w:val="20"/>
        </w:rPr>
        <w:t xml:space="preserve"> € </w:t>
      </w:r>
      <w:r w:rsidRPr="001E460F">
        <w:rPr>
          <w:rFonts w:ascii="Arial" w:eastAsia="Calibri" w:hAnsi="Arial" w:cs="Arial"/>
          <w:color w:val="EE0000"/>
          <w:sz w:val="20"/>
          <w:szCs w:val="20"/>
        </w:rPr>
        <w:t>(</w:t>
      </w:r>
      <w:r w:rsidRPr="00232F2C">
        <w:rPr>
          <w:rFonts w:ascii="Arial" w:eastAsia="Calibri" w:hAnsi="Arial" w:cs="Arial"/>
          <w:bCs/>
          <w:sz w:val="20"/>
          <w:szCs w:val="20"/>
        </w:rPr>
        <w:t xml:space="preserve">nabava opreme za pčelarsku udrugu </w:t>
      </w:r>
      <w:r w:rsidR="00232F2C" w:rsidRPr="00232F2C">
        <w:rPr>
          <w:rFonts w:ascii="Arial" w:eastAsia="Calibri" w:hAnsi="Arial" w:cs="Arial"/>
          <w:bCs/>
          <w:sz w:val="20"/>
          <w:szCs w:val="20"/>
        </w:rPr>
        <w:t>6.778,55</w:t>
      </w:r>
      <w:r w:rsidRPr="00232F2C">
        <w:rPr>
          <w:rFonts w:ascii="Arial" w:eastAsia="Calibri" w:hAnsi="Arial" w:cs="Arial"/>
          <w:bCs/>
          <w:sz w:val="20"/>
          <w:szCs w:val="20"/>
        </w:rPr>
        <w:t xml:space="preserve"> €, </w:t>
      </w:r>
      <w:r w:rsidRPr="004B3588">
        <w:rPr>
          <w:rFonts w:ascii="Arial" w:eastAsia="Calibri" w:hAnsi="Arial" w:cs="Arial"/>
          <w:bCs/>
          <w:sz w:val="20"/>
          <w:szCs w:val="20"/>
        </w:rPr>
        <w:t xml:space="preserve">za </w:t>
      </w:r>
      <w:r w:rsidR="00232F2C" w:rsidRPr="004B3588">
        <w:rPr>
          <w:rFonts w:ascii="Arial" w:eastAsia="Calibri" w:hAnsi="Arial" w:cs="Arial"/>
          <w:bCs/>
          <w:sz w:val="20"/>
          <w:szCs w:val="20"/>
        </w:rPr>
        <w:t xml:space="preserve">pokriće dijela troškova </w:t>
      </w:r>
      <w:r w:rsidR="004B3588" w:rsidRPr="004B3588">
        <w:rPr>
          <w:rFonts w:ascii="Arial" w:eastAsia="Calibri" w:hAnsi="Arial" w:cs="Arial"/>
          <w:bCs/>
          <w:sz w:val="20"/>
          <w:szCs w:val="20"/>
        </w:rPr>
        <w:t>za planinarsku ekspediciju „Kroz Ekvador i Kolumbiju“ 1.000</w:t>
      </w:r>
      <w:r w:rsidRPr="004B3588">
        <w:rPr>
          <w:rFonts w:ascii="Arial" w:eastAsia="Calibri" w:hAnsi="Arial" w:cs="Arial"/>
          <w:bCs/>
          <w:sz w:val="20"/>
          <w:szCs w:val="20"/>
        </w:rPr>
        <w:t xml:space="preserve"> €, za organizaciju </w:t>
      </w:r>
      <w:r w:rsidRPr="00232F2C">
        <w:rPr>
          <w:rFonts w:ascii="Arial" w:eastAsia="Calibri" w:hAnsi="Arial" w:cs="Arial"/>
          <w:bCs/>
          <w:sz w:val="20"/>
          <w:szCs w:val="20"/>
        </w:rPr>
        <w:t>nogometnog turnira In memoriam Ivan Čeliković 1.500</w:t>
      </w:r>
      <w:r w:rsidR="005200A9">
        <w:rPr>
          <w:rFonts w:ascii="Arial" w:eastAsia="Calibri" w:hAnsi="Arial" w:cs="Arial"/>
          <w:bCs/>
          <w:sz w:val="20"/>
          <w:szCs w:val="20"/>
        </w:rPr>
        <w:t xml:space="preserve"> €,</w:t>
      </w:r>
      <w:r w:rsidRPr="00232F2C">
        <w:rPr>
          <w:rFonts w:ascii="Arial" w:eastAsia="Calibri" w:hAnsi="Arial" w:cs="Arial"/>
          <w:bCs/>
          <w:sz w:val="20"/>
          <w:szCs w:val="20"/>
        </w:rPr>
        <w:t xml:space="preserve"> </w:t>
      </w:r>
      <w:r w:rsidR="00232F2C" w:rsidRPr="004B3588">
        <w:rPr>
          <w:rFonts w:ascii="Arial" w:eastAsia="Calibri" w:hAnsi="Arial" w:cs="Arial"/>
          <w:bCs/>
          <w:sz w:val="20"/>
          <w:szCs w:val="20"/>
        </w:rPr>
        <w:t xml:space="preserve">za pokriće troškova </w:t>
      </w:r>
      <w:r w:rsidR="004B3588" w:rsidRPr="004B3588">
        <w:rPr>
          <w:rFonts w:ascii="Arial" w:eastAsia="Calibri" w:hAnsi="Arial" w:cs="Arial"/>
          <w:bCs/>
          <w:sz w:val="20"/>
          <w:szCs w:val="20"/>
        </w:rPr>
        <w:t xml:space="preserve">dolaska četvero novinara u okviru projekta COOKe&amp;šparoge, promocija destinacije od 2. do 6.4.2025. u iznosu 550 €, </w:t>
      </w:r>
      <w:r w:rsidRPr="00232F2C">
        <w:rPr>
          <w:rFonts w:ascii="Arial" w:eastAsia="Calibri" w:hAnsi="Arial" w:cs="Arial"/>
          <w:sz w:val="20"/>
          <w:szCs w:val="20"/>
        </w:rPr>
        <w:t xml:space="preserve">za organizaciju memorijalnog božićnog turnira Mato Bekić 300 €, pomoć za tiskanje knjige Konavle rodne – dječjem srcu gode </w:t>
      </w:r>
      <w:r w:rsidR="001E460F" w:rsidRPr="00232F2C">
        <w:rPr>
          <w:rFonts w:ascii="Arial" w:eastAsia="Calibri" w:hAnsi="Arial" w:cs="Arial"/>
          <w:sz w:val="20"/>
          <w:szCs w:val="20"/>
        </w:rPr>
        <w:t>2.745</w:t>
      </w:r>
      <w:r w:rsidRPr="00232F2C">
        <w:rPr>
          <w:rFonts w:ascii="Arial" w:eastAsia="Calibri" w:hAnsi="Arial" w:cs="Arial"/>
          <w:sz w:val="20"/>
          <w:szCs w:val="20"/>
        </w:rPr>
        <w:t xml:space="preserve"> €, </w:t>
      </w:r>
      <w:r w:rsidR="001E460F" w:rsidRPr="00232F2C">
        <w:rPr>
          <w:rFonts w:ascii="Arial" w:eastAsia="Calibri" w:hAnsi="Arial" w:cs="Arial"/>
          <w:sz w:val="20"/>
          <w:szCs w:val="20"/>
        </w:rPr>
        <w:t xml:space="preserve">za izradu muške nošnje KUD </w:t>
      </w:r>
      <w:r w:rsidR="001E460F">
        <w:rPr>
          <w:rFonts w:ascii="Arial" w:eastAsia="Calibri" w:hAnsi="Arial" w:cs="Arial"/>
          <w:sz w:val="20"/>
          <w:szCs w:val="20"/>
        </w:rPr>
        <w:t xml:space="preserve">Stjepan Radić 10.000 €, </w:t>
      </w:r>
      <w:r w:rsidR="004B3588">
        <w:rPr>
          <w:rFonts w:ascii="Arial" w:eastAsia="Calibri" w:hAnsi="Arial" w:cs="Arial"/>
          <w:sz w:val="20"/>
          <w:szCs w:val="20"/>
        </w:rPr>
        <w:t xml:space="preserve">za sufinanciranje 21. međunarodnog simpozija „Protuminsko djelovanje 2025“ održanog u hotelu Croatia od 1-3.4.2025. iznos 2.000 €, </w:t>
      </w:r>
      <w:r w:rsidR="00093429">
        <w:rPr>
          <w:rFonts w:ascii="Arial" w:eastAsia="Calibri" w:hAnsi="Arial" w:cs="Arial"/>
          <w:sz w:val="20"/>
          <w:szCs w:val="20"/>
        </w:rPr>
        <w:t xml:space="preserve">za organizaciju zabave 21.6.2025. na rivi u Moluntu 300 €, za organizaciju ekološke akcije s manifestacijom gastro natjecanja i utrka trupa Maraton lađa 500 €, za sudjelovanje dječje plesne skupine Studio stage na europskom prvenstvu u Zagrebu od 18-21.12.2025. iznos 500 €, za organizaciju proslave „Svete neđeje“ 1.200 €, za organizaciju ekološke akcije Eko </w:t>
      </w:r>
      <w:r w:rsidR="00093429">
        <w:rPr>
          <w:rFonts w:ascii="Arial" w:eastAsia="Calibri" w:hAnsi="Arial" w:cs="Arial"/>
          <w:sz w:val="20"/>
          <w:szCs w:val="20"/>
        </w:rPr>
        <w:lastRenderedPageBreak/>
        <w:t xml:space="preserve">Prevlaka 2.8.2025. iznos 1.500 €, suorganizacija u projektu Dalmatinijada (promocija sporta, kulture i dalmatinske glazbe među mladima 16. i 17.8.2025.) iznos 600 </w:t>
      </w:r>
      <w:r w:rsidR="00093429" w:rsidRPr="005200A9">
        <w:rPr>
          <w:rFonts w:ascii="Arial" w:eastAsia="Calibri" w:hAnsi="Arial" w:cs="Arial"/>
          <w:sz w:val="20"/>
          <w:szCs w:val="20"/>
        </w:rPr>
        <w:t>€</w:t>
      </w:r>
      <w:r w:rsidR="005200A9" w:rsidRPr="005200A9">
        <w:rPr>
          <w:rFonts w:ascii="Arial" w:eastAsia="Calibri" w:hAnsi="Arial" w:cs="Arial"/>
          <w:sz w:val="20"/>
          <w:szCs w:val="20"/>
        </w:rPr>
        <w:t xml:space="preserve">, </w:t>
      </w:r>
      <w:r w:rsidRPr="005200A9">
        <w:rPr>
          <w:rFonts w:ascii="Arial" w:eastAsia="Calibri" w:hAnsi="Arial" w:cs="Arial"/>
          <w:sz w:val="20"/>
          <w:szCs w:val="20"/>
        </w:rPr>
        <w:t xml:space="preserve">za organizaciju susreta članova obožavatelja tripica </w:t>
      </w:r>
      <w:r w:rsidR="004B3588" w:rsidRPr="005200A9">
        <w:rPr>
          <w:rFonts w:ascii="Arial" w:eastAsia="Calibri" w:hAnsi="Arial" w:cs="Arial"/>
          <w:sz w:val="20"/>
          <w:szCs w:val="20"/>
        </w:rPr>
        <w:t>8</w:t>
      </w:r>
      <w:r w:rsidRPr="005200A9">
        <w:rPr>
          <w:rFonts w:ascii="Arial" w:eastAsia="Calibri" w:hAnsi="Arial" w:cs="Arial"/>
          <w:sz w:val="20"/>
          <w:szCs w:val="20"/>
        </w:rPr>
        <w:t xml:space="preserve">00 €, </w:t>
      </w:r>
      <w:r w:rsidR="005200A9" w:rsidRPr="005200A9">
        <w:rPr>
          <w:rFonts w:ascii="Arial" w:eastAsia="Calibri" w:hAnsi="Arial" w:cs="Arial"/>
          <w:bCs/>
          <w:sz w:val="20"/>
          <w:szCs w:val="20"/>
        </w:rPr>
        <w:t xml:space="preserve">organizaciju memorijalnog turnira u spomen na Ivana Čeliković 1.500 €,, prijevoz umirovljenicima radi liječenja u toplicama 2.400 €. </w:t>
      </w:r>
      <w:r w:rsidRPr="005200A9">
        <w:rPr>
          <w:rFonts w:ascii="Arial" w:eastAsia="Calibri" w:hAnsi="Arial" w:cs="Arial"/>
          <w:sz w:val="20"/>
          <w:szCs w:val="20"/>
        </w:rPr>
        <w:t xml:space="preserve">Nadalje, plaćen je prijevoz autobusom </w:t>
      </w:r>
      <w:r w:rsidRPr="005200A9">
        <w:rPr>
          <w:rFonts w:ascii="Arial" w:eastAsia="Calibri" w:hAnsi="Arial" w:cs="Arial"/>
          <w:bCs/>
          <w:sz w:val="20"/>
          <w:szCs w:val="20"/>
        </w:rPr>
        <w:t xml:space="preserve">limene glazbe u </w:t>
      </w:r>
      <w:r w:rsidR="005200A9" w:rsidRPr="005200A9">
        <w:rPr>
          <w:rFonts w:ascii="Arial" w:eastAsia="Calibri" w:hAnsi="Arial" w:cs="Arial"/>
          <w:bCs/>
          <w:sz w:val="20"/>
          <w:szCs w:val="20"/>
        </w:rPr>
        <w:t>Rijeku</w:t>
      </w:r>
      <w:r w:rsidRPr="005200A9">
        <w:rPr>
          <w:rFonts w:ascii="Arial" w:eastAsia="Calibri" w:hAnsi="Arial" w:cs="Arial"/>
          <w:bCs/>
          <w:sz w:val="20"/>
          <w:szCs w:val="20"/>
        </w:rPr>
        <w:t xml:space="preserve"> </w:t>
      </w:r>
      <w:r w:rsidR="005200A9" w:rsidRPr="005200A9">
        <w:rPr>
          <w:rFonts w:ascii="Arial" w:eastAsia="Calibri" w:hAnsi="Arial" w:cs="Arial"/>
          <w:bCs/>
          <w:sz w:val="20"/>
          <w:szCs w:val="20"/>
        </w:rPr>
        <w:t>3.125</w:t>
      </w:r>
      <w:r w:rsidRPr="005200A9">
        <w:rPr>
          <w:rFonts w:ascii="Arial" w:eastAsia="Calibri" w:hAnsi="Arial" w:cs="Arial"/>
          <w:bCs/>
          <w:sz w:val="20"/>
          <w:szCs w:val="20"/>
        </w:rPr>
        <w:t xml:space="preserve"> €, plaćen je prijevoz </w:t>
      </w:r>
      <w:r w:rsidR="005200A9" w:rsidRPr="005200A9">
        <w:rPr>
          <w:rFonts w:ascii="Arial" w:eastAsia="Calibri" w:hAnsi="Arial" w:cs="Arial"/>
          <w:bCs/>
          <w:sz w:val="20"/>
          <w:szCs w:val="20"/>
        </w:rPr>
        <w:t>kulturno umjetničkih društava u Kotor na proslavu Feste sv. Tripuna</w:t>
      </w:r>
      <w:r w:rsidRPr="005200A9">
        <w:rPr>
          <w:rFonts w:ascii="Arial" w:eastAsia="Calibri" w:hAnsi="Arial" w:cs="Arial"/>
          <w:bCs/>
          <w:sz w:val="20"/>
          <w:szCs w:val="20"/>
        </w:rPr>
        <w:t>,</w:t>
      </w:r>
      <w:r w:rsidR="005200A9" w:rsidRPr="005200A9">
        <w:rPr>
          <w:rFonts w:ascii="Arial" w:eastAsia="Calibri" w:hAnsi="Arial" w:cs="Arial"/>
          <w:bCs/>
          <w:sz w:val="20"/>
          <w:szCs w:val="20"/>
        </w:rPr>
        <w:t xml:space="preserve"> te u Oborovo na međunarodnu manifestaciju „Pjesmom i plesom kroz Oborovo“ u iznosu 3.225 €</w:t>
      </w:r>
      <w:r w:rsidR="005200A9">
        <w:rPr>
          <w:rFonts w:ascii="Arial" w:eastAsia="Calibri" w:hAnsi="Arial" w:cs="Arial"/>
          <w:bCs/>
          <w:sz w:val="20"/>
          <w:szCs w:val="20"/>
        </w:rPr>
        <w:t xml:space="preserve">. </w:t>
      </w:r>
    </w:p>
    <w:p w14:paraId="78DB716D" w14:textId="6C11901C" w:rsidR="005200A9" w:rsidRPr="005200A9" w:rsidRDefault="005200A9" w:rsidP="00676A9B">
      <w:pPr>
        <w:autoSpaceDE w:val="0"/>
        <w:autoSpaceDN w:val="0"/>
        <w:adjustRightInd w:val="0"/>
        <w:spacing w:after="0" w:line="240" w:lineRule="auto"/>
        <w:jc w:val="both"/>
        <w:rPr>
          <w:rFonts w:ascii="Arial" w:eastAsia="Calibri" w:hAnsi="Arial" w:cs="Arial"/>
          <w:bCs/>
          <w:sz w:val="20"/>
          <w:szCs w:val="20"/>
        </w:rPr>
      </w:pPr>
      <w:r>
        <w:rPr>
          <w:rFonts w:ascii="Arial" w:eastAsia="Calibri" w:hAnsi="Arial" w:cs="Arial"/>
          <w:bCs/>
          <w:sz w:val="20"/>
          <w:szCs w:val="20"/>
        </w:rPr>
        <w:t xml:space="preserve">U okviru ove aktivnosti izvršeni su i rashodi za </w:t>
      </w:r>
      <w:r w:rsidR="00E4639F">
        <w:rPr>
          <w:rFonts w:ascii="Arial" w:eastAsia="Calibri" w:hAnsi="Arial" w:cs="Arial"/>
          <w:bCs/>
          <w:sz w:val="20"/>
          <w:szCs w:val="20"/>
        </w:rPr>
        <w:t>usluge reprezentacije prigodom predstavljanja knjige Jaques Pervitich u Kući Bukovac, te promociji knjige Igora Zidića u Kući Bukovac 2.274,75 €, rashodi za produkciju glazbe uz predstavljanje knjiga 1.309,09 €, izrada dvojezičnih tabli (hrvatski / talijanski) u općini u Italiji u kojoj žive moliški Hrvati 1.140,70 €, usluge snimanja Konovizije</w:t>
      </w:r>
      <w:r w:rsidR="00491345">
        <w:rPr>
          <w:rFonts w:ascii="Arial" w:eastAsia="Calibri" w:hAnsi="Arial" w:cs="Arial"/>
          <w:bCs/>
          <w:sz w:val="20"/>
          <w:szCs w:val="20"/>
        </w:rPr>
        <w:t xml:space="preserve"> 2.500 €, te sufinanciranje odlaska pet natjecatelja na Dane suhozida na otoku Hvaru 1.195,96 €. </w:t>
      </w:r>
    </w:p>
    <w:p w14:paraId="15B761D9" w14:textId="32B9C2B5"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tbl>
      <w:tblPr>
        <w:tblW w:w="14162" w:type="dxa"/>
        <w:jc w:val="center"/>
        <w:tblLayout w:type="fixed"/>
        <w:tblLook w:val="04A0" w:firstRow="1" w:lastRow="0" w:firstColumn="1" w:lastColumn="0" w:noHBand="0" w:noVBand="1"/>
      </w:tblPr>
      <w:tblGrid>
        <w:gridCol w:w="3243"/>
        <w:gridCol w:w="3402"/>
        <w:gridCol w:w="1559"/>
        <w:gridCol w:w="856"/>
        <w:gridCol w:w="1134"/>
        <w:gridCol w:w="992"/>
        <w:gridCol w:w="992"/>
        <w:gridCol w:w="992"/>
        <w:gridCol w:w="992"/>
      </w:tblGrid>
      <w:tr w:rsidR="00676A9B" w:rsidRPr="00676A9B" w14:paraId="4EAE65A3" w14:textId="77777777" w:rsidTr="00410A4B">
        <w:trPr>
          <w:trHeight w:val="617"/>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7317143"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ED2F05A"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Definicija</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D5BA4CD"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Jedinica</w:t>
            </w:r>
          </w:p>
        </w:tc>
        <w:tc>
          <w:tcPr>
            <w:tcW w:w="85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FCE5345"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95D4F36" w14:textId="6CA4F708"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Polazna vrijednost 20</w:t>
            </w:r>
            <w:r w:rsidR="00491345">
              <w:rPr>
                <w:rFonts w:ascii="Arial" w:eastAsia="Calibri" w:hAnsi="Arial" w:cs="Arial"/>
                <w:sz w:val="18"/>
                <w:szCs w:val="18"/>
                <w:lang w:eastAsia="en-US"/>
              </w:rPr>
              <w:t>24</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B4BFF5" w14:textId="657D7C2F"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491345">
              <w:rPr>
                <w:rFonts w:ascii="Arial" w:eastAsia="Calibri" w:hAnsi="Arial" w:cs="Arial"/>
                <w:sz w:val="18"/>
                <w:szCs w:val="18"/>
                <w:lang w:eastAsia="en-US"/>
              </w:rPr>
              <w:t>5</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034DEB7" w14:textId="3DA4A610"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Izvršeno 202</w:t>
            </w:r>
            <w:r w:rsidR="00491345">
              <w:rPr>
                <w:rFonts w:ascii="Arial" w:eastAsia="Calibri" w:hAnsi="Arial" w:cs="Arial"/>
                <w:sz w:val="18"/>
                <w:szCs w:val="18"/>
                <w:lang w:eastAsia="en-US"/>
              </w:rPr>
              <w:t>5</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750DB9D" w14:textId="00658249"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491345">
              <w:rPr>
                <w:rFonts w:ascii="Arial" w:eastAsia="Calibri" w:hAnsi="Arial" w:cs="Arial"/>
                <w:sz w:val="18"/>
                <w:szCs w:val="18"/>
                <w:lang w:eastAsia="en-US"/>
              </w:rPr>
              <w:t>6</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405D44C" w14:textId="34044D2C"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491345">
              <w:rPr>
                <w:rFonts w:ascii="Arial" w:eastAsia="Calibri" w:hAnsi="Arial" w:cs="Arial"/>
                <w:sz w:val="18"/>
                <w:szCs w:val="18"/>
                <w:lang w:eastAsia="en-US"/>
              </w:rPr>
              <w:t>7</w:t>
            </w:r>
            <w:r w:rsidRPr="00676A9B">
              <w:rPr>
                <w:rFonts w:ascii="Arial" w:eastAsia="Calibri" w:hAnsi="Arial" w:cs="Arial"/>
                <w:sz w:val="18"/>
                <w:szCs w:val="18"/>
                <w:lang w:eastAsia="en-US"/>
              </w:rPr>
              <w:t>.</w:t>
            </w:r>
          </w:p>
        </w:tc>
      </w:tr>
      <w:tr w:rsidR="00676A9B" w:rsidRPr="00676A9B" w14:paraId="116539F9" w14:textId="77777777" w:rsidTr="00410A4B">
        <w:trPr>
          <w:trHeight w:val="272"/>
          <w:jc w:val="center"/>
        </w:trPr>
        <w:tc>
          <w:tcPr>
            <w:tcW w:w="3243" w:type="dxa"/>
            <w:tcBorders>
              <w:top w:val="single" w:sz="4" w:space="0" w:color="000000"/>
              <w:left w:val="single" w:sz="4" w:space="0" w:color="000000"/>
              <w:bottom w:val="single" w:sz="4" w:space="0" w:color="000000"/>
              <w:right w:val="single" w:sz="4" w:space="0" w:color="000000"/>
            </w:tcBorders>
            <w:vAlign w:val="center"/>
          </w:tcPr>
          <w:p w14:paraId="137E0BFD" w14:textId="77777777" w:rsidR="00676A9B" w:rsidRPr="00676A9B" w:rsidRDefault="00676A9B" w:rsidP="00676A9B">
            <w:pPr>
              <w:spacing w:after="0" w:line="240" w:lineRule="auto"/>
              <w:rPr>
                <w:rFonts w:ascii="Arial" w:eastAsia="Times New Roman" w:hAnsi="Arial" w:cs="Arial"/>
                <w:sz w:val="18"/>
                <w:szCs w:val="18"/>
                <w:lang w:eastAsia="en-US"/>
              </w:rPr>
            </w:pPr>
            <w:r w:rsidRPr="00676A9B">
              <w:rPr>
                <w:rFonts w:ascii="Arial" w:eastAsia="Times New Roman" w:hAnsi="Arial" w:cs="Arial"/>
                <w:sz w:val="18"/>
                <w:szCs w:val="18"/>
                <w:lang w:eastAsia="en-US"/>
              </w:rPr>
              <w:t>Povećan broj i kvaliteta opće-društveno korisnih realiziranih projekata neprofitnih organizacija od općinskog interesa koji promiču identitet Općine i po kojima se Općina prepoznaje, a koji nisu mogli biti planirani godišnjim planom.</w:t>
            </w:r>
          </w:p>
        </w:tc>
        <w:tc>
          <w:tcPr>
            <w:tcW w:w="3402" w:type="dxa"/>
            <w:tcBorders>
              <w:top w:val="single" w:sz="4" w:space="0" w:color="000000"/>
              <w:left w:val="single" w:sz="4" w:space="0" w:color="000000"/>
              <w:bottom w:val="single" w:sz="4" w:space="0" w:color="000000"/>
              <w:right w:val="single" w:sz="4" w:space="0" w:color="000000"/>
            </w:tcBorders>
            <w:vAlign w:val="center"/>
          </w:tcPr>
          <w:p w14:paraId="659EA05B" w14:textId="77777777" w:rsidR="00676A9B" w:rsidRPr="00676A9B" w:rsidRDefault="00676A9B" w:rsidP="00676A9B">
            <w:pPr>
              <w:spacing w:after="0" w:line="240" w:lineRule="auto"/>
              <w:rPr>
                <w:rFonts w:ascii="Arial" w:eastAsia="Times New Roman" w:hAnsi="Arial" w:cs="Arial"/>
                <w:sz w:val="18"/>
                <w:szCs w:val="18"/>
                <w:lang w:eastAsia="en-US"/>
              </w:rPr>
            </w:pPr>
            <w:r w:rsidRPr="00676A9B">
              <w:rPr>
                <w:rFonts w:ascii="Arial" w:eastAsia="Calibri" w:hAnsi="Arial" w:cs="Arial"/>
                <w:sz w:val="18"/>
                <w:szCs w:val="18"/>
                <w:lang w:eastAsia="en-US"/>
              </w:rPr>
              <w:t>Potpora realizaciji projekata neprofitnih organizacija koje mogu pridonijeti poboljšanju kvalitete života šire društvene zajednice Općine.</w:t>
            </w:r>
          </w:p>
        </w:tc>
        <w:tc>
          <w:tcPr>
            <w:tcW w:w="1559" w:type="dxa"/>
            <w:tcBorders>
              <w:top w:val="single" w:sz="4" w:space="0" w:color="000000"/>
              <w:left w:val="single" w:sz="4" w:space="0" w:color="000000"/>
              <w:bottom w:val="single" w:sz="4" w:space="0" w:color="000000"/>
              <w:right w:val="single" w:sz="4" w:space="0" w:color="000000"/>
            </w:tcBorders>
            <w:vAlign w:val="center"/>
          </w:tcPr>
          <w:p w14:paraId="117AACC9" w14:textId="77777777" w:rsidR="00676A9B" w:rsidRPr="00676A9B" w:rsidRDefault="00676A9B" w:rsidP="00676A9B">
            <w:pPr>
              <w:spacing w:after="0" w:line="240" w:lineRule="auto"/>
              <w:jc w:val="center"/>
              <w:rPr>
                <w:rFonts w:ascii="Arial" w:eastAsia="Times New Roman" w:hAnsi="Arial" w:cs="Arial"/>
                <w:sz w:val="18"/>
                <w:szCs w:val="18"/>
                <w:lang w:eastAsia="en-US"/>
              </w:rPr>
            </w:pPr>
            <w:r w:rsidRPr="00676A9B">
              <w:rPr>
                <w:rFonts w:ascii="Arial" w:eastAsia="Times New Roman" w:hAnsi="Arial" w:cs="Arial"/>
                <w:sz w:val="18"/>
                <w:szCs w:val="18"/>
                <w:lang w:eastAsia="en-US"/>
              </w:rPr>
              <w:t xml:space="preserve">Broj sponzoriranih udruga i broj tekućih donacija izravnom dodjelom </w:t>
            </w:r>
          </w:p>
        </w:tc>
        <w:tc>
          <w:tcPr>
            <w:tcW w:w="856" w:type="dxa"/>
            <w:tcBorders>
              <w:top w:val="single" w:sz="4" w:space="0" w:color="000000"/>
              <w:left w:val="single" w:sz="4" w:space="0" w:color="000000"/>
              <w:bottom w:val="single" w:sz="4" w:space="0" w:color="000000"/>
              <w:right w:val="single" w:sz="4" w:space="0" w:color="000000"/>
            </w:tcBorders>
            <w:vAlign w:val="center"/>
          </w:tcPr>
          <w:p w14:paraId="2A4359D0" w14:textId="77777777" w:rsidR="00676A9B" w:rsidRPr="00676A9B" w:rsidRDefault="00676A9B" w:rsidP="00676A9B">
            <w:pPr>
              <w:spacing w:after="0" w:line="240" w:lineRule="auto"/>
              <w:jc w:val="center"/>
              <w:rPr>
                <w:rFonts w:ascii="Arial" w:eastAsia="Times New Roman" w:hAnsi="Arial" w:cs="Arial"/>
                <w:sz w:val="18"/>
                <w:szCs w:val="18"/>
                <w:lang w:eastAsia="en-US"/>
              </w:rPr>
            </w:pPr>
            <w:r w:rsidRPr="00676A9B">
              <w:rPr>
                <w:rFonts w:ascii="Arial" w:eastAsia="Times New Roman" w:hAnsi="Arial" w:cs="Arial"/>
                <w:sz w:val="18"/>
                <w:szCs w:val="18"/>
                <w:lang w:eastAsia="en-US"/>
              </w:rPr>
              <w:t>Općina</w:t>
            </w:r>
          </w:p>
        </w:tc>
        <w:tc>
          <w:tcPr>
            <w:tcW w:w="1134" w:type="dxa"/>
            <w:tcBorders>
              <w:top w:val="single" w:sz="4" w:space="0" w:color="000000"/>
              <w:left w:val="single" w:sz="4" w:space="0" w:color="000000"/>
              <w:bottom w:val="single" w:sz="4" w:space="0" w:color="000000"/>
              <w:right w:val="single" w:sz="4" w:space="0" w:color="000000"/>
            </w:tcBorders>
            <w:vAlign w:val="center"/>
          </w:tcPr>
          <w:p w14:paraId="74D93C47" w14:textId="49A60FDC" w:rsidR="00676A9B" w:rsidRPr="00676A9B" w:rsidRDefault="00491345" w:rsidP="00676A9B">
            <w:pPr>
              <w:spacing w:after="0" w:line="240" w:lineRule="auto"/>
              <w:jc w:val="center"/>
              <w:rPr>
                <w:rFonts w:ascii="Arial" w:eastAsia="Times New Roman" w:hAnsi="Arial" w:cs="Arial"/>
                <w:sz w:val="18"/>
                <w:szCs w:val="18"/>
                <w:lang w:eastAsia="en-US"/>
              </w:rPr>
            </w:pPr>
            <w:r>
              <w:rPr>
                <w:rFonts w:ascii="Arial" w:eastAsia="Times New Roman" w:hAnsi="Arial" w:cs="Arial"/>
                <w:sz w:val="18"/>
                <w:szCs w:val="18"/>
                <w:lang w:eastAsia="en-US"/>
              </w:rPr>
              <w:t>30</w:t>
            </w:r>
          </w:p>
        </w:tc>
        <w:tc>
          <w:tcPr>
            <w:tcW w:w="992" w:type="dxa"/>
            <w:tcBorders>
              <w:top w:val="single" w:sz="4" w:space="0" w:color="000000"/>
              <w:left w:val="single" w:sz="4" w:space="0" w:color="000000"/>
              <w:bottom w:val="single" w:sz="4" w:space="0" w:color="000000"/>
              <w:right w:val="single" w:sz="4" w:space="0" w:color="000000"/>
            </w:tcBorders>
            <w:vAlign w:val="center"/>
          </w:tcPr>
          <w:p w14:paraId="4CEA6714" w14:textId="77777777" w:rsidR="00676A9B" w:rsidRPr="00676A9B" w:rsidRDefault="00676A9B" w:rsidP="00676A9B">
            <w:pPr>
              <w:spacing w:after="0" w:line="240" w:lineRule="auto"/>
              <w:jc w:val="center"/>
              <w:rPr>
                <w:rFonts w:ascii="Arial" w:eastAsia="Times New Roman" w:hAnsi="Arial" w:cs="Arial"/>
                <w:sz w:val="18"/>
                <w:szCs w:val="18"/>
                <w:lang w:eastAsia="en-US"/>
              </w:rPr>
            </w:pPr>
            <w:r w:rsidRPr="00676A9B">
              <w:rPr>
                <w:rFonts w:ascii="Arial" w:eastAsia="Times New Roman" w:hAnsi="Arial" w:cs="Arial"/>
                <w:sz w:val="18"/>
                <w:szCs w:val="18"/>
                <w:lang w:eastAsia="en-US"/>
              </w:rPr>
              <w:t>5</w:t>
            </w:r>
          </w:p>
        </w:tc>
        <w:tc>
          <w:tcPr>
            <w:tcW w:w="992" w:type="dxa"/>
            <w:tcBorders>
              <w:top w:val="single" w:sz="4" w:space="0" w:color="000000"/>
              <w:left w:val="single" w:sz="4" w:space="0" w:color="000000"/>
              <w:bottom w:val="single" w:sz="4" w:space="0" w:color="000000"/>
              <w:right w:val="single" w:sz="4" w:space="0" w:color="000000"/>
            </w:tcBorders>
            <w:vAlign w:val="center"/>
          </w:tcPr>
          <w:p w14:paraId="57814AB2" w14:textId="5396A0E1" w:rsidR="00676A9B" w:rsidRPr="00676A9B" w:rsidRDefault="00306333" w:rsidP="00676A9B">
            <w:pPr>
              <w:spacing w:after="0" w:line="240" w:lineRule="auto"/>
              <w:jc w:val="center"/>
              <w:rPr>
                <w:rFonts w:ascii="Arial" w:eastAsia="Times New Roman" w:hAnsi="Arial" w:cs="Arial"/>
                <w:sz w:val="18"/>
                <w:szCs w:val="18"/>
                <w:lang w:eastAsia="en-US"/>
              </w:rPr>
            </w:pPr>
            <w:r>
              <w:rPr>
                <w:rFonts w:ascii="Arial" w:eastAsia="Times New Roman" w:hAnsi="Arial" w:cs="Arial"/>
                <w:sz w:val="18"/>
                <w:szCs w:val="18"/>
                <w:lang w:eastAsia="en-US"/>
              </w:rPr>
              <w:t>23</w:t>
            </w:r>
          </w:p>
        </w:tc>
        <w:tc>
          <w:tcPr>
            <w:tcW w:w="992" w:type="dxa"/>
            <w:tcBorders>
              <w:top w:val="single" w:sz="4" w:space="0" w:color="000000"/>
              <w:left w:val="single" w:sz="4" w:space="0" w:color="000000"/>
              <w:bottom w:val="single" w:sz="4" w:space="0" w:color="000000"/>
              <w:right w:val="single" w:sz="4" w:space="0" w:color="000000"/>
            </w:tcBorders>
            <w:vAlign w:val="center"/>
          </w:tcPr>
          <w:p w14:paraId="161B861A" w14:textId="77777777" w:rsidR="00676A9B" w:rsidRPr="00676A9B" w:rsidRDefault="00676A9B" w:rsidP="00676A9B">
            <w:pPr>
              <w:spacing w:after="0" w:line="240" w:lineRule="auto"/>
              <w:jc w:val="center"/>
              <w:rPr>
                <w:rFonts w:ascii="Arial" w:eastAsia="Times New Roman" w:hAnsi="Arial" w:cs="Arial"/>
                <w:sz w:val="18"/>
                <w:szCs w:val="18"/>
                <w:lang w:eastAsia="en-US"/>
              </w:rPr>
            </w:pPr>
            <w:r w:rsidRPr="00676A9B">
              <w:rPr>
                <w:rFonts w:ascii="Arial" w:eastAsia="Times New Roman" w:hAnsi="Arial" w:cs="Arial"/>
                <w:sz w:val="18"/>
                <w:szCs w:val="18"/>
                <w:lang w:eastAsia="en-US"/>
              </w:rPr>
              <w:t>5</w:t>
            </w:r>
          </w:p>
        </w:tc>
        <w:tc>
          <w:tcPr>
            <w:tcW w:w="992" w:type="dxa"/>
            <w:tcBorders>
              <w:top w:val="single" w:sz="4" w:space="0" w:color="000000"/>
              <w:left w:val="single" w:sz="4" w:space="0" w:color="000000"/>
              <w:bottom w:val="single" w:sz="4" w:space="0" w:color="000000"/>
              <w:right w:val="single" w:sz="4" w:space="0" w:color="000000"/>
            </w:tcBorders>
            <w:vAlign w:val="center"/>
          </w:tcPr>
          <w:p w14:paraId="38F45B74" w14:textId="77777777" w:rsidR="00676A9B" w:rsidRPr="00676A9B" w:rsidRDefault="00676A9B" w:rsidP="00676A9B">
            <w:pPr>
              <w:spacing w:after="0" w:line="240" w:lineRule="auto"/>
              <w:jc w:val="center"/>
              <w:rPr>
                <w:rFonts w:ascii="Arial" w:eastAsia="Times New Roman" w:hAnsi="Arial" w:cs="Arial"/>
                <w:sz w:val="18"/>
                <w:szCs w:val="18"/>
                <w:lang w:eastAsia="en-US"/>
              </w:rPr>
            </w:pPr>
            <w:r w:rsidRPr="00676A9B">
              <w:rPr>
                <w:rFonts w:ascii="Arial" w:eastAsia="Times New Roman" w:hAnsi="Arial" w:cs="Arial"/>
                <w:sz w:val="18"/>
                <w:szCs w:val="18"/>
                <w:lang w:eastAsia="en-US"/>
              </w:rPr>
              <w:t>5</w:t>
            </w:r>
          </w:p>
        </w:tc>
      </w:tr>
    </w:tbl>
    <w:p w14:paraId="736DCE36"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568CD5C4" w14:textId="127DA7BC"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3. A202003: Obilježavanje blagdana i obljetnica, te manifestacije - </w:t>
      </w:r>
      <w:r w:rsidRPr="00676A9B">
        <w:rPr>
          <w:rFonts w:ascii="Arial" w:eastAsia="Calibri" w:hAnsi="Arial" w:cs="Arial"/>
          <w:sz w:val="20"/>
          <w:szCs w:val="20"/>
          <w:lang w:eastAsia="en-US"/>
        </w:rPr>
        <w:t xml:space="preserve">u sklopu navedene aktivnosti su rashodi za usluge promidžbe, reprezentaciju i ostale nespomenute rashode poslovanja. Sastavni dio ovih rashoda su rashodi za božićno novogodišnje blagdane. Ukupno planirana sredstva za navedene aktivnosti iznose </w:t>
      </w:r>
      <w:r w:rsidR="00306333">
        <w:rPr>
          <w:rFonts w:ascii="Arial" w:eastAsia="Calibri" w:hAnsi="Arial" w:cs="Arial"/>
          <w:sz w:val="20"/>
          <w:szCs w:val="20"/>
          <w:lang w:eastAsia="en-US"/>
        </w:rPr>
        <w:t>57.000</w:t>
      </w:r>
      <w:r w:rsidRPr="00676A9B">
        <w:rPr>
          <w:rFonts w:ascii="Arial" w:eastAsia="Calibri" w:hAnsi="Arial" w:cs="Arial"/>
          <w:sz w:val="20"/>
          <w:szCs w:val="20"/>
          <w:lang w:eastAsia="en-US"/>
        </w:rPr>
        <w:t xml:space="preserve"> €. Ovi rashodi se odnose na rashode za protokolarne obveze - polaganje vijenaca i svijeća povodom državnih praznika, proslavu božićnih i novogodišnjih blagdana i sl.</w:t>
      </w:r>
    </w:p>
    <w:p w14:paraId="73F1AC9F"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19784999"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Obilježavanje državnih blagdana obveza je temeljem Zakona, te se isti prigodno obilježavaju i u Općini. Obilježavanje svih državnih blagdana i spomendana u RH prigodnim polaganjem vijenaca za poginule kod spomen obilježja, kao i proslavom Božića i Nove Godine, posjeti ustanovama za djecu s poteškoćama, domovima za stare i nemoćne, dječjim vrtićima i drugim humanitarnim organizacijama, i dr.</w:t>
      </w:r>
    </w:p>
    <w:p w14:paraId="36AC338C" w14:textId="77777777" w:rsidR="00676A9B" w:rsidRPr="00DB4159" w:rsidRDefault="00676A9B" w:rsidP="00676A9B">
      <w:pPr>
        <w:autoSpaceDE w:val="0"/>
        <w:autoSpaceDN w:val="0"/>
        <w:adjustRightInd w:val="0"/>
        <w:spacing w:after="0" w:line="240" w:lineRule="auto"/>
        <w:jc w:val="both"/>
        <w:rPr>
          <w:rFonts w:ascii="Arial" w:eastAsia="Calibri" w:hAnsi="Arial" w:cs="Arial"/>
          <w:sz w:val="20"/>
          <w:szCs w:val="20"/>
        </w:rPr>
      </w:pPr>
    </w:p>
    <w:p w14:paraId="6E24EFC4" w14:textId="55E00939" w:rsidR="00E61752"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DB4159">
        <w:rPr>
          <w:rFonts w:ascii="Arial" w:eastAsia="Calibri" w:hAnsi="Arial" w:cs="Arial"/>
          <w:sz w:val="20"/>
          <w:szCs w:val="20"/>
        </w:rPr>
        <w:t xml:space="preserve">Rashodi su izvršeni u iznosu </w:t>
      </w:r>
      <w:r w:rsidR="00DB4159" w:rsidRPr="00DB4159">
        <w:rPr>
          <w:rFonts w:ascii="Arial" w:eastAsia="Calibri" w:hAnsi="Arial" w:cs="Arial"/>
          <w:sz w:val="20"/>
          <w:szCs w:val="20"/>
        </w:rPr>
        <w:t>54.591,26</w:t>
      </w:r>
      <w:r w:rsidRPr="00DB4159">
        <w:rPr>
          <w:rFonts w:ascii="Arial" w:eastAsia="Calibri" w:hAnsi="Arial" w:cs="Arial"/>
          <w:sz w:val="20"/>
          <w:szCs w:val="20"/>
        </w:rPr>
        <w:t xml:space="preserve"> € i odnose se na sudjelovanje i usluge cateringa za božićni domjenak </w:t>
      </w:r>
      <w:r w:rsidR="00DB4159" w:rsidRPr="00DB4159">
        <w:rPr>
          <w:rFonts w:ascii="Arial" w:eastAsia="Calibri" w:hAnsi="Arial" w:cs="Arial"/>
          <w:sz w:val="20"/>
          <w:szCs w:val="20"/>
        </w:rPr>
        <w:t>8.058,15</w:t>
      </w:r>
      <w:r w:rsidRPr="00DB4159">
        <w:rPr>
          <w:rFonts w:ascii="Arial" w:eastAsia="Calibri" w:hAnsi="Arial" w:cs="Arial"/>
          <w:sz w:val="20"/>
          <w:szCs w:val="20"/>
        </w:rPr>
        <w:t xml:space="preserve"> €, ručak umirovljenika </w:t>
      </w:r>
      <w:r w:rsidR="00DB4159" w:rsidRPr="00DB4159">
        <w:rPr>
          <w:rFonts w:ascii="Arial" w:eastAsia="Calibri" w:hAnsi="Arial" w:cs="Arial"/>
          <w:sz w:val="20"/>
          <w:szCs w:val="20"/>
        </w:rPr>
        <w:t>povodom Dana državnosti 2.560,13</w:t>
      </w:r>
      <w:r w:rsidRPr="00DB4159">
        <w:rPr>
          <w:rFonts w:ascii="Arial" w:eastAsia="Calibri" w:hAnsi="Arial" w:cs="Arial"/>
          <w:sz w:val="20"/>
          <w:szCs w:val="20"/>
        </w:rPr>
        <w:t xml:space="preserve"> €,</w:t>
      </w:r>
      <w:r w:rsidR="00530B0D">
        <w:rPr>
          <w:rFonts w:ascii="Arial" w:eastAsia="Calibri" w:hAnsi="Arial" w:cs="Arial"/>
          <w:sz w:val="20"/>
          <w:szCs w:val="20"/>
        </w:rPr>
        <w:t xml:space="preserve"> </w:t>
      </w:r>
      <w:r w:rsidRPr="00A36818">
        <w:rPr>
          <w:rFonts w:ascii="Arial" w:eastAsia="Calibri" w:hAnsi="Arial" w:cs="Arial"/>
          <w:sz w:val="20"/>
          <w:szCs w:val="20"/>
        </w:rPr>
        <w:t xml:space="preserve">najam razglasne i rasvjetne opreme za </w:t>
      </w:r>
      <w:r w:rsidR="00A36818" w:rsidRPr="00A36818">
        <w:rPr>
          <w:rFonts w:ascii="Arial" w:eastAsia="Calibri" w:hAnsi="Arial" w:cs="Arial"/>
          <w:sz w:val="20"/>
          <w:szCs w:val="20"/>
        </w:rPr>
        <w:t>doček nove godine Zvekovica 500</w:t>
      </w:r>
      <w:r w:rsidRPr="00A36818">
        <w:rPr>
          <w:rFonts w:ascii="Arial" w:eastAsia="Calibri" w:hAnsi="Arial" w:cs="Arial"/>
          <w:sz w:val="20"/>
          <w:szCs w:val="20"/>
        </w:rPr>
        <w:t xml:space="preserve"> €, najam razglasne opreme za </w:t>
      </w:r>
      <w:r w:rsidR="00A36818" w:rsidRPr="00A36818">
        <w:rPr>
          <w:rFonts w:ascii="Arial" w:eastAsia="Calibri" w:hAnsi="Arial" w:cs="Arial"/>
          <w:sz w:val="20"/>
          <w:szCs w:val="20"/>
        </w:rPr>
        <w:t>koncert za Dan državnosti 700 €</w:t>
      </w:r>
      <w:r w:rsidRPr="00A36818">
        <w:rPr>
          <w:rFonts w:ascii="Arial" w:eastAsia="Calibri" w:hAnsi="Arial" w:cs="Arial"/>
          <w:sz w:val="20"/>
          <w:szCs w:val="20"/>
        </w:rPr>
        <w:t xml:space="preserve">, </w:t>
      </w:r>
      <w:r w:rsidR="00A36818">
        <w:rPr>
          <w:rFonts w:ascii="Arial" w:eastAsia="Calibri" w:hAnsi="Arial" w:cs="Arial"/>
          <w:sz w:val="20"/>
          <w:szCs w:val="20"/>
        </w:rPr>
        <w:t xml:space="preserve">najam razglasne opreme za božićni domjenak 300 €, najam opreme za manifestaciju Mirisi Božića 3.800 €, </w:t>
      </w:r>
      <w:r w:rsidRPr="00263A51">
        <w:rPr>
          <w:rFonts w:ascii="Arial" w:eastAsia="Calibri" w:hAnsi="Arial" w:cs="Arial"/>
          <w:sz w:val="20"/>
          <w:szCs w:val="20"/>
        </w:rPr>
        <w:t>smještaj predavača</w:t>
      </w:r>
      <w:r w:rsidR="00263A51">
        <w:rPr>
          <w:rFonts w:ascii="Arial" w:eastAsia="Calibri" w:hAnsi="Arial" w:cs="Arial"/>
          <w:sz w:val="20"/>
          <w:szCs w:val="20"/>
        </w:rPr>
        <w:t xml:space="preserve"> panoptikuma, </w:t>
      </w:r>
      <w:r w:rsidR="003935B6">
        <w:rPr>
          <w:rFonts w:ascii="Arial" w:eastAsia="Calibri" w:hAnsi="Arial" w:cs="Arial"/>
          <w:sz w:val="20"/>
          <w:szCs w:val="20"/>
        </w:rPr>
        <w:t xml:space="preserve">smještaj </w:t>
      </w:r>
      <w:r w:rsidR="00263A51" w:rsidRPr="00263A51">
        <w:rPr>
          <w:rFonts w:ascii="Arial" w:eastAsia="Calibri" w:hAnsi="Arial" w:cs="Arial"/>
          <w:sz w:val="20"/>
          <w:szCs w:val="20"/>
        </w:rPr>
        <w:t>sudionika humanitarnog koncerta</w:t>
      </w:r>
      <w:r w:rsidR="00263A51">
        <w:rPr>
          <w:rFonts w:ascii="Arial" w:eastAsia="Calibri" w:hAnsi="Arial" w:cs="Arial"/>
          <w:sz w:val="20"/>
          <w:szCs w:val="20"/>
        </w:rPr>
        <w:t xml:space="preserve"> i sudaca</w:t>
      </w:r>
      <w:r w:rsidR="00A36818">
        <w:rPr>
          <w:rFonts w:ascii="Arial" w:eastAsia="Calibri" w:hAnsi="Arial" w:cs="Arial"/>
          <w:sz w:val="20"/>
          <w:szCs w:val="20"/>
        </w:rPr>
        <w:t xml:space="preserve"> 2.036,91 €</w:t>
      </w:r>
      <w:r w:rsidRPr="00263A51">
        <w:rPr>
          <w:rFonts w:ascii="Arial" w:eastAsia="Calibri" w:hAnsi="Arial" w:cs="Arial"/>
          <w:sz w:val="20"/>
          <w:szCs w:val="20"/>
        </w:rPr>
        <w:t xml:space="preserve"> (Jurica Galić</w:t>
      </w:r>
      <w:r w:rsidRPr="00DB4159">
        <w:rPr>
          <w:rFonts w:ascii="Arial" w:eastAsia="Calibri" w:hAnsi="Arial" w:cs="Arial"/>
          <w:color w:val="EE0000"/>
          <w:sz w:val="20"/>
          <w:szCs w:val="20"/>
        </w:rPr>
        <w:t>,</w:t>
      </w:r>
      <w:r w:rsidR="00263A51">
        <w:rPr>
          <w:rFonts w:ascii="Arial" w:eastAsia="Calibri" w:hAnsi="Arial" w:cs="Arial"/>
          <w:color w:val="EE0000"/>
          <w:sz w:val="20"/>
          <w:szCs w:val="20"/>
        </w:rPr>
        <w:t xml:space="preserve"> </w:t>
      </w:r>
      <w:r w:rsidR="00263A51" w:rsidRPr="00263A51">
        <w:rPr>
          <w:rFonts w:ascii="Arial" w:eastAsia="Calibri" w:hAnsi="Arial" w:cs="Arial"/>
          <w:sz w:val="20"/>
          <w:szCs w:val="20"/>
        </w:rPr>
        <w:t>Slavko Sakoman,</w:t>
      </w:r>
      <w:r w:rsidRPr="00263A51">
        <w:rPr>
          <w:rFonts w:ascii="Arial" w:eastAsia="Calibri" w:hAnsi="Arial" w:cs="Arial"/>
          <w:sz w:val="20"/>
          <w:szCs w:val="20"/>
        </w:rPr>
        <w:t xml:space="preserve"> Dean Kotiga</w:t>
      </w:r>
      <w:r w:rsidR="00263A51">
        <w:rPr>
          <w:rFonts w:ascii="Arial" w:eastAsia="Calibri" w:hAnsi="Arial" w:cs="Arial"/>
          <w:sz w:val="20"/>
          <w:szCs w:val="20"/>
        </w:rPr>
        <w:t xml:space="preserve">, 4 tenora, sva sudca turnira </w:t>
      </w:r>
      <w:r w:rsidR="00A36818">
        <w:rPr>
          <w:rFonts w:ascii="Arial" w:eastAsia="Calibri" w:hAnsi="Arial" w:cs="Arial"/>
          <w:sz w:val="20"/>
          <w:szCs w:val="20"/>
        </w:rPr>
        <w:t>konavoskih sela</w:t>
      </w:r>
      <w:r w:rsidRPr="00263A51">
        <w:rPr>
          <w:rFonts w:ascii="Arial" w:eastAsia="Calibri" w:hAnsi="Arial" w:cs="Arial"/>
          <w:sz w:val="20"/>
          <w:szCs w:val="20"/>
        </w:rPr>
        <w:t>)</w:t>
      </w:r>
      <w:r w:rsidR="00530B0D">
        <w:rPr>
          <w:rFonts w:ascii="Arial" w:eastAsia="Calibri" w:hAnsi="Arial" w:cs="Arial"/>
          <w:sz w:val="20"/>
          <w:szCs w:val="20"/>
        </w:rPr>
        <w:t xml:space="preserve">, </w:t>
      </w:r>
      <w:r w:rsidRPr="00F560CC">
        <w:rPr>
          <w:rFonts w:ascii="Arial" w:eastAsia="Calibri" w:hAnsi="Arial" w:cs="Arial"/>
          <w:sz w:val="20"/>
          <w:szCs w:val="20"/>
        </w:rPr>
        <w:t>autorsk</w:t>
      </w:r>
      <w:r w:rsidR="00F560CC" w:rsidRPr="00F560CC">
        <w:rPr>
          <w:rFonts w:ascii="Arial" w:eastAsia="Calibri" w:hAnsi="Arial" w:cs="Arial"/>
          <w:sz w:val="20"/>
          <w:szCs w:val="20"/>
        </w:rPr>
        <w:t>i</w:t>
      </w:r>
      <w:r w:rsidRPr="00F560CC">
        <w:rPr>
          <w:rFonts w:ascii="Arial" w:eastAsia="Calibri" w:hAnsi="Arial" w:cs="Arial"/>
          <w:sz w:val="20"/>
          <w:szCs w:val="20"/>
        </w:rPr>
        <w:t xml:space="preserve"> honorari u okviru organizacije Konavoskog panoptikuma (Dean Kotiga, Zlatko Brailo</w:t>
      </w:r>
      <w:r w:rsidR="00F560CC" w:rsidRPr="00F560CC">
        <w:rPr>
          <w:rFonts w:ascii="Arial" w:eastAsia="Calibri" w:hAnsi="Arial" w:cs="Arial"/>
          <w:sz w:val="20"/>
          <w:szCs w:val="20"/>
        </w:rPr>
        <w:t>, Tomislav Turković</w:t>
      </w:r>
      <w:r w:rsidRPr="00F560CC">
        <w:rPr>
          <w:rFonts w:ascii="Arial" w:eastAsia="Calibri" w:hAnsi="Arial" w:cs="Arial"/>
          <w:sz w:val="20"/>
          <w:szCs w:val="20"/>
        </w:rPr>
        <w:t>) 4.</w:t>
      </w:r>
      <w:r w:rsidR="00F560CC" w:rsidRPr="00F560CC">
        <w:rPr>
          <w:rFonts w:ascii="Arial" w:eastAsia="Calibri" w:hAnsi="Arial" w:cs="Arial"/>
          <w:sz w:val="20"/>
          <w:szCs w:val="20"/>
        </w:rPr>
        <w:t>233,79</w:t>
      </w:r>
      <w:r w:rsidRPr="00F560CC">
        <w:rPr>
          <w:rFonts w:ascii="Arial" w:eastAsia="Calibri" w:hAnsi="Arial" w:cs="Arial"/>
          <w:sz w:val="20"/>
          <w:szCs w:val="20"/>
        </w:rPr>
        <w:t xml:space="preserve"> €,</w:t>
      </w:r>
      <w:r w:rsidR="00530B0D">
        <w:rPr>
          <w:rFonts w:ascii="Arial" w:eastAsia="Calibri" w:hAnsi="Arial" w:cs="Arial"/>
          <w:sz w:val="20"/>
          <w:szCs w:val="20"/>
        </w:rPr>
        <w:t xml:space="preserve"> </w:t>
      </w:r>
      <w:r w:rsidR="00193B43">
        <w:rPr>
          <w:rFonts w:ascii="Arial" w:eastAsia="Calibri" w:hAnsi="Arial" w:cs="Arial"/>
          <w:sz w:val="20"/>
          <w:szCs w:val="20"/>
        </w:rPr>
        <w:t xml:space="preserve">zrakoplovni </w:t>
      </w:r>
      <w:r w:rsidR="00F560CC" w:rsidRPr="00193B43">
        <w:rPr>
          <w:rFonts w:ascii="Arial" w:eastAsia="Calibri" w:hAnsi="Arial" w:cs="Arial"/>
          <w:sz w:val="20"/>
          <w:szCs w:val="20"/>
        </w:rPr>
        <w:t>prijevoz predavačima</w:t>
      </w:r>
      <w:r w:rsidR="00193B43" w:rsidRPr="00193B43">
        <w:rPr>
          <w:rFonts w:ascii="Arial" w:eastAsia="Calibri" w:hAnsi="Arial" w:cs="Arial"/>
          <w:sz w:val="20"/>
          <w:szCs w:val="20"/>
        </w:rPr>
        <w:t xml:space="preserve"> 741,85 € (predavač na panoptikumu, predavač tribine o drogama i ovisnosti za učenike i roditelje, te autor monografije), </w:t>
      </w:r>
      <w:r w:rsidR="0096614C">
        <w:rPr>
          <w:rFonts w:ascii="Arial" w:eastAsia="Calibri" w:hAnsi="Arial" w:cs="Arial"/>
          <w:sz w:val="20"/>
          <w:szCs w:val="20"/>
        </w:rPr>
        <w:t>usluge reprezentacije za dječji zimski festival</w:t>
      </w:r>
      <w:r w:rsidR="008435EB">
        <w:rPr>
          <w:rFonts w:ascii="Arial" w:eastAsia="Calibri" w:hAnsi="Arial" w:cs="Arial"/>
          <w:sz w:val="20"/>
          <w:szCs w:val="20"/>
        </w:rPr>
        <w:t xml:space="preserve"> i predavače 884,80 €, plakati za izložbu panoptikuma Blago planine 75 €, oblikovanje promo materijala i praćenje manifestacije Mirisi Božića 3.397,70 € ,objava sjećanja 248,85 €,</w:t>
      </w:r>
      <w:r w:rsidR="00530B0D">
        <w:rPr>
          <w:rFonts w:ascii="Arial" w:eastAsia="Calibri" w:hAnsi="Arial" w:cs="Arial"/>
          <w:sz w:val="20"/>
          <w:szCs w:val="20"/>
        </w:rPr>
        <w:t xml:space="preserve"> </w:t>
      </w:r>
      <w:r w:rsidRPr="00193B43">
        <w:rPr>
          <w:rFonts w:ascii="Arial" w:eastAsia="Calibri" w:hAnsi="Arial" w:cs="Arial"/>
          <w:sz w:val="20"/>
          <w:szCs w:val="20"/>
        </w:rPr>
        <w:t xml:space="preserve">usluge transporta stolica i druge opreme </w:t>
      </w:r>
      <w:r w:rsidR="00193B43" w:rsidRPr="00193B43">
        <w:rPr>
          <w:rFonts w:ascii="Arial" w:eastAsia="Calibri" w:hAnsi="Arial" w:cs="Arial"/>
          <w:sz w:val="20"/>
          <w:szCs w:val="20"/>
        </w:rPr>
        <w:t>kod</w:t>
      </w:r>
      <w:r w:rsidRPr="00193B43">
        <w:rPr>
          <w:rFonts w:ascii="Arial" w:eastAsia="Calibri" w:hAnsi="Arial" w:cs="Arial"/>
          <w:sz w:val="20"/>
          <w:szCs w:val="20"/>
        </w:rPr>
        <w:t xml:space="preserve"> organizacije kulturnih priredbi </w:t>
      </w:r>
      <w:r w:rsidR="00193B43" w:rsidRPr="00193B43">
        <w:rPr>
          <w:rFonts w:ascii="Arial" w:eastAsia="Calibri" w:hAnsi="Arial" w:cs="Arial"/>
          <w:sz w:val="20"/>
          <w:szCs w:val="20"/>
        </w:rPr>
        <w:t>425</w:t>
      </w:r>
      <w:r w:rsidRPr="00193B43">
        <w:rPr>
          <w:rFonts w:ascii="Arial" w:eastAsia="Calibri" w:hAnsi="Arial" w:cs="Arial"/>
          <w:sz w:val="20"/>
          <w:szCs w:val="20"/>
        </w:rPr>
        <w:t xml:space="preserve"> €, </w:t>
      </w:r>
      <w:r w:rsidR="00DB4159" w:rsidRPr="00193B43">
        <w:rPr>
          <w:rFonts w:ascii="Arial" w:eastAsia="Calibri" w:hAnsi="Arial" w:cs="Arial"/>
          <w:sz w:val="20"/>
          <w:szCs w:val="20"/>
        </w:rPr>
        <w:t>usluge pripreme hrane za manifestaciju Mirisi Božića 2.800 €,</w:t>
      </w:r>
      <w:r w:rsidR="00D34D61" w:rsidRPr="00193B43">
        <w:rPr>
          <w:rFonts w:ascii="Arial" w:eastAsia="Calibri" w:hAnsi="Arial" w:cs="Arial"/>
          <w:sz w:val="20"/>
          <w:szCs w:val="20"/>
        </w:rPr>
        <w:t xml:space="preserve"> umjetnički nastup klape povodom Dana pobjede 6.302,04 €, </w:t>
      </w:r>
      <w:r w:rsidR="00E61752">
        <w:rPr>
          <w:rFonts w:ascii="Arial" w:eastAsia="Calibri" w:hAnsi="Arial" w:cs="Arial"/>
          <w:sz w:val="20"/>
          <w:szCs w:val="20"/>
          <w:lang w:eastAsia="en-US"/>
        </w:rPr>
        <w:t xml:space="preserve">naknada za glazbeno umjetnički program povodom Dana državnosti 5.000 €, </w:t>
      </w:r>
      <w:r w:rsidRPr="00193B43">
        <w:rPr>
          <w:rFonts w:ascii="Arial" w:eastAsia="Calibri" w:hAnsi="Arial" w:cs="Arial"/>
          <w:sz w:val="20"/>
          <w:szCs w:val="20"/>
        </w:rPr>
        <w:t>usluge kostimirane ture povijesne ličnosti povodom Adventa 1.000 €,</w:t>
      </w:r>
      <w:r w:rsidR="001E0EAC" w:rsidRPr="00193B43">
        <w:rPr>
          <w:rFonts w:ascii="Arial" w:eastAsia="Calibri" w:hAnsi="Arial" w:cs="Arial"/>
          <w:sz w:val="20"/>
          <w:szCs w:val="20"/>
        </w:rPr>
        <w:t xml:space="preserve"> zaštitarske usluge za Turnir konavoskih sela (mali nogomet</w:t>
      </w:r>
      <w:r w:rsidR="001E0EAC" w:rsidRPr="003F0196">
        <w:rPr>
          <w:rFonts w:ascii="Arial" w:eastAsia="Calibri" w:hAnsi="Arial" w:cs="Arial"/>
          <w:sz w:val="20"/>
          <w:szCs w:val="20"/>
        </w:rPr>
        <w:t xml:space="preserve">) 4.062,50 €, zaštitarske usluge povodom </w:t>
      </w:r>
      <w:r w:rsidR="001E0EAC">
        <w:rPr>
          <w:rFonts w:ascii="Arial" w:eastAsia="Calibri" w:hAnsi="Arial" w:cs="Arial"/>
          <w:sz w:val="20"/>
          <w:szCs w:val="20"/>
        </w:rPr>
        <w:t xml:space="preserve">Dana državnosti u Čilipima 850 €, naknada Hrvatskom društvu skladatelja </w:t>
      </w:r>
      <w:r w:rsidR="003935B6">
        <w:rPr>
          <w:rFonts w:ascii="Arial" w:eastAsia="Calibri" w:hAnsi="Arial" w:cs="Arial"/>
          <w:sz w:val="20"/>
          <w:szCs w:val="20"/>
        </w:rPr>
        <w:t xml:space="preserve">(ZAMP) </w:t>
      </w:r>
      <w:r w:rsidR="001E0EAC">
        <w:rPr>
          <w:rFonts w:ascii="Arial" w:eastAsia="Calibri" w:hAnsi="Arial" w:cs="Arial"/>
          <w:sz w:val="20"/>
          <w:szCs w:val="20"/>
        </w:rPr>
        <w:t xml:space="preserve">za djelomično humanitarni koncert 4 Tenora na Grudi 344,65 €, </w:t>
      </w:r>
      <w:r w:rsidR="003F0196">
        <w:rPr>
          <w:rFonts w:ascii="Arial" w:eastAsia="Calibri" w:hAnsi="Arial" w:cs="Arial"/>
          <w:sz w:val="20"/>
          <w:szCs w:val="20"/>
        </w:rPr>
        <w:t xml:space="preserve">snimanje i montaža video materijala javnog predavanja „Prilagodba klimatskim promjenama – Konavoski panoptikum“ 980 €, snimanje i fotografiranje predstavljanja monografije Vlaho Bukovac 1.000 €, </w:t>
      </w:r>
      <w:r w:rsidR="00E61752">
        <w:rPr>
          <w:rFonts w:ascii="Arial" w:eastAsia="Calibri" w:hAnsi="Arial" w:cs="Arial"/>
          <w:sz w:val="20"/>
          <w:szCs w:val="20"/>
        </w:rPr>
        <w:t xml:space="preserve">snimanje predstavljanja Konavala u časopisu Meridijani 500 €, </w:t>
      </w:r>
      <w:r w:rsidR="003F0196">
        <w:rPr>
          <w:rFonts w:ascii="Arial" w:eastAsia="Calibri" w:hAnsi="Arial" w:cs="Arial"/>
          <w:sz w:val="20"/>
          <w:szCs w:val="20"/>
        </w:rPr>
        <w:t>lampioni za obilježavanje dana sjećanja na žrtve Vukovara 1.500 €, materijal za uređenje prostora za susret klapa 1.267,84 €</w:t>
      </w:r>
      <w:r w:rsidR="001E5B4C">
        <w:rPr>
          <w:rFonts w:ascii="Arial" w:eastAsia="Calibri" w:hAnsi="Arial" w:cs="Arial"/>
          <w:sz w:val="20"/>
          <w:szCs w:val="20"/>
        </w:rPr>
        <w:t xml:space="preserve">, </w:t>
      </w:r>
      <w:r w:rsidR="00DA646E" w:rsidRPr="00DA646E">
        <w:rPr>
          <w:rFonts w:ascii="Arial" w:eastAsia="Calibri" w:hAnsi="Arial" w:cs="Arial"/>
          <w:sz w:val="20"/>
          <w:szCs w:val="20"/>
          <w:lang w:eastAsia="en-US"/>
        </w:rPr>
        <w:t>ugovor o djelu za izradu cvjetnih aranžmana tijekom godine</w:t>
      </w:r>
      <w:r w:rsidR="00DA646E">
        <w:rPr>
          <w:rFonts w:ascii="Arial" w:eastAsia="Calibri" w:hAnsi="Arial" w:cs="Arial"/>
          <w:sz w:val="20"/>
          <w:szCs w:val="20"/>
          <w:lang w:eastAsia="en-US"/>
        </w:rPr>
        <w:t xml:space="preserve"> i cvjetni aranžmani (potonuće broda Aurora, Daksa) 1.022,05 €</w:t>
      </w:r>
      <w:r w:rsidR="001E5B4C">
        <w:rPr>
          <w:rFonts w:ascii="Arial" w:eastAsia="Calibri" w:hAnsi="Arial" w:cs="Arial"/>
          <w:sz w:val="20"/>
          <w:szCs w:val="20"/>
          <w:lang w:eastAsia="en-US"/>
        </w:rPr>
        <w:t xml:space="preserve">. </w:t>
      </w:r>
    </w:p>
    <w:tbl>
      <w:tblPr>
        <w:tblW w:w="13765" w:type="dxa"/>
        <w:jc w:val="center"/>
        <w:tblLayout w:type="fixed"/>
        <w:tblLook w:val="04A0" w:firstRow="1" w:lastRow="0" w:firstColumn="1" w:lastColumn="0" w:noHBand="0" w:noVBand="1"/>
      </w:tblPr>
      <w:tblGrid>
        <w:gridCol w:w="2122"/>
        <w:gridCol w:w="2976"/>
        <w:gridCol w:w="1701"/>
        <w:gridCol w:w="2005"/>
        <w:gridCol w:w="992"/>
        <w:gridCol w:w="992"/>
        <w:gridCol w:w="993"/>
        <w:gridCol w:w="992"/>
        <w:gridCol w:w="992"/>
      </w:tblGrid>
      <w:tr w:rsidR="00676A9B" w:rsidRPr="00676A9B" w14:paraId="0EA6030E" w14:textId="77777777" w:rsidTr="00410A4B">
        <w:trPr>
          <w:trHeight w:val="617"/>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94B1664"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lastRenderedPageBreak/>
              <w:t>Pokazatelj rezultata</w:t>
            </w:r>
          </w:p>
        </w:tc>
        <w:tc>
          <w:tcPr>
            <w:tcW w:w="29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0A6D85D"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Definicija</w:t>
            </w:r>
          </w:p>
        </w:tc>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BC7400C"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Jedinica</w:t>
            </w:r>
          </w:p>
        </w:tc>
        <w:tc>
          <w:tcPr>
            <w:tcW w:w="20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5F10B84"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Izvor podataka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B5383DF" w14:textId="2022FBFB"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Polazna vrijednost 202</w:t>
            </w:r>
            <w:r w:rsidR="001E5B4C">
              <w:rPr>
                <w:rFonts w:ascii="Arial" w:eastAsia="Calibri" w:hAnsi="Arial" w:cs="Arial"/>
                <w:sz w:val="18"/>
                <w:szCs w:val="18"/>
                <w:lang w:eastAsia="en-US"/>
              </w:rPr>
              <w:t>4</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DF6CF57" w14:textId="4D296D7B"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1E5B4C">
              <w:rPr>
                <w:rFonts w:ascii="Arial" w:eastAsia="Calibri" w:hAnsi="Arial" w:cs="Arial"/>
                <w:sz w:val="18"/>
                <w:szCs w:val="18"/>
                <w:lang w:eastAsia="en-US"/>
              </w:rPr>
              <w:t>5</w:t>
            </w:r>
            <w:r w:rsidRPr="00676A9B">
              <w:rPr>
                <w:rFonts w:ascii="Arial" w:eastAsia="Calibri" w:hAnsi="Arial" w:cs="Arial"/>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07D0177" w14:textId="1A108DA1"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Izvršeno 202</w:t>
            </w:r>
            <w:r w:rsidR="001E5B4C">
              <w:rPr>
                <w:rFonts w:ascii="Arial" w:eastAsia="Calibri" w:hAnsi="Arial" w:cs="Arial"/>
                <w:sz w:val="18"/>
                <w:szCs w:val="18"/>
                <w:lang w:eastAsia="en-US"/>
              </w:rPr>
              <w:t>5</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6AE094D" w14:textId="50A5F548"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1E5B4C">
              <w:rPr>
                <w:rFonts w:ascii="Arial" w:eastAsia="Calibri" w:hAnsi="Arial" w:cs="Arial"/>
                <w:sz w:val="18"/>
                <w:szCs w:val="18"/>
                <w:lang w:eastAsia="en-US"/>
              </w:rPr>
              <w:t>6</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DA784FF" w14:textId="19600E58"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1E5B4C">
              <w:rPr>
                <w:rFonts w:ascii="Arial" w:eastAsia="Calibri" w:hAnsi="Arial" w:cs="Arial"/>
                <w:sz w:val="18"/>
                <w:szCs w:val="18"/>
                <w:lang w:eastAsia="en-US"/>
              </w:rPr>
              <w:t>7</w:t>
            </w:r>
            <w:r w:rsidRPr="00676A9B">
              <w:rPr>
                <w:rFonts w:ascii="Arial" w:eastAsia="Calibri" w:hAnsi="Arial" w:cs="Arial"/>
                <w:sz w:val="18"/>
                <w:szCs w:val="18"/>
                <w:lang w:eastAsia="en-US"/>
              </w:rPr>
              <w:t>.</w:t>
            </w:r>
          </w:p>
        </w:tc>
      </w:tr>
      <w:tr w:rsidR="00676A9B" w:rsidRPr="00676A9B" w14:paraId="2E1C1690" w14:textId="77777777" w:rsidTr="00410A4B">
        <w:trPr>
          <w:trHeight w:val="617"/>
          <w:jc w:val="center"/>
        </w:trPr>
        <w:tc>
          <w:tcPr>
            <w:tcW w:w="2122" w:type="dxa"/>
            <w:tcBorders>
              <w:top w:val="single" w:sz="4" w:space="0" w:color="000000"/>
              <w:left w:val="single" w:sz="4" w:space="0" w:color="000000"/>
              <w:bottom w:val="single" w:sz="4" w:space="0" w:color="000000"/>
              <w:right w:val="single" w:sz="4" w:space="0" w:color="000000"/>
            </w:tcBorders>
            <w:vAlign w:val="center"/>
          </w:tcPr>
          <w:p w14:paraId="11CFF074" w14:textId="77777777" w:rsidR="00676A9B" w:rsidRPr="00676A9B" w:rsidRDefault="00676A9B" w:rsidP="00676A9B">
            <w:pPr>
              <w:spacing w:after="0" w:line="240" w:lineRule="auto"/>
              <w:rPr>
                <w:rFonts w:ascii="Arial" w:eastAsia="Times New Roman" w:hAnsi="Arial" w:cs="Arial"/>
                <w:sz w:val="20"/>
                <w:szCs w:val="20"/>
                <w:lang w:eastAsia="en-US"/>
              </w:rPr>
            </w:pPr>
            <w:r w:rsidRPr="00676A9B">
              <w:rPr>
                <w:rFonts w:ascii="Arial" w:eastAsia="Calibri" w:hAnsi="Arial" w:cs="Arial"/>
                <w:sz w:val="20"/>
                <w:szCs w:val="20"/>
                <w:lang w:eastAsia="en-US"/>
              </w:rPr>
              <w:t>Obilježavanje državnih blagdana, spomendana u RH</w:t>
            </w:r>
          </w:p>
        </w:tc>
        <w:tc>
          <w:tcPr>
            <w:tcW w:w="2976" w:type="dxa"/>
            <w:tcBorders>
              <w:top w:val="single" w:sz="4" w:space="0" w:color="000000"/>
              <w:left w:val="single" w:sz="4" w:space="0" w:color="000000"/>
              <w:bottom w:val="single" w:sz="4" w:space="0" w:color="000000"/>
              <w:right w:val="single" w:sz="4" w:space="0" w:color="000000"/>
            </w:tcBorders>
            <w:vAlign w:val="center"/>
          </w:tcPr>
          <w:p w14:paraId="714846BD" w14:textId="77777777" w:rsidR="00676A9B" w:rsidRPr="00676A9B" w:rsidRDefault="00676A9B" w:rsidP="00676A9B">
            <w:pPr>
              <w:spacing w:after="0" w:line="240" w:lineRule="auto"/>
              <w:rPr>
                <w:rFonts w:ascii="Arial" w:eastAsia="Times New Roman" w:hAnsi="Arial" w:cs="Arial"/>
                <w:sz w:val="20"/>
                <w:szCs w:val="20"/>
                <w:lang w:eastAsia="en-US"/>
              </w:rPr>
            </w:pPr>
            <w:r w:rsidRPr="00676A9B">
              <w:rPr>
                <w:rFonts w:ascii="Arial" w:eastAsia="Calibri" w:hAnsi="Arial" w:cs="Arial"/>
                <w:sz w:val="20"/>
                <w:szCs w:val="20"/>
                <w:lang w:eastAsia="en-US"/>
              </w:rPr>
              <w:t>Obilježavanje proslave državnih blagdana organizirano je po predviđenom planu uz sudjelovanje čelnika Općine</w:t>
            </w:r>
          </w:p>
        </w:tc>
        <w:tc>
          <w:tcPr>
            <w:tcW w:w="1701" w:type="dxa"/>
            <w:tcBorders>
              <w:top w:val="single" w:sz="4" w:space="0" w:color="000000"/>
              <w:left w:val="single" w:sz="4" w:space="0" w:color="000000"/>
              <w:bottom w:val="single" w:sz="4" w:space="0" w:color="000000"/>
              <w:right w:val="single" w:sz="4" w:space="0" w:color="000000"/>
            </w:tcBorders>
            <w:vAlign w:val="center"/>
          </w:tcPr>
          <w:p w14:paraId="7CCEAE21" w14:textId="77777777" w:rsidR="00676A9B" w:rsidRPr="00676A9B" w:rsidRDefault="00676A9B" w:rsidP="00676A9B">
            <w:pPr>
              <w:spacing w:after="0" w:line="240" w:lineRule="auto"/>
              <w:jc w:val="center"/>
              <w:rPr>
                <w:rFonts w:ascii="Arial" w:eastAsia="Times New Roman" w:hAnsi="Arial" w:cs="Arial"/>
                <w:sz w:val="20"/>
                <w:szCs w:val="20"/>
                <w:lang w:eastAsia="en-US"/>
              </w:rPr>
            </w:pPr>
            <w:r w:rsidRPr="00676A9B">
              <w:rPr>
                <w:rFonts w:ascii="Arial" w:eastAsia="Calibri" w:hAnsi="Arial" w:cs="Arial"/>
                <w:sz w:val="20"/>
                <w:szCs w:val="20"/>
                <w:lang w:eastAsia="en-US"/>
              </w:rPr>
              <w:t>Broj blagdana i spomendana</w:t>
            </w:r>
          </w:p>
        </w:tc>
        <w:tc>
          <w:tcPr>
            <w:tcW w:w="2005" w:type="dxa"/>
            <w:tcBorders>
              <w:top w:val="single" w:sz="4" w:space="0" w:color="000000"/>
              <w:left w:val="single" w:sz="4" w:space="0" w:color="000000"/>
              <w:bottom w:val="single" w:sz="4" w:space="0" w:color="000000"/>
              <w:right w:val="single" w:sz="4" w:space="0" w:color="000000"/>
            </w:tcBorders>
            <w:vAlign w:val="center"/>
          </w:tcPr>
          <w:p w14:paraId="1FFB105E" w14:textId="77777777" w:rsidR="00676A9B" w:rsidRPr="00676A9B" w:rsidRDefault="00676A9B" w:rsidP="00676A9B">
            <w:pPr>
              <w:spacing w:after="0" w:line="240" w:lineRule="auto"/>
              <w:jc w:val="center"/>
              <w:rPr>
                <w:rFonts w:ascii="Arial" w:eastAsia="Times New Roman" w:hAnsi="Arial" w:cs="Arial"/>
                <w:sz w:val="18"/>
                <w:szCs w:val="18"/>
                <w:lang w:eastAsia="en-US"/>
              </w:rPr>
            </w:pPr>
            <w:r w:rsidRPr="00676A9B">
              <w:rPr>
                <w:rFonts w:ascii="Arial" w:eastAsia="Calibri" w:hAnsi="Arial" w:cs="Arial"/>
                <w:sz w:val="18"/>
                <w:szCs w:val="18"/>
                <w:lang w:eastAsia="en-US"/>
              </w:rPr>
              <w:t>Zakon o blagdanima, spomendanima i neradnim danima u RH</w:t>
            </w:r>
            <w:r w:rsidRPr="00676A9B">
              <w:rPr>
                <w:rFonts w:ascii="Arial" w:eastAsia="Times New Roman" w:hAnsi="Arial" w:cs="Arial"/>
                <w:sz w:val="18"/>
                <w:szCs w:val="18"/>
                <w:lang w:eastAsia="en-US"/>
              </w:rPr>
              <w:t>, Pravilnik o protokolu Općine Sl.gl. 10/10</w:t>
            </w:r>
          </w:p>
        </w:tc>
        <w:tc>
          <w:tcPr>
            <w:tcW w:w="992" w:type="dxa"/>
            <w:tcBorders>
              <w:top w:val="single" w:sz="4" w:space="0" w:color="000000"/>
              <w:left w:val="single" w:sz="4" w:space="0" w:color="000000"/>
              <w:bottom w:val="single" w:sz="4" w:space="0" w:color="000000"/>
              <w:right w:val="single" w:sz="4" w:space="0" w:color="000000"/>
            </w:tcBorders>
            <w:vAlign w:val="center"/>
          </w:tcPr>
          <w:p w14:paraId="7DAF9AAB" w14:textId="77777777" w:rsidR="00676A9B" w:rsidRPr="00676A9B" w:rsidRDefault="00676A9B" w:rsidP="00676A9B">
            <w:pPr>
              <w:spacing w:after="0" w:line="240" w:lineRule="auto"/>
              <w:jc w:val="center"/>
              <w:rPr>
                <w:rFonts w:ascii="Arial" w:eastAsia="Times New Roman" w:hAnsi="Arial" w:cs="Arial"/>
                <w:sz w:val="20"/>
                <w:szCs w:val="20"/>
                <w:lang w:eastAsia="en-US"/>
              </w:rPr>
            </w:pPr>
            <w:r w:rsidRPr="00676A9B">
              <w:rPr>
                <w:rFonts w:ascii="Arial" w:eastAsia="Times New Roman" w:hAnsi="Arial" w:cs="Arial"/>
                <w:sz w:val="20"/>
                <w:szCs w:val="20"/>
                <w:lang w:eastAsia="en-US"/>
              </w:rPr>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54CD9EFC" w14:textId="77777777" w:rsidR="00676A9B" w:rsidRPr="00676A9B" w:rsidRDefault="00676A9B" w:rsidP="00676A9B">
            <w:pPr>
              <w:spacing w:after="0" w:line="240" w:lineRule="auto"/>
              <w:jc w:val="center"/>
              <w:rPr>
                <w:rFonts w:ascii="Arial" w:eastAsia="Times New Roman" w:hAnsi="Arial" w:cs="Arial"/>
                <w:sz w:val="20"/>
                <w:szCs w:val="20"/>
                <w:lang w:eastAsia="en-US"/>
              </w:rPr>
            </w:pPr>
            <w:r w:rsidRPr="00676A9B">
              <w:rPr>
                <w:rFonts w:ascii="Arial" w:eastAsia="Times New Roman" w:hAnsi="Arial" w:cs="Arial"/>
                <w:sz w:val="20"/>
                <w:szCs w:val="20"/>
                <w:lang w:eastAsia="en-US"/>
              </w:rPr>
              <w:t>14</w:t>
            </w:r>
          </w:p>
        </w:tc>
        <w:tc>
          <w:tcPr>
            <w:tcW w:w="993" w:type="dxa"/>
            <w:tcBorders>
              <w:top w:val="single" w:sz="4" w:space="0" w:color="000000"/>
              <w:left w:val="single" w:sz="4" w:space="0" w:color="000000"/>
              <w:bottom w:val="single" w:sz="4" w:space="0" w:color="000000"/>
              <w:right w:val="single" w:sz="4" w:space="0" w:color="000000"/>
            </w:tcBorders>
            <w:vAlign w:val="center"/>
          </w:tcPr>
          <w:p w14:paraId="6F5915F7" w14:textId="77777777" w:rsidR="00676A9B" w:rsidRPr="00676A9B" w:rsidRDefault="00676A9B" w:rsidP="00676A9B">
            <w:pPr>
              <w:spacing w:after="0" w:line="240" w:lineRule="auto"/>
              <w:jc w:val="center"/>
              <w:rPr>
                <w:rFonts w:ascii="Arial" w:eastAsia="Times New Roman" w:hAnsi="Arial" w:cs="Arial"/>
                <w:sz w:val="20"/>
                <w:szCs w:val="20"/>
                <w:lang w:eastAsia="en-US"/>
              </w:rPr>
            </w:pPr>
            <w:r w:rsidRPr="00676A9B">
              <w:rPr>
                <w:rFonts w:ascii="Arial" w:eastAsia="Times New Roman" w:hAnsi="Arial" w:cs="Arial"/>
                <w:sz w:val="20"/>
                <w:szCs w:val="20"/>
                <w:lang w:eastAsia="en-US"/>
              </w:rPr>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47AC9E90" w14:textId="77777777" w:rsidR="00676A9B" w:rsidRPr="00676A9B" w:rsidRDefault="00676A9B" w:rsidP="00676A9B">
            <w:pPr>
              <w:spacing w:after="0" w:line="240" w:lineRule="auto"/>
              <w:jc w:val="center"/>
              <w:rPr>
                <w:rFonts w:ascii="Arial" w:eastAsia="Times New Roman" w:hAnsi="Arial" w:cs="Arial"/>
                <w:sz w:val="20"/>
                <w:szCs w:val="20"/>
                <w:lang w:eastAsia="en-US"/>
              </w:rPr>
            </w:pPr>
            <w:r w:rsidRPr="00676A9B">
              <w:rPr>
                <w:rFonts w:ascii="Arial" w:eastAsia="Times New Roman" w:hAnsi="Arial" w:cs="Arial"/>
                <w:sz w:val="20"/>
                <w:szCs w:val="20"/>
                <w:lang w:eastAsia="en-US"/>
              </w:rPr>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444BE1A4" w14:textId="77777777" w:rsidR="00676A9B" w:rsidRPr="00676A9B" w:rsidRDefault="00676A9B" w:rsidP="00676A9B">
            <w:pPr>
              <w:spacing w:after="0" w:line="240" w:lineRule="auto"/>
              <w:jc w:val="center"/>
              <w:rPr>
                <w:rFonts w:ascii="Arial" w:eastAsia="Times New Roman" w:hAnsi="Arial" w:cs="Arial"/>
                <w:sz w:val="20"/>
                <w:szCs w:val="20"/>
                <w:lang w:eastAsia="en-US"/>
              </w:rPr>
            </w:pPr>
            <w:r w:rsidRPr="00676A9B">
              <w:rPr>
                <w:rFonts w:ascii="Arial" w:eastAsia="Times New Roman" w:hAnsi="Arial" w:cs="Arial"/>
                <w:sz w:val="20"/>
                <w:szCs w:val="20"/>
                <w:lang w:eastAsia="en-US"/>
              </w:rPr>
              <w:t>14</w:t>
            </w:r>
          </w:p>
        </w:tc>
      </w:tr>
    </w:tbl>
    <w:p w14:paraId="069A5ED1" w14:textId="77777777" w:rsidR="00676A9B" w:rsidRPr="00C901A8" w:rsidRDefault="00676A9B" w:rsidP="00676A9B">
      <w:pPr>
        <w:autoSpaceDE w:val="0"/>
        <w:autoSpaceDN w:val="0"/>
        <w:adjustRightInd w:val="0"/>
        <w:spacing w:after="0" w:line="240" w:lineRule="auto"/>
        <w:jc w:val="both"/>
        <w:rPr>
          <w:rFonts w:ascii="Arial" w:eastAsia="Calibri" w:hAnsi="Arial" w:cs="Arial"/>
          <w:sz w:val="20"/>
          <w:szCs w:val="20"/>
        </w:rPr>
      </w:pPr>
    </w:p>
    <w:p w14:paraId="6B343CDC" w14:textId="64738C6C" w:rsidR="00676A9B" w:rsidRPr="00C901A8"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C901A8">
        <w:rPr>
          <w:rFonts w:ascii="Arial" w:eastAsia="Calibri" w:hAnsi="Arial" w:cs="Arial"/>
          <w:b/>
          <w:sz w:val="20"/>
          <w:szCs w:val="20"/>
          <w:lang w:eastAsia="en-US"/>
        </w:rPr>
        <w:t xml:space="preserve">4. A202004: Obilježavanje Dana Općine - </w:t>
      </w:r>
      <w:r w:rsidRPr="00C901A8">
        <w:rPr>
          <w:rFonts w:ascii="Arial" w:eastAsia="Calibri" w:hAnsi="Arial" w:cs="Arial"/>
          <w:sz w:val="20"/>
          <w:szCs w:val="20"/>
          <w:lang w:eastAsia="en-US"/>
        </w:rPr>
        <w:t xml:space="preserve">u sklopu navedene aktivnosti su rashodi za obilježavanje Dana Općine Konavle (21. listopada). Ukupno planirana sredstva za navedene aktivnosti iznose </w:t>
      </w:r>
      <w:r w:rsidR="00C901A8" w:rsidRPr="00C901A8">
        <w:rPr>
          <w:rFonts w:ascii="Arial" w:eastAsia="Calibri" w:hAnsi="Arial" w:cs="Arial"/>
          <w:sz w:val="20"/>
          <w:szCs w:val="20"/>
          <w:lang w:eastAsia="en-US"/>
        </w:rPr>
        <w:t>31.000</w:t>
      </w:r>
      <w:r w:rsidRPr="00C901A8">
        <w:rPr>
          <w:rFonts w:ascii="Arial" w:eastAsia="Calibri" w:hAnsi="Arial" w:cs="Arial"/>
          <w:sz w:val="20"/>
          <w:szCs w:val="20"/>
          <w:lang w:eastAsia="en-US"/>
        </w:rPr>
        <w:t xml:space="preserve"> €. Uobičajeno se rashodi odnose na usluge reprezentacije za uzvanike svečane sjednice i pripadnike brigada koje su sudjelovale u oslobođenju Konavala, pogrebne vijence, aranžmane i cvijeće za Dan Općine, objavu poziva za dostavu poziva za predlaganje kandidata za dodjelu javnih priznanja, te umjetnički nastup – mirozov za Dan Općine. </w:t>
      </w:r>
    </w:p>
    <w:p w14:paraId="4E0FA1F5" w14:textId="77777777" w:rsidR="00676A9B" w:rsidRPr="00C901A8"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48C50C58" w14:textId="3CA13337" w:rsidR="00676A9B" w:rsidRPr="005C464B" w:rsidRDefault="00676A9B" w:rsidP="00676A9B">
      <w:pPr>
        <w:autoSpaceDE w:val="0"/>
        <w:autoSpaceDN w:val="0"/>
        <w:adjustRightInd w:val="0"/>
        <w:spacing w:after="0" w:line="240" w:lineRule="auto"/>
        <w:jc w:val="both"/>
        <w:rPr>
          <w:rFonts w:ascii="Arial" w:eastAsia="Calibri" w:hAnsi="Arial" w:cs="Arial"/>
          <w:sz w:val="20"/>
          <w:szCs w:val="20"/>
        </w:rPr>
      </w:pPr>
      <w:r w:rsidRPr="005C464B">
        <w:rPr>
          <w:rFonts w:ascii="Arial" w:eastAsia="Calibri" w:hAnsi="Arial" w:cs="Arial"/>
          <w:sz w:val="20"/>
          <w:szCs w:val="20"/>
        </w:rPr>
        <w:t>U tekućoj 202</w:t>
      </w:r>
      <w:r w:rsidR="00C901A8" w:rsidRPr="005C464B">
        <w:rPr>
          <w:rFonts w:ascii="Arial" w:eastAsia="Calibri" w:hAnsi="Arial" w:cs="Arial"/>
          <w:sz w:val="20"/>
          <w:szCs w:val="20"/>
        </w:rPr>
        <w:t>5</w:t>
      </w:r>
      <w:r w:rsidRPr="005C464B">
        <w:rPr>
          <w:rFonts w:ascii="Arial" w:eastAsia="Calibri" w:hAnsi="Arial" w:cs="Arial"/>
          <w:sz w:val="20"/>
          <w:szCs w:val="20"/>
        </w:rPr>
        <w:t xml:space="preserve">. godini ovi rashodi su izvršeni u iznosu </w:t>
      </w:r>
      <w:r w:rsidR="00C901A8" w:rsidRPr="005C464B">
        <w:rPr>
          <w:rFonts w:ascii="Arial" w:eastAsia="Calibri" w:hAnsi="Arial" w:cs="Arial"/>
          <w:sz w:val="20"/>
          <w:szCs w:val="20"/>
        </w:rPr>
        <w:t>17.852,64</w:t>
      </w:r>
      <w:r w:rsidRPr="005C464B">
        <w:rPr>
          <w:rFonts w:ascii="Arial" w:eastAsia="Calibri" w:hAnsi="Arial" w:cs="Arial"/>
          <w:sz w:val="20"/>
          <w:szCs w:val="20"/>
        </w:rPr>
        <w:t xml:space="preserve"> €. Izvršeni rashodi se odnose na najam ozvučenja i razglasa za svečanu sjednicu u </w:t>
      </w:r>
      <w:r w:rsidR="003935B6" w:rsidRPr="005C464B">
        <w:rPr>
          <w:rFonts w:ascii="Arial" w:eastAsia="Calibri" w:hAnsi="Arial" w:cs="Arial"/>
          <w:sz w:val="20"/>
          <w:szCs w:val="20"/>
        </w:rPr>
        <w:t>sam</w:t>
      </w:r>
      <w:r w:rsidR="005C464B">
        <w:rPr>
          <w:rFonts w:ascii="Arial" w:eastAsia="Calibri" w:hAnsi="Arial" w:cs="Arial"/>
          <w:sz w:val="20"/>
          <w:szCs w:val="20"/>
        </w:rPr>
        <w:t>o</w:t>
      </w:r>
      <w:r w:rsidR="003935B6" w:rsidRPr="005C464B">
        <w:rPr>
          <w:rFonts w:ascii="Arial" w:eastAsia="Calibri" w:hAnsi="Arial" w:cs="Arial"/>
          <w:sz w:val="20"/>
          <w:szCs w:val="20"/>
        </w:rPr>
        <w:t xml:space="preserve">stanu </w:t>
      </w:r>
      <w:r w:rsidRPr="005C464B">
        <w:rPr>
          <w:rFonts w:ascii="Arial" w:eastAsia="Calibri" w:hAnsi="Arial" w:cs="Arial"/>
          <w:sz w:val="20"/>
          <w:szCs w:val="20"/>
        </w:rPr>
        <w:t xml:space="preserve">u iznosu </w:t>
      </w:r>
      <w:r w:rsidR="00D66F7E" w:rsidRPr="005C464B">
        <w:rPr>
          <w:rFonts w:ascii="Arial" w:eastAsia="Calibri" w:hAnsi="Arial" w:cs="Arial"/>
          <w:sz w:val="20"/>
          <w:szCs w:val="20"/>
        </w:rPr>
        <w:t>400</w:t>
      </w:r>
      <w:r w:rsidRPr="005C464B">
        <w:rPr>
          <w:rFonts w:ascii="Arial" w:eastAsia="Calibri" w:hAnsi="Arial" w:cs="Arial"/>
          <w:sz w:val="20"/>
          <w:szCs w:val="20"/>
        </w:rPr>
        <w:t xml:space="preserve"> €, usluge reprezentacije tijekom mjeseca listopada 202</w:t>
      </w:r>
      <w:r w:rsidR="00C901A8" w:rsidRPr="005C464B">
        <w:rPr>
          <w:rFonts w:ascii="Arial" w:eastAsia="Calibri" w:hAnsi="Arial" w:cs="Arial"/>
          <w:sz w:val="20"/>
          <w:szCs w:val="20"/>
        </w:rPr>
        <w:t>5</w:t>
      </w:r>
      <w:r w:rsidRPr="005C464B">
        <w:rPr>
          <w:rFonts w:ascii="Arial" w:eastAsia="Calibri" w:hAnsi="Arial" w:cs="Arial"/>
          <w:sz w:val="20"/>
          <w:szCs w:val="20"/>
        </w:rPr>
        <w:t xml:space="preserve">. u okviru programa obilježavanja Dana Općine i na dan Općine </w:t>
      </w:r>
      <w:r w:rsidR="00D66F7E" w:rsidRPr="005C464B">
        <w:rPr>
          <w:rFonts w:ascii="Arial" w:eastAsia="Calibri" w:hAnsi="Arial" w:cs="Arial"/>
          <w:sz w:val="20"/>
          <w:szCs w:val="20"/>
        </w:rPr>
        <w:t>11.790,03</w:t>
      </w:r>
      <w:r w:rsidRPr="005C464B">
        <w:rPr>
          <w:rFonts w:ascii="Arial" w:eastAsia="Calibri" w:hAnsi="Arial" w:cs="Arial"/>
          <w:sz w:val="20"/>
          <w:szCs w:val="20"/>
        </w:rPr>
        <w:t xml:space="preserve"> €, usluge vođenja svečane sjednice</w:t>
      </w:r>
      <w:r w:rsidR="003935B6" w:rsidRPr="005C464B">
        <w:rPr>
          <w:rFonts w:ascii="Arial" w:eastAsia="Calibri" w:hAnsi="Arial" w:cs="Arial"/>
          <w:sz w:val="20"/>
          <w:szCs w:val="20"/>
        </w:rPr>
        <w:t xml:space="preserve"> 327,27 €</w:t>
      </w:r>
      <w:r w:rsidRPr="005C464B">
        <w:rPr>
          <w:rFonts w:ascii="Arial" w:eastAsia="Calibri" w:hAnsi="Arial" w:cs="Arial"/>
          <w:sz w:val="20"/>
          <w:szCs w:val="20"/>
        </w:rPr>
        <w:t xml:space="preserve">, usluge uređenja dvorane </w:t>
      </w:r>
      <w:r w:rsidR="003935B6" w:rsidRPr="005C464B">
        <w:rPr>
          <w:rFonts w:ascii="Arial" w:eastAsia="Calibri" w:hAnsi="Arial" w:cs="Arial"/>
          <w:sz w:val="20"/>
          <w:szCs w:val="20"/>
        </w:rPr>
        <w:t>597,23</w:t>
      </w:r>
      <w:r w:rsidRPr="005C464B">
        <w:rPr>
          <w:rFonts w:ascii="Arial" w:eastAsia="Calibri" w:hAnsi="Arial" w:cs="Arial"/>
          <w:sz w:val="20"/>
          <w:szCs w:val="20"/>
        </w:rPr>
        <w:t xml:space="preserve"> €, umjetnički nastup – mirozov za Dan Općine </w:t>
      </w:r>
      <w:r w:rsidR="003935B6" w:rsidRPr="005C464B">
        <w:rPr>
          <w:rFonts w:ascii="Arial" w:eastAsia="Calibri" w:hAnsi="Arial" w:cs="Arial"/>
          <w:sz w:val="20"/>
          <w:szCs w:val="20"/>
        </w:rPr>
        <w:t>88,71</w:t>
      </w:r>
      <w:r w:rsidRPr="005C464B">
        <w:rPr>
          <w:rFonts w:ascii="Arial" w:eastAsia="Calibri" w:hAnsi="Arial" w:cs="Arial"/>
          <w:sz w:val="20"/>
          <w:szCs w:val="20"/>
        </w:rPr>
        <w:t xml:space="preserve"> €, smještaj svečanih uzvanika 1.</w:t>
      </w:r>
      <w:r w:rsidR="003935B6" w:rsidRPr="005C464B">
        <w:rPr>
          <w:rFonts w:ascii="Arial" w:eastAsia="Calibri" w:hAnsi="Arial" w:cs="Arial"/>
          <w:sz w:val="20"/>
          <w:szCs w:val="20"/>
        </w:rPr>
        <w:t>093,61</w:t>
      </w:r>
      <w:r w:rsidRPr="005C464B">
        <w:rPr>
          <w:rFonts w:ascii="Arial" w:eastAsia="Calibri" w:hAnsi="Arial" w:cs="Arial"/>
          <w:sz w:val="20"/>
          <w:szCs w:val="20"/>
        </w:rPr>
        <w:t xml:space="preserve"> €, pogrebni vijenci, aranžmani</w:t>
      </w:r>
      <w:r w:rsidR="00D66F7E" w:rsidRPr="005C464B">
        <w:rPr>
          <w:rFonts w:ascii="Arial" w:eastAsia="Calibri" w:hAnsi="Arial" w:cs="Arial"/>
          <w:sz w:val="20"/>
          <w:szCs w:val="20"/>
        </w:rPr>
        <w:t xml:space="preserve">, </w:t>
      </w:r>
      <w:r w:rsidRPr="005C464B">
        <w:rPr>
          <w:rFonts w:ascii="Arial" w:eastAsia="Calibri" w:hAnsi="Arial" w:cs="Arial"/>
          <w:sz w:val="20"/>
          <w:szCs w:val="20"/>
        </w:rPr>
        <w:t>cvijeće</w:t>
      </w:r>
      <w:r w:rsidR="00D66F7E" w:rsidRPr="005C464B">
        <w:rPr>
          <w:rFonts w:ascii="Arial" w:eastAsia="Calibri" w:hAnsi="Arial" w:cs="Arial"/>
          <w:sz w:val="20"/>
          <w:szCs w:val="20"/>
        </w:rPr>
        <w:t xml:space="preserve"> i svijeće</w:t>
      </w:r>
      <w:r w:rsidRPr="005C464B">
        <w:rPr>
          <w:rFonts w:ascii="Arial" w:eastAsia="Calibri" w:hAnsi="Arial" w:cs="Arial"/>
          <w:sz w:val="20"/>
          <w:szCs w:val="20"/>
        </w:rPr>
        <w:t xml:space="preserve"> za Dan Općine </w:t>
      </w:r>
      <w:r w:rsidR="00D66F7E" w:rsidRPr="005C464B">
        <w:rPr>
          <w:rFonts w:ascii="Arial" w:eastAsia="Calibri" w:hAnsi="Arial" w:cs="Arial"/>
          <w:sz w:val="20"/>
          <w:szCs w:val="20"/>
        </w:rPr>
        <w:t>1.149</w:t>
      </w:r>
      <w:r w:rsidRPr="005C464B">
        <w:rPr>
          <w:rFonts w:ascii="Arial" w:eastAsia="Calibri" w:hAnsi="Arial" w:cs="Arial"/>
          <w:sz w:val="20"/>
          <w:szCs w:val="20"/>
        </w:rPr>
        <w:t xml:space="preserve"> €, objave sjećanja „in memoriam“ u tisku</w:t>
      </w:r>
      <w:r w:rsidR="00C901A8" w:rsidRPr="005C464B">
        <w:rPr>
          <w:rFonts w:ascii="Arial" w:eastAsia="Calibri" w:hAnsi="Arial" w:cs="Arial"/>
          <w:sz w:val="20"/>
          <w:szCs w:val="20"/>
        </w:rPr>
        <w:t xml:space="preserve"> 497,70 €,</w:t>
      </w:r>
      <w:r w:rsidRPr="005C464B">
        <w:rPr>
          <w:rFonts w:ascii="Arial" w:eastAsia="Calibri" w:hAnsi="Arial" w:cs="Arial"/>
          <w:sz w:val="20"/>
          <w:szCs w:val="20"/>
        </w:rPr>
        <w:t xml:space="preserve"> objava tiskanog priloga </w:t>
      </w:r>
      <w:r w:rsidR="00C901A8" w:rsidRPr="005C464B">
        <w:rPr>
          <w:rFonts w:ascii="Arial" w:eastAsia="Calibri" w:hAnsi="Arial" w:cs="Arial"/>
          <w:sz w:val="20"/>
          <w:szCs w:val="20"/>
        </w:rPr>
        <w:t>povodom Dana općine</w:t>
      </w:r>
      <w:r w:rsidRPr="005C464B">
        <w:rPr>
          <w:rFonts w:ascii="Arial" w:eastAsia="Calibri" w:hAnsi="Arial" w:cs="Arial"/>
          <w:sz w:val="20"/>
          <w:szCs w:val="20"/>
        </w:rPr>
        <w:t xml:space="preserve"> </w:t>
      </w:r>
      <w:r w:rsidR="00C901A8" w:rsidRPr="005C464B">
        <w:rPr>
          <w:rFonts w:ascii="Arial" w:eastAsia="Calibri" w:hAnsi="Arial" w:cs="Arial"/>
          <w:sz w:val="20"/>
          <w:szCs w:val="20"/>
        </w:rPr>
        <w:t>1.000 €</w:t>
      </w:r>
      <w:r w:rsidRPr="005C464B">
        <w:rPr>
          <w:rFonts w:ascii="Arial" w:eastAsia="Calibri" w:hAnsi="Arial" w:cs="Arial"/>
          <w:sz w:val="20"/>
          <w:szCs w:val="20"/>
        </w:rPr>
        <w:t xml:space="preserve">, </w:t>
      </w:r>
      <w:r w:rsidR="00D66F7E" w:rsidRPr="005C464B">
        <w:rPr>
          <w:rFonts w:ascii="Arial" w:eastAsia="Calibri" w:hAnsi="Arial" w:cs="Arial"/>
          <w:sz w:val="20"/>
          <w:szCs w:val="20"/>
        </w:rPr>
        <w:t xml:space="preserve">objava poziva za dostavu prijedloga kandidata za dodjelu javnih priznanja i okvir za sliku 199,09 €, </w:t>
      </w:r>
      <w:r w:rsidR="003935B6" w:rsidRPr="005C464B">
        <w:rPr>
          <w:rFonts w:ascii="Arial" w:eastAsia="Calibri" w:hAnsi="Arial" w:cs="Arial"/>
          <w:sz w:val="20"/>
          <w:szCs w:val="20"/>
        </w:rPr>
        <w:t xml:space="preserve">izrada pozivnica za Dan općine 310 €, usluge čišćenja dvorane </w:t>
      </w:r>
      <w:r w:rsidR="005C464B" w:rsidRPr="005C464B">
        <w:rPr>
          <w:rFonts w:ascii="Arial" w:eastAsia="Calibri" w:hAnsi="Arial" w:cs="Arial"/>
          <w:sz w:val="20"/>
          <w:szCs w:val="20"/>
        </w:rPr>
        <w:t>u samostanu povodom Dana Općine 400 €.</w:t>
      </w:r>
    </w:p>
    <w:p w14:paraId="4A776BBA" w14:textId="77777777" w:rsidR="00676A9B" w:rsidRPr="005C464B" w:rsidRDefault="00676A9B" w:rsidP="00676A9B">
      <w:pPr>
        <w:autoSpaceDE w:val="0"/>
        <w:autoSpaceDN w:val="0"/>
        <w:adjustRightInd w:val="0"/>
        <w:spacing w:after="0" w:line="240" w:lineRule="auto"/>
        <w:jc w:val="both"/>
        <w:rPr>
          <w:rFonts w:ascii="Arial" w:eastAsia="Calibri" w:hAnsi="Arial" w:cs="Arial"/>
          <w:sz w:val="20"/>
          <w:szCs w:val="20"/>
        </w:rPr>
      </w:pPr>
    </w:p>
    <w:tbl>
      <w:tblPr>
        <w:tblW w:w="13466" w:type="dxa"/>
        <w:jc w:val="center"/>
        <w:tblLayout w:type="fixed"/>
        <w:tblLook w:val="04A0" w:firstRow="1" w:lastRow="0" w:firstColumn="1" w:lastColumn="0" w:noHBand="0" w:noVBand="1"/>
      </w:tblPr>
      <w:tblGrid>
        <w:gridCol w:w="2122"/>
        <w:gridCol w:w="2976"/>
        <w:gridCol w:w="1701"/>
        <w:gridCol w:w="1701"/>
        <w:gridCol w:w="998"/>
        <w:gridCol w:w="992"/>
        <w:gridCol w:w="992"/>
        <w:gridCol w:w="992"/>
        <w:gridCol w:w="992"/>
      </w:tblGrid>
      <w:tr w:rsidR="00676A9B" w:rsidRPr="00676A9B" w14:paraId="3D14C162" w14:textId="77777777" w:rsidTr="00410A4B">
        <w:trPr>
          <w:trHeight w:val="617"/>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26C9DA7"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Pokazatelj rezultata</w:t>
            </w:r>
          </w:p>
        </w:tc>
        <w:tc>
          <w:tcPr>
            <w:tcW w:w="29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BE8FCC3"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Definicija</w:t>
            </w:r>
          </w:p>
        </w:tc>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435B0AA"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Jedinica</w:t>
            </w:r>
          </w:p>
        </w:tc>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AC72BEC"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Izvor podataka</w:t>
            </w:r>
          </w:p>
        </w:tc>
        <w:tc>
          <w:tcPr>
            <w:tcW w:w="99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5ECBF20" w14:textId="3B136B82"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Polazna vrijednost 202</w:t>
            </w:r>
            <w:r w:rsidR="005C464B">
              <w:rPr>
                <w:rFonts w:ascii="Arial" w:eastAsia="Calibri" w:hAnsi="Arial" w:cs="Arial"/>
                <w:sz w:val="18"/>
                <w:szCs w:val="18"/>
                <w:lang w:eastAsia="en-US"/>
              </w:rPr>
              <w:t>4</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66CDF8E" w14:textId="4EE9AA83"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5C464B">
              <w:rPr>
                <w:rFonts w:ascii="Arial" w:eastAsia="Calibri" w:hAnsi="Arial" w:cs="Arial"/>
                <w:sz w:val="18"/>
                <w:szCs w:val="18"/>
                <w:lang w:eastAsia="en-US"/>
              </w:rPr>
              <w:t>5</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9C91585" w14:textId="17386A38"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Izvršeno 202</w:t>
            </w:r>
            <w:r w:rsidR="005C464B">
              <w:rPr>
                <w:rFonts w:ascii="Arial" w:eastAsia="Calibri" w:hAnsi="Arial" w:cs="Arial"/>
                <w:sz w:val="18"/>
                <w:szCs w:val="18"/>
                <w:lang w:eastAsia="en-US"/>
              </w:rPr>
              <w:t>5</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24B3502" w14:textId="0EB531F5"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5C464B">
              <w:rPr>
                <w:rFonts w:ascii="Arial" w:eastAsia="Calibri" w:hAnsi="Arial" w:cs="Arial"/>
                <w:sz w:val="18"/>
                <w:szCs w:val="18"/>
                <w:lang w:eastAsia="en-US"/>
              </w:rPr>
              <w:t>6</w:t>
            </w:r>
            <w:r w:rsidRPr="00676A9B">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A3D4F37" w14:textId="35BA5344" w:rsidR="00676A9B" w:rsidRPr="00676A9B" w:rsidRDefault="00676A9B" w:rsidP="00676A9B">
            <w:pPr>
              <w:spacing w:after="0" w:line="240" w:lineRule="auto"/>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5C464B">
              <w:rPr>
                <w:rFonts w:ascii="Arial" w:eastAsia="Calibri" w:hAnsi="Arial" w:cs="Arial"/>
                <w:sz w:val="18"/>
                <w:szCs w:val="18"/>
                <w:lang w:eastAsia="en-US"/>
              </w:rPr>
              <w:t>7</w:t>
            </w:r>
            <w:r w:rsidRPr="00676A9B">
              <w:rPr>
                <w:rFonts w:ascii="Arial" w:eastAsia="Calibri" w:hAnsi="Arial" w:cs="Arial"/>
                <w:sz w:val="18"/>
                <w:szCs w:val="18"/>
                <w:lang w:eastAsia="en-US"/>
              </w:rPr>
              <w:t>.</w:t>
            </w:r>
          </w:p>
        </w:tc>
      </w:tr>
      <w:tr w:rsidR="00676A9B" w:rsidRPr="00676A9B" w14:paraId="465ECDFA" w14:textId="77777777" w:rsidTr="00410A4B">
        <w:trPr>
          <w:trHeight w:val="617"/>
          <w:jc w:val="center"/>
        </w:trPr>
        <w:tc>
          <w:tcPr>
            <w:tcW w:w="2122" w:type="dxa"/>
            <w:tcBorders>
              <w:top w:val="single" w:sz="4" w:space="0" w:color="000000"/>
              <w:left w:val="single" w:sz="4" w:space="0" w:color="000000"/>
              <w:bottom w:val="single" w:sz="4" w:space="0" w:color="000000"/>
              <w:right w:val="single" w:sz="4" w:space="0" w:color="000000"/>
            </w:tcBorders>
            <w:vAlign w:val="center"/>
          </w:tcPr>
          <w:p w14:paraId="604B9342" w14:textId="77777777" w:rsidR="00676A9B" w:rsidRPr="00676A9B" w:rsidRDefault="00676A9B" w:rsidP="00676A9B">
            <w:pPr>
              <w:spacing w:after="0" w:line="240" w:lineRule="auto"/>
              <w:rPr>
                <w:rFonts w:ascii="Arial" w:eastAsia="Times New Roman" w:hAnsi="Arial" w:cs="Arial"/>
                <w:sz w:val="20"/>
                <w:szCs w:val="20"/>
                <w:lang w:eastAsia="en-US"/>
              </w:rPr>
            </w:pPr>
            <w:r w:rsidRPr="00676A9B">
              <w:rPr>
                <w:rFonts w:ascii="Arial" w:eastAsia="Calibri" w:hAnsi="Arial" w:cs="Arial"/>
                <w:sz w:val="20"/>
                <w:szCs w:val="20"/>
                <w:lang w:eastAsia="en-US"/>
              </w:rPr>
              <w:t xml:space="preserve">Obilježavanje Dana Općine 21. listopada </w:t>
            </w:r>
          </w:p>
        </w:tc>
        <w:tc>
          <w:tcPr>
            <w:tcW w:w="2976" w:type="dxa"/>
            <w:tcBorders>
              <w:top w:val="single" w:sz="4" w:space="0" w:color="000000"/>
              <w:left w:val="single" w:sz="4" w:space="0" w:color="000000"/>
              <w:bottom w:val="single" w:sz="4" w:space="0" w:color="000000"/>
              <w:right w:val="single" w:sz="4" w:space="0" w:color="000000"/>
            </w:tcBorders>
            <w:vAlign w:val="center"/>
          </w:tcPr>
          <w:p w14:paraId="4E5D2FD4" w14:textId="77777777" w:rsidR="00676A9B" w:rsidRPr="00676A9B" w:rsidRDefault="00676A9B" w:rsidP="00676A9B">
            <w:pPr>
              <w:spacing w:after="0" w:line="240" w:lineRule="auto"/>
              <w:rPr>
                <w:rFonts w:ascii="Arial" w:eastAsia="Times New Roman" w:hAnsi="Arial" w:cs="Arial"/>
                <w:sz w:val="18"/>
                <w:szCs w:val="18"/>
                <w:lang w:eastAsia="en-US"/>
              </w:rPr>
            </w:pPr>
            <w:r w:rsidRPr="00676A9B">
              <w:rPr>
                <w:rFonts w:ascii="Arial" w:eastAsia="Calibri" w:hAnsi="Arial" w:cs="Arial"/>
                <w:sz w:val="18"/>
                <w:szCs w:val="18"/>
                <w:lang w:eastAsia="en-US"/>
              </w:rPr>
              <w:t>Dostojanstveno obilježavanje proslave Dana Općine uz promicanje važnosti dana 21. listopada 1992. kao dana oslobođenja Konavala javnim nastupima i predavanjima i podmirenje rashoda vezanih uz obilježavanje Dana Općine</w:t>
            </w:r>
          </w:p>
        </w:tc>
        <w:tc>
          <w:tcPr>
            <w:tcW w:w="1701" w:type="dxa"/>
            <w:tcBorders>
              <w:top w:val="single" w:sz="4" w:space="0" w:color="000000"/>
              <w:left w:val="single" w:sz="4" w:space="0" w:color="000000"/>
              <w:bottom w:val="single" w:sz="4" w:space="0" w:color="000000"/>
              <w:right w:val="single" w:sz="4" w:space="0" w:color="000000"/>
            </w:tcBorders>
            <w:vAlign w:val="center"/>
          </w:tcPr>
          <w:p w14:paraId="6800C496" w14:textId="77777777" w:rsidR="00676A9B" w:rsidRPr="00676A9B" w:rsidRDefault="00676A9B" w:rsidP="00676A9B">
            <w:pPr>
              <w:spacing w:after="0" w:line="240" w:lineRule="auto"/>
              <w:jc w:val="center"/>
              <w:rPr>
                <w:rFonts w:ascii="Arial" w:eastAsia="Times New Roman" w:hAnsi="Arial" w:cs="Arial"/>
                <w:sz w:val="20"/>
                <w:szCs w:val="20"/>
                <w:lang w:eastAsia="en-US"/>
              </w:rPr>
            </w:pPr>
            <w:r w:rsidRPr="00676A9B">
              <w:rPr>
                <w:rFonts w:ascii="Arial" w:eastAsia="Calibri" w:hAnsi="Arial" w:cs="Arial"/>
                <w:sz w:val="20"/>
                <w:szCs w:val="20"/>
                <w:lang w:eastAsia="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00828FE7" w14:textId="77777777" w:rsidR="00676A9B" w:rsidRPr="00676A9B" w:rsidRDefault="00676A9B" w:rsidP="00676A9B">
            <w:pPr>
              <w:spacing w:after="0" w:line="240" w:lineRule="auto"/>
              <w:jc w:val="center"/>
              <w:rPr>
                <w:rFonts w:ascii="Arial" w:eastAsia="Times New Roman" w:hAnsi="Arial" w:cs="Arial"/>
                <w:sz w:val="20"/>
                <w:szCs w:val="20"/>
                <w:lang w:eastAsia="en-US"/>
              </w:rPr>
            </w:pPr>
            <w:r w:rsidRPr="00676A9B">
              <w:rPr>
                <w:rFonts w:ascii="Arial" w:eastAsia="Calibri" w:hAnsi="Arial" w:cs="Arial"/>
                <w:sz w:val="20"/>
                <w:szCs w:val="20"/>
                <w:lang w:eastAsia="en-US"/>
              </w:rPr>
              <w:t>Općina</w:t>
            </w:r>
          </w:p>
        </w:tc>
        <w:tc>
          <w:tcPr>
            <w:tcW w:w="998" w:type="dxa"/>
            <w:tcBorders>
              <w:top w:val="single" w:sz="4" w:space="0" w:color="000000"/>
              <w:left w:val="single" w:sz="4" w:space="0" w:color="000000"/>
              <w:bottom w:val="single" w:sz="4" w:space="0" w:color="000000"/>
              <w:right w:val="single" w:sz="4" w:space="0" w:color="000000"/>
            </w:tcBorders>
            <w:vAlign w:val="center"/>
          </w:tcPr>
          <w:p w14:paraId="2BD7497E" w14:textId="77777777" w:rsidR="00676A9B" w:rsidRPr="00676A9B" w:rsidRDefault="00676A9B" w:rsidP="00676A9B">
            <w:pPr>
              <w:spacing w:after="0" w:line="240" w:lineRule="auto"/>
              <w:jc w:val="center"/>
              <w:rPr>
                <w:rFonts w:ascii="Arial" w:eastAsia="Times New Roman" w:hAnsi="Arial" w:cs="Arial"/>
                <w:sz w:val="20"/>
                <w:szCs w:val="20"/>
                <w:lang w:eastAsia="en-US"/>
              </w:rPr>
            </w:pPr>
            <w:r w:rsidRPr="00676A9B">
              <w:rPr>
                <w:rFonts w:ascii="Arial" w:eastAsia="Times New Roman" w:hAnsi="Arial" w:cs="Arial"/>
                <w:sz w:val="20"/>
                <w:szCs w:val="20"/>
                <w:lang w:eastAsia="en-US"/>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D2B1F91" w14:textId="77777777" w:rsidR="00676A9B" w:rsidRPr="00676A9B" w:rsidRDefault="00676A9B" w:rsidP="00676A9B">
            <w:pPr>
              <w:spacing w:after="0" w:line="240" w:lineRule="auto"/>
              <w:jc w:val="center"/>
              <w:rPr>
                <w:rFonts w:ascii="Arial" w:eastAsia="Times New Roman" w:hAnsi="Arial" w:cs="Arial"/>
                <w:sz w:val="20"/>
                <w:szCs w:val="20"/>
                <w:lang w:eastAsia="en-US"/>
              </w:rPr>
            </w:pPr>
            <w:r w:rsidRPr="00676A9B">
              <w:rPr>
                <w:rFonts w:ascii="Arial" w:eastAsia="Times New Roman" w:hAnsi="Arial" w:cs="Arial"/>
                <w:sz w:val="20"/>
                <w:szCs w:val="20"/>
                <w:lang w:eastAsia="en-US"/>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A66FD3D" w14:textId="77777777" w:rsidR="00676A9B" w:rsidRPr="00676A9B" w:rsidRDefault="00676A9B" w:rsidP="00676A9B">
            <w:pPr>
              <w:spacing w:after="0" w:line="240" w:lineRule="auto"/>
              <w:jc w:val="center"/>
              <w:rPr>
                <w:rFonts w:ascii="Arial" w:eastAsia="Times New Roman" w:hAnsi="Arial" w:cs="Arial"/>
                <w:sz w:val="20"/>
                <w:szCs w:val="20"/>
                <w:lang w:eastAsia="en-US"/>
              </w:rPr>
            </w:pPr>
            <w:r w:rsidRPr="00676A9B">
              <w:rPr>
                <w:rFonts w:ascii="Arial" w:eastAsia="Times New Roman" w:hAnsi="Arial" w:cs="Arial"/>
                <w:sz w:val="20"/>
                <w:szCs w:val="20"/>
                <w:lang w:eastAsia="en-US"/>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C0E039F" w14:textId="77777777" w:rsidR="00676A9B" w:rsidRPr="00676A9B" w:rsidRDefault="00676A9B" w:rsidP="00676A9B">
            <w:pPr>
              <w:spacing w:after="0" w:line="240" w:lineRule="auto"/>
              <w:jc w:val="center"/>
              <w:rPr>
                <w:rFonts w:ascii="Arial" w:eastAsia="Times New Roman" w:hAnsi="Arial" w:cs="Arial"/>
                <w:sz w:val="20"/>
                <w:szCs w:val="20"/>
                <w:lang w:eastAsia="en-US"/>
              </w:rPr>
            </w:pPr>
            <w:r w:rsidRPr="00676A9B">
              <w:rPr>
                <w:rFonts w:ascii="Arial" w:eastAsia="Times New Roman" w:hAnsi="Arial" w:cs="Arial"/>
                <w:sz w:val="20"/>
                <w:szCs w:val="20"/>
                <w:lang w:eastAsia="en-US"/>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0ADCB59" w14:textId="77777777" w:rsidR="00676A9B" w:rsidRPr="00676A9B" w:rsidRDefault="00676A9B" w:rsidP="00676A9B">
            <w:pPr>
              <w:spacing w:after="0" w:line="240" w:lineRule="auto"/>
              <w:jc w:val="center"/>
              <w:rPr>
                <w:rFonts w:ascii="Arial" w:eastAsia="Times New Roman" w:hAnsi="Arial" w:cs="Arial"/>
                <w:sz w:val="20"/>
                <w:szCs w:val="20"/>
                <w:lang w:eastAsia="en-US"/>
              </w:rPr>
            </w:pPr>
            <w:r w:rsidRPr="00676A9B">
              <w:rPr>
                <w:rFonts w:ascii="Arial" w:eastAsia="Times New Roman" w:hAnsi="Arial" w:cs="Arial"/>
                <w:sz w:val="20"/>
                <w:szCs w:val="20"/>
                <w:lang w:eastAsia="en-US"/>
              </w:rPr>
              <w:t>100%</w:t>
            </w:r>
          </w:p>
        </w:tc>
      </w:tr>
    </w:tbl>
    <w:p w14:paraId="3E10D5F3"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26EC94DC"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Aktivnosti vezane uz opće ciljeve postignute su sukladno postocima izvršenja i u skladu s očekivanom dinamikom izvršenja rashoda.</w:t>
      </w:r>
    </w:p>
    <w:p w14:paraId="5D177DA2" w14:textId="77777777" w:rsidR="00676A9B" w:rsidRPr="00676A9B" w:rsidRDefault="00676A9B" w:rsidP="00676A9B">
      <w:pPr>
        <w:autoSpaceDE w:val="0"/>
        <w:autoSpaceDN w:val="0"/>
        <w:adjustRightInd w:val="0"/>
        <w:spacing w:after="0" w:line="240" w:lineRule="auto"/>
        <w:rPr>
          <w:rFonts w:ascii="Arial" w:eastAsia="Calibri" w:hAnsi="Arial" w:cs="Arial"/>
          <w:sz w:val="20"/>
          <w:szCs w:val="20"/>
        </w:rPr>
      </w:pPr>
    </w:p>
    <w:p w14:paraId="693B9527" w14:textId="77777777" w:rsidR="00676A9B" w:rsidRPr="00676A9B" w:rsidRDefault="00676A9B" w:rsidP="00676A9B">
      <w:pPr>
        <w:rPr>
          <w:rFonts w:ascii="Arial" w:eastAsia="Calibri" w:hAnsi="Arial" w:cs="Arial"/>
          <w:sz w:val="20"/>
          <w:szCs w:val="20"/>
        </w:rPr>
      </w:pPr>
      <w:r w:rsidRPr="00676A9B">
        <w:rPr>
          <w:rFonts w:ascii="Arial" w:eastAsia="Calibri" w:hAnsi="Arial" w:cs="Arial"/>
          <w:sz w:val="20"/>
          <w:szCs w:val="20"/>
        </w:rPr>
        <w:br w:type="page"/>
      </w:r>
    </w:p>
    <w:p w14:paraId="2DD5E930" w14:textId="77777777" w:rsidR="00676A9B" w:rsidRPr="00676A9B" w:rsidRDefault="00676A9B" w:rsidP="00676A9B">
      <w:pPr>
        <w:keepNext/>
        <w:spacing w:after="0" w:line="240" w:lineRule="auto"/>
        <w:jc w:val="both"/>
        <w:outlineLvl w:val="2"/>
        <w:rPr>
          <w:rFonts w:ascii="Times New Roman" w:eastAsia="Calibri" w:hAnsi="Times New Roman" w:cs="Times New Roman"/>
          <w:b/>
          <w:sz w:val="24"/>
          <w:szCs w:val="20"/>
          <w:lang w:eastAsia="en-US"/>
        </w:rPr>
      </w:pPr>
      <w:bookmarkStart w:id="372" w:name="_Toc200628504"/>
      <w:bookmarkStart w:id="373" w:name="_Toc232981436"/>
      <w:r w:rsidRPr="00676A9B">
        <w:rPr>
          <w:rFonts w:ascii="Times New Roman" w:eastAsia="Calibri" w:hAnsi="Times New Roman" w:cs="Times New Roman"/>
          <w:b/>
          <w:sz w:val="24"/>
          <w:szCs w:val="20"/>
          <w:lang w:eastAsia="en-US"/>
        </w:rPr>
        <w:lastRenderedPageBreak/>
        <w:t>Program (2021): Redovan rad UO za opće poslove, mjesnu samoupravu i društvene djelatnosti – povremeni opći troškovi u nadležnosti odjela</w:t>
      </w:r>
      <w:bookmarkEnd w:id="372"/>
      <w:bookmarkEnd w:id="373"/>
    </w:p>
    <w:p w14:paraId="025F9F1F" w14:textId="77777777" w:rsidR="00676A9B" w:rsidRPr="00676A9B" w:rsidRDefault="00676A9B" w:rsidP="00676A9B">
      <w:pPr>
        <w:spacing w:after="0" w:line="240" w:lineRule="auto"/>
        <w:jc w:val="both"/>
        <w:rPr>
          <w:rFonts w:ascii="Times New Roman" w:eastAsia="Calibri" w:hAnsi="Times New Roman" w:cs="Times New Roman"/>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9"/>
        <w:gridCol w:w="13012"/>
      </w:tblGrid>
      <w:tr w:rsidR="00676A9B" w:rsidRPr="00676A9B" w14:paraId="083BBDF3" w14:textId="77777777" w:rsidTr="00410A4B">
        <w:tc>
          <w:tcPr>
            <w:tcW w:w="1439" w:type="dxa"/>
          </w:tcPr>
          <w:p w14:paraId="29682315"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OPIS PROGRAMA:</w:t>
            </w:r>
          </w:p>
        </w:tc>
        <w:tc>
          <w:tcPr>
            <w:tcW w:w="13012" w:type="dxa"/>
          </w:tcPr>
          <w:p w14:paraId="1B16A6AA"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 xml:space="preserve">Odlukom o ustrojstvu upravnih tijela Općine Konavle utvrđeno je područje rada Upravnog odjela za opće poslove, mjesnu samoupravu i društvene djelatnosti. Sukladno odluci u Upravnom odjelu obavljaju se poslovi osiguravanja javnih potreba u području: predškolskog odgoja i naobrazbe, sporta, kulture, zdravstva i socijalne skrbi, osiguravanja financijskih i materijalnih uvjeta za rad ustanova u prethodno navedenim područjima kojima je Općina osnivač i praćenja njihovog poslovanja, praćenja rada udruga i poticanja razvoja civilnog društva u svrhu ostvarivanja interesa i potreba stanovništva u područjima koja su u nadležnosti Odjela, zaštite i unapređenja kvalitete življenja, unapređenja zdravstvene zaštite za javne potrebe na području Općine, predlaganja i sudjelovanja u izradi strateških dokumenata u područjima koja su u nadležnosti Odjela, te ostale slične poslove. </w:t>
            </w:r>
          </w:p>
          <w:p w14:paraId="4F047D8E"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 xml:space="preserve">U području predškolskog odgoja i naobrazbe, poslovi Odjela obuhvaćaju osiguravanje financijskih i materijalnih uvjeta za rad ustanove, praćenje njenog rada i poslovanja, pripremu prijedloga za utvrđivanje programa predškolskog odgoja i obrazovanja, predlaganje javnih potreba Općine u ovom području. Obavljaju se i poslovi kojima se potiče školovanje darovitih učenika i studenata dodjeljivanjem stipendija, kao i ostali poslovi vezani uz ovo područje (sufinanciranje kupnje udžbenika, prijevoza učenika i drugo). </w:t>
            </w:r>
          </w:p>
          <w:p w14:paraId="7A519A75"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 xml:space="preserve">Poslovi osiguravanja lokalnih potreba stanovnika u području sporta obuhvaćaju poslove i zadaće u vezi s programom javnih potreba Općine u ovim područjima, raspodjelom sredstava Proračuna koja su po namjeni i iznosima odobrena za realizaciju ovog programa, praćenjem i nadzorom izvršenja programa i projekata korisnika sredstava, te korištenja i utroška dodijeljenih sredstava. </w:t>
            </w:r>
          </w:p>
          <w:p w14:paraId="279F6D98"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 xml:space="preserve">Poslovi i zadaće osiguravanja lokalnih potreba stanovnika u području kulture obuhvaćaju praćenje stanja u oblasti kulture, osiguravanja financijskih i materijalnih uvjeta za rad ustanova u kulturi kojih je osnivač Općina, predlaganje javnih potreba Općine u ovoj oblasti, raspodjelu sredstava Proračuna odobrenih udrugama u kulturi za realizaciju njihovih programa i projekata. </w:t>
            </w:r>
          </w:p>
          <w:p w14:paraId="2A3C3A0F"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 xml:space="preserve">Upravni odjel nadležan je i za obavljanje poslova iz lokalnog djelokruga vezanog za socijalnu skrb i brigu osiguravanju  bolje zdravstvene skrbi. U tom području obavljaju se poslovi koji se odnose na socijalnu zaštitu i skrb o socijalno najugroženijim i najosjetljivijim skupinama građana, kao i poslovi vezani uz zaštitu i promicanje zdravlja građana. U tu svrhu obavljaju se poslovi: planiranja i utvrđivanja potreba stanovništva, praćenja zakonskih obveza, provedbe mjera socijalne skrbi za građane u socijalnoj potrebi, osiguravanja financijskih i materijalnih uvjeta i nadzora nad poslovanjem ustanove socijalne skrbi, osiguranja financijskih i materijalnih uvjeta i nadzor provedbe programa i projekata skrbi za socijalno ranjive skupine stanovništva, pružanja potpore zdravstvenim ustanovama, informiranja građana i promidžbe programa i aktivnosti Upravnog odjela. </w:t>
            </w:r>
          </w:p>
          <w:p w14:paraId="638C231F"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 xml:space="preserve">Također, Upravni odjel obavlja poslove vezane uz javnu nabavu, odnosno bavi se utvrđivanjem ukupnih potreba za nabavom roba, radova i usluga, uspostavom baze podataka za nabavom roba, radova i usluga, planiranjem i provedbom postupaka javne nabave, izradom dokumentacije za nadmetanje i druge potrebne dokumentacije, sklapanjem ugovora o javnoj nabavi i okvirnih sporazuma, vođenjem registra ugovora o javnoj nabavi i okvirnih sporazuma te drugim sličnim poslovima. Nadalje, ovaj Upravni odjel obavlja opće i kadrovske poslove za općinska upravna tijela, poslove lokalne i mjesne samouprave itd. </w:t>
            </w:r>
          </w:p>
          <w:p w14:paraId="122C35A7" w14:textId="77777777" w:rsidR="00676A9B" w:rsidRPr="00676A9B" w:rsidRDefault="00676A9B" w:rsidP="00676A9B">
            <w:pPr>
              <w:spacing w:after="0" w:line="240" w:lineRule="auto"/>
              <w:jc w:val="both"/>
              <w:rPr>
                <w:rFonts w:ascii="Arial" w:eastAsia="Times New Roman" w:hAnsi="Arial" w:cs="Arial"/>
                <w:sz w:val="20"/>
                <w:szCs w:val="20"/>
                <w:lang w:eastAsia="en-US"/>
              </w:rPr>
            </w:pPr>
          </w:p>
          <w:p w14:paraId="451315E5"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Times New Roman" w:hAnsi="Arial" w:cs="Arial"/>
                <w:sz w:val="20"/>
                <w:szCs w:val="20"/>
                <w:lang w:eastAsia="en-US"/>
              </w:rPr>
              <w:t xml:space="preserve">Programom se omogućava redovno obavljanje zadataka u nadležnosti odjela. Ovaj program obuhvaća materijalne rashode i rashode za usluge. </w:t>
            </w:r>
            <w:r w:rsidRPr="00676A9B">
              <w:rPr>
                <w:rFonts w:ascii="Arial" w:eastAsia="Calibri" w:hAnsi="Arial" w:cs="Arial"/>
                <w:sz w:val="20"/>
                <w:szCs w:val="20"/>
                <w:lang w:eastAsia="en-US"/>
              </w:rPr>
              <w:t>Program obuhvaća aktivnosti kojima se osiguravaju sredstva za nabavu literature i druge materijalne troškove redovnog poslovanja, usluge objave natječaja u medijima, sustavu javne nabave i slično.</w:t>
            </w:r>
          </w:p>
        </w:tc>
      </w:tr>
      <w:tr w:rsidR="00676A9B" w:rsidRPr="00676A9B" w14:paraId="554B91B6" w14:textId="77777777" w:rsidTr="00410A4B">
        <w:tc>
          <w:tcPr>
            <w:tcW w:w="1439" w:type="dxa"/>
          </w:tcPr>
          <w:p w14:paraId="76F2B8E3"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ZAKONSKE I DRUGE PRAVNE OSNOVE PROGRAMA:</w:t>
            </w:r>
          </w:p>
        </w:tc>
        <w:tc>
          <w:tcPr>
            <w:tcW w:w="13012" w:type="dxa"/>
          </w:tcPr>
          <w:p w14:paraId="58ABE3B6"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rPr>
              <w:t>Zakon o lokalnoj i područnoj (regionalnoj) samoupravi (NN 33/01,60/01,129/05, 109/07,125/08, 36/09, 150/11, 144/12, 19/13, 137/15, 123/17, 98/19, 144/20), Zakon o financiranju jedinica lokalne i područne (regionalne) samouprave (NN 127/17, 138/20, 151/22, 114/23), Zakon o proračunu (NN 144/21), Uredba o kriterijima, mjerilima i postupcima financiranja i ugovaranja programa i projekata od interesa za opće dobro koje provode udruge (NN 26/2015, 37/2021), drugi zakoni s područja financija</w:t>
            </w:r>
          </w:p>
        </w:tc>
      </w:tr>
      <w:tr w:rsidR="00676A9B" w:rsidRPr="00676A9B" w14:paraId="5AC2565E" w14:textId="77777777" w:rsidTr="00410A4B">
        <w:tc>
          <w:tcPr>
            <w:tcW w:w="1439" w:type="dxa"/>
            <w:vAlign w:val="bottom"/>
          </w:tcPr>
          <w:p w14:paraId="4F21CFBA" w14:textId="77777777" w:rsidR="00676A9B" w:rsidRPr="00676A9B" w:rsidRDefault="00676A9B" w:rsidP="00676A9B">
            <w:pPr>
              <w:spacing w:after="0" w:line="240" w:lineRule="auto"/>
              <w:jc w:val="both"/>
              <w:rPr>
                <w:rFonts w:ascii="Arial" w:eastAsia="Calibri" w:hAnsi="Arial" w:cs="Arial"/>
                <w:caps/>
                <w:sz w:val="20"/>
                <w:szCs w:val="20"/>
                <w:lang w:eastAsia="en-US"/>
              </w:rPr>
            </w:pPr>
            <w:r w:rsidRPr="00676A9B">
              <w:rPr>
                <w:rFonts w:ascii="Arial" w:eastAsia="Calibri" w:hAnsi="Arial" w:cs="Arial"/>
                <w:caps/>
                <w:sz w:val="20"/>
                <w:szCs w:val="20"/>
                <w:lang w:eastAsia="en-US"/>
              </w:rPr>
              <w:t>Opći cilj:</w:t>
            </w:r>
          </w:p>
        </w:tc>
        <w:tc>
          <w:tcPr>
            <w:tcW w:w="13012" w:type="dxa"/>
            <w:vAlign w:val="bottom"/>
          </w:tcPr>
          <w:p w14:paraId="5F2AFFE4"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Osigurati pravovremeno izvršavanje aktivnosti iz nadležnosti Općinskog vijeća, Općinskog načelnika i Općinske uprave.</w:t>
            </w:r>
          </w:p>
          <w:p w14:paraId="0FA7A832"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Efikasno obavljanje poslova lokalnog značaja, upravljanje Općinom, izvršavanje proračuna. </w:t>
            </w:r>
          </w:p>
          <w:p w14:paraId="2DEC3BE4"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lastRenderedPageBreak/>
              <w:t xml:space="preserve">Cilj programa je, u skladu s mogućnostima proračuna, osigurati nesmetano obavljanje upravnih, stručnih i ostalih poslova Upravnog odjela u kojem se obavljaju poslovi kojima se osiguravaju uvjeti za provođenje i financiranje programa kako bi se zadovoljile potrebe stanovništva u područjima: predškolskog odgoja, kulture, sporta i rekreacije, socijalne skrbi, zaštite, očuvanja i unapređenja zdravlja i razvoja civilnog društva. Poboljšanje i kontrola rada ustanova kojih je osnivač Općina Konavle (Dječji vrtić Konavle, Muzeji i galerije Konavala, Dom za starije i nemoćne osobe Konavle) kao i drugih proračunskih korisnika, zakonito i racionalno raspolaganje proračunskim sredstvima i zakonito postupanje u primjeni propisa u područjima u nadležnosti Upravnog odjela. </w:t>
            </w:r>
          </w:p>
        </w:tc>
      </w:tr>
      <w:tr w:rsidR="00676A9B" w:rsidRPr="00676A9B" w14:paraId="01E941AE" w14:textId="77777777" w:rsidTr="00410A4B">
        <w:tc>
          <w:tcPr>
            <w:tcW w:w="1439" w:type="dxa"/>
            <w:vAlign w:val="bottom"/>
          </w:tcPr>
          <w:p w14:paraId="6C784B5B" w14:textId="77777777" w:rsidR="00676A9B" w:rsidRPr="00676A9B" w:rsidRDefault="00676A9B" w:rsidP="00676A9B">
            <w:pPr>
              <w:spacing w:after="0" w:line="240" w:lineRule="auto"/>
              <w:jc w:val="both"/>
              <w:rPr>
                <w:rFonts w:ascii="Arial" w:eastAsia="Calibri" w:hAnsi="Arial" w:cs="Arial"/>
                <w:caps/>
                <w:sz w:val="20"/>
                <w:szCs w:val="20"/>
                <w:lang w:eastAsia="en-US"/>
              </w:rPr>
            </w:pPr>
            <w:r w:rsidRPr="00676A9B">
              <w:rPr>
                <w:rFonts w:ascii="Arial" w:eastAsia="Calibri" w:hAnsi="Arial" w:cs="Arial"/>
                <w:sz w:val="20"/>
                <w:szCs w:val="20"/>
                <w:lang w:eastAsia="en-US"/>
              </w:rPr>
              <w:lastRenderedPageBreak/>
              <w:t>POSEBNI CILJEVI:</w:t>
            </w:r>
          </w:p>
        </w:tc>
        <w:tc>
          <w:tcPr>
            <w:tcW w:w="13012" w:type="dxa"/>
            <w:vAlign w:val="bottom"/>
          </w:tcPr>
          <w:p w14:paraId="5DEFE1E3"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Osigurati sredstva za redovno obavljanje poslova iz nadležnosti upravnog odjela.</w:t>
            </w:r>
          </w:p>
          <w:p w14:paraId="56B996CF" w14:textId="77777777" w:rsidR="00676A9B" w:rsidRPr="00676A9B" w:rsidRDefault="00676A9B" w:rsidP="00676A9B">
            <w:pPr>
              <w:spacing w:after="0" w:line="240" w:lineRule="auto"/>
              <w:ind w:left="6"/>
              <w:jc w:val="both"/>
              <w:rPr>
                <w:rFonts w:ascii="Arial" w:eastAsia="Calibri" w:hAnsi="Arial" w:cs="Arial"/>
                <w:sz w:val="20"/>
                <w:szCs w:val="20"/>
                <w:lang w:eastAsia="en-US"/>
              </w:rPr>
            </w:pPr>
            <w:r w:rsidRPr="00676A9B">
              <w:rPr>
                <w:rFonts w:ascii="Arial" w:eastAsia="Calibri" w:hAnsi="Arial" w:cs="Arial"/>
                <w:sz w:val="20"/>
                <w:szCs w:val="20"/>
                <w:lang w:eastAsia="en-US"/>
              </w:rPr>
              <w:t>Provođenje mjera efikasnog korištenja sredstava i ostvarenje ušteda. Funkcioniranje proračunskog sustava, zadovoljstvo građana radom upravnog odjela.</w:t>
            </w:r>
          </w:p>
          <w:p w14:paraId="28DB58C5"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Pokazatelj uspješnosti je postignuta razina primjene zakona i drugih propisa, namjensko korištenje sredstava, provedba odluka načelnika i općinskog vijeća, postignuta kvaliteta nadzora nad poslovanjem ustanova i udruga. Za praćenje provedbe programa, projekata i aktivnosti, definiranih u dokumentima Općine, uspostavlja se sustav pokazatelja prema područjima koja se financiraju javnim sredstvima planiranim u Proračunu. </w:t>
            </w:r>
          </w:p>
        </w:tc>
      </w:tr>
    </w:tbl>
    <w:p w14:paraId="6C8967F5" w14:textId="77777777" w:rsidR="00676A9B" w:rsidRPr="00676A9B" w:rsidRDefault="00676A9B" w:rsidP="00676A9B">
      <w:pPr>
        <w:spacing w:after="0" w:line="240" w:lineRule="auto"/>
        <w:jc w:val="both"/>
        <w:rPr>
          <w:rFonts w:ascii="Arial" w:eastAsia="Calibri" w:hAnsi="Arial" w:cs="Arial"/>
          <w:sz w:val="20"/>
          <w:szCs w:val="20"/>
          <w:lang w:eastAsia="en-US"/>
        </w:rPr>
      </w:pPr>
    </w:p>
    <w:p w14:paraId="6E66013D"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676A9B">
        <w:rPr>
          <w:rFonts w:ascii="Arial" w:eastAsia="Calibri" w:hAnsi="Arial" w:cs="Arial"/>
          <w:b/>
          <w:sz w:val="20"/>
          <w:szCs w:val="20"/>
          <w:lang w:eastAsia="en-US"/>
        </w:rPr>
        <w:t>Procjena i ishodište potrebnih sredstava za aktivnosti unutar programa</w:t>
      </w:r>
    </w:p>
    <w:p w14:paraId="5A4A6CD5" w14:textId="77777777" w:rsidR="00676A9B" w:rsidRPr="00676A9B" w:rsidRDefault="00676A9B" w:rsidP="00676A9B">
      <w:pPr>
        <w:spacing w:after="0" w:line="240" w:lineRule="auto"/>
        <w:jc w:val="both"/>
        <w:rPr>
          <w:rFonts w:ascii="Arial" w:eastAsia="Calibri" w:hAnsi="Arial" w:cs="Arial"/>
          <w:sz w:val="20"/>
          <w:szCs w:val="20"/>
        </w:rPr>
      </w:pPr>
    </w:p>
    <w:p w14:paraId="743E01F7" w14:textId="60EC753F" w:rsidR="00676A9B" w:rsidRPr="00676A9B" w:rsidRDefault="008A16BA" w:rsidP="00676A9B">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19CF8F2A" w14:textId="77777777" w:rsidR="00307A6A" w:rsidRDefault="00307A6A" w:rsidP="00676A9B">
      <w:pPr>
        <w:spacing w:after="0" w:line="240" w:lineRule="auto"/>
        <w:jc w:val="both"/>
      </w:pPr>
    </w:p>
    <w:p w14:paraId="09DE51BA" w14:textId="74847D80" w:rsidR="00676A9B" w:rsidRDefault="00307A6A" w:rsidP="00676A9B">
      <w:pPr>
        <w:spacing w:after="0" w:line="240" w:lineRule="auto"/>
        <w:jc w:val="both"/>
        <w:rPr>
          <w:rFonts w:ascii="Arial" w:eastAsia="Calibri" w:hAnsi="Arial" w:cs="Arial"/>
          <w:sz w:val="20"/>
          <w:szCs w:val="20"/>
        </w:rPr>
      </w:pPr>
      <w:r w:rsidRPr="00307A6A">
        <w:rPr>
          <w:noProof/>
        </w:rPr>
        <w:drawing>
          <wp:inline distT="0" distB="0" distL="0" distR="0" wp14:anchorId="65AEDED6" wp14:editId="2E61AF07">
            <wp:extent cx="9251950" cy="1690370"/>
            <wp:effectExtent l="0" t="0" r="6350" b="5080"/>
            <wp:docPr id="115262078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9251950" cy="1690370"/>
                    </a:xfrm>
                    <a:prstGeom prst="rect">
                      <a:avLst/>
                    </a:prstGeom>
                    <a:noFill/>
                    <a:ln>
                      <a:noFill/>
                    </a:ln>
                  </pic:spPr>
                </pic:pic>
              </a:graphicData>
            </a:graphic>
          </wp:inline>
        </w:drawing>
      </w:r>
    </w:p>
    <w:p w14:paraId="4E7A23B9" w14:textId="77777777" w:rsidR="00676A9B" w:rsidRPr="00676A9B" w:rsidRDefault="00676A9B" w:rsidP="00676A9B">
      <w:pPr>
        <w:spacing w:after="0" w:line="240" w:lineRule="auto"/>
        <w:jc w:val="both"/>
        <w:rPr>
          <w:rFonts w:ascii="Arial" w:eastAsia="Calibri" w:hAnsi="Arial" w:cs="Arial"/>
          <w:color w:val="7030A0"/>
          <w:sz w:val="20"/>
          <w:szCs w:val="20"/>
        </w:rPr>
      </w:pPr>
      <w:r w:rsidRPr="00676A9B">
        <w:rPr>
          <w:rFonts w:ascii="Arial" w:eastAsia="Calibri" w:hAnsi="Arial" w:cs="Arial"/>
          <w:color w:val="7030A0"/>
          <w:sz w:val="20"/>
          <w:szCs w:val="20"/>
        </w:rPr>
        <w:t xml:space="preserve">*aktivnosti </w:t>
      </w:r>
      <w:r w:rsidRPr="00676A9B">
        <w:rPr>
          <w:rFonts w:ascii="Arial" w:eastAsia="Times New Roman" w:hAnsi="Arial" w:cs="Arial"/>
          <w:i/>
          <w:iCs/>
          <w:color w:val="7030A0"/>
          <w:sz w:val="18"/>
          <w:szCs w:val="18"/>
          <w:lang w:eastAsia="en-US"/>
        </w:rPr>
        <w:t>Nabava opreme, računalnih programa i druge imovine za potrebe upravnih tijela</w:t>
      </w:r>
      <w:r w:rsidRPr="00676A9B">
        <w:rPr>
          <w:rFonts w:ascii="Arial" w:eastAsia="Calibri" w:hAnsi="Arial" w:cs="Arial"/>
          <w:color w:val="7030A0"/>
          <w:sz w:val="18"/>
          <w:szCs w:val="18"/>
        </w:rPr>
        <w:t xml:space="preserve"> do konca 2018. iskazivana u okviru A 201004 </w:t>
      </w:r>
    </w:p>
    <w:p w14:paraId="3EB93F1B"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b/>
          <w:sz w:val="20"/>
          <w:szCs w:val="20"/>
          <w:lang w:eastAsia="en-US"/>
        </w:rPr>
        <w:t>RAZLOG ODSTUPANJA OD PROŠLOGODIŠNJIH PROJEKCIJA</w:t>
      </w:r>
      <w:r w:rsidRPr="00676A9B">
        <w:rPr>
          <w:rFonts w:ascii="Arial" w:eastAsia="Times New Roman" w:hAnsi="Arial" w:cs="Arial"/>
          <w:sz w:val="20"/>
          <w:szCs w:val="20"/>
          <w:lang w:eastAsia="en-US"/>
        </w:rPr>
        <w:t xml:space="preserve">: </w:t>
      </w:r>
    </w:p>
    <w:p w14:paraId="63B6D2E9"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sz w:val="20"/>
          <w:szCs w:val="20"/>
          <w:lang w:eastAsia="en-US"/>
        </w:rPr>
        <w:t>Po navedenom programu nije bilo značajnijih odstupanja.</w:t>
      </w:r>
    </w:p>
    <w:p w14:paraId="77C62841" w14:textId="77777777" w:rsidR="00676A9B" w:rsidRPr="00676A9B" w:rsidRDefault="00676A9B" w:rsidP="00676A9B">
      <w:pPr>
        <w:spacing w:after="0" w:line="240" w:lineRule="auto"/>
        <w:jc w:val="both"/>
        <w:rPr>
          <w:rFonts w:ascii="Arial" w:eastAsia="Calibri" w:hAnsi="Arial" w:cs="Arial"/>
          <w:i/>
          <w:sz w:val="20"/>
          <w:szCs w:val="20"/>
          <w:lang w:eastAsia="en-US"/>
        </w:rPr>
      </w:pPr>
      <w:r w:rsidRPr="00676A9B">
        <w:rPr>
          <w:rFonts w:ascii="Arial" w:eastAsia="Calibri" w:hAnsi="Arial" w:cs="Arial"/>
          <w:b/>
          <w:sz w:val="20"/>
          <w:szCs w:val="20"/>
          <w:lang w:eastAsia="en-US"/>
        </w:rPr>
        <w:t>Ishodište i pokazatelji na kojima se zasnivaju izračuni i ocjene</w:t>
      </w:r>
      <w:r w:rsidRPr="00676A9B">
        <w:rPr>
          <w:rFonts w:ascii="Arial" w:eastAsia="Calibri" w:hAnsi="Arial" w:cs="Arial"/>
          <w:sz w:val="20"/>
          <w:szCs w:val="20"/>
          <w:lang w:eastAsia="en-US"/>
        </w:rPr>
        <w:t xml:space="preserve"> </w:t>
      </w:r>
      <w:r w:rsidRPr="00676A9B">
        <w:rPr>
          <w:rFonts w:ascii="Arial" w:eastAsia="Calibri" w:hAnsi="Arial" w:cs="Arial"/>
          <w:b/>
          <w:sz w:val="20"/>
          <w:szCs w:val="20"/>
          <w:lang w:eastAsia="en-US"/>
        </w:rPr>
        <w:t>potrebnih sredstava za provođenje programa:</w:t>
      </w:r>
      <w:r w:rsidRPr="00676A9B">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0803503C"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Izvještaj o postignutim ciljevima i rezultatima programa temeljenim na pokazateljima uspješnosti u prethodnoj godini</w:t>
      </w:r>
      <w:r w:rsidRPr="00676A9B">
        <w:rPr>
          <w:rFonts w:ascii="Arial" w:eastAsia="Calibri" w:hAnsi="Arial" w:cs="Arial"/>
          <w:sz w:val="20"/>
          <w:szCs w:val="20"/>
          <w:lang w:eastAsia="en-US"/>
        </w:rPr>
        <w:t>: Izvršenje je u okviru očekivanih vrijednosti.</w:t>
      </w:r>
    </w:p>
    <w:p w14:paraId="0229C2C6" w14:textId="77777777" w:rsidR="00676A9B" w:rsidRPr="00676A9B" w:rsidRDefault="00676A9B" w:rsidP="00676A9B">
      <w:pPr>
        <w:shd w:val="clear" w:color="auto" w:fill="FFFFFF"/>
        <w:spacing w:after="0" w:line="240" w:lineRule="auto"/>
        <w:jc w:val="both"/>
        <w:rPr>
          <w:rFonts w:ascii="Arial" w:eastAsia="Calibri" w:hAnsi="Arial" w:cs="Arial"/>
          <w:sz w:val="20"/>
          <w:szCs w:val="20"/>
          <w:lang w:eastAsia="en-US"/>
        </w:rPr>
      </w:pPr>
    </w:p>
    <w:p w14:paraId="256A3449" w14:textId="43AE1B57" w:rsidR="00307A6A" w:rsidRDefault="00307A6A" w:rsidP="00676A9B">
      <w:pPr>
        <w:spacing w:after="0" w:line="240" w:lineRule="auto"/>
        <w:jc w:val="both"/>
        <w:rPr>
          <w:rFonts w:ascii="Arial" w:eastAsia="Calibri" w:hAnsi="Arial" w:cs="Arial"/>
          <w:sz w:val="20"/>
          <w:szCs w:val="20"/>
          <w:lang w:eastAsia="en-US"/>
        </w:rPr>
      </w:pPr>
      <w:r w:rsidRPr="00307A6A">
        <w:rPr>
          <w:rFonts w:ascii="Arial" w:eastAsia="Calibri" w:hAnsi="Arial" w:cs="Arial"/>
          <w:sz w:val="20"/>
          <w:szCs w:val="20"/>
          <w:lang w:eastAsia="en-US"/>
        </w:rPr>
        <w:t xml:space="preserve">Ukupno planirana sredstva na razini programa 2021 iznose </w:t>
      </w:r>
      <w:r>
        <w:rPr>
          <w:rFonts w:ascii="Arial" w:eastAsia="Calibri" w:hAnsi="Arial" w:cs="Arial"/>
          <w:sz w:val="20"/>
          <w:szCs w:val="20"/>
          <w:lang w:eastAsia="en-US"/>
        </w:rPr>
        <w:t>39.100</w:t>
      </w:r>
      <w:r w:rsidRPr="00307A6A">
        <w:rPr>
          <w:rFonts w:ascii="Arial" w:eastAsia="Calibri" w:hAnsi="Arial" w:cs="Arial"/>
          <w:sz w:val="20"/>
          <w:szCs w:val="20"/>
          <w:lang w:eastAsia="en-US"/>
        </w:rPr>
        <w:t xml:space="preserve"> € za 2025. godinu, te 18.400 € za 2026. i 2027. godinu.</w:t>
      </w:r>
    </w:p>
    <w:p w14:paraId="1721E985" w14:textId="15B972C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Za 202</w:t>
      </w:r>
      <w:r w:rsidR="00307A6A">
        <w:rPr>
          <w:rFonts w:ascii="Arial" w:eastAsia="Calibri" w:hAnsi="Arial" w:cs="Arial"/>
          <w:sz w:val="20"/>
          <w:szCs w:val="20"/>
          <w:lang w:eastAsia="en-US"/>
        </w:rPr>
        <w:t>5</w:t>
      </w:r>
      <w:r w:rsidRPr="00676A9B">
        <w:rPr>
          <w:rFonts w:ascii="Arial" w:eastAsia="Calibri" w:hAnsi="Arial" w:cs="Arial"/>
          <w:sz w:val="20"/>
          <w:szCs w:val="20"/>
          <w:lang w:eastAsia="en-US"/>
        </w:rPr>
        <w:t xml:space="preserve">. godinu ovaj program je izvršen u iznosu </w:t>
      </w:r>
      <w:r w:rsidR="00307A6A">
        <w:rPr>
          <w:rFonts w:ascii="Arial" w:eastAsia="Calibri" w:hAnsi="Arial" w:cs="Arial"/>
          <w:sz w:val="20"/>
          <w:szCs w:val="20"/>
          <w:lang w:eastAsia="en-US"/>
        </w:rPr>
        <w:t>24.023,60</w:t>
      </w:r>
      <w:r w:rsidRPr="00676A9B">
        <w:rPr>
          <w:rFonts w:ascii="Arial" w:eastAsia="Calibri" w:hAnsi="Arial" w:cs="Arial"/>
          <w:sz w:val="20"/>
          <w:szCs w:val="20"/>
          <w:lang w:eastAsia="en-US"/>
        </w:rPr>
        <w:t xml:space="preserve"> € ili </w:t>
      </w:r>
      <w:r w:rsidR="00307A6A">
        <w:rPr>
          <w:rFonts w:ascii="Arial" w:eastAsia="Calibri" w:hAnsi="Arial" w:cs="Arial"/>
          <w:sz w:val="20"/>
          <w:szCs w:val="20"/>
          <w:lang w:eastAsia="en-US"/>
        </w:rPr>
        <w:t>61,4</w:t>
      </w:r>
      <w:r w:rsidRPr="00676A9B">
        <w:rPr>
          <w:rFonts w:ascii="Arial" w:eastAsia="Calibri" w:hAnsi="Arial" w:cs="Arial"/>
          <w:sz w:val="20"/>
          <w:szCs w:val="20"/>
          <w:lang w:eastAsia="en-US"/>
        </w:rPr>
        <w:t>%.</w:t>
      </w:r>
    </w:p>
    <w:p w14:paraId="0B0840A7"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11F58160"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676A9B">
        <w:rPr>
          <w:rFonts w:ascii="Arial" w:eastAsia="Calibri" w:hAnsi="Arial" w:cs="Arial"/>
          <w:b/>
          <w:sz w:val="20"/>
          <w:szCs w:val="20"/>
          <w:lang w:eastAsia="en-US"/>
        </w:rPr>
        <w:lastRenderedPageBreak/>
        <w:t>Obrazloženje aktivnosti / projekata i pokazatelji uspješnosti</w:t>
      </w:r>
    </w:p>
    <w:p w14:paraId="1270F96C"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131D6AE5"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Unutar programa izvode se slijedeće aktivnosti i projekti:</w:t>
      </w:r>
    </w:p>
    <w:p w14:paraId="6A9A91AE" w14:textId="77777777" w:rsidR="00676A9B" w:rsidRPr="00837796" w:rsidRDefault="00676A9B" w:rsidP="00676A9B">
      <w:pPr>
        <w:autoSpaceDE w:val="0"/>
        <w:autoSpaceDN w:val="0"/>
        <w:adjustRightInd w:val="0"/>
        <w:spacing w:after="0" w:line="240" w:lineRule="auto"/>
        <w:jc w:val="both"/>
        <w:rPr>
          <w:rFonts w:ascii="Arial" w:eastAsia="Calibri" w:hAnsi="Arial" w:cs="Arial"/>
          <w:sz w:val="20"/>
          <w:szCs w:val="20"/>
        </w:rPr>
      </w:pPr>
    </w:p>
    <w:p w14:paraId="46D3ACC8" w14:textId="51A25723" w:rsidR="00676A9B" w:rsidRPr="000D0451"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837796">
        <w:rPr>
          <w:rFonts w:ascii="Arial" w:eastAsia="Calibri" w:hAnsi="Arial" w:cs="Arial"/>
          <w:b/>
          <w:sz w:val="20"/>
          <w:szCs w:val="20"/>
          <w:lang w:eastAsia="en-US"/>
        </w:rPr>
        <w:t xml:space="preserve">1. A202101: Aktivnosti redovnog rada upravnog odjela - </w:t>
      </w:r>
      <w:r w:rsidRPr="00837796">
        <w:rPr>
          <w:rFonts w:ascii="Arial" w:eastAsia="Calibri" w:hAnsi="Arial" w:cs="Arial"/>
          <w:sz w:val="20"/>
          <w:szCs w:val="20"/>
          <w:lang w:eastAsia="en-US"/>
        </w:rPr>
        <w:t xml:space="preserve">u sklopu navedene aktivnosti su rashodi za materijalne rashode i rashode za usluge u nadležnosti odjela, kao što su troškovi objave natječaja i slični troškovi. Ovi troškovi su planirani u iznosu </w:t>
      </w:r>
      <w:r w:rsidR="00837796" w:rsidRPr="00837796">
        <w:rPr>
          <w:rFonts w:ascii="Arial" w:eastAsia="Calibri" w:hAnsi="Arial" w:cs="Arial"/>
          <w:sz w:val="20"/>
          <w:szCs w:val="20"/>
          <w:lang w:eastAsia="en-US"/>
        </w:rPr>
        <w:t>10</w:t>
      </w:r>
      <w:r w:rsidRPr="00837796">
        <w:rPr>
          <w:rFonts w:ascii="Arial" w:eastAsia="Calibri" w:hAnsi="Arial" w:cs="Arial"/>
          <w:sz w:val="20"/>
          <w:szCs w:val="20"/>
          <w:lang w:eastAsia="en-US"/>
        </w:rPr>
        <w:t xml:space="preserve">.000 €. U okviru ove aktivnosti se uobičajeno izvršavaju troškovi oglašavanja postupaka javne nabave i natječaja na portalu </w:t>
      </w:r>
      <w:hyperlink r:id="rId119" w:history="1">
        <w:r w:rsidRPr="00837796">
          <w:rPr>
            <w:rFonts w:ascii="Arial" w:eastAsia="Calibri" w:hAnsi="Arial" w:cs="Arial"/>
            <w:sz w:val="20"/>
            <w:szCs w:val="20"/>
            <w:u w:val="single"/>
            <w:lang w:eastAsia="en-US"/>
          </w:rPr>
          <w:t>https://eojn.nn.hr/</w:t>
        </w:r>
      </w:hyperlink>
      <w:r w:rsidRPr="00837796">
        <w:rPr>
          <w:rFonts w:ascii="Arial" w:eastAsia="Calibri" w:hAnsi="Arial" w:cs="Arial"/>
          <w:sz w:val="20"/>
          <w:szCs w:val="20"/>
          <w:lang w:eastAsia="en-US"/>
        </w:rPr>
        <w:t xml:space="preserve">, troškovi objave javnih poziva i natječaja za financiranje udruga, troškovi objave natječaja za dodjelu </w:t>
      </w:r>
      <w:r w:rsidRPr="000D0451">
        <w:rPr>
          <w:rFonts w:ascii="Arial" w:eastAsia="Calibri" w:hAnsi="Arial" w:cs="Arial"/>
          <w:sz w:val="20"/>
          <w:szCs w:val="20"/>
          <w:lang w:eastAsia="en-US"/>
        </w:rPr>
        <w:t>stipendija, izradu plana i izvješća o provedbi plana upravljanja, troškove održavanja projekta savjetovanja s javnošću i slično.</w:t>
      </w:r>
    </w:p>
    <w:p w14:paraId="41985610" w14:textId="26B603CB" w:rsidR="00676A9B" w:rsidRPr="000D0451" w:rsidRDefault="00676A9B" w:rsidP="00676A9B">
      <w:pPr>
        <w:autoSpaceDE w:val="0"/>
        <w:autoSpaceDN w:val="0"/>
        <w:adjustRightInd w:val="0"/>
        <w:spacing w:after="0" w:line="240" w:lineRule="auto"/>
        <w:jc w:val="both"/>
        <w:rPr>
          <w:rFonts w:ascii="Arial" w:eastAsia="Calibri" w:hAnsi="Arial" w:cs="Arial"/>
          <w:sz w:val="20"/>
          <w:szCs w:val="20"/>
        </w:rPr>
      </w:pPr>
      <w:r w:rsidRPr="000D0451">
        <w:rPr>
          <w:rFonts w:ascii="Arial" w:eastAsia="Calibri" w:hAnsi="Arial" w:cs="Arial"/>
          <w:sz w:val="20"/>
          <w:szCs w:val="20"/>
        </w:rPr>
        <w:t xml:space="preserve">Ovi rashodi su u tekućoj godini izvršeni u iznosu </w:t>
      </w:r>
      <w:r w:rsidR="00837796" w:rsidRPr="000D0451">
        <w:rPr>
          <w:rFonts w:ascii="Arial" w:eastAsia="Calibri" w:hAnsi="Arial" w:cs="Arial"/>
          <w:sz w:val="20"/>
          <w:szCs w:val="20"/>
        </w:rPr>
        <w:t>7.130,55</w:t>
      </w:r>
      <w:r w:rsidRPr="000D0451">
        <w:rPr>
          <w:rFonts w:ascii="Arial" w:eastAsia="Calibri" w:hAnsi="Arial" w:cs="Arial"/>
          <w:sz w:val="20"/>
          <w:szCs w:val="20"/>
        </w:rPr>
        <w:t xml:space="preserve"> € i odnose se na rashode za održavanje Internet stranice za upravljanje imovinom u iznosu </w:t>
      </w:r>
      <w:r w:rsidR="00837796" w:rsidRPr="000D0451">
        <w:rPr>
          <w:rFonts w:ascii="Arial" w:eastAsia="Calibri" w:hAnsi="Arial" w:cs="Arial"/>
          <w:sz w:val="20"/>
          <w:szCs w:val="20"/>
        </w:rPr>
        <w:t>600</w:t>
      </w:r>
      <w:r w:rsidRPr="000D0451">
        <w:rPr>
          <w:rFonts w:ascii="Arial" w:eastAsia="Calibri" w:hAnsi="Arial" w:cs="Arial"/>
          <w:sz w:val="20"/>
          <w:szCs w:val="20"/>
        </w:rPr>
        <w:t xml:space="preserve"> €, izradu plana upravljanja imovinom i izvješća o provedbi plana </w:t>
      </w:r>
      <w:r w:rsidR="00837796" w:rsidRPr="000D0451">
        <w:rPr>
          <w:rFonts w:ascii="Arial" w:eastAsia="Calibri" w:hAnsi="Arial" w:cs="Arial"/>
          <w:sz w:val="20"/>
          <w:szCs w:val="20"/>
        </w:rPr>
        <w:t>2</w:t>
      </w:r>
      <w:r w:rsidRPr="000D0451">
        <w:rPr>
          <w:rFonts w:ascii="Arial" w:eastAsia="Calibri" w:hAnsi="Arial" w:cs="Arial"/>
          <w:sz w:val="20"/>
          <w:szCs w:val="20"/>
        </w:rPr>
        <w:t xml:space="preserve">.200 €, troškove održavanja projekta savjetovanja s javnošću </w:t>
      </w:r>
      <w:r w:rsidR="00837796" w:rsidRPr="000D0451">
        <w:rPr>
          <w:rFonts w:ascii="Arial" w:eastAsia="Calibri" w:hAnsi="Arial" w:cs="Arial"/>
          <w:sz w:val="20"/>
          <w:szCs w:val="20"/>
        </w:rPr>
        <w:t>780</w:t>
      </w:r>
      <w:r w:rsidRPr="000D0451">
        <w:rPr>
          <w:rFonts w:ascii="Arial" w:eastAsia="Calibri" w:hAnsi="Arial" w:cs="Arial"/>
          <w:sz w:val="20"/>
          <w:szCs w:val="20"/>
        </w:rPr>
        <w:t xml:space="preserve"> €,</w:t>
      </w:r>
      <w:r w:rsidR="00837796" w:rsidRPr="000D0451">
        <w:rPr>
          <w:rFonts w:ascii="Arial" w:eastAsia="Calibri" w:hAnsi="Arial" w:cs="Arial"/>
          <w:sz w:val="20"/>
          <w:szCs w:val="20"/>
        </w:rPr>
        <w:t xml:space="preserve"> usluge prijenosa arhivske građe 746,52 €, prijevod s hrvatskog na grčki jezik sporazuma o prijateljstvu između Općine i grada Epidaurus 130 €, </w:t>
      </w:r>
      <w:r w:rsidR="000D0451" w:rsidRPr="000D0451">
        <w:rPr>
          <w:rFonts w:ascii="Arial" w:eastAsia="Calibri" w:hAnsi="Arial" w:cs="Arial"/>
          <w:sz w:val="20"/>
          <w:szCs w:val="20"/>
        </w:rPr>
        <w:t>izdatak za jamčevni polog vezan uz zakup poslovnog prostora za uređenje budueg muzeja vatrpola 1.000 €, zakup prostora za muzej vaterpola 1.079,09 €, objava natječaja u</w:t>
      </w:r>
      <w:r w:rsidRPr="000D0451">
        <w:rPr>
          <w:rFonts w:ascii="Arial" w:eastAsia="Calibri" w:hAnsi="Arial" w:cs="Arial"/>
          <w:sz w:val="20"/>
          <w:szCs w:val="20"/>
        </w:rPr>
        <w:t xml:space="preserve"> tisku za dodjelu stipendija </w:t>
      </w:r>
      <w:r w:rsidR="000D0451" w:rsidRPr="000D0451">
        <w:rPr>
          <w:rFonts w:ascii="Arial" w:eastAsia="Calibri" w:hAnsi="Arial" w:cs="Arial"/>
          <w:sz w:val="20"/>
          <w:szCs w:val="20"/>
        </w:rPr>
        <w:t xml:space="preserve">i javni poziv za predlaganje javnih potreba u kulturi 594,94 €. </w:t>
      </w:r>
      <w:r w:rsidRPr="000D0451">
        <w:rPr>
          <w:rFonts w:ascii="Arial" w:eastAsia="Calibri" w:hAnsi="Arial" w:cs="Arial"/>
          <w:sz w:val="20"/>
          <w:szCs w:val="20"/>
        </w:rPr>
        <w:t xml:space="preserve"> </w:t>
      </w:r>
    </w:p>
    <w:p w14:paraId="0C2A82C0" w14:textId="77777777" w:rsidR="00676A9B" w:rsidRPr="000D0451"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55E6B88B" w14:textId="77777777" w:rsidR="00676A9B" w:rsidRPr="000D0451" w:rsidRDefault="00676A9B" w:rsidP="00676A9B">
      <w:pPr>
        <w:suppressAutoHyphens/>
        <w:spacing w:after="0" w:line="240" w:lineRule="auto"/>
        <w:jc w:val="both"/>
        <w:rPr>
          <w:rFonts w:ascii="Arial" w:eastAsia="Times New Roman" w:hAnsi="Arial" w:cs="Arial"/>
          <w:sz w:val="20"/>
          <w:szCs w:val="20"/>
          <w:lang w:eastAsia="en-US"/>
        </w:rPr>
      </w:pPr>
      <w:r w:rsidRPr="000D0451">
        <w:rPr>
          <w:rFonts w:ascii="Arial" w:eastAsia="Calibri" w:hAnsi="Arial" w:cs="Arial"/>
          <w:sz w:val="20"/>
          <w:szCs w:val="20"/>
          <w:lang w:eastAsia="en-US"/>
        </w:rPr>
        <w:t xml:space="preserve">CILJ: </w:t>
      </w:r>
      <w:r w:rsidRPr="000D0451">
        <w:rPr>
          <w:rFonts w:ascii="Arial" w:eastAsia="Times New Roman" w:hAnsi="Arial" w:cs="Arial"/>
          <w:sz w:val="20"/>
          <w:szCs w:val="20"/>
          <w:lang w:eastAsia="en-US"/>
        </w:rPr>
        <w:t>Provoditi mjere za postizanje ekonomičnog i efikasnog ostvarenja programa kroz obavljanje ostalih poslova iz djelokruga rada upravnog tijela</w:t>
      </w:r>
    </w:p>
    <w:p w14:paraId="0F42A090" w14:textId="77777777" w:rsidR="00676A9B" w:rsidRPr="000D0451" w:rsidRDefault="00676A9B" w:rsidP="00676A9B">
      <w:pPr>
        <w:autoSpaceDE w:val="0"/>
        <w:autoSpaceDN w:val="0"/>
        <w:adjustRightInd w:val="0"/>
        <w:spacing w:after="0" w:line="240" w:lineRule="auto"/>
        <w:jc w:val="both"/>
        <w:rPr>
          <w:rFonts w:ascii="Arial" w:eastAsia="Calibri" w:hAnsi="Arial" w:cs="Arial"/>
          <w:sz w:val="20"/>
          <w:szCs w:val="20"/>
          <w:lang w:eastAsia="en-US"/>
        </w:rPr>
      </w:pPr>
    </w:p>
    <w:tbl>
      <w:tblPr>
        <w:tblW w:w="13755" w:type="dxa"/>
        <w:jc w:val="center"/>
        <w:tblLayout w:type="fixed"/>
        <w:tblLook w:val="04A0" w:firstRow="1" w:lastRow="0" w:firstColumn="1" w:lastColumn="0" w:noHBand="0" w:noVBand="1"/>
      </w:tblPr>
      <w:tblGrid>
        <w:gridCol w:w="2411"/>
        <w:gridCol w:w="2976"/>
        <w:gridCol w:w="1701"/>
        <w:gridCol w:w="1701"/>
        <w:gridCol w:w="998"/>
        <w:gridCol w:w="992"/>
        <w:gridCol w:w="992"/>
        <w:gridCol w:w="992"/>
        <w:gridCol w:w="992"/>
      </w:tblGrid>
      <w:tr w:rsidR="000D0451" w:rsidRPr="000D0451" w14:paraId="1D000677" w14:textId="77777777" w:rsidTr="00410A4B">
        <w:trPr>
          <w:trHeight w:val="617"/>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A1675A7" w14:textId="77777777" w:rsidR="00676A9B" w:rsidRPr="000D0451" w:rsidRDefault="00676A9B" w:rsidP="00676A9B">
            <w:pPr>
              <w:spacing w:after="0" w:line="240" w:lineRule="auto"/>
              <w:jc w:val="both"/>
              <w:rPr>
                <w:rFonts w:ascii="Arial" w:eastAsia="Calibri" w:hAnsi="Arial" w:cs="Arial"/>
                <w:sz w:val="18"/>
                <w:szCs w:val="18"/>
                <w:lang w:eastAsia="en-US"/>
              </w:rPr>
            </w:pPr>
            <w:r w:rsidRPr="000D0451">
              <w:rPr>
                <w:rFonts w:ascii="Arial" w:eastAsia="Calibri" w:hAnsi="Arial" w:cs="Arial"/>
                <w:sz w:val="18"/>
                <w:szCs w:val="18"/>
                <w:lang w:eastAsia="en-US"/>
              </w:rPr>
              <w:t>Pokazatelj rezultata</w:t>
            </w:r>
          </w:p>
        </w:tc>
        <w:tc>
          <w:tcPr>
            <w:tcW w:w="29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AAC4A22" w14:textId="77777777" w:rsidR="00676A9B" w:rsidRPr="000D0451" w:rsidRDefault="00676A9B" w:rsidP="00676A9B">
            <w:pPr>
              <w:spacing w:after="0" w:line="240" w:lineRule="auto"/>
              <w:jc w:val="both"/>
              <w:rPr>
                <w:rFonts w:ascii="Arial" w:eastAsia="Calibri" w:hAnsi="Arial" w:cs="Arial"/>
                <w:sz w:val="18"/>
                <w:szCs w:val="18"/>
                <w:lang w:eastAsia="en-US"/>
              </w:rPr>
            </w:pPr>
            <w:r w:rsidRPr="000D0451">
              <w:rPr>
                <w:rFonts w:ascii="Arial" w:eastAsia="Calibri" w:hAnsi="Arial" w:cs="Arial"/>
                <w:sz w:val="18"/>
                <w:szCs w:val="18"/>
                <w:lang w:eastAsia="en-US"/>
              </w:rPr>
              <w:t>Definicija</w:t>
            </w:r>
          </w:p>
        </w:tc>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EA4B23F" w14:textId="77777777" w:rsidR="00676A9B" w:rsidRPr="000D0451" w:rsidRDefault="00676A9B" w:rsidP="00676A9B">
            <w:pPr>
              <w:spacing w:after="0" w:line="240" w:lineRule="auto"/>
              <w:jc w:val="both"/>
              <w:rPr>
                <w:rFonts w:ascii="Arial" w:eastAsia="Calibri" w:hAnsi="Arial" w:cs="Arial"/>
                <w:sz w:val="18"/>
                <w:szCs w:val="18"/>
                <w:lang w:eastAsia="en-US"/>
              </w:rPr>
            </w:pPr>
            <w:r w:rsidRPr="000D0451">
              <w:rPr>
                <w:rFonts w:ascii="Arial" w:eastAsia="Calibri" w:hAnsi="Arial" w:cs="Arial"/>
                <w:sz w:val="18"/>
                <w:szCs w:val="18"/>
                <w:lang w:eastAsia="en-US"/>
              </w:rPr>
              <w:t>Jedinica</w:t>
            </w:r>
          </w:p>
        </w:tc>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F57080E" w14:textId="77777777" w:rsidR="00676A9B" w:rsidRPr="000D0451" w:rsidRDefault="00676A9B" w:rsidP="00676A9B">
            <w:pPr>
              <w:spacing w:after="0" w:line="240" w:lineRule="auto"/>
              <w:jc w:val="both"/>
              <w:rPr>
                <w:rFonts w:ascii="Arial" w:eastAsia="Calibri" w:hAnsi="Arial" w:cs="Arial"/>
                <w:sz w:val="18"/>
                <w:szCs w:val="18"/>
                <w:lang w:eastAsia="en-US"/>
              </w:rPr>
            </w:pPr>
            <w:r w:rsidRPr="000D0451">
              <w:rPr>
                <w:rFonts w:ascii="Arial" w:eastAsia="Calibri" w:hAnsi="Arial" w:cs="Arial"/>
                <w:sz w:val="18"/>
                <w:szCs w:val="18"/>
                <w:lang w:eastAsia="en-US"/>
              </w:rPr>
              <w:t>Izvor podataka</w:t>
            </w:r>
          </w:p>
        </w:tc>
        <w:tc>
          <w:tcPr>
            <w:tcW w:w="99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8DCF3DF" w14:textId="64B500A4" w:rsidR="00676A9B" w:rsidRPr="000D0451" w:rsidRDefault="00676A9B" w:rsidP="00676A9B">
            <w:pPr>
              <w:spacing w:after="0" w:line="240" w:lineRule="auto"/>
              <w:jc w:val="center"/>
              <w:rPr>
                <w:rFonts w:ascii="Arial" w:eastAsia="Calibri" w:hAnsi="Arial" w:cs="Arial"/>
                <w:sz w:val="18"/>
                <w:szCs w:val="18"/>
                <w:lang w:eastAsia="en-US"/>
              </w:rPr>
            </w:pPr>
            <w:r w:rsidRPr="000D0451">
              <w:rPr>
                <w:rFonts w:ascii="Arial" w:eastAsia="Calibri" w:hAnsi="Arial" w:cs="Arial"/>
                <w:sz w:val="18"/>
                <w:szCs w:val="18"/>
                <w:lang w:eastAsia="en-US"/>
              </w:rPr>
              <w:t>Polazna vrijednost 202</w:t>
            </w:r>
            <w:r w:rsidR="000D0451" w:rsidRPr="000D0451">
              <w:rPr>
                <w:rFonts w:ascii="Arial" w:eastAsia="Calibri" w:hAnsi="Arial" w:cs="Arial"/>
                <w:sz w:val="18"/>
                <w:szCs w:val="18"/>
                <w:lang w:eastAsia="en-US"/>
              </w:rPr>
              <w:t>4</w:t>
            </w:r>
            <w:r w:rsidRPr="000D0451">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84BCB4" w14:textId="3C842B11" w:rsidR="00676A9B" w:rsidRPr="000D0451" w:rsidRDefault="00676A9B" w:rsidP="00676A9B">
            <w:pPr>
              <w:spacing w:after="0" w:line="240" w:lineRule="auto"/>
              <w:jc w:val="center"/>
              <w:rPr>
                <w:rFonts w:ascii="Arial" w:eastAsia="Calibri" w:hAnsi="Arial" w:cs="Arial"/>
                <w:sz w:val="18"/>
                <w:szCs w:val="18"/>
                <w:lang w:eastAsia="en-US"/>
              </w:rPr>
            </w:pPr>
            <w:r w:rsidRPr="000D0451">
              <w:rPr>
                <w:rFonts w:ascii="Arial" w:eastAsia="Calibri" w:hAnsi="Arial" w:cs="Arial"/>
                <w:sz w:val="18"/>
                <w:szCs w:val="18"/>
                <w:lang w:eastAsia="en-US"/>
              </w:rPr>
              <w:t>Ciljana vrijednost 202</w:t>
            </w:r>
            <w:r w:rsidR="000D0451" w:rsidRPr="000D0451">
              <w:rPr>
                <w:rFonts w:ascii="Arial" w:eastAsia="Calibri" w:hAnsi="Arial" w:cs="Arial"/>
                <w:sz w:val="18"/>
                <w:szCs w:val="18"/>
                <w:lang w:eastAsia="en-US"/>
              </w:rPr>
              <w:t>5</w:t>
            </w:r>
            <w:r w:rsidRPr="000D0451">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248279F" w14:textId="61A80627" w:rsidR="00676A9B" w:rsidRPr="000D0451" w:rsidRDefault="00676A9B" w:rsidP="00676A9B">
            <w:pPr>
              <w:spacing w:after="0" w:line="240" w:lineRule="auto"/>
              <w:jc w:val="center"/>
              <w:rPr>
                <w:rFonts w:ascii="Arial" w:eastAsia="Calibri" w:hAnsi="Arial" w:cs="Arial"/>
                <w:sz w:val="18"/>
                <w:szCs w:val="18"/>
                <w:lang w:eastAsia="en-US"/>
              </w:rPr>
            </w:pPr>
            <w:r w:rsidRPr="000D0451">
              <w:rPr>
                <w:rFonts w:ascii="Arial" w:eastAsia="Calibri" w:hAnsi="Arial" w:cs="Arial"/>
                <w:sz w:val="18"/>
                <w:szCs w:val="18"/>
                <w:lang w:eastAsia="en-US"/>
              </w:rPr>
              <w:t>Izvršeno 202</w:t>
            </w:r>
            <w:r w:rsidR="000D0451" w:rsidRPr="000D0451">
              <w:rPr>
                <w:rFonts w:ascii="Arial" w:eastAsia="Calibri" w:hAnsi="Arial" w:cs="Arial"/>
                <w:sz w:val="18"/>
                <w:szCs w:val="18"/>
                <w:lang w:eastAsia="en-US"/>
              </w:rPr>
              <w:t>5</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524DDA0" w14:textId="6FCBA2C7" w:rsidR="00676A9B" w:rsidRPr="000D0451" w:rsidRDefault="00676A9B" w:rsidP="00676A9B">
            <w:pPr>
              <w:spacing w:after="0" w:line="240" w:lineRule="auto"/>
              <w:jc w:val="center"/>
              <w:rPr>
                <w:rFonts w:ascii="Arial" w:eastAsia="Calibri" w:hAnsi="Arial" w:cs="Arial"/>
                <w:sz w:val="18"/>
                <w:szCs w:val="18"/>
                <w:lang w:eastAsia="en-US"/>
              </w:rPr>
            </w:pPr>
            <w:r w:rsidRPr="000D0451">
              <w:rPr>
                <w:rFonts w:ascii="Arial" w:eastAsia="Calibri" w:hAnsi="Arial" w:cs="Arial"/>
                <w:sz w:val="18"/>
                <w:szCs w:val="18"/>
                <w:lang w:eastAsia="en-US"/>
              </w:rPr>
              <w:t>Ciljana vrijednost 202</w:t>
            </w:r>
            <w:r w:rsidR="000D0451" w:rsidRPr="000D0451">
              <w:rPr>
                <w:rFonts w:ascii="Arial" w:eastAsia="Calibri" w:hAnsi="Arial" w:cs="Arial"/>
                <w:sz w:val="18"/>
                <w:szCs w:val="18"/>
                <w:lang w:eastAsia="en-US"/>
              </w:rPr>
              <w:t>6</w:t>
            </w:r>
            <w:r w:rsidRPr="000D0451">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256F4F4" w14:textId="4D459944" w:rsidR="00676A9B" w:rsidRPr="000D0451" w:rsidRDefault="00676A9B" w:rsidP="00676A9B">
            <w:pPr>
              <w:spacing w:after="0" w:line="240" w:lineRule="auto"/>
              <w:jc w:val="center"/>
              <w:rPr>
                <w:rFonts w:ascii="Arial" w:eastAsia="Calibri" w:hAnsi="Arial" w:cs="Arial"/>
                <w:sz w:val="18"/>
                <w:szCs w:val="18"/>
                <w:lang w:eastAsia="en-US"/>
              </w:rPr>
            </w:pPr>
            <w:r w:rsidRPr="000D0451">
              <w:rPr>
                <w:rFonts w:ascii="Arial" w:eastAsia="Calibri" w:hAnsi="Arial" w:cs="Arial"/>
                <w:sz w:val="18"/>
                <w:szCs w:val="18"/>
                <w:lang w:eastAsia="en-US"/>
              </w:rPr>
              <w:t>Ciljana vrijednost 202</w:t>
            </w:r>
            <w:r w:rsidR="000D0451" w:rsidRPr="000D0451">
              <w:rPr>
                <w:rFonts w:ascii="Arial" w:eastAsia="Calibri" w:hAnsi="Arial" w:cs="Arial"/>
                <w:sz w:val="18"/>
                <w:szCs w:val="18"/>
                <w:lang w:eastAsia="en-US"/>
              </w:rPr>
              <w:t>7</w:t>
            </w:r>
            <w:r w:rsidRPr="000D0451">
              <w:rPr>
                <w:rFonts w:ascii="Arial" w:eastAsia="Calibri" w:hAnsi="Arial" w:cs="Arial"/>
                <w:sz w:val="18"/>
                <w:szCs w:val="18"/>
                <w:lang w:eastAsia="en-US"/>
              </w:rPr>
              <w:t>.</w:t>
            </w:r>
          </w:p>
        </w:tc>
      </w:tr>
      <w:tr w:rsidR="00676A9B" w:rsidRPr="000D0451" w14:paraId="72F9C8B3" w14:textId="77777777" w:rsidTr="00410A4B">
        <w:trPr>
          <w:trHeight w:val="617"/>
          <w:jc w:val="center"/>
        </w:trPr>
        <w:tc>
          <w:tcPr>
            <w:tcW w:w="2411" w:type="dxa"/>
            <w:tcBorders>
              <w:top w:val="single" w:sz="4" w:space="0" w:color="000000"/>
              <w:left w:val="single" w:sz="4" w:space="0" w:color="000000"/>
              <w:bottom w:val="single" w:sz="4" w:space="0" w:color="000000"/>
              <w:right w:val="single" w:sz="4" w:space="0" w:color="000000"/>
            </w:tcBorders>
          </w:tcPr>
          <w:p w14:paraId="2504C432" w14:textId="77777777" w:rsidR="00676A9B" w:rsidRPr="000D0451" w:rsidRDefault="00676A9B" w:rsidP="00676A9B">
            <w:pPr>
              <w:spacing w:after="0" w:line="240" w:lineRule="auto"/>
              <w:rPr>
                <w:rFonts w:ascii="Arial" w:eastAsia="Times New Roman" w:hAnsi="Arial" w:cs="Arial"/>
                <w:sz w:val="18"/>
                <w:szCs w:val="18"/>
                <w:lang w:eastAsia="en-US"/>
              </w:rPr>
            </w:pPr>
            <w:r w:rsidRPr="000D0451">
              <w:rPr>
                <w:rFonts w:ascii="Arial" w:eastAsia="Times New Roman" w:hAnsi="Arial" w:cs="Arial"/>
                <w:sz w:val="18"/>
                <w:szCs w:val="18"/>
                <w:lang w:eastAsia="en-US"/>
              </w:rPr>
              <w:t>Uspješna realizacija svih planiranih prihoda, aktivnosti i projekata te ostalih zakonom propisanih poslova</w:t>
            </w:r>
          </w:p>
        </w:tc>
        <w:tc>
          <w:tcPr>
            <w:tcW w:w="2976" w:type="dxa"/>
            <w:tcBorders>
              <w:top w:val="single" w:sz="4" w:space="0" w:color="000000"/>
              <w:left w:val="single" w:sz="4" w:space="0" w:color="000000"/>
              <w:bottom w:val="single" w:sz="4" w:space="0" w:color="000000"/>
              <w:right w:val="single" w:sz="4" w:space="0" w:color="000000"/>
            </w:tcBorders>
          </w:tcPr>
          <w:p w14:paraId="42E77826" w14:textId="77777777" w:rsidR="00676A9B" w:rsidRPr="000D0451" w:rsidRDefault="00676A9B" w:rsidP="00676A9B">
            <w:pPr>
              <w:spacing w:after="0" w:line="240" w:lineRule="auto"/>
              <w:rPr>
                <w:rFonts w:ascii="Arial" w:eastAsia="Times New Roman" w:hAnsi="Arial" w:cs="Arial"/>
                <w:sz w:val="18"/>
                <w:szCs w:val="18"/>
                <w:lang w:eastAsia="en-US"/>
              </w:rPr>
            </w:pPr>
            <w:r w:rsidRPr="000D0451">
              <w:rPr>
                <w:rFonts w:ascii="Arial" w:eastAsia="Times New Roman" w:hAnsi="Arial" w:cs="Arial"/>
                <w:sz w:val="18"/>
                <w:szCs w:val="18"/>
                <w:lang w:eastAsia="en-US"/>
              </w:rPr>
              <w:t xml:space="preserve">Pravovremeno podmirivanje tekućih troškova poslovanja </w:t>
            </w:r>
          </w:p>
        </w:tc>
        <w:tc>
          <w:tcPr>
            <w:tcW w:w="1701" w:type="dxa"/>
            <w:tcBorders>
              <w:top w:val="single" w:sz="4" w:space="0" w:color="000000"/>
              <w:left w:val="single" w:sz="4" w:space="0" w:color="000000"/>
              <w:bottom w:val="single" w:sz="4" w:space="0" w:color="000000"/>
              <w:right w:val="single" w:sz="4" w:space="0" w:color="000000"/>
            </w:tcBorders>
            <w:vAlign w:val="center"/>
          </w:tcPr>
          <w:p w14:paraId="44F9164E" w14:textId="77777777" w:rsidR="00676A9B" w:rsidRPr="000D0451" w:rsidRDefault="00676A9B" w:rsidP="00676A9B">
            <w:pPr>
              <w:spacing w:after="0" w:line="240" w:lineRule="auto"/>
              <w:jc w:val="center"/>
              <w:rPr>
                <w:rFonts w:ascii="Arial" w:eastAsia="Times New Roman" w:hAnsi="Arial" w:cs="Arial"/>
                <w:sz w:val="20"/>
                <w:szCs w:val="20"/>
                <w:lang w:eastAsia="en-US"/>
              </w:rPr>
            </w:pPr>
            <w:r w:rsidRPr="000D0451">
              <w:rPr>
                <w:rFonts w:ascii="Arial" w:eastAsia="Calibri" w:hAnsi="Arial" w:cs="Arial"/>
                <w:sz w:val="20"/>
                <w:szCs w:val="20"/>
                <w:lang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14:paraId="22D999A3" w14:textId="77777777" w:rsidR="00676A9B" w:rsidRPr="000D0451" w:rsidRDefault="00676A9B" w:rsidP="00676A9B">
            <w:pPr>
              <w:spacing w:after="0" w:line="240" w:lineRule="auto"/>
              <w:jc w:val="center"/>
              <w:rPr>
                <w:rFonts w:ascii="Arial" w:eastAsia="Times New Roman" w:hAnsi="Arial" w:cs="Arial"/>
                <w:sz w:val="20"/>
                <w:szCs w:val="20"/>
                <w:lang w:eastAsia="en-US"/>
              </w:rPr>
            </w:pPr>
            <w:r w:rsidRPr="000D0451">
              <w:rPr>
                <w:rFonts w:ascii="Arial" w:eastAsia="Calibri" w:hAnsi="Arial" w:cs="Arial"/>
                <w:sz w:val="20"/>
                <w:szCs w:val="20"/>
                <w:lang w:eastAsia="en-US"/>
              </w:rPr>
              <w:t>Općina</w:t>
            </w:r>
          </w:p>
        </w:tc>
        <w:tc>
          <w:tcPr>
            <w:tcW w:w="998" w:type="dxa"/>
            <w:tcBorders>
              <w:top w:val="single" w:sz="4" w:space="0" w:color="000000"/>
              <w:left w:val="single" w:sz="4" w:space="0" w:color="000000"/>
              <w:bottom w:val="single" w:sz="4" w:space="0" w:color="000000"/>
              <w:right w:val="single" w:sz="4" w:space="0" w:color="000000"/>
            </w:tcBorders>
            <w:vAlign w:val="center"/>
          </w:tcPr>
          <w:p w14:paraId="10E7B9E4" w14:textId="77777777" w:rsidR="00676A9B" w:rsidRPr="000D0451" w:rsidRDefault="00676A9B" w:rsidP="00676A9B">
            <w:pPr>
              <w:spacing w:after="0" w:line="240" w:lineRule="auto"/>
              <w:jc w:val="center"/>
              <w:rPr>
                <w:rFonts w:ascii="Arial" w:eastAsia="Times New Roman" w:hAnsi="Arial" w:cs="Arial"/>
                <w:sz w:val="20"/>
                <w:szCs w:val="20"/>
                <w:lang w:eastAsia="en-US"/>
              </w:rPr>
            </w:pPr>
            <w:r w:rsidRPr="000D0451">
              <w:rPr>
                <w:rFonts w:ascii="Arial" w:eastAsia="Times New Roman" w:hAnsi="Arial" w:cs="Arial"/>
                <w:sz w:val="20"/>
                <w:szCs w:val="20"/>
                <w:lang w:eastAsia="en-US"/>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4D311BB" w14:textId="77777777" w:rsidR="00676A9B" w:rsidRPr="000D0451" w:rsidRDefault="00676A9B" w:rsidP="00676A9B">
            <w:pPr>
              <w:spacing w:after="0" w:line="240" w:lineRule="auto"/>
              <w:jc w:val="center"/>
              <w:rPr>
                <w:rFonts w:ascii="Arial" w:eastAsia="Times New Roman" w:hAnsi="Arial" w:cs="Arial"/>
                <w:sz w:val="20"/>
                <w:szCs w:val="20"/>
                <w:lang w:eastAsia="en-US"/>
              </w:rPr>
            </w:pPr>
            <w:r w:rsidRPr="000D0451">
              <w:rPr>
                <w:rFonts w:ascii="Arial" w:eastAsia="Times New Roman" w:hAnsi="Arial" w:cs="Arial"/>
                <w:sz w:val="20"/>
                <w:szCs w:val="20"/>
                <w:lang w:eastAsia="en-US"/>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05C0BB9" w14:textId="77777777" w:rsidR="00676A9B" w:rsidRPr="000D0451" w:rsidRDefault="00676A9B" w:rsidP="00676A9B">
            <w:pPr>
              <w:spacing w:after="0" w:line="240" w:lineRule="auto"/>
              <w:jc w:val="center"/>
              <w:rPr>
                <w:rFonts w:ascii="Arial" w:eastAsia="Times New Roman" w:hAnsi="Arial" w:cs="Arial"/>
                <w:sz w:val="20"/>
                <w:szCs w:val="20"/>
                <w:lang w:eastAsia="en-US"/>
              </w:rPr>
            </w:pPr>
            <w:r w:rsidRPr="000D0451">
              <w:rPr>
                <w:rFonts w:ascii="Arial" w:eastAsia="Times New Roman" w:hAnsi="Arial" w:cs="Arial"/>
                <w:sz w:val="20"/>
                <w:szCs w:val="20"/>
                <w:lang w:eastAsia="en-US"/>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63A9B69" w14:textId="77777777" w:rsidR="00676A9B" w:rsidRPr="000D0451" w:rsidRDefault="00676A9B" w:rsidP="00676A9B">
            <w:pPr>
              <w:spacing w:after="0" w:line="240" w:lineRule="auto"/>
              <w:jc w:val="center"/>
              <w:rPr>
                <w:rFonts w:ascii="Arial" w:eastAsia="Times New Roman" w:hAnsi="Arial" w:cs="Arial"/>
                <w:sz w:val="20"/>
                <w:szCs w:val="20"/>
                <w:lang w:eastAsia="en-US"/>
              </w:rPr>
            </w:pPr>
            <w:r w:rsidRPr="000D0451">
              <w:rPr>
                <w:rFonts w:ascii="Arial" w:eastAsia="Times New Roman" w:hAnsi="Arial" w:cs="Arial"/>
                <w:sz w:val="20"/>
                <w:szCs w:val="20"/>
                <w:lang w:eastAsia="en-US"/>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168F7DE" w14:textId="77777777" w:rsidR="00676A9B" w:rsidRPr="000D0451" w:rsidRDefault="00676A9B" w:rsidP="00676A9B">
            <w:pPr>
              <w:spacing w:after="0" w:line="240" w:lineRule="auto"/>
              <w:jc w:val="center"/>
              <w:rPr>
                <w:rFonts w:ascii="Arial" w:eastAsia="Times New Roman" w:hAnsi="Arial" w:cs="Arial"/>
                <w:sz w:val="20"/>
                <w:szCs w:val="20"/>
                <w:lang w:eastAsia="en-US"/>
              </w:rPr>
            </w:pPr>
            <w:r w:rsidRPr="000D0451">
              <w:rPr>
                <w:rFonts w:ascii="Arial" w:eastAsia="Times New Roman" w:hAnsi="Arial" w:cs="Arial"/>
                <w:sz w:val="20"/>
                <w:szCs w:val="20"/>
                <w:lang w:eastAsia="en-US"/>
              </w:rPr>
              <w:t>100%</w:t>
            </w:r>
          </w:p>
        </w:tc>
      </w:tr>
    </w:tbl>
    <w:p w14:paraId="73957F0C" w14:textId="77777777" w:rsidR="00676A9B" w:rsidRPr="007A4C3F"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0F4BC69A" w14:textId="75541F49" w:rsidR="00B317FD" w:rsidRPr="007A4C3F"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7A4C3F">
        <w:rPr>
          <w:rFonts w:ascii="Arial" w:eastAsia="Calibri" w:hAnsi="Arial" w:cs="Arial"/>
          <w:b/>
          <w:sz w:val="20"/>
          <w:szCs w:val="20"/>
          <w:lang w:eastAsia="en-US"/>
        </w:rPr>
        <w:t>2. K201002: Nabava opreme, računalnih programa i druge imovine za potrebe upravnih tijela</w:t>
      </w:r>
      <w:r w:rsidRPr="007A4C3F">
        <w:rPr>
          <w:rFonts w:ascii="Arial" w:eastAsia="Calibri" w:hAnsi="Arial" w:cs="Arial"/>
          <w:sz w:val="20"/>
          <w:szCs w:val="20"/>
          <w:lang w:eastAsia="en-US"/>
        </w:rPr>
        <w:t xml:space="preserve"> - u sklopu navedene aktivnosti su planirani rashodi za nabavu opreme, računalnih programa i druge imovine za potrebe upravnih tijela. Planirana sredstva za navedenu aktivnost iznose </w:t>
      </w:r>
      <w:r w:rsidR="00B317FD" w:rsidRPr="007A4C3F">
        <w:rPr>
          <w:rFonts w:ascii="Arial" w:eastAsia="Calibri" w:hAnsi="Arial" w:cs="Arial"/>
          <w:sz w:val="20"/>
          <w:szCs w:val="20"/>
          <w:lang w:eastAsia="en-US"/>
        </w:rPr>
        <w:t>29.100</w:t>
      </w:r>
      <w:r w:rsidRPr="007A4C3F">
        <w:rPr>
          <w:rFonts w:ascii="Arial" w:eastAsia="Calibri" w:hAnsi="Arial" w:cs="Arial"/>
          <w:sz w:val="20"/>
          <w:szCs w:val="20"/>
          <w:lang w:eastAsia="en-US"/>
        </w:rPr>
        <w:t xml:space="preserve"> €. Rashodi su izvršeni u iznosu </w:t>
      </w:r>
      <w:r w:rsidR="00B317FD" w:rsidRPr="007A4C3F">
        <w:rPr>
          <w:rFonts w:ascii="Arial" w:eastAsia="Calibri" w:hAnsi="Arial" w:cs="Arial"/>
          <w:sz w:val="20"/>
          <w:szCs w:val="20"/>
          <w:lang w:eastAsia="en-US"/>
        </w:rPr>
        <w:t>16.893,05</w:t>
      </w:r>
      <w:r w:rsidRPr="007A4C3F">
        <w:rPr>
          <w:rFonts w:ascii="Arial" w:eastAsia="Calibri" w:hAnsi="Arial" w:cs="Arial"/>
          <w:sz w:val="20"/>
          <w:szCs w:val="20"/>
          <w:lang w:eastAsia="en-US"/>
        </w:rPr>
        <w:t xml:space="preserve"> € ili </w:t>
      </w:r>
      <w:r w:rsidR="00B317FD" w:rsidRPr="007A4C3F">
        <w:rPr>
          <w:rFonts w:ascii="Arial" w:eastAsia="Calibri" w:hAnsi="Arial" w:cs="Arial"/>
          <w:sz w:val="20"/>
          <w:szCs w:val="20"/>
          <w:lang w:eastAsia="en-US"/>
        </w:rPr>
        <w:t>5</w:t>
      </w:r>
      <w:r w:rsidRPr="007A4C3F">
        <w:rPr>
          <w:rFonts w:ascii="Arial" w:eastAsia="Calibri" w:hAnsi="Arial" w:cs="Arial"/>
          <w:sz w:val="20"/>
          <w:szCs w:val="20"/>
          <w:lang w:eastAsia="en-US"/>
        </w:rPr>
        <w:t>8,1%. Nabavljen</w:t>
      </w:r>
      <w:r w:rsidR="00B317FD" w:rsidRPr="007A4C3F">
        <w:rPr>
          <w:rFonts w:ascii="Arial" w:eastAsia="Calibri" w:hAnsi="Arial" w:cs="Arial"/>
          <w:sz w:val="20"/>
          <w:szCs w:val="20"/>
          <w:lang w:eastAsia="en-US"/>
        </w:rPr>
        <w:t>o je četiri računala i monitora</w:t>
      </w:r>
      <w:r w:rsidRPr="007A4C3F">
        <w:rPr>
          <w:rFonts w:ascii="Arial" w:eastAsia="Calibri" w:hAnsi="Arial" w:cs="Arial"/>
          <w:sz w:val="20"/>
          <w:szCs w:val="20"/>
          <w:lang w:eastAsia="en-US"/>
        </w:rPr>
        <w:t xml:space="preserve"> (zamjena), </w:t>
      </w:r>
      <w:r w:rsidR="00B317FD" w:rsidRPr="007A4C3F">
        <w:rPr>
          <w:rFonts w:ascii="Arial" w:eastAsia="Calibri" w:hAnsi="Arial" w:cs="Arial"/>
          <w:sz w:val="20"/>
          <w:szCs w:val="20"/>
          <w:lang w:eastAsia="en-US"/>
        </w:rPr>
        <w:t>dva pisača</w:t>
      </w:r>
      <w:r w:rsidRPr="007A4C3F">
        <w:rPr>
          <w:rFonts w:ascii="Arial" w:eastAsia="Calibri" w:hAnsi="Arial" w:cs="Arial"/>
          <w:sz w:val="20"/>
          <w:szCs w:val="20"/>
          <w:lang w:eastAsia="en-US"/>
        </w:rPr>
        <w:t>, uredsk</w:t>
      </w:r>
      <w:r w:rsidR="00B317FD" w:rsidRPr="007A4C3F">
        <w:rPr>
          <w:rFonts w:ascii="Arial" w:eastAsia="Calibri" w:hAnsi="Arial" w:cs="Arial"/>
          <w:sz w:val="20"/>
          <w:szCs w:val="20"/>
          <w:lang w:eastAsia="en-US"/>
        </w:rPr>
        <w:t>a</w:t>
      </w:r>
      <w:r w:rsidRPr="007A4C3F">
        <w:rPr>
          <w:rFonts w:ascii="Arial" w:eastAsia="Calibri" w:hAnsi="Arial" w:cs="Arial"/>
          <w:sz w:val="20"/>
          <w:szCs w:val="20"/>
          <w:lang w:eastAsia="en-US"/>
        </w:rPr>
        <w:t xml:space="preserve"> stolice, UPS, </w:t>
      </w:r>
      <w:r w:rsidR="00B317FD" w:rsidRPr="007A4C3F">
        <w:rPr>
          <w:rFonts w:ascii="Arial" w:eastAsia="Calibri" w:hAnsi="Arial" w:cs="Arial"/>
          <w:sz w:val="20"/>
          <w:szCs w:val="20"/>
          <w:lang w:eastAsia="en-US"/>
        </w:rPr>
        <w:t>dva mobitela</w:t>
      </w:r>
      <w:r w:rsidRPr="007A4C3F">
        <w:rPr>
          <w:rFonts w:ascii="Arial" w:eastAsia="Calibri" w:hAnsi="Arial" w:cs="Arial"/>
          <w:sz w:val="20"/>
          <w:szCs w:val="20"/>
          <w:lang w:eastAsia="en-US"/>
        </w:rPr>
        <w:t xml:space="preserve">, </w:t>
      </w:r>
      <w:r w:rsidR="00B317FD" w:rsidRPr="007A4C3F">
        <w:rPr>
          <w:rFonts w:ascii="Arial" w:eastAsia="Calibri" w:hAnsi="Arial" w:cs="Arial"/>
          <w:sz w:val="20"/>
          <w:szCs w:val="20"/>
          <w:lang w:eastAsia="en-US"/>
        </w:rPr>
        <w:t>notebook u ukupnom iznosu 11.620,92 €, rabljeno vozilo 3.500 €, te izvršeno ulaganje u računalni program (kolanje i odobravanje računa, a</w:t>
      </w:r>
      <w:r w:rsidR="007A4C3F" w:rsidRPr="007A4C3F">
        <w:rPr>
          <w:rFonts w:ascii="Arial" w:eastAsia="Calibri" w:hAnsi="Arial" w:cs="Arial"/>
          <w:sz w:val="20"/>
          <w:szCs w:val="20"/>
          <w:lang w:eastAsia="en-US"/>
        </w:rPr>
        <w:t>p</w:t>
      </w:r>
      <w:r w:rsidR="00B317FD" w:rsidRPr="007A4C3F">
        <w:rPr>
          <w:rFonts w:ascii="Arial" w:eastAsia="Calibri" w:hAnsi="Arial" w:cs="Arial"/>
          <w:sz w:val="20"/>
          <w:szCs w:val="20"/>
          <w:lang w:eastAsia="en-US"/>
        </w:rPr>
        <w:t xml:space="preserve">likacija ugovori) </w:t>
      </w:r>
      <w:r w:rsidR="007A4C3F" w:rsidRPr="007A4C3F">
        <w:rPr>
          <w:rFonts w:ascii="Arial" w:eastAsia="Calibri" w:hAnsi="Arial" w:cs="Arial"/>
          <w:sz w:val="20"/>
          <w:szCs w:val="20"/>
          <w:lang w:eastAsia="en-US"/>
        </w:rPr>
        <w:t>1.772,13 €.</w:t>
      </w:r>
    </w:p>
    <w:p w14:paraId="023EB571" w14:textId="77777777" w:rsidR="00676A9B" w:rsidRPr="007A4C3F" w:rsidRDefault="00676A9B" w:rsidP="00676A9B">
      <w:pPr>
        <w:spacing w:after="0" w:line="240" w:lineRule="auto"/>
        <w:jc w:val="both"/>
        <w:rPr>
          <w:rFonts w:ascii="Arial" w:eastAsia="Calibri" w:hAnsi="Arial" w:cs="Arial"/>
          <w:sz w:val="20"/>
          <w:szCs w:val="20"/>
          <w:lang w:eastAsia="en-US"/>
        </w:rPr>
      </w:pPr>
    </w:p>
    <w:tbl>
      <w:tblPr>
        <w:tblStyle w:val="Reetkatablice536"/>
        <w:tblW w:w="13667" w:type="dxa"/>
        <w:jc w:val="center"/>
        <w:tblLayout w:type="fixed"/>
        <w:tblLook w:val="04A0" w:firstRow="1" w:lastRow="0" w:firstColumn="1" w:lastColumn="0" w:noHBand="0" w:noVBand="1"/>
      </w:tblPr>
      <w:tblGrid>
        <w:gridCol w:w="2405"/>
        <w:gridCol w:w="3119"/>
        <w:gridCol w:w="1099"/>
        <w:gridCol w:w="1134"/>
        <w:gridCol w:w="1232"/>
        <w:gridCol w:w="992"/>
        <w:gridCol w:w="1276"/>
        <w:gridCol w:w="1276"/>
        <w:gridCol w:w="1134"/>
      </w:tblGrid>
      <w:tr w:rsidR="007A4C3F" w:rsidRPr="007A4C3F" w14:paraId="001BD0CF" w14:textId="77777777" w:rsidTr="00410A4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AC369BF" w14:textId="77777777" w:rsidR="00676A9B" w:rsidRPr="007A4C3F" w:rsidRDefault="00676A9B" w:rsidP="00676A9B">
            <w:pPr>
              <w:jc w:val="center"/>
              <w:rPr>
                <w:rFonts w:ascii="Arial" w:eastAsia="Calibri" w:hAnsi="Arial" w:cs="Arial"/>
                <w:sz w:val="18"/>
                <w:szCs w:val="18"/>
                <w:lang w:eastAsia="en-US"/>
              </w:rPr>
            </w:pPr>
            <w:r w:rsidRPr="007A4C3F">
              <w:rPr>
                <w:rFonts w:ascii="Arial" w:eastAsia="Calibri" w:hAnsi="Arial" w:cs="Arial"/>
                <w:sz w:val="18"/>
                <w:szCs w:val="18"/>
                <w:lang w:eastAsia="en-US"/>
              </w:rPr>
              <w:t>Pokazatelj rezultata</w:t>
            </w:r>
          </w:p>
        </w:tc>
        <w:tc>
          <w:tcPr>
            <w:tcW w:w="311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5BC98FB" w14:textId="77777777" w:rsidR="00676A9B" w:rsidRPr="007A4C3F" w:rsidRDefault="00676A9B" w:rsidP="00676A9B">
            <w:pPr>
              <w:jc w:val="center"/>
              <w:rPr>
                <w:rFonts w:ascii="Arial" w:eastAsia="Calibri" w:hAnsi="Arial" w:cs="Arial"/>
                <w:sz w:val="18"/>
                <w:szCs w:val="18"/>
                <w:lang w:eastAsia="en-US"/>
              </w:rPr>
            </w:pPr>
            <w:r w:rsidRPr="007A4C3F">
              <w:rPr>
                <w:rFonts w:ascii="Arial" w:eastAsia="Calibri" w:hAnsi="Arial" w:cs="Arial"/>
                <w:sz w:val="18"/>
                <w:szCs w:val="18"/>
                <w:lang w:eastAsia="en-US"/>
              </w:rPr>
              <w:t>Definicija</w:t>
            </w:r>
          </w:p>
        </w:tc>
        <w:tc>
          <w:tcPr>
            <w:tcW w:w="10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F45C8CC" w14:textId="77777777" w:rsidR="00676A9B" w:rsidRPr="007A4C3F" w:rsidRDefault="00676A9B" w:rsidP="00676A9B">
            <w:pPr>
              <w:jc w:val="center"/>
              <w:rPr>
                <w:rFonts w:ascii="Arial" w:eastAsia="Calibri" w:hAnsi="Arial" w:cs="Arial"/>
                <w:sz w:val="18"/>
                <w:szCs w:val="18"/>
                <w:lang w:eastAsia="en-US"/>
              </w:rPr>
            </w:pPr>
            <w:r w:rsidRPr="007A4C3F">
              <w:rPr>
                <w:rFonts w:ascii="Arial" w:eastAsia="Calibri" w:hAnsi="Arial" w:cs="Arial"/>
                <w:sz w:val="18"/>
                <w:szCs w:val="18"/>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3351E71" w14:textId="77777777" w:rsidR="00676A9B" w:rsidRPr="007A4C3F" w:rsidRDefault="00676A9B" w:rsidP="00676A9B">
            <w:pPr>
              <w:jc w:val="center"/>
              <w:rPr>
                <w:rFonts w:ascii="Arial" w:eastAsia="Calibri" w:hAnsi="Arial" w:cs="Arial"/>
                <w:sz w:val="18"/>
                <w:szCs w:val="18"/>
                <w:lang w:eastAsia="en-US"/>
              </w:rPr>
            </w:pPr>
            <w:r w:rsidRPr="007A4C3F">
              <w:rPr>
                <w:rFonts w:ascii="Arial" w:eastAsia="Calibri" w:hAnsi="Arial" w:cs="Arial"/>
                <w:sz w:val="18"/>
                <w:szCs w:val="18"/>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7DD90D7" w14:textId="5C5B8717" w:rsidR="00676A9B" w:rsidRPr="007A4C3F" w:rsidRDefault="00676A9B" w:rsidP="00676A9B">
            <w:pPr>
              <w:jc w:val="center"/>
              <w:rPr>
                <w:rFonts w:ascii="Arial" w:eastAsia="Calibri" w:hAnsi="Arial" w:cs="Arial"/>
                <w:sz w:val="18"/>
                <w:szCs w:val="18"/>
                <w:lang w:eastAsia="en-US"/>
              </w:rPr>
            </w:pPr>
            <w:r w:rsidRPr="007A4C3F">
              <w:rPr>
                <w:rFonts w:ascii="Arial" w:eastAsia="Calibri" w:hAnsi="Arial" w:cs="Arial"/>
                <w:sz w:val="18"/>
                <w:szCs w:val="18"/>
                <w:lang w:eastAsia="en-US"/>
              </w:rPr>
              <w:t>Polazna vrijednost 202</w:t>
            </w:r>
            <w:r w:rsidR="007A4C3F" w:rsidRPr="007A4C3F">
              <w:rPr>
                <w:rFonts w:ascii="Arial" w:eastAsia="Calibri" w:hAnsi="Arial" w:cs="Arial"/>
                <w:sz w:val="18"/>
                <w:szCs w:val="18"/>
                <w:lang w:eastAsia="en-US"/>
              </w:rPr>
              <w:t>4</w:t>
            </w:r>
            <w:r w:rsidRPr="007A4C3F">
              <w:rPr>
                <w:rFonts w:ascii="Arial" w:eastAsia="Calibri" w:hAnsi="Arial" w:cs="Arial"/>
                <w:sz w:val="18"/>
                <w:szCs w:val="18"/>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0A865D" w14:textId="2BA78123" w:rsidR="00676A9B" w:rsidRPr="007A4C3F" w:rsidRDefault="00676A9B" w:rsidP="00676A9B">
            <w:pPr>
              <w:jc w:val="center"/>
              <w:rPr>
                <w:rFonts w:ascii="Arial" w:eastAsia="Calibri" w:hAnsi="Arial" w:cs="Arial"/>
                <w:sz w:val="18"/>
                <w:szCs w:val="18"/>
                <w:lang w:eastAsia="en-US"/>
              </w:rPr>
            </w:pPr>
            <w:r w:rsidRPr="007A4C3F">
              <w:rPr>
                <w:rFonts w:ascii="Arial" w:eastAsia="Calibri" w:hAnsi="Arial" w:cs="Arial"/>
                <w:sz w:val="18"/>
                <w:szCs w:val="18"/>
                <w:lang w:eastAsia="en-US"/>
              </w:rPr>
              <w:t>Ciljana vrijednost 202</w:t>
            </w:r>
            <w:r w:rsidR="007A4C3F" w:rsidRPr="007A4C3F">
              <w:rPr>
                <w:rFonts w:ascii="Arial" w:eastAsia="Calibri" w:hAnsi="Arial" w:cs="Arial"/>
                <w:sz w:val="18"/>
                <w:szCs w:val="18"/>
                <w:lang w:eastAsia="en-US"/>
              </w:rPr>
              <w:t>5</w:t>
            </w:r>
            <w:r w:rsidRPr="007A4C3F">
              <w:rPr>
                <w:rFonts w:ascii="Arial" w:eastAsia="Calibri" w:hAnsi="Arial" w:cs="Arial"/>
                <w:sz w:val="18"/>
                <w:szCs w:val="18"/>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0D153CF" w14:textId="4FA17EC9" w:rsidR="00676A9B" w:rsidRPr="007A4C3F" w:rsidRDefault="00676A9B" w:rsidP="00676A9B">
            <w:pPr>
              <w:jc w:val="center"/>
              <w:rPr>
                <w:rFonts w:ascii="Arial" w:eastAsia="Calibri" w:hAnsi="Arial" w:cs="Arial"/>
                <w:sz w:val="18"/>
                <w:szCs w:val="18"/>
                <w:lang w:eastAsia="en-US"/>
              </w:rPr>
            </w:pPr>
            <w:r w:rsidRPr="007A4C3F">
              <w:rPr>
                <w:rFonts w:ascii="Arial" w:eastAsia="Calibri" w:hAnsi="Arial" w:cs="Arial"/>
                <w:sz w:val="18"/>
                <w:szCs w:val="18"/>
                <w:lang w:eastAsia="en-US"/>
              </w:rPr>
              <w:t>Izvršeno 202</w:t>
            </w:r>
            <w:r w:rsidR="007A4C3F" w:rsidRPr="007A4C3F">
              <w:rPr>
                <w:rFonts w:ascii="Arial" w:eastAsia="Calibri" w:hAnsi="Arial" w:cs="Arial"/>
                <w:sz w:val="18"/>
                <w:szCs w:val="18"/>
                <w:lang w:eastAsia="en-US"/>
              </w:rPr>
              <w:t>5</w:t>
            </w:r>
            <w:r w:rsidRPr="007A4C3F">
              <w:rPr>
                <w:rFonts w:ascii="Arial" w:eastAsia="Calibri" w:hAnsi="Arial" w:cs="Arial"/>
                <w:sz w:val="18"/>
                <w:szCs w:val="18"/>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cPr>
          <w:p w14:paraId="0989049E" w14:textId="1AF90048" w:rsidR="00676A9B" w:rsidRPr="007A4C3F" w:rsidRDefault="00676A9B" w:rsidP="00676A9B">
            <w:pPr>
              <w:jc w:val="center"/>
              <w:rPr>
                <w:rFonts w:ascii="Arial" w:eastAsia="Calibri" w:hAnsi="Arial" w:cs="Arial"/>
                <w:sz w:val="18"/>
                <w:szCs w:val="18"/>
                <w:lang w:eastAsia="en-US"/>
              </w:rPr>
            </w:pPr>
            <w:r w:rsidRPr="007A4C3F">
              <w:rPr>
                <w:rFonts w:ascii="Arial" w:eastAsia="Calibri" w:hAnsi="Arial" w:cs="Arial"/>
                <w:sz w:val="18"/>
                <w:szCs w:val="18"/>
                <w:lang w:eastAsia="en-US"/>
              </w:rPr>
              <w:t>Ciljana vrijednost 202</w:t>
            </w:r>
            <w:r w:rsidR="007A4C3F" w:rsidRPr="007A4C3F">
              <w:rPr>
                <w:rFonts w:ascii="Arial" w:eastAsia="Calibri" w:hAnsi="Arial" w:cs="Arial"/>
                <w:sz w:val="18"/>
                <w:szCs w:val="18"/>
                <w:lang w:eastAsia="en-US"/>
              </w:rPr>
              <w:t>6</w:t>
            </w:r>
            <w:r w:rsidRPr="007A4C3F">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6882E1C2" w14:textId="70D9773D" w:rsidR="00676A9B" w:rsidRPr="007A4C3F" w:rsidRDefault="00676A9B" w:rsidP="00676A9B">
            <w:pPr>
              <w:jc w:val="center"/>
              <w:rPr>
                <w:rFonts w:ascii="Arial" w:eastAsia="Calibri" w:hAnsi="Arial" w:cs="Arial"/>
                <w:sz w:val="18"/>
                <w:szCs w:val="18"/>
                <w:lang w:eastAsia="en-US"/>
              </w:rPr>
            </w:pPr>
            <w:r w:rsidRPr="007A4C3F">
              <w:rPr>
                <w:rFonts w:ascii="Arial" w:eastAsia="Calibri" w:hAnsi="Arial" w:cs="Arial"/>
                <w:sz w:val="18"/>
                <w:szCs w:val="18"/>
                <w:lang w:eastAsia="en-US"/>
              </w:rPr>
              <w:t>Ciljana vrijednost 202</w:t>
            </w:r>
            <w:r w:rsidR="007A4C3F" w:rsidRPr="007A4C3F">
              <w:rPr>
                <w:rFonts w:ascii="Arial" w:eastAsia="Calibri" w:hAnsi="Arial" w:cs="Arial"/>
                <w:sz w:val="18"/>
                <w:szCs w:val="18"/>
                <w:lang w:eastAsia="en-US"/>
              </w:rPr>
              <w:t>7</w:t>
            </w:r>
            <w:r w:rsidRPr="007A4C3F">
              <w:rPr>
                <w:rFonts w:ascii="Arial" w:eastAsia="Calibri" w:hAnsi="Arial" w:cs="Arial"/>
                <w:sz w:val="18"/>
                <w:szCs w:val="18"/>
                <w:lang w:eastAsia="en-US"/>
              </w:rPr>
              <w:t>.</w:t>
            </w:r>
          </w:p>
        </w:tc>
      </w:tr>
      <w:tr w:rsidR="00676A9B" w:rsidRPr="007A4C3F" w14:paraId="17418B9C" w14:textId="77777777" w:rsidTr="00410A4B">
        <w:trPr>
          <w:trHeight w:val="274"/>
          <w:jc w:val="center"/>
        </w:trPr>
        <w:tc>
          <w:tcPr>
            <w:tcW w:w="2405" w:type="dxa"/>
            <w:tcBorders>
              <w:top w:val="single" w:sz="4" w:space="0" w:color="auto"/>
              <w:left w:val="single" w:sz="4" w:space="0" w:color="auto"/>
              <w:bottom w:val="single" w:sz="4" w:space="0" w:color="auto"/>
              <w:right w:val="single" w:sz="4" w:space="0" w:color="auto"/>
            </w:tcBorders>
            <w:vAlign w:val="center"/>
          </w:tcPr>
          <w:p w14:paraId="462635F1" w14:textId="77777777" w:rsidR="00676A9B" w:rsidRPr="007A4C3F" w:rsidRDefault="00676A9B" w:rsidP="00676A9B">
            <w:pPr>
              <w:autoSpaceDE w:val="0"/>
              <w:autoSpaceDN w:val="0"/>
              <w:adjustRightInd w:val="0"/>
              <w:rPr>
                <w:rFonts w:ascii="Arial" w:hAnsi="Arial" w:cs="Arial"/>
                <w:sz w:val="18"/>
                <w:szCs w:val="18"/>
                <w:lang w:eastAsia="en-US"/>
              </w:rPr>
            </w:pPr>
            <w:r w:rsidRPr="007A4C3F">
              <w:rPr>
                <w:rFonts w:ascii="Arial" w:eastAsia="Calibri" w:hAnsi="Arial" w:cs="Arial"/>
                <w:sz w:val="18"/>
                <w:szCs w:val="18"/>
                <w:lang w:eastAsia="en-US"/>
              </w:rPr>
              <w:t xml:space="preserve">Izvršavanje aktivnosti nabave opreme za rad upravnih tijela Općine </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2F046DA" w14:textId="77777777" w:rsidR="00676A9B" w:rsidRPr="007A4C3F" w:rsidRDefault="00676A9B" w:rsidP="00676A9B">
            <w:pPr>
              <w:autoSpaceDE w:val="0"/>
              <w:autoSpaceDN w:val="0"/>
              <w:adjustRightInd w:val="0"/>
              <w:jc w:val="both"/>
              <w:rPr>
                <w:rFonts w:ascii="Arial" w:eastAsia="Calibri" w:hAnsi="Arial" w:cs="Arial"/>
                <w:sz w:val="18"/>
                <w:szCs w:val="18"/>
                <w:lang w:eastAsia="en-US"/>
              </w:rPr>
            </w:pPr>
            <w:r w:rsidRPr="007A4C3F">
              <w:rPr>
                <w:rFonts w:ascii="Arial" w:eastAsia="Calibri" w:hAnsi="Arial" w:cs="Arial"/>
                <w:sz w:val="18"/>
                <w:szCs w:val="18"/>
                <w:lang w:eastAsia="en-US"/>
              </w:rPr>
              <w:t xml:space="preserve">Redovita nabava nematerijalnih i materijalnih oblika imovine u vidu opreme nužne za nesmetani rad upravnih tijela, kao i poboljšanja kvalitete rada u obavljanju redovne djelatnosti </w:t>
            </w:r>
          </w:p>
        </w:tc>
        <w:tc>
          <w:tcPr>
            <w:tcW w:w="1099" w:type="dxa"/>
            <w:tcBorders>
              <w:top w:val="single" w:sz="4" w:space="0" w:color="auto"/>
              <w:left w:val="single" w:sz="4" w:space="0" w:color="auto"/>
              <w:bottom w:val="single" w:sz="4" w:space="0" w:color="auto"/>
              <w:right w:val="single" w:sz="4" w:space="0" w:color="auto"/>
            </w:tcBorders>
            <w:vAlign w:val="center"/>
            <w:hideMark/>
          </w:tcPr>
          <w:p w14:paraId="16DAFB6E" w14:textId="77777777" w:rsidR="00676A9B" w:rsidRPr="007A4C3F" w:rsidRDefault="00676A9B" w:rsidP="00676A9B">
            <w:pPr>
              <w:jc w:val="center"/>
              <w:rPr>
                <w:rFonts w:ascii="Arial" w:hAnsi="Arial" w:cs="Arial"/>
                <w:sz w:val="18"/>
                <w:szCs w:val="18"/>
                <w:lang w:eastAsia="en-US"/>
              </w:rPr>
            </w:pPr>
            <w:r w:rsidRPr="007A4C3F">
              <w:rPr>
                <w:rFonts w:ascii="Arial" w:hAnsi="Arial" w:cs="Arial"/>
                <w:sz w:val="18"/>
                <w:szCs w:val="18"/>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EC6374" w14:textId="77777777" w:rsidR="00676A9B" w:rsidRPr="007A4C3F" w:rsidRDefault="00676A9B" w:rsidP="00676A9B">
            <w:pPr>
              <w:jc w:val="center"/>
              <w:rPr>
                <w:rFonts w:ascii="Arial" w:hAnsi="Arial" w:cs="Arial"/>
                <w:sz w:val="18"/>
                <w:szCs w:val="18"/>
                <w:lang w:eastAsia="en-US"/>
              </w:rPr>
            </w:pPr>
            <w:r w:rsidRPr="007A4C3F">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hideMark/>
          </w:tcPr>
          <w:p w14:paraId="2CB057B2" w14:textId="77777777" w:rsidR="00676A9B" w:rsidRPr="007A4C3F" w:rsidRDefault="00676A9B" w:rsidP="00676A9B">
            <w:pPr>
              <w:jc w:val="center"/>
              <w:rPr>
                <w:rFonts w:ascii="Arial" w:hAnsi="Arial" w:cs="Arial"/>
                <w:sz w:val="18"/>
                <w:szCs w:val="18"/>
                <w:lang w:eastAsia="en-US"/>
              </w:rPr>
            </w:pPr>
            <w:r w:rsidRPr="007A4C3F">
              <w:rPr>
                <w:rFonts w:ascii="Arial" w:hAnsi="Arial" w:cs="Arial"/>
                <w:sz w:val="18"/>
                <w:szCs w:val="18"/>
                <w:lang w:eastAsia="en-US"/>
              </w:rPr>
              <w:t>100 %</w:t>
            </w:r>
          </w:p>
        </w:tc>
        <w:tc>
          <w:tcPr>
            <w:tcW w:w="992" w:type="dxa"/>
            <w:tcBorders>
              <w:top w:val="single" w:sz="4" w:space="0" w:color="auto"/>
              <w:left w:val="single" w:sz="4" w:space="0" w:color="auto"/>
              <w:bottom w:val="single" w:sz="4" w:space="0" w:color="auto"/>
              <w:right w:val="single" w:sz="4" w:space="0" w:color="auto"/>
            </w:tcBorders>
            <w:vAlign w:val="center"/>
          </w:tcPr>
          <w:p w14:paraId="0421197D" w14:textId="77777777" w:rsidR="00676A9B" w:rsidRPr="007A4C3F" w:rsidRDefault="00676A9B" w:rsidP="00676A9B">
            <w:pPr>
              <w:jc w:val="center"/>
              <w:rPr>
                <w:rFonts w:ascii="Arial" w:hAnsi="Arial" w:cs="Arial"/>
                <w:sz w:val="18"/>
                <w:szCs w:val="18"/>
                <w:lang w:eastAsia="en-US"/>
              </w:rPr>
            </w:pPr>
            <w:r w:rsidRPr="007A4C3F">
              <w:rPr>
                <w:rFonts w:ascii="Arial" w:hAnsi="Arial" w:cs="Arial"/>
                <w:sz w:val="18"/>
                <w:szCs w:val="18"/>
                <w:lang w:eastAsia="en-US"/>
              </w:rPr>
              <w:t>100 %</w:t>
            </w:r>
          </w:p>
        </w:tc>
        <w:tc>
          <w:tcPr>
            <w:tcW w:w="1276" w:type="dxa"/>
            <w:tcBorders>
              <w:top w:val="single" w:sz="4" w:space="0" w:color="auto"/>
              <w:left w:val="single" w:sz="4" w:space="0" w:color="auto"/>
              <w:bottom w:val="single" w:sz="4" w:space="0" w:color="auto"/>
              <w:right w:val="single" w:sz="4" w:space="0" w:color="auto"/>
            </w:tcBorders>
            <w:vAlign w:val="center"/>
          </w:tcPr>
          <w:p w14:paraId="04DB9160" w14:textId="77777777" w:rsidR="00676A9B" w:rsidRPr="007A4C3F" w:rsidRDefault="00676A9B" w:rsidP="00676A9B">
            <w:pPr>
              <w:jc w:val="center"/>
              <w:rPr>
                <w:rFonts w:ascii="Arial" w:hAnsi="Arial" w:cs="Arial"/>
                <w:sz w:val="18"/>
                <w:szCs w:val="18"/>
                <w:lang w:eastAsia="en-US"/>
              </w:rPr>
            </w:pPr>
            <w:r w:rsidRPr="007A4C3F">
              <w:rPr>
                <w:rFonts w:ascii="Arial" w:hAnsi="Arial" w:cs="Arial"/>
                <w:sz w:val="18"/>
                <w:szCs w:val="18"/>
                <w:lang w:eastAsia="en-US"/>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664D5DB" w14:textId="77777777" w:rsidR="00676A9B" w:rsidRPr="007A4C3F" w:rsidRDefault="00676A9B" w:rsidP="00676A9B">
            <w:pPr>
              <w:jc w:val="center"/>
              <w:rPr>
                <w:rFonts w:ascii="Arial" w:hAnsi="Arial" w:cs="Arial"/>
                <w:sz w:val="18"/>
                <w:szCs w:val="18"/>
                <w:lang w:eastAsia="en-US"/>
              </w:rPr>
            </w:pPr>
            <w:r w:rsidRPr="007A4C3F">
              <w:rPr>
                <w:rFonts w:ascii="Arial" w:hAnsi="Arial" w:cs="Arial"/>
                <w:sz w:val="18"/>
                <w:szCs w:val="18"/>
                <w:lang w:eastAsia="en-US"/>
              </w:rPr>
              <w:t>100 %</w:t>
            </w:r>
          </w:p>
        </w:tc>
        <w:tc>
          <w:tcPr>
            <w:tcW w:w="1134" w:type="dxa"/>
            <w:tcBorders>
              <w:top w:val="single" w:sz="4" w:space="0" w:color="auto"/>
              <w:left w:val="single" w:sz="4" w:space="0" w:color="auto"/>
              <w:bottom w:val="single" w:sz="4" w:space="0" w:color="auto"/>
              <w:right w:val="single" w:sz="4" w:space="0" w:color="auto"/>
            </w:tcBorders>
            <w:vAlign w:val="center"/>
          </w:tcPr>
          <w:p w14:paraId="156D256D" w14:textId="77777777" w:rsidR="00676A9B" w:rsidRPr="007A4C3F" w:rsidRDefault="00676A9B" w:rsidP="00676A9B">
            <w:pPr>
              <w:jc w:val="center"/>
              <w:rPr>
                <w:rFonts w:ascii="Arial" w:hAnsi="Arial" w:cs="Arial"/>
                <w:sz w:val="18"/>
                <w:szCs w:val="18"/>
                <w:lang w:eastAsia="en-US"/>
              </w:rPr>
            </w:pPr>
            <w:r w:rsidRPr="007A4C3F">
              <w:rPr>
                <w:rFonts w:ascii="Arial" w:hAnsi="Arial" w:cs="Arial"/>
                <w:sz w:val="18"/>
                <w:szCs w:val="18"/>
                <w:lang w:eastAsia="en-US"/>
              </w:rPr>
              <w:t>100 %</w:t>
            </w:r>
          </w:p>
        </w:tc>
      </w:tr>
    </w:tbl>
    <w:p w14:paraId="48959E50" w14:textId="77777777" w:rsidR="00676A9B" w:rsidRPr="007A4C3F" w:rsidRDefault="00676A9B" w:rsidP="00676A9B">
      <w:pPr>
        <w:autoSpaceDE w:val="0"/>
        <w:autoSpaceDN w:val="0"/>
        <w:adjustRightInd w:val="0"/>
        <w:spacing w:after="0" w:line="240" w:lineRule="auto"/>
        <w:jc w:val="both"/>
        <w:rPr>
          <w:rFonts w:ascii="Arial" w:eastAsia="Calibri" w:hAnsi="Arial" w:cs="Arial"/>
          <w:sz w:val="20"/>
          <w:szCs w:val="20"/>
        </w:rPr>
      </w:pPr>
    </w:p>
    <w:p w14:paraId="2EE73735" w14:textId="77777777" w:rsidR="00676A9B" w:rsidRPr="007A4C3F" w:rsidRDefault="00676A9B" w:rsidP="00676A9B">
      <w:pPr>
        <w:autoSpaceDE w:val="0"/>
        <w:autoSpaceDN w:val="0"/>
        <w:adjustRightInd w:val="0"/>
        <w:spacing w:after="0" w:line="240" w:lineRule="auto"/>
        <w:jc w:val="both"/>
        <w:rPr>
          <w:rFonts w:ascii="Arial" w:eastAsia="Calibri" w:hAnsi="Arial" w:cs="Arial"/>
          <w:sz w:val="20"/>
          <w:szCs w:val="20"/>
        </w:rPr>
      </w:pPr>
      <w:r w:rsidRPr="007A4C3F">
        <w:rPr>
          <w:rFonts w:ascii="Arial" w:eastAsia="Calibri" w:hAnsi="Arial" w:cs="Arial"/>
          <w:sz w:val="20"/>
          <w:szCs w:val="20"/>
        </w:rPr>
        <w:t>Aktivnosti vezane uz opće ciljeve postignute su sukladno postocima izvršenja i u skladu s očekivanom dinamikom izvršenja rashoda.</w:t>
      </w:r>
      <w:r w:rsidRPr="007A4C3F">
        <w:rPr>
          <w:rFonts w:ascii="Arial" w:eastAsia="Calibri" w:hAnsi="Arial" w:cs="Arial"/>
          <w:sz w:val="20"/>
          <w:szCs w:val="20"/>
        </w:rPr>
        <w:br w:type="page"/>
      </w:r>
    </w:p>
    <w:p w14:paraId="773DC56A"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17CB798F" w14:textId="77777777" w:rsidR="00676A9B" w:rsidRPr="00676A9B" w:rsidRDefault="00676A9B" w:rsidP="00676A9B">
      <w:pPr>
        <w:keepNext/>
        <w:spacing w:after="0" w:line="240" w:lineRule="auto"/>
        <w:jc w:val="both"/>
        <w:outlineLvl w:val="2"/>
        <w:rPr>
          <w:rFonts w:ascii="Times New Roman" w:eastAsia="Calibri" w:hAnsi="Times New Roman" w:cs="Times New Roman"/>
          <w:b/>
          <w:sz w:val="24"/>
          <w:szCs w:val="20"/>
          <w:lang w:eastAsia="en-US"/>
        </w:rPr>
      </w:pPr>
      <w:bookmarkStart w:id="374" w:name="_Toc36842117"/>
      <w:bookmarkStart w:id="375" w:name="_Toc200628505"/>
      <w:bookmarkStart w:id="376" w:name="_Toc232981437"/>
      <w:r w:rsidRPr="00676A9B">
        <w:rPr>
          <w:rFonts w:ascii="Times New Roman" w:eastAsia="Calibri" w:hAnsi="Times New Roman" w:cs="Times New Roman"/>
          <w:b/>
          <w:sz w:val="24"/>
          <w:szCs w:val="20"/>
          <w:lang w:eastAsia="en-US"/>
        </w:rPr>
        <w:t>Program (2022): Provedba izbora i referenduma</w:t>
      </w:r>
      <w:bookmarkEnd w:id="374"/>
      <w:bookmarkEnd w:id="375"/>
      <w:bookmarkEnd w:id="376"/>
    </w:p>
    <w:p w14:paraId="740314C6" w14:textId="77777777" w:rsidR="00676A9B" w:rsidRPr="00676A9B" w:rsidRDefault="00676A9B" w:rsidP="00676A9B">
      <w:pPr>
        <w:spacing w:after="0" w:line="240" w:lineRule="auto"/>
        <w:jc w:val="both"/>
        <w:rPr>
          <w:rFonts w:ascii="Arial" w:eastAsia="Times New Roman" w:hAnsi="Arial" w:cs="Arial"/>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2120"/>
      </w:tblGrid>
      <w:tr w:rsidR="00676A9B" w:rsidRPr="00676A9B" w14:paraId="5309EF44" w14:textId="77777777" w:rsidTr="00410A4B">
        <w:tc>
          <w:tcPr>
            <w:tcW w:w="1668" w:type="dxa"/>
            <w:tcBorders>
              <w:top w:val="dotted" w:sz="4" w:space="0" w:color="auto"/>
              <w:left w:val="dotted" w:sz="4" w:space="0" w:color="auto"/>
              <w:bottom w:val="dotted" w:sz="4" w:space="0" w:color="auto"/>
              <w:right w:val="dotted" w:sz="4" w:space="0" w:color="auto"/>
            </w:tcBorders>
          </w:tcPr>
          <w:p w14:paraId="3540E81E"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Opis PROGRAMA:</w:t>
            </w:r>
          </w:p>
        </w:tc>
        <w:tc>
          <w:tcPr>
            <w:tcW w:w="12120" w:type="dxa"/>
            <w:tcBorders>
              <w:top w:val="dotted" w:sz="4" w:space="0" w:color="auto"/>
              <w:left w:val="dotted" w:sz="4" w:space="0" w:color="auto"/>
              <w:bottom w:val="dotted" w:sz="4" w:space="0" w:color="auto"/>
              <w:right w:val="dotted" w:sz="4" w:space="0" w:color="auto"/>
            </w:tcBorders>
            <w:vAlign w:val="bottom"/>
          </w:tcPr>
          <w:p w14:paraId="161587DD"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Cilj programa je osiguravanje materijalnih uvjeta za provedbu izbora i referenduma</w:t>
            </w:r>
          </w:p>
        </w:tc>
      </w:tr>
      <w:tr w:rsidR="00676A9B" w:rsidRPr="00676A9B" w14:paraId="7131457D" w14:textId="77777777" w:rsidTr="00410A4B">
        <w:tc>
          <w:tcPr>
            <w:tcW w:w="1668" w:type="dxa"/>
            <w:tcBorders>
              <w:top w:val="dotted" w:sz="4" w:space="0" w:color="auto"/>
              <w:left w:val="dotted" w:sz="4" w:space="0" w:color="auto"/>
              <w:bottom w:val="dotted" w:sz="4" w:space="0" w:color="auto"/>
              <w:right w:val="dotted" w:sz="4" w:space="0" w:color="auto"/>
            </w:tcBorders>
          </w:tcPr>
          <w:p w14:paraId="3F2CF692"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ZAKONSKE I DRUGE PRAVNE OSNOVE PROGRAMA:</w:t>
            </w:r>
          </w:p>
        </w:tc>
        <w:tc>
          <w:tcPr>
            <w:tcW w:w="12120" w:type="dxa"/>
            <w:tcBorders>
              <w:top w:val="dotted" w:sz="4" w:space="0" w:color="auto"/>
              <w:left w:val="dotted" w:sz="4" w:space="0" w:color="auto"/>
              <w:bottom w:val="dotted" w:sz="4" w:space="0" w:color="auto"/>
              <w:right w:val="dotted" w:sz="4" w:space="0" w:color="auto"/>
            </w:tcBorders>
          </w:tcPr>
          <w:p w14:paraId="3AFC03F9"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Zakon o lokalnoj i područnoj (regionalnoj) samoupravi (NN 33/01, 60/01, 129/05, 109/07, 125/08, 36/09, 150/11, 144/12, 19/13, 137/15, 98/19, 144/20), </w:t>
            </w:r>
            <w:r w:rsidRPr="00676A9B">
              <w:rPr>
                <w:rFonts w:ascii="Arial" w:eastAsia="Times New Roman" w:hAnsi="Arial" w:cs="Arial"/>
                <w:sz w:val="20"/>
                <w:szCs w:val="20"/>
                <w:lang w:eastAsia="en-US"/>
              </w:rPr>
              <w:t xml:space="preserve">Zakon o financiranju političkih aktivnosti, izborne promidžbe i referenduma (NN 29/19, 98/19), </w:t>
            </w:r>
            <w:r w:rsidRPr="00676A9B">
              <w:rPr>
                <w:rFonts w:ascii="Arial" w:eastAsia="Calibri" w:hAnsi="Arial" w:cs="Arial"/>
                <w:sz w:val="20"/>
                <w:szCs w:val="20"/>
                <w:lang w:eastAsia="en-US"/>
              </w:rPr>
              <w:t>Statut, Odluka o ustrojstvu i djelokrugu upravnih tijela Općine Konavle, Pravilnik o unutarnjem redu, drugi zakoni i propisi.</w:t>
            </w:r>
          </w:p>
        </w:tc>
      </w:tr>
      <w:tr w:rsidR="00676A9B" w:rsidRPr="00676A9B" w14:paraId="5E887B87" w14:textId="77777777" w:rsidTr="00410A4B">
        <w:tc>
          <w:tcPr>
            <w:tcW w:w="1668" w:type="dxa"/>
            <w:tcBorders>
              <w:top w:val="dotted" w:sz="4" w:space="0" w:color="auto"/>
              <w:left w:val="dotted" w:sz="4" w:space="0" w:color="auto"/>
              <w:bottom w:val="dotted" w:sz="4" w:space="0" w:color="auto"/>
              <w:right w:val="dotted" w:sz="4" w:space="0" w:color="auto"/>
            </w:tcBorders>
          </w:tcPr>
          <w:p w14:paraId="0A43CB0B"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Opći cilj:</w:t>
            </w:r>
          </w:p>
        </w:tc>
        <w:tc>
          <w:tcPr>
            <w:tcW w:w="12120" w:type="dxa"/>
            <w:tcBorders>
              <w:top w:val="dotted" w:sz="4" w:space="0" w:color="auto"/>
              <w:left w:val="dotted" w:sz="4" w:space="0" w:color="auto"/>
              <w:bottom w:val="dotted" w:sz="4" w:space="0" w:color="auto"/>
              <w:right w:val="dotted" w:sz="4" w:space="0" w:color="auto"/>
            </w:tcBorders>
            <w:vAlign w:val="bottom"/>
          </w:tcPr>
          <w:p w14:paraId="65D11792"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Pravovremeno izvršavanje aktivnosti organizacije i provedbe izbora i referenduma.</w:t>
            </w:r>
          </w:p>
          <w:p w14:paraId="21822D2F"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Cilj 1. Zakonito i učinkovito provedeni izbori, te isplaćene naknade povjerenstvima i odborima</w:t>
            </w:r>
          </w:p>
          <w:p w14:paraId="1A0C2231"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Osiguravanje materijalnih preduvjeta za učinkovito učinkovitu provedbu izbora i referenduma i učinkovita koordinacija za državnim i županijskim izbornim povjerenstvima i biračkim odborima.</w:t>
            </w:r>
          </w:p>
        </w:tc>
      </w:tr>
    </w:tbl>
    <w:p w14:paraId="34F7E00E" w14:textId="77777777" w:rsidR="00676A9B" w:rsidRPr="00676A9B" w:rsidRDefault="00676A9B" w:rsidP="00676A9B">
      <w:pPr>
        <w:spacing w:after="0" w:line="240" w:lineRule="auto"/>
        <w:jc w:val="both"/>
        <w:rPr>
          <w:rFonts w:ascii="Arial" w:eastAsia="Calibri" w:hAnsi="Arial" w:cs="Arial"/>
          <w:sz w:val="12"/>
          <w:szCs w:val="20"/>
          <w:lang w:eastAsia="en-US"/>
        </w:rPr>
      </w:pPr>
    </w:p>
    <w:p w14:paraId="245B5626"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676A9B">
        <w:rPr>
          <w:rFonts w:ascii="Arial" w:eastAsia="Calibri" w:hAnsi="Arial" w:cs="Arial"/>
          <w:b/>
          <w:sz w:val="20"/>
          <w:szCs w:val="20"/>
          <w:lang w:eastAsia="en-US"/>
        </w:rPr>
        <w:t>Procjena i ishodište potrebnih sredstava za aktivnosti unutar programa</w:t>
      </w:r>
    </w:p>
    <w:p w14:paraId="5F04BA35" w14:textId="77777777" w:rsidR="00676A9B" w:rsidRPr="00676A9B" w:rsidRDefault="00676A9B" w:rsidP="00676A9B">
      <w:pPr>
        <w:spacing w:after="0" w:line="240" w:lineRule="auto"/>
        <w:jc w:val="both"/>
        <w:rPr>
          <w:rFonts w:ascii="Arial" w:eastAsia="Calibri" w:hAnsi="Arial" w:cs="Arial"/>
          <w:sz w:val="20"/>
          <w:szCs w:val="20"/>
          <w:lang w:eastAsia="en-US"/>
        </w:rPr>
      </w:pPr>
    </w:p>
    <w:p w14:paraId="53686B41" w14:textId="39D31E65" w:rsidR="00676A9B" w:rsidRPr="00676A9B" w:rsidRDefault="008A16BA" w:rsidP="00676A9B">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009D5DB3" w14:textId="77777777" w:rsidR="007A4C3F" w:rsidRDefault="007A4C3F" w:rsidP="00676A9B">
      <w:pPr>
        <w:spacing w:after="0" w:line="240" w:lineRule="auto"/>
      </w:pPr>
    </w:p>
    <w:p w14:paraId="67E77AF2" w14:textId="29B42FE0" w:rsidR="00676A9B" w:rsidRPr="00676A9B" w:rsidRDefault="007A4C3F" w:rsidP="00676A9B">
      <w:pPr>
        <w:spacing w:after="0" w:line="240" w:lineRule="auto"/>
        <w:rPr>
          <w:rFonts w:ascii="Arial" w:eastAsia="Calibri" w:hAnsi="Arial" w:cs="Arial"/>
          <w:sz w:val="20"/>
          <w:szCs w:val="20"/>
        </w:rPr>
      </w:pPr>
      <w:r w:rsidRPr="007A4C3F">
        <w:rPr>
          <w:noProof/>
        </w:rPr>
        <w:drawing>
          <wp:inline distT="0" distB="0" distL="0" distR="0" wp14:anchorId="70996793" wp14:editId="60153C39">
            <wp:extent cx="9251950" cy="2287905"/>
            <wp:effectExtent l="0" t="0" r="6350" b="0"/>
            <wp:docPr id="1086617335"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9251950" cy="2287905"/>
                    </a:xfrm>
                    <a:prstGeom prst="rect">
                      <a:avLst/>
                    </a:prstGeom>
                    <a:noFill/>
                    <a:ln>
                      <a:noFill/>
                    </a:ln>
                  </pic:spPr>
                </pic:pic>
              </a:graphicData>
            </a:graphic>
          </wp:inline>
        </w:drawing>
      </w:r>
    </w:p>
    <w:p w14:paraId="4A110364" w14:textId="77777777" w:rsidR="00676A9B" w:rsidRPr="00676A9B" w:rsidRDefault="00676A9B">
      <w:pPr>
        <w:numPr>
          <w:ilvl w:val="0"/>
          <w:numId w:val="6"/>
        </w:num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Od 2019. godine cjelokupni rashodi vezani uz provedbu izbora (osim lokalnih) i referenduma izdvojeni iz programa 2010 u program 2022 Provedba izbora i referenduma (koji ostao u okviru UO za opće poslove, mjesnu samoupravu i društvene djelatnosti)</w:t>
      </w:r>
    </w:p>
    <w:p w14:paraId="09BBF809"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b/>
          <w:sz w:val="20"/>
          <w:szCs w:val="20"/>
          <w:lang w:eastAsia="en-US"/>
        </w:rPr>
        <w:t>RAZLOG ODSTUPANJA OD PROŠLOGODIŠNJIH PROJEKCIJA</w:t>
      </w:r>
      <w:r w:rsidRPr="00676A9B">
        <w:rPr>
          <w:rFonts w:ascii="Arial" w:eastAsia="Times New Roman" w:hAnsi="Arial" w:cs="Arial"/>
          <w:sz w:val="20"/>
          <w:szCs w:val="20"/>
          <w:lang w:eastAsia="en-US"/>
        </w:rPr>
        <w:t xml:space="preserve">: </w:t>
      </w:r>
    </w:p>
    <w:p w14:paraId="0B27298B" w14:textId="6254BC82"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sz w:val="20"/>
          <w:szCs w:val="20"/>
          <w:lang w:eastAsia="en-US"/>
        </w:rPr>
        <w:t>Po navedenom programu nije bilo odstupanja.</w:t>
      </w:r>
    </w:p>
    <w:p w14:paraId="78717CC7" w14:textId="77777777" w:rsidR="00676A9B" w:rsidRPr="00676A9B" w:rsidRDefault="00676A9B" w:rsidP="00676A9B">
      <w:pPr>
        <w:spacing w:after="0" w:line="240" w:lineRule="auto"/>
        <w:jc w:val="both"/>
        <w:rPr>
          <w:rFonts w:ascii="Arial" w:eastAsia="Calibri" w:hAnsi="Arial" w:cs="Arial"/>
          <w:b/>
          <w:sz w:val="20"/>
          <w:szCs w:val="20"/>
          <w:lang w:eastAsia="en-US"/>
        </w:rPr>
      </w:pPr>
    </w:p>
    <w:p w14:paraId="34CCE2D8" w14:textId="77777777" w:rsidR="00676A9B" w:rsidRPr="00676A9B" w:rsidRDefault="00676A9B" w:rsidP="00676A9B">
      <w:pPr>
        <w:spacing w:after="0" w:line="240" w:lineRule="auto"/>
        <w:jc w:val="both"/>
        <w:rPr>
          <w:rFonts w:ascii="Arial" w:eastAsia="Calibri" w:hAnsi="Arial" w:cs="Arial"/>
          <w:i/>
          <w:sz w:val="20"/>
          <w:szCs w:val="20"/>
          <w:lang w:eastAsia="en-US"/>
        </w:rPr>
      </w:pPr>
      <w:r w:rsidRPr="00676A9B">
        <w:rPr>
          <w:rFonts w:ascii="Arial" w:eastAsia="Calibri" w:hAnsi="Arial" w:cs="Arial"/>
          <w:b/>
          <w:sz w:val="20"/>
          <w:szCs w:val="20"/>
          <w:lang w:eastAsia="en-US"/>
        </w:rPr>
        <w:lastRenderedPageBreak/>
        <w:t>Ishodište i pokazatelji na kojima se zasnivaju izračuni i ocjene</w:t>
      </w:r>
      <w:r w:rsidRPr="00676A9B">
        <w:rPr>
          <w:rFonts w:ascii="Arial" w:eastAsia="Calibri" w:hAnsi="Arial" w:cs="Arial"/>
          <w:sz w:val="20"/>
          <w:szCs w:val="20"/>
          <w:lang w:eastAsia="en-US"/>
        </w:rPr>
        <w:t xml:space="preserve"> </w:t>
      </w:r>
      <w:r w:rsidRPr="00676A9B">
        <w:rPr>
          <w:rFonts w:ascii="Arial" w:eastAsia="Calibri" w:hAnsi="Arial" w:cs="Arial"/>
          <w:b/>
          <w:sz w:val="20"/>
          <w:szCs w:val="20"/>
          <w:lang w:eastAsia="en-US"/>
        </w:rPr>
        <w:t>potrebnih sredstava za provođenje programa:</w:t>
      </w:r>
      <w:r w:rsidRPr="00676A9B">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33273862" w14:textId="66BCAC0A"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Izvještaj o postignutim ciljevima i rezultatima programa temeljenim na pokazateljima uspješnosti u prethodnoj godini</w:t>
      </w:r>
      <w:r w:rsidRPr="00676A9B">
        <w:rPr>
          <w:rFonts w:ascii="Arial" w:eastAsia="Calibri" w:hAnsi="Arial" w:cs="Arial"/>
          <w:sz w:val="20"/>
          <w:szCs w:val="20"/>
          <w:lang w:eastAsia="en-US"/>
        </w:rPr>
        <w:t>: Izvršenje je u skladu s očekivanim</w:t>
      </w:r>
      <w:r w:rsidR="007A4C3F">
        <w:rPr>
          <w:rFonts w:ascii="Arial" w:eastAsia="Calibri" w:hAnsi="Arial" w:cs="Arial"/>
          <w:sz w:val="20"/>
          <w:szCs w:val="20"/>
          <w:lang w:eastAsia="en-US"/>
        </w:rPr>
        <w:t xml:space="preserve"> (nije bilo rashoda u okviru programa).</w:t>
      </w:r>
    </w:p>
    <w:p w14:paraId="02AADF1F"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703E61BB"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676A9B">
        <w:rPr>
          <w:rFonts w:ascii="Arial" w:eastAsia="Calibri" w:hAnsi="Arial" w:cs="Arial"/>
          <w:b/>
          <w:sz w:val="20"/>
          <w:szCs w:val="20"/>
          <w:lang w:eastAsia="en-US"/>
        </w:rPr>
        <w:t>Obrazloženje aktivnosti / projekata i pokazatelji uspješnosti</w:t>
      </w:r>
    </w:p>
    <w:p w14:paraId="243828FE" w14:textId="77777777" w:rsidR="00676A9B" w:rsidRPr="00676A9B" w:rsidRDefault="00676A9B" w:rsidP="00676A9B">
      <w:pPr>
        <w:spacing w:after="0" w:line="240" w:lineRule="auto"/>
        <w:jc w:val="both"/>
        <w:rPr>
          <w:rFonts w:ascii="Arial" w:eastAsia="Calibri" w:hAnsi="Arial" w:cs="Arial"/>
          <w:sz w:val="16"/>
          <w:szCs w:val="24"/>
          <w:lang w:eastAsia="en-US"/>
        </w:rPr>
      </w:pPr>
    </w:p>
    <w:p w14:paraId="19894B9A"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Unutar programa izvode se slijedeće aktivnosti i projekti:</w:t>
      </w:r>
    </w:p>
    <w:p w14:paraId="432616AE" w14:textId="77777777" w:rsidR="00676A9B" w:rsidRPr="00676A9B" w:rsidRDefault="00676A9B" w:rsidP="00676A9B">
      <w:pPr>
        <w:autoSpaceDE w:val="0"/>
        <w:autoSpaceDN w:val="0"/>
        <w:adjustRightInd w:val="0"/>
        <w:spacing w:after="0" w:line="240" w:lineRule="auto"/>
        <w:jc w:val="both"/>
        <w:rPr>
          <w:rFonts w:ascii="Arial" w:eastAsia="Calibri" w:hAnsi="Arial" w:cs="Arial"/>
          <w:b/>
          <w:sz w:val="20"/>
          <w:szCs w:val="20"/>
        </w:rPr>
      </w:pPr>
    </w:p>
    <w:p w14:paraId="2740F2D8" w14:textId="77551FAE"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1. A202201: Financiranje izbora za članove u Europski parlament </w:t>
      </w:r>
      <w:r w:rsidRPr="00676A9B">
        <w:rPr>
          <w:rFonts w:ascii="Arial" w:eastAsia="Calibri" w:hAnsi="Arial" w:cs="Arial"/>
          <w:sz w:val="20"/>
          <w:szCs w:val="20"/>
        </w:rPr>
        <w:t xml:space="preserve">- u sklopu navedene aktivnosti </w:t>
      </w:r>
      <w:r w:rsidR="007A4C3F">
        <w:rPr>
          <w:rFonts w:ascii="Arial" w:eastAsia="Calibri" w:hAnsi="Arial" w:cs="Arial"/>
          <w:sz w:val="20"/>
          <w:szCs w:val="20"/>
        </w:rPr>
        <w:t>nisu</w:t>
      </w:r>
      <w:r w:rsidRPr="00676A9B">
        <w:rPr>
          <w:rFonts w:ascii="Arial" w:eastAsia="Calibri" w:hAnsi="Arial" w:cs="Arial"/>
          <w:sz w:val="20"/>
          <w:szCs w:val="20"/>
        </w:rPr>
        <w:t xml:space="preserve"> planirani rashodi</w:t>
      </w:r>
      <w:r w:rsidR="007A4C3F">
        <w:rPr>
          <w:rFonts w:ascii="Arial" w:eastAsia="Calibri" w:hAnsi="Arial" w:cs="Arial"/>
          <w:sz w:val="20"/>
          <w:szCs w:val="20"/>
        </w:rPr>
        <w:t xml:space="preserve">, niti su </w:t>
      </w:r>
      <w:r w:rsidRPr="00676A9B">
        <w:rPr>
          <w:rFonts w:ascii="Arial" w:eastAsia="Calibri" w:hAnsi="Arial" w:cs="Arial"/>
          <w:sz w:val="20"/>
          <w:szCs w:val="20"/>
        </w:rPr>
        <w:t xml:space="preserve">izvršeni. Ranijih godina ovo je bila aktivnost A201007. </w:t>
      </w:r>
    </w:p>
    <w:p w14:paraId="01B115F3"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01A3B7B7" w14:textId="6F0A4064" w:rsidR="00676A9B" w:rsidRPr="00676A9B" w:rsidRDefault="00676A9B" w:rsidP="00676A9B">
      <w:pPr>
        <w:autoSpaceDE w:val="0"/>
        <w:autoSpaceDN w:val="0"/>
        <w:adjustRightInd w:val="0"/>
        <w:spacing w:after="0" w:line="240" w:lineRule="auto"/>
        <w:ind w:left="567"/>
        <w:jc w:val="both"/>
        <w:rPr>
          <w:rFonts w:ascii="Arial" w:eastAsia="Calibri" w:hAnsi="Arial" w:cs="Arial"/>
          <w:sz w:val="18"/>
          <w:szCs w:val="18"/>
        </w:rPr>
      </w:pPr>
      <w:r w:rsidRPr="00676A9B">
        <w:rPr>
          <w:rFonts w:ascii="Arial" w:eastAsia="Calibri" w:hAnsi="Arial" w:cs="Arial"/>
          <w:i/>
          <w:sz w:val="18"/>
          <w:szCs w:val="18"/>
        </w:rPr>
        <w:t xml:space="preserve">*Napomena: Hrvatska je 1. srpnja 2013. postala dvadeset i osma članica Europske unije. Prvi izbori </w:t>
      </w:r>
      <w:r w:rsidR="007A4C3F" w:rsidRPr="007A4C3F">
        <w:rPr>
          <w:rFonts w:ascii="Arial" w:eastAsia="Calibri" w:hAnsi="Arial" w:cs="Arial"/>
          <w:i/>
          <w:sz w:val="18"/>
          <w:szCs w:val="18"/>
        </w:rPr>
        <w:t xml:space="preserve">za članove u Europski parlament iz Republike Hrvatske </w:t>
      </w:r>
      <w:r w:rsidRPr="00676A9B">
        <w:rPr>
          <w:rFonts w:ascii="Arial" w:eastAsia="Calibri" w:hAnsi="Arial" w:cs="Arial"/>
          <w:i/>
          <w:sz w:val="18"/>
          <w:szCs w:val="18"/>
        </w:rPr>
        <w:t xml:space="preserve">održani 14.4.2013. (prije stupanja u EU). Redoviti izbori za EU parlament održani 25.5.2014., te </w:t>
      </w:r>
      <w:r w:rsidRPr="00676A9B">
        <w:rPr>
          <w:rFonts w:ascii="Arial" w:eastAsia="Calibri" w:hAnsi="Arial" w:cs="Arial"/>
          <w:sz w:val="18"/>
          <w:szCs w:val="18"/>
        </w:rPr>
        <w:t>26.5.2019., te 9.6.2024. (petogodišnji mandat). //</w:t>
      </w:r>
    </w:p>
    <w:p w14:paraId="00CB8FF3"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1C5E04B0" w14:textId="622F1371"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2. A202202: Financiranje izbora za predsjednika Republike Hrvatske </w:t>
      </w:r>
      <w:r w:rsidRPr="00676A9B">
        <w:rPr>
          <w:rFonts w:ascii="Arial" w:eastAsia="Calibri" w:hAnsi="Arial" w:cs="Arial"/>
          <w:sz w:val="20"/>
          <w:szCs w:val="20"/>
        </w:rPr>
        <w:t xml:space="preserve">- u sklopu navedene aktivnosti </w:t>
      </w:r>
      <w:r w:rsidR="007A4C3F">
        <w:rPr>
          <w:rFonts w:ascii="Arial" w:eastAsia="Calibri" w:hAnsi="Arial" w:cs="Arial"/>
          <w:sz w:val="20"/>
          <w:szCs w:val="20"/>
        </w:rPr>
        <w:t>nisu planirani niti izvršeni rashodi</w:t>
      </w:r>
      <w:r w:rsidRPr="00676A9B">
        <w:rPr>
          <w:rFonts w:ascii="Arial" w:eastAsia="Calibri" w:hAnsi="Arial" w:cs="Arial"/>
          <w:sz w:val="20"/>
          <w:szCs w:val="20"/>
        </w:rPr>
        <w:t>. Ranijih godina ovo je bila aktivnost A201007.</w:t>
      </w:r>
    </w:p>
    <w:p w14:paraId="5DE6891E" w14:textId="77777777" w:rsidR="00676A9B" w:rsidRPr="00676A9B" w:rsidRDefault="00676A9B" w:rsidP="00676A9B">
      <w:pPr>
        <w:autoSpaceDE w:val="0"/>
        <w:autoSpaceDN w:val="0"/>
        <w:adjustRightInd w:val="0"/>
        <w:spacing w:after="0" w:line="240" w:lineRule="auto"/>
        <w:ind w:left="567"/>
        <w:jc w:val="both"/>
        <w:rPr>
          <w:rFonts w:ascii="Arial" w:eastAsia="Calibri" w:hAnsi="Arial" w:cs="Arial"/>
          <w:sz w:val="18"/>
          <w:szCs w:val="18"/>
        </w:rPr>
      </w:pPr>
      <w:r w:rsidRPr="00676A9B">
        <w:rPr>
          <w:rFonts w:ascii="Arial" w:eastAsia="Calibri" w:hAnsi="Arial" w:cs="Arial"/>
          <w:i/>
          <w:sz w:val="18"/>
          <w:szCs w:val="18"/>
        </w:rPr>
        <w:t xml:space="preserve">*Napomena: </w:t>
      </w:r>
      <w:r w:rsidRPr="00676A9B">
        <w:rPr>
          <w:rFonts w:ascii="Arial" w:eastAsia="Calibri" w:hAnsi="Arial" w:cs="Arial"/>
          <w:sz w:val="18"/>
          <w:szCs w:val="18"/>
        </w:rPr>
        <w:t xml:space="preserve">redovni izbori za predsjednika Republike Hrvatske održani 28.12.2014. // redoviti izbori 22.12.2019. odnosno drugi krug 5.1.2020. </w:t>
      </w:r>
    </w:p>
    <w:p w14:paraId="70272441" w14:textId="77777777" w:rsidR="00676A9B" w:rsidRPr="00676A9B" w:rsidRDefault="00676A9B" w:rsidP="00676A9B">
      <w:pPr>
        <w:autoSpaceDE w:val="0"/>
        <w:autoSpaceDN w:val="0"/>
        <w:adjustRightInd w:val="0"/>
        <w:spacing w:after="0" w:line="240" w:lineRule="auto"/>
        <w:ind w:left="567"/>
        <w:rPr>
          <w:rFonts w:ascii="Arial" w:eastAsia="Calibri" w:hAnsi="Arial" w:cs="Arial"/>
          <w:b/>
          <w:sz w:val="18"/>
          <w:szCs w:val="18"/>
        </w:rPr>
      </w:pPr>
      <w:r w:rsidRPr="00676A9B">
        <w:rPr>
          <w:rFonts w:ascii="Arial" w:eastAsia="Calibri" w:hAnsi="Arial" w:cs="Arial"/>
          <w:sz w:val="18"/>
          <w:szCs w:val="18"/>
        </w:rPr>
        <w:t xml:space="preserve">.                      Redoviti izbori za predsjednika RH su održani 29.12.2024. (prvi krug), te 12.1.2025. (drugi krug). </w:t>
      </w:r>
    </w:p>
    <w:p w14:paraId="28A6C215" w14:textId="77777777" w:rsidR="00676A9B" w:rsidRPr="00676A9B" w:rsidRDefault="00676A9B" w:rsidP="00676A9B">
      <w:pPr>
        <w:autoSpaceDE w:val="0"/>
        <w:autoSpaceDN w:val="0"/>
        <w:adjustRightInd w:val="0"/>
        <w:spacing w:after="0" w:line="240" w:lineRule="auto"/>
        <w:jc w:val="both"/>
        <w:rPr>
          <w:rFonts w:ascii="Arial" w:eastAsia="Calibri" w:hAnsi="Arial" w:cs="Arial"/>
          <w:b/>
          <w:sz w:val="20"/>
          <w:szCs w:val="20"/>
        </w:rPr>
      </w:pPr>
    </w:p>
    <w:p w14:paraId="20706BD5" w14:textId="695C1646"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3. A202203: Financiranje izbora za zastupnike u Hrvatski sabor </w:t>
      </w:r>
      <w:r w:rsidRPr="00676A9B">
        <w:rPr>
          <w:rFonts w:ascii="Arial" w:eastAsia="Calibri" w:hAnsi="Arial" w:cs="Arial"/>
          <w:sz w:val="20"/>
          <w:szCs w:val="20"/>
        </w:rPr>
        <w:t xml:space="preserve">- u sklopu navedene aktivnosti </w:t>
      </w:r>
      <w:r w:rsidR="007A4C3F">
        <w:rPr>
          <w:rFonts w:ascii="Arial" w:eastAsia="Calibri" w:hAnsi="Arial" w:cs="Arial"/>
          <w:sz w:val="20"/>
          <w:szCs w:val="20"/>
        </w:rPr>
        <w:t>nisu planirani niti izvršeni rashodi</w:t>
      </w:r>
      <w:r w:rsidRPr="00676A9B">
        <w:rPr>
          <w:rFonts w:ascii="Arial" w:eastAsia="Calibri" w:hAnsi="Arial" w:cs="Arial"/>
          <w:sz w:val="20"/>
          <w:szCs w:val="20"/>
        </w:rPr>
        <w:t>. Ranijih godina ovo je bila aktivnost A201011.</w:t>
      </w:r>
    </w:p>
    <w:p w14:paraId="13E599CE" w14:textId="77777777" w:rsidR="00676A9B" w:rsidRPr="00676A9B" w:rsidRDefault="00676A9B" w:rsidP="00676A9B">
      <w:pPr>
        <w:autoSpaceDE w:val="0"/>
        <w:autoSpaceDN w:val="0"/>
        <w:adjustRightInd w:val="0"/>
        <w:spacing w:after="0" w:line="240" w:lineRule="auto"/>
        <w:ind w:left="567"/>
        <w:jc w:val="both"/>
        <w:rPr>
          <w:rFonts w:ascii="Arial" w:eastAsia="Calibri" w:hAnsi="Arial" w:cs="Arial"/>
          <w:sz w:val="18"/>
          <w:szCs w:val="18"/>
        </w:rPr>
      </w:pPr>
      <w:r w:rsidRPr="00676A9B">
        <w:rPr>
          <w:rFonts w:ascii="Arial" w:eastAsia="Calibri" w:hAnsi="Arial" w:cs="Arial"/>
          <w:i/>
          <w:sz w:val="18"/>
          <w:szCs w:val="18"/>
        </w:rPr>
        <w:t xml:space="preserve">*Napomena: </w:t>
      </w:r>
      <w:r w:rsidRPr="00676A9B">
        <w:rPr>
          <w:rFonts w:ascii="Arial" w:eastAsia="Calibri" w:hAnsi="Arial" w:cs="Arial"/>
          <w:sz w:val="18"/>
          <w:szCs w:val="18"/>
        </w:rPr>
        <w:t>Redovni izbori za zastupnike u Hrvatski sabor provedeni 8.11.2015. // Prijevremeni izbori 11.9.2016. // Redovni izbori 5.7.2020.</w:t>
      </w:r>
    </w:p>
    <w:p w14:paraId="6A4A3BFD" w14:textId="77777777" w:rsidR="00676A9B" w:rsidRPr="00676A9B" w:rsidRDefault="00676A9B" w:rsidP="00676A9B">
      <w:pPr>
        <w:autoSpaceDE w:val="0"/>
        <w:autoSpaceDN w:val="0"/>
        <w:adjustRightInd w:val="0"/>
        <w:spacing w:after="0" w:line="240" w:lineRule="auto"/>
        <w:ind w:left="567"/>
        <w:rPr>
          <w:rFonts w:ascii="Arial" w:eastAsia="Calibri" w:hAnsi="Arial" w:cs="Arial"/>
          <w:sz w:val="18"/>
          <w:szCs w:val="18"/>
        </w:rPr>
      </w:pPr>
      <w:r w:rsidRPr="00676A9B">
        <w:rPr>
          <w:rFonts w:ascii="Arial" w:eastAsia="Calibri" w:hAnsi="Arial" w:cs="Arial"/>
          <w:sz w:val="18"/>
          <w:szCs w:val="18"/>
        </w:rPr>
        <w:t xml:space="preserve">                      Redovni izbori za zastupnike u Hrvatski sabor provedeni 17.4.2024.</w:t>
      </w:r>
    </w:p>
    <w:p w14:paraId="3CEC560A" w14:textId="77777777" w:rsidR="00676A9B" w:rsidRPr="00676A9B" w:rsidRDefault="00676A9B" w:rsidP="00676A9B">
      <w:pPr>
        <w:autoSpaceDE w:val="0"/>
        <w:autoSpaceDN w:val="0"/>
        <w:adjustRightInd w:val="0"/>
        <w:spacing w:after="0" w:line="240" w:lineRule="auto"/>
        <w:rPr>
          <w:rFonts w:ascii="Arial" w:eastAsia="Calibri" w:hAnsi="Arial" w:cs="Arial"/>
          <w:sz w:val="20"/>
          <w:szCs w:val="20"/>
        </w:rPr>
      </w:pPr>
    </w:p>
    <w:p w14:paraId="51ADA482" w14:textId="1D056A83"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4. A202204: Financiranje izbora za članove vijeća mjesnih odbora </w:t>
      </w:r>
      <w:r w:rsidRPr="00676A9B">
        <w:rPr>
          <w:rFonts w:ascii="Arial" w:eastAsia="Calibri" w:hAnsi="Arial" w:cs="Arial"/>
          <w:sz w:val="20"/>
          <w:szCs w:val="20"/>
        </w:rPr>
        <w:t>- u sklopu navedene aktivnosti prvotno su bili planirani rashodi za provođenje izbora za članove vijeća mjesnih odbora. Izmjenama proračuna rashodi nisu planirani i nisu izvršeni,</w:t>
      </w:r>
      <w:r w:rsidR="007A4C3F">
        <w:rPr>
          <w:rFonts w:ascii="Arial" w:eastAsia="Calibri" w:hAnsi="Arial" w:cs="Arial"/>
          <w:sz w:val="20"/>
          <w:szCs w:val="20"/>
        </w:rPr>
        <w:t xml:space="preserve"> odnosno izbori za članove mjesnih odbora nisu održani.</w:t>
      </w:r>
    </w:p>
    <w:p w14:paraId="0D8CF821" w14:textId="77777777" w:rsidR="00676A9B" w:rsidRPr="00676A9B" w:rsidRDefault="00676A9B" w:rsidP="00676A9B">
      <w:pPr>
        <w:autoSpaceDE w:val="0"/>
        <w:autoSpaceDN w:val="0"/>
        <w:adjustRightInd w:val="0"/>
        <w:spacing w:after="0" w:line="240" w:lineRule="auto"/>
        <w:jc w:val="both"/>
        <w:rPr>
          <w:rFonts w:ascii="Arial" w:eastAsia="Calibri" w:hAnsi="Arial" w:cs="Arial"/>
          <w:i/>
          <w:sz w:val="20"/>
          <w:szCs w:val="20"/>
          <w:lang w:eastAsia="en-US"/>
        </w:rPr>
      </w:pPr>
    </w:p>
    <w:p w14:paraId="7417C8DA" w14:textId="77777777" w:rsidR="00676A9B" w:rsidRPr="00676A9B" w:rsidRDefault="00676A9B" w:rsidP="00676A9B">
      <w:pPr>
        <w:autoSpaceDE w:val="0"/>
        <w:autoSpaceDN w:val="0"/>
        <w:adjustRightInd w:val="0"/>
        <w:spacing w:after="0" w:line="240" w:lineRule="auto"/>
        <w:ind w:left="567"/>
        <w:jc w:val="both"/>
        <w:rPr>
          <w:rFonts w:ascii="Arial" w:eastAsia="Calibri" w:hAnsi="Arial" w:cs="Arial"/>
          <w:sz w:val="18"/>
          <w:szCs w:val="18"/>
          <w:lang w:eastAsia="en-US"/>
        </w:rPr>
      </w:pPr>
      <w:r w:rsidRPr="00676A9B">
        <w:rPr>
          <w:rFonts w:ascii="Arial" w:eastAsia="Calibri" w:hAnsi="Arial" w:cs="Arial"/>
          <w:i/>
          <w:sz w:val="18"/>
          <w:szCs w:val="18"/>
          <w:lang w:eastAsia="en-US"/>
        </w:rPr>
        <w:t xml:space="preserve">*Napomena: </w:t>
      </w:r>
      <w:r w:rsidRPr="00676A9B">
        <w:rPr>
          <w:rFonts w:ascii="Arial" w:eastAsia="Calibri" w:hAnsi="Arial" w:cs="Arial"/>
          <w:sz w:val="18"/>
          <w:szCs w:val="18"/>
          <w:lang w:eastAsia="en-US"/>
        </w:rPr>
        <w:t>21. kolovoza 2016. provedeni su izbori za članove vijeća mjesnih odbora //</w:t>
      </w:r>
    </w:p>
    <w:p w14:paraId="4F813C3F" w14:textId="77777777" w:rsidR="00676A9B" w:rsidRPr="00676A9B" w:rsidRDefault="00676A9B" w:rsidP="00676A9B">
      <w:pPr>
        <w:spacing w:after="0" w:line="240" w:lineRule="auto"/>
        <w:jc w:val="both"/>
        <w:rPr>
          <w:rFonts w:ascii="Arial" w:eastAsia="Calibri" w:hAnsi="Arial" w:cs="Arial"/>
          <w:sz w:val="12"/>
          <w:szCs w:val="20"/>
          <w:lang w:eastAsia="en-US"/>
        </w:rPr>
      </w:pPr>
    </w:p>
    <w:tbl>
      <w:tblPr>
        <w:tblStyle w:val="Reetkatablice536"/>
        <w:tblW w:w="13238" w:type="dxa"/>
        <w:jc w:val="center"/>
        <w:tblLayout w:type="fixed"/>
        <w:tblLook w:val="04A0" w:firstRow="1" w:lastRow="0" w:firstColumn="1" w:lastColumn="0" w:noHBand="0" w:noVBand="1"/>
      </w:tblPr>
      <w:tblGrid>
        <w:gridCol w:w="2689"/>
        <w:gridCol w:w="2976"/>
        <w:gridCol w:w="953"/>
        <w:gridCol w:w="1134"/>
        <w:gridCol w:w="1232"/>
        <w:gridCol w:w="1275"/>
        <w:gridCol w:w="993"/>
        <w:gridCol w:w="993"/>
        <w:gridCol w:w="993"/>
      </w:tblGrid>
      <w:tr w:rsidR="00676A9B" w:rsidRPr="00676A9B" w14:paraId="20257BBA" w14:textId="77777777" w:rsidTr="00410A4B">
        <w:trPr>
          <w:jc w:val="center"/>
        </w:trPr>
        <w:tc>
          <w:tcPr>
            <w:tcW w:w="2689" w:type="dxa"/>
            <w:shd w:val="clear" w:color="auto" w:fill="BFBFBF"/>
            <w:vAlign w:val="center"/>
          </w:tcPr>
          <w:p w14:paraId="2BF109D7"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Pokazatelj rezultata</w:t>
            </w:r>
          </w:p>
        </w:tc>
        <w:tc>
          <w:tcPr>
            <w:tcW w:w="2976" w:type="dxa"/>
            <w:shd w:val="clear" w:color="auto" w:fill="BFBFBF"/>
            <w:vAlign w:val="center"/>
          </w:tcPr>
          <w:p w14:paraId="5913457C"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Definicija</w:t>
            </w:r>
          </w:p>
        </w:tc>
        <w:tc>
          <w:tcPr>
            <w:tcW w:w="953" w:type="dxa"/>
            <w:shd w:val="clear" w:color="auto" w:fill="BFBFBF"/>
            <w:vAlign w:val="center"/>
          </w:tcPr>
          <w:p w14:paraId="535D91B8"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Jedinica</w:t>
            </w:r>
          </w:p>
        </w:tc>
        <w:tc>
          <w:tcPr>
            <w:tcW w:w="1134" w:type="dxa"/>
            <w:shd w:val="clear" w:color="auto" w:fill="BFBFBF"/>
            <w:vAlign w:val="center"/>
          </w:tcPr>
          <w:p w14:paraId="47AC1A5B"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Izvor podataka</w:t>
            </w:r>
          </w:p>
        </w:tc>
        <w:tc>
          <w:tcPr>
            <w:tcW w:w="1232" w:type="dxa"/>
            <w:shd w:val="clear" w:color="auto" w:fill="BFBFBF"/>
            <w:vAlign w:val="center"/>
          </w:tcPr>
          <w:p w14:paraId="307BFF15" w14:textId="45CADCA3"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Polazna vrijednost 202</w:t>
            </w:r>
            <w:r w:rsidR="007A4C3F">
              <w:rPr>
                <w:rFonts w:ascii="Arial" w:eastAsia="Calibri" w:hAnsi="Arial" w:cs="Arial"/>
                <w:sz w:val="18"/>
                <w:szCs w:val="18"/>
                <w:lang w:eastAsia="en-US"/>
              </w:rPr>
              <w:t>4</w:t>
            </w:r>
            <w:r w:rsidRPr="00676A9B">
              <w:rPr>
                <w:rFonts w:ascii="Arial" w:eastAsia="Calibri" w:hAnsi="Arial" w:cs="Arial"/>
                <w:sz w:val="18"/>
                <w:szCs w:val="18"/>
                <w:lang w:eastAsia="en-US"/>
              </w:rPr>
              <w:t>.</w:t>
            </w:r>
          </w:p>
        </w:tc>
        <w:tc>
          <w:tcPr>
            <w:tcW w:w="1275" w:type="dxa"/>
            <w:shd w:val="clear" w:color="auto" w:fill="BFBFBF"/>
            <w:vAlign w:val="center"/>
          </w:tcPr>
          <w:p w14:paraId="1FF5A34B" w14:textId="35018FD2"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7A4C3F">
              <w:rPr>
                <w:rFonts w:ascii="Arial" w:eastAsia="Calibri" w:hAnsi="Arial" w:cs="Arial"/>
                <w:sz w:val="18"/>
                <w:szCs w:val="18"/>
                <w:lang w:eastAsia="en-US"/>
              </w:rPr>
              <w:t>5</w:t>
            </w:r>
            <w:r w:rsidRPr="00676A9B">
              <w:rPr>
                <w:rFonts w:ascii="Arial" w:eastAsia="Calibri" w:hAnsi="Arial" w:cs="Arial"/>
                <w:sz w:val="18"/>
                <w:szCs w:val="18"/>
                <w:lang w:eastAsia="en-US"/>
              </w:rPr>
              <w:t>.</w:t>
            </w:r>
          </w:p>
        </w:tc>
        <w:tc>
          <w:tcPr>
            <w:tcW w:w="993" w:type="dxa"/>
            <w:shd w:val="clear" w:color="auto" w:fill="BFBFBF"/>
            <w:vAlign w:val="center"/>
          </w:tcPr>
          <w:p w14:paraId="2D8645D8" w14:textId="008EDDEB"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Izvršeno 202</w:t>
            </w:r>
            <w:r w:rsidR="007A4C3F">
              <w:rPr>
                <w:rFonts w:ascii="Arial" w:eastAsia="Calibri" w:hAnsi="Arial" w:cs="Arial"/>
                <w:sz w:val="18"/>
                <w:szCs w:val="18"/>
                <w:lang w:eastAsia="en-US"/>
              </w:rPr>
              <w:t>5</w:t>
            </w:r>
            <w:r w:rsidRPr="00676A9B">
              <w:rPr>
                <w:rFonts w:ascii="Arial" w:eastAsia="Calibri" w:hAnsi="Arial" w:cs="Arial"/>
                <w:sz w:val="18"/>
                <w:szCs w:val="18"/>
                <w:lang w:eastAsia="en-US"/>
              </w:rPr>
              <w:t>.</w:t>
            </w:r>
          </w:p>
        </w:tc>
        <w:tc>
          <w:tcPr>
            <w:tcW w:w="993" w:type="dxa"/>
            <w:shd w:val="clear" w:color="auto" w:fill="BFBFBF"/>
          </w:tcPr>
          <w:p w14:paraId="133241E5" w14:textId="661E6C90"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7A4C3F">
              <w:rPr>
                <w:rFonts w:ascii="Arial" w:eastAsia="Calibri" w:hAnsi="Arial" w:cs="Arial"/>
                <w:sz w:val="18"/>
                <w:szCs w:val="18"/>
                <w:lang w:eastAsia="en-US"/>
              </w:rPr>
              <w:t>6</w:t>
            </w:r>
            <w:r w:rsidRPr="00676A9B">
              <w:rPr>
                <w:rFonts w:ascii="Arial" w:eastAsia="Calibri" w:hAnsi="Arial" w:cs="Arial"/>
                <w:sz w:val="18"/>
                <w:szCs w:val="18"/>
                <w:lang w:eastAsia="en-US"/>
              </w:rPr>
              <w:t>.</w:t>
            </w:r>
          </w:p>
        </w:tc>
        <w:tc>
          <w:tcPr>
            <w:tcW w:w="993" w:type="dxa"/>
            <w:shd w:val="clear" w:color="auto" w:fill="BFBFBF"/>
          </w:tcPr>
          <w:p w14:paraId="0A169A2E" w14:textId="4BC4DF95"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7A4C3F">
              <w:rPr>
                <w:rFonts w:ascii="Arial" w:eastAsia="Calibri" w:hAnsi="Arial" w:cs="Arial"/>
                <w:sz w:val="18"/>
                <w:szCs w:val="18"/>
                <w:lang w:eastAsia="en-US"/>
              </w:rPr>
              <w:t>7</w:t>
            </w:r>
            <w:r w:rsidRPr="00676A9B">
              <w:rPr>
                <w:rFonts w:ascii="Arial" w:eastAsia="Calibri" w:hAnsi="Arial" w:cs="Arial"/>
                <w:sz w:val="18"/>
                <w:szCs w:val="18"/>
                <w:lang w:eastAsia="en-US"/>
              </w:rPr>
              <w:t>.</w:t>
            </w:r>
          </w:p>
        </w:tc>
      </w:tr>
      <w:tr w:rsidR="00676A9B" w:rsidRPr="00676A9B" w14:paraId="0DCAF428" w14:textId="77777777" w:rsidTr="00410A4B">
        <w:trPr>
          <w:trHeight w:val="558"/>
          <w:jc w:val="center"/>
        </w:trPr>
        <w:tc>
          <w:tcPr>
            <w:tcW w:w="2689" w:type="dxa"/>
            <w:tcBorders>
              <w:top w:val="single" w:sz="4" w:space="0" w:color="auto"/>
              <w:left w:val="single" w:sz="4" w:space="0" w:color="auto"/>
              <w:bottom w:val="single" w:sz="4" w:space="0" w:color="auto"/>
              <w:right w:val="single" w:sz="4" w:space="0" w:color="auto"/>
            </w:tcBorders>
            <w:vAlign w:val="center"/>
          </w:tcPr>
          <w:p w14:paraId="59085E11"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Pravovremeni obračun i uplata sredstava izbornim povjerenstvima i biračkim odborima nakon provedbe izbora</w:t>
            </w:r>
          </w:p>
        </w:tc>
        <w:tc>
          <w:tcPr>
            <w:tcW w:w="2976" w:type="dxa"/>
            <w:tcBorders>
              <w:top w:val="single" w:sz="4" w:space="0" w:color="auto"/>
              <w:left w:val="single" w:sz="4" w:space="0" w:color="auto"/>
              <w:bottom w:val="single" w:sz="4" w:space="0" w:color="auto"/>
              <w:right w:val="single" w:sz="4" w:space="0" w:color="auto"/>
            </w:tcBorders>
            <w:vAlign w:val="center"/>
          </w:tcPr>
          <w:p w14:paraId="310DA7AA"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Osiguravanje financijskih sredstava za pokrivanje troškova prouzrokovanih održavanjem izbora za članove vijeća mjesnih odbora</w:t>
            </w:r>
          </w:p>
        </w:tc>
        <w:tc>
          <w:tcPr>
            <w:tcW w:w="953" w:type="dxa"/>
            <w:tcBorders>
              <w:top w:val="single" w:sz="4" w:space="0" w:color="auto"/>
              <w:left w:val="single" w:sz="4" w:space="0" w:color="auto"/>
              <w:bottom w:val="single" w:sz="4" w:space="0" w:color="auto"/>
              <w:right w:val="single" w:sz="4" w:space="0" w:color="auto"/>
            </w:tcBorders>
            <w:vAlign w:val="center"/>
          </w:tcPr>
          <w:p w14:paraId="73E5F767"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585111AB" w14:textId="77777777" w:rsidR="00676A9B" w:rsidRPr="00676A9B" w:rsidRDefault="00676A9B" w:rsidP="00676A9B">
            <w:pPr>
              <w:ind w:left="-108" w:right="-108"/>
              <w:jc w:val="center"/>
              <w:rPr>
                <w:rFonts w:ascii="Arial" w:hAnsi="Arial" w:cs="Arial"/>
                <w:sz w:val="18"/>
                <w:szCs w:val="18"/>
                <w:lang w:eastAsia="en-US"/>
              </w:rPr>
            </w:pPr>
            <w:r w:rsidRPr="00676A9B">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391FB2A6" w14:textId="77777777" w:rsidR="00676A9B" w:rsidRPr="00676A9B" w:rsidRDefault="00676A9B" w:rsidP="00676A9B">
            <w:pPr>
              <w:ind w:left="-108" w:right="-108"/>
              <w:jc w:val="center"/>
              <w:rPr>
                <w:rFonts w:ascii="Arial" w:hAnsi="Arial" w:cs="Arial"/>
                <w:sz w:val="18"/>
                <w:szCs w:val="18"/>
                <w:lang w:eastAsia="en-US"/>
              </w:rPr>
            </w:pPr>
            <w:r w:rsidRPr="00676A9B">
              <w:rPr>
                <w:rFonts w:ascii="Arial" w:hAnsi="Arial" w:cs="Arial"/>
                <w:sz w:val="18"/>
                <w:szCs w:val="18"/>
                <w:lang w:eastAsia="en-US"/>
              </w:rPr>
              <w:t>-</w:t>
            </w:r>
          </w:p>
        </w:tc>
        <w:tc>
          <w:tcPr>
            <w:tcW w:w="1275" w:type="dxa"/>
            <w:vAlign w:val="center"/>
          </w:tcPr>
          <w:p w14:paraId="101568DE"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100%</w:t>
            </w:r>
          </w:p>
        </w:tc>
        <w:tc>
          <w:tcPr>
            <w:tcW w:w="993" w:type="dxa"/>
            <w:vAlign w:val="center"/>
          </w:tcPr>
          <w:p w14:paraId="2064C8F8"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w:t>
            </w:r>
          </w:p>
        </w:tc>
        <w:tc>
          <w:tcPr>
            <w:tcW w:w="993" w:type="dxa"/>
            <w:vAlign w:val="center"/>
          </w:tcPr>
          <w:p w14:paraId="557E8E09"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w:t>
            </w:r>
          </w:p>
        </w:tc>
        <w:tc>
          <w:tcPr>
            <w:tcW w:w="993" w:type="dxa"/>
            <w:vAlign w:val="center"/>
          </w:tcPr>
          <w:p w14:paraId="731BD518"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w:t>
            </w:r>
          </w:p>
        </w:tc>
      </w:tr>
    </w:tbl>
    <w:p w14:paraId="3E054E84" w14:textId="77777777" w:rsidR="00676A9B" w:rsidRPr="00676A9B" w:rsidRDefault="00676A9B" w:rsidP="00676A9B">
      <w:pPr>
        <w:spacing w:after="0" w:line="240" w:lineRule="auto"/>
        <w:jc w:val="both"/>
        <w:rPr>
          <w:rFonts w:ascii="Arial" w:eastAsia="Calibri" w:hAnsi="Arial" w:cs="Arial"/>
          <w:sz w:val="20"/>
          <w:szCs w:val="32"/>
          <w:lang w:eastAsia="en-US"/>
        </w:rPr>
      </w:pPr>
    </w:p>
    <w:p w14:paraId="6CA1E954"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5. A202205: Državni referendum </w:t>
      </w:r>
      <w:r w:rsidRPr="00676A9B">
        <w:rPr>
          <w:rFonts w:ascii="Arial" w:eastAsia="Calibri" w:hAnsi="Arial" w:cs="Arial"/>
          <w:sz w:val="20"/>
          <w:szCs w:val="20"/>
        </w:rPr>
        <w:t xml:space="preserve">- u sklopu navedene aktivnosti nisu planirani rashodi. </w:t>
      </w:r>
    </w:p>
    <w:p w14:paraId="1A813161" w14:textId="77777777" w:rsidR="00676A9B" w:rsidRPr="00676A9B" w:rsidRDefault="00676A9B" w:rsidP="00676A9B">
      <w:pPr>
        <w:autoSpaceDE w:val="0"/>
        <w:autoSpaceDN w:val="0"/>
        <w:adjustRightInd w:val="0"/>
        <w:spacing w:after="0" w:line="240" w:lineRule="auto"/>
        <w:ind w:left="567"/>
        <w:jc w:val="both"/>
        <w:rPr>
          <w:rFonts w:ascii="Arial" w:eastAsia="Calibri" w:hAnsi="Arial" w:cs="Arial"/>
          <w:sz w:val="18"/>
          <w:szCs w:val="18"/>
        </w:rPr>
      </w:pPr>
      <w:r w:rsidRPr="00676A9B">
        <w:rPr>
          <w:rFonts w:ascii="Arial" w:eastAsia="Calibri" w:hAnsi="Arial" w:cs="Arial"/>
          <w:i/>
          <w:sz w:val="18"/>
          <w:szCs w:val="18"/>
        </w:rPr>
        <w:t>*Napomena: 1.12.2013. održan referendum o ustavnoj definiciji braka // 22.1.2012. održan referendum o pristupanju Republike Hrvatske Europskoj uniji//</w:t>
      </w:r>
    </w:p>
    <w:p w14:paraId="6950256F" w14:textId="77777777" w:rsidR="00676A9B" w:rsidRPr="00676A9B" w:rsidRDefault="00676A9B" w:rsidP="00676A9B">
      <w:pPr>
        <w:rPr>
          <w:rFonts w:ascii="Arial" w:eastAsia="Calibri" w:hAnsi="Arial" w:cs="Arial"/>
          <w:sz w:val="20"/>
          <w:szCs w:val="20"/>
        </w:rPr>
      </w:pPr>
      <w:r w:rsidRPr="00676A9B">
        <w:rPr>
          <w:rFonts w:ascii="Arial" w:eastAsia="Calibri" w:hAnsi="Arial" w:cs="Arial"/>
          <w:sz w:val="20"/>
          <w:szCs w:val="20"/>
        </w:rPr>
        <w:br w:type="page"/>
      </w:r>
    </w:p>
    <w:p w14:paraId="42B9134D"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bookmarkStart w:id="377" w:name="_Hlk113952685"/>
    </w:p>
    <w:p w14:paraId="5126541A" w14:textId="77777777" w:rsidR="00676A9B" w:rsidRPr="00676A9B" w:rsidRDefault="00676A9B" w:rsidP="00676A9B">
      <w:pPr>
        <w:keepNext/>
        <w:spacing w:after="0" w:line="240" w:lineRule="auto"/>
        <w:jc w:val="both"/>
        <w:outlineLvl w:val="2"/>
        <w:rPr>
          <w:rFonts w:ascii="Times New Roman" w:eastAsia="Calibri" w:hAnsi="Times New Roman" w:cs="Times New Roman"/>
          <w:b/>
          <w:sz w:val="24"/>
          <w:szCs w:val="20"/>
          <w:lang w:eastAsia="en-US"/>
        </w:rPr>
      </w:pPr>
      <w:bookmarkStart w:id="378" w:name="_Toc200628506"/>
      <w:bookmarkStart w:id="379" w:name="_Toc232981438"/>
      <w:r w:rsidRPr="00676A9B">
        <w:rPr>
          <w:rFonts w:ascii="Times New Roman" w:eastAsia="Calibri" w:hAnsi="Times New Roman" w:cs="Times New Roman"/>
          <w:b/>
          <w:sz w:val="24"/>
          <w:szCs w:val="20"/>
          <w:lang w:eastAsia="en-US"/>
        </w:rPr>
        <w:t>Program (2032): Javne potrebe u kulturi</w:t>
      </w:r>
      <w:bookmarkEnd w:id="378"/>
      <w:bookmarkEnd w:id="379"/>
    </w:p>
    <w:p w14:paraId="46754F33" w14:textId="77777777" w:rsidR="00676A9B" w:rsidRPr="00676A9B" w:rsidRDefault="00676A9B" w:rsidP="00676A9B">
      <w:pPr>
        <w:spacing w:after="0" w:line="240" w:lineRule="auto"/>
        <w:jc w:val="both"/>
        <w:rPr>
          <w:rFonts w:ascii="Arial" w:eastAsia="Times New Roman"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9"/>
        <w:gridCol w:w="13012"/>
      </w:tblGrid>
      <w:tr w:rsidR="00676A9B" w:rsidRPr="00676A9B" w14:paraId="57A85FF7" w14:textId="77777777" w:rsidTr="00410A4B">
        <w:tc>
          <w:tcPr>
            <w:tcW w:w="1439" w:type="dxa"/>
          </w:tcPr>
          <w:p w14:paraId="1D6C24A2"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OPIS PROGRAMA:</w:t>
            </w:r>
          </w:p>
        </w:tc>
        <w:tc>
          <w:tcPr>
            <w:tcW w:w="13012" w:type="dxa"/>
          </w:tcPr>
          <w:p w14:paraId="58C60ACE"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Programom su obuhvaćeni razni oblici poticanja i promocije kulture i kulturnih djelatnosti što pridonose razvitku i očuvanju kulturne baštine i kulturnih aktivnosti općenito. Javne potrebe u kulturi jesu kulturne djelatnosti i poslovi, aktivnosti i manifestacije u kulturi koje općina određuje od značaja za Općinu. Programom se omogućuje funkcioniranje jednokratnih umjetničkih projekata koji se u kontinuitetu, uspješno, odvijaju već više godina ali i novo prijavljene projekte, sa ciljem zadovoljavanja raznovrsnih kulturnih potreba građana i mladih te posjetitelja Općine, kao i očuvanje materijalne kulturne baštine. Financijska sredstva dodjeljuju se organizacijama civilnoga društva, ustanovama i drugim pravnim osobama koje svojim programima i djelovanjem obuhvaćaju prvenstveno korisnike s područja Općine.</w:t>
            </w:r>
          </w:p>
          <w:p w14:paraId="40996444"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Prioritetima u financiranju programa i projekata u kulturi Općine definiraju se: potpore za rad odjeljenja knjižnice i rad odjeljenja glazbene škole (već dugi niz godina). Nadalje, kao, projekti usmjereni ka razvoju kulturnog amaterizma su projekti u kulturi usmjereni radu s mladima, projekti usmjereni ka promociji kulturne baštine Općine, festivali i drugo.</w:t>
            </w:r>
          </w:p>
        </w:tc>
      </w:tr>
      <w:tr w:rsidR="00676A9B" w:rsidRPr="00676A9B" w14:paraId="458EA02B" w14:textId="77777777" w:rsidTr="00410A4B">
        <w:tc>
          <w:tcPr>
            <w:tcW w:w="1439" w:type="dxa"/>
          </w:tcPr>
          <w:p w14:paraId="717669B5"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ZAKONSKE I DRUGE PRAVNE OSNOVE PROGRAMA:</w:t>
            </w:r>
          </w:p>
        </w:tc>
        <w:tc>
          <w:tcPr>
            <w:tcW w:w="13012" w:type="dxa"/>
          </w:tcPr>
          <w:p w14:paraId="66C242EE" w14:textId="797A3A9D" w:rsidR="00676A9B" w:rsidRPr="00676A9B" w:rsidRDefault="00676A9B" w:rsidP="00676A9B">
            <w:pPr>
              <w:autoSpaceDE w:val="0"/>
              <w:autoSpaceDN w:val="0"/>
              <w:adjustRightInd w:val="0"/>
              <w:spacing w:after="0" w:line="240" w:lineRule="auto"/>
              <w:jc w:val="both"/>
              <w:rPr>
                <w:rFonts w:ascii="Arial" w:eastAsia="Times New Roman" w:hAnsi="Arial" w:cs="Arial"/>
                <w:color w:val="FF0000"/>
                <w:sz w:val="20"/>
                <w:szCs w:val="20"/>
                <w:lang w:eastAsia="en-US"/>
              </w:rPr>
            </w:pPr>
            <w:r w:rsidRPr="00676A9B">
              <w:rPr>
                <w:rFonts w:ascii="Arial" w:hAnsi="Arial" w:cs="Arial"/>
                <w:sz w:val="20"/>
                <w:szCs w:val="20"/>
              </w:rPr>
              <w:t>Zakon o kulturnim vijećima i financiranju javnih potreba u kulturi (NN 83/22 – na snazi od 26.7.2022.), Zakon o lokalnoj i područnoj (regionalnoj) samoupravi (NN 33/01, 60/01,129/05, 109/07, 125/08, 36/09, 150/11, 144/12, 19/13, 137/15, 123/17, 98/19, 144/20), Zakon o financiranju jedinica lokalne i područne (regionalne) samouprave (NN 127/17, 138/20, 151/22</w:t>
            </w:r>
            <w:r w:rsidR="00D0108E">
              <w:rPr>
                <w:rFonts w:ascii="Arial" w:hAnsi="Arial" w:cs="Arial"/>
                <w:sz w:val="20"/>
                <w:szCs w:val="20"/>
              </w:rPr>
              <w:t>, 114/23</w:t>
            </w:r>
            <w:r w:rsidRPr="00676A9B">
              <w:rPr>
                <w:rFonts w:ascii="Arial" w:hAnsi="Arial" w:cs="Arial"/>
                <w:sz w:val="20"/>
                <w:szCs w:val="20"/>
              </w:rPr>
              <w:t xml:space="preserve">), Zakon o udrugama (NN 74/14, 70/17, 98/19, 151/22), </w:t>
            </w:r>
            <w:r w:rsidRPr="00676A9B">
              <w:rPr>
                <w:rFonts w:ascii="Arial" w:hAnsi="Arial" w:cs="Arial"/>
                <w:b/>
                <w:sz w:val="20"/>
                <w:szCs w:val="20"/>
              </w:rPr>
              <w:t>Uredba o kriterijima, mjerilima i postupcima financiranja i ugovaranja programa i projekata od interesa za opće dobro koje provode udruge</w:t>
            </w:r>
            <w:r w:rsidRPr="00676A9B">
              <w:rPr>
                <w:rFonts w:ascii="Arial" w:hAnsi="Arial" w:cs="Arial"/>
                <w:bCs/>
                <w:sz w:val="20"/>
                <w:szCs w:val="20"/>
              </w:rPr>
              <w:t xml:space="preserve"> (NN 26/15</w:t>
            </w:r>
            <w:r w:rsidR="00D0108E">
              <w:rPr>
                <w:rFonts w:ascii="Arial" w:hAnsi="Arial" w:cs="Arial"/>
                <w:bCs/>
                <w:sz w:val="20"/>
                <w:szCs w:val="20"/>
              </w:rPr>
              <w:t>, 37/21</w:t>
            </w:r>
            <w:r w:rsidRPr="00676A9B">
              <w:rPr>
                <w:rFonts w:ascii="Arial" w:hAnsi="Arial" w:cs="Arial"/>
                <w:bCs/>
                <w:sz w:val="20"/>
                <w:szCs w:val="20"/>
              </w:rPr>
              <w:t xml:space="preserve">), PRIRUČNIK za postupanje u primjeni Uredbe o kriterijima, mjerilima i postupcima financiranja i ugovaranja programa i projekata od interesa za opće dobro koje provode udruge (Vlada RH) </w:t>
            </w:r>
            <w:hyperlink r:id="rId121" w:history="1">
              <w:r w:rsidRPr="00676A9B">
                <w:rPr>
                  <w:rFonts w:ascii="Calibri" w:eastAsia="Calibri" w:hAnsi="Calibri"/>
                  <w:color w:val="0070C0"/>
                  <w:sz w:val="20"/>
                  <w:szCs w:val="20"/>
                  <w:u w:val="single"/>
                </w:rPr>
                <w:t>https://issuu.com/uzuvrh/docs/priru__nik_za_primjenu_uredbe_v._2.</w:t>
              </w:r>
            </w:hyperlink>
            <w:r w:rsidRPr="00676A9B">
              <w:rPr>
                <w:rFonts w:ascii="Arial" w:hAnsi="Arial" w:cs="Arial"/>
                <w:bCs/>
                <w:sz w:val="20"/>
                <w:szCs w:val="20"/>
              </w:rPr>
              <w:t>, Statut Općine i drugi akti</w:t>
            </w:r>
          </w:p>
        </w:tc>
      </w:tr>
      <w:tr w:rsidR="00676A9B" w:rsidRPr="00676A9B" w14:paraId="0AC79DF8" w14:textId="77777777" w:rsidTr="00410A4B">
        <w:tc>
          <w:tcPr>
            <w:tcW w:w="1439" w:type="dxa"/>
          </w:tcPr>
          <w:p w14:paraId="0BA36731"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OPĆI CILJ:</w:t>
            </w:r>
          </w:p>
        </w:tc>
        <w:tc>
          <w:tcPr>
            <w:tcW w:w="13012" w:type="dxa"/>
          </w:tcPr>
          <w:p w14:paraId="16BA86EA"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Cilj programa je osiguranje financijskih sredstava za ostvarivanje javnih potreba na području kulture.</w:t>
            </w:r>
          </w:p>
          <w:p w14:paraId="0CD676C2"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Očuvanje kulturnog identiteta, promicanje kulturnih vrijednosti, zaštita i održavanje spomenika kulture i sakralnih objekata, razvoj dodatne turističke ponude.</w:t>
            </w:r>
          </w:p>
          <w:p w14:paraId="1A96A95A"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Osiguravanje redovnog rada knjižnice – ogranak Konavle i zadovoljavanje potreba korisnika usluga knjižnice.</w:t>
            </w:r>
          </w:p>
          <w:p w14:paraId="20EB9001"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 xml:space="preserve">Osiguravanje sredstva za poticanje razvijanja kulturno umjetničko stvaralaštva, njegovanje nacionalne kulturne i glazbene baštine. </w:t>
            </w:r>
          </w:p>
          <w:p w14:paraId="08003395"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 xml:space="preserve">Sufinanciranje djelovanja udruga koje u slobodno vrijeme okupljaju djecu, mlade i odrasle osobe sa svrhom izvođenja i poticanja aktivnosti u području glazbe i glazbeno scenske umjetnosti, poticanje kulturno umjetničkog amaterizma, zaštita i očuvanje nematerijalnih kulturnih dobara. </w:t>
            </w:r>
          </w:p>
        </w:tc>
      </w:tr>
      <w:tr w:rsidR="00676A9B" w:rsidRPr="00676A9B" w14:paraId="0752C50D" w14:textId="77777777" w:rsidTr="00410A4B">
        <w:tc>
          <w:tcPr>
            <w:tcW w:w="1439" w:type="dxa"/>
            <w:vAlign w:val="bottom"/>
          </w:tcPr>
          <w:p w14:paraId="2703E778"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POSEBNI CILJEVI:</w:t>
            </w:r>
          </w:p>
        </w:tc>
        <w:tc>
          <w:tcPr>
            <w:tcW w:w="13012" w:type="dxa"/>
            <w:vAlign w:val="bottom"/>
          </w:tcPr>
          <w:p w14:paraId="5BD3BF28"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Unapređenje rada kulturnih institucija, udruga i društava i približavanje njihovih aktivnosti domicilnom stanovništvu i svim gostima.</w:t>
            </w:r>
          </w:p>
          <w:p w14:paraId="65595631"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Ostvariti zadovoljstvo građana kroz poticanje i sufinanciranje.</w:t>
            </w:r>
          </w:p>
          <w:p w14:paraId="2F4C8EE3"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Zadovoljavanje kulturnih potreba građana kroz ostvarenje redovitog rada knjižnice i odjeljenja glazbene škole, poticanje kulturnog amaterizma i stvaralaštva, provođenje kulturnih projekata i programa, zaštitu kulturnih dobara i očuvanje kulturne baštine. </w:t>
            </w:r>
          </w:p>
          <w:p w14:paraId="27126253"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Calibri" w:hAnsi="Arial" w:cs="Arial"/>
                <w:sz w:val="20"/>
                <w:szCs w:val="20"/>
                <w:lang w:eastAsia="en-US"/>
              </w:rPr>
              <w:t>Unapređenje identiteta i promidžbe Općine Konavle, očuvanje vrijednih spomeničkih i sakralnih objekata za buduće generacije, produljenje turističke sezone.</w:t>
            </w:r>
          </w:p>
        </w:tc>
      </w:tr>
    </w:tbl>
    <w:p w14:paraId="0D5E2E5C" w14:textId="77777777" w:rsidR="00676A9B" w:rsidRPr="00676A9B" w:rsidRDefault="00676A9B" w:rsidP="00676A9B">
      <w:pPr>
        <w:spacing w:after="0" w:line="240" w:lineRule="auto"/>
        <w:jc w:val="both"/>
        <w:rPr>
          <w:rFonts w:ascii="Arial" w:eastAsia="Calibri" w:hAnsi="Arial" w:cs="Arial"/>
          <w:sz w:val="20"/>
          <w:szCs w:val="20"/>
          <w:lang w:eastAsia="en-US"/>
        </w:rPr>
      </w:pPr>
    </w:p>
    <w:p w14:paraId="71254075"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676A9B">
        <w:rPr>
          <w:rFonts w:ascii="Arial" w:eastAsia="Calibri" w:hAnsi="Arial" w:cs="Arial"/>
          <w:b/>
          <w:sz w:val="20"/>
          <w:szCs w:val="20"/>
          <w:lang w:eastAsia="en-US"/>
        </w:rPr>
        <w:t>Procjena i ishodište potrebnih sredstava za aktivnosti unutar programa</w:t>
      </w:r>
    </w:p>
    <w:p w14:paraId="3D26BBD2" w14:textId="77777777" w:rsidR="00676A9B" w:rsidRPr="00676A9B" w:rsidRDefault="00676A9B" w:rsidP="00676A9B">
      <w:pPr>
        <w:spacing w:after="0" w:line="240" w:lineRule="auto"/>
        <w:jc w:val="both"/>
        <w:rPr>
          <w:rFonts w:ascii="Arial" w:eastAsia="Calibri" w:hAnsi="Arial" w:cs="Arial"/>
          <w:sz w:val="20"/>
          <w:szCs w:val="20"/>
        </w:rPr>
      </w:pPr>
    </w:p>
    <w:p w14:paraId="12002FBF" w14:textId="428DC237" w:rsidR="00676A9B" w:rsidRPr="00676A9B" w:rsidRDefault="008A16BA" w:rsidP="00676A9B">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2C347EAA" w14:textId="77777777" w:rsidR="00676A9B" w:rsidRPr="00676A9B" w:rsidRDefault="00676A9B" w:rsidP="00676A9B">
      <w:pPr>
        <w:spacing w:after="0" w:line="240" w:lineRule="auto"/>
        <w:rPr>
          <w:rFonts w:ascii="Arial" w:eastAsia="Calibri" w:hAnsi="Arial" w:cs="Arial"/>
          <w:sz w:val="20"/>
          <w:szCs w:val="20"/>
        </w:rPr>
      </w:pPr>
    </w:p>
    <w:p w14:paraId="74EC1626" w14:textId="77777777" w:rsidR="00676A9B" w:rsidRPr="00676A9B" w:rsidRDefault="00676A9B" w:rsidP="00676A9B">
      <w:pPr>
        <w:spacing w:after="0" w:line="240" w:lineRule="auto"/>
        <w:rPr>
          <w:rFonts w:ascii="Arial" w:eastAsia="Calibri" w:hAnsi="Arial" w:cs="Arial"/>
          <w:sz w:val="20"/>
          <w:szCs w:val="20"/>
        </w:rPr>
      </w:pPr>
    </w:p>
    <w:p w14:paraId="201A9A35" w14:textId="206CF153" w:rsidR="00676A9B" w:rsidRPr="00676A9B" w:rsidRDefault="00D0108E" w:rsidP="00676A9B">
      <w:pPr>
        <w:spacing w:after="0" w:line="240" w:lineRule="auto"/>
        <w:rPr>
          <w:rFonts w:ascii="Arial" w:eastAsia="Calibri" w:hAnsi="Arial" w:cs="Arial"/>
          <w:sz w:val="20"/>
          <w:szCs w:val="20"/>
        </w:rPr>
      </w:pPr>
      <w:r w:rsidRPr="00D0108E">
        <w:rPr>
          <w:noProof/>
        </w:rPr>
        <w:lastRenderedPageBreak/>
        <w:drawing>
          <wp:inline distT="0" distB="0" distL="0" distR="0" wp14:anchorId="17AC0D4D" wp14:editId="14C2E0FB">
            <wp:extent cx="9251950" cy="4007485"/>
            <wp:effectExtent l="0" t="0" r="6350" b="0"/>
            <wp:docPr id="1365264974"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9251950" cy="4007485"/>
                    </a:xfrm>
                    <a:prstGeom prst="rect">
                      <a:avLst/>
                    </a:prstGeom>
                    <a:noFill/>
                    <a:ln>
                      <a:noFill/>
                    </a:ln>
                  </pic:spPr>
                </pic:pic>
              </a:graphicData>
            </a:graphic>
          </wp:inline>
        </w:drawing>
      </w:r>
    </w:p>
    <w:p w14:paraId="379A9408"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t xml:space="preserve"> </w:t>
      </w:r>
      <w:r w:rsidRPr="00676A9B">
        <w:rPr>
          <w:rFonts w:ascii="Arial" w:eastAsia="Times New Roman" w:hAnsi="Arial" w:cs="Arial"/>
          <w:b/>
          <w:sz w:val="20"/>
          <w:szCs w:val="20"/>
          <w:lang w:eastAsia="en-US"/>
        </w:rPr>
        <w:t>RAZLOG ODSTUPANJA OD PROŠLOGODIŠNJIH PROJEKCIJA</w:t>
      </w:r>
      <w:r w:rsidRPr="00676A9B">
        <w:rPr>
          <w:rFonts w:ascii="Arial" w:eastAsia="Times New Roman" w:hAnsi="Arial" w:cs="Arial"/>
          <w:sz w:val="20"/>
          <w:szCs w:val="20"/>
          <w:lang w:eastAsia="en-US"/>
        </w:rPr>
        <w:t xml:space="preserve">: </w:t>
      </w:r>
    </w:p>
    <w:p w14:paraId="402DDA43"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sz w:val="20"/>
          <w:szCs w:val="20"/>
          <w:lang w:eastAsia="en-US"/>
        </w:rPr>
        <w:t>Po navedenom programu nije bilo značajnijih odstupanja.</w:t>
      </w:r>
    </w:p>
    <w:p w14:paraId="3A1B10A3" w14:textId="77777777" w:rsidR="00676A9B" w:rsidRPr="00676A9B" w:rsidRDefault="00676A9B" w:rsidP="00676A9B">
      <w:pPr>
        <w:spacing w:after="0" w:line="240" w:lineRule="auto"/>
        <w:rPr>
          <w:rFonts w:ascii="Arial" w:eastAsia="Calibri" w:hAnsi="Arial" w:cs="Arial"/>
          <w:sz w:val="20"/>
          <w:szCs w:val="20"/>
        </w:rPr>
      </w:pPr>
    </w:p>
    <w:p w14:paraId="3B59FDF4" w14:textId="77777777" w:rsidR="00676A9B" w:rsidRPr="00676A9B" w:rsidRDefault="00676A9B" w:rsidP="00676A9B">
      <w:pPr>
        <w:spacing w:after="0" w:line="240" w:lineRule="auto"/>
        <w:jc w:val="both"/>
        <w:rPr>
          <w:rFonts w:ascii="Arial" w:eastAsia="Calibri" w:hAnsi="Arial" w:cs="Arial"/>
          <w:i/>
          <w:sz w:val="20"/>
          <w:szCs w:val="20"/>
          <w:lang w:eastAsia="en-US"/>
        </w:rPr>
      </w:pPr>
      <w:r w:rsidRPr="00676A9B">
        <w:rPr>
          <w:rFonts w:ascii="Arial" w:eastAsia="Calibri" w:hAnsi="Arial" w:cs="Arial"/>
          <w:b/>
          <w:sz w:val="20"/>
          <w:szCs w:val="20"/>
          <w:lang w:eastAsia="en-US"/>
        </w:rPr>
        <w:t>Ishodište i pokazatelji na kojima se zasnivaju izračuni i ocjene</w:t>
      </w:r>
      <w:r w:rsidRPr="00676A9B">
        <w:rPr>
          <w:rFonts w:ascii="Arial" w:eastAsia="Calibri" w:hAnsi="Arial" w:cs="Arial"/>
          <w:sz w:val="20"/>
          <w:szCs w:val="20"/>
          <w:lang w:eastAsia="en-US"/>
        </w:rPr>
        <w:t xml:space="preserve"> </w:t>
      </w:r>
      <w:r w:rsidRPr="00676A9B">
        <w:rPr>
          <w:rFonts w:ascii="Arial" w:eastAsia="Calibri" w:hAnsi="Arial" w:cs="Arial"/>
          <w:b/>
          <w:sz w:val="20"/>
          <w:szCs w:val="20"/>
          <w:lang w:eastAsia="en-US"/>
        </w:rPr>
        <w:t>potrebnih sredstava za provođenje programa:</w:t>
      </w:r>
      <w:r w:rsidRPr="00676A9B">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06705116" w14:textId="77777777" w:rsidR="00676A9B" w:rsidRPr="00676A9B" w:rsidRDefault="00676A9B" w:rsidP="00676A9B">
      <w:pPr>
        <w:shd w:val="clear" w:color="auto" w:fill="FFFFFF"/>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Izvještaj o postignutim ciljevima i rezultatima programa temeljenim na pokazateljima uspješnosti u prethodnoj godini</w:t>
      </w:r>
      <w:r w:rsidRPr="00676A9B">
        <w:rPr>
          <w:rFonts w:ascii="Arial" w:eastAsia="Calibri" w:hAnsi="Arial" w:cs="Arial"/>
          <w:sz w:val="20"/>
          <w:szCs w:val="20"/>
          <w:lang w:eastAsia="en-US"/>
        </w:rPr>
        <w:t>: I</w:t>
      </w:r>
      <w:r w:rsidRPr="00676A9B">
        <w:rPr>
          <w:rFonts w:ascii="Arial" w:eastAsia="Calibri" w:hAnsi="Arial" w:cs="Arial"/>
          <w:sz w:val="20"/>
          <w:szCs w:val="20"/>
        </w:rPr>
        <w:t xml:space="preserve">zvršenje je u okviru očekivanih vrijednosti. </w:t>
      </w:r>
    </w:p>
    <w:p w14:paraId="1DE36B7F" w14:textId="77777777" w:rsidR="00676A9B" w:rsidRPr="00676A9B" w:rsidRDefault="00676A9B" w:rsidP="00676A9B">
      <w:pPr>
        <w:spacing w:after="0" w:line="240" w:lineRule="auto"/>
        <w:jc w:val="both"/>
        <w:rPr>
          <w:rFonts w:ascii="Arial" w:eastAsia="Calibri" w:hAnsi="Arial" w:cs="Arial"/>
          <w:sz w:val="20"/>
          <w:szCs w:val="20"/>
          <w:lang w:eastAsia="en-US"/>
        </w:rPr>
      </w:pPr>
    </w:p>
    <w:p w14:paraId="389FAAF3"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bCs/>
          <w:sz w:val="20"/>
          <w:szCs w:val="20"/>
          <w:lang w:eastAsia="en-US"/>
        </w:rPr>
        <w:t xml:space="preserve">Zakon o udrugama </w:t>
      </w:r>
      <w:r w:rsidRPr="00676A9B">
        <w:rPr>
          <w:rFonts w:ascii="Arial" w:eastAsia="Times New Roman" w:hAnsi="Arial" w:cs="Arial"/>
          <w:bCs/>
          <w:sz w:val="20"/>
          <w:szCs w:val="20"/>
          <w:lang w:eastAsia="en-US"/>
        </w:rPr>
        <w:t xml:space="preserve">(NN 74/14, 70/17, 98/19, 151/22) </w:t>
      </w:r>
      <w:r w:rsidRPr="00676A9B">
        <w:rPr>
          <w:rFonts w:ascii="Arial" w:eastAsia="Calibri" w:hAnsi="Arial" w:cs="Arial"/>
          <w:bCs/>
          <w:sz w:val="20"/>
          <w:szCs w:val="20"/>
          <w:lang w:eastAsia="en-US"/>
        </w:rPr>
        <w:t xml:space="preserve">u članku 32. jasno propisuje što smatra </w:t>
      </w:r>
      <w:r w:rsidRPr="00676A9B">
        <w:rPr>
          <w:rFonts w:ascii="Arial" w:eastAsia="Calibri" w:hAnsi="Arial" w:cs="Arial"/>
          <w:b/>
          <w:sz w:val="20"/>
          <w:szCs w:val="20"/>
          <w:lang w:eastAsia="en-US"/>
        </w:rPr>
        <w:t>programima i projektima od interesa za opće dobro</w:t>
      </w:r>
      <w:r w:rsidRPr="00676A9B">
        <w:rPr>
          <w:rFonts w:ascii="Arial" w:eastAsia="Calibri" w:hAnsi="Arial" w:cs="Arial"/>
          <w:sz w:val="20"/>
          <w:szCs w:val="20"/>
          <w:lang w:eastAsia="en-US"/>
        </w:rPr>
        <w:t xml:space="preserve"> koje provode udruge: zaokruženi i tematski jasno određeni skupovi/skup aktivnosti koje su u skladu s vrednotama propisanima Ustavom Republike Hrvatske, te čije provođenje kroz dugoročni ili vremenski ograničeni rok djelovanja daje vidljivu dodanu društvenu vrijednost kojom se podiže kvaliteta života pojedinca i unaprjeđuje razvoj šire društvene zajednice. Spomenutom Uredbom se utvrđuju kriteriji, mjerila i postupci koje davatelji financijskih sredstava, raspolažući sredstvima iz javnih izvora, primjenjuju prilikom financiranja i ugovaranja programa i/ili projekata od interesa za opće dobro koje provode udruge.</w:t>
      </w:r>
    </w:p>
    <w:p w14:paraId="606DEE83" w14:textId="77777777" w:rsidR="00676A9B" w:rsidRPr="00676A9B" w:rsidRDefault="00676A9B" w:rsidP="00676A9B">
      <w:pPr>
        <w:spacing w:after="0" w:line="240" w:lineRule="auto"/>
        <w:jc w:val="both"/>
        <w:rPr>
          <w:rFonts w:ascii="Arial" w:eastAsia="Calibri" w:hAnsi="Arial" w:cs="Arial"/>
          <w:sz w:val="20"/>
          <w:szCs w:val="20"/>
          <w:lang w:eastAsia="en-US"/>
        </w:rPr>
      </w:pPr>
    </w:p>
    <w:p w14:paraId="7464074E" w14:textId="3F72E34B"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lastRenderedPageBreak/>
        <w:t>Program javnih potreba za 202</w:t>
      </w:r>
      <w:r w:rsidR="00D0108E">
        <w:rPr>
          <w:rFonts w:ascii="Arial" w:eastAsia="Calibri" w:hAnsi="Arial" w:cs="Arial"/>
          <w:sz w:val="20"/>
          <w:szCs w:val="20"/>
        </w:rPr>
        <w:t>5</w:t>
      </w:r>
      <w:r w:rsidRPr="00676A9B">
        <w:rPr>
          <w:rFonts w:ascii="Arial" w:eastAsia="Calibri" w:hAnsi="Arial" w:cs="Arial"/>
          <w:sz w:val="20"/>
          <w:szCs w:val="20"/>
        </w:rPr>
        <w:t>. i raspored financijskih sredstava po korisnicima utvrđuje se na temelju Uredbe o kriterijima, mjerilima i postupcima financiranja i ugovaranja programa i projekata od interesa za opće dobro koje provode udruge (Narodne novine 26/2015, 37/2021), Pravilnika o financiranju programa, projekata i javnih potreba sredstvima proračuna Općine Konavle (Službeni glasnik Općine Konavle 8/2015, 5/2022), javnog natječaja / poziva, te Odluke o izvršavanju proračuna Općine Konavle.</w:t>
      </w:r>
    </w:p>
    <w:p w14:paraId="3C7934DF" w14:textId="77777777" w:rsidR="00676A9B" w:rsidRPr="00676A9B" w:rsidRDefault="00676A9B" w:rsidP="00676A9B">
      <w:pPr>
        <w:spacing w:after="0" w:line="240" w:lineRule="auto"/>
        <w:jc w:val="both"/>
        <w:rPr>
          <w:rFonts w:ascii="Arial" w:eastAsia="Calibri" w:hAnsi="Arial" w:cs="Arial"/>
          <w:b/>
          <w:sz w:val="20"/>
          <w:szCs w:val="20"/>
          <w:lang w:eastAsia="en-US"/>
        </w:rPr>
      </w:pPr>
    </w:p>
    <w:p w14:paraId="10EE1A78"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Kriteriji</w:t>
      </w:r>
      <w:r w:rsidRPr="00676A9B">
        <w:rPr>
          <w:rFonts w:ascii="Arial" w:eastAsia="Calibri" w:hAnsi="Arial" w:cs="Arial"/>
          <w:sz w:val="20"/>
          <w:szCs w:val="20"/>
          <w:lang w:eastAsia="en-US"/>
        </w:rPr>
        <w:t xml:space="preserve"> koji se utvrđuju ovom Uredbom odnose se na </w:t>
      </w:r>
      <w:r w:rsidRPr="00676A9B">
        <w:rPr>
          <w:rFonts w:ascii="Arial" w:eastAsia="Calibri" w:hAnsi="Arial" w:cs="Arial"/>
          <w:b/>
          <w:sz w:val="20"/>
          <w:szCs w:val="20"/>
          <w:lang w:eastAsia="en-US"/>
        </w:rPr>
        <w:t>preduvjete</w:t>
      </w:r>
      <w:r w:rsidRPr="00676A9B">
        <w:rPr>
          <w:rFonts w:ascii="Arial" w:eastAsia="Calibri" w:hAnsi="Arial" w:cs="Arial"/>
          <w:sz w:val="20"/>
          <w:szCs w:val="20"/>
          <w:lang w:eastAsia="en-US"/>
        </w:rPr>
        <w:t xml:space="preserve"> koje osigurava </w:t>
      </w:r>
      <w:r w:rsidRPr="00676A9B">
        <w:rPr>
          <w:rFonts w:ascii="Arial" w:eastAsia="Calibri" w:hAnsi="Arial" w:cs="Arial"/>
          <w:sz w:val="20"/>
          <w:szCs w:val="20"/>
          <w:u w:val="single"/>
          <w:lang w:eastAsia="en-US"/>
        </w:rPr>
        <w:t>davatelj financijskih sredstava</w:t>
      </w:r>
      <w:r w:rsidRPr="00676A9B">
        <w:rPr>
          <w:rFonts w:ascii="Arial" w:eastAsia="Calibri" w:hAnsi="Arial" w:cs="Arial"/>
          <w:sz w:val="20"/>
          <w:szCs w:val="20"/>
          <w:lang w:eastAsia="en-US"/>
        </w:rPr>
        <w:t xml:space="preserve"> iz javnih izvora (financijska sredstva, organizacijski kapaciteti i ljudske resurse) i osnovne standarde pripreme, provedbe i praćenja i vrednovanja financiranja programa i projekata od interesa za opće dobro koje provode udruge.</w:t>
      </w:r>
    </w:p>
    <w:p w14:paraId="197A1DB3"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Mjerila</w:t>
      </w:r>
      <w:r w:rsidRPr="00676A9B">
        <w:rPr>
          <w:rFonts w:ascii="Arial" w:eastAsia="Calibri" w:hAnsi="Arial" w:cs="Arial"/>
          <w:sz w:val="20"/>
          <w:szCs w:val="20"/>
          <w:lang w:eastAsia="en-US"/>
        </w:rPr>
        <w:t xml:space="preserve"> koja se utvrđuju ovom Uredbom odnose se na </w:t>
      </w:r>
      <w:r w:rsidRPr="00676A9B">
        <w:rPr>
          <w:rFonts w:ascii="Arial" w:eastAsia="Calibri" w:hAnsi="Arial" w:cs="Arial"/>
          <w:b/>
          <w:sz w:val="20"/>
          <w:szCs w:val="20"/>
          <w:lang w:eastAsia="en-US"/>
        </w:rPr>
        <w:t>osnovne i dodatne uvjete</w:t>
      </w:r>
      <w:r w:rsidRPr="00676A9B">
        <w:rPr>
          <w:rFonts w:ascii="Arial" w:eastAsia="Calibri" w:hAnsi="Arial" w:cs="Arial"/>
          <w:sz w:val="20"/>
          <w:szCs w:val="20"/>
          <w:lang w:eastAsia="en-US"/>
        </w:rPr>
        <w:t xml:space="preserve"> koje moraju ispunjavati </w:t>
      </w:r>
      <w:r w:rsidRPr="00676A9B">
        <w:rPr>
          <w:rFonts w:ascii="Arial" w:eastAsia="Calibri" w:hAnsi="Arial" w:cs="Arial"/>
          <w:sz w:val="20"/>
          <w:szCs w:val="20"/>
          <w:u w:val="single"/>
          <w:lang w:eastAsia="en-US"/>
        </w:rPr>
        <w:t>udruge</w:t>
      </w:r>
      <w:r w:rsidRPr="00676A9B">
        <w:rPr>
          <w:rFonts w:ascii="Arial" w:eastAsia="Calibri" w:hAnsi="Arial" w:cs="Arial"/>
          <w:sz w:val="20"/>
          <w:szCs w:val="20"/>
          <w:lang w:eastAsia="en-US"/>
        </w:rPr>
        <w:t xml:space="preserve"> kada provode programe i projekte financirane iz javnih izvora.</w:t>
      </w:r>
    </w:p>
    <w:p w14:paraId="7CD22707"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Postupci financiranja i ugovaranja</w:t>
      </w:r>
      <w:r w:rsidRPr="00676A9B">
        <w:rPr>
          <w:rFonts w:ascii="Arial" w:eastAsia="Calibri" w:hAnsi="Arial" w:cs="Arial"/>
          <w:sz w:val="20"/>
          <w:szCs w:val="20"/>
          <w:lang w:eastAsia="en-US"/>
        </w:rPr>
        <w:t xml:space="preserve"> programa i projekata, koji se utvrđuju ovom Uredbom, obuhvaćaju aktivnosti davatelja financijskih sredstava u određivanju prioriteta za financiranje, pripremi dokumentacije za financiranje, odabiru programa i projekata, ugovaranju, praćenju i vrednovanju provedbe financiranih programa i projekata, korištenje informacijskog sustava za praćenje i vrednovanje dodjele financijskih sredstava programima i projektima te koordinaciju davatelja financijskih sredstava i izobrazbu u primjeni Uredbe koju provodi Ured za udruge.</w:t>
      </w:r>
    </w:p>
    <w:p w14:paraId="253030EE" w14:textId="77777777" w:rsidR="00676A9B" w:rsidRPr="00676A9B" w:rsidRDefault="00676A9B" w:rsidP="00676A9B">
      <w:pPr>
        <w:spacing w:after="0" w:line="240" w:lineRule="auto"/>
        <w:jc w:val="both"/>
        <w:rPr>
          <w:rFonts w:ascii="Arial" w:eastAsia="Calibri" w:hAnsi="Arial" w:cs="Arial"/>
          <w:sz w:val="20"/>
          <w:szCs w:val="20"/>
          <w:lang w:eastAsia="en-US"/>
        </w:rPr>
      </w:pPr>
    </w:p>
    <w:p w14:paraId="44D1D7D4"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Kriterije, mjerila i postupke iz ove Uredbe </w:t>
      </w:r>
      <w:r w:rsidRPr="00676A9B">
        <w:rPr>
          <w:rFonts w:ascii="Arial" w:eastAsia="Calibri" w:hAnsi="Arial" w:cs="Arial"/>
          <w:b/>
          <w:sz w:val="20"/>
          <w:szCs w:val="20"/>
          <w:lang w:eastAsia="en-US"/>
        </w:rPr>
        <w:t>primjenjuju</w:t>
      </w:r>
      <w:r w:rsidRPr="00676A9B">
        <w:rPr>
          <w:rFonts w:ascii="Arial" w:eastAsia="Calibri" w:hAnsi="Arial" w:cs="Arial"/>
          <w:sz w:val="20"/>
          <w:szCs w:val="20"/>
          <w:lang w:eastAsia="en-US"/>
        </w:rPr>
        <w:t xml:space="preserve"> nadležna tijela državne uprave, Vladini uredi i tijela te druge javne institucije, a na odgovarajući način primjenjuju ih i jedinice lokalne i područne (regionalne) samouprave, trgovačka društva u vlasništvu Republike Hrvatske, odnosno jedne ili više jedinica lokalne i područne (regionalne) samouprave te druge pravne osobe kojima je osnivač Republika Hrvatska, odnosno jedna ili više jedinica lokalne i područne (regionalne) samouprave i druge pravne osobe kada iz javnih izvora financiraju programe i projekte udruga, te doniraju, odnosno sponzoriraju udruge, ako posebnim propisom nije drugačije uređeno.</w:t>
      </w:r>
    </w:p>
    <w:p w14:paraId="4151B0CA" w14:textId="77777777" w:rsidR="00676A9B" w:rsidRPr="00676A9B" w:rsidRDefault="00676A9B" w:rsidP="00676A9B">
      <w:pPr>
        <w:spacing w:after="0" w:line="240" w:lineRule="auto"/>
        <w:jc w:val="both"/>
        <w:rPr>
          <w:rFonts w:ascii="Arial" w:eastAsia="Calibri" w:hAnsi="Arial" w:cs="Arial"/>
          <w:sz w:val="20"/>
          <w:szCs w:val="20"/>
          <w:lang w:eastAsia="en-US"/>
        </w:rPr>
      </w:pPr>
    </w:p>
    <w:p w14:paraId="5A680C57" w14:textId="7B645F0A" w:rsidR="00D0108E" w:rsidRPr="00676A9B" w:rsidRDefault="00676A9B" w:rsidP="00D0108E">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Javni pozivi</w:t>
      </w:r>
      <w:r w:rsidRPr="00676A9B">
        <w:rPr>
          <w:rFonts w:ascii="Arial" w:eastAsia="Calibri" w:hAnsi="Arial" w:cs="Arial"/>
          <w:sz w:val="20"/>
          <w:szCs w:val="20"/>
          <w:lang w:eastAsia="en-US"/>
        </w:rPr>
        <w:t xml:space="preserve"> se objavljuju a mrežnim stranicama Općine Konavle i na </w:t>
      </w:r>
      <w:r w:rsidR="00D0108E">
        <w:rPr>
          <w:rFonts w:ascii="Arial" w:eastAsia="Calibri" w:hAnsi="Arial" w:cs="Arial"/>
          <w:sz w:val="20"/>
          <w:szCs w:val="20"/>
          <w:lang w:eastAsia="en-US"/>
        </w:rPr>
        <w:t>oglasnoj ploči.</w:t>
      </w:r>
    </w:p>
    <w:p w14:paraId="59C84BF1" w14:textId="713454F8"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741645AC"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Javni pozivi su u pravilu otvoreni mjesec dana. Nakon toga, povjerenstva za ocjenu ispunjavanja propisanih formalnih uvjeta javnih poziva otvaraju dostavljene prijedloge, utvrđuju ispunjavanje formalnih uvjeta i iste prosljeđuju povjerenstvima na ocjenu i odobravanje financijskih sredstava. Potom se zaključuju ugovori o financiranju programa, a uglavnom se utvrđuje obročna isplata, kako radi osiguravanja pravdanja doznačenih proračunskih sredstava, tako i osiguravanje likvidnosti proračuna. </w:t>
      </w:r>
    </w:p>
    <w:p w14:paraId="157BD19F" w14:textId="61F2A739"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Dodjela proračunskih sredstava udrugama (prethodno spomenuta Uredba) se obavlja na temelju javnih poziva, izrađene i objavljene cjelokupne natječajne dokumentacije (sa svim prijavnim obrascima, uvjetima natječaja, obrascima pravdanja sredstava, izjavama, primjerom ugovora i dr.). Cjelokupna proračunska sredstva (neovisno o iznosu) moraju biti dodijeljena putem ugovora i moraju se Općini dostaviti izvještaji o utrošku sredstava sukladno prijavljenom projektu. </w:t>
      </w:r>
    </w:p>
    <w:p w14:paraId="4A25773C"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1A5C14A9" w14:textId="3DA4E068" w:rsidR="00676A9B" w:rsidRPr="00676A9B" w:rsidRDefault="00F07B53" w:rsidP="00676A9B">
      <w:pPr>
        <w:spacing w:after="0" w:line="240" w:lineRule="auto"/>
        <w:jc w:val="both"/>
        <w:rPr>
          <w:rFonts w:ascii="Arial" w:eastAsia="Calibri" w:hAnsi="Arial" w:cs="Arial"/>
          <w:sz w:val="20"/>
          <w:szCs w:val="20"/>
        </w:rPr>
      </w:pPr>
      <w:r w:rsidRPr="00F07B53">
        <w:rPr>
          <w:rFonts w:ascii="Arial" w:eastAsia="Calibri" w:hAnsi="Arial" w:cs="Arial"/>
          <w:sz w:val="20"/>
          <w:szCs w:val="20"/>
        </w:rPr>
        <w:t xml:space="preserve">Ukupno planirana sredstva na razini programa iznose </w:t>
      </w:r>
      <w:r>
        <w:rPr>
          <w:rFonts w:ascii="Arial" w:eastAsia="Calibri" w:hAnsi="Arial" w:cs="Arial"/>
          <w:sz w:val="20"/>
          <w:szCs w:val="20"/>
        </w:rPr>
        <w:t>149.200</w:t>
      </w:r>
      <w:r w:rsidRPr="00F07B53">
        <w:rPr>
          <w:rFonts w:ascii="Arial" w:eastAsia="Calibri" w:hAnsi="Arial" w:cs="Arial"/>
          <w:sz w:val="20"/>
          <w:szCs w:val="20"/>
        </w:rPr>
        <w:t xml:space="preserve"> € za 2025, te 160.000 € za 2026. i za 2027. godinu. </w:t>
      </w:r>
      <w:r w:rsidR="00676A9B" w:rsidRPr="00676A9B">
        <w:rPr>
          <w:rFonts w:ascii="Arial" w:eastAsia="Calibri" w:hAnsi="Arial" w:cs="Arial"/>
          <w:sz w:val="20"/>
          <w:szCs w:val="20"/>
        </w:rPr>
        <w:t xml:space="preserve">Unutar programa javnih potreba je planirano da se nastavi financiranje školske i izvanškolske aktivnosti (rad područnog odjela glazbene škole u Cavtatu) i rad knjižnice. </w:t>
      </w:r>
    </w:p>
    <w:p w14:paraId="59916565" w14:textId="49C54EB3"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Za 202</w:t>
      </w:r>
      <w:r w:rsidR="00F07B53">
        <w:rPr>
          <w:rFonts w:ascii="Arial" w:eastAsia="Calibri" w:hAnsi="Arial" w:cs="Arial"/>
          <w:sz w:val="20"/>
          <w:szCs w:val="20"/>
        </w:rPr>
        <w:t>5</w:t>
      </w:r>
      <w:r w:rsidRPr="00676A9B">
        <w:rPr>
          <w:rFonts w:ascii="Arial" w:eastAsia="Calibri" w:hAnsi="Arial" w:cs="Arial"/>
          <w:sz w:val="20"/>
          <w:szCs w:val="20"/>
        </w:rPr>
        <w:t xml:space="preserve">. godinu ovaj program je izvršen u iznosu </w:t>
      </w:r>
      <w:r w:rsidR="00015373">
        <w:rPr>
          <w:rFonts w:ascii="Arial" w:eastAsia="Calibri" w:hAnsi="Arial" w:cs="Arial"/>
          <w:sz w:val="20"/>
          <w:szCs w:val="20"/>
        </w:rPr>
        <w:t>144.925,54</w:t>
      </w:r>
      <w:r w:rsidRPr="00676A9B">
        <w:rPr>
          <w:rFonts w:ascii="Arial" w:eastAsia="Calibri" w:hAnsi="Arial" w:cs="Arial"/>
          <w:sz w:val="20"/>
          <w:szCs w:val="20"/>
        </w:rPr>
        <w:t xml:space="preserve"> € ili 97,</w:t>
      </w:r>
      <w:r w:rsidR="00015373">
        <w:rPr>
          <w:rFonts w:ascii="Arial" w:eastAsia="Calibri" w:hAnsi="Arial" w:cs="Arial"/>
          <w:sz w:val="20"/>
          <w:szCs w:val="20"/>
        </w:rPr>
        <w:t>1</w:t>
      </w:r>
      <w:r w:rsidRPr="00676A9B">
        <w:rPr>
          <w:rFonts w:ascii="Arial" w:eastAsia="Calibri" w:hAnsi="Arial" w:cs="Arial"/>
          <w:sz w:val="20"/>
          <w:szCs w:val="20"/>
        </w:rPr>
        <w:t>%.</w:t>
      </w:r>
    </w:p>
    <w:p w14:paraId="39EBB0E7"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21EE6643"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676A9B">
        <w:rPr>
          <w:rFonts w:ascii="Arial" w:eastAsia="Calibri" w:hAnsi="Arial" w:cs="Arial"/>
          <w:b/>
          <w:sz w:val="20"/>
          <w:szCs w:val="20"/>
          <w:lang w:eastAsia="en-US"/>
        </w:rPr>
        <w:t>Obrazloženje aktivnosti / projekata i pokazatelji uspješnosti</w:t>
      </w:r>
    </w:p>
    <w:p w14:paraId="51D5D1BC"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12DBF862"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Unutar programa planirane su slijedeće aktivnosti i projekti:</w:t>
      </w:r>
    </w:p>
    <w:p w14:paraId="1BD48E56" w14:textId="77777777" w:rsidR="00676A9B" w:rsidRPr="00676A9B" w:rsidRDefault="00676A9B" w:rsidP="00676A9B">
      <w:pPr>
        <w:autoSpaceDE w:val="0"/>
        <w:autoSpaceDN w:val="0"/>
        <w:adjustRightInd w:val="0"/>
        <w:spacing w:after="0" w:line="240" w:lineRule="auto"/>
        <w:rPr>
          <w:rFonts w:ascii="Arial" w:eastAsia="Calibri" w:hAnsi="Arial" w:cs="Arial"/>
          <w:b/>
          <w:sz w:val="20"/>
          <w:szCs w:val="20"/>
        </w:rPr>
      </w:pPr>
    </w:p>
    <w:p w14:paraId="44653EB3" w14:textId="361997D5"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1. A203203: Potpore za školske i izvanškolske aktivnosti u kulturi </w:t>
      </w:r>
      <w:r w:rsidRPr="00676A9B">
        <w:rPr>
          <w:rFonts w:ascii="Arial" w:eastAsia="Calibri" w:hAnsi="Arial" w:cs="Arial"/>
          <w:sz w:val="20"/>
          <w:szCs w:val="20"/>
          <w:lang w:eastAsia="en-US"/>
        </w:rPr>
        <w:t xml:space="preserve">– u sklopu navedene aktivnosti su rashodi, potpore (donacije) za provedbu programa glazbene škole Luka Sorkočević u osnovnoj školi u Cavtatu, te druge aktivnosti u kulturi putem osnovnih škola u iznosu </w:t>
      </w:r>
      <w:r w:rsidR="00015373">
        <w:rPr>
          <w:rFonts w:ascii="Arial" w:eastAsia="Calibri" w:hAnsi="Arial" w:cs="Arial"/>
          <w:sz w:val="20"/>
          <w:szCs w:val="20"/>
          <w:lang w:eastAsia="en-US"/>
        </w:rPr>
        <w:t>15.200</w:t>
      </w:r>
      <w:r w:rsidRPr="00676A9B">
        <w:rPr>
          <w:rFonts w:ascii="Arial" w:eastAsia="Calibri" w:hAnsi="Arial" w:cs="Arial"/>
          <w:sz w:val="20"/>
          <w:szCs w:val="20"/>
          <w:lang w:eastAsia="en-US"/>
        </w:rPr>
        <w:t xml:space="preserve"> €. </w:t>
      </w:r>
    </w:p>
    <w:p w14:paraId="7B234179"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lastRenderedPageBreak/>
        <w:t xml:space="preserve">Ovi rashodi se izvršavaju na temelju zaključenog ugovora i to: </w:t>
      </w:r>
    </w:p>
    <w:p w14:paraId="1293C71B" w14:textId="33D120AE"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 Umjetnička škola Luka Sorkočević Dubrovnik (proračunski korisnik Dubrovačko-neretvanske županije) za sufinanciranje dislociranog odjeljenja Umjetničke škole u Cavtatu (ugovor je zaključen u </w:t>
      </w:r>
      <w:r w:rsidR="00015373">
        <w:rPr>
          <w:rFonts w:ascii="Arial" w:eastAsia="Calibri" w:hAnsi="Arial" w:cs="Arial"/>
          <w:sz w:val="20"/>
          <w:szCs w:val="20"/>
          <w:lang w:eastAsia="en-US"/>
        </w:rPr>
        <w:t>siječnju</w:t>
      </w:r>
      <w:r w:rsidRPr="00676A9B">
        <w:rPr>
          <w:rFonts w:ascii="Arial" w:eastAsia="Calibri" w:hAnsi="Arial" w:cs="Arial"/>
          <w:sz w:val="20"/>
          <w:szCs w:val="20"/>
          <w:lang w:eastAsia="en-US"/>
        </w:rPr>
        <w:t xml:space="preserve"> 202</w:t>
      </w:r>
      <w:r w:rsidR="00015373">
        <w:rPr>
          <w:rFonts w:ascii="Arial" w:eastAsia="Calibri" w:hAnsi="Arial" w:cs="Arial"/>
          <w:sz w:val="20"/>
          <w:szCs w:val="20"/>
          <w:lang w:eastAsia="en-US"/>
        </w:rPr>
        <w:t>5</w:t>
      </w:r>
      <w:r w:rsidRPr="00676A9B">
        <w:rPr>
          <w:rFonts w:ascii="Arial" w:eastAsia="Calibri" w:hAnsi="Arial" w:cs="Arial"/>
          <w:sz w:val="20"/>
          <w:szCs w:val="20"/>
          <w:lang w:eastAsia="en-US"/>
        </w:rPr>
        <w:t>.). Za 202</w:t>
      </w:r>
      <w:r w:rsidR="00015373">
        <w:rPr>
          <w:rFonts w:ascii="Arial" w:eastAsia="Calibri" w:hAnsi="Arial" w:cs="Arial"/>
          <w:sz w:val="20"/>
          <w:szCs w:val="20"/>
          <w:lang w:eastAsia="en-US"/>
        </w:rPr>
        <w:t>5</w:t>
      </w:r>
      <w:r w:rsidRPr="00676A9B">
        <w:rPr>
          <w:rFonts w:ascii="Arial" w:eastAsia="Calibri" w:hAnsi="Arial" w:cs="Arial"/>
          <w:sz w:val="20"/>
          <w:szCs w:val="20"/>
          <w:lang w:eastAsia="en-US"/>
        </w:rPr>
        <w:t xml:space="preserve">. ovaj ugovor je zaključen u iznosu 11.500 €. </w:t>
      </w:r>
      <w:r w:rsidR="00E5151E">
        <w:rPr>
          <w:rFonts w:ascii="Arial" w:eastAsia="Calibri" w:hAnsi="Arial" w:cs="Arial"/>
          <w:sz w:val="20"/>
          <w:szCs w:val="20"/>
          <w:lang w:eastAsia="en-US"/>
        </w:rPr>
        <w:t>Rashodi su izvršeni u ugovorenom iznosu</w:t>
      </w:r>
      <w:r w:rsidRPr="00676A9B">
        <w:rPr>
          <w:rFonts w:ascii="Arial" w:eastAsia="Calibri" w:hAnsi="Arial" w:cs="Arial"/>
          <w:sz w:val="20"/>
          <w:szCs w:val="20"/>
          <w:lang w:eastAsia="en-US"/>
        </w:rPr>
        <w:t>.</w:t>
      </w:r>
    </w:p>
    <w:p w14:paraId="4A4A0BEF"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15B8A159"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U okviru ove aktivnosti su još izvršeni rashodi putem osnovnih škola:</w:t>
      </w:r>
    </w:p>
    <w:p w14:paraId="67129EC8" w14:textId="554CA0DC"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Osnovna škola Cavtat (proračunski korisnik Dubrovačko-neretvanske županije) u iznosu 1.</w:t>
      </w:r>
      <w:r w:rsidR="00E5151E">
        <w:rPr>
          <w:rFonts w:ascii="Arial" w:eastAsia="Calibri" w:hAnsi="Arial" w:cs="Arial"/>
          <w:sz w:val="20"/>
          <w:szCs w:val="20"/>
          <w:lang w:eastAsia="en-US"/>
        </w:rPr>
        <w:t>5</w:t>
      </w:r>
      <w:r w:rsidRPr="00676A9B">
        <w:rPr>
          <w:rFonts w:ascii="Arial" w:eastAsia="Calibri" w:hAnsi="Arial" w:cs="Arial"/>
          <w:sz w:val="20"/>
          <w:szCs w:val="20"/>
          <w:lang w:eastAsia="en-US"/>
        </w:rPr>
        <w:t>00 € na temelju zaključenog ugovora o financiranju javnih potreba u kulturi za financiranje izvanškolskih aktivnosti učenika,</w:t>
      </w:r>
    </w:p>
    <w:p w14:paraId="50625B7C" w14:textId="35F5D6CB"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Osnovna škola Gruda (proračunski korisnik Dubrovačko-neretvanske županije) u iznosu 1.</w:t>
      </w:r>
      <w:r w:rsidR="00E5151E">
        <w:rPr>
          <w:rFonts w:ascii="Arial" w:eastAsia="Calibri" w:hAnsi="Arial" w:cs="Arial"/>
          <w:sz w:val="20"/>
          <w:szCs w:val="20"/>
          <w:lang w:eastAsia="en-US"/>
        </w:rPr>
        <w:t>5</w:t>
      </w:r>
      <w:r w:rsidRPr="00676A9B">
        <w:rPr>
          <w:rFonts w:ascii="Arial" w:eastAsia="Calibri" w:hAnsi="Arial" w:cs="Arial"/>
          <w:sz w:val="20"/>
          <w:szCs w:val="20"/>
          <w:lang w:eastAsia="en-US"/>
        </w:rPr>
        <w:t>00 € na temelju zaključenog ugovora o financiranju javnih potreba u kulturi za financiranje izvannastavnih kulturnih programa škole.</w:t>
      </w:r>
    </w:p>
    <w:p w14:paraId="685C9569" w14:textId="77777777" w:rsidR="00676A9B" w:rsidRPr="00676A9B" w:rsidRDefault="00676A9B" w:rsidP="00676A9B">
      <w:pPr>
        <w:autoSpaceDE w:val="0"/>
        <w:autoSpaceDN w:val="0"/>
        <w:adjustRightInd w:val="0"/>
        <w:spacing w:after="0" w:line="240" w:lineRule="auto"/>
        <w:jc w:val="both"/>
        <w:rPr>
          <w:rFonts w:ascii="Arial" w:eastAsia="Calibri" w:hAnsi="Arial" w:cs="Arial"/>
          <w:b/>
          <w:sz w:val="20"/>
          <w:szCs w:val="20"/>
          <w:lang w:eastAsia="en-US"/>
        </w:rPr>
      </w:pPr>
    </w:p>
    <w:tbl>
      <w:tblPr>
        <w:tblStyle w:val="Reetkatablice536"/>
        <w:tblW w:w="13520" w:type="dxa"/>
        <w:jc w:val="center"/>
        <w:tblLayout w:type="fixed"/>
        <w:tblLook w:val="04A0" w:firstRow="1" w:lastRow="0" w:firstColumn="1" w:lastColumn="0" w:noHBand="0" w:noVBand="1"/>
      </w:tblPr>
      <w:tblGrid>
        <w:gridCol w:w="2689"/>
        <w:gridCol w:w="2976"/>
        <w:gridCol w:w="953"/>
        <w:gridCol w:w="1134"/>
        <w:gridCol w:w="1232"/>
        <w:gridCol w:w="1275"/>
        <w:gridCol w:w="1275"/>
        <w:gridCol w:w="993"/>
        <w:gridCol w:w="993"/>
      </w:tblGrid>
      <w:tr w:rsidR="00676A9B" w:rsidRPr="00676A9B" w14:paraId="0ED491E0" w14:textId="77777777" w:rsidTr="00410A4B">
        <w:trPr>
          <w:jc w:val="center"/>
        </w:trPr>
        <w:tc>
          <w:tcPr>
            <w:tcW w:w="2689" w:type="dxa"/>
            <w:shd w:val="clear" w:color="auto" w:fill="BFBFBF"/>
            <w:vAlign w:val="center"/>
          </w:tcPr>
          <w:p w14:paraId="42DCD687" w14:textId="77777777" w:rsidR="00676A9B" w:rsidRPr="00676A9B" w:rsidRDefault="00676A9B" w:rsidP="00676A9B">
            <w:pPr>
              <w:jc w:val="center"/>
              <w:rPr>
                <w:rFonts w:ascii="Arial" w:eastAsia="Calibri" w:hAnsi="Arial" w:cs="Arial"/>
                <w:sz w:val="18"/>
                <w:szCs w:val="18"/>
                <w:lang w:eastAsia="en-US"/>
              </w:rPr>
            </w:pPr>
            <w:bookmarkStart w:id="380" w:name="_Hlk119420613"/>
            <w:r w:rsidRPr="00676A9B">
              <w:rPr>
                <w:rFonts w:ascii="Arial" w:eastAsia="Calibri" w:hAnsi="Arial" w:cs="Arial"/>
                <w:sz w:val="18"/>
                <w:szCs w:val="18"/>
                <w:lang w:eastAsia="en-US"/>
              </w:rPr>
              <w:t>Pokazatelj rezultata</w:t>
            </w:r>
          </w:p>
        </w:tc>
        <w:tc>
          <w:tcPr>
            <w:tcW w:w="2976" w:type="dxa"/>
            <w:shd w:val="clear" w:color="auto" w:fill="BFBFBF"/>
            <w:vAlign w:val="center"/>
          </w:tcPr>
          <w:p w14:paraId="2D1EDCC6"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Definicija</w:t>
            </w:r>
          </w:p>
        </w:tc>
        <w:tc>
          <w:tcPr>
            <w:tcW w:w="953" w:type="dxa"/>
            <w:shd w:val="clear" w:color="auto" w:fill="BFBFBF"/>
            <w:vAlign w:val="center"/>
          </w:tcPr>
          <w:p w14:paraId="140868B5"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Jedinica</w:t>
            </w:r>
          </w:p>
        </w:tc>
        <w:tc>
          <w:tcPr>
            <w:tcW w:w="1134" w:type="dxa"/>
            <w:shd w:val="clear" w:color="auto" w:fill="BFBFBF"/>
            <w:vAlign w:val="center"/>
          </w:tcPr>
          <w:p w14:paraId="21A593E4"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Izvor podataka</w:t>
            </w:r>
          </w:p>
        </w:tc>
        <w:tc>
          <w:tcPr>
            <w:tcW w:w="1232" w:type="dxa"/>
            <w:shd w:val="clear" w:color="auto" w:fill="BFBFBF"/>
            <w:vAlign w:val="center"/>
          </w:tcPr>
          <w:p w14:paraId="682744C7" w14:textId="2C54A79E"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Polazna vrijednost 202</w:t>
            </w:r>
            <w:r w:rsidR="00E5151E">
              <w:rPr>
                <w:rFonts w:ascii="Arial" w:eastAsia="Calibri" w:hAnsi="Arial" w:cs="Arial"/>
                <w:sz w:val="18"/>
                <w:szCs w:val="18"/>
                <w:lang w:eastAsia="en-US"/>
              </w:rPr>
              <w:t>4</w:t>
            </w:r>
            <w:r w:rsidRPr="00676A9B">
              <w:rPr>
                <w:rFonts w:ascii="Arial" w:eastAsia="Calibri" w:hAnsi="Arial" w:cs="Arial"/>
                <w:sz w:val="18"/>
                <w:szCs w:val="18"/>
                <w:lang w:eastAsia="en-US"/>
              </w:rPr>
              <w:t>.</w:t>
            </w:r>
          </w:p>
        </w:tc>
        <w:tc>
          <w:tcPr>
            <w:tcW w:w="1275" w:type="dxa"/>
            <w:shd w:val="clear" w:color="auto" w:fill="BFBFBF"/>
            <w:vAlign w:val="center"/>
          </w:tcPr>
          <w:p w14:paraId="458673EA" w14:textId="468F493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E5151E">
              <w:rPr>
                <w:rFonts w:ascii="Arial" w:eastAsia="Calibri" w:hAnsi="Arial" w:cs="Arial"/>
                <w:sz w:val="18"/>
                <w:szCs w:val="18"/>
                <w:lang w:eastAsia="en-US"/>
              </w:rPr>
              <w:t>5</w:t>
            </w:r>
            <w:r w:rsidRPr="00676A9B">
              <w:rPr>
                <w:rFonts w:ascii="Arial" w:eastAsia="Calibri" w:hAnsi="Arial" w:cs="Arial"/>
                <w:sz w:val="18"/>
                <w:szCs w:val="18"/>
                <w:lang w:eastAsia="en-US"/>
              </w:rPr>
              <w:t>.</w:t>
            </w:r>
          </w:p>
        </w:tc>
        <w:tc>
          <w:tcPr>
            <w:tcW w:w="1275" w:type="dxa"/>
            <w:shd w:val="clear" w:color="auto" w:fill="BFBFBF"/>
            <w:vAlign w:val="center"/>
          </w:tcPr>
          <w:p w14:paraId="5219A7E1" w14:textId="3BBB9DE8"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Izvršeno 202</w:t>
            </w:r>
            <w:r w:rsidR="00E5151E">
              <w:rPr>
                <w:rFonts w:ascii="Arial" w:eastAsia="Calibri" w:hAnsi="Arial" w:cs="Arial"/>
                <w:sz w:val="18"/>
                <w:szCs w:val="18"/>
                <w:lang w:eastAsia="en-US"/>
              </w:rPr>
              <w:t>6</w:t>
            </w:r>
            <w:r w:rsidRPr="00676A9B">
              <w:rPr>
                <w:rFonts w:ascii="Arial" w:eastAsia="Calibri" w:hAnsi="Arial" w:cs="Arial"/>
                <w:sz w:val="18"/>
                <w:szCs w:val="18"/>
                <w:lang w:eastAsia="en-US"/>
              </w:rPr>
              <w:t>.</w:t>
            </w:r>
          </w:p>
        </w:tc>
        <w:tc>
          <w:tcPr>
            <w:tcW w:w="993" w:type="dxa"/>
            <w:shd w:val="clear" w:color="auto" w:fill="BFBFBF"/>
          </w:tcPr>
          <w:p w14:paraId="3D4A54B4" w14:textId="1914B86C"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E5151E">
              <w:rPr>
                <w:rFonts w:ascii="Arial" w:eastAsia="Calibri" w:hAnsi="Arial" w:cs="Arial"/>
                <w:sz w:val="18"/>
                <w:szCs w:val="18"/>
                <w:lang w:eastAsia="en-US"/>
              </w:rPr>
              <w:t>7</w:t>
            </w:r>
            <w:r w:rsidRPr="00676A9B">
              <w:rPr>
                <w:rFonts w:ascii="Arial" w:eastAsia="Calibri" w:hAnsi="Arial" w:cs="Arial"/>
                <w:sz w:val="18"/>
                <w:szCs w:val="18"/>
                <w:lang w:eastAsia="en-US"/>
              </w:rPr>
              <w:t>.</w:t>
            </w:r>
          </w:p>
        </w:tc>
        <w:tc>
          <w:tcPr>
            <w:tcW w:w="993" w:type="dxa"/>
            <w:shd w:val="clear" w:color="auto" w:fill="BFBFBF"/>
          </w:tcPr>
          <w:p w14:paraId="67A061CB" w14:textId="0528F474"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E5151E">
              <w:rPr>
                <w:rFonts w:ascii="Arial" w:eastAsia="Calibri" w:hAnsi="Arial" w:cs="Arial"/>
                <w:sz w:val="18"/>
                <w:szCs w:val="18"/>
                <w:lang w:eastAsia="en-US"/>
              </w:rPr>
              <w:t>8</w:t>
            </w:r>
            <w:r w:rsidRPr="00676A9B">
              <w:rPr>
                <w:rFonts w:ascii="Arial" w:eastAsia="Calibri" w:hAnsi="Arial" w:cs="Arial"/>
                <w:sz w:val="18"/>
                <w:szCs w:val="18"/>
                <w:lang w:eastAsia="en-US"/>
              </w:rPr>
              <w:t>.</w:t>
            </w:r>
          </w:p>
        </w:tc>
      </w:tr>
      <w:tr w:rsidR="00676A9B" w:rsidRPr="00676A9B" w14:paraId="72226C84" w14:textId="77777777" w:rsidTr="00410A4B">
        <w:trPr>
          <w:trHeight w:val="558"/>
          <w:jc w:val="center"/>
        </w:trPr>
        <w:tc>
          <w:tcPr>
            <w:tcW w:w="2689" w:type="dxa"/>
            <w:tcBorders>
              <w:top w:val="single" w:sz="4" w:space="0" w:color="auto"/>
              <w:left w:val="single" w:sz="4" w:space="0" w:color="auto"/>
              <w:bottom w:val="single" w:sz="4" w:space="0" w:color="auto"/>
              <w:right w:val="single" w:sz="4" w:space="0" w:color="auto"/>
            </w:tcBorders>
            <w:vAlign w:val="center"/>
          </w:tcPr>
          <w:p w14:paraId="0BECEBC9"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Kontinuirano obrazovanje djece</w:t>
            </w:r>
          </w:p>
        </w:tc>
        <w:tc>
          <w:tcPr>
            <w:tcW w:w="2976" w:type="dxa"/>
            <w:tcBorders>
              <w:top w:val="single" w:sz="4" w:space="0" w:color="auto"/>
              <w:left w:val="single" w:sz="4" w:space="0" w:color="auto"/>
              <w:bottom w:val="single" w:sz="4" w:space="0" w:color="auto"/>
              <w:right w:val="single" w:sz="4" w:space="0" w:color="auto"/>
            </w:tcBorders>
            <w:vAlign w:val="center"/>
          </w:tcPr>
          <w:p w14:paraId="1B1E3458"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Organiziranje programa osnovnog glazbenog obrazovanja</w:t>
            </w:r>
          </w:p>
        </w:tc>
        <w:tc>
          <w:tcPr>
            <w:tcW w:w="953" w:type="dxa"/>
            <w:tcBorders>
              <w:top w:val="single" w:sz="4" w:space="0" w:color="auto"/>
              <w:left w:val="single" w:sz="4" w:space="0" w:color="auto"/>
              <w:bottom w:val="single" w:sz="4" w:space="0" w:color="auto"/>
              <w:right w:val="single" w:sz="4" w:space="0" w:color="auto"/>
            </w:tcBorders>
            <w:vAlign w:val="center"/>
          </w:tcPr>
          <w:p w14:paraId="70CAE1E4"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Broj djece</w:t>
            </w:r>
          </w:p>
        </w:tc>
        <w:tc>
          <w:tcPr>
            <w:tcW w:w="1134" w:type="dxa"/>
            <w:tcBorders>
              <w:top w:val="single" w:sz="4" w:space="0" w:color="auto"/>
              <w:left w:val="single" w:sz="4" w:space="0" w:color="auto"/>
              <w:bottom w:val="single" w:sz="4" w:space="0" w:color="auto"/>
              <w:right w:val="single" w:sz="4" w:space="0" w:color="auto"/>
            </w:tcBorders>
            <w:vAlign w:val="center"/>
          </w:tcPr>
          <w:p w14:paraId="3248E46F" w14:textId="77777777" w:rsidR="00676A9B" w:rsidRPr="00676A9B" w:rsidRDefault="00676A9B" w:rsidP="00676A9B">
            <w:pPr>
              <w:ind w:left="-108" w:right="-108"/>
              <w:jc w:val="center"/>
              <w:rPr>
                <w:rFonts w:ascii="Arial" w:hAnsi="Arial" w:cs="Arial"/>
                <w:sz w:val="18"/>
                <w:szCs w:val="18"/>
                <w:lang w:eastAsia="en-US"/>
              </w:rPr>
            </w:pPr>
            <w:r w:rsidRPr="00676A9B">
              <w:rPr>
                <w:rFonts w:ascii="Arial" w:hAnsi="Arial" w:cs="Arial"/>
                <w:sz w:val="18"/>
                <w:szCs w:val="18"/>
                <w:lang w:eastAsia="en-US"/>
              </w:rPr>
              <w:t xml:space="preserve">Umjetnička škola </w:t>
            </w:r>
          </w:p>
        </w:tc>
        <w:tc>
          <w:tcPr>
            <w:tcW w:w="1232" w:type="dxa"/>
            <w:tcBorders>
              <w:top w:val="single" w:sz="4" w:space="0" w:color="auto"/>
              <w:left w:val="single" w:sz="4" w:space="0" w:color="auto"/>
              <w:bottom w:val="single" w:sz="4" w:space="0" w:color="auto"/>
              <w:right w:val="single" w:sz="4" w:space="0" w:color="auto"/>
            </w:tcBorders>
            <w:vAlign w:val="center"/>
          </w:tcPr>
          <w:p w14:paraId="317052DD" w14:textId="77777777" w:rsidR="00676A9B" w:rsidRPr="00676A9B" w:rsidRDefault="00676A9B" w:rsidP="00676A9B">
            <w:pPr>
              <w:ind w:left="-108" w:right="-108"/>
              <w:jc w:val="center"/>
              <w:rPr>
                <w:rFonts w:ascii="Arial" w:hAnsi="Arial" w:cs="Arial"/>
                <w:sz w:val="18"/>
                <w:szCs w:val="18"/>
                <w:lang w:eastAsia="en-US"/>
              </w:rPr>
            </w:pPr>
            <w:r w:rsidRPr="00676A9B">
              <w:rPr>
                <w:rFonts w:ascii="Arial" w:hAnsi="Arial" w:cs="Arial"/>
                <w:sz w:val="18"/>
                <w:szCs w:val="18"/>
                <w:lang w:eastAsia="en-US"/>
              </w:rPr>
              <w:t>61</w:t>
            </w:r>
          </w:p>
        </w:tc>
        <w:tc>
          <w:tcPr>
            <w:tcW w:w="1275" w:type="dxa"/>
            <w:vAlign w:val="center"/>
          </w:tcPr>
          <w:p w14:paraId="3D27A846"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80</w:t>
            </w:r>
          </w:p>
        </w:tc>
        <w:tc>
          <w:tcPr>
            <w:tcW w:w="1275" w:type="dxa"/>
            <w:vAlign w:val="center"/>
          </w:tcPr>
          <w:p w14:paraId="356F63EA" w14:textId="68D9C72A" w:rsidR="00676A9B" w:rsidRPr="00676A9B" w:rsidRDefault="00E5151E" w:rsidP="00676A9B">
            <w:pPr>
              <w:jc w:val="center"/>
              <w:rPr>
                <w:rFonts w:ascii="Arial" w:hAnsi="Arial" w:cs="Arial"/>
                <w:sz w:val="18"/>
                <w:szCs w:val="18"/>
                <w:lang w:eastAsia="en-US"/>
              </w:rPr>
            </w:pPr>
            <w:r>
              <w:rPr>
                <w:rFonts w:ascii="Arial" w:hAnsi="Arial" w:cs="Arial"/>
                <w:sz w:val="18"/>
                <w:szCs w:val="18"/>
                <w:lang w:eastAsia="en-US"/>
              </w:rPr>
              <w:t>65</w:t>
            </w:r>
          </w:p>
        </w:tc>
        <w:tc>
          <w:tcPr>
            <w:tcW w:w="993" w:type="dxa"/>
            <w:vAlign w:val="center"/>
          </w:tcPr>
          <w:p w14:paraId="0D58E3B9"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80</w:t>
            </w:r>
          </w:p>
        </w:tc>
        <w:tc>
          <w:tcPr>
            <w:tcW w:w="993" w:type="dxa"/>
            <w:vAlign w:val="center"/>
          </w:tcPr>
          <w:p w14:paraId="2624F046"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80</w:t>
            </w:r>
          </w:p>
        </w:tc>
      </w:tr>
    </w:tbl>
    <w:p w14:paraId="2DAA01E9" w14:textId="77777777" w:rsidR="00676A9B" w:rsidRPr="00676A9B" w:rsidRDefault="00676A9B" w:rsidP="00676A9B">
      <w:pPr>
        <w:spacing w:after="0" w:line="240" w:lineRule="auto"/>
        <w:ind w:left="4536"/>
        <w:jc w:val="both"/>
        <w:rPr>
          <w:rFonts w:ascii="Arial" w:eastAsia="Calibri" w:hAnsi="Arial" w:cs="Arial"/>
          <w:sz w:val="16"/>
          <w:szCs w:val="24"/>
          <w:lang w:eastAsia="en-US"/>
        </w:rPr>
      </w:pPr>
      <w:r w:rsidRPr="00676A9B">
        <w:rPr>
          <w:rFonts w:ascii="Arial" w:eastAsia="Calibri" w:hAnsi="Arial" w:cs="Arial"/>
          <w:sz w:val="16"/>
          <w:szCs w:val="24"/>
          <w:lang w:eastAsia="en-US"/>
        </w:rPr>
        <w:t>Školska godina 2021/2022- Dislocirano odjeljenje Cavtat-69 učenika (1. razred-19 / 2.raz.-21 / 3. raz.-10 / 4. raz.-11 / 5. raz.-8 / 6. raz.- 0 )</w:t>
      </w:r>
    </w:p>
    <w:p w14:paraId="6E180828" w14:textId="77777777" w:rsidR="00676A9B" w:rsidRPr="00676A9B" w:rsidRDefault="00676A9B" w:rsidP="00676A9B">
      <w:pPr>
        <w:spacing w:after="0" w:line="240" w:lineRule="auto"/>
        <w:ind w:left="4536"/>
        <w:jc w:val="both"/>
        <w:rPr>
          <w:rFonts w:ascii="Arial" w:eastAsia="Calibri" w:hAnsi="Arial" w:cs="Arial"/>
          <w:sz w:val="16"/>
          <w:szCs w:val="24"/>
          <w:lang w:eastAsia="en-US"/>
        </w:rPr>
      </w:pPr>
      <w:r w:rsidRPr="00676A9B">
        <w:rPr>
          <w:rFonts w:ascii="Arial" w:eastAsia="Calibri" w:hAnsi="Arial" w:cs="Arial"/>
          <w:sz w:val="16"/>
          <w:szCs w:val="24"/>
          <w:lang w:eastAsia="en-US"/>
        </w:rPr>
        <w:t>Školska godina 2022/2023- Dislocirano odjeljenje Cavtat-75 učenika (1. razred=18 / 2.raz.=17 / 3. raz.=19 / 4. raz.=9 / 5. raz.=5 / 6. raz.=7 )</w:t>
      </w:r>
    </w:p>
    <w:bookmarkEnd w:id="380"/>
    <w:p w14:paraId="2AFDCF6F" w14:textId="77777777" w:rsidR="00676A9B" w:rsidRPr="00676A9B" w:rsidRDefault="00676A9B" w:rsidP="00676A9B">
      <w:pPr>
        <w:spacing w:after="0" w:line="240" w:lineRule="auto"/>
        <w:jc w:val="right"/>
        <w:rPr>
          <w:rFonts w:ascii="Arial" w:eastAsia="Calibri" w:hAnsi="Arial" w:cs="Arial"/>
          <w:sz w:val="16"/>
          <w:szCs w:val="24"/>
          <w:lang w:eastAsia="en-US"/>
        </w:rPr>
      </w:pPr>
      <w:r w:rsidRPr="00676A9B">
        <w:rPr>
          <w:rFonts w:ascii="Arial" w:eastAsia="Calibri" w:hAnsi="Arial" w:cs="Arial"/>
          <w:sz w:val="16"/>
          <w:szCs w:val="24"/>
          <w:lang w:eastAsia="en-US"/>
        </w:rPr>
        <w:t>Školska godina 2023/2024- Dislocirano odjeljenje Cavtat-61 učenik (početno pripremni tečaj 7 učenika, 1. raz.=13 / 2.raz.=14 / 3. raz.=11 / 4. raz.=12 / 5. raz.=9 / 6.raz.=2 )</w:t>
      </w:r>
    </w:p>
    <w:p w14:paraId="660B9430" w14:textId="77777777" w:rsidR="00676A9B" w:rsidRDefault="00676A9B" w:rsidP="00676A9B">
      <w:pPr>
        <w:spacing w:after="0" w:line="240" w:lineRule="auto"/>
        <w:jc w:val="right"/>
        <w:rPr>
          <w:rFonts w:ascii="Arial" w:eastAsia="Calibri" w:hAnsi="Arial" w:cs="Arial"/>
          <w:sz w:val="16"/>
          <w:szCs w:val="24"/>
          <w:lang w:eastAsia="en-US"/>
        </w:rPr>
      </w:pPr>
      <w:r w:rsidRPr="00676A9B">
        <w:rPr>
          <w:rFonts w:ascii="Arial" w:eastAsia="Calibri" w:hAnsi="Arial" w:cs="Arial"/>
          <w:sz w:val="16"/>
          <w:szCs w:val="24"/>
          <w:lang w:eastAsia="en-US"/>
        </w:rPr>
        <w:t>Školska godina 2024/2025- Dislocirano odjeljenje Cavtat-79 učenik (početno pripremni tečaj 14 učenika, 1. raz.=10 / 2.raz.=12 / 3. raz.=10 / 4. raz.=11 / 5. raz.=13 / 6.raz.=9</w:t>
      </w:r>
    </w:p>
    <w:p w14:paraId="46E9C36A" w14:textId="2C559E99" w:rsidR="009D0E46" w:rsidRDefault="009D0E46" w:rsidP="009D0E46">
      <w:pPr>
        <w:spacing w:after="0" w:line="240" w:lineRule="auto"/>
        <w:jc w:val="right"/>
        <w:rPr>
          <w:rFonts w:ascii="Arial" w:eastAsia="Calibri" w:hAnsi="Arial" w:cs="Arial"/>
          <w:sz w:val="16"/>
          <w:szCs w:val="24"/>
          <w:lang w:eastAsia="en-US"/>
        </w:rPr>
      </w:pPr>
      <w:r w:rsidRPr="00676A9B">
        <w:rPr>
          <w:rFonts w:ascii="Arial" w:eastAsia="Calibri" w:hAnsi="Arial" w:cs="Arial"/>
          <w:sz w:val="16"/>
          <w:szCs w:val="24"/>
          <w:lang w:eastAsia="en-US"/>
        </w:rPr>
        <w:t>Školska godina 202</w:t>
      </w:r>
      <w:r>
        <w:rPr>
          <w:rFonts w:ascii="Arial" w:eastAsia="Calibri" w:hAnsi="Arial" w:cs="Arial"/>
          <w:sz w:val="16"/>
          <w:szCs w:val="24"/>
          <w:lang w:eastAsia="en-US"/>
        </w:rPr>
        <w:t>5</w:t>
      </w:r>
      <w:r w:rsidRPr="00676A9B">
        <w:rPr>
          <w:rFonts w:ascii="Arial" w:eastAsia="Calibri" w:hAnsi="Arial" w:cs="Arial"/>
          <w:sz w:val="16"/>
          <w:szCs w:val="24"/>
          <w:lang w:eastAsia="en-US"/>
        </w:rPr>
        <w:t>/202</w:t>
      </w:r>
      <w:r>
        <w:rPr>
          <w:rFonts w:ascii="Arial" w:eastAsia="Calibri" w:hAnsi="Arial" w:cs="Arial"/>
          <w:sz w:val="16"/>
          <w:szCs w:val="24"/>
          <w:lang w:eastAsia="en-US"/>
        </w:rPr>
        <w:t>6</w:t>
      </w:r>
      <w:r w:rsidRPr="00676A9B">
        <w:rPr>
          <w:rFonts w:ascii="Arial" w:eastAsia="Calibri" w:hAnsi="Arial" w:cs="Arial"/>
          <w:sz w:val="16"/>
          <w:szCs w:val="24"/>
          <w:lang w:eastAsia="en-US"/>
        </w:rPr>
        <w:t>- Dislocirano odjeljenje Cavtat-</w:t>
      </w:r>
      <w:r w:rsidR="00E5151E">
        <w:rPr>
          <w:rFonts w:ascii="Arial" w:eastAsia="Calibri" w:hAnsi="Arial" w:cs="Arial"/>
          <w:sz w:val="16"/>
          <w:szCs w:val="24"/>
          <w:lang w:eastAsia="en-US"/>
        </w:rPr>
        <w:t>65</w:t>
      </w:r>
      <w:r w:rsidRPr="00676A9B">
        <w:rPr>
          <w:rFonts w:ascii="Arial" w:eastAsia="Calibri" w:hAnsi="Arial" w:cs="Arial"/>
          <w:sz w:val="16"/>
          <w:szCs w:val="24"/>
          <w:lang w:eastAsia="en-US"/>
        </w:rPr>
        <w:t xml:space="preserve"> učenik</w:t>
      </w:r>
      <w:r w:rsidR="00E5151E">
        <w:rPr>
          <w:rFonts w:ascii="Arial" w:eastAsia="Calibri" w:hAnsi="Arial" w:cs="Arial"/>
          <w:sz w:val="16"/>
          <w:szCs w:val="24"/>
          <w:lang w:eastAsia="en-US"/>
        </w:rPr>
        <w:t>a</w:t>
      </w:r>
      <w:r w:rsidRPr="00676A9B">
        <w:rPr>
          <w:rFonts w:ascii="Arial" w:eastAsia="Calibri" w:hAnsi="Arial" w:cs="Arial"/>
          <w:sz w:val="16"/>
          <w:szCs w:val="24"/>
          <w:lang w:eastAsia="en-US"/>
        </w:rPr>
        <w:t xml:space="preserve"> (početno pripremni tečaj 14 učenika, 1. raz.=1</w:t>
      </w:r>
      <w:r w:rsidR="00E5151E">
        <w:rPr>
          <w:rFonts w:ascii="Arial" w:eastAsia="Calibri" w:hAnsi="Arial" w:cs="Arial"/>
          <w:sz w:val="16"/>
          <w:szCs w:val="24"/>
          <w:lang w:eastAsia="en-US"/>
        </w:rPr>
        <w:t>1</w:t>
      </w:r>
      <w:r w:rsidRPr="00676A9B">
        <w:rPr>
          <w:rFonts w:ascii="Arial" w:eastAsia="Calibri" w:hAnsi="Arial" w:cs="Arial"/>
          <w:sz w:val="16"/>
          <w:szCs w:val="24"/>
          <w:lang w:eastAsia="en-US"/>
        </w:rPr>
        <w:t xml:space="preserve"> / 2.raz.=</w:t>
      </w:r>
      <w:r w:rsidR="00E5151E">
        <w:rPr>
          <w:rFonts w:ascii="Arial" w:eastAsia="Calibri" w:hAnsi="Arial" w:cs="Arial"/>
          <w:sz w:val="16"/>
          <w:szCs w:val="24"/>
          <w:lang w:eastAsia="en-US"/>
        </w:rPr>
        <w:t>6</w:t>
      </w:r>
      <w:r w:rsidRPr="00676A9B">
        <w:rPr>
          <w:rFonts w:ascii="Arial" w:eastAsia="Calibri" w:hAnsi="Arial" w:cs="Arial"/>
          <w:sz w:val="16"/>
          <w:szCs w:val="24"/>
          <w:lang w:eastAsia="en-US"/>
        </w:rPr>
        <w:t xml:space="preserve"> / 3. raz.=</w:t>
      </w:r>
      <w:r w:rsidR="00E5151E">
        <w:rPr>
          <w:rFonts w:ascii="Arial" w:eastAsia="Calibri" w:hAnsi="Arial" w:cs="Arial"/>
          <w:sz w:val="16"/>
          <w:szCs w:val="24"/>
          <w:lang w:eastAsia="en-US"/>
        </w:rPr>
        <w:t>9</w:t>
      </w:r>
      <w:r w:rsidRPr="00676A9B">
        <w:rPr>
          <w:rFonts w:ascii="Arial" w:eastAsia="Calibri" w:hAnsi="Arial" w:cs="Arial"/>
          <w:sz w:val="16"/>
          <w:szCs w:val="24"/>
          <w:lang w:eastAsia="en-US"/>
        </w:rPr>
        <w:t xml:space="preserve"> / 4. raz.=</w:t>
      </w:r>
      <w:r w:rsidR="00E5151E">
        <w:rPr>
          <w:rFonts w:ascii="Arial" w:eastAsia="Calibri" w:hAnsi="Arial" w:cs="Arial"/>
          <w:sz w:val="16"/>
          <w:szCs w:val="24"/>
          <w:lang w:eastAsia="en-US"/>
        </w:rPr>
        <w:t>7</w:t>
      </w:r>
      <w:r w:rsidRPr="00676A9B">
        <w:rPr>
          <w:rFonts w:ascii="Arial" w:eastAsia="Calibri" w:hAnsi="Arial" w:cs="Arial"/>
          <w:sz w:val="16"/>
          <w:szCs w:val="24"/>
          <w:lang w:eastAsia="en-US"/>
        </w:rPr>
        <w:t xml:space="preserve"> / 5. raz.=1</w:t>
      </w:r>
      <w:r w:rsidR="00E5151E">
        <w:rPr>
          <w:rFonts w:ascii="Arial" w:eastAsia="Calibri" w:hAnsi="Arial" w:cs="Arial"/>
          <w:sz w:val="16"/>
          <w:szCs w:val="24"/>
          <w:lang w:eastAsia="en-US"/>
        </w:rPr>
        <w:t>1</w:t>
      </w:r>
      <w:r w:rsidRPr="00676A9B">
        <w:rPr>
          <w:rFonts w:ascii="Arial" w:eastAsia="Calibri" w:hAnsi="Arial" w:cs="Arial"/>
          <w:sz w:val="16"/>
          <w:szCs w:val="24"/>
          <w:lang w:eastAsia="en-US"/>
        </w:rPr>
        <w:t xml:space="preserve"> / 6.raz.=</w:t>
      </w:r>
      <w:r w:rsidR="00E5151E">
        <w:rPr>
          <w:rFonts w:ascii="Arial" w:eastAsia="Calibri" w:hAnsi="Arial" w:cs="Arial"/>
          <w:sz w:val="16"/>
          <w:szCs w:val="24"/>
          <w:lang w:eastAsia="en-US"/>
        </w:rPr>
        <w:t>7</w:t>
      </w:r>
    </w:p>
    <w:p w14:paraId="6D2342EB" w14:textId="77777777" w:rsidR="009D0E46" w:rsidRPr="00676A9B" w:rsidRDefault="009D0E46" w:rsidP="00676A9B">
      <w:pPr>
        <w:spacing w:after="0" w:line="240" w:lineRule="auto"/>
        <w:jc w:val="right"/>
        <w:rPr>
          <w:rFonts w:ascii="Arial" w:eastAsia="Calibri" w:hAnsi="Arial" w:cs="Arial"/>
          <w:sz w:val="16"/>
          <w:szCs w:val="24"/>
          <w:lang w:eastAsia="en-US"/>
        </w:rPr>
      </w:pPr>
    </w:p>
    <w:p w14:paraId="04A42E37" w14:textId="3B8EDDFD"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2. A203206: Redovan rad Dubrovačke knjižnice, ogranak Konavle – knjižnična djelatnost </w:t>
      </w:r>
      <w:r w:rsidRPr="00676A9B">
        <w:rPr>
          <w:rFonts w:ascii="Arial" w:eastAsia="Calibri" w:hAnsi="Arial" w:cs="Arial"/>
          <w:sz w:val="20"/>
          <w:szCs w:val="20"/>
          <w:lang w:eastAsia="en-US"/>
        </w:rPr>
        <w:t xml:space="preserve">– u sklopu navedene aktivnosti su rashodi za prijenos sredstava, plaća djelatnice ispostave knjižnice koja je proračunski korisnik druge jedinice lokalne samouprave. Planirana sredstva za ostvarenje navedene aktivnosti iznose </w:t>
      </w:r>
      <w:r w:rsidR="00E5151E">
        <w:rPr>
          <w:rFonts w:ascii="Arial" w:eastAsia="Calibri" w:hAnsi="Arial" w:cs="Arial"/>
          <w:sz w:val="20"/>
          <w:szCs w:val="20"/>
          <w:lang w:eastAsia="en-US"/>
        </w:rPr>
        <w:t>35.000</w:t>
      </w:r>
      <w:r w:rsidRPr="00676A9B">
        <w:rPr>
          <w:rFonts w:ascii="Arial" w:eastAsia="Calibri" w:hAnsi="Arial" w:cs="Arial"/>
          <w:sz w:val="20"/>
          <w:szCs w:val="20"/>
          <w:lang w:eastAsia="en-US"/>
        </w:rPr>
        <w:t xml:space="preserve"> €. Ovi rashodi se izvršavaju na temelju zaključenog ugovora s Dubrovačkim knjižnicama (proračunski korisnik Grada Dubrovnik). Ugovor je zaključen početkom siječnja 20</w:t>
      </w:r>
      <w:r w:rsidR="00E5151E">
        <w:rPr>
          <w:rFonts w:ascii="Arial" w:eastAsia="Calibri" w:hAnsi="Arial" w:cs="Arial"/>
          <w:sz w:val="20"/>
          <w:szCs w:val="20"/>
          <w:lang w:eastAsia="en-US"/>
        </w:rPr>
        <w:t>25</w:t>
      </w:r>
      <w:r w:rsidRPr="00676A9B">
        <w:rPr>
          <w:rFonts w:ascii="Arial" w:eastAsia="Calibri" w:hAnsi="Arial" w:cs="Arial"/>
          <w:sz w:val="20"/>
          <w:szCs w:val="20"/>
          <w:lang w:eastAsia="en-US"/>
        </w:rPr>
        <w:t>. Od posljednjeg tromjesečja 2023. godine knjižnica radi u punom radnom vremenu. U 202</w:t>
      </w:r>
      <w:r w:rsidR="00E5151E">
        <w:rPr>
          <w:rFonts w:ascii="Arial" w:eastAsia="Calibri" w:hAnsi="Arial" w:cs="Arial"/>
          <w:sz w:val="20"/>
          <w:szCs w:val="20"/>
          <w:lang w:eastAsia="en-US"/>
        </w:rPr>
        <w:t>5</w:t>
      </w:r>
      <w:r w:rsidRPr="00676A9B">
        <w:rPr>
          <w:rFonts w:ascii="Arial" w:eastAsia="Calibri" w:hAnsi="Arial" w:cs="Arial"/>
          <w:sz w:val="20"/>
          <w:szCs w:val="20"/>
          <w:lang w:eastAsia="en-US"/>
        </w:rPr>
        <w:t xml:space="preserve">. je izvršeno </w:t>
      </w:r>
      <w:r w:rsidR="00E5151E">
        <w:rPr>
          <w:rFonts w:ascii="Arial" w:eastAsia="Calibri" w:hAnsi="Arial" w:cs="Arial"/>
          <w:sz w:val="20"/>
          <w:szCs w:val="20"/>
          <w:lang w:eastAsia="en-US"/>
        </w:rPr>
        <w:t>31.425,54</w:t>
      </w:r>
      <w:r w:rsidRPr="00676A9B">
        <w:rPr>
          <w:rFonts w:ascii="Arial" w:eastAsia="Calibri" w:hAnsi="Arial" w:cs="Arial"/>
          <w:sz w:val="20"/>
          <w:szCs w:val="20"/>
          <w:lang w:eastAsia="en-US"/>
        </w:rPr>
        <w:t xml:space="preserve"> €. </w:t>
      </w:r>
    </w:p>
    <w:p w14:paraId="3B695926" w14:textId="11AAFC0C" w:rsidR="00676A9B" w:rsidRPr="00676A9B" w:rsidRDefault="00676A9B" w:rsidP="00676A9B">
      <w:pPr>
        <w:autoSpaceDE w:val="0"/>
        <w:autoSpaceDN w:val="0"/>
        <w:adjustRightInd w:val="0"/>
        <w:spacing w:after="0" w:line="240" w:lineRule="auto"/>
        <w:ind w:left="567"/>
        <w:jc w:val="both"/>
        <w:rPr>
          <w:rFonts w:ascii="Arial" w:eastAsia="Calibri" w:hAnsi="Arial" w:cs="Arial"/>
          <w:sz w:val="18"/>
          <w:szCs w:val="18"/>
          <w:lang w:eastAsia="en-US"/>
        </w:rPr>
      </w:pPr>
      <w:r w:rsidRPr="00676A9B">
        <w:rPr>
          <w:rFonts w:ascii="Arial" w:eastAsia="Calibri" w:hAnsi="Arial" w:cs="Arial"/>
          <w:sz w:val="18"/>
          <w:szCs w:val="18"/>
          <w:lang w:eastAsia="en-US"/>
        </w:rPr>
        <w:t>U lipnju 2023. godine, Grad Dubrovnik je s Općinom Konavle i Općinom Trpanj zaključio ugovor o sufinanciranju i obavljanju knjižnične djelatnosti. Ugovor je zaključen na pet godina (sufinanciranje odjeljenja knjižnice na području Općine). Ministarstvo financija sufinancira funkcionalno spajanje obavljanja djelatnosti u spomenutom periodu</w:t>
      </w:r>
      <w:r w:rsidR="00E5151E">
        <w:rPr>
          <w:rFonts w:ascii="Arial" w:eastAsia="Calibri" w:hAnsi="Arial" w:cs="Arial"/>
          <w:sz w:val="18"/>
          <w:szCs w:val="18"/>
          <w:lang w:eastAsia="en-US"/>
        </w:rPr>
        <w:t xml:space="preserve"> (ostvareni prihodi iz državnog proračuna u 2025. godini u iznosu </w:t>
      </w:r>
      <w:r w:rsidR="00BD5205">
        <w:rPr>
          <w:rFonts w:ascii="Arial" w:eastAsia="Calibri" w:hAnsi="Arial" w:cs="Arial"/>
          <w:sz w:val="18"/>
          <w:szCs w:val="18"/>
          <w:lang w:eastAsia="en-US"/>
        </w:rPr>
        <w:t>1.857,52 €).</w:t>
      </w:r>
    </w:p>
    <w:p w14:paraId="538DE091" w14:textId="77777777" w:rsidR="00676A9B" w:rsidRPr="00676A9B" w:rsidRDefault="00676A9B" w:rsidP="00676A9B">
      <w:pPr>
        <w:spacing w:after="0" w:line="240" w:lineRule="auto"/>
        <w:jc w:val="both"/>
        <w:rPr>
          <w:rFonts w:ascii="Arial" w:eastAsia="Calibri" w:hAnsi="Arial" w:cs="Arial"/>
          <w:sz w:val="12"/>
          <w:szCs w:val="20"/>
          <w:lang w:eastAsia="en-US"/>
        </w:rPr>
      </w:pPr>
    </w:p>
    <w:tbl>
      <w:tblPr>
        <w:tblStyle w:val="Reetkatablice536"/>
        <w:tblW w:w="13887" w:type="dxa"/>
        <w:jc w:val="center"/>
        <w:tblLayout w:type="fixed"/>
        <w:tblLook w:val="04A0" w:firstRow="1" w:lastRow="0" w:firstColumn="1" w:lastColumn="0" w:noHBand="0" w:noVBand="1"/>
      </w:tblPr>
      <w:tblGrid>
        <w:gridCol w:w="1613"/>
        <w:gridCol w:w="1643"/>
        <w:gridCol w:w="850"/>
        <w:gridCol w:w="1276"/>
        <w:gridCol w:w="1134"/>
        <w:gridCol w:w="992"/>
        <w:gridCol w:w="1134"/>
        <w:gridCol w:w="992"/>
        <w:gridCol w:w="1134"/>
        <w:gridCol w:w="993"/>
        <w:gridCol w:w="992"/>
        <w:gridCol w:w="1134"/>
      </w:tblGrid>
      <w:tr w:rsidR="004005E9" w:rsidRPr="00676A9B" w14:paraId="05C9585C" w14:textId="77777777" w:rsidTr="004005E9">
        <w:trPr>
          <w:jc w:val="center"/>
        </w:trPr>
        <w:tc>
          <w:tcPr>
            <w:tcW w:w="1613" w:type="dxa"/>
            <w:shd w:val="clear" w:color="auto" w:fill="BFBFBF"/>
            <w:vAlign w:val="center"/>
          </w:tcPr>
          <w:p w14:paraId="51D84834" w14:textId="77777777" w:rsidR="004005E9" w:rsidRPr="00676A9B" w:rsidRDefault="004005E9" w:rsidP="004005E9">
            <w:pPr>
              <w:jc w:val="center"/>
              <w:rPr>
                <w:rFonts w:ascii="Arial" w:eastAsia="Calibri" w:hAnsi="Arial" w:cs="Arial"/>
                <w:sz w:val="18"/>
                <w:szCs w:val="18"/>
                <w:lang w:eastAsia="en-US"/>
              </w:rPr>
            </w:pPr>
            <w:r w:rsidRPr="00676A9B">
              <w:rPr>
                <w:rFonts w:ascii="Arial" w:eastAsia="Calibri" w:hAnsi="Arial" w:cs="Arial"/>
                <w:sz w:val="18"/>
                <w:szCs w:val="18"/>
                <w:lang w:eastAsia="en-US"/>
              </w:rPr>
              <w:t>Pokazatelj rezultata</w:t>
            </w:r>
          </w:p>
        </w:tc>
        <w:tc>
          <w:tcPr>
            <w:tcW w:w="1643" w:type="dxa"/>
            <w:shd w:val="clear" w:color="auto" w:fill="BFBFBF"/>
            <w:vAlign w:val="center"/>
          </w:tcPr>
          <w:p w14:paraId="7156D904" w14:textId="77777777" w:rsidR="004005E9" w:rsidRPr="00676A9B" w:rsidRDefault="004005E9" w:rsidP="004005E9">
            <w:pPr>
              <w:jc w:val="center"/>
              <w:rPr>
                <w:rFonts w:ascii="Arial" w:eastAsia="Calibri" w:hAnsi="Arial" w:cs="Arial"/>
                <w:sz w:val="18"/>
                <w:szCs w:val="18"/>
                <w:lang w:eastAsia="en-US"/>
              </w:rPr>
            </w:pPr>
            <w:r w:rsidRPr="00676A9B">
              <w:rPr>
                <w:rFonts w:ascii="Arial" w:eastAsia="Calibri" w:hAnsi="Arial" w:cs="Arial"/>
                <w:sz w:val="18"/>
                <w:szCs w:val="18"/>
                <w:lang w:eastAsia="en-US"/>
              </w:rPr>
              <w:t>Definicija</w:t>
            </w:r>
          </w:p>
        </w:tc>
        <w:tc>
          <w:tcPr>
            <w:tcW w:w="850" w:type="dxa"/>
            <w:shd w:val="clear" w:color="auto" w:fill="BFBFBF"/>
            <w:vAlign w:val="center"/>
          </w:tcPr>
          <w:p w14:paraId="2BD05E66" w14:textId="77777777" w:rsidR="004005E9" w:rsidRPr="004005E9" w:rsidRDefault="004005E9" w:rsidP="004005E9">
            <w:pPr>
              <w:jc w:val="center"/>
              <w:rPr>
                <w:rFonts w:ascii="Arial" w:eastAsia="Calibri" w:hAnsi="Arial" w:cs="Arial"/>
                <w:sz w:val="16"/>
                <w:szCs w:val="16"/>
                <w:lang w:eastAsia="en-US"/>
              </w:rPr>
            </w:pPr>
            <w:r w:rsidRPr="004005E9">
              <w:rPr>
                <w:rFonts w:ascii="Arial" w:eastAsia="Calibri" w:hAnsi="Arial" w:cs="Arial"/>
                <w:sz w:val="16"/>
                <w:szCs w:val="16"/>
                <w:lang w:eastAsia="en-US"/>
              </w:rPr>
              <w:t>Jedinica</w:t>
            </w:r>
          </w:p>
        </w:tc>
        <w:tc>
          <w:tcPr>
            <w:tcW w:w="1276" w:type="dxa"/>
            <w:shd w:val="clear" w:color="auto" w:fill="BFBFBF"/>
            <w:vAlign w:val="center"/>
          </w:tcPr>
          <w:p w14:paraId="73C230EA" w14:textId="77777777" w:rsidR="004005E9" w:rsidRPr="00676A9B" w:rsidRDefault="004005E9" w:rsidP="004005E9">
            <w:pPr>
              <w:jc w:val="center"/>
              <w:rPr>
                <w:rFonts w:ascii="Arial" w:eastAsia="Calibri" w:hAnsi="Arial" w:cs="Arial"/>
                <w:sz w:val="18"/>
                <w:szCs w:val="18"/>
                <w:lang w:eastAsia="en-US"/>
              </w:rPr>
            </w:pPr>
            <w:r w:rsidRPr="00676A9B">
              <w:rPr>
                <w:rFonts w:ascii="Arial" w:eastAsia="Calibri" w:hAnsi="Arial" w:cs="Arial"/>
                <w:sz w:val="18"/>
                <w:szCs w:val="18"/>
                <w:lang w:eastAsia="en-US"/>
              </w:rPr>
              <w:t>Izvor podataka</w:t>
            </w:r>
          </w:p>
        </w:tc>
        <w:tc>
          <w:tcPr>
            <w:tcW w:w="1134" w:type="dxa"/>
            <w:shd w:val="clear" w:color="auto" w:fill="BFBFBF"/>
            <w:vAlign w:val="center"/>
          </w:tcPr>
          <w:p w14:paraId="7BDB743F" w14:textId="77777777" w:rsidR="004005E9" w:rsidRPr="00676A9B" w:rsidRDefault="004005E9" w:rsidP="004005E9">
            <w:pPr>
              <w:jc w:val="center"/>
              <w:rPr>
                <w:rFonts w:ascii="Arial" w:eastAsia="Calibri" w:hAnsi="Arial" w:cs="Arial"/>
                <w:sz w:val="18"/>
                <w:szCs w:val="18"/>
                <w:lang w:eastAsia="en-US"/>
              </w:rPr>
            </w:pPr>
            <w:r w:rsidRPr="00676A9B">
              <w:rPr>
                <w:rFonts w:ascii="Arial" w:eastAsia="Calibri" w:hAnsi="Arial" w:cs="Arial"/>
                <w:sz w:val="18"/>
                <w:szCs w:val="18"/>
                <w:lang w:eastAsia="en-US"/>
              </w:rPr>
              <w:t>Izvršeno 2021.</w:t>
            </w:r>
          </w:p>
        </w:tc>
        <w:tc>
          <w:tcPr>
            <w:tcW w:w="992" w:type="dxa"/>
            <w:shd w:val="clear" w:color="auto" w:fill="BFBFBF"/>
            <w:vAlign w:val="center"/>
          </w:tcPr>
          <w:p w14:paraId="2D077CD0" w14:textId="77777777" w:rsidR="004005E9" w:rsidRPr="00676A9B" w:rsidRDefault="004005E9" w:rsidP="004005E9">
            <w:pPr>
              <w:jc w:val="center"/>
              <w:rPr>
                <w:rFonts w:ascii="Arial" w:eastAsia="Calibri" w:hAnsi="Arial" w:cs="Arial"/>
                <w:sz w:val="18"/>
                <w:szCs w:val="18"/>
                <w:lang w:eastAsia="en-US"/>
              </w:rPr>
            </w:pPr>
            <w:r w:rsidRPr="00676A9B">
              <w:rPr>
                <w:rFonts w:ascii="Arial" w:eastAsia="Calibri" w:hAnsi="Arial" w:cs="Arial"/>
                <w:sz w:val="18"/>
                <w:szCs w:val="18"/>
                <w:lang w:eastAsia="en-US"/>
              </w:rPr>
              <w:t>Izvršeno 2022.</w:t>
            </w:r>
          </w:p>
        </w:tc>
        <w:tc>
          <w:tcPr>
            <w:tcW w:w="1134" w:type="dxa"/>
            <w:shd w:val="clear" w:color="auto" w:fill="BFBFBF"/>
            <w:vAlign w:val="center"/>
          </w:tcPr>
          <w:p w14:paraId="134C0F02" w14:textId="189954BC" w:rsidR="004005E9" w:rsidRPr="00676A9B" w:rsidRDefault="004005E9" w:rsidP="004005E9">
            <w:pPr>
              <w:jc w:val="center"/>
              <w:rPr>
                <w:rFonts w:ascii="Arial" w:eastAsia="Calibri" w:hAnsi="Arial" w:cs="Arial"/>
                <w:sz w:val="18"/>
                <w:szCs w:val="18"/>
                <w:lang w:eastAsia="en-US"/>
              </w:rPr>
            </w:pPr>
            <w:r>
              <w:rPr>
                <w:rFonts w:ascii="Arial" w:eastAsia="Calibri" w:hAnsi="Arial" w:cs="Arial"/>
                <w:sz w:val="18"/>
                <w:szCs w:val="18"/>
                <w:lang w:eastAsia="en-US"/>
              </w:rPr>
              <w:t>Izvršeno</w:t>
            </w:r>
            <w:r w:rsidRPr="00676A9B">
              <w:rPr>
                <w:rFonts w:ascii="Arial" w:eastAsia="Calibri" w:hAnsi="Arial" w:cs="Arial"/>
                <w:sz w:val="18"/>
                <w:szCs w:val="18"/>
                <w:lang w:eastAsia="en-US"/>
              </w:rPr>
              <w:t xml:space="preserve"> 2023.*</w:t>
            </w:r>
          </w:p>
        </w:tc>
        <w:tc>
          <w:tcPr>
            <w:tcW w:w="992" w:type="dxa"/>
            <w:shd w:val="clear" w:color="auto" w:fill="BFBFBF"/>
            <w:vAlign w:val="center"/>
          </w:tcPr>
          <w:p w14:paraId="279B0855" w14:textId="560C13A7" w:rsidR="004005E9" w:rsidRPr="00676A9B" w:rsidRDefault="004005E9" w:rsidP="004005E9">
            <w:pPr>
              <w:jc w:val="center"/>
              <w:rPr>
                <w:rFonts w:ascii="Arial" w:eastAsia="Calibri" w:hAnsi="Arial" w:cs="Arial"/>
                <w:sz w:val="18"/>
                <w:szCs w:val="18"/>
                <w:lang w:eastAsia="en-US"/>
              </w:rPr>
            </w:pPr>
            <w:r w:rsidRPr="00676A9B">
              <w:rPr>
                <w:rFonts w:ascii="Arial" w:eastAsia="Calibri" w:hAnsi="Arial" w:cs="Arial"/>
                <w:sz w:val="18"/>
                <w:szCs w:val="18"/>
                <w:lang w:eastAsia="en-US"/>
              </w:rPr>
              <w:t>Izvršeno 2024.</w:t>
            </w:r>
          </w:p>
        </w:tc>
        <w:tc>
          <w:tcPr>
            <w:tcW w:w="1134" w:type="dxa"/>
            <w:shd w:val="clear" w:color="auto" w:fill="BFBFBF"/>
            <w:vAlign w:val="center"/>
          </w:tcPr>
          <w:p w14:paraId="67E8723A" w14:textId="76B80CA7" w:rsidR="004005E9" w:rsidRPr="00676A9B" w:rsidRDefault="004005E9" w:rsidP="004005E9">
            <w:pPr>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Pr>
                <w:rFonts w:ascii="Arial" w:eastAsia="Calibri" w:hAnsi="Arial" w:cs="Arial"/>
                <w:sz w:val="18"/>
                <w:szCs w:val="18"/>
                <w:lang w:eastAsia="en-US"/>
              </w:rPr>
              <w:t>5</w:t>
            </w:r>
            <w:r w:rsidRPr="00676A9B">
              <w:rPr>
                <w:rFonts w:ascii="Arial" w:eastAsia="Calibri" w:hAnsi="Arial" w:cs="Arial"/>
                <w:sz w:val="18"/>
                <w:szCs w:val="18"/>
                <w:lang w:eastAsia="en-US"/>
              </w:rPr>
              <w:t>.</w:t>
            </w:r>
          </w:p>
        </w:tc>
        <w:tc>
          <w:tcPr>
            <w:tcW w:w="993" w:type="dxa"/>
            <w:shd w:val="clear" w:color="auto" w:fill="BFBFBF"/>
            <w:vAlign w:val="center"/>
          </w:tcPr>
          <w:p w14:paraId="5B73053E" w14:textId="1F067BE2" w:rsidR="004005E9" w:rsidRPr="00676A9B" w:rsidRDefault="004005E9" w:rsidP="004005E9">
            <w:pPr>
              <w:jc w:val="center"/>
              <w:rPr>
                <w:rFonts w:ascii="Arial" w:eastAsia="Calibri" w:hAnsi="Arial" w:cs="Arial"/>
                <w:sz w:val="18"/>
                <w:szCs w:val="18"/>
                <w:lang w:eastAsia="en-US"/>
              </w:rPr>
            </w:pPr>
            <w:r w:rsidRPr="00676A9B">
              <w:rPr>
                <w:rFonts w:ascii="Arial" w:eastAsia="Calibri" w:hAnsi="Arial" w:cs="Arial"/>
                <w:sz w:val="18"/>
                <w:szCs w:val="18"/>
                <w:lang w:eastAsia="en-US"/>
              </w:rPr>
              <w:t>Izvršeno 202</w:t>
            </w:r>
            <w:r>
              <w:rPr>
                <w:rFonts w:ascii="Arial" w:eastAsia="Calibri" w:hAnsi="Arial" w:cs="Arial"/>
                <w:sz w:val="18"/>
                <w:szCs w:val="18"/>
                <w:lang w:eastAsia="en-US"/>
              </w:rPr>
              <w:t>5</w:t>
            </w:r>
            <w:r w:rsidRPr="00676A9B">
              <w:rPr>
                <w:rFonts w:ascii="Arial" w:eastAsia="Calibri" w:hAnsi="Arial" w:cs="Arial"/>
                <w:sz w:val="18"/>
                <w:szCs w:val="18"/>
                <w:lang w:eastAsia="en-US"/>
              </w:rPr>
              <w:t>.</w:t>
            </w:r>
          </w:p>
        </w:tc>
        <w:tc>
          <w:tcPr>
            <w:tcW w:w="992" w:type="dxa"/>
            <w:shd w:val="clear" w:color="auto" w:fill="BFBFBF"/>
          </w:tcPr>
          <w:p w14:paraId="669D041F" w14:textId="77777777" w:rsidR="004005E9" w:rsidRPr="00676A9B" w:rsidRDefault="004005E9" w:rsidP="004005E9">
            <w:pPr>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2025.</w:t>
            </w:r>
          </w:p>
        </w:tc>
        <w:tc>
          <w:tcPr>
            <w:tcW w:w="1134" w:type="dxa"/>
            <w:shd w:val="clear" w:color="auto" w:fill="BFBFBF"/>
          </w:tcPr>
          <w:p w14:paraId="30B408FB" w14:textId="77777777" w:rsidR="004005E9" w:rsidRPr="00676A9B" w:rsidRDefault="004005E9" w:rsidP="004005E9">
            <w:pPr>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2026.</w:t>
            </w:r>
          </w:p>
        </w:tc>
      </w:tr>
      <w:tr w:rsidR="004005E9" w:rsidRPr="00676A9B" w14:paraId="7D594B1D" w14:textId="77777777" w:rsidTr="004005E9">
        <w:trPr>
          <w:trHeight w:val="624"/>
          <w:jc w:val="center"/>
        </w:trPr>
        <w:tc>
          <w:tcPr>
            <w:tcW w:w="1613" w:type="dxa"/>
            <w:tcBorders>
              <w:top w:val="single" w:sz="4" w:space="0" w:color="auto"/>
              <w:left w:val="single" w:sz="4" w:space="0" w:color="auto"/>
              <w:bottom w:val="single" w:sz="4" w:space="0" w:color="auto"/>
              <w:right w:val="single" w:sz="4" w:space="0" w:color="auto"/>
            </w:tcBorders>
            <w:vAlign w:val="center"/>
          </w:tcPr>
          <w:p w14:paraId="184F665D" w14:textId="77777777" w:rsidR="004005E9" w:rsidRPr="00676A9B" w:rsidRDefault="004005E9" w:rsidP="004005E9">
            <w:pPr>
              <w:rPr>
                <w:rFonts w:ascii="Arial" w:hAnsi="Arial" w:cs="Arial"/>
                <w:sz w:val="18"/>
                <w:szCs w:val="18"/>
                <w:lang w:eastAsia="en-US"/>
              </w:rPr>
            </w:pPr>
            <w:r w:rsidRPr="00676A9B">
              <w:rPr>
                <w:rFonts w:ascii="Arial" w:hAnsi="Arial" w:cs="Arial"/>
                <w:sz w:val="18"/>
                <w:szCs w:val="18"/>
                <w:lang w:eastAsia="en-US"/>
              </w:rPr>
              <w:t>Povećanje kulture čitanja (povećanje posjeta u godini)</w:t>
            </w:r>
          </w:p>
        </w:tc>
        <w:tc>
          <w:tcPr>
            <w:tcW w:w="1643" w:type="dxa"/>
            <w:tcBorders>
              <w:top w:val="single" w:sz="4" w:space="0" w:color="auto"/>
              <w:left w:val="single" w:sz="4" w:space="0" w:color="auto"/>
              <w:bottom w:val="single" w:sz="4" w:space="0" w:color="auto"/>
              <w:right w:val="single" w:sz="4" w:space="0" w:color="auto"/>
            </w:tcBorders>
            <w:vAlign w:val="center"/>
          </w:tcPr>
          <w:p w14:paraId="3916C651" w14:textId="77777777" w:rsidR="004005E9" w:rsidRPr="00676A9B" w:rsidRDefault="004005E9" w:rsidP="004005E9">
            <w:pPr>
              <w:rPr>
                <w:rFonts w:ascii="Arial" w:hAnsi="Arial" w:cs="Arial"/>
                <w:sz w:val="18"/>
                <w:szCs w:val="18"/>
                <w:lang w:eastAsia="en-US"/>
              </w:rPr>
            </w:pPr>
            <w:r w:rsidRPr="00676A9B">
              <w:rPr>
                <w:rFonts w:ascii="Arial" w:hAnsi="Arial" w:cs="Arial"/>
                <w:sz w:val="18"/>
                <w:szCs w:val="18"/>
                <w:lang w:eastAsia="en-US"/>
              </w:rPr>
              <w:t>Broj posjeta u tekućoj godini</w:t>
            </w:r>
          </w:p>
        </w:tc>
        <w:tc>
          <w:tcPr>
            <w:tcW w:w="850" w:type="dxa"/>
            <w:tcBorders>
              <w:top w:val="single" w:sz="4" w:space="0" w:color="auto"/>
              <w:left w:val="single" w:sz="4" w:space="0" w:color="auto"/>
              <w:bottom w:val="single" w:sz="4" w:space="0" w:color="auto"/>
              <w:right w:val="single" w:sz="4" w:space="0" w:color="auto"/>
            </w:tcBorders>
            <w:vAlign w:val="center"/>
          </w:tcPr>
          <w:p w14:paraId="39C2E4AC" w14:textId="77777777"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lang w:eastAsia="en-US"/>
              </w:rPr>
              <w:t>broj</w:t>
            </w:r>
          </w:p>
        </w:tc>
        <w:tc>
          <w:tcPr>
            <w:tcW w:w="1276" w:type="dxa"/>
            <w:tcBorders>
              <w:top w:val="single" w:sz="4" w:space="0" w:color="auto"/>
              <w:left w:val="single" w:sz="4" w:space="0" w:color="auto"/>
              <w:bottom w:val="single" w:sz="4" w:space="0" w:color="auto"/>
              <w:right w:val="single" w:sz="4" w:space="0" w:color="auto"/>
            </w:tcBorders>
            <w:vAlign w:val="center"/>
          </w:tcPr>
          <w:p w14:paraId="04CB6CC2" w14:textId="77777777" w:rsidR="004005E9" w:rsidRPr="00676A9B" w:rsidRDefault="004005E9" w:rsidP="004005E9">
            <w:pPr>
              <w:ind w:left="-108" w:right="-108"/>
              <w:jc w:val="center"/>
              <w:rPr>
                <w:rFonts w:ascii="Arial" w:hAnsi="Arial" w:cs="Arial"/>
                <w:sz w:val="18"/>
                <w:szCs w:val="18"/>
                <w:lang w:eastAsia="en-US"/>
              </w:rPr>
            </w:pPr>
            <w:r w:rsidRPr="00676A9B">
              <w:rPr>
                <w:rFonts w:ascii="Arial" w:hAnsi="Arial" w:cs="Arial"/>
                <w:sz w:val="18"/>
                <w:szCs w:val="18"/>
                <w:lang w:eastAsia="en-US"/>
              </w:rPr>
              <w:t>Knjižnica</w:t>
            </w:r>
          </w:p>
        </w:tc>
        <w:tc>
          <w:tcPr>
            <w:tcW w:w="1134" w:type="dxa"/>
            <w:tcBorders>
              <w:top w:val="single" w:sz="4" w:space="0" w:color="auto"/>
              <w:left w:val="single" w:sz="4" w:space="0" w:color="auto"/>
              <w:bottom w:val="single" w:sz="4" w:space="0" w:color="auto"/>
              <w:right w:val="single" w:sz="4" w:space="0" w:color="auto"/>
            </w:tcBorders>
            <w:vAlign w:val="center"/>
          </w:tcPr>
          <w:p w14:paraId="0B1812E4" w14:textId="458EFFAD" w:rsidR="004005E9" w:rsidRPr="00676A9B" w:rsidRDefault="004005E9" w:rsidP="004005E9">
            <w:pPr>
              <w:ind w:left="-108" w:right="-108"/>
              <w:jc w:val="center"/>
              <w:rPr>
                <w:rFonts w:ascii="Arial" w:hAnsi="Arial" w:cs="Arial"/>
                <w:sz w:val="18"/>
                <w:szCs w:val="18"/>
                <w:lang w:eastAsia="en-US"/>
              </w:rPr>
            </w:pPr>
            <w:r w:rsidRPr="00676A9B">
              <w:rPr>
                <w:rFonts w:ascii="Arial" w:hAnsi="Arial" w:cs="Arial"/>
                <w:sz w:val="18"/>
                <w:szCs w:val="18"/>
                <w:lang w:eastAsia="en-US"/>
              </w:rPr>
              <w:t>1</w:t>
            </w:r>
            <w:r>
              <w:rPr>
                <w:rFonts w:ascii="Arial" w:hAnsi="Arial" w:cs="Arial"/>
                <w:sz w:val="18"/>
                <w:szCs w:val="18"/>
                <w:lang w:eastAsia="en-US"/>
              </w:rPr>
              <w:t>.</w:t>
            </w:r>
            <w:r w:rsidRPr="00676A9B">
              <w:rPr>
                <w:rFonts w:ascii="Arial" w:hAnsi="Arial" w:cs="Arial"/>
                <w:sz w:val="18"/>
                <w:szCs w:val="18"/>
                <w:lang w:eastAsia="en-US"/>
              </w:rPr>
              <w:t>176</w:t>
            </w:r>
          </w:p>
        </w:tc>
        <w:tc>
          <w:tcPr>
            <w:tcW w:w="992" w:type="dxa"/>
            <w:vAlign w:val="center"/>
          </w:tcPr>
          <w:p w14:paraId="35996216" w14:textId="60DFD1C6"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lang w:eastAsia="en-US"/>
              </w:rPr>
              <w:t>2</w:t>
            </w:r>
            <w:r>
              <w:rPr>
                <w:rFonts w:ascii="Arial" w:hAnsi="Arial" w:cs="Arial"/>
                <w:sz w:val="18"/>
                <w:szCs w:val="18"/>
                <w:lang w:eastAsia="en-US"/>
              </w:rPr>
              <w:t>.</w:t>
            </w:r>
            <w:r w:rsidRPr="00676A9B">
              <w:rPr>
                <w:rFonts w:ascii="Arial" w:hAnsi="Arial" w:cs="Arial"/>
                <w:sz w:val="18"/>
                <w:szCs w:val="18"/>
                <w:lang w:eastAsia="en-US"/>
              </w:rPr>
              <w:t>047</w:t>
            </w:r>
          </w:p>
        </w:tc>
        <w:tc>
          <w:tcPr>
            <w:tcW w:w="1134" w:type="dxa"/>
            <w:vAlign w:val="center"/>
          </w:tcPr>
          <w:p w14:paraId="5854B4BE" w14:textId="3816E1C3" w:rsidR="004005E9" w:rsidRPr="00676A9B" w:rsidRDefault="004005E9" w:rsidP="004005E9">
            <w:pPr>
              <w:jc w:val="center"/>
              <w:rPr>
                <w:rFonts w:ascii="Arial" w:hAnsi="Arial" w:cs="Arial"/>
                <w:sz w:val="18"/>
                <w:szCs w:val="18"/>
                <w:lang w:eastAsia="en-US"/>
              </w:rPr>
            </w:pPr>
            <w:r>
              <w:rPr>
                <w:rFonts w:ascii="Arial" w:hAnsi="Arial" w:cs="Arial"/>
                <w:sz w:val="18"/>
                <w:szCs w:val="18"/>
                <w:lang w:eastAsia="en-US"/>
              </w:rPr>
              <w:t>3.497</w:t>
            </w:r>
          </w:p>
        </w:tc>
        <w:tc>
          <w:tcPr>
            <w:tcW w:w="992" w:type="dxa"/>
            <w:vAlign w:val="center"/>
          </w:tcPr>
          <w:p w14:paraId="411A9B67" w14:textId="0135F05F" w:rsidR="004005E9" w:rsidRPr="00676A9B" w:rsidRDefault="004005E9" w:rsidP="004005E9">
            <w:pPr>
              <w:jc w:val="center"/>
              <w:rPr>
                <w:rFonts w:ascii="Arial" w:hAnsi="Arial" w:cs="Arial"/>
                <w:sz w:val="18"/>
                <w:szCs w:val="18"/>
              </w:rPr>
            </w:pPr>
            <w:r w:rsidRPr="00676A9B">
              <w:rPr>
                <w:rFonts w:ascii="Arial" w:hAnsi="Arial" w:cs="Arial"/>
                <w:sz w:val="18"/>
                <w:szCs w:val="18"/>
              </w:rPr>
              <w:t>3</w:t>
            </w:r>
            <w:r>
              <w:rPr>
                <w:rFonts w:ascii="Arial" w:hAnsi="Arial" w:cs="Arial"/>
                <w:sz w:val="18"/>
                <w:szCs w:val="18"/>
              </w:rPr>
              <w:t>.032</w:t>
            </w:r>
          </w:p>
        </w:tc>
        <w:tc>
          <w:tcPr>
            <w:tcW w:w="1134" w:type="dxa"/>
            <w:vAlign w:val="center"/>
          </w:tcPr>
          <w:p w14:paraId="44A6B331" w14:textId="019B6266"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rPr>
              <w:t>1200</w:t>
            </w:r>
          </w:p>
        </w:tc>
        <w:tc>
          <w:tcPr>
            <w:tcW w:w="993" w:type="dxa"/>
            <w:tcBorders>
              <w:top w:val="nil"/>
              <w:left w:val="nil"/>
              <w:bottom w:val="single" w:sz="8" w:space="0" w:color="auto"/>
              <w:right w:val="single" w:sz="8" w:space="0" w:color="auto"/>
            </w:tcBorders>
            <w:vAlign w:val="center"/>
          </w:tcPr>
          <w:p w14:paraId="4A35344B" w14:textId="1483FB99" w:rsidR="004005E9" w:rsidRPr="00676A9B" w:rsidRDefault="004005E9" w:rsidP="004005E9">
            <w:pPr>
              <w:jc w:val="center"/>
              <w:rPr>
                <w:rFonts w:ascii="Arial" w:hAnsi="Arial" w:cs="Arial"/>
                <w:sz w:val="18"/>
                <w:szCs w:val="18"/>
                <w:lang w:eastAsia="en-US"/>
              </w:rPr>
            </w:pPr>
            <w:r>
              <w:rPr>
                <w:rFonts w:ascii="Arial" w:hAnsi="Arial" w:cs="Arial"/>
                <w:sz w:val="18"/>
                <w:szCs w:val="18"/>
              </w:rPr>
              <w:t>3.395</w:t>
            </w:r>
          </w:p>
        </w:tc>
        <w:tc>
          <w:tcPr>
            <w:tcW w:w="992" w:type="dxa"/>
            <w:vAlign w:val="center"/>
          </w:tcPr>
          <w:p w14:paraId="762404BF" w14:textId="77777777"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rPr>
              <w:t>1200</w:t>
            </w:r>
          </w:p>
        </w:tc>
        <w:tc>
          <w:tcPr>
            <w:tcW w:w="1134" w:type="dxa"/>
            <w:vAlign w:val="center"/>
          </w:tcPr>
          <w:p w14:paraId="5ED71BFB" w14:textId="77777777"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rPr>
              <w:t>1200</w:t>
            </w:r>
          </w:p>
        </w:tc>
      </w:tr>
      <w:tr w:rsidR="004005E9" w:rsidRPr="00676A9B" w14:paraId="7A2AF85A" w14:textId="77777777" w:rsidTr="004005E9">
        <w:trPr>
          <w:trHeight w:val="558"/>
          <w:jc w:val="center"/>
        </w:trPr>
        <w:tc>
          <w:tcPr>
            <w:tcW w:w="1613" w:type="dxa"/>
            <w:tcBorders>
              <w:top w:val="single" w:sz="4" w:space="0" w:color="auto"/>
              <w:left w:val="single" w:sz="4" w:space="0" w:color="auto"/>
              <w:bottom w:val="single" w:sz="4" w:space="0" w:color="auto"/>
              <w:right w:val="single" w:sz="4" w:space="0" w:color="auto"/>
            </w:tcBorders>
            <w:vAlign w:val="center"/>
          </w:tcPr>
          <w:p w14:paraId="65A39D0E" w14:textId="77777777" w:rsidR="004005E9" w:rsidRPr="00676A9B" w:rsidRDefault="004005E9" w:rsidP="004005E9">
            <w:pPr>
              <w:rPr>
                <w:rFonts w:ascii="Arial" w:hAnsi="Arial" w:cs="Arial"/>
                <w:sz w:val="18"/>
                <w:szCs w:val="18"/>
                <w:lang w:eastAsia="en-US"/>
              </w:rPr>
            </w:pPr>
            <w:r w:rsidRPr="00676A9B">
              <w:rPr>
                <w:rFonts w:ascii="Arial" w:hAnsi="Arial" w:cs="Arial"/>
                <w:sz w:val="18"/>
                <w:szCs w:val="18"/>
                <w:lang w:eastAsia="en-US"/>
              </w:rPr>
              <w:t>Povećanje upisanih članova</w:t>
            </w:r>
          </w:p>
        </w:tc>
        <w:tc>
          <w:tcPr>
            <w:tcW w:w="1643" w:type="dxa"/>
            <w:tcBorders>
              <w:top w:val="single" w:sz="4" w:space="0" w:color="auto"/>
              <w:left w:val="single" w:sz="4" w:space="0" w:color="auto"/>
              <w:bottom w:val="single" w:sz="4" w:space="0" w:color="auto"/>
              <w:right w:val="single" w:sz="4" w:space="0" w:color="auto"/>
            </w:tcBorders>
            <w:vAlign w:val="center"/>
          </w:tcPr>
          <w:p w14:paraId="50CD164D" w14:textId="77777777" w:rsidR="004005E9" w:rsidRPr="00676A9B" w:rsidRDefault="004005E9" w:rsidP="004005E9">
            <w:pPr>
              <w:rPr>
                <w:rFonts w:ascii="Arial" w:hAnsi="Arial" w:cs="Arial"/>
                <w:sz w:val="18"/>
                <w:szCs w:val="18"/>
                <w:lang w:eastAsia="en-US"/>
              </w:rPr>
            </w:pPr>
            <w:r w:rsidRPr="00676A9B">
              <w:rPr>
                <w:rFonts w:ascii="Arial" w:hAnsi="Arial" w:cs="Arial"/>
                <w:sz w:val="18"/>
                <w:szCs w:val="18"/>
                <w:lang w:eastAsia="en-US"/>
              </w:rPr>
              <w:t>Broj članova koji su se upisali prvi put</w:t>
            </w:r>
          </w:p>
        </w:tc>
        <w:tc>
          <w:tcPr>
            <w:tcW w:w="850" w:type="dxa"/>
            <w:tcBorders>
              <w:top w:val="single" w:sz="4" w:space="0" w:color="auto"/>
              <w:left w:val="single" w:sz="4" w:space="0" w:color="auto"/>
              <w:bottom w:val="single" w:sz="4" w:space="0" w:color="auto"/>
              <w:right w:val="single" w:sz="4" w:space="0" w:color="auto"/>
            </w:tcBorders>
            <w:vAlign w:val="center"/>
          </w:tcPr>
          <w:p w14:paraId="66DD573F" w14:textId="77777777"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lang w:eastAsia="en-US"/>
              </w:rPr>
              <w:t xml:space="preserve">Broj </w:t>
            </w:r>
          </w:p>
        </w:tc>
        <w:tc>
          <w:tcPr>
            <w:tcW w:w="1276" w:type="dxa"/>
            <w:tcBorders>
              <w:top w:val="single" w:sz="4" w:space="0" w:color="auto"/>
              <w:left w:val="single" w:sz="4" w:space="0" w:color="auto"/>
              <w:bottom w:val="single" w:sz="4" w:space="0" w:color="auto"/>
              <w:right w:val="single" w:sz="4" w:space="0" w:color="auto"/>
            </w:tcBorders>
            <w:vAlign w:val="center"/>
          </w:tcPr>
          <w:p w14:paraId="5468EC78" w14:textId="77777777" w:rsidR="004005E9" w:rsidRPr="00676A9B" w:rsidRDefault="004005E9" w:rsidP="004005E9">
            <w:pPr>
              <w:ind w:left="-108" w:right="-108"/>
              <w:jc w:val="center"/>
              <w:rPr>
                <w:rFonts w:ascii="Arial" w:hAnsi="Arial" w:cs="Arial"/>
                <w:sz w:val="18"/>
                <w:szCs w:val="18"/>
                <w:lang w:eastAsia="en-US"/>
              </w:rPr>
            </w:pPr>
            <w:r w:rsidRPr="00676A9B">
              <w:rPr>
                <w:rFonts w:ascii="Arial" w:hAnsi="Arial" w:cs="Arial"/>
                <w:sz w:val="18"/>
                <w:szCs w:val="18"/>
                <w:lang w:eastAsia="en-US"/>
              </w:rPr>
              <w:t>Knjižnica</w:t>
            </w:r>
          </w:p>
        </w:tc>
        <w:tc>
          <w:tcPr>
            <w:tcW w:w="1134" w:type="dxa"/>
            <w:tcBorders>
              <w:top w:val="single" w:sz="4" w:space="0" w:color="auto"/>
              <w:left w:val="single" w:sz="4" w:space="0" w:color="auto"/>
              <w:bottom w:val="single" w:sz="4" w:space="0" w:color="auto"/>
              <w:right w:val="single" w:sz="4" w:space="0" w:color="auto"/>
            </w:tcBorders>
            <w:vAlign w:val="center"/>
          </w:tcPr>
          <w:p w14:paraId="5844969A" w14:textId="77777777" w:rsidR="004005E9" w:rsidRPr="00676A9B" w:rsidRDefault="004005E9" w:rsidP="004005E9">
            <w:pPr>
              <w:ind w:left="-108" w:right="-108"/>
              <w:jc w:val="center"/>
              <w:rPr>
                <w:rFonts w:ascii="Arial" w:hAnsi="Arial" w:cs="Arial"/>
                <w:sz w:val="18"/>
                <w:szCs w:val="18"/>
                <w:lang w:eastAsia="en-US"/>
              </w:rPr>
            </w:pPr>
            <w:r w:rsidRPr="00676A9B">
              <w:rPr>
                <w:rFonts w:ascii="Arial" w:hAnsi="Arial" w:cs="Arial"/>
                <w:sz w:val="18"/>
                <w:szCs w:val="18"/>
                <w:lang w:eastAsia="en-US"/>
              </w:rPr>
              <w:t>58</w:t>
            </w:r>
          </w:p>
        </w:tc>
        <w:tc>
          <w:tcPr>
            <w:tcW w:w="992" w:type="dxa"/>
            <w:vAlign w:val="center"/>
          </w:tcPr>
          <w:p w14:paraId="5A527812" w14:textId="77777777"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lang w:eastAsia="en-US"/>
              </w:rPr>
              <w:t>53</w:t>
            </w:r>
          </w:p>
        </w:tc>
        <w:tc>
          <w:tcPr>
            <w:tcW w:w="1134" w:type="dxa"/>
            <w:vAlign w:val="center"/>
          </w:tcPr>
          <w:p w14:paraId="28D53A7C" w14:textId="77777777"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lang w:eastAsia="en-US"/>
              </w:rPr>
              <w:t>65</w:t>
            </w:r>
          </w:p>
        </w:tc>
        <w:tc>
          <w:tcPr>
            <w:tcW w:w="992" w:type="dxa"/>
            <w:vAlign w:val="center"/>
          </w:tcPr>
          <w:p w14:paraId="0C301404" w14:textId="469D9A00" w:rsidR="004005E9" w:rsidRPr="00676A9B" w:rsidRDefault="004005E9" w:rsidP="004005E9">
            <w:pPr>
              <w:jc w:val="center"/>
              <w:rPr>
                <w:rFonts w:ascii="Arial" w:hAnsi="Arial" w:cs="Arial"/>
                <w:sz w:val="18"/>
                <w:szCs w:val="18"/>
              </w:rPr>
            </w:pPr>
            <w:r w:rsidRPr="00676A9B">
              <w:rPr>
                <w:rFonts w:ascii="Arial" w:hAnsi="Arial" w:cs="Arial"/>
                <w:sz w:val="18"/>
                <w:szCs w:val="18"/>
              </w:rPr>
              <w:t>6</w:t>
            </w:r>
            <w:r>
              <w:rPr>
                <w:rFonts w:ascii="Arial" w:hAnsi="Arial" w:cs="Arial"/>
                <w:sz w:val="18"/>
                <w:szCs w:val="18"/>
              </w:rPr>
              <w:t>7</w:t>
            </w:r>
          </w:p>
        </w:tc>
        <w:tc>
          <w:tcPr>
            <w:tcW w:w="1134" w:type="dxa"/>
            <w:vAlign w:val="center"/>
          </w:tcPr>
          <w:p w14:paraId="173168C3" w14:textId="34C888AD"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rPr>
              <w:t>60</w:t>
            </w:r>
          </w:p>
        </w:tc>
        <w:tc>
          <w:tcPr>
            <w:tcW w:w="993" w:type="dxa"/>
            <w:tcBorders>
              <w:top w:val="nil"/>
              <w:left w:val="nil"/>
              <w:bottom w:val="single" w:sz="8" w:space="0" w:color="auto"/>
              <w:right w:val="single" w:sz="8" w:space="0" w:color="auto"/>
            </w:tcBorders>
            <w:vAlign w:val="center"/>
          </w:tcPr>
          <w:p w14:paraId="5D8CBFC7" w14:textId="182E0048" w:rsidR="004005E9" w:rsidRPr="00676A9B" w:rsidRDefault="004005E9" w:rsidP="004005E9">
            <w:pPr>
              <w:jc w:val="center"/>
              <w:rPr>
                <w:rFonts w:ascii="Arial" w:hAnsi="Arial" w:cs="Arial"/>
                <w:sz w:val="18"/>
                <w:szCs w:val="18"/>
                <w:lang w:eastAsia="en-US"/>
              </w:rPr>
            </w:pPr>
            <w:r>
              <w:rPr>
                <w:rFonts w:ascii="Arial" w:hAnsi="Arial" w:cs="Arial"/>
                <w:sz w:val="18"/>
                <w:szCs w:val="18"/>
              </w:rPr>
              <w:t>53</w:t>
            </w:r>
          </w:p>
        </w:tc>
        <w:tc>
          <w:tcPr>
            <w:tcW w:w="992" w:type="dxa"/>
            <w:vAlign w:val="center"/>
          </w:tcPr>
          <w:p w14:paraId="7BA6254F" w14:textId="77777777"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rPr>
              <w:t>60</w:t>
            </w:r>
          </w:p>
        </w:tc>
        <w:tc>
          <w:tcPr>
            <w:tcW w:w="1134" w:type="dxa"/>
            <w:vAlign w:val="center"/>
          </w:tcPr>
          <w:p w14:paraId="2FF236BF" w14:textId="77777777"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rPr>
              <w:t>60</w:t>
            </w:r>
          </w:p>
        </w:tc>
      </w:tr>
      <w:tr w:rsidR="004005E9" w:rsidRPr="00676A9B" w14:paraId="39B2A27E" w14:textId="77777777" w:rsidTr="004005E9">
        <w:trPr>
          <w:trHeight w:val="402"/>
          <w:jc w:val="center"/>
        </w:trPr>
        <w:tc>
          <w:tcPr>
            <w:tcW w:w="1613" w:type="dxa"/>
            <w:tcBorders>
              <w:top w:val="single" w:sz="4" w:space="0" w:color="auto"/>
              <w:left w:val="single" w:sz="4" w:space="0" w:color="auto"/>
              <w:bottom w:val="single" w:sz="4" w:space="0" w:color="auto"/>
              <w:right w:val="single" w:sz="4" w:space="0" w:color="auto"/>
            </w:tcBorders>
            <w:vAlign w:val="center"/>
          </w:tcPr>
          <w:p w14:paraId="5D869306" w14:textId="77777777" w:rsidR="004005E9" w:rsidRPr="00676A9B" w:rsidRDefault="004005E9" w:rsidP="004005E9">
            <w:pPr>
              <w:rPr>
                <w:rFonts w:ascii="Arial" w:hAnsi="Arial" w:cs="Arial"/>
                <w:sz w:val="18"/>
                <w:szCs w:val="18"/>
                <w:lang w:eastAsia="en-US"/>
              </w:rPr>
            </w:pPr>
            <w:r w:rsidRPr="00676A9B">
              <w:rPr>
                <w:rFonts w:ascii="Arial" w:hAnsi="Arial" w:cs="Arial"/>
                <w:sz w:val="18"/>
                <w:szCs w:val="18"/>
                <w:lang w:eastAsia="en-US"/>
              </w:rPr>
              <w:t>Povećanje knjižnog fonda (broj nabavljenih sveski)</w:t>
            </w:r>
          </w:p>
        </w:tc>
        <w:tc>
          <w:tcPr>
            <w:tcW w:w="1643" w:type="dxa"/>
            <w:tcBorders>
              <w:top w:val="single" w:sz="4" w:space="0" w:color="auto"/>
              <w:left w:val="single" w:sz="4" w:space="0" w:color="auto"/>
              <w:bottom w:val="single" w:sz="4" w:space="0" w:color="auto"/>
              <w:right w:val="single" w:sz="4" w:space="0" w:color="auto"/>
            </w:tcBorders>
            <w:vAlign w:val="center"/>
          </w:tcPr>
          <w:p w14:paraId="0EC3309D" w14:textId="77777777" w:rsidR="004005E9" w:rsidRPr="00676A9B" w:rsidRDefault="004005E9" w:rsidP="004005E9">
            <w:pPr>
              <w:rPr>
                <w:rFonts w:ascii="Arial" w:hAnsi="Arial" w:cs="Arial"/>
                <w:sz w:val="18"/>
                <w:szCs w:val="18"/>
                <w:lang w:eastAsia="en-US"/>
              </w:rPr>
            </w:pPr>
            <w:r w:rsidRPr="00676A9B">
              <w:rPr>
                <w:rFonts w:ascii="Arial" w:hAnsi="Arial" w:cs="Arial"/>
                <w:sz w:val="18"/>
                <w:szCs w:val="18"/>
                <w:lang w:eastAsia="en-US"/>
              </w:rPr>
              <w:t xml:space="preserve">Veličina knjižnog fonda </w:t>
            </w:r>
          </w:p>
        </w:tc>
        <w:tc>
          <w:tcPr>
            <w:tcW w:w="850" w:type="dxa"/>
            <w:tcBorders>
              <w:top w:val="single" w:sz="4" w:space="0" w:color="auto"/>
              <w:left w:val="single" w:sz="4" w:space="0" w:color="auto"/>
              <w:bottom w:val="single" w:sz="4" w:space="0" w:color="auto"/>
              <w:right w:val="single" w:sz="4" w:space="0" w:color="auto"/>
            </w:tcBorders>
            <w:vAlign w:val="center"/>
          </w:tcPr>
          <w:p w14:paraId="712CABEF" w14:textId="77777777"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lang w:eastAsia="en-US"/>
              </w:rPr>
              <w:t>broj</w:t>
            </w:r>
          </w:p>
        </w:tc>
        <w:tc>
          <w:tcPr>
            <w:tcW w:w="1276" w:type="dxa"/>
            <w:tcBorders>
              <w:top w:val="single" w:sz="4" w:space="0" w:color="auto"/>
              <w:left w:val="single" w:sz="4" w:space="0" w:color="auto"/>
              <w:bottom w:val="single" w:sz="4" w:space="0" w:color="auto"/>
              <w:right w:val="single" w:sz="4" w:space="0" w:color="auto"/>
            </w:tcBorders>
            <w:vAlign w:val="center"/>
          </w:tcPr>
          <w:p w14:paraId="59CCD2CE" w14:textId="77777777" w:rsidR="004005E9" w:rsidRPr="00676A9B" w:rsidRDefault="004005E9" w:rsidP="004005E9">
            <w:pPr>
              <w:ind w:left="-108" w:right="-108"/>
              <w:jc w:val="center"/>
              <w:rPr>
                <w:rFonts w:ascii="Arial" w:hAnsi="Arial" w:cs="Arial"/>
                <w:sz w:val="18"/>
                <w:szCs w:val="18"/>
                <w:lang w:eastAsia="en-US"/>
              </w:rPr>
            </w:pPr>
            <w:r w:rsidRPr="00676A9B">
              <w:rPr>
                <w:rFonts w:ascii="Arial" w:hAnsi="Arial" w:cs="Arial"/>
                <w:sz w:val="18"/>
                <w:szCs w:val="18"/>
                <w:lang w:eastAsia="en-US"/>
              </w:rPr>
              <w:t xml:space="preserve">Knjižnica </w:t>
            </w:r>
          </w:p>
        </w:tc>
        <w:tc>
          <w:tcPr>
            <w:tcW w:w="1134" w:type="dxa"/>
            <w:tcBorders>
              <w:top w:val="single" w:sz="4" w:space="0" w:color="auto"/>
              <w:left w:val="single" w:sz="4" w:space="0" w:color="auto"/>
              <w:bottom w:val="single" w:sz="4" w:space="0" w:color="auto"/>
              <w:right w:val="single" w:sz="4" w:space="0" w:color="auto"/>
            </w:tcBorders>
            <w:vAlign w:val="center"/>
          </w:tcPr>
          <w:p w14:paraId="21C000BB" w14:textId="0A67A76F" w:rsidR="004005E9" w:rsidRPr="00676A9B" w:rsidRDefault="004005E9" w:rsidP="004005E9">
            <w:pPr>
              <w:ind w:left="-108" w:right="-108"/>
              <w:jc w:val="center"/>
              <w:rPr>
                <w:rFonts w:ascii="Arial" w:hAnsi="Arial" w:cs="Arial"/>
                <w:sz w:val="18"/>
                <w:szCs w:val="18"/>
                <w:lang w:eastAsia="en-US"/>
              </w:rPr>
            </w:pPr>
            <w:r w:rsidRPr="00676A9B">
              <w:rPr>
                <w:rFonts w:ascii="Arial" w:hAnsi="Arial" w:cs="Arial"/>
                <w:sz w:val="18"/>
                <w:szCs w:val="18"/>
                <w:lang w:eastAsia="en-US"/>
              </w:rPr>
              <w:t>9</w:t>
            </w:r>
            <w:r>
              <w:rPr>
                <w:rFonts w:ascii="Arial" w:hAnsi="Arial" w:cs="Arial"/>
                <w:sz w:val="18"/>
                <w:szCs w:val="18"/>
                <w:lang w:eastAsia="en-US"/>
              </w:rPr>
              <w:t>.</w:t>
            </w:r>
            <w:r w:rsidRPr="00676A9B">
              <w:rPr>
                <w:rFonts w:ascii="Arial" w:hAnsi="Arial" w:cs="Arial"/>
                <w:sz w:val="18"/>
                <w:szCs w:val="18"/>
                <w:lang w:eastAsia="en-US"/>
              </w:rPr>
              <w:t>290</w:t>
            </w:r>
          </w:p>
        </w:tc>
        <w:tc>
          <w:tcPr>
            <w:tcW w:w="992" w:type="dxa"/>
            <w:vAlign w:val="center"/>
          </w:tcPr>
          <w:p w14:paraId="5DE8BBE1" w14:textId="057F9444"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lang w:eastAsia="en-US"/>
              </w:rPr>
              <w:t>9</w:t>
            </w:r>
            <w:r>
              <w:rPr>
                <w:rFonts w:ascii="Arial" w:hAnsi="Arial" w:cs="Arial"/>
                <w:sz w:val="18"/>
                <w:szCs w:val="18"/>
                <w:lang w:eastAsia="en-US"/>
              </w:rPr>
              <w:t>.</w:t>
            </w:r>
            <w:r w:rsidRPr="00676A9B">
              <w:rPr>
                <w:rFonts w:ascii="Arial" w:hAnsi="Arial" w:cs="Arial"/>
                <w:sz w:val="18"/>
                <w:szCs w:val="18"/>
                <w:lang w:eastAsia="en-US"/>
              </w:rPr>
              <w:t>599</w:t>
            </w:r>
          </w:p>
        </w:tc>
        <w:tc>
          <w:tcPr>
            <w:tcW w:w="1134" w:type="dxa"/>
            <w:vAlign w:val="center"/>
          </w:tcPr>
          <w:p w14:paraId="447C9E8C" w14:textId="78FA5EE1" w:rsidR="004005E9" w:rsidRPr="00676A9B" w:rsidRDefault="004005E9" w:rsidP="004005E9">
            <w:pPr>
              <w:jc w:val="center"/>
              <w:rPr>
                <w:rFonts w:ascii="Arial" w:hAnsi="Arial" w:cs="Arial"/>
                <w:sz w:val="18"/>
                <w:szCs w:val="18"/>
                <w:lang w:eastAsia="en-US"/>
              </w:rPr>
            </w:pPr>
            <w:r>
              <w:rPr>
                <w:rFonts w:ascii="Arial" w:hAnsi="Arial" w:cs="Arial"/>
                <w:sz w:val="18"/>
                <w:szCs w:val="18"/>
                <w:lang w:eastAsia="en-US"/>
              </w:rPr>
              <w:t>10.163</w:t>
            </w:r>
          </w:p>
        </w:tc>
        <w:tc>
          <w:tcPr>
            <w:tcW w:w="992" w:type="dxa"/>
            <w:vAlign w:val="center"/>
          </w:tcPr>
          <w:p w14:paraId="6585E3FC" w14:textId="787A668F" w:rsidR="004005E9" w:rsidRPr="00676A9B" w:rsidRDefault="004005E9" w:rsidP="004005E9">
            <w:pPr>
              <w:jc w:val="center"/>
              <w:rPr>
                <w:rFonts w:ascii="Arial" w:hAnsi="Arial" w:cs="Arial"/>
                <w:sz w:val="18"/>
                <w:szCs w:val="18"/>
              </w:rPr>
            </w:pPr>
            <w:r>
              <w:rPr>
                <w:rFonts w:ascii="Arial" w:hAnsi="Arial" w:cs="Arial"/>
                <w:sz w:val="18"/>
                <w:szCs w:val="18"/>
              </w:rPr>
              <w:t>10.897</w:t>
            </w:r>
          </w:p>
        </w:tc>
        <w:tc>
          <w:tcPr>
            <w:tcW w:w="1134" w:type="dxa"/>
            <w:vAlign w:val="center"/>
          </w:tcPr>
          <w:p w14:paraId="7BDB4BB4" w14:textId="2B7C95A7"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rPr>
              <w:t>9600</w:t>
            </w:r>
          </w:p>
        </w:tc>
        <w:tc>
          <w:tcPr>
            <w:tcW w:w="993" w:type="dxa"/>
            <w:tcBorders>
              <w:top w:val="nil"/>
              <w:left w:val="nil"/>
              <w:bottom w:val="single" w:sz="8" w:space="0" w:color="auto"/>
              <w:right w:val="single" w:sz="8" w:space="0" w:color="auto"/>
            </w:tcBorders>
            <w:vAlign w:val="center"/>
          </w:tcPr>
          <w:p w14:paraId="26F43958" w14:textId="5CFE4F55" w:rsidR="004005E9" w:rsidRPr="00676A9B" w:rsidRDefault="004005E9" w:rsidP="004005E9">
            <w:pPr>
              <w:jc w:val="center"/>
              <w:rPr>
                <w:rFonts w:ascii="Arial" w:hAnsi="Arial" w:cs="Arial"/>
                <w:sz w:val="18"/>
                <w:szCs w:val="18"/>
                <w:lang w:eastAsia="en-US"/>
              </w:rPr>
            </w:pPr>
            <w:r>
              <w:rPr>
                <w:rFonts w:ascii="Arial" w:hAnsi="Arial" w:cs="Arial"/>
                <w:sz w:val="18"/>
                <w:szCs w:val="18"/>
              </w:rPr>
              <w:t>11.621</w:t>
            </w:r>
          </w:p>
        </w:tc>
        <w:tc>
          <w:tcPr>
            <w:tcW w:w="992" w:type="dxa"/>
            <w:vAlign w:val="center"/>
          </w:tcPr>
          <w:p w14:paraId="0248AFAD" w14:textId="77777777"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rPr>
              <w:t>9650</w:t>
            </w:r>
          </w:p>
        </w:tc>
        <w:tc>
          <w:tcPr>
            <w:tcW w:w="1134" w:type="dxa"/>
            <w:vAlign w:val="center"/>
          </w:tcPr>
          <w:p w14:paraId="398836FF" w14:textId="77777777" w:rsidR="004005E9" w:rsidRPr="00676A9B" w:rsidRDefault="004005E9" w:rsidP="004005E9">
            <w:pPr>
              <w:jc w:val="center"/>
              <w:rPr>
                <w:rFonts w:ascii="Arial" w:hAnsi="Arial" w:cs="Arial"/>
                <w:sz w:val="18"/>
                <w:szCs w:val="18"/>
                <w:lang w:eastAsia="en-US"/>
              </w:rPr>
            </w:pPr>
            <w:r w:rsidRPr="00676A9B">
              <w:rPr>
                <w:rFonts w:ascii="Arial" w:hAnsi="Arial" w:cs="Arial"/>
                <w:sz w:val="18"/>
                <w:szCs w:val="18"/>
              </w:rPr>
              <w:t>9700</w:t>
            </w:r>
          </w:p>
        </w:tc>
      </w:tr>
    </w:tbl>
    <w:p w14:paraId="15107BB1" w14:textId="77777777" w:rsidR="00676A9B" w:rsidRPr="00676A9B" w:rsidRDefault="00676A9B" w:rsidP="00676A9B">
      <w:pPr>
        <w:autoSpaceDE w:val="0"/>
        <w:autoSpaceDN w:val="0"/>
        <w:adjustRightInd w:val="0"/>
        <w:spacing w:after="0" w:line="240" w:lineRule="auto"/>
        <w:ind w:left="6381" w:firstLine="709"/>
        <w:jc w:val="center"/>
        <w:rPr>
          <w:rFonts w:ascii="Arial" w:eastAsia="Calibri" w:hAnsi="Arial" w:cs="Arial"/>
          <w:sz w:val="14"/>
          <w:szCs w:val="14"/>
        </w:rPr>
      </w:pPr>
      <w:r w:rsidRPr="00676A9B">
        <w:rPr>
          <w:rFonts w:ascii="Arial" w:eastAsia="Calibri" w:hAnsi="Arial" w:cs="Arial"/>
          <w:sz w:val="14"/>
          <w:szCs w:val="14"/>
        </w:rPr>
        <w:t>*  – od posljednjeg tromjesečja 2023. godine knjižnica radi puno radno vrijeme</w:t>
      </w:r>
    </w:p>
    <w:p w14:paraId="5364C56E" w14:textId="77777777" w:rsidR="004005E9" w:rsidRPr="004005E9" w:rsidRDefault="004005E9" w:rsidP="004005E9">
      <w:pPr>
        <w:autoSpaceDE w:val="0"/>
        <w:autoSpaceDN w:val="0"/>
        <w:adjustRightInd w:val="0"/>
        <w:spacing w:after="0" w:line="240" w:lineRule="auto"/>
        <w:rPr>
          <w:rFonts w:ascii="Arial" w:eastAsia="Calibri" w:hAnsi="Arial" w:cs="Arial"/>
          <w:i/>
          <w:iCs/>
          <w:sz w:val="20"/>
          <w:szCs w:val="20"/>
        </w:rPr>
      </w:pPr>
      <w:r w:rsidRPr="004005E9">
        <w:rPr>
          <w:rFonts w:ascii="Arial" w:eastAsia="Calibri" w:hAnsi="Arial" w:cs="Arial"/>
          <w:i/>
          <w:iCs/>
          <w:sz w:val="20"/>
          <w:szCs w:val="20"/>
        </w:rPr>
        <w:lastRenderedPageBreak/>
        <w:t>1)</w:t>
      </w:r>
      <w:r w:rsidRPr="004005E9">
        <w:rPr>
          <w:rFonts w:ascii="Arial" w:eastAsia="Calibri" w:hAnsi="Arial" w:cs="Arial"/>
          <w:i/>
          <w:iCs/>
          <w:sz w:val="20"/>
          <w:szCs w:val="20"/>
        </w:rPr>
        <w:tab/>
        <w:t>Kompjutersko zaduživanje i razduživanje knjiga</w:t>
      </w:r>
    </w:p>
    <w:p w14:paraId="5A6F94A5" w14:textId="0D3D3559" w:rsidR="004005E9" w:rsidRPr="004005E9" w:rsidRDefault="004005E9" w:rsidP="004005E9">
      <w:pPr>
        <w:autoSpaceDE w:val="0"/>
        <w:autoSpaceDN w:val="0"/>
        <w:adjustRightInd w:val="0"/>
        <w:spacing w:after="0" w:line="240" w:lineRule="auto"/>
        <w:ind w:left="709"/>
        <w:rPr>
          <w:rFonts w:ascii="Arial" w:eastAsia="Calibri" w:hAnsi="Arial" w:cs="Arial"/>
          <w:i/>
          <w:iCs/>
          <w:sz w:val="20"/>
          <w:szCs w:val="20"/>
        </w:rPr>
      </w:pPr>
      <w:r>
        <w:rPr>
          <w:rFonts w:ascii="Arial" w:eastAsia="Calibri" w:hAnsi="Arial" w:cs="Arial"/>
          <w:i/>
          <w:iCs/>
          <w:sz w:val="20"/>
          <w:szCs w:val="20"/>
        </w:rPr>
        <w:t>a</w:t>
      </w:r>
      <w:r w:rsidRPr="004005E9">
        <w:rPr>
          <w:rFonts w:ascii="Arial" w:eastAsia="Calibri" w:hAnsi="Arial" w:cs="Arial"/>
          <w:i/>
          <w:iCs/>
          <w:sz w:val="20"/>
          <w:szCs w:val="20"/>
        </w:rPr>
        <w:t>.</w:t>
      </w:r>
      <w:r w:rsidRPr="004005E9">
        <w:rPr>
          <w:rFonts w:ascii="Arial" w:eastAsia="Calibri" w:hAnsi="Arial" w:cs="Arial"/>
          <w:i/>
          <w:iCs/>
          <w:sz w:val="20"/>
          <w:szCs w:val="20"/>
        </w:rPr>
        <w:tab/>
        <w:t>broj korisnika koji su zaduživali knjige:1813</w:t>
      </w:r>
    </w:p>
    <w:p w14:paraId="05A664AC" w14:textId="70AB1E6E" w:rsidR="004005E9" w:rsidRPr="004005E9" w:rsidRDefault="004005E9" w:rsidP="004005E9">
      <w:pPr>
        <w:autoSpaceDE w:val="0"/>
        <w:autoSpaceDN w:val="0"/>
        <w:adjustRightInd w:val="0"/>
        <w:spacing w:after="0" w:line="240" w:lineRule="auto"/>
        <w:ind w:left="709"/>
        <w:rPr>
          <w:rFonts w:ascii="Arial" w:eastAsia="Calibri" w:hAnsi="Arial" w:cs="Arial"/>
          <w:i/>
          <w:iCs/>
          <w:sz w:val="20"/>
          <w:szCs w:val="20"/>
        </w:rPr>
      </w:pPr>
      <w:r>
        <w:rPr>
          <w:rFonts w:ascii="Arial" w:eastAsia="Calibri" w:hAnsi="Arial" w:cs="Arial"/>
          <w:i/>
          <w:iCs/>
          <w:sz w:val="20"/>
          <w:szCs w:val="20"/>
        </w:rPr>
        <w:t>b</w:t>
      </w:r>
      <w:r w:rsidRPr="004005E9">
        <w:rPr>
          <w:rFonts w:ascii="Arial" w:eastAsia="Calibri" w:hAnsi="Arial" w:cs="Arial"/>
          <w:i/>
          <w:iCs/>
          <w:sz w:val="20"/>
          <w:szCs w:val="20"/>
        </w:rPr>
        <w:t>.</w:t>
      </w:r>
      <w:r w:rsidRPr="004005E9">
        <w:rPr>
          <w:rFonts w:ascii="Arial" w:eastAsia="Calibri" w:hAnsi="Arial" w:cs="Arial"/>
          <w:i/>
          <w:iCs/>
          <w:sz w:val="20"/>
          <w:szCs w:val="20"/>
        </w:rPr>
        <w:tab/>
        <w:t>broj korisnika koji su razduživali knjige: 1846</w:t>
      </w:r>
    </w:p>
    <w:p w14:paraId="5B70CF15" w14:textId="77777777" w:rsidR="004005E9" w:rsidRPr="004005E9" w:rsidRDefault="004005E9" w:rsidP="004005E9">
      <w:pPr>
        <w:autoSpaceDE w:val="0"/>
        <w:autoSpaceDN w:val="0"/>
        <w:adjustRightInd w:val="0"/>
        <w:spacing w:after="0" w:line="240" w:lineRule="auto"/>
        <w:rPr>
          <w:rFonts w:ascii="Arial" w:eastAsia="Calibri" w:hAnsi="Arial" w:cs="Arial"/>
          <w:i/>
          <w:iCs/>
          <w:sz w:val="20"/>
          <w:szCs w:val="20"/>
        </w:rPr>
      </w:pPr>
    </w:p>
    <w:p w14:paraId="11C5461A" w14:textId="77777777" w:rsidR="004005E9" w:rsidRPr="004005E9" w:rsidRDefault="004005E9" w:rsidP="004005E9">
      <w:pPr>
        <w:autoSpaceDE w:val="0"/>
        <w:autoSpaceDN w:val="0"/>
        <w:adjustRightInd w:val="0"/>
        <w:spacing w:after="0" w:line="240" w:lineRule="auto"/>
        <w:rPr>
          <w:rFonts w:ascii="Arial" w:eastAsia="Calibri" w:hAnsi="Arial" w:cs="Arial"/>
          <w:i/>
          <w:iCs/>
          <w:sz w:val="20"/>
          <w:szCs w:val="20"/>
        </w:rPr>
      </w:pPr>
      <w:r w:rsidRPr="004005E9">
        <w:rPr>
          <w:rFonts w:ascii="Arial" w:eastAsia="Calibri" w:hAnsi="Arial" w:cs="Arial"/>
          <w:i/>
          <w:iCs/>
          <w:sz w:val="20"/>
          <w:szCs w:val="20"/>
        </w:rPr>
        <w:t>2)</w:t>
      </w:r>
      <w:r w:rsidRPr="004005E9">
        <w:rPr>
          <w:rFonts w:ascii="Arial" w:eastAsia="Calibri" w:hAnsi="Arial" w:cs="Arial"/>
          <w:i/>
          <w:iCs/>
          <w:sz w:val="20"/>
          <w:szCs w:val="20"/>
        </w:rPr>
        <w:tab/>
        <w:t>Učlanjivanje korisnika</w:t>
      </w:r>
    </w:p>
    <w:p w14:paraId="581F1562" w14:textId="77777777" w:rsidR="004005E9" w:rsidRPr="004005E9" w:rsidRDefault="004005E9" w:rsidP="004005E9">
      <w:pPr>
        <w:autoSpaceDE w:val="0"/>
        <w:autoSpaceDN w:val="0"/>
        <w:adjustRightInd w:val="0"/>
        <w:spacing w:after="0" w:line="240" w:lineRule="auto"/>
        <w:ind w:left="709"/>
        <w:rPr>
          <w:rFonts w:ascii="Arial" w:eastAsia="Calibri" w:hAnsi="Arial" w:cs="Arial"/>
          <w:i/>
          <w:iCs/>
          <w:sz w:val="20"/>
          <w:szCs w:val="20"/>
        </w:rPr>
      </w:pPr>
      <w:r w:rsidRPr="004005E9">
        <w:rPr>
          <w:rFonts w:ascii="Arial" w:eastAsia="Calibri" w:hAnsi="Arial" w:cs="Arial"/>
          <w:i/>
          <w:iCs/>
          <w:sz w:val="20"/>
          <w:szCs w:val="20"/>
        </w:rPr>
        <w:t>a.</w:t>
      </w:r>
      <w:r w:rsidRPr="004005E9">
        <w:rPr>
          <w:rFonts w:ascii="Arial" w:eastAsia="Calibri" w:hAnsi="Arial" w:cs="Arial"/>
          <w:i/>
          <w:iCs/>
          <w:sz w:val="20"/>
          <w:szCs w:val="20"/>
        </w:rPr>
        <w:tab/>
        <w:t>učlanjivanje novih korisnika: 53</w:t>
      </w:r>
    </w:p>
    <w:p w14:paraId="3465E674" w14:textId="3B842472" w:rsidR="00676A9B" w:rsidRPr="004005E9" w:rsidRDefault="004005E9" w:rsidP="004005E9">
      <w:pPr>
        <w:autoSpaceDE w:val="0"/>
        <w:autoSpaceDN w:val="0"/>
        <w:adjustRightInd w:val="0"/>
        <w:spacing w:after="0" w:line="240" w:lineRule="auto"/>
        <w:ind w:left="709"/>
        <w:rPr>
          <w:rFonts w:ascii="Arial" w:eastAsia="Calibri" w:hAnsi="Arial" w:cs="Arial"/>
          <w:i/>
          <w:iCs/>
          <w:sz w:val="20"/>
          <w:szCs w:val="20"/>
        </w:rPr>
      </w:pPr>
      <w:r w:rsidRPr="004005E9">
        <w:rPr>
          <w:rFonts w:ascii="Arial" w:eastAsia="Calibri" w:hAnsi="Arial" w:cs="Arial"/>
          <w:i/>
          <w:iCs/>
          <w:sz w:val="20"/>
          <w:szCs w:val="20"/>
        </w:rPr>
        <w:t>b.</w:t>
      </w:r>
      <w:r w:rsidRPr="004005E9">
        <w:rPr>
          <w:rFonts w:ascii="Arial" w:eastAsia="Calibri" w:hAnsi="Arial" w:cs="Arial"/>
          <w:i/>
          <w:iCs/>
          <w:sz w:val="20"/>
          <w:szCs w:val="20"/>
        </w:rPr>
        <w:tab/>
        <w:t>obnavljanje članstva: 259</w:t>
      </w:r>
    </w:p>
    <w:p w14:paraId="77AD3886" w14:textId="77777777" w:rsidR="004005E9" w:rsidRDefault="004005E9" w:rsidP="004005E9">
      <w:pPr>
        <w:autoSpaceDE w:val="0"/>
        <w:autoSpaceDN w:val="0"/>
        <w:adjustRightInd w:val="0"/>
        <w:spacing w:after="0" w:line="240" w:lineRule="auto"/>
        <w:rPr>
          <w:rFonts w:ascii="Arial" w:eastAsia="Calibri" w:hAnsi="Arial" w:cs="Arial"/>
          <w:sz w:val="20"/>
          <w:szCs w:val="20"/>
        </w:rPr>
      </w:pPr>
    </w:p>
    <w:p w14:paraId="4446CFF9" w14:textId="40DB694B" w:rsid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3. A203209: Institucionalne potpore (redovne djelatnosti) strukovnih udruga u kulturi </w:t>
      </w:r>
      <w:r w:rsidRPr="00676A9B">
        <w:rPr>
          <w:rFonts w:ascii="Arial" w:eastAsia="Calibri" w:hAnsi="Arial" w:cs="Arial"/>
          <w:sz w:val="20"/>
          <w:szCs w:val="20"/>
          <w:lang w:eastAsia="en-US"/>
        </w:rPr>
        <w:t xml:space="preserve">– u sklopu navedene aktivnosti rashodi, potpore (donacije) za provedbu programa su planirani </w:t>
      </w:r>
      <w:r w:rsidR="004A5079">
        <w:rPr>
          <w:rFonts w:ascii="Arial" w:eastAsia="Calibri" w:hAnsi="Arial" w:cs="Arial"/>
          <w:sz w:val="20"/>
          <w:szCs w:val="20"/>
          <w:lang w:eastAsia="en-US"/>
        </w:rPr>
        <w:t>u iznosu 9.600 €, a rashodi su izvršeni u planiranom iznosu.</w:t>
      </w:r>
    </w:p>
    <w:p w14:paraId="468C0396" w14:textId="77777777" w:rsidR="004A5079" w:rsidRDefault="004A5079" w:rsidP="00676A9B">
      <w:pPr>
        <w:autoSpaceDE w:val="0"/>
        <w:autoSpaceDN w:val="0"/>
        <w:adjustRightInd w:val="0"/>
        <w:spacing w:after="0" w:line="240" w:lineRule="auto"/>
        <w:jc w:val="both"/>
        <w:rPr>
          <w:rFonts w:ascii="Arial" w:eastAsia="Calibri" w:hAnsi="Arial" w:cs="Arial"/>
          <w:sz w:val="20"/>
          <w:szCs w:val="20"/>
          <w:lang w:eastAsia="en-US"/>
        </w:rPr>
      </w:pPr>
    </w:p>
    <w:p w14:paraId="34335190" w14:textId="26D04C67" w:rsidR="004A5079" w:rsidRPr="00676A9B" w:rsidRDefault="004A5079" w:rsidP="00676A9B">
      <w:pPr>
        <w:autoSpaceDE w:val="0"/>
        <w:autoSpaceDN w:val="0"/>
        <w:adjustRightInd w:val="0"/>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 xml:space="preserve">Izvršeni rashodi u iznosu 9.600 € se odnose na </w:t>
      </w:r>
      <w:r w:rsidR="004942F5">
        <w:rPr>
          <w:rFonts w:ascii="Arial" w:eastAsia="Calibri" w:hAnsi="Arial" w:cs="Arial"/>
          <w:sz w:val="20"/>
          <w:szCs w:val="20"/>
          <w:lang w:eastAsia="en-US"/>
        </w:rPr>
        <w:t>doznake za tri udruge temeljem ugovora o financiranju javnih potreba u kulturi koja su zaključena nakon provedenog javnog poziva. Financirana je Matica Hrvatska, ogranak Konavle 3.000 €, Cavtatska glazba 4.600 €, te Društvo naša djeca 2.000 €.</w:t>
      </w:r>
    </w:p>
    <w:p w14:paraId="6BA56982"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43CD8934" w14:textId="2F9A7992"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4. A203210: Program poticanja i njegovanja tradicijske kulture, razvitka kulturno umjetničkog amaterizma, izložbi i manifestacija </w:t>
      </w:r>
      <w:r w:rsidRPr="00676A9B">
        <w:rPr>
          <w:rFonts w:ascii="Arial" w:eastAsia="Calibri" w:hAnsi="Arial" w:cs="Arial"/>
          <w:sz w:val="20"/>
          <w:szCs w:val="20"/>
          <w:lang w:eastAsia="en-US"/>
        </w:rPr>
        <w:t xml:space="preserve">– u sklopu navedene aktivnosti su rashodi, potpore (donacije) za provedbu programa su planirani i izvršeni u iznosu </w:t>
      </w:r>
      <w:r w:rsidR="00AA6156">
        <w:rPr>
          <w:rFonts w:ascii="Arial" w:eastAsia="Calibri" w:hAnsi="Arial" w:cs="Arial"/>
          <w:sz w:val="20"/>
          <w:szCs w:val="20"/>
          <w:lang w:eastAsia="en-US"/>
        </w:rPr>
        <w:t>59.900</w:t>
      </w:r>
      <w:r w:rsidRPr="00676A9B">
        <w:rPr>
          <w:rFonts w:ascii="Arial" w:eastAsia="Calibri" w:hAnsi="Arial" w:cs="Arial"/>
          <w:sz w:val="20"/>
          <w:szCs w:val="20"/>
          <w:lang w:eastAsia="en-US"/>
        </w:rPr>
        <w:t xml:space="preserve"> €. Izvršenje se odnosi na </w:t>
      </w:r>
      <w:r w:rsidR="00AA6156">
        <w:rPr>
          <w:rFonts w:ascii="Arial" w:eastAsia="Calibri" w:hAnsi="Arial" w:cs="Arial"/>
          <w:sz w:val="20"/>
          <w:szCs w:val="20"/>
          <w:lang w:eastAsia="en-US"/>
        </w:rPr>
        <w:t>10</w:t>
      </w:r>
      <w:r w:rsidRPr="00676A9B">
        <w:rPr>
          <w:rFonts w:ascii="Arial" w:eastAsia="Calibri" w:hAnsi="Arial" w:cs="Arial"/>
          <w:sz w:val="20"/>
          <w:szCs w:val="20"/>
          <w:lang w:eastAsia="en-US"/>
        </w:rPr>
        <w:t xml:space="preserve"> ugovora o financiranju javnih potreba u kulturi na temelju provedenog javnog natječaja</w:t>
      </w:r>
      <w:r w:rsidR="00AA6156">
        <w:rPr>
          <w:rFonts w:ascii="Arial" w:eastAsia="Calibri" w:hAnsi="Arial" w:cs="Arial"/>
          <w:sz w:val="20"/>
          <w:szCs w:val="20"/>
          <w:lang w:eastAsia="en-US"/>
        </w:rPr>
        <w:t xml:space="preserve"> (Konavle art 11.000 €, Epidaurus festival 9.000 €, KUD Vlaho Bukovac 3.500 €, Cavtatska glazba 9.400 €, Agroturizam 5.000 €, Karnevalska udruga Dominali 3.000 €, KUD Čilipi 7.000 €, Prijatelji konavoske baštine 4.000 €, Umjetnička radionica Šarena jezera 5.000 €, Udruga primijenjenih umjetnika Konavala Baština 3.000 €.</w:t>
      </w:r>
    </w:p>
    <w:p w14:paraId="3F1555CD"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
        <w:tblW w:w="12799" w:type="dxa"/>
        <w:jc w:val="center"/>
        <w:tblLayout w:type="fixed"/>
        <w:tblLook w:val="04A0" w:firstRow="1" w:lastRow="0" w:firstColumn="1" w:lastColumn="0" w:noHBand="0" w:noVBand="1"/>
      </w:tblPr>
      <w:tblGrid>
        <w:gridCol w:w="1907"/>
        <w:gridCol w:w="2529"/>
        <w:gridCol w:w="1418"/>
        <w:gridCol w:w="1058"/>
        <w:gridCol w:w="1068"/>
        <w:gridCol w:w="1134"/>
        <w:gridCol w:w="1134"/>
        <w:gridCol w:w="1134"/>
        <w:gridCol w:w="1417"/>
      </w:tblGrid>
      <w:tr w:rsidR="00676A9B" w:rsidRPr="00676A9B" w14:paraId="48788DC6" w14:textId="77777777" w:rsidTr="00410A4B">
        <w:trPr>
          <w:jc w:val="center"/>
        </w:trPr>
        <w:tc>
          <w:tcPr>
            <w:tcW w:w="190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0895F02"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Pokazatelj rezultata</w:t>
            </w:r>
          </w:p>
        </w:tc>
        <w:tc>
          <w:tcPr>
            <w:tcW w:w="252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10E98C9"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Definicija</w:t>
            </w:r>
          </w:p>
        </w:tc>
        <w:tc>
          <w:tcPr>
            <w:tcW w:w="141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8080E51"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Jedinica</w:t>
            </w:r>
          </w:p>
        </w:tc>
        <w:tc>
          <w:tcPr>
            <w:tcW w:w="10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81A1536"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Izvor podataka</w:t>
            </w:r>
          </w:p>
        </w:tc>
        <w:tc>
          <w:tcPr>
            <w:tcW w:w="106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BACA604" w14:textId="4D46079B"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Polazna vrijednost 202</w:t>
            </w:r>
            <w:r w:rsidR="00AA6156">
              <w:rPr>
                <w:rFonts w:ascii="Arial" w:eastAsia="Calibri" w:hAnsi="Arial" w:cs="Arial"/>
                <w:sz w:val="18"/>
                <w:szCs w:val="18"/>
                <w:lang w:eastAsia="en-US"/>
              </w:rPr>
              <w:t>8</w:t>
            </w:r>
            <w:r w:rsidRPr="00676A9B">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hideMark/>
          </w:tcPr>
          <w:p w14:paraId="4969A26C" w14:textId="33A8B98E"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AA6156">
              <w:rPr>
                <w:rFonts w:ascii="Arial" w:eastAsia="Calibri" w:hAnsi="Arial" w:cs="Arial"/>
                <w:sz w:val="18"/>
                <w:szCs w:val="18"/>
                <w:lang w:eastAsia="en-US"/>
              </w:rPr>
              <w:t>5</w:t>
            </w:r>
            <w:r w:rsidRPr="00676A9B">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88E133" w14:textId="4C2AB4DA"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Izvršeno 202</w:t>
            </w:r>
            <w:r w:rsidR="00AA6156">
              <w:rPr>
                <w:rFonts w:ascii="Arial" w:eastAsia="Calibri" w:hAnsi="Arial" w:cs="Arial"/>
                <w:sz w:val="18"/>
                <w:szCs w:val="18"/>
                <w:lang w:eastAsia="en-US"/>
              </w:rPr>
              <w:t>5</w:t>
            </w:r>
            <w:r w:rsidRPr="00676A9B">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423444CF" w14:textId="5CF1ADBE"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AA6156">
              <w:rPr>
                <w:rFonts w:ascii="Arial" w:eastAsia="Calibri" w:hAnsi="Arial" w:cs="Arial"/>
                <w:sz w:val="18"/>
                <w:szCs w:val="18"/>
                <w:lang w:eastAsia="en-US"/>
              </w:rPr>
              <w:t>6</w:t>
            </w:r>
            <w:r w:rsidRPr="00676A9B">
              <w:rPr>
                <w:rFonts w:ascii="Arial" w:eastAsia="Calibri" w:hAnsi="Arial" w:cs="Arial"/>
                <w:sz w:val="18"/>
                <w:szCs w:val="18"/>
                <w:lang w:eastAsia="en-U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BFBFBF"/>
          </w:tcPr>
          <w:p w14:paraId="6A408699" w14:textId="15C5243A"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Ciljana vrijednost 202</w:t>
            </w:r>
            <w:r w:rsidR="00AA6156">
              <w:rPr>
                <w:rFonts w:ascii="Arial" w:eastAsia="Calibri" w:hAnsi="Arial" w:cs="Arial"/>
                <w:sz w:val="18"/>
                <w:szCs w:val="18"/>
                <w:lang w:eastAsia="en-US"/>
              </w:rPr>
              <w:t>7</w:t>
            </w:r>
            <w:r w:rsidRPr="00676A9B">
              <w:rPr>
                <w:rFonts w:ascii="Arial" w:eastAsia="Calibri" w:hAnsi="Arial" w:cs="Arial"/>
                <w:sz w:val="18"/>
                <w:szCs w:val="18"/>
                <w:lang w:eastAsia="en-US"/>
              </w:rPr>
              <w:t>.</w:t>
            </w:r>
          </w:p>
        </w:tc>
      </w:tr>
      <w:tr w:rsidR="00676A9B" w:rsidRPr="00676A9B" w14:paraId="0C176106" w14:textId="77777777" w:rsidTr="00410A4B">
        <w:trPr>
          <w:trHeight w:val="1031"/>
          <w:jc w:val="center"/>
        </w:trPr>
        <w:tc>
          <w:tcPr>
            <w:tcW w:w="1907" w:type="dxa"/>
            <w:tcBorders>
              <w:top w:val="single" w:sz="4" w:space="0" w:color="auto"/>
              <w:left w:val="single" w:sz="4" w:space="0" w:color="auto"/>
              <w:bottom w:val="single" w:sz="4" w:space="0" w:color="auto"/>
              <w:right w:val="single" w:sz="4" w:space="0" w:color="auto"/>
            </w:tcBorders>
            <w:vAlign w:val="center"/>
          </w:tcPr>
          <w:p w14:paraId="53E3B7E0"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Broj zaključenih ugovora, odnosno odobrenih projekata javnih potreba u kulturi</w:t>
            </w:r>
          </w:p>
        </w:tc>
        <w:tc>
          <w:tcPr>
            <w:tcW w:w="2529" w:type="dxa"/>
            <w:tcBorders>
              <w:top w:val="single" w:sz="4" w:space="0" w:color="auto"/>
              <w:left w:val="single" w:sz="4" w:space="0" w:color="auto"/>
              <w:bottom w:val="single" w:sz="4" w:space="0" w:color="auto"/>
              <w:right w:val="single" w:sz="4" w:space="0" w:color="auto"/>
            </w:tcBorders>
            <w:vAlign w:val="center"/>
          </w:tcPr>
          <w:p w14:paraId="6211E922"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Brojem odobrenih projekta pridonosi se kvalitetnoj organizaciji kulturnih događanja i razvijanju dobrih navika stanovništva u području kulture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429B89B"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broj ugovora</w:t>
            </w:r>
          </w:p>
        </w:tc>
        <w:tc>
          <w:tcPr>
            <w:tcW w:w="1058" w:type="dxa"/>
            <w:tcBorders>
              <w:top w:val="single" w:sz="4" w:space="0" w:color="auto"/>
              <w:left w:val="single" w:sz="4" w:space="0" w:color="auto"/>
              <w:bottom w:val="single" w:sz="4" w:space="0" w:color="auto"/>
              <w:right w:val="single" w:sz="4" w:space="0" w:color="auto"/>
            </w:tcBorders>
            <w:vAlign w:val="center"/>
            <w:hideMark/>
          </w:tcPr>
          <w:p w14:paraId="2F9C0ACB"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Općina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056EA96" w14:textId="6988CF45" w:rsidR="00676A9B" w:rsidRPr="00676A9B" w:rsidRDefault="00AA6156" w:rsidP="00676A9B">
            <w:pPr>
              <w:jc w:val="center"/>
              <w:rPr>
                <w:rFonts w:ascii="Arial" w:hAnsi="Arial" w:cs="Arial"/>
                <w:sz w:val="18"/>
                <w:szCs w:val="18"/>
                <w:lang w:eastAsia="en-US"/>
              </w:rPr>
            </w:pPr>
            <w:r>
              <w:rPr>
                <w:rFonts w:ascii="Arial" w:hAnsi="Arial" w:cs="Arial"/>
                <w:sz w:val="18"/>
                <w:szCs w:val="18"/>
                <w:lang w:eastAsia="en-US"/>
              </w:rPr>
              <w:t>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17231FD" w14:textId="23DA689B" w:rsidR="00676A9B" w:rsidRPr="00676A9B" w:rsidRDefault="00AA6156" w:rsidP="00676A9B">
            <w:pPr>
              <w:jc w:val="center"/>
              <w:rPr>
                <w:rFonts w:ascii="Arial" w:hAnsi="Arial" w:cs="Arial"/>
                <w:sz w:val="18"/>
                <w:szCs w:val="18"/>
                <w:lang w:eastAsia="en-US"/>
              </w:rPr>
            </w:pPr>
            <w:r>
              <w:rPr>
                <w:rFonts w:ascii="Arial" w:hAnsi="Arial" w:cs="Arial"/>
                <w:sz w:val="18"/>
                <w:szCs w:val="18"/>
                <w:lang w:eastAsia="en-US"/>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44F4AB46" w14:textId="470B7B51"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795B79B6"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5</w:t>
            </w:r>
          </w:p>
        </w:tc>
        <w:tc>
          <w:tcPr>
            <w:tcW w:w="1417" w:type="dxa"/>
            <w:tcBorders>
              <w:top w:val="single" w:sz="4" w:space="0" w:color="000000"/>
              <w:left w:val="single" w:sz="4" w:space="0" w:color="000000"/>
              <w:bottom w:val="single" w:sz="4" w:space="0" w:color="000000"/>
              <w:right w:val="single" w:sz="4" w:space="0" w:color="000000"/>
            </w:tcBorders>
            <w:vAlign w:val="center"/>
          </w:tcPr>
          <w:p w14:paraId="455940CA"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5</w:t>
            </w:r>
          </w:p>
        </w:tc>
      </w:tr>
    </w:tbl>
    <w:p w14:paraId="149C5302" w14:textId="77777777" w:rsidR="00676A9B" w:rsidRPr="00676A9B" w:rsidRDefault="00676A9B" w:rsidP="00676A9B">
      <w:pPr>
        <w:autoSpaceDE w:val="0"/>
        <w:autoSpaceDN w:val="0"/>
        <w:adjustRightInd w:val="0"/>
        <w:spacing w:after="0" w:line="240" w:lineRule="auto"/>
        <w:jc w:val="both"/>
        <w:rPr>
          <w:rFonts w:ascii="Arial" w:eastAsia="Calibri" w:hAnsi="Arial" w:cs="Arial"/>
          <w:b/>
          <w:sz w:val="20"/>
          <w:szCs w:val="20"/>
        </w:rPr>
      </w:pPr>
    </w:p>
    <w:p w14:paraId="4C2924A8"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5. A203211: Program izdavanja knjiga i časopisa </w:t>
      </w:r>
      <w:r w:rsidRPr="00676A9B">
        <w:rPr>
          <w:rFonts w:ascii="Arial" w:eastAsia="Calibri" w:hAnsi="Arial" w:cs="Arial"/>
          <w:sz w:val="20"/>
          <w:szCs w:val="20"/>
        </w:rPr>
        <w:t>– u sklopu navedene aktivnosti nisu planirani rashodi, potpore (donacije) za provedbu programa.</w:t>
      </w:r>
    </w:p>
    <w:p w14:paraId="61700BF5"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2287A86C" w14:textId="5BD5EF7C"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rPr>
        <w:t xml:space="preserve">6. A203212: Poticanje glazbenog, dramskog i filmskog stvaralaštva </w:t>
      </w:r>
      <w:r w:rsidRPr="00676A9B">
        <w:rPr>
          <w:rFonts w:ascii="Arial" w:eastAsia="Calibri" w:hAnsi="Arial" w:cs="Arial"/>
          <w:sz w:val="20"/>
          <w:szCs w:val="20"/>
        </w:rPr>
        <w:t xml:space="preserve">– u sklopu navedene aktivnosti su planirani rashodi, potpore (donacije) za provedbu programa u iznosu </w:t>
      </w:r>
      <w:r w:rsidR="00AA6156">
        <w:rPr>
          <w:rFonts w:ascii="Arial" w:eastAsia="Calibri" w:hAnsi="Arial" w:cs="Arial"/>
          <w:sz w:val="20"/>
          <w:szCs w:val="20"/>
        </w:rPr>
        <w:t>20</w:t>
      </w:r>
      <w:r w:rsidRPr="00676A9B">
        <w:rPr>
          <w:rFonts w:ascii="Arial" w:eastAsia="Calibri" w:hAnsi="Arial" w:cs="Arial"/>
          <w:sz w:val="20"/>
          <w:szCs w:val="20"/>
        </w:rPr>
        <w:t xml:space="preserve">.000 €. Rashodi su izvršeni u iznosu </w:t>
      </w:r>
      <w:r w:rsidR="00AA6156">
        <w:rPr>
          <w:rFonts w:ascii="Arial" w:eastAsia="Calibri" w:hAnsi="Arial" w:cs="Arial"/>
          <w:sz w:val="20"/>
          <w:szCs w:val="20"/>
        </w:rPr>
        <w:t>20</w:t>
      </w:r>
      <w:r w:rsidRPr="00676A9B">
        <w:rPr>
          <w:rFonts w:ascii="Arial" w:eastAsia="Calibri" w:hAnsi="Arial" w:cs="Arial"/>
          <w:sz w:val="20"/>
          <w:szCs w:val="20"/>
        </w:rPr>
        <w:t xml:space="preserve">.000 € </w:t>
      </w:r>
      <w:r w:rsidRPr="00676A9B">
        <w:rPr>
          <w:rFonts w:ascii="Arial" w:eastAsia="Calibri" w:hAnsi="Arial" w:cs="Arial"/>
          <w:sz w:val="20"/>
          <w:szCs w:val="20"/>
          <w:lang w:eastAsia="en-US"/>
        </w:rPr>
        <w:t xml:space="preserve">na temelju </w:t>
      </w:r>
      <w:r w:rsidR="00AA6156">
        <w:rPr>
          <w:rFonts w:ascii="Arial" w:eastAsia="Calibri" w:hAnsi="Arial" w:cs="Arial"/>
          <w:sz w:val="20"/>
          <w:szCs w:val="20"/>
          <w:lang w:eastAsia="en-US"/>
        </w:rPr>
        <w:t>četiri</w:t>
      </w:r>
      <w:r w:rsidRPr="00676A9B">
        <w:rPr>
          <w:rFonts w:ascii="Arial" w:eastAsia="Calibri" w:hAnsi="Arial" w:cs="Arial"/>
          <w:sz w:val="20"/>
          <w:szCs w:val="20"/>
          <w:lang w:eastAsia="en-US"/>
        </w:rPr>
        <w:t xml:space="preserve"> ugovora o financiranju javnih potreba u kulturi koji </w:t>
      </w:r>
      <w:r w:rsidR="00AA6156">
        <w:rPr>
          <w:rFonts w:ascii="Arial" w:eastAsia="Calibri" w:hAnsi="Arial" w:cs="Arial"/>
          <w:sz w:val="20"/>
          <w:szCs w:val="20"/>
          <w:lang w:eastAsia="en-US"/>
        </w:rPr>
        <w:t>su</w:t>
      </w:r>
      <w:r w:rsidRPr="00676A9B">
        <w:rPr>
          <w:rFonts w:ascii="Arial" w:eastAsia="Calibri" w:hAnsi="Arial" w:cs="Arial"/>
          <w:sz w:val="20"/>
          <w:szCs w:val="20"/>
          <w:lang w:eastAsia="en-US"/>
        </w:rPr>
        <w:t xml:space="preserve"> zaključen</w:t>
      </w:r>
      <w:r w:rsidR="00AA6156">
        <w:rPr>
          <w:rFonts w:ascii="Arial" w:eastAsia="Calibri" w:hAnsi="Arial" w:cs="Arial"/>
          <w:sz w:val="20"/>
          <w:szCs w:val="20"/>
          <w:lang w:eastAsia="en-US"/>
        </w:rPr>
        <w:t>i</w:t>
      </w:r>
      <w:r w:rsidRPr="00676A9B">
        <w:rPr>
          <w:rFonts w:ascii="Arial" w:eastAsia="Calibri" w:hAnsi="Arial" w:cs="Arial"/>
          <w:sz w:val="20"/>
          <w:szCs w:val="20"/>
          <w:lang w:eastAsia="en-US"/>
        </w:rPr>
        <w:t xml:space="preserve"> na temelju provedenog javnog natječaja</w:t>
      </w:r>
      <w:r w:rsidR="005658B6">
        <w:rPr>
          <w:rFonts w:ascii="Arial" w:eastAsia="Calibri" w:hAnsi="Arial" w:cs="Arial"/>
          <w:sz w:val="20"/>
          <w:szCs w:val="20"/>
          <w:lang w:eastAsia="en-US"/>
        </w:rPr>
        <w:t xml:space="preserve"> (Društvo naša djeca 2.500 €, KUD Stjepan Radić 8.000 €, Pučki zbor Konavle 4.500 €, Mješovita klapa Vežilice 5.000 €).</w:t>
      </w:r>
    </w:p>
    <w:p w14:paraId="4954F8B9"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5BD6A19B" w14:textId="335EE58E" w:rsid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7. A203213: Program kulturne suradnje </w:t>
      </w:r>
      <w:r w:rsidRPr="00676A9B">
        <w:rPr>
          <w:rFonts w:ascii="Arial" w:eastAsia="Calibri" w:hAnsi="Arial" w:cs="Arial"/>
          <w:sz w:val="20"/>
          <w:szCs w:val="20"/>
        </w:rPr>
        <w:t>– u sklopu navedene aktivnosti su planirani rashodi, potpore (donacije)</w:t>
      </w:r>
      <w:r w:rsidR="005658B6">
        <w:rPr>
          <w:rFonts w:ascii="Arial" w:eastAsia="Calibri" w:hAnsi="Arial" w:cs="Arial"/>
          <w:sz w:val="20"/>
          <w:szCs w:val="20"/>
        </w:rPr>
        <w:t xml:space="preserve"> u iznosu 9.500 €. </w:t>
      </w:r>
    </w:p>
    <w:p w14:paraId="45CE1ED9" w14:textId="77777777" w:rsidR="005658B6" w:rsidRPr="00676A9B" w:rsidRDefault="005658B6" w:rsidP="00676A9B">
      <w:pPr>
        <w:autoSpaceDE w:val="0"/>
        <w:autoSpaceDN w:val="0"/>
        <w:adjustRightInd w:val="0"/>
        <w:spacing w:after="0" w:line="240" w:lineRule="auto"/>
        <w:jc w:val="both"/>
        <w:rPr>
          <w:rFonts w:ascii="Arial" w:eastAsia="Calibri" w:hAnsi="Arial" w:cs="Arial"/>
          <w:sz w:val="20"/>
          <w:szCs w:val="20"/>
        </w:rPr>
      </w:pPr>
    </w:p>
    <w:p w14:paraId="4741F356" w14:textId="005C95DD" w:rsidR="005658B6" w:rsidRPr="00676A9B" w:rsidRDefault="005658B6" w:rsidP="005658B6">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rPr>
        <w:t xml:space="preserve">Rashodi su izvršeni u iznosu </w:t>
      </w:r>
      <w:r>
        <w:rPr>
          <w:rFonts w:ascii="Arial" w:eastAsia="Calibri" w:hAnsi="Arial" w:cs="Arial"/>
          <w:sz w:val="20"/>
          <w:szCs w:val="20"/>
        </w:rPr>
        <w:t>9.500</w:t>
      </w:r>
      <w:r w:rsidRPr="00676A9B">
        <w:rPr>
          <w:rFonts w:ascii="Arial" w:eastAsia="Calibri" w:hAnsi="Arial" w:cs="Arial"/>
          <w:sz w:val="20"/>
          <w:szCs w:val="20"/>
        </w:rPr>
        <w:t xml:space="preserve"> € </w:t>
      </w:r>
      <w:r w:rsidRPr="00676A9B">
        <w:rPr>
          <w:rFonts w:ascii="Arial" w:eastAsia="Calibri" w:hAnsi="Arial" w:cs="Arial"/>
          <w:sz w:val="20"/>
          <w:szCs w:val="20"/>
          <w:lang w:eastAsia="en-US"/>
        </w:rPr>
        <w:t xml:space="preserve">na temelju </w:t>
      </w:r>
      <w:r>
        <w:rPr>
          <w:rFonts w:ascii="Arial" w:eastAsia="Calibri" w:hAnsi="Arial" w:cs="Arial"/>
          <w:sz w:val="20"/>
          <w:szCs w:val="20"/>
          <w:lang w:eastAsia="en-US"/>
        </w:rPr>
        <w:t>dva</w:t>
      </w:r>
      <w:r w:rsidRPr="00676A9B">
        <w:rPr>
          <w:rFonts w:ascii="Arial" w:eastAsia="Calibri" w:hAnsi="Arial" w:cs="Arial"/>
          <w:sz w:val="20"/>
          <w:szCs w:val="20"/>
          <w:lang w:eastAsia="en-US"/>
        </w:rPr>
        <w:t xml:space="preserve"> ugovora o financiranju javnih potreba u kulturi koji </w:t>
      </w:r>
      <w:r>
        <w:rPr>
          <w:rFonts w:ascii="Arial" w:eastAsia="Calibri" w:hAnsi="Arial" w:cs="Arial"/>
          <w:sz w:val="20"/>
          <w:szCs w:val="20"/>
          <w:lang w:eastAsia="en-US"/>
        </w:rPr>
        <w:t>su</w:t>
      </w:r>
      <w:r w:rsidRPr="00676A9B">
        <w:rPr>
          <w:rFonts w:ascii="Arial" w:eastAsia="Calibri" w:hAnsi="Arial" w:cs="Arial"/>
          <w:sz w:val="20"/>
          <w:szCs w:val="20"/>
          <w:lang w:eastAsia="en-US"/>
        </w:rPr>
        <w:t xml:space="preserve"> zaključen</w:t>
      </w:r>
      <w:r>
        <w:rPr>
          <w:rFonts w:ascii="Arial" w:eastAsia="Calibri" w:hAnsi="Arial" w:cs="Arial"/>
          <w:sz w:val="20"/>
          <w:szCs w:val="20"/>
          <w:lang w:eastAsia="en-US"/>
        </w:rPr>
        <w:t>i</w:t>
      </w:r>
      <w:r w:rsidRPr="00676A9B">
        <w:rPr>
          <w:rFonts w:ascii="Arial" w:eastAsia="Calibri" w:hAnsi="Arial" w:cs="Arial"/>
          <w:sz w:val="20"/>
          <w:szCs w:val="20"/>
          <w:lang w:eastAsia="en-US"/>
        </w:rPr>
        <w:t xml:space="preserve"> na temelju provedenog javnog natječaja</w:t>
      </w:r>
      <w:r>
        <w:rPr>
          <w:rFonts w:ascii="Arial" w:eastAsia="Calibri" w:hAnsi="Arial" w:cs="Arial"/>
          <w:sz w:val="20"/>
          <w:szCs w:val="20"/>
          <w:lang w:eastAsia="en-US"/>
        </w:rPr>
        <w:t xml:space="preserve"> (KUD Vlaho Bukovac 6.500 €, Tango Dubrovnik 3.000 €).</w:t>
      </w:r>
    </w:p>
    <w:p w14:paraId="4820F4DF" w14:textId="77777777" w:rsidR="005658B6" w:rsidRPr="00676A9B" w:rsidRDefault="005658B6" w:rsidP="005658B6">
      <w:pPr>
        <w:autoSpaceDE w:val="0"/>
        <w:autoSpaceDN w:val="0"/>
        <w:adjustRightInd w:val="0"/>
        <w:spacing w:after="0" w:line="240" w:lineRule="auto"/>
        <w:jc w:val="both"/>
        <w:rPr>
          <w:rFonts w:ascii="Arial" w:eastAsia="Calibri" w:hAnsi="Arial" w:cs="Arial"/>
          <w:sz w:val="20"/>
          <w:szCs w:val="20"/>
        </w:rPr>
      </w:pPr>
    </w:p>
    <w:p w14:paraId="54028D53" w14:textId="77777777" w:rsidR="00676A9B" w:rsidRPr="00676A9B" w:rsidRDefault="00676A9B" w:rsidP="00676A9B">
      <w:pPr>
        <w:autoSpaceDE w:val="0"/>
        <w:autoSpaceDN w:val="0"/>
        <w:adjustRightInd w:val="0"/>
        <w:spacing w:after="0" w:line="240" w:lineRule="auto"/>
        <w:rPr>
          <w:rFonts w:ascii="Arial" w:eastAsia="Calibri" w:hAnsi="Arial" w:cs="Arial"/>
          <w:b/>
          <w:sz w:val="20"/>
          <w:szCs w:val="20"/>
        </w:rPr>
      </w:pPr>
    </w:p>
    <w:p w14:paraId="00F49714"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b/>
          <w:sz w:val="20"/>
          <w:szCs w:val="20"/>
        </w:rPr>
        <w:lastRenderedPageBreak/>
        <w:t xml:space="preserve">8. A203214: Program zaštite i očuvanja kulturnih dobara </w:t>
      </w:r>
      <w:r w:rsidRPr="00676A9B">
        <w:rPr>
          <w:rFonts w:ascii="Arial" w:eastAsia="Calibri" w:hAnsi="Arial" w:cs="Arial"/>
          <w:sz w:val="20"/>
          <w:szCs w:val="20"/>
        </w:rPr>
        <w:t>– u sklopu navedene aktivnosti nisu planirani rashodi.</w:t>
      </w:r>
    </w:p>
    <w:p w14:paraId="42547949"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3DBDC701"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Aktivnosti vezane uz opće ciljeve postignute su sukladno postocima izvršenja i u skladu s očekivanom dinamikom izvršenja rashoda. Naime, većina rashoda koja je prvotno bila planirana izmjenama proračunanije izvršavana s obzirom da nisu niti zaključivani ugovori o financiranju javnih potreba u kulturi (nije objavljen javni poziv).</w:t>
      </w:r>
    </w:p>
    <w:p w14:paraId="34883C5E"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6980B52B" w14:textId="77777777" w:rsidR="00676A9B" w:rsidRPr="00676A9B" w:rsidRDefault="00676A9B" w:rsidP="00676A9B">
      <w:pPr>
        <w:keepNext/>
        <w:spacing w:after="0" w:line="240" w:lineRule="auto"/>
        <w:jc w:val="both"/>
        <w:outlineLvl w:val="2"/>
        <w:rPr>
          <w:rFonts w:ascii="Times New Roman" w:eastAsia="Calibri" w:hAnsi="Times New Roman" w:cs="Times New Roman"/>
          <w:b/>
          <w:sz w:val="24"/>
          <w:szCs w:val="20"/>
          <w:lang w:eastAsia="en-US"/>
        </w:rPr>
      </w:pPr>
      <w:bookmarkStart w:id="381" w:name="_Toc200628507"/>
      <w:bookmarkStart w:id="382" w:name="_Toc232981439"/>
      <w:r w:rsidRPr="00676A9B">
        <w:rPr>
          <w:rFonts w:ascii="Times New Roman" w:eastAsia="Calibri" w:hAnsi="Times New Roman" w:cs="Times New Roman"/>
          <w:b/>
          <w:sz w:val="24"/>
          <w:szCs w:val="20"/>
          <w:lang w:eastAsia="en-US"/>
        </w:rPr>
        <w:t>Program (2034): Javne potrebe u sportu</w:t>
      </w:r>
      <w:bookmarkEnd w:id="381"/>
      <w:bookmarkEnd w:id="382"/>
    </w:p>
    <w:p w14:paraId="09B3165B" w14:textId="77777777" w:rsidR="00676A9B" w:rsidRPr="00676A9B" w:rsidRDefault="00676A9B" w:rsidP="00676A9B">
      <w:pPr>
        <w:spacing w:after="0" w:line="240" w:lineRule="auto"/>
        <w:jc w:val="both"/>
        <w:rPr>
          <w:rFonts w:ascii="Arial" w:eastAsia="Calibri"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9"/>
        <w:gridCol w:w="13121"/>
      </w:tblGrid>
      <w:tr w:rsidR="00676A9B" w:rsidRPr="00676A9B" w14:paraId="10703429" w14:textId="77777777" w:rsidTr="00410A4B">
        <w:tc>
          <w:tcPr>
            <w:tcW w:w="1439" w:type="dxa"/>
          </w:tcPr>
          <w:p w14:paraId="366D4B78"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OPIS PROGRAMA:</w:t>
            </w:r>
          </w:p>
        </w:tc>
        <w:tc>
          <w:tcPr>
            <w:tcW w:w="13121" w:type="dxa"/>
          </w:tcPr>
          <w:p w14:paraId="19F50D18"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Ovim programom planiraju se financijska sredstva kojima se osigurava ostvarivanje sportske djelatnosti, poslova, akcija i manifestacija u sportu koje su od interesa za Općinu, a odnose se na poticanje i promociju sporta na području Općine, provođenje programa tjelesne kulture, a posebno, djelovanje Zajednice sportova i udruga i klubova u sportu na području općine, sa svrhom pomaganja obavljanja sportskih djelatnosti, odnosno djelovanja Zajednice sportova i drugih udruga na organizaciji i izvođenju sportskih aktivnosti, usklađivanju aktivnosti njihovih članica, na uključivanju djece, mladih i ostalih građana u sportske programe, na pripremanju i sudjelovanju u amaterskim i drugim sportskim natjecanjima kao i poticanja sportskih aktivnosti koje su u funkciji unapređenja i čuvanja zdravlja i postizanja psihofizičke sposobnosti stanovnika. U osiguravanju sredstava prvenstveno je cilj da se podržavaju sportske udruge djece i mladeži.</w:t>
            </w:r>
          </w:p>
          <w:p w14:paraId="690404AB" w14:textId="77777777" w:rsidR="00676A9B" w:rsidRPr="00676A9B" w:rsidRDefault="00676A9B" w:rsidP="00676A9B">
            <w:pPr>
              <w:spacing w:after="0" w:line="240" w:lineRule="auto"/>
              <w:jc w:val="both"/>
              <w:rPr>
                <w:rFonts w:ascii="Arial" w:eastAsia="Calibri" w:hAnsi="Arial" w:cs="Arial"/>
                <w:sz w:val="20"/>
                <w:szCs w:val="20"/>
                <w:lang w:eastAsia="en-US"/>
              </w:rPr>
            </w:pPr>
          </w:p>
          <w:p w14:paraId="5A3401BD"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Kako bi se sport u Općini mogao razvijati, a aktivnosti provoditi koordinirano, Općina je sukladno odredbama Zakona o sportu osnovala Zajednicu sportova koja obavlja Zakonom definirane poslove, prvenstveno usklađuje aktivnosti svojih članova, potiče i promiče sport u svim svojim oblicima, te daje prijedloge za razvoj sporta u Općini. Zajednica izrađuje plan raspodjele sredstava za programsku djelatnost sportskih udruga, osigurava potrebe za realizaciju manifestacija u sportu u obimu definiranom ovim Programom te realizira druge programe u okviru njene nadležnosti. Sukladno ostvarenim proračunskim prihodima, skupština Zajednice obvezna je usvojiti detaljan plan raspodjele financijskih sredstava, kojim se sufinanciraju aktivnosti sportskih udruga i druge potrebe u sportu koje se financiraju putem Zajednice. Osim materijalnih troškova Zajednice (plaća tajnika i materijalni rashodi), putem Zajednice financiraju se rashodi za rad svih sportskih klubova koji udovoljavaju kriterije financiranja. Sportski klubovi i udruge u sportu Općine, s ciljem razvoja sporta i povećanja društvene uključenosti naših građana, organiziraju tijekom godine i veći broj turnira.</w:t>
            </w:r>
          </w:p>
          <w:p w14:paraId="1833A5E6"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Sredstva za realizaciju programa putem Zajednice sportova, biti će doznačena na račun Zajednice sportova koja se obvezna dostaviti Općini pravdanje doznačenih sredstava u skladu s odredbama iz javnog natječaja i drugih zakonskih i podzakonskih propisa vezanih uz djelovanje udruga.</w:t>
            </w:r>
            <w:r w:rsidRPr="00676A9B">
              <w:rPr>
                <w:rFonts w:ascii="Arial" w:eastAsia="Times New Roman" w:hAnsi="Arial" w:cs="Arial"/>
                <w:sz w:val="20"/>
                <w:szCs w:val="20"/>
                <w:lang w:eastAsia="en-US"/>
              </w:rPr>
              <w:t xml:space="preserve"> Predviđena sredstva udrugama rasporedit će se temeljem natječaja sukladno odredbama Uredbe o kriterijima, mjerilima i postupcima financiranja i ugovaranja programa od interesa za opće dobro koje provode udruge. Očekivani termin raspisivanja javnog poziva/natječaja je prvo tromjesečje tekuće godine</w:t>
            </w:r>
          </w:p>
        </w:tc>
      </w:tr>
      <w:tr w:rsidR="00676A9B" w:rsidRPr="00676A9B" w14:paraId="5ED8E90C" w14:textId="77777777" w:rsidTr="00410A4B">
        <w:tc>
          <w:tcPr>
            <w:tcW w:w="1439" w:type="dxa"/>
          </w:tcPr>
          <w:p w14:paraId="3B8DC6F0"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ZAKONSKE I DRUGE PRAVNE OSNOVE PROGRAMA:</w:t>
            </w:r>
          </w:p>
        </w:tc>
        <w:tc>
          <w:tcPr>
            <w:tcW w:w="13121" w:type="dxa"/>
          </w:tcPr>
          <w:p w14:paraId="4915A7F3"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rPr>
              <w:t xml:space="preserve">Zakon o kulturnim vijećima i financiranju javnih potreba u kulturi (NN 83/22 – na snazi od 26.7.2022.), Zakon o lokalnoj i područnoj (regionalnoj) samoupravi (NN 33/01, 60/01, 129/05, 109/07, 125/08, 36/09, 150/11, 144/12, 19/13, 137/15, 98/19, 144/20), Zakon o financiranju jedinica lokalne i područne (regionalne) samouprave (NN 127/17, 138/20, 151/22, 114/23), Zakon o sportu (NN 141/22 – na snazi od 1.1.2023.), Zakon o udrugama (NN 74/14, 70/17, 98/19, 151/22), </w:t>
            </w:r>
            <w:r w:rsidRPr="00676A9B">
              <w:rPr>
                <w:rFonts w:ascii="Arial" w:eastAsia="Times New Roman" w:hAnsi="Arial" w:cs="Arial"/>
                <w:b/>
                <w:sz w:val="20"/>
                <w:szCs w:val="20"/>
              </w:rPr>
              <w:t>Uredba o kriterijima, mjerilima i postupcima financiranja i ugovaranja programa i projekata od interesa za opće dobro koje provode udruge (NN 26/15, 37/2021),</w:t>
            </w:r>
            <w:r w:rsidRPr="00676A9B">
              <w:rPr>
                <w:rFonts w:ascii="Arial" w:eastAsia="Times New Roman" w:hAnsi="Arial" w:cs="Arial"/>
                <w:sz w:val="20"/>
                <w:szCs w:val="20"/>
              </w:rPr>
              <w:t xml:space="preserve"> PRIRUČNIK za postupanje u primjeni Uredbe o kriterijima, mjerilima i postupcima financiranja i ugovaranja programa i projekata od interesa za opće dobro koje provode udruge (Vlada RH), Statut Općine i drugi akti</w:t>
            </w:r>
          </w:p>
        </w:tc>
      </w:tr>
      <w:tr w:rsidR="00676A9B" w:rsidRPr="00676A9B" w14:paraId="1DCDF6C4" w14:textId="77777777" w:rsidTr="00410A4B">
        <w:tc>
          <w:tcPr>
            <w:tcW w:w="1439" w:type="dxa"/>
          </w:tcPr>
          <w:p w14:paraId="42714E0C"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OPĆI CILJ:</w:t>
            </w:r>
          </w:p>
        </w:tc>
        <w:tc>
          <w:tcPr>
            <w:tcW w:w="13121" w:type="dxa"/>
          </w:tcPr>
          <w:p w14:paraId="0FCBF04A"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 xml:space="preserve">Poticanje sportsko-rekreacijskih aktivnosti građana. </w:t>
            </w:r>
          </w:p>
        </w:tc>
      </w:tr>
      <w:tr w:rsidR="00676A9B" w:rsidRPr="00676A9B" w14:paraId="26587D17" w14:textId="77777777" w:rsidTr="00410A4B">
        <w:tc>
          <w:tcPr>
            <w:tcW w:w="1439" w:type="dxa"/>
            <w:vAlign w:val="bottom"/>
          </w:tcPr>
          <w:p w14:paraId="0180734E"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POSEBNI CILJEVI:</w:t>
            </w:r>
          </w:p>
        </w:tc>
        <w:tc>
          <w:tcPr>
            <w:tcW w:w="13121" w:type="dxa"/>
            <w:vAlign w:val="bottom"/>
          </w:tcPr>
          <w:p w14:paraId="37D4305B"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Povećanje razine psihofizičkog zdravlja mještana i natjecateljskog duha kod mladih</w:t>
            </w:r>
          </w:p>
          <w:p w14:paraId="624FF5AA"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 xml:space="preserve">Proračunskim sredstvima izvršiti zakonom utvrđenu mogućnost pomaganja obavljanja sportskih djelatnosti, odnosno djelovanja Zajednice sportova i drugih udruga i klubova u organizaciji i izvođenju sportskih aktivnosti, sa svrhom uključivanja djece, mladih i ostalih građana u sportske programe. </w:t>
            </w:r>
          </w:p>
          <w:p w14:paraId="30906190"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Poticanje i promicanje bavljenja sportom od najranije dobi, stvaranje uvjeta za zadovoljavanje potreba u područjima sportskih djelatnosti svih dobnih uzrasta. Kvalitetno upravljati i optimalno koristiti sportske objekte.</w:t>
            </w:r>
          </w:p>
          <w:p w14:paraId="2DFB8CE2"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lastRenderedPageBreak/>
              <w:t>Sustavno usmjeravati razvoj sporta, uključivanje što većeg broja djece, mladih i građana u sportske aktivnosti, promicanje zdravog života i borbe protiv svih oblika ovisnosti i nasilja.</w:t>
            </w:r>
          </w:p>
        </w:tc>
      </w:tr>
    </w:tbl>
    <w:p w14:paraId="2BC39DAB" w14:textId="77777777" w:rsidR="00676A9B" w:rsidRPr="00676A9B" w:rsidRDefault="00676A9B" w:rsidP="00676A9B">
      <w:pPr>
        <w:spacing w:after="0" w:line="240" w:lineRule="auto"/>
        <w:jc w:val="both"/>
        <w:rPr>
          <w:rFonts w:ascii="Arial" w:eastAsia="Calibri" w:hAnsi="Arial" w:cs="Arial"/>
          <w:sz w:val="20"/>
          <w:szCs w:val="20"/>
          <w:lang w:eastAsia="en-US"/>
        </w:rPr>
      </w:pPr>
    </w:p>
    <w:p w14:paraId="0A847973"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676A9B">
        <w:rPr>
          <w:rFonts w:ascii="Arial" w:eastAsia="Calibri" w:hAnsi="Arial" w:cs="Arial"/>
          <w:b/>
          <w:sz w:val="20"/>
          <w:szCs w:val="20"/>
          <w:lang w:eastAsia="en-US"/>
        </w:rPr>
        <w:t>Procjena i ishodište potrebnih sredstava za aktivnosti unutar programa</w:t>
      </w:r>
    </w:p>
    <w:p w14:paraId="1733D977" w14:textId="77777777" w:rsidR="00676A9B" w:rsidRPr="00676A9B" w:rsidRDefault="00676A9B" w:rsidP="00676A9B">
      <w:pPr>
        <w:spacing w:after="0" w:line="240" w:lineRule="auto"/>
        <w:rPr>
          <w:rFonts w:ascii="Arial" w:eastAsia="Calibri" w:hAnsi="Arial" w:cs="Arial"/>
          <w:sz w:val="20"/>
          <w:szCs w:val="20"/>
        </w:rPr>
      </w:pPr>
    </w:p>
    <w:p w14:paraId="3B2A75E9" w14:textId="3A98F908" w:rsidR="00676A9B" w:rsidRPr="00676A9B" w:rsidRDefault="008A16BA" w:rsidP="00676A9B">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66FA30A7" w14:textId="77777777" w:rsidR="00676A9B" w:rsidRPr="00676A9B" w:rsidRDefault="00676A9B" w:rsidP="00676A9B">
      <w:pPr>
        <w:spacing w:after="0" w:line="240" w:lineRule="auto"/>
        <w:jc w:val="both"/>
        <w:rPr>
          <w:rFonts w:ascii="Arial" w:eastAsia="Calibri" w:hAnsi="Arial" w:cs="Arial"/>
          <w:sz w:val="20"/>
          <w:szCs w:val="20"/>
        </w:rPr>
      </w:pPr>
    </w:p>
    <w:p w14:paraId="27295BAC" w14:textId="1B1D0673" w:rsidR="00676A9B" w:rsidRPr="00676A9B" w:rsidRDefault="002F6ACC" w:rsidP="00676A9B">
      <w:pPr>
        <w:spacing w:after="0" w:line="240" w:lineRule="auto"/>
        <w:jc w:val="both"/>
        <w:rPr>
          <w:rFonts w:ascii="Arial" w:eastAsia="Calibri" w:hAnsi="Arial" w:cs="Arial"/>
          <w:i/>
          <w:sz w:val="18"/>
          <w:szCs w:val="20"/>
          <w:lang w:eastAsia="en-US"/>
        </w:rPr>
      </w:pPr>
      <w:r w:rsidRPr="002F6ACC">
        <w:rPr>
          <w:noProof/>
        </w:rPr>
        <w:drawing>
          <wp:inline distT="0" distB="0" distL="0" distR="0" wp14:anchorId="68C3AFA9" wp14:editId="40294C30">
            <wp:extent cx="9251950" cy="3517900"/>
            <wp:effectExtent l="0" t="0" r="6350" b="6350"/>
            <wp:docPr id="1236231426"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9251950" cy="3517900"/>
                    </a:xfrm>
                    <a:prstGeom prst="rect">
                      <a:avLst/>
                    </a:prstGeom>
                    <a:noFill/>
                    <a:ln>
                      <a:noFill/>
                    </a:ln>
                  </pic:spPr>
                </pic:pic>
              </a:graphicData>
            </a:graphic>
          </wp:inline>
        </w:drawing>
      </w:r>
    </w:p>
    <w:p w14:paraId="78AEA9A0" w14:textId="77777777" w:rsidR="00676A9B" w:rsidRPr="00676A9B" w:rsidRDefault="00676A9B" w:rsidP="00676A9B">
      <w:pPr>
        <w:spacing w:after="0" w:line="240" w:lineRule="auto"/>
        <w:jc w:val="both"/>
        <w:rPr>
          <w:rFonts w:ascii="Arial" w:eastAsia="Calibri" w:hAnsi="Arial" w:cs="Arial"/>
          <w:i/>
          <w:sz w:val="18"/>
          <w:szCs w:val="20"/>
          <w:lang w:eastAsia="en-US"/>
        </w:rPr>
      </w:pPr>
      <w:r w:rsidRPr="00676A9B">
        <w:rPr>
          <w:rFonts w:ascii="Arial" w:eastAsia="Calibri" w:hAnsi="Arial" w:cs="Arial"/>
          <w:i/>
          <w:sz w:val="18"/>
          <w:szCs w:val="20"/>
          <w:lang w:eastAsia="en-US"/>
        </w:rPr>
        <w:t xml:space="preserve">* </w:t>
      </w:r>
      <w:r w:rsidRPr="00676A9B">
        <w:rPr>
          <w:rFonts w:ascii="Arial" w:eastAsia="Calibri" w:hAnsi="Arial" w:cs="Arial"/>
          <w:b/>
          <w:i/>
          <w:sz w:val="18"/>
          <w:szCs w:val="20"/>
          <w:lang w:eastAsia="en-US"/>
        </w:rPr>
        <w:t>Aktivnost A203401</w:t>
      </w:r>
      <w:r w:rsidRPr="00676A9B">
        <w:rPr>
          <w:rFonts w:ascii="Arial" w:eastAsia="Calibri" w:hAnsi="Arial" w:cs="Arial"/>
          <w:i/>
          <w:sz w:val="18"/>
          <w:szCs w:val="20"/>
          <w:lang w:eastAsia="en-US"/>
        </w:rPr>
        <w:t xml:space="preserve"> u 2013. godini je imala naziv Potpore sportskim klubovima. Od Izmjena i dopuna proračuna Općine za 2017. ova aktivnost ima naziv A203401 – Najmovi zemljišta i objekata za sportsku djelatnost</w:t>
      </w:r>
    </w:p>
    <w:p w14:paraId="5FAE5EA7"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b/>
          <w:sz w:val="20"/>
          <w:szCs w:val="20"/>
          <w:lang w:eastAsia="en-US"/>
        </w:rPr>
        <w:t>RAZLOG ODSTUPANJA OD PROŠLOGODIŠNJIH PROJEKCIJA</w:t>
      </w:r>
      <w:r w:rsidRPr="00676A9B">
        <w:rPr>
          <w:rFonts w:ascii="Arial" w:eastAsia="Times New Roman" w:hAnsi="Arial" w:cs="Arial"/>
          <w:sz w:val="20"/>
          <w:szCs w:val="20"/>
          <w:lang w:eastAsia="en-US"/>
        </w:rPr>
        <w:t xml:space="preserve">: </w:t>
      </w:r>
    </w:p>
    <w:p w14:paraId="3F720C80"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sz w:val="20"/>
          <w:szCs w:val="20"/>
          <w:lang w:eastAsia="en-US"/>
        </w:rPr>
        <w:t>Po navedenom programu nije bilo značajnijih odstupanja.</w:t>
      </w:r>
    </w:p>
    <w:p w14:paraId="1556708E" w14:textId="77777777" w:rsidR="00676A9B" w:rsidRPr="00676A9B" w:rsidRDefault="00676A9B" w:rsidP="00676A9B">
      <w:pPr>
        <w:spacing w:after="0" w:line="240" w:lineRule="auto"/>
        <w:jc w:val="both"/>
        <w:rPr>
          <w:rFonts w:ascii="Arial" w:eastAsia="Calibri" w:hAnsi="Arial" w:cs="Arial"/>
          <w:b/>
          <w:sz w:val="20"/>
          <w:szCs w:val="20"/>
          <w:lang w:eastAsia="en-US"/>
        </w:rPr>
      </w:pPr>
    </w:p>
    <w:p w14:paraId="3028BA33" w14:textId="77777777" w:rsidR="00676A9B" w:rsidRPr="00676A9B" w:rsidRDefault="00676A9B" w:rsidP="00676A9B">
      <w:pPr>
        <w:spacing w:after="0" w:line="240" w:lineRule="auto"/>
        <w:jc w:val="both"/>
        <w:rPr>
          <w:rFonts w:ascii="Arial" w:eastAsia="Calibri" w:hAnsi="Arial" w:cs="Arial"/>
          <w:i/>
          <w:sz w:val="20"/>
          <w:szCs w:val="20"/>
          <w:lang w:eastAsia="en-US"/>
        </w:rPr>
      </w:pPr>
      <w:r w:rsidRPr="00676A9B">
        <w:rPr>
          <w:rFonts w:ascii="Arial" w:eastAsia="Calibri" w:hAnsi="Arial" w:cs="Arial"/>
          <w:b/>
          <w:sz w:val="20"/>
          <w:szCs w:val="20"/>
          <w:lang w:eastAsia="en-US"/>
        </w:rPr>
        <w:t>Ishodište i pokazatelji na kojima se zasnivaju izračuni i ocjene</w:t>
      </w:r>
      <w:r w:rsidRPr="00676A9B">
        <w:rPr>
          <w:rFonts w:ascii="Arial" w:eastAsia="Calibri" w:hAnsi="Arial" w:cs="Arial"/>
          <w:sz w:val="20"/>
          <w:szCs w:val="20"/>
          <w:lang w:eastAsia="en-US"/>
        </w:rPr>
        <w:t xml:space="preserve"> </w:t>
      </w:r>
      <w:r w:rsidRPr="00676A9B">
        <w:rPr>
          <w:rFonts w:ascii="Arial" w:eastAsia="Calibri" w:hAnsi="Arial" w:cs="Arial"/>
          <w:b/>
          <w:sz w:val="20"/>
          <w:szCs w:val="20"/>
          <w:lang w:eastAsia="en-US"/>
        </w:rPr>
        <w:t>potrebnih sredstava za provođenje programa:</w:t>
      </w:r>
      <w:r w:rsidRPr="00676A9B">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257BFC5D" w14:textId="77777777" w:rsidR="00676A9B" w:rsidRPr="00676A9B" w:rsidRDefault="00676A9B" w:rsidP="00676A9B">
      <w:pPr>
        <w:spacing w:after="0" w:line="240" w:lineRule="auto"/>
        <w:jc w:val="both"/>
        <w:rPr>
          <w:rFonts w:ascii="Arial" w:eastAsia="Calibri" w:hAnsi="Arial" w:cs="Arial"/>
          <w:bCs/>
          <w:sz w:val="20"/>
          <w:szCs w:val="20"/>
        </w:rPr>
      </w:pPr>
      <w:r w:rsidRPr="00676A9B">
        <w:rPr>
          <w:rFonts w:ascii="Arial" w:eastAsia="Calibri" w:hAnsi="Arial" w:cs="Arial"/>
          <w:b/>
          <w:sz w:val="20"/>
          <w:szCs w:val="20"/>
          <w:lang w:eastAsia="en-US"/>
        </w:rPr>
        <w:t>Izvještaj o postignutim ciljevima i rezultatima programa temeljenim na pokazateljima uspješnosti u prethodnoj godini</w:t>
      </w:r>
      <w:r w:rsidRPr="00676A9B">
        <w:rPr>
          <w:rFonts w:ascii="Arial" w:eastAsia="Calibri" w:hAnsi="Arial" w:cs="Arial"/>
          <w:sz w:val="20"/>
          <w:szCs w:val="20"/>
          <w:lang w:eastAsia="en-US"/>
        </w:rPr>
        <w:t xml:space="preserve">: </w:t>
      </w:r>
      <w:r w:rsidRPr="00676A9B">
        <w:rPr>
          <w:rFonts w:ascii="Arial" w:eastAsia="Calibri" w:hAnsi="Arial" w:cs="Arial"/>
          <w:sz w:val="20"/>
          <w:szCs w:val="20"/>
        </w:rPr>
        <w:t xml:space="preserve">Izvršenje je u okviru očekivanih vrijednosti. </w:t>
      </w:r>
    </w:p>
    <w:p w14:paraId="208D3A5A" w14:textId="77777777" w:rsidR="00676A9B" w:rsidRPr="00676A9B" w:rsidRDefault="00676A9B" w:rsidP="00676A9B">
      <w:pPr>
        <w:spacing w:after="0" w:line="240" w:lineRule="auto"/>
        <w:jc w:val="both"/>
        <w:rPr>
          <w:rFonts w:ascii="Arial" w:eastAsia="Calibri" w:hAnsi="Arial" w:cs="Arial"/>
          <w:sz w:val="10"/>
          <w:szCs w:val="10"/>
        </w:rPr>
      </w:pPr>
    </w:p>
    <w:p w14:paraId="65045BDF" w14:textId="5C70DFC4"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lastRenderedPageBreak/>
        <w:t>Program javnih potreba u sportu Općine Konavle za 202</w:t>
      </w:r>
      <w:r w:rsidR="002F6ACC">
        <w:rPr>
          <w:rFonts w:ascii="Arial" w:eastAsia="Calibri" w:hAnsi="Arial" w:cs="Arial"/>
          <w:sz w:val="20"/>
          <w:szCs w:val="20"/>
        </w:rPr>
        <w:t>5</w:t>
      </w:r>
      <w:r w:rsidRPr="00676A9B">
        <w:rPr>
          <w:rFonts w:ascii="Arial" w:eastAsia="Calibri" w:hAnsi="Arial" w:cs="Arial"/>
          <w:sz w:val="20"/>
          <w:szCs w:val="20"/>
        </w:rPr>
        <w:t>. i plan raspodjele financijskih sredstava po korisnicima utvrđuje se na temelju Uredbe o kriterijima, mjerilima i postupcima financiranja i ugovaranja programa i projekata od interesa za opće dobro koje provode udruge (Narodne novine 26/15</w:t>
      </w:r>
      <w:r w:rsidR="002F6ACC">
        <w:rPr>
          <w:rFonts w:ascii="Arial" w:eastAsia="Calibri" w:hAnsi="Arial" w:cs="Arial"/>
          <w:sz w:val="20"/>
          <w:szCs w:val="20"/>
        </w:rPr>
        <w:t>, 37/21</w:t>
      </w:r>
      <w:r w:rsidRPr="00676A9B">
        <w:rPr>
          <w:rFonts w:ascii="Arial" w:eastAsia="Calibri" w:hAnsi="Arial" w:cs="Arial"/>
          <w:sz w:val="20"/>
          <w:szCs w:val="20"/>
        </w:rPr>
        <w:t xml:space="preserve">), Pravilnika o financiranju programa, projekata i javnih potreba sredstvima proračuna Općine Konavle (Službeni glasnik Općine Konavle </w:t>
      </w:r>
      <w:r w:rsidR="002F6ACC" w:rsidRPr="002F6ACC">
        <w:rPr>
          <w:rFonts w:ascii="Arial" w:eastAsia="Calibri" w:hAnsi="Arial" w:cs="Arial"/>
          <w:sz w:val="20"/>
          <w:szCs w:val="20"/>
        </w:rPr>
        <w:t>8/2015, 5/2022</w:t>
      </w:r>
      <w:r w:rsidRPr="00676A9B">
        <w:rPr>
          <w:rFonts w:ascii="Arial" w:eastAsia="Calibri" w:hAnsi="Arial" w:cs="Arial"/>
          <w:sz w:val="20"/>
          <w:szCs w:val="20"/>
        </w:rPr>
        <w:t>), Odluke općinskog načelnika o načinu raspodjele raspoloživih sredstava iz Proračuna Općine Konavle za 202</w:t>
      </w:r>
      <w:r w:rsidR="002F6ACC">
        <w:rPr>
          <w:rFonts w:ascii="Arial" w:eastAsia="Calibri" w:hAnsi="Arial" w:cs="Arial"/>
          <w:sz w:val="20"/>
          <w:szCs w:val="20"/>
        </w:rPr>
        <w:t>5</w:t>
      </w:r>
      <w:r w:rsidRPr="00676A9B">
        <w:rPr>
          <w:rFonts w:ascii="Arial" w:eastAsia="Calibri" w:hAnsi="Arial" w:cs="Arial"/>
          <w:sz w:val="20"/>
          <w:szCs w:val="20"/>
        </w:rPr>
        <w:t>. namijenjenih financiranju projekata, programa i aktivnosti javnih potreba putem javnih poziva, javnog natječaja / poziva, te Odluke o izvršavanju proračuna Općine Konavle.</w:t>
      </w:r>
    </w:p>
    <w:p w14:paraId="7345574B" w14:textId="77777777" w:rsidR="00676A9B" w:rsidRPr="00676A9B" w:rsidRDefault="00676A9B" w:rsidP="00676A9B">
      <w:pPr>
        <w:spacing w:after="0" w:line="240" w:lineRule="auto"/>
        <w:jc w:val="both"/>
        <w:rPr>
          <w:rFonts w:ascii="Arial" w:eastAsia="Calibri" w:hAnsi="Arial" w:cs="Arial"/>
          <w:sz w:val="20"/>
          <w:szCs w:val="20"/>
        </w:rPr>
      </w:pPr>
    </w:p>
    <w:p w14:paraId="2C6E9830" w14:textId="1581272B"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Za financiranje godišnjeg programa udruga u sportu Općine Konavle </w:t>
      </w:r>
      <w:r w:rsidRPr="00676A9B">
        <w:rPr>
          <w:rFonts w:ascii="Arial" w:eastAsia="Calibri" w:hAnsi="Arial" w:cs="Arial"/>
          <w:sz w:val="20"/>
          <w:szCs w:val="20"/>
          <w:u w:val="single"/>
        </w:rPr>
        <w:t>putem Zajednice sportova Općine Konavle</w:t>
      </w:r>
      <w:r w:rsidRPr="00676A9B">
        <w:rPr>
          <w:rFonts w:ascii="Arial" w:eastAsia="Calibri" w:hAnsi="Arial" w:cs="Arial"/>
          <w:sz w:val="20"/>
          <w:szCs w:val="20"/>
        </w:rPr>
        <w:t xml:space="preserve"> je planirano za 202</w:t>
      </w:r>
      <w:r w:rsidR="002F6ACC">
        <w:rPr>
          <w:rFonts w:ascii="Arial" w:eastAsia="Calibri" w:hAnsi="Arial" w:cs="Arial"/>
          <w:sz w:val="20"/>
          <w:szCs w:val="20"/>
        </w:rPr>
        <w:t>5</w:t>
      </w:r>
      <w:r w:rsidRPr="00676A9B">
        <w:rPr>
          <w:rFonts w:ascii="Arial" w:eastAsia="Calibri" w:hAnsi="Arial" w:cs="Arial"/>
          <w:sz w:val="20"/>
          <w:szCs w:val="20"/>
        </w:rPr>
        <w:t>. godinu ukupno 140.000 € i to:</w:t>
      </w:r>
    </w:p>
    <w:p w14:paraId="29D12CA6" w14:textId="61DAB4C0"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 za institucionalnu djelatnost Zajednice sportova Općine Konavle </w:t>
      </w:r>
      <w:r w:rsidR="002F6ACC">
        <w:rPr>
          <w:rFonts w:ascii="Arial" w:eastAsia="Calibri" w:hAnsi="Arial" w:cs="Arial"/>
          <w:sz w:val="20"/>
          <w:szCs w:val="20"/>
        </w:rPr>
        <w:t>2</w:t>
      </w:r>
      <w:r w:rsidRPr="00676A9B">
        <w:rPr>
          <w:rFonts w:ascii="Arial" w:eastAsia="Calibri" w:hAnsi="Arial" w:cs="Arial"/>
          <w:sz w:val="20"/>
          <w:szCs w:val="20"/>
        </w:rPr>
        <w:t xml:space="preserve">5.000 €| i </w:t>
      </w:r>
    </w:p>
    <w:p w14:paraId="58AAB385" w14:textId="019804C3"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 za financijske potpore (donacije) sportskim klubovima učlanjenim u zajednicu 1</w:t>
      </w:r>
      <w:r w:rsidR="00474800">
        <w:rPr>
          <w:rFonts w:ascii="Arial" w:eastAsia="Calibri" w:hAnsi="Arial" w:cs="Arial"/>
          <w:sz w:val="20"/>
          <w:szCs w:val="20"/>
        </w:rPr>
        <w:t>15</w:t>
      </w:r>
      <w:r w:rsidRPr="00676A9B">
        <w:rPr>
          <w:rFonts w:ascii="Arial" w:eastAsia="Calibri" w:hAnsi="Arial" w:cs="Arial"/>
          <w:sz w:val="20"/>
          <w:szCs w:val="20"/>
        </w:rPr>
        <w:t>.000 €,</w:t>
      </w:r>
    </w:p>
    <w:p w14:paraId="27B5DFA4"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 za financijske potpore (donacije) za pojedinačne sportske priredbe, manifestacije i natjecanja 25.000 €.</w:t>
      </w:r>
    </w:p>
    <w:p w14:paraId="075166C1" w14:textId="77777777" w:rsidR="00676A9B" w:rsidRPr="00676A9B" w:rsidRDefault="00676A9B" w:rsidP="00676A9B">
      <w:pPr>
        <w:spacing w:after="0" w:line="240" w:lineRule="auto"/>
        <w:jc w:val="both"/>
        <w:rPr>
          <w:rFonts w:ascii="Arial" w:eastAsia="Calibri" w:hAnsi="Arial" w:cs="Arial"/>
          <w:sz w:val="20"/>
          <w:szCs w:val="20"/>
        </w:rPr>
      </w:pPr>
    </w:p>
    <w:p w14:paraId="58DFBB3A"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Financijske potpore udrugama / klubovima učlanjenim u Zajednicu sportova se odnose na:</w:t>
      </w:r>
    </w:p>
    <w:p w14:paraId="1A1E73FE"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 funkcioniranje sustava sporta (putem jedne aktivnosti A203406 Institucionalne potpore za redovitu djelatnost udruga u sportu) </w:t>
      </w:r>
    </w:p>
    <w:p w14:paraId="1D549B89"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 treninge i natjecanja sportaša (putem dvije aktivnosti A203407 – Stručni rad u sportu, te obrazovna djelatnost u sportu) </w:t>
      </w:r>
    </w:p>
    <w:p w14:paraId="51DF9C74"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 organiziranje tradicionalnih i prigodnih sportskih priredbi i manifestacija </w:t>
      </w:r>
    </w:p>
    <w:p w14:paraId="0A81E523"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 organiziranje i sudjelovanje na domaćim i međunarodnim natjecanjima </w:t>
      </w:r>
    </w:p>
    <w:p w14:paraId="34401EC5" w14:textId="77777777" w:rsidR="00676A9B" w:rsidRPr="00676A9B" w:rsidRDefault="00676A9B" w:rsidP="00676A9B">
      <w:pPr>
        <w:spacing w:after="0" w:line="240" w:lineRule="auto"/>
        <w:jc w:val="both"/>
        <w:rPr>
          <w:rFonts w:ascii="Arial" w:eastAsia="Calibri" w:hAnsi="Arial" w:cs="Arial"/>
          <w:sz w:val="20"/>
          <w:szCs w:val="20"/>
        </w:rPr>
      </w:pPr>
    </w:p>
    <w:p w14:paraId="1AE9481B" w14:textId="4AD2482C"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Za financiranje aktivnosti u sportu Općine Konavle i to </w:t>
      </w:r>
      <w:r w:rsidRPr="00676A9B">
        <w:rPr>
          <w:rFonts w:ascii="Arial" w:eastAsia="Calibri" w:hAnsi="Arial" w:cs="Arial"/>
          <w:sz w:val="20"/>
          <w:szCs w:val="20"/>
          <w:u w:val="single"/>
        </w:rPr>
        <w:t>putem Općine</w:t>
      </w:r>
      <w:r w:rsidRPr="00676A9B">
        <w:rPr>
          <w:rFonts w:ascii="Arial" w:eastAsia="Calibri" w:hAnsi="Arial" w:cs="Arial"/>
          <w:sz w:val="20"/>
          <w:szCs w:val="20"/>
        </w:rPr>
        <w:t xml:space="preserve"> je planirano </w:t>
      </w:r>
      <w:r w:rsidR="00474800">
        <w:rPr>
          <w:rFonts w:ascii="Arial" w:eastAsia="Calibri" w:hAnsi="Arial" w:cs="Arial"/>
          <w:sz w:val="20"/>
          <w:szCs w:val="20"/>
        </w:rPr>
        <w:t>20.000</w:t>
      </w:r>
      <w:r w:rsidRPr="00676A9B">
        <w:rPr>
          <w:rFonts w:ascii="Arial" w:eastAsia="Calibri" w:hAnsi="Arial" w:cs="Arial"/>
          <w:sz w:val="20"/>
          <w:szCs w:val="20"/>
        </w:rPr>
        <w:t xml:space="preserve"> € i to:</w:t>
      </w:r>
    </w:p>
    <w:p w14:paraId="027FF3CD" w14:textId="0A14278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 za izvannastavne i školske aktivnosti putem osnovnih škola, vrtića i društava izravno povezanih s provedbom ovih aktivnosti</w:t>
      </w:r>
      <w:r w:rsidR="00474800">
        <w:rPr>
          <w:rFonts w:ascii="Arial" w:eastAsia="Calibri" w:hAnsi="Arial" w:cs="Arial"/>
          <w:sz w:val="20"/>
          <w:szCs w:val="20"/>
        </w:rPr>
        <w:t>.</w:t>
      </w:r>
    </w:p>
    <w:p w14:paraId="26681DEF" w14:textId="77777777" w:rsidR="00676A9B" w:rsidRPr="00676A9B" w:rsidRDefault="00676A9B" w:rsidP="00676A9B">
      <w:pPr>
        <w:spacing w:after="0" w:line="240" w:lineRule="auto"/>
        <w:jc w:val="both"/>
        <w:rPr>
          <w:rFonts w:ascii="Arial" w:eastAsia="Calibri" w:hAnsi="Arial" w:cs="Arial"/>
          <w:sz w:val="20"/>
          <w:szCs w:val="20"/>
          <w:lang w:eastAsia="en-US"/>
        </w:rPr>
      </w:pPr>
    </w:p>
    <w:p w14:paraId="035130E4" w14:textId="4CE5BEB1"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Ukupno planirana sredstva na razini programa iznose </w:t>
      </w:r>
      <w:r w:rsidR="00474800">
        <w:rPr>
          <w:rFonts w:ascii="Arial" w:eastAsia="Calibri" w:hAnsi="Arial" w:cs="Arial"/>
          <w:sz w:val="20"/>
          <w:szCs w:val="20"/>
          <w:lang w:eastAsia="en-US"/>
        </w:rPr>
        <w:t>185.000</w:t>
      </w:r>
      <w:r w:rsidRPr="00676A9B">
        <w:rPr>
          <w:rFonts w:ascii="Arial" w:eastAsia="Calibri" w:hAnsi="Arial" w:cs="Arial"/>
          <w:sz w:val="20"/>
          <w:szCs w:val="20"/>
          <w:lang w:eastAsia="en-US"/>
        </w:rPr>
        <w:t xml:space="preserve"> € za 202</w:t>
      </w:r>
      <w:r w:rsidR="00474800">
        <w:rPr>
          <w:rFonts w:ascii="Arial" w:eastAsia="Calibri" w:hAnsi="Arial" w:cs="Arial"/>
          <w:sz w:val="20"/>
          <w:szCs w:val="20"/>
          <w:lang w:eastAsia="en-US"/>
        </w:rPr>
        <w:t>5</w:t>
      </w:r>
      <w:r w:rsidRPr="00676A9B">
        <w:rPr>
          <w:rFonts w:ascii="Arial" w:eastAsia="Calibri" w:hAnsi="Arial" w:cs="Arial"/>
          <w:sz w:val="20"/>
          <w:szCs w:val="20"/>
          <w:lang w:eastAsia="en-US"/>
        </w:rPr>
        <w:t>. godinu, te 166.000 € za 2025. godinu i 186.000 € za 2026. godinu.</w:t>
      </w:r>
    </w:p>
    <w:p w14:paraId="5CCD4935" w14:textId="77777777" w:rsidR="00676A9B" w:rsidRPr="00676A9B" w:rsidRDefault="00676A9B" w:rsidP="00676A9B">
      <w:pPr>
        <w:spacing w:after="0" w:line="240" w:lineRule="auto"/>
        <w:jc w:val="both"/>
        <w:rPr>
          <w:rFonts w:ascii="Arial" w:eastAsia="Calibri" w:hAnsi="Arial" w:cs="Arial"/>
          <w:sz w:val="20"/>
          <w:szCs w:val="20"/>
          <w:lang w:eastAsia="en-US"/>
        </w:rPr>
      </w:pPr>
    </w:p>
    <w:p w14:paraId="4A7E60CE" w14:textId="7EF89881"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Program za 202</w:t>
      </w:r>
      <w:r w:rsidR="00474800">
        <w:rPr>
          <w:rFonts w:ascii="Arial" w:eastAsia="Calibri" w:hAnsi="Arial" w:cs="Arial"/>
          <w:sz w:val="20"/>
          <w:szCs w:val="20"/>
          <w:lang w:eastAsia="en-US"/>
        </w:rPr>
        <w:t>5</w:t>
      </w:r>
      <w:r w:rsidRPr="00676A9B">
        <w:rPr>
          <w:rFonts w:ascii="Arial" w:eastAsia="Calibri" w:hAnsi="Arial" w:cs="Arial"/>
          <w:sz w:val="20"/>
          <w:szCs w:val="20"/>
          <w:lang w:eastAsia="en-US"/>
        </w:rPr>
        <w:t xml:space="preserve">. je izvršen u iznosu </w:t>
      </w:r>
      <w:r w:rsidR="00474800">
        <w:rPr>
          <w:rFonts w:ascii="Arial" w:eastAsia="Calibri" w:hAnsi="Arial" w:cs="Arial"/>
          <w:sz w:val="20"/>
          <w:szCs w:val="20"/>
          <w:lang w:eastAsia="en-US"/>
        </w:rPr>
        <w:t>165.000</w:t>
      </w:r>
      <w:r w:rsidRPr="00676A9B">
        <w:rPr>
          <w:rFonts w:ascii="Arial" w:eastAsia="Calibri" w:hAnsi="Arial" w:cs="Arial"/>
          <w:sz w:val="20"/>
          <w:szCs w:val="20"/>
          <w:lang w:eastAsia="en-US"/>
        </w:rPr>
        <w:t xml:space="preserve"> € ili </w:t>
      </w:r>
      <w:r w:rsidR="00474800">
        <w:rPr>
          <w:rFonts w:ascii="Arial" w:eastAsia="Calibri" w:hAnsi="Arial" w:cs="Arial"/>
          <w:sz w:val="20"/>
          <w:szCs w:val="20"/>
          <w:lang w:eastAsia="en-US"/>
        </w:rPr>
        <w:t>89,2</w:t>
      </w:r>
      <w:r w:rsidRPr="00676A9B">
        <w:rPr>
          <w:rFonts w:ascii="Arial" w:eastAsia="Calibri" w:hAnsi="Arial" w:cs="Arial"/>
          <w:sz w:val="20"/>
          <w:szCs w:val="20"/>
          <w:lang w:eastAsia="en-US"/>
        </w:rPr>
        <w:t xml:space="preserve">%. </w:t>
      </w:r>
    </w:p>
    <w:p w14:paraId="6D54948D" w14:textId="77777777" w:rsidR="00676A9B" w:rsidRPr="00676A9B" w:rsidRDefault="00676A9B" w:rsidP="0093722B">
      <w:pPr>
        <w:autoSpaceDE w:val="0"/>
        <w:autoSpaceDN w:val="0"/>
        <w:adjustRightInd w:val="0"/>
        <w:spacing w:after="0" w:line="240" w:lineRule="auto"/>
        <w:jc w:val="both"/>
        <w:rPr>
          <w:rFonts w:ascii="Arial" w:eastAsia="Calibri" w:hAnsi="Arial" w:cs="Arial"/>
          <w:sz w:val="20"/>
          <w:szCs w:val="20"/>
          <w:lang w:eastAsia="en-US"/>
        </w:rPr>
      </w:pPr>
    </w:p>
    <w:p w14:paraId="60D3DDA1"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676A9B">
        <w:rPr>
          <w:rFonts w:ascii="Arial" w:eastAsia="Calibri" w:hAnsi="Arial" w:cs="Arial"/>
          <w:b/>
          <w:sz w:val="20"/>
          <w:szCs w:val="20"/>
          <w:lang w:eastAsia="en-US"/>
        </w:rPr>
        <w:t>Obrazloženje aktivnosti / projekata i pokazatelji uspješnosti</w:t>
      </w:r>
    </w:p>
    <w:p w14:paraId="3AEA65CC" w14:textId="77777777" w:rsidR="00676A9B" w:rsidRPr="00676A9B" w:rsidRDefault="00676A9B" w:rsidP="0093722B">
      <w:pPr>
        <w:spacing w:after="0" w:line="240" w:lineRule="auto"/>
        <w:jc w:val="both"/>
        <w:rPr>
          <w:rFonts w:ascii="Arial" w:eastAsia="Calibri" w:hAnsi="Arial" w:cs="Arial"/>
          <w:sz w:val="20"/>
          <w:szCs w:val="20"/>
          <w:lang w:eastAsia="en-US"/>
        </w:rPr>
      </w:pPr>
    </w:p>
    <w:p w14:paraId="4D5003B2" w14:textId="77777777" w:rsidR="00676A9B" w:rsidRPr="00676A9B" w:rsidRDefault="00676A9B" w:rsidP="00676A9B">
      <w:pPr>
        <w:spacing w:after="0" w:line="240" w:lineRule="auto"/>
        <w:ind w:left="708" w:firstLine="708"/>
        <w:jc w:val="both"/>
        <w:rPr>
          <w:rFonts w:ascii="Arial" w:eastAsia="Calibri" w:hAnsi="Arial" w:cs="Arial"/>
          <w:b/>
          <w:sz w:val="20"/>
          <w:szCs w:val="20"/>
          <w:u w:val="single"/>
          <w:lang w:eastAsia="en-US"/>
        </w:rPr>
      </w:pPr>
      <w:r w:rsidRPr="00676A9B">
        <w:rPr>
          <w:rFonts w:ascii="Arial" w:eastAsia="Calibri" w:hAnsi="Arial" w:cs="Arial"/>
          <w:b/>
          <w:sz w:val="20"/>
          <w:szCs w:val="20"/>
          <w:u w:val="single"/>
          <w:lang w:eastAsia="en-US"/>
        </w:rPr>
        <w:t>a)</w:t>
      </w:r>
      <w:r w:rsidRPr="00676A9B">
        <w:rPr>
          <w:rFonts w:ascii="Arial" w:eastAsia="Calibri" w:hAnsi="Arial" w:cs="Arial"/>
          <w:b/>
          <w:sz w:val="20"/>
          <w:szCs w:val="20"/>
          <w:u w:val="single"/>
          <w:lang w:eastAsia="en-US"/>
        </w:rPr>
        <w:tab/>
        <w:t>Aktivnosti koje se financiraju izravno iz proračuna Općine</w:t>
      </w:r>
    </w:p>
    <w:p w14:paraId="11AAB389" w14:textId="77777777" w:rsidR="00676A9B" w:rsidRPr="00676A9B" w:rsidRDefault="00676A9B" w:rsidP="00676A9B">
      <w:pPr>
        <w:autoSpaceDE w:val="0"/>
        <w:autoSpaceDN w:val="0"/>
        <w:adjustRightInd w:val="0"/>
        <w:spacing w:after="0" w:line="240" w:lineRule="auto"/>
        <w:jc w:val="both"/>
        <w:rPr>
          <w:rFonts w:ascii="Arial" w:eastAsia="Calibri" w:hAnsi="Arial" w:cs="Arial"/>
          <w:b/>
          <w:sz w:val="20"/>
          <w:szCs w:val="20"/>
          <w:lang w:eastAsia="en-US"/>
        </w:rPr>
      </w:pPr>
    </w:p>
    <w:p w14:paraId="241ACE43" w14:textId="33679DA2" w:rsidR="00474800" w:rsidRPr="00474800" w:rsidRDefault="00676A9B">
      <w:pPr>
        <w:pStyle w:val="Odlomakpopisa"/>
        <w:numPr>
          <w:ilvl w:val="0"/>
          <w:numId w:val="60"/>
        </w:numPr>
        <w:autoSpaceDE w:val="0"/>
        <w:autoSpaceDN w:val="0"/>
        <w:adjustRightInd w:val="0"/>
        <w:ind w:left="284" w:hanging="284"/>
        <w:rPr>
          <w:rFonts w:ascii="Arial" w:eastAsia="Calibri" w:hAnsi="Arial" w:cs="Arial"/>
        </w:rPr>
      </w:pPr>
      <w:r w:rsidRPr="00474800">
        <w:rPr>
          <w:rFonts w:ascii="Arial" w:eastAsia="Calibri" w:hAnsi="Arial" w:cs="Arial"/>
          <w:b/>
        </w:rPr>
        <w:t xml:space="preserve">A203401: Najmovi zemljišta i objekata za sportsku djelatnost </w:t>
      </w:r>
      <w:r w:rsidR="00474800" w:rsidRPr="00474800">
        <w:rPr>
          <w:rFonts w:ascii="Arial" w:eastAsia="Calibri" w:hAnsi="Arial" w:cs="Arial"/>
        </w:rPr>
        <w:t>–</w:t>
      </w:r>
      <w:r w:rsidRPr="00474800">
        <w:rPr>
          <w:rFonts w:ascii="Arial" w:eastAsia="Calibri" w:hAnsi="Arial" w:cs="Arial"/>
        </w:rPr>
        <w:t xml:space="preserve"> </w:t>
      </w:r>
      <w:r w:rsidR="00474800" w:rsidRPr="00474800">
        <w:rPr>
          <w:rFonts w:ascii="Arial" w:eastAsia="Calibri" w:hAnsi="Arial" w:cs="Arial"/>
        </w:rPr>
        <w:t xml:space="preserve">Rashodi za najmove zemljišta nisu planirani. </w:t>
      </w:r>
    </w:p>
    <w:p w14:paraId="5CB64983" w14:textId="30B82972" w:rsidR="00676A9B" w:rsidRDefault="00676A9B" w:rsidP="0093722B">
      <w:pPr>
        <w:autoSpaceDE w:val="0"/>
        <w:autoSpaceDN w:val="0"/>
        <w:adjustRightInd w:val="0"/>
        <w:spacing w:after="0" w:line="240" w:lineRule="auto"/>
        <w:ind w:left="284"/>
        <w:rPr>
          <w:rFonts w:ascii="Arial" w:eastAsia="Calibri" w:hAnsi="Arial" w:cs="Arial"/>
          <w:sz w:val="18"/>
          <w:szCs w:val="18"/>
        </w:rPr>
      </w:pPr>
      <w:r w:rsidRPr="00474800">
        <w:rPr>
          <w:rFonts w:ascii="Arial" w:eastAsia="Calibri" w:hAnsi="Arial" w:cs="Arial"/>
          <w:sz w:val="18"/>
          <w:szCs w:val="18"/>
        </w:rPr>
        <w:t>Ugovor se ranijih godina zaključivao s fizičkim osobama za najam igrališta Tiha u Cavtatu (neto prosječna plaća u RH za prethodnu godinu x 12 mjeseci ).</w:t>
      </w:r>
    </w:p>
    <w:p w14:paraId="20AD0B43" w14:textId="77777777" w:rsidR="0093722B" w:rsidRDefault="0093722B" w:rsidP="00676A9B">
      <w:pPr>
        <w:autoSpaceDE w:val="0"/>
        <w:autoSpaceDN w:val="0"/>
        <w:adjustRightInd w:val="0"/>
        <w:spacing w:after="0" w:line="240" w:lineRule="auto"/>
        <w:jc w:val="both"/>
        <w:rPr>
          <w:rFonts w:ascii="Arial" w:eastAsia="Calibri" w:hAnsi="Arial" w:cs="Arial"/>
          <w:b/>
          <w:sz w:val="20"/>
          <w:szCs w:val="20"/>
          <w:lang w:eastAsia="en-US"/>
        </w:rPr>
      </w:pPr>
    </w:p>
    <w:p w14:paraId="51D66C46" w14:textId="6B1C70EF"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2. A203403: Program poticanja predškolskih, školskih i izvannastavnih školskih sportskih aktivnosti </w:t>
      </w:r>
      <w:r w:rsidRPr="00676A9B">
        <w:rPr>
          <w:rFonts w:ascii="Arial" w:eastAsia="Calibri" w:hAnsi="Arial" w:cs="Arial"/>
          <w:sz w:val="20"/>
          <w:szCs w:val="20"/>
          <w:lang w:eastAsia="en-US"/>
        </w:rPr>
        <w:t xml:space="preserve">– Proračunska sredstva prvotno planirana u iznosu </w:t>
      </w:r>
      <w:r w:rsidR="0093722B">
        <w:rPr>
          <w:rFonts w:ascii="Arial" w:eastAsia="Calibri" w:hAnsi="Arial" w:cs="Arial"/>
          <w:sz w:val="20"/>
          <w:szCs w:val="20"/>
          <w:lang w:eastAsia="en-US"/>
        </w:rPr>
        <w:t>20.000</w:t>
      </w:r>
      <w:r w:rsidRPr="00676A9B">
        <w:rPr>
          <w:rFonts w:ascii="Arial" w:eastAsia="Calibri" w:hAnsi="Arial" w:cs="Arial"/>
          <w:sz w:val="20"/>
          <w:szCs w:val="20"/>
          <w:lang w:eastAsia="en-US"/>
        </w:rPr>
        <w:t xml:space="preserve"> €. Rashodi </w:t>
      </w:r>
      <w:r w:rsidR="0093722B">
        <w:rPr>
          <w:rFonts w:ascii="Arial" w:eastAsia="Calibri" w:hAnsi="Arial" w:cs="Arial"/>
          <w:sz w:val="20"/>
          <w:szCs w:val="20"/>
          <w:lang w:eastAsia="en-US"/>
        </w:rPr>
        <w:t>ni</w:t>
      </w:r>
      <w:r w:rsidRPr="00676A9B">
        <w:rPr>
          <w:rFonts w:ascii="Arial" w:eastAsia="Calibri" w:hAnsi="Arial" w:cs="Arial"/>
          <w:sz w:val="20"/>
          <w:szCs w:val="20"/>
          <w:lang w:eastAsia="en-US"/>
        </w:rPr>
        <w:t>su izvršeni</w:t>
      </w:r>
      <w:r w:rsidR="0093722B">
        <w:rPr>
          <w:rFonts w:ascii="Arial" w:eastAsia="Calibri" w:hAnsi="Arial" w:cs="Arial"/>
          <w:sz w:val="20"/>
          <w:szCs w:val="20"/>
          <w:lang w:eastAsia="en-US"/>
        </w:rPr>
        <w:t xml:space="preserve">. Prethodne godine su bili izvršeni </w:t>
      </w:r>
      <w:r w:rsidRPr="00676A9B">
        <w:rPr>
          <w:rFonts w:ascii="Arial" w:eastAsia="Calibri" w:hAnsi="Arial" w:cs="Arial"/>
          <w:sz w:val="20"/>
          <w:szCs w:val="20"/>
          <w:lang w:eastAsia="en-US"/>
        </w:rPr>
        <w:t xml:space="preserve">prijenosi osnovnoj školi Gruda 1.300 € i osnovnoj školi Cavtat 1.300 € na temelju ugovora za izvannastavne školske aktivnosti. </w:t>
      </w:r>
    </w:p>
    <w:p w14:paraId="2A04979E" w14:textId="77777777" w:rsidR="00676A9B" w:rsidRDefault="00676A9B" w:rsidP="00676A9B">
      <w:pPr>
        <w:spacing w:after="0" w:line="240" w:lineRule="auto"/>
        <w:jc w:val="both"/>
        <w:rPr>
          <w:rFonts w:ascii="Arial" w:eastAsia="Calibri" w:hAnsi="Arial" w:cs="Arial"/>
          <w:b/>
          <w:sz w:val="20"/>
          <w:szCs w:val="20"/>
          <w:u w:val="single"/>
          <w:lang w:eastAsia="en-US"/>
        </w:rPr>
      </w:pPr>
    </w:p>
    <w:p w14:paraId="79FFC372" w14:textId="77777777" w:rsidR="0093722B" w:rsidRDefault="0093722B" w:rsidP="00676A9B">
      <w:pPr>
        <w:spacing w:after="0" w:line="240" w:lineRule="auto"/>
        <w:jc w:val="both"/>
        <w:rPr>
          <w:rFonts w:ascii="Arial" w:eastAsia="Calibri" w:hAnsi="Arial" w:cs="Arial"/>
          <w:b/>
          <w:sz w:val="20"/>
          <w:szCs w:val="20"/>
          <w:u w:val="single"/>
          <w:lang w:eastAsia="en-US"/>
        </w:rPr>
      </w:pPr>
    </w:p>
    <w:p w14:paraId="0758CB51" w14:textId="77777777" w:rsidR="0093722B" w:rsidRDefault="0093722B" w:rsidP="00676A9B">
      <w:pPr>
        <w:spacing w:after="0" w:line="240" w:lineRule="auto"/>
        <w:jc w:val="both"/>
        <w:rPr>
          <w:rFonts w:ascii="Arial" w:eastAsia="Calibri" w:hAnsi="Arial" w:cs="Arial"/>
          <w:b/>
          <w:sz w:val="20"/>
          <w:szCs w:val="20"/>
          <w:u w:val="single"/>
          <w:lang w:eastAsia="en-US"/>
        </w:rPr>
      </w:pPr>
    </w:p>
    <w:p w14:paraId="6B5BA768" w14:textId="77777777" w:rsidR="0093722B" w:rsidRDefault="0093722B" w:rsidP="00676A9B">
      <w:pPr>
        <w:spacing w:after="0" w:line="240" w:lineRule="auto"/>
        <w:jc w:val="both"/>
        <w:rPr>
          <w:rFonts w:ascii="Arial" w:eastAsia="Calibri" w:hAnsi="Arial" w:cs="Arial"/>
          <w:b/>
          <w:sz w:val="20"/>
          <w:szCs w:val="20"/>
          <w:u w:val="single"/>
          <w:lang w:eastAsia="en-US"/>
        </w:rPr>
      </w:pPr>
    </w:p>
    <w:p w14:paraId="3D4ABF74" w14:textId="77777777" w:rsidR="0093722B" w:rsidRPr="00676A9B" w:rsidRDefault="0093722B" w:rsidP="00676A9B">
      <w:pPr>
        <w:spacing w:after="0" w:line="240" w:lineRule="auto"/>
        <w:jc w:val="both"/>
        <w:rPr>
          <w:rFonts w:ascii="Arial" w:eastAsia="Calibri" w:hAnsi="Arial" w:cs="Arial"/>
          <w:b/>
          <w:sz w:val="20"/>
          <w:szCs w:val="20"/>
          <w:u w:val="single"/>
          <w:lang w:eastAsia="en-US"/>
        </w:rPr>
      </w:pPr>
    </w:p>
    <w:tbl>
      <w:tblPr>
        <w:tblStyle w:val="Reetkatablice536"/>
        <w:tblW w:w="14029" w:type="dxa"/>
        <w:jc w:val="center"/>
        <w:tblLayout w:type="fixed"/>
        <w:tblLook w:val="04A0" w:firstRow="1" w:lastRow="0" w:firstColumn="1" w:lastColumn="0" w:noHBand="0" w:noVBand="1"/>
      </w:tblPr>
      <w:tblGrid>
        <w:gridCol w:w="2405"/>
        <w:gridCol w:w="3544"/>
        <w:gridCol w:w="1417"/>
        <w:gridCol w:w="1134"/>
        <w:gridCol w:w="993"/>
        <w:gridCol w:w="1134"/>
        <w:gridCol w:w="1134"/>
        <w:gridCol w:w="1134"/>
        <w:gridCol w:w="1134"/>
      </w:tblGrid>
      <w:tr w:rsidR="00676A9B" w:rsidRPr="00676A9B" w14:paraId="15E85B7F" w14:textId="77777777" w:rsidTr="00410A4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D39483E"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lastRenderedPageBreak/>
              <w:t>Pokazatelj rezultata</w:t>
            </w:r>
          </w:p>
        </w:tc>
        <w:tc>
          <w:tcPr>
            <w:tcW w:w="354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9951CB5"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87B2FB6"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8E2186E"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9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4D02076" w14:textId="61978984"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93722B">
              <w:rPr>
                <w:rFonts w:ascii="Arial" w:eastAsia="Calibri" w:hAnsi="Arial" w:cs="Arial"/>
                <w:lang w:eastAsia="en-US"/>
              </w:rPr>
              <w:t>4</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F7A02F1" w14:textId="6847A425"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93722B">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6CFBA9B" w14:textId="4DAD5E98"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93722B">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A36AB18" w14:textId="5D828698"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93722B">
              <w:rPr>
                <w:rFonts w:ascii="Arial" w:eastAsia="Calibri" w:hAnsi="Arial" w:cs="Arial"/>
                <w:lang w:eastAsia="en-US"/>
              </w:rPr>
              <w:t>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E4E88F1" w14:textId="07467679"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93722B">
              <w:rPr>
                <w:rFonts w:ascii="Arial" w:eastAsia="Calibri" w:hAnsi="Arial" w:cs="Arial"/>
                <w:lang w:eastAsia="en-US"/>
              </w:rPr>
              <w:t>7</w:t>
            </w:r>
            <w:r w:rsidRPr="00676A9B">
              <w:rPr>
                <w:rFonts w:ascii="Arial" w:eastAsia="Calibri" w:hAnsi="Arial" w:cs="Arial"/>
                <w:lang w:eastAsia="en-US"/>
              </w:rPr>
              <w:t>.</w:t>
            </w:r>
          </w:p>
        </w:tc>
      </w:tr>
      <w:tr w:rsidR="00676A9B" w:rsidRPr="00676A9B" w14:paraId="2CCA049D" w14:textId="77777777" w:rsidTr="00410A4B">
        <w:trPr>
          <w:trHeight w:val="274"/>
          <w:jc w:val="center"/>
        </w:trPr>
        <w:tc>
          <w:tcPr>
            <w:tcW w:w="2405" w:type="dxa"/>
            <w:tcBorders>
              <w:top w:val="single" w:sz="4" w:space="0" w:color="auto"/>
              <w:left w:val="single" w:sz="4" w:space="0" w:color="auto"/>
              <w:bottom w:val="single" w:sz="4" w:space="0" w:color="auto"/>
              <w:right w:val="single" w:sz="4" w:space="0" w:color="auto"/>
            </w:tcBorders>
          </w:tcPr>
          <w:p w14:paraId="0E0AD7BA" w14:textId="77777777" w:rsidR="00676A9B" w:rsidRPr="00676A9B" w:rsidRDefault="00676A9B" w:rsidP="00676A9B">
            <w:pPr>
              <w:jc w:val="both"/>
              <w:rPr>
                <w:rFonts w:ascii="Arial" w:eastAsia="Calibri" w:hAnsi="Arial" w:cs="Arial"/>
                <w:lang w:eastAsia="en-US"/>
              </w:rPr>
            </w:pPr>
            <w:r w:rsidRPr="00676A9B">
              <w:rPr>
                <w:rFonts w:ascii="Arial" w:hAnsi="Arial" w:cs="Arial"/>
              </w:rPr>
              <w:t>Obavljanje poslova i postupka vezanih uz financiranje programa i projekata udruga</w:t>
            </w:r>
          </w:p>
        </w:tc>
        <w:tc>
          <w:tcPr>
            <w:tcW w:w="3544" w:type="dxa"/>
            <w:tcBorders>
              <w:top w:val="single" w:sz="4" w:space="0" w:color="auto"/>
              <w:left w:val="single" w:sz="4" w:space="0" w:color="auto"/>
              <w:bottom w:val="single" w:sz="4" w:space="0" w:color="auto"/>
              <w:right w:val="single" w:sz="4" w:space="0" w:color="auto"/>
            </w:tcBorders>
          </w:tcPr>
          <w:p w14:paraId="5102C413" w14:textId="77777777" w:rsidR="00676A9B" w:rsidRPr="00676A9B" w:rsidRDefault="00676A9B" w:rsidP="00676A9B">
            <w:pPr>
              <w:autoSpaceDE w:val="0"/>
              <w:autoSpaceDN w:val="0"/>
              <w:adjustRightInd w:val="0"/>
              <w:jc w:val="center"/>
              <w:rPr>
                <w:rFonts w:ascii="Arial" w:eastAsia="Calibri" w:hAnsi="Arial" w:cs="Arial"/>
                <w:lang w:eastAsia="en-US"/>
              </w:rPr>
            </w:pPr>
            <w:r w:rsidRPr="00676A9B">
              <w:rPr>
                <w:rFonts w:ascii="Arial" w:hAnsi="Arial" w:cs="Arial"/>
              </w:rPr>
              <w:t xml:space="preserve">Dodjelom sredstava omogućava se financiranje programa i projekata koji provode ustanove iz područja sportskih izvannastavnih aktivnosti </w:t>
            </w:r>
          </w:p>
        </w:tc>
        <w:tc>
          <w:tcPr>
            <w:tcW w:w="1417" w:type="dxa"/>
            <w:tcBorders>
              <w:top w:val="single" w:sz="4" w:space="0" w:color="auto"/>
              <w:left w:val="single" w:sz="4" w:space="0" w:color="auto"/>
              <w:bottom w:val="single" w:sz="4" w:space="0" w:color="auto"/>
              <w:right w:val="single" w:sz="4" w:space="0" w:color="auto"/>
            </w:tcBorders>
            <w:vAlign w:val="center"/>
          </w:tcPr>
          <w:p w14:paraId="7228EE02" w14:textId="77777777" w:rsidR="00676A9B" w:rsidRPr="00676A9B" w:rsidRDefault="00676A9B" w:rsidP="00676A9B">
            <w:pPr>
              <w:jc w:val="center"/>
              <w:rPr>
                <w:rFonts w:ascii="Arial" w:hAnsi="Arial" w:cs="Arial"/>
              </w:rPr>
            </w:pPr>
            <w:r w:rsidRPr="00676A9B">
              <w:rPr>
                <w:rFonts w:ascii="Arial" w:hAnsi="Arial" w:cs="Arial"/>
              </w:rPr>
              <w:t xml:space="preserve">Broj zaključenih ugovora </w:t>
            </w:r>
          </w:p>
          <w:p w14:paraId="273FAC27" w14:textId="77777777" w:rsidR="00676A9B" w:rsidRPr="00676A9B" w:rsidRDefault="00676A9B" w:rsidP="00676A9B">
            <w:pPr>
              <w:autoSpaceDE w:val="0"/>
              <w:autoSpaceDN w:val="0"/>
              <w:adjustRightInd w:val="0"/>
              <w:jc w:val="center"/>
              <w:rPr>
                <w:rFonts w:ascii="Arial" w:eastAsia="Calibri" w:hAnsi="Arial" w:cs="Arial"/>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0BC1D86" w14:textId="77777777" w:rsidR="00676A9B" w:rsidRPr="00676A9B" w:rsidRDefault="00676A9B" w:rsidP="00676A9B">
            <w:pPr>
              <w:jc w:val="center"/>
              <w:rPr>
                <w:rFonts w:ascii="Arial" w:hAnsi="Arial" w:cs="Arial"/>
                <w:lang w:eastAsia="en-US"/>
              </w:rPr>
            </w:pPr>
            <w:r w:rsidRPr="00676A9B">
              <w:rPr>
                <w:rFonts w:ascii="Arial" w:hAnsi="Arial" w:cs="Arial"/>
                <w:lang w:eastAsia="en-US"/>
              </w:rPr>
              <w:t>Općina</w:t>
            </w:r>
          </w:p>
        </w:tc>
        <w:tc>
          <w:tcPr>
            <w:tcW w:w="993" w:type="dxa"/>
            <w:tcBorders>
              <w:top w:val="single" w:sz="4" w:space="0" w:color="000000"/>
              <w:left w:val="single" w:sz="4" w:space="0" w:color="000000"/>
              <w:bottom w:val="single" w:sz="4" w:space="0" w:color="000000"/>
              <w:right w:val="single" w:sz="4" w:space="0" w:color="000000"/>
            </w:tcBorders>
            <w:vAlign w:val="center"/>
          </w:tcPr>
          <w:p w14:paraId="5BC570D9" w14:textId="5039FF66" w:rsidR="00676A9B" w:rsidRPr="00676A9B" w:rsidRDefault="0093722B" w:rsidP="00676A9B">
            <w:pPr>
              <w:jc w:val="center"/>
              <w:rPr>
                <w:rFonts w:ascii="Arial" w:hAnsi="Arial" w:cs="Arial"/>
                <w:lang w:eastAsia="en-US"/>
              </w:rPr>
            </w:pPr>
            <w:r>
              <w:rPr>
                <w:rFonts w:ascii="Arial" w:hAnsi="Arial" w:cs="Arial"/>
                <w:lang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0872680" w14:textId="4EC6F657" w:rsidR="00676A9B" w:rsidRPr="00676A9B" w:rsidRDefault="0093722B" w:rsidP="00676A9B">
            <w:pPr>
              <w:jc w:val="center"/>
              <w:rPr>
                <w:rFonts w:ascii="Arial" w:hAnsi="Arial" w:cs="Arial"/>
                <w:lang w:eastAsia="en-US"/>
              </w:rPr>
            </w:pPr>
            <w:r>
              <w:rPr>
                <w:rFonts w:ascii="Arial" w:hAnsi="Arial" w:cs="Arial"/>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1BDCC508" w14:textId="13BEBC12" w:rsidR="00676A9B" w:rsidRPr="00676A9B" w:rsidRDefault="0093722B" w:rsidP="00676A9B">
            <w:pPr>
              <w:jc w:val="center"/>
              <w:rPr>
                <w:rFonts w:ascii="Arial" w:hAnsi="Arial" w:cs="Arial"/>
                <w:lang w:eastAsia="en-US"/>
              </w:rPr>
            </w:pPr>
            <w:r>
              <w:rPr>
                <w:rFonts w:ascii="Arial"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F7F9726" w14:textId="77777777" w:rsidR="00676A9B" w:rsidRPr="00676A9B" w:rsidRDefault="00676A9B" w:rsidP="00676A9B">
            <w:pPr>
              <w:jc w:val="center"/>
              <w:rPr>
                <w:rFonts w:ascii="Arial" w:hAnsi="Arial" w:cs="Arial"/>
                <w:lang w:eastAsia="en-US"/>
              </w:rPr>
            </w:pPr>
            <w:r w:rsidRPr="00676A9B">
              <w:rPr>
                <w:rFonts w:ascii="Arial" w:hAnsi="Arial" w:cs="Arial"/>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5CD68570" w14:textId="77777777" w:rsidR="00676A9B" w:rsidRPr="00676A9B" w:rsidRDefault="00676A9B" w:rsidP="00676A9B">
            <w:pPr>
              <w:jc w:val="center"/>
              <w:rPr>
                <w:rFonts w:ascii="Arial" w:hAnsi="Arial" w:cs="Arial"/>
                <w:lang w:eastAsia="en-US"/>
              </w:rPr>
            </w:pPr>
            <w:r w:rsidRPr="00676A9B">
              <w:rPr>
                <w:rFonts w:ascii="Arial" w:hAnsi="Arial" w:cs="Arial"/>
                <w:lang w:eastAsia="en-US"/>
              </w:rPr>
              <w:t>1</w:t>
            </w:r>
          </w:p>
        </w:tc>
      </w:tr>
    </w:tbl>
    <w:p w14:paraId="5D1FB63A" w14:textId="77777777" w:rsidR="00676A9B" w:rsidRPr="00676A9B" w:rsidRDefault="00676A9B" w:rsidP="00676A9B">
      <w:pPr>
        <w:spacing w:after="0" w:line="240" w:lineRule="auto"/>
        <w:jc w:val="both"/>
        <w:rPr>
          <w:rFonts w:ascii="Arial" w:eastAsia="Calibri" w:hAnsi="Arial" w:cs="Arial"/>
          <w:b/>
          <w:sz w:val="20"/>
          <w:szCs w:val="20"/>
          <w:u w:val="single"/>
          <w:lang w:eastAsia="en-US"/>
        </w:rPr>
      </w:pPr>
    </w:p>
    <w:p w14:paraId="249EBBF1" w14:textId="77777777" w:rsidR="00676A9B" w:rsidRPr="00676A9B" w:rsidRDefault="00676A9B" w:rsidP="00676A9B">
      <w:pPr>
        <w:spacing w:after="0" w:line="240" w:lineRule="auto"/>
        <w:ind w:left="708" w:firstLine="708"/>
        <w:jc w:val="both"/>
        <w:rPr>
          <w:rFonts w:ascii="Arial" w:eastAsia="Calibri" w:hAnsi="Arial" w:cs="Arial"/>
          <w:b/>
          <w:sz w:val="20"/>
          <w:szCs w:val="20"/>
          <w:u w:val="single"/>
          <w:lang w:eastAsia="en-US"/>
        </w:rPr>
      </w:pPr>
      <w:r w:rsidRPr="00676A9B">
        <w:rPr>
          <w:rFonts w:ascii="Arial" w:eastAsia="Calibri" w:hAnsi="Arial" w:cs="Arial"/>
          <w:b/>
          <w:sz w:val="20"/>
          <w:szCs w:val="20"/>
          <w:u w:val="single"/>
          <w:lang w:eastAsia="en-US"/>
        </w:rPr>
        <w:t>b)</w:t>
      </w:r>
      <w:r w:rsidRPr="00676A9B">
        <w:rPr>
          <w:rFonts w:ascii="Arial" w:eastAsia="Calibri" w:hAnsi="Arial" w:cs="Arial"/>
          <w:b/>
          <w:sz w:val="20"/>
          <w:szCs w:val="20"/>
          <w:u w:val="single"/>
          <w:lang w:eastAsia="en-US"/>
        </w:rPr>
        <w:tab/>
        <w:t>Aktivnosti koje se financiraju putem Zajednice sportova Općine Konavle</w:t>
      </w:r>
    </w:p>
    <w:p w14:paraId="789CE377" w14:textId="77777777" w:rsidR="00676A9B" w:rsidRPr="00676A9B" w:rsidRDefault="00676A9B" w:rsidP="00676A9B">
      <w:pPr>
        <w:spacing w:after="0" w:line="240" w:lineRule="auto"/>
        <w:jc w:val="both"/>
        <w:rPr>
          <w:rFonts w:ascii="Arial" w:eastAsia="Calibri" w:hAnsi="Arial" w:cs="Arial"/>
          <w:sz w:val="20"/>
          <w:szCs w:val="20"/>
          <w:lang w:eastAsia="en-US"/>
        </w:rPr>
      </w:pPr>
    </w:p>
    <w:p w14:paraId="35CF410B" w14:textId="42B9A850"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3. A203402: Organiziranje tradicionalnih i prigodnih sportskih priredbi i manifestacija </w:t>
      </w:r>
      <w:r w:rsidRPr="00676A9B">
        <w:rPr>
          <w:rFonts w:ascii="Arial" w:eastAsia="Calibri" w:hAnsi="Arial" w:cs="Arial"/>
          <w:sz w:val="20"/>
          <w:szCs w:val="20"/>
          <w:lang w:eastAsia="en-US"/>
        </w:rPr>
        <w:t>- Proračunska sredstva su planirana u iznosu 5.000 €. Od 2023. godine, rashodi se izvršavaju putem Zajednice sportova. U 202</w:t>
      </w:r>
      <w:r w:rsidR="0093722B">
        <w:rPr>
          <w:rFonts w:ascii="Arial" w:eastAsia="Calibri" w:hAnsi="Arial" w:cs="Arial"/>
          <w:sz w:val="20"/>
          <w:szCs w:val="20"/>
          <w:lang w:eastAsia="en-US"/>
        </w:rPr>
        <w:t>5</w:t>
      </w:r>
      <w:r w:rsidRPr="00676A9B">
        <w:rPr>
          <w:rFonts w:ascii="Arial" w:eastAsia="Calibri" w:hAnsi="Arial" w:cs="Arial"/>
          <w:sz w:val="20"/>
          <w:szCs w:val="20"/>
          <w:lang w:eastAsia="en-US"/>
        </w:rPr>
        <w:t>. izvršeno je 5.000 €.</w:t>
      </w:r>
    </w:p>
    <w:p w14:paraId="6AFF23BA" w14:textId="77777777" w:rsidR="00676A9B" w:rsidRPr="00676A9B" w:rsidRDefault="00676A9B" w:rsidP="00676A9B">
      <w:pPr>
        <w:spacing w:after="0" w:line="240" w:lineRule="auto"/>
        <w:jc w:val="both"/>
        <w:rPr>
          <w:rFonts w:ascii="Arial" w:eastAsia="Calibri" w:hAnsi="Arial" w:cs="Arial"/>
          <w:sz w:val="20"/>
          <w:szCs w:val="20"/>
          <w:lang w:eastAsia="en-US"/>
        </w:rPr>
      </w:pPr>
    </w:p>
    <w:p w14:paraId="590A8384" w14:textId="3975FBA4"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4. A203404: Organizacija i sudjelovanje na domaćim i međunarodnim natjecanjima </w:t>
      </w:r>
      <w:r w:rsidRPr="00676A9B">
        <w:rPr>
          <w:rFonts w:ascii="Arial" w:eastAsia="Calibri" w:hAnsi="Arial" w:cs="Arial"/>
          <w:sz w:val="20"/>
          <w:szCs w:val="20"/>
          <w:lang w:eastAsia="en-US"/>
        </w:rPr>
        <w:t>– Proračunska sredstva su planirana u iznosu 20</w:t>
      </w:r>
      <w:r w:rsidR="0093722B">
        <w:rPr>
          <w:rFonts w:ascii="Arial" w:eastAsia="Calibri" w:hAnsi="Arial" w:cs="Arial"/>
          <w:sz w:val="20"/>
          <w:szCs w:val="20"/>
          <w:lang w:eastAsia="en-US"/>
        </w:rPr>
        <w:t>.</w:t>
      </w:r>
      <w:r w:rsidRPr="00676A9B">
        <w:rPr>
          <w:rFonts w:ascii="Arial" w:eastAsia="Calibri" w:hAnsi="Arial" w:cs="Arial"/>
          <w:sz w:val="20"/>
          <w:szCs w:val="20"/>
          <w:lang w:eastAsia="en-US"/>
        </w:rPr>
        <w:t>000 €. Od 2023. godine, rashodi se izvršavaju putem Zajednice sportova. U 202</w:t>
      </w:r>
      <w:r w:rsidR="0093722B">
        <w:rPr>
          <w:rFonts w:ascii="Arial" w:eastAsia="Calibri" w:hAnsi="Arial" w:cs="Arial"/>
          <w:sz w:val="20"/>
          <w:szCs w:val="20"/>
          <w:lang w:eastAsia="en-US"/>
        </w:rPr>
        <w:t>5</w:t>
      </w:r>
      <w:r w:rsidRPr="00676A9B">
        <w:rPr>
          <w:rFonts w:ascii="Arial" w:eastAsia="Calibri" w:hAnsi="Arial" w:cs="Arial"/>
          <w:sz w:val="20"/>
          <w:szCs w:val="20"/>
          <w:lang w:eastAsia="en-US"/>
        </w:rPr>
        <w:t xml:space="preserve">. izvršeno je 20.000 €. </w:t>
      </w:r>
    </w:p>
    <w:p w14:paraId="03643CFE"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Ranijih godina rashodi su se izvršavali po provedenom javnom natječaju kojeg je provodila Općina, a od 2023. aktivnost se provodi putem Zajednice sportova.</w:t>
      </w:r>
    </w:p>
    <w:p w14:paraId="37848E2D"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
        <w:tblW w:w="14170" w:type="dxa"/>
        <w:jc w:val="center"/>
        <w:tblLayout w:type="fixed"/>
        <w:tblLook w:val="04A0" w:firstRow="1" w:lastRow="0" w:firstColumn="1" w:lastColumn="0" w:noHBand="0" w:noVBand="1"/>
      </w:tblPr>
      <w:tblGrid>
        <w:gridCol w:w="2405"/>
        <w:gridCol w:w="3544"/>
        <w:gridCol w:w="1417"/>
        <w:gridCol w:w="1134"/>
        <w:gridCol w:w="1134"/>
        <w:gridCol w:w="1134"/>
        <w:gridCol w:w="1134"/>
        <w:gridCol w:w="1134"/>
        <w:gridCol w:w="1134"/>
      </w:tblGrid>
      <w:tr w:rsidR="00676A9B" w:rsidRPr="00676A9B" w14:paraId="593F3388" w14:textId="77777777" w:rsidTr="00410A4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34F2D23"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354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F837AEC"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20F7618"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6323FB4"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0C28CB9" w14:textId="03D45B09"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93722B">
              <w:rPr>
                <w:rFonts w:ascii="Arial" w:eastAsia="Calibri" w:hAnsi="Arial" w:cs="Arial"/>
                <w:lang w:eastAsia="en-US"/>
              </w:rPr>
              <w:t>4</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29D4EC0" w14:textId="1365EAF1"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93722B">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7E308C5" w14:textId="4C1A683F"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93722B">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BD4526B" w14:textId="18540029"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93722B">
              <w:rPr>
                <w:rFonts w:ascii="Arial" w:eastAsia="Calibri" w:hAnsi="Arial" w:cs="Arial"/>
                <w:lang w:eastAsia="en-US"/>
              </w:rPr>
              <w:t>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B6ABF71" w14:textId="5B5F018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93722B">
              <w:rPr>
                <w:rFonts w:ascii="Arial" w:eastAsia="Calibri" w:hAnsi="Arial" w:cs="Arial"/>
                <w:lang w:eastAsia="en-US"/>
              </w:rPr>
              <w:t>7</w:t>
            </w:r>
            <w:r w:rsidRPr="00676A9B">
              <w:rPr>
                <w:rFonts w:ascii="Arial" w:eastAsia="Calibri" w:hAnsi="Arial" w:cs="Arial"/>
                <w:lang w:eastAsia="en-US"/>
              </w:rPr>
              <w:t>.</w:t>
            </w:r>
          </w:p>
        </w:tc>
      </w:tr>
      <w:tr w:rsidR="00676A9B" w:rsidRPr="00676A9B" w14:paraId="069374E9" w14:textId="77777777" w:rsidTr="00410A4B">
        <w:trPr>
          <w:trHeight w:val="274"/>
          <w:jc w:val="center"/>
        </w:trPr>
        <w:tc>
          <w:tcPr>
            <w:tcW w:w="2405" w:type="dxa"/>
            <w:tcBorders>
              <w:top w:val="single" w:sz="4" w:space="0" w:color="auto"/>
              <w:left w:val="single" w:sz="4" w:space="0" w:color="auto"/>
              <w:bottom w:val="single" w:sz="4" w:space="0" w:color="auto"/>
              <w:right w:val="single" w:sz="4" w:space="0" w:color="auto"/>
            </w:tcBorders>
            <w:vAlign w:val="center"/>
          </w:tcPr>
          <w:p w14:paraId="68A8CE4E" w14:textId="77777777" w:rsidR="00676A9B" w:rsidRPr="00676A9B" w:rsidRDefault="00676A9B" w:rsidP="00676A9B">
            <w:pPr>
              <w:autoSpaceDE w:val="0"/>
              <w:autoSpaceDN w:val="0"/>
              <w:adjustRightInd w:val="0"/>
              <w:rPr>
                <w:rFonts w:ascii="Arial" w:eastAsia="Calibri" w:hAnsi="Arial" w:cs="Arial"/>
                <w:sz w:val="18"/>
                <w:szCs w:val="18"/>
                <w:lang w:eastAsia="en-US"/>
              </w:rPr>
            </w:pPr>
            <w:r w:rsidRPr="00676A9B">
              <w:rPr>
                <w:rFonts w:ascii="Arial" w:eastAsia="Calibri" w:hAnsi="Arial" w:cs="Arial"/>
                <w:sz w:val="18"/>
                <w:szCs w:val="18"/>
                <w:lang w:eastAsia="en-US"/>
              </w:rPr>
              <w:t>Sudjelovanje u održavanju postojećeg broja tradicionalnih sportskih turnira</w:t>
            </w:r>
          </w:p>
          <w:p w14:paraId="2EFF87BD" w14:textId="77777777" w:rsidR="00676A9B" w:rsidRPr="00676A9B" w:rsidRDefault="00676A9B">
            <w:pPr>
              <w:numPr>
                <w:ilvl w:val="0"/>
                <w:numId w:val="6"/>
              </w:numPr>
              <w:ind w:left="306" w:hanging="284"/>
              <w:jc w:val="both"/>
              <w:rPr>
                <w:rFonts w:ascii="Arial" w:hAnsi="Arial" w:cs="Arial"/>
                <w:sz w:val="18"/>
                <w:szCs w:val="18"/>
                <w:lang w:eastAsia="en-US"/>
              </w:rPr>
            </w:pPr>
            <w:r w:rsidRPr="00676A9B">
              <w:rPr>
                <w:rFonts w:ascii="Arial" w:eastAsia="Calibri" w:hAnsi="Arial" w:cs="Arial"/>
                <w:sz w:val="18"/>
                <w:szCs w:val="18"/>
                <w:lang w:eastAsia="en-US"/>
              </w:rPr>
              <w:t>mali nogomet, boćanje, vaterpolo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C072BBD" w14:textId="77777777" w:rsidR="00676A9B" w:rsidRPr="00676A9B" w:rsidRDefault="00676A9B" w:rsidP="00676A9B">
            <w:pPr>
              <w:autoSpaceDE w:val="0"/>
              <w:autoSpaceDN w:val="0"/>
              <w:adjustRightInd w:val="0"/>
              <w:rPr>
                <w:rFonts w:ascii="Arial" w:hAnsi="Arial" w:cs="Arial"/>
                <w:sz w:val="18"/>
                <w:szCs w:val="18"/>
                <w:lang w:eastAsia="en-US"/>
              </w:rPr>
            </w:pPr>
            <w:r w:rsidRPr="00676A9B">
              <w:rPr>
                <w:rFonts w:ascii="Arial" w:eastAsia="Calibri" w:hAnsi="Arial" w:cs="Arial"/>
                <w:sz w:val="18"/>
                <w:szCs w:val="18"/>
                <w:lang w:eastAsia="en-US"/>
              </w:rPr>
              <w:t>Organiziranjem tradicionalnih sportskih priredbi popularizira se sport u svekolikom pučanstvu</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25AF7A" w14:textId="77777777" w:rsidR="00676A9B" w:rsidRPr="00676A9B" w:rsidRDefault="00676A9B" w:rsidP="00676A9B">
            <w:pPr>
              <w:autoSpaceDE w:val="0"/>
              <w:autoSpaceDN w:val="0"/>
              <w:adjustRightInd w:val="0"/>
              <w:jc w:val="center"/>
              <w:rPr>
                <w:rFonts w:ascii="Arial" w:hAnsi="Arial" w:cs="Arial"/>
                <w:sz w:val="18"/>
                <w:szCs w:val="18"/>
                <w:lang w:eastAsia="en-US"/>
              </w:rPr>
            </w:pPr>
            <w:r w:rsidRPr="00676A9B">
              <w:rPr>
                <w:rFonts w:ascii="Arial" w:eastAsia="Calibri" w:hAnsi="Arial" w:cs="Arial"/>
                <w:sz w:val="18"/>
                <w:szCs w:val="18"/>
                <w:lang w:eastAsia="en-US"/>
              </w:rPr>
              <w:t xml:space="preserve">Broj sportova u kojima se održavaju tradicionalne priredbe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C9AF89"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3E602144" w14:textId="356EA39C" w:rsidR="00676A9B" w:rsidRPr="00676A9B" w:rsidRDefault="0093722B" w:rsidP="00676A9B">
            <w:pPr>
              <w:jc w:val="center"/>
              <w:rPr>
                <w:rFonts w:ascii="Arial" w:hAnsi="Arial" w:cs="Arial"/>
                <w:lang w:eastAsia="en-US"/>
              </w:rPr>
            </w:pPr>
            <w:r>
              <w:rPr>
                <w:rFonts w:ascii="Arial" w:hAnsi="Arial" w:cs="Arial"/>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08E90958" w14:textId="77777777" w:rsidR="00676A9B" w:rsidRPr="00676A9B" w:rsidRDefault="00676A9B" w:rsidP="00676A9B">
            <w:pPr>
              <w:jc w:val="center"/>
              <w:rPr>
                <w:rFonts w:ascii="Arial" w:hAnsi="Arial" w:cs="Arial"/>
                <w:lang w:eastAsia="en-US"/>
              </w:rPr>
            </w:pPr>
            <w:r w:rsidRPr="00676A9B">
              <w:rPr>
                <w:rFonts w:ascii="Arial" w:hAnsi="Arial" w:cs="Arial"/>
                <w:lang w:eastAsia="en-US"/>
              </w:rPr>
              <w:t>7</w:t>
            </w:r>
          </w:p>
        </w:tc>
        <w:tc>
          <w:tcPr>
            <w:tcW w:w="1134" w:type="dxa"/>
            <w:tcBorders>
              <w:top w:val="single" w:sz="4" w:space="0" w:color="000000"/>
              <w:left w:val="single" w:sz="4" w:space="0" w:color="000000"/>
              <w:bottom w:val="single" w:sz="4" w:space="0" w:color="000000"/>
              <w:right w:val="single" w:sz="4" w:space="0" w:color="000000"/>
            </w:tcBorders>
            <w:vAlign w:val="center"/>
          </w:tcPr>
          <w:p w14:paraId="6F182E10" w14:textId="77777777" w:rsidR="00676A9B" w:rsidRPr="00676A9B" w:rsidRDefault="00676A9B" w:rsidP="00676A9B">
            <w:pPr>
              <w:jc w:val="center"/>
              <w:rPr>
                <w:rFonts w:ascii="Arial" w:hAnsi="Arial" w:cs="Arial"/>
                <w:lang w:eastAsia="en-US"/>
              </w:rPr>
            </w:pPr>
            <w:r w:rsidRPr="00676A9B">
              <w:rPr>
                <w:rFonts w:ascii="Arial" w:hAnsi="Arial" w:cs="Arial"/>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DAC0564" w14:textId="77777777" w:rsidR="00676A9B" w:rsidRPr="00676A9B" w:rsidRDefault="00676A9B" w:rsidP="00676A9B">
            <w:pPr>
              <w:jc w:val="center"/>
              <w:rPr>
                <w:rFonts w:ascii="Arial" w:hAnsi="Arial" w:cs="Arial"/>
                <w:lang w:eastAsia="en-US"/>
              </w:rPr>
            </w:pPr>
            <w:r w:rsidRPr="00676A9B">
              <w:rPr>
                <w:rFonts w:ascii="Arial" w:hAnsi="Arial" w:cs="Arial"/>
                <w:lang w:eastAsia="en-US"/>
              </w:rPr>
              <w:t>7</w:t>
            </w:r>
          </w:p>
        </w:tc>
        <w:tc>
          <w:tcPr>
            <w:tcW w:w="1134" w:type="dxa"/>
            <w:tcBorders>
              <w:top w:val="single" w:sz="4" w:space="0" w:color="000000"/>
              <w:left w:val="single" w:sz="4" w:space="0" w:color="000000"/>
              <w:bottom w:val="single" w:sz="4" w:space="0" w:color="000000"/>
              <w:right w:val="single" w:sz="4" w:space="0" w:color="000000"/>
            </w:tcBorders>
            <w:vAlign w:val="center"/>
          </w:tcPr>
          <w:p w14:paraId="1B577E42" w14:textId="77777777" w:rsidR="00676A9B" w:rsidRPr="00676A9B" w:rsidRDefault="00676A9B" w:rsidP="00676A9B">
            <w:pPr>
              <w:jc w:val="center"/>
              <w:rPr>
                <w:rFonts w:ascii="Arial" w:hAnsi="Arial" w:cs="Arial"/>
                <w:lang w:eastAsia="en-US"/>
              </w:rPr>
            </w:pPr>
            <w:r w:rsidRPr="00676A9B">
              <w:rPr>
                <w:rFonts w:ascii="Arial" w:hAnsi="Arial" w:cs="Arial"/>
                <w:lang w:eastAsia="en-US"/>
              </w:rPr>
              <w:t>7</w:t>
            </w:r>
          </w:p>
        </w:tc>
      </w:tr>
    </w:tbl>
    <w:p w14:paraId="6A6E5D6B"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2702CC75" w14:textId="4B25ABDA"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5. A203405: Osnovna djelatnost Zajednice sportova, institucionalna potpora </w:t>
      </w:r>
      <w:r w:rsidRPr="00676A9B">
        <w:rPr>
          <w:rFonts w:ascii="Arial" w:eastAsia="Calibri" w:hAnsi="Arial" w:cs="Arial"/>
          <w:sz w:val="20"/>
          <w:szCs w:val="20"/>
          <w:lang w:eastAsia="en-US"/>
        </w:rPr>
        <w:t xml:space="preserve">– Proračunska sredstva su planirana u iznosu </w:t>
      </w:r>
      <w:r w:rsidR="009549E0">
        <w:rPr>
          <w:rFonts w:ascii="Arial" w:eastAsia="Calibri" w:hAnsi="Arial" w:cs="Arial"/>
          <w:sz w:val="20"/>
          <w:szCs w:val="20"/>
          <w:lang w:eastAsia="en-US"/>
        </w:rPr>
        <w:t>2</w:t>
      </w:r>
      <w:r w:rsidRPr="00676A9B">
        <w:rPr>
          <w:rFonts w:ascii="Arial" w:eastAsia="Calibri" w:hAnsi="Arial" w:cs="Arial"/>
          <w:sz w:val="20"/>
          <w:szCs w:val="20"/>
          <w:lang w:eastAsia="en-US"/>
        </w:rPr>
        <w:t xml:space="preserve">5.000 € za osiguravanje djelovanja osnovne djelatnosti Zajednice sportova. Rashodi su izvršeni u iznosu </w:t>
      </w:r>
      <w:r w:rsidR="009549E0">
        <w:rPr>
          <w:rFonts w:ascii="Arial" w:eastAsia="Calibri" w:hAnsi="Arial" w:cs="Arial"/>
          <w:sz w:val="20"/>
          <w:szCs w:val="20"/>
          <w:lang w:eastAsia="en-US"/>
        </w:rPr>
        <w:t>2</w:t>
      </w:r>
      <w:r w:rsidRPr="00676A9B">
        <w:rPr>
          <w:rFonts w:ascii="Arial" w:eastAsia="Calibri" w:hAnsi="Arial" w:cs="Arial"/>
          <w:sz w:val="20"/>
          <w:szCs w:val="20"/>
          <w:lang w:eastAsia="en-US"/>
        </w:rPr>
        <w:t>5.000 €.</w:t>
      </w:r>
    </w:p>
    <w:p w14:paraId="316A5E46" w14:textId="6A66D165"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Ugovor sa zajednicom sportova je zaključen u </w:t>
      </w:r>
      <w:r w:rsidR="009549E0">
        <w:rPr>
          <w:rFonts w:ascii="Arial" w:eastAsia="Calibri" w:hAnsi="Arial" w:cs="Arial"/>
          <w:sz w:val="20"/>
          <w:szCs w:val="20"/>
          <w:lang w:eastAsia="en-US"/>
        </w:rPr>
        <w:t>siječnju</w:t>
      </w:r>
      <w:r w:rsidRPr="00676A9B">
        <w:rPr>
          <w:rFonts w:ascii="Arial" w:eastAsia="Calibri" w:hAnsi="Arial" w:cs="Arial"/>
          <w:sz w:val="20"/>
          <w:szCs w:val="20"/>
          <w:lang w:eastAsia="en-US"/>
        </w:rPr>
        <w:t xml:space="preserve"> 202</w:t>
      </w:r>
      <w:r w:rsidR="009549E0">
        <w:rPr>
          <w:rFonts w:ascii="Arial" w:eastAsia="Calibri" w:hAnsi="Arial" w:cs="Arial"/>
          <w:sz w:val="20"/>
          <w:szCs w:val="20"/>
          <w:lang w:eastAsia="en-US"/>
        </w:rPr>
        <w:t>5</w:t>
      </w:r>
      <w:r w:rsidRPr="00676A9B">
        <w:rPr>
          <w:rFonts w:ascii="Arial" w:eastAsia="Calibri" w:hAnsi="Arial" w:cs="Arial"/>
          <w:sz w:val="20"/>
          <w:szCs w:val="20"/>
          <w:lang w:eastAsia="en-US"/>
        </w:rPr>
        <w:t xml:space="preserve">. u iznosu </w:t>
      </w:r>
      <w:r w:rsidR="009549E0">
        <w:rPr>
          <w:rFonts w:ascii="Arial" w:eastAsia="Calibri" w:hAnsi="Arial" w:cs="Arial"/>
          <w:sz w:val="20"/>
          <w:szCs w:val="20"/>
          <w:lang w:eastAsia="en-US"/>
        </w:rPr>
        <w:t>2</w:t>
      </w:r>
      <w:r w:rsidRPr="00676A9B">
        <w:rPr>
          <w:rFonts w:ascii="Arial" w:eastAsia="Calibri" w:hAnsi="Arial" w:cs="Arial"/>
          <w:sz w:val="20"/>
          <w:szCs w:val="20"/>
          <w:lang w:eastAsia="en-US"/>
        </w:rPr>
        <w:t>5.000 €.</w:t>
      </w:r>
    </w:p>
    <w:p w14:paraId="58AF7EFE"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5FA7AEC3" w14:textId="257CFB1D"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6. A203406: Institucionalne potpore (redovite djelatnosti) udruga u sportu </w:t>
      </w:r>
      <w:r w:rsidRPr="00676A9B">
        <w:rPr>
          <w:rFonts w:ascii="Arial" w:eastAsia="Calibri" w:hAnsi="Arial" w:cs="Arial"/>
          <w:sz w:val="20"/>
          <w:szCs w:val="20"/>
          <w:lang w:eastAsia="en-US"/>
        </w:rPr>
        <w:t xml:space="preserve">– u sklopu navedene aktivnosti su rashodi, potpore (donacije) za osiguranje provedbe programa udruga u sportu / institucionalna potpora / u iznosu </w:t>
      </w:r>
      <w:r w:rsidR="009549E0">
        <w:rPr>
          <w:rFonts w:ascii="Arial" w:eastAsia="Calibri" w:hAnsi="Arial" w:cs="Arial"/>
          <w:sz w:val="20"/>
          <w:szCs w:val="20"/>
          <w:lang w:eastAsia="en-US"/>
        </w:rPr>
        <w:t>4</w:t>
      </w:r>
      <w:r w:rsidRPr="00676A9B">
        <w:rPr>
          <w:rFonts w:ascii="Arial" w:eastAsia="Calibri" w:hAnsi="Arial" w:cs="Arial"/>
          <w:sz w:val="20"/>
          <w:szCs w:val="20"/>
          <w:lang w:eastAsia="en-US"/>
        </w:rPr>
        <w:t xml:space="preserve">0.000 € na temelju ugovora sa Zajednicom sportova Općine Konavle. Zajednica sportova zaključuje ugovore s korisnicima sredstava, članicama zajednice sportova. Rashodi su izvršeni u iznosu </w:t>
      </w:r>
      <w:r w:rsidR="009549E0">
        <w:rPr>
          <w:rFonts w:ascii="Arial" w:eastAsia="Calibri" w:hAnsi="Arial" w:cs="Arial"/>
          <w:sz w:val="20"/>
          <w:szCs w:val="20"/>
          <w:lang w:eastAsia="en-US"/>
        </w:rPr>
        <w:t>4</w:t>
      </w:r>
      <w:r w:rsidRPr="00676A9B">
        <w:rPr>
          <w:rFonts w:ascii="Arial" w:eastAsia="Calibri" w:hAnsi="Arial" w:cs="Arial"/>
          <w:sz w:val="20"/>
          <w:szCs w:val="20"/>
          <w:lang w:eastAsia="en-US"/>
        </w:rPr>
        <w:t xml:space="preserve">0.000 €. Zajednica sportova zaključuje ugovore s udrugama i raspoređuje sredstva odobrena osnovnim ugovorom. </w:t>
      </w:r>
    </w:p>
    <w:p w14:paraId="3EE85C89"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7332CA9C" w14:textId="294AA1F6" w:rsid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Ugovor sa zajednicom sportova je zaključen u </w:t>
      </w:r>
      <w:r w:rsidR="009549E0">
        <w:rPr>
          <w:rFonts w:ascii="Arial" w:eastAsia="Calibri" w:hAnsi="Arial" w:cs="Arial"/>
          <w:sz w:val="20"/>
          <w:szCs w:val="20"/>
          <w:lang w:eastAsia="en-US"/>
        </w:rPr>
        <w:t>siječnju</w:t>
      </w:r>
      <w:r w:rsidRPr="00676A9B">
        <w:rPr>
          <w:rFonts w:ascii="Arial" w:eastAsia="Calibri" w:hAnsi="Arial" w:cs="Arial"/>
          <w:sz w:val="20"/>
          <w:szCs w:val="20"/>
          <w:lang w:eastAsia="en-US"/>
        </w:rPr>
        <w:t xml:space="preserve"> 202</w:t>
      </w:r>
      <w:r w:rsidR="009549E0">
        <w:rPr>
          <w:rFonts w:ascii="Arial" w:eastAsia="Calibri" w:hAnsi="Arial" w:cs="Arial"/>
          <w:sz w:val="20"/>
          <w:szCs w:val="20"/>
          <w:lang w:eastAsia="en-US"/>
        </w:rPr>
        <w:t>5</w:t>
      </w:r>
      <w:r w:rsidRPr="00676A9B">
        <w:rPr>
          <w:rFonts w:ascii="Arial" w:eastAsia="Calibri" w:hAnsi="Arial" w:cs="Arial"/>
          <w:sz w:val="20"/>
          <w:szCs w:val="20"/>
          <w:lang w:eastAsia="en-US"/>
        </w:rPr>
        <w:t>. u iznosu 1</w:t>
      </w:r>
      <w:r w:rsidR="009549E0">
        <w:rPr>
          <w:rFonts w:ascii="Arial" w:eastAsia="Calibri" w:hAnsi="Arial" w:cs="Arial"/>
          <w:sz w:val="20"/>
          <w:szCs w:val="20"/>
          <w:lang w:eastAsia="en-US"/>
        </w:rPr>
        <w:t>40</w:t>
      </w:r>
      <w:r w:rsidRPr="00676A9B">
        <w:rPr>
          <w:rFonts w:ascii="Arial" w:eastAsia="Calibri" w:hAnsi="Arial" w:cs="Arial"/>
          <w:sz w:val="20"/>
          <w:szCs w:val="20"/>
          <w:lang w:eastAsia="en-US"/>
        </w:rPr>
        <w:t>.000 € za provedbu aktivnosti A203406, A203407, A203402 i A203404.</w:t>
      </w:r>
    </w:p>
    <w:p w14:paraId="348F486A" w14:textId="700A1064" w:rsidR="009549E0" w:rsidRPr="00676A9B" w:rsidRDefault="009549E0" w:rsidP="009549E0">
      <w:pPr>
        <w:autoSpaceDE w:val="0"/>
        <w:autoSpaceDN w:val="0"/>
        <w:adjustRightInd w:val="0"/>
        <w:spacing w:after="0" w:line="240" w:lineRule="auto"/>
        <w:jc w:val="center"/>
        <w:rPr>
          <w:rFonts w:ascii="Arial" w:eastAsia="Calibri" w:hAnsi="Arial" w:cs="Arial"/>
          <w:sz w:val="20"/>
          <w:szCs w:val="20"/>
          <w:lang w:eastAsia="en-US"/>
        </w:rPr>
      </w:pPr>
      <w:r w:rsidRPr="009549E0">
        <w:rPr>
          <w:noProof/>
        </w:rPr>
        <w:lastRenderedPageBreak/>
        <w:drawing>
          <wp:inline distT="0" distB="0" distL="0" distR="0" wp14:anchorId="6B889F71" wp14:editId="0CF3622D">
            <wp:extent cx="6648450" cy="3743325"/>
            <wp:effectExtent l="0" t="0" r="0" b="9525"/>
            <wp:docPr id="843551032"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648450" cy="3743325"/>
                    </a:xfrm>
                    <a:prstGeom prst="rect">
                      <a:avLst/>
                    </a:prstGeom>
                    <a:noFill/>
                    <a:ln>
                      <a:noFill/>
                    </a:ln>
                  </pic:spPr>
                </pic:pic>
              </a:graphicData>
            </a:graphic>
          </wp:inline>
        </w:drawing>
      </w:r>
    </w:p>
    <w:p w14:paraId="7E93B083" w14:textId="12AAAD49" w:rsidR="00676A9B" w:rsidRPr="00676A9B" w:rsidRDefault="009549E0" w:rsidP="00676A9B">
      <w:pPr>
        <w:autoSpaceDE w:val="0"/>
        <w:autoSpaceDN w:val="0"/>
        <w:adjustRightInd w:val="0"/>
        <w:spacing w:after="0" w:line="240" w:lineRule="auto"/>
        <w:jc w:val="center"/>
        <w:rPr>
          <w:rFonts w:ascii="Arial" w:eastAsia="Calibri" w:hAnsi="Arial" w:cs="Arial"/>
          <w:sz w:val="20"/>
          <w:szCs w:val="20"/>
          <w:lang w:eastAsia="en-US"/>
        </w:rPr>
      </w:pPr>
      <w:r>
        <w:rPr>
          <w:rFonts w:ascii="Arial" w:eastAsia="Calibri" w:hAnsi="Arial" w:cs="Arial"/>
          <w:noProof/>
          <w:sz w:val="20"/>
          <w:szCs w:val="20"/>
          <w:lang w:eastAsia="en-US"/>
        </w:rPr>
        <w:lastRenderedPageBreak/>
        <w:drawing>
          <wp:inline distT="0" distB="0" distL="0" distR="0" wp14:anchorId="319BCC20" wp14:editId="3BC39D00">
            <wp:extent cx="6120765" cy="5309870"/>
            <wp:effectExtent l="0" t="0" r="0" b="5080"/>
            <wp:docPr id="1324374914"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5">
                      <a:extLst>
                        <a:ext uri="{28A0092B-C50C-407E-A947-70E740481C1C}">
                          <a14:useLocalDpi xmlns:a14="http://schemas.microsoft.com/office/drawing/2010/main" val="0"/>
                        </a:ext>
                      </a:extLst>
                    </a:blip>
                    <a:srcRect t="41348"/>
                    <a:stretch>
                      <a:fillRect/>
                    </a:stretch>
                  </pic:blipFill>
                  <pic:spPr bwMode="auto">
                    <a:xfrm>
                      <a:off x="0" y="0"/>
                      <a:ext cx="6120765" cy="5309870"/>
                    </a:xfrm>
                    <a:prstGeom prst="rect">
                      <a:avLst/>
                    </a:prstGeom>
                    <a:noFill/>
                    <a:ln>
                      <a:noFill/>
                    </a:ln>
                    <a:extLst>
                      <a:ext uri="{53640926-AAD7-44D8-BBD7-CCE9431645EC}">
                        <a14:shadowObscured xmlns:a14="http://schemas.microsoft.com/office/drawing/2010/main"/>
                      </a:ext>
                    </a:extLst>
                  </pic:spPr>
                </pic:pic>
              </a:graphicData>
            </a:graphic>
          </wp:inline>
        </w:drawing>
      </w:r>
    </w:p>
    <w:p w14:paraId="02E79CE3" w14:textId="3A4F9E3F" w:rsidR="00676A9B" w:rsidRDefault="00676A9B" w:rsidP="009549E0">
      <w:pPr>
        <w:autoSpaceDE w:val="0"/>
        <w:autoSpaceDN w:val="0"/>
        <w:adjustRightInd w:val="0"/>
        <w:spacing w:after="0" w:line="240" w:lineRule="auto"/>
        <w:jc w:val="center"/>
        <w:rPr>
          <w:rFonts w:ascii="Arial" w:eastAsia="Calibri" w:hAnsi="Arial" w:cs="Arial"/>
          <w:sz w:val="20"/>
          <w:szCs w:val="20"/>
          <w:lang w:eastAsia="en-US"/>
        </w:rPr>
      </w:pPr>
    </w:p>
    <w:p w14:paraId="73E06083" w14:textId="77777777" w:rsidR="009549E0" w:rsidRPr="00676A9B" w:rsidRDefault="009549E0" w:rsidP="00676A9B">
      <w:pPr>
        <w:autoSpaceDE w:val="0"/>
        <w:autoSpaceDN w:val="0"/>
        <w:adjustRightInd w:val="0"/>
        <w:spacing w:after="0" w:line="240" w:lineRule="auto"/>
        <w:jc w:val="both"/>
        <w:rPr>
          <w:rFonts w:ascii="Arial" w:eastAsia="Calibri" w:hAnsi="Arial" w:cs="Arial"/>
          <w:sz w:val="20"/>
          <w:szCs w:val="20"/>
          <w:lang w:eastAsia="en-US"/>
        </w:rPr>
      </w:pPr>
    </w:p>
    <w:p w14:paraId="0A7A575B" w14:textId="74455ED3"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7. A203407: Stručni rad u sportu, te obrazovna djelatnost u sportu </w:t>
      </w:r>
      <w:r w:rsidRPr="00676A9B">
        <w:rPr>
          <w:rFonts w:ascii="Arial" w:eastAsia="Calibri" w:hAnsi="Arial" w:cs="Arial"/>
          <w:sz w:val="20"/>
          <w:szCs w:val="20"/>
          <w:lang w:eastAsia="en-US"/>
        </w:rPr>
        <w:t>– u sklopu navedene aktivnosti su rashodi, potpore (donacije) za provedbu glavnih programa u sportu u iznosu 7</w:t>
      </w:r>
      <w:r w:rsidR="00F07538">
        <w:rPr>
          <w:rFonts w:ascii="Arial" w:eastAsia="Calibri" w:hAnsi="Arial" w:cs="Arial"/>
          <w:sz w:val="20"/>
          <w:szCs w:val="20"/>
          <w:lang w:eastAsia="en-US"/>
        </w:rPr>
        <w:t>5</w:t>
      </w:r>
      <w:r w:rsidRPr="00676A9B">
        <w:rPr>
          <w:rFonts w:ascii="Arial" w:eastAsia="Calibri" w:hAnsi="Arial" w:cs="Arial"/>
          <w:sz w:val="20"/>
          <w:szCs w:val="20"/>
          <w:lang w:eastAsia="en-US"/>
        </w:rPr>
        <w:t>.000 € (dodjela na temelju ugovora sa Zajednicom sportova Općine Konavle). Rashodi su izvršeni u iznosu 7</w:t>
      </w:r>
      <w:r w:rsidR="00F07538">
        <w:rPr>
          <w:rFonts w:ascii="Arial" w:eastAsia="Calibri" w:hAnsi="Arial" w:cs="Arial"/>
          <w:sz w:val="20"/>
          <w:szCs w:val="20"/>
          <w:lang w:eastAsia="en-US"/>
        </w:rPr>
        <w:t>5</w:t>
      </w:r>
      <w:r w:rsidRPr="00676A9B">
        <w:rPr>
          <w:rFonts w:ascii="Arial" w:eastAsia="Calibri" w:hAnsi="Arial" w:cs="Arial"/>
          <w:sz w:val="20"/>
          <w:szCs w:val="20"/>
          <w:lang w:eastAsia="en-US"/>
        </w:rPr>
        <w:t>.000 €.</w:t>
      </w:r>
    </w:p>
    <w:p w14:paraId="1275FBF4"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
        <w:tblW w:w="14170" w:type="dxa"/>
        <w:jc w:val="center"/>
        <w:tblLayout w:type="fixed"/>
        <w:tblLook w:val="04A0" w:firstRow="1" w:lastRow="0" w:firstColumn="1" w:lastColumn="0" w:noHBand="0" w:noVBand="1"/>
      </w:tblPr>
      <w:tblGrid>
        <w:gridCol w:w="1980"/>
        <w:gridCol w:w="3969"/>
        <w:gridCol w:w="1417"/>
        <w:gridCol w:w="1134"/>
        <w:gridCol w:w="1134"/>
        <w:gridCol w:w="1134"/>
        <w:gridCol w:w="1134"/>
        <w:gridCol w:w="1134"/>
        <w:gridCol w:w="1134"/>
      </w:tblGrid>
      <w:tr w:rsidR="00676A9B" w:rsidRPr="00676A9B" w14:paraId="6D58BBC0" w14:textId="77777777" w:rsidTr="00410A4B">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34F8B75"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lastRenderedPageBreak/>
              <w:t>Pokazatelj rezultata</w:t>
            </w:r>
          </w:p>
        </w:tc>
        <w:tc>
          <w:tcPr>
            <w:tcW w:w="396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DA5F191"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231129A"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FA3905C"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E60147" w14:textId="3A5D22B5"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F07538">
              <w:rPr>
                <w:rFonts w:ascii="Arial" w:eastAsia="Calibri" w:hAnsi="Arial" w:cs="Arial"/>
                <w:lang w:eastAsia="en-US"/>
              </w:rPr>
              <w:t>4</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2CBAAD5" w14:textId="5C684DEA"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F07538">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655D09" w14:textId="1A6229C2"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F07538">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DAEF555" w14:textId="72384CB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F07538">
              <w:rPr>
                <w:rFonts w:ascii="Arial" w:eastAsia="Calibri" w:hAnsi="Arial" w:cs="Arial"/>
                <w:lang w:eastAsia="en-US"/>
              </w:rPr>
              <w:t>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C066B8D" w14:textId="6B02D52F"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F07538">
              <w:rPr>
                <w:rFonts w:ascii="Arial" w:eastAsia="Calibri" w:hAnsi="Arial" w:cs="Arial"/>
                <w:lang w:eastAsia="en-US"/>
              </w:rPr>
              <w:t>7</w:t>
            </w:r>
            <w:r w:rsidRPr="00676A9B">
              <w:rPr>
                <w:rFonts w:ascii="Arial" w:eastAsia="Calibri" w:hAnsi="Arial" w:cs="Arial"/>
                <w:lang w:eastAsia="en-US"/>
              </w:rPr>
              <w:t>.</w:t>
            </w:r>
          </w:p>
        </w:tc>
      </w:tr>
      <w:tr w:rsidR="00676A9B" w:rsidRPr="00676A9B" w14:paraId="1A71B811" w14:textId="77777777" w:rsidTr="00410A4B">
        <w:trPr>
          <w:trHeight w:val="416"/>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0027ADCD"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Isplaćena sredstva za provedbu projekata članica Zajednice Općina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D4342B4"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Sredstvima isplaćenim udrugama pridonosi se povećanju razine psihofizičkog zdravlja stanovništva i natjecateljskog duha kod mladih, a postizanjem dobrih rezultata na domaćim i inozemnim natjecanjima te sudjelovanjem na raznim turnirima promovira se Općina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862B3D4"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 izvršenja ugovora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99BC53" w14:textId="77777777" w:rsidR="00676A9B" w:rsidRPr="00676A9B" w:rsidRDefault="00676A9B" w:rsidP="00676A9B">
            <w:pPr>
              <w:jc w:val="center"/>
              <w:rPr>
                <w:rFonts w:ascii="Arial" w:hAnsi="Arial" w:cs="Arial"/>
                <w:lang w:eastAsia="en-US"/>
              </w:rPr>
            </w:pPr>
            <w:r w:rsidRPr="00676A9B">
              <w:rPr>
                <w:rFonts w:ascii="Arial" w:hAnsi="Arial" w:cs="Arial"/>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7DDA916B"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509AAD6"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EEB9C0D"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FCE5D10"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AD50D73"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w:t>
            </w:r>
          </w:p>
        </w:tc>
      </w:tr>
    </w:tbl>
    <w:p w14:paraId="17AF1C00" w14:textId="77777777" w:rsidR="00676A9B" w:rsidRPr="00676A9B" w:rsidRDefault="00676A9B" w:rsidP="00676A9B">
      <w:pPr>
        <w:autoSpaceDE w:val="0"/>
        <w:autoSpaceDN w:val="0"/>
        <w:adjustRightInd w:val="0"/>
        <w:spacing w:after="0" w:line="240" w:lineRule="auto"/>
        <w:jc w:val="both"/>
        <w:rPr>
          <w:rFonts w:ascii="Arial" w:eastAsia="Calibri" w:hAnsi="Arial" w:cs="Arial"/>
          <w:b/>
          <w:sz w:val="20"/>
          <w:szCs w:val="20"/>
        </w:rPr>
      </w:pPr>
    </w:p>
    <w:p w14:paraId="175167A8" w14:textId="38C45582" w:rsidR="00676A9B" w:rsidRDefault="00F07538" w:rsidP="00676A9B">
      <w:pPr>
        <w:autoSpaceDE w:val="0"/>
        <w:autoSpaceDN w:val="0"/>
        <w:adjustRightInd w:val="0"/>
        <w:spacing w:after="0" w:line="240" w:lineRule="auto"/>
        <w:jc w:val="both"/>
        <w:rPr>
          <w:rFonts w:ascii="Arial" w:eastAsia="Calibri" w:hAnsi="Arial" w:cs="Arial"/>
          <w:sz w:val="20"/>
          <w:szCs w:val="20"/>
        </w:rPr>
      </w:pPr>
      <w:r w:rsidRPr="00F07538">
        <w:rPr>
          <w:rFonts w:ascii="Arial" w:eastAsia="Calibri" w:hAnsi="Arial" w:cs="Arial"/>
          <w:sz w:val="20"/>
          <w:szCs w:val="20"/>
        </w:rPr>
        <w:t>Prema dostavljenom izvješću o utrošku sredstava namijenjenih udrugama / članicama Zajednice, te tabelarnim prikazima, Zajednica je ugovorila s 28 članica financiranje rada udruga u iznosu 124.500 €. Članicama su doznačena sredstva u iznosu 126.050 € (na temelju ugovora iz 2025. sredstva 113.500 €, te na temelju ranijih ugovora 12.550 €), a nije isplaćeno do konca godine 11.000 €.</w:t>
      </w:r>
    </w:p>
    <w:p w14:paraId="3259BB97" w14:textId="77777777" w:rsidR="00F07538" w:rsidRPr="00676A9B" w:rsidRDefault="00F07538" w:rsidP="00676A9B">
      <w:pPr>
        <w:autoSpaceDE w:val="0"/>
        <w:autoSpaceDN w:val="0"/>
        <w:adjustRightInd w:val="0"/>
        <w:spacing w:after="0" w:line="240" w:lineRule="auto"/>
        <w:jc w:val="both"/>
        <w:rPr>
          <w:rFonts w:ascii="Arial" w:eastAsia="Calibri" w:hAnsi="Arial" w:cs="Arial"/>
          <w:b/>
          <w:sz w:val="20"/>
          <w:szCs w:val="20"/>
        </w:rPr>
      </w:pPr>
    </w:p>
    <w:p w14:paraId="290255A0"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9. A203409: Održavanje sportskih objekata </w:t>
      </w:r>
      <w:r w:rsidRPr="00676A9B">
        <w:rPr>
          <w:rFonts w:ascii="Arial" w:eastAsia="Calibri" w:hAnsi="Arial" w:cs="Arial"/>
          <w:sz w:val="20"/>
          <w:szCs w:val="20"/>
        </w:rPr>
        <w:t xml:space="preserve">– u sklopu navedene aktivnosti rashodi nisu planirani niti izvršeni. </w:t>
      </w:r>
    </w:p>
    <w:p w14:paraId="599B9A70"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4180A72F"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Aktivnosti vezane uz opće ciljeve postignute su sukladno postocima izvršenja i u skladu s očekivanom dinamikom izvršenja rashoda. </w:t>
      </w:r>
      <w:r w:rsidRPr="00676A9B">
        <w:rPr>
          <w:rFonts w:ascii="Arial" w:eastAsia="Calibri" w:hAnsi="Arial" w:cs="Arial"/>
          <w:sz w:val="20"/>
          <w:szCs w:val="20"/>
        </w:rPr>
        <w:br w:type="page"/>
      </w:r>
    </w:p>
    <w:p w14:paraId="7F9A9082" w14:textId="77777777" w:rsidR="00676A9B" w:rsidRPr="00676A9B" w:rsidRDefault="00676A9B" w:rsidP="00676A9B">
      <w:pPr>
        <w:keepNext/>
        <w:spacing w:after="0" w:line="240" w:lineRule="auto"/>
        <w:jc w:val="both"/>
        <w:outlineLvl w:val="2"/>
        <w:rPr>
          <w:rFonts w:ascii="Times New Roman" w:eastAsia="Calibri" w:hAnsi="Times New Roman" w:cs="Times New Roman"/>
          <w:b/>
          <w:sz w:val="24"/>
          <w:szCs w:val="20"/>
          <w:lang w:eastAsia="en-US"/>
        </w:rPr>
      </w:pPr>
      <w:bookmarkStart w:id="383" w:name="_Toc200628508"/>
      <w:bookmarkStart w:id="384" w:name="_Toc232981440"/>
      <w:r w:rsidRPr="00676A9B">
        <w:rPr>
          <w:rFonts w:ascii="Times New Roman" w:eastAsia="Calibri" w:hAnsi="Times New Roman" w:cs="Times New Roman"/>
          <w:b/>
          <w:sz w:val="24"/>
          <w:szCs w:val="20"/>
          <w:lang w:eastAsia="en-US"/>
        </w:rPr>
        <w:lastRenderedPageBreak/>
        <w:t>Program (2040): Program demografskih mjera</w:t>
      </w:r>
      <w:bookmarkEnd w:id="383"/>
      <w:bookmarkEnd w:id="384"/>
    </w:p>
    <w:p w14:paraId="67A6D4A5" w14:textId="77777777" w:rsidR="00676A9B" w:rsidRPr="00676A9B" w:rsidRDefault="00676A9B" w:rsidP="00676A9B">
      <w:pPr>
        <w:spacing w:after="0" w:line="240" w:lineRule="auto"/>
        <w:jc w:val="both"/>
        <w:rPr>
          <w:rFonts w:ascii="Arial" w:eastAsia="Times New Roman" w:hAnsi="Arial" w:cs="Arial"/>
          <w:sz w:val="14"/>
          <w:szCs w:val="14"/>
          <w:lang w:eastAsia="en-US"/>
        </w:rPr>
      </w:pPr>
    </w:p>
    <w:tbl>
      <w:tblPr>
        <w:tblW w:w="1431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9"/>
        <w:gridCol w:w="12873"/>
      </w:tblGrid>
      <w:tr w:rsidR="00676A9B" w:rsidRPr="00676A9B" w14:paraId="05F9C04C" w14:textId="77777777" w:rsidTr="00410A4B">
        <w:tc>
          <w:tcPr>
            <w:tcW w:w="1439" w:type="dxa"/>
            <w:tcBorders>
              <w:top w:val="dotted" w:sz="4" w:space="0" w:color="auto"/>
              <w:left w:val="dotted" w:sz="4" w:space="0" w:color="auto"/>
              <w:bottom w:val="dotted" w:sz="4" w:space="0" w:color="auto"/>
              <w:right w:val="dotted" w:sz="4" w:space="0" w:color="auto"/>
            </w:tcBorders>
            <w:hideMark/>
          </w:tcPr>
          <w:p w14:paraId="06389CE1"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OPIS PROGRAMA:</w:t>
            </w:r>
          </w:p>
        </w:tc>
        <w:tc>
          <w:tcPr>
            <w:tcW w:w="12873" w:type="dxa"/>
            <w:tcBorders>
              <w:top w:val="dotted" w:sz="4" w:space="0" w:color="auto"/>
              <w:left w:val="dotted" w:sz="4" w:space="0" w:color="auto"/>
              <w:bottom w:val="dotted" w:sz="4" w:space="0" w:color="auto"/>
              <w:right w:val="dotted" w:sz="4" w:space="0" w:color="auto"/>
            </w:tcBorders>
            <w:hideMark/>
          </w:tcPr>
          <w:p w14:paraId="44E71C89"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Kroz ovaj program želi se, u skladu s proračunskim mogućnostima, potaknuti na provedbu određenih oblika demografskih mjera. Program je namijenjen svim stanovnicima Općine.</w:t>
            </w:r>
          </w:p>
          <w:p w14:paraId="713E8178"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U sklopu ovog programa su mjere sufinanciranja troškova boravka djece u dječjem vrtiću, potpore za novorođenu djecu, sufinanciranje prijevoza učenika i studenata, mjere za rješavanje stambenog pitanja i slično.</w:t>
            </w:r>
          </w:p>
        </w:tc>
      </w:tr>
      <w:tr w:rsidR="00676A9B" w:rsidRPr="00676A9B" w14:paraId="2F176548" w14:textId="77777777" w:rsidTr="00410A4B">
        <w:tc>
          <w:tcPr>
            <w:tcW w:w="1439" w:type="dxa"/>
            <w:tcBorders>
              <w:top w:val="dotted" w:sz="4" w:space="0" w:color="auto"/>
              <w:left w:val="dotted" w:sz="4" w:space="0" w:color="auto"/>
              <w:bottom w:val="dotted" w:sz="4" w:space="0" w:color="auto"/>
              <w:right w:val="dotted" w:sz="4" w:space="0" w:color="auto"/>
            </w:tcBorders>
            <w:hideMark/>
          </w:tcPr>
          <w:p w14:paraId="5952E612"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ZAKONSKE I DRUGE PRAVNE OSNOVE PROGRAMA:</w:t>
            </w:r>
          </w:p>
        </w:tc>
        <w:tc>
          <w:tcPr>
            <w:tcW w:w="12873" w:type="dxa"/>
            <w:tcBorders>
              <w:top w:val="dotted" w:sz="4" w:space="0" w:color="auto"/>
              <w:left w:val="dotted" w:sz="4" w:space="0" w:color="auto"/>
              <w:bottom w:val="dotted" w:sz="4" w:space="0" w:color="auto"/>
              <w:right w:val="dotted" w:sz="4" w:space="0" w:color="auto"/>
            </w:tcBorders>
            <w:hideMark/>
          </w:tcPr>
          <w:p w14:paraId="5C511ECC"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Zakon o lokalnoj i područnoj (regionalnoj) samoupravi (NN 33/01,60/01,129/05, 109/07,125/08, 36/09, 150/11, 144/12, 19/13, 137/15, 123/17, 98/19, 144/20), Zakon o socijalnoj skrbi (NN 18/22, 46/22, 119/22, 71/23, 156/23, 61/25), Odluka o vrstama programa i utvrđivanju mjerila za sudjelovanje roditelja – korisnika usluga u cijeni programa Dječjeg vrtića Konavle (Službeni glasnik Općine Konavle 7/21, 8/21), Program demografskih mjera za tekuću godinu, Statut Općine i drugi akti</w:t>
            </w:r>
          </w:p>
        </w:tc>
      </w:tr>
      <w:tr w:rsidR="00676A9B" w:rsidRPr="00676A9B" w14:paraId="3BD981A9" w14:textId="77777777" w:rsidTr="00410A4B">
        <w:tc>
          <w:tcPr>
            <w:tcW w:w="1439" w:type="dxa"/>
            <w:tcBorders>
              <w:top w:val="dotted" w:sz="4" w:space="0" w:color="auto"/>
              <w:left w:val="dotted" w:sz="4" w:space="0" w:color="auto"/>
              <w:bottom w:val="dotted" w:sz="4" w:space="0" w:color="auto"/>
              <w:right w:val="dotted" w:sz="4" w:space="0" w:color="auto"/>
            </w:tcBorders>
            <w:hideMark/>
          </w:tcPr>
          <w:p w14:paraId="2F954796"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OPĆI CILJ:</w:t>
            </w:r>
          </w:p>
        </w:tc>
        <w:tc>
          <w:tcPr>
            <w:tcW w:w="12873" w:type="dxa"/>
            <w:tcBorders>
              <w:top w:val="dotted" w:sz="4" w:space="0" w:color="auto"/>
              <w:left w:val="dotted" w:sz="4" w:space="0" w:color="auto"/>
              <w:bottom w:val="dotted" w:sz="4" w:space="0" w:color="auto"/>
              <w:right w:val="dotted" w:sz="4" w:space="0" w:color="auto"/>
            </w:tcBorders>
            <w:hideMark/>
          </w:tcPr>
          <w:p w14:paraId="0CE80376"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Ostvariti zadovoljstvo građana kroz potpore i sufinanciranje. Svrha ovog programa je osigurati stanovnicima općine bolje uvjete za život i ostanak u Općini.</w:t>
            </w:r>
          </w:p>
        </w:tc>
      </w:tr>
      <w:tr w:rsidR="00676A9B" w:rsidRPr="00676A9B" w14:paraId="79D820D3" w14:textId="77777777" w:rsidTr="00410A4B">
        <w:tc>
          <w:tcPr>
            <w:tcW w:w="1439" w:type="dxa"/>
            <w:tcBorders>
              <w:top w:val="dotted" w:sz="4" w:space="0" w:color="auto"/>
              <w:left w:val="dotted" w:sz="4" w:space="0" w:color="auto"/>
              <w:bottom w:val="dotted" w:sz="4" w:space="0" w:color="auto"/>
              <w:right w:val="dotted" w:sz="4" w:space="0" w:color="auto"/>
            </w:tcBorders>
            <w:vAlign w:val="bottom"/>
          </w:tcPr>
          <w:p w14:paraId="2250084A"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POSEBNI CILJEVI:</w:t>
            </w:r>
          </w:p>
        </w:tc>
        <w:tc>
          <w:tcPr>
            <w:tcW w:w="12873" w:type="dxa"/>
            <w:tcBorders>
              <w:top w:val="dotted" w:sz="4" w:space="0" w:color="auto"/>
              <w:left w:val="dotted" w:sz="4" w:space="0" w:color="auto"/>
              <w:bottom w:val="dotted" w:sz="4" w:space="0" w:color="auto"/>
              <w:right w:val="dotted" w:sz="4" w:space="0" w:color="auto"/>
            </w:tcBorders>
            <w:vAlign w:val="bottom"/>
          </w:tcPr>
          <w:p w14:paraId="735AB4D4"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Calibri" w:hAnsi="Arial" w:cs="Arial"/>
                <w:sz w:val="20"/>
                <w:szCs w:val="20"/>
                <w:lang w:eastAsia="en-US"/>
              </w:rPr>
              <w:t xml:space="preserve">Programom se pomaže stvaranje određenih preduvjeta za kvalitetniji život na području Općine. </w:t>
            </w:r>
          </w:p>
        </w:tc>
      </w:tr>
    </w:tbl>
    <w:p w14:paraId="73702992" w14:textId="77777777" w:rsidR="00676A9B" w:rsidRPr="00676A9B" w:rsidRDefault="00676A9B" w:rsidP="00676A9B">
      <w:pPr>
        <w:spacing w:after="0" w:line="240" w:lineRule="auto"/>
        <w:rPr>
          <w:rFonts w:ascii="Arial" w:eastAsia="Calibri" w:hAnsi="Arial" w:cs="Arial"/>
          <w:sz w:val="14"/>
          <w:szCs w:val="14"/>
        </w:rPr>
      </w:pPr>
    </w:p>
    <w:p w14:paraId="30F7CE09"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rPr>
          <w:rFonts w:ascii="Arial" w:eastAsia="Calibri" w:hAnsi="Arial" w:cs="Arial"/>
          <w:sz w:val="20"/>
          <w:szCs w:val="20"/>
        </w:rPr>
      </w:pPr>
      <w:r w:rsidRPr="00676A9B">
        <w:rPr>
          <w:rFonts w:ascii="Arial" w:eastAsia="Calibri" w:hAnsi="Arial" w:cs="Arial"/>
          <w:b/>
          <w:sz w:val="20"/>
          <w:szCs w:val="20"/>
          <w:lang w:eastAsia="en-US"/>
        </w:rPr>
        <w:t>Procjena i ishodište potrebnih sredstava za aktivnosti unutar programa</w:t>
      </w:r>
    </w:p>
    <w:p w14:paraId="2DA7FCD2" w14:textId="77777777" w:rsidR="00676A9B" w:rsidRPr="00676A9B" w:rsidRDefault="00676A9B" w:rsidP="00676A9B">
      <w:pPr>
        <w:spacing w:after="0" w:line="240" w:lineRule="auto"/>
        <w:jc w:val="both"/>
        <w:rPr>
          <w:rFonts w:ascii="Arial" w:eastAsia="Calibri" w:hAnsi="Arial" w:cs="Arial"/>
          <w:sz w:val="20"/>
          <w:szCs w:val="20"/>
        </w:rPr>
      </w:pPr>
    </w:p>
    <w:p w14:paraId="209ADE0E" w14:textId="3C4D2175" w:rsidR="00676A9B" w:rsidRPr="00676A9B" w:rsidRDefault="008A16BA" w:rsidP="00676A9B">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704589C9" w14:textId="77777777" w:rsidR="00676A9B" w:rsidRPr="005C0EB6" w:rsidRDefault="00676A9B" w:rsidP="00676A9B">
      <w:pPr>
        <w:spacing w:after="0" w:line="240" w:lineRule="auto"/>
        <w:rPr>
          <w:rFonts w:ascii="Arial" w:eastAsia="Calibri" w:hAnsi="Arial" w:cs="Arial"/>
          <w:sz w:val="14"/>
          <w:szCs w:val="14"/>
        </w:rPr>
      </w:pPr>
    </w:p>
    <w:p w14:paraId="36C3E7E5" w14:textId="0FD98968" w:rsidR="00676A9B" w:rsidRPr="005C0EB6" w:rsidRDefault="005C0EB6" w:rsidP="00676A9B">
      <w:pPr>
        <w:spacing w:after="0" w:line="240" w:lineRule="auto"/>
        <w:rPr>
          <w:rFonts w:ascii="Arial" w:eastAsia="Calibri" w:hAnsi="Arial" w:cs="Arial"/>
          <w:sz w:val="14"/>
          <w:szCs w:val="14"/>
        </w:rPr>
      </w:pPr>
      <w:r w:rsidRPr="005C0EB6">
        <w:rPr>
          <w:noProof/>
        </w:rPr>
        <w:drawing>
          <wp:inline distT="0" distB="0" distL="0" distR="0" wp14:anchorId="026DB9EF" wp14:editId="29246C25">
            <wp:extent cx="9251950" cy="2798445"/>
            <wp:effectExtent l="0" t="0" r="6350" b="1905"/>
            <wp:docPr id="674592965"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9251950" cy="2798445"/>
                    </a:xfrm>
                    <a:prstGeom prst="rect">
                      <a:avLst/>
                    </a:prstGeom>
                    <a:noFill/>
                    <a:ln>
                      <a:noFill/>
                    </a:ln>
                  </pic:spPr>
                </pic:pic>
              </a:graphicData>
            </a:graphic>
          </wp:inline>
        </w:drawing>
      </w:r>
    </w:p>
    <w:p w14:paraId="14A40A0B" w14:textId="77777777" w:rsidR="00676A9B" w:rsidRPr="005C0EB6" w:rsidRDefault="00676A9B" w:rsidP="00676A9B">
      <w:pPr>
        <w:spacing w:after="0" w:line="240" w:lineRule="auto"/>
        <w:rPr>
          <w:rFonts w:ascii="Arial" w:eastAsia="Calibri" w:hAnsi="Arial" w:cs="Arial"/>
          <w:sz w:val="14"/>
          <w:szCs w:val="14"/>
        </w:rPr>
      </w:pPr>
    </w:p>
    <w:p w14:paraId="74221744" w14:textId="77777777" w:rsidR="00676A9B" w:rsidRPr="00676A9B" w:rsidRDefault="00676A9B">
      <w:pPr>
        <w:numPr>
          <w:ilvl w:val="0"/>
          <w:numId w:val="6"/>
        </w:numPr>
        <w:tabs>
          <w:tab w:val="left" w:pos="709"/>
        </w:tabs>
        <w:spacing w:after="0" w:line="240" w:lineRule="auto"/>
        <w:ind w:left="426" w:hanging="426"/>
        <w:jc w:val="both"/>
        <w:rPr>
          <w:rFonts w:ascii="Arial" w:eastAsia="Calibri" w:hAnsi="Arial" w:cs="Arial"/>
          <w:sz w:val="18"/>
          <w:szCs w:val="18"/>
        </w:rPr>
      </w:pPr>
      <w:r w:rsidRPr="00676A9B">
        <w:rPr>
          <w:rFonts w:ascii="Arial" w:eastAsia="Calibri" w:hAnsi="Arial" w:cs="Arial"/>
          <w:sz w:val="18"/>
          <w:szCs w:val="18"/>
        </w:rPr>
        <w:lastRenderedPageBreak/>
        <w:t xml:space="preserve">U proračunskom razdoblju 2019-2021. Program </w:t>
      </w:r>
      <w:r w:rsidRPr="00676A9B">
        <w:rPr>
          <w:rFonts w:ascii="Arial" w:eastAsia="Calibri" w:hAnsi="Arial" w:cs="Arial"/>
          <w:b/>
          <w:sz w:val="18"/>
          <w:szCs w:val="18"/>
        </w:rPr>
        <w:t>2041</w:t>
      </w:r>
      <w:r w:rsidRPr="00676A9B">
        <w:rPr>
          <w:rFonts w:ascii="Arial" w:eastAsia="Calibri" w:hAnsi="Arial" w:cs="Arial"/>
          <w:sz w:val="18"/>
          <w:szCs w:val="18"/>
        </w:rPr>
        <w:t xml:space="preserve">. se razdvojio na dva dijela, odnosno na </w:t>
      </w:r>
      <w:r w:rsidRPr="00676A9B">
        <w:rPr>
          <w:rFonts w:ascii="Arial" w:eastAsia="Calibri" w:hAnsi="Arial" w:cs="Arial"/>
          <w:b/>
          <w:sz w:val="18"/>
          <w:szCs w:val="18"/>
        </w:rPr>
        <w:t>2040</w:t>
      </w:r>
      <w:r w:rsidRPr="00676A9B">
        <w:rPr>
          <w:rFonts w:ascii="Arial" w:eastAsia="Calibri" w:hAnsi="Arial" w:cs="Arial"/>
          <w:sz w:val="18"/>
          <w:szCs w:val="18"/>
        </w:rPr>
        <w:t xml:space="preserve">. program demografskih mjera i </w:t>
      </w:r>
      <w:r w:rsidRPr="00676A9B">
        <w:rPr>
          <w:rFonts w:ascii="Arial" w:eastAsia="Calibri" w:hAnsi="Arial" w:cs="Arial"/>
          <w:b/>
          <w:sz w:val="18"/>
          <w:szCs w:val="18"/>
        </w:rPr>
        <w:t>2041.</w:t>
      </w:r>
      <w:r w:rsidRPr="00676A9B">
        <w:rPr>
          <w:rFonts w:ascii="Arial" w:eastAsia="Calibri" w:hAnsi="Arial" w:cs="Arial"/>
          <w:sz w:val="18"/>
          <w:szCs w:val="18"/>
        </w:rPr>
        <w:t xml:space="preserve"> program socijalne pomoći. Zbog navedenog razloga u sljedećem proračunskom razdoblju su i izvršenja prethodnih godina podijeljena kroz ove dvije aktivnosti. U okviru novoimenovanih aktivnosti, radi kontinuiteta prikaza troškova, prikazuju se izvršenja istovrsnih rashoda, odnosno izvršenja iz prethodnih godina, iako su ranije bila iskazana kroz aktivnosti drugačijeg naziva. </w:t>
      </w:r>
    </w:p>
    <w:p w14:paraId="5AE392A6" w14:textId="77777777" w:rsidR="00676A9B" w:rsidRPr="00676A9B" w:rsidRDefault="00676A9B">
      <w:pPr>
        <w:numPr>
          <w:ilvl w:val="0"/>
          <w:numId w:val="6"/>
        </w:numPr>
        <w:tabs>
          <w:tab w:val="left" w:pos="709"/>
        </w:tabs>
        <w:spacing w:after="0" w:line="240" w:lineRule="auto"/>
        <w:ind w:left="426" w:hanging="426"/>
        <w:jc w:val="both"/>
        <w:rPr>
          <w:rFonts w:ascii="Arial" w:eastAsia="Calibri" w:hAnsi="Arial" w:cs="Arial"/>
          <w:sz w:val="18"/>
          <w:szCs w:val="18"/>
        </w:rPr>
      </w:pPr>
      <w:r w:rsidRPr="00676A9B">
        <w:rPr>
          <w:rFonts w:ascii="Arial" w:eastAsia="Calibri" w:hAnsi="Arial" w:cs="Arial"/>
          <w:sz w:val="18"/>
          <w:szCs w:val="18"/>
        </w:rPr>
        <w:t>Iako su demografske mjere u 2018. godini prikazivane unutar programa 2041, bili su razdvojeni pojedini iznosi za socijalne i demografske mjere</w:t>
      </w:r>
    </w:p>
    <w:p w14:paraId="677DC963"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b/>
          <w:sz w:val="20"/>
          <w:szCs w:val="20"/>
          <w:lang w:eastAsia="en-US"/>
        </w:rPr>
        <w:t>RAZLOG ODSTUPANJA OD PROŠLOGODIŠNJIH PROJEKCIJA</w:t>
      </w:r>
      <w:r w:rsidRPr="00676A9B">
        <w:rPr>
          <w:rFonts w:ascii="Arial" w:eastAsia="Times New Roman" w:hAnsi="Arial" w:cs="Arial"/>
          <w:sz w:val="20"/>
          <w:szCs w:val="20"/>
          <w:lang w:eastAsia="en-US"/>
        </w:rPr>
        <w:t xml:space="preserve">: </w:t>
      </w:r>
    </w:p>
    <w:p w14:paraId="5FA3C80F"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sz w:val="20"/>
          <w:szCs w:val="20"/>
          <w:lang w:eastAsia="en-US"/>
        </w:rPr>
        <w:t>Po navedenom programu nije bilo značajnijih odstupanja.</w:t>
      </w:r>
    </w:p>
    <w:p w14:paraId="293ED346" w14:textId="77777777" w:rsidR="00676A9B" w:rsidRPr="00676A9B" w:rsidRDefault="00676A9B" w:rsidP="00676A9B">
      <w:pPr>
        <w:spacing w:after="0" w:line="240" w:lineRule="auto"/>
        <w:jc w:val="both"/>
        <w:rPr>
          <w:rFonts w:ascii="Arial" w:eastAsia="Calibri" w:hAnsi="Arial" w:cs="Arial"/>
          <w:sz w:val="20"/>
          <w:szCs w:val="20"/>
          <w:lang w:eastAsia="en-US"/>
        </w:rPr>
      </w:pPr>
    </w:p>
    <w:p w14:paraId="6A3BE684" w14:textId="77777777" w:rsidR="00676A9B" w:rsidRPr="00676A9B" w:rsidRDefault="00676A9B" w:rsidP="00676A9B">
      <w:pPr>
        <w:spacing w:after="0" w:line="240" w:lineRule="auto"/>
        <w:jc w:val="both"/>
        <w:rPr>
          <w:rFonts w:ascii="Arial" w:eastAsia="Calibri" w:hAnsi="Arial" w:cs="Arial"/>
          <w:i/>
          <w:sz w:val="20"/>
          <w:szCs w:val="20"/>
          <w:lang w:eastAsia="en-US"/>
        </w:rPr>
      </w:pPr>
      <w:r w:rsidRPr="00676A9B">
        <w:rPr>
          <w:rFonts w:ascii="Arial" w:eastAsia="Calibri" w:hAnsi="Arial" w:cs="Arial"/>
          <w:b/>
          <w:sz w:val="20"/>
          <w:szCs w:val="20"/>
          <w:lang w:eastAsia="en-US"/>
        </w:rPr>
        <w:t>Ishodište i pokazatelji na kojima se zasnivaju izračuni i ocjene</w:t>
      </w:r>
      <w:r w:rsidRPr="00676A9B">
        <w:rPr>
          <w:rFonts w:ascii="Arial" w:eastAsia="Calibri" w:hAnsi="Arial" w:cs="Arial"/>
          <w:sz w:val="20"/>
          <w:szCs w:val="20"/>
          <w:lang w:eastAsia="en-US"/>
        </w:rPr>
        <w:t xml:space="preserve"> </w:t>
      </w:r>
      <w:r w:rsidRPr="00676A9B">
        <w:rPr>
          <w:rFonts w:ascii="Arial" w:eastAsia="Calibri" w:hAnsi="Arial" w:cs="Arial"/>
          <w:b/>
          <w:sz w:val="20"/>
          <w:szCs w:val="20"/>
          <w:lang w:eastAsia="en-US"/>
        </w:rPr>
        <w:t>potrebnih sredstava za provođenje programa:</w:t>
      </w:r>
      <w:r w:rsidRPr="00676A9B">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170737BD" w14:textId="77777777" w:rsidR="00676A9B" w:rsidRPr="00676A9B" w:rsidRDefault="00676A9B" w:rsidP="00676A9B">
      <w:pPr>
        <w:shd w:val="clear" w:color="auto" w:fill="FFFFFF"/>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Izvještaj o postignutim ciljevima i rezultatima programa temeljenim na pokazateljima uspješnosti u prethodnoj godini</w:t>
      </w:r>
      <w:r w:rsidRPr="00676A9B">
        <w:rPr>
          <w:rFonts w:ascii="Arial" w:eastAsia="Calibri" w:hAnsi="Arial" w:cs="Arial"/>
          <w:sz w:val="20"/>
          <w:szCs w:val="20"/>
          <w:lang w:eastAsia="en-US"/>
        </w:rPr>
        <w:t>: Izvršenje je u okviru očekivanih vrijednosti.</w:t>
      </w:r>
    </w:p>
    <w:p w14:paraId="0AF202B7" w14:textId="77777777" w:rsidR="00676A9B" w:rsidRPr="00676A9B" w:rsidRDefault="00676A9B" w:rsidP="00676A9B">
      <w:pPr>
        <w:spacing w:after="0" w:line="240" w:lineRule="auto"/>
        <w:jc w:val="both"/>
        <w:rPr>
          <w:rFonts w:ascii="Arial" w:eastAsia="Calibri" w:hAnsi="Arial" w:cs="Arial"/>
          <w:sz w:val="20"/>
          <w:szCs w:val="20"/>
          <w:lang w:eastAsia="en-US"/>
        </w:rPr>
      </w:pPr>
    </w:p>
    <w:p w14:paraId="46A5B5FD" w14:textId="77777777" w:rsidR="005C0EB6" w:rsidRDefault="005C0EB6" w:rsidP="00676A9B">
      <w:pPr>
        <w:spacing w:after="0" w:line="240" w:lineRule="auto"/>
        <w:jc w:val="both"/>
        <w:rPr>
          <w:rFonts w:ascii="Arial" w:eastAsia="Calibri" w:hAnsi="Arial" w:cs="Arial"/>
          <w:sz w:val="20"/>
          <w:szCs w:val="20"/>
          <w:lang w:eastAsia="en-US"/>
        </w:rPr>
      </w:pPr>
      <w:r w:rsidRPr="005C0EB6">
        <w:rPr>
          <w:rFonts w:ascii="Arial" w:eastAsia="Calibri" w:hAnsi="Arial" w:cs="Arial"/>
          <w:sz w:val="20"/>
          <w:szCs w:val="20"/>
          <w:lang w:eastAsia="en-US"/>
        </w:rPr>
        <w:t xml:space="preserve">Ukupno planirana sredstva na razini programa 2040 iznose </w:t>
      </w:r>
      <w:r>
        <w:rPr>
          <w:rFonts w:ascii="Arial" w:eastAsia="Calibri" w:hAnsi="Arial" w:cs="Arial"/>
          <w:sz w:val="20"/>
          <w:szCs w:val="20"/>
          <w:lang w:eastAsia="en-US"/>
        </w:rPr>
        <w:t xml:space="preserve">207.840 </w:t>
      </w:r>
      <w:r w:rsidRPr="005C0EB6">
        <w:rPr>
          <w:rFonts w:ascii="Arial" w:eastAsia="Calibri" w:hAnsi="Arial" w:cs="Arial"/>
          <w:sz w:val="20"/>
          <w:szCs w:val="20"/>
          <w:lang w:eastAsia="en-US"/>
        </w:rPr>
        <w:t>€ za 2025. godinu, te 235.000 € za 2026 i 237.000 € za 2027. godinu.</w:t>
      </w:r>
      <w:r>
        <w:rPr>
          <w:rFonts w:ascii="Arial" w:eastAsia="Calibri" w:hAnsi="Arial" w:cs="Arial"/>
          <w:sz w:val="20"/>
          <w:szCs w:val="20"/>
          <w:lang w:eastAsia="en-US"/>
        </w:rPr>
        <w:t xml:space="preserve"> </w:t>
      </w:r>
    </w:p>
    <w:p w14:paraId="61FD4C41" w14:textId="77777777" w:rsidR="005C0EB6" w:rsidRDefault="005C0EB6" w:rsidP="00676A9B">
      <w:pPr>
        <w:spacing w:after="0" w:line="240" w:lineRule="auto"/>
        <w:jc w:val="both"/>
        <w:rPr>
          <w:rFonts w:ascii="Arial" w:eastAsia="Calibri" w:hAnsi="Arial" w:cs="Arial"/>
          <w:sz w:val="20"/>
          <w:szCs w:val="20"/>
          <w:lang w:eastAsia="en-US"/>
        </w:rPr>
      </w:pPr>
    </w:p>
    <w:p w14:paraId="015ECAAD" w14:textId="3C849493"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Rashodi za 20</w:t>
      </w:r>
      <w:r w:rsidR="005C0EB6">
        <w:rPr>
          <w:rFonts w:ascii="Arial" w:eastAsia="Calibri" w:hAnsi="Arial" w:cs="Arial"/>
          <w:sz w:val="20"/>
          <w:szCs w:val="20"/>
          <w:lang w:eastAsia="en-US"/>
        </w:rPr>
        <w:t>25</w:t>
      </w:r>
      <w:r w:rsidRPr="00676A9B">
        <w:rPr>
          <w:rFonts w:ascii="Arial" w:eastAsia="Calibri" w:hAnsi="Arial" w:cs="Arial"/>
          <w:sz w:val="20"/>
          <w:szCs w:val="20"/>
          <w:lang w:eastAsia="en-US"/>
        </w:rPr>
        <w:t xml:space="preserve">. godinu su izvršeni u iznosu </w:t>
      </w:r>
      <w:r w:rsidR="005C0EB6">
        <w:rPr>
          <w:rFonts w:ascii="Arial" w:eastAsia="Calibri" w:hAnsi="Arial" w:cs="Arial"/>
          <w:sz w:val="20"/>
          <w:szCs w:val="20"/>
          <w:lang w:eastAsia="en-US"/>
        </w:rPr>
        <w:t>176.084,69</w:t>
      </w:r>
      <w:r w:rsidRPr="00676A9B">
        <w:rPr>
          <w:rFonts w:ascii="Arial" w:eastAsia="Calibri" w:hAnsi="Arial" w:cs="Arial"/>
          <w:sz w:val="20"/>
          <w:szCs w:val="20"/>
          <w:lang w:eastAsia="en-US"/>
        </w:rPr>
        <w:t xml:space="preserve"> € ili 84,</w:t>
      </w:r>
      <w:r w:rsidR="005C0EB6">
        <w:rPr>
          <w:rFonts w:ascii="Arial" w:eastAsia="Calibri" w:hAnsi="Arial" w:cs="Arial"/>
          <w:sz w:val="20"/>
          <w:szCs w:val="20"/>
          <w:lang w:eastAsia="en-US"/>
        </w:rPr>
        <w:t>7</w:t>
      </w:r>
      <w:r w:rsidRPr="00676A9B">
        <w:rPr>
          <w:rFonts w:ascii="Arial" w:eastAsia="Calibri" w:hAnsi="Arial" w:cs="Arial"/>
          <w:sz w:val="20"/>
          <w:szCs w:val="20"/>
          <w:lang w:eastAsia="en-US"/>
        </w:rPr>
        <w:t>% plana.</w:t>
      </w:r>
    </w:p>
    <w:p w14:paraId="2C91F80F" w14:textId="77777777" w:rsidR="00676A9B" w:rsidRPr="00676A9B" w:rsidRDefault="00676A9B" w:rsidP="00676A9B">
      <w:pPr>
        <w:shd w:val="clear" w:color="auto" w:fill="FFFFFF"/>
        <w:spacing w:after="0" w:line="240" w:lineRule="auto"/>
        <w:jc w:val="both"/>
        <w:rPr>
          <w:rFonts w:ascii="Arial" w:eastAsia="Calibri" w:hAnsi="Arial" w:cs="Arial"/>
          <w:sz w:val="20"/>
          <w:szCs w:val="20"/>
          <w:lang w:eastAsia="en-US"/>
        </w:rPr>
      </w:pPr>
    </w:p>
    <w:p w14:paraId="76E62D8A"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676A9B">
        <w:rPr>
          <w:rFonts w:ascii="Arial" w:eastAsia="Calibri" w:hAnsi="Arial" w:cs="Arial"/>
          <w:b/>
          <w:sz w:val="20"/>
          <w:szCs w:val="20"/>
          <w:lang w:eastAsia="en-US"/>
        </w:rPr>
        <w:t>Obrazloženje aktivnosti / projekata i pokazatelji uspješnosti</w:t>
      </w:r>
    </w:p>
    <w:p w14:paraId="776E0785" w14:textId="77777777" w:rsidR="00676A9B" w:rsidRPr="00676A9B" w:rsidRDefault="00676A9B" w:rsidP="00676A9B">
      <w:pPr>
        <w:spacing w:after="0" w:line="240" w:lineRule="auto"/>
        <w:jc w:val="both"/>
        <w:rPr>
          <w:rFonts w:ascii="Arial" w:eastAsia="Calibri" w:hAnsi="Arial" w:cs="Arial"/>
          <w:sz w:val="20"/>
          <w:szCs w:val="20"/>
          <w:lang w:eastAsia="en-US"/>
        </w:rPr>
      </w:pPr>
    </w:p>
    <w:p w14:paraId="53236FA1"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Unutar programa izvode se slijedeće aktivnosti i projekti:</w:t>
      </w:r>
    </w:p>
    <w:p w14:paraId="117E4623" w14:textId="77777777" w:rsidR="00676A9B" w:rsidRPr="00676A9B" w:rsidRDefault="00676A9B" w:rsidP="00676A9B">
      <w:pPr>
        <w:spacing w:after="0" w:line="240" w:lineRule="auto"/>
        <w:jc w:val="both"/>
        <w:rPr>
          <w:rFonts w:ascii="Arial" w:eastAsia="Calibri" w:hAnsi="Arial" w:cs="Arial"/>
          <w:sz w:val="20"/>
          <w:szCs w:val="20"/>
        </w:rPr>
      </w:pPr>
    </w:p>
    <w:p w14:paraId="34556D9B" w14:textId="7DDD4CF3"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1. A204001: Pomoć za podmirenje troškova boravka djece u dječjem vrtiću </w:t>
      </w:r>
      <w:r w:rsidRPr="00676A9B">
        <w:rPr>
          <w:rFonts w:ascii="Arial" w:eastAsia="Calibri" w:hAnsi="Arial" w:cs="Arial"/>
          <w:sz w:val="20"/>
          <w:szCs w:val="20"/>
        </w:rPr>
        <w:t>– u sklopu navedene aktivnosti se planiraju rashodi za pomoći za podmirenje troškova boravka djece u vrtiću u skladu s Programom demografskih mjera i socijalno zdravstvenih potreba. Rashodi su planirani temeljem prava na besplatni boravak za drugo i treće dijete u vrtiću, te četvero i svako naredno novorođeno dijete u obitelji čiji roditelji (staratelji) imaju prebivalište u Općini. Planirana sredstva iznose 60.000 €</w:t>
      </w:r>
    </w:p>
    <w:p w14:paraId="4C5A9253"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Naknadu za plaćanje troškova boravka djeteta u dječjim jaslicama i vrtićima u iznosu kojeg plaćaju roditelj/i (učešće roditelja), može se ostvariti za dijete čiji roditelj/i ispunjava/ju uvjete određene programom demografskih i socijalnih mjera. Pod troškom boravka podrazumijeva se cijena smještaja djece utvrđena Odlukom o vrstama programa i utvrđivanju mjerila za sudjelovanje roditelja - korisnika usluga u cijeni programa dječjeg vrtića.</w:t>
      </w:r>
    </w:p>
    <w:p w14:paraId="49AC4AC6" w14:textId="77777777" w:rsidR="00676A9B" w:rsidRPr="00676A9B" w:rsidRDefault="00676A9B" w:rsidP="00676A9B">
      <w:pPr>
        <w:spacing w:after="0" w:line="240" w:lineRule="auto"/>
        <w:jc w:val="both"/>
        <w:rPr>
          <w:rFonts w:ascii="Arial" w:eastAsia="Calibri" w:hAnsi="Arial" w:cs="Arial"/>
          <w:sz w:val="20"/>
          <w:szCs w:val="20"/>
        </w:rPr>
      </w:pPr>
    </w:p>
    <w:p w14:paraId="74D8C6C5" w14:textId="5F4673AB" w:rsidR="00676A9B" w:rsidRDefault="006242E6" w:rsidP="00676A9B">
      <w:pPr>
        <w:spacing w:after="0" w:line="240" w:lineRule="auto"/>
        <w:jc w:val="both"/>
        <w:rPr>
          <w:rFonts w:ascii="Arial" w:eastAsia="Calibri" w:hAnsi="Arial" w:cs="Arial"/>
          <w:sz w:val="20"/>
          <w:szCs w:val="20"/>
        </w:rPr>
      </w:pPr>
      <w:bookmarkStart w:id="385" w:name="_Hlk230539805"/>
      <w:bookmarkStart w:id="386" w:name="_Hlk114751451"/>
      <w:r w:rsidRPr="006242E6">
        <w:rPr>
          <w:rFonts w:ascii="Arial" w:eastAsia="Calibri" w:hAnsi="Arial" w:cs="Arial"/>
          <w:sz w:val="20"/>
          <w:szCs w:val="20"/>
        </w:rPr>
        <w:t>U 2025. godini je korištena olakšica za 89 od 111 djece (prosječno 103), od čega prosječno 73 dijete iz obitelji s dvoje djece u vrtiću i prosječno 3 djece za obitelji s troje djece u vrtiću. Besplatan boravak u vrtiću za četvrto i svako slijedeće dijete u obitelji je koristilo prosječno 28 djece.</w:t>
      </w:r>
    </w:p>
    <w:bookmarkEnd w:id="385"/>
    <w:p w14:paraId="4FA04946" w14:textId="77777777" w:rsidR="006242E6" w:rsidRPr="00676A9B" w:rsidRDefault="006242E6" w:rsidP="00676A9B">
      <w:pPr>
        <w:spacing w:after="0" w:line="240" w:lineRule="auto"/>
        <w:jc w:val="both"/>
        <w:rPr>
          <w:rFonts w:ascii="Arial" w:eastAsia="Calibri" w:hAnsi="Arial" w:cs="Arial"/>
          <w:sz w:val="16"/>
          <w:szCs w:val="16"/>
        </w:rPr>
      </w:pPr>
    </w:p>
    <w:bookmarkEnd w:id="386"/>
    <w:p w14:paraId="3B4E586C" w14:textId="77777777" w:rsidR="00676A9B" w:rsidRPr="00676A9B" w:rsidRDefault="00676A9B" w:rsidP="00676A9B">
      <w:pPr>
        <w:spacing w:after="0" w:line="240" w:lineRule="auto"/>
        <w:ind w:left="567"/>
        <w:jc w:val="both"/>
        <w:rPr>
          <w:rFonts w:ascii="Arial" w:eastAsia="Calibri" w:hAnsi="Arial" w:cs="Arial"/>
          <w:sz w:val="16"/>
          <w:szCs w:val="16"/>
        </w:rPr>
      </w:pPr>
      <w:r w:rsidRPr="00676A9B">
        <w:rPr>
          <w:rFonts w:ascii="Arial" w:eastAsia="Calibri" w:hAnsi="Arial" w:cs="Arial"/>
          <w:sz w:val="16"/>
          <w:szCs w:val="16"/>
        </w:rPr>
        <w:t xml:space="preserve">U prvih devet mjeseci </w:t>
      </w:r>
      <w:r w:rsidRPr="00676A9B">
        <w:rPr>
          <w:rFonts w:ascii="Arial" w:eastAsia="Calibri" w:hAnsi="Arial" w:cs="Arial"/>
          <w:b/>
          <w:bCs/>
          <w:sz w:val="16"/>
          <w:szCs w:val="16"/>
        </w:rPr>
        <w:t>2021</w:t>
      </w:r>
      <w:r w:rsidRPr="00676A9B">
        <w:rPr>
          <w:rFonts w:ascii="Arial" w:eastAsia="Calibri" w:hAnsi="Arial" w:cs="Arial"/>
          <w:sz w:val="16"/>
          <w:szCs w:val="16"/>
        </w:rPr>
        <w:t xml:space="preserve">. godine je korištena olakšica za 132 od 213 djece (prosječno 188), od čega prosječno 154 djece iz obitelji do troje djece - olakšica za drugo i treće dijete u obitelji sufinancirana je cijena vrtića, a za prosječno 34 djece iz obitelji s četvero i više djece vrtić je bio besplatan). </w:t>
      </w:r>
    </w:p>
    <w:p w14:paraId="47A2ED98" w14:textId="77777777" w:rsidR="00676A9B" w:rsidRPr="00676A9B" w:rsidRDefault="00676A9B" w:rsidP="00676A9B">
      <w:pPr>
        <w:spacing w:after="0" w:line="240" w:lineRule="auto"/>
        <w:ind w:left="567"/>
        <w:jc w:val="both"/>
        <w:rPr>
          <w:rFonts w:ascii="Arial" w:eastAsia="Calibri" w:hAnsi="Arial" w:cs="Arial"/>
          <w:sz w:val="16"/>
          <w:szCs w:val="16"/>
        </w:rPr>
      </w:pPr>
      <w:r w:rsidRPr="00676A9B">
        <w:rPr>
          <w:rFonts w:ascii="Arial" w:eastAsia="Calibri" w:hAnsi="Arial" w:cs="Arial"/>
          <w:sz w:val="16"/>
          <w:szCs w:val="16"/>
        </w:rPr>
        <w:t>Ukupno izvršena sredstva za prvih devet mjeseci 2021. godine u okviru ove aktivnosti su iznosila 351.530 kn /46.656,05 €/, od čega za djecu iz obitelji do troje djece 311.765 kn /41.378,33 €/, a za olakšice obitelji s četvero i više djece su iznosile 39.765 kn /5.277,72 €/.</w:t>
      </w:r>
    </w:p>
    <w:p w14:paraId="5081A933" w14:textId="77777777" w:rsidR="00676A9B" w:rsidRPr="00676A9B" w:rsidRDefault="00676A9B" w:rsidP="00676A9B">
      <w:pPr>
        <w:spacing w:after="0" w:line="240" w:lineRule="auto"/>
        <w:ind w:left="567"/>
        <w:jc w:val="both"/>
        <w:rPr>
          <w:rFonts w:ascii="Arial" w:eastAsia="Calibri" w:hAnsi="Arial" w:cs="Arial"/>
          <w:sz w:val="16"/>
          <w:szCs w:val="16"/>
        </w:rPr>
      </w:pPr>
      <w:r w:rsidRPr="00676A9B">
        <w:rPr>
          <w:rFonts w:ascii="Arial" w:eastAsia="Calibri" w:hAnsi="Arial" w:cs="Arial"/>
          <w:sz w:val="16"/>
          <w:szCs w:val="16"/>
        </w:rPr>
        <w:t>U razdoblju od listopada do prosinca 2021., nakon izmjene Programa u dijelu sufinanciranja cijena vrtića, vrtić je besplatan za četvrto i svako slijedeće dijete u obitelji, a ovu olakšicu je imalo 21 dijete. Sufinanciranje cijene za ovu olakšicu je iznosilo ukupno 47.250 kn /6.271,15 €/, odnosno mjesečno 15.750 kn /2.090,38 €/. U ovom razdoblju sufinanciranje vrtića koristilo je 96 djece i to: 2. dijete u vrtiću 74; 3. dijete u vrtiću 1;  4. i svako naredno dijete u obitelji 21.</w:t>
      </w:r>
    </w:p>
    <w:p w14:paraId="1944E039" w14:textId="77777777" w:rsidR="00676A9B" w:rsidRPr="00676A9B" w:rsidRDefault="00676A9B" w:rsidP="00676A9B">
      <w:pPr>
        <w:spacing w:after="0" w:line="240" w:lineRule="auto"/>
        <w:ind w:left="567"/>
        <w:jc w:val="both"/>
        <w:rPr>
          <w:rFonts w:ascii="Arial" w:eastAsia="Calibri" w:hAnsi="Arial" w:cs="Arial"/>
          <w:sz w:val="16"/>
          <w:szCs w:val="16"/>
        </w:rPr>
      </w:pPr>
    </w:p>
    <w:p w14:paraId="025AA442" w14:textId="77777777" w:rsidR="00676A9B" w:rsidRPr="00676A9B" w:rsidRDefault="00676A9B" w:rsidP="00676A9B">
      <w:pPr>
        <w:spacing w:after="0" w:line="240" w:lineRule="auto"/>
        <w:ind w:left="567"/>
        <w:jc w:val="both"/>
        <w:rPr>
          <w:rFonts w:ascii="Arial" w:eastAsia="Calibri" w:hAnsi="Arial" w:cs="Arial"/>
          <w:sz w:val="16"/>
          <w:szCs w:val="16"/>
        </w:rPr>
      </w:pPr>
      <w:r w:rsidRPr="00676A9B">
        <w:rPr>
          <w:rFonts w:ascii="Arial" w:eastAsia="Calibri" w:hAnsi="Arial" w:cs="Arial"/>
          <w:sz w:val="16"/>
          <w:szCs w:val="16"/>
        </w:rPr>
        <w:t xml:space="preserve">Rashodi u </w:t>
      </w:r>
      <w:r w:rsidRPr="00676A9B">
        <w:rPr>
          <w:rFonts w:ascii="Arial" w:eastAsia="Calibri" w:hAnsi="Arial" w:cs="Arial"/>
          <w:b/>
          <w:bCs/>
          <w:sz w:val="16"/>
          <w:szCs w:val="16"/>
        </w:rPr>
        <w:t>2022</w:t>
      </w:r>
      <w:r w:rsidRPr="00676A9B">
        <w:rPr>
          <w:rFonts w:ascii="Arial" w:eastAsia="Calibri" w:hAnsi="Arial" w:cs="Arial"/>
          <w:sz w:val="16"/>
          <w:szCs w:val="16"/>
        </w:rPr>
        <w:t>. su izvršeni u iznosu 44.228,55 €. U 2022. godine sufinanciranje troška boravka djece (olakšica drugo i treće dijete u vrtiću, besplatno četvrto i svako sljedeće dijete u obitelji) koristilo je u prosjeku 91 dijete (od 71 do 102 djece).</w:t>
      </w:r>
    </w:p>
    <w:p w14:paraId="6A5C1845" w14:textId="77777777" w:rsidR="00676A9B" w:rsidRPr="00676A9B" w:rsidRDefault="00676A9B" w:rsidP="00676A9B">
      <w:pPr>
        <w:spacing w:after="0" w:line="240" w:lineRule="auto"/>
        <w:ind w:left="567"/>
        <w:jc w:val="both"/>
        <w:rPr>
          <w:rFonts w:ascii="Arial" w:eastAsia="Calibri" w:hAnsi="Arial" w:cs="Arial"/>
          <w:sz w:val="16"/>
          <w:szCs w:val="16"/>
        </w:rPr>
      </w:pPr>
    </w:p>
    <w:p w14:paraId="4D6981F2" w14:textId="23A26EDA" w:rsidR="00676A9B" w:rsidRDefault="00676A9B" w:rsidP="00676A9B">
      <w:pPr>
        <w:spacing w:after="0" w:line="240" w:lineRule="auto"/>
        <w:ind w:left="567"/>
        <w:jc w:val="both"/>
        <w:rPr>
          <w:rFonts w:ascii="Arial" w:eastAsia="Calibri" w:hAnsi="Arial" w:cs="Arial"/>
          <w:sz w:val="16"/>
          <w:szCs w:val="16"/>
        </w:rPr>
      </w:pPr>
      <w:bookmarkStart w:id="387" w:name="_Hlk166144452"/>
      <w:r w:rsidRPr="00676A9B">
        <w:rPr>
          <w:rFonts w:ascii="Arial" w:eastAsia="Calibri" w:hAnsi="Arial" w:cs="Arial"/>
          <w:sz w:val="16"/>
          <w:szCs w:val="16"/>
        </w:rPr>
        <w:t xml:space="preserve">U </w:t>
      </w:r>
      <w:r w:rsidRPr="00676A9B">
        <w:rPr>
          <w:rFonts w:ascii="Arial" w:eastAsia="Calibri" w:hAnsi="Arial" w:cs="Arial"/>
          <w:b/>
          <w:bCs/>
          <w:sz w:val="16"/>
          <w:szCs w:val="16"/>
        </w:rPr>
        <w:t>2023</w:t>
      </w:r>
      <w:r w:rsidRPr="00676A9B">
        <w:rPr>
          <w:rFonts w:ascii="Arial" w:eastAsia="Calibri" w:hAnsi="Arial" w:cs="Arial"/>
          <w:sz w:val="16"/>
          <w:szCs w:val="16"/>
        </w:rPr>
        <w:t>. godine je korištena olakšica za 89 od 115 djece (prosječno 106), od čega prosječno 71 dijete iz obitelji s dvoje djece u vrtiću i prosječno dvoje djece za obitelji s troje djece u vrtiću. Besplatan boravak u vrtiću za četvrto i svako slijedeće dijete u obitelji je koristilo prosječno 23 djece</w:t>
      </w:r>
      <w:bookmarkEnd w:id="387"/>
      <w:r w:rsidRPr="00676A9B">
        <w:rPr>
          <w:rFonts w:ascii="Arial" w:eastAsia="Calibri" w:hAnsi="Arial" w:cs="Arial"/>
          <w:sz w:val="16"/>
          <w:szCs w:val="16"/>
        </w:rPr>
        <w:t>.</w:t>
      </w:r>
      <w:r w:rsidR="006242E6">
        <w:rPr>
          <w:rFonts w:ascii="Arial" w:eastAsia="Calibri" w:hAnsi="Arial" w:cs="Arial"/>
          <w:sz w:val="16"/>
          <w:szCs w:val="16"/>
        </w:rPr>
        <w:t xml:space="preserve"> </w:t>
      </w:r>
      <w:r w:rsidRPr="00676A9B">
        <w:rPr>
          <w:rFonts w:ascii="Arial" w:eastAsia="Calibri" w:hAnsi="Arial" w:cs="Arial"/>
          <w:sz w:val="16"/>
          <w:szCs w:val="16"/>
        </w:rPr>
        <w:t>Sufinanciranje cijene za ove olakšice je iznosilo ukupno 48.448,20 €.</w:t>
      </w:r>
    </w:p>
    <w:p w14:paraId="1AD563F0" w14:textId="2F738F3A" w:rsidR="006242E6" w:rsidRDefault="006242E6" w:rsidP="006242E6">
      <w:pPr>
        <w:spacing w:after="0" w:line="240" w:lineRule="auto"/>
        <w:ind w:left="567"/>
        <w:jc w:val="both"/>
        <w:rPr>
          <w:rFonts w:ascii="Arial" w:eastAsia="Calibri" w:hAnsi="Arial" w:cs="Arial"/>
          <w:sz w:val="16"/>
          <w:szCs w:val="16"/>
        </w:rPr>
      </w:pPr>
      <w:r w:rsidRPr="006242E6">
        <w:rPr>
          <w:rFonts w:ascii="Arial" w:eastAsia="Calibri" w:hAnsi="Arial" w:cs="Arial"/>
          <w:sz w:val="16"/>
          <w:szCs w:val="16"/>
        </w:rPr>
        <w:lastRenderedPageBreak/>
        <w:t>U 2024. godini je korištena olakšica za 86 od 110 djece (prosječno 103), od čega prosječno 72 dijete iz obitelji s dvoje djece u vrtiću i prosječno dvoje djece za obitelji s troje djece u vrtiću. Besplatan boravak u vrtiću za četvrto i svako slijedeće dijete u obitelji je koristilo prosječno 29 djece.</w:t>
      </w:r>
      <w:r>
        <w:rPr>
          <w:rFonts w:ascii="Arial" w:eastAsia="Calibri" w:hAnsi="Arial" w:cs="Arial"/>
          <w:sz w:val="16"/>
          <w:szCs w:val="16"/>
        </w:rPr>
        <w:t xml:space="preserve"> </w:t>
      </w:r>
      <w:r w:rsidRPr="006242E6">
        <w:rPr>
          <w:rFonts w:ascii="Arial" w:eastAsia="Calibri" w:hAnsi="Arial" w:cs="Arial"/>
          <w:sz w:val="16"/>
          <w:szCs w:val="16"/>
        </w:rPr>
        <w:t>Sufinanciranje cijene za ove olakšice je iznosilo ukupno 55.323,72 €.</w:t>
      </w:r>
    </w:p>
    <w:p w14:paraId="63AAF941" w14:textId="77777777" w:rsidR="00676A9B" w:rsidRPr="00676A9B" w:rsidRDefault="00676A9B" w:rsidP="00676A9B">
      <w:pPr>
        <w:spacing w:after="0" w:line="240" w:lineRule="auto"/>
        <w:jc w:val="both"/>
        <w:rPr>
          <w:rFonts w:ascii="Arial" w:eastAsia="Calibri" w:hAnsi="Arial" w:cs="Arial"/>
          <w:sz w:val="20"/>
          <w:szCs w:val="20"/>
        </w:rPr>
      </w:pPr>
    </w:p>
    <w:tbl>
      <w:tblPr>
        <w:tblW w:w="14170" w:type="dxa"/>
        <w:jc w:val="center"/>
        <w:tblLayout w:type="fixed"/>
        <w:tblLook w:val="04A0" w:firstRow="1" w:lastRow="0" w:firstColumn="1" w:lastColumn="0" w:noHBand="0" w:noVBand="1"/>
      </w:tblPr>
      <w:tblGrid>
        <w:gridCol w:w="1980"/>
        <w:gridCol w:w="3969"/>
        <w:gridCol w:w="1417"/>
        <w:gridCol w:w="1134"/>
        <w:gridCol w:w="1134"/>
        <w:gridCol w:w="1134"/>
        <w:gridCol w:w="1134"/>
        <w:gridCol w:w="1134"/>
        <w:gridCol w:w="1134"/>
      </w:tblGrid>
      <w:tr w:rsidR="00676A9B" w:rsidRPr="00676A9B" w14:paraId="56AAB313" w14:textId="77777777" w:rsidTr="00410A4B">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129125F"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Pokazatelj rezultata</w:t>
            </w:r>
          </w:p>
        </w:tc>
        <w:tc>
          <w:tcPr>
            <w:tcW w:w="396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FB2A599"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Definicija</w:t>
            </w:r>
          </w:p>
        </w:tc>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387A550"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5DDD9E3"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AFC9B8C" w14:textId="6377973C"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Polazna vrijednost 202</w:t>
            </w:r>
            <w:r w:rsidR="006242E6">
              <w:rPr>
                <w:rFonts w:ascii="Arial" w:eastAsia="Calibri" w:hAnsi="Arial" w:cs="Arial"/>
                <w:sz w:val="20"/>
                <w:szCs w:val="20"/>
              </w:rPr>
              <w:t>4</w:t>
            </w:r>
            <w:r w:rsidRPr="00676A9B">
              <w:rPr>
                <w:rFonts w:ascii="Arial" w:eastAsia="Calibri"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7E85201" w14:textId="3EF9CAE2"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Ciljana vrijednost 202</w:t>
            </w:r>
            <w:r w:rsidR="006242E6">
              <w:rPr>
                <w:rFonts w:ascii="Arial" w:eastAsia="Calibri" w:hAnsi="Arial" w:cs="Arial"/>
                <w:sz w:val="20"/>
                <w:szCs w:val="20"/>
              </w:rPr>
              <w:t>5</w:t>
            </w:r>
            <w:r w:rsidRPr="00676A9B">
              <w:rPr>
                <w:rFonts w:ascii="Arial" w:eastAsia="Calibri"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69ECBDA" w14:textId="7CFC7F90"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Izvršeno 202</w:t>
            </w:r>
            <w:r w:rsidR="006242E6">
              <w:rPr>
                <w:rFonts w:ascii="Arial" w:eastAsia="Calibri" w:hAnsi="Arial" w:cs="Arial"/>
                <w:sz w:val="20"/>
                <w:szCs w:val="20"/>
              </w:rPr>
              <w:t>5</w:t>
            </w:r>
            <w:r w:rsidRPr="00676A9B">
              <w:rPr>
                <w:rFonts w:ascii="Arial" w:eastAsia="Calibri"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4FF3BB9" w14:textId="665D4CAE"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Ciljana vrijednost 202</w:t>
            </w:r>
            <w:r w:rsidR="006242E6">
              <w:rPr>
                <w:rFonts w:ascii="Arial" w:eastAsia="Calibri" w:hAnsi="Arial" w:cs="Arial"/>
                <w:sz w:val="20"/>
                <w:szCs w:val="20"/>
              </w:rPr>
              <w:t>6</w:t>
            </w:r>
            <w:r w:rsidRPr="00676A9B">
              <w:rPr>
                <w:rFonts w:ascii="Arial" w:eastAsia="Calibri"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EA2CD4C" w14:textId="36AEA783"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Ciljana vrijednost 202</w:t>
            </w:r>
            <w:r w:rsidR="006242E6">
              <w:rPr>
                <w:rFonts w:ascii="Arial" w:eastAsia="Calibri" w:hAnsi="Arial" w:cs="Arial"/>
                <w:sz w:val="20"/>
                <w:szCs w:val="20"/>
              </w:rPr>
              <w:t>7</w:t>
            </w:r>
            <w:r w:rsidRPr="00676A9B">
              <w:rPr>
                <w:rFonts w:ascii="Arial" w:eastAsia="Calibri" w:hAnsi="Arial" w:cs="Arial"/>
                <w:sz w:val="20"/>
                <w:szCs w:val="20"/>
              </w:rPr>
              <w:t>.</w:t>
            </w:r>
          </w:p>
        </w:tc>
      </w:tr>
      <w:tr w:rsidR="00676A9B" w:rsidRPr="00676A9B" w14:paraId="614DFFB1" w14:textId="77777777" w:rsidTr="00410A4B">
        <w:trPr>
          <w:trHeight w:val="416"/>
          <w:jc w:val="center"/>
        </w:trPr>
        <w:tc>
          <w:tcPr>
            <w:tcW w:w="1980" w:type="dxa"/>
            <w:tcBorders>
              <w:top w:val="single" w:sz="4" w:space="0" w:color="auto"/>
              <w:left w:val="single" w:sz="4" w:space="0" w:color="auto"/>
              <w:bottom w:val="single" w:sz="4" w:space="0" w:color="auto"/>
              <w:right w:val="single" w:sz="4" w:space="0" w:color="auto"/>
            </w:tcBorders>
            <w:vAlign w:val="center"/>
          </w:tcPr>
          <w:p w14:paraId="6DA4D144" w14:textId="77777777" w:rsidR="00676A9B" w:rsidRPr="00676A9B" w:rsidRDefault="00676A9B" w:rsidP="0083135D">
            <w:pPr>
              <w:spacing w:after="0" w:line="240" w:lineRule="auto"/>
              <w:rPr>
                <w:rFonts w:ascii="Arial" w:eastAsia="Calibri" w:hAnsi="Arial" w:cs="Arial"/>
                <w:sz w:val="18"/>
                <w:szCs w:val="18"/>
              </w:rPr>
            </w:pPr>
            <w:r w:rsidRPr="00676A9B">
              <w:rPr>
                <w:rFonts w:ascii="Arial" w:eastAsia="Calibri" w:hAnsi="Arial" w:cs="Arial"/>
                <w:sz w:val="18"/>
                <w:szCs w:val="18"/>
              </w:rPr>
              <w:t>Povećanje broja korisnika naknade za boravak djece u jaslicama i vrtiću</w:t>
            </w:r>
          </w:p>
        </w:tc>
        <w:tc>
          <w:tcPr>
            <w:tcW w:w="3969" w:type="dxa"/>
            <w:tcBorders>
              <w:top w:val="single" w:sz="4" w:space="0" w:color="auto"/>
              <w:left w:val="single" w:sz="4" w:space="0" w:color="auto"/>
              <w:bottom w:val="single" w:sz="4" w:space="0" w:color="auto"/>
              <w:right w:val="single" w:sz="4" w:space="0" w:color="auto"/>
            </w:tcBorders>
          </w:tcPr>
          <w:p w14:paraId="66FD1716"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 xml:space="preserve">Pomoć u skrbi o djeci predškolske dobi sufinanciranjem smještaja djece u vrtiće i jaslice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6B8AB9"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Broj djece</w:t>
            </w:r>
          </w:p>
          <w:p w14:paraId="36B5ABFB"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(godišnji prosjek)</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938EAD"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21D58287" w14:textId="63D5DB8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10</w:t>
            </w:r>
            <w:r w:rsidR="006242E6">
              <w:rPr>
                <w:rFonts w:ascii="Arial" w:eastAsia="Calibri" w:hAnsi="Arial" w:cs="Arial"/>
                <w:sz w:val="18"/>
                <w:szCs w:val="18"/>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16FD3C4D"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BFF25DA"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103</w:t>
            </w:r>
          </w:p>
        </w:tc>
        <w:tc>
          <w:tcPr>
            <w:tcW w:w="1134" w:type="dxa"/>
            <w:tcBorders>
              <w:top w:val="single" w:sz="4" w:space="0" w:color="000000"/>
              <w:left w:val="single" w:sz="4" w:space="0" w:color="000000"/>
              <w:bottom w:val="single" w:sz="4" w:space="0" w:color="000000"/>
              <w:right w:val="single" w:sz="4" w:space="0" w:color="000000"/>
            </w:tcBorders>
            <w:vAlign w:val="center"/>
          </w:tcPr>
          <w:p w14:paraId="565BC16F"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918A3BB"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100</w:t>
            </w:r>
          </w:p>
        </w:tc>
      </w:tr>
    </w:tbl>
    <w:p w14:paraId="08572370" w14:textId="77777777" w:rsidR="00676A9B" w:rsidRPr="00676A9B" w:rsidRDefault="00676A9B" w:rsidP="00676A9B">
      <w:pPr>
        <w:spacing w:after="0" w:line="240" w:lineRule="auto"/>
        <w:jc w:val="both"/>
        <w:rPr>
          <w:rFonts w:ascii="Arial" w:eastAsia="Calibri" w:hAnsi="Arial" w:cs="Arial"/>
          <w:sz w:val="20"/>
          <w:szCs w:val="20"/>
        </w:rPr>
      </w:pPr>
    </w:p>
    <w:p w14:paraId="11F73603" w14:textId="6F9E471B"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2. A204002: Pomoć za nabavu školskih udžbenika </w:t>
      </w:r>
      <w:r w:rsidRPr="00676A9B">
        <w:rPr>
          <w:rFonts w:ascii="Arial" w:eastAsia="Calibri" w:hAnsi="Arial" w:cs="Arial"/>
          <w:sz w:val="20"/>
          <w:szCs w:val="20"/>
        </w:rPr>
        <w:t xml:space="preserve">- u sklopu navedene aktivnosti su rashodi za naknade građanima i kućanstvima u novcu u skladu s programom demografskih mjera i socijalne pomoći. Planirana sredstva za provođenje navedene aktivnosti iznose </w:t>
      </w:r>
      <w:r w:rsidR="00694A31">
        <w:rPr>
          <w:rFonts w:ascii="Arial" w:eastAsia="Calibri" w:hAnsi="Arial" w:cs="Arial"/>
          <w:sz w:val="20"/>
          <w:szCs w:val="20"/>
        </w:rPr>
        <w:t>7.840</w:t>
      </w:r>
      <w:r w:rsidRPr="00676A9B">
        <w:rPr>
          <w:rFonts w:ascii="Arial" w:eastAsia="Calibri" w:hAnsi="Arial" w:cs="Arial"/>
          <w:sz w:val="20"/>
          <w:szCs w:val="20"/>
        </w:rPr>
        <w:t xml:space="preserve"> € (novčana pomoć za sufinanciranje kupnje udžbenika za učenike do osmog razreda osnovnih škola). Pravo ostvaruju korisnici sukladno odluci koju donosi načelnik i objavljuje se nakon početka školske godine u službenom glasniku. U 202</w:t>
      </w:r>
      <w:r w:rsidR="00694A31">
        <w:rPr>
          <w:rFonts w:ascii="Arial" w:eastAsia="Calibri" w:hAnsi="Arial" w:cs="Arial"/>
          <w:sz w:val="20"/>
          <w:szCs w:val="20"/>
        </w:rPr>
        <w:t>5</w:t>
      </w:r>
      <w:r w:rsidRPr="00676A9B">
        <w:rPr>
          <w:rFonts w:ascii="Arial" w:eastAsia="Calibri" w:hAnsi="Arial" w:cs="Arial"/>
          <w:sz w:val="20"/>
          <w:szCs w:val="20"/>
        </w:rPr>
        <w:t xml:space="preserve">. godine izvršeni su rashodi u iznosu </w:t>
      </w:r>
      <w:r w:rsidR="00694A31">
        <w:rPr>
          <w:rFonts w:ascii="Arial" w:eastAsia="Calibri" w:hAnsi="Arial" w:cs="Arial"/>
          <w:sz w:val="20"/>
          <w:szCs w:val="20"/>
        </w:rPr>
        <w:t>7.840</w:t>
      </w:r>
      <w:r w:rsidRPr="00676A9B">
        <w:rPr>
          <w:rFonts w:ascii="Arial" w:eastAsia="Calibri" w:hAnsi="Arial" w:cs="Arial"/>
          <w:sz w:val="20"/>
          <w:szCs w:val="20"/>
        </w:rPr>
        <w:t xml:space="preserve"> €. </w:t>
      </w:r>
    </w:p>
    <w:p w14:paraId="53DFDF04" w14:textId="77777777" w:rsidR="00676A9B" w:rsidRPr="00676A9B" w:rsidRDefault="00676A9B" w:rsidP="00676A9B">
      <w:pPr>
        <w:spacing w:after="0" w:line="240" w:lineRule="auto"/>
        <w:rPr>
          <w:rFonts w:ascii="Arial" w:eastAsia="Calibri" w:hAnsi="Arial" w:cs="Arial"/>
          <w:i/>
        </w:rPr>
      </w:pPr>
      <w:r w:rsidRPr="00676A9B">
        <w:rPr>
          <w:rFonts w:ascii="Arial" w:eastAsia="Calibri" w:hAnsi="Arial" w:cs="Arial"/>
          <w:i/>
          <w:sz w:val="20"/>
          <w:szCs w:val="20"/>
        </w:rPr>
        <w:t>Usporedba:</w:t>
      </w:r>
    </w:p>
    <w:tbl>
      <w:tblPr>
        <w:tblStyle w:val="Reetkatablice"/>
        <w:tblW w:w="0" w:type="auto"/>
        <w:jc w:val="center"/>
        <w:tblLook w:val="04A0" w:firstRow="1" w:lastRow="0" w:firstColumn="1" w:lastColumn="0" w:noHBand="0" w:noVBand="1"/>
      </w:tblPr>
      <w:tblGrid>
        <w:gridCol w:w="895"/>
        <w:gridCol w:w="1982"/>
        <w:gridCol w:w="1317"/>
        <w:gridCol w:w="9049"/>
      </w:tblGrid>
      <w:tr w:rsidR="00676A9B" w:rsidRPr="00676A9B" w14:paraId="7D9B6AD1" w14:textId="77777777" w:rsidTr="00410A4B">
        <w:trPr>
          <w:jc w:val="center"/>
        </w:trPr>
        <w:tc>
          <w:tcPr>
            <w:tcW w:w="895" w:type="dxa"/>
            <w:vAlign w:val="center"/>
          </w:tcPr>
          <w:p w14:paraId="4E7B72B2" w14:textId="77777777" w:rsidR="00676A9B" w:rsidRPr="00676A9B" w:rsidRDefault="00676A9B" w:rsidP="00676A9B">
            <w:pPr>
              <w:spacing w:before="100" w:beforeAutospacing="1" w:after="100" w:afterAutospacing="1"/>
              <w:jc w:val="center"/>
              <w:rPr>
                <w:rFonts w:ascii="Arial" w:eastAsia="Calibri" w:hAnsi="Arial" w:cs="Arial"/>
                <w:i/>
                <w:iCs/>
                <w:sz w:val="18"/>
                <w:szCs w:val="18"/>
              </w:rPr>
            </w:pPr>
            <w:bookmarkStart w:id="388" w:name="_Hlk165554473"/>
            <w:r w:rsidRPr="00676A9B">
              <w:rPr>
                <w:rFonts w:ascii="Arial" w:eastAsia="Calibri" w:hAnsi="Arial" w:cs="Arial"/>
                <w:i/>
                <w:iCs/>
                <w:sz w:val="18"/>
                <w:szCs w:val="18"/>
              </w:rPr>
              <w:t>Godina</w:t>
            </w:r>
          </w:p>
        </w:tc>
        <w:tc>
          <w:tcPr>
            <w:tcW w:w="1982" w:type="dxa"/>
            <w:vAlign w:val="center"/>
          </w:tcPr>
          <w:p w14:paraId="70EBF31F" w14:textId="77777777" w:rsidR="00676A9B" w:rsidRPr="00676A9B" w:rsidRDefault="00676A9B" w:rsidP="00676A9B">
            <w:pPr>
              <w:spacing w:before="100" w:beforeAutospacing="1" w:after="100" w:afterAutospacing="1"/>
              <w:jc w:val="center"/>
              <w:rPr>
                <w:rFonts w:ascii="Arial" w:eastAsia="Calibri" w:hAnsi="Arial" w:cs="Arial"/>
                <w:i/>
                <w:iCs/>
                <w:sz w:val="18"/>
                <w:szCs w:val="18"/>
              </w:rPr>
            </w:pPr>
            <w:r w:rsidRPr="00676A9B">
              <w:rPr>
                <w:rFonts w:ascii="Arial" w:eastAsia="Calibri" w:hAnsi="Arial" w:cs="Arial"/>
                <w:i/>
                <w:iCs/>
                <w:sz w:val="18"/>
                <w:szCs w:val="18"/>
              </w:rPr>
              <w:t>Broj djece - korisnika</w:t>
            </w:r>
          </w:p>
        </w:tc>
        <w:tc>
          <w:tcPr>
            <w:tcW w:w="1317" w:type="dxa"/>
            <w:vAlign w:val="center"/>
          </w:tcPr>
          <w:p w14:paraId="26DAF203" w14:textId="77777777" w:rsidR="00676A9B" w:rsidRPr="00676A9B" w:rsidRDefault="00676A9B" w:rsidP="00676A9B">
            <w:pPr>
              <w:spacing w:before="100" w:beforeAutospacing="1" w:after="100" w:afterAutospacing="1"/>
              <w:jc w:val="center"/>
              <w:rPr>
                <w:rFonts w:ascii="Arial" w:eastAsia="Calibri" w:hAnsi="Arial" w:cs="Arial"/>
                <w:i/>
                <w:iCs/>
                <w:sz w:val="18"/>
                <w:szCs w:val="18"/>
              </w:rPr>
            </w:pPr>
            <w:r w:rsidRPr="00676A9B">
              <w:rPr>
                <w:rFonts w:ascii="Arial" w:eastAsia="Calibri" w:hAnsi="Arial" w:cs="Arial"/>
                <w:i/>
                <w:iCs/>
                <w:sz w:val="18"/>
                <w:szCs w:val="18"/>
              </w:rPr>
              <w:t>Izvršeno (</w:t>
            </w:r>
            <w:r w:rsidRPr="00676A9B">
              <w:rPr>
                <w:rFonts w:ascii="Arial" w:eastAsia="Calibri" w:hAnsi="Arial" w:cs="Arial"/>
                <w:b/>
                <w:bCs/>
                <w:i/>
                <w:iCs/>
                <w:sz w:val="18"/>
                <w:szCs w:val="18"/>
              </w:rPr>
              <w:t>EUR</w:t>
            </w:r>
            <w:r w:rsidRPr="00676A9B">
              <w:rPr>
                <w:rFonts w:ascii="Arial" w:eastAsia="Calibri" w:hAnsi="Arial" w:cs="Arial"/>
                <w:i/>
                <w:iCs/>
                <w:sz w:val="18"/>
                <w:szCs w:val="18"/>
              </w:rPr>
              <w:t xml:space="preserve"> )</w:t>
            </w:r>
          </w:p>
          <w:p w14:paraId="38831968" w14:textId="77777777" w:rsidR="00676A9B" w:rsidRPr="00676A9B" w:rsidRDefault="00676A9B" w:rsidP="00676A9B">
            <w:pPr>
              <w:spacing w:before="100" w:beforeAutospacing="1" w:after="100" w:afterAutospacing="1"/>
              <w:jc w:val="center"/>
              <w:rPr>
                <w:rFonts w:ascii="Arial" w:eastAsia="Calibri" w:hAnsi="Arial" w:cs="Arial"/>
                <w:i/>
                <w:iCs/>
                <w:sz w:val="18"/>
                <w:szCs w:val="18"/>
              </w:rPr>
            </w:pPr>
            <w:r w:rsidRPr="00676A9B">
              <w:rPr>
                <w:rFonts w:ascii="Arial" w:eastAsia="Calibri" w:hAnsi="Arial" w:cs="Arial"/>
                <w:i/>
                <w:iCs/>
                <w:sz w:val="18"/>
                <w:szCs w:val="18"/>
              </w:rPr>
              <w:t>(demografska mjera)</w:t>
            </w:r>
          </w:p>
        </w:tc>
        <w:tc>
          <w:tcPr>
            <w:tcW w:w="9049" w:type="dxa"/>
            <w:vAlign w:val="center"/>
          </w:tcPr>
          <w:p w14:paraId="18728D17" w14:textId="77777777" w:rsidR="00676A9B" w:rsidRPr="00676A9B" w:rsidRDefault="00676A9B" w:rsidP="00676A9B">
            <w:pPr>
              <w:spacing w:before="100" w:beforeAutospacing="1" w:after="100" w:afterAutospacing="1"/>
              <w:jc w:val="center"/>
              <w:rPr>
                <w:rFonts w:ascii="Arial" w:eastAsia="Calibri" w:hAnsi="Arial" w:cs="Arial"/>
                <w:i/>
                <w:iCs/>
                <w:sz w:val="18"/>
                <w:szCs w:val="18"/>
              </w:rPr>
            </w:pPr>
            <w:r w:rsidRPr="00676A9B">
              <w:rPr>
                <w:rFonts w:ascii="Arial" w:eastAsia="Calibri" w:hAnsi="Arial" w:cs="Arial"/>
                <w:i/>
                <w:iCs/>
                <w:sz w:val="18"/>
                <w:szCs w:val="18"/>
              </w:rPr>
              <w:t>Obrazloženje</w:t>
            </w:r>
          </w:p>
        </w:tc>
      </w:tr>
      <w:tr w:rsidR="00676A9B" w:rsidRPr="00676A9B" w14:paraId="10255D60" w14:textId="77777777" w:rsidTr="00410A4B">
        <w:trPr>
          <w:jc w:val="center"/>
        </w:trPr>
        <w:tc>
          <w:tcPr>
            <w:tcW w:w="895" w:type="dxa"/>
            <w:vAlign w:val="center"/>
          </w:tcPr>
          <w:p w14:paraId="4E5DCE5C" w14:textId="77777777" w:rsidR="00676A9B" w:rsidRPr="00676A9B" w:rsidRDefault="00676A9B" w:rsidP="00676A9B">
            <w:pPr>
              <w:spacing w:before="100" w:beforeAutospacing="1" w:after="100" w:afterAutospacing="1"/>
              <w:jc w:val="center"/>
              <w:rPr>
                <w:rFonts w:ascii="Arial" w:eastAsia="Calibri" w:hAnsi="Arial" w:cs="Arial"/>
                <w:sz w:val="6"/>
                <w:szCs w:val="6"/>
              </w:rPr>
            </w:pPr>
          </w:p>
        </w:tc>
        <w:tc>
          <w:tcPr>
            <w:tcW w:w="1982" w:type="dxa"/>
            <w:vAlign w:val="center"/>
          </w:tcPr>
          <w:p w14:paraId="7FC271C4" w14:textId="77777777" w:rsidR="00676A9B" w:rsidRPr="00676A9B" w:rsidRDefault="00676A9B" w:rsidP="00676A9B">
            <w:pPr>
              <w:spacing w:before="100" w:beforeAutospacing="1" w:after="100" w:afterAutospacing="1"/>
              <w:jc w:val="center"/>
              <w:rPr>
                <w:rFonts w:ascii="Arial" w:eastAsia="Calibri" w:hAnsi="Arial" w:cs="Arial"/>
                <w:sz w:val="6"/>
                <w:szCs w:val="6"/>
              </w:rPr>
            </w:pPr>
          </w:p>
        </w:tc>
        <w:tc>
          <w:tcPr>
            <w:tcW w:w="1317" w:type="dxa"/>
            <w:vAlign w:val="center"/>
          </w:tcPr>
          <w:p w14:paraId="61935DF1" w14:textId="77777777" w:rsidR="00676A9B" w:rsidRPr="00676A9B" w:rsidRDefault="00676A9B" w:rsidP="00676A9B">
            <w:pPr>
              <w:spacing w:before="100" w:beforeAutospacing="1" w:after="100" w:afterAutospacing="1"/>
              <w:rPr>
                <w:rFonts w:ascii="Arial" w:eastAsia="Calibri" w:hAnsi="Arial" w:cs="Arial"/>
                <w:sz w:val="6"/>
                <w:szCs w:val="6"/>
              </w:rPr>
            </w:pPr>
          </w:p>
        </w:tc>
        <w:tc>
          <w:tcPr>
            <w:tcW w:w="9049" w:type="dxa"/>
            <w:vAlign w:val="center"/>
          </w:tcPr>
          <w:p w14:paraId="6D87DC8F" w14:textId="77777777" w:rsidR="00676A9B" w:rsidRPr="00676A9B" w:rsidRDefault="00676A9B" w:rsidP="00676A9B">
            <w:pPr>
              <w:spacing w:before="100" w:beforeAutospacing="1" w:after="100" w:afterAutospacing="1"/>
              <w:rPr>
                <w:rFonts w:ascii="Arial" w:eastAsia="Calibri" w:hAnsi="Arial" w:cs="Arial"/>
                <w:sz w:val="6"/>
                <w:szCs w:val="6"/>
              </w:rPr>
            </w:pPr>
          </w:p>
        </w:tc>
      </w:tr>
      <w:tr w:rsidR="00676A9B" w:rsidRPr="00676A9B" w14:paraId="4628BBFF" w14:textId="77777777" w:rsidTr="00410A4B">
        <w:trPr>
          <w:jc w:val="center"/>
        </w:trPr>
        <w:tc>
          <w:tcPr>
            <w:tcW w:w="895" w:type="dxa"/>
            <w:vAlign w:val="center"/>
          </w:tcPr>
          <w:p w14:paraId="047BF66F"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2018.</w:t>
            </w:r>
          </w:p>
        </w:tc>
        <w:tc>
          <w:tcPr>
            <w:tcW w:w="1982" w:type="dxa"/>
            <w:vAlign w:val="center"/>
          </w:tcPr>
          <w:p w14:paraId="22A9A989"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67 demografska mjera</w:t>
            </w:r>
          </w:p>
          <w:p w14:paraId="61D9C2DC"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i/>
                <w:sz w:val="18"/>
                <w:szCs w:val="18"/>
              </w:rPr>
              <w:t xml:space="preserve"> (još 73 socijalna mjera)</w:t>
            </w:r>
          </w:p>
        </w:tc>
        <w:tc>
          <w:tcPr>
            <w:tcW w:w="1317" w:type="dxa"/>
            <w:vAlign w:val="center"/>
          </w:tcPr>
          <w:p w14:paraId="7A1566CF" w14:textId="77777777" w:rsidR="00676A9B" w:rsidRPr="00676A9B" w:rsidRDefault="00676A9B" w:rsidP="00676A9B">
            <w:pPr>
              <w:spacing w:before="100" w:beforeAutospacing="1" w:after="100" w:afterAutospacing="1"/>
              <w:jc w:val="right"/>
              <w:rPr>
                <w:rFonts w:ascii="Arial" w:eastAsia="Calibri" w:hAnsi="Arial" w:cs="Arial"/>
                <w:i/>
                <w:sz w:val="18"/>
                <w:szCs w:val="18"/>
              </w:rPr>
            </w:pPr>
            <w:r w:rsidRPr="00676A9B">
              <w:rPr>
                <w:rFonts w:ascii="Arial" w:eastAsia="Calibri" w:hAnsi="Arial" w:cs="Arial"/>
                <w:i/>
                <w:sz w:val="18"/>
                <w:szCs w:val="18"/>
              </w:rPr>
              <w:t>9.108,25</w:t>
            </w:r>
          </w:p>
        </w:tc>
        <w:tc>
          <w:tcPr>
            <w:tcW w:w="9049" w:type="dxa"/>
            <w:vAlign w:val="center"/>
          </w:tcPr>
          <w:p w14:paraId="2215FAD4" w14:textId="77777777" w:rsidR="00676A9B" w:rsidRPr="00676A9B" w:rsidRDefault="00676A9B" w:rsidP="00676A9B">
            <w:pPr>
              <w:spacing w:before="100" w:beforeAutospacing="1" w:after="100" w:afterAutospacing="1"/>
              <w:rPr>
                <w:rFonts w:ascii="Arial" w:eastAsia="Calibri" w:hAnsi="Arial" w:cs="Arial"/>
                <w:i/>
                <w:sz w:val="18"/>
                <w:szCs w:val="18"/>
              </w:rPr>
            </w:pPr>
            <w:r w:rsidRPr="00676A9B">
              <w:rPr>
                <w:rFonts w:ascii="Arial" w:eastAsia="Calibri" w:hAnsi="Arial" w:cs="Arial"/>
                <w:i/>
                <w:sz w:val="18"/>
                <w:szCs w:val="18"/>
              </w:rPr>
              <w:t xml:space="preserve">67 djece od 2. do 8. razreda, putem škole, obiteljima s više djece su dodijeljene besplatne knjige =68.626,09 kn /9.108,25 EUR/ (demografska mjera), </w:t>
            </w:r>
          </w:p>
          <w:p w14:paraId="40445295" w14:textId="77777777" w:rsidR="00676A9B" w:rsidRPr="00676A9B" w:rsidRDefault="00676A9B" w:rsidP="00676A9B">
            <w:pPr>
              <w:spacing w:before="100" w:beforeAutospacing="1" w:after="100" w:afterAutospacing="1"/>
              <w:rPr>
                <w:rFonts w:ascii="Arial" w:eastAsia="Calibri" w:hAnsi="Arial" w:cs="Arial"/>
                <w:i/>
                <w:sz w:val="18"/>
                <w:szCs w:val="18"/>
              </w:rPr>
            </w:pPr>
            <w:r w:rsidRPr="00676A9B">
              <w:rPr>
                <w:rFonts w:ascii="Arial" w:eastAsia="Calibri" w:hAnsi="Arial" w:cs="Arial"/>
                <w:i/>
                <w:sz w:val="18"/>
                <w:szCs w:val="18"/>
              </w:rPr>
              <w:t xml:space="preserve">73 djece od 2. do 8. razreda = 29.500 kn /3.915,32 EUR/ (socijalna mjera) </w:t>
            </w:r>
          </w:p>
          <w:p w14:paraId="1821077B"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i/>
                <w:sz w:val="18"/>
                <w:szCs w:val="18"/>
              </w:rPr>
              <w:t>sveukupno 140 djece 98.126,09 kn /13.023.57 EUR/. Za učenike 1. razreda Županija nabavila udžbenike.</w:t>
            </w:r>
          </w:p>
        </w:tc>
      </w:tr>
      <w:tr w:rsidR="00676A9B" w:rsidRPr="00676A9B" w14:paraId="61D4FF2E" w14:textId="77777777" w:rsidTr="00410A4B">
        <w:trPr>
          <w:jc w:val="center"/>
        </w:trPr>
        <w:tc>
          <w:tcPr>
            <w:tcW w:w="895" w:type="dxa"/>
            <w:vAlign w:val="center"/>
          </w:tcPr>
          <w:p w14:paraId="23C0F5F6"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2019.</w:t>
            </w:r>
          </w:p>
        </w:tc>
        <w:tc>
          <w:tcPr>
            <w:tcW w:w="1982" w:type="dxa"/>
            <w:vAlign w:val="center"/>
          </w:tcPr>
          <w:p w14:paraId="3CA8AD6B"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sz w:val="18"/>
                <w:szCs w:val="18"/>
              </w:rPr>
              <w:t xml:space="preserve">49 </w:t>
            </w:r>
            <w:r w:rsidRPr="00676A9B">
              <w:rPr>
                <w:rFonts w:ascii="Arial" w:eastAsia="Calibri" w:hAnsi="Arial" w:cs="Arial"/>
                <w:i/>
                <w:sz w:val="18"/>
                <w:szCs w:val="18"/>
              </w:rPr>
              <w:t xml:space="preserve">demografska mjera </w:t>
            </w:r>
          </w:p>
          <w:p w14:paraId="2E11AD8D"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i/>
                <w:sz w:val="18"/>
                <w:szCs w:val="18"/>
              </w:rPr>
              <w:t>(još 57 socijalna mjera)</w:t>
            </w:r>
          </w:p>
        </w:tc>
        <w:tc>
          <w:tcPr>
            <w:tcW w:w="1317" w:type="dxa"/>
            <w:vAlign w:val="center"/>
          </w:tcPr>
          <w:p w14:paraId="773BBF3B" w14:textId="77777777" w:rsidR="00676A9B" w:rsidRPr="00676A9B" w:rsidRDefault="00676A9B" w:rsidP="00676A9B">
            <w:pPr>
              <w:spacing w:before="100" w:beforeAutospacing="1" w:after="100" w:afterAutospacing="1"/>
              <w:jc w:val="right"/>
              <w:rPr>
                <w:rFonts w:ascii="Arial" w:eastAsia="Calibri" w:hAnsi="Arial" w:cs="Arial"/>
                <w:sz w:val="18"/>
                <w:szCs w:val="18"/>
              </w:rPr>
            </w:pPr>
            <w:r w:rsidRPr="00676A9B">
              <w:rPr>
                <w:rFonts w:ascii="Arial" w:eastAsia="Calibri" w:hAnsi="Arial" w:cs="Arial"/>
                <w:sz w:val="18"/>
                <w:szCs w:val="18"/>
              </w:rPr>
              <w:t>2.282.83</w:t>
            </w:r>
          </w:p>
        </w:tc>
        <w:tc>
          <w:tcPr>
            <w:tcW w:w="9049" w:type="dxa"/>
            <w:vAlign w:val="center"/>
          </w:tcPr>
          <w:p w14:paraId="4A241F70"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37 učenika osnovnih škola i 12 učenika srednjih škola – demografska mjera</w:t>
            </w:r>
          </w:p>
          <w:p w14:paraId="66D6DFD4"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 xml:space="preserve">(još 57 učenika iz socijalne mjere = 13.500 kn /1.791,76 EUR/ ili sveukupno 106 djece = 30.700 kn /4.074,59 EUR/). </w:t>
            </w:r>
          </w:p>
          <w:p w14:paraId="5C55C78B"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i/>
                <w:sz w:val="18"/>
                <w:szCs w:val="18"/>
              </w:rPr>
              <w:t>Za učenike 1. razreda Županija nabavila udžbenike.</w:t>
            </w:r>
          </w:p>
        </w:tc>
      </w:tr>
      <w:tr w:rsidR="00676A9B" w:rsidRPr="00676A9B" w14:paraId="6920DB76" w14:textId="77777777" w:rsidTr="00410A4B">
        <w:trPr>
          <w:jc w:val="center"/>
        </w:trPr>
        <w:tc>
          <w:tcPr>
            <w:tcW w:w="895" w:type="dxa"/>
            <w:vAlign w:val="center"/>
          </w:tcPr>
          <w:p w14:paraId="434E5FD4"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2020.</w:t>
            </w:r>
          </w:p>
        </w:tc>
        <w:tc>
          <w:tcPr>
            <w:tcW w:w="1982" w:type="dxa"/>
            <w:vAlign w:val="center"/>
          </w:tcPr>
          <w:p w14:paraId="30BF12DF"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69 demografska mjera</w:t>
            </w:r>
          </w:p>
          <w:p w14:paraId="2D43BA19"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i/>
                <w:sz w:val="18"/>
                <w:szCs w:val="18"/>
              </w:rPr>
              <w:t>(još 31 socijalna mjera)</w:t>
            </w:r>
          </w:p>
        </w:tc>
        <w:tc>
          <w:tcPr>
            <w:tcW w:w="1317" w:type="dxa"/>
            <w:vAlign w:val="center"/>
          </w:tcPr>
          <w:p w14:paraId="1A4716B1" w14:textId="77777777" w:rsidR="00676A9B" w:rsidRPr="00676A9B" w:rsidRDefault="00676A9B" w:rsidP="00676A9B">
            <w:pPr>
              <w:spacing w:before="100" w:beforeAutospacing="1" w:after="100" w:afterAutospacing="1"/>
              <w:jc w:val="right"/>
              <w:rPr>
                <w:rFonts w:ascii="Arial" w:eastAsia="Calibri" w:hAnsi="Arial" w:cs="Arial"/>
                <w:sz w:val="18"/>
                <w:szCs w:val="18"/>
              </w:rPr>
            </w:pPr>
            <w:r w:rsidRPr="00676A9B">
              <w:rPr>
                <w:rFonts w:ascii="Arial" w:eastAsia="Calibri" w:hAnsi="Arial" w:cs="Arial"/>
                <w:sz w:val="18"/>
                <w:szCs w:val="18"/>
              </w:rPr>
              <w:t>2.548,28</w:t>
            </w:r>
          </w:p>
        </w:tc>
        <w:tc>
          <w:tcPr>
            <w:tcW w:w="9049" w:type="dxa"/>
            <w:vAlign w:val="center"/>
          </w:tcPr>
          <w:p w14:paraId="343E5453"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55 učenika osnovnih škola i 14 učenika srednjih škola = 19.200 kn /2.548,28 EUR/  demografska mjera</w:t>
            </w:r>
          </w:p>
          <w:p w14:paraId="5635CDB1" w14:textId="77777777" w:rsidR="00676A9B" w:rsidRPr="00676A9B" w:rsidRDefault="00676A9B" w:rsidP="00676A9B">
            <w:pPr>
              <w:spacing w:before="100" w:beforeAutospacing="1" w:after="100" w:afterAutospacing="1"/>
              <w:rPr>
                <w:rFonts w:ascii="Arial" w:eastAsia="Calibri" w:hAnsi="Arial" w:cs="Arial"/>
                <w:i/>
                <w:iCs/>
                <w:sz w:val="18"/>
                <w:szCs w:val="18"/>
              </w:rPr>
            </w:pPr>
            <w:r w:rsidRPr="00676A9B">
              <w:rPr>
                <w:rFonts w:ascii="Arial" w:eastAsia="Calibri" w:hAnsi="Arial" w:cs="Arial"/>
                <w:sz w:val="18"/>
                <w:szCs w:val="18"/>
              </w:rPr>
              <w:t xml:space="preserve">(još 23 učenika osnovnih škola i 8 učenika srednjih škola = 5.700 kn /756,52 EUR/ socijalna mjera ili sveukupno 100 učenika – 24.900 kn /3.304,80 EUR). </w:t>
            </w:r>
            <w:r w:rsidRPr="00676A9B">
              <w:rPr>
                <w:rFonts w:ascii="Arial" w:eastAsia="Calibri" w:hAnsi="Arial" w:cs="Arial"/>
                <w:i/>
                <w:iCs/>
                <w:sz w:val="18"/>
                <w:szCs w:val="18"/>
              </w:rPr>
              <w:t>Za učenike 1. razreda osnovnih škola Županija je osigurala udžbenike.</w:t>
            </w:r>
          </w:p>
        </w:tc>
      </w:tr>
      <w:tr w:rsidR="00676A9B" w:rsidRPr="00676A9B" w14:paraId="4F15856F" w14:textId="77777777" w:rsidTr="00410A4B">
        <w:trPr>
          <w:jc w:val="center"/>
        </w:trPr>
        <w:tc>
          <w:tcPr>
            <w:tcW w:w="895" w:type="dxa"/>
            <w:vAlign w:val="center"/>
          </w:tcPr>
          <w:p w14:paraId="2C9027BE"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2021.</w:t>
            </w:r>
          </w:p>
        </w:tc>
        <w:tc>
          <w:tcPr>
            <w:tcW w:w="1982" w:type="dxa"/>
            <w:vAlign w:val="center"/>
          </w:tcPr>
          <w:p w14:paraId="315170C0"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w:t>
            </w:r>
          </w:p>
        </w:tc>
        <w:tc>
          <w:tcPr>
            <w:tcW w:w="1317" w:type="dxa"/>
            <w:vAlign w:val="center"/>
          </w:tcPr>
          <w:p w14:paraId="1C5F4F97"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w:t>
            </w:r>
          </w:p>
        </w:tc>
        <w:tc>
          <w:tcPr>
            <w:tcW w:w="9049" w:type="dxa"/>
            <w:vAlign w:val="center"/>
          </w:tcPr>
          <w:p w14:paraId="0F7D2588"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w:t>
            </w:r>
          </w:p>
        </w:tc>
      </w:tr>
      <w:tr w:rsidR="00676A9B" w:rsidRPr="00676A9B" w14:paraId="2AEF44C6" w14:textId="77777777" w:rsidTr="00410A4B">
        <w:trPr>
          <w:jc w:val="center"/>
        </w:trPr>
        <w:tc>
          <w:tcPr>
            <w:tcW w:w="895" w:type="dxa"/>
            <w:vAlign w:val="center"/>
          </w:tcPr>
          <w:p w14:paraId="07ACC18E"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lastRenderedPageBreak/>
              <w:t>2022.</w:t>
            </w:r>
          </w:p>
        </w:tc>
        <w:tc>
          <w:tcPr>
            <w:tcW w:w="1982" w:type="dxa"/>
            <w:vAlign w:val="center"/>
          </w:tcPr>
          <w:p w14:paraId="098A09FB"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95 demografska mjera</w:t>
            </w:r>
          </w:p>
          <w:p w14:paraId="0FAD87CD"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(još 31 socijalna mjera)</w:t>
            </w:r>
          </w:p>
        </w:tc>
        <w:tc>
          <w:tcPr>
            <w:tcW w:w="1317" w:type="dxa"/>
            <w:vAlign w:val="center"/>
          </w:tcPr>
          <w:p w14:paraId="0F3F7DFF" w14:textId="77777777" w:rsidR="00676A9B" w:rsidRPr="00676A9B" w:rsidRDefault="00676A9B" w:rsidP="00676A9B">
            <w:pPr>
              <w:spacing w:before="100" w:beforeAutospacing="1" w:after="100" w:afterAutospacing="1"/>
              <w:jc w:val="right"/>
              <w:rPr>
                <w:rFonts w:ascii="Arial" w:eastAsia="Calibri" w:hAnsi="Arial" w:cs="Arial"/>
                <w:sz w:val="18"/>
                <w:szCs w:val="18"/>
              </w:rPr>
            </w:pPr>
            <w:r w:rsidRPr="00676A9B">
              <w:rPr>
                <w:rFonts w:ascii="Arial" w:eastAsia="Calibri" w:hAnsi="Arial" w:cs="Arial"/>
                <w:sz w:val="18"/>
                <w:szCs w:val="18"/>
              </w:rPr>
              <w:t>4.107,77</w:t>
            </w:r>
          </w:p>
        </w:tc>
        <w:tc>
          <w:tcPr>
            <w:tcW w:w="9049" w:type="dxa"/>
            <w:vAlign w:val="center"/>
          </w:tcPr>
          <w:p w14:paraId="11D14DCC"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71 učenik osnovnih škola i 24 učenika srednjih škola = 30.950 kn / 4.107,77 € -  demografska mjera</w:t>
            </w:r>
          </w:p>
          <w:p w14:paraId="25A23A64"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 xml:space="preserve">(još 19 učenika osnovnih škola i 12 učenika srednjih škola = 8.450 kn / 1.121,51 €– socijalna mjera ili </w:t>
            </w:r>
          </w:p>
          <w:p w14:paraId="5BA6D968"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sveukupno 136 učenika – 39.400 kn / 5.229,28 €).</w:t>
            </w:r>
          </w:p>
        </w:tc>
      </w:tr>
      <w:tr w:rsidR="00676A9B" w:rsidRPr="00676A9B" w14:paraId="1D6BE005" w14:textId="77777777" w:rsidTr="00410A4B">
        <w:trPr>
          <w:jc w:val="center"/>
        </w:trPr>
        <w:tc>
          <w:tcPr>
            <w:tcW w:w="895" w:type="dxa"/>
            <w:vAlign w:val="center"/>
          </w:tcPr>
          <w:p w14:paraId="382E192D"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2023.</w:t>
            </w:r>
          </w:p>
        </w:tc>
        <w:tc>
          <w:tcPr>
            <w:tcW w:w="1982" w:type="dxa"/>
            <w:vAlign w:val="center"/>
          </w:tcPr>
          <w:p w14:paraId="5B88A47E"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91 demografska mjera</w:t>
            </w:r>
          </w:p>
          <w:p w14:paraId="241B6B1D"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(još 20 socijalna mjera)</w:t>
            </w:r>
          </w:p>
        </w:tc>
        <w:tc>
          <w:tcPr>
            <w:tcW w:w="1317" w:type="dxa"/>
            <w:vAlign w:val="center"/>
          </w:tcPr>
          <w:p w14:paraId="4AE8FC3E" w14:textId="77777777" w:rsidR="00676A9B" w:rsidRPr="00676A9B" w:rsidRDefault="00676A9B" w:rsidP="00676A9B">
            <w:pPr>
              <w:spacing w:before="100" w:beforeAutospacing="1" w:after="100" w:afterAutospacing="1"/>
              <w:jc w:val="right"/>
              <w:rPr>
                <w:rFonts w:ascii="Arial" w:eastAsia="Calibri" w:hAnsi="Arial" w:cs="Arial"/>
                <w:sz w:val="18"/>
                <w:szCs w:val="18"/>
              </w:rPr>
            </w:pPr>
            <w:r w:rsidRPr="00676A9B">
              <w:rPr>
                <w:rFonts w:ascii="Arial" w:eastAsia="Calibri" w:hAnsi="Arial" w:cs="Arial"/>
                <w:sz w:val="18"/>
                <w:szCs w:val="18"/>
              </w:rPr>
              <w:t>5.330,00</w:t>
            </w:r>
          </w:p>
        </w:tc>
        <w:tc>
          <w:tcPr>
            <w:tcW w:w="9049" w:type="dxa"/>
            <w:vAlign w:val="center"/>
          </w:tcPr>
          <w:p w14:paraId="6721C604"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65 učenika osnovnih škola i 26 učenika srednjih škola = 5.330 € -  demografska mjera</w:t>
            </w:r>
          </w:p>
          <w:p w14:paraId="15B66C16"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 xml:space="preserve">(još 16 učenika osnovnih škola i 4 učenika srednjih škola = 1.010 €– socijalna mjera ili </w:t>
            </w:r>
          </w:p>
          <w:p w14:paraId="125D394C"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sveukupno 111 učenika – 6.340 €).</w:t>
            </w:r>
          </w:p>
        </w:tc>
      </w:tr>
      <w:tr w:rsidR="00676A9B" w:rsidRPr="00676A9B" w14:paraId="5135747B" w14:textId="77777777" w:rsidTr="00410A4B">
        <w:trPr>
          <w:jc w:val="center"/>
        </w:trPr>
        <w:tc>
          <w:tcPr>
            <w:tcW w:w="895" w:type="dxa"/>
            <w:vAlign w:val="center"/>
          </w:tcPr>
          <w:p w14:paraId="4E7DD743"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 xml:space="preserve">2024. </w:t>
            </w:r>
          </w:p>
        </w:tc>
        <w:tc>
          <w:tcPr>
            <w:tcW w:w="1982" w:type="dxa"/>
            <w:vAlign w:val="center"/>
          </w:tcPr>
          <w:p w14:paraId="4CB80F10"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113 demografska mjera</w:t>
            </w:r>
          </w:p>
          <w:p w14:paraId="4C26BDF7"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(još 74 socijalna mjera)</w:t>
            </w:r>
          </w:p>
        </w:tc>
        <w:tc>
          <w:tcPr>
            <w:tcW w:w="1317" w:type="dxa"/>
            <w:vAlign w:val="center"/>
          </w:tcPr>
          <w:p w14:paraId="05528ED1" w14:textId="77777777" w:rsidR="00676A9B" w:rsidRPr="00676A9B" w:rsidRDefault="00676A9B" w:rsidP="00676A9B">
            <w:pPr>
              <w:spacing w:before="100" w:beforeAutospacing="1" w:after="100" w:afterAutospacing="1"/>
              <w:jc w:val="right"/>
              <w:rPr>
                <w:rFonts w:ascii="Arial" w:eastAsia="Calibri" w:hAnsi="Arial" w:cs="Arial"/>
                <w:sz w:val="18"/>
                <w:szCs w:val="18"/>
              </w:rPr>
            </w:pPr>
            <w:r w:rsidRPr="00676A9B">
              <w:rPr>
                <w:rFonts w:ascii="Arial" w:eastAsia="Calibri" w:hAnsi="Arial" w:cs="Arial"/>
                <w:sz w:val="18"/>
                <w:szCs w:val="18"/>
              </w:rPr>
              <w:t>8.720,00</w:t>
            </w:r>
          </w:p>
        </w:tc>
        <w:tc>
          <w:tcPr>
            <w:tcW w:w="9049" w:type="dxa"/>
            <w:vAlign w:val="center"/>
          </w:tcPr>
          <w:p w14:paraId="4B3D927C"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79 učenika osnovnih škola i 34 učenika srednjih škola = 8.720 € -  demografska mjera</w:t>
            </w:r>
          </w:p>
          <w:p w14:paraId="14297F7C"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 xml:space="preserve">(još 55 učenika osnovnih škola i 19 učenika srednjih škola = 5.290 €– socijalna mjera ili </w:t>
            </w:r>
          </w:p>
          <w:p w14:paraId="170C62C2"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sveukupno 187 učenika – 14.010 €).</w:t>
            </w:r>
          </w:p>
        </w:tc>
      </w:tr>
      <w:tr w:rsidR="000C200E" w:rsidRPr="00676A9B" w14:paraId="58C07E64" w14:textId="77777777" w:rsidTr="00410A4B">
        <w:trPr>
          <w:jc w:val="center"/>
        </w:trPr>
        <w:tc>
          <w:tcPr>
            <w:tcW w:w="895" w:type="dxa"/>
            <w:vAlign w:val="center"/>
          </w:tcPr>
          <w:p w14:paraId="1787EF41" w14:textId="12B8975F" w:rsidR="000C200E" w:rsidRPr="00676A9B" w:rsidRDefault="000C200E" w:rsidP="000C200E">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202</w:t>
            </w:r>
            <w:r>
              <w:rPr>
                <w:rFonts w:ascii="Arial" w:eastAsia="Calibri" w:hAnsi="Arial" w:cs="Arial"/>
                <w:sz w:val="18"/>
                <w:szCs w:val="18"/>
              </w:rPr>
              <w:t>5</w:t>
            </w:r>
            <w:r w:rsidRPr="00676A9B">
              <w:rPr>
                <w:rFonts w:ascii="Arial" w:eastAsia="Calibri" w:hAnsi="Arial" w:cs="Arial"/>
                <w:sz w:val="18"/>
                <w:szCs w:val="18"/>
              </w:rPr>
              <w:t xml:space="preserve">. </w:t>
            </w:r>
          </w:p>
        </w:tc>
        <w:tc>
          <w:tcPr>
            <w:tcW w:w="1982" w:type="dxa"/>
            <w:vAlign w:val="center"/>
          </w:tcPr>
          <w:p w14:paraId="37146ABC" w14:textId="780B701E" w:rsidR="000C200E" w:rsidRPr="00676A9B" w:rsidRDefault="000C200E" w:rsidP="000C200E">
            <w:pPr>
              <w:spacing w:before="100" w:beforeAutospacing="1" w:after="100" w:afterAutospacing="1"/>
              <w:jc w:val="center"/>
              <w:rPr>
                <w:rFonts w:ascii="Arial" w:eastAsia="Calibri" w:hAnsi="Arial" w:cs="Arial"/>
                <w:i/>
                <w:sz w:val="18"/>
                <w:szCs w:val="18"/>
              </w:rPr>
            </w:pPr>
            <w:r>
              <w:rPr>
                <w:rFonts w:ascii="Arial" w:eastAsia="Calibri" w:hAnsi="Arial" w:cs="Arial"/>
                <w:i/>
                <w:sz w:val="18"/>
                <w:szCs w:val="18"/>
              </w:rPr>
              <w:t xml:space="preserve">98 </w:t>
            </w:r>
            <w:r w:rsidRPr="00676A9B">
              <w:rPr>
                <w:rFonts w:ascii="Arial" w:eastAsia="Calibri" w:hAnsi="Arial" w:cs="Arial"/>
                <w:i/>
                <w:sz w:val="18"/>
                <w:szCs w:val="18"/>
              </w:rPr>
              <w:t>demografska mjera</w:t>
            </w:r>
          </w:p>
          <w:p w14:paraId="54F2407E" w14:textId="5C8EDB21" w:rsidR="000C200E" w:rsidRPr="00676A9B" w:rsidRDefault="000C200E" w:rsidP="000C200E">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 xml:space="preserve">(još </w:t>
            </w:r>
            <w:r>
              <w:rPr>
                <w:rFonts w:ascii="Arial" w:eastAsia="Calibri" w:hAnsi="Arial" w:cs="Arial"/>
                <w:i/>
                <w:sz w:val="18"/>
                <w:szCs w:val="18"/>
              </w:rPr>
              <w:t>117</w:t>
            </w:r>
            <w:r w:rsidRPr="00676A9B">
              <w:rPr>
                <w:rFonts w:ascii="Arial" w:eastAsia="Calibri" w:hAnsi="Arial" w:cs="Arial"/>
                <w:i/>
                <w:sz w:val="18"/>
                <w:szCs w:val="18"/>
              </w:rPr>
              <w:t xml:space="preserve"> socijalna mjera)</w:t>
            </w:r>
          </w:p>
        </w:tc>
        <w:tc>
          <w:tcPr>
            <w:tcW w:w="1317" w:type="dxa"/>
            <w:vAlign w:val="center"/>
          </w:tcPr>
          <w:p w14:paraId="6CA0FE3C" w14:textId="51897310" w:rsidR="000C200E" w:rsidRPr="00676A9B" w:rsidRDefault="000C200E" w:rsidP="000C200E">
            <w:pPr>
              <w:spacing w:before="100" w:beforeAutospacing="1" w:after="100" w:afterAutospacing="1"/>
              <w:jc w:val="right"/>
              <w:rPr>
                <w:rFonts w:ascii="Arial" w:eastAsia="Calibri" w:hAnsi="Arial" w:cs="Arial"/>
                <w:sz w:val="18"/>
                <w:szCs w:val="18"/>
              </w:rPr>
            </w:pPr>
            <w:r>
              <w:rPr>
                <w:rFonts w:ascii="Arial" w:eastAsia="Calibri" w:hAnsi="Arial" w:cs="Arial"/>
                <w:sz w:val="18"/>
                <w:szCs w:val="18"/>
              </w:rPr>
              <w:t>7.840</w:t>
            </w:r>
            <w:r w:rsidRPr="00676A9B">
              <w:rPr>
                <w:rFonts w:ascii="Arial" w:eastAsia="Calibri" w:hAnsi="Arial" w:cs="Arial"/>
                <w:sz w:val="18"/>
                <w:szCs w:val="18"/>
              </w:rPr>
              <w:t>,00</w:t>
            </w:r>
          </w:p>
        </w:tc>
        <w:tc>
          <w:tcPr>
            <w:tcW w:w="9049" w:type="dxa"/>
            <w:vAlign w:val="center"/>
          </w:tcPr>
          <w:p w14:paraId="3CFE329C" w14:textId="4B0C4122" w:rsidR="000C200E" w:rsidRPr="005212A7" w:rsidRDefault="000C200E" w:rsidP="000C200E">
            <w:pPr>
              <w:spacing w:before="100" w:beforeAutospacing="1" w:after="100" w:afterAutospacing="1"/>
              <w:rPr>
                <w:rFonts w:ascii="Arial" w:eastAsia="Calibri" w:hAnsi="Arial" w:cs="Arial"/>
                <w:sz w:val="18"/>
                <w:szCs w:val="18"/>
              </w:rPr>
            </w:pPr>
            <w:r w:rsidRPr="005212A7">
              <w:rPr>
                <w:rFonts w:ascii="Arial" w:eastAsia="Calibri" w:hAnsi="Arial" w:cs="Arial"/>
                <w:sz w:val="18"/>
                <w:szCs w:val="18"/>
              </w:rPr>
              <w:t>71 učenik osnovnih škola i 27 učenika srednjih škola = 7.840 € -  demografska mjera</w:t>
            </w:r>
          </w:p>
          <w:p w14:paraId="7EE84D48" w14:textId="156F47C1" w:rsidR="000C200E" w:rsidRPr="005212A7" w:rsidRDefault="000C200E" w:rsidP="000C200E">
            <w:pPr>
              <w:spacing w:before="100" w:beforeAutospacing="1" w:after="100" w:afterAutospacing="1"/>
              <w:rPr>
                <w:rFonts w:ascii="Arial" w:eastAsia="Calibri" w:hAnsi="Arial" w:cs="Arial"/>
                <w:sz w:val="18"/>
                <w:szCs w:val="18"/>
              </w:rPr>
            </w:pPr>
            <w:r w:rsidRPr="005212A7">
              <w:rPr>
                <w:rFonts w:ascii="Arial" w:eastAsia="Calibri" w:hAnsi="Arial" w:cs="Arial"/>
                <w:sz w:val="18"/>
                <w:szCs w:val="18"/>
              </w:rPr>
              <w:t xml:space="preserve">(još 83 učenika osnovnih škola i 34 učenika srednjih škola = 5.290 €– socijalna mjera ili </w:t>
            </w:r>
          </w:p>
          <w:p w14:paraId="7746232D" w14:textId="5CFAB63C" w:rsidR="000C200E" w:rsidRPr="005212A7" w:rsidRDefault="000C200E" w:rsidP="000C200E">
            <w:pPr>
              <w:spacing w:before="100" w:beforeAutospacing="1" w:after="100" w:afterAutospacing="1"/>
              <w:rPr>
                <w:rFonts w:ascii="Arial" w:eastAsia="Calibri" w:hAnsi="Arial" w:cs="Arial"/>
                <w:sz w:val="18"/>
                <w:szCs w:val="18"/>
              </w:rPr>
            </w:pPr>
            <w:r w:rsidRPr="005212A7">
              <w:rPr>
                <w:rFonts w:ascii="Arial" w:eastAsia="Calibri" w:hAnsi="Arial" w:cs="Arial"/>
                <w:sz w:val="18"/>
                <w:szCs w:val="18"/>
              </w:rPr>
              <w:t xml:space="preserve">sveukupno 187 učenika – </w:t>
            </w:r>
            <w:r w:rsidR="005212A7" w:rsidRPr="005212A7">
              <w:rPr>
                <w:rFonts w:ascii="Arial" w:eastAsia="Calibri" w:hAnsi="Arial" w:cs="Arial"/>
                <w:sz w:val="18"/>
                <w:szCs w:val="18"/>
              </w:rPr>
              <w:t>8.210</w:t>
            </w:r>
            <w:r w:rsidRPr="005212A7">
              <w:rPr>
                <w:rFonts w:ascii="Arial" w:eastAsia="Calibri" w:hAnsi="Arial" w:cs="Arial"/>
                <w:sz w:val="18"/>
                <w:szCs w:val="18"/>
              </w:rPr>
              <w:t xml:space="preserve"> €).</w:t>
            </w:r>
          </w:p>
        </w:tc>
      </w:tr>
      <w:bookmarkEnd w:id="388"/>
    </w:tbl>
    <w:p w14:paraId="0AC281E1" w14:textId="77777777" w:rsidR="00676A9B" w:rsidRPr="00676A9B" w:rsidRDefault="00676A9B" w:rsidP="00676A9B">
      <w:pPr>
        <w:spacing w:after="0" w:line="240" w:lineRule="auto"/>
        <w:jc w:val="both"/>
        <w:rPr>
          <w:rFonts w:ascii="Arial" w:eastAsia="Calibri" w:hAnsi="Arial" w:cs="Arial"/>
          <w:sz w:val="20"/>
          <w:szCs w:val="20"/>
        </w:rPr>
      </w:pPr>
    </w:p>
    <w:p w14:paraId="77C06E4F" w14:textId="77777777" w:rsidR="005212A7" w:rsidRDefault="005212A7" w:rsidP="00676A9B">
      <w:pPr>
        <w:spacing w:after="0" w:line="240" w:lineRule="auto"/>
        <w:jc w:val="both"/>
        <w:rPr>
          <w:rFonts w:ascii="Arial" w:eastAsia="Calibri" w:hAnsi="Arial" w:cs="Arial"/>
          <w:sz w:val="20"/>
          <w:szCs w:val="20"/>
        </w:rPr>
      </w:pPr>
      <w:bookmarkStart w:id="389" w:name="_Hlk166144513"/>
      <w:r w:rsidRPr="005212A7">
        <w:rPr>
          <w:rFonts w:ascii="Arial" w:eastAsia="Calibri" w:hAnsi="Arial" w:cs="Arial"/>
          <w:sz w:val="20"/>
          <w:szCs w:val="20"/>
        </w:rPr>
        <w:t xml:space="preserve">Općinski načelnik je u kolovozu 2025. gonio odluku o pravu na novčanu pomoć roditeljima učenika osnovnih i srednjih škola za školsku 2025/26 godinu. Prema navedenoj odluci, pravo temeljem </w:t>
      </w:r>
      <w:r w:rsidRPr="005212A7">
        <w:rPr>
          <w:rFonts w:ascii="Arial" w:eastAsia="Calibri" w:hAnsi="Arial" w:cs="Arial"/>
          <w:b/>
          <w:bCs/>
          <w:sz w:val="20"/>
          <w:szCs w:val="20"/>
        </w:rPr>
        <w:t>demografskih mjera</w:t>
      </w:r>
      <w:r w:rsidRPr="005212A7">
        <w:rPr>
          <w:rFonts w:ascii="Arial" w:eastAsia="Calibri" w:hAnsi="Arial" w:cs="Arial"/>
          <w:sz w:val="20"/>
          <w:szCs w:val="20"/>
        </w:rPr>
        <w:t xml:space="preserve"> su ostvarivali roditelji učenika pod uvjetom da je učenik iz obitelji s četvero i više djece (prebivalište na području Općine). Novčana pomoć (demografska mjera) za učenike osnovnih škola iznosi 70 €, a za učenike srednjih škola iznosi 100 €.</w:t>
      </w:r>
    </w:p>
    <w:bookmarkEnd w:id="389"/>
    <w:p w14:paraId="2CF892ED" w14:textId="77777777" w:rsidR="00676A9B" w:rsidRPr="00676A9B" w:rsidRDefault="00676A9B" w:rsidP="00676A9B">
      <w:pPr>
        <w:spacing w:after="0" w:line="240" w:lineRule="auto"/>
        <w:jc w:val="both"/>
        <w:rPr>
          <w:rFonts w:ascii="Arial" w:eastAsia="Calibri" w:hAnsi="Arial" w:cs="Arial"/>
          <w:bCs/>
        </w:rPr>
      </w:pPr>
    </w:p>
    <w:tbl>
      <w:tblPr>
        <w:tblStyle w:val="Reetkatablice536"/>
        <w:tblW w:w="13525" w:type="dxa"/>
        <w:jc w:val="center"/>
        <w:tblLayout w:type="fixed"/>
        <w:tblLook w:val="04A0" w:firstRow="1" w:lastRow="0" w:firstColumn="1" w:lastColumn="0" w:noHBand="0" w:noVBand="1"/>
      </w:tblPr>
      <w:tblGrid>
        <w:gridCol w:w="2952"/>
        <w:gridCol w:w="2713"/>
        <w:gridCol w:w="958"/>
        <w:gridCol w:w="1134"/>
        <w:gridCol w:w="1232"/>
        <w:gridCol w:w="1134"/>
        <w:gridCol w:w="1134"/>
        <w:gridCol w:w="1134"/>
        <w:gridCol w:w="1134"/>
      </w:tblGrid>
      <w:tr w:rsidR="00676A9B" w:rsidRPr="00676A9B" w14:paraId="7CC6A437" w14:textId="77777777" w:rsidTr="00410A4B">
        <w:trPr>
          <w:jc w:val="center"/>
        </w:trPr>
        <w:tc>
          <w:tcPr>
            <w:tcW w:w="295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7295401" w14:textId="77777777" w:rsidR="00676A9B" w:rsidRPr="00676A9B" w:rsidRDefault="00676A9B" w:rsidP="00676A9B">
            <w:pPr>
              <w:jc w:val="center"/>
              <w:rPr>
                <w:rFonts w:ascii="Arial" w:eastAsia="Calibri" w:hAnsi="Arial" w:cs="Arial"/>
              </w:rPr>
            </w:pPr>
            <w:r w:rsidRPr="00676A9B">
              <w:rPr>
                <w:rFonts w:ascii="Arial" w:eastAsia="Calibri" w:hAnsi="Arial" w:cs="Arial"/>
              </w:rPr>
              <w:t>Pokazatelj rezultata</w:t>
            </w:r>
          </w:p>
        </w:tc>
        <w:tc>
          <w:tcPr>
            <w:tcW w:w="271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7889642" w14:textId="77777777" w:rsidR="00676A9B" w:rsidRPr="00676A9B" w:rsidRDefault="00676A9B" w:rsidP="00676A9B">
            <w:pPr>
              <w:jc w:val="center"/>
              <w:rPr>
                <w:rFonts w:ascii="Arial" w:eastAsia="Calibri" w:hAnsi="Arial" w:cs="Arial"/>
              </w:rPr>
            </w:pPr>
            <w:r w:rsidRPr="00676A9B">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DF95164" w14:textId="77777777" w:rsidR="00676A9B" w:rsidRPr="00676A9B" w:rsidRDefault="00676A9B" w:rsidP="00676A9B">
            <w:pPr>
              <w:jc w:val="center"/>
              <w:rPr>
                <w:rFonts w:ascii="Arial" w:eastAsia="Calibri" w:hAnsi="Arial" w:cs="Arial"/>
              </w:rPr>
            </w:pPr>
            <w:r w:rsidRPr="00676A9B">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0B46D5A" w14:textId="77777777" w:rsidR="00676A9B" w:rsidRPr="00676A9B" w:rsidRDefault="00676A9B" w:rsidP="00676A9B">
            <w:pPr>
              <w:jc w:val="center"/>
              <w:rPr>
                <w:rFonts w:ascii="Arial" w:eastAsia="Calibri" w:hAnsi="Arial" w:cs="Arial"/>
              </w:rPr>
            </w:pPr>
            <w:r w:rsidRPr="00676A9B">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4D3F1A3" w14:textId="0D2E30AD" w:rsidR="00676A9B" w:rsidRPr="00676A9B" w:rsidRDefault="00676A9B" w:rsidP="00676A9B">
            <w:pPr>
              <w:jc w:val="center"/>
              <w:rPr>
                <w:rFonts w:ascii="Arial" w:eastAsia="Calibri" w:hAnsi="Arial" w:cs="Arial"/>
              </w:rPr>
            </w:pPr>
            <w:r w:rsidRPr="00676A9B">
              <w:rPr>
                <w:rFonts w:ascii="Arial" w:eastAsia="Calibri" w:hAnsi="Arial" w:cs="Arial"/>
              </w:rPr>
              <w:t>Polazna vrijednost 202</w:t>
            </w:r>
            <w:r w:rsidR="005212A7">
              <w:rPr>
                <w:rFonts w:ascii="Arial" w:eastAsia="Calibri" w:hAnsi="Arial" w:cs="Arial"/>
              </w:rPr>
              <w:t>4</w:t>
            </w:r>
            <w:r w:rsidRPr="00676A9B">
              <w:rPr>
                <w:rFonts w:ascii="Arial" w:eastAsia="Calibri" w:hAnsi="Arial"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51E9A8D2" w14:textId="767E12DB" w:rsidR="00676A9B" w:rsidRPr="00676A9B" w:rsidRDefault="00676A9B" w:rsidP="00676A9B">
            <w:pPr>
              <w:jc w:val="center"/>
              <w:rPr>
                <w:rFonts w:ascii="Arial" w:eastAsia="Calibri" w:hAnsi="Arial" w:cs="Arial"/>
              </w:rPr>
            </w:pPr>
            <w:r w:rsidRPr="00676A9B">
              <w:rPr>
                <w:rFonts w:ascii="Arial" w:eastAsia="Calibri" w:hAnsi="Arial" w:cs="Arial"/>
              </w:rPr>
              <w:t>Ciljana vrijednost 202</w:t>
            </w:r>
            <w:r w:rsidR="005212A7">
              <w:rPr>
                <w:rFonts w:ascii="Arial" w:eastAsia="Calibri" w:hAnsi="Arial" w:cs="Arial"/>
              </w:rPr>
              <w:t>5</w:t>
            </w:r>
            <w:r w:rsidRPr="00676A9B">
              <w:rPr>
                <w:rFonts w:ascii="Arial" w:eastAsia="Calibri" w:hAnsi="Arial"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BFE5962" w14:textId="513AE3AC" w:rsidR="00676A9B" w:rsidRPr="00676A9B" w:rsidRDefault="00676A9B" w:rsidP="00676A9B">
            <w:pPr>
              <w:jc w:val="center"/>
              <w:rPr>
                <w:rFonts w:ascii="Arial" w:eastAsia="Calibri" w:hAnsi="Arial" w:cs="Arial"/>
              </w:rPr>
            </w:pPr>
            <w:r w:rsidRPr="00676A9B">
              <w:rPr>
                <w:rFonts w:ascii="Arial" w:eastAsia="Calibri" w:hAnsi="Arial" w:cs="Arial"/>
              </w:rPr>
              <w:t>Izvršeno 202</w:t>
            </w:r>
            <w:r w:rsidR="005212A7">
              <w:rPr>
                <w:rFonts w:ascii="Arial" w:eastAsia="Calibri" w:hAnsi="Arial" w:cs="Arial"/>
              </w:rPr>
              <w:t>5</w:t>
            </w:r>
            <w:r w:rsidRPr="00676A9B">
              <w:rPr>
                <w:rFonts w:ascii="Arial" w:eastAsia="Calibri" w:hAnsi="Arial"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37B7B6F4" w14:textId="54DC587C" w:rsidR="00676A9B" w:rsidRPr="00676A9B" w:rsidRDefault="00676A9B" w:rsidP="00676A9B">
            <w:pPr>
              <w:jc w:val="center"/>
              <w:rPr>
                <w:rFonts w:ascii="Arial" w:eastAsia="Calibri" w:hAnsi="Arial" w:cs="Arial"/>
              </w:rPr>
            </w:pPr>
            <w:r w:rsidRPr="00676A9B">
              <w:rPr>
                <w:rFonts w:ascii="Arial" w:eastAsia="Calibri" w:hAnsi="Arial" w:cs="Arial"/>
              </w:rPr>
              <w:t>Ciljana vrijednost 202</w:t>
            </w:r>
            <w:r w:rsidR="005212A7">
              <w:rPr>
                <w:rFonts w:ascii="Arial" w:eastAsia="Calibri" w:hAnsi="Arial" w:cs="Arial"/>
              </w:rPr>
              <w:t>6</w:t>
            </w:r>
            <w:r w:rsidRPr="00676A9B">
              <w:rPr>
                <w:rFonts w:ascii="Arial" w:eastAsia="Calibri" w:hAnsi="Arial"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1DF28AE1" w14:textId="14C49134" w:rsidR="00676A9B" w:rsidRPr="00676A9B" w:rsidRDefault="00676A9B" w:rsidP="00676A9B">
            <w:pPr>
              <w:jc w:val="center"/>
              <w:rPr>
                <w:rFonts w:ascii="Arial" w:eastAsia="Calibri" w:hAnsi="Arial" w:cs="Arial"/>
              </w:rPr>
            </w:pPr>
            <w:r w:rsidRPr="00676A9B">
              <w:rPr>
                <w:rFonts w:ascii="Arial" w:eastAsia="Calibri" w:hAnsi="Arial" w:cs="Arial"/>
              </w:rPr>
              <w:t>Ciljana vrijednost 202</w:t>
            </w:r>
            <w:r w:rsidR="005212A7">
              <w:rPr>
                <w:rFonts w:ascii="Arial" w:eastAsia="Calibri" w:hAnsi="Arial" w:cs="Arial"/>
              </w:rPr>
              <w:t>7</w:t>
            </w:r>
            <w:r w:rsidRPr="00676A9B">
              <w:rPr>
                <w:rFonts w:ascii="Arial" w:eastAsia="Calibri" w:hAnsi="Arial" w:cs="Arial"/>
              </w:rPr>
              <w:t>.</w:t>
            </w:r>
          </w:p>
        </w:tc>
      </w:tr>
      <w:tr w:rsidR="00676A9B" w:rsidRPr="00676A9B" w14:paraId="0B701766" w14:textId="77777777" w:rsidTr="00410A4B">
        <w:trPr>
          <w:trHeight w:val="1031"/>
          <w:jc w:val="center"/>
        </w:trPr>
        <w:tc>
          <w:tcPr>
            <w:tcW w:w="2952" w:type="dxa"/>
            <w:tcBorders>
              <w:top w:val="single" w:sz="4" w:space="0" w:color="auto"/>
              <w:left w:val="single" w:sz="4" w:space="0" w:color="auto"/>
              <w:bottom w:val="single" w:sz="4" w:space="0" w:color="auto"/>
              <w:right w:val="single" w:sz="4" w:space="0" w:color="auto"/>
            </w:tcBorders>
            <w:vAlign w:val="center"/>
          </w:tcPr>
          <w:p w14:paraId="6B96C0F2" w14:textId="77777777" w:rsidR="00676A9B" w:rsidRPr="00676A9B" w:rsidRDefault="00676A9B" w:rsidP="00676A9B">
            <w:pPr>
              <w:rPr>
                <w:rFonts w:ascii="Arial" w:hAnsi="Arial" w:cs="Arial"/>
              </w:rPr>
            </w:pPr>
            <w:r w:rsidRPr="00676A9B">
              <w:rPr>
                <w:rFonts w:ascii="Arial" w:hAnsi="Arial" w:cs="Arial"/>
              </w:rPr>
              <w:t>Postotak odobrenih zahtjeva iz područja demografskih mjera kojima se postižu bolji uvjeti za život i rad u Općini.</w:t>
            </w:r>
          </w:p>
        </w:tc>
        <w:tc>
          <w:tcPr>
            <w:tcW w:w="2713" w:type="dxa"/>
            <w:tcBorders>
              <w:top w:val="single" w:sz="4" w:space="0" w:color="auto"/>
              <w:left w:val="single" w:sz="4" w:space="0" w:color="auto"/>
              <w:bottom w:val="single" w:sz="4" w:space="0" w:color="auto"/>
              <w:right w:val="single" w:sz="4" w:space="0" w:color="auto"/>
            </w:tcBorders>
            <w:vAlign w:val="center"/>
          </w:tcPr>
          <w:p w14:paraId="11750492" w14:textId="77777777" w:rsidR="00676A9B" w:rsidRPr="00676A9B" w:rsidRDefault="00676A9B" w:rsidP="00676A9B">
            <w:pPr>
              <w:rPr>
                <w:rFonts w:ascii="Arial" w:hAnsi="Arial" w:cs="Arial"/>
              </w:rPr>
            </w:pPr>
            <w:r w:rsidRPr="00676A9B">
              <w:rPr>
                <w:rFonts w:ascii="Arial" w:eastAsia="Calibri" w:hAnsi="Arial" w:cs="Arial"/>
              </w:rPr>
              <w:t>Programom se pomaže stvaranje određenih preduvjeta za kvalitetniji život na području Općine.</w:t>
            </w:r>
          </w:p>
        </w:tc>
        <w:tc>
          <w:tcPr>
            <w:tcW w:w="958" w:type="dxa"/>
            <w:tcBorders>
              <w:top w:val="single" w:sz="4" w:space="0" w:color="auto"/>
              <w:left w:val="single" w:sz="4" w:space="0" w:color="auto"/>
              <w:bottom w:val="single" w:sz="4" w:space="0" w:color="auto"/>
              <w:right w:val="single" w:sz="4" w:space="0" w:color="auto"/>
            </w:tcBorders>
            <w:vAlign w:val="center"/>
            <w:hideMark/>
          </w:tcPr>
          <w:p w14:paraId="513D03DE" w14:textId="77777777" w:rsidR="00676A9B" w:rsidRPr="00676A9B" w:rsidRDefault="00676A9B" w:rsidP="00676A9B">
            <w:pPr>
              <w:jc w:val="center"/>
              <w:rPr>
                <w:rFonts w:ascii="Arial" w:hAnsi="Arial" w:cs="Arial"/>
              </w:rPr>
            </w:pPr>
            <w:r w:rsidRPr="00676A9B">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CA49A5" w14:textId="77777777" w:rsidR="00676A9B" w:rsidRPr="00676A9B" w:rsidRDefault="00676A9B" w:rsidP="00676A9B">
            <w:pPr>
              <w:jc w:val="center"/>
              <w:rPr>
                <w:rFonts w:ascii="Arial" w:hAnsi="Arial" w:cs="Arial"/>
              </w:rPr>
            </w:pPr>
            <w:r w:rsidRPr="00676A9B">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hideMark/>
          </w:tcPr>
          <w:p w14:paraId="67780B4B" w14:textId="77777777" w:rsidR="00676A9B" w:rsidRPr="00676A9B" w:rsidRDefault="00676A9B" w:rsidP="00676A9B">
            <w:pPr>
              <w:jc w:val="center"/>
              <w:rPr>
                <w:rFonts w:ascii="Arial" w:hAnsi="Arial" w:cs="Arial"/>
              </w:rPr>
            </w:pPr>
            <w:r w:rsidRPr="00676A9B">
              <w:rPr>
                <w:rFonts w:ascii="Arial" w:hAnsi="Arial" w:cs="Arial"/>
              </w:rPr>
              <w:t>100%</w:t>
            </w:r>
          </w:p>
          <w:p w14:paraId="0356199C" w14:textId="41F7B4D0" w:rsidR="00676A9B" w:rsidRPr="00676A9B" w:rsidRDefault="00676A9B" w:rsidP="00676A9B">
            <w:pPr>
              <w:jc w:val="center"/>
              <w:rPr>
                <w:rFonts w:ascii="Arial" w:hAnsi="Arial" w:cs="Arial"/>
              </w:rPr>
            </w:pPr>
            <w:r w:rsidRPr="00676A9B">
              <w:rPr>
                <w:rFonts w:ascii="Arial" w:hAnsi="Arial" w:cs="Arial"/>
              </w:rPr>
              <w:t>(</w:t>
            </w:r>
            <w:r w:rsidR="005212A7">
              <w:rPr>
                <w:rFonts w:ascii="Arial" w:hAnsi="Arial" w:cs="Arial"/>
              </w:rPr>
              <w:t>113</w:t>
            </w:r>
            <w:r w:rsidRPr="00676A9B">
              <w:rPr>
                <w:rFonts w:ascii="Arial" w:hAnsi="Arial" w:cs="Arial"/>
              </w:rPr>
              <w:t xml:space="preserve"> učenik</w:t>
            </w:r>
            <w:r w:rsidR="005212A7">
              <w:rPr>
                <w:rFonts w:ascii="Arial" w:hAnsi="Arial" w:cs="Arial"/>
              </w:rPr>
              <w:t>a</w:t>
            </w:r>
            <w:r w:rsidRPr="00676A9B">
              <w:rPr>
                <w:rFonts w:ascii="Arial" w:hAnsi="Arial" w:cs="Arial"/>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19213597" w14:textId="77777777" w:rsidR="00676A9B" w:rsidRPr="00676A9B" w:rsidRDefault="00676A9B" w:rsidP="00676A9B">
            <w:pPr>
              <w:jc w:val="center"/>
              <w:rPr>
                <w:rFonts w:ascii="Arial" w:hAnsi="Arial" w:cs="Arial"/>
              </w:rPr>
            </w:pPr>
            <w:r w:rsidRPr="00676A9B">
              <w:rPr>
                <w:rFonts w:ascii="Arial" w:hAnsi="Arial" w:cs="Arial"/>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2A119303" w14:textId="77777777" w:rsidR="00676A9B" w:rsidRPr="00676A9B" w:rsidRDefault="00676A9B" w:rsidP="00676A9B">
            <w:pPr>
              <w:jc w:val="center"/>
              <w:rPr>
                <w:rFonts w:ascii="Arial" w:hAnsi="Arial" w:cs="Arial"/>
              </w:rPr>
            </w:pPr>
            <w:r w:rsidRPr="00676A9B">
              <w:rPr>
                <w:rFonts w:ascii="Arial" w:hAnsi="Arial" w:cs="Arial"/>
              </w:rPr>
              <w:t>100%</w:t>
            </w:r>
          </w:p>
          <w:p w14:paraId="7F41938E" w14:textId="002FD967" w:rsidR="00676A9B" w:rsidRPr="00676A9B" w:rsidRDefault="00676A9B" w:rsidP="00676A9B">
            <w:pPr>
              <w:jc w:val="center"/>
              <w:rPr>
                <w:rFonts w:ascii="Arial" w:hAnsi="Arial" w:cs="Arial"/>
              </w:rPr>
            </w:pPr>
            <w:r w:rsidRPr="00676A9B">
              <w:rPr>
                <w:rFonts w:ascii="Arial" w:hAnsi="Arial" w:cs="Arial"/>
              </w:rPr>
              <w:t>(</w:t>
            </w:r>
            <w:r w:rsidR="005212A7">
              <w:rPr>
                <w:rFonts w:ascii="Arial" w:hAnsi="Arial" w:cs="Arial"/>
              </w:rPr>
              <w:t>98</w:t>
            </w:r>
            <w:r w:rsidRPr="00676A9B">
              <w:rPr>
                <w:rFonts w:ascii="Arial" w:hAnsi="Arial" w:cs="Arial"/>
              </w:rPr>
              <w:t xml:space="preserve"> učenik</w:t>
            </w:r>
            <w:r w:rsidR="005212A7">
              <w:rPr>
                <w:rFonts w:ascii="Arial" w:hAnsi="Arial" w:cs="Arial"/>
              </w:rPr>
              <w:t>a</w:t>
            </w:r>
            <w:r w:rsidRPr="00676A9B">
              <w:rPr>
                <w:rFonts w:ascii="Arial" w:hAnsi="Arial" w:cs="Arial"/>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11C6BB01" w14:textId="77777777" w:rsidR="00676A9B" w:rsidRPr="00676A9B" w:rsidRDefault="00676A9B" w:rsidP="00676A9B">
            <w:pPr>
              <w:jc w:val="center"/>
              <w:rPr>
                <w:rFonts w:ascii="Arial" w:hAnsi="Arial" w:cs="Arial"/>
              </w:rPr>
            </w:pPr>
            <w:r w:rsidRPr="00676A9B">
              <w:rPr>
                <w:rFonts w:ascii="Arial" w:hAnsi="Arial" w:cs="Arial"/>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1000D821" w14:textId="77777777" w:rsidR="00676A9B" w:rsidRPr="00676A9B" w:rsidRDefault="00676A9B" w:rsidP="00676A9B">
            <w:pPr>
              <w:jc w:val="center"/>
              <w:rPr>
                <w:rFonts w:ascii="Arial" w:hAnsi="Arial" w:cs="Arial"/>
              </w:rPr>
            </w:pPr>
            <w:r w:rsidRPr="00676A9B">
              <w:rPr>
                <w:rFonts w:ascii="Arial" w:hAnsi="Arial" w:cs="Arial"/>
              </w:rPr>
              <w:t>100 %</w:t>
            </w:r>
          </w:p>
        </w:tc>
      </w:tr>
    </w:tbl>
    <w:p w14:paraId="663E5A60" w14:textId="77777777" w:rsidR="00676A9B" w:rsidRPr="00676A9B" w:rsidRDefault="00676A9B" w:rsidP="00676A9B">
      <w:pPr>
        <w:spacing w:after="0" w:line="240" w:lineRule="auto"/>
        <w:jc w:val="both"/>
        <w:rPr>
          <w:rFonts w:ascii="Arial" w:eastAsia="Calibri" w:hAnsi="Arial" w:cs="Arial"/>
          <w:sz w:val="20"/>
          <w:szCs w:val="20"/>
        </w:rPr>
      </w:pPr>
    </w:p>
    <w:p w14:paraId="011E092B" w14:textId="1C20A5C0"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3. A204003: Pomoć za novorođenu djecu </w:t>
      </w:r>
      <w:r w:rsidRPr="00676A9B">
        <w:rPr>
          <w:rFonts w:ascii="Arial" w:eastAsia="Calibri" w:hAnsi="Arial" w:cs="Arial"/>
          <w:sz w:val="20"/>
          <w:szCs w:val="20"/>
        </w:rPr>
        <w:t xml:space="preserve">- u sklopu navedene aktivnosti su rashodi za naknade građanima i kućanstvima u novcu u skladu s Programom  demografskih mjera i socijalne pomoći. Planirana sredstva za provođenje navedene aktivnosti iznose </w:t>
      </w:r>
      <w:bookmarkStart w:id="390" w:name="_Hlk103252372"/>
      <w:r w:rsidR="005212A7">
        <w:rPr>
          <w:rFonts w:ascii="Arial" w:eastAsia="Calibri" w:hAnsi="Arial" w:cs="Arial"/>
          <w:sz w:val="20"/>
          <w:szCs w:val="20"/>
        </w:rPr>
        <w:t>60.000</w:t>
      </w:r>
      <w:r w:rsidRPr="00676A9B">
        <w:rPr>
          <w:rFonts w:ascii="Arial" w:eastAsia="Calibri" w:hAnsi="Arial" w:cs="Arial"/>
          <w:sz w:val="20"/>
          <w:szCs w:val="20"/>
        </w:rPr>
        <w:t xml:space="preserve"> €. </w:t>
      </w:r>
      <w:bookmarkStart w:id="391" w:name="_Hlk114751828"/>
      <w:r w:rsidRPr="00676A9B">
        <w:rPr>
          <w:rFonts w:ascii="Arial" w:eastAsia="Calibri" w:hAnsi="Arial" w:cs="Arial"/>
          <w:sz w:val="20"/>
          <w:szCs w:val="20"/>
        </w:rPr>
        <w:t xml:space="preserve">Rashodi su izvršeni u iznosu </w:t>
      </w:r>
      <w:r w:rsidR="005212A7">
        <w:rPr>
          <w:rFonts w:ascii="Arial" w:eastAsia="Calibri" w:hAnsi="Arial" w:cs="Arial"/>
          <w:sz w:val="20"/>
          <w:szCs w:val="20"/>
        </w:rPr>
        <w:t>43.510</w:t>
      </w:r>
      <w:r w:rsidRPr="00676A9B">
        <w:rPr>
          <w:rFonts w:ascii="Arial" w:eastAsia="Calibri" w:hAnsi="Arial" w:cs="Arial"/>
          <w:sz w:val="20"/>
          <w:szCs w:val="20"/>
        </w:rPr>
        <w:t xml:space="preserve"> € ili 7</w:t>
      </w:r>
      <w:r w:rsidR="005212A7">
        <w:rPr>
          <w:rFonts w:ascii="Arial" w:eastAsia="Calibri" w:hAnsi="Arial" w:cs="Arial"/>
          <w:sz w:val="20"/>
          <w:szCs w:val="20"/>
        </w:rPr>
        <w:t>2,5%</w:t>
      </w:r>
      <w:r w:rsidRPr="00676A9B">
        <w:rPr>
          <w:rFonts w:ascii="Arial" w:eastAsia="Calibri" w:hAnsi="Arial" w:cs="Arial"/>
          <w:sz w:val="20"/>
          <w:szCs w:val="20"/>
        </w:rPr>
        <w:t xml:space="preserve"> </w:t>
      </w:r>
    </w:p>
    <w:p w14:paraId="7852667F" w14:textId="77777777" w:rsidR="00676A9B" w:rsidRPr="00676A9B" w:rsidRDefault="00676A9B" w:rsidP="00676A9B">
      <w:pPr>
        <w:spacing w:after="0" w:line="240" w:lineRule="auto"/>
        <w:jc w:val="both"/>
        <w:rPr>
          <w:rFonts w:ascii="Arial" w:eastAsia="Calibri" w:hAnsi="Arial" w:cs="Arial"/>
          <w:sz w:val="20"/>
          <w:szCs w:val="20"/>
        </w:rPr>
      </w:pPr>
    </w:p>
    <w:p w14:paraId="0C3318F7" w14:textId="425DAFD0" w:rsidR="00676A9B" w:rsidRPr="00676A9B" w:rsidRDefault="00676A9B" w:rsidP="00676A9B">
      <w:pPr>
        <w:spacing w:after="0" w:line="240" w:lineRule="auto"/>
        <w:jc w:val="both"/>
        <w:rPr>
          <w:rFonts w:ascii="Arial" w:eastAsia="Calibri" w:hAnsi="Arial" w:cs="Arial"/>
          <w:bCs/>
          <w:sz w:val="20"/>
          <w:szCs w:val="20"/>
        </w:rPr>
      </w:pPr>
      <w:bookmarkStart w:id="392" w:name="_Hlk230539882"/>
      <w:r w:rsidRPr="00676A9B">
        <w:rPr>
          <w:rFonts w:ascii="Arial" w:eastAsia="Calibri" w:hAnsi="Arial" w:cs="Arial"/>
          <w:sz w:val="20"/>
          <w:szCs w:val="20"/>
        </w:rPr>
        <w:t xml:space="preserve">Ovi rashodi se odnose na </w:t>
      </w:r>
      <w:r w:rsidRPr="00676A9B">
        <w:rPr>
          <w:rFonts w:ascii="Arial" w:eastAsia="Calibri" w:hAnsi="Arial" w:cs="Arial"/>
          <w:bCs/>
          <w:sz w:val="20"/>
          <w:szCs w:val="20"/>
        </w:rPr>
        <w:t xml:space="preserve">novčane potpore za </w:t>
      </w:r>
      <w:bookmarkStart w:id="393" w:name="_Hlk166652988"/>
      <w:r w:rsidR="005212A7">
        <w:rPr>
          <w:rFonts w:ascii="Arial" w:eastAsia="Calibri" w:hAnsi="Arial" w:cs="Arial"/>
          <w:bCs/>
          <w:sz w:val="20"/>
          <w:szCs w:val="20"/>
        </w:rPr>
        <w:t>87</w:t>
      </w:r>
      <w:r w:rsidRPr="00676A9B">
        <w:rPr>
          <w:rFonts w:ascii="Arial" w:eastAsia="Calibri" w:hAnsi="Arial" w:cs="Arial"/>
          <w:bCs/>
          <w:sz w:val="20"/>
          <w:szCs w:val="20"/>
        </w:rPr>
        <w:t xml:space="preserve"> djece i to: prvo dijete u obitelji </w:t>
      </w:r>
      <w:r w:rsidR="005212A7">
        <w:rPr>
          <w:rFonts w:ascii="Arial" w:eastAsia="Calibri" w:hAnsi="Arial" w:cs="Arial"/>
          <w:bCs/>
          <w:sz w:val="20"/>
          <w:szCs w:val="20"/>
        </w:rPr>
        <w:t>28</w:t>
      </w:r>
      <w:r w:rsidRPr="00676A9B">
        <w:rPr>
          <w:rFonts w:ascii="Arial" w:eastAsia="Calibri" w:hAnsi="Arial" w:cs="Arial"/>
          <w:bCs/>
          <w:sz w:val="20"/>
          <w:szCs w:val="20"/>
        </w:rPr>
        <w:t>, drugo dijete u obitelji 3</w:t>
      </w:r>
      <w:r w:rsidR="005212A7">
        <w:rPr>
          <w:rFonts w:ascii="Arial" w:eastAsia="Calibri" w:hAnsi="Arial" w:cs="Arial"/>
          <w:bCs/>
          <w:sz w:val="20"/>
          <w:szCs w:val="20"/>
        </w:rPr>
        <w:t>4</w:t>
      </w:r>
      <w:r w:rsidRPr="00676A9B">
        <w:rPr>
          <w:rFonts w:ascii="Arial" w:eastAsia="Calibri" w:hAnsi="Arial" w:cs="Arial"/>
          <w:bCs/>
          <w:sz w:val="20"/>
          <w:szCs w:val="20"/>
        </w:rPr>
        <w:t>; treće dijete u obitelji 1</w:t>
      </w:r>
      <w:r w:rsidR="005212A7">
        <w:rPr>
          <w:rFonts w:ascii="Arial" w:eastAsia="Calibri" w:hAnsi="Arial" w:cs="Arial"/>
          <w:bCs/>
          <w:sz w:val="20"/>
          <w:szCs w:val="20"/>
        </w:rPr>
        <w:t>8</w:t>
      </w:r>
      <w:r w:rsidRPr="00676A9B">
        <w:rPr>
          <w:rFonts w:ascii="Arial" w:eastAsia="Calibri" w:hAnsi="Arial" w:cs="Arial"/>
          <w:bCs/>
          <w:sz w:val="20"/>
          <w:szCs w:val="20"/>
        </w:rPr>
        <w:t xml:space="preserve">; četvrto dijete u obitelji </w:t>
      </w:r>
      <w:r w:rsidR="005212A7">
        <w:rPr>
          <w:rFonts w:ascii="Arial" w:eastAsia="Calibri" w:hAnsi="Arial" w:cs="Arial"/>
          <w:bCs/>
          <w:sz w:val="20"/>
          <w:szCs w:val="20"/>
        </w:rPr>
        <w:t>7</w:t>
      </w:r>
      <w:r w:rsidRPr="00676A9B">
        <w:rPr>
          <w:rFonts w:ascii="Arial" w:eastAsia="Calibri" w:hAnsi="Arial" w:cs="Arial"/>
          <w:bCs/>
          <w:sz w:val="20"/>
          <w:szCs w:val="20"/>
        </w:rPr>
        <w:t>.</w:t>
      </w:r>
    </w:p>
    <w:bookmarkEnd w:id="390"/>
    <w:bookmarkEnd w:id="391"/>
    <w:bookmarkEnd w:id="392"/>
    <w:bookmarkEnd w:id="393"/>
    <w:p w14:paraId="1F51804B" w14:textId="77777777" w:rsidR="00676A9B" w:rsidRDefault="00676A9B" w:rsidP="00676A9B">
      <w:pPr>
        <w:spacing w:after="0" w:line="240" w:lineRule="auto"/>
        <w:jc w:val="both"/>
        <w:rPr>
          <w:rFonts w:ascii="Arial" w:eastAsia="Calibri" w:hAnsi="Arial" w:cs="Arial"/>
          <w:i/>
          <w:sz w:val="20"/>
          <w:szCs w:val="20"/>
        </w:rPr>
      </w:pPr>
    </w:p>
    <w:p w14:paraId="04A2FF5E" w14:textId="77777777" w:rsidR="005212A7" w:rsidRPr="00676A9B" w:rsidRDefault="005212A7" w:rsidP="00676A9B">
      <w:pPr>
        <w:spacing w:after="0" w:line="240" w:lineRule="auto"/>
        <w:jc w:val="both"/>
        <w:rPr>
          <w:rFonts w:ascii="Arial" w:eastAsia="Calibri" w:hAnsi="Arial" w:cs="Arial"/>
          <w:i/>
          <w:sz w:val="20"/>
          <w:szCs w:val="20"/>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95"/>
        <w:gridCol w:w="2061"/>
        <w:gridCol w:w="7512"/>
        <w:gridCol w:w="3355"/>
      </w:tblGrid>
      <w:tr w:rsidR="00676A9B" w:rsidRPr="00676A9B" w14:paraId="2F846BBE" w14:textId="77777777" w:rsidTr="00410A4B">
        <w:trPr>
          <w:jc w:val="center"/>
        </w:trPr>
        <w:tc>
          <w:tcPr>
            <w:tcW w:w="1195" w:type="dxa"/>
            <w:tcBorders>
              <w:top w:val="dotted" w:sz="4" w:space="0" w:color="auto"/>
              <w:left w:val="dotted" w:sz="4" w:space="0" w:color="auto"/>
              <w:bottom w:val="single" w:sz="4" w:space="0" w:color="000000"/>
              <w:right w:val="dotted" w:sz="4" w:space="0" w:color="auto"/>
            </w:tcBorders>
            <w:vAlign w:val="center"/>
          </w:tcPr>
          <w:p w14:paraId="14B37871" w14:textId="77777777" w:rsidR="00676A9B" w:rsidRPr="00676A9B" w:rsidRDefault="00676A9B" w:rsidP="00676A9B">
            <w:pPr>
              <w:spacing w:after="0" w:line="240" w:lineRule="auto"/>
              <w:jc w:val="center"/>
              <w:rPr>
                <w:rFonts w:ascii="Arial" w:eastAsia="Calibri" w:hAnsi="Arial" w:cs="Arial"/>
                <w:i/>
                <w:iCs/>
                <w:sz w:val="18"/>
                <w:szCs w:val="18"/>
              </w:rPr>
            </w:pPr>
            <w:r w:rsidRPr="00676A9B">
              <w:rPr>
                <w:rFonts w:ascii="Arial" w:eastAsia="Calibri" w:hAnsi="Arial" w:cs="Arial"/>
                <w:i/>
                <w:iCs/>
                <w:sz w:val="18"/>
                <w:szCs w:val="18"/>
              </w:rPr>
              <w:lastRenderedPageBreak/>
              <w:t>Godina</w:t>
            </w:r>
          </w:p>
        </w:tc>
        <w:tc>
          <w:tcPr>
            <w:tcW w:w="2061" w:type="dxa"/>
            <w:tcBorders>
              <w:top w:val="dotted" w:sz="4" w:space="0" w:color="auto"/>
              <w:left w:val="dotted" w:sz="4" w:space="0" w:color="auto"/>
              <w:bottom w:val="single" w:sz="4" w:space="0" w:color="000000"/>
              <w:right w:val="dotted" w:sz="4" w:space="0" w:color="auto"/>
            </w:tcBorders>
            <w:vAlign w:val="center"/>
          </w:tcPr>
          <w:p w14:paraId="44204D8F" w14:textId="77777777" w:rsidR="00676A9B" w:rsidRPr="00676A9B" w:rsidRDefault="00676A9B" w:rsidP="00676A9B">
            <w:pPr>
              <w:spacing w:after="0" w:line="240" w:lineRule="auto"/>
              <w:jc w:val="center"/>
              <w:rPr>
                <w:rFonts w:ascii="Arial" w:eastAsia="Calibri" w:hAnsi="Arial" w:cs="Arial"/>
                <w:i/>
                <w:iCs/>
                <w:sz w:val="18"/>
                <w:szCs w:val="18"/>
              </w:rPr>
            </w:pPr>
            <w:r w:rsidRPr="00676A9B">
              <w:rPr>
                <w:rFonts w:ascii="Arial" w:eastAsia="Calibri" w:hAnsi="Arial" w:cs="Arial"/>
                <w:i/>
                <w:iCs/>
                <w:sz w:val="18"/>
                <w:szCs w:val="18"/>
              </w:rPr>
              <w:t>Broj djece za koju su isplaćene naknade</w:t>
            </w:r>
          </w:p>
        </w:tc>
        <w:tc>
          <w:tcPr>
            <w:tcW w:w="7512" w:type="dxa"/>
            <w:tcBorders>
              <w:top w:val="dotted" w:sz="4" w:space="0" w:color="auto"/>
              <w:left w:val="dotted" w:sz="4" w:space="0" w:color="auto"/>
              <w:bottom w:val="single" w:sz="4" w:space="0" w:color="000000"/>
              <w:right w:val="dotted" w:sz="4" w:space="0" w:color="auto"/>
            </w:tcBorders>
            <w:vAlign w:val="center"/>
          </w:tcPr>
          <w:p w14:paraId="264C3DDE" w14:textId="77777777" w:rsidR="00676A9B" w:rsidRPr="00676A9B" w:rsidRDefault="00676A9B" w:rsidP="00676A9B">
            <w:pPr>
              <w:spacing w:after="0" w:line="240" w:lineRule="auto"/>
              <w:jc w:val="center"/>
              <w:rPr>
                <w:rFonts w:ascii="Arial" w:eastAsia="Calibri" w:hAnsi="Arial" w:cs="Arial"/>
                <w:i/>
                <w:iCs/>
                <w:sz w:val="18"/>
                <w:szCs w:val="18"/>
              </w:rPr>
            </w:pPr>
            <w:r w:rsidRPr="00676A9B">
              <w:rPr>
                <w:rFonts w:ascii="Arial" w:eastAsia="Calibri" w:hAnsi="Arial" w:cs="Arial"/>
                <w:i/>
                <w:iCs/>
                <w:sz w:val="18"/>
                <w:szCs w:val="18"/>
              </w:rPr>
              <w:t>Obrazloženje</w:t>
            </w:r>
          </w:p>
        </w:tc>
        <w:tc>
          <w:tcPr>
            <w:tcW w:w="3355" w:type="dxa"/>
            <w:tcBorders>
              <w:top w:val="dotted" w:sz="4" w:space="0" w:color="auto"/>
              <w:left w:val="dotted" w:sz="4" w:space="0" w:color="auto"/>
              <w:bottom w:val="single" w:sz="4" w:space="0" w:color="000000"/>
              <w:right w:val="dotted" w:sz="4" w:space="0" w:color="auto"/>
            </w:tcBorders>
            <w:vAlign w:val="center"/>
          </w:tcPr>
          <w:p w14:paraId="55EE3C19" w14:textId="77777777" w:rsidR="00676A9B" w:rsidRPr="00676A9B" w:rsidRDefault="00676A9B" w:rsidP="00676A9B">
            <w:pPr>
              <w:spacing w:after="0" w:line="240" w:lineRule="auto"/>
              <w:jc w:val="center"/>
              <w:rPr>
                <w:rFonts w:ascii="Arial" w:eastAsia="Calibri" w:hAnsi="Arial" w:cs="Arial"/>
                <w:i/>
                <w:iCs/>
                <w:sz w:val="18"/>
                <w:szCs w:val="18"/>
              </w:rPr>
            </w:pPr>
            <w:r w:rsidRPr="00676A9B">
              <w:rPr>
                <w:rFonts w:ascii="Arial" w:eastAsia="Calibri" w:hAnsi="Arial" w:cs="Arial"/>
                <w:i/>
                <w:iCs/>
                <w:sz w:val="18"/>
                <w:szCs w:val="18"/>
              </w:rPr>
              <w:t>Iznos naknade po djetetu</w:t>
            </w:r>
          </w:p>
        </w:tc>
      </w:tr>
      <w:tr w:rsidR="00676A9B" w:rsidRPr="00676A9B" w14:paraId="55CF5BD8" w14:textId="77777777" w:rsidTr="00410A4B">
        <w:trPr>
          <w:jc w:val="center"/>
        </w:trPr>
        <w:tc>
          <w:tcPr>
            <w:tcW w:w="1195" w:type="dxa"/>
            <w:tcBorders>
              <w:top w:val="single" w:sz="4" w:space="0" w:color="000000"/>
            </w:tcBorders>
            <w:vAlign w:val="center"/>
          </w:tcPr>
          <w:p w14:paraId="062617A4"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2012.</w:t>
            </w:r>
          </w:p>
        </w:tc>
        <w:tc>
          <w:tcPr>
            <w:tcW w:w="2061" w:type="dxa"/>
            <w:tcBorders>
              <w:top w:val="single" w:sz="4" w:space="0" w:color="000000"/>
            </w:tcBorders>
            <w:vAlign w:val="center"/>
          </w:tcPr>
          <w:p w14:paraId="7E65AA38"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106</w:t>
            </w:r>
          </w:p>
        </w:tc>
        <w:tc>
          <w:tcPr>
            <w:tcW w:w="7512" w:type="dxa"/>
            <w:tcBorders>
              <w:top w:val="single" w:sz="4" w:space="0" w:color="000000"/>
            </w:tcBorders>
            <w:vAlign w:val="center"/>
          </w:tcPr>
          <w:p w14:paraId="1D4016AA" w14:textId="77777777" w:rsidR="00676A9B" w:rsidRPr="00676A9B" w:rsidRDefault="00676A9B" w:rsidP="00676A9B">
            <w:pPr>
              <w:spacing w:after="0" w:line="240" w:lineRule="auto"/>
              <w:jc w:val="both"/>
              <w:rPr>
                <w:rFonts w:ascii="Arial" w:eastAsia="Calibri" w:hAnsi="Arial" w:cs="Arial"/>
                <w:sz w:val="18"/>
                <w:szCs w:val="18"/>
              </w:rPr>
            </w:pPr>
          </w:p>
        </w:tc>
        <w:tc>
          <w:tcPr>
            <w:tcW w:w="3355" w:type="dxa"/>
            <w:vMerge w:val="restart"/>
            <w:tcBorders>
              <w:top w:val="single" w:sz="4" w:space="0" w:color="000000"/>
            </w:tcBorders>
            <w:vAlign w:val="center"/>
          </w:tcPr>
          <w:p w14:paraId="3EB23606"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2.000 kn / 265,45 €</w:t>
            </w:r>
          </w:p>
        </w:tc>
      </w:tr>
      <w:tr w:rsidR="00676A9B" w:rsidRPr="00676A9B" w14:paraId="1032175A" w14:textId="77777777" w:rsidTr="00410A4B">
        <w:trPr>
          <w:jc w:val="center"/>
        </w:trPr>
        <w:tc>
          <w:tcPr>
            <w:tcW w:w="1195" w:type="dxa"/>
            <w:vAlign w:val="center"/>
          </w:tcPr>
          <w:p w14:paraId="0F035B3E"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2013.</w:t>
            </w:r>
          </w:p>
        </w:tc>
        <w:tc>
          <w:tcPr>
            <w:tcW w:w="2061" w:type="dxa"/>
            <w:vAlign w:val="center"/>
          </w:tcPr>
          <w:p w14:paraId="0ED010F9"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103</w:t>
            </w:r>
          </w:p>
        </w:tc>
        <w:tc>
          <w:tcPr>
            <w:tcW w:w="7512" w:type="dxa"/>
            <w:vAlign w:val="center"/>
          </w:tcPr>
          <w:p w14:paraId="5F27E3D1"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3 manje nego u 2012. godini</w:t>
            </w:r>
          </w:p>
        </w:tc>
        <w:tc>
          <w:tcPr>
            <w:tcW w:w="3355" w:type="dxa"/>
            <w:vMerge/>
            <w:vAlign w:val="center"/>
          </w:tcPr>
          <w:p w14:paraId="185BAE15" w14:textId="77777777" w:rsidR="00676A9B" w:rsidRPr="00676A9B" w:rsidRDefault="00676A9B" w:rsidP="00676A9B">
            <w:pPr>
              <w:spacing w:after="0" w:line="240" w:lineRule="auto"/>
              <w:jc w:val="both"/>
              <w:rPr>
                <w:rFonts w:ascii="Arial" w:eastAsia="Calibri" w:hAnsi="Arial" w:cs="Arial"/>
                <w:sz w:val="18"/>
                <w:szCs w:val="18"/>
              </w:rPr>
            </w:pPr>
          </w:p>
        </w:tc>
      </w:tr>
      <w:tr w:rsidR="00676A9B" w:rsidRPr="00676A9B" w14:paraId="485CEE9A" w14:textId="77777777" w:rsidTr="00410A4B">
        <w:trPr>
          <w:jc w:val="center"/>
        </w:trPr>
        <w:tc>
          <w:tcPr>
            <w:tcW w:w="1195" w:type="dxa"/>
            <w:vAlign w:val="center"/>
          </w:tcPr>
          <w:p w14:paraId="6CB68241"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2014.</w:t>
            </w:r>
          </w:p>
        </w:tc>
        <w:tc>
          <w:tcPr>
            <w:tcW w:w="2061" w:type="dxa"/>
            <w:vAlign w:val="center"/>
          </w:tcPr>
          <w:p w14:paraId="30AFD80C"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106</w:t>
            </w:r>
          </w:p>
        </w:tc>
        <w:tc>
          <w:tcPr>
            <w:tcW w:w="7512" w:type="dxa"/>
            <w:vAlign w:val="center"/>
          </w:tcPr>
          <w:p w14:paraId="65001581"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3 više nego u 2013. godini</w:t>
            </w:r>
          </w:p>
        </w:tc>
        <w:tc>
          <w:tcPr>
            <w:tcW w:w="3355" w:type="dxa"/>
            <w:vMerge/>
            <w:vAlign w:val="center"/>
          </w:tcPr>
          <w:p w14:paraId="4F45EB33" w14:textId="77777777" w:rsidR="00676A9B" w:rsidRPr="00676A9B" w:rsidRDefault="00676A9B" w:rsidP="00676A9B">
            <w:pPr>
              <w:spacing w:after="0" w:line="240" w:lineRule="auto"/>
              <w:jc w:val="both"/>
              <w:rPr>
                <w:rFonts w:ascii="Arial" w:eastAsia="Calibri" w:hAnsi="Arial" w:cs="Arial"/>
                <w:sz w:val="18"/>
                <w:szCs w:val="18"/>
              </w:rPr>
            </w:pPr>
          </w:p>
        </w:tc>
      </w:tr>
      <w:tr w:rsidR="00676A9B" w:rsidRPr="00676A9B" w14:paraId="6DAA0982" w14:textId="77777777" w:rsidTr="00410A4B">
        <w:trPr>
          <w:jc w:val="center"/>
        </w:trPr>
        <w:tc>
          <w:tcPr>
            <w:tcW w:w="1195" w:type="dxa"/>
            <w:vAlign w:val="center"/>
          </w:tcPr>
          <w:p w14:paraId="303A5314"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2015.</w:t>
            </w:r>
          </w:p>
        </w:tc>
        <w:tc>
          <w:tcPr>
            <w:tcW w:w="2061" w:type="dxa"/>
            <w:vAlign w:val="center"/>
          </w:tcPr>
          <w:p w14:paraId="4891E488"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95</w:t>
            </w:r>
          </w:p>
        </w:tc>
        <w:tc>
          <w:tcPr>
            <w:tcW w:w="7512" w:type="dxa"/>
            <w:vAlign w:val="center"/>
          </w:tcPr>
          <w:p w14:paraId="1FF90D13"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11 manje nego u 2014. godini</w:t>
            </w:r>
          </w:p>
        </w:tc>
        <w:tc>
          <w:tcPr>
            <w:tcW w:w="3355" w:type="dxa"/>
            <w:vMerge/>
            <w:vAlign w:val="center"/>
          </w:tcPr>
          <w:p w14:paraId="3077594F" w14:textId="77777777" w:rsidR="00676A9B" w:rsidRPr="00676A9B" w:rsidRDefault="00676A9B" w:rsidP="00676A9B">
            <w:pPr>
              <w:spacing w:after="0" w:line="240" w:lineRule="auto"/>
              <w:jc w:val="both"/>
              <w:rPr>
                <w:rFonts w:ascii="Arial" w:eastAsia="Calibri" w:hAnsi="Arial" w:cs="Arial"/>
                <w:sz w:val="18"/>
                <w:szCs w:val="18"/>
              </w:rPr>
            </w:pPr>
          </w:p>
        </w:tc>
      </w:tr>
      <w:tr w:rsidR="00676A9B" w:rsidRPr="00676A9B" w14:paraId="0E189803" w14:textId="77777777" w:rsidTr="00410A4B">
        <w:trPr>
          <w:jc w:val="center"/>
        </w:trPr>
        <w:tc>
          <w:tcPr>
            <w:tcW w:w="1195" w:type="dxa"/>
            <w:vAlign w:val="center"/>
          </w:tcPr>
          <w:p w14:paraId="2F3BA9F4"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2016.</w:t>
            </w:r>
          </w:p>
        </w:tc>
        <w:tc>
          <w:tcPr>
            <w:tcW w:w="2061" w:type="dxa"/>
            <w:vAlign w:val="center"/>
          </w:tcPr>
          <w:p w14:paraId="1EF3B482"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80</w:t>
            </w:r>
          </w:p>
        </w:tc>
        <w:tc>
          <w:tcPr>
            <w:tcW w:w="7512" w:type="dxa"/>
            <w:vAlign w:val="center"/>
          </w:tcPr>
          <w:p w14:paraId="0660A1EB"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15 manje nego u 2015. godini, a 26 manje nego u 2014. godini</w:t>
            </w:r>
          </w:p>
        </w:tc>
        <w:tc>
          <w:tcPr>
            <w:tcW w:w="3355" w:type="dxa"/>
            <w:vMerge/>
            <w:vAlign w:val="center"/>
          </w:tcPr>
          <w:p w14:paraId="44305ACF" w14:textId="77777777" w:rsidR="00676A9B" w:rsidRPr="00676A9B" w:rsidRDefault="00676A9B" w:rsidP="00676A9B">
            <w:pPr>
              <w:spacing w:after="0" w:line="240" w:lineRule="auto"/>
              <w:jc w:val="both"/>
              <w:rPr>
                <w:rFonts w:ascii="Arial" w:eastAsia="Calibri" w:hAnsi="Arial" w:cs="Arial"/>
                <w:sz w:val="18"/>
                <w:szCs w:val="18"/>
              </w:rPr>
            </w:pPr>
          </w:p>
        </w:tc>
      </w:tr>
      <w:tr w:rsidR="00676A9B" w:rsidRPr="00676A9B" w14:paraId="608FF88E" w14:textId="77777777" w:rsidTr="00410A4B">
        <w:trPr>
          <w:jc w:val="center"/>
        </w:trPr>
        <w:tc>
          <w:tcPr>
            <w:tcW w:w="1195" w:type="dxa"/>
            <w:vAlign w:val="center"/>
          </w:tcPr>
          <w:p w14:paraId="608C5247"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2017.</w:t>
            </w:r>
          </w:p>
        </w:tc>
        <w:tc>
          <w:tcPr>
            <w:tcW w:w="2061" w:type="dxa"/>
            <w:vAlign w:val="center"/>
          </w:tcPr>
          <w:p w14:paraId="023D4790"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96</w:t>
            </w:r>
          </w:p>
        </w:tc>
        <w:tc>
          <w:tcPr>
            <w:tcW w:w="7512" w:type="dxa"/>
            <w:vAlign w:val="center"/>
          </w:tcPr>
          <w:p w14:paraId="03EF03A8"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16 više nego u 2016.</w:t>
            </w:r>
          </w:p>
        </w:tc>
        <w:tc>
          <w:tcPr>
            <w:tcW w:w="3355" w:type="dxa"/>
            <w:vAlign w:val="center"/>
          </w:tcPr>
          <w:p w14:paraId="036BFB2F"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3.000 kn</w:t>
            </w:r>
          </w:p>
        </w:tc>
      </w:tr>
      <w:tr w:rsidR="00676A9B" w:rsidRPr="00676A9B" w14:paraId="70CE2E72" w14:textId="77777777" w:rsidTr="00410A4B">
        <w:trPr>
          <w:jc w:val="center"/>
        </w:trPr>
        <w:tc>
          <w:tcPr>
            <w:tcW w:w="1195" w:type="dxa"/>
            <w:vAlign w:val="center"/>
          </w:tcPr>
          <w:p w14:paraId="0E3F3CE7"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2018.</w:t>
            </w:r>
          </w:p>
        </w:tc>
        <w:tc>
          <w:tcPr>
            <w:tcW w:w="2061" w:type="dxa"/>
            <w:vAlign w:val="center"/>
          </w:tcPr>
          <w:p w14:paraId="2B102A48"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104</w:t>
            </w:r>
          </w:p>
        </w:tc>
        <w:tc>
          <w:tcPr>
            <w:tcW w:w="7512" w:type="dxa"/>
            <w:vAlign w:val="center"/>
          </w:tcPr>
          <w:p w14:paraId="2632E71F"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Sveukupno u 2018 godini naknade za 104 djece ili 8-ero djece više nego prethodne godine.</w:t>
            </w:r>
          </w:p>
          <w:p w14:paraId="09D9575F"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 prvo i drugo dijete = 85 naknada (prvo dijete 46, drugo 39)</w:t>
            </w:r>
          </w:p>
          <w:p w14:paraId="71F99972"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 treće dijete = 14 naknada</w:t>
            </w:r>
          </w:p>
          <w:p w14:paraId="0F80A4A0"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 četvero i više djece = 5 naknada (četvrto dijete 4, peto 1)</w:t>
            </w:r>
          </w:p>
        </w:tc>
        <w:tc>
          <w:tcPr>
            <w:tcW w:w="3355" w:type="dxa"/>
            <w:vAlign w:val="center"/>
          </w:tcPr>
          <w:p w14:paraId="55384B7E"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 i 2. dijete = 3.000 kn</w:t>
            </w:r>
          </w:p>
          <w:p w14:paraId="6BB4F18B"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3. dijete = 5.000 kn</w:t>
            </w:r>
          </w:p>
          <w:p w14:paraId="17A35A5C"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4. i više djece = 7.000 kn</w:t>
            </w:r>
          </w:p>
        </w:tc>
      </w:tr>
      <w:tr w:rsidR="00676A9B" w:rsidRPr="00676A9B" w14:paraId="65C17015" w14:textId="77777777" w:rsidTr="00410A4B">
        <w:trPr>
          <w:jc w:val="center"/>
        </w:trPr>
        <w:tc>
          <w:tcPr>
            <w:tcW w:w="1195" w:type="dxa"/>
            <w:vAlign w:val="center"/>
          </w:tcPr>
          <w:p w14:paraId="30D8C001"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2019.</w:t>
            </w:r>
          </w:p>
        </w:tc>
        <w:tc>
          <w:tcPr>
            <w:tcW w:w="2061" w:type="dxa"/>
            <w:vAlign w:val="center"/>
          </w:tcPr>
          <w:p w14:paraId="064AB21F"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80</w:t>
            </w:r>
          </w:p>
        </w:tc>
        <w:tc>
          <w:tcPr>
            <w:tcW w:w="7512" w:type="dxa"/>
            <w:vAlign w:val="center"/>
          </w:tcPr>
          <w:p w14:paraId="7A9FF4DF"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U 2019.g. isplaćene naknade za 80 djece ili 24 djece manje nego prethodne godine.</w:t>
            </w:r>
          </w:p>
          <w:p w14:paraId="65821641"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 prvo i drugo dijete = 65 naknada ( prvo dijete 35, drugo 30 )</w:t>
            </w:r>
          </w:p>
          <w:p w14:paraId="4A9CB692"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 treće dijete = 12 naknada</w:t>
            </w:r>
          </w:p>
          <w:p w14:paraId="7914DBA6"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 četvero i više djece = 3 naknade ( četvrto dijete 3., peto 0 )</w:t>
            </w:r>
          </w:p>
        </w:tc>
        <w:tc>
          <w:tcPr>
            <w:tcW w:w="3355" w:type="dxa"/>
            <w:vAlign w:val="center"/>
          </w:tcPr>
          <w:p w14:paraId="303B5CA0"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 i 2. dijete = 3.000 kn</w:t>
            </w:r>
          </w:p>
          <w:p w14:paraId="705D4090"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3. dijete = 5.000 kn</w:t>
            </w:r>
          </w:p>
          <w:p w14:paraId="4482B75E"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4. i više djece = 7.000 kn</w:t>
            </w:r>
          </w:p>
        </w:tc>
      </w:tr>
      <w:tr w:rsidR="00676A9B" w:rsidRPr="00676A9B" w14:paraId="7C61F82C" w14:textId="77777777" w:rsidTr="00410A4B">
        <w:trPr>
          <w:jc w:val="center"/>
        </w:trPr>
        <w:tc>
          <w:tcPr>
            <w:tcW w:w="1195" w:type="dxa"/>
            <w:vAlign w:val="center"/>
          </w:tcPr>
          <w:p w14:paraId="48F5B4CA"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2020.</w:t>
            </w:r>
          </w:p>
        </w:tc>
        <w:tc>
          <w:tcPr>
            <w:tcW w:w="2061" w:type="dxa"/>
            <w:vAlign w:val="center"/>
          </w:tcPr>
          <w:p w14:paraId="15257716"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133</w:t>
            </w:r>
          </w:p>
        </w:tc>
        <w:tc>
          <w:tcPr>
            <w:tcW w:w="7512" w:type="dxa"/>
            <w:vAlign w:val="center"/>
          </w:tcPr>
          <w:p w14:paraId="59564854"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U 2020.g. isplaćene naknade za 133 djece.</w:t>
            </w:r>
          </w:p>
          <w:p w14:paraId="5E21A757"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 prvo i drugo dijete = 101 naknada (prvo dijete 55, drugo 46 djece)</w:t>
            </w:r>
          </w:p>
          <w:p w14:paraId="4C1D92DD"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 treće dijete = 20 naknada</w:t>
            </w:r>
          </w:p>
          <w:p w14:paraId="25981575"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 četvero i više djece = 12 naknade (četvrto dijete 9, peto 3)</w:t>
            </w:r>
          </w:p>
        </w:tc>
        <w:tc>
          <w:tcPr>
            <w:tcW w:w="3355" w:type="dxa"/>
            <w:vAlign w:val="center"/>
          </w:tcPr>
          <w:p w14:paraId="567BF5EE"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 i 2. dijete = 3.000 kn</w:t>
            </w:r>
          </w:p>
          <w:p w14:paraId="6C968FCA"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3. dijete = 5.000 kn</w:t>
            </w:r>
          </w:p>
          <w:p w14:paraId="67171A89"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4. i više djece = 7.000 kn</w:t>
            </w:r>
          </w:p>
        </w:tc>
      </w:tr>
      <w:tr w:rsidR="00676A9B" w:rsidRPr="00676A9B" w14:paraId="4FDBA06A" w14:textId="77777777" w:rsidTr="00410A4B">
        <w:trPr>
          <w:jc w:val="center"/>
        </w:trPr>
        <w:tc>
          <w:tcPr>
            <w:tcW w:w="1195" w:type="dxa"/>
            <w:vAlign w:val="center"/>
          </w:tcPr>
          <w:p w14:paraId="557A9A3B"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2021.</w:t>
            </w:r>
          </w:p>
        </w:tc>
        <w:tc>
          <w:tcPr>
            <w:tcW w:w="2061" w:type="dxa"/>
            <w:vAlign w:val="center"/>
          </w:tcPr>
          <w:p w14:paraId="5B7BB926"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110</w:t>
            </w:r>
          </w:p>
        </w:tc>
        <w:tc>
          <w:tcPr>
            <w:tcW w:w="7512" w:type="dxa"/>
            <w:vAlign w:val="center"/>
          </w:tcPr>
          <w:p w14:paraId="347AE057"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U 2021.g. isplaćene naknade za 110 djece.</w:t>
            </w:r>
          </w:p>
          <w:p w14:paraId="68FD34E8"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 prvo i drugo dijete = 83 naknada (prvo dijete 46, drugo dijete 37)</w:t>
            </w:r>
          </w:p>
          <w:p w14:paraId="54E3972D"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 treće dijete = 20. naknada</w:t>
            </w:r>
          </w:p>
          <w:p w14:paraId="3A2B6C98"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 četvero i više djece = 7 naknade (četvrto dijete 3, peto dijete 3, šesto dijete 1 )</w:t>
            </w:r>
          </w:p>
        </w:tc>
        <w:tc>
          <w:tcPr>
            <w:tcW w:w="3355" w:type="dxa"/>
            <w:vAlign w:val="center"/>
          </w:tcPr>
          <w:p w14:paraId="2EF1D57E"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 i 2. dijete = 3.000 kn</w:t>
            </w:r>
          </w:p>
          <w:p w14:paraId="0E980730"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3. dijete = 5.000 kn</w:t>
            </w:r>
          </w:p>
          <w:p w14:paraId="795869B1"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4. i više djece = 7.000 kn</w:t>
            </w:r>
          </w:p>
        </w:tc>
      </w:tr>
      <w:tr w:rsidR="00676A9B" w:rsidRPr="00676A9B" w14:paraId="6AC77072" w14:textId="77777777" w:rsidTr="00410A4B">
        <w:trPr>
          <w:jc w:val="center"/>
        </w:trPr>
        <w:tc>
          <w:tcPr>
            <w:tcW w:w="1195" w:type="dxa"/>
            <w:vAlign w:val="center"/>
          </w:tcPr>
          <w:p w14:paraId="37A5D8C0"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2022.</w:t>
            </w:r>
          </w:p>
        </w:tc>
        <w:tc>
          <w:tcPr>
            <w:tcW w:w="2061" w:type="dxa"/>
            <w:vAlign w:val="center"/>
          </w:tcPr>
          <w:p w14:paraId="70791A35"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94</w:t>
            </w:r>
          </w:p>
        </w:tc>
        <w:tc>
          <w:tcPr>
            <w:tcW w:w="7512" w:type="dxa"/>
            <w:vAlign w:val="center"/>
          </w:tcPr>
          <w:p w14:paraId="70EF6900" w14:textId="77777777" w:rsidR="00676A9B" w:rsidRPr="00676A9B" w:rsidRDefault="00676A9B" w:rsidP="00676A9B">
            <w:pPr>
              <w:spacing w:after="0" w:line="240" w:lineRule="auto"/>
              <w:rPr>
                <w:rFonts w:ascii="Arial" w:eastAsia="Calibri" w:hAnsi="Arial" w:cs="Arial"/>
                <w:sz w:val="18"/>
                <w:szCs w:val="18"/>
              </w:rPr>
            </w:pPr>
            <w:r w:rsidRPr="00676A9B">
              <w:rPr>
                <w:rFonts w:ascii="Arial" w:eastAsia="Calibri" w:hAnsi="Arial" w:cs="Arial"/>
                <w:sz w:val="18"/>
                <w:szCs w:val="18"/>
              </w:rPr>
              <w:t>U 2022.g. isplaćene naknade za 94. djece.</w:t>
            </w:r>
          </w:p>
          <w:p w14:paraId="2B9C07AF" w14:textId="77777777" w:rsidR="00676A9B" w:rsidRPr="00676A9B" w:rsidRDefault="00676A9B" w:rsidP="00676A9B">
            <w:pPr>
              <w:spacing w:after="0" w:line="240" w:lineRule="auto"/>
              <w:rPr>
                <w:rFonts w:ascii="Arial" w:eastAsia="Calibri" w:hAnsi="Arial" w:cs="Arial"/>
                <w:sz w:val="18"/>
                <w:szCs w:val="18"/>
              </w:rPr>
            </w:pPr>
            <w:r w:rsidRPr="00676A9B">
              <w:rPr>
                <w:rFonts w:ascii="Arial" w:eastAsia="Calibri" w:hAnsi="Arial" w:cs="Arial"/>
                <w:sz w:val="18"/>
                <w:szCs w:val="18"/>
              </w:rPr>
              <w:t>- prvo i drugo dijete = 66  naknada (prvo dijete 34, drugo dijete 32 )</w:t>
            </w:r>
          </w:p>
          <w:p w14:paraId="1BDF8098" w14:textId="77777777" w:rsidR="00676A9B" w:rsidRPr="00676A9B" w:rsidRDefault="00676A9B" w:rsidP="00676A9B">
            <w:pPr>
              <w:spacing w:after="0" w:line="240" w:lineRule="auto"/>
              <w:rPr>
                <w:rFonts w:ascii="Arial" w:eastAsia="Calibri" w:hAnsi="Arial" w:cs="Arial"/>
                <w:sz w:val="18"/>
                <w:szCs w:val="18"/>
              </w:rPr>
            </w:pPr>
            <w:r w:rsidRPr="00676A9B">
              <w:rPr>
                <w:rFonts w:ascii="Arial" w:eastAsia="Calibri" w:hAnsi="Arial" w:cs="Arial"/>
                <w:sz w:val="18"/>
                <w:szCs w:val="18"/>
              </w:rPr>
              <w:t>- treće dijete = 22. naknade</w:t>
            </w:r>
          </w:p>
          <w:p w14:paraId="68550DA6"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 četvero i više djece = 6 naknade (četvrto dijete 4, peto dijete 2)</w:t>
            </w:r>
          </w:p>
        </w:tc>
        <w:tc>
          <w:tcPr>
            <w:tcW w:w="3355" w:type="dxa"/>
            <w:vAlign w:val="center"/>
          </w:tcPr>
          <w:p w14:paraId="21F98F9E"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1. i 2. dijete = 3.000 kn / 398,17 €</w:t>
            </w:r>
          </w:p>
          <w:p w14:paraId="7E0772F7"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3. dijete = 5.000 kn / 663,61 €</w:t>
            </w:r>
          </w:p>
          <w:p w14:paraId="7ED27460"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4. i više djece = 7.000 kn / 929,06 €</w:t>
            </w:r>
          </w:p>
        </w:tc>
      </w:tr>
      <w:tr w:rsidR="00676A9B" w:rsidRPr="00676A9B" w14:paraId="06B7CDD4" w14:textId="77777777" w:rsidTr="00410A4B">
        <w:trPr>
          <w:jc w:val="center"/>
        </w:trPr>
        <w:tc>
          <w:tcPr>
            <w:tcW w:w="1195" w:type="dxa"/>
            <w:vAlign w:val="center"/>
          </w:tcPr>
          <w:p w14:paraId="0031C313"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2023.</w:t>
            </w:r>
          </w:p>
        </w:tc>
        <w:tc>
          <w:tcPr>
            <w:tcW w:w="2061" w:type="dxa"/>
            <w:vAlign w:val="center"/>
          </w:tcPr>
          <w:p w14:paraId="1015548C"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84</w:t>
            </w:r>
          </w:p>
        </w:tc>
        <w:tc>
          <w:tcPr>
            <w:tcW w:w="7512" w:type="dxa"/>
            <w:vAlign w:val="center"/>
          </w:tcPr>
          <w:p w14:paraId="1D592B85" w14:textId="77777777" w:rsidR="00676A9B" w:rsidRPr="00676A9B" w:rsidRDefault="00676A9B" w:rsidP="00676A9B">
            <w:pPr>
              <w:spacing w:after="0" w:line="240" w:lineRule="auto"/>
              <w:rPr>
                <w:rFonts w:ascii="Arial" w:eastAsia="Calibri" w:hAnsi="Arial" w:cs="Arial"/>
                <w:sz w:val="18"/>
                <w:szCs w:val="18"/>
              </w:rPr>
            </w:pPr>
            <w:r w:rsidRPr="00676A9B">
              <w:rPr>
                <w:rFonts w:ascii="Arial" w:eastAsia="Calibri" w:hAnsi="Arial" w:cs="Arial"/>
                <w:sz w:val="18"/>
                <w:szCs w:val="18"/>
              </w:rPr>
              <w:t>U 2023.g. isplaćene naknade za 84. djece.</w:t>
            </w:r>
          </w:p>
          <w:p w14:paraId="00E7590E" w14:textId="77777777" w:rsidR="00676A9B" w:rsidRPr="00676A9B" w:rsidRDefault="00676A9B" w:rsidP="00676A9B">
            <w:pPr>
              <w:spacing w:after="0" w:line="240" w:lineRule="auto"/>
              <w:rPr>
                <w:rFonts w:ascii="Arial" w:eastAsia="Calibri" w:hAnsi="Arial" w:cs="Arial"/>
                <w:sz w:val="18"/>
                <w:szCs w:val="18"/>
              </w:rPr>
            </w:pPr>
            <w:r w:rsidRPr="00676A9B">
              <w:rPr>
                <w:rFonts w:ascii="Arial" w:eastAsia="Calibri" w:hAnsi="Arial" w:cs="Arial"/>
                <w:sz w:val="18"/>
                <w:szCs w:val="18"/>
              </w:rPr>
              <w:t>- prvo i drugo dijete = 69 naknada (prvo dijete 32, drugo dijete 37 )</w:t>
            </w:r>
          </w:p>
          <w:p w14:paraId="46501B91" w14:textId="77777777" w:rsidR="00676A9B" w:rsidRPr="00676A9B" w:rsidRDefault="00676A9B" w:rsidP="00676A9B">
            <w:pPr>
              <w:spacing w:after="0" w:line="240" w:lineRule="auto"/>
              <w:rPr>
                <w:rFonts w:ascii="Arial" w:eastAsia="Calibri" w:hAnsi="Arial" w:cs="Arial"/>
                <w:sz w:val="18"/>
                <w:szCs w:val="18"/>
              </w:rPr>
            </w:pPr>
            <w:r w:rsidRPr="00676A9B">
              <w:rPr>
                <w:rFonts w:ascii="Arial" w:eastAsia="Calibri" w:hAnsi="Arial" w:cs="Arial"/>
                <w:sz w:val="18"/>
                <w:szCs w:val="18"/>
              </w:rPr>
              <w:t>- treće dijete = 10 naknada</w:t>
            </w:r>
          </w:p>
          <w:p w14:paraId="0A3E6D56" w14:textId="77777777" w:rsidR="00676A9B" w:rsidRPr="00676A9B" w:rsidRDefault="00676A9B" w:rsidP="00676A9B">
            <w:pPr>
              <w:spacing w:after="0" w:line="240" w:lineRule="auto"/>
              <w:rPr>
                <w:rFonts w:ascii="Arial" w:eastAsia="Calibri" w:hAnsi="Arial" w:cs="Arial"/>
                <w:sz w:val="18"/>
                <w:szCs w:val="18"/>
              </w:rPr>
            </w:pPr>
            <w:r w:rsidRPr="00676A9B">
              <w:rPr>
                <w:rFonts w:ascii="Arial" w:eastAsia="Calibri" w:hAnsi="Arial" w:cs="Arial"/>
                <w:sz w:val="18"/>
                <w:szCs w:val="18"/>
              </w:rPr>
              <w:t>- četvero i više djece = 5 naknade (četvrto dijete 4, šesto dijete 1)</w:t>
            </w:r>
          </w:p>
        </w:tc>
        <w:tc>
          <w:tcPr>
            <w:tcW w:w="3355" w:type="dxa"/>
            <w:vAlign w:val="center"/>
          </w:tcPr>
          <w:p w14:paraId="17F52B26"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1. i 2. dijete = 398,17 €</w:t>
            </w:r>
          </w:p>
          <w:p w14:paraId="33851F68"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3. dijete = 663,61 €</w:t>
            </w:r>
          </w:p>
          <w:p w14:paraId="1512A104"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4. i više djece = 929,06 €</w:t>
            </w:r>
          </w:p>
        </w:tc>
      </w:tr>
      <w:tr w:rsidR="00676A9B" w:rsidRPr="00676A9B" w14:paraId="5F7B4007" w14:textId="77777777" w:rsidTr="00410A4B">
        <w:trPr>
          <w:jc w:val="center"/>
        </w:trPr>
        <w:tc>
          <w:tcPr>
            <w:tcW w:w="1195" w:type="dxa"/>
            <w:vAlign w:val="center"/>
          </w:tcPr>
          <w:p w14:paraId="545FFA68"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2024.</w:t>
            </w:r>
          </w:p>
        </w:tc>
        <w:tc>
          <w:tcPr>
            <w:tcW w:w="2061" w:type="dxa"/>
            <w:vAlign w:val="center"/>
          </w:tcPr>
          <w:p w14:paraId="0116510F"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88</w:t>
            </w:r>
          </w:p>
        </w:tc>
        <w:tc>
          <w:tcPr>
            <w:tcW w:w="7512" w:type="dxa"/>
            <w:vAlign w:val="center"/>
          </w:tcPr>
          <w:p w14:paraId="503067CB" w14:textId="77777777" w:rsidR="00676A9B" w:rsidRPr="00676A9B" w:rsidRDefault="00676A9B" w:rsidP="00676A9B">
            <w:pPr>
              <w:spacing w:after="0" w:line="240" w:lineRule="auto"/>
              <w:rPr>
                <w:rFonts w:ascii="Arial" w:eastAsia="Calibri" w:hAnsi="Arial" w:cs="Arial"/>
                <w:sz w:val="18"/>
                <w:szCs w:val="18"/>
              </w:rPr>
            </w:pPr>
            <w:r w:rsidRPr="00676A9B">
              <w:rPr>
                <w:rFonts w:ascii="Arial" w:eastAsia="Calibri" w:hAnsi="Arial" w:cs="Arial"/>
                <w:sz w:val="18"/>
                <w:szCs w:val="18"/>
              </w:rPr>
              <w:t>U 2024.g. isplaćene naknade za 88 djece.</w:t>
            </w:r>
          </w:p>
          <w:p w14:paraId="6C0AAB30" w14:textId="77777777" w:rsidR="00676A9B" w:rsidRPr="00676A9B" w:rsidRDefault="00676A9B" w:rsidP="00676A9B">
            <w:pPr>
              <w:spacing w:after="0" w:line="240" w:lineRule="auto"/>
              <w:rPr>
                <w:rFonts w:ascii="Arial" w:eastAsia="Calibri" w:hAnsi="Arial" w:cs="Arial"/>
                <w:sz w:val="18"/>
                <w:szCs w:val="18"/>
              </w:rPr>
            </w:pPr>
            <w:r w:rsidRPr="00676A9B">
              <w:rPr>
                <w:rFonts w:ascii="Arial" w:eastAsia="Calibri" w:hAnsi="Arial" w:cs="Arial"/>
                <w:sz w:val="18"/>
                <w:szCs w:val="18"/>
              </w:rPr>
              <w:t>- prvo i drugo dijete = 65 naknada (prvo dijete 35, drugo dijete 30 )</w:t>
            </w:r>
          </w:p>
          <w:p w14:paraId="705650F0" w14:textId="77777777" w:rsidR="00676A9B" w:rsidRPr="00676A9B" w:rsidRDefault="00676A9B" w:rsidP="00676A9B">
            <w:pPr>
              <w:spacing w:after="0" w:line="240" w:lineRule="auto"/>
              <w:rPr>
                <w:rFonts w:ascii="Arial" w:eastAsia="Calibri" w:hAnsi="Arial" w:cs="Arial"/>
                <w:sz w:val="18"/>
                <w:szCs w:val="18"/>
              </w:rPr>
            </w:pPr>
            <w:r w:rsidRPr="00676A9B">
              <w:rPr>
                <w:rFonts w:ascii="Arial" w:eastAsia="Calibri" w:hAnsi="Arial" w:cs="Arial"/>
                <w:sz w:val="18"/>
                <w:szCs w:val="18"/>
              </w:rPr>
              <w:t>- treće dijete = 14 naknada</w:t>
            </w:r>
          </w:p>
          <w:p w14:paraId="3A6BF4CF" w14:textId="77777777" w:rsidR="00676A9B" w:rsidRPr="00676A9B" w:rsidRDefault="00676A9B" w:rsidP="00676A9B">
            <w:pPr>
              <w:spacing w:after="0" w:line="240" w:lineRule="auto"/>
              <w:rPr>
                <w:rFonts w:ascii="Arial" w:eastAsia="Calibri" w:hAnsi="Arial" w:cs="Arial"/>
                <w:sz w:val="18"/>
                <w:szCs w:val="18"/>
              </w:rPr>
            </w:pPr>
            <w:r w:rsidRPr="00676A9B">
              <w:rPr>
                <w:rFonts w:ascii="Arial" w:eastAsia="Calibri" w:hAnsi="Arial" w:cs="Arial"/>
                <w:sz w:val="18"/>
                <w:szCs w:val="18"/>
              </w:rPr>
              <w:t>- četvero i više djece = 7 naknade (četvrto dijete 4, peto dijete 1, šesto dijete 2)</w:t>
            </w:r>
          </w:p>
        </w:tc>
        <w:tc>
          <w:tcPr>
            <w:tcW w:w="3355" w:type="dxa"/>
            <w:vAlign w:val="center"/>
          </w:tcPr>
          <w:p w14:paraId="5A9B7925"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1. i 2. dijete = 400 €</w:t>
            </w:r>
          </w:p>
          <w:p w14:paraId="19837961"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3. dijete = 670 €</w:t>
            </w:r>
          </w:p>
          <w:p w14:paraId="63D43828"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4. i više djece = 930 €</w:t>
            </w:r>
          </w:p>
        </w:tc>
      </w:tr>
      <w:tr w:rsidR="005212A7" w:rsidRPr="00676A9B" w14:paraId="3AC44A6D" w14:textId="77777777" w:rsidTr="00410A4B">
        <w:trPr>
          <w:jc w:val="center"/>
        </w:trPr>
        <w:tc>
          <w:tcPr>
            <w:tcW w:w="1195" w:type="dxa"/>
            <w:vAlign w:val="center"/>
          </w:tcPr>
          <w:p w14:paraId="16544328" w14:textId="77777777" w:rsidR="005212A7" w:rsidRPr="0083135D" w:rsidRDefault="005212A7" w:rsidP="005212A7">
            <w:pPr>
              <w:spacing w:after="0" w:line="240" w:lineRule="auto"/>
              <w:jc w:val="both"/>
              <w:rPr>
                <w:rFonts w:ascii="Arial" w:eastAsia="Calibri" w:hAnsi="Arial" w:cs="Arial"/>
                <w:sz w:val="18"/>
                <w:szCs w:val="18"/>
              </w:rPr>
            </w:pPr>
            <w:r w:rsidRPr="0083135D">
              <w:rPr>
                <w:rFonts w:ascii="Arial" w:eastAsia="Calibri" w:hAnsi="Arial" w:cs="Arial"/>
                <w:sz w:val="18"/>
                <w:szCs w:val="18"/>
              </w:rPr>
              <w:t>2025.</w:t>
            </w:r>
          </w:p>
        </w:tc>
        <w:tc>
          <w:tcPr>
            <w:tcW w:w="2061" w:type="dxa"/>
            <w:vAlign w:val="center"/>
          </w:tcPr>
          <w:p w14:paraId="39A11D9D" w14:textId="28D0895A" w:rsidR="005212A7" w:rsidRPr="0083135D" w:rsidRDefault="005212A7" w:rsidP="005212A7">
            <w:pPr>
              <w:spacing w:after="0" w:line="240" w:lineRule="auto"/>
              <w:jc w:val="both"/>
              <w:rPr>
                <w:rFonts w:ascii="Arial" w:eastAsia="Calibri" w:hAnsi="Arial" w:cs="Arial"/>
                <w:sz w:val="18"/>
                <w:szCs w:val="18"/>
              </w:rPr>
            </w:pPr>
            <w:r w:rsidRPr="0083135D">
              <w:rPr>
                <w:rFonts w:ascii="Arial" w:eastAsia="Calibri" w:hAnsi="Arial" w:cs="Arial"/>
                <w:sz w:val="18"/>
                <w:szCs w:val="18"/>
              </w:rPr>
              <w:t>87</w:t>
            </w:r>
          </w:p>
        </w:tc>
        <w:tc>
          <w:tcPr>
            <w:tcW w:w="7512" w:type="dxa"/>
            <w:vAlign w:val="center"/>
          </w:tcPr>
          <w:p w14:paraId="7F62DC1A" w14:textId="7339CED6" w:rsidR="005212A7" w:rsidRPr="00676A9B" w:rsidRDefault="005212A7" w:rsidP="005212A7">
            <w:pPr>
              <w:spacing w:after="0" w:line="240" w:lineRule="auto"/>
              <w:rPr>
                <w:rFonts w:ascii="Arial" w:eastAsia="Calibri" w:hAnsi="Arial" w:cs="Arial"/>
                <w:sz w:val="18"/>
                <w:szCs w:val="18"/>
              </w:rPr>
            </w:pPr>
            <w:r w:rsidRPr="00676A9B">
              <w:rPr>
                <w:rFonts w:ascii="Arial" w:eastAsia="Calibri" w:hAnsi="Arial" w:cs="Arial"/>
                <w:sz w:val="18"/>
                <w:szCs w:val="18"/>
              </w:rPr>
              <w:t>U 202</w:t>
            </w:r>
            <w:r>
              <w:rPr>
                <w:rFonts w:ascii="Arial" w:eastAsia="Calibri" w:hAnsi="Arial" w:cs="Arial"/>
                <w:sz w:val="18"/>
                <w:szCs w:val="18"/>
              </w:rPr>
              <w:t>5</w:t>
            </w:r>
            <w:r w:rsidRPr="00676A9B">
              <w:rPr>
                <w:rFonts w:ascii="Arial" w:eastAsia="Calibri" w:hAnsi="Arial" w:cs="Arial"/>
                <w:sz w:val="18"/>
                <w:szCs w:val="18"/>
              </w:rPr>
              <w:t xml:space="preserve">.g. isplaćene naknade za </w:t>
            </w:r>
            <w:r>
              <w:rPr>
                <w:rFonts w:ascii="Arial" w:eastAsia="Calibri" w:hAnsi="Arial" w:cs="Arial"/>
                <w:sz w:val="18"/>
                <w:szCs w:val="18"/>
              </w:rPr>
              <w:t>87</w:t>
            </w:r>
            <w:r w:rsidRPr="00676A9B">
              <w:rPr>
                <w:rFonts w:ascii="Arial" w:eastAsia="Calibri" w:hAnsi="Arial" w:cs="Arial"/>
                <w:sz w:val="18"/>
                <w:szCs w:val="18"/>
              </w:rPr>
              <w:t xml:space="preserve"> djece.</w:t>
            </w:r>
          </w:p>
          <w:p w14:paraId="039D3482" w14:textId="3DF35F75" w:rsidR="005212A7" w:rsidRDefault="005212A7" w:rsidP="005212A7">
            <w:pPr>
              <w:spacing w:after="0" w:line="240" w:lineRule="auto"/>
              <w:rPr>
                <w:rFonts w:ascii="Arial" w:eastAsia="Calibri" w:hAnsi="Arial" w:cs="Arial"/>
                <w:sz w:val="18"/>
                <w:szCs w:val="18"/>
              </w:rPr>
            </w:pPr>
            <w:r w:rsidRPr="00676A9B">
              <w:rPr>
                <w:rFonts w:ascii="Arial" w:eastAsia="Calibri" w:hAnsi="Arial" w:cs="Arial"/>
                <w:sz w:val="18"/>
                <w:szCs w:val="18"/>
              </w:rPr>
              <w:t xml:space="preserve">- prvo dijete = </w:t>
            </w:r>
            <w:r w:rsidR="007E2538">
              <w:rPr>
                <w:rFonts w:ascii="Arial" w:eastAsia="Calibri" w:hAnsi="Arial" w:cs="Arial"/>
                <w:sz w:val="18"/>
                <w:szCs w:val="18"/>
              </w:rPr>
              <w:t>28</w:t>
            </w:r>
            <w:r w:rsidRPr="00676A9B">
              <w:rPr>
                <w:rFonts w:ascii="Arial" w:eastAsia="Calibri" w:hAnsi="Arial" w:cs="Arial"/>
                <w:sz w:val="18"/>
                <w:szCs w:val="18"/>
              </w:rPr>
              <w:t xml:space="preserve"> naknada </w:t>
            </w:r>
          </w:p>
          <w:p w14:paraId="0EA2CC7B" w14:textId="3C868EA5" w:rsidR="005212A7" w:rsidRPr="00676A9B" w:rsidRDefault="007E2538" w:rsidP="005212A7">
            <w:pPr>
              <w:spacing w:after="0" w:line="240" w:lineRule="auto"/>
              <w:rPr>
                <w:rFonts w:ascii="Arial" w:eastAsia="Calibri" w:hAnsi="Arial" w:cs="Arial"/>
                <w:sz w:val="18"/>
                <w:szCs w:val="18"/>
              </w:rPr>
            </w:pPr>
            <w:r>
              <w:rPr>
                <w:rFonts w:ascii="Arial" w:eastAsia="Calibri" w:hAnsi="Arial" w:cs="Arial"/>
                <w:sz w:val="18"/>
                <w:szCs w:val="18"/>
              </w:rPr>
              <w:t xml:space="preserve">- drugo dijete = </w:t>
            </w:r>
            <w:r w:rsidR="005212A7" w:rsidRPr="00676A9B">
              <w:rPr>
                <w:rFonts w:ascii="Arial" w:eastAsia="Calibri" w:hAnsi="Arial" w:cs="Arial"/>
                <w:sz w:val="18"/>
                <w:szCs w:val="18"/>
              </w:rPr>
              <w:t>3</w:t>
            </w:r>
            <w:r>
              <w:rPr>
                <w:rFonts w:ascii="Arial" w:eastAsia="Calibri" w:hAnsi="Arial" w:cs="Arial"/>
                <w:sz w:val="18"/>
                <w:szCs w:val="18"/>
              </w:rPr>
              <w:t>4</w:t>
            </w:r>
            <w:r w:rsidR="005212A7" w:rsidRPr="00676A9B">
              <w:rPr>
                <w:rFonts w:ascii="Arial" w:eastAsia="Calibri" w:hAnsi="Arial" w:cs="Arial"/>
                <w:sz w:val="18"/>
                <w:szCs w:val="18"/>
              </w:rPr>
              <w:t xml:space="preserve"> </w:t>
            </w:r>
            <w:r>
              <w:rPr>
                <w:rFonts w:ascii="Arial" w:eastAsia="Calibri" w:hAnsi="Arial" w:cs="Arial"/>
                <w:sz w:val="18"/>
                <w:szCs w:val="18"/>
              </w:rPr>
              <w:t>naknada</w:t>
            </w:r>
          </w:p>
          <w:p w14:paraId="168B480D" w14:textId="5A1BCF75" w:rsidR="005212A7" w:rsidRPr="00676A9B" w:rsidRDefault="005212A7" w:rsidP="005212A7">
            <w:pPr>
              <w:spacing w:after="0" w:line="240" w:lineRule="auto"/>
              <w:rPr>
                <w:rFonts w:ascii="Arial" w:eastAsia="Calibri" w:hAnsi="Arial" w:cs="Arial"/>
                <w:sz w:val="18"/>
                <w:szCs w:val="18"/>
              </w:rPr>
            </w:pPr>
            <w:r w:rsidRPr="00676A9B">
              <w:rPr>
                <w:rFonts w:ascii="Arial" w:eastAsia="Calibri" w:hAnsi="Arial" w:cs="Arial"/>
                <w:sz w:val="18"/>
                <w:szCs w:val="18"/>
              </w:rPr>
              <w:t>- treće dijete = 1</w:t>
            </w:r>
            <w:r w:rsidR="007E2538">
              <w:rPr>
                <w:rFonts w:ascii="Arial" w:eastAsia="Calibri" w:hAnsi="Arial" w:cs="Arial"/>
                <w:sz w:val="18"/>
                <w:szCs w:val="18"/>
              </w:rPr>
              <w:t>8</w:t>
            </w:r>
            <w:r w:rsidRPr="00676A9B">
              <w:rPr>
                <w:rFonts w:ascii="Arial" w:eastAsia="Calibri" w:hAnsi="Arial" w:cs="Arial"/>
                <w:sz w:val="18"/>
                <w:szCs w:val="18"/>
              </w:rPr>
              <w:t xml:space="preserve"> naknada</w:t>
            </w:r>
          </w:p>
          <w:p w14:paraId="74F9DFD5" w14:textId="10D218C3" w:rsidR="005212A7" w:rsidRPr="00676A9B" w:rsidRDefault="005212A7" w:rsidP="005212A7">
            <w:pPr>
              <w:spacing w:after="0" w:line="240" w:lineRule="auto"/>
              <w:rPr>
                <w:rFonts w:ascii="Arial" w:eastAsia="Calibri" w:hAnsi="Arial" w:cs="Arial"/>
                <w:sz w:val="14"/>
                <w:szCs w:val="14"/>
              </w:rPr>
            </w:pPr>
            <w:r w:rsidRPr="00676A9B">
              <w:rPr>
                <w:rFonts w:ascii="Arial" w:eastAsia="Calibri" w:hAnsi="Arial" w:cs="Arial"/>
                <w:sz w:val="18"/>
                <w:szCs w:val="18"/>
              </w:rPr>
              <w:t xml:space="preserve">- četvero </w:t>
            </w:r>
            <w:r w:rsidR="007E2538">
              <w:rPr>
                <w:rFonts w:ascii="Arial" w:eastAsia="Calibri" w:hAnsi="Arial" w:cs="Arial"/>
                <w:sz w:val="18"/>
                <w:szCs w:val="18"/>
              </w:rPr>
              <w:t xml:space="preserve">dijete </w:t>
            </w:r>
            <w:r w:rsidRPr="00676A9B">
              <w:rPr>
                <w:rFonts w:ascii="Arial" w:eastAsia="Calibri" w:hAnsi="Arial" w:cs="Arial"/>
                <w:sz w:val="18"/>
                <w:szCs w:val="18"/>
              </w:rPr>
              <w:t xml:space="preserve"> = 7 naknad</w:t>
            </w:r>
            <w:r w:rsidR="007E2538">
              <w:rPr>
                <w:rFonts w:ascii="Arial" w:eastAsia="Calibri" w:hAnsi="Arial" w:cs="Arial"/>
                <w:sz w:val="18"/>
                <w:szCs w:val="18"/>
              </w:rPr>
              <w:t>a</w:t>
            </w:r>
            <w:r w:rsidRPr="00676A9B">
              <w:rPr>
                <w:rFonts w:ascii="Arial" w:eastAsia="Calibri" w:hAnsi="Arial" w:cs="Arial"/>
                <w:sz w:val="18"/>
                <w:szCs w:val="18"/>
              </w:rPr>
              <w:t xml:space="preserve"> </w:t>
            </w:r>
          </w:p>
        </w:tc>
        <w:tc>
          <w:tcPr>
            <w:tcW w:w="3355" w:type="dxa"/>
            <w:vAlign w:val="center"/>
          </w:tcPr>
          <w:p w14:paraId="310CD961" w14:textId="77777777" w:rsidR="005212A7" w:rsidRPr="00475367" w:rsidRDefault="005212A7" w:rsidP="005212A7">
            <w:pPr>
              <w:spacing w:after="0" w:line="240" w:lineRule="auto"/>
              <w:jc w:val="center"/>
              <w:rPr>
                <w:rFonts w:ascii="Arial" w:eastAsia="Calibri" w:hAnsi="Arial" w:cs="Arial"/>
                <w:sz w:val="16"/>
                <w:szCs w:val="16"/>
              </w:rPr>
            </w:pPr>
            <w:r w:rsidRPr="00475367">
              <w:rPr>
                <w:rFonts w:ascii="Arial" w:eastAsia="Calibri" w:hAnsi="Arial" w:cs="Arial"/>
                <w:sz w:val="16"/>
                <w:szCs w:val="16"/>
              </w:rPr>
              <w:t>1. i 2. dijete = 400 €</w:t>
            </w:r>
          </w:p>
          <w:p w14:paraId="54FC2066" w14:textId="77777777" w:rsidR="005212A7" w:rsidRPr="00475367" w:rsidRDefault="005212A7" w:rsidP="005212A7">
            <w:pPr>
              <w:spacing w:after="0" w:line="240" w:lineRule="auto"/>
              <w:jc w:val="center"/>
              <w:rPr>
                <w:rFonts w:ascii="Arial" w:eastAsia="Calibri" w:hAnsi="Arial" w:cs="Arial"/>
                <w:sz w:val="16"/>
                <w:szCs w:val="16"/>
              </w:rPr>
            </w:pPr>
            <w:r w:rsidRPr="00475367">
              <w:rPr>
                <w:rFonts w:ascii="Arial" w:eastAsia="Calibri" w:hAnsi="Arial" w:cs="Arial"/>
                <w:sz w:val="16"/>
                <w:szCs w:val="16"/>
              </w:rPr>
              <w:t>3. dijete = 670 €</w:t>
            </w:r>
          </w:p>
          <w:p w14:paraId="6773D1CD" w14:textId="77777777" w:rsidR="005212A7" w:rsidRPr="00475367" w:rsidRDefault="005212A7" w:rsidP="005212A7">
            <w:pPr>
              <w:spacing w:after="0" w:line="240" w:lineRule="auto"/>
              <w:jc w:val="center"/>
              <w:rPr>
                <w:rFonts w:ascii="Arial" w:eastAsia="Calibri" w:hAnsi="Arial" w:cs="Arial"/>
                <w:sz w:val="16"/>
                <w:szCs w:val="16"/>
              </w:rPr>
            </w:pPr>
            <w:r w:rsidRPr="00475367">
              <w:rPr>
                <w:rFonts w:ascii="Arial" w:eastAsia="Calibri" w:hAnsi="Arial" w:cs="Arial"/>
                <w:sz w:val="16"/>
                <w:szCs w:val="16"/>
              </w:rPr>
              <w:t>4. dijete = 950 €</w:t>
            </w:r>
          </w:p>
          <w:p w14:paraId="6144A320" w14:textId="77777777" w:rsidR="005212A7" w:rsidRPr="00475367" w:rsidRDefault="005212A7" w:rsidP="005212A7">
            <w:pPr>
              <w:spacing w:after="0" w:line="240" w:lineRule="auto"/>
              <w:jc w:val="center"/>
              <w:rPr>
                <w:rFonts w:ascii="Arial" w:eastAsia="Calibri" w:hAnsi="Arial" w:cs="Arial"/>
                <w:sz w:val="16"/>
                <w:szCs w:val="16"/>
              </w:rPr>
            </w:pPr>
            <w:r w:rsidRPr="00475367">
              <w:rPr>
                <w:rFonts w:ascii="Arial" w:eastAsia="Calibri" w:hAnsi="Arial" w:cs="Arial"/>
                <w:sz w:val="16"/>
                <w:szCs w:val="16"/>
              </w:rPr>
              <w:t>5. dijete = 2.000 €</w:t>
            </w:r>
          </w:p>
          <w:p w14:paraId="2132F3EB" w14:textId="3E104273" w:rsidR="005212A7" w:rsidRPr="00475367" w:rsidRDefault="005212A7" w:rsidP="005212A7">
            <w:pPr>
              <w:spacing w:after="0" w:line="240" w:lineRule="auto"/>
              <w:jc w:val="center"/>
              <w:rPr>
                <w:rFonts w:ascii="Arial" w:eastAsia="Calibri" w:hAnsi="Arial" w:cs="Arial"/>
                <w:sz w:val="16"/>
                <w:szCs w:val="16"/>
              </w:rPr>
            </w:pPr>
            <w:r w:rsidRPr="00475367">
              <w:rPr>
                <w:rFonts w:ascii="Arial" w:eastAsia="Calibri" w:hAnsi="Arial" w:cs="Arial"/>
                <w:sz w:val="16"/>
                <w:szCs w:val="16"/>
              </w:rPr>
              <w:t xml:space="preserve">svako sljedeće dijete </w:t>
            </w:r>
            <w:r w:rsidR="007E2538" w:rsidRPr="00475367">
              <w:rPr>
                <w:rFonts w:ascii="Arial" w:eastAsia="Calibri" w:hAnsi="Arial" w:cs="Arial"/>
                <w:sz w:val="16"/>
                <w:szCs w:val="16"/>
              </w:rPr>
              <w:t>dodatno</w:t>
            </w:r>
            <w:r w:rsidRPr="00475367">
              <w:rPr>
                <w:rFonts w:ascii="Arial" w:eastAsia="Calibri" w:hAnsi="Arial" w:cs="Arial"/>
                <w:sz w:val="16"/>
                <w:szCs w:val="16"/>
              </w:rPr>
              <w:t xml:space="preserve"> 500 €</w:t>
            </w:r>
          </w:p>
        </w:tc>
      </w:tr>
    </w:tbl>
    <w:p w14:paraId="1767F916" w14:textId="77777777" w:rsidR="00676A9B" w:rsidRPr="00676A9B" w:rsidRDefault="00676A9B" w:rsidP="00676A9B">
      <w:pPr>
        <w:spacing w:after="0" w:line="240" w:lineRule="auto"/>
        <w:jc w:val="both"/>
        <w:rPr>
          <w:rFonts w:ascii="Arial" w:eastAsia="Calibri" w:hAnsi="Arial" w:cs="Arial"/>
          <w:sz w:val="20"/>
          <w:szCs w:val="20"/>
        </w:rPr>
      </w:pPr>
    </w:p>
    <w:tbl>
      <w:tblPr>
        <w:tblW w:w="13525" w:type="dxa"/>
        <w:jc w:val="center"/>
        <w:tblLayout w:type="fixed"/>
        <w:tblLook w:val="04A0" w:firstRow="1" w:lastRow="0" w:firstColumn="1" w:lastColumn="0" w:noHBand="0" w:noVBand="1"/>
      </w:tblPr>
      <w:tblGrid>
        <w:gridCol w:w="2952"/>
        <w:gridCol w:w="2572"/>
        <w:gridCol w:w="1099"/>
        <w:gridCol w:w="1134"/>
        <w:gridCol w:w="1232"/>
        <w:gridCol w:w="1134"/>
        <w:gridCol w:w="1134"/>
        <w:gridCol w:w="1134"/>
        <w:gridCol w:w="1134"/>
      </w:tblGrid>
      <w:tr w:rsidR="00676A9B" w:rsidRPr="00676A9B" w14:paraId="652FC2C7" w14:textId="77777777" w:rsidTr="00410A4B">
        <w:trPr>
          <w:jc w:val="center"/>
        </w:trPr>
        <w:tc>
          <w:tcPr>
            <w:tcW w:w="295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ACB9165" w14:textId="77777777" w:rsidR="00676A9B" w:rsidRPr="00676A9B" w:rsidRDefault="00676A9B" w:rsidP="00676A9B">
            <w:pPr>
              <w:spacing w:after="0" w:line="240" w:lineRule="auto"/>
              <w:jc w:val="center"/>
              <w:rPr>
                <w:rFonts w:ascii="Arial" w:eastAsia="Calibri" w:hAnsi="Arial" w:cs="Arial"/>
                <w:sz w:val="20"/>
                <w:szCs w:val="20"/>
              </w:rPr>
            </w:pPr>
            <w:r w:rsidRPr="00676A9B">
              <w:rPr>
                <w:rFonts w:ascii="Arial" w:eastAsia="Calibri" w:hAnsi="Arial" w:cs="Arial"/>
                <w:sz w:val="20"/>
                <w:szCs w:val="20"/>
              </w:rPr>
              <w:lastRenderedPageBreak/>
              <w:t>Pokazatelj rezultata</w:t>
            </w:r>
          </w:p>
        </w:tc>
        <w:tc>
          <w:tcPr>
            <w:tcW w:w="257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E957F59" w14:textId="77777777" w:rsidR="00676A9B" w:rsidRPr="00676A9B" w:rsidRDefault="00676A9B" w:rsidP="00676A9B">
            <w:pPr>
              <w:spacing w:after="0" w:line="240" w:lineRule="auto"/>
              <w:jc w:val="center"/>
              <w:rPr>
                <w:rFonts w:ascii="Arial" w:eastAsia="Calibri" w:hAnsi="Arial" w:cs="Arial"/>
                <w:sz w:val="20"/>
                <w:szCs w:val="20"/>
              </w:rPr>
            </w:pPr>
            <w:r w:rsidRPr="00676A9B">
              <w:rPr>
                <w:rFonts w:ascii="Arial" w:eastAsia="Calibri" w:hAnsi="Arial" w:cs="Arial"/>
                <w:sz w:val="20"/>
                <w:szCs w:val="20"/>
              </w:rPr>
              <w:t>Definicija</w:t>
            </w:r>
          </w:p>
        </w:tc>
        <w:tc>
          <w:tcPr>
            <w:tcW w:w="10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84340E4" w14:textId="77777777" w:rsidR="00676A9B" w:rsidRPr="00676A9B" w:rsidRDefault="00676A9B" w:rsidP="00676A9B">
            <w:pPr>
              <w:spacing w:after="0" w:line="240" w:lineRule="auto"/>
              <w:jc w:val="center"/>
              <w:rPr>
                <w:rFonts w:ascii="Arial" w:eastAsia="Calibri" w:hAnsi="Arial" w:cs="Arial"/>
                <w:sz w:val="20"/>
                <w:szCs w:val="20"/>
              </w:rPr>
            </w:pPr>
            <w:r w:rsidRPr="00676A9B">
              <w:rPr>
                <w:rFonts w:ascii="Arial" w:eastAsia="Calibri" w:hAnsi="Arial" w:cs="Arial"/>
                <w:sz w:val="20"/>
                <w:szCs w:val="20"/>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71D3037" w14:textId="77777777" w:rsidR="00676A9B" w:rsidRPr="00676A9B" w:rsidRDefault="00676A9B" w:rsidP="00676A9B">
            <w:pPr>
              <w:spacing w:after="0" w:line="240" w:lineRule="auto"/>
              <w:jc w:val="center"/>
              <w:rPr>
                <w:rFonts w:ascii="Arial" w:eastAsia="Calibri" w:hAnsi="Arial" w:cs="Arial"/>
                <w:sz w:val="20"/>
                <w:szCs w:val="20"/>
              </w:rPr>
            </w:pPr>
            <w:r w:rsidRPr="00676A9B">
              <w:rPr>
                <w:rFonts w:ascii="Arial" w:eastAsia="Calibri" w:hAnsi="Arial" w:cs="Arial"/>
                <w:sz w:val="20"/>
                <w:szCs w:val="20"/>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5CF6919" w14:textId="6ABAEC96" w:rsidR="00676A9B" w:rsidRPr="00676A9B" w:rsidRDefault="00676A9B" w:rsidP="00676A9B">
            <w:pPr>
              <w:spacing w:after="0" w:line="240" w:lineRule="auto"/>
              <w:jc w:val="center"/>
              <w:rPr>
                <w:rFonts w:ascii="Arial" w:eastAsia="Calibri" w:hAnsi="Arial" w:cs="Arial"/>
                <w:sz w:val="20"/>
                <w:szCs w:val="20"/>
              </w:rPr>
            </w:pPr>
            <w:r w:rsidRPr="00676A9B">
              <w:rPr>
                <w:rFonts w:ascii="Arial" w:eastAsia="Calibri" w:hAnsi="Arial" w:cs="Arial"/>
                <w:sz w:val="20"/>
                <w:szCs w:val="20"/>
              </w:rPr>
              <w:t>Polazna vrijednost 202</w:t>
            </w:r>
            <w:r w:rsidR="007E2538">
              <w:rPr>
                <w:rFonts w:ascii="Arial" w:eastAsia="Calibri" w:hAnsi="Arial" w:cs="Arial"/>
                <w:sz w:val="20"/>
                <w:szCs w:val="20"/>
              </w:rPr>
              <w:t>4</w:t>
            </w:r>
            <w:r w:rsidRPr="00676A9B">
              <w:rPr>
                <w:rFonts w:ascii="Arial" w:eastAsia="Calibri"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10FFC9FD" w14:textId="1B8243B6" w:rsidR="00676A9B" w:rsidRPr="00676A9B" w:rsidRDefault="00676A9B" w:rsidP="00676A9B">
            <w:pPr>
              <w:spacing w:after="0" w:line="240" w:lineRule="auto"/>
              <w:jc w:val="center"/>
              <w:rPr>
                <w:rFonts w:ascii="Arial" w:eastAsia="Calibri" w:hAnsi="Arial" w:cs="Arial"/>
                <w:sz w:val="20"/>
                <w:szCs w:val="20"/>
              </w:rPr>
            </w:pPr>
            <w:r w:rsidRPr="00676A9B">
              <w:rPr>
                <w:rFonts w:ascii="Arial" w:eastAsia="Calibri" w:hAnsi="Arial" w:cs="Arial"/>
                <w:sz w:val="20"/>
                <w:szCs w:val="20"/>
              </w:rPr>
              <w:t>Ciljana vrijednost 202</w:t>
            </w:r>
            <w:r w:rsidR="007E2538">
              <w:rPr>
                <w:rFonts w:ascii="Arial" w:eastAsia="Calibri" w:hAnsi="Arial" w:cs="Arial"/>
                <w:sz w:val="20"/>
                <w:szCs w:val="20"/>
              </w:rPr>
              <w:t>5</w:t>
            </w:r>
            <w:r w:rsidRPr="00676A9B">
              <w:rPr>
                <w:rFonts w:ascii="Arial" w:eastAsia="Calibri"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FF4A396" w14:textId="2A008185" w:rsidR="00676A9B" w:rsidRPr="00676A9B" w:rsidRDefault="00676A9B" w:rsidP="00676A9B">
            <w:pPr>
              <w:spacing w:after="0" w:line="240" w:lineRule="auto"/>
              <w:jc w:val="center"/>
              <w:rPr>
                <w:rFonts w:ascii="Arial" w:eastAsia="Calibri" w:hAnsi="Arial" w:cs="Arial"/>
                <w:sz w:val="20"/>
                <w:szCs w:val="20"/>
              </w:rPr>
            </w:pPr>
            <w:r w:rsidRPr="00676A9B">
              <w:rPr>
                <w:rFonts w:ascii="Arial" w:eastAsia="Calibri" w:hAnsi="Arial" w:cs="Arial"/>
                <w:sz w:val="20"/>
                <w:szCs w:val="20"/>
              </w:rPr>
              <w:t>Izvršeno 202</w:t>
            </w:r>
            <w:r w:rsidR="007E2538">
              <w:rPr>
                <w:rFonts w:ascii="Arial" w:eastAsia="Calibri"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27347F92" w14:textId="6B8A49FF" w:rsidR="00676A9B" w:rsidRPr="00676A9B" w:rsidRDefault="00676A9B" w:rsidP="00676A9B">
            <w:pPr>
              <w:spacing w:after="0" w:line="240" w:lineRule="auto"/>
              <w:jc w:val="center"/>
              <w:rPr>
                <w:rFonts w:ascii="Arial" w:eastAsia="Calibri" w:hAnsi="Arial" w:cs="Arial"/>
                <w:sz w:val="20"/>
                <w:szCs w:val="20"/>
              </w:rPr>
            </w:pPr>
            <w:r w:rsidRPr="00676A9B">
              <w:rPr>
                <w:rFonts w:ascii="Arial" w:eastAsia="Calibri" w:hAnsi="Arial" w:cs="Arial"/>
                <w:sz w:val="20"/>
                <w:szCs w:val="20"/>
              </w:rPr>
              <w:t>Ciljana vrijednost 202</w:t>
            </w:r>
            <w:r w:rsidR="007E2538">
              <w:rPr>
                <w:rFonts w:ascii="Arial" w:eastAsia="Calibri" w:hAnsi="Arial" w:cs="Arial"/>
                <w:sz w:val="20"/>
                <w:szCs w:val="20"/>
              </w:rPr>
              <w:t>6</w:t>
            </w:r>
            <w:r w:rsidRPr="00676A9B">
              <w:rPr>
                <w:rFonts w:ascii="Arial" w:eastAsia="Calibri"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240EC1DB" w14:textId="1139276A" w:rsidR="00676A9B" w:rsidRPr="00676A9B" w:rsidRDefault="00676A9B" w:rsidP="00676A9B">
            <w:pPr>
              <w:spacing w:after="0" w:line="240" w:lineRule="auto"/>
              <w:jc w:val="center"/>
              <w:rPr>
                <w:rFonts w:ascii="Arial" w:eastAsia="Calibri" w:hAnsi="Arial" w:cs="Arial"/>
                <w:sz w:val="20"/>
                <w:szCs w:val="20"/>
              </w:rPr>
            </w:pPr>
            <w:r w:rsidRPr="00676A9B">
              <w:rPr>
                <w:rFonts w:ascii="Arial" w:eastAsia="Calibri" w:hAnsi="Arial" w:cs="Arial"/>
                <w:sz w:val="20"/>
                <w:szCs w:val="20"/>
              </w:rPr>
              <w:t>Ciljana vrijednost 202</w:t>
            </w:r>
            <w:r w:rsidR="007E2538">
              <w:rPr>
                <w:rFonts w:ascii="Arial" w:eastAsia="Calibri" w:hAnsi="Arial" w:cs="Arial"/>
                <w:sz w:val="20"/>
                <w:szCs w:val="20"/>
              </w:rPr>
              <w:t>7</w:t>
            </w:r>
            <w:r w:rsidRPr="00676A9B">
              <w:rPr>
                <w:rFonts w:ascii="Arial" w:eastAsia="Calibri" w:hAnsi="Arial" w:cs="Arial"/>
                <w:sz w:val="20"/>
                <w:szCs w:val="20"/>
              </w:rPr>
              <w:t>.</w:t>
            </w:r>
          </w:p>
        </w:tc>
      </w:tr>
      <w:tr w:rsidR="00676A9B" w:rsidRPr="00676A9B" w14:paraId="391F54CD" w14:textId="77777777" w:rsidTr="00DB6263">
        <w:trPr>
          <w:trHeight w:val="739"/>
          <w:jc w:val="center"/>
        </w:trPr>
        <w:tc>
          <w:tcPr>
            <w:tcW w:w="2952" w:type="dxa"/>
            <w:tcBorders>
              <w:top w:val="single" w:sz="4" w:space="0" w:color="auto"/>
              <w:left w:val="single" w:sz="4" w:space="0" w:color="auto"/>
              <w:bottom w:val="single" w:sz="4" w:space="0" w:color="auto"/>
              <w:right w:val="single" w:sz="4" w:space="0" w:color="auto"/>
            </w:tcBorders>
          </w:tcPr>
          <w:p w14:paraId="74502C6C" w14:textId="77777777" w:rsidR="00676A9B" w:rsidRPr="00676A9B" w:rsidRDefault="00676A9B" w:rsidP="00676A9B">
            <w:pPr>
              <w:spacing w:after="0" w:line="240" w:lineRule="auto"/>
              <w:rPr>
                <w:rFonts w:ascii="Arial" w:eastAsia="Calibri" w:hAnsi="Arial" w:cs="Arial"/>
                <w:sz w:val="20"/>
                <w:szCs w:val="20"/>
              </w:rPr>
            </w:pPr>
            <w:r w:rsidRPr="00676A9B">
              <w:rPr>
                <w:rFonts w:ascii="Arial" w:eastAsia="Calibri" w:hAnsi="Arial" w:cs="Arial"/>
                <w:sz w:val="20"/>
                <w:szCs w:val="20"/>
              </w:rPr>
              <w:t>Isplaćene naknade korisnicima-roditeljima za dijete</w:t>
            </w:r>
          </w:p>
        </w:tc>
        <w:tc>
          <w:tcPr>
            <w:tcW w:w="2572" w:type="dxa"/>
            <w:tcBorders>
              <w:top w:val="single" w:sz="4" w:space="0" w:color="auto"/>
              <w:left w:val="single" w:sz="4" w:space="0" w:color="auto"/>
              <w:bottom w:val="single" w:sz="4" w:space="0" w:color="auto"/>
              <w:right w:val="single" w:sz="4" w:space="0" w:color="auto"/>
            </w:tcBorders>
          </w:tcPr>
          <w:p w14:paraId="42C52D29" w14:textId="77777777" w:rsidR="00676A9B" w:rsidRPr="00DB6263" w:rsidRDefault="00676A9B" w:rsidP="00676A9B">
            <w:pPr>
              <w:spacing w:after="0" w:line="240" w:lineRule="auto"/>
              <w:rPr>
                <w:rFonts w:ascii="Arial" w:eastAsia="Calibri" w:hAnsi="Arial" w:cs="Arial"/>
                <w:sz w:val="16"/>
                <w:szCs w:val="16"/>
              </w:rPr>
            </w:pPr>
            <w:r w:rsidRPr="00DB6263">
              <w:rPr>
                <w:rFonts w:ascii="Arial" w:eastAsia="Calibri" w:hAnsi="Arial" w:cs="Arial"/>
                <w:sz w:val="16"/>
                <w:szCs w:val="16"/>
              </w:rPr>
              <w:t>Isplatom naknade pruža se roditeljima podrška u opremanju novorođenog djeteta i pokrivanju drugih troškova</w:t>
            </w:r>
          </w:p>
        </w:tc>
        <w:tc>
          <w:tcPr>
            <w:tcW w:w="1099" w:type="dxa"/>
            <w:tcBorders>
              <w:top w:val="single" w:sz="4" w:space="0" w:color="auto"/>
              <w:left w:val="single" w:sz="4" w:space="0" w:color="auto"/>
              <w:bottom w:val="single" w:sz="4" w:space="0" w:color="auto"/>
              <w:right w:val="single" w:sz="4" w:space="0" w:color="auto"/>
            </w:tcBorders>
            <w:vAlign w:val="center"/>
            <w:hideMark/>
          </w:tcPr>
          <w:p w14:paraId="21625689"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Broj naknada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9E9B09"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3AE9D3B" w14:textId="77777777" w:rsidR="00676A9B" w:rsidRPr="00676A9B" w:rsidRDefault="00676A9B" w:rsidP="00676A9B">
            <w:pPr>
              <w:spacing w:after="0" w:line="240" w:lineRule="auto"/>
              <w:jc w:val="center"/>
              <w:rPr>
                <w:rFonts w:ascii="Arial" w:eastAsia="Calibri" w:hAnsi="Arial" w:cs="Arial"/>
                <w:sz w:val="20"/>
                <w:szCs w:val="20"/>
              </w:rPr>
            </w:pPr>
            <w:r w:rsidRPr="00676A9B">
              <w:rPr>
                <w:rFonts w:ascii="Arial" w:eastAsia="Calibri" w:hAnsi="Arial" w:cs="Arial"/>
                <w:sz w:val="20"/>
                <w:szCs w:val="20"/>
              </w:rPr>
              <w:t>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CD2CF07" w14:textId="5E9BFB2D" w:rsidR="00676A9B" w:rsidRPr="00676A9B" w:rsidRDefault="007E2538" w:rsidP="00676A9B">
            <w:pPr>
              <w:spacing w:after="0" w:line="240" w:lineRule="auto"/>
              <w:jc w:val="center"/>
              <w:rPr>
                <w:rFonts w:ascii="Arial" w:eastAsia="Calibri" w:hAnsi="Arial" w:cs="Arial"/>
                <w:sz w:val="20"/>
                <w:szCs w:val="20"/>
              </w:rPr>
            </w:pPr>
            <w:r>
              <w:rPr>
                <w:rFonts w:ascii="Arial" w:eastAsia="Calibri" w:hAnsi="Arial" w:cs="Arial"/>
                <w:sz w:val="20"/>
                <w:szCs w:val="20"/>
              </w:rPr>
              <w:t>90</w:t>
            </w:r>
          </w:p>
        </w:tc>
        <w:tc>
          <w:tcPr>
            <w:tcW w:w="1134" w:type="dxa"/>
            <w:tcBorders>
              <w:top w:val="single" w:sz="4" w:space="0" w:color="000000"/>
              <w:left w:val="single" w:sz="4" w:space="0" w:color="000000"/>
              <w:bottom w:val="single" w:sz="4" w:space="0" w:color="000000"/>
              <w:right w:val="single" w:sz="4" w:space="0" w:color="000000"/>
            </w:tcBorders>
            <w:vAlign w:val="center"/>
          </w:tcPr>
          <w:p w14:paraId="7E5D1D46" w14:textId="4A539D97" w:rsidR="00676A9B" w:rsidRPr="00676A9B" w:rsidRDefault="007E2538" w:rsidP="00676A9B">
            <w:pPr>
              <w:spacing w:after="0" w:line="240" w:lineRule="auto"/>
              <w:jc w:val="center"/>
              <w:rPr>
                <w:rFonts w:ascii="Arial" w:eastAsia="Calibri" w:hAnsi="Arial" w:cs="Arial"/>
                <w:sz w:val="20"/>
                <w:szCs w:val="20"/>
              </w:rPr>
            </w:pPr>
            <w:r>
              <w:rPr>
                <w:rFonts w:ascii="Arial" w:eastAsia="Calibri" w:hAnsi="Arial" w:cs="Arial"/>
                <w:sz w:val="20"/>
                <w:szCs w:val="20"/>
              </w:rPr>
              <w:t>87</w:t>
            </w:r>
          </w:p>
        </w:tc>
        <w:tc>
          <w:tcPr>
            <w:tcW w:w="1134" w:type="dxa"/>
            <w:tcBorders>
              <w:top w:val="single" w:sz="4" w:space="0" w:color="000000"/>
              <w:left w:val="single" w:sz="4" w:space="0" w:color="000000"/>
              <w:bottom w:val="single" w:sz="4" w:space="0" w:color="000000"/>
              <w:right w:val="single" w:sz="4" w:space="0" w:color="000000"/>
            </w:tcBorders>
            <w:vAlign w:val="center"/>
          </w:tcPr>
          <w:p w14:paraId="55390F8C" w14:textId="44BB5391" w:rsidR="00676A9B" w:rsidRPr="00676A9B" w:rsidRDefault="007E2538" w:rsidP="00676A9B">
            <w:pPr>
              <w:spacing w:after="0" w:line="240" w:lineRule="auto"/>
              <w:jc w:val="center"/>
              <w:rPr>
                <w:rFonts w:ascii="Arial" w:eastAsia="Calibri" w:hAnsi="Arial" w:cs="Arial"/>
                <w:sz w:val="20"/>
                <w:szCs w:val="20"/>
              </w:rPr>
            </w:pPr>
            <w:r>
              <w:rPr>
                <w:rFonts w:ascii="Arial" w:eastAsia="Calibri" w:hAnsi="Arial" w:cs="Arial"/>
                <w:sz w:val="20"/>
                <w:szCs w:val="20"/>
              </w:rPr>
              <w:t>95</w:t>
            </w:r>
          </w:p>
        </w:tc>
        <w:tc>
          <w:tcPr>
            <w:tcW w:w="1134" w:type="dxa"/>
            <w:tcBorders>
              <w:top w:val="single" w:sz="4" w:space="0" w:color="000000"/>
              <w:left w:val="single" w:sz="4" w:space="0" w:color="000000"/>
              <w:bottom w:val="single" w:sz="4" w:space="0" w:color="000000"/>
              <w:right w:val="single" w:sz="4" w:space="0" w:color="000000"/>
            </w:tcBorders>
            <w:vAlign w:val="center"/>
          </w:tcPr>
          <w:p w14:paraId="0916574A" w14:textId="77777777" w:rsidR="00676A9B" w:rsidRPr="00676A9B" w:rsidRDefault="00676A9B" w:rsidP="00676A9B">
            <w:pPr>
              <w:spacing w:after="0" w:line="240" w:lineRule="auto"/>
              <w:jc w:val="center"/>
              <w:rPr>
                <w:rFonts w:ascii="Arial" w:eastAsia="Calibri" w:hAnsi="Arial" w:cs="Arial"/>
                <w:sz w:val="20"/>
                <w:szCs w:val="20"/>
              </w:rPr>
            </w:pPr>
            <w:r w:rsidRPr="00676A9B">
              <w:rPr>
                <w:rFonts w:ascii="Arial" w:eastAsia="Calibri" w:hAnsi="Arial" w:cs="Arial"/>
                <w:sz w:val="20"/>
                <w:szCs w:val="20"/>
              </w:rPr>
              <w:t>100</w:t>
            </w:r>
          </w:p>
        </w:tc>
      </w:tr>
    </w:tbl>
    <w:p w14:paraId="020508AE" w14:textId="77777777" w:rsidR="00676A9B" w:rsidRPr="00676A9B" w:rsidRDefault="00676A9B" w:rsidP="00676A9B">
      <w:pPr>
        <w:spacing w:after="0" w:line="240" w:lineRule="auto"/>
        <w:jc w:val="both"/>
        <w:rPr>
          <w:rFonts w:ascii="Arial" w:eastAsia="Calibri" w:hAnsi="Arial" w:cs="Arial"/>
          <w:sz w:val="20"/>
          <w:szCs w:val="20"/>
        </w:rPr>
      </w:pPr>
    </w:p>
    <w:p w14:paraId="162AA446" w14:textId="06301078"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4. A204004: Sufinanciranje prijevoza učenika i studenata </w:t>
      </w:r>
      <w:r w:rsidRPr="00676A9B">
        <w:rPr>
          <w:rFonts w:ascii="Arial" w:eastAsia="Calibri" w:hAnsi="Arial" w:cs="Arial"/>
          <w:sz w:val="20"/>
          <w:szCs w:val="20"/>
        </w:rPr>
        <w:t xml:space="preserve">- u sklopu navedene aktivnosti su rashodi za naknade građanima i kućanstvima u naravi, odnosno plaćanje dijela cijene učeničkih i studentskih pokaza (Libertas Dubrovnik d.o.o.). Učenicima srednjih škola (prema važećim propisima) sufinancira se cijena učeničkog pokaza u visini 25% s obzirom da se iz državnog proračuna sufinancira 75% cijene pokaza za srednjoškolce. </w:t>
      </w:r>
      <w:bookmarkStart w:id="394" w:name="_Hlk134797971"/>
      <w:r w:rsidRPr="00676A9B">
        <w:rPr>
          <w:rFonts w:ascii="Arial" w:eastAsia="Calibri" w:hAnsi="Arial" w:cs="Arial"/>
          <w:sz w:val="20"/>
          <w:szCs w:val="20"/>
        </w:rPr>
        <w:t xml:space="preserve">Studentima se sufinancira 50% cijene mjesečnog pokaza. </w:t>
      </w:r>
      <w:bookmarkEnd w:id="394"/>
      <w:r w:rsidRPr="00676A9B">
        <w:rPr>
          <w:rFonts w:ascii="Arial" w:eastAsia="Calibri" w:hAnsi="Arial" w:cs="Arial"/>
          <w:sz w:val="20"/>
          <w:szCs w:val="20"/>
        </w:rPr>
        <w:t xml:space="preserve">Učenički i studentski mjesečni pokaz iznosi 500 kn / 66,36 €. Planirana sredstva za provođenje navedene aktivnosti iznose </w:t>
      </w:r>
      <w:r w:rsidR="007E2538">
        <w:rPr>
          <w:rFonts w:ascii="Arial" w:eastAsia="Calibri" w:hAnsi="Arial" w:cs="Arial"/>
          <w:sz w:val="20"/>
          <w:szCs w:val="20"/>
        </w:rPr>
        <w:t>80</w:t>
      </w:r>
      <w:r w:rsidRPr="00676A9B">
        <w:rPr>
          <w:rFonts w:ascii="Arial" w:eastAsia="Calibri" w:hAnsi="Arial" w:cs="Arial"/>
          <w:sz w:val="20"/>
          <w:szCs w:val="20"/>
        </w:rPr>
        <w:t xml:space="preserve">.000 €. </w:t>
      </w:r>
    </w:p>
    <w:p w14:paraId="7CECD996" w14:textId="77777777" w:rsidR="00676A9B" w:rsidRPr="00676A9B" w:rsidRDefault="00676A9B" w:rsidP="00676A9B">
      <w:pPr>
        <w:spacing w:after="0" w:line="240" w:lineRule="auto"/>
        <w:jc w:val="both"/>
        <w:rPr>
          <w:rFonts w:ascii="Arial" w:eastAsia="Calibri" w:hAnsi="Arial" w:cs="Arial"/>
          <w:sz w:val="20"/>
          <w:szCs w:val="20"/>
        </w:rPr>
      </w:pPr>
      <w:bookmarkStart w:id="395" w:name="_Hlk103252503"/>
    </w:p>
    <w:p w14:paraId="25643D44" w14:textId="19827C60" w:rsidR="00676A9B" w:rsidRPr="00676A9B" w:rsidRDefault="00676A9B" w:rsidP="00676A9B">
      <w:pPr>
        <w:spacing w:after="0" w:line="240" w:lineRule="auto"/>
        <w:jc w:val="both"/>
        <w:rPr>
          <w:rFonts w:ascii="Arial" w:eastAsia="Calibri" w:hAnsi="Arial" w:cs="Arial"/>
          <w:sz w:val="20"/>
          <w:szCs w:val="20"/>
        </w:rPr>
      </w:pPr>
      <w:bookmarkStart w:id="396" w:name="_Hlk114752002"/>
      <w:r w:rsidRPr="00676A9B">
        <w:rPr>
          <w:rFonts w:ascii="Arial" w:eastAsia="Calibri" w:hAnsi="Arial" w:cs="Arial"/>
          <w:sz w:val="20"/>
          <w:szCs w:val="20"/>
        </w:rPr>
        <w:t xml:space="preserve">Izvršeno je </w:t>
      </w:r>
      <w:r w:rsidR="007E2538">
        <w:rPr>
          <w:rFonts w:ascii="Arial" w:eastAsia="Calibri" w:hAnsi="Arial" w:cs="Arial"/>
          <w:sz w:val="20"/>
          <w:szCs w:val="20"/>
        </w:rPr>
        <w:t>69.566,87</w:t>
      </w:r>
      <w:r w:rsidRPr="00676A9B">
        <w:rPr>
          <w:rFonts w:ascii="Arial" w:eastAsia="Calibri" w:hAnsi="Arial" w:cs="Arial"/>
          <w:sz w:val="20"/>
          <w:szCs w:val="20"/>
        </w:rPr>
        <w:t xml:space="preserve"> € ili 87,</w:t>
      </w:r>
      <w:r w:rsidR="007E2538">
        <w:rPr>
          <w:rFonts w:ascii="Arial" w:eastAsia="Calibri" w:hAnsi="Arial" w:cs="Arial"/>
          <w:sz w:val="20"/>
          <w:szCs w:val="20"/>
        </w:rPr>
        <w:t>0</w:t>
      </w:r>
      <w:r w:rsidRPr="00676A9B">
        <w:rPr>
          <w:rFonts w:ascii="Arial" w:eastAsia="Calibri" w:hAnsi="Arial" w:cs="Arial"/>
          <w:sz w:val="20"/>
          <w:szCs w:val="20"/>
        </w:rPr>
        <w:t xml:space="preserve">% i to </w:t>
      </w:r>
      <w:r w:rsidR="007E2538" w:rsidRPr="007E2538">
        <w:rPr>
          <w:rFonts w:ascii="Arial" w:eastAsia="Calibri" w:hAnsi="Arial" w:cs="Arial"/>
          <w:sz w:val="20"/>
          <w:szCs w:val="20"/>
        </w:rPr>
        <w:t>za prijevoz autobusima društva Libertas (</w:t>
      </w:r>
      <w:bookmarkStart w:id="397" w:name="_Hlk230540176"/>
      <w:r w:rsidR="007E2538" w:rsidRPr="007E2538">
        <w:rPr>
          <w:rFonts w:ascii="Arial" w:eastAsia="Calibri" w:hAnsi="Arial" w:cs="Arial"/>
          <w:sz w:val="20"/>
          <w:szCs w:val="20"/>
        </w:rPr>
        <w:t>prijevoz učenika srednjih škola 64.004,32 € - prosjek 383 učenika, odnosno od 361 do 382 učenika (u ljetnim mjesecima je sufinanciran prijevoz u visini 50% učenicima koji su išli na praksu</w:t>
      </w:r>
      <w:bookmarkEnd w:id="397"/>
      <w:r w:rsidR="007E2538" w:rsidRPr="007E2538">
        <w:rPr>
          <w:rFonts w:ascii="Arial" w:eastAsia="Calibri" w:hAnsi="Arial" w:cs="Arial"/>
          <w:sz w:val="20"/>
          <w:szCs w:val="20"/>
        </w:rPr>
        <w:t xml:space="preserve">); </w:t>
      </w:r>
      <w:bookmarkStart w:id="398" w:name="_Hlk230540208"/>
      <w:r w:rsidR="007E2538" w:rsidRPr="007E2538">
        <w:rPr>
          <w:rFonts w:ascii="Arial" w:eastAsia="Calibri" w:hAnsi="Arial" w:cs="Arial"/>
          <w:sz w:val="20"/>
          <w:szCs w:val="20"/>
        </w:rPr>
        <w:t>prijevoz studenata 4.080,55 € - prosjek 11 studenta, odnosno od 6 do 15 studenta</w:t>
      </w:r>
      <w:bookmarkEnd w:id="398"/>
      <w:r w:rsidR="007E2538" w:rsidRPr="007E2538">
        <w:rPr>
          <w:rFonts w:ascii="Arial" w:eastAsia="Calibri" w:hAnsi="Arial" w:cs="Arial"/>
          <w:sz w:val="20"/>
          <w:szCs w:val="20"/>
        </w:rPr>
        <w:t xml:space="preserve">), dok </w:t>
      </w:r>
      <w:bookmarkStart w:id="399" w:name="_Hlk230540271"/>
      <w:r w:rsidR="007E2538" w:rsidRPr="007E2538">
        <w:rPr>
          <w:rFonts w:ascii="Arial" w:eastAsia="Calibri" w:hAnsi="Arial" w:cs="Arial"/>
          <w:sz w:val="20"/>
          <w:szCs w:val="20"/>
        </w:rPr>
        <w:t>sufinanciranje prijevoza u novcu studentima izvan Dubrovnika iznosi 1</w:t>
      </w:r>
      <w:r w:rsidR="0081509D">
        <w:rPr>
          <w:rFonts w:ascii="Arial" w:eastAsia="Calibri" w:hAnsi="Arial" w:cs="Arial"/>
          <w:sz w:val="20"/>
          <w:szCs w:val="20"/>
        </w:rPr>
        <w:t>.</w:t>
      </w:r>
      <w:r w:rsidR="007E2538" w:rsidRPr="007E2538">
        <w:rPr>
          <w:rFonts w:ascii="Arial" w:eastAsia="Calibri" w:hAnsi="Arial" w:cs="Arial"/>
          <w:sz w:val="20"/>
          <w:szCs w:val="20"/>
        </w:rPr>
        <w:t>482,00 € (21 student, od čega 11 studenata za dvije karte godišnje, a ostali su podnijeli zahtjev za jednu kartu</w:t>
      </w:r>
      <w:bookmarkEnd w:id="399"/>
      <w:r w:rsidR="007E2538" w:rsidRPr="007E2538">
        <w:rPr>
          <w:rFonts w:ascii="Arial" w:eastAsia="Calibri" w:hAnsi="Arial" w:cs="Arial"/>
          <w:sz w:val="20"/>
          <w:szCs w:val="20"/>
        </w:rPr>
        <w:t>).</w:t>
      </w:r>
      <w:r w:rsidRPr="00676A9B">
        <w:rPr>
          <w:rFonts w:ascii="Arial" w:eastAsia="Calibri" w:hAnsi="Arial" w:cs="Arial"/>
          <w:sz w:val="20"/>
          <w:szCs w:val="20"/>
        </w:rPr>
        <w:t xml:space="preserve"> </w:t>
      </w:r>
    </w:p>
    <w:p w14:paraId="118F113A" w14:textId="77777777" w:rsidR="00676A9B" w:rsidRPr="00676A9B" w:rsidRDefault="00676A9B" w:rsidP="00676A9B">
      <w:pPr>
        <w:spacing w:after="0" w:line="240" w:lineRule="auto"/>
        <w:jc w:val="both"/>
        <w:rPr>
          <w:rFonts w:ascii="Arial" w:eastAsia="Calibri" w:hAnsi="Arial" w:cs="Arial"/>
          <w:sz w:val="20"/>
          <w:szCs w:val="20"/>
        </w:rPr>
      </w:pPr>
    </w:p>
    <w:p w14:paraId="3894A866" w14:textId="5518A1CB" w:rsidR="00676A9B" w:rsidRPr="00676A9B" w:rsidRDefault="00A043F0" w:rsidP="00676A9B">
      <w:pPr>
        <w:spacing w:after="0" w:line="240" w:lineRule="auto"/>
        <w:ind w:left="567"/>
        <w:jc w:val="both"/>
        <w:rPr>
          <w:rFonts w:ascii="Arial" w:eastAsia="Calibri" w:hAnsi="Arial" w:cs="Arial"/>
          <w:sz w:val="18"/>
          <w:szCs w:val="18"/>
        </w:rPr>
      </w:pPr>
      <w:r>
        <w:rPr>
          <w:rFonts w:ascii="Arial" w:eastAsia="Calibri" w:hAnsi="Arial" w:cs="Arial"/>
          <w:sz w:val="18"/>
          <w:szCs w:val="18"/>
        </w:rPr>
        <w:t xml:space="preserve">U 2024. godini je bilo prosječno 12 studenata, u </w:t>
      </w:r>
      <w:r w:rsidR="00676A9B" w:rsidRPr="00676A9B">
        <w:rPr>
          <w:rFonts w:ascii="Arial" w:eastAsia="Calibri" w:hAnsi="Arial" w:cs="Arial"/>
          <w:sz w:val="18"/>
          <w:szCs w:val="18"/>
        </w:rPr>
        <w:t xml:space="preserve">2023. godini </w:t>
      </w:r>
      <w:r>
        <w:rPr>
          <w:rFonts w:ascii="Arial" w:eastAsia="Calibri" w:hAnsi="Arial" w:cs="Arial"/>
          <w:sz w:val="18"/>
          <w:szCs w:val="18"/>
        </w:rPr>
        <w:t xml:space="preserve">je </w:t>
      </w:r>
      <w:r w:rsidR="00676A9B" w:rsidRPr="00676A9B">
        <w:rPr>
          <w:rFonts w:ascii="Arial" w:eastAsia="Calibri" w:hAnsi="Arial" w:cs="Arial"/>
          <w:sz w:val="18"/>
          <w:szCs w:val="18"/>
        </w:rPr>
        <w:t>bilo ukupno 3 studenta, a u 2022. godini ukupno 7 studenta koji su koristili nadoknadu troškova prijevoza.</w:t>
      </w:r>
    </w:p>
    <w:p w14:paraId="3A0D3216" w14:textId="77777777" w:rsidR="00676A9B" w:rsidRPr="00676A9B" w:rsidRDefault="00676A9B" w:rsidP="00676A9B">
      <w:pPr>
        <w:spacing w:after="0" w:line="240" w:lineRule="auto"/>
        <w:ind w:left="567"/>
        <w:jc w:val="both"/>
        <w:rPr>
          <w:rFonts w:ascii="Arial" w:eastAsia="Calibri" w:hAnsi="Arial" w:cs="Arial"/>
          <w:sz w:val="18"/>
          <w:szCs w:val="18"/>
        </w:rPr>
      </w:pPr>
    </w:p>
    <w:bookmarkEnd w:id="395"/>
    <w:bookmarkEnd w:id="396"/>
    <w:p w14:paraId="27475873" w14:textId="77777777" w:rsidR="00676A9B" w:rsidRPr="00676A9B" w:rsidRDefault="00676A9B" w:rsidP="00676A9B">
      <w:pPr>
        <w:spacing w:after="0" w:line="240" w:lineRule="auto"/>
        <w:jc w:val="both"/>
        <w:rPr>
          <w:rFonts w:ascii="Arial" w:eastAsia="Calibri" w:hAnsi="Arial" w:cs="Arial"/>
          <w:iCs/>
          <w:sz w:val="20"/>
          <w:szCs w:val="20"/>
        </w:rPr>
      </w:pPr>
      <w:r w:rsidRPr="00676A9B">
        <w:rPr>
          <w:rFonts w:ascii="Arial" w:eastAsia="Calibri" w:hAnsi="Arial" w:cs="Arial"/>
          <w:iCs/>
          <w:sz w:val="20"/>
          <w:szCs w:val="20"/>
        </w:rPr>
        <w:t>Pravo na sufinanciranje troškova prijevoza imaju redovni studenti s prebivalištem u Općini Konavle koji se školuju izvan Dubrovnika u visini 50% cijene povratne karte, u i to dva puta godišnje uz predočenje putne povratne karte, ne više od 50,00 eura po jednoj povratnoj karti.</w:t>
      </w:r>
    </w:p>
    <w:p w14:paraId="7719012D" w14:textId="77777777" w:rsidR="00676A9B" w:rsidRPr="00676A9B" w:rsidRDefault="00676A9B" w:rsidP="00676A9B">
      <w:pPr>
        <w:spacing w:after="0" w:line="240" w:lineRule="auto"/>
        <w:jc w:val="both"/>
        <w:rPr>
          <w:rFonts w:ascii="Arial" w:eastAsia="Times New Roman" w:hAnsi="Arial" w:cs="Arial"/>
          <w:i/>
          <w:sz w:val="20"/>
          <w:szCs w:val="20"/>
        </w:rPr>
      </w:pPr>
    </w:p>
    <w:p w14:paraId="72A235CE" w14:textId="77777777" w:rsidR="00676A9B" w:rsidRPr="00676A9B" w:rsidRDefault="00676A9B" w:rsidP="00676A9B">
      <w:pPr>
        <w:spacing w:after="0" w:line="240" w:lineRule="auto"/>
        <w:jc w:val="both"/>
        <w:rPr>
          <w:rFonts w:ascii="Arial" w:eastAsia="Times New Roman" w:hAnsi="Arial" w:cs="Arial"/>
          <w:i/>
          <w:sz w:val="20"/>
          <w:szCs w:val="20"/>
        </w:rPr>
      </w:pPr>
      <w:r w:rsidRPr="00676A9B">
        <w:rPr>
          <w:rFonts w:ascii="Arial" w:eastAsia="Times New Roman" w:hAnsi="Arial" w:cs="Arial"/>
          <w:i/>
          <w:sz w:val="20"/>
          <w:szCs w:val="20"/>
        </w:rPr>
        <w:t>*Usporedba:</w:t>
      </w:r>
    </w:p>
    <w:tbl>
      <w:tblPr>
        <w:tblStyle w:val="Reetkatablice"/>
        <w:tblW w:w="0" w:type="auto"/>
        <w:jc w:val="center"/>
        <w:tblLook w:val="04A0" w:firstRow="1" w:lastRow="0" w:firstColumn="1" w:lastColumn="0" w:noHBand="0" w:noVBand="1"/>
      </w:tblPr>
      <w:tblGrid>
        <w:gridCol w:w="820"/>
        <w:gridCol w:w="1469"/>
        <w:gridCol w:w="1276"/>
        <w:gridCol w:w="2541"/>
        <w:gridCol w:w="996"/>
        <w:gridCol w:w="1155"/>
        <w:gridCol w:w="1152"/>
        <w:gridCol w:w="924"/>
        <w:gridCol w:w="1134"/>
      </w:tblGrid>
      <w:tr w:rsidR="00676A9B" w:rsidRPr="00676A9B" w14:paraId="3D71C260" w14:textId="77777777" w:rsidTr="00410A4B">
        <w:trPr>
          <w:jc w:val="center"/>
        </w:trPr>
        <w:tc>
          <w:tcPr>
            <w:tcW w:w="820" w:type="dxa"/>
            <w:vMerge w:val="restart"/>
            <w:tcBorders>
              <w:top w:val="double" w:sz="4" w:space="0" w:color="000000"/>
              <w:left w:val="double" w:sz="4" w:space="0" w:color="000000"/>
            </w:tcBorders>
            <w:vAlign w:val="center"/>
          </w:tcPr>
          <w:p w14:paraId="53F72309" w14:textId="77777777" w:rsidR="00676A9B" w:rsidRPr="00676A9B" w:rsidRDefault="00676A9B" w:rsidP="00676A9B">
            <w:pPr>
              <w:spacing w:before="100" w:beforeAutospacing="1" w:after="100" w:afterAutospacing="1"/>
              <w:jc w:val="center"/>
              <w:rPr>
                <w:rFonts w:ascii="Arial" w:hAnsi="Arial" w:cs="Arial"/>
                <w:i/>
                <w:sz w:val="18"/>
                <w:szCs w:val="18"/>
              </w:rPr>
            </w:pPr>
            <w:r w:rsidRPr="00676A9B">
              <w:rPr>
                <w:rFonts w:ascii="Arial" w:hAnsi="Arial" w:cs="Arial"/>
                <w:i/>
                <w:sz w:val="18"/>
                <w:szCs w:val="18"/>
              </w:rPr>
              <w:t>Godina</w:t>
            </w:r>
          </w:p>
        </w:tc>
        <w:tc>
          <w:tcPr>
            <w:tcW w:w="6282" w:type="dxa"/>
            <w:gridSpan w:val="4"/>
            <w:tcBorders>
              <w:top w:val="double" w:sz="4" w:space="0" w:color="000000"/>
            </w:tcBorders>
            <w:vAlign w:val="center"/>
          </w:tcPr>
          <w:p w14:paraId="4B07EC35" w14:textId="77777777" w:rsidR="00676A9B" w:rsidRPr="00676A9B" w:rsidRDefault="00676A9B" w:rsidP="00676A9B">
            <w:pPr>
              <w:spacing w:before="100" w:beforeAutospacing="1" w:after="100" w:afterAutospacing="1"/>
              <w:jc w:val="center"/>
              <w:rPr>
                <w:rFonts w:ascii="Arial" w:hAnsi="Arial" w:cs="Arial"/>
                <w:i/>
                <w:sz w:val="18"/>
                <w:szCs w:val="18"/>
              </w:rPr>
            </w:pPr>
            <w:r w:rsidRPr="00676A9B">
              <w:rPr>
                <w:rFonts w:ascii="Arial" w:hAnsi="Arial" w:cs="Arial"/>
                <w:b/>
                <w:i/>
                <w:sz w:val="18"/>
                <w:szCs w:val="18"/>
              </w:rPr>
              <w:t>prosječan</w:t>
            </w:r>
            <w:r w:rsidRPr="00676A9B">
              <w:rPr>
                <w:rFonts w:ascii="Arial" w:hAnsi="Arial" w:cs="Arial"/>
                <w:i/>
                <w:sz w:val="18"/>
                <w:szCs w:val="18"/>
              </w:rPr>
              <w:t xml:space="preserve"> broj korisnika</w:t>
            </w:r>
          </w:p>
        </w:tc>
        <w:tc>
          <w:tcPr>
            <w:tcW w:w="1155" w:type="dxa"/>
            <w:vMerge w:val="restart"/>
            <w:tcBorders>
              <w:top w:val="double" w:sz="4" w:space="0" w:color="000000"/>
            </w:tcBorders>
            <w:vAlign w:val="center"/>
          </w:tcPr>
          <w:p w14:paraId="09FD823A" w14:textId="77777777" w:rsidR="00676A9B" w:rsidRPr="00676A9B" w:rsidRDefault="00676A9B" w:rsidP="00676A9B">
            <w:pPr>
              <w:spacing w:before="100" w:beforeAutospacing="1" w:after="100" w:afterAutospacing="1"/>
              <w:jc w:val="center"/>
              <w:rPr>
                <w:rFonts w:ascii="Arial" w:hAnsi="Arial" w:cs="Arial"/>
                <w:b/>
                <w:bCs/>
                <w:i/>
                <w:sz w:val="18"/>
                <w:szCs w:val="18"/>
                <w:u w:val="single"/>
              </w:rPr>
            </w:pPr>
            <w:r w:rsidRPr="00676A9B">
              <w:rPr>
                <w:rFonts w:ascii="Arial" w:hAnsi="Arial" w:cs="Arial"/>
                <w:b/>
                <w:bCs/>
                <w:i/>
                <w:sz w:val="18"/>
                <w:szCs w:val="18"/>
                <w:u w:val="single"/>
              </w:rPr>
              <w:t xml:space="preserve">Iznos (€) </w:t>
            </w:r>
          </w:p>
          <w:p w14:paraId="5D799DCC" w14:textId="77777777" w:rsidR="00676A9B" w:rsidRPr="00676A9B" w:rsidRDefault="00676A9B" w:rsidP="00676A9B">
            <w:pPr>
              <w:spacing w:before="100" w:beforeAutospacing="1" w:after="100" w:afterAutospacing="1"/>
              <w:jc w:val="center"/>
              <w:rPr>
                <w:rFonts w:ascii="Arial" w:hAnsi="Arial" w:cs="Arial"/>
                <w:i/>
                <w:sz w:val="16"/>
                <w:szCs w:val="16"/>
                <w:u w:val="single"/>
              </w:rPr>
            </w:pPr>
          </w:p>
          <w:p w14:paraId="1DA773D4" w14:textId="77777777" w:rsidR="00676A9B" w:rsidRPr="00676A9B" w:rsidRDefault="00676A9B" w:rsidP="00676A9B">
            <w:pPr>
              <w:spacing w:before="100" w:beforeAutospacing="1" w:after="100" w:afterAutospacing="1"/>
              <w:jc w:val="center"/>
              <w:rPr>
                <w:rFonts w:ascii="Arial" w:hAnsi="Arial" w:cs="Arial"/>
                <w:iCs/>
                <w:sz w:val="14"/>
                <w:szCs w:val="14"/>
              </w:rPr>
            </w:pPr>
            <w:r w:rsidRPr="00676A9B">
              <w:rPr>
                <w:rFonts w:ascii="Arial" w:hAnsi="Arial" w:cs="Arial"/>
                <w:iCs/>
                <w:sz w:val="14"/>
                <w:szCs w:val="14"/>
              </w:rPr>
              <w:t>(izvršeno za prijevoz učenika i studenata stupci 2,3,4 i 5)</w:t>
            </w:r>
          </w:p>
        </w:tc>
        <w:tc>
          <w:tcPr>
            <w:tcW w:w="1152" w:type="dxa"/>
            <w:vMerge w:val="restart"/>
            <w:tcBorders>
              <w:top w:val="double" w:sz="4" w:space="0" w:color="000000"/>
            </w:tcBorders>
            <w:vAlign w:val="center"/>
          </w:tcPr>
          <w:p w14:paraId="3C1341E4" w14:textId="77777777" w:rsidR="00676A9B" w:rsidRPr="00676A9B" w:rsidRDefault="00676A9B" w:rsidP="00676A9B">
            <w:pPr>
              <w:spacing w:before="100" w:beforeAutospacing="1" w:after="100" w:afterAutospacing="1"/>
              <w:jc w:val="center"/>
              <w:rPr>
                <w:rFonts w:ascii="Arial" w:hAnsi="Arial" w:cs="Arial"/>
                <w:i/>
                <w:sz w:val="18"/>
                <w:szCs w:val="18"/>
                <w:u w:val="single"/>
              </w:rPr>
            </w:pPr>
            <w:r w:rsidRPr="00676A9B">
              <w:rPr>
                <w:rFonts w:ascii="Arial" w:hAnsi="Arial" w:cs="Arial"/>
                <w:iCs/>
                <w:sz w:val="14"/>
                <w:szCs w:val="14"/>
              </w:rPr>
              <w:t>Prijevoz s područja gdje nije organiziran javni prijevoz ili nije usklađen s školskim rasporedom (€)</w:t>
            </w:r>
          </w:p>
        </w:tc>
        <w:tc>
          <w:tcPr>
            <w:tcW w:w="924" w:type="dxa"/>
            <w:vMerge w:val="restart"/>
            <w:tcBorders>
              <w:top w:val="double" w:sz="4" w:space="0" w:color="000000"/>
            </w:tcBorders>
            <w:vAlign w:val="center"/>
          </w:tcPr>
          <w:p w14:paraId="49D3924E" w14:textId="77777777" w:rsidR="00676A9B" w:rsidRPr="00676A9B" w:rsidRDefault="00676A9B" w:rsidP="00676A9B">
            <w:pPr>
              <w:spacing w:before="100" w:beforeAutospacing="1" w:after="100" w:afterAutospacing="1"/>
              <w:jc w:val="center"/>
              <w:rPr>
                <w:rFonts w:ascii="Arial" w:hAnsi="Arial" w:cs="Arial"/>
                <w:iCs/>
                <w:sz w:val="14"/>
                <w:szCs w:val="14"/>
              </w:rPr>
            </w:pPr>
            <w:r w:rsidRPr="00676A9B">
              <w:rPr>
                <w:rFonts w:ascii="Arial" w:hAnsi="Arial" w:cs="Arial"/>
                <w:iCs/>
                <w:sz w:val="14"/>
                <w:szCs w:val="14"/>
              </w:rPr>
              <w:t>Prijevoz učenika osnovnih škola (dodatno)</w:t>
            </w:r>
          </w:p>
        </w:tc>
        <w:tc>
          <w:tcPr>
            <w:tcW w:w="1134" w:type="dxa"/>
            <w:vMerge w:val="restart"/>
            <w:tcBorders>
              <w:top w:val="double" w:sz="4" w:space="0" w:color="000000"/>
              <w:right w:val="double" w:sz="4" w:space="0" w:color="000000"/>
            </w:tcBorders>
            <w:vAlign w:val="center"/>
          </w:tcPr>
          <w:p w14:paraId="54A0A94E" w14:textId="77777777" w:rsidR="00676A9B" w:rsidRPr="00676A9B" w:rsidRDefault="00676A9B" w:rsidP="00676A9B">
            <w:pPr>
              <w:spacing w:before="100" w:beforeAutospacing="1" w:after="100" w:afterAutospacing="1"/>
              <w:jc w:val="center"/>
              <w:rPr>
                <w:rFonts w:ascii="Arial" w:hAnsi="Arial" w:cs="Arial"/>
                <w:i/>
                <w:sz w:val="18"/>
                <w:szCs w:val="18"/>
                <w:u w:val="single"/>
              </w:rPr>
            </w:pPr>
            <w:r w:rsidRPr="00676A9B">
              <w:rPr>
                <w:rFonts w:ascii="Arial" w:hAnsi="Arial" w:cs="Arial"/>
                <w:i/>
                <w:sz w:val="18"/>
                <w:szCs w:val="18"/>
                <w:u w:val="single"/>
              </w:rPr>
              <w:t xml:space="preserve">Prijevoz učenika i studenata ukupno </w:t>
            </w:r>
          </w:p>
          <w:p w14:paraId="328BEF8D" w14:textId="77777777" w:rsidR="00676A9B" w:rsidRPr="00676A9B" w:rsidRDefault="00676A9B" w:rsidP="00676A9B">
            <w:pPr>
              <w:spacing w:before="100" w:beforeAutospacing="1" w:after="100" w:afterAutospacing="1"/>
              <w:jc w:val="center"/>
              <w:rPr>
                <w:rFonts w:ascii="Arial" w:hAnsi="Arial" w:cs="Arial"/>
                <w:i/>
                <w:sz w:val="18"/>
                <w:szCs w:val="18"/>
                <w:u w:val="single"/>
              </w:rPr>
            </w:pPr>
            <w:r w:rsidRPr="00676A9B">
              <w:rPr>
                <w:rFonts w:ascii="Arial" w:hAnsi="Arial" w:cs="Arial"/>
                <w:i/>
                <w:sz w:val="18"/>
                <w:szCs w:val="18"/>
                <w:u w:val="single"/>
              </w:rPr>
              <w:t>(€)</w:t>
            </w:r>
          </w:p>
        </w:tc>
      </w:tr>
      <w:tr w:rsidR="00676A9B" w:rsidRPr="00676A9B" w14:paraId="7D1FC270" w14:textId="77777777" w:rsidTr="00410A4B">
        <w:trPr>
          <w:jc w:val="center"/>
        </w:trPr>
        <w:tc>
          <w:tcPr>
            <w:tcW w:w="820" w:type="dxa"/>
            <w:vMerge/>
            <w:tcBorders>
              <w:left w:val="double" w:sz="4" w:space="0" w:color="000000"/>
              <w:bottom w:val="double" w:sz="4" w:space="0" w:color="000000"/>
            </w:tcBorders>
            <w:vAlign w:val="center"/>
          </w:tcPr>
          <w:p w14:paraId="503AA1A9" w14:textId="77777777" w:rsidR="00676A9B" w:rsidRPr="00676A9B" w:rsidRDefault="00676A9B" w:rsidP="00676A9B">
            <w:pPr>
              <w:spacing w:before="100" w:beforeAutospacing="1" w:after="100" w:afterAutospacing="1"/>
              <w:jc w:val="center"/>
              <w:rPr>
                <w:rFonts w:ascii="Arial" w:hAnsi="Arial" w:cs="Arial"/>
                <w:sz w:val="18"/>
                <w:szCs w:val="18"/>
              </w:rPr>
            </w:pPr>
          </w:p>
        </w:tc>
        <w:tc>
          <w:tcPr>
            <w:tcW w:w="1469" w:type="dxa"/>
            <w:tcBorders>
              <w:bottom w:val="double" w:sz="4" w:space="0" w:color="000000"/>
            </w:tcBorders>
            <w:vAlign w:val="center"/>
          </w:tcPr>
          <w:p w14:paraId="7458A07D" w14:textId="77777777" w:rsidR="00676A9B" w:rsidRPr="00676A9B" w:rsidRDefault="00676A9B" w:rsidP="00676A9B">
            <w:pPr>
              <w:spacing w:before="100" w:beforeAutospacing="1" w:after="100" w:afterAutospacing="1"/>
              <w:jc w:val="center"/>
              <w:rPr>
                <w:rFonts w:ascii="Arial" w:hAnsi="Arial" w:cs="Arial"/>
                <w:i/>
                <w:sz w:val="18"/>
                <w:szCs w:val="18"/>
                <w:u w:val="single"/>
              </w:rPr>
            </w:pPr>
            <w:r w:rsidRPr="00676A9B">
              <w:rPr>
                <w:rFonts w:ascii="Arial" w:hAnsi="Arial" w:cs="Arial"/>
                <w:i/>
                <w:sz w:val="18"/>
                <w:szCs w:val="18"/>
                <w:u w:val="single"/>
              </w:rPr>
              <w:t>srednja škola</w:t>
            </w:r>
          </w:p>
        </w:tc>
        <w:tc>
          <w:tcPr>
            <w:tcW w:w="1276" w:type="dxa"/>
            <w:tcBorders>
              <w:bottom w:val="double" w:sz="4" w:space="0" w:color="000000"/>
            </w:tcBorders>
            <w:vAlign w:val="center"/>
          </w:tcPr>
          <w:p w14:paraId="0711E249" w14:textId="77777777" w:rsidR="00676A9B" w:rsidRPr="00676A9B" w:rsidRDefault="00676A9B" w:rsidP="00676A9B">
            <w:pPr>
              <w:spacing w:before="100" w:beforeAutospacing="1" w:after="100" w:afterAutospacing="1"/>
              <w:jc w:val="center"/>
              <w:rPr>
                <w:rFonts w:ascii="Arial" w:hAnsi="Arial" w:cs="Arial"/>
                <w:i/>
                <w:sz w:val="18"/>
                <w:szCs w:val="18"/>
                <w:u w:val="single"/>
              </w:rPr>
            </w:pPr>
            <w:r w:rsidRPr="00676A9B">
              <w:rPr>
                <w:rFonts w:ascii="Arial" w:hAnsi="Arial" w:cs="Arial"/>
                <w:i/>
                <w:sz w:val="18"/>
                <w:szCs w:val="18"/>
                <w:u w:val="single"/>
              </w:rPr>
              <w:t>studenti</w:t>
            </w:r>
          </w:p>
        </w:tc>
        <w:tc>
          <w:tcPr>
            <w:tcW w:w="2541" w:type="dxa"/>
            <w:tcBorders>
              <w:bottom w:val="double" w:sz="4" w:space="0" w:color="000000"/>
            </w:tcBorders>
            <w:vAlign w:val="center"/>
          </w:tcPr>
          <w:p w14:paraId="5422BC32" w14:textId="77777777" w:rsidR="00676A9B" w:rsidRPr="00676A9B" w:rsidRDefault="00676A9B" w:rsidP="00676A9B">
            <w:pPr>
              <w:spacing w:before="100" w:beforeAutospacing="1" w:after="100" w:afterAutospacing="1"/>
              <w:jc w:val="center"/>
              <w:rPr>
                <w:rFonts w:ascii="Arial" w:hAnsi="Arial" w:cs="Arial"/>
                <w:i/>
                <w:sz w:val="18"/>
                <w:szCs w:val="18"/>
              </w:rPr>
            </w:pPr>
            <w:r w:rsidRPr="00676A9B">
              <w:rPr>
                <w:rFonts w:ascii="Arial" w:hAnsi="Arial" w:cs="Arial"/>
                <w:i/>
                <w:sz w:val="18"/>
                <w:szCs w:val="18"/>
              </w:rPr>
              <w:t>izvannastavne aktivnosti</w:t>
            </w:r>
          </w:p>
        </w:tc>
        <w:tc>
          <w:tcPr>
            <w:tcW w:w="996" w:type="dxa"/>
            <w:tcBorders>
              <w:bottom w:val="double" w:sz="4" w:space="0" w:color="000000"/>
            </w:tcBorders>
            <w:vAlign w:val="center"/>
          </w:tcPr>
          <w:p w14:paraId="539AB469" w14:textId="77777777" w:rsidR="00676A9B" w:rsidRPr="00676A9B" w:rsidRDefault="00676A9B" w:rsidP="00676A9B">
            <w:pPr>
              <w:spacing w:before="100" w:beforeAutospacing="1" w:after="100" w:afterAutospacing="1"/>
              <w:jc w:val="center"/>
              <w:rPr>
                <w:rFonts w:ascii="Arial" w:hAnsi="Arial" w:cs="Arial"/>
                <w:i/>
                <w:sz w:val="18"/>
                <w:szCs w:val="18"/>
                <w:u w:val="single"/>
              </w:rPr>
            </w:pPr>
            <w:r w:rsidRPr="00676A9B">
              <w:rPr>
                <w:rFonts w:ascii="Arial" w:hAnsi="Arial" w:cs="Arial"/>
                <w:i/>
                <w:sz w:val="18"/>
                <w:szCs w:val="18"/>
                <w:u w:val="single"/>
              </w:rPr>
              <w:t>studenti izvan Dbk</w:t>
            </w:r>
          </w:p>
        </w:tc>
        <w:tc>
          <w:tcPr>
            <w:tcW w:w="1155" w:type="dxa"/>
            <w:vMerge/>
            <w:tcBorders>
              <w:bottom w:val="double" w:sz="4" w:space="0" w:color="000000"/>
            </w:tcBorders>
            <w:vAlign w:val="center"/>
          </w:tcPr>
          <w:p w14:paraId="71080FB6" w14:textId="77777777" w:rsidR="00676A9B" w:rsidRPr="00676A9B" w:rsidRDefault="00676A9B" w:rsidP="00676A9B">
            <w:pPr>
              <w:spacing w:before="100" w:beforeAutospacing="1" w:after="100" w:afterAutospacing="1"/>
              <w:jc w:val="center"/>
              <w:rPr>
                <w:rFonts w:ascii="Arial" w:hAnsi="Arial" w:cs="Arial"/>
                <w:sz w:val="18"/>
                <w:szCs w:val="18"/>
              </w:rPr>
            </w:pPr>
          </w:p>
        </w:tc>
        <w:tc>
          <w:tcPr>
            <w:tcW w:w="1152" w:type="dxa"/>
            <w:vMerge/>
            <w:tcBorders>
              <w:bottom w:val="double" w:sz="4" w:space="0" w:color="000000"/>
            </w:tcBorders>
            <w:vAlign w:val="center"/>
          </w:tcPr>
          <w:p w14:paraId="5D4FA4B6" w14:textId="77777777" w:rsidR="00676A9B" w:rsidRPr="00676A9B" w:rsidRDefault="00676A9B" w:rsidP="00676A9B">
            <w:pPr>
              <w:spacing w:before="100" w:beforeAutospacing="1" w:after="100" w:afterAutospacing="1"/>
              <w:jc w:val="center"/>
              <w:rPr>
                <w:rFonts w:ascii="Arial" w:hAnsi="Arial" w:cs="Arial"/>
                <w:sz w:val="18"/>
                <w:szCs w:val="18"/>
              </w:rPr>
            </w:pPr>
          </w:p>
        </w:tc>
        <w:tc>
          <w:tcPr>
            <w:tcW w:w="924" w:type="dxa"/>
            <w:vMerge/>
            <w:tcBorders>
              <w:bottom w:val="double" w:sz="4" w:space="0" w:color="000000"/>
            </w:tcBorders>
            <w:vAlign w:val="center"/>
          </w:tcPr>
          <w:p w14:paraId="536ED406" w14:textId="77777777" w:rsidR="00676A9B" w:rsidRPr="00676A9B" w:rsidRDefault="00676A9B" w:rsidP="00676A9B">
            <w:pPr>
              <w:spacing w:before="100" w:beforeAutospacing="1" w:after="100" w:afterAutospacing="1"/>
              <w:jc w:val="center"/>
              <w:rPr>
                <w:rFonts w:ascii="Arial" w:hAnsi="Arial" w:cs="Arial"/>
                <w:sz w:val="18"/>
                <w:szCs w:val="18"/>
              </w:rPr>
            </w:pPr>
          </w:p>
        </w:tc>
        <w:tc>
          <w:tcPr>
            <w:tcW w:w="1134" w:type="dxa"/>
            <w:vMerge/>
            <w:tcBorders>
              <w:bottom w:val="double" w:sz="4" w:space="0" w:color="000000"/>
              <w:right w:val="double" w:sz="4" w:space="0" w:color="000000"/>
            </w:tcBorders>
            <w:vAlign w:val="center"/>
          </w:tcPr>
          <w:p w14:paraId="5DC8D853" w14:textId="77777777" w:rsidR="00676A9B" w:rsidRPr="00676A9B" w:rsidRDefault="00676A9B" w:rsidP="00676A9B">
            <w:pPr>
              <w:spacing w:before="100" w:beforeAutospacing="1" w:after="100" w:afterAutospacing="1"/>
              <w:jc w:val="center"/>
              <w:rPr>
                <w:rFonts w:ascii="Arial" w:hAnsi="Arial" w:cs="Arial"/>
                <w:sz w:val="18"/>
                <w:szCs w:val="18"/>
              </w:rPr>
            </w:pPr>
          </w:p>
        </w:tc>
      </w:tr>
      <w:tr w:rsidR="00676A9B" w:rsidRPr="00676A9B" w14:paraId="52FD143D" w14:textId="77777777" w:rsidTr="00410A4B">
        <w:trPr>
          <w:trHeight w:val="276"/>
          <w:jc w:val="center"/>
        </w:trPr>
        <w:tc>
          <w:tcPr>
            <w:tcW w:w="820" w:type="dxa"/>
            <w:tcBorders>
              <w:top w:val="double" w:sz="4" w:space="0" w:color="000000"/>
              <w:left w:val="single" w:sz="4" w:space="0" w:color="000000"/>
              <w:bottom w:val="single" w:sz="4" w:space="0" w:color="000000"/>
              <w:right w:val="single" w:sz="4" w:space="0" w:color="000000"/>
            </w:tcBorders>
            <w:vAlign w:val="center"/>
          </w:tcPr>
          <w:p w14:paraId="46733E2B" w14:textId="77777777" w:rsidR="00676A9B" w:rsidRPr="00676A9B" w:rsidRDefault="00676A9B" w:rsidP="00676A9B">
            <w:pPr>
              <w:spacing w:before="100" w:beforeAutospacing="1" w:after="100" w:afterAutospacing="1"/>
              <w:jc w:val="center"/>
              <w:rPr>
                <w:rFonts w:ascii="Arial" w:hAnsi="Arial" w:cs="Arial"/>
                <w:i/>
                <w:iCs/>
                <w:sz w:val="14"/>
                <w:szCs w:val="14"/>
              </w:rPr>
            </w:pPr>
            <w:r w:rsidRPr="00676A9B">
              <w:rPr>
                <w:rFonts w:ascii="Arial" w:hAnsi="Arial" w:cs="Arial"/>
                <w:i/>
                <w:iCs/>
                <w:sz w:val="14"/>
                <w:szCs w:val="14"/>
              </w:rPr>
              <w:t>1</w:t>
            </w:r>
          </w:p>
        </w:tc>
        <w:tc>
          <w:tcPr>
            <w:tcW w:w="1469" w:type="dxa"/>
            <w:tcBorders>
              <w:top w:val="double" w:sz="4" w:space="0" w:color="000000"/>
              <w:left w:val="single" w:sz="4" w:space="0" w:color="000000"/>
              <w:bottom w:val="single" w:sz="4" w:space="0" w:color="000000"/>
              <w:right w:val="single" w:sz="4" w:space="0" w:color="000000"/>
            </w:tcBorders>
            <w:vAlign w:val="center"/>
          </w:tcPr>
          <w:p w14:paraId="4E24DEA6" w14:textId="77777777" w:rsidR="00676A9B" w:rsidRPr="00676A9B" w:rsidRDefault="00676A9B" w:rsidP="00676A9B">
            <w:pPr>
              <w:spacing w:before="100" w:beforeAutospacing="1" w:after="100" w:afterAutospacing="1"/>
              <w:jc w:val="center"/>
              <w:rPr>
                <w:rFonts w:ascii="Arial" w:hAnsi="Arial" w:cs="Arial"/>
                <w:i/>
                <w:iCs/>
                <w:sz w:val="14"/>
                <w:szCs w:val="14"/>
              </w:rPr>
            </w:pPr>
            <w:r w:rsidRPr="00676A9B">
              <w:rPr>
                <w:rFonts w:ascii="Arial" w:hAnsi="Arial" w:cs="Arial"/>
                <w:i/>
                <w:iCs/>
                <w:sz w:val="14"/>
                <w:szCs w:val="14"/>
              </w:rPr>
              <w:t>2</w:t>
            </w:r>
          </w:p>
        </w:tc>
        <w:tc>
          <w:tcPr>
            <w:tcW w:w="1276" w:type="dxa"/>
            <w:tcBorders>
              <w:top w:val="double" w:sz="4" w:space="0" w:color="000000"/>
              <w:left w:val="single" w:sz="4" w:space="0" w:color="000000"/>
              <w:bottom w:val="single" w:sz="4" w:space="0" w:color="000000"/>
              <w:right w:val="single" w:sz="4" w:space="0" w:color="000000"/>
            </w:tcBorders>
            <w:vAlign w:val="center"/>
          </w:tcPr>
          <w:p w14:paraId="777E56C6" w14:textId="77777777" w:rsidR="00676A9B" w:rsidRPr="00676A9B" w:rsidRDefault="00676A9B" w:rsidP="00676A9B">
            <w:pPr>
              <w:spacing w:before="100" w:beforeAutospacing="1" w:after="100" w:afterAutospacing="1"/>
              <w:jc w:val="center"/>
              <w:rPr>
                <w:rFonts w:ascii="Arial" w:hAnsi="Arial" w:cs="Arial"/>
                <w:i/>
                <w:iCs/>
                <w:sz w:val="14"/>
                <w:szCs w:val="14"/>
              </w:rPr>
            </w:pPr>
            <w:r w:rsidRPr="00676A9B">
              <w:rPr>
                <w:rFonts w:ascii="Arial" w:hAnsi="Arial" w:cs="Arial"/>
                <w:i/>
                <w:iCs/>
                <w:sz w:val="14"/>
                <w:szCs w:val="14"/>
              </w:rPr>
              <w:t>3</w:t>
            </w:r>
          </w:p>
        </w:tc>
        <w:tc>
          <w:tcPr>
            <w:tcW w:w="2541" w:type="dxa"/>
            <w:tcBorders>
              <w:top w:val="double" w:sz="4" w:space="0" w:color="000000"/>
              <w:left w:val="single" w:sz="4" w:space="0" w:color="000000"/>
              <w:bottom w:val="single" w:sz="4" w:space="0" w:color="000000"/>
              <w:right w:val="single" w:sz="4" w:space="0" w:color="000000"/>
            </w:tcBorders>
            <w:vAlign w:val="center"/>
          </w:tcPr>
          <w:p w14:paraId="44D3ED47" w14:textId="77777777" w:rsidR="00676A9B" w:rsidRPr="00676A9B" w:rsidRDefault="00676A9B" w:rsidP="00676A9B">
            <w:pPr>
              <w:spacing w:before="100" w:beforeAutospacing="1" w:after="100" w:afterAutospacing="1"/>
              <w:jc w:val="center"/>
              <w:rPr>
                <w:rFonts w:ascii="Arial" w:hAnsi="Arial" w:cs="Arial"/>
                <w:i/>
                <w:iCs/>
                <w:sz w:val="14"/>
                <w:szCs w:val="14"/>
              </w:rPr>
            </w:pPr>
            <w:r w:rsidRPr="00676A9B">
              <w:rPr>
                <w:rFonts w:ascii="Arial" w:hAnsi="Arial" w:cs="Arial"/>
                <w:i/>
                <w:iCs/>
                <w:sz w:val="14"/>
                <w:szCs w:val="14"/>
              </w:rPr>
              <w:t>4</w:t>
            </w:r>
          </w:p>
        </w:tc>
        <w:tc>
          <w:tcPr>
            <w:tcW w:w="996" w:type="dxa"/>
            <w:tcBorders>
              <w:top w:val="double" w:sz="4" w:space="0" w:color="000000"/>
              <w:left w:val="single" w:sz="4" w:space="0" w:color="000000"/>
              <w:bottom w:val="single" w:sz="4" w:space="0" w:color="000000"/>
              <w:right w:val="single" w:sz="4" w:space="0" w:color="000000"/>
            </w:tcBorders>
            <w:vAlign w:val="center"/>
          </w:tcPr>
          <w:p w14:paraId="1142A6AB" w14:textId="77777777" w:rsidR="00676A9B" w:rsidRPr="00676A9B" w:rsidRDefault="00676A9B" w:rsidP="00676A9B">
            <w:pPr>
              <w:spacing w:before="100" w:beforeAutospacing="1" w:after="100" w:afterAutospacing="1"/>
              <w:jc w:val="center"/>
              <w:rPr>
                <w:rFonts w:ascii="Arial" w:hAnsi="Arial" w:cs="Arial"/>
                <w:i/>
                <w:iCs/>
                <w:sz w:val="14"/>
                <w:szCs w:val="14"/>
              </w:rPr>
            </w:pPr>
            <w:r w:rsidRPr="00676A9B">
              <w:rPr>
                <w:rFonts w:ascii="Arial" w:hAnsi="Arial" w:cs="Arial"/>
                <w:i/>
                <w:iCs/>
                <w:sz w:val="14"/>
                <w:szCs w:val="14"/>
              </w:rPr>
              <w:t>5</w:t>
            </w:r>
          </w:p>
        </w:tc>
        <w:tc>
          <w:tcPr>
            <w:tcW w:w="1155" w:type="dxa"/>
            <w:tcBorders>
              <w:top w:val="double" w:sz="4" w:space="0" w:color="000000"/>
              <w:left w:val="single" w:sz="4" w:space="0" w:color="000000"/>
              <w:bottom w:val="single" w:sz="4" w:space="0" w:color="000000"/>
              <w:right w:val="single" w:sz="4" w:space="0" w:color="000000"/>
            </w:tcBorders>
            <w:vAlign w:val="center"/>
          </w:tcPr>
          <w:p w14:paraId="4500BAD9" w14:textId="77777777" w:rsidR="00676A9B" w:rsidRPr="00676A9B" w:rsidRDefault="00676A9B" w:rsidP="00676A9B">
            <w:pPr>
              <w:spacing w:before="100" w:beforeAutospacing="1" w:after="100" w:afterAutospacing="1"/>
              <w:jc w:val="center"/>
              <w:rPr>
                <w:rFonts w:ascii="Arial" w:hAnsi="Arial" w:cs="Arial"/>
                <w:i/>
                <w:iCs/>
                <w:sz w:val="14"/>
                <w:szCs w:val="14"/>
              </w:rPr>
            </w:pPr>
            <w:r w:rsidRPr="00676A9B">
              <w:rPr>
                <w:rFonts w:ascii="Arial" w:hAnsi="Arial" w:cs="Arial"/>
                <w:i/>
                <w:iCs/>
                <w:sz w:val="14"/>
                <w:szCs w:val="14"/>
              </w:rPr>
              <w:t>6</w:t>
            </w:r>
          </w:p>
          <w:p w14:paraId="480CF0AC" w14:textId="77777777" w:rsidR="00676A9B" w:rsidRPr="00676A9B" w:rsidRDefault="00676A9B" w:rsidP="00676A9B">
            <w:pPr>
              <w:spacing w:before="100" w:beforeAutospacing="1" w:after="100" w:afterAutospacing="1"/>
              <w:jc w:val="center"/>
              <w:rPr>
                <w:rFonts w:ascii="Arial" w:hAnsi="Arial" w:cs="Arial"/>
                <w:i/>
                <w:iCs/>
                <w:sz w:val="14"/>
                <w:szCs w:val="14"/>
              </w:rPr>
            </w:pPr>
            <w:r w:rsidRPr="00676A9B">
              <w:rPr>
                <w:rFonts w:ascii="Arial" w:hAnsi="Arial" w:cs="Arial"/>
                <w:i/>
                <w:iCs/>
                <w:sz w:val="14"/>
                <w:szCs w:val="14"/>
              </w:rPr>
              <w:t xml:space="preserve"> (2+3+4+5)</w:t>
            </w:r>
          </w:p>
        </w:tc>
        <w:tc>
          <w:tcPr>
            <w:tcW w:w="1152" w:type="dxa"/>
            <w:tcBorders>
              <w:top w:val="double" w:sz="4" w:space="0" w:color="000000"/>
              <w:left w:val="single" w:sz="4" w:space="0" w:color="000000"/>
              <w:bottom w:val="single" w:sz="4" w:space="0" w:color="000000"/>
              <w:right w:val="single" w:sz="4" w:space="0" w:color="000000"/>
            </w:tcBorders>
            <w:vAlign w:val="center"/>
          </w:tcPr>
          <w:p w14:paraId="3379C828" w14:textId="77777777" w:rsidR="00676A9B" w:rsidRPr="00676A9B" w:rsidRDefault="00676A9B" w:rsidP="00676A9B">
            <w:pPr>
              <w:spacing w:before="100" w:beforeAutospacing="1" w:after="100" w:afterAutospacing="1"/>
              <w:jc w:val="center"/>
              <w:rPr>
                <w:rFonts w:ascii="Arial" w:hAnsi="Arial" w:cs="Arial"/>
                <w:i/>
                <w:iCs/>
                <w:sz w:val="14"/>
                <w:szCs w:val="14"/>
              </w:rPr>
            </w:pPr>
            <w:r w:rsidRPr="00676A9B">
              <w:rPr>
                <w:rFonts w:ascii="Arial" w:hAnsi="Arial" w:cs="Arial"/>
                <w:i/>
                <w:iCs/>
                <w:sz w:val="14"/>
                <w:szCs w:val="14"/>
              </w:rPr>
              <w:t>7</w:t>
            </w:r>
          </w:p>
        </w:tc>
        <w:tc>
          <w:tcPr>
            <w:tcW w:w="924" w:type="dxa"/>
            <w:tcBorders>
              <w:top w:val="double" w:sz="4" w:space="0" w:color="000000"/>
              <w:left w:val="single" w:sz="4" w:space="0" w:color="000000"/>
              <w:bottom w:val="single" w:sz="4" w:space="0" w:color="000000"/>
              <w:right w:val="single" w:sz="4" w:space="0" w:color="000000"/>
            </w:tcBorders>
            <w:vAlign w:val="center"/>
          </w:tcPr>
          <w:p w14:paraId="62007FEB" w14:textId="77777777" w:rsidR="00676A9B" w:rsidRPr="00676A9B" w:rsidRDefault="00676A9B" w:rsidP="00676A9B">
            <w:pPr>
              <w:spacing w:before="100" w:beforeAutospacing="1" w:after="100" w:afterAutospacing="1"/>
              <w:jc w:val="center"/>
              <w:rPr>
                <w:rFonts w:ascii="Arial" w:hAnsi="Arial" w:cs="Arial"/>
                <w:i/>
                <w:iCs/>
                <w:sz w:val="14"/>
                <w:szCs w:val="14"/>
              </w:rPr>
            </w:pPr>
            <w:r w:rsidRPr="00676A9B">
              <w:rPr>
                <w:rFonts w:ascii="Arial" w:hAnsi="Arial" w:cs="Arial"/>
                <w:i/>
                <w:iCs/>
                <w:sz w:val="14"/>
                <w:szCs w:val="14"/>
              </w:rPr>
              <w:t>8</w:t>
            </w:r>
          </w:p>
        </w:tc>
        <w:tc>
          <w:tcPr>
            <w:tcW w:w="1134" w:type="dxa"/>
            <w:tcBorders>
              <w:top w:val="double" w:sz="4" w:space="0" w:color="000000"/>
              <w:left w:val="single" w:sz="4" w:space="0" w:color="000000"/>
              <w:bottom w:val="single" w:sz="4" w:space="0" w:color="000000"/>
              <w:right w:val="single" w:sz="4" w:space="0" w:color="000000"/>
            </w:tcBorders>
            <w:vAlign w:val="center"/>
          </w:tcPr>
          <w:p w14:paraId="48384EF6" w14:textId="77777777" w:rsidR="00676A9B" w:rsidRPr="00676A9B" w:rsidRDefault="00676A9B" w:rsidP="00676A9B">
            <w:pPr>
              <w:spacing w:before="100" w:beforeAutospacing="1" w:after="100" w:afterAutospacing="1"/>
              <w:jc w:val="center"/>
              <w:rPr>
                <w:rFonts w:ascii="Arial" w:hAnsi="Arial" w:cs="Arial"/>
                <w:i/>
                <w:iCs/>
                <w:sz w:val="14"/>
                <w:szCs w:val="14"/>
              </w:rPr>
            </w:pPr>
            <w:r w:rsidRPr="00676A9B">
              <w:rPr>
                <w:rFonts w:ascii="Arial" w:hAnsi="Arial" w:cs="Arial"/>
                <w:i/>
                <w:iCs/>
                <w:sz w:val="14"/>
                <w:szCs w:val="14"/>
              </w:rPr>
              <w:t>9.</w:t>
            </w:r>
          </w:p>
          <w:p w14:paraId="3339FF1F" w14:textId="77777777" w:rsidR="00676A9B" w:rsidRPr="00676A9B" w:rsidRDefault="00676A9B" w:rsidP="00676A9B">
            <w:pPr>
              <w:spacing w:before="100" w:beforeAutospacing="1" w:after="100" w:afterAutospacing="1"/>
              <w:jc w:val="center"/>
              <w:rPr>
                <w:rFonts w:ascii="Arial" w:hAnsi="Arial" w:cs="Arial"/>
                <w:i/>
                <w:iCs/>
                <w:sz w:val="14"/>
                <w:szCs w:val="14"/>
              </w:rPr>
            </w:pPr>
            <w:r w:rsidRPr="00676A9B">
              <w:rPr>
                <w:rFonts w:ascii="Arial" w:hAnsi="Arial" w:cs="Arial"/>
                <w:i/>
                <w:iCs/>
                <w:sz w:val="14"/>
                <w:szCs w:val="14"/>
              </w:rPr>
              <w:t>(6+7+8)</w:t>
            </w:r>
          </w:p>
        </w:tc>
      </w:tr>
      <w:tr w:rsidR="00676A9B" w:rsidRPr="00676A9B" w14:paraId="1D700D42" w14:textId="77777777" w:rsidTr="00410A4B">
        <w:trPr>
          <w:jc w:val="center"/>
        </w:trPr>
        <w:tc>
          <w:tcPr>
            <w:tcW w:w="820" w:type="dxa"/>
            <w:tcBorders>
              <w:top w:val="single" w:sz="4" w:space="0" w:color="000000"/>
            </w:tcBorders>
            <w:vAlign w:val="center"/>
          </w:tcPr>
          <w:p w14:paraId="51FE490B"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2014.</w:t>
            </w:r>
          </w:p>
        </w:tc>
        <w:tc>
          <w:tcPr>
            <w:tcW w:w="1469" w:type="dxa"/>
            <w:tcBorders>
              <w:top w:val="single" w:sz="4" w:space="0" w:color="000000"/>
            </w:tcBorders>
            <w:vAlign w:val="center"/>
          </w:tcPr>
          <w:p w14:paraId="2344FF84"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401</w:t>
            </w:r>
          </w:p>
        </w:tc>
        <w:tc>
          <w:tcPr>
            <w:tcW w:w="1276" w:type="dxa"/>
            <w:tcBorders>
              <w:top w:val="single" w:sz="4" w:space="0" w:color="000000"/>
            </w:tcBorders>
            <w:vAlign w:val="center"/>
          </w:tcPr>
          <w:p w14:paraId="290B4099"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73</w:t>
            </w:r>
          </w:p>
        </w:tc>
        <w:tc>
          <w:tcPr>
            <w:tcW w:w="2541" w:type="dxa"/>
            <w:tcBorders>
              <w:top w:val="single" w:sz="4" w:space="0" w:color="000000"/>
            </w:tcBorders>
            <w:vAlign w:val="center"/>
          </w:tcPr>
          <w:p w14:paraId="2FB9F8A9"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x</w:t>
            </w:r>
          </w:p>
        </w:tc>
        <w:tc>
          <w:tcPr>
            <w:tcW w:w="996" w:type="dxa"/>
            <w:tcBorders>
              <w:top w:val="single" w:sz="4" w:space="0" w:color="000000"/>
            </w:tcBorders>
            <w:vAlign w:val="center"/>
          </w:tcPr>
          <w:p w14:paraId="0C854563"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w:t>
            </w:r>
          </w:p>
        </w:tc>
        <w:tc>
          <w:tcPr>
            <w:tcW w:w="1155" w:type="dxa"/>
            <w:tcBorders>
              <w:top w:val="single" w:sz="4" w:space="0" w:color="000000"/>
            </w:tcBorders>
            <w:vAlign w:val="center"/>
          </w:tcPr>
          <w:p w14:paraId="6FC3A035"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84.796,60 €</w:t>
            </w:r>
          </w:p>
        </w:tc>
        <w:tc>
          <w:tcPr>
            <w:tcW w:w="1152" w:type="dxa"/>
            <w:tcBorders>
              <w:top w:val="single" w:sz="4" w:space="0" w:color="000000"/>
            </w:tcBorders>
            <w:vAlign w:val="center"/>
          </w:tcPr>
          <w:p w14:paraId="3EE608C4"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17.718,49 €</w:t>
            </w:r>
          </w:p>
        </w:tc>
        <w:tc>
          <w:tcPr>
            <w:tcW w:w="924" w:type="dxa"/>
            <w:tcBorders>
              <w:top w:val="single" w:sz="4" w:space="0" w:color="000000"/>
            </w:tcBorders>
            <w:vAlign w:val="center"/>
          </w:tcPr>
          <w:p w14:paraId="19EB1641"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w:t>
            </w:r>
          </w:p>
        </w:tc>
        <w:tc>
          <w:tcPr>
            <w:tcW w:w="1134" w:type="dxa"/>
            <w:tcBorders>
              <w:top w:val="single" w:sz="4" w:space="0" w:color="000000"/>
            </w:tcBorders>
            <w:vAlign w:val="center"/>
          </w:tcPr>
          <w:p w14:paraId="6AC1874A"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102.515,10 €</w:t>
            </w:r>
          </w:p>
        </w:tc>
      </w:tr>
      <w:tr w:rsidR="00676A9B" w:rsidRPr="00676A9B" w14:paraId="16FCE451" w14:textId="77777777" w:rsidTr="00410A4B">
        <w:trPr>
          <w:jc w:val="center"/>
        </w:trPr>
        <w:tc>
          <w:tcPr>
            <w:tcW w:w="820" w:type="dxa"/>
            <w:vAlign w:val="center"/>
          </w:tcPr>
          <w:p w14:paraId="6EB95B9D"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2015.</w:t>
            </w:r>
          </w:p>
        </w:tc>
        <w:tc>
          <w:tcPr>
            <w:tcW w:w="1469" w:type="dxa"/>
            <w:vAlign w:val="center"/>
          </w:tcPr>
          <w:p w14:paraId="57FC908B"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358</w:t>
            </w:r>
          </w:p>
        </w:tc>
        <w:tc>
          <w:tcPr>
            <w:tcW w:w="1276" w:type="dxa"/>
            <w:vAlign w:val="center"/>
          </w:tcPr>
          <w:p w14:paraId="0F41FDBD"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60</w:t>
            </w:r>
          </w:p>
        </w:tc>
        <w:tc>
          <w:tcPr>
            <w:tcW w:w="2541" w:type="dxa"/>
            <w:vAlign w:val="center"/>
          </w:tcPr>
          <w:p w14:paraId="71AFFBF2"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x</w:t>
            </w:r>
          </w:p>
        </w:tc>
        <w:tc>
          <w:tcPr>
            <w:tcW w:w="996" w:type="dxa"/>
            <w:vAlign w:val="center"/>
          </w:tcPr>
          <w:p w14:paraId="07616D47"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w:t>
            </w:r>
          </w:p>
        </w:tc>
        <w:tc>
          <w:tcPr>
            <w:tcW w:w="1155" w:type="dxa"/>
            <w:vAlign w:val="center"/>
          </w:tcPr>
          <w:p w14:paraId="3FA9E1BC"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w:t>
            </w:r>
          </w:p>
        </w:tc>
        <w:tc>
          <w:tcPr>
            <w:tcW w:w="1152" w:type="dxa"/>
            <w:vAlign w:val="center"/>
          </w:tcPr>
          <w:p w14:paraId="7345B1D3"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20,903,84 €</w:t>
            </w:r>
          </w:p>
        </w:tc>
        <w:tc>
          <w:tcPr>
            <w:tcW w:w="924" w:type="dxa"/>
            <w:vAlign w:val="center"/>
          </w:tcPr>
          <w:p w14:paraId="53C3E543"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w:t>
            </w:r>
          </w:p>
        </w:tc>
        <w:tc>
          <w:tcPr>
            <w:tcW w:w="1134" w:type="dxa"/>
            <w:vAlign w:val="center"/>
          </w:tcPr>
          <w:p w14:paraId="1D3F0DB0"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20.903,84 €</w:t>
            </w:r>
          </w:p>
        </w:tc>
      </w:tr>
      <w:tr w:rsidR="00676A9B" w:rsidRPr="00676A9B" w14:paraId="3E4D6917" w14:textId="77777777" w:rsidTr="00410A4B">
        <w:trPr>
          <w:jc w:val="center"/>
        </w:trPr>
        <w:tc>
          <w:tcPr>
            <w:tcW w:w="820" w:type="dxa"/>
            <w:vAlign w:val="center"/>
          </w:tcPr>
          <w:p w14:paraId="7ECFC6EC"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2016.</w:t>
            </w:r>
          </w:p>
        </w:tc>
        <w:tc>
          <w:tcPr>
            <w:tcW w:w="1469" w:type="dxa"/>
            <w:vAlign w:val="center"/>
          </w:tcPr>
          <w:p w14:paraId="040F413A"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334</w:t>
            </w:r>
          </w:p>
        </w:tc>
        <w:tc>
          <w:tcPr>
            <w:tcW w:w="1276" w:type="dxa"/>
            <w:vAlign w:val="center"/>
          </w:tcPr>
          <w:p w14:paraId="5845FA5A"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54</w:t>
            </w:r>
          </w:p>
        </w:tc>
        <w:tc>
          <w:tcPr>
            <w:tcW w:w="2541" w:type="dxa"/>
            <w:vAlign w:val="center"/>
          </w:tcPr>
          <w:p w14:paraId="0FA235F3"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x</w:t>
            </w:r>
          </w:p>
        </w:tc>
        <w:tc>
          <w:tcPr>
            <w:tcW w:w="996" w:type="dxa"/>
            <w:vAlign w:val="center"/>
          </w:tcPr>
          <w:p w14:paraId="5CFC6A4A"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w:t>
            </w:r>
          </w:p>
        </w:tc>
        <w:tc>
          <w:tcPr>
            <w:tcW w:w="1155" w:type="dxa"/>
            <w:vAlign w:val="center"/>
          </w:tcPr>
          <w:p w14:paraId="5A868FDE"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w:t>
            </w:r>
          </w:p>
        </w:tc>
        <w:tc>
          <w:tcPr>
            <w:tcW w:w="1152" w:type="dxa"/>
            <w:vAlign w:val="center"/>
          </w:tcPr>
          <w:p w14:paraId="774A2291"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20,903,84 €</w:t>
            </w:r>
          </w:p>
        </w:tc>
        <w:tc>
          <w:tcPr>
            <w:tcW w:w="924" w:type="dxa"/>
            <w:vAlign w:val="center"/>
          </w:tcPr>
          <w:p w14:paraId="721D1C98"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w:t>
            </w:r>
          </w:p>
        </w:tc>
        <w:tc>
          <w:tcPr>
            <w:tcW w:w="1134" w:type="dxa"/>
            <w:vAlign w:val="center"/>
          </w:tcPr>
          <w:p w14:paraId="61DEE03D"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20.903,84 €</w:t>
            </w:r>
          </w:p>
        </w:tc>
      </w:tr>
      <w:tr w:rsidR="00676A9B" w:rsidRPr="00676A9B" w14:paraId="54484DBF" w14:textId="77777777" w:rsidTr="00410A4B">
        <w:trPr>
          <w:jc w:val="center"/>
        </w:trPr>
        <w:tc>
          <w:tcPr>
            <w:tcW w:w="820" w:type="dxa"/>
            <w:vAlign w:val="center"/>
          </w:tcPr>
          <w:p w14:paraId="3AC56488"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2017.</w:t>
            </w:r>
          </w:p>
        </w:tc>
        <w:tc>
          <w:tcPr>
            <w:tcW w:w="1469" w:type="dxa"/>
            <w:vAlign w:val="center"/>
          </w:tcPr>
          <w:p w14:paraId="41AE92B1"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306</w:t>
            </w:r>
          </w:p>
        </w:tc>
        <w:tc>
          <w:tcPr>
            <w:tcW w:w="1276" w:type="dxa"/>
            <w:vAlign w:val="center"/>
          </w:tcPr>
          <w:p w14:paraId="613E6F9C"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60</w:t>
            </w:r>
          </w:p>
        </w:tc>
        <w:tc>
          <w:tcPr>
            <w:tcW w:w="2541" w:type="dxa"/>
            <w:vAlign w:val="center"/>
          </w:tcPr>
          <w:p w14:paraId="334C8F4F"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x</w:t>
            </w:r>
          </w:p>
        </w:tc>
        <w:tc>
          <w:tcPr>
            <w:tcW w:w="996" w:type="dxa"/>
            <w:vAlign w:val="center"/>
          </w:tcPr>
          <w:p w14:paraId="1B22A929"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w:t>
            </w:r>
          </w:p>
        </w:tc>
        <w:tc>
          <w:tcPr>
            <w:tcW w:w="1155" w:type="dxa"/>
            <w:vAlign w:val="center"/>
          </w:tcPr>
          <w:p w14:paraId="1BC04D1C"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74.119,05 €</w:t>
            </w:r>
          </w:p>
        </w:tc>
        <w:tc>
          <w:tcPr>
            <w:tcW w:w="1152" w:type="dxa"/>
            <w:vAlign w:val="center"/>
          </w:tcPr>
          <w:p w14:paraId="3B5ADC07"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20.671,58 €</w:t>
            </w:r>
          </w:p>
        </w:tc>
        <w:tc>
          <w:tcPr>
            <w:tcW w:w="924" w:type="dxa"/>
            <w:vAlign w:val="center"/>
          </w:tcPr>
          <w:p w14:paraId="27B7BC81"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w:t>
            </w:r>
          </w:p>
        </w:tc>
        <w:tc>
          <w:tcPr>
            <w:tcW w:w="1134" w:type="dxa"/>
            <w:vAlign w:val="center"/>
          </w:tcPr>
          <w:p w14:paraId="4EC77109"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94.790,63 €</w:t>
            </w:r>
          </w:p>
        </w:tc>
      </w:tr>
      <w:tr w:rsidR="00676A9B" w:rsidRPr="00676A9B" w14:paraId="521DA42D" w14:textId="77777777" w:rsidTr="00410A4B">
        <w:trPr>
          <w:jc w:val="center"/>
        </w:trPr>
        <w:tc>
          <w:tcPr>
            <w:tcW w:w="820" w:type="dxa"/>
            <w:vAlign w:val="center"/>
          </w:tcPr>
          <w:p w14:paraId="74DB6C4E"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2018.</w:t>
            </w:r>
          </w:p>
        </w:tc>
        <w:tc>
          <w:tcPr>
            <w:tcW w:w="1469" w:type="dxa"/>
            <w:vAlign w:val="center"/>
          </w:tcPr>
          <w:p w14:paraId="20D6D6F6"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305 (od 285 do 319)</w:t>
            </w:r>
          </w:p>
        </w:tc>
        <w:tc>
          <w:tcPr>
            <w:tcW w:w="1276" w:type="dxa"/>
            <w:vAlign w:val="center"/>
          </w:tcPr>
          <w:p w14:paraId="6D01611F"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 xml:space="preserve">41 (od 25 do 56) </w:t>
            </w:r>
          </w:p>
        </w:tc>
        <w:tc>
          <w:tcPr>
            <w:tcW w:w="2541" w:type="dxa"/>
            <w:vAlign w:val="center"/>
          </w:tcPr>
          <w:p w14:paraId="68F7E695"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49 (odnosno od 42 do 82)</w:t>
            </w:r>
          </w:p>
        </w:tc>
        <w:tc>
          <w:tcPr>
            <w:tcW w:w="996" w:type="dxa"/>
            <w:vAlign w:val="center"/>
          </w:tcPr>
          <w:p w14:paraId="0955D9F1"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5</w:t>
            </w:r>
          </w:p>
        </w:tc>
        <w:tc>
          <w:tcPr>
            <w:tcW w:w="1155" w:type="dxa"/>
            <w:vAlign w:val="center"/>
          </w:tcPr>
          <w:p w14:paraId="3D96B709"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69.268,03 €</w:t>
            </w:r>
          </w:p>
        </w:tc>
        <w:tc>
          <w:tcPr>
            <w:tcW w:w="1152" w:type="dxa"/>
            <w:vAlign w:val="center"/>
          </w:tcPr>
          <w:p w14:paraId="59F8AEDB"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20.439,31 €</w:t>
            </w:r>
          </w:p>
        </w:tc>
        <w:tc>
          <w:tcPr>
            <w:tcW w:w="924" w:type="dxa"/>
            <w:vAlign w:val="center"/>
          </w:tcPr>
          <w:p w14:paraId="3458F88D"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w:t>
            </w:r>
          </w:p>
        </w:tc>
        <w:tc>
          <w:tcPr>
            <w:tcW w:w="1134" w:type="dxa"/>
            <w:vAlign w:val="center"/>
          </w:tcPr>
          <w:p w14:paraId="54440FC4"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89.707,35 €</w:t>
            </w:r>
          </w:p>
        </w:tc>
      </w:tr>
      <w:tr w:rsidR="00676A9B" w:rsidRPr="00676A9B" w14:paraId="2B36A213" w14:textId="77777777" w:rsidTr="00410A4B">
        <w:trPr>
          <w:jc w:val="center"/>
        </w:trPr>
        <w:tc>
          <w:tcPr>
            <w:tcW w:w="820" w:type="dxa"/>
            <w:vAlign w:val="center"/>
          </w:tcPr>
          <w:p w14:paraId="5630213F"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2019.</w:t>
            </w:r>
          </w:p>
        </w:tc>
        <w:tc>
          <w:tcPr>
            <w:tcW w:w="1469" w:type="dxa"/>
            <w:vAlign w:val="center"/>
          </w:tcPr>
          <w:p w14:paraId="0F7851FF"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288 (od 274 do 294)</w:t>
            </w:r>
          </w:p>
        </w:tc>
        <w:tc>
          <w:tcPr>
            <w:tcW w:w="1276" w:type="dxa"/>
            <w:vAlign w:val="center"/>
          </w:tcPr>
          <w:p w14:paraId="15EE4A87"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34 (od 23 do 44)</w:t>
            </w:r>
          </w:p>
        </w:tc>
        <w:tc>
          <w:tcPr>
            <w:tcW w:w="2541" w:type="dxa"/>
            <w:vAlign w:val="center"/>
          </w:tcPr>
          <w:p w14:paraId="71ADDAEE"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w:t>
            </w:r>
            <w:r w:rsidRPr="00676A9B">
              <w:rPr>
                <w:rFonts w:ascii="Arial" w:eastAsia="Calibri" w:hAnsi="Arial" w:cs="Arial"/>
                <w:i/>
                <w:iCs/>
                <w:sz w:val="16"/>
                <w:szCs w:val="16"/>
              </w:rPr>
              <w:t xml:space="preserve"> A204112  (66, odnosno od 55 do 77)</w:t>
            </w:r>
          </w:p>
        </w:tc>
        <w:tc>
          <w:tcPr>
            <w:tcW w:w="996" w:type="dxa"/>
            <w:vAlign w:val="center"/>
          </w:tcPr>
          <w:p w14:paraId="35B4DE03"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14</w:t>
            </w:r>
          </w:p>
        </w:tc>
        <w:tc>
          <w:tcPr>
            <w:tcW w:w="1155" w:type="dxa"/>
            <w:vAlign w:val="center"/>
          </w:tcPr>
          <w:p w14:paraId="76B5F52C"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66.275,13 €</w:t>
            </w:r>
          </w:p>
        </w:tc>
        <w:tc>
          <w:tcPr>
            <w:tcW w:w="1152" w:type="dxa"/>
            <w:vAlign w:val="center"/>
          </w:tcPr>
          <w:p w14:paraId="3D8BA241"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18.929,59 €</w:t>
            </w:r>
          </w:p>
        </w:tc>
        <w:tc>
          <w:tcPr>
            <w:tcW w:w="924" w:type="dxa"/>
            <w:vAlign w:val="center"/>
          </w:tcPr>
          <w:p w14:paraId="30DC6876"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w:t>
            </w:r>
          </w:p>
        </w:tc>
        <w:tc>
          <w:tcPr>
            <w:tcW w:w="1134" w:type="dxa"/>
            <w:vAlign w:val="center"/>
          </w:tcPr>
          <w:p w14:paraId="12A05056"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85.204,72 €</w:t>
            </w:r>
          </w:p>
        </w:tc>
      </w:tr>
      <w:tr w:rsidR="00676A9B" w:rsidRPr="00676A9B" w14:paraId="3B8FC25C" w14:textId="77777777" w:rsidTr="00410A4B">
        <w:trPr>
          <w:jc w:val="center"/>
        </w:trPr>
        <w:tc>
          <w:tcPr>
            <w:tcW w:w="820" w:type="dxa"/>
            <w:vAlign w:val="center"/>
          </w:tcPr>
          <w:p w14:paraId="69F47A88"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lastRenderedPageBreak/>
              <w:t>2020.</w:t>
            </w:r>
          </w:p>
        </w:tc>
        <w:tc>
          <w:tcPr>
            <w:tcW w:w="1469" w:type="dxa"/>
            <w:vAlign w:val="center"/>
          </w:tcPr>
          <w:p w14:paraId="630DA61F"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312 (od 295 do 321)</w:t>
            </w:r>
          </w:p>
        </w:tc>
        <w:tc>
          <w:tcPr>
            <w:tcW w:w="1276" w:type="dxa"/>
            <w:vAlign w:val="center"/>
          </w:tcPr>
          <w:p w14:paraId="1DAAD0A0"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24 (od 11 do 38)</w:t>
            </w:r>
          </w:p>
        </w:tc>
        <w:tc>
          <w:tcPr>
            <w:tcW w:w="2541" w:type="dxa"/>
            <w:vAlign w:val="center"/>
          </w:tcPr>
          <w:p w14:paraId="3D124A0A"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w:t>
            </w:r>
            <w:r w:rsidRPr="00676A9B">
              <w:rPr>
                <w:rFonts w:ascii="Arial" w:eastAsia="Calibri" w:hAnsi="Arial" w:cs="Arial"/>
                <w:i/>
                <w:iCs/>
                <w:sz w:val="16"/>
                <w:szCs w:val="16"/>
              </w:rPr>
              <w:t xml:space="preserve"> A204112  (47, odnosno od 16 do 83)</w:t>
            </w:r>
          </w:p>
        </w:tc>
        <w:tc>
          <w:tcPr>
            <w:tcW w:w="996" w:type="dxa"/>
            <w:vAlign w:val="center"/>
          </w:tcPr>
          <w:p w14:paraId="01AF3927"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18</w:t>
            </w:r>
          </w:p>
        </w:tc>
        <w:tc>
          <w:tcPr>
            <w:tcW w:w="1155" w:type="dxa"/>
            <w:vAlign w:val="center"/>
          </w:tcPr>
          <w:p w14:paraId="3A3046A3"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49.330,15 €</w:t>
            </w:r>
          </w:p>
        </w:tc>
        <w:tc>
          <w:tcPr>
            <w:tcW w:w="1152" w:type="dxa"/>
            <w:vAlign w:val="center"/>
          </w:tcPr>
          <w:p w14:paraId="6912C144"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14.837,61 €</w:t>
            </w:r>
          </w:p>
        </w:tc>
        <w:tc>
          <w:tcPr>
            <w:tcW w:w="924" w:type="dxa"/>
            <w:vAlign w:val="center"/>
          </w:tcPr>
          <w:p w14:paraId="0F8D4DAF"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w:t>
            </w:r>
          </w:p>
        </w:tc>
        <w:tc>
          <w:tcPr>
            <w:tcW w:w="1134" w:type="dxa"/>
            <w:vAlign w:val="center"/>
          </w:tcPr>
          <w:p w14:paraId="3AE9EF57"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64.167,76 €</w:t>
            </w:r>
          </w:p>
        </w:tc>
      </w:tr>
      <w:tr w:rsidR="00676A9B" w:rsidRPr="00676A9B" w14:paraId="5F579D92" w14:textId="77777777" w:rsidTr="00410A4B">
        <w:trPr>
          <w:jc w:val="center"/>
        </w:trPr>
        <w:tc>
          <w:tcPr>
            <w:tcW w:w="820" w:type="dxa"/>
            <w:vAlign w:val="center"/>
          </w:tcPr>
          <w:p w14:paraId="15201087"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2021.</w:t>
            </w:r>
          </w:p>
        </w:tc>
        <w:tc>
          <w:tcPr>
            <w:tcW w:w="1469" w:type="dxa"/>
            <w:vAlign w:val="center"/>
          </w:tcPr>
          <w:p w14:paraId="0A26BB00"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279 (od 228 do 318)</w:t>
            </w:r>
          </w:p>
        </w:tc>
        <w:tc>
          <w:tcPr>
            <w:tcW w:w="1276" w:type="dxa"/>
            <w:vAlign w:val="center"/>
          </w:tcPr>
          <w:p w14:paraId="0AE0AC12"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13 (od 8 do 23)</w:t>
            </w:r>
          </w:p>
        </w:tc>
        <w:tc>
          <w:tcPr>
            <w:tcW w:w="2541" w:type="dxa"/>
            <w:vAlign w:val="center"/>
          </w:tcPr>
          <w:p w14:paraId="6835E370"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w:t>
            </w:r>
            <w:r w:rsidRPr="00676A9B">
              <w:rPr>
                <w:rFonts w:ascii="Arial" w:eastAsia="Calibri" w:hAnsi="Arial" w:cs="Arial"/>
                <w:i/>
                <w:iCs/>
                <w:sz w:val="16"/>
                <w:szCs w:val="16"/>
              </w:rPr>
              <w:t xml:space="preserve"> A204112  (44, odnosno od 18 do 55)</w:t>
            </w:r>
          </w:p>
        </w:tc>
        <w:tc>
          <w:tcPr>
            <w:tcW w:w="996" w:type="dxa"/>
            <w:vAlign w:val="center"/>
          </w:tcPr>
          <w:p w14:paraId="766322AA"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8</w:t>
            </w:r>
          </w:p>
        </w:tc>
        <w:tc>
          <w:tcPr>
            <w:tcW w:w="1155" w:type="dxa"/>
            <w:vAlign w:val="center"/>
          </w:tcPr>
          <w:p w14:paraId="5435D1F0"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54.259,87 €</w:t>
            </w:r>
          </w:p>
        </w:tc>
        <w:tc>
          <w:tcPr>
            <w:tcW w:w="1152" w:type="dxa"/>
            <w:vAlign w:val="center"/>
          </w:tcPr>
          <w:p w14:paraId="2FC3B988"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23.243,08 €</w:t>
            </w:r>
          </w:p>
        </w:tc>
        <w:tc>
          <w:tcPr>
            <w:tcW w:w="924" w:type="dxa"/>
            <w:vAlign w:val="center"/>
          </w:tcPr>
          <w:p w14:paraId="02B16BFA"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w:t>
            </w:r>
          </w:p>
        </w:tc>
        <w:tc>
          <w:tcPr>
            <w:tcW w:w="1134" w:type="dxa"/>
            <w:vAlign w:val="center"/>
          </w:tcPr>
          <w:p w14:paraId="6B8819EE"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77.502,95 €</w:t>
            </w:r>
          </w:p>
        </w:tc>
      </w:tr>
      <w:tr w:rsidR="00676A9B" w:rsidRPr="00676A9B" w14:paraId="00933C5A" w14:textId="77777777" w:rsidTr="00410A4B">
        <w:trPr>
          <w:jc w:val="center"/>
        </w:trPr>
        <w:tc>
          <w:tcPr>
            <w:tcW w:w="820" w:type="dxa"/>
            <w:vAlign w:val="center"/>
          </w:tcPr>
          <w:p w14:paraId="3F44E05A"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2022.</w:t>
            </w:r>
          </w:p>
        </w:tc>
        <w:tc>
          <w:tcPr>
            <w:tcW w:w="1469" w:type="dxa"/>
            <w:vAlign w:val="center"/>
          </w:tcPr>
          <w:p w14:paraId="505FAF44"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330 (od 295 do 367)</w:t>
            </w:r>
          </w:p>
        </w:tc>
        <w:tc>
          <w:tcPr>
            <w:tcW w:w="1276" w:type="dxa"/>
            <w:vAlign w:val="center"/>
          </w:tcPr>
          <w:p w14:paraId="01D3A3FD"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13 (od 9 do 21)</w:t>
            </w:r>
          </w:p>
        </w:tc>
        <w:tc>
          <w:tcPr>
            <w:tcW w:w="2541" w:type="dxa"/>
            <w:vAlign w:val="center"/>
          </w:tcPr>
          <w:p w14:paraId="2F46E40C"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w:t>
            </w:r>
            <w:r w:rsidRPr="00676A9B">
              <w:rPr>
                <w:rFonts w:ascii="Arial" w:eastAsia="Calibri" w:hAnsi="Arial" w:cs="Arial"/>
                <w:i/>
                <w:iCs/>
                <w:sz w:val="16"/>
                <w:szCs w:val="16"/>
              </w:rPr>
              <w:t xml:space="preserve"> A204112  (51, odnosno od 36 do 64)</w:t>
            </w:r>
          </w:p>
        </w:tc>
        <w:tc>
          <w:tcPr>
            <w:tcW w:w="996" w:type="dxa"/>
            <w:vAlign w:val="center"/>
          </w:tcPr>
          <w:p w14:paraId="4DA7709C"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5</w:t>
            </w:r>
          </w:p>
        </w:tc>
        <w:tc>
          <w:tcPr>
            <w:tcW w:w="1155" w:type="dxa"/>
            <w:vAlign w:val="center"/>
          </w:tcPr>
          <w:p w14:paraId="2B97EFC2"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64.373,35 €</w:t>
            </w:r>
          </w:p>
        </w:tc>
        <w:tc>
          <w:tcPr>
            <w:tcW w:w="1152" w:type="dxa"/>
            <w:vAlign w:val="center"/>
          </w:tcPr>
          <w:p w14:paraId="7ED5AC35"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24.615,60 €</w:t>
            </w:r>
          </w:p>
        </w:tc>
        <w:tc>
          <w:tcPr>
            <w:tcW w:w="924" w:type="dxa"/>
            <w:vAlign w:val="center"/>
          </w:tcPr>
          <w:p w14:paraId="663C5913"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w:t>
            </w:r>
          </w:p>
        </w:tc>
        <w:tc>
          <w:tcPr>
            <w:tcW w:w="1134" w:type="dxa"/>
            <w:vAlign w:val="center"/>
          </w:tcPr>
          <w:p w14:paraId="3432166E"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88.988,96 €</w:t>
            </w:r>
          </w:p>
        </w:tc>
      </w:tr>
      <w:tr w:rsidR="00676A9B" w:rsidRPr="00676A9B" w14:paraId="4FFCFDC5" w14:textId="77777777" w:rsidTr="00410A4B">
        <w:trPr>
          <w:jc w:val="center"/>
        </w:trPr>
        <w:tc>
          <w:tcPr>
            <w:tcW w:w="820" w:type="dxa"/>
            <w:vAlign w:val="center"/>
          </w:tcPr>
          <w:p w14:paraId="2B7EF9A0"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2023.</w:t>
            </w:r>
          </w:p>
        </w:tc>
        <w:tc>
          <w:tcPr>
            <w:tcW w:w="1469" w:type="dxa"/>
            <w:vAlign w:val="center"/>
          </w:tcPr>
          <w:p w14:paraId="413B3A0E"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356 (od 336 do 362) + ljetna sezona praksa, sportske, kulturne i druge aktivnosti 58x</w:t>
            </w:r>
          </w:p>
        </w:tc>
        <w:tc>
          <w:tcPr>
            <w:tcW w:w="1276" w:type="dxa"/>
            <w:vAlign w:val="center"/>
          </w:tcPr>
          <w:p w14:paraId="182F02A4"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17 (od 8 do 27) + ljetna sezona redovni studenti 9x))</w:t>
            </w:r>
          </w:p>
        </w:tc>
        <w:tc>
          <w:tcPr>
            <w:tcW w:w="2541" w:type="dxa"/>
            <w:vAlign w:val="center"/>
          </w:tcPr>
          <w:p w14:paraId="5E851DC0"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w:t>
            </w:r>
            <w:r w:rsidRPr="00676A9B">
              <w:rPr>
                <w:rFonts w:ascii="Arial" w:eastAsia="Calibri" w:hAnsi="Arial" w:cs="Arial"/>
                <w:i/>
                <w:iCs/>
                <w:sz w:val="16"/>
                <w:szCs w:val="16"/>
              </w:rPr>
              <w:t xml:space="preserve"> A204112  (64, odnosno od 49 do 74)</w:t>
            </w:r>
          </w:p>
        </w:tc>
        <w:tc>
          <w:tcPr>
            <w:tcW w:w="996" w:type="dxa"/>
            <w:vAlign w:val="center"/>
          </w:tcPr>
          <w:p w14:paraId="33D3363A"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3</w:t>
            </w:r>
          </w:p>
        </w:tc>
        <w:tc>
          <w:tcPr>
            <w:tcW w:w="1155" w:type="dxa"/>
            <w:vAlign w:val="center"/>
          </w:tcPr>
          <w:p w14:paraId="48D422FD"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72.351,31 €</w:t>
            </w:r>
          </w:p>
        </w:tc>
        <w:tc>
          <w:tcPr>
            <w:tcW w:w="1152" w:type="dxa"/>
            <w:vAlign w:val="center"/>
          </w:tcPr>
          <w:p w14:paraId="0D4F2E89"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8.505,23 €</w:t>
            </w:r>
          </w:p>
        </w:tc>
        <w:tc>
          <w:tcPr>
            <w:tcW w:w="924" w:type="dxa"/>
            <w:vAlign w:val="center"/>
          </w:tcPr>
          <w:p w14:paraId="31B90374"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1.312,50 €</w:t>
            </w:r>
          </w:p>
        </w:tc>
        <w:tc>
          <w:tcPr>
            <w:tcW w:w="1134" w:type="dxa"/>
            <w:vAlign w:val="center"/>
          </w:tcPr>
          <w:p w14:paraId="21C65022"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82.169,04 €</w:t>
            </w:r>
          </w:p>
        </w:tc>
      </w:tr>
      <w:tr w:rsidR="00676A9B" w:rsidRPr="00676A9B" w14:paraId="2658D0FB" w14:textId="77777777" w:rsidTr="00410A4B">
        <w:trPr>
          <w:jc w:val="center"/>
        </w:trPr>
        <w:tc>
          <w:tcPr>
            <w:tcW w:w="820" w:type="dxa"/>
            <w:vAlign w:val="center"/>
          </w:tcPr>
          <w:p w14:paraId="37A04B1B"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2024.</w:t>
            </w:r>
          </w:p>
        </w:tc>
        <w:tc>
          <w:tcPr>
            <w:tcW w:w="1469" w:type="dxa"/>
            <w:vAlign w:val="center"/>
          </w:tcPr>
          <w:p w14:paraId="1B6E0ACD"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365 (od 346 do 383) + ljetna sezona praksa, sportske, kulturne i druge aktivnosti 66x</w:t>
            </w:r>
          </w:p>
        </w:tc>
        <w:tc>
          <w:tcPr>
            <w:tcW w:w="1276" w:type="dxa"/>
            <w:vAlign w:val="center"/>
          </w:tcPr>
          <w:p w14:paraId="67A11298"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14 (od 16 do 21) + ljetna sezona redovni studenti 6x</w:t>
            </w:r>
          </w:p>
        </w:tc>
        <w:tc>
          <w:tcPr>
            <w:tcW w:w="2541" w:type="dxa"/>
            <w:vAlign w:val="center"/>
          </w:tcPr>
          <w:p w14:paraId="29532CEF"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w:t>
            </w:r>
            <w:r w:rsidRPr="00676A9B">
              <w:rPr>
                <w:rFonts w:ascii="Arial" w:eastAsia="Calibri" w:hAnsi="Arial" w:cs="Arial"/>
                <w:i/>
                <w:iCs/>
                <w:sz w:val="16"/>
                <w:szCs w:val="16"/>
              </w:rPr>
              <w:t xml:space="preserve"> A204112  (68, odnosno od 59 do 74)</w:t>
            </w:r>
          </w:p>
        </w:tc>
        <w:tc>
          <w:tcPr>
            <w:tcW w:w="996" w:type="dxa"/>
            <w:vAlign w:val="center"/>
          </w:tcPr>
          <w:p w14:paraId="76EF8CE3"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12</w:t>
            </w:r>
          </w:p>
        </w:tc>
        <w:tc>
          <w:tcPr>
            <w:tcW w:w="1155" w:type="dxa"/>
            <w:vAlign w:val="center"/>
          </w:tcPr>
          <w:p w14:paraId="5EFCC5EB"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68.924,73 €</w:t>
            </w:r>
          </w:p>
        </w:tc>
        <w:tc>
          <w:tcPr>
            <w:tcW w:w="1152" w:type="dxa"/>
            <w:vAlign w:val="center"/>
          </w:tcPr>
          <w:p w14:paraId="2241A01D" w14:textId="77777777" w:rsidR="00676A9B" w:rsidRPr="00676A9B" w:rsidRDefault="00676A9B" w:rsidP="00676A9B">
            <w:pPr>
              <w:spacing w:before="100" w:beforeAutospacing="1" w:after="100" w:afterAutospacing="1"/>
              <w:jc w:val="right"/>
              <w:rPr>
                <w:rFonts w:ascii="Arial" w:hAnsi="Arial" w:cs="Arial"/>
                <w:sz w:val="16"/>
                <w:szCs w:val="16"/>
              </w:rPr>
            </w:pPr>
            <w:r w:rsidRPr="00676A9B">
              <w:rPr>
                <w:rFonts w:ascii="Arial" w:hAnsi="Arial" w:cs="Arial"/>
                <w:sz w:val="16"/>
                <w:szCs w:val="16"/>
              </w:rPr>
              <w:t>10.000,00 €</w:t>
            </w:r>
          </w:p>
        </w:tc>
        <w:tc>
          <w:tcPr>
            <w:tcW w:w="924" w:type="dxa"/>
            <w:vAlign w:val="center"/>
          </w:tcPr>
          <w:p w14:paraId="4AA846E9"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5.593,75 €</w:t>
            </w:r>
          </w:p>
        </w:tc>
        <w:tc>
          <w:tcPr>
            <w:tcW w:w="1134" w:type="dxa"/>
            <w:vAlign w:val="center"/>
          </w:tcPr>
          <w:p w14:paraId="34B53256" w14:textId="77777777" w:rsidR="00676A9B" w:rsidRPr="00676A9B" w:rsidRDefault="00676A9B" w:rsidP="00676A9B">
            <w:pPr>
              <w:spacing w:before="100" w:beforeAutospacing="1" w:after="100" w:afterAutospacing="1"/>
              <w:jc w:val="right"/>
              <w:rPr>
                <w:rFonts w:ascii="Arial" w:hAnsi="Arial" w:cs="Arial"/>
                <w:sz w:val="14"/>
                <w:szCs w:val="14"/>
              </w:rPr>
            </w:pPr>
            <w:r w:rsidRPr="00676A9B">
              <w:rPr>
                <w:rFonts w:ascii="Arial" w:hAnsi="Arial" w:cs="Arial"/>
                <w:sz w:val="14"/>
                <w:szCs w:val="14"/>
              </w:rPr>
              <w:t>84.518,48 €</w:t>
            </w:r>
          </w:p>
        </w:tc>
      </w:tr>
      <w:tr w:rsidR="00A043F0" w:rsidRPr="00021A18" w14:paraId="00F9FBE8" w14:textId="77777777" w:rsidTr="00410A4B">
        <w:trPr>
          <w:jc w:val="center"/>
        </w:trPr>
        <w:tc>
          <w:tcPr>
            <w:tcW w:w="820" w:type="dxa"/>
            <w:vAlign w:val="center"/>
          </w:tcPr>
          <w:p w14:paraId="47551F92" w14:textId="0BF9D15C" w:rsidR="00A043F0" w:rsidRPr="00021A18" w:rsidRDefault="00A043F0" w:rsidP="00A043F0">
            <w:pPr>
              <w:spacing w:before="100" w:beforeAutospacing="1" w:after="100" w:afterAutospacing="1"/>
              <w:jc w:val="center"/>
              <w:rPr>
                <w:rFonts w:ascii="Arial" w:hAnsi="Arial" w:cs="Arial"/>
                <w:color w:val="000000" w:themeColor="text1"/>
                <w:sz w:val="16"/>
                <w:szCs w:val="16"/>
              </w:rPr>
            </w:pPr>
            <w:r w:rsidRPr="00021A18">
              <w:rPr>
                <w:rFonts w:ascii="Arial" w:hAnsi="Arial" w:cs="Arial"/>
                <w:color w:val="000000" w:themeColor="text1"/>
                <w:sz w:val="16"/>
                <w:szCs w:val="16"/>
              </w:rPr>
              <w:t>2025.</w:t>
            </w:r>
          </w:p>
        </w:tc>
        <w:tc>
          <w:tcPr>
            <w:tcW w:w="1469" w:type="dxa"/>
            <w:vAlign w:val="center"/>
          </w:tcPr>
          <w:p w14:paraId="27A8F0EB" w14:textId="43EC6E37" w:rsidR="00A043F0" w:rsidRPr="00021A18" w:rsidRDefault="00361502" w:rsidP="00A043F0">
            <w:pPr>
              <w:spacing w:before="100" w:beforeAutospacing="1" w:after="100" w:afterAutospacing="1"/>
              <w:jc w:val="center"/>
              <w:rPr>
                <w:rFonts w:ascii="Arial" w:hAnsi="Arial" w:cs="Arial"/>
                <w:color w:val="000000" w:themeColor="text1"/>
                <w:sz w:val="16"/>
                <w:szCs w:val="16"/>
              </w:rPr>
            </w:pPr>
            <w:r w:rsidRPr="00021A18">
              <w:rPr>
                <w:rFonts w:ascii="Arial" w:hAnsi="Arial" w:cs="Arial"/>
                <w:color w:val="000000" w:themeColor="text1"/>
                <w:sz w:val="16"/>
                <w:szCs w:val="16"/>
              </w:rPr>
              <w:t>373</w:t>
            </w:r>
            <w:r w:rsidR="00A043F0" w:rsidRPr="00021A18">
              <w:rPr>
                <w:rFonts w:ascii="Arial" w:hAnsi="Arial" w:cs="Arial"/>
                <w:color w:val="000000" w:themeColor="text1"/>
                <w:sz w:val="16"/>
                <w:szCs w:val="16"/>
              </w:rPr>
              <w:t xml:space="preserve"> (od 3</w:t>
            </w:r>
            <w:r w:rsidRPr="00021A18">
              <w:rPr>
                <w:rFonts w:ascii="Arial" w:hAnsi="Arial" w:cs="Arial"/>
                <w:color w:val="000000" w:themeColor="text1"/>
                <w:sz w:val="16"/>
                <w:szCs w:val="16"/>
              </w:rPr>
              <w:t>61</w:t>
            </w:r>
            <w:r w:rsidR="00A043F0" w:rsidRPr="00021A18">
              <w:rPr>
                <w:rFonts w:ascii="Arial" w:hAnsi="Arial" w:cs="Arial"/>
                <w:color w:val="000000" w:themeColor="text1"/>
                <w:sz w:val="16"/>
                <w:szCs w:val="16"/>
              </w:rPr>
              <w:t xml:space="preserve"> do 38</w:t>
            </w:r>
            <w:r w:rsidRPr="00021A18">
              <w:rPr>
                <w:rFonts w:ascii="Arial" w:hAnsi="Arial" w:cs="Arial"/>
                <w:color w:val="000000" w:themeColor="text1"/>
                <w:sz w:val="16"/>
                <w:szCs w:val="16"/>
              </w:rPr>
              <w:t>2</w:t>
            </w:r>
            <w:r w:rsidR="00A043F0" w:rsidRPr="00021A18">
              <w:rPr>
                <w:rFonts w:ascii="Arial" w:hAnsi="Arial" w:cs="Arial"/>
                <w:color w:val="000000" w:themeColor="text1"/>
                <w:sz w:val="16"/>
                <w:szCs w:val="16"/>
              </w:rPr>
              <w:t>) + ljetna sezona praksa, sportske, kulturne i druge aktivnosti 66x</w:t>
            </w:r>
          </w:p>
        </w:tc>
        <w:tc>
          <w:tcPr>
            <w:tcW w:w="1276" w:type="dxa"/>
            <w:vAlign w:val="center"/>
          </w:tcPr>
          <w:p w14:paraId="172F28C9" w14:textId="30FB2D87" w:rsidR="00A043F0" w:rsidRPr="00021A18" w:rsidRDefault="00361502" w:rsidP="00A043F0">
            <w:pPr>
              <w:spacing w:before="100" w:beforeAutospacing="1" w:after="100" w:afterAutospacing="1"/>
              <w:jc w:val="center"/>
              <w:rPr>
                <w:rFonts w:ascii="Arial" w:hAnsi="Arial" w:cs="Arial"/>
                <w:color w:val="000000" w:themeColor="text1"/>
                <w:sz w:val="16"/>
                <w:szCs w:val="16"/>
              </w:rPr>
            </w:pPr>
            <w:r w:rsidRPr="00021A18">
              <w:rPr>
                <w:rFonts w:ascii="Arial" w:hAnsi="Arial" w:cs="Arial"/>
                <w:color w:val="000000" w:themeColor="text1"/>
                <w:sz w:val="16"/>
                <w:szCs w:val="16"/>
              </w:rPr>
              <w:t>11</w:t>
            </w:r>
            <w:r w:rsidR="00A043F0" w:rsidRPr="00021A18">
              <w:rPr>
                <w:rFonts w:ascii="Arial" w:hAnsi="Arial" w:cs="Arial"/>
                <w:color w:val="000000" w:themeColor="text1"/>
                <w:sz w:val="16"/>
                <w:szCs w:val="16"/>
              </w:rPr>
              <w:t xml:space="preserve"> (od </w:t>
            </w:r>
            <w:r w:rsidRPr="00021A18">
              <w:rPr>
                <w:rFonts w:ascii="Arial" w:hAnsi="Arial" w:cs="Arial"/>
                <w:color w:val="000000" w:themeColor="text1"/>
                <w:sz w:val="16"/>
                <w:szCs w:val="16"/>
              </w:rPr>
              <w:t>6</w:t>
            </w:r>
            <w:r w:rsidR="00A043F0" w:rsidRPr="00021A18">
              <w:rPr>
                <w:rFonts w:ascii="Arial" w:hAnsi="Arial" w:cs="Arial"/>
                <w:color w:val="000000" w:themeColor="text1"/>
                <w:sz w:val="16"/>
                <w:szCs w:val="16"/>
              </w:rPr>
              <w:t xml:space="preserve"> do </w:t>
            </w:r>
            <w:r w:rsidRPr="00021A18">
              <w:rPr>
                <w:rFonts w:ascii="Arial" w:hAnsi="Arial" w:cs="Arial"/>
                <w:color w:val="000000" w:themeColor="text1"/>
                <w:sz w:val="16"/>
                <w:szCs w:val="16"/>
              </w:rPr>
              <w:t>15</w:t>
            </w:r>
            <w:r w:rsidR="00A043F0" w:rsidRPr="00021A18">
              <w:rPr>
                <w:rFonts w:ascii="Arial" w:hAnsi="Arial" w:cs="Arial"/>
                <w:color w:val="000000" w:themeColor="text1"/>
                <w:sz w:val="16"/>
                <w:szCs w:val="16"/>
              </w:rPr>
              <w:t xml:space="preserve">) + ljetna sezona redovni studenti </w:t>
            </w:r>
            <w:r w:rsidRPr="00021A18">
              <w:rPr>
                <w:rFonts w:ascii="Arial" w:hAnsi="Arial" w:cs="Arial"/>
                <w:color w:val="000000" w:themeColor="text1"/>
                <w:sz w:val="16"/>
                <w:szCs w:val="16"/>
              </w:rPr>
              <w:t>7</w:t>
            </w:r>
            <w:r w:rsidR="00A043F0" w:rsidRPr="00021A18">
              <w:rPr>
                <w:rFonts w:ascii="Arial" w:hAnsi="Arial" w:cs="Arial"/>
                <w:color w:val="000000" w:themeColor="text1"/>
                <w:sz w:val="16"/>
                <w:szCs w:val="16"/>
              </w:rPr>
              <w:t>x</w:t>
            </w:r>
          </w:p>
        </w:tc>
        <w:tc>
          <w:tcPr>
            <w:tcW w:w="2541" w:type="dxa"/>
            <w:vAlign w:val="center"/>
          </w:tcPr>
          <w:p w14:paraId="073C7074" w14:textId="37C3BE54" w:rsidR="00A043F0" w:rsidRPr="00021A18" w:rsidRDefault="00A043F0" w:rsidP="00A043F0">
            <w:pPr>
              <w:spacing w:before="100" w:beforeAutospacing="1" w:after="100" w:afterAutospacing="1"/>
              <w:jc w:val="center"/>
              <w:rPr>
                <w:rFonts w:ascii="Arial" w:hAnsi="Arial" w:cs="Arial"/>
                <w:color w:val="000000" w:themeColor="text1"/>
                <w:sz w:val="16"/>
                <w:szCs w:val="16"/>
              </w:rPr>
            </w:pPr>
            <w:r w:rsidRPr="00021A18">
              <w:rPr>
                <w:rFonts w:ascii="Arial" w:hAnsi="Arial" w:cs="Arial"/>
                <w:color w:val="000000" w:themeColor="text1"/>
                <w:sz w:val="16"/>
                <w:szCs w:val="16"/>
              </w:rPr>
              <w:t>*</w:t>
            </w:r>
            <w:r w:rsidRPr="00021A18">
              <w:rPr>
                <w:rFonts w:ascii="Arial" w:eastAsia="Calibri" w:hAnsi="Arial" w:cs="Arial"/>
                <w:i/>
                <w:iCs/>
                <w:color w:val="000000" w:themeColor="text1"/>
                <w:sz w:val="16"/>
                <w:szCs w:val="16"/>
              </w:rPr>
              <w:t xml:space="preserve"> A204112  (</w:t>
            </w:r>
            <w:r w:rsidR="00361502" w:rsidRPr="00021A18">
              <w:rPr>
                <w:rFonts w:ascii="Arial" w:eastAsia="Calibri" w:hAnsi="Arial" w:cs="Arial"/>
                <w:i/>
                <w:iCs/>
                <w:color w:val="000000" w:themeColor="text1"/>
                <w:sz w:val="16"/>
                <w:szCs w:val="16"/>
              </w:rPr>
              <w:t>75</w:t>
            </w:r>
            <w:r w:rsidRPr="00021A18">
              <w:rPr>
                <w:rFonts w:ascii="Arial" w:eastAsia="Calibri" w:hAnsi="Arial" w:cs="Arial"/>
                <w:i/>
                <w:iCs/>
                <w:color w:val="000000" w:themeColor="text1"/>
                <w:sz w:val="16"/>
                <w:szCs w:val="16"/>
              </w:rPr>
              <w:t xml:space="preserve">, odnosno od </w:t>
            </w:r>
            <w:r w:rsidR="00361502" w:rsidRPr="00021A18">
              <w:rPr>
                <w:rFonts w:ascii="Arial" w:eastAsia="Calibri" w:hAnsi="Arial" w:cs="Arial"/>
                <w:i/>
                <w:iCs/>
                <w:color w:val="000000" w:themeColor="text1"/>
                <w:sz w:val="16"/>
                <w:szCs w:val="16"/>
              </w:rPr>
              <w:t>66</w:t>
            </w:r>
            <w:r w:rsidRPr="00021A18">
              <w:rPr>
                <w:rFonts w:ascii="Arial" w:eastAsia="Calibri" w:hAnsi="Arial" w:cs="Arial"/>
                <w:i/>
                <w:iCs/>
                <w:color w:val="000000" w:themeColor="text1"/>
                <w:sz w:val="16"/>
                <w:szCs w:val="16"/>
              </w:rPr>
              <w:t xml:space="preserve"> do </w:t>
            </w:r>
            <w:r w:rsidR="00361502" w:rsidRPr="00021A18">
              <w:rPr>
                <w:rFonts w:ascii="Arial" w:eastAsia="Calibri" w:hAnsi="Arial" w:cs="Arial"/>
                <w:i/>
                <w:iCs/>
                <w:color w:val="000000" w:themeColor="text1"/>
                <w:sz w:val="16"/>
                <w:szCs w:val="16"/>
              </w:rPr>
              <w:t>8</w:t>
            </w:r>
            <w:r w:rsidRPr="00021A18">
              <w:rPr>
                <w:rFonts w:ascii="Arial" w:eastAsia="Calibri" w:hAnsi="Arial" w:cs="Arial"/>
                <w:i/>
                <w:iCs/>
                <w:color w:val="000000" w:themeColor="text1"/>
                <w:sz w:val="16"/>
                <w:szCs w:val="16"/>
              </w:rPr>
              <w:t>4)</w:t>
            </w:r>
          </w:p>
        </w:tc>
        <w:tc>
          <w:tcPr>
            <w:tcW w:w="996" w:type="dxa"/>
            <w:vAlign w:val="center"/>
          </w:tcPr>
          <w:p w14:paraId="34B2C5EB" w14:textId="6A5A9966" w:rsidR="00A043F0" w:rsidRPr="00021A18" w:rsidRDefault="00021A18" w:rsidP="00A043F0">
            <w:pPr>
              <w:spacing w:before="100" w:beforeAutospacing="1" w:after="100" w:afterAutospacing="1"/>
              <w:jc w:val="center"/>
              <w:rPr>
                <w:rFonts w:ascii="Arial" w:hAnsi="Arial" w:cs="Arial"/>
                <w:color w:val="000000" w:themeColor="text1"/>
                <w:sz w:val="18"/>
                <w:szCs w:val="18"/>
              </w:rPr>
            </w:pPr>
            <w:r w:rsidRPr="00021A18">
              <w:rPr>
                <w:rFonts w:ascii="Arial" w:hAnsi="Arial" w:cs="Arial"/>
                <w:color w:val="000000" w:themeColor="text1"/>
                <w:sz w:val="18"/>
                <w:szCs w:val="18"/>
              </w:rPr>
              <w:t>21</w:t>
            </w:r>
          </w:p>
        </w:tc>
        <w:tc>
          <w:tcPr>
            <w:tcW w:w="1155" w:type="dxa"/>
            <w:vAlign w:val="center"/>
          </w:tcPr>
          <w:p w14:paraId="495F8F8D" w14:textId="69D96221" w:rsidR="00A043F0" w:rsidRPr="00021A18" w:rsidRDefault="00021A18" w:rsidP="00A043F0">
            <w:pPr>
              <w:spacing w:before="100" w:beforeAutospacing="1" w:after="100" w:afterAutospacing="1"/>
              <w:jc w:val="right"/>
              <w:rPr>
                <w:rFonts w:ascii="Arial" w:hAnsi="Arial" w:cs="Arial"/>
                <w:color w:val="000000" w:themeColor="text1"/>
                <w:sz w:val="16"/>
                <w:szCs w:val="16"/>
              </w:rPr>
            </w:pPr>
            <w:r w:rsidRPr="00021A18">
              <w:rPr>
                <w:rFonts w:ascii="Arial" w:hAnsi="Arial" w:cs="Arial"/>
                <w:color w:val="000000" w:themeColor="text1"/>
                <w:sz w:val="16"/>
                <w:szCs w:val="16"/>
              </w:rPr>
              <w:t>75.509,52</w:t>
            </w:r>
            <w:r w:rsidR="00A043F0" w:rsidRPr="00021A18">
              <w:rPr>
                <w:rFonts w:ascii="Arial" w:hAnsi="Arial" w:cs="Arial"/>
                <w:color w:val="000000" w:themeColor="text1"/>
                <w:sz w:val="16"/>
                <w:szCs w:val="16"/>
              </w:rPr>
              <w:t xml:space="preserve"> €</w:t>
            </w:r>
          </w:p>
        </w:tc>
        <w:tc>
          <w:tcPr>
            <w:tcW w:w="1152" w:type="dxa"/>
            <w:vAlign w:val="center"/>
          </w:tcPr>
          <w:p w14:paraId="7213037D" w14:textId="366BA643" w:rsidR="00A043F0" w:rsidRPr="00021A18" w:rsidRDefault="00A043F0" w:rsidP="00A043F0">
            <w:pPr>
              <w:spacing w:before="100" w:beforeAutospacing="1" w:after="100" w:afterAutospacing="1"/>
              <w:jc w:val="right"/>
              <w:rPr>
                <w:rFonts w:ascii="Arial" w:hAnsi="Arial" w:cs="Arial"/>
                <w:color w:val="000000" w:themeColor="text1"/>
                <w:sz w:val="16"/>
                <w:szCs w:val="16"/>
              </w:rPr>
            </w:pPr>
            <w:r w:rsidRPr="00021A18">
              <w:rPr>
                <w:rFonts w:ascii="Arial" w:hAnsi="Arial" w:cs="Arial"/>
                <w:color w:val="000000" w:themeColor="text1"/>
                <w:sz w:val="16"/>
                <w:szCs w:val="16"/>
              </w:rPr>
              <w:t>10.000,00 €</w:t>
            </w:r>
          </w:p>
        </w:tc>
        <w:tc>
          <w:tcPr>
            <w:tcW w:w="924" w:type="dxa"/>
            <w:vAlign w:val="center"/>
          </w:tcPr>
          <w:p w14:paraId="5E79C87F" w14:textId="09C7E422" w:rsidR="00A043F0" w:rsidRPr="00021A18" w:rsidRDefault="00021A18" w:rsidP="00A043F0">
            <w:pPr>
              <w:spacing w:before="100" w:beforeAutospacing="1" w:after="100" w:afterAutospacing="1"/>
              <w:jc w:val="right"/>
              <w:rPr>
                <w:rFonts w:ascii="Arial" w:hAnsi="Arial" w:cs="Arial"/>
                <w:color w:val="000000" w:themeColor="text1"/>
                <w:sz w:val="14"/>
                <w:szCs w:val="14"/>
              </w:rPr>
            </w:pPr>
            <w:r w:rsidRPr="00021A18">
              <w:rPr>
                <w:rFonts w:ascii="Arial" w:hAnsi="Arial" w:cs="Arial"/>
                <w:color w:val="000000" w:themeColor="text1"/>
                <w:sz w:val="14"/>
                <w:szCs w:val="14"/>
              </w:rPr>
              <w:t>5.562,50</w:t>
            </w:r>
            <w:r w:rsidR="00A043F0" w:rsidRPr="00021A18">
              <w:rPr>
                <w:rFonts w:ascii="Arial" w:hAnsi="Arial" w:cs="Arial"/>
                <w:color w:val="000000" w:themeColor="text1"/>
                <w:sz w:val="14"/>
                <w:szCs w:val="14"/>
              </w:rPr>
              <w:t xml:space="preserve"> €</w:t>
            </w:r>
          </w:p>
        </w:tc>
        <w:tc>
          <w:tcPr>
            <w:tcW w:w="1134" w:type="dxa"/>
            <w:vAlign w:val="center"/>
          </w:tcPr>
          <w:p w14:paraId="010D942C" w14:textId="56C17C2B" w:rsidR="00A043F0" w:rsidRPr="00021A18" w:rsidRDefault="00021A18" w:rsidP="00A043F0">
            <w:pPr>
              <w:spacing w:before="100" w:beforeAutospacing="1" w:after="100" w:afterAutospacing="1"/>
              <w:jc w:val="right"/>
              <w:rPr>
                <w:rFonts w:ascii="Arial" w:hAnsi="Arial" w:cs="Arial"/>
                <w:color w:val="000000" w:themeColor="text1"/>
                <w:sz w:val="14"/>
                <w:szCs w:val="14"/>
              </w:rPr>
            </w:pPr>
            <w:r w:rsidRPr="00021A18">
              <w:rPr>
                <w:rFonts w:ascii="Arial" w:hAnsi="Arial" w:cs="Arial"/>
                <w:color w:val="000000" w:themeColor="text1"/>
                <w:sz w:val="14"/>
                <w:szCs w:val="14"/>
              </w:rPr>
              <w:t>91.072,02</w:t>
            </w:r>
            <w:r w:rsidR="00A043F0" w:rsidRPr="00021A18">
              <w:rPr>
                <w:rFonts w:ascii="Arial" w:hAnsi="Arial" w:cs="Arial"/>
                <w:color w:val="000000" w:themeColor="text1"/>
                <w:sz w:val="14"/>
                <w:szCs w:val="14"/>
              </w:rPr>
              <w:t xml:space="preserve"> €</w:t>
            </w:r>
          </w:p>
        </w:tc>
      </w:tr>
    </w:tbl>
    <w:p w14:paraId="3855E874" w14:textId="77777777" w:rsidR="00676A9B" w:rsidRPr="00676A9B" w:rsidRDefault="00676A9B" w:rsidP="00676A9B">
      <w:pPr>
        <w:autoSpaceDE w:val="0"/>
        <w:autoSpaceDN w:val="0"/>
        <w:adjustRightInd w:val="0"/>
        <w:spacing w:after="0" w:line="240" w:lineRule="auto"/>
        <w:jc w:val="center"/>
        <w:rPr>
          <w:rFonts w:ascii="Arial" w:eastAsia="Calibri" w:hAnsi="Arial" w:cs="Arial"/>
          <w:sz w:val="18"/>
          <w:szCs w:val="20"/>
        </w:rPr>
      </w:pPr>
      <w:r w:rsidRPr="00676A9B">
        <w:rPr>
          <w:rFonts w:ascii="Arial" w:eastAsia="Calibri" w:hAnsi="Arial" w:cs="Arial"/>
          <w:sz w:val="18"/>
          <w:szCs w:val="20"/>
        </w:rPr>
        <w:t>x – broj korisnika u ukupnom iznosu kroz druge kategorije sufinanciranja prijevoza</w:t>
      </w:r>
    </w:p>
    <w:p w14:paraId="52C3779E" w14:textId="77777777" w:rsidR="00676A9B" w:rsidRPr="00DB6263" w:rsidRDefault="00676A9B" w:rsidP="00676A9B">
      <w:pPr>
        <w:autoSpaceDE w:val="0"/>
        <w:autoSpaceDN w:val="0"/>
        <w:adjustRightInd w:val="0"/>
        <w:spacing w:after="0" w:line="240" w:lineRule="auto"/>
        <w:jc w:val="both"/>
        <w:rPr>
          <w:rFonts w:ascii="Arial" w:eastAsia="Calibri" w:hAnsi="Arial" w:cs="Arial"/>
          <w:sz w:val="12"/>
          <w:szCs w:val="12"/>
        </w:rPr>
      </w:pPr>
    </w:p>
    <w:tbl>
      <w:tblPr>
        <w:tblStyle w:val="Reetkatablice536"/>
        <w:tblW w:w="13525" w:type="dxa"/>
        <w:jc w:val="center"/>
        <w:tblLayout w:type="fixed"/>
        <w:tblLook w:val="04A0" w:firstRow="1" w:lastRow="0" w:firstColumn="1" w:lastColumn="0" w:noHBand="0" w:noVBand="1"/>
      </w:tblPr>
      <w:tblGrid>
        <w:gridCol w:w="2739"/>
        <w:gridCol w:w="2785"/>
        <w:gridCol w:w="1099"/>
        <w:gridCol w:w="1134"/>
        <w:gridCol w:w="1232"/>
        <w:gridCol w:w="1134"/>
        <w:gridCol w:w="1134"/>
        <w:gridCol w:w="1134"/>
        <w:gridCol w:w="1134"/>
      </w:tblGrid>
      <w:tr w:rsidR="00676A9B" w:rsidRPr="00676A9B" w14:paraId="66200FED" w14:textId="77777777" w:rsidTr="00410A4B">
        <w:trPr>
          <w:jc w:val="center"/>
        </w:trPr>
        <w:tc>
          <w:tcPr>
            <w:tcW w:w="273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FD0BB32"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278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5AA3BFC"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0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ECC360C"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B423BCF"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6FD38AF" w14:textId="6E1B6CAB"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021A18">
              <w:rPr>
                <w:rFonts w:ascii="Arial" w:eastAsia="Calibri" w:hAnsi="Arial" w:cs="Arial"/>
                <w:lang w:eastAsia="en-US"/>
              </w:rPr>
              <w:t>4</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4B746C2A" w14:textId="4EB01C5D"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021A18">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C6651E3" w14:textId="20B8B501"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021A18">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0C604803" w14:textId="71FCAD08"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021A18">
              <w:rPr>
                <w:rFonts w:ascii="Arial" w:eastAsia="Calibri" w:hAnsi="Arial" w:cs="Arial"/>
                <w:lang w:eastAsia="en-US"/>
              </w:rPr>
              <w:t>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64B746B2" w14:textId="276CF0FE"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021A18">
              <w:rPr>
                <w:rFonts w:ascii="Arial" w:eastAsia="Calibri" w:hAnsi="Arial" w:cs="Arial"/>
                <w:lang w:eastAsia="en-US"/>
              </w:rPr>
              <w:t>7</w:t>
            </w:r>
            <w:r w:rsidRPr="00676A9B">
              <w:rPr>
                <w:rFonts w:ascii="Arial" w:eastAsia="Calibri" w:hAnsi="Arial" w:cs="Arial"/>
                <w:lang w:eastAsia="en-US"/>
              </w:rPr>
              <w:t>.</w:t>
            </w:r>
          </w:p>
        </w:tc>
      </w:tr>
      <w:tr w:rsidR="00676A9B" w:rsidRPr="00676A9B" w14:paraId="4EE5F3EB" w14:textId="77777777" w:rsidTr="00410A4B">
        <w:trPr>
          <w:trHeight w:val="808"/>
          <w:jc w:val="center"/>
        </w:trPr>
        <w:tc>
          <w:tcPr>
            <w:tcW w:w="2739" w:type="dxa"/>
            <w:tcBorders>
              <w:top w:val="single" w:sz="4" w:space="0" w:color="auto"/>
              <w:left w:val="single" w:sz="4" w:space="0" w:color="auto"/>
              <w:bottom w:val="single" w:sz="4" w:space="0" w:color="auto"/>
              <w:right w:val="single" w:sz="4" w:space="0" w:color="auto"/>
            </w:tcBorders>
          </w:tcPr>
          <w:p w14:paraId="770FDB33" w14:textId="77777777" w:rsidR="00676A9B" w:rsidRPr="00676A9B" w:rsidRDefault="00676A9B" w:rsidP="00676A9B">
            <w:pPr>
              <w:rPr>
                <w:rFonts w:ascii="Arial" w:hAnsi="Arial" w:cs="Arial"/>
                <w:lang w:eastAsia="en-US"/>
              </w:rPr>
            </w:pPr>
            <w:r w:rsidRPr="00676A9B">
              <w:rPr>
                <w:rFonts w:ascii="Arial" w:hAnsi="Arial" w:cs="Arial"/>
                <w:lang w:eastAsia="en-US"/>
              </w:rPr>
              <w:t>Podmirenje troškova prijevoza učenicima srednjih škola i studentima</w:t>
            </w:r>
          </w:p>
        </w:tc>
        <w:tc>
          <w:tcPr>
            <w:tcW w:w="2785" w:type="dxa"/>
            <w:tcBorders>
              <w:top w:val="single" w:sz="4" w:space="0" w:color="auto"/>
              <w:left w:val="single" w:sz="4" w:space="0" w:color="auto"/>
              <w:bottom w:val="single" w:sz="4" w:space="0" w:color="auto"/>
              <w:right w:val="single" w:sz="4" w:space="0" w:color="auto"/>
            </w:tcBorders>
          </w:tcPr>
          <w:p w14:paraId="36592725" w14:textId="77777777" w:rsidR="00676A9B" w:rsidRPr="00DB6263" w:rsidRDefault="00676A9B" w:rsidP="00676A9B">
            <w:pPr>
              <w:rPr>
                <w:rFonts w:ascii="Arial" w:hAnsi="Arial" w:cs="Arial"/>
                <w:sz w:val="18"/>
                <w:szCs w:val="18"/>
                <w:lang w:eastAsia="en-US"/>
              </w:rPr>
            </w:pPr>
            <w:r w:rsidRPr="00DB6263">
              <w:rPr>
                <w:rFonts w:ascii="Arial" w:hAnsi="Arial" w:cs="Arial"/>
                <w:sz w:val="18"/>
                <w:szCs w:val="18"/>
                <w:lang w:eastAsia="en-US"/>
              </w:rPr>
              <w:t>Podmirivanje dijela troškova prijevoza učenicima i studentima kao oblik pomoći u školovanju djece</w:t>
            </w:r>
          </w:p>
        </w:tc>
        <w:tc>
          <w:tcPr>
            <w:tcW w:w="1099" w:type="dxa"/>
            <w:tcBorders>
              <w:top w:val="single" w:sz="4" w:space="0" w:color="auto"/>
              <w:left w:val="single" w:sz="4" w:space="0" w:color="auto"/>
              <w:bottom w:val="single" w:sz="4" w:space="0" w:color="auto"/>
              <w:right w:val="single" w:sz="4" w:space="0" w:color="auto"/>
            </w:tcBorders>
            <w:vAlign w:val="center"/>
            <w:hideMark/>
          </w:tcPr>
          <w:p w14:paraId="153F7469" w14:textId="77777777" w:rsidR="00676A9B" w:rsidRPr="00676A9B" w:rsidRDefault="00676A9B" w:rsidP="00676A9B">
            <w:pPr>
              <w:jc w:val="center"/>
              <w:rPr>
                <w:rFonts w:ascii="Arial" w:hAnsi="Arial" w:cs="Arial"/>
                <w:lang w:eastAsia="en-US"/>
              </w:rPr>
            </w:pPr>
            <w:r w:rsidRPr="00676A9B">
              <w:rPr>
                <w:rFonts w:ascii="Arial" w:hAnsi="Arial" w:cs="Arial"/>
                <w:lang w:eastAsia="en-US"/>
              </w:rPr>
              <w:t>Broj korisnika (prosjek)</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619BF0" w14:textId="77777777" w:rsidR="00676A9B" w:rsidRPr="00676A9B" w:rsidRDefault="00676A9B" w:rsidP="00676A9B">
            <w:pPr>
              <w:jc w:val="center"/>
              <w:rPr>
                <w:rFonts w:ascii="Arial" w:hAnsi="Arial" w:cs="Arial"/>
                <w:lang w:eastAsia="en-US"/>
              </w:rPr>
            </w:pPr>
            <w:r w:rsidRPr="00676A9B">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41A81E14" w14:textId="271C19B0" w:rsidR="00676A9B" w:rsidRPr="00676A9B" w:rsidRDefault="00676A9B" w:rsidP="00676A9B">
            <w:pPr>
              <w:jc w:val="center"/>
              <w:rPr>
                <w:rFonts w:ascii="Arial" w:hAnsi="Arial" w:cs="Arial"/>
                <w:lang w:eastAsia="en-US"/>
              </w:rPr>
            </w:pPr>
            <w:r w:rsidRPr="00676A9B">
              <w:rPr>
                <w:rFonts w:ascii="Arial" w:hAnsi="Arial" w:cs="Arial"/>
                <w:lang w:eastAsia="en-US"/>
              </w:rPr>
              <w:t>3</w:t>
            </w:r>
            <w:r w:rsidR="00021A18">
              <w:rPr>
                <w:rFonts w:ascii="Arial" w:hAnsi="Arial" w:cs="Arial"/>
                <w:lang w:eastAsia="en-US"/>
              </w:rPr>
              <w:t>65</w:t>
            </w:r>
          </w:p>
        </w:tc>
        <w:tc>
          <w:tcPr>
            <w:tcW w:w="1134" w:type="dxa"/>
            <w:tcBorders>
              <w:top w:val="single" w:sz="4" w:space="0" w:color="000000"/>
              <w:left w:val="single" w:sz="4" w:space="0" w:color="000000"/>
              <w:bottom w:val="single" w:sz="4" w:space="0" w:color="000000"/>
              <w:right w:val="single" w:sz="4" w:space="0" w:color="000000"/>
            </w:tcBorders>
            <w:vAlign w:val="center"/>
          </w:tcPr>
          <w:p w14:paraId="6996C193" w14:textId="119461A8" w:rsidR="00676A9B" w:rsidRPr="00676A9B" w:rsidRDefault="00021A18" w:rsidP="00676A9B">
            <w:pPr>
              <w:jc w:val="center"/>
              <w:rPr>
                <w:rFonts w:ascii="Arial" w:hAnsi="Arial" w:cs="Arial"/>
                <w:lang w:eastAsia="en-US"/>
              </w:rPr>
            </w:pPr>
            <w:r>
              <w:rPr>
                <w:rFonts w:ascii="Arial" w:hAnsi="Arial" w:cs="Arial"/>
                <w:lang w:eastAsia="en-US"/>
              </w:rPr>
              <w:t>365</w:t>
            </w:r>
          </w:p>
        </w:tc>
        <w:tc>
          <w:tcPr>
            <w:tcW w:w="1134" w:type="dxa"/>
            <w:tcBorders>
              <w:top w:val="single" w:sz="4" w:space="0" w:color="000000"/>
              <w:left w:val="single" w:sz="4" w:space="0" w:color="000000"/>
              <w:bottom w:val="single" w:sz="4" w:space="0" w:color="000000"/>
              <w:right w:val="single" w:sz="4" w:space="0" w:color="000000"/>
            </w:tcBorders>
            <w:vAlign w:val="center"/>
          </w:tcPr>
          <w:p w14:paraId="578D1C36" w14:textId="313512A6" w:rsidR="00676A9B" w:rsidRPr="00676A9B" w:rsidRDefault="00021A18" w:rsidP="00676A9B">
            <w:pPr>
              <w:jc w:val="center"/>
              <w:rPr>
                <w:rFonts w:ascii="Arial" w:hAnsi="Arial" w:cs="Arial"/>
                <w:lang w:eastAsia="en-US"/>
              </w:rPr>
            </w:pPr>
            <w:r>
              <w:rPr>
                <w:rFonts w:ascii="Arial" w:hAnsi="Arial" w:cs="Arial"/>
                <w:lang w:eastAsia="en-US"/>
              </w:rPr>
              <w:t>373</w:t>
            </w:r>
          </w:p>
        </w:tc>
        <w:tc>
          <w:tcPr>
            <w:tcW w:w="1134" w:type="dxa"/>
            <w:tcBorders>
              <w:top w:val="single" w:sz="4" w:space="0" w:color="000000"/>
              <w:left w:val="single" w:sz="4" w:space="0" w:color="000000"/>
              <w:bottom w:val="single" w:sz="4" w:space="0" w:color="000000"/>
              <w:right w:val="single" w:sz="4" w:space="0" w:color="000000"/>
            </w:tcBorders>
            <w:vAlign w:val="center"/>
          </w:tcPr>
          <w:p w14:paraId="5B802E77" w14:textId="77777777" w:rsidR="00676A9B" w:rsidRPr="00676A9B" w:rsidRDefault="00676A9B" w:rsidP="00676A9B">
            <w:pPr>
              <w:jc w:val="center"/>
              <w:rPr>
                <w:rFonts w:ascii="Arial" w:hAnsi="Arial" w:cs="Arial"/>
                <w:lang w:eastAsia="en-US"/>
              </w:rPr>
            </w:pPr>
            <w:r w:rsidRPr="00676A9B">
              <w:rPr>
                <w:rFonts w:ascii="Arial" w:hAnsi="Arial" w:cs="Arial"/>
                <w:lang w:eastAsia="en-US"/>
              </w:rPr>
              <w:t>350</w:t>
            </w:r>
          </w:p>
        </w:tc>
        <w:tc>
          <w:tcPr>
            <w:tcW w:w="1134" w:type="dxa"/>
            <w:tcBorders>
              <w:top w:val="single" w:sz="4" w:space="0" w:color="000000"/>
              <w:left w:val="single" w:sz="4" w:space="0" w:color="000000"/>
              <w:bottom w:val="single" w:sz="4" w:space="0" w:color="000000"/>
              <w:right w:val="single" w:sz="4" w:space="0" w:color="000000"/>
            </w:tcBorders>
            <w:vAlign w:val="center"/>
          </w:tcPr>
          <w:p w14:paraId="5F8365D1" w14:textId="77777777" w:rsidR="00676A9B" w:rsidRPr="00676A9B" w:rsidRDefault="00676A9B" w:rsidP="00676A9B">
            <w:pPr>
              <w:jc w:val="center"/>
              <w:rPr>
                <w:rFonts w:ascii="Arial" w:hAnsi="Arial" w:cs="Arial"/>
                <w:lang w:eastAsia="en-US"/>
              </w:rPr>
            </w:pPr>
            <w:r w:rsidRPr="00676A9B">
              <w:rPr>
                <w:rFonts w:ascii="Arial" w:hAnsi="Arial" w:cs="Arial"/>
                <w:lang w:eastAsia="en-US"/>
              </w:rPr>
              <w:t>360</w:t>
            </w:r>
          </w:p>
        </w:tc>
      </w:tr>
    </w:tbl>
    <w:p w14:paraId="66CB54E9"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218566FB"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5. A204005: Mjera za poticanje rješavanja stambenog pitanja mladih obitelji </w:t>
      </w:r>
      <w:r w:rsidRPr="00676A9B">
        <w:rPr>
          <w:rFonts w:ascii="Arial" w:eastAsia="Calibri" w:hAnsi="Arial" w:cs="Arial"/>
          <w:sz w:val="20"/>
          <w:szCs w:val="20"/>
        </w:rPr>
        <w:t>– Nisu planirana sredstva za provođenje navedene aktivnosti.</w:t>
      </w:r>
    </w:p>
    <w:p w14:paraId="60745BBB" w14:textId="77777777" w:rsidR="00676A9B" w:rsidRPr="00676A9B" w:rsidRDefault="00676A9B" w:rsidP="00676A9B">
      <w:pPr>
        <w:spacing w:after="0" w:line="240" w:lineRule="auto"/>
        <w:jc w:val="both"/>
        <w:rPr>
          <w:rFonts w:ascii="Arial" w:eastAsia="Times New Roman" w:hAnsi="Arial" w:cs="Arial"/>
          <w:i/>
          <w:sz w:val="20"/>
          <w:szCs w:val="20"/>
          <w:lang w:eastAsia="en-US"/>
        </w:rPr>
      </w:pPr>
      <w:r w:rsidRPr="00676A9B">
        <w:rPr>
          <w:rFonts w:ascii="Arial" w:eastAsia="Times New Roman" w:hAnsi="Arial" w:cs="Arial"/>
          <w:i/>
          <w:sz w:val="20"/>
          <w:szCs w:val="20"/>
          <w:lang w:eastAsia="en-US"/>
        </w:rPr>
        <w:t>*Usporedba:</w:t>
      </w:r>
    </w:p>
    <w:tbl>
      <w:tblPr>
        <w:tblStyle w:val="Reetkatablice60"/>
        <w:tblW w:w="0" w:type="auto"/>
        <w:tblLook w:val="04A0" w:firstRow="1" w:lastRow="0" w:firstColumn="1" w:lastColumn="0" w:noHBand="0" w:noVBand="1"/>
      </w:tblPr>
      <w:tblGrid>
        <w:gridCol w:w="1012"/>
        <w:gridCol w:w="1274"/>
        <w:gridCol w:w="1059"/>
        <w:gridCol w:w="1186"/>
        <w:gridCol w:w="10029"/>
      </w:tblGrid>
      <w:tr w:rsidR="00676A9B" w:rsidRPr="00676A9B" w14:paraId="716BF287" w14:textId="77777777" w:rsidTr="00410A4B">
        <w:tc>
          <w:tcPr>
            <w:tcW w:w="1012" w:type="dxa"/>
            <w:vAlign w:val="center"/>
          </w:tcPr>
          <w:p w14:paraId="6AF0088C"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sz w:val="18"/>
                <w:szCs w:val="18"/>
                <w:lang w:eastAsia="en-US"/>
              </w:rPr>
            </w:pPr>
            <w:r w:rsidRPr="00676A9B">
              <w:rPr>
                <w:rFonts w:ascii="Arial" w:eastAsia="Calibri" w:hAnsi="Arial" w:cs="Arial"/>
                <w:i/>
                <w:sz w:val="18"/>
                <w:szCs w:val="18"/>
                <w:lang w:eastAsia="en-US"/>
              </w:rPr>
              <w:t>Godina</w:t>
            </w:r>
          </w:p>
        </w:tc>
        <w:tc>
          <w:tcPr>
            <w:tcW w:w="1274" w:type="dxa"/>
            <w:vAlign w:val="center"/>
          </w:tcPr>
          <w:p w14:paraId="1584C71E"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sz w:val="18"/>
                <w:szCs w:val="18"/>
                <w:lang w:eastAsia="en-US"/>
              </w:rPr>
            </w:pPr>
            <w:r w:rsidRPr="00676A9B">
              <w:rPr>
                <w:rFonts w:ascii="Arial" w:eastAsia="Calibri" w:hAnsi="Arial" w:cs="Arial"/>
                <w:i/>
                <w:sz w:val="18"/>
                <w:szCs w:val="18"/>
                <w:lang w:eastAsia="en-US"/>
              </w:rPr>
              <w:t>Broj korisnika</w:t>
            </w:r>
          </w:p>
        </w:tc>
        <w:tc>
          <w:tcPr>
            <w:tcW w:w="1059" w:type="dxa"/>
            <w:vAlign w:val="center"/>
          </w:tcPr>
          <w:p w14:paraId="21D77EE0"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sz w:val="18"/>
                <w:szCs w:val="18"/>
                <w:lang w:eastAsia="en-US"/>
              </w:rPr>
            </w:pPr>
            <w:r w:rsidRPr="00676A9B">
              <w:rPr>
                <w:rFonts w:ascii="Arial" w:eastAsia="Calibri" w:hAnsi="Arial" w:cs="Arial"/>
                <w:i/>
                <w:sz w:val="18"/>
                <w:szCs w:val="18"/>
                <w:lang w:eastAsia="en-US"/>
              </w:rPr>
              <w:t>Iznos (kn)</w:t>
            </w:r>
          </w:p>
        </w:tc>
        <w:tc>
          <w:tcPr>
            <w:tcW w:w="1186" w:type="dxa"/>
            <w:vAlign w:val="center"/>
          </w:tcPr>
          <w:p w14:paraId="632B1AF5"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sz w:val="18"/>
                <w:szCs w:val="18"/>
                <w:lang w:eastAsia="en-US"/>
              </w:rPr>
            </w:pPr>
            <w:r w:rsidRPr="00676A9B">
              <w:rPr>
                <w:rFonts w:ascii="Arial" w:eastAsia="Calibri" w:hAnsi="Arial" w:cs="Arial"/>
                <w:i/>
                <w:sz w:val="18"/>
                <w:szCs w:val="18"/>
                <w:lang w:eastAsia="en-US"/>
              </w:rPr>
              <w:t>Iznos (EUR)</w:t>
            </w:r>
          </w:p>
        </w:tc>
        <w:tc>
          <w:tcPr>
            <w:tcW w:w="10029" w:type="dxa"/>
            <w:vAlign w:val="center"/>
          </w:tcPr>
          <w:p w14:paraId="07B62311"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i/>
                <w:sz w:val="18"/>
                <w:szCs w:val="18"/>
                <w:lang w:eastAsia="en-US"/>
              </w:rPr>
            </w:pPr>
            <w:r w:rsidRPr="00676A9B">
              <w:rPr>
                <w:rFonts w:ascii="Arial" w:eastAsia="Calibri" w:hAnsi="Arial" w:cs="Arial"/>
                <w:i/>
                <w:sz w:val="18"/>
                <w:szCs w:val="18"/>
                <w:lang w:eastAsia="en-US"/>
              </w:rPr>
              <w:t>Obrazloženje</w:t>
            </w:r>
          </w:p>
        </w:tc>
      </w:tr>
      <w:tr w:rsidR="00676A9B" w:rsidRPr="00676A9B" w14:paraId="45B45D6E" w14:textId="77777777" w:rsidTr="00410A4B">
        <w:tc>
          <w:tcPr>
            <w:tcW w:w="1012" w:type="dxa"/>
            <w:vAlign w:val="center"/>
          </w:tcPr>
          <w:p w14:paraId="55441D74"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sz w:val="18"/>
                <w:szCs w:val="18"/>
                <w:lang w:eastAsia="en-US"/>
              </w:rPr>
            </w:pPr>
            <w:r w:rsidRPr="00676A9B">
              <w:rPr>
                <w:rFonts w:ascii="Arial" w:eastAsia="Calibri" w:hAnsi="Arial" w:cs="Arial"/>
                <w:sz w:val="18"/>
                <w:szCs w:val="18"/>
                <w:lang w:eastAsia="en-US"/>
              </w:rPr>
              <w:t>2018.</w:t>
            </w:r>
          </w:p>
        </w:tc>
        <w:tc>
          <w:tcPr>
            <w:tcW w:w="1274" w:type="dxa"/>
            <w:vAlign w:val="center"/>
          </w:tcPr>
          <w:p w14:paraId="312AC116"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sz w:val="18"/>
                <w:szCs w:val="18"/>
                <w:lang w:eastAsia="en-US"/>
              </w:rPr>
            </w:pPr>
            <w:r w:rsidRPr="00676A9B">
              <w:rPr>
                <w:rFonts w:ascii="Arial" w:eastAsia="Calibri" w:hAnsi="Arial" w:cs="Arial"/>
                <w:sz w:val="18"/>
                <w:szCs w:val="18"/>
                <w:lang w:eastAsia="en-US"/>
              </w:rPr>
              <w:t>9</w:t>
            </w:r>
          </w:p>
        </w:tc>
        <w:tc>
          <w:tcPr>
            <w:tcW w:w="1059" w:type="dxa"/>
            <w:vAlign w:val="center"/>
          </w:tcPr>
          <w:p w14:paraId="503E2994"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sz w:val="18"/>
                <w:szCs w:val="18"/>
                <w:lang w:eastAsia="en-US"/>
              </w:rPr>
            </w:pPr>
            <w:r w:rsidRPr="00676A9B">
              <w:rPr>
                <w:rFonts w:ascii="Arial" w:eastAsia="Calibri" w:hAnsi="Arial" w:cs="Arial"/>
                <w:sz w:val="18"/>
                <w:szCs w:val="18"/>
                <w:lang w:eastAsia="en-US"/>
              </w:rPr>
              <w:t>90.000</w:t>
            </w:r>
          </w:p>
        </w:tc>
        <w:tc>
          <w:tcPr>
            <w:tcW w:w="1186" w:type="dxa"/>
            <w:vAlign w:val="center"/>
          </w:tcPr>
          <w:p w14:paraId="7BCE02A1"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sz w:val="18"/>
                <w:szCs w:val="18"/>
                <w:lang w:eastAsia="en-US"/>
              </w:rPr>
            </w:pPr>
            <w:r w:rsidRPr="00676A9B">
              <w:rPr>
                <w:rFonts w:ascii="Arial" w:eastAsia="Calibri" w:hAnsi="Arial" w:cs="Arial"/>
                <w:sz w:val="18"/>
                <w:szCs w:val="18"/>
                <w:lang w:eastAsia="en-US"/>
              </w:rPr>
              <w:t>11.945,05</w:t>
            </w:r>
          </w:p>
        </w:tc>
        <w:tc>
          <w:tcPr>
            <w:tcW w:w="10029" w:type="dxa"/>
            <w:vAlign w:val="center"/>
          </w:tcPr>
          <w:p w14:paraId="2947E1F6"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both"/>
              <w:rPr>
                <w:rFonts w:ascii="Arial" w:eastAsia="Calibri" w:hAnsi="Arial" w:cs="Arial"/>
                <w:sz w:val="16"/>
                <w:szCs w:val="16"/>
                <w:lang w:eastAsia="en-US"/>
              </w:rPr>
            </w:pPr>
            <w:r w:rsidRPr="00676A9B">
              <w:rPr>
                <w:rFonts w:ascii="Arial" w:eastAsia="Calibri" w:hAnsi="Arial" w:cs="Arial"/>
                <w:sz w:val="16"/>
                <w:szCs w:val="16"/>
                <w:lang w:eastAsia="en-US"/>
              </w:rPr>
              <w:t>2 potpore za kupnju stana (obje u Cavtatu), te 7 potpora za gradnju kuća i to po jedna potpora na gradnju na područjima: Cavtat, Zvekovica, Čilipi, Močići, Gruda, Mihanići i Dubravka</w:t>
            </w:r>
          </w:p>
        </w:tc>
      </w:tr>
      <w:tr w:rsidR="00676A9B" w:rsidRPr="00676A9B" w14:paraId="0BC24278" w14:textId="77777777" w:rsidTr="00410A4B">
        <w:tc>
          <w:tcPr>
            <w:tcW w:w="1012" w:type="dxa"/>
            <w:vAlign w:val="center"/>
          </w:tcPr>
          <w:p w14:paraId="33710E3E"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sz w:val="18"/>
                <w:szCs w:val="18"/>
                <w:lang w:eastAsia="en-US"/>
              </w:rPr>
            </w:pPr>
            <w:r w:rsidRPr="00676A9B">
              <w:rPr>
                <w:rFonts w:ascii="Arial" w:eastAsia="Calibri" w:hAnsi="Arial" w:cs="Arial"/>
                <w:sz w:val="18"/>
                <w:szCs w:val="18"/>
                <w:lang w:eastAsia="en-US"/>
              </w:rPr>
              <w:t>2019.</w:t>
            </w:r>
          </w:p>
        </w:tc>
        <w:tc>
          <w:tcPr>
            <w:tcW w:w="1274" w:type="dxa"/>
            <w:vAlign w:val="center"/>
          </w:tcPr>
          <w:p w14:paraId="133C2CBB"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sz w:val="18"/>
                <w:szCs w:val="18"/>
                <w:lang w:eastAsia="en-US"/>
              </w:rPr>
            </w:pPr>
            <w:r w:rsidRPr="00676A9B">
              <w:rPr>
                <w:rFonts w:ascii="Arial" w:eastAsia="Calibri" w:hAnsi="Arial" w:cs="Arial"/>
                <w:sz w:val="18"/>
                <w:szCs w:val="18"/>
                <w:lang w:eastAsia="en-US"/>
              </w:rPr>
              <w:t>37</w:t>
            </w:r>
          </w:p>
        </w:tc>
        <w:tc>
          <w:tcPr>
            <w:tcW w:w="1059" w:type="dxa"/>
            <w:vAlign w:val="center"/>
          </w:tcPr>
          <w:p w14:paraId="068CAB00"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sz w:val="18"/>
                <w:szCs w:val="18"/>
                <w:lang w:eastAsia="en-US"/>
              </w:rPr>
            </w:pPr>
            <w:r w:rsidRPr="00676A9B">
              <w:rPr>
                <w:rFonts w:ascii="Arial" w:eastAsia="Calibri" w:hAnsi="Arial" w:cs="Arial"/>
                <w:sz w:val="18"/>
                <w:szCs w:val="18"/>
                <w:lang w:eastAsia="en-US"/>
              </w:rPr>
              <w:t>500.000</w:t>
            </w:r>
          </w:p>
        </w:tc>
        <w:tc>
          <w:tcPr>
            <w:tcW w:w="1186" w:type="dxa"/>
            <w:vAlign w:val="center"/>
          </w:tcPr>
          <w:p w14:paraId="5D88C0CB"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66.361,40</w:t>
            </w:r>
          </w:p>
        </w:tc>
        <w:tc>
          <w:tcPr>
            <w:tcW w:w="10029" w:type="dxa"/>
            <w:vAlign w:val="center"/>
          </w:tcPr>
          <w:p w14:paraId="62590283" w14:textId="77777777" w:rsidR="00676A9B" w:rsidRPr="00676A9B" w:rsidRDefault="00676A9B" w:rsidP="00676A9B">
            <w:pPr>
              <w:jc w:val="both"/>
              <w:rPr>
                <w:rFonts w:ascii="Arial" w:eastAsia="Calibri" w:hAnsi="Arial" w:cs="Arial"/>
                <w:sz w:val="16"/>
                <w:szCs w:val="16"/>
                <w:lang w:eastAsia="en-US"/>
              </w:rPr>
            </w:pPr>
            <w:r w:rsidRPr="00676A9B">
              <w:rPr>
                <w:rFonts w:ascii="Arial" w:eastAsia="Calibri" w:hAnsi="Arial" w:cs="Arial"/>
                <w:sz w:val="16"/>
                <w:szCs w:val="16"/>
                <w:lang w:eastAsia="en-US"/>
              </w:rPr>
              <w:t>5 potpore za kupnju stana (Gruda 2; Cavtat 2 i Zvekovica 1), te 32 potpora za gradnju-adaptaciju kuća i to: po 1 potpora za naselja: Gabrili, Vataje, Poljice, Močići, Mikulići, Lovorno i Vodovađa ; po 2 potpore za naselja: Gruda, Pridvorje, Zvekovica, Popovići i Komaji, te po 3 potpore za naselja: Vitaljina, Dunave, Čilipi, Palje Brdo i Dubravka.</w:t>
            </w:r>
          </w:p>
        </w:tc>
      </w:tr>
      <w:tr w:rsidR="00676A9B" w:rsidRPr="00676A9B" w14:paraId="2F743ADD" w14:textId="77777777" w:rsidTr="00410A4B">
        <w:tc>
          <w:tcPr>
            <w:tcW w:w="1012" w:type="dxa"/>
            <w:vAlign w:val="center"/>
          </w:tcPr>
          <w:p w14:paraId="367CB822"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sz w:val="18"/>
                <w:szCs w:val="18"/>
                <w:lang w:eastAsia="en-US"/>
              </w:rPr>
            </w:pPr>
            <w:r w:rsidRPr="00676A9B">
              <w:rPr>
                <w:rFonts w:ascii="Arial" w:eastAsia="Calibri" w:hAnsi="Arial" w:cs="Arial"/>
                <w:sz w:val="18"/>
                <w:szCs w:val="18"/>
                <w:lang w:eastAsia="en-US"/>
              </w:rPr>
              <w:t>2020.</w:t>
            </w:r>
          </w:p>
        </w:tc>
        <w:tc>
          <w:tcPr>
            <w:tcW w:w="1274" w:type="dxa"/>
            <w:vAlign w:val="center"/>
          </w:tcPr>
          <w:p w14:paraId="69B0AF37"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center"/>
              <w:rPr>
                <w:rFonts w:ascii="Arial" w:eastAsia="Calibri" w:hAnsi="Arial" w:cs="Arial"/>
                <w:sz w:val="18"/>
                <w:szCs w:val="18"/>
                <w:lang w:eastAsia="en-US"/>
              </w:rPr>
            </w:pPr>
            <w:r w:rsidRPr="00676A9B">
              <w:rPr>
                <w:rFonts w:ascii="Arial" w:eastAsia="Calibri" w:hAnsi="Arial" w:cs="Arial"/>
                <w:sz w:val="18"/>
                <w:szCs w:val="18"/>
                <w:lang w:eastAsia="en-US"/>
              </w:rPr>
              <w:t>31</w:t>
            </w:r>
          </w:p>
        </w:tc>
        <w:tc>
          <w:tcPr>
            <w:tcW w:w="1059" w:type="dxa"/>
            <w:vAlign w:val="center"/>
          </w:tcPr>
          <w:p w14:paraId="3A3EBA08"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jc w:val="right"/>
              <w:rPr>
                <w:rFonts w:ascii="Arial" w:eastAsia="Calibri" w:hAnsi="Arial" w:cs="Arial"/>
                <w:sz w:val="18"/>
                <w:szCs w:val="18"/>
                <w:lang w:eastAsia="en-US"/>
              </w:rPr>
            </w:pPr>
            <w:r w:rsidRPr="00676A9B">
              <w:rPr>
                <w:rFonts w:ascii="Arial" w:eastAsia="Calibri" w:hAnsi="Arial" w:cs="Arial"/>
                <w:sz w:val="18"/>
                <w:szCs w:val="18"/>
                <w:lang w:eastAsia="en-US"/>
              </w:rPr>
              <w:t>440.000</w:t>
            </w:r>
          </w:p>
        </w:tc>
        <w:tc>
          <w:tcPr>
            <w:tcW w:w="1186" w:type="dxa"/>
            <w:vAlign w:val="center"/>
          </w:tcPr>
          <w:p w14:paraId="137391B6" w14:textId="77777777" w:rsidR="00676A9B" w:rsidRPr="00676A9B" w:rsidRDefault="00676A9B" w:rsidP="00676A9B">
            <w:pPr>
              <w:jc w:val="right"/>
              <w:rPr>
                <w:rFonts w:ascii="Arial" w:hAnsi="Arial" w:cs="Arial"/>
                <w:sz w:val="18"/>
                <w:szCs w:val="18"/>
                <w:lang w:eastAsia="en-US"/>
              </w:rPr>
            </w:pPr>
            <w:r w:rsidRPr="00676A9B">
              <w:rPr>
                <w:rFonts w:ascii="Arial" w:hAnsi="Arial" w:cs="Arial"/>
                <w:sz w:val="18"/>
                <w:szCs w:val="18"/>
                <w:lang w:eastAsia="en-US"/>
              </w:rPr>
              <w:t>58.398,04</w:t>
            </w:r>
          </w:p>
        </w:tc>
        <w:tc>
          <w:tcPr>
            <w:tcW w:w="10029" w:type="dxa"/>
            <w:vAlign w:val="center"/>
          </w:tcPr>
          <w:p w14:paraId="53A9AD8F" w14:textId="77777777" w:rsidR="00676A9B" w:rsidRPr="00676A9B" w:rsidRDefault="00676A9B" w:rsidP="00676A9B">
            <w:pPr>
              <w:jc w:val="both"/>
              <w:rPr>
                <w:sz w:val="16"/>
                <w:szCs w:val="16"/>
                <w:highlight w:val="yellow"/>
                <w:lang w:eastAsia="en-US"/>
              </w:rPr>
            </w:pPr>
            <w:r w:rsidRPr="00676A9B">
              <w:rPr>
                <w:rFonts w:ascii="Arial" w:hAnsi="Arial" w:cs="Arial"/>
                <w:sz w:val="16"/>
                <w:szCs w:val="16"/>
                <w:lang w:eastAsia="en-US"/>
              </w:rPr>
              <w:t>11 potpora za kupnju nekretnine ( Čilipi 1; Zvekovica 7 i Cavtat 3), 4 potpore za gradnju kuće (po jedna u naseljima Dubravka, Gruda, Čilipi i Cavtat); 16 potpora za preuređenje postojeće nekretnine (Dubravka 7; Palje Brdo 2; Vodovađa 1; Karasovići 1; Vitaljina 1; Gabrili 2; Gruda 1 i Močići 1 )</w:t>
            </w:r>
          </w:p>
        </w:tc>
      </w:tr>
    </w:tbl>
    <w:p w14:paraId="08391E07"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12419B88" w14:textId="77777777" w:rsidR="00676A9B" w:rsidRPr="00676A9B" w:rsidRDefault="00676A9B" w:rsidP="00676A9B">
      <w:pPr>
        <w:autoSpaceDE w:val="0"/>
        <w:autoSpaceDN w:val="0"/>
        <w:adjustRightInd w:val="0"/>
        <w:spacing w:after="0" w:line="240" w:lineRule="auto"/>
        <w:jc w:val="both"/>
        <w:rPr>
          <w:rFonts w:ascii="Arial" w:eastAsia="Calibri" w:hAnsi="Arial" w:cs="Arial"/>
          <w:color w:val="FF0000"/>
          <w:sz w:val="20"/>
          <w:szCs w:val="20"/>
        </w:rPr>
      </w:pPr>
      <w:r w:rsidRPr="00676A9B">
        <w:rPr>
          <w:rFonts w:ascii="Arial" w:eastAsia="Calibri" w:hAnsi="Arial" w:cs="Arial"/>
          <w:sz w:val="20"/>
          <w:szCs w:val="20"/>
        </w:rPr>
        <w:t>Aktivnosti vezane uz opće ciljeve postignute su sukladno postocima izvršenja i u skladu s očekivanom dinamikom izvršenja rashoda.</w:t>
      </w:r>
      <w:r w:rsidRPr="00676A9B">
        <w:rPr>
          <w:rFonts w:ascii="Arial" w:eastAsia="Calibri" w:hAnsi="Arial" w:cs="Arial"/>
          <w:color w:val="FF0000"/>
          <w:sz w:val="20"/>
          <w:szCs w:val="20"/>
        </w:rPr>
        <w:br w:type="page"/>
      </w:r>
    </w:p>
    <w:p w14:paraId="79F87197" w14:textId="77777777" w:rsidR="00676A9B" w:rsidRPr="00676A9B" w:rsidRDefault="00676A9B" w:rsidP="00676A9B">
      <w:pPr>
        <w:keepNext/>
        <w:spacing w:after="0" w:line="240" w:lineRule="auto"/>
        <w:jc w:val="both"/>
        <w:outlineLvl w:val="2"/>
        <w:rPr>
          <w:rFonts w:ascii="Times New Roman" w:eastAsia="Calibri" w:hAnsi="Times New Roman" w:cs="Times New Roman"/>
          <w:b/>
          <w:sz w:val="24"/>
          <w:szCs w:val="20"/>
          <w:lang w:eastAsia="en-US"/>
        </w:rPr>
      </w:pPr>
      <w:bookmarkStart w:id="400" w:name="_Toc200628509"/>
      <w:bookmarkStart w:id="401" w:name="_Toc232981441"/>
      <w:r w:rsidRPr="00676A9B">
        <w:rPr>
          <w:rFonts w:ascii="Times New Roman" w:eastAsia="Calibri" w:hAnsi="Times New Roman" w:cs="Times New Roman"/>
          <w:b/>
          <w:sz w:val="24"/>
          <w:szCs w:val="20"/>
          <w:lang w:eastAsia="en-US"/>
        </w:rPr>
        <w:lastRenderedPageBreak/>
        <w:t>Program (2041): Program socijalne pomoći</w:t>
      </w:r>
      <w:bookmarkEnd w:id="400"/>
      <w:bookmarkEnd w:id="401"/>
      <w:r w:rsidRPr="00676A9B">
        <w:rPr>
          <w:rFonts w:ascii="Times New Roman" w:eastAsia="Calibri" w:hAnsi="Times New Roman" w:cs="Times New Roman"/>
          <w:b/>
          <w:sz w:val="24"/>
          <w:szCs w:val="20"/>
          <w:lang w:eastAsia="en-US"/>
        </w:rPr>
        <w:t xml:space="preserve"> </w:t>
      </w:r>
    </w:p>
    <w:p w14:paraId="4B2AAF1B" w14:textId="77777777" w:rsidR="00676A9B" w:rsidRPr="00676A9B" w:rsidRDefault="00676A9B" w:rsidP="00676A9B">
      <w:pPr>
        <w:spacing w:after="0" w:line="240" w:lineRule="auto"/>
        <w:jc w:val="both"/>
        <w:rPr>
          <w:rFonts w:ascii="Arial" w:eastAsia="Calibri" w:hAnsi="Arial" w:cs="Arial"/>
          <w:sz w:val="20"/>
          <w:szCs w:val="20"/>
          <w:lang w:eastAsia="en-US"/>
        </w:rPr>
      </w:pPr>
    </w:p>
    <w:tbl>
      <w:tblPr>
        <w:tblW w:w="141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9"/>
        <w:gridCol w:w="12731"/>
      </w:tblGrid>
      <w:tr w:rsidR="00676A9B" w:rsidRPr="00676A9B" w14:paraId="651C9D19" w14:textId="77777777" w:rsidTr="00410A4B">
        <w:tc>
          <w:tcPr>
            <w:tcW w:w="1439" w:type="dxa"/>
            <w:tcBorders>
              <w:top w:val="dotted" w:sz="4" w:space="0" w:color="auto"/>
              <w:left w:val="dotted" w:sz="4" w:space="0" w:color="auto"/>
              <w:bottom w:val="dotted" w:sz="4" w:space="0" w:color="auto"/>
              <w:right w:val="dotted" w:sz="4" w:space="0" w:color="auto"/>
            </w:tcBorders>
            <w:hideMark/>
          </w:tcPr>
          <w:p w14:paraId="3F8C8563"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OPIS PROGRAMA:</w:t>
            </w:r>
          </w:p>
        </w:tc>
        <w:tc>
          <w:tcPr>
            <w:tcW w:w="12731" w:type="dxa"/>
            <w:tcBorders>
              <w:top w:val="dotted" w:sz="4" w:space="0" w:color="auto"/>
              <w:left w:val="dotted" w:sz="4" w:space="0" w:color="auto"/>
              <w:bottom w:val="dotted" w:sz="4" w:space="0" w:color="auto"/>
              <w:right w:val="dotted" w:sz="4" w:space="0" w:color="auto"/>
            </w:tcBorders>
            <w:hideMark/>
          </w:tcPr>
          <w:p w14:paraId="0CE5F3FF"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Socijalni program namijenjen je svim stanovnicima Općine kojima je u danom trenutku potrebna dodatna socijalna skrb, posebno djeci, mladima i starijim osobama.</w:t>
            </w:r>
          </w:p>
          <w:p w14:paraId="6CCE269F"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Povećanjem osnovnih životnih uvjeta socijalno ugroženih obitelji i domaćinstava postiže se veće zadovoljstvo cjelokupnog stanovništva i smanjuje broj društveno neprihvatljivog ponašanja.</w:t>
            </w:r>
          </w:p>
          <w:p w14:paraId="3BAC8950"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Program se provodi s ciljem osiguravanja socijalne pomoći i usluga socijalne skrbi za socijalno najugroženije i najranjivije skupine građana. Radi se o stanovnicima koji ostvaruju pravo na pomoći jer udovoljavaju uvjetima iz Programa socijalno zdravstvenih potreba. Programom su obuhvaćene i pojedine kategorije kronično ili teže bolesnih osoba, osobe s invaliditetom, stradalnici iz rata, umirovljenici. U okviru programa osiguravaju se materijalni i financijski uvjeti za rad ustanove kojoj je osnivač Općina, kao i drugih udruga koje se bave zaštitom, pružanjem pomoći i podrške socijalno najugroženijim skupinama građana i ostalim građanima kojima je potrebna pomoć za prevladavanje posebnih teškoća ili problema. Zakonska je obveza provoditi nadzor nad provedbom programa i projekata koji se financiraju iz općinskog proračuna.</w:t>
            </w:r>
          </w:p>
        </w:tc>
      </w:tr>
      <w:tr w:rsidR="00676A9B" w:rsidRPr="00676A9B" w14:paraId="31B2C25B" w14:textId="77777777" w:rsidTr="00410A4B">
        <w:tc>
          <w:tcPr>
            <w:tcW w:w="1439" w:type="dxa"/>
            <w:tcBorders>
              <w:top w:val="dotted" w:sz="4" w:space="0" w:color="auto"/>
              <w:left w:val="dotted" w:sz="4" w:space="0" w:color="auto"/>
              <w:bottom w:val="dotted" w:sz="4" w:space="0" w:color="auto"/>
              <w:right w:val="dotted" w:sz="4" w:space="0" w:color="auto"/>
            </w:tcBorders>
            <w:hideMark/>
          </w:tcPr>
          <w:p w14:paraId="15C3BC86" w14:textId="77777777" w:rsidR="00676A9B" w:rsidRPr="00676A9B" w:rsidRDefault="00676A9B" w:rsidP="00676A9B">
            <w:pPr>
              <w:spacing w:after="0" w:line="240" w:lineRule="auto"/>
              <w:jc w:val="both"/>
              <w:rPr>
                <w:rFonts w:ascii="Arial" w:eastAsia="Calibri" w:hAnsi="Arial" w:cs="Arial"/>
                <w:sz w:val="14"/>
                <w:szCs w:val="14"/>
                <w:lang w:eastAsia="en-US"/>
              </w:rPr>
            </w:pPr>
            <w:r w:rsidRPr="00676A9B">
              <w:rPr>
                <w:rFonts w:ascii="Arial" w:eastAsia="Calibri" w:hAnsi="Arial" w:cs="Arial"/>
                <w:sz w:val="14"/>
                <w:szCs w:val="14"/>
                <w:lang w:eastAsia="en-US"/>
              </w:rPr>
              <w:t>ZAKONSKE I DRUGE PRAVNE OSNOVE PROGRAMA:</w:t>
            </w:r>
          </w:p>
        </w:tc>
        <w:tc>
          <w:tcPr>
            <w:tcW w:w="12731" w:type="dxa"/>
            <w:tcBorders>
              <w:top w:val="dotted" w:sz="4" w:space="0" w:color="auto"/>
              <w:left w:val="dotted" w:sz="4" w:space="0" w:color="auto"/>
              <w:bottom w:val="dotted" w:sz="4" w:space="0" w:color="auto"/>
              <w:right w:val="dotted" w:sz="4" w:space="0" w:color="auto"/>
            </w:tcBorders>
            <w:hideMark/>
          </w:tcPr>
          <w:p w14:paraId="11241E80"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rPr>
              <w:t>Zakon o lokalnoj i područnoj (regionalnoj) samoupravi (NN 33/01,60/01,129/05, 109/07,125/08, 36/09, 150/11, 144/12, 19/13, 137/15, 123/17, 98/19, 144/20), Zakon o socijalnoj skrbi (NN 18/22, 46/22, 119/22, 71/23, 156/23, 61/25), Statut Općine i drugi akti</w:t>
            </w:r>
          </w:p>
        </w:tc>
      </w:tr>
      <w:tr w:rsidR="00676A9B" w:rsidRPr="00676A9B" w14:paraId="56916413" w14:textId="77777777" w:rsidTr="00410A4B">
        <w:tc>
          <w:tcPr>
            <w:tcW w:w="1439" w:type="dxa"/>
            <w:tcBorders>
              <w:top w:val="dotted" w:sz="4" w:space="0" w:color="auto"/>
              <w:left w:val="dotted" w:sz="4" w:space="0" w:color="auto"/>
              <w:bottom w:val="dotted" w:sz="4" w:space="0" w:color="auto"/>
              <w:right w:val="dotted" w:sz="4" w:space="0" w:color="auto"/>
            </w:tcBorders>
            <w:hideMark/>
          </w:tcPr>
          <w:p w14:paraId="31D6FD31"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OPĆI CILJ:</w:t>
            </w:r>
          </w:p>
        </w:tc>
        <w:tc>
          <w:tcPr>
            <w:tcW w:w="12731" w:type="dxa"/>
            <w:tcBorders>
              <w:top w:val="dotted" w:sz="4" w:space="0" w:color="auto"/>
              <w:left w:val="dotted" w:sz="4" w:space="0" w:color="auto"/>
              <w:bottom w:val="dotted" w:sz="4" w:space="0" w:color="auto"/>
              <w:right w:val="dotted" w:sz="4" w:space="0" w:color="auto"/>
            </w:tcBorders>
          </w:tcPr>
          <w:p w14:paraId="1FBC1C5E"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Cilj: Povećanje osnovnih životnih uvjeta socijalno ugroženim obiteljima i kućanstvima</w:t>
            </w:r>
          </w:p>
          <w:p w14:paraId="0E98F447"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p>
          <w:p w14:paraId="1CE00F21"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Svrha ovog programa je osigurati stanovnicima općine viši standard socijalne zaštite od onog koji svojim programima osigurava država.</w:t>
            </w:r>
          </w:p>
          <w:p w14:paraId="5AB11577"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Unapređenje kvalitete života pojedinaca i obitelji, pomoć ugroženim kategorijama stanovništva.</w:t>
            </w:r>
          </w:p>
        </w:tc>
      </w:tr>
      <w:tr w:rsidR="00676A9B" w:rsidRPr="00676A9B" w14:paraId="399415B0" w14:textId="77777777" w:rsidTr="00410A4B">
        <w:tc>
          <w:tcPr>
            <w:tcW w:w="1439" w:type="dxa"/>
            <w:tcBorders>
              <w:top w:val="dotted" w:sz="4" w:space="0" w:color="auto"/>
              <w:left w:val="dotted" w:sz="4" w:space="0" w:color="auto"/>
              <w:bottom w:val="dotted" w:sz="4" w:space="0" w:color="auto"/>
              <w:right w:val="dotted" w:sz="4" w:space="0" w:color="auto"/>
            </w:tcBorders>
            <w:vAlign w:val="bottom"/>
          </w:tcPr>
          <w:p w14:paraId="22B911AF"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POSEBNI CILJEVI:</w:t>
            </w:r>
          </w:p>
        </w:tc>
        <w:tc>
          <w:tcPr>
            <w:tcW w:w="12731" w:type="dxa"/>
            <w:tcBorders>
              <w:top w:val="dotted" w:sz="4" w:space="0" w:color="auto"/>
              <w:left w:val="dotted" w:sz="4" w:space="0" w:color="auto"/>
              <w:bottom w:val="dotted" w:sz="4" w:space="0" w:color="auto"/>
              <w:right w:val="dotted" w:sz="4" w:space="0" w:color="auto"/>
            </w:tcBorders>
            <w:vAlign w:val="bottom"/>
          </w:tcPr>
          <w:p w14:paraId="30E825D1"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Ublažavanje poteškoća u rješavanju svakodnevnih osnovnih i ostalih životnih potreba.</w:t>
            </w:r>
          </w:p>
          <w:p w14:paraId="54FF8217"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Programom se pomaže ostvariti kvalitetniji život socijalno ugroženim kategorijama stanovništva (osiguranje pomoći kako bi korisnici mogli ostvariti osnovne životne potrebe, pomoć slabima, nemoćnima i invalidima kako bi kroz udruge riješili zajednički, jedinstveni cilj, ostvarili višu razinu socijalno zdravstvenih usluga za domicilno stanovništvo) i posebnih ciljeva (očuvanje zdravlja djece i ostalih, briga za bolesne stanovnike).</w:t>
            </w:r>
          </w:p>
          <w:p w14:paraId="692E8AEA"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Calibri" w:hAnsi="Arial" w:cs="Arial"/>
                <w:sz w:val="20"/>
                <w:szCs w:val="20"/>
                <w:lang w:eastAsia="en-US"/>
              </w:rPr>
              <w:t>Isplaćenim novčanim sredstvima, sukladno Zakonu i Programu socijalno zdravstvenih potreba, pomoći stanovništvu koji ostvaruju pravo na ove pomoći, ublažiti socijalne nejednakosti.</w:t>
            </w:r>
          </w:p>
        </w:tc>
      </w:tr>
    </w:tbl>
    <w:p w14:paraId="0110E33F" w14:textId="77777777" w:rsidR="00676A9B" w:rsidRPr="00676A9B" w:rsidRDefault="00676A9B" w:rsidP="00676A9B">
      <w:pPr>
        <w:tabs>
          <w:tab w:val="left" w:pos="709"/>
        </w:tabs>
        <w:spacing w:after="0" w:line="240" w:lineRule="auto"/>
        <w:ind w:left="567"/>
        <w:jc w:val="both"/>
        <w:rPr>
          <w:rFonts w:ascii="Arial" w:eastAsia="Calibri" w:hAnsi="Arial" w:cs="Arial"/>
          <w:sz w:val="18"/>
          <w:szCs w:val="18"/>
          <w:lang w:eastAsia="en-US"/>
        </w:rPr>
      </w:pPr>
    </w:p>
    <w:p w14:paraId="7FEAA759" w14:textId="77777777" w:rsidR="00676A9B" w:rsidRPr="00676A9B" w:rsidRDefault="00676A9B" w:rsidP="00676A9B">
      <w:pPr>
        <w:spacing w:after="0" w:line="240" w:lineRule="auto"/>
        <w:jc w:val="both"/>
        <w:rPr>
          <w:rFonts w:ascii="Arial" w:eastAsia="Calibri" w:hAnsi="Arial" w:cs="Arial"/>
          <w:sz w:val="14"/>
          <w:szCs w:val="20"/>
          <w:lang w:eastAsia="en-US"/>
        </w:rPr>
      </w:pPr>
    </w:p>
    <w:p w14:paraId="6822FBC4"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676A9B">
        <w:rPr>
          <w:rFonts w:ascii="Arial" w:eastAsia="Calibri" w:hAnsi="Arial" w:cs="Arial"/>
          <w:b/>
          <w:sz w:val="20"/>
          <w:szCs w:val="20"/>
          <w:lang w:eastAsia="en-US"/>
        </w:rPr>
        <w:t>Procjena i ishodište potrebnih sredstava za aktivnosti unutar programa</w:t>
      </w:r>
    </w:p>
    <w:p w14:paraId="21216BF1" w14:textId="77777777" w:rsidR="00676A9B" w:rsidRPr="00676A9B" w:rsidRDefault="00676A9B" w:rsidP="00676A9B">
      <w:pPr>
        <w:spacing w:after="0" w:line="240" w:lineRule="auto"/>
        <w:jc w:val="both"/>
        <w:rPr>
          <w:rFonts w:ascii="Arial" w:eastAsia="Calibri" w:hAnsi="Arial" w:cs="Arial"/>
          <w:sz w:val="20"/>
          <w:szCs w:val="20"/>
        </w:rPr>
      </w:pPr>
    </w:p>
    <w:p w14:paraId="1A36B8F2" w14:textId="6130FDEA" w:rsidR="00676A9B" w:rsidRPr="00676A9B" w:rsidRDefault="008A16BA" w:rsidP="00676A9B">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4061DED3" w14:textId="77777777" w:rsidR="00676A9B" w:rsidRPr="00676A9B" w:rsidRDefault="00676A9B" w:rsidP="00676A9B">
      <w:pPr>
        <w:spacing w:after="0" w:line="240" w:lineRule="auto"/>
        <w:jc w:val="both"/>
        <w:rPr>
          <w:rFonts w:ascii="Arial" w:eastAsia="Calibri" w:hAnsi="Arial" w:cs="Arial"/>
          <w:sz w:val="20"/>
          <w:szCs w:val="20"/>
        </w:rPr>
      </w:pPr>
    </w:p>
    <w:p w14:paraId="05AE265D" w14:textId="77777777" w:rsidR="00676A9B" w:rsidRPr="00676A9B" w:rsidRDefault="00676A9B" w:rsidP="00676A9B">
      <w:pPr>
        <w:spacing w:after="0" w:line="240" w:lineRule="auto"/>
        <w:jc w:val="both"/>
        <w:rPr>
          <w:rFonts w:ascii="Arial" w:eastAsia="Calibri" w:hAnsi="Arial" w:cs="Arial"/>
          <w:sz w:val="20"/>
          <w:szCs w:val="20"/>
        </w:rPr>
      </w:pPr>
    </w:p>
    <w:p w14:paraId="05026BDF" w14:textId="25FF9D70" w:rsidR="00676A9B" w:rsidRDefault="00EC0E24" w:rsidP="00676A9B">
      <w:pPr>
        <w:spacing w:after="0" w:line="240" w:lineRule="auto"/>
        <w:jc w:val="both"/>
        <w:rPr>
          <w:rFonts w:ascii="Arial" w:eastAsia="Calibri" w:hAnsi="Arial" w:cs="Arial"/>
          <w:sz w:val="20"/>
          <w:szCs w:val="20"/>
        </w:rPr>
      </w:pPr>
      <w:r w:rsidRPr="00EC0E24">
        <w:rPr>
          <w:noProof/>
        </w:rPr>
        <w:lastRenderedPageBreak/>
        <w:drawing>
          <wp:inline distT="0" distB="0" distL="0" distR="0" wp14:anchorId="60A5529F" wp14:editId="2F21E4A6">
            <wp:extent cx="9251950" cy="5395595"/>
            <wp:effectExtent l="0" t="0" r="6350" b="0"/>
            <wp:docPr id="2058472668"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9251950" cy="5395595"/>
                    </a:xfrm>
                    <a:prstGeom prst="rect">
                      <a:avLst/>
                    </a:prstGeom>
                    <a:noFill/>
                    <a:ln>
                      <a:noFill/>
                    </a:ln>
                  </pic:spPr>
                </pic:pic>
              </a:graphicData>
            </a:graphic>
          </wp:inline>
        </w:drawing>
      </w:r>
    </w:p>
    <w:p w14:paraId="316D547B" w14:textId="77777777" w:rsidR="00EC0E24" w:rsidRDefault="00EC0E24" w:rsidP="00676A9B">
      <w:pPr>
        <w:spacing w:after="0" w:line="240" w:lineRule="auto"/>
        <w:jc w:val="both"/>
        <w:rPr>
          <w:rFonts w:ascii="Arial" w:eastAsia="Calibri" w:hAnsi="Arial" w:cs="Arial"/>
          <w:sz w:val="20"/>
          <w:szCs w:val="20"/>
        </w:rPr>
      </w:pPr>
    </w:p>
    <w:p w14:paraId="6B3B61D3" w14:textId="77777777" w:rsidR="00EC0E24" w:rsidRDefault="00EC0E24" w:rsidP="00676A9B">
      <w:pPr>
        <w:spacing w:after="0" w:line="240" w:lineRule="auto"/>
        <w:jc w:val="both"/>
        <w:rPr>
          <w:rFonts w:ascii="Arial" w:eastAsia="Calibri" w:hAnsi="Arial" w:cs="Arial"/>
          <w:sz w:val="20"/>
          <w:szCs w:val="20"/>
        </w:rPr>
      </w:pPr>
    </w:p>
    <w:p w14:paraId="0060FA54" w14:textId="77777777" w:rsidR="00EC0E24" w:rsidRDefault="00EC0E24" w:rsidP="00676A9B">
      <w:pPr>
        <w:spacing w:after="0" w:line="240" w:lineRule="auto"/>
        <w:jc w:val="both"/>
        <w:rPr>
          <w:rFonts w:ascii="Arial" w:eastAsia="Calibri" w:hAnsi="Arial" w:cs="Arial"/>
          <w:sz w:val="20"/>
          <w:szCs w:val="20"/>
        </w:rPr>
      </w:pPr>
    </w:p>
    <w:p w14:paraId="1DF49C33" w14:textId="77777777" w:rsidR="00EC0E24" w:rsidRDefault="00EC0E24" w:rsidP="00676A9B">
      <w:pPr>
        <w:spacing w:after="0" w:line="240" w:lineRule="auto"/>
        <w:jc w:val="both"/>
        <w:rPr>
          <w:rFonts w:ascii="Arial" w:eastAsia="Calibri" w:hAnsi="Arial" w:cs="Arial"/>
          <w:sz w:val="20"/>
          <w:szCs w:val="20"/>
        </w:rPr>
      </w:pPr>
    </w:p>
    <w:p w14:paraId="7ACEDD16" w14:textId="50126964" w:rsidR="00EC0E24" w:rsidRDefault="00EC0E24" w:rsidP="00676A9B">
      <w:pPr>
        <w:spacing w:after="0" w:line="240" w:lineRule="auto"/>
        <w:jc w:val="both"/>
        <w:rPr>
          <w:rFonts w:ascii="Arial" w:eastAsia="Calibri" w:hAnsi="Arial" w:cs="Arial"/>
          <w:sz w:val="20"/>
          <w:szCs w:val="20"/>
        </w:rPr>
      </w:pPr>
      <w:r w:rsidRPr="00EC0E24">
        <w:rPr>
          <w:noProof/>
        </w:rPr>
        <w:lastRenderedPageBreak/>
        <w:drawing>
          <wp:inline distT="0" distB="0" distL="0" distR="0" wp14:anchorId="71432012" wp14:editId="6FEA90D2">
            <wp:extent cx="9251950" cy="1816100"/>
            <wp:effectExtent l="0" t="0" r="6350" b="0"/>
            <wp:docPr id="1044003589"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9251950" cy="1816100"/>
                    </a:xfrm>
                    <a:prstGeom prst="rect">
                      <a:avLst/>
                    </a:prstGeom>
                    <a:noFill/>
                    <a:ln>
                      <a:noFill/>
                    </a:ln>
                  </pic:spPr>
                </pic:pic>
              </a:graphicData>
            </a:graphic>
          </wp:inline>
        </w:drawing>
      </w:r>
    </w:p>
    <w:p w14:paraId="5E8D295A" w14:textId="77777777" w:rsidR="00676A9B" w:rsidRPr="00676A9B" w:rsidRDefault="00676A9B">
      <w:pPr>
        <w:numPr>
          <w:ilvl w:val="0"/>
          <w:numId w:val="6"/>
        </w:numPr>
        <w:tabs>
          <w:tab w:val="left" w:pos="709"/>
        </w:tabs>
        <w:spacing w:after="0" w:line="240" w:lineRule="auto"/>
        <w:ind w:left="567" w:hanging="567"/>
        <w:jc w:val="both"/>
        <w:rPr>
          <w:rFonts w:ascii="Arial" w:eastAsia="Calibri" w:hAnsi="Arial" w:cs="Arial"/>
          <w:sz w:val="18"/>
          <w:szCs w:val="18"/>
        </w:rPr>
      </w:pPr>
      <w:r w:rsidRPr="00676A9B">
        <w:rPr>
          <w:rFonts w:ascii="Arial" w:eastAsia="Calibri" w:hAnsi="Arial" w:cs="Arial"/>
          <w:sz w:val="18"/>
          <w:szCs w:val="18"/>
        </w:rPr>
        <w:t xml:space="preserve">U razdoblju 2019. program 2041. se razdvojio na dva dijela, odnosno na 2040. program demografskih mjera i 2041. program socijalne pomoći. Zbog navedenog razloga u slijedećem proračunskom razdoblju su i izvršenja prethodnih godina podijeljena kroz ove dvije aktivnosti. U okviru novoimenovanih aktivnosti, radi kontinuiteta, prikazuju se izvršenja istovrsnih rashoda, odnosno izvršenja iz prethodnih godina, iako su ranije bila iskazana kroz aktivnosti drugačijeg naziva. </w:t>
      </w:r>
    </w:p>
    <w:p w14:paraId="68783B4F"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b/>
          <w:sz w:val="20"/>
          <w:szCs w:val="20"/>
          <w:lang w:eastAsia="en-US"/>
        </w:rPr>
        <w:t>RAZLOG ODSTUPANJA OD PROŠLOGODIŠNJIH PROJEKCIJA</w:t>
      </w:r>
      <w:r w:rsidRPr="00676A9B">
        <w:rPr>
          <w:rFonts w:ascii="Arial" w:eastAsia="Times New Roman" w:hAnsi="Arial" w:cs="Arial"/>
          <w:sz w:val="20"/>
          <w:szCs w:val="20"/>
          <w:lang w:eastAsia="en-US"/>
        </w:rPr>
        <w:t xml:space="preserve">: </w:t>
      </w:r>
    </w:p>
    <w:p w14:paraId="678828D4"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sz w:val="20"/>
          <w:szCs w:val="20"/>
          <w:lang w:eastAsia="en-US"/>
        </w:rPr>
        <w:t>Po navedenom programu nije bilo značajnijih odstupanja.</w:t>
      </w:r>
    </w:p>
    <w:p w14:paraId="6D9332C4" w14:textId="77777777" w:rsidR="00676A9B" w:rsidRPr="00676A9B" w:rsidRDefault="00676A9B" w:rsidP="00676A9B">
      <w:pPr>
        <w:spacing w:after="0" w:line="240" w:lineRule="auto"/>
        <w:jc w:val="both"/>
        <w:rPr>
          <w:rFonts w:ascii="Arial" w:eastAsia="Calibri" w:hAnsi="Arial" w:cs="Arial"/>
          <w:i/>
          <w:sz w:val="20"/>
          <w:szCs w:val="20"/>
          <w:lang w:eastAsia="en-US"/>
        </w:rPr>
      </w:pPr>
      <w:r w:rsidRPr="00676A9B">
        <w:rPr>
          <w:rFonts w:ascii="Arial" w:eastAsia="Calibri" w:hAnsi="Arial" w:cs="Arial"/>
          <w:b/>
          <w:sz w:val="20"/>
          <w:szCs w:val="20"/>
          <w:lang w:eastAsia="en-US"/>
        </w:rPr>
        <w:t>Ishodište i pokazatelji na kojima se zasnivaju izračuni i ocjene</w:t>
      </w:r>
      <w:r w:rsidRPr="00676A9B">
        <w:rPr>
          <w:rFonts w:ascii="Arial" w:eastAsia="Calibri" w:hAnsi="Arial" w:cs="Arial"/>
          <w:sz w:val="20"/>
          <w:szCs w:val="20"/>
          <w:lang w:eastAsia="en-US"/>
        </w:rPr>
        <w:t xml:space="preserve"> </w:t>
      </w:r>
      <w:r w:rsidRPr="00676A9B">
        <w:rPr>
          <w:rFonts w:ascii="Arial" w:eastAsia="Calibri" w:hAnsi="Arial" w:cs="Arial"/>
          <w:b/>
          <w:sz w:val="20"/>
          <w:szCs w:val="20"/>
          <w:lang w:eastAsia="en-US"/>
        </w:rPr>
        <w:t>potrebnih sredstava za provođenje programa:</w:t>
      </w:r>
      <w:r w:rsidRPr="00676A9B">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430F7CAB" w14:textId="77777777" w:rsidR="00676A9B" w:rsidRPr="00676A9B" w:rsidRDefault="00676A9B" w:rsidP="00676A9B">
      <w:pPr>
        <w:shd w:val="clear" w:color="auto" w:fill="FFFFFF"/>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Izvještaj o postignutim ciljevima i rezultatima programa temeljenim na pokazateljima uspješnosti u prethodnoj godini</w:t>
      </w:r>
      <w:r w:rsidRPr="00676A9B">
        <w:rPr>
          <w:rFonts w:ascii="Arial" w:eastAsia="Calibri" w:hAnsi="Arial" w:cs="Arial"/>
          <w:sz w:val="20"/>
          <w:szCs w:val="20"/>
          <w:lang w:eastAsia="en-US"/>
        </w:rPr>
        <w:t>: Izvršenje je u okviru očekivanih vrijednosti.</w:t>
      </w:r>
    </w:p>
    <w:p w14:paraId="442E8283" w14:textId="77777777" w:rsidR="00676A9B" w:rsidRPr="00676A9B" w:rsidRDefault="00676A9B" w:rsidP="00676A9B">
      <w:pPr>
        <w:spacing w:after="0" w:line="240" w:lineRule="auto"/>
        <w:rPr>
          <w:rFonts w:ascii="Arial" w:eastAsia="Calibri" w:hAnsi="Arial" w:cs="Arial"/>
          <w:sz w:val="20"/>
          <w:szCs w:val="20"/>
        </w:rPr>
      </w:pPr>
    </w:p>
    <w:p w14:paraId="4751C5FD" w14:textId="64B63079" w:rsidR="00676A9B" w:rsidRPr="00676A9B" w:rsidRDefault="00EC0E24" w:rsidP="00676A9B">
      <w:pPr>
        <w:spacing w:after="0" w:line="240" w:lineRule="auto"/>
        <w:jc w:val="both"/>
        <w:rPr>
          <w:rFonts w:ascii="Arial" w:eastAsia="Calibri" w:hAnsi="Arial" w:cs="Arial"/>
          <w:sz w:val="20"/>
          <w:szCs w:val="20"/>
          <w:lang w:eastAsia="en-US"/>
        </w:rPr>
      </w:pPr>
      <w:r w:rsidRPr="00EC0E24">
        <w:rPr>
          <w:rFonts w:ascii="Arial" w:eastAsia="Calibri" w:hAnsi="Arial" w:cs="Arial"/>
          <w:sz w:val="20"/>
          <w:szCs w:val="20"/>
          <w:lang w:eastAsia="en-US"/>
        </w:rPr>
        <w:t xml:space="preserve">Ukupno planirana sredstva na razini programa 2041 iznose </w:t>
      </w:r>
      <w:r>
        <w:rPr>
          <w:rFonts w:ascii="Arial" w:eastAsia="Calibri" w:hAnsi="Arial" w:cs="Arial"/>
          <w:sz w:val="20"/>
          <w:szCs w:val="20"/>
          <w:lang w:eastAsia="en-US"/>
        </w:rPr>
        <w:t>473.160</w:t>
      </w:r>
      <w:r w:rsidRPr="00EC0E24">
        <w:rPr>
          <w:rFonts w:ascii="Arial" w:eastAsia="Calibri" w:hAnsi="Arial" w:cs="Arial"/>
          <w:sz w:val="20"/>
          <w:szCs w:val="20"/>
          <w:lang w:eastAsia="en-US"/>
        </w:rPr>
        <w:t xml:space="preserve"> € za 2025. godinu, 531.400 € za 2026. godinu, te 531.400 € za 2027. godinu. </w:t>
      </w:r>
    </w:p>
    <w:p w14:paraId="2725520E" w14:textId="57B89FB0" w:rsidR="00676A9B" w:rsidRPr="00676A9B" w:rsidRDefault="00676A9B" w:rsidP="00676A9B">
      <w:pPr>
        <w:spacing w:after="0" w:line="254" w:lineRule="auto"/>
        <w:jc w:val="both"/>
        <w:rPr>
          <w:rFonts w:ascii="Arial" w:eastAsia="Calibri" w:hAnsi="Arial" w:cs="Arial"/>
          <w:sz w:val="20"/>
          <w:szCs w:val="20"/>
          <w:lang w:eastAsia="en-US"/>
        </w:rPr>
      </w:pPr>
      <w:r w:rsidRPr="00676A9B">
        <w:rPr>
          <w:rFonts w:ascii="Arial" w:eastAsia="Calibri" w:hAnsi="Arial" w:cs="Arial"/>
          <w:sz w:val="20"/>
          <w:szCs w:val="20"/>
          <w:lang w:eastAsia="en-US"/>
        </w:rPr>
        <w:t>Rashodi su za 202</w:t>
      </w:r>
      <w:r w:rsidR="00EC0E24">
        <w:rPr>
          <w:rFonts w:ascii="Arial" w:eastAsia="Calibri" w:hAnsi="Arial" w:cs="Arial"/>
          <w:sz w:val="20"/>
          <w:szCs w:val="20"/>
          <w:lang w:eastAsia="en-US"/>
        </w:rPr>
        <w:t>5</w:t>
      </w:r>
      <w:r w:rsidRPr="00676A9B">
        <w:rPr>
          <w:rFonts w:ascii="Arial" w:eastAsia="Calibri" w:hAnsi="Arial" w:cs="Arial"/>
          <w:sz w:val="20"/>
          <w:szCs w:val="20"/>
          <w:lang w:eastAsia="en-US"/>
        </w:rPr>
        <w:t xml:space="preserve">. godinu izvršeni u iznosu </w:t>
      </w:r>
      <w:r w:rsidR="00EC0E24">
        <w:rPr>
          <w:rFonts w:ascii="Arial" w:eastAsia="Calibri" w:hAnsi="Arial" w:cs="Arial"/>
          <w:sz w:val="20"/>
          <w:szCs w:val="20"/>
          <w:lang w:eastAsia="en-US"/>
        </w:rPr>
        <w:t>415.783,37</w:t>
      </w:r>
      <w:r w:rsidRPr="00676A9B">
        <w:rPr>
          <w:rFonts w:ascii="Arial" w:eastAsia="Calibri" w:hAnsi="Arial" w:cs="Arial"/>
          <w:sz w:val="20"/>
          <w:szCs w:val="20"/>
          <w:lang w:eastAsia="en-US"/>
        </w:rPr>
        <w:t xml:space="preserve"> € ili 8</w:t>
      </w:r>
      <w:r w:rsidR="00EC0E24">
        <w:rPr>
          <w:rFonts w:ascii="Arial" w:eastAsia="Calibri" w:hAnsi="Arial" w:cs="Arial"/>
          <w:sz w:val="20"/>
          <w:szCs w:val="20"/>
          <w:lang w:eastAsia="en-US"/>
        </w:rPr>
        <w:t>7</w:t>
      </w:r>
      <w:r w:rsidRPr="00676A9B">
        <w:rPr>
          <w:rFonts w:ascii="Arial" w:eastAsia="Calibri" w:hAnsi="Arial" w:cs="Arial"/>
          <w:sz w:val="20"/>
          <w:szCs w:val="20"/>
          <w:lang w:eastAsia="en-US"/>
        </w:rPr>
        <w:t>,9% programa.</w:t>
      </w:r>
    </w:p>
    <w:p w14:paraId="5DC9A013" w14:textId="77777777" w:rsidR="00676A9B" w:rsidRPr="00676A9B" w:rsidRDefault="00676A9B" w:rsidP="00676A9B">
      <w:pPr>
        <w:spacing w:after="0" w:line="254" w:lineRule="auto"/>
        <w:jc w:val="both"/>
        <w:rPr>
          <w:rFonts w:ascii="Arial" w:eastAsia="Calibri" w:hAnsi="Arial" w:cs="Arial"/>
          <w:sz w:val="20"/>
          <w:szCs w:val="20"/>
          <w:lang w:eastAsia="en-US"/>
        </w:rPr>
      </w:pPr>
    </w:p>
    <w:p w14:paraId="1B0EF390"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676A9B">
        <w:rPr>
          <w:rFonts w:ascii="Arial" w:eastAsia="Calibri" w:hAnsi="Arial" w:cs="Arial"/>
          <w:b/>
          <w:sz w:val="20"/>
          <w:szCs w:val="20"/>
          <w:lang w:eastAsia="en-US"/>
        </w:rPr>
        <w:t>Obrazloženje aktivnosti / projekata i pokazatelji uspješnosti</w:t>
      </w:r>
    </w:p>
    <w:p w14:paraId="27A29C0D" w14:textId="77777777" w:rsidR="00676A9B" w:rsidRPr="00676A9B" w:rsidRDefault="00676A9B" w:rsidP="00676A9B">
      <w:pPr>
        <w:spacing w:after="0" w:line="240" w:lineRule="auto"/>
        <w:jc w:val="both"/>
        <w:rPr>
          <w:rFonts w:ascii="Arial" w:eastAsia="Calibri" w:hAnsi="Arial" w:cs="Arial"/>
          <w:sz w:val="20"/>
          <w:szCs w:val="20"/>
          <w:lang w:eastAsia="en-US"/>
        </w:rPr>
      </w:pPr>
    </w:p>
    <w:p w14:paraId="2449762A"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Unutar programa izvode se slijedeće aktivnosti i projekti:</w:t>
      </w:r>
    </w:p>
    <w:p w14:paraId="31470220"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0C294970" w14:textId="340F9DA7" w:rsidR="00676A9B" w:rsidRPr="00676A9B" w:rsidRDefault="00676A9B">
      <w:pPr>
        <w:numPr>
          <w:ilvl w:val="0"/>
          <w:numId w:val="43"/>
        </w:numPr>
        <w:autoSpaceDE w:val="0"/>
        <w:autoSpaceDN w:val="0"/>
        <w:adjustRightInd w:val="0"/>
        <w:spacing w:after="0" w:line="240" w:lineRule="auto"/>
        <w:ind w:left="0" w:firstLine="0"/>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A204101: Pomoć za liječenje </w:t>
      </w:r>
      <w:r w:rsidRPr="00676A9B">
        <w:rPr>
          <w:rFonts w:ascii="Arial" w:eastAsia="Calibri" w:hAnsi="Arial" w:cs="Arial"/>
          <w:sz w:val="20"/>
          <w:szCs w:val="20"/>
          <w:lang w:eastAsia="en-US"/>
        </w:rPr>
        <w:t>– u sklopu navedene aktivnosti su rashodi za naknade građanima i kućanstvima u novcu u skladu s programom socijalne pomoći. Planirana sredstva za provođenje navedene aktivnosti iznose 11.800 €. Rashodi se izvršavaju kao jednokratne novčane pomoći u skladu s odlukama načelnika za liječenje, te za nabavu medicinskih pomagala. U 202</w:t>
      </w:r>
      <w:r w:rsidR="00EC0E24">
        <w:rPr>
          <w:rFonts w:ascii="Arial" w:eastAsia="Calibri" w:hAnsi="Arial" w:cs="Arial"/>
          <w:sz w:val="20"/>
          <w:szCs w:val="20"/>
          <w:lang w:eastAsia="en-US"/>
        </w:rPr>
        <w:t>5</w:t>
      </w:r>
      <w:r w:rsidRPr="00676A9B">
        <w:rPr>
          <w:rFonts w:ascii="Arial" w:eastAsia="Calibri" w:hAnsi="Arial" w:cs="Arial"/>
          <w:sz w:val="20"/>
          <w:szCs w:val="20"/>
          <w:lang w:eastAsia="en-US"/>
        </w:rPr>
        <w:t xml:space="preserve">. rashodi su izvršeni rashodi u iznosu </w:t>
      </w:r>
      <w:r w:rsidR="00EC0E24">
        <w:rPr>
          <w:rFonts w:ascii="Arial" w:eastAsia="Calibri" w:hAnsi="Arial" w:cs="Arial"/>
          <w:sz w:val="20"/>
          <w:szCs w:val="20"/>
          <w:lang w:eastAsia="en-US"/>
        </w:rPr>
        <w:t>8.068,13</w:t>
      </w:r>
      <w:r w:rsidRPr="00676A9B">
        <w:rPr>
          <w:rFonts w:ascii="Arial" w:eastAsia="Calibri" w:hAnsi="Arial" w:cs="Arial"/>
          <w:sz w:val="20"/>
          <w:szCs w:val="20"/>
          <w:lang w:eastAsia="en-US"/>
        </w:rPr>
        <w:t xml:space="preserve"> € i odnose se na osam pomoći za liječenje</w:t>
      </w:r>
      <w:r w:rsidR="00EC0E24">
        <w:rPr>
          <w:rFonts w:ascii="Arial" w:eastAsia="Calibri" w:hAnsi="Arial" w:cs="Arial"/>
          <w:sz w:val="20"/>
          <w:szCs w:val="20"/>
          <w:lang w:eastAsia="en-US"/>
        </w:rPr>
        <w:t xml:space="preserve"> </w:t>
      </w:r>
      <w:r w:rsidR="00EC0E24" w:rsidRPr="00EC0E24">
        <w:rPr>
          <w:rFonts w:ascii="Arial" w:eastAsia="Calibri" w:hAnsi="Arial" w:cs="Arial"/>
          <w:sz w:val="18"/>
          <w:szCs w:val="18"/>
        </w:rPr>
        <w:t>(7.800 €),</w:t>
      </w:r>
      <w:r w:rsidRPr="00676A9B">
        <w:rPr>
          <w:rFonts w:ascii="Arial" w:eastAsia="Calibri" w:hAnsi="Arial" w:cs="Arial"/>
          <w:sz w:val="20"/>
          <w:szCs w:val="20"/>
          <w:lang w:eastAsia="en-US"/>
        </w:rPr>
        <w:t xml:space="preserve">, te pomoć </w:t>
      </w:r>
      <w:bookmarkStart w:id="402" w:name="_Hlk166145014"/>
      <w:r w:rsidRPr="00676A9B">
        <w:rPr>
          <w:rFonts w:ascii="Arial" w:eastAsia="Calibri" w:hAnsi="Arial" w:cs="Arial"/>
          <w:sz w:val="20"/>
          <w:szCs w:val="20"/>
          <w:lang w:eastAsia="en-US"/>
        </w:rPr>
        <w:t xml:space="preserve">za </w:t>
      </w:r>
      <w:bookmarkEnd w:id="402"/>
      <w:r w:rsidRPr="00676A9B">
        <w:rPr>
          <w:rFonts w:ascii="Arial" w:eastAsia="Calibri" w:hAnsi="Arial" w:cs="Arial"/>
          <w:sz w:val="20"/>
          <w:szCs w:val="20"/>
          <w:lang w:eastAsia="en-US"/>
        </w:rPr>
        <w:t>kupnju medicinskog pomagala</w:t>
      </w:r>
      <w:r w:rsidR="00EC0E24">
        <w:rPr>
          <w:rFonts w:ascii="Arial" w:eastAsia="Calibri" w:hAnsi="Arial" w:cs="Arial"/>
          <w:sz w:val="20"/>
          <w:szCs w:val="20"/>
          <w:lang w:eastAsia="en-US"/>
        </w:rPr>
        <w:t xml:space="preserve"> </w:t>
      </w:r>
      <w:r w:rsidR="00EC0E24" w:rsidRPr="00EC0E24">
        <w:rPr>
          <w:rFonts w:ascii="Arial" w:eastAsia="Calibri" w:hAnsi="Arial" w:cs="Arial"/>
          <w:sz w:val="18"/>
          <w:szCs w:val="18"/>
        </w:rPr>
        <w:t>(268,13 €).</w:t>
      </w:r>
      <w:r w:rsidRPr="00676A9B">
        <w:rPr>
          <w:rFonts w:ascii="Arial" w:eastAsia="Calibri" w:hAnsi="Arial" w:cs="Arial"/>
          <w:sz w:val="20"/>
          <w:szCs w:val="20"/>
          <w:lang w:eastAsia="en-US"/>
        </w:rPr>
        <w:t>. Ove pomoći se uvijek planiraju u nešto većem iznosu kako bi sredstva bila raspoloživa u slučaju potrebe.</w:t>
      </w:r>
    </w:p>
    <w:p w14:paraId="55B6C074" w14:textId="77777777" w:rsidR="00676A9B" w:rsidRPr="00676A9B" w:rsidRDefault="00676A9B" w:rsidP="00676A9B">
      <w:pPr>
        <w:autoSpaceDE w:val="0"/>
        <w:autoSpaceDN w:val="0"/>
        <w:adjustRightInd w:val="0"/>
        <w:spacing w:after="0" w:line="240" w:lineRule="auto"/>
        <w:rPr>
          <w:rFonts w:ascii="Arial" w:eastAsia="Calibri" w:hAnsi="Arial" w:cs="Arial"/>
          <w:sz w:val="18"/>
          <w:szCs w:val="18"/>
        </w:rPr>
      </w:pPr>
    </w:p>
    <w:p w14:paraId="5F01F54F" w14:textId="77777777" w:rsidR="00676A9B" w:rsidRPr="00676A9B" w:rsidRDefault="00676A9B" w:rsidP="00676A9B">
      <w:pPr>
        <w:autoSpaceDE w:val="0"/>
        <w:autoSpaceDN w:val="0"/>
        <w:adjustRightInd w:val="0"/>
        <w:spacing w:after="0" w:line="240" w:lineRule="auto"/>
        <w:rPr>
          <w:rFonts w:ascii="Arial" w:eastAsia="Calibri" w:hAnsi="Arial" w:cs="Arial"/>
          <w:sz w:val="18"/>
          <w:szCs w:val="18"/>
        </w:rPr>
      </w:pPr>
    </w:p>
    <w:p w14:paraId="692CC95D" w14:textId="77777777" w:rsidR="00676A9B" w:rsidRPr="00676A9B" w:rsidRDefault="00676A9B" w:rsidP="00676A9B">
      <w:pPr>
        <w:autoSpaceDE w:val="0"/>
        <w:autoSpaceDN w:val="0"/>
        <w:adjustRightInd w:val="0"/>
        <w:spacing w:after="0" w:line="240" w:lineRule="auto"/>
        <w:rPr>
          <w:rFonts w:ascii="Arial" w:eastAsia="Calibri" w:hAnsi="Arial" w:cs="Arial"/>
          <w:sz w:val="18"/>
          <w:szCs w:val="18"/>
        </w:rPr>
      </w:pPr>
    </w:p>
    <w:p w14:paraId="7635E3AD" w14:textId="77777777" w:rsidR="00676A9B" w:rsidRPr="00676A9B" w:rsidRDefault="00676A9B" w:rsidP="00676A9B">
      <w:pPr>
        <w:autoSpaceDE w:val="0"/>
        <w:autoSpaceDN w:val="0"/>
        <w:adjustRightInd w:val="0"/>
        <w:spacing w:after="0" w:line="240" w:lineRule="auto"/>
        <w:rPr>
          <w:rFonts w:ascii="Arial" w:eastAsia="Calibri" w:hAnsi="Arial" w:cs="Arial"/>
          <w:sz w:val="18"/>
          <w:szCs w:val="18"/>
        </w:rPr>
      </w:pPr>
    </w:p>
    <w:p w14:paraId="0C6C5D76" w14:textId="77777777" w:rsidR="00676A9B" w:rsidRPr="00676A9B" w:rsidRDefault="00676A9B" w:rsidP="00676A9B">
      <w:pPr>
        <w:autoSpaceDE w:val="0"/>
        <w:autoSpaceDN w:val="0"/>
        <w:adjustRightInd w:val="0"/>
        <w:spacing w:after="0" w:line="240" w:lineRule="auto"/>
        <w:rPr>
          <w:rFonts w:ascii="Arial" w:eastAsia="Calibri" w:hAnsi="Arial" w:cs="Arial"/>
          <w:sz w:val="18"/>
          <w:szCs w:val="18"/>
        </w:rPr>
      </w:pPr>
    </w:p>
    <w:p w14:paraId="344A23DA" w14:textId="77777777" w:rsidR="00676A9B" w:rsidRPr="00676A9B" w:rsidRDefault="00676A9B" w:rsidP="00676A9B">
      <w:pPr>
        <w:autoSpaceDE w:val="0"/>
        <w:autoSpaceDN w:val="0"/>
        <w:adjustRightInd w:val="0"/>
        <w:spacing w:after="0" w:line="240" w:lineRule="auto"/>
        <w:rPr>
          <w:rFonts w:ascii="Arial" w:eastAsia="Calibri" w:hAnsi="Arial" w:cs="Arial"/>
          <w:sz w:val="18"/>
          <w:szCs w:val="18"/>
        </w:rPr>
      </w:pPr>
    </w:p>
    <w:p w14:paraId="1B4E2D93" w14:textId="77777777" w:rsidR="00676A9B" w:rsidRPr="00676A9B" w:rsidRDefault="00676A9B" w:rsidP="00676A9B">
      <w:pPr>
        <w:autoSpaceDE w:val="0"/>
        <w:autoSpaceDN w:val="0"/>
        <w:adjustRightInd w:val="0"/>
        <w:spacing w:after="0" w:line="240" w:lineRule="auto"/>
        <w:rPr>
          <w:rFonts w:ascii="Arial" w:eastAsia="Calibri" w:hAnsi="Arial" w:cs="Arial"/>
          <w:sz w:val="18"/>
          <w:szCs w:val="18"/>
        </w:rPr>
      </w:pPr>
    </w:p>
    <w:p w14:paraId="21372FE7" w14:textId="77777777" w:rsidR="00676A9B" w:rsidRPr="00676A9B" w:rsidRDefault="00676A9B" w:rsidP="00676A9B">
      <w:pPr>
        <w:autoSpaceDE w:val="0"/>
        <w:autoSpaceDN w:val="0"/>
        <w:adjustRightInd w:val="0"/>
        <w:spacing w:after="0" w:line="240" w:lineRule="auto"/>
        <w:rPr>
          <w:rFonts w:ascii="Arial" w:eastAsia="Calibri" w:hAnsi="Arial" w:cs="Arial"/>
          <w:sz w:val="18"/>
          <w:szCs w:val="18"/>
        </w:rPr>
      </w:pPr>
    </w:p>
    <w:p w14:paraId="5D35800A" w14:textId="77777777" w:rsidR="00676A9B" w:rsidRPr="00676A9B" w:rsidRDefault="00676A9B" w:rsidP="00676A9B">
      <w:pPr>
        <w:spacing w:after="0" w:line="240" w:lineRule="auto"/>
        <w:ind w:left="2832" w:firstLine="708"/>
        <w:jc w:val="both"/>
        <w:rPr>
          <w:rFonts w:ascii="Arial" w:eastAsia="Calibri" w:hAnsi="Arial" w:cs="Arial"/>
          <w:i/>
          <w:sz w:val="20"/>
          <w:szCs w:val="20"/>
          <w:lang w:eastAsia="en-US"/>
        </w:rPr>
      </w:pPr>
      <w:r w:rsidRPr="00676A9B">
        <w:rPr>
          <w:rFonts w:ascii="Arial" w:eastAsia="Calibri" w:hAnsi="Arial" w:cs="Arial"/>
          <w:i/>
          <w:sz w:val="20"/>
          <w:szCs w:val="20"/>
          <w:lang w:eastAsia="en-US"/>
        </w:rPr>
        <w:lastRenderedPageBreak/>
        <w:t>*Usporedba:</w:t>
      </w:r>
    </w:p>
    <w:tbl>
      <w:tblPr>
        <w:tblStyle w:val="Reetkatablice62"/>
        <w:tblW w:w="0" w:type="auto"/>
        <w:jc w:val="center"/>
        <w:tblLook w:val="04A0" w:firstRow="1" w:lastRow="0" w:firstColumn="1" w:lastColumn="0" w:noHBand="0" w:noVBand="1"/>
      </w:tblPr>
      <w:tblGrid>
        <w:gridCol w:w="1384"/>
        <w:gridCol w:w="939"/>
        <w:gridCol w:w="2409"/>
        <w:gridCol w:w="906"/>
        <w:gridCol w:w="1416"/>
      </w:tblGrid>
      <w:tr w:rsidR="009149BB" w:rsidRPr="00676A9B" w14:paraId="1A9082FD" w14:textId="77777777" w:rsidTr="00410A4B">
        <w:trPr>
          <w:jc w:val="center"/>
        </w:trPr>
        <w:tc>
          <w:tcPr>
            <w:tcW w:w="1384" w:type="dxa"/>
            <w:vMerge w:val="restart"/>
            <w:vAlign w:val="center"/>
          </w:tcPr>
          <w:p w14:paraId="687DF8A4" w14:textId="77777777" w:rsidR="009149BB" w:rsidRPr="00676A9B" w:rsidRDefault="009149BB" w:rsidP="00676A9B">
            <w:pPr>
              <w:jc w:val="center"/>
              <w:rPr>
                <w:rFonts w:ascii="Arial" w:eastAsia="Calibri" w:hAnsi="Arial" w:cs="Arial"/>
                <w:i/>
                <w:sz w:val="18"/>
                <w:szCs w:val="18"/>
                <w:lang w:eastAsia="en-US"/>
              </w:rPr>
            </w:pPr>
            <w:r w:rsidRPr="00676A9B">
              <w:rPr>
                <w:rFonts w:ascii="Arial" w:eastAsia="Calibri" w:hAnsi="Arial" w:cs="Arial"/>
                <w:i/>
                <w:sz w:val="18"/>
                <w:szCs w:val="18"/>
                <w:lang w:eastAsia="en-US"/>
              </w:rPr>
              <w:t>Godina</w:t>
            </w:r>
          </w:p>
        </w:tc>
        <w:tc>
          <w:tcPr>
            <w:tcW w:w="4254" w:type="dxa"/>
            <w:gridSpan w:val="3"/>
            <w:vAlign w:val="center"/>
          </w:tcPr>
          <w:p w14:paraId="43B892D4" w14:textId="77777777" w:rsidR="009149BB" w:rsidRPr="00676A9B" w:rsidRDefault="009149BB" w:rsidP="00676A9B">
            <w:pPr>
              <w:jc w:val="center"/>
              <w:rPr>
                <w:rFonts w:ascii="Arial" w:eastAsia="Calibri" w:hAnsi="Arial" w:cs="Arial"/>
                <w:i/>
                <w:sz w:val="18"/>
                <w:szCs w:val="18"/>
                <w:lang w:eastAsia="en-US"/>
              </w:rPr>
            </w:pPr>
            <w:r w:rsidRPr="00676A9B">
              <w:rPr>
                <w:rFonts w:ascii="Arial" w:eastAsia="Calibri" w:hAnsi="Arial" w:cs="Arial"/>
                <w:i/>
                <w:sz w:val="18"/>
                <w:szCs w:val="18"/>
                <w:lang w:eastAsia="en-US"/>
              </w:rPr>
              <w:t>Broj korisnika</w:t>
            </w:r>
          </w:p>
        </w:tc>
        <w:tc>
          <w:tcPr>
            <w:tcW w:w="1416" w:type="dxa"/>
            <w:vMerge w:val="restart"/>
            <w:vAlign w:val="center"/>
          </w:tcPr>
          <w:p w14:paraId="79465750" w14:textId="77777777" w:rsidR="009149BB" w:rsidRPr="00676A9B" w:rsidRDefault="009149BB" w:rsidP="00676A9B">
            <w:pPr>
              <w:jc w:val="center"/>
              <w:rPr>
                <w:rFonts w:ascii="Arial" w:eastAsia="Calibri" w:hAnsi="Arial" w:cs="Arial"/>
                <w:i/>
                <w:sz w:val="18"/>
                <w:szCs w:val="18"/>
                <w:lang w:eastAsia="en-US"/>
              </w:rPr>
            </w:pPr>
            <w:r w:rsidRPr="00676A9B">
              <w:rPr>
                <w:rFonts w:ascii="Arial" w:eastAsia="Calibri" w:hAnsi="Arial" w:cs="Arial"/>
                <w:i/>
                <w:sz w:val="18"/>
                <w:szCs w:val="18"/>
                <w:lang w:eastAsia="en-US"/>
              </w:rPr>
              <w:t>Izvršeno (EUR)</w:t>
            </w:r>
          </w:p>
        </w:tc>
      </w:tr>
      <w:tr w:rsidR="009149BB" w:rsidRPr="00676A9B" w14:paraId="627A90FA" w14:textId="77777777" w:rsidTr="00410A4B">
        <w:trPr>
          <w:trHeight w:val="50"/>
          <w:jc w:val="center"/>
        </w:trPr>
        <w:tc>
          <w:tcPr>
            <w:tcW w:w="1384" w:type="dxa"/>
            <w:vMerge/>
            <w:vAlign w:val="center"/>
          </w:tcPr>
          <w:p w14:paraId="34FDDF2E" w14:textId="77777777" w:rsidR="009149BB" w:rsidRPr="00676A9B" w:rsidRDefault="009149BB" w:rsidP="00676A9B">
            <w:pPr>
              <w:jc w:val="center"/>
              <w:rPr>
                <w:rFonts w:ascii="Arial" w:eastAsia="Calibri" w:hAnsi="Arial" w:cs="Arial"/>
                <w:i/>
                <w:sz w:val="18"/>
                <w:szCs w:val="18"/>
                <w:lang w:eastAsia="en-US"/>
              </w:rPr>
            </w:pPr>
          </w:p>
        </w:tc>
        <w:tc>
          <w:tcPr>
            <w:tcW w:w="939" w:type="dxa"/>
            <w:vAlign w:val="center"/>
          </w:tcPr>
          <w:p w14:paraId="0A67B531" w14:textId="77777777" w:rsidR="009149BB" w:rsidRPr="00676A9B" w:rsidRDefault="009149BB" w:rsidP="00676A9B">
            <w:pPr>
              <w:jc w:val="center"/>
              <w:rPr>
                <w:rFonts w:ascii="Arial" w:eastAsia="Calibri" w:hAnsi="Arial" w:cs="Arial"/>
                <w:i/>
                <w:sz w:val="18"/>
                <w:szCs w:val="18"/>
                <w:lang w:eastAsia="en-US"/>
              </w:rPr>
            </w:pPr>
            <w:r w:rsidRPr="00676A9B">
              <w:rPr>
                <w:rFonts w:ascii="Arial" w:eastAsia="Calibri" w:hAnsi="Arial" w:cs="Arial"/>
                <w:i/>
                <w:sz w:val="18"/>
                <w:szCs w:val="18"/>
                <w:lang w:eastAsia="en-US"/>
              </w:rPr>
              <w:t>liječenje</w:t>
            </w:r>
          </w:p>
        </w:tc>
        <w:tc>
          <w:tcPr>
            <w:tcW w:w="2409" w:type="dxa"/>
            <w:vAlign w:val="center"/>
          </w:tcPr>
          <w:p w14:paraId="479EC53C" w14:textId="77777777" w:rsidR="009149BB" w:rsidRPr="00676A9B" w:rsidRDefault="009149BB" w:rsidP="00676A9B">
            <w:pPr>
              <w:jc w:val="center"/>
              <w:rPr>
                <w:rFonts w:ascii="Arial" w:eastAsia="Calibri" w:hAnsi="Arial" w:cs="Arial"/>
                <w:i/>
                <w:sz w:val="18"/>
                <w:szCs w:val="18"/>
                <w:lang w:eastAsia="en-US"/>
              </w:rPr>
            </w:pPr>
            <w:r w:rsidRPr="00676A9B">
              <w:rPr>
                <w:rFonts w:ascii="Arial" w:eastAsia="Calibri" w:hAnsi="Arial" w:cs="Arial"/>
                <w:i/>
                <w:sz w:val="18"/>
                <w:szCs w:val="18"/>
                <w:lang w:eastAsia="en-US"/>
              </w:rPr>
              <w:t>medicinska pomagala</w:t>
            </w:r>
          </w:p>
        </w:tc>
        <w:tc>
          <w:tcPr>
            <w:tcW w:w="906" w:type="dxa"/>
            <w:vAlign w:val="center"/>
          </w:tcPr>
          <w:p w14:paraId="31015D9F" w14:textId="77777777" w:rsidR="009149BB" w:rsidRPr="00676A9B" w:rsidRDefault="009149BB" w:rsidP="00676A9B">
            <w:pPr>
              <w:jc w:val="center"/>
              <w:rPr>
                <w:rFonts w:ascii="Arial" w:eastAsia="Calibri" w:hAnsi="Arial" w:cs="Arial"/>
                <w:i/>
                <w:sz w:val="18"/>
                <w:szCs w:val="18"/>
                <w:lang w:eastAsia="en-US"/>
              </w:rPr>
            </w:pPr>
            <w:r w:rsidRPr="00676A9B">
              <w:rPr>
                <w:rFonts w:ascii="Arial" w:eastAsia="Calibri" w:hAnsi="Arial" w:cs="Arial"/>
                <w:i/>
                <w:sz w:val="18"/>
                <w:szCs w:val="18"/>
                <w:lang w:eastAsia="en-US"/>
              </w:rPr>
              <w:t>ukupno</w:t>
            </w:r>
          </w:p>
        </w:tc>
        <w:tc>
          <w:tcPr>
            <w:tcW w:w="1416" w:type="dxa"/>
            <w:vMerge/>
          </w:tcPr>
          <w:p w14:paraId="485E3DED" w14:textId="77777777" w:rsidR="009149BB" w:rsidRPr="00676A9B" w:rsidRDefault="009149BB" w:rsidP="00676A9B">
            <w:pPr>
              <w:jc w:val="center"/>
              <w:rPr>
                <w:rFonts w:ascii="Arial" w:eastAsia="Calibri" w:hAnsi="Arial" w:cs="Arial"/>
                <w:i/>
                <w:sz w:val="18"/>
                <w:szCs w:val="18"/>
                <w:lang w:eastAsia="en-US"/>
              </w:rPr>
            </w:pPr>
          </w:p>
        </w:tc>
      </w:tr>
      <w:tr w:rsidR="009149BB" w:rsidRPr="00676A9B" w14:paraId="6FD5D2C9" w14:textId="77777777" w:rsidTr="00410A4B">
        <w:trPr>
          <w:jc w:val="center"/>
        </w:trPr>
        <w:tc>
          <w:tcPr>
            <w:tcW w:w="1384" w:type="dxa"/>
            <w:vAlign w:val="center"/>
          </w:tcPr>
          <w:p w14:paraId="1318A588"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2015.</w:t>
            </w:r>
          </w:p>
        </w:tc>
        <w:tc>
          <w:tcPr>
            <w:tcW w:w="939" w:type="dxa"/>
            <w:vAlign w:val="center"/>
          </w:tcPr>
          <w:p w14:paraId="33931CA9"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6</w:t>
            </w:r>
          </w:p>
        </w:tc>
        <w:tc>
          <w:tcPr>
            <w:tcW w:w="2409" w:type="dxa"/>
            <w:vAlign w:val="center"/>
          </w:tcPr>
          <w:p w14:paraId="2DBF5976"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w:t>
            </w:r>
          </w:p>
        </w:tc>
        <w:tc>
          <w:tcPr>
            <w:tcW w:w="906" w:type="dxa"/>
            <w:vAlign w:val="center"/>
          </w:tcPr>
          <w:p w14:paraId="20D7C415"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6</w:t>
            </w:r>
          </w:p>
        </w:tc>
        <w:tc>
          <w:tcPr>
            <w:tcW w:w="1416" w:type="dxa"/>
            <w:tcBorders>
              <w:top w:val="nil"/>
              <w:left w:val="single" w:sz="4" w:space="0" w:color="auto"/>
              <w:bottom w:val="single" w:sz="4" w:space="0" w:color="auto"/>
              <w:right w:val="single" w:sz="4" w:space="0" w:color="auto"/>
            </w:tcBorders>
            <w:vAlign w:val="center"/>
          </w:tcPr>
          <w:p w14:paraId="1EF9CA62" w14:textId="77777777" w:rsidR="009149BB" w:rsidRPr="00676A9B" w:rsidRDefault="009149BB" w:rsidP="00676A9B">
            <w:pPr>
              <w:jc w:val="right"/>
              <w:rPr>
                <w:rFonts w:ascii="Arial" w:eastAsia="Calibri" w:hAnsi="Arial" w:cs="Arial"/>
                <w:iCs/>
                <w:sz w:val="18"/>
                <w:szCs w:val="18"/>
                <w:lang w:eastAsia="en-US"/>
              </w:rPr>
            </w:pPr>
            <w:r w:rsidRPr="00676A9B">
              <w:rPr>
                <w:rFonts w:ascii="Arial" w:hAnsi="Arial" w:cs="Arial"/>
                <w:sz w:val="18"/>
                <w:szCs w:val="18"/>
                <w:lang w:eastAsia="en-US"/>
              </w:rPr>
              <w:t>3.649,88</w:t>
            </w:r>
          </w:p>
        </w:tc>
      </w:tr>
      <w:tr w:rsidR="009149BB" w:rsidRPr="00676A9B" w14:paraId="33863B40" w14:textId="77777777" w:rsidTr="00410A4B">
        <w:trPr>
          <w:jc w:val="center"/>
        </w:trPr>
        <w:tc>
          <w:tcPr>
            <w:tcW w:w="1384" w:type="dxa"/>
            <w:vAlign w:val="center"/>
          </w:tcPr>
          <w:p w14:paraId="79046A45"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2016.</w:t>
            </w:r>
          </w:p>
        </w:tc>
        <w:tc>
          <w:tcPr>
            <w:tcW w:w="939" w:type="dxa"/>
            <w:vAlign w:val="center"/>
          </w:tcPr>
          <w:p w14:paraId="396DBFA5"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8</w:t>
            </w:r>
          </w:p>
        </w:tc>
        <w:tc>
          <w:tcPr>
            <w:tcW w:w="2409" w:type="dxa"/>
            <w:vAlign w:val="center"/>
          </w:tcPr>
          <w:p w14:paraId="425DEA0B"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1</w:t>
            </w:r>
          </w:p>
        </w:tc>
        <w:tc>
          <w:tcPr>
            <w:tcW w:w="906" w:type="dxa"/>
            <w:vAlign w:val="center"/>
          </w:tcPr>
          <w:p w14:paraId="27E87E51"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9</w:t>
            </w:r>
          </w:p>
        </w:tc>
        <w:tc>
          <w:tcPr>
            <w:tcW w:w="1416" w:type="dxa"/>
            <w:tcBorders>
              <w:top w:val="nil"/>
              <w:left w:val="single" w:sz="4" w:space="0" w:color="auto"/>
              <w:bottom w:val="single" w:sz="4" w:space="0" w:color="auto"/>
              <w:right w:val="single" w:sz="4" w:space="0" w:color="auto"/>
            </w:tcBorders>
            <w:vAlign w:val="center"/>
          </w:tcPr>
          <w:p w14:paraId="20FA0B0A" w14:textId="77777777" w:rsidR="009149BB" w:rsidRPr="00676A9B" w:rsidRDefault="009149BB" w:rsidP="00676A9B">
            <w:pPr>
              <w:jc w:val="right"/>
              <w:rPr>
                <w:rFonts w:ascii="Arial" w:eastAsia="Calibri" w:hAnsi="Arial" w:cs="Arial"/>
                <w:iCs/>
                <w:sz w:val="18"/>
                <w:szCs w:val="18"/>
                <w:lang w:eastAsia="en-US"/>
              </w:rPr>
            </w:pPr>
            <w:r w:rsidRPr="00676A9B">
              <w:rPr>
                <w:rFonts w:ascii="Arial" w:hAnsi="Arial" w:cs="Arial"/>
                <w:sz w:val="18"/>
                <w:szCs w:val="18"/>
                <w:lang w:eastAsia="en-US"/>
              </w:rPr>
              <w:t>5.574,36</w:t>
            </w:r>
          </w:p>
        </w:tc>
      </w:tr>
      <w:tr w:rsidR="009149BB" w:rsidRPr="00676A9B" w14:paraId="4CE15652" w14:textId="77777777" w:rsidTr="00410A4B">
        <w:trPr>
          <w:jc w:val="center"/>
        </w:trPr>
        <w:tc>
          <w:tcPr>
            <w:tcW w:w="1384" w:type="dxa"/>
            <w:vAlign w:val="center"/>
          </w:tcPr>
          <w:p w14:paraId="3F9BDE11"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2017.</w:t>
            </w:r>
          </w:p>
        </w:tc>
        <w:tc>
          <w:tcPr>
            <w:tcW w:w="939" w:type="dxa"/>
            <w:vAlign w:val="center"/>
          </w:tcPr>
          <w:p w14:paraId="59A30785"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4</w:t>
            </w:r>
          </w:p>
        </w:tc>
        <w:tc>
          <w:tcPr>
            <w:tcW w:w="2409" w:type="dxa"/>
            <w:vAlign w:val="center"/>
          </w:tcPr>
          <w:p w14:paraId="5E644EE2"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1</w:t>
            </w:r>
          </w:p>
        </w:tc>
        <w:tc>
          <w:tcPr>
            <w:tcW w:w="906" w:type="dxa"/>
            <w:vAlign w:val="center"/>
          </w:tcPr>
          <w:p w14:paraId="49331E93"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5</w:t>
            </w:r>
          </w:p>
        </w:tc>
        <w:tc>
          <w:tcPr>
            <w:tcW w:w="1416" w:type="dxa"/>
            <w:tcBorders>
              <w:top w:val="nil"/>
              <w:left w:val="single" w:sz="4" w:space="0" w:color="auto"/>
              <w:bottom w:val="single" w:sz="4" w:space="0" w:color="auto"/>
              <w:right w:val="single" w:sz="4" w:space="0" w:color="auto"/>
            </w:tcBorders>
            <w:vAlign w:val="center"/>
          </w:tcPr>
          <w:p w14:paraId="3D143FD3" w14:textId="77777777" w:rsidR="009149BB" w:rsidRPr="00676A9B" w:rsidRDefault="009149BB" w:rsidP="00676A9B">
            <w:pPr>
              <w:jc w:val="right"/>
              <w:rPr>
                <w:rFonts w:ascii="Arial" w:eastAsia="Calibri" w:hAnsi="Arial" w:cs="Arial"/>
                <w:iCs/>
                <w:sz w:val="18"/>
                <w:szCs w:val="18"/>
                <w:lang w:eastAsia="en-US"/>
              </w:rPr>
            </w:pPr>
            <w:r w:rsidRPr="00676A9B">
              <w:rPr>
                <w:rFonts w:ascii="Arial" w:hAnsi="Arial" w:cs="Arial"/>
                <w:sz w:val="18"/>
                <w:szCs w:val="18"/>
                <w:lang w:eastAsia="en-US"/>
              </w:rPr>
              <w:t>3.185,35</w:t>
            </w:r>
          </w:p>
        </w:tc>
      </w:tr>
      <w:tr w:rsidR="009149BB" w:rsidRPr="00676A9B" w14:paraId="656EF50C" w14:textId="77777777" w:rsidTr="00410A4B">
        <w:trPr>
          <w:jc w:val="center"/>
        </w:trPr>
        <w:tc>
          <w:tcPr>
            <w:tcW w:w="1384" w:type="dxa"/>
            <w:vAlign w:val="center"/>
          </w:tcPr>
          <w:p w14:paraId="7BB96B5E"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2018.</w:t>
            </w:r>
          </w:p>
        </w:tc>
        <w:tc>
          <w:tcPr>
            <w:tcW w:w="939" w:type="dxa"/>
            <w:vAlign w:val="center"/>
          </w:tcPr>
          <w:p w14:paraId="1358DE5A"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11</w:t>
            </w:r>
          </w:p>
        </w:tc>
        <w:tc>
          <w:tcPr>
            <w:tcW w:w="2409" w:type="dxa"/>
            <w:vAlign w:val="center"/>
          </w:tcPr>
          <w:p w14:paraId="5356D712"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1</w:t>
            </w:r>
          </w:p>
        </w:tc>
        <w:tc>
          <w:tcPr>
            <w:tcW w:w="906" w:type="dxa"/>
            <w:vAlign w:val="center"/>
          </w:tcPr>
          <w:p w14:paraId="4585A61B"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12</w:t>
            </w:r>
          </w:p>
        </w:tc>
        <w:tc>
          <w:tcPr>
            <w:tcW w:w="1416" w:type="dxa"/>
            <w:tcBorders>
              <w:top w:val="nil"/>
              <w:left w:val="single" w:sz="4" w:space="0" w:color="auto"/>
              <w:bottom w:val="single" w:sz="4" w:space="0" w:color="auto"/>
              <w:right w:val="single" w:sz="4" w:space="0" w:color="auto"/>
            </w:tcBorders>
            <w:vAlign w:val="center"/>
          </w:tcPr>
          <w:p w14:paraId="0C098CE5" w14:textId="77777777" w:rsidR="009149BB" w:rsidRPr="00676A9B" w:rsidRDefault="009149BB" w:rsidP="00676A9B">
            <w:pPr>
              <w:jc w:val="right"/>
              <w:rPr>
                <w:rFonts w:ascii="Arial" w:eastAsia="Calibri" w:hAnsi="Arial" w:cs="Arial"/>
                <w:iCs/>
                <w:sz w:val="18"/>
                <w:szCs w:val="18"/>
                <w:lang w:eastAsia="en-US"/>
              </w:rPr>
            </w:pPr>
            <w:r w:rsidRPr="00676A9B">
              <w:rPr>
                <w:rFonts w:ascii="Arial" w:hAnsi="Arial" w:cs="Arial"/>
                <w:sz w:val="18"/>
                <w:szCs w:val="18"/>
                <w:lang w:eastAsia="en-US"/>
              </w:rPr>
              <w:t>6.835,22</w:t>
            </w:r>
          </w:p>
        </w:tc>
      </w:tr>
      <w:tr w:rsidR="009149BB" w:rsidRPr="00676A9B" w14:paraId="66724316" w14:textId="77777777" w:rsidTr="00410A4B">
        <w:trPr>
          <w:jc w:val="center"/>
        </w:trPr>
        <w:tc>
          <w:tcPr>
            <w:tcW w:w="1384" w:type="dxa"/>
            <w:vAlign w:val="center"/>
          </w:tcPr>
          <w:p w14:paraId="6CBBAE9D"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2019.</w:t>
            </w:r>
          </w:p>
        </w:tc>
        <w:tc>
          <w:tcPr>
            <w:tcW w:w="939" w:type="dxa"/>
            <w:vAlign w:val="center"/>
          </w:tcPr>
          <w:p w14:paraId="7726B465"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5</w:t>
            </w:r>
          </w:p>
        </w:tc>
        <w:tc>
          <w:tcPr>
            <w:tcW w:w="2409" w:type="dxa"/>
            <w:vAlign w:val="center"/>
          </w:tcPr>
          <w:p w14:paraId="22E36E2B"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2</w:t>
            </w:r>
          </w:p>
        </w:tc>
        <w:tc>
          <w:tcPr>
            <w:tcW w:w="906" w:type="dxa"/>
            <w:vAlign w:val="center"/>
          </w:tcPr>
          <w:p w14:paraId="0A063B9F"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7</w:t>
            </w:r>
          </w:p>
        </w:tc>
        <w:tc>
          <w:tcPr>
            <w:tcW w:w="1416" w:type="dxa"/>
            <w:tcBorders>
              <w:top w:val="nil"/>
              <w:left w:val="single" w:sz="4" w:space="0" w:color="auto"/>
              <w:bottom w:val="single" w:sz="4" w:space="0" w:color="auto"/>
              <w:right w:val="single" w:sz="4" w:space="0" w:color="auto"/>
            </w:tcBorders>
            <w:vAlign w:val="center"/>
          </w:tcPr>
          <w:p w14:paraId="5EA7CD0D" w14:textId="77777777" w:rsidR="009149BB" w:rsidRPr="00676A9B" w:rsidRDefault="009149BB" w:rsidP="00676A9B">
            <w:pPr>
              <w:jc w:val="right"/>
              <w:rPr>
                <w:rFonts w:ascii="Arial" w:eastAsia="Calibri" w:hAnsi="Arial" w:cs="Arial"/>
                <w:iCs/>
                <w:sz w:val="18"/>
                <w:szCs w:val="18"/>
                <w:lang w:eastAsia="en-US"/>
              </w:rPr>
            </w:pPr>
            <w:r w:rsidRPr="00676A9B">
              <w:rPr>
                <w:rFonts w:ascii="Arial" w:hAnsi="Arial" w:cs="Arial"/>
                <w:sz w:val="18"/>
                <w:szCs w:val="18"/>
                <w:lang w:eastAsia="en-US"/>
              </w:rPr>
              <w:t>4.578,94</w:t>
            </w:r>
          </w:p>
        </w:tc>
      </w:tr>
      <w:tr w:rsidR="009149BB" w:rsidRPr="00676A9B" w14:paraId="2FC207C2" w14:textId="77777777" w:rsidTr="00410A4B">
        <w:trPr>
          <w:jc w:val="center"/>
        </w:trPr>
        <w:tc>
          <w:tcPr>
            <w:tcW w:w="1384" w:type="dxa"/>
            <w:vAlign w:val="center"/>
          </w:tcPr>
          <w:p w14:paraId="48849B40"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2020</w:t>
            </w:r>
          </w:p>
        </w:tc>
        <w:tc>
          <w:tcPr>
            <w:tcW w:w="939" w:type="dxa"/>
            <w:vAlign w:val="center"/>
          </w:tcPr>
          <w:p w14:paraId="2244D48C"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6</w:t>
            </w:r>
          </w:p>
        </w:tc>
        <w:tc>
          <w:tcPr>
            <w:tcW w:w="2409" w:type="dxa"/>
            <w:vAlign w:val="center"/>
          </w:tcPr>
          <w:p w14:paraId="459AC0B9"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w:t>
            </w:r>
          </w:p>
        </w:tc>
        <w:tc>
          <w:tcPr>
            <w:tcW w:w="906" w:type="dxa"/>
            <w:vAlign w:val="center"/>
          </w:tcPr>
          <w:p w14:paraId="5CE04615"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6</w:t>
            </w:r>
          </w:p>
        </w:tc>
        <w:tc>
          <w:tcPr>
            <w:tcW w:w="1416" w:type="dxa"/>
            <w:tcBorders>
              <w:top w:val="nil"/>
              <w:left w:val="single" w:sz="4" w:space="0" w:color="auto"/>
              <w:bottom w:val="single" w:sz="4" w:space="0" w:color="auto"/>
              <w:right w:val="single" w:sz="4" w:space="0" w:color="auto"/>
            </w:tcBorders>
            <w:vAlign w:val="center"/>
          </w:tcPr>
          <w:p w14:paraId="0BA40E37" w14:textId="77777777" w:rsidR="009149BB" w:rsidRPr="00676A9B" w:rsidRDefault="009149BB" w:rsidP="00676A9B">
            <w:pPr>
              <w:jc w:val="right"/>
              <w:rPr>
                <w:rFonts w:ascii="Arial" w:eastAsia="Calibri" w:hAnsi="Arial" w:cs="Arial"/>
                <w:iCs/>
                <w:sz w:val="18"/>
                <w:szCs w:val="18"/>
                <w:lang w:eastAsia="en-US"/>
              </w:rPr>
            </w:pPr>
            <w:r w:rsidRPr="00676A9B">
              <w:rPr>
                <w:rFonts w:ascii="Arial" w:hAnsi="Arial" w:cs="Arial"/>
                <w:sz w:val="18"/>
                <w:szCs w:val="18"/>
                <w:lang w:eastAsia="en-US"/>
              </w:rPr>
              <w:t>2.043,93</w:t>
            </w:r>
          </w:p>
        </w:tc>
      </w:tr>
      <w:tr w:rsidR="009149BB" w:rsidRPr="00676A9B" w14:paraId="48E698C5" w14:textId="77777777" w:rsidTr="00410A4B">
        <w:trPr>
          <w:jc w:val="center"/>
        </w:trPr>
        <w:tc>
          <w:tcPr>
            <w:tcW w:w="1384" w:type="dxa"/>
            <w:vAlign w:val="center"/>
          </w:tcPr>
          <w:p w14:paraId="41B064A9"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2021.</w:t>
            </w:r>
          </w:p>
        </w:tc>
        <w:tc>
          <w:tcPr>
            <w:tcW w:w="939" w:type="dxa"/>
            <w:vAlign w:val="center"/>
          </w:tcPr>
          <w:p w14:paraId="2712704D"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5</w:t>
            </w:r>
          </w:p>
        </w:tc>
        <w:tc>
          <w:tcPr>
            <w:tcW w:w="2409" w:type="dxa"/>
            <w:vAlign w:val="center"/>
          </w:tcPr>
          <w:p w14:paraId="096B09B3"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w:t>
            </w:r>
          </w:p>
        </w:tc>
        <w:tc>
          <w:tcPr>
            <w:tcW w:w="906" w:type="dxa"/>
            <w:vAlign w:val="center"/>
          </w:tcPr>
          <w:p w14:paraId="6A5FD5B1"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5</w:t>
            </w:r>
          </w:p>
        </w:tc>
        <w:tc>
          <w:tcPr>
            <w:tcW w:w="1416" w:type="dxa"/>
            <w:tcBorders>
              <w:top w:val="nil"/>
              <w:left w:val="single" w:sz="4" w:space="0" w:color="auto"/>
              <w:bottom w:val="single" w:sz="4" w:space="0" w:color="auto"/>
              <w:right w:val="single" w:sz="4" w:space="0" w:color="auto"/>
            </w:tcBorders>
            <w:vAlign w:val="center"/>
          </w:tcPr>
          <w:p w14:paraId="03F0D34B" w14:textId="77777777" w:rsidR="009149BB" w:rsidRPr="00676A9B" w:rsidRDefault="009149BB" w:rsidP="00676A9B">
            <w:pPr>
              <w:jc w:val="right"/>
              <w:rPr>
                <w:rFonts w:ascii="Arial" w:eastAsia="Calibri" w:hAnsi="Arial" w:cs="Arial"/>
                <w:iCs/>
                <w:sz w:val="18"/>
                <w:szCs w:val="18"/>
                <w:lang w:eastAsia="en-US"/>
              </w:rPr>
            </w:pPr>
            <w:r w:rsidRPr="00676A9B">
              <w:rPr>
                <w:rFonts w:ascii="Arial" w:hAnsi="Arial" w:cs="Arial"/>
                <w:sz w:val="18"/>
                <w:szCs w:val="18"/>
                <w:lang w:eastAsia="en-US"/>
              </w:rPr>
              <w:t>2.720,82</w:t>
            </w:r>
          </w:p>
        </w:tc>
      </w:tr>
      <w:tr w:rsidR="009149BB" w:rsidRPr="00676A9B" w14:paraId="16082B82" w14:textId="77777777" w:rsidTr="00410A4B">
        <w:trPr>
          <w:jc w:val="center"/>
        </w:trPr>
        <w:tc>
          <w:tcPr>
            <w:tcW w:w="1384" w:type="dxa"/>
            <w:vAlign w:val="center"/>
          </w:tcPr>
          <w:p w14:paraId="517FA411"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2022.</w:t>
            </w:r>
          </w:p>
        </w:tc>
        <w:tc>
          <w:tcPr>
            <w:tcW w:w="939" w:type="dxa"/>
            <w:vAlign w:val="center"/>
          </w:tcPr>
          <w:p w14:paraId="28C60C99"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1</w:t>
            </w:r>
          </w:p>
        </w:tc>
        <w:tc>
          <w:tcPr>
            <w:tcW w:w="2409" w:type="dxa"/>
            <w:vAlign w:val="center"/>
          </w:tcPr>
          <w:p w14:paraId="50DE1D0D"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w:t>
            </w:r>
          </w:p>
        </w:tc>
        <w:tc>
          <w:tcPr>
            <w:tcW w:w="906" w:type="dxa"/>
            <w:vAlign w:val="center"/>
          </w:tcPr>
          <w:p w14:paraId="740D62E5"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1</w:t>
            </w:r>
          </w:p>
        </w:tc>
        <w:tc>
          <w:tcPr>
            <w:tcW w:w="1416" w:type="dxa"/>
            <w:tcBorders>
              <w:top w:val="single" w:sz="4" w:space="0" w:color="auto"/>
              <w:left w:val="single" w:sz="4" w:space="0" w:color="auto"/>
              <w:bottom w:val="single" w:sz="4" w:space="0" w:color="auto"/>
              <w:right w:val="single" w:sz="4" w:space="0" w:color="auto"/>
            </w:tcBorders>
            <w:vAlign w:val="center"/>
          </w:tcPr>
          <w:p w14:paraId="1FDDAB7A" w14:textId="77777777" w:rsidR="009149BB" w:rsidRPr="00676A9B" w:rsidRDefault="009149BB" w:rsidP="00676A9B">
            <w:pPr>
              <w:jc w:val="right"/>
              <w:rPr>
                <w:rFonts w:ascii="Arial" w:eastAsia="Calibri" w:hAnsi="Arial" w:cs="Arial"/>
                <w:iCs/>
                <w:sz w:val="18"/>
                <w:szCs w:val="18"/>
                <w:lang w:eastAsia="en-US"/>
              </w:rPr>
            </w:pPr>
            <w:r w:rsidRPr="00676A9B">
              <w:rPr>
                <w:rFonts w:ascii="Arial" w:hAnsi="Arial" w:cs="Arial"/>
                <w:sz w:val="18"/>
                <w:szCs w:val="18"/>
                <w:lang w:eastAsia="en-US"/>
              </w:rPr>
              <w:t>398,17</w:t>
            </w:r>
          </w:p>
        </w:tc>
      </w:tr>
      <w:tr w:rsidR="009149BB" w:rsidRPr="00676A9B" w14:paraId="1D86F5FF" w14:textId="77777777" w:rsidTr="00410A4B">
        <w:trPr>
          <w:jc w:val="center"/>
        </w:trPr>
        <w:tc>
          <w:tcPr>
            <w:tcW w:w="1384" w:type="dxa"/>
            <w:vAlign w:val="center"/>
          </w:tcPr>
          <w:p w14:paraId="5279D8F1"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2023.</w:t>
            </w:r>
          </w:p>
        </w:tc>
        <w:tc>
          <w:tcPr>
            <w:tcW w:w="939" w:type="dxa"/>
            <w:vAlign w:val="center"/>
          </w:tcPr>
          <w:p w14:paraId="278470AA"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2</w:t>
            </w:r>
          </w:p>
        </w:tc>
        <w:tc>
          <w:tcPr>
            <w:tcW w:w="2409" w:type="dxa"/>
            <w:vAlign w:val="center"/>
          </w:tcPr>
          <w:p w14:paraId="1EE2FECE"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1</w:t>
            </w:r>
          </w:p>
        </w:tc>
        <w:tc>
          <w:tcPr>
            <w:tcW w:w="906" w:type="dxa"/>
            <w:vAlign w:val="center"/>
          </w:tcPr>
          <w:p w14:paraId="0555DE89"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3</w:t>
            </w:r>
          </w:p>
        </w:tc>
        <w:tc>
          <w:tcPr>
            <w:tcW w:w="1416" w:type="dxa"/>
            <w:tcBorders>
              <w:top w:val="single" w:sz="4" w:space="0" w:color="auto"/>
              <w:left w:val="single" w:sz="4" w:space="0" w:color="auto"/>
              <w:bottom w:val="single" w:sz="4" w:space="0" w:color="auto"/>
              <w:right w:val="single" w:sz="4" w:space="0" w:color="auto"/>
            </w:tcBorders>
            <w:vAlign w:val="center"/>
          </w:tcPr>
          <w:p w14:paraId="1B72C89D" w14:textId="77777777" w:rsidR="009149BB" w:rsidRPr="00676A9B" w:rsidRDefault="009149BB" w:rsidP="00676A9B">
            <w:pPr>
              <w:jc w:val="right"/>
              <w:rPr>
                <w:rFonts w:ascii="Arial" w:hAnsi="Arial" w:cs="Arial"/>
                <w:sz w:val="18"/>
                <w:szCs w:val="18"/>
                <w:lang w:eastAsia="en-US"/>
              </w:rPr>
            </w:pPr>
            <w:r w:rsidRPr="00676A9B">
              <w:rPr>
                <w:rFonts w:ascii="Arial" w:hAnsi="Arial" w:cs="Arial"/>
                <w:sz w:val="18"/>
                <w:szCs w:val="18"/>
                <w:lang w:eastAsia="en-US"/>
              </w:rPr>
              <w:t>3.500,00</w:t>
            </w:r>
          </w:p>
        </w:tc>
      </w:tr>
      <w:tr w:rsidR="009149BB" w:rsidRPr="00676A9B" w14:paraId="4C99390D" w14:textId="77777777" w:rsidTr="00410A4B">
        <w:trPr>
          <w:jc w:val="center"/>
        </w:trPr>
        <w:tc>
          <w:tcPr>
            <w:tcW w:w="1384" w:type="dxa"/>
            <w:vAlign w:val="center"/>
          </w:tcPr>
          <w:p w14:paraId="5D97EBA3"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2024.</w:t>
            </w:r>
          </w:p>
        </w:tc>
        <w:tc>
          <w:tcPr>
            <w:tcW w:w="939" w:type="dxa"/>
            <w:vAlign w:val="center"/>
          </w:tcPr>
          <w:p w14:paraId="2837A84E"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8</w:t>
            </w:r>
          </w:p>
        </w:tc>
        <w:tc>
          <w:tcPr>
            <w:tcW w:w="2409" w:type="dxa"/>
            <w:vAlign w:val="center"/>
          </w:tcPr>
          <w:p w14:paraId="7A4074E0"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1</w:t>
            </w:r>
          </w:p>
        </w:tc>
        <w:tc>
          <w:tcPr>
            <w:tcW w:w="906" w:type="dxa"/>
            <w:vAlign w:val="center"/>
          </w:tcPr>
          <w:p w14:paraId="15D0AC97" w14:textId="77777777" w:rsidR="009149BB" w:rsidRPr="00676A9B" w:rsidRDefault="009149BB" w:rsidP="00676A9B">
            <w:pPr>
              <w:jc w:val="center"/>
              <w:rPr>
                <w:rFonts w:ascii="Arial" w:eastAsia="Calibri" w:hAnsi="Arial" w:cs="Arial"/>
                <w:iCs/>
                <w:sz w:val="18"/>
                <w:szCs w:val="18"/>
                <w:lang w:eastAsia="en-US"/>
              </w:rPr>
            </w:pPr>
            <w:r w:rsidRPr="00676A9B">
              <w:rPr>
                <w:rFonts w:ascii="Arial" w:eastAsia="Calibri" w:hAnsi="Arial" w:cs="Arial"/>
                <w:iCs/>
                <w:sz w:val="18"/>
                <w:szCs w:val="18"/>
                <w:lang w:eastAsia="en-US"/>
              </w:rPr>
              <w:t>9</w:t>
            </w:r>
          </w:p>
        </w:tc>
        <w:tc>
          <w:tcPr>
            <w:tcW w:w="1416" w:type="dxa"/>
            <w:tcBorders>
              <w:top w:val="single" w:sz="4" w:space="0" w:color="auto"/>
              <w:left w:val="single" w:sz="4" w:space="0" w:color="auto"/>
              <w:bottom w:val="single" w:sz="4" w:space="0" w:color="auto"/>
              <w:right w:val="single" w:sz="4" w:space="0" w:color="auto"/>
            </w:tcBorders>
            <w:vAlign w:val="center"/>
          </w:tcPr>
          <w:p w14:paraId="392E9F12" w14:textId="77777777" w:rsidR="009149BB" w:rsidRPr="00676A9B" w:rsidRDefault="009149BB" w:rsidP="00676A9B">
            <w:pPr>
              <w:jc w:val="right"/>
              <w:rPr>
                <w:rFonts w:ascii="Arial" w:hAnsi="Arial" w:cs="Arial"/>
                <w:sz w:val="18"/>
                <w:szCs w:val="18"/>
                <w:lang w:eastAsia="en-US"/>
              </w:rPr>
            </w:pPr>
            <w:r w:rsidRPr="00676A9B">
              <w:rPr>
                <w:rFonts w:ascii="Arial" w:hAnsi="Arial" w:cs="Arial"/>
                <w:sz w:val="18"/>
                <w:szCs w:val="18"/>
                <w:lang w:eastAsia="en-US"/>
              </w:rPr>
              <w:t>8.210,05</w:t>
            </w:r>
          </w:p>
        </w:tc>
      </w:tr>
      <w:tr w:rsidR="009149BB" w:rsidRPr="00676A9B" w14:paraId="66ED1300" w14:textId="77777777" w:rsidTr="00410A4B">
        <w:trPr>
          <w:jc w:val="center"/>
        </w:trPr>
        <w:tc>
          <w:tcPr>
            <w:tcW w:w="1384" w:type="dxa"/>
            <w:vAlign w:val="center"/>
          </w:tcPr>
          <w:p w14:paraId="0CC714BC" w14:textId="759AEFB0" w:rsidR="009149BB" w:rsidRPr="00676A9B" w:rsidRDefault="009149BB" w:rsidP="00676A9B">
            <w:pPr>
              <w:jc w:val="center"/>
              <w:rPr>
                <w:rFonts w:ascii="Arial" w:eastAsia="Calibri" w:hAnsi="Arial" w:cs="Arial"/>
                <w:iCs/>
                <w:sz w:val="18"/>
                <w:szCs w:val="18"/>
                <w:lang w:eastAsia="en-US"/>
              </w:rPr>
            </w:pPr>
            <w:r>
              <w:rPr>
                <w:rFonts w:ascii="Arial" w:eastAsia="Calibri" w:hAnsi="Arial" w:cs="Arial"/>
                <w:iCs/>
                <w:sz w:val="18"/>
                <w:szCs w:val="18"/>
                <w:lang w:eastAsia="en-US"/>
              </w:rPr>
              <w:t>2025.</w:t>
            </w:r>
          </w:p>
        </w:tc>
        <w:tc>
          <w:tcPr>
            <w:tcW w:w="939" w:type="dxa"/>
            <w:vAlign w:val="center"/>
          </w:tcPr>
          <w:p w14:paraId="4C7338C1" w14:textId="53EA331A" w:rsidR="009149BB" w:rsidRPr="00676A9B" w:rsidRDefault="009149BB" w:rsidP="00676A9B">
            <w:pPr>
              <w:jc w:val="center"/>
              <w:rPr>
                <w:rFonts w:ascii="Arial" w:eastAsia="Calibri" w:hAnsi="Arial" w:cs="Arial"/>
                <w:iCs/>
                <w:sz w:val="18"/>
                <w:szCs w:val="18"/>
                <w:lang w:eastAsia="en-US"/>
              </w:rPr>
            </w:pPr>
            <w:r>
              <w:rPr>
                <w:rFonts w:ascii="Arial" w:eastAsia="Calibri" w:hAnsi="Arial" w:cs="Arial"/>
                <w:iCs/>
                <w:sz w:val="18"/>
                <w:szCs w:val="18"/>
                <w:lang w:eastAsia="en-US"/>
              </w:rPr>
              <w:t>8</w:t>
            </w:r>
          </w:p>
        </w:tc>
        <w:tc>
          <w:tcPr>
            <w:tcW w:w="2409" w:type="dxa"/>
            <w:vAlign w:val="center"/>
          </w:tcPr>
          <w:p w14:paraId="7B551063" w14:textId="2C23D20A" w:rsidR="009149BB" w:rsidRPr="00676A9B" w:rsidRDefault="009149BB" w:rsidP="00676A9B">
            <w:pPr>
              <w:jc w:val="center"/>
              <w:rPr>
                <w:rFonts w:ascii="Arial" w:eastAsia="Calibri" w:hAnsi="Arial" w:cs="Arial"/>
                <w:iCs/>
                <w:sz w:val="18"/>
                <w:szCs w:val="18"/>
                <w:lang w:eastAsia="en-US"/>
              </w:rPr>
            </w:pPr>
            <w:r>
              <w:rPr>
                <w:rFonts w:ascii="Arial" w:eastAsia="Calibri" w:hAnsi="Arial" w:cs="Arial"/>
                <w:iCs/>
                <w:sz w:val="18"/>
                <w:szCs w:val="18"/>
                <w:lang w:eastAsia="en-US"/>
              </w:rPr>
              <w:t>1</w:t>
            </w:r>
          </w:p>
        </w:tc>
        <w:tc>
          <w:tcPr>
            <w:tcW w:w="906" w:type="dxa"/>
            <w:vAlign w:val="center"/>
          </w:tcPr>
          <w:p w14:paraId="0962A2B9" w14:textId="753D97B5" w:rsidR="009149BB" w:rsidRPr="00676A9B" w:rsidRDefault="009149BB" w:rsidP="00676A9B">
            <w:pPr>
              <w:jc w:val="center"/>
              <w:rPr>
                <w:rFonts w:ascii="Arial" w:eastAsia="Calibri" w:hAnsi="Arial" w:cs="Arial"/>
                <w:iCs/>
                <w:sz w:val="18"/>
                <w:szCs w:val="18"/>
                <w:lang w:eastAsia="en-US"/>
              </w:rPr>
            </w:pPr>
            <w:r>
              <w:rPr>
                <w:rFonts w:ascii="Arial" w:eastAsia="Calibri" w:hAnsi="Arial" w:cs="Arial"/>
                <w:iCs/>
                <w:sz w:val="18"/>
                <w:szCs w:val="18"/>
                <w:lang w:eastAsia="en-US"/>
              </w:rPr>
              <w:t>9</w:t>
            </w:r>
          </w:p>
        </w:tc>
        <w:tc>
          <w:tcPr>
            <w:tcW w:w="1416" w:type="dxa"/>
            <w:tcBorders>
              <w:top w:val="single" w:sz="4" w:space="0" w:color="auto"/>
              <w:left w:val="single" w:sz="4" w:space="0" w:color="auto"/>
              <w:bottom w:val="single" w:sz="4" w:space="0" w:color="auto"/>
              <w:right w:val="single" w:sz="4" w:space="0" w:color="auto"/>
            </w:tcBorders>
            <w:vAlign w:val="center"/>
          </w:tcPr>
          <w:p w14:paraId="09679C8A" w14:textId="1D6760A5" w:rsidR="009149BB" w:rsidRPr="00676A9B" w:rsidRDefault="009149BB" w:rsidP="00676A9B">
            <w:pPr>
              <w:jc w:val="right"/>
              <w:rPr>
                <w:rFonts w:ascii="Arial" w:hAnsi="Arial" w:cs="Arial"/>
                <w:sz w:val="18"/>
                <w:szCs w:val="18"/>
                <w:lang w:eastAsia="en-US"/>
              </w:rPr>
            </w:pPr>
            <w:r>
              <w:rPr>
                <w:rFonts w:ascii="Arial" w:hAnsi="Arial" w:cs="Arial"/>
                <w:sz w:val="18"/>
                <w:szCs w:val="18"/>
                <w:lang w:eastAsia="en-US"/>
              </w:rPr>
              <w:t>8.068,13</w:t>
            </w:r>
          </w:p>
        </w:tc>
      </w:tr>
    </w:tbl>
    <w:p w14:paraId="2D2E7FEA" w14:textId="77777777" w:rsidR="00676A9B" w:rsidRPr="00676A9B" w:rsidRDefault="00676A9B" w:rsidP="00676A9B">
      <w:pPr>
        <w:spacing w:after="0" w:line="240" w:lineRule="auto"/>
        <w:jc w:val="both"/>
        <w:rPr>
          <w:rFonts w:ascii="Arial" w:eastAsia="Calibri" w:hAnsi="Arial" w:cs="Arial"/>
          <w:iCs/>
          <w:sz w:val="20"/>
          <w:szCs w:val="20"/>
          <w:lang w:eastAsia="en-US"/>
        </w:rPr>
      </w:pPr>
    </w:p>
    <w:tbl>
      <w:tblPr>
        <w:tblStyle w:val="Reetkatablice536"/>
        <w:tblW w:w="14246" w:type="dxa"/>
        <w:jc w:val="center"/>
        <w:tblLayout w:type="fixed"/>
        <w:tblLook w:val="04A0" w:firstRow="1" w:lastRow="0" w:firstColumn="1" w:lastColumn="0" w:noHBand="0" w:noVBand="1"/>
      </w:tblPr>
      <w:tblGrid>
        <w:gridCol w:w="2836"/>
        <w:gridCol w:w="2977"/>
        <w:gridCol w:w="1099"/>
        <w:gridCol w:w="1134"/>
        <w:gridCol w:w="1232"/>
        <w:gridCol w:w="1242"/>
        <w:gridCol w:w="1242"/>
        <w:gridCol w:w="1242"/>
        <w:gridCol w:w="1242"/>
      </w:tblGrid>
      <w:tr w:rsidR="00676A9B" w:rsidRPr="00676A9B" w14:paraId="53D825B0" w14:textId="77777777" w:rsidTr="00410A4B">
        <w:trPr>
          <w:jc w:val="center"/>
        </w:trPr>
        <w:tc>
          <w:tcPr>
            <w:tcW w:w="283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BEE05D4"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297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5627D58"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0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E6F5F07"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19D6304"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DEC5144" w14:textId="4815448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9149BB">
              <w:rPr>
                <w:rFonts w:ascii="Arial" w:eastAsia="Calibri" w:hAnsi="Arial" w:cs="Arial"/>
                <w:lang w:eastAsia="en-US"/>
              </w:rPr>
              <w:t>4</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DF67C1C" w14:textId="11FB84DC"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9149BB">
              <w:rPr>
                <w:rFonts w:ascii="Arial" w:eastAsia="Calibri" w:hAnsi="Arial" w:cs="Arial"/>
                <w:lang w:eastAsia="en-US"/>
              </w:rPr>
              <w:t>5</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4043947" w14:textId="0E376FE4"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9149BB">
              <w:rPr>
                <w:rFonts w:ascii="Arial" w:eastAsia="Calibri" w:hAnsi="Arial" w:cs="Arial"/>
                <w:lang w:eastAsia="en-US"/>
              </w:rPr>
              <w:t>5</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tcPr>
          <w:p w14:paraId="41164357" w14:textId="5A666E28"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9149BB">
              <w:rPr>
                <w:rFonts w:ascii="Arial" w:eastAsia="Calibri" w:hAnsi="Arial" w:cs="Arial"/>
                <w:lang w:eastAsia="en-US"/>
              </w:rPr>
              <w:t>6</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hideMark/>
          </w:tcPr>
          <w:p w14:paraId="0E2245B0" w14:textId="6CB0B5A0"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9149BB">
              <w:rPr>
                <w:rFonts w:ascii="Arial" w:eastAsia="Calibri" w:hAnsi="Arial" w:cs="Arial"/>
                <w:lang w:eastAsia="en-US"/>
              </w:rPr>
              <w:t>7</w:t>
            </w:r>
            <w:r w:rsidRPr="00676A9B">
              <w:rPr>
                <w:rFonts w:ascii="Arial" w:eastAsia="Calibri" w:hAnsi="Arial" w:cs="Arial"/>
                <w:lang w:eastAsia="en-US"/>
              </w:rPr>
              <w:t>.</w:t>
            </w:r>
          </w:p>
        </w:tc>
      </w:tr>
      <w:tr w:rsidR="00676A9B" w:rsidRPr="00676A9B" w14:paraId="6A33C16A" w14:textId="77777777" w:rsidTr="00410A4B">
        <w:trPr>
          <w:trHeight w:val="699"/>
          <w:jc w:val="center"/>
        </w:trPr>
        <w:tc>
          <w:tcPr>
            <w:tcW w:w="2836" w:type="dxa"/>
            <w:tcBorders>
              <w:top w:val="single" w:sz="4" w:space="0" w:color="auto"/>
              <w:left w:val="single" w:sz="4" w:space="0" w:color="auto"/>
              <w:bottom w:val="single" w:sz="4" w:space="0" w:color="auto"/>
              <w:right w:val="single" w:sz="4" w:space="0" w:color="auto"/>
            </w:tcBorders>
            <w:vAlign w:val="center"/>
          </w:tcPr>
          <w:p w14:paraId="262AA5FC" w14:textId="77777777" w:rsidR="00676A9B" w:rsidRPr="00676A9B" w:rsidRDefault="00676A9B" w:rsidP="00676A9B">
            <w:pPr>
              <w:rPr>
                <w:rFonts w:ascii="Arial" w:hAnsi="Arial" w:cs="Arial"/>
                <w:lang w:eastAsia="en-US"/>
              </w:rPr>
            </w:pPr>
            <w:bookmarkStart w:id="403" w:name="_Hlk120699763"/>
            <w:r w:rsidRPr="00676A9B">
              <w:rPr>
                <w:rFonts w:ascii="Arial" w:hAnsi="Arial" w:cs="Arial"/>
                <w:lang w:eastAsia="en-US"/>
              </w:rPr>
              <w:t xml:space="preserve">Postotak odobrenih zahtjeva </w:t>
            </w:r>
          </w:p>
        </w:tc>
        <w:tc>
          <w:tcPr>
            <w:tcW w:w="2977" w:type="dxa"/>
            <w:tcBorders>
              <w:top w:val="single" w:sz="4" w:space="0" w:color="auto"/>
              <w:left w:val="single" w:sz="4" w:space="0" w:color="auto"/>
              <w:bottom w:val="single" w:sz="4" w:space="0" w:color="auto"/>
              <w:right w:val="single" w:sz="4" w:space="0" w:color="auto"/>
            </w:tcBorders>
            <w:vAlign w:val="center"/>
          </w:tcPr>
          <w:p w14:paraId="4D2E6E3E" w14:textId="77777777" w:rsidR="00676A9B" w:rsidRPr="00676A9B" w:rsidRDefault="00676A9B" w:rsidP="00676A9B">
            <w:pPr>
              <w:autoSpaceDE w:val="0"/>
              <w:autoSpaceDN w:val="0"/>
              <w:adjustRightInd w:val="0"/>
              <w:rPr>
                <w:rFonts w:ascii="Arial" w:hAnsi="Arial" w:cs="Arial"/>
                <w:lang w:eastAsia="en-US"/>
              </w:rPr>
            </w:pPr>
            <w:r w:rsidRPr="00676A9B">
              <w:rPr>
                <w:rFonts w:ascii="Arial" w:eastAsia="Calibri" w:hAnsi="Arial" w:cs="Arial"/>
                <w:lang w:eastAsia="en-US"/>
              </w:rPr>
              <w:t>Pomoć socijalno ugroženim obiteljima i domaćinstvima u teškim životnim situacijama</w:t>
            </w:r>
          </w:p>
        </w:tc>
        <w:tc>
          <w:tcPr>
            <w:tcW w:w="1099" w:type="dxa"/>
            <w:tcBorders>
              <w:top w:val="single" w:sz="4" w:space="0" w:color="auto"/>
              <w:left w:val="single" w:sz="4" w:space="0" w:color="auto"/>
              <w:bottom w:val="single" w:sz="4" w:space="0" w:color="auto"/>
              <w:right w:val="single" w:sz="4" w:space="0" w:color="auto"/>
            </w:tcBorders>
            <w:vAlign w:val="center"/>
            <w:hideMark/>
          </w:tcPr>
          <w:p w14:paraId="0948151F" w14:textId="77777777" w:rsidR="00676A9B" w:rsidRPr="00676A9B" w:rsidRDefault="00676A9B" w:rsidP="00676A9B">
            <w:pPr>
              <w:jc w:val="center"/>
              <w:rPr>
                <w:rFonts w:ascii="Arial" w:hAnsi="Arial" w:cs="Arial"/>
                <w:lang w:eastAsia="en-US"/>
              </w:rPr>
            </w:pPr>
            <w:r w:rsidRPr="00676A9B">
              <w:rPr>
                <w:rFonts w:ascii="Arial"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5EFC83" w14:textId="77777777" w:rsidR="00676A9B" w:rsidRPr="00676A9B" w:rsidRDefault="00676A9B" w:rsidP="00676A9B">
            <w:pPr>
              <w:jc w:val="center"/>
              <w:rPr>
                <w:rFonts w:ascii="Arial" w:hAnsi="Arial" w:cs="Arial"/>
                <w:lang w:eastAsia="en-US"/>
              </w:rPr>
            </w:pPr>
            <w:r w:rsidRPr="00676A9B">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hideMark/>
          </w:tcPr>
          <w:p w14:paraId="3009F48C"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08F7793A"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242" w:type="dxa"/>
            <w:tcBorders>
              <w:top w:val="single" w:sz="4" w:space="0" w:color="000000"/>
              <w:left w:val="single" w:sz="4" w:space="0" w:color="000000"/>
              <w:bottom w:val="single" w:sz="4" w:space="0" w:color="000000"/>
              <w:right w:val="single" w:sz="4" w:space="0" w:color="000000"/>
            </w:tcBorders>
            <w:vAlign w:val="center"/>
          </w:tcPr>
          <w:p w14:paraId="18F25BCC"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242" w:type="dxa"/>
            <w:tcBorders>
              <w:top w:val="single" w:sz="4" w:space="0" w:color="000000"/>
              <w:left w:val="single" w:sz="4" w:space="0" w:color="000000"/>
              <w:bottom w:val="single" w:sz="4" w:space="0" w:color="000000"/>
              <w:right w:val="single" w:sz="4" w:space="0" w:color="000000"/>
            </w:tcBorders>
            <w:vAlign w:val="center"/>
          </w:tcPr>
          <w:p w14:paraId="24B85DA7"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4FEDA084"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r>
      <w:bookmarkEnd w:id="403"/>
    </w:tbl>
    <w:p w14:paraId="5E8FFB10" w14:textId="77777777" w:rsidR="00676A9B" w:rsidRPr="00676A9B" w:rsidRDefault="00676A9B" w:rsidP="00676A9B">
      <w:pPr>
        <w:spacing w:after="0" w:line="240" w:lineRule="auto"/>
        <w:jc w:val="both"/>
        <w:rPr>
          <w:rFonts w:ascii="Arial" w:eastAsia="Calibri" w:hAnsi="Arial" w:cs="Arial"/>
          <w:iCs/>
          <w:sz w:val="20"/>
          <w:szCs w:val="20"/>
          <w:lang w:eastAsia="en-US"/>
        </w:rPr>
      </w:pPr>
    </w:p>
    <w:p w14:paraId="549F82CE"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2. A204102: Naknada za troškove stanovanja </w:t>
      </w:r>
      <w:r w:rsidRPr="00676A9B">
        <w:rPr>
          <w:rFonts w:ascii="Arial" w:eastAsia="Calibri" w:hAnsi="Arial" w:cs="Arial"/>
          <w:sz w:val="20"/>
          <w:szCs w:val="20"/>
          <w:lang w:eastAsia="en-US"/>
        </w:rPr>
        <w:t>- u sklopu navedene aktivnosti su rashodi za naknade građanima i kućanstvima u novcu u skladu s programom socijalne pomoći. Planirana sredstva za provođenje navedene aktivnosti iznose 24.000 €. Rashodi su izvršeni u iznosu 16.814,78 €.</w:t>
      </w:r>
    </w:p>
    <w:p w14:paraId="066A0B8E"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U okviru ove aktivnosti planiraju su naknade za troškove stanovanja sukladno članku 41. i 42. Zakona o socijalnoj skrbi (Narodne novine 18/22, </w:t>
      </w:r>
      <w:bookmarkStart w:id="404" w:name="_Hlk166145112"/>
      <w:r w:rsidRPr="00676A9B">
        <w:rPr>
          <w:rFonts w:ascii="Arial" w:eastAsia="Calibri" w:hAnsi="Arial" w:cs="Arial"/>
          <w:sz w:val="20"/>
          <w:szCs w:val="20"/>
          <w:lang w:eastAsia="en-US"/>
        </w:rPr>
        <w:t>46/22, 119/22, 71/23, 156/23</w:t>
      </w:r>
      <w:bookmarkEnd w:id="404"/>
      <w:r w:rsidRPr="00676A9B">
        <w:rPr>
          <w:rFonts w:ascii="Arial" w:eastAsia="Calibri" w:hAnsi="Arial" w:cs="Arial"/>
          <w:sz w:val="20"/>
          <w:szCs w:val="20"/>
          <w:lang w:eastAsia="en-US"/>
        </w:rPr>
        <w:t xml:space="preserve">, 61/25), kao što su plaćanje računa za električnu energiju, komunalne usluge i najamninu. </w:t>
      </w:r>
    </w:p>
    <w:p w14:paraId="2D49FD96"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765E7ACE" w14:textId="097A940C" w:rsidR="00676A9B" w:rsidRPr="00676A9B" w:rsidRDefault="00676A9B" w:rsidP="00676A9B">
      <w:pPr>
        <w:spacing w:after="0" w:line="240" w:lineRule="auto"/>
        <w:ind w:left="567"/>
        <w:jc w:val="both"/>
        <w:rPr>
          <w:rFonts w:ascii="Arial" w:eastAsia="Calibri" w:hAnsi="Arial" w:cs="Arial"/>
          <w:iCs/>
          <w:sz w:val="20"/>
          <w:szCs w:val="20"/>
        </w:rPr>
      </w:pPr>
      <w:bookmarkStart w:id="405" w:name="_Hlk230540859"/>
      <w:r w:rsidRPr="00676A9B">
        <w:rPr>
          <w:rFonts w:ascii="Arial" w:eastAsia="Calibri" w:hAnsi="Arial" w:cs="Arial"/>
          <w:iCs/>
          <w:sz w:val="20"/>
          <w:szCs w:val="20"/>
        </w:rPr>
        <w:t>U 202</w:t>
      </w:r>
      <w:r w:rsidR="009149BB">
        <w:rPr>
          <w:rFonts w:ascii="Arial" w:eastAsia="Calibri" w:hAnsi="Arial" w:cs="Arial"/>
          <w:iCs/>
          <w:sz w:val="20"/>
          <w:szCs w:val="20"/>
        </w:rPr>
        <w:t>5</w:t>
      </w:r>
      <w:r w:rsidRPr="00676A9B">
        <w:rPr>
          <w:rFonts w:ascii="Arial" w:eastAsia="Calibri" w:hAnsi="Arial" w:cs="Arial"/>
          <w:iCs/>
          <w:sz w:val="20"/>
          <w:szCs w:val="20"/>
        </w:rPr>
        <w:t>. godini rashodi su izvršeni za:</w:t>
      </w:r>
    </w:p>
    <w:p w14:paraId="219A340A" w14:textId="6C692AB2" w:rsidR="00676A9B" w:rsidRPr="00676A9B" w:rsidRDefault="00676A9B">
      <w:pPr>
        <w:numPr>
          <w:ilvl w:val="0"/>
          <w:numId w:val="8"/>
        </w:numPr>
        <w:spacing w:after="0" w:line="240" w:lineRule="auto"/>
        <w:ind w:left="284" w:hanging="284"/>
        <w:jc w:val="both"/>
        <w:rPr>
          <w:rFonts w:ascii="Arial" w:eastAsia="Calibri" w:hAnsi="Arial" w:cs="Arial"/>
          <w:bCs/>
          <w:sz w:val="20"/>
          <w:szCs w:val="20"/>
          <w:lang w:eastAsia="en-US"/>
        </w:rPr>
      </w:pPr>
      <w:r w:rsidRPr="00676A9B">
        <w:rPr>
          <w:rFonts w:ascii="Arial" w:eastAsia="Calibri" w:hAnsi="Arial" w:cs="Arial"/>
          <w:bCs/>
          <w:sz w:val="20"/>
          <w:szCs w:val="20"/>
          <w:lang w:eastAsia="en-US"/>
        </w:rPr>
        <w:t xml:space="preserve">naknade za troškove stanovanja u iznosu </w:t>
      </w:r>
      <w:r w:rsidR="00F26329">
        <w:rPr>
          <w:rFonts w:ascii="Arial" w:eastAsia="Calibri" w:hAnsi="Arial" w:cs="Arial"/>
          <w:bCs/>
          <w:sz w:val="20"/>
          <w:szCs w:val="20"/>
          <w:lang w:eastAsia="en-US"/>
        </w:rPr>
        <w:t>6.120</w:t>
      </w:r>
      <w:r w:rsidRPr="00676A9B">
        <w:rPr>
          <w:rFonts w:ascii="Arial" w:eastAsia="Calibri" w:hAnsi="Arial" w:cs="Arial"/>
          <w:bCs/>
          <w:sz w:val="20"/>
          <w:szCs w:val="20"/>
          <w:lang w:eastAsia="en-US"/>
        </w:rPr>
        <w:t xml:space="preserve"> € koje se odnose na naknade za </w:t>
      </w:r>
      <w:r w:rsidR="00F26329">
        <w:rPr>
          <w:rFonts w:ascii="Arial" w:eastAsia="Calibri" w:hAnsi="Arial" w:cs="Arial"/>
          <w:bCs/>
          <w:sz w:val="20"/>
          <w:szCs w:val="20"/>
          <w:lang w:eastAsia="en-US"/>
        </w:rPr>
        <w:t xml:space="preserve">8 do </w:t>
      </w:r>
      <w:r w:rsidRPr="00676A9B">
        <w:rPr>
          <w:rFonts w:ascii="Arial" w:eastAsia="Calibri" w:hAnsi="Arial" w:cs="Arial"/>
          <w:bCs/>
          <w:sz w:val="20"/>
          <w:szCs w:val="20"/>
          <w:lang w:eastAsia="en-US"/>
        </w:rPr>
        <w:t>11 korisnika</w:t>
      </w:r>
      <w:r w:rsidR="00F26329">
        <w:rPr>
          <w:rFonts w:ascii="Arial" w:eastAsia="Calibri" w:hAnsi="Arial" w:cs="Arial"/>
          <w:bCs/>
          <w:sz w:val="20"/>
          <w:szCs w:val="20"/>
          <w:lang w:eastAsia="en-US"/>
        </w:rPr>
        <w:t>, ovisno o mjesecu</w:t>
      </w:r>
      <w:r w:rsidRPr="00676A9B">
        <w:rPr>
          <w:rFonts w:ascii="Arial" w:eastAsia="Calibri" w:hAnsi="Arial" w:cs="Arial"/>
          <w:bCs/>
          <w:sz w:val="20"/>
          <w:szCs w:val="20"/>
          <w:lang w:eastAsia="en-US"/>
        </w:rPr>
        <w:t xml:space="preserve"> (mjesečna naknada u iznosu 55 € po korisniku)</w:t>
      </w:r>
    </w:p>
    <w:p w14:paraId="33CB1935" w14:textId="4F9FD2B9" w:rsidR="00676A9B" w:rsidRPr="00676A9B" w:rsidRDefault="00676A9B">
      <w:pPr>
        <w:numPr>
          <w:ilvl w:val="0"/>
          <w:numId w:val="8"/>
        </w:numPr>
        <w:spacing w:after="0" w:line="240" w:lineRule="auto"/>
        <w:ind w:left="284" w:hanging="284"/>
        <w:jc w:val="both"/>
        <w:rPr>
          <w:rFonts w:ascii="Arial" w:eastAsia="Calibri" w:hAnsi="Arial" w:cs="Arial"/>
          <w:bCs/>
          <w:sz w:val="20"/>
          <w:szCs w:val="20"/>
          <w:lang w:eastAsia="en-US"/>
        </w:rPr>
      </w:pPr>
      <w:r w:rsidRPr="00676A9B">
        <w:rPr>
          <w:rFonts w:ascii="Arial" w:eastAsia="Calibri" w:hAnsi="Arial" w:cs="Arial"/>
          <w:bCs/>
          <w:sz w:val="20"/>
          <w:szCs w:val="20"/>
          <w:lang w:eastAsia="en-US"/>
        </w:rPr>
        <w:t xml:space="preserve">naknade za najam stana za jednu obitelj (socijalni uvjeti) u iznosu </w:t>
      </w:r>
      <w:r w:rsidR="00F26329">
        <w:rPr>
          <w:rFonts w:ascii="Arial" w:eastAsia="Calibri" w:hAnsi="Arial" w:cs="Arial"/>
          <w:bCs/>
          <w:sz w:val="20"/>
          <w:szCs w:val="20"/>
          <w:lang w:eastAsia="en-US"/>
        </w:rPr>
        <w:t>2.400</w:t>
      </w:r>
      <w:r w:rsidRPr="00676A9B">
        <w:rPr>
          <w:rFonts w:ascii="Arial" w:eastAsia="Calibri" w:hAnsi="Arial" w:cs="Arial"/>
          <w:bCs/>
          <w:sz w:val="20"/>
          <w:szCs w:val="20"/>
          <w:lang w:eastAsia="en-US"/>
        </w:rPr>
        <w:t xml:space="preserve"> €, na temelju ugovora zaključenog s Caritasom Dubrovačke biskupije i najmodavcem (fizičkom osobom) mjesečno u iznosu </w:t>
      </w:r>
      <w:r w:rsidR="00F26329">
        <w:rPr>
          <w:rFonts w:ascii="Arial" w:eastAsia="Calibri" w:hAnsi="Arial" w:cs="Arial"/>
          <w:bCs/>
          <w:sz w:val="20"/>
          <w:szCs w:val="20"/>
          <w:lang w:eastAsia="en-US"/>
        </w:rPr>
        <w:t>200</w:t>
      </w:r>
      <w:r w:rsidRPr="00676A9B">
        <w:rPr>
          <w:rFonts w:ascii="Arial" w:eastAsia="Calibri" w:hAnsi="Arial" w:cs="Arial"/>
          <w:bCs/>
          <w:sz w:val="20"/>
          <w:szCs w:val="20"/>
          <w:lang w:eastAsia="en-US"/>
        </w:rPr>
        <w:t xml:space="preserve"> €</w:t>
      </w:r>
      <w:r w:rsidR="00F26329">
        <w:rPr>
          <w:rFonts w:ascii="Arial" w:eastAsia="Calibri" w:hAnsi="Arial" w:cs="Arial"/>
          <w:bCs/>
          <w:sz w:val="20"/>
          <w:szCs w:val="20"/>
          <w:lang w:eastAsia="en-US"/>
        </w:rPr>
        <w:t xml:space="preserve"> (ugovor od 30.6.2024., te ugovor od 30.6.2025.),</w:t>
      </w:r>
      <w:r w:rsidRPr="00676A9B">
        <w:rPr>
          <w:rFonts w:ascii="Times New Roman" w:eastAsia="Times New Roman" w:hAnsi="Times New Roman" w:cs="Times New Roman"/>
          <w:sz w:val="20"/>
          <w:szCs w:val="20"/>
          <w:lang w:eastAsia="en-US"/>
        </w:rPr>
        <w:t xml:space="preserve"> </w:t>
      </w:r>
      <w:r w:rsidRPr="00676A9B">
        <w:rPr>
          <w:rFonts w:ascii="Arial" w:eastAsia="Calibri" w:hAnsi="Arial" w:cs="Arial"/>
          <w:bCs/>
          <w:sz w:val="20"/>
          <w:szCs w:val="20"/>
          <w:lang w:eastAsia="en-US"/>
        </w:rPr>
        <w:t>(sveukupno ugovorena mjesečna najamnina 500 €).</w:t>
      </w:r>
    </w:p>
    <w:p w14:paraId="6A85FEE3" w14:textId="7FD2AE98" w:rsidR="00676A9B" w:rsidRPr="00F26329" w:rsidRDefault="00676A9B">
      <w:pPr>
        <w:numPr>
          <w:ilvl w:val="0"/>
          <w:numId w:val="8"/>
        </w:numPr>
        <w:spacing w:after="0" w:line="240" w:lineRule="auto"/>
        <w:ind w:left="284" w:hanging="284"/>
        <w:jc w:val="both"/>
        <w:rPr>
          <w:rFonts w:ascii="Arial" w:eastAsia="Calibri" w:hAnsi="Arial" w:cs="Arial"/>
          <w:i/>
          <w:sz w:val="20"/>
          <w:szCs w:val="20"/>
          <w:lang w:eastAsia="en-US"/>
        </w:rPr>
      </w:pPr>
      <w:r w:rsidRPr="00676A9B">
        <w:rPr>
          <w:rFonts w:ascii="Arial" w:eastAsia="Calibri" w:hAnsi="Arial" w:cs="Arial"/>
          <w:bCs/>
          <w:sz w:val="20"/>
          <w:szCs w:val="20"/>
          <w:lang w:eastAsia="en-US"/>
        </w:rPr>
        <w:t>troškovi sanacije dijela kuć</w:t>
      </w:r>
      <w:r w:rsidR="00F26329">
        <w:rPr>
          <w:rFonts w:ascii="Arial" w:eastAsia="Calibri" w:hAnsi="Arial" w:cs="Arial"/>
          <w:bCs/>
          <w:sz w:val="20"/>
          <w:szCs w:val="20"/>
          <w:lang w:eastAsia="en-US"/>
        </w:rPr>
        <w:t>e</w:t>
      </w:r>
      <w:r w:rsidRPr="00676A9B">
        <w:rPr>
          <w:rFonts w:ascii="Arial" w:eastAsia="Calibri" w:hAnsi="Arial" w:cs="Arial"/>
          <w:bCs/>
          <w:sz w:val="20"/>
          <w:szCs w:val="20"/>
          <w:lang w:eastAsia="en-US"/>
        </w:rPr>
        <w:t xml:space="preserve"> oštećen</w:t>
      </w:r>
      <w:r w:rsidR="00F26329">
        <w:rPr>
          <w:rFonts w:ascii="Arial" w:eastAsia="Calibri" w:hAnsi="Arial" w:cs="Arial"/>
          <w:bCs/>
          <w:sz w:val="20"/>
          <w:szCs w:val="20"/>
          <w:lang w:eastAsia="en-US"/>
        </w:rPr>
        <w:t>e</w:t>
      </w:r>
      <w:r w:rsidRPr="00676A9B">
        <w:rPr>
          <w:rFonts w:ascii="Arial" w:eastAsia="Calibri" w:hAnsi="Arial" w:cs="Arial"/>
          <w:bCs/>
          <w:sz w:val="20"/>
          <w:szCs w:val="20"/>
          <w:lang w:eastAsia="en-US"/>
        </w:rPr>
        <w:t xml:space="preserve"> u požaru (</w:t>
      </w:r>
      <w:r w:rsidR="00F26329">
        <w:rPr>
          <w:rFonts w:ascii="Arial" w:eastAsia="Calibri" w:hAnsi="Arial" w:cs="Arial"/>
          <w:bCs/>
          <w:sz w:val="20"/>
          <w:szCs w:val="20"/>
          <w:lang w:eastAsia="en-US"/>
        </w:rPr>
        <w:t>jedna</w:t>
      </w:r>
      <w:r w:rsidRPr="00676A9B">
        <w:rPr>
          <w:rFonts w:ascii="Arial" w:eastAsia="Calibri" w:hAnsi="Arial" w:cs="Arial"/>
          <w:bCs/>
          <w:sz w:val="20"/>
          <w:szCs w:val="20"/>
          <w:lang w:eastAsia="en-US"/>
        </w:rPr>
        <w:t xml:space="preserve"> obitelj) u ukupnom iznosu </w:t>
      </w:r>
      <w:r w:rsidR="00F26329">
        <w:rPr>
          <w:rFonts w:ascii="Arial" w:eastAsia="Calibri" w:hAnsi="Arial" w:cs="Arial"/>
          <w:bCs/>
          <w:sz w:val="20"/>
          <w:szCs w:val="20"/>
          <w:lang w:eastAsia="en-US"/>
        </w:rPr>
        <w:t>2.137,34</w:t>
      </w:r>
      <w:r w:rsidRPr="00676A9B">
        <w:rPr>
          <w:rFonts w:ascii="Arial" w:eastAsia="Calibri" w:hAnsi="Arial" w:cs="Arial"/>
          <w:bCs/>
          <w:sz w:val="20"/>
          <w:szCs w:val="20"/>
          <w:lang w:eastAsia="en-US"/>
        </w:rPr>
        <w:t xml:space="preserve"> €.</w:t>
      </w:r>
    </w:p>
    <w:p w14:paraId="6E05B44C" w14:textId="77777777" w:rsidR="009136D4" w:rsidRPr="00676A9B" w:rsidRDefault="009136D4" w:rsidP="00676A9B">
      <w:pPr>
        <w:spacing w:after="0" w:line="240" w:lineRule="auto"/>
        <w:jc w:val="both"/>
        <w:rPr>
          <w:rFonts w:ascii="Arial" w:eastAsia="Calibri" w:hAnsi="Arial" w:cs="Arial"/>
          <w:i/>
          <w:sz w:val="20"/>
          <w:szCs w:val="20"/>
        </w:rPr>
      </w:pPr>
    </w:p>
    <w:bookmarkEnd w:id="405"/>
    <w:p w14:paraId="05400E4F" w14:textId="77777777" w:rsidR="00676A9B" w:rsidRPr="00676A9B" w:rsidRDefault="00676A9B" w:rsidP="00676A9B">
      <w:pPr>
        <w:spacing w:after="0" w:line="240" w:lineRule="auto"/>
        <w:jc w:val="both"/>
        <w:rPr>
          <w:rFonts w:ascii="Arial" w:eastAsia="Calibri" w:hAnsi="Arial" w:cs="Arial"/>
          <w:i/>
          <w:sz w:val="20"/>
          <w:szCs w:val="20"/>
        </w:rPr>
      </w:pPr>
      <w:r w:rsidRPr="00676A9B">
        <w:rPr>
          <w:rFonts w:ascii="Arial" w:eastAsia="Calibri" w:hAnsi="Arial" w:cs="Arial"/>
          <w:i/>
          <w:sz w:val="20"/>
          <w:szCs w:val="20"/>
        </w:rPr>
        <w:t xml:space="preserve">*Usporedba: </w:t>
      </w:r>
    </w:p>
    <w:tbl>
      <w:tblPr>
        <w:tblW w:w="12039" w:type="dxa"/>
        <w:jc w:val="center"/>
        <w:tblLayout w:type="fixed"/>
        <w:tblLook w:val="04A0" w:firstRow="1" w:lastRow="0" w:firstColumn="1" w:lastColumn="0" w:noHBand="0" w:noVBand="1"/>
      </w:tblPr>
      <w:tblGrid>
        <w:gridCol w:w="894"/>
        <w:gridCol w:w="1439"/>
        <w:gridCol w:w="968"/>
        <w:gridCol w:w="3068"/>
        <w:gridCol w:w="1843"/>
        <w:gridCol w:w="1417"/>
        <w:gridCol w:w="2410"/>
      </w:tblGrid>
      <w:tr w:rsidR="00676A9B" w:rsidRPr="00676A9B" w14:paraId="2CC04374" w14:textId="77777777" w:rsidTr="00410A4B">
        <w:trPr>
          <w:trHeight w:val="432"/>
          <w:jc w:val="center"/>
        </w:trPr>
        <w:tc>
          <w:tcPr>
            <w:tcW w:w="894" w:type="dxa"/>
            <w:tcBorders>
              <w:top w:val="single" w:sz="8" w:space="0" w:color="auto"/>
              <w:left w:val="single" w:sz="8" w:space="0" w:color="auto"/>
              <w:bottom w:val="single" w:sz="8" w:space="0" w:color="000000"/>
              <w:right w:val="single" w:sz="8" w:space="0" w:color="auto"/>
            </w:tcBorders>
            <w:vAlign w:val="center"/>
            <w:hideMark/>
          </w:tcPr>
          <w:p w14:paraId="0571A08E" w14:textId="77777777" w:rsidR="00676A9B" w:rsidRPr="00676A9B" w:rsidRDefault="00676A9B" w:rsidP="00676A9B">
            <w:pPr>
              <w:spacing w:after="0" w:line="240" w:lineRule="auto"/>
              <w:jc w:val="center"/>
              <w:rPr>
                <w:rFonts w:ascii="Arial" w:eastAsia="Times New Roman" w:hAnsi="Arial" w:cs="Arial"/>
                <w:i/>
                <w:iCs/>
                <w:sz w:val="16"/>
                <w:szCs w:val="16"/>
              </w:rPr>
            </w:pPr>
            <w:r w:rsidRPr="00676A9B">
              <w:rPr>
                <w:rFonts w:ascii="Arial" w:eastAsia="Times New Roman" w:hAnsi="Arial" w:cs="Arial"/>
                <w:i/>
                <w:iCs/>
                <w:sz w:val="16"/>
                <w:szCs w:val="16"/>
              </w:rPr>
              <w:t>Godina</w:t>
            </w:r>
          </w:p>
        </w:tc>
        <w:tc>
          <w:tcPr>
            <w:tcW w:w="1439" w:type="dxa"/>
            <w:tcBorders>
              <w:top w:val="single" w:sz="8" w:space="0" w:color="auto"/>
              <w:left w:val="single" w:sz="8" w:space="0" w:color="auto"/>
              <w:bottom w:val="single" w:sz="8" w:space="0" w:color="000000"/>
              <w:right w:val="single" w:sz="8" w:space="0" w:color="auto"/>
            </w:tcBorders>
            <w:vAlign w:val="center"/>
            <w:hideMark/>
          </w:tcPr>
          <w:p w14:paraId="73290F5F" w14:textId="77777777" w:rsidR="00676A9B" w:rsidRPr="00676A9B" w:rsidRDefault="00676A9B" w:rsidP="00676A9B">
            <w:pPr>
              <w:spacing w:after="0" w:line="240" w:lineRule="auto"/>
              <w:jc w:val="center"/>
              <w:rPr>
                <w:rFonts w:ascii="Arial" w:eastAsia="Times New Roman" w:hAnsi="Arial" w:cs="Arial"/>
                <w:i/>
                <w:iCs/>
                <w:sz w:val="16"/>
                <w:szCs w:val="16"/>
              </w:rPr>
            </w:pPr>
            <w:r w:rsidRPr="00676A9B">
              <w:rPr>
                <w:rFonts w:ascii="Arial" w:eastAsia="Times New Roman" w:hAnsi="Arial" w:cs="Arial"/>
                <w:i/>
                <w:iCs/>
                <w:sz w:val="16"/>
                <w:szCs w:val="16"/>
              </w:rPr>
              <w:t xml:space="preserve">Broj korisnika- </w:t>
            </w:r>
            <w:r w:rsidRPr="00676A9B">
              <w:rPr>
                <w:rFonts w:ascii="Arial" w:eastAsia="Times New Roman" w:hAnsi="Arial" w:cs="Arial"/>
                <w:i/>
                <w:iCs/>
                <w:sz w:val="16"/>
                <w:szCs w:val="16"/>
                <w:u w:val="single"/>
              </w:rPr>
              <w:t>Jednokratne pomoći</w:t>
            </w:r>
            <w:r w:rsidRPr="00676A9B">
              <w:rPr>
                <w:rFonts w:ascii="Arial" w:eastAsia="Times New Roman" w:hAnsi="Arial" w:cs="Arial"/>
                <w:i/>
                <w:iCs/>
                <w:sz w:val="16"/>
                <w:szCs w:val="16"/>
              </w:rPr>
              <w:t xml:space="preserve"> za stanovanje i pomoći za najamninu ili troškove el.energije</w:t>
            </w:r>
          </w:p>
        </w:tc>
        <w:tc>
          <w:tcPr>
            <w:tcW w:w="968" w:type="dxa"/>
            <w:tcBorders>
              <w:top w:val="single" w:sz="8" w:space="0" w:color="auto"/>
              <w:left w:val="single" w:sz="8" w:space="0" w:color="auto"/>
              <w:bottom w:val="single" w:sz="8" w:space="0" w:color="000000"/>
              <w:right w:val="single" w:sz="8" w:space="0" w:color="auto"/>
            </w:tcBorders>
            <w:vAlign w:val="center"/>
            <w:hideMark/>
          </w:tcPr>
          <w:p w14:paraId="093F9AAA" w14:textId="77777777" w:rsidR="00676A9B" w:rsidRPr="00676A9B" w:rsidRDefault="00676A9B" w:rsidP="00676A9B">
            <w:pPr>
              <w:spacing w:after="0" w:line="240" w:lineRule="auto"/>
              <w:jc w:val="center"/>
              <w:rPr>
                <w:rFonts w:ascii="Arial" w:eastAsia="Times New Roman" w:hAnsi="Arial" w:cs="Arial"/>
                <w:i/>
                <w:iCs/>
                <w:sz w:val="16"/>
                <w:szCs w:val="16"/>
              </w:rPr>
            </w:pPr>
            <w:r w:rsidRPr="00676A9B">
              <w:rPr>
                <w:rFonts w:ascii="Arial" w:eastAsia="Times New Roman" w:hAnsi="Arial" w:cs="Arial"/>
                <w:i/>
                <w:iCs/>
                <w:sz w:val="16"/>
                <w:szCs w:val="16"/>
              </w:rPr>
              <w:t>Izvršeno (</w:t>
            </w:r>
            <w:r w:rsidRPr="00676A9B">
              <w:rPr>
                <w:rFonts w:ascii="Arial" w:eastAsia="Times New Roman" w:hAnsi="Arial" w:cs="Arial"/>
                <w:i/>
                <w:iCs/>
                <w:color w:val="C00000"/>
                <w:sz w:val="16"/>
                <w:szCs w:val="16"/>
              </w:rPr>
              <w:t>€)</w:t>
            </w:r>
          </w:p>
        </w:tc>
        <w:tc>
          <w:tcPr>
            <w:tcW w:w="3068" w:type="dxa"/>
            <w:tcBorders>
              <w:top w:val="single" w:sz="8" w:space="0" w:color="auto"/>
              <w:left w:val="single" w:sz="8" w:space="0" w:color="auto"/>
              <w:bottom w:val="single" w:sz="8" w:space="0" w:color="000000"/>
              <w:right w:val="single" w:sz="8" w:space="0" w:color="auto"/>
            </w:tcBorders>
            <w:vAlign w:val="center"/>
            <w:hideMark/>
          </w:tcPr>
          <w:p w14:paraId="681D15A4" w14:textId="77777777" w:rsidR="00676A9B" w:rsidRPr="00676A9B" w:rsidRDefault="00676A9B" w:rsidP="00676A9B">
            <w:pPr>
              <w:spacing w:after="0" w:line="240" w:lineRule="auto"/>
              <w:jc w:val="center"/>
              <w:rPr>
                <w:rFonts w:ascii="Arial" w:eastAsia="Times New Roman" w:hAnsi="Arial" w:cs="Arial"/>
                <w:i/>
                <w:iCs/>
                <w:sz w:val="16"/>
                <w:szCs w:val="16"/>
              </w:rPr>
            </w:pPr>
            <w:r w:rsidRPr="00676A9B">
              <w:rPr>
                <w:rFonts w:ascii="Arial" w:eastAsia="Times New Roman" w:hAnsi="Arial" w:cs="Arial"/>
                <w:i/>
                <w:iCs/>
                <w:sz w:val="16"/>
                <w:szCs w:val="16"/>
              </w:rPr>
              <w:t>Obrazloženje</w:t>
            </w:r>
          </w:p>
        </w:tc>
        <w:tc>
          <w:tcPr>
            <w:tcW w:w="1843" w:type="dxa"/>
            <w:tcBorders>
              <w:top w:val="single" w:sz="8" w:space="0" w:color="auto"/>
              <w:left w:val="nil"/>
              <w:bottom w:val="single" w:sz="4" w:space="0" w:color="auto"/>
              <w:right w:val="single" w:sz="8" w:space="0" w:color="auto"/>
            </w:tcBorders>
            <w:vAlign w:val="center"/>
            <w:hideMark/>
          </w:tcPr>
          <w:p w14:paraId="3ED42306" w14:textId="77777777" w:rsidR="00676A9B" w:rsidRPr="00676A9B" w:rsidRDefault="00676A9B" w:rsidP="00676A9B">
            <w:pPr>
              <w:spacing w:after="0" w:line="240" w:lineRule="auto"/>
              <w:jc w:val="center"/>
              <w:rPr>
                <w:rFonts w:ascii="Arial" w:eastAsia="Times New Roman" w:hAnsi="Arial" w:cs="Arial"/>
                <w:i/>
                <w:iCs/>
                <w:sz w:val="16"/>
                <w:szCs w:val="16"/>
              </w:rPr>
            </w:pPr>
            <w:r w:rsidRPr="00676A9B">
              <w:rPr>
                <w:rFonts w:ascii="Arial" w:eastAsia="Times New Roman" w:hAnsi="Arial" w:cs="Arial"/>
                <w:i/>
                <w:iCs/>
                <w:sz w:val="16"/>
                <w:szCs w:val="16"/>
              </w:rPr>
              <w:t xml:space="preserve">Broj korisnika - naknade troškova stanovanja – čl.41. Zakona o socijalnoj skrbi </w:t>
            </w:r>
          </w:p>
        </w:tc>
        <w:tc>
          <w:tcPr>
            <w:tcW w:w="1417" w:type="dxa"/>
            <w:tcBorders>
              <w:top w:val="single" w:sz="8" w:space="0" w:color="auto"/>
              <w:left w:val="single" w:sz="8" w:space="0" w:color="auto"/>
              <w:bottom w:val="single" w:sz="8" w:space="0" w:color="000000"/>
              <w:right w:val="single" w:sz="8" w:space="0" w:color="auto"/>
            </w:tcBorders>
            <w:vAlign w:val="center"/>
            <w:hideMark/>
          </w:tcPr>
          <w:p w14:paraId="6B506CFA" w14:textId="77777777" w:rsidR="00676A9B" w:rsidRPr="00676A9B" w:rsidRDefault="00676A9B" w:rsidP="00676A9B">
            <w:pPr>
              <w:spacing w:after="0" w:line="240" w:lineRule="auto"/>
              <w:jc w:val="center"/>
              <w:rPr>
                <w:rFonts w:ascii="Arial" w:eastAsia="Times New Roman" w:hAnsi="Arial" w:cs="Arial"/>
                <w:i/>
                <w:iCs/>
                <w:sz w:val="16"/>
                <w:szCs w:val="16"/>
              </w:rPr>
            </w:pPr>
            <w:r w:rsidRPr="00676A9B">
              <w:rPr>
                <w:rFonts w:ascii="Arial" w:eastAsia="Times New Roman" w:hAnsi="Arial" w:cs="Arial"/>
                <w:i/>
                <w:iCs/>
                <w:sz w:val="16"/>
                <w:szCs w:val="16"/>
              </w:rPr>
              <w:t>Izvršeno (€)</w:t>
            </w:r>
          </w:p>
        </w:tc>
        <w:tc>
          <w:tcPr>
            <w:tcW w:w="2410" w:type="dxa"/>
            <w:tcBorders>
              <w:top w:val="single" w:sz="8" w:space="0" w:color="auto"/>
              <w:left w:val="single" w:sz="8" w:space="0" w:color="auto"/>
              <w:bottom w:val="single" w:sz="8" w:space="0" w:color="000000"/>
              <w:right w:val="single" w:sz="8" w:space="0" w:color="auto"/>
            </w:tcBorders>
            <w:vAlign w:val="center"/>
            <w:hideMark/>
          </w:tcPr>
          <w:p w14:paraId="07719DD2" w14:textId="77777777" w:rsidR="00676A9B" w:rsidRPr="00676A9B" w:rsidRDefault="00676A9B" w:rsidP="00676A9B">
            <w:pPr>
              <w:spacing w:after="0" w:line="240" w:lineRule="auto"/>
              <w:jc w:val="center"/>
              <w:rPr>
                <w:rFonts w:ascii="Arial" w:eastAsia="Times New Roman" w:hAnsi="Arial" w:cs="Arial"/>
                <w:b/>
                <w:bCs/>
                <w:i/>
                <w:iCs/>
                <w:sz w:val="16"/>
                <w:szCs w:val="16"/>
              </w:rPr>
            </w:pPr>
            <w:r w:rsidRPr="00676A9B">
              <w:rPr>
                <w:rFonts w:ascii="Arial" w:eastAsia="Times New Roman" w:hAnsi="Arial" w:cs="Arial"/>
                <w:b/>
                <w:bCs/>
                <w:i/>
                <w:iCs/>
                <w:sz w:val="16"/>
                <w:szCs w:val="16"/>
              </w:rPr>
              <w:t>Sveukupno izvršeno (€)</w:t>
            </w:r>
          </w:p>
        </w:tc>
      </w:tr>
      <w:tr w:rsidR="00676A9B" w:rsidRPr="00676A9B" w14:paraId="57422359" w14:textId="77777777" w:rsidTr="00410A4B">
        <w:trPr>
          <w:trHeight w:val="50"/>
          <w:jc w:val="center"/>
        </w:trPr>
        <w:tc>
          <w:tcPr>
            <w:tcW w:w="894" w:type="dxa"/>
            <w:tcBorders>
              <w:top w:val="nil"/>
              <w:left w:val="single" w:sz="8" w:space="0" w:color="auto"/>
              <w:bottom w:val="single" w:sz="8" w:space="0" w:color="auto"/>
              <w:right w:val="single" w:sz="8" w:space="0" w:color="auto"/>
            </w:tcBorders>
            <w:vAlign w:val="center"/>
            <w:hideMark/>
          </w:tcPr>
          <w:p w14:paraId="66E87B86" w14:textId="77777777" w:rsidR="00676A9B" w:rsidRPr="00676A9B" w:rsidRDefault="00676A9B" w:rsidP="00676A9B">
            <w:pPr>
              <w:spacing w:after="0" w:line="240" w:lineRule="auto"/>
              <w:jc w:val="center"/>
              <w:rPr>
                <w:rFonts w:ascii="Arial" w:eastAsia="Times New Roman" w:hAnsi="Arial" w:cs="Arial"/>
                <w:i/>
                <w:iCs/>
                <w:sz w:val="12"/>
                <w:szCs w:val="12"/>
              </w:rPr>
            </w:pPr>
            <w:r w:rsidRPr="00676A9B">
              <w:rPr>
                <w:rFonts w:ascii="Arial" w:eastAsia="Times New Roman" w:hAnsi="Arial" w:cs="Arial"/>
                <w:i/>
                <w:iCs/>
                <w:sz w:val="12"/>
                <w:szCs w:val="12"/>
              </w:rPr>
              <w:lastRenderedPageBreak/>
              <w:t>1</w:t>
            </w:r>
          </w:p>
        </w:tc>
        <w:tc>
          <w:tcPr>
            <w:tcW w:w="1439" w:type="dxa"/>
            <w:tcBorders>
              <w:top w:val="nil"/>
              <w:left w:val="nil"/>
              <w:bottom w:val="single" w:sz="8" w:space="0" w:color="auto"/>
              <w:right w:val="single" w:sz="8" w:space="0" w:color="auto"/>
            </w:tcBorders>
            <w:vAlign w:val="center"/>
            <w:hideMark/>
          </w:tcPr>
          <w:p w14:paraId="7FD7C155" w14:textId="77777777" w:rsidR="00676A9B" w:rsidRPr="00676A9B" w:rsidRDefault="00676A9B" w:rsidP="00676A9B">
            <w:pPr>
              <w:spacing w:after="0" w:line="240" w:lineRule="auto"/>
              <w:jc w:val="center"/>
              <w:rPr>
                <w:rFonts w:ascii="Arial" w:eastAsia="Times New Roman" w:hAnsi="Arial" w:cs="Arial"/>
                <w:i/>
                <w:iCs/>
                <w:sz w:val="12"/>
                <w:szCs w:val="12"/>
              </w:rPr>
            </w:pPr>
            <w:r w:rsidRPr="00676A9B">
              <w:rPr>
                <w:rFonts w:ascii="Arial" w:eastAsia="Times New Roman" w:hAnsi="Arial" w:cs="Arial"/>
                <w:i/>
                <w:iCs/>
                <w:sz w:val="12"/>
                <w:szCs w:val="12"/>
              </w:rPr>
              <w:t>2</w:t>
            </w:r>
          </w:p>
        </w:tc>
        <w:tc>
          <w:tcPr>
            <w:tcW w:w="968" w:type="dxa"/>
            <w:tcBorders>
              <w:top w:val="nil"/>
              <w:left w:val="nil"/>
              <w:bottom w:val="single" w:sz="8" w:space="0" w:color="auto"/>
              <w:right w:val="single" w:sz="8" w:space="0" w:color="auto"/>
            </w:tcBorders>
            <w:vAlign w:val="center"/>
            <w:hideMark/>
          </w:tcPr>
          <w:p w14:paraId="1320CB2C" w14:textId="77777777" w:rsidR="00676A9B" w:rsidRPr="00676A9B" w:rsidRDefault="00676A9B" w:rsidP="00676A9B">
            <w:pPr>
              <w:spacing w:after="0" w:line="240" w:lineRule="auto"/>
              <w:jc w:val="center"/>
              <w:rPr>
                <w:rFonts w:ascii="Arial" w:eastAsia="Times New Roman" w:hAnsi="Arial" w:cs="Arial"/>
                <w:i/>
                <w:iCs/>
                <w:sz w:val="12"/>
                <w:szCs w:val="12"/>
              </w:rPr>
            </w:pPr>
            <w:r w:rsidRPr="00676A9B">
              <w:rPr>
                <w:rFonts w:ascii="Arial" w:eastAsia="Times New Roman" w:hAnsi="Arial" w:cs="Arial"/>
                <w:i/>
                <w:iCs/>
                <w:sz w:val="12"/>
                <w:szCs w:val="12"/>
              </w:rPr>
              <w:t>3.</w:t>
            </w:r>
          </w:p>
        </w:tc>
        <w:tc>
          <w:tcPr>
            <w:tcW w:w="3068" w:type="dxa"/>
            <w:tcBorders>
              <w:top w:val="nil"/>
              <w:left w:val="nil"/>
              <w:bottom w:val="single" w:sz="8" w:space="0" w:color="auto"/>
              <w:right w:val="single" w:sz="4" w:space="0" w:color="auto"/>
            </w:tcBorders>
            <w:vAlign w:val="center"/>
            <w:hideMark/>
          </w:tcPr>
          <w:p w14:paraId="6C1F2309" w14:textId="77777777" w:rsidR="00676A9B" w:rsidRPr="00676A9B" w:rsidRDefault="00676A9B" w:rsidP="00676A9B">
            <w:pPr>
              <w:spacing w:after="0" w:line="240" w:lineRule="auto"/>
              <w:jc w:val="center"/>
              <w:rPr>
                <w:rFonts w:ascii="Arial" w:eastAsia="Times New Roman" w:hAnsi="Arial" w:cs="Arial"/>
                <w:i/>
                <w:iCs/>
                <w:sz w:val="12"/>
                <w:szCs w:val="12"/>
              </w:rPr>
            </w:pPr>
            <w:r w:rsidRPr="00676A9B">
              <w:rPr>
                <w:rFonts w:ascii="Arial" w:eastAsia="Times New Roman" w:hAnsi="Arial" w:cs="Arial"/>
                <w:i/>
                <w:iCs/>
                <w:sz w:val="12"/>
                <w:szCs w:val="12"/>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8FF820" w14:textId="77777777" w:rsidR="00676A9B" w:rsidRPr="00676A9B" w:rsidRDefault="00676A9B" w:rsidP="00676A9B">
            <w:pPr>
              <w:spacing w:after="0" w:line="240" w:lineRule="auto"/>
              <w:jc w:val="center"/>
              <w:rPr>
                <w:rFonts w:ascii="Arial" w:eastAsia="Times New Roman" w:hAnsi="Arial" w:cs="Arial"/>
                <w:sz w:val="12"/>
                <w:szCs w:val="12"/>
              </w:rPr>
            </w:pPr>
            <w:r w:rsidRPr="00676A9B">
              <w:rPr>
                <w:rFonts w:ascii="Arial" w:eastAsia="Times New Roman" w:hAnsi="Arial" w:cs="Arial"/>
                <w:sz w:val="12"/>
                <w:szCs w:val="12"/>
              </w:rPr>
              <w:t>5</w:t>
            </w:r>
          </w:p>
        </w:tc>
        <w:tc>
          <w:tcPr>
            <w:tcW w:w="1417" w:type="dxa"/>
            <w:tcBorders>
              <w:top w:val="nil"/>
              <w:left w:val="nil"/>
              <w:bottom w:val="single" w:sz="8" w:space="0" w:color="auto"/>
              <w:right w:val="single" w:sz="8" w:space="0" w:color="auto"/>
            </w:tcBorders>
            <w:vAlign w:val="center"/>
            <w:hideMark/>
          </w:tcPr>
          <w:p w14:paraId="0B2E8DD0" w14:textId="77777777" w:rsidR="00676A9B" w:rsidRPr="00676A9B" w:rsidRDefault="00676A9B" w:rsidP="00676A9B">
            <w:pPr>
              <w:spacing w:after="0" w:line="240" w:lineRule="auto"/>
              <w:jc w:val="center"/>
              <w:rPr>
                <w:rFonts w:ascii="Arial" w:eastAsia="Times New Roman" w:hAnsi="Arial" w:cs="Arial"/>
                <w:i/>
                <w:iCs/>
                <w:sz w:val="12"/>
                <w:szCs w:val="12"/>
              </w:rPr>
            </w:pPr>
            <w:r w:rsidRPr="00676A9B">
              <w:rPr>
                <w:rFonts w:ascii="Arial" w:eastAsia="Times New Roman" w:hAnsi="Arial" w:cs="Arial"/>
                <w:i/>
                <w:iCs/>
                <w:sz w:val="12"/>
                <w:szCs w:val="12"/>
              </w:rPr>
              <w:t>6.</w:t>
            </w:r>
          </w:p>
        </w:tc>
        <w:tc>
          <w:tcPr>
            <w:tcW w:w="2410" w:type="dxa"/>
            <w:tcBorders>
              <w:top w:val="nil"/>
              <w:left w:val="nil"/>
              <w:bottom w:val="single" w:sz="8" w:space="0" w:color="auto"/>
              <w:right w:val="single" w:sz="8" w:space="0" w:color="auto"/>
            </w:tcBorders>
            <w:vAlign w:val="center"/>
            <w:hideMark/>
          </w:tcPr>
          <w:p w14:paraId="14032228" w14:textId="77777777" w:rsidR="00676A9B" w:rsidRPr="00676A9B" w:rsidRDefault="00676A9B" w:rsidP="00676A9B">
            <w:pPr>
              <w:spacing w:after="0" w:line="240" w:lineRule="auto"/>
              <w:jc w:val="center"/>
              <w:rPr>
                <w:rFonts w:ascii="Arial" w:eastAsia="Times New Roman" w:hAnsi="Arial" w:cs="Arial"/>
                <w:sz w:val="12"/>
                <w:szCs w:val="12"/>
              </w:rPr>
            </w:pPr>
            <w:r w:rsidRPr="00676A9B">
              <w:rPr>
                <w:rFonts w:ascii="Arial" w:eastAsia="Times New Roman" w:hAnsi="Arial" w:cs="Arial"/>
                <w:sz w:val="12"/>
                <w:szCs w:val="12"/>
              </w:rPr>
              <w:t>7. (3+6)</w:t>
            </w:r>
          </w:p>
        </w:tc>
      </w:tr>
      <w:tr w:rsidR="00676A9B" w:rsidRPr="00676A9B" w14:paraId="492DA985" w14:textId="77777777" w:rsidTr="00410A4B">
        <w:trPr>
          <w:trHeight w:val="366"/>
          <w:jc w:val="center"/>
        </w:trPr>
        <w:tc>
          <w:tcPr>
            <w:tcW w:w="894" w:type="dxa"/>
            <w:tcBorders>
              <w:top w:val="nil"/>
              <w:left w:val="single" w:sz="8" w:space="0" w:color="auto"/>
              <w:bottom w:val="single" w:sz="8" w:space="0" w:color="auto"/>
              <w:right w:val="single" w:sz="8" w:space="0" w:color="auto"/>
            </w:tcBorders>
            <w:vAlign w:val="center"/>
            <w:hideMark/>
          </w:tcPr>
          <w:p w14:paraId="1F52E21E" w14:textId="77777777" w:rsidR="00676A9B" w:rsidRPr="00676A9B" w:rsidRDefault="00676A9B" w:rsidP="00676A9B">
            <w:pPr>
              <w:spacing w:after="0" w:line="240" w:lineRule="auto"/>
              <w:jc w:val="center"/>
              <w:rPr>
                <w:rFonts w:ascii="Arial" w:eastAsia="Times New Roman" w:hAnsi="Arial" w:cs="Arial"/>
                <w:i/>
                <w:iCs/>
                <w:sz w:val="16"/>
                <w:szCs w:val="16"/>
              </w:rPr>
            </w:pPr>
            <w:r w:rsidRPr="00676A9B">
              <w:rPr>
                <w:rFonts w:ascii="Arial" w:eastAsia="Times New Roman" w:hAnsi="Arial" w:cs="Arial"/>
                <w:i/>
                <w:iCs/>
                <w:sz w:val="16"/>
                <w:szCs w:val="16"/>
              </w:rPr>
              <w:t>2015.</w:t>
            </w:r>
          </w:p>
        </w:tc>
        <w:tc>
          <w:tcPr>
            <w:tcW w:w="1439" w:type="dxa"/>
            <w:tcBorders>
              <w:top w:val="nil"/>
              <w:left w:val="nil"/>
              <w:bottom w:val="single" w:sz="8" w:space="0" w:color="auto"/>
              <w:right w:val="single" w:sz="8" w:space="0" w:color="auto"/>
            </w:tcBorders>
            <w:vAlign w:val="center"/>
            <w:hideMark/>
          </w:tcPr>
          <w:p w14:paraId="49B94D59" w14:textId="77777777" w:rsidR="00676A9B" w:rsidRPr="00676A9B" w:rsidRDefault="00676A9B" w:rsidP="00676A9B">
            <w:pPr>
              <w:spacing w:after="0" w:line="240" w:lineRule="auto"/>
              <w:jc w:val="center"/>
              <w:rPr>
                <w:rFonts w:ascii="Arial" w:eastAsia="Times New Roman" w:hAnsi="Arial" w:cs="Arial"/>
                <w:i/>
                <w:iCs/>
                <w:sz w:val="16"/>
                <w:szCs w:val="16"/>
              </w:rPr>
            </w:pPr>
            <w:r w:rsidRPr="00676A9B">
              <w:rPr>
                <w:rFonts w:ascii="Arial" w:eastAsia="Times New Roman" w:hAnsi="Arial" w:cs="Arial"/>
                <w:i/>
                <w:iCs/>
                <w:sz w:val="16"/>
                <w:szCs w:val="16"/>
              </w:rPr>
              <w:t>37</w:t>
            </w:r>
          </w:p>
        </w:tc>
        <w:tc>
          <w:tcPr>
            <w:tcW w:w="968" w:type="dxa"/>
            <w:tcBorders>
              <w:top w:val="nil"/>
              <w:left w:val="nil"/>
              <w:bottom w:val="single" w:sz="8" w:space="0" w:color="auto"/>
              <w:right w:val="single" w:sz="8" w:space="0" w:color="auto"/>
            </w:tcBorders>
            <w:vAlign w:val="center"/>
            <w:hideMark/>
          </w:tcPr>
          <w:p w14:paraId="64D92EDD"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8.948,07</w:t>
            </w:r>
          </w:p>
        </w:tc>
        <w:tc>
          <w:tcPr>
            <w:tcW w:w="3068" w:type="dxa"/>
            <w:tcBorders>
              <w:top w:val="nil"/>
              <w:left w:val="nil"/>
              <w:bottom w:val="single" w:sz="8" w:space="0" w:color="auto"/>
              <w:right w:val="single" w:sz="8" w:space="0" w:color="auto"/>
            </w:tcBorders>
            <w:vAlign w:val="center"/>
            <w:hideMark/>
          </w:tcPr>
          <w:p w14:paraId="7AE7C4D3" w14:textId="77777777" w:rsidR="00676A9B" w:rsidRPr="00676A9B" w:rsidRDefault="00676A9B" w:rsidP="00676A9B">
            <w:pPr>
              <w:spacing w:after="0" w:line="240" w:lineRule="auto"/>
              <w:jc w:val="both"/>
              <w:rPr>
                <w:rFonts w:ascii="Arial" w:eastAsia="Times New Roman" w:hAnsi="Arial" w:cs="Arial"/>
                <w:sz w:val="16"/>
                <w:szCs w:val="16"/>
              </w:rPr>
            </w:pPr>
            <w:r w:rsidRPr="00676A9B">
              <w:rPr>
                <w:rFonts w:ascii="Arial" w:eastAsia="Times New Roman" w:hAnsi="Arial" w:cs="Arial"/>
                <w:sz w:val="16"/>
                <w:szCs w:val="16"/>
              </w:rPr>
              <w:t>socijalno ugrožene osobe: pomoći za stanovanje i pokriće duga za električnu energiju, vodu i čistoću po opomenama</w:t>
            </w:r>
          </w:p>
        </w:tc>
        <w:tc>
          <w:tcPr>
            <w:tcW w:w="1843" w:type="dxa"/>
            <w:tcBorders>
              <w:top w:val="single" w:sz="4" w:space="0" w:color="auto"/>
              <w:left w:val="nil"/>
              <w:bottom w:val="single" w:sz="8" w:space="0" w:color="auto"/>
              <w:right w:val="single" w:sz="8" w:space="0" w:color="auto"/>
            </w:tcBorders>
            <w:vAlign w:val="center"/>
            <w:hideMark/>
          </w:tcPr>
          <w:p w14:paraId="2876CC1D"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1</w:t>
            </w:r>
          </w:p>
        </w:tc>
        <w:tc>
          <w:tcPr>
            <w:tcW w:w="1417" w:type="dxa"/>
            <w:tcBorders>
              <w:top w:val="nil"/>
              <w:left w:val="nil"/>
              <w:bottom w:val="single" w:sz="8" w:space="0" w:color="auto"/>
              <w:right w:val="single" w:sz="8" w:space="0" w:color="auto"/>
            </w:tcBorders>
            <w:vAlign w:val="center"/>
            <w:hideMark/>
          </w:tcPr>
          <w:p w14:paraId="708138F1"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424,71</w:t>
            </w:r>
          </w:p>
        </w:tc>
        <w:tc>
          <w:tcPr>
            <w:tcW w:w="2410" w:type="dxa"/>
            <w:tcBorders>
              <w:top w:val="nil"/>
              <w:left w:val="nil"/>
              <w:bottom w:val="single" w:sz="8" w:space="0" w:color="auto"/>
              <w:right w:val="single" w:sz="8" w:space="0" w:color="auto"/>
            </w:tcBorders>
            <w:vAlign w:val="center"/>
            <w:hideMark/>
          </w:tcPr>
          <w:p w14:paraId="28726F89" w14:textId="77777777" w:rsidR="00676A9B" w:rsidRPr="00676A9B" w:rsidRDefault="00676A9B" w:rsidP="00676A9B">
            <w:pPr>
              <w:spacing w:after="0" w:line="240" w:lineRule="auto"/>
              <w:jc w:val="right"/>
              <w:rPr>
                <w:rFonts w:ascii="Arial" w:eastAsia="Times New Roman" w:hAnsi="Arial" w:cs="Arial"/>
                <w:sz w:val="16"/>
                <w:szCs w:val="16"/>
              </w:rPr>
            </w:pPr>
            <w:r w:rsidRPr="00676A9B">
              <w:rPr>
                <w:rFonts w:ascii="Arial" w:eastAsia="Times New Roman" w:hAnsi="Arial" w:cs="Arial"/>
                <w:sz w:val="16"/>
                <w:szCs w:val="16"/>
              </w:rPr>
              <w:t>9.372,79</w:t>
            </w:r>
          </w:p>
        </w:tc>
      </w:tr>
      <w:tr w:rsidR="00676A9B" w:rsidRPr="00676A9B" w14:paraId="5360CD67" w14:textId="77777777" w:rsidTr="00410A4B">
        <w:trPr>
          <w:trHeight w:val="360"/>
          <w:jc w:val="center"/>
        </w:trPr>
        <w:tc>
          <w:tcPr>
            <w:tcW w:w="894" w:type="dxa"/>
            <w:tcBorders>
              <w:top w:val="nil"/>
              <w:left w:val="single" w:sz="8" w:space="0" w:color="auto"/>
              <w:bottom w:val="single" w:sz="8" w:space="0" w:color="auto"/>
              <w:right w:val="single" w:sz="8" w:space="0" w:color="auto"/>
            </w:tcBorders>
            <w:vAlign w:val="center"/>
            <w:hideMark/>
          </w:tcPr>
          <w:p w14:paraId="77CD297B"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2016.</w:t>
            </w:r>
          </w:p>
        </w:tc>
        <w:tc>
          <w:tcPr>
            <w:tcW w:w="1439" w:type="dxa"/>
            <w:tcBorders>
              <w:top w:val="nil"/>
              <w:left w:val="nil"/>
              <w:bottom w:val="single" w:sz="8" w:space="0" w:color="auto"/>
              <w:right w:val="single" w:sz="8" w:space="0" w:color="auto"/>
            </w:tcBorders>
            <w:vAlign w:val="center"/>
            <w:hideMark/>
          </w:tcPr>
          <w:p w14:paraId="14BD4F8B"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3</w:t>
            </w:r>
          </w:p>
        </w:tc>
        <w:tc>
          <w:tcPr>
            <w:tcW w:w="968" w:type="dxa"/>
            <w:tcBorders>
              <w:top w:val="nil"/>
              <w:left w:val="nil"/>
              <w:bottom w:val="single" w:sz="8" w:space="0" w:color="auto"/>
              <w:right w:val="single" w:sz="8" w:space="0" w:color="auto"/>
            </w:tcBorders>
            <w:vAlign w:val="center"/>
            <w:hideMark/>
          </w:tcPr>
          <w:p w14:paraId="3DA144B7"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1.760,51</w:t>
            </w:r>
          </w:p>
        </w:tc>
        <w:tc>
          <w:tcPr>
            <w:tcW w:w="3068" w:type="dxa"/>
            <w:tcBorders>
              <w:top w:val="nil"/>
              <w:left w:val="nil"/>
              <w:bottom w:val="single" w:sz="8" w:space="0" w:color="auto"/>
              <w:right w:val="single" w:sz="8" w:space="0" w:color="auto"/>
            </w:tcBorders>
            <w:vAlign w:val="center"/>
            <w:hideMark/>
          </w:tcPr>
          <w:p w14:paraId="6ED5E350" w14:textId="77777777" w:rsidR="00676A9B" w:rsidRPr="00676A9B" w:rsidRDefault="00676A9B" w:rsidP="00676A9B">
            <w:pPr>
              <w:spacing w:after="0" w:line="240" w:lineRule="auto"/>
              <w:jc w:val="both"/>
              <w:rPr>
                <w:rFonts w:ascii="Arial" w:eastAsia="Times New Roman" w:hAnsi="Arial" w:cs="Arial"/>
                <w:sz w:val="16"/>
                <w:szCs w:val="16"/>
              </w:rPr>
            </w:pPr>
            <w:r w:rsidRPr="00676A9B">
              <w:rPr>
                <w:rFonts w:ascii="Arial" w:eastAsia="Times New Roman" w:hAnsi="Arial" w:cs="Arial"/>
                <w:sz w:val="16"/>
                <w:szCs w:val="16"/>
              </w:rPr>
              <w:t>podmireni troškovi električne energije 10.691,28 kn / 1.418,98 € i troškovi vode u iznosu 2.573,29 kn / 341,53 €</w:t>
            </w:r>
          </w:p>
        </w:tc>
        <w:tc>
          <w:tcPr>
            <w:tcW w:w="1843" w:type="dxa"/>
            <w:tcBorders>
              <w:top w:val="nil"/>
              <w:left w:val="nil"/>
              <w:bottom w:val="single" w:sz="8" w:space="0" w:color="auto"/>
              <w:right w:val="single" w:sz="8" w:space="0" w:color="auto"/>
            </w:tcBorders>
            <w:vAlign w:val="center"/>
            <w:hideMark/>
          </w:tcPr>
          <w:p w14:paraId="1E7E752B"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6</w:t>
            </w:r>
          </w:p>
        </w:tc>
        <w:tc>
          <w:tcPr>
            <w:tcW w:w="1417" w:type="dxa"/>
            <w:tcBorders>
              <w:top w:val="nil"/>
              <w:left w:val="nil"/>
              <w:bottom w:val="single" w:sz="8" w:space="0" w:color="auto"/>
              <w:right w:val="single" w:sz="8" w:space="0" w:color="auto"/>
            </w:tcBorders>
            <w:vAlign w:val="center"/>
            <w:hideMark/>
          </w:tcPr>
          <w:p w14:paraId="7461A4E5"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2.654,46</w:t>
            </w:r>
          </w:p>
        </w:tc>
        <w:tc>
          <w:tcPr>
            <w:tcW w:w="2410" w:type="dxa"/>
            <w:tcBorders>
              <w:top w:val="nil"/>
              <w:left w:val="nil"/>
              <w:bottom w:val="single" w:sz="8" w:space="0" w:color="auto"/>
              <w:right w:val="single" w:sz="8" w:space="0" w:color="auto"/>
            </w:tcBorders>
            <w:vAlign w:val="center"/>
            <w:hideMark/>
          </w:tcPr>
          <w:p w14:paraId="60FFE0D2" w14:textId="77777777" w:rsidR="00676A9B" w:rsidRPr="00676A9B" w:rsidRDefault="00676A9B" w:rsidP="00676A9B">
            <w:pPr>
              <w:spacing w:after="0" w:line="240" w:lineRule="auto"/>
              <w:jc w:val="right"/>
              <w:rPr>
                <w:rFonts w:ascii="Arial" w:eastAsia="Times New Roman" w:hAnsi="Arial" w:cs="Arial"/>
                <w:sz w:val="16"/>
                <w:szCs w:val="16"/>
              </w:rPr>
            </w:pPr>
            <w:r w:rsidRPr="00676A9B">
              <w:rPr>
                <w:rFonts w:ascii="Arial" w:eastAsia="Times New Roman" w:hAnsi="Arial" w:cs="Arial"/>
                <w:sz w:val="16"/>
                <w:szCs w:val="16"/>
              </w:rPr>
              <w:t>4.414,97</w:t>
            </w:r>
          </w:p>
        </w:tc>
      </w:tr>
      <w:tr w:rsidR="00676A9B" w:rsidRPr="00676A9B" w14:paraId="6146153D" w14:textId="77777777" w:rsidTr="00410A4B">
        <w:trPr>
          <w:trHeight w:val="449"/>
          <w:jc w:val="center"/>
        </w:trPr>
        <w:tc>
          <w:tcPr>
            <w:tcW w:w="894" w:type="dxa"/>
            <w:tcBorders>
              <w:top w:val="nil"/>
              <w:left w:val="single" w:sz="8" w:space="0" w:color="auto"/>
              <w:bottom w:val="single" w:sz="8" w:space="0" w:color="auto"/>
              <w:right w:val="single" w:sz="8" w:space="0" w:color="auto"/>
            </w:tcBorders>
            <w:vAlign w:val="center"/>
            <w:hideMark/>
          </w:tcPr>
          <w:p w14:paraId="43B4BE96"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2017.</w:t>
            </w:r>
          </w:p>
        </w:tc>
        <w:tc>
          <w:tcPr>
            <w:tcW w:w="1439" w:type="dxa"/>
            <w:tcBorders>
              <w:top w:val="nil"/>
              <w:left w:val="nil"/>
              <w:bottom w:val="single" w:sz="8" w:space="0" w:color="auto"/>
              <w:right w:val="single" w:sz="8" w:space="0" w:color="auto"/>
            </w:tcBorders>
            <w:vAlign w:val="center"/>
            <w:hideMark/>
          </w:tcPr>
          <w:p w14:paraId="080055FD"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4</w:t>
            </w:r>
          </w:p>
        </w:tc>
        <w:tc>
          <w:tcPr>
            <w:tcW w:w="968" w:type="dxa"/>
            <w:tcBorders>
              <w:top w:val="nil"/>
              <w:left w:val="nil"/>
              <w:bottom w:val="single" w:sz="8" w:space="0" w:color="auto"/>
              <w:right w:val="single" w:sz="8" w:space="0" w:color="auto"/>
            </w:tcBorders>
            <w:vAlign w:val="center"/>
            <w:hideMark/>
          </w:tcPr>
          <w:p w14:paraId="0FEF880E"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934,25</w:t>
            </w:r>
          </w:p>
        </w:tc>
        <w:tc>
          <w:tcPr>
            <w:tcW w:w="3068" w:type="dxa"/>
            <w:tcBorders>
              <w:top w:val="nil"/>
              <w:left w:val="nil"/>
              <w:bottom w:val="single" w:sz="8" w:space="0" w:color="auto"/>
              <w:right w:val="single" w:sz="8" w:space="0" w:color="auto"/>
            </w:tcBorders>
            <w:vAlign w:val="center"/>
            <w:hideMark/>
          </w:tcPr>
          <w:p w14:paraId="73433CF3" w14:textId="77777777" w:rsidR="00676A9B" w:rsidRPr="00676A9B" w:rsidRDefault="00676A9B" w:rsidP="00676A9B">
            <w:pPr>
              <w:spacing w:after="0" w:line="240" w:lineRule="auto"/>
              <w:jc w:val="both"/>
              <w:rPr>
                <w:rFonts w:ascii="Arial" w:eastAsia="Times New Roman" w:hAnsi="Arial" w:cs="Arial"/>
                <w:sz w:val="16"/>
                <w:szCs w:val="16"/>
              </w:rPr>
            </w:pPr>
            <w:r w:rsidRPr="00676A9B">
              <w:rPr>
                <w:rFonts w:ascii="Arial" w:eastAsia="Times New Roman" w:hAnsi="Arial" w:cs="Arial"/>
                <w:sz w:val="16"/>
                <w:szCs w:val="16"/>
              </w:rPr>
              <w:t>naknade troškova električne energije 6.245,36 kn / 828,90 € i naknade troškova komunalnih usluga 793,74 kn / 105,35 €</w:t>
            </w:r>
          </w:p>
        </w:tc>
        <w:tc>
          <w:tcPr>
            <w:tcW w:w="1843" w:type="dxa"/>
            <w:tcBorders>
              <w:top w:val="nil"/>
              <w:left w:val="nil"/>
              <w:bottom w:val="single" w:sz="8" w:space="0" w:color="auto"/>
              <w:right w:val="single" w:sz="8" w:space="0" w:color="auto"/>
            </w:tcBorders>
            <w:vAlign w:val="center"/>
            <w:hideMark/>
          </w:tcPr>
          <w:p w14:paraId="75863B7F"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6</w:t>
            </w:r>
          </w:p>
        </w:tc>
        <w:tc>
          <w:tcPr>
            <w:tcW w:w="1417" w:type="dxa"/>
            <w:tcBorders>
              <w:top w:val="nil"/>
              <w:left w:val="nil"/>
              <w:bottom w:val="single" w:sz="8" w:space="0" w:color="auto"/>
              <w:right w:val="single" w:sz="8" w:space="0" w:color="auto"/>
            </w:tcBorders>
            <w:vAlign w:val="center"/>
            <w:hideMark/>
          </w:tcPr>
          <w:p w14:paraId="39A575D7"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3.822,42</w:t>
            </w:r>
          </w:p>
        </w:tc>
        <w:tc>
          <w:tcPr>
            <w:tcW w:w="2410" w:type="dxa"/>
            <w:tcBorders>
              <w:top w:val="nil"/>
              <w:left w:val="nil"/>
              <w:bottom w:val="single" w:sz="8" w:space="0" w:color="auto"/>
              <w:right w:val="single" w:sz="8" w:space="0" w:color="auto"/>
            </w:tcBorders>
            <w:vAlign w:val="center"/>
            <w:hideMark/>
          </w:tcPr>
          <w:p w14:paraId="1BA698F1" w14:textId="77777777" w:rsidR="00676A9B" w:rsidRPr="00676A9B" w:rsidRDefault="00676A9B" w:rsidP="00676A9B">
            <w:pPr>
              <w:spacing w:after="0" w:line="240" w:lineRule="auto"/>
              <w:jc w:val="right"/>
              <w:rPr>
                <w:rFonts w:ascii="Arial" w:eastAsia="Times New Roman" w:hAnsi="Arial" w:cs="Arial"/>
                <w:sz w:val="16"/>
                <w:szCs w:val="16"/>
              </w:rPr>
            </w:pPr>
            <w:r w:rsidRPr="00676A9B">
              <w:rPr>
                <w:rFonts w:ascii="Arial" w:eastAsia="Times New Roman" w:hAnsi="Arial" w:cs="Arial"/>
                <w:sz w:val="16"/>
                <w:szCs w:val="16"/>
              </w:rPr>
              <w:t>4.756,67</w:t>
            </w:r>
          </w:p>
        </w:tc>
      </w:tr>
      <w:tr w:rsidR="00676A9B" w:rsidRPr="00676A9B" w14:paraId="2AE599E6" w14:textId="77777777" w:rsidTr="00410A4B">
        <w:trPr>
          <w:trHeight w:val="103"/>
          <w:jc w:val="center"/>
        </w:trPr>
        <w:tc>
          <w:tcPr>
            <w:tcW w:w="894" w:type="dxa"/>
            <w:tcBorders>
              <w:top w:val="nil"/>
              <w:left w:val="single" w:sz="8" w:space="0" w:color="auto"/>
              <w:bottom w:val="single" w:sz="8" w:space="0" w:color="auto"/>
              <w:right w:val="single" w:sz="8" w:space="0" w:color="auto"/>
            </w:tcBorders>
            <w:vAlign w:val="center"/>
            <w:hideMark/>
          </w:tcPr>
          <w:p w14:paraId="58A9AE22"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2018.</w:t>
            </w:r>
          </w:p>
        </w:tc>
        <w:tc>
          <w:tcPr>
            <w:tcW w:w="1439" w:type="dxa"/>
            <w:tcBorders>
              <w:top w:val="nil"/>
              <w:left w:val="nil"/>
              <w:bottom w:val="single" w:sz="8" w:space="0" w:color="auto"/>
              <w:right w:val="single" w:sz="8" w:space="0" w:color="auto"/>
            </w:tcBorders>
            <w:vAlign w:val="center"/>
            <w:hideMark/>
          </w:tcPr>
          <w:p w14:paraId="008A3A8D"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1</w:t>
            </w:r>
          </w:p>
        </w:tc>
        <w:tc>
          <w:tcPr>
            <w:tcW w:w="968" w:type="dxa"/>
            <w:tcBorders>
              <w:top w:val="nil"/>
              <w:left w:val="nil"/>
              <w:bottom w:val="single" w:sz="8" w:space="0" w:color="auto"/>
              <w:right w:val="single" w:sz="8" w:space="0" w:color="auto"/>
            </w:tcBorders>
            <w:vAlign w:val="center"/>
            <w:hideMark/>
          </w:tcPr>
          <w:p w14:paraId="51F4F1C9"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1.048,78</w:t>
            </w:r>
          </w:p>
        </w:tc>
        <w:tc>
          <w:tcPr>
            <w:tcW w:w="3068" w:type="dxa"/>
            <w:tcBorders>
              <w:top w:val="nil"/>
              <w:left w:val="nil"/>
              <w:bottom w:val="single" w:sz="8" w:space="0" w:color="auto"/>
              <w:right w:val="single" w:sz="8" w:space="0" w:color="auto"/>
            </w:tcBorders>
            <w:vAlign w:val="center"/>
            <w:hideMark/>
          </w:tcPr>
          <w:p w14:paraId="3CEC9F90" w14:textId="77777777" w:rsidR="00676A9B" w:rsidRPr="00676A9B" w:rsidRDefault="00676A9B" w:rsidP="00676A9B">
            <w:pPr>
              <w:spacing w:after="0" w:line="240" w:lineRule="auto"/>
              <w:jc w:val="both"/>
              <w:rPr>
                <w:rFonts w:ascii="Arial" w:eastAsia="Times New Roman" w:hAnsi="Arial" w:cs="Arial"/>
                <w:sz w:val="16"/>
                <w:szCs w:val="16"/>
              </w:rPr>
            </w:pPr>
            <w:r w:rsidRPr="00676A9B">
              <w:rPr>
                <w:rFonts w:ascii="Arial" w:eastAsia="Times New Roman" w:hAnsi="Arial" w:cs="Arial"/>
                <w:sz w:val="16"/>
                <w:szCs w:val="16"/>
              </w:rPr>
              <w:t xml:space="preserve">utrošak vode </w:t>
            </w:r>
          </w:p>
        </w:tc>
        <w:tc>
          <w:tcPr>
            <w:tcW w:w="1843" w:type="dxa"/>
            <w:tcBorders>
              <w:top w:val="nil"/>
              <w:left w:val="nil"/>
              <w:bottom w:val="single" w:sz="8" w:space="0" w:color="auto"/>
              <w:right w:val="single" w:sz="8" w:space="0" w:color="auto"/>
            </w:tcBorders>
            <w:vAlign w:val="center"/>
            <w:hideMark/>
          </w:tcPr>
          <w:p w14:paraId="5CB219B3"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6</w:t>
            </w:r>
          </w:p>
        </w:tc>
        <w:tc>
          <w:tcPr>
            <w:tcW w:w="1417" w:type="dxa"/>
            <w:tcBorders>
              <w:top w:val="nil"/>
              <w:left w:val="nil"/>
              <w:bottom w:val="single" w:sz="8" w:space="0" w:color="auto"/>
              <w:right w:val="single" w:sz="8" w:space="0" w:color="auto"/>
            </w:tcBorders>
            <w:vAlign w:val="center"/>
            <w:hideMark/>
          </w:tcPr>
          <w:p w14:paraId="3790BF52"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3.822,42</w:t>
            </w:r>
          </w:p>
        </w:tc>
        <w:tc>
          <w:tcPr>
            <w:tcW w:w="2410" w:type="dxa"/>
            <w:tcBorders>
              <w:top w:val="nil"/>
              <w:left w:val="nil"/>
              <w:bottom w:val="single" w:sz="8" w:space="0" w:color="auto"/>
              <w:right w:val="single" w:sz="8" w:space="0" w:color="auto"/>
            </w:tcBorders>
            <w:vAlign w:val="center"/>
            <w:hideMark/>
          </w:tcPr>
          <w:p w14:paraId="470877B8" w14:textId="77777777" w:rsidR="00676A9B" w:rsidRPr="00676A9B" w:rsidRDefault="00676A9B" w:rsidP="00676A9B">
            <w:pPr>
              <w:spacing w:after="0" w:line="240" w:lineRule="auto"/>
              <w:jc w:val="right"/>
              <w:rPr>
                <w:rFonts w:ascii="Arial" w:eastAsia="Times New Roman" w:hAnsi="Arial" w:cs="Arial"/>
                <w:sz w:val="16"/>
                <w:szCs w:val="16"/>
              </w:rPr>
            </w:pPr>
            <w:r w:rsidRPr="00676A9B">
              <w:rPr>
                <w:rFonts w:ascii="Arial" w:eastAsia="Times New Roman" w:hAnsi="Arial" w:cs="Arial"/>
                <w:sz w:val="16"/>
                <w:szCs w:val="16"/>
              </w:rPr>
              <w:t>4.871,20</w:t>
            </w:r>
          </w:p>
        </w:tc>
      </w:tr>
      <w:tr w:rsidR="00676A9B" w:rsidRPr="00676A9B" w14:paraId="04938A78" w14:textId="77777777" w:rsidTr="00410A4B">
        <w:trPr>
          <w:trHeight w:val="191"/>
          <w:jc w:val="center"/>
        </w:trPr>
        <w:tc>
          <w:tcPr>
            <w:tcW w:w="894" w:type="dxa"/>
            <w:tcBorders>
              <w:top w:val="nil"/>
              <w:left w:val="single" w:sz="8" w:space="0" w:color="auto"/>
              <w:bottom w:val="single" w:sz="8" w:space="0" w:color="auto"/>
              <w:right w:val="single" w:sz="8" w:space="0" w:color="auto"/>
            </w:tcBorders>
            <w:vAlign w:val="center"/>
            <w:hideMark/>
          </w:tcPr>
          <w:p w14:paraId="454DCE0B"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2019.</w:t>
            </w:r>
          </w:p>
        </w:tc>
        <w:tc>
          <w:tcPr>
            <w:tcW w:w="1439" w:type="dxa"/>
            <w:tcBorders>
              <w:top w:val="nil"/>
              <w:left w:val="nil"/>
              <w:bottom w:val="single" w:sz="8" w:space="0" w:color="auto"/>
              <w:right w:val="single" w:sz="8" w:space="0" w:color="auto"/>
            </w:tcBorders>
            <w:vAlign w:val="center"/>
            <w:hideMark/>
          </w:tcPr>
          <w:p w14:paraId="54E64C65"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1</w:t>
            </w:r>
          </w:p>
        </w:tc>
        <w:tc>
          <w:tcPr>
            <w:tcW w:w="968" w:type="dxa"/>
            <w:tcBorders>
              <w:top w:val="nil"/>
              <w:left w:val="nil"/>
              <w:bottom w:val="single" w:sz="8" w:space="0" w:color="auto"/>
              <w:right w:val="single" w:sz="8" w:space="0" w:color="auto"/>
            </w:tcBorders>
            <w:vAlign w:val="center"/>
            <w:hideMark/>
          </w:tcPr>
          <w:p w14:paraId="220D94B6"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788,43</w:t>
            </w:r>
          </w:p>
        </w:tc>
        <w:tc>
          <w:tcPr>
            <w:tcW w:w="3068" w:type="dxa"/>
            <w:tcBorders>
              <w:top w:val="nil"/>
              <w:left w:val="nil"/>
              <w:bottom w:val="single" w:sz="8" w:space="0" w:color="auto"/>
              <w:right w:val="single" w:sz="8" w:space="0" w:color="auto"/>
            </w:tcBorders>
            <w:vAlign w:val="center"/>
            <w:hideMark/>
          </w:tcPr>
          <w:p w14:paraId="7E0ED1AC" w14:textId="77777777" w:rsidR="00676A9B" w:rsidRPr="00676A9B" w:rsidRDefault="00676A9B" w:rsidP="00676A9B">
            <w:pPr>
              <w:spacing w:after="0" w:line="240" w:lineRule="auto"/>
              <w:jc w:val="both"/>
              <w:rPr>
                <w:rFonts w:ascii="Arial" w:eastAsia="Times New Roman" w:hAnsi="Arial" w:cs="Arial"/>
                <w:sz w:val="16"/>
                <w:szCs w:val="16"/>
              </w:rPr>
            </w:pPr>
            <w:r w:rsidRPr="00676A9B">
              <w:rPr>
                <w:rFonts w:ascii="Arial" w:eastAsia="Times New Roman" w:hAnsi="Arial" w:cs="Arial"/>
                <w:sz w:val="16"/>
                <w:szCs w:val="16"/>
              </w:rPr>
              <w:t>utrošak električne energije</w:t>
            </w:r>
          </w:p>
        </w:tc>
        <w:tc>
          <w:tcPr>
            <w:tcW w:w="1843" w:type="dxa"/>
            <w:tcBorders>
              <w:top w:val="nil"/>
              <w:left w:val="nil"/>
              <w:bottom w:val="single" w:sz="8" w:space="0" w:color="auto"/>
              <w:right w:val="single" w:sz="8" w:space="0" w:color="auto"/>
            </w:tcBorders>
            <w:vAlign w:val="center"/>
            <w:hideMark/>
          </w:tcPr>
          <w:p w14:paraId="198E9F3C"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5</w:t>
            </w:r>
          </w:p>
        </w:tc>
        <w:tc>
          <w:tcPr>
            <w:tcW w:w="1417" w:type="dxa"/>
            <w:tcBorders>
              <w:top w:val="nil"/>
              <w:left w:val="nil"/>
              <w:bottom w:val="single" w:sz="8" w:space="0" w:color="auto"/>
              <w:right w:val="single" w:sz="8" w:space="0" w:color="auto"/>
            </w:tcBorders>
            <w:vAlign w:val="center"/>
            <w:hideMark/>
          </w:tcPr>
          <w:p w14:paraId="0F7F7C12"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3.185,35</w:t>
            </w:r>
          </w:p>
        </w:tc>
        <w:tc>
          <w:tcPr>
            <w:tcW w:w="2410" w:type="dxa"/>
            <w:tcBorders>
              <w:top w:val="nil"/>
              <w:left w:val="nil"/>
              <w:bottom w:val="single" w:sz="8" w:space="0" w:color="auto"/>
              <w:right w:val="single" w:sz="8" w:space="0" w:color="auto"/>
            </w:tcBorders>
            <w:vAlign w:val="center"/>
            <w:hideMark/>
          </w:tcPr>
          <w:p w14:paraId="28C765A7" w14:textId="77777777" w:rsidR="00676A9B" w:rsidRPr="00676A9B" w:rsidRDefault="00676A9B" w:rsidP="00676A9B">
            <w:pPr>
              <w:spacing w:after="0" w:line="240" w:lineRule="auto"/>
              <w:jc w:val="right"/>
              <w:rPr>
                <w:rFonts w:ascii="Arial" w:eastAsia="Times New Roman" w:hAnsi="Arial" w:cs="Arial"/>
                <w:sz w:val="16"/>
                <w:szCs w:val="16"/>
              </w:rPr>
            </w:pPr>
            <w:r w:rsidRPr="00676A9B">
              <w:rPr>
                <w:rFonts w:ascii="Arial" w:eastAsia="Times New Roman" w:hAnsi="Arial" w:cs="Arial"/>
                <w:sz w:val="16"/>
                <w:szCs w:val="16"/>
              </w:rPr>
              <w:t>3.973,78</w:t>
            </w:r>
          </w:p>
        </w:tc>
      </w:tr>
      <w:tr w:rsidR="00676A9B" w:rsidRPr="00676A9B" w14:paraId="1D8318B5" w14:textId="77777777" w:rsidTr="00410A4B">
        <w:trPr>
          <w:trHeight w:val="264"/>
          <w:jc w:val="center"/>
        </w:trPr>
        <w:tc>
          <w:tcPr>
            <w:tcW w:w="894" w:type="dxa"/>
            <w:tcBorders>
              <w:top w:val="nil"/>
              <w:left w:val="single" w:sz="8" w:space="0" w:color="auto"/>
              <w:bottom w:val="single" w:sz="8" w:space="0" w:color="auto"/>
              <w:right w:val="single" w:sz="8" w:space="0" w:color="auto"/>
            </w:tcBorders>
            <w:vAlign w:val="center"/>
            <w:hideMark/>
          </w:tcPr>
          <w:p w14:paraId="2B33C60E"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2020.</w:t>
            </w:r>
          </w:p>
        </w:tc>
        <w:tc>
          <w:tcPr>
            <w:tcW w:w="1439" w:type="dxa"/>
            <w:tcBorders>
              <w:top w:val="nil"/>
              <w:left w:val="nil"/>
              <w:bottom w:val="single" w:sz="8" w:space="0" w:color="auto"/>
              <w:right w:val="single" w:sz="8" w:space="0" w:color="auto"/>
            </w:tcBorders>
            <w:vAlign w:val="center"/>
            <w:hideMark/>
          </w:tcPr>
          <w:p w14:paraId="7C41E438"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1</w:t>
            </w:r>
          </w:p>
        </w:tc>
        <w:tc>
          <w:tcPr>
            <w:tcW w:w="968" w:type="dxa"/>
            <w:tcBorders>
              <w:top w:val="nil"/>
              <w:left w:val="nil"/>
              <w:bottom w:val="single" w:sz="8" w:space="0" w:color="auto"/>
              <w:right w:val="single" w:sz="8" w:space="0" w:color="auto"/>
            </w:tcBorders>
            <w:vAlign w:val="center"/>
            <w:hideMark/>
          </w:tcPr>
          <w:p w14:paraId="06DD3015"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331,00</w:t>
            </w:r>
          </w:p>
        </w:tc>
        <w:tc>
          <w:tcPr>
            <w:tcW w:w="3068" w:type="dxa"/>
            <w:tcBorders>
              <w:top w:val="nil"/>
              <w:left w:val="nil"/>
              <w:bottom w:val="single" w:sz="8" w:space="0" w:color="auto"/>
              <w:right w:val="single" w:sz="8" w:space="0" w:color="auto"/>
            </w:tcBorders>
            <w:vAlign w:val="center"/>
            <w:hideMark/>
          </w:tcPr>
          <w:p w14:paraId="6E8A534B" w14:textId="77777777" w:rsidR="00676A9B" w:rsidRPr="00676A9B" w:rsidRDefault="00676A9B" w:rsidP="00676A9B">
            <w:pPr>
              <w:spacing w:after="0" w:line="240" w:lineRule="auto"/>
              <w:jc w:val="both"/>
              <w:rPr>
                <w:rFonts w:ascii="Arial" w:eastAsia="Times New Roman" w:hAnsi="Arial" w:cs="Arial"/>
                <w:sz w:val="16"/>
                <w:szCs w:val="16"/>
              </w:rPr>
            </w:pPr>
            <w:r w:rsidRPr="00676A9B">
              <w:rPr>
                <w:rFonts w:ascii="Arial" w:eastAsia="Times New Roman" w:hAnsi="Arial" w:cs="Arial"/>
                <w:sz w:val="16"/>
                <w:szCs w:val="16"/>
              </w:rPr>
              <w:t>utrošak električne energije</w:t>
            </w:r>
          </w:p>
        </w:tc>
        <w:tc>
          <w:tcPr>
            <w:tcW w:w="1843" w:type="dxa"/>
            <w:tcBorders>
              <w:top w:val="nil"/>
              <w:left w:val="nil"/>
              <w:bottom w:val="single" w:sz="8" w:space="0" w:color="auto"/>
              <w:right w:val="single" w:sz="8" w:space="0" w:color="auto"/>
            </w:tcBorders>
            <w:vAlign w:val="center"/>
            <w:hideMark/>
          </w:tcPr>
          <w:p w14:paraId="4BAA50E4"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6</w:t>
            </w:r>
          </w:p>
        </w:tc>
        <w:tc>
          <w:tcPr>
            <w:tcW w:w="1417" w:type="dxa"/>
            <w:tcBorders>
              <w:top w:val="nil"/>
              <w:left w:val="nil"/>
              <w:bottom w:val="single" w:sz="8" w:space="0" w:color="auto"/>
              <w:right w:val="single" w:sz="8" w:space="0" w:color="auto"/>
            </w:tcBorders>
            <w:vAlign w:val="center"/>
            <w:hideMark/>
          </w:tcPr>
          <w:p w14:paraId="5FEE235A"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3.344,61</w:t>
            </w:r>
          </w:p>
        </w:tc>
        <w:tc>
          <w:tcPr>
            <w:tcW w:w="2410" w:type="dxa"/>
            <w:tcBorders>
              <w:top w:val="nil"/>
              <w:left w:val="nil"/>
              <w:bottom w:val="single" w:sz="8" w:space="0" w:color="auto"/>
              <w:right w:val="single" w:sz="8" w:space="0" w:color="auto"/>
            </w:tcBorders>
            <w:vAlign w:val="center"/>
            <w:hideMark/>
          </w:tcPr>
          <w:p w14:paraId="4DCF1C72" w14:textId="77777777" w:rsidR="00676A9B" w:rsidRPr="00676A9B" w:rsidRDefault="00676A9B" w:rsidP="00676A9B">
            <w:pPr>
              <w:spacing w:after="0" w:line="240" w:lineRule="auto"/>
              <w:jc w:val="right"/>
              <w:rPr>
                <w:rFonts w:ascii="Arial" w:eastAsia="Times New Roman" w:hAnsi="Arial" w:cs="Arial"/>
                <w:sz w:val="16"/>
                <w:szCs w:val="16"/>
              </w:rPr>
            </w:pPr>
            <w:r w:rsidRPr="00676A9B">
              <w:rPr>
                <w:rFonts w:ascii="Arial" w:eastAsia="Times New Roman" w:hAnsi="Arial" w:cs="Arial"/>
                <w:sz w:val="16"/>
                <w:szCs w:val="16"/>
              </w:rPr>
              <w:t>3.675,62</w:t>
            </w:r>
          </w:p>
        </w:tc>
      </w:tr>
      <w:tr w:rsidR="00676A9B" w:rsidRPr="00676A9B" w14:paraId="38C03B2E" w14:textId="77777777" w:rsidTr="00410A4B">
        <w:trPr>
          <w:trHeight w:val="248"/>
          <w:jc w:val="center"/>
        </w:trPr>
        <w:tc>
          <w:tcPr>
            <w:tcW w:w="894" w:type="dxa"/>
            <w:tcBorders>
              <w:top w:val="nil"/>
              <w:left w:val="single" w:sz="8" w:space="0" w:color="auto"/>
              <w:bottom w:val="single" w:sz="8" w:space="0" w:color="auto"/>
              <w:right w:val="single" w:sz="8" w:space="0" w:color="auto"/>
            </w:tcBorders>
            <w:vAlign w:val="center"/>
            <w:hideMark/>
          </w:tcPr>
          <w:p w14:paraId="4957A2AF"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2021</w:t>
            </w:r>
          </w:p>
        </w:tc>
        <w:tc>
          <w:tcPr>
            <w:tcW w:w="1439" w:type="dxa"/>
            <w:tcBorders>
              <w:top w:val="nil"/>
              <w:left w:val="nil"/>
              <w:bottom w:val="single" w:sz="8" w:space="0" w:color="auto"/>
              <w:right w:val="single" w:sz="8" w:space="0" w:color="auto"/>
            </w:tcBorders>
            <w:vAlign w:val="center"/>
            <w:hideMark/>
          </w:tcPr>
          <w:p w14:paraId="4208DFA0"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w:t>
            </w:r>
          </w:p>
        </w:tc>
        <w:tc>
          <w:tcPr>
            <w:tcW w:w="968" w:type="dxa"/>
            <w:tcBorders>
              <w:top w:val="nil"/>
              <w:left w:val="nil"/>
              <w:bottom w:val="single" w:sz="8" w:space="0" w:color="auto"/>
              <w:right w:val="single" w:sz="8" w:space="0" w:color="auto"/>
            </w:tcBorders>
            <w:vAlign w:val="center"/>
            <w:hideMark/>
          </w:tcPr>
          <w:p w14:paraId="6977E4F9"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 xml:space="preserve"> -</w:t>
            </w:r>
          </w:p>
        </w:tc>
        <w:tc>
          <w:tcPr>
            <w:tcW w:w="3068" w:type="dxa"/>
            <w:tcBorders>
              <w:top w:val="nil"/>
              <w:left w:val="nil"/>
              <w:bottom w:val="single" w:sz="8" w:space="0" w:color="auto"/>
              <w:right w:val="single" w:sz="8" w:space="0" w:color="auto"/>
            </w:tcBorders>
            <w:vAlign w:val="center"/>
            <w:hideMark/>
          </w:tcPr>
          <w:p w14:paraId="37981B38" w14:textId="77777777" w:rsidR="00676A9B" w:rsidRPr="00676A9B" w:rsidRDefault="00676A9B" w:rsidP="00676A9B">
            <w:pPr>
              <w:spacing w:after="0" w:line="240" w:lineRule="auto"/>
              <w:jc w:val="both"/>
              <w:rPr>
                <w:rFonts w:ascii="Arial" w:eastAsia="Times New Roman" w:hAnsi="Arial" w:cs="Arial"/>
                <w:sz w:val="16"/>
                <w:szCs w:val="16"/>
              </w:rPr>
            </w:pPr>
            <w:r w:rsidRPr="00676A9B">
              <w:rPr>
                <w:rFonts w:ascii="Arial" w:eastAsia="Times New Roman" w:hAnsi="Arial" w:cs="Arial"/>
                <w:sz w:val="16"/>
                <w:szCs w:val="16"/>
              </w:rPr>
              <w:t>-</w:t>
            </w:r>
          </w:p>
        </w:tc>
        <w:tc>
          <w:tcPr>
            <w:tcW w:w="1843" w:type="dxa"/>
            <w:tcBorders>
              <w:top w:val="nil"/>
              <w:left w:val="nil"/>
              <w:bottom w:val="single" w:sz="8" w:space="0" w:color="auto"/>
              <w:right w:val="single" w:sz="8" w:space="0" w:color="auto"/>
            </w:tcBorders>
            <w:vAlign w:val="center"/>
            <w:hideMark/>
          </w:tcPr>
          <w:p w14:paraId="6159095C"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9</w:t>
            </w:r>
          </w:p>
        </w:tc>
        <w:tc>
          <w:tcPr>
            <w:tcW w:w="1417" w:type="dxa"/>
            <w:tcBorders>
              <w:top w:val="nil"/>
              <w:left w:val="nil"/>
              <w:bottom w:val="single" w:sz="8" w:space="0" w:color="auto"/>
              <w:right w:val="single" w:sz="8" w:space="0" w:color="auto"/>
            </w:tcBorders>
            <w:vAlign w:val="center"/>
            <w:hideMark/>
          </w:tcPr>
          <w:p w14:paraId="2FC8FC58"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5.202,73</w:t>
            </w:r>
          </w:p>
        </w:tc>
        <w:tc>
          <w:tcPr>
            <w:tcW w:w="2410" w:type="dxa"/>
            <w:tcBorders>
              <w:top w:val="nil"/>
              <w:left w:val="nil"/>
              <w:bottom w:val="single" w:sz="8" w:space="0" w:color="auto"/>
              <w:right w:val="single" w:sz="8" w:space="0" w:color="auto"/>
            </w:tcBorders>
            <w:vAlign w:val="center"/>
            <w:hideMark/>
          </w:tcPr>
          <w:p w14:paraId="4C85815A" w14:textId="77777777" w:rsidR="00676A9B" w:rsidRPr="00676A9B" w:rsidRDefault="00676A9B" w:rsidP="00676A9B">
            <w:pPr>
              <w:spacing w:after="0" w:line="240" w:lineRule="auto"/>
              <w:jc w:val="right"/>
              <w:rPr>
                <w:rFonts w:ascii="Arial" w:eastAsia="Times New Roman" w:hAnsi="Arial" w:cs="Arial"/>
                <w:sz w:val="16"/>
                <w:szCs w:val="16"/>
              </w:rPr>
            </w:pPr>
            <w:r w:rsidRPr="00676A9B">
              <w:rPr>
                <w:rFonts w:ascii="Arial" w:eastAsia="Times New Roman" w:hAnsi="Arial" w:cs="Arial"/>
                <w:sz w:val="16"/>
                <w:szCs w:val="16"/>
              </w:rPr>
              <w:t>5.202,73</w:t>
            </w:r>
          </w:p>
        </w:tc>
      </w:tr>
      <w:tr w:rsidR="00676A9B" w:rsidRPr="00676A9B" w14:paraId="010B54F8" w14:textId="77777777" w:rsidTr="00410A4B">
        <w:trPr>
          <w:trHeight w:val="255"/>
          <w:jc w:val="center"/>
        </w:trPr>
        <w:tc>
          <w:tcPr>
            <w:tcW w:w="894" w:type="dxa"/>
            <w:tcBorders>
              <w:top w:val="nil"/>
              <w:left w:val="single" w:sz="8" w:space="0" w:color="auto"/>
              <w:bottom w:val="single" w:sz="8" w:space="0" w:color="auto"/>
              <w:right w:val="single" w:sz="8" w:space="0" w:color="auto"/>
            </w:tcBorders>
            <w:vAlign w:val="center"/>
            <w:hideMark/>
          </w:tcPr>
          <w:p w14:paraId="41AB1340"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2022.</w:t>
            </w:r>
          </w:p>
        </w:tc>
        <w:tc>
          <w:tcPr>
            <w:tcW w:w="1439" w:type="dxa"/>
            <w:tcBorders>
              <w:top w:val="nil"/>
              <w:left w:val="nil"/>
              <w:bottom w:val="single" w:sz="8" w:space="0" w:color="auto"/>
              <w:right w:val="single" w:sz="8" w:space="0" w:color="auto"/>
            </w:tcBorders>
            <w:vAlign w:val="center"/>
            <w:hideMark/>
          </w:tcPr>
          <w:p w14:paraId="5B0E5949"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1</w:t>
            </w:r>
          </w:p>
        </w:tc>
        <w:tc>
          <w:tcPr>
            <w:tcW w:w="968" w:type="dxa"/>
            <w:tcBorders>
              <w:top w:val="nil"/>
              <w:left w:val="nil"/>
              <w:bottom w:val="single" w:sz="8" w:space="0" w:color="auto"/>
              <w:right w:val="single" w:sz="8" w:space="0" w:color="auto"/>
            </w:tcBorders>
            <w:vAlign w:val="center"/>
            <w:hideMark/>
          </w:tcPr>
          <w:p w14:paraId="508439F5"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983,04</w:t>
            </w:r>
          </w:p>
        </w:tc>
        <w:tc>
          <w:tcPr>
            <w:tcW w:w="3068" w:type="dxa"/>
            <w:tcBorders>
              <w:top w:val="nil"/>
              <w:left w:val="nil"/>
              <w:bottom w:val="single" w:sz="8" w:space="0" w:color="auto"/>
              <w:right w:val="single" w:sz="8" w:space="0" w:color="auto"/>
            </w:tcBorders>
            <w:vAlign w:val="center"/>
            <w:hideMark/>
          </w:tcPr>
          <w:p w14:paraId="7BB0502E" w14:textId="77777777" w:rsidR="00676A9B" w:rsidRPr="00676A9B" w:rsidRDefault="00676A9B" w:rsidP="00676A9B">
            <w:pPr>
              <w:spacing w:after="0" w:line="240" w:lineRule="auto"/>
              <w:jc w:val="both"/>
              <w:rPr>
                <w:rFonts w:ascii="Arial" w:eastAsia="Times New Roman" w:hAnsi="Arial" w:cs="Arial"/>
                <w:sz w:val="14"/>
                <w:szCs w:val="14"/>
              </w:rPr>
            </w:pPr>
            <w:r w:rsidRPr="00676A9B">
              <w:rPr>
                <w:rFonts w:ascii="Arial" w:eastAsia="Times New Roman" w:hAnsi="Arial" w:cs="Arial"/>
                <w:sz w:val="14"/>
                <w:szCs w:val="14"/>
              </w:rPr>
              <w:t>Materijal za saniranje požarom oštećene kuće</w:t>
            </w:r>
          </w:p>
        </w:tc>
        <w:tc>
          <w:tcPr>
            <w:tcW w:w="1843" w:type="dxa"/>
            <w:tcBorders>
              <w:top w:val="nil"/>
              <w:left w:val="nil"/>
              <w:bottom w:val="single" w:sz="8" w:space="0" w:color="auto"/>
              <w:right w:val="single" w:sz="8" w:space="0" w:color="auto"/>
            </w:tcBorders>
            <w:vAlign w:val="center"/>
            <w:hideMark/>
          </w:tcPr>
          <w:p w14:paraId="3600EF4B"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12</w:t>
            </w:r>
          </w:p>
        </w:tc>
        <w:tc>
          <w:tcPr>
            <w:tcW w:w="1417" w:type="dxa"/>
            <w:tcBorders>
              <w:top w:val="nil"/>
              <w:left w:val="nil"/>
              <w:bottom w:val="single" w:sz="8" w:space="0" w:color="auto"/>
              <w:right w:val="single" w:sz="8" w:space="0" w:color="auto"/>
            </w:tcBorders>
            <w:vAlign w:val="center"/>
            <w:hideMark/>
          </w:tcPr>
          <w:p w14:paraId="5CE8F061" w14:textId="77777777" w:rsidR="00676A9B" w:rsidRPr="00676A9B" w:rsidRDefault="00676A9B" w:rsidP="00676A9B">
            <w:pPr>
              <w:spacing w:after="0" w:line="240" w:lineRule="auto"/>
              <w:jc w:val="right"/>
              <w:rPr>
                <w:rFonts w:ascii="Arial" w:eastAsia="Times New Roman" w:hAnsi="Arial" w:cs="Arial"/>
                <w:i/>
                <w:iCs/>
                <w:sz w:val="16"/>
                <w:szCs w:val="16"/>
              </w:rPr>
            </w:pPr>
            <w:r w:rsidRPr="00676A9B">
              <w:rPr>
                <w:rFonts w:ascii="Arial" w:eastAsia="Times New Roman" w:hAnsi="Arial" w:cs="Arial"/>
                <w:i/>
                <w:iCs/>
                <w:sz w:val="16"/>
                <w:szCs w:val="16"/>
              </w:rPr>
              <w:t>6.729,05</w:t>
            </w:r>
          </w:p>
        </w:tc>
        <w:tc>
          <w:tcPr>
            <w:tcW w:w="2410" w:type="dxa"/>
            <w:tcBorders>
              <w:top w:val="nil"/>
              <w:left w:val="nil"/>
              <w:bottom w:val="single" w:sz="8" w:space="0" w:color="auto"/>
              <w:right w:val="single" w:sz="8" w:space="0" w:color="auto"/>
            </w:tcBorders>
            <w:vAlign w:val="center"/>
            <w:hideMark/>
          </w:tcPr>
          <w:p w14:paraId="6F5A94CC" w14:textId="77777777" w:rsidR="00676A9B" w:rsidRPr="00676A9B" w:rsidRDefault="00676A9B" w:rsidP="00676A9B">
            <w:pPr>
              <w:spacing w:after="0" w:line="240" w:lineRule="auto"/>
              <w:jc w:val="right"/>
              <w:rPr>
                <w:rFonts w:ascii="Arial" w:eastAsia="Times New Roman" w:hAnsi="Arial" w:cs="Arial"/>
                <w:sz w:val="16"/>
                <w:szCs w:val="16"/>
              </w:rPr>
            </w:pPr>
            <w:r w:rsidRPr="00676A9B">
              <w:rPr>
                <w:rFonts w:ascii="Arial" w:eastAsia="Times New Roman" w:hAnsi="Arial" w:cs="Arial"/>
                <w:sz w:val="16"/>
                <w:szCs w:val="16"/>
              </w:rPr>
              <w:t>7.712,08</w:t>
            </w:r>
          </w:p>
        </w:tc>
      </w:tr>
      <w:tr w:rsidR="00676A9B" w:rsidRPr="00676A9B" w14:paraId="59F89B1F" w14:textId="77777777" w:rsidTr="00410A4B">
        <w:trPr>
          <w:trHeight w:val="402"/>
          <w:jc w:val="center"/>
        </w:trPr>
        <w:tc>
          <w:tcPr>
            <w:tcW w:w="894" w:type="dxa"/>
            <w:tcBorders>
              <w:top w:val="single" w:sz="8" w:space="0" w:color="auto"/>
              <w:left w:val="single" w:sz="8" w:space="0" w:color="auto"/>
              <w:bottom w:val="single" w:sz="4" w:space="0" w:color="auto"/>
              <w:right w:val="single" w:sz="8" w:space="0" w:color="auto"/>
            </w:tcBorders>
            <w:vAlign w:val="center"/>
            <w:hideMark/>
          </w:tcPr>
          <w:p w14:paraId="2AC74F24"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2023.</w:t>
            </w:r>
          </w:p>
        </w:tc>
        <w:tc>
          <w:tcPr>
            <w:tcW w:w="1439" w:type="dxa"/>
            <w:tcBorders>
              <w:top w:val="single" w:sz="8" w:space="0" w:color="auto"/>
              <w:left w:val="nil"/>
              <w:bottom w:val="single" w:sz="4" w:space="0" w:color="auto"/>
              <w:right w:val="single" w:sz="8" w:space="0" w:color="auto"/>
            </w:tcBorders>
            <w:vAlign w:val="center"/>
            <w:hideMark/>
          </w:tcPr>
          <w:p w14:paraId="3B33CF87"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1</w:t>
            </w:r>
          </w:p>
        </w:tc>
        <w:tc>
          <w:tcPr>
            <w:tcW w:w="968" w:type="dxa"/>
            <w:tcBorders>
              <w:top w:val="single" w:sz="8" w:space="0" w:color="auto"/>
              <w:left w:val="nil"/>
              <w:bottom w:val="single" w:sz="4" w:space="0" w:color="auto"/>
              <w:right w:val="single" w:sz="8" w:space="0" w:color="auto"/>
            </w:tcBorders>
            <w:vAlign w:val="center"/>
            <w:hideMark/>
          </w:tcPr>
          <w:p w14:paraId="4DAD3CE8" w14:textId="77777777" w:rsidR="00676A9B" w:rsidRPr="00676A9B" w:rsidRDefault="00676A9B" w:rsidP="00676A9B">
            <w:pPr>
              <w:spacing w:after="0" w:line="240" w:lineRule="auto"/>
              <w:jc w:val="right"/>
              <w:rPr>
                <w:rFonts w:ascii="Arial" w:eastAsia="Times New Roman" w:hAnsi="Arial" w:cs="Arial"/>
                <w:sz w:val="16"/>
                <w:szCs w:val="16"/>
              </w:rPr>
            </w:pPr>
            <w:r w:rsidRPr="00676A9B">
              <w:rPr>
                <w:rFonts w:ascii="Arial" w:eastAsia="Times New Roman" w:hAnsi="Arial" w:cs="Arial"/>
                <w:sz w:val="16"/>
                <w:szCs w:val="16"/>
              </w:rPr>
              <w:t>900,00</w:t>
            </w:r>
          </w:p>
        </w:tc>
        <w:tc>
          <w:tcPr>
            <w:tcW w:w="3068" w:type="dxa"/>
            <w:tcBorders>
              <w:top w:val="single" w:sz="8" w:space="0" w:color="auto"/>
              <w:left w:val="nil"/>
              <w:bottom w:val="single" w:sz="4" w:space="0" w:color="auto"/>
              <w:right w:val="single" w:sz="8" w:space="0" w:color="auto"/>
            </w:tcBorders>
            <w:vAlign w:val="center"/>
            <w:hideMark/>
          </w:tcPr>
          <w:p w14:paraId="0A065DC3" w14:textId="77777777" w:rsidR="00676A9B" w:rsidRPr="00676A9B" w:rsidRDefault="00676A9B" w:rsidP="00676A9B">
            <w:pPr>
              <w:spacing w:after="0" w:line="240" w:lineRule="auto"/>
              <w:rPr>
                <w:rFonts w:ascii="Arial" w:eastAsia="Times New Roman" w:hAnsi="Arial" w:cs="Arial"/>
                <w:sz w:val="16"/>
                <w:szCs w:val="16"/>
              </w:rPr>
            </w:pPr>
            <w:r w:rsidRPr="00676A9B">
              <w:rPr>
                <w:rFonts w:ascii="Arial" w:eastAsia="Times New Roman" w:hAnsi="Arial" w:cs="Arial"/>
                <w:sz w:val="16"/>
                <w:szCs w:val="16"/>
              </w:rPr>
              <w:t>Plaćanje stanarine za jednu obitelj prema ugovoru od 25.7.2023. (Općina mjesečno 150 €, a Caritas 300 €)</w:t>
            </w:r>
          </w:p>
        </w:tc>
        <w:tc>
          <w:tcPr>
            <w:tcW w:w="1843" w:type="dxa"/>
            <w:tcBorders>
              <w:top w:val="single" w:sz="8" w:space="0" w:color="auto"/>
              <w:left w:val="nil"/>
              <w:bottom w:val="single" w:sz="4" w:space="0" w:color="auto"/>
              <w:right w:val="single" w:sz="8" w:space="0" w:color="auto"/>
            </w:tcBorders>
            <w:vAlign w:val="center"/>
            <w:hideMark/>
          </w:tcPr>
          <w:p w14:paraId="3147AE46"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11</w:t>
            </w:r>
          </w:p>
        </w:tc>
        <w:tc>
          <w:tcPr>
            <w:tcW w:w="1417" w:type="dxa"/>
            <w:tcBorders>
              <w:top w:val="single" w:sz="8" w:space="0" w:color="auto"/>
              <w:left w:val="nil"/>
              <w:bottom w:val="single" w:sz="4" w:space="0" w:color="auto"/>
              <w:right w:val="single" w:sz="8" w:space="0" w:color="auto"/>
            </w:tcBorders>
            <w:vAlign w:val="center"/>
            <w:hideMark/>
          </w:tcPr>
          <w:p w14:paraId="25F58242" w14:textId="77777777" w:rsidR="00676A9B" w:rsidRPr="00676A9B" w:rsidRDefault="00676A9B" w:rsidP="00676A9B">
            <w:pPr>
              <w:spacing w:after="0" w:line="240" w:lineRule="auto"/>
              <w:jc w:val="right"/>
              <w:rPr>
                <w:rFonts w:ascii="Arial" w:eastAsia="Times New Roman" w:hAnsi="Arial" w:cs="Arial"/>
                <w:sz w:val="16"/>
                <w:szCs w:val="16"/>
              </w:rPr>
            </w:pPr>
            <w:r w:rsidRPr="00676A9B">
              <w:rPr>
                <w:rFonts w:ascii="Arial" w:eastAsia="Times New Roman" w:hAnsi="Arial" w:cs="Arial"/>
                <w:sz w:val="16"/>
                <w:szCs w:val="16"/>
              </w:rPr>
              <w:t>7.260,00</w:t>
            </w:r>
          </w:p>
        </w:tc>
        <w:tc>
          <w:tcPr>
            <w:tcW w:w="2410" w:type="dxa"/>
            <w:tcBorders>
              <w:top w:val="single" w:sz="8" w:space="0" w:color="auto"/>
              <w:left w:val="nil"/>
              <w:bottom w:val="single" w:sz="4" w:space="0" w:color="auto"/>
              <w:right w:val="single" w:sz="8" w:space="0" w:color="auto"/>
            </w:tcBorders>
            <w:vAlign w:val="center"/>
            <w:hideMark/>
          </w:tcPr>
          <w:p w14:paraId="5692D4C0" w14:textId="77777777" w:rsidR="00676A9B" w:rsidRPr="00676A9B" w:rsidRDefault="00676A9B" w:rsidP="00676A9B">
            <w:pPr>
              <w:spacing w:after="0" w:line="240" w:lineRule="auto"/>
              <w:jc w:val="right"/>
              <w:rPr>
                <w:rFonts w:ascii="Arial" w:eastAsia="Times New Roman" w:hAnsi="Arial" w:cs="Arial"/>
                <w:sz w:val="16"/>
                <w:szCs w:val="16"/>
              </w:rPr>
            </w:pPr>
            <w:r w:rsidRPr="00676A9B">
              <w:rPr>
                <w:rFonts w:ascii="Arial" w:eastAsia="Times New Roman" w:hAnsi="Arial" w:cs="Arial"/>
                <w:sz w:val="16"/>
                <w:szCs w:val="16"/>
              </w:rPr>
              <w:t>8.160,00</w:t>
            </w:r>
          </w:p>
        </w:tc>
      </w:tr>
      <w:tr w:rsidR="00676A9B" w:rsidRPr="00676A9B" w14:paraId="34EE9F4F" w14:textId="77777777" w:rsidTr="00F26329">
        <w:trPr>
          <w:trHeight w:val="402"/>
          <w:jc w:val="center"/>
        </w:trPr>
        <w:tc>
          <w:tcPr>
            <w:tcW w:w="894" w:type="dxa"/>
            <w:tcBorders>
              <w:top w:val="single" w:sz="8" w:space="0" w:color="auto"/>
              <w:left w:val="single" w:sz="8" w:space="0" w:color="auto"/>
              <w:bottom w:val="single" w:sz="8" w:space="0" w:color="auto"/>
              <w:right w:val="single" w:sz="8" w:space="0" w:color="auto"/>
            </w:tcBorders>
            <w:vAlign w:val="center"/>
          </w:tcPr>
          <w:p w14:paraId="3163D824"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2024.</w:t>
            </w:r>
          </w:p>
        </w:tc>
        <w:tc>
          <w:tcPr>
            <w:tcW w:w="1439" w:type="dxa"/>
            <w:tcBorders>
              <w:top w:val="single" w:sz="8" w:space="0" w:color="auto"/>
              <w:left w:val="nil"/>
              <w:bottom w:val="single" w:sz="8" w:space="0" w:color="auto"/>
              <w:right w:val="single" w:sz="8" w:space="0" w:color="auto"/>
            </w:tcBorders>
            <w:vAlign w:val="center"/>
          </w:tcPr>
          <w:p w14:paraId="5E67BBC9"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5</w:t>
            </w:r>
          </w:p>
        </w:tc>
        <w:tc>
          <w:tcPr>
            <w:tcW w:w="968" w:type="dxa"/>
            <w:tcBorders>
              <w:top w:val="single" w:sz="8" w:space="0" w:color="auto"/>
              <w:left w:val="nil"/>
              <w:bottom w:val="single" w:sz="8" w:space="0" w:color="auto"/>
              <w:right w:val="single" w:sz="8" w:space="0" w:color="auto"/>
            </w:tcBorders>
            <w:vAlign w:val="center"/>
          </w:tcPr>
          <w:p w14:paraId="4C9BFEA3" w14:textId="77777777" w:rsidR="00676A9B" w:rsidRPr="00676A9B" w:rsidRDefault="00676A9B" w:rsidP="00676A9B">
            <w:pPr>
              <w:spacing w:after="0" w:line="240" w:lineRule="auto"/>
              <w:jc w:val="right"/>
              <w:rPr>
                <w:rFonts w:ascii="Arial" w:eastAsia="Times New Roman" w:hAnsi="Arial" w:cs="Arial"/>
                <w:sz w:val="16"/>
                <w:szCs w:val="16"/>
              </w:rPr>
            </w:pPr>
            <w:r w:rsidRPr="00676A9B">
              <w:rPr>
                <w:rFonts w:ascii="Arial" w:eastAsia="Times New Roman" w:hAnsi="Arial" w:cs="Arial"/>
                <w:sz w:val="16"/>
                <w:szCs w:val="16"/>
              </w:rPr>
              <w:t>11.483,87</w:t>
            </w:r>
          </w:p>
        </w:tc>
        <w:tc>
          <w:tcPr>
            <w:tcW w:w="3068" w:type="dxa"/>
            <w:tcBorders>
              <w:top w:val="single" w:sz="8" w:space="0" w:color="auto"/>
              <w:left w:val="nil"/>
              <w:bottom w:val="single" w:sz="8" w:space="0" w:color="auto"/>
              <w:right w:val="single" w:sz="8" w:space="0" w:color="auto"/>
            </w:tcBorders>
            <w:vAlign w:val="center"/>
          </w:tcPr>
          <w:p w14:paraId="17848D48" w14:textId="77777777" w:rsidR="00676A9B" w:rsidRPr="00676A9B" w:rsidRDefault="00676A9B" w:rsidP="00676A9B">
            <w:pPr>
              <w:spacing w:after="0" w:line="240" w:lineRule="auto"/>
              <w:rPr>
                <w:rFonts w:ascii="Arial" w:eastAsia="Times New Roman" w:hAnsi="Arial" w:cs="Arial"/>
                <w:sz w:val="16"/>
                <w:szCs w:val="16"/>
              </w:rPr>
            </w:pPr>
            <w:r w:rsidRPr="00676A9B">
              <w:rPr>
                <w:rFonts w:ascii="Arial" w:eastAsia="Times New Roman" w:hAnsi="Arial" w:cs="Arial"/>
                <w:sz w:val="16"/>
                <w:szCs w:val="16"/>
              </w:rPr>
              <w:t>Plaćanje stanarine za jednu obitelj prema ugovoru od 25.7.2023. i 30.6.2024. (Općina mjesečno 150 €, a Caritas 300 € do 30.6.2024. te Općina mjesečno 200 €, a Caritas 300 € od 1.7.2024.), utrošak el.energije, sanacija oštećene kuće u požaru</w:t>
            </w:r>
          </w:p>
        </w:tc>
        <w:tc>
          <w:tcPr>
            <w:tcW w:w="1843" w:type="dxa"/>
            <w:tcBorders>
              <w:top w:val="single" w:sz="8" w:space="0" w:color="auto"/>
              <w:left w:val="nil"/>
              <w:bottom w:val="single" w:sz="8" w:space="0" w:color="auto"/>
              <w:right w:val="single" w:sz="8" w:space="0" w:color="auto"/>
            </w:tcBorders>
            <w:vAlign w:val="center"/>
          </w:tcPr>
          <w:p w14:paraId="532CC35E" w14:textId="77777777" w:rsidR="00676A9B" w:rsidRPr="00676A9B" w:rsidRDefault="00676A9B" w:rsidP="00676A9B">
            <w:pPr>
              <w:spacing w:after="0" w:line="240" w:lineRule="auto"/>
              <w:jc w:val="center"/>
              <w:rPr>
                <w:rFonts w:ascii="Arial" w:eastAsia="Times New Roman" w:hAnsi="Arial" w:cs="Arial"/>
                <w:sz w:val="16"/>
                <w:szCs w:val="16"/>
              </w:rPr>
            </w:pPr>
            <w:r w:rsidRPr="00676A9B">
              <w:rPr>
                <w:rFonts w:ascii="Arial" w:eastAsia="Times New Roman" w:hAnsi="Arial" w:cs="Arial"/>
                <w:sz w:val="16"/>
                <w:szCs w:val="16"/>
              </w:rPr>
              <w:t>11</w:t>
            </w:r>
          </w:p>
        </w:tc>
        <w:tc>
          <w:tcPr>
            <w:tcW w:w="1417" w:type="dxa"/>
            <w:tcBorders>
              <w:top w:val="single" w:sz="8" w:space="0" w:color="auto"/>
              <w:left w:val="nil"/>
              <w:bottom w:val="single" w:sz="8" w:space="0" w:color="auto"/>
              <w:right w:val="single" w:sz="8" w:space="0" w:color="auto"/>
            </w:tcBorders>
            <w:vAlign w:val="center"/>
          </w:tcPr>
          <w:p w14:paraId="774FE089" w14:textId="77777777" w:rsidR="00676A9B" w:rsidRPr="00676A9B" w:rsidRDefault="00676A9B" w:rsidP="00676A9B">
            <w:pPr>
              <w:spacing w:after="0" w:line="240" w:lineRule="auto"/>
              <w:jc w:val="right"/>
              <w:rPr>
                <w:rFonts w:ascii="Arial" w:eastAsia="Times New Roman" w:hAnsi="Arial" w:cs="Arial"/>
                <w:sz w:val="16"/>
                <w:szCs w:val="16"/>
              </w:rPr>
            </w:pPr>
            <w:r w:rsidRPr="00676A9B">
              <w:rPr>
                <w:rFonts w:ascii="Arial" w:eastAsia="Times New Roman" w:hAnsi="Arial" w:cs="Arial"/>
                <w:sz w:val="16"/>
                <w:szCs w:val="16"/>
              </w:rPr>
              <w:t>7.920,00</w:t>
            </w:r>
          </w:p>
        </w:tc>
        <w:tc>
          <w:tcPr>
            <w:tcW w:w="2410" w:type="dxa"/>
            <w:tcBorders>
              <w:top w:val="single" w:sz="8" w:space="0" w:color="auto"/>
              <w:left w:val="nil"/>
              <w:bottom w:val="single" w:sz="8" w:space="0" w:color="auto"/>
              <w:right w:val="single" w:sz="8" w:space="0" w:color="auto"/>
            </w:tcBorders>
            <w:vAlign w:val="center"/>
          </w:tcPr>
          <w:p w14:paraId="4E65DD7B" w14:textId="77777777" w:rsidR="00676A9B" w:rsidRPr="00676A9B" w:rsidRDefault="00676A9B" w:rsidP="00676A9B">
            <w:pPr>
              <w:spacing w:after="0" w:line="240" w:lineRule="auto"/>
              <w:jc w:val="right"/>
              <w:rPr>
                <w:rFonts w:ascii="Arial" w:eastAsia="Times New Roman" w:hAnsi="Arial" w:cs="Arial"/>
                <w:sz w:val="16"/>
                <w:szCs w:val="16"/>
              </w:rPr>
            </w:pPr>
            <w:r w:rsidRPr="00676A9B">
              <w:rPr>
                <w:rFonts w:ascii="Arial" w:eastAsia="Times New Roman" w:hAnsi="Arial" w:cs="Arial"/>
                <w:sz w:val="16"/>
                <w:szCs w:val="16"/>
              </w:rPr>
              <w:t>16.814,78</w:t>
            </w:r>
          </w:p>
        </w:tc>
      </w:tr>
      <w:tr w:rsidR="00476739" w:rsidRPr="00676A9B" w14:paraId="0C0C679D" w14:textId="77777777" w:rsidTr="00410A4B">
        <w:trPr>
          <w:trHeight w:val="402"/>
          <w:jc w:val="center"/>
        </w:trPr>
        <w:tc>
          <w:tcPr>
            <w:tcW w:w="894" w:type="dxa"/>
            <w:tcBorders>
              <w:top w:val="single" w:sz="8" w:space="0" w:color="auto"/>
              <w:left w:val="single" w:sz="8" w:space="0" w:color="auto"/>
              <w:bottom w:val="single" w:sz="4" w:space="0" w:color="auto"/>
              <w:right w:val="single" w:sz="8" w:space="0" w:color="auto"/>
            </w:tcBorders>
            <w:vAlign w:val="center"/>
          </w:tcPr>
          <w:p w14:paraId="6DB19827" w14:textId="2255990F" w:rsidR="00476739" w:rsidRPr="00676A9B" w:rsidRDefault="00476739" w:rsidP="00476739">
            <w:pPr>
              <w:spacing w:after="0" w:line="240" w:lineRule="auto"/>
              <w:jc w:val="center"/>
              <w:rPr>
                <w:rFonts w:ascii="Arial" w:eastAsia="Times New Roman" w:hAnsi="Arial" w:cs="Arial"/>
                <w:sz w:val="16"/>
                <w:szCs w:val="16"/>
              </w:rPr>
            </w:pPr>
            <w:r>
              <w:rPr>
                <w:rFonts w:ascii="Arial" w:eastAsia="Times New Roman" w:hAnsi="Arial" w:cs="Arial"/>
                <w:sz w:val="16"/>
                <w:szCs w:val="16"/>
              </w:rPr>
              <w:t>2025.</w:t>
            </w:r>
          </w:p>
        </w:tc>
        <w:tc>
          <w:tcPr>
            <w:tcW w:w="1439" w:type="dxa"/>
            <w:tcBorders>
              <w:top w:val="single" w:sz="8" w:space="0" w:color="auto"/>
              <w:left w:val="nil"/>
              <w:bottom w:val="single" w:sz="4" w:space="0" w:color="auto"/>
              <w:right w:val="single" w:sz="8" w:space="0" w:color="auto"/>
            </w:tcBorders>
            <w:vAlign w:val="center"/>
          </w:tcPr>
          <w:p w14:paraId="5126F937" w14:textId="3519D802" w:rsidR="00476739" w:rsidRPr="00676A9B" w:rsidRDefault="00476739" w:rsidP="00476739">
            <w:pPr>
              <w:spacing w:after="0" w:line="240" w:lineRule="auto"/>
              <w:jc w:val="center"/>
              <w:rPr>
                <w:rFonts w:ascii="Arial" w:eastAsia="Times New Roman" w:hAnsi="Arial" w:cs="Arial"/>
                <w:sz w:val="16"/>
                <w:szCs w:val="16"/>
              </w:rPr>
            </w:pPr>
            <w:r>
              <w:rPr>
                <w:rFonts w:ascii="Arial" w:eastAsia="Times New Roman" w:hAnsi="Arial" w:cs="Arial"/>
                <w:sz w:val="16"/>
                <w:szCs w:val="16"/>
              </w:rPr>
              <w:t>2</w:t>
            </w:r>
          </w:p>
        </w:tc>
        <w:tc>
          <w:tcPr>
            <w:tcW w:w="968" w:type="dxa"/>
            <w:tcBorders>
              <w:top w:val="single" w:sz="8" w:space="0" w:color="auto"/>
              <w:left w:val="nil"/>
              <w:bottom w:val="single" w:sz="4" w:space="0" w:color="auto"/>
              <w:right w:val="single" w:sz="8" w:space="0" w:color="auto"/>
            </w:tcBorders>
            <w:vAlign w:val="center"/>
          </w:tcPr>
          <w:p w14:paraId="5F33A64B" w14:textId="6FD9FF4F" w:rsidR="00476739" w:rsidRPr="00676A9B" w:rsidRDefault="00476739" w:rsidP="00476739">
            <w:pPr>
              <w:spacing w:after="0" w:line="240" w:lineRule="auto"/>
              <w:jc w:val="right"/>
              <w:rPr>
                <w:rFonts w:ascii="Arial" w:eastAsia="Times New Roman" w:hAnsi="Arial" w:cs="Arial"/>
                <w:sz w:val="16"/>
                <w:szCs w:val="16"/>
              </w:rPr>
            </w:pPr>
            <w:r>
              <w:rPr>
                <w:rFonts w:ascii="Arial" w:eastAsia="Times New Roman" w:hAnsi="Arial" w:cs="Arial"/>
                <w:sz w:val="16"/>
                <w:szCs w:val="16"/>
              </w:rPr>
              <w:t>4.537,34</w:t>
            </w:r>
          </w:p>
        </w:tc>
        <w:tc>
          <w:tcPr>
            <w:tcW w:w="3068" w:type="dxa"/>
            <w:tcBorders>
              <w:top w:val="single" w:sz="8" w:space="0" w:color="auto"/>
              <w:left w:val="nil"/>
              <w:bottom w:val="single" w:sz="4" w:space="0" w:color="auto"/>
              <w:right w:val="single" w:sz="8" w:space="0" w:color="auto"/>
            </w:tcBorders>
            <w:vAlign w:val="center"/>
          </w:tcPr>
          <w:p w14:paraId="5B7F79FD" w14:textId="4127F61F" w:rsidR="00476739" w:rsidRPr="00676A9B" w:rsidRDefault="00476739" w:rsidP="00476739">
            <w:pPr>
              <w:spacing w:after="0" w:line="240" w:lineRule="auto"/>
              <w:rPr>
                <w:rFonts w:ascii="Arial" w:eastAsia="Times New Roman" w:hAnsi="Arial" w:cs="Arial"/>
                <w:sz w:val="16"/>
                <w:szCs w:val="16"/>
              </w:rPr>
            </w:pPr>
            <w:r w:rsidRPr="00676A9B">
              <w:rPr>
                <w:rFonts w:ascii="Arial" w:eastAsia="Times New Roman" w:hAnsi="Arial" w:cs="Arial"/>
                <w:sz w:val="16"/>
                <w:szCs w:val="16"/>
              </w:rPr>
              <w:t xml:space="preserve">Plaćanje stanarine za jednu obitelj prema ugovoru od 30.6.2024. </w:t>
            </w:r>
            <w:r>
              <w:rPr>
                <w:rFonts w:ascii="Arial" w:eastAsia="Times New Roman" w:hAnsi="Arial" w:cs="Arial"/>
                <w:sz w:val="16"/>
                <w:szCs w:val="16"/>
              </w:rPr>
              <w:t xml:space="preserve">i 30.6.2025. </w:t>
            </w:r>
            <w:r w:rsidRPr="00676A9B">
              <w:rPr>
                <w:rFonts w:ascii="Arial" w:eastAsia="Times New Roman" w:hAnsi="Arial" w:cs="Arial"/>
                <w:sz w:val="16"/>
                <w:szCs w:val="16"/>
              </w:rPr>
              <w:t xml:space="preserve">(Općina mjesečno </w:t>
            </w:r>
            <w:r>
              <w:rPr>
                <w:rFonts w:ascii="Arial" w:eastAsia="Times New Roman" w:hAnsi="Arial" w:cs="Arial"/>
                <w:sz w:val="16"/>
                <w:szCs w:val="16"/>
              </w:rPr>
              <w:t>200</w:t>
            </w:r>
            <w:r w:rsidRPr="00676A9B">
              <w:rPr>
                <w:rFonts w:ascii="Arial" w:eastAsia="Times New Roman" w:hAnsi="Arial" w:cs="Arial"/>
                <w:sz w:val="16"/>
                <w:szCs w:val="16"/>
              </w:rPr>
              <w:t xml:space="preserve"> €, a Caritas 300 €</w:t>
            </w:r>
            <w:r>
              <w:rPr>
                <w:rFonts w:ascii="Arial" w:eastAsia="Times New Roman" w:hAnsi="Arial" w:cs="Arial"/>
                <w:sz w:val="16"/>
                <w:szCs w:val="16"/>
              </w:rPr>
              <w:t>)</w:t>
            </w:r>
            <w:r w:rsidRPr="00676A9B">
              <w:rPr>
                <w:rFonts w:ascii="Arial" w:eastAsia="Times New Roman" w:hAnsi="Arial" w:cs="Arial"/>
                <w:sz w:val="16"/>
                <w:szCs w:val="16"/>
              </w:rPr>
              <w:t>, sanacija oštećene kuće u požaru</w:t>
            </w:r>
          </w:p>
        </w:tc>
        <w:tc>
          <w:tcPr>
            <w:tcW w:w="1843" w:type="dxa"/>
            <w:tcBorders>
              <w:top w:val="single" w:sz="8" w:space="0" w:color="auto"/>
              <w:left w:val="nil"/>
              <w:bottom w:val="single" w:sz="4" w:space="0" w:color="auto"/>
              <w:right w:val="single" w:sz="8" w:space="0" w:color="auto"/>
            </w:tcBorders>
            <w:vAlign w:val="center"/>
          </w:tcPr>
          <w:p w14:paraId="4477CA95" w14:textId="4D1137B9" w:rsidR="00476739" w:rsidRPr="00676A9B" w:rsidRDefault="00476739" w:rsidP="00476739">
            <w:pPr>
              <w:spacing w:after="0" w:line="240" w:lineRule="auto"/>
              <w:jc w:val="center"/>
              <w:rPr>
                <w:rFonts w:ascii="Arial" w:eastAsia="Times New Roman" w:hAnsi="Arial" w:cs="Arial"/>
                <w:sz w:val="16"/>
                <w:szCs w:val="16"/>
              </w:rPr>
            </w:pPr>
            <w:r>
              <w:rPr>
                <w:rFonts w:ascii="Arial" w:eastAsia="Times New Roman" w:hAnsi="Arial" w:cs="Arial"/>
                <w:sz w:val="16"/>
                <w:szCs w:val="16"/>
              </w:rPr>
              <w:t>11</w:t>
            </w:r>
          </w:p>
        </w:tc>
        <w:tc>
          <w:tcPr>
            <w:tcW w:w="1417" w:type="dxa"/>
            <w:tcBorders>
              <w:top w:val="single" w:sz="8" w:space="0" w:color="auto"/>
              <w:left w:val="nil"/>
              <w:bottom w:val="single" w:sz="4" w:space="0" w:color="auto"/>
              <w:right w:val="single" w:sz="8" w:space="0" w:color="auto"/>
            </w:tcBorders>
            <w:vAlign w:val="center"/>
          </w:tcPr>
          <w:p w14:paraId="42A390A4" w14:textId="24EDE3F5" w:rsidR="00476739" w:rsidRPr="00676A9B" w:rsidRDefault="00476739" w:rsidP="00476739">
            <w:pPr>
              <w:spacing w:after="0" w:line="240" w:lineRule="auto"/>
              <w:jc w:val="right"/>
              <w:rPr>
                <w:rFonts w:ascii="Arial" w:eastAsia="Times New Roman" w:hAnsi="Arial" w:cs="Arial"/>
                <w:sz w:val="16"/>
                <w:szCs w:val="16"/>
              </w:rPr>
            </w:pPr>
            <w:r>
              <w:rPr>
                <w:rFonts w:ascii="Arial" w:eastAsia="Times New Roman" w:hAnsi="Arial" w:cs="Arial"/>
                <w:sz w:val="16"/>
                <w:szCs w:val="16"/>
              </w:rPr>
              <w:t>6.120,00</w:t>
            </w:r>
          </w:p>
        </w:tc>
        <w:tc>
          <w:tcPr>
            <w:tcW w:w="2410" w:type="dxa"/>
            <w:tcBorders>
              <w:top w:val="single" w:sz="8" w:space="0" w:color="auto"/>
              <w:left w:val="nil"/>
              <w:bottom w:val="single" w:sz="4" w:space="0" w:color="auto"/>
              <w:right w:val="single" w:sz="8" w:space="0" w:color="auto"/>
            </w:tcBorders>
            <w:vAlign w:val="center"/>
          </w:tcPr>
          <w:p w14:paraId="17F0CD9B" w14:textId="339F7962" w:rsidR="00476739" w:rsidRPr="00676A9B" w:rsidRDefault="00476739" w:rsidP="00476739">
            <w:pPr>
              <w:spacing w:after="0" w:line="240" w:lineRule="auto"/>
              <w:jc w:val="right"/>
              <w:rPr>
                <w:rFonts w:ascii="Arial" w:eastAsia="Times New Roman" w:hAnsi="Arial" w:cs="Arial"/>
                <w:sz w:val="16"/>
                <w:szCs w:val="16"/>
              </w:rPr>
            </w:pPr>
            <w:r>
              <w:rPr>
                <w:rFonts w:ascii="Arial" w:eastAsia="Times New Roman" w:hAnsi="Arial" w:cs="Arial"/>
                <w:sz w:val="16"/>
                <w:szCs w:val="16"/>
              </w:rPr>
              <w:t>10.657,34</w:t>
            </w:r>
          </w:p>
        </w:tc>
      </w:tr>
    </w:tbl>
    <w:p w14:paraId="5FDC140C" w14:textId="77777777" w:rsidR="009136D4" w:rsidRPr="00676A9B" w:rsidRDefault="009136D4" w:rsidP="00676A9B">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
        <w:tblW w:w="14246" w:type="dxa"/>
        <w:jc w:val="center"/>
        <w:tblLayout w:type="fixed"/>
        <w:tblLook w:val="04A0" w:firstRow="1" w:lastRow="0" w:firstColumn="1" w:lastColumn="0" w:noHBand="0" w:noVBand="1"/>
      </w:tblPr>
      <w:tblGrid>
        <w:gridCol w:w="2836"/>
        <w:gridCol w:w="2977"/>
        <w:gridCol w:w="1099"/>
        <w:gridCol w:w="1134"/>
        <w:gridCol w:w="1232"/>
        <w:gridCol w:w="1242"/>
        <w:gridCol w:w="1242"/>
        <w:gridCol w:w="1242"/>
        <w:gridCol w:w="1242"/>
      </w:tblGrid>
      <w:tr w:rsidR="00676A9B" w:rsidRPr="00676A9B" w14:paraId="325D49FD" w14:textId="77777777" w:rsidTr="00410A4B">
        <w:trPr>
          <w:jc w:val="center"/>
        </w:trPr>
        <w:tc>
          <w:tcPr>
            <w:tcW w:w="283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A2AD8F7"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297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8D26886"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0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B00D2FE"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9AB2CD9"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E43AC1" w14:textId="245D4796"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476739">
              <w:rPr>
                <w:rFonts w:ascii="Arial" w:eastAsia="Calibri" w:hAnsi="Arial" w:cs="Arial"/>
                <w:lang w:eastAsia="en-US"/>
              </w:rPr>
              <w:t>4</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CAEC13F" w14:textId="144EE842"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476739">
              <w:rPr>
                <w:rFonts w:ascii="Arial" w:eastAsia="Calibri" w:hAnsi="Arial" w:cs="Arial"/>
                <w:lang w:eastAsia="en-US"/>
              </w:rPr>
              <w:t>5</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738847F" w14:textId="1A6EBA7E"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476739">
              <w:rPr>
                <w:rFonts w:ascii="Arial" w:eastAsia="Calibri" w:hAnsi="Arial" w:cs="Arial"/>
                <w:lang w:eastAsia="en-US"/>
              </w:rPr>
              <w:t>5</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tcPr>
          <w:p w14:paraId="2E3FEAA8" w14:textId="6E98D545"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476739">
              <w:rPr>
                <w:rFonts w:ascii="Arial" w:eastAsia="Calibri" w:hAnsi="Arial" w:cs="Arial"/>
                <w:lang w:eastAsia="en-US"/>
              </w:rPr>
              <w:t>6</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hideMark/>
          </w:tcPr>
          <w:p w14:paraId="651A05CC" w14:textId="7D07400D"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476739">
              <w:rPr>
                <w:rFonts w:ascii="Arial" w:eastAsia="Calibri" w:hAnsi="Arial" w:cs="Arial"/>
                <w:lang w:eastAsia="en-US"/>
              </w:rPr>
              <w:t>7</w:t>
            </w:r>
            <w:r w:rsidRPr="00676A9B">
              <w:rPr>
                <w:rFonts w:ascii="Arial" w:eastAsia="Calibri" w:hAnsi="Arial" w:cs="Arial"/>
                <w:lang w:eastAsia="en-US"/>
              </w:rPr>
              <w:t>.</w:t>
            </w:r>
          </w:p>
        </w:tc>
      </w:tr>
      <w:tr w:rsidR="00676A9B" w:rsidRPr="00676A9B" w14:paraId="0FEA7294" w14:textId="77777777" w:rsidTr="009136D4">
        <w:trPr>
          <w:trHeight w:val="1306"/>
          <w:jc w:val="center"/>
        </w:trPr>
        <w:tc>
          <w:tcPr>
            <w:tcW w:w="2836" w:type="dxa"/>
            <w:tcBorders>
              <w:top w:val="single" w:sz="4" w:space="0" w:color="auto"/>
              <w:left w:val="single" w:sz="4" w:space="0" w:color="auto"/>
              <w:bottom w:val="single" w:sz="4" w:space="0" w:color="auto"/>
              <w:right w:val="single" w:sz="4" w:space="0" w:color="auto"/>
            </w:tcBorders>
            <w:vAlign w:val="center"/>
          </w:tcPr>
          <w:p w14:paraId="3FEC3172"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Postotak odobrenih zahtjeva kojima se postiže veća razina zadovoljavanja osnovnih životnih potreba</w:t>
            </w:r>
          </w:p>
        </w:tc>
        <w:tc>
          <w:tcPr>
            <w:tcW w:w="2977" w:type="dxa"/>
            <w:tcBorders>
              <w:top w:val="single" w:sz="4" w:space="0" w:color="auto"/>
              <w:left w:val="single" w:sz="4" w:space="0" w:color="auto"/>
              <w:bottom w:val="single" w:sz="4" w:space="0" w:color="auto"/>
              <w:right w:val="single" w:sz="4" w:space="0" w:color="auto"/>
            </w:tcBorders>
            <w:vAlign w:val="center"/>
          </w:tcPr>
          <w:p w14:paraId="6331C7A4" w14:textId="77777777" w:rsidR="00676A9B" w:rsidRPr="009136D4" w:rsidRDefault="00676A9B" w:rsidP="00676A9B">
            <w:pPr>
              <w:autoSpaceDE w:val="0"/>
              <w:autoSpaceDN w:val="0"/>
              <w:adjustRightInd w:val="0"/>
              <w:rPr>
                <w:rFonts w:ascii="Arial" w:hAnsi="Arial" w:cs="Arial"/>
                <w:sz w:val="16"/>
                <w:szCs w:val="16"/>
                <w:lang w:eastAsia="en-US"/>
              </w:rPr>
            </w:pPr>
            <w:r w:rsidRPr="009136D4">
              <w:rPr>
                <w:rFonts w:ascii="Arial" w:eastAsia="Calibri" w:hAnsi="Arial" w:cs="Arial"/>
                <w:sz w:val="16"/>
                <w:szCs w:val="16"/>
                <w:lang w:eastAsia="en-US"/>
              </w:rPr>
              <w:t>Povećanjem osnovnih životnih uvjeta socijalno ugroženim obiteljima i domaćinstvima postiže se veće zadovoljstvo cjelokupnog stanovništva i smanjuje broj društveno neprihvatljivog ponašanja</w:t>
            </w:r>
          </w:p>
        </w:tc>
        <w:tc>
          <w:tcPr>
            <w:tcW w:w="1099" w:type="dxa"/>
            <w:tcBorders>
              <w:top w:val="single" w:sz="4" w:space="0" w:color="auto"/>
              <w:left w:val="single" w:sz="4" w:space="0" w:color="auto"/>
              <w:bottom w:val="single" w:sz="4" w:space="0" w:color="auto"/>
              <w:right w:val="single" w:sz="4" w:space="0" w:color="auto"/>
            </w:tcBorders>
            <w:vAlign w:val="center"/>
            <w:hideMark/>
          </w:tcPr>
          <w:p w14:paraId="07C4C7A2" w14:textId="77777777" w:rsidR="00676A9B" w:rsidRPr="00676A9B" w:rsidRDefault="00676A9B" w:rsidP="00676A9B">
            <w:pPr>
              <w:jc w:val="center"/>
              <w:rPr>
                <w:rFonts w:ascii="Arial" w:hAnsi="Arial" w:cs="Arial"/>
                <w:lang w:eastAsia="en-US"/>
              </w:rPr>
            </w:pPr>
            <w:r w:rsidRPr="00676A9B">
              <w:rPr>
                <w:rFonts w:ascii="Arial"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2B384B" w14:textId="77777777" w:rsidR="00676A9B" w:rsidRPr="00676A9B" w:rsidRDefault="00676A9B" w:rsidP="00676A9B">
            <w:pPr>
              <w:jc w:val="center"/>
              <w:rPr>
                <w:rFonts w:ascii="Arial" w:hAnsi="Arial" w:cs="Arial"/>
                <w:lang w:eastAsia="en-US"/>
              </w:rPr>
            </w:pPr>
            <w:r w:rsidRPr="00676A9B">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hideMark/>
          </w:tcPr>
          <w:p w14:paraId="4C1B4FB1"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4ECD06DA"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242" w:type="dxa"/>
            <w:tcBorders>
              <w:top w:val="single" w:sz="4" w:space="0" w:color="000000"/>
              <w:left w:val="single" w:sz="4" w:space="0" w:color="000000"/>
              <w:bottom w:val="single" w:sz="4" w:space="0" w:color="000000"/>
              <w:right w:val="single" w:sz="4" w:space="0" w:color="000000"/>
            </w:tcBorders>
            <w:vAlign w:val="center"/>
          </w:tcPr>
          <w:p w14:paraId="2A8CB2F6"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242" w:type="dxa"/>
            <w:tcBorders>
              <w:top w:val="single" w:sz="4" w:space="0" w:color="000000"/>
              <w:left w:val="single" w:sz="4" w:space="0" w:color="000000"/>
              <w:bottom w:val="single" w:sz="4" w:space="0" w:color="000000"/>
              <w:right w:val="single" w:sz="4" w:space="0" w:color="000000"/>
            </w:tcBorders>
            <w:vAlign w:val="center"/>
          </w:tcPr>
          <w:p w14:paraId="72BA5211"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70EB5A0C"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r>
    </w:tbl>
    <w:p w14:paraId="303A40C1"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45D2ED4D" w14:textId="491EBE6C"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3. A204103: Pomoć za sufinanciranje priključaka na vodovodnu i kanalizacijsku mrežu </w:t>
      </w:r>
      <w:r w:rsidRPr="00676A9B">
        <w:rPr>
          <w:rFonts w:ascii="Arial" w:eastAsia="Calibri" w:hAnsi="Arial" w:cs="Arial"/>
          <w:sz w:val="20"/>
          <w:szCs w:val="20"/>
        </w:rPr>
        <w:t xml:space="preserve">– u sklopu navedene aktivnosti su rashodi za naknade građanima i </w:t>
      </w:r>
      <w:bookmarkStart w:id="406" w:name="_Hlk134798337"/>
      <w:r w:rsidRPr="00676A9B">
        <w:rPr>
          <w:rFonts w:ascii="Arial" w:eastAsia="Calibri" w:hAnsi="Arial" w:cs="Arial"/>
          <w:sz w:val="20"/>
          <w:szCs w:val="20"/>
        </w:rPr>
        <w:t xml:space="preserve">kućanstvima u novcu u skladu s programom socijalne pomoći. Planirana sredstva za provođenje navedene aktivnosti iznose 2.000 € za vodovodne i kanalizacijske priključke invalidima Domovinskog rata. Rashodi </w:t>
      </w:r>
      <w:r w:rsidR="00A554DD">
        <w:rPr>
          <w:rFonts w:ascii="Arial" w:eastAsia="Calibri" w:hAnsi="Arial" w:cs="Arial"/>
          <w:sz w:val="20"/>
          <w:szCs w:val="20"/>
        </w:rPr>
        <w:t>ni</w:t>
      </w:r>
      <w:r w:rsidRPr="00676A9B">
        <w:rPr>
          <w:rFonts w:ascii="Arial" w:eastAsia="Calibri" w:hAnsi="Arial" w:cs="Arial"/>
          <w:sz w:val="20"/>
          <w:szCs w:val="20"/>
        </w:rPr>
        <w:t>su izvršeni.</w:t>
      </w:r>
    </w:p>
    <w:bookmarkEnd w:id="406"/>
    <w:p w14:paraId="47E67DDC" w14:textId="77777777" w:rsidR="00676A9B" w:rsidRPr="00676A9B" w:rsidRDefault="00676A9B" w:rsidP="00676A9B">
      <w:pPr>
        <w:autoSpaceDE w:val="0"/>
        <w:autoSpaceDN w:val="0"/>
        <w:adjustRightInd w:val="0"/>
        <w:spacing w:after="0" w:line="240" w:lineRule="auto"/>
        <w:rPr>
          <w:rFonts w:ascii="Arial" w:eastAsia="Calibri" w:hAnsi="Arial" w:cs="Arial"/>
          <w:sz w:val="20"/>
          <w:szCs w:val="20"/>
        </w:rPr>
      </w:pPr>
    </w:p>
    <w:p w14:paraId="7077476C" w14:textId="77777777" w:rsidR="00676A9B" w:rsidRPr="00676A9B" w:rsidRDefault="00676A9B" w:rsidP="00676A9B">
      <w:pPr>
        <w:autoSpaceDE w:val="0"/>
        <w:autoSpaceDN w:val="0"/>
        <w:adjustRightInd w:val="0"/>
        <w:spacing w:after="0" w:line="240" w:lineRule="auto"/>
        <w:jc w:val="both"/>
        <w:rPr>
          <w:rFonts w:ascii="Arial" w:eastAsia="Calibri" w:hAnsi="Arial" w:cs="Arial"/>
          <w:i/>
          <w:sz w:val="20"/>
          <w:szCs w:val="20"/>
          <w:lang w:eastAsia="en-US"/>
        </w:rPr>
      </w:pPr>
      <w:r w:rsidRPr="00676A9B">
        <w:rPr>
          <w:rFonts w:ascii="Arial" w:eastAsia="Calibri" w:hAnsi="Arial" w:cs="Arial"/>
          <w:i/>
          <w:sz w:val="20"/>
          <w:szCs w:val="20"/>
          <w:lang w:eastAsia="en-US"/>
        </w:rPr>
        <w:lastRenderedPageBreak/>
        <w:t>*Usporedba:</w:t>
      </w:r>
    </w:p>
    <w:tbl>
      <w:tblPr>
        <w:tblStyle w:val="Reetkatablice64"/>
        <w:tblW w:w="0" w:type="auto"/>
        <w:jc w:val="center"/>
        <w:tblLook w:val="04A0" w:firstRow="1" w:lastRow="0" w:firstColumn="1" w:lastColumn="0" w:noHBand="0" w:noVBand="1"/>
      </w:tblPr>
      <w:tblGrid>
        <w:gridCol w:w="1105"/>
        <w:gridCol w:w="1006"/>
        <w:gridCol w:w="1559"/>
        <w:gridCol w:w="9320"/>
      </w:tblGrid>
      <w:tr w:rsidR="00676A9B" w:rsidRPr="00676A9B" w14:paraId="4D3D0AFF" w14:textId="77777777" w:rsidTr="00410A4B">
        <w:trPr>
          <w:trHeight w:val="470"/>
          <w:jc w:val="center"/>
        </w:trPr>
        <w:tc>
          <w:tcPr>
            <w:tcW w:w="1105" w:type="dxa"/>
            <w:vAlign w:val="center"/>
          </w:tcPr>
          <w:p w14:paraId="2AFBE6A8" w14:textId="77777777" w:rsidR="00676A9B" w:rsidRPr="00676A9B" w:rsidRDefault="00676A9B" w:rsidP="00676A9B">
            <w:pPr>
              <w:jc w:val="center"/>
              <w:rPr>
                <w:rFonts w:ascii="Arial" w:hAnsi="Arial" w:cs="Arial"/>
                <w:i/>
                <w:sz w:val="18"/>
                <w:szCs w:val="18"/>
                <w:lang w:eastAsia="en-US"/>
              </w:rPr>
            </w:pPr>
            <w:r w:rsidRPr="00676A9B">
              <w:rPr>
                <w:rFonts w:ascii="Arial" w:hAnsi="Arial" w:cs="Arial"/>
                <w:i/>
                <w:sz w:val="18"/>
                <w:szCs w:val="18"/>
                <w:lang w:eastAsia="en-US"/>
              </w:rPr>
              <w:t>Godina</w:t>
            </w:r>
          </w:p>
        </w:tc>
        <w:tc>
          <w:tcPr>
            <w:tcW w:w="1006" w:type="dxa"/>
            <w:vAlign w:val="center"/>
          </w:tcPr>
          <w:p w14:paraId="1CCC8E94" w14:textId="77777777" w:rsidR="00676A9B" w:rsidRPr="00676A9B" w:rsidRDefault="00676A9B" w:rsidP="00676A9B">
            <w:pPr>
              <w:jc w:val="center"/>
              <w:rPr>
                <w:rFonts w:ascii="Arial" w:hAnsi="Arial" w:cs="Arial"/>
                <w:i/>
                <w:sz w:val="18"/>
                <w:szCs w:val="18"/>
                <w:lang w:eastAsia="en-US"/>
              </w:rPr>
            </w:pPr>
            <w:r w:rsidRPr="00676A9B">
              <w:rPr>
                <w:rFonts w:ascii="Arial" w:hAnsi="Arial" w:cs="Arial"/>
                <w:i/>
                <w:sz w:val="18"/>
                <w:szCs w:val="18"/>
                <w:lang w:eastAsia="en-US"/>
              </w:rPr>
              <w:t>broj korisnika</w:t>
            </w:r>
          </w:p>
        </w:tc>
        <w:tc>
          <w:tcPr>
            <w:tcW w:w="1559" w:type="dxa"/>
            <w:vAlign w:val="center"/>
          </w:tcPr>
          <w:p w14:paraId="6E868B8B" w14:textId="77777777" w:rsidR="00676A9B" w:rsidRPr="00676A9B" w:rsidRDefault="00676A9B" w:rsidP="00676A9B">
            <w:pPr>
              <w:jc w:val="center"/>
              <w:rPr>
                <w:rFonts w:ascii="Arial" w:hAnsi="Arial" w:cs="Arial"/>
                <w:i/>
                <w:sz w:val="18"/>
                <w:szCs w:val="18"/>
                <w:lang w:eastAsia="en-US"/>
              </w:rPr>
            </w:pPr>
            <w:r w:rsidRPr="00676A9B">
              <w:rPr>
                <w:rFonts w:ascii="Arial" w:hAnsi="Arial" w:cs="Arial"/>
                <w:i/>
                <w:sz w:val="18"/>
                <w:szCs w:val="18"/>
                <w:lang w:eastAsia="en-US"/>
              </w:rPr>
              <w:t>Iznos rashoda (€)</w:t>
            </w:r>
          </w:p>
        </w:tc>
        <w:tc>
          <w:tcPr>
            <w:tcW w:w="9320" w:type="dxa"/>
            <w:vAlign w:val="center"/>
          </w:tcPr>
          <w:p w14:paraId="3AA45426" w14:textId="77777777" w:rsidR="00676A9B" w:rsidRPr="00676A9B" w:rsidRDefault="00676A9B" w:rsidP="00676A9B">
            <w:pPr>
              <w:jc w:val="center"/>
              <w:rPr>
                <w:rFonts w:ascii="Arial" w:hAnsi="Arial" w:cs="Arial"/>
                <w:i/>
                <w:sz w:val="18"/>
                <w:szCs w:val="18"/>
                <w:lang w:eastAsia="en-US"/>
              </w:rPr>
            </w:pPr>
            <w:r w:rsidRPr="00676A9B">
              <w:rPr>
                <w:rFonts w:ascii="Arial" w:hAnsi="Arial" w:cs="Arial"/>
                <w:i/>
                <w:sz w:val="18"/>
                <w:szCs w:val="18"/>
                <w:lang w:eastAsia="en-US"/>
              </w:rPr>
              <w:t>Obrazloženje</w:t>
            </w:r>
          </w:p>
        </w:tc>
      </w:tr>
      <w:tr w:rsidR="00676A9B" w:rsidRPr="00676A9B" w14:paraId="34C2688F" w14:textId="77777777" w:rsidTr="00410A4B">
        <w:trPr>
          <w:jc w:val="center"/>
        </w:trPr>
        <w:tc>
          <w:tcPr>
            <w:tcW w:w="1105" w:type="dxa"/>
            <w:vAlign w:val="center"/>
          </w:tcPr>
          <w:p w14:paraId="39DBC6A2"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2015.</w:t>
            </w:r>
          </w:p>
        </w:tc>
        <w:tc>
          <w:tcPr>
            <w:tcW w:w="1006" w:type="dxa"/>
            <w:vAlign w:val="center"/>
          </w:tcPr>
          <w:p w14:paraId="3F600134"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3</w:t>
            </w:r>
          </w:p>
        </w:tc>
        <w:tc>
          <w:tcPr>
            <w:tcW w:w="1559" w:type="dxa"/>
            <w:tcBorders>
              <w:top w:val="nil"/>
              <w:left w:val="nil"/>
              <w:bottom w:val="single" w:sz="8" w:space="0" w:color="auto"/>
              <w:right w:val="single" w:sz="8" w:space="0" w:color="auto"/>
            </w:tcBorders>
            <w:vAlign w:val="center"/>
          </w:tcPr>
          <w:p w14:paraId="611B0540" w14:textId="77777777" w:rsidR="00676A9B" w:rsidRPr="00676A9B" w:rsidRDefault="00676A9B" w:rsidP="00676A9B">
            <w:pPr>
              <w:jc w:val="right"/>
              <w:rPr>
                <w:rFonts w:ascii="Arial" w:hAnsi="Arial" w:cs="Arial"/>
                <w:sz w:val="18"/>
                <w:szCs w:val="18"/>
                <w:lang w:eastAsia="en-US"/>
              </w:rPr>
            </w:pPr>
            <w:r w:rsidRPr="00676A9B">
              <w:rPr>
                <w:rFonts w:ascii="Arial" w:hAnsi="Arial" w:cs="Arial"/>
                <w:sz w:val="18"/>
                <w:szCs w:val="18"/>
                <w:lang w:eastAsia="en-US"/>
              </w:rPr>
              <w:t>737,93</w:t>
            </w:r>
          </w:p>
        </w:tc>
        <w:tc>
          <w:tcPr>
            <w:tcW w:w="9320" w:type="dxa"/>
            <w:vAlign w:val="center"/>
          </w:tcPr>
          <w:p w14:paraId="64A54E86" w14:textId="77777777" w:rsidR="00676A9B" w:rsidRPr="00676A9B" w:rsidRDefault="00676A9B" w:rsidP="00676A9B">
            <w:pPr>
              <w:jc w:val="both"/>
              <w:rPr>
                <w:rFonts w:ascii="Arial" w:hAnsi="Arial" w:cs="Arial"/>
                <w:sz w:val="18"/>
                <w:szCs w:val="18"/>
                <w:lang w:eastAsia="en-US"/>
              </w:rPr>
            </w:pPr>
            <w:r w:rsidRPr="00676A9B">
              <w:rPr>
                <w:rFonts w:ascii="Arial" w:hAnsi="Arial" w:cs="Arial"/>
                <w:sz w:val="18"/>
                <w:szCs w:val="18"/>
                <w:lang w:eastAsia="en-US"/>
              </w:rPr>
              <w:t>vodovodni priključci</w:t>
            </w:r>
            <w:r w:rsidRPr="00676A9B">
              <w:rPr>
                <w:rFonts w:ascii="Arial" w:eastAsia="Calibri" w:hAnsi="Arial" w:cs="Arial"/>
                <w:sz w:val="18"/>
                <w:szCs w:val="18"/>
                <w:lang w:eastAsia="en-US"/>
              </w:rPr>
              <w:t xml:space="preserve"> obiteljima poginulih branitelja i invalidima Domovinskog rata</w:t>
            </w:r>
          </w:p>
        </w:tc>
      </w:tr>
      <w:tr w:rsidR="00676A9B" w:rsidRPr="00676A9B" w14:paraId="3F10C622" w14:textId="77777777" w:rsidTr="00410A4B">
        <w:trPr>
          <w:jc w:val="center"/>
        </w:trPr>
        <w:tc>
          <w:tcPr>
            <w:tcW w:w="1105" w:type="dxa"/>
            <w:vAlign w:val="center"/>
          </w:tcPr>
          <w:p w14:paraId="213215C9"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2016.</w:t>
            </w:r>
          </w:p>
        </w:tc>
        <w:tc>
          <w:tcPr>
            <w:tcW w:w="1006" w:type="dxa"/>
            <w:vAlign w:val="center"/>
          </w:tcPr>
          <w:p w14:paraId="197A7FB6"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6</w:t>
            </w:r>
          </w:p>
        </w:tc>
        <w:tc>
          <w:tcPr>
            <w:tcW w:w="1559" w:type="dxa"/>
            <w:tcBorders>
              <w:top w:val="nil"/>
              <w:left w:val="nil"/>
              <w:bottom w:val="single" w:sz="8" w:space="0" w:color="auto"/>
              <w:right w:val="single" w:sz="8" w:space="0" w:color="auto"/>
            </w:tcBorders>
            <w:vAlign w:val="center"/>
          </w:tcPr>
          <w:p w14:paraId="0B822BBB" w14:textId="77777777" w:rsidR="00676A9B" w:rsidRPr="00676A9B" w:rsidRDefault="00676A9B" w:rsidP="00676A9B">
            <w:pPr>
              <w:jc w:val="right"/>
              <w:rPr>
                <w:rFonts w:ascii="Arial" w:hAnsi="Arial" w:cs="Arial"/>
                <w:sz w:val="18"/>
                <w:szCs w:val="18"/>
                <w:lang w:eastAsia="en-US"/>
              </w:rPr>
            </w:pPr>
            <w:r w:rsidRPr="00676A9B">
              <w:rPr>
                <w:rFonts w:ascii="Arial" w:hAnsi="Arial" w:cs="Arial"/>
                <w:sz w:val="18"/>
                <w:szCs w:val="18"/>
                <w:lang w:eastAsia="en-US"/>
              </w:rPr>
              <w:t>2.081,17</w:t>
            </w:r>
          </w:p>
        </w:tc>
        <w:tc>
          <w:tcPr>
            <w:tcW w:w="9320" w:type="dxa"/>
            <w:vAlign w:val="center"/>
          </w:tcPr>
          <w:p w14:paraId="1BD46AC5" w14:textId="77777777" w:rsidR="00676A9B" w:rsidRPr="00676A9B" w:rsidRDefault="00676A9B" w:rsidP="00676A9B">
            <w:pPr>
              <w:jc w:val="both"/>
              <w:rPr>
                <w:rFonts w:ascii="Arial" w:hAnsi="Arial" w:cs="Arial"/>
                <w:sz w:val="18"/>
                <w:szCs w:val="18"/>
                <w:lang w:eastAsia="en-US"/>
              </w:rPr>
            </w:pPr>
            <w:r w:rsidRPr="00676A9B">
              <w:rPr>
                <w:rFonts w:ascii="Arial" w:hAnsi="Arial" w:cs="Arial"/>
                <w:sz w:val="18"/>
                <w:szCs w:val="18"/>
                <w:lang w:eastAsia="en-US"/>
              </w:rPr>
              <w:t>vodovodni priključci</w:t>
            </w:r>
            <w:r w:rsidRPr="00676A9B">
              <w:rPr>
                <w:rFonts w:ascii="Arial" w:eastAsia="Calibri" w:hAnsi="Arial" w:cs="Arial"/>
                <w:sz w:val="18"/>
                <w:szCs w:val="18"/>
                <w:lang w:eastAsia="en-US"/>
              </w:rPr>
              <w:t xml:space="preserve"> obiteljima poginulih branitelja i invalidima Domovinskog rata</w:t>
            </w:r>
          </w:p>
        </w:tc>
      </w:tr>
      <w:tr w:rsidR="00676A9B" w:rsidRPr="00676A9B" w14:paraId="5285AC8E" w14:textId="77777777" w:rsidTr="00410A4B">
        <w:trPr>
          <w:jc w:val="center"/>
        </w:trPr>
        <w:tc>
          <w:tcPr>
            <w:tcW w:w="1105" w:type="dxa"/>
            <w:vAlign w:val="center"/>
          </w:tcPr>
          <w:p w14:paraId="018DD388"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2017.</w:t>
            </w:r>
          </w:p>
        </w:tc>
        <w:tc>
          <w:tcPr>
            <w:tcW w:w="1006" w:type="dxa"/>
            <w:vAlign w:val="center"/>
          </w:tcPr>
          <w:p w14:paraId="38F8BF54"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w:t>
            </w:r>
          </w:p>
        </w:tc>
        <w:tc>
          <w:tcPr>
            <w:tcW w:w="1559" w:type="dxa"/>
            <w:tcBorders>
              <w:top w:val="nil"/>
              <w:left w:val="nil"/>
              <w:bottom w:val="single" w:sz="8" w:space="0" w:color="auto"/>
              <w:right w:val="single" w:sz="8" w:space="0" w:color="auto"/>
            </w:tcBorders>
            <w:vAlign w:val="center"/>
          </w:tcPr>
          <w:p w14:paraId="39D0D8D4"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954,13</w:t>
            </w:r>
          </w:p>
        </w:tc>
        <w:tc>
          <w:tcPr>
            <w:tcW w:w="9320" w:type="dxa"/>
            <w:vAlign w:val="center"/>
          </w:tcPr>
          <w:p w14:paraId="1C1AFDC2" w14:textId="77777777" w:rsidR="00676A9B" w:rsidRPr="00676A9B" w:rsidRDefault="00676A9B" w:rsidP="00676A9B">
            <w:pPr>
              <w:jc w:val="both"/>
              <w:rPr>
                <w:rFonts w:ascii="Arial" w:hAnsi="Arial" w:cs="Arial"/>
                <w:sz w:val="18"/>
                <w:szCs w:val="18"/>
                <w:lang w:eastAsia="en-US"/>
              </w:rPr>
            </w:pPr>
            <w:r w:rsidRPr="00676A9B">
              <w:rPr>
                <w:rFonts w:ascii="Arial" w:eastAsia="Calibri" w:hAnsi="Arial" w:cs="Arial"/>
                <w:sz w:val="18"/>
                <w:szCs w:val="18"/>
                <w:lang w:eastAsia="en-US"/>
              </w:rPr>
              <w:t>vodovodni priključci i to: priključak hrvatskom branitelju – invalidu DR-a i jednoj obitelji – civilnim stradalnicima DR-a</w:t>
            </w:r>
          </w:p>
        </w:tc>
      </w:tr>
      <w:tr w:rsidR="00676A9B" w:rsidRPr="00676A9B" w14:paraId="2EF029C8" w14:textId="77777777" w:rsidTr="00410A4B">
        <w:trPr>
          <w:jc w:val="center"/>
        </w:trPr>
        <w:tc>
          <w:tcPr>
            <w:tcW w:w="1105" w:type="dxa"/>
            <w:vAlign w:val="center"/>
          </w:tcPr>
          <w:p w14:paraId="6D399C73"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2018.</w:t>
            </w:r>
          </w:p>
        </w:tc>
        <w:tc>
          <w:tcPr>
            <w:tcW w:w="1006" w:type="dxa"/>
            <w:vAlign w:val="center"/>
          </w:tcPr>
          <w:p w14:paraId="5633D1F3"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w:t>
            </w:r>
          </w:p>
        </w:tc>
        <w:tc>
          <w:tcPr>
            <w:tcW w:w="1559" w:type="dxa"/>
            <w:tcBorders>
              <w:top w:val="nil"/>
              <w:left w:val="nil"/>
              <w:bottom w:val="single" w:sz="8" w:space="0" w:color="auto"/>
              <w:right w:val="single" w:sz="8" w:space="0" w:color="auto"/>
            </w:tcBorders>
            <w:vAlign w:val="center"/>
          </w:tcPr>
          <w:p w14:paraId="1D0A3FF4"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307,80</w:t>
            </w:r>
          </w:p>
        </w:tc>
        <w:tc>
          <w:tcPr>
            <w:tcW w:w="9320" w:type="dxa"/>
            <w:vAlign w:val="center"/>
          </w:tcPr>
          <w:p w14:paraId="2D4443F7" w14:textId="77777777" w:rsidR="00676A9B" w:rsidRPr="00676A9B" w:rsidRDefault="00676A9B" w:rsidP="00676A9B">
            <w:pPr>
              <w:jc w:val="both"/>
              <w:rPr>
                <w:rFonts w:ascii="Arial" w:hAnsi="Arial" w:cs="Arial"/>
                <w:sz w:val="18"/>
                <w:szCs w:val="18"/>
                <w:lang w:eastAsia="en-US"/>
              </w:rPr>
            </w:pPr>
            <w:r w:rsidRPr="00676A9B">
              <w:rPr>
                <w:rFonts w:ascii="Arial" w:eastAsia="Calibri" w:hAnsi="Arial" w:cs="Arial"/>
                <w:sz w:val="18"/>
                <w:szCs w:val="18"/>
                <w:lang w:eastAsia="en-US"/>
              </w:rPr>
              <w:t>vodovodni priključak hrvatskom branitelju – invalidu DR</w:t>
            </w:r>
          </w:p>
        </w:tc>
      </w:tr>
      <w:tr w:rsidR="00676A9B" w:rsidRPr="00676A9B" w14:paraId="4C0E35A4" w14:textId="77777777" w:rsidTr="00410A4B">
        <w:trPr>
          <w:jc w:val="center"/>
        </w:trPr>
        <w:tc>
          <w:tcPr>
            <w:tcW w:w="1105" w:type="dxa"/>
            <w:vAlign w:val="center"/>
          </w:tcPr>
          <w:p w14:paraId="4E7FA955"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2019.</w:t>
            </w:r>
          </w:p>
        </w:tc>
        <w:tc>
          <w:tcPr>
            <w:tcW w:w="1006" w:type="dxa"/>
            <w:vAlign w:val="center"/>
          </w:tcPr>
          <w:p w14:paraId="12900D41"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w:t>
            </w:r>
          </w:p>
        </w:tc>
        <w:tc>
          <w:tcPr>
            <w:tcW w:w="1559" w:type="dxa"/>
            <w:tcBorders>
              <w:top w:val="nil"/>
              <w:left w:val="nil"/>
              <w:bottom w:val="single" w:sz="8" w:space="0" w:color="auto"/>
              <w:right w:val="single" w:sz="8" w:space="0" w:color="auto"/>
            </w:tcBorders>
            <w:vAlign w:val="center"/>
          </w:tcPr>
          <w:p w14:paraId="3B593541"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212,36</w:t>
            </w:r>
          </w:p>
        </w:tc>
        <w:tc>
          <w:tcPr>
            <w:tcW w:w="9320" w:type="dxa"/>
            <w:vAlign w:val="center"/>
          </w:tcPr>
          <w:p w14:paraId="685CD2C1" w14:textId="77777777" w:rsidR="00676A9B" w:rsidRPr="00676A9B" w:rsidRDefault="00676A9B" w:rsidP="00676A9B">
            <w:pPr>
              <w:jc w:val="both"/>
              <w:rPr>
                <w:rFonts w:ascii="Arial" w:hAnsi="Arial" w:cs="Arial"/>
                <w:sz w:val="18"/>
                <w:szCs w:val="18"/>
                <w:lang w:eastAsia="en-US"/>
              </w:rPr>
            </w:pPr>
            <w:r w:rsidRPr="00676A9B">
              <w:rPr>
                <w:rFonts w:ascii="Arial" w:eastAsia="Calibri" w:hAnsi="Arial" w:cs="Arial"/>
                <w:sz w:val="18"/>
                <w:szCs w:val="18"/>
                <w:lang w:eastAsia="en-US"/>
              </w:rPr>
              <w:t>kanalizacijski priključak za dva hrvatska branitelja - invalida Domovinskog rata</w:t>
            </w:r>
          </w:p>
        </w:tc>
      </w:tr>
      <w:tr w:rsidR="00676A9B" w:rsidRPr="00676A9B" w14:paraId="26DD5FD6" w14:textId="77777777" w:rsidTr="00410A4B">
        <w:trPr>
          <w:jc w:val="center"/>
        </w:trPr>
        <w:tc>
          <w:tcPr>
            <w:tcW w:w="1105" w:type="dxa"/>
            <w:vAlign w:val="center"/>
          </w:tcPr>
          <w:p w14:paraId="582CB443"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2020</w:t>
            </w:r>
          </w:p>
        </w:tc>
        <w:tc>
          <w:tcPr>
            <w:tcW w:w="1006" w:type="dxa"/>
            <w:vAlign w:val="center"/>
          </w:tcPr>
          <w:p w14:paraId="460C4675"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w:t>
            </w:r>
          </w:p>
        </w:tc>
        <w:tc>
          <w:tcPr>
            <w:tcW w:w="1559" w:type="dxa"/>
            <w:tcBorders>
              <w:top w:val="nil"/>
              <w:left w:val="nil"/>
              <w:bottom w:val="single" w:sz="8" w:space="0" w:color="auto"/>
              <w:right w:val="single" w:sz="8" w:space="0" w:color="auto"/>
            </w:tcBorders>
            <w:vAlign w:val="center"/>
          </w:tcPr>
          <w:p w14:paraId="5FF7C15B"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862,06</w:t>
            </w:r>
          </w:p>
        </w:tc>
        <w:tc>
          <w:tcPr>
            <w:tcW w:w="9320" w:type="dxa"/>
            <w:vAlign w:val="center"/>
          </w:tcPr>
          <w:p w14:paraId="3EC1AB82" w14:textId="77777777" w:rsidR="00676A9B" w:rsidRPr="00676A9B" w:rsidRDefault="00676A9B" w:rsidP="00676A9B">
            <w:pPr>
              <w:jc w:val="both"/>
              <w:rPr>
                <w:rFonts w:ascii="Arial" w:eastAsia="Calibri" w:hAnsi="Arial" w:cs="Arial"/>
                <w:sz w:val="18"/>
                <w:szCs w:val="18"/>
                <w:lang w:eastAsia="en-US"/>
              </w:rPr>
            </w:pPr>
            <w:r w:rsidRPr="00676A9B">
              <w:rPr>
                <w:rFonts w:ascii="Arial" w:eastAsia="Calibri" w:hAnsi="Arial" w:cs="Arial"/>
                <w:sz w:val="18"/>
                <w:szCs w:val="18"/>
                <w:lang w:eastAsia="en-US"/>
              </w:rPr>
              <w:t>kanalizacijski priključak za dva hrvatska branitelja - invalida Domovinskog rata</w:t>
            </w:r>
          </w:p>
        </w:tc>
      </w:tr>
      <w:tr w:rsidR="00676A9B" w:rsidRPr="00676A9B" w14:paraId="525613BF" w14:textId="77777777" w:rsidTr="00410A4B">
        <w:trPr>
          <w:jc w:val="center"/>
        </w:trPr>
        <w:tc>
          <w:tcPr>
            <w:tcW w:w="1105" w:type="dxa"/>
            <w:vAlign w:val="center"/>
          </w:tcPr>
          <w:p w14:paraId="15B264C5"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2021.</w:t>
            </w:r>
          </w:p>
        </w:tc>
        <w:tc>
          <w:tcPr>
            <w:tcW w:w="1006" w:type="dxa"/>
            <w:vAlign w:val="center"/>
          </w:tcPr>
          <w:p w14:paraId="77D08CBD"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w:t>
            </w:r>
          </w:p>
        </w:tc>
        <w:tc>
          <w:tcPr>
            <w:tcW w:w="1559" w:type="dxa"/>
            <w:tcBorders>
              <w:top w:val="nil"/>
              <w:left w:val="nil"/>
              <w:bottom w:val="single" w:sz="8" w:space="0" w:color="auto"/>
              <w:right w:val="single" w:sz="8" w:space="0" w:color="auto"/>
            </w:tcBorders>
            <w:vAlign w:val="center"/>
          </w:tcPr>
          <w:p w14:paraId="16B43130"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293,32</w:t>
            </w:r>
          </w:p>
        </w:tc>
        <w:tc>
          <w:tcPr>
            <w:tcW w:w="9320" w:type="dxa"/>
            <w:vAlign w:val="center"/>
          </w:tcPr>
          <w:p w14:paraId="19CFC21A" w14:textId="77777777" w:rsidR="00676A9B" w:rsidRPr="00676A9B" w:rsidRDefault="00676A9B" w:rsidP="00676A9B">
            <w:pPr>
              <w:jc w:val="both"/>
              <w:rPr>
                <w:rFonts w:ascii="Arial" w:eastAsia="Calibri" w:hAnsi="Arial" w:cs="Arial"/>
                <w:sz w:val="18"/>
                <w:szCs w:val="18"/>
                <w:lang w:eastAsia="en-US"/>
              </w:rPr>
            </w:pPr>
            <w:r w:rsidRPr="00676A9B">
              <w:rPr>
                <w:rFonts w:ascii="Arial" w:eastAsia="Calibri" w:hAnsi="Arial" w:cs="Arial"/>
                <w:sz w:val="18"/>
                <w:szCs w:val="18"/>
                <w:lang w:eastAsia="en-US"/>
              </w:rPr>
              <w:t>kanalizacijski priključak za jednog hrvatskog branitelja - invalida Domovinskog rata</w:t>
            </w:r>
          </w:p>
        </w:tc>
      </w:tr>
      <w:tr w:rsidR="00676A9B" w:rsidRPr="00676A9B" w14:paraId="31C08968" w14:textId="77777777" w:rsidTr="00410A4B">
        <w:trPr>
          <w:jc w:val="center"/>
        </w:trPr>
        <w:tc>
          <w:tcPr>
            <w:tcW w:w="1105" w:type="dxa"/>
            <w:vAlign w:val="center"/>
          </w:tcPr>
          <w:p w14:paraId="4B4057FC"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2022.</w:t>
            </w:r>
          </w:p>
        </w:tc>
        <w:tc>
          <w:tcPr>
            <w:tcW w:w="1006" w:type="dxa"/>
            <w:vAlign w:val="center"/>
          </w:tcPr>
          <w:p w14:paraId="7E7C30F7"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w:t>
            </w:r>
          </w:p>
        </w:tc>
        <w:tc>
          <w:tcPr>
            <w:tcW w:w="1559" w:type="dxa"/>
            <w:vAlign w:val="center"/>
          </w:tcPr>
          <w:p w14:paraId="7D6F6C70"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729,72</w:t>
            </w:r>
          </w:p>
        </w:tc>
        <w:tc>
          <w:tcPr>
            <w:tcW w:w="9320" w:type="dxa"/>
            <w:vAlign w:val="center"/>
          </w:tcPr>
          <w:p w14:paraId="369FF681" w14:textId="77777777" w:rsidR="00676A9B" w:rsidRPr="00676A9B" w:rsidRDefault="00676A9B" w:rsidP="00676A9B">
            <w:pPr>
              <w:jc w:val="both"/>
              <w:rPr>
                <w:rFonts w:ascii="Arial" w:eastAsia="Calibri" w:hAnsi="Arial" w:cs="Arial"/>
                <w:sz w:val="18"/>
                <w:szCs w:val="18"/>
                <w:lang w:eastAsia="en-US"/>
              </w:rPr>
            </w:pPr>
            <w:r w:rsidRPr="00676A9B">
              <w:rPr>
                <w:rFonts w:ascii="Arial" w:eastAsia="Calibri" w:hAnsi="Arial" w:cs="Arial"/>
                <w:sz w:val="18"/>
                <w:szCs w:val="18"/>
              </w:rPr>
              <w:t>vodovodni priključak članu obitelji smrtno stradalog branitelja</w:t>
            </w:r>
          </w:p>
        </w:tc>
      </w:tr>
      <w:tr w:rsidR="00676A9B" w:rsidRPr="00676A9B" w14:paraId="38B6E7C3" w14:textId="77777777" w:rsidTr="00410A4B">
        <w:trPr>
          <w:jc w:val="center"/>
        </w:trPr>
        <w:tc>
          <w:tcPr>
            <w:tcW w:w="1105" w:type="dxa"/>
            <w:vAlign w:val="center"/>
          </w:tcPr>
          <w:p w14:paraId="42642CC1"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2023.</w:t>
            </w:r>
          </w:p>
        </w:tc>
        <w:tc>
          <w:tcPr>
            <w:tcW w:w="1006" w:type="dxa"/>
            <w:vAlign w:val="center"/>
          </w:tcPr>
          <w:p w14:paraId="1815B704"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w:t>
            </w:r>
          </w:p>
        </w:tc>
        <w:tc>
          <w:tcPr>
            <w:tcW w:w="1559" w:type="dxa"/>
            <w:vAlign w:val="center"/>
          </w:tcPr>
          <w:p w14:paraId="141AD232"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w:t>
            </w:r>
          </w:p>
        </w:tc>
        <w:tc>
          <w:tcPr>
            <w:tcW w:w="9320" w:type="dxa"/>
            <w:vAlign w:val="center"/>
          </w:tcPr>
          <w:p w14:paraId="63FE956A" w14:textId="77777777" w:rsidR="00676A9B" w:rsidRPr="00676A9B" w:rsidRDefault="00676A9B" w:rsidP="00676A9B">
            <w:pPr>
              <w:jc w:val="both"/>
              <w:rPr>
                <w:rFonts w:ascii="Arial" w:eastAsia="Calibri" w:hAnsi="Arial" w:cs="Arial"/>
                <w:sz w:val="18"/>
                <w:szCs w:val="18"/>
              </w:rPr>
            </w:pPr>
            <w:r w:rsidRPr="00676A9B">
              <w:rPr>
                <w:rFonts w:ascii="Arial" w:eastAsia="Calibri" w:hAnsi="Arial" w:cs="Arial"/>
                <w:sz w:val="18"/>
                <w:szCs w:val="18"/>
              </w:rPr>
              <w:t>-</w:t>
            </w:r>
          </w:p>
        </w:tc>
      </w:tr>
      <w:tr w:rsidR="00676A9B" w:rsidRPr="00676A9B" w14:paraId="04389066" w14:textId="77777777" w:rsidTr="00410A4B">
        <w:trPr>
          <w:jc w:val="center"/>
        </w:trPr>
        <w:tc>
          <w:tcPr>
            <w:tcW w:w="1105" w:type="dxa"/>
            <w:vAlign w:val="center"/>
          </w:tcPr>
          <w:p w14:paraId="5BE5FF07"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2024.</w:t>
            </w:r>
          </w:p>
        </w:tc>
        <w:tc>
          <w:tcPr>
            <w:tcW w:w="1006" w:type="dxa"/>
            <w:vAlign w:val="center"/>
          </w:tcPr>
          <w:p w14:paraId="21758B8F"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w:t>
            </w:r>
          </w:p>
        </w:tc>
        <w:tc>
          <w:tcPr>
            <w:tcW w:w="1559" w:type="dxa"/>
            <w:vAlign w:val="center"/>
          </w:tcPr>
          <w:p w14:paraId="3577A286"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720,00</w:t>
            </w:r>
          </w:p>
        </w:tc>
        <w:tc>
          <w:tcPr>
            <w:tcW w:w="9320" w:type="dxa"/>
            <w:vAlign w:val="center"/>
          </w:tcPr>
          <w:p w14:paraId="49A2C3A6" w14:textId="77777777" w:rsidR="00676A9B" w:rsidRPr="00676A9B" w:rsidRDefault="00676A9B" w:rsidP="00676A9B">
            <w:pPr>
              <w:jc w:val="both"/>
              <w:rPr>
                <w:rFonts w:ascii="Arial" w:eastAsia="Calibri" w:hAnsi="Arial" w:cs="Arial"/>
                <w:sz w:val="18"/>
                <w:szCs w:val="18"/>
              </w:rPr>
            </w:pPr>
            <w:r w:rsidRPr="00676A9B">
              <w:rPr>
                <w:rFonts w:ascii="Arial" w:hAnsi="Arial" w:cs="Arial"/>
                <w:sz w:val="18"/>
                <w:szCs w:val="18"/>
                <w:lang w:eastAsia="en-US"/>
              </w:rPr>
              <w:t>vodovodni priključci</w:t>
            </w:r>
            <w:r w:rsidRPr="00676A9B">
              <w:rPr>
                <w:rFonts w:ascii="Arial" w:eastAsia="Calibri" w:hAnsi="Arial" w:cs="Arial"/>
                <w:sz w:val="18"/>
                <w:szCs w:val="18"/>
                <w:lang w:eastAsia="en-US"/>
              </w:rPr>
              <w:t xml:space="preserve"> obiteljima poginulih branitelja i invalidima Domovinskog rata</w:t>
            </w:r>
          </w:p>
        </w:tc>
      </w:tr>
      <w:tr w:rsidR="00A554DD" w:rsidRPr="00676A9B" w14:paraId="17AF83B9" w14:textId="77777777" w:rsidTr="00410A4B">
        <w:trPr>
          <w:jc w:val="center"/>
        </w:trPr>
        <w:tc>
          <w:tcPr>
            <w:tcW w:w="1105" w:type="dxa"/>
            <w:vAlign w:val="center"/>
          </w:tcPr>
          <w:p w14:paraId="6B474812" w14:textId="7544DDB7" w:rsidR="00A554DD" w:rsidRPr="00676A9B" w:rsidRDefault="00A554DD" w:rsidP="00676A9B">
            <w:pPr>
              <w:jc w:val="center"/>
              <w:rPr>
                <w:rFonts w:ascii="Arial" w:hAnsi="Arial" w:cs="Arial"/>
                <w:sz w:val="18"/>
                <w:szCs w:val="18"/>
                <w:lang w:eastAsia="en-US"/>
              </w:rPr>
            </w:pPr>
            <w:r>
              <w:rPr>
                <w:rFonts w:ascii="Arial" w:hAnsi="Arial" w:cs="Arial"/>
                <w:sz w:val="18"/>
                <w:szCs w:val="18"/>
                <w:lang w:eastAsia="en-US"/>
              </w:rPr>
              <w:t>2025.</w:t>
            </w:r>
          </w:p>
        </w:tc>
        <w:tc>
          <w:tcPr>
            <w:tcW w:w="1006" w:type="dxa"/>
            <w:vAlign w:val="center"/>
          </w:tcPr>
          <w:p w14:paraId="28A4DDE4" w14:textId="6DFAA81E" w:rsidR="00A554DD" w:rsidRPr="00676A9B" w:rsidRDefault="00A554DD" w:rsidP="00676A9B">
            <w:pPr>
              <w:jc w:val="center"/>
              <w:rPr>
                <w:rFonts w:ascii="Arial" w:hAnsi="Arial" w:cs="Arial"/>
                <w:sz w:val="18"/>
                <w:szCs w:val="18"/>
                <w:lang w:eastAsia="en-US"/>
              </w:rPr>
            </w:pPr>
            <w:r>
              <w:rPr>
                <w:rFonts w:ascii="Arial" w:hAnsi="Arial" w:cs="Arial"/>
                <w:sz w:val="18"/>
                <w:szCs w:val="18"/>
                <w:lang w:eastAsia="en-US"/>
              </w:rPr>
              <w:t>-</w:t>
            </w:r>
          </w:p>
        </w:tc>
        <w:tc>
          <w:tcPr>
            <w:tcW w:w="1559" w:type="dxa"/>
            <w:vAlign w:val="center"/>
          </w:tcPr>
          <w:p w14:paraId="57E13756" w14:textId="441083CE" w:rsidR="00A554DD" w:rsidRPr="00676A9B" w:rsidRDefault="00A554DD" w:rsidP="00676A9B">
            <w:pPr>
              <w:jc w:val="right"/>
              <w:rPr>
                <w:rFonts w:ascii="Arial" w:eastAsia="Calibri" w:hAnsi="Arial" w:cs="Arial"/>
                <w:sz w:val="18"/>
                <w:szCs w:val="18"/>
                <w:lang w:eastAsia="en-US"/>
              </w:rPr>
            </w:pPr>
            <w:r>
              <w:rPr>
                <w:rFonts w:ascii="Arial" w:eastAsia="Calibri" w:hAnsi="Arial" w:cs="Arial"/>
                <w:sz w:val="18"/>
                <w:szCs w:val="18"/>
                <w:lang w:eastAsia="en-US"/>
              </w:rPr>
              <w:t>-</w:t>
            </w:r>
          </w:p>
        </w:tc>
        <w:tc>
          <w:tcPr>
            <w:tcW w:w="9320" w:type="dxa"/>
            <w:vAlign w:val="center"/>
          </w:tcPr>
          <w:p w14:paraId="7614D154" w14:textId="1970EB8C" w:rsidR="00A554DD" w:rsidRPr="00676A9B" w:rsidRDefault="00590248" w:rsidP="00676A9B">
            <w:pPr>
              <w:jc w:val="both"/>
              <w:rPr>
                <w:rFonts w:ascii="Arial" w:hAnsi="Arial" w:cs="Arial"/>
                <w:sz w:val="18"/>
                <w:szCs w:val="18"/>
                <w:lang w:eastAsia="en-US"/>
              </w:rPr>
            </w:pPr>
            <w:r>
              <w:rPr>
                <w:rFonts w:ascii="Arial" w:hAnsi="Arial" w:cs="Arial"/>
                <w:sz w:val="18"/>
                <w:szCs w:val="18"/>
                <w:lang w:eastAsia="en-US"/>
              </w:rPr>
              <w:t>-</w:t>
            </w:r>
          </w:p>
        </w:tc>
      </w:tr>
    </w:tbl>
    <w:p w14:paraId="09084B69"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
        <w:tblW w:w="14246" w:type="dxa"/>
        <w:tblInd w:w="-5" w:type="dxa"/>
        <w:tblLayout w:type="fixed"/>
        <w:tblLook w:val="04A0" w:firstRow="1" w:lastRow="0" w:firstColumn="1" w:lastColumn="0" w:noHBand="0" w:noVBand="1"/>
      </w:tblPr>
      <w:tblGrid>
        <w:gridCol w:w="2836"/>
        <w:gridCol w:w="2977"/>
        <w:gridCol w:w="1099"/>
        <w:gridCol w:w="1134"/>
        <w:gridCol w:w="1232"/>
        <w:gridCol w:w="1242"/>
        <w:gridCol w:w="1242"/>
        <w:gridCol w:w="1242"/>
        <w:gridCol w:w="1242"/>
      </w:tblGrid>
      <w:tr w:rsidR="00676A9B" w:rsidRPr="00676A9B" w14:paraId="4E6D8F86" w14:textId="77777777" w:rsidTr="00410A4B">
        <w:tc>
          <w:tcPr>
            <w:tcW w:w="283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E41B105"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297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930D74B"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0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1C04737"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878E333"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0B0C351" w14:textId="24295CC5"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590248">
              <w:rPr>
                <w:rFonts w:ascii="Arial" w:eastAsia="Calibri" w:hAnsi="Arial" w:cs="Arial"/>
                <w:lang w:eastAsia="en-US"/>
              </w:rPr>
              <w:t>4</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841BF36" w14:textId="505CFBDD"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590248">
              <w:rPr>
                <w:rFonts w:ascii="Arial" w:eastAsia="Calibri" w:hAnsi="Arial" w:cs="Arial"/>
                <w:lang w:eastAsia="en-US"/>
              </w:rPr>
              <w:t>5</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D514AB7" w14:textId="52ED10E3"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590248">
              <w:rPr>
                <w:rFonts w:ascii="Arial" w:eastAsia="Calibri" w:hAnsi="Arial" w:cs="Arial"/>
                <w:lang w:eastAsia="en-US"/>
              </w:rPr>
              <w:t>5</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tcPr>
          <w:p w14:paraId="42AC2EFD" w14:textId="0426B3EE"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590248">
              <w:rPr>
                <w:rFonts w:ascii="Arial" w:eastAsia="Calibri" w:hAnsi="Arial" w:cs="Arial"/>
                <w:lang w:eastAsia="en-US"/>
              </w:rPr>
              <w:t>6</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hideMark/>
          </w:tcPr>
          <w:p w14:paraId="629377F3" w14:textId="0B36DB92"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590248">
              <w:rPr>
                <w:rFonts w:ascii="Arial" w:eastAsia="Calibri" w:hAnsi="Arial" w:cs="Arial"/>
                <w:lang w:eastAsia="en-US"/>
              </w:rPr>
              <w:t>7</w:t>
            </w:r>
            <w:r w:rsidRPr="00676A9B">
              <w:rPr>
                <w:rFonts w:ascii="Arial" w:eastAsia="Calibri" w:hAnsi="Arial" w:cs="Arial"/>
                <w:lang w:eastAsia="en-US"/>
              </w:rPr>
              <w:t>.</w:t>
            </w:r>
          </w:p>
        </w:tc>
      </w:tr>
      <w:tr w:rsidR="00590248" w:rsidRPr="00676A9B" w14:paraId="6BF30C7C" w14:textId="77777777" w:rsidTr="00410A4B">
        <w:trPr>
          <w:trHeight w:val="699"/>
        </w:trPr>
        <w:tc>
          <w:tcPr>
            <w:tcW w:w="2836" w:type="dxa"/>
            <w:tcBorders>
              <w:top w:val="single" w:sz="4" w:space="0" w:color="auto"/>
              <w:left w:val="single" w:sz="4" w:space="0" w:color="auto"/>
              <w:bottom w:val="single" w:sz="4" w:space="0" w:color="auto"/>
              <w:right w:val="single" w:sz="4" w:space="0" w:color="auto"/>
            </w:tcBorders>
            <w:vAlign w:val="center"/>
          </w:tcPr>
          <w:p w14:paraId="5C27F73F" w14:textId="77777777" w:rsidR="00590248" w:rsidRPr="00676A9B" w:rsidRDefault="00590248" w:rsidP="00590248">
            <w:pPr>
              <w:rPr>
                <w:rFonts w:ascii="Arial" w:hAnsi="Arial" w:cs="Arial"/>
                <w:lang w:eastAsia="en-US"/>
              </w:rPr>
            </w:pPr>
            <w:r w:rsidRPr="00676A9B">
              <w:rPr>
                <w:rFonts w:ascii="Arial" w:hAnsi="Arial" w:cs="Arial"/>
                <w:lang w:eastAsia="en-US"/>
              </w:rPr>
              <w:t xml:space="preserve">Postotak odobrenih zahtjeva </w:t>
            </w:r>
          </w:p>
        </w:tc>
        <w:tc>
          <w:tcPr>
            <w:tcW w:w="2977" w:type="dxa"/>
            <w:tcBorders>
              <w:top w:val="single" w:sz="4" w:space="0" w:color="auto"/>
              <w:left w:val="single" w:sz="4" w:space="0" w:color="auto"/>
              <w:bottom w:val="single" w:sz="4" w:space="0" w:color="auto"/>
              <w:right w:val="single" w:sz="4" w:space="0" w:color="auto"/>
            </w:tcBorders>
            <w:vAlign w:val="center"/>
          </w:tcPr>
          <w:p w14:paraId="0445177D" w14:textId="77777777" w:rsidR="00590248" w:rsidRPr="00676A9B" w:rsidRDefault="00590248" w:rsidP="00590248">
            <w:pPr>
              <w:autoSpaceDE w:val="0"/>
              <w:autoSpaceDN w:val="0"/>
              <w:adjustRightInd w:val="0"/>
              <w:rPr>
                <w:rFonts w:ascii="Arial" w:hAnsi="Arial" w:cs="Arial"/>
                <w:lang w:eastAsia="en-US"/>
              </w:rPr>
            </w:pPr>
            <w:r w:rsidRPr="00676A9B">
              <w:rPr>
                <w:rFonts w:ascii="Arial" w:eastAsia="Calibri" w:hAnsi="Arial" w:cs="Arial"/>
                <w:lang w:eastAsia="en-US"/>
              </w:rPr>
              <w:t>Pomoć invalidima Domovinskog rata u povećanju životnog standarda</w:t>
            </w:r>
          </w:p>
        </w:tc>
        <w:tc>
          <w:tcPr>
            <w:tcW w:w="1099" w:type="dxa"/>
            <w:tcBorders>
              <w:top w:val="single" w:sz="4" w:space="0" w:color="auto"/>
              <w:left w:val="single" w:sz="4" w:space="0" w:color="auto"/>
              <w:bottom w:val="single" w:sz="4" w:space="0" w:color="auto"/>
              <w:right w:val="single" w:sz="4" w:space="0" w:color="auto"/>
            </w:tcBorders>
            <w:vAlign w:val="center"/>
            <w:hideMark/>
          </w:tcPr>
          <w:p w14:paraId="69A2C397" w14:textId="77777777" w:rsidR="00590248" w:rsidRPr="00676A9B" w:rsidRDefault="00590248" w:rsidP="00590248">
            <w:pPr>
              <w:jc w:val="center"/>
              <w:rPr>
                <w:rFonts w:ascii="Arial" w:hAnsi="Arial" w:cs="Arial"/>
                <w:lang w:eastAsia="en-US"/>
              </w:rPr>
            </w:pPr>
            <w:r w:rsidRPr="00676A9B">
              <w:rPr>
                <w:rFonts w:ascii="Arial"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366601" w14:textId="77777777" w:rsidR="00590248" w:rsidRPr="00676A9B" w:rsidRDefault="00590248" w:rsidP="00590248">
            <w:pPr>
              <w:jc w:val="center"/>
              <w:rPr>
                <w:rFonts w:ascii="Arial" w:hAnsi="Arial" w:cs="Arial"/>
                <w:lang w:eastAsia="en-US"/>
              </w:rPr>
            </w:pPr>
            <w:r w:rsidRPr="00676A9B">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hideMark/>
          </w:tcPr>
          <w:p w14:paraId="55F3E84A" w14:textId="69B5F648" w:rsidR="00590248" w:rsidRPr="00676A9B" w:rsidRDefault="00590248" w:rsidP="00590248">
            <w:pPr>
              <w:jc w:val="center"/>
              <w:rPr>
                <w:rFonts w:ascii="Arial" w:hAnsi="Arial" w:cs="Arial"/>
                <w:lang w:eastAsia="en-US"/>
              </w:rPr>
            </w:pPr>
            <w:r w:rsidRPr="00676A9B">
              <w:rPr>
                <w:rFonts w:ascii="Arial" w:hAnsi="Arial" w:cs="Arial"/>
                <w:lang w:eastAsia="en-US"/>
              </w:rPr>
              <w:t>100 %</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09233401" w14:textId="77777777" w:rsidR="00590248" w:rsidRPr="00676A9B" w:rsidRDefault="00590248" w:rsidP="00590248">
            <w:pPr>
              <w:jc w:val="center"/>
              <w:rPr>
                <w:rFonts w:ascii="Arial" w:hAnsi="Arial" w:cs="Arial"/>
                <w:lang w:eastAsia="en-US"/>
              </w:rPr>
            </w:pPr>
            <w:r w:rsidRPr="00676A9B">
              <w:rPr>
                <w:rFonts w:ascii="Arial" w:hAnsi="Arial" w:cs="Arial"/>
                <w:lang w:eastAsia="en-US"/>
              </w:rPr>
              <w:t>100 %</w:t>
            </w:r>
          </w:p>
        </w:tc>
        <w:tc>
          <w:tcPr>
            <w:tcW w:w="1242" w:type="dxa"/>
            <w:tcBorders>
              <w:top w:val="single" w:sz="4" w:space="0" w:color="000000"/>
              <w:left w:val="single" w:sz="4" w:space="0" w:color="000000"/>
              <w:bottom w:val="single" w:sz="4" w:space="0" w:color="000000"/>
              <w:right w:val="single" w:sz="4" w:space="0" w:color="000000"/>
            </w:tcBorders>
            <w:vAlign w:val="center"/>
          </w:tcPr>
          <w:p w14:paraId="268ECB07" w14:textId="563DBC62" w:rsidR="00590248" w:rsidRPr="00676A9B" w:rsidRDefault="00590248" w:rsidP="00590248">
            <w:pPr>
              <w:jc w:val="center"/>
              <w:rPr>
                <w:rFonts w:ascii="Arial" w:hAnsi="Arial" w:cs="Arial"/>
                <w:lang w:eastAsia="en-US"/>
              </w:rPr>
            </w:pPr>
            <w:r>
              <w:rPr>
                <w:rFonts w:ascii="Arial"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4F0F9C04" w14:textId="77777777" w:rsidR="00590248" w:rsidRPr="00676A9B" w:rsidRDefault="00590248" w:rsidP="00590248">
            <w:pPr>
              <w:jc w:val="center"/>
              <w:rPr>
                <w:rFonts w:ascii="Arial" w:hAnsi="Arial" w:cs="Arial"/>
                <w:lang w:eastAsia="en-US"/>
              </w:rPr>
            </w:pPr>
            <w:r w:rsidRPr="00676A9B">
              <w:rPr>
                <w:rFonts w:ascii="Arial" w:hAnsi="Arial" w:cs="Arial"/>
                <w:lang w:eastAsia="en-US"/>
              </w:rPr>
              <w:t>100 %</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24E12271" w14:textId="77777777" w:rsidR="00590248" w:rsidRPr="00676A9B" w:rsidRDefault="00590248" w:rsidP="00590248">
            <w:pPr>
              <w:jc w:val="center"/>
              <w:rPr>
                <w:rFonts w:ascii="Arial" w:hAnsi="Arial" w:cs="Arial"/>
                <w:lang w:eastAsia="en-US"/>
              </w:rPr>
            </w:pPr>
            <w:r w:rsidRPr="00676A9B">
              <w:rPr>
                <w:rFonts w:ascii="Arial" w:hAnsi="Arial" w:cs="Arial"/>
                <w:lang w:eastAsia="en-US"/>
              </w:rPr>
              <w:t>100 %</w:t>
            </w:r>
          </w:p>
        </w:tc>
      </w:tr>
    </w:tbl>
    <w:p w14:paraId="6632DD2B"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485B98A8" w14:textId="04C038AD" w:rsidR="00676A9B" w:rsidRPr="00676A9B" w:rsidRDefault="00676A9B" w:rsidP="00676A9B">
      <w:pPr>
        <w:spacing w:after="0" w:line="240" w:lineRule="auto"/>
        <w:jc w:val="both"/>
        <w:rPr>
          <w:rFonts w:ascii="Arial" w:eastAsia="Calibri" w:hAnsi="Arial" w:cs="Arial"/>
          <w:sz w:val="20"/>
          <w:szCs w:val="20"/>
        </w:rPr>
      </w:pPr>
      <w:bookmarkStart w:id="407" w:name="_Hlk134798411"/>
      <w:bookmarkStart w:id="408" w:name="_Hlk134798492"/>
      <w:r w:rsidRPr="00676A9B">
        <w:rPr>
          <w:rFonts w:ascii="Arial" w:eastAsia="Calibri" w:hAnsi="Arial" w:cs="Arial"/>
          <w:b/>
          <w:sz w:val="20"/>
          <w:szCs w:val="20"/>
        </w:rPr>
        <w:t>4. A204104: Jednokratne novčane pomoći povodom božićnih i novogodišnjih blagdana</w:t>
      </w:r>
      <w:r w:rsidRPr="00676A9B">
        <w:rPr>
          <w:rFonts w:ascii="Arial" w:eastAsia="Calibri" w:hAnsi="Arial" w:cs="Arial"/>
          <w:sz w:val="20"/>
          <w:szCs w:val="20"/>
        </w:rPr>
        <w:t xml:space="preserve"> - u sklopu navedene aktivnosti su rashodi za naknade građanima i kućanstvima u novcu u skladu s programom socijalne pomoći. Planirana sredstva za provođenje navedene aktivnosti iznose </w:t>
      </w:r>
      <w:r w:rsidR="00F22A18">
        <w:rPr>
          <w:rFonts w:ascii="Arial" w:eastAsia="Calibri" w:hAnsi="Arial" w:cs="Arial"/>
          <w:sz w:val="20"/>
          <w:szCs w:val="20"/>
        </w:rPr>
        <w:t>2.850</w:t>
      </w:r>
      <w:r w:rsidRPr="00676A9B">
        <w:rPr>
          <w:rFonts w:ascii="Arial" w:eastAsia="Calibri" w:hAnsi="Arial" w:cs="Arial"/>
          <w:sz w:val="20"/>
          <w:szCs w:val="20"/>
        </w:rPr>
        <w:t xml:space="preserve"> €. Ove pomoći se isplaćuju koncem godine (pomoći obiteljima poginulih branitelja iz Domovinskog rata), a prethodnih godina isplaćivale su se u iznosu 1.000 kn po korisniku što je 132,72 €. </w:t>
      </w:r>
    </w:p>
    <w:p w14:paraId="7CFC3D4B" w14:textId="74CD16D0" w:rsidR="00676A9B" w:rsidRPr="00676A9B" w:rsidRDefault="00676A9B" w:rsidP="00676A9B">
      <w:pPr>
        <w:spacing w:after="0" w:line="240" w:lineRule="auto"/>
        <w:jc w:val="both"/>
        <w:rPr>
          <w:rFonts w:ascii="Arial" w:eastAsia="Calibri" w:hAnsi="Arial" w:cs="Arial"/>
          <w:sz w:val="20"/>
          <w:szCs w:val="20"/>
        </w:rPr>
      </w:pPr>
      <w:bookmarkStart w:id="409" w:name="_Hlk166146392"/>
      <w:r w:rsidRPr="00676A9B">
        <w:rPr>
          <w:rFonts w:ascii="Arial" w:eastAsia="Calibri" w:hAnsi="Arial" w:cs="Arial"/>
          <w:sz w:val="20"/>
          <w:szCs w:val="20"/>
        </w:rPr>
        <w:t>U 202</w:t>
      </w:r>
      <w:r w:rsidR="008A3E2E">
        <w:rPr>
          <w:rFonts w:ascii="Arial" w:eastAsia="Calibri" w:hAnsi="Arial" w:cs="Arial"/>
          <w:sz w:val="20"/>
          <w:szCs w:val="20"/>
        </w:rPr>
        <w:t>5</w:t>
      </w:r>
      <w:r w:rsidRPr="00676A9B">
        <w:rPr>
          <w:rFonts w:ascii="Arial" w:eastAsia="Calibri" w:hAnsi="Arial" w:cs="Arial"/>
          <w:sz w:val="20"/>
          <w:szCs w:val="20"/>
        </w:rPr>
        <w:t xml:space="preserve">. ovi rashodi su izvršeni za </w:t>
      </w:r>
      <w:r w:rsidR="008A3E2E">
        <w:rPr>
          <w:rFonts w:ascii="Arial" w:eastAsia="Calibri" w:hAnsi="Arial" w:cs="Arial"/>
          <w:sz w:val="20"/>
          <w:szCs w:val="20"/>
        </w:rPr>
        <w:t>19</w:t>
      </w:r>
      <w:r w:rsidRPr="00676A9B">
        <w:rPr>
          <w:rFonts w:ascii="Arial" w:eastAsia="Calibri" w:hAnsi="Arial" w:cs="Arial"/>
          <w:sz w:val="20"/>
          <w:szCs w:val="20"/>
        </w:rPr>
        <w:t xml:space="preserve"> korisnika, sveukupno u iznosu </w:t>
      </w:r>
      <w:r w:rsidR="008A3E2E">
        <w:rPr>
          <w:rFonts w:ascii="Arial" w:eastAsia="Calibri" w:hAnsi="Arial" w:cs="Arial"/>
          <w:sz w:val="20"/>
          <w:szCs w:val="20"/>
        </w:rPr>
        <w:t>2.850</w:t>
      </w:r>
      <w:r w:rsidRPr="00676A9B">
        <w:rPr>
          <w:rFonts w:ascii="Arial" w:eastAsia="Calibri" w:hAnsi="Arial" w:cs="Arial"/>
          <w:sz w:val="20"/>
          <w:szCs w:val="20"/>
        </w:rPr>
        <w:t xml:space="preserve"> €, odnosno 150 € po korisniku.</w:t>
      </w:r>
    </w:p>
    <w:bookmarkEnd w:id="409"/>
    <w:p w14:paraId="73C86566" w14:textId="77777777" w:rsidR="00676A9B" w:rsidRPr="009136D4" w:rsidRDefault="00676A9B" w:rsidP="00676A9B">
      <w:pPr>
        <w:spacing w:after="0" w:line="240" w:lineRule="auto"/>
        <w:jc w:val="both"/>
        <w:rPr>
          <w:rFonts w:ascii="Arial" w:eastAsia="Calibri" w:hAnsi="Arial" w:cs="Arial"/>
          <w:i/>
          <w:sz w:val="18"/>
          <w:szCs w:val="18"/>
        </w:rPr>
      </w:pPr>
    </w:p>
    <w:p w14:paraId="69E6DD55" w14:textId="77777777" w:rsidR="00676A9B" w:rsidRPr="00676A9B" w:rsidRDefault="00676A9B" w:rsidP="00676A9B">
      <w:pPr>
        <w:spacing w:after="0" w:line="240" w:lineRule="auto"/>
        <w:jc w:val="both"/>
        <w:rPr>
          <w:rFonts w:ascii="Arial" w:eastAsia="Calibri" w:hAnsi="Arial" w:cs="Arial"/>
          <w:i/>
          <w:sz w:val="20"/>
          <w:szCs w:val="20"/>
        </w:rPr>
      </w:pPr>
      <w:r w:rsidRPr="00676A9B">
        <w:rPr>
          <w:rFonts w:ascii="Arial" w:eastAsia="Calibri" w:hAnsi="Arial" w:cs="Arial"/>
          <w:i/>
          <w:sz w:val="20"/>
          <w:szCs w:val="20"/>
        </w:rPr>
        <w:t>*Usporedba:</w:t>
      </w:r>
    </w:p>
    <w:p w14:paraId="58C5F9A4" w14:textId="77777777" w:rsidR="00676A9B" w:rsidRPr="00676A9B" w:rsidRDefault="00676A9B" w:rsidP="00676A9B">
      <w:pPr>
        <w:spacing w:after="0" w:line="240" w:lineRule="auto"/>
        <w:ind w:left="567"/>
        <w:jc w:val="both"/>
        <w:rPr>
          <w:rFonts w:ascii="Arial" w:eastAsia="Calibri" w:hAnsi="Arial" w:cs="Arial"/>
          <w:sz w:val="18"/>
          <w:szCs w:val="18"/>
        </w:rPr>
      </w:pPr>
      <w:r w:rsidRPr="00676A9B">
        <w:rPr>
          <w:rFonts w:ascii="Arial" w:eastAsia="Calibri" w:hAnsi="Arial" w:cs="Arial"/>
          <w:sz w:val="18"/>
          <w:szCs w:val="18"/>
        </w:rPr>
        <w:t>Tijekom duljeg niza godina ova naknada je isplaćivana u iznosu 1.000 kn / 132,72 € po korisniku. U 2015., 2016., 2017. i 2018. godini rashodi su izvršeni za 28 obitelji.</w:t>
      </w:r>
    </w:p>
    <w:p w14:paraId="3E06FAC5" w14:textId="77777777" w:rsidR="00676A9B" w:rsidRPr="00676A9B" w:rsidRDefault="00676A9B" w:rsidP="00676A9B">
      <w:pPr>
        <w:spacing w:after="0" w:line="240" w:lineRule="auto"/>
        <w:ind w:left="567"/>
        <w:jc w:val="both"/>
        <w:rPr>
          <w:rFonts w:ascii="Arial" w:eastAsia="Calibri" w:hAnsi="Arial" w:cs="Arial"/>
          <w:sz w:val="18"/>
          <w:szCs w:val="18"/>
        </w:rPr>
      </w:pPr>
      <w:r w:rsidRPr="00676A9B">
        <w:rPr>
          <w:rFonts w:ascii="Arial" w:eastAsia="Calibri" w:hAnsi="Arial" w:cs="Arial"/>
          <w:sz w:val="18"/>
          <w:szCs w:val="18"/>
        </w:rPr>
        <w:t xml:space="preserve">U 2019. godini rashodi su izvršeni za 24 obitelji. </w:t>
      </w:r>
    </w:p>
    <w:p w14:paraId="2CCF2A83" w14:textId="77777777" w:rsidR="00676A9B" w:rsidRPr="00676A9B" w:rsidRDefault="00676A9B" w:rsidP="00676A9B">
      <w:pPr>
        <w:spacing w:after="0" w:line="240" w:lineRule="auto"/>
        <w:ind w:left="567"/>
        <w:jc w:val="both"/>
        <w:rPr>
          <w:rFonts w:ascii="Arial" w:eastAsia="Calibri" w:hAnsi="Arial" w:cs="Arial"/>
          <w:sz w:val="18"/>
          <w:szCs w:val="18"/>
        </w:rPr>
      </w:pPr>
      <w:r w:rsidRPr="00676A9B">
        <w:rPr>
          <w:rFonts w:ascii="Arial" w:eastAsia="Calibri" w:hAnsi="Arial" w:cs="Arial"/>
          <w:sz w:val="18"/>
          <w:szCs w:val="18"/>
        </w:rPr>
        <w:t xml:space="preserve">U 2020. godini rashodi su izvršeni za 23 obitelji. </w:t>
      </w:r>
    </w:p>
    <w:p w14:paraId="229EC05A" w14:textId="5C1C624E" w:rsidR="00676A9B" w:rsidRPr="00676A9B" w:rsidRDefault="00676A9B" w:rsidP="00676A9B">
      <w:pPr>
        <w:spacing w:after="0" w:line="240" w:lineRule="auto"/>
        <w:ind w:left="567"/>
        <w:jc w:val="both"/>
        <w:rPr>
          <w:rFonts w:ascii="Arial" w:eastAsia="Calibri" w:hAnsi="Arial" w:cs="Arial"/>
          <w:sz w:val="18"/>
          <w:szCs w:val="18"/>
        </w:rPr>
      </w:pPr>
      <w:r w:rsidRPr="00676A9B">
        <w:rPr>
          <w:rFonts w:ascii="Arial" w:eastAsia="Calibri" w:hAnsi="Arial" w:cs="Arial"/>
          <w:sz w:val="18"/>
          <w:szCs w:val="18"/>
        </w:rPr>
        <w:t>U 2021. i 2022. godini rashodi su izvršeni za 21 obitelj.</w:t>
      </w:r>
    </w:p>
    <w:p w14:paraId="27557683" w14:textId="2C0AD1F6" w:rsidR="00F22A18" w:rsidRPr="00F22A18" w:rsidRDefault="00F22A18" w:rsidP="00F22A18">
      <w:pPr>
        <w:spacing w:after="0" w:line="240" w:lineRule="auto"/>
        <w:ind w:firstLine="567"/>
        <w:jc w:val="both"/>
        <w:rPr>
          <w:rFonts w:ascii="Arial" w:eastAsia="Calibri" w:hAnsi="Arial" w:cs="Arial"/>
          <w:sz w:val="18"/>
          <w:szCs w:val="18"/>
        </w:rPr>
      </w:pPr>
      <w:r w:rsidRPr="00F22A18">
        <w:rPr>
          <w:rFonts w:ascii="Arial" w:eastAsia="Calibri" w:hAnsi="Arial" w:cs="Arial"/>
          <w:sz w:val="18"/>
          <w:szCs w:val="18"/>
        </w:rPr>
        <w:t>U 2024., kao i 2023. ovi rashodi su izvršeni za 20 korisnika</w:t>
      </w:r>
      <w:r w:rsidR="008A3E2E">
        <w:rPr>
          <w:rFonts w:ascii="Arial" w:eastAsia="Calibri" w:hAnsi="Arial" w:cs="Arial"/>
          <w:sz w:val="18"/>
          <w:szCs w:val="18"/>
        </w:rPr>
        <w:t xml:space="preserve"> (</w:t>
      </w:r>
      <w:r w:rsidRPr="00F22A18">
        <w:rPr>
          <w:rFonts w:ascii="Arial" w:eastAsia="Calibri" w:hAnsi="Arial" w:cs="Arial"/>
          <w:sz w:val="18"/>
          <w:szCs w:val="18"/>
        </w:rPr>
        <w:t>150 € po korisniku</w:t>
      </w:r>
      <w:r w:rsidR="008A3E2E">
        <w:rPr>
          <w:rFonts w:ascii="Arial" w:eastAsia="Calibri" w:hAnsi="Arial" w:cs="Arial"/>
          <w:sz w:val="18"/>
          <w:szCs w:val="18"/>
        </w:rPr>
        <w:t>)</w:t>
      </w:r>
      <w:r w:rsidRPr="00F22A18">
        <w:rPr>
          <w:rFonts w:ascii="Arial" w:eastAsia="Calibri" w:hAnsi="Arial" w:cs="Arial"/>
          <w:sz w:val="18"/>
          <w:szCs w:val="18"/>
        </w:rPr>
        <w:t>.</w:t>
      </w:r>
    </w:p>
    <w:p w14:paraId="3F461197" w14:textId="77777777" w:rsidR="00676A9B" w:rsidRPr="00676A9B" w:rsidRDefault="00676A9B" w:rsidP="00676A9B">
      <w:pPr>
        <w:spacing w:after="0" w:line="240" w:lineRule="auto"/>
        <w:jc w:val="both"/>
        <w:rPr>
          <w:rFonts w:ascii="Arial" w:eastAsia="Calibri" w:hAnsi="Arial" w:cs="Arial"/>
          <w:sz w:val="20"/>
          <w:szCs w:val="20"/>
        </w:rPr>
      </w:pPr>
    </w:p>
    <w:tbl>
      <w:tblPr>
        <w:tblW w:w="14246" w:type="dxa"/>
        <w:tblInd w:w="-5" w:type="dxa"/>
        <w:tblLayout w:type="fixed"/>
        <w:tblLook w:val="04A0" w:firstRow="1" w:lastRow="0" w:firstColumn="1" w:lastColumn="0" w:noHBand="0" w:noVBand="1"/>
      </w:tblPr>
      <w:tblGrid>
        <w:gridCol w:w="2552"/>
        <w:gridCol w:w="3261"/>
        <w:gridCol w:w="1099"/>
        <w:gridCol w:w="1134"/>
        <w:gridCol w:w="1232"/>
        <w:gridCol w:w="1242"/>
        <w:gridCol w:w="1242"/>
        <w:gridCol w:w="1242"/>
        <w:gridCol w:w="1242"/>
      </w:tblGrid>
      <w:tr w:rsidR="00676A9B" w:rsidRPr="00676A9B" w14:paraId="7BF5AC16" w14:textId="77777777" w:rsidTr="00410A4B">
        <w:tc>
          <w:tcPr>
            <w:tcW w:w="255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96506F7"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Pokazatelj rezultata</w:t>
            </w:r>
          </w:p>
        </w:tc>
        <w:tc>
          <w:tcPr>
            <w:tcW w:w="326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3C92D10"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Definicija</w:t>
            </w:r>
          </w:p>
        </w:tc>
        <w:tc>
          <w:tcPr>
            <w:tcW w:w="10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7D2980D"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520115F"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A4763DE" w14:textId="11D90A93"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Polazna vrijednost 202</w:t>
            </w:r>
            <w:r w:rsidR="008A3E2E">
              <w:rPr>
                <w:rFonts w:ascii="Arial" w:eastAsia="Calibri" w:hAnsi="Arial" w:cs="Arial"/>
                <w:sz w:val="20"/>
                <w:szCs w:val="20"/>
              </w:rPr>
              <w:t>4</w:t>
            </w:r>
            <w:r w:rsidRPr="00676A9B">
              <w:rPr>
                <w:rFonts w:ascii="Arial" w:eastAsia="Calibri" w:hAnsi="Arial" w:cs="Arial"/>
                <w:sz w:val="20"/>
                <w:szCs w:val="20"/>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FCF2D50" w14:textId="52950808"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Ciljana vrijednost 202</w:t>
            </w:r>
            <w:r w:rsidR="008A3E2E">
              <w:rPr>
                <w:rFonts w:ascii="Arial" w:eastAsia="Calibri" w:hAnsi="Arial" w:cs="Arial"/>
                <w:sz w:val="20"/>
                <w:szCs w:val="20"/>
              </w:rPr>
              <w:t>5</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A0A44F5" w14:textId="5D97B6CB"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Izvršeno 202</w:t>
            </w:r>
            <w:r w:rsidR="008A3E2E">
              <w:rPr>
                <w:rFonts w:ascii="Arial" w:eastAsia="Calibri" w:hAnsi="Arial" w:cs="Arial"/>
                <w:sz w:val="20"/>
                <w:szCs w:val="20"/>
              </w:rPr>
              <w:t>5</w:t>
            </w:r>
            <w:r w:rsidRPr="00676A9B">
              <w:rPr>
                <w:rFonts w:ascii="Arial" w:eastAsia="Calibri" w:hAnsi="Arial" w:cs="Arial"/>
                <w:sz w:val="20"/>
                <w:szCs w:val="20"/>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tcPr>
          <w:p w14:paraId="57043E40" w14:textId="327A8AC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Ciljana vrijednost 202</w:t>
            </w:r>
            <w:r w:rsidR="008A3E2E">
              <w:rPr>
                <w:rFonts w:ascii="Arial" w:eastAsia="Calibri" w:hAnsi="Arial" w:cs="Arial"/>
                <w:sz w:val="20"/>
                <w:szCs w:val="20"/>
              </w:rPr>
              <w:t>6</w:t>
            </w:r>
            <w:r w:rsidRPr="00676A9B">
              <w:rPr>
                <w:rFonts w:ascii="Arial" w:eastAsia="Calibri" w:hAnsi="Arial" w:cs="Arial"/>
                <w:sz w:val="20"/>
                <w:szCs w:val="20"/>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hideMark/>
          </w:tcPr>
          <w:p w14:paraId="58D4EF85" w14:textId="6012F5EF"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Ciljana vrijednost 202</w:t>
            </w:r>
            <w:r w:rsidR="008A3E2E">
              <w:rPr>
                <w:rFonts w:ascii="Arial" w:eastAsia="Calibri" w:hAnsi="Arial" w:cs="Arial"/>
                <w:sz w:val="20"/>
                <w:szCs w:val="20"/>
              </w:rPr>
              <w:t>7</w:t>
            </w:r>
            <w:r w:rsidRPr="00676A9B">
              <w:rPr>
                <w:rFonts w:ascii="Arial" w:eastAsia="Calibri" w:hAnsi="Arial" w:cs="Arial"/>
                <w:sz w:val="20"/>
                <w:szCs w:val="20"/>
              </w:rPr>
              <w:t>.</w:t>
            </w:r>
          </w:p>
        </w:tc>
      </w:tr>
      <w:tr w:rsidR="00676A9B" w:rsidRPr="00676A9B" w14:paraId="06484D6A" w14:textId="77777777" w:rsidTr="009136D4">
        <w:trPr>
          <w:trHeight w:val="446"/>
        </w:trPr>
        <w:tc>
          <w:tcPr>
            <w:tcW w:w="2552" w:type="dxa"/>
            <w:tcBorders>
              <w:top w:val="single" w:sz="4" w:space="0" w:color="auto"/>
              <w:left w:val="single" w:sz="4" w:space="0" w:color="auto"/>
              <w:bottom w:val="single" w:sz="4" w:space="0" w:color="auto"/>
              <w:right w:val="single" w:sz="4" w:space="0" w:color="auto"/>
            </w:tcBorders>
            <w:vAlign w:val="center"/>
          </w:tcPr>
          <w:p w14:paraId="1AD7C1FA" w14:textId="77777777" w:rsidR="00676A9B" w:rsidRPr="009136D4" w:rsidRDefault="00676A9B" w:rsidP="00676A9B">
            <w:pPr>
              <w:spacing w:after="0" w:line="240" w:lineRule="auto"/>
              <w:rPr>
                <w:rFonts w:ascii="Arial" w:eastAsia="Calibri" w:hAnsi="Arial" w:cs="Arial"/>
                <w:sz w:val="16"/>
                <w:szCs w:val="16"/>
              </w:rPr>
            </w:pPr>
            <w:r w:rsidRPr="009136D4">
              <w:rPr>
                <w:rFonts w:ascii="Arial" w:eastAsia="Calibri" w:hAnsi="Arial" w:cs="Arial"/>
                <w:sz w:val="16"/>
                <w:szCs w:val="16"/>
              </w:rPr>
              <w:t>Briga o pomoći obiteljima poginulih branitelja i pravodobna isplata pomoći u vrijeme blagdana</w:t>
            </w:r>
          </w:p>
        </w:tc>
        <w:tc>
          <w:tcPr>
            <w:tcW w:w="3261" w:type="dxa"/>
            <w:tcBorders>
              <w:top w:val="single" w:sz="4" w:space="0" w:color="auto"/>
              <w:left w:val="single" w:sz="4" w:space="0" w:color="auto"/>
              <w:bottom w:val="single" w:sz="4" w:space="0" w:color="auto"/>
              <w:right w:val="single" w:sz="4" w:space="0" w:color="auto"/>
            </w:tcBorders>
            <w:vAlign w:val="center"/>
          </w:tcPr>
          <w:p w14:paraId="62396291" w14:textId="77777777" w:rsidR="00676A9B" w:rsidRPr="009136D4" w:rsidRDefault="00676A9B" w:rsidP="00676A9B">
            <w:pPr>
              <w:spacing w:after="0" w:line="240" w:lineRule="auto"/>
              <w:jc w:val="both"/>
              <w:rPr>
                <w:rFonts w:ascii="Arial" w:eastAsia="Calibri" w:hAnsi="Arial" w:cs="Arial"/>
                <w:sz w:val="16"/>
                <w:szCs w:val="16"/>
              </w:rPr>
            </w:pPr>
            <w:r w:rsidRPr="009136D4">
              <w:rPr>
                <w:rFonts w:ascii="Arial" w:eastAsia="Calibri" w:hAnsi="Arial" w:cs="Arial"/>
                <w:sz w:val="16"/>
                <w:szCs w:val="16"/>
              </w:rPr>
              <w:t xml:space="preserve">Redovita i pravovremena isplata jednokratne novčane pomoći obitelji poginulih branitelja iz Domovinskog rata prigodom božićnih i novogodišnjih blagdana </w:t>
            </w:r>
          </w:p>
        </w:tc>
        <w:tc>
          <w:tcPr>
            <w:tcW w:w="1099" w:type="dxa"/>
            <w:tcBorders>
              <w:top w:val="single" w:sz="4" w:space="0" w:color="auto"/>
              <w:left w:val="single" w:sz="4" w:space="0" w:color="auto"/>
              <w:bottom w:val="single" w:sz="4" w:space="0" w:color="auto"/>
              <w:right w:val="single" w:sz="4" w:space="0" w:color="auto"/>
            </w:tcBorders>
            <w:vAlign w:val="center"/>
            <w:hideMark/>
          </w:tcPr>
          <w:p w14:paraId="4E875135"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4333BF"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hideMark/>
          </w:tcPr>
          <w:p w14:paraId="052509E5"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100 %</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78F9520E"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100 %</w:t>
            </w:r>
          </w:p>
        </w:tc>
        <w:tc>
          <w:tcPr>
            <w:tcW w:w="1242" w:type="dxa"/>
            <w:tcBorders>
              <w:top w:val="single" w:sz="4" w:space="0" w:color="000000"/>
              <w:left w:val="single" w:sz="4" w:space="0" w:color="000000"/>
              <w:bottom w:val="single" w:sz="4" w:space="0" w:color="000000"/>
              <w:right w:val="single" w:sz="4" w:space="0" w:color="000000"/>
            </w:tcBorders>
            <w:vAlign w:val="center"/>
          </w:tcPr>
          <w:p w14:paraId="0FCDE850"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100 %</w:t>
            </w:r>
          </w:p>
        </w:tc>
        <w:tc>
          <w:tcPr>
            <w:tcW w:w="1242" w:type="dxa"/>
            <w:tcBorders>
              <w:top w:val="single" w:sz="4" w:space="0" w:color="000000"/>
              <w:left w:val="single" w:sz="4" w:space="0" w:color="000000"/>
              <w:bottom w:val="single" w:sz="4" w:space="0" w:color="000000"/>
              <w:right w:val="single" w:sz="4" w:space="0" w:color="000000"/>
            </w:tcBorders>
            <w:vAlign w:val="center"/>
          </w:tcPr>
          <w:p w14:paraId="6955F70A"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100 %</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21F31A65"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100 %</w:t>
            </w:r>
          </w:p>
        </w:tc>
      </w:tr>
    </w:tbl>
    <w:p w14:paraId="1ECEA23E" w14:textId="77777777" w:rsidR="00676A9B" w:rsidRPr="00676A9B" w:rsidRDefault="00676A9B" w:rsidP="00676A9B">
      <w:pPr>
        <w:spacing w:after="0" w:line="240" w:lineRule="auto"/>
        <w:jc w:val="both"/>
        <w:rPr>
          <w:rFonts w:ascii="Arial" w:eastAsia="Calibri" w:hAnsi="Arial" w:cs="Arial"/>
          <w:sz w:val="20"/>
          <w:szCs w:val="20"/>
        </w:rPr>
      </w:pPr>
    </w:p>
    <w:bookmarkEnd w:id="407"/>
    <w:p w14:paraId="7832E9FB" w14:textId="7D51B8E6"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5. A204106: Program „Pravo na stalnu pomoć“ </w:t>
      </w:r>
      <w:r w:rsidRPr="00676A9B">
        <w:rPr>
          <w:rFonts w:ascii="Arial" w:eastAsia="Calibri" w:hAnsi="Arial" w:cs="Arial"/>
          <w:sz w:val="20"/>
          <w:szCs w:val="20"/>
        </w:rPr>
        <w:t xml:space="preserve">- u sklopu navedene aktivnosti su rashodi za naknade građanima i kućanstvima u novcu u skladu s programom socijalne pomoći. Planirana sredstva za provođenje navedene aktivnosti iznose 15.000 €. Izvršeno je </w:t>
      </w:r>
      <w:r w:rsidR="008A3E2E">
        <w:rPr>
          <w:rFonts w:ascii="Arial" w:eastAsia="Calibri" w:hAnsi="Arial" w:cs="Arial"/>
          <w:sz w:val="20"/>
          <w:szCs w:val="20"/>
        </w:rPr>
        <w:t>12.660</w:t>
      </w:r>
      <w:r w:rsidRPr="00676A9B">
        <w:rPr>
          <w:rFonts w:ascii="Arial" w:eastAsia="Calibri" w:hAnsi="Arial" w:cs="Arial"/>
          <w:sz w:val="20"/>
          <w:szCs w:val="20"/>
        </w:rPr>
        <w:t xml:space="preserve"> € ili </w:t>
      </w:r>
      <w:r w:rsidR="008A3E2E">
        <w:rPr>
          <w:rFonts w:ascii="Arial" w:eastAsia="Calibri" w:hAnsi="Arial" w:cs="Arial"/>
          <w:sz w:val="20"/>
          <w:szCs w:val="20"/>
        </w:rPr>
        <w:t>84,4</w:t>
      </w:r>
      <w:r w:rsidRPr="00676A9B">
        <w:rPr>
          <w:rFonts w:ascii="Arial" w:eastAsia="Calibri" w:hAnsi="Arial" w:cs="Arial"/>
          <w:sz w:val="20"/>
          <w:szCs w:val="20"/>
        </w:rPr>
        <w:t xml:space="preserve">%. </w:t>
      </w:r>
      <w:bookmarkStart w:id="410" w:name="_Hlk103252873"/>
    </w:p>
    <w:p w14:paraId="54472AA2" w14:textId="77777777" w:rsidR="00676A9B" w:rsidRPr="00676A9B" w:rsidRDefault="00676A9B" w:rsidP="00676A9B">
      <w:pPr>
        <w:spacing w:after="0" w:line="240" w:lineRule="auto"/>
        <w:jc w:val="both"/>
        <w:rPr>
          <w:rFonts w:ascii="Arial" w:eastAsia="Calibri" w:hAnsi="Arial" w:cs="Arial"/>
          <w:sz w:val="18"/>
          <w:szCs w:val="18"/>
        </w:rPr>
      </w:pPr>
    </w:p>
    <w:p w14:paraId="318546F5" w14:textId="565B4D16" w:rsidR="00676A9B" w:rsidRPr="00676A9B" w:rsidRDefault="00676A9B" w:rsidP="00676A9B">
      <w:pPr>
        <w:autoSpaceDE w:val="0"/>
        <w:autoSpaceDN w:val="0"/>
        <w:adjustRightInd w:val="0"/>
        <w:spacing w:after="0" w:line="240" w:lineRule="auto"/>
        <w:jc w:val="both"/>
        <w:rPr>
          <w:rFonts w:ascii="Arial" w:eastAsia="Calibri" w:hAnsi="Arial" w:cs="Arial"/>
          <w:iCs/>
          <w:sz w:val="20"/>
          <w:szCs w:val="20"/>
        </w:rPr>
      </w:pPr>
      <w:bookmarkStart w:id="411" w:name="_Hlk230540809"/>
      <w:bookmarkEnd w:id="408"/>
      <w:bookmarkEnd w:id="410"/>
      <w:r w:rsidRPr="00676A9B">
        <w:rPr>
          <w:rFonts w:ascii="Arial" w:eastAsia="Calibri" w:hAnsi="Arial" w:cs="Arial"/>
          <w:iCs/>
          <w:sz w:val="20"/>
          <w:szCs w:val="20"/>
        </w:rPr>
        <w:t>U 202</w:t>
      </w:r>
      <w:r w:rsidR="008A3E2E">
        <w:rPr>
          <w:rFonts w:ascii="Arial" w:eastAsia="Calibri" w:hAnsi="Arial" w:cs="Arial"/>
          <w:iCs/>
          <w:sz w:val="20"/>
          <w:szCs w:val="20"/>
        </w:rPr>
        <w:t>5</w:t>
      </w:r>
      <w:r w:rsidRPr="00676A9B">
        <w:rPr>
          <w:rFonts w:ascii="Arial" w:eastAsia="Calibri" w:hAnsi="Arial" w:cs="Arial"/>
          <w:iCs/>
          <w:sz w:val="20"/>
          <w:szCs w:val="20"/>
        </w:rPr>
        <w:t xml:space="preserve">. godini ove pomoći su bile pojedinačnog iznosa 60 € ili 120 €, a isplaćivane su </w:t>
      </w:r>
      <w:r w:rsidR="008A3E2E" w:rsidRPr="008A3E2E">
        <w:rPr>
          <w:rFonts w:ascii="Arial" w:eastAsia="Calibri" w:hAnsi="Arial" w:cs="Arial"/>
          <w:iCs/>
          <w:sz w:val="20"/>
          <w:szCs w:val="20"/>
        </w:rPr>
        <w:t>isplate za 15 osoba do svibnja 2026., a nakon toga do kraja godine 16 osoba mjesečno</w:t>
      </w:r>
      <w:r w:rsidRPr="00676A9B">
        <w:rPr>
          <w:rFonts w:ascii="Arial" w:eastAsia="Calibri" w:hAnsi="Arial" w:cs="Arial"/>
          <w:iCs/>
          <w:sz w:val="20"/>
          <w:szCs w:val="20"/>
        </w:rPr>
        <w:t>.</w:t>
      </w:r>
    </w:p>
    <w:bookmarkEnd w:id="411"/>
    <w:p w14:paraId="60FFF40D" w14:textId="77777777" w:rsidR="00676A9B" w:rsidRPr="00676A9B" w:rsidRDefault="00676A9B" w:rsidP="00676A9B">
      <w:pPr>
        <w:autoSpaceDE w:val="0"/>
        <w:autoSpaceDN w:val="0"/>
        <w:adjustRightInd w:val="0"/>
        <w:spacing w:after="0" w:line="240" w:lineRule="auto"/>
        <w:jc w:val="both"/>
        <w:rPr>
          <w:rFonts w:ascii="Arial" w:eastAsia="Calibri" w:hAnsi="Arial" w:cs="Arial"/>
          <w:i/>
          <w:sz w:val="20"/>
          <w:szCs w:val="20"/>
        </w:rPr>
      </w:pPr>
    </w:p>
    <w:p w14:paraId="564288C3" w14:textId="77777777" w:rsidR="00676A9B" w:rsidRPr="00676A9B" w:rsidRDefault="00676A9B" w:rsidP="00676A9B">
      <w:pPr>
        <w:autoSpaceDE w:val="0"/>
        <w:autoSpaceDN w:val="0"/>
        <w:adjustRightInd w:val="0"/>
        <w:spacing w:after="0" w:line="240" w:lineRule="auto"/>
        <w:jc w:val="both"/>
        <w:rPr>
          <w:rFonts w:ascii="Arial" w:eastAsia="Calibri" w:hAnsi="Arial" w:cs="Arial"/>
          <w:i/>
          <w:sz w:val="20"/>
          <w:szCs w:val="20"/>
        </w:rPr>
      </w:pPr>
      <w:r w:rsidRPr="00676A9B">
        <w:rPr>
          <w:rFonts w:ascii="Arial" w:eastAsia="Calibri" w:hAnsi="Arial" w:cs="Arial"/>
          <w:i/>
          <w:sz w:val="20"/>
          <w:szCs w:val="20"/>
        </w:rPr>
        <w:t>*Usporedba:</w:t>
      </w:r>
    </w:p>
    <w:tbl>
      <w:tblPr>
        <w:tblStyle w:val="Reetkatablice"/>
        <w:tblW w:w="0" w:type="auto"/>
        <w:jc w:val="center"/>
        <w:tblLook w:val="04A0" w:firstRow="1" w:lastRow="0" w:firstColumn="1" w:lastColumn="0" w:noHBand="0" w:noVBand="1"/>
      </w:tblPr>
      <w:tblGrid>
        <w:gridCol w:w="1073"/>
        <w:gridCol w:w="1006"/>
        <w:gridCol w:w="1272"/>
        <w:gridCol w:w="9795"/>
      </w:tblGrid>
      <w:tr w:rsidR="008A3E2E" w:rsidRPr="00676A9B" w14:paraId="19C37846" w14:textId="77777777" w:rsidTr="00410A4B">
        <w:trPr>
          <w:trHeight w:val="366"/>
          <w:jc w:val="center"/>
        </w:trPr>
        <w:tc>
          <w:tcPr>
            <w:tcW w:w="1073" w:type="dxa"/>
            <w:vAlign w:val="center"/>
          </w:tcPr>
          <w:p w14:paraId="51858C36" w14:textId="77777777" w:rsidR="008A3E2E" w:rsidRPr="00676A9B" w:rsidRDefault="008A3E2E" w:rsidP="00676A9B">
            <w:pPr>
              <w:spacing w:before="100" w:beforeAutospacing="1" w:after="100" w:afterAutospacing="1"/>
              <w:jc w:val="center"/>
              <w:rPr>
                <w:rFonts w:ascii="Arial" w:hAnsi="Arial" w:cs="Arial"/>
                <w:i/>
                <w:sz w:val="18"/>
                <w:szCs w:val="18"/>
              </w:rPr>
            </w:pPr>
            <w:r w:rsidRPr="00676A9B">
              <w:rPr>
                <w:rFonts w:ascii="Arial" w:hAnsi="Arial" w:cs="Arial"/>
                <w:i/>
                <w:sz w:val="18"/>
                <w:szCs w:val="18"/>
              </w:rPr>
              <w:t>Godina</w:t>
            </w:r>
          </w:p>
        </w:tc>
        <w:tc>
          <w:tcPr>
            <w:tcW w:w="1006" w:type="dxa"/>
            <w:vAlign w:val="center"/>
          </w:tcPr>
          <w:p w14:paraId="0B60D8A0" w14:textId="77777777" w:rsidR="008A3E2E" w:rsidRPr="00676A9B" w:rsidRDefault="008A3E2E" w:rsidP="00676A9B">
            <w:pPr>
              <w:spacing w:before="100" w:beforeAutospacing="1" w:after="100" w:afterAutospacing="1"/>
              <w:jc w:val="center"/>
              <w:rPr>
                <w:rFonts w:ascii="Arial" w:hAnsi="Arial" w:cs="Arial"/>
                <w:i/>
                <w:sz w:val="18"/>
                <w:szCs w:val="18"/>
              </w:rPr>
            </w:pPr>
            <w:r w:rsidRPr="00676A9B">
              <w:rPr>
                <w:rFonts w:ascii="Arial" w:hAnsi="Arial" w:cs="Arial"/>
                <w:i/>
                <w:sz w:val="18"/>
                <w:szCs w:val="18"/>
              </w:rPr>
              <w:t>broj korisnika</w:t>
            </w:r>
          </w:p>
        </w:tc>
        <w:tc>
          <w:tcPr>
            <w:tcW w:w="1272" w:type="dxa"/>
            <w:vAlign w:val="center"/>
          </w:tcPr>
          <w:p w14:paraId="7ECBE071" w14:textId="77777777" w:rsidR="008A3E2E" w:rsidRPr="00676A9B" w:rsidRDefault="008A3E2E" w:rsidP="00676A9B">
            <w:pPr>
              <w:spacing w:before="100" w:beforeAutospacing="1" w:after="100" w:afterAutospacing="1"/>
              <w:jc w:val="center"/>
              <w:rPr>
                <w:rFonts w:ascii="Arial" w:hAnsi="Arial" w:cs="Arial"/>
                <w:i/>
                <w:sz w:val="18"/>
                <w:szCs w:val="18"/>
              </w:rPr>
            </w:pPr>
            <w:r w:rsidRPr="00676A9B">
              <w:rPr>
                <w:rFonts w:ascii="Arial" w:hAnsi="Arial" w:cs="Arial"/>
                <w:i/>
                <w:sz w:val="18"/>
                <w:szCs w:val="18"/>
              </w:rPr>
              <w:t>Iznos rashoda (€)</w:t>
            </w:r>
          </w:p>
        </w:tc>
        <w:tc>
          <w:tcPr>
            <w:tcW w:w="9795" w:type="dxa"/>
            <w:vAlign w:val="center"/>
          </w:tcPr>
          <w:p w14:paraId="6E6E5518" w14:textId="77777777" w:rsidR="008A3E2E" w:rsidRPr="00676A9B" w:rsidRDefault="008A3E2E" w:rsidP="00676A9B">
            <w:pPr>
              <w:spacing w:before="100" w:beforeAutospacing="1" w:after="100" w:afterAutospacing="1"/>
              <w:jc w:val="center"/>
              <w:rPr>
                <w:rFonts w:ascii="Arial" w:hAnsi="Arial" w:cs="Arial"/>
                <w:i/>
                <w:sz w:val="18"/>
                <w:szCs w:val="18"/>
              </w:rPr>
            </w:pPr>
            <w:r w:rsidRPr="00676A9B">
              <w:rPr>
                <w:rFonts w:ascii="Arial" w:hAnsi="Arial" w:cs="Arial"/>
                <w:i/>
                <w:sz w:val="18"/>
                <w:szCs w:val="18"/>
              </w:rPr>
              <w:t>Obrazloženje</w:t>
            </w:r>
          </w:p>
        </w:tc>
      </w:tr>
      <w:tr w:rsidR="008A3E2E" w:rsidRPr="00676A9B" w14:paraId="0D79D9B2" w14:textId="77777777" w:rsidTr="00410A4B">
        <w:trPr>
          <w:jc w:val="center"/>
        </w:trPr>
        <w:tc>
          <w:tcPr>
            <w:tcW w:w="1073" w:type="dxa"/>
            <w:vAlign w:val="center"/>
          </w:tcPr>
          <w:p w14:paraId="7AE9E753"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2015.</w:t>
            </w:r>
          </w:p>
        </w:tc>
        <w:tc>
          <w:tcPr>
            <w:tcW w:w="1006" w:type="dxa"/>
            <w:vAlign w:val="center"/>
          </w:tcPr>
          <w:p w14:paraId="7A5C4972"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9</w:t>
            </w:r>
          </w:p>
        </w:tc>
        <w:tc>
          <w:tcPr>
            <w:tcW w:w="1272" w:type="dxa"/>
          </w:tcPr>
          <w:p w14:paraId="13F29A88" w14:textId="77777777" w:rsidR="008A3E2E" w:rsidRPr="00676A9B" w:rsidRDefault="008A3E2E" w:rsidP="00676A9B">
            <w:pPr>
              <w:spacing w:before="100" w:beforeAutospacing="1" w:after="100" w:afterAutospacing="1"/>
              <w:jc w:val="right"/>
              <w:rPr>
                <w:rFonts w:ascii="Arial" w:hAnsi="Arial" w:cs="Arial"/>
                <w:sz w:val="18"/>
                <w:szCs w:val="18"/>
              </w:rPr>
            </w:pPr>
            <w:r w:rsidRPr="00676A9B">
              <w:rPr>
                <w:rFonts w:ascii="Arial" w:eastAsia="Calibri" w:hAnsi="Arial" w:cs="Arial"/>
                <w:sz w:val="18"/>
                <w:szCs w:val="18"/>
                <w:lang w:eastAsia="en-US"/>
              </w:rPr>
              <w:t>6.370,69</w:t>
            </w:r>
          </w:p>
        </w:tc>
        <w:tc>
          <w:tcPr>
            <w:tcW w:w="9795" w:type="dxa"/>
            <w:vAlign w:val="center"/>
          </w:tcPr>
          <w:p w14:paraId="5D1F1BC9" w14:textId="77777777" w:rsidR="008A3E2E" w:rsidRPr="00676A9B" w:rsidRDefault="008A3E2E" w:rsidP="00676A9B">
            <w:pPr>
              <w:spacing w:before="100" w:beforeAutospacing="1" w:after="100" w:afterAutospacing="1"/>
              <w:rPr>
                <w:rFonts w:ascii="Arial" w:hAnsi="Arial" w:cs="Arial"/>
                <w:sz w:val="18"/>
                <w:szCs w:val="18"/>
              </w:rPr>
            </w:pPr>
          </w:p>
        </w:tc>
      </w:tr>
      <w:tr w:rsidR="008A3E2E" w:rsidRPr="00676A9B" w14:paraId="01B0F17F" w14:textId="77777777" w:rsidTr="00410A4B">
        <w:trPr>
          <w:jc w:val="center"/>
        </w:trPr>
        <w:tc>
          <w:tcPr>
            <w:tcW w:w="1073" w:type="dxa"/>
            <w:vAlign w:val="center"/>
          </w:tcPr>
          <w:p w14:paraId="16A135D1"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2016.</w:t>
            </w:r>
          </w:p>
        </w:tc>
        <w:tc>
          <w:tcPr>
            <w:tcW w:w="1006" w:type="dxa"/>
            <w:vAlign w:val="center"/>
          </w:tcPr>
          <w:p w14:paraId="419A5696"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9</w:t>
            </w:r>
          </w:p>
        </w:tc>
        <w:tc>
          <w:tcPr>
            <w:tcW w:w="1272" w:type="dxa"/>
          </w:tcPr>
          <w:p w14:paraId="53323721" w14:textId="77777777" w:rsidR="008A3E2E" w:rsidRPr="00676A9B" w:rsidRDefault="008A3E2E" w:rsidP="00676A9B">
            <w:pPr>
              <w:spacing w:before="100" w:beforeAutospacing="1" w:after="100" w:afterAutospacing="1"/>
              <w:jc w:val="right"/>
              <w:rPr>
                <w:rFonts w:ascii="Arial" w:hAnsi="Arial" w:cs="Arial"/>
                <w:sz w:val="18"/>
                <w:szCs w:val="18"/>
              </w:rPr>
            </w:pPr>
            <w:r w:rsidRPr="00676A9B">
              <w:rPr>
                <w:rFonts w:ascii="Arial" w:eastAsia="Calibri" w:hAnsi="Arial" w:cs="Arial"/>
                <w:sz w:val="18"/>
                <w:szCs w:val="18"/>
                <w:lang w:eastAsia="en-US"/>
              </w:rPr>
              <w:t>6.370,69</w:t>
            </w:r>
          </w:p>
        </w:tc>
        <w:tc>
          <w:tcPr>
            <w:tcW w:w="9795" w:type="dxa"/>
            <w:vAlign w:val="center"/>
          </w:tcPr>
          <w:p w14:paraId="4879BF69" w14:textId="77777777" w:rsidR="008A3E2E" w:rsidRPr="00676A9B" w:rsidRDefault="008A3E2E" w:rsidP="00676A9B">
            <w:pPr>
              <w:spacing w:before="100" w:beforeAutospacing="1" w:after="100" w:afterAutospacing="1"/>
              <w:rPr>
                <w:rFonts w:ascii="Arial" w:hAnsi="Arial" w:cs="Arial"/>
                <w:sz w:val="18"/>
                <w:szCs w:val="18"/>
              </w:rPr>
            </w:pPr>
          </w:p>
        </w:tc>
      </w:tr>
      <w:tr w:rsidR="008A3E2E" w:rsidRPr="00676A9B" w14:paraId="1A03A18D" w14:textId="77777777" w:rsidTr="00410A4B">
        <w:trPr>
          <w:jc w:val="center"/>
        </w:trPr>
        <w:tc>
          <w:tcPr>
            <w:tcW w:w="1073" w:type="dxa"/>
            <w:vAlign w:val="center"/>
          </w:tcPr>
          <w:p w14:paraId="7C2D3A26"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2017.</w:t>
            </w:r>
          </w:p>
        </w:tc>
        <w:tc>
          <w:tcPr>
            <w:tcW w:w="1006" w:type="dxa"/>
            <w:vAlign w:val="center"/>
          </w:tcPr>
          <w:p w14:paraId="6E1CB9AB"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 xml:space="preserve">9 /  8 </w:t>
            </w:r>
          </w:p>
        </w:tc>
        <w:tc>
          <w:tcPr>
            <w:tcW w:w="1272" w:type="dxa"/>
          </w:tcPr>
          <w:p w14:paraId="601B4FE7" w14:textId="77777777" w:rsidR="008A3E2E" w:rsidRPr="00676A9B" w:rsidRDefault="008A3E2E" w:rsidP="00676A9B">
            <w:pPr>
              <w:spacing w:before="100" w:beforeAutospacing="1" w:after="100" w:afterAutospacing="1"/>
              <w:jc w:val="right"/>
              <w:rPr>
                <w:rFonts w:ascii="Arial" w:eastAsia="Calibri" w:hAnsi="Arial" w:cs="Arial"/>
                <w:i/>
                <w:sz w:val="18"/>
                <w:szCs w:val="18"/>
              </w:rPr>
            </w:pPr>
            <w:r w:rsidRPr="00676A9B">
              <w:rPr>
                <w:rFonts w:ascii="Arial" w:eastAsia="Calibri" w:hAnsi="Arial" w:cs="Arial"/>
                <w:sz w:val="18"/>
                <w:szCs w:val="18"/>
                <w:lang w:eastAsia="en-US"/>
              </w:rPr>
              <w:t>7.379,39</w:t>
            </w:r>
          </w:p>
        </w:tc>
        <w:tc>
          <w:tcPr>
            <w:tcW w:w="9795" w:type="dxa"/>
            <w:vAlign w:val="center"/>
          </w:tcPr>
          <w:p w14:paraId="12D53FF7" w14:textId="77777777" w:rsidR="008A3E2E" w:rsidRPr="00676A9B" w:rsidRDefault="008A3E2E" w:rsidP="00676A9B">
            <w:pPr>
              <w:spacing w:before="100" w:beforeAutospacing="1" w:after="100" w:afterAutospacing="1"/>
              <w:rPr>
                <w:rFonts w:ascii="Arial" w:hAnsi="Arial" w:cs="Arial"/>
                <w:sz w:val="18"/>
                <w:szCs w:val="18"/>
              </w:rPr>
            </w:pPr>
            <w:r w:rsidRPr="00676A9B">
              <w:rPr>
                <w:rFonts w:ascii="Arial" w:eastAsia="Calibri" w:hAnsi="Arial" w:cs="Arial"/>
                <w:i/>
                <w:sz w:val="18"/>
                <w:szCs w:val="18"/>
              </w:rPr>
              <w:t>9 korisnika do konca listopada 2017., a nakon toga za 8 korisnika.</w:t>
            </w:r>
          </w:p>
        </w:tc>
      </w:tr>
      <w:tr w:rsidR="008A3E2E" w:rsidRPr="00676A9B" w14:paraId="1AF2C210" w14:textId="77777777" w:rsidTr="00410A4B">
        <w:trPr>
          <w:jc w:val="center"/>
        </w:trPr>
        <w:tc>
          <w:tcPr>
            <w:tcW w:w="1073" w:type="dxa"/>
            <w:vAlign w:val="center"/>
          </w:tcPr>
          <w:p w14:paraId="18596841"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2018.</w:t>
            </w:r>
          </w:p>
        </w:tc>
        <w:tc>
          <w:tcPr>
            <w:tcW w:w="1006" w:type="dxa"/>
            <w:vAlign w:val="center"/>
          </w:tcPr>
          <w:p w14:paraId="39014AC6"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8</w:t>
            </w:r>
          </w:p>
        </w:tc>
        <w:tc>
          <w:tcPr>
            <w:tcW w:w="1272" w:type="dxa"/>
          </w:tcPr>
          <w:p w14:paraId="3302F921" w14:textId="77777777" w:rsidR="008A3E2E" w:rsidRPr="00676A9B" w:rsidRDefault="008A3E2E" w:rsidP="00676A9B">
            <w:pPr>
              <w:spacing w:before="100" w:beforeAutospacing="1" w:after="100" w:afterAutospacing="1"/>
              <w:jc w:val="right"/>
              <w:rPr>
                <w:rFonts w:ascii="Arial" w:eastAsia="Calibri" w:hAnsi="Arial" w:cs="Arial"/>
                <w:i/>
                <w:sz w:val="18"/>
                <w:szCs w:val="18"/>
              </w:rPr>
            </w:pPr>
            <w:r w:rsidRPr="00676A9B">
              <w:rPr>
                <w:rFonts w:ascii="Arial" w:eastAsia="Calibri" w:hAnsi="Arial" w:cs="Arial"/>
                <w:sz w:val="18"/>
                <w:szCs w:val="18"/>
                <w:lang w:eastAsia="en-US"/>
              </w:rPr>
              <w:t>6.742,32</w:t>
            </w:r>
          </w:p>
        </w:tc>
        <w:tc>
          <w:tcPr>
            <w:tcW w:w="9795" w:type="dxa"/>
            <w:vAlign w:val="center"/>
          </w:tcPr>
          <w:p w14:paraId="141C40E8" w14:textId="77777777" w:rsidR="008A3E2E" w:rsidRPr="00676A9B" w:rsidRDefault="008A3E2E" w:rsidP="00676A9B">
            <w:pPr>
              <w:spacing w:before="100" w:beforeAutospacing="1" w:after="100" w:afterAutospacing="1"/>
              <w:rPr>
                <w:rFonts w:ascii="Arial" w:hAnsi="Arial" w:cs="Arial"/>
                <w:sz w:val="18"/>
                <w:szCs w:val="18"/>
              </w:rPr>
            </w:pPr>
            <w:r w:rsidRPr="00676A9B">
              <w:rPr>
                <w:rFonts w:ascii="Arial" w:eastAsia="Calibri" w:hAnsi="Arial" w:cs="Arial"/>
                <w:i/>
                <w:sz w:val="18"/>
                <w:szCs w:val="18"/>
              </w:rPr>
              <w:t>8 korisnika cijela godina</w:t>
            </w:r>
          </w:p>
        </w:tc>
      </w:tr>
      <w:tr w:rsidR="008A3E2E" w:rsidRPr="00676A9B" w14:paraId="733647BB" w14:textId="77777777" w:rsidTr="00410A4B">
        <w:trPr>
          <w:jc w:val="center"/>
        </w:trPr>
        <w:tc>
          <w:tcPr>
            <w:tcW w:w="1073" w:type="dxa"/>
            <w:vAlign w:val="center"/>
          </w:tcPr>
          <w:p w14:paraId="6E0B9D5D"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2019.</w:t>
            </w:r>
          </w:p>
        </w:tc>
        <w:tc>
          <w:tcPr>
            <w:tcW w:w="1006" w:type="dxa"/>
            <w:vAlign w:val="center"/>
          </w:tcPr>
          <w:p w14:paraId="4EA0EE29"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9 / 10</w:t>
            </w:r>
          </w:p>
        </w:tc>
        <w:tc>
          <w:tcPr>
            <w:tcW w:w="1272" w:type="dxa"/>
          </w:tcPr>
          <w:p w14:paraId="61135F1F" w14:textId="77777777" w:rsidR="008A3E2E" w:rsidRPr="00676A9B" w:rsidRDefault="008A3E2E" w:rsidP="00676A9B">
            <w:pPr>
              <w:spacing w:before="100" w:beforeAutospacing="1" w:after="100" w:afterAutospacing="1"/>
              <w:jc w:val="right"/>
              <w:rPr>
                <w:rFonts w:ascii="Arial" w:eastAsia="Calibri" w:hAnsi="Arial" w:cs="Arial"/>
                <w:i/>
                <w:sz w:val="18"/>
                <w:szCs w:val="18"/>
              </w:rPr>
            </w:pPr>
            <w:r w:rsidRPr="00676A9B">
              <w:rPr>
                <w:rFonts w:ascii="Arial" w:eastAsia="Calibri" w:hAnsi="Arial" w:cs="Arial"/>
                <w:sz w:val="18"/>
                <w:szCs w:val="18"/>
                <w:lang w:eastAsia="en-US"/>
              </w:rPr>
              <w:t>7.697,92</w:t>
            </w:r>
          </w:p>
        </w:tc>
        <w:tc>
          <w:tcPr>
            <w:tcW w:w="9795" w:type="dxa"/>
            <w:vAlign w:val="center"/>
          </w:tcPr>
          <w:p w14:paraId="3F351A14" w14:textId="77777777" w:rsidR="008A3E2E" w:rsidRPr="00676A9B" w:rsidRDefault="008A3E2E" w:rsidP="00676A9B">
            <w:pPr>
              <w:spacing w:before="100" w:beforeAutospacing="1" w:after="100" w:afterAutospacing="1"/>
              <w:rPr>
                <w:rFonts w:ascii="Arial" w:hAnsi="Arial" w:cs="Arial"/>
                <w:sz w:val="18"/>
                <w:szCs w:val="18"/>
              </w:rPr>
            </w:pPr>
            <w:r w:rsidRPr="00676A9B">
              <w:rPr>
                <w:rFonts w:ascii="Arial" w:eastAsia="Calibri" w:hAnsi="Arial" w:cs="Arial"/>
                <w:i/>
                <w:sz w:val="18"/>
                <w:szCs w:val="18"/>
              </w:rPr>
              <w:t>9 korisnika do konca kolovoza 2019., a od rujna 2019. za 10 korisnika.</w:t>
            </w:r>
          </w:p>
        </w:tc>
      </w:tr>
      <w:tr w:rsidR="008A3E2E" w:rsidRPr="00676A9B" w14:paraId="76285E4C" w14:textId="77777777" w:rsidTr="00410A4B">
        <w:trPr>
          <w:jc w:val="center"/>
        </w:trPr>
        <w:tc>
          <w:tcPr>
            <w:tcW w:w="1073" w:type="dxa"/>
            <w:vAlign w:val="center"/>
          </w:tcPr>
          <w:p w14:paraId="046AC24E"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2020</w:t>
            </w:r>
          </w:p>
        </w:tc>
        <w:tc>
          <w:tcPr>
            <w:tcW w:w="1006" w:type="dxa"/>
            <w:vAlign w:val="center"/>
          </w:tcPr>
          <w:p w14:paraId="0EACD712"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12</w:t>
            </w:r>
          </w:p>
        </w:tc>
        <w:tc>
          <w:tcPr>
            <w:tcW w:w="1272" w:type="dxa"/>
          </w:tcPr>
          <w:p w14:paraId="44C00B07" w14:textId="77777777" w:rsidR="008A3E2E" w:rsidRPr="00676A9B" w:rsidRDefault="008A3E2E" w:rsidP="00676A9B">
            <w:pPr>
              <w:spacing w:before="100" w:beforeAutospacing="1" w:after="100" w:afterAutospacing="1"/>
              <w:jc w:val="right"/>
              <w:rPr>
                <w:rFonts w:ascii="Arial" w:eastAsia="Calibri" w:hAnsi="Arial" w:cs="Arial"/>
                <w:i/>
                <w:sz w:val="18"/>
                <w:szCs w:val="18"/>
              </w:rPr>
            </w:pPr>
            <w:r w:rsidRPr="00676A9B">
              <w:rPr>
                <w:rFonts w:ascii="Arial" w:eastAsia="Calibri" w:hAnsi="Arial" w:cs="Arial"/>
                <w:sz w:val="18"/>
                <w:szCs w:val="18"/>
                <w:lang w:eastAsia="en-US"/>
              </w:rPr>
              <w:t>9.410,05</w:t>
            </w:r>
          </w:p>
        </w:tc>
        <w:tc>
          <w:tcPr>
            <w:tcW w:w="9795" w:type="dxa"/>
            <w:vAlign w:val="center"/>
          </w:tcPr>
          <w:p w14:paraId="1673DE6B" w14:textId="77777777" w:rsidR="008A3E2E" w:rsidRPr="00676A9B" w:rsidRDefault="008A3E2E" w:rsidP="00676A9B">
            <w:pPr>
              <w:spacing w:before="100" w:beforeAutospacing="1" w:after="100" w:afterAutospacing="1"/>
              <w:rPr>
                <w:rFonts w:ascii="Arial" w:hAnsi="Arial" w:cs="Arial"/>
                <w:sz w:val="18"/>
                <w:szCs w:val="18"/>
              </w:rPr>
            </w:pPr>
            <w:r w:rsidRPr="00676A9B">
              <w:rPr>
                <w:rFonts w:ascii="Arial" w:eastAsia="Calibri" w:hAnsi="Arial" w:cs="Arial"/>
                <w:i/>
                <w:sz w:val="18"/>
                <w:szCs w:val="18"/>
              </w:rPr>
              <w:t xml:space="preserve">12 korisnika od početka 2020., a od studenoga 2020. za 11 korisnika </w:t>
            </w:r>
          </w:p>
        </w:tc>
      </w:tr>
      <w:tr w:rsidR="008A3E2E" w:rsidRPr="00676A9B" w14:paraId="13896A99" w14:textId="77777777" w:rsidTr="00410A4B">
        <w:trPr>
          <w:jc w:val="center"/>
        </w:trPr>
        <w:tc>
          <w:tcPr>
            <w:tcW w:w="1073" w:type="dxa"/>
            <w:vAlign w:val="center"/>
          </w:tcPr>
          <w:p w14:paraId="05B688FE"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2021.</w:t>
            </w:r>
          </w:p>
        </w:tc>
        <w:tc>
          <w:tcPr>
            <w:tcW w:w="1006" w:type="dxa"/>
            <w:vAlign w:val="center"/>
          </w:tcPr>
          <w:p w14:paraId="46B223A8"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11</w:t>
            </w:r>
          </w:p>
        </w:tc>
        <w:tc>
          <w:tcPr>
            <w:tcW w:w="1272" w:type="dxa"/>
          </w:tcPr>
          <w:p w14:paraId="4090FA6F" w14:textId="77777777" w:rsidR="008A3E2E" w:rsidRPr="00676A9B" w:rsidRDefault="008A3E2E" w:rsidP="00676A9B">
            <w:pPr>
              <w:spacing w:before="100" w:beforeAutospacing="1" w:after="100" w:afterAutospacing="1"/>
              <w:jc w:val="right"/>
              <w:rPr>
                <w:rFonts w:ascii="Arial" w:eastAsia="Calibri" w:hAnsi="Arial" w:cs="Arial"/>
                <w:i/>
                <w:sz w:val="18"/>
                <w:szCs w:val="18"/>
              </w:rPr>
            </w:pPr>
            <w:r w:rsidRPr="00676A9B">
              <w:rPr>
                <w:rFonts w:ascii="Arial" w:eastAsia="Calibri" w:hAnsi="Arial" w:cs="Arial"/>
                <w:sz w:val="18"/>
                <w:szCs w:val="18"/>
                <w:lang w:eastAsia="en-US"/>
              </w:rPr>
              <w:t>7.538,66</w:t>
            </w:r>
          </w:p>
        </w:tc>
        <w:tc>
          <w:tcPr>
            <w:tcW w:w="9795" w:type="dxa"/>
            <w:vAlign w:val="center"/>
          </w:tcPr>
          <w:p w14:paraId="14E44074" w14:textId="77777777" w:rsidR="008A3E2E" w:rsidRPr="00676A9B" w:rsidRDefault="008A3E2E" w:rsidP="00676A9B">
            <w:pPr>
              <w:spacing w:before="100" w:beforeAutospacing="1" w:after="100" w:afterAutospacing="1"/>
              <w:rPr>
                <w:rFonts w:ascii="Arial" w:eastAsia="Calibri" w:hAnsi="Arial" w:cs="Arial"/>
                <w:i/>
                <w:sz w:val="18"/>
                <w:szCs w:val="18"/>
              </w:rPr>
            </w:pPr>
            <w:r w:rsidRPr="00676A9B">
              <w:rPr>
                <w:rFonts w:ascii="Arial" w:eastAsia="Calibri" w:hAnsi="Arial" w:cs="Arial"/>
                <w:i/>
                <w:sz w:val="18"/>
                <w:szCs w:val="18"/>
              </w:rPr>
              <w:t>11 korisnika do konca ožujka 2021, od travnja 2021. za 10 korisnika, te od rujna 2021. za 11 korisnika</w:t>
            </w:r>
          </w:p>
        </w:tc>
      </w:tr>
      <w:tr w:rsidR="008A3E2E" w:rsidRPr="00676A9B" w14:paraId="2B94EFED" w14:textId="77777777" w:rsidTr="00410A4B">
        <w:trPr>
          <w:jc w:val="center"/>
        </w:trPr>
        <w:tc>
          <w:tcPr>
            <w:tcW w:w="1073" w:type="dxa"/>
            <w:vAlign w:val="center"/>
          </w:tcPr>
          <w:p w14:paraId="19CB3BDD"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2022.</w:t>
            </w:r>
          </w:p>
        </w:tc>
        <w:tc>
          <w:tcPr>
            <w:tcW w:w="1006" w:type="dxa"/>
            <w:vAlign w:val="center"/>
          </w:tcPr>
          <w:p w14:paraId="24C43D51"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11</w:t>
            </w:r>
          </w:p>
        </w:tc>
        <w:tc>
          <w:tcPr>
            <w:tcW w:w="1272" w:type="dxa"/>
          </w:tcPr>
          <w:p w14:paraId="67915602" w14:textId="77777777" w:rsidR="008A3E2E" w:rsidRPr="00676A9B" w:rsidRDefault="008A3E2E" w:rsidP="00676A9B">
            <w:pPr>
              <w:spacing w:before="100" w:beforeAutospacing="1" w:after="100" w:afterAutospacing="1"/>
              <w:jc w:val="right"/>
              <w:rPr>
                <w:rFonts w:ascii="Arial" w:eastAsia="Calibri" w:hAnsi="Arial" w:cs="Arial"/>
                <w:i/>
                <w:sz w:val="18"/>
                <w:szCs w:val="18"/>
              </w:rPr>
            </w:pPr>
            <w:r w:rsidRPr="00676A9B">
              <w:rPr>
                <w:rFonts w:ascii="Arial" w:eastAsia="Calibri" w:hAnsi="Arial" w:cs="Arial"/>
                <w:sz w:val="18"/>
                <w:szCs w:val="18"/>
                <w:lang w:eastAsia="en-US"/>
              </w:rPr>
              <w:t>7.644,83</w:t>
            </w:r>
          </w:p>
        </w:tc>
        <w:tc>
          <w:tcPr>
            <w:tcW w:w="9795" w:type="dxa"/>
            <w:vAlign w:val="center"/>
          </w:tcPr>
          <w:p w14:paraId="4D9D6E15" w14:textId="77777777" w:rsidR="008A3E2E" w:rsidRPr="00676A9B" w:rsidRDefault="008A3E2E" w:rsidP="00676A9B">
            <w:pPr>
              <w:spacing w:before="100" w:beforeAutospacing="1" w:after="100" w:afterAutospacing="1"/>
              <w:rPr>
                <w:rFonts w:ascii="Arial" w:eastAsia="Calibri" w:hAnsi="Arial" w:cs="Arial"/>
                <w:i/>
                <w:sz w:val="18"/>
                <w:szCs w:val="18"/>
              </w:rPr>
            </w:pPr>
            <w:r w:rsidRPr="00676A9B">
              <w:rPr>
                <w:rFonts w:ascii="Arial" w:eastAsia="Calibri" w:hAnsi="Arial" w:cs="Arial"/>
                <w:i/>
                <w:sz w:val="18"/>
                <w:szCs w:val="18"/>
              </w:rPr>
              <w:t xml:space="preserve">10 korisnika </w:t>
            </w:r>
          </w:p>
        </w:tc>
      </w:tr>
      <w:tr w:rsidR="008A3E2E" w:rsidRPr="00676A9B" w14:paraId="0828F58A" w14:textId="77777777" w:rsidTr="00410A4B">
        <w:trPr>
          <w:jc w:val="center"/>
        </w:trPr>
        <w:tc>
          <w:tcPr>
            <w:tcW w:w="1073" w:type="dxa"/>
            <w:vAlign w:val="center"/>
          </w:tcPr>
          <w:p w14:paraId="0BC517D7"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2023</w:t>
            </w:r>
          </w:p>
        </w:tc>
        <w:tc>
          <w:tcPr>
            <w:tcW w:w="1006" w:type="dxa"/>
            <w:vAlign w:val="center"/>
          </w:tcPr>
          <w:p w14:paraId="23304430"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13</w:t>
            </w:r>
          </w:p>
        </w:tc>
        <w:tc>
          <w:tcPr>
            <w:tcW w:w="1272" w:type="dxa"/>
          </w:tcPr>
          <w:p w14:paraId="6435BC5C" w14:textId="77777777" w:rsidR="008A3E2E" w:rsidRPr="00676A9B" w:rsidRDefault="008A3E2E" w:rsidP="00676A9B">
            <w:pPr>
              <w:spacing w:before="100" w:beforeAutospacing="1" w:after="100" w:afterAutospacing="1"/>
              <w:jc w:val="right"/>
              <w:rPr>
                <w:rFonts w:ascii="Arial" w:eastAsia="Calibri" w:hAnsi="Arial" w:cs="Arial"/>
                <w:sz w:val="18"/>
                <w:szCs w:val="18"/>
                <w:lang w:eastAsia="en-US"/>
              </w:rPr>
            </w:pPr>
            <w:r w:rsidRPr="00676A9B">
              <w:rPr>
                <w:rFonts w:ascii="Arial" w:eastAsia="Calibri" w:hAnsi="Arial" w:cs="Arial"/>
                <w:sz w:val="18"/>
                <w:szCs w:val="18"/>
                <w:lang w:eastAsia="en-US"/>
              </w:rPr>
              <w:t>9.790,00</w:t>
            </w:r>
          </w:p>
        </w:tc>
        <w:tc>
          <w:tcPr>
            <w:tcW w:w="9795" w:type="dxa"/>
            <w:vAlign w:val="center"/>
          </w:tcPr>
          <w:p w14:paraId="7C87FE05" w14:textId="77777777" w:rsidR="008A3E2E" w:rsidRPr="00676A9B" w:rsidRDefault="008A3E2E" w:rsidP="00676A9B">
            <w:pPr>
              <w:spacing w:before="100" w:beforeAutospacing="1" w:after="100" w:afterAutospacing="1"/>
              <w:rPr>
                <w:rFonts w:ascii="Arial" w:eastAsia="Calibri" w:hAnsi="Arial" w:cs="Arial"/>
                <w:i/>
                <w:sz w:val="18"/>
                <w:szCs w:val="18"/>
              </w:rPr>
            </w:pPr>
            <w:r w:rsidRPr="00676A9B">
              <w:rPr>
                <w:rFonts w:ascii="Arial" w:eastAsia="Calibri" w:hAnsi="Arial" w:cs="Arial"/>
                <w:i/>
                <w:sz w:val="18"/>
                <w:szCs w:val="18"/>
              </w:rPr>
              <w:t xml:space="preserve">13 korisnika </w:t>
            </w:r>
          </w:p>
        </w:tc>
      </w:tr>
      <w:tr w:rsidR="008A3E2E" w:rsidRPr="00676A9B" w14:paraId="6BE2CFA8" w14:textId="77777777" w:rsidTr="00410A4B">
        <w:trPr>
          <w:jc w:val="center"/>
        </w:trPr>
        <w:tc>
          <w:tcPr>
            <w:tcW w:w="1073" w:type="dxa"/>
            <w:vAlign w:val="center"/>
          </w:tcPr>
          <w:p w14:paraId="26605C04"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2024.</w:t>
            </w:r>
          </w:p>
        </w:tc>
        <w:tc>
          <w:tcPr>
            <w:tcW w:w="1006" w:type="dxa"/>
            <w:vAlign w:val="center"/>
          </w:tcPr>
          <w:p w14:paraId="59B6D7B9" w14:textId="77777777" w:rsidR="008A3E2E" w:rsidRPr="00676A9B" w:rsidRDefault="008A3E2E"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13</w:t>
            </w:r>
          </w:p>
        </w:tc>
        <w:tc>
          <w:tcPr>
            <w:tcW w:w="1272" w:type="dxa"/>
          </w:tcPr>
          <w:p w14:paraId="577176CD" w14:textId="77777777" w:rsidR="008A3E2E" w:rsidRPr="00676A9B" w:rsidRDefault="008A3E2E" w:rsidP="00676A9B">
            <w:pPr>
              <w:spacing w:before="100" w:beforeAutospacing="1" w:after="100" w:afterAutospacing="1"/>
              <w:jc w:val="right"/>
              <w:rPr>
                <w:rFonts w:ascii="Arial" w:eastAsia="Calibri" w:hAnsi="Arial" w:cs="Arial"/>
                <w:sz w:val="18"/>
                <w:szCs w:val="18"/>
                <w:lang w:eastAsia="en-US"/>
              </w:rPr>
            </w:pPr>
            <w:r w:rsidRPr="00676A9B">
              <w:rPr>
                <w:rFonts w:ascii="Arial" w:eastAsia="Calibri" w:hAnsi="Arial" w:cs="Arial"/>
                <w:sz w:val="18"/>
                <w:szCs w:val="18"/>
                <w:lang w:eastAsia="en-US"/>
              </w:rPr>
              <w:t>11.100,00</w:t>
            </w:r>
          </w:p>
        </w:tc>
        <w:tc>
          <w:tcPr>
            <w:tcW w:w="9795" w:type="dxa"/>
            <w:vAlign w:val="center"/>
          </w:tcPr>
          <w:p w14:paraId="36E78B96" w14:textId="77777777" w:rsidR="008A3E2E" w:rsidRPr="00676A9B" w:rsidRDefault="008A3E2E" w:rsidP="00676A9B">
            <w:pPr>
              <w:spacing w:before="100" w:beforeAutospacing="1" w:after="100" w:afterAutospacing="1"/>
              <w:rPr>
                <w:rFonts w:ascii="Arial" w:eastAsia="Calibri" w:hAnsi="Arial" w:cs="Arial"/>
                <w:i/>
                <w:sz w:val="18"/>
                <w:szCs w:val="18"/>
              </w:rPr>
            </w:pPr>
            <w:r w:rsidRPr="00676A9B">
              <w:rPr>
                <w:rFonts w:ascii="Arial" w:eastAsia="Calibri" w:hAnsi="Arial" w:cs="Arial"/>
                <w:i/>
                <w:sz w:val="18"/>
                <w:szCs w:val="18"/>
              </w:rPr>
              <w:t xml:space="preserve">13 korisnika </w:t>
            </w:r>
          </w:p>
        </w:tc>
      </w:tr>
      <w:tr w:rsidR="008A3E2E" w:rsidRPr="00676A9B" w14:paraId="50CDDFAD" w14:textId="77777777" w:rsidTr="00410A4B">
        <w:trPr>
          <w:jc w:val="center"/>
        </w:trPr>
        <w:tc>
          <w:tcPr>
            <w:tcW w:w="1073" w:type="dxa"/>
            <w:vAlign w:val="center"/>
          </w:tcPr>
          <w:p w14:paraId="388D165C" w14:textId="18F8B371" w:rsidR="008A3E2E" w:rsidRPr="00676A9B" w:rsidRDefault="008A3E2E" w:rsidP="00676A9B">
            <w:pPr>
              <w:spacing w:before="100" w:beforeAutospacing="1" w:after="100" w:afterAutospacing="1"/>
              <w:jc w:val="center"/>
              <w:rPr>
                <w:rFonts w:ascii="Arial" w:hAnsi="Arial" w:cs="Arial"/>
                <w:sz w:val="18"/>
                <w:szCs w:val="18"/>
              </w:rPr>
            </w:pPr>
            <w:r>
              <w:rPr>
                <w:rFonts w:ascii="Arial" w:hAnsi="Arial" w:cs="Arial"/>
                <w:sz w:val="18"/>
                <w:szCs w:val="18"/>
              </w:rPr>
              <w:t>2025.</w:t>
            </w:r>
          </w:p>
        </w:tc>
        <w:tc>
          <w:tcPr>
            <w:tcW w:w="1006" w:type="dxa"/>
            <w:vAlign w:val="center"/>
          </w:tcPr>
          <w:p w14:paraId="179FAA41" w14:textId="098CCADD" w:rsidR="008A3E2E" w:rsidRPr="00676A9B" w:rsidRDefault="008A3E2E" w:rsidP="00676A9B">
            <w:pPr>
              <w:spacing w:before="100" w:beforeAutospacing="1" w:after="100" w:afterAutospacing="1"/>
              <w:jc w:val="center"/>
              <w:rPr>
                <w:rFonts w:ascii="Arial" w:hAnsi="Arial" w:cs="Arial"/>
                <w:sz w:val="18"/>
                <w:szCs w:val="18"/>
              </w:rPr>
            </w:pPr>
            <w:r>
              <w:rPr>
                <w:rFonts w:ascii="Arial" w:hAnsi="Arial" w:cs="Arial"/>
                <w:sz w:val="18"/>
                <w:szCs w:val="18"/>
              </w:rPr>
              <w:t>15 / 16</w:t>
            </w:r>
          </w:p>
        </w:tc>
        <w:tc>
          <w:tcPr>
            <w:tcW w:w="1272" w:type="dxa"/>
          </w:tcPr>
          <w:p w14:paraId="0D37445D" w14:textId="4B750E67" w:rsidR="008A3E2E" w:rsidRPr="00676A9B" w:rsidRDefault="008A3E2E" w:rsidP="00676A9B">
            <w:pPr>
              <w:spacing w:before="100" w:beforeAutospacing="1" w:after="100" w:afterAutospacing="1"/>
              <w:jc w:val="right"/>
              <w:rPr>
                <w:rFonts w:ascii="Arial" w:eastAsia="Calibri" w:hAnsi="Arial" w:cs="Arial"/>
                <w:sz w:val="18"/>
                <w:szCs w:val="18"/>
                <w:lang w:eastAsia="en-US"/>
              </w:rPr>
            </w:pPr>
            <w:r>
              <w:rPr>
                <w:rFonts w:ascii="Arial" w:eastAsia="Calibri" w:hAnsi="Arial" w:cs="Arial"/>
                <w:sz w:val="18"/>
                <w:szCs w:val="18"/>
                <w:lang w:eastAsia="en-US"/>
              </w:rPr>
              <w:t>12.660,00</w:t>
            </w:r>
          </w:p>
        </w:tc>
        <w:tc>
          <w:tcPr>
            <w:tcW w:w="9795" w:type="dxa"/>
            <w:vAlign w:val="center"/>
          </w:tcPr>
          <w:p w14:paraId="1C46523E" w14:textId="2F3CCF67" w:rsidR="008A3E2E" w:rsidRPr="00676A9B" w:rsidRDefault="008A3E2E" w:rsidP="00676A9B">
            <w:pPr>
              <w:spacing w:before="100" w:beforeAutospacing="1" w:after="100" w:afterAutospacing="1"/>
              <w:rPr>
                <w:rFonts w:ascii="Arial" w:eastAsia="Calibri" w:hAnsi="Arial" w:cs="Arial"/>
                <w:i/>
                <w:sz w:val="18"/>
                <w:szCs w:val="18"/>
              </w:rPr>
            </w:pPr>
            <w:r w:rsidRPr="008A3E2E">
              <w:rPr>
                <w:rFonts w:ascii="Arial" w:eastAsia="Calibri" w:hAnsi="Arial" w:cs="Arial"/>
                <w:i/>
                <w:sz w:val="18"/>
                <w:szCs w:val="18"/>
              </w:rPr>
              <w:t xml:space="preserve">15 </w:t>
            </w:r>
            <w:r>
              <w:rPr>
                <w:rFonts w:ascii="Arial" w:eastAsia="Calibri" w:hAnsi="Arial" w:cs="Arial"/>
                <w:i/>
                <w:sz w:val="18"/>
                <w:szCs w:val="18"/>
              </w:rPr>
              <w:t>korisnika</w:t>
            </w:r>
            <w:r w:rsidRPr="008A3E2E">
              <w:rPr>
                <w:rFonts w:ascii="Arial" w:eastAsia="Calibri" w:hAnsi="Arial" w:cs="Arial"/>
                <w:i/>
                <w:sz w:val="18"/>
                <w:szCs w:val="18"/>
              </w:rPr>
              <w:t xml:space="preserve"> do svibnja 2026., a nakon toga do kraja godine 16 </w:t>
            </w:r>
            <w:r>
              <w:rPr>
                <w:rFonts w:ascii="Arial" w:eastAsia="Calibri" w:hAnsi="Arial" w:cs="Arial"/>
                <w:i/>
                <w:sz w:val="18"/>
                <w:szCs w:val="18"/>
              </w:rPr>
              <w:t>korisnika</w:t>
            </w:r>
            <w:r w:rsidRPr="008A3E2E">
              <w:rPr>
                <w:rFonts w:ascii="Arial" w:eastAsia="Calibri" w:hAnsi="Arial" w:cs="Arial"/>
                <w:i/>
                <w:sz w:val="18"/>
                <w:szCs w:val="18"/>
              </w:rPr>
              <w:t xml:space="preserve"> mjesečno</w:t>
            </w:r>
          </w:p>
        </w:tc>
      </w:tr>
    </w:tbl>
    <w:p w14:paraId="77455BE2" w14:textId="77777777" w:rsidR="00676A9B" w:rsidRPr="00676A9B" w:rsidRDefault="00676A9B" w:rsidP="00676A9B">
      <w:pPr>
        <w:spacing w:after="0" w:line="240" w:lineRule="auto"/>
        <w:jc w:val="both"/>
        <w:rPr>
          <w:rFonts w:ascii="Arial" w:eastAsia="Calibri" w:hAnsi="Arial" w:cs="Arial"/>
          <w:sz w:val="20"/>
          <w:szCs w:val="20"/>
          <w:lang w:eastAsia="en-US"/>
        </w:rPr>
      </w:pPr>
    </w:p>
    <w:tbl>
      <w:tblPr>
        <w:tblStyle w:val="Reetkatablice536"/>
        <w:tblW w:w="14246" w:type="dxa"/>
        <w:tblInd w:w="-5" w:type="dxa"/>
        <w:tblLayout w:type="fixed"/>
        <w:tblLook w:val="04A0" w:firstRow="1" w:lastRow="0" w:firstColumn="1" w:lastColumn="0" w:noHBand="0" w:noVBand="1"/>
      </w:tblPr>
      <w:tblGrid>
        <w:gridCol w:w="2552"/>
        <w:gridCol w:w="3261"/>
        <w:gridCol w:w="1099"/>
        <w:gridCol w:w="1134"/>
        <w:gridCol w:w="1232"/>
        <w:gridCol w:w="1242"/>
        <w:gridCol w:w="1242"/>
        <w:gridCol w:w="1242"/>
        <w:gridCol w:w="1242"/>
      </w:tblGrid>
      <w:tr w:rsidR="00676A9B" w:rsidRPr="00676A9B" w14:paraId="315EA5D7" w14:textId="77777777" w:rsidTr="00410A4B">
        <w:tc>
          <w:tcPr>
            <w:tcW w:w="255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AE2F70C"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326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02C4A46"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0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E2A1AC6"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051F260"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2CC1B8E" w14:textId="12BC4D8D"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8A3E2E">
              <w:rPr>
                <w:rFonts w:ascii="Arial" w:eastAsia="Calibri" w:hAnsi="Arial" w:cs="Arial"/>
                <w:lang w:eastAsia="en-US"/>
              </w:rPr>
              <w:t>4</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B49BF6B" w14:textId="28DD663D"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8A3E2E">
              <w:rPr>
                <w:rFonts w:ascii="Arial" w:eastAsia="Calibri" w:hAnsi="Arial" w:cs="Arial"/>
                <w:lang w:eastAsia="en-US"/>
              </w:rPr>
              <w:t>5</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7416BDB" w14:textId="54946AB6"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8A3E2E">
              <w:rPr>
                <w:rFonts w:ascii="Arial" w:eastAsia="Calibri" w:hAnsi="Arial" w:cs="Arial"/>
                <w:lang w:eastAsia="en-US"/>
              </w:rPr>
              <w:t>5</w:t>
            </w:r>
            <w:r w:rsidRPr="00676A9B">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tcPr>
          <w:p w14:paraId="73D35E0A" w14:textId="022197E6"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8A3E2E">
              <w:rPr>
                <w:rFonts w:ascii="Arial" w:eastAsia="Calibri" w:hAnsi="Arial" w:cs="Arial"/>
                <w:lang w:eastAsia="en-US"/>
              </w:rPr>
              <w:t>6</w:t>
            </w:r>
            <w:r w:rsidRPr="00676A9B">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hideMark/>
          </w:tcPr>
          <w:p w14:paraId="0ECB894A" w14:textId="1D33B52B"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8A3E2E">
              <w:rPr>
                <w:rFonts w:ascii="Arial" w:eastAsia="Calibri" w:hAnsi="Arial" w:cs="Arial"/>
                <w:lang w:eastAsia="en-US"/>
              </w:rPr>
              <w:t>7</w:t>
            </w:r>
            <w:r w:rsidRPr="00676A9B">
              <w:rPr>
                <w:rFonts w:ascii="Arial" w:eastAsia="Calibri" w:hAnsi="Arial" w:cs="Arial"/>
                <w:lang w:eastAsia="en-US"/>
              </w:rPr>
              <w:t>.</w:t>
            </w:r>
          </w:p>
        </w:tc>
      </w:tr>
      <w:tr w:rsidR="00676A9B" w:rsidRPr="00676A9B" w14:paraId="2AD2B703" w14:textId="77777777" w:rsidTr="00410A4B">
        <w:trPr>
          <w:trHeight w:val="699"/>
        </w:trPr>
        <w:tc>
          <w:tcPr>
            <w:tcW w:w="2552" w:type="dxa"/>
          </w:tcPr>
          <w:p w14:paraId="170CE74C"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rPr>
              <w:t>Povećanje broja korisnika novčane pomoći u slučajevima socijalne potrebe</w:t>
            </w:r>
          </w:p>
        </w:tc>
        <w:tc>
          <w:tcPr>
            <w:tcW w:w="3261" w:type="dxa"/>
          </w:tcPr>
          <w:p w14:paraId="65121F4E" w14:textId="77777777" w:rsidR="00676A9B" w:rsidRPr="00676A9B" w:rsidRDefault="00676A9B" w:rsidP="00676A9B">
            <w:pPr>
              <w:autoSpaceDE w:val="0"/>
              <w:autoSpaceDN w:val="0"/>
              <w:adjustRightInd w:val="0"/>
              <w:rPr>
                <w:rFonts w:ascii="Arial" w:hAnsi="Arial" w:cs="Arial"/>
                <w:sz w:val="18"/>
                <w:szCs w:val="18"/>
                <w:lang w:eastAsia="en-US"/>
              </w:rPr>
            </w:pPr>
            <w:r w:rsidRPr="00676A9B">
              <w:rPr>
                <w:rFonts w:ascii="Arial" w:hAnsi="Arial" w:cs="Arial"/>
                <w:sz w:val="18"/>
                <w:szCs w:val="18"/>
              </w:rPr>
              <w:t>Podrška korisnicima (samcima i obitelji) u podmirenju osnovnih životnih potreba isplatama pomoći u novcu</w:t>
            </w:r>
          </w:p>
        </w:tc>
        <w:tc>
          <w:tcPr>
            <w:tcW w:w="1099" w:type="dxa"/>
            <w:tcBorders>
              <w:top w:val="single" w:sz="4" w:space="0" w:color="auto"/>
              <w:left w:val="single" w:sz="4" w:space="0" w:color="auto"/>
              <w:bottom w:val="single" w:sz="4" w:space="0" w:color="auto"/>
              <w:right w:val="single" w:sz="4" w:space="0" w:color="auto"/>
            </w:tcBorders>
            <w:vAlign w:val="center"/>
            <w:hideMark/>
          </w:tcPr>
          <w:p w14:paraId="0347E53B" w14:textId="1DDAF8DA" w:rsidR="00676A9B" w:rsidRPr="00676A9B" w:rsidRDefault="005D436C" w:rsidP="00676A9B">
            <w:pPr>
              <w:jc w:val="center"/>
              <w:rPr>
                <w:rFonts w:ascii="Arial" w:hAnsi="Arial" w:cs="Arial"/>
                <w:sz w:val="18"/>
                <w:szCs w:val="18"/>
                <w:lang w:eastAsia="en-US"/>
              </w:rPr>
            </w:pPr>
            <w:r>
              <w:rPr>
                <w:rFonts w:ascii="Arial" w:hAnsi="Arial" w:cs="Arial"/>
                <w:sz w:val="18"/>
                <w:szCs w:val="18"/>
                <w:lang w:eastAsia="en-US"/>
              </w:rPr>
              <w:t>Postotak usvojenih zahtjeva, odnosno broj korisnika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31BF81"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hideMark/>
          </w:tcPr>
          <w:p w14:paraId="5AF52B1E" w14:textId="77777777" w:rsid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100 %</w:t>
            </w:r>
          </w:p>
          <w:p w14:paraId="278CA51D" w14:textId="1BC32559" w:rsidR="005D436C" w:rsidRPr="00676A9B" w:rsidRDefault="005D436C" w:rsidP="00676A9B">
            <w:pPr>
              <w:jc w:val="center"/>
              <w:rPr>
                <w:rFonts w:ascii="Arial" w:hAnsi="Arial" w:cs="Arial"/>
                <w:sz w:val="18"/>
                <w:szCs w:val="18"/>
                <w:lang w:eastAsia="en-US"/>
              </w:rPr>
            </w:pPr>
            <w:r>
              <w:rPr>
                <w:rFonts w:ascii="Arial" w:hAnsi="Arial" w:cs="Arial"/>
                <w:sz w:val="18"/>
                <w:szCs w:val="18"/>
                <w:lang w:eastAsia="en-US"/>
              </w:rPr>
              <w:t>(13 korisnika)</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59A70DA5"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100 %</w:t>
            </w:r>
          </w:p>
        </w:tc>
        <w:tc>
          <w:tcPr>
            <w:tcW w:w="1242" w:type="dxa"/>
            <w:tcBorders>
              <w:top w:val="single" w:sz="4" w:space="0" w:color="000000"/>
              <w:left w:val="single" w:sz="4" w:space="0" w:color="000000"/>
              <w:bottom w:val="single" w:sz="4" w:space="0" w:color="000000"/>
              <w:right w:val="single" w:sz="4" w:space="0" w:color="000000"/>
            </w:tcBorders>
            <w:vAlign w:val="center"/>
          </w:tcPr>
          <w:p w14:paraId="4B29C13E" w14:textId="77777777" w:rsid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100 %</w:t>
            </w:r>
          </w:p>
          <w:p w14:paraId="78C3510C" w14:textId="384E3DDB" w:rsidR="005D436C" w:rsidRPr="00676A9B" w:rsidRDefault="005D436C" w:rsidP="00676A9B">
            <w:pPr>
              <w:jc w:val="center"/>
              <w:rPr>
                <w:rFonts w:ascii="Arial" w:hAnsi="Arial" w:cs="Arial"/>
                <w:sz w:val="18"/>
                <w:szCs w:val="18"/>
                <w:lang w:eastAsia="en-US"/>
              </w:rPr>
            </w:pPr>
            <w:r>
              <w:rPr>
                <w:rFonts w:ascii="Arial" w:hAnsi="Arial" w:cs="Arial"/>
                <w:sz w:val="18"/>
                <w:szCs w:val="18"/>
                <w:lang w:eastAsia="en-US"/>
              </w:rPr>
              <w:t>(15, odnosno 16 korisnika)</w:t>
            </w:r>
          </w:p>
        </w:tc>
        <w:tc>
          <w:tcPr>
            <w:tcW w:w="1242" w:type="dxa"/>
            <w:tcBorders>
              <w:top w:val="single" w:sz="4" w:space="0" w:color="000000"/>
              <w:left w:val="single" w:sz="4" w:space="0" w:color="000000"/>
              <w:bottom w:val="single" w:sz="4" w:space="0" w:color="000000"/>
              <w:right w:val="single" w:sz="4" w:space="0" w:color="000000"/>
            </w:tcBorders>
            <w:vAlign w:val="center"/>
          </w:tcPr>
          <w:p w14:paraId="78093EF4"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100 %</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15C111C0"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100 %</w:t>
            </w:r>
          </w:p>
        </w:tc>
      </w:tr>
    </w:tbl>
    <w:p w14:paraId="70C3B3C5" w14:textId="77777777" w:rsidR="00676A9B" w:rsidRPr="00676A9B" w:rsidRDefault="00676A9B" w:rsidP="00676A9B">
      <w:pPr>
        <w:spacing w:after="0" w:line="240" w:lineRule="auto"/>
        <w:jc w:val="both"/>
        <w:rPr>
          <w:rFonts w:ascii="Arial" w:eastAsia="Calibri" w:hAnsi="Arial" w:cs="Arial"/>
          <w:sz w:val="20"/>
          <w:szCs w:val="20"/>
        </w:rPr>
      </w:pPr>
    </w:p>
    <w:p w14:paraId="1ED489EC" w14:textId="551C5E7B" w:rsidR="00676A9B" w:rsidRPr="00676A9B" w:rsidRDefault="00676A9B" w:rsidP="00676A9B">
      <w:pPr>
        <w:spacing w:after="0" w:line="240" w:lineRule="auto"/>
        <w:jc w:val="both"/>
        <w:rPr>
          <w:rFonts w:ascii="Arial" w:eastAsia="Calibri" w:hAnsi="Arial" w:cs="Arial"/>
          <w:sz w:val="20"/>
          <w:szCs w:val="20"/>
        </w:rPr>
      </w:pPr>
      <w:bookmarkStart w:id="412" w:name="_Hlk134798583"/>
      <w:r w:rsidRPr="00676A9B">
        <w:rPr>
          <w:rFonts w:ascii="Arial" w:eastAsia="Calibri" w:hAnsi="Arial" w:cs="Arial"/>
          <w:b/>
          <w:sz w:val="20"/>
          <w:szCs w:val="20"/>
        </w:rPr>
        <w:t xml:space="preserve">6. A204107: Pomoć za podmirenje boravka djece u dječjem vrtiću </w:t>
      </w:r>
      <w:r w:rsidRPr="00676A9B">
        <w:rPr>
          <w:rFonts w:ascii="Arial" w:eastAsia="Calibri" w:hAnsi="Arial" w:cs="Arial"/>
          <w:sz w:val="20"/>
          <w:szCs w:val="20"/>
        </w:rPr>
        <w:t>– u sklopu navedene aktivnosti se planiraju rashodi za pomoći za podmirenje troškova boravka djece u vrtiću u skladu s Programom demografskih mjera i socijalno zdravstvenih potreba. Planirana sredstva za provođenje navedene aktivnosti iznose 1</w:t>
      </w:r>
      <w:r w:rsidR="005D436C">
        <w:rPr>
          <w:rFonts w:ascii="Arial" w:eastAsia="Calibri" w:hAnsi="Arial" w:cs="Arial"/>
          <w:sz w:val="20"/>
          <w:szCs w:val="20"/>
        </w:rPr>
        <w:t>5</w:t>
      </w:r>
      <w:r w:rsidRPr="00676A9B">
        <w:rPr>
          <w:rFonts w:ascii="Arial" w:eastAsia="Calibri" w:hAnsi="Arial" w:cs="Arial"/>
          <w:sz w:val="20"/>
          <w:szCs w:val="20"/>
        </w:rPr>
        <w:t xml:space="preserve">.000 €. Rashodi su izvršeni u iznosu </w:t>
      </w:r>
      <w:r w:rsidR="005D436C">
        <w:rPr>
          <w:rFonts w:ascii="Arial" w:eastAsia="Calibri" w:hAnsi="Arial" w:cs="Arial"/>
          <w:sz w:val="20"/>
          <w:szCs w:val="20"/>
        </w:rPr>
        <w:t>14.427,93</w:t>
      </w:r>
      <w:r w:rsidRPr="00676A9B">
        <w:rPr>
          <w:rFonts w:ascii="Arial" w:eastAsia="Calibri" w:hAnsi="Arial" w:cs="Arial"/>
          <w:sz w:val="20"/>
          <w:szCs w:val="20"/>
        </w:rPr>
        <w:t xml:space="preserve"> € temeljem prava iz područja socijalne skrbi (samohrani roditelji, djeca HRVI, djeca s teškoćama u razvoju, djeca korisnika na temelju rješenja Centra za socijalnu skrb). </w:t>
      </w:r>
      <w:bookmarkStart w:id="413" w:name="_Hlk66269895"/>
    </w:p>
    <w:p w14:paraId="5ABBF83A" w14:textId="77777777" w:rsidR="00676A9B" w:rsidRPr="00676A9B" w:rsidRDefault="00676A9B" w:rsidP="00676A9B">
      <w:pPr>
        <w:spacing w:after="0" w:line="240" w:lineRule="auto"/>
        <w:ind w:left="567"/>
        <w:jc w:val="both"/>
        <w:rPr>
          <w:rFonts w:ascii="Arial" w:eastAsia="Calibri" w:hAnsi="Arial" w:cs="Arial"/>
          <w:sz w:val="18"/>
          <w:szCs w:val="18"/>
        </w:rPr>
      </w:pPr>
    </w:p>
    <w:p w14:paraId="79DEBC2D" w14:textId="4DA9BA2C" w:rsidR="00676A9B" w:rsidRDefault="005D436C" w:rsidP="00676A9B">
      <w:pPr>
        <w:spacing w:after="0" w:line="240" w:lineRule="auto"/>
        <w:jc w:val="both"/>
        <w:rPr>
          <w:rFonts w:ascii="Arial" w:eastAsia="Calibri" w:hAnsi="Arial" w:cs="Arial"/>
          <w:sz w:val="20"/>
          <w:szCs w:val="20"/>
        </w:rPr>
      </w:pPr>
      <w:bookmarkStart w:id="414" w:name="_Hlk230539757"/>
      <w:bookmarkStart w:id="415" w:name="_Hlk103254022"/>
      <w:bookmarkEnd w:id="412"/>
      <w:r w:rsidRPr="005D436C">
        <w:rPr>
          <w:rFonts w:ascii="Arial" w:eastAsia="Calibri" w:hAnsi="Arial" w:cs="Arial"/>
          <w:sz w:val="20"/>
          <w:szCs w:val="20"/>
        </w:rPr>
        <w:t xml:space="preserve">U </w:t>
      </w:r>
      <w:r w:rsidRPr="005D436C">
        <w:rPr>
          <w:rFonts w:ascii="Arial" w:eastAsia="Calibri" w:hAnsi="Arial" w:cs="Arial"/>
          <w:b/>
          <w:bCs/>
          <w:sz w:val="20"/>
          <w:szCs w:val="20"/>
        </w:rPr>
        <w:t>2025</w:t>
      </w:r>
      <w:r w:rsidRPr="005D436C">
        <w:rPr>
          <w:rFonts w:ascii="Arial" w:eastAsia="Calibri" w:hAnsi="Arial" w:cs="Arial"/>
          <w:sz w:val="20"/>
          <w:szCs w:val="20"/>
        </w:rPr>
        <w:t>. godine je korištena olakšica za prosječno 17 djece / korisnika iz područja socijalne skrbi (djeca na temelju rješenja Centra za socijalnu skrb, djeca samohranih roditelja, djeca HRVI, djeca s teškoćama u razvoju). Ukupno izvršena sredstva za 2025. godinu u okviru ove aktivnosti iznose 14.427,93 € (samohrani roditelj 2 djece do lipnja 2025. nakon čega nije bilo ovih korisnika; djeca s teškoćama u razvoju 11 do 18 korisnika – prosjek 13; djeca HRV i civilnih invalida 2 korisnika i djeca korisnika po rješenjima Centra za socijalnu skrb Dubrovnik 1 do lipnja 2025. nakon čega nije bilo ovih korisnika).</w:t>
      </w:r>
    </w:p>
    <w:bookmarkEnd w:id="414"/>
    <w:p w14:paraId="62F942ED" w14:textId="77777777" w:rsidR="005D436C" w:rsidRPr="00676A9B" w:rsidRDefault="005D436C" w:rsidP="00676A9B">
      <w:pPr>
        <w:spacing w:after="0" w:line="240" w:lineRule="auto"/>
        <w:jc w:val="both"/>
        <w:rPr>
          <w:rFonts w:ascii="Arial" w:eastAsia="Calibri" w:hAnsi="Arial" w:cs="Arial"/>
          <w:sz w:val="20"/>
          <w:szCs w:val="20"/>
          <w:lang w:eastAsia="en-US"/>
        </w:rPr>
      </w:pPr>
    </w:p>
    <w:p w14:paraId="70E5FE69" w14:textId="77777777" w:rsidR="00676A9B" w:rsidRPr="00676A9B" w:rsidRDefault="00676A9B" w:rsidP="00676A9B">
      <w:pPr>
        <w:spacing w:after="0" w:line="240" w:lineRule="auto"/>
        <w:jc w:val="both"/>
        <w:rPr>
          <w:rFonts w:ascii="Arial" w:eastAsia="Calibri" w:hAnsi="Arial" w:cs="Arial"/>
          <w:i/>
          <w:sz w:val="20"/>
          <w:szCs w:val="20"/>
          <w:lang w:eastAsia="en-US"/>
        </w:rPr>
      </w:pPr>
      <w:r w:rsidRPr="00676A9B">
        <w:rPr>
          <w:rFonts w:ascii="Arial" w:eastAsia="Calibri" w:hAnsi="Arial" w:cs="Arial"/>
          <w:i/>
          <w:sz w:val="20"/>
          <w:szCs w:val="20"/>
          <w:lang w:eastAsia="en-US"/>
        </w:rPr>
        <w:lastRenderedPageBreak/>
        <w:t>*Usporedba:</w:t>
      </w:r>
    </w:p>
    <w:p w14:paraId="425DE9EC" w14:textId="77777777" w:rsidR="00676A9B" w:rsidRPr="00676A9B" w:rsidRDefault="00676A9B" w:rsidP="00676A9B">
      <w:pPr>
        <w:spacing w:after="0" w:line="240" w:lineRule="auto"/>
        <w:ind w:left="567"/>
        <w:jc w:val="both"/>
        <w:rPr>
          <w:rFonts w:ascii="Arial" w:eastAsia="Calibri" w:hAnsi="Arial" w:cs="Arial"/>
          <w:i/>
          <w:sz w:val="18"/>
          <w:szCs w:val="18"/>
          <w:lang w:eastAsia="en-US"/>
        </w:rPr>
      </w:pPr>
      <w:r w:rsidRPr="00676A9B">
        <w:rPr>
          <w:rFonts w:ascii="Arial" w:eastAsia="Calibri" w:hAnsi="Arial" w:cs="Arial"/>
          <w:i/>
          <w:sz w:val="18"/>
          <w:szCs w:val="18"/>
          <w:lang w:eastAsia="en-US"/>
        </w:rPr>
        <w:t xml:space="preserve">Od 2019. ovi rashodi se izvršavaju kroz Program socijalne skrbi (A204107) i kroz Program demografskih mjera (A204001). </w:t>
      </w:r>
    </w:p>
    <w:p w14:paraId="27E3CC3E" w14:textId="77777777" w:rsidR="00676A9B" w:rsidRPr="00676A9B" w:rsidRDefault="00676A9B" w:rsidP="00676A9B">
      <w:pPr>
        <w:spacing w:after="0" w:line="240" w:lineRule="auto"/>
        <w:jc w:val="both"/>
        <w:rPr>
          <w:rFonts w:ascii="Arial" w:eastAsia="Calibri" w:hAnsi="Arial" w:cs="Arial"/>
          <w:i/>
          <w:sz w:val="8"/>
          <w:szCs w:val="8"/>
          <w:lang w:eastAsia="en-US"/>
        </w:rPr>
      </w:pPr>
    </w:p>
    <w:tbl>
      <w:tblPr>
        <w:tblStyle w:val="Reetkatablice66"/>
        <w:tblW w:w="14454" w:type="dxa"/>
        <w:jc w:val="right"/>
        <w:tblLook w:val="04A0" w:firstRow="1" w:lastRow="0" w:firstColumn="1" w:lastColumn="0" w:noHBand="0" w:noVBand="1"/>
      </w:tblPr>
      <w:tblGrid>
        <w:gridCol w:w="846"/>
        <w:gridCol w:w="1129"/>
        <w:gridCol w:w="997"/>
        <w:gridCol w:w="3827"/>
        <w:gridCol w:w="1343"/>
        <w:gridCol w:w="1017"/>
        <w:gridCol w:w="5295"/>
      </w:tblGrid>
      <w:tr w:rsidR="00676A9B" w:rsidRPr="00676A9B" w14:paraId="04201646" w14:textId="77777777" w:rsidTr="005D436C">
        <w:trPr>
          <w:trHeight w:val="307"/>
          <w:jc w:val="right"/>
        </w:trPr>
        <w:tc>
          <w:tcPr>
            <w:tcW w:w="6799" w:type="dxa"/>
            <w:gridSpan w:val="4"/>
            <w:shd w:val="clear" w:color="auto" w:fill="C6D9F1" w:themeFill="text2" w:themeFillTint="33"/>
            <w:vAlign w:val="center"/>
          </w:tcPr>
          <w:p w14:paraId="691F2144" w14:textId="77777777" w:rsidR="00676A9B" w:rsidRPr="00676A9B" w:rsidRDefault="00676A9B" w:rsidP="00676A9B">
            <w:pPr>
              <w:jc w:val="center"/>
              <w:rPr>
                <w:rFonts w:ascii="Arial" w:hAnsi="Arial" w:cs="Arial"/>
                <w:i/>
                <w:sz w:val="18"/>
                <w:szCs w:val="18"/>
                <w:lang w:eastAsia="en-US"/>
              </w:rPr>
            </w:pPr>
            <w:r w:rsidRPr="00676A9B">
              <w:rPr>
                <w:rFonts w:ascii="Arial" w:hAnsi="Arial" w:cs="Arial"/>
                <w:i/>
                <w:sz w:val="18"/>
                <w:szCs w:val="18"/>
                <w:lang w:eastAsia="en-US"/>
              </w:rPr>
              <w:t>Socijalna skrb: A204107</w:t>
            </w:r>
          </w:p>
        </w:tc>
        <w:tc>
          <w:tcPr>
            <w:tcW w:w="7655" w:type="dxa"/>
            <w:gridSpan w:val="3"/>
            <w:shd w:val="clear" w:color="auto" w:fill="EAF1DD" w:themeFill="accent3" w:themeFillTint="33"/>
            <w:vAlign w:val="center"/>
          </w:tcPr>
          <w:p w14:paraId="6A4C1720" w14:textId="77777777" w:rsidR="00676A9B" w:rsidRPr="00676A9B" w:rsidRDefault="00676A9B" w:rsidP="00676A9B">
            <w:pPr>
              <w:jc w:val="center"/>
              <w:rPr>
                <w:rFonts w:ascii="Arial" w:hAnsi="Arial" w:cs="Arial"/>
                <w:i/>
                <w:sz w:val="18"/>
                <w:szCs w:val="18"/>
                <w:lang w:eastAsia="en-US"/>
              </w:rPr>
            </w:pPr>
            <w:r w:rsidRPr="00676A9B">
              <w:rPr>
                <w:rFonts w:ascii="Arial" w:hAnsi="Arial" w:cs="Arial"/>
                <w:i/>
                <w:sz w:val="18"/>
                <w:szCs w:val="18"/>
                <w:lang w:eastAsia="en-US"/>
              </w:rPr>
              <w:t>Demografske mjere: A204001</w:t>
            </w:r>
          </w:p>
        </w:tc>
      </w:tr>
      <w:tr w:rsidR="00676A9B" w:rsidRPr="00676A9B" w14:paraId="4A87AE6F" w14:textId="77777777" w:rsidTr="00410A4B">
        <w:trPr>
          <w:trHeight w:val="366"/>
          <w:jc w:val="right"/>
        </w:trPr>
        <w:tc>
          <w:tcPr>
            <w:tcW w:w="846" w:type="dxa"/>
            <w:vAlign w:val="center"/>
          </w:tcPr>
          <w:p w14:paraId="5E032144" w14:textId="77777777" w:rsidR="00676A9B" w:rsidRPr="00676A9B" w:rsidRDefault="00676A9B" w:rsidP="00676A9B">
            <w:pPr>
              <w:jc w:val="center"/>
              <w:rPr>
                <w:rFonts w:ascii="Arial" w:hAnsi="Arial" w:cs="Arial"/>
                <w:i/>
                <w:sz w:val="18"/>
                <w:szCs w:val="18"/>
                <w:lang w:eastAsia="en-US"/>
              </w:rPr>
            </w:pPr>
            <w:r w:rsidRPr="00676A9B">
              <w:rPr>
                <w:rFonts w:ascii="Arial" w:hAnsi="Arial" w:cs="Arial"/>
                <w:i/>
                <w:sz w:val="18"/>
                <w:szCs w:val="18"/>
                <w:lang w:eastAsia="en-US"/>
              </w:rPr>
              <w:t>Godina</w:t>
            </w:r>
          </w:p>
        </w:tc>
        <w:tc>
          <w:tcPr>
            <w:tcW w:w="1129" w:type="dxa"/>
            <w:vAlign w:val="center"/>
          </w:tcPr>
          <w:p w14:paraId="3920237E" w14:textId="77777777" w:rsidR="00676A9B" w:rsidRPr="00676A9B" w:rsidRDefault="00676A9B" w:rsidP="00676A9B">
            <w:pPr>
              <w:jc w:val="center"/>
              <w:rPr>
                <w:rFonts w:ascii="Arial" w:hAnsi="Arial" w:cs="Arial"/>
                <w:i/>
                <w:sz w:val="18"/>
                <w:szCs w:val="18"/>
                <w:lang w:eastAsia="en-US"/>
              </w:rPr>
            </w:pPr>
            <w:r w:rsidRPr="00676A9B">
              <w:rPr>
                <w:rFonts w:ascii="Arial" w:hAnsi="Arial" w:cs="Arial"/>
                <w:i/>
                <w:sz w:val="18"/>
                <w:szCs w:val="18"/>
                <w:lang w:eastAsia="en-US"/>
              </w:rPr>
              <w:t>broj korisnika (prosjek)</w:t>
            </w:r>
          </w:p>
        </w:tc>
        <w:tc>
          <w:tcPr>
            <w:tcW w:w="997" w:type="dxa"/>
            <w:vAlign w:val="center"/>
          </w:tcPr>
          <w:p w14:paraId="20FE60EE" w14:textId="77777777" w:rsidR="00676A9B" w:rsidRPr="00676A9B" w:rsidRDefault="00676A9B" w:rsidP="00676A9B">
            <w:pPr>
              <w:jc w:val="center"/>
              <w:rPr>
                <w:rFonts w:ascii="Arial" w:hAnsi="Arial" w:cs="Arial"/>
                <w:i/>
                <w:sz w:val="18"/>
                <w:szCs w:val="18"/>
                <w:lang w:eastAsia="en-US"/>
              </w:rPr>
            </w:pPr>
            <w:r w:rsidRPr="00676A9B">
              <w:rPr>
                <w:rFonts w:ascii="Arial" w:hAnsi="Arial" w:cs="Arial"/>
                <w:i/>
                <w:sz w:val="18"/>
                <w:szCs w:val="18"/>
                <w:lang w:eastAsia="en-US"/>
              </w:rPr>
              <w:t>iznos rashoda (€)</w:t>
            </w:r>
          </w:p>
        </w:tc>
        <w:tc>
          <w:tcPr>
            <w:tcW w:w="3827" w:type="dxa"/>
            <w:vAlign w:val="center"/>
          </w:tcPr>
          <w:p w14:paraId="59D9613A" w14:textId="77777777" w:rsidR="00676A9B" w:rsidRPr="00676A9B" w:rsidRDefault="00676A9B" w:rsidP="00676A9B">
            <w:pPr>
              <w:jc w:val="center"/>
              <w:rPr>
                <w:rFonts w:ascii="Arial" w:hAnsi="Arial" w:cs="Arial"/>
                <w:i/>
                <w:sz w:val="18"/>
                <w:szCs w:val="18"/>
                <w:lang w:eastAsia="en-US"/>
              </w:rPr>
            </w:pPr>
            <w:r w:rsidRPr="00676A9B">
              <w:rPr>
                <w:rFonts w:ascii="Arial" w:hAnsi="Arial" w:cs="Arial"/>
                <w:i/>
                <w:sz w:val="18"/>
                <w:szCs w:val="18"/>
                <w:lang w:eastAsia="en-US"/>
              </w:rPr>
              <w:t>Obrazloženje</w:t>
            </w:r>
          </w:p>
        </w:tc>
        <w:tc>
          <w:tcPr>
            <w:tcW w:w="1343" w:type="dxa"/>
            <w:vAlign w:val="center"/>
          </w:tcPr>
          <w:p w14:paraId="0373D4F3" w14:textId="77777777" w:rsidR="00676A9B" w:rsidRPr="00676A9B" w:rsidRDefault="00676A9B" w:rsidP="00676A9B">
            <w:pPr>
              <w:jc w:val="center"/>
              <w:rPr>
                <w:rFonts w:ascii="Arial" w:hAnsi="Arial" w:cs="Arial"/>
                <w:i/>
                <w:sz w:val="18"/>
                <w:szCs w:val="18"/>
                <w:lang w:eastAsia="en-US"/>
              </w:rPr>
            </w:pPr>
            <w:r w:rsidRPr="00676A9B">
              <w:rPr>
                <w:rFonts w:ascii="Arial" w:hAnsi="Arial" w:cs="Arial"/>
                <w:i/>
                <w:sz w:val="18"/>
                <w:szCs w:val="18"/>
                <w:lang w:eastAsia="en-US"/>
              </w:rPr>
              <w:t>broj korisnika (prosjek)</w:t>
            </w:r>
          </w:p>
        </w:tc>
        <w:tc>
          <w:tcPr>
            <w:tcW w:w="1017" w:type="dxa"/>
            <w:vAlign w:val="center"/>
          </w:tcPr>
          <w:p w14:paraId="0DBD30D1" w14:textId="77777777" w:rsidR="00676A9B" w:rsidRPr="00676A9B" w:rsidRDefault="00676A9B" w:rsidP="00676A9B">
            <w:pPr>
              <w:jc w:val="center"/>
              <w:rPr>
                <w:rFonts w:ascii="Arial" w:hAnsi="Arial" w:cs="Arial"/>
                <w:i/>
                <w:sz w:val="18"/>
                <w:szCs w:val="18"/>
                <w:lang w:eastAsia="en-US"/>
              </w:rPr>
            </w:pPr>
            <w:r w:rsidRPr="00676A9B">
              <w:rPr>
                <w:rFonts w:ascii="Arial" w:hAnsi="Arial" w:cs="Arial"/>
                <w:i/>
                <w:sz w:val="18"/>
                <w:szCs w:val="18"/>
                <w:lang w:eastAsia="en-US"/>
              </w:rPr>
              <w:t>iznos rashoda (€)</w:t>
            </w:r>
          </w:p>
        </w:tc>
        <w:tc>
          <w:tcPr>
            <w:tcW w:w="5295" w:type="dxa"/>
            <w:vAlign w:val="center"/>
          </w:tcPr>
          <w:p w14:paraId="2E0680CB" w14:textId="77777777" w:rsidR="00676A9B" w:rsidRPr="00676A9B" w:rsidRDefault="00676A9B" w:rsidP="00676A9B">
            <w:pPr>
              <w:jc w:val="center"/>
              <w:rPr>
                <w:rFonts w:ascii="Arial" w:hAnsi="Arial" w:cs="Arial"/>
                <w:i/>
                <w:sz w:val="18"/>
                <w:szCs w:val="18"/>
                <w:lang w:eastAsia="en-US"/>
              </w:rPr>
            </w:pPr>
            <w:r w:rsidRPr="00676A9B">
              <w:rPr>
                <w:rFonts w:ascii="Arial" w:hAnsi="Arial" w:cs="Arial"/>
                <w:i/>
                <w:sz w:val="18"/>
                <w:szCs w:val="18"/>
                <w:lang w:eastAsia="en-US"/>
              </w:rPr>
              <w:t>Obrazloženje</w:t>
            </w:r>
          </w:p>
        </w:tc>
      </w:tr>
      <w:tr w:rsidR="00676A9B" w:rsidRPr="00676A9B" w14:paraId="4F29383B" w14:textId="77777777" w:rsidTr="00410A4B">
        <w:trPr>
          <w:jc w:val="right"/>
        </w:trPr>
        <w:tc>
          <w:tcPr>
            <w:tcW w:w="846" w:type="dxa"/>
            <w:vAlign w:val="center"/>
          </w:tcPr>
          <w:p w14:paraId="523BA520"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2018.</w:t>
            </w:r>
          </w:p>
        </w:tc>
        <w:tc>
          <w:tcPr>
            <w:tcW w:w="1129" w:type="dxa"/>
            <w:vAlign w:val="center"/>
          </w:tcPr>
          <w:p w14:paraId="553A9D6E"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9 djece</w:t>
            </w:r>
          </w:p>
        </w:tc>
        <w:tc>
          <w:tcPr>
            <w:tcW w:w="997" w:type="dxa"/>
            <w:vAlign w:val="center"/>
          </w:tcPr>
          <w:p w14:paraId="44B678E0"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6.614,90</w:t>
            </w:r>
          </w:p>
        </w:tc>
        <w:tc>
          <w:tcPr>
            <w:tcW w:w="3827" w:type="dxa"/>
            <w:vAlign w:val="center"/>
          </w:tcPr>
          <w:p w14:paraId="27480324" w14:textId="77777777" w:rsidR="00676A9B" w:rsidRPr="00676A9B" w:rsidRDefault="00676A9B" w:rsidP="00676A9B">
            <w:pPr>
              <w:rPr>
                <w:rFonts w:ascii="Arial" w:hAnsi="Arial" w:cs="Arial"/>
                <w:sz w:val="16"/>
                <w:szCs w:val="16"/>
                <w:lang w:eastAsia="en-US"/>
              </w:rPr>
            </w:pPr>
            <w:r w:rsidRPr="00676A9B">
              <w:rPr>
                <w:rFonts w:ascii="Arial" w:eastAsia="Calibri" w:hAnsi="Arial" w:cs="Arial"/>
                <w:sz w:val="16"/>
                <w:szCs w:val="16"/>
                <w:lang w:eastAsia="en-US"/>
              </w:rPr>
              <w:t>područje socijalne skrbi: samohrani roditelji, djeca HRVI, djeca s teškoćama u razvoju</w:t>
            </w:r>
          </w:p>
        </w:tc>
        <w:tc>
          <w:tcPr>
            <w:tcW w:w="1343" w:type="dxa"/>
            <w:vAlign w:val="center"/>
          </w:tcPr>
          <w:p w14:paraId="10AD46C9" w14:textId="77777777" w:rsidR="00676A9B" w:rsidRPr="00676A9B" w:rsidRDefault="00676A9B" w:rsidP="00676A9B">
            <w:pPr>
              <w:jc w:val="both"/>
              <w:rPr>
                <w:rFonts w:ascii="Arial" w:hAnsi="Arial" w:cs="Arial"/>
                <w:sz w:val="18"/>
                <w:szCs w:val="18"/>
                <w:lang w:eastAsia="en-US"/>
              </w:rPr>
            </w:pPr>
            <w:r w:rsidRPr="00676A9B">
              <w:rPr>
                <w:rFonts w:ascii="Arial" w:eastAsia="Calibri" w:hAnsi="Arial" w:cs="Arial"/>
                <w:sz w:val="18"/>
                <w:szCs w:val="18"/>
                <w:lang w:eastAsia="en-US"/>
              </w:rPr>
              <w:t>* 34 djece</w:t>
            </w:r>
          </w:p>
        </w:tc>
        <w:tc>
          <w:tcPr>
            <w:tcW w:w="1017" w:type="dxa"/>
            <w:vAlign w:val="center"/>
          </w:tcPr>
          <w:p w14:paraId="6281442A"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33.172,47</w:t>
            </w:r>
          </w:p>
        </w:tc>
        <w:tc>
          <w:tcPr>
            <w:tcW w:w="5295" w:type="dxa"/>
            <w:vAlign w:val="center"/>
          </w:tcPr>
          <w:p w14:paraId="1420F379" w14:textId="77777777" w:rsidR="00676A9B" w:rsidRPr="00676A9B" w:rsidRDefault="00676A9B" w:rsidP="00676A9B">
            <w:pPr>
              <w:rPr>
                <w:rFonts w:ascii="Arial" w:hAnsi="Arial" w:cs="Arial"/>
                <w:sz w:val="16"/>
                <w:szCs w:val="16"/>
                <w:lang w:eastAsia="en-US"/>
              </w:rPr>
            </w:pPr>
            <w:r w:rsidRPr="00676A9B">
              <w:rPr>
                <w:rFonts w:ascii="Arial" w:eastAsia="Calibri" w:hAnsi="Arial" w:cs="Arial"/>
                <w:sz w:val="16"/>
                <w:szCs w:val="16"/>
                <w:lang w:eastAsia="en-US"/>
              </w:rPr>
              <w:t>* za razdoblje rujan – studeni 2018.: besplatni vrtić djeci iz obitelji s četvero i više maloljetne / uzdržavane djece (iskazivano kroz A204107)</w:t>
            </w:r>
          </w:p>
        </w:tc>
      </w:tr>
      <w:tr w:rsidR="00676A9B" w:rsidRPr="00676A9B" w14:paraId="0FB3F5A3" w14:textId="77777777" w:rsidTr="00410A4B">
        <w:trPr>
          <w:jc w:val="right"/>
        </w:trPr>
        <w:tc>
          <w:tcPr>
            <w:tcW w:w="846" w:type="dxa"/>
            <w:vAlign w:val="center"/>
          </w:tcPr>
          <w:p w14:paraId="7B5F1003"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2019.</w:t>
            </w:r>
          </w:p>
        </w:tc>
        <w:tc>
          <w:tcPr>
            <w:tcW w:w="1129" w:type="dxa"/>
            <w:vAlign w:val="center"/>
          </w:tcPr>
          <w:p w14:paraId="08F64877"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7 djece</w:t>
            </w:r>
          </w:p>
        </w:tc>
        <w:tc>
          <w:tcPr>
            <w:tcW w:w="997" w:type="dxa"/>
            <w:vAlign w:val="center"/>
          </w:tcPr>
          <w:p w14:paraId="6B46BCFE"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5.402,48</w:t>
            </w:r>
          </w:p>
        </w:tc>
        <w:tc>
          <w:tcPr>
            <w:tcW w:w="3827" w:type="dxa"/>
            <w:vAlign w:val="center"/>
          </w:tcPr>
          <w:p w14:paraId="13CD4C38" w14:textId="77777777" w:rsidR="00676A9B" w:rsidRPr="00676A9B" w:rsidRDefault="00676A9B" w:rsidP="00676A9B">
            <w:pPr>
              <w:rPr>
                <w:rFonts w:ascii="Arial" w:hAnsi="Arial" w:cs="Arial"/>
                <w:sz w:val="16"/>
                <w:szCs w:val="16"/>
                <w:lang w:eastAsia="en-US"/>
              </w:rPr>
            </w:pPr>
            <w:r w:rsidRPr="00676A9B">
              <w:rPr>
                <w:rFonts w:ascii="Arial" w:eastAsia="Calibri" w:hAnsi="Arial" w:cs="Arial"/>
                <w:sz w:val="16"/>
                <w:szCs w:val="16"/>
                <w:lang w:eastAsia="en-US"/>
              </w:rPr>
              <w:t>područje socijalne skrbi: samohrani roditelji, djeca HRVI, djeca s teškoćama u razvoju</w:t>
            </w:r>
          </w:p>
        </w:tc>
        <w:tc>
          <w:tcPr>
            <w:tcW w:w="1343" w:type="dxa"/>
            <w:vAlign w:val="center"/>
          </w:tcPr>
          <w:p w14:paraId="45F1C235" w14:textId="77777777" w:rsidR="00676A9B" w:rsidRPr="00676A9B" w:rsidRDefault="00676A9B" w:rsidP="00676A9B">
            <w:pPr>
              <w:jc w:val="center"/>
              <w:rPr>
                <w:rFonts w:ascii="Arial" w:hAnsi="Arial" w:cs="Arial"/>
                <w:sz w:val="18"/>
                <w:szCs w:val="18"/>
                <w:lang w:eastAsia="en-US"/>
              </w:rPr>
            </w:pPr>
            <w:r w:rsidRPr="00676A9B">
              <w:rPr>
                <w:rFonts w:ascii="Arial" w:eastAsia="Calibri" w:hAnsi="Arial" w:cs="Arial"/>
                <w:sz w:val="18"/>
                <w:szCs w:val="18"/>
                <w:lang w:eastAsia="en-US"/>
              </w:rPr>
              <w:t>31 dijete</w:t>
            </w:r>
          </w:p>
        </w:tc>
        <w:tc>
          <w:tcPr>
            <w:tcW w:w="1017" w:type="dxa"/>
            <w:vAlign w:val="center"/>
          </w:tcPr>
          <w:p w14:paraId="66B43821"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74.654,59</w:t>
            </w:r>
          </w:p>
        </w:tc>
        <w:tc>
          <w:tcPr>
            <w:tcW w:w="5295" w:type="dxa"/>
            <w:vAlign w:val="center"/>
          </w:tcPr>
          <w:p w14:paraId="2ADA31C4" w14:textId="77777777" w:rsidR="00676A9B" w:rsidRPr="00676A9B" w:rsidRDefault="00676A9B" w:rsidP="00676A9B">
            <w:pPr>
              <w:rPr>
                <w:rFonts w:ascii="Arial" w:hAnsi="Arial" w:cs="Arial"/>
                <w:sz w:val="16"/>
                <w:szCs w:val="16"/>
                <w:lang w:eastAsia="en-US"/>
              </w:rPr>
            </w:pPr>
            <w:r w:rsidRPr="00676A9B">
              <w:rPr>
                <w:rFonts w:ascii="Arial" w:eastAsia="Calibri" w:hAnsi="Arial" w:cs="Arial"/>
                <w:sz w:val="16"/>
                <w:szCs w:val="16"/>
                <w:lang w:eastAsia="en-US"/>
              </w:rPr>
              <w:t>besplatni vrtić djeci iz obitelji s četvero i više maloljetne / uzdržavane djece</w:t>
            </w:r>
          </w:p>
        </w:tc>
      </w:tr>
      <w:tr w:rsidR="00676A9B" w:rsidRPr="00676A9B" w14:paraId="54A36B30" w14:textId="77777777" w:rsidTr="00410A4B">
        <w:trPr>
          <w:trHeight w:val="451"/>
          <w:jc w:val="right"/>
        </w:trPr>
        <w:tc>
          <w:tcPr>
            <w:tcW w:w="846" w:type="dxa"/>
            <w:vMerge w:val="restart"/>
            <w:vAlign w:val="center"/>
          </w:tcPr>
          <w:p w14:paraId="05E321FF"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2020.</w:t>
            </w:r>
          </w:p>
        </w:tc>
        <w:tc>
          <w:tcPr>
            <w:tcW w:w="1129" w:type="dxa"/>
            <w:vMerge w:val="restart"/>
            <w:vAlign w:val="center"/>
          </w:tcPr>
          <w:p w14:paraId="759BD474"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12 djece</w:t>
            </w:r>
          </w:p>
        </w:tc>
        <w:tc>
          <w:tcPr>
            <w:tcW w:w="997" w:type="dxa"/>
            <w:vMerge w:val="restart"/>
            <w:vAlign w:val="center"/>
          </w:tcPr>
          <w:p w14:paraId="76325568"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5.242,55</w:t>
            </w:r>
          </w:p>
        </w:tc>
        <w:tc>
          <w:tcPr>
            <w:tcW w:w="3827" w:type="dxa"/>
            <w:vMerge w:val="restart"/>
            <w:vAlign w:val="center"/>
          </w:tcPr>
          <w:p w14:paraId="04036CF2" w14:textId="77777777" w:rsidR="00676A9B" w:rsidRPr="00676A9B" w:rsidRDefault="00676A9B" w:rsidP="00676A9B">
            <w:pPr>
              <w:rPr>
                <w:rFonts w:ascii="Arial" w:hAnsi="Arial" w:cs="Arial"/>
                <w:sz w:val="16"/>
                <w:szCs w:val="16"/>
                <w:lang w:eastAsia="en-US"/>
              </w:rPr>
            </w:pPr>
            <w:r w:rsidRPr="00676A9B">
              <w:rPr>
                <w:rFonts w:ascii="Arial" w:eastAsia="Calibri" w:hAnsi="Arial" w:cs="Arial"/>
                <w:sz w:val="16"/>
                <w:szCs w:val="16"/>
                <w:lang w:eastAsia="en-US"/>
              </w:rPr>
              <w:t>područje socijalne skrbi: samohrani roditelji, djeca HRVI i civilnih invalida Domovinskog rata, djeca s teškoćama u razvoju, treće dijete u vrtiću</w:t>
            </w:r>
          </w:p>
        </w:tc>
        <w:tc>
          <w:tcPr>
            <w:tcW w:w="1343" w:type="dxa"/>
            <w:tcBorders>
              <w:bottom w:val="single" w:sz="4" w:space="0" w:color="auto"/>
            </w:tcBorders>
            <w:vAlign w:val="center"/>
          </w:tcPr>
          <w:p w14:paraId="127744A0" w14:textId="77777777" w:rsidR="00676A9B" w:rsidRPr="00676A9B" w:rsidRDefault="00676A9B" w:rsidP="00676A9B">
            <w:pPr>
              <w:jc w:val="center"/>
              <w:rPr>
                <w:rFonts w:ascii="Arial" w:hAnsi="Arial" w:cs="Arial"/>
                <w:sz w:val="18"/>
                <w:szCs w:val="18"/>
                <w:lang w:eastAsia="en-US"/>
              </w:rPr>
            </w:pPr>
            <w:r w:rsidRPr="00676A9B">
              <w:rPr>
                <w:rFonts w:ascii="Arial" w:eastAsia="Calibri" w:hAnsi="Arial" w:cs="Arial"/>
                <w:sz w:val="18"/>
                <w:szCs w:val="18"/>
                <w:lang w:eastAsia="en-US"/>
              </w:rPr>
              <w:t>34 djece</w:t>
            </w:r>
          </w:p>
        </w:tc>
        <w:tc>
          <w:tcPr>
            <w:tcW w:w="1017" w:type="dxa"/>
            <w:tcBorders>
              <w:bottom w:val="single" w:sz="4" w:space="0" w:color="auto"/>
            </w:tcBorders>
            <w:vAlign w:val="center"/>
          </w:tcPr>
          <w:p w14:paraId="04907742"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24.178,11</w:t>
            </w:r>
          </w:p>
        </w:tc>
        <w:tc>
          <w:tcPr>
            <w:tcW w:w="5295" w:type="dxa"/>
            <w:tcBorders>
              <w:bottom w:val="single" w:sz="4" w:space="0" w:color="auto"/>
            </w:tcBorders>
            <w:vAlign w:val="center"/>
          </w:tcPr>
          <w:p w14:paraId="353BDD3E" w14:textId="77777777" w:rsidR="00676A9B" w:rsidRPr="00676A9B" w:rsidRDefault="00676A9B" w:rsidP="00676A9B">
            <w:pPr>
              <w:rPr>
                <w:rFonts w:ascii="Arial" w:hAnsi="Arial" w:cs="Arial"/>
                <w:sz w:val="16"/>
                <w:szCs w:val="16"/>
                <w:lang w:eastAsia="en-US"/>
              </w:rPr>
            </w:pPr>
            <w:r w:rsidRPr="00676A9B">
              <w:rPr>
                <w:rFonts w:ascii="Arial" w:eastAsia="Calibri" w:hAnsi="Arial" w:cs="Arial"/>
                <w:sz w:val="16"/>
                <w:szCs w:val="16"/>
                <w:lang w:eastAsia="en-US"/>
              </w:rPr>
              <w:t>besplatni vrtić djeci iz obitelji s četvero i više maloljetne / uzdržavane djece</w:t>
            </w:r>
          </w:p>
        </w:tc>
      </w:tr>
      <w:tr w:rsidR="00676A9B" w:rsidRPr="00676A9B" w14:paraId="12E7FBC7" w14:textId="77777777" w:rsidTr="00410A4B">
        <w:trPr>
          <w:trHeight w:val="317"/>
          <w:jc w:val="right"/>
        </w:trPr>
        <w:tc>
          <w:tcPr>
            <w:tcW w:w="846" w:type="dxa"/>
            <w:vMerge/>
            <w:vAlign w:val="center"/>
          </w:tcPr>
          <w:p w14:paraId="1C53FE36" w14:textId="77777777" w:rsidR="00676A9B" w:rsidRPr="00676A9B" w:rsidRDefault="00676A9B" w:rsidP="00676A9B">
            <w:pPr>
              <w:jc w:val="center"/>
              <w:rPr>
                <w:rFonts w:ascii="Arial" w:hAnsi="Arial" w:cs="Arial"/>
                <w:sz w:val="18"/>
                <w:szCs w:val="18"/>
                <w:lang w:eastAsia="en-US"/>
              </w:rPr>
            </w:pPr>
          </w:p>
        </w:tc>
        <w:tc>
          <w:tcPr>
            <w:tcW w:w="1129" w:type="dxa"/>
            <w:vMerge/>
            <w:vAlign w:val="center"/>
          </w:tcPr>
          <w:p w14:paraId="5D4C1510" w14:textId="77777777" w:rsidR="00676A9B" w:rsidRPr="00676A9B" w:rsidRDefault="00676A9B" w:rsidP="00676A9B">
            <w:pPr>
              <w:jc w:val="center"/>
              <w:rPr>
                <w:rFonts w:ascii="Arial" w:hAnsi="Arial" w:cs="Arial"/>
                <w:sz w:val="18"/>
                <w:szCs w:val="18"/>
                <w:lang w:eastAsia="en-US"/>
              </w:rPr>
            </w:pPr>
          </w:p>
        </w:tc>
        <w:tc>
          <w:tcPr>
            <w:tcW w:w="997" w:type="dxa"/>
            <w:vMerge/>
            <w:vAlign w:val="center"/>
          </w:tcPr>
          <w:p w14:paraId="4AD0F089" w14:textId="77777777" w:rsidR="00676A9B" w:rsidRPr="00676A9B" w:rsidRDefault="00676A9B" w:rsidP="00676A9B">
            <w:pPr>
              <w:jc w:val="right"/>
              <w:rPr>
                <w:rFonts w:ascii="Arial" w:eastAsia="Calibri" w:hAnsi="Arial" w:cs="Arial"/>
                <w:sz w:val="18"/>
                <w:szCs w:val="18"/>
                <w:lang w:eastAsia="en-US"/>
              </w:rPr>
            </w:pPr>
          </w:p>
        </w:tc>
        <w:tc>
          <w:tcPr>
            <w:tcW w:w="3827" w:type="dxa"/>
            <w:vMerge/>
            <w:vAlign w:val="center"/>
          </w:tcPr>
          <w:p w14:paraId="4CA89CEC" w14:textId="77777777" w:rsidR="00676A9B" w:rsidRPr="00676A9B" w:rsidRDefault="00676A9B" w:rsidP="00676A9B">
            <w:pPr>
              <w:rPr>
                <w:rFonts w:ascii="Arial" w:eastAsia="Calibri" w:hAnsi="Arial" w:cs="Arial"/>
                <w:sz w:val="16"/>
                <w:szCs w:val="16"/>
                <w:lang w:eastAsia="en-US"/>
              </w:rPr>
            </w:pPr>
          </w:p>
        </w:tc>
        <w:tc>
          <w:tcPr>
            <w:tcW w:w="1343" w:type="dxa"/>
            <w:tcBorders>
              <w:top w:val="single" w:sz="4" w:space="0" w:color="auto"/>
              <w:bottom w:val="single" w:sz="4" w:space="0" w:color="auto"/>
            </w:tcBorders>
            <w:vAlign w:val="center"/>
          </w:tcPr>
          <w:p w14:paraId="7B98EBD0"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175 djece</w:t>
            </w:r>
          </w:p>
        </w:tc>
        <w:tc>
          <w:tcPr>
            <w:tcW w:w="1017" w:type="dxa"/>
            <w:tcBorders>
              <w:top w:val="single" w:sz="4" w:space="0" w:color="auto"/>
              <w:bottom w:val="single" w:sz="4" w:space="0" w:color="auto"/>
            </w:tcBorders>
            <w:vAlign w:val="center"/>
          </w:tcPr>
          <w:p w14:paraId="349B81D9"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25.698,45</w:t>
            </w:r>
          </w:p>
        </w:tc>
        <w:tc>
          <w:tcPr>
            <w:tcW w:w="5295" w:type="dxa"/>
            <w:tcBorders>
              <w:top w:val="single" w:sz="4" w:space="0" w:color="auto"/>
              <w:bottom w:val="single" w:sz="4" w:space="0" w:color="auto"/>
            </w:tcBorders>
            <w:vAlign w:val="center"/>
          </w:tcPr>
          <w:p w14:paraId="4CD14244" w14:textId="77777777" w:rsidR="00676A9B" w:rsidRPr="00676A9B" w:rsidRDefault="00676A9B" w:rsidP="00676A9B">
            <w:pPr>
              <w:rPr>
                <w:rFonts w:ascii="Arial" w:eastAsia="Calibri" w:hAnsi="Arial" w:cs="Arial"/>
                <w:sz w:val="16"/>
                <w:szCs w:val="16"/>
                <w:lang w:eastAsia="en-US"/>
              </w:rPr>
            </w:pPr>
            <w:r w:rsidRPr="00676A9B">
              <w:rPr>
                <w:rFonts w:ascii="Arial" w:eastAsia="Calibri" w:hAnsi="Arial" w:cs="Arial"/>
                <w:sz w:val="16"/>
                <w:szCs w:val="16"/>
                <w:lang w:eastAsia="en-US"/>
              </w:rPr>
              <w:t>olakšica za drugo i treće dijete u obiteljima s „djecom“ ne starijom od 26. godina</w:t>
            </w:r>
          </w:p>
        </w:tc>
      </w:tr>
      <w:tr w:rsidR="00676A9B" w:rsidRPr="00676A9B" w14:paraId="5CA8E17F" w14:textId="77777777" w:rsidTr="00410A4B">
        <w:trPr>
          <w:trHeight w:val="322"/>
          <w:jc w:val="right"/>
        </w:trPr>
        <w:tc>
          <w:tcPr>
            <w:tcW w:w="846" w:type="dxa"/>
            <w:vMerge w:val="restart"/>
            <w:vAlign w:val="center"/>
          </w:tcPr>
          <w:p w14:paraId="68B2C94C"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1-9/ 2021.</w:t>
            </w:r>
          </w:p>
        </w:tc>
        <w:tc>
          <w:tcPr>
            <w:tcW w:w="1129" w:type="dxa"/>
            <w:vMerge w:val="restart"/>
            <w:vAlign w:val="center"/>
          </w:tcPr>
          <w:p w14:paraId="2DE157CE"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14 djece</w:t>
            </w:r>
          </w:p>
        </w:tc>
        <w:tc>
          <w:tcPr>
            <w:tcW w:w="997" w:type="dxa"/>
            <w:vMerge w:val="restart"/>
            <w:vAlign w:val="center"/>
          </w:tcPr>
          <w:p w14:paraId="38F24298"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5.711,06</w:t>
            </w:r>
          </w:p>
        </w:tc>
        <w:tc>
          <w:tcPr>
            <w:tcW w:w="3827" w:type="dxa"/>
            <w:vMerge w:val="restart"/>
          </w:tcPr>
          <w:p w14:paraId="40F18302" w14:textId="77777777" w:rsidR="00676A9B" w:rsidRPr="00676A9B" w:rsidRDefault="00676A9B" w:rsidP="00676A9B">
            <w:pPr>
              <w:rPr>
                <w:rFonts w:ascii="Arial" w:hAnsi="Arial" w:cs="Arial"/>
                <w:sz w:val="16"/>
                <w:szCs w:val="16"/>
                <w:lang w:eastAsia="en-US"/>
              </w:rPr>
            </w:pPr>
            <w:r w:rsidRPr="00676A9B">
              <w:rPr>
                <w:rFonts w:ascii="Arial" w:eastAsia="Calibri" w:hAnsi="Arial" w:cs="Arial"/>
                <w:sz w:val="16"/>
                <w:szCs w:val="16"/>
                <w:lang w:eastAsia="en-US"/>
              </w:rPr>
              <w:t>područje socijalne skrbi: samohrani roditelji, djeca HRVI i civilnih invalida Domovinskog rata, djeca s teškoćama u razvoju, treće dijete u vrtiću</w:t>
            </w:r>
          </w:p>
        </w:tc>
        <w:tc>
          <w:tcPr>
            <w:tcW w:w="1343" w:type="dxa"/>
            <w:vAlign w:val="center"/>
          </w:tcPr>
          <w:p w14:paraId="0C3BA9A3" w14:textId="77777777" w:rsidR="00676A9B" w:rsidRPr="00676A9B" w:rsidRDefault="00676A9B" w:rsidP="00676A9B">
            <w:pPr>
              <w:jc w:val="center"/>
              <w:rPr>
                <w:rFonts w:ascii="Arial" w:hAnsi="Arial" w:cs="Arial"/>
                <w:sz w:val="18"/>
                <w:szCs w:val="18"/>
                <w:lang w:eastAsia="en-US"/>
              </w:rPr>
            </w:pPr>
            <w:r w:rsidRPr="00676A9B">
              <w:rPr>
                <w:rFonts w:ascii="Arial" w:eastAsia="Calibri" w:hAnsi="Arial" w:cs="Arial"/>
                <w:sz w:val="18"/>
                <w:szCs w:val="18"/>
                <w:lang w:eastAsia="en-US"/>
              </w:rPr>
              <w:t>34 djece</w:t>
            </w:r>
          </w:p>
        </w:tc>
        <w:tc>
          <w:tcPr>
            <w:tcW w:w="1017" w:type="dxa"/>
            <w:vAlign w:val="center"/>
          </w:tcPr>
          <w:p w14:paraId="67E797BF"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5.277,72</w:t>
            </w:r>
          </w:p>
        </w:tc>
        <w:tc>
          <w:tcPr>
            <w:tcW w:w="5295" w:type="dxa"/>
          </w:tcPr>
          <w:p w14:paraId="3AB569CE" w14:textId="77777777" w:rsidR="00676A9B" w:rsidRPr="00676A9B" w:rsidRDefault="00676A9B" w:rsidP="00676A9B">
            <w:pPr>
              <w:rPr>
                <w:rFonts w:ascii="Arial" w:hAnsi="Arial" w:cs="Arial"/>
                <w:sz w:val="16"/>
                <w:szCs w:val="16"/>
                <w:lang w:eastAsia="en-US"/>
              </w:rPr>
            </w:pPr>
            <w:r w:rsidRPr="00676A9B">
              <w:rPr>
                <w:rFonts w:ascii="Arial" w:eastAsia="Calibri" w:hAnsi="Arial" w:cs="Arial"/>
                <w:sz w:val="16"/>
                <w:szCs w:val="16"/>
                <w:lang w:eastAsia="en-US"/>
              </w:rPr>
              <w:t>besplatni vrtić djeci iz obitelji s četvero i više maloljetne / uzdržavane djece</w:t>
            </w:r>
          </w:p>
        </w:tc>
      </w:tr>
      <w:tr w:rsidR="00676A9B" w:rsidRPr="00676A9B" w14:paraId="6A90494C" w14:textId="77777777" w:rsidTr="00410A4B">
        <w:trPr>
          <w:trHeight w:val="330"/>
          <w:jc w:val="right"/>
        </w:trPr>
        <w:tc>
          <w:tcPr>
            <w:tcW w:w="846" w:type="dxa"/>
            <w:vMerge/>
          </w:tcPr>
          <w:p w14:paraId="55DFA0EC" w14:textId="77777777" w:rsidR="00676A9B" w:rsidRPr="00676A9B" w:rsidRDefault="00676A9B" w:rsidP="00676A9B">
            <w:pPr>
              <w:jc w:val="center"/>
              <w:rPr>
                <w:rFonts w:ascii="Arial" w:hAnsi="Arial" w:cs="Arial"/>
                <w:sz w:val="18"/>
                <w:szCs w:val="18"/>
                <w:lang w:eastAsia="en-US"/>
              </w:rPr>
            </w:pPr>
          </w:p>
        </w:tc>
        <w:tc>
          <w:tcPr>
            <w:tcW w:w="1129" w:type="dxa"/>
            <w:vMerge/>
            <w:vAlign w:val="center"/>
          </w:tcPr>
          <w:p w14:paraId="7F2D6B20" w14:textId="77777777" w:rsidR="00676A9B" w:rsidRPr="00676A9B" w:rsidRDefault="00676A9B" w:rsidP="00676A9B">
            <w:pPr>
              <w:jc w:val="center"/>
              <w:rPr>
                <w:rFonts w:ascii="Arial" w:hAnsi="Arial" w:cs="Arial"/>
                <w:sz w:val="18"/>
                <w:szCs w:val="18"/>
                <w:lang w:eastAsia="en-US"/>
              </w:rPr>
            </w:pPr>
          </w:p>
        </w:tc>
        <w:tc>
          <w:tcPr>
            <w:tcW w:w="997" w:type="dxa"/>
            <w:vMerge/>
            <w:vAlign w:val="center"/>
          </w:tcPr>
          <w:p w14:paraId="0C73B253" w14:textId="77777777" w:rsidR="00676A9B" w:rsidRPr="00676A9B" w:rsidRDefault="00676A9B" w:rsidP="00676A9B">
            <w:pPr>
              <w:jc w:val="right"/>
              <w:rPr>
                <w:rFonts w:ascii="Arial" w:eastAsia="Calibri" w:hAnsi="Arial" w:cs="Arial"/>
                <w:sz w:val="18"/>
                <w:szCs w:val="18"/>
                <w:lang w:eastAsia="en-US"/>
              </w:rPr>
            </w:pPr>
          </w:p>
        </w:tc>
        <w:tc>
          <w:tcPr>
            <w:tcW w:w="3827" w:type="dxa"/>
            <w:vMerge/>
          </w:tcPr>
          <w:p w14:paraId="4D8CCBD4" w14:textId="77777777" w:rsidR="00676A9B" w:rsidRPr="00676A9B" w:rsidRDefault="00676A9B" w:rsidP="00676A9B">
            <w:pPr>
              <w:rPr>
                <w:rFonts w:ascii="Arial" w:eastAsia="Calibri" w:hAnsi="Arial" w:cs="Arial"/>
                <w:sz w:val="16"/>
                <w:szCs w:val="16"/>
                <w:lang w:eastAsia="en-US"/>
              </w:rPr>
            </w:pPr>
          </w:p>
        </w:tc>
        <w:tc>
          <w:tcPr>
            <w:tcW w:w="1343" w:type="dxa"/>
            <w:vAlign w:val="center"/>
          </w:tcPr>
          <w:p w14:paraId="2D746E44"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150 djece</w:t>
            </w:r>
          </w:p>
          <w:p w14:paraId="66B6EFE8"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6"/>
                <w:szCs w:val="16"/>
                <w:lang w:eastAsia="en-US"/>
              </w:rPr>
              <w:t>(do 181 djece)</w:t>
            </w:r>
          </w:p>
        </w:tc>
        <w:tc>
          <w:tcPr>
            <w:tcW w:w="1017" w:type="dxa"/>
            <w:vAlign w:val="center"/>
          </w:tcPr>
          <w:p w14:paraId="131E82E2"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41.378,33</w:t>
            </w:r>
          </w:p>
        </w:tc>
        <w:tc>
          <w:tcPr>
            <w:tcW w:w="5295" w:type="dxa"/>
          </w:tcPr>
          <w:p w14:paraId="148FC549" w14:textId="77777777" w:rsidR="00676A9B" w:rsidRPr="00676A9B" w:rsidRDefault="00676A9B" w:rsidP="00676A9B">
            <w:pPr>
              <w:rPr>
                <w:rFonts w:ascii="Arial" w:eastAsia="Calibri" w:hAnsi="Arial" w:cs="Arial"/>
                <w:sz w:val="16"/>
                <w:szCs w:val="16"/>
                <w:lang w:eastAsia="en-US"/>
              </w:rPr>
            </w:pPr>
            <w:r w:rsidRPr="00676A9B">
              <w:rPr>
                <w:rFonts w:ascii="Arial" w:eastAsia="Calibri" w:hAnsi="Arial" w:cs="Arial"/>
                <w:sz w:val="16"/>
                <w:szCs w:val="16"/>
                <w:lang w:eastAsia="en-US"/>
              </w:rPr>
              <w:t>olakšica za drugo i treće dijete u obiteljima s „djecom“ ne starijom od 26. godina</w:t>
            </w:r>
          </w:p>
        </w:tc>
      </w:tr>
      <w:tr w:rsidR="00676A9B" w:rsidRPr="00676A9B" w14:paraId="37718402" w14:textId="77777777" w:rsidTr="00410A4B">
        <w:trPr>
          <w:trHeight w:val="296"/>
          <w:jc w:val="right"/>
        </w:trPr>
        <w:tc>
          <w:tcPr>
            <w:tcW w:w="846" w:type="dxa"/>
            <w:vMerge w:val="restart"/>
            <w:vAlign w:val="center"/>
          </w:tcPr>
          <w:p w14:paraId="3C58E943"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10-12/ 2021.</w:t>
            </w:r>
          </w:p>
        </w:tc>
        <w:tc>
          <w:tcPr>
            <w:tcW w:w="1129" w:type="dxa"/>
            <w:vAlign w:val="center"/>
          </w:tcPr>
          <w:p w14:paraId="39F98476"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66 djece</w:t>
            </w:r>
          </w:p>
        </w:tc>
        <w:tc>
          <w:tcPr>
            <w:tcW w:w="997" w:type="dxa"/>
            <w:vAlign w:val="center"/>
          </w:tcPr>
          <w:p w14:paraId="345B6388" w14:textId="77777777" w:rsidR="00676A9B" w:rsidRPr="00676A9B" w:rsidRDefault="00676A9B" w:rsidP="00676A9B">
            <w:pPr>
              <w:jc w:val="right"/>
              <w:rPr>
                <w:rFonts w:ascii="Arial" w:hAnsi="Arial" w:cs="Arial"/>
                <w:sz w:val="18"/>
                <w:szCs w:val="18"/>
                <w:lang w:eastAsia="en-US"/>
              </w:rPr>
            </w:pPr>
            <w:r w:rsidRPr="00676A9B">
              <w:rPr>
                <w:rFonts w:ascii="Arial" w:hAnsi="Arial" w:cs="Arial"/>
                <w:sz w:val="18"/>
                <w:szCs w:val="18"/>
                <w:lang w:eastAsia="en-US"/>
              </w:rPr>
              <w:t>4.570,97</w:t>
            </w:r>
          </w:p>
        </w:tc>
        <w:tc>
          <w:tcPr>
            <w:tcW w:w="3827" w:type="dxa"/>
            <w:vAlign w:val="center"/>
          </w:tcPr>
          <w:p w14:paraId="310628E1" w14:textId="77777777" w:rsidR="00676A9B" w:rsidRPr="00676A9B" w:rsidRDefault="00676A9B" w:rsidP="00676A9B">
            <w:pPr>
              <w:rPr>
                <w:rFonts w:ascii="Arial" w:hAnsi="Arial" w:cs="Arial"/>
                <w:sz w:val="16"/>
                <w:szCs w:val="16"/>
                <w:lang w:eastAsia="en-US"/>
              </w:rPr>
            </w:pPr>
            <w:r w:rsidRPr="00676A9B">
              <w:rPr>
                <w:rFonts w:ascii="Arial" w:hAnsi="Arial" w:cs="Arial"/>
                <w:sz w:val="16"/>
                <w:szCs w:val="16"/>
                <w:lang w:eastAsia="en-US"/>
              </w:rPr>
              <w:t>drugo dijete u vrtiću</w:t>
            </w:r>
          </w:p>
        </w:tc>
        <w:tc>
          <w:tcPr>
            <w:tcW w:w="1343" w:type="dxa"/>
            <w:vAlign w:val="center"/>
          </w:tcPr>
          <w:p w14:paraId="545B1CB9" w14:textId="77777777" w:rsidR="00676A9B" w:rsidRPr="00676A9B" w:rsidRDefault="00676A9B" w:rsidP="00676A9B">
            <w:pPr>
              <w:jc w:val="center"/>
              <w:rPr>
                <w:rFonts w:ascii="Arial" w:hAnsi="Arial" w:cs="Arial"/>
                <w:sz w:val="18"/>
                <w:szCs w:val="18"/>
                <w:lang w:eastAsia="en-US"/>
              </w:rPr>
            </w:pPr>
            <w:r w:rsidRPr="00676A9B">
              <w:rPr>
                <w:rFonts w:ascii="Arial" w:eastAsia="Calibri" w:hAnsi="Arial" w:cs="Arial"/>
                <w:sz w:val="18"/>
                <w:szCs w:val="18"/>
                <w:lang w:eastAsia="en-US"/>
              </w:rPr>
              <w:t>21 dijete</w:t>
            </w:r>
          </w:p>
        </w:tc>
        <w:tc>
          <w:tcPr>
            <w:tcW w:w="1017" w:type="dxa"/>
            <w:vAlign w:val="center"/>
          </w:tcPr>
          <w:p w14:paraId="4669CF01"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6.271,15</w:t>
            </w:r>
          </w:p>
        </w:tc>
        <w:tc>
          <w:tcPr>
            <w:tcW w:w="5295" w:type="dxa"/>
          </w:tcPr>
          <w:p w14:paraId="6437457C" w14:textId="77777777" w:rsidR="00676A9B" w:rsidRPr="00676A9B" w:rsidRDefault="00676A9B" w:rsidP="00676A9B">
            <w:pPr>
              <w:rPr>
                <w:rFonts w:ascii="Arial" w:hAnsi="Arial" w:cs="Arial"/>
                <w:sz w:val="16"/>
                <w:szCs w:val="16"/>
                <w:lang w:eastAsia="en-US"/>
              </w:rPr>
            </w:pPr>
            <w:r w:rsidRPr="00676A9B">
              <w:rPr>
                <w:rFonts w:ascii="Arial" w:eastAsia="Calibri" w:hAnsi="Arial" w:cs="Arial"/>
                <w:sz w:val="16"/>
                <w:szCs w:val="16"/>
                <w:lang w:eastAsia="en-US"/>
              </w:rPr>
              <w:t>besplatni vrtić za četvrto i svako sljedeće dijete</w:t>
            </w:r>
          </w:p>
        </w:tc>
      </w:tr>
      <w:tr w:rsidR="00676A9B" w:rsidRPr="00676A9B" w14:paraId="3F341911" w14:textId="77777777" w:rsidTr="00410A4B">
        <w:trPr>
          <w:trHeight w:val="476"/>
          <w:jc w:val="right"/>
        </w:trPr>
        <w:tc>
          <w:tcPr>
            <w:tcW w:w="846" w:type="dxa"/>
            <w:vMerge/>
          </w:tcPr>
          <w:p w14:paraId="18E21207" w14:textId="77777777" w:rsidR="00676A9B" w:rsidRPr="00676A9B" w:rsidRDefault="00676A9B" w:rsidP="00676A9B">
            <w:pPr>
              <w:jc w:val="center"/>
              <w:rPr>
                <w:rFonts w:ascii="Arial" w:hAnsi="Arial" w:cs="Arial"/>
                <w:sz w:val="18"/>
                <w:szCs w:val="18"/>
                <w:lang w:eastAsia="en-US"/>
              </w:rPr>
            </w:pPr>
          </w:p>
        </w:tc>
        <w:tc>
          <w:tcPr>
            <w:tcW w:w="1129" w:type="dxa"/>
            <w:vAlign w:val="center"/>
          </w:tcPr>
          <w:p w14:paraId="33DA4D18"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28 djece</w:t>
            </w:r>
          </w:p>
        </w:tc>
        <w:tc>
          <w:tcPr>
            <w:tcW w:w="997" w:type="dxa"/>
            <w:vAlign w:val="center"/>
          </w:tcPr>
          <w:p w14:paraId="58CC4E2F"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2.270,89</w:t>
            </w:r>
          </w:p>
        </w:tc>
        <w:tc>
          <w:tcPr>
            <w:tcW w:w="3827" w:type="dxa"/>
            <w:vAlign w:val="center"/>
          </w:tcPr>
          <w:p w14:paraId="30E05151" w14:textId="77777777" w:rsidR="00676A9B" w:rsidRPr="00676A9B" w:rsidRDefault="00676A9B" w:rsidP="00676A9B">
            <w:pPr>
              <w:rPr>
                <w:rFonts w:ascii="Arial" w:eastAsia="Calibri" w:hAnsi="Arial" w:cs="Arial"/>
                <w:sz w:val="16"/>
                <w:szCs w:val="16"/>
                <w:lang w:eastAsia="en-US"/>
              </w:rPr>
            </w:pPr>
            <w:r w:rsidRPr="00676A9B">
              <w:rPr>
                <w:rFonts w:ascii="Arial" w:eastAsia="Calibri" w:hAnsi="Arial" w:cs="Arial"/>
                <w:sz w:val="16"/>
                <w:szCs w:val="16"/>
                <w:lang w:eastAsia="en-US"/>
              </w:rPr>
              <w:t>područje socijalne skrbi: samohrani roditelji, djeca HRVI i civilnih invalida Domovinskog rata, djeca s teškoćama u razvoju, drugo i treće dijete u vrtiću</w:t>
            </w:r>
          </w:p>
        </w:tc>
        <w:tc>
          <w:tcPr>
            <w:tcW w:w="1343" w:type="dxa"/>
            <w:vAlign w:val="center"/>
          </w:tcPr>
          <w:p w14:paraId="289C6E03" w14:textId="77777777" w:rsidR="00676A9B" w:rsidRPr="00676A9B" w:rsidRDefault="00676A9B" w:rsidP="00676A9B">
            <w:pPr>
              <w:jc w:val="center"/>
              <w:rPr>
                <w:rFonts w:ascii="Arial" w:eastAsia="Calibri" w:hAnsi="Arial" w:cs="Arial"/>
                <w:sz w:val="18"/>
                <w:szCs w:val="18"/>
                <w:lang w:eastAsia="en-US"/>
              </w:rPr>
            </w:pPr>
          </w:p>
        </w:tc>
        <w:tc>
          <w:tcPr>
            <w:tcW w:w="1017" w:type="dxa"/>
            <w:vAlign w:val="center"/>
          </w:tcPr>
          <w:p w14:paraId="14353DE9" w14:textId="77777777" w:rsidR="00676A9B" w:rsidRPr="00676A9B" w:rsidRDefault="00676A9B" w:rsidP="00676A9B">
            <w:pPr>
              <w:jc w:val="right"/>
              <w:rPr>
                <w:rFonts w:ascii="Arial" w:eastAsia="Calibri" w:hAnsi="Arial" w:cs="Arial"/>
                <w:sz w:val="18"/>
                <w:szCs w:val="18"/>
                <w:lang w:eastAsia="en-US"/>
              </w:rPr>
            </w:pPr>
          </w:p>
        </w:tc>
        <w:tc>
          <w:tcPr>
            <w:tcW w:w="5295" w:type="dxa"/>
          </w:tcPr>
          <w:p w14:paraId="5994DECC" w14:textId="77777777" w:rsidR="00676A9B" w:rsidRPr="00676A9B" w:rsidRDefault="00676A9B" w:rsidP="00676A9B">
            <w:pPr>
              <w:rPr>
                <w:rFonts w:ascii="Arial" w:eastAsia="Calibri" w:hAnsi="Arial" w:cs="Arial"/>
                <w:sz w:val="16"/>
                <w:szCs w:val="16"/>
                <w:lang w:eastAsia="en-US"/>
              </w:rPr>
            </w:pPr>
          </w:p>
        </w:tc>
      </w:tr>
      <w:tr w:rsidR="00676A9B" w:rsidRPr="00676A9B" w14:paraId="58843469" w14:textId="77777777" w:rsidTr="00410A4B">
        <w:trPr>
          <w:trHeight w:val="476"/>
          <w:jc w:val="right"/>
        </w:trPr>
        <w:tc>
          <w:tcPr>
            <w:tcW w:w="846" w:type="dxa"/>
            <w:vAlign w:val="center"/>
          </w:tcPr>
          <w:p w14:paraId="4CB27CAA"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1-6/ 2021</w:t>
            </w:r>
          </w:p>
        </w:tc>
        <w:tc>
          <w:tcPr>
            <w:tcW w:w="1129" w:type="dxa"/>
            <w:vAlign w:val="center"/>
          </w:tcPr>
          <w:p w14:paraId="76655747"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12 djece</w:t>
            </w:r>
          </w:p>
        </w:tc>
        <w:tc>
          <w:tcPr>
            <w:tcW w:w="997" w:type="dxa"/>
            <w:vAlign w:val="center"/>
          </w:tcPr>
          <w:p w14:paraId="28D2309C"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4.240,49</w:t>
            </w:r>
          </w:p>
        </w:tc>
        <w:tc>
          <w:tcPr>
            <w:tcW w:w="3827" w:type="dxa"/>
            <w:vAlign w:val="center"/>
          </w:tcPr>
          <w:p w14:paraId="229FA737" w14:textId="77777777" w:rsidR="00676A9B" w:rsidRPr="00676A9B" w:rsidRDefault="00676A9B" w:rsidP="00676A9B">
            <w:pPr>
              <w:rPr>
                <w:rFonts w:ascii="Arial" w:eastAsia="Calibri" w:hAnsi="Arial" w:cs="Arial"/>
                <w:sz w:val="16"/>
                <w:szCs w:val="16"/>
                <w:lang w:eastAsia="en-US"/>
              </w:rPr>
            </w:pPr>
            <w:r w:rsidRPr="00676A9B">
              <w:rPr>
                <w:rFonts w:ascii="Arial" w:eastAsia="Calibri" w:hAnsi="Arial" w:cs="Arial"/>
                <w:sz w:val="16"/>
                <w:szCs w:val="16"/>
                <w:lang w:eastAsia="en-US"/>
              </w:rPr>
              <w:t>područje socijalne skrbi: samohrani roditelji, djeca HRVI i civilnih invalida Domovinskog rata, djeca s teškoćama u razvoju, djeca s rješenjem Centra za socijalnu skrb</w:t>
            </w:r>
          </w:p>
        </w:tc>
        <w:tc>
          <w:tcPr>
            <w:tcW w:w="1343" w:type="dxa"/>
            <w:vAlign w:val="center"/>
          </w:tcPr>
          <w:p w14:paraId="61DEBAF3"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89 djece</w:t>
            </w:r>
          </w:p>
        </w:tc>
        <w:tc>
          <w:tcPr>
            <w:tcW w:w="1017" w:type="dxa"/>
            <w:vAlign w:val="center"/>
          </w:tcPr>
          <w:p w14:paraId="38B6F18A" w14:textId="77777777" w:rsidR="00676A9B" w:rsidRPr="00676A9B" w:rsidRDefault="00676A9B" w:rsidP="00676A9B">
            <w:pPr>
              <w:jc w:val="right"/>
              <w:rPr>
                <w:rFonts w:ascii="Arial" w:eastAsia="Calibri" w:hAnsi="Arial" w:cs="Arial"/>
                <w:sz w:val="18"/>
                <w:szCs w:val="18"/>
                <w:lang w:eastAsia="en-US"/>
              </w:rPr>
            </w:pPr>
            <w:r w:rsidRPr="00676A9B">
              <w:rPr>
                <w:rFonts w:ascii="Arial" w:eastAsia="Calibri" w:hAnsi="Arial" w:cs="Arial"/>
                <w:sz w:val="18"/>
                <w:szCs w:val="18"/>
                <w:lang w:eastAsia="en-US"/>
              </w:rPr>
              <w:t>18.425,91</w:t>
            </w:r>
          </w:p>
        </w:tc>
        <w:tc>
          <w:tcPr>
            <w:tcW w:w="5295" w:type="dxa"/>
          </w:tcPr>
          <w:p w14:paraId="5D5D1F3C" w14:textId="77777777" w:rsidR="00676A9B" w:rsidRPr="00676A9B" w:rsidRDefault="00676A9B" w:rsidP="00676A9B">
            <w:pPr>
              <w:rPr>
                <w:rFonts w:ascii="Arial" w:eastAsia="Calibri" w:hAnsi="Arial" w:cs="Arial"/>
                <w:sz w:val="16"/>
                <w:szCs w:val="16"/>
                <w:lang w:eastAsia="en-US"/>
              </w:rPr>
            </w:pPr>
            <w:r w:rsidRPr="00676A9B">
              <w:rPr>
                <w:rFonts w:ascii="Arial" w:eastAsia="Calibri" w:hAnsi="Arial" w:cs="Arial"/>
                <w:sz w:val="16"/>
                <w:szCs w:val="16"/>
                <w:lang w:eastAsia="en-US"/>
              </w:rPr>
              <w:t xml:space="preserve">Olakšice za drugo i treće dijete u vrtiću, besplatni vrtić za četvrto i svako sljedeće dijete, </w:t>
            </w:r>
          </w:p>
        </w:tc>
      </w:tr>
      <w:tr w:rsidR="00676A9B" w:rsidRPr="00676A9B" w14:paraId="4C18D763" w14:textId="77777777" w:rsidTr="00410A4B">
        <w:trPr>
          <w:trHeight w:val="476"/>
          <w:jc w:val="right"/>
        </w:trPr>
        <w:tc>
          <w:tcPr>
            <w:tcW w:w="846" w:type="dxa"/>
            <w:vAlign w:val="center"/>
          </w:tcPr>
          <w:p w14:paraId="62DB8466" w14:textId="77777777" w:rsidR="00676A9B" w:rsidRPr="00676A9B" w:rsidRDefault="00676A9B" w:rsidP="00676A9B">
            <w:pPr>
              <w:jc w:val="center"/>
              <w:rPr>
                <w:rFonts w:ascii="Arial" w:hAnsi="Arial" w:cs="Arial"/>
                <w:sz w:val="16"/>
                <w:szCs w:val="16"/>
                <w:lang w:eastAsia="en-US"/>
              </w:rPr>
            </w:pPr>
            <w:r w:rsidRPr="00676A9B">
              <w:rPr>
                <w:rFonts w:ascii="Arial" w:hAnsi="Arial" w:cs="Arial"/>
                <w:sz w:val="16"/>
                <w:szCs w:val="16"/>
                <w:lang w:eastAsia="en-US"/>
              </w:rPr>
              <w:t>2022.</w:t>
            </w:r>
          </w:p>
        </w:tc>
        <w:tc>
          <w:tcPr>
            <w:tcW w:w="1129" w:type="dxa"/>
            <w:vAlign w:val="center"/>
          </w:tcPr>
          <w:p w14:paraId="1A73183F" w14:textId="77777777" w:rsidR="00676A9B" w:rsidRPr="00676A9B" w:rsidRDefault="00676A9B" w:rsidP="00676A9B">
            <w:pPr>
              <w:jc w:val="center"/>
              <w:rPr>
                <w:rFonts w:ascii="Arial" w:hAnsi="Arial" w:cs="Arial"/>
                <w:sz w:val="16"/>
                <w:szCs w:val="16"/>
                <w:lang w:eastAsia="en-US"/>
              </w:rPr>
            </w:pPr>
            <w:r w:rsidRPr="00676A9B">
              <w:rPr>
                <w:rFonts w:ascii="Arial" w:hAnsi="Arial" w:cs="Arial"/>
                <w:sz w:val="16"/>
                <w:szCs w:val="16"/>
              </w:rPr>
              <w:t>prosjek 10 djece (od 9 do 12)</w:t>
            </w:r>
          </w:p>
        </w:tc>
        <w:tc>
          <w:tcPr>
            <w:tcW w:w="997" w:type="dxa"/>
            <w:vAlign w:val="center"/>
          </w:tcPr>
          <w:p w14:paraId="4C75DE89" w14:textId="77777777" w:rsidR="00676A9B" w:rsidRPr="00676A9B" w:rsidRDefault="00676A9B" w:rsidP="00676A9B">
            <w:pPr>
              <w:jc w:val="right"/>
              <w:rPr>
                <w:rFonts w:ascii="Arial" w:eastAsia="Calibri" w:hAnsi="Arial" w:cs="Arial"/>
                <w:sz w:val="16"/>
                <w:szCs w:val="16"/>
                <w:lang w:eastAsia="en-US"/>
              </w:rPr>
            </w:pPr>
            <w:r w:rsidRPr="00676A9B">
              <w:rPr>
                <w:rFonts w:ascii="Arial" w:eastAsia="Calibri" w:hAnsi="Arial" w:cs="Arial"/>
                <w:sz w:val="16"/>
                <w:szCs w:val="16"/>
                <w:lang w:eastAsia="en-US"/>
              </w:rPr>
              <w:t>9.007,90</w:t>
            </w:r>
          </w:p>
        </w:tc>
        <w:tc>
          <w:tcPr>
            <w:tcW w:w="3827" w:type="dxa"/>
            <w:vAlign w:val="center"/>
          </w:tcPr>
          <w:p w14:paraId="60E709B4" w14:textId="77777777" w:rsidR="00676A9B" w:rsidRPr="00676A9B" w:rsidRDefault="00676A9B" w:rsidP="00676A9B">
            <w:pPr>
              <w:rPr>
                <w:rFonts w:ascii="Arial" w:eastAsia="Calibri" w:hAnsi="Arial" w:cs="Arial"/>
                <w:sz w:val="16"/>
                <w:szCs w:val="16"/>
                <w:lang w:eastAsia="en-US"/>
              </w:rPr>
            </w:pPr>
            <w:r w:rsidRPr="00676A9B">
              <w:rPr>
                <w:rFonts w:ascii="Arial" w:eastAsia="Calibri" w:hAnsi="Arial" w:cs="Arial"/>
                <w:sz w:val="16"/>
                <w:szCs w:val="16"/>
              </w:rPr>
              <w:t>područje socijalne skrbi: samohrani roditelji, djeca HRVI i civilnih invalida Domovinskog rata, djeca s teškoćama u razvoju, djeca s rješenjem Centra za socijalnu skrb</w:t>
            </w:r>
          </w:p>
        </w:tc>
        <w:tc>
          <w:tcPr>
            <w:tcW w:w="1343" w:type="dxa"/>
            <w:vAlign w:val="center"/>
          </w:tcPr>
          <w:p w14:paraId="1A6C39BA" w14:textId="77777777" w:rsidR="00676A9B" w:rsidRPr="00676A9B" w:rsidRDefault="00676A9B" w:rsidP="00676A9B">
            <w:pPr>
              <w:jc w:val="center"/>
              <w:rPr>
                <w:rFonts w:ascii="Arial" w:eastAsia="Calibri" w:hAnsi="Arial" w:cs="Arial"/>
                <w:sz w:val="16"/>
                <w:szCs w:val="16"/>
                <w:lang w:eastAsia="en-US"/>
              </w:rPr>
            </w:pPr>
            <w:r w:rsidRPr="00676A9B">
              <w:rPr>
                <w:rFonts w:ascii="Arial" w:eastAsia="Calibri" w:hAnsi="Arial" w:cs="Arial"/>
                <w:sz w:val="16"/>
                <w:szCs w:val="16"/>
              </w:rPr>
              <w:t>91 dijete</w:t>
            </w:r>
          </w:p>
        </w:tc>
        <w:tc>
          <w:tcPr>
            <w:tcW w:w="1017" w:type="dxa"/>
            <w:vAlign w:val="center"/>
          </w:tcPr>
          <w:p w14:paraId="44EF474C" w14:textId="77777777" w:rsidR="00676A9B" w:rsidRPr="00676A9B" w:rsidRDefault="00676A9B" w:rsidP="00676A9B">
            <w:pPr>
              <w:jc w:val="right"/>
              <w:rPr>
                <w:rFonts w:ascii="Arial" w:eastAsia="Calibri" w:hAnsi="Arial" w:cs="Arial"/>
                <w:sz w:val="16"/>
                <w:szCs w:val="16"/>
                <w:lang w:eastAsia="en-US"/>
              </w:rPr>
            </w:pPr>
            <w:r w:rsidRPr="00676A9B">
              <w:rPr>
                <w:rFonts w:ascii="Arial" w:eastAsia="Calibri" w:hAnsi="Arial" w:cs="Arial"/>
                <w:sz w:val="16"/>
                <w:szCs w:val="16"/>
                <w:lang w:eastAsia="en-US"/>
              </w:rPr>
              <w:t xml:space="preserve">44.228,55 </w:t>
            </w:r>
          </w:p>
        </w:tc>
        <w:tc>
          <w:tcPr>
            <w:tcW w:w="5295" w:type="dxa"/>
          </w:tcPr>
          <w:p w14:paraId="2A8F0753" w14:textId="77777777" w:rsidR="00676A9B" w:rsidRPr="00676A9B" w:rsidRDefault="00676A9B" w:rsidP="00676A9B">
            <w:pPr>
              <w:rPr>
                <w:rFonts w:ascii="Arial" w:eastAsia="Calibri" w:hAnsi="Arial" w:cs="Arial"/>
                <w:sz w:val="16"/>
                <w:szCs w:val="16"/>
                <w:lang w:eastAsia="en-US"/>
              </w:rPr>
            </w:pPr>
            <w:r w:rsidRPr="00676A9B">
              <w:rPr>
                <w:rFonts w:ascii="Arial" w:eastAsia="Calibri" w:hAnsi="Arial" w:cs="Arial"/>
                <w:sz w:val="16"/>
                <w:szCs w:val="16"/>
              </w:rPr>
              <w:t>Olakšice za drugo i treće dijete u vrtiću, besplatni vrtić za četvrto i svako sljedeće dijete</w:t>
            </w:r>
          </w:p>
        </w:tc>
      </w:tr>
      <w:tr w:rsidR="00676A9B" w:rsidRPr="00676A9B" w14:paraId="6167D0D1" w14:textId="77777777" w:rsidTr="00410A4B">
        <w:trPr>
          <w:trHeight w:val="476"/>
          <w:jc w:val="right"/>
        </w:trPr>
        <w:tc>
          <w:tcPr>
            <w:tcW w:w="846" w:type="dxa"/>
            <w:vAlign w:val="center"/>
          </w:tcPr>
          <w:p w14:paraId="700BE1CE" w14:textId="77777777" w:rsidR="00676A9B" w:rsidRPr="00676A9B" w:rsidRDefault="00676A9B" w:rsidP="00676A9B">
            <w:pPr>
              <w:jc w:val="center"/>
              <w:rPr>
                <w:rFonts w:ascii="Arial" w:hAnsi="Arial" w:cs="Arial"/>
                <w:sz w:val="16"/>
                <w:szCs w:val="16"/>
                <w:lang w:eastAsia="en-US"/>
              </w:rPr>
            </w:pPr>
            <w:r w:rsidRPr="00676A9B">
              <w:rPr>
                <w:rFonts w:ascii="Arial" w:hAnsi="Arial" w:cs="Arial"/>
                <w:sz w:val="16"/>
                <w:szCs w:val="16"/>
                <w:lang w:eastAsia="en-US"/>
              </w:rPr>
              <w:t>2023.</w:t>
            </w:r>
          </w:p>
        </w:tc>
        <w:tc>
          <w:tcPr>
            <w:tcW w:w="1129" w:type="dxa"/>
            <w:vAlign w:val="center"/>
          </w:tcPr>
          <w:p w14:paraId="12E28ACF" w14:textId="77777777" w:rsidR="00676A9B" w:rsidRPr="00676A9B" w:rsidRDefault="00676A9B" w:rsidP="00676A9B">
            <w:pPr>
              <w:jc w:val="center"/>
              <w:rPr>
                <w:rFonts w:ascii="Arial" w:hAnsi="Arial" w:cs="Arial"/>
                <w:sz w:val="16"/>
                <w:szCs w:val="16"/>
              </w:rPr>
            </w:pPr>
            <w:r w:rsidRPr="00676A9B">
              <w:rPr>
                <w:rFonts w:ascii="Arial" w:hAnsi="Arial" w:cs="Arial"/>
                <w:sz w:val="16"/>
                <w:szCs w:val="16"/>
              </w:rPr>
              <w:t>prosjek 10 djece (od 9 do 13)</w:t>
            </w:r>
          </w:p>
        </w:tc>
        <w:tc>
          <w:tcPr>
            <w:tcW w:w="997" w:type="dxa"/>
            <w:vAlign w:val="center"/>
          </w:tcPr>
          <w:p w14:paraId="17F3DB21" w14:textId="77777777" w:rsidR="00676A9B" w:rsidRPr="00676A9B" w:rsidRDefault="00676A9B" w:rsidP="00676A9B">
            <w:pPr>
              <w:jc w:val="right"/>
              <w:rPr>
                <w:rFonts w:ascii="Arial" w:eastAsia="Calibri" w:hAnsi="Arial" w:cs="Arial"/>
                <w:sz w:val="16"/>
                <w:szCs w:val="16"/>
                <w:lang w:eastAsia="en-US"/>
              </w:rPr>
            </w:pPr>
            <w:r w:rsidRPr="00676A9B">
              <w:rPr>
                <w:rFonts w:ascii="Arial" w:eastAsia="Calibri" w:hAnsi="Arial" w:cs="Arial"/>
                <w:sz w:val="16"/>
                <w:szCs w:val="16"/>
                <w:lang w:eastAsia="en-US"/>
              </w:rPr>
              <w:t>8.890,65</w:t>
            </w:r>
          </w:p>
        </w:tc>
        <w:tc>
          <w:tcPr>
            <w:tcW w:w="3827" w:type="dxa"/>
            <w:vAlign w:val="center"/>
          </w:tcPr>
          <w:p w14:paraId="012A2FBF" w14:textId="77777777" w:rsidR="00676A9B" w:rsidRPr="00676A9B" w:rsidRDefault="00676A9B" w:rsidP="00676A9B">
            <w:pPr>
              <w:rPr>
                <w:rFonts w:ascii="Arial" w:eastAsia="Calibri" w:hAnsi="Arial" w:cs="Arial"/>
                <w:sz w:val="16"/>
                <w:szCs w:val="16"/>
              </w:rPr>
            </w:pPr>
            <w:r w:rsidRPr="00676A9B">
              <w:rPr>
                <w:rFonts w:ascii="Arial" w:eastAsia="Calibri" w:hAnsi="Arial" w:cs="Arial"/>
                <w:sz w:val="16"/>
                <w:szCs w:val="16"/>
              </w:rPr>
              <w:t>područje socijalne skrbi: samohrani roditelji, djeca HRVI i civilnih invalida Domovinskog rata, djeca s teškoćama u razvoju, djeca s rješenjem Centra za socijalnu skrb</w:t>
            </w:r>
          </w:p>
        </w:tc>
        <w:tc>
          <w:tcPr>
            <w:tcW w:w="1343" w:type="dxa"/>
            <w:vAlign w:val="center"/>
          </w:tcPr>
          <w:p w14:paraId="4A76730D" w14:textId="77777777" w:rsidR="00676A9B" w:rsidRPr="00676A9B" w:rsidRDefault="00676A9B" w:rsidP="00676A9B">
            <w:pPr>
              <w:jc w:val="center"/>
              <w:rPr>
                <w:rFonts w:ascii="Arial" w:eastAsia="Calibri" w:hAnsi="Arial" w:cs="Arial"/>
                <w:sz w:val="16"/>
                <w:szCs w:val="16"/>
              </w:rPr>
            </w:pPr>
            <w:r w:rsidRPr="00676A9B">
              <w:rPr>
                <w:rFonts w:ascii="Arial" w:eastAsia="Calibri" w:hAnsi="Arial" w:cs="Arial"/>
                <w:sz w:val="16"/>
                <w:szCs w:val="16"/>
              </w:rPr>
              <w:t>prosjek 96 djece (od 79 do 103)</w:t>
            </w:r>
          </w:p>
        </w:tc>
        <w:tc>
          <w:tcPr>
            <w:tcW w:w="1017" w:type="dxa"/>
            <w:vAlign w:val="center"/>
          </w:tcPr>
          <w:p w14:paraId="3D288A33" w14:textId="77777777" w:rsidR="00676A9B" w:rsidRPr="00676A9B" w:rsidRDefault="00676A9B" w:rsidP="00676A9B">
            <w:pPr>
              <w:jc w:val="right"/>
              <w:rPr>
                <w:rFonts w:ascii="Arial" w:eastAsia="Calibri" w:hAnsi="Arial" w:cs="Arial"/>
                <w:sz w:val="16"/>
                <w:szCs w:val="16"/>
                <w:lang w:eastAsia="en-US"/>
              </w:rPr>
            </w:pPr>
            <w:r w:rsidRPr="00676A9B">
              <w:rPr>
                <w:rFonts w:ascii="Arial" w:eastAsia="Calibri" w:hAnsi="Arial" w:cs="Arial"/>
                <w:sz w:val="16"/>
                <w:szCs w:val="16"/>
                <w:lang w:eastAsia="en-US"/>
              </w:rPr>
              <w:t>48.448,20</w:t>
            </w:r>
          </w:p>
        </w:tc>
        <w:tc>
          <w:tcPr>
            <w:tcW w:w="5295" w:type="dxa"/>
          </w:tcPr>
          <w:p w14:paraId="574A889D" w14:textId="77777777" w:rsidR="00676A9B" w:rsidRPr="00676A9B" w:rsidRDefault="00676A9B" w:rsidP="00676A9B">
            <w:pPr>
              <w:rPr>
                <w:rFonts w:ascii="Arial" w:eastAsia="Calibri" w:hAnsi="Arial" w:cs="Arial"/>
                <w:sz w:val="16"/>
                <w:szCs w:val="16"/>
              </w:rPr>
            </w:pPr>
            <w:r w:rsidRPr="00676A9B">
              <w:rPr>
                <w:rFonts w:ascii="Arial" w:eastAsia="Calibri" w:hAnsi="Arial" w:cs="Arial"/>
                <w:sz w:val="16"/>
                <w:szCs w:val="16"/>
              </w:rPr>
              <w:t>Olakšice za drugo i treće dijete u vrtiću, besplatni vrtić za četvrto i svako sljedeće dijete</w:t>
            </w:r>
          </w:p>
        </w:tc>
      </w:tr>
      <w:tr w:rsidR="00676A9B" w:rsidRPr="00676A9B" w14:paraId="4E243FDE" w14:textId="77777777" w:rsidTr="00410A4B">
        <w:trPr>
          <w:trHeight w:val="476"/>
          <w:jc w:val="right"/>
        </w:trPr>
        <w:tc>
          <w:tcPr>
            <w:tcW w:w="846" w:type="dxa"/>
            <w:vAlign w:val="center"/>
          </w:tcPr>
          <w:p w14:paraId="66C2BD56" w14:textId="77777777" w:rsidR="00676A9B" w:rsidRPr="00676A9B" w:rsidRDefault="00676A9B" w:rsidP="00676A9B">
            <w:pPr>
              <w:jc w:val="center"/>
              <w:rPr>
                <w:rFonts w:ascii="Arial" w:hAnsi="Arial" w:cs="Arial"/>
                <w:sz w:val="16"/>
                <w:szCs w:val="16"/>
                <w:lang w:eastAsia="en-US"/>
              </w:rPr>
            </w:pPr>
            <w:r w:rsidRPr="00676A9B">
              <w:rPr>
                <w:rFonts w:ascii="Arial" w:hAnsi="Arial" w:cs="Arial"/>
                <w:sz w:val="16"/>
                <w:szCs w:val="16"/>
                <w:lang w:eastAsia="en-US"/>
              </w:rPr>
              <w:t>2024.</w:t>
            </w:r>
          </w:p>
        </w:tc>
        <w:tc>
          <w:tcPr>
            <w:tcW w:w="1129" w:type="dxa"/>
            <w:vAlign w:val="center"/>
          </w:tcPr>
          <w:p w14:paraId="57E67D28" w14:textId="77777777" w:rsidR="00676A9B" w:rsidRPr="00676A9B" w:rsidRDefault="00676A9B" w:rsidP="00676A9B">
            <w:pPr>
              <w:jc w:val="center"/>
              <w:rPr>
                <w:rFonts w:ascii="Arial" w:hAnsi="Arial" w:cs="Arial"/>
                <w:sz w:val="16"/>
                <w:szCs w:val="16"/>
              </w:rPr>
            </w:pPr>
            <w:r w:rsidRPr="00676A9B">
              <w:rPr>
                <w:rFonts w:ascii="Arial" w:hAnsi="Arial" w:cs="Arial"/>
                <w:sz w:val="16"/>
                <w:szCs w:val="16"/>
              </w:rPr>
              <w:t>prosjek 14 djece (od 11 do 17)</w:t>
            </w:r>
          </w:p>
        </w:tc>
        <w:tc>
          <w:tcPr>
            <w:tcW w:w="997" w:type="dxa"/>
            <w:vAlign w:val="center"/>
          </w:tcPr>
          <w:p w14:paraId="405C5D78" w14:textId="77777777" w:rsidR="00676A9B" w:rsidRPr="00676A9B" w:rsidRDefault="00676A9B" w:rsidP="00676A9B">
            <w:pPr>
              <w:jc w:val="right"/>
              <w:rPr>
                <w:rFonts w:ascii="Arial" w:eastAsia="Calibri" w:hAnsi="Arial" w:cs="Arial"/>
                <w:sz w:val="16"/>
                <w:szCs w:val="16"/>
                <w:lang w:eastAsia="en-US"/>
              </w:rPr>
            </w:pPr>
            <w:r w:rsidRPr="00676A9B">
              <w:rPr>
                <w:rFonts w:ascii="Arial" w:eastAsia="Calibri" w:hAnsi="Arial" w:cs="Arial"/>
                <w:sz w:val="16"/>
                <w:szCs w:val="16"/>
                <w:lang w:eastAsia="en-US"/>
              </w:rPr>
              <w:t>12.751,44</w:t>
            </w:r>
          </w:p>
        </w:tc>
        <w:tc>
          <w:tcPr>
            <w:tcW w:w="3827" w:type="dxa"/>
            <w:vAlign w:val="center"/>
          </w:tcPr>
          <w:p w14:paraId="327A9AB0" w14:textId="77777777" w:rsidR="00676A9B" w:rsidRPr="00676A9B" w:rsidRDefault="00676A9B" w:rsidP="00676A9B">
            <w:pPr>
              <w:rPr>
                <w:rFonts w:ascii="Arial" w:eastAsia="Calibri" w:hAnsi="Arial" w:cs="Arial"/>
                <w:sz w:val="16"/>
                <w:szCs w:val="16"/>
              </w:rPr>
            </w:pPr>
            <w:r w:rsidRPr="00676A9B">
              <w:rPr>
                <w:rFonts w:ascii="Arial" w:eastAsia="Calibri" w:hAnsi="Arial" w:cs="Arial"/>
                <w:sz w:val="16"/>
                <w:szCs w:val="16"/>
              </w:rPr>
              <w:t>područje socijalne skrbi: samohrani roditelji, djeca HRVI i civilnih invalida Domovinskog rata, djeca s teškoćama u razvoju, djeca s rješenjem Centra za socijalnu skrb</w:t>
            </w:r>
          </w:p>
        </w:tc>
        <w:tc>
          <w:tcPr>
            <w:tcW w:w="1343" w:type="dxa"/>
            <w:vAlign w:val="center"/>
          </w:tcPr>
          <w:p w14:paraId="248D2077" w14:textId="77777777" w:rsidR="00676A9B" w:rsidRPr="00676A9B" w:rsidRDefault="00676A9B" w:rsidP="00676A9B">
            <w:pPr>
              <w:jc w:val="center"/>
              <w:rPr>
                <w:rFonts w:ascii="Arial" w:eastAsia="Calibri" w:hAnsi="Arial" w:cs="Arial"/>
                <w:sz w:val="16"/>
                <w:szCs w:val="16"/>
              </w:rPr>
            </w:pPr>
            <w:r w:rsidRPr="00676A9B">
              <w:rPr>
                <w:rFonts w:ascii="Arial" w:eastAsia="Calibri" w:hAnsi="Arial" w:cs="Arial"/>
                <w:sz w:val="16"/>
                <w:szCs w:val="16"/>
              </w:rPr>
              <w:t>prosjek 96 djece (od 86 do 110)</w:t>
            </w:r>
          </w:p>
        </w:tc>
        <w:tc>
          <w:tcPr>
            <w:tcW w:w="1017" w:type="dxa"/>
            <w:vAlign w:val="center"/>
          </w:tcPr>
          <w:p w14:paraId="5523367E" w14:textId="77777777" w:rsidR="00676A9B" w:rsidRPr="00676A9B" w:rsidRDefault="00676A9B" w:rsidP="00676A9B">
            <w:pPr>
              <w:jc w:val="right"/>
              <w:rPr>
                <w:rFonts w:ascii="Arial" w:eastAsia="Calibri" w:hAnsi="Arial" w:cs="Arial"/>
                <w:sz w:val="16"/>
                <w:szCs w:val="16"/>
                <w:lang w:eastAsia="en-US"/>
              </w:rPr>
            </w:pPr>
            <w:r w:rsidRPr="00676A9B">
              <w:rPr>
                <w:rFonts w:ascii="Arial" w:eastAsia="Calibri" w:hAnsi="Arial" w:cs="Arial"/>
                <w:sz w:val="16"/>
                <w:szCs w:val="16"/>
                <w:lang w:eastAsia="en-US"/>
              </w:rPr>
              <w:t>55.323,72</w:t>
            </w:r>
          </w:p>
        </w:tc>
        <w:tc>
          <w:tcPr>
            <w:tcW w:w="5295" w:type="dxa"/>
          </w:tcPr>
          <w:p w14:paraId="42EE61A1" w14:textId="77777777" w:rsidR="00676A9B" w:rsidRPr="00676A9B" w:rsidRDefault="00676A9B" w:rsidP="00676A9B">
            <w:pPr>
              <w:rPr>
                <w:rFonts w:ascii="Arial" w:eastAsia="Calibri" w:hAnsi="Arial" w:cs="Arial"/>
                <w:sz w:val="16"/>
                <w:szCs w:val="16"/>
              </w:rPr>
            </w:pPr>
            <w:r w:rsidRPr="00676A9B">
              <w:rPr>
                <w:rFonts w:ascii="Arial" w:eastAsia="Calibri" w:hAnsi="Arial" w:cs="Arial"/>
                <w:sz w:val="16"/>
                <w:szCs w:val="16"/>
              </w:rPr>
              <w:t>Olakšice za drugo i treće dijete u vrtiću, besplatni vrtić za četvrto i svako sljedeće dijete</w:t>
            </w:r>
          </w:p>
        </w:tc>
      </w:tr>
      <w:tr w:rsidR="005D436C" w:rsidRPr="00676A9B" w14:paraId="6840D718" w14:textId="77777777" w:rsidTr="00410A4B">
        <w:trPr>
          <w:trHeight w:val="476"/>
          <w:jc w:val="right"/>
        </w:trPr>
        <w:tc>
          <w:tcPr>
            <w:tcW w:w="846" w:type="dxa"/>
            <w:vAlign w:val="center"/>
          </w:tcPr>
          <w:p w14:paraId="0B35DE74" w14:textId="48BA518B" w:rsidR="005D436C" w:rsidRPr="00676A9B" w:rsidRDefault="005D436C" w:rsidP="005D436C">
            <w:pPr>
              <w:jc w:val="center"/>
              <w:rPr>
                <w:rFonts w:ascii="Arial" w:hAnsi="Arial" w:cs="Arial"/>
                <w:sz w:val="16"/>
                <w:szCs w:val="16"/>
                <w:lang w:eastAsia="en-US"/>
              </w:rPr>
            </w:pPr>
            <w:r w:rsidRPr="00676A9B">
              <w:rPr>
                <w:rFonts w:ascii="Arial" w:hAnsi="Arial" w:cs="Arial"/>
                <w:sz w:val="16"/>
                <w:szCs w:val="16"/>
                <w:lang w:eastAsia="en-US"/>
              </w:rPr>
              <w:t>202</w:t>
            </w:r>
            <w:r>
              <w:rPr>
                <w:rFonts w:ascii="Arial" w:hAnsi="Arial" w:cs="Arial"/>
                <w:sz w:val="16"/>
                <w:szCs w:val="16"/>
                <w:lang w:eastAsia="en-US"/>
              </w:rPr>
              <w:t>5</w:t>
            </w:r>
            <w:r w:rsidRPr="00676A9B">
              <w:rPr>
                <w:rFonts w:ascii="Arial" w:hAnsi="Arial" w:cs="Arial"/>
                <w:sz w:val="16"/>
                <w:szCs w:val="16"/>
                <w:lang w:eastAsia="en-US"/>
              </w:rPr>
              <w:t>.</w:t>
            </w:r>
          </w:p>
        </w:tc>
        <w:tc>
          <w:tcPr>
            <w:tcW w:w="1129" w:type="dxa"/>
            <w:vAlign w:val="center"/>
          </w:tcPr>
          <w:p w14:paraId="2CA3C968" w14:textId="5B10EA57" w:rsidR="005D436C" w:rsidRPr="00676A9B" w:rsidRDefault="005D436C" w:rsidP="005D436C">
            <w:pPr>
              <w:jc w:val="center"/>
              <w:rPr>
                <w:rFonts w:ascii="Arial" w:hAnsi="Arial" w:cs="Arial"/>
                <w:sz w:val="16"/>
                <w:szCs w:val="16"/>
              </w:rPr>
            </w:pPr>
            <w:r w:rsidRPr="00676A9B">
              <w:rPr>
                <w:rFonts w:ascii="Arial" w:hAnsi="Arial" w:cs="Arial"/>
                <w:sz w:val="16"/>
                <w:szCs w:val="16"/>
              </w:rPr>
              <w:t>prosjek 1</w:t>
            </w:r>
            <w:r>
              <w:rPr>
                <w:rFonts w:ascii="Arial" w:hAnsi="Arial" w:cs="Arial"/>
                <w:sz w:val="16"/>
                <w:szCs w:val="16"/>
              </w:rPr>
              <w:t>7</w:t>
            </w:r>
            <w:r w:rsidRPr="00676A9B">
              <w:rPr>
                <w:rFonts w:ascii="Arial" w:hAnsi="Arial" w:cs="Arial"/>
                <w:sz w:val="16"/>
                <w:szCs w:val="16"/>
              </w:rPr>
              <w:t xml:space="preserve"> djece (od </w:t>
            </w:r>
            <w:r w:rsidR="007C78E5">
              <w:rPr>
                <w:rFonts w:ascii="Arial" w:hAnsi="Arial" w:cs="Arial"/>
                <w:sz w:val="16"/>
                <w:szCs w:val="16"/>
              </w:rPr>
              <w:t>12</w:t>
            </w:r>
            <w:r w:rsidRPr="00676A9B">
              <w:rPr>
                <w:rFonts w:ascii="Arial" w:hAnsi="Arial" w:cs="Arial"/>
                <w:sz w:val="16"/>
                <w:szCs w:val="16"/>
              </w:rPr>
              <w:t xml:space="preserve"> do </w:t>
            </w:r>
            <w:r w:rsidR="007C78E5">
              <w:rPr>
                <w:rFonts w:ascii="Arial" w:hAnsi="Arial" w:cs="Arial"/>
                <w:sz w:val="16"/>
                <w:szCs w:val="16"/>
              </w:rPr>
              <w:t>20</w:t>
            </w:r>
            <w:r w:rsidRPr="00676A9B">
              <w:rPr>
                <w:rFonts w:ascii="Arial" w:hAnsi="Arial" w:cs="Arial"/>
                <w:sz w:val="16"/>
                <w:szCs w:val="16"/>
              </w:rPr>
              <w:t>)</w:t>
            </w:r>
          </w:p>
        </w:tc>
        <w:tc>
          <w:tcPr>
            <w:tcW w:w="997" w:type="dxa"/>
            <w:vAlign w:val="center"/>
          </w:tcPr>
          <w:p w14:paraId="22725647" w14:textId="52EAC78F" w:rsidR="005D436C" w:rsidRPr="00676A9B" w:rsidRDefault="007C78E5" w:rsidP="005D436C">
            <w:pPr>
              <w:jc w:val="right"/>
              <w:rPr>
                <w:rFonts w:ascii="Arial" w:eastAsia="Calibri" w:hAnsi="Arial" w:cs="Arial"/>
                <w:sz w:val="16"/>
                <w:szCs w:val="16"/>
                <w:lang w:eastAsia="en-US"/>
              </w:rPr>
            </w:pPr>
            <w:r>
              <w:rPr>
                <w:rFonts w:ascii="Arial" w:eastAsia="Calibri" w:hAnsi="Arial" w:cs="Arial"/>
                <w:sz w:val="16"/>
                <w:szCs w:val="16"/>
                <w:lang w:eastAsia="en-US"/>
              </w:rPr>
              <w:t>14.427,93</w:t>
            </w:r>
          </w:p>
        </w:tc>
        <w:tc>
          <w:tcPr>
            <w:tcW w:w="3827" w:type="dxa"/>
            <w:vAlign w:val="center"/>
          </w:tcPr>
          <w:p w14:paraId="17649DD0" w14:textId="361C953D" w:rsidR="005D436C" w:rsidRPr="00676A9B" w:rsidRDefault="005D436C" w:rsidP="005D436C">
            <w:pPr>
              <w:rPr>
                <w:rFonts w:ascii="Arial" w:eastAsia="Calibri" w:hAnsi="Arial" w:cs="Arial"/>
                <w:sz w:val="16"/>
                <w:szCs w:val="16"/>
              </w:rPr>
            </w:pPr>
            <w:r w:rsidRPr="00676A9B">
              <w:rPr>
                <w:rFonts w:ascii="Arial" w:eastAsia="Calibri" w:hAnsi="Arial" w:cs="Arial"/>
                <w:sz w:val="16"/>
                <w:szCs w:val="16"/>
              </w:rPr>
              <w:t>područje socijalne skrbi: samohrani roditelji, djeca HRVI i civilnih invalida Domovinskog rata, djeca s teškoćama u razvoju, djeca s rješenjem Centra za socijalnu skrb</w:t>
            </w:r>
          </w:p>
        </w:tc>
        <w:tc>
          <w:tcPr>
            <w:tcW w:w="1343" w:type="dxa"/>
            <w:vAlign w:val="center"/>
          </w:tcPr>
          <w:p w14:paraId="0A06FB00" w14:textId="0D338315" w:rsidR="005D436C" w:rsidRPr="00676A9B" w:rsidRDefault="005D436C" w:rsidP="005D436C">
            <w:pPr>
              <w:jc w:val="center"/>
              <w:rPr>
                <w:rFonts w:ascii="Arial" w:eastAsia="Calibri" w:hAnsi="Arial" w:cs="Arial"/>
                <w:sz w:val="16"/>
                <w:szCs w:val="16"/>
              </w:rPr>
            </w:pPr>
            <w:r w:rsidRPr="00676A9B">
              <w:rPr>
                <w:rFonts w:ascii="Arial" w:eastAsia="Calibri" w:hAnsi="Arial" w:cs="Arial"/>
                <w:sz w:val="16"/>
                <w:szCs w:val="16"/>
              </w:rPr>
              <w:t xml:space="preserve">prosjek </w:t>
            </w:r>
            <w:r w:rsidR="007C78E5">
              <w:rPr>
                <w:rFonts w:ascii="Arial" w:eastAsia="Calibri" w:hAnsi="Arial" w:cs="Arial"/>
                <w:sz w:val="16"/>
                <w:szCs w:val="16"/>
              </w:rPr>
              <w:t>103</w:t>
            </w:r>
            <w:r w:rsidRPr="00676A9B">
              <w:rPr>
                <w:rFonts w:ascii="Arial" w:eastAsia="Calibri" w:hAnsi="Arial" w:cs="Arial"/>
                <w:sz w:val="16"/>
                <w:szCs w:val="16"/>
              </w:rPr>
              <w:t xml:space="preserve"> djece (od </w:t>
            </w:r>
            <w:r w:rsidR="007C78E5">
              <w:rPr>
                <w:rFonts w:ascii="Arial" w:eastAsia="Calibri" w:hAnsi="Arial" w:cs="Arial"/>
                <w:sz w:val="16"/>
                <w:szCs w:val="16"/>
              </w:rPr>
              <w:t>89</w:t>
            </w:r>
            <w:r w:rsidRPr="00676A9B">
              <w:rPr>
                <w:rFonts w:ascii="Arial" w:eastAsia="Calibri" w:hAnsi="Arial" w:cs="Arial"/>
                <w:sz w:val="16"/>
                <w:szCs w:val="16"/>
              </w:rPr>
              <w:t xml:space="preserve"> do 11</w:t>
            </w:r>
            <w:r w:rsidR="007C78E5">
              <w:rPr>
                <w:rFonts w:ascii="Arial" w:eastAsia="Calibri" w:hAnsi="Arial" w:cs="Arial"/>
                <w:sz w:val="16"/>
                <w:szCs w:val="16"/>
              </w:rPr>
              <w:t>1</w:t>
            </w:r>
            <w:r w:rsidRPr="00676A9B">
              <w:rPr>
                <w:rFonts w:ascii="Arial" w:eastAsia="Calibri" w:hAnsi="Arial" w:cs="Arial"/>
                <w:sz w:val="16"/>
                <w:szCs w:val="16"/>
              </w:rPr>
              <w:t>)</w:t>
            </w:r>
          </w:p>
        </w:tc>
        <w:tc>
          <w:tcPr>
            <w:tcW w:w="1017" w:type="dxa"/>
            <w:vAlign w:val="center"/>
          </w:tcPr>
          <w:p w14:paraId="48D7D896" w14:textId="4D199321" w:rsidR="005D436C" w:rsidRPr="00676A9B" w:rsidRDefault="007C78E5" w:rsidP="005D436C">
            <w:pPr>
              <w:jc w:val="right"/>
              <w:rPr>
                <w:rFonts w:ascii="Arial" w:eastAsia="Calibri" w:hAnsi="Arial" w:cs="Arial"/>
                <w:sz w:val="16"/>
                <w:szCs w:val="16"/>
                <w:lang w:eastAsia="en-US"/>
              </w:rPr>
            </w:pPr>
            <w:r>
              <w:rPr>
                <w:rFonts w:ascii="Arial" w:eastAsia="Calibri" w:hAnsi="Arial" w:cs="Arial"/>
                <w:sz w:val="16"/>
                <w:szCs w:val="16"/>
                <w:lang w:eastAsia="en-US"/>
              </w:rPr>
              <w:t>55.167,82</w:t>
            </w:r>
          </w:p>
        </w:tc>
        <w:tc>
          <w:tcPr>
            <w:tcW w:w="5295" w:type="dxa"/>
          </w:tcPr>
          <w:p w14:paraId="1B9CC511" w14:textId="32534CA6" w:rsidR="005D436C" w:rsidRPr="00676A9B" w:rsidRDefault="005D436C" w:rsidP="005D436C">
            <w:pPr>
              <w:rPr>
                <w:rFonts w:ascii="Arial" w:eastAsia="Calibri" w:hAnsi="Arial" w:cs="Arial"/>
                <w:sz w:val="16"/>
                <w:szCs w:val="16"/>
              </w:rPr>
            </w:pPr>
            <w:r w:rsidRPr="00676A9B">
              <w:rPr>
                <w:rFonts w:ascii="Arial" w:eastAsia="Calibri" w:hAnsi="Arial" w:cs="Arial"/>
                <w:sz w:val="16"/>
                <w:szCs w:val="16"/>
              </w:rPr>
              <w:t>Olakšice za drugo i treće dijete u vrtiću, besplatni vrtić za četvrto i svako sljedeće dijete</w:t>
            </w:r>
          </w:p>
        </w:tc>
      </w:tr>
    </w:tbl>
    <w:p w14:paraId="5FB31471" w14:textId="77777777" w:rsid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19860A8C" w14:textId="77777777" w:rsidR="009136D4" w:rsidRPr="00676A9B" w:rsidRDefault="009136D4" w:rsidP="00676A9B">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
        <w:tblW w:w="14170" w:type="dxa"/>
        <w:jc w:val="center"/>
        <w:tblLayout w:type="fixed"/>
        <w:tblLook w:val="04A0" w:firstRow="1" w:lastRow="0" w:firstColumn="1" w:lastColumn="0" w:noHBand="0" w:noVBand="1"/>
      </w:tblPr>
      <w:tblGrid>
        <w:gridCol w:w="3486"/>
        <w:gridCol w:w="2463"/>
        <w:gridCol w:w="1276"/>
        <w:gridCol w:w="1134"/>
        <w:gridCol w:w="1275"/>
        <w:gridCol w:w="1134"/>
        <w:gridCol w:w="1134"/>
        <w:gridCol w:w="1134"/>
        <w:gridCol w:w="1134"/>
      </w:tblGrid>
      <w:tr w:rsidR="00676A9B" w:rsidRPr="00676A9B" w14:paraId="20ED41D5" w14:textId="77777777" w:rsidTr="007C78E5">
        <w:trPr>
          <w:jc w:val="center"/>
        </w:trPr>
        <w:tc>
          <w:tcPr>
            <w:tcW w:w="348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424295C"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lastRenderedPageBreak/>
              <w:t>Pokazatelj rezultata</w:t>
            </w:r>
          </w:p>
        </w:tc>
        <w:tc>
          <w:tcPr>
            <w:tcW w:w="24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A53A75C"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6482E7D"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A2C68D8"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27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4BF14D7" w14:textId="7812E962"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7C78E5">
              <w:rPr>
                <w:rFonts w:ascii="Arial" w:eastAsia="Calibri" w:hAnsi="Arial" w:cs="Arial"/>
                <w:lang w:eastAsia="en-US"/>
              </w:rPr>
              <w:t>4</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18F4504" w14:textId="240F54CA"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7C78E5">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05753D0" w14:textId="0308AEA3"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7C78E5">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1373697" w14:textId="18EC5BFC"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7C78E5">
              <w:rPr>
                <w:rFonts w:ascii="Arial" w:eastAsia="Calibri" w:hAnsi="Arial" w:cs="Arial"/>
                <w:lang w:eastAsia="en-US"/>
              </w:rPr>
              <w:t>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E36371E" w14:textId="6FC9A61C"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7C78E5">
              <w:rPr>
                <w:rFonts w:ascii="Arial" w:eastAsia="Calibri" w:hAnsi="Arial" w:cs="Arial"/>
                <w:lang w:eastAsia="en-US"/>
              </w:rPr>
              <w:t>7</w:t>
            </w:r>
            <w:r w:rsidRPr="00676A9B">
              <w:rPr>
                <w:rFonts w:ascii="Arial" w:eastAsia="Calibri" w:hAnsi="Arial" w:cs="Arial"/>
                <w:lang w:eastAsia="en-US"/>
              </w:rPr>
              <w:t>.</w:t>
            </w:r>
          </w:p>
        </w:tc>
      </w:tr>
      <w:tr w:rsidR="00676A9B" w:rsidRPr="00676A9B" w14:paraId="539DFC2F" w14:textId="77777777" w:rsidTr="007C78E5">
        <w:trPr>
          <w:trHeight w:val="416"/>
          <w:jc w:val="center"/>
        </w:trPr>
        <w:tc>
          <w:tcPr>
            <w:tcW w:w="3486" w:type="dxa"/>
            <w:tcBorders>
              <w:top w:val="single" w:sz="4" w:space="0" w:color="auto"/>
              <w:left w:val="single" w:sz="4" w:space="0" w:color="auto"/>
              <w:bottom w:val="single" w:sz="4" w:space="0" w:color="auto"/>
              <w:right w:val="single" w:sz="4" w:space="0" w:color="auto"/>
            </w:tcBorders>
            <w:vAlign w:val="center"/>
          </w:tcPr>
          <w:p w14:paraId="49034A3E"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Povećanje broja korisnika naknade za boravak djece u jaslicama i vrtiću u svim slučajevima koji zadovoljavaju uvjete odobrenja, te podmirenje troškova sufinanciranja</w:t>
            </w:r>
          </w:p>
        </w:tc>
        <w:tc>
          <w:tcPr>
            <w:tcW w:w="2463" w:type="dxa"/>
            <w:tcBorders>
              <w:top w:val="single" w:sz="4" w:space="0" w:color="auto"/>
              <w:left w:val="single" w:sz="4" w:space="0" w:color="auto"/>
              <w:bottom w:val="single" w:sz="4" w:space="0" w:color="auto"/>
              <w:right w:val="single" w:sz="4" w:space="0" w:color="auto"/>
            </w:tcBorders>
          </w:tcPr>
          <w:p w14:paraId="1E43F967"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rPr>
              <w:t xml:space="preserve">Pomoć u skrbi o djeci predškolske dobi sufinanciranjem smještaja djece u vrtiće i jaslice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C3A5D5" w14:textId="1B01136F" w:rsidR="00676A9B" w:rsidRPr="00676A9B" w:rsidRDefault="00676A9B" w:rsidP="00676A9B">
            <w:pPr>
              <w:jc w:val="center"/>
              <w:rPr>
                <w:rFonts w:ascii="Arial" w:hAnsi="Arial" w:cs="Arial"/>
                <w:lang w:eastAsia="en-US"/>
              </w:rPr>
            </w:pPr>
            <w:r w:rsidRPr="00676A9B">
              <w:rPr>
                <w:rFonts w:ascii="Arial" w:hAnsi="Arial" w:cs="Arial"/>
                <w:lang w:eastAsia="en-US"/>
              </w:rPr>
              <w:t>%</w:t>
            </w:r>
            <w:r w:rsidR="007C78E5">
              <w:rPr>
                <w:rFonts w:ascii="Arial" w:hAnsi="Arial" w:cs="Arial"/>
                <w:lang w:eastAsia="en-US"/>
              </w:rPr>
              <w:t xml:space="preserve"> odobrenih zahtjeva i broj korisnika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BDA5CF" w14:textId="77777777" w:rsidR="00676A9B" w:rsidRPr="00676A9B" w:rsidRDefault="00676A9B" w:rsidP="00676A9B">
            <w:pPr>
              <w:jc w:val="center"/>
              <w:rPr>
                <w:rFonts w:ascii="Arial" w:hAnsi="Arial" w:cs="Arial"/>
                <w:lang w:eastAsia="en-US"/>
              </w:rPr>
            </w:pPr>
            <w:r w:rsidRPr="00676A9B">
              <w:rPr>
                <w:rFonts w:ascii="Arial" w:hAnsi="Arial" w:cs="Arial"/>
                <w:lang w:eastAsia="en-US"/>
              </w:rPr>
              <w:t>Općina</w:t>
            </w:r>
          </w:p>
        </w:tc>
        <w:tc>
          <w:tcPr>
            <w:tcW w:w="1275" w:type="dxa"/>
            <w:tcBorders>
              <w:top w:val="single" w:sz="4" w:space="0" w:color="auto"/>
              <w:left w:val="single" w:sz="4" w:space="0" w:color="auto"/>
              <w:bottom w:val="single" w:sz="4" w:space="0" w:color="auto"/>
              <w:right w:val="single" w:sz="4" w:space="0" w:color="auto"/>
            </w:tcBorders>
            <w:vAlign w:val="center"/>
          </w:tcPr>
          <w:p w14:paraId="2A4A5734" w14:textId="77777777" w:rsidR="00676A9B" w:rsidRDefault="00676A9B" w:rsidP="00676A9B">
            <w:pPr>
              <w:jc w:val="center"/>
              <w:rPr>
                <w:rFonts w:ascii="Arial" w:hAnsi="Arial" w:cs="Arial"/>
                <w:lang w:eastAsia="en-US"/>
              </w:rPr>
            </w:pPr>
            <w:r w:rsidRPr="00676A9B">
              <w:rPr>
                <w:rFonts w:ascii="Arial" w:hAnsi="Arial" w:cs="Arial"/>
                <w:lang w:eastAsia="en-US"/>
              </w:rPr>
              <w:t>100%</w:t>
            </w:r>
          </w:p>
          <w:p w14:paraId="728ED056" w14:textId="56DE1EF0" w:rsidR="007C78E5" w:rsidRPr="00676A9B" w:rsidRDefault="007C78E5" w:rsidP="00676A9B">
            <w:pPr>
              <w:jc w:val="center"/>
              <w:rPr>
                <w:rFonts w:ascii="Arial" w:hAnsi="Arial" w:cs="Arial"/>
                <w:lang w:eastAsia="en-US"/>
              </w:rPr>
            </w:pPr>
            <w:r w:rsidRPr="007C78E5">
              <w:rPr>
                <w:rFonts w:ascii="Arial" w:hAnsi="Arial" w:cs="Arial"/>
                <w:sz w:val="18"/>
                <w:szCs w:val="18"/>
                <w:lang w:eastAsia="en-US"/>
              </w:rPr>
              <w:t>(1</w:t>
            </w:r>
            <w:r>
              <w:rPr>
                <w:rFonts w:ascii="Arial" w:hAnsi="Arial" w:cs="Arial"/>
                <w:sz w:val="18"/>
                <w:szCs w:val="18"/>
                <w:lang w:eastAsia="en-US"/>
              </w:rPr>
              <w:t>10</w:t>
            </w:r>
            <w:r w:rsidRPr="007C78E5">
              <w:rPr>
                <w:rFonts w:ascii="Arial" w:hAnsi="Arial" w:cs="Arial"/>
                <w:sz w:val="18"/>
                <w:szCs w:val="18"/>
                <w:lang w:eastAsia="en-US"/>
              </w:rPr>
              <w:t xml:space="preserve"> korisnika prosječno, (socijalna i demografska mjera)</w:t>
            </w:r>
          </w:p>
        </w:tc>
        <w:tc>
          <w:tcPr>
            <w:tcW w:w="1134" w:type="dxa"/>
            <w:tcBorders>
              <w:top w:val="single" w:sz="4" w:space="0" w:color="000000"/>
              <w:left w:val="single" w:sz="4" w:space="0" w:color="000000"/>
              <w:bottom w:val="single" w:sz="4" w:space="0" w:color="000000"/>
              <w:right w:val="single" w:sz="4" w:space="0" w:color="000000"/>
            </w:tcBorders>
            <w:vAlign w:val="center"/>
          </w:tcPr>
          <w:p w14:paraId="6BDB60C9"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DC43C71" w14:textId="77777777" w:rsidR="00676A9B" w:rsidRDefault="00676A9B" w:rsidP="00676A9B">
            <w:pPr>
              <w:jc w:val="center"/>
              <w:rPr>
                <w:rFonts w:ascii="Arial" w:hAnsi="Arial" w:cs="Arial"/>
                <w:lang w:eastAsia="en-US"/>
              </w:rPr>
            </w:pPr>
            <w:r w:rsidRPr="00676A9B">
              <w:rPr>
                <w:rFonts w:ascii="Arial" w:hAnsi="Arial" w:cs="Arial"/>
                <w:lang w:eastAsia="en-US"/>
              </w:rPr>
              <w:t>100%</w:t>
            </w:r>
          </w:p>
          <w:p w14:paraId="5A1CEE70" w14:textId="6158175B" w:rsidR="007C78E5" w:rsidRPr="00676A9B" w:rsidRDefault="007C78E5" w:rsidP="00676A9B">
            <w:pPr>
              <w:jc w:val="center"/>
              <w:rPr>
                <w:rFonts w:ascii="Arial" w:hAnsi="Arial" w:cs="Arial"/>
                <w:lang w:eastAsia="en-US"/>
              </w:rPr>
            </w:pPr>
            <w:r w:rsidRPr="007C78E5">
              <w:rPr>
                <w:rFonts w:ascii="Arial" w:hAnsi="Arial" w:cs="Arial"/>
                <w:sz w:val="18"/>
                <w:szCs w:val="18"/>
                <w:lang w:eastAsia="en-US"/>
              </w:rPr>
              <w:t>(12</w:t>
            </w:r>
            <w:r>
              <w:rPr>
                <w:rFonts w:ascii="Arial" w:hAnsi="Arial" w:cs="Arial"/>
                <w:sz w:val="18"/>
                <w:szCs w:val="18"/>
                <w:lang w:eastAsia="en-US"/>
              </w:rPr>
              <w:t>0</w:t>
            </w:r>
            <w:r w:rsidRPr="007C78E5">
              <w:rPr>
                <w:rFonts w:ascii="Arial" w:hAnsi="Arial" w:cs="Arial"/>
                <w:sz w:val="18"/>
                <w:szCs w:val="18"/>
                <w:lang w:eastAsia="en-US"/>
              </w:rPr>
              <w:t xml:space="preserve"> korisnika prosječno, (socijalna i demografska mjera)</w:t>
            </w:r>
          </w:p>
        </w:tc>
        <w:tc>
          <w:tcPr>
            <w:tcW w:w="1134" w:type="dxa"/>
            <w:tcBorders>
              <w:top w:val="single" w:sz="4" w:space="0" w:color="000000"/>
              <w:left w:val="single" w:sz="4" w:space="0" w:color="000000"/>
              <w:bottom w:val="single" w:sz="4" w:space="0" w:color="000000"/>
              <w:right w:val="single" w:sz="4" w:space="0" w:color="000000"/>
            </w:tcBorders>
            <w:vAlign w:val="center"/>
          </w:tcPr>
          <w:p w14:paraId="22F41C6D"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9F33DFE"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w:t>
            </w:r>
          </w:p>
        </w:tc>
      </w:tr>
    </w:tbl>
    <w:p w14:paraId="6EE078C7"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3486651A" w14:textId="14088C0F" w:rsidR="00676A9B" w:rsidRPr="00676A9B" w:rsidRDefault="00676A9B" w:rsidP="00676A9B">
      <w:pPr>
        <w:spacing w:after="0" w:line="240" w:lineRule="auto"/>
        <w:jc w:val="both"/>
        <w:rPr>
          <w:rFonts w:ascii="Arial" w:eastAsia="Calibri" w:hAnsi="Arial" w:cs="Arial"/>
          <w:sz w:val="20"/>
          <w:szCs w:val="20"/>
        </w:rPr>
      </w:pPr>
      <w:bookmarkStart w:id="416" w:name="_Hlk135032247"/>
      <w:bookmarkEnd w:id="413"/>
      <w:bookmarkEnd w:id="415"/>
      <w:r w:rsidRPr="00676A9B">
        <w:rPr>
          <w:rFonts w:ascii="Arial" w:eastAsia="Calibri" w:hAnsi="Arial" w:cs="Arial"/>
          <w:b/>
          <w:sz w:val="20"/>
          <w:szCs w:val="20"/>
        </w:rPr>
        <w:t xml:space="preserve">7. A204108: Pomoć za nabavu školskih udžbenika </w:t>
      </w:r>
      <w:r w:rsidRPr="00676A9B">
        <w:rPr>
          <w:rFonts w:ascii="Arial" w:eastAsia="Calibri" w:hAnsi="Arial" w:cs="Arial"/>
          <w:sz w:val="20"/>
          <w:szCs w:val="20"/>
        </w:rPr>
        <w:t>- u sklopu navedene aktivnosti su rashodi za naknade građanima i kućanstvima u novcu u skladu s programom demografskih mjera i socijalne pomoći. Planirana sredstva za provođenje navedene aktivnosti iznose 8.</w:t>
      </w:r>
      <w:r w:rsidR="007C78E5">
        <w:rPr>
          <w:rFonts w:ascii="Arial" w:eastAsia="Calibri" w:hAnsi="Arial" w:cs="Arial"/>
          <w:sz w:val="20"/>
          <w:szCs w:val="20"/>
        </w:rPr>
        <w:t>210</w:t>
      </w:r>
      <w:r w:rsidRPr="00676A9B">
        <w:rPr>
          <w:rFonts w:ascii="Arial" w:eastAsia="Calibri" w:hAnsi="Arial" w:cs="Arial"/>
          <w:sz w:val="20"/>
          <w:szCs w:val="20"/>
        </w:rPr>
        <w:t xml:space="preserve"> € (novčana pomoć za sufinanciranje kupnje udžbenika za učenike osnovnih škola, te učenike srednjih škola). Rashodi su izvršeni u iznosu </w:t>
      </w:r>
      <w:r w:rsidR="007C78E5">
        <w:rPr>
          <w:rFonts w:ascii="Arial" w:eastAsia="Calibri" w:hAnsi="Arial" w:cs="Arial"/>
          <w:sz w:val="20"/>
          <w:szCs w:val="20"/>
        </w:rPr>
        <w:t>8.210</w:t>
      </w:r>
      <w:r w:rsidRPr="00676A9B">
        <w:rPr>
          <w:rFonts w:ascii="Arial" w:eastAsia="Calibri" w:hAnsi="Arial" w:cs="Arial"/>
          <w:sz w:val="20"/>
          <w:szCs w:val="20"/>
        </w:rPr>
        <w:t>0 €.</w:t>
      </w:r>
    </w:p>
    <w:p w14:paraId="3BF40555" w14:textId="5B3FE7AC" w:rsidR="00676A9B" w:rsidRDefault="007C78E5" w:rsidP="00676A9B">
      <w:pPr>
        <w:spacing w:after="0" w:line="240" w:lineRule="auto"/>
        <w:jc w:val="both"/>
        <w:rPr>
          <w:rFonts w:ascii="Arial" w:eastAsia="Calibri" w:hAnsi="Arial" w:cs="Arial"/>
          <w:sz w:val="20"/>
          <w:szCs w:val="20"/>
        </w:rPr>
      </w:pPr>
      <w:r w:rsidRPr="007C78E5">
        <w:rPr>
          <w:rFonts w:ascii="Arial" w:eastAsia="Calibri" w:hAnsi="Arial" w:cs="Arial"/>
          <w:sz w:val="20"/>
          <w:szCs w:val="20"/>
        </w:rPr>
        <w:t>Općinski načelnik je u kolovozu 2025. gonio odluku o pravu na novčanu pomoć roditeljima učenika osnovnih i srednjih škola za školsku 2025/26 godinu. Prema navedenoj odluci, pravo temeljem socijalnih mjera su ostvarivali roditelji učenika pod uvjetom da su ostvarivali dječji doplatak, ta da imaju prebivalište na području Općine. Novčana pomoć za učenike osnovnih škola je iznosila 60 € za učenike prvog do četvrtog razreda, odnosno 70 € za učenike petog do osmog razrada, te 80 € za učenike srednjih škola.</w:t>
      </w:r>
    </w:p>
    <w:p w14:paraId="5F81C1DB" w14:textId="77777777" w:rsidR="007C78E5" w:rsidRPr="00676A9B" w:rsidRDefault="007C78E5" w:rsidP="00676A9B">
      <w:pPr>
        <w:spacing w:after="0" w:line="240" w:lineRule="auto"/>
        <w:jc w:val="both"/>
        <w:rPr>
          <w:rFonts w:ascii="Arial" w:eastAsia="Calibri" w:hAnsi="Arial" w:cs="Arial"/>
          <w:sz w:val="20"/>
          <w:szCs w:val="20"/>
        </w:rPr>
      </w:pPr>
    </w:p>
    <w:p w14:paraId="42A26698" w14:textId="247E70AE" w:rsidR="009E091D" w:rsidRPr="009E091D" w:rsidRDefault="009E091D" w:rsidP="009E091D">
      <w:pPr>
        <w:spacing w:after="0" w:line="240" w:lineRule="auto"/>
        <w:jc w:val="both"/>
        <w:rPr>
          <w:rFonts w:ascii="Arial" w:eastAsia="Calibri" w:hAnsi="Arial" w:cs="Arial"/>
          <w:bCs/>
          <w:sz w:val="20"/>
          <w:szCs w:val="20"/>
        </w:rPr>
      </w:pPr>
      <w:r w:rsidRPr="009E091D">
        <w:rPr>
          <w:rFonts w:ascii="Arial" w:eastAsia="Calibri" w:hAnsi="Arial" w:cs="Arial"/>
          <w:bCs/>
          <w:sz w:val="20"/>
          <w:szCs w:val="20"/>
        </w:rPr>
        <w:t xml:space="preserve">U 2025. godini </w:t>
      </w:r>
      <w:r>
        <w:rPr>
          <w:rFonts w:ascii="Arial" w:eastAsia="Calibri" w:hAnsi="Arial" w:cs="Arial"/>
          <w:sz w:val="18"/>
          <w:szCs w:val="18"/>
        </w:rPr>
        <w:t>o</w:t>
      </w:r>
      <w:r w:rsidRPr="00676A9B">
        <w:rPr>
          <w:rFonts w:ascii="Arial" w:eastAsia="Calibri" w:hAnsi="Arial" w:cs="Arial"/>
          <w:sz w:val="18"/>
          <w:szCs w:val="18"/>
        </w:rPr>
        <w:t xml:space="preserve">vu novčanu naknadu iz programa socijalnih mjera </w:t>
      </w:r>
      <w:r w:rsidRPr="009E091D">
        <w:rPr>
          <w:rFonts w:ascii="Arial" w:eastAsia="Calibri" w:hAnsi="Arial" w:cs="Arial"/>
          <w:bCs/>
          <w:sz w:val="20"/>
          <w:szCs w:val="20"/>
        </w:rPr>
        <w:t>su ostvarili roditelji za ukupno 117 učenika (83 učenika osnovnih škola i 34 učenika srednjih škola).</w:t>
      </w:r>
    </w:p>
    <w:p w14:paraId="3605D66F" w14:textId="77777777" w:rsidR="00676A9B" w:rsidRPr="00676A9B" w:rsidRDefault="00676A9B" w:rsidP="00676A9B">
      <w:pPr>
        <w:spacing w:after="0" w:line="240" w:lineRule="auto"/>
        <w:jc w:val="both"/>
        <w:rPr>
          <w:rFonts w:ascii="Arial" w:eastAsia="Calibri" w:hAnsi="Arial" w:cs="Arial"/>
          <w:b/>
          <w:sz w:val="12"/>
          <w:szCs w:val="12"/>
        </w:rPr>
      </w:pPr>
    </w:p>
    <w:tbl>
      <w:tblPr>
        <w:tblStyle w:val="Reetkatablice536"/>
        <w:tblW w:w="14103" w:type="dxa"/>
        <w:jc w:val="center"/>
        <w:tblLayout w:type="fixed"/>
        <w:tblLook w:val="04A0" w:firstRow="1" w:lastRow="0" w:firstColumn="1" w:lastColumn="0" w:noHBand="0" w:noVBand="1"/>
      </w:tblPr>
      <w:tblGrid>
        <w:gridCol w:w="2977"/>
        <w:gridCol w:w="3114"/>
        <w:gridCol w:w="1110"/>
        <w:gridCol w:w="1134"/>
        <w:gridCol w:w="1232"/>
        <w:gridCol w:w="1134"/>
        <w:gridCol w:w="1134"/>
        <w:gridCol w:w="1134"/>
        <w:gridCol w:w="1134"/>
      </w:tblGrid>
      <w:tr w:rsidR="00676A9B" w:rsidRPr="00676A9B" w14:paraId="31E5B1AD" w14:textId="77777777" w:rsidTr="009E091D">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90038AB"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311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88AB184"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11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BC8F40A"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746EA5E"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699DD9B" w14:textId="14A9F8B4"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9E091D">
              <w:rPr>
                <w:rFonts w:ascii="Arial" w:eastAsia="Calibri" w:hAnsi="Arial" w:cs="Arial"/>
                <w:lang w:eastAsia="en-US"/>
              </w:rPr>
              <w:t>4</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37D76BC2" w14:textId="18DC53A2"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9E091D">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E4DD342" w14:textId="140FF55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9E091D">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6AAE6663" w14:textId="1A446D44"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9E091D">
              <w:rPr>
                <w:rFonts w:ascii="Arial" w:eastAsia="Calibri" w:hAnsi="Arial" w:cs="Arial"/>
                <w:lang w:eastAsia="en-US"/>
              </w:rPr>
              <w:t>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3F9AD4E2" w14:textId="5346332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9E091D">
              <w:rPr>
                <w:rFonts w:ascii="Arial" w:eastAsia="Calibri" w:hAnsi="Arial" w:cs="Arial"/>
                <w:lang w:eastAsia="en-US"/>
              </w:rPr>
              <w:t>7</w:t>
            </w:r>
            <w:r w:rsidRPr="00676A9B">
              <w:rPr>
                <w:rFonts w:ascii="Arial" w:eastAsia="Calibri" w:hAnsi="Arial" w:cs="Arial"/>
                <w:lang w:eastAsia="en-US"/>
              </w:rPr>
              <w:t>.</w:t>
            </w:r>
          </w:p>
        </w:tc>
      </w:tr>
      <w:tr w:rsidR="009E091D" w:rsidRPr="00676A9B" w14:paraId="48E081D8" w14:textId="77777777" w:rsidTr="009E091D">
        <w:trPr>
          <w:trHeight w:val="1031"/>
          <w:jc w:val="center"/>
        </w:trPr>
        <w:tc>
          <w:tcPr>
            <w:tcW w:w="2977" w:type="dxa"/>
            <w:tcBorders>
              <w:top w:val="single" w:sz="4" w:space="0" w:color="auto"/>
              <w:left w:val="single" w:sz="4" w:space="0" w:color="auto"/>
              <w:bottom w:val="single" w:sz="4" w:space="0" w:color="auto"/>
              <w:right w:val="single" w:sz="4" w:space="0" w:color="auto"/>
            </w:tcBorders>
            <w:vAlign w:val="center"/>
          </w:tcPr>
          <w:p w14:paraId="53DE0FF0" w14:textId="77777777" w:rsidR="009E091D" w:rsidRPr="00676A9B" w:rsidRDefault="009E091D" w:rsidP="009E091D">
            <w:pPr>
              <w:rPr>
                <w:rFonts w:ascii="Arial" w:hAnsi="Arial" w:cs="Arial"/>
                <w:sz w:val="18"/>
                <w:szCs w:val="18"/>
                <w:lang w:eastAsia="en-US"/>
              </w:rPr>
            </w:pPr>
            <w:r w:rsidRPr="00676A9B">
              <w:rPr>
                <w:rFonts w:ascii="Arial" w:hAnsi="Arial" w:cs="Arial"/>
                <w:sz w:val="18"/>
                <w:szCs w:val="18"/>
                <w:lang w:eastAsia="en-US"/>
              </w:rPr>
              <w:t>Postotak odobrenih zahtjeva iz područja socijalnih mjera kojima se postižu bolji uvjeti za život i rad u Općini.</w:t>
            </w:r>
          </w:p>
        </w:tc>
        <w:tc>
          <w:tcPr>
            <w:tcW w:w="3114" w:type="dxa"/>
            <w:tcBorders>
              <w:top w:val="single" w:sz="4" w:space="0" w:color="auto"/>
              <w:left w:val="single" w:sz="4" w:space="0" w:color="auto"/>
              <w:bottom w:val="single" w:sz="4" w:space="0" w:color="auto"/>
              <w:right w:val="single" w:sz="4" w:space="0" w:color="auto"/>
            </w:tcBorders>
            <w:vAlign w:val="center"/>
          </w:tcPr>
          <w:p w14:paraId="09165F14" w14:textId="77777777" w:rsidR="009E091D" w:rsidRPr="00676A9B" w:rsidRDefault="009E091D" w:rsidP="009E091D">
            <w:pPr>
              <w:rPr>
                <w:rFonts w:ascii="Arial" w:hAnsi="Arial" w:cs="Arial"/>
                <w:sz w:val="18"/>
                <w:szCs w:val="18"/>
                <w:lang w:eastAsia="en-US"/>
              </w:rPr>
            </w:pPr>
            <w:r w:rsidRPr="00676A9B">
              <w:rPr>
                <w:rFonts w:ascii="Arial" w:eastAsia="Calibri" w:hAnsi="Arial" w:cs="Arial"/>
                <w:sz w:val="18"/>
                <w:szCs w:val="18"/>
                <w:lang w:eastAsia="en-US"/>
              </w:rPr>
              <w:t>Programom se pomaže stvaranje određenih preduvjeta za kvalitetniji život svim obiteljima u socijalnoj potrebi i učenicima kao oblik pomoći u školovanju djeteta.</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A4A4387" w14:textId="60652746" w:rsidR="009E091D" w:rsidRPr="009E091D" w:rsidRDefault="009E091D" w:rsidP="009E091D">
            <w:pPr>
              <w:jc w:val="center"/>
              <w:rPr>
                <w:rFonts w:ascii="Arial" w:hAnsi="Arial" w:cs="Arial"/>
                <w:sz w:val="18"/>
                <w:szCs w:val="18"/>
                <w:lang w:eastAsia="en-US"/>
              </w:rPr>
            </w:pPr>
            <w:r w:rsidRPr="009E091D">
              <w:rPr>
                <w:rFonts w:ascii="Arial" w:hAnsi="Arial" w:cs="Arial"/>
                <w:sz w:val="18"/>
                <w:szCs w:val="18"/>
                <w:lang w:eastAsia="en-US"/>
              </w:rPr>
              <w:t>% odobrenih zahtjeva i broj korisnika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0D73E6" w14:textId="77777777" w:rsidR="009E091D" w:rsidRPr="00676A9B" w:rsidRDefault="009E091D" w:rsidP="009E091D">
            <w:pPr>
              <w:jc w:val="center"/>
              <w:rPr>
                <w:rFonts w:ascii="Arial" w:hAnsi="Arial" w:cs="Arial"/>
                <w:lang w:eastAsia="en-US"/>
              </w:rPr>
            </w:pPr>
            <w:r w:rsidRPr="00676A9B">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hideMark/>
          </w:tcPr>
          <w:p w14:paraId="3C9B3B94" w14:textId="77777777" w:rsidR="009E091D" w:rsidRDefault="009E091D" w:rsidP="009E091D">
            <w:pPr>
              <w:jc w:val="center"/>
              <w:rPr>
                <w:rFonts w:ascii="Arial" w:hAnsi="Arial" w:cs="Arial"/>
                <w:lang w:eastAsia="en-US"/>
              </w:rPr>
            </w:pPr>
            <w:r w:rsidRPr="00676A9B">
              <w:rPr>
                <w:rFonts w:ascii="Arial" w:hAnsi="Arial" w:cs="Arial"/>
                <w:lang w:eastAsia="en-US"/>
              </w:rPr>
              <w:t>100 %</w:t>
            </w:r>
          </w:p>
          <w:p w14:paraId="752420EF" w14:textId="4D72B42F" w:rsidR="009E091D" w:rsidRPr="00676A9B" w:rsidRDefault="009E091D" w:rsidP="009E091D">
            <w:pPr>
              <w:jc w:val="center"/>
              <w:rPr>
                <w:rFonts w:ascii="Arial" w:hAnsi="Arial" w:cs="Arial"/>
                <w:lang w:eastAsia="en-US"/>
              </w:rPr>
            </w:pPr>
            <w:r>
              <w:rPr>
                <w:rFonts w:ascii="Arial" w:hAnsi="Arial" w:cs="Arial"/>
                <w:lang w:eastAsia="en-US"/>
              </w:rPr>
              <w:t>(74 učenika)</w:t>
            </w:r>
          </w:p>
        </w:tc>
        <w:tc>
          <w:tcPr>
            <w:tcW w:w="1134" w:type="dxa"/>
            <w:tcBorders>
              <w:top w:val="single" w:sz="4" w:space="0" w:color="000000"/>
              <w:left w:val="single" w:sz="4" w:space="0" w:color="000000"/>
              <w:bottom w:val="single" w:sz="4" w:space="0" w:color="000000"/>
              <w:right w:val="single" w:sz="4" w:space="0" w:color="000000"/>
            </w:tcBorders>
            <w:vAlign w:val="center"/>
          </w:tcPr>
          <w:p w14:paraId="06105DA0" w14:textId="77777777" w:rsidR="009E091D" w:rsidRPr="00676A9B" w:rsidRDefault="009E091D" w:rsidP="009E091D">
            <w:pPr>
              <w:jc w:val="center"/>
              <w:rPr>
                <w:rFonts w:ascii="Arial" w:hAnsi="Arial" w:cs="Arial"/>
                <w:lang w:eastAsia="en-US"/>
              </w:rPr>
            </w:pPr>
            <w:r w:rsidRPr="00676A9B">
              <w:rPr>
                <w:rFonts w:ascii="Arial" w:hAnsi="Arial" w:cs="Arial"/>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32A4A31B" w14:textId="77777777" w:rsidR="009E091D" w:rsidRDefault="009E091D" w:rsidP="009E091D">
            <w:pPr>
              <w:jc w:val="center"/>
              <w:rPr>
                <w:rFonts w:ascii="Arial" w:hAnsi="Arial" w:cs="Arial"/>
                <w:lang w:eastAsia="en-US"/>
              </w:rPr>
            </w:pPr>
            <w:r w:rsidRPr="00676A9B">
              <w:rPr>
                <w:rFonts w:ascii="Arial" w:hAnsi="Arial" w:cs="Arial"/>
                <w:lang w:eastAsia="en-US"/>
              </w:rPr>
              <w:t>100 %</w:t>
            </w:r>
          </w:p>
          <w:p w14:paraId="3CE46CB6" w14:textId="60743C44" w:rsidR="009E091D" w:rsidRPr="00676A9B" w:rsidRDefault="009E091D" w:rsidP="009E091D">
            <w:pPr>
              <w:jc w:val="center"/>
              <w:rPr>
                <w:rFonts w:ascii="Arial" w:hAnsi="Arial" w:cs="Arial"/>
                <w:lang w:eastAsia="en-US"/>
              </w:rPr>
            </w:pPr>
            <w:r>
              <w:rPr>
                <w:rFonts w:ascii="Arial" w:hAnsi="Arial" w:cs="Arial"/>
                <w:lang w:eastAsia="en-US"/>
              </w:rPr>
              <w:t>(117 učenika)</w:t>
            </w:r>
          </w:p>
        </w:tc>
        <w:tc>
          <w:tcPr>
            <w:tcW w:w="1134" w:type="dxa"/>
            <w:tcBorders>
              <w:top w:val="single" w:sz="4" w:space="0" w:color="000000"/>
              <w:left w:val="single" w:sz="4" w:space="0" w:color="000000"/>
              <w:bottom w:val="single" w:sz="4" w:space="0" w:color="000000"/>
              <w:right w:val="single" w:sz="4" w:space="0" w:color="000000"/>
            </w:tcBorders>
            <w:vAlign w:val="center"/>
          </w:tcPr>
          <w:p w14:paraId="222B54B1" w14:textId="77777777" w:rsidR="009E091D" w:rsidRPr="00676A9B" w:rsidRDefault="009E091D" w:rsidP="009E091D">
            <w:pPr>
              <w:jc w:val="center"/>
              <w:rPr>
                <w:rFonts w:ascii="Arial" w:hAnsi="Arial" w:cs="Arial"/>
                <w:lang w:eastAsia="en-US"/>
              </w:rPr>
            </w:pPr>
            <w:r w:rsidRPr="00676A9B">
              <w:rPr>
                <w:rFonts w:ascii="Arial" w:hAnsi="Arial" w:cs="Arial"/>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735CC438" w14:textId="77777777" w:rsidR="009E091D" w:rsidRPr="00676A9B" w:rsidRDefault="009E091D" w:rsidP="009E091D">
            <w:pPr>
              <w:jc w:val="center"/>
              <w:rPr>
                <w:rFonts w:ascii="Arial" w:hAnsi="Arial" w:cs="Arial"/>
                <w:lang w:eastAsia="en-US"/>
              </w:rPr>
            </w:pPr>
            <w:r w:rsidRPr="00676A9B">
              <w:rPr>
                <w:rFonts w:ascii="Arial" w:hAnsi="Arial" w:cs="Arial"/>
                <w:lang w:eastAsia="en-US"/>
              </w:rPr>
              <w:t>100 %</w:t>
            </w:r>
          </w:p>
        </w:tc>
      </w:tr>
    </w:tbl>
    <w:p w14:paraId="67E20BB7" w14:textId="77777777" w:rsidR="00676A9B" w:rsidRPr="00676A9B" w:rsidRDefault="00676A9B" w:rsidP="00676A9B">
      <w:pPr>
        <w:spacing w:after="0" w:line="240" w:lineRule="auto"/>
        <w:jc w:val="both"/>
        <w:rPr>
          <w:rFonts w:ascii="Arial" w:eastAsia="Calibri" w:hAnsi="Arial" w:cs="Arial"/>
          <w:sz w:val="14"/>
          <w:szCs w:val="14"/>
          <w:lang w:eastAsia="en-US"/>
        </w:rPr>
      </w:pPr>
    </w:p>
    <w:p w14:paraId="29596F87" w14:textId="77777777" w:rsidR="00676A9B" w:rsidRPr="00676A9B" w:rsidRDefault="00676A9B" w:rsidP="00676A9B">
      <w:pPr>
        <w:spacing w:after="0" w:line="240" w:lineRule="auto"/>
        <w:jc w:val="both"/>
        <w:rPr>
          <w:rFonts w:ascii="Arial" w:eastAsia="Calibri" w:hAnsi="Arial" w:cs="Arial"/>
          <w:i/>
          <w:sz w:val="20"/>
          <w:szCs w:val="20"/>
        </w:rPr>
      </w:pPr>
      <w:r w:rsidRPr="00676A9B">
        <w:rPr>
          <w:rFonts w:ascii="Arial" w:eastAsia="Calibri" w:hAnsi="Arial" w:cs="Arial"/>
          <w:i/>
          <w:sz w:val="20"/>
          <w:szCs w:val="20"/>
        </w:rPr>
        <w:t>Usporedba:</w:t>
      </w:r>
    </w:p>
    <w:tbl>
      <w:tblPr>
        <w:tblStyle w:val="Reetkatablice"/>
        <w:tblW w:w="0" w:type="auto"/>
        <w:jc w:val="center"/>
        <w:tblLook w:val="04A0" w:firstRow="1" w:lastRow="0" w:firstColumn="1" w:lastColumn="0" w:noHBand="0" w:noVBand="1"/>
      </w:tblPr>
      <w:tblGrid>
        <w:gridCol w:w="797"/>
        <w:gridCol w:w="2006"/>
        <w:gridCol w:w="1303"/>
        <w:gridCol w:w="9243"/>
      </w:tblGrid>
      <w:tr w:rsidR="00676A9B" w:rsidRPr="00676A9B" w14:paraId="4512F197" w14:textId="77777777" w:rsidTr="00410A4B">
        <w:trPr>
          <w:jc w:val="center"/>
        </w:trPr>
        <w:tc>
          <w:tcPr>
            <w:tcW w:w="797" w:type="dxa"/>
            <w:vAlign w:val="center"/>
          </w:tcPr>
          <w:p w14:paraId="67184929" w14:textId="77777777" w:rsidR="00676A9B" w:rsidRPr="00676A9B" w:rsidRDefault="00676A9B" w:rsidP="00676A9B">
            <w:pPr>
              <w:spacing w:before="100" w:beforeAutospacing="1" w:after="100" w:afterAutospacing="1"/>
              <w:jc w:val="center"/>
              <w:rPr>
                <w:rFonts w:ascii="Arial" w:eastAsia="Calibri" w:hAnsi="Arial" w:cs="Arial"/>
                <w:i/>
                <w:iCs/>
                <w:sz w:val="18"/>
                <w:szCs w:val="18"/>
              </w:rPr>
            </w:pPr>
            <w:r w:rsidRPr="00676A9B">
              <w:rPr>
                <w:rFonts w:ascii="Arial" w:eastAsia="Calibri" w:hAnsi="Arial" w:cs="Arial"/>
                <w:i/>
                <w:iCs/>
                <w:sz w:val="18"/>
                <w:szCs w:val="18"/>
              </w:rPr>
              <w:t>Godina</w:t>
            </w:r>
          </w:p>
        </w:tc>
        <w:tc>
          <w:tcPr>
            <w:tcW w:w="2006" w:type="dxa"/>
            <w:vAlign w:val="center"/>
          </w:tcPr>
          <w:p w14:paraId="29BB8FCC" w14:textId="77777777" w:rsidR="00676A9B" w:rsidRPr="00676A9B" w:rsidRDefault="00676A9B" w:rsidP="00676A9B">
            <w:pPr>
              <w:spacing w:before="100" w:beforeAutospacing="1" w:after="100" w:afterAutospacing="1"/>
              <w:jc w:val="center"/>
              <w:rPr>
                <w:rFonts w:ascii="Arial" w:eastAsia="Calibri" w:hAnsi="Arial" w:cs="Arial"/>
                <w:i/>
                <w:iCs/>
                <w:sz w:val="18"/>
                <w:szCs w:val="18"/>
              </w:rPr>
            </w:pPr>
            <w:r w:rsidRPr="00676A9B">
              <w:rPr>
                <w:rFonts w:ascii="Arial" w:eastAsia="Calibri" w:hAnsi="Arial" w:cs="Arial"/>
                <w:i/>
                <w:iCs/>
                <w:sz w:val="18"/>
                <w:szCs w:val="18"/>
              </w:rPr>
              <w:t>Broj djece - korisnika</w:t>
            </w:r>
          </w:p>
        </w:tc>
        <w:tc>
          <w:tcPr>
            <w:tcW w:w="1303" w:type="dxa"/>
            <w:vAlign w:val="center"/>
          </w:tcPr>
          <w:p w14:paraId="1B886026" w14:textId="77777777" w:rsidR="00676A9B" w:rsidRPr="00676A9B" w:rsidRDefault="00676A9B" w:rsidP="00676A9B">
            <w:pPr>
              <w:spacing w:before="100" w:beforeAutospacing="1" w:after="100" w:afterAutospacing="1"/>
              <w:jc w:val="center"/>
              <w:rPr>
                <w:rFonts w:ascii="Arial" w:eastAsia="Calibri" w:hAnsi="Arial" w:cs="Arial"/>
                <w:i/>
                <w:iCs/>
                <w:sz w:val="18"/>
                <w:szCs w:val="18"/>
              </w:rPr>
            </w:pPr>
            <w:r w:rsidRPr="00676A9B">
              <w:rPr>
                <w:rFonts w:ascii="Arial" w:eastAsia="Calibri" w:hAnsi="Arial" w:cs="Arial"/>
                <w:i/>
                <w:iCs/>
                <w:sz w:val="18"/>
                <w:szCs w:val="18"/>
              </w:rPr>
              <w:t>Izvršeno (€)</w:t>
            </w:r>
          </w:p>
          <w:p w14:paraId="59DD5FE1" w14:textId="77777777" w:rsidR="00676A9B" w:rsidRPr="00676A9B" w:rsidRDefault="00676A9B" w:rsidP="00676A9B">
            <w:pPr>
              <w:spacing w:before="100" w:beforeAutospacing="1" w:after="100" w:afterAutospacing="1"/>
              <w:jc w:val="center"/>
              <w:rPr>
                <w:rFonts w:ascii="Arial" w:eastAsia="Calibri" w:hAnsi="Arial" w:cs="Arial"/>
                <w:i/>
                <w:iCs/>
                <w:sz w:val="18"/>
                <w:szCs w:val="18"/>
              </w:rPr>
            </w:pPr>
            <w:r w:rsidRPr="00676A9B">
              <w:rPr>
                <w:rFonts w:ascii="Arial" w:eastAsia="Calibri" w:hAnsi="Arial" w:cs="Arial"/>
                <w:b/>
                <w:bCs/>
                <w:i/>
                <w:iCs/>
                <w:sz w:val="18"/>
                <w:szCs w:val="18"/>
              </w:rPr>
              <w:t>socijalna mjera</w:t>
            </w:r>
          </w:p>
        </w:tc>
        <w:tc>
          <w:tcPr>
            <w:tcW w:w="9243" w:type="dxa"/>
            <w:vAlign w:val="center"/>
          </w:tcPr>
          <w:p w14:paraId="1CB41EEB" w14:textId="77777777" w:rsidR="00676A9B" w:rsidRPr="00676A9B" w:rsidRDefault="00676A9B" w:rsidP="00676A9B">
            <w:pPr>
              <w:spacing w:before="100" w:beforeAutospacing="1" w:after="100" w:afterAutospacing="1"/>
              <w:jc w:val="center"/>
              <w:rPr>
                <w:rFonts w:ascii="Arial" w:eastAsia="Calibri" w:hAnsi="Arial" w:cs="Arial"/>
                <w:i/>
                <w:iCs/>
                <w:sz w:val="18"/>
                <w:szCs w:val="18"/>
              </w:rPr>
            </w:pPr>
            <w:r w:rsidRPr="00676A9B">
              <w:rPr>
                <w:rFonts w:ascii="Arial" w:eastAsia="Calibri" w:hAnsi="Arial" w:cs="Arial"/>
                <w:i/>
                <w:iCs/>
                <w:sz w:val="18"/>
                <w:szCs w:val="18"/>
              </w:rPr>
              <w:t>Obrazloženje</w:t>
            </w:r>
          </w:p>
        </w:tc>
      </w:tr>
      <w:tr w:rsidR="00676A9B" w:rsidRPr="00676A9B" w14:paraId="47A75850" w14:textId="77777777" w:rsidTr="00410A4B">
        <w:trPr>
          <w:jc w:val="center"/>
        </w:trPr>
        <w:tc>
          <w:tcPr>
            <w:tcW w:w="797" w:type="dxa"/>
            <w:vAlign w:val="center"/>
          </w:tcPr>
          <w:p w14:paraId="02CB0DFE" w14:textId="77777777" w:rsidR="00676A9B" w:rsidRPr="00676A9B" w:rsidRDefault="00676A9B" w:rsidP="00676A9B">
            <w:pPr>
              <w:spacing w:before="100" w:beforeAutospacing="1" w:after="100" w:afterAutospacing="1"/>
              <w:jc w:val="center"/>
              <w:rPr>
                <w:rFonts w:ascii="Arial" w:eastAsia="Calibri" w:hAnsi="Arial" w:cs="Arial"/>
                <w:sz w:val="8"/>
                <w:szCs w:val="8"/>
              </w:rPr>
            </w:pPr>
          </w:p>
        </w:tc>
        <w:tc>
          <w:tcPr>
            <w:tcW w:w="2006" w:type="dxa"/>
            <w:vAlign w:val="center"/>
          </w:tcPr>
          <w:p w14:paraId="42E47E79" w14:textId="77777777" w:rsidR="00676A9B" w:rsidRPr="00676A9B" w:rsidRDefault="00676A9B" w:rsidP="00676A9B">
            <w:pPr>
              <w:spacing w:before="100" w:beforeAutospacing="1" w:after="100" w:afterAutospacing="1"/>
              <w:jc w:val="center"/>
              <w:rPr>
                <w:rFonts w:ascii="Arial" w:eastAsia="Calibri" w:hAnsi="Arial" w:cs="Arial"/>
                <w:sz w:val="8"/>
                <w:szCs w:val="8"/>
              </w:rPr>
            </w:pPr>
          </w:p>
        </w:tc>
        <w:tc>
          <w:tcPr>
            <w:tcW w:w="1303" w:type="dxa"/>
          </w:tcPr>
          <w:p w14:paraId="52D4C073" w14:textId="77777777" w:rsidR="00676A9B" w:rsidRPr="00676A9B" w:rsidRDefault="00676A9B" w:rsidP="00676A9B">
            <w:pPr>
              <w:spacing w:before="100" w:beforeAutospacing="1" w:after="100" w:afterAutospacing="1"/>
              <w:rPr>
                <w:rFonts w:ascii="Arial" w:eastAsia="Calibri" w:hAnsi="Arial" w:cs="Arial"/>
                <w:sz w:val="8"/>
                <w:szCs w:val="8"/>
              </w:rPr>
            </w:pPr>
          </w:p>
        </w:tc>
        <w:tc>
          <w:tcPr>
            <w:tcW w:w="9243" w:type="dxa"/>
            <w:vAlign w:val="center"/>
          </w:tcPr>
          <w:p w14:paraId="46E7DA1D" w14:textId="77777777" w:rsidR="00676A9B" w:rsidRPr="00676A9B" w:rsidRDefault="00676A9B" w:rsidP="00676A9B">
            <w:pPr>
              <w:spacing w:before="100" w:beforeAutospacing="1" w:after="100" w:afterAutospacing="1"/>
              <w:rPr>
                <w:rFonts w:ascii="Arial" w:eastAsia="Calibri" w:hAnsi="Arial" w:cs="Arial"/>
                <w:sz w:val="8"/>
                <w:szCs w:val="8"/>
              </w:rPr>
            </w:pPr>
          </w:p>
        </w:tc>
      </w:tr>
      <w:tr w:rsidR="00676A9B" w:rsidRPr="00676A9B" w14:paraId="31FA4DF2" w14:textId="77777777" w:rsidTr="00410A4B">
        <w:trPr>
          <w:jc w:val="center"/>
        </w:trPr>
        <w:tc>
          <w:tcPr>
            <w:tcW w:w="797" w:type="dxa"/>
            <w:vAlign w:val="center"/>
          </w:tcPr>
          <w:p w14:paraId="79F3BD5D"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2014.</w:t>
            </w:r>
          </w:p>
        </w:tc>
        <w:tc>
          <w:tcPr>
            <w:tcW w:w="2006" w:type="dxa"/>
            <w:vAlign w:val="center"/>
          </w:tcPr>
          <w:p w14:paraId="16B4A3DB"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i/>
                <w:sz w:val="18"/>
                <w:szCs w:val="18"/>
              </w:rPr>
              <w:t xml:space="preserve">124 </w:t>
            </w:r>
          </w:p>
        </w:tc>
        <w:tc>
          <w:tcPr>
            <w:tcW w:w="1303" w:type="dxa"/>
            <w:vAlign w:val="center"/>
          </w:tcPr>
          <w:p w14:paraId="2AFEC0D5" w14:textId="77777777" w:rsidR="00676A9B" w:rsidRPr="00676A9B" w:rsidRDefault="00676A9B" w:rsidP="00676A9B">
            <w:pPr>
              <w:spacing w:before="100" w:beforeAutospacing="1" w:after="100" w:afterAutospacing="1"/>
              <w:jc w:val="right"/>
              <w:rPr>
                <w:rFonts w:ascii="Arial" w:eastAsia="Calibri" w:hAnsi="Arial" w:cs="Arial"/>
                <w:i/>
                <w:sz w:val="18"/>
                <w:szCs w:val="18"/>
              </w:rPr>
            </w:pPr>
            <w:r w:rsidRPr="00676A9B">
              <w:rPr>
                <w:rFonts w:ascii="Arial" w:eastAsia="Calibri" w:hAnsi="Arial" w:cs="Arial"/>
                <w:i/>
                <w:sz w:val="18"/>
                <w:szCs w:val="18"/>
              </w:rPr>
              <w:t>6.529,96</w:t>
            </w:r>
          </w:p>
        </w:tc>
        <w:tc>
          <w:tcPr>
            <w:tcW w:w="9243" w:type="dxa"/>
            <w:vAlign w:val="center"/>
          </w:tcPr>
          <w:p w14:paraId="0A386EAB"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i/>
                <w:sz w:val="18"/>
                <w:szCs w:val="18"/>
              </w:rPr>
              <w:t>64 učenika do četvrtog razreda i 60 učenika od petog do osmog razreda</w:t>
            </w:r>
          </w:p>
        </w:tc>
      </w:tr>
      <w:tr w:rsidR="00676A9B" w:rsidRPr="00676A9B" w14:paraId="36479C4C" w14:textId="77777777" w:rsidTr="00410A4B">
        <w:trPr>
          <w:jc w:val="center"/>
        </w:trPr>
        <w:tc>
          <w:tcPr>
            <w:tcW w:w="797" w:type="dxa"/>
            <w:vAlign w:val="center"/>
          </w:tcPr>
          <w:p w14:paraId="6A8CFCC0"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2015.</w:t>
            </w:r>
          </w:p>
        </w:tc>
        <w:tc>
          <w:tcPr>
            <w:tcW w:w="2006" w:type="dxa"/>
            <w:vAlign w:val="center"/>
          </w:tcPr>
          <w:p w14:paraId="3DC948A9"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i/>
                <w:sz w:val="18"/>
                <w:szCs w:val="18"/>
              </w:rPr>
              <w:t>140</w:t>
            </w:r>
          </w:p>
        </w:tc>
        <w:tc>
          <w:tcPr>
            <w:tcW w:w="1303" w:type="dxa"/>
            <w:vAlign w:val="center"/>
          </w:tcPr>
          <w:p w14:paraId="6DF55F59" w14:textId="77777777" w:rsidR="00676A9B" w:rsidRPr="00676A9B" w:rsidRDefault="00676A9B" w:rsidP="00676A9B">
            <w:pPr>
              <w:spacing w:before="100" w:beforeAutospacing="1" w:after="100" w:afterAutospacing="1"/>
              <w:jc w:val="right"/>
              <w:rPr>
                <w:rFonts w:ascii="Arial" w:eastAsia="Calibri" w:hAnsi="Arial" w:cs="Arial"/>
                <w:i/>
                <w:sz w:val="18"/>
                <w:szCs w:val="18"/>
              </w:rPr>
            </w:pPr>
            <w:r w:rsidRPr="00676A9B">
              <w:rPr>
                <w:rFonts w:ascii="Arial" w:eastAsia="Calibri" w:hAnsi="Arial" w:cs="Arial"/>
                <w:i/>
                <w:sz w:val="18"/>
                <w:szCs w:val="18"/>
              </w:rPr>
              <w:t>7.273,21</w:t>
            </w:r>
          </w:p>
        </w:tc>
        <w:tc>
          <w:tcPr>
            <w:tcW w:w="9243" w:type="dxa"/>
            <w:vAlign w:val="center"/>
          </w:tcPr>
          <w:p w14:paraId="7957BF02"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i/>
                <w:sz w:val="18"/>
                <w:szCs w:val="18"/>
              </w:rPr>
              <w:t>76 učenika do četvrtog razreda i 64 učenika od petog do osmog razred</w:t>
            </w:r>
          </w:p>
        </w:tc>
      </w:tr>
      <w:tr w:rsidR="00676A9B" w:rsidRPr="00676A9B" w14:paraId="32ABDA18" w14:textId="77777777" w:rsidTr="00410A4B">
        <w:trPr>
          <w:jc w:val="center"/>
        </w:trPr>
        <w:tc>
          <w:tcPr>
            <w:tcW w:w="797" w:type="dxa"/>
            <w:vAlign w:val="center"/>
          </w:tcPr>
          <w:p w14:paraId="7443F117"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2016.</w:t>
            </w:r>
          </w:p>
        </w:tc>
        <w:tc>
          <w:tcPr>
            <w:tcW w:w="2006" w:type="dxa"/>
            <w:vAlign w:val="center"/>
          </w:tcPr>
          <w:p w14:paraId="6D84E541"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i/>
                <w:sz w:val="18"/>
                <w:szCs w:val="18"/>
              </w:rPr>
              <w:t>130</w:t>
            </w:r>
          </w:p>
        </w:tc>
        <w:tc>
          <w:tcPr>
            <w:tcW w:w="1303" w:type="dxa"/>
            <w:vAlign w:val="center"/>
          </w:tcPr>
          <w:p w14:paraId="1E5BF004" w14:textId="77777777" w:rsidR="00676A9B" w:rsidRPr="00676A9B" w:rsidRDefault="00676A9B" w:rsidP="00676A9B">
            <w:pPr>
              <w:spacing w:before="100" w:beforeAutospacing="1" w:after="100" w:afterAutospacing="1"/>
              <w:jc w:val="right"/>
              <w:rPr>
                <w:rFonts w:ascii="Arial" w:eastAsia="Calibri" w:hAnsi="Arial" w:cs="Arial"/>
                <w:i/>
                <w:sz w:val="18"/>
                <w:szCs w:val="18"/>
              </w:rPr>
            </w:pPr>
            <w:r w:rsidRPr="00676A9B">
              <w:rPr>
                <w:rFonts w:ascii="Arial" w:eastAsia="Calibri" w:hAnsi="Arial" w:cs="Arial"/>
                <w:i/>
                <w:sz w:val="18"/>
                <w:szCs w:val="18"/>
              </w:rPr>
              <w:t>7.286,48</w:t>
            </w:r>
          </w:p>
        </w:tc>
        <w:tc>
          <w:tcPr>
            <w:tcW w:w="9243" w:type="dxa"/>
            <w:vAlign w:val="center"/>
          </w:tcPr>
          <w:p w14:paraId="4813979A"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i/>
                <w:sz w:val="18"/>
                <w:szCs w:val="18"/>
              </w:rPr>
              <w:t>68 učenika od 1. do 4. razreda, 59 učenika od 5. do 8. razreda</w:t>
            </w:r>
          </w:p>
        </w:tc>
      </w:tr>
      <w:tr w:rsidR="00676A9B" w:rsidRPr="00676A9B" w14:paraId="43BCD2A0" w14:textId="77777777" w:rsidTr="00410A4B">
        <w:trPr>
          <w:jc w:val="center"/>
        </w:trPr>
        <w:tc>
          <w:tcPr>
            <w:tcW w:w="797" w:type="dxa"/>
            <w:vAlign w:val="center"/>
          </w:tcPr>
          <w:p w14:paraId="05DA9AD2"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2017.</w:t>
            </w:r>
          </w:p>
        </w:tc>
        <w:tc>
          <w:tcPr>
            <w:tcW w:w="2006" w:type="dxa"/>
            <w:vAlign w:val="center"/>
          </w:tcPr>
          <w:p w14:paraId="2E72246F"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i/>
                <w:sz w:val="18"/>
                <w:szCs w:val="18"/>
              </w:rPr>
              <w:t>103</w:t>
            </w:r>
          </w:p>
        </w:tc>
        <w:tc>
          <w:tcPr>
            <w:tcW w:w="1303" w:type="dxa"/>
            <w:vAlign w:val="center"/>
          </w:tcPr>
          <w:p w14:paraId="6BEC8E5D" w14:textId="77777777" w:rsidR="00676A9B" w:rsidRPr="00676A9B" w:rsidRDefault="00676A9B" w:rsidP="00676A9B">
            <w:pPr>
              <w:spacing w:before="100" w:beforeAutospacing="1" w:after="100" w:afterAutospacing="1"/>
              <w:jc w:val="right"/>
              <w:rPr>
                <w:rFonts w:ascii="Arial" w:eastAsia="Calibri" w:hAnsi="Arial" w:cs="Arial"/>
                <w:i/>
                <w:sz w:val="18"/>
                <w:szCs w:val="18"/>
              </w:rPr>
            </w:pPr>
            <w:r w:rsidRPr="00676A9B">
              <w:rPr>
                <w:rFonts w:ascii="Arial" w:eastAsia="Calibri" w:hAnsi="Arial" w:cs="Arial"/>
                <w:i/>
                <w:sz w:val="18"/>
                <w:szCs w:val="18"/>
              </w:rPr>
              <w:t>5.587,63</w:t>
            </w:r>
          </w:p>
        </w:tc>
        <w:tc>
          <w:tcPr>
            <w:tcW w:w="9243" w:type="dxa"/>
            <w:vAlign w:val="center"/>
          </w:tcPr>
          <w:p w14:paraId="6D1E7008"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i/>
                <w:sz w:val="18"/>
                <w:szCs w:val="18"/>
              </w:rPr>
              <w:t>47 učenika od 1. do 4. razreda, 56 učenika od 5. do 8. razreda</w:t>
            </w:r>
          </w:p>
        </w:tc>
      </w:tr>
      <w:tr w:rsidR="00676A9B" w:rsidRPr="00676A9B" w14:paraId="362097C6" w14:textId="77777777" w:rsidTr="00410A4B">
        <w:trPr>
          <w:trHeight w:val="704"/>
          <w:jc w:val="center"/>
        </w:trPr>
        <w:tc>
          <w:tcPr>
            <w:tcW w:w="797" w:type="dxa"/>
            <w:vAlign w:val="center"/>
          </w:tcPr>
          <w:p w14:paraId="3DE9175F"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2018.</w:t>
            </w:r>
          </w:p>
        </w:tc>
        <w:tc>
          <w:tcPr>
            <w:tcW w:w="2006" w:type="dxa"/>
            <w:vAlign w:val="center"/>
          </w:tcPr>
          <w:p w14:paraId="323269C9"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73 socijalna mjera</w:t>
            </w:r>
          </w:p>
          <w:p w14:paraId="5311086E"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i/>
                <w:sz w:val="18"/>
                <w:szCs w:val="18"/>
              </w:rPr>
              <w:lastRenderedPageBreak/>
              <w:t>(još 67 demografska mjera = 140)</w:t>
            </w:r>
          </w:p>
        </w:tc>
        <w:tc>
          <w:tcPr>
            <w:tcW w:w="1303" w:type="dxa"/>
            <w:vAlign w:val="center"/>
          </w:tcPr>
          <w:p w14:paraId="4F7D3795" w14:textId="77777777" w:rsidR="00676A9B" w:rsidRPr="00676A9B" w:rsidRDefault="00676A9B" w:rsidP="00676A9B">
            <w:pPr>
              <w:spacing w:before="100" w:beforeAutospacing="1" w:after="100" w:afterAutospacing="1"/>
              <w:jc w:val="right"/>
              <w:rPr>
                <w:rFonts w:ascii="Arial" w:eastAsia="Calibri" w:hAnsi="Arial" w:cs="Arial"/>
                <w:i/>
                <w:sz w:val="18"/>
                <w:szCs w:val="18"/>
                <w:lang w:eastAsia="en-US"/>
              </w:rPr>
            </w:pPr>
            <w:r w:rsidRPr="00676A9B">
              <w:rPr>
                <w:rFonts w:ascii="Arial" w:eastAsia="Calibri" w:hAnsi="Arial" w:cs="Arial"/>
                <w:i/>
                <w:sz w:val="18"/>
                <w:szCs w:val="18"/>
                <w:lang w:eastAsia="en-US"/>
              </w:rPr>
              <w:lastRenderedPageBreak/>
              <w:t>13.023,57</w:t>
            </w:r>
          </w:p>
        </w:tc>
        <w:tc>
          <w:tcPr>
            <w:tcW w:w="9243" w:type="dxa"/>
            <w:vAlign w:val="center"/>
          </w:tcPr>
          <w:p w14:paraId="11CA1DE2" w14:textId="77777777" w:rsidR="00676A9B" w:rsidRPr="00676A9B" w:rsidRDefault="00676A9B" w:rsidP="00676A9B">
            <w:pPr>
              <w:spacing w:before="100" w:beforeAutospacing="1" w:after="100" w:afterAutospacing="1"/>
              <w:jc w:val="both"/>
              <w:rPr>
                <w:rFonts w:ascii="Arial" w:eastAsia="Calibri" w:hAnsi="Arial" w:cs="Arial"/>
                <w:i/>
                <w:sz w:val="18"/>
                <w:szCs w:val="18"/>
                <w:lang w:eastAsia="en-US"/>
              </w:rPr>
            </w:pPr>
            <w:r w:rsidRPr="00676A9B">
              <w:rPr>
                <w:rFonts w:ascii="Arial" w:eastAsia="Calibri" w:hAnsi="Arial" w:cs="Arial"/>
                <w:i/>
                <w:sz w:val="18"/>
                <w:szCs w:val="18"/>
                <w:lang w:eastAsia="en-US"/>
              </w:rPr>
              <w:t>73 djece od 2. do 8. razreda = 29.500 kn /3.915,32 €/ (socijalna mjera)</w:t>
            </w:r>
          </w:p>
          <w:p w14:paraId="11E916E9"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i/>
                <w:sz w:val="18"/>
                <w:szCs w:val="18"/>
                <w:lang w:eastAsia="en-US"/>
              </w:rPr>
              <w:lastRenderedPageBreak/>
              <w:t>67 djece od 2. do 8. razreda, putem škole, obiteljima s više djece su dodijeljene besplatne knjige =68.626,09 kn /9.108,25 €/  (demografska mjera), sveukupno 140 djece 98.126,09 kn /13.023,57 €/</w:t>
            </w:r>
          </w:p>
        </w:tc>
      </w:tr>
      <w:tr w:rsidR="00676A9B" w:rsidRPr="00676A9B" w14:paraId="011FB6BD" w14:textId="77777777" w:rsidTr="00410A4B">
        <w:trPr>
          <w:jc w:val="center"/>
        </w:trPr>
        <w:tc>
          <w:tcPr>
            <w:tcW w:w="797" w:type="dxa"/>
            <w:vAlign w:val="center"/>
          </w:tcPr>
          <w:p w14:paraId="1B6B6A70"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lastRenderedPageBreak/>
              <w:t>2019.</w:t>
            </w:r>
          </w:p>
        </w:tc>
        <w:tc>
          <w:tcPr>
            <w:tcW w:w="2006" w:type="dxa"/>
            <w:vAlign w:val="center"/>
          </w:tcPr>
          <w:p w14:paraId="02DF068F" w14:textId="77777777" w:rsidR="00676A9B" w:rsidRPr="00676A9B" w:rsidRDefault="00676A9B" w:rsidP="00676A9B">
            <w:pPr>
              <w:spacing w:before="100" w:beforeAutospacing="1" w:after="100" w:afterAutospacing="1"/>
              <w:jc w:val="center"/>
              <w:rPr>
                <w:rFonts w:ascii="Arial" w:eastAsia="Calibri" w:hAnsi="Arial" w:cs="Arial"/>
                <w:sz w:val="18"/>
                <w:szCs w:val="18"/>
              </w:rPr>
            </w:pPr>
          </w:p>
          <w:p w14:paraId="410B5472"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sz w:val="18"/>
                <w:szCs w:val="18"/>
              </w:rPr>
              <w:t>57</w:t>
            </w:r>
            <w:r w:rsidRPr="00676A9B">
              <w:rPr>
                <w:rFonts w:ascii="Arial" w:eastAsia="Calibri" w:hAnsi="Arial" w:cs="Arial"/>
                <w:i/>
                <w:sz w:val="18"/>
                <w:szCs w:val="18"/>
              </w:rPr>
              <w:t xml:space="preserve"> socijalna mjera</w:t>
            </w:r>
          </w:p>
          <w:p w14:paraId="6AB3719B"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 xml:space="preserve"> (još 49 demografska mjera = 106 djece)</w:t>
            </w:r>
          </w:p>
        </w:tc>
        <w:tc>
          <w:tcPr>
            <w:tcW w:w="1303" w:type="dxa"/>
            <w:vAlign w:val="center"/>
          </w:tcPr>
          <w:p w14:paraId="011A3023" w14:textId="77777777" w:rsidR="00676A9B" w:rsidRPr="00676A9B" w:rsidRDefault="00676A9B" w:rsidP="00676A9B">
            <w:pPr>
              <w:spacing w:before="100" w:beforeAutospacing="1" w:after="100" w:afterAutospacing="1"/>
              <w:jc w:val="right"/>
              <w:rPr>
                <w:rFonts w:ascii="Arial" w:eastAsia="Calibri" w:hAnsi="Arial" w:cs="Arial"/>
                <w:sz w:val="18"/>
                <w:szCs w:val="18"/>
                <w:lang w:eastAsia="en-US"/>
              </w:rPr>
            </w:pPr>
            <w:r w:rsidRPr="00676A9B">
              <w:rPr>
                <w:rFonts w:ascii="Arial" w:eastAsia="Calibri" w:hAnsi="Arial" w:cs="Arial"/>
                <w:sz w:val="18"/>
                <w:szCs w:val="18"/>
                <w:lang w:eastAsia="en-US"/>
              </w:rPr>
              <w:t>1.791,76</w:t>
            </w:r>
          </w:p>
        </w:tc>
        <w:tc>
          <w:tcPr>
            <w:tcW w:w="9243" w:type="dxa"/>
            <w:vAlign w:val="center"/>
          </w:tcPr>
          <w:p w14:paraId="64B5669C" w14:textId="77777777" w:rsidR="00676A9B" w:rsidRPr="00676A9B" w:rsidRDefault="00676A9B" w:rsidP="00676A9B">
            <w:pPr>
              <w:spacing w:before="100" w:beforeAutospacing="1" w:after="100" w:afterAutospacing="1"/>
              <w:jc w:val="both"/>
              <w:rPr>
                <w:rFonts w:ascii="Arial" w:eastAsia="Calibri" w:hAnsi="Arial" w:cs="Arial"/>
                <w:sz w:val="18"/>
                <w:szCs w:val="18"/>
                <w:lang w:eastAsia="en-US"/>
              </w:rPr>
            </w:pPr>
            <w:r w:rsidRPr="00676A9B">
              <w:rPr>
                <w:rFonts w:ascii="Arial" w:eastAsia="Calibri" w:hAnsi="Arial" w:cs="Arial"/>
                <w:sz w:val="18"/>
                <w:szCs w:val="18"/>
                <w:lang w:eastAsia="en-US"/>
              </w:rPr>
              <w:t xml:space="preserve"> 36 učenika osnovnih škola i 21 učenik srednjih škola (socijalna mjera) </w:t>
            </w:r>
          </w:p>
          <w:p w14:paraId="1E2E5BD9" w14:textId="77777777" w:rsidR="00676A9B" w:rsidRPr="00676A9B" w:rsidRDefault="00676A9B" w:rsidP="00676A9B">
            <w:pPr>
              <w:spacing w:before="100" w:beforeAutospacing="1" w:after="100" w:afterAutospacing="1"/>
              <w:jc w:val="both"/>
              <w:rPr>
                <w:rFonts w:ascii="Arial" w:eastAsia="Calibri" w:hAnsi="Arial" w:cs="Arial"/>
                <w:sz w:val="18"/>
                <w:szCs w:val="18"/>
                <w:lang w:eastAsia="en-US"/>
              </w:rPr>
            </w:pPr>
            <w:r w:rsidRPr="00676A9B">
              <w:rPr>
                <w:rFonts w:ascii="Arial" w:eastAsia="Calibri" w:hAnsi="Arial" w:cs="Arial"/>
                <w:sz w:val="18"/>
                <w:szCs w:val="18"/>
                <w:lang w:eastAsia="en-US"/>
              </w:rPr>
              <w:t xml:space="preserve">(još 49 učenika iz demografske mjere = 17.200 kn /2.282,83 €/ ili sveukupno 106 djece = 30.700 kn /4.074,59 €/). </w:t>
            </w:r>
          </w:p>
          <w:p w14:paraId="7386455B"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i/>
                <w:sz w:val="18"/>
                <w:szCs w:val="18"/>
                <w:lang w:eastAsia="en-US"/>
              </w:rPr>
              <w:t>Za učenike 1. razreda Županija nabavila udžbenike.</w:t>
            </w:r>
          </w:p>
        </w:tc>
      </w:tr>
      <w:tr w:rsidR="00676A9B" w:rsidRPr="00676A9B" w14:paraId="14792686" w14:textId="77777777" w:rsidTr="00410A4B">
        <w:trPr>
          <w:jc w:val="center"/>
        </w:trPr>
        <w:tc>
          <w:tcPr>
            <w:tcW w:w="797" w:type="dxa"/>
            <w:vAlign w:val="center"/>
          </w:tcPr>
          <w:p w14:paraId="38B21BBF"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2020.</w:t>
            </w:r>
          </w:p>
        </w:tc>
        <w:tc>
          <w:tcPr>
            <w:tcW w:w="2006" w:type="dxa"/>
            <w:vAlign w:val="center"/>
          </w:tcPr>
          <w:p w14:paraId="23DF32E0"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 xml:space="preserve">31 socijalna mjera </w:t>
            </w:r>
          </w:p>
          <w:p w14:paraId="44AF7B10"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i/>
                <w:sz w:val="18"/>
                <w:szCs w:val="18"/>
              </w:rPr>
              <w:t>(još 69 demografska mjera)</w:t>
            </w:r>
          </w:p>
        </w:tc>
        <w:tc>
          <w:tcPr>
            <w:tcW w:w="1303" w:type="dxa"/>
            <w:vAlign w:val="center"/>
          </w:tcPr>
          <w:p w14:paraId="1B10FDCA" w14:textId="77777777" w:rsidR="00676A9B" w:rsidRPr="00676A9B" w:rsidRDefault="00676A9B" w:rsidP="00676A9B">
            <w:pPr>
              <w:spacing w:before="100" w:beforeAutospacing="1" w:after="100" w:afterAutospacing="1"/>
              <w:jc w:val="right"/>
              <w:rPr>
                <w:rFonts w:ascii="Arial" w:eastAsia="Calibri" w:hAnsi="Arial" w:cs="Arial"/>
                <w:i/>
                <w:iCs/>
                <w:sz w:val="18"/>
                <w:szCs w:val="18"/>
              </w:rPr>
            </w:pPr>
            <w:r w:rsidRPr="00676A9B">
              <w:rPr>
                <w:rFonts w:ascii="Arial" w:eastAsia="Calibri" w:hAnsi="Arial" w:cs="Arial"/>
                <w:i/>
                <w:iCs/>
                <w:sz w:val="18"/>
                <w:szCs w:val="18"/>
              </w:rPr>
              <w:t>756,52</w:t>
            </w:r>
          </w:p>
        </w:tc>
        <w:tc>
          <w:tcPr>
            <w:tcW w:w="9243" w:type="dxa"/>
            <w:vAlign w:val="center"/>
          </w:tcPr>
          <w:p w14:paraId="75E4F437" w14:textId="77777777" w:rsidR="00676A9B" w:rsidRPr="00676A9B" w:rsidRDefault="00676A9B" w:rsidP="00676A9B">
            <w:pPr>
              <w:spacing w:before="100" w:beforeAutospacing="1" w:after="100" w:afterAutospacing="1"/>
              <w:rPr>
                <w:rFonts w:ascii="Arial" w:eastAsia="Calibri" w:hAnsi="Arial" w:cs="Arial"/>
                <w:i/>
                <w:iCs/>
                <w:sz w:val="18"/>
                <w:szCs w:val="18"/>
              </w:rPr>
            </w:pPr>
            <w:r w:rsidRPr="00676A9B">
              <w:rPr>
                <w:rFonts w:ascii="Arial" w:eastAsia="Calibri" w:hAnsi="Arial" w:cs="Arial"/>
                <w:i/>
                <w:iCs/>
                <w:sz w:val="18"/>
                <w:szCs w:val="18"/>
              </w:rPr>
              <w:t xml:space="preserve">23 učenika osnovnih škola i 8 učenika srednjih škola = 5.700 kn /756,52 € – socijalna mjera </w:t>
            </w:r>
          </w:p>
          <w:p w14:paraId="6B79C6E8" w14:textId="77777777" w:rsidR="00676A9B" w:rsidRPr="00676A9B" w:rsidRDefault="00676A9B" w:rsidP="00676A9B">
            <w:pPr>
              <w:spacing w:before="100" w:beforeAutospacing="1" w:after="100" w:afterAutospacing="1"/>
              <w:rPr>
                <w:rFonts w:ascii="Arial" w:eastAsia="Calibri" w:hAnsi="Arial" w:cs="Arial"/>
                <w:i/>
                <w:iCs/>
                <w:sz w:val="18"/>
                <w:szCs w:val="18"/>
              </w:rPr>
            </w:pPr>
            <w:r w:rsidRPr="00676A9B">
              <w:rPr>
                <w:rFonts w:ascii="Arial" w:eastAsia="Calibri" w:hAnsi="Arial" w:cs="Arial"/>
                <w:i/>
                <w:iCs/>
                <w:sz w:val="18"/>
                <w:szCs w:val="18"/>
              </w:rPr>
              <w:t>(još 55 učenika osnovnih škola i 14 učenika srednjih škola = 19.200 kn /2.548,28 €-  demografska mjera, sveukupno 100 učenika – 24.900 kn / 3.304,80 €)</w:t>
            </w:r>
          </w:p>
          <w:p w14:paraId="39D0A5E5" w14:textId="77777777" w:rsidR="00676A9B" w:rsidRPr="00676A9B" w:rsidRDefault="00676A9B" w:rsidP="00676A9B">
            <w:pPr>
              <w:spacing w:before="100" w:beforeAutospacing="1" w:after="100" w:afterAutospacing="1"/>
              <w:rPr>
                <w:rFonts w:ascii="Arial" w:eastAsia="Calibri" w:hAnsi="Arial" w:cs="Arial"/>
                <w:i/>
                <w:iCs/>
                <w:sz w:val="18"/>
                <w:szCs w:val="18"/>
              </w:rPr>
            </w:pPr>
            <w:r w:rsidRPr="00676A9B">
              <w:rPr>
                <w:rFonts w:ascii="Arial" w:eastAsia="Calibri" w:hAnsi="Arial" w:cs="Arial"/>
                <w:i/>
                <w:iCs/>
                <w:sz w:val="18"/>
                <w:szCs w:val="18"/>
              </w:rPr>
              <w:t>Za učenike 1. razreda osnovnih škola Županija je osigurala udžbenike.</w:t>
            </w:r>
          </w:p>
        </w:tc>
      </w:tr>
      <w:tr w:rsidR="00676A9B" w:rsidRPr="00676A9B" w14:paraId="6F6D5F4F" w14:textId="77777777" w:rsidTr="00410A4B">
        <w:trPr>
          <w:jc w:val="center"/>
        </w:trPr>
        <w:tc>
          <w:tcPr>
            <w:tcW w:w="797" w:type="dxa"/>
            <w:vAlign w:val="center"/>
          </w:tcPr>
          <w:p w14:paraId="06C79E7A"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2021.</w:t>
            </w:r>
          </w:p>
        </w:tc>
        <w:tc>
          <w:tcPr>
            <w:tcW w:w="2006" w:type="dxa"/>
            <w:vAlign w:val="center"/>
          </w:tcPr>
          <w:p w14:paraId="33175FD9"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w:t>
            </w:r>
          </w:p>
        </w:tc>
        <w:tc>
          <w:tcPr>
            <w:tcW w:w="1303" w:type="dxa"/>
            <w:vAlign w:val="center"/>
          </w:tcPr>
          <w:p w14:paraId="22C4E425" w14:textId="77777777" w:rsidR="00676A9B" w:rsidRPr="00676A9B" w:rsidRDefault="00676A9B" w:rsidP="00676A9B">
            <w:pPr>
              <w:spacing w:before="100" w:beforeAutospacing="1" w:after="100" w:afterAutospacing="1"/>
              <w:jc w:val="right"/>
              <w:rPr>
                <w:rFonts w:ascii="Arial" w:eastAsia="Calibri" w:hAnsi="Arial" w:cs="Arial"/>
                <w:sz w:val="18"/>
                <w:szCs w:val="18"/>
              </w:rPr>
            </w:pPr>
            <w:r w:rsidRPr="00676A9B">
              <w:rPr>
                <w:rFonts w:ascii="Arial" w:eastAsia="Calibri" w:hAnsi="Arial" w:cs="Arial"/>
                <w:sz w:val="18"/>
                <w:szCs w:val="18"/>
              </w:rPr>
              <w:t>0,00</w:t>
            </w:r>
          </w:p>
        </w:tc>
        <w:tc>
          <w:tcPr>
            <w:tcW w:w="9243" w:type="dxa"/>
            <w:vAlign w:val="center"/>
          </w:tcPr>
          <w:p w14:paraId="767130E3"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w:t>
            </w:r>
          </w:p>
        </w:tc>
      </w:tr>
      <w:tr w:rsidR="00676A9B" w:rsidRPr="00676A9B" w14:paraId="128CB1BD" w14:textId="77777777" w:rsidTr="00410A4B">
        <w:trPr>
          <w:jc w:val="center"/>
        </w:trPr>
        <w:tc>
          <w:tcPr>
            <w:tcW w:w="797" w:type="dxa"/>
            <w:vAlign w:val="center"/>
          </w:tcPr>
          <w:p w14:paraId="51EE5ACD"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2022.</w:t>
            </w:r>
          </w:p>
        </w:tc>
        <w:tc>
          <w:tcPr>
            <w:tcW w:w="2006" w:type="dxa"/>
            <w:vAlign w:val="center"/>
          </w:tcPr>
          <w:p w14:paraId="401E431D"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 xml:space="preserve">31 socijalna mjera </w:t>
            </w:r>
          </w:p>
          <w:p w14:paraId="640184CD"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(još 95 demografska mjera)</w:t>
            </w:r>
          </w:p>
        </w:tc>
        <w:tc>
          <w:tcPr>
            <w:tcW w:w="1303" w:type="dxa"/>
            <w:vAlign w:val="center"/>
          </w:tcPr>
          <w:p w14:paraId="2950A170" w14:textId="77777777" w:rsidR="00676A9B" w:rsidRPr="00676A9B" w:rsidRDefault="00676A9B" w:rsidP="00676A9B">
            <w:pPr>
              <w:spacing w:before="100" w:beforeAutospacing="1" w:after="100" w:afterAutospacing="1"/>
              <w:jc w:val="right"/>
              <w:rPr>
                <w:rFonts w:ascii="Arial" w:eastAsia="Calibri" w:hAnsi="Arial" w:cs="Arial"/>
                <w:sz w:val="18"/>
                <w:szCs w:val="18"/>
              </w:rPr>
            </w:pPr>
            <w:r w:rsidRPr="00676A9B">
              <w:rPr>
                <w:rFonts w:ascii="Arial" w:eastAsia="Calibri" w:hAnsi="Arial" w:cs="Arial"/>
                <w:sz w:val="18"/>
                <w:szCs w:val="18"/>
              </w:rPr>
              <w:t>1.121,51</w:t>
            </w:r>
          </w:p>
        </w:tc>
        <w:tc>
          <w:tcPr>
            <w:tcW w:w="9243" w:type="dxa"/>
            <w:vAlign w:val="center"/>
          </w:tcPr>
          <w:p w14:paraId="154E0DEC"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19 učenika osnovnih škola i 12 učenika srednjih škola = 8.450 kn / 1.121,51 € – socijalna mjera (31 učenik)</w:t>
            </w:r>
          </w:p>
          <w:p w14:paraId="6E78CE1B"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(još 71 učenik osnovnih škola i 24 učenika srednjih škola = 30.950 kn / 4.107,77 €-  demografska mjera (ukupno 95 učenika demografska mjera)</w:t>
            </w:r>
          </w:p>
          <w:p w14:paraId="2B87C491"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Sveukupno socijalna i demografska mjera 126 učenika, naknade 39.400 kn / 5.229,28 €.</w:t>
            </w:r>
          </w:p>
        </w:tc>
      </w:tr>
      <w:tr w:rsidR="00676A9B" w:rsidRPr="00676A9B" w14:paraId="14C0039D" w14:textId="77777777" w:rsidTr="00410A4B">
        <w:trPr>
          <w:jc w:val="center"/>
        </w:trPr>
        <w:tc>
          <w:tcPr>
            <w:tcW w:w="797" w:type="dxa"/>
            <w:vAlign w:val="center"/>
          </w:tcPr>
          <w:p w14:paraId="3A8B68F1"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2023.</w:t>
            </w:r>
          </w:p>
        </w:tc>
        <w:tc>
          <w:tcPr>
            <w:tcW w:w="2006" w:type="dxa"/>
            <w:vAlign w:val="center"/>
          </w:tcPr>
          <w:p w14:paraId="1145B1C2" w14:textId="77777777"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20 socijalna mjera (još 91 demografska mjera)</w:t>
            </w:r>
          </w:p>
        </w:tc>
        <w:tc>
          <w:tcPr>
            <w:tcW w:w="1303" w:type="dxa"/>
            <w:vAlign w:val="center"/>
          </w:tcPr>
          <w:p w14:paraId="39C1088A" w14:textId="77777777" w:rsidR="00676A9B" w:rsidRPr="00676A9B" w:rsidRDefault="00676A9B" w:rsidP="00676A9B">
            <w:pPr>
              <w:spacing w:before="100" w:beforeAutospacing="1" w:after="100" w:afterAutospacing="1"/>
              <w:jc w:val="right"/>
              <w:rPr>
                <w:rFonts w:ascii="Arial" w:eastAsia="Calibri" w:hAnsi="Arial" w:cs="Arial"/>
                <w:sz w:val="18"/>
                <w:szCs w:val="18"/>
              </w:rPr>
            </w:pPr>
            <w:r w:rsidRPr="00676A9B">
              <w:rPr>
                <w:rFonts w:ascii="Arial" w:eastAsia="Calibri" w:hAnsi="Arial" w:cs="Arial"/>
                <w:sz w:val="18"/>
                <w:szCs w:val="18"/>
              </w:rPr>
              <w:t>1.010,00</w:t>
            </w:r>
          </w:p>
        </w:tc>
        <w:tc>
          <w:tcPr>
            <w:tcW w:w="9243" w:type="dxa"/>
            <w:vAlign w:val="center"/>
          </w:tcPr>
          <w:p w14:paraId="3D715E4A"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16 učenika osnovnih škola i 4 učenika srednjih škola = 1.010 € – socijalna mjera (20 učenika)</w:t>
            </w:r>
          </w:p>
          <w:p w14:paraId="413B13A6"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(još 65 učenika osnovnih škola i 26 učenika srednjih škola = 5.330 €-  demografska mjera (ukupno 91 učenika demografska mjera)</w:t>
            </w:r>
          </w:p>
          <w:p w14:paraId="126DAE2F"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Sveukupno socijalna i demografska mjera 126 učenika, naknade 39.400 kn / 5.229,28 €.</w:t>
            </w:r>
          </w:p>
        </w:tc>
      </w:tr>
      <w:tr w:rsidR="00676A9B" w:rsidRPr="00676A9B" w14:paraId="14F58585" w14:textId="77777777" w:rsidTr="00410A4B">
        <w:trPr>
          <w:jc w:val="center"/>
        </w:trPr>
        <w:tc>
          <w:tcPr>
            <w:tcW w:w="797" w:type="dxa"/>
            <w:vAlign w:val="center"/>
          </w:tcPr>
          <w:p w14:paraId="25575CE7"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2024.</w:t>
            </w:r>
          </w:p>
        </w:tc>
        <w:tc>
          <w:tcPr>
            <w:tcW w:w="2006" w:type="dxa"/>
            <w:vAlign w:val="center"/>
          </w:tcPr>
          <w:p w14:paraId="2393CC9B" w14:textId="7F2B7C6F" w:rsidR="00676A9B" w:rsidRPr="00676A9B" w:rsidRDefault="00676A9B" w:rsidP="00676A9B">
            <w:pPr>
              <w:spacing w:before="100" w:beforeAutospacing="1" w:after="100" w:afterAutospacing="1"/>
              <w:jc w:val="center"/>
              <w:rPr>
                <w:rFonts w:ascii="Arial" w:eastAsia="Calibri" w:hAnsi="Arial" w:cs="Arial"/>
                <w:i/>
                <w:sz w:val="18"/>
                <w:szCs w:val="18"/>
              </w:rPr>
            </w:pPr>
            <w:r w:rsidRPr="00676A9B">
              <w:rPr>
                <w:rFonts w:ascii="Arial" w:eastAsia="Calibri" w:hAnsi="Arial" w:cs="Arial"/>
                <w:i/>
                <w:sz w:val="18"/>
                <w:szCs w:val="18"/>
              </w:rPr>
              <w:t xml:space="preserve">74 socijalna mjera (još </w:t>
            </w:r>
            <w:r w:rsidR="003B436A">
              <w:rPr>
                <w:rFonts w:ascii="Arial" w:eastAsia="Calibri" w:hAnsi="Arial" w:cs="Arial"/>
                <w:i/>
                <w:sz w:val="18"/>
                <w:szCs w:val="18"/>
              </w:rPr>
              <w:t>113</w:t>
            </w:r>
            <w:r w:rsidRPr="00676A9B">
              <w:rPr>
                <w:rFonts w:ascii="Arial" w:eastAsia="Calibri" w:hAnsi="Arial" w:cs="Arial"/>
                <w:i/>
                <w:sz w:val="18"/>
                <w:szCs w:val="18"/>
              </w:rPr>
              <w:t xml:space="preserve"> demografska mjera)</w:t>
            </w:r>
          </w:p>
        </w:tc>
        <w:tc>
          <w:tcPr>
            <w:tcW w:w="1303" w:type="dxa"/>
            <w:vAlign w:val="center"/>
          </w:tcPr>
          <w:p w14:paraId="781D231B" w14:textId="77777777" w:rsidR="00676A9B" w:rsidRPr="00676A9B" w:rsidRDefault="00676A9B" w:rsidP="00676A9B">
            <w:pPr>
              <w:spacing w:before="100" w:beforeAutospacing="1" w:after="100" w:afterAutospacing="1"/>
              <w:jc w:val="right"/>
              <w:rPr>
                <w:rFonts w:ascii="Arial" w:eastAsia="Calibri" w:hAnsi="Arial" w:cs="Arial"/>
                <w:sz w:val="18"/>
                <w:szCs w:val="18"/>
              </w:rPr>
            </w:pPr>
            <w:r w:rsidRPr="00676A9B">
              <w:rPr>
                <w:rFonts w:ascii="Arial" w:eastAsia="Calibri" w:hAnsi="Arial" w:cs="Arial"/>
                <w:sz w:val="18"/>
                <w:szCs w:val="18"/>
              </w:rPr>
              <w:t>5.290,00</w:t>
            </w:r>
          </w:p>
        </w:tc>
        <w:tc>
          <w:tcPr>
            <w:tcW w:w="9243" w:type="dxa"/>
            <w:vAlign w:val="center"/>
          </w:tcPr>
          <w:p w14:paraId="10D8C9FC" w14:textId="7C333891"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55 učenika osnovnih škola i 19 učenika srednjih škola = 5.290 € – socijalna mjera (74</w:t>
            </w:r>
            <w:r w:rsidR="003B436A">
              <w:rPr>
                <w:rFonts w:ascii="Arial" w:eastAsia="Calibri" w:hAnsi="Arial" w:cs="Arial"/>
                <w:sz w:val="18"/>
                <w:szCs w:val="18"/>
              </w:rPr>
              <w:t xml:space="preserve"> u</w:t>
            </w:r>
            <w:r w:rsidRPr="00676A9B">
              <w:rPr>
                <w:rFonts w:ascii="Arial" w:eastAsia="Calibri" w:hAnsi="Arial" w:cs="Arial"/>
                <w:sz w:val="18"/>
                <w:szCs w:val="18"/>
              </w:rPr>
              <w:t>čenika)</w:t>
            </w:r>
          </w:p>
          <w:p w14:paraId="67C96FBB"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(još 79 učenika osnovnih škola i 34 učenika srednjih škola = 8.720 €-  demografska mjera (ukupno 113 učenika demografska mjera)</w:t>
            </w:r>
          </w:p>
          <w:p w14:paraId="35D05910" w14:textId="77777777" w:rsidR="00676A9B" w:rsidRPr="00676A9B" w:rsidRDefault="00676A9B" w:rsidP="00676A9B">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Sveukupno socijalna i demografska mjera 187 učenika, naknade 14.010 €.</w:t>
            </w:r>
          </w:p>
        </w:tc>
      </w:tr>
      <w:tr w:rsidR="009E091D" w:rsidRPr="00676A9B" w14:paraId="11A3F705" w14:textId="77777777" w:rsidTr="00410A4B">
        <w:trPr>
          <w:jc w:val="center"/>
        </w:trPr>
        <w:tc>
          <w:tcPr>
            <w:tcW w:w="797" w:type="dxa"/>
            <w:vAlign w:val="center"/>
          </w:tcPr>
          <w:p w14:paraId="7139F9BB" w14:textId="60D31C75" w:rsidR="009E091D" w:rsidRPr="00676A9B" w:rsidRDefault="009E091D" w:rsidP="009E091D">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202</w:t>
            </w:r>
            <w:r>
              <w:rPr>
                <w:rFonts w:ascii="Arial" w:eastAsia="Calibri" w:hAnsi="Arial" w:cs="Arial"/>
                <w:sz w:val="18"/>
                <w:szCs w:val="18"/>
              </w:rPr>
              <w:t>5</w:t>
            </w:r>
            <w:r w:rsidRPr="00676A9B">
              <w:rPr>
                <w:rFonts w:ascii="Arial" w:eastAsia="Calibri" w:hAnsi="Arial" w:cs="Arial"/>
                <w:sz w:val="18"/>
                <w:szCs w:val="18"/>
              </w:rPr>
              <w:t>.</w:t>
            </w:r>
          </w:p>
        </w:tc>
        <w:tc>
          <w:tcPr>
            <w:tcW w:w="2006" w:type="dxa"/>
            <w:vAlign w:val="center"/>
          </w:tcPr>
          <w:p w14:paraId="582E81BA" w14:textId="5BA57CD4" w:rsidR="009E091D" w:rsidRPr="00676A9B" w:rsidRDefault="009E091D" w:rsidP="009E091D">
            <w:pPr>
              <w:spacing w:before="100" w:beforeAutospacing="1" w:after="100" w:afterAutospacing="1"/>
              <w:jc w:val="center"/>
              <w:rPr>
                <w:rFonts w:ascii="Arial" w:eastAsia="Calibri" w:hAnsi="Arial" w:cs="Arial"/>
                <w:i/>
                <w:sz w:val="18"/>
                <w:szCs w:val="18"/>
              </w:rPr>
            </w:pPr>
            <w:r>
              <w:rPr>
                <w:rFonts w:ascii="Arial" w:eastAsia="Calibri" w:hAnsi="Arial" w:cs="Arial"/>
                <w:i/>
                <w:sz w:val="18"/>
                <w:szCs w:val="18"/>
              </w:rPr>
              <w:t>117</w:t>
            </w:r>
            <w:r w:rsidR="0046400D">
              <w:rPr>
                <w:rFonts w:ascii="Arial" w:eastAsia="Calibri" w:hAnsi="Arial" w:cs="Arial"/>
                <w:i/>
                <w:sz w:val="18"/>
                <w:szCs w:val="18"/>
              </w:rPr>
              <w:t xml:space="preserve"> </w:t>
            </w:r>
            <w:r w:rsidRPr="00676A9B">
              <w:rPr>
                <w:rFonts w:ascii="Arial" w:eastAsia="Calibri" w:hAnsi="Arial" w:cs="Arial"/>
                <w:i/>
                <w:sz w:val="18"/>
                <w:szCs w:val="18"/>
              </w:rPr>
              <w:t>socijalna mjera (još 9</w:t>
            </w:r>
            <w:r>
              <w:rPr>
                <w:rFonts w:ascii="Arial" w:eastAsia="Calibri" w:hAnsi="Arial" w:cs="Arial"/>
                <w:i/>
                <w:sz w:val="18"/>
                <w:szCs w:val="18"/>
              </w:rPr>
              <w:t>8</w:t>
            </w:r>
            <w:r w:rsidRPr="00676A9B">
              <w:rPr>
                <w:rFonts w:ascii="Arial" w:eastAsia="Calibri" w:hAnsi="Arial" w:cs="Arial"/>
                <w:i/>
                <w:sz w:val="18"/>
                <w:szCs w:val="18"/>
              </w:rPr>
              <w:t xml:space="preserve"> demografska mjera)</w:t>
            </w:r>
          </w:p>
        </w:tc>
        <w:tc>
          <w:tcPr>
            <w:tcW w:w="1303" w:type="dxa"/>
            <w:vAlign w:val="center"/>
          </w:tcPr>
          <w:p w14:paraId="0B33B416" w14:textId="13346222" w:rsidR="009E091D" w:rsidRPr="00676A9B" w:rsidRDefault="009E091D" w:rsidP="009E091D">
            <w:pPr>
              <w:spacing w:before="100" w:beforeAutospacing="1" w:after="100" w:afterAutospacing="1"/>
              <w:jc w:val="right"/>
              <w:rPr>
                <w:rFonts w:ascii="Arial" w:eastAsia="Calibri" w:hAnsi="Arial" w:cs="Arial"/>
                <w:sz w:val="18"/>
                <w:szCs w:val="18"/>
              </w:rPr>
            </w:pPr>
            <w:r>
              <w:rPr>
                <w:rFonts w:ascii="Arial" w:eastAsia="Calibri" w:hAnsi="Arial" w:cs="Arial"/>
                <w:sz w:val="18"/>
                <w:szCs w:val="18"/>
              </w:rPr>
              <w:t>8.210,00</w:t>
            </w:r>
          </w:p>
        </w:tc>
        <w:tc>
          <w:tcPr>
            <w:tcW w:w="9243" w:type="dxa"/>
            <w:vAlign w:val="center"/>
          </w:tcPr>
          <w:p w14:paraId="21554C22" w14:textId="67F776F9" w:rsidR="009E091D" w:rsidRPr="00676A9B" w:rsidRDefault="009E091D" w:rsidP="009E091D">
            <w:pPr>
              <w:spacing w:before="100" w:beforeAutospacing="1" w:after="100" w:afterAutospacing="1"/>
              <w:rPr>
                <w:rFonts w:ascii="Arial" w:eastAsia="Calibri" w:hAnsi="Arial" w:cs="Arial"/>
                <w:sz w:val="18"/>
                <w:szCs w:val="18"/>
              </w:rPr>
            </w:pPr>
            <w:r>
              <w:rPr>
                <w:rFonts w:ascii="Arial" w:eastAsia="Calibri" w:hAnsi="Arial" w:cs="Arial"/>
                <w:sz w:val="18"/>
                <w:szCs w:val="18"/>
              </w:rPr>
              <w:t>83</w:t>
            </w:r>
            <w:r w:rsidRPr="00676A9B">
              <w:rPr>
                <w:rFonts w:ascii="Arial" w:eastAsia="Calibri" w:hAnsi="Arial" w:cs="Arial"/>
                <w:sz w:val="18"/>
                <w:szCs w:val="18"/>
              </w:rPr>
              <w:t xml:space="preserve"> učenika osnovnih škola i </w:t>
            </w:r>
            <w:r>
              <w:rPr>
                <w:rFonts w:ascii="Arial" w:eastAsia="Calibri" w:hAnsi="Arial" w:cs="Arial"/>
                <w:sz w:val="18"/>
                <w:szCs w:val="18"/>
              </w:rPr>
              <w:t>34</w:t>
            </w:r>
            <w:r w:rsidRPr="00676A9B">
              <w:rPr>
                <w:rFonts w:ascii="Arial" w:eastAsia="Calibri" w:hAnsi="Arial" w:cs="Arial"/>
                <w:sz w:val="18"/>
                <w:szCs w:val="18"/>
              </w:rPr>
              <w:t xml:space="preserve"> učenika srednjih škola = </w:t>
            </w:r>
            <w:r>
              <w:rPr>
                <w:rFonts w:ascii="Arial" w:eastAsia="Calibri" w:hAnsi="Arial" w:cs="Arial"/>
                <w:sz w:val="18"/>
                <w:szCs w:val="18"/>
              </w:rPr>
              <w:t>8.210</w:t>
            </w:r>
            <w:r w:rsidRPr="00676A9B">
              <w:rPr>
                <w:rFonts w:ascii="Arial" w:eastAsia="Calibri" w:hAnsi="Arial" w:cs="Arial"/>
                <w:sz w:val="18"/>
                <w:szCs w:val="18"/>
              </w:rPr>
              <w:t xml:space="preserve"> € – socijalna mjera (</w:t>
            </w:r>
            <w:r>
              <w:rPr>
                <w:rFonts w:ascii="Arial" w:eastAsia="Calibri" w:hAnsi="Arial" w:cs="Arial"/>
                <w:sz w:val="18"/>
                <w:szCs w:val="18"/>
              </w:rPr>
              <w:t>117 u</w:t>
            </w:r>
            <w:r w:rsidRPr="00676A9B">
              <w:rPr>
                <w:rFonts w:ascii="Arial" w:eastAsia="Calibri" w:hAnsi="Arial" w:cs="Arial"/>
                <w:sz w:val="18"/>
                <w:szCs w:val="18"/>
              </w:rPr>
              <w:t>čenika)</w:t>
            </w:r>
          </w:p>
          <w:p w14:paraId="60567730" w14:textId="17E0F65B" w:rsidR="009E091D" w:rsidRPr="00676A9B" w:rsidRDefault="009E091D" w:rsidP="009E091D">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 xml:space="preserve">(još </w:t>
            </w:r>
            <w:r>
              <w:rPr>
                <w:rFonts w:ascii="Arial" w:eastAsia="Calibri" w:hAnsi="Arial" w:cs="Arial"/>
                <w:sz w:val="18"/>
                <w:szCs w:val="18"/>
              </w:rPr>
              <w:t>71</w:t>
            </w:r>
            <w:r w:rsidRPr="00676A9B">
              <w:rPr>
                <w:rFonts w:ascii="Arial" w:eastAsia="Calibri" w:hAnsi="Arial" w:cs="Arial"/>
                <w:sz w:val="18"/>
                <w:szCs w:val="18"/>
              </w:rPr>
              <w:t xml:space="preserve"> učenika osnovnih škola i </w:t>
            </w:r>
            <w:r>
              <w:rPr>
                <w:rFonts w:ascii="Arial" w:eastAsia="Calibri" w:hAnsi="Arial" w:cs="Arial"/>
                <w:sz w:val="18"/>
                <w:szCs w:val="18"/>
              </w:rPr>
              <w:t>27</w:t>
            </w:r>
            <w:r w:rsidRPr="00676A9B">
              <w:rPr>
                <w:rFonts w:ascii="Arial" w:eastAsia="Calibri" w:hAnsi="Arial" w:cs="Arial"/>
                <w:sz w:val="18"/>
                <w:szCs w:val="18"/>
              </w:rPr>
              <w:t xml:space="preserve"> učenika srednjih škola = </w:t>
            </w:r>
            <w:r>
              <w:rPr>
                <w:rFonts w:ascii="Arial" w:eastAsia="Calibri" w:hAnsi="Arial" w:cs="Arial"/>
                <w:sz w:val="18"/>
                <w:szCs w:val="18"/>
              </w:rPr>
              <w:t>7.840</w:t>
            </w:r>
            <w:r w:rsidRPr="00676A9B">
              <w:rPr>
                <w:rFonts w:ascii="Arial" w:eastAsia="Calibri" w:hAnsi="Arial" w:cs="Arial"/>
                <w:sz w:val="18"/>
                <w:szCs w:val="18"/>
              </w:rPr>
              <w:t xml:space="preserve"> €-  demografska mjera (ukupno </w:t>
            </w:r>
            <w:r>
              <w:rPr>
                <w:rFonts w:ascii="Arial" w:eastAsia="Calibri" w:hAnsi="Arial" w:cs="Arial"/>
                <w:sz w:val="18"/>
                <w:szCs w:val="18"/>
              </w:rPr>
              <w:t>98</w:t>
            </w:r>
            <w:r w:rsidRPr="00676A9B">
              <w:rPr>
                <w:rFonts w:ascii="Arial" w:eastAsia="Calibri" w:hAnsi="Arial" w:cs="Arial"/>
                <w:sz w:val="18"/>
                <w:szCs w:val="18"/>
              </w:rPr>
              <w:t xml:space="preserve"> učenika demografska mjera)</w:t>
            </w:r>
          </w:p>
          <w:p w14:paraId="5990589A" w14:textId="23F1CBE0" w:rsidR="009E091D" w:rsidRPr="00676A9B" w:rsidRDefault="009E091D" w:rsidP="009E091D">
            <w:pPr>
              <w:spacing w:before="100" w:beforeAutospacing="1" w:after="100" w:afterAutospacing="1"/>
              <w:rPr>
                <w:rFonts w:ascii="Arial" w:eastAsia="Calibri" w:hAnsi="Arial" w:cs="Arial"/>
                <w:sz w:val="18"/>
                <w:szCs w:val="18"/>
              </w:rPr>
            </w:pPr>
            <w:r w:rsidRPr="00676A9B">
              <w:rPr>
                <w:rFonts w:ascii="Arial" w:eastAsia="Calibri" w:hAnsi="Arial" w:cs="Arial"/>
                <w:sz w:val="18"/>
                <w:szCs w:val="18"/>
              </w:rPr>
              <w:t xml:space="preserve">Sveukupno socijalna i demografska mjera 187 učenika, naknade </w:t>
            </w:r>
            <w:r w:rsidR="0046400D">
              <w:rPr>
                <w:rFonts w:ascii="Arial" w:eastAsia="Calibri" w:hAnsi="Arial" w:cs="Arial"/>
                <w:sz w:val="18"/>
                <w:szCs w:val="18"/>
              </w:rPr>
              <w:t>16.050</w:t>
            </w:r>
            <w:r w:rsidRPr="00676A9B">
              <w:rPr>
                <w:rFonts w:ascii="Arial" w:eastAsia="Calibri" w:hAnsi="Arial" w:cs="Arial"/>
                <w:sz w:val="18"/>
                <w:szCs w:val="18"/>
              </w:rPr>
              <w:t xml:space="preserve"> €.</w:t>
            </w:r>
          </w:p>
        </w:tc>
      </w:tr>
    </w:tbl>
    <w:p w14:paraId="2A0FF677" w14:textId="77777777" w:rsidR="00676A9B" w:rsidRPr="00D02C5A" w:rsidRDefault="00676A9B" w:rsidP="00676A9B">
      <w:pPr>
        <w:spacing w:after="0" w:line="240" w:lineRule="auto"/>
        <w:jc w:val="both"/>
        <w:rPr>
          <w:rFonts w:ascii="Arial" w:eastAsia="Calibri" w:hAnsi="Arial" w:cs="Arial"/>
          <w:sz w:val="20"/>
          <w:szCs w:val="20"/>
          <w:lang w:eastAsia="en-US"/>
        </w:rPr>
      </w:pPr>
    </w:p>
    <w:bookmarkEnd w:id="416"/>
    <w:p w14:paraId="416F0115" w14:textId="19021FC1" w:rsidR="00676A9B" w:rsidRPr="00D02C5A" w:rsidRDefault="00676A9B" w:rsidP="00676A9B">
      <w:pPr>
        <w:spacing w:after="0" w:line="240" w:lineRule="auto"/>
        <w:jc w:val="both"/>
        <w:rPr>
          <w:rFonts w:ascii="Arial" w:eastAsia="Calibri" w:hAnsi="Arial" w:cs="Arial"/>
          <w:sz w:val="20"/>
          <w:szCs w:val="20"/>
        </w:rPr>
      </w:pPr>
      <w:r w:rsidRPr="00D02C5A">
        <w:rPr>
          <w:rFonts w:ascii="Arial" w:eastAsia="Calibri" w:hAnsi="Arial" w:cs="Arial"/>
          <w:b/>
          <w:sz w:val="20"/>
          <w:szCs w:val="20"/>
        </w:rPr>
        <w:t xml:space="preserve">8. A204109: </w:t>
      </w:r>
      <w:r w:rsidRPr="00D02C5A">
        <w:rPr>
          <w:rFonts w:ascii="Arial" w:eastAsia="Times New Roman" w:hAnsi="Arial" w:cs="Arial"/>
          <w:b/>
          <w:bCs/>
          <w:sz w:val="20"/>
          <w:szCs w:val="20"/>
          <w:lang w:eastAsia="en-US"/>
        </w:rPr>
        <w:t>Pomoć za djecu i mlade s teškoćama u razvoju i mlade invalidne osobe</w:t>
      </w:r>
      <w:r w:rsidRPr="00D02C5A">
        <w:rPr>
          <w:rFonts w:ascii="Arial" w:eastAsia="Calibri" w:hAnsi="Arial" w:cs="Arial"/>
          <w:b/>
          <w:sz w:val="20"/>
          <w:szCs w:val="20"/>
        </w:rPr>
        <w:t xml:space="preserve"> </w:t>
      </w:r>
      <w:r w:rsidRPr="00D02C5A">
        <w:rPr>
          <w:rFonts w:ascii="Arial" w:eastAsia="Calibri" w:hAnsi="Arial" w:cs="Arial"/>
          <w:sz w:val="20"/>
          <w:szCs w:val="20"/>
        </w:rPr>
        <w:t xml:space="preserve">- u sklopu navedene aktivnosti su planirani rashodi u iznosu </w:t>
      </w:r>
      <w:r w:rsidR="00D02C5A" w:rsidRPr="00D02C5A">
        <w:rPr>
          <w:rFonts w:ascii="Arial" w:eastAsia="Calibri" w:hAnsi="Arial" w:cs="Arial"/>
          <w:sz w:val="20"/>
          <w:szCs w:val="20"/>
        </w:rPr>
        <w:t>2</w:t>
      </w:r>
      <w:r w:rsidRPr="00D02C5A">
        <w:rPr>
          <w:rFonts w:ascii="Arial" w:eastAsia="Calibri" w:hAnsi="Arial" w:cs="Arial"/>
          <w:sz w:val="20"/>
          <w:szCs w:val="20"/>
        </w:rPr>
        <w:t xml:space="preserve">.000 € Dio proračunskih sredstava za ove namjene se planira putem drugih aktivnosti (PROGRAM 2043, A204305) jer se najznačajnija proračunska sredstva za ovu namjenu ne dodjeljuju izravno korisnicima već institucijama i neprofitnom sektoru kao što je npr. za poticanje zapošljavanja </w:t>
      </w:r>
      <w:r w:rsidRPr="00D02C5A">
        <w:rPr>
          <w:rFonts w:ascii="Arial" w:eastAsia="Calibri" w:hAnsi="Arial" w:cs="Arial"/>
          <w:sz w:val="20"/>
          <w:lang w:eastAsia="en-US"/>
        </w:rPr>
        <w:t>socijalno osjetljivih skupina i teže zapošljivih skupina u neprofitnom sektoru, programi obrazovanja i drugo</w:t>
      </w:r>
      <w:r w:rsidRPr="00D02C5A">
        <w:rPr>
          <w:rFonts w:ascii="Arial" w:eastAsia="Calibri" w:hAnsi="Arial" w:cs="Arial"/>
          <w:sz w:val="20"/>
          <w:szCs w:val="20"/>
        </w:rPr>
        <w:t xml:space="preserve">. </w:t>
      </w:r>
    </w:p>
    <w:p w14:paraId="5A8951E7" w14:textId="77777777" w:rsidR="00676A9B" w:rsidRPr="00EE20D4" w:rsidRDefault="00676A9B" w:rsidP="00676A9B">
      <w:pPr>
        <w:spacing w:after="0" w:line="240" w:lineRule="auto"/>
        <w:jc w:val="both"/>
        <w:rPr>
          <w:rFonts w:ascii="Arial" w:eastAsia="Calibri" w:hAnsi="Arial" w:cs="Arial"/>
          <w:sz w:val="20"/>
          <w:szCs w:val="20"/>
        </w:rPr>
      </w:pPr>
      <w:r w:rsidRPr="00EE20D4">
        <w:rPr>
          <w:rFonts w:ascii="Arial" w:eastAsia="Calibri" w:hAnsi="Arial" w:cs="Arial"/>
          <w:sz w:val="20"/>
          <w:szCs w:val="20"/>
        </w:rPr>
        <w:t>Rashodi su izvršeni u iznosu 1.000 € za jednu mladu fizičku osobu (invaliditet).</w:t>
      </w:r>
    </w:p>
    <w:p w14:paraId="6117EB80" w14:textId="77777777" w:rsidR="00676A9B" w:rsidRPr="00EE20D4" w:rsidRDefault="00676A9B" w:rsidP="00676A9B">
      <w:pPr>
        <w:spacing w:after="0" w:line="240" w:lineRule="auto"/>
        <w:jc w:val="both"/>
        <w:rPr>
          <w:rFonts w:ascii="Arial" w:eastAsia="Times New Roman" w:hAnsi="Arial" w:cs="Arial"/>
          <w:sz w:val="20"/>
          <w:szCs w:val="20"/>
        </w:rPr>
      </w:pPr>
    </w:p>
    <w:p w14:paraId="6DB26C82" w14:textId="77777777" w:rsidR="00676A9B" w:rsidRPr="00EE20D4" w:rsidRDefault="00676A9B" w:rsidP="00676A9B">
      <w:pPr>
        <w:spacing w:after="0" w:line="240" w:lineRule="auto"/>
        <w:jc w:val="both"/>
        <w:rPr>
          <w:rFonts w:ascii="Arial" w:eastAsia="Calibri" w:hAnsi="Arial" w:cs="Arial"/>
          <w:sz w:val="20"/>
          <w:szCs w:val="20"/>
          <w:lang w:eastAsia="en-US"/>
        </w:rPr>
      </w:pPr>
      <w:r w:rsidRPr="00EE20D4">
        <w:rPr>
          <w:rFonts w:ascii="Arial" w:eastAsia="Calibri" w:hAnsi="Arial" w:cs="Arial"/>
          <w:b/>
          <w:sz w:val="20"/>
          <w:szCs w:val="20"/>
          <w:lang w:eastAsia="en-US"/>
        </w:rPr>
        <w:t xml:space="preserve">8. A204111: Stipendije učenicima i studentima </w:t>
      </w:r>
      <w:r w:rsidRPr="00EE20D4">
        <w:rPr>
          <w:rFonts w:ascii="Arial" w:eastAsia="Calibri" w:hAnsi="Arial" w:cs="Arial"/>
          <w:sz w:val="20"/>
          <w:szCs w:val="20"/>
          <w:lang w:eastAsia="en-US"/>
        </w:rPr>
        <w:t xml:space="preserve">– u sklopu navedene aktivnosti su rashodi za naknade građanima i kućanstvima u novcu u skladu s programom demografskih mjera i socijalne pomoći i provedenim natječajem za dodjelu stipendija učenicima i studentima koncem prethodne godine. </w:t>
      </w:r>
    </w:p>
    <w:p w14:paraId="5C290FA3" w14:textId="423820DD" w:rsidR="00D02C5A" w:rsidRPr="00D02C5A" w:rsidRDefault="00676A9B" w:rsidP="00D02C5A">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Planirana sredstva za provođenje navedene aktivnosti iznose </w:t>
      </w:r>
      <w:r w:rsidR="00D02C5A">
        <w:rPr>
          <w:rFonts w:ascii="Arial" w:eastAsia="Calibri" w:hAnsi="Arial" w:cs="Arial"/>
          <w:sz w:val="20"/>
          <w:szCs w:val="20"/>
          <w:lang w:eastAsia="en-US"/>
        </w:rPr>
        <w:t>142.500</w:t>
      </w:r>
      <w:r w:rsidRPr="00676A9B">
        <w:rPr>
          <w:rFonts w:ascii="Arial" w:eastAsia="Calibri" w:hAnsi="Arial" w:cs="Arial"/>
          <w:sz w:val="20"/>
          <w:szCs w:val="20"/>
          <w:lang w:eastAsia="en-US"/>
        </w:rPr>
        <w:t xml:space="preserve"> € (stipendije po kriteriju uspješnosti, stipendije po socijalnom kriteriju i jednokratne pomoći za školovanje).</w:t>
      </w:r>
      <w:r w:rsidR="00D02C5A">
        <w:rPr>
          <w:rFonts w:ascii="Arial" w:eastAsia="Calibri" w:hAnsi="Arial" w:cs="Arial"/>
          <w:sz w:val="20"/>
          <w:szCs w:val="20"/>
          <w:lang w:eastAsia="en-US"/>
        </w:rPr>
        <w:t xml:space="preserve"> </w:t>
      </w:r>
      <w:r w:rsidR="00D02C5A" w:rsidRPr="00D02C5A">
        <w:rPr>
          <w:rFonts w:ascii="Arial" w:eastAsia="Calibri" w:hAnsi="Arial" w:cs="Arial"/>
          <w:sz w:val="20"/>
          <w:szCs w:val="20"/>
          <w:lang w:eastAsia="en-US"/>
        </w:rPr>
        <w:t>Izvršeni rashodi se odnose na isplatu 117.100 € po kriteriju uspješnosti, te 6.000 € po socijalnom kriteriju, te 18.000 € jednokratnih pomoći za školovanje (za 18 studenata).</w:t>
      </w:r>
    </w:p>
    <w:p w14:paraId="2E49C884" w14:textId="77777777" w:rsidR="00D02C5A" w:rsidRPr="00D02C5A" w:rsidRDefault="00D02C5A" w:rsidP="00D02C5A">
      <w:pPr>
        <w:spacing w:after="0" w:line="240" w:lineRule="auto"/>
        <w:jc w:val="both"/>
        <w:rPr>
          <w:rFonts w:ascii="Arial" w:eastAsia="Calibri" w:hAnsi="Arial" w:cs="Arial"/>
          <w:sz w:val="20"/>
          <w:szCs w:val="20"/>
          <w:lang w:eastAsia="en-US"/>
        </w:rPr>
      </w:pPr>
    </w:p>
    <w:p w14:paraId="5F9E43CC" w14:textId="77777777" w:rsidR="00D02C5A" w:rsidRPr="00D02C5A" w:rsidRDefault="00D02C5A" w:rsidP="00D02C5A">
      <w:pPr>
        <w:spacing w:after="0" w:line="240" w:lineRule="auto"/>
        <w:jc w:val="both"/>
        <w:rPr>
          <w:rFonts w:ascii="Arial" w:eastAsia="Calibri" w:hAnsi="Arial" w:cs="Arial"/>
          <w:sz w:val="20"/>
          <w:szCs w:val="20"/>
          <w:lang w:eastAsia="en-US"/>
        </w:rPr>
      </w:pPr>
      <w:r w:rsidRPr="00D02C5A">
        <w:rPr>
          <w:rFonts w:ascii="Arial" w:eastAsia="Calibri" w:hAnsi="Arial" w:cs="Arial"/>
          <w:sz w:val="20"/>
          <w:szCs w:val="20"/>
          <w:lang w:eastAsia="en-US"/>
        </w:rPr>
        <w:t xml:space="preserve">Stipendije za akademsku – školsku 2024/2025. se dodjeljuju temeljem Pravilnika o načinu i uvjetima stipendiranja uspješnih i darovitih učenika i studenata u kategoriji uspješnosti i deficitarnih zanimanja s područja Općine Konavle; Pravilnika o načinu i uvjetima stipendiranja učenika i studenata iz obitelji slabijeg imovnog stanja s područja Općine Konavle (Službeni glasnik Općine Konavle broj 7/21, 3/22, 10/24, 2/25), te Pravilnika o načinu i uvjetima stipendiranja učenika srednjih škola i studenata iz obitelji stradalnika Domovinskog rata s područja Općine Konavle (Službeni glasnik Općine Konavle broj 7/21). </w:t>
      </w:r>
    </w:p>
    <w:p w14:paraId="559BCCC3" w14:textId="77777777" w:rsidR="00D02C5A" w:rsidRPr="00D02C5A" w:rsidRDefault="00D02C5A" w:rsidP="00D02C5A">
      <w:pPr>
        <w:spacing w:after="0" w:line="240" w:lineRule="auto"/>
        <w:jc w:val="both"/>
        <w:rPr>
          <w:rFonts w:ascii="Arial" w:eastAsia="Calibri" w:hAnsi="Arial" w:cs="Arial"/>
          <w:sz w:val="20"/>
          <w:szCs w:val="20"/>
          <w:lang w:eastAsia="en-US"/>
        </w:rPr>
      </w:pPr>
    </w:p>
    <w:p w14:paraId="550B4502" w14:textId="77777777" w:rsidR="00D02C5A" w:rsidRPr="00D02C5A" w:rsidRDefault="00D02C5A" w:rsidP="00D02C5A">
      <w:pPr>
        <w:spacing w:after="0" w:line="240" w:lineRule="auto"/>
        <w:jc w:val="both"/>
        <w:rPr>
          <w:rFonts w:ascii="Arial" w:eastAsia="Calibri" w:hAnsi="Arial" w:cs="Arial"/>
          <w:sz w:val="20"/>
          <w:szCs w:val="20"/>
          <w:lang w:eastAsia="en-US"/>
        </w:rPr>
      </w:pPr>
      <w:r w:rsidRPr="00D02C5A">
        <w:rPr>
          <w:rFonts w:ascii="Arial" w:eastAsia="Calibri" w:hAnsi="Arial" w:cs="Arial"/>
          <w:sz w:val="20"/>
          <w:szCs w:val="20"/>
          <w:lang w:eastAsia="en-US"/>
        </w:rPr>
        <w:t>Mjesečni iznos stipendije za kriterij uspješnosti:- za studente koji se školuju u Dubrovniku 130 € mjesečno (osim za mjesec srpanj i kolovoz), te za studente koji se školuju izvan Dubrovnika 200 € mjesečno (osim za mjesec srpanj i kolovoz ).</w:t>
      </w:r>
    </w:p>
    <w:p w14:paraId="2C633458" w14:textId="77777777" w:rsidR="00D02C5A" w:rsidRPr="00D02C5A" w:rsidRDefault="00D02C5A" w:rsidP="00D02C5A">
      <w:pPr>
        <w:spacing w:after="0" w:line="240" w:lineRule="auto"/>
        <w:jc w:val="both"/>
        <w:rPr>
          <w:rFonts w:ascii="Arial" w:eastAsia="Calibri" w:hAnsi="Arial" w:cs="Arial"/>
          <w:sz w:val="20"/>
          <w:szCs w:val="20"/>
          <w:lang w:eastAsia="en-US"/>
        </w:rPr>
      </w:pPr>
      <w:r w:rsidRPr="00D02C5A">
        <w:rPr>
          <w:rFonts w:ascii="Arial" w:eastAsia="Calibri" w:hAnsi="Arial" w:cs="Arial"/>
          <w:sz w:val="20"/>
          <w:szCs w:val="20"/>
          <w:lang w:eastAsia="en-US"/>
        </w:rPr>
        <w:t>Mjesečni iznos stipendije za socijalni kriterij: za studente koji se školuju u Dubrovniku 100 € mjesečno (osim za mjesec srpanj i kolovoz), te za studente koji se školuju izvan Dubrovnika 200 € mjesečno (osim za mjesec srpanj i kolovoz).</w:t>
      </w:r>
    </w:p>
    <w:p w14:paraId="377A2192" w14:textId="74DBECE8" w:rsidR="00D02C5A" w:rsidRDefault="00D02C5A" w:rsidP="00D02C5A">
      <w:pPr>
        <w:spacing w:after="0" w:line="240" w:lineRule="auto"/>
        <w:jc w:val="both"/>
        <w:rPr>
          <w:rFonts w:ascii="Arial" w:eastAsia="Calibri" w:hAnsi="Arial" w:cs="Arial"/>
          <w:sz w:val="20"/>
          <w:szCs w:val="20"/>
          <w:lang w:eastAsia="en-US"/>
        </w:rPr>
      </w:pPr>
      <w:r w:rsidRPr="00D02C5A">
        <w:rPr>
          <w:rFonts w:ascii="Arial" w:eastAsia="Calibri" w:hAnsi="Arial" w:cs="Arial"/>
          <w:sz w:val="20"/>
          <w:szCs w:val="20"/>
          <w:lang w:eastAsia="en-US"/>
        </w:rPr>
        <w:t>Zaključeno je 3 ugovora prema socijalnom kriteriju (svi studenti koji se školuju izvan Dubrovnika) i 61 ugovora prema kriteriju uspješnosti (od toga 7 za studente koji se školuju u Dubrovniku i 54 za studente koji se školuju izvan Dubrovnika).</w:t>
      </w:r>
    </w:p>
    <w:p w14:paraId="0856DFDE" w14:textId="77777777" w:rsidR="00676A9B" w:rsidRPr="00676A9B" w:rsidRDefault="00676A9B" w:rsidP="00676A9B">
      <w:pPr>
        <w:spacing w:after="0" w:line="240" w:lineRule="auto"/>
        <w:ind w:left="709" w:firstLine="709"/>
        <w:jc w:val="both"/>
        <w:rPr>
          <w:rFonts w:ascii="Arial" w:eastAsia="Times New Roman" w:hAnsi="Arial" w:cs="Arial"/>
          <w:i/>
          <w:iCs/>
          <w:sz w:val="20"/>
          <w:szCs w:val="20"/>
        </w:rPr>
      </w:pPr>
    </w:p>
    <w:p w14:paraId="3DBCC292" w14:textId="77777777" w:rsidR="00676A9B" w:rsidRDefault="00676A9B" w:rsidP="00676A9B">
      <w:pPr>
        <w:spacing w:after="0" w:line="240" w:lineRule="auto"/>
        <w:ind w:left="709" w:firstLine="709"/>
        <w:jc w:val="both"/>
        <w:rPr>
          <w:rFonts w:ascii="Arial" w:eastAsia="Times New Roman" w:hAnsi="Arial" w:cs="Arial"/>
          <w:i/>
          <w:iCs/>
          <w:sz w:val="20"/>
          <w:szCs w:val="20"/>
        </w:rPr>
      </w:pPr>
    </w:p>
    <w:p w14:paraId="464B699F" w14:textId="77777777" w:rsidR="009136D4" w:rsidRPr="00676A9B" w:rsidRDefault="009136D4" w:rsidP="00676A9B">
      <w:pPr>
        <w:spacing w:after="0" w:line="240" w:lineRule="auto"/>
        <w:ind w:left="709" w:firstLine="709"/>
        <w:jc w:val="both"/>
        <w:rPr>
          <w:rFonts w:ascii="Arial" w:eastAsia="Times New Roman" w:hAnsi="Arial" w:cs="Arial"/>
          <w:i/>
          <w:iCs/>
          <w:sz w:val="20"/>
          <w:szCs w:val="20"/>
        </w:rPr>
      </w:pPr>
    </w:p>
    <w:p w14:paraId="0D81381A" w14:textId="77777777" w:rsidR="00676A9B" w:rsidRDefault="00676A9B" w:rsidP="00676A9B">
      <w:pPr>
        <w:spacing w:after="0" w:line="240" w:lineRule="auto"/>
        <w:ind w:left="709" w:firstLine="709"/>
        <w:jc w:val="both"/>
        <w:rPr>
          <w:rFonts w:ascii="Arial" w:eastAsia="Times New Roman" w:hAnsi="Arial" w:cs="Arial"/>
          <w:i/>
          <w:iCs/>
          <w:sz w:val="20"/>
          <w:szCs w:val="20"/>
        </w:rPr>
      </w:pPr>
    </w:p>
    <w:p w14:paraId="26238975" w14:textId="77777777" w:rsidR="005F4E8E" w:rsidRDefault="005F4E8E" w:rsidP="00676A9B">
      <w:pPr>
        <w:spacing w:after="0" w:line="240" w:lineRule="auto"/>
        <w:ind w:left="709" w:firstLine="709"/>
        <w:jc w:val="both"/>
        <w:rPr>
          <w:rFonts w:ascii="Arial" w:eastAsia="Times New Roman" w:hAnsi="Arial" w:cs="Arial"/>
          <w:i/>
          <w:iCs/>
          <w:sz w:val="20"/>
          <w:szCs w:val="20"/>
        </w:rPr>
      </w:pPr>
    </w:p>
    <w:p w14:paraId="24706631" w14:textId="77777777" w:rsidR="005F4E8E" w:rsidRDefault="005F4E8E" w:rsidP="00676A9B">
      <w:pPr>
        <w:spacing w:after="0" w:line="240" w:lineRule="auto"/>
        <w:ind w:left="709" w:firstLine="709"/>
        <w:jc w:val="both"/>
        <w:rPr>
          <w:rFonts w:ascii="Arial" w:eastAsia="Times New Roman" w:hAnsi="Arial" w:cs="Arial"/>
          <w:i/>
          <w:iCs/>
          <w:sz w:val="20"/>
          <w:szCs w:val="20"/>
        </w:rPr>
      </w:pPr>
    </w:p>
    <w:p w14:paraId="2101D741" w14:textId="77777777" w:rsidR="005F4E8E" w:rsidRDefault="005F4E8E" w:rsidP="00676A9B">
      <w:pPr>
        <w:spacing w:after="0" w:line="240" w:lineRule="auto"/>
        <w:ind w:left="709" w:firstLine="709"/>
        <w:jc w:val="both"/>
        <w:rPr>
          <w:rFonts w:ascii="Arial" w:eastAsia="Times New Roman" w:hAnsi="Arial" w:cs="Arial"/>
          <w:i/>
          <w:iCs/>
          <w:sz w:val="20"/>
          <w:szCs w:val="20"/>
        </w:rPr>
      </w:pPr>
    </w:p>
    <w:p w14:paraId="78BF4247" w14:textId="77777777" w:rsidR="005F4E8E" w:rsidRDefault="005F4E8E" w:rsidP="00676A9B">
      <w:pPr>
        <w:spacing w:after="0" w:line="240" w:lineRule="auto"/>
        <w:ind w:left="709" w:firstLine="709"/>
        <w:jc w:val="both"/>
        <w:rPr>
          <w:rFonts w:ascii="Arial" w:eastAsia="Times New Roman" w:hAnsi="Arial" w:cs="Arial"/>
          <w:i/>
          <w:iCs/>
          <w:sz w:val="20"/>
          <w:szCs w:val="20"/>
        </w:rPr>
      </w:pPr>
    </w:p>
    <w:p w14:paraId="367DFEC3" w14:textId="77777777" w:rsidR="005F4E8E" w:rsidRDefault="005F4E8E" w:rsidP="00676A9B">
      <w:pPr>
        <w:spacing w:after="0" w:line="240" w:lineRule="auto"/>
        <w:ind w:left="709" w:firstLine="709"/>
        <w:jc w:val="both"/>
        <w:rPr>
          <w:rFonts w:ascii="Arial" w:eastAsia="Times New Roman" w:hAnsi="Arial" w:cs="Arial"/>
          <w:i/>
          <w:iCs/>
          <w:sz w:val="20"/>
          <w:szCs w:val="20"/>
        </w:rPr>
      </w:pPr>
    </w:p>
    <w:p w14:paraId="05D610AC" w14:textId="77777777" w:rsidR="005F4E8E" w:rsidRDefault="005F4E8E" w:rsidP="00676A9B">
      <w:pPr>
        <w:spacing w:after="0" w:line="240" w:lineRule="auto"/>
        <w:ind w:left="709" w:firstLine="709"/>
        <w:jc w:val="both"/>
        <w:rPr>
          <w:rFonts w:ascii="Arial" w:eastAsia="Times New Roman" w:hAnsi="Arial" w:cs="Arial"/>
          <w:i/>
          <w:iCs/>
          <w:sz w:val="20"/>
          <w:szCs w:val="20"/>
        </w:rPr>
      </w:pPr>
    </w:p>
    <w:p w14:paraId="3F73F7FA" w14:textId="77777777" w:rsidR="005F4E8E" w:rsidRDefault="005F4E8E" w:rsidP="00676A9B">
      <w:pPr>
        <w:spacing w:after="0" w:line="240" w:lineRule="auto"/>
        <w:ind w:left="709" w:firstLine="709"/>
        <w:jc w:val="both"/>
        <w:rPr>
          <w:rFonts w:ascii="Arial" w:eastAsia="Times New Roman" w:hAnsi="Arial" w:cs="Arial"/>
          <w:i/>
          <w:iCs/>
          <w:sz w:val="20"/>
          <w:szCs w:val="20"/>
        </w:rPr>
      </w:pPr>
    </w:p>
    <w:p w14:paraId="2ADAE7CB" w14:textId="77777777" w:rsidR="005F4E8E" w:rsidRDefault="005F4E8E" w:rsidP="00676A9B">
      <w:pPr>
        <w:spacing w:after="0" w:line="240" w:lineRule="auto"/>
        <w:ind w:left="709" w:firstLine="709"/>
        <w:jc w:val="both"/>
        <w:rPr>
          <w:rFonts w:ascii="Arial" w:eastAsia="Times New Roman" w:hAnsi="Arial" w:cs="Arial"/>
          <w:i/>
          <w:iCs/>
          <w:sz w:val="20"/>
          <w:szCs w:val="20"/>
        </w:rPr>
      </w:pPr>
    </w:p>
    <w:p w14:paraId="7F253773" w14:textId="77777777" w:rsidR="005F4E8E" w:rsidRDefault="005F4E8E" w:rsidP="00676A9B">
      <w:pPr>
        <w:spacing w:after="0" w:line="240" w:lineRule="auto"/>
        <w:ind w:left="709" w:firstLine="709"/>
        <w:jc w:val="both"/>
        <w:rPr>
          <w:rFonts w:ascii="Arial" w:eastAsia="Times New Roman" w:hAnsi="Arial" w:cs="Arial"/>
          <w:i/>
          <w:iCs/>
          <w:sz w:val="20"/>
          <w:szCs w:val="20"/>
        </w:rPr>
      </w:pPr>
    </w:p>
    <w:p w14:paraId="46C643E5" w14:textId="77777777" w:rsidR="005F4E8E" w:rsidRDefault="005F4E8E" w:rsidP="00676A9B">
      <w:pPr>
        <w:spacing w:after="0" w:line="240" w:lineRule="auto"/>
        <w:ind w:left="709" w:firstLine="709"/>
        <w:jc w:val="both"/>
        <w:rPr>
          <w:rFonts w:ascii="Arial" w:eastAsia="Times New Roman" w:hAnsi="Arial" w:cs="Arial"/>
          <w:i/>
          <w:iCs/>
          <w:sz w:val="20"/>
          <w:szCs w:val="20"/>
        </w:rPr>
      </w:pPr>
    </w:p>
    <w:p w14:paraId="6BCDC664" w14:textId="77777777" w:rsidR="005F4E8E" w:rsidRDefault="005F4E8E" w:rsidP="00676A9B">
      <w:pPr>
        <w:spacing w:after="0" w:line="240" w:lineRule="auto"/>
        <w:ind w:left="709" w:firstLine="709"/>
        <w:jc w:val="both"/>
        <w:rPr>
          <w:rFonts w:ascii="Arial" w:eastAsia="Times New Roman" w:hAnsi="Arial" w:cs="Arial"/>
          <w:i/>
          <w:iCs/>
          <w:sz w:val="20"/>
          <w:szCs w:val="20"/>
        </w:rPr>
      </w:pPr>
    </w:p>
    <w:p w14:paraId="64DF9BAC" w14:textId="77777777" w:rsidR="005F4E8E" w:rsidRDefault="005F4E8E" w:rsidP="00676A9B">
      <w:pPr>
        <w:spacing w:after="0" w:line="240" w:lineRule="auto"/>
        <w:ind w:left="709" w:firstLine="709"/>
        <w:jc w:val="both"/>
        <w:rPr>
          <w:rFonts w:ascii="Arial" w:eastAsia="Times New Roman" w:hAnsi="Arial" w:cs="Arial"/>
          <w:i/>
          <w:iCs/>
          <w:sz w:val="20"/>
          <w:szCs w:val="20"/>
        </w:rPr>
      </w:pPr>
    </w:p>
    <w:p w14:paraId="249015EB" w14:textId="77777777" w:rsidR="005F4E8E" w:rsidRPr="00676A9B" w:rsidRDefault="005F4E8E" w:rsidP="00676A9B">
      <w:pPr>
        <w:spacing w:after="0" w:line="240" w:lineRule="auto"/>
        <w:ind w:left="709" w:firstLine="709"/>
        <w:jc w:val="both"/>
        <w:rPr>
          <w:rFonts w:ascii="Arial" w:eastAsia="Times New Roman" w:hAnsi="Arial" w:cs="Arial"/>
          <w:i/>
          <w:iCs/>
          <w:sz w:val="20"/>
          <w:szCs w:val="20"/>
        </w:rPr>
      </w:pPr>
    </w:p>
    <w:p w14:paraId="315207DA" w14:textId="77777777" w:rsidR="00676A9B" w:rsidRPr="00676A9B" w:rsidRDefault="00676A9B" w:rsidP="00676A9B">
      <w:pPr>
        <w:spacing w:after="0" w:line="240" w:lineRule="auto"/>
        <w:ind w:left="709" w:firstLine="709"/>
        <w:jc w:val="both"/>
        <w:rPr>
          <w:rFonts w:ascii="Arial" w:eastAsia="Times New Roman" w:hAnsi="Arial" w:cs="Arial"/>
          <w:i/>
          <w:iCs/>
          <w:sz w:val="20"/>
          <w:szCs w:val="20"/>
        </w:rPr>
      </w:pPr>
      <w:r w:rsidRPr="00676A9B">
        <w:rPr>
          <w:rFonts w:ascii="Arial" w:eastAsia="Times New Roman" w:hAnsi="Arial" w:cs="Arial"/>
          <w:i/>
          <w:iCs/>
          <w:sz w:val="20"/>
          <w:szCs w:val="20"/>
        </w:rPr>
        <w:lastRenderedPageBreak/>
        <w:t>Usporedba:</w:t>
      </w:r>
    </w:p>
    <w:p w14:paraId="3303F7D5" w14:textId="145BB0E8" w:rsidR="00676A9B" w:rsidRPr="00676A9B" w:rsidRDefault="005F4E8E" w:rsidP="00676A9B">
      <w:pPr>
        <w:spacing w:after="0" w:line="240" w:lineRule="auto"/>
        <w:jc w:val="center"/>
        <w:rPr>
          <w:rFonts w:ascii="Arial" w:eastAsia="Calibri" w:hAnsi="Arial" w:cs="Arial"/>
          <w:b/>
          <w:sz w:val="20"/>
          <w:szCs w:val="20"/>
        </w:rPr>
      </w:pPr>
      <w:r w:rsidRPr="005F4E8E">
        <w:rPr>
          <w:noProof/>
        </w:rPr>
        <w:drawing>
          <wp:inline distT="0" distB="0" distL="0" distR="0" wp14:anchorId="67ED004F" wp14:editId="4C6D37CE">
            <wp:extent cx="6690429" cy="5800725"/>
            <wp:effectExtent l="0" t="0" r="0" b="0"/>
            <wp:docPr id="2124513109"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690953" cy="5801179"/>
                    </a:xfrm>
                    <a:prstGeom prst="rect">
                      <a:avLst/>
                    </a:prstGeom>
                    <a:noFill/>
                    <a:ln>
                      <a:noFill/>
                    </a:ln>
                  </pic:spPr>
                </pic:pic>
              </a:graphicData>
            </a:graphic>
          </wp:inline>
        </w:drawing>
      </w:r>
    </w:p>
    <w:p w14:paraId="3A4784B7" w14:textId="77777777" w:rsidR="00676A9B" w:rsidRPr="00676A9B" w:rsidRDefault="00676A9B" w:rsidP="00676A9B">
      <w:pPr>
        <w:spacing w:after="0" w:line="240" w:lineRule="auto"/>
        <w:jc w:val="both"/>
        <w:rPr>
          <w:rFonts w:ascii="Arial" w:eastAsia="Calibri" w:hAnsi="Arial" w:cs="Arial"/>
          <w:b/>
          <w:sz w:val="20"/>
          <w:szCs w:val="20"/>
        </w:rPr>
      </w:pPr>
    </w:p>
    <w:p w14:paraId="64BB2E41" w14:textId="271CBF7F"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10. A204112: Sufinanciranje prijevoza učenika </w:t>
      </w:r>
      <w:r w:rsidRPr="00676A9B">
        <w:rPr>
          <w:rFonts w:ascii="Arial" w:eastAsia="Calibri" w:hAnsi="Arial" w:cs="Arial"/>
          <w:sz w:val="20"/>
          <w:szCs w:val="20"/>
        </w:rPr>
        <w:t xml:space="preserve">- u sklopu navedene aktivnosti su rashodi za naknade građanima i kućanstvima u naravi, odnosno </w:t>
      </w:r>
      <w:bookmarkStart w:id="417" w:name="_Hlk114752886"/>
      <w:r w:rsidRPr="00676A9B">
        <w:rPr>
          <w:rFonts w:ascii="Arial" w:eastAsia="Calibri" w:hAnsi="Arial" w:cs="Arial"/>
          <w:sz w:val="20"/>
          <w:szCs w:val="20"/>
        </w:rPr>
        <w:t xml:space="preserve">naknade za prijevoz djece koja nemaju izravnu autobusnu liniju (Duba Konavoska-Zvekovica), kao i za prijevoz učenika na školske i izvanškolske aktivnosti učenika osnovne škole. </w:t>
      </w:r>
      <w:bookmarkStart w:id="418" w:name="_Hlk103253075"/>
      <w:r w:rsidRPr="00676A9B">
        <w:rPr>
          <w:rFonts w:ascii="Arial" w:eastAsia="Calibri" w:hAnsi="Arial" w:cs="Arial"/>
          <w:sz w:val="20"/>
          <w:szCs w:val="20"/>
        </w:rPr>
        <w:t xml:space="preserve">Učenički i studentski mjesečni pokaz iznosi 66,36 € (500 kn). Planirana sredstva za provođenje navedene aktivnosti iznose </w:t>
      </w:r>
      <w:r w:rsidR="005F4E8E">
        <w:rPr>
          <w:rFonts w:ascii="Arial" w:eastAsia="Calibri" w:hAnsi="Arial" w:cs="Arial"/>
          <w:sz w:val="20"/>
          <w:szCs w:val="20"/>
        </w:rPr>
        <w:t>23.750</w:t>
      </w:r>
      <w:r w:rsidRPr="00676A9B">
        <w:rPr>
          <w:rFonts w:ascii="Arial" w:eastAsia="Calibri" w:hAnsi="Arial" w:cs="Arial"/>
          <w:sz w:val="20"/>
          <w:szCs w:val="20"/>
        </w:rPr>
        <w:t xml:space="preserve"> €. Rashodi su izvršeni u iznosu </w:t>
      </w:r>
      <w:r w:rsidR="005F4E8E">
        <w:rPr>
          <w:rFonts w:ascii="Arial" w:eastAsia="Calibri" w:hAnsi="Arial" w:cs="Arial"/>
          <w:sz w:val="20"/>
          <w:szCs w:val="20"/>
        </w:rPr>
        <w:t>21.505,15</w:t>
      </w:r>
      <w:r w:rsidRPr="00676A9B">
        <w:rPr>
          <w:rFonts w:ascii="Arial" w:eastAsia="Calibri" w:hAnsi="Arial" w:cs="Arial"/>
          <w:sz w:val="20"/>
          <w:szCs w:val="20"/>
        </w:rPr>
        <w:t xml:space="preserve"> € ili </w:t>
      </w:r>
      <w:r w:rsidR="009D6E35">
        <w:rPr>
          <w:rFonts w:ascii="Arial" w:eastAsia="Calibri" w:hAnsi="Arial" w:cs="Arial"/>
          <w:sz w:val="20"/>
          <w:szCs w:val="20"/>
        </w:rPr>
        <w:t>90,5</w:t>
      </w:r>
      <w:r w:rsidRPr="00676A9B">
        <w:rPr>
          <w:rFonts w:ascii="Arial" w:eastAsia="Calibri" w:hAnsi="Arial" w:cs="Arial"/>
          <w:sz w:val="20"/>
          <w:szCs w:val="20"/>
        </w:rPr>
        <w:t xml:space="preserve">% i odnose se na prijevoz učenika na izvannastavne aktivnosti </w:t>
      </w:r>
      <w:r w:rsidR="009D6E35">
        <w:rPr>
          <w:rFonts w:ascii="Arial" w:eastAsia="Calibri" w:hAnsi="Arial" w:cs="Arial"/>
          <w:sz w:val="20"/>
          <w:szCs w:val="20"/>
        </w:rPr>
        <w:t>5.942,65</w:t>
      </w:r>
      <w:r w:rsidRPr="00676A9B">
        <w:rPr>
          <w:rFonts w:ascii="Arial" w:eastAsia="Calibri" w:hAnsi="Arial" w:cs="Arial"/>
          <w:sz w:val="20"/>
          <w:szCs w:val="20"/>
        </w:rPr>
        <w:t xml:space="preserve"> €, </w:t>
      </w:r>
      <w:bookmarkStart w:id="419" w:name="_Hlk230540358"/>
      <w:bookmarkStart w:id="420" w:name="_Hlk166146940"/>
      <w:r w:rsidRPr="00676A9B">
        <w:rPr>
          <w:rFonts w:ascii="Arial" w:eastAsia="Calibri" w:hAnsi="Arial" w:cs="Arial"/>
          <w:sz w:val="20"/>
          <w:szCs w:val="20"/>
        </w:rPr>
        <w:t>prijevoz učenika koji nemaju izravnu autobusnu liniju 10.000 €, prijevoz učenika iz Cavtata u područne škole 5.</w:t>
      </w:r>
      <w:r w:rsidR="009D6E35">
        <w:rPr>
          <w:rFonts w:ascii="Arial" w:eastAsia="Calibri" w:hAnsi="Arial" w:cs="Arial"/>
          <w:sz w:val="20"/>
          <w:szCs w:val="20"/>
        </w:rPr>
        <w:t>562,50</w:t>
      </w:r>
      <w:r w:rsidRPr="00676A9B">
        <w:rPr>
          <w:rFonts w:ascii="Arial" w:eastAsia="Calibri" w:hAnsi="Arial" w:cs="Arial"/>
          <w:sz w:val="20"/>
          <w:szCs w:val="20"/>
        </w:rPr>
        <w:t xml:space="preserve"> €. Rashodi u iznosu 10.000 € se odnose na prijevoz djece koja nemaju izravnu autobusnu liniju na relaciji Zvekovica - Duba Konavoska.</w:t>
      </w:r>
      <w:bookmarkEnd w:id="419"/>
      <w:r w:rsidRPr="00676A9B">
        <w:rPr>
          <w:rFonts w:ascii="Arial" w:eastAsia="Calibri" w:hAnsi="Arial" w:cs="Arial"/>
          <w:sz w:val="20"/>
          <w:szCs w:val="20"/>
        </w:rPr>
        <w:t xml:space="preserve"> Ranijih godina je bila sufinancirana i linija Zastoje – Gruda. </w:t>
      </w:r>
      <w:r w:rsidR="009D6E35">
        <w:rPr>
          <w:rFonts w:ascii="Arial" w:eastAsia="Calibri" w:hAnsi="Arial" w:cs="Arial"/>
          <w:sz w:val="20"/>
          <w:szCs w:val="20"/>
        </w:rPr>
        <w:t xml:space="preserve">U 2025. godini nije bilo rashoda za </w:t>
      </w:r>
      <w:r w:rsidR="009D6E35" w:rsidRPr="00676A9B">
        <w:rPr>
          <w:rFonts w:ascii="Arial" w:eastAsia="Calibri" w:hAnsi="Arial" w:cs="Arial"/>
          <w:sz w:val="20"/>
          <w:szCs w:val="20"/>
        </w:rPr>
        <w:t xml:space="preserve">troškove prijevoza djece </w:t>
      </w:r>
      <w:r w:rsidR="009D6E35">
        <w:rPr>
          <w:rFonts w:ascii="Arial" w:eastAsia="Calibri" w:hAnsi="Arial" w:cs="Arial"/>
          <w:sz w:val="20"/>
          <w:szCs w:val="20"/>
        </w:rPr>
        <w:t>po kriteriju</w:t>
      </w:r>
      <w:r w:rsidR="009D6E35" w:rsidRPr="00676A9B">
        <w:rPr>
          <w:rFonts w:ascii="Arial" w:eastAsia="Calibri" w:hAnsi="Arial" w:cs="Arial"/>
          <w:sz w:val="20"/>
          <w:szCs w:val="20"/>
        </w:rPr>
        <w:t>: prvo autobusno stajalište udaljeno više od 2 kilometra.</w:t>
      </w:r>
      <w:r w:rsidRPr="00676A9B">
        <w:rPr>
          <w:rFonts w:ascii="Arial" w:eastAsia="Calibri" w:hAnsi="Arial" w:cs="Arial"/>
          <w:sz w:val="20"/>
          <w:szCs w:val="20"/>
        </w:rPr>
        <w:t xml:space="preserve"> </w:t>
      </w:r>
    </w:p>
    <w:bookmarkEnd w:id="420"/>
    <w:p w14:paraId="7BEA6247" w14:textId="77777777" w:rsidR="00676A9B" w:rsidRPr="00676A9B" w:rsidRDefault="00676A9B" w:rsidP="00676A9B">
      <w:pPr>
        <w:spacing w:after="0" w:line="240" w:lineRule="auto"/>
        <w:jc w:val="both"/>
        <w:rPr>
          <w:rFonts w:ascii="Arial" w:eastAsia="Calibri" w:hAnsi="Arial" w:cs="Arial"/>
          <w:sz w:val="20"/>
          <w:szCs w:val="20"/>
        </w:rPr>
      </w:pPr>
    </w:p>
    <w:p w14:paraId="612982A3" w14:textId="1908C97C" w:rsidR="009D6E35" w:rsidRPr="00676A9B" w:rsidRDefault="009D6E35" w:rsidP="009D6E35">
      <w:pPr>
        <w:spacing w:after="0" w:line="240" w:lineRule="auto"/>
        <w:jc w:val="both"/>
        <w:rPr>
          <w:rFonts w:ascii="Arial" w:eastAsia="Calibri" w:hAnsi="Arial" w:cs="Arial"/>
          <w:sz w:val="20"/>
          <w:szCs w:val="20"/>
        </w:rPr>
      </w:pPr>
      <w:bookmarkStart w:id="421" w:name="_Hlk230540332"/>
      <w:bookmarkStart w:id="422" w:name="_Hlk166655052"/>
      <w:bookmarkEnd w:id="418"/>
      <w:r w:rsidRPr="00676A9B">
        <w:rPr>
          <w:rFonts w:ascii="Arial" w:eastAsia="Calibri" w:hAnsi="Arial" w:cs="Arial"/>
          <w:sz w:val="20"/>
          <w:szCs w:val="20"/>
        </w:rPr>
        <w:t>U 202</w:t>
      </w:r>
      <w:r>
        <w:rPr>
          <w:rFonts w:ascii="Arial" w:eastAsia="Calibri" w:hAnsi="Arial" w:cs="Arial"/>
          <w:sz w:val="20"/>
          <w:szCs w:val="20"/>
        </w:rPr>
        <w:t>5</w:t>
      </w:r>
      <w:r w:rsidRPr="00676A9B">
        <w:rPr>
          <w:rFonts w:ascii="Arial" w:eastAsia="Calibri" w:hAnsi="Arial" w:cs="Arial"/>
          <w:sz w:val="20"/>
          <w:szCs w:val="20"/>
        </w:rPr>
        <w:t xml:space="preserve">. pokazne karte je u prosjeku koristilo </w:t>
      </w:r>
      <w:r>
        <w:rPr>
          <w:rFonts w:ascii="Arial" w:eastAsia="Calibri" w:hAnsi="Arial" w:cs="Arial"/>
          <w:sz w:val="20"/>
          <w:szCs w:val="20"/>
        </w:rPr>
        <w:t>75</w:t>
      </w:r>
      <w:r w:rsidRPr="00676A9B">
        <w:rPr>
          <w:rFonts w:ascii="Arial" w:eastAsia="Calibri" w:hAnsi="Arial" w:cs="Arial"/>
          <w:sz w:val="20"/>
          <w:szCs w:val="20"/>
        </w:rPr>
        <w:t xml:space="preserve"> učenika (od </w:t>
      </w:r>
      <w:r>
        <w:rPr>
          <w:rFonts w:ascii="Arial" w:eastAsia="Calibri" w:hAnsi="Arial" w:cs="Arial"/>
          <w:sz w:val="20"/>
          <w:szCs w:val="20"/>
        </w:rPr>
        <w:t>6</w:t>
      </w:r>
      <w:r w:rsidRPr="00676A9B">
        <w:rPr>
          <w:rFonts w:ascii="Arial" w:eastAsia="Calibri" w:hAnsi="Arial" w:cs="Arial"/>
          <w:sz w:val="20"/>
          <w:szCs w:val="20"/>
        </w:rPr>
        <w:t xml:space="preserve">6 do </w:t>
      </w:r>
      <w:r>
        <w:rPr>
          <w:rFonts w:ascii="Arial" w:eastAsia="Calibri" w:hAnsi="Arial" w:cs="Arial"/>
          <w:sz w:val="20"/>
          <w:szCs w:val="20"/>
        </w:rPr>
        <w:t>8</w:t>
      </w:r>
      <w:r w:rsidRPr="00676A9B">
        <w:rPr>
          <w:rFonts w:ascii="Arial" w:eastAsia="Calibri" w:hAnsi="Arial" w:cs="Arial"/>
          <w:sz w:val="20"/>
          <w:szCs w:val="20"/>
        </w:rPr>
        <w:t xml:space="preserve">4 učenika) koji idu na izvannastavne aktivnosti (rashodi </w:t>
      </w:r>
      <w:r>
        <w:rPr>
          <w:rFonts w:ascii="Arial" w:eastAsia="Calibri" w:hAnsi="Arial" w:cs="Arial"/>
          <w:sz w:val="20"/>
          <w:szCs w:val="20"/>
        </w:rPr>
        <w:t>5.942,65</w:t>
      </w:r>
      <w:r w:rsidRPr="00676A9B">
        <w:rPr>
          <w:rFonts w:ascii="Arial" w:eastAsia="Calibri" w:hAnsi="Arial" w:cs="Arial"/>
          <w:sz w:val="20"/>
          <w:szCs w:val="20"/>
        </w:rPr>
        <w:t xml:space="preserve"> €). </w:t>
      </w:r>
    </w:p>
    <w:bookmarkEnd w:id="421"/>
    <w:p w14:paraId="0AF116FC" w14:textId="77777777" w:rsidR="00676A9B" w:rsidRPr="00676A9B" w:rsidRDefault="00676A9B" w:rsidP="00676A9B">
      <w:pPr>
        <w:spacing w:after="0" w:line="240" w:lineRule="auto"/>
        <w:jc w:val="both"/>
        <w:rPr>
          <w:rFonts w:ascii="Arial" w:eastAsia="Times New Roman" w:hAnsi="Arial" w:cs="Arial"/>
          <w:iCs/>
          <w:sz w:val="20"/>
          <w:szCs w:val="20"/>
        </w:rPr>
      </w:pPr>
    </w:p>
    <w:p w14:paraId="5E0B8162" w14:textId="4CF83D79" w:rsidR="00676A9B" w:rsidRPr="00676A9B" w:rsidRDefault="00676A9B" w:rsidP="00676A9B">
      <w:pPr>
        <w:spacing w:after="0" w:line="240" w:lineRule="auto"/>
        <w:jc w:val="both"/>
        <w:rPr>
          <w:rFonts w:ascii="Arial" w:eastAsia="Times New Roman" w:hAnsi="Arial" w:cs="Arial"/>
          <w:iCs/>
          <w:sz w:val="20"/>
          <w:szCs w:val="20"/>
        </w:rPr>
      </w:pPr>
      <w:r w:rsidRPr="00676A9B">
        <w:rPr>
          <w:rFonts w:ascii="Arial" w:eastAsia="Times New Roman" w:hAnsi="Arial" w:cs="Arial"/>
          <w:iCs/>
          <w:sz w:val="20"/>
          <w:szCs w:val="20"/>
        </w:rPr>
        <w:t>Prijevoz učenika osnovnih škola iz Cavtata u područne škole radi korištenja mogućnosti produženog boravka se koristio za prosječno 1</w:t>
      </w:r>
      <w:r w:rsidR="00846E26">
        <w:rPr>
          <w:rFonts w:ascii="Arial" w:eastAsia="Times New Roman" w:hAnsi="Arial" w:cs="Arial"/>
          <w:iCs/>
          <w:sz w:val="20"/>
          <w:szCs w:val="20"/>
        </w:rPr>
        <w:t>8</w:t>
      </w:r>
      <w:r w:rsidRPr="00676A9B">
        <w:rPr>
          <w:rFonts w:ascii="Arial" w:eastAsia="Times New Roman" w:hAnsi="Arial" w:cs="Arial"/>
          <w:iCs/>
          <w:sz w:val="20"/>
          <w:szCs w:val="20"/>
        </w:rPr>
        <w:t xml:space="preserve"> učenika.</w:t>
      </w:r>
    </w:p>
    <w:bookmarkEnd w:id="417"/>
    <w:bookmarkEnd w:id="422"/>
    <w:p w14:paraId="7A6F8382" w14:textId="77777777" w:rsidR="00676A9B" w:rsidRPr="00676A9B" w:rsidRDefault="00676A9B" w:rsidP="00676A9B">
      <w:pPr>
        <w:spacing w:after="0" w:line="240" w:lineRule="auto"/>
        <w:ind w:left="2832" w:firstLine="708"/>
        <w:jc w:val="both"/>
        <w:rPr>
          <w:rFonts w:ascii="Arial" w:eastAsia="Times New Roman" w:hAnsi="Arial" w:cs="Arial"/>
          <w:i/>
          <w:sz w:val="20"/>
          <w:szCs w:val="20"/>
        </w:rPr>
      </w:pPr>
      <w:r w:rsidRPr="00676A9B">
        <w:rPr>
          <w:rFonts w:ascii="Arial" w:eastAsia="Times New Roman" w:hAnsi="Arial" w:cs="Arial"/>
          <w:i/>
          <w:sz w:val="20"/>
          <w:szCs w:val="20"/>
        </w:rPr>
        <w:t>*Usporedba:</w:t>
      </w:r>
    </w:p>
    <w:tbl>
      <w:tblPr>
        <w:tblStyle w:val="Reetkatablice"/>
        <w:tblW w:w="0" w:type="auto"/>
        <w:jc w:val="center"/>
        <w:tblLook w:val="04A0" w:firstRow="1" w:lastRow="0" w:firstColumn="1" w:lastColumn="0" w:noHBand="0" w:noVBand="1"/>
      </w:tblPr>
      <w:tblGrid>
        <w:gridCol w:w="1939"/>
        <w:gridCol w:w="3301"/>
        <w:gridCol w:w="1584"/>
      </w:tblGrid>
      <w:tr w:rsidR="00676A9B" w:rsidRPr="00676A9B" w14:paraId="6E71A70D" w14:textId="77777777" w:rsidTr="00410A4B">
        <w:trPr>
          <w:jc w:val="center"/>
        </w:trPr>
        <w:tc>
          <w:tcPr>
            <w:tcW w:w="1939" w:type="dxa"/>
            <w:vMerge w:val="restart"/>
            <w:vAlign w:val="center"/>
          </w:tcPr>
          <w:p w14:paraId="23151C8C" w14:textId="77777777" w:rsidR="00676A9B" w:rsidRPr="00676A9B" w:rsidRDefault="00676A9B" w:rsidP="00676A9B">
            <w:pPr>
              <w:spacing w:before="100" w:beforeAutospacing="1" w:after="100" w:afterAutospacing="1"/>
              <w:jc w:val="center"/>
              <w:rPr>
                <w:rFonts w:ascii="Arial" w:hAnsi="Arial" w:cs="Arial"/>
                <w:i/>
                <w:sz w:val="18"/>
                <w:szCs w:val="18"/>
              </w:rPr>
            </w:pPr>
            <w:r w:rsidRPr="00676A9B">
              <w:rPr>
                <w:rFonts w:ascii="Arial" w:hAnsi="Arial" w:cs="Arial"/>
                <w:i/>
                <w:sz w:val="18"/>
                <w:szCs w:val="18"/>
              </w:rPr>
              <w:t>Godina</w:t>
            </w:r>
          </w:p>
        </w:tc>
        <w:tc>
          <w:tcPr>
            <w:tcW w:w="3301" w:type="dxa"/>
            <w:vAlign w:val="center"/>
          </w:tcPr>
          <w:p w14:paraId="7BF4E652" w14:textId="77777777" w:rsidR="00676A9B" w:rsidRPr="00676A9B" w:rsidRDefault="00676A9B" w:rsidP="00676A9B">
            <w:pPr>
              <w:spacing w:before="100" w:beforeAutospacing="1" w:after="100" w:afterAutospacing="1"/>
              <w:jc w:val="center"/>
              <w:rPr>
                <w:rFonts w:ascii="Arial" w:hAnsi="Arial" w:cs="Arial"/>
                <w:i/>
                <w:sz w:val="18"/>
                <w:szCs w:val="18"/>
              </w:rPr>
            </w:pPr>
            <w:r w:rsidRPr="00676A9B">
              <w:rPr>
                <w:rFonts w:ascii="Arial" w:hAnsi="Arial" w:cs="Arial"/>
                <w:b/>
                <w:i/>
                <w:sz w:val="18"/>
                <w:szCs w:val="18"/>
              </w:rPr>
              <w:t>prosječan</w:t>
            </w:r>
            <w:r w:rsidRPr="00676A9B">
              <w:rPr>
                <w:rFonts w:ascii="Arial" w:hAnsi="Arial" w:cs="Arial"/>
                <w:i/>
                <w:sz w:val="18"/>
                <w:szCs w:val="18"/>
              </w:rPr>
              <w:t xml:space="preserve"> broj korisnika</w:t>
            </w:r>
          </w:p>
        </w:tc>
        <w:tc>
          <w:tcPr>
            <w:tcW w:w="1584" w:type="dxa"/>
            <w:vMerge w:val="restart"/>
            <w:vAlign w:val="center"/>
          </w:tcPr>
          <w:p w14:paraId="7D34D238" w14:textId="77777777" w:rsidR="00676A9B" w:rsidRPr="00676A9B" w:rsidRDefault="00676A9B" w:rsidP="00676A9B">
            <w:pPr>
              <w:spacing w:before="100" w:beforeAutospacing="1" w:after="100" w:afterAutospacing="1"/>
              <w:jc w:val="center"/>
              <w:rPr>
                <w:rFonts w:ascii="Arial" w:hAnsi="Arial" w:cs="Arial"/>
                <w:i/>
                <w:sz w:val="18"/>
                <w:szCs w:val="18"/>
              </w:rPr>
            </w:pPr>
            <w:r w:rsidRPr="00676A9B">
              <w:rPr>
                <w:rFonts w:ascii="Arial" w:hAnsi="Arial" w:cs="Arial"/>
                <w:i/>
                <w:sz w:val="18"/>
                <w:szCs w:val="18"/>
              </w:rPr>
              <w:t>Iznos rashoda (€)</w:t>
            </w:r>
          </w:p>
        </w:tc>
      </w:tr>
      <w:tr w:rsidR="00676A9B" w:rsidRPr="00676A9B" w14:paraId="1A9CBC31" w14:textId="77777777" w:rsidTr="00410A4B">
        <w:trPr>
          <w:jc w:val="center"/>
        </w:trPr>
        <w:tc>
          <w:tcPr>
            <w:tcW w:w="1939" w:type="dxa"/>
            <w:vMerge/>
            <w:vAlign w:val="center"/>
          </w:tcPr>
          <w:p w14:paraId="19228F8B" w14:textId="77777777" w:rsidR="00676A9B" w:rsidRPr="00676A9B" w:rsidRDefault="00676A9B" w:rsidP="00676A9B">
            <w:pPr>
              <w:spacing w:before="100" w:beforeAutospacing="1" w:after="100" w:afterAutospacing="1"/>
              <w:jc w:val="center"/>
              <w:rPr>
                <w:rFonts w:ascii="Arial" w:hAnsi="Arial" w:cs="Arial"/>
                <w:sz w:val="18"/>
                <w:szCs w:val="18"/>
              </w:rPr>
            </w:pPr>
          </w:p>
        </w:tc>
        <w:tc>
          <w:tcPr>
            <w:tcW w:w="3301" w:type="dxa"/>
            <w:vAlign w:val="center"/>
          </w:tcPr>
          <w:p w14:paraId="5DE977AC" w14:textId="77777777" w:rsidR="00676A9B" w:rsidRPr="00676A9B" w:rsidRDefault="00676A9B" w:rsidP="00676A9B">
            <w:pPr>
              <w:spacing w:before="100" w:beforeAutospacing="1" w:after="100" w:afterAutospacing="1"/>
              <w:jc w:val="center"/>
              <w:rPr>
                <w:rFonts w:ascii="Arial" w:hAnsi="Arial" w:cs="Arial"/>
                <w:i/>
                <w:sz w:val="18"/>
                <w:szCs w:val="18"/>
              </w:rPr>
            </w:pPr>
            <w:r w:rsidRPr="00676A9B">
              <w:rPr>
                <w:rFonts w:ascii="Arial" w:hAnsi="Arial" w:cs="Arial"/>
                <w:i/>
                <w:sz w:val="18"/>
                <w:szCs w:val="18"/>
              </w:rPr>
              <w:t>izvannastavne aktivnosti</w:t>
            </w:r>
          </w:p>
        </w:tc>
        <w:tc>
          <w:tcPr>
            <w:tcW w:w="1584" w:type="dxa"/>
            <w:vMerge/>
          </w:tcPr>
          <w:p w14:paraId="60A0F9D1" w14:textId="77777777" w:rsidR="00676A9B" w:rsidRPr="00676A9B" w:rsidRDefault="00676A9B" w:rsidP="00676A9B">
            <w:pPr>
              <w:spacing w:before="100" w:beforeAutospacing="1" w:after="100" w:afterAutospacing="1"/>
              <w:jc w:val="center"/>
              <w:rPr>
                <w:rFonts w:ascii="Arial" w:hAnsi="Arial" w:cs="Arial"/>
                <w:sz w:val="18"/>
                <w:szCs w:val="18"/>
              </w:rPr>
            </w:pPr>
          </w:p>
        </w:tc>
      </w:tr>
      <w:tr w:rsidR="00676A9B" w:rsidRPr="00676A9B" w14:paraId="335653C4" w14:textId="77777777" w:rsidTr="00410A4B">
        <w:trPr>
          <w:jc w:val="center"/>
        </w:trPr>
        <w:tc>
          <w:tcPr>
            <w:tcW w:w="1939" w:type="dxa"/>
            <w:vAlign w:val="center"/>
          </w:tcPr>
          <w:p w14:paraId="09EC618C"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2015.</w:t>
            </w:r>
          </w:p>
        </w:tc>
        <w:tc>
          <w:tcPr>
            <w:tcW w:w="3301" w:type="dxa"/>
            <w:vAlign w:val="center"/>
          </w:tcPr>
          <w:p w14:paraId="4C66DEBF"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46</w:t>
            </w:r>
          </w:p>
        </w:tc>
        <w:tc>
          <w:tcPr>
            <w:tcW w:w="1584" w:type="dxa"/>
          </w:tcPr>
          <w:p w14:paraId="217C29A5" w14:textId="77777777" w:rsidR="00676A9B" w:rsidRPr="00676A9B" w:rsidRDefault="00676A9B" w:rsidP="00676A9B">
            <w:pPr>
              <w:spacing w:before="100" w:beforeAutospacing="1" w:after="100" w:afterAutospacing="1"/>
              <w:jc w:val="right"/>
              <w:rPr>
                <w:rFonts w:ascii="Arial" w:hAnsi="Arial" w:cs="Arial"/>
                <w:sz w:val="18"/>
                <w:szCs w:val="18"/>
              </w:rPr>
            </w:pPr>
            <w:r w:rsidRPr="00676A9B">
              <w:rPr>
                <w:rFonts w:ascii="Arial" w:hAnsi="Arial" w:cs="Arial"/>
                <w:sz w:val="18"/>
                <w:szCs w:val="18"/>
              </w:rPr>
              <w:t>x</w:t>
            </w:r>
          </w:p>
        </w:tc>
      </w:tr>
      <w:tr w:rsidR="00676A9B" w:rsidRPr="00676A9B" w14:paraId="4725C9B2" w14:textId="77777777" w:rsidTr="00410A4B">
        <w:trPr>
          <w:jc w:val="center"/>
        </w:trPr>
        <w:tc>
          <w:tcPr>
            <w:tcW w:w="1939" w:type="dxa"/>
            <w:vAlign w:val="center"/>
          </w:tcPr>
          <w:p w14:paraId="11D86238"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2016.</w:t>
            </w:r>
          </w:p>
        </w:tc>
        <w:tc>
          <w:tcPr>
            <w:tcW w:w="3301" w:type="dxa"/>
            <w:vAlign w:val="center"/>
          </w:tcPr>
          <w:p w14:paraId="353CB3EB"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49</w:t>
            </w:r>
          </w:p>
        </w:tc>
        <w:tc>
          <w:tcPr>
            <w:tcW w:w="1584" w:type="dxa"/>
          </w:tcPr>
          <w:p w14:paraId="74CF1356" w14:textId="77777777" w:rsidR="00676A9B" w:rsidRPr="00676A9B" w:rsidRDefault="00676A9B" w:rsidP="00676A9B">
            <w:pPr>
              <w:spacing w:before="100" w:beforeAutospacing="1" w:after="100" w:afterAutospacing="1"/>
              <w:jc w:val="right"/>
              <w:rPr>
                <w:rFonts w:ascii="Arial" w:hAnsi="Arial" w:cs="Arial"/>
                <w:sz w:val="18"/>
                <w:szCs w:val="18"/>
              </w:rPr>
            </w:pPr>
            <w:r w:rsidRPr="00676A9B">
              <w:rPr>
                <w:rFonts w:ascii="Arial" w:hAnsi="Arial" w:cs="Arial"/>
                <w:sz w:val="18"/>
                <w:szCs w:val="18"/>
              </w:rPr>
              <w:t>x</w:t>
            </w:r>
          </w:p>
        </w:tc>
      </w:tr>
      <w:tr w:rsidR="00676A9B" w:rsidRPr="00676A9B" w14:paraId="62E65A47" w14:textId="77777777" w:rsidTr="00410A4B">
        <w:trPr>
          <w:jc w:val="center"/>
        </w:trPr>
        <w:tc>
          <w:tcPr>
            <w:tcW w:w="1939" w:type="dxa"/>
            <w:vAlign w:val="center"/>
          </w:tcPr>
          <w:p w14:paraId="0FB78A75"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2017.</w:t>
            </w:r>
          </w:p>
        </w:tc>
        <w:tc>
          <w:tcPr>
            <w:tcW w:w="3301" w:type="dxa"/>
            <w:vAlign w:val="center"/>
          </w:tcPr>
          <w:p w14:paraId="0F476759"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68</w:t>
            </w:r>
          </w:p>
        </w:tc>
        <w:tc>
          <w:tcPr>
            <w:tcW w:w="1584" w:type="dxa"/>
            <w:tcBorders>
              <w:top w:val="nil"/>
              <w:left w:val="nil"/>
              <w:bottom w:val="single" w:sz="8" w:space="0" w:color="auto"/>
              <w:right w:val="single" w:sz="8" w:space="0" w:color="auto"/>
            </w:tcBorders>
            <w:vAlign w:val="center"/>
          </w:tcPr>
          <w:p w14:paraId="415487B1" w14:textId="77777777" w:rsidR="00676A9B" w:rsidRPr="00676A9B" w:rsidRDefault="00676A9B" w:rsidP="00676A9B">
            <w:pPr>
              <w:spacing w:before="100" w:beforeAutospacing="1" w:after="100" w:afterAutospacing="1"/>
              <w:jc w:val="right"/>
              <w:rPr>
                <w:rFonts w:ascii="Arial" w:hAnsi="Arial" w:cs="Arial"/>
                <w:sz w:val="18"/>
                <w:szCs w:val="18"/>
              </w:rPr>
            </w:pPr>
            <w:r w:rsidRPr="00676A9B">
              <w:rPr>
                <w:rFonts w:ascii="Arial" w:hAnsi="Arial" w:cs="Arial"/>
                <w:sz w:val="18"/>
                <w:szCs w:val="18"/>
              </w:rPr>
              <w:t>5.435,00</w:t>
            </w:r>
          </w:p>
        </w:tc>
      </w:tr>
      <w:tr w:rsidR="00676A9B" w:rsidRPr="00676A9B" w14:paraId="16AFF911" w14:textId="77777777" w:rsidTr="00410A4B">
        <w:trPr>
          <w:jc w:val="center"/>
        </w:trPr>
        <w:tc>
          <w:tcPr>
            <w:tcW w:w="1939" w:type="dxa"/>
            <w:vAlign w:val="center"/>
          </w:tcPr>
          <w:p w14:paraId="3A2252D9"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2018.</w:t>
            </w:r>
          </w:p>
        </w:tc>
        <w:tc>
          <w:tcPr>
            <w:tcW w:w="3301" w:type="dxa"/>
            <w:vAlign w:val="center"/>
          </w:tcPr>
          <w:p w14:paraId="51D12EBD"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49</w:t>
            </w:r>
          </w:p>
        </w:tc>
        <w:tc>
          <w:tcPr>
            <w:tcW w:w="1584" w:type="dxa"/>
            <w:tcBorders>
              <w:top w:val="nil"/>
              <w:left w:val="nil"/>
              <w:bottom w:val="single" w:sz="8" w:space="0" w:color="auto"/>
              <w:right w:val="single" w:sz="8" w:space="0" w:color="auto"/>
            </w:tcBorders>
            <w:vAlign w:val="center"/>
          </w:tcPr>
          <w:p w14:paraId="60FAF5AE" w14:textId="77777777" w:rsidR="00676A9B" w:rsidRPr="00676A9B" w:rsidRDefault="00676A9B" w:rsidP="00676A9B">
            <w:pPr>
              <w:spacing w:before="100" w:beforeAutospacing="1" w:after="100" w:afterAutospacing="1"/>
              <w:jc w:val="right"/>
              <w:rPr>
                <w:rFonts w:ascii="Arial" w:hAnsi="Arial" w:cs="Arial"/>
                <w:sz w:val="18"/>
                <w:szCs w:val="18"/>
              </w:rPr>
            </w:pPr>
            <w:r w:rsidRPr="00676A9B">
              <w:rPr>
                <w:rFonts w:ascii="Arial" w:hAnsi="Arial" w:cs="Arial"/>
                <w:sz w:val="18"/>
                <w:szCs w:val="18"/>
              </w:rPr>
              <w:t>2.030,66</w:t>
            </w:r>
          </w:p>
        </w:tc>
      </w:tr>
      <w:tr w:rsidR="00676A9B" w:rsidRPr="00676A9B" w14:paraId="3D388D8E" w14:textId="77777777" w:rsidTr="00410A4B">
        <w:trPr>
          <w:jc w:val="center"/>
        </w:trPr>
        <w:tc>
          <w:tcPr>
            <w:tcW w:w="1939" w:type="dxa"/>
            <w:vAlign w:val="center"/>
          </w:tcPr>
          <w:p w14:paraId="77F2C761"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2019.</w:t>
            </w:r>
          </w:p>
        </w:tc>
        <w:tc>
          <w:tcPr>
            <w:tcW w:w="3301" w:type="dxa"/>
            <w:vAlign w:val="center"/>
          </w:tcPr>
          <w:p w14:paraId="37D7DC02"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66</w:t>
            </w:r>
          </w:p>
        </w:tc>
        <w:tc>
          <w:tcPr>
            <w:tcW w:w="1584" w:type="dxa"/>
            <w:tcBorders>
              <w:top w:val="nil"/>
              <w:left w:val="nil"/>
              <w:bottom w:val="single" w:sz="8" w:space="0" w:color="auto"/>
              <w:right w:val="single" w:sz="8" w:space="0" w:color="auto"/>
            </w:tcBorders>
            <w:vAlign w:val="center"/>
          </w:tcPr>
          <w:p w14:paraId="6F2017A8" w14:textId="77777777" w:rsidR="00676A9B" w:rsidRPr="00676A9B" w:rsidRDefault="00676A9B" w:rsidP="00676A9B">
            <w:pPr>
              <w:spacing w:before="100" w:beforeAutospacing="1" w:after="100" w:afterAutospacing="1"/>
              <w:jc w:val="right"/>
              <w:rPr>
                <w:rFonts w:ascii="Arial" w:hAnsi="Arial" w:cs="Arial"/>
                <w:sz w:val="18"/>
                <w:szCs w:val="18"/>
              </w:rPr>
            </w:pPr>
            <w:r w:rsidRPr="00676A9B">
              <w:rPr>
                <w:rFonts w:ascii="Arial" w:hAnsi="Arial" w:cs="Arial"/>
                <w:sz w:val="18"/>
                <w:szCs w:val="18"/>
              </w:rPr>
              <w:t>5.454,91</w:t>
            </w:r>
          </w:p>
        </w:tc>
      </w:tr>
      <w:tr w:rsidR="00676A9B" w:rsidRPr="00676A9B" w14:paraId="7D000748" w14:textId="77777777" w:rsidTr="00410A4B">
        <w:trPr>
          <w:jc w:val="center"/>
        </w:trPr>
        <w:tc>
          <w:tcPr>
            <w:tcW w:w="1939" w:type="dxa"/>
            <w:vAlign w:val="center"/>
          </w:tcPr>
          <w:p w14:paraId="3D9B4E70"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2020.</w:t>
            </w:r>
          </w:p>
        </w:tc>
        <w:tc>
          <w:tcPr>
            <w:tcW w:w="3301" w:type="dxa"/>
            <w:vAlign w:val="center"/>
          </w:tcPr>
          <w:p w14:paraId="0A1CEDF7"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47 (od 16 do 83)</w:t>
            </w:r>
          </w:p>
        </w:tc>
        <w:tc>
          <w:tcPr>
            <w:tcW w:w="1584" w:type="dxa"/>
            <w:tcBorders>
              <w:top w:val="nil"/>
              <w:left w:val="nil"/>
              <w:bottom w:val="single" w:sz="8" w:space="0" w:color="auto"/>
              <w:right w:val="single" w:sz="8" w:space="0" w:color="auto"/>
            </w:tcBorders>
            <w:vAlign w:val="center"/>
          </w:tcPr>
          <w:p w14:paraId="12E1D6F4" w14:textId="77777777" w:rsidR="00676A9B" w:rsidRPr="00676A9B" w:rsidRDefault="00676A9B" w:rsidP="00676A9B">
            <w:pPr>
              <w:spacing w:before="100" w:beforeAutospacing="1" w:after="100" w:afterAutospacing="1"/>
              <w:jc w:val="right"/>
              <w:rPr>
                <w:rFonts w:ascii="Arial" w:hAnsi="Arial" w:cs="Arial"/>
                <w:sz w:val="18"/>
                <w:szCs w:val="18"/>
              </w:rPr>
            </w:pPr>
            <w:r w:rsidRPr="00676A9B">
              <w:rPr>
                <w:rFonts w:ascii="Arial" w:hAnsi="Arial" w:cs="Arial"/>
                <w:sz w:val="18"/>
                <w:szCs w:val="18"/>
              </w:rPr>
              <w:t>3.417,61</w:t>
            </w:r>
          </w:p>
        </w:tc>
      </w:tr>
      <w:tr w:rsidR="00676A9B" w:rsidRPr="00676A9B" w14:paraId="0890918C" w14:textId="77777777" w:rsidTr="00410A4B">
        <w:trPr>
          <w:jc w:val="center"/>
        </w:trPr>
        <w:tc>
          <w:tcPr>
            <w:tcW w:w="1939" w:type="dxa"/>
            <w:vAlign w:val="center"/>
          </w:tcPr>
          <w:p w14:paraId="052461A7"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2021.</w:t>
            </w:r>
          </w:p>
        </w:tc>
        <w:tc>
          <w:tcPr>
            <w:tcW w:w="3301" w:type="dxa"/>
            <w:vAlign w:val="center"/>
          </w:tcPr>
          <w:p w14:paraId="5FC2E6F5"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44 (od 18 do 55)</w:t>
            </w:r>
          </w:p>
        </w:tc>
        <w:tc>
          <w:tcPr>
            <w:tcW w:w="1584" w:type="dxa"/>
            <w:tcBorders>
              <w:top w:val="nil"/>
              <w:left w:val="nil"/>
              <w:bottom w:val="single" w:sz="8" w:space="0" w:color="auto"/>
              <w:right w:val="single" w:sz="8" w:space="0" w:color="auto"/>
            </w:tcBorders>
            <w:vAlign w:val="center"/>
          </w:tcPr>
          <w:p w14:paraId="5323340C" w14:textId="77777777" w:rsidR="00676A9B" w:rsidRPr="00676A9B" w:rsidRDefault="00676A9B" w:rsidP="00676A9B">
            <w:pPr>
              <w:spacing w:before="100" w:beforeAutospacing="1" w:after="100" w:afterAutospacing="1"/>
              <w:jc w:val="right"/>
              <w:rPr>
                <w:rFonts w:ascii="Arial" w:hAnsi="Arial" w:cs="Arial"/>
                <w:sz w:val="18"/>
                <w:szCs w:val="18"/>
              </w:rPr>
            </w:pPr>
            <w:r w:rsidRPr="00676A9B">
              <w:rPr>
                <w:rFonts w:ascii="Arial" w:hAnsi="Arial" w:cs="Arial"/>
                <w:sz w:val="18"/>
                <w:szCs w:val="18"/>
              </w:rPr>
              <w:t>3.298,16</w:t>
            </w:r>
          </w:p>
        </w:tc>
      </w:tr>
      <w:tr w:rsidR="00676A9B" w:rsidRPr="00676A9B" w14:paraId="7762197E" w14:textId="77777777" w:rsidTr="00410A4B">
        <w:trPr>
          <w:jc w:val="center"/>
        </w:trPr>
        <w:tc>
          <w:tcPr>
            <w:tcW w:w="1939" w:type="dxa"/>
            <w:vAlign w:val="center"/>
          </w:tcPr>
          <w:p w14:paraId="2D2C4B87"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2022.</w:t>
            </w:r>
          </w:p>
        </w:tc>
        <w:tc>
          <w:tcPr>
            <w:tcW w:w="3301" w:type="dxa"/>
            <w:vAlign w:val="center"/>
          </w:tcPr>
          <w:p w14:paraId="175A3F34"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51 (od 46 do 64)</w:t>
            </w:r>
          </w:p>
        </w:tc>
        <w:tc>
          <w:tcPr>
            <w:tcW w:w="1584" w:type="dxa"/>
          </w:tcPr>
          <w:p w14:paraId="7C377A77" w14:textId="77777777" w:rsidR="00676A9B" w:rsidRPr="00676A9B" w:rsidRDefault="00676A9B" w:rsidP="00676A9B">
            <w:pPr>
              <w:spacing w:before="100" w:beforeAutospacing="1" w:after="100" w:afterAutospacing="1"/>
              <w:jc w:val="right"/>
              <w:rPr>
                <w:rFonts w:ascii="Arial" w:hAnsi="Arial" w:cs="Arial"/>
                <w:sz w:val="18"/>
                <w:szCs w:val="18"/>
              </w:rPr>
            </w:pPr>
            <w:r w:rsidRPr="00676A9B">
              <w:rPr>
                <w:rFonts w:ascii="Arial" w:hAnsi="Arial" w:cs="Arial"/>
                <w:sz w:val="18"/>
                <w:szCs w:val="18"/>
              </w:rPr>
              <w:t>4.326,76</w:t>
            </w:r>
          </w:p>
        </w:tc>
      </w:tr>
      <w:tr w:rsidR="00676A9B" w:rsidRPr="00676A9B" w14:paraId="436A68C8" w14:textId="77777777" w:rsidTr="00410A4B">
        <w:trPr>
          <w:jc w:val="center"/>
        </w:trPr>
        <w:tc>
          <w:tcPr>
            <w:tcW w:w="1939" w:type="dxa"/>
            <w:vAlign w:val="center"/>
          </w:tcPr>
          <w:p w14:paraId="0978F721"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2023.</w:t>
            </w:r>
          </w:p>
        </w:tc>
        <w:tc>
          <w:tcPr>
            <w:tcW w:w="3301" w:type="dxa"/>
            <w:vAlign w:val="center"/>
          </w:tcPr>
          <w:p w14:paraId="00AD6650"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64 (od 49 do 74)</w:t>
            </w:r>
          </w:p>
        </w:tc>
        <w:tc>
          <w:tcPr>
            <w:tcW w:w="1584" w:type="dxa"/>
          </w:tcPr>
          <w:p w14:paraId="173ABCD1" w14:textId="77777777" w:rsidR="00676A9B" w:rsidRPr="00676A9B" w:rsidRDefault="00676A9B" w:rsidP="00676A9B">
            <w:pPr>
              <w:spacing w:before="100" w:beforeAutospacing="1" w:after="100" w:afterAutospacing="1"/>
              <w:jc w:val="right"/>
              <w:rPr>
                <w:rFonts w:ascii="Arial" w:hAnsi="Arial" w:cs="Arial"/>
                <w:sz w:val="18"/>
                <w:szCs w:val="18"/>
              </w:rPr>
            </w:pPr>
            <w:r w:rsidRPr="00676A9B">
              <w:rPr>
                <w:rFonts w:ascii="Arial" w:hAnsi="Arial" w:cs="Arial"/>
                <w:sz w:val="18"/>
                <w:szCs w:val="18"/>
              </w:rPr>
              <w:t>5.121,16</w:t>
            </w:r>
          </w:p>
        </w:tc>
      </w:tr>
      <w:tr w:rsidR="00676A9B" w:rsidRPr="00676A9B" w14:paraId="10669219" w14:textId="77777777" w:rsidTr="00410A4B">
        <w:trPr>
          <w:jc w:val="center"/>
        </w:trPr>
        <w:tc>
          <w:tcPr>
            <w:tcW w:w="1939" w:type="dxa"/>
            <w:vAlign w:val="center"/>
          </w:tcPr>
          <w:p w14:paraId="6442913D"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2024.</w:t>
            </w:r>
          </w:p>
        </w:tc>
        <w:tc>
          <w:tcPr>
            <w:tcW w:w="3301" w:type="dxa"/>
            <w:vAlign w:val="center"/>
          </w:tcPr>
          <w:p w14:paraId="68CACBBE"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eastAsia="Calibri" w:hAnsi="Arial" w:cs="Arial"/>
                <w:sz w:val="18"/>
                <w:szCs w:val="18"/>
              </w:rPr>
              <w:t>68 učenika (od 56 do 74 učenika)</w:t>
            </w:r>
          </w:p>
        </w:tc>
        <w:tc>
          <w:tcPr>
            <w:tcW w:w="1584" w:type="dxa"/>
          </w:tcPr>
          <w:p w14:paraId="46F71828" w14:textId="77777777" w:rsidR="00676A9B" w:rsidRPr="00676A9B" w:rsidRDefault="00676A9B" w:rsidP="00676A9B">
            <w:pPr>
              <w:spacing w:before="100" w:beforeAutospacing="1" w:after="100" w:afterAutospacing="1"/>
              <w:jc w:val="right"/>
              <w:rPr>
                <w:rFonts w:ascii="Arial" w:hAnsi="Arial" w:cs="Arial"/>
                <w:sz w:val="18"/>
                <w:szCs w:val="18"/>
              </w:rPr>
            </w:pPr>
            <w:r w:rsidRPr="00676A9B">
              <w:rPr>
                <w:rFonts w:ascii="Arial" w:hAnsi="Arial" w:cs="Arial"/>
                <w:sz w:val="18"/>
                <w:szCs w:val="18"/>
              </w:rPr>
              <w:t>5.386,15</w:t>
            </w:r>
          </w:p>
        </w:tc>
      </w:tr>
      <w:tr w:rsidR="00846E26" w:rsidRPr="00676A9B" w14:paraId="68A87378" w14:textId="77777777" w:rsidTr="00410A4B">
        <w:trPr>
          <w:jc w:val="center"/>
        </w:trPr>
        <w:tc>
          <w:tcPr>
            <w:tcW w:w="1939" w:type="dxa"/>
            <w:vAlign w:val="center"/>
          </w:tcPr>
          <w:p w14:paraId="1BCF2CBB" w14:textId="5A0C71FD" w:rsidR="00846E26" w:rsidRPr="00676A9B" w:rsidRDefault="00846E26" w:rsidP="00846E26">
            <w:pPr>
              <w:spacing w:before="100" w:beforeAutospacing="1" w:after="100" w:afterAutospacing="1"/>
              <w:jc w:val="center"/>
              <w:rPr>
                <w:rFonts w:ascii="Arial" w:hAnsi="Arial" w:cs="Arial"/>
                <w:sz w:val="18"/>
                <w:szCs w:val="18"/>
              </w:rPr>
            </w:pPr>
            <w:r>
              <w:rPr>
                <w:rFonts w:ascii="Arial" w:hAnsi="Arial" w:cs="Arial"/>
                <w:sz w:val="18"/>
                <w:szCs w:val="18"/>
              </w:rPr>
              <w:t>2025.</w:t>
            </w:r>
          </w:p>
        </w:tc>
        <w:tc>
          <w:tcPr>
            <w:tcW w:w="3301" w:type="dxa"/>
            <w:vAlign w:val="center"/>
          </w:tcPr>
          <w:p w14:paraId="75F3BEFF" w14:textId="4867EFF0" w:rsidR="00846E26" w:rsidRPr="00676A9B" w:rsidRDefault="00846E26" w:rsidP="00846E26">
            <w:pPr>
              <w:spacing w:before="100" w:beforeAutospacing="1" w:after="100" w:afterAutospacing="1"/>
              <w:jc w:val="center"/>
              <w:rPr>
                <w:rFonts w:ascii="Arial" w:eastAsia="Calibri" w:hAnsi="Arial" w:cs="Arial"/>
                <w:sz w:val="18"/>
                <w:szCs w:val="18"/>
              </w:rPr>
            </w:pPr>
            <w:r>
              <w:rPr>
                <w:rFonts w:ascii="Arial" w:eastAsia="Calibri" w:hAnsi="Arial" w:cs="Arial"/>
                <w:sz w:val="18"/>
                <w:szCs w:val="18"/>
              </w:rPr>
              <w:t>75</w:t>
            </w:r>
            <w:r w:rsidRPr="00676A9B">
              <w:rPr>
                <w:rFonts w:ascii="Arial" w:eastAsia="Calibri" w:hAnsi="Arial" w:cs="Arial"/>
                <w:sz w:val="18"/>
                <w:szCs w:val="18"/>
              </w:rPr>
              <w:t xml:space="preserve"> učenika (od </w:t>
            </w:r>
            <w:r>
              <w:rPr>
                <w:rFonts w:ascii="Arial" w:eastAsia="Calibri" w:hAnsi="Arial" w:cs="Arial"/>
                <w:sz w:val="18"/>
                <w:szCs w:val="18"/>
              </w:rPr>
              <w:t>6</w:t>
            </w:r>
            <w:r w:rsidRPr="00676A9B">
              <w:rPr>
                <w:rFonts w:ascii="Arial" w:eastAsia="Calibri" w:hAnsi="Arial" w:cs="Arial"/>
                <w:sz w:val="18"/>
                <w:szCs w:val="18"/>
              </w:rPr>
              <w:t xml:space="preserve">6 do </w:t>
            </w:r>
            <w:r>
              <w:rPr>
                <w:rFonts w:ascii="Arial" w:eastAsia="Calibri" w:hAnsi="Arial" w:cs="Arial"/>
                <w:sz w:val="18"/>
                <w:szCs w:val="18"/>
              </w:rPr>
              <w:t>8</w:t>
            </w:r>
            <w:r w:rsidRPr="00676A9B">
              <w:rPr>
                <w:rFonts w:ascii="Arial" w:eastAsia="Calibri" w:hAnsi="Arial" w:cs="Arial"/>
                <w:sz w:val="18"/>
                <w:szCs w:val="18"/>
              </w:rPr>
              <w:t>4 učenika)</w:t>
            </w:r>
          </w:p>
        </w:tc>
        <w:tc>
          <w:tcPr>
            <w:tcW w:w="1584" w:type="dxa"/>
          </w:tcPr>
          <w:p w14:paraId="22F33E44" w14:textId="1C6021C0" w:rsidR="00846E26" w:rsidRPr="00676A9B" w:rsidRDefault="00846E26" w:rsidP="00846E26">
            <w:pPr>
              <w:spacing w:before="100" w:beforeAutospacing="1" w:after="100" w:afterAutospacing="1"/>
              <w:jc w:val="right"/>
              <w:rPr>
                <w:rFonts w:ascii="Arial" w:hAnsi="Arial" w:cs="Arial"/>
                <w:sz w:val="18"/>
                <w:szCs w:val="18"/>
              </w:rPr>
            </w:pPr>
            <w:r>
              <w:rPr>
                <w:rFonts w:ascii="Arial" w:hAnsi="Arial" w:cs="Arial"/>
                <w:sz w:val="18"/>
                <w:szCs w:val="18"/>
              </w:rPr>
              <w:t>5.942,65</w:t>
            </w:r>
          </w:p>
        </w:tc>
      </w:tr>
    </w:tbl>
    <w:p w14:paraId="49FF7B35" w14:textId="77777777" w:rsidR="00676A9B" w:rsidRPr="00676A9B" w:rsidRDefault="00676A9B" w:rsidP="00676A9B">
      <w:pPr>
        <w:autoSpaceDE w:val="0"/>
        <w:autoSpaceDN w:val="0"/>
        <w:adjustRightInd w:val="0"/>
        <w:spacing w:after="0" w:line="240" w:lineRule="auto"/>
        <w:rPr>
          <w:rFonts w:ascii="Arial" w:eastAsia="Calibri" w:hAnsi="Arial" w:cs="Arial"/>
          <w:sz w:val="20"/>
          <w:szCs w:val="20"/>
        </w:rPr>
      </w:pPr>
    </w:p>
    <w:tbl>
      <w:tblPr>
        <w:tblStyle w:val="Reetkatablice536"/>
        <w:tblW w:w="13525" w:type="dxa"/>
        <w:jc w:val="center"/>
        <w:tblLayout w:type="fixed"/>
        <w:tblLook w:val="04A0" w:firstRow="1" w:lastRow="0" w:firstColumn="1" w:lastColumn="0" w:noHBand="0" w:noVBand="1"/>
      </w:tblPr>
      <w:tblGrid>
        <w:gridCol w:w="2952"/>
        <w:gridCol w:w="2572"/>
        <w:gridCol w:w="1099"/>
        <w:gridCol w:w="1134"/>
        <w:gridCol w:w="1232"/>
        <w:gridCol w:w="1134"/>
        <w:gridCol w:w="1134"/>
        <w:gridCol w:w="1134"/>
        <w:gridCol w:w="1134"/>
      </w:tblGrid>
      <w:tr w:rsidR="00676A9B" w:rsidRPr="00676A9B" w14:paraId="0281B050" w14:textId="77777777" w:rsidTr="00410A4B">
        <w:trPr>
          <w:jc w:val="center"/>
        </w:trPr>
        <w:tc>
          <w:tcPr>
            <w:tcW w:w="295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9268DF2"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257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7207A1F"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0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3F9BEBF"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F1763CE"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F5C9513" w14:textId="01B6AC71"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846E26">
              <w:rPr>
                <w:rFonts w:ascii="Arial" w:eastAsia="Calibri" w:hAnsi="Arial" w:cs="Arial"/>
                <w:lang w:eastAsia="en-US"/>
              </w:rPr>
              <w:t>4</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7DCFDF6D" w14:textId="650F0A91"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846E26">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BB5D86" w14:textId="06908150"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846E26">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70FF9A25" w14:textId="322E015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846E26">
              <w:rPr>
                <w:rFonts w:ascii="Arial" w:eastAsia="Calibri" w:hAnsi="Arial" w:cs="Arial"/>
                <w:lang w:eastAsia="en-US"/>
              </w:rPr>
              <w:t>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18C96DB0" w14:textId="1FCFDC03"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w:t>
            </w:r>
            <w:r w:rsidR="00846E26">
              <w:rPr>
                <w:rFonts w:ascii="Arial" w:eastAsia="Calibri" w:hAnsi="Arial" w:cs="Arial"/>
                <w:lang w:eastAsia="en-US"/>
              </w:rPr>
              <w:t>27</w:t>
            </w:r>
            <w:r w:rsidRPr="00676A9B">
              <w:rPr>
                <w:rFonts w:ascii="Arial" w:eastAsia="Calibri" w:hAnsi="Arial" w:cs="Arial"/>
                <w:lang w:eastAsia="en-US"/>
              </w:rPr>
              <w:t>.</w:t>
            </w:r>
          </w:p>
        </w:tc>
      </w:tr>
      <w:tr w:rsidR="00676A9B" w:rsidRPr="00676A9B" w14:paraId="310B3A52" w14:textId="77777777" w:rsidTr="00410A4B">
        <w:trPr>
          <w:trHeight w:val="888"/>
          <w:jc w:val="center"/>
        </w:trPr>
        <w:tc>
          <w:tcPr>
            <w:tcW w:w="2952" w:type="dxa"/>
            <w:tcBorders>
              <w:top w:val="single" w:sz="4" w:space="0" w:color="auto"/>
              <w:left w:val="single" w:sz="4" w:space="0" w:color="auto"/>
              <w:bottom w:val="single" w:sz="4" w:space="0" w:color="auto"/>
              <w:right w:val="single" w:sz="4" w:space="0" w:color="auto"/>
            </w:tcBorders>
          </w:tcPr>
          <w:p w14:paraId="4455A974"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Podmirenje troškova prijevoza učenicima osnovnih škola koji pohađaju školske i izvannastavne aktivnosti</w:t>
            </w:r>
          </w:p>
        </w:tc>
        <w:tc>
          <w:tcPr>
            <w:tcW w:w="2572" w:type="dxa"/>
            <w:tcBorders>
              <w:top w:val="single" w:sz="4" w:space="0" w:color="auto"/>
              <w:left w:val="single" w:sz="4" w:space="0" w:color="auto"/>
              <w:bottom w:val="single" w:sz="4" w:space="0" w:color="auto"/>
              <w:right w:val="single" w:sz="4" w:space="0" w:color="auto"/>
            </w:tcBorders>
          </w:tcPr>
          <w:p w14:paraId="2552B06B"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Podmirivanje dijela troškova prijevoza učenicima i studentima kao oblik pomoći u školovanju djece</w:t>
            </w:r>
          </w:p>
        </w:tc>
        <w:tc>
          <w:tcPr>
            <w:tcW w:w="1099" w:type="dxa"/>
            <w:tcBorders>
              <w:top w:val="single" w:sz="4" w:space="0" w:color="auto"/>
              <w:left w:val="single" w:sz="4" w:space="0" w:color="auto"/>
              <w:bottom w:val="single" w:sz="4" w:space="0" w:color="auto"/>
              <w:right w:val="single" w:sz="4" w:space="0" w:color="auto"/>
            </w:tcBorders>
            <w:vAlign w:val="center"/>
            <w:hideMark/>
          </w:tcPr>
          <w:p w14:paraId="7046CB37"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Broj korisnika (prosjek)</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EEEEB8"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7748FEDA" w14:textId="76AE7086"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6</w:t>
            </w:r>
            <w:r w:rsidR="00846E26">
              <w:rPr>
                <w:rFonts w:ascii="Arial" w:hAnsi="Arial" w:cs="Arial"/>
                <w:sz w:val="18"/>
                <w:szCs w:val="18"/>
                <w:lang w:eastAsia="en-US"/>
              </w:rPr>
              <w:t>8</w:t>
            </w:r>
          </w:p>
        </w:tc>
        <w:tc>
          <w:tcPr>
            <w:tcW w:w="1134" w:type="dxa"/>
            <w:tcBorders>
              <w:top w:val="single" w:sz="4" w:space="0" w:color="000000"/>
              <w:left w:val="single" w:sz="4" w:space="0" w:color="000000"/>
              <w:bottom w:val="single" w:sz="4" w:space="0" w:color="000000"/>
              <w:right w:val="single" w:sz="4" w:space="0" w:color="000000"/>
            </w:tcBorders>
            <w:vAlign w:val="center"/>
          </w:tcPr>
          <w:p w14:paraId="4665F49F"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70</w:t>
            </w:r>
          </w:p>
        </w:tc>
        <w:tc>
          <w:tcPr>
            <w:tcW w:w="1134" w:type="dxa"/>
            <w:tcBorders>
              <w:top w:val="single" w:sz="4" w:space="0" w:color="000000"/>
              <w:left w:val="single" w:sz="4" w:space="0" w:color="000000"/>
              <w:bottom w:val="single" w:sz="4" w:space="0" w:color="000000"/>
              <w:right w:val="single" w:sz="4" w:space="0" w:color="000000"/>
            </w:tcBorders>
            <w:vAlign w:val="center"/>
          </w:tcPr>
          <w:p w14:paraId="50664251" w14:textId="7E7F696B" w:rsidR="00676A9B" w:rsidRPr="00676A9B" w:rsidRDefault="00846E26" w:rsidP="00676A9B">
            <w:pPr>
              <w:jc w:val="center"/>
              <w:rPr>
                <w:rFonts w:ascii="Arial" w:hAnsi="Arial" w:cs="Arial"/>
                <w:sz w:val="18"/>
                <w:szCs w:val="18"/>
                <w:lang w:eastAsia="en-US"/>
              </w:rPr>
            </w:pPr>
            <w:r>
              <w:rPr>
                <w:rFonts w:ascii="Arial" w:hAnsi="Arial" w:cs="Arial"/>
                <w:sz w:val="18"/>
                <w:szCs w:val="18"/>
                <w:lang w:eastAsia="en-US"/>
              </w:rPr>
              <w:t>75</w:t>
            </w:r>
          </w:p>
        </w:tc>
        <w:tc>
          <w:tcPr>
            <w:tcW w:w="1134" w:type="dxa"/>
            <w:tcBorders>
              <w:top w:val="single" w:sz="4" w:space="0" w:color="000000"/>
              <w:left w:val="single" w:sz="4" w:space="0" w:color="000000"/>
              <w:bottom w:val="single" w:sz="4" w:space="0" w:color="000000"/>
              <w:right w:val="single" w:sz="4" w:space="0" w:color="000000"/>
            </w:tcBorders>
            <w:vAlign w:val="center"/>
          </w:tcPr>
          <w:p w14:paraId="7E0AECFF"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80</w:t>
            </w:r>
          </w:p>
        </w:tc>
        <w:tc>
          <w:tcPr>
            <w:tcW w:w="1134" w:type="dxa"/>
            <w:tcBorders>
              <w:top w:val="single" w:sz="4" w:space="0" w:color="000000"/>
              <w:left w:val="single" w:sz="4" w:space="0" w:color="000000"/>
              <w:bottom w:val="single" w:sz="4" w:space="0" w:color="000000"/>
              <w:right w:val="single" w:sz="4" w:space="0" w:color="000000"/>
            </w:tcBorders>
            <w:vAlign w:val="center"/>
          </w:tcPr>
          <w:p w14:paraId="0432EF19"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80</w:t>
            </w:r>
          </w:p>
        </w:tc>
      </w:tr>
    </w:tbl>
    <w:p w14:paraId="16C92406"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3D77B18D" w14:textId="1AF65E16"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10. A204113: Sufinanciranje prijevoza ostali - dobrovoljni darivatelji krvi, obitelji poginulih, invalidi Domovinskog rata </w:t>
      </w:r>
      <w:r w:rsidRPr="00676A9B">
        <w:rPr>
          <w:rFonts w:ascii="Arial" w:eastAsia="Calibri" w:hAnsi="Arial" w:cs="Arial"/>
          <w:sz w:val="20"/>
          <w:szCs w:val="20"/>
          <w:lang w:eastAsia="en-US"/>
        </w:rPr>
        <w:t xml:space="preserve">- u sklopu navedene aktivnosti su rashodi za naknade građanima i kućanstvima u naravi, odnosno plaćanje cijene pokaza (Libertas Dubrovnik d.o.o.). Planirana sredstva za provođenje navedene aktivnosti iznose </w:t>
      </w:r>
      <w:r w:rsidR="00846E26">
        <w:rPr>
          <w:rFonts w:ascii="Arial" w:eastAsia="Calibri" w:hAnsi="Arial" w:cs="Arial"/>
          <w:sz w:val="20"/>
          <w:szCs w:val="20"/>
          <w:lang w:eastAsia="en-US"/>
        </w:rPr>
        <w:t>27.550</w:t>
      </w:r>
      <w:r w:rsidRPr="00676A9B">
        <w:rPr>
          <w:rFonts w:ascii="Arial" w:eastAsia="Calibri" w:hAnsi="Arial" w:cs="Arial"/>
          <w:sz w:val="20"/>
          <w:szCs w:val="20"/>
          <w:lang w:eastAsia="en-US"/>
        </w:rPr>
        <w:t xml:space="preserve"> €. </w:t>
      </w:r>
      <w:r w:rsidRPr="00676A9B">
        <w:rPr>
          <w:rFonts w:ascii="Arial" w:eastAsia="Calibri" w:hAnsi="Arial" w:cs="Arial"/>
          <w:sz w:val="20"/>
          <w:szCs w:val="20"/>
        </w:rPr>
        <w:t xml:space="preserve">Izvršeni su rashodi u iznosu </w:t>
      </w:r>
      <w:r w:rsidR="00846E26">
        <w:rPr>
          <w:rFonts w:ascii="Arial" w:eastAsia="Calibri" w:hAnsi="Arial" w:cs="Arial"/>
          <w:sz w:val="20"/>
          <w:szCs w:val="20"/>
        </w:rPr>
        <w:t>21.949,72</w:t>
      </w:r>
      <w:r w:rsidRPr="00676A9B">
        <w:rPr>
          <w:rFonts w:ascii="Arial" w:eastAsia="Calibri" w:hAnsi="Arial" w:cs="Arial"/>
          <w:sz w:val="20"/>
          <w:szCs w:val="20"/>
        </w:rPr>
        <w:t xml:space="preserve"> € ili </w:t>
      </w:r>
      <w:r w:rsidR="00846E26">
        <w:rPr>
          <w:rFonts w:ascii="Arial" w:eastAsia="Calibri" w:hAnsi="Arial" w:cs="Arial"/>
          <w:sz w:val="20"/>
          <w:szCs w:val="20"/>
        </w:rPr>
        <w:t>79,7</w:t>
      </w:r>
      <w:r w:rsidRPr="00676A9B">
        <w:rPr>
          <w:rFonts w:ascii="Arial" w:eastAsia="Calibri" w:hAnsi="Arial" w:cs="Arial"/>
          <w:sz w:val="20"/>
          <w:szCs w:val="20"/>
        </w:rPr>
        <w:t xml:space="preserve">% planiranih rashoda i odnose se na prijevoz </w:t>
      </w:r>
      <w:r w:rsidRPr="00676A9B">
        <w:rPr>
          <w:rFonts w:ascii="Arial" w:eastAsia="Calibri" w:hAnsi="Arial" w:cs="Arial"/>
          <w:bCs/>
          <w:sz w:val="20"/>
          <w:szCs w:val="20"/>
        </w:rPr>
        <w:t>dobrovoljnih darivatelja krvi, obitelji poginulih, invalida Domovinskog rata i drugih socijalnih kategorija stanovnika Općine Konavle, te prijevoz izbjeglica iz Ukrajine s boravištem u Općini Konavle.</w:t>
      </w:r>
    </w:p>
    <w:p w14:paraId="33E350FB" w14:textId="77777777" w:rsidR="00676A9B" w:rsidRPr="00676A9B" w:rsidRDefault="00676A9B" w:rsidP="00676A9B">
      <w:pPr>
        <w:spacing w:after="0" w:line="240" w:lineRule="auto"/>
        <w:jc w:val="both"/>
        <w:rPr>
          <w:rFonts w:ascii="Arial" w:eastAsia="Calibri" w:hAnsi="Arial" w:cs="Arial"/>
          <w:sz w:val="20"/>
          <w:szCs w:val="20"/>
          <w:lang w:eastAsia="en-US"/>
        </w:rPr>
      </w:pPr>
    </w:p>
    <w:p w14:paraId="32A67018" w14:textId="7FD22772" w:rsidR="00676A9B" w:rsidRPr="00676A9B" w:rsidRDefault="00676A9B" w:rsidP="00676A9B">
      <w:pPr>
        <w:spacing w:after="0" w:line="240" w:lineRule="auto"/>
        <w:jc w:val="both"/>
        <w:rPr>
          <w:rFonts w:ascii="Arial" w:eastAsia="Calibri" w:hAnsi="Arial" w:cs="Arial"/>
          <w:sz w:val="20"/>
          <w:szCs w:val="20"/>
          <w:lang w:eastAsia="en-US"/>
        </w:rPr>
      </w:pPr>
      <w:bookmarkStart w:id="423" w:name="_Hlk166147043"/>
      <w:r w:rsidRPr="00676A9B">
        <w:rPr>
          <w:rFonts w:ascii="Arial" w:eastAsia="Calibri" w:hAnsi="Arial" w:cs="Arial"/>
          <w:sz w:val="20"/>
          <w:szCs w:val="20"/>
          <w:lang w:eastAsia="en-US"/>
        </w:rPr>
        <w:lastRenderedPageBreak/>
        <w:t>U skladu s odredbama Programa demografskih mjera i socijalnog programa tijekom 202</w:t>
      </w:r>
      <w:r w:rsidR="00846E26">
        <w:rPr>
          <w:rFonts w:ascii="Arial" w:eastAsia="Calibri" w:hAnsi="Arial" w:cs="Arial"/>
          <w:sz w:val="20"/>
          <w:szCs w:val="20"/>
          <w:lang w:eastAsia="en-US"/>
        </w:rPr>
        <w:t>5</w:t>
      </w:r>
      <w:r w:rsidRPr="00676A9B">
        <w:rPr>
          <w:rFonts w:ascii="Arial" w:eastAsia="Calibri" w:hAnsi="Arial" w:cs="Arial"/>
          <w:sz w:val="20"/>
          <w:szCs w:val="20"/>
          <w:lang w:eastAsia="en-US"/>
        </w:rPr>
        <w:t xml:space="preserve">. financirane su pokazne karte obitelji poginulih branitelja Domovinskog rata, vojnih i civilnih invalide Domovinskog rata 50-90%, dobrovoljnih darivatelja krvi (25 i više puta), te učenici po posebnim potrebama i njihovi roditelji - pratitelji (umirovljenička karta iznosi 150 kn / 19,91 €, građanske karte 600 kn / 79,63 € mjesečno, učenička karta 500 kn / 66,36 € mjesečno). </w:t>
      </w:r>
    </w:p>
    <w:p w14:paraId="36272A6D" w14:textId="77777777" w:rsidR="00676A9B" w:rsidRPr="00676A9B" w:rsidRDefault="00676A9B" w:rsidP="00676A9B">
      <w:pPr>
        <w:spacing w:after="0" w:line="240" w:lineRule="auto"/>
        <w:jc w:val="both"/>
        <w:rPr>
          <w:rFonts w:ascii="Arial" w:eastAsia="Calibri" w:hAnsi="Arial" w:cs="Arial"/>
          <w:sz w:val="20"/>
          <w:szCs w:val="20"/>
          <w:lang w:eastAsia="en-US"/>
        </w:rPr>
      </w:pPr>
    </w:p>
    <w:p w14:paraId="2323AE66" w14:textId="77777777" w:rsidR="006D7017" w:rsidRDefault="00676A9B" w:rsidP="00676A9B">
      <w:pPr>
        <w:spacing w:after="0" w:line="240" w:lineRule="auto"/>
        <w:jc w:val="both"/>
        <w:rPr>
          <w:rFonts w:ascii="Arial" w:eastAsia="Calibri" w:hAnsi="Arial" w:cs="Arial"/>
          <w:sz w:val="20"/>
          <w:szCs w:val="20"/>
          <w:lang w:eastAsia="en-US"/>
        </w:rPr>
      </w:pPr>
      <w:bookmarkStart w:id="424" w:name="_Hlk230540594"/>
      <w:r w:rsidRPr="00676A9B">
        <w:rPr>
          <w:rFonts w:ascii="Arial" w:eastAsia="Calibri" w:hAnsi="Arial" w:cs="Arial"/>
          <w:sz w:val="20"/>
          <w:szCs w:val="20"/>
          <w:lang w:eastAsia="en-US"/>
        </w:rPr>
        <w:t>U prosjeku tijekom 202</w:t>
      </w:r>
      <w:r w:rsidR="007F2230">
        <w:rPr>
          <w:rFonts w:ascii="Arial" w:eastAsia="Calibri" w:hAnsi="Arial" w:cs="Arial"/>
          <w:sz w:val="20"/>
          <w:szCs w:val="20"/>
          <w:lang w:eastAsia="en-US"/>
        </w:rPr>
        <w:t>5</w:t>
      </w:r>
      <w:r w:rsidRPr="00676A9B">
        <w:rPr>
          <w:rFonts w:ascii="Arial" w:eastAsia="Calibri" w:hAnsi="Arial" w:cs="Arial"/>
          <w:sz w:val="20"/>
          <w:szCs w:val="20"/>
          <w:lang w:eastAsia="en-US"/>
        </w:rPr>
        <w:t xml:space="preserve">. Općina je mjesečno financirala </w:t>
      </w:r>
      <w:r w:rsidR="006D7017">
        <w:rPr>
          <w:rFonts w:ascii="Arial" w:eastAsia="Calibri" w:hAnsi="Arial" w:cs="Arial"/>
          <w:sz w:val="20"/>
          <w:szCs w:val="20"/>
          <w:lang w:eastAsia="en-US"/>
        </w:rPr>
        <w:t>67</w:t>
      </w:r>
      <w:r w:rsidRPr="00676A9B">
        <w:rPr>
          <w:rFonts w:ascii="Arial" w:eastAsia="Calibri" w:hAnsi="Arial" w:cs="Arial"/>
          <w:sz w:val="20"/>
          <w:szCs w:val="20"/>
          <w:lang w:eastAsia="en-US"/>
        </w:rPr>
        <w:t xml:space="preserve"> pokaznih karata </w:t>
      </w:r>
      <w:r w:rsidR="007F2230">
        <w:rPr>
          <w:rFonts w:ascii="Arial" w:eastAsia="Calibri" w:hAnsi="Arial" w:cs="Arial"/>
          <w:sz w:val="20"/>
          <w:szCs w:val="20"/>
          <w:lang w:eastAsia="en-US"/>
        </w:rPr>
        <w:t>iz kategorije prijevoza ostal</w:t>
      </w:r>
      <w:r w:rsidR="006D7017">
        <w:rPr>
          <w:rFonts w:ascii="Arial" w:eastAsia="Calibri" w:hAnsi="Arial" w:cs="Arial"/>
          <w:sz w:val="20"/>
          <w:szCs w:val="20"/>
          <w:lang w:eastAsia="en-US"/>
        </w:rPr>
        <w:t xml:space="preserve">i, </w:t>
      </w:r>
      <w:r w:rsidR="007F2230">
        <w:rPr>
          <w:rFonts w:ascii="Arial" w:eastAsia="Calibri" w:hAnsi="Arial" w:cs="Arial"/>
          <w:sz w:val="20"/>
          <w:szCs w:val="20"/>
          <w:lang w:eastAsia="en-US"/>
        </w:rPr>
        <w:t>odnosno prosječno</w:t>
      </w:r>
      <w:r w:rsidR="006D7017">
        <w:rPr>
          <w:rFonts w:ascii="Arial" w:eastAsia="Calibri" w:hAnsi="Arial" w:cs="Arial"/>
          <w:sz w:val="20"/>
          <w:szCs w:val="20"/>
          <w:lang w:eastAsia="en-US"/>
        </w:rPr>
        <w:t>:</w:t>
      </w:r>
    </w:p>
    <w:p w14:paraId="519A7491" w14:textId="509232A8" w:rsidR="006D7017" w:rsidRDefault="00676A9B">
      <w:pPr>
        <w:pStyle w:val="Odlomakpopisa"/>
        <w:numPr>
          <w:ilvl w:val="0"/>
          <w:numId w:val="8"/>
        </w:numPr>
        <w:rPr>
          <w:rFonts w:ascii="Arial" w:eastAsia="Calibri" w:hAnsi="Arial" w:cs="Arial"/>
        </w:rPr>
      </w:pPr>
      <w:r w:rsidRPr="006D7017">
        <w:rPr>
          <w:rFonts w:ascii="Arial" w:eastAsia="Calibri" w:hAnsi="Arial" w:cs="Arial"/>
        </w:rPr>
        <w:t>10 stradalnika Domovinskog rata i invalidne osobe 100% cijene karte</w:t>
      </w:r>
      <w:r w:rsidR="006D7017">
        <w:rPr>
          <w:rFonts w:ascii="Arial" w:eastAsia="Calibri" w:hAnsi="Arial" w:cs="Arial"/>
        </w:rPr>
        <w:t xml:space="preserve">, rashod </w:t>
      </w:r>
      <w:r w:rsidR="005F225F">
        <w:rPr>
          <w:rFonts w:ascii="Arial" w:eastAsia="Calibri" w:hAnsi="Arial" w:cs="Arial"/>
        </w:rPr>
        <w:t>2.250,13 €,</w:t>
      </w:r>
    </w:p>
    <w:p w14:paraId="3F074C53" w14:textId="7759F17D" w:rsidR="006D7017" w:rsidRDefault="007F2230">
      <w:pPr>
        <w:pStyle w:val="Odlomakpopisa"/>
        <w:numPr>
          <w:ilvl w:val="0"/>
          <w:numId w:val="8"/>
        </w:numPr>
        <w:rPr>
          <w:rFonts w:ascii="Arial" w:eastAsia="Calibri" w:hAnsi="Arial" w:cs="Arial"/>
        </w:rPr>
      </w:pPr>
      <w:r w:rsidRPr="006D7017">
        <w:rPr>
          <w:rFonts w:ascii="Arial" w:eastAsia="Calibri" w:hAnsi="Arial" w:cs="Arial"/>
        </w:rPr>
        <w:t>10</w:t>
      </w:r>
      <w:r w:rsidR="00676A9B" w:rsidRPr="006D7017">
        <w:rPr>
          <w:rFonts w:ascii="Arial" w:eastAsia="Calibri" w:hAnsi="Arial" w:cs="Arial"/>
        </w:rPr>
        <w:t xml:space="preserve"> dobrovoljnih darovatelja krvi 50% cijene karte, </w:t>
      </w:r>
      <w:r w:rsidR="005F225F">
        <w:rPr>
          <w:rFonts w:ascii="Arial" w:eastAsia="Calibri" w:hAnsi="Arial" w:cs="Arial"/>
        </w:rPr>
        <w:t>rashod 4.936,75 €,</w:t>
      </w:r>
    </w:p>
    <w:p w14:paraId="314F9110" w14:textId="3A4EC7A5" w:rsidR="005F225F" w:rsidRDefault="007F2230">
      <w:pPr>
        <w:pStyle w:val="Odlomakpopisa"/>
        <w:numPr>
          <w:ilvl w:val="0"/>
          <w:numId w:val="8"/>
        </w:numPr>
        <w:rPr>
          <w:rFonts w:ascii="Arial" w:eastAsia="Calibri" w:hAnsi="Arial" w:cs="Arial"/>
        </w:rPr>
      </w:pPr>
      <w:r w:rsidRPr="006D7017">
        <w:rPr>
          <w:rFonts w:ascii="Arial" w:eastAsia="Calibri" w:hAnsi="Arial" w:cs="Arial"/>
        </w:rPr>
        <w:t>4</w:t>
      </w:r>
      <w:r w:rsidR="00676A9B" w:rsidRPr="006D7017">
        <w:rPr>
          <w:rFonts w:ascii="Arial" w:eastAsia="Calibri" w:hAnsi="Arial" w:cs="Arial"/>
        </w:rPr>
        <w:t xml:space="preserve"> građanske 100% cijene karte</w:t>
      </w:r>
      <w:r w:rsidR="005F225F">
        <w:rPr>
          <w:rFonts w:ascii="Arial" w:eastAsia="Calibri" w:hAnsi="Arial" w:cs="Arial"/>
        </w:rPr>
        <w:t xml:space="preserve"> (oboljeli)</w:t>
      </w:r>
      <w:r w:rsidR="00676A9B" w:rsidRPr="006D7017">
        <w:rPr>
          <w:rFonts w:ascii="Arial" w:eastAsia="Calibri" w:hAnsi="Arial" w:cs="Arial"/>
        </w:rPr>
        <w:t xml:space="preserve">, </w:t>
      </w:r>
      <w:r w:rsidR="005F225F">
        <w:rPr>
          <w:rFonts w:ascii="Arial" w:eastAsia="Calibri" w:hAnsi="Arial" w:cs="Arial"/>
        </w:rPr>
        <w:t>rashod 4.063,54 €,</w:t>
      </w:r>
    </w:p>
    <w:p w14:paraId="45AACE7E" w14:textId="23BCFC5E" w:rsidR="006D7017" w:rsidRPr="005F225F" w:rsidRDefault="007F2230">
      <w:pPr>
        <w:pStyle w:val="Odlomakpopisa"/>
        <w:numPr>
          <w:ilvl w:val="0"/>
          <w:numId w:val="8"/>
        </w:numPr>
        <w:rPr>
          <w:rFonts w:ascii="Arial" w:eastAsia="Calibri" w:hAnsi="Arial" w:cs="Arial"/>
        </w:rPr>
      </w:pPr>
      <w:r w:rsidRPr="006D7017">
        <w:rPr>
          <w:rFonts w:ascii="Arial" w:eastAsia="Calibri" w:hAnsi="Arial" w:cs="Arial"/>
        </w:rPr>
        <w:t>5</w:t>
      </w:r>
      <w:r w:rsidR="00676A9B" w:rsidRPr="006D7017">
        <w:rPr>
          <w:rFonts w:ascii="Arial" w:eastAsia="Calibri" w:hAnsi="Arial" w:cs="Arial"/>
        </w:rPr>
        <w:t xml:space="preserve"> učenika (produženi boravak) 50% cijene karte, dok nije bilo učeničkih karta koje su sufinancirane u punom iznosu)</w:t>
      </w:r>
      <w:r w:rsidR="006D7017" w:rsidRPr="006D7017">
        <w:rPr>
          <w:rFonts w:ascii="Arial" w:eastAsia="Calibri" w:hAnsi="Arial" w:cs="Arial"/>
        </w:rPr>
        <w:t>,</w:t>
      </w:r>
      <w:r w:rsidR="005F225F">
        <w:rPr>
          <w:rFonts w:ascii="Arial" w:eastAsia="Calibri" w:hAnsi="Arial" w:cs="Arial"/>
        </w:rPr>
        <w:t xml:space="preserve"> rashod 1.758,64 €,</w:t>
      </w:r>
      <w:r w:rsidR="006D7017" w:rsidRPr="005F225F">
        <w:rPr>
          <w:rFonts w:ascii="Arial" w:eastAsia="Calibri" w:hAnsi="Arial" w:cs="Arial"/>
        </w:rPr>
        <w:t xml:space="preserve"> te</w:t>
      </w:r>
    </w:p>
    <w:p w14:paraId="778AA130" w14:textId="7B4DEA3E" w:rsidR="007F2230" w:rsidRPr="006D7017" w:rsidRDefault="006D7017">
      <w:pPr>
        <w:pStyle w:val="Odlomakpopisa"/>
        <w:numPr>
          <w:ilvl w:val="0"/>
          <w:numId w:val="8"/>
        </w:numPr>
        <w:rPr>
          <w:rFonts w:ascii="Arial" w:eastAsia="Calibri" w:hAnsi="Arial" w:cs="Arial"/>
        </w:rPr>
      </w:pPr>
      <w:r w:rsidRPr="006D7017">
        <w:rPr>
          <w:rFonts w:ascii="Arial" w:eastAsia="Calibri" w:hAnsi="Arial" w:cs="Arial"/>
        </w:rPr>
        <w:t>pokazne karte za ukrajinske izbjeglice smještene u Konavlima – 38 korisnika (prosječno, mjesečno sufinancirano po korisniku 19,91 €, odnosno od 29 do 50 korisnika)</w:t>
      </w:r>
      <w:r w:rsidR="005F225F">
        <w:rPr>
          <w:rFonts w:ascii="Arial" w:eastAsia="Calibri" w:hAnsi="Arial" w:cs="Arial"/>
        </w:rPr>
        <w:t>, rashod 8.940,66 €.</w:t>
      </w:r>
    </w:p>
    <w:bookmarkEnd w:id="423"/>
    <w:bookmarkEnd w:id="424"/>
    <w:p w14:paraId="1DED8EF9" w14:textId="77777777" w:rsidR="009136D4" w:rsidRDefault="009136D4" w:rsidP="00676A9B">
      <w:pPr>
        <w:spacing w:after="0" w:line="240" w:lineRule="auto"/>
        <w:jc w:val="both"/>
        <w:rPr>
          <w:rFonts w:ascii="Arial" w:eastAsia="Times New Roman" w:hAnsi="Arial" w:cs="Arial"/>
          <w:i/>
          <w:sz w:val="20"/>
          <w:szCs w:val="20"/>
        </w:rPr>
      </w:pPr>
    </w:p>
    <w:p w14:paraId="5A30895C" w14:textId="561FD2F9" w:rsidR="00676A9B" w:rsidRPr="00676A9B" w:rsidRDefault="00676A9B" w:rsidP="00676A9B">
      <w:pPr>
        <w:spacing w:after="0" w:line="240" w:lineRule="auto"/>
        <w:jc w:val="both"/>
        <w:rPr>
          <w:rFonts w:ascii="Arial" w:eastAsia="Times New Roman" w:hAnsi="Arial" w:cs="Arial"/>
          <w:i/>
          <w:sz w:val="20"/>
          <w:szCs w:val="20"/>
        </w:rPr>
      </w:pPr>
      <w:r w:rsidRPr="00676A9B">
        <w:rPr>
          <w:rFonts w:ascii="Arial" w:eastAsia="Times New Roman" w:hAnsi="Arial" w:cs="Arial"/>
          <w:i/>
          <w:sz w:val="20"/>
          <w:szCs w:val="20"/>
        </w:rPr>
        <w:t>*Usporedba:</w:t>
      </w:r>
    </w:p>
    <w:tbl>
      <w:tblPr>
        <w:tblStyle w:val="Reetkatablice"/>
        <w:tblW w:w="0" w:type="auto"/>
        <w:jc w:val="center"/>
        <w:tblLook w:val="04A0" w:firstRow="1" w:lastRow="0" w:firstColumn="1" w:lastColumn="0" w:noHBand="0" w:noVBand="1"/>
      </w:tblPr>
      <w:tblGrid>
        <w:gridCol w:w="814"/>
        <w:gridCol w:w="1085"/>
        <w:gridCol w:w="1104"/>
        <w:gridCol w:w="1097"/>
        <w:gridCol w:w="1104"/>
        <w:gridCol w:w="1315"/>
        <w:gridCol w:w="1429"/>
        <w:gridCol w:w="1017"/>
        <w:gridCol w:w="1314"/>
        <w:gridCol w:w="1087"/>
        <w:gridCol w:w="1117"/>
      </w:tblGrid>
      <w:tr w:rsidR="00676A9B" w:rsidRPr="00676A9B" w14:paraId="793B4446" w14:textId="77777777" w:rsidTr="00410A4B">
        <w:trPr>
          <w:jc w:val="center"/>
        </w:trPr>
        <w:tc>
          <w:tcPr>
            <w:tcW w:w="814" w:type="dxa"/>
            <w:vMerge w:val="restart"/>
            <w:vAlign w:val="center"/>
          </w:tcPr>
          <w:p w14:paraId="13126591" w14:textId="77777777" w:rsidR="00676A9B" w:rsidRPr="00676A9B" w:rsidRDefault="00676A9B" w:rsidP="00676A9B">
            <w:pPr>
              <w:spacing w:before="100" w:beforeAutospacing="1" w:after="100" w:afterAutospacing="1"/>
              <w:jc w:val="center"/>
              <w:rPr>
                <w:rFonts w:ascii="Arial" w:eastAsia="Calibri" w:hAnsi="Arial" w:cs="Arial"/>
                <w:bCs/>
                <w:i/>
                <w:iCs/>
                <w:sz w:val="18"/>
                <w:szCs w:val="18"/>
              </w:rPr>
            </w:pPr>
            <w:r w:rsidRPr="00676A9B">
              <w:rPr>
                <w:rFonts w:ascii="Arial" w:eastAsia="Calibri" w:hAnsi="Arial" w:cs="Arial"/>
                <w:bCs/>
                <w:i/>
                <w:iCs/>
                <w:sz w:val="18"/>
                <w:szCs w:val="18"/>
              </w:rPr>
              <w:t>Godina</w:t>
            </w:r>
          </w:p>
        </w:tc>
        <w:tc>
          <w:tcPr>
            <w:tcW w:w="5705" w:type="dxa"/>
            <w:gridSpan w:val="5"/>
            <w:vAlign w:val="center"/>
          </w:tcPr>
          <w:p w14:paraId="43CF28AB" w14:textId="77777777" w:rsidR="00676A9B" w:rsidRPr="00676A9B" w:rsidRDefault="00676A9B" w:rsidP="00676A9B">
            <w:pPr>
              <w:spacing w:before="100" w:beforeAutospacing="1" w:after="100" w:afterAutospacing="1"/>
              <w:jc w:val="center"/>
              <w:rPr>
                <w:rFonts w:ascii="Arial" w:eastAsia="Calibri" w:hAnsi="Arial" w:cs="Arial"/>
                <w:bCs/>
                <w:i/>
                <w:iCs/>
                <w:sz w:val="18"/>
                <w:szCs w:val="18"/>
              </w:rPr>
            </w:pPr>
            <w:r w:rsidRPr="00676A9B">
              <w:rPr>
                <w:rFonts w:ascii="Arial" w:eastAsia="Calibri" w:hAnsi="Arial" w:cs="Arial"/>
                <w:bCs/>
                <w:i/>
                <w:iCs/>
                <w:sz w:val="18"/>
                <w:szCs w:val="18"/>
              </w:rPr>
              <w:t>Broj korisnika (prosječno)</w:t>
            </w:r>
          </w:p>
        </w:tc>
        <w:tc>
          <w:tcPr>
            <w:tcW w:w="1429" w:type="dxa"/>
            <w:vMerge w:val="restart"/>
            <w:vAlign w:val="center"/>
          </w:tcPr>
          <w:p w14:paraId="7D57FC69" w14:textId="77777777" w:rsidR="00676A9B" w:rsidRPr="00676A9B" w:rsidRDefault="00676A9B" w:rsidP="00676A9B">
            <w:pPr>
              <w:spacing w:before="100" w:beforeAutospacing="1" w:after="100" w:afterAutospacing="1"/>
              <w:jc w:val="center"/>
              <w:rPr>
                <w:rFonts w:ascii="Arial" w:eastAsia="Calibri" w:hAnsi="Arial" w:cs="Arial"/>
                <w:bCs/>
                <w:i/>
                <w:iCs/>
                <w:sz w:val="18"/>
                <w:szCs w:val="18"/>
              </w:rPr>
            </w:pPr>
            <w:r w:rsidRPr="00676A9B">
              <w:rPr>
                <w:rFonts w:ascii="Arial" w:eastAsia="Calibri" w:hAnsi="Arial" w:cs="Arial"/>
                <w:bCs/>
                <w:sz w:val="18"/>
                <w:szCs w:val="18"/>
              </w:rPr>
              <w:t>Broj korisnika (stupci 2 do 6) (</w:t>
            </w:r>
            <w:r w:rsidRPr="00676A9B">
              <w:rPr>
                <w:rFonts w:ascii="Arial" w:eastAsia="Calibri" w:hAnsi="Arial" w:cs="Arial"/>
                <w:b/>
                <w:sz w:val="18"/>
                <w:szCs w:val="18"/>
              </w:rPr>
              <w:t>prosječno mjesečno</w:t>
            </w:r>
            <w:r w:rsidRPr="00676A9B">
              <w:rPr>
                <w:rFonts w:ascii="Arial" w:eastAsia="Calibri" w:hAnsi="Arial" w:cs="Arial"/>
                <w:bCs/>
                <w:sz w:val="18"/>
                <w:szCs w:val="18"/>
              </w:rPr>
              <w:t>)</w:t>
            </w:r>
          </w:p>
        </w:tc>
        <w:tc>
          <w:tcPr>
            <w:tcW w:w="1017" w:type="dxa"/>
            <w:vMerge w:val="restart"/>
            <w:vAlign w:val="center"/>
          </w:tcPr>
          <w:p w14:paraId="337B559C"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 xml:space="preserve">Izvršeno </w:t>
            </w:r>
          </w:p>
          <w:p w14:paraId="1D90191E"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w:t>
            </w:r>
          </w:p>
          <w:p w14:paraId="3C204667"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(korisnici iz stupca 7)</w:t>
            </w:r>
          </w:p>
        </w:tc>
        <w:tc>
          <w:tcPr>
            <w:tcW w:w="1314" w:type="dxa"/>
            <w:vMerge w:val="restart"/>
            <w:vAlign w:val="center"/>
          </w:tcPr>
          <w:p w14:paraId="3D39A13B"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Broj korisnika – izbjeglice iz Ukrajine (</w:t>
            </w:r>
            <w:r w:rsidRPr="00676A9B">
              <w:rPr>
                <w:rFonts w:ascii="Arial" w:eastAsia="Calibri" w:hAnsi="Arial" w:cs="Arial"/>
                <w:b/>
                <w:sz w:val="18"/>
                <w:szCs w:val="18"/>
              </w:rPr>
              <w:t>prosječno mjesečno)</w:t>
            </w:r>
          </w:p>
        </w:tc>
        <w:tc>
          <w:tcPr>
            <w:tcW w:w="1087" w:type="dxa"/>
            <w:vMerge w:val="restart"/>
            <w:vAlign w:val="center"/>
          </w:tcPr>
          <w:p w14:paraId="66EB16AB"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Izvršeno (</w:t>
            </w:r>
            <w:r w:rsidRPr="00676A9B">
              <w:rPr>
                <w:rFonts w:ascii="Arial" w:eastAsia="Calibri" w:hAnsi="Arial" w:cs="Arial"/>
                <w:b/>
                <w:sz w:val="18"/>
                <w:szCs w:val="18"/>
              </w:rPr>
              <w:t>izbjeglice iz Ukrajine</w:t>
            </w:r>
            <w:r w:rsidRPr="00676A9B">
              <w:rPr>
                <w:rFonts w:ascii="Arial" w:eastAsia="Calibri" w:hAnsi="Arial" w:cs="Arial"/>
                <w:bCs/>
                <w:sz w:val="18"/>
                <w:szCs w:val="18"/>
              </w:rPr>
              <w:t>) €</w:t>
            </w:r>
          </w:p>
        </w:tc>
        <w:tc>
          <w:tcPr>
            <w:tcW w:w="1117" w:type="dxa"/>
            <w:vMerge w:val="restart"/>
            <w:vAlign w:val="center"/>
          </w:tcPr>
          <w:p w14:paraId="63D18DD6"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 xml:space="preserve">Sveukupno izvršeno </w:t>
            </w:r>
            <w:r w:rsidRPr="00676A9B">
              <w:rPr>
                <w:rFonts w:ascii="Arial" w:eastAsia="Calibri" w:hAnsi="Arial" w:cs="Arial"/>
                <w:b/>
                <w:sz w:val="18"/>
                <w:szCs w:val="18"/>
              </w:rPr>
              <w:t>(€)</w:t>
            </w:r>
          </w:p>
        </w:tc>
      </w:tr>
      <w:tr w:rsidR="00676A9B" w:rsidRPr="00676A9B" w14:paraId="2E7A5C14" w14:textId="77777777" w:rsidTr="00410A4B">
        <w:trPr>
          <w:jc w:val="center"/>
        </w:trPr>
        <w:tc>
          <w:tcPr>
            <w:tcW w:w="814" w:type="dxa"/>
            <w:vMerge/>
            <w:vAlign w:val="center"/>
          </w:tcPr>
          <w:p w14:paraId="71B72318" w14:textId="77777777" w:rsidR="00676A9B" w:rsidRPr="00676A9B" w:rsidRDefault="00676A9B" w:rsidP="00676A9B">
            <w:pPr>
              <w:spacing w:before="100" w:beforeAutospacing="1" w:after="100" w:afterAutospacing="1"/>
              <w:rPr>
                <w:rFonts w:ascii="Arial" w:eastAsia="Calibri" w:hAnsi="Arial" w:cs="Arial"/>
                <w:bCs/>
                <w:sz w:val="18"/>
                <w:szCs w:val="18"/>
              </w:rPr>
            </w:pPr>
          </w:p>
        </w:tc>
        <w:tc>
          <w:tcPr>
            <w:tcW w:w="1085" w:type="dxa"/>
            <w:vAlign w:val="center"/>
          </w:tcPr>
          <w:p w14:paraId="19CA3EB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Stradalnici DR-a</w:t>
            </w:r>
          </w:p>
          <w:p w14:paraId="7ED3C039"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(100% cijene)</w:t>
            </w:r>
          </w:p>
        </w:tc>
        <w:tc>
          <w:tcPr>
            <w:tcW w:w="1104" w:type="dxa"/>
            <w:vAlign w:val="center"/>
          </w:tcPr>
          <w:p w14:paraId="1C82463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 xml:space="preserve">Darivatelji krvi, </w:t>
            </w:r>
            <w:r w:rsidRPr="00676A9B">
              <w:rPr>
                <w:rFonts w:ascii="Arial" w:eastAsia="Calibri" w:hAnsi="Arial" w:cs="Arial"/>
                <w:i/>
                <w:sz w:val="18"/>
                <w:szCs w:val="18"/>
              </w:rPr>
              <w:t>25 i više puta</w:t>
            </w:r>
          </w:p>
          <w:p w14:paraId="4CCB8677"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(50% cijene)</w:t>
            </w:r>
          </w:p>
        </w:tc>
        <w:tc>
          <w:tcPr>
            <w:tcW w:w="1097" w:type="dxa"/>
            <w:vAlign w:val="center"/>
          </w:tcPr>
          <w:p w14:paraId="36F253B4"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Građanske</w:t>
            </w:r>
          </w:p>
          <w:p w14:paraId="0981FD6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(100% cijene)</w:t>
            </w:r>
          </w:p>
          <w:p w14:paraId="5AE235AC"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p>
        </w:tc>
        <w:tc>
          <w:tcPr>
            <w:tcW w:w="1104" w:type="dxa"/>
            <w:vAlign w:val="center"/>
          </w:tcPr>
          <w:p w14:paraId="3331F39B"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Učenici produženi boravak</w:t>
            </w:r>
          </w:p>
          <w:p w14:paraId="1E5B5F45"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(50% cijene)</w:t>
            </w:r>
          </w:p>
        </w:tc>
        <w:tc>
          <w:tcPr>
            <w:tcW w:w="1315" w:type="dxa"/>
            <w:vAlign w:val="center"/>
          </w:tcPr>
          <w:p w14:paraId="3262AB5D"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Učenici po posebnim potrebama i njihovi roditelji/ pratitelji</w:t>
            </w:r>
          </w:p>
        </w:tc>
        <w:tc>
          <w:tcPr>
            <w:tcW w:w="1429" w:type="dxa"/>
            <w:vMerge/>
            <w:vAlign w:val="center"/>
          </w:tcPr>
          <w:p w14:paraId="0E54EBB3" w14:textId="77777777" w:rsidR="00676A9B" w:rsidRPr="00676A9B" w:rsidRDefault="00676A9B" w:rsidP="00676A9B">
            <w:pPr>
              <w:spacing w:before="100" w:beforeAutospacing="1" w:after="100" w:afterAutospacing="1"/>
              <w:rPr>
                <w:rFonts w:ascii="Arial" w:eastAsia="Calibri" w:hAnsi="Arial" w:cs="Arial"/>
                <w:bCs/>
                <w:sz w:val="18"/>
                <w:szCs w:val="18"/>
              </w:rPr>
            </w:pPr>
          </w:p>
        </w:tc>
        <w:tc>
          <w:tcPr>
            <w:tcW w:w="1017" w:type="dxa"/>
            <w:vMerge/>
            <w:vAlign w:val="center"/>
          </w:tcPr>
          <w:p w14:paraId="6AE2EE7E" w14:textId="77777777" w:rsidR="00676A9B" w:rsidRPr="00676A9B" w:rsidRDefault="00676A9B" w:rsidP="00676A9B">
            <w:pPr>
              <w:spacing w:before="100" w:beforeAutospacing="1" w:after="100" w:afterAutospacing="1"/>
              <w:rPr>
                <w:rFonts w:ascii="Arial" w:eastAsia="Calibri" w:hAnsi="Arial" w:cs="Arial"/>
                <w:bCs/>
                <w:sz w:val="18"/>
                <w:szCs w:val="18"/>
              </w:rPr>
            </w:pPr>
          </w:p>
        </w:tc>
        <w:tc>
          <w:tcPr>
            <w:tcW w:w="1314" w:type="dxa"/>
            <w:vMerge/>
            <w:vAlign w:val="center"/>
          </w:tcPr>
          <w:p w14:paraId="1EE44805" w14:textId="77777777" w:rsidR="00676A9B" w:rsidRPr="00676A9B" w:rsidRDefault="00676A9B" w:rsidP="00676A9B">
            <w:pPr>
              <w:spacing w:before="100" w:beforeAutospacing="1" w:after="100" w:afterAutospacing="1"/>
              <w:rPr>
                <w:rFonts w:ascii="Arial" w:eastAsia="Calibri" w:hAnsi="Arial" w:cs="Arial"/>
                <w:bCs/>
                <w:sz w:val="18"/>
                <w:szCs w:val="18"/>
              </w:rPr>
            </w:pPr>
          </w:p>
        </w:tc>
        <w:tc>
          <w:tcPr>
            <w:tcW w:w="1087" w:type="dxa"/>
            <w:vMerge/>
            <w:vAlign w:val="center"/>
          </w:tcPr>
          <w:p w14:paraId="36AB9F30" w14:textId="77777777" w:rsidR="00676A9B" w:rsidRPr="00676A9B" w:rsidRDefault="00676A9B" w:rsidP="00676A9B">
            <w:pPr>
              <w:spacing w:before="100" w:beforeAutospacing="1" w:after="100" w:afterAutospacing="1"/>
              <w:rPr>
                <w:rFonts w:ascii="Arial" w:eastAsia="Calibri" w:hAnsi="Arial" w:cs="Arial"/>
                <w:bCs/>
                <w:sz w:val="18"/>
                <w:szCs w:val="18"/>
              </w:rPr>
            </w:pPr>
          </w:p>
        </w:tc>
        <w:tc>
          <w:tcPr>
            <w:tcW w:w="1117" w:type="dxa"/>
            <w:vMerge/>
            <w:vAlign w:val="center"/>
          </w:tcPr>
          <w:p w14:paraId="7106D731" w14:textId="77777777" w:rsidR="00676A9B" w:rsidRPr="00676A9B" w:rsidRDefault="00676A9B" w:rsidP="00676A9B">
            <w:pPr>
              <w:spacing w:before="100" w:beforeAutospacing="1" w:after="100" w:afterAutospacing="1"/>
              <w:rPr>
                <w:rFonts w:ascii="Arial" w:eastAsia="Calibri" w:hAnsi="Arial" w:cs="Arial"/>
                <w:bCs/>
                <w:sz w:val="18"/>
                <w:szCs w:val="18"/>
              </w:rPr>
            </w:pPr>
          </w:p>
        </w:tc>
      </w:tr>
      <w:tr w:rsidR="00676A9B" w:rsidRPr="00676A9B" w14:paraId="31ECAA85" w14:textId="77777777" w:rsidTr="00410A4B">
        <w:trPr>
          <w:jc w:val="center"/>
        </w:trPr>
        <w:tc>
          <w:tcPr>
            <w:tcW w:w="814" w:type="dxa"/>
            <w:vAlign w:val="center"/>
          </w:tcPr>
          <w:p w14:paraId="272B26B0" w14:textId="77777777" w:rsidR="00676A9B" w:rsidRPr="00676A9B" w:rsidRDefault="00676A9B" w:rsidP="00676A9B">
            <w:pPr>
              <w:spacing w:before="100" w:beforeAutospacing="1" w:after="100" w:afterAutospacing="1"/>
              <w:jc w:val="center"/>
              <w:rPr>
                <w:rFonts w:ascii="Arial" w:eastAsia="Calibri" w:hAnsi="Arial" w:cs="Arial"/>
                <w:bCs/>
                <w:i/>
                <w:iCs/>
                <w:sz w:val="14"/>
                <w:szCs w:val="14"/>
              </w:rPr>
            </w:pPr>
            <w:r w:rsidRPr="00676A9B">
              <w:rPr>
                <w:rFonts w:ascii="Arial" w:eastAsia="Calibri" w:hAnsi="Arial" w:cs="Arial"/>
                <w:bCs/>
                <w:i/>
                <w:iCs/>
                <w:sz w:val="14"/>
                <w:szCs w:val="14"/>
              </w:rPr>
              <w:t>1</w:t>
            </w:r>
          </w:p>
        </w:tc>
        <w:tc>
          <w:tcPr>
            <w:tcW w:w="1085" w:type="dxa"/>
            <w:vAlign w:val="center"/>
          </w:tcPr>
          <w:p w14:paraId="3D77E2FD" w14:textId="77777777" w:rsidR="00676A9B" w:rsidRPr="00676A9B" w:rsidRDefault="00676A9B" w:rsidP="00676A9B">
            <w:pPr>
              <w:spacing w:before="100" w:beforeAutospacing="1" w:after="100" w:afterAutospacing="1"/>
              <w:jc w:val="center"/>
              <w:rPr>
                <w:rFonts w:ascii="Arial" w:eastAsia="Calibri" w:hAnsi="Arial" w:cs="Arial"/>
                <w:bCs/>
                <w:i/>
                <w:iCs/>
                <w:sz w:val="14"/>
                <w:szCs w:val="14"/>
              </w:rPr>
            </w:pPr>
            <w:r w:rsidRPr="00676A9B">
              <w:rPr>
                <w:rFonts w:ascii="Arial" w:eastAsia="Calibri" w:hAnsi="Arial" w:cs="Arial"/>
                <w:bCs/>
                <w:i/>
                <w:iCs/>
                <w:sz w:val="14"/>
                <w:szCs w:val="14"/>
              </w:rPr>
              <w:t>2</w:t>
            </w:r>
          </w:p>
        </w:tc>
        <w:tc>
          <w:tcPr>
            <w:tcW w:w="1104" w:type="dxa"/>
            <w:vAlign w:val="center"/>
          </w:tcPr>
          <w:p w14:paraId="3B4BCE77" w14:textId="77777777" w:rsidR="00676A9B" w:rsidRPr="00676A9B" w:rsidRDefault="00676A9B" w:rsidP="00676A9B">
            <w:pPr>
              <w:spacing w:before="100" w:beforeAutospacing="1" w:after="100" w:afterAutospacing="1"/>
              <w:jc w:val="center"/>
              <w:rPr>
                <w:rFonts w:ascii="Arial" w:eastAsia="Calibri" w:hAnsi="Arial" w:cs="Arial"/>
                <w:bCs/>
                <w:i/>
                <w:iCs/>
                <w:sz w:val="14"/>
                <w:szCs w:val="14"/>
              </w:rPr>
            </w:pPr>
            <w:r w:rsidRPr="00676A9B">
              <w:rPr>
                <w:rFonts w:ascii="Arial" w:eastAsia="Calibri" w:hAnsi="Arial" w:cs="Arial"/>
                <w:bCs/>
                <w:i/>
                <w:iCs/>
                <w:sz w:val="14"/>
                <w:szCs w:val="14"/>
              </w:rPr>
              <w:t>3</w:t>
            </w:r>
          </w:p>
        </w:tc>
        <w:tc>
          <w:tcPr>
            <w:tcW w:w="1097" w:type="dxa"/>
            <w:vAlign w:val="center"/>
          </w:tcPr>
          <w:p w14:paraId="663C7ACD" w14:textId="77777777" w:rsidR="00676A9B" w:rsidRPr="00676A9B" w:rsidRDefault="00676A9B" w:rsidP="00676A9B">
            <w:pPr>
              <w:spacing w:before="100" w:beforeAutospacing="1" w:after="100" w:afterAutospacing="1"/>
              <w:jc w:val="center"/>
              <w:rPr>
                <w:rFonts w:ascii="Arial" w:eastAsia="Calibri" w:hAnsi="Arial" w:cs="Arial"/>
                <w:bCs/>
                <w:i/>
                <w:iCs/>
                <w:sz w:val="14"/>
                <w:szCs w:val="14"/>
              </w:rPr>
            </w:pPr>
            <w:r w:rsidRPr="00676A9B">
              <w:rPr>
                <w:rFonts w:ascii="Arial" w:eastAsia="Calibri" w:hAnsi="Arial" w:cs="Arial"/>
                <w:bCs/>
                <w:i/>
                <w:iCs/>
                <w:sz w:val="14"/>
                <w:szCs w:val="14"/>
              </w:rPr>
              <w:t>4</w:t>
            </w:r>
          </w:p>
        </w:tc>
        <w:tc>
          <w:tcPr>
            <w:tcW w:w="1104" w:type="dxa"/>
            <w:vAlign w:val="center"/>
          </w:tcPr>
          <w:p w14:paraId="394006EE" w14:textId="77777777" w:rsidR="00676A9B" w:rsidRPr="00676A9B" w:rsidRDefault="00676A9B" w:rsidP="00676A9B">
            <w:pPr>
              <w:spacing w:before="100" w:beforeAutospacing="1" w:after="100" w:afterAutospacing="1"/>
              <w:jc w:val="center"/>
              <w:rPr>
                <w:rFonts w:ascii="Arial" w:eastAsia="Calibri" w:hAnsi="Arial" w:cs="Arial"/>
                <w:bCs/>
                <w:i/>
                <w:iCs/>
                <w:sz w:val="14"/>
                <w:szCs w:val="14"/>
              </w:rPr>
            </w:pPr>
            <w:r w:rsidRPr="00676A9B">
              <w:rPr>
                <w:rFonts w:ascii="Arial" w:eastAsia="Calibri" w:hAnsi="Arial" w:cs="Arial"/>
                <w:bCs/>
                <w:i/>
                <w:iCs/>
                <w:sz w:val="14"/>
                <w:szCs w:val="14"/>
              </w:rPr>
              <w:t>5</w:t>
            </w:r>
          </w:p>
        </w:tc>
        <w:tc>
          <w:tcPr>
            <w:tcW w:w="1315" w:type="dxa"/>
            <w:vAlign w:val="center"/>
          </w:tcPr>
          <w:p w14:paraId="6856A6FC" w14:textId="77777777" w:rsidR="00676A9B" w:rsidRPr="00676A9B" w:rsidRDefault="00676A9B" w:rsidP="00676A9B">
            <w:pPr>
              <w:spacing w:before="100" w:beforeAutospacing="1" w:after="100" w:afterAutospacing="1"/>
              <w:jc w:val="center"/>
              <w:rPr>
                <w:rFonts w:ascii="Arial" w:eastAsia="Calibri" w:hAnsi="Arial" w:cs="Arial"/>
                <w:bCs/>
                <w:i/>
                <w:iCs/>
                <w:sz w:val="14"/>
                <w:szCs w:val="14"/>
              </w:rPr>
            </w:pPr>
            <w:r w:rsidRPr="00676A9B">
              <w:rPr>
                <w:rFonts w:ascii="Arial" w:eastAsia="Calibri" w:hAnsi="Arial" w:cs="Arial"/>
                <w:bCs/>
                <w:i/>
                <w:iCs/>
                <w:sz w:val="14"/>
                <w:szCs w:val="14"/>
              </w:rPr>
              <w:t>6</w:t>
            </w:r>
          </w:p>
        </w:tc>
        <w:tc>
          <w:tcPr>
            <w:tcW w:w="1429" w:type="dxa"/>
            <w:vAlign w:val="center"/>
          </w:tcPr>
          <w:p w14:paraId="5F50F92C" w14:textId="77777777" w:rsidR="00676A9B" w:rsidRPr="00676A9B" w:rsidRDefault="00676A9B" w:rsidP="00676A9B">
            <w:pPr>
              <w:spacing w:before="100" w:beforeAutospacing="1" w:after="100" w:afterAutospacing="1"/>
              <w:jc w:val="center"/>
              <w:rPr>
                <w:rFonts w:ascii="Arial" w:eastAsia="Calibri" w:hAnsi="Arial" w:cs="Arial"/>
                <w:i/>
                <w:iCs/>
                <w:sz w:val="14"/>
                <w:szCs w:val="14"/>
              </w:rPr>
            </w:pPr>
            <w:r w:rsidRPr="00676A9B">
              <w:rPr>
                <w:rFonts w:ascii="Arial" w:eastAsia="Calibri" w:hAnsi="Arial" w:cs="Arial"/>
                <w:i/>
                <w:iCs/>
                <w:sz w:val="14"/>
                <w:szCs w:val="14"/>
              </w:rPr>
              <w:t>7 (prosjek stupci 2 do 6)</w:t>
            </w:r>
          </w:p>
        </w:tc>
        <w:tc>
          <w:tcPr>
            <w:tcW w:w="1017" w:type="dxa"/>
            <w:vAlign w:val="center"/>
          </w:tcPr>
          <w:p w14:paraId="4073EED7" w14:textId="77777777" w:rsidR="00676A9B" w:rsidRPr="00676A9B" w:rsidRDefault="00676A9B" w:rsidP="00676A9B">
            <w:pPr>
              <w:spacing w:before="100" w:beforeAutospacing="1" w:after="100" w:afterAutospacing="1"/>
              <w:jc w:val="center"/>
              <w:rPr>
                <w:rFonts w:ascii="Arial" w:eastAsia="Calibri" w:hAnsi="Arial" w:cs="Arial"/>
                <w:i/>
                <w:iCs/>
                <w:sz w:val="14"/>
                <w:szCs w:val="14"/>
              </w:rPr>
            </w:pPr>
            <w:r w:rsidRPr="00676A9B">
              <w:rPr>
                <w:rFonts w:ascii="Arial" w:eastAsia="Calibri" w:hAnsi="Arial" w:cs="Arial"/>
                <w:i/>
                <w:iCs/>
                <w:sz w:val="14"/>
                <w:szCs w:val="14"/>
              </w:rPr>
              <w:t>8.</w:t>
            </w:r>
          </w:p>
        </w:tc>
        <w:tc>
          <w:tcPr>
            <w:tcW w:w="1314" w:type="dxa"/>
            <w:vAlign w:val="center"/>
          </w:tcPr>
          <w:p w14:paraId="3A9E907D" w14:textId="77777777" w:rsidR="00676A9B" w:rsidRPr="00676A9B" w:rsidRDefault="00676A9B" w:rsidP="00676A9B">
            <w:pPr>
              <w:spacing w:before="100" w:beforeAutospacing="1" w:after="100" w:afterAutospacing="1"/>
              <w:jc w:val="center"/>
              <w:rPr>
                <w:rFonts w:ascii="Arial" w:eastAsia="Calibri" w:hAnsi="Arial" w:cs="Arial"/>
                <w:i/>
                <w:iCs/>
                <w:sz w:val="14"/>
                <w:szCs w:val="14"/>
              </w:rPr>
            </w:pPr>
            <w:r w:rsidRPr="00676A9B">
              <w:rPr>
                <w:rFonts w:ascii="Arial" w:eastAsia="Calibri" w:hAnsi="Arial" w:cs="Arial"/>
                <w:i/>
                <w:iCs/>
                <w:sz w:val="14"/>
                <w:szCs w:val="14"/>
              </w:rPr>
              <w:t>9</w:t>
            </w:r>
          </w:p>
        </w:tc>
        <w:tc>
          <w:tcPr>
            <w:tcW w:w="1087" w:type="dxa"/>
            <w:vAlign w:val="center"/>
          </w:tcPr>
          <w:p w14:paraId="7019D1D7" w14:textId="77777777" w:rsidR="00676A9B" w:rsidRPr="00676A9B" w:rsidRDefault="00676A9B" w:rsidP="00676A9B">
            <w:pPr>
              <w:spacing w:before="100" w:beforeAutospacing="1" w:after="100" w:afterAutospacing="1"/>
              <w:jc w:val="center"/>
              <w:rPr>
                <w:rFonts w:ascii="Arial" w:eastAsia="Calibri" w:hAnsi="Arial" w:cs="Arial"/>
                <w:i/>
                <w:iCs/>
                <w:sz w:val="14"/>
                <w:szCs w:val="14"/>
              </w:rPr>
            </w:pPr>
            <w:r w:rsidRPr="00676A9B">
              <w:rPr>
                <w:rFonts w:ascii="Arial" w:eastAsia="Calibri" w:hAnsi="Arial" w:cs="Arial"/>
                <w:i/>
                <w:iCs/>
                <w:sz w:val="14"/>
                <w:szCs w:val="14"/>
              </w:rPr>
              <w:t>10.</w:t>
            </w:r>
          </w:p>
        </w:tc>
        <w:tc>
          <w:tcPr>
            <w:tcW w:w="1117" w:type="dxa"/>
            <w:vAlign w:val="center"/>
          </w:tcPr>
          <w:p w14:paraId="29941B6B" w14:textId="77777777" w:rsidR="00676A9B" w:rsidRPr="00676A9B" w:rsidRDefault="00676A9B" w:rsidP="00676A9B">
            <w:pPr>
              <w:spacing w:before="100" w:beforeAutospacing="1" w:after="100" w:afterAutospacing="1"/>
              <w:jc w:val="center"/>
              <w:rPr>
                <w:rFonts w:ascii="Arial" w:eastAsia="Calibri" w:hAnsi="Arial" w:cs="Arial"/>
                <w:i/>
                <w:iCs/>
                <w:sz w:val="14"/>
                <w:szCs w:val="14"/>
              </w:rPr>
            </w:pPr>
            <w:r w:rsidRPr="00676A9B">
              <w:rPr>
                <w:rFonts w:ascii="Arial" w:eastAsia="Calibri" w:hAnsi="Arial" w:cs="Arial"/>
                <w:i/>
                <w:iCs/>
                <w:sz w:val="14"/>
                <w:szCs w:val="14"/>
              </w:rPr>
              <w:t>11.(8+10)</w:t>
            </w:r>
          </w:p>
        </w:tc>
      </w:tr>
      <w:tr w:rsidR="00676A9B" w:rsidRPr="00676A9B" w14:paraId="4944E968" w14:textId="77777777" w:rsidTr="00410A4B">
        <w:trPr>
          <w:jc w:val="center"/>
        </w:trPr>
        <w:tc>
          <w:tcPr>
            <w:tcW w:w="814" w:type="dxa"/>
            <w:vAlign w:val="center"/>
          </w:tcPr>
          <w:p w14:paraId="5F567134"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2014.</w:t>
            </w:r>
          </w:p>
        </w:tc>
        <w:tc>
          <w:tcPr>
            <w:tcW w:w="1085" w:type="dxa"/>
            <w:vAlign w:val="center"/>
          </w:tcPr>
          <w:p w14:paraId="1241BD46"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p>
        </w:tc>
        <w:tc>
          <w:tcPr>
            <w:tcW w:w="1104" w:type="dxa"/>
            <w:vAlign w:val="center"/>
          </w:tcPr>
          <w:p w14:paraId="7F06D0B0"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p>
        </w:tc>
        <w:tc>
          <w:tcPr>
            <w:tcW w:w="1097" w:type="dxa"/>
            <w:vAlign w:val="center"/>
          </w:tcPr>
          <w:p w14:paraId="4380DADC"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p>
        </w:tc>
        <w:tc>
          <w:tcPr>
            <w:tcW w:w="1104" w:type="dxa"/>
            <w:vAlign w:val="center"/>
          </w:tcPr>
          <w:p w14:paraId="41590B8E"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p>
        </w:tc>
        <w:tc>
          <w:tcPr>
            <w:tcW w:w="1315" w:type="dxa"/>
            <w:vAlign w:val="center"/>
          </w:tcPr>
          <w:p w14:paraId="101D141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p>
        </w:tc>
        <w:tc>
          <w:tcPr>
            <w:tcW w:w="1429" w:type="dxa"/>
            <w:vAlign w:val="center"/>
          </w:tcPr>
          <w:p w14:paraId="46977C9C"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sz w:val="18"/>
                <w:szCs w:val="18"/>
              </w:rPr>
              <w:t>39</w:t>
            </w:r>
          </w:p>
        </w:tc>
        <w:tc>
          <w:tcPr>
            <w:tcW w:w="1017" w:type="dxa"/>
            <w:vAlign w:val="center"/>
          </w:tcPr>
          <w:p w14:paraId="3C943B7F"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15.880,95</w:t>
            </w:r>
          </w:p>
        </w:tc>
        <w:tc>
          <w:tcPr>
            <w:tcW w:w="1314" w:type="dxa"/>
            <w:vAlign w:val="center"/>
          </w:tcPr>
          <w:p w14:paraId="1DBB5446"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w:t>
            </w:r>
          </w:p>
        </w:tc>
        <w:tc>
          <w:tcPr>
            <w:tcW w:w="1087" w:type="dxa"/>
            <w:vAlign w:val="center"/>
          </w:tcPr>
          <w:p w14:paraId="369CD2CD"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w:t>
            </w:r>
          </w:p>
        </w:tc>
        <w:tc>
          <w:tcPr>
            <w:tcW w:w="1117" w:type="dxa"/>
          </w:tcPr>
          <w:p w14:paraId="394FE65A"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15.880,95</w:t>
            </w:r>
          </w:p>
        </w:tc>
      </w:tr>
      <w:tr w:rsidR="00676A9B" w:rsidRPr="00676A9B" w14:paraId="6735C3C0" w14:textId="77777777" w:rsidTr="00410A4B">
        <w:trPr>
          <w:jc w:val="center"/>
        </w:trPr>
        <w:tc>
          <w:tcPr>
            <w:tcW w:w="814" w:type="dxa"/>
            <w:vAlign w:val="center"/>
          </w:tcPr>
          <w:p w14:paraId="73BB0508"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2015.</w:t>
            </w:r>
          </w:p>
        </w:tc>
        <w:tc>
          <w:tcPr>
            <w:tcW w:w="1085" w:type="dxa"/>
            <w:vAlign w:val="center"/>
          </w:tcPr>
          <w:p w14:paraId="68BD0455"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i/>
                <w:sz w:val="18"/>
                <w:szCs w:val="18"/>
              </w:rPr>
              <w:t>21</w:t>
            </w:r>
          </w:p>
        </w:tc>
        <w:tc>
          <w:tcPr>
            <w:tcW w:w="1104" w:type="dxa"/>
            <w:vAlign w:val="center"/>
          </w:tcPr>
          <w:p w14:paraId="365C179B"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25</w:t>
            </w:r>
          </w:p>
        </w:tc>
        <w:tc>
          <w:tcPr>
            <w:tcW w:w="1097" w:type="dxa"/>
            <w:vAlign w:val="center"/>
          </w:tcPr>
          <w:p w14:paraId="06027047"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p>
        </w:tc>
        <w:tc>
          <w:tcPr>
            <w:tcW w:w="1104" w:type="dxa"/>
            <w:vAlign w:val="center"/>
          </w:tcPr>
          <w:p w14:paraId="2699F48A"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4</w:t>
            </w:r>
          </w:p>
        </w:tc>
        <w:tc>
          <w:tcPr>
            <w:tcW w:w="1315" w:type="dxa"/>
            <w:vAlign w:val="center"/>
          </w:tcPr>
          <w:p w14:paraId="7B47141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4</w:t>
            </w:r>
          </w:p>
        </w:tc>
        <w:tc>
          <w:tcPr>
            <w:tcW w:w="1429" w:type="dxa"/>
            <w:vAlign w:val="center"/>
          </w:tcPr>
          <w:p w14:paraId="70D9CA62"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47</w:t>
            </w:r>
          </w:p>
        </w:tc>
        <w:tc>
          <w:tcPr>
            <w:tcW w:w="1017" w:type="dxa"/>
            <w:vAlign w:val="center"/>
          </w:tcPr>
          <w:p w14:paraId="6E35F554"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22.398,30</w:t>
            </w:r>
          </w:p>
        </w:tc>
        <w:tc>
          <w:tcPr>
            <w:tcW w:w="1314" w:type="dxa"/>
            <w:vAlign w:val="center"/>
          </w:tcPr>
          <w:p w14:paraId="27118EBA"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sz w:val="18"/>
                <w:szCs w:val="18"/>
              </w:rPr>
              <w:t>-</w:t>
            </w:r>
          </w:p>
        </w:tc>
        <w:tc>
          <w:tcPr>
            <w:tcW w:w="1087" w:type="dxa"/>
            <w:vAlign w:val="center"/>
          </w:tcPr>
          <w:p w14:paraId="679D4F1C"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w:t>
            </w:r>
          </w:p>
        </w:tc>
        <w:tc>
          <w:tcPr>
            <w:tcW w:w="1117" w:type="dxa"/>
          </w:tcPr>
          <w:p w14:paraId="18F0C156"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22.398,30</w:t>
            </w:r>
          </w:p>
        </w:tc>
      </w:tr>
      <w:tr w:rsidR="00676A9B" w:rsidRPr="00676A9B" w14:paraId="4775584C" w14:textId="77777777" w:rsidTr="00410A4B">
        <w:trPr>
          <w:jc w:val="center"/>
        </w:trPr>
        <w:tc>
          <w:tcPr>
            <w:tcW w:w="814" w:type="dxa"/>
            <w:vAlign w:val="center"/>
          </w:tcPr>
          <w:p w14:paraId="14A38FD8"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2016.</w:t>
            </w:r>
          </w:p>
        </w:tc>
        <w:tc>
          <w:tcPr>
            <w:tcW w:w="1085" w:type="dxa"/>
            <w:vAlign w:val="center"/>
          </w:tcPr>
          <w:p w14:paraId="61D204F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22</w:t>
            </w:r>
          </w:p>
        </w:tc>
        <w:tc>
          <w:tcPr>
            <w:tcW w:w="1104" w:type="dxa"/>
            <w:vAlign w:val="center"/>
          </w:tcPr>
          <w:p w14:paraId="51148996"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26</w:t>
            </w:r>
          </w:p>
        </w:tc>
        <w:tc>
          <w:tcPr>
            <w:tcW w:w="1097" w:type="dxa"/>
            <w:vAlign w:val="center"/>
          </w:tcPr>
          <w:p w14:paraId="1BEF18E2"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4</w:t>
            </w:r>
          </w:p>
        </w:tc>
        <w:tc>
          <w:tcPr>
            <w:tcW w:w="1104" w:type="dxa"/>
            <w:vAlign w:val="center"/>
          </w:tcPr>
          <w:p w14:paraId="3E9A6454"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4</w:t>
            </w:r>
          </w:p>
        </w:tc>
        <w:tc>
          <w:tcPr>
            <w:tcW w:w="1315" w:type="dxa"/>
            <w:vAlign w:val="center"/>
          </w:tcPr>
          <w:p w14:paraId="4407B645"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3</w:t>
            </w:r>
          </w:p>
        </w:tc>
        <w:tc>
          <w:tcPr>
            <w:tcW w:w="1429" w:type="dxa"/>
            <w:vAlign w:val="center"/>
          </w:tcPr>
          <w:p w14:paraId="76E8410A"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59</w:t>
            </w:r>
          </w:p>
        </w:tc>
        <w:tc>
          <w:tcPr>
            <w:tcW w:w="1017" w:type="dxa"/>
            <w:vAlign w:val="center"/>
          </w:tcPr>
          <w:p w14:paraId="471423E1"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24.231,20</w:t>
            </w:r>
          </w:p>
        </w:tc>
        <w:tc>
          <w:tcPr>
            <w:tcW w:w="1314" w:type="dxa"/>
            <w:vAlign w:val="center"/>
          </w:tcPr>
          <w:p w14:paraId="6AB14354"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sz w:val="18"/>
                <w:szCs w:val="18"/>
              </w:rPr>
              <w:t>-</w:t>
            </w:r>
          </w:p>
        </w:tc>
        <w:tc>
          <w:tcPr>
            <w:tcW w:w="1087" w:type="dxa"/>
            <w:vAlign w:val="center"/>
          </w:tcPr>
          <w:p w14:paraId="2D70F07E"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w:t>
            </w:r>
          </w:p>
        </w:tc>
        <w:tc>
          <w:tcPr>
            <w:tcW w:w="1117" w:type="dxa"/>
          </w:tcPr>
          <w:p w14:paraId="60C6D8BB"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24.231,20</w:t>
            </w:r>
          </w:p>
        </w:tc>
      </w:tr>
      <w:tr w:rsidR="00676A9B" w:rsidRPr="00676A9B" w14:paraId="3579D34A" w14:textId="77777777" w:rsidTr="00410A4B">
        <w:trPr>
          <w:jc w:val="center"/>
        </w:trPr>
        <w:tc>
          <w:tcPr>
            <w:tcW w:w="814" w:type="dxa"/>
            <w:vAlign w:val="center"/>
          </w:tcPr>
          <w:p w14:paraId="7BC937B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2017.</w:t>
            </w:r>
          </w:p>
        </w:tc>
        <w:tc>
          <w:tcPr>
            <w:tcW w:w="1085" w:type="dxa"/>
            <w:vAlign w:val="center"/>
          </w:tcPr>
          <w:p w14:paraId="716A8A9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22</w:t>
            </w:r>
          </w:p>
        </w:tc>
        <w:tc>
          <w:tcPr>
            <w:tcW w:w="1104" w:type="dxa"/>
            <w:vAlign w:val="center"/>
          </w:tcPr>
          <w:p w14:paraId="1F52D3E4"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28</w:t>
            </w:r>
          </w:p>
        </w:tc>
        <w:tc>
          <w:tcPr>
            <w:tcW w:w="1097" w:type="dxa"/>
            <w:vAlign w:val="center"/>
          </w:tcPr>
          <w:p w14:paraId="4797850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4</w:t>
            </w:r>
          </w:p>
        </w:tc>
        <w:tc>
          <w:tcPr>
            <w:tcW w:w="1104" w:type="dxa"/>
            <w:vAlign w:val="center"/>
          </w:tcPr>
          <w:p w14:paraId="1AD65387"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4</w:t>
            </w:r>
          </w:p>
        </w:tc>
        <w:tc>
          <w:tcPr>
            <w:tcW w:w="1315" w:type="dxa"/>
            <w:vAlign w:val="center"/>
          </w:tcPr>
          <w:p w14:paraId="2B4F258E"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w:t>
            </w:r>
          </w:p>
        </w:tc>
        <w:tc>
          <w:tcPr>
            <w:tcW w:w="1429" w:type="dxa"/>
            <w:vAlign w:val="center"/>
          </w:tcPr>
          <w:p w14:paraId="1660855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58</w:t>
            </w:r>
          </w:p>
        </w:tc>
        <w:tc>
          <w:tcPr>
            <w:tcW w:w="1017" w:type="dxa"/>
            <w:vAlign w:val="center"/>
          </w:tcPr>
          <w:p w14:paraId="0FE727E8"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24.198,02</w:t>
            </w:r>
          </w:p>
        </w:tc>
        <w:tc>
          <w:tcPr>
            <w:tcW w:w="1314" w:type="dxa"/>
            <w:vAlign w:val="center"/>
          </w:tcPr>
          <w:p w14:paraId="31F29A97"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sz w:val="18"/>
                <w:szCs w:val="18"/>
              </w:rPr>
              <w:t>-</w:t>
            </w:r>
          </w:p>
        </w:tc>
        <w:tc>
          <w:tcPr>
            <w:tcW w:w="1087" w:type="dxa"/>
            <w:vAlign w:val="center"/>
          </w:tcPr>
          <w:p w14:paraId="43216C3F"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w:t>
            </w:r>
          </w:p>
        </w:tc>
        <w:tc>
          <w:tcPr>
            <w:tcW w:w="1117" w:type="dxa"/>
          </w:tcPr>
          <w:p w14:paraId="74427B1C"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24.198,02</w:t>
            </w:r>
          </w:p>
        </w:tc>
      </w:tr>
      <w:tr w:rsidR="00676A9B" w:rsidRPr="00676A9B" w14:paraId="417090B7" w14:textId="77777777" w:rsidTr="00410A4B">
        <w:trPr>
          <w:jc w:val="center"/>
        </w:trPr>
        <w:tc>
          <w:tcPr>
            <w:tcW w:w="814" w:type="dxa"/>
            <w:vAlign w:val="center"/>
          </w:tcPr>
          <w:p w14:paraId="1DAB89F0"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2018.</w:t>
            </w:r>
          </w:p>
        </w:tc>
        <w:tc>
          <w:tcPr>
            <w:tcW w:w="1085" w:type="dxa"/>
            <w:vAlign w:val="center"/>
          </w:tcPr>
          <w:p w14:paraId="58D77DAC"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18</w:t>
            </w:r>
          </w:p>
        </w:tc>
        <w:tc>
          <w:tcPr>
            <w:tcW w:w="1104" w:type="dxa"/>
            <w:vAlign w:val="center"/>
          </w:tcPr>
          <w:p w14:paraId="5DFD263F"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20</w:t>
            </w:r>
          </w:p>
        </w:tc>
        <w:tc>
          <w:tcPr>
            <w:tcW w:w="1097" w:type="dxa"/>
            <w:vAlign w:val="center"/>
          </w:tcPr>
          <w:p w14:paraId="53B114E7"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3</w:t>
            </w:r>
          </w:p>
        </w:tc>
        <w:tc>
          <w:tcPr>
            <w:tcW w:w="1104" w:type="dxa"/>
            <w:vAlign w:val="center"/>
          </w:tcPr>
          <w:p w14:paraId="4B7BCFD6"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4</w:t>
            </w:r>
          </w:p>
        </w:tc>
        <w:tc>
          <w:tcPr>
            <w:tcW w:w="1315" w:type="dxa"/>
            <w:vAlign w:val="center"/>
          </w:tcPr>
          <w:p w14:paraId="67E1307D"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0</w:t>
            </w:r>
          </w:p>
        </w:tc>
        <w:tc>
          <w:tcPr>
            <w:tcW w:w="1429" w:type="dxa"/>
            <w:vAlign w:val="center"/>
          </w:tcPr>
          <w:p w14:paraId="450E0CE4"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45</w:t>
            </w:r>
          </w:p>
        </w:tc>
        <w:tc>
          <w:tcPr>
            <w:tcW w:w="1017" w:type="dxa"/>
            <w:vAlign w:val="center"/>
          </w:tcPr>
          <w:p w14:paraId="47116CBB"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17.434,47</w:t>
            </w:r>
          </w:p>
        </w:tc>
        <w:tc>
          <w:tcPr>
            <w:tcW w:w="1314" w:type="dxa"/>
            <w:vAlign w:val="center"/>
          </w:tcPr>
          <w:p w14:paraId="02851CFA"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sz w:val="18"/>
                <w:szCs w:val="18"/>
              </w:rPr>
              <w:t>-</w:t>
            </w:r>
          </w:p>
        </w:tc>
        <w:tc>
          <w:tcPr>
            <w:tcW w:w="1087" w:type="dxa"/>
            <w:vAlign w:val="center"/>
          </w:tcPr>
          <w:p w14:paraId="47B54A88"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w:t>
            </w:r>
          </w:p>
        </w:tc>
        <w:tc>
          <w:tcPr>
            <w:tcW w:w="1117" w:type="dxa"/>
          </w:tcPr>
          <w:p w14:paraId="10F92797"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17.434,47</w:t>
            </w:r>
          </w:p>
        </w:tc>
      </w:tr>
      <w:tr w:rsidR="00676A9B" w:rsidRPr="00676A9B" w14:paraId="12FD2F64" w14:textId="77777777" w:rsidTr="00410A4B">
        <w:trPr>
          <w:jc w:val="center"/>
        </w:trPr>
        <w:tc>
          <w:tcPr>
            <w:tcW w:w="814" w:type="dxa"/>
            <w:vAlign w:val="center"/>
          </w:tcPr>
          <w:p w14:paraId="166C938D"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2019.</w:t>
            </w:r>
          </w:p>
        </w:tc>
        <w:tc>
          <w:tcPr>
            <w:tcW w:w="1085" w:type="dxa"/>
            <w:vAlign w:val="center"/>
          </w:tcPr>
          <w:p w14:paraId="5E653E3F"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12</w:t>
            </w:r>
          </w:p>
        </w:tc>
        <w:tc>
          <w:tcPr>
            <w:tcW w:w="1104" w:type="dxa"/>
            <w:vAlign w:val="center"/>
          </w:tcPr>
          <w:p w14:paraId="6D11CF4D"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15</w:t>
            </w:r>
          </w:p>
        </w:tc>
        <w:tc>
          <w:tcPr>
            <w:tcW w:w="1097" w:type="dxa"/>
            <w:vAlign w:val="center"/>
          </w:tcPr>
          <w:p w14:paraId="5F4AA3B3"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w:t>
            </w:r>
          </w:p>
        </w:tc>
        <w:tc>
          <w:tcPr>
            <w:tcW w:w="1104" w:type="dxa"/>
            <w:vAlign w:val="center"/>
          </w:tcPr>
          <w:p w14:paraId="4D76E51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5</w:t>
            </w:r>
          </w:p>
        </w:tc>
        <w:tc>
          <w:tcPr>
            <w:tcW w:w="1315" w:type="dxa"/>
            <w:vAlign w:val="center"/>
          </w:tcPr>
          <w:p w14:paraId="653E8B40"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w:t>
            </w:r>
          </w:p>
        </w:tc>
        <w:tc>
          <w:tcPr>
            <w:tcW w:w="1429" w:type="dxa"/>
            <w:vAlign w:val="center"/>
          </w:tcPr>
          <w:p w14:paraId="2B70FA6E"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35</w:t>
            </w:r>
          </w:p>
        </w:tc>
        <w:tc>
          <w:tcPr>
            <w:tcW w:w="1017" w:type="dxa"/>
            <w:vAlign w:val="center"/>
          </w:tcPr>
          <w:p w14:paraId="2844222F"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12.957,06</w:t>
            </w:r>
          </w:p>
        </w:tc>
        <w:tc>
          <w:tcPr>
            <w:tcW w:w="1314" w:type="dxa"/>
            <w:vAlign w:val="center"/>
          </w:tcPr>
          <w:p w14:paraId="58E01ED8"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sz w:val="18"/>
                <w:szCs w:val="18"/>
              </w:rPr>
              <w:t>-</w:t>
            </w:r>
          </w:p>
        </w:tc>
        <w:tc>
          <w:tcPr>
            <w:tcW w:w="1087" w:type="dxa"/>
            <w:vAlign w:val="center"/>
          </w:tcPr>
          <w:p w14:paraId="290C2008"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w:t>
            </w:r>
          </w:p>
        </w:tc>
        <w:tc>
          <w:tcPr>
            <w:tcW w:w="1117" w:type="dxa"/>
          </w:tcPr>
          <w:p w14:paraId="5135AB65"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12.957,06</w:t>
            </w:r>
          </w:p>
        </w:tc>
      </w:tr>
      <w:tr w:rsidR="00676A9B" w:rsidRPr="00676A9B" w14:paraId="39F68970" w14:textId="77777777" w:rsidTr="00410A4B">
        <w:trPr>
          <w:jc w:val="center"/>
        </w:trPr>
        <w:tc>
          <w:tcPr>
            <w:tcW w:w="814" w:type="dxa"/>
            <w:vAlign w:val="center"/>
          </w:tcPr>
          <w:p w14:paraId="160FBFCF"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2020.</w:t>
            </w:r>
          </w:p>
        </w:tc>
        <w:tc>
          <w:tcPr>
            <w:tcW w:w="1085" w:type="dxa"/>
            <w:vAlign w:val="center"/>
          </w:tcPr>
          <w:p w14:paraId="753E2FAE"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16</w:t>
            </w:r>
          </w:p>
        </w:tc>
        <w:tc>
          <w:tcPr>
            <w:tcW w:w="1104" w:type="dxa"/>
            <w:vAlign w:val="center"/>
          </w:tcPr>
          <w:p w14:paraId="6DB80AFD"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18</w:t>
            </w:r>
          </w:p>
        </w:tc>
        <w:tc>
          <w:tcPr>
            <w:tcW w:w="1097" w:type="dxa"/>
            <w:vAlign w:val="center"/>
          </w:tcPr>
          <w:p w14:paraId="488A7196"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5</w:t>
            </w:r>
          </w:p>
        </w:tc>
        <w:tc>
          <w:tcPr>
            <w:tcW w:w="1104" w:type="dxa"/>
            <w:vAlign w:val="center"/>
          </w:tcPr>
          <w:p w14:paraId="0234741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3</w:t>
            </w:r>
          </w:p>
        </w:tc>
        <w:tc>
          <w:tcPr>
            <w:tcW w:w="1315" w:type="dxa"/>
            <w:vAlign w:val="center"/>
          </w:tcPr>
          <w:p w14:paraId="31556B38"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w:t>
            </w:r>
          </w:p>
        </w:tc>
        <w:tc>
          <w:tcPr>
            <w:tcW w:w="1429" w:type="dxa"/>
            <w:vAlign w:val="center"/>
          </w:tcPr>
          <w:p w14:paraId="34FF2248"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43</w:t>
            </w:r>
          </w:p>
        </w:tc>
        <w:tc>
          <w:tcPr>
            <w:tcW w:w="1017" w:type="dxa"/>
            <w:vAlign w:val="center"/>
          </w:tcPr>
          <w:p w14:paraId="3AD2F3F5"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13.106,38</w:t>
            </w:r>
          </w:p>
        </w:tc>
        <w:tc>
          <w:tcPr>
            <w:tcW w:w="1314" w:type="dxa"/>
            <w:vAlign w:val="center"/>
          </w:tcPr>
          <w:p w14:paraId="49E5C2A3"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sz w:val="18"/>
                <w:szCs w:val="18"/>
              </w:rPr>
              <w:t>-</w:t>
            </w:r>
          </w:p>
        </w:tc>
        <w:tc>
          <w:tcPr>
            <w:tcW w:w="1087" w:type="dxa"/>
            <w:vAlign w:val="center"/>
          </w:tcPr>
          <w:p w14:paraId="0E68CFBE"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w:t>
            </w:r>
          </w:p>
        </w:tc>
        <w:tc>
          <w:tcPr>
            <w:tcW w:w="1117" w:type="dxa"/>
          </w:tcPr>
          <w:p w14:paraId="65F66E68"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13.106,38</w:t>
            </w:r>
          </w:p>
        </w:tc>
      </w:tr>
      <w:tr w:rsidR="00676A9B" w:rsidRPr="00676A9B" w14:paraId="29D168BA" w14:textId="77777777" w:rsidTr="00410A4B">
        <w:trPr>
          <w:jc w:val="center"/>
        </w:trPr>
        <w:tc>
          <w:tcPr>
            <w:tcW w:w="814" w:type="dxa"/>
            <w:vAlign w:val="center"/>
          </w:tcPr>
          <w:p w14:paraId="4203589E"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2021.</w:t>
            </w:r>
          </w:p>
        </w:tc>
        <w:tc>
          <w:tcPr>
            <w:tcW w:w="1085" w:type="dxa"/>
            <w:vAlign w:val="center"/>
          </w:tcPr>
          <w:p w14:paraId="156B7174"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9</w:t>
            </w:r>
          </w:p>
        </w:tc>
        <w:tc>
          <w:tcPr>
            <w:tcW w:w="1104" w:type="dxa"/>
            <w:vAlign w:val="center"/>
          </w:tcPr>
          <w:p w14:paraId="55EC30A0"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10</w:t>
            </w:r>
          </w:p>
        </w:tc>
        <w:tc>
          <w:tcPr>
            <w:tcW w:w="1097" w:type="dxa"/>
            <w:vAlign w:val="center"/>
          </w:tcPr>
          <w:p w14:paraId="611260E2"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4</w:t>
            </w:r>
          </w:p>
        </w:tc>
        <w:tc>
          <w:tcPr>
            <w:tcW w:w="1104" w:type="dxa"/>
            <w:vAlign w:val="center"/>
          </w:tcPr>
          <w:p w14:paraId="191BBA7C"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3</w:t>
            </w:r>
          </w:p>
        </w:tc>
        <w:tc>
          <w:tcPr>
            <w:tcW w:w="1315" w:type="dxa"/>
            <w:vAlign w:val="center"/>
          </w:tcPr>
          <w:p w14:paraId="57CDEE9A"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w:t>
            </w:r>
          </w:p>
        </w:tc>
        <w:tc>
          <w:tcPr>
            <w:tcW w:w="1429" w:type="dxa"/>
            <w:vAlign w:val="center"/>
          </w:tcPr>
          <w:p w14:paraId="124775B2"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26</w:t>
            </w:r>
          </w:p>
        </w:tc>
        <w:tc>
          <w:tcPr>
            <w:tcW w:w="1017" w:type="dxa"/>
            <w:vAlign w:val="center"/>
          </w:tcPr>
          <w:p w14:paraId="5A7AE8C8"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10.863,36</w:t>
            </w:r>
          </w:p>
        </w:tc>
        <w:tc>
          <w:tcPr>
            <w:tcW w:w="1314" w:type="dxa"/>
            <w:vAlign w:val="center"/>
          </w:tcPr>
          <w:p w14:paraId="3841268F"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sz w:val="18"/>
                <w:szCs w:val="18"/>
              </w:rPr>
              <w:t>-</w:t>
            </w:r>
          </w:p>
        </w:tc>
        <w:tc>
          <w:tcPr>
            <w:tcW w:w="1087" w:type="dxa"/>
            <w:vAlign w:val="center"/>
          </w:tcPr>
          <w:p w14:paraId="367116FD"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w:t>
            </w:r>
          </w:p>
        </w:tc>
        <w:tc>
          <w:tcPr>
            <w:tcW w:w="1117" w:type="dxa"/>
          </w:tcPr>
          <w:p w14:paraId="2B8BB5FD"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10.863,36</w:t>
            </w:r>
          </w:p>
        </w:tc>
      </w:tr>
      <w:tr w:rsidR="00676A9B" w:rsidRPr="00676A9B" w14:paraId="6150C0E8" w14:textId="77777777" w:rsidTr="00410A4B">
        <w:trPr>
          <w:jc w:val="center"/>
        </w:trPr>
        <w:tc>
          <w:tcPr>
            <w:tcW w:w="814" w:type="dxa"/>
            <w:vAlign w:val="center"/>
          </w:tcPr>
          <w:p w14:paraId="61AB7BCA"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2022.</w:t>
            </w:r>
          </w:p>
        </w:tc>
        <w:tc>
          <w:tcPr>
            <w:tcW w:w="1085" w:type="dxa"/>
            <w:vAlign w:val="center"/>
          </w:tcPr>
          <w:p w14:paraId="0AB8D485"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12</w:t>
            </w:r>
          </w:p>
        </w:tc>
        <w:tc>
          <w:tcPr>
            <w:tcW w:w="1104" w:type="dxa"/>
            <w:vAlign w:val="center"/>
          </w:tcPr>
          <w:p w14:paraId="6FBDA783"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12</w:t>
            </w:r>
          </w:p>
        </w:tc>
        <w:tc>
          <w:tcPr>
            <w:tcW w:w="1097" w:type="dxa"/>
            <w:vAlign w:val="center"/>
          </w:tcPr>
          <w:p w14:paraId="59D04B7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4</w:t>
            </w:r>
          </w:p>
        </w:tc>
        <w:tc>
          <w:tcPr>
            <w:tcW w:w="1104" w:type="dxa"/>
            <w:vAlign w:val="center"/>
          </w:tcPr>
          <w:p w14:paraId="26EB1BD3"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6</w:t>
            </w:r>
          </w:p>
        </w:tc>
        <w:tc>
          <w:tcPr>
            <w:tcW w:w="1315" w:type="dxa"/>
            <w:vAlign w:val="center"/>
          </w:tcPr>
          <w:p w14:paraId="2497251A"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w:t>
            </w:r>
          </w:p>
        </w:tc>
        <w:tc>
          <w:tcPr>
            <w:tcW w:w="1429" w:type="dxa"/>
            <w:vAlign w:val="center"/>
          </w:tcPr>
          <w:p w14:paraId="557719CE"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34</w:t>
            </w:r>
          </w:p>
        </w:tc>
        <w:tc>
          <w:tcPr>
            <w:tcW w:w="1017" w:type="dxa"/>
            <w:vAlign w:val="center"/>
          </w:tcPr>
          <w:p w14:paraId="5525D8FD"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sz w:val="18"/>
                <w:szCs w:val="18"/>
              </w:rPr>
              <w:t>13.282,24</w:t>
            </w:r>
          </w:p>
        </w:tc>
        <w:tc>
          <w:tcPr>
            <w:tcW w:w="1314" w:type="dxa"/>
            <w:vAlign w:val="center"/>
          </w:tcPr>
          <w:p w14:paraId="280243FE" w14:textId="77777777" w:rsidR="00676A9B" w:rsidRPr="00676A9B" w:rsidRDefault="00676A9B" w:rsidP="00676A9B">
            <w:pPr>
              <w:spacing w:before="100" w:beforeAutospacing="1" w:after="100" w:afterAutospacing="1"/>
              <w:jc w:val="center"/>
              <w:rPr>
                <w:rFonts w:ascii="Arial" w:eastAsia="Calibri" w:hAnsi="Arial" w:cs="Arial"/>
                <w:bCs/>
                <w:sz w:val="16"/>
                <w:szCs w:val="16"/>
              </w:rPr>
            </w:pPr>
            <w:r w:rsidRPr="00676A9B">
              <w:rPr>
                <w:rFonts w:ascii="Arial" w:eastAsia="Calibri" w:hAnsi="Arial" w:cs="Arial"/>
                <w:bCs/>
                <w:sz w:val="16"/>
                <w:szCs w:val="16"/>
              </w:rPr>
              <w:t>26 (od 11 do 35)*</w:t>
            </w:r>
          </w:p>
          <w:p w14:paraId="79F73831" w14:textId="77777777" w:rsidR="00676A9B" w:rsidRPr="00676A9B" w:rsidRDefault="00676A9B" w:rsidP="00676A9B">
            <w:pPr>
              <w:spacing w:before="100" w:beforeAutospacing="1" w:after="100" w:afterAutospacing="1"/>
              <w:jc w:val="center"/>
              <w:rPr>
                <w:rFonts w:ascii="Arial" w:eastAsia="Calibri" w:hAnsi="Arial" w:cs="Arial"/>
                <w:bCs/>
                <w:sz w:val="16"/>
                <w:szCs w:val="16"/>
              </w:rPr>
            </w:pPr>
            <w:r w:rsidRPr="00676A9B">
              <w:rPr>
                <w:rFonts w:ascii="Arial" w:eastAsia="Calibri" w:hAnsi="Arial" w:cs="Arial"/>
                <w:bCs/>
                <w:sz w:val="16"/>
                <w:szCs w:val="16"/>
              </w:rPr>
              <w:t>(od travnja 2022.)</w:t>
            </w:r>
          </w:p>
        </w:tc>
        <w:tc>
          <w:tcPr>
            <w:tcW w:w="1087" w:type="dxa"/>
            <w:vAlign w:val="center"/>
          </w:tcPr>
          <w:p w14:paraId="1C33B699" w14:textId="77777777" w:rsidR="00676A9B" w:rsidRPr="00676A9B" w:rsidRDefault="00676A9B" w:rsidP="00676A9B">
            <w:pPr>
              <w:spacing w:before="100" w:beforeAutospacing="1" w:after="100" w:afterAutospacing="1"/>
              <w:jc w:val="right"/>
              <w:rPr>
                <w:rFonts w:ascii="Arial" w:eastAsia="Calibri" w:hAnsi="Arial" w:cs="Arial"/>
                <w:bCs/>
                <w:sz w:val="18"/>
                <w:szCs w:val="18"/>
              </w:rPr>
            </w:pPr>
            <w:r w:rsidRPr="00676A9B">
              <w:rPr>
                <w:rFonts w:ascii="Arial" w:eastAsia="Calibri" w:hAnsi="Arial" w:cs="Arial"/>
                <w:bCs/>
                <w:sz w:val="18"/>
                <w:szCs w:val="18"/>
              </w:rPr>
              <w:t>4.559,03</w:t>
            </w:r>
          </w:p>
        </w:tc>
        <w:tc>
          <w:tcPr>
            <w:tcW w:w="1117" w:type="dxa"/>
            <w:vAlign w:val="center"/>
          </w:tcPr>
          <w:p w14:paraId="06F0DCBC" w14:textId="77777777" w:rsidR="00676A9B" w:rsidRPr="00676A9B" w:rsidRDefault="00676A9B" w:rsidP="00676A9B">
            <w:pPr>
              <w:spacing w:before="100" w:beforeAutospacing="1" w:after="100" w:afterAutospacing="1"/>
              <w:jc w:val="right"/>
              <w:rPr>
                <w:rFonts w:ascii="Arial" w:eastAsia="Calibri" w:hAnsi="Arial" w:cs="Arial"/>
                <w:bCs/>
                <w:sz w:val="18"/>
                <w:szCs w:val="18"/>
              </w:rPr>
            </w:pPr>
            <w:r w:rsidRPr="00676A9B">
              <w:rPr>
                <w:rFonts w:ascii="Arial" w:eastAsia="Calibri" w:hAnsi="Arial" w:cs="Arial"/>
                <w:sz w:val="18"/>
                <w:szCs w:val="18"/>
              </w:rPr>
              <w:t>17.841,26</w:t>
            </w:r>
          </w:p>
        </w:tc>
      </w:tr>
      <w:tr w:rsidR="00676A9B" w:rsidRPr="00676A9B" w14:paraId="5353FBFE" w14:textId="77777777" w:rsidTr="00410A4B">
        <w:trPr>
          <w:jc w:val="center"/>
        </w:trPr>
        <w:tc>
          <w:tcPr>
            <w:tcW w:w="814" w:type="dxa"/>
            <w:vAlign w:val="center"/>
          </w:tcPr>
          <w:p w14:paraId="72056F5A"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2023.</w:t>
            </w:r>
          </w:p>
        </w:tc>
        <w:tc>
          <w:tcPr>
            <w:tcW w:w="1085" w:type="dxa"/>
            <w:vAlign w:val="center"/>
          </w:tcPr>
          <w:p w14:paraId="558DBF30"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10</w:t>
            </w:r>
          </w:p>
        </w:tc>
        <w:tc>
          <w:tcPr>
            <w:tcW w:w="1104" w:type="dxa"/>
            <w:vAlign w:val="center"/>
          </w:tcPr>
          <w:p w14:paraId="39EC791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13</w:t>
            </w:r>
          </w:p>
        </w:tc>
        <w:tc>
          <w:tcPr>
            <w:tcW w:w="1097" w:type="dxa"/>
            <w:vAlign w:val="center"/>
          </w:tcPr>
          <w:p w14:paraId="3FED58D8"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4</w:t>
            </w:r>
          </w:p>
        </w:tc>
        <w:tc>
          <w:tcPr>
            <w:tcW w:w="1104" w:type="dxa"/>
            <w:vAlign w:val="center"/>
          </w:tcPr>
          <w:p w14:paraId="0F761DE1"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11</w:t>
            </w:r>
          </w:p>
        </w:tc>
        <w:tc>
          <w:tcPr>
            <w:tcW w:w="1315" w:type="dxa"/>
            <w:vAlign w:val="center"/>
          </w:tcPr>
          <w:p w14:paraId="4164F82F"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w:t>
            </w:r>
          </w:p>
        </w:tc>
        <w:tc>
          <w:tcPr>
            <w:tcW w:w="1429" w:type="dxa"/>
            <w:vAlign w:val="center"/>
          </w:tcPr>
          <w:p w14:paraId="59920CCC"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38</w:t>
            </w:r>
          </w:p>
        </w:tc>
        <w:tc>
          <w:tcPr>
            <w:tcW w:w="1017" w:type="dxa"/>
            <w:vAlign w:val="center"/>
          </w:tcPr>
          <w:p w14:paraId="5301D343"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16.782,35</w:t>
            </w:r>
          </w:p>
        </w:tc>
        <w:tc>
          <w:tcPr>
            <w:tcW w:w="1314" w:type="dxa"/>
            <w:vAlign w:val="center"/>
          </w:tcPr>
          <w:p w14:paraId="0812936D" w14:textId="77777777" w:rsidR="00676A9B" w:rsidRPr="00676A9B" w:rsidRDefault="00676A9B" w:rsidP="00676A9B">
            <w:pPr>
              <w:spacing w:before="100" w:beforeAutospacing="1" w:after="100" w:afterAutospacing="1"/>
              <w:jc w:val="center"/>
              <w:rPr>
                <w:rFonts w:ascii="Arial" w:eastAsia="Calibri" w:hAnsi="Arial" w:cs="Arial"/>
                <w:bCs/>
                <w:sz w:val="16"/>
                <w:szCs w:val="16"/>
              </w:rPr>
            </w:pPr>
            <w:r w:rsidRPr="00676A9B">
              <w:rPr>
                <w:rFonts w:ascii="Arial" w:eastAsia="Calibri" w:hAnsi="Arial" w:cs="Arial"/>
                <w:bCs/>
                <w:sz w:val="16"/>
                <w:szCs w:val="16"/>
              </w:rPr>
              <w:t>33 (od 18 do 49)*</w:t>
            </w:r>
          </w:p>
          <w:p w14:paraId="4BAE6728" w14:textId="77777777" w:rsidR="00676A9B" w:rsidRPr="00676A9B" w:rsidRDefault="00676A9B" w:rsidP="00676A9B">
            <w:pPr>
              <w:spacing w:before="100" w:beforeAutospacing="1" w:after="100" w:afterAutospacing="1"/>
              <w:jc w:val="center"/>
              <w:rPr>
                <w:rFonts w:ascii="Arial" w:eastAsia="Calibri" w:hAnsi="Arial" w:cs="Arial"/>
                <w:bCs/>
                <w:sz w:val="16"/>
                <w:szCs w:val="16"/>
              </w:rPr>
            </w:pPr>
            <w:r w:rsidRPr="00676A9B">
              <w:rPr>
                <w:rFonts w:ascii="Arial" w:eastAsia="Calibri" w:hAnsi="Arial" w:cs="Arial"/>
                <w:bCs/>
                <w:sz w:val="16"/>
                <w:szCs w:val="16"/>
              </w:rPr>
              <w:t>(od travnja 2022.)</w:t>
            </w:r>
          </w:p>
        </w:tc>
        <w:tc>
          <w:tcPr>
            <w:tcW w:w="1087" w:type="dxa"/>
            <w:vAlign w:val="center"/>
          </w:tcPr>
          <w:p w14:paraId="7CB849F6" w14:textId="77777777" w:rsidR="00676A9B" w:rsidRPr="00676A9B" w:rsidRDefault="00676A9B" w:rsidP="00676A9B">
            <w:pPr>
              <w:spacing w:before="100" w:beforeAutospacing="1" w:after="100" w:afterAutospacing="1"/>
              <w:jc w:val="right"/>
              <w:rPr>
                <w:rFonts w:ascii="Arial" w:eastAsia="Calibri" w:hAnsi="Arial" w:cs="Arial"/>
                <w:bCs/>
                <w:sz w:val="18"/>
                <w:szCs w:val="18"/>
              </w:rPr>
            </w:pPr>
            <w:r w:rsidRPr="00676A9B">
              <w:rPr>
                <w:rFonts w:ascii="Arial" w:eastAsia="Calibri" w:hAnsi="Arial" w:cs="Arial"/>
                <w:bCs/>
                <w:sz w:val="18"/>
                <w:szCs w:val="18"/>
              </w:rPr>
              <w:t>7.853,34</w:t>
            </w:r>
          </w:p>
        </w:tc>
        <w:tc>
          <w:tcPr>
            <w:tcW w:w="1117" w:type="dxa"/>
            <w:vAlign w:val="center"/>
          </w:tcPr>
          <w:p w14:paraId="44FA59CE" w14:textId="77777777" w:rsidR="00676A9B" w:rsidRPr="00676A9B" w:rsidRDefault="00676A9B" w:rsidP="00676A9B">
            <w:pPr>
              <w:spacing w:before="100" w:beforeAutospacing="1" w:after="100" w:afterAutospacing="1"/>
              <w:jc w:val="right"/>
              <w:rPr>
                <w:rFonts w:ascii="Arial" w:eastAsia="Calibri" w:hAnsi="Arial" w:cs="Arial"/>
                <w:bCs/>
                <w:sz w:val="18"/>
                <w:szCs w:val="18"/>
              </w:rPr>
            </w:pPr>
            <w:r w:rsidRPr="00676A9B">
              <w:rPr>
                <w:rFonts w:ascii="Arial" w:eastAsia="Calibri" w:hAnsi="Arial" w:cs="Arial"/>
                <w:bCs/>
                <w:sz w:val="18"/>
                <w:szCs w:val="18"/>
              </w:rPr>
              <w:t>24.635,69</w:t>
            </w:r>
          </w:p>
        </w:tc>
      </w:tr>
      <w:tr w:rsidR="00676A9B" w:rsidRPr="00676A9B" w14:paraId="0EACAAC2" w14:textId="77777777" w:rsidTr="00410A4B">
        <w:trPr>
          <w:jc w:val="center"/>
        </w:trPr>
        <w:tc>
          <w:tcPr>
            <w:tcW w:w="814" w:type="dxa"/>
            <w:vAlign w:val="center"/>
          </w:tcPr>
          <w:p w14:paraId="57F7160A"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2024.</w:t>
            </w:r>
          </w:p>
        </w:tc>
        <w:tc>
          <w:tcPr>
            <w:tcW w:w="1085" w:type="dxa"/>
            <w:vAlign w:val="center"/>
          </w:tcPr>
          <w:p w14:paraId="3D156483"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12</w:t>
            </w:r>
          </w:p>
        </w:tc>
        <w:tc>
          <w:tcPr>
            <w:tcW w:w="1104" w:type="dxa"/>
            <w:vAlign w:val="center"/>
          </w:tcPr>
          <w:p w14:paraId="78BDB81F"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12</w:t>
            </w:r>
          </w:p>
        </w:tc>
        <w:tc>
          <w:tcPr>
            <w:tcW w:w="1097" w:type="dxa"/>
            <w:vAlign w:val="center"/>
          </w:tcPr>
          <w:p w14:paraId="214D88DB"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6</w:t>
            </w:r>
          </w:p>
        </w:tc>
        <w:tc>
          <w:tcPr>
            <w:tcW w:w="1104" w:type="dxa"/>
            <w:vAlign w:val="center"/>
          </w:tcPr>
          <w:p w14:paraId="3687FC52"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8</w:t>
            </w:r>
          </w:p>
        </w:tc>
        <w:tc>
          <w:tcPr>
            <w:tcW w:w="1315" w:type="dxa"/>
            <w:vAlign w:val="center"/>
          </w:tcPr>
          <w:p w14:paraId="19E7A990" w14:textId="77777777" w:rsidR="00676A9B" w:rsidRPr="00676A9B" w:rsidRDefault="00676A9B" w:rsidP="00676A9B">
            <w:pPr>
              <w:spacing w:before="100" w:beforeAutospacing="1" w:after="100" w:afterAutospacing="1"/>
              <w:jc w:val="center"/>
              <w:rPr>
                <w:rFonts w:ascii="Arial" w:eastAsia="Calibri" w:hAnsi="Arial" w:cs="Arial"/>
                <w:bCs/>
                <w:sz w:val="18"/>
                <w:szCs w:val="18"/>
              </w:rPr>
            </w:pPr>
            <w:r w:rsidRPr="00676A9B">
              <w:rPr>
                <w:rFonts w:ascii="Arial" w:eastAsia="Calibri" w:hAnsi="Arial" w:cs="Arial"/>
                <w:bCs/>
                <w:sz w:val="18"/>
                <w:szCs w:val="18"/>
              </w:rPr>
              <w:t>-</w:t>
            </w:r>
          </w:p>
        </w:tc>
        <w:tc>
          <w:tcPr>
            <w:tcW w:w="1429" w:type="dxa"/>
            <w:vAlign w:val="center"/>
          </w:tcPr>
          <w:p w14:paraId="6760AFA2" w14:textId="0F885CED" w:rsidR="00676A9B" w:rsidRPr="00676A9B" w:rsidRDefault="007A6304" w:rsidP="00676A9B">
            <w:pPr>
              <w:spacing w:before="100" w:beforeAutospacing="1" w:after="100" w:afterAutospacing="1"/>
              <w:jc w:val="center"/>
              <w:rPr>
                <w:rFonts w:ascii="Arial" w:eastAsia="Calibri" w:hAnsi="Arial" w:cs="Arial"/>
                <w:bCs/>
                <w:sz w:val="18"/>
                <w:szCs w:val="18"/>
              </w:rPr>
            </w:pPr>
            <w:r>
              <w:rPr>
                <w:rFonts w:ascii="Arial" w:eastAsia="Calibri" w:hAnsi="Arial" w:cs="Arial"/>
                <w:bCs/>
                <w:sz w:val="18"/>
                <w:szCs w:val="18"/>
              </w:rPr>
              <w:t>38</w:t>
            </w:r>
          </w:p>
        </w:tc>
        <w:tc>
          <w:tcPr>
            <w:tcW w:w="1017" w:type="dxa"/>
            <w:vAlign w:val="center"/>
          </w:tcPr>
          <w:p w14:paraId="033ECE25" w14:textId="77777777" w:rsidR="00676A9B" w:rsidRPr="00676A9B" w:rsidRDefault="00676A9B" w:rsidP="00676A9B">
            <w:pPr>
              <w:spacing w:before="100" w:beforeAutospacing="1" w:after="100" w:afterAutospacing="1"/>
              <w:jc w:val="center"/>
              <w:rPr>
                <w:rFonts w:ascii="Arial" w:eastAsia="Calibri" w:hAnsi="Arial" w:cs="Arial"/>
                <w:sz w:val="18"/>
                <w:szCs w:val="18"/>
              </w:rPr>
            </w:pPr>
            <w:r w:rsidRPr="00676A9B">
              <w:rPr>
                <w:rFonts w:ascii="Arial" w:eastAsia="Calibri" w:hAnsi="Arial" w:cs="Arial"/>
                <w:sz w:val="18"/>
                <w:szCs w:val="18"/>
              </w:rPr>
              <w:t>17.843,93</w:t>
            </w:r>
          </w:p>
        </w:tc>
        <w:tc>
          <w:tcPr>
            <w:tcW w:w="1314" w:type="dxa"/>
            <w:vAlign w:val="center"/>
          </w:tcPr>
          <w:p w14:paraId="1B771153" w14:textId="365A15A4" w:rsidR="00676A9B" w:rsidRPr="00676A9B" w:rsidRDefault="00CD0846" w:rsidP="00676A9B">
            <w:pPr>
              <w:spacing w:before="100" w:beforeAutospacing="1" w:after="100" w:afterAutospacing="1"/>
              <w:jc w:val="center"/>
              <w:rPr>
                <w:rFonts w:ascii="Arial" w:eastAsia="Calibri" w:hAnsi="Arial" w:cs="Arial"/>
                <w:bCs/>
                <w:sz w:val="16"/>
                <w:szCs w:val="16"/>
              </w:rPr>
            </w:pPr>
            <w:r>
              <w:rPr>
                <w:rFonts w:ascii="Arial" w:eastAsia="Calibri" w:hAnsi="Arial" w:cs="Arial"/>
                <w:bCs/>
                <w:sz w:val="16"/>
                <w:szCs w:val="16"/>
              </w:rPr>
              <w:t>p</w:t>
            </w:r>
            <w:r w:rsidR="00676A9B" w:rsidRPr="00676A9B">
              <w:rPr>
                <w:rFonts w:ascii="Arial" w:eastAsia="Calibri" w:hAnsi="Arial" w:cs="Arial"/>
                <w:bCs/>
                <w:sz w:val="16"/>
                <w:szCs w:val="16"/>
              </w:rPr>
              <w:t xml:space="preserve">rosjek 43 (od 21 do </w:t>
            </w:r>
            <w:r>
              <w:rPr>
                <w:rFonts w:ascii="Arial" w:eastAsia="Calibri" w:hAnsi="Arial" w:cs="Arial"/>
                <w:bCs/>
                <w:sz w:val="16"/>
                <w:szCs w:val="16"/>
              </w:rPr>
              <w:t>60</w:t>
            </w:r>
            <w:r w:rsidR="00676A9B" w:rsidRPr="00676A9B">
              <w:rPr>
                <w:rFonts w:ascii="Arial" w:eastAsia="Calibri" w:hAnsi="Arial" w:cs="Arial"/>
                <w:bCs/>
                <w:sz w:val="16"/>
                <w:szCs w:val="16"/>
              </w:rPr>
              <w:t>)</w:t>
            </w:r>
          </w:p>
        </w:tc>
        <w:tc>
          <w:tcPr>
            <w:tcW w:w="1087" w:type="dxa"/>
            <w:vAlign w:val="center"/>
          </w:tcPr>
          <w:p w14:paraId="41E05341" w14:textId="77777777" w:rsidR="00676A9B" w:rsidRPr="00676A9B" w:rsidRDefault="00676A9B" w:rsidP="00676A9B">
            <w:pPr>
              <w:spacing w:before="100" w:beforeAutospacing="1" w:after="100" w:afterAutospacing="1"/>
              <w:jc w:val="right"/>
              <w:rPr>
                <w:rFonts w:ascii="Arial" w:eastAsia="Calibri" w:hAnsi="Arial" w:cs="Arial"/>
                <w:bCs/>
                <w:sz w:val="18"/>
                <w:szCs w:val="18"/>
              </w:rPr>
            </w:pPr>
            <w:r w:rsidRPr="00676A9B">
              <w:rPr>
                <w:rFonts w:ascii="Arial" w:eastAsia="Calibri" w:hAnsi="Arial" w:cs="Arial"/>
                <w:bCs/>
                <w:sz w:val="18"/>
                <w:szCs w:val="18"/>
              </w:rPr>
              <w:t>10.220,35</w:t>
            </w:r>
          </w:p>
        </w:tc>
        <w:tc>
          <w:tcPr>
            <w:tcW w:w="1117" w:type="dxa"/>
            <w:vAlign w:val="center"/>
          </w:tcPr>
          <w:p w14:paraId="55E6B4A3" w14:textId="77777777" w:rsidR="00676A9B" w:rsidRPr="00676A9B" w:rsidRDefault="00676A9B" w:rsidP="00676A9B">
            <w:pPr>
              <w:spacing w:before="100" w:beforeAutospacing="1" w:after="100" w:afterAutospacing="1"/>
              <w:jc w:val="right"/>
              <w:rPr>
                <w:rFonts w:ascii="Arial" w:eastAsia="Calibri" w:hAnsi="Arial" w:cs="Arial"/>
                <w:bCs/>
                <w:sz w:val="18"/>
                <w:szCs w:val="18"/>
              </w:rPr>
            </w:pPr>
            <w:r w:rsidRPr="00676A9B">
              <w:rPr>
                <w:rFonts w:ascii="Arial" w:eastAsia="Calibri" w:hAnsi="Arial" w:cs="Arial"/>
                <w:bCs/>
                <w:sz w:val="18"/>
                <w:szCs w:val="18"/>
              </w:rPr>
              <w:t>28.064,28</w:t>
            </w:r>
          </w:p>
        </w:tc>
      </w:tr>
      <w:tr w:rsidR="00CD0846" w:rsidRPr="00676A9B" w14:paraId="06AC3F73" w14:textId="77777777" w:rsidTr="00410A4B">
        <w:trPr>
          <w:jc w:val="center"/>
        </w:trPr>
        <w:tc>
          <w:tcPr>
            <w:tcW w:w="814" w:type="dxa"/>
            <w:vAlign w:val="center"/>
          </w:tcPr>
          <w:p w14:paraId="5DACD0AB" w14:textId="44DF6EC4" w:rsidR="00CD0846" w:rsidRPr="00676A9B" w:rsidRDefault="00CD0846" w:rsidP="00CD0846">
            <w:pPr>
              <w:spacing w:before="100" w:beforeAutospacing="1" w:after="100" w:afterAutospacing="1"/>
              <w:jc w:val="center"/>
              <w:rPr>
                <w:rFonts w:ascii="Arial" w:eastAsia="Calibri" w:hAnsi="Arial" w:cs="Arial"/>
                <w:bCs/>
                <w:sz w:val="18"/>
                <w:szCs w:val="18"/>
              </w:rPr>
            </w:pPr>
            <w:r>
              <w:rPr>
                <w:rFonts w:ascii="Arial" w:eastAsia="Calibri" w:hAnsi="Arial" w:cs="Arial"/>
                <w:bCs/>
                <w:sz w:val="18"/>
                <w:szCs w:val="18"/>
              </w:rPr>
              <w:t>2025.</w:t>
            </w:r>
          </w:p>
        </w:tc>
        <w:tc>
          <w:tcPr>
            <w:tcW w:w="1085" w:type="dxa"/>
            <w:vAlign w:val="center"/>
          </w:tcPr>
          <w:p w14:paraId="49CE0AEF" w14:textId="42B46646" w:rsidR="00CD0846" w:rsidRPr="00676A9B" w:rsidRDefault="00CD0846" w:rsidP="00CD0846">
            <w:pPr>
              <w:spacing w:before="100" w:beforeAutospacing="1" w:after="100" w:afterAutospacing="1"/>
              <w:jc w:val="center"/>
              <w:rPr>
                <w:rFonts w:ascii="Arial" w:eastAsia="Calibri" w:hAnsi="Arial" w:cs="Arial"/>
                <w:bCs/>
                <w:sz w:val="18"/>
                <w:szCs w:val="18"/>
              </w:rPr>
            </w:pPr>
            <w:r>
              <w:rPr>
                <w:rFonts w:ascii="Arial" w:eastAsia="Calibri" w:hAnsi="Arial" w:cs="Arial"/>
                <w:bCs/>
                <w:sz w:val="18"/>
                <w:szCs w:val="18"/>
              </w:rPr>
              <w:t>10</w:t>
            </w:r>
          </w:p>
        </w:tc>
        <w:tc>
          <w:tcPr>
            <w:tcW w:w="1104" w:type="dxa"/>
            <w:vAlign w:val="center"/>
          </w:tcPr>
          <w:p w14:paraId="0086525D" w14:textId="1311B25F" w:rsidR="00CD0846" w:rsidRPr="00676A9B" w:rsidRDefault="00CD0846" w:rsidP="00CD0846">
            <w:pPr>
              <w:spacing w:before="100" w:beforeAutospacing="1" w:after="100" w:afterAutospacing="1"/>
              <w:jc w:val="center"/>
              <w:rPr>
                <w:rFonts w:ascii="Arial" w:eastAsia="Calibri" w:hAnsi="Arial" w:cs="Arial"/>
                <w:bCs/>
                <w:sz w:val="18"/>
                <w:szCs w:val="18"/>
              </w:rPr>
            </w:pPr>
            <w:r>
              <w:rPr>
                <w:rFonts w:ascii="Arial" w:eastAsia="Calibri" w:hAnsi="Arial" w:cs="Arial"/>
                <w:bCs/>
                <w:sz w:val="18"/>
                <w:szCs w:val="18"/>
              </w:rPr>
              <w:t>10</w:t>
            </w:r>
          </w:p>
        </w:tc>
        <w:tc>
          <w:tcPr>
            <w:tcW w:w="1097" w:type="dxa"/>
            <w:vAlign w:val="center"/>
          </w:tcPr>
          <w:p w14:paraId="3C125D9A" w14:textId="28F494D2" w:rsidR="00CD0846" w:rsidRPr="00676A9B" w:rsidRDefault="00CD0846" w:rsidP="00CD0846">
            <w:pPr>
              <w:spacing w:before="100" w:beforeAutospacing="1" w:after="100" w:afterAutospacing="1"/>
              <w:jc w:val="center"/>
              <w:rPr>
                <w:rFonts w:ascii="Arial" w:eastAsia="Calibri" w:hAnsi="Arial" w:cs="Arial"/>
                <w:bCs/>
                <w:sz w:val="18"/>
                <w:szCs w:val="18"/>
              </w:rPr>
            </w:pPr>
            <w:r>
              <w:rPr>
                <w:rFonts w:ascii="Arial" w:eastAsia="Calibri" w:hAnsi="Arial" w:cs="Arial"/>
                <w:bCs/>
                <w:sz w:val="18"/>
                <w:szCs w:val="18"/>
              </w:rPr>
              <w:t>4</w:t>
            </w:r>
          </w:p>
        </w:tc>
        <w:tc>
          <w:tcPr>
            <w:tcW w:w="1104" w:type="dxa"/>
            <w:vAlign w:val="center"/>
          </w:tcPr>
          <w:p w14:paraId="279DB00B" w14:textId="49FDF981" w:rsidR="00CD0846" w:rsidRPr="00676A9B" w:rsidRDefault="00CD0846" w:rsidP="00CD0846">
            <w:pPr>
              <w:spacing w:before="100" w:beforeAutospacing="1" w:after="100" w:afterAutospacing="1"/>
              <w:jc w:val="center"/>
              <w:rPr>
                <w:rFonts w:ascii="Arial" w:eastAsia="Calibri" w:hAnsi="Arial" w:cs="Arial"/>
                <w:bCs/>
                <w:sz w:val="18"/>
                <w:szCs w:val="18"/>
              </w:rPr>
            </w:pPr>
            <w:r>
              <w:rPr>
                <w:rFonts w:ascii="Arial" w:eastAsia="Calibri" w:hAnsi="Arial" w:cs="Arial"/>
                <w:bCs/>
                <w:sz w:val="18"/>
                <w:szCs w:val="18"/>
              </w:rPr>
              <w:t>5</w:t>
            </w:r>
          </w:p>
        </w:tc>
        <w:tc>
          <w:tcPr>
            <w:tcW w:w="1315" w:type="dxa"/>
            <w:vAlign w:val="center"/>
          </w:tcPr>
          <w:p w14:paraId="677765CB" w14:textId="2F59B310" w:rsidR="00CD0846" w:rsidRPr="00676A9B" w:rsidRDefault="00CD0846" w:rsidP="00CD0846">
            <w:pPr>
              <w:spacing w:before="100" w:beforeAutospacing="1" w:after="100" w:afterAutospacing="1"/>
              <w:jc w:val="center"/>
              <w:rPr>
                <w:rFonts w:ascii="Arial" w:eastAsia="Calibri" w:hAnsi="Arial" w:cs="Arial"/>
                <w:bCs/>
                <w:sz w:val="18"/>
                <w:szCs w:val="18"/>
              </w:rPr>
            </w:pPr>
            <w:r>
              <w:rPr>
                <w:rFonts w:ascii="Arial" w:eastAsia="Calibri" w:hAnsi="Arial" w:cs="Arial"/>
                <w:bCs/>
                <w:sz w:val="18"/>
                <w:szCs w:val="18"/>
              </w:rPr>
              <w:t>-</w:t>
            </w:r>
          </w:p>
        </w:tc>
        <w:tc>
          <w:tcPr>
            <w:tcW w:w="1429" w:type="dxa"/>
            <w:vAlign w:val="center"/>
          </w:tcPr>
          <w:p w14:paraId="6A8907BE" w14:textId="628B260A" w:rsidR="00CD0846" w:rsidRPr="00676A9B" w:rsidRDefault="00CD0846" w:rsidP="00CD0846">
            <w:pPr>
              <w:spacing w:before="100" w:beforeAutospacing="1" w:after="100" w:afterAutospacing="1"/>
              <w:jc w:val="center"/>
              <w:rPr>
                <w:rFonts w:ascii="Arial" w:eastAsia="Calibri" w:hAnsi="Arial" w:cs="Arial"/>
                <w:bCs/>
                <w:sz w:val="18"/>
                <w:szCs w:val="18"/>
              </w:rPr>
            </w:pPr>
            <w:r>
              <w:rPr>
                <w:rFonts w:ascii="Arial" w:eastAsia="Calibri" w:hAnsi="Arial" w:cs="Arial"/>
                <w:bCs/>
                <w:sz w:val="18"/>
                <w:szCs w:val="18"/>
              </w:rPr>
              <w:t>29</w:t>
            </w:r>
          </w:p>
        </w:tc>
        <w:tc>
          <w:tcPr>
            <w:tcW w:w="1017" w:type="dxa"/>
            <w:vAlign w:val="center"/>
          </w:tcPr>
          <w:p w14:paraId="25FAEC8D" w14:textId="12BB97C3" w:rsidR="00CD0846" w:rsidRPr="00676A9B" w:rsidRDefault="00CD0846" w:rsidP="00CD0846">
            <w:pPr>
              <w:spacing w:before="100" w:beforeAutospacing="1" w:after="100" w:afterAutospacing="1"/>
              <w:jc w:val="center"/>
              <w:rPr>
                <w:rFonts w:ascii="Arial" w:eastAsia="Calibri" w:hAnsi="Arial" w:cs="Arial"/>
                <w:sz w:val="18"/>
                <w:szCs w:val="18"/>
              </w:rPr>
            </w:pPr>
            <w:r>
              <w:rPr>
                <w:rFonts w:ascii="Arial" w:eastAsia="Calibri" w:hAnsi="Arial" w:cs="Arial"/>
                <w:sz w:val="18"/>
                <w:szCs w:val="18"/>
              </w:rPr>
              <w:t>13.009,06</w:t>
            </w:r>
          </w:p>
        </w:tc>
        <w:tc>
          <w:tcPr>
            <w:tcW w:w="1314" w:type="dxa"/>
            <w:vAlign w:val="center"/>
          </w:tcPr>
          <w:p w14:paraId="26519F9C" w14:textId="126A65F9" w:rsidR="00CD0846" w:rsidRPr="00676A9B" w:rsidRDefault="00CD0846" w:rsidP="00CD0846">
            <w:pPr>
              <w:spacing w:before="100" w:beforeAutospacing="1" w:after="100" w:afterAutospacing="1"/>
              <w:jc w:val="center"/>
              <w:rPr>
                <w:rFonts w:ascii="Arial" w:eastAsia="Calibri" w:hAnsi="Arial" w:cs="Arial"/>
                <w:bCs/>
                <w:sz w:val="16"/>
                <w:szCs w:val="16"/>
              </w:rPr>
            </w:pPr>
            <w:r>
              <w:rPr>
                <w:rFonts w:ascii="Arial" w:eastAsia="Calibri" w:hAnsi="Arial" w:cs="Arial"/>
                <w:bCs/>
                <w:sz w:val="16"/>
                <w:szCs w:val="16"/>
              </w:rPr>
              <w:t>p</w:t>
            </w:r>
            <w:r w:rsidRPr="00676A9B">
              <w:rPr>
                <w:rFonts w:ascii="Arial" w:eastAsia="Calibri" w:hAnsi="Arial" w:cs="Arial"/>
                <w:bCs/>
                <w:sz w:val="16"/>
                <w:szCs w:val="16"/>
              </w:rPr>
              <w:t xml:space="preserve">rosjek </w:t>
            </w:r>
            <w:r>
              <w:rPr>
                <w:rFonts w:ascii="Arial" w:eastAsia="Calibri" w:hAnsi="Arial" w:cs="Arial"/>
                <w:bCs/>
                <w:sz w:val="16"/>
                <w:szCs w:val="16"/>
              </w:rPr>
              <w:t>38</w:t>
            </w:r>
            <w:r w:rsidRPr="00676A9B">
              <w:rPr>
                <w:rFonts w:ascii="Arial" w:eastAsia="Calibri" w:hAnsi="Arial" w:cs="Arial"/>
                <w:bCs/>
                <w:sz w:val="16"/>
                <w:szCs w:val="16"/>
              </w:rPr>
              <w:t xml:space="preserve"> (od 2</w:t>
            </w:r>
            <w:r>
              <w:rPr>
                <w:rFonts w:ascii="Arial" w:eastAsia="Calibri" w:hAnsi="Arial" w:cs="Arial"/>
                <w:bCs/>
                <w:sz w:val="16"/>
                <w:szCs w:val="16"/>
              </w:rPr>
              <w:t>9</w:t>
            </w:r>
            <w:r w:rsidRPr="00676A9B">
              <w:rPr>
                <w:rFonts w:ascii="Arial" w:eastAsia="Calibri" w:hAnsi="Arial" w:cs="Arial"/>
                <w:bCs/>
                <w:sz w:val="16"/>
                <w:szCs w:val="16"/>
              </w:rPr>
              <w:t xml:space="preserve"> do </w:t>
            </w:r>
            <w:r>
              <w:rPr>
                <w:rFonts w:ascii="Arial" w:eastAsia="Calibri" w:hAnsi="Arial" w:cs="Arial"/>
                <w:bCs/>
                <w:sz w:val="16"/>
                <w:szCs w:val="16"/>
              </w:rPr>
              <w:t>50</w:t>
            </w:r>
            <w:r w:rsidRPr="00676A9B">
              <w:rPr>
                <w:rFonts w:ascii="Arial" w:eastAsia="Calibri" w:hAnsi="Arial" w:cs="Arial"/>
                <w:bCs/>
                <w:sz w:val="16"/>
                <w:szCs w:val="16"/>
              </w:rPr>
              <w:t>)</w:t>
            </w:r>
          </w:p>
        </w:tc>
        <w:tc>
          <w:tcPr>
            <w:tcW w:w="1087" w:type="dxa"/>
            <w:vAlign w:val="center"/>
          </w:tcPr>
          <w:p w14:paraId="2464FAF7" w14:textId="11042A77" w:rsidR="00CD0846" w:rsidRPr="00676A9B" w:rsidRDefault="00CD0846" w:rsidP="00CD0846">
            <w:pPr>
              <w:spacing w:before="100" w:beforeAutospacing="1" w:after="100" w:afterAutospacing="1"/>
              <w:jc w:val="right"/>
              <w:rPr>
                <w:rFonts w:ascii="Arial" w:eastAsia="Calibri" w:hAnsi="Arial" w:cs="Arial"/>
                <w:bCs/>
                <w:sz w:val="18"/>
                <w:szCs w:val="18"/>
              </w:rPr>
            </w:pPr>
            <w:r>
              <w:rPr>
                <w:rFonts w:ascii="Arial" w:eastAsia="Calibri" w:hAnsi="Arial" w:cs="Arial"/>
                <w:bCs/>
                <w:sz w:val="18"/>
                <w:szCs w:val="18"/>
              </w:rPr>
              <w:t>8.940,66</w:t>
            </w:r>
          </w:p>
        </w:tc>
        <w:tc>
          <w:tcPr>
            <w:tcW w:w="1117" w:type="dxa"/>
            <w:vAlign w:val="center"/>
          </w:tcPr>
          <w:p w14:paraId="50FCA0A8" w14:textId="1F9ABB65" w:rsidR="00CD0846" w:rsidRPr="00676A9B" w:rsidRDefault="00CD0846" w:rsidP="00CD0846">
            <w:pPr>
              <w:spacing w:before="100" w:beforeAutospacing="1" w:after="100" w:afterAutospacing="1"/>
              <w:jc w:val="right"/>
              <w:rPr>
                <w:rFonts w:ascii="Arial" w:eastAsia="Calibri" w:hAnsi="Arial" w:cs="Arial"/>
                <w:bCs/>
                <w:sz w:val="18"/>
                <w:szCs w:val="18"/>
              </w:rPr>
            </w:pPr>
            <w:r>
              <w:rPr>
                <w:rFonts w:ascii="Arial" w:eastAsia="Calibri" w:hAnsi="Arial" w:cs="Arial"/>
                <w:bCs/>
                <w:sz w:val="18"/>
                <w:szCs w:val="18"/>
              </w:rPr>
              <w:t>21.949,72</w:t>
            </w:r>
          </w:p>
        </w:tc>
      </w:tr>
    </w:tbl>
    <w:p w14:paraId="111F8A47" w14:textId="77777777" w:rsidR="00676A9B" w:rsidRPr="00676A9B" w:rsidRDefault="00676A9B" w:rsidP="00676A9B">
      <w:pPr>
        <w:spacing w:after="0" w:line="240" w:lineRule="auto"/>
        <w:jc w:val="both"/>
        <w:rPr>
          <w:rFonts w:ascii="Arial" w:eastAsia="Calibri" w:hAnsi="Arial" w:cs="Arial"/>
          <w:sz w:val="20"/>
          <w:szCs w:val="20"/>
          <w:lang w:eastAsia="en-US"/>
        </w:rPr>
      </w:pPr>
    </w:p>
    <w:tbl>
      <w:tblPr>
        <w:tblStyle w:val="Reetkatablice536"/>
        <w:tblW w:w="13956" w:type="dxa"/>
        <w:jc w:val="center"/>
        <w:tblLayout w:type="fixed"/>
        <w:tblLook w:val="04A0" w:firstRow="1" w:lastRow="0" w:firstColumn="1" w:lastColumn="0" w:noHBand="0" w:noVBand="1"/>
      </w:tblPr>
      <w:tblGrid>
        <w:gridCol w:w="3383"/>
        <w:gridCol w:w="2572"/>
        <w:gridCol w:w="1099"/>
        <w:gridCol w:w="1134"/>
        <w:gridCol w:w="1232"/>
        <w:gridCol w:w="1134"/>
        <w:gridCol w:w="1134"/>
        <w:gridCol w:w="1134"/>
        <w:gridCol w:w="1134"/>
      </w:tblGrid>
      <w:tr w:rsidR="00676A9B" w:rsidRPr="00676A9B" w14:paraId="14EB49DE" w14:textId="77777777" w:rsidTr="00410A4B">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310944C"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257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E15D04C"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0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5E4BF4B"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38B55E6"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36B0E22" w14:textId="2799BEA2"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CD0846">
              <w:rPr>
                <w:rFonts w:ascii="Arial" w:eastAsia="Calibri" w:hAnsi="Arial" w:cs="Arial"/>
                <w:lang w:eastAsia="en-US"/>
              </w:rPr>
              <w:t>4</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0D09DCF6" w14:textId="51F1FD7B"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CD0846">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E6E7C18" w14:textId="5DB9FF0C"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CD0846">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7F9B7D6E" w14:textId="5843BC0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w:t>
            </w:r>
            <w:r w:rsidR="00CD0846">
              <w:rPr>
                <w:rFonts w:ascii="Arial" w:eastAsia="Calibri" w:hAnsi="Arial" w:cs="Arial"/>
                <w:lang w:eastAsia="en-US"/>
              </w:rPr>
              <w:t>26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0B27E791" w14:textId="14129696"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CD0846">
              <w:rPr>
                <w:rFonts w:ascii="Arial" w:eastAsia="Calibri" w:hAnsi="Arial" w:cs="Arial"/>
                <w:lang w:eastAsia="en-US"/>
              </w:rPr>
              <w:t>7</w:t>
            </w:r>
            <w:r w:rsidRPr="00676A9B">
              <w:rPr>
                <w:rFonts w:ascii="Arial" w:eastAsia="Calibri" w:hAnsi="Arial" w:cs="Arial"/>
                <w:lang w:eastAsia="en-US"/>
              </w:rPr>
              <w:t>.</w:t>
            </w:r>
          </w:p>
        </w:tc>
      </w:tr>
      <w:tr w:rsidR="00676A9B" w:rsidRPr="00676A9B" w14:paraId="7749A251" w14:textId="77777777" w:rsidTr="00410A4B">
        <w:trPr>
          <w:trHeight w:val="851"/>
          <w:jc w:val="center"/>
        </w:trPr>
        <w:tc>
          <w:tcPr>
            <w:tcW w:w="3383" w:type="dxa"/>
            <w:tcBorders>
              <w:top w:val="single" w:sz="4" w:space="0" w:color="auto"/>
              <w:left w:val="single" w:sz="4" w:space="0" w:color="auto"/>
              <w:bottom w:val="single" w:sz="4" w:space="0" w:color="auto"/>
              <w:right w:val="single" w:sz="4" w:space="0" w:color="auto"/>
            </w:tcBorders>
          </w:tcPr>
          <w:p w14:paraId="217D9939"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Podmirenje troškova prijevoza stradalnicima Domovinskog rata, darivateljima krvi i drugim korisnicima s posebnim potrebama</w:t>
            </w:r>
          </w:p>
        </w:tc>
        <w:tc>
          <w:tcPr>
            <w:tcW w:w="2572" w:type="dxa"/>
            <w:tcBorders>
              <w:top w:val="single" w:sz="4" w:space="0" w:color="auto"/>
              <w:left w:val="single" w:sz="4" w:space="0" w:color="auto"/>
              <w:bottom w:val="single" w:sz="4" w:space="0" w:color="auto"/>
              <w:right w:val="single" w:sz="4" w:space="0" w:color="auto"/>
            </w:tcBorders>
          </w:tcPr>
          <w:p w14:paraId="6A6BF5CC"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Podmirivanje dijela troškova prijevoza kao oblik pomoći posebnim socijalnim skupinama stanovništva</w:t>
            </w:r>
          </w:p>
        </w:tc>
        <w:tc>
          <w:tcPr>
            <w:tcW w:w="1099" w:type="dxa"/>
            <w:tcBorders>
              <w:top w:val="single" w:sz="4" w:space="0" w:color="auto"/>
              <w:left w:val="single" w:sz="4" w:space="0" w:color="auto"/>
              <w:bottom w:val="single" w:sz="4" w:space="0" w:color="auto"/>
              <w:right w:val="single" w:sz="4" w:space="0" w:color="auto"/>
            </w:tcBorders>
            <w:vAlign w:val="center"/>
            <w:hideMark/>
          </w:tcPr>
          <w:p w14:paraId="4AC187FF"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Broj korisnika (prosjek)</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8B2942" w14:textId="77777777" w:rsidR="00676A9B" w:rsidRPr="00676A9B" w:rsidRDefault="00676A9B" w:rsidP="00676A9B">
            <w:pPr>
              <w:jc w:val="center"/>
              <w:rPr>
                <w:rFonts w:ascii="Arial" w:hAnsi="Arial" w:cs="Arial"/>
                <w:lang w:eastAsia="en-US"/>
              </w:rPr>
            </w:pPr>
            <w:r w:rsidRPr="00676A9B">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5EBAD132" w14:textId="7FC9C88C" w:rsidR="00676A9B" w:rsidRPr="00676A9B" w:rsidRDefault="004B690C" w:rsidP="00676A9B">
            <w:pPr>
              <w:jc w:val="center"/>
              <w:rPr>
                <w:rFonts w:ascii="Arial" w:hAnsi="Arial" w:cs="Arial"/>
                <w:lang w:eastAsia="en-US"/>
              </w:rPr>
            </w:pPr>
            <w:r>
              <w:rPr>
                <w:rFonts w:ascii="Arial" w:hAnsi="Arial" w:cs="Arial"/>
                <w:lang w:eastAsia="en-US"/>
              </w:rPr>
              <w:t>29</w:t>
            </w:r>
          </w:p>
        </w:tc>
        <w:tc>
          <w:tcPr>
            <w:tcW w:w="1134" w:type="dxa"/>
            <w:tcBorders>
              <w:top w:val="single" w:sz="4" w:space="0" w:color="000000"/>
              <w:left w:val="single" w:sz="4" w:space="0" w:color="000000"/>
              <w:bottom w:val="single" w:sz="4" w:space="0" w:color="000000"/>
              <w:right w:val="single" w:sz="4" w:space="0" w:color="000000"/>
            </w:tcBorders>
            <w:vAlign w:val="center"/>
          </w:tcPr>
          <w:p w14:paraId="3FF84DB2" w14:textId="25EFA434" w:rsidR="00676A9B" w:rsidRPr="00676A9B" w:rsidRDefault="004B690C" w:rsidP="00676A9B">
            <w:pPr>
              <w:jc w:val="center"/>
              <w:rPr>
                <w:rFonts w:ascii="Arial" w:hAnsi="Arial" w:cs="Arial"/>
                <w:lang w:eastAsia="en-US"/>
              </w:rPr>
            </w:pPr>
            <w:r>
              <w:rPr>
                <w:rFonts w:ascii="Arial" w:hAnsi="Arial" w:cs="Arial"/>
                <w:lang w:eastAsia="en-US"/>
              </w:rPr>
              <w:t>35</w:t>
            </w:r>
          </w:p>
        </w:tc>
        <w:tc>
          <w:tcPr>
            <w:tcW w:w="1134" w:type="dxa"/>
            <w:tcBorders>
              <w:top w:val="single" w:sz="4" w:space="0" w:color="000000"/>
              <w:left w:val="single" w:sz="4" w:space="0" w:color="000000"/>
              <w:bottom w:val="single" w:sz="4" w:space="0" w:color="000000"/>
              <w:right w:val="single" w:sz="4" w:space="0" w:color="000000"/>
            </w:tcBorders>
            <w:vAlign w:val="center"/>
          </w:tcPr>
          <w:p w14:paraId="33C97A09" w14:textId="429743EF" w:rsidR="00676A9B" w:rsidRPr="00676A9B" w:rsidRDefault="004B690C" w:rsidP="00676A9B">
            <w:pPr>
              <w:jc w:val="center"/>
              <w:rPr>
                <w:rFonts w:ascii="Arial" w:hAnsi="Arial" w:cs="Arial"/>
                <w:lang w:eastAsia="en-US"/>
              </w:rPr>
            </w:pPr>
            <w:r>
              <w:rPr>
                <w:rFonts w:ascii="Arial" w:hAnsi="Arial" w:cs="Arial"/>
                <w:lang w:eastAsia="en-US"/>
              </w:rPr>
              <w:t>29</w:t>
            </w:r>
          </w:p>
        </w:tc>
        <w:tc>
          <w:tcPr>
            <w:tcW w:w="1134" w:type="dxa"/>
            <w:tcBorders>
              <w:top w:val="single" w:sz="4" w:space="0" w:color="000000"/>
              <w:left w:val="single" w:sz="4" w:space="0" w:color="000000"/>
              <w:bottom w:val="single" w:sz="4" w:space="0" w:color="000000"/>
              <w:right w:val="single" w:sz="4" w:space="0" w:color="000000"/>
            </w:tcBorders>
            <w:vAlign w:val="center"/>
          </w:tcPr>
          <w:p w14:paraId="535B72FA" w14:textId="77777777" w:rsidR="00676A9B" w:rsidRPr="00676A9B" w:rsidRDefault="00676A9B" w:rsidP="00676A9B">
            <w:pPr>
              <w:jc w:val="center"/>
              <w:rPr>
                <w:rFonts w:ascii="Arial" w:hAnsi="Arial" w:cs="Arial"/>
                <w:lang w:eastAsia="en-US"/>
              </w:rPr>
            </w:pPr>
            <w:r w:rsidRPr="00676A9B">
              <w:rPr>
                <w:rFonts w:ascii="Arial" w:hAnsi="Arial" w:cs="Arial"/>
                <w:lang w:eastAsia="en-US"/>
              </w:rPr>
              <w:t>35</w:t>
            </w:r>
          </w:p>
        </w:tc>
        <w:tc>
          <w:tcPr>
            <w:tcW w:w="1134" w:type="dxa"/>
            <w:tcBorders>
              <w:top w:val="single" w:sz="4" w:space="0" w:color="000000"/>
              <w:left w:val="single" w:sz="4" w:space="0" w:color="000000"/>
              <w:bottom w:val="single" w:sz="4" w:space="0" w:color="000000"/>
              <w:right w:val="single" w:sz="4" w:space="0" w:color="000000"/>
            </w:tcBorders>
            <w:vAlign w:val="center"/>
          </w:tcPr>
          <w:p w14:paraId="7656B423" w14:textId="77777777" w:rsidR="00676A9B" w:rsidRPr="00676A9B" w:rsidRDefault="00676A9B" w:rsidP="00676A9B">
            <w:pPr>
              <w:jc w:val="center"/>
              <w:rPr>
                <w:rFonts w:ascii="Arial" w:hAnsi="Arial" w:cs="Arial"/>
                <w:lang w:eastAsia="en-US"/>
              </w:rPr>
            </w:pPr>
            <w:r w:rsidRPr="00676A9B">
              <w:rPr>
                <w:rFonts w:ascii="Arial" w:hAnsi="Arial" w:cs="Arial"/>
                <w:lang w:eastAsia="en-US"/>
              </w:rPr>
              <w:t>40</w:t>
            </w:r>
          </w:p>
        </w:tc>
      </w:tr>
    </w:tbl>
    <w:p w14:paraId="5EE4E427" w14:textId="77777777" w:rsidR="00676A9B" w:rsidRPr="00676A9B" w:rsidRDefault="00676A9B" w:rsidP="00676A9B">
      <w:pPr>
        <w:spacing w:after="0" w:line="240" w:lineRule="auto"/>
        <w:jc w:val="both"/>
        <w:rPr>
          <w:rFonts w:ascii="Arial" w:eastAsia="Calibri" w:hAnsi="Arial" w:cs="Arial"/>
          <w:sz w:val="20"/>
          <w:szCs w:val="20"/>
          <w:lang w:eastAsia="en-US"/>
        </w:rPr>
      </w:pPr>
    </w:p>
    <w:p w14:paraId="0E118736"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11. A204114: Pomoći za ogrjev </w:t>
      </w:r>
      <w:r w:rsidRPr="00676A9B">
        <w:rPr>
          <w:rFonts w:ascii="Arial" w:eastAsia="Calibri" w:hAnsi="Arial" w:cs="Arial"/>
          <w:sz w:val="20"/>
          <w:szCs w:val="20"/>
          <w:lang w:eastAsia="en-US"/>
        </w:rPr>
        <w:t xml:space="preserve">- u sklopu navedene aktivnosti su rashodi za naknade građanima i kućanstvima u naravi, odnosno isporuka drva za ogrjev socijalno ugroženim kućanstvima. Planirana sredstva za provođenje navedene aktivnosti iznose 10.000 €. </w:t>
      </w:r>
    </w:p>
    <w:p w14:paraId="517CCA54"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Stupanjem na snagu novog Zakona o socijalnoj skrbi NN 18/22 centri za socijalnu skrb prestaju su prestali s radom 31.12.2022., a njihove poslove je preuzeo Hrvatski zavod za socijalni rad. Sredstva za troškove ogrjeva korisnika koji se griju na drva osiguravaju se u državnom proračunu, te se dio sredstava koji se doznačuje iz državnog proračuna ne planira niti kao prihod niti rashod tekuće godine temeljem članka 289. novog Zakona o socijalnoj skrbi (evidentira se samo putem računa 111 Novac u banci i 23955 Obveze za naplaćene tuđe prihode, s time da je Općina obvezna do 31. siječnja tekuće godine izvijestiti ministarstvo o ukupnom utrošku sredstava doznačenih prethodne godine.</w:t>
      </w:r>
    </w:p>
    <w:p w14:paraId="3B6ADCB2" w14:textId="77777777" w:rsidR="00676A9B" w:rsidRPr="00676A9B" w:rsidRDefault="00676A9B" w:rsidP="00676A9B">
      <w:pPr>
        <w:spacing w:after="0" w:line="240" w:lineRule="auto"/>
        <w:jc w:val="both"/>
        <w:rPr>
          <w:rFonts w:ascii="Arial" w:eastAsia="Calibri" w:hAnsi="Arial" w:cs="Arial"/>
          <w:sz w:val="20"/>
          <w:szCs w:val="20"/>
          <w:lang w:eastAsia="en-US"/>
        </w:rPr>
      </w:pPr>
    </w:p>
    <w:p w14:paraId="0DA16CE3"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U okviru ove aktivnosti planiraju se rashodi za nabavu ogrjeva korisnicima iz vlastitih sredstava proračuna. </w:t>
      </w:r>
    </w:p>
    <w:p w14:paraId="3AF59784" w14:textId="77777777" w:rsidR="004B690C" w:rsidRDefault="00676A9B" w:rsidP="00676A9B">
      <w:pPr>
        <w:spacing w:after="0" w:line="240" w:lineRule="auto"/>
        <w:jc w:val="both"/>
        <w:rPr>
          <w:rFonts w:ascii="Arial" w:eastAsia="Calibri" w:hAnsi="Arial" w:cs="Arial"/>
          <w:sz w:val="20"/>
          <w:szCs w:val="20"/>
          <w:lang w:eastAsia="en-US"/>
        </w:rPr>
      </w:pPr>
      <w:bookmarkStart w:id="425" w:name="_Hlk166147456"/>
      <w:r w:rsidRPr="00676A9B">
        <w:rPr>
          <w:rFonts w:ascii="Arial" w:eastAsia="Calibri" w:hAnsi="Arial" w:cs="Arial"/>
          <w:sz w:val="20"/>
          <w:szCs w:val="20"/>
          <w:lang w:eastAsia="en-US"/>
        </w:rPr>
        <w:t>U 202</w:t>
      </w:r>
      <w:r w:rsidR="004B690C">
        <w:rPr>
          <w:rFonts w:ascii="Arial" w:eastAsia="Calibri" w:hAnsi="Arial" w:cs="Arial"/>
          <w:sz w:val="20"/>
          <w:szCs w:val="20"/>
          <w:lang w:eastAsia="en-US"/>
        </w:rPr>
        <w:t>5</w:t>
      </w:r>
      <w:r w:rsidRPr="00676A9B">
        <w:rPr>
          <w:rFonts w:ascii="Arial" w:eastAsia="Calibri" w:hAnsi="Arial" w:cs="Arial"/>
          <w:sz w:val="20"/>
          <w:szCs w:val="20"/>
          <w:lang w:eastAsia="en-US"/>
        </w:rPr>
        <w:t xml:space="preserve">. godini ovi rashodi su izvršeni u iznosu </w:t>
      </w:r>
      <w:r w:rsidR="004B690C">
        <w:rPr>
          <w:rFonts w:ascii="Arial" w:eastAsia="Calibri" w:hAnsi="Arial" w:cs="Arial"/>
          <w:sz w:val="20"/>
          <w:szCs w:val="20"/>
          <w:lang w:eastAsia="en-US"/>
        </w:rPr>
        <w:t>1.458</w:t>
      </w:r>
      <w:r w:rsidRPr="00676A9B">
        <w:rPr>
          <w:rFonts w:ascii="Arial" w:eastAsia="Calibri" w:hAnsi="Arial" w:cs="Arial"/>
          <w:sz w:val="20"/>
          <w:szCs w:val="20"/>
          <w:lang w:eastAsia="en-US"/>
        </w:rPr>
        <w:t xml:space="preserve"> € za nabavu ogrjevnog materijala osobama slabijeg imovnog stanja (</w:t>
      </w:r>
      <w:r w:rsidR="004B690C">
        <w:rPr>
          <w:rFonts w:ascii="Arial" w:eastAsia="Calibri" w:hAnsi="Arial" w:cs="Arial"/>
          <w:sz w:val="20"/>
          <w:szCs w:val="20"/>
          <w:lang w:eastAsia="en-US"/>
        </w:rPr>
        <w:t>6</w:t>
      </w:r>
      <w:r w:rsidRPr="00676A9B">
        <w:rPr>
          <w:rFonts w:ascii="Arial" w:eastAsia="Calibri" w:hAnsi="Arial" w:cs="Arial"/>
          <w:sz w:val="20"/>
          <w:szCs w:val="20"/>
          <w:lang w:eastAsia="en-US"/>
        </w:rPr>
        <w:t xml:space="preserve"> korisnika, paleta 243 €)</w:t>
      </w:r>
      <w:r w:rsidR="004B690C">
        <w:rPr>
          <w:rFonts w:ascii="Arial" w:eastAsia="Calibri" w:hAnsi="Arial" w:cs="Arial"/>
          <w:sz w:val="20"/>
          <w:szCs w:val="20"/>
          <w:lang w:eastAsia="en-US"/>
        </w:rPr>
        <w:t>.</w:t>
      </w:r>
    </w:p>
    <w:p w14:paraId="10AABB66" w14:textId="77777777" w:rsidR="004B690C" w:rsidRDefault="004B690C" w:rsidP="00676A9B">
      <w:pPr>
        <w:spacing w:after="0" w:line="240" w:lineRule="auto"/>
        <w:jc w:val="both"/>
        <w:rPr>
          <w:rFonts w:ascii="Arial" w:eastAsia="Calibri" w:hAnsi="Arial" w:cs="Arial"/>
          <w:sz w:val="20"/>
          <w:szCs w:val="20"/>
          <w:lang w:eastAsia="en-US"/>
        </w:rPr>
      </w:pPr>
    </w:p>
    <w:p w14:paraId="04DAFA3D" w14:textId="7EBB6603" w:rsidR="00676A9B" w:rsidRPr="00676A9B" w:rsidRDefault="004B690C" w:rsidP="00676A9B">
      <w:pPr>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Naknada k</w:t>
      </w:r>
      <w:r w:rsidR="00676A9B" w:rsidRPr="00676A9B">
        <w:rPr>
          <w:rFonts w:ascii="Arial" w:eastAsia="Calibri" w:hAnsi="Arial" w:cs="Arial"/>
          <w:sz w:val="20"/>
          <w:szCs w:val="20"/>
          <w:lang w:eastAsia="en-US"/>
        </w:rPr>
        <w:t xml:space="preserve">orisnicima zajamčene minimalne naknade </w:t>
      </w:r>
      <w:r>
        <w:rPr>
          <w:rFonts w:ascii="Arial" w:eastAsia="Calibri" w:hAnsi="Arial" w:cs="Arial"/>
          <w:sz w:val="20"/>
          <w:szCs w:val="20"/>
          <w:lang w:eastAsia="en-US"/>
        </w:rPr>
        <w:t xml:space="preserve">je u 2025. godini izvršena za </w:t>
      </w:r>
      <w:r w:rsidR="00F30C53">
        <w:rPr>
          <w:rFonts w:ascii="Arial" w:eastAsia="Calibri" w:hAnsi="Arial" w:cs="Arial"/>
          <w:sz w:val="20"/>
          <w:szCs w:val="20"/>
          <w:lang w:eastAsia="en-US"/>
        </w:rPr>
        <w:t>9</w:t>
      </w:r>
      <w:r w:rsidR="00676A9B" w:rsidRPr="00676A9B">
        <w:rPr>
          <w:rFonts w:ascii="Arial" w:eastAsia="Calibri" w:hAnsi="Arial" w:cs="Arial"/>
          <w:sz w:val="20"/>
          <w:szCs w:val="20"/>
          <w:lang w:eastAsia="en-US"/>
        </w:rPr>
        <w:t xml:space="preserve"> korisnika / 160 €.</w:t>
      </w:r>
      <w:r w:rsidR="00F30C53">
        <w:rPr>
          <w:rFonts w:ascii="Arial" w:eastAsia="Calibri" w:hAnsi="Arial" w:cs="Arial"/>
          <w:sz w:val="20"/>
          <w:szCs w:val="20"/>
          <w:lang w:eastAsia="en-US"/>
        </w:rPr>
        <w:t xml:space="preserve"> Ova sredstva su doznačena iz državnog proračuna. Sukladno uputama, ova sredstva nisu evidentirana putem rashoda Općine.</w:t>
      </w:r>
    </w:p>
    <w:bookmarkEnd w:id="425"/>
    <w:p w14:paraId="5FBEAB5C" w14:textId="77777777" w:rsidR="00676A9B" w:rsidRPr="00676A9B" w:rsidRDefault="00676A9B" w:rsidP="00676A9B">
      <w:pPr>
        <w:spacing w:after="0" w:line="240" w:lineRule="auto"/>
        <w:jc w:val="both"/>
        <w:rPr>
          <w:rFonts w:ascii="Arial" w:eastAsia="Calibri" w:hAnsi="Arial" w:cs="Arial"/>
          <w:sz w:val="20"/>
          <w:szCs w:val="20"/>
          <w:lang w:eastAsia="en-US"/>
        </w:rPr>
      </w:pPr>
    </w:p>
    <w:p w14:paraId="30C0C0EA" w14:textId="77777777" w:rsidR="00676A9B" w:rsidRPr="00676A9B" w:rsidRDefault="00676A9B" w:rsidP="00676A9B">
      <w:pPr>
        <w:spacing w:after="0" w:line="240" w:lineRule="auto"/>
        <w:ind w:left="567"/>
        <w:jc w:val="both"/>
        <w:rPr>
          <w:rFonts w:ascii="Arial" w:eastAsia="Calibri" w:hAnsi="Arial" w:cs="Arial"/>
          <w:sz w:val="18"/>
          <w:szCs w:val="18"/>
          <w:lang w:eastAsia="en-US"/>
        </w:rPr>
      </w:pPr>
      <w:r w:rsidRPr="00676A9B">
        <w:rPr>
          <w:rFonts w:ascii="Arial" w:eastAsia="Calibri" w:hAnsi="Arial" w:cs="Arial"/>
          <w:sz w:val="18"/>
          <w:szCs w:val="18"/>
          <w:lang w:eastAsia="en-US"/>
        </w:rPr>
        <w:t xml:space="preserve">Ranijih godina Županija je doznačavala sredstva (korisnicima prema popisu Centra za socijalnu skrb, 1.050 kn / 139,36 € po korisniku), a Općina je osiguravala i vlastita sredstva za nabavu drva korisnicima slabijeg imovnog stanja. </w:t>
      </w:r>
    </w:p>
    <w:p w14:paraId="6DB59856" w14:textId="77777777" w:rsidR="00676A9B" w:rsidRPr="00676A9B" w:rsidRDefault="00676A9B" w:rsidP="00676A9B">
      <w:pPr>
        <w:spacing w:after="0" w:line="240" w:lineRule="auto"/>
        <w:jc w:val="both"/>
        <w:rPr>
          <w:rFonts w:ascii="Arial" w:eastAsia="Calibri" w:hAnsi="Arial" w:cs="Arial"/>
          <w:iCs/>
          <w:sz w:val="20"/>
          <w:szCs w:val="20"/>
          <w:lang w:eastAsia="en-US"/>
        </w:rPr>
      </w:pPr>
    </w:p>
    <w:p w14:paraId="6AA21872" w14:textId="77777777" w:rsidR="00676A9B" w:rsidRPr="00676A9B" w:rsidRDefault="00676A9B" w:rsidP="00676A9B">
      <w:pPr>
        <w:spacing w:after="0" w:line="240" w:lineRule="auto"/>
        <w:jc w:val="both"/>
        <w:rPr>
          <w:rFonts w:ascii="Arial" w:eastAsia="Calibri" w:hAnsi="Arial" w:cs="Arial"/>
          <w:i/>
          <w:sz w:val="20"/>
          <w:szCs w:val="20"/>
          <w:lang w:eastAsia="en-US"/>
        </w:rPr>
      </w:pPr>
      <w:r w:rsidRPr="00676A9B">
        <w:rPr>
          <w:rFonts w:ascii="Arial" w:eastAsia="Calibri" w:hAnsi="Arial" w:cs="Arial"/>
          <w:i/>
          <w:sz w:val="20"/>
          <w:szCs w:val="20"/>
          <w:lang w:eastAsia="en-US"/>
        </w:rPr>
        <w:t>Usporedba:</w:t>
      </w:r>
    </w:p>
    <w:p w14:paraId="6790BB55" w14:textId="77777777" w:rsidR="00676A9B" w:rsidRPr="00676A9B" w:rsidRDefault="00676A9B" w:rsidP="00676A9B">
      <w:pPr>
        <w:spacing w:after="0" w:line="240" w:lineRule="auto"/>
        <w:ind w:left="567"/>
        <w:jc w:val="both"/>
        <w:rPr>
          <w:rFonts w:ascii="Arial" w:eastAsia="Calibri" w:hAnsi="Arial" w:cs="Arial"/>
          <w:i/>
          <w:sz w:val="18"/>
          <w:szCs w:val="18"/>
          <w:lang w:eastAsia="en-US"/>
        </w:rPr>
      </w:pPr>
      <w:r w:rsidRPr="00676A9B">
        <w:rPr>
          <w:rFonts w:ascii="Arial" w:eastAsia="Calibri" w:hAnsi="Arial" w:cs="Arial"/>
          <w:i/>
          <w:sz w:val="18"/>
          <w:szCs w:val="18"/>
          <w:lang w:eastAsia="en-US"/>
        </w:rPr>
        <w:t xml:space="preserve">U </w:t>
      </w:r>
      <w:r w:rsidRPr="00676A9B">
        <w:rPr>
          <w:rFonts w:ascii="Arial" w:eastAsia="Calibri" w:hAnsi="Arial" w:cs="Arial"/>
          <w:b/>
          <w:bCs/>
          <w:i/>
          <w:sz w:val="18"/>
          <w:szCs w:val="18"/>
          <w:lang w:eastAsia="en-US"/>
        </w:rPr>
        <w:t>2019</w:t>
      </w:r>
      <w:r w:rsidRPr="00676A9B">
        <w:rPr>
          <w:rFonts w:ascii="Arial" w:eastAsia="Calibri" w:hAnsi="Arial" w:cs="Arial"/>
          <w:i/>
          <w:sz w:val="18"/>
          <w:szCs w:val="18"/>
          <w:lang w:eastAsia="en-US"/>
        </w:rPr>
        <w:t>. izvršeno je 23.000 kn od čega je u iznosu 9.700 kn / 1.287,41 € iz sredstava općinskog proračuna nabavljen ogrjevni materijal za pet obitelji, dok su iz sredstava županijskog proračuna isplaćene naknade za 14 korisnika u iznosu 13.300 kn / 1.765,21 €.</w:t>
      </w:r>
    </w:p>
    <w:p w14:paraId="366F97A0" w14:textId="77777777" w:rsidR="00676A9B" w:rsidRPr="00676A9B" w:rsidRDefault="00676A9B" w:rsidP="00676A9B">
      <w:pPr>
        <w:spacing w:after="0" w:line="240" w:lineRule="auto"/>
        <w:ind w:left="567"/>
        <w:jc w:val="both"/>
        <w:rPr>
          <w:rFonts w:ascii="Arial" w:eastAsia="Calibri" w:hAnsi="Arial" w:cs="Arial"/>
          <w:i/>
          <w:sz w:val="18"/>
          <w:szCs w:val="18"/>
          <w:lang w:eastAsia="en-US"/>
        </w:rPr>
      </w:pPr>
      <w:r w:rsidRPr="00676A9B">
        <w:rPr>
          <w:rFonts w:ascii="Arial" w:eastAsia="Calibri" w:hAnsi="Arial" w:cs="Arial"/>
          <w:i/>
          <w:sz w:val="18"/>
          <w:szCs w:val="18"/>
          <w:lang w:eastAsia="en-US"/>
        </w:rPr>
        <w:t xml:space="preserve">U </w:t>
      </w:r>
      <w:r w:rsidRPr="00676A9B">
        <w:rPr>
          <w:rFonts w:ascii="Arial" w:eastAsia="Calibri" w:hAnsi="Arial" w:cs="Arial"/>
          <w:b/>
          <w:bCs/>
          <w:i/>
          <w:sz w:val="18"/>
          <w:szCs w:val="18"/>
          <w:lang w:eastAsia="en-US"/>
        </w:rPr>
        <w:t>2020</w:t>
      </w:r>
      <w:r w:rsidRPr="00676A9B">
        <w:rPr>
          <w:rFonts w:ascii="Arial" w:eastAsia="Calibri" w:hAnsi="Arial" w:cs="Arial"/>
          <w:i/>
          <w:sz w:val="18"/>
          <w:szCs w:val="18"/>
          <w:lang w:eastAsia="en-US"/>
        </w:rPr>
        <w:t>. izvršeno je 31.250 kn / 4.147,59 € od čega je u iznosu 11.400 kn /1.513,04 € iz sredstava općinskog proračuna nabavljen ogrjevni materijal za šest obitelji, dok su iz sredstava županijskog proračuna isplaćene naknade za 19 korisnika u iznosu 19.950 kn / 2.647,82 €.</w:t>
      </w:r>
    </w:p>
    <w:p w14:paraId="7218B69B" w14:textId="77777777" w:rsidR="00676A9B" w:rsidRPr="00676A9B" w:rsidRDefault="00676A9B" w:rsidP="00676A9B">
      <w:pPr>
        <w:spacing w:after="0" w:line="240" w:lineRule="auto"/>
        <w:ind w:left="567"/>
        <w:jc w:val="both"/>
        <w:rPr>
          <w:rFonts w:ascii="Arial" w:eastAsia="Calibri" w:hAnsi="Arial" w:cs="Arial"/>
          <w:i/>
          <w:sz w:val="18"/>
          <w:szCs w:val="18"/>
          <w:lang w:eastAsia="en-US"/>
        </w:rPr>
      </w:pPr>
      <w:r w:rsidRPr="00676A9B">
        <w:rPr>
          <w:rFonts w:ascii="Arial" w:eastAsia="Calibri" w:hAnsi="Arial" w:cs="Arial"/>
          <w:i/>
          <w:sz w:val="18"/>
          <w:szCs w:val="18"/>
          <w:lang w:eastAsia="en-US"/>
        </w:rPr>
        <w:t xml:space="preserve">U </w:t>
      </w:r>
      <w:r w:rsidRPr="00676A9B">
        <w:rPr>
          <w:rFonts w:ascii="Arial" w:eastAsia="Calibri" w:hAnsi="Arial" w:cs="Arial"/>
          <w:b/>
          <w:bCs/>
          <w:i/>
          <w:sz w:val="18"/>
          <w:szCs w:val="18"/>
          <w:lang w:eastAsia="en-US"/>
        </w:rPr>
        <w:t>2021</w:t>
      </w:r>
      <w:r w:rsidRPr="00676A9B">
        <w:rPr>
          <w:rFonts w:ascii="Arial" w:eastAsia="Calibri" w:hAnsi="Arial" w:cs="Arial"/>
          <w:i/>
          <w:sz w:val="18"/>
          <w:szCs w:val="18"/>
          <w:lang w:eastAsia="en-US"/>
        </w:rPr>
        <w:t xml:space="preserve">. izvršeno je 37.100 kn / 4.924,02 €, od čega je iz sredstava općinskog proračuna nabavljen ogrjevni materijal za 13 obitelji u iznosu 20.300 kn / 2.694,27 €/, dok su iz sredstava županijskog proračuna isplaćene naknade za 16 korisnika u iznosu 16.800 kn /2.229,74 €/. </w:t>
      </w:r>
    </w:p>
    <w:p w14:paraId="39223E36" w14:textId="77777777" w:rsidR="00676A9B" w:rsidRPr="00676A9B" w:rsidRDefault="00676A9B" w:rsidP="00676A9B">
      <w:pPr>
        <w:spacing w:after="0" w:line="240" w:lineRule="auto"/>
        <w:ind w:left="567"/>
        <w:jc w:val="both"/>
        <w:rPr>
          <w:rFonts w:ascii="Arial" w:eastAsia="Calibri" w:hAnsi="Arial" w:cs="Arial"/>
          <w:i/>
          <w:sz w:val="18"/>
          <w:szCs w:val="18"/>
          <w:lang w:eastAsia="en-US"/>
        </w:rPr>
      </w:pPr>
      <w:r w:rsidRPr="00676A9B">
        <w:rPr>
          <w:rFonts w:ascii="Arial" w:eastAsia="Calibri" w:hAnsi="Arial" w:cs="Arial"/>
          <w:i/>
          <w:sz w:val="18"/>
          <w:szCs w:val="18"/>
          <w:lang w:eastAsia="en-US"/>
        </w:rPr>
        <w:t xml:space="preserve">U </w:t>
      </w:r>
      <w:r w:rsidRPr="00676A9B">
        <w:rPr>
          <w:rFonts w:ascii="Arial" w:eastAsia="Calibri" w:hAnsi="Arial" w:cs="Arial"/>
          <w:b/>
          <w:bCs/>
          <w:i/>
          <w:sz w:val="18"/>
          <w:szCs w:val="18"/>
          <w:lang w:eastAsia="en-US"/>
        </w:rPr>
        <w:t>2022</w:t>
      </w:r>
      <w:r w:rsidRPr="00676A9B">
        <w:rPr>
          <w:rFonts w:ascii="Arial" w:eastAsia="Calibri" w:hAnsi="Arial" w:cs="Arial"/>
          <w:i/>
          <w:sz w:val="18"/>
          <w:szCs w:val="18"/>
          <w:lang w:eastAsia="en-US"/>
        </w:rPr>
        <w:t xml:space="preserve">. izvršeno je 7.960 kn / 1.056,47€  iz sredstava općinskog proračuna nabavljen ogrjevni materijal </w:t>
      </w:r>
      <w:r w:rsidRPr="00676A9B">
        <w:rPr>
          <w:rFonts w:ascii="Arial" w:eastAsia="Calibri" w:hAnsi="Arial" w:cs="Arial"/>
          <w:iCs/>
          <w:sz w:val="18"/>
          <w:szCs w:val="18"/>
        </w:rPr>
        <w:t>4 palete drva za ogrjev za 3 korisnika (jednoj korisnici isporučene 2 palete)</w:t>
      </w:r>
      <w:r w:rsidRPr="00676A9B">
        <w:rPr>
          <w:rFonts w:ascii="Arial" w:eastAsia="Calibri" w:hAnsi="Arial" w:cs="Arial"/>
          <w:i/>
          <w:sz w:val="18"/>
          <w:szCs w:val="18"/>
          <w:lang w:eastAsia="en-US"/>
        </w:rPr>
        <w:t xml:space="preserve">. </w:t>
      </w:r>
    </w:p>
    <w:p w14:paraId="71B978A7" w14:textId="77777777" w:rsidR="00676A9B" w:rsidRDefault="00676A9B" w:rsidP="00676A9B">
      <w:pPr>
        <w:spacing w:after="0" w:line="240" w:lineRule="auto"/>
        <w:ind w:left="567"/>
        <w:jc w:val="both"/>
        <w:rPr>
          <w:rFonts w:ascii="Arial" w:eastAsia="Calibri" w:hAnsi="Arial" w:cs="Arial"/>
          <w:i/>
          <w:iCs/>
          <w:sz w:val="18"/>
          <w:szCs w:val="18"/>
          <w:lang w:eastAsia="en-US"/>
        </w:rPr>
      </w:pPr>
      <w:r w:rsidRPr="00676A9B">
        <w:rPr>
          <w:rFonts w:ascii="Arial" w:eastAsia="Calibri" w:hAnsi="Arial" w:cs="Arial"/>
          <w:i/>
          <w:iCs/>
          <w:sz w:val="18"/>
          <w:szCs w:val="18"/>
          <w:lang w:eastAsia="en-US"/>
        </w:rPr>
        <w:t xml:space="preserve">U </w:t>
      </w:r>
      <w:r w:rsidRPr="00676A9B">
        <w:rPr>
          <w:rFonts w:ascii="Arial" w:eastAsia="Calibri" w:hAnsi="Arial" w:cs="Arial"/>
          <w:b/>
          <w:bCs/>
          <w:i/>
          <w:iCs/>
          <w:sz w:val="18"/>
          <w:szCs w:val="18"/>
          <w:lang w:eastAsia="en-US"/>
        </w:rPr>
        <w:t>2023</w:t>
      </w:r>
      <w:r w:rsidRPr="00676A9B">
        <w:rPr>
          <w:rFonts w:ascii="Arial" w:eastAsia="Calibri" w:hAnsi="Arial" w:cs="Arial"/>
          <w:i/>
          <w:iCs/>
          <w:sz w:val="18"/>
          <w:szCs w:val="18"/>
          <w:lang w:eastAsia="en-US"/>
        </w:rPr>
        <w:t>. godini izvršeno je 3.739,80 € za nabavu ogrjevnog materijala osobama slabijeg imovnog stanja (9 korisnika, paleta 243 €) i naknadu korisnicima zajamčene minimalne naknade (10 korisnika / 155,29 €).</w:t>
      </w:r>
    </w:p>
    <w:p w14:paraId="62A93590" w14:textId="249C4E01" w:rsidR="00F30C53" w:rsidRPr="00676A9B" w:rsidRDefault="00F30C53" w:rsidP="00676A9B">
      <w:pPr>
        <w:spacing w:after="0" w:line="240" w:lineRule="auto"/>
        <w:ind w:left="567"/>
        <w:jc w:val="both"/>
        <w:rPr>
          <w:rFonts w:ascii="Arial" w:eastAsia="Calibri" w:hAnsi="Arial" w:cs="Arial"/>
          <w:i/>
          <w:iCs/>
          <w:sz w:val="18"/>
          <w:szCs w:val="18"/>
          <w:lang w:eastAsia="en-US"/>
        </w:rPr>
      </w:pPr>
      <w:r w:rsidRPr="00F30C53">
        <w:rPr>
          <w:rFonts w:ascii="Arial" w:eastAsia="Calibri" w:hAnsi="Arial" w:cs="Arial"/>
          <w:i/>
          <w:iCs/>
          <w:sz w:val="18"/>
          <w:szCs w:val="18"/>
          <w:lang w:eastAsia="en-US"/>
        </w:rPr>
        <w:t xml:space="preserve">U </w:t>
      </w:r>
      <w:r w:rsidRPr="00F30C53">
        <w:rPr>
          <w:rFonts w:ascii="Arial" w:eastAsia="Calibri" w:hAnsi="Arial" w:cs="Arial"/>
          <w:b/>
          <w:bCs/>
          <w:i/>
          <w:iCs/>
          <w:sz w:val="18"/>
          <w:szCs w:val="18"/>
          <w:lang w:eastAsia="en-US"/>
        </w:rPr>
        <w:t>2024</w:t>
      </w:r>
      <w:r w:rsidRPr="00F30C53">
        <w:rPr>
          <w:rFonts w:ascii="Arial" w:eastAsia="Calibri" w:hAnsi="Arial" w:cs="Arial"/>
          <w:i/>
          <w:iCs/>
          <w:sz w:val="18"/>
          <w:szCs w:val="18"/>
          <w:lang w:eastAsia="en-US"/>
        </w:rPr>
        <w:t>. godini ovi rashodi su izvršeni u iznosu 3.053,90 € za nabavu ogrjevnog materijala osobama slabijeg imovnog stanja (8 korisnika, paleta 243 €) i naknadu korisnicima zajamčene minimalne naknade (8 korisnika / 160 €).</w:t>
      </w:r>
    </w:p>
    <w:p w14:paraId="7356931B" w14:textId="77777777" w:rsidR="00676A9B" w:rsidRPr="00676A9B" w:rsidRDefault="00676A9B" w:rsidP="00676A9B">
      <w:pPr>
        <w:spacing w:after="0" w:line="240" w:lineRule="auto"/>
        <w:jc w:val="both"/>
        <w:rPr>
          <w:rFonts w:ascii="Arial" w:eastAsia="Calibri" w:hAnsi="Arial" w:cs="Arial"/>
          <w:i/>
          <w:sz w:val="20"/>
          <w:szCs w:val="20"/>
          <w:lang w:eastAsia="en-US"/>
        </w:rPr>
      </w:pPr>
    </w:p>
    <w:tbl>
      <w:tblPr>
        <w:tblStyle w:val="Reetkatablice536"/>
        <w:tblW w:w="14331" w:type="dxa"/>
        <w:jc w:val="center"/>
        <w:tblLayout w:type="fixed"/>
        <w:tblLook w:val="04A0" w:firstRow="1" w:lastRow="0" w:firstColumn="1" w:lastColumn="0" w:noHBand="0" w:noVBand="1"/>
      </w:tblPr>
      <w:tblGrid>
        <w:gridCol w:w="3142"/>
        <w:gridCol w:w="3188"/>
        <w:gridCol w:w="1099"/>
        <w:gridCol w:w="1134"/>
        <w:gridCol w:w="1232"/>
        <w:gridCol w:w="1134"/>
        <w:gridCol w:w="1134"/>
        <w:gridCol w:w="1134"/>
        <w:gridCol w:w="1134"/>
      </w:tblGrid>
      <w:tr w:rsidR="00676A9B" w:rsidRPr="00676A9B" w14:paraId="3F5D4D11" w14:textId="77777777" w:rsidTr="00410A4B">
        <w:trPr>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B565723"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lastRenderedPageBreak/>
              <w:t>Pokazatelj rezultata</w:t>
            </w:r>
          </w:p>
        </w:tc>
        <w:tc>
          <w:tcPr>
            <w:tcW w:w="318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A59BBF3"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0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F8C11C5"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B92B11F"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5A1C42A" w14:textId="604D4EA2"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F30C53">
              <w:rPr>
                <w:rFonts w:ascii="Arial" w:eastAsia="Calibri" w:hAnsi="Arial" w:cs="Arial"/>
                <w:lang w:eastAsia="en-US"/>
              </w:rPr>
              <w:t>4</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29EF20D4" w14:textId="228A294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F30C53">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5CB26E0" w14:textId="237F4399"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F30C53">
              <w:rPr>
                <w:rFonts w:ascii="Arial" w:eastAsia="Calibri" w:hAnsi="Arial" w:cs="Arial"/>
                <w:lang w:eastAsia="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6D9F529D" w14:textId="12405E01"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F30C53">
              <w:rPr>
                <w:rFonts w:ascii="Arial" w:eastAsia="Calibri" w:hAnsi="Arial" w:cs="Arial"/>
                <w:lang w:eastAsia="en-US"/>
              </w:rPr>
              <w:t>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143138D0" w14:textId="518DBD55"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F30C53">
              <w:rPr>
                <w:rFonts w:ascii="Arial" w:eastAsia="Calibri" w:hAnsi="Arial" w:cs="Arial"/>
                <w:lang w:eastAsia="en-US"/>
              </w:rPr>
              <w:t>7</w:t>
            </w:r>
            <w:r w:rsidRPr="00676A9B">
              <w:rPr>
                <w:rFonts w:ascii="Arial" w:eastAsia="Calibri" w:hAnsi="Arial" w:cs="Arial"/>
                <w:lang w:eastAsia="en-US"/>
              </w:rPr>
              <w:t>.</w:t>
            </w:r>
          </w:p>
        </w:tc>
      </w:tr>
      <w:tr w:rsidR="00676A9B" w:rsidRPr="00676A9B" w14:paraId="1168CE4B" w14:textId="77777777" w:rsidTr="00410A4B">
        <w:trPr>
          <w:trHeight w:val="844"/>
          <w:jc w:val="center"/>
        </w:trPr>
        <w:tc>
          <w:tcPr>
            <w:tcW w:w="3142" w:type="dxa"/>
            <w:tcBorders>
              <w:top w:val="single" w:sz="4" w:space="0" w:color="auto"/>
              <w:left w:val="single" w:sz="4" w:space="0" w:color="auto"/>
              <w:bottom w:val="single" w:sz="4" w:space="0" w:color="auto"/>
              <w:right w:val="single" w:sz="4" w:space="0" w:color="auto"/>
            </w:tcBorders>
          </w:tcPr>
          <w:p w14:paraId="79626648"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Povećanje broja korisnika za koje se nabavlja ogrjevni materijal ukoliko su iz obitelji teškog socijalnog statusa</w:t>
            </w:r>
          </w:p>
        </w:tc>
        <w:tc>
          <w:tcPr>
            <w:tcW w:w="3188" w:type="dxa"/>
            <w:tcBorders>
              <w:top w:val="single" w:sz="4" w:space="0" w:color="auto"/>
              <w:left w:val="single" w:sz="4" w:space="0" w:color="auto"/>
              <w:bottom w:val="single" w:sz="4" w:space="0" w:color="auto"/>
              <w:right w:val="single" w:sz="4" w:space="0" w:color="auto"/>
            </w:tcBorders>
          </w:tcPr>
          <w:p w14:paraId="4EFAC194"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Podrška korisnicima (samcima i obitelji) u podmirivanju troškova stanovanja u naravi nabavom ogrjeva</w:t>
            </w:r>
          </w:p>
        </w:tc>
        <w:tc>
          <w:tcPr>
            <w:tcW w:w="1099" w:type="dxa"/>
            <w:tcBorders>
              <w:top w:val="single" w:sz="4" w:space="0" w:color="auto"/>
              <w:left w:val="single" w:sz="4" w:space="0" w:color="auto"/>
              <w:bottom w:val="single" w:sz="4" w:space="0" w:color="auto"/>
              <w:right w:val="single" w:sz="4" w:space="0" w:color="auto"/>
            </w:tcBorders>
            <w:vAlign w:val="center"/>
            <w:hideMark/>
          </w:tcPr>
          <w:p w14:paraId="04E13A7D"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Broj korisnika (prosjek)</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8D7A37"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019681A7" w14:textId="526D964E" w:rsidR="00676A9B" w:rsidRPr="00676A9B" w:rsidRDefault="00F30C53" w:rsidP="00676A9B">
            <w:pPr>
              <w:jc w:val="center"/>
              <w:rPr>
                <w:rFonts w:ascii="Arial" w:hAnsi="Arial" w:cs="Arial"/>
                <w:sz w:val="18"/>
                <w:szCs w:val="18"/>
                <w:lang w:eastAsia="en-US"/>
              </w:rPr>
            </w:pPr>
            <w:r>
              <w:rPr>
                <w:rFonts w:ascii="Arial" w:hAnsi="Arial" w:cs="Arial"/>
                <w:sz w:val="18"/>
                <w:szCs w:val="18"/>
                <w:lang w:eastAsia="en-US"/>
              </w:rPr>
              <w:t>16</w:t>
            </w:r>
          </w:p>
        </w:tc>
        <w:tc>
          <w:tcPr>
            <w:tcW w:w="1134" w:type="dxa"/>
            <w:tcBorders>
              <w:top w:val="single" w:sz="4" w:space="0" w:color="000000"/>
              <w:left w:val="single" w:sz="4" w:space="0" w:color="000000"/>
              <w:bottom w:val="single" w:sz="4" w:space="0" w:color="000000"/>
              <w:right w:val="single" w:sz="4" w:space="0" w:color="000000"/>
            </w:tcBorders>
            <w:vAlign w:val="center"/>
          </w:tcPr>
          <w:p w14:paraId="05F885D7" w14:textId="6E0AFEFE" w:rsidR="00676A9B" w:rsidRPr="00676A9B" w:rsidRDefault="00F30C53" w:rsidP="00676A9B">
            <w:pPr>
              <w:jc w:val="center"/>
              <w:rPr>
                <w:rFonts w:ascii="Arial" w:hAnsi="Arial" w:cs="Arial"/>
                <w:sz w:val="18"/>
                <w:szCs w:val="18"/>
                <w:lang w:eastAsia="en-US"/>
              </w:rPr>
            </w:pPr>
            <w:r>
              <w:rPr>
                <w:rFonts w:ascii="Arial" w:hAnsi="Arial" w:cs="Arial"/>
                <w:sz w:val="18"/>
                <w:szCs w:val="18"/>
                <w:lang w:eastAsia="en-US"/>
              </w:rPr>
              <w:t>1</w:t>
            </w:r>
            <w:r w:rsidR="00676A9B" w:rsidRPr="00676A9B">
              <w:rPr>
                <w:rFonts w:ascii="Arial" w:hAnsi="Arial" w:cs="Arial"/>
                <w:sz w:val="18"/>
                <w:szCs w:val="18"/>
                <w:lang w:eastAsia="en-US"/>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2A3335FE" w14:textId="41F556A6" w:rsidR="00676A9B" w:rsidRPr="00676A9B" w:rsidRDefault="00F30C53" w:rsidP="00676A9B">
            <w:pPr>
              <w:jc w:val="center"/>
              <w:rPr>
                <w:rFonts w:ascii="Arial" w:hAnsi="Arial" w:cs="Arial"/>
                <w:sz w:val="18"/>
                <w:szCs w:val="18"/>
                <w:lang w:eastAsia="en-US"/>
              </w:rPr>
            </w:pPr>
            <w:r>
              <w:rPr>
                <w:rFonts w:ascii="Arial" w:hAnsi="Arial" w:cs="Arial"/>
                <w:sz w:val="18"/>
                <w:szCs w:val="18"/>
                <w:lang w:eastAsia="en-US"/>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09AB08AF" w14:textId="45A535AD" w:rsidR="00676A9B" w:rsidRPr="00676A9B" w:rsidRDefault="00F30C53" w:rsidP="00676A9B">
            <w:pPr>
              <w:jc w:val="center"/>
              <w:rPr>
                <w:rFonts w:ascii="Arial" w:hAnsi="Arial" w:cs="Arial"/>
                <w:sz w:val="18"/>
                <w:szCs w:val="18"/>
                <w:lang w:eastAsia="en-US"/>
              </w:rPr>
            </w:pPr>
            <w:r>
              <w:rPr>
                <w:rFonts w:ascii="Arial" w:hAnsi="Arial" w:cs="Arial"/>
                <w:sz w:val="18"/>
                <w:szCs w:val="18"/>
                <w:lang w:eastAsia="en-US"/>
              </w:rPr>
              <w:t>1</w:t>
            </w:r>
            <w:r w:rsidR="00676A9B" w:rsidRPr="00676A9B">
              <w:rPr>
                <w:rFonts w:ascii="Arial" w:hAnsi="Arial" w:cs="Arial"/>
                <w:sz w:val="18"/>
                <w:szCs w:val="18"/>
                <w:lang w:eastAsia="en-US"/>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0178C6A1" w14:textId="6E0918D8" w:rsidR="00676A9B" w:rsidRPr="00676A9B" w:rsidRDefault="00F30C53" w:rsidP="00676A9B">
            <w:pPr>
              <w:jc w:val="center"/>
              <w:rPr>
                <w:rFonts w:ascii="Arial" w:hAnsi="Arial" w:cs="Arial"/>
                <w:sz w:val="18"/>
                <w:szCs w:val="18"/>
                <w:lang w:eastAsia="en-US"/>
              </w:rPr>
            </w:pPr>
            <w:r>
              <w:rPr>
                <w:rFonts w:ascii="Arial" w:hAnsi="Arial" w:cs="Arial"/>
                <w:sz w:val="18"/>
                <w:szCs w:val="18"/>
                <w:lang w:eastAsia="en-US"/>
              </w:rPr>
              <w:t>1</w:t>
            </w:r>
            <w:r w:rsidR="00676A9B" w:rsidRPr="00676A9B">
              <w:rPr>
                <w:rFonts w:ascii="Arial" w:hAnsi="Arial" w:cs="Arial"/>
                <w:sz w:val="18"/>
                <w:szCs w:val="18"/>
                <w:lang w:eastAsia="en-US"/>
              </w:rPr>
              <w:t>5</w:t>
            </w:r>
          </w:p>
        </w:tc>
      </w:tr>
    </w:tbl>
    <w:p w14:paraId="7CBECD20" w14:textId="77777777" w:rsidR="00676A9B" w:rsidRPr="00676A9B" w:rsidRDefault="00676A9B" w:rsidP="00676A9B">
      <w:pPr>
        <w:spacing w:after="0" w:line="240" w:lineRule="auto"/>
        <w:jc w:val="both"/>
        <w:rPr>
          <w:rFonts w:ascii="Arial" w:eastAsia="Calibri" w:hAnsi="Arial" w:cs="Arial"/>
          <w:sz w:val="20"/>
          <w:szCs w:val="20"/>
          <w:lang w:eastAsia="en-US"/>
        </w:rPr>
      </w:pPr>
    </w:p>
    <w:p w14:paraId="3ED04953" w14:textId="7A3A1EAA"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12. A204119: Sufinanciranje prijevoza vode stanovništvu </w:t>
      </w:r>
      <w:r w:rsidRPr="00676A9B">
        <w:rPr>
          <w:rFonts w:ascii="Arial" w:eastAsia="Calibri" w:hAnsi="Arial" w:cs="Arial"/>
          <w:sz w:val="20"/>
          <w:szCs w:val="20"/>
          <w:lang w:eastAsia="en-US"/>
        </w:rPr>
        <w:t xml:space="preserve">- u sklopu navedene aktivnosti su rashodi za sufinanciranje prijevoza vode kojeg obavlja vatrogasna postrojba uz koordinaciju s komunalnim društvom (rashodi se izvršavaju na temelju doznačenih računa i obračuna prijevoza koji je ovjerila Vatrogasna zajednica Općine kao prijevoznik i korisnici usluge – fizičke osobe). Planirana sredstva za provođenje navedene aktivnosti iznose </w:t>
      </w:r>
      <w:r w:rsidR="000F0FE5">
        <w:rPr>
          <w:rFonts w:ascii="Arial" w:eastAsia="Calibri" w:hAnsi="Arial" w:cs="Arial"/>
          <w:sz w:val="20"/>
          <w:szCs w:val="20"/>
          <w:lang w:eastAsia="en-US"/>
        </w:rPr>
        <w:t>1</w:t>
      </w:r>
      <w:r w:rsidRPr="00676A9B">
        <w:rPr>
          <w:rFonts w:ascii="Arial" w:eastAsia="Calibri" w:hAnsi="Arial" w:cs="Arial"/>
          <w:sz w:val="20"/>
          <w:szCs w:val="20"/>
          <w:lang w:eastAsia="en-US"/>
        </w:rPr>
        <w:t>.500 €. Rashodi su izvršeni u iznosu 1.</w:t>
      </w:r>
      <w:r w:rsidR="000F0FE5">
        <w:rPr>
          <w:rFonts w:ascii="Arial" w:eastAsia="Calibri" w:hAnsi="Arial" w:cs="Arial"/>
          <w:sz w:val="20"/>
          <w:szCs w:val="20"/>
          <w:lang w:eastAsia="en-US"/>
        </w:rPr>
        <w:t>493,10</w:t>
      </w:r>
      <w:r w:rsidRPr="00676A9B">
        <w:rPr>
          <w:rFonts w:ascii="Arial" w:eastAsia="Calibri" w:hAnsi="Arial" w:cs="Arial"/>
          <w:sz w:val="20"/>
          <w:szCs w:val="20"/>
          <w:lang w:eastAsia="en-US"/>
        </w:rPr>
        <w:t xml:space="preserve"> € (</w:t>
      </w:r>
      <w:r w:rsidR="000F0FE5">
        <w:rPr>
          <w:rFonts w:ascii="Arial" w:eastAsia="Calibri" w:hAnsi="Arial" w:cs="Arial"/>
          <w:sz w:val="20"/>
          <w:szCs w:val="20"/>
          <w:lang w:eastAsia="en-US"/>
        </w:rPr>
        <w:t>10</w:t>
      </w:r>
      <w:r w:rsidRPr="00676A9B">
        <w:rPr>
          <w:rFonts w:ascii="Arial" w:eastAsia="Calibri" w:hAnsi="Arial" w:cs="Arial"/>
          <w:sz w:val="20"/>
          <w:szCs w:val="20"/>
          <w:lang w:eastAsia="en-US"/>
        </w:rPr>
        <w:t xml:space="preserve"> obitelji).</w:t>
      </w:r>
    </w:p>
    <w:p w14:paraId="5799C300" w14:textId="77777777" w:rsidR="00676A9B" w:rsidRPr="00676A9B" w:rsidRDefault="00676A9B" w:rsidP="00676A9B">
      <w:pPr>
        <w:spacing w:after="0" w:line="240" w:lineRule="auto"/>
        <w:jc w:val="both"/>
        <w:rPr>
          <w:rFonts w:ascii="Arial" w:eastAsia="Calibri" w:hAnsi="Arial" w:cs="Arial"/>
          <w:i/>
          <w:sz w:val="20"/>
          <w:szCs w:val="20"/>
          <w:lang w:eastAsia="en-US"/>
        </w:rPr>
      </w:pPr>
    </w:p>
    <w:p w14:paraId="40DACCA3" w14:textId="77777777" w:rsidR="00676A9B" w:rsidRPr="00676A9B" w:rsidRDefault="00676A9B" w:rsidP="00676A9B">
      <w:pPr>
        <w:spacing w:after="0" w:line="240" w:lineRule="auto"/>
        <w:jc w:val="both"/>
        <w:rPr>
          <w:rFonts w:ascii="Arial" w:eastAsia="Calibri" w:hAnsi="Arial" w:cs="Arial"/>
          <w:i/>
          <w:sz w:val="20"/>
          <w:szCs w:val="20"/>
          <w:lang w:eastAsia="en-US"/>
        </w:rPr>
      </w:pPr>
      <w:r w:rsidRPr="00676A9B">
        <w:rPr>
          <w:rFonts w:ascii="Arial" w:eastAsia="Calibri" w:hAnsi="Arial" w:cs="Arial"/>
          <w:i/>
          <w:sz w:val="20"/>
          <w:szCs w:val="20"/>
          <w:lang w:eastAsia="en-US"/>
        </w:rPr>
        <w:t>Usporedba:</w:t>
      </w:r>
    </w:p>
    <w:p w14:paraId="24E969CD" w14:textId="77777777" w:rsidR="00676A9B" w:rsidRPr="00676A9B" w:rsidRDefault="00676A9B" w:rsidP="00676A9B">
      <w:pPr>
        <w:spacing w:after="0" w:line="240" w:lineRule="auto"/>
        <w:ind w:left="567"/>
        <w:jc w:val="both"/>
        <w:rPr>
          <w:rFonts w:ascii="Arial" w:eastAsia="Calibri" w:hAnsi="Arial" w:cs="Arial"/>
          <w:i/>
          <w:sz w:val="18"/>
          <w:szCs w:val="18"/>
          <w:lang w:eastAsia="en-US"/>
        </w:rPr>
      </w:pPr>
      <w:r w:rsidRPr="00676A9B">
        <w:rPr>
          <w:rFonts w:ascii="Arial" w:eastAsia="Calibri" w:hAnsi="Arial" w:cs="Arial"/>
          <w:i/>
          <w:sz w:val="18"/>
          <w:szCs w:val="18"/>
          <w:lang w:eastAsia="en-US"/>
        </w:rPr>
        <w:t xml:space="preserve">U </w:t>
      </w:r>
      <w:r w:rsidRPr="00676A9B">
        <w:rPr>
          <w:rFonts w:ascii="Arial" w:eastAsia="Calibri" w:hAnsi="Arial" w:cs="Arial"/>
          <w:b/>
          <w:bCs/>
          <w:i/>
          <w:sz w:val="18"/>
          <w:szCs w:val="18"/>
          <w:lang w:eastAsia="en-US"/>
        </w:rPr>
        <w:t>2021</w:t>
      </w:r>
      <w:r w:rsidRPr="00676A9B">
        <w:rPr>
          <w:rFonts w:ascii="Arial" w:eastAsia="Calibri" w:hAnsi="Arial" w:cs="Arial"/>
          <w:i/>
          <w:sz w:val="18"/>
          <w:szCs w:val="18"/>
          <w:lang w:eastAsia="en-US"/>
        </w:rPr>
        <w:t>. izvršeni rashodi u iznosu 14.187,50 kn / 1.882,95 € (prijevoz vode na Kunu Konavosku za 7 obitelji, te u Vitaljinu, Đuriniće za jednu obitelj).</w:t>
      </w:r>
    </w:p>
    <w:p w14:paraId="298C961F" w14:textId="77777777" w:rsidR="00676A9B" w:rsidRPr="00676A9B" w:rsidRDefault="00676A9B" w:rsidP="00676A9B">
      <w:pPr>
        <w:spacing w:after="0" w:line="240" w:lineRule="auto"/>
        <w:ind w:left="567"/>
        <w:jc w:val="both"/>
        <w:rPr>
          <w:rFonts w:ascii="Arial" w:eastAsia="Calibri" w:hAnsi="Arial" w:cs="Arial"/>
          <w:i/>
          <w:iCs/>
          <w:sz w:val="18"/>
          <w:szCs w:val="18"/>
        </w:rPr>
      </w:pPr>
      <w:r w:rsidRPr="00676A9B">
        <w:rPr>
          <w:rFonts w:ascii="Arial" w:eastAsia="Calibri" w:hAnsi="Arial" w:cs="Arial"/>
          <w:i/>
          <w:iCs/>
          <w:sz w:val="18"/>
          <w:szCs w:val="18"/>
        </w:rPr>
        <w:t xml:space="preserve">U </w:t>
      </w:r>
      <w:r w:rsidRPr="00676A9B">
        <w:rPr>
          <w:rFonts w:ascii="Arial" w:eastAsia="Calibri" w:hAnsi="Arial" w:cs="Arial"/>
          <w:b/>
          <w:bCs/>
          <w:i/>
          <w:iCs/>
          <w:sz w:val="18"/>
          <w:szCs w:val="18"/>
        </w:rPr>
        <w:t>2022</w:t>
      </w:r>
      <w:r w:rsidRPr="00676A9B">
        <w:rPr>
          <w:rFonts w:ascii="Arial" w:eastAsia="Calibri" w:hAnsi="Arial" w:cs="Arial"/>
          <w:i/>
          <w:iCs/>
          <w:sz w:val="18"/>
          <w:szCs w:val="18"/>
        </w:rPr>
        <w:t>. izvršeni rashodi u iznosu 16.250 kn / 2.156,75 € (prijevoz vode na Kunu konavosku za 11 obitelji).</w:t>
      </w:r>
    </w:p>
    <w:p w14:paraId="1167E307" w14:textId="77777777" w:rsidR="00676A9B" w:rsidRDefault="00676A9B" w:rsidP="00676A9B">
      <w:pPr>
        <w:spacing w:after="0" w:line="240" w:lineRule="auto"/>
        <w:ind w:left="567"/>
        <w:jc w:val="both"/>
        <w:rPr>
          <w:rFonts w:ascii="Arial" w:eastAsia="Calibri" w:hAnsi="Arial" w:cs="Arial"/>
          <w:i/>
          <w:iCs/>
          <w:sz w:val="18"/>
          <w:szCs w:val="18"/>
        </w:rPr>
      </w:pPr>
      <w:r w:rsidRPr="00676A9B">
        <w:rPr>
          <w:rFonts w:ascii="Arial" w:eastAsia="Calibri" w:hAnsi="Arial" w:cs="Arial"/>
          <w:i/>
          <w:iCs/>
          <w:sz w:val="18"/>
          <w:szCs w:val="18"/>
        </w:rPr>
        <w:t xml:space="preserve">U </w:t>
      </w:r>
      <w:r w:rsidRPr="00676A9B">
        <w:rPr>
          <w:rFonts w:ascii="Arial" w:eastAsia="Calibri" w:hAnsi="Arial" w:cs="Arial"/>
          <w:b/>
          <w:bCs/>
          <w:i/>
          <w:iCs/>
          <w:sz w:val="18"/>
          <w:szCs w:val="18"/>
        </w:rPr>
        <w:t>2023</w:t>
      </w:r>
      <w:r w:rsidRPr="00676A9B">
        <w:rPr>
          <w:rFonts w:ascii="Arial" w:eastAsia="Calibri" w:hAnsi="Arial" w:cs="Arial"/>
          <w:i/>
          <w:iCs/>
          <w:sz w:val="18"/>
          <w:szCs w:val="18"/>
        </w:rPr>
        <w:t>. izvršeni rashodi u iznosu 331,80 € (3 obitelji).</w:t>
      </w:r>
    </w:p>
    <w:p w14:paraId="2A533756" w14:textId="1A7B9D10" w:rsidR="000F0FE5" w:rsidRPr="000F0FE5" w:rsidRDefault="000F0FE5" w:rsidP="000F0FE5">
      <w:pPr>
        <w:spacing w:after="0" w:line="240" w:lineRule="auto"/>
        <w:ind w:firstLine="567"/>
        <w:jc w:val="both"/>
        <w:rPr>
          <w:rFonts w:ascii="Arial" w:eastAsia="Calibri" w:hAnsi="Arial" w:cs="Arial"/>
          <w:i/>
          <w:iCs/>
          <w:sz w:val="18"/>
          <w:szCs w:val="18"/>
          <w:lang w:eastAsia="en-US"/>
        </w:rPr>
      </w:pPr>
      <w:r>
        <w:rPr>
          <w:rFonts w:ascii="Arial" w:eastAsia="Calibri" w:hAnsi="Arial" w:cs="Arial"/>
          <w:i/>
          <w:iCs/>
          <w:sz w:val="18"/>
          <w:szCs w:val="18"/>
          <w:lang w:eastAsia="en-US"/>
        </w:rPr>
        <w:t xml:space="preserve">U </w:t>
      </w:r>
      <w:r w:rsidRPr="000F0FE5">
        <w:rPr>
          <w:rFonts w:ascii="Arial" w:eastAsia="Calibri" w:hAnsi="Arial" w:cs="Arial"/>
          <w:b/>
          <w:bCs/>
          <w:i/>
          <w:iCs/>
          <w:sz w:val="18"/>
          <w:szCs w:val="18"/>
          <w:lang w:eastAsia="en-US"/>
        </w:rPr>
        <w:t>2024</w:t>
      </w:r>
      <w:r>
        <w:rPr>
          <w:rFonts w:ascii="Arial" w:eastAsia="Calibri" w:hAnsi="Arial" w:cs="Arial"/>
          <w:i/>
          <w:iCs/>
          <w:sz w:val="18"/>
          <w:szCs w:val="18"/>
          <w:lang w:eastAsia="en-US"/>
        </w:rPr>
        <w:t xml:space="preserve">. izvršeni rashodi </w:t>
      </w:r>
      <w:r w:rsidRPr="000F0FE5">
        <w:rPr>
          <w:rFonts w:ascii="Arial" w:eastAsia="Calibri" w:hAnsi="Arial" w:cs="Arial"/>
          <w:i/>
          <w:iCs/>
          <w:sz w:val="18"/>
          <w:szCs w:val="18"/>
          <w:lang w:eastAsia="en-US"/>
        </w:rPr>
        <w:t>u iznosu 1.244,25 € (8 obitelji).</w:t>
      </w:r>
    </w:p>
    <w:p w14:paraId="597D4D1F" w14:textId="77777777" w:rsidR="00676A9B" w:rsidRPr="00676A9B" w:rsidRDefault="00676A9B" w:rsidP="00676A9B">
      <w:pPr>
        <w:spacing w:after="0" w:line="240" w:lineRule="auto"/>
        <w:jc w:val="both"/>
        <w:rPr>
          <w:rFonts w:ascii="Arial" w:eastAsia="Calibri" w:hAnsi="Arial" w:cs="Arial"/>
          <w:b/>
          <w:sz w:val="20"/>
          <w:szCs w:val="20"/>
          <w:lang w:eastAsia="en-US"/>
        </w:rPr>
      </w:pPr>
    </w:p>
    <w:tbl>
      <w:tblPr>
        <w:tblStyle w:val="Reetkatablice536"/>
        <w:tblW w:w="13525" w:type="dxa"/>
        <w:jc w:val="center"/>
        <w:tblLayout w:type="fixed"/>
        <w:tblLook w:val="04A0" w:firstRow="1" w:lastRow="0" w:firstColumn="1" w:lastColumn="0" w:noHBand="0" w:noVBand="1"/>
      </w:tblPr>
      <w:tblGrid>
        <w:gridCol w:w="2952"/>
        <w:gridCol w:w="2572"/>
        <w:gridCol w:w="1099"/>
        <w:gridCol w:w="1134"/>
        <w:gridCol w:w="1232"/>
        <w:gridCol w:w="1134"/>
        <w:gridCol w:w="1134"/>
        <w:gridCol w:w="1134"/>
        <w:gridCol w:w="1134"/>
      </w:tblGrid>
      <w:tr w:rsidR="00676A9B" w:rsidRPr="00676A9B" w14:paraId="565C2BB3" w14:textId="77777777" w:rsidTr="000F0FE5">
        <w:trPr>
          <w:jc w:val="center"/>
        </w:trPr>
        <w:tc>
          <w:tcPr>
            <w:tcW w:w="295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7048657"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257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3A2768C"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0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AAAA283"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F296AA3"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2ECAA09" w14:textId="252A9135"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0F0FE5">
              <w:rPr>
                <w:rFonts w:ascii="Arial" w:eastAsia="Calibri" w:hAnsi="Arial" w:cs="Arial"/>
                <w:lang w:eastAsia="en-US"/>
              </w:rPr>
              <w:t>4</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0C43E54D" w14:textId="50E011E9"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0F0FE5">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3C08022" w14:textId="2D5F7B7B"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0F0FE5">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2B0064EE" w14:textId="79B306DA"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0F0FE5">
              <w:rPr>
                <w:rFonts w:ascii="Arial" w:eastAsia="Calibri" w:hAnsi="Arial" w:cs="Arial"/>
                <w:lang w:eastAsia="en-US"/>
              </w:rPr>
              <w:t>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492CCA5D" w14:textId="75E1E67D"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0F0FE5">
              <w:rPr>
                <w:rFonts w:ascii="Arial" w:eastAsia="Calibri" w:hAnsi="Arial" w:cs="Arial"/>
                <w:lang w:eastAsia="en-US"/>
              </w:rPr>
              <w:t>7</w:t>
            </w:r>
            <w:r w:rsidRPr="00676A9B">
              <w:rPr>
                <w:rFonts w:ascii="Arial" w:eastAsia="Calibri" w:hAnsi="Arial" w:cs="Arial"/>
                <w:lang w:eastAsia="en-US"/>
              </w:rPr>
              <w:t>.</w:t>
            </w:r>
          </w:p>
        </w:tc>
      </w:tr>
      <w:tr w:rsidR="00676A9B" w:rsidRPr="00676A9B" w14:paraId="27C03036" w14:textId="77777777" w:rsidTr="000F0FE5">
        <w:trPr>
          <w:trHeight w:val="1031"/>
          <w:jc w:val="center"/>
        </w:trPr>
        <w:tc>
          <w:tcPr>
            <w:tcW w:w="2952" w:type="dxa"/>
            <w:tcBorders>
              <w:top w:val="single" w:sz="4" w:space="0" w:color="auto"/>
              <w:left w:val="single" w:sz="4" w:space="0" w:color="auto"/>
              <w:bottom w:val="single" w:sz="4" w:space="0" w:color="auto"/>
              <w:right w:val="single" w:sz="4" w:space="0" w:color="auto"/>
            </w:tcBorders>
            <w:vAlign w:val="center"/>
          </w:tcPr>
          <w:p w14:paraId="29054AAB"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Postotak odobrenih zahtjeva za prijevoz vode za piće stanovnicima bez javne vodoopskrbne mreže</w:t>
            </w:r>
          </w:p>
        </w:tc>
        <w:tc>
          <w:tcPr>
            <w:tcW w:w="2572" w:type="dxa"/>
            <w:tcBorders>
              <w:top w:val="single" w:sz="4" w:space="0" w:color="auto"/>
              <w:left w:val="single" w:sz="4" w:space="0" w:color="auto"/>
              <w:bottom w:val="single" w:sz="4" w:space="0" w:color="auto"/>
              <w:right w:val="single" w:sz="4" w:space="0" w:color="auto"/>
            </w:tcBorders>
            <w:vAlign w:val="center"/>
          </w:tcPr>
          <w:p w14:paraId="4B0E5764" w14:textId="77777777" w:rsidR="00676A9B" w:rsidRPr="00676A9B" w:rsidRDefault="00676A9B" w:rsidP="00676A9B">
            <w:pPr>
              <w:rPr>
                <w:rFonts w:ascii="Arial" w:hAnsi="Arial" w:cs="Arial"/>
                <w:sz w:val="18"/>
                <w:szCs w:val="18"/>
                <w:lang w:eastAsia="en-US"/>
              </w:rPr>
            </w:pPr>
            <w:r w:rsidRPr="00676A9B">
              <w:rPr>
                <w:rFonts w:ascii="Arial" w:eastAsia="Calibri" w:hAnsi="Arial" w:cs="Arial"/>
                <w:sz w:val="18"/>
                <w:szCs w:val="18"/>
                <w:lang w:eastAsia="en-US"/>
              </w:rPr>
              <w:t xml:space="preserve">Programom se pomaže stvaranje određenih preduvjeta za kvalitetniji život obiteljima </w:t>
            </w:r>
          </w:p>
        </w:tc>
        <w:tc>
          <w:tcPr>
            <w:tcW w:w="1099" w:type="dxa"/>
            <w:tcBorders>
              <w:top w:val="single" w:sz="4" w:space="0" w:color="auto"/>
              <w:left w:val="single" w:sz="4" w:space="0" w:color="auto"/>
              <w:bottom w:val="single" w:sz="4" w:space="0" w:color="auto"/>
              <w:right w:val="single" w:sz="4" w:space="0" w:color="auto"/>
            </w:tcBorders>
            <w:vAlign w:val="center"/>
            <w:hideMark/>
          </w:tcPr>
          <w:p w14:paraId="60AB46BF" w14:textId="77777777" w:rsid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w:t>
            </w:r>
          </w:p>
          <w:p w14:paraId="003B65EF" w14:textId="01693CD5" w:rsidR="000F0FE5" w:rsidRPr="00676A9B" w:rsidRDefault="000F0FE5" w:rsidP="00676A9B">
            <w:pPr>
              <w:jc w:val="center"/>
              <w:rPr>
                <w:rFonts w:ascii="Arial" w:hAnsi="Arial" w:cs="Arial"/>
                <w:sz w:val="18"/>
                <w:szCs w:val="18"/>
                <w:lang w:eastAsia="en-US"/>
              </w:rPr>
            </w:pPr>
            <w:r>
              <w:rPr>
                <w:rFonts w:ascii="Arial" w:hAnsi="Arial" w:cs="Arial"/>
                <w:sz w:val="18"/>
                <w:szCs w:val="18"/>
                <w:lang w:eastAsia="en-US"/>
              </w:rPr>
              <w:t>(broj korisnika)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C223B2"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hideMark/>
          </w:tcPr>
          <w:p w14:paraId="175A233C" w14:textId="77777777" w:rsid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100 %</w:t>
            </w:r>
          </w:p>
          <w:p w14:paraId="0FE01B0A" w14:textId="59A4DBCB" w:rsidR="000F0FE5" w:rsidRPr="00676A9B" w:rsidRDefault="000F0FE5" w:rsidP="00676A9B">
            <w:pPr>
              <w:jc w:val="center"/>
              <w:rPr>
                <w:rFonts w:ascii="Arial" w:hAnsi="Arial" w:cs="Arial"/>
                <w:sz w:val="18"/>
                <w:szCs w:val="18"/>
                <w:lang w:eastAsia="en-US"/>
              </w:rPr>
            </w:pPr>
            <w:r>
              <w:rPr>
                <w:rFonts w:ascii="Arial" w:hAnsi="Arial" w:cs="Arial"/>
                <w:sz w:val="18"/>
                <w:szCs w:val="18"/>
                <w:lang w:eastAsia="en-US"/>
              </w:rPr>
              <w:t>(8 korisnika)</w:t>
            </w:r>
          </w:p>
        </w:tc>
        <w:tc>
          <w:tcPr>
            <w:tcW w:w="1134" w:type="dxa"/>
            <w:tcBorders>
              <w:top w:val="single" w:sz="4" w:space="0" w:color="000000"/>
              <w:left w:val="single" w:sz="4" w:space="0" w:color="000000"/>
              <w:bottom w:val="single" w:sz="4" w:space="0" w:color="000000"/>
              <w:right w:val="single" w:sz="4" w:space="0" w:color="000000"/>
            </w:tcBorders>
            <w:vAlign w:val="center"/>
          </w:tcPr>
          <w:p w14:paraId="237A1967"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67711F89" w14:textId="77777777" w:rsid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100 %</w:t>
            </w:r>
          </w:p>
          <w:p w14:paraId="1E2D42A6" w14:textId="5D93F503" w:rsidR="000F0FE5" w:rsidRPr="00676A9B" w:rsidRDefault="000F0FE5" w:rsidP="00676A9B">
            <w:pPr>
              <w:jc w:val="center"/>
              <w:rPr>
                <w:rFonts w:ascii="Arial" w:hAnsi="Arial" w:cs="Arial"/>
                <w:sz w:val="18"/>
                <w:szCs w:val="18"/>
                <w:lang w:eastAsia="en-US"/>
              </w:rPr>
            </w:pPr>
            <w:r>
              <w:rPr>
                <w:rFonts w:ascii="Arial" w:hAnsi="Arial" w:cs="Arial"/>
                <w:sz w:val="18"/>
                <w:szCs w:val="18"/>
                <w:lang w:eastAsia="en-US"/>
              </w:rPr>
              <w:t>(10 korisnika)</w:t>
            </w:r>
          </w:p>
        </w:tc>
        <w:tc>
          <w:tcPr>
            <w:tcW w:w="1134" w:type="dxa"/>
            <w:tcBorders>
              <w:top w:val="single" w:sz="4" w:space="0" w:color="000000"/>
              <w:left w:val="single" w:sz="4" w:space="0" w:color="000000"/>
              <w:bottom w:val="single" w:sz="4" w:space="0" w:color="000000"/>
              <w:right w:val="single" w:sz="4" w:space="0" w:color="000000"/>
            </w:tcBorders>
            <w:vAlign w:val="center"/>
          </w:tcPr>
          <w:p w14:paraId="49629B4E"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66ECDBFC"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100 %</w:t>
            </w:r>
          </w:p>
        </w:tc>
      </w:tr>
    </w:tbl>
    <w:p w14:paraId="13063D0B" w14:textId="77777777" w:rsidR="00676A9B" w:rsidRPr="00676A9B" w:rsidRDefault="00676A9B" w:rsidP="00676A9B">
      <w:pPr>
        <w:spacing w:after="0" w:line="240" w:lineRule="auto"/>
        <w:jc w:val="both"/>
        <w:rPr>
          <w:rFonts w:ascii="Arial" w:eastAsia="Calibri" w:hAnsi="Arial" w:cs="Arial"/>
          <w:b/>
          <w:sz w:val="20"/>
          <w:szCs w:val="20"/>
          <w:lang w:eastAsia="en-US"/>
        </w:rPr>
      </w:pPr>
    </w:p>
    <w:p w14:paraId="71609607"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14. A204120: Program pomoći za uslugu dnevnog boravka i prehrane u kuhinji Doma za starije i nemoćne osobe Konavle </w:t>
      </w:r>
      <w:r w:rsidRPr="00676A9B">
        <w:rPr>
          <w:rFonts w:ascii="Arial" w:eastAsia="Calibri" w:hAnsi="Arial" w:cs="Arial"/>
          <w:sz w:val="20"/>
          <w:szCs w:val="20"/>
        </w:rPr>
        <w:t xml:space="preserve">– Sredstva nisu planirana putem ove aktivnosti. </w:t>
      </w:r>
    </w:p>
    <w:p w14:paraId="21686BE1" w14:textId="77777777" w:rsidR="00676A9B" w:rsidRPr="00676A9B" w:rsidRDefault="00676A9B" w:rsidP="00676A9B">
      <w:pPr>
        <w:spacing w:after="0" w:line="240" w:lineRule="auto"/>
        <w:jc w:val="both"/>
        <w:rPr>
          <w:rFonts w:ascii="Arial" w:eastAsia="Calibri" w:hAnsi="Arial" w:cs="Arial"/>
          <w:sz w:val="20"/>
          <w:szCs w:val="20"/>
        </w:rPr>
      </w:pPr>
    </w:p>
    <w:p w14:paraId="3DFF486B"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15. A204121: Program „Usluga pomoći u kući“ </w:t>
      </w:r>
      <w:r w:rsidRPr="00676A9B">
        <w:rPr>
          <w:rFonts w:ascii="Arial" w:eastAsia="Calibri" w:hAnsi="Arial" w:cs="Arial"/>
          <w:sz w:val="20"/>
          <w:szCs w:val="20"/>
        </w:rPr>
        <w:t xml:space="preserve">- Sredstva nisu planirana putem ove aktivnosti. Ova aktivnost nije pokrenuta u Domu za starije i nemoćne osobe. </w:t>
      </w:r>
    </w:p>
    <w:p w14:paraId="0589F4C3" w14:textId="77777777" w:rsidR="00676A9B" w:rsidRPr="00676A9B" w:rsidRDefault="00676A9B" w:rsidP="00676A9B">
      <w:pPr>
        <w:spacing w:after="0" w:line="240" w:lineRule="auto"/>
        <w:jc w:val="both"/>
        <w:rPr>
          <w:rFonts w:ascii="Arial" w:eastAsia="Calibri" w:hAnsi="Arial" w:cs="Arial"/>
          <w:sz w:val="20"/>
          <w:szCs w:val="20"/>
        </w:rPr>
      </w:pPr>
    </w:p>
    <w:p w14:paraId="187F7FAF" w14:textId="369001B8" w:rsidR="00676A9B" w:rsidRPr="00676A9B" w:rsidRDefault="00676A9B" w:rsidP="00676A9B">
      <w:pPr>
        <w:spacing w:after="0" w:line="240" w:lineRule="auto"/>
        <w:jc w:val="both"/>
        <w:rPr>
          <w:rFonts w:ascii="Arial" w:eastAsia="Calibri" w:hAnsi="Arial" w:cs="Arial"/>
          <w:sz w:val="20"/>
          <w:szCs w:val="20"/>
        </w:rPr>
      </w:pPr>
      <w:bookmarkStart w:id="426" w:name="_Hlk135035611"/>
      <w:r w:rsidRPr="00676A9B">
        <w:rPr>
          <w:rFonts w:ascii="Arial" w:eastAsia="Calibri" w:hAnsi="Arial" w:cs="Arial"/>
          <w:b/>
          <w:sz w:val="20"/>
          <w:szCs w:val="20"/>
        </w:rPr>
        <w:t xml:space="preserve">16. A204123: Jednokratna novčana pomoć </w:t>
      </w:r>
      <w:r w:rsidRPr="00676A9B">
        <w:rPr>
          <w:rFonts w:ascii="Arial" w:eastAsia="Calibri" w:hAnsi="Arial" w:cs="Arial"/>
          <w:sz w:val="20"/>
          <w:szCs w:val="20"/>
        </w:rPr>
        <w:t xml:space="preserve">- Planirana sredstva za provođenje navedene aktivnosti, sukladno programu socijalne pomoći iznose </w:t>
      </w:r>
      <w:r w:rsidR="000F0FE5">
        <w:rPr>
          <w:rFonts w:ascii="Arial" w:eastAsia="Calibri" w:hAnsi="Arial" w:cs="Arial"/>
          <w:sz w:val="20"/>
          <w:szCs w:val="20"/>
        </w:rPr>
        <w:t>18</w:t>
      </w:r>
      <w:r w:rsidRPr="00676A9B">
        <w:rPr>
          <w:rFonts w:ascii="Arial" w:eastAsia="Calibri" w:hAnsi="Arial" w:cs="Arial"/>
          <w:sz w:val="20"/>
          <w:szCs w:val="20"/>
        </w:rPr>
        <w:t xml:space="preserve">.500 €. Rashodi su izvršeni u iznosu </w:t>
      </w:r>
      <w:r w:rsidR="000F0FE5">
        <w:rPr>
          <w:rFonts w:ascii="Arial" w:eastAsia="Calibri" w:hAnsi="Arial" w:cs="Arial"/>
          <w:sz w:val="20"/>
          <w:szCs w:val="20"/>
        </w:rPr>
        <w:t>4.598,31</w:t>
      </w:r>
      <w:r w:rsidRPr="00676A9B">
        <w:rPr>
          <w:rFonts w:ascii="Arial" w:eastAsia="Calibri" w:hAnsi="Arial" w:cs="Arial"/>
          <w:sz w:val="20"/>
          <w:szCs w:val="20"/>
        </w:rPr>
        <w:t xml:space="preserve"> € ili</w:t>
      </w:r>
      <w:r w:rsidR="000F0FE5">
        <w:rPr>
          <w:rFonts w:ascii="Arial" w:eastAsia="Calibri" w:hAnsi="Arial" w:cs="Arial"/>
          <w:sz w:val="20"/>
          <w:szCs w:val="20"/>
        </w:rPr>
        <w:t xml:space="preserve"> 24,9</w:t>
      </w:r>
      <w:r w:rsidRPr="00676A9B">
        <w:rPr>
          <w:rFonts w:ascii="Arial" w:eastAsia="Calibri" w:hAnsi="Arial" w:cs="Arial"/>
          <w:sz w:val="20"/>
          <w:szCs w:val="20"/>
        </w:rPr>
        <w:t>% plana</w:t>
      </w:r>
      <w:bookmarkStart w:id="427" w:name="_Hlk103258653"/>
      <w:r w:rsidRPr="00676A9B">
        <w:rPr>
          <w:rFonts w:ascii="Arial" w:eastAsia="Calibri" w:hAnsi="Arial" w:cs="Arial"/>
          <w:sz w:val="20"/>
          <w:szCs w:val="20"/>
        </w:rPr>
        <w:t xml:space="preserve"> i odnose se na pomoći stanovnicima Općine Konavle koji imaju prebivalište u Općini. </w:t>
      </w:r>
    </w:p>
    <w:p w14:paraId="2C6309E1" w14:textId="2B33EBFD" w:rsidR="000F0FE5" w:rsidRPr="000F0FE5" w:rsidRDefault="000F0FE5" w:rsidP="000F0FE5">
      <w:pPr>
        <w:spacing w:after="0" w:line="240" w:lineRule="auto"/>
        <w:jc w:val="both"/>
        <w:rPr>
          <w:rFonts w:ascii="Arial" w:eastAsia="Calibri" w:hAnsi="Arial" w:cs="Arial"/>
          <w:sz w:val="20"/>
          <w:szCs w:val="20"/>
        </w:rPr>
      </w:pPr>
      <w:bookmarkStart w:id="428" w:name="_Hlk230540758"/>
      <w:bookmarkEnd w:id="427"/>
      <w:r w:rsidRPr="000F0FE5">
        <w:rPr>
          <w:rFonts w:ascii="Arial" w:eastAsia="Calibri" w:hAnsi="Arial" w:cs="Arial"/>
          <w:sz w:val="20"/>
          <w:szCs w:val="20"/>
        </w:rPr>
        <w:t xml:space="preserve">Jednokratne novčane pomoći u 2025. su isplaćene za 12 korisnika u ukupnom iznosu 3.910 € (1 korisnik 60 €, 9 korisnika u iznosu 250 €, jedan korisnik 600 €, te jedan korisnik u iznosu 1.000 €, sukladno Programu socijalne pomoći moguće je primanje jednokratne pomoći dva puta godišnje). </w:t>
      </w:r>
    </w:p>
    <w:p w14:paraId="5FE7D5BE" w14:textId="6E7EC484" w:rsidR="00676A9B" w:rsidRPr="00676A9B" w:rsidRDefault="000F0FE5" w:rsidP="000F0FE5">
      <w:pPr>
        <w:spacing w:after="0" w:line="240" w:lineRule="auto"/>
        <w:jc w:val="both"/>
        <w:rPr>
          <w:rFonts w:ascii="Arial" w:eastAsia="Calibri" w:hAnsi="Arial" w:cs="Arial"/>
          <w:sz w:val="20"/>
          <w:szCs w:val="20"/>
        </w:rPr>
      </w:pPr>
      <w:r w:rsidRPr="000F0FE5">
        <w:rPr>
          <w:rFonts w:ascii="Arial" w:eastAsia="Calibri" w:hAnsi="Arial" w:cs="Arial"/>
          <w:sz w:val="20"/>
          <w:szCs w:val="20"/>
        </w:rPr>
        <w:t>Pored navedenog, plaćeni su troškovi prehrane za jednog korisnika u ukupnom iznosu 688,31 €.</w:t>
      </w:r>
    </w:p>
    <w:bookmarkEnd w:id="428"/>
    <w:p w14:paraId="15F5294B" w14:textId="77777777" w:rsidR="000F0FE5" w:rsidRDefault="000F0FE5" w:rsidP="00676A9B">
      <w:pPr>
        <w:spacing w:after="0" w:line="240" w:lineRule="auto"/>
        <w:jc w:val="both"/>
        <w:rPr>
          <w:rFonts w:ascii="Arial" w:eastAsia="Calibri" w:hAnsi="Arial" w:cs="Arial"/>
          <w:i/>
          <w:sz w:val="20"/>
          <w:szCs w:val="20"/>
          <w:lang w:eastAsia="en-US"/>
        </w:rPr>
      </w:pPr>
    </w:p>
    <w:p w14:paraId="3EC0399F" w14:textId="77777777" w:rsidR="009136D4" w:rsidRDefault="009136D4" w:rsidP="00676A9B">
      <w:pPr>
        <w:spacing w:after="0" w:line="240" w:lineRule="auto"/>
        <w:jc w:val="both"/>
        <w:rPr>
          <w:rFonts w:ascii="Arial" w:eastAsia="Calibri" w:hAnsi="Arial" w:cs="Arial"/>
          <w:i/>
          <w:sz w:val="20"/>
          <w:szCs w:val="20"/>
          <w:lang w:eastAsia="en-US"/>
        </w:rPr>
      </w:pPr>
    </w:p>
    <w:p w14:paraId="2026541C" w14:textId="77777777" w:rsidR="009136D4" w:rsidRDefault="009136D4" w:rsidP="00676A9B">
      <w:pPr>
        <w:spacing w:after="0" w:line="240" w:lineRule="auto"/>
        <w:jc w:val="both"/>
        <w:rPr>
          <w:rFonts w:ascii="Arial" w:eastAsia="Calibri" w:hAnsi="Arial" w:cs="Arial"/>
          <w:i/>
          <w:sz w:val="20"/>
          <w:szCs w:val="20"/>
          <w:lang w:eastAsia="en-US"/>
        </w:rPr>
      </w:pPr>
    </w:p>
    <w:p w14:paraId="2ADB3A87" w14:textId="77777777" w:rsidR="009136D4" w:rsidRDefault="009136D4" w:rsidP="00676A9B">
      <w:pPr>
        <w:spacing w:after="0" w:line="240" w:lineRule="auto"/>
        <w:jc w:val="both"/>
        <w:rPr>
          <w:rFonts w:ascii="Arial" w:eastAsia="Calibri" w:hAnsi="Arial" w:cs="Arial"/>
          <w:i/>
          <w:sz w:val="20"/>
          <w:szCs w:val="20"/>
          <w:lang w:eastAsia="en-US"/>
        </w:rPr>
      </w:pPr>
    </w:p>
    <w:p w14:paraId="5BFFC83E" w14:textId="01F10262" w:rsidR="00676A9B" w:rsidRPr="00676A9B" w:rsidRDefault="00676A9B" w:rsidP="00676A9B">
      <w:pPr>
        <w:spacing w:after="0" w:line="240" w:lineRule="auto"/>
        <w:jc w:val="both"/>
        <w:rPr>
          <w:rFonts w:ascii="Arial" w:eastAsia="Calibri" w:hAnsi="Arial" w:cs="Arial"/>
          <w:i/>
          <w:sz w:val="20"/>
          <w:szCs w:val="20"/>
          <w:lang w:eastAsia="en-US"/>
        </w:rPr>
      </w:pPr>
      <w:r w:rsidRPr="00676A9B">
        <w:rPr>
          <w:rFonts w:ascii="Arial" w:eastAsia="Calibri" w:hAnsi="Arial" w:cs="Arial"/>
          <w:i/>
          <w:sz w:val="20"/>
          <w:szCs w:val="20"/>
          <w:lang w:eastAsia="en-US"/>
        </w:rPr>
        <w:lastRenderedPageBreak/>
        <w:t>Usporedba:</w:t>
      </w:r>
    </w:p>
    <w:p w14:paraId="7EB1D3C7" w14:textId="77777777" w:rsidR="00676A9B" w:rsidRPr="00676A9B" w:rsidRDefault="00676A9B" w:rsidP="00676A9B">
      <w:pPr>
        <w:spacing w:after="0" w:line="240" w:lineRule="auto"/>
        <w:ind w:left="567"/>
        <w:jc w:val="both"/>
        <w:rPr>
          <w:rFonts w:ascii="Arial" w:eastAsia="Calibri" w:hAnsi="Arial" w:cs="Arial"/>
          <w:i/>
          <w:iCs/>
          <w:sz w:val="18"/>
          <w:szCs w:val="18"/>
        </w:rPr>
      </w:pPr>
      <w:r w:rsidRPr="00676A9B">
        <w:rPr>
          <w:rFonts w:ascii="Arial" w:eastAsia="Calibri" w:hAnsi="Arial" w:cs="Arial"/>
          <w:i/>
          <w:iCs/>
          <w:sz w:val="18"/>
          <w:szCs w:val="18"/>
        </w:rPr>
        <w:t xml:space="preserve">U </w:t>
      </w:r>
      <w:r w:rsidRPr="00676A9B">
        <w:rPr>
          <w:rFonts w:ascii="Arial" w:eastAsia="Calibri" w:hAnsi="Arial" w:cs="Arial"/>
          <w:b/>
          <w:bCs/>
          <w:i/>
          <w:iCs/>
          <w:sz w:val="18"/>
          <w:szCs w:val="18"/>
        </w:rPr>
        <w:t>2022</w:t>
      </w:r>
      <w:r w:rsidRPr="00676A9B">
        <w:rPr>
          <w:rFonts w:ascii="Arial" w:eastAsia="Calibri" w:hAnsi="Arial" w:cs="Arial"/>
          <w:i/>
          <w:iCs/>
          <w:sz w:val="18"/>
          <w:szCs w:val="18"/>
        </w:rPr>
        <w:t xml:space="preserve">. godini su bili izvršeni rashodi u iznosu 3.782,60 € (28.500 kn), od čega jednokratne novčane pomoći za 14 korisnika u iznosu 500 kn / 66,36 €, odnosno 1.000 kn / 132,72 € ili 1.500 kn / 199,08 € (sukladno Programu socijalne pomoći moguće je primanje jednokratne pomoći dva puta godišnje u iznosima 1.500 kn / 199,08 € maksimalno, odnosno ukupno 3.000 kn / 398,17 €). Pored navedenog, obiteljima koje su smjestile izbjeglice iz Ukrajine isplaćene su jednokratne pomoći u iznosu 1.500 kn / 199,08 € (5 korisnika). </w:t>
      </w:r>
    </w:p>
    <w:p w14:paraId="071670A8" w14:textId="77777777" w:rsidR="00676A9B" w:rsidRPr="00676A9B" w:rsidRDefault="00676A9B" w:rsidP="00676A9B">
      <w:pPr>
        <w:spacing w:after="0" w:line="240" w:lineRule="auto"/>
        <w:ind w:left="567"/>
        <w:jc w:val="both"/>
        <w:rPr>
          <w:rFonts w:ascii="Arial" w:eastAsia="Calibri" w:hAnsi="Arial" w:cs="Arial"/>
          <w:i/>
          <w:iCs/>
          <w:sz w:val="18"/>
          <w:szCs w:val="18"/>
        </w:rPr>
      </w:pPr>
    </w:p>
    <w:p w14:paraId="02EC9E26" w14:textId="77777777" w:rsidR="00676A9B" w:rsidRPr="00676A9B" w:rsidRDefault="00676A9B" w:rsidP="00676A9B">
      <w:pPr>
        <w:spacing w:after="0" w:line="240" w:lineRule="auto"/>
        <w:ind w:left="567"/>
        <w:jc w:val="both"/>
        <w:rPr>
          <w:rFonts w:ascii="Arial" w:eastAsia="Calibri" w:hAnsi="Arial" w:cs="Arial"/>
          <w:i/>
          <w:iCs/>
          <w:sz w:val="18"/>
          <w:szCs w:val="18"/>
        </w:rPr>
      </w:pPr>
      <w:bookmarkStart w:id="429" w:name="_Hlk166147654"/>
      <w:r w:rsidRPr="00676A9B">
        <w:rPr>
          <w:rFonts w:ascii="Arial" w:eastAsia="Calibri" w:hAnsi="Arial" w:cs="Arial"/>
          <w:i/>
          <w:iCs/>
          <w:sz w:val="18"/>
          <w:szCs w:val="18"/>
        </w:rPr>
        <w:t xml:space="preserve">U </w:t>
      </w:r>
      <w:r w:rsidRPr="00676A9B">
        <w:rPr>
          <w:rFonts w:ascii="Arial" w:eastAsia="Calibri" w:hAnsi="Arial" w:cs="Arial"/>
          <w:b/>
          <w:bCs/>
          <w:i/>
          <w:iCs/>
          <w:sz w:val="18"/>
          <w:szCs w:val="18"/>
        </w:rPr>
        <w:t>2023</w:t>
      </w:r>
      <w:r w:rsidRPr="00676A9B">
        <w:rPr>
          <w:rFonts w:ascii="Arial" w:eastAsia="Calibri" w:hAnsi="Arial" w:cs="Arial"/>
          <w:i/>
          <w:iCs/>
          <w:sz w:val="18"/>
          <w:szCs w:val="18"/>
        </w:rPr>
        <w:t xml:space="preserve">. godini su bili izvršeni rashodi u iznosu 5.904,04 € i odnosili su se na jednokratne novčane pomoći za 17 korisnika u iznosu 199,09 € (sukladno Programu socijalne pomoći moguće je primanje jednokratne pomoći dva puta godišnje u iznosima </w:t>
      </w:r>
      <w:bookmarkStart w:id="430" w:name="_Hlk145940840"/>
      <w:r w:rsidRPr="00676A9B">
        <w:rPr>
          <w:rFonts w:ascii="Arial" w:eastAsia="Calibri" w:hAnsi="Arial" w:cs="Arial"/>
          <w:i/>
          <w:iCs/>
          <w:sz w:val="18"/>
          <w:szCs w:val="18"/>
        </w:rPr>
        <w:t>199,08 € maksimalno, odnosno ukupno 398,17 €</w:t>
      </w:r>
      <w:bookmarkEnd w:id="430"/>
      <w:r w:rsidRPr="00676A9B">
        <w:rPr>
          <w:rFonts w:ascii="Arial" w:eastAsia="Calibri" w:hAnsi="Arial" w:cs="Arial"/>
          <w:i/>
          <w:iCs/>
          <w:sz w:val="18"/>
          <w:szCs w:val="18"/>
        </w:rPr>
        <w:t xml:space="preserve">). </w:t>
      </w:r>
      <w:bookmarkStart w:id="431" w:name="_Hlk166655843"/>
      <w:r w:rsidRPr="00676A9B">
        <w:rPr>
          <w:rFonts w:ascii="Arial" w:eastAsia="Calibri" w:hAnsi="Arial" w:cs="Arial"/>
          <w:i/>
          <w:iCs/>
          <w:sz w:val="18"/>
          <w:szCs w:val="18"/>
        </w:rPr>
        <w:t>Pored navedenog, za jednu korisnicu je isplaćena novčana pomoć zbog iznenadnih teških uvjeta 1.000 €. Nadalje, plaćeni su troškovi prehrane u iznosu 83,33 €, dok su za dva preminula korisnika bez nasljednika plaćene pogrebne usluge u ukupnom iznosu 838,91 €.</w:t>
      </w:r>
    </w:p>
    <w:bookmarkEnd w:id="429"/>
    <w:bookmarkEnd w:id="431"/>
    <w:p w14:paraId="4A7BC55C" w14:textId="77777777" w:rsidR="00676A9B" w:rsidRPr="00676A9B" w:rsidRDefault="00676A9B" w:rsidP="00676A9B">
      <w:pPr>
        <w:spacing w:after="0" w:line="240" w:lineRule="auto"/>
        <w:jc w:val="both"/>
        <w:rPr>
          <w:rFonts w:ascii="Arial" w:eastAsia="Calibri" w:hAnsi="Arial" w:cs="Arial"/>
          <w:sz w:val="20"/>
          <w:szCs w:val="20"/>
        </w:rPr>
      </w:pPr>
    </w:p>
    <w:p w14:paraId="094F450D" w14:textId="4FE7B9C6" w:rsidR="00676A9B" w:rsidRPr="000F0FE5" w:rsidRDefault="000F0FE5" w:rsidP="000F0FE5">
      <w:pPr>
        <w:spacing w:after="0" w:line="240" w:lineRule="auto"/>
        <w:ind w:left="567"/>
        <w:jc w:val="both"/>
        <w:rPr>
          <w:rFonts w:ascii="Arial" w:eastAsia="Calibri" w:hAnsi="Arial" w:cs="Arial"/>
          <w:i/>
          <w:iCs/>
          <w:sz w:val="18"/>
          <w:szCs w:val="18"/>
        </w:rPr>
      </w:pPr>
      <w:r w:rsidRPr="00676A9B">
        <w:rPr>
          <w:rFonts w:ascii="Arial" w:eastAsia="Calibri" w:hAnsi="Arial" w:cs="Arial"/>
          <w:i/>
          <w:iCs/>
          <w:sz w:val="18"/>
          <w:szCs w:val="18"/>
        </w:rPr>
        <w:t xml:space="preserve">U </w:t>
      </w:r>
      <w:r w:rsidRPr="00676A9B">
        <w:rPr>
          <w:rFonts w:ascii="Arial" w:eastAsia="Calibri" w:hAnsi="Arial" w:cs="Arial"/>
          <w:b/>
          <w:bCs/>
          <w:i/>
          <w:iCs/>
          <w:sz w:val="18"/>
          <w:szCs w:val="18"/>
        </w:rPr>
        <w:t>202</w:t>
      </w:r>
      <w:r>
        <w:rPr>
          <w:rFonts w:ascii="Arial" w:eastAsia="Calibri" w:hAnsi="Arial" w:cs="Arial"/>
          <w:b/>
          <w:bCs/>
          <w:i/>
          <w:iCs/>
          <w:sz w:val="18"/>
          <w:szCs w:val="18"/>
        </w:rPr>
        <w:t>4</w:t>
      </w:r>
      <w:r w:rsidRPr="00676A9B">
        <w:rPr>
          <w:rFonts w:ascii="Arial" w:eastAsia="Calibri" w:hAnsi="Arial" w:cs="Arial"/>
          <w:i/>
          <w:iCs/>
          <w:sz w:val="18"/>
          <w:szCs w:val="18"/>
        </w:rPr>
        <w:t>. godini</w:t>
      </w:r>
      <w:r>
        <w:rPr>
          <w:rFonts w:ascii="Arial" w:eastAsia="Calibri" w:hAnsi="Arial" w:cs="Arial"/>
          <w:i/>
          <w:iCs/>
          <w:sz w:val="18"/>
          <w:szCs w:val="18"/>
        </w:rPr>
        <w:t xml:space="preserve"> su bili izvršeni rashodi u iznosu </w:t>
      </w:r>
      <w:r w:rsidR="00FF4788">
        <w:rPr>
          <w:rFonts w:ascii="Arial" w:eastAsia="Calibri" w:hAnsi="Arial" w:cs="Arial"/>
          <w:i/>
          <w:iCs/>
          <w:sz w:val="18"/>
          <w:szCs w:val="18"/>
        </w:rPr>
        <w:t>5.125,50 € i odnosili su se na jednokratne novčane pomoći za</w:t>
      </w:r>
      <w:r w:rsidRPr="000F0FE5">
        <w:rPr>
          <w:rFonts w:ascii="Arial" w:eastAsia="Calibri" w:hAnsi="Arial" w:cs="Arial"/>
          <w:i/>
          <w:iCs/>
          <w:sz w:val="18"/>
          <w:szCs w:val="18"/>
        </w:rPr>
        <w:t xml:space="preserve"> 11 korisnika u iznosu 250 € i za jednog korisnika u iznosu 300 € (sukladno Programu socijalne pomoći moguće je primanje jednokratne pomoći dva puta godišnje u iznosima koje općinski načelnik utvrdi početkom godine). Pored navedenog, plaćeni su pogrebni troškovi za jednu osobu (bolest, socijalna skrb) u ukupnom iznosu 2.075,50 €.</w:t>
      </w:r>
    </w:p>
    <w:p w14:paraId="6CA62C48" w14:textId="77777777" w:rsidR="00676A9B" w:rsidRPr="00676A9B" w:rsidRDefault="00676A9B" w:rsidP="00676A9B">
      <w:pPr>
        <w:spacing w:after="0" w:line="240" w:lineRule="auto"/>
        <w:jc w:val="both"/>
        <w:rPr>
          <w:rFonts w:ascii="Arial" w:eastAsia="Calibri" w:hAnsi="Arial" w:cs="Arial"/>
          <w:sz w:val="20"/>
          <w:szCs w:val="20"/>
        </w:rPr>
      </w:pPr>
    </w:p>
    <w:tbl>
      <w:tblPr>
        <w:tblStyle w:val="Reetkatablice536"/>
        <w:tblW w:w="13763" w:type="dxa"/>
        <w:jc w:val="center"/>
        <w:tblLayout w:type="fixed"/>
        <w:tblLook w:val="04A0" w:firstRow="1" w:lastRow="0" w:firstColumn="1" w:lastColumn="0" w:noHBand="0" w:noVBand="1"/>
      </w:tblPr>
      <w:tblGrid>
        <w:gridCol w:w="1696"/>
        <w:gridCol w:w="4111"/>
        <w:gridCol w:w="1134"/>
        <w:gridCol w:w="1054"/>
        <w:gridCol w:w="1232"/>
        <w:gridCol w:w="1134"/>
        <w:gridCol w:w="1134"/>
        <w:gridCol w:w="1134"/>
        <w:gridCol w:w="1134"/>
      </w:tblGrid>
      <w:tr w:rsidR="00676A9B" w:rsidRPr="00676A9B" w14:paraId="15F358BA" w14:textId="77777777" w:rsidTr="00FF4788">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DFDC2C3"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411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B258F60"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AFA3C39"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05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CE55B8D"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5F63260" w14:textId="740AC428"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FF4788">
              <w:rPr>
                <w:rFonts w:ascii="Arial" w:eastAsia="Calibri" w:hAnsi="Arial" w:cs="Arial"/>
                <w:lang w:eastAsia="en-US"/>
              </w:rPr>
              <w:t>4</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40F753FB" w14:textId="0E52A364"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FF4788">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B5DAC7B" w14:textId="702ACA76"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FF4788">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03AEE4E5" w14:textId="5E1B3D0D"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FF4788">
              <w:rPr>
                <w:rFonts w:ascii="Arial" w:eastAsia="Calibri" w:hAnsi="Arial" w:cs="Arial"/>
                <w:lang w:eastAsia="en-US"/>
              </w:rPr>
              <w:t>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678FE28E" w14:textId="26896C3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FF4788">
              <w:rPr>
                <w:rFonts w:ascii="Arial" w:eastAsia="Calibri" w:hAnsi="Arial" w:cs="Arial"/>
                <w:lang w:eastAsia="en-US"/>
              </w:rPr>
              <w:t>7</w:t>
            </w:r>
            <w:r w:rsidRPr="00676A9B">
              <w:rPr>
                <w:rFonts w:ascii="Arial" w:eastAsia="Calibri" w:hAnsi="Arial" w:cs="Arial"/>
                <w:lang w:eastAsia="en-US"/>
              </w:rPr>
              <w:t>.</w:t>
            </w:r>
          </w:p>
        </w:tc>
      </w:tr>
      <w:tr w:rsidR="00676A9B" w:rsidRPr="00676A9B" w14:paraId="51F412F2" w14:textId="77777777" w:rsidTr="00FF4788">
        <w:trPr>
          <w:trHeight w:val="837"/>
          <w:jc w:val="center"/>
        </w:trPr>
        <w:tc>
          <w:tcPr>
            <w:tcW w:w="1696" w:type="dxa"/>
            <w:tcBorders>
              <w:top w:val="single" w:sz="4" w:space="0" w:color="auto"/>
              <w:left w:val="single" w:sz="4" w:space="0" w:color="auto"/>
              <w:bottom w:val="single" w:sz="4" w:space="0" w:color="auto"/>
              <w:right w:val="single" w:sz="4" w:space="0" w:color="auto"/>
            </w:tcBorders>
            <w:vAlign w:val="center"/>
          </w:tcPr>
          <w:p w14:paraId="339F83B4" w14:textId="77777777" w:rsidR="00676A9B" w:rsidRPr="00676A9B" w:rsidRDefault="00676A9B" w:rsidP="00676A9B">
            <w:pPr>
              <w:jc w:val="center"/>
              <w:rPr>
                <w:rFonts w:ascii="Arial" w:hAnsi="Arial" w:cs="Arial"/>
                <w:sz w:val="16"/>
                <w:szCs w:val="16"/>
                <w:lang w:eastAsia="en-US"/>
              </w:rPr>
            </w:pPr>
            <w:r w:rsidRPr="00676A9B">
              <w:rPr>
                <w:rFonts w:ascii="Arial" w:hAnsi="Arial" w:cs="Arial"/>
                <w:sz w:val="16"/>
                <w:szCs w:val="16"/>
                <w:lang w:eastAsia="en-US"/>
              </w:rPr>
              <w:t>Postotak odobrenih zahtjeva korisnicima jednokratnih novčanih pomoći</w:t>
            </w:r>
          </w:p>
        </w:tc>
        <w:tc>
          <w:tcPr>
            <w:tcW w:w="4111" w:type="dxa"/>
            <w:tcBorders>
              <w:top w:val="single" w:sz="4" w:space="0" w:color="auto"/>
              <w:left w:val="single" w:sz="4" w:space="0" w:color="auto"/>
              <w:bottom w:val="single" w:sz="4" w:space="0" w:color="auto"/>
              <w:right w:val="single" w:sz="4" w:space="0" w:color="auto"/>
            </w:tcBorders>
            <w:vAlign w:val="center"/>
          </w:tcPr>
          <w:p w14:paraId="098C69B5" w14:textId="77777777" w:rsidR="00676A9B" w:rsidRPr="00676A9B" w:rsidRDefault="00676A9B" w:rsidP="00676A9B">
            <w:pPr>
              <w:jc w:val="center"/>
              <w:rPr>
                <w:rFonts w:ascii="Arial" w:hAnsi="Arial" w:cs="Arial"/>
                <w:sz w:val="16"/>
                <w:szCs w:val="16"/>
                <w:lang w:eastAsia="en-US"/>
              </w:rPr>
            </w:pPr>
            <w:r w:rsidRPr="00676A9B">
              <w:rPr>
                <w:rFonts w:ascii="Arial" w:hAnsi="Arial" w:cs="Arial"/>
                <w:sz w:val="16"/>
                <w:szCs w:val="16"/>
                <w:lang w:eastAsia="en-US"/>
              </w:rPr>
              <w:t>Pomoć korisnicima (samcima i obiteljima) koji su u trenutnoj socijalnoj potrebi radi neplaniranih novonastalih okolnosti, trenutačnih materijalnih teškoća, bolesti i slično (nezaposlenost, bolest i slično)</w:t>
            </w:r>
          </w:p>
        </w:tc>
        <w:tc>
          <w:tcPr>
            <w:tcW w:w="1134" w:type="dxa"/>
            <w:tcBorders>
              <w:top w:val="single" w:sz="4" w:space="0" w:color="auto"/>
              <w:left w:val="single" w:sz="4" w:space="0" w:color="auto"/>
              <w:bottom w:val="single" w:sz="4" w:space="0" w:color="auto"/>
              <w:right w:val="single" w:sz="4" w:space="0" w:color="auto"/>
            </w:tcBorders>
            <w:vAlign w:val="center"/>
          </w:tcPr>
          <w:p w14:paraId="22BD13C6" w14:textId="77777777" w:rsidR="00676A9B" w:rsidRDefault="00676A9B" w:rsidP="00676A9B">
            <w:pPr>
              <w:jc w:val="center"/>
              <w:rPr>
                <w:rFonts w:ascii="Arial" w:hAnsi="Arial" w:cs="Arial"/>
                <w:lang w:eastAsia="en-US"/>
              </w:rPr>
            </w:pPr>
            <w:r w:rsidRPr="00676A9B">
              <w:rPr>
                <w:rFonts w:ascii="Arial" w:hAnsi="Arial" w:cs="Arial"/>
                <w:lang w:eastAsia="en-US"/>
              </w:rPr>
              <w:t>%</w:t>
            </w:r>
          </w:p>
          <w:p w14:paraId="6AC00C02" w14:textId="40ECE9AB" w:rsidR="00FF4788" w:rsidRPr="00676A9B" w:rsidRDefault="00FF4788" w:rsidP="00676A9B">
            <w:pPr>
              <w:jc w:val="center"/>
              <w:rPr>
                <w:rFonts w:ascii="Arial" w:hAnsi="Arial" w:cs="Arial"/>
                <w:lang w:eastAsia="en-US"/>
              </w:rPr>
            </w:pPr>
            <w:r>
              <w:rPr>
                <w:rFonts w:ascii="Arial" w:hAnsi="Arial" w:cs="Arial"/>
                <w:lang w:eastAsia="en-US"/>
              </w:rPr>
              <w:t>(broj korisnika)</w:t>
            </w:r>
          </w:p>
        </w:tc>
        <w:tc>
          <w:tcPr>
            <w:tcW w:w="1054" w:type="dxa"/>
            <w:tcBorders>
              <w:top w:val="single" w:sz="4" w:space="0" w:color="auto"/>
              <w:left w:val="single" w:sz="4" w:space="0" w:color="auto"/>
              <w:bottom w:val="single" w:sz="4" w:space="0" w:color="auto"/>
              <w:right w:val="single" w:sz="4" w:space="0" w:color="auto"/>
            </w:tcBorders>
            <w:vAlign w:val="center"/>
          </w:tcPr>
          <w:p w14:paraId="64999EF6" w14:textId="77777777" w:rsidR="00676A9B" w:rsidRPr="00676A9B" w:rsidRDefault="00676A9B" w:rsidP="00676A9B">
            <w:pPr>
              <w:jc w:val="center"/>
              <w:rPr>
                <w:rFonts w:ascii="Arial" w:hAnsi="Arial" w:cs="Arial"/>
                <w:lang w:eastAsia="en-US"/>
              </w:rPr>
            </w:pPr>
            <w:r w:rsidRPr="00676A9B">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2711EE39" w14:textId="77777777" w:rsidR="00676A9B" w:rsidRDefault="00676A9B" w:rsidP="00676A9B">
            <w:pPr>
              <w:jc w:val="center"/>
              <w:rPr>
                <w:rFonts w:ascii="Arial" w:hAnsi="Arial" w:cs="Arial"/>
                <w:lang w:eastAsia="en-US"/>
              </w:rPr>
            </w:pPr>
            <w:r w:rsidRPr="00676A9B">
              <w:rPr>
                <w:rFonts w:ascii="Arial" w:hAnsi="Arial" w:cs="Arial"/>
                <w:lang w:eastAsia="en-US"/>
              </w:rPr>
              <w:t>100 %</w:t>
            </w:r>
          </w:p>
          <w:p w14:paraId="74743555" w14:textId="5D0CC395" w:rsidR="00A76411" w:rsidRPr="00676A9B" w:rsidRDefault="00A76411" w:rsidP="00676A9B">
            <w:pPr>
              <w:jc w:val="center"/>
              <w:rPr>
                <w:rFonts w:ascii="Arial" w:hAnsi="Arial" w:cs="Arial"/>
                <w:lang w:eastAsia="en-US"/>
              </w:rPr>
            </w:pPr>
            <w:r>
              <w:rPr>
                <w:rFonts w:ascii="Arial" w:hAnsi="Arial" w:cs="Arial"/>
                <w:lang w:eastAsia="en-US"/>
              </w:rPr>
              <w:t>(12 korisnika)</w:t>
            </w:r>
          </w:p>
        </w:tc>
        <w:tc>
          <w:tcPr>
            <w:tcW w:w="1134" w:type="dxa"/>
            <w:tcBorders>
              <w:top w:val="single" w:sz="4" w:space="0" w:color="000000"/>
              <w:left w:val="single" w:sz="4" w:space="0" w:color="000000"/>
              <w:bottom w:val="single" w:sz="4" w:space="0" w:color="000000"/>
              <w:right w:val="single" w:sz="4" w:space="0" w:color="000000"/>
            </w:tcBorders>
            <w:vAlign w:val="center"/>
          </w:tcPr>
          <w:p w14:paraId="292EE249"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2786B110" w14:textId="77777777" w:rsidR="00676A9B" w:rsidRDefault="00676A9B" w:rsidP="00676A9B">
            <w:pPr>
              <w:jc w:val="center"/>
              <w:rPr>
                <w:rFonts w:ascii="Arial" w:hAnsi="Arial" w:cs="Arial"/>
                <w:lang w:eastAsia="en-US"/>
              </w:rPr>
            </w:pPr>
            <w:r w:rsidRPr="00676A9B">
              <w:rPr>
                <w:rFonts w:ascii="Arial" w:hAnsi="Arial" w:cs="Arial"/>
                <w:lang w:eastAsia="en-US"/>
              </w:rPr>
              <w:t>100 %</w:t>
            </w:r>
          </w:p>
          <w:p w14:paraId="06ABCD49" w14:textId="3FCA2A4D" w:rsidR="00A76411" w:rsidRPr="00676A9B" w:rsidRDefault="00A76411" w:rsidP="00676A9B">
            <w:pPr>
              <w:jc w:val="center"/>
              <w:rPr>
                <w:rFonts w:ascii="Arial" w:hAnsi="Arial" w:cs="Arial"/>
                <w:lang w:eastAsia="en-US"/>
              </w:rPr>
            </w:pPr>
            <w:r>
              <w:rPr>
                <w:rFonts w:ascii="Arial" w:hAnsi="Arial" w:cs="Arial"/>
                <w:lang w:eastAsia="en-US"/>
              </w:rPr>
              <w:t>(12 korisnika)</w:t>
            </w:r>
          </w:p>
        </w:tc>
        <w:tc>
          <w:tcPr>
            <w:tcW w:w="1134" w:type="dxa"/>
            <w:tcBorders>
              <w:top w:val="single" w:sz="4" w:space="0" w:color="000000"/>
              <w:left w:val="single" w:sz="4" w:space="0" w:color="000000"/>
              <w:bottom w:val="single" w:sz="4" w:space="0" w:color="000000"/>
              <w:right w:val="single" w:sz="4" w:space="0" w:color="000000"/>
            </w:tcBorders>
            <w:vAlign w:val="center"/>
          </w:tcPr>
          <w:p w14:paraId="07EF16EE"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7A4F5EC8"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r>
    </w:tbl>
    <w:p w14:paraId="1B87A429" w14:textId="77777777" w:rsidR="00676A9B" w:rsidRPr="00676A9B" w:rsidRDefault="00676A9B" w:rsidP="00676A9B">
      <w:pPr>
        <w:spacing w:after="0" w:line="240" w:lineRule="auto"/>
        <w:jc w:val="both"/>
        <w:rPr>
          <w:rFonts w:ascii="Arial" w:eastAsia="Calibri" w:hAnsi="Arial" w:cs="Arial"/>
          <w:sz w:val="20"/>
          <w:szCs w:val="20"/>
        </w:rPr>
      </w:pPr>
    </w:p>
    <w:p w14:paraId="3DB16EFE" w14:textId="2C7B5007" w:rsidR="00676A9B" w:rsidRPr="00676A9B" w:rsidRDefault="00676A9B" w:rsidP="00676A9B">
      <w:pPr>
        <w:spacing w:after="0" w:line="240" w:lineRule="auto"/>
        <w:jc w:val="both"/>
        <w:rPr>
          <w:rFonts w:ascii="Arial" w:eastAsia="Calibri" w:hAnsi="Arial" w:cs="Arial"/>
          <w:sz w:val="20"/>
          <w:szCs w:val="20"/>
        </w:rPr>
      </w:pPr>
      <w:bookmarkStart w:id="432" w:name="_Hlk135035695"/>
      <w:bookmarkEnd w:id="426"/>
      <w:r w:rsidRPr="00676A9B">
        <w:rPr>
          <w:rFonts w:ascii="Arial" w:eastAsia="Calibri" w:hAnsi="Arial" w:cs="Arial"/>
          <w:b/>
          <w:sz w:val="20"/>
          <w:szCs w:val="20"/>
        </w:rPr>
        <w:t xml:space="preserve">17. A204125: Sufinanciranje cijene osnovnih usluga smještaja u Domu za starije i nemoćne osobe stanovnicima OK </w:t>
      </w:r>
      <w:r w:rsidRPr="00676A9B">
        <w:rPr>
          <w:rFonts w:ascii="Arial" w:eastAsia="Calibri" w:hAnsi="Arial" w:cs="Arial"/>
          <w:sz w:val="20"/>
          <w:szCs w:val="20"/>
        </w:rPr>
        <w:t>- Planirana sredstva za provođenje navedene aktivnosti, sukladno programu socijalne pomoći, iznose 10</w:t>
      </w:r>
      <w:r w:rsidR="00A76411">
        <w:rPr>
          <w:rFonts w:ascii="Arial" w:eastAsia="Calibri" w:hAnsi="Arial" w:cs="Arial"/>
          <w:sz w:val="20"/>
          <w:szCs w:val="20"/>
        </w:rPr>
        <w:t>5</w:t>
      </w:r>
      <w:r w:rsidRPr="00676A9B">
        <w:rPr>
          <w:rFonts w:ascii="Arial" w:eastAsia="Calibri" w:hAnsi="Arial" w:cs="Arial"/>
          <w:sz w:val="20"/>
          <w:szCs w:val="20"/>
        </w:rPr>
        <w:t xml:space="preserve">.000 €. Rashodi su izvršeni u iznosu </w:t>
      </w:r>
      <w:r w:rsidR="00A76411">
        <w:rPr>
          <w:rFonts w:ascii="Arial" w:eastAsia="Calibri" w:hAnsi="Arial" w:cs="Arial"/>
          <w:sz w:val="20"/>
          <w:szCs w:val="20"/>
        </w:rPr>
        <w:t>103.245,07</w:t>
      </w:r>
      <w:r w:rsidRPr="00676A9B">
        <w:rPr>
          <w:rFonts w:ascii="Arial" w:eastAsia="Calibri" w:hAnsi="Arial" w:cs="Arial"/>
          <w:sz w:val="20"/>
          <w:szCs w:val="20"/>
        </w:rPr>
        <w:t xml:space="preserve"> € ili 9</w:t>
      </w:r>
      <w:r w:rsidR="00A76411">
        <w:rPr>
          <w:rFonts w:ascii="Arial" w:eastAsia="Calibri" w:hAnsi="Arial" w:cs="Arial"/>
          <w:sz w:val="20"/>
          <w:szCs w:val="20"/>
        </w:rPr>
        <w:t>8,3</w:t>
      </w:r>
      <w:r w:rsidRPr="00676A9B">
        <w:rPr>
          <w:rFonts w:ascii="Arial" w:eastAsia="Calibri" w:hAnsi="Arial" w:cs="Arial"/>
          <w:sz w:val="20"/>
          <w:szCs w:val="20"/>
        </w:rPr>
        <w:t xml:space="preserve">% plana. Dom za starije i nemoćne osobe je počeo s aktivnim radom u srpnju 2016. </w:t>
      </w:r>
    </w:p>
    <w:p w14:paraId="5AFBE5A8" w14:textId="77777777" w:rsidR="00676A9B" w:rsidRPr="00676A9B" w:rsidRDefault="00676A9B" w:rsidP="00676A9B">
      <w:pPr>
        <w:spacing w:after="0" w:line="240" w:lineRule="auto"/>
        <w:jc w:val="both"/>
        <w:rPr>
          <w:rFonts w:ascii="Arial" w:eastAsia="Calibri" w:hAnsi="Arial" w:cs="Arial"/>
          <w:sz w:val="20"/>
          <w:szCs w:val="20"/>
        </w:rPr>
      </w:pPr>
      <w:bookmarkStart w:id="433" w:name="_Hlk103251541"/>
    </w:p>
    <w:bookmarkEnd w:id="433"/>
    <w:p w14:paraId="610A888D" w14:textId="129652B3" w:rsidR="00676A9B" w:rsidRDefault="00A76411" w:rsidP="00676A9B">
      <w:pPr>
        <w:spacing w:after="0" w:line="240" w:lineRule="auto"/>
        <w:jc w:val="both"/>
        <w:rPr>
          <w:rFonts w:ascii="Arial" w:eastAsia="Calibri" w:hAnsi="Arial" w:cs="Arial"/>
          <w:sz w:val="20"/>
          <w:szCs w:val="20"/>
        </w:rPr>
      </w:pPr>
      <w:r w:rsidRPr="00A76411">
        <w:rPr>
          <w:rFonts w:ascii="Arial" w:eastAsia="Calibri" w:hAnsi="Arial" w:cs="Arial"/>
          <w:sz w:val="20"/>
          <w:szCs w:val="20"/>
        </w:rPr>
        <w:t>U 2025. godini ove subvencije koristi u prosjeku 49 korisnika. U siječnju 2025. bilo je 46 korisnika, a u lipnju 2025. je bio 51 korisnik, a koncem 2025. godine 49 korisnika.</w:t>
      </w:r>
    </w:p>
    <w:p w14:paraId="1A7F6D8B" w14:textId="77777777" w:rsidR="00A76411" w:rsidRPr="00676A9B" w:rsidRDefault="00A76411" w:rsidP="00676A9B">
      <w:pPr>
        <w:spacing w:after="0" w:line="240" w:lineRule="auto"/>
        <w:jc w:val="both"/>
        <w:rPr>
          <w:rFonts w:ascii="Arial" w:eastAsia="Times New Roman" w:hAnsi="Arial" w:cs="Arial"/>
          <w:sz w:val="20"/>
          <w:szCs w:val="20"/>
        </w:rPr>
      </w:pPr>
    </w:p>
    <w:p w14:paraId="6C25732B"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Calibri" w:hAnsi="Arial" w:cs="Arial"/>
          <w:sz w:val="18"/>
          <w:szCs w:val="18"/>
        </w:rPr>
      </w:pPr>
      <w:bookmarkStart w:id="434" w:name="_Hlk166147745"/>
      <w:r w:rsidRPr="00676A9B">
        <w:rPr>
          <w:rFonts w:ascii="Arial" w:eastAsia="Times New Roman" w:hAnsi="Arial" w:cs="Arial"/>
          <w:sz w:val="18"/>
          <w:szCs w:val="18"/>
        </w:rPr>
        <w:t>Sufinanciranje cijene osnovnih usluga smještaja u Domu za starije i nemoćne osobe stanovnicima Općine izvršeno je na temelju Socijalnog programa, te odluke Općinskog vijeća o prihvaćanju Odluke o cijenama usluga Doma za starije i nemoćne osobe od 10. travnja 2015. (Službeni glasnik Općine Konavle 3/15). Prema navedenoj Odluci o cijenama usluga u Domu za starije i nemoćne osobe Konavle, s</w:t>
      </w:r>
      <w:r w:rsidRPr="00676A9B">
        <w:rPr>
          <w:rFonts w:ascii="Arial" w:eastAsia="Calibri" w:hAnsi="Arial" w:cs="Arial"/>
          <w:sz w:val="18"/>
          <w:szCs w:val="18"/>
        </w:rPr>
        <w:t xml:space="preserve">tanovnici Općine Konavle s prebivalištem na području Općine Konavle u neprekidnom trajanju od najmanje trideset (30) godina prije podnošenja zahtjeva za prijem u Dom ostvaruju pravo na sufinanciranje cijene osnovnih usluga smještaja iz proračuna Općine Konavle u iznosu od 20% od osnovne cijene smještaja. </w:t>
      </w:r>
    </w:p>
    <w:p w14:paraId="73C032AD"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20"/>
          <w:szCs w:val="20"/>
        </w:rPr>
      </w:pPr>
    </w:p>
    <w:p w14:paraId="2F651301" w14:textId="77777777" w:rsidR="00676A9B" w:rsidRP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Calibri" w:hAnsi="Arial" w:cs="Arial"/>
          <w:sz w:val="18"/>
          <w:szCs w:val="18"/>
        </w:rPr>
      </w:pPr>
      <w:r w:rsidRPr="00676A9B">
        <w:rPr>
          <w:rFonts w:ascii="Arial" w:eastAsia="Calibri" w:hAnsi="Arial" w:cs="Arial"/>
          <w:sz w:val="18"/>
          <w:szCs w:val="18"/>
        </w:rPr>
        <w:t>Općinsko vijeće je 21. veljače 2020. donijelo odluku o davanju suglasnosti na prijedlog izmjena odluka o cijenama usluga u domu (Službeni glasnik Općine Konavle 1/2020). Nove cijene su se trebale početi primjenjivati od svibnja 2020., međutim, zbog nastupanja okolnosti uvjetovanih pandemijom bolesti COVID 19, novi cjenik nije stupio na snagu. Nova Odluka o cijenama usluga donesena je u studenom 2020., te je cjenik objavljen u Službenom glasniku Općine Konavle 11/2020 i započeo s primjenom početkom 2021. Nova Odluka o cijenama usluga je donesena u lipnju 2024. godine i objavljena je u Službenom glasniku Općine Konavle 4/2024.</w:t>
      </w:r>
    </w:p>
    <w:p w14:paraId="5396E674" w14:textId="77777777" w:rsidR="00676A9B" w:rsidRDefault="00676A9B"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20"/>
          <w:szCs w:val="20"/>
        </w:rPr>
      </w:pPr>
    </w:p>
    <w:p w14:paraId="216EA832" w14:textId="77777777" w:rsidR="009136D4" w:rsidRDefault="009136D4"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20"/>
          <w:szCs w:val="20"/>
        </w:rPr>
      </w:pPr>
    </w:p>
    <w:p w14:paraId="23D52580" w14:textId="77777777" w:rsidR="009136D4" w:rsidRDefault="009136D4"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20"/>
          <w:szCs w:val="20"/>
        </w:rPr>
      </w:pPr>
    </w:p>
    <w:p w14:paraId="73F7B7D0" w14:textId="77777777" w:rsidR="009136D4" w:rsidRPr="00676A9B" w:rsidRDefault="009136D4" w:rsidP="00676A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sz w:val="20"/>
          <w:szCs w:val="20"/>
        </w:rPr>
      </w:pPr>
    </w:p>
    <w:bookmarkEnd w:id="432"/>
    <w:bookmarkEnd w:id="434"/>
    <w:p w14:paraId="5F13C8DB"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Times New Roman" w:hAnsi="Arial" w:cs="Arial"/>
          <w:i/>
          <w:sz w:val="20"/>
          <w:szCs w:val="20"/>
          <w:lang w:eastAsia="en-US"/>
        </w:rPr>
        <w:lastRenderedPageBreak/>
        <w:t xml:space="preserve">*Usporedba: </w:t>
      </w:r>
    </w:p>
    <w:tbl>
      <w:tblPr>
        <w:tblStyle w:val="Reetkatablice69"/>
        <w:tblW w:w="0" w:type="auto"/>
        <w:jc w:val="center"/>
        <w:tblLook w:val="04A0" w:firstRow="1" w:lastRow="0" w:firstColumn="1" w:lastColumn="0" w:noHBand="0" w:noVBand="1"/>
      </w:tblPr>
      <w:tblGrid>
        <w:gridCol w:w="1042"/>
        <w:gridCol w:w="2195"/>
        <w:gridCol w:w="1117"/>
        <w:gridCol w:w="9175"/>
      </w:tblGrid>
      <w:tr w:rsidR="00676A9B" w:rsidRPr="00676A9B" w14:paraId="309E5AC8" w14:textId="77777777" w:rsidTr="00A76411">
        <w:trPr>
          <w:jc w:val="center"/>
        </w:trPr>
        <w:tc>
          <w:tcPr>
            <w:tcW w:w="1042" w:type="dxa"/>
            <w:vAlign w:val="center"/>
          </w:tcPr>
          <w:p w14:paraId="150D55CC" w14:textId="77777777" w:rsidR="00676A9B" w:rsidRPr="00676A9B" w:rsidRDefault="00676A9B" w:rsidP="00676A9B">
            <w:pPr>
              <w:jc w:val="center"/>
              <w:rPr>
                <w:rFonts w:ascii="Arial" w:eastAsia="Calibri" w:hAnsi="Arial" w:cs="Arial"/>
                <w:i/>
                <w:iCs/>
                <w:sz w:val="18"/>
                <w:szCs w:val="18"/>
                <w:lang w:eastAsia="en-US"/>
              </w:rPr>
            </w:pPr>
            <w:r w:rsidRPr="00676A9B">
              <w:rPr>
                <w:rFonts w:ascii="Arial" w:eastAsia="Calibri" w:hAnsi="Arial" w:cs="Arial"/>
                <w:i/>
                <w:iCs/>
                <w:sz w:val="18"/>
                <w:szCs w:val="18"/>
                <w:lang w:eastAsia="en-US"/>
              </w:rPr>
              <w:t>Godina</w:t>
            </w:r>
          </w:p>
        </w:tc>
        <w:tc>
          <w:tcPr>
            <w:tcW w:w="2195" w:type="dxa"/>
            <w:vAlign w:val="center"/>
          </w:tcPr>
          <w:p w14:paraId="3BA13D97" w14:textId="77777777" w:rsidR="00676A9B" w:rsidRPr="00676A9B" w:rsidRDefault="00676A9B" w:rsidP="00676A9B">
            <w:pPr>
              <w:jc w:val="center"/>
              <w:rPr>
                <w:rFonts w:ascii="Arial" w:eastAsia="Calibri" w:hAnsi="Arial" w:cs="Arial"/>
                <w:i/>
                <w:iCs/>
                <w:sz w:val="18"/>
                <w:szCs w:val="18"/>
                <w:lang w:eastAsia="en-US"/>
              </w:rPr>
            </w:pPr>
            <w:r w:rsidRPr="00676A9B">
              <w:rPr>
                <w:rFonts w:ascii="Arial" w:eastAsia="Calibri" w:hAnsi="Arial" w:cs="Arial"/>
                <w:i/>
                <w:iCs/>
                <w:sz w:val="18"/>
                <w:szCs w:val="18"/>
                <w:lang w:eastAsia="en-US"/>
              </w:rPr>
              <w:t>Broj korisnika subvencije (</w:t>
            </w:r>
            <w:r w:rsidRPr="00676A9B">
              <w:rPr>
                <w:rFonts w:ascii="Arial" w:eastAsia="Calibri" w:hAnsi="Arial" w:cs="Arial"/>
                <w:b/>
                <w:bCs/>
                <w:i/>
                <w:iCs/>
                <w:sz w:val="18"/>
                <w:szCs w:val="18"/>
                <w:lang w:eastAsia="en-US"/>
              </w:rPr>
              <w:t>prosječno mjesečno</w:t>
            </w:r>
            <w:r w:rsidRPr="00676A9B">
              <w:rPr>
                <w:rFonts w:ascii="Arial" w:eastAsia="Calibri" w:hAnsi="Arial" w:cs="Arial"/>
                <w:i/>
                <w:iCs/>
                <w:sz w:val="18"/>
                <w:szCs w:val="18"/>
                <w:lang w:eastAsia="en-US"/>
              </w:rPr>
              <w:t>)</w:t>
            </w:r>
          </w:p>
        </w:tc>
        <w:tc>
          <w:tcPr>
            <w:tcW w:w="1117" w:type="dxa"/>
            <w:vAlign w:val="center"/>
          </w:tcPr>
          <w:p w14:paraId="33C49276" w14:textId="77777777" w:rsidR="00676A9B" w:rsidRPr="00676A9B" w:rsidRDefault="00676A9B" w:rsidP="00676A9B">
            <w:pPr>
              <w:jc w:val="center"/>
              <w:rPr>
                <w:rFonts w:ascii="Arial" w:eastAsia="Calibri" w:hAnsi="Arial" w:cs="Arial"/>
                <w:i/>
                <w:iCs/>
                <w:sz w:val="18"/>
                <w:szCs w:val="18"/>
                <w:lang w:eastAsia="en-US"/>
              </w:rPr>
            </w:pPr>
            <w:r w:rsidRPr="00676A9B">
              <w:rPr>
                <w:rFonts w:ascii="Arial" w:eastAsia="Calibri" w:hAnsi="Arial" w:cs="Arial"/>
                <w:i/>
                <w:iCs/>
                <w:sz w:val="18"/>
                <w:szCs w:val="18"/>
                <w:lang w:eastAsia="en-US"/>
              </w:rPr>
              <w:t>Izvršeno (€)</w:t>
            </w:r>
          </w:p>
        </w:tc>
        <w:tc>
          <w:tcPr>
            <w:tcW w:w="9175" w:type="dxa"/>
            <w:vAlign w:val="center"/>
          </w:tcPr>
          <w:p w14:paraId="17339315" w14:textId="77777777" w:rsidR="00676A9B" w:rsidRPr="00676A9B" w:rsidRDefault="00676A9B" w:rsidP="00676A9B">
            <w:pPr>
              <w:jc w:val="center"/>
              <w:rPr>
                <w:rFonts w:ascii="Arial" w:eastAsia="Calibri" w:hAnsi="Arial" w:cs="Arial"/>
                <w:i/>
                <w:iCs/>
                <w:sz w:val="18"/>
                <w:szCs w:val="18"/>
                <w:lang w:eastAsia="en-US"/>
              </w:rPr>
            </w:pPr>
            <w:r w:rsidRPr="00676A9B">
              <w:rPr>
                <w:rFonts w:ascii="Arial" w:eastAsia="Calibri" w:hAnsi="Arial" w:cs="Arial"/>
                <w:i/>
                <w:iCs/>
                <w:sz w:val="18"/>
                <w:szCs w:val="18"/>
                <w:lang w:eastAsia="en-US"/>
              </w:rPr>
              <w:t>Obrazloženje</w:t>
            </w:r>
          </w:p>
        </w:tc>
      </w:tr>
      <w:tr w:rsidR="00676A9B" w:rsidRPr="00676A9B" w14:paraId="32802CB2" w14:textId="77777777" w:rsidTr="00A76411">
        <w:trPr>
          <w:jc w:val="center"/>
        </w:trPr>
        <w:tc>
          <w:tcPr>
            <w:tcW w:w="1042" w:type="dxa"/>
            <w:vAlign w:val="center"/>
          </w:tcPr>
          <w:p w14:paraId="460D6F71"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2016.</w:t>
            </w:r>
          </w:p>
        </w:tc>
        <w:tc>
          <w:tcPr>
            <w:tcW w:w="2195" w:type="dxa"/>
            <w:vAlign w:val="center"/>
          </w:tcPr>
          <w:p w14:paraId="0C791227"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28</w:t>
            </w:r>
          </w:p>
        </w:tc>
        <w:tc>
          <w:tcPr>
            <w:tcW w:w="1117" w:type="dxa"/>
            <w:tcBorders>
              <w:top w:val="nil"/>
              <w:left w:val="nil"/>
              <w:bottom w:val="single" w:sz="8" w:space="0" w:color="auto"/>
              <w:right w:val="single" w:sz="8" w:space="0" w:color="auto"/>
            </w:tcBorders>
            <w:vAlign w:val="center"/>
          </w:tcPr>
          <w:p w14:paraId="1BBA1C51" w14:textId="77777777" w:rsidR="00676A9B" w:rsidRPr="00676A9B" w:rsidRDefault="00676A9B" w:rsidP="00676A9B">
            <w:pPr>
              <w:jc w:val="right"/>
              <w:rPr>
                <w:rFonts w:ascii="Arial" w:eastAsia="Calibri" w:hAnsi="Arial" w:cs="Arial"/>
                <w:sz w:val="18"/>
                <w:szCs w:val="18"/>
                <w:lang w:eastAsia="en-US"/>
              </w:rPr>
            </w:pPr>
            <w:r w:rsidRPr="00676A9B">
              <w:rPr>
                <w:rFonts w:ascii="Arial" w:hAnsi="Arial" w:cs="Arial"/>
                <w:sz w:val="18"/>
                <w:szCs w:val="18"/>
                <w:lang w:eastAsia="en-US"/>
              </w:rPr>
              <w:t>15.922,03</w:t>
            </w:r>
          </w:p>
        </w:tc>
        <w:tc>
          <w:tcPr>
            <w:tcW w:w="9175" w:type="dxa"/>
            <w:vAlign w:val="center"/>
          </w:tcPr>
          <w:p w14:paraId="4DDD011A" w14:textId="77777777" w:rsidR="00676A9B" w:rsidRPr="00676A9B" w:rsidRDefault="00676A9B" w:rsidP="00676A9B">
            <w:pPr>
              <w:jc w:val="both"/>
              <w:rPr>
                <w:rFonts w:ascii="Arial" w:eastAsia="Calibri" w:hAnsi="Arial" w:cs="Arial"/>
                <w:sz w:val="18"/>
                <w:szCs w:val="18"/>
                <w:lang w:eastAsia="en-US"/>
              </w:rPr>
            </w:pPr>
            <w:r w:rsidRPr="00676A9B">
              <w:rPr>
                <w:rFonts w:ascii="Arial" w:eastAsia="Calibri" w:hAnsi="Arial" w:cs="Arial"/>
                <w:sz w:val="18"/>
                <w:szCs w:val="18"/>
                <w:lang w:eastAsia="en-US"/>
              </w:rPr>
              <w:t>Dom za starije i nemoćne osobe je počeo s aktivnim radom u srpnju 2016.</w:t>
            </w:r>
          </w:p>
        </w:tc>
      </w:tr>
      <w:tr w:rsidR="00676A9B" w:rsidRPr="00676A9B" w14:paraId="64D7DD0A" w14:textId="77777777" w:rsidTr="00A76411">
        <w:trPr>
          <w:jc w:val="center"/>
        </w:trPr>
        <w:tc>
          <w:tcPr>
            <w:tcW w:w="1042" w:type="dxa"/>
            <w:vAlign w:val="center"/>
          </w:tcPr>
          <w:p w14:paraId="7A3F71DE"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2017.</w:t>
            </w:r>
          </w:p>
        </w:tc>
        <w:tc>
          <w:tcPr>
            <w:tcW w:w="2195" w:type="dxa"/>
            <w:vAlign w:val="center"/>
          </w:tcPr>
          <w:p w14:paraId="6F003D3E"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31</w:t>
            </w:r>
          </w:p>
        </w:tc>
        <w:tc>
          <w:tcPr>
            <w:tcW w:w="1117" w:type="dxa"/>
            <w:tcBorders>
              <w:top w:val="nil"/>
              <w:left w:val="nil"/>
              <w:bottom w:val="single" w:sz="8" w:space="0" w:color="auto"/>
              <w:right w:val="single" w:sz="8" w:space="0" w:color="auto"/>
            </w:tcBorders>
            <w:vAlign w:val="center"/>
          </w:tcPr>
          <w:p w14:paraId="773A6D6E" w14:textId="77777777" w:rsidR="00676A9B" w:rsidRPr="00676A9B" w:rsidRDefault="00676A9B" w:rsidP="00676A9B">
            <w:pPr>
              <w:jc w:val="right"/>
              <w:rPr>
                <w:rFonts w:ascii="Arial" w:eastAsia="Calibri" w:hAnsi="Arial" w:cs="Arial"/>
                <w:i/>
                <w:iCs/>
                <w:sz w:val="18"/>
                <w:szCs w:val="18"/>
                <w:lang w:eastAsia="en-US"/>
              </w:rPr>
            </w:pPr>
            <w:r w:rsidRPr="00676A9B">
              <w:rPr>
                <w:rFonts w:ascii="Arial" w:hAnsi="Arial" w:cs="Arial"/>
                <w:sz w:val="18"/>
                <w:szCs w:val="18"/>
                <w:lang w:eastAsia="en-US"/>
              </w:rPr>
              <w:t>46.600,06</w:t>
            </w:r>
          </w:p>
        </w:tc>
        <w:tc>
          <w:tcPr>
            <w:tcW w:w="9175" w:type="dxa"/>
            <w:vAlign w:val="center"/>
          </w:tcPr>
          <w:p w14:paraId="1785032F" w14:textId="77777777" w:rsidR="00676A9B" w:rsidRPr="00676A9B" w:rsidRDefault="00676A9B" w:rsidP="00676A9B">
            <w:pPr>
              <w:jc w:val="both"/>
              <w:rPr>
                <w:rFonts w:ascii="Arial" w:eastAsia="Calibri" w:hAnsi="Arial" w:cs="Arial"/>
                <w:sz w:val="18"/>
                <w:szCs w:val="18"/>
                <w:lang w:eastAsia="en-US"/>
              </w:rPr>
            </w:pPr>
            <w:r w:rsidRPr="00676A9B">
              <w:rPr>
                <w:rFonts w:ascii="Arial" w:eastAsia="Calibri" w:hAnsi="Arial" w:cs="Arial"/>
                <w:i/>
                <w:iCs/>
                <w:sz w:val="18"/>
                <w:szCs w:val="18"/>
                <w:lang w:eastAsia="en-US"/>
              </w:rPr>
              <w:t>u siječnju 25, a u prosincu 34 korisnika</w:t>
            </w:r>
          </w:p>
        </w:tc>
      </w:tr>
      <w:tr w:rsidR="00676A9B" w:rsidRPr="00676A9B" w14:paraId="74C8572E" w14:textId="77777777" w:rsidTr="00A76411">
        <w:trPr>
          <w:jc w:val="center"/>
        </w:trPr>
        <w:tc>
          <w:tcPr>
            <w:tcW w:w="1042" w:type="dxa"/>
            <w:vAlign w:val="center"/>
          </w:tcPr>
          <w:p w14:paraId="4847C6F6"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2018.</w:t>
            </w:r>
          </w:p>
        </w:tc>
        <w:tc>
          <w:tcPr>
            <w:tcW w:w="2195" w:type="dxa"/>
            <w:vAlign w:val="center"/>
          </w:tcPr>
          <w:p w14:paraId="04A8AEA7"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35</w:t>
            </w:r>
          </w:p>
        </w:tc>
        <w:tc>
          <w:tcPr>
            <w:tcW w:w="1117" w:type="dxa"/>
            <w:tcBorders>
              <w:top w:val="nil"/>
              <w:left w:val="nil"/>
              <w:bottom w:val="single" w:sz="8" w:space="0" w:color="auto"/>
              <w:right w:val="single" w:sz="8" w:space="0" w:color="auto"/>
            </w:tcBorders>
            <w:vAlign w:val="center"/>
          </w:tcPr>
          <w:p w14:paraId="5640E3A1" w14:textId="77777777" w:rsidR="00676A9B" w:rsidRPr="00676A9B" w:rsidRDefault="00676A9B" w:rsidP="00676A9B">
            <w:pPr>
              <w:jc w:val="right"/>
              <w:rPr>
                <w:rFonts w:ascii="Arial" w:eastAsia="Calibri" w:hAnsi="Arial" w:cs="Arial"/>
                <w:i/>
                <w:iCs/>
                <w:sz w:val="18"/>
                <w:szCs w:val="18"/>
                <w:lang w:eastAsia="en-US"/>
              </w:rPr>
            </w:pPr>
            <w:r w:rsidRPr="00676A9B">
              <w:rPr>
                <w:rFonts w:ascii="Arial" w:hAnsi="Arial" w:cs="Arial"/>
                <w:sz w:val="18"/>
                <w:szCs w:val="18"/>
                <w:lang w:eastAsia="en-US"/>
              </w:rPr>
              <w:t>55.294,89</w:t>
            </w:r>
          </w:p>
        </w:tc>
        <w:tc>
          <w:tcPr>
            <w:tcW w:w="9175" w:type="dxa"/>
            <w:vAlign w:val="center"/>
          </w:tcPr>
          <w:p w14:paraId="126982B7" w14:textId="77777777" w:rsidR="00676A9B" w:rsidRPr="00676A9B" w:rsidRDefault="00676A9B" w:rsidP="00676A9B">
            <w:pPr>
              <w:jc w:val="both"/>
              <w:rPr>
                <w:rFonts w:ascii="Arial" w:eastAsia="Calibri" w:hAnsi="Arial" w:cs="Arial"/>
                <w:sz w:val="18"/>
                <w:szCs w:val="18"/>
                <w:lang w:eastAsia="en-US"/>
              </w:rPr>
            </w:pPr>
            <w:r w:rsidRPr="00676A9B">
              <w:rPr>
                <w:rFonts w:ascii="Arial" w:eastAsia="Calibri" w:hAnsi="Arial" w:cs="Arial"/>
                <w:i/>
                <w:iCs/>
                <w:sz w:val="18"/>
                <w:szCs w:val="18"/>
                <w:lang w:eastAsia="en-US"/>
              </w:rPr>
              <w:t>u siječnju 34, a u prosincu 35 korisnika</w:t>
            </w:r>
          </w:p>
        </w:tc>
      </w:tr>
      <w:tr w:rsidR="00676A9B" w:rsidRPr="00676A9B" w14:paraId="02F1CD7D" w14:textId="77777777" w:rsidTr="00A76411">
        <w:trPr>
          <w:jc w:val="center"/>
        </w:trPr>
        <w:tc>
          <w:tcPr>
            <w:tcW w:w="1042" w:type="dxa"/>
            <w:vAlign w:val="center"/>
          </w:tcPr>
          <w:p w14:paraId="44C58276"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2019.</w:t>
            </w:r>
          </w:p>
        </w:tc>
        <w:tc>
          <w:tcPr>
            <w:tcW w:w="2195" w:type="dxa"/>
            <w:vAlign w:val="center"/>
          </w:tcPr>
          <w:p w14:paraId="682AC15B"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39</w:t>
            </w:r>
          </w:p>
        </w:tc>
        <w:tc>
          <w:tcPr>
            <w:tcW w:w="1117" w:type="dxa"/>
            <w:tcBorders>
              <w:top w:val="nil"/>
              <w:left w:val="nil"/>
              <w:bottom w:val="single" w:sz="8" w:space="0" w:color="auto"/>
              <w:right w:val="single" w:sz="8" w:space="0" w:color="auto"/>
            </w:tcBorders>
            <w:vAlign w:val="center"/>
          </w:tcPr>
          <w:p w14:paraId="4B48ADC1" w14:textId="77777777" w:rsidR="00676A9B" w:rsidRPr="00676A9B" w:rsidRDefault="00676A9B" w:rsidP="00676A9B">
            <w:pPr>
              <w:jc w:val="right"/>
              <w:rPr>
                <w:rFonts w:ascii="Arial" w:eastAsia="Calibri" w:hAnsi="Arial" w:cs="Arial"/>
                <w:i/>
                <w:iCs/>
                <w:sz w:val="18"/>
                <w:szCs w:val="18"/>
                <w:lang w:eastAsia="en-US"/>
              </w:rPr>
            </w:pPr>
            <w:r w:rsidRPr="00676A9B">
              <w:rPr>
                <w:rFonts w:ascii="Arial" w:hAnsi="Arial" w:cs="Arial"/>
                <w:sz w:val="18"/>
                <w:szCs w:val="18"/>
                <w:lang w:eastAsia="en-US"/>
              </w:rPr>
              <w:t>62.132,16</w:t>
            </w:r>
          </w:p>
        </w:tc>
        <w:tc>
          <w:tcPr>
            <w:tcW w:w="9175" w:type="dxa"/>
            <w:vAlign w:val="center"/>
          </w:tcPr>
          <w:p w14:paraId="3E3E9BF5" w14:textId="77777777" w:rsidR="00676A9B" w:rsidRPr="00676A9B" w:rsidRDefault="00676A9B" w:rsidP="00676A9B">
            <w:pPr>
              <w:jc w:val="both"/>
              <w:rPr>
                <w:rFonts w:ascii="Arial" w:eastAsia="Calibri" w:hAnsi="Arial" w:cs="Arial"/>
                <w:sz w:val="18"/>
                <w:szCs w:val="18"/>
                <w:lang w:eastAsia="en-US"/>
              </w:rPr>
            </w:pPr>
            <w:r w:rsidRPr="00676A9B">
              <w:rPr>
                <w:rFonts w:ascii="Arial" w:eastAsia="Calibri" w:hAnsi="Arial" w:cs="Arial"/>
                <w:i/>
                <w:iCs/>
                <w:sz w:val="18"/>
                <w:szCs w:val="18"/>
                <w:lang w:eastAsia="en-US"/>
              </w:rPr>
              <w:t>tijekom godine od 36 do 40 korisnika, u siječnju 36, a u prosincu 39 korisnika</w:t>
            </w:r>
          </w:p>
        </w:tc>
      </w:tr>
      <w:tr w:rsidR="00676A9B" w:rsidRPr="00676A9B" w14:paraId="290DC455" w14:textId="77777777" w:rsidTr="00A76411">
        <w:trPr>
          <w:jc w:val="center"/>
        </w:trPr>
        <w:tc>
          <w:tcPr>
            <w:tcW w:w="1042" w:type="dxa"/>
            <w:vAlign w:val="center"/>
          </w:tcPr>
          <w:p w14:paraId="1164F2D4"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2020.</w:t>
            </w:r>
          </w:p>
        </w:tc>
        <w:tc>
          <w:tcPr>
            <w:tcW w:w="2195" w:type="dxa"/>
            <w:vAlign w:val="center"/>
          </w:tcPr>
          <w:p w14:paraId="68C46E41"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39</w:t>
            </w:r>
          </w:p>
        </w:tc>
        <w:tc>
          <w:tcPr>
            <w:tcW w:w="1117" w:type="dxa"/>
            <w:tcBorders>
              <w:top w:val="nil"/>
              <w:left w:val="nil"/>
              <w:bottom w:val="single" w:sz="8" w:space="0" w:color="auto"/>
              <w:right w:val="single" w:sz="8" w:space="0" w:color="auto"/>
            </w:tcBorders>
            <w:vAlign w:val="center"/>
          </w:tcPr>
          <w:p w14:paraId="52C6B025" w14:textId="77777777" w:rsidR="00676A9B" w:rsidRPr="00676A9B" w:rsidRDefault="00676A9B" w:rsidP="00676A9B">
            <w:pPr>
              <w:jc w:val="right"/>
              <w:rPr>
                <w:rFonts w:ascii="Arial" w:eastAsia="Calibri" w:hAnsi="Arial" w:cs="Arial"/>
                <w:i/>
                <w:iCs/>
                <w:sz w:val="18"/>
                <w:szCs w:val="18"/>
                <w:lang w:eastAsia="en-US"/>
              </w:rPr>
            </w:pPr>
            <w:r w:rsidRPr="00676A9B">
              <w:rPr>
                <w:rFonts w:ascii="Arial" w:hAnsi="Arial" w:cs="Arial"/>
                <w:sz w:val="18"/>
                <w:szCs w:val="18"/>
                <w:lang w:eastAsia="en-US"/>
              </w:rPr>
              <w:t>63.390,03</w:t>
            </w:r>
          </w:p>
        </w:tc>
        <w:tc>
          <w:tcPr>
            <w:tcW w:w="9175" w:type="dxa"/>
            <w:vAlign w:val="center"/>
          </w:tcPr>
          <w:p w14:paraId="2B6050F0" w14:textId="77777777" w:rsidR="00676A9B" w:rsidRPr="00676A9B" w:rsidRDefault="00676A9B" w:rsidP="00676A9B">
            <w:pPr>
              <w:jc w:val="both"/>
              <w:rPr>
                <w:rFonts w:ascii="Arial" w:eastAsia="Calibri" w:hAnsi="Arial" w:cs="Arial"/>
                <w:sz w:val="18"/>
                <w:szCs w:val="18"/>
                <w:lang w:eastAsia="en-US"/>
              </w:rPr>
            </w:pPr>
            <w:r w:rsidRPr="00676A9B">
              <w:rPr>
                <w:rFonts w:ascii="Arial" w:eastAsia="Calibri" w:hAnsi="Arial" w:cs="Arial"/>
                <w:i/>
                <w:iCs/>
                <w:sz w:val="18"/>
                <w:szCs w:val="18"/>
                <w:lang w:eastAsia="en-US"/>
              </w:rPr>
              <w:t>tijekom godine od 37 do 42 korisnika, u siječnju 39, a u lipnju 37 korisnika, u rujnu i listopadu 42 korisnika, a u prosincu 2020. godine 36 korisnika</w:t>
            </w:r>
          </w:p>
        </w:tc>
      </w:tr>
      <w:tr w:rsidR="00676A9B" w:rsidRPr="00676A9B" w14:paraId="793A5351" w14:textId="77777777" w:rsidTr="00A76411">
        <w:trPr>
          <w:jc w:val="center"/>
        </w:trPr>
        <w:tc>
          <w:tcPr>
            <w:tcW w:w="1042" w:type="dxa"/>
            <w:vAlign w:val="center"/>
          </w:tcPr>
          <w:p w14:paraId="1031ACC0"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2021.</w:t>
            </w:r>
          </w:p>
        </w:tc>
        <w:tc>
          <w:tcPr>
            <w:tcW w:w="2195" w:type="dxa"/>
            <w:vAlign w:val="center"/>
          </w:tcPr>
          <w:p w14:paraId="5CBCFA3F"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39</w:t>
            </w:r>
          </w:p>
        </w:tc>
        <w:tc>
          <w:tcPr>
            <w:tcW w:w="1117" w:type="dxa"/>
            <w:tcBorders>
              <w:top w:val="nil"/>
              <w:left w:val="nil"/>
              <w:bottom w:val="single" w:sz="4" w:space="0" w:color="auto"/>
              <w:right w:val="single" w:sz="8" w:space="0" w:color="auto"/>
            </w:tcBorders>
            <w:vAlign w:val="center"/>
          </w:tcPr>
          <w:p w14:paraId="58D91B13" w14:textId="77777777" w:rsidR="00676A9B" w:rsidRPr="00676A9B" w:rsidRDefault="00676A9B" w:rsidP="00676A9B">
            <w:pPr>
              <w:jc w:val="right"/>
              <w:rPr>
                <w:rFonts w:ascii="Arial" w:eastAsia="Calibri" w:hAnsi="Arial" w:cs="Arial"/>
                <w:i/>
                <w:iCs/>
                <w:sz w:val="18"/>
                <w:szCs w:val="18"/>
                <w:lang w:eastAsia="en-US"/>
              </w:rPr>
            </w:pPr>
            <w:r w:rsidRPr="00676A9B">
              <w:rPr>
                <w:rFonts w:ascii="Arial" w:hAnsi="Arial" w:cs="Arial"/>
                <w:sz w:val="18"/>
                <w:szCs w:val="18"/>
                <w:lang w:eastAsia="en-US"/>
              </w:rPr>
              <w:t>70.503,43</w:t>
            </w:r>
          </w:p>
        </w:tc>
        <w:tc>
          <w:tcPr>
            <w:tcW w:w="9175" w:type="dxa"/>
            <w:vAlign w:val="center"/>
          </w:tcPr>
          <w:p w14:paraId="1BF0A017" w14:textId="77777777" w:rsidR="00676A9B" w:rsidRPr="00676A9B" w:rsidRDefault="00676A9B" w:rsidP="00676A9B">
            <w:pPr>
              <w:jc w:val="both"/>
              <w:rPr>
                <w:rFonts w:ascii="Arial" w:eastAsia="Calibri" w:hAnsi="Arial" w:cs="Arial"/>
                <w:i/>
                <w:iCs/>
                <w:sz w:val="18"/>
                <w:szCs w:val="18"/>
                <w:lang w:eastAsia="en-US"/>
              </w:rPr>
            </w:pPr>
            <w:r w:rsidRPr="00676A9B">
              <w:rPr>
                <w:rFonts w:ascii="Arial" w:eastAsia="Calibri" w:hAnsi="Arial" w:cs="Arial"/>
                <w:i/>
                <w:iCs/>
                <w:sz w:val="18"/>
                <w:szCs w:val="18"/>
                <w:lang w:eastAsia="en-US"/>
              </w:rPr>
              <w:t>tijekom godine od 36 do 41 korisnika, siječanj, svibanj i lipanj 39, listopad 36 korisnika, a prosinac 41 korisnik</w:t>
            </w:r>
          </w:p>
        </w:tc>
      </w:tr>
      <w:tr w:rsidR="00676A9B" w:rsidRPr="00676A9B" w14:paraId="5DDCB2C2" w14:textId="77777777" w:rsidTr="00A76411">
        <w:trPr>
          <w:jc w:val="center"/>
        </w:trPr>
        <w:tc>
          <w:tcPr>
            <w:tcW w:w="1042" w:type="dxa"/>
            <w:vAlign w:val="center"/>
          </w:tcPr>
          <w:p w14:paraId="4D9B36C6"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2022.</w:t>
            </w:r>
          </w:p>
        </w:tc>
        <w:tc>
          <w:tcPr>
            <w:tcW w:w="2195" w:type="dxa"/>
            <w:vAlign w:val="center"/>
          </w:tcPr>
          <w:p w14:paraId="56911695"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44</w:t>
            </w:r>
          </w:p>
        </w:tc>
        <w:tc>
          <w:tcPr>
            <w:tcW w:w="1117" w:type="dxa"/>
            <w:tcBorders>
              <w:top w:val="single" w:sz="4" w:space="0" w:color="auto"/>
              <w:left w:val="nil"/>
              <w:bottom w:val="single" w:sz="4" w:space="0" w:color="auto"/>
              <w:right w:val="single" w:sz="4" w:space="0" w:color="auto"/>
            </w:tcBorders>
            <w:vAlign w:val="center"/>
          </w:tcPr>
          <w:p w14:paraId="171C2501" w14:textId="77777777" w:rsidR="00676A9B" w:rsidRPr="00676A9B" w:rsidRDefault="00676A9B" w:rsidP="00676A9B">
            <w:pPr>
              <w:jc w:val="right"/>
              <w:rPr>
                <w:rFonts w:ascii="Arial" w:eastAsia="Calibri" w:hAnsi="Arial" w:cs="Arial"/>
                <w:i/>
                <w:iCs/>
                <w:sz w:val="18"/>
                <w:szCs w:val="18"/>
                <w:lang w:eastAsia="en-US"/>
              </w:rPr>
            </w:pPr>
            <w:r w:rsidRPr="00676A9B">
              <w:rPr>
                <w:rFonts w:ascii="Arial" w:hAnsi="Arial" w:cs="Arial"/>
                <w:sz w:val="18"/>
                <w:szCs w:val="18"/>
                <w:lang w:eastAsia="en-US"/>
              </w:rPr>
              <w:t>79.717,48</w:t>
            </w:r>
          </w:p>
        </w:tc>
        <w:tc>
          <w:tcPr>
            <w:tcW w:w="9175" w:type="dxa"/>
            <w:tcBorders>
              <w:left w:val="single" w:sz="4" w:space="0" w:color="auto"/>
            </w:tcBorders>
            <w:vAlign w:val="center"/>
          </w:tcPr>
          <w:p w14:paraId="2DC446CB" w14:textId="77777777" w:rsidR="00676A9B" w:rsidRPr="00676A9B" w:rsidRDefault="00676A9B" w:rsidP="00676A9B">
            <w:pPr>
              <w:jc w:val="both"/>
              <w:rPr>
                <w:rFonts w:ascii="Arial" w:eastAsia="Calibri" w:hAnsi="Arial" w:cs="Arial"/>
                <w:i/>
                <w:iCs/>
                <w:sz w:val="18"/>
                <w:szCs w:val="18"/>
                <w:lang w:eastAsia="en-US"/>
              </w:rPr>
            </w:pPr>
            <w:r w:rsidRPr="00676A9B">
              <w:rPr>
                <w:rFonts w:ascii="Arial" w:eastAsia="Calibri" w:hAnsi="Arial" w:cs="Arial"/>
                <w:i/>
                <w:iCs/>
                <w:sz w:val="18"/>
                <w:szCs w:val="18"/>
                <w:lang w:eastAsia="en-US"/>
              </w:rPr>
              <w:t>tijekom godine od 42 do 45 korisnika, ( u prosijeku mjesečno 50.052,61 kn / 6.643,12 EUR)</w:t>
            </w:r>
          </w:p>
        </w:tc>
      </w:tr>
      <w:tr w:rsidR="00676A9B" w:rsidRPr="00676A9B" w14:paraId="3CAC52AF" w14:textId="77777777" w:rsidTr="00A76411">
        <w:trPr>
          <w:jc w:val="center"/>
        </w:trPr>
        <w:tc>
          <w:tcPr>
            <w:tcW w:w="1042" w:type="dxa"/>
            <w:vAlign w:val="center"/>
          </w:tcPr>
          <w:p w14:paraId="76C2B495"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2023.</w:t>
            </w:r>
          </w:p>
        </w:tc>
        <w:tc>
          <w:tcPr>
            <w:tcW w:w="2195" w:type="dxa"/>
            <w:vAlign w:val="center"/>
          </w:tcPr>
          <w:p w14:paraId="2696BEDA"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46</w:t>
            </w:r>
          </w:p>
        </w:tc>
        <w:tc>
          <w:tcPr>
            <w:tcW w:w="1117" w:type="dxa"/>
            <w:tcBorders>
              <w:top w:val="single" w:sz="4" w:space="0" w:color="auto"/>
              <w:left w:val="nil"/>
              <w:bottom w:val="single" w:sz="4" w:space="0" w:color="auto"/>
              <w:right w:val="single" w:sz="8" w:space="0" w:color="auto"/>
            </w:tcBorders>
            <w:vAlign w:val="center"/>
          </w:tcPr>
          <w:p w14:paraId="00247B74" w14:textId="77777777" w:rsidR="00676A9B" w:rsidRPr="00676A9B" w:rsidRDefault="00676A9B" w:rsidP="00676A9B">
            <w:pPr>
              <w:jc w:val="right"/>
              <w:rPr>
                <w:rFonts w:ascii="Arial" w:hAnsi="Arial" w:cs="Arial"/>
                <w:sz w:val="18"/>
                <w:szCs w:val="18"/>
                <w:lang w:eastAsia="en-US"/>
              </w:rPr>
            </w:pPr>
            <w:r w:rsidRPr="00676A9B">
              <w:rPr>
                <w:rFonts w:ascii="Arial" w:hAnsi="Arial" w:cs="Arial"/>
                <w:sz w:val="18"/>
                <w:szCs w:val="18"/>
                <w:lang w:eastAsia="en-US"/>
              </w:rPr>
              <w:t>84.455,98</w:t>
            </w:r>
          </w:p>
        </w:tc>
        <w:tc>
          <w:tcPr>
            <w:tcW w:w="9175" w:type="dxa"/>
            <w:vAlign w:val="center"/>
          </w:tcPr>
          <w:p w14:paraId="12A0C4D8" w14:textId="77777777" w:rsidR="00676A9B" w:rsidRPr="00676A9B" w:rsidRDefault="00676A9B" w:rsidP="00676A9B">
            <w:pPr>
              <w:jc w:val="both"/>
              <w:rPr>
                <w:rFonts w:ascii="Arial" w:eastAsia="Calibri" w:hAnsi="Arial" w:cs="Arial"/>
                <w:i/>
                <w:iCs/>
                <w:sz w:val="18"/>
                <w:szCs w:val="18"/>
                <w:lang w:eastAsia="en-US"/>
              </w:rPr>
            </w:pPr>
            <w:r w:rsidRPr="00676A9B">
              <w:rPr>
                <w:rFonts w:ascii="Arial" w:eastAsia="Calibri" w:hAnsi="Arial" w:cs="Arial"/>
                <w:i/>
                <w:iCs/>
                <w:sz w:val="18"/>
                <w:szCs w:val="18"/>
                <w:lang w:eastAsia="en-US"/>
              </w:rPr>
              <w:t>tijekom godine od 45 do 48 korisnika, ( u prosijeku mjesečno 7.038,00 €)</w:t>
            </w:r>
          </w:p>
        </w:tc>
      </w:tr>
      <w:tr w:rsidR="00676A9B" w:rsidRPr="00676A9B" w14:paraId="74674131" w14:textId="77777777" w:rsidTr="00A76411">
        <w:trPr>
          <w:jc w:val="center"/>
        </w:trPr>
        <w:tc>
          <w:tcPr>
            <w:tcW w:w="1042" w:type="dxa"/>
            <w:vAlign w:val="center"/>
          </w:tcPr>
          <w:p w14:paraId="39ECDEF8"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2024.</w:t>
            </w:r>
          </w:p>
        </w:tc>
        <w:tc>
          <w:tcPr>
            <w:tcW w:w="2195" w:type="dxa"/>
            <w:vAlign w:val="center"/>
          </w:tcPr>
          <w:p w14:paraId="4F32A284" w14:textId="77777777" w:rsidR="00676A9B" w:rsidRPr="00676A9B" w:rsidRDefault="00676A9B" w:rsidP="00676A9B">
            <w:pPr>
              <w:jc w:val="center"/>
              <w:rPr>
                <w:rFonts w:ascii="Arial" w:eastAsia="Calibri" w:hAnsi="Arial" w:cs="Arial"/>
                <w:sz w:val="18"/>
                <w:szCs w:val="18"/>
                <w:lang w:eastAsia="en-US"/>
              </w:rPr>
            </w:pPr>
            <w:r w:rsidRPr="00676A9B">
              <w:rPr>
                <w:rFonts w:ascii="Arial" w:eastAsia="Calibri" w:hAnsi="Arial" w:cs="Arial"/>
                <w:sz w:val="18"/>
                <w:szCs w:val="18"/>
                <w:lang w:eastAsia="en-US"/>
              </w:rPr>
              <w:t>46</w:t>
            </w:r>
          </w:p>
        </w:tc>
        <w:tc>
          <w:tcPr>
            <w:tcW w:w="1117" w:type="dxa"/>
            <w:tcBorders>
              <w:top w:val="single" w:sz="4" w:space="0" w:color="auto"/>
              <w:left w:val="nil"/>
              <w:bottom w:val="single" w:sz="4" w:space="0" w:color="auto"/>
              <w:right w:val="single" w:sz="8" w:space="0" w:color="auto"/>
            </w:tcBorders>
            <w:vAlign w:val="center"/>
          </w:tcPr>
          <w:p w14:paraId="6491744C" w14:textId="77777777" w:rsidR="00676A9B" w:rsidRPr="00676A9B" w:rsidRDefault="00676A9B" w:rsidP="00676A9B">
            <w:pPr>
              <w:jc w:val="right"/>
              <w:rPr>
                <w:rFonts w:ascii="Arial" w:hAnsi="Arial" w:cs="Arial"/>
                <w:sz w:val="18"/>
                <w:szCs w:val="18"/>
                <w:lang w:eastAsia="en-US"/>
              </w:rPr>
            </w:pPr>
            <w:r w:rsidRPr="00676A9B">
              <w:rPr>
                <w:rFonts w:ascii="Arial" w:hAnsi="Arial" w:cs="Arial"/>
                <w:sz w:val="18"/>
                <w:szCs w:val="18"/>
                <w:lang w:eastAsia="en-US"/>
              </w:rPr>
              <w:t>89.979,38</w:t>
            </w:r>
          </w:p>
        </w:tc>
        <w:tc>
          <w:tcPr>
            <w:tcW w:w="9175" w:type="dxa"/>
            <w:vAlign w:val="center"/>
          </w:tcPr>
          <w:p w14:paraId="3B27795A" w14:textId="77777777" w:rsidR="00676A9B" w:rsidRPr="00676A9B" w:rsidRDefault="00676A9B" w:rsidP="00676A9B">
            <w:pPr>
              <w:jc w:val="both"/>
              <w:rPr>
                <w:rFonts w:ascii="Arial" w:eastAsia="Calibri" w:hAnsi="Arial" w:cs="Arial"/>
                <w:i/>
                <w:iCs/>
                <w:sz w:val="18"/>
                <w:szCs w:val="18"/>
                <w:lang w:eastAsia="en-US"/>
              </w:rPr>
            </w:pPr>
            <w:r w:rsidRPr="00676A9B">
              <w:rPr>
                <w:rFonts w:ascii="Arial" w:eastAsia="Calibri" w:hAnsi="Arial" w:cs="Arial"/>
                <w:i/>
                <w:iCs/>
                <w:sz w:val="18"/>
                <w:szCs w:val="18"/>
                <w:lang w:eastAsia="en-US"/>
              </w:rPr>
              <w:t>tijekom godine od 45 do 47 korisnika, ( u prosijeku mjesečno 7.498,28 €)</w:t>
            </w:r>
          </w:p>
        </w:tc>
      </w:tr>
      <w:tr w:rsidR="00A76411" w:rsidRPr="00676A9B" w14:paraId="24785C60" w14:textId="77777777" w:rsidTr="00A76411">
        <w:trPr>
          <w:jc w:val="center"/>
        </w:trPr>
        <w:tc>
          <w:tcPr>
            <w:tcW w:w="1042" w:type="dxa"/>
            <w:vAlign w:val="center"/>
          </w:tcPr>
          <w:p w14:paraId="22018A22" w14:textId="72F60957" w:rsidR="00A76411" w:rsidRPr="00676A9B" w:rsidRDefault="00A76411" w:rsidP="00A76411">
            <w:pPr>
              <w:jc w:val="center"/>
              <w:rPr>
                <w:rFonts w:ascii="Arial" w:eastAsia="Calibri" w:hAnsi="Arial" w:cs="Arial"/>
                <w:sz w:val="18"/>
                <w:szCs w:val="18"/>
                <w:lang w:eastAsia="en-US"/>
              </w:rPr>
            </w:pPr>
            <w:r>
              <w:rPr>
                <w:rFonts w:ascii="Arial" w:eastAsia="Calibri" w:hAnsi="Arial" w:cs="Arial"/>
                <w:sz w:val="18"/>
                <w:szCs w:val="18"/>
                <w:lang w:eastAsia="en-US"/>
              </w:rPr>
              <w:t>2025.</w:t>
            </w:r>
          </w:p>
        </w:tc>
        <w:tc>
          <w:tcPr>
            <w:tcW w:w="2195" w:type="dxa"/>
            <w:vAlign w:val="center"/>
          </w:tcPr>
          <w:p w14:paraId="301D09C7" w14:textId="6DF1C227" w:rsidR="00A76411" w:rsidRPr="00676A9B" w:rsidRDefault="00A76411" w:rsidP="00A76411">
            <w:pPr>
              <w:jc w:val="center"/>
              <w:rPr>
                <w:rFonts w:ascii="Arial" w:eastAsia="Calibri" w:hAnsi="Arial" w:cs="Arial"/>
                <w:sz w:val="18"/>
                <w:szCs w:val="18"/>
                <w:lang w:eastAsia="en-US"/>
              </w:rPr>
            </w:pPr>
            <w:r>
              <w:rPr>
                <w:rFonts w:ascii="Arial" w:eastAsia="Calibri" w:hAnsi="Arial" w:cs="Arial"/>
                <w:sz w:val="18"/>
                <w:szCs w:val="18"/>
                <w:lang w:eastAsia="en-US"/>
              </w:rPr>
              <w:t>49</w:t>
            </w:r>
          </w:p>
        </w:tc>
        <w:tc>
          <w:tcPr>
            <w:tcW w:w="1117" w:type="dxa"/>
            <w:tcBorders>
              <w:top w:val="single" w:sz="4" w:space="0" w:color="auto"/>
              <w:left w:val="nil"/>
              <w:bottom w:val="single" w:sz="8" w:space="0" w:color="auto"/>
              <w:right w:val="single" w:sz="8" w:space="0" w:color="auto"/>
            </w:tcBorders>
            <w:vAlign w:val="center"/>
          </w:tcPr>
          <w:p w14:paraId="650CDF72" w14:textId="4BA15DC3" w:rsidR="00A76411" w:rsidRPr="00676A9B" w:rsidRDefault="00A76411" w:rsidP="00A76411">
            <w:pPr>
              <w:jc w:val="right"/>
              <w:rPr>
                <w:rFonts w:ascii="Arial" w:hAnsi="Arial" w:cs="Arial"/>
                <w:sz w:val="18"/>
                <w:szCs w:val="18"/>
                <w:lang w:eastAsia="en-US"/>
              </w:rPr>
            </w:pPr>
            <w:r>
              <w:rPr>
                <w:rFonts w:ascii="Arial" w:hAnsi="Arial" w:cs="Arial"/>
                <w:sz w:val="18"/>
                <w:szCs w:val="18"/>
                <w:lang w:eastAsia="en-US"/>
              </w:rPr>
              <w:t>103.245,07</w:t>
            </w:r>
          </w:p>
        </w:tc>
        <w:tc>
          <w:tcPr>
            <w:tcW w:w="9175" w:type="dxa"/>
            <w:vAlign w:val="center"/>
          </w:tcPr>
          <w:p w14:paraId="39E5158C" w14:textId="20B2742E" w:rsidR="00A76411" w:rsidRPr="00676A9B" w:rsidRDefault="00A76411" w:rsidP="00A76411">
            <w:pPr>
              <w:jc w:val="both"/>
              <w:rPr>
                <w:rFonts w:ascii="Arial" w:eastAsia="Calibri" w:hAnsi="Arial" w:cs="Arial"/>
                <w:i/>
                <w:iCs/>
                <w:sz w:val="18"/>
                <w:szCs w:val="18"/>
                <w:lang w:eastAsia="en-US"/>
              </w:rPr>
            </w:pPr>
            <w:r w:rsidRPr="00676A9B">
              <w:rPr>
                <w:rFonts w:ascii="Arial" w:eastAsia="Calibri" w:hAnsi="Arial" w:cs="Arial"/>
                <w:i/>
                <w:iCs/>
                <w:sz w:val="18"/>
                <w:szCs w:val="18"/>
                <w:lang w:eastAsia="en-US"/>
              </w:rPr>
              <w:t xml:space="preserve">tijekom godine od </w:t>
            </w:r>
            <w:r w:rsidR="00DA2F0B">
              <w:rPr>
                <w:rFonts w:ascii="Arial" w:eastAsia="Calibri" w:hAnsi="Arial" w:cs="Arial"/>
                <w:i/>
                <w:iCs/>
                <w:sz w:val="18"/>
                <w:szCs w:val="18"/>
                <w:lang w:eastAsia="en-US"/>
              </w:rPr>
              <w:t>46</w:t>
            </w:r>
            <w:r w:rsidRPr="00676A9B">
              <w:rPr>
                <w:rFonts w:ascii="Arial" w:eastAsia="Calibri" w:hAnsi="Arial" w:cs="Arial"/>
                <w:i/>
                <w:iCs/>
                <w:sz w:val="18"/>
                <w:szCs w:val="18"/>
                <w:lang w:eastAsia="en-US"/>
              </w:rPr>
              <w:t xml:space="preserve"> do </w:t>
            </w:r>
            <w:r w:rsidR="00DA2F0B">
              <w:rPr>
                <w:rFonts w:ascii="Arial" w:eastAsia="Calibri" w:hAnsi="Arial" w:cs="Arial"/>
                <w:i/>
                <w:iCs/>
                <w:sz w:val="18"/>
                <w:szCs w:val="18"/>
                <w:lang w:eastAsia="en-US"/>
              </w:rPr>
              <w:t>52</w:t>
            </w:r>
            <w:r w:rsidRPr="00676A9B">
              <w:rPr>
                <w:rFonts w:ascii="Arial" w:eastAsia="Calibri" w:hAnsi="Arial" w:cs="Arial"/>
                <w:i/>
                <w:iCs/>
                <w:sz w:val="18"/>
                <w:szCs w:val="18"/>
                <w:lang w:eastAsia="en-US"/>
              </w:rPr>
              <w:t xml:space="preserve"> korisnika, ( u prosijeku mjesečno </w:t>
            </w:r>
            <w:r w:rsidR="00DA2F0B">
              <w:rPr>
                <w:rFonts w:ascii="Arial" w:eastAsia="Calibri" w:hAnsi="Arial" w:cs="Arial"/>
                <w:i/>
                <w:iCs/>
                <w:sz w:val="18"/>
                <w:szCs w:val="18"/>
                <w:lang w:eastAsia="en-US"/>
              </w:rPr>
              <w:t>8.603,76</w:t>
            </w:r>
            <w:r w:rsidRPr="00676A9B">
              <w:rPr>
                <w:rFonts w:ascii="Arial" w:eastAsia="Calibri" w:hAnsi="Arial" w:cs="Arial"/>
                <w:i/>
                <w:iCs/>
                <w:sz w:val="18"/>
                <w:szCs w:val="18"/>
                <w:lang w:eastAsia="en-US"/>
              </w:rPr>
              <w:t xml:space="preserve"> €)</w:t>
            </w:r>
          </w:p>
        </w:tc>
      </w:tr>
    </w:tbl>
    <w:p w14:paraId="383CEA4A" w14:textId="77777777" w:rsidR="00676A9B" w:rsidRPr="00676A9B" w:rsidRDefault="00676A9B" w:rsidP="00676A9B">
      <w:pPr>
        <w:spacing w:after="0" w:line="240" w:lineRule="auto"/>
        <w:jc w:val="both"/>
        <w:rPr>
          <w:rFonts w:ascii="Arial" w:eastAsia="Calibri" w:hAnsi="Arial" w:cs="Arial"/>
          <w:sz w:val="20"/>
          <w:szCs w:val="20"/>
          <w:lang w:eastAsia="en-US"/>
        </w:rPr>
      </w:pPr>
    </w:p>
    <w:tbl>
      <w:tblPr>
        <w:tblStyle w:val="Reetkatablice536"/>
        <w:tblW w:w="14097" w:type="dxa"/>
        <w:jc w:val="center"/>
        <w:tblLayout w:type="fixed"/>
        <w:tblLook w:val="04A0" w:firstRow="1" w:lastRow="0" w:firstColumn="1" w:lastColumn="0" w:noHBand="0" w:noVBand="1"/>
      </w:tblPr>
      <w:tblGrid>
        <w:gridCol w:w="2552"/>
        <w:gridCol w:w="3544"/>
        <w:gridCol w:w="1134"/>
        <w:gridCol w:w="1099"/>
        <w:gridCol w:w="1232"/>
        <w:gridCol w:w="1134"/>
        <w:gridCol w:w="1134"/>
        <w:gridCol w:w="1134"/>
        <w:gridCol w:w="1134"/>
      </w:tblGrid>
      <w:tr w:rsidR="00676A9B" w:rsidRPr="00676A9B" w14:paraId="141D1A60" w14:textId="77777777" w:rsidTr="00410A4B">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3F4EB88"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354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5FC814C"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2F8FFA0"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0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5736DC0"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8462350" w14:textId="51B70CC8"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DA2F0B">
              <w:rPr>
                <w:rFonts w:ascii="Arial" w:eastAsia="Calibri" w:hAnsi="Arial" w:cs="Arial"/>
                <w:lang w:eastAsia="en-US"/>
              </w:rPr>
              <w:t>4</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05C56F42" w14:textId="15BF0C31"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DA2F0B">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249FD7D" w14:textId="7DC6E17F"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DA2F0B">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6B8E54F6" w14:textId="2A503671"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DA2F0B">
              <w:rPr>
                <w:rFonts w:ascii="Arial" w:eastAsia="Calibri" w:hAnsi="Arial" w:cs="Arial"/>
                <w:lang w:eastAsia="en-US"/>
              </w:rPr>
              <w:t>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4E5E562F" w14:textId="18F10860"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DA2F0B">
              <w:rPr>
                <w:rFonts w:ascii="Arial" w:eastAsia="Calibri" w:hAnsi="Arial" w:cs="Arial"/>
                <w:lang w:eastAsia="en-US"/>
              </w:rPr>
              <w:t>7</w:t>
            </w:r>
            <w:r w:rsidRPr="00676A9B">
              <w:rPr>
                <w:rFonts w:ascii="Arial" w:eastAsia="Calibri" w:hAnsi="Arial" w:cs="Arial"/>
                <w:lang w:eastAsia="en-US"/>
              </w:rPr>
              <w:t>.</w:t>
            </w:r>
          </w:p>
        </w:tc>
      </w:tr>
      <w:tr w:rsidR="00676A9B" w:rsidRPr="00676A9B" w14:paraId="694ACE2B" w14:textId="77777777" w:rsidTr="00410A4B">
        <w:trPr>
          <w:trHeight w:val="1031"/>
          <w:jc w:val="center"/>
        </w:trPr>
        <w:tc>
          <w:tcPr>
            <w:tcW w:w="2552" w:type="dxa"/>
            <w:tcBorders>
              <w:top w:val="single" w:sz="4" w:space="0" w:color="auto"/>
              <w:left w:val="single" w:sz="4" w:space="0" w:color="auto"/>
              <w:bottom w:val="single" w:sz="4" w:space="0" w:color="auto"/>
              <w:right w:val="single" w:sz="4" w:space="0" w:color="auto"/>
            </w:tcBorders>
          </w:tcPr>
          <w:p w14:paraId="3B898B6C"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rPr>
              <w:t>Sufinanciranje smještaja starijim i nemoćnim korisnicima u Domu za starije i nemoćne osobe</w:t>
            </w:r>
          </w:p>
        </w:tc>
        <w:tc>
          <w:tcPr>
            <w:tcW w:w="3544" w:type="dxa"/>
            <w:tcBorders>
              <w:top w:val="single" w:sz="4" w:space="0" w:color="auto"/>
              <w:left w:val="single" w:sz="4" w:space="0" w:color="auto"/>
              <w:bottom w:val="single" w:sz="4" w:space="0" w:color="auto"/>
              <w:right w:val="single" w:sz="4" w:space="0" w:color="auto"/>
            </w:tcBorders>
          </w:tcPr>
          <w:p w14:paraId="26B69111"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rPr>
              <w:t>Institucionalna skrb smještaja starijih i nemoćnih, pokretnih i nepokretnih korisnika (sudjelovanje u sufinanciranju smještaja svih stanovnicima Općine koji ispunjavaju uvjete)</w:t>
            </w:r>
          </w:p>
        </w:tc>
        <w:tc>
          <w:tcPr>
            <w:tcW w:w="1134" w:type="dxa"/>
            <w:tcBorders>
              <w:top w:val="single" w:sz="4" w:space="0" w:color="auto"/>
              <w:left w:val="single" w:sz="4" w:space="0" w:color="auto"/>
              <w:bottom w:val="single" w:sz="4" w:space="0" w:color="auto"/>
              <w:right w:val="single" w:sz="4" w:space="0" w:color="auto"/>
            </w:tcBorders>
          </w:tcPr>
          <w:p w14:paraId="44E8030E" w14:textId="77777777" w:rsidR="00676A9B" w:rsidRPr="00676A9B" w:rsidRDefault="00676A9B" w:rsidP="00676A9B">
            <w:pPr>
              <w:jc w:val="center"/>
              <w:rPr>
                <w:rFonts w:ascii="Arial" w:hAnsi="Arial" w:cs="Arial"/>
                <w:sz w:val="18"/>
                <w:szCs w:val="18"/>
              </w:rPr>
            </w:pPr>
          </w:p>
          <w:p w14:paraId="13CA0DAD"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rPr>
              <w:t>Broj korisnika</w:t>
            </w:r>
          </w:p>
        </w:tc>
        <w:tc>
          <w:tcPr>
            <w:tcW w:w="1099" w:type="dxa"/>
            <w:tcBorders>
              <w:top w:val="single" w:sz="4" w:space="0" w:color="auto"/>
              <w:left w:val="single" w:sz="4" w:space="0" w:color="auto"/>
              <w:bottom w:val="single" w:sz="4" w:space="0" w:color="auto"/>
              <w:right w:val="single" w:sz="4" w:space="0" w:color="auto"/>
            </w:tcBorders>
            <w:vAlign w:val="center"/>
          </w:tcPr>
          <w:p w14:paraId="497B544E" w14:textId="77777777" w:rsidR="00676A9B" w:rsidRPr="00676A9B" w:rsidRDefault="00676A9B" w:rsidP="00676A9B">
            <w:pPr>
              <w:jc w:val="center"/>
              <w:rPr>
                <w:rFonts w:ascii="Arial" w:hAnsi="Arial" w:cs="Arial"/>
                <w:lang w:eastAsia="en-US"/>
              </w:rPr>
            </w:pPr>
            <w:r w:rsidRPr="00676A9B">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B5DFF7E" w14:textId="77777777" w:rsidR="00676A9B" w:rsidRPr="00676A9B" w:rsidRDefault="00676A9B" w:rsidP="00676A9B">
            <w:pPr>
              <w:jc w:val="center"/>
              <w:rPr>
                <w:rFonts w:ascii="Arial" w:hAnsi="Arial" w:cs="Arial"/>
                <w:lang w:eastAsia="en-US"/>
              </w:rPr>
            </w:pPr>
            <w:r w:rsidRPr="00676A9B">
              <w:rPr>
                <w:rFonts w:ascii="Arial" w:hAnsi="Arial" w:cs="Arial"/>
                <w:lang w:eastAsia="en-US"/>
              </w:rPr>
              <w:t>46</w:t>
            </w:r>
          </w:p>
        </w:tc>
        <w:tc>
          <w:tcPr>
            <w:tcW w:w="1134" w:type="dxa"/>
            <w:tcBorders>
              <w:top w:val="single" w:sz="4" w:space="0" w:color="000000"/>
              <w:left w:val="single" w:sz="4" w:space="0" w:color="000000"/>
              <w:bottom w:val="single" w:sz="4" w:space="0" w:color="000000"/>
              <w:right w:val="single" w:sz="4" w:space="0" w:color="000000"/>
            </w:tcBorders>
            <w:vAlign w:val="center"/>
          </w:tcPr>
          <w:p w14:paraId="001F3F5F" w14:textId="2B373AAB" w:rsidR="00676A9B" w:rsidRPr="00676A9B" w:rsidRDefault="00676A9B" w:rsidP="00676A9B">
            <w:pPr>
              <w:jc w:val="center"/>
              <w:rPr>
                <w:rFonts w:ascii="Arial" w:hAnsi="Arial" w:cs="Arial"/>
                <w:lang w:eastAsia="en-US"/>
              </w:rPr>
            </w:pPr>
            <w:r w:rsidRPr="00676A9B">
              <w:rPr>
                <w:rFonts w:ascii="Arial" w:hAnsi="Arial" w:cs="Arial"/>
                <w:lang w:eastAsia="en-US"/>
              </w:rPr>
              <w:t>4</w:t>
            </w:r>
            <w:r w:rsidR="00DA2F0B">
              <w:rPr>
                <w:rFonts w:ascii="Arial" w:hAnsi="Arial" w:cs="Arial"/>
                <w:lang w:eastAsia="en-US"/>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9CED4A3" w14:textId="7AC0B4AC" w:rsidR="00676A9B" w:rsidRPr="00676A9B" w:rsidRDefault="00DA2F0B" w:rsidP="00676A9B">
            <w:pPr>
              <w:jc w:val="center"/>
              <w:rPr>
                <w:rFonts w:ascii="Arial" w:hAnsi="Arial" w:cs="Arial"/>
                <w:lang w:eastAsia="en-US"/>
              </w:rPr>
            </w:pPr>
            <w:r>
              <w:rPr>
                <w:rFonts w:ascii="Arial" w:hAnsi="Arial" w:cs="Arial"/>
                <w:lang w:eastAsia="en-US"/>
              </w:rPr>
              <w:t>49</w:t>
            </w:r>
          </w:p>
        </w:tc>
        <w:tc>
          <w:tcPr>
            <w:tcW w:w="1134" w:type="dxa"/>
            <w:tcBorders>
              <w:top w:val="single" w:sz="4" w:space="0" w:color="000000"/>
              <w:left w:val="single" w:sz="4" w:space="0" w:color="000000"/>
              <w:bottom w:val="single" w:sz="4" w:space="0" w:color="000000"/>
              <w:right w:val="single" w:sz="4" w:space="0" w:color="000000"/>
            </w:tcBorders>
            <w:vAlign w:val="center"/>
          </w:tcPr>
          <w:p w14:paraId="1EC042BE" w14:textId="28250FFB" w:rsidR="00676A9B" w:rsidRPr="00676A9B" w:rsidRDefault="00676A9B" w:rsidP="00676A9B">
            <w:pPr>
              <w:jc w:val="center"/>
              <w:rPr>
                <w:rFonts w:ascii="Arial" w:hAnsi="Arial" w:cs="Arial"/>
                <w:lang w:eastAsia="en-US"/>
              </w:rPr>
            </w:pPr>
            <w:r w:rsidRPr="00676A9B">
              <w:rPr>
                <w:rFonts w:ascii="Arial" w:hAnsi="Arial" w:cs="Arial"/>
                <w:lang w:eastAsia="en-US"/>
              </w:rPr>
              <w:t>4</w:t>
            </w:r>
            <w:r w:rsidR="00DA2F0B">
              <w:rPr>
                <w:rFonts w:ascii="Arial" w:hAnsi="Arial" w:cs="Arial"/>
                <w:lang w:eastAsia="en-US"/>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50CD2680" w14:textId="09EB7FDE" w:rsidR="00676A9B" w:rsidRPr="00676A9B" w:rsidRDefault="00676A9B" w:rsidP="00676A9B">
            <w:pPr>
              <w:jc w:val="center"/>
              <w:rPr>
                <w:rFonts w:ascii="Arial" w:hAnsi="Arial" w:cs="Arial"/>
                <w:lang w:eastAsia="en-US"/>
              </w:rPr>
            </w:pPr>
            <w:r w:rsidRPr="00676A9B">
              <w:rPr>
                <w:rFonts w:ascii="Arial" w:hAnsi="Arial" w:cs="Arial"/>
                <w:lang w:eastAsia="en-US"/>
              </w:rPr>
              <w:t>4</w:t>
            </w:r>
            <w:r w:rsidR="00DA2F0B">
              <w:rPr>
                <w:rFonts w:ascii="Arial" w:hAnsi="Arial" w:cs="Arial"/>
                <w:lang w:eastAsia="en-US"/>
              </w:rPr>
              <w:t>6</w:t>
            </w:r>
          </w:p>
        </w:tc>
      </w:tr>
    </w:tbl>
    <w:p w14:paraId="75D4475F" w14:textId="77777777" w:rsidR="00676A9B" w:rsidRPr="00676A9B" w:rsidRDefault="00676A9B" w:rsidP="00676A9B">
      <w:pPr>
        <w:spacing w:after="0" w:line="240" w:lineRule="auto"/>
        <w:jc w:val="both"/>
        <w:rPr>
          <w:rFonts w:ascii="Arial" w:eastAsia="Calibri" w:hAnsi="Arial" w:cs="Arial"/>
          <w:sz w:val="20"/>
          <w:szCs w:val="20"/>
          <w:lang w:eastAsia="en-US"/>
        </w:rPr>
      </w:pPr>
    </w:p>
    <w:p w14:paraId="324E3D33" w14:textId="289BA62B" w:rsidR="00676A9B" w:rsidRDefault="00676A9B" w:rsidP="00DA2F0B">
      <w:pPr>
        <w:spacing w:after="0" w:line="240" w:lineRule="auto"/>
        <w:jc w:val="both"/>
        <w:rPr>
          <w:rFonts w:ascii="Arial" w:eastAsia="Calibri" w:hAnsi="Arial" w:cs="Arial"/>
          <w:sz w:val="20"/>
          <w:szCs w:val="20"/>
        </w:rPr>
      </w:pPr>
      <w:bookmarkStart w:id="435" w:name="_Hlk135036478"/>
      <w:r w:rsidRPr="00676A9B">
        <w:rPr>
          <w:rFonts w:ascii="Arial" w:eastAsia="Calibri" w:hAnsi="Arial" w:cs="Arial"/>
          <w:b/>
          <w:sz w:val="20"/>
          <w:szCs w:val="20"/>
        </w:rPr>
        <w:t xml:space="preserve">18. A204126: Sufinanciranje produženog boravka djece </w:t>
      </w:r>
      <w:r w:rsidRPr="00676A9B">
        <w:rPr>
          <w:rFonts w:ascii="Arial" w:eastAsia="Calibri" w:hAnsi="Arial" w:cs="Arial"/>
          <w:sz w:val="20"/>
          <w:szCs w:val="20"/>
        </w:rPr>
        <w:t>- Planirana sredstva za provođenje navedene aktivnosti, sukladno programu demografskih mjera i socijalne pomoći, iznose 5</w:t>
      </w:r>
      <w:r w:rsidR="00DA2F0B">
        <w:rPr>
          <w:rFonts w:ascii="Arial" w:eastAsia="Calibri" w:hAnsi="Arial" w:cs="Arial"/>
          <w:sz w:val="20"/>
          <w:szCs w:val="20"/>
        </w:rPr>
        <w:t>5</w:t>
      </w:r>
      <w:r w:rsidRPr="00676A9B">
        <w:rPr>
          <w:rFonts w:ascii="Arial" w:eastAsia="Calibri" w:hAnsi="Arial" w:cs="Arial"/>
          <w:sz w:val="20"/>
          <w:szCs w:val="20"/>
        </w:rPr>
        <w:t xml:space="preserve">.000 €. Rashodi su izvršeni u iznosu </w:t>
      </w:r>
      <w:r w:rsidR="00DA2F0B">
        <w:rPr>
          <w:rFonts w:ascii="Arial" w:eastAsia="Calibri" w:hAnsi="Arial" w:cs="Arial"/>
          <w:sz w:val="20"/>
          <w:szCs w:val="20"/>
        </w:rPr>
        <w:t>42.999,89</w:t>
      </w:r>
      <w:r w:rsidRPr="00676A9B">
        <w:rPr>
          <w:rFonts w:ascii="Arial" w:eastAsia="Calibri" w:hAnsi="Arial" w:cs="Arial"/>
          <w:sz w:val="20"/>
          <w:szCs w:val="20"/>
        </w:rPr>
        <w:t xml:space="preserve"> € ili </w:t>
      </w:r>
      <w:r w:rsidR="00DA2F0B">
        <w:rPr>
          <w:rFonts w:ascii="Arial" w:eastAsia="Calibri" w:hAnsi="Arial" w:cs="Arial"/>
          <w:sz w:val="20"/>
          <w:szCs w:val="20"/>
        </w:rPr>
        <w:t>78,2</w:t>
      </w:r>
      <w:r w:rsidRPr="00676A9B">
        <w:rPr>
          <w:rFonts w:ascii="Arial" w:eastAsia="Calibri" w:hAnsi="Arial" w:cs="Arial"/>
          <w:sz w:val="20"/>
          <w:szCs w:val="20"/>
        </w:rPr>
        <w:t xml:space="preserve">%. Rashodi se odnose na sufinanciranje produženog boravka u osnovnoj školi Gruda </w:t>
      </w:r>
      <w:r w:rsidR="00DA2F0B" w:rsidRPr="00DA2F0B">
        <w:rPr>
          <w:rFonts w:ascii="Arial" w:eastAsia="Calibri" w:hAnsi="Arial" w:cs="Arial"/>
          <w:sz w:val="20"/>
          <w:szCs w:val="20"/>
        </w:rPr>
        <w:t>(sufinancirano 16.318,93 €) i područnoj školi Čilipi (sufinancirano 26.680,96 €) za školsku 2024/2025. i 2025/2026</w:t>
      </w:r>
      <w:r w:rsidR="00DA2F0B">
        <w:rPr>
          <w:rFonts w:ascii="Arial" w:eastAsia="Calibri" w:hAnsi="Arial" w:cs="Arial"/>
          <w:sz w:val="20"/>
          <w:szCs w:val="20"/>
        </w:rPr>
        <w:t>.</w:t>
      </w:r>
    </w:p>
    <w:p w14:paraId="73C118A4" w14:textId="77777777" w:rsidR="00DA2F0B" w:rsidRPr="00676A9B" w:rsidRDefault="00DA2F0B" w:rsidP="00DA2F0B">
      <w:pPr>
        <w:spacing w:after="0" w:line="240" w:lineRule="auto"/>
        <w:jc w:val="both"/>
        <w:rPr>
          <w:rFonts w:ascii="Arial" w:eastAsia="Calibri" w:hAnsi="Arial" w:cs="Arial"/>
          <w:sz w:val="18"/>
          <w:szCs w:val="18"/>
        </w:rPr>
      </w:pPr>
    </w:p>
    <w:p w14:paraId="521CE428" w14:textId="77777777" w:rsidR="00E054EA" w:rsidRDefault="00676A9B" w:rsidP="00E054EA">
      <w:pPr>
        <w:spacing w:after="0" w:line="240" w:lineRule="auto"/>
        <w:ind w:left="567"/>
        <w:jc w:val="both"/>
        <w:rPr>
          <w:rFonts w:ascii="Arial" w:eastAsia="Calibri" w:hAnsi="Arial" w:cs="Arial"/>
          <w:sz w:val="18"/>
          <w:szCs w:val="18"/>
        </w:rPr>
      </w:pPr>
      <w:bookmarkStart w:id="436" w:name="_Hlk166147881"/>
      <w:r w:rsidRPr="00676A9B">
        <w:rPr>
          <w:rFonts w:ascii="Arial" w:eastAsia="Calibri" w:hAnsi="Arial" w:cs="Arial"/>
          <w:sz w:val="18"/>
          <w:szCs w:val="18"/>
        </w:rPr>
        <w:t xml:space="preserve">U </w:t>
      </w:r>
      <w:r w:rsidR="00E054EA">
        <w:rPr>
          <w:rFonts w:ascii="Arial" w:eastAsia="Calibri" w:hAnsi="Arial" w:cs="Arial"/>
          <w:sz w:val="18"/>
          <w:szCs w:val="18"/>
        </w:rPr>
        <w:t>rujnu</w:t>
      </w:r>
      <w:r w:rsidRPr="00676A9B">
        <w:rPr>
          <w:rFonts w:ascii="Arial" w:eastAsia="Calibri" w:hAnsi="Arial" w:cs="Arial"/>
          <w:sz w:val="18"/>
          <w:szCs w:val="18"/>
        </w:rPr>
        <w:t xml:space="preserve"> 202</w:t>
      </w:r>
      <w:r w:rsidR="00E054EA">
        <w:rPr>
          <w:rFonts w:ascii="Arial" w:eastAsia="Calibri" w:hAnsi="Arial" w:cs="Arial"/>
          <w:sz w:val="18"/>
          <w:szCs w:val="18"/>
        </w:rPr>
        <w:t>4</w:t>
      </w:r>
      <w:r w:rsidRPr="00676A9B">
        <w:rPr>
          <w:rFonts w:ascii="Arial" w:eastAsia="Calibri" w:hAnsi="Arial" w:cs="Arial"/>
          <w:sz w:val="18"/>
          <w:szCs w:val="18"/>
        </w:rPr>
        <w:t>. godine, Općina Konavle je s Dubrovačko-neretvanskom županijom, te osnovnom školom Cavtat, kao i osnovnom školom Gruda zaključila ugovor o sufinanciranju produženog boravka za školsku godinu 202</w:t>
      </w:r>
      <w:r w:rsidR="00E054EA">
        <w:rPr>
          <w:rFonts w:ascii="Arial" w:eastAsia="Calibri" w:hAnsi="Arial" w:cs="Arial"/>
          <w:sz w:val="18"/>
          <w:szCs w:val="18"/>
        </w:rPr>
        <w:t>4</w:t>
      </w:r>
      <w:r w:rsidRPr="00676A9B">
        <w:rPr>
          <w:rFonts w:ascii="Arial" w:eastAsia="Calibri" w:hAnsi="Arial" w:cs="Arial"/>
          <w:sz w:val="18"/>
          <w:szCs w:val="18"/>
        </w:rPr>
        <w:t>/202</w:t>
      </w:r>
      <w:r w:rsidR="00E054EA">
        <w:rPr>
          <w:rFonts w:ascii="Arial" w:eastAsia="Calibri" w:hAnsi="Arial" w:cs="Arial"/>
          <w:sz w:val="18"/>
          <w:szCs w:val="18"/>
        </w:rPr>
        <w:t>5</w:t>
      </w:r>
      <w:r w:rsidRPr="00676A9B">
        <w:rPr>
          <w:rFonts w:ascii="Arial" w:eastAsia="Calibri" w:hAnsi="Arial" w:cs="Arial"/>
          <w:sz w:val="18"/>
          <w:szCs w:val="18"/>
        </w:rPr>
        <w:t xml:space="preserve">. Županija sufinancira 25%, a Općina 75% troška rada djelatnika razredne nastave za brigu i rad s djecom u produženom boravku i ostale materijalne troškove, a roditelji podmiruju troškove prehrane. </w:t>
      </w:r>
    </w:p>
    <w:p w14:paraId="31CAC940" w14:textId="77777777" w:rsidR="00E054EA" w:rsidRDefault="00E054EA" w:rsidP="00E054EA">
      <w:pPr>
        <w:spacing w:after="0" w:line="240" w:lineRule="auto"/>
        <w:jc w:val="both"/>
        <w:rPr>
          <w:rFonts w:ascii="Arial" w:eastAsia="Calibri" w:hAnsi="Arial" w:cs="Arial"/>
          <w:sz w:val="18"/>
          <w:szCs w:val="18"/>
        </w:rPr>
      </w:pPr>
    </w:p>
    <w:p w14:paraId="77EC3FF1" w14:textId="63C732DD" w:rsidR="00676A9B" w:rsidRPr="00676A9B" w:rsidRDefault="00676A9B" w:rsidP="00E054EA">
      <w:pPr>
        <w:spacing w:after="0" w:line="240" w:lineRule="auto"/>
        <w:jc w:val="both"/>
        <w:rPr>
          <w:rFonts w:ascii="Arial" w:eastAsia="Calibri" w:hAnsi="Arial" w:cs="Arial"/>
          <w:sz w:val="20"/>
          <w:szCs w:val="20"/>
        </w:rPr>
      </w:pPr>
      <w:r w:rsidRPr="00676A9B">
        <w:rPr>
          <w:rFonts w:ascii="Arial" w:eastAsia="Calibri" w:hAnsi="Arial" w:cs="Arial"/>
          <w:sz w:val="20"/>
          <w:szCs w:val="20"/>
        </w:rPr>
        <w:t>Novi ugovori za školsku 202</w:t>
      </w:r>
      <w:r w:rsidR="00E054EA">
        <w:rPr>
          <w:rFonts w:ascii="Arial" w:eastAsia="Calibri" w:hAnsi="Arial" w:cs="Arial"/>
          <w:sz w:val="20"/>
          <w:szCs w:val="20"/>
        </w:rPr>
        <w:t>5</w:t>
      </w:r>
      <w:r w:rsidRPr="00676A9B">
        <w:rPr>
          <w:rFonts w:ascii="Arial" w:eastAsia="Calibri" w:hAnsi="Arial" w:cs="Arial"/>
          <w:sz w:val="20"/>
          <w:szCs w:val="20"/>
        </w:rPr>
        <w:t>/202</w:t>
      </w:r>
      <w:r w:rsidR="00E054EA">
        <w:rPr>
          <w:rFonts w:ascii="Arial" w:eastAsia="Calibri" w:hAnsi="Arial" w:cs="Arial"/>
          <w:sz w:val="20"/>
          <w:szCs w:val="20"/>
        </w:rPr>
        <w:t>6</w:t>
      </w:r>
      <w:r w:rsidRPr="00676A9B">
        <w:rPr>
          <w:rFonts w:ascii="Arial" w:eastAsia="Calibri" w:hAnsi="Arial" w:cs="Arial"/>
          <w:sz w:val="20"/>
          <w:szCs w:val="20"/>
        </w:rPr>
        <w:t>. godinu su zaključeni u rujnu 202</w:t>
      </w:r>
      <w:r w:rsidR="00E054EA">
        <w:rPr>
          <w:rFonts w:ascii="Arial" w:eastAsia="Calibri" w:hAnsi="Arial" w:cs="Arial"/>
          <w:sz w:val="20"/>
          <w:szCs w:val="20"/>
        </w:rPr>
        <w:t>5</w:t>
      </w:r>
      <w:r w:rsidRPr="00676A9B">
        <w:rPr>
          <w:rFonts w:ascii="Arial" w:eastAsia="Calibri" w:hAnsi="Arial" w:cs="Arial"/>
          <w:sz w:val="20"/>
          <w:szCs w:val="20"/>
        </w:rPr>
        <w:t>.g.</w:t>
      </w:r>
      <w:r w:rsidR="00E054EA">
        <w:rPr>
          <w:rFonts w:ascii="Arial" w:eastAsia="Calibri" w:hAnsi="Arial" w:cs="Arial"/>
          <w:sz w:val="20"/>
          <w:szCs w:val="20"/>
        </w:rPr>
        <w:t xml:space="preserve"> </w:t>
      </w:r>
      <w:r w:rsidR="00E054EA" w:rsidRPr="00E054EA">
        <w:rPr>
          <w:rFonts w:ascii="Arial" w:eastAsia="Calibri" w:hAnsi="Arial" w:cs="Arial"/>
          <w:sz w:val="20"/>
          <w:szCs w:val="20"/>
        </w:rPr>
        <w:t>Uvjeti sufinanciranja se nisu mijenjali.</w:t>
      </w:r>
    </w:p>
    <w:p w14:paraId="7C2A2ADD" w14:textId="77777777" w:rsidR="00E054EA" w:rsidRPr="00676A9B" w:rsidRDefault="00E054EA" w:rsidP="00676A9B">
      <w:pPr>
        <w:spacing w:after="0" w:line="240" w:lineRule="auto"/>
        <w:ind w:left="567"/>
        <w:jc w:val="both"/>
        <w:rPr>
          <w:rFonts w:ascii="Arial" w:eastAsia="Calibri" w:hAnsi="Arial" w:cs="Arial"/>
          <w:sz w:val="18"/>
          <w:szCs w:val="18"/>
        </w:rPr>
      </w:pPr>
      <w:bookmarkStart w:id="437" w:name="_Hlk198884934"/>
      <w:bookmarkEnd w:id="435"/>
      <w:bookmarkEnd w:id="436"/>
    </w:p>
    <w:p w14:paraId="543E257C" w14:textId="77777777" w:rsidR="00E054EA" w:rsidRPr="00E054EA" w:rsidRDefault="00E054EA" w:rsidP="00E054EA">
      <w:pPr>
        <w:spacing w:after="0" w:line="240" w:lineRule="auto"/>
        <w:jc w:val="both"/>
        <w:rPr>
          <w:rFonts w:ascii="Arial" w:eastAsia="Calibri" w:hAnsi="Arial" w:cs="Arial"/>
          <w:sz w:val="20"/>
          <w:szCs w:val="20"/>
        </w:rPr>
      </w:pPr>
      <w:bookmarkStart w:id="438" w:name="_Hlk198884977"/>
      <w:bookmarkEnd w:id="437"/>
      <w:r w:rsidRPr="00E054EA">
        <w:rPr>
          <w:rFonts w:ascii="Arial" w:eastAsia="Calibri" w:hAnsi="Arial" w:cs="Arial"/>
          <w:sz w:val="20"/>
          <w:szCs w:val="20"/>
        </w:rPr>
        <w:t>Produženi boravak u školskoj godini 2025./2026. je koristilo u prosjeku 30 učenika i to: u OŠ Gruda 16 učenika, a u OŠ Cavtat – PŠ Čilipi 14 učenika.</w:t>
      </w:r>
    </w:p>
    <w:p w14:paraId="661650E5" w14:textId="77777777" w:rsidR="00E054EA" w:rsidRPr="00E054EA" w:rsidRDefault="00E054EA" w:rsidP="00E054EA">
      <w:pPr>
        <w:spacing w:after="0" w:line="240" w:lineRule="auto"/>
        <w:jc w:val="both"/>
        <w:rPr>
          <w:rFonts w:ascii="Arial" w:eastAsia="Calibri" w:hAnsi="Arial" w:cs="Arial"/>
          <w:sz w:val="18"/>
          <w:szCs w:val="18"/>
        </w:rPr>
      </w:pPr>
    </w:p>
    <w:p w14:paraId="155CD146" w14:textId="77777777" w:rsidR="00E054EA" w:rsidRPr="00E054EA" w:rsidRDefault="00E054EA" w:rsidP="00E054EA">
      <w:pPr>
        <w:spacing w:after="0" w:line="240" w:lineRule="auto"/>
        <w:jc w:val="both"/>
        <w:rPr>
          <w:rFonts w:ascii="Arial" w:eastAsia="Calibri" w:hAnsi="Arial" w:cs="Arial"/>
          <w:sz w:val="18"/>
          <w:szCs w:val="18"/>
        </w:rPr>
      </w:pPr>
    </w:p>
    <w:bookmarkEnd w:id="438"/>
    <w:p w14:paraId="39CF7D51" w14:textId="77777777" w:rsidR="00676A9B" w:rsidRDefault="00676A9B" w:rsidP="00676A9B">
      <w:pPr>
        <w:spacing w:after="0" w:line="240" w:lineRule="auto"/>
        <w:jc w:val="both"/>
        <w:rPr>
          <w:rFonts w:ascii="Arial" w:eastAsia="Times New Roman" w:hAnsi="Arial" w:cs="Arial"/>
          <w:iCs/>
          <w:sz w:val="20"/>
          <w:szCs w:val="20"/>
        </w:rPr>
      </w:pPr>
    </w:p>
    <w:p w14:paraId="1DA6DB5E" w14:textId="77777777" w:rsidR="009136D4" w:rsidRDefault="009136D4" w:rsidP="00676A9B">
      <w:pPr>
        <w:spacing w:after="0" w:line="240" w:lineRule="auto"/>
        <w:jc w:val="both"/>
        <w:rPr>
          <w:rFonts w:ascii="Arial" w:eastAsia="Times New Roman" w:hAnsi="Arial" w:cs="Arial"/>
          <w:iCs/>
          <w:sz w:val="20"/>
          <w:szCs w:val="20"/>
        </w:rPr>
      </w:pPr>
    </w:p>
    <w:p w14:paraId="48762A88" w14:textId="77777777" w:rsidR="009136D4" w:rsidRDefault="009136D4" w:rsidP="00676A9B">
      <w:pPr>
        <w:spacing w:after="0" w:line="240" w:lineRule="auto"/>
        <w:jc w:val="both"/>
        <w:rPr>
          <w:rFonts w:ascii="Arial" w:eastAsia="Times New Roman" w:hAnsi="Arial" w:cs="Arial"/>
          <w:iCs/>
          <w:sz w:val="20"/>
          <w:szCs w:val="20"/>
        </w:rPr>
      </w:pPr>
    </w:p>
    <w:p w14:paraId="5D96D858" w14:textId="77777777" w:rsidR="009136D4" w:rsidRDefault="009136D4" w:rsidP="00676A9B">
      <w:pPr>
        <w:spacing w:after="0" w:line="240" w:lineRule="auto"/>
        <w:jc w:val="both"/>
        <w:rPr>
          <w:rFonts w:ascii="Arial" w:eastAsia="Times New Roman" w:hAnsi="Arial" w:cs="Arial"/>
          <w:iCs/>
          <w:sz w:val="20"/>
          <w:szCs w:val="20"/>
        </w:rPr>
      </w:pPr>
    </w:p>
    <w:p w14:paraId="5365A248" w14:textId="77777777" w:rsidR="009136D4" w:rsidRPr="00676A9B" w:rsidRDefault="009136D4" w:rsidP="00676A9B">
      <w:pPr>
        <w:spacing w:after="0" w:line="240" w:lineRule="auto"/>
        <w:jc w:val="both"/>
        <w:rPr>
          <w:rFonts w:ascii="Arial" w:eastAsia="Times New Roman" w:hAnsi="Arial" w:cs="Arial"/>
          <w:iCs/>
          <w:sz w:val="20"/>
          <w:szCs w:val="20"/>
        </w:rPr>
      </w:pPr>
    </w:p>
    <w:p w14:paraId="68075E18" w14:textId="77777777" w:rsidR="00676A9B" w:rsidRPr="00676A9B" w:rsidRDefault="00676A9B" w:rsidP="00676A9B">
      <w:pPr>
        <w:spacing w:after="0" w:line="240" w:lineRule="auto"/>
        <w:ind w:left="709" w:firstLine="709"/>
        <w:jc w:val="both"/>
        <w:rPr>
          <w:rFonts w:ascii="Arial" w:eastAsia="Calibri" w:hAnsi="Arial" w:cs="Arial"/>
          <w:i/>
          <w:iCs/>
          <w:sz w:val="20"/>
          <w:szCs w:val="20"/>
        </w:rPr>
      </w:pPr>
      <w:r w:rsidRPr="00676A9B">
        <w:rPr>
          <w:rFonts w:ascii="Arial" w:eastAsia="Calibri" w:hAnsi="Arial" w:cs="Arial"/>
          <w:i/>
          <w:iCs/>
          <w:sz w:val="20"/>
          <w:szCs w:val="20"/>
        </w:rPr>
        <w:lastRenderedPageBreak/>
        <w:t>Usporedba:</w:t>
      </w:r>
    </w:p>
    <w:tbl>
      <w:tblPr>
        <w:tblStyle w:val="Reetkatablice70"/>
        <w:tblW w:w="0" w:type="auto"/>
        <w:jc w:val="center"/>
        <w:tblLook w:val="04A0" w:firstRow="1" w:lastRow="0" w:firstColumn="1" w:lastColumn="0" w:noHBand="0" w:noVBand="1"/>
      </w:tblPr>
      <w:tblGrid>
        <w:gridCol w:w="935"/>
        <w:gridCol w:w="1209"/>
        <w:gridCol w:w="1086"/>
        <w:gridCol w:w="1402"/>
        <w:gridCol w:w="1143"/>
        <w:gridCol w:w="1281"/>
        <w:gridCol w:w="974"/>
        <w:gridCol w:w="1301"/>
        <w:gridCol w:w="1281"/>
      </w:tblGrid>
      <w:tr w:rsidR="00676A9B" w:rsidRPr="00676A9B" w14:paraId="46F05161" w14:textId="77777777" w:rsidTr="00410A4B">
        <w:trPr>
          <w:trHeight w:val="1266"/>
          <w:jc w:val="center"/>
        </w:trPr>
        <w:tc>
          <w:tcPr>
            <w:tcW w:w="935" w:type="dxa"/>
            <w:vAlign w:val="center"/>
          </w:tcPr>
          <w:p w14:paraId="7DB1BE78" w14:textId="77777777" w:rsidR="00676A9B" w:rsidRPr="00676A9B" w:rsidRDefault="00676A9B" w:rsidP="00676A9B">
            <w:pPr>
              <w:jc w:val="center"/>
              <w:rPr>
                <w:rFonts w:ascii="Arial" w:hAnsi="Arial" w:cs="Arial"/>
                <w:i/>
                <w:sz w:val="16"/>
                <w:szCs w:val="16"/>
                <w:lang w:eastAsia="en-US"/>
              </w:rPr>
            </w:pPr>
            <w:r w:rsidRPr="00676A9B">
              <w:rPr>
                <w:rFonts w:ascii="Arial" w:hAnsi="Arial" w:cs="Arial"/>
                <w:i/>
                <w:sz w:val="16"/>
                <w:szCs w:val="16"/>
                <w:lang w:eastAsia="en-US"/>
              </w:rPr>
              <w:t>Godina izvršenja rashoda</w:t>
            </w:r>
          </w:p>
        </w:tc>
        <w:tc>
          <w:tcPr>
            <w:tcW w:w="1209" w:type="dxa"/>
            <w:vAlign w:val="center"/>
          </w:tcPr>
          <w:p w14:paraId="26E4F62F" w14:textId="77777777" w:rsidR="00676A9B" w:rsidRPr="00676A9B" w:rsidRDefault="00676A9B" w:rsidP="00676A9B">
            <w:pPr>
              <w:jc w:val="center"/>
              <w:rPr>
                <w:rFonts w:ascii="Arial" w:hAnsi="Arial" w:cs="Arial"/>
                <w:i/>
                <w:sz w:val="16"/>
                <w:szCs w:val="16"/>
                <w:lang w:eastAsia="en-US"/>
              </w:rPr>
            </w:pPr>
            <w:r w:rsidRPr="00676A9B">
              <w:rPr>
                <w:rFonts w:ascii="Arial" w:hAnsi="Arial" w:cs="Arial"/>
                <w:i/>
                <w:sz w:val="16"/>
                <w:szCs w:val="16"/>
                <w:lang w:eastAsia="en-US"/>
              </w:rPr>
              <w:t>Školska godina*</w:t>
            </w:r>
          </w:p>
        </w:tc>
        <w:tc>
          <w:tcPr>
            <w:tcW w:w="1086" w:type="dxa"/>
            <w:vAlign w:val="center"/>
          </w:tcPr>
          <w:p w14:paraId="38C534D4" w14:textId="77777777" w:rsidR="00676A9B" w:rsidRPr="00676A9B" w:rsidRDefault="00676A9B" w:rsidP="00676A9B">
            <w:pPr>
              <w:jc w:val="center"/>
              <w:rPr>
                <w:rFonts w:ascii="Arial" w:hAnsi="Arial" w:cs="Arial"/>
                <w:i/>
                <w:sz w:val="16"/>
                <w:szCs w:val="16"/>
                <w:lang w:eastAsia="en-US"/>
              </w:rPr>
            </w:pPr>
            <w:r w:rsidRPr="00676A9B">
              <w:rPr>
                <w:rFonts w:ascii="Arial" w:hAnsi="Arial" w:cs="Arial"/>
                <w:i/>
                <w:sz w:val="16"/>
                <w:szCs w:val="16"/>
                <w:lang w:eastAsia="en-US"/>
              </w:rPr>
              <w:t>Broj korisnika (prosječno) OŠ Gruda, od rujna 2017.</w:t>
            </w:r>
          </w:p>
        </w:tc>
        <w:tc>
          <w:tcPr>
            <w:tcW w:w="1402" w:type="dxa"/>
            <w:vAlign w:val="center"/>
          </w:tcPr>
          <w:p w14:paraId="008874FF" w14:textId="77777777" w:rsidR="00676A9B" w:rsidRPr="00676A9B" w:rsidRDefault="00676A9B" w:rsidP="00676A9B">
            <w:pPr>
              <w:jc w:val="center"/>
              <w:rPr>
                <w:rFonts w:ascii="Arial" w:hAnsi="Arial" w:cs="Arial"/>
                <w:i/>
                <w:sz w:val="16"/>
                <w:szCs w:val="16"/>
                <w:lang w:eastAsia="en-US"/>
              </w:rPr>
            </w:pPr>
            <w:r w:rsidRPr="00676A9B">
              <w:rPr>
                <w:rFonts w:ascii="Arial" w:hAnsi="Arial" w:cs="Arial"/>
                <w:i/>
                <w:sz w:val="16"/>
                <w:szCs w:val="16"/>
                <w:lang w:eastAsia="en-US"/>
              </w:rPr>
              <w:t xml:space="preserve">Iznos sufinanciranja </w:t>
            </w:r>
            <w:r w:rsidRPr="00676A9B">
              <w:rPr>
                <w:rFonts w:ascii="Arial" w:hAnsi="Arial" w:cs="Arial"/>
                <w:b/>
                <w:bCs/>
                <w:i/>
                <w:sz w:val="16"/>
                <w:szCs w:val="16"/>
                <w:lang w:eastAsia="en-US"/>
              </w:rPr>
              <w:t>(€)</w:t>
            </w:r>
          </w:p>
        </w:tc>
        <w:tc>
          <w:tcPr>
            <w:tcW w:w="1143" w:type="dxa"/>
            <w:vAlign w:val="center"/>
          </w:tcPr>
          <w:p w14:paraId="0DFD1529" w14:textId="77777777" w:rsidR="00676A9B" w:rsidRPr="00676A9B" w:rsidRDefault="00676A9B" w:rsidP="00676A9B">
            <w:pPr>
              <w:jc w:val="center"/>
              <w:rPr>
                <w:rFonts w:ascii="Arial" w:hAnsi="Arial" w:cs="Arial"/>
                <w:i/>
                <w:sz w:val="16"/>
                <w:szCs w:val="16"/>
                <w:lang w:eastAsia="en-US"/>
              </w:rPr>
            </w:pPr>
            <w:r w:rsidRPr="00676A9B">
              <w:rPr>
                <w:rFonts w:ascii="Arial" w:hAnsi="Arial" w:cs="Arial"/>
                <w:i/>
                <w:sz w:val="16"/>
                <w:szCs w:val="16"/>
                <w:lang w:eastAsia="en-US"/>
              </w:rPr>
              <w:t xml:space="preserve">Broj korisnika (prosječno) OŠ Cavtat </w:t>
            </w:r>
          </w:p>
          <w:p w14:paraId="4121740D" w14:textId="77777777" w:rsidR="00676A9B" w:rsidRPr="00676A9B" w:rsidRDefault="00676A9B" w:rsidP="00676A9B">
            <w:pPr>
              <w:jc w:val="center"/>
              <w:rPr>
                <w:rFonts w:ascii="Arial" w:hAnsi="Arial" w:cs="Arial"/>
                <w:i/>
                <w:sz w:val="16"/>
                <w:szCs w:val="16"/>
                <w:lang w:eastAsia="en-US"/>
              </w:rPr>
            </w:pPr>
            <w:r w:rsidRPr="00676A9B">
              <w:rPr>
                <w:rFonts w:ascii="Arial" w:hAnsi="Arial" w:cs="Arial"/>
                <w:i/>
                <w:sz w:val="16"/>
                <w:szCs w:val="16"/>
                <w:lang w:eastAsia="en-US"/>
              </w:rPr>
              <w:t>(PŠ Čilipi), od listopada 2019.</w:t>
            </w:r>
          </w:p>
        </w:tc>
        <w:tc>
          <w:tcPr>
            <w:tcW w:w="1281" w:type="dxa"/>
            <w:vAlign w:val="center"/>
          </w:tcPr>
          <w:p w14:paraId="3B6DF7DE" w14:textId="77777777" w:rsidR="00676A9B" w:rsidRPr="00676A9B" w:rsidRDefault="00676A9B" w:rsidP="00676A9B">
            <w:pPr>
              <w:jc w:val="center"/>
              <w:rPr>
                <w:rFonts w:ascii="Arial" w:hAnsi="Arial" w:cs="Arial"/>
                <w:b/>
                <w:bCs/>
                <w:i/>
                <w:sz w:val="16"/>
                <w:szCs w:val="16"/>
                <w:lang w:eastAsia="en-US"/>
              </w:rPr>
            </w:pPr>
            <w:r w:rsidRPr="00676A9B">
              <w:rPr>
                <w:rFonts w:ascii="Arial" w:hAnsi="Arial" w:cs="Arial"/>
                <w:i/>
                <w:sz w:val="16"/>
                <w:szCs w:val="16"/>
                <w:lang w:eastAsia="en-US"/>
              </w:rPr>
              <w:t xml:space="preserve">Iznos sufinanciranja </w:t>
            </w:r>
            <w:r w:rsidRPr="00676A9B">
              <w:rPr>
                <w:rFonts w:ascii="Arial" w:hAnsi="Arial" w:cs="Arial"/>
                <w:b/>
                <w:bCs/>
                <w:i/>
                <w:sz w:val="16"/>
                <w:szCs w:val="16"/>
                <w:lang w:eastAsia="en-US"/>
              </w:rPr>
              <w:t>(€)</w:t>
            </w:r>
          </w:p>
        </w:tc>
        <w:tc>
          <w:tcPr>
            <w:tcW w:w="974" w:type="dxa"/>
            <w:vAlign w:val="center"/>
          </w:tcPr>
          <w:p w14:paraId="04CAD96B" w14:textId="77777777" w:rsidR="00676A9B" w:rsidRPr="00676A9B" w:rsidRDefault="00676A9B" w:rsidP="00676A9B">
            <w:pPr>
              <w:jc w:val="center"/>
              <w:rPr>
                <w:rFonts w:ascii="Arial" w:hAnsi="Arial" w:cs="Arial"/>
                <w:i/>
                <w:sz w:val="16"/>
                <w:szCs w:val="16"/>
                <w:lang w:eastAsia="en-US"/>
              </w:rPr>
            </w:pPr>
            <w:r w:rsidRPr="00676A9B">
              <w:rPr>
                <w:rFonts w:ascii="Arial" w:hAnsi="Arial" w:cs="Arial"/>
                <w:b/>
                <w:bCs/>
                <w:i/>
                <w:sz w:val="16"/>
                <w:szCs w:val="16"/>
                <w:lang w:eastAsia="en-US"/>
              </w:rPr>
              <w:t>Broj korisnika</w:t>
            </w:r>
            <w:r w:rsidRPr="00676A9B">
              <w:rPr>
                <w:rFonts w:ascii="Arial" w:hAnsi="Arial" w:cs="Arial"/>
                <w:i/>
                <w:sz w:val="16"/>
                <w:szCs w:val="16"/>
                <w:lang w:eastAsia="en-US"/>
              </w:rPr>
              <w:t xml:space="preserve"> -</w:t>
            </w:r>
            <w:r w:rsidRPr="00676A9B">
              <w:rPr>
                <w:rFonts w:ascii="Arial" w:hAnsi="Arial" w:cs="Arial"/>
                <w:b/>
                <w:bCs/>
                <w:i/>
                <w:sz w:val="16"/>
                <w:szCs w:val="16"/>
                <w:lang w:eastAsia="en-US"/>
              </w:rPr>
              <w:t>ukupno</w:t>
            </w:r>
          </w:p>
        </w:tc>
        <w:tc>
          <w:tcPr>
            <w:tcW w:w="1301" w:type="dxa"/>
            <w:vAlign w:val="center"/>
          </w:tcPr>
          <w:p w14:paraId="75038235" w14:textId="77777777" w:rsidR="00676A9B" w:rsidRPr="00676A9B" w:rsidRDefault="00676A9B" w:rsidP="00676A9B">
            <w:pPr>
              <w:jc w:val="center"/>
              <w:rPr>
                <w:rFonts w:ascii="Arial" w:hAnsi="Arial" w:cs="Arial"/>
                <w:i/>
                <w:sz w:val="16"/>
                <w:szCs w:val="16"/>
                <w:lang w:eastAsia="en-US"/>
              </w:rPr>
            </w:pPr>
            <w:r w:rsidRPr="00676A9B">
              <w:rPr>
                <w:rFonts w:ascii="Arial" w:hAnsi="Arial" w:cs="Arial"/>
                <w:b/>
                <w:bCs/>
                <w:i/>
                <w:sz w:val="16"/>
                <w:szCs w:val="16"/>
                <w:lang w:eastAsia="en-US"/>
              </w:rPr>
              <w:t>Iznos sufinanciranja – sveukupno</w:t>
            </w:r>
            <w:r w:rsidRPr="00676A9B">
              <w:rPr>
                <w:rFonts w:ascii="Arial" w:hAnsi="Arial" w:cs="Arial"/>
                <w:i/>
                <w:sz w:val="16"/>
                <w:szCs w:val="16"/>
                <w:lang w:eastAsia="en-US"/>
              </w:rPr>
              <w:t xml:space="preserve"> </w:t>
            </w:r>
            <w:r w:rsidRPr="00676A9B">
              <w:rPr>
                <w:rFonts w:ascii="Arial" w:hAnsi="Arial" w:cs="Arial"/>
                <w:b/>
                <w:bCs/>
                <w:i/>
                <w:sz w:val="16"/>
                <w:szCs w:val="16"/>
                <w:lang w:eastAsia="en-US"/>
              </w:rPr>
              <w:t>(€)</w:t>
            </w:r>
          </w:p>
        </w:tc>
        <w:tc>
          <w:tcPr>
            <w:tcW w:w="1281" w:type="dxa"/>
            <w:vAlign w:val="center"/>
          </w:tcPr>
          <w:p w14:paraId="22A72F21" w14:textId="77777777" w:rsidR="00676A9B" w:rsidRPr="00676A9B" w:rsidRDefault="00676A9B" w:rsidP="00676A9B">
            <w:pPr>
              <w:jc w:val="center"/>
              <w:rPr>
                <w:rFonts w:ascii="Arial" w:hAnsi="Arial" w:cs="Arial"/>
                <w:i/>
                <w:sz w:val="16"/>
                <w:szCs w:val="16"/>
                <w:lang w:eastAsia="en-US"/>
              </w:rPr>
            </w:pPr>
            <w:r w:rsidRPr="00676A9B">
              <w:rPr>
                <w:rFonts w:ascii="Arial" w:hAnsi="Arial" w:cs="Arial"/>
                <w:i/>
                <w:sz w:val="16"/>
                <w:szCs w:val="16"/>
                <w:lang w:eastAsia="en-US"/>
              </w:rPr>
              <w:t>Općina –</w:t>
            </w:r>
          </w:p>
          <w:p w14:paraId="02C7D2D8" w14:textId="77777777" w:rsidR="00676A9B" w:rsidRPr="00676A9B" w:rsidRDefault="00676A9B" w:rsidP="00676A9B">
            <w:pPr>
              <w:jc w:val="center"/>
              <w:rPr>
                <w:rFonts w:ascii="Arial" w:hAnsi="Arial" w:cs="Arial"/>
                <w:i/>
                <w:sz w:val="16"/>
                <w:szCs w:val="16"/>
                <w:lang w:eastAsia="en-US"/>
              </w:rPr>
            </w:pPr>
            <w:r w:rsidRPr="00676A9B">
              <w:rPr>
                <w:rFonts w:ascii="Arial" w:hAnsi="Arial" w:cs="Arial"/>
                <w:i/>
                <w:sz w:val="16"/>
                <w:szCs w:val="16"/>
                <w:lang w:eastAsia="en-US"/>
              </w:rPr>
              <w:t xml:space="preserve"> % sufinanciranja</w:t>
            </w:r>
          </w:p>
        </w:tc>
      </w:tr>
      <w:tr w:rsidR="00676A9B" w:rsidRPr="00676A9B" w14:paraId="524F4529" w14:textId="77777777" w:rsidTr="00410A4B">
        <w:trPr>
          <w:trHeight w:val="277"/>
          <w:jc w:val="center"/>
        </w:trPr>
        <w:tc>
          <w:tcPr>
            <w:tcW w:w="935" w:type="dxa"/>
            <w:vAlign w:val="center"/>
          </w:tcPr>
          <w:p w14:paraId="0C6ED6D4" w14:textId="77777777" w:rsidR="00676A9B" w:rsidRPr="00676A9B" w:rsidRDefault="00676A9B" w:rsidP="00676A9B">
            <w:pPr>
              <w:jc w:val="both"/>
              <w:rPr>
                <w:rFonts w:ascii="Arial" w:hAnsi="Arial" w:cs="Arial"/>
                <w:iCs/>
                <w:sz w:val="18"/>
                <w:szCs w:val="18"/>
                <w:lang w:eastAsia="en-US"/>
              </w:rPr>
            </w:pPr>
            <w:r w:rsidRPr="00676A9B">
              <w:rPr>
                <w:rFonts w:ascii="Arial" w:hAnsi="Arial" w:cs="Arial"/>
                <w:iCs/>
                <w:sz w:val="18"/>
                <w:szCs w:val="18"/>
                <w:lang w:eastAsia="en-US"/>
              </w:rPr>
              <w:t>2017.</w:t>
            </w:r>
          </w:p>
        </w:tc>
        <w:tc>
          <w:tcPr>
            <w:tcW w:w="1209" w:type="dxa"/>
            <w:vAlign w:val="center"/>
          </w:tcPr>
          <w:p w14:paraId="13342C4E" w14:textId="77777777" w:rsidR="00676A9B" w:rsidRPr="00676A9B" w:rsidRDefault="00676A9B" w:rsidP="00676A9B">
            <w:pPr>
              <w:jc w:val="both"/>
              <w:rPr>
                <w:rFonts w:ascii="Arial" w:hAnsi="Arial" w:cs="Arial"/>
                <w:iCs/>
                <w:sz w:val="18"/>
                <w:szCs w:val="18"/>
                <w:lang w:eastAsia="en-US"/>
              </w:rPr>
            </w:pPr>
            <w:r w:rsidRPr="00676A9B">
              <w:rPr>
                <w:rFonts w:ascii="Arial" w:hAnsi="Arial" w:cs="Arial"/>
                <w:iCs/>
                <w:sz w:val="18"/>
                <w:szCs w:val="18"/>
                <w:lang w:eastAsia="en-US"/>
              </w:rPr>
              <w:t xml:space="preserve">                     2017/2018.</w:t>
            </w:r>
          </w:p>
        </w:tc>
        <w:tc>
          <w:tcPr>
            <w:tcW w:w="1086" w:type="dxa"/>
            <w:vAlign w:val="center"/>
          </w:tcPr>
          <w:p w14:paraId="53946308"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0 / 16</w:t>
            </w:r>
          </w:p>
        </w:tc>
        <w:tc>
          <w:tcPr>
            <w:tcW w:w="1402" w:type="dxa"/>
            <w:tcBorders>
              <w:top w:val="nil"/>
              <w:left w:val="nil"/>
              <w:bottom w:val="single" w:sz="8" w:space="0" w:color="auto"/>
              <w:right w:val="single" w:sz="8" w:space="0" w:color="auto"/>
            </w:tcBorders>
            <w:vAlign w:val="center"/>
          </w:tcPr>
          <w:p w14:paraId="7EA81AAB" w14:textId="77777777" w:rsidR="00676A9B" w:rsidRPr="00676A9B" w:rsidRDefault="00676A9B" w:rsidP="00676A9B">
            <w:pPr>
              <w:jc w:val="right"/>
              <w:rPr>
                <w:rFonts w:ascii="Arial" w:hAnsi="Arial" w:cs="Arial"/>
                <w:iCs/>
                <w:sz w:val="18"/>
                <w:szCs w:val="18"/>
                <w:lang w:eastAsia="en-US"/>
              </w:rPr>
            </w:pPr>
            <w:r w:rsidRPr="00676A9B">
              <w:rPr>
                <w:rFonts w:ascii="Arial" w:hAnsi="Arial" w:cs="Arial"/>
                <w:i/>
                <w:iCs/>
                <w:sz w:val="18"/>
                <w:szCs w:val="18"/>
                <w:lang w:eastAsia="en-US"/>
              </w:rPr>
              <w:t>4.359,94</w:t>
            </w:r>
          </w:p>
        </w:tc>
        <w:tc>
          <w:tcPr>
            <w:tcW w:w="1143" w:type="dxa"/>
            <w:vAlign w:val="center"/>
          </w:tcPr>
          <w:p w14:paraId="1214207D"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w:t>
            </w:r>
          </w:p>
        </w:tc>
        <w:tc>
          <w:tcPr>
            <w:tcW w:w="1281" w:type="dxa"/>
            <w:tcBorders>
              <w:top w:val="nil"/>
              <w:left w:val="nil"/>
              <w:bottom w:val="single" w:sz="8" w:space="0" w:color="auto"/>
              <w:right w:val="single" w:sz="8" w:space="0" w:color="auto"/>
            </w:tcBorders>
            <w:vAlign w:val="center"/>
          </w:tcPr>
          <w:p w14:paraId="292F1362" w14:textId="77777777" w:rsidR="00676A9B" w:rsidRPr="00676A9B" w:rsidRDefault="00676A9B" w:rsidP="00676A9B">
            <w:pPr>
              <w:jc w:val="right"/>
              <w:rPr>
                <w:rFonts w:ascii="Arial" w:hAnsi="Arial" w:cs="Arial"/>
                <w:iCs/>
                <w:sz w:val="18"/>
                <w:szCs w:val="18"/>
                <w:lang w:eastAsia="en-US"/>
              </w:rPr>
            </w:pPr>
            <w:r w:rsidRPr="00676A9B">
              <w:rPr>
                <w:rFonts w:ascii="Arial" w:hAnsi="Arial" w:cs="Arial"/>
                <w:i/>
                <w:iCs/>
                <w:sz w:val="18"/>
                <w:szCs w:val="18"/>
                <w:lang w:eastAsia="en-US"/>
              </w:rPr>
              <w:t>0,00</w:t>
            </w:r>
          </w:p>
        </w:tc>
        <w:tc>
          <w:tcPr>
            <w:tcW w:w="974" w:type="dxa"/>
            <w:vAlign w:val="center"/>
          </w:tcPr>
          <w:p w14:paraId="0E076461"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16</w:t>
            </w:r>
          </w:p>
        </w:tc>
        <w:tc>
          <w:tcPr>
            <w:tcW w:w="1301" w:type="dxa"/>
            <w:tcBorders>
              <w:top w:val="nil"/>
              <w:left w:val="nil"/>
              <w:bottom w:val="single" w:sz="8" w:space="0" w:color="auto"/>
              <w:right w:val="single" w:sz="8" w:space="0" w:color="auto"/>
            </w:tcBorders>
            <w:vAlign w:val="center"/>
          </w:tcPr>
          <w:p w14:paraId="4CA2A58B" w14:textId="77777777" w:rsidR="00676A9B" w:rsidRPr="00676A9B" w:rsidRDefault="00676A9B" w:rsidP="00676A9B">
            <w:pPr>
              <w:jc w:val="right"/>
              <w:rPr>
                <w:rFonts w:ascii="Arial" w:hAnsi="Arial" w:cs="Arial"/>
                <w:b/>
                <w:bCs/>
                <w:iCs/>
                <w:sz w:val="18"/>
                <w:szCs w:val="18"/>
                <w:lang w:eastAsia="en-US"/>
              </w:rPr>
            </w:pPr>
            <w:r w:rsidRPr="00676A9B">
              <w:rPr>
                <w:rFonts w:ascii="Arial" w:hAnsi="Arial" w:cs="Arial"/>
                <w:b/>
                <w:bCs/>
                <w:i/>
                <w:iCs/>
                <w:sz w:val="18"/>
                <w:szCs w:val="18"/>
                <w:lang w:eastAsia="en-US"/>
              </w:rPr>
              <w:t>4.359,94</w:t>
            </w:r>
          </w:p>
        </w:tc>
        <w:tc>
          <w:tcPr>
            <w:tcW w:w="1281" w:type="dxa"/>
            <w:vAlign w:val="center"/>
          </w:tcPr>
          <w:p w14:paraId="16B5AA34"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73%</w:t>
            </w:r>
          </w:p>
        </w:tc>
      </w:tr>
      <w:tr w:rsidR="00676A9B" w:rsidRPr="00676A9B" w14:paraId="13307BFD" w14:textId="77777777" w:rsidTr="00410A4B">
        <w:trPr>
          <w:jc w:val="center"/>
        </w:trPr>
        <w:tc>
          <w:tcPr>
            <w:tcW w:w="935" w:type="dxa"/>
            <w:vAlign w:val="center"/>
          </w:tcPr>
          <w:p w14:paraId="461D1F8B" w14:textId="77777777" w:rsidR="00676A9B" w:rsidRPr="00676A9B" w:rsidRDefault="00676A9B" w:rsidP="00676A9B">
            <w:pPr>
              <w:jc w:val="both"/>
              <w:rPr>
                <w:rFonts w:ascii="Arial" w:hAnsi="Arial" w:cs="Arial"/>
                <w:iCs/>
                <w:sz w:val="18"/>
                <w:szCs w:val="18"/>
                <w:lang w:eastAsia="en-US"/>
              </w:rPr>
            </w:pPr>
            <w:r w:rsidRPr="00676A9B">
              <w:rPr>
                <w:rFonts w:ascii="Arial" w:hAnsi="Arial" w:cs="Arial"/>
                <w:iCs/>
                <w:sz w:val="18"/>
                <w:szCs w:val="18"/>
                <w:lang w:eastAsia="en-US"/>
              </w:rPr>
              <w:t>2018.</w:t>
            </w:r>
          </w:p>
        </w:tc>
        <w:tc>
          <w:tcPr>
            <w:tcW w:w="1209" w:type="dxa"/>
            <w:vAlign w:val="center"/>
          </w:tcPr>
          <w:p w14:paraId="664FF5AE" w14:textId="77777777" w:rsidR="00676A9B" w:rsidRPr="00676A9B" w:rsidRDefault="00676A9B" w:rsidP="00676A9B">
            <w:pPr>
              <w:rPr>
                <w:rFonts w:ascii="Arial" w:hAnsi="Arial" w:cs="Arial"/>
                <w:iCs/>
                <w:sz w:val="18"/>
                <w:szCs w:val="18"/>
                <w:lang w:eastAsia="en-US"/>
              </w:rPr>
            </w:pPr>
            <w:r w:rsidRPr="00676A9B">
              <w:rPr>
                <w:rFonts w:ascii="Arial" w:hAnsi="Arial" w:cs="Arial"/>
                <w:iCs/>
                <w:sz w:val="18"/>
                <w:szCs w:val="18"/>
                <w:lang w:eastAsia="en-US"/>
              </w:rPr>
              <w:t>2017/2018. i 2018/2019.</w:t>
            </w:r>
          </w:p>
        </w:tc>
        <w:tc>
          <w:tcPr>
            <w:tcW w:w="1086" w:type="dxa"/>
            <w:vAlign w:val="center"/>
          </w:tcPr>
          <w:p w14:paraId="2490FA6A"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16 /21</w:t>
            </w:r>
          </w:p>
        </w:tc>
        <w:tc>
          <w:tcPr>
            <w:tcW w:w="1402" w:type="dxa"/>
            <w:tcBorders>
              <w:top w:val="nil"/>
              <w:left w:val="nil"/>
              <w:bottom w:val="single" w:sz="4" w:space="0" w:color="auto"/>
              <w:right w:val="single" w:sz="8" w:space="0" w:color="auto"/>
            </w:tcBorders>
            <w:vAlign w:val="center"/>
          </w:tcPr>
          <w:p w14:paraId="68E3850E" w14:textId="77777777" w:rsidR="00676A9B" w:rsidRPr="00676A9B" w:rsidRDefault="00676A9B" w:rsidP="00676A9B">
            <w:pPr>
              <w:jc w:val="right"/>
              <w:rPr>
                <w:rFonts w:ascii="Arial" w:hAnsi="Arial" w:cs="Arial"/>
                <w:iCs/>
                <w:sz w:val="18"/>
                <w:szCs w:val="18"/>
                <w:lang w:eastAsia="en-US"/>
              </w:rPr>
            </w:pPr>
            <w:r w:rsidRPr="00676A9B">
              <w:rPr>
                <w:rFonts w:ascii="Arial" w:hAnsi="Arial" w:cs="Arial"/>
                <w:i/>
                <w:iCs/>
                <w:sz w:val="18"/>
                <w:szCs w:val="18"/>
                <w:lang w:eastAsia="en-US"/>
              </w:rPr>
              <w:t>11.989,85</w:t>
            </w:r>
          </w:p>
        </w:tc>
        <w:tc>
          <w:tcPr>
            <w:tcW w:w="1143" w:type="dxa"/>
            <w:tcBorders>
              <w:bottom w:val="single" w:sz="4" w:space="0" w:color="auto"/>
            </w:tcBorders>
            <w:vAlign w:val="center"/>
          </w:tcPr>
          <w:p w14:paraId="7B744E09"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w:t>
            </w:r>
          </w:p>
        </w:tc>
        <w:tc>
          <w:tcPr>
            <w:tcW w:w="1281" w:type="dxa"/>
            <w:tcBorders>
              <w:top w:val="nil"/>
              <w:left w:val="nil"/>
              <w:bottom w:val="single" w:sz="4" w:space="0" w:color="auto"/>
              <w:right w:val="single" w:sz="8" w:space="0" w:color="auto"/>
            </w:tcBorders>
            <w:vAlign w:val="center"/>
          </w:tcPr>
          <w:p w14:paraId="37E2BB50" w14:textId="77777777" w:rsidR="00676A9B" w:rsidRPr="00676A9B" w:rsidRDefault="00676A9B" w:rsidP="00676A9B">
            <w:pPr>
              <w:jc w:val="right"/>
              <w:rPr>
                <w:rFonts w:ascii="Arial" w:hAnsi="Arial" w:cs="Arial"/>
                <w:iCs/>
                <w:sz w:val="18"/>
                <w:szCs w:val="18"/>
                <w:lang w:eastAsia="en-US"/>
              </w:rPr>
            </w:pPr>
            <w:r w:rsidRPr="00676A9B">
              <w:rPr>
                <w:rFonts w:ascii="Arial" w:hAnsi="Arial" w:cs="Arial"/>
                <w:i/>
                <w:iCs/>
                <w:sz w:val="18"/>
                <w:szCs w:val="18"/>
                <w:lang w:eastAsia="en-US"/>
              </w:rPr>
              <w:t>0,00</w:t>
            </w:r>
          </w:p>
        </w:tc>
        <w:tc>
          <w:tcPr>
            <w:tcW w:w="974" w:type="dxa"/>
            <w:tcBorders>
              <w:bottom w:val="single" w:sz="4" w:space="0" w:color="auto"/>
            </w:tcBorders>
            <w:vAlign w:val="center"/>
          </w:tcPr>
          <w:p w14:paraId="1038B246"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16 /21</w:t>
            </w:r>
          </w:p>
        </w:tc>
        <w:tc>
          <w:tcPr>
            <w:tcW w:w="1301" w:type="dxa"/>
            <w:tcBorders>
              <w:top w:val="nil"/>
              <w:left w:val="nil"/>
              <w:bottom w:val="single" w:sz="4" w:space="0" w:color="auto"/>
              <w:right w:val="single" w:sz="8" w:space="0" w:color="auto"/>
            </w:tcBorders>
            <w:vAlign w:val="center"/>
          </w:tcPr>
          <w:p w14:paraId="6A1BE279" w14:textId="77777777" w:rsidR="00676A9B" w:rsidRPr="00676A9B" w:rsidRDefault="00676A9B" w:rsidP="00676A9B">
            <w:pPr>
              <w:jc w:val="right"/>
              <w:rPr>
                <w:rFonts w:ascii="Arial" w:hAnsi="Arial" w:cs="Arial"/>
                <w:b/>
                <w:bCs/>
                <w:iCs/>
                <w:sz w:val="18"/>
                <w:szCs w:val="18"/>
                <w:lang w:eastAsia="en-US"/>
              </w:rPr>
            </w:pPr>
            <w:r w:rsidRPr="00676A9B">
              <w:rPr>
                <w:rFonts w:ascii="Arial" w:hAnsi="Arial" w:cs="Arial"/>
                <w:b/>
                <w:bCs/>
                <w:i/>
                <w:iCs/>
                <w:sz w:val="18"/>
                <w:szCs w:val="18"/>
                <w:lang w:eastAsia="en-US"/>
              </w:rPr>
              <w:t>11.989,85</w:t>
            </w:r>
          </w:p>
        </w:tc>
        <w:tc>
          <w:tcPr>
            <w:tcW w:w="1281" w:type="dxa"/>
            <w:vAlign w:val="center"/>
          </w:tcPr>
          <w:p w14:paraId="4ACC1AE4"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73%</w:t>
            </w:r>
          </w:p>
        </w:tc>
      </w:tr>
      <w:tr w:rsidR="00676A9B" w:rsidRPr="00676A9B" w14:paraId="3C37412C" w14:textId="77777777" w:rsidTr="00410A4B">
        <w:trPr>
          <w:jc w:val="center"/>
        </w:trPr>
        <w:tc>
          <w:tcPr>
            <w:tcW w:w="935" w:type="dxa"/>
            <w:vAlign w:val="center"/>
          </w:tcPr>
          <w:p w14:paraId="4611669C" w14:textId="77777777" w:rsidR="00676A9B" w:rsidRPr="00676A9B" w:rsidRDefault="00676A9B" w:rsidP="00676A9B">
            <w:pPr>
              <w:jc w:val="both"/>
              <w:rPr>
                <w:rFonts w:ascii="Arial" w:hAnsi="Arial" w:cs="Arial"/>
                <w:iCs/>
                <w:sz w:val="18"/>
                <w:szCs w:val="18"/>
                <w:lang w:eastAsia="en-US"/>
              </w:rPr>
            </w:pPr>
            <w:r w:rsidRPr="00676A9B">
              <w:rPr>
                <w:rFonts w:ascii="Arial" w:hAnsi="Arial" w:cs="Arial"/>
                <w:iCs/>
                <w:sz w:val="18"/>
                <w:szCs w:val="18"/>
                <w:lang w:eastAsia="en-US"/>
              </w:rPr>
              <w:t>2019.</w:t>
            </w:r>
          </w:p>
        </w:tc>
        <w:tc>
          <w:tcPr>
            <w:tcW w:w="1209" w:type="dxa"/>
            <w:vAlign w:val="center"/>
          </w:tcPr>
          <w:p w14:paraId="249A5660" w14:textId="77777777" w:rsidR="00676A9B" w:rsidRPr="00676A9B" w:rsidRDefault="00676A9B" w:rsidP="00676A9B">
            <w:pPr>
              <w:rPr>
                <w:rFonts w:ascii="Arial" w:hAnsi="Arial" w:cs="Arial"/>
                <w:iCs/>
                <w:sz w:val="18"/>
                <w:szCs w:val="18"/>
                <w:lang w:eastAsia="en-US"/>
              </w:rPr>
            </w:pPr>
            <w:r w:rsidRPr="00676A9B">
              <w:rPr>
                <w:rFonts w:ascii="Arial" w:hAnsi="Arial" w:cs="Arial"/>
                <w:iCs/>
                <w:sz w:val="18"/>
                <w:szCs w:val="18"/>
                <w:lang w:eastAsia="en-US"/>
              </w:rPr>
              <w:t>2018/2019. i 2019/2020.</w:t>
            </w:r>
          </w:p>
        </w:tc>
        <w:tc>
          <w:tcPr>
            <w:tcW w:w="1086" w:type="dxa"/>
            <w:vAlign w:val="center"/>
          </w:tcPr>
          <w:p w14:paraId="4FF06356"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21</w:t>
            </w:r>
          </w:p>
        </w:tc>
        <w:tc>
          <w:tcPr>
            <w:tcW w:w="1402" w:type="dxa"/>
            <w:tcBorders>
              <w:top w:val="single" w:sz="4" w:space="0" w:color="auto"/>
              <w:left w:val="nil"/>
              <w:bottom w:val="single" w:sz="8" w:space="0" w:color="auto"/>
              <w:right w:val="single" w:sz="8" w:space="0" w:color="auto"/>
            </w:tcBorders>
            <w:vAlign w:val="center"/>
          </w:tcPr>
          <w:p w14:paraId="541FB880" w14:textId="77777777" w:rsidR="00676A9B" w:rsidRPr="00676A9B" w:rsidRDefault="00676A9B" w:rsidP="00676A9B">
            <w:pPr>
              <w:jc w:val="right"/>
              <w:rPr>
                <w:rFonts w:ascii="Arial" w:hAnsi="Arial" w:cs="Arial"/>
                <w:iCs/>
                <w:sz w:val="18"/>
                <w:szCs w:val="18"/>
                <w:lang w:eastAsia="en-US"/>
              </w:rPr>
            </w:pPr>
            <w:r w:rsidRPr="00676A9B">
              <w:rPr>
                <w:rFonts w:ascii="Arial" w:hAnsi="Arial" w:cs="Arial"/>
                <w:i/>
                <w:iCs/>
                <w:sz w:val="18"/>
                <w:szCs w:val="18"/>
                <w:lang w:eastAsia="en-US"/>
              </w:rPr>
              <w:t>13.229,15</w:t>
            </w:r>
          </w:p>
        </w:tc>
        <w:tc>
          <w:tcPr>
            <w:tcW w:w="1143" w:type="dxa"/>
            <w:tcBorders>
              <w:top w:val="single" w:sz="4" w:space="0" w:color="auto"/>
            </w:tcBorders>
            <w:vAlign w:val="center"/>
          </w:tcPr>
          <w:p w14:paraId="5FF5F3AB"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w:t>
            </w:r>
          </w:p>
        </w:tc>
        <w:tc>
          <w:tcPr>
            <w:tcW w:w="1281" w:type="dxa"/>
            <w:tcBorders>
              <w:top w:val="single" w:sz="4" w:space="0" w:color="auto"/>
              <w:left w:val="nil"/>
              <w:bottom w:val="single" w:sz="8" w:space="0" w:color="auto"/>
              <w:right w:val="single" w:sz="8" w:space="0" w:color="auto"/>
            </w:tcBorders>
            <w:vAlign w:val="center"/>
          </w:tcPr>
          <w:p w14:paraId="7991D9E8" w14:textId="77777777" w:rsidR="00676A9B" w:rsidRPr="00676A9B" w:rsidRDefault="00676A9B" w:rsidP="00676A9B">
            <w:pPr>
              <w:jc w:val="right"/>
              <w:rPr>
                <w:rFonts w:ascii="Arial" w:hAnsi="Arial" w:cs="Arial"/>
                <w:iCs/>
                <w:sz w:val="18"/>
                <w:szCs w:val="18"/>
                <w:lang w:eastAsia="en-US"/>
              </w:rPr>
            </w:pPr>
            <w:r w:rsidRPr="00676A9B">
              <w:rPr>
                <w:rFonts w:ascii="Arial" w:hAnsi="Arial" w:cs="Arial"/>
                <w:i/>
                <w:iCs/>
                <w:sz w:val="18"/>
                <w:szCs w:val="18"/>
                <w:lang w:eastAsia="en-US"/>
              </w:rPr>
              <w:t>3.483,97</w:t>
            </w:r>
          </w:p>
        </w:tc>
        <w:tc>
          <w:tcPr>
            <w:tcW w:w="974" w:type="dxa"/>
            <w:tcBorders>
              <w:top w:val="single" w:sz="4" w:space="0" w:color="auto"/>
            </w:tcBorders>
            <w:vAlign w:val="center"/>
          </w:tcPr>
          <w:p w14:paraId="6B61A3F9"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21</w:t>
            </w:r>
          </w:p>
        </w:tc>
        <w:tc>
          <w:tcPr>
            <w:tcW w:w="1301" w:type="dxa"/>
            <w:tcBorders>
              <w:top w:val="single" w:sz="4" w:space="0" w:color="auto"/>
              <w:left w:val="nil"/>
              <w:bottom w:val="single" w:sz="8" w:space="0" w:color="auto"/>
              <w:right w:val="single" w:sz="8" w:space="0" w:color="auto"/>
            </w:tcBorders>
            <w:vAlign w:val="center"/>
          </w:tcPr>
          <w:p w14:paraId="1BDC69B1" w14:textId="77777777" w:rsidR="00676A9B" w:rsidRPr="00676A9B" w:rsidRDefault="00676A9B" w:rsidP="00676A9B">
            <w:pPr>
              <w:jc w:val="right"/>
              <w:rPr>
                <w:rFonts w:ascii="Arial" w:hAnsi="Arial" w:cs="Arial"/>
                <w:b/>
                <w:bCs/>
                <w:iCs/>
                <w:sz w:val="18"/>
                <w:szCs w:val="18"/>
                <w:lang w:eastAsia="en-US"/>
              </w:rPr>
            </w:pPr>
            <w:r w:rsidRPr="00676A9B">
              <w:rPr>
                <w:rFonts w:ascii="Arial" w:hAnsi="Arial" w:cs="Arial"/>
                <w:b/>
                <w:bCs/>
                <w:i/>
                <w:iCs/>
                <w:sz w:val="18"/>
                <w:szCs w:val="18"/>
                <w:lang w:eastAsia="en-US"/>
              </w:rPr>
              <w:t>16.713,12</w:t>
            </w:r>
          </w:p>
        </w:tc>
        <w:tc>
          <w:tcPr>
            <w:tcW w:w="1281" w:type="dxa"/>
            <w:vAlign w:val="center"/>
          </w:tcPr>
          <w:p w14:paraId="71CF63DE"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73%</w:t>
            </w:r>
          </w:p>
        </w:tc>
      </w:tr>
      <w:tr w:rsidR="00676A9B" w:rsidRPr="00676A9B" w14:paraId="71C95779" w14:textId="77777777" w:rsidTr="00410A4B">
        <w:trPr>
          <w:jc w:val="center"/>
        </w:trPr>
        <w:tc>
          <w:tcPr>
            <w:tcW w:w="935" w:type="dxa"/>
            <w:vAlign w:val="center"/>
          </w:tcPr>
          <w:p w14:paraId="2ECC02D6" w14:textId="77777777" w:rsidR="00676A9B" w:rsidRPr="00676A9B" w:rsidRDefault="00676A9B" w:rsidP="00676A9B">
            <w:pPr>
              <w:jc w:val="both"/>
              <w:rPr>
                <w:rFonts w:ascii="Arial" w:hAnsi="Arial" w:cs="Arial"/>
                <w:iCs/>
                <w:sz w:val="18"/>
                <w:szCs w:val="18"/>
                <w:lang w:eastAsia="en-US"/>
              </w:rPr>
            </w:pPr>
            <w:r w:rsidRPr="00676A9B">
              <w:rPr>
                <w:rFonts w:ascii="Arial" w:hAnsi="Arial" w:cs="Arial"/>
                <w:iCs/>
                <w:sz w:val="18"/>
                <w:szCs w:val="18"/>
                <w:lang w:eastAsia="en-US"/>
              </w:rPr>
              <w:t>2020.</w:t>
            </w:r>
          </w:p>
        </w:tc>
        <w:tc>
          <w:tcPr>
            <w:tcW w:w="1209" w:type="dxa"/>
            <w:vAlign w:val="center"/>
          </w:tcPr>
          <w:p w14:paraId="63959B04" w14:textId="77777777" w:rsidR="00676A9B" w:rsidRPr="00676A9B" w:rsidRDefault="00676A9B" w:rsidP="00676A9B">
            <w:pPr>
              <w:rPr>
                <w:rFonts w:ascii="Arial" w:hAnsi="Arial" w:cs="Arial"/>
                <w:iCs/>
                <w:sz w:val="18"/>
                <w:szCs w:val="18"/>
                <w:lang w:eastAsia="en-US"/>
              </w:rPr>
            </w:pPr>
            <w:r w:rsidRPr="00676A9B">
              <w:rPr>
                <w:rFonts w:ascii="Arial" w:hAnsi="Arial" w:cs="Arial"/>
                <w:iCs/>
                <w:sz w:val="18"/>
                <w:szCs w:val="18"/>
                <w:lang w:eastAsia="en-US"/>
              </w:rPr>
              <w:t>2019/2020. i 2020/2021.</w:t>
            </w:r>
          </w:p>
        </w:tc>
        <w:tc>
          <w:tcPr>
            <w:tcW w:w="1086" w:type="dxa"/>
            <w:vAlign w:val="center"/>
          </w:tcPr>
          <w:p w14:paraId="7D68C908"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14 / 5</w:t>
            </w:r>
          </w:p>
        </w:tc>
        <w:tc>
          <w:tcPr>
            <w:tcW w:w="1402" w:type="dxa"/>
            <w:tcBorders>
              <w:top w:val="nil"/>
              <w:left w:val="nil"/>
              <w:bottom w:val="single" w:sz="8" w:space="0" w:color="auto"/>
              <w:right w:val="single" w:sz="8" w:space="0" w:color="auto"/>
            </w:tcBorders>
            <w:vAlign w:val="center"/>
          </w:tcPr>
          <w:p w14:paraId="37F53D48" w14:textId="77777777" w:rsidR="00676A9B" w:rsidRPr="00676A9B" w:rsidRDefault="00676A9B" w:rsidP="00676A9B">
            <w:pPr>
              <w:jc w:val="right"/>
              <w:rPr>
                <w:rFonts w:ascii="Arial" w:hAnsi="Arial" w:cs="Arial"/>
                <w:iCs/>
                <w:sz w:val="18"/>
                <w:szCs w:val="18"/>
                <w:lang w:eastAsia="en-US"/>
              </w:rPr>
            </w:pPr>
            <w:r w:rsidRPr="00676A9B">
              <w:rPr>
                <w:rFonts w:ascii="Arial" w:hAnsi="Arial" w:cs="Arial"/>
                <w:i/>
                <w:iCs/>
                <w:sz w:val="18"/>
                <w:szCs w:val="18"/>
                <w:lang w:eastAsia="en-US"/>
              </w:rPr>
              <w:t>12.592,08</w:t>
            </w:r>
          </w:p>
        </w:tc>
        <w:tc>
          <w:tcPr>
            <w:tcW w:w="1143" w:type="dxa"/>
            <w:vAlign w:val="center"/>
          </w:tcPr>
          <w:p w14:paraId="563CB2EB"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20 /20</w:t>
            </w:r>
          </w:p>
        </w:tc>
        <w:tc>
          <w:tcPr>
            <w:tcW w:w="1281" w:type="dxa"/>
            <w:tcBorders>
              <w:top w:val="nil"/>
              <w:left w:val="nil"/>
              <w:bottom w:val="single" w:sz="8" w:space="0" w:color="auto"/>
              <w:right w:val="single" w:sz="8" w:space="0" w:color="auto"/>
            </w:tcBorders>
            <w:vAlign w:val="center"/>
          </w:tcPr>
          <w:p w14:paraId="71A8D150" w14:textId="77777777" w:rsidR="00676A9B" w:rsidRPr="00676A9B" w:rsidRDefault="00676A9B" w:rsidP="00676A9B">
            <w:pPr>
              <w:jc w:val="right"/>
              <w:rPr>
                <w:rFonts w:ascii="Arial" w:hAnsi="Arial" w:cs="Arial"/>
                <w:iCs/>
                <w:sz w:val="18"/>
                <w:szCs w:val="18"/>
                <w:lang w:eastAsia="en-US"/>
              </w:rPr>
            </w:pPr>
            <w:r w:rsidRPr="00676A9B">
              <w:rPr>
                <w:rFonts w:ascii="Arial" w:hAnsi="Arial" w:cs="Arial"/>
                <w:i/>
                <w:iCs/>
                <w:sz w:val="18"/>
                <w:szCs w:val="18"/>
                <w:lang w:eastAsia="en-US"/>
              </w:rPr>
              <w:t>11.347,80</w:t>
            </w:r>
          </w:p>
        </w:tc>
        <w:tc>
          <w:tcPr>
            <w:tcW w:w="974" w:type="dxa"/>
            <w:vAlign w:val="center"/>
          </w:tcPr>
          <w:p w14:paraId="7472D223"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34 / 25</w:t>
            </w:r>
          </w:p>
        </w:tc>
        <w:tc>
          <w:tcPr>
            <w:tcW w:w="1301" w:type="dxa"/>
            <w:tcBorders>
              <w:top w:val="nil"/>
              <w:left w:val="nil"/>
              <w:bottom w:val="single" w:sz="8" w:space="0" w:color="auto"/>
              <w:right w:val="single" w:sz="8" w:space="0" w:color="auto"/>
            </w:tcBorders>
            <w:vAlign w:val="center"/>
          </w:tcPr>
          <w:p w14:paraId="73F46E17" w14:textId="77777777" w:rsidR="00676A9B" w:rsidRPr="00676A9B" w:rsidRDefault="00676A9B" w:rsidP="00676A9B">
            <w:pPr>
              <w:jc w:val="right"/>
              <w:rPr>
                <w:rFonts w:ascii="Arial" w:hAnsi="Arial" w:cs="Arial"/>
                <w:b/>
                <w:bCs/>
                <w:iCs/>
                <w:sz w:val="18"/>
                <w:szCs w:val="18"/>
                <w:lang w:eastAsia="en-US"/>
              </w:rPr>
            </w:pPr>
            <w:r w:rsidRPr="00676A9B">
              <w:rPr>
                <w:rFonts w:ascii="Arial" w:hAnsi="Arial" w:cs="Arial"/>
                <w:b/>
                <w:bCs/>
                <w:i/>
                <w:iCs/>
                <w:sz w:val="18"/>
                <w:szCs w:val="18"/>
                <w:lang w:eastAsia="en-US"/>
              </w:rPr>
              <w:t>23.939,88</w:t>
            </w:r>
          </w:p>
        </w:tc>
        <w:tc>
          <w:tcPr>
            <w:tcW w:w="1281" w:type="dxa"/>
            <w:vAlign w:val="center"/>
          </w:tcPr>
          <w:p w14:paraId="03305F6C"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75% (od rujna 2020.)</w:t>
            </w:r>
          </w:p>
        </w:tc>
      </w:tr>
      <w:tr w:rsidR="00676A9B" w:rsidRPr="00676A9B" w14:paraId="6CED5E18" w14:textId="77777777" w:rsidTr="00410A4B">
        <w:trPr>
          <w:jc w:val="center"/>
        </w:trPr>
        <w:tc>
          <w:tcPr>
            <w:tcW w:w="935" w:type="dxa"/>
            <w:vAlign w:val="center"/>
          </w:tcPr>
          <w:p w14:paraId="542DA15D" w14:textId="77777777" w:rsidR="00676A9B" w:rsidRPr="00676A9B" w:rsidRDefault="00676A9B" w:rsidP="00676A9B">
            <w:pPr>
              <w:jc w:val="both"/>
              <w:rPr>
                <w:rFonts w:ascii="Arial" w:hAnsi="Arial" w:cs="Arial"/>
                <w:iCs/>
                <w:sz w:val="18"/>
                <w:szCs w:val="18"/>
                <w:lang w:eastAsia="en-US"/>
              </w:rPr>
            </w:pPr>
            <w:r w:rsidRPr="00676A9B">
              <w:rPr>
                <w:rFonts w:ascii="Arial" w:hAnsi="Arial" w:cs="Arial"/>
                <w:iCs/>
                <w:sz w:val="18"/>
                <w:szCs w:val="18"/>
                <w:lang w:eastAsia="en-US"/>
              </w:rPr>
              <w:t>2021.</w:t>
            </w:r>
          </w:p>
        </w:tc>
        <w:tc>
          <w:tcPr>
            <w:tcW w:w="1209" w:type="dxa"/>
            <w:vAlign w:val="center"/>
          </w:tcPr>
          <w:p w14:paraId="7594469F" w14:textId="77777777" w:rsidR="00676A9B" w:rsidRPr="00676A9B" w:rsidRDefault="00676A9B" w:rsidP="00676A9B">
            <w:pPr>
              <w:rPr>
                <w:rFonts w:ascii="Arial" w:hAnsi="Arial" w:cs="Arial"/>
                <w:iCs/>
                <w:sz w:val="18"/>
                <w:szCs w:val="18"/>
                <w:lang w:eastAsia="en-US"/>
              </w:rPr>
            </w:pPr>
            <w:r w:rsidRPr="00676A9B">
              <w:rPr>
                <w:rFonts w:ascii="Arial" w:hAnsi="Arial" w:cs="Arial"/>
                <w:iCs/>
                <w:sz w:val="18"/>
                <w:szCs w:val="18"/>
                <w:lang w:eastAsia="en-US"/>
              </w:rPr>
              <w:t>2020/2021. i 2021/2022.</w:t>
            </w:r>
          </w:p>
        </w:tc>
        <w:tc>
          <w:tcPr>
            <w:tcW w:w="1086" w:type="dxa"/>
            <w:vAlign w:val="center"/>
          </w:tcPr>
          <w:p w14:paraId="546639CC"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5 /11</w:t>
            </w:r>
          </w:p>
        </w:tc>
        <w:tc>
          <w:tcPr>
            <w:tcW w:w="1402" w:type="dxa"/>
            <w:tcBorders>
              <w:top w:val="nil"/>
              <w:left w:val="nil"/>
              <w:bottom w:val="single" w:sz="4" w:space="0" w:color="auto"/>
              <w:right w:val="single" w:sz="8" w:space="0" w:color="auto"/>
            </w:tcBorders>
            <w:vAlign w:val="center"/>
          </w:tcPr>
          <w:p w14:paraId="70C420A5" w14:textId="77777777" w:rsidR="00676A9B" w:rsidRPr="00676A9B" w:rsidRDefault="00676A9B" w:rsidP="00676A9B">
            <w:pPr>
              <w:jc w:val="right"/>
              <w:rPr>
                <w:rFonts w:ascii="Arial" w:hAnsi="Arial" w:cs="Arial"/>
                <w:iCs/>
                <w:sz w:val="18"/>
                <w:szCs w:val="18"/>
                <w:lang w:eastAsia="en-US"/>
              </w:rPr>
            </w:pPr>
            <w:r w:rsidRPr="00676A9B">
              <w:rPr>
                <w:rFonts w:ascii="Arial" w:hAnsi="Arial" w:cs="Arial"/>
                <w:i/>
                <w:iCs/>
                <w:sz w:val="18"/>
                <w:szCs w:val="18"/>
                <w:lang w:eastAsia="en-US"/>
              </w:rPr>
              <w:t>12.890,70</w:t>
            </w:r>
          </w:p>
        </w:tc>
        <w:tc>
          <w:tcPr>
            <w:tcW w:w="1143" w:type="dxa"/>
            <w:vAlign w:val="center"/>
          </w:tcPr>
          <w:p w14:paraId="2F255C78"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17 / 17</w:t>
            </w:r>
          </w:p>
        </w:tc>
        <w:tc>
          <w:tcPr>
            <w:tcW w:w="1281" w:type="dxa"/>
            <w:tcBorders>
              <w:top w:val="nil"/>
              <w:left w:val="nil"/>
              <w:bottom w:val="single" w:sz="8" w:space="0" w:color="auto"/>
              <w:right w:val="single" w:sz="8" w:space="0" w:color="auto"/>
            </w:tcBorders>
            <w:vAlign w:val="center"/>
          </w:tcPr>
          <w:p w14:paraId="47592B41" w14:textId="77777777" w:rsidR="00676A9B" w:rsidRPr="00676A9B" w:rsidRDefault="00676A9B" w:rsidP="00676A9B">
            <w:pPr>
              <w:jc w:val="right"/>
              <w:rPr>
                <w:rFonts w:ascii="Arial" w:hAnsi="Arial" w:cs="Arial"/>
                <w:iCs/>
                <w:sz w:val="18"/>
                <w:szCs w:val="18"/>
                <w:lang w:eastAsia="en-US"/>
              </w:rPr>
            </w:pPr>
            <w:r w:rsidRPr="00676A9B">
              <w:rPr>
                <w:rFonts w:ascii="Arial" w:hAnsi="Arial" w:cs="Arial"/>
                <w:i/>
                <w:iCs/>
                <w:sz w:val="18"/>
                <w:szCs w:val="18"/>
                <w:lang w:eastAsia="en-US"/>
              </w:rPr>
              <w:t>12.123,53</w:t>
            </w:r>
          </w:p>
        </w:tc>
        <w:tc>
          <w:tcPr>
            <w:tcW w:w="974" w:type="dxa"/>
            <w:vAlign w:val="center"/>
          </w:tcPr>
          <w:p w14:paraId="42DD3747"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22 / 28</w:t>
            </w:r>
          </w:p>
        </w:tc>
        <w:tc>
          <w:tcPr>
            <w:tcW w:w="1301" w:type="dxa"/>
            <w:tcBorders>
              <w:top w:val="nil"/>
              <w:left w:val="nil"/>
              <w:bottom w:val="single" w:sz="4" w:space="0" w:color="auto"/>
              <w:right w:val="single" w:sz="8" w:space="0" w:color="auto"/>
            </w:tcBorders>
            <w:vAlign w:val="center"/>
          </w:tcPr>
          <w:p w14:paraId="3B9E7064" w14:textId="77777777" w:rsidR="00676A9B" w:rsidRPr="00676A9B" w:rsidRDefault="00676A9B" w:rsidP="00676A9B">
            <w:pPr>
              <w:jc w:val="right"/>
              <w:rPr>
                <w:rFonts w:ascii="Arial" w:hAnsi="Arial" w:cs="Arial"/>
                <w:b/>
                <w:bCs/>
                <w:iCs/>
                <w:sz w:val="18"/>
                <w:szCs w:val="18"/>
                <w:lang w:eastAsia="en-US"/>
              </w:rPr>
            </w:pPr>
            <w:r w:rsidRPr="00676A9B">
              <w:rPr>
                <w:rFonts w:ascii="Arial" w:hAnsi="Arial" w:cs="Arial"/>
                <w:b/>
                <w:bCs/>
                <w:i/>
                <w:iCs/>
                <w:sz w:val="18"/>
                <w:szCs w:val="18"/>
                <w:lang w:eastAsia="en-US"/>
              </w:rPr>
              <w:t>25.014,23</w:t>
            </w:r>
          </w:p>
        </w:tc>
        <w:tc>
          <w:tcPr>
            <w:tcW w:w="1281" w:type="dxa"/>
            <w:vAlign w:val="center"/>
          </w:tcPr>
          <w:p w14:paraId="484A7EC0"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75%</w:t>
            </w:r>
          </w:p>
        </w:tc>
      </w:tr>
      <w:tr w:rsidR="00676A9B" w:rsidRPr="00676A9B" w14:paraId="53CA6C07" w14:textId="77777777" w:rsidTr="00410A4B">
        <w:trPr>
          <w:jc w:val="center"/>
        </w:trPr>
        <w:tc>
          <w:tcPr>
            <w:tcW w:w="935" w:type="dxa"/>
            <w:vAlign w:val="center"/>
          </w:tcPr>
          <w:p w14:paraId="693FB075" w14:textId="77777777" w:rsidR="00676A9B" w:rsidRPr="00676A9B" w:rsidRDefault="00676A9B" w:rsidP="00676A9B">
            <w:pPr>
              <w:jc w:val="both"/>
              <w:rPr>
                <w:rFonts w:ascii="Arial" w:hAnsi="Arial" w:cs="Arial"/>
                <w:iCs/>
                <w:sz w:val="18"/>
                <w:szCs w:val="18"/>
                <w:lang w:eastAsia="en-US"/>
              </w:rPr>
            </w:pPr>
            <w:r w:rsidRPr="00676A9B">
              <w:rPr>
                <w:rFonts w:ascii="Arial" w:hAnsi="Arial" w:cs="Arial"/>
                <w:iCs/>
                <w:sz w:val="18"/>
                <w:szCs w:val="18"/>
                <w:lang w:eastAsia="en-US"/>
              </w:rPr>
              <w:t>2022.</w:t>
            </w:r>
          </w:p>
        </w:tc>
        <w:tc>
          <w:tcPr>
            <w:tcW w:w="1209" w:type="dxa"/>
            <w:vAlign w:val="center"/>
          </w:tcPr>
          <w:p w14:paraId="4B616E84" w14:textId="77777777" w:rsidR="00676A9B" w:rsidRPr="00676A9B" w:rsidRDefault="00676A9B" w:rsidP="00676A9B">
            <w:pPr>
              <w:jc w:val="both"/>
              <w:rPr>
                <w:rFonts w:ascii="Arial" w:hAnsi="Arial" w:cs="Arial"/>
                <w:iCs/>
                <w:sz w:val="18"/>
                <w:szCs w:val="18"/>
                <w:lang w:eastAsia="en-US"/>
              </w:rPr>
            </w:pPr>
            <w:r w:rsidRPr="00676A9B">
              <w:rPr>
                <w:rFonts w:ascii="Arial" w:hAnsi="Arial" w:cs="Arial"/>
                <w:iCs/>
                <w:sz w:val="18"/>
                <w:szCs w:val="18"/>
                <w:lang w:eastAsia="en-US"/>
              </w:rPr>
              <w:t>2021/2022. i 2022/2023.</w:t>
            </w:r>
          </w:p>
        </w:tc>
        <w:tc>
          <w:tcPr>
            <w:tcW w:w="1086" w:type="dxa"/>
            <w:vAlign w:val="center"/>
          </w:tcPr>
          <w:p w14:paraId="73D99B03"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10 / 12</w:t>
            </w:r>
          </w:p>
        </w:tc>
        <w:tc>
          <w:tcPr>
            <w:tcW w:w="1402" w:type="dxa"/>
            <w:tcBorders>
              <w:top w:val="single" w:sz="4" w:space="0" w:color="auto"/>
              <w:left w:val="nil"/>
              <w:bottom w:val="single" w:sz="4" w:space="0" w:color="auto"/>
              <w:right w:val="single" w:sz="4" w:space="0" w:color="auto"/>
            </w:tcBorders>
            <w:vAlign w:val="center"/>
          </w:tcPr>
          <w:p w14:paraId="7E1CB2DA" w14:textId="77777777" w:rsidR="00676A9B" w:rsidRPr="00676A9B" w:rsidRDefault="00676A9B" w:rsidP="00676A9B">
            <w:pPr>
              <w:jc w:val="right"/>
              <w:rPr>
                <w:rFonts w:ascii="Arial" w:hAnsi="Arial" w:cs="Arial"/>
                <w:iCs/>
                <w:sz w:val="18"/>
                <w:szCs w:val="18"/>
                <w:lang w:eastAsia="en-US"/>
              </w:rPr>
            </w:pPr>
            <w:r w:rsidRPr="00676A9B">
              <w:rPr>
                <w:rFonts w:ascii="Arial" w:hAnsi="Arial" w:cs="Arial"/>
                <w:i/>
                <w:iCs/>
                <w:sz w:val="18"/>
                <w:szCs w:val="18"/>
                <w:lang w:eastAsia="en-US"/>
              </w:rPr>
              <w:t>12.492,53</w:t>
            </w:r>
          </w:p>
        </w:tc>
        <w:tc>
          <w:tcPr>
            <w:tcW w:w="1143" w:type="dxa"/>
            <w:tcBorders>
              <w:left w:val="single" w:sz="4" w:space="0" w:color="auto"/>
            </w:tcBorders>
            <w:vAlign w:val="center"/>
          </w:tcPr>
          <w:p w14:paraId="2E0663A3"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17 / 20</w:t>
            </w:r>
          </w:p>
        </w:tc>
        <w:tc>
          <w:tcPr>
            <w:tcW w:w="1281" w:type="dxa"/>
            <w:vAlign w:val="center"/>
          </w:tcPr>
          <w:p w14:paraId="4629233B" w14:textId="77777777" w:rsidR="00676A9B" w:rsidRPr="00676A9B" w:rsidRDefault="00676A9B" w:rsidP="00676A9B">
            <w:pPr>
              <w:jc w:val="right"/>
              <w:rPr>
                <w:rFonts w:ascii="Arial" w:hAnsi="Arial" w:cs="Arial"/>
                <w:iCs/>
                <w:sz w:val="18"/>
                <w:szCs w:val="18"/>
                <w:lang w:eastAsia="en-US"/>
              </w:rPr>
            </w:pPr>
            <w:r w:rsidRPr="00676A9B">
              <w:rPr>
                <w:rFonts w:ascii="Arial" w:hAnsi="Arial" w:cs="Arial"/>
                <w:iCs/>
                <w:sz w:val="18"/>
                <w:szCs w:val="18"/>
                <w:lang w:eastAsia="en-US"/>
              </w:rPr>
              <w:t xml:space="preserve">12.641,85 </w:t>
            </w:r>
          </w:p>
        </w:tc>
        <w:tc>
          <w:tcPr>
            <w:tcW w:w="974" w:type="dxa"/>
            <w:vAlign w:val="center"/>
          </w:tcPr>
          <w:p w14:paraId="33395F0F"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27 / 32</w:t>
            </w:r>
          </w:p>
        </w:tc>
        <w:tc>
          <w:tcPr>
            <w:tcW w:w="1301" w:type="dxa"/>
            <w:tcBorders>
              <w:top w:val="single" w:sz="4" w:space="0" w:color="auto"/>
              <w:left w:val="nil"/>
              <w:bottom w:val="single" w:sz="4" w:space="0" w:color="auto"/>
              <w:right w:val="single" w:sz="4" w:space="0" w:color="auto"/>
            </w:tcBorders>
            <w:vAlign w:val="center"/>
          </w:tcPr>
          <w:p w14:paraId="3B008702" w14:textId="77777777" w:rsidR="00676A9B" w:rsidRPr="00676A9B" w:rsidRDefault="00676A9B" w:rsidP="00676A9B">
            <w:pPr>
              <w:jc w:val="right"/>
              <w:rPr>
                <w:rFonts w:ascii="Arial" w:hAnsi="Arial" w:cs="Arial"/>
                <w:b/>
                <w:bCs/>
                <w:iCs/>
                <w:sz w:val="18"/>
                <w:szCs w:val="18"/>
                <w:lang w:eastAsia="en-US"/>
              </w:rPr>
            </w:pPr>
            <w:r w:rsidRPr="00676A9B">
              <w:rPr>
                <w:rFonts w:ascii="Arial" w:hAnsi="Arial" w:cs="Arial"/>
                <w:b/>
                <w:bCs/>
                <w:i/>
                <w:iCs/>
                <w:sz w:val="18"/>
                <w:szCs w:val="18"/>
                <w:lang w:eastAsia="en-US"/>
              </w:rPr>
              <w:t>25.134,38</w:t>
            </w:r>
          </w:p>
        </w:tc>
        <w:tc>
          <w:tcPr>
            <w:tcW w:w="1281" w:type="dxa"/>
            <w:tcBorders>
              <w:left w:val="single" w:sz="4" w:space="0" w:color="auto"/>
            </w:tcBorders>
            <w:vAlign w:val="center"/>
          </w:tcPr>
          <w:p w14:paraId="1E483949"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75%</w:t>
            </w:r>
          </w:p>
        </w:tc>
      </w:tr>
      <w:tr w:rsidR="00676A9B" w:rsidRPr="00676A9B" w14:paraId="527907DB" w14:textId="77777777" w:rsidTr="00410A4B">
        <w:trPr>
          <w:jc w:val="center"/>
        </w:trPr>
        <w:tc>
          <w:tcPr>
            <w:tcW w:w="935" w:type="dxa"/>
            <w:vAlign w:val="center"/>
          </w:tcPr>
          <w:p w14:paraId="179F1F76" w14:textId="77777777" w:rsidR="00676A9B" w:rsidRPr="00676A9B" w:rsidRDefault="00676A9B" w:rsidP="00676A9B">
            <w:pPr>
              <w:jc w:val="both"/>
              <w:rPr>
                <w:rFonts w:ascii="Arial" w:hAnsi="Arial" w:cs="Arial"/>
                <w:iCs/>
                <w:sz w:val="18"/>
                <w:szCs w:val="18"/>
                <w:lang w:eastAsia="en-US"/>
              </w:rPr>
            </w:pPr>
            <w:r w:rsidRPr="00676A9B">
              <w:rPr>
                <w:rFonts w:ascii="Arial" w:hAnsi="Arial" w:cs="Arial"/>
                <w:iCs/>
                <w:sz w:val="18"/>
                <w:szCs w:val="18"/>
                <w:lang w:eastAsia="en-US"/>
              </w:rPr>
              <w:t>2023.</w:t>
            </w:r>
          </w:p>
        </w:tc>
        <w:tc>
          <w:tcPr>
            <w:tcW w:w="1209" w:type="dxa"/>
            <w:vAlign w:val="center"/>
          </w:tcPr>
          <w:p w14:paraId="4E86C051" w14:textId="77777777" w:rsidR="00676A9B" w:rsidRPr="00676A9B" w:rsidRDefault="00676A9B" w:rsidP="00676A9B">
            <w:pPr>
              <w:jc w:val="both"/>
              <w:rPr>
                <w:rFonts w:ascii="Arial" w:hAnsi="Arial" w:cs="Arial"/>
                <w:iCs/>
                <w:sz w:val="18"/>
                <w:szCs w:val="18"/>
                <w:lang w:eastAsia="en-US"/>
              </w:rPr>
            </w:pPr>
            <w:r w:rsidRPr="00676A9B">
              <w:rPr>
                <w:rFonts w:ascii="Arial" w:hAnsi="Arial" w:cs="Arial"/>
                <w:iCs/>
                <w:sz w:val="18"/>
                <w:szCs w:val="18"/>
                <w:lang w:eastAsia="en-US"/>
              </w:rPr>
              <w:t>2022/2023. i 2023/2024.</w:t>
            </w:r>
          </w:p>
        </w:tc>
        <w:tc>
          <w:tcPr>
            <w:tcW w:w="1086" w:type="dxa"/>
            <w:vAlign w:val="center"/>
          </w:tcPr>
          <w:p w14:paraId="228CC416"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12 / 14</w:t>
            </w:r>
          </w:p>
        </w:tc>
        <w:tc>
          <w:tcPr>
            <w:tcW w:w="1402" w:type="dxa"/>
            <w:tcBorders>
              <w:top w:val="single" w:sz="4" w:space="0" w:color="auto"/>
              <w:left w:val="nil"/>
              <w:bottom w:val="single" w:sz="4" w:space="0" w:color="auto"/>
              <w:right w:val="single" w:sz="4" w:space="0" w:color="auto"/>
            </w:tcBorders>
            <w:vAlign w:val="center"/>
          </w:tcPr>
          <w:p w14:paraId="0D4B3F9C" w14:textId="77777777" w:rsidR="00676A9B" w:rsidRPr="00676A9B" w:rsidRDefault="00676A9B" w:rsidP="00676A9B">
            <w:pPr>
              <w:jc w:val="right"/>
              <w:rPr>
                <w:rFonts w:ascii="Arial" w:hAnsi="Arial" w:cs="Arial"/>
                <w:i/>
                <w:iCs/>
                <w:sz w:val="18"/>
                <w:szCs w:val="18"/>
                <w:lang w:eastAsia="en-US"/>
              </w:rPr>
            </w:pPr>
            <w:r w:rsidRPr="00676A9B">
              <w:rPr>
                <w:rFonts w:ascii="Arial" w:hAnsi="Arial" w:cs="Arial"/>
                <w:i/>
                <w:iCs/>
                <w:sz w:val="18"/>
                <w:szCs w:val="18"/>
                <w:lang w:eastAsia="en-US"/>
              </w:rPr>
              <w:t>14.038,36</w:t>
            </w:r>
          </w:p>
        </w:tc>
        <w:tc>
          <w:tcPr>
            <w:tcW w:w="1143" w:type="dxa"/>
            <w:tcBorders>
              <w:left w:val="single" w:sz="4" w:space="0" w:color="auto"/>
            </w:tcBorders>
            <w:vAlign w:val="center"/>
          </w:tcPr>
          <w:p w14:paraId="1AD3FF51"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20 / 24</w:t>
            </w:r>
          </w:p>
        </w:tc>
        <w:tc>
          <w:tcPr>
            <w:tcW w:w="1281" w:type="dxa"/>
            <w:vAlign w:val="center"/>
          </w:tcPr>
          <w:p w14:paraId="51F69061" w14:textId="77777777" w:rsidR="00676A9B" w:rsidRPr="00676A9B" w:rsidRDefault="00676A9B" w:rsidP="00676A9B">
            <w:pPr>
              <w:jc w:val="right"/>
              <w:rPr>
                <w:rFonts w:ascii="Arial" w:hAnsi="Arial" w:cs="Arial"/>
                <w:iCs/>
                <w:sz w:val="18"/>
                <w:szCs w:val="18"/>
                <w:lang w:eastAsia="en-US"/>
              </w:rPr>
            </w:pPr>
            <w:r w:rsidRPr="00676A9B">
              <w:rPr>
                <w:rFonts w:ascii="Arial" w:hAnsi="Arial" w:cs="Arial"/>
                <w:iCs/>
                <w:sz w:val="18"/>
                <w:szCs w:val="18"/>
                <w:lang w:eastAsia="en-US"/>
              </w:rPr>
              <w:t xml:space="preserve">12.390,72 </w:t>
            </w:r>
          </w:p>
        </w:tc>
        <w:tc>
          <w:tcPr>
            <w:tcW w:w="974" w:type="dxa"/>
            <w:vAlign w:val="center"/>
          </w:tcPr>
          <w:p w14:paraId="7B0DBDCA"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32 / 38</w:t>
            </w:r>
          </w:p>
        </w:tc>
        <w:tc>
          <w:tcPr>
            <w:tcW w:w="1301" w:type="dxa"/>
            <w:tcBorders>
              <w:top w:val="single" w:sz="4" w:space="0" w:color="auto"/>
              <w:left w:val="nil"/>
              <w:bottom w:val="single" w:sz="4" w:space="0" w:color="auto"/>
              <w:right w:val="single" w:sz="4" w:space="0" w:color="auto"/>
            </w:tcBorders>
            <w:vAlign w:val="center"/>
          </w:tcPr>
          <w:p w14:paraId="5936E571" w14:textId="77777777" w:rsidR="00676A9B" w:rsidRPr="00676A9B" w:rsidRDefault="00676A9B" w:rsidP="00676A9B">
            <w:pPr>
              <w:jc w:val="right"/>
              <w:rPr>
                <w:rFonts w:ascii="Arial" w:hAnsi="Arial" w:cs="Arial"/>
                <w:b/>
                <w:bCs/>
                <w:i/>
                <w:iCs/>
                <w:sz w:val="18"/>
                <w:szCs w:val="18"/>
                <w:lang w:eastAsia="en-US"/>
              </w:rPr>
            </w:pPr>
            <w:r w:rsidRPr="00676A9B">
              <w:rPr>
                <w:rFonts w:ascii="Arial" w:hAnsi="Arial" w:cs="Arial"/>
                <w:b/>
                <w:bCs/>
                <w:i/>
                <w:iCs/>
                <w:sz w:val="18"/>
                <w:szCs w:val="18"/>
                <w:lang w:eastAsia="en-US"/>
              </w:rPr>
              <w:t>26.429,08</w:t>
            </w:r>
          </w:p>
        </w:tc>
        <w:tc>
          <w:tcPr>
            <w:tcW w:w="1281" w:type="dxa"/>
            <w:tcBorders>
              <w:left w:val="single" w:sz="4" w:space="0" w:color="auto"/>
            </w:tcBorders>
            <w:vAlign w:val="center"/>
          </w:tcPr>
          <w:p w14:paraId="2A0D1205"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75%</w:t>
            </w:r>
          </w:p>
        </w:tc>
      </w:tr>
      <w:tr w:rsidR="00676A9B" w:rsidRPr="00676A9B" w14:paraId="2181658B" w14:textId="77777777" w:rsidTr="00410A4B">
        <w:trPr>
          <w:jc w:val="center"/>
        </w:trPr>
        <w:tc>
          <w:tcPr>
            <w:tcW w:w="935" w:type="dxa"/>
            <w:vAlign w:val="center"/>
          </w:tcPr>
          <w:p w14:paraId="082F45B0" w14:textId="77777777" w:rsidR="00676A9B" w:rsidRPr="00676A9B" w:rsidRDefault="00676A9B" w:rsidP="00676A9B">
            <w:pPr>
              <w:jc w:val="both"/>
              <w:rPr>
                <w:rFonts w:ascii="Arial" w:hAnsi="Arial" w:cs="Arial"/>
                <w:iCs/>
                <w:sz w:val="18"/>
                <w:szCs w:val="18"/>
                <w:lang w:eastAsia="en-US"/>
              </w:rPr>
            </w:pPr>
            <w:r w:rsidRPr="00676A9B">
              <w:rPr>
                <w:rFonts w:ascii="Arial" w:hAnsi="Arial" w:cs="Arial"/>
                <w:iCs/>
                <w:sz w:val="18"/>
                <w:szCs w:val="18"/>
                <w:lang w:eastAsia="en-US"/>
              </w:rPr>
              <w:t>2024.</w:t>
            </w:r>
          </w:p>
        </w:tc>
        <w:tc>
          <w:tcPr>
            <w:tcW w:w="1209" w:type="dxa"/>
            <w:vAlign w:val="center"/>
          </w:tcPr>
          <w:p w14:paraId="18911E59" w14:textId="77777777" w:rsidR="00676A9B" w:rsidRPr="00676A9B" w:rsidRDefault="00676A9B" w:rsidP="00676A9B">
            <w:pPr>
              <w:jc w:val="both"/>
              <w:rPr>
                <w:rFonts w:ascii="Arial" w:hAnsi="Arial" w:cs="Arial"/>
                <w:iCs/>
                <w:sz w:val="18"/>
                <w:szCs w:val="18"/>
                <w:lang w:eastAsia="en-US"/>
              </w:rPr>
            </w:pPr>
            <w:r w:rsidRPr="00676A9B">
              <w:rPr>
                <w:rFonts w:ascii="Arial" w:hAnsi="Arial" w:cs="Arial"/>
                <w:iCs/>
                <w:sz w:val="18"/>
                <w:szCs w:val="18"/>
                <w:lang w:eastAsia="en-US"/>
              </w:rPr>
              <w:t>2023/2024. i 2024/2025.</w:t>
            </w:r>
          </w:p>
        </w:tc>
        <w:tc>
          <w:tcPr>
            <w:tcW w:w="1086" w:type="dxa"/>
            <w:vAlign w:val="center"/>
          </w:tcPr>
          <w:p w14:paraId="1245F2A8"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14 / 16</w:t>
            </w:r>
          </w:p>
        </w:tc>
        <w:tc>
          <w:tcPr>
            <w:tcW w:w="1402" w:type="dxa"/>
            <w:tcBorders>
              <w:top w:val="single" w:sz="4" w:space="0" w:color="auto"/>
              <w:left w:val="nil"/>
              <w:bottom w:val="single" w:sz="4" w:space="0" w:color="auto"/>
              <w:right w:val="single" w:sz="4" w:space="0" w:color="auto"/>
            </w:tcBorders>
            <w:vAlign w:val="center"/>
          </w:tcPr>
          <w:p w14:paraId="207AE4F5" w14:textId="77777777" w:rsidR="00676A9B" w:rsidRPr="00676A9B" w:rsidRDefault="00676A9B" w:rsidP="00676A9B">
            <w:pPr>
              <w:jc w:val="right"/>
              <w:rPr>
                <w:rFonts w:ascii="Arial" w:hAnsi="Arial" w:cs="Arial"/>
                <w:i/>
                <w:iCs/>
                <w:sz w:val="18"/>
                <w:szCs w:val="18"/>
                <w:lang w:eastAsia="en-US"/>
              </w:rPr>
            </w:pPr>
            <w:r w:rsidRPr="00676A9B">
              <w:rPr>
                <w:rFonts w:ascii="Arial" w:hAnsi="Arial" w:cs="Arial"/>
                <w:i/>
                <w:iCs/>
                <w:sz w:val="18"/>
                <w:szCs w:val="18"/>
                <w:lang w:eastAsia="en-US"/>
              </w:rPr>
              <w:t>20.391,06</w:t>
            </w:r>
          </w:p>
        </w:tc>
        <w:tc>
          <w:tcPr>
            <w:tcW w:w="1143" w:type="dxa"/>
            <w:tcBorders>
              <w:left w:val="single" w:sz="4" w:space="0" w:color="auto"/>
            </w:tcBorders>
            <w:vAlign w:val="center"/>
          </w:tcPr>
          <w:p w14:paraId="25AE6140"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24 / 25</w:t>
            </w:r>
          </w:p>
        </w:tc>
        <w:tc>
          <w:tcPr>
            <w:tcW w:w="1281" w:type="dxa"/>
            <w:vAlign w:val="center"/>
          </w:tcPr>
          <w:p w14:paraId="2DD58A5A" w14:textId="77777777" w:rsidR="00676A9B" w:rsidRPr="00676A9B" w:rsidRDefault="00676A9B" w:rsidP="00676A9B">
            <w:pPr>
              <w:jc w:val="right"/>
              <w:rPr>
                <w:rFonts w:ascii="Arial" w:hAnsi="Arial" w:cs="Arial"/>
                <w:iCs/>
                <w:sz w:val="18"/>
                <w:szCs w:val="18"/>
                <w:lang w:eastAsia="en-US"/>
              </w:rPr>
            </w:pPr>
            <w:r w:rsidRPr="00676A9B">
              <w:rPr>
                <w:rFonts w:ascii="Arial" w:hAnsi="Arial" w:cs="Arial"/>
                <w:iCs/>
                <w:sz w:val="18"/>
                <w:szCs w:val="18"/>
                <w:lang w:eastAsia="en-US"/>
              </w:rPr>
              <w:t>22.258,08</w:t>
            </w:r>
          </w:p>
        </w:tc>
        <w:tc>
          <w:tcPr>
            <w:tcW w:w="974" w:type="dxa"/>
            <w:vAlign w:val="center"/>
          </w:tcPr>
          <w:p w14:paraId="742957B6"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46 / 54</w:t>
            </w:r>
          </w:p>
        </w:tc>
        <w:tc>
          <w:tcPr>
            <w:tcW w:w="1301" w:type="dxa"/>
            <w:tcBorders>
              <w:top w:val="single" w:sz="4" w:space="0" w:color="auto"/>
              <w:left w:val="nil"/>
              <w:bottom w:val="single" w:sz="4" w:space="0" w:color="auto"/>
              <w:right w:val="single" w:sz="4" w:space="0" w:color="auto"/>
            </w:tcBorders>
            <w:vAlign w:val="center"/>
          </w:tcPr>
          <w:p w14:paraId="7116EA15" w14:textId="77777777" w:rsidR="00676A9B" w:rsidRPr="00676A9B" w:rsidRDefault="00676A9B" w:rsidP="00676A9B">
            <w:pPr>
              <w:jc w:val="right"/>
              <w:rPr>
                <w:rFonts w:ascii="Arial" w:hAnsi="Arial" w:cs="Arial"/>
                <w:b/>
                <w:bCs/>
                <w:i/>
                <w:iCs/>
                <w:sz w:val="18"/>
                <w:szCs w:val="18"/>
                <w:lang w:eastAsia="en-US"/>
              </w:rPr>
            </w:pPr>
            <w:r w:rsidRPr="00676A9B">
              <w:rPr>
                <w:rFonts w:ascii="Arial" w:hAnsi="Arial" w:cs="Arial"/>
                <w:b/>
                <w:bCs/>
                <w:i/>
                <w:iCs/>
                <w:sz w:val="18"/>
                <w:szCs w:val="18"/>
                <w:lang w:eastAsia="en-US"/>
              </w:rPr>
              <w:t>42.649,14</w:t>
            </w:r>
          </w:p>
        </w:tc>
        <w:tc>
          <w:tcPr>
            <w:tcW w:w="1281" w:type="dxa"/>
            <w:tcBorders>
              <w:left w:val="single" w:sz="4" w:space="0" w:color="auto"/>
            </w:tcBorders>
            <w:vAlign w:val="center"/>
          </w:tcPr>
          <w:p w14:paraId="171F2955" w14:textId="77777777" w:rsidR="00676A9B" w:rsidRPr="00676A9B" w:rsidRDefault="00676A9B" w:rsidP="00676A9B">
            <w:pPr>
              <w:jc w:val="center"/>
              <w:rPr>
                <w:rFonts w:ascii="Arial" w:hAnsi="Arial" w:cs="Arial"/>
                <w:iCs/>
                <w:sz w:val="18"/>
                <w:szCs w:val="18"/>
                <w:lang w:eastAsia="en-US"/>
              </w:rPr>
            </w:pPr>
            <w:r w:rsidRPr="00676A9B">
              <w:rPr>
                <w:rFonts w:ascii="Arial" w:hAnsi="Arial" w:cs="Arial"/>
                <w:iCs/>
                <w:sz w:val="18"/>
                <w:szCs w:val="18"/>
                <w:lang w:eastAsia="en-US"/>
              </w:rPr>
              <w:t>75%</w:t>
            </w:r>
          </w:p>
        </w:tc>
      </w:tr>
      <w:tr w:rsidR="00877E44" w:rsidRPr="00676A9B" w14:paraId="170A4FAA" w14:textId="77777777" w:rsidTr="00410A4B">
        <w:trPr>
          <w:jc w:val="center"/>
        </w:trPr>
        <w:tc>
          <w:tcPr>
            <w:tcW w:w="935" w:type="dxa"/>
            <w:vAlign w:val="center"/>
          </w:tcPr>
          <w:p w14:paraId="1ABC0FFC" w14:textId="6F18C486" w:rsidR="00877E44" w:rsidRPr="00676A9B" w:rsidRDefault="00877E44" w:rsidP="00877E44">
            <w:pPr>
              <w:jc w:val="both"/>
              <w:rPr>
                <w:rFonts w:ascii="Arial" w:hAnsi="Arial" w:cs="Arial"/>
                <w:iCs/>
                <w:sz w:val="18"/>
                <w:szCs w:val="18"/>
                <w:lang w:eastAsia="en-US"/>
              </w:rPr>
            </w:pPr>
            <w:r>
              <w:rPr>
                <w:rFonts w:ascii="Arial" w:hAnsi="Arial" w:cs="Arial"/>
                <w:iCs/>
                <w:sz w:val="18"/>
                <w:szCs w:val="18"/>
                <w:lang w:eastAsia="en-US"/>
              </w:rPr>
              <w:t>2025.</w:t>
            </w:r>
          </w:p>
        </w:tc>
        <w:tc>
          <w:tcPr>
            <w:tcW w:w="1209" w:type="dxa"/>
            <w:vAlign w:val="center"/>
          </w:tcPr>
          <w:p w14:paraId="3BBE036D" w14:textId="24384E6E" w:rsidR="00877E44" w:rsidRPr="00676A9B" w:rsidRDefault="00877E44" w:rsidP="00877E44">
            <w:pPr>
              <w:jc w:val="both"/>
              <w:rPr>
                <w:rFonts w:ascii="Arial" w:hAnsi="Arial" w:cs="Arial"/>
                <w:iCs/>
                <w:sz w:val="18"/>
                <w:szCs w:val="18"/>
                <w:lang w:eastAsia="en-US"/>
              </w:rPr>
            </w:pPr>
            <w:r w:rsidRPr="002440E8">
              <w:rPr>
                <w:rFonts w:ascii="Arial" w:hAnsi="Arial" w:cs="Arial"/>
                <w:iCs/>
                <w:sz w:val="18"/>
                <w:szCs w:val="18"/>
                <w:lang w:eastAsia="en-US"/>
              </w:rPr>
              <w:t>202</w:t>
            </w:r>
            <w:r>
              <w:rPr>
                <w:rFonts w:ascii="Arial" w:hAnsi="Arial" w:cs="Arial"/>
                <w:iCs/>
                <w:sz w:val="18"/>
                <w:szCs w:val="18"/>
                <w:lang w:eastAsia="en-US"/>
              </w:rPr>
              <w:t>4</w:t>
            </w:r>
            <w:r w:rsidRPr="002440E8">
              <w:rPr>
                <w:rFonts w:ascii="Arial" w:hAnsi="Arial" w:cs="Arial"/>
                <w:iCs/>
                <w:sz w:val="18"/>
                <w:szCs w:val="18"/>
                <w:lang w:eastAsia="en-US"/>
              </w:rPr>
              <w:t>/202</w:t>
            </w:r>
            <w:r>
              <w:rPr>
                <w:rFonts w:ascii="Arial" w:hAnsi="Arial" w:cs="Arial"/>
                <w:iCs/>
                <w:sz w:val="18"/>
                <w:szCs w:val="18"/>
                <w:lang w:eastAsia="en-US"/>
              </w:rPr>
              <w:t>5</w:t>
            </w:r>
            <w:r w:rsidRPr="002440E8">
              <w:rPr>
                <w:rFonts w:ascii="Arial" w:hAnsi="Arial" w:cs="Arial"/>
                <w:iCs/>
                <w:sz w:val="18"/>
                <w:szCs w:val="18"/>
                <w:lang w:eastAsia="en-US"/>
              </w:rPr>
              <w:t>. i 202</w:t>
            </w:r>
            <w:r>
              <w:rPr>
                <w:rFonts w:ascii="Arial" w:hAnsi="Arial" w:cs="Arial"/>
                <w:iCs/>
                <w:sz w:val="18"/>
                <w:szCs w:val="18"/>
                <w:lang w:eastAsia="en-US"/>
              </w:rPr>
              <w:t>5</w:t>
            </w:r>
            <w:r w:rsidRPr="002440E8">
              <w:rPr>
                <w:rFonts w:ascii="Arial" w:hAnsi="Arial" w:cs="Arial"/>
                <w:iCs/>
                <w:sz w:val="18"/>
                <w:szCs w:val="18"/>
                <w:lang w:eastAsia="en-US"/>
              </w:rPr>
              <w:t>/202</w:t>
            </w:r>
            <w:r>
              <w:rPr>
                <w:rFonts w:ascii="Arial" w:hAnsi="Arial" w:cs="Arial"/>
                <w:iCs/>
                <w:sz w:val="18"/>
                <w:szCs w:val="18"/>
                <w:lang w:eastAsia="en-US"/>
              </w:rPr>
              <w:t>6</w:t>
            </w:r>
            <w:r w:rsidRPr="002440E8">
              <w:rPr>
                <w:rFonts w:ascii="Arial" w:hAnsi="Arial" w:cs="Arial"/>
                <w:iCs/>
                <w:sz w:val="18"/>
                <w:szCs w:val="18"/>
                <w:lang w:eastAsia="en-US"/>
              </w:rPr>
              <w:t>.</w:t>
            </w:r>
          </w:p>
        </w:tc>
        <w:tc>
          <w:tcPr>
            <w:tcW w:w="1086" w:type="dxa"/>
            <w:vAlign w:val="center"/>
          </w:tcPr>
          <w:p w14:paraId="03962E04" w14:textId="1F258E48" w:rsidR="00877E44" w:rsidRPr="00676A9B" w:rsidRDefault="00877E44" w:rsidP="00877E44">
            <w:pPr>
              <w:jc w:val="center"/>
              <w:rPr>
                <w:rFonts w:ascii="Arial" w:hAnsi="Arial" w:cs="Arial"/>
                <w:iCs/>
                <w:sz w:val="18"/>
                <w:szCs w:val="18"/>
                <w:lang w:eastAsia="en-US"/>
              </w:rPr>
            </w:pPr>
            <w:r>
              <w:rPr>
                <w:rFonts w:ascii="Arial" w:hAnsi="Arial" w:cs="Arial"/>
                <w:iCs/>
                <w:sz w:val="18"/>
                <w:szCs w:val="18"/>
                <w:lang w:eastAsia="en-US"/>
              </w:rPr>
              <w:t>16</w:t>
            </w:r>
            <w:r w:rsidRPr="002440E8">
              <w:rPr>
                <w:rFonts w:ascii="Arial" w:hAnsi="Arial" w:cs="Arial"/>
                <w:iCs/>
                <w:sz w:val="18"/>
                <w:szCs w:val="18"/>
                <w:lang w:eastAsia="en-US"/>
              </w:rPr>
              <w:t xml:space="preserve"> / 16</w:t>
            </w:r>
          </w:p>
        </w:tc>
        <w:tc>
          <w:tcPr>
            <w:tcW w:w="1402" w:type="dxa"/>
            <w:tcBorders>
              <w:top w:val="single" w:sz="4" w:space="0" w:color="auto"/>
              <w:left w:val="nil"/>
              <w:bottom w:val="single" w:sz="4" w:space="0" w:color="auto"/>
              <w:right w:val="single" w:sz="4" w:space="0" w:color="auto"/>
            </w:tcBorders>
            <w:vAlign w:val="center"/>
          </w:tcPr>
          <w:p w14:paraId="336FF285" w14:textId="7ED01C18" w:rsidR="00877E44" w:rsidRPr="00676A9B" w:rsidRDefault="00877E44" w:rsidP="00877E44">
            <w:pPr>
              <w:jc w:val="right"/>
              <w:rPr>
                <w:rFonts w:ascii="Arial" w:hAnsi="Arial" w:cs="Arial"/>
                <w:i/>
                <w:iCs/>
                <w:sz w:val="18"/>
                <w:szCs w:val="18"/>
                <w:lang w:eastAsia="en-US"/>
              </w:rPr>
            </w:pPr>
            <w:r>
              <w:rPr>
                <w:rFonts w:ascii="Arial" w:hAnsi="Arial" w:cs="Arial"/>
                <w:i/>
                <w:iCs/>
                <w:sz w:val="18"/>
                <w:szCs w:val="18"/>
                <w:lang w:eastAsia="en-US"/>
              </w:rPr>
              <w:t>16.318,93</w:t>
            </w:r>
          </w:p>
        </w:tc>
        <w:tc>
          <w:tcPr>
            <w:tcW w:w="1143" w:type="dxa"/>
            <w:tcBorders>
              <w:left w:val="single" w:sz="4" w:space="0" w:color="auto"/>
            </w:tcBorders>
            <w:vAlign w:val="center"/>
          </w:tcPr>
          <w:p w14:paraId="68B7B274" w14:textId="10D2D0EA" w:rsidR="00877E44" w:rsidRPr="00676A9B" w:rsidRDefault="00877E44" w:rsidP="00877E44">
            <w:pPr>
              <w:jc w:val="center"/>
              <w:rPr>
                <w:rFonts w:ascii="Arial" w:hAnsi="Arial" w:cs="Arial"/>
                <w:iCs/>
                <w:sz w:val="18"/>
                <w:szCs w:val="18"/>
                <w:lang w:eastAsia="en-US"/>
              </w:rPr>
            </w:pPr>
            <w:r>
              <w:rPr>
                <w:rFonts w:ascii="Arial" w:hAnsi="Arial" w:cs="Arial"/>
                <w:iCs/>
                <w:sz w:val="18"/>
                <w:szCs w:val="18"/>
                <w:lang w:eastAsia="en-US"/>
              </w:rPr>
              <w:t>25</w:t>
            </w:r>
            <w:r w:rsidRPr="002440E8">
              <w:rPr>
                <w:rFonts w:ascii="Arial" w:hAnsi="Arial" w:cs="Arial"/>
                <w:iCs/>
                <w:sz w:val="18"/>
                <w:szCs w:val="18"/>
                <w:lang w:eastAsia="en-US"/>
              </w:rPr>
              <w:t xml:space="preserve"> / </w:t>
            </w:r>
            <w:r>
              <w:rPr>
                <w:rFonts w:ascii="Arial" w:hAnsi="Arial" w:cs="Arial"/>
                <w:iCs/>
                <w:sz w:val="18"/>
                <w:szCs w:val="18"/>
                <w:lang w:eastAsia="en-US"/>
              </w:rPr>
              <w:t>14</w:t>
            </w:r>
          </w:p>
        </w:tc>
        <w:tc>
          <w:tcPr>
            <w:tcW w:w="1281" w:type="dxa"/>
            <w:vAlign w:val="center"/>
          </w:tcPr>
          <w:p w14:paraId="6A45F9AF" w14:textId="02A54ECB" w:rsidR="00877E44" w:rsidRPr="00676A9B" w:rsidRDefault="00877E44" w:rsidP="00877E44">
            <w:pPr>
              <w:jc w:val="right"/>
              <w:rPr>
                <w:rFonts w:ascii="Arial" w:hAnsi="Arial" w:cs="Arial"/>
                <w:iCs/>
                <w:sz w:val="18"/>
                <w:szCs w:val="18"/>
                <w:lang w:eastAsia="en-US"/>
              </w:rPr>
            </w:pPr>
            <w:r>
              <w:rPr>
                <w:rFonts w:ascii="Arial" w:hAnsi="Arial" w:cs="Arial"/>
                <w:iCs/>
                <w:sz w:val="18"/>
                <w:szCs w:val="18"/>
                <w:lang w:eastAsia="en-US"/>
              </w:rPr>
              <w:t>26.680,96</w:t>
            </w:r>
          </w:p>
        </w:tc>
        <w:tc>
          <w:tcPr>
            <w:tcW w:w="974" w:type="dxa"/>
            <w:vAlign w:val="center"/>
          </w:tcPr>
          <w:p w14:paraId="19889DD8" w14:textId="1ACC748D" w:rsidR="00877E44" w:rsidRPr="00676A9B" w:rsidRDefault="00877E44" w:rsidP="00877E44">
            <w:pPr>
              <w:jc w:val="center"/>
              <w:rPr>
                <w:rFonts w:ascii="Arial" w:hAnsi="Arial" w:cs="Arial"/>
                <w:iCs/>
                <w:sz w:val="18"/>
                <w:szCs w:val="18"/>
                <w:lang w:eastAsia="en-US"/>
              </w:rPr>
            </w:pPr>
            <w:r w:rsidRPr="002440E8">
              <w:rPr>
                <w:rFonts w:ascii="Arial" w:hAnsi="Arial" w:cs="Arial"/>
                <w:iCs/>
                <w:sz w:val="18"/>
                <w:szCs w:val="18"/>
                <w:lang w:eastAsia="en-US"/>
              </w:rPr>
              <w:t>46 / 54</w:t>
            </w:r>
          </w:p>
        </w:tc>
        <w:tc>
          <w:tcPr>
            <w:tcW w:w="1301" w:type="dxa"/>
            <w:tcBorders>
              <w:top w:val="single" w:sz="4" w:space="0" w:color="auto"/>
              <w:left w:val="nil"/>
              <w:bottom w:val="single" w:sz="4" w:space="0" w:color="auto"/>
              <w:right w:val="single" w:sz="4" w:space="0" w:color="auto"/>
            </w:tcBorders>
            <w:vAlign w:val="center"/>
          </w:tcPr>
          <w:p w14:paraId="291C3732" w14:textId="309FFE8C" w:rsidR="00877E44" w:rsidRPr="00676A9B" w:rsidRDefault="00877E44" w:rsidP="00877E44">
            <w:pPr>
              <w:jc w:val="right"/>
              <w:rPr>
                <w:rFonts w:ascii="Arial" w:hAnsi="Arial" w:cs="Arial"/>
                <w:b/>
                <w:bCs/>
                <w:i/>
                <w:iCs/>
                <w:sz w:val="18"/>
                <w:szCs w:val="18"/>
                <w:lang w:eastAsia="en-US"/>
              </w:rPr>
            </w:pPr>
            <w:r w:rsidRPr="002440E8">
              <w:rPr>
                <w:rFonts w:ascii="Arial" w:hAnsi="Arial" w:cs="Arial"/>
                <w:b/>
                <w:bCs/>
                <w:i/>
                <w:iCs/>
                <w:sz w:val="18"/>
                <w:szCs w:val="18"/>
                <w:lang w:eastAsia="en-US"/>
              </w:rPr>
              <w:t>42.</w:t>
            </w:r>
            <w:r>
              <w:rPr>
                <w:rFonts w:ascii="Arial" w:hAnsi="Arial" w:cs="Arial"/>
                <w:b/>
                <w:bCs/>
                <w:i/>
                <w:iCs/>
                <w:sz w:val="18"/>
                <w:szCs w:val="18"/>
                <w:lang w:eastAsia="en-US"/>
              </w:rPr>
              <w:t>999,89</w:t>
            </w:r>
          </w:p>
        </w:tc>
        <w:tc>
          <w:tcPr>
            <w:tcW w:w="1281" w:type="dxa"/>
            <w:tcBorders>
              <w:left w:val="single" w:sz="4" w:space="0" w:color="auto"/>
            </w:tcBorders>
            <w:vAlign w:val="center"/>
          </w:tcPr>
          <w:p w14:paraId="3A7E36D5" w14:textId="04F5099E" w:rsidR="00877E44" w:rsidRPr="00676A9B" w:rsidRDefault="00877E44" w:rsidP="00877E44">
            <w:pPr>
              <w:jc w:val="center"/>
              <w:rPr>
                <w:rFonts w:ascii="Arial" w:hAnsi="Arial" w:cs="Arial"/>
                <w:iCs/>
                <w:sz w:val="18"/>
                <w:szCs w:val="18"/>
                <w:lang w:eastAsia="en-US"/>
              </w:rPr>
            </w:pPr>
            <w:r w:rsidRPr="002440E8">
              <w:rPr>
                <w:rFonts w:ascii="Arial" w:hAnsi="Arial" w:cs="Arial"/>
                <w:iCs/>
                <w:sz w:val="18"/>
                <w:szCs w:val="18"/>
                <w:lang w:eastAsia="en-US"/>
              </w:rPr>
              <w:t>75%</w:t>
            </w:r>
          </w:p>
        </w:tc>
      </w:tr>
    </w:tbl>
    <w:p w14:paraId="7C2139CB" w14:textId="77777777" w:rsidR="00676A9B" w:rsidRPr="00676A9B" w:rsidRDefault="00676A9B">
      <w:pPr>
        <w:numPr>
          <w:ilvl w:val="0"/>
          <w:numId w:val="6"/>
        </w:numPr>
        <w:spacing w:after="0" w:line="240" w:lineRule="auto"/>
        <w:ind w:left="1985" w:hanging="284"/>
        <w:jc w:val="both"/>
        <w:rPr>
          <w:rFonts w:ascii="Arial" w:eastAsia="Times New Roman" w:hAnsi="Arial" w:cs="Arial"/>
          <w:iCs/>
          <w:sz w:val="18"/>
          <w:szCs w:val="18"/>
          <w:lang w:eastAsia="en-US"/>
        </w:rPr>
      </w:pPr>
      <w:r w:rsidRPr="00676A9B">
        <w:rPr>
          <w:rFonts w:ascii="Arial" w:eastAsia="Times New Roman" w:hAnsi="Arial" w:cs="Arial"/>
          <w:b/>
          <w:bCs/>
          <w:iCs/>
          <w:sz w:val="18"/>
          <w:szCs w:val="18"/>
          <w:lang w:eastAsia="en-US"/>
        </w:rPr>
        <w:t>Napomena</w:t>
      </w:r>
      <w:r w:rsidRPr="00676A9B">
        <w:rPr>
          <w:rFonts w:ascii="Arial" w:eastAsia="Times New Roman" w:hAnsi="Arial" w:cs="Arial"/>
          <w:iCs/>
          <w:sz w:val="18"/>
          <w:szCs w:val="18"/>
          <w:lang w:eastAsia="en-US"/>
        </w:rPr>
        <w:t>: u svakoj proračunskoj godini su dvije školske godine</w:t>
      </w:r>
    </w:p>
    <w:p w14:paraId="21B318B5" w14:textId="77777777" w:rsidR="00676A9B" w:rsidRPr="00676A9B" w:rsidRDefault="00676A9B" w:rsidP="00676A9B">
      <w:pPr>
        <w:spacing w:after="0" w:line="240" w:lineRule="auto"/>
        <w:jc w:val="both"/>
        <w:rPr>
          <w:rFonts w:ascii="Arial" w:eastAsia="Times New Roman" w:hAnsi="Arial" w:cs="Arial"/>
          <w:iCs/>
          <w:sz w:val="20"/>
          <w:szCs w:val="20"/>
          <w:lang w:eastAsia="en-US"/>
        </w:rPr>
      </w:pPr>
    </w:p>
    <w:tbl>
      <w:tblPr>
        <w:tblStyle w:val="Reetkatablice536"/>
        <w:tblW w:w="13956" w:type="dxa"/>
        <w:jc w:val="center"/>
        <w:tblLayout w:type="fixed"/>
        <w:tblLook w:val="04A0" w:firstRow="1" w:lastRow="0" w:firstColumn="1" w:lastColumn="0" w:noHBand="0" w:noVBand="1"/>
      </w:tblPr>
      <w:tblGrid>
        <w:gridCol w:w="2405"/>
        <w:gridCol w:w="3691"/>
        <w:gridCol w:w="958"/>
        <w:gridCol w:w="1134"/>
        <w:gridCol w:w="1232"/>
        <w:gridCol w:w="1134"/>
        <w:gridCol w:w="1134"/>
        <w:gridCol w:w="1134"/>
        <w:gridCol w:w="1134"/>
      </w:tblGrid>
      <w:tr w:rsidR="00676A9B" w:rsidRPr="00676A9B" w14:paraId="3C2C4C4E" w14:textId="77777777" w:rsidTr="00410A4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EC7AA3F"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369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CDB3290"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02FABF0" w14:textId="77777777" w:rsidR="00676A9B" w:rsidRPr="00676A9B" w:rsidRDefault="00676A9B" w:rsidP="00676A9B">
            <w:pPr>
              <w:jc w:val="center"/>
              <w:rPr>
                <w:rFonts w:ascii="Arial" w:eastAsia="Calibri" w:hAnsi="Arial" w:cs="Arial"/>
                <w:sz w:val="16"/>
                <w:szCs w:val="16"/>
                <w:lang w:eastAsia="en-US"/>
              </w:rPr>
            </w:pPr>
            <w:r w:rsidRPr="00676A9B">
              <w:rPr>
                <w:rFonts w:ascii="Arial" w:eastAsia="Calibri" w:hAnsi="Arial" w:cs="Arial"/>
                <w:sz w:val="16"/>
                <w:szCs w:val="16"/>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FE3BFC6"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F40E181" w14:textId="62D35B58"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877E44">
              <w:rPr>
                <w:rFonts w:ascii="Arial" w:eastAsia="Calibri" w:hAnsi="Arial" w:cs="Arial"/>
                <w:lang w:eastAsia="en-US"/>
              </w:rPr>
              <w:t>4</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1717DA2C" w14:textId="5ACD4FB4"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877E44">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9198854" w14:textId="31F7F083"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877E44">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338FB6CA" w14:textId="1D35ED19"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877E44">
              <w:rPr>
                <w:rFonts w:ascii="Arial" w:eastAsia="Calibri" w:hAnsi="Arial" w:cs="Arial"/>
                <w:lang w:eastAsia="en-US"/>
              </w:rPr>
              <w:t>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14:paraId="2B6426AC" w14:textId="730FE1DA"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877E44">
              <w:rPr>
                <w:rFonts w:ascii="Arial" w:eastAsia="Calibri" w:hAnsi="Arial" w:cs="Arial"/>
                <w:lang w:eastAsia="en-US"/>
              </w:rPr>
              <w:t>7</w:t>
            </w:r>
            <w:r w:rsidRPr="00676A9B">
              <w:rPr>
                <w:rFonts w:ascii="Arial" w:eastAsia="Calibri" w:hAnsi="Arial" w:cs="Arial"/>
                <w:lang w:eastAsia="en-US"/>
              </w:rPr>
              <w:t>.</w:t>
            </w:r>
          </w:p>
        </w:tc>
      </w:tr>
      <w:tr w:rsidR="00676A9B" w:rsidRPr="00676A9B" w14:paraId="08CD7B18" w14:textId="77777777" w:rsidTr="00410A4B">
        <w:trPr>
          <w:trHeight w:val="1031"/>
          <w:jc w:val="center"/>
        </w:trPr>
        <w:tc>
          <w:tcPr>
            <w:tcW w:w="2405" w:type="dxa"/>
            <w:tcBorders>
              <w:top w:val="single" w:sz="4" w:space="0" w:color="auto"/>
              <w:left w:val="single" w:sz="4" w:space="0" w:color="auto"/>
              <w:bottom w:val="single" w:sz="4" w:space="0" w:color="auto"/>
              <w:right w:val="single" w:sz="4" w:space="0" w:color="auto"/>
            </w:tcBorders>
            <w:vAlign w:val="center"/>
          </w:tcPr>
          <w:p w14:paraId="0A78328B"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Redovito podmirivanje rashoda za osiguravanje produženog boravka učenika u osnovnim školama Cavtat i Gruda</w:t>
            </w:r>
          </w:p>
        </w:tc>
        <w:tc>
          <w:tcPr>
            <w:tcW w:w="3691" w:type="dxa"/>
            <w:tcBorders>
              <w:top w:val="single" w:sz="4" w:space="0" w:color="auto"/>
              <w:left w:val="single" w:sz="4" w:space="0" w:color="auto"/>
              <w:bottom w:val="single" w:sz="4" w:space="0" w:color="auto"/>
              <w:right w:val="single" w:sz="4" w:space="0" w:color="auto"/>
            </w:tcBorders>
            <w:vAlign w:val="center"/>
          </w:tcPr>
          <w:p w14:paraId="4037A8AE"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lang w:eastAsia="en-US"/>
              </w:rPr>
              <w:t>Osiguravanje sredstava za isplatu rashoda za sufinanciranje produženog boravka u osnovnoj školi (sufinanciranje plaće učiteljice) kao oblik pomoći u školovanju djece</w:t>
            </w:r>
          </w:p>
        </w:tc>
        <w:tc>
          <w:tcPr>
            <w:tcW w:w="958" w:type="dxa"/>
            <w:tcBorders>
              <w:top w:val="single" w:sz="4" w:space="0" w:color="auto"/>
              <w:left w:val="single" w:sz="4" w:space="0" w:color="auto"/>
              <w:bottom w:val="single" w:sz="4" w:space="0" w:color="auto"/>
              <w:right w:val="single" w:sz="4" w:space="0" w:color="auto"/>
            </w:tcBorders>
            <w:vAlign w:val="center"/>
            <w:hideMark/>
          </w:tcPr>
          <w:p w14:paraId="2FC9D853" w14:textId="77777777" w:rsidR="00676A9B" w:rsidRDefault="00676A9B" w:rsidP="00676A9B">
            <w:pPr>
              <w:jc w:val="center"/>
              <w:rPr>
                <w:rFonts w:ascii="Arial" w:hAnsi="Arial" w:cs="Arial"/>
                <w:lang w:eastAsia="en-US"/>
              </w:rPr>
            </w:pPr>
            <w:r w:rsidRPr="00676A9B">
              <w:rPr>
                <w:rFonts w:ascii="Arial" w:hAnsi="Arial" w:cs="Arial"/>
                <w:lang w:eastAsia="en-US"/>
              </w:rPr>
              <w:t>%</w:t>
            </w:r>
          </w:p>
          <w:p w14:paraId="324EFF2B" w14:textId="0BF67CC5" w:rsidR="00877E44" w:rsidRPr="00877E44" w:rsidRDefault="00877E44" w:rsidP="00676A9B">
            <w:pPr>
              <w:jc w:val="center"/>
              <w:rPr>
                <w:rFonts w:ascii="Arial" w:hAnsi="Arial" w:cs="Arial"/>
                <w:sz w:val="14"/>
                <w:szCs w:val="14"/>
                <w:lang w:eastAsia="en-US"/>
              </w:rPr>
            </w:pPr>
            <w:r w:rsidRPr="00877E44">
              <w:rPr>
                <w:rFonts w:ascii="Arial" w:hAnsi="Arial" w:cs="Arial"/>
                <w:sz w:val="14"/>
                <w:szCs w:val="14"/>
                <w:lang w:eastAsia="en-US"/>
              </w:rPr>
              <w:t>(prosječan broj korisnika)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9FD3F0" w14:textId="77777777" w:rsidR="00676A9B" w:rsidRPr="00676A9B" w:rsidRDefault="00676A9B" w:rsidP="00676A9B">
            <w:pPr>
              <w:jc w:val="center"/>
              <w:rPr>
                <w:rFonts w:ascii="Arial" w:hAnsi="Arial" w:cs="Arial"/>
                <w:lang w:eastAsia="en-US"/>
              </w:rPr>
            </w:pPr>
            <w:r w:rsidRPr="00676A9B">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E33DC96" w14:textId="77777777" w:rsidR="00676A9B" w:rsidRDefault="00676A9B" w:rsidP="00676A9B">
            <w:pPr>
              <w:jc w:val="center"/>
              <w:rPr>
                <w:rFonts w:ascii="Arial" w:hAnsi="Arial" w:cs="Arial"/>
                <w:lang w:eastAsia="en-US"/>
              </w:rPr>
            </w:pPr>
            <w:r w:rsidRPr="00676A9B">
              <w:rPr>
                <w:rFonts w:ascii="Arial" w:hAnsi="Arial" w:cs="Arial"/>
                <w:lang w:eastAsia="en-US"/>
              </w:rPr>
              <w:t>100 %</w:t>
            </w:r>
          </w:p>
          <w:p w14:paraId="5D926452" w14:textId="1458C651" w:rsidR="00877E44" w:rsidRPr="00676A9B" w:rsidRDefault="00877E44" w:rsidP="00676A9B">
            <w:pPr>
              <w:jc w:val="center"/>
              <w:rPr>
                <w:rFonts w:ascii="Arial" w:hAnsi="Arial" w:cs="Arial"/>
                <w:lang w:eastAsia="en-US"/>
              </w:rPr>
            </w:pPr>
            <w:r>
              <w:rPr>
                <w:rFonts w:ascii="Arial" w:hAnsi="Arial" w:cs="Arial"/>
                <w:lang w:eastAsia="en-US"/>
              </w:rPr>
              <w:t>(20 korisnika prosječno)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41F783A"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1088801D" w14:textId="77777777" w:rsidR="00877E44" w:rsidRDefault="00676A9B" w:rsidP="00676A9B">
            <w:pPr>
              <w:jc w:val="center"/>
              <w:rPr>
                <w:rFonts w:ascii="Arial" w:hAnsi="Arial" w:cs="Arial"/>
                <w:lang w:eastAsia="en-US"/>
              </w:rPr>
            </w:pPr>
            <w:r w:rsidRPr="00676A9B">
              <w:rPr>
                <w:rFonts w:ascii="Arial" w:hAnsi="Arial" w:cs="Arial"/>
                <w:lang w:eastAsia="en-US"/>
              </w:rPr>
              <w:t>100 %</w:t>
            </w:r>
          </w:p>
          <w:p w14:paraId="56542C20" w14:textId="54F252C4" w:rsidR="00676A9B" w:rsidRPr="00676A9B" w:rsidRDefault="00877E44" w:rsidP="00676A9B">
            <w:pPr>
              <w:jc w:val="center"/>
              <w:rPr>
                <w:rFonts w:ascii="Arial" w:hAnsi="Arial" w:cs="Arial"/>
                <w:lang w:eastAsia="en-US"/>
              </w:rPr>
            </w:pPr>
            <w:r>
              <w:rPr>
                <w:rFonts w:ascii="Arial" w:hAnsi="Arial" w:cs="Arial"/>
                <w:lang w:eastAsia="en-US"/>
              </w:rPr>
              <w:t>(18 korisnika prosječno)</w:t>
            </w:r>
          </w:p>
        </w:tc>
        <w:tc>
          <w:tcPr>
            <w:tcW w:w="1134" w:type="dxa"/>
            <w:tcBorders>
              <w:top w:val="single" w:sz="4" w:space="0" w:color="000000"/>
              <w:left w:val="single" w:sz="4" w:space="0" w:color="000000"/>
              <w:bottom w:val="single" w:sz="4" w:space="0" w:color="000000"/>
              <w:right w:val="single" w:sz="4" w:space="0" w:color="000000"/>
            </w:tcBorders>
            <w:vAlign w:val="center"/>
          </w:tcPr>
          <w:p w14:paraId="762DA668"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5055DB5E"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r>
    </w:tbl>
    <w:p w14:paraId="4DF8084E" w14:textId="77777777" w:rsidR="00676A9B" w:rsidRPr="00676A9B" w:rsidRDefault="00676A9B" w:rsidP="00676A9B">
      <w:pPr>
        <w:spacing w:after="0" w:line="240" w:lineRule="auto"/>
        <w:rPr>
          <w:rFonts w:ascii="Arial" w:eastAsia="Times New Roman" w:hAnsi="Arial" w:cs="Arial"/>
          <w:iCs/>
          <w:sz w:val="20"/>
          <w:szCs w:val="20"/>
        </w:rPr>
      </w:pPr>
      <w:bookmarkStart w:id="439" w:name="_Hlk135036797"/>
    </w:p>
    <w:bookmarkEnd w:id="439"/>
    <w:p w14:paraId="3F638834" w14:textId="195C8DE8"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19. A204128: Sufinanciranje prijevoza osobama umirovljenicima </w:t>
      </w:r>
      <w:r w:rsidRPr="00676A9B">
        <w:rPr>
          <w:rFonts w:ascii="Arial" w:eastAsia="Calibri" w:hAnsi="Arial" w:cs="Arial"/>
          <w:sz w:val="20"/>
          <w:szCs w:val="20"/>
        </w:rPr>
        <w:t xml:space="preserve">- Planirana sredstva za provođenje navedene aktivnosti, sukladno programu socijalne pomoći, </w:t>
      </w:r>
      <w:bookmarkStart w:id="440" w:name="_Hlk135037037"/>
      <w:r w:rsidRPr="00676A9B">
        <w:rPr>
          <w:rFonts w:ascii="Arial" w:eastAsia="Calibri" w:hAnsi="Arial" w:cs="Arial"/>
          <w:sz w:val="20"/>
          <w:szCs w:val="20"/>
        </w:rPr>
        <w:t xml:space="preserve">iznose </w:t>
      </w:r>
      <w:r w:rsidR="00877E44">
        <w:rPr>
          <w:rFonts w:ascii="Arial" w:eastAsia="Calibri" w:hAnsi="Arial" w:cs="Arial"/>
          <w:sz w:val="20"/>
          <w:szCs w:val="20"/>
        </w:rPr>
        <w:t>20</w:t>
      </w:r>
      <w:r w:rsidRPr="00676A9B">
        <w:rPr>
          <w:rFonts w:ascii="Arial" w:eastAsia="Calibri" w:hAnsi="Arial" w:cs="Arial"/>
          <w:sz w:val="20"/>
          <w:szCs w:val="20"/>
        </w:rPr>
        <w:t xml:space="preserve">.000 €. Rashodi su izvršeni u iznosu </w:t>
      </w:r>
      <w:r w:rsidR="00877E44">
        <w:rPr>
          <w:rFonts w:ascii="Arial" w:eastAsia="Calibri" w:hAnsi="Arial" w:cs="Arial"/>
          <w:sz w:val="20"/>
          <w:szCs w:val="20"/>
        </w:rPr>
        <w:t>19.560,73</w:t>
      </w:r>
      <w:r w:rsidRPr="00676A9B">
        <w:rPr>
          <w:rFonts w:ascii="Arial" w:eastAsia="Calibri" w:hAnsi="Arial" w:cs="Arial"/>
          <w:sz w:val="20"/>
          <w:szCs w:val="20"/>
        </w:rPr>
        <w:t xml:space="preserve"> € ili </w:t>
      </w:r>
      <w:r w:rsidR="00877E44">
        <w:rPr>
          <w:rFonts w:ascii="Arial" w:eastAsia="Calibri" w:hAnsi="Arial" w:cs="Arial"/>
          <w:sz w:val="20"/>
          <w:szCs w:val="20"/>
        </w:rPr>
        <w:t>97,8</w:t>
      </w:r>
      <w:r w:rsidRPr="00676A9B">
        <w:rPr>
          <w:rFonts w:ascii="Arial" w:eastAsia="Calibri" w:hAnsi="Arial" w:cs="Arial"/>
          <w:sz w:val="20"/>
          <w:szCs w:val="20"/>
        </w:rPr>
        <w:t xml:space="preserve">% plana. Ovi rashodi se odnose na umirovljenički pokaz kojeg Općina sufinancira s 6,64 € (50 kn) mjesečno po korisniku. </w:t>
      </w:r>
    </w:p>
    <w:p w14:paraId="2DE948CE" w14:textId="77777777" w:rsidR="00DF0E62" w:rsidRDefault="00DF0E62" w:rsidP="00676A9B">
      <w:pPr>
        <w:spacing w:after="0" w:line="240" w:lineRule="auto"/>
        <w:jc w:val="both"/>
        <w:rPr>
          <w:rFonts w:ascii="Arial" w:eastAsia="Calibri" w:hAnsi="Arial" w:cs="Arial"/>
          <w:sz w:val="20"/>
          <w:szCs w:val="20"/>
        </w:rPr>
      </w:pPr>
      <w:bookmarkStart w:id="441" w:name="_Hlk103258594"/>
      <w:bookmarkStart w:id="442" w:name="_Hlk198885015"/>
    </w:p>
    <w:p w14:paraId="686D13FF" w14:textId="7C067E1B" w:rsidR="00676A9B" w:rsidRPr="00676A9B" w:rsidRDefault="00676A9B" w:rsidP="00676A9B">
      <w:pPr>
        <w:spacing w:after="0" w:line="240" w:lineRule="auto"/>
        <w:jc w:val="both"/>
        <w:rPr>
          <w:rFonts w:ascii="Arial" w:eastAsia="Calibri" w:hAnsi="Arial" w:cs="Arial"/>
          <w:sz w:val="20"/>
          <w:szCs w:val="20"/>
        </w:rPr>
      </w:pPr>
      <w:bookmarkStart w:id="443" w:name="_Hlk230540720"/>
      <w:r w:rsidRPr="00676A9B">
        <w:rPr>
          <w:rFonts w:ascii="Arial" w:eastAsia="Calibri" w:hAnsi="Arial" w:cs="Arial"/>
          <w:sz w:val="20"/>
          <w:szCs w:val="20"/>
        </w:rPr>
        <w:t>U prosjeku u 202</w:t>
      </w:r>
      <w:r w:rsidR="00DF0E62">
        <w:rPr>
          <w:rFonts w:ascii="Arial" w:eastAsia="Calibri" w:hAnsi="Arial" w:cs="Arial"/>
          <w:sz w:val="20"/>
          <w:szCs w:val="20"/>
        </w:rPr>
        <w:t>5</w:t>
      </w:r>
      <w:r w:rsidRPr="00676A9B">
        <w:rPr>
          <w:rFonts w:ascii="Arial" w:eastAsia="Calibri" w:hAnsi="Arial" w:cs="Arial"/>
          <w:sz w:val="20"/>
          <w:szCs w:val="20"/>
        </w:rPr>
        <w:t xml:space="preserve">. Općina je mjesečno financirala </w:t>
      </w:r>
      <w:r w:rsidR="00DF0E62">
        <w:rPr>
          <w:rFonts w:ascii="Arial" w:eastAsia="Calibri" w:hAnsi="Arial" w:cs="Arial"/>
          <w:sz w:val="20"/>
          <w:szCs w:val="20"/>
        </w:rPr>
        <w:t>246</w:t>
      </w:r>
      <w:r w:rsidRPr="00676A9B">
        <w:rPr>
          <w:rFonts w:ascii="Arial" w:eastAsia="Calibri" w:hAnsi="Arial" w:cs="Arial"/>
          <w:sz w:val="20"/>
          <w:szCs w:val="20"/>
        </w:rPr>
        <w:t xml:space="preserve"> pokaznih karata za ove namjene (od </w:t>
      </w:r>
      <w:r w:rsidR="00DF0E62">
        <w:rPr>
          <w:rFonts w:ascii="Arial" w:eastAsia="Calibri" w:hAnsi="Arial" w:cs="Arial"/>
          <w:sz w:val="20"/>
          <w:szCs w:val="20"/>
        </w:rPr>
        <w:t>210</w:t>
      </w:r>
      <w:r w:rsidRPr="00676A9B">
        <w:rPr>
          <w:rFonts w:ascii="Arial" w:eastAsia="Calibri" w:hAnsi="Arial" w:cs="Arial"/>
          <w:sz w:val="20"/>
          <w:szCs w:val="20"/>
        </w:rPr>
        <w:t xml:space="preserve"> do 2</w:t>
      </w:r>
      <w:r w:rsidR="00DF0E62">
        <w:rPr>
          <w:rFonts w:ascii="Arial" w:eastAsia="Calibri" w:hAnsi="Arial" w:cs="Arial"/>
          <w:sz w:val="20"/>
          <w:szCs w:val="20"/>
        </w:rPr>
        <w:t>71</w:t>
      </w:r>
      <w:r w:rsidRPr="00676A9B">
        <w:rPr>
          <w:rFonts w:ascii="Arial" w:eastAsia="Calibri" w:hAnsi="Arial" w:cs="Arial"/>
          <w:sz w:val="20"/>
          <w:szCs w:val="20"/>
        </w:rPr>
        <w:t xml:space="preserve"> ovisno o mjesecu). </w:t>
      </w:r>
      <w:bookmarkEnd w:id="441"/>
    </w:p>
    <w:bookmarkEnd w:id="440"/>
    <w:bookmarkEnd w:id="442"/>
    <w:bookmarkEnd w:id="443"/>
    <w:p w14:paraId="072891D5" w14:textId="77777777" w:rsidR="00877E44" w:rsidRDefault="00877E44" w:rsidP="00676A9B">
      <w:pPr>
        <w:autoSpaceDE w:val="0"/>
        <w:autoSpaceDN w:val="0"/>
        <w:adjustRightInd w:val="0"/>
        <w:spacing w:after="0" w:line="240" w:lineRule="auto"/>
        <w:ind w:left="709" w:firstLine="709"/>
        <w:jc w:val="both"/>
        <w:rPr>
          <w:rFonts w:ascii="Arial" w:eastAsia="Calibri" w:hAnsi="Arial" w:cs="Arial"/>
          <w:sz w:val="20"/>
          <w:szCs w:val="20"/>
        </w:rPr>
      </w:pPr>
    </w:p>
    <w:p w14:paraId="5AF19FE7" w14:textId="77777777" w:rsidR="00877E44" w:rsidRDefault="00877E44" w:rsidP="00676A9B">
      <w:pPr>
        <w:autoSpaceDE w:val="0"/>
        <w:autoSpaceDN w:val="0"/>
        <w:adjustRightInd w:val="0"/>
        <w:spacing w:after="0" w:line="240" w:lineRule="auto"/>
        <w:ind w:left="709" w:firstLine="709"/>
        <w:jc w:val="both"/>
        <w:rPr>
          <w:rFonts w:ascii="Arial" w:eastAsia="Calibri" w:hAnsi="Arial" w:cs="Arial"/>
          <w:sz w:val="20"/>
          <w:szCs w:val="20"/>
        </w:rPr>
      </w:pPr>
    </w:p>
    <w:p w14:paraId="3BA50710" w14:textId="3A6F4D34" w:rsidR="00676A9B" w:rsidRPr="00676A9B" w:rsidRDefault="00676A9B" w:rsidP="00676A9B">
      <w:pPr>
        <w:autoSpaceDE w:val="0"/>
        <w:autoSpaceDN w:val="0"/>
        <w:adjustRightInd w:val="0"/>
        <w:spacing w:after="0" w:line="240" w:lineRule="auto"/>
        <w:ind w:left="709" w:firstLine="709"/>
        <w:jc w:val="both"/>
        <w:rPr>
          <w:rFonts w:ascii="Arial" w:eastAsia="Calibri" w:hAnsi="Arial" w:cs="Arial"/>
          <w:sz w:val="20"/>
          <w:szCs w:val="20"/>
        </w:rPr>
      </w:pPr>
      <w:r w:rsidRPr="00676A9B">
        <w:rPr>
          <w:rFonts w:ascii="Arial" w:eastAsia="Calibri" w:hAnsi="Arial" w:cs="Arial"/>
          <w:sz w:val="20"/>
          <w:szCs w:val="20"/>
        </w:rPr>
        <w:lastRenderedPageBreak/>
        <w:t xml:space="preserve">*Usporedba: </w:t>
      </w:r>
    </w:p>
    <w:tbl>
      <w:tblPr>
        <w:tblStyle w:val="Reetkatablice"/>
        <w:tblW w:w="0" w:type="auto"/>
        <w:jc w:val="center"/>
        <w:tblLook w:val="04A0" w:firstRow="1" w:lastRow="0" w:firstColumn="1" w:lastColumn="0" w:noHBand="0" w:noVBand="1"/>
      </w:tblPr>
      <w:tblGrid>
        <w:gridCol w:w="822"/>
        <w:gridCol w:w="1930"/>
        <w:gridCol w:w="1231"/>
        <w:gridCol w:w="9656"/>
      </w:tblGrid>
      <w:tr w:rsidR="00676A9B" w:rsidRPr="00676A9B" w14:paraId="3CD5057D" w14:textId="77777777" w:rsidTr="00410A4B">
        <w:trPr>
          <w:jc w:val="center"/>
        </w:trPr>
        <w:tc>
          <w:tcPr>
            <w:tcW w:w="822" w:type="dxa"/>
            <w:vMerge w:val="restart"/>
            <w:vAlign w:val="center"/>
          </w:tcPr>
          <w:p w14:paraId="450CBA18" w14:textId="77777777" w:rsidR="00676A9B" w:rsidRPr="00676A9B" w:rsidRDefault="00676A9B" w:rsidP="00676A9B">
            <w:pPr>
              <w:spacing w:before="100" w:beforeAutospacing="1" w:after="100" w:afterAutospacing="1"/>
              <w:jc w:val="center"/>
              <w:rPr>
                <w:rFonts w:ascii="Arial" w:hAnsi="Arial" w:cs="Arial"/>
                <w:i/>
                <w:sz w:val="18"/>
                <w:szCs w:val="18"/>
              </w:rPr>
            </w:pPr>
            <w:r w:rsidRPr="00676A9B">
              <w:rPr>
                <w:rFonts w:ascii="Arial" w:hAnsi="Arial" w:cs="Arial"/>
                <w:i/>
                <w:sz w:val="18"/>
                <w:szCs w:val="18"/>
              </w:rPr>
              <w:t>Godina</w:t>
            </w:r>
          </w:p>
        </w:tc>
        <w:tc>
          <w:tcPr>
            <w:tcW w:w="1930" w:type="dxa"/>
            <w:vAlign w:val="center"/>
          </w:tcPr>
          <w:p w14:paraId="144BF6EC" w14:textId="77777777" w:rsidR="00676A9B" w:rsidRPr="00676A9B" w:rsidRDefault="00676A9B" w:rsidP="00676A9B">
            <w:pPr>
              <w:spacing w:before="100" w:beforeAutospacing="1" w:after="100" w:afterAutospacing="1"/>
              <w:jc w:val="center"/>
              <w:rPr>
                <w:rFonts w:ascii="Arial" w:hAnsi="Arial" w:cs="Arial"/>
                <w:i/>
                <w:sz w:val="18"/>
                <w:szCs w:val="18"/>
              </w:rPr>
            </w:pPr>
            <w:r w:rsidRPr="00676A9B">
              <w:rPr>
                <w:rFonts w:ascii="Arial" w:hAnsi="Arial" w:cs="Arial"/>
                <w:b/>
                <w:i/>
                <w:sz w:val="18"/>
                <w:szCs w:val="18"/>
              </w:rPr>
              <w:t>prosječan</w:t>
            </w:r>
            <w:r w:rsidRPr="00676A9B">
              <w:rPr>
                <w:rFonts w:ascii="Arial" w:hAnsi="Arial" w:cs="Arial"/>
                <w:i/>
                <w:sz w:val="18"/>
                <w:szCs w:val="18"/>
              </w:rPr>
              <w:t xml:space="preserve"> broj korisnika</w:t>
            </w:r>
          </w:p>
        </w:tc>
        <w:tc>
          <w:tcPr>
            <w:tcW w:w="1231" w:type="dxa"/>
            <w:vMerge w:val="restart"/>
            <w:vAlign w:val="center"/>
          </w:tcPr>
          <w:p w14:paraId="414C8B29" w14:textId="77777777" w:rsidR="00676A9B" w:rsidRPr="00676A9B" w:rsidRDefault="00676A9B" w:rsidP="00676A9B">
            <w:pPr>
              <w:spacing w:before="100" w:beforeAutospacing="1" w:after="100" w:afterAutospacing="1"/>
              <w:jc w:val="center"/>
              <w:rPr>
                <w:rFonts w:ascii="Arial" w:hAnsi="Arial" w:cs="Arial"/>
                <w:i/>
                <w:sz w:val="18"/>
                <w:szCs w:val="18"/>
              </w:rPr>
            </w:pPr>
            <w:r w:rsidRPr="00676A9B">
              <w:rPr>
                <w:rFonts w:ascii="Arial" w:hAnsi="Arial" w:cs="Arial"/>
                <w:i/>
                <w:sz w:val="18"/>
                <w:szCs w:val="18"/>
              </w:rPr>
              <w:t>Izvršeno (€)</w:t>
            </w:r>
          </w:p>
        </w:tc>
        <w:tc>
          <w:tcPr>
            <w:tcW w:w="9656" w:type="dxa"/>
            <w:vMerge w:val="restart"/>
            <w:vAlign w:val="center"/>
          </w:tcPr>
          <w:p w14:paraId="30836C0D" w14:textId="77777777" w:rsidR="00676A9B" w:rsidRPr="00676A9B" w:rsidRDefault="00676A9B" w:rsidP="00676A9B">
            <w:pPr>
              <w:spacing w:before="100" w:beforeAutospacing="1" w:after="100" w:afterAutospacing="1"/>
              <w:jc w:val="center"/>
              <w:rPr>
                <w:rFonts w:ascii="Arial" w:hAnsi="Arial" w:cs="Arial"/>
                <w:i/>
                <w:sz w:val="18"/>
                <w:szCs w:val="18"/>
              </w:rPr>
            </w:pPr>
            <w:r w:rsidRPr="00676A9B">
              <w:rPr>
                <w:rFonts w:ascii="Arial" w:hAnsi="Arial" w:cs="Arial"/>
                <w:i/>
                <w:sz w:val="18"/>
                <w:szCs w:val="18"/>
              </w:rPr>
              <w:t>Obrazloženje</w:t>
            </w:r>
          </w:p>
        </w:tc>
      </w:tr>
      <w:tr w:rsidR="00676A9B" w:rsidRPr="00676A9B" w14:paraId="6A5DEB27" w14:textId="77777777" w:rsidTr="00410A4B">
        <w:trPr>
          <w:jc w:val="center"/>
        </w:trPr>
        <w:tc>
          <w:tcPr>
            <w:tcW w:w="822" w:type="dxa"/>
            <w:vMerge/>
            <w:tcBorders>
              <w:bottom w:val="double" w:sz="4" w:space="0" w:color="000000"/>
            </w:tcBorders>
            <w:vAlign w:val="center"/>
          </w:tcPr>
          <w:p w14:paraId="53407349" w14:textId="77777777" w:rsidR="00676A9B" w:rsidRPr="00676A9B" w:rsidRDefault="00676A9B" w:rsidP="00676A9B">
            <w:pPr>
              <w:spacing w:before="100" w:beforeAutospacing="1" w:after="100" w:afterAutospacing="1"/>
              <w:jc w:val="center"/>
              <w:rPr>
                <w:rFonts w:ascii="Arial" w:hAnsi="Arial" w:cs="Arial"/>
                <w:sz w:val="18"/>
                <w:szCs w:val="18"/>
              </w:rPr>
            </w:pPr>
          </w:p>
        </w:tc>
        <w:tc>
          <w:tcPr>
            <w:tcW w:w="1930" w:type="dxa"/>
            <w:tcBorders>
              <w:bottom w:val="double" w:sz="4" w:space="0" w:color="000000"/>
            </w:tcBorders>
            <w:vAlign w:val="center"/>
          </w:tcPr>
          <w:p w14:paraId="6A93A06B" w14:textId="77777777" w:rsidR="00676A9B" w:rsidRPr="00676A9B" w:rsidRDefault="00676A9B" w:rsidP="00676A9B">
            <w:pPr>
              <w:spacing w:before="100" w:beforeAutospacing="1" w:after="100" w:afterAutospacing="1"/>
              <w:jc w:val="center"/>
              <w:rPr>
                <w:rFonts w:ascii="Arial" w:hAnsi="Arial" w:cs="Arial"/>
                <w:i/>
                <w:sz w:val="18"/>
                <w:szCs w:val="18"/>
              </w:rPr>
            </w:pPr>
            <w:r w:rsidRPr="00676A9B">
              <w:rPr>
                <w:rFonts w:ascii="Arial" w:hAnsi="Arial" w:cs="Arial"/>
                <w:i/>
                <w:sz w:val="18"/>
                <w:szCs w:val="18"/>
              </w:rPr>
              <w:t>umirovljenici</w:t>
            </w:r>
          </w:p>
        </w:tc>
        <w:tc>
          <w:tcPr>
            <w:tcW w:w="1231" w:type="dxa"/>
            <w:vMerge/>
            <w:tcBorders>
              <w:bottom w:val="double" w:sz="4" w:space="0" w:color="000000"/>
            </w:tcBorders>
            <w:vAlign w:val="center"/>
          </w:tcPr>
          <w:p w14:paraId="3C7E0E1A" w14:textId="77777777" w:rsidR="00676A9B" w:rsidRPr="00676A9B" w:rsidRDefault="00676A9B" w:rsidP="00676A9B">
            <w:pPr>
              <w:spacing w:before="100" w:beforeAutospacing="1" w:after="100" w:afterAutospacing="1"/>
              <w:jc w:val="center"/>
              <w:rPr>
                <w:rFonts w:ascii="Arial" w:hAnsi="Arial" w:cs="Arial"/>
                <w:sz w:val="18"/>
                <w:szCs w:val="18"/>
              </w:rPr>
            </w:pPr>
          </w:p>
        </w:tc>
        <w:tc>
          <w:tcPr>
            <w:tcW w:w="9656" w:type="dxa"/>
            <w:vMerge/>
            <w:tcBorders>
              <w:bottom w:val="double" w:sz="4" w:space="0" w:color="000000"/>
            </w:tcBorders>
            <w:vAlign w:val="center"/>
          </w:tcPr>
          <w:p w14:paraId="4AEFBE22" w14:textId="77777777" w:rsidR="00676A9B" w:rsidRPr="00676A9B" w:rsidRDefault="00676A9B" w:rsidP="00676A9B">
            <w:pPr>
              <w:spacing w:before="100" w:beforeAutospacing="1" w:after="100" w:afterAutospacing="1"/>
              <w:jc w:val="center"/>
              <w:rPr>
                <w:rFonts w:ascii="Arial" w:hAnsi="Arial" w:cs="Arial"/>
                <w:sz w:val="18"/>
                <w:szCs w:val="18"/>
              </w:rPr>
            </w:pPr>
          </w:p>
        </w:tc>
      </w:tr>
      <w:tr w:rsidR="00676A9B" w:rsidRPr="00676A9B" w14:paraId="456B3CB9" w14:textId="77777777" w:rsidTr="00410A4B">
        <w:trPr>
          <w:jc w:val="center"/>
        </w:trPr>
        <w:tc>
          <w:tcPr>
            <w:tcW w:w="822" w:type="dxa"/>
            <w:tcBorders>
              <w:top w:val="double" w:sz="4" w:space="0" w:color="000000"/>
            </w:tcBorders>
            <w:vAlign w:val="center"/>
          </w:tcPr>
          <w:p w14:paraId="301317FA"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2018.</w:t>
            </w:r>
          </w:p>
        </w:tc>
        <w:tc>
          <w:tcPr>
            <w:tcW w:w="1930" w:type="dxa"/>
            <w:tcBorders>
              <w:top w:val="double" w:sz="4" w:space="0" w:color="000000"/>
            </w:tcBorders>
            <w:vAlign w:val="center"/>
          </w:tcPr>
          <w:p w14:paraId="678B9F5E"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204</w:t>
            </w:r>
          </w:p>
        </w:tc>
        <w:tc>
          <w:tcPr>
            <w:tcW w:w="1231" w:type="dxa"/>
            <w:tcBorders>
              <w:top w:val="double" w:sz="4" w:space="0" w:color="000000"/>
            </w:tcBorders>
            <w:vAlign w:val="center"/>
          </w:tcPr>
          <w:p w14:paraId="726DD946" w14:textId="77777777" w:rsidR="00676A9B" w:rsidRPr="00676A9B" w:rsidRDefault="00676A9B" w:rsidP="00676A9B">
            <w:pPr>
              <w:spacing w:before="100" w:beforeAutospacing="1" w:after="100" w:afterAutospacing="1"/>
              <w:jc w:val="right"/>
              <w:rPr>
                <w:rFonts w:ascii="Arial" w:eastAsia="Calibri" w:hAnsi="Arial" w:cs="Arial"/>
                <w:i/>
                <w:iCs/>
                <w:sz w:val="18"/>
                <w:szCs w:val="18"/>
              </w:rPr>
            </w:pPr>
            <w:r w:rsidRPr="00676A9B">
              <w:rPr>
                <w:rFonts w:ascii="Arial" w:eastAsia="Calibri" w:hAnsi="Arial" w:cs="Arial"/>
                <w:i/>
                <w:iCs/>
                <w:sz w:val="18"/>
                <w:szCs w:val="18"/>
              </w:rPr>
              <w:t>17.434,47</w:t>
            </w:r>
          </w:p>
        </w:tc>
        <w:tc>
          <w:tcPr>
            <w:tcW w:w="9656" w:type="dxa"/>
            <w:tcBorders>
              <w:top w:val="double" w:sz="4" w:space="0" w:color="000000"/>
            </w:tcBorders>
            <w:vAlign w:val="center"/>
          </w:tcPr>
          <w:p w14:paraId="7B35437E" w14:textId="77777777" w:rsidR="00676A9B" w:rsidRPr="00676A9B" w:rsidRDefault="00676A9B" w:rsidP="00676A9B">
            <w:pPr>
              <w:spacing w:before="100" w:beforeAutospacing="1" w:after="100" w:afterAutospacing="1"/>
              <w:rPr>
                <w:rFonts w:ascii="Arial" w:hAnsi="Arial" w:cs="Arial"/>
                <w:sz w:val="16"/>
                <w:szCs w:val="16"/>
              </w:rPr>
            </w:pPr>
            <w:r w:rsidRPr="00676A9B">
              <w:rPr>
                <w:rFonts w:ascii="Arial" w:eastAsia="Calibri" w:hAnsi="Arial" w:cs="Arial"/>
                <w:i/>
                <w:iCs/>
                <w:sz w:val="16"/>
                <w:szCs w:val="16"/>
              </w:rPr>
              <w:t>U veljači 2018. bilo 179 korisnika, a u listopadu 2018. bilo 262 korisnika (do početka 2018. dio pokaznih karata umirovljenika se ostvarivao kroz prava iz A204113, a putem ove aktivnosti umirovljenici ostvaruju od početka 2018. (Općina sufinancira 50,00 kn mjesečno po korisniku.</w:t>
            </w:r>
          </w:p>
        </w:tc>
      </w:tr>
      <w:tr w:rsidR="00676A9B" w:rsidRPr="00676A9B" w14:paraId="3E001503" w14:textId="77777777" w:rsidTr="00410A4B">
        <w:trPr>
          <w:jc w:val="center"/>
        </w:trPr>
        <w:tc>
          <w:tcPr>
            <w:tcW w:w="822" w:type="dxa"/>
            <w:vAlign w:val="center"/>
          </w:tcPr>
          <w:p w14:paraId="3E055A1A"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2019.</w:t>
            </w:r>
          </w:p>
        </w:tc>
        <w:tc>
          <w:tcPr>
            <w:tcW w:w="1930" w:type="dxa"/>
            <w:vAlign w:val="center"/>
          </w:tcPr>
          <w:p w14:paraId="6E5E6990"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247</w:t>
            </w:r>
          </w:p>
        </w:tc>
        <w:tc>
          <w:tcPr>
            <w:tcW w:w="1231" w:type="dxa"/>
            <w:vAlign w:val="center"/>
          </w:tcPr>
          <w:p w14:paraId="3704BC83" w14:textId="77777777" w:rsidR="00676A9B" w:rsidRPr="00676A9B" w:rsidRDefault="00676A9B" w:rsidP="00676A9B">
            <w:pPr>
              <w:spacing w:before="100" w:beforeAutospacing="1" w:after="100" w:afterAutospacing="1"/>
              <w:jc w:val="right"/>
              <w:rPr>
                <w:rFonts w:ascii="Arial" w:eastAsia="Calibri" w:hAnsi="Arial" w:cs="Arial"/>
                <w:i/>
                <w:iCs/>
                <w:sz w:val="18"/>
                <w:szCs w:val="18"/>
              </w:rPr>
            </w:pPr>
            <w:r w:rsidRPr="00676A9B">
              <w:rPr>
                <w:rFonts w:ascii="Arial" w:eastAsia="Calibri" w:hAnsi="Arial" w:cs="Arial"/>
                <w:i/>
                <w:iCs/>
                <w:sz w:val="18"/>
                <w:szCs w:val="18"/>
              </w:rPr>
              <w:t>19.715,97</w:t>
            </w:r>
          </w:p>
        </w:tc>
        <w:tc>
          <w:tcPr>
            <w:tcW w:w="9656" w:type="dxa"/>
            <w:vAlign w:val="center"/>
          </w:tcPr>
          <w:p w14:paraId="4BC0C987" w14:textId="77777777" w:rsidR="00676A9B" w:rsidRPr="00676A9B" w:rsidRDefault="00676A9B" w:rsidP="00676A9B">
            <w:pPr>
              <w:spacing w:before="100" w:beforeAutospacing="1" w:after="100" w:afterAutospacing="1"/>
              <w:rPr>
                <w:rFonts w:ascii="Arial" w:hAnsi="Arial" w:cs="Arial"/>
                <w:sz w:val="16"/>
                <w:szCs w:val="16"/>
              </w:rPr>
            </w:pPr>
            <w:r w:rsidRPr="00676A9B">
              <w:rPr>
                <w:rFonts w:ascii="Arial" w:eastAsia="Calibri" w:hAnsi="Arial" w:cs="Arial"/>
                <w:i/>
                <w:iCs/>
                <w:sz w:val="16"/>
                <w:szCs w:val="16"/>
              </w:rPr>
              <w:t>Primjerice u siječnju 2019 bilo 222 korisnika, u lipnju i listopadu 2019. bilo 269 korisnika, a u prosincu 2019. je bilo 237 korisnika.</w:t>
            </w:r>
          </w:p>
        </w:tc>
      </w:tr>
      <w:tr w:rsidR="00676A9B" w:rsidRPr="00676A9B" w14:paraId="0BF702E4" w14:textId="77777777" w:rsidTr="00410A4B">
        <w:trPr>
          <w:jc w:val="center"/>
        </w:trPr>
        <w:tc>
          <w:tcPr>
            <w:tcW w:w="822" w:type="dxa"/>
            <w:vAlign w:val="center"/>
          </w:tcPr>
          <w:p w14:paraId="2432ED2E"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2020.</w:t>
            </w:r>
          </w:p>
        </w:tc>
        <w:tc>
          <w:tcPr>
            <w:tcW w:w="1930" w:type="dxa"/>
            <w:vAlign w:val="center"/>
          </w:tcPr>
          <w:p w14:paraId="50C1D66D"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 xml:space="preserve">165 </w:t>
            </w:r>
          </w:p>
          <w:p w14:paraId="374BEFD6"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(od 112 do 253 korisnika)</w:t>
            </w:r>
          </w:p>
        </w:tc>
        <w:tc>
          <w:tcPr>
            <w:tcW w:w="1231" w:type="dxa"/>
            <w:vAlign w:val="center"/>
          </w:tcPr>
          <w:p w14:paraId="773CAF38" w14:textId="77777777" w:rsidR="00676A9B" w:rsidRPr="00676A9B" w:rsidRDefault="00676A9B" w:rsidP="00676A9B">
            <w:pPr>
              <w:spacing w:before="100" w:beforeAutospacing="1" w:after="100" w:afterAutospacing="1"/>
              <w:jc w:val="right"/>
              <w:rPr>
                <w:rFonts w:ascii="Arial" w:eastAsia="Calibri" w:hAnsi="Arial" w:cs="Arial"/>
                <w:i/>
                <w:iCs/>
                <w:sz w:val="18"/>
                <w:szCs w:val="18"/>
              </w:rPr>
            </w:pPr>
            <w:r w:rsidRPr="00676A9B">
              <w:rPr>
                <w:rFonts w:ascii="Arial" w:eastAsia="Calibri" w:hAnsi="Arial" w:cs="Arial"/>
                <w:i/>
                <w:iCs/>
                <w:sz w:val="18"/>
                <w:szCs w:val="18"/>
              </w:rPr>
              <w:t>12.031,32</w:t>
            </w:r>
          </w:p>
        </w:tc>
        <w:tc>
          <w:tcPr>
            <w:tcW w:w="9656" w:type="dxa"/>
            <w:vAlign w:val="center"/>
          </w:tcPr>
          <w:p w14:paraId="6E1AE64F" w14:textId="77777777" w:rsidR="00676A9B" w:rsidRPr="00676A9B" w:rsidRDefault="00676A9B" w:rsidP="00676A9B">
            <w:pPr>
              <w:spacing w:before="100" w:beforeAutospacing="1" w:after="100" w:afterAutospacing="1"/>
              <w:rPr>
                <w:rFonts w:ascii="Arial" w:eastAsia="Calibri" w:hAnsi="Arial" w:cs="Arial"/>
                <w:i/>
                <w:iCs/>
                <w:sz w:val="16"/>
                <w:szCs w:val="16"/>
              </w:rPr>
            </w:pPr>
            <w:r w:rsidRPr="00676A9B">
              <w:rPr>
                <w:rFonts w:ascii="Arial" w:eastAsia="Calibri" w:hAnsi="Arial" w:cs="Arial"/>
                <w:i/>
                <w:iCs/>
                <w:sz w:val="16"/>
                <w:szCs w:val="16"/>
              </w:rPr>
              <w:t>Primjerice u siječnju 2020. bilo 235 korisnika, u veljači 247, a u ožujku 253 korisnika. U travnju 2020. nisu izdavane pokazne karte, dok je u lipnju 2020. korištena 81 pokazna karta.</w:t>
            </w:r>
          </w:p>
          <w:p w14:paraId="1902655B" w14:textId="77777777" w:rsidR="00676A9B" w:rsidRPr="00676A9B" w:rsidRDefault="00676A9B" w:rsidP="00676A9B">
            <w:pPr>
              <w:spacing w:before="100" w:beforeAutospacing="1" w:after="100" w:afterAutospacing="1"/>
              <w:rPr>
                <w:rFonts w:ascii="Arial" w:eastAsia="Calibri" w:hAnsi="Arial" w:cs="Arial"/>
                <w:i/>
                <w:iCs/>
                <w:sz w:val="16"/>
                <w:szCs w:val="16"/>
              </w:rPr>
            </w:pPr>
            <w:r w:rsidRPr="00676A9B">
              <w:rPr>
                <w:rFonts w:ascii="Arial" w:eastAsia="Calibri" w:hAnsi="Arial" w:cs="Arial"/>
                <w:i/>
                <w:iCs/>
                <w:sz w:val="16"/>
                <w:szCs w:val="16"/>
              </w:rPr>
              <w:t xml:space="preserve">Od lipnja 2020. do prosinca 2020. korišteno je od 112 (u prosincu) do 163 karte (u rujnu). </w:t>
            </w:r>
          </w:p>
        </w:tc>
      </w:tr>
      <w:tr w:rsidR="00676A9B" w:rsidRPr="00676A9B" w14:paraId="54388B0C" w14:textId="77777777" w:rsidTr="00410A4B">
        <w:trPr>
          <w:jc w:val="center"/>
        </w:trPr>
        <w:tc>
          <w:tcPr>
            <w:tcW w:w="822" w:type="dxa"/>
            <w:vAlign w:val="center"/>
          </w:tcPr>
          <w:p w14:paraId="1E36AC76"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2021.</w:t>
            </w:r>
          </w:p>
        </w:tc>
        <w:tc>
          <w:tcPr>
            <w:tcW w:w="1930" w:type="dxa"/>
            <w:vAlign w:val="center"/>
          </w:tcPr>
          <w:p w14:paraId="3282F738"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134</w:t>
            </w:r>
          </w:p>
          <w:p w14:paraId="6552FCB4"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(od 108 do 167 korisnika)</w:t>
            </w:r>
          </w:p>
        </w:tc>
        <w:tc>
          <w:tcPr>
            <w:tcW w:w="1231" w:type="dxa"/>
            <w:vAlign w:val="center"/>
          </w:tcPr>
          <w:p w14:paraId="3BB56BAB" w14:textId="77777777" w:rsidR="00676A9B" w:rsidRPr="00676A9B" w:rsidRDefault="00676A9B" w:rsidP="00676A9B">
            <w:pPr>
              <w:spacing w:before="100" w:beforeAutospacing="1" w:after="100" w:afterAutospacing="1"/>
              <w:jc w:val="right"/>
              <w:rPr>
                <w:rFonts w:ascii="Arial" w:eastAsia="Calibri" w:hAnsi="Arial" w:cs="Arial"/>
                <w:i/>
                <w:iCs/>
                <w:sz w:val="18"/>
                <w:szCs w:val="18"/>
              </w:rPr>
            </w:pPr>
            <w:r w:rsidRPr="00676A9B">
              <w:rPr>
                <w:rFonts w:ascii="Arial" w:eastAsia="Calibri" w:hAnsi="Arial" w:cs="Arial"/>
                <w:i/>
                <w:iCs/>
                <w:sz w:val="18"/>
                <w:szCs w:val="18"/>
              </w:rPr>
              <w:t>10.684,19</w:t>
            </w:r>
          </w:p>
        </w:tc>
        <w:tc>
          <w:tcPr>
            <w:tcW w:w="9656" w:type="dxa"/>
            <w:vAlign w:val="center"/>
          </w:tcPr>
          <w:p w14:paraId="39F056A3" w14:textId="77777777" w:rsidR="00676A9B" w:rsidRPr="00676A9B" w:rsidRDefault="00676A9B" w:rsidP="00676A9B">
            <w:pPr>
              <w:spacing w:before="100" w:beforeAutospacing="1" w:after="100" w:afterAutospacing="1"/>
              <w:rPr>
                <w:rFonts w:ascii="Arial" w:eastAsia="Calibri" w:hAnsi="Arial" w:cs="Arial"/>
                <w:i/>
                <w:iCs/>
                <w:sz w:val="16"/>
                <w:szCs w:val="16"/>
              </w:rPr>
            </w:pPr>
            <w:r w:rsidRPr="00676A9B">
              <w:rPr>
                <w:rFonts w:ascii="Arial" w:eastAsia="Calibri" w:hAnsi="Arial" w:cs="Arial"/>
                <w:i/>
                <w:iCs/>
                <w:sz w:val="16"/>
                <w:szCs w:val="16"/>
              </w:rPr>
              <w:t>Primjerice u siječnju, ožujku i travnju 2021. bilo 108 korisnika, dok je u svibnju bilo 128, u lipnju 143 korisnika, u listopadu 167, a u prosincu 132 korisnika</w:t>
            </w:r>
          </w:p>
        </w:tc>
      </w:tr>
      <w:tr w:rsidR="00676A9B" w:rsidRPr="00676A9B" w14:paraId="103852D8" w14:textId="77777777" w:rsidTr="00410A4B">
        <w:trPr>
          <w:jc w:val="center"/>
        </w:trPr>
        <w:tc>
          <w:tcPr>
            <w:tcW w:w="822" w:type="dxa"/>
            <w:vAlign w:val="center"/>
          </w:tcPr>
          <w:p w14:paraId="183B316A"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2022.</w:t>
            </w:r>
          </w:p>
        </w:tc>
        <w:tc>
          <w:tcPr>
            <w:tcW w:w="1930" w:type="dxa"/>
            <w:vAlign w:val="center"/>
          </w:tcPr>
          <w:p w14:paraId="31E3721F"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169</w:t>
            </w:r>
          </w:p>
          <w:p w14:paraId="7D9DD517"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(od 120 do 200 korisnika)</w:t>
            </w:r>
          </w:p>
        </w:tc>
        <w:tc>
          <w:tcPr>
            <w:tcW w:w="1231" w:type="dxa"/>
            <w:vAlign w:val="center"/>
          </w:tcPr>
          <w:p w14:paraId="2B04DEA6" w14:textId="77777777" w:rsidR="00676A9B" w:rsidRPr="00676A9B" w:rsidRDefault="00676A9B" w:rsidP="00676A9B">
            <w:pPr>
              <w:spacing w:before="100" w:beforeAutospacing="1" w:after="100" w:afterAutospacing="1"/>
              <w:jc w:val="right"/>
              <w:rPr>
                <w:rFonts w:ascii="Arial" w:eastAsia="Calibri" w:hAnsi="Arial" w:cs="Arial"/>
                <w:i/>
                <w:iCs/>
                <w:sz w:val="18"/>
                <w:szCs w:val="18"/>
              </w:rPr>
            </w:pPr>
            <w:r w:rsidRPr="00676A9B">
              <w:rPr>
                <w:rFonts w:ascii="Arial" w:eastAsia="Calibri" w:hAnsi="Arial" w:cs="Arial"/>
                <w:i/>
                <w:iCs/>
                <w:sz w:val="18"/>
                <w:szCs w:val="18"/>
              </w:rPr>
              <w:t>13.424,91</w:t>
            </w:r>
          </w:p>
        </w:tc>
        <w:tc>
          <w:tcPr>
            <w:tcW w:w="9656" w:type="dxa"/>
            <w:vAlign w:val="center"/>
          </w:tcPr>
          <w:p w14:paraId="74DE538E" w14:textId="77777777" w:rsidR="00676A9B" w:rsidRPr="00676A9B" w:rsidRDefault="00676A9B" w:rsidP="00676A9B">
            <w:pPr>
              <w:spacing w:before="100" w:beforeAutospacing="1" w:after="100" w:afterAutospacing="1"/>
              <w:rPr>
                <w:rFonts w:ascii="Arial" w:eastAsia="Calibri" w:hAnsi="Arial" w:cs="Arial"/>
                <w:i/>
                <w:iCs/>
                <w:sz w:val="16"/>
                <w:szCs w:val="16"/>
              </w:rPr>
            </w:pPr>
            <w:r w:rsidRPr="00676A9B">
              <w:rPr>
                <w:rFonts w:ascii="Arial" w:eastAsia="Calibri" w:hAnsi="Arial" w:cs="Arial"/>
                <w:i/>
                <w:iCs/>
                <w:sz w:val="16"/>
                <w:szCs w:val="16"/>
              </w:rPr>
              <w:t>Primjerice u siječnju 2022. bilo 120 korisnika, dok je u lipnju bilo 177 korisnika, a u studenome 2022. godine 200 korisnika i u prosincu 2022. godine 171 korisnik</w:t>
            </w:r>
          </w:p>
        </w:tc>
      </w:tr>
      <w:tr w:rsidR="00676A9B" w:rsidRPr="00676A9B" w14:paraId="5DDC862C" w14:textId="77777777" w:rsidTr="00410A4B">
        <w:trPr>
          <w:jc w:val="center"/>
        </w:trPr>
        <w:tc>
          <w:tcPr>
            <w:tcW w:w="822" w:type="dxa"/>
            <w:vAlign w:val="center"/>
          </w:tcPr>
          <w:p w14:paraId="5BCEDD71" w14:textId="77777777" w:rsidR="00676A9B" w:rsidRPr="00676A9B" w:rsidRDefault="00676A9B" w:rsidP="00676A9B">
            <w:pPr>
              <w:spacing w:before="100" w:beforeAutospacing="1" w:after="100" w:afterAutospacing="1"/>
              <w:jc w:val="center"/>
              <w:rPr>
                <w:rFonts w:ascii="Arial" w:hAnsi="Arial" w:cs="Arial"/>
                <w:sz w:val="18"/>
                <w:szCs w:val="18"/>
              </w:rPr>
            </w:pPr>
            <w:r w:rsidRPr="00676A9B">
              <w:rPr>
                <w:rFonts w:ascii="Arial" w:hAnsi="Arial" w:cs="Arial"/>
                <w:sz w:val="18"/>
                <w:szCs w:val="18"/>
              </w:rPr>
              <w:t>2023.</w:t>
            </w:r>
          </w:p>
        </w:tc>
        <w:tc>
          <w:tcPr>
            <w:tcW w:w="1930" w:type="dxa"/>
            <w:vAlign w:val="center"/>
          </w:tcPr>
          <w:p w14:paraId="2A122200"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200</w:t>
            </w:r>
          </w:p>
          <w:p w14:paraId="14AF2DB3"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(od 164 do 220 korisnika)</w:t>
            </w:r>
          </w:p>
        </w:tc>
        <w:tc>
          <w:tcPr>
            <w:tcW w:w="1231" w:type="dxa"/>
            <w:vAlign w:val="center"/>
          </w:tcPr>
          <w:p w14:paraId="1F78DB62" w14:textId="77777777" w:rsidR="00676A9B" w:rsidRPr="00676A9B" w:rsidRDefault="00676A9B" w:rsidP="00676A9B">
            <w:pPr>
              <w:spacing w:before="100" w:beforeAutospacing="1" w:after="100" w:afterAutospacing="1"/>
              <w:jc w:val="right"/>
              <w:rPr>
                <w:rFonts w:ascii="Arial" w:eastAsia="Calibri" w:hAnsi="Arial" w:cs="Arial"/>
                <w:i/>
                <w:iCs/>
                <w:sz w:val="18"/>
                <w:szCs w:val="18"/>
              </w:rPr>
            </w:pPr>
            <w:r w:rsidRPr="00676A9B">
              <w:rPr>
                <w:rFonts w:ascii="Arial" w:eastAsia="Calibri" w:hAnsi="Arial" w:cs="Arial"/>
                <w:i/>
                <w:iCs/>
                <w:sz w:val="18"/>
                <w:szCs w:val="18"/>
              </w:rPr>
              <w:t>15.890,19</w:t>
            </w:r>
          </w:p>
        </w:tc>
        <w:tc>
          <w:tcPr>
            <w:tcW w:w="9656" w:type="dxa"/>
            <w:vAlign w:val="center"/>
          </w:tcPr>
          <w:p w14:paraId="7A8510A5" w14:textId="77777777" w:rsidR="00676A9B" w:rsidRPr="00676A9B" w:rsidRDefault="00676A9B" w:rsidP="00676A9B">
            <w:pPr>
              <w:spacing w:before="100" w:beforeAutospacing="1" w:after="100" w:afterAutospacing="1"/>
              <w:rPr>
                <w:rFonts w:ascii="Arial" w:eastAsia="Calibri" w:hAnsi="Arial" w:cs="Arial"/>
                <w:i/>
                <w:iCs/>
                <w:sz w:val="16"/>
                <w:szCs w:val="16"/>
              </w:rPr>
            </w:pPr>
            <w:r w:rsidRPr="00676A9B">
              <w:rPr>
                <w:rFonts w:ascii="Arial" w:eastAsia="Calibri" w:hAnsi="Arial" w:cs="Arial"/>
                <w:i/>
                <w:iCs/>
                <w:sz w:val="16"/>
                <w:szCs w:val="16"/>
              </w:rPr>
              <w:t>Primjerice u siječnju 2023. bilo 164 korisnika, dok je u lipnju bilo 202 korisnika, a u listopadu 2023. godine 220 korisnika. Koncem 2023. je bilo 196 korisnika.</w:t>
            </w:r>
          </w:p>
        </w:tc>
      </w:tr>
      <w:tr w:rsidR="00676A9B" w:rsidRPr="00676A9B" w14:paraId="63ECF3F7" w14:textId="77777777" w:rsidTr="00410A4B">
        <w:trPr>
          <w:jc w:val="center"/>
        </w:trPr>
        <w:tc>
          <w:tcPr>
            <w:tcW w:w="822" w:type="dxa"/>
            <w:vAlign w:val="center"/>
          </w:tcPr>
          <w:p w14:paraId="7014261D" w14:textId="77777777" w:rsidR="00676A9B" w:rsidRPr="00676A9B" w:rsidRDefault="00676A9B" w:rsidP="00676A9B">
            <w:pPr>
              <w:spacing w:before="100" w:beforeAutospacing="1" w:after="100" w:afterAutospacing="1"/>
              <w:rPr>
                <w:rFonts w:ascii="Arial" w:hAnsi="Arial" w:cs="Arial"/>
                <w:sz w:val="18"/>
                <w:szCs w:val="18"/>
              </w:rPr>
            </w:pPr>
            <w:r w:rsidRPr="00676A9B">
              <w:rPr>
                <w:rFonts w:ascii="Arial" w:hAnsi="Arial" w:cs="Arial"/>
                <w:sz w:val="18"/>
                <w:szCs w:val="18"/>
              </w:rPr>
              <w:t>2024.</w:t>
            </w:r>
          </w:p>
        </w:tc>
        <w:tc>
          <w:tcPr>
            <w:tcW w:w="1930" w:type="dxa"/>
            <w:vAlign w:val="center"/>
          </w:tcPr>
          <w:p w14:paraId="50072876"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219</w:t>
            </w:r>
          </w:p>
          <w:p w14:paraId="3DA80F82" w14:textId="77777777" w:rsidR="00676A9B" w:rsidRPr="00676A9B" w:rsidRDefault="00676A9B" w:rsidP="00676A9B">
            <w:pPr>
              <w:spacing w:before="100" w:beforeAutospacing="1" w:after="100" w:afterAutospacing="1"/>
              <w:jc w:val="center"/>
              <w:rPr>
                <w:rFonts w:ascii="Arial" w:hAnsi="Arial" w:cs="Arial"/>
                <w:sz w:val="16"/>
                <w:szCs w:val="16"/>
              </w:rPr>
            </w:pPr>
            <w:r w:rsidRPr="00676A9B">
              <w:rPr>
                <w:rFonts w:ascii="Arial" w:hAnsi="Arial" w:cs="Arial"/>
                <w:sz w:val="16"/>
                <w:szCs w:val="16"/>
              </w:rPr>
              <w:t>(od 187 do 234 korisnika)</w:t>
            </w:r>
          </w:p>
        </w:tc>
        <w:tc>
          <w:tcPr>
            <w:tcW w:w="1231" w:type="dxa"/>
            <w:vAlign w:val="center"/>
          </w:tcPr>
          <w:p w14:paraId="7367C37E" w14:textId="77777777" w:rsidR="00676A9B" w:rsidRPr="00676A9B" w:rsidRDefault="00676A9B" w:rsidP="00676A9B">
            <w:pPr>
              <w:spacing w:before="100" w:beforeAutospacing="1" w:after="100" w:afterAutospacing="1"/>
              <w:jc w:val="right"/>
              <w:rPr>
                <w:rFonts w:ascii="Arial" w:eastAsia="Calibri" w:hAnsi="Arial" w:cs="Arial"/>
                <w:i/>
                <w:iCs/>
                <w:sz w:val="18"/>
                <w:szCs w:val="18"/>
              </w:rPr>
            </w:pPr>
            <w:r w:rsidRPr="00676A9B">
              <w:rPr>
                <w:rFonts w:ascii="Arial" w:eastAsia="Calibri" w:hAnsi="Arial" w:cs="Arial"/>
                <w:i/>
                <w:iCs/>
                <w:sz w:val="18"/>
                <w:szCs w:val="18"/>
              </w:rPr>
              <w:t>17.443,37</w:t>
            </w:r>
          </w:p>
        </w:tc>
        <w:tc>
          <w:tcPr>
            <w:tcW w:w="9656" w:type="dxa"/>
            <w:vAlign w:val="center"/>
          </w:tcPr>
          <w:p w14:paraId="6EC3ADBC" w14:textId="0EBCADD7" w:rsidR="00676A9B" w:rsidRPr="00676A9B" w:rsidRDefault="00676A9B" w:rsidP="00676A9B">
            <w:pPr>
              <w:spacing w:before="100" w:beforeAutospacing="1" w:after="100" w:afterAutospacing="1"/>
              <w:rPr>
                <w:rFonts w:ascii="Arial" w:eastAsia="Calibri" w:hAnsi="Arial" w:cs="Arial"/>
                <w:i/>
                <w:iCs/>
                <w:sz w:val="16"/>
                <w:szCs w:val="16"/>
              </w:rPr>
            </w:pPr>
            <w:r w:rsidRPr="00676A9B">
              <w:rPr>
                <w:rFonts w:ascii="Arial" w:eastAsia="Calibri" w:hAnsi="Arial" w:cs="Arial"/>
                <w:i/>
                <w:iCs/>
                <w:sz w:val="16"/>
                <w:szCs w:val="16"/>
              </w:rPr>
              <w:t>Primjerice u siječnju 2024. bilo 187 korisnika, dok je u lipnju bilo 234 korisnika, a u listopadu 2024. godine 233 korisnika. Koncem 2024. je bilo 210</w:t>
            </w:r>
            <w:r w:rsidR="00877E44">
              <w:rPr>
                <w:rFonts w:ascii="Arial" w:eastAsia="Calibri" w:hAnsi="Arial" w:cs="Arial"/>
                <w:i/>
                <w:iCs/>
                <w:sz w:val="16"/>
                <w:szCs w:val="16"/>
              </w:rPr>
              <w:t xml:space="preserve"> </w:t>
            </w:r>
            <w:r w:rsidRPr="00676A9B">
              <w:rPr>
                <w:rFonts w:ascii="Arial" w:eastAsia="Calibri" w:hAnsi="Arial" w:cs="Arial"/>
                <w:i/>
                <w:iCs/>
                <w:sz w:val="16"/>
                <w:szCs w:val="16"/>
              </w:rPr>
              <w:t>korisnika.</w:t>
            </w:r>
          </w:p>
        </w:tc>
      </w:tr>
      <w:tr w:rsidR="00877E44" w:rsidRPr="00676A9B" w14:paraId="44B72D2C" w14:textId="77777777" w:rsidTr="00410A4B">
        <w:trPr>
          <w:jc w:val="center"/>
        </w:trPr>
        <w:tc>
          <w:tcPr>
            <w:tcW w:w="822" w:type="dxa"/>
            <w:vAlign w:val="center"/>
          </w:tcPr>
          <w:p w14:paraId="4EAEB309" w14:textId="33BA2FA7" w:rsidR="00877E44" w:rsidRPr="00676A9B" w:rsidRDefault="00877E44" w:rsidP="00877E44">
            <w:pPr>
              <w:spacing w:before="100" w:beforeAutospacing="1" w:after="100" w:afterAutospacing="1"/>
              <w:rPr>
                <w:rFonts w:ascii="Arial" w:hAnsi="Arial" w:cs="Arial"/>
                <w:sz w:val="18"/>
                <w:szCs w:val="18"/>
              </w:rPr>
            </w:pPr>
            <w:r w:rsidRPr="00676A9B">
              <w:rPr>
                <w:rFonts w:ascii="Arial" w:hAnsi="Arial" w:cs="Arial"/>
                <w:sz w:val="18"/>
                <w:szCs w:val="18"/>
              </w:rPr>
              <w:t>202</w:t>
            </w:r>
            <w:r>
              <w:rPr>
                <w:rFonts w:ascii="Arial" w:hAnsi="Arial" w:cs="Arial"/>
                <w:sz w:val="18"/>
                <w:szCs w:val="18"/>
              </w:rPr>
              <w:t>5</w:t>
            </w:r>
            <w:r w:rsidRPr="00676A9B">
              <w:rPr>
                <w:rFonts w:ascii="Arial" w:hAnsi="Arial" w:cs="Arial"/>
                <w:sz w:val="18"/>
                <w:szCs w:val="18"/>
              </w:rPr>
              <w:t>.</w:t>
            </w:r>
          </w:p>
        </w:tc>
        <w:tc>
          <w:tcPr>
            <w:tcW w:w="1930" w:type="dxa"/>
            <w:vAlign w:val="center"/>
          </w:tcPr>
          <w:p w14:paraId="6EE7A830" w14:textId="1DCB359F" w:rsidR="00877E44" w:rsidRPr="00676A9B" w:rsidRDefault="00877E44" w:rsidP="00877E44">
            <w:pPr>
              <w:spacing w:before="100" w:beforeAutospacing="1" w:after="100" w:afterAutospacing="1"/>
              <w:jc w:val="center"/>
              <w:rPr>
                <w:rFonts w:ascii="Arial" w:hAnsi="Arial" w:cs="Arial"/>
                <w:sz w:val="16"/>
                <w:szCs w:val="16"/>
              </w:rPr>
            </w:pPr>
            <w:r>
              <w:rPr>
                <w:rFonts w:ascii="Arial" w:hAnsi="Arial" w:cs="Arial"/>
                <w:sz w:val="16"/>
                <w:szCs w:val="16"/>
              </w:rPr>
              <w:t>246</w:t>
            </w:r>
          </w:p>
          <w:p w14:paraId="1F174593" w14:textId="41A93C72" w:rsidR="00877E44" w:rsidRPr="00676A9B" w:rsidRDefault="00877E44" w:rsidP="00877E44">
            <w:pPr>
              <w:spacing w:before="100" w:beforeAutospacing="1" w:after="100" w:afterAutospacing="1"/>
              <w:jc w:val="center"/>
              <w:rPr>
                <w:rFonts w:ascii="Arial" w:hAnsi="Arial" w:cs="Arial"/>
                <w:sz w:val="16"/>
                <w:szCs w:val="16"/>
              </w:rPr>
            </w:pPr>
            <w:r w:rsidRPr="00676A9B">
              <w:rPr>
                <w:rFonts w:ascii="Arial" w:hAnsi="Arial" w:cs="Arial"/>
                <w:sz w:val="16"/>
                <w:szCs w:val="16"/>
              </w:rPr>
              <w:t xml:space="preserve">(od </w:t>
            </w:r>
            <w:r>
              <w:rPr>
                <w:rFonts w:ascii="Arial" w:hAnsi="Arial" w:cs="Arial"/>
                <w:sz w:val="16"/>
                <w:szCs w:val="16"/>
              </w:rPr>
              <w:t>210</w:t>
            </w:r>
            <w:r w:rsidRPr="00676A9B">
              <w:rPr>
                <w:rFonts w:ascii="Arial" w:hAnsi="Arial" w:cs="Arial"/>
                <w:sz w:val="16"/>
                <w:szCs w:val="16"/>
              </w:rPr>
              <w:t xml:space="preserve"> do 2</w:t>
            </w:r>
            <w:r>
              <w:rPr>
                <w:rFonts w:ascii="Arial" w:hAnsi="Arial" w:cs="Arial"/>
                <w:sz w:val="16"/>
                <w:szCs w:val="16"/>
              </w:rPr>
              <w:t>71</w:t>
            </w:r>
            <w:r w:rsidRPr="00676A9B">
              <w:rPr>
                <w:rFonts w:ascii="Arial" w:hAnsi="Arial" w:cs="Arial"/>
                <w:sz w:val="16"/>
                <w:szCs w:val="16"/>
              </w:rPr>
              <w:t xml:space="preserve"> korisnika)</w:t>
            </w:r>
          </w:p>
        </w:tc>
        <w:tc>
          <w:tcPr>
            <w:tcW w:w="1231" w:type="dxa"/>
            <w:vAlign w:val="center"/>
          </w:tcPr>
          <w:p w14:paraId="5AD4E20E" w14:textId="0CC35BAE" w:rsidR="00877E44" w:rsidRPr="00676A9B" w:rsidRDefault="00877E44" w:rsidP="00877E44">
            <w:pPr>
              <w:spacing w:before="100" w:beforeAutospacing="1" w:after="100" w:afterAutospacing="1"/>
              <w:jc w:val="right"/>
              <w:rPr>
                <w:rFonts w:ascii="Arial" w:eastAsia="Calibri" w:hAnsi="Arial" w:cs="Arial"/>
                <w:i/>
                <w:iCs/>
                <w:sz w:val="18"/>
                <w:szCs w:val="18"/>
              </w:rPr>
            </w:pPr>
            <w:r>
              <w:rPr>
                <w:rFonts w:ascii="Arial" w:eastAsia="Calibri" w:hAnsi="Arial" w:cs="Arial"/>
                <w:i/>
                <w:iCs/>
                <w:sz w:val="18"/>
                <w:szCs w:val="18"/>
              </w:rPr>
              <w:t>19.560,73</w:t>
            </w:r>
          </w:p>
        </w:tc>
        <w:tc>
          <w:tcPr>
            <w:tcW w:w="9656" w:type="dxa"/>
            <w:vAlign w:val="center"/>
          </w:tcPr>
          <w:p w14:paraId="33F12221" w14:textId="35D8C300" w:rsidR="00877E44" w:rsidRPr="00676A9B" w:rsidRDefault="00877E44" w:rsidP="00877E44">
            <w:pPr>
              <w:spacing w:before="100" w:beforeAutospacing="1" w:after="100" w:afterAutospacing="1"/>
              <w:rPr>
                <w:rFonts w:ascii="Arial" w:eastAsia="Calibri" w:hAnsi="Arial" w:cs="Arial"/>
                <w:i/>
                <w:iCs/>
                <w:sz w:val="16"/>
                <w:szCs w:val="16"/>
              </w:rPr>
            </w:pPr>
            <w:r w:rsidRPr="00676A9B">
              <w:rPr>
                <w:rFonts w:ascii="Arial" w:eastAsia="Calibri" w:hAnsi="Arial" w:cs="Arial"/>
                <w:i/>
                <w:iCs/>
                <w:sz w:val="16"/>
                <w:szCs w:val="16"/>
              </w:rPr>
              <w:t>Primjerice u siječnju 202</w:t>
            </w:r>
            <w:r>
              <w:rPr>
                <w:rFonts w:ascii="Arial" w:eastAsia="Calibri" w:hAnsi="Arial" w:cs="Arial"/>
                <w:i/>
                <w:iCs/>
                <w:sz w:val="16"/>
                <w:szCs w:val="16"/>
              </w:rPr>
              <w:t>5</w:t>
            </w:r>
            <w:r w:rsidRPr="00676A9B">
              <w:rPr>
                <w:rFonts w:ascii="Arial" w:eastAsia="Calibri" w:hAnsi="Arial" w:cs="Arial"/>
                <w:i/>
                <w:iCs/>
                <w:sz w:val="16"/>
                <w:szCs w:val="16"/>
              </w:rPr>
              <w:t xml:space="preserve">. bilo </w:t>
            </w:r>
            <w:r>
              <w:rPr>
                <w:rFonts w:ascii="Arial" w:eastAsia="Calibri" w:hAnsi="Arial" w:cs="Arial"/>
                <w:i/>
                <w:iCs/>
                <w:sz w:val="16"/>
                <w:szCs w:val="16"/>
              </w:rPr>
              <w:t>210</w:t>
            </w:r>
            <w:r w:rsidRPr="00676A9B">
              <w:rPr>
                <w:rFonts w:ascii="Arial" w:eastAsia="Calibri" w:hAnsi="Arial" w:cs="Arial"/>
                <w:i/>
                <w:iCs/>
                <w:sz w:val="16"/>
                <w:szCs w:val="16"/>
              </w:rPr>
              <w:t xml:space="preserve"> korisnika, dok je u lipnju bilo </w:t>
            </w:r>
            <w:r>
              <w:rPr>
                <w:rFonts w:ascii="Arial" w:eastAsia="Calibri" w:hAnsi="Arial" w:cs="Arial"/>
                <w:i/>
                <w:iCs/>
                <w:sz w:val="16"/>
                <w:szCs w:val="16"/>
              </w:rPr>
              <w:t>258</w:t>
            </w:r>
            <w:r w:rsidRPr="00676A9B">
              <w:rPr>
                <w:rFonts w:ascii="Arial" w:eastAsia="Calibri" w:hAnsi="Arial" w:cs="Arial"/>
                <w:i/>
                <w:iCs/>
                <w:sz w:val="16"/>
                <w:szCs w:val="16"/>
              </w:rPr>
              <w:t xml:space="preserve"> korisnika, a u </w:t>
            </w:r>
            <w:r>
              <w:rPr>
                <w:rFonts w:ascii="Arial" w:eastAsia="Calibri" w:hAnsi="Arial" w:cs="Arial"/>
                <w:i/>
                <w:iCs/>
                <w:sz w:val="16"/>
                <w:szCs w:val="16"/>
              </w:rPr>
              <w:t>rujnu</w:t>
            </w:r>
            <w:r w:rsidRPr="00676A9B">
              <w:rPr>
                <w:rFonts w:ascii="Arial" w:eastAsia="Calibri" w:hAnsi="Arial" w:cs="Arial"/>
                <w:i/>
                <w:iCs/>
                <w:sz w:val="16"/>
                <w:szCs w:val="16"/>
              </w:rPr>
              <w:t xml:space="preserve"> 202</w:t>
            </w:r>
            <w:r>
              <w:rPr>
                <w:rFonts w:ascii="Arial" w:eastAsia="Calibri" w:hAnsi="Arial" w:cs="Arial"/>
                <w:i/>
                <w:iCs/>
                <w:sz w:val="16"/>
                <w:szCs w:val="16"/>
              </w:rPr>
              <w:t>5</w:t>
            </w:r>
            <w:r w:rsidRPr="00676A9B">
              <w:rPr>
                <w:rFonts w:ascii="Arial" w:eastAsia="Calibri" w:hAnsi="Arial" w:cs="Arial"/>
                <w:i/>
                <w:iCs/>
                <w:sz w:val="16"/>
                <w:szCs w:val="16"/>
              </w:rPr>
              <w:t>. godine 2</w:t>
            </w:r>
            <w:r>
              <w:rPr>
                <w:rFonts w:ascii="Arial" w:eastAsia="Calibri" w:hAnsi="Arial" w:cs="Arial"/>
                <w:i/>
                <w:iCs/>
                <w:sz w:val="16"/>
                <w:szCs w:val="16"/>
              </w:rPr>
              <w:t>71</w:t>
            </w:r>
            <w:r w:rsidRPr="00676A9B">
              <w:rPr>
                <w:rFonts w:ascii="Arial" w:eastAsia="Calibri" w:hAnsi="Arial" w:cs="Arial"/>
                <w:i/>
                <w:iCs/>
                <w:sz w:val="16"/>
                <w:szCs w:val="16"/>
              </w:rPr>
              <w:t xml:space="preserve"> korisnik. Koncem 202</w:t>
            </w:r>
            <w:r>
              <w:rPr>
                <w:rFonts w:ascii="Arial" w:eastAsia="Calibri" w:hAnsi="Arial" w:cs="Arial"/>
                <w:i/>
                <w:iCs/>
                <w:sz w:val="16"/>
                <w:szCs w:val="16"/>
              </w:rPr>
              <w:t>5</w:t>
            </w:r>
            <w:r w:rsidRPr="00676A9B">
              <w:rPr>
                <w:rFonts w:ascii="Arial" w:eastAsia="Calibri" w:hAnsi="Arial" w:cs="Arial"/>
                <w:i/>
                <w:iCs/>
                <w:sz w:val="16"/>
                <w:szCs w:val="16"/>
              </w:rPr>
              <w:t xml:space="preserve">. je bilo </w:t>
            </w:r>
            <w:r>
              <w:rPr>
                <w:rFonts w:ascii="Arial" w:eastAsia="Calibri" w:hAnsi="Arial" w:cs="Arial"/>
                <w:i/>
                <w:iCs/>
                <w:sz w:val="16"/>
                <w:szCs w:val="16"/>
              </w:rPr>
              <w:t xml:space="preserve">256 </w:t>
            </w:r>
            <w:r w:rsidRPr="00676A9B">
              <w:rPr>
                <w:rFonts w:ascii="Arial" w:eastAsia="Calibri" w:hAnsi="Arial" w:cs="Arial"/>
                <w:i/>
                <w:iCs/>
                <w:sz w:val="16"/>
                <w:szCs w:val="16"/>
              </w:rPr>
              <w:t>korisnika.</w:t>
            </w:r>
          </w:p>
        </w:tc>
      </w:tr>
    </w:tbl>
    <w:p w14:paraId="14582F83"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162373D5"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Aktivnosti vezane uz opće ciljeve postignute su sukladno postocima izvršenja i u skladu s očekivanom dinamikom izvršenja rashoda.</w:t>
      </w:r>
      <w:r w:rsidRPr="00676A9B">
        <w:rPr>
          <w:rFonts w:ascii="Arial" w:eastAsia="Calibri" w:hAnsi="Arial" w:cs="Arial"/>
          <w:color w:val="FF0000"/>
          <w:sz w:val="20"/>
          <w:szCs w:val="20"/>
        </w:rPr>
        <w:br w:type="page"/>
      </w:r>
    </w:p>
    <w:p w14:paraId="691F718B" w14:textId="77777777" w:rsidR="00676A9B" w:rsidRPr="00676A9B" w:rsidRDefault="00676A9B" w:rsidP="00676A9B">
      <w:pPr>
        <w:keepNext/>
        <w:spacing w:after="0" w:line="240" w:lineRule="auto"/>
        <w:jc w:val="both"/>
        <w:outlineLvl w:val="2"/>
        <w:rPr>
          <w:rFonts w:ascii="Times New Roman" w:eastAsia="Calibri" w:hAnsi="Times New Roman" w:cs="Times New Roman"/>
          <w:b/>
          <w:sz w:val="24"/>
          <w:szCs w:val="20"/>
          <w:lang w:eastAsia="en-US"/>
        </w:rPr>
      </w:pPr>
      <w:bookmarkStart w:id="444" w:name="_Toc200628510"/>
      <w:bookmarkStart w:id="445" w:name="_Toc232981442"/>
      <w:r w:rsidRPr="00676A9B">
        <w:rPr>
          <w:rFonts w:ascii="Times New Roman" w:eastAsia="Calibri" w:hAnsi="Times New Roman" w:cs="Times New Roman"/>
          <w:b/>
          <w:sz w:val="24"/>
          <w:szCs w:val="20"/>
          <w:lang w:eastAsia="en-US"/>
        </w:rPr>
        <w:lastRenderedPageBreak/>
        <w:t>Program (2042): Zdravstvena zaštita</w:t>
      </w:r>
      <w:bookmarkEnd w:id="444"/>
      <w:bookmarkEnd w:id="445"/>
    </w:p>
    <w:p w14:paraId="7653C00D" w14:textId="77777777" w:rsidR="00676A9B" w:rsidRPr="00676A9B" w:rsidRDefault="00676A9B" w:rsidP="00676A9B">
      <w:pPr>
        <w:spacing w:after="0" w:line="240" w:lineRule="auto"/>
        <w:rPr>
          <w:rFonts w:ascii="Arial" w:eastAsia="Calibri" w:hAnsi="Arial" w:cs="Arial"/>
          <w:sz w:val="20"/>
          <w:szCs w:val="2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5"/>
        <w:gridCol w:w="12899"/>
      </w:tblGrid>
      <w:tr w:rsidR="00676A9B" w:rsidRPr="00676A9B" w14:paraId="6EA054BE" w14:textId="77777777" w:rsidTr="00410A4B">
        <w:tc>
          <w:tcPr>
            <w:tcW w:w="1555" w:type="dxa"/>
            <w:tcBorders>
              <w:top w:val="dotted" w:sz="4" w:space="0" w:color="auto"/>
              <w:left w:val="dotted" w:sz="4" w:space="0" w:color="auto"/>
              <w:bottom w:val="dotted" w:sz="4" w:space="0" w:color="auto"/>
              <w:right w:val="dotted" w:sz="4" w:space="0" w:color="auto"/>
            </w:tcBorders>
            <w:hideMark/>
          </w:tcPr>
          <w:p w14:paraId="05FBBBC5"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OPIS PROGRAMA:</w:t>
            </w:r>
          </w:p>
        </w:tc>
        <w:tc>
          <w:tcPr>
            <w:tcW w:w="12899" w:type="dxa"/>
            <w:tcBorders>
              <w:top w:val="dotted" w:sz="4" w:space="0" w:color="auto"/>
              <w:left w:val="dotted" w:sz="4" w:space="0" w:color="auto"/>
              <w:bottom w:val="dotted" w:sz="4" w:space="0" w:color="auto"/>
              <w:right w:val="dotted" w:sz="4" w:space="0" w:color="auto"/>
            </w:tcBorders>
            <w:hideMark/>
          </w:tcPr>
          <w:p w14:paraId="255F3096"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Ovaj program obuhvaća djelatnosti i poslove koji se odnose na unapređenje i očuvanje zdravlja, prevenciju bolesti svih dobnih skupina, edukaciju građana za zdrave životne izbore, ispitivanje i praćenje čimbenika štetnih za ljudsko zdravlje, prevenciju masovnih nezaraznih bolesti (srca, krvožilnog sustava, ovisnosti i drugo), te podizanje kvalitete zdravlja i života osjetljivih skupina (djeca i mladi, trudnice i starije osobe). </w:t>
            </w:r>
          </w:p>
          <w:p w14:paraId="4FD7B0ED"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Svrha programa je osigurati stanovništvu viši standard zdravstvene zaštite od onog koji svojim programom osigurava država. </w:t>
            </w:r>
          </w:p>
          <w:p w14:paraId="20AB440C"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Realizacija aktivnosti unutar ovog programa uredit će se sporazumima s nadležnim ustanovama, odnosno provoditeljima usluga, kojima će se utvrditi međusobna prava i obveze. </w:t>
            </w:r>
          </w:p>
          <w:p w14:paraId="655E52EE"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Povećanje zdravstvene zaštite i razine zdravlja cjelokupnog stanovništva.</w:t>
            </w:r>
          </w:p>
        </w:tc>
      </w:tr>
      <w:tr w:rsidR="00676A9B" w:rsidRPr="00676A9B" w14:paraId="7D94DC8A" w14:textId="77777777" w:rsidTr="00410A4B">
        <w:tc>
          <w:tcPr>
            <w:tcW w:w="1555" w:type="dxa"/>
            <w:tcBorders>
              <w:top w:val="dotted" w:sz="4" w:space="0" w:color="auto"/>
              <w:left w:val="dotted" w:sz="4" w:space="0" w:color="auto"/>
              <w:bottom w:val="dotted" w:sz="4" w:space="0" w:color="auto"/>
              <w:right w:val="dotted" w:sz="4" w:space="0" w:color="auto"/>
            </w:tcBorders>
            <w:hideMark/>
          </w:tcPr>
          <w:p w14:paraId="17DFE686" w14:textId="77777777" w:rsidR="00676A9B" w:rsidRPr="00676A9B" w:rsidRDefault="00676A9B" w:rsidP="00676A9B">
            <w:pPr>
              <w:spacing w:after="0" w:line="240" w:lineRule="auto"/>
              <w:jc w:val="both"/>
              <w:rPr>
                <w:rFonts w:ascii="Arial" w:eastAsia="Calibri" w:hAnsi="Arial" w:cs="Arial"/>
                <w:sz w:val="18"/>
                <w:szCs w:val="18"/>
                <w:lang w:eastAsia="en-US"/>
              </w:rPr>
            </w:pPr>
            <w:r w:rsidRPr="00676A9B">
              <w:rPr>
                <w:rFonts w:ascii="Arial" w:eastAsia="Calibri" w:hAnsi="Arial" w:cs="Arial"/>
                <w:sz w:val="18"/>
                <w:szCs w:val="18"/>
                <w:lang w:eastAsia="en-US"/>
              </w:rPr>
              <w:t>ZAKONSKE I DRUGE PRAVNE OSNOVE PROGRAMA:</w:t>
            </w:r>
          </w:p>
        </w:tc>
        <w:tc>
          <w:tcPr>
            <w:tcW w:w="12899" w:type="dxa"/>
            <w:tcBorders>
              <w:top w:val="dotted" w:sz="4" w:space="0" w:color="auto"/>
              <w:left w:val="dotted" w:sz="4" w:space="0" w:color="auto"/>
              <w:bottom w:val="dotted" w:sz="4" w:space="0" w:color="auto"/>
              <w:right w:val="dotted" w:sz="4" w:space="0" w:color="auto"/>
            </w:tcBorders>
            <w:hideMark/>
          </w:tcPr>
          <w:p w14:paraId="039B72EF" w14:textId="0F498E34"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rPr>
              <w:t>Zakon o lokalnoj i područnoj (regionalnoj) samoupravi (NN 33/01, 60/01,129/05, 109/07,125/08, 36/09, 150/11, 144/12, 19/13, 137/15, 123/17, 98/19, 144/20), Zakon o zdravstvenoj zaštiti (NN 100/18, 125/19, 147/20, 119/22, 156/22, 33/23, 36/24</w:t>
            </w:r>
            <w:r w:rsidR="0063300C">
              <w:rPr>
                <w:rFonts w:ascii="Arial" w:eastAsia="Times New Roman" w:hAnsi="Arial" w:cs="Arial"/>
                <w:sz w:val="20"/>
                <w:szCs w:val="20"/>
              </w:rPr>
              <w:t>, 102/25</w:t>
            </w:r>
            <w:r w:rsidRPr="00676A9B">
              <w:rPr>
                <w:rFonts w:ascii="Arial" w:eastAsia="Times New Roman" w:hAnsi="Arial" w:cs="Arial"/>
                <w:sz w:val="20"/>
                <w:szCs w:val="20"/>
              </w:rPr>
              <w:t xml:space="preserve">), Zakon o udrugama (NN </w:t>
            </w:r>
            <w:r w:rsidRPr="00676A9B">
              <w:rPr>
                <w:rFonts w:ascii="Arial" w:eastAsia="Times New Roman" w:hAnsi="Arial" w:cs="Arial"/>
                <w:sz w:val="20"/>
                <w:szCs w:val="20"/>
                <w:lang w:eastAsia="en-US"/>
              </w:rPr>
              <w:t>74/14, 70/17, 98/19, 151/22</w:t>
            </w:r>
            <w:r w:rsidRPr="00676A9B">
              <w:rPr>
                <w:rFonts w:ascii="Arial" w:eastAsia="Times New Roman" w:hAnsi="Arial" w:cs="Arial"/>
                <w:sz w:val="20"/>
                <w:szCs w:val="20"/>
              </w:rPr>
              <w:t>), Statut Općine i drugi akti</w:t>
            </w:r>
          </w:p>
        </w:tc>
      </w:tr>
      <w:tr w:rsidR="00676A9B" w:rsidRPr="00676A9B" w14:paraId="064ADE01" w14:textId="77777777" w:rsidTr="00410A4B">
        <w:tc>
          <w:tcPr>
            <w:tcW w:w="1555" w:type="dxa"/>
            <w:tcBorders>
              <w:top w:val="dotted" w:sz="4" w:space="0" w:color="auto"/>
              <w:left w:val="dotted" w:sz="4" w:space="0" w:color="auto"/>
              <w:bottom w:val="dotted" w:sz="4" w:space="0" w:color="auto"/>
              <w:right w:val="dotted" w:sz="4" w:space="0" w:color="auto"/>
            </w:tcBorders>
            <w:hideMark/>
          </w:tcPr>
          <w:p w14:paraId="52DD904B"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OPĆI CILJ:</w:t>
            </w:r>
          </w:p>
        </w:tc>
        <w:tc>
          <w:tcPr>
            <w:tcW w:w="12899" w:type="dxa"/>
            <w:tcBorders>
              <w:top w:val="dotted" w:sz="4" w:space="0" w:color="auto"/>
              <w:left w:val="dotted" w:sz="4" w:space="0" w:color="auto"/>
              <w:bottom w:val="dotted" w:sz="4" w:space="0" w:color="auto"/>
              <w:right w:val="dotted" w:sz="4" w:space="0" w:color="auto"/>
            </w:tcBorders>
            <w:hideMark/>
          </w:tcPr>
          <w:p w14:paraId="18F57852"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Povećanje zdravstvene zaštite i razine zdravlja stanovništva putem učinkovitog pružanja zdravstvene zaštite.</w:t>
            </w:r>
          </w:p>
          <w:p w14:paraId="1C15AAEC" w14:textId="77777777" w:rsidR="00676A9B" w:rsidRPr="00676A9B" w:rsidRDefault="00676A9B" w:rsidP="00676A9B">
            <w:pPr>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 xml:space="preserve">Unapređivanje i očuvanje zdravlja, prevencija bolesti, edukacija stanovništva za zdrave životne izbore. </w:t>
            </w:r>
          </w:p>
        </w:tc>
      </w:tr>
      <w:tr w:rsidR="00676A9B" w:rsidRPr="00676A9B" w14:paraId="23B004B6" w14:textId="77777777" w:rsidTr="00410A4B">
        <w:tc>
          <w:tcPr>
            <w:tcW w:w="1555" w:type="dxa"/>
            <w:tcBorders>
              <w:top w:val="dotted" w:sz="4" w:space="0" w:color="auto"/>
              <w:left w:val="dotted" w:sz="4" w:space="0" w:color="auto"/>
              <w:bottom w:val="dotted" w:sz="4" w:space="0" w:color="auto"/>
              <w:right w:val="dotted" w:sz="4" w:space="0" w:color="auto"/>
            </w:tcBorders>
            <w:vAlign w:val="bottom"/>
          </w:tcPr>
          <w:p w14:paraId="01337DAC"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POSEBNI CILJEVI:</w:t>
            </w:r>
          </w:p>
        </w:tc>
        <w:tc>
          <w:tcPr>
            <w:tcW w:w="12899" w:type="dxa"/>
            <w:tcBorders>
              <w:top w:val="dotted" w:sz="4" w:space="0" w:color="auto"/>
              <w:left w:val="dotted" w:sz="4" w:space="0" w:color="auto"/>
              <w:bottom w:val="dotted" w:sz="4" w:space="0" w:color="auto"/>
              <w:right w:val="dotted" w:sz="4" w:space="0" w:color="auto"/>
            </w:tcBorders>
            <w:vAlign w:val="bottom"/>
          </w:tcPr>
          <w:p w14:paraId="2F68D087"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Broj programa usmjerenih na poboljšanje zdravstvene zaštite građana koji se realiziraju u suradnji sa zdravstvenim ustanovama, ambulantama (specijalisti koji dolaze iz Opće bolnice Dubrovnik u ambulantu na području Općine koja je uređena općinskim sredstvima, Hitna medicinska pomoć smještena u Zračnoj luci Dubrovnik, ustanova koja obavlja laboratorijske usluge i dr.). </w:t>
            </w:r>
          </w:p>
          <w:p w14:paraId="6314A8DA"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Unapređenje i očuvanje zdravlja, prevencija bolesti svih dobnih skupina, edukacija svih građana za zdrave životne izbore, prevencija kroničnih masovnih nezaraznih bolesti (bolesti srca i krvožilnog sustava ...). Podizanje kvalitete zdravlja i života osjetljivih dobnih skupina, odnosno podizanje zdravstvenog standarda stanovništva općine.</w:t>
            </w:r>
          </w:p>
          <w:p w14:paraId="2A9EA86C"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Calibri" w:hAnsi="Arial" w:cs="Arial"/>
                <w:sz w:val="20"/>
                <w:szCs w:val="20"/>
                <w:lang w:eastAsia="en-US"/>
              </w:rPr>
              <w:t>Povećanjem razine zdravlja povećava se radna sposobnost stanovništva odnosno veći zdravstveni standard stanovništva ima za posljedicu dulji aktivan životni vijek.</w:t>
            </w:r>
          </w:p>
        </w:tc>
      </w:tr>
    </w:tbl>
    <w:p w14:paraId="32B18CEA" w14:textId="77777777" w:rsidR="00676A9B" w:rsidRPr="00676A9B" w:rsidRDefault="00676A9B" w:rsidP="00676A9B">
      <w:pPr>
        <w:spacing w:after="0" w:line="240" w:lineRule="auto"/>
        <w:jc w:val="both"/>
        <w:rPr>
          <w:rFonts w:ascii="Arial" w:eastAsia="Calibri" w:hAnsi="Arial" w:cs="Arial"/>
          <w:sz w:val="20"/>
          <w:szCs w:val="20"/>
          <w:lang w:eastAsia="en-US"/>
        </w:rPr>
      </w:pPr>
    </w:p>
    <w:p w14:paraId="6077BBD5"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676A9B">
        <w:rPr>
          <w:rFonts w:ascii="Arial" w:eastAsia="Calibri" w:hAnsi="Arial" w:cs="Arial"/>
          <w:b/>
          <w:sz w:val="20"/>
          <w:szCs w:val="20"/>
          <w:lang w:eastAsia="en-US"/>
        </w:rPr>
        <w:t>Procjena i ishodište potrebnih sredstava za aktivnosti unutar programa</w:t>
      </w:r>
    </w:p>
    <w:p w14:paraId="6C6DB783" w14:textId="77777777" w:rsidR="00676A9B" w:rsidRPr="00676A9B" w:rsidRDefault="00676A9B" w:rsidP="00676A9B">
      <w:pPr>
        <w:spacing w:after="0" w:line="240" w:lineRule="auto"/>
        <w:jc w:val="both"/>
        <w:rPr>
          <w:rFonts w:ascii="Arial" w:eastAsia="Calibri" w:hAnsi="Arial" w:cs="Arial"/>
          <w:sz w:val="20"/>
          <w:szCs w:val="20"/>
          <w:lang w:eastAsia="en-US"/>
        </w:rPr>
      </w:pPr>
    </w:p>
    <w:p w14:paraId="48261453" w14:textId="57E6E29A" w:rsidR="00676A9B" w:rsidRPr="00676A9B" w:rsidRDefault="008A16BA" w:rsidP="00676A9B">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77E6982E" w14:textId="77777777" w:rsidR="00676A9B" w:rsidRPr="00676A9B" w:rsidRDefault="00676A9B" w:rsidP="00676A9B">
      <w:pPr>
        <w:spacing w:after="0" w:line="240" w:lineRule="auto"/>
        <w:rPr>
          <w:rFonts w:ascii="Arial" w:eastAsia="Calibri" w:hAnsi="Arial" w:cs="Arial"/>
          <w:sz w:val="20"/>
          <w:szCs w:val="20"/>
        </w:rPr>
      </w:pPr>
    </w:p>
    <w:p w14:paraId="6469095B" w14:textId="77777777" w:rsidR="00676A9B" w:rsidRPr="00676A9B" w:rsidRDefault="00676A9B" w:rsidP="00676A9B">
      <w:pPr>
        <w:spacing w:after="0" w:line="240" w:lineRule="auto"/>
        <w:rPr>
          <w:rFonts w:ascii="Arial" w:eastAsia="Calibri" w:hAnsi="Arial" w:cs="Arial"/>
          <w:sz w:val="20"/>
          <w:szCs w:val="20"/>
        </w:rPr>
      </w:pPr>
    </w:p>
    <w:p w14:paraId="2C98D096" w14:textId="50F5C2E6" w:rsidR="00676A9B" w:rsidRPr="00676A9B" w:rsidRDefault="0063300C" w:rsidP="00676A9B">
      <w:pPr>
        <w:spacing w:after="0" w:line="240" w:lineRule="auto"/>
        <w:rPr>
          <w:rFonts w:ascii="Arial" w:eastAsia="Calibri" w:hAnsi="Arial" w:cs="Arial"/>
          <w:sz w:val="20"/>
          <w:szCs w:val="20"/>
        </w:rPr>
      </w:pPr>
      <w:r w:rsidRPr="0063300C">
        <w:rPr>
          <w:noProof/>
        </w:rPr>
        <w:lastRenderedPageBreak/>
        <w:drawing>
          <wp:inline distT="0" distB="0" distL="0" distR="0" wp14:anchorId="032E3015" wp14:editId="382F924A">
            <wp:extent cx="9251950" cy="2165350"/>
            <wp:effectExtent l="0" t="0" r="6350" b="6350"/>
            <wp:docPr id="67781677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9251950" cy="2165350"/>
                    </a:xfrm>
                    <a:prstGeom prst="rect">
                      <a:avLst/>
                    </a:prstGeom>
                    <a:noFill/>
                    <a:ln>
                      <a:noFill/>
                    </a:ln>
                  </pic:spPr>
                </pic:pic>
              </a:graphicData>
            </a:graphic>
          </wp:inline>
        </w:drawing>
      </w:r>
    </w:p>
    <w:p w14:paraId="7D86CCE0"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b/>
          <w:sz w:val="20"/>
          <w:szCs w:val="20"/>
          <w:lang w:eastAsia="en-US"/>
        </w:rPr>
        <w:t>RAZLOG ODSTUPANJA OD PROŠLOGODIŠNJIH PROJEKCIJA</w:t>
      </w:r>
      <w:r w:rsidRPr="00676A9B">
        <w:rPr>
          <w:rFonts w:ascii="Arial" w:eastAsia="Times New Roman" w:hAnsi="Arial" w:cs="Arial"/>
          <w:sz w:val="20"/>
          <w:szCs w:val="20"/>
          <w:lang w:eastAsia="en-US"/>
        </w:rPr>
        <w:t xml:space="preserve">: </w:t>
      </w:r>
    </w:p>
    <w:p w14:paraId="376EAB08"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sz w:val="20"/>
          <w:szCs w:val="20"/>
          <w:lang w:eastAsia="en-US"/>
        </w:rPr>
        <w:t>Po navedenom programu nije bilo značajnijih odstupanja.</w:t>
      </w:r>
    </w:p>
    <w:p w14:paraId="2BA41CE9" w14:textId="77777777" w:rsidR="00676A9B" w:rsidRPr="00676A9B" w:rsidRDefault="00676A9B" w:rsidP="00676A9B">
      <w:pPr>
        <w:spacing w:after="0" w:line="240" w:lineRule="auto"/>
        <w:jc w:val="both"/>
        <w:rPr>
          <w:rFonts w:ascii="Arial" w:eastAsia="Calibri" w:hAnsi="Arial" w:cs="Arial"/>
          <w:sz w:val="20"/>
          <w:szCs w:val="20"/>
          <w:lang w:eastAsia="en-US"/>
        </w:rPr>
      </w:pPr>
    </w:p>
    <w:p w14:paraId="51F5E9AA" w14:textId="77777777" w:rsidR="00676A9B" w:rsidRPr="00676A9B" w:rsidRDefault="00676A9B" w:rsidP="00676A9B">
      <w:pPr>
        <w:spacing w:after="0" w:line="240" w:lineRule="auto"/>
        <w:jc w:val="both"/>
        <w:rPr>
          <w:rFonts w:ascii="Arial" w:eastAsia="Calibri" w:hAnsi="Arial" w:cs="Arial"/>
          <w:i/>
          <w:sz w:val="20"/>
          <w:szCs w:val="20"/>
          <w:lang w:eastAsia="en-US"/>
        </w:rPr>
      </w:pPr>
      <w:r w:rsidRPr="00676A9B">
        <w:rPr>
          <w:rFonts w:ascii="Arial" w:eastAsia="Calibri" w:hAnsi="Arial" w:cs="Arial"/>
          <w:b/>
          <w:sz w:val="20"/>
          <w:szCs w:val="20"/>
          <w:lang w:eastAsia="en-US"/>
        </w:rPr>
        <w:t>Ishodište i pokazatelji na kojima se zasnivaju izračuni i ocjene</w:t>
      </w:r>
      <w:r w:rsidRPr="00676A9B">
        <w:rPr>
          <w:rFonts w:ascii="Arial" w:eastAsia="Calibri" w:hAnsi="Arial" w:cs="Arial"/>
          <w:sz w:val="20"/>
          <w:szCs w:val="20"/>
          <w:lang w:eastAsia="en-US"/>
        </w:rPr>
        <w:t xml:space="preserve"> </w:t>
      </w:r>
      <w:r w:rsidRPr="00676A9B">
        <w:rPr>
          <w:rFonts w:ascii="Arial" w:eastAsia="Calibri" w:hAnsi="Arial" w:cs="Arial"/>
          <w:b/>
          <w:sz w:val="20"/>
          <w:szCs w:val="20"/>
          <w:lang w:eastAsia="en-US"/>
        </w:rPr>
        <w:t>potrebnih sredstava za provođenje programa:</w:t>
      </w:r>
      <w:r w:rsidRPr="00676A9B">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6212027C" w14:textId="77777777" w:rsidR="00676A9B" w:rsidRPr="00676A9B" w:rsidRDefault="00676A9B" w:rsidP="00676A9B">
      <w:pPr>
        <w:shd w:val="clear" w:color="auto" w:fill="FFFFFF"/>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Izvještaj o postignutim ciljevima i rezultatima programa temeljenim na pokazateljima uspješnosti u prethodnoj godini</w:t>
      </w:r>
      <w:r w:rsidRPr="00676A9B">
        <w:rPr>
          <w:rFonts w:ascii="Arial" w:eastAsia="Calibri" w:hAnsi="Arial" w:cs="Arial"/>
          <w:sz w:val="20"/>
          <w:szCs w:val="20"/>
          <w:lang w:eastAsia="en-US"/>
        </w:rPr>
        <w:t>: Izvršenje je u okviru očekivanih vrijednosti.</w:t>
      </w:r>
    </w:p>
    <w:p w14:paraId="67F6462E" w14:textId="77777777" w:rsidR="00676A9B" w:rsidRPr="00676A9B" w:rsidRDefault="00676A9B" w:rsidP="00676A9B">
      <w:pPr>
        <w:shd w:val="clear" w:color="auto" w:fill="FFFFFF"/>
        <w:spacing w:after="0" w:line="240" w:lineRule="auto"/>
        <w:jc w:val="both"/>
        <w:rPr>
          <w:rFonts w:ascii="Calibri" w:eastAsia="Times New Roman" w:hAnsi="Calibri" w:cs="Calibri"/>
          <w:b/>
          <w:sz w:val="24"/>
          <w:szCs w:val="24"/>
          <w:lang w:eastAsia="en-US"/>
        </w:rPr>
      </w:pPr>
    </w:p>
    <w:p w14:paraId="6DEF4B91" w14:textId="2E8607D9" w:rsidR="00676A9B" w:rsidRPr="00676A9B" w:rsidRDefault="0063300C" w:rsidP="00676A9B">
      <w:pPr>
        <w:spacing w:after="0" w:line="240" w:lineRule="auto"/>
        <w:jc w:val="both"/>
        <w:rPr>
          <w:rFonts w:ascii="Arial" w:eastAsia="Calibri" w:hAnsi="Arial" w:cs="Arial"/>
          <w:sz w:val="20"/>
          <w:szCs w:val="20"/>
          <w:lang w:eastAsia="en-US"/>
        </w:rPr>
      </w:pPr>
      <w:r w:rsidRPr="0063300C">
        <w:rPr>
          <w:rFonts w:ascii="Arial" w:eastAsia="Calibri" w:hAnsi="Arial" w:cs="Arial"/>
          <w:sz w:val="20"/>
          <w:szCs w:val="20"/>
          <w:lang w:eastAsia="en-US"/>
        </w:rPr>
        <w:t xml:space="preserve">Ukupno planirana sredstva na razini programa 2042 iznose </w:t>
      </w:r>
      <w:r>
        <w:rPr>
          <w:rFonts w:ascii="Arial" w:eastAsia="Calibri" w:hAnsi="Arial" w:cs="Arial"/>
          <w:sz w:val="20"/>
          <w:szCs w:val="20"/>
          <w:lang w:eastAsia="en-US"/>
        </w:rPr>
        <w:t>93.340</w:t>
      </w:r>
      <w:r w:rsidRPr="0063300C">
        <w:rPr>
          <w:rFonts w:ascii="Arial" w:eastAsia="Calibri" w:hAnsi="Arial" w:cs="Arial"/>
          <w:sz w:val="20"/>
          <w:szCs w:val="20"/>
          <w:lang w:eastAsia="en-US"/>
        </w:rPr>
        <w:t xml:space="preserve"> € za 2025. godinu, odnosno 96.200 € za 2026. godinu i 97.200 € za 2027. godinu. </w:t>
      </w:r>
    </w:p>
    <w:p w14:paraId="1032F95B" w14:textId="2CDAF362" w:rsidR="00676A9B" w:rsidRPr="00676A9B" w:rsidRDefault="00676A9B" w:rsidP="00676A9B">
      <w:pPr>
        <w:spacing w:after="0" w:line="240" w:lineRule="auto"/>
        <w:rPr>
          <w:rFonts w:ascii="Arial" w:eastAsia="Calibri" w:hAnsi="Arial" w:cs="Arial"/>
          <w:sz w:val="20"/>
          <w:szCs w:val="20"/>
        </w:rPr>
      </w:pPr>
      <w:r w:rsidRPr="00676A9B">
        <w:rPr>
          <w:rFonts w:ascii="Arial" w:eastAsia="Calibri" w:hAnsi="Arial" w:cs="Arial"/>
          <w:sz w:val="20"/>
          <w:szCs w:val="20"/>
        </w:rPr>
        <w:t>Izvršenje za 202</w:t>
      </w:r>
      <w:r w:rsidR="0063300C">
        <w:rPr>
          <w:rFonts w:ascii="Arial" w:eastAsia="Calibri" w:hAnsi="Arial" w:cs="Arial"/>
          <w:sz w:val="20"/>
          <w:szCs w:val="20"/>
        </w:rPr>
        <w:t>5</w:t>
      </w:r>
      <w:r w:rsidRPr="00676A9B">
        <w:rPr>
          <w:rFonts w:ascii="Arial" w:eastAsia="Calibri" w:hAnsi="Arial" w:cs="Arial"/>
          <w:sz w:val="20"/>
          <w:szCs w:val="20"/>
        </w:rPr>
        <w:t xml:space="preserve">. iznosi </w:t>
      </w:r>
      <w:r w:rsidR="0063300C">
        <w:rPr>
          <w:rFonts w:ascii="Arial" w:eastAsia="Calibri" w:hAnsi="Arial" w:cs="Arial"/>
          <w:sz w:val="20"/>
          <w:szCs w:val="20"/>
        </w:rPr>
        <w:t>70.860,97</w:t>
      </w:r>
      <w:r w:rsidRPr="00676A9B">
        <w:rPr>
          <w:rFonts w:ascii="Arial" w:eastAsia="Calibri" w:hAnsi="Arial" w:cs="Arial"/>
          <w:sz w:val="20"/>
          <w:szCs w:val="20"/>
        </w:rPr>
        <w:t xml:space="preserve"> €, te je program izvršen u visini </w:t>
      </w:r>
      <w:r w:rsidR="0063300C">
        <w:rPr>
          <w:rFonts w:ascii="Arial" w:eastAsia="Calibri" w:hAnsi="Arial" w:cs="Arial"/>
          <w:sz w:val="20"/>
          <w:szCs w:val="20"/>
        </w:rPr>
        <w:t>75</w:t>
      </w:r>
      <w:r w:rsidRPr="00676A9B">
        <w:rPr>
          <w:rFonts w:ascii="Arial" w:eastAsia="Calibri" w:hAnsi="Arial" w:cs="Arial"/>
          <w:sz w:val="20"/>
          <w:szCs w:val="20"/>
        </w:rPr>
        <w:t>,9%.</w:t>
      </w:r>
    </w:p>
    <w:p w14:paraId="0E94DF52" w14:textId="77777777" w:rsidR="00676A9B" w:rsidRPr="00676A9B" w:rsidRDefault="00676A9B" w:rsidP="00676A9B">
      <w:pPr>
        <w:spacing w:after="0" w:line="240" w:lineRule="auto"/>
        <w:rPr>
          <w:rFonts w:ascii="Arial" w:eastAsia="Calibri" w:hAnsi="Arial" w:cs="Arial"/>
          <w:sz w:val="20"/>
          <w:szCs w:val="20"/>
        </w:rPr>
      </w:pPr>
    </w:p>
    <w:p w14:paraId="0047F64E"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676A9B">
        <w:rPr>
          <w:rFonts w:ascii="Arial" w:eastAsia="Calibri" w:hAnsi="Arial" w:cs="Arial"/>
          <w:b/>
          <w:sz w:val="20"/>
          <w:szCs w:val="20"/>
          <w:lang w:eastAsia="en-US"/>
        </w:rPr>
        <w:t>Obrazloženje aktivnosti / projekata i pokazatelji uspješnosti</w:t>
      </w:r>
    </w:p>
    <w:p w14:paraId="63C0B393" w14:textId="77777777" w:rsidR="00676A9B" w:rsidRPr="00676A9B" w:rsidRDefault="00676A9B" w:rsidP="00676A9B">
      <w:pPr>
        <w:spacing w:after="0" w:line="240" w:lineRule="auto"/>
        <w:jc w:val="both"/>
        <w:rPr>
          <w:rFonts w:ascii="Arial" w:eastAsia="Calibri" w:hAnsi="Arial" w:cs="Arial"/>
          <w:sz w:val="20"/>
          <w:szCs w:val="20"/>
          <w:lang w:eastAsia="en-US"/>
        </w:rPr>
      </w:pPr>
    </w:p>
    <w:p w14:paraId="72B5F2CE" w14:textId="77777777" w:rsidR="00676A9B" w:rsidRPr="00676A9B" w:rsidRDefault="00676A9B" w:rsidP="00676A9B">
      <w:pPr>
        <w:spacing w:after="0" w:line="240" w:lineRule="auto"/>
        <w:rPr>
          <w:rFonts w:ascii="Arial" w:eastAsia="Calibri" w:hAnsi="Arial" w:cs="Arial"/>
          <w:sz w:val="20"/>
          <w:szCs w:val="20"/>
        </w:rPr>
      </w:pPr>
      <w:r w:rsidRPr="00676A9B">
        <w:rPr>
          <w:rFonts w:ascii="Arial" w:eastAsia="Calibri" w:hAnsi="Arial" w:cs="Arial"/>
          <w:sz w:val="20"/>
          <w:szCs w:val="20"/>
        </w:rPr>
        <w:t>Unutar programa izvode se slijedeće aktivnosti i projekti:</w:t>
      </w:r>
    </w:p>
    <w:p w14:paraId="4930C059" w14:textId="77777777" w:rsidR="00676A9B" w:rsidRPr="00676A9B" w:rsidRDefault="00676A9B" w:rsidP="00676A9B">
      <w:pPr>
        <w:spacing w:after="0" w:line="240" w:lineRule="auto"/>
        <w:rPr>
          <w:rFonts w:ascii="Arial" w:eastAsia="Calibri" w:hAnsi="Arial" w:cs="Arial"/>
          <w:sz w:val="20"/>
          <w:szCs w:val="20"/>
        </w:rPr>
      </w:pPr>
    </w:p>
    <w:p w14:paraId="6E4FE561" w14:textId="34DE2F8F"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1. A204201: Socijalno zdravstvena prevencija i zaštita stanovništva - laboratorijske usluge</w:t>
      </w:r>
      <w:r w:rsidRPr="00676A9B">
        <w:rPr>
          <w:rFonts w:ascii="Arial" w:eastAsia="Calibri" w:hAnsi="Arial" w:cs="Arial"/>
          <w:sz w:val="20"/>
          <w:szCs w:val="20"/>
          <w:lang w:eastAsia="en-US"/>
        </w:rPr>
        <w:t xml:space="preserve"> - u sklopu navedene aktivnosti su rashodi za obavljene laboratorijske usluge u skladu s programom socijalno zdravstvenih potreba (laboratorijske usluge u zdravstvenim ambulantama Cavtat i Gruda na temelju zaključenog ugovora s pružateljem usluga i ispostavljenih računa). Planirana sredstva za provođenje navedene aktivnosti iznose </w:t>
      </w:r>
      <w:r w:rsidR="0063300C">
        <w:rPr>
          <w:rFonts w:ascii="Arial" w:eastAsia="Calibri" w:hAnsi="Arial" w:cs="Arial"/>
          <w:sz w:val="20"/>
          <w:szCs w:val="20"/>
          <w:lang w:eastAsia="en-US"/>
        </w:rPr>
        <w:t>3</w:t>
      </w:r>
      <w:r w:rsidRPr="00676A9B">
        <w:rPr>
          <w:rFonts w:ascii="Arial" w:eastAsia="Calibri" w:hAnsi="Arial" w:cs="Arial"/>
          <w:sz w:val="20"/>
          <w:szCs w:val="20"/>
          <w:lang w:eastAsia="en-US"/>
        </w:rPr>
        <w:t xml:space="preserve">0.000 €. </w:t>
      </w:r>
    </w:p>
    <w:p w14:paraId="0A1FAC48"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Ugovor se zaključuje s ustanovom za zdravstvenu skrb koncem godine za sljedeću proračunsku godinu.</w:t>
      </w:r>
    </w:p>
    <w:p w14:paraId="7C210B50" w14:textId="77777777" w:rsidR="00676A9B" w:rsidRPr="00676A9B" w:rsidRDefault="00676A9B" w:rsidP="00676A9B">
      <w:pPr>
        <w:spacing w:after="0" w:line="240" w:lineRule="auto"/>
        <w:jc w:val="both"/>
        <w:rPr>
          <w:rFonts w:ascii="Arial" w:eastAsia="Calibri" w:hAnsi="Arial" w:cs="Arial"/>
          <w:b/>
          <w:sz w:val="20"/>
          <w:szCs w:val="20"/>
          <w:lang w:eastAsia="en-US"/>
        </w:rPr>
      </w:pPr>
    </w:p>
    <w:p w14:paraId="1ABBEF01" w14:textId="0B8A844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Ugovor je zaključen s Ustanovom za zdravstvenu skrb Glavić u siječnju 202</w:t>
      </w:r>
      <w:r w:rsidR="0063300C">
        <w:rPr>
          <w:rFonts w:ascii="Arial" w:eastAsia="Calibri" w:hAnsi="Arial" w:cs="Arial"/>
          <w:sz w:val="20"/>
          <w:szCs w:val="20"/>
        </w:rPr>
        <w:t>5</w:t>
      </w:r>
      <w:r w:rsidRPr="00676A9B">
        <w:rPr>
          <w:rFonts w:ascii="Arial" w:eastAsia="Calibri" w:hAnsi="Arial" w:cs="Arial"/>
          <w:sz w:val="20"/>
          <w:szCs w:val="20"/>
        </w:rPr>
        <w:t xml:space="preserve">. u iznosu 19.112,04 €. </w:t>
      </w:r>
    </w:p>
    <w:p w14:paraId="36CCC56B" w14:textId="77777777" w:rsidR="00676A9B" w:rsidRPr="00676A9B" w:rsidRDefault="00676A9B" w:rsidP="00676A9B">
      <w:pPr>
        <w:spacing w:after="0" w:line="240" w:lineRule="auto"/>
        <w:jc w:val="both"/>
        <w:rPr>
          <w:rFonts w:ascii="Arial" w:eastAsia="Calibri" w:hAnsi="Arial" w:cs="Arial"/>
          <w:sz w:val="20"/>
          <w:szCs w:val="20"/>
        </w:rPr>
      </w:pPr>
    </w:p>
    <w:p w14:paraId="68BE5B5B" w14:textId="3AD2840E"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lang w:eastAsia="en-US"/>
        </w:rPr>
        <w:t>2. A204202: Program financiranja rada specijalističke ambulante – fizijatrija, logoped, stomatolog, obiteljski i sl.</w:t>
      </w:r>
      <w:r w:rsidRPr="00676A9B">
        <w:rPr>
          <w:rFonts w:ascii="Arial" w:eastAsia="Calibri" w:hAnsi="Arial" w:cs="Arial"/>
          <w:sz w:val="20"/>
          <w:szCs w:val="20"/>
          <w:lang w:eastAsia="en-US"/>
        </w:rPr>
        <w:t xml:space="preserve"> - u sklopu navedene aktivnosti su rashodi za sufinanciranje rada specijalističke ambulante (rad liječnika specijalista – fizijatar, stomatolog i sl.). Planirana sredstva za provođenje navedene aktivnosti iznose </w:t>
      </w:r>
      <w:r w:rsidR="0063300C">
        <w:rPr>
          <w:rFonts w:ascii="Arial" w:eastAsia="Calibri" w:hAnsi="Arial" w:cs="Arial"/>
          <w:sz w:val="20"/>
          <w:szCs w:val="20"/>
          <w:lang w:eastAsia="en-US"/>
        </w:rPr>
        <w:t>20.700</w:t>
      </w:r>
      <w:r w:rsidRPr="00676A9B">
        <w:rPr>
          <w:rFonts w:ascii="Arial" w:eastAsia="Calibri" w:hAnsi="Arial" w:cs="Arial"/>
          <w:sz w:val="20"/>
          <w:szCs w:val="20"/>
          <w:lang w:eastAsia="en-US"/>
        </w:rPr>
        <w:t xml:space="preserve"> €. </w:t>
      </w:r>
      <w:r w:rsidRPr="00676A9B">
        <w:rPr>
          <w:rFonts w:ascii="Arial" w:eastAsia="Calibri" w:hAnsi="Arial" w:cs="Arial"/>
          <w:sz w:val="20"/>
          <w:szCs w:val="20"/>
        </w:rPr>
        <w:t xml:space="preserve">Rashodi su izvršeni u iznosu </w:t>
      </w:r>
      <w:r w:rsidR="0063300C">
        <w:rPr>
          <w:rFonts w:ascii="Arial" w:eastAsia="Calibri" w:hAnsi="Arial" w:cs="Arial"/>
          <w:sz w:val="20"/>
          <w:szCs w:val="20"/>
        </w:rPr>
        <w:t>17.110</w:t>
      </w:r>
      <w:r w:rsidRPr="00676A9B">
        <w:rPr>
          <w:rFonts w:ascii="Arial" w:eastAsia="Calibri" w:hAnsi="Arial" w:cs="Arial"/>
          <w:sz w:val="20"/>
          <w:szCs w:val="20"/>
        </w:rPr>
        <w:t xml:space="preserve"> € ili </w:t>
      </w:r>
      <w:r w:rsidR="0063300C">
        <w:rPr>
          <w:rFonts w:ascii="Arial" w:eastAsia="Calibri" w:hAnsi="Arial" w:cs="Arial"/>
          <w:sz w:val="20"/>
          <w:szCs w:val="20"/>
        </w:rPr>
        <w:t>82,7</w:t>
      </w:r>
      <w:r w:rsidRPr="00676A9B">
        <w:rPr>
          <w:rFonts w:ascii="Arial" w:eastAsia="Calibri" w:hAnsi="Arial" w:cs="Arial"/>
          <w:sz w:val="20"/>
          <w:szCs w:val="20"/>
        </w:rPr>
        <w:t>% plana.</w:t>
      </w:r>
    </w:p>
    <w:p w14:paraId="69C3A8D1" w14:textId="77777777" w:rsidR="00676A9B" w:rsidRPr="00676A9B" w:rsidRDefault="00676A9B" w:rsidP="00676A9B">
      <w:pPr>
        <w:spacing w:after="0" w:line="240" w:lineRule="auto"/>
        <w:jc w:val="both"/>
        <w:rPr>
          <w:rFonts w:ascii="Arial" w:eastAsia="Calibri" w:hAnsi="Arial" w:cs="Arial"/>
          <w:sz w:val="20"/>
          <w:szCs w:val="20"/>
          <w:lang w:eastAsia="en-US"/>
        </w:rPr>
      </w:pPr>
    </w:p>
    <w:p w14:paraId="71D6E3ED" w14:textId="77777777" w:rsidR="0063300C" w:rsidRPr="0063300C" w:rsidRDefault="0063300C" w:rsidP="0063300C">
      <w:pPr>
        <w:spacing w:after="0" w:line="240" w:lineRule="auto"/>
        <w:jc w:val="both"/>
        <w:rPr>
          <w:rFonts w:ascii="Arial" w:eastAsia="Calibri" w:hAnsi="Arial" w:cs="Arial"/>
          <w:sz w:val="20"/>
          <w:szCs w:val="20"/>
          <w:lang w:eastAsia="en-US"/>
        </w:rPr>
      </w:pPr>
      <w:bookmarkStart w:id="446" w:name="_Hlk166148788"/>
      <w:r w:rsidRPr="0063300C">
        <w:rPr>
          <w:rFonts w:ascii="Arial" w:eastAsia="Calibri" w:hAnsi="Arial" w:cs="Arial"/>
          <w:sz w:val="20"/>
          <w:szCs w:val="20"/>
          <w:lang w:eastAsia="en-US"/>
        </w:rPr>
        <w:lastRenderedPageBreak/>
        <w:t xml:space="preserve">Ugovorom za 2025. iz siječnja 2025. godine je utvrđeno sufinanciranje plaće fizijatra u iznosu 650 € mjesečno, sufinanciranje rada zubne ambulante u prostorijama osnovne škole 265 € i sufinanciranje 50% plaće čistačice u ambulanti na Grudi 350 € mjesečno (sveukupno mjesečno 1.265 €). </w:t>
      </w:r>
    </w:p>
    <w:p w14:paraId="636BDC41" w14:textId="5BF2F71A" w:rsidR="00676A9B" w:rsidRDefault="0063300C" w:rsidP="0063300C">
      <w:pPr>
        <w:spacing w:after="0" w:line="240" w:lineRule="auto"/>
        <w:jc w:val="both"/>
        <w:rPr>
          <w:rFonts w:ascii="Arial" w:eastAsia="Calibri" w:hAnsi="Arial" w:cs="Arial"/>
          <w:sz w:val="20"/>
          <w:szCs w:val="20"/>
          <w:lang w:eastAsia="en-US"/>
        </w:rPr>
      </w:pPr>
      <w:r w:rsidRPr="0063300C">
        <w:rPr>
          <w:rFonts w:ascii="Arial" w:eastAsia="Calibri" w:hAnsi="Arial" w:cs="Arial"/>
          <w:sz w:val="20"/>
          <w:szCs w:val="20"/>
          <w:lang w:eastAsia="en-US"/>
        </w:rPr>
        <w:t>Izmjenama ugovora iz veljače 2025. te lipnja 2025. ugovorene su usluge specijalista fizijatra u iznosu 800 € bruto, te sufinanciranje rada zubne ambulante 300 € mjesečno.</w:t>
      </w:r>
    </w:p>
    <w:p w14:paraId="6D6BEFD5" w14:textId="77777777" w:rsidR="0063300C" w:rsidRPr="00676A9B" w:rsidRDefault="0063300C" w:rsidP="0063300C">
      <w:pPr>
        <w:spacing w:after="0" w:line="240" w:lineRule="auto"/>
        <w:jc w:val="both"/>
        <w:rPr>
          <w:rFonts w:ascii="Arial" w:eastAsia="Calibri" w:hAnsi="Arial" w:cs="Arial"/>
          <w:sz w:val="20"/>
          <w:szCs w:val="20"/>
        </w:rPr>
      </w:pPr>
    </w:p>
    <w:bookmarkEnd w:id="446"/>
    <w:p w14:paraId="3BED955C" w14:textId="2DCADC8F"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3. A204203: Program financiranja rada specijalističke ambulante – kardiologija </w:t>
      </w:r>
      <w:r w:rsidRPr="00676A9B">
        <w:rPr>
          <w:rFonts w:ascii="Arial" w:eastAsia="Calibri" w:hAnsi="Arial" w:cs="Arial"/>
          <w:sz w:val="20"/>
          <w:szCs w:val="20"/>
          <w:lang w:eastAsia="en-US"/>
        </w:rPr>
        <w:t xml:space="preserve">- u sklopu navedene aktivnosti su rashodi za sufinanciranje rada specijalističke ambulante kardiologije Gruda. </w:t>
      </w:r>
      <w:bookmarkStart w:id="447" w:name="_Hlk198885191"/>
      <w:r w:rsidRPr="00676A9B">
        <w:rPr>
          <w:rFonts w:ascii="Arial" w:eastAsia="Calibri" w:hAnsi="Arial" w:cs="Arial"/>
          <w:sz w:val="20"/>
          <w:szCs w:val="20"/>
          <w:lang w:eastAsia="en-US"/>
        </w:rPr>
        <w:t xml:space="preserve">Planirana sredstva za provođenje navedene aktivnosti iznose </w:t>
      </w:r>
      <w:r w:rsidR="0063300C">
        <w:rPr>
          <w:rFonts w:ascii="Arial" w:eastAsia="Calibri" w:hAnsi="Arial" w:cs="Arial"/>
          <w:sz w:val="20"/>
          <w:szCs w:val="20"/>
          <w:lang w:eastAsia="en-US"/>
        </w:rPr>
        <w:t>34.640</w:t>
      </w:r>
      <w:r w:rsidRPr="00676A9B">
        <w:rPr>
          <w:rFonts w:ascii="Arial" w:eastAsia="Calibri" w:hAnsi="Arial" w:cs="Arial"/>
          <w:sz w:val="20"/>
          <w:szCs w:val="20"/>
          <w:lang w:eastAsia="en-US"/>
        </w:rPr>
        <w:t xml:space="preserve"> €. Rashodi su izvršeni u iznosu </w:t>
      </w:r>
      <w:r w:rsidR="0063300C">
        <w:rPr>
          <w:rFonts w:ascii="Arial" w:eastAsia="Calibri" w:hAnsi="Arial" w:cs="Arial"/>
          <w:sz w:val="20"/>
          <w:szCs w:val="20"/>
          <w:lang w:eastAsia="en-US"/>
        </w:rPr>
        <w:t>34.638,93</w:t>
      </w:r>
      <w:r w:rsidRPr="00676A9B">
        <w:rPr>
          <w:rFonts w:ascii="Arial" w:eastAsia="Calibri" w:hAnsi="Arial" w:cs="Arial"/>
          <w:sz w:val="20"/>
          <w:szCs w:val="20"/>
          <w:lang w:eastAsia="en-US"/>
        </w:rPr>
        <w:t xml:space="preserve"> € ili </w:t>
      </w:r>
      <w:r w:rsidR="0063300C">
        <w:rPr>
          <w:rFonts w:ascii="Arial" w:eastAsia="Calibri" w:hAnsi="Arial" w:cs="Arial"/>
          <w:sz w:val="20"/>
          <w:szCs w:val="20"/>
          <w:lang w:eastAsia="en-US"/>
        </w:rPr>
        <w:t>100</w:t>
      </w:r>
      <w:r w:rsidRPr="00676A9B">
        <w:rPr>
          <w:rFonts w:ascii="Arial" w:eastAsia="Calibri" w:hAnsi="Arial" w:cs="Arial"/>
          <w:sz w:val="20"/>
          <w:szCs w:val="20"/>
          <w:lang w:eastAsia="en-US"/>
        </w:rPr>
        <w:t xml:space="preserve"> % plana.</w:t>
      </w:r>
    </w:p>
    <w:p w14:paraId="2487CBE8" w14:textId="77777777" w:rsidR="00676A9B" w:rsidRPr="00676A9B" w:rsidRDefault="00676A9B" w:rsidP="00676A9B">
      <w:pPr>
        <w:spacing w:after="0" w:line="240" w:lineRule="auto"/>
        <w:jc w:val="both"/>
        <w:rPr>
          <w:rFonts w:ascii="Arial" w:eastAsia="Calibri" w:hAnsi="Arial" w:cs="Arial"/>
          <w:sz w:val="20"/>
          <w:szCs w:val="20"/>
          <w:lang w:eastAsia="en-US"/>
        </w:rPr>
      </w:pPr>
    </w:p>
    <w:p w14:paraId="6D5E4D53" w14:textId="3A9935B5" w:rsidR="00676A9B" w:rsidRDefault="0063300C" w:rsidP="00676A9B">
      <w:pPr>
        <w:spacing w:after="0" w:line="240" w:lineRule="auto"/>
        <w:jc w:val="both"/>
        <w:rPr>
          <w:rFonts w:ascii="Arial" w:eastAsia="Calibri" w:hAnsi="Arial" w:cs="Arial"/>
          <w:sz w:val="20"/>
          <w:szCs w:val="20"/>
          <w:lang w:eastAsia="en-US"/>
        </w:rPr>
      </w:pPr>
      <w:r w:rsidRPr="0063300C">
        <w:rPr>
          <w:rFonts w:ascii="Arial" w:eastAsia="Calibri" w:hAnsi="Arial" w:cs="Arial"/>
          <w:sz w:val="20"/>
          <w:szCs w:val="20"/>
          <w:lang w:eastAsia="en-US"/>
        </w:rPr>
        <w:t>Ovi rashodi se izvršavaju na temelju zaključenog ugovora o djelu s pružateljem usluga (doktor i medicinska sestra), kao i rashoda za materijalne troškove ambulante. Za 2025. godinu rad internističke ambulante jednom tjedno je ugovoren uz neto naknadu liječnika 250 €, te neto naknadu medicinskoj sestri 150 € za odrađeni dan.</w:t>
      </w:r>
    </w:p>
    <w:p w14:paraId="0E27EC21" w14:textId="77777777" w:rsidR="0063300C" w:rsidRPr="00676A9B" w:rsidRDefault="0063300C" w:rsidP="00676A9B">
      <w:pPr>
        <w:spacing w:after="0" w:line="240" w:lineRule="auto"/>
        <w:jc w:val="both"/>
        <w:rPr>
          <w:rFonts w:ascii="Arial" w:eastAsia="Calibri" w:hAnsi="Arial" w:cs="Arial"/>
          <w:sz w:val="20"/>
          <w:szCs w:val="20"/>
        </w:rPr>
      </w:pPr>
    </w:p>
    <w:bookmarkEnd w:id="447"/>
    <w:p w14:paraId="20DEC7AF" w14:textId="49612C1F" w:rsidR="0063300C"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 xml:space="preserve">4. A204204: Sufinanciranje rada Hitne medicinske pomoći </w:t>
      </w:r>
      <w:r w:rsidRPr="00676A9B">
        <w:rPr>
          <w:rFonts w:ascii="Arial" w:eastAsia="Calibri" w:hAnsi="Arial" w:cs="Arial"/>
          <w:sz w:val="20"/>
          <w:szCs w:val="20"/>
          <w:lang w:eastAsia="en-US"/>
        </w:rPr>
        <w:t xml:space="preserve">- u sklopu navedene aktivnosti </w:t>
      </w:r>
      <w:r w:rsidR="0063300C">
        <w:rPr>
          <w:rFonts w:ascii="Arial" w:eastAsia="Calibri" w:hAnsi="Arial" w:cs="Arial"/>
          <w:sz w:val="20"/>
          <w:szCs w:val="20"/>
          <w:lang w:eastAsia="en-US"/>
        </w:rPr>
        <w:t xml:space="preserve">ranijih godina su izvršavani </w:t>
      </w:r>
      <w:r w:rsidRPr="00676A9B">
        <w:rPr>
          <w:rFonts w:ascii="Arial" w:eastAsia="Calibri" w:hAnsi="Arial" w:cs="Arial"/>
          <w:sz w:val="20"/>
          <w:szCs w:val="20"/>
          <w:lang w:eastAsia="en-US"/>
        </w:rPr>
        <w:t xml:space="preserve">rashodi za sufinanciranje rada Hitne pomoći stacionirane u Zračnoj luci Dubrovnik, prema zaključenom ugovoru i ispostavljenim računima Zavoda za hitnu medicinu Dubrovačko-neretvanske županije. </w:t>
      </w:r>
      <w:r w:rsidR="0063300C" w:rsidRPr="00676A9B">
        <w:rPr>
          <w:rFonts w:ascii="Arial" w:eastAsia="Calibri" w:hAnsi="Arial" w:cs="Arial"/>
          <w:sz w:val="20"/>
          <w:szCs w:val="20"/>
          <w:lang w:eastAsia="en-US"/>
        </w:rPr>
        <w:t>Mjesečno se sufinancira</w:t>
      </w:r>
      <w:r w:rsidR="0063300C">
        <w:rPr>
          <w:rFonts w:ascii="Arial" w:eastAsia="Calibri" w:hAnsi="Arial" w:cs="Arial"/>
          <w:sz w:val="20"/>
          <w:szCs w:val="20"/>
          <w:lang w:eastAsia="en-US"/>
        </w:rPr>
        <w:t>la</w:t>
      </w:r>
      <w:r w:rsidR="0063300C" w:rsidRPr="00676A9B">
        <w:rPr>
          <w:rFonts w:ascii="Arial" w:eastAsia="Calibri" w:hAnsi="Arial" w:cs="Arial"/>
          <w:sz w:val="20"/>
          <w:szCs w:val="20"/>
          <w:lang w:eastAsia="en-US"/>
        </w:rPr>
        <w:t xml:space="preserve"> bruto plaća jednog liječnika i jedne medicinske sestre, te utrošeni medicinski materijal, trošak goriva i organizacije rada službe.</w:t>
      </w:r>
    </w:p>
    <w:p w14:paraId="29184E30" w14:textId="77777777" w:rsidR="00676A9B" w:rsidRPr="00676A9B" w:rsidRDefault="00676A9B" w:rsidP="00676A9B">
      <w:pPr>
        <w:spacing w:after="0" w:line="240" w:lineRule="auto"/>
        <w:jc w:val="both"/>
        <w:rPr>
          <w:rFonts w:ascii="Arial" w:eastAsia="Calibri" w:hAnsi="Arial" w:cs="Arial"/>
          <w:sz w:val="20"/>
          <w:szCs w:val="20"/>
          <w:lang w:eastAsia="en-US"/>
        </w:rPr>
      </w:pPr>
    </w:p>
    <w:p w14:paraId="247C433B" w14:textId="05010464" w:rsidR="00676A9B" w:rsidRPr="00676A9B" w:rsidRDefault="00676A9B" w:rsidP="00676A9B">
      <w:pPr>
        <w:spacing w:after="0" w:line="240" w:lineRule="auto"/>
        <w:ind w:left="567"/>
        <w:jc w:val="both"/>
        <w:rPr>
          <w:rFonts w:ascii="Arial" w:eastAsia="Calibri" w:hAnsi="Arial" w:cs="Arial"/>
          <w:sz w:val="20"/>
          <w:szCs w:val="20"/>
          <w:lang w:eastAsia="en-US"/>
        </w:rPr>
      </w:pPr>
      <w:r w:rsidRPr="00676A9B">
        <w:rPr>
          <w:rFonts w:ascii="Arial" w:eastAsia="Calibri" w:hAnsi="Arial" w:cs="Arial"/>
          <w:sz w:val="18"/>
          <w:szCs w:val="18"/>
          <w:lang w:eastAsia="en-US"/>
        </w:rPr>
        <w:t>Ranijih godina ukupni godišnji rashodi ove aktivnosti su iznosili oko 79.633,68 € (600.000 kn)</w:t>
      </w:r>
      <w:r w:rsidR="00087EC7">
        <w:rPr>
          <w:rFonts w:ascii="Arial" w:eastAsia="Calibri" w:hAnsi="Arial" w:cs="Arial"/>
          <w:sz w:val="18"/>
          <w:szCs w:val="18"/>
          <w:lang w:eastAsia="en-US"/>
        </w:rPr>
        <w:t>, a zatim od 2022. do 2024. godine cca 24.000 € (kada je sufinanciranje bilo podijeljeno između Općine Konavle i Općine Župa dubrovačka, te Zračne luke Dubrovnik.)</w:t>
      </w:r>
    </w:p>
    <w:p w14:paraId="4E2C0653" w14:textId="77777777" w:rsidR="00676A9B" w:rsidRPr="00676A9B" w:rsidRDefault="00676A9B" w:rsidP="00676A9B">
      <w:pPr>
        <w:spacing w:after="0" w:line="240" w:lineRule="auto"/>
        <w:jc w:val="both"/>
        <w:rPr>
          <w:rFonts w:ascii="Arial" w:eastAsia="Calibri" w:hAnsi="Arial" w:cs="Arial"/>
          <w:sz w:val="20"/>
          <w:szCs w:val="20"/>
        </w:rPr>
      </w:pPr>
    </w:p>
    <w:p w14:paraId="03AC96F4" w14:textId="5E637B04" w:rsidR="00087EC7" w:rsidRDefault="00676A9B" w:rsidP="00676A9B">
      <w:pPr>
        <w:spacing w:after="0" w:line="240" w:lineRule="auto"/>
        <w:jc w:val="both"/>
        <w:rPr>
          <w:rFonts w:ascii="Arial" w:eastAsia="Calibri" w:hAnsi="Arial" w:cs="Arial"/>
          <w:sz w:val="20"/>
          <w:szCs w:val="20"/>
        </w:rPr>
      </w:pPr>
      <w:bookmarkStart w:id="448" w:name="_Hlk135037956"/>
      <w:r w:rsidRPr="00676A9B">
        <w:rPr>
          <w:rFonts w:ascii="Arial" w:eastAsia="Calibri" w:hAnsi="Arial" w:cs="Arial"/>
          <w:b/>
          <w:sz w:val="20"/>
          <w:szCs w:val="20"/>
        </w:rPr>
        <w:t xml:space="preserve">5. A204205: Nabava aparata i opreme za zdravstvene ustanove </w:t>
      </w:r>
      <w:r w:rsidRPr="00676A9B">
        <w:rPr>
          <w:rFonts w:ascii="Arial" w:eastAsia="Calibri" w:hAnsi="Arial" w:cs="Arial"/>
          <w:sz w:val="20"/>
          <w:szCs w:val="20"/>
        </w:rPr>
        <w:t xml:space="preserve">- u sklopu navedene aktivnosti su planirani rashodi za kapitalne donacije / pomoći za nabavu opreme u iznosu </w:t>
      </w:r>
      <w:r w:rsidR="00087EC7">
        <w:rPr>
          <w:rFonts w:ascii="Arial" w:eastAsia="Calibri" w:hAnsi="Arial" w:cs="Arial"/>
          <w:sz w:val="20"/>
          <w:szCs w:val="20"/>
        </w:rPr>
        <w:t>8</w:t>
      </w:r>
      <w:r w:rsidRPr="00676A9B">
        <w:rPr>
          <w:rFonts w:ascii="Arial" w:eastAsia="Calibri" w:hAnsi="Arial" w:cs="Arial"/>
          <w:sz w:val="20"/>
          <w:szCs w:val="20"/>
        </w:rPr>
        <w:t xml:space="preserve">.000 €. Rashodi </w:t>
      </w:r>
      <w:r w:rsidR="00087EC7">
        <w:rPr>
          <w:rFonts w:ascii="Arial" w:eastAsia="Calibri" w:hAnsi="Arial" w:cs="Arial"/>
          <w:sz w:val="20"/>
          <w:szCs w:val="20"/>
        </w:rPr>
        <w:t>nisu</w:t>
      </w:r>
      <w:r w:rsidRPr="00676A9B">
        <w:rPr>
          <w:rFonts w:ascii="Arial" w:eastAsia="Calibri" w:hAnsi="Arial" w:cs="Arial"/>
          <w:sz w:val="20"/>
          <w:szCs w:val="20"/>
        </w:rPr>
        <w:t xml:space="preserve"> izvršeni</w:t>
      </w:r>
      <w:r w:rsidR="00087EC7">
        <w:rPr>
          <w:rFonts w:ascii="Arial" w:eastAsia="Calibri" w:hAnsi="Arial" w:cs="Arial"/>
          <w:sz w:val="20"/>
          <w:szCs w:val="20"/>
        </w:rPr>
        <w:t>.</w:t>
      </w:r>
    </w:p>
    <w:p w14:paraId="01CD9BE7" w14:textId="77777777" w:rsidR="00087EC7" w:rsidRDefault="00087EC7" w:rsidP="00676A9B">
      <w:pPr>
        <w:spacing w:after="0" w:line="240" w:lineRule="auto"/>
        <w:jc w:val="both"/>
        <w:rPr>
          <w:rFonts w:ascii="Arial" w:eastAsia="Calibri" w:hAnsi="Arial" w:cs="Arial"/>
          <w:sz w:val="20"/>
          <w:szCs w:val="20"/>
        </w:rPr>
      </w:pPr>
    </w:p>
    <w:p w14:paraId="0771EFB3" w14:textId="77777777" w:rsidR="00676A9B" w:rsidRPr="00676A9B" w:rsidRDefault="00676A9B" w:rsidP="00676A9B">
      <w:pPr>
        <w:spacing w:after="0" w:line="240" w:lineRule="auto"/>
        <w:ind w:left="567"/>
        <w:jc w:val="both"/>
        <w:rPr>
          <w:rFonts w:ascii="Arial" w:eastAsia="Calibri" w:hAnsi="Arial" w:cs="Arial"/>
          <w:sz w:val="18"/>
          <w:szCs w:val="18"/>
        </w:rPr>
      </w:pPr>
      <w:r w:rsidRPr="00676A9B">
        <w:rPr>
          <w:rFonts w:ascii="Arial" w:eastAsia="Calibri" w:hAnsi="Arial" w:cs="Arial"/>
          <w:sz w:val="18"/>
          <w:szCs w:val="18"/>
        </w:rPr>
        <w:t xml:space="preserve">U </w:t>
      </w:r>
      <w:r w:rsidRPr="00676A9B">
        <w:rPr>
          <w:rFonts w:ascii="Arial" w:eastAsia="Calibri" w:hAnsi="Arial" w:cs="Arial"/>
          <w:b/>
          <w:bCs/>
          <w:sz w:val="18"/>
          <w:szCs w:val="18"/>
        </w:rPr>
        <w:t>2022</w:t>
      </w:r>
      <w:r w:rsidRPr="00676A9B">
        <w:rPr>
          <w:rFonts w:ascii="Arial" w:eastAsia="Calibri" w:hAnsi="Arial" w:cs="Arial"/>
          <w:sz w:val="18"/>
          <w:szCs w:val="18"/>
        </w:rPr>
        <w:t>. godini su bili izvršeni rashodi u iznosu 3.981,68 € na temelju ugovora o donaciji s Općom bolnicom Dubrovnik za nabavu medicinske opreme za ambulantu fizikalne terapije na Grudi.</w:t>
      </w:r>
    </w:p>
    <w:p w14:paraId="39055A41" w14:textId="77777777" w:rsidR="00676A9B" w:rsidRDefault="00676A9B" w:rsidP="00676A9B">
      <w:pPr>
        <w:spacing w:after="0" w:line="240" w:lineRule="auto"/>
        <w:ind w:left="567"/>
        <w:jc w:val="both"/>
        <w:rPr>
          <w:rFonts w:ascii="Arial" w:eastAsia="Calibri" w:hAnsi="Arial" w:cs="Arial"/>
          <w:bCs/>
          <w:sz w:val="18"/>
          <w:szCs w:val="18"/>
        </w:rPr>
      </w:pPr>
      <w:r w:rsidRPr="00676A9B">
        <w:rPr>
          <w:rFonts w:ascii="Arial" w:eastAsia="Calibri" w:hAnsi="Arial" w:cs="Arial"/>
          <w:bCs/>
          <w:sz w:val="18"/>
          <w:szCs w:val="18"/>
        </w:rPr>
        <w:t xml:space="preserve">U </w:t>
      </w:r>
      <w:r w:rsidRPr="00676A9B">
        <w:rPr>
          <w:rFonts w:ascii="Arial" w:eastAsia="Calibri" w:hAnsi="Arial" w:cs="Arial"/>
          <w:b/>
          <w:sz w:val="18"/>
          <w:szCs w:val="18"/>
        </w:rPr>
        <w:t>2023</w:t>
      </w:r>
      <w:r w:rsidRPr="00676A9B">
        <w:rPr>
          <w:rFonts w:ascii="Arial" w:eastAsia="Calibri" w:hAnsi="Arial" w:cs="Arial"/>
          <w:bCs/>
          <w:sz w:val="18"/>
          <w:szCs w:val="18"/>
        </w:rPr>
        <w:t xml:space="preserve">. godini rashodi su izvršeni u iznosu 11.000 € za sufinanciranje nabave stomatološke stolice za ambulantu na Grudi (Dom zdravlja Dubrovnik). </w:t>
      </w:r>
    </w:p>
    <w:p w14:paraId="4408259D" w14:textId="56B1A572" w:rsidR="00087EC7" w:rsidRPr="00676A9B" w:rsidRDefault="00087EC7" w:rsidP="00676A9B">
      <w:pPr>
        <w:spacing w:after="0" w:line="240" w:lineRule="auto"/>
        <w:ind w:left="567"/>
        <w:jc w:val="both"/>
        <w:rPr>
          <w:rFonts w:ascii="Arial" w:eastAsia="Calibri" w:hAnsi="Arial" w:cs="Arial"/>
          <w:bCs/>
          <w:sz w:val="18"/>
          <w:szCs w:val="18"/>
        </w:rPr>
      </w:pPr>
      <w:r>
        <w:rPr>
          <w:rFonts w:ascii="Arial" w:eastAsia="Calibri" w:hAnsi="Arial" w:cs="Arial"/>
          <w:sz w:val="18"/>
          <w:szCs w:val="18"/>
        </w:rPr>
        <w:t xml:space="preserve">U 2024. godini rashodi su iznosili 12.000 € i odnosili su se na </w:t>
      </w:r>
      <w:r w:rsidRPr="00087EC7">
        <w:rPr>
          <w:rFonts w:ascii="Arial" w:eastAsia="Calibri" w:hAnsi="Arial" w:cs="Arial"/>
          <w:sz w:val="18"/>
          <w:szCs w:val="18"/>
        </w:rPr>
        <w:t>sufinanciranje nabave EKG uređaja s defibrilatorom za medicinsko vozilo tima hitne medicinske pomoći smještene u Zračnoj luci Dubrovnik (Zavod za hitnu medicinu Dubrovačko-neretvanske županije).</w:t>
      </w:r>
    </w:p>
    <w:bookmarkEnd w:id="448"/>
    <w:p w14:paraId="1D643A3F" w14:textId="77777777" w:rsidR="00676A9B" w:rsidRPr="00676A9B" w:rsidRDefault="00676A9B" w:rsidP="00676A9B">
      <w:pPr>
        <w:spacing w:after="0" w:line="240" w:lineRule="auto"/>
        <w:jc w:val="both"/>
        <w:rPr>
          <w:rFonts w:ascii="Arial" w:eastAsia="Calibri" w:hAnsi="Arial" w:cs="Arial"/>
          <w:sz w:val="20"/>
          <w:szCs w:val="20"/>
          <w:lang w:eastAsia="en-US"/>
        </w:rPr>
      </w:pPr>
    </w:p>
    <w:tbl>
      <w:tblPr>
        <w:tblStyle w:val="Reetkatablice5363"/>
        <w:tblW w:w="13425" w:type="dxa"/>
        <w:jc w:val="center"/>
        <w:tblLayout w:type="fixed"/>
        <w:tblLook w:val="04A0" w:firstRow="1" w:lastRow="0" w:firstColumn="1" w:lastColumn="0" w:noHBand="0" w:noVBand="1"/>
      </w:tblPr>
      <w:tblGrid>
        <w:gridCol w:w="1376"/>
        <w:gridCol w:w="2872"/>
        <w:gridCol w:w="992"/>
        <w:gridCol w:w="1134"/>
        <w:gridCol w:w="2552"/>
        <w:gridCol w:w="1097"/>
        <w:gridCol w:w="1134"/>
        <w:gridCol w:w="1134"/>
        <w:gridCol w:w="1134"/>
      </w:tblGrid>
      <w:tr w:rsidR="00676A9B" w:rsidRPr="00676A9B" w14:paraId="164AAA69" w14:textId="77777777" w:rsidTr="00410A4B">
        <w:trPr>
          <w:jc w:val="center"/>
        </w:trPr>
        <w:tc>
          <w:tcPr>
            <w:tcW w:w="13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91B3311"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287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382E526"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F9DB1B5"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FB72A7E"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255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0E61764" w14:textId="53151F48"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2A0CC4">
              <w:rPr>
                <w:rFonts w:ascii="Arial" w:eastAsia="Calibri" w:hAnsi="Arial" w:cs="Arial"/>
                <w:lang w:eastAsia="en-US"/>
              </w:rPr>
              <w:t>4</w:t>
            </w:r>
            <w:r w:rsidRPr="00676A9B">
              <w:rPr>
                <w:rFonts w:ascii="Arial" w:eastAsia="Calibri" w:hAnsi="Arial" w:cs="Arial"/>
                <w:lang w:eastAsia="en-US"/>
              </w:rPr>
              <w:t>.</w:t>
            </w:r>
          </w:p>
        </w:tc>
        <w:tc>
          <w:tcPr>
            <w:tcW w:w="109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1C154C" w14:textId="6C75F3A6"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2A0CC4">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E69C066" w14:textId="2DBDF1B9"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w:t>
            </w:r>
            <w:r w:rsidR="002A0CC4">
              <w:rPr>
                <w:rFonts w:ascii="Arial" w:eastAsia="Calibri" w:hAnsi="Arial" w:cs="Arial"/>
                <w:lang w:eastAsia="en-US"/>
              </w:rPr>
              <w:t>25</w:t>
            </w:r>
            <w:r w:rsidRPr="00676A9B">
              <w:rPr>
                <w:rFonts w:ascii="Arial" w:eastAsia="Calibri" w:hAnsi="Arial" w:cs="Arial"/>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A07074F" w14:textId="6DFE93F5"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2A0CC4">
              <w:rPr>
                <w:rFonts w:ascii="Arial" w:eastAsia="Calibri" w:hAnsi="Arial" w:cs="Arial"/>
                <w:lang w:eastAsia="en-US"/>
              </w:rPr>
              <w:t>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AB03E16" w14:textId="587A773A"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2A0CC4">
              <w:rPr>
                <w:rFonts w:ascii="Arial" w:eastAsia="Calibri" w:hAnsi="Arial" w:cs="Arial"/>
                <w:lang w:eastAsia="en-US"/>
              </w:rPr>
              <w:t>7</w:t>
            </w:r>
            <w:r w:rsidRPr="00676A9B">
              <w:rPr>
                <w:rFonts w:ascii="Arial" w:eastAsia="Calibri" w:hAnsi="Arial" w:cs="Arial"/>
                <w:lang w:eastAsia="en-US"/>
              </w:rPr>
              <w:t>.</w:t>
            </w:r>
          </w:p>
        </w:tc>
      </w:tr>
      <w:tr w:rsidR="00676A9B" w:rsidRPr="00676A9B" w14:paraId="0BF15F43" w14:textId="77777777" w:rsidTr="00410A4B">
        <w:trPr>
          <w:trHeight w:val="1031"/>
          <w:jc w:val="center"/>
        </w:trPr>
        <w:tc>
          <w:tcPr>
            <w:tcW w:w="1376" w:type="dxa"/>
            <w:tcBorders>
              <w:top w:val="single" w:sz="4" w:space="0" w:color="auto"/>
              <w:left w:val="single" w:sz="4" w:space="0" w:color="auto"/>
              <w:bottom w:val="single" w:sz="4" w:space="0" w:color="auto"/>
              <w:right w:val="single" w:sz="4" w:space="0" w:color="auto"/>
            </w:tcBorders>
            <w:vAlign w:val="center"/>
          </w:tcPr>
          <w:p w14:paraId="49783E82" w14:textId="77777777" w:rsidR="00676A9B" w:rsidRPr="00676A9B" w:rsidRDefault="00676A9B" w:rsidP="00676A9B">
            <w:pPr>
              <w:jc w:val="both"/>
              <w:rPr>
                <w:rFonts w:ascii="Arial" w:hAnsi="Arial" w:cs="Arial"/>
                <w:sz w:val="18"/>
                <w:szCs w:val="18"/>
                <w:lang w:eastAsia="en-US"/>
              </w:rPr>
            </w:pPr>
            <w:r w:rsidRPr="00676A9B">
              <w:rPr>
                <w:rFonts w:ascii="Arial" w:hAnsi="Arial" w:cs="Arial"/>
                <w:sz w:val="18"/>
                <w:szCs w:val="18"/>
                <w:lang w:eastAsia="en-US"/>
              </w:rPr>
              <w:t>broj dostupnih zdravstvenih usluga</w:t>
            </w:r>
          </w:p>
        </w:tc>
        <w:tc>
          <w:tcPr>
            <w:tcW w:w="2872" w:type="dxa"/>
            <w:tcBorders>
              <w:top w:val="single" w:sz="4" w:space="0" w:color="auto"/>
              <w:left w:val="single" w:sz="4" w:space="0" w:color="auto"/>
              <w:bottom w:val="single" w:sz="4" w:space="0" w:color="auto"/>
              <w:right w:val="single" w:sz="4" w:space="0" w:color="auto"/>
            </w:tcBorders>
            <w:vAlign w:val="center"/>
          </w:tcPr>
          <w:p w14:paraId="2502DC31" w14:textId="77777777" w:rsidR="00676A9B" w:rsidRPr="00676A9B" w:rsidRDefault="00676A9B" w:rsidP="00676A9B">
            <w:pPr>
              <w:autoSpaceDE w:val="0"/>
              <w:autoSpaceDN w:val="0"/>
              <w:adjustRightInd w:val="0"/>
              <w:rPr>
                <w:rFonts w:ascii="Arial" w:hAnsi="Arial" w:cs="Arial"/>
                <w:sz w:val="18"/>
                <w:szCs w:val="18"/>
                <w:lang w:eastAsia="en-US"/>
              </w:rPr>
            </w:pPr>
            <w:r w:rsidRPr="00676A9B">
              <w:rPr>
                <w:rFonts w:ascii="Arial" w:eastAsia="Calibri" w:hAnsi="Arial" w:cs="Arial"/>
                <w:sz w:val="18"/>
                <w:szCs w:val="18"/>
                <w:lang w:eastAsia="en-US"/>
              </w:rPr>
              <w:t>Osigurati veću razinu zdravstvene zaštite stanovništva svih dobnih skupina sufinanciranjem većeg broja zdravstvenih usluga na području Općine.</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C60AE8"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broj</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9D4E95"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Općina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6DC7DF9"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7</w:t>
            </w:r>
          </w:p>
          <w:p w14:paraId="63D99D1C"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(obiteljska medicina, stomatolog, hitna medicinska služba, fizijatar, kardiolog, pedijatar, laboratorijske usluge)</w:t>
            </w:r>
          </w:p>
        </w:tc>
        <w:tc>
          <w:tcPr>
            <w:tcW w:w="1097" w:type="dxa"/>
            <w:tcBorders>
              <w:top w:val="single" w:sz="4" w:space="0" w:color="auto"/>
              <w:left w:val="single" w:sz="4" w:space="0" w:color="auto"/>
              <w:bottom w:val="single" w:sz="4" w:space="0" w:color="auto"/>
              <w:right w:val="single" w:sz="4" w:space="0" w:color="auto"/>
            </w:tcBorders>
            <w:vAlign w:val="center"/>
            <w:hideMark/>
          </w:tcPr>
          <w:p w14:paraId="2E6D2B57" w14:textId="77777777" w:rsidR="00676A9B" w:rsidRPr="00676A9B" w:rsidRDefault="00676A9B" w:rsidP="00676A9B">
            <w:pPr>
              <w:jc w:val="center"/>
              <w:rPr>
                <w:rFonts w:ascii="Arial" w:hAnsi="Arial" w:cs="Arial"/>
                <w:lang w:eastAsia="en-US"/>
              </w:rPr>
            </w:pPr>
            <w:r w:rsidRPr="00676A9B">
              <w:rPr>
                <w:rFonts w:ascii="Arial" w:hAnsi="Arial" w:cs="Arial"/>
                <w:lang w:eastAsia="en-US"/>
              </w:rPr>
              <w:t>7</w:t>
            </w:r>
          </w:p>
        </w:tc>
        <w:tc>
          <w:tcPr>
            <w:tcW w:w="1134" w:type="dxa"/>
            <w:tcBorders>
              <w:top w:val="single" w:sz="4" w:space="0" w:color="000000"/>
              <w:left w:val="single" w:sz="4" w:space="0" w:color="000000"/>
              <w:bottom w:val="single" w:sz="4" w:space="0" w:color="000000"/>
              <w:right w:val="single" w:sz="4" w:space="0" w:color="000000"/>
            </w:tcBorders>
            <w:vAlign w:val="center"/>
          </w:tcPr>
          <w:p w14:paraId="2D247F39" w14:textId="77777777" w:rsidR="00676A9B" w:rsidRPr="00676A9B" w:rsidRDefault="00676A9B" w:rsidP="00676A9B">
            <w:pPr>
              <w:jc w:val="center"/>
              <w:rPr>
                <w:rFonts w:ascii="Arial" w:hAnsi="Arial" w:cs="Arial"/>
                <w:lang w:eastAsia="en-US"/>
              </w:rPr>
            </w:pPr>
            <w:r w:rsidRPr="00676A9B">
              <w:rPr>
                <w:rFonts w:ascii="Arial" w:hAnsi="Arial" w:cs="Arial"/>
                <w:lang w:eastAsia="en-US"/>
              </w:rPr>
              <w:t>7</w:t>
            </w:r>
          </w:p>
        </w:tc>
        <w:tc>
          <w:tcPr>
            <w:tcW w:w="1134" w:type="dxa"/>
            <w:tcBorders>
              <w:top w:val="single" w:sz="4" w:space="0" w:color="000000"/>
              <w:left w:val="single" w:sz="4" w:space="0" w:color="000000"/>
              <w:bottom w:val="single" w:sz="4" w:space="0" w:color="000000"/>
              <w:right w:val="single" w:sz="4" w:space="0" w:color="000000"/>
            </w:tcBorders>
            <w:vAlign w:val="center"/>
          </w:tcPr>
          <w:p w14:paraId="6C3186A5" w14:textId="77777777" w:rsidR="00676A9B" w:rsidRPr="00676A9B" w:rsidRDefault="00676A9B" w:rsidP="00676A9B">
            <w:pPr>
              <w:jc w:val="center"/>
              <w:rPr>
                <w:rFonts w:ascii="Arial" w:hAnsi="Arial" w:cs="Arial"/>
                <w:lang w:eastAsia="en-US"/>
              </w:rPr>
            </w:pPr>
            <w:r w:rsidRPr="00676A9B">
              <w:rPr>
                <w:rFonts w:ascii="Arial" w:hAnsi="Arial" w:cs="Arial"/>
                <w:lang w:eastAsia="en-US"/>
              </w:rPr>
              <w:t>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3075915" w14:textId="77777777" w:rsidR="00676A9B" w:rsidRPr="00676A9B" w:rsidRDefault="00676A9B" w:rsidP="00676A9B">
            <w:pPr>
              <w:jc w:val="center"/>
              <w:rPr>
                <w:rFonts w:ascii="Arial" w:hAnsi="Arial" w:cs="Arial"/>
                <w:lang w:eastAsia="en-US"/>
              </w:rPr>
            </w:pPr>
            <w:r w:rsidRPr="00676A9B">
              <w:rPr>
                <w:rFonts w:ascii="Arial" w:hAnsi="Arial" w:cs="Arial"/>
                <w:lang w:eastAsia="en-US"/>
              </w:rPr>
              <w:t>7</w:t>
            </w:r>
          </w:p>
        </w:tc>
      </w:tr>
    </w:tbl>
    <w:p w14:paraId="45E03EA5" w14:textId="77777777" w:rsidR="00676A9B" w:rsidRPr="00676A9B" w:rsidRDefault="00676A9B" w:rsidP="00676A9B">
      <w:pPr>
        <w:spacing w:after="0" w:line="240" w:lineRule="auto"/>
        <w:jc w:val="both"/>
        <w:rPr>
          <w:rFonts w:ascii="Arial" w:eastAsia="Calibri" w:hAnsi="Arial" w:cs="Arial"/>
          <w:sz w:val="20"/>
          <w:szCs w:val="20"/>
          <w:lang w:eastAsia="en-US"/>
        </w:rPr>
      </w:pPr>
    </w:p>
    <w:p w14:paraId="46D00759"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Aktivnosti vezane uz opće ciljeve postignute su sukladno postocima izvršenja i u skladu s očekivanom dinamikom izvršenja rashoda.</w:t>
      </w:r>
      <w:r w:rsidRPr="00676A9B">
        <w:rPr>
          <w:rFonts w:ascii="Arial" w:eastAsia="Calibri" w:hAnsi="Arial" w:cs="Arial"/>
          <w:sz w:val="20"/>
          <w:szCs w:val="20"/>
        </w:rPr>
        <w:br w:type="page"/>
      </w:r>
    </w:p>
    <w:p w14:paraId="35B6BF25" w14:textId="77777777" w:rsidR="00676A9B" w:rsidRPr="00676A9B" w:rsidRDefault="00676A9B" w:rsidP="00676A9B">
      <w:pPr>
        <w:keepNext/>
        <w:spacing w:after="0" w:line="240" w:lineRule="auto"/>
        <w:jc w:val="both"/>
        <w:outlineLvl w:val="2"/>
        <w:rPr>
          <w:rFonts w:ascii="Times New Roman" w:eastAsia="Calibri" w:hAnsi="Times New Roman" w:cs="Times New Roman"/>
          <w:b/>
          <w:sz w:val="24"/>
          <w:szCs w:val="20"/>
          <w:lang w:eastAsia="en-US"/>
        </w:rPr>
      </w:pPr>
      <w:bookmarkStart w:id="449" w:name="_Toc200628511"/>
      <w:bookmarkStart w:id="450" w:name="_Toc232981443"/>
      <w:r w:rsidRPr="00676A9B">
        <w:rPr>
          <w:rFonts w:ascii="Times New Roman" w:eastAsia="Calibri" w:hAnsi="Times New Roman" w:cs="Times New Roman"/>
          <w:b/>
          <w:sz w:val="24"/>
          <w:szCs w:val="20"/>
          <w:lang w:eastAsia="en-US"/>
        </w:rPr>
        <w:lastRenderedPageBreak/>
        <w:t>Program (2043): Socijalna skrb i zaštita kroz institucije i udruge građana</w:t>
      </w:r>
      <w:bookmarkEnd w:id="449"/>
      <w:bookmarkEnd w:id="450"/>
    </w:p>
    <w:p w14:paraId="3ECFB1CD" w14:textId="77777777" w:rsidR="00676A9B" w:rsidRPr="00676A9B" w:rsidRDefault="00676A9B" w:rsidP="00676A9B">
      <w:pPr>
        <w:spacing w:after="0" w:line="240" w:lineRule="auto"/>
        <w:rPr>
          <w:rFonts w:ascii="Arial" w:eastAsia="Times New Roman" w:hAnsi="Arial" w:cs="Arial"/>
          <w:sz w:val="20"/>
          <w:szCs w:val="20"/>
          <w:lang w:eastAsia="en-US"/>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47"/>
        <w:gridCol w:w="13005"/>
      </w:tblGrid>
      <w:tr w:rsidR="00676A9B" w:rsidRPr="00676A9B" w14:paraId="51F1C8CF" w14:textId="77777777" w:rsidTr="00410A4B">
        <w:tc>
          <w:tcPr>
            <w:tcW w:w="1447" w:type="dxa"/>
            <w:tcBorders>
              <w:top w:val="dotted" w:sz="4" w:space="0" w:color="auto"/>
              <w:left w:val="dotted" w:sz="4" w:space="0" w:color="auto"/>
              <w:bottom w:val="dotted" w:sz="4" w:space="0" w:color="auto"/>
              <w:right w:val="dotted" w:sz="4" w:space="0" w:color="auto"/>
            </w:tcBorders>
            <w:hideMark/>
          </w:tcPr>
          <w:p w14:paraId="40E4EAA0"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OPIS PROGRAMA:</w:t>
            </w:r>
          </w:p>
        </w:tc>
        <w:tc>
          <w:tcPr>
            <w:tcW w:w="13005" w:type="dxa"/>
            <w:tcBorders>
              <w:top w:val="dotted" w:sz="4" w:space="0" w:color="auto"/>
              <w:left w:val="dotted" w:sz="4" w:space="0" w:color="auto"/>
              <w:bottom w:val="dotted" w:sz="4" w:space="0" w:color="auto"/>
              <w:right w:val="dotted" w:sz="4" w:space="0" w:color="auto"/>
            </w:tcBorders>
            <w:hideMark/>
          </w:tcPr>
          <w:p w14:paraId="2909DE35"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Ovaj program obuhvaća djelatnosti i poslove koji se odnose na djelovanje udruga koje okupljaju građane proistekle iz Domovinskog rata i druge slične udruge, te udruge za socijalnu skrb i zaštitu i brigu o mladeži i starijim osobama, a sve radi unapređenja i očuvanja zdravlja, prevencije bolesti, te podizanje kvalitete zdravlja i života osjetljivih skupina (djeca i mladi, starije osobe, druge osobe iz spomenutih udruga). </w:t>
            </w:r>
          </w:p>
          <w:p w14:paraId="7A9E682C"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Organizacije civilnog društva značajne su za razvoj socijalne politike, posebice kada svoje djelovanje usmjeravaju na razvoj politike na lokalnoj razini. One najjasnije mogu izraziti potrebe, zahtjeve i očekivanja skupina stanovništva čije interese zastupaju. </w:t>
            </w:r>
          </w:p>
          <w:p w14:paraId="2A0F66C8"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Program socijalne skrbi i zaštite kroz institucije i udruge građana definira i potrebe vezane za pomoć za djecu s teškoćama u razvoju, sufinanciranje programa udruga proisteklih iz domovinskog rata, humanitarnu djelatnost Crvenog križa, sufinanciranje programa udruga umirovljenika, sufinanciranje programa i projekata ustanova za posebne potrebe djece i odraslih, aktivnosti povezane s humanitarnom skrbi građana kroz udruge i pojedinačne projekte i dr.</w:t>
            </w:r>
          </w:p>
          <w:p w14:paraId="2BE6D7CE"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Člankom 30. Zakona o Hrvatskom Crvenom križu (NN 71/2010, 136/2020) utvrđeno je da jedinice lokalne i područne (regionalne) samouprave iz svojih proračuna osiguravaju sredstva za rad i djelovanje službe traženja na razini JL(R)S, te sredstva za javne ovlasti i redovne djelatnosti ustrojstvenih oblika Crvenog križa. Iznos sredstava planira se sukladno Pravilniku o načinu i rokovima plaćanja sredstava iz prihoda JLS za rad ustrojstvenih oblika Hrvatskog Crvenog križa (NN 18/11).</w:t>
            </w:r>
          </w:p>
        </w:tc>
      </w:tr>
      <w:tr w:rsidR="00676A9B" w:rsidRPr="00676A9B" w14:paraId="12A31895" w14:textId="77777777" w:rsidTr="00410A4B">
        <w:tc>
          <w:tcPr>
            <w:tcW w:w="1447" w:type="dxa"/>
            <w:tcBorders>
              <w:top w:val="dotted" w:sz="4" w:space="0" w:color="auto"/>
              <w:left w:val="dotted" w:sz="4" w:space="0" w:color="auto"/>
              <w:bottom w:val="dotted" w:sz="4" w:space="0" w:color="auto"/>
              <w:right w:val="dotted" w:sz="4" w:space="0" w:color="auto"/>
            </w:tcBorders>
            <w:hideMark/>
          </w:tcPr>
          <w:p w14:paraId="43B19846"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ZAKONSKE I DRUGE PRAVNE OSNOVE PROGRAMA:</w:t>
            </w:r>
          </w:p>
        </w:tc>
        <w:tc>
          <w:tcPr>
            <w:tcW w:w="13005" w:type="dxa"/>
            <w:tcBorders>
              <w:top w:val="dotted" w:sz="4" w:space="0" w:color="auto"/>
              <w:left w:val="dotted" w:sz="4" w:space="0" w:color="auto"/>
              <w:bottom w:val="dotted" w:sz="4" w:space="0" w:color="auto"/>
              <w:right w:val="dotted" w:sz="4" w:space="0" w:color="auto"/>
            </w:tcBorders>
            <w:hideMark/>
          </w:tcPr>
          <w:p w14:paraId="0F2B7E90" w14:textId="3B0C0B92"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rPr>
              <w:t>Zakon o lokalnoj i područnoj (regionalnoj) samoupravi (NN 33/01, 60/01, 129/05, 109/07,125/08, 36/09, 150/11, 144/12, 19/13, 137/15, 123/17, 98/19, 144/20), Zakon o zdravstvenoj zaštiti (NN 100/18, 125/19, 147/20, 119/22, 156/22, 33/23</w:t>
            </w:r>
            <w:r w:rsidR="00823DBA">
              <w:rPr>
                <w:rFonts w:ascii="Arial" w:eastAsia="Times New Roman" w:hAnsi="Arial" w:cs="Arial"/>
                <w:sz w:val="20"/>
                <w:szCs w:val="20"/>
              </w:rPr>
              <w:t>, 36/24, 102/25</w:t>
            </w:r>
            <w:r w:rsidRPr="00676A9B">
              <w:rPr>
                <w:rFonts w:ascii="Arial" w:eastAsia="Times New Roman" w:hAnsi="Arial" w:cs="Arial"/>
                <w:sz w:val="20"/>
                <w:szCs w:val="20"/>
              </w:rPr>
              <w:t xml:space="preserve">), </w:t>
            </w:r>
            <w:r w:rsidRPr="00676A9B">
              <w:rPr>
                <w:rFonts w:ascii="Arial" w:eastAsia="Times New Roman" w:hAnsi="Arial" w:cs="Arial"/>
                <w:sz w:val="20"/>
                <w:szCs w:val="20"/>
                <w:lang w:eastAsia="en-US"/>
              </w:rPr>
              <w:t xml:space="preserve">Zakon o Hrvatskom crvenom križu (NN 71/10, 136/20), </w:t>
            </w:r>
            <w:r w:rsidRPr="00676A9B">
              <w:rPr>
                <w:rFonts w:ascii="Arial" w:eastAsia="Times New Roman" w:hAnsi="Arial" w:cs="Arial"/>
                <w:sz w:val="20"/>
                <w:szCs w:val="20"/>
              </w:rPr>
              <w:t xml:space="preserve">Zakon o udrugama (NN 74/14, 70/17, 98/19, 151/22), </w:t>
            </w:r>
            <w:r w:rsidRPr="00676A9B">
              <w:rPr>
                <w:rFonts w:ascii="Arial" w:eastAsia="Times New Roman" w:hAnsi="Arial" w:cs="Arial"/>
                <w:b/>
                <w:sz w:val="20"/>
                <w:szCs w:val="20"/>
              </w:rPr>
              <w:t>Uredba o kriterijima, mjerilima i postupcima financiranja i ugovaranja programa i projekata od interesa za opće dobro koje provode udruge (NN 26/15, 37/2021),</w:t>
            </w:r>
            <w:r w:rsidRPr="00676A9B">
              <w:rPr>
                <w:rFonts w:ascii="Arial" w:eastAsia="Times New Roman" w:hAnsi="Arial" w:cs="Arial"/>
                <w:sz w:val="20"/>
                <w:szCs w:val="20"/>
              </w:rPr>
              <w:t xml:space="preserve"> PRIRUČNIK za postupanje u primjeni Uredbe o kriterijima, mjerilima i postupcima financiranja i ugovaranja programa i projekata od interesa za opće dobro koje provode udruge (Vlada RH) </w:t>
            </w:r>
            <w:hyperlink r:id="rId131" w:history="1">
              <w:r w:rsidRPr="00676A9B">
                <w:rPr>
                  <w:rFonts w:ascii="Calibri" w:eastAsia="Calibri" w:hAnsi="Calibri" w:cs="Times New Roman"/>
                  <w:color w:val="0070C0"/>
                  <w:u w:val="single"/>
                </w:rPr>
                <w:t>https://issuu.com/uzuvrh/docs/priru__nik_za_primjenu_uredbe_v._2.</w:t>
              </w:r>
            </w:hyperlink>
            <w:r w:rsidRPr="00676A9B">
              <w:rPr>
                <w:rFonts w:ascii="Arial" w:eastAsia="Times New Roman" w:hAnsi="Arial" w:cs="Arial"/>
                <w:sz w:val="20"/>
                <w:szCs w:val="20"/>
              </w:rPr>
              <w:t>, Statut Općine i drugi akti</w:t>
            </w:r>
          </w:p>
        </w:tc>
      </w:tr>
      <w:tr w:rsidR="00676A9B" w:rsidRPr="00676A9B" w14:paraId="3AB7FBBF" w14:textId="77777777" w:rsidTr="00410A4B">
        <w:tc>
          <w:tcPr>
            <w:tcW w:w="1447" w:type="dxa"/>
            <w:tcBorders>
              <w:top w:val="dotted" w:sz="4" w:space="0" w:color="auto"/>
              <w:left w:val="dotted" w:sz="4" w:space="0" w:color="auto"/>
              <w:bottom w:val="dotted" w:sz="4" w:space="0" w:color="auto"/>
              <w:right w:val="dotted" w:sz="4" w:space="0" w:color="auto"/>
            </w:tcBorders>
            <w:hideMark/>
          </w:tcPr>
          <w:p w14:paraId="15F2BD6F"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OPĆI CILJ:</w:t>
            </w:r>
          </w:p>
        </w:tc>
        <w:tc>
          <w:tcPr>
            <w:tcW w:w="13005" w:type="dxa"/>
            <w:tcBorders>
              <w:top w:val="dotted" w:sz="4" w:space="0" w:color="auto"/>
              <w:left w:val="dotted" w:sz="4" w:space="0" w:color="auto"/>
              <w:bottom w:val="dotted" w:sz="4" w:space="0" w:color="auto"/>
              <w:right w:val="dotted" w:sz="4" w:space="0" w:color="auto"/>
            </w:tcBorders>
            <w:hideMark/>
          </w:tcPr>
          <w:p w14:paraId="1C5A12BC"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Unapređenje svih oblika kreativnosti i stvaralaštva koji se provode putem udruga.</w:t>
            </w:r>
          </w:p>
          <w:p w14:paraId="468D6DBE"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Predviđena sredstva rasporedit će se temeljem natječaja sukladno odredbama Uredbe o kriterijima, mjerilima i postupcima financiranja i ugovaranja programa od interesa za opće dobro koje provode udruge. Očekivani termin raspisivanja javnog poziva/natječaja za sufinanciranje programa i projekata udruga od interesa za opće dobro (koje pridonose promicanju vrijednosti Domovinskog rata, zaštiti i promicanju mirotvorstva i borbi protiv nasilja i diskriminacije, brizi o mladeži i starijim osobama, kao i humanitarnom radu) je nakon usvajanja proračuna za tekuću godinu, a provodi se uglavnom u prvom tromjesečju godine.</w:t>
            </w:r>
          </w:p>
        </w:tc>
      </w:tr>
      <w:tr w:rsidR="00676A9B" w:rsidRPr="00676A9B" w14:paraId="694AED3B" w14:textId="77777777" w:rsidTr="00410A4B">
        <w:tc>
          <w:tcPr>
            <w:tcW w:w="1447" w:type="dxa"/>
            <w:tcBorders>
              <w:top w:val="dotted" w:sz="4" w:space="0" w:color="auto"/>
              <w:left w:val="dotted" w:sz="4" w:space="0" w:color="auto"/>
              <w:bottom w:val="dotted" w:sz="4" w:space="0" w:color="auto"/>
              <w:right w:val="dotted" w:sz="4" w:space="0" w:color="auto"/>
            </w:tcBorders>
            <w:vAlign w:val="bottom"/>
          </w:tcPr>
          <w:p w14:paraId="3F41B38A"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POSEBNI CILJEVI:</w:t>
            </w:r>
          </w:p>
        </w:tc>
        <w:tc>
          <w:tcPr>
            <w:tcW w:w="13005" w:type="dxa"/>
            <w:tcBorders>
              <w:top w:val="dotted" w:sz="4" w:space="0" w:color="auto"/>
              <w:left w:val="dotted" w:sz="4" w:space="0" w:color="auto"/>
              <w:bottom w:val="dotted" w:sz="4" w:space="0" w:color="auto"/>
              <w:right w:val="dotted" w:sz="4" w:space="0" w:color="auto"/>
            </w:tcBorders>
            <w:vAlign w:val="bottom"/>
          </w:tcPr>
          <w:p w14:paraId="56919737"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Zadovoljavanje potreba građana u području socijalne skrbi, kroz aktivnosti udruga.</w:t>
            </w:r>
          </w:p>
          <w:p w14:paraId="2A62E9E8"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Poboljšanje kvalitete života.</w:t>
            </w:r>
          </w:p>
          <w:p w14:paraId="2FB4235A"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Pomagati djelovanje udruga koje okupljaju djecu, mlade i odrasle radi provedbe programa iz oblasti socijalne skrbi i zaštite socijalno osjetljivih skupina stanovništva. </w:t>
            </w:r>
          </w:p>
          <w:p w14:paraId="2CBD04C5"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Podržavanje rada i programa udruga, ustanova i drugih pravnih osoba koje se bave zaštitom, pružanjem pomoći i podrške socijalno ugroženim skupinama građana i ostalom stanovništvu kojem je potrebna pomoć za prevladavanje posebnih teškoća ili problema (osobama s različitim oblicima invaliditeta, psihički bolesnim osobama, žrtvama obiteljskog nasilja, ovisnicima, osobama treće životne dobi i drugim osobama u socijalnoj potrebi).</w:t>
            </w:r>
          </w:p>
          <w:p w14:paraId="6A6CC192"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Calibri" w:hAnsi="Arial" w:cs="Arial"/>
                <w:sz w:val="20"/>
                <w:szCs w:val="20"/>
                <w:lang w:eastAsia="en-US"/>
              </w:rPr>
              <w:t>Sredstvima planiranim za sufinanciranje programa socijalno-humanitarnih udruga sufinanciranjem njihovih programa osigurati materijalnu i financijsku pomoć za redovan rad i realizaciju programa/projekata s ciljem zadovoljavanja posebnih potreba društvenih skupina u zajednici (osoba s posebnim potrebama, osoba s invaliditetom, osoba starije životne dobi i drugih koje obuhvaćaju ovi programi) odnosno realizaciju programa u lokalne zajednice za posebne društvene skupine.</w:t>
            </w:r>
          </w:p>
        </w:tc>
      </w:tr>
    </w:tbl>
    <w:p w14:paraId="7A7BDF8D" w14:textId="77777777" w:rsidR="00676A9B" w:rsidRPr="00676A9B" w:rsidRDefault="00676A9B" w:rsidP="00676A9B">
      <w:pPr>
        <w:spacing w:after="0" w:line="240" w:lineRule="auto"/>
        <w:jc w:val="both"/>
        <w:rPr>
          <w:rFonts w:ascii="Arial" w:eastAsia="Calibri" w:hAnsi="Arial" w:cs="Arial"/>
          <w:sz w:val="20"/>
          <w:szCs w:val="20"/>
          <w:lang w:eastAsia="en-US"/>
        </w:rPr>
      </w:pPr>
    </w:p>
    <w:p w14:paraId="7D3C0C5F" w14:textId="77777777" w:rsidR="00676A9B" w:rsidRPr="00676A9B" w:rsidRDefault="00676A9B" w:rsidP="00676A9B">
      <w:pPr>
        <w:spacing w:after="0" w:line="240" w:lineRule="auto"/>
        <w:jc w:val="both"/>
        <w:rPr>
          <w:rFonts w:ascii="Arial" w:eastAsia="Calibri" w:hAnsi="Arial" w:cs="Arial"/>
          <w:sz w:val="20"/>
          <w:szCs w:val="20"/>
          <w:lang w:eastAsia="en-US"/>
        </w:rPr>
      </w:pPr>
    </w:p>
    <w:p w14:paraId="03B384F0"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676A9B">
        <w:rPr>
          <w:rFonts w:ascii="Arial" w:eastAsia="Calibri" w:hAnsi="Arial" w:cs="Arial"/>
          <w:b/>
          <w:sz w:val="20"/>
          <w:szCs w:val="20"/>
          <w:lang w:eastAsia="en-US"/>
        </w:rPr>
        <w:t>Procjena i ishodište potrebnih sredstava za aktivnosti unutar programa</w:t>
      </w:r>
    </w:p>
    <w:p w14:paraId="18FF985F" w14:textId="77777777" w:rsidR="00676A9B" w:rsidRPr="00676A9B" w:rsidRDefault="00676A9B" w:rsidP="00676A9B">
      <w:pPr>
        <w:spacing w:after="0" w:line="240" w:lineRule="auto"/>
        <w:rPr>
          <w:rFonts w:ascii="Arial" w:eastAsia="Calibri" w:hAnsi="Arial" w:cs="Arial"/>
          <w:sz w:val="20"/>
          <w:szCs w:val="20"/>
        </w:rPr>
      </w:pPr>
    </w:p>
    <w:p w14:paraId="20853C4C" w14:textId="673C1103" w:rsidR="00676A9B" w:rsidRPr="00676A9B" w:rsidRDefault="008A16BA" w:rsidP="00676A9B">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3266E389" w14:textId="01F04D96" w:rsidR="00676A9B" w:rsidRDefault="00823DBA" w:rsidP="00676A9B">
      <w:pPr>
        <w:spacing w:after="0" w:line="240" w:lineRule="auto"/>
        <w:jc w:val="both"/>
        <w:rPr>
          <w:rFonts w:ascii="Arial" w:eastAsia="Calibri" w:hAnsi="Arial" w:cs="Arial"/>
          <w:sz w:val="20"/>
          <w:szCs w:val="20"/>
        </w:rPr>
      </w:pPr>
      <w:r w:rsidRPr="00823DBA">
        <w:rPr>
          <w:noProof/>
        </w:rPr>
        <w:drawing>
          <wp:inline distT="0" distB="0" distL="0" distR="0" wp14:anchorId="2ED94CCA" wp14:editId="69E0F969">
            <wp:extent cx="9251950" cy="3503930"/>
            <wp:effectExtent l="0" t="0" r="6350" b="1270"/>
            <wp:docPr id="593339364"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9251950" cy="3503930"/>
                    </a:xfrm>
                    <a:prstGeom prst="rect">
                      <a:avLst/>
                    </a:prstGeom>
                    <a:noFill/>
                    <a:ln>
                      <a:noFill/>
                    </a:ln>
                  </pic:spPr>
                </pic:pic>
              </a:graphicData>
            </a:graphic>
          </wp:inline>
        </w:drawing>
      </w:r>
    </w:p>
    <w:p w14:paraId="1325A38D" w14:textId="77777777" w:rsidR="00823DBA" w:rsidRPr="00676A9B" w:rsidRDefault="00823DBA" w:rsidP="00676A9B">
      <w:pPr>
        <w:spacing w:after="0" w:line="240" w:lineRule="auto"/>
        <w:jc w:val="both"/>
        <w:rPr>
          <w:rFonts w:ascii="Arial" w:eastAsia="Calibri" w:hAnsi="Arial" w:cs="Arial"/>
          <w:sz w:val="20"/>
          <w:szCs w:val="20"/>
        </w:rPr>
      </w:pPr>
    </w:p>
    <w:p w14:paraId="4F54927E"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b/>
          <w:sz w:val="20"/>
          <w:szCs w:val="20"/>
          <w:lang w:eastAsia="en-US"/>
        </w:rPr>
        <w:t>RAZLOG ODSTUPANJA OD PROŠLOGODIŠNJIH PROJEKCIJA</w:t>
      </w:r>
      <w:r w:rsidRPr="00676A9B">
        <w:rPr>
          <w:rFonts w:ascii="Arial" w:eastAsia="Times New Roman" w:hAnsi="Arial" w:cs="Arial"/>
          <w:sz w:val="20"/>
          <w:szCs w:val="20"/>
          <w:lang w:eastAsia="en-US"/>
        </w:rPr>
        <w:t xml:space="preserve">: </w:t>
      </w:r>
    </w:p>
    <w:p w14:paraId="7A84BC3E"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sz w:val="20"/>
          <w:szCs w:val="20"/>
          <w:lang w:eastAsia="en-US"/>
        </w:rPr>
        <w:t>Po navedenom programu nije bilo značajnijih odstupanja.</w:t>
      </w:r>
    </w:p>
    <w:p w14:paraId="513699DF" w14:textId="77777777" w:rsidR="00676A9B" w:rsidRPr="00676A9B" w:rsidRDefault="00676A9B" w:rsidP="00676A9B">
      <w:pPr>
        <w:spacing w:after="0" w:line="240" w:lineRule="auto"/>
        <w:jc w:val="both"/>
        <w:rPr>
          <w:rFonts w:ascii="Arial" w:eastAsia="Calibri" w:hAnsi="Arial" w:cs="Arial"/>
          <w:b/>
          <w:sz w:val="20"/>
          <w:szCs w:val="20"/>
          <w:lang w:eastAsia="en-US"/>
        </w:rPr>
      </w:pPr>
    </w:p>
    <w:p w14:paraId="36B9E9E3" w14:textId="77777777" w:rsidR="00676A9B" w:rsidRPr="00676A9B" w:rsidRDefault="00676A9B" w:rsidP="00676A9B">
      <w:pPr>
        <w:spacing w:after="0" w:line="240" w:lineRule="auto"/>
        <w:jc w:val="both"/>
        <w:rPr>
          <w:rFonts w:ascii="Arial" w:eastAsia="Calibri" w:hAnsi="Arial" w:cs="Arial"/>
          <w:i/>
          <w:sz w:val="20"/>
          <w:szCs w:val="20"/>
          <w:lang w:eastAsia="en-US"/>
        </w:rPr>
      </w:pPr>
      <w:r w:rsidRPr="00676A9B">
        <w:rPr>
          <w:rFonts w:ascii="Arial" w:eastAsia="Calibri" w:hAnsi="Arial" w:cs="Arial"/>
          <w:b/>
          <w:sz w:val="20"/>
          <w:szCs w:val="20"/>
          <w:lang w:eastAsia="en-US"/>
        </w:rPr>
        <w:t>Ishodište i pokazatelji na kojima se zasnivaju izračuni i ocjene</w:t>
      </w:r>
      <w:r w:rsidRPr="00676A9B">
        <w:rPr>
          <w:rFonts w:ascii="Arial" w:eastAsia="Calibri" w:hAnsi="Arial" w:cs="Arial"/>
          <w:sz w:val="20"/>
          <w:szCs w:val="20"/>
          <w:lang w:eastAsia="en-US"/>
        </w:rPr>
        <w:t xml:space="preserve"> </w:t>
      </w:r>
      <w:r w:rsidRPr="00676A9B">
        <w:rPr>
          <w:rFonts w:ascii="Arial" w:eastAsia="Calibri" w:hAnsi="Arial" w:cs="Arial"/>
          <w:b/>
          <w:sz w:val="20"/>
          <w:szCs w:val="20"/>
          <w:lang w:eastAsia="en-US"/>
        </w:rPr>
        <w:t>potrebnih sredstava za provođenje programa:</w:t>
      </w:r>
      <w:r w:rsidRPr="00676A9B">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154E7632" w14:textId="77777777" w:rsidR="00676A9B" w:rsidRPr="00676A9B" w:rsidRDefault="00676A9B" w:rsidP="00676A9B">
      <w:pPr>
        <w:shd w:val="clear" w:color="auto" w:fill="FFFFFF"/>
        <w:spacing w:after="0" w:line="240" w:lineRule="auto"/>
        <w:jc w:val="both"/>
        <w:rPr>
          <w:rFonts w:ascii="Arial" w:eastAsia="Calibri" w:hAnsi="Arial" w:cs="Arial"/>
          <w:b/>
          <w:sz w:val="20"/>
          <w:szCs w:val="20"/>
        </w:rPr>
      </w:pPr>
      <w:r w:rsidRPr="00676A9B">
        <w:rPr>
          <w:rFonts w:ascii="Arial" w:eastAsia="Calibri" w:hAnsi="Arial" w:cs="Arial"/>
          <w:b/>
          <w:sz w:val="20"/>
          <w:szCs w:val="20"/>
          <w:lang w:eastAsia="en-US"/>
        </w:rPr>
        <w:t>Izvještaj o postignutim ciljevima i rezultatima programa temeljenim na pokazateljima uspješnosti u prethodnoj godini</w:t>
      </w:r>
      <w:r w:rsidRPr="00676A9B">
        <w:rPr>
          <w:rFonts w:ascii="Arial" w:eastAsia="Calibri" w:hAnsi="Arial" w:cs="Arial"/>
          <w:sz w:val="20"/>
          <w:szCs w:val="20"/>
          <w:lang w:eastAsia="en-US"/>
        </w:rPr>
        <w:t>: Izvršenje je u okviru očekivanih vrijednosti.</w:t>
      </w:r>
    </w:p>
    <w:p w14:paraId="7E190FA3" w14:textId="77777777" w:rsidR="00676A9B" w:rsidRPr="00676A9B" w:rsidRDefault="00676A9B" w:rsidP="00676A9B">
      <w:pPr>
        <w:spacing w:after="0" w:line="240" w:lineRule="auto"/>
        <w:jc w:val="both"/>
        <w:rPr>
          <w:rFonts w:ascii="Arial" w:eastAsia="Calibri" w:hAnsi="Arial" w:cs="Arial"/>
          <w:b/>
          <w:sz w:val="20"/>
          <w:szCs w:val="20"/>
        </w:rPr>
      </w:pPr>
    </w:p>
    <w:p w14:paraId="2279D841" w14:textId="1D7C4703" w:rsidR="00676A9B" w:rsidRPr="00676A9B" w:rsidRDefault="00676A9B" w:rsidP="00676A9B">
      <w:pPr>
        <w:spacing w:after="0" w:line="240" w:lineRule="auto"/>
        <w:jc w:val="both"/>
        <w:rPr>
          <w:rFonts w:ascii="Arial" w:eastAsia="Times New Roman" w:hAnsi="Arial" w:cs="Arial"/>
          <w:sz w:val="20"/>
          <w:szCs w:val="20"/>
        </w:rPr>
      </w:pPr>
      <w:r w:rsidRPr="00676A9B">
        <w:rPr>
          <w:rFonts w:ascii="Arial" w:eastAsia="Calibri" w:hAnsi="Arial" w:cs="Arial"/>
          <w:sz w:val="20"/>
          <w:szCs w:val="20"/>
        </w:rPr>
        <w:t>Program demografskih mjera i socijalno zdravstvenih potreba za 202</w:t>
      </w:r>
      <w:r w:rsidR="00823DBA">
        <w:rPr>
          <w:rFonts w:ascii="Arial" w:eastAsia="Calibri" w:hAnsi="Arial" w:cs="Arial"/>
          <w:sz w:val="20"/>
          <w:szCs w:val="20"/>
        </w:rPr>
        <w:t>5</w:t>
      </w:r>
      <w:r w:rsidRPr="00676A9B">
        <w:rPr>
          <w:rFonts w:ascii="Arial" w:eastAsia="Calibri" w:hAnsi="Arial" w:cs="Arial"/>
          <w:sz w:val="20"/>
          <w:szCs w:val="20"/>
        </w:rPr>
        <w:t xml:space="preserve">. i raspored financijskih sredstava po korisnicima utvrđuje se na temelju </w:t>
      </w:r>
      <w:r w:rsidRPr="00676A9B">
        <w:rPr>
          <w:rFonts w:ascii="Arial" w:eastAsia="Times New Roman" w:hAnsi="Arial" w:cs="Arial"/>
          <w:sz w:val="20"/>
          <w:szCs w:val="20"/>
        </w:rPr>
        <w:t>Uredbe o kriterijima, mjerilima i postupcima financiranja i ugovaranja programa i projekata od interesa za opće dobro koje provode udruge (Narodne novine 26/2015, 37/2021), Pravilnika o financiranju programa, projekata i javnih potreba sredstvima proračuna Općine Konavle (Službeni glasnik Općine Konavle 8/2015, 5/2022),</w:t>
      </w:r>
      <w:r w:rsidRPr="00676A9B">
        <w:rPr>
          <w:rFonts w:ascii="Arial" w:eastAsia="Calibri" w:hAnsi="Arial" w:cs="Arial"/>
          <w:sz w:val="20"/>
          <w:szCs w:val="20"/>
        </w:rPr>
        <w:t xml:space="preserve"> Odluke općinskog </w:t>
      </w:r>
      <w:r w:rsidRPr="00676A9B">
        <w:rPr>
          <w:rFonts w:ascii="Arial" w:eastAsia="Calibri" w:hAnsi="Arial" w:cs="Arial"/>
          <w:sz w:val="20"/>
          <w:szCs w:val="20"/>
        </w:rPr>
        <w:lastRenderedPageBreak/>
        <w:t>načelnika o načinu raspodjele raspoloživih sredstava iz Proračuna Općine Konavle za 202</w:t>
      </w:r>
      <w:r w:rsidR="00823DBA">
        <w:rPr>
          <w:rFonts w:ascii="Arial" w:eastAsia="Calibri" w:hAnsi="Arial" w:cs="Arial"/>
          <w:sz w:val="20"/>
          <w:szCs w:val="20"/>
        </w:rPr>
        <w:t>5</w:t>
      </w:r>
      <w:r w:rsidRPr="00676A9B">
        <w:rPr>
          <w:rFonts w:ascii="Arial" w:eastAsia="Calibri" w:hAnsi="Arial" w:cs="Arial"/>
          <w:sz w:val="20"/>
          <w:szCs w:val="20"/>
        </w:rPr>
        <w:t xml:space="preserve">. namijenjenih financiranju projekata, programa i aktivnosti javnih potreba putem javnih, javnog natječaja / poziva, </w:t>
      </w:r>
      <w:r w:rsidRPr="00676A9B">
        <w:rPr>
          <w:rFonts w:ascii="Arial" w:eastAsia="Times New Roman" w:hAnsi="Arial" w:cs="Arial"/>
          <w:sz w:val="20"/>
          <w:szCs w:val="20"/>
        </w:rPr>
        <w:t>te Odluke o izvršavanju proračuna Općine Konavle.</w:t>
      </w:r>
    </w:p>
    <w:p w14:paraId="3769E8CA" w14:textId="77777777" w:rsidR="00676A9B" w:rsidRPr="00676A9B" w:rsidRDefault="00676A9B" w:rsidP="00676A9B">
      <w:pPr>
        <w:autoSpaceDE w:val="0"/>
        <w:autoSpaceDN w:val="0"/>
        <w:adjustRightInd w:val="0"/>
        <w:spacing w:after="0" w:line="240" w:lineRule="auto"/>
        <w:jc w:val="both"/>
        <w:rPr>
          <w:rFonts w:ascii="Arial" w:eastAsia="Calibri" w:hAnsi="Arial" w:cs="Arial"/>
          <w:b/>
          <w:sz w:val="20"/>
          <w:szCs w:val="20"/>
        </w:rPr>
      </w:pPr>
    </w:p>
    <w:p w14:paraId="7514698B" w14:textId="1D2083D3"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b/>
          <w:sz w:val="20"/>
          <w:szCs w:val="20"/>
        </w:rPr>
        <w:t>Javni poziv/natječaj</w:t>
      </w:r>
      <w:r w:rsidRPr="00676A9B">
        <w:rPr>
          <w:rFonts w:ascii="Arial" w:eastAsia="Calibri" w:hAnsi="Arial" w:cs="Arial"/>
          <w:sz w:val="20"/>
          <w:szCs w:val="20"/>
        </w:rPr>
        <w:t xml:space="preserve"> za financiranje javih potreba na području Općine Konavle za 202</w:t>
      </w:r>
      <w:r w:rsidR="00823DBA">
        <w:rPr>
          <w:rFonts w:ascii="Arial" w:eastAsia="Calibri" w:hAnsi="Arial" w:cs="Arial"/>
          <w:sz w:val="20"/>
          <w:szCs w:val="20"/>
        </w:rPr>
        <w:t>5</w:t>
      </w:r>
      <w:r w:rsidRPr="00676A9B">
        <w:rPr>
          <w:rFonts w:ascii="Arial" w:eastAsia="Calibri" w:hAnsi="Arial" w:cs="Arial"/>
          <w:sz w:val="20"/>
          <w:szCs w:val="20"/>
        </w:rPr>
        <w:t>. je objavljen</w:t>
      </w:r>
      <w:r w:rsidR="00A62D36">
        <w:rPr>
          <w:rFonts w:ascii="Arial" w:eastAsia="Calibri" w:hAnsi="Arial" w:cs="Arial"/>
          <w:sz w:val="20"/>
          <w:szCs w:val="20"/>
        </w:rPr>
        <w:t xml:space="preserve"> u ožujku 2025. godine, te su na temelju odabira programa </w:t>
      </w:r>
      <w:r w:rsidRPr="00676A9B">
        <w:rPr>
          <w:rFonts w:ascii="Arial" w:eastAsia="Calibri" w:hAnsi="Arial" w:cs="Arial"/>
          <w:sz w:val="20"/>
          <w:szCs w:val="20"/>
        </w:rPr>
        <w:t xml:space="preserve">zaključeni ugovori o financiranju </w:t>
      </w:r>
      <w:r w:rsidR="00A62D36">
        <w:rPr>
          <w:rFonts w:ascii="Arial" w:eastAsia="Calibri" w:hAnsi="Arial" w:cs="Arial"/>
          <w:sz w:val="20"/>
          <w:szCs w:val="20"/>
        </w:rPr>
        <w:t>javnih potreba u socijalnoj skrbi i zaštiti</w:t>
      </w:r>
      <w:r w:rsidRPr="00676A9B">
        <w:rPr>
          <w:rFonts w:ascii="Arial" w:eastAsia="Calibri" w:hAnsi="Arial" w:cs="Arial"/>
          <w:sz w:val="20"/>
          <w:szCs w:val="20"/>
        </w:rPr>
        <w:t>.</w:t>
      </w:r>
    </w:p>
    <w:p w14:paraId="2B21E35F"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4E1C8050" w14:textId="2C139965"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Ukupno planirana sredstva na razini programa 2043 iznose </w:t>
      </w:r>
      <w:r w:rsidR="00A62D36">
        <w:rPr>
          <w:rFonts w:ascii="Arial" w:eastAsia="Calibri" w:hAnsi="Arial" w:cs="Arial"/>
          <w:sz w:val="20"/>
          <w:szCs w:val="20"/>
          <w:lang w:eastAsia="en-US"/>
        </w:rPr>
        <w:t>82.130</w:t>
      </w:r>
      <w:r w:rsidRPr="00676A9B">
        <w:rPr>
          <w:rFonts w:ascii="Arial" w:eastAsia="Calibri" w:hAnsi="Arial" w:cs="Arial"/>
          <w:sz w:val="20"/>
          <w:szCs w:val="20"/>
          <w:lang w:eastAsia="en-US"/>
        </w:rPr>
        <w:t xml:space="preserve"> € za 202</w:t>
      </w:r>
      <w:r w:rsidR="00A62D36">
        <w:rPr>
          <w:rFonts w:ascii="Arial" w:eastAsia="Calibri" w:hAnsi="Arial" w:cs="Arial"/>
          <w:sz w:val="20"/>
          <w:szCs w:val="20"/>
          <w:lang w:eastAsia="en-US"/>
        </w:rPr>
        <w:t>5</w:t>
      </w:r>
      <w:r w:rsidRPr="00676A9B">
        <w:rPr>
          <w:rFonts w:ascii="Arial" w:eastAsia="Calibri" w:hAnsi="Arial" w:cs="Arial"/>
          <w:sz w:val="20"/>
          <w:szCs w:val="20"/>
          <w:lang w:eastAsia="en-US"/>
        </w:rPr>
        <w:t xml:space="preserve">. godinu, </w:t>
      </w:r>
      <w:r w:rsidR="00A62D36">
        <w:rPr>
          <w:rFonts w:ascii="Arial" w:eastAsia="Calibri" w:hAnsi="Arial" w:cs="Arial"/>
          <w:sz w:val="20"/>
          <w:szCs w:val="20"/>
          <w:lang w:eastAsia="en-US"/>
        </w:rPr>
        <w:t xml:space="preserve">te </w:t>
      </w:r>
      <w:r w:rsidR="00A62D36" w:rsidRPr="00A62D36">
        <w:rPr>
          <w:rFonts w:ascii="Arial" w:eastAsia="Calibri" w:hAnsi="Arial" w:cs="Arial"/>
          <w:sz w:val="20"/>
          <w:szCs w:val="20"/>
          <w:lang w:eastAsia="en-US"/>
        </w:rPr>
        <w:t>101.600 € za 2026. godinu i 102.600 € za 2027. godinu.</w:t>
      </w:r>
      <w:r w:rsidRPr="00676A9B">
        <w:rPr>
          <w:rFonts w:ascii="Arial" w:eastAsia="Calibri" w:hAnsi="Arial" w:cs="Arial"/>
          <w:sz w:val="20"/>
          <w:szCs w:val="20"/>
          <w:lang w:eastAsia="en-US"/>
        </w:rPr>
        <w:t>.</w:t>
      </w:r>
    </w:p>
    <w:p w14:paraId="36735DDF"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02E50191" w14:textId="7EAE6BF4"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Izvršenje za 202</w:t>
      </w:r>
      <w:r w:rsidR="00A62D36">
        <w:rPr>
          <w:rFonts w:ascii="Arial" w:eastAsia="Calibri" w:hAnsi="Arial" w:cs="Arial"/>
          <w:sz w:val="20"/>
          <w:szCs w:val="20"/>
        </w:rPr>
        <w:t>5</w:t>
      </w:r>
      <w:r w:rsidRPr="00676A9B">
        <w:rPr>
          <w:rFonts w:ascii="Arial" w:eastAsia="Calibri" w:hAnsi="Arial" w:cs="Arial"/>
          <w:sz w:val="20"/>
          <w:szCs w:val="20"/>
        </w:rPr>
        <w:t xml:space="preserve">. iznosi </w:t>
      </w:r>
      <w:r w:rsidR="00A62D36">
        <w:rPr>
          <w:rFonts w:ascii="Arial" w:eastAsia="Calibri" w:hAnsi="Arial" w:cs="Arial"/>
          <w:sz w:val="20"/>
          <w:szCs w:val="20"/>
        </w:rPr>
        <w:t>53.813,17</w:t>
      </w:r>
      <w:r w:rsidRPr="00676A9B">
        <w:rPr>
          <w:rFonts w:ascii="Arial" w:eastAsia="Calibri" w:hAnsi="Arial" w:cs="Arial"/>
          <w:sz w:val="20"/>
          <w:szCs w:val="20"/>
        </w:rPr>
        <w:t xml:space="preserve"> €, te je program izvršen u visini </w:t>
      </w:r>
      <w:r w:rsidR="00A62D36">
        <w:rPr>
          <w:rFonts w:ascii="Arial" w:eastAsia="Calibri" w:hAnsi="Arial" w:cs="Arial"/>
          <w:sz w:val="20"/>
          <w:szCs w:val="20"/>
        </w:rPr>
        <w:t>65,5</w:t>
      </w:r>
      <w:r w:rsidRPr="00676A9B">
        <w:rPr>
          <w:rFonts w:ascii="Arial" w:eastAsia="Calibri" w:hAnsi="Arial" w:cs="Arial"/>
          <w:sz w:val="20"/>
          <w:szCs w:val="20"/>
        </w:rPr>
        <w:t>% plana.</w:t>
      </w:r>
    </w:p>
    <w:p w14:paraId="2679CB14"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p w14:paraId="297088F9"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676A9B">
        <w:rPr>
          <w:rFonts w:ascii="Arial" w:eastAsia="Calibri" w:hAnsi="Arial" w:cs="Arial"/>
          <w:b/>
          <w:sz w:val="20"/>
          <w:szCs w:val="20"/>
          <w:lang w:eastAsia="en-US"/>
        </w:rPr>
        <w:t>Obrazloženje aktivnosti / projekata i pokazatelji uspješnosti</w:t>
      </w:r>
    </w:p>
    <w:p w14:paraId="5D43869B" w14:textId="77777777" w:rsidR="00676A9B" w:rsidRPr="00676A9B" w:rsidRDefault="00676A9B" w:rsidP="00676A9B">
      <w:pPr>
        <w:spacing w:after="0" w:line="240" w:lineRule="auto"/>
        <w:jc w:val="both"/>
        <w:rPr>
          <w:rFonts w:ascii="Arial" w:eastAsia="Calibri" w:hAnsi="Arial" w:cs="Arial"/>
          <w:sz w:val="20"/>
          <w:szCs w:val="20"/>
          <w:lang w:eastAsia="en-US"/>
        </w:rPr>
      </w:pPr>
    </w:p>
    <w:p w14:paraId="028FD376"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Unutar programa planirani su i izvode se slijedeće aktivnosti i projekti:</w:t>
      </w:r>
    </w:p>
    <w:p w14:paraId="62AFFF9A"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14ED9775" w14:textId="317489C4" w:rsid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1. A204301: Institucionalne potpore (redovne djelatnosti) i programi udrugama proizašlim iz Domovinskog rata </w:t>
      </w:r>
      <w:r w:rsidRPr="00676A9B">
        <w:rPr>
          <w:rFonts w:ascii="Arial" w:eastAsia="Calibri" w:hAnsi="Arial" w:cs="Arial"/>
          <w:sz w:val="20"/>
          <w:szCs w:val="20"/>
        </w:rPr>
        <w:t xml:space="preserve">- u sklopu navedene aktivnosti su rashodi za donacije udrugama u skladu s programom javnih potreba. Proračunska sredstva su planirana u iznosu </w:t>
      </w:r>
      <w:r w:rsidR="005F11F4">
        <w:rPr>
          <w:rFonts w:ascii="Arial" w:eastAsia="Calibri" w:hAnsi="Arial" w:cs="Arial"/>
          <w:sz w:val="20"/>
          <w:szCs w:val="20"/>
        </w:rPr>
        <w:t>3.490</w:t>
      </w:r>
      <w:r w:rsidRPr="00676A9B">
        <w:rPr>
          <w:rFonts w:ascii="Arial" w:eastAsia="Calibri" w:hAnsi="Arial" w:cs="Arial"/>
          <w:sz w:val="20"/>
          <w:szCs w:val="20"/>
        </w:rPr>
        <w:t xml:space="preserve"> €. </w:t>
      </w:r>
      <w:r w:rsidR="005F11F4">
        <w:rPr>
          <w:rFonts w:ascii="Arial" w:eastAsia="Calibri" w:hAnsi="Arial" w:cs="Arial"/>
          <w:sz w:val="20"/>
          <w:szCs w:val="20"/>
        </w:rPr>
        <w:t>Rashodi su izvršeni u planiranom iznosu.</w:t>
      </w:r>
    </w:p>
    <w:p w14:paraId="5085D46E" w14:textId="77777777" w:rsidR="005F11F4" w:rsidRDefault="005F11F4" w:rsidP="00676A9B">
      <w:pPr>
        <w:autoSpaceDE w:val="0"/>
        <w:autoSpaceDN w:val="0"/>
        <w:adjustRightInd w:val="0"/>
        <w:spacing w:after="0" w:line="240" w:lineRule="auto"/>
        <w:jc w:val="both"/>
        <w:rPr>
          <w:rFonts w:ascii="Arial" w:eastAsia="Calibri" w:hAnsi="Arial" w:cs="Arial"/>
          <w:sz w:val="20"/>
          <w:szCs w:val="20"/>
        </w:rPr>
      </w:pPr>
    </w:p>
    <w:p w14:paraId="43591BB8" w14:textId="48AA4506" w:rsidR="005F11F4" w:rsidRPr="00676A9B" w:rsidRDefault="005F11F4" w:rsidP="00676A9B">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Izvršeni rashodi se odnose na dva zaključena ugovora o financiranju javnih potreba u socijalnoj skrbi i zaštiti s dvije udruge proistekle iz Domovinskog rata (sufinanciranje hodočašća obitelji u svetište Marija Bistrica, te sufinanciranje obilježavanja 34. obljetnice osnutka 4. gardijske brigade).</w:t>
      </w:r>
    </w:p>
    <w:p w14:paraId="79D82C2E"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4"/>
        <w:tblW w:w="13887" w:type="dxa"/>
        <w:tblInd w:w="-5" w:type="dxa"/>
        <w:tblLayout w:type="fixed"/>
        <w:tblLook w:val="04A0" w:firstRow="1" w:lastRow="0" w:firstColumn="1" w:lastColumn="0" w:noHBand="0" w:noVBand="1"/>
      </w:tblPr>
      <w:tblGrid>
        <w:gridCol w:w="2381"/>
        <w:gridCol w:w="2859"/>
        <w:gridCol w:w="1275"/>
        <w:gridCol w:w="1134"/>
        <w:gridCol w:w="1134"/>
        <w:gridCol w:w="1276"/>
        <w:gridCol w:w="1276"/>
        <w:gridCol w:w="1276"/>
        <w:gridCol w:w="1276"/>
      </w:tblGrid>
      <w:tr w:rsidR="00676A9B" w:rsidRPr="00676A9B" w14:paraId="3A61B066" w14:textId="77777777" w:rsidTr="00410A4B">
        <w:tc>
          <w:tcPr>
            <w:tcW w:w="238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523E841"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28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D91F614"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27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39A4FD4"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1F56DE1"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F851FDD" w14:textId="55E961B6"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5F11F4">
              <w:rPr>
                <w:rFonts w:ascii="Arial" w:eastAsia="Calibri" w:hAnsi="Arial" w:cs="Arial"/>
                <w:lang w:eastAsia="en-US"/>
              </w:rPr>
              <w:t>4</w:t>
            </w:r>
            <w:r w:rsidRPr="00676A9B">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12433EF" w14:textId="10CB0B8E"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5F11F4">
              <w:rPr>
                <w:rFonts w:ascii="Arial" w:eastAsia="Calibri" w:hAnsi="Arial" w:cs="Arial"/>
                <w:lang w:eastAsia="en-US"/>
              </w:rPr>
              <w:t>5</w:t>
            </w:r>
            <w:r w:rsidRPr="00676A9B">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4E918B7" w14:textId="4C3714DD"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5F11F4">
              <w:rPr>
                <w:rFonts w:ascii="Arial" w:eastAsia="Calibri" w:hAnsi="Arial" w:cs="Arial"/>
                <w:lang w:eastAsia="en-US"/>
              </w:rPr>
              <w:t>5</w:t>
            </w:r>
            <w:r w:rsidRPr="00676A9B">
              <w:rPr>
                <w:rFonts w:ascii="Arial" w:eastAsia="Calibri" w:hAnsi="Arial" w:cs="Arial"/>
                <w:lang w:eastAsia="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D65E37E"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2025.</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8D54FC2"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2026.</w:t>
            </w:r>
          </w:p>
        </w:tc>
      </w:tr>
      <w:tr w:rsidR="00676A9B" w:rsidRPr="00676A9B" w14:paraId="65071BA9" w14:textId="77777777" w:rsidTr="00410A4B">
        <w:trPr>
          <w:trHeight w:val="931"/>
        </w:trPr>
        <w:tc>
          <w:tcPr>
            <w:tcW w:w="2381" w:type="dxa"/>
            <w:tcBorders>
              <w:top w:val="single" w:sz="4" w:space="0" w:color="auto"/>
              <w:left w:val="single" w:sz="4" w:space="0" w:color="auto"/>
              <w:bottom w:val="single" w:sz="4" w:space="0" w:color="auto"/>
              <w:right w:val="single" w:sz="4" w:space="0" w:color="auto"/>
            </w:tcBorders>
          </w:tcPr>
          <w:p w14:paraId="50B91A9C"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rPr>
              <w:t>Obavljanje poslova i postupka  vezanih uz financiranje programa i projekata udruga</w:t>
            </w:r>
          </w:p>
        </w:tc>
        <w:tc>
          <w:tcPr>
            <w:tcW w:w="2859" w:type="dxa"/>
            <w:tcBorders>
              <w:top w:val="single" w:sz="4" w:space="0" w:color="auto"/>
              <w:left w:val="single" w:sz="4" w:space="0" w:color="auto"/>
              <w:bottom w:val="single" w:sz="4" w:space="0" w:color="auto"/>
              <w:right w:val="single" w:sz="4" w:space="0" w:color="auto"/>
            </w:tcBorders>
          </w:tcPr>
          <w:p w14:paraId="683EBF8A"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rPr>
              <w:t>Provedbom natječaja za dodjelu sredstava omogućava se financiranje programa i projekata udruga koji su od javnog interesa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A470E6A"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Broj provedenih natječaja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00C6F6"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DD85A9"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205D8A60"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3F924098" w14:textId="3D210C12" w:rsidR="00676A9B" w:rsidRPr="00676A9B" w:rsidRDefault="005F11F4" w:rsidP="00676A9B">
            <w:pPr>
              <w:jc w:val="center"/>
              <w:rPr>
                <w:rFonts w:ascii="Arial" w:hAnsi="Arial" w:cs="Arial"/>
                <w:sz w:val="18"/>
                <w:szCs w:val="18"/>
                <w:lang w:eastAsia="en-US"/>
              </w:rPr>
            </w:pPr>
            <w:r>
              <w:rPr>
                <w:rFonts w:ascii="Arial" w:hAnsi="Arial" w:cs="Arial"/>
                <w:sz w:val="18"/>
                <w:szCs w:val="18"/>
                <w:lang w:eastAsia="en-US"/>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68C4D824"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2A4BD82" w14:textId="77777777" w:rsidR="00676A9B" w:rsidRPr="00676A9B" w:rsidRDefault="00676A9B" w:rsidP="00676A9B">
            <w:pPr>
              <w:jc w:val="center"/>
              <w:rPr>
                <w:rFonts w:ascii="Arial" w:hAnsi="Arial" w:cs="Arial"/>
                <w:sz w:val="18"/>
                <w:szCs w:val="18"/>
                <w:lang w:eastAsia="en-US"/>
              </w:rPr>
            </w:pPr>
            <w:r w:rsidRPr="00676A9B">
              <w:rPr>
                <w:rFonts w:ascii="Arial" w:hAnsi="Arial" w:cs="Arial"/>
                <w:sz w:val="18"/>
                <w:szCs w:val="18"/>
                <w:lang w:eastAsia="en-US"/>
              </w:rPr>
              <w:t>1</w:t>
            </w:r>
          </w:p>
        </w:tc>
      </w:tr>
    </w:tbl>
    <w:p w14:paraId="5CBD10C3" w14:textId="77777777" w:rsidR="00676A9B" w:rsidRPr="00676A9B" w:rsidRDefault="00676A9B" w:rsidP="00676A9B">
      <w:pPr>
        <w:spacing w:after="0" w:line="240" w:lineRule="auto"/>
        <w:jc w:val="both"/>
        <w:rPr>
          <w:rFonts w:ascii="Arial" w:eastAsia="Calibri" w:hAnsi="Arial" w:cs="Arial"/>
          <w:sz w:val="20"/>
          <w:szCs w:val="20"/>
          <w:lang w:eastAsia="en-US"/>
        </w:rPr>
      </w:pPr>
    </w:p>
    <w:p w14:paraId="739A940A" w14:textId="77777777" w:rsidR="00733063"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b/>
          <w:sz w:val="20"/>
          <w:szCs w:val="20"/>
        </w:rPr>
        <w:t>2. A204302: Program poticanja rada udruga za socijalnu skrb i zaštitu, te brigu o mladeži i starijim osobama</w:t>
      </w:r>
      <w:r w:rsidRPr="00676A9B">
        <w:rPr>
          <w:rFonts w:ascii="Arial" w:eastAsia="Calibri" w:hAnsi="Arial" w:cs="Arial"/>
          <w:sz w:val="20"/>
          <w:szCs w:val="20"/>
        </w:rPr>
        <w:t xml:space="preserve"> - u sklopu navedene aktivnosti su rashodi za donacije udrugama u skladu s programom javnih potreba. Planirana sredstva za provođenje navedene aktivnosti su prvotno iznosila </w:t>
      </w:r>
      <w:r w:rsidR="005F11F4">
        <w:rPr>
          <w:rFonts w:ascii="Arial" w:eastAsia="Calibri" w:hAnsi="Arial" w:cs="Arial"/>
          <w:sz w:val="20"/>
          <w:szCs w:val="20"/>
        </w:rPr>
        <w:t>7.640</w:t>
      </w:r>
      <w:r w:rsidRPr="00676A9B">
        <w:rPr>
          <w:rFonts w:ascii="Arial" w:eastAsia="Calibri" w:hAnsi="Arial" w:cs="Arial"/>
          <w:sz w:val="20"/>
          <w:szCs w:val="20"/>
        </w:rPr>
        <w:t xml:space="preserve"> €. </w:t>
      </w:r>
    </w:p>
    <w:p w14:paraId="3B755B87" w14:textId="77777777" w:rsidR="00733063" w:rsidRDefault="00733063" w:rsidP="00676A9B">
      <w:pPr>
        <w:autoSpaceDE w:val="0"/>
        <w:autoSpaceDN w:val="0"/>
        <w:adjustRightInd w:val="0"/>
        <w:spacing w:after="0" w:line="240" w:lineRule="auto"/>
        <w:jc w:val="both"/>
        <w:rPr>
          <w:rFonts w:ascii="Arial" w:eastAsia="Calibri" w:hAnsi="Arial" w:cs="Arial"/>
          <w:sz w:val="20"/>
          <w:szCs w:val="20"/>
        </w:rPr>
      </w:pPr>
    </w:p>
    <w:p w14:paraId="5C38F808" w14:textId="5CD03B07" w:rsidR="00676A9B" w:rsidRPr="00676A9B" w:rsidRDefault="005F11F4" w:rsidP="00676A9B">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Rashodi su izvršeni u planiranom iznosu, a odnose se na tri</w:t>
      </w:r>
      <w:r w:rsidRPr="005F11F4">
        <w:rPr>
          <w:rFonts w:ascii="Arial" w:eastAsia="Calibri" w:hAnsi="Arial" w:cs="Arial"/>
          <w:sz w:val="20"/>
          <w:szCs w:val="20"/>
        </w:rPr>
        <w:t xml:space="preserve"> zaključena ugovora o financiranju javnih potreba u socijalnoj skrbi i zaštiti s </w:t>
      </w:r>
      <w:r>
        <w:rPr>
          <w:rFonts w:ascii="Arial" w:eastAsia="Calibri" w:hAnsi="Arial" w:cs="Arial"/>
          <w:sz w:val="20"/>
          <w:szCs w:val="20"/>
        </w:rPr>
        <w:t xml:space="preserve">tri </w:t>
      </w:r>
      <w:r w:rsidRPr="005F11F4">
        <w:rPr>
          <w:rFonts w:ascii="Arial" w:eastAsia="Calibri" w:hAnsi="Arial" w:cs="Arial"/>
          <w:sz w:val="20"/>
          <w:szCs w:val="20"/>
        </w:rPr>
        <w:t>udruge</w:t>
      </w:r>
      <w:r w:rsidR="00733063">
        <w:rPr>
          <w:rFonts w:ascii="Arial" w:eastAsia="Calibri" w:hAnsi="Arial" w:cs="Arial"/>
          <w:sz w:val="20"/>
          <w:szCs w:val="20"/>
        </w:rPr>
        <w:t xml:space="preserve"> (sufinanciranje pomoći umirovljenicima slabijeg imovnog stanja, sufinanciranje programa promicanja i unapređenja kvalitete življenja umirovljenika, članova udruge s područja Konavala, te sufinanciranje obilježavanja 80. godišnjice Bleiburške tragedije i križnog puta hrvatskog naroda).</w:t>
      </w:r>
    </w:p>
    <w:p w14:paraId="10903A07"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080EE055" w14:textId="15A9DBDB"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t>3. A204303: Program osiguravanja pomoći učenicima s teškoćama u odgojno – obrazovnim ustanovama</w:t>
      </w:r>
      <w:r w:rsidRPr="00676A9B">
        <w:rPr>
          <w:rFonts w:ascii="Arial" w:eastAsia="Calibri" w:hAnsi="Arial" w:cs="Arial"/>
          <w:sz w:val="20"/>
          <w:szCs w:val="20"/>
        </w:rPr>
        <w:t xml:space="preserve"> - u sklopu navedene aktivnosti su rashodi za prijenose sredstava županijskom proračunu u dijelu kada je on nositelj provedbe ovog programa, te rashodi za prijenose udrugama. Planirana sredstva za provođenje navedene aktivnosti prvotno su iznosili 6.</w:t>
      </w:r>
      <w:r w:rsidR="00733063">
        <w:rPr>
          <w:rFonts w:ascii="Arial" w:eastAsia="Calibri" w:hAnsi="Arial" w:cs="Arial"/>
          <w:sz w:val="20"/>
          <w:szCs w:val="20"/>
        </w:rPr>
        <w:t>5</w:t>
      </w:r>
      <w:r w:rsidRPr="00676A9B">
        <w:rPr>
          <w:rFonts w:ascii="Arial" w:eastAsia="Calibri" w:hAnsi="Arial" w:cs="Arial"/>
          <w:sz w:val="20"/>
          <w:szCs w:val="20"/>
        </w:rPr>
        <w:t>00 €. Izmjenama proračuna rashodi nisu planirani niti su izvršeni.</w:t>
      </w:r>
    </w:p>
    <w:p w14:paraId="3DC0E2CA"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2BC924EB" w14:textId="6E71D888"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lastRenderedPageBreak/>
        <w:t>4. A204304: Program Programi socijalno – humanitarnih udruga i ustanova</w:t>
      </w:r>
      <w:r w:rsidRPr="00676A9B">
        <w:rPr>
          <w:rFonts w:ascii="Arial" w:eastAsia="Calibri" w:hAnsi="Arial" w:cs="Arial"/>
          <w:sz w:val="20"/>
          <w:szCs w:val="20"/>
        </w:rPr>
        <w:t xml:space="preserve"> - u sklopu navedene aktivnosti su rashodi za prijenose sredstava Crvenom križu i drugim humanitarnim udrugama i ustanovama. </w:t>
      </w:r>
      <w:bookmarkStart w:id="451" w:name="_Hlk135038323"/>
      <w:r w:rsidRPr="00676A9B">
        <w:rPr>
          <w:rFonts w:ascii="Arial" w:eastAsia="Calibri" w:hAnsi="Arial" w:cs="Arial"/>
          <w:sz w:val="20"/>
          <w:szCs w:val="20"/>
        </w:rPr>
        <w:t xml:space="preserve">Sredstva za provođenje navedene aktivnosti su planirana u iznosu </w:t>
      </w:r>
      <w:r w:rsidR="00733063">
        <w:rPr>
          <w:rFonts w:ascii="Arial" w:eastAsia="Calibri" w:hAnsi="Arial" w:cs="Arial"/>
          <w:sz w:val="20"/>
          <w:szCs w:val="20"/>
        </w:rPr>
        <w:t>50.700</w:t>
      </w:r>
      <w:r w:rsidRPr="00676A9B">
        <w:rPr>
          <w:rFonts w:ascii="Arial" w:eastAsia="Calibri" w:hAnsi="Arial" w:cs="Arial"/>
          <w:sz w:val="20"/>
          <w:szCs w:val="20"/>
        </w:rPr>
        <w:t xml:space="preserve"> €. Sukladno Zakonu o crvenom križu planiraju se sredstva, odnosno 0,7% sredstava prihoda jedinice umanjenih sukladno propisima. </w:t>
      </w:r>
    </w:p>
    <w:p w14:paraId="5E9A146D" w14:textId="77777777" w:rsidR="00676A9B" w:rsidRPr="00676A9B" w:rsidRDefault="00676A9B" w:rsidP="00676A9B">
      <w:pPr>
        <w:spacing w:after="0" w:line="240" w:lineRule="auto"/>
        <w:jc w:val="both"/>
        <w:rPr>
          <w:rFonts w:ascii="Arial" w:eastAsia="Calibri" w:hAnsi="Arial" w:cs="Arial"/>
          <w:sz w:val="20"/>
          <w:szCs w:val="20"/>
        </w:rPr>
      </w:pPr>
    </w:p>
    <w:p w14:paraId="393A34E5" w14:textId="52588EE0" w:rsidR="00733063" w:rsidRDefault="00676A9B" w:rsidP="00733063">
      <w:pPr>
        <w:spacing w:after="0" w:line="240" w:lineRule="auto"/>
        <w:jc w:val="both"/>
        <w:rPr>
          <w:rFonts w:ascii="Arial" w:eastAsia="Calibri" w:hAnsi="Arial" w:cs="Arial"/>
          <w:sz w:val="20"/>
          <w:szCs w:val="20"/>
        </w:rPr>
      </w:pPr>
      <w:bookmarkStart w:id="452" w:name="_Hlk166149721"/>
      <w:r w:rsidRPr="00676A9B">
        <w:rPr>
          <w:rFonts w:ascii="Arial" w:eastAsia="Calibri" w:hAnsi="Arial" w:cs="Arial"/>
          <w:sz w:val="20"/>
          <w:szCs w:val="20"/>
        </w:rPr>
        <w:t xml:space="preserve">U </w:t>
      </w:r>
      <w:r w:rsidR="00733063">
        <w:rPr>
          <w:rFonts w:ascii="Arial" w:eastAsia="Calibri" w:hAnsi="Arial" w:cs="Arial"/>
          <w:sz w:val="20"/>
          <w:szCs w:val="20"/>
        </w:rPr>
        <w:t>siječnju</w:t>
      </w:r>
      <w:r w:rsidRPr="00676A9B">
        <w:rPr>
          <w:rFonts w:ascii="Arial" w:eastAsia="Calibri" w:hAnsi="Arial" w:cs="Arial"/>
          <w:sz w:val="20"/>
          <w:szCs w:val="20"/>
        </w:rPr>
        <w:t xml:space="preserve"> 202</w:t>
      </w:r>
      <w:r w:rsidR="00733063">
        <w:rPr>
          <w:rFonts w:ascii="Arial" w:eastAsia="Calibri" w:hAnsi="Arial" w:cs="Arial"/>
          <w:sz w:val="20"/>
          <w:szCs w:val="20"/>
        </w:rPr>
        <w:t>5</w:t>
      </w:r>
      <w:r w:rsidRPr="00676A9B">
        <w:rPr>
          <w:rFonts w:ascii="Arial" w:eastAsia="Calibri" w:hAnsi="Arial" w:cs="Arial"/>
          <w:sz w:val="20"/>
          <w:szCs w:val="20"/>
        </w:rPr>
        <w:t xml:space="preserve">. zaključen je ugovor s Hrvatskim crvenim križem, Gradsko društvo Crvenog križa Dubrovnik (koje provodi akcije na području Općine) u iznosu </w:t>
      </w:r>
      <w:r w:rsidR="00733063">
        <w:rPr>
          <w:rFonts w:ascii="Arial" w:eastAsia="Calibri" w:hAnsi="Arial" w:cs="Arial"/>
          <w:sz w:val="20"/>
          <w:szCs w:val="20"/>
        </w:rPr>
        <w:t>20.000</w:t>
      </w:r>
      <w:r w:rsidRPr="00676A9B">
        <w:rPr>
          <w:rFonts w:ascii="Arial" w:eastAsia="Calibri" w:hAnsi="Arial" w:cs="Arial"/>
          <w:sz w:val="20"/>
          <w:szCs w:val="20"/>
        </w:rPr>
        <w:t xml:space="preserve"> </w:t>
      </w:r>
      <w:r w:rsidR="00733063">
        <w:rPr>
          <w:rFonts w:ascii="Arial" w:eastAsia="Calibri" w:hAnsi="Arial" w:cs="Arial"/>
          <w:sz w:val="20"/>
          <w:szCs w:val="20"/>
        </w:rPr>
        <w:t xml:space="preserve">€. </w:t>
      </w:r>
      <w:r w:rsidRPr="00676A9B">
        <w:rPr>
          <w:rFonts w:ascii="Arial" w:eastAsia="Calibri" w:hAnsi="Arial" w:cs="Arial"/>
          <w:sz w:val="20"/>
          <w:szCs w:val="20"/>
        </w:rPr>
        <w:t>Rashodi su izvršeni u ugovorenom iznosu</w:t>
      </w:r>
      <w:r w:rsidR="00733063">
        <w:rPr>
          <w:rFonts w:ascii="Arial" w:eastAsia="Calibri" w:hAnsi="Arial" w:cs="Arial"/>
          <w:sz w:val="20"/>
          <w:szCs w:val="20"/>
        </w:rPr>
        <w:t>.</w:t>
      </w:r>
    </w:p>
    <w:p w14:paraId="5C5EE80D" w14:textId="77777777" w:rsidR="00733063" w:rsidRPr="00733063" w:rsidRDefault="00733063" w:rsidP="00733063">
      <w:pPr>
        <w:spacing w:after="0" w:line="240" w:lineRule="auto"/>
        <w:jc w:val="both"/>
        <w:rPr>
          <w:rFonts w:ascii="Arial" w:eastAsia="Calibri" w:hAnsi="Arial" w:cs="Arial"/>
          <w:sz w:val="20"/>
          <w:szCs w:val="20"/>
        </w:rPr>
      </w:pPr>
    </w:p>
    <w:p w14:paraId="580E7742" w14:textId="7EB2CEAF" w:rsidR="00676A9B" w:rsidRPr="00676A9B" w:rsidRDefault="00733063" w:rsidP="00733063">
      <w:pPr>
        <w:spacing w:after="0" w:line="240" w:lineRule="auto"/>
        <w:jc w:val="both"/>
        <w:rPr>
          <w:rFonts w:ascii="Arial" w:eastAsia="Calibri" w:hAnsi="Arial" w:cs="Arial"/>
          <w:sz w:val="20"/>
          <w:szCs w:val="20"/>
        </w:rPr>
      </w:pPr>
      <w:r w:rsidRPr="00733063">
        <w:rPr>
          <w:rFonts w:ascii="Arial" w:eastAsia="Calibri" w:hAnsi="Arial" w:cs="Arial"/>
          <w:sz w:val="20"/>
          <w:szCs w:val="20"/>
        </w:rPr>
        <w:t>Na temelju provedenog javnog natječaja zaključen je ugovor s Caritasom dubrovačke biskupije za nabavu medicinskih krevete</w:t>
      </w:r>
      <w:r w:rsidR="00170BB3">
        <w:rPr>
          <w:rFonts w:ascii="Arial" w:eastAsia="Calibri" w:hAnsi="Arial" w:cs="Arial"/>
          <w:sz w:val="20"/>
          <w:szCs w:val="20"/>
        </w:rPr>
        <w:t>, a</w:t>
      </w:r>
      <w:r w:rsidRPr="00733063">
        <w:rPr>
          <w:rFonts w:ascii="Arial" w:eastAsia="Calibri" w:hAnsi="Arial" w:cs="Arial"/>
          <w:sz w:val="20"/>
          <w:szCs w:val="20"/>
        </w:rPr>
        <w:t xml:space="preserve"> izvršeni </w:t>
      </w:r>
      <w:r w:rsidR="00170BB3">
        <w:rPr>
          <w:rFonts w:ascii="Arial" w:eastAsia="Calibri" w:hAnsi="Arial" w:cs="Arial"/>
          <w:sz w:val="20"/>
          <w:szCs w:val="20"/>
        </w:rPr>
        <w:t xml:space="preserve">su </w:t>
      </w:r>
      <w:r w:rsidRPr="00733063">
        <w:rPr>
          <w:rFonts w:ascii="Arial" w:eastAsia="Calibri" w:hAnsi="Arial" w:cs="Arial"/>
          <w:sz w:val="20"/>
          <w:szCs w:val="20"/>
        </w:rPr>
        <w:t>rashodi 3.000 €.</w:t>
      </w:r>
    </w:p>
    <w:bookmarkEnd w:id="451"/>
    <w:bookmarkEnd w:id="452"/>
    <w:p w14:paraId="3E01FAC4" w14:textId="77777777" w:rsidR="00676A9B" w:rsidRPr="00676A9B" w:rsidRDefault="00676A9B" w:rsidP="00676A9B">
      <w:pPr>
        <w:spacing w:after="0" w:line="240" w:lineRule="auto"/>
        <w:jc w:val="both"/>
        <w:rPr>
          <w:rFonts w:ascii="Arial" w:eastAsia="Calibri" w:hAnsi="Arial" w:cs="Arial"/>
          <w:sz w:val="20"/>
          <w:szCs w:val="20"/>
        </w:rPr>
      </w:pPr>
    </w:p>
    <w:tbl>
      <w:tblPr>
        <w:tblStyle w:val="Reetkatablice5363"/>
        <w:tblW w:w="13577" w:type="dxa"/>
        <w:jc w:val="center"/>
        <w:tblLayout w:type="fixed"/>
        <w:tblLook w:val="04A0" w:firstRow="1" w:lastRow="0" w:firstColumn="1" w:lastColumn="0" w:noHBand="0" w:noVBand="1"/>
      </w:tblPr>
      <w:tblGrid>
        <w:gridCol w:w="2554"/>
        <w:gridCol w:w="2802"/>
        <w:gridCol w:w="992"/>
        <w:gridCol w:w="1276"/>
        <w:gridCol w:w="1454"/>
        <w:gridCol w:w="1097"/>
        <w:gridCol w:w="1134"/>
        <w:gridCol w:w="1134"/>
        <w:gridCol w:w="1134"/>
      </w:tblGrid>
      <w:tr w:rsidR="00676A9B" w:rsidRPr="00676A9B" w14:paraId="13FF72A5" w14:textId="77777777" w:rsidTr="00410A4B">
        <w:trPr>
          <w:jc w:val="center"/>
        </w:trPr>
        <w:tc>
          <w:tcPr>
            <w:tcW w:w="255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CFDF83C"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28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628F720"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C9D8507"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20547CA"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45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F9FFFF4" w14:textId="756067FF"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733063">
              <w:rPr>
                <w:rFonts w:ascii="Arial" w:eastAsia="Calibri" w:hAnsi="Arial" w:cs="Arial"/>
                <w:lang w:eastAsia="en-US"/>
              </w:rPr>
              <w:t>4</w:t>
            </w:r>
            <w:r w:rsidRPr="00676A9B">
              <w:rPr>
                <w:rFonts w:ascii="Arial" w:eastAsia="Calibri" w:hAnsi="Arial" w:cs="Arial"/>
                <w:lang w:eastAsia="en-US"/>
              </w:rPr>
              <w:t>.</w:t>
            </w:r>
          </w:p>
        </w:tc>
        <w:tc>
          <w:tcPr>
            <w:tcW w:w="109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82AF8E0" w14:textId="42262245"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733063">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39A7CEC" w14:textId="58735BB4"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733063">
              <w:rPr>
                <w:rFonts w:ascii="Arial" w:eastAsia="Calibri" w:hAnsi="Arial" w:cs="Arial"/>
                <w:lang w:eastAsia="en-US"/>
              </w:rPr>
              <w:t>5</w:t>
            </w:r>
            <w:r w:rsidRPr="00676A9B">
              <w:rPr>
                <w:rFonts w:ascii="Arial" w:eastAsia="Calibri" w:hAnsi="Arial" w:cs="Arial"/>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8B73184" w14:textId="64391C40"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733063">
              <w:rPr>
                <w:rFonts w:ascii="Arial" w:eastAsia="Calibri" w:hAnsi="Arial" w:cs="Arial"/>
                <w:lang w:eastAsia="en-US"/>
              </w:rPr>
              <w:t>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6F36F3F" w14:textId="07325981"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733063">
              <w:rPr>
                <w:rFonts w:ascii="Arial" w:eastAsia="Calibri" w:hAnsi="Arial" w:cs="Arial"/>
                <w:lang w:eastAsia="en-US"/>
              </w:rPr>
              <w:t>7</w:t>
            </w:r>
            <w:r w:rsidRPr="00676A9B">
              <w:rPr>
                <w:rFonts w:ascii="Arial" w:eastAsia="Calibri" w:hAnsi="Arial" w:cs="Arial"/>
                <w:lang w:eastAsia="en-US"/>
              </w:rPr>
              <w:t>.</w:t>
            </w:r>
          </w:p>
        </w:tc>
      </w:tr>
      <w:tr w:rsidR="00676A9B" w:rsidRPr="00676A9B" w14:paraId="49F156D5" w14:textId="77777777" w:rsidTr="00410A4B">
        <w:trPr>
          <w:trHeight w:val="777"/>
          <w:jc w:val="center"/>
        </w:trPr>
        <w:tc>
          <w:tcPr>
            <w:tcW w:w="2554" w:type="dxa"/>
            <w:tcBorders>
              <w:top w:val="single" w:sz="4" w:space="0" w:color="auto"/>
              <w:left w:val="single" w:sz="4" w:space="0" w:color="auto"/>
              <w:bottom w:val="single" w:sz="4" w:space="0" w:color="auto"/>
              <w:right w:val="single" w:sz="4" w:space="0" w:color="auto"/>
            </w:tcBorders>
          </w:tcPr>
          <w:p w14:paraId="49DDE49B" w14:textId="77777777" w:rsidR="00676A9B" w:rsidRPr="00676A9B" w:rsidRDefault="00676A9B" w:rsidP="00676A9B">
            <w:pPr>
              <w:rPr>
                <w:rFonts w:ascii="Arial" w:hAnsi="Arial" w:cs="Arial"/>
                <w:sz w:val="18"/>
                <w:szCs w:val="18"/>
                <w:lang w:eastAsia="en-US"/>
              </w:rPr>
            </w:pPr>
            <w:r w:rsidRPr="00676A9B">
              <w:rPr>
                <w:rFonts w:ascii="Arial" w:hAnsi="Arial" w:cs="Arial"/>
                <w:sz w:val="18"/>
                <w:szCs w:val="18"/>
              </w:rPr>
              <w:t>Osiguravanje sredstava za isplatu u skladu sa Zakonom o Hrvatskom crvenom križu</w:t>
            </w:r>
          </w:p>
        </w:tc>
        <w:tc>
          <w:tcPr>
            <w:tcW w:w="2802" w:type="dxa"/>
            <w:tcBorders>
              <w:top w:val="single" w:sz="4" w:space="0" w:color="auto"/>
              <w:left w:val="single" w:sz="4" w:space="0" w:color="auto"/>
              <w:bottom w:val="single" w:sz="4" w:space="0" w:color="auto"/>
              <w:right w:val="single" w:sz="4" w:space="0" w:color="auto"/>
            </w:tcBorders>
          </w:tcPr>
          <w:p w14:paraId="6097DEC8" w14:textId="77777777" w:rsidR="00676A9B" w:rsidRPr="00676A9B" w:rsidRDefault="00676A9B" w:rsidP="00676A9B">
            <w:pPr>
              <w:autoSpaceDE w:val="0"/>
              <w:autoSpaceDN w:val="0"/>
              <w:adjustRightInd w:val="0"/>
              <w:rPr>
                <w:rFonts w:ascii="Arial" w:hAnsi="Arial" w:cs="Arial"/>
                <w:sz w:val="16"/>
                <w:szCs w:val="16"/>
                <w:lang w:eastAsia="en-US"/>
              </w:rPr>
            </w:pPr>
            <w:r w:rsidRPr="00676A9B">
              <w:rPr>
                <w:rFonts w:ascii="Arial" w:hAnsi="Arial" w:cs="Arial"/>
                <w:sz w:val="16"/>
                <w:szCs w:val="16"/>
              </w:rPr>
              <w:t>Redovito financiranje Gradskog društva Crvenog križa u skladu s zaključenim ugovorom temeljem dostavljenog programa rada.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D4A7BA5" w14:textId="77777777" w:rsidR="00676A9B" w:rsidRPr="00676A9B" w:rsidRDefault="00676A9B" w:rsidP="00676A9B">
            <w:pPr>
              <w:jc w:val="center"/>
              <w:rPr>
                <w:rFonts w:ascii="Arial" w:hAnsi="Arial" w:cs="Arial"/>
                <w:lang w:eastAsia="en-US"/>
              </w:rPr>
            </w:pPr>
            <w:r w:rsidRPr="00676A9B">
              <w:rPr>
                <w:rFonts w:ascii="Arial" w:hAnsi="Arial" w:cs="Arial"/>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762C60" w14:textId="77777777" w:rsidR="00676A9B" w:rsidRPr="00676A9B" w:rsidRDefault="00676A9B" w:rsidP="00676A9B">
            <w:pPr>
              <w:jc w:val="center"/>
              <w:rPr>
                <w:rFonts w:ascii="Arial" w:hAnsi="Arial" w:cs="Arial"/>
                <w:lang w:eastAsia="en-US"/>
              </w:rPr>
            </w:pPr>
            <w:r w:rsidRPr="00676A9B">
              <w:rPr>
                <w:rFonts w:ascii="Arial" w:hAnsi="Arial" w:cs="Arial"/>
                <w:lang w:eastAsia="en-US"/>
              </w:rPr>
              <w:t>Općina</w:t>
            </w:r>
          </w:p>
        </w:tc>
        <w:tc>
          <w:tcPr>
            <w:tcW w:w="1454" w:type="dxa"/>
            <w:tcBorders>
              <w:top w:val="single" w:sz="4" w:space="0" w:color="auto"/>
              <w:left w:val="single" w:sz="4" w:space="0" w:color="auto"/>
              <w:bottom w:val="single" w:sz="4" w:space="0" w:color="auto"/>
              <w:right w:val="single" w:sz="4" w:space="0" w:color="auto"/>
            </w:tcBorders>
            <w:vAlign w:val="center"/>
          </w:tcPr>
          <w:p w14:paraId="69914AFF"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097" w:type="dxa"/>
            <w:tcBorders>
              <w:top w:val="single" w:sz="4" w:space="0" w:color="000000"/>
              <w:left w:val="single" w:sz="4" w:space="0" w:color="000000"/>
              <w:bottom w:val="single" w:sz="4" w:space="0" w:color="000000"/>
              <w:right w:val="single" w:sz="4" w:space="0" w:color="000000"/>
            </w:tcBorders>
            <w:vAlign w:val="center"/>
          </w:tcPr>
          <w:p w14:paraId="05F6F6AD"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6E61FCBF"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402A2A8A"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2CAED36A"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r>
    </w:tbl>
    <w:p w14:paraId="4A9D149A" w14:textId="77777777" w:rsidR="00676A9B" w:rsidRPr="00676A9B" w:rsidRDefault="00676A9B" w:rsidP="00676A9B">
      <w:pPr>
        <w:spacing w:after="0" w:line="240" w:lineRule="auto"/>
        <w:jc w:val="both"/>
        <w:rPr>
          <w:rFonts w:ascii="Arial" w:eastAsia="Calibri" w:hAnsi="Arial" w:cs="Arial"/>
          <w:sz w:val="20"/>
          <w:szCs w:val="20"/>
          <w:lang w:eastAsia="en-US"/>
        </w:rPr>
      </w:pPr>
    </w:p>
    <w:p w14:paraId="072C2F04" w14:textId="65A966BE"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t>5. A204305: Programi za unapređenje kvalitete življenja osoba s invaliditetom, osoba s posebnim potrebama i dr.</w:t>
      </w:r>
      <w:r w:rsidRPr="00676A9B">
        <w:rPr>
          <w:rFonts w:ascii="Arial" w:eastAsia="Calibri" w:hAnsi="Arial" w:cs="Arial"/>
          <w:sz w:val="20"/>
          <w:szCs w:val="20"/>
        </w:rPr>
        <w:t xml:space="preserve"> - u sklopu navedene aktivnosti su rashodi za prijenose sredstava proračunskim korisnicima drugog proračuna kada im se dodjeljuju sredstva za unapređenje kvalitete življenja osoba s invaliditetom, osoba s posebnim potrebama i sl. Planirana sredstva za provođenje navedene aktivnosti iznose </w:t>
      </w:r>
      <w:r w:rsidR="00A43805">
        <w:rPr>
          <w:rFonts w:ascii="Arial" w:eastAsia="Calibri" w:hAnsi="Arial" w:cs="Arial"/>
          <w:sz w:val="20"/>
          <w:szCs w:val="20"/>
        </w:rPr>
        <w:t>16.300</w:t>
      </w:r>
      <w:r w:rsidRPr="00676A9B">
        <w:rPr>
          <w:rFonts w:ascii="Arial" w:eastAsia="Calibri" w:hAnsi="Arial" w:cs="Arial"/>
          <w:sz w:val="20"/>
          <w:szCs w:val="20"/>
        </w:rPr>
        <w:t xml:space="preserve"> €.</w:t>
      </w:r>
    </w:p>
    <w:p w14:paraId="4514627A" w14:textId="77777777" w:rsidR="00676A9B" w:rsidRPr="00676A9B" w:rsidRDefault="00676A9B" w:rsidP="00676A9B">
      <w:pPr>
        <w:spacing w:after="0" w:line="240" w:lineRule="auto"/>
        <w:jc w:val="both"/>
        <w:rPr>
          <w:rFonts w:ascii="Arial" w:eastAsia="Calibri" w:hAnsi="Arial" w:cs="Arial"/>
          <w:sz w:val="20"/>
          <w:szCs w:val="20"/>
        </w:rPr>
      </w:pPr>
    </w:p>
    <w:p w14:paraId="7B92A505" w14:textId="3992A915" w:rsidR="00676A9B" w:rsidRDefault="00A43805" w:rsidP="00676A9B">
      <w:pPr>
        <w:spacing w:after="0" w:line="240" w:lineRule="auto"/>
        <w:jc w:val="both"/>
        <w:rPr>
          <w:rFonts w:ascii="Arial" w:eastAsia="Calibri" w:hAnsi="Arial" w:cs="Arial"/>
          <w:sz w:val="20"/>
          <w:szCs w:val="20"/>
        </w:rPr>
      </w:pPr>
      <w:r w:rsidRPr="00A43805">
        <w:rPr>
          <w:rFonts w:ascii="Arial" w:eastAsia="Calibri" w:hAnsi="Arial" w:cs="Arial"/>
          <w:sz w:val="20"/>
          <w:szCs w:val="20"/>
        </w:rPr>
        <w:t>U 2025. ovi rashodi su izvršeni u iznosu 16.278,60 € ili 99,9% i odnose se na poticanje zapošljavanja socijalno osjetljivih skupina i teže zapošljivih skupina u neprofitnom sektoru. Rashodi su izvršeni za zapošljavanje mlade invalidne osobe u osnovnoj školi (prema zaključenom ugovoru o suradnji na projektu zapošljavanje invalidne osobe s Osnovnom školom Cavtat iz siječnja 2025.) (mjesečno rashodi u visini bruto minimalne plaće uvećano za doprinose na plaću i prijevoz – bruto plaća 970 €, prijevoz 80 €, naknada za Božić i Uskrs, te regres).</w:t>
      </w:r>
    </w:p>
    <w:p w14:paraId="61132882" w14:textId="77777777" w:rsidR="00A43805" w:rsidRPr="00676A9B" w:rsidRDefault="00A43805" w:rsidP="00676A9B">
      <w:pPr>
        <w:spacing w:after="0" w:line="240" w:lineRule="auto"/>
        <w:jc w:val="both"/>
        <w:rPr>
          <w:rFonts w:ascii="Arial" w:eastAsia="Calibri" w:hAnsi="Arial" w:cs="Arial"/>
          <w:sz w:val="20"/>
          <w:szCs w:val="20"/>
        </w:rPr>
      </w:pPr>
    </w:p>
    <w:tbl>
      <w:tblPr>
        <w:tblStyle w:val="Reetkatablice5363"/>
        <w:tblW w:w="14070" w:type="dxa"/>
        <w:jc w:val="center"/>
        <w:tblLayout w:type="fixed"/>
        <w:tblLook w:val="04A0" w:firstRow="1" w:lastRow="0" w:firstColumn="1" w:lastColumn="0" w:noHBand="0" w:noVBand="1"/>
      </w:tblPr>
      <w:tblGrid>
        <w:gridCol w:w="2693"/>
        <w:gridCol w:w="2972"/>
        <w:gridCol w:w="1276"/>
        <w:gridCol w:w="1134"/>
        <w:gridCol w:w="1496"/>
        <w:gridCol w:w="1097"/>
        <w:gridCol w:w="1134"/>
        <w:gridCol w:w="1134"/>
        <w:gridCol w:w="1134"/>
      </w:tblGrid>
      <w:tr w:rsidR="00676A9B" w:rsidRPr="00676A9B" w14:paraId="132E82D9" w14:textId="77777777" w:rsidTr="00410A4B">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3D1B225"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Pokazatelj rezultata</w:t>
            </w:r>
          </w:p>
        </w:tc>
        <w:tc>
          <w:tcPr>
            <w:tcW w:w="297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EABFCB2"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70A2EE8"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CB61F86"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49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1E415B8" w14:textId="0E301039"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A43805">
              <w:rPr>
                <w:rFonts w:ascii="Arial" w:eastAsia="Calibri" w:hAnsi="Arial" w:cs="Arial"/>
                <w:lang w:eastAsia="en-US"/>
              </w:rPr>
              <w:t>4</w:t>
            </w:r>
            <w:r w:rsidRPr="00676A9B">
              <w:rPr>
                <w:rFonts w:ascii="Arial" w:eastAsia="Calibri" w:hAnsi="Arial" w:cs="Arial"/>
                <w:lang w:eastAsia="en-US"/>
              </w:rPr>
              <w:t>.</w:t>
            </w:r>
          </w:p>
        </w:tc>
        <w:tc>
          <w:tcPr>
            <w:tcW w:w="109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221CF9" w14:textId="27EAF9FD"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A43805">
              <w:rPr>
                <w:rFonts w:ascii="Arial" w:eastAsia="Calibri" w:hAnsi="Arial" w:cs="Arial"/>
                <w:lang w:eastAsia="en-US"/>
              </w:rPr>
              <w:t>5</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5BE29DD" w14:textId="1DE4AF2A"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A43805">
              <w:rPr>
                <w:rFonts w:ascii="Arial" w:eastAsia="Calibri" w:hAnsi="Arial" w:cs="Arial"/>
                <w:lang w:eastAsia="en-US"/>
              </w:rPr>
              <w:t>5</w:t>
            </w:r>
            <w:r w:rsidRPr="00676A9B">
              <w:rPr>
                <w:rFonts w:ascii="Arial" w:eastAsia="Calibri" w:hAnsi="Arial" w:cs="Arial"/>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B58DFF9" w14:textId="682E922F"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w:t>
            </w:r>
            <w:r w:rsidR="00A43805">
              <w:rPr>
                <w:rFonts w:ascii="Arial" w:eastAsia="Calibri" w:hAnsi="Arial" w:cs="Arial"/>
                <w:lang w:eastAsia="en-US"/>
              </w:rPr>
              <w:t>26</w:t>
            </w:r>
            <w:r w:rsidRPr="00676A9B">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B952162" w14:textId="04DB134F"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A43805">
              <w:rPr>
                <w:rFonts w:ascii="Arial" w:eastAsia="Calibri" w:hAnsi="Arial" w:cs="Arial"/>
                <w:lang w:eastAsia="en-US"/>
              </w:rPr>
              <w:t>7</w:t>
            </w:r>
            <w:r w:rsidRPr="00676A9B">
              <w:rPr>
                <w:rFonts w:ascii="Arial" w:eastAsia="Calibri" w:hAnsi="Arial" w:cs="Arial"/>
                <w:lang w:eastAsia="en-US"/>
              </w:rPr>
              <w:t>.</w:t>
            </w:r>
          </w:p>
        </w:tc>
      </w:tr>
      <w:tr w:rsidR="00676A9B" w:rsidRPr="00676A9B" w14:paraId="6FDCAECF" w14:textId="77777777" w:rsidTr="00410A4B">
        <w:trPr>
          <w:trHeight w:val="748"/>
          <w:jc w:val="center"/>
        </w:trPr>
        <w:tc>
          <w:tcPr>
            <w:tcW w:w="2693" w:type="dxa"/>
            <w:tcBorders>
              <w:top w:val="single" w:sz="4" w:space="0" w:color="auto"/>
              <w:left w:val="single" w:sz="4" w:space="0" w:color="auto"/>
              <w:bottom w:val="single" w:sz="4" w:space="0" w:color="auto"/>
              <w:right w:val="single" w:sz="4" w:space="0" w:color="auto"/>
            </w:tcBorders>
            <w:vAlign w:val="center"/>
          </w:tcPr>
          <w:p w14:paraId="7A5E74ED" w14:textId="77777777" w:rsidR="00676A9B" w:rsidRPr="00676A9B" w:rsidRDefault="00676A9B" w:rsidP="00676A9B">
            <w:pPr>
              <w:rPr>
                <w:rFonts w:ascii="Arial" w:hAnsi="Arial" w:cs="Arial"/>
                <w:sz w:val="16"/>
                <w:szCs w:val="16"/>
                <w:lang w:eastAsia="en-US"/>
              </w:rPr>
            </w:pPr>
            <w:r w:rsidRPr="00676A9B">
              <w:rPr>
                <w:rFonts w:ascii="Arial" w:hAnsi="Arial" w:cs="Arial"/>
                <w:sz w:val="16"/>
                <w:szCs w:val="16"/>
              </w:rPr>
              <w:t>Osiguravanje sredstava za isplatu sredstava za poticanje zapošljavanja socijalno osjetljivih skupina (invalidne osobe i slično)</w:t>
            </w:r>
          </w:p>
        </w:tc>
        <w:tc>
          <w:tcPr>
            <w:tcW w:w="2972" w:type="dxa"/>
            <w:tcBorders>
              <w:top w:val="single" w:sz="4" w:space="0" w:color="auto"/>
              <w:left w:val="single" w:sz="4" w:space="0" w:color="auto"/>
              <w:bottom w:val="single" w:sz="4" w:space="0" w:color="auto"/>
              <w:right w:val="single" w:sz="4" w:space="0" w:color="auto"/>
            </w:tcBorders>
            <w:vAlign w:val="center"/>
          </w:tcPr>
          <w:p w14:paraId="14B8ADD9" w14:textId="77777777" w:rsidR="00676A9B" w:rsidRPr="00676A9B" w:rsidRDefault="00676A9B" w:rsidP="00676A9B">
            <w:pPr>
              <w:autoSpaceDE w:val="0"/>
              <w:autoSpaceDN w:val="0"/>
              <w:adjustRightInd w:val="0"/>
              <w:rPr>
                <w:rFonts w:ascii="Arial" w:hAnsi="Arial" w:cs="Arial"/>
                <w:sz w:val="18"/>
                <w:szCs w:val="18"/>
                <w:lang w:eastAsia="en-US"/>
              </w:rPr>
            </w:pPr>
            <w:r w:rsidRPr="00676A9B">
              <w:rPr>
                <w:rFonts w:ascii="Arial" w:hAnsi="Arial" w:cs="Arial"/>
                <w:sz w:val="18"/>
                <w:szCs w:val="18"/>
              </w:rPr>
              <w:t>Redovito financiranje u skladu s zaključenim ugovorom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F21A27" w14:textId="77777777" w:rsidR="00676A9B" w:rsidRPr="00676A9B" w:rsidRDefault="00676A9B" w:rsidP="00676A9B">
            <w:pPr>
              <w:jc w:val="center"/>
              <w:rPr>
                <w:rFonts w:ascii="Arial" w:hAnsi="Arial" w:cs="Arial"/>
                <w:lang w:eastAsia="en-US"/>
              </w:rPr>
            </w:pPr>
            <w:r w:rsidRPr="00676A9B">
              <w:rPr>
                <w:rFonts w:ascii="Arial"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E2061C" w14:textId="77777777" w:rsidR="00676A9B" w:rsidRPr="00676A9B" w:rsidRDefault="00676A9B" w:rsidP="00676A9B">
            <w:pPr>
              <w:jc w:val="center"/>
              <w:rPr>
                <w:rFonts w:ascii="Arial" w:hAnsi="Arial" w:cs="Arial"/>
                <w:lang w:eastAsia="en-US"/>
              </w:rPr>
            </w:pPr>
            <w:r w:rsidRPr="00676A9B">
              <w:rPr>
                <w:rFonts w:ascii="Arial" w:hAnsi="Arial" w:cs="Arial"/>
                <w:lang w:eastAsia="en-US"/>
              </w:rPr>
              <w:t>Općina</w:t>
            </w:r>
          </w:p>
        </w:tc>
        <w:tc>
          <w:tcPr>
            <w:tcW w:w="1496" w:type="dxa"/>
            <w:tcBorders>
              <w:top w:val="single" w:sz="4" w:space="0" w:color="auto"/>
              <w:left w:val="single" w:sz="4" w:space="0" w:color="auto"/>
              <w:bottom w:val="single" w:sz="4" w:space="0" w:color="auto"/>
              <w:right w:val="single" w:sz="4" w:space="0" w:color="auto"/>
            </w:tcBorders>
            <w:vAlign w:val="center"/>
          </w:tcPr>
          <w:p w14:paraId="37114600"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097" w:type="dxa"/>
            <w:tcBorders>
              <w:top w:val="single" w:sz="4" w:space="0" w:color="000000"/>
              <w:left w:val="single" w:sz="4" w:space="0" w:color="000000"/>
              <w:bottom w:val="single" w:sz="4" w:space="0" w:color="000000"/>
              <w:right w:val="single" w:sz="4" w:space="0" w:color="000000"/>
            </w:tcBorders>
            <w:vAlign w:val="center"/>
          </w:tcPr>
          <w:p w14:paraId="2CB74212"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0D6E7EBD"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6300D619"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32227B30" w14:textId="77777777" w:rsidR="00676A9B" w:rsidRPr="00676A9B" w:rsidRDefault="00676A9B" w:rsidP="00676A9B">
            <w:pPr>
              <w:jc w:val="center"/>
              <w:rPr>
                <w:rFonts w:ascii="Arial" w:hAnsi="Arial" w:cs="Arial"/>
                <w:lang w:eastAsia="en-US"/>
              </w:rPr>
            </w:pPr>
            <w:r w:rsidRPr="00676A9B">
              <w:rPr>
                <w:rFonts w:ascii="Arial" w:hAnsi="Arial" w:cs="Arial"/>
                <w:lang w:eastAsia="en-US"/>
              </w:rPr>
              <w:t>100 %</w:t>
            </w:r>
          </w:p>
        </w:tc>
      </w:tr>
    </w:tbl>
    <w:p w14:paraId="002B3B42" w14:textId="77777777" w:rsidR="00676A9B" w:rsidRPr="00676A9B" w:rsidRDefault="00676A9B" w:rsidP="00676A9B">
      <w:pPr>
        <w:spacing w:after="0" w:line="240" w:lineRule="auto"/>
        <w:jc w:val="both"/>
        <w:rPr>
          <w:rFonts w:ascii="Arial" w:eastAsia="Calibri" w:hAnsi="Arial" w:cs="Arial"/>
          <w:sz w:val="20"/>
          <w:szCs w:val="20"/>
          <w:lang w:eastAsia="en-US"/>
        </w:rPr>
      </w:pPr>
    </w:p>
    <w:p w14:paraId="158CF06D" w14:textId="048A5F70"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bookmarkStart w:id="453" w:name="_Hlk198885532"/>
      <w:r w:rsidRPr="00676A9B">
        <w:rPr>
          <w:rFonts w:ascii="Arial" w:eastAsia="Calibri" w:hAnsi="Arial" w:cs="Arial"/>
          <w:b/>
          <w:sz w:val="20"/>
          <w:szCs w:val="20"/>
        </w:rPr>
        <w:t>6. A204306: Program prevencije ovisnosti i društveno neprihvatljivog ponašanja djece i mladih</w:t>
      </w:r>
      <w:r w:rsidRPr="00676A9B">
        <w:rPr>
          <w:rFonts w:ascii="Arial" w:eastAsia="Calibri" w:hAnsi="Arial" w:cs="Arial"/>
          <w:sz w:val="20"/>
          <w:szCs w:val="20"/>
        </w:rPr>
        <w:t xml:space="preserve"> - u sklopu navedene aktivnosti su rashodi za donacije, te rashodi materijalne troškove. Planirana sredstva za provođenje navedene aktivnosti iznose </w:t>
      </w:r>
      <w:r w:rsidR="00A43805">
        <w:rPr>
          <w:rFonts w:ascii="Arial" w:eastAsia="Calibri" w:hAnsi="Arial" w:cs="Arial"/>
          <w:sz w:val="20"/>
          <w:szCs w:val="20"/>
        </w:rPr>
        <w:t>4</w:t>
      </w:r>
      <w:r w:rsidRPr="00676A9B">
        <w:rPr>
          <w:rFonts w:ascii="Arial" w:eastAsia="Calibri" w:hAnsi="Arial" w:cs="Arial"/>
          <w:sz w:val="20"/>
          <w:szCs w:val="20"/>
        </w:rPr>
        <w:t xml:space="preserve">.000 €. </w:t>
      </w:r>
      <w:r w:rsidR="00A43805" w:rsidRPr="00A43805">
        <w:rPr>
          <w:rFonts w:ascii="Arial" w:eastAsia="Calibri" w:hAnsi="Arial" w:cs="Arial"/>
          <w:sz w:val="20"/>
          <w:szCs w:val="20"/>
        </w:rPr>
        <w:t>Ovi rashodi su izvršeni u iznosu 3.404,57 € i odnose se na tisak brošure nasilje i mladi u iznosu 424,37 €, predavanje profesora dr.sc. Slav</w:t>
      </w:r>
      <w:r w:rsidR="00B24AAD">
        <w:rPr>
          <w:rFonts w:ascii="Arial" w:eastAsia="Calibri" w:hAnsi="Arial" w:cs="Arial"/>
          <w:sz w:val="20"/>
          <w:szCs w:val="20"/>
        </w:rPr>
        <w:t>k</w:t>
      </w:r>
      <w:r w:rsidR="00A43805" w:rsidRPr="00A43805">
        <w:rPr>
          <w:rFonts w:ascii="Arial" w:eastAsia="Calibri" w:hAnsi="Arial" w:cs="Arial"/>
          <w:sz w:val="20"/>
          <w:szCs w:val="20"/>
        </w:rPr>
        <w:t>a Sakomana o ovisnosti i drogama u iznosu 2.480,20 € i snimanje navedenog predavanja 500 €.</w:t>
      </w:r>
    </w:p>
    <w:bookmarkEnd w:id="453"/>
    <w:p w14:paraId="5AF047D6"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p>
    <w:p w14:paraId="4F00B477" w14:textId="6AE2F450" w:rsidR="00676A9B" w:rsidRPr="00676A9B" w:rsidRDefault="00B24AAD" w:rsidP="00676A9B">
      <w:pPr>
        <w:autoSpaceDE w:val="0"/>
        <w:autoSpaceDN w:val="0"/>
        <w:adjustRightInd w:val="0"/>
        <w:spacing w:after="0" w:line="240" w:lineRule="auto"/>
        <w:ind w:left="567"/>
        <w:jc w:val="both"/>
        <w:rPr>
          <w:rFonts w:ascii="Arial" w:eastAsia="Calibri" w:hAnsi="Arial" w:cs="Arial"/>
          <w:sz w:val="18"/>
          <w:szCs w:val="18"/>
        </w:rPr>
      </w:pPr>
      <w:r>
        <w:rPr>
          <w:rFonts w:ascii="Arial" w:eastAsia="Calibri" w:hAnsi="Arial" w:cs="Arial"/>
          <w:sz w:val="18"/>
          <w:szCs w:val="18"/>
        </w:rPr>
        <w:t>U 2024. godini nije bilo rashoda, a u</w:t>
      </w:r>
      <w:r w:rsidR="00676A9B" w:rsidRPr="00676A9B">
        <w:rPr>
          <w:rFonts w:ascii="Arial" w:eastAsia="Calibri" w:hAnsi="Arial" w:cs="Arial"/>
          <w:sz w:val="18"/>
          <w:szCs w:val="18"/>
        </w:rPr>
        <w:t xml:space="preserve"> 2023. godini bili su izvršeni rashodi u iznosu 1.358 € za organizaciju i provedbu predstave Stara škola kreka – iz tame u svjetlo.</w:t>
      </w:r>
    </w:p>
    <w:p w14:paraId="69180F79" w14:textId="77777777" w:rsidR="00676A9B" w:rsidRPr="00676A9B" w:rsidRDefault="00676A9B" w:rsidP="00676A9B">
      <w:pPr>
        <w:spacing w:after="0" w:line="240" w:lineRule="auto"/>
        <w:jc w:val="both"/>
        <w:rPr>
          <w:rFonts w:ascii="Arial" w:eastAsia="Calibri" w:hAnsi="Arial" w:cs="Arial"/>
          <w:sz w:val="20"/>
          <w:szCs w:val="20"/>
          <w:lang w:eastAsia="en-US"/>
        </w:rPr>
      </w:pPr>
    </w:p>
    <w:tbl>
      <w:tblPr>
        <w:tblStyle w:val="Reetkatablice5364"/>
        <w:tblW w:w="13910" w:type="dxa"/>
        <w:jc w:val="center"/>
        <w:tblLayout w:type="fixed"/>
        <w:tblLook w:val="04A0" w:firstRow="1" w:lastRow="0" w:firstColumn="1" w:lastColumn="0" w:noHBand="0" w:noVBand="1"/>
      </w:tblPr>
      <w:tblGrid>
        <w:gridCol w:w="2936"/>
        <w:gridCol w:w="2765"/>
        <w:gridCol w:w="993"/>
        <w:gridCol w:w="1134"/>
        <w:gridCol w:w="1134"/>
        <w:gridCol w:w="1120"/>
        <w:gridCol w:w="1276"/>
        <w:gridCol w:w="1276"/>
        <w:gridCol w:w="1276"/>
      </w:tblGrid>
      <w:tr w:rsidR="00676A9B" w:rsidRPr="00676A9B" w14:paraId="35EE31AA" w14:textId="77777777" w:rsidTr="00410A4B">
        <w:trPr>
          <w:jc w:val="center"/>
        </w:trPr>
        <w:tc>
          <w:tcPr>
            <w:tcW w:w="293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B16716B"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lastRenderedPageBreak/>
              <w:t>Pokazatelj rezultata</w:t>
            </w:r>
          </w:p>
        </w:tc>
        <w:tc>
          <w:tcPr>
            <w:tcW w:w="276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709F542"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Definicija</w:t>
            </w:r>
          </w:p>
        </w:tc>
        <w:tc>
          <w:tcPr>
            <w:tcW w:w="9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412A139"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9BFBCAE" w14:textId="77777777"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BB64929" w14:textId="2E4B083F"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Polazna vrijednost 202</w:t>
            </w:r>
            <w:r w:rsidR="00B24AAD">
              <w:rPr>
                <w:rFonts w:ascii="Arial" w:eastAsia="Calibri" w:hAnsi="Arial" w:cs="Arial"/>
                <w:lang w:eastAsia="en-US"/>
              </w:rPr>
              <w:t>4</w:t>
            </w:r>
            <w:r w:rsidRPr="00676A9B">
              <w:rPr>
                <w:rFonts w:ascii="Arial" w:eastAsia="Calibri" w:hAnsi="Arial" w:cs="Arial"/>
                <w:lang w:eastAsia="en-US"/>
              </w:rPr>
              <w:t>.</w:t>
            </w:r>
          </w:p>
        </w:tc>
        <w:tc>
          <w:tcPr>
            <w:tcW w:w="11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B217DBE" w14:textId="482C404A"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B24AAD">
              <w:rPr>
                <w:rFonts w:ascii="Arial" w:eastAsia="Calibri" w:hAnsi="Arial" w:cs="Arial"/>
                <w:lang w:eastAsia="en-US"/>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EE19F51" w14:textId="172B32DD"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Izvršeno 202</w:t>
            </w:r>
            <w:r w:rsidR="00B24AAD">
              <w:rPr>
                <w:rFonts w:ascii="Arial" w:eastAsia="Calibri" w:hAnsi="Arial" w:cs="Arial"/>
                <w:lang w:eastAsia="en-US"/>
              </w:rPr>
              <w:t>5</w:t>
            </w:r>
            <w:r w:rsidRPr="00676A9B">
              <w:rPr>
                <w:rFonts w:ascii="Arial" w:eastAsia="Calibri" w:hAnsi="Arial" w:cs="Arial"/>
                <w:lang w:eastAsia="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0A9B03A" w14:textId="2C8C23C9"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B24AAD">
              <w:rPr>
                <w:rFonts w:ascii="Arial" w:eastAsia="Calibri" w:hAnsi="Arial" w:cs="Arial"/>
                <w:lang w:eastAsia="en-US"/>
              </w:rPr>
              <w:t>6</w:t>
            </w:r>
            <w:r w:rsidRPr="00676A9B">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8DA9E0D" w14:textId="6727E036" w:rsidR="00676A9B" w:rsidRPr="00676A9B" w:rsidRDefault="00676A9B" w:rsidP="00676A9B">
            <w:pPr>
              <w:jc w:val="center"/>
              <w:rPr>
                <w:rFonts w:ascii="Arial" w:eastAsia="Calibri" w:hAnsi="Arial" w:cs="Arial"/>
                <w:lang w:eastAsia="en-US"/>
              </w:rPr>
            </w:pPr>
            <w:r w:rsidRPr="00676A9B">
              <w:rPr>
                <w:rFonts w:ascii="Arial" w:eastAsia="Calibri" w:hAnsi="Arial" w:cs="Arial"/>
                <w:lang w:eastAsia="en-US"/>
              </w:rPr>
              <w:t>Ciljana vrijednost 202</w:t>
            </w:r>
            <w:r w:rsidR="00B24AAD">
              <w:rPr>
                <w:rFonts w:ascii="Arial" w:eastAsia="Calibri" w:hAnsi="Arial" w:cs="Arial"/>
                <w:lang w:eastAsia="en-US"/>
              </w:rPr>
              <w:t>7</w:t>
            </w:r>
            <w:r w:rsidRPr="00676A9B">
              <w:rPr>
                <w:rFonts w:ascii="Arial" w:eastAsia="Calibri" w:hAnsi="Arial" w:cs="Arial"/>
                <w:lang w:eastAsia="en-US"/>
              </w:rPr>
              <w:t>.</w:t>
            </w:r>
          </w:p>
        </w:tc>
      </w:tr>
      <w:tr w:rsidR="00B24AAD" w:rsidRPr="00676A9B" w14:paraId="346C8BD4" w14:textId="77777777" w:rsidTr="00410A4B">
        <w:trPr>
          <w:trHeight w:val="556"/>
          <w:jc w:val="center"/>
        </w:trPr>
        <w:tc>
          <w:tcPr>
            <w:tcW w:w="2936" w:type="dxa"/>
            <w:tcBorders>
              <w:top w:val="single" w:sz="4" w:space="0" w:color="auto"/>
              <w:left w:val="single" w:sz="4" w:space="0" w:color="auto"/>
              <w:bottom w:val="single" w:sz="4" w:space="0" w:color="auto"/>
              <w:right w:val="single" w:sz="4" w:space="0" w:color="auto"/>
            </w:tcBorders>
            <w:vAlign w:val="center"/>
          </w:tcPr>
          <w:p w14:paraId="0DF4118A" w14:textId="77777777" w:rsidR="00B24AAD" w:rsidRPr="00676A9B" w:rsidRDefault="00B24AAD" w:rsidP="00B24AAD">
            <w:pPr>
              <w:rPr>
                <w:rFonts w:ascii="Arial" w:hAnsi="Arial" w:cs="Arial"/>
                <w:sz w:val="18"/>
                <w:szCs w:val="18"/>
                <w:lang w:eastAsia="en-US"/>
              </w:rPr>
            </w:pPr>
            <w:r w:rsidRPr="00676A9B">
              <w:rPr>
                <w:rFonts w:ascii="Arial" w:hAnsi="Arial" w:cs="Arial"/>
                <w:sz w:val="18"/>
                <w:szCs w:val="18"/>
              </w:rPr>
              <w:t>Osiguravanje sredstava za promicanje programa prevencije ovisnosti i društveno neprihvatljivog ponašanja</w:t>
            </w:r>
          </w:p>
        </w:tc>
        <w:tc>
          <w:tcPr>
            <w:tcW w:w="2765" w:type="dxa"/>
            <w:tcBorders>
              <w:top w:val="single" w:sz="4" w:space="0" w:color="auto"/>
              <w:left w:val="single" w:sz="4" w:space="0" w:color="auto"/>
              <w:bottom w:val="single" w:sz="4" w:space="0" w:color="auto"/>
              <w:right w:val="single" w:sz="4" w:space="0" w:color="auto"/>
            </w:tcBorders>
            <w:vAlign w:val="center"/>
          </w:tcPr>
          <w:p w14:paraId="6751993F" w14:textId="77777777" w:rsidR="00B24AAD" w:rsidRPr="00676A9B" w:rsidRDefault="00B24AAD" w:rsidP="00B24AAD">
            <w:pPr>
              <w:rPr>
                <w:rFonts w:ascii="Arial" w:hAnsi="Arial" w:cs="Arial"/>
                <w:sz w:val="18"/>
                <w:szCs w:val="18"/>
                <w:lang w:eastAsia="en-US"/>
              </w:rPr>
            </w:pPr>
            <w:r w:rsidRPr="00676A9B">
              <w:rPr>
                <w:rFonts w:ascii="Arial" w:hAnsi="Arial" w:cs="Arial"/>
                <w:sz w:val="18"/>
                <w:szCs w:val="18"/>
              </w:rPr>
              <w:t>Redovito podmirivanje obveza za programe kojima se prevenira ovisnost i društveno neprihvatljivo ponašanje</w:t>
            </w:r>
          </w:p>
        </w:tc>
        <w:tc>
          <w:tcPr>
            <w:tcW w:w="993" w:type="dxa"/>
            <w:tcBorders>
              <w:top w:val="single" w:sz="4" w:space="0" w:color="auto"/>
              <w:left w:val="single" w:sz="4" w:space="0" w:color="auto"/>
              <w:bottom w:val="single" w:sz="4" w:space="0" w:color="auto"/>
              <w:right w:val="single" w:sz="4" w:space="0" w:color="auto"/>
            </w:tcBorders>
            <w:vAlign w:val="center"/>
            <w:hideMark/>
          </w:tcPr>
          <w:p w14:paraId="4070F5FB" w14:textId="77777777" w:rsidR="00B24AAD" w:rsidRPr="00676A9B" w:rsidRDefault="00B24AAD" w:rsidP="00B24AAD">
            <w:pPr>
              <w:jc w:val="center"/>
              <w:rPr>
                <w:rFonts w:ascii="Arial" w:hAnsi="Arial" w:cs="Arial"/>
                <w:lang w:eastAsia="en-US"/>
              </w:rPr>
            </w:pPr>
            <w:r w:rsidRPr="00676A9B">
              <w:rPr>
                <w:rFonts w:ascii="Arial"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996DD5" w14:textId="77777777" w:rsidR="00B24AAD" w:rsidRPr="00676A9B" w:rsidRDefault="00B24AAD" w:rsidP="00B24AAD">
            <w:pPr>
              <w:jc w:val="center"/>
              <w:rPr>
                <w:rFonts w:ascii="Arial" w:hAnsi="Arial" w:cs="Arial"/>
                <w:lang w:eastAsia="en-US"/>
              </w:rPr>
            </w:pPr>
            <w:r w:rsidRPr="00676A9B">
              <w:rPr>
                <w:rFonts w:ascii="Arial" w:hAnsi="Arial" w:cs="Arial"/>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176171" w14:textId="06610B52" w:rsidR="00B24AAD" w:rsidRPr="00676A9B" w:rsidRDefault="00B24AAD" w:rsidP="00B24AAD">
            <w:pPr>
              <w:jc w:val="center"/>
              <w:rPr>
                <w:rFonts w:ascii="Arial" w:hAnsi="Arial" w:cs="Arial"/>
                <w:lang w:eastAsia="en-US"/>
              </w:rPr>
            </w:pPr>
            <w:r w:rsidRPr="00676A9B">
              <w:rPr>
                <w:rFonts w:ascii="Arial" w:hAnsi="Arial" w:cs="Arial"/>
                <w:lang w:eastAsia="en-US"/>
              </w:rPr>
              <w:t>100 %</w:t>
            </w:r>
          </w:p>
        </w:tc>
        <w:tc>
          <w:tcPr>
            <w:tcW w:w="1120" w:type="dxa"/>
            <w:tcBorders>
              <w:top w:val="single" w:sz="4" w:space="0" w:color="000000"/>
              <w:left w:val="single" w:sz="4" w:space="0" w:color="000000"/>
              <w:bottom w:val="single" w:sz="4" w:space="0" w:color="000000"/>
              <w:right w:val="single" w:sz="4" w:space="0" w:color="000000"/>
            </w:tcBorders>
            <w:vAlign w:val="center"/>
          </w:tcPr>
          <w:p w14:paraId="3901F675" w14:textId="77777777" w:rsidR="00B24AAD" w:rsidRPr="00676A9B" w:rsidRDefault="00B24AAD" w:rsidP="00B24AAD">
            <w:pPr>
              <w:jc w:val="center"/>
              <w:rPr>
                <w:rFonts w:ascii="Arial" w:hAnsi="Arial" w:cs="Arial"/>
                <w:lang w:eastAsia="en-US"/>
              </w:rPr>
            </w:pPr>
            <w:r w:rsidRPr="00676A9B">
              <w:rPr>
                <w:rFonts w:ascii="Arial" w:hAnsi="Arial" w:cs="Arial"/>
                <w:lang w:eastAsia="en-US"/>
              </w:rPr>
              <w:t>100 %</w:t>
            </w:r>
          </w:p>
        </w:tc>
        <w:tc>
          <w:tcPr>
            <w:tcW w:w="1276" w:type="dxa"/>
            <w:tcBorders>
              <w:top w:val="single" w:sz="4" w:space="0" w:color="000000"/>
              <w:left w:val="single" w:sz="4" w:space="0" w:color="000000"/>
              <w:bottom w:val="single" w:sz="4" w:space="0" w:color="000000"/>
              <w:right w:val="single" w:sz="4" w:space="0" w:color="000000"/>
            </w:tcBorders>
            <w:vAlign w:val="center"/>
          </w:tcPr>
          <w:p w14:paraId="1B58A825" w14:textId="01D35282" w:rsidR="00B24AAD" w:rsidRPr="00676A9B" w:rsidRDefault="00B24AAD" w:rsidP="00B24AAD">
            <w:pPr>
              <w:jc w:val="center"/>
              <w:rPr>
                <w:rFonts w:ascii="Arial" w:hAnsi="Arial" w:cs="Arial"/>
                <w:lang w:eastAsia="en-US"/>
              </w:rPr>
            </w:pPr>
            <w:r w:rsidRPr="00676A9B">
              <w:rPr>
                <w:rFonts w:ascii="Arial" w:hAnsi="Arial" w:cs="Arial"/>
                <w:lang w:eastAsia="en-US"/>
              </w:rPr>
              <w:t>100 %</w:t>
            </w:r>
          </w:p>
        </w:tc>
        <w:tc>
          <w:tcPr>
            <w:tcW w:w="1276" w:type="dxa"/>
            <w:tcBorders>
              <w:top w:val="single" w:sz="4" w:space="0" w:color="000000"/>
              <w:left w:val="single" w:sz="4" w:space="0" w:color="000000"/>
              <w:bottom w:val="single" w:sz="4" w:space="0" w:color="000000"/>
              <w:right w:val="single" w:sz="4" w:space="0" w:color="000000"/>
            </w:tcBorders>
            <w:vAlign w:val="center"/>
          </w:tcPr>
          <w:p w14:paraId="33374B6A" w14:textId="77777777" w:rsidR="00B24AAD" w:rsidRPr="00676A9B" w:rsidRDefault="00B24AAD" w:rsidP="00B24AAD">
            <w:pPr>
              <w:jc w:val="center"/>
              <w:rPr>
                <w:rFonts w:ascii="Arial" w:hAnsi="Arial" w:cs="Arial"/>
                <w:lang w:eastAsia="en-US"/>
              </w:rPr>
            </w:pPr>
            <w:r w:rsidRPr="00676A9B">
              <w:rPr>
                <w:rFonts w:ascii="Arial" w:hAnsi="Arial" w:cs="Arial"/>
                <w:lang w:eastAsia="en-US"/>
              </w:rPr>
              <w:t>100 %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B54EF48" w14:textId="77777777" w:rsidR="00B24AAD" w:rsidRPr="00676A9B" w:rsidRDefault="00B24AAD" w:rsidP="00B24AAD">
            <w:pPr>
              <w:jc w:val="center"/>
              <w:rPr>
                <w:rFonts w:ascii="Arial" w:hAnsi="Arial" w:cs="Arial"/>
                <w:lang w:eastAsia="en-US"/>
              </w:rPr>
            </w:pPr>
            <w:r w:rsidRPr="00676A9B">
              <w:rPr>
                <w:rFonts w:ascii="Arial" w:hAnsi="Arial" w:cs="Arial"/>
                <w:lang w:eastAsia="en-US"/>
              </w:rPr>
              <w:t>100 %</w:t>
            </w:r>
          </w:p>
        </w:tc>
      </w:tr>
    </w:tbl>
    <w:p w14:paraId="433D026E" w14:textId="77777777" w:rsidR="00676A9B" w:rsidRPr="00676A9B" w:rsidRDefault="00676A9B" w:rsidP="00676A9B">
      <w:pPr>
        <w:spacing w:after="0" w:line="240" w:lineRule="auto"/>
        <w:jc w:val="both"/>
        <w:rPr>
          <w:rFonts w:ascii="Arial" w:eastAsia="Calibri" w:hAnsi="Arial" w:cs="Arial"/>
          <w:sz w:val="20"/>
          <w:szCs w:val="20"/>
        </w:rPr>
      </w:pPr>
    </w:p>
    <w:p w14:paraId="16931B91" w14:textId="77777777" w:rsidR="00676A9B" w:rsidRPr="00676A9B" w:rsidRDefault="00676A9B" w:rsidP="00676A9B">
      <w:pPr>
        <w:autoSpaceDE w:val="0"/>
        <w:autoSpaceDN w:val="0"/>
        <w:adjustRightInd w:val="0"/>
        <w:spacing w:after="0" w:line="240" w:lineRule="auto"/>
        <w:jc w:val="both"/>
        <w:rPr>
          <w:rFonts w:ascii="Arial" w:eastAsia="Calibri" w:hAnsi="Arial" w:cs="Arial"/>
          <w:sz w:val="20"/>
          <w:szCs w:val="20"/>
        </w:rPr>
      </w:pPr>
      <w:r w:rsidRPr="00676A9B">
        <w:rPr>
          <w:rFonts w:ascii="Arial" w:eastAsia="Calibri" w:hAnsi="Arial" w:cs="Arial"/>
          <w:sz w:val="20"/>
          <w:szCs w:val="20"/>
        </w:rPr>
        <w:t>Aktivnosti vezane uz opće ciljeve postignute su sukladno postocima izvršenja i u skladu s očekivanom dinamikom izvršenja rashoda, odnosno nisu izvršavani planiranom dinamikom zbog manjka proračunskih sredstava.</w:t>
      </w:r>
      <w:r w:rsidRPr="00676A9B">
        <w:rPr>
          <w:rFonts w:ascii="Arial" w:eastAsia="Calibri" w:hAnsi="Arial" w:cs="Arial"/>
          <w:sz w:val="20"/>
          <w:szCs w:val="20"/>
        </w:rPr>
        <w:br w:type="page"/>
      </w:r>
    </w:p>
    <w:p w14:paraId="249548D8" w14:textId="77777777" w:rsidR="00676A9B" w:rsidRPr="00676A9B" w:rsidRDefault="00676A9B" w:rsidP="00676A9B">
      <w:pPr>
        <w:keepNext/>
        <w:spacing w:after="0" w:line="240" w:lineRule="auto"/>
        <w:jc w:val="both"/>
        <w:outlineLvl w:val="2"/>
        <w:rPr>
          <w:rFonts w:ascii="Times New Roman" w:eastAsia="Calibri" w:hAnsi="Times New Roman" w:cs="Times New Roman"/>
          <w:b/>
          <w:sz w:val="24"/>
          <w:szCs w:val="20"/>
          <w:lang w:eastAsia="en-US"/>
        </w:rPr>
      </w:pPr>
      <w:bookmarkStart w:id="454" w:name="_Toc200628512"/>
      <w:bookmarkStart w:id="455" w:name="_Toc232981444"/>
      <w:r w:rsidRPr="00676A9B">
        <w:rPr>
          <w:rFonts w:ascii="Times New Roman" w:eastAsia="Calibri" w:hAnsi="Times New Roman" w:cs="Times New Roman"/>
          <w:b/>
          <w:sz w:val="24"/>
          <w:szCs w:val="20"/>
          <w:lang w:eastAsia="en-US"/>
        </w:rPr>
        <w:lastRenderedPageBreak/>
        <w:t>Program (2052): Predškolski odgoj</w:t>
      </w:r>
      <w:bookmarkEnd w:id="454"/>
      <w:bookmarkEnd w:id="455"/>
    </w:p>
    <w:p w14:paraId="0E183EAB" w14:textId="77777777" w:rsidR="00676A9B" w:rsidRPr="00676A9B" w:rsidRDefault="00676A9B" w:rsidP="00676A9B">
      <w:pPr>
        <w:spacing w:after="0" w:line="240" w:lineRule="auto"/>
        <w:jc w:val="both"/>
        <w:rPr>
          <w:rFonts w:ascii="Arial" w:eastAsia="Calibri" w:hAnsi="Arial" w:cs="Arial"/>
          <w:sz w:val="20"/>
          <w:szCs w:val="20"/>
          <w:lang w:eastAsia="en-US"/>
        </w:rPr>
      </w:pPr>
    </w:p>
    <w:p w14:paraId="5328E270"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Ovim programom osigurava se rad ispostava Dječjeg vrtića Konavle plaćanjem najmova za objekte u kojima su smješteni dječji vrtići dok se ne izgrade novi vrtići u Cavtatu, na Grudi, te u Čilipima.</w:t>
      </w:r>
    </w:p>
    <w:p w14:paraId="6283C4FE" w14:textId="77777777" w:rsidR="00676A9B" w:rsidRPr="00676A9B" w:rsidRDefault="00676A9B" w:rsidP="00676A9B">
      <w:pPr>
        <w:spacing w:after="0" w:line="240" w:lineRule="auto"/>
        <w:jc w:val="both"/>
        <w:rPr>
          <w:rFonts w:ascii="Arial" w:eastAsia="Times New Roman" w:hAnsi="Arial" w:cs="Arial"/>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12421"/>
      </w:tblGrid>
      <w:tr w:rsidR="00676A9B" w:rsidRPr="00676A9B" w14:paraId="59FDC94C" w14:textId="77777777" w:rsidTr="00410A4B">
        <w:tc>
          <w:tcPr>
            <w:tcW w:w="2033" w:type="dxa"/>
            <w:tcBorders>
              <w:top w:val="dotted" w:sz="4" w:space="0" w:color="auto"/>
              <w:left w:val="dotted" w:sz="4" w:space="0" w:color="auto"/>
              <w:bottom w:val="dotted" w:sz="4" w:space="0" w:color="auto"/>
              <w:right w:val="dotted" w:sz="4" w:space="0" w:color="auto"/>
            </w:tcBorders>
            <w:hideMark/>
          </w:tcPr>
          <w:p w14:paraId="74292A19"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OPIS PROGRAMA:</w:t>
            </w:r>
          </w:p>
        </w:tc>
        <w:tc>
          <w:tcPr>
            <w:tcW w:w="12421" w:type="dxa"/>
            <w:tcBorders>
              <w:top w:val="dotted" w:sz="4" w:space="0" w:color="auto"/>
              <w:left w:val="dotted" w:sz="4" w:space="0" w:color="auto"/>
              <w:bottom w:val="dotted" w:sz="4" w:space="0" w:color="auto"/>
              <w:right w:val="dotted" w:sz="4" w:space="0" w:color="auto"/>
            </w:tcBorders>
            <w:hideMark/>
          </w:tcPr>
          <w:p w14:paraId="6A40FB83"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Programom predškolskog odgoja i naobrazbe osiguravaju se sredstva za funkcioniranje sustava Dječjih vrtića Konavle. </w:t>
            </w:r>
          </w:p>
        </w:tc>
      </w:tr>
      <w:tr w:rsidR="00676A9B" w:rsidRPr="00676A9B" w14:paraId="34C2935D" w14:textId="77777777" w:rsidTr="00410A4B">
        <w:tc>
          <w:tcPr>
            <w:tcW w:w="2033" w:type="dxa"/>
            <w:tcBorders>
              <w:top w:val="dotted" w:sz="4" w:space="0" w:color="auto"/>
              <w:left w:val="dotted" w:sz="4" w:space="0" w:color="auto"/>
              <w:bottom w:val="dotted" w:sz="4" w:space="0" w:color="auto"/>
              <w:right w:val="dotted" w:sz="4" w:space="0" w:color="auto"/>
            </w:tcBorders>
            <w:hideMark/>
          </w:tcPr>
          <w:p w14:paraId="78205A59" w14:textId="77777777" w:rsidR="00676A9B" w:rsidRPr="00676A9B" w:rsidRDefault="00676A9B" w:rsidP="00676A9B">
            <w:pPr>
              <w:spacing w:after="0" w:line="240" w:lineRule="auto"/>
              <w:rPr>
                <w:rFonts w:ascii="Arial" w:eastAsia="Calibri" w:hAnsi="Arial" w:cs="Arial"/>
                <w:sz w:val="20"/>
                <w:szCs w:val="20"/>
                <w:lang w:eastAsia="en-US"/>
              </w:rPr>
            </w:pPr>
            <w:r w:rsidRPr="00676A9B">
              <w:rPr>
                <w:rFonts w:ascii="Arial" w:eastAsia="Calibri" w:hAnsi="Arial" w:cs="Arial"/>
                <w:sz w:val="20"/>
                <w:szCs w:val="20"/>
                <w:lang w:eastAsia="en-US"/>
              </w:rPr>
              <w:t>ZAKONSKE I DRUGE PRAVNE OSNOVE PROGRAMA:</w:t>
            </w:r>
          </w:p>
        </w:tc>
        <w:tc>
          <w:tcPr>
            <w:tcW w:w="12421" w:type="dxa"/>
            <w:tcBorders>
              <w:top w:val="dotted" w:sz="4" w:space="0" w:color="auto"/>
              <w:left w:val="dotted" w:sz="4" w:space="0" w:color="auto"/>
              <w:bottom w:val="dotted" w:sz="4" w:space="0" w:color="auto"/>
              <w:right w:val="dotted" w:sz="4" w:space="0" w:color="auto"/>
            </w:tcBorders>
            <w:hideMark/>
          </w:tcPr>
          <w:p w14:paraId="0C36FE33" w14:textId="02974639"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rPr>
              <w:t>Zakon o lokalnoj i područnoj (regionalnoj) samoupravi (NN 33/01,60/01,129/05, 109/07,125/08, 36/09, 150/11, 144/12, 19/13, 137/15, 123/17, 98/19, 144/20), Zakon o predškolskom odgoju i naobrazbi (NN 10/97, 107/07, 94/13, 98/19, 57/22, 101/23</w:t>
            </w:r>
            <w:r w:rsidR="00257B20">
              <w:rPr>
                <w:rFonts w:ascii="Arial" w:eastAsia="Times New Roman" w:hAnsi="Arial" w:cs="Arial"/>
                <w:sz w:val="20"/>
                <w:szCs w:val="20"/>
              </w:rPr>
              <w:t>, 145/23, 145/24, 146/25, 22/26</w:t>
            </w:r>
            <w:r w:rsidRPr="00676A9B">
              <w:rPr>
                <w:rFonts w:ascii="Arial" w:eastAsia="Times New Roman" w:hAnsi="Arial" w:cs="Arial"/>
                <w:sz w:val="20"/>
                <w:szCs w:val="20"/>
              </w:rPr>
              <w:t>), Državni pedagoški standard predškolskog odgoja i naobrazbe (NN 63/08, 90/10), Zakon o radu, Statut Vrtića i drugi akti</w:t>
            </w:r>
          </w:p>
        </w:tc>
      </w:tr>
      <w:tr w:rsidR="00676A9B" w:rsidRPr="00676A9B" w14:paraId="5BE99CD3" w14:textId="77777777" w:rsidTr="00410A4B">
        <w:tc>
          <w:tcPr>
            <w:tcW w:w="2033" w:type="dxa"/>
            <w:tcBorders>
              <w:top w:val="dotted" w:sz="4" w:space="0" w:color="auto"/>
              <w:left w:val="dotted" w:sz="4" w:space="0" w:color="auto"/>
              <w:bottom w:val="dotted" w:sz="4" w:space="0" w:color="auto"/>
              <w:right w:val="dotted" w:sz="4" w:space="0" w:color="auto"/>
            </w:tcBorders>
            <w:hideMark/>
          </w:tcPr>
          <w:p w14:paraId="279C3067"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OPĆI CILJ:</w:t>
            </w:r>
          </w:p>
        </w:tc>
        <w:tc>
          <w:tcPr>
            <w:tcW w:w="12421" w:type="dxa"/>
            <w:tcBorders>
              <w:top w:val="dotted" w:sz="4" w:space="0" w:color="auto"/>
              <w:left w:val="dotted" w:sz="4" w:space="0" w:color="auto"/>
              <w:bottom w:val="dotted" w:sz="4" w:space="0" w:color="auto"/>
              <w:right w:val="dotted" w:sz="4" w:space="0" w:color="auto"/>
            </w:tcBorders>
            <w:hideMark/>
          </w:tcPr>
          <w:p w14:paraId="2DF99C30"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Times New Roman" w:hAnsi="Arial" w:cs="Arial"/>
                <w:sz w:val="20"/>
                <w:szCs w:val="20"/>
                <w:lang w:eastAsia="en-US"/>
              </w:rPr>
              <w:t>Osiguravanje uvjeta za provođenje redovnih programa predškolskog odgoja.</w:t>
            </w:r>
          </w:p>
        </w:tc>
      </w:tr>
      <w:tr w:rsidR="00676A9B" w:rsidRPr="00676A9B" w14:paraId="43778768" w14:textId="77777777" w:rsidTr="00410A4B">
        <w:tc>
          <w:tcPr>
            <w:tcW w:w="2033" w:type="dxa"/>
            <w:tcBorders>
              <w:top w:val="dotted" w:sz="4" w:space="0" w:color="auto"/>
              <w:left w:val="dotted" w:sz="4" w:space="0" w:color="auto"/>
              <w:bottom w:val="dotted" w:sz="4" w:space="0" w:color="auto"/>
              <w:right w:val="dotted" w:sz="4" w:space="0" w:color="auto"/>
            </w:tcBorders>
            <w:vAlign w:val="bottom"/>
          </w:tcPr>
          <w:p w14:paraId="2C323E1E"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POSEBNI CILJEVI (što se programom želi postići):</w:t>
            </w:r>
          </w:p>
        </w:tc>
        <w:tc>
          <w:tcPr>
            <w:tcW w:w="12421" w:type="dxa"/>
            <w:tcBorders>
              <w:top w:val="dotted" w:sz="4" w:space="0" w:color="auto"/>
              <w:left w:val="dotted" w:sz="4" w:space="0" w:color="auto"/>
              <w:bottom w:val="dotted" w:sz="4" w:space="0" w:color="auto"/>
              <w:right w:val="dotted" w:sz="4" w:space="0" w:color="auto"/>
            </w:tcBorders>
            <w:vAlign w:val="bottom"/>
          </w:tcPr>
          <w:p w14:paraId="1E85DB38"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Cilj je uspostavljanje sustava osiguranja predškolske djelatnosti i povećanje obuhvata djece s kvalitetnim predškolskim odgojem, te uspostavljanje učinkovite i ekonomične mreže predškolskih objekata. </w:t>
            </w:r>
          </w:p>
          <w:p w14:paraId="1037B06A" w14:textId="77777777" w:rsidR="00676A9B" w:rsidRPr="00676A9B" w:rsidRDefault="00676A9B" w:rsidP="00676A9B">
            <w:pPr>
              <w:autoSpaceDE w:val="0"/>
              <w:autoSpaceDN w:val="0"/>
              <w:adjustRightInd w:val="0"/>
              <w:spacing w:after="0" w:line="240" w:lineRule="auto"/>
              <w:jc w:val="both"/>
              <w:rPr>
                <w:rFonts w:ascii="Arial" w:eastAsia="Times New Roman" w:hAnsi="Arial" w:cs="Arial"/>
                <w:sz w:val="20"/>
                <w:szCs w:val="20"/>
                <w:lang w:eastAsia="en-US"/>
              </w:rPr>
            </w:pPr>
            <w:r w:rsidRPr="00676A9B">
              <w:rPr>
                <w:rFonts w:ascii="Arial" w:eastAsia="Calibri" w:hAnsi="Arial" w:cs="Arial"/>
                <w:sz w:val="20"/>
                <w:szCs w:val="20"/>
                <w:lang w:eastAsia="en-US"/>
              </w:rPr>
              <w:t>Podizanje standarda, uključivanje što većeg broja djece u predškolski odgoj.</w:t>
            </w:r>
          </w:p>
        </w:tc>
      </w:tr>
    </w:tbl>
    <w:p w14:paraId="5B9283C3" w14:textId="77777777" w:rsidR="00676A9B" w:rsidRPr="00676A9B" w:rsidRDefault="00676A9B" w:rsidP="00676A9B">
      <w:pPr>
        <w:spacing w:after="0" w:line="240" w:lineRule="auto"/>
        <w:jc w:val="both"/>
        <w:rPr>
          <w:rFonts w:ascii="Arial" w:eastAsia="Calibri" w:hAnsi="Arial" w:cs="Arial"/>
          <w:sz w:val="20"/>
          <w:szCs w:val="20"/>
          <w:lang w:eastAsia="en-US"/>
        </w:rPr>
      </w:pPr>
    </w:p>
    <w:p w14:paraId="1ED5A7A8"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676A9B">
        <w:rPr>
          <w:rFonts w:ascii="Arial" w:eastAsia="Calibri" w:hAnsi="Arial" w:cs="Arial"/>
          <w:b/>
          <w:sz w:val="20"/>
          <w:szCs w:val="20"/>
          <w:lang w:eastAsia="en-US"/>
        </w:rPr>
        <w:t>Procjena i ishodište potrebnih sredstava za aktivnosti unutar programa</w:t>
      </w:r>
    </w:p>
    <w:p w14:paraId="058DAD61" w14:textId="77777777" w:rsidR="00676A9B" w:rsidRPr="00676A9B" w:rsidRDefault="00676A9B" w:rsidP="00676A9B">
      <w:pPr>
        <w:spacing w:after="0" w:line="240" w:lineRule="auto"/>
        <w:jc w:val="both"/>
        <w:rPr>
          <w:rFonts w:ascii="Arial" w:eastAsia="Calibri" w:hAnsi="Arial" w:cs="Arial"/>
          <w:sz w:val="20"/>
          <w:szCs w:val="20"/>
        </w:rPr>
      </w:pPr>
    </w:p>
    <w:p w14:paraId="27411172" w14:textId="011CCD71" w:rsidR="00676A9B" w:rsidRPr="00676A9B" w:rsidRDefault="008A16BA" w:rsidP="00676A9B">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06470687" w14:textId="77777777" w:rsidR="00676A9B" w:rsidRPr="00676A9B" w:rsidRDefault="00676A9B" w:rsidP="00676A9B">
      <w:pPr>
        <w:spacing w:after="0" w:line="240" w:lineRule="auto"/>
        <w:rPr>
          <w:rFonts w:ascii="Arial" w:eastAsia="Calibri" w:hAnsi="Arial" w:cs="Arial"/>
          <w:sz w:val="20"/>
          <w:szCs w:val="20"/>
        </w:rPr>
      </w:pPr>
    </w:p>
    <w:p w14:paraId="6DD220CA" w14:textId="30F4FB5E" w:rsidR="00676A9B" w:rsidRPr="00676A9B" w:rsidRDefault="00257B20" w:rsidP="00676A9B">
      <w:pPr>
        <w:spacing w:after="0" w:line="240" w:lineRule="auto"/>
        <w:rPr>
          <w:rFonts w:ascii="Arial" w:eastAsia="Calibri" w:hAnsi="Arial" w:cs="Arial"/>
          <w:sz w:val="20"/>
          <w:szCs w:val="20"/>
        </w:rPr>
      </w:pPr>
      <w:r w:rsidRPr="00257B20">
        <w:rPr>
          <w:noProof/>
        </w:rPr>
        <w:drawing>
          <wp:inline distT="0" distB="0" distL="0" distR="0" wp14:anchorId="7E87E8FC" wp14:editId="11B778D0">
            <wp:extent cx="9251950" cy="883285"/>
            <wp:effectExtent l="0" t="0" r="6350" b="0"/>
            <wp:docPr id="330678807"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9251950" cy="883285"/>
                    </a:xfrm>
                    <a:prstGeom prst="rect">
                      <a:avLst/>
                    </a:prstGeom>
                    <a:noFill/>
                    <a:ln>
                      <a:noFill/>
                    </a:ln>
                  </pic:spPr>
                </pic:pic>
              </a:graphicData>
            </a:graphic>
          </wp:inline>
        </w:drawing>
      </w:r>
    </w:p>
    <w:p w14:paraId="3140C49E" w14:textId="77777777" w:rsidR="00676A9B" w:rsidRPr="00676A9B" w:rsidRDefault="00676A9B">
      <w:pPr>
        <w:numPr>
          <w:ilvl w:val="0"/>
          <w:numId w:val="6"/>
        </w:numPr>
        <w:spacing w:after="0" w:line="240" w:lineRule="auto"/>
        <w:jc w:val="both"/>
        <w:rPr>
          <w:rFonts w:ascii="Arial" w:hAnsi="Arial" w:cs="Arial"/>
          <w:i/>
          <w:sz w:val="18"/>
          <w:szCs w:val="18"/>
        </w:rPr>
      </w:pPr>
      <w:r w:rsidRPr="00676A9B">
        <w:rPr>
          <w:rFonts w:ascii="Arial" w:hAnsi="Arial" w:cs="Arial"/>
          <w:b/>
          <w:i/>
          <w:sz w:val="18"/>
          <w:szCs w:val="18"/>
        </w:rPr>
        <w:t>*</w:t>
      </w:r>
      <w:r w:rsidRPr="00676A9B">
        <w:rPr>
          <w:rFonts w:ascii="Arial" w:hAnsi="Arial" w:cs="Arial"/>
          <w:i/>
          <w:sz w:val="18"/>
          <w:szCs w:val="18"/>
        </w:rPr>
        <w:t xml:space="preserve"> Ova aktivnost se u 2014. i 2015. iskazivala kroz razdjel 020, Upravni odjeli, glava 02005 Predškolski odgoj i obrazovanje, program 2051 Odgoj, naobrazba i skrb o predškolskoj djeci, A205109, te je iznosila: u 2014. = 261.862 kn / 34.755,06 €, u 2015.= 296.864,05 kn / 39.400,63 €.</w:t>
      </w:r>
    </w:p>
    <w:p w14:paraId="1CC3B625" w14:textId="77777777" w:rsidR="00676A9B" w:rsidRPr="00676A9B" w:rsidRDefault="00676A9B">
      <w:pPr>
        <w:numPr>
          <w:ilvl w:val="0"/>
          <w:numId w:val="6"/>
        </w:numPr>
        <w:spacing w:after="0" w:line="240" w:lineRule="auto"/>
        <w:jc w:val="both"/>
        <w:rPr>
          <w:rFonts w:ascii="Arial" w:hAnsi="Arial" w:cs="Arial"/>
          <w:i/>
          <w:sz w:val="18"/>
          <w:szCs w:val="18"/>
        </w:rPr>
      </w:pPr>
      <w:r w:rsidRPr="00676A9B">
        <w:rPr>
          <w:rFonts w:ascii="Arial" w:hAnsi="Arial" w:cs="Arial"/>
          <w:sz w:val="18"/>
          <w:szCs w:val="18"/>
        </w:rPr>
        <w:t>** tijekom 2016. ova aktivnost se iskazivala putem razdjela 020, kroz Glavu 02001 UO za proračun, financije i gospodarstvo, aktivnost A201001 jer ove troškove izravno ugovara i plaća Općina, a ne preko rashoda proračunskog korisnika Dječji vrtić, glava 02005 Ustanova predškolskog odgoja.</w:t>
      </w:r>
    </w:p>
    <w:p w14:paraId="1B2F6DA1" w14:textId="77777777" w:rsidR="00676A9B" w:rsidRPr="00676A9B" w:rsidRDefault="00676A9B">
      <w:pPr>
        <w:numPr>
          <w:ilvl w:val="0"/>
          <w:numId w:val="6"/>
        </w:numPr>
        <w:spacing w:after="0" w:line="240" w:lineRule="auto"/>
        <w:jc w:val="both"/>
        <w:rPr>
          <w:rFonts w:ascii="Arial" w:hAnsi="Arial" w:cs="Arial"/>
          <w:i/>
          <w:sz w:val="18"/>
          <w:szCs w:val="18"/>
        </w:rPr>
      </w:pPr>
      <w:r w:rsidRPr="00676A9B">
        <w:rPr>
          <w:rFonts w:ascii="Arial" w:eastAsia="Calibri" w:hAnsi="Arial" w:cs="Arial"/>
          <w:i/>
          <w:sz w:val="18"/>
          <w:szCs w:val="18"/>
        </w:rPr>
        <w:t>*** Od 2017. ovi rashodi se iskazuju kroz razdjel 020, glava 020 02 – Upravni odjel za opće poslove, mjesnu samoupravu i društvene djelatnosti, koji prate ugovaranje i izvršenje ovih rashoda.</w:t>
      </w:r>
    </w:p>
    <w:p w14:paraId="058D7835"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b/>
          <w:sz w:val="20"/>
          <w:szCs w:val="20"/>
          <w:lang w:eastAsia="en-US"/>
        </w:rPr>
        <w:t>RAZLOG ODSTUPANJA OD PROŠLOGODIŠNJIH PROJEKCIJA</w:t>
      </w:r>
      <w:r w:rsidRPr="00676A9B">
        <w:rPr>
          <w:rFonts w:ascii="Arial" w:eastAsia="Times New Roman" w:hAnsi="Arial" w:cs="Arial"/>
          <w:sz w:val="20"/>
          <w:szCs w:val="20"/>
          <w:lang w:eastAsia="en-US"/>
        </w:rPr>
        <w:t xml:space="preserve">: </w:t>
      </w:r>
    </w:p>
    <w:p w14:paraId="1F493E01" w14:textId="77777777" w:rsidR="00676A9B" w:rsidRPr="00676A9B" w:rsidRDefault="00676A9B" w:rsidP="00676A9B">
      <w:pPr>
        <w:shd w:val="clear" w:color="auto" w:fill="FFFFFF"/>
        <w:spacing w:after="0" w:line="240" w:lineRule="auto"/>
        <w:jc w:val="right"/>
        <w:rPr>
          <w:rFonts w:ascii="Arial" w:eastAsia="Times New Roman" w:hAnsi="Arial" w:cs="Arial"/>
          <w:sz w:val="20"/>
          <w:szCs w:val="20"/>
          <w:lang w:eastAsia="en-US"/>
        </w:rPr>
      </w:pPr>
      <w:r w:rsidRPr="00676A9B">
        <w:rPr>
          <w:rFonts w:ascii="Arial" w:eastAsia="Times New Roman" w:hAnsi="Arial" w:cs="Arial"/>
          <w:sz w:val="20"/>
          <w:szCs w:val="20"/>
          <w:lang w:eastAsia="en-US"/>
        </w:rPr>
        <w:t>Po navedenom programu nije bilo značajnijih odstupanja (povećanje se odnosi na zaključivanje novih ugovora nakon isteka postojećih).</w:t>
      </w:r>
    </w:p>
    <w:p w14:paraId="57DC8168" w14:textId="77777777" w:rsidR="00676A9B" w:rsidRPr="00676A9B" w:rsidRDefault="00676A9B" w:rsidP="00676A9B">
      <w:pPr>
        <w:spacing w:after="0" w:line="240" w:lineRule="auto"/>
        <w:jc w:val="both"/>
        <w:rPr>
          <w:rFonts w:ascii="Arial" w:eastAsia="Calibri" w:hAnsi="Arial" w:cs="Arial"/>
          <w:sz w:val="20"/>
          <w:szCs w:val="20"/>
          <w:lang w:eastAsia="en-US"/>
        </w:rPr>
      </w:pPr>
    </w:p>
    <w:p w14:paraId="415D52D7" w14:textId="77777777" w:rsidR="00676A9B" w:rsidRPr="00676A9B" w:rsidRDefault="00676A9B" w:rsidP="00676A9B">
      <w:pPr>
        <w:spacing w:after="0" w:line="240" w:lineRule="auto"/>
        <w:jc w:val="both"/>
        <w:rPr>
          <w:rFonts w:ascii="Arial" w:eastAsia="Calibri" w:hAnsi="Arial" w:cs="Arial"/>
          <w:i/>
          <w:sz w:val="20"/>
          <w:szCs w:val="20"/>
          <w:lang w:eastAsia="en-US"/>
        </w:rPr>
      </w:pPr>
      <w:r w:rsidRPr="00676A9B">
        <w:rPr>
          <w:rFonts w:ascii="Arial" w:eastAsia="Calibri" w:hAnsi="Arial" w:cs="Arial"/>
          <w:b/>
          <w:sz w:val="20"/>
          <w:szCs w:val="20"/>
          <w:lang w:eastAsia="en-US"/>
        </w:rPr>
        <w:t>Ishodište i pokazatelji na kojima se zasnivaju izračuni i ocjene</w:t>
      </w:r>
      <w:r w:rsidRPr="00676A9B">
        <w:rPr>
          <w:rFonts w:ascii="Arial" w:eastAsia="Calibri" w:hAnsi="Arial" w:cs="Arial"/>
          <w:sz w:val="20"/>
          <w:szCs w:val="20"/>
          <w:lang w:eastAsia="en-US"/>
        </w:rPr>
        <w:t xml:space="preserve"> </w:t>
      </w:r>
      <w:r w:rsidRPr="00676A9B">
        <w:rPr>
          <w:rFonts w:ascii="Arial" w:eastAsia="Calibri" w:hAnsi="Arial" w:cs="Arial"/>
          <w:b/>
          <w:sz w:val="20"/>
          <w:szCs w:val="20"/>
          <w:lang w:eastAsia="en-US"/>
        </w:rPr>
        <w:t>potrebnih sredstava za provođenje programa:</w:t>
      </w:r>
      <w:r w:rsidRPr="00676A9B">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343FD6B3" w14:textId="77777777" w:rsidR="00676A9B" w:rsidRPr="00676A9B" w:rsidRDefault="00676A9B" w:rsidP="00676A9B">
      <w:pPr>
        <w:shd w:val="clear" w:color="auto" w:fill="FFFFFF"/>
        <w:spacing w:after="0" w:line="240" w:lineRule="auto"/>
        <w:jc w:val="both"/>
        <w:rPr>
          <w:rFonts w:ascii="Arial" w:eastAsia="Calibri" w:hAnsi="Arial" w:cs="Arial"/>
          <w:sz w:val="20"/>
          <w:szCs w:val="20"/>
          <w:lang w:eastAsia="en-US"/>
        </w:rPr>
      </w:pPr>
      <w:r w:rsidRPr="00676A9B">
        <w:rPr>
          <w:rFonts w:ascii="Arial" w:eastAsia="Calibri" w:hAnsi="Arial" w:cs="Arial"/>
          <w:b/>
          <w:sz w:val="20"/>
          <w:szCs w:val="20"/>
          <w:lang w:eastAsia="en-US"/>
        </w:rPr>
        <w:t>Izvještaj o postignutim ciljevima i rezultatima programa temeljenim na pokazateljima uspješnosti u prethodnoj godini</w:t>
      </w:r>
      <w:r w:rsidRPr="00676A9B">
        <w:rPr>
          <w:rFonts w:ascii="Arial" w:eastAsia="Calibri" w:hAnsi="Arial" w:cs="Arial"/>
          <w:sz w:val="20"/>
          <w:szCs w:val="20"/>
          <w:lang w:eastAsia="en-US"/>
        </w:rPr>
        <w:t>: Izvršenje je u skladu s očekivanim vrijednostima.</w:t>
      </w:r>
    </w:p>
    <w:p w14:paraId="101C6DA4" w14:textId="77777777" w:rsidR="00676A9B" w:rsidRPr="00676A9B" w:rsidRDefault="00676A9B" w:rsidP="00676A9B">
      <w:pPr>
        <w:spacing w:after="0" w:line="240" w:lineRule="auto"/>
        <w:jc w:val="both"/>
        <w:rPr>
          <w:rFonts w:ascii="Arial" w:eastAsia="Calibri" w:hAnsi="Arial" w:cs="Arial"/>
          <w:sz w:val="20"/>
          <w:szCs w:val="20"/>
          <w:lang w:eastAsia="en-US"/>
        </w:rPr>
      </w:pPr>
    </w:p>
    <w:p w14:paraId="7903CB34" w14:textId="1E2A8777" w:rsidR="00257B20" w:rsidRDefault="00257B20" w:rsidP="00676A9B">
      <w:pPr>
        <w:spacing w:after="0" w:line="240" w:lineRule="auto"/>
        <w:rPr>
          <w:rFonts w:ascii="Arial" w:eastAsia="Calibri" w:hAnsi="Arial" w:cs="Arial"/>
          <w:sz w:val="20"/>
          <w:szCs w:val="20"/>
          <w:lang w:eastAsia="en-US"/>
        </w:rPr>
      </w:pPr>
      <w:r w:rsidRPr="00257B20">
        <w:rPr>
          <w:rFonts w:ascii="Arial" w:eastAsia="Calibri" w:hAnsi="Arial" w:cs="Arial"/>
          <w:sz w:val="20"/>
          <w:szCs w:val="20"/>
          <w:lang w:eastAsia="en-US"/>
        </w:rPr>
        <w:t xml:space="preserve">Ukupno planirana sredstva na razini programa 2052 iznose </w:t>
      </w:r>
      <w:r>
        <w:rPr>
          <w:rFonts w:ascii="Arial" w:eastAsia="Calibri" w:hAnsi="Arial" w:cs="Arial"/>
          <w:sz w:val="20"/>
          <w:szCs w:val="20"/>
          <w:lang w:eastAsia="en-US"/>
        </w:rPr>
        <w:t>62.100</w:t>
      </w:r>
      <w:r w:rsidRPr="00257B20">
        <w:rPr>
          <w:rFonts w:ascii="Arial" w:eastAsia="Calibri" w:hAnsi="Arial" w:cs="Arial"/>
          <w:sz w:val="20"/>
          <w:szCs w:val="20"/>
          <w:lang w:eastAsia="en-US"/>
        </w:rPr>
        <w:t xml:space="preserve"> € za 2025. godinu, </w:t>
      </w:r>
      <w:r>
        <w:rPr>
          <w:rFonts w:ascii="Arial" w:eastAsia="Calibri" w:hAnsi="Arial" w:cs="Arial"/>
          <w:sz w:val="20"/>
          <w:szCs w:val="20"/>
          <w:lang w:eastAsia="en-US"/>
        </w:rPr>
        <w:t xml:space="preserve"> a </w:t>
      </w:r>
      <w:r w:rsidRPr="00257B20">
        <w:rPr>
          <w:rFonts w:ascii="Arial" w:eastAsia="Calibri" w:hAnsi="Arial" w:cs="Arial"/>
          <w:sz w:val="20"/>
          <w:szCs w:val="20"/>
          <w:lang w:eastAsia="en-US"/>
        </w:rPr>
        <w:t>za 2026. i 2027.</w:t>
      </w:r>
      <w:r>
        <w:rPr>
          <w:rFonts w:ascii="Arial" w:eastAsia="Calibri" w:hAnsi="Arial" w:cs="Arial"/>
          <w:sz w:val="20"/>
          <w:szCs w:val="20"/>
          <w:lang w:eastAsia="en-US"/>
        </w:rPr>
        <w:t xml:space="preserve"> iznos 56.100 €.</w:t>
      </w:r>
    </w:p>
    <w:p w14:paraId="2DA6F389" w14:textId="06D4602C" w:rsidR="00676A9B" w:rsidRPr="00676A9B" w:rsidRDefault="00676A9B" w:rsidP="00676A9B">
      <w:pPr>
        <w:spacing w:after="0" w:line="240" w:lineRule="auto"/>
        <w:rPr>
          <w:rFonts w:ascii="Arial" w:eastAsia="Calibri" w:hAnsi="Arial" w:cs="Arial"/>
          <w:sz w:val="20"/>
          <w:szCs w:val="20"/>
        </w:rPr>
      </w:pPr>
      <w:r w:rsidRPr="00676A9B">
        <w:rPr>
          <w:rFonts w:ascii="Arial" w:eastAsia="Calibri" w:hAnsi="Arial" w:cs="Arial"/>
          <w:sz w:val="20"/>
          <w:szCs w:val="20"/>
        </w:rPr>
        <w:t xml:space="preserve">Izvršenje iznosi </w:t>
      </w:r>
      <w:r w:rsidR="00257B20">
        <w:rPr>
          <w:rFonts w:ascii="Arial" w:eastAsia="Calibri" w:hAnsi="Arial" w:cs="Arial"/>
          <w:sz w:val="20"/>
          <w:szCs w:val="20"/>
        </w:rPr>
        <w:t>62.100</w:t>
      </w:r>
      <w:r w:rsidRPr="00676A9B">
        <w:rPr>
          <w:rFonts w:ascii="Arial" w:eastAsia="Calibri" w:hAnsi="Arial" w:cs="Arial"/>
          <w:sz w:val="20"/>
          <w:szCs w:val="20"/>
        </w:rPr>
        <w:t xml:space="preserve"> €, te je program izvršen u visini 100%.</w:t>
      </w:r>
    </w:p>
    <w:p w14:paraId="513A5970" w14:textId="77777777" w:rsidR="00676A9B" w:rsidRPr="00676A9B" w:rsidRDefault="00676A9B" w:rsidP="00676A9B">
      <w:pPr>
        <w:spacing w:after="0" w:line="240" w:lineRule="auto"/>
        <w:jc w:val="both"/>
        <w:rPr>
          <w:rFonts w:ascii="Arial" w:eastAsia="Calibri" w:hAnsi="Arial" w:cs="Arial"/>
          <w:sz w:val="20"/>
          <w:szCs w:val="20"/>
          <w:lang w:eastAsia="en-US"/>
        </w:rPr>
      </w:pPr>
    </w:p>
    <w:p w14:paraId="468600AB" w14:textId="77777777" w:rsidR="00676A9B" w:rsidRPr="00676A9B" w:rsidRDefault="00676A9B">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676A9B">
        <w:rPr>
          <w:rFonts w:ascii="Arial" w:eastAsia="Calibri" w:hAnsi="Arial" w:cs="Arial"/>
          <w:b/>
          <w:sz w:val="20"/>
          <w:szCs w:val="20"/>
          <w:lang w:eastAsia="en-US"/>
        </w:rPr>
        <w:t>Obrazloženje aktivnosti / projekata i pokazatelji uspješnosti</w:t>
      </w:r>
    </w:p>
    <w:p w14:paraId="1DD477F1" w14:textId="77777777" w:rsidR="00676A9B" w:rsidRPr="00676A9B" w:rsidRDefault="00676A9B" w:rsidP="00676A9B">
      <w:pPr>
        <w:spacing w:after="0" w:line="240" w:lineRule="auto"/>
        <w:jc w:val="both"/>
        <w:rPr>
          <w:rFonts w:ascii="Arial" w:eastAsia="Calibri" w:hAnsi="Arial" w:cs="Arial"/>
          <w:sz w:val="20"/>
          <w:szCs w:val="20"/>
          <w:lang w:eastAsia="en-US"/>
        </w:rPr>
      </w:pPr>
    </w:p>
    <w:p w14:paraId="7B0A0787" w14:textId="77777777"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Unutar programa izvode se slijedeće aktivnosti i projekti:</w:t>
      </w:r>
    </w:p>
    <w:p w14:paraId="4ACFC1F9" w14:textId="77777777" w:rsidR="00676A9B" w:rsidRPr="00676A9B" w:rsidRDefault="00676A9B" w:rsidP="00676A9B">
      <w:pPr>
        <w:spacing w:after="0" w:line="240" w:lineRule="auto"/>
        <w:jc w:val="both"/>
        <w:rPr>
          <w:rFonts w:ascii="Arial" w:eastAsia="Calibri" w:hAnsi="Arial" w:cs="Arial"/>
          <w:b/>
          <w:sz w:val="20"/>
          <w:szCs w:val="20"/>
        </w:rPr>
      </w:pPr>
    </w:p>
    <w:p w14:paraId="1F515815" w14:textId="26E9947A"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t xml:space="preserve">1. A205201: Najam objekata za obavljanje djelatnosti dječjeg vrtića </w:t>
      </w:r>
      <w:r w:rsidRPr="00676A9B">
        <w:rPr>
          <w:rFonts w:ascii="Arial" w:eastAsia="Calibri" w:hAnsi="Arial" w:cs="Arial"/>
          <w:sz w:val="20"/>
          <w:szCs w:val="20"/>
        </w:rPr>
        <w:t xml:space="preserve">- u sklopu navedene aktivnosti su rashodi za usluge najma prostora u kojima se odvijaju vrtićki programi (Gruda – prostorije fizičke osobe, Čilipi – prostorije poljoprivredne zadruge i kulturno umjetničkog društva i Cavtat – prostorije koje koristi vjerska organizacija) u iznosu </w:t>
      </w:r>
      <w:r w:rsidR="00257B20">
        <w:rPr>
          <w:rFonts w:ascii="Arial" w:eastAsia="Calibri" w:hAnsi="Arial" w:cs="Arial"/>
          <w:sz w:val="20"/>
          <w:szCs w:val="20"/>
        </w:rPr>
        <w:t>62.100</w:t>
      </w:r>
      <w:r w:rsidRPr="00676A9B">
        <w:rPr>
          <w:rFonts w:ascii="Arial" w:eastAsia="Calibri" w:hAnsi="Arial" w:cs="Arial"/>
          <w:sz w:val="20"/>
          <w:szCs w:val="20"/>
        </w:rPr>
        <w:t xml:space="preserve"> €. Ovi rashodi su izvršeni u iznosu </w:t>
      </w:r>
      <w:r w:rsidR="00257B20">
        <w:rPr>
          <w:rFonts w:ascii="Arial" w:eastAsia="Calibri" w:hAnsi="Arial" w:cs="Arial"/>
          <w:sz w:val="20"/>
          <w:szCs w:val="20"/>
        </w:rPr>
        <w:t>62.100</w:t>
      </w:r>
      <w:r w:rsidRPr="00676A9B">
        <w:rPr>
          <w:rFonts w:ascii="Arial" w:eastAsia="Calibri" w:hAnsi="Arial" w:cs="Arial"/>
          <w:sz w:val="20"/>
          <w:szCs w:val="20"/>
        </w:rPr>
        <w:t xml:space="preserve"> € ili 100% na temelju zaključenih ugovora.</w:t>
      </w:r>
    </w:p>
    <w:p w14:paraId="0EACE351" w14:textId="77777777" w:rsidR="00676A9B" w:rsidRPr="00676A9B" w:rsidRDefault="00676A9B" w:rsidP="00676A9B">
      <w:pPr>
        <w:spacing w:after="0" w:line="240" w:lineRule="auto"/>
        <w:jc w:val="both"/>
        <w:rPr>
          <w:rFonts w:ascii="Arial" w:eastAsia="Calibri" w:hAnsi="Arial" w:cs="Arial"/>
          <w:sz w:val="20"/>
          <w:szCs w:val="20"/>
        </w:rPr>
      </w:pPr>
    </w:p>
    <w:p w14:paraId="19994B0F" w14:textId="23C3E5A4" w:rsidR="00676A9B" w:rsidRPr="00676A9B"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18"/>
          <w:szCs w:val="18"/>
          <w:lang w:eastAsia="en-US"/>
        </w:rPr>
        <w:t xml:space="preserve">Nakon isteka petogodišnjeg ugovora, u lipnju 2019. je zaključen novi petogodišnji ugovor </w:t>
      </w:r>
      <w:r w:rsidRPr="00A85DF2">
        <w:rPr>
          <w:rFonts w:ascii="Arial" w:eastAsia="Calibri" w:hAnsi="Arial" w:cs="Arial"/>
          <w:b/>
          <w:bCs/>
          <w:sz w:val="18"/>
          <w:szCs w:val="18"/>
          <w:lang w:eastAsia="en-US"/>
        </w:rPr>
        <w:t>za zakup prostora površine 207 m² u Cavtatu</w:t>
      </w:r>
      <w:r w:rsidRPr="00676A9B">
        <w:rPr>
          <w:rFonts w:ascii="Arial" w:eastAsia="Calibri" w:hAnsi="Arial" w:cs="Arial"/>
          <w:sz w:val="18"/>
          <w:szCs w:val="18"/>
          <w:lang w:eastAsia="en-US"/>
        </w:rPr>
        <w:t xml:space="preserve"> </w:t>
      </w:r>
      <w:r w:rsidR="00A85DF2">
        <w:rPr>
          <w:rFonts w:ascii="Arial" w:eastAsia="Calibri" w:hAnsi="Arial" w:cs="Arial"/>
          <w:sz w:val="18"/>
          <w:szCs w:val="18"/>
          <w:lang w:eastAsia="en-US"/>
        </w:rPr>
        <w:t xml:space="preserve">(tzv. Marijin dom) </w:t>
      </w:r>
      <w:r w:rsidRPr="00676A9B">
        <w:rPr>
          <w:rFonts w:ascii="Arial" w:eastAsia="Calibri" w:hAnsi="Arial" w:cs="Arial"/>
          <w:sz w:val="18"/>
          <w:szCs w:val="18"/>
          <w:lang w:eastAsia="en-US"/>
        </w:rPr>
        <w:t xml:space="preserve">za obavljanje djelatnosti predškolskog obrazovanja, odnosno do konca lipnja 2024. Međutim, zbog smanjenih proračunskih sredstava, u travnju 2020., te siječnju i prosincu 2021. su zaključeni dodaci ugovoru kojima se mjesečni najam plaća u iznosu 11.000 kn / 1.459,95 € (umjesto u iznosu 12.000 kn / 1.592,67 €). </w:t>
      </w:r>
      <w:r w:rsidRPr="00676A9B">
        <w:rPr>
          <w:rFonts w:ascii="Arial" w:eastAsia="Calibri" w:hAnsi="Arial" w:cs="Arial"/>
          <w:sz w:val="20"/>
          <w:szCs w:val="20"/>
          <w:lang w:eastAsia="en-US"/>
        </w:rPr>
        <w:t>Od početka 2023. godine najam se plaća</w:t>
      </w:r>
      <w:r w:rsidR="00257B20">
        <w:rPr>
          <w:rFonts w:ascii="Arial" w:eastAsia="Calibri" w:hAnsi="Arial" w:cs="Arial"/>
          <w:sz w:val="20"/>
          <w:szCs w:val="20"/>
          <w:lang w:eastAsia="en-US"/>
        </w:rPr>
        <w:t>o</w:t>
      </w:r>
      <w:r w:rsidRPr="00676A9B">
        <w:rPr>
          <w:rFonts w:ascii="Arial" w:eastAsia="Calibri" w:hAnsi="Arial" w:cs="Arial"/>
          <w:sz w:val="20"/>
          <w:szCs w:val="20"/>
          <w:lang w:eastAsia="en-US"/>
        </w:rPr>
        <w:t xml:space="preserve"> u iznosu 1.592,70 € mjesečno. U svibnju 2024. godine je zaključen novi petogodišnji ugovor na rok od 5 godina uz plaćanje mjesečne zakupnine u visini 2.000 €. </w:t>
      </w:r>
      <w:r w:rsidR="00257B20">
        <w:rPr>
          <w:rFonts w:ascii="Arial" w:eastAsia="Calibri" w:hAnsi="Arial" w:cs="Arial"/>
          <w:sz w:val="20"/>
          <w:szCs w:val="20"/>
          <w:lang w:eastAsia="en-US"/>
        </w:rPr>
        <w:t>Dodatkom ugovoru iz veljače 2025. godini, mjesečni rashodi su uvećani za iznos PDV-a budući je najmodavac ušao u sustav obračuna i plaćanja poreza na dodanu vrijednost.</w:t>
      </w:r>
    </w:p>
    <w:p w14:paraId="27195169" w14:textId="77777777" w:rsidR="00676A9B" w:rsidRPr="00676A9B" w:rsidRDefault="00676A9B" w:rsidP="00676A9B">
      <w:pPr>
        <w:spacing w:after="0" w:line="240" w:lineRule="auto"/>
        <w:jc w:val="both"/>
        <w:rPr>
          <w:rFonts w:ascii="Arial" w:eastAsia="Calibri" w:hAnsi="Arial" w:cs="Arial"/>
          <w:sz w:val="20"/>
          <w:szCs w:val="20"/>
          <w:lang w:eastAsia="en-US"/>
        </w:rPr>
      </w:pPr>
    </w:p>
    <w:p w14:paraId="6CC37F5F" w14:textId="77777777" w:rsidR="003143E2" w:rsidRDefault="00676A9B" w:rsidP="00676A9B">
      <w:pPr>
        <w:spacing w:after="0" w:line="240" w:lineRule="auto"/>
        <w:jc w:val="both"/>
        <w:rPr>
          <w:rFonts w:ascii="Arial" w:eastAsia="Calibri" w:hAnsi="Arial" w:cs="Arial"/>
          <w:sz w:val="20"/>
          <w:szCs w:val="20"/>
          <w:lang w:eastAsia="en-US"/>
        </w:rPr>
      </w:pPr>
      <w:r w:rsidRPr="00676A9B">
        <w:rPr>
          <w:rFonts w:ascii="Arial" w:eastAsia="Calibri" w:hAnsi="Arial" w:cs="Arial"/>
          <w:sz w:val="20"/>
          <w:szCs w:val="20"/>
          <w:lang w:eastAsia="en-US"/>
        </w:rPr>
        <w:t xml:space="preserve">U Čilipima se koriste dva prostora u zakupu za potrebe izdvojenih jedinca dječjeg vrtića. </w:t>
      </w:r>
    </w:p>
    <w:p w14:paraId="1154E145" w14:textId="6F5A0D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lang w:eastAsia="en-US"/>
        </w:rPr>
        <w:t xml:space="preserve">Zakup jednog prostora u Čilipima koristi se na temelju ugovora s udrugom od 1.3.2018. (mjesečno 6.000 kn, zakup do 1.3.2023.) i dodatka ugovoru iz travnja 2020. (smanjena zakupnina na 4.000 kn mjesečno. </w:t>
      </w:r>
      <w:r w:rsidRPr="00676A9B">
        <w:rPr>
          <w:rFonts w:ascii="Arial" w:eastAsia="Calibri" w:hAnsi="Arial" w:cs="Arial"/>
          <w:sz w:val="20"/>
          <w:szCs w:val="20"/>
        </w:rPr>
        <w:t>Prema ugovoru od 1. ožujka 2023. godine mjesečna zakupnina iznosi 800 €, a ugovor je zaključen na rok 5 godina (do 1.3.2028.)</w:t>
      </w:r>
      <w:r w:rsidR="00A85DF2">
        <w:rPr>
          <w:rFonts w:ascii="Arial" w:eastAsia="Calibri" w:hAnsi="Arial" w:cs="Arial"/>
          <w:sz w:val="20"/>
          <w:szCs w:val="20"/>
        </w:rPr>
        <w:t xml:space="preserve"> (</w:t>
      </w:r>
      <w:r w:rsidR="00A85DF2" w:rsidRPr="00A85DF2">
        <w:rPr>
          <w:rFonts w:ascii="Arial" w:eastAsia="Calibri" w:hAnsi="Arial" w:cs="Arial"/>
          <w:b/>
          <w:bCs/>
          <w:sz w:val="20"/>
          <w:szCs w:val="20"/>
        </w:rPr>
        <w:t>prostor u blizini crkve sv. Nikole</w:t>
      </w:r>
      <w:r w:rsidR="00A85DF2">
        <w:rPr>
          <w:rFonts w:ascii="Arial" w:eastAsia="Calibri" w:hAnsi="Arial" w:cs="Arial"/>
          <w:sz w:val="20"/>
          <w:szCs w:val="20"/>
        </w:rPr>
        <w:t>).</w:t>
      </w:r>
    </w:p>
    <w:p w14:paraId="0305CDF0" w14:textId="0B9EA701"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lang w:eastAsia="en-US"/>
        </w:rPr>
        <w:t>Zakup drugog prostora u Čilipima je na temelju ugovora iz rujna 2017. godine (ugovor s pravnom osobom zaključen na pet godina od 1.9.2017. do 31.8.2022., mjesečno 1.100 €).</w:t>
      </w:r>
      <w:r w:rsidRPr="00676A9B">
        <w:rPr>
          <w:rFonts w:ascii="Arial" w:eastAsia="Calibri" w:hAnsi="Arial" w:cs="Arial"/>
          <w:sz w:val="20"/>
          <w:szCs w:val="20"/>
        </w:rPr>
        <w:t xml:space="preserve"> Novim ugovorom o zakupu iz rujna 2022. godine utvrđen je zakup na rok 5 godina, s time da mjesečna zakupnina iznosi 1.875 € počevši od 1.9.2022. godine. </w:t>
      </w:r>
      <w:r w:rsidR="00A85DF2">
        <w:rPr>
          <w:rFonts w:ascii="Arial" w:eastAsia="Calibri" w:hAnsi="Arial" w:cs="Arial"/>
          <w:sz w:val="20"/>
          <w:szCs w:val="20"/>
        </w:rPr>
        <w:t>(</w:t>
      </w:r>
      <w:r w:rsidR="00A85DF2" w:rsidRPr="003143E2">
        <w:rPr>
          <w:rFonts w:ascii="Arial" w:eastAsia="Calibri" w:hAnsi="Arial" w:cs="Arial"/>
          <w:b/>
          <w:bCs/>
          <w:sz w:val="20"/>
          <w:szCs w:val="20"/>
        </w:rPr>
        <w:t xml:space="preserve">prostor u zgradi </w:t>
      </w:r>
      <w:r w:rsidR="003143E2">
        <w:rPr>
          <w:rFonts w:ascii="Arial" w:eastAsia="Calibri" w:hAnsi="Arial" w:cs="Arial"/>
          <w:b/>
          <w:bCs/>
          <w:sz w:val="20"/>
          <w:szCs w:val="20"/>
        </w:rPr>
        <w:t>kod doma kulture</w:t>
      </w:r>
      <w:r w:rsidR="00A85DF2">
        <w:rPr>
          <w:rFonts w:ascii="Arial" w:eastAsia="Calibri" w:hAnsi="Arial" w:cs="Arial"/>
          <w:sz w:val="20"/>
          <w:szCs w:val="20"/>
        </w:rPr>
        <w:t>).</w:t>
      </w:r>
    </w:p>
    <w:p w14:paraId="10BA2F48" w14:textId="77777777" w:rsidR="00676A9B" w:rsidRPr="00676A9B" w:rsidRDefault="00676A9B" w:rsidP="00676A9B">
      <w:pPr>
        <w:spacing w:after="0" w:line="240" w:lineRule="auto"/>
        <w:jc w:val="both"/>
        <w:rPr>
          <w:rFonts w:ascii="Arial" w:eastAsia="Calibri" w:hAnsi="Arial" w:cs="Arial"/>
          <w:sz w:val="20"/>
          <w:szCs w:val="20"/>
          <w:lang w:eastAsia="en-US"/>
        </w:rPr>
      </w:pPr>
    </w:p>
    <w:p w14:paraId="51B49CC2"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b/>
          <w:sz w:val="20"/>
          <w:szCs w:val="20"/>
        </w:rPr>
        <w:t>POKAZATELJI REZULTATA:</w:t>
      </w:r>
      <w:r w:rsidRPr="00676A9B">
        <w:rPr>
          <w:rFonts w:ascii="Arial" w:eastAsia="Calibri" w:hAnsi="Arial" w:cs="Arial"/>
          <w:sz w:val="20"/>
          <w:szCs w:val="20"/>
        </w:rPr>
        <w:t xml:space="preserve"> </w:t>
      </w:r>
    </w:p>
    <w:p w14:paraId="18EEA099" w14:textId="77777777" w:rsidR="00676A9B" w:rsidRPr="00676A9B" w:rsidRDefault="00676A9B" w:rsidP="00676A9B">
      <w:pPr>
        <w:spacing w:after="0" w:line="240" w:lineRule="auto"/>
        <w:jc w:val="both"/>
        <w:rPr>
          <w:rFonts w:ascii="Arial" w:eastAsia="Calibri" w:hAnsi="Arial" w:cs="Arial"/>
          <w:sz w:val="20"/>
          <w:szCs w:val="20"/>
        </w:rPr>
      </w:pPr>
    </w:p>
    <w:tbl>
      <w:tblPr>
        <w:tblW w:w="14201" w:type="dxa"/>
        <w:jc w:val="center"/>
        <w:tblLayout w:type="fixed"/>
        <w:tblLook w:val="04A0" w:firstRow="1" w:lastRow="0" w:firstColumn="1" w:lastColumn="0" w:noHBand="0" w:noVBand="1"/>
      </w:tblPr>
      <w:tblGrid>
        <w:gridCol w:w="2127"/>
        <w:gridCol w:w="4105"/>
        <w:gridCol w:w="957"/>
        <w:gridCol w:w="1175"/>
        <w:gridCol w:w="1134"/>
        <w:gridCol w:w="1129"/>
        <w:gridCol w:w="1129"/>
        <w:gridCol w:w="1275"/>
        <w:gridCol w:w="1170"/>
      </w:tblGrid>
      <w:tr w:rsidR="00676A9B" w:rsidRPr="00676A9B" w14:paraId="0534FC35" w14:textId="77777777" w:rsidTr="00410A4B">
        <w:trPr>
          <w:jc w:val="center"/>
        </w:trPr>
        <w:tc>
          <w:tcPr>
            <w:tcW w:w="212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593CEC6"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Pokazatelj rezultata</w:t>
            </w:r>
          </w:p>
        </w:tc>
        <w:tc>
          <w:tcPr>
            <w:tcW w:w="41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2703674"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Definicija</w:t>
            </w:r>
          </w:p>
        </w:tc>
        <w:tc>
          <w:tcPr>
            <w:tcW w:w="95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5E5E6A5"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Jedinica</w:t>
            </w:r>
          </w:p>
        </w:tc>
        <w:tc>
          <w:tcPr>
            <w:tcW w:w="117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FCE0DFF"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EFBE977" w14:textId="33346365"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Polazna vrijednost 202</w:t>
            </w:r>
            <w:r w:rsidR="003143E2">
              <w:rPr>
                <w:rFonts w:ascii="Arial" w:eastAsia="Calibri" w:hAnsi="Arial" w:cs="Arial"/>
                <w:sz w:val="20"/>
                <w:szCs w:val="20"/>
              </w:rPr>
              <w:t>5</w:t>
            </w:r>
            <w:r w:rsidRPr="00676A9B">
              <w:rPr>
                <w:rFonts w:ascii="Arial" w:eastAsia="Calibri" w:hAnsi="Arial" w:cs="Arial"/>
                <w:sz w:val="20"/>
                <w:szCs w:val="20"/>
              </w:rPr>
              <w:t>.</w:t>
            </w:r>
          </w:p>
        </w:tc>
        <w:tc>
          <w:tcPr>
            <w:tcW w:w="112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13887C6" w14:textId="7BD5F660"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Ciljana vrijednost 202</w:t>
            </w:r>
            <w:r w:rsidR="003143E2">
              <w:rPr>
                <w:rFonts w:ascii="Arial" w:eastAsia="Calibri" w:hAnsi="Arial" w:cs="Arial"/>
                <w:sz w:val="20"/>
                <w:szCs w:val="20"/>
              </w:rPr>
              <w:t>5</w:t>
            </w:r>
            <w:r w:rsidRPr="00676A9B">
              <w:rPr>
                <w:rFonts w:ascii="Arial" w:eastAsia="Calibri" w:hAnsi="Arial" w:cs="Arial"/>
                <w:sz w:val="20"/>
                <w:szCs w:val="20"/>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0BD6F0E" w14:textId="3E87E280"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Izvršeno 202</w:t>
            </w:r>
            <w:r w:rsidR="003143E2">
              <w:rPr>
                <w:rFonts w:ascii="Arial" w:eastAsia="Calibri" w:hAnsi="Arial" w:cs="Arial"/>
                <w:sz w:val="20"/>
                <w:szCs w:val="20"/>
              </w:rPr>
              <w:t>5</w:t>
            </w:r>
            <w:r w:rsidRPr="00676A9B">
              <w:rPr>
                <w:rFonts w:ascii="Arial" w:eastAsia="Calibri" w:hAnsi="Arial" w:cs="Arial"/>
                <w:sz w:val="20"/>
                <w:szCs w:val="2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E5A216F" w14:textId="3FDBD0C0"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Ciljana vrijednost 202</w:t>
            </w:r>
            <w:r w:rsidR="003143E2">
              <w:rPr>
                <w:rFonts w:ascii="Arial" w:eastAsia="Calibri" w:hAnsi="Arial" w:cs="Arial"/>
                <w:sz w:val="20"/>
                <w:szCs w:val="20"/>
              </w:rPr>
              <w:t>6</w:t>
            </w:r>
            <w:r w:rsidRPr="00676A9B">
              <w:rPr>
                <w:rFonts w:ascii="Arial" w:eastAsia="Calibri" w:hAnsi="Arial" w:cs="Arial"/>
                <w:sz w:val="20"/>
                <w:szCs w:val="20"/>
              </w:rPr>
              <w:t>.</w:t>
            </w:r>
          </w:p>
        </w:tc>
        <w:tc>
          <w:tcPr>
            <w:tcW w:w="11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2C185C0" w14:textId="4455B644"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Ciljana vrijednost 202</w:t>
            </w:r>
            <w:r w:rsidR="003143E2">
              <w:rPr>
                <w:rFonts w:ascii="Arial" w:eastAsia="Calibri" w:hAnsi="Arial" w:cs="Arial"/>
                <w:sz w:val="20"/>
                <w:szCs w:val="20"/>
              </w:rPr>
              <w:t>7</w:t>
            </w:r>
            <w:r w:rsidRPr="00676A9B">
              <w:rPr>
                <w:rFonts w:ascii="Arial" w:eastAsia="Calibri" w:hAnsi="Arial" w:cs="Arial"/>
                <w:sz w:val="20"/>
                <w:szCs w:val="20"/>
              </w:rPr>
              <w:t>.</w:t>
            </w:r>
          </w:p>
        </w:tc>
      </w:tr>
      <w:tr w:rsidR="00676A9B" w:rsidRPr="00676A9B" w14:paraId="0E2FD62E" w14:textId="77777777" w:rsidTr="00410A4B">
        <w:trPr>
          <w:trHeight w:val="1031"/>
          <w:jc w:val="center"/>
        </w:trPr>
        <w:tc>
          <w:tcPr>
            <w:tcW w:w="2127" w:type="dxa"/>
            <w:tcBorders>
              <w:top w:val="single" w:sz="4" w:space="0" w:color="auto"/>
              <w:left w:val="single" w:sz="4" w:space="0" w:color="auto"/>
              <w:bottom w:val="single" w:sz="4" w:space="0" w:color="auto"/>
              <w:right w:val="single" w:sz="4" w:space="0" w:color="auto"/>
            </w:tcBorders>
            <w:vAlign w:val="center"/>
            <w:hideMark/>
          </w:tcPr>
          <w:p w14:paraId="5CBC2EA1"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Postotak pravovremeno podmirenih obveza</w:t>
            </w:r>
          </w:p>
        </w:tc>
        <w:tc>
          <w:tcPr>
            <w:tcW w:w="4105" w:type="dxa"/>
            <w:tcBorders>
              <w:top w:val="single" w:sz="4" w:space="0" w:color="auto"/>
              <w:left w:val="single" w:sz="4" w:space="0" w:color="auto"/>
              <w:bottom w:val="single" w:sz="4" w:space="0" w:color="auto"/>
              <w:right w:val="single" w:sz="4" w:space="0" w:color="auto"/>
            </w:tcBorders>
            <w:vAlign w:val="center"/>
            <w:hideMark/>
          </w:tcPr>
          <w:p w14:paraId="3A55CB3A" w14:textId="77777777" w:rsidR="00676A9B" w:rsidRPr="00676A9B" w:rsidRDefault="00676A9B" w:rsidP="003143E2">
            <w:pPr>
              <w:spacing w:after="0" w:line="240" w:lineRule="auto"/>
              <w:rPr>
                <w:rFonts w:ascii="Arial" w:eastAsia="Calibri" w:hAnsi="Arial" w:cs="Arial"/>
                <w:sz w:val="18"/>
                <w:szCs w:val="18"/>
              </w:rPr>
            </w:pPr>
            <w:r w:rsidRPr="00676A9B">
              <w:rPr>
                <w:rFonts w:ascii="Arial" w:eastAsia="Calibri" w:hAnsi="Arial" w:cs="Arial"/>
                <w:sz w:val="18"/>
                <w:szCs w:val="18"/>
              </w:rPr>
              <w:t>Osiguravanjem financijskih sredstava i pravovremenim plaćanjem obveza najmodavcima prostora u kojima se odvijaju vrtićki programi doprinosi se nesmetanom radu poslovnih jedinica dječjeg vrtića.</w:t>
            </w:r>
          </w:p>
        </w:tc>
        <w:tc>
          <w:tcPr>
            <w:tcW w:w="957" w:type="dxa"/>
            <w:tcBorders>
              <w:top w:val="single" w:sz="4" w:space="0" w:color="auto"/>
              <w:left w:val="single" w:sz="4" w:space="0" w:color="auto"/>
              <w:bottom w:val="single" w:sz="4" w:space="0" w:color="auto"/>
              <w:right w:val="single" w:sz="4" w:space="0" w:color="auto"/>
            </w:tcBorders>
            <w:vAlign w:val="center"/>
            <w:hideMark/>
          </w:tcPr>
          <w:p w14:paraId="086249C3" w14:textId="77777777" w:rsidR="00676A9B" w:rsidRPr="00676A9B" w:rsidRDefault="00676A9B" w:rsidP="00676A9B">
            <w:pPr>
              <w:spacing w:after="0" w:line="240" w:lineRule="auto"/>
              <w:jc w:val="center"/>
              <w:rPr>
                <w:rFonts w:ascii="Arial" w:eastAsia="Calibri" w:hAnsi="Arial" w:cs="Arial"/>
                <w:sz w:val="18"/>
                <w:szCs w:val="18"/>
              </w:rPr>
            </w:pPr>
            <w:r w:rsidRPr="00676A9B">
              <w:rPr>
                <w:rFonts w:ascii="Arial" w:eastAsia="Calibri" w:hAnsi="Arial" w:cs="Arial"/>
                <w:sz w:val="18"/>
                <w:szCs w:val="18"/>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3DB48193"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Općina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DBC609"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100 %</w:t>
            </w:r>
          </w:p>
        </w:tc>
        <w:tc>
          <w:tcPr>
            <w:tcW w:w="1129" w:type="dxa"/>
            <w:tcBorders>
              <w:top w:val="single" w:sz="4" w:space="0" w:color="auto"/>
              <w:left w:val="single" w:sz="4" w:space="0" w:color="auto"/>
              <w:bottom w:val="single" w:sz="4" w:space="0" w:color="auto"/>
              <w:right w:val="single" w:sz="4" w:space="0" w:color="auto"/>
            </w:tcBorders>
            <w:vAlign w:val="center"/>
          </w:tcPr>
          <w:p w14:paraId="1A4914BF"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100 %</w:t>
            </w:r>
          </w:p>
        </w:tc>
        <w:tc>
          <w:tcPr>
            <w:tcW w:w="1129" w:type="dxa"/>
            <w:tcBorders>
              <w:top w:val="single" w:sz="4" w:space="0" w:color="auto"/>
              <w:left w:val="single" w:sz="4" w:space="0" w:color="auto"/>
              <w:bottom w:val="single" w:sz="4" w:space="0" w:color="auto"/>
              <w:right w:val="single" w:sz="4" w:space="0" w:color="auto"/>
            </w:tcBorders>
            <w:vAlign w:val="center"/>
            <w:hideMark/>
          </w:tcPr>
          <w:p w14:paraId="00ADB630"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332F7E7"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100 %</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755D0FB0" w14:textId="77777777" w:rsidR="00676A9B" w:rsidRPr="00676A9B" w:rsidRDefault="00676A9B" w:rsidP="00676A9B">
            <w:pPr>
              <w:spacing w:after="0" w:line="240" w:lineRule="auto"/>
              <w:jc w:val="both"/>
              <w:rPr>
                <w:rFonts w:ascii="Arial" w:eastAsia="Calibri" w:hAnsi="Arial" w:cs="Arial"/>
                <w:sz w:val="18"/>
                <w:szCs w:val="18"/>
              </w:rPr>
            </w:pPr>
            <w:r w:rsidRPr="00676A9B">
              <w:rPr>
                <w:rFonts w:ascii="Arial" w:eastAsia="Calibri" w:hAnsi="Arial" w:cs="Arial"/>
                <w:sz w:val="18"/>
                <w:szCs w:val="18"/>
              </w:rPr>
              <w:t>100 %</w:t>
            </w:r>
          </w:p>
        </w:tc>
      </w:tr>
    </w:tbl>
    <w:p w14:paraId="5C38488C" w14:textId="77777777" w:rsidR="00676A9B" w:rsidRPr="00676A9B" w:rsidRDefault="00676A9B" w:rsidP="00676A9B">
      <w:pPr>
        <w:spacing w:after="0" w:line="240" w:lineRule="auto"/>
        <w:jc w:val="both"/>
        <w:rPr>
          <w:rFonts w:ascii="Arial" w:eastAsia="Calibri" w:hAnsi="Arial" w:cs="Arial"/>
          <w:sz w:val="20"/>
          <w:szCs w:val="20"/>
        </w:rPr>
      </w:pPr>
      <w:r w:rsidRPr="00676A9B">
        <w:rPr>
          <w:rFonts w:ascii="Arial" w:eastAsia="Calibri" w:hAnsi="Arial" w:cs="Arial"/>
          <w:sz w:val="20"/>
          <w:szCs w:val="20"/>
        </w:rPr>
        <w:t xml:space="preserve"> </w:t>
      </w:r>
      <w:r w:rsidRPr="00676A9B">
        <w:rPr>
          <w:rFonts w:ascii="Arial" w:eastAsia="Calibri" w:hAnsi="Arial" w:cs="Arial"/>
          <w:sz w:val="20"/>
          <w:szCs w:val="20"/>
        </w:rPr>
        <w:br w:type="page"/>
      </w:r>
    </w:p>
    <w:bookmarkEnd w:id="377"/>
    <w:p w14:paraId="59002FE4" w14:textId="77777777" w:rsidR="00906A75" w:rsidRPr="003A2F86" w:rsidRDefault="00906A75" w:rsidP="004A7D1E">
      <w:pPr>
        <w:pStyle w:val="Odlomakpopisa"/>
        <w:ind w:left="720"/>
        <w:contextualSpacing/>
        <w:rPr>
          <w:rFonts w:ascii="Arial" w:eastAsia="Calibri" w:hAnsi="Arial" w:cs="Arial"/>
        </w:rPr>
      </w:pPr>
    </w:p>
    <w:p w14:paraId="35F84588" w14:textId="3F01F360" w:rsidR="00B902D0" w:rsidRPr="00FA1272" w:rsidRDefault="00795CD9" w:rsidP="00FA1272">
      <w:pPr>
        <w:pStyle w:val="Naslov4"/>
        <w:rPr>
          <w:rFonts w:eastAsia="Calibri"/>
        </w:rPr>
      </w:pPr>
      <w:bookmarkStart w:id="456" w:name="_Toc36842124"/>
      <w:bookmarkStart w:id="457" w:name="_Toc232981445"/>
      <w:bookmarkStart w:id="458" w:name="_Toc435014673"/>
      <w:bookmarkEnd w:id="361"/>
      <w:r w:rsidRPr="00FA1272">
        <w:rPr>
          <w:rFonts w:eastAsia="Calibri"/>
        </w:rPr>
        <w:t>3</w:t>
      </w:r>
      <w:r w:rsidR="00B902D0" w:rsidRPr="00FA1272">
        <w:rPr>
          <w:rFonts w:eastAsia="Calibri"/>
        </w:rPr>
        <w:t>.</w:t>
      </w:r>
      <w:r w:rsidR="00375FAF" w:rsidRPr="00FA1272">
        <w:rPr>
          <w:rFonts w:eastAsia="Calibri"/>
        </w:rPr>
        <w:t>3</w:t>
      </w:r>
      <w:r w:rsidR="00EE5199" w:rsidRPr="00FA1272">
        <w:rPr>
          <w:rFonts w:eastAsia="Calibri"/>
        </w:rPr>
        <w:t>.2.2</w:t>
      </w:r>
      <w:r w:rsidR="00B902D0" w:rsidRPr="00FA1272">
        <w:rPr>
          <w:rFonts w:eastAsia="Calibri"/>
        </w:rPr>
        <w:t>.</w:t>
      </w:r>
      <w:r w:rsidR="00B902D0" w:rsidRPr="00FA1272">
        <w:rPr>
          <w:rFonts w:eastAsia="Calibri"/>
        </w:rPr>
        <w:tab/>
        <w:t>GLAVA: (020 03) USTANOVA U KULTURI</w:t>
      </w:r>
      <w:bookmarkEnd w:id="456"/>
      <w:bookmarkEnd w:id="457"/>
      <w:r w:rsidR="00B902D0" w:rsidRPr="00FA1272">
        <w:rPr>
          <w:rFonts w:eastAsia="Calibri"/>
        </w:rPr>
        <w:t xml:space="preserve"> </w:t>
      </w:r>
    </w:p>
    <w:p w14:paraId="109047C1" w14:textId="77777777" w:rsidR="00B902D0" w:rsidRPr="003A2F86" w:rsidRDefault="00B902D0" w:rsidP="00B902D0">
      <w:pPr>
        <w:autoSpaceDE w:val="0"/>
        <w:autoSpaceDN w:val="0"/>
        <w:adjustRightInd w:val="0"/>
        <w:spacing w:after="0" w:line="240" w:lineRule="auto"/>
        <w:rPr>
          <w:rFonts w:ascii="Arial" w:eastAsia="Calibri" w:hAnsi="Arial" w:cs="Arial"/>
          <w:sz w:val="20"/>
          <w:szCs w:val="20"/>
        </w:rPr>
      </w:pPr>
    </w:p>
    <w:p w14:paraId="0A1D6652" w14:textId="77777777" w:rsidR="00B902D0" w:rsidRPr="003A2F86" w:rsidRDefault="00B902D0" w:rsidP="00B902D0">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U razdjelu 020 UPRAVNI ODJEL ZA OPĆE POSLOVE, MJESNU SAMOUPRAVU I DRUŠTVENE DJELATNOSTI, glava (020 03) Ustanova u kulturi, izvodi se jedan Program. </w:t>
      </w:r>
    </w:p>
    <w:p w14:paraId="24EB1BE7" w14:textId="77777777" w:rsidR="00B902D0" w:rsidRPr="003A2F86" w:rsidRDefault="00B902D0" w:rsidP="00B902D0">
      <w:pPr>
        <w:spacing w:after="0" w:line="240" w:lineRule="auto"/>
        <w:jc w:val="both"/>
        <w:rPr>
          <w:rFonts w:ascii="Arial" w:eastAsia="Times New Roman" w:hAnsi="Arial" w:cs="Arial"/>
          <w:sz w:val="20"/>
          <w:szCs w:val="20"/>
          <w:lang w:eastAsia="en-US"/>
        </w:rPr>
      </w:pPr>
    </w:p>
    <w:p w14:paraId="6A9A24AA" w14:textId="77777777" w:rsidR="00B902D0" w:rsidRPr="00837ECF" w:rsidRDefault="00B902D0" w:rsidP="0012332E">
      <w:pPr>
        <w:pStyle w:val="Naslov3"/>
        <w:rPr>
          <w:rFonts w:eastAsia="Calibri"/>
        </w:rPr>
      </w:pPr>
      <w:bookmarkStart w:id="459" w:name="_Toc36842125"/>
      <w:bookmarkStart w:id="460" w:name="_Toc232981446"/>
      <w:r w:rsidRPr="00837ECF">
        <w:rPr>
          <w:rFonts w:eastAsia="Calibri"/>
        </w:rPr>
        <w:t>Program (2031): Javna ustanova u kulturi</w:t>
      </w:r>
      <w:bookmarkEnd w:id="459"/>
      <w:bookmarkEnd w:id="460"/>
    </w:p>
    <w:p w14:paraId="367D6CFE" w14:textId="77777777" w:rsidR="00B902D0" w:rsidRPr="00250906" w:rsidRDefault="00B902D0" w:rsidP="00B902D0">
      <w:pPr>
        <w:spacing w:after="0" w:line="240" w:lineRule="auto"/>
        <w:rPr>
          <w:rFonts w:ascii="Times New Roman" w:eastAsia="Times New Roman" w:hAnsi="Times New Roman" w:cs="Arial"/>
          <w:sz w:val="20"/>
          <w:szCs w:val="20"/>
          <w:lang w:eastAsia="en-US"/>
        </w:rPr>
      </w:pPr>
    </w:p>
    <w:p w14:paraId="074A0AEB" w14:textId="77777777" w:rsidR="00B902D0" w:rsidRPr="003A2F86" w:rsidRDefault="00B902D0" w:rsidP="00B902D0">
      <w:pPr>
        <w:spacing w:after="0" w:line="240" w:lineRule="auto"/>
        <w:rPr>
          <w:rFonts w:ascii="Times New Roman" w:eastAsia="Times New Roman" w:hAnsi="Times New Roman" w:cs="Arial"/>
          <w:sz w:val="20"/>
          <w:szCs w:val="20"/>
          <w:lang w:eastAsia="en-US"/>
        </w:rPr>
      </w:pPr>
      <w:r w:rsidRPr="003A2F86">
        <w:rPr>
          <w:rFonts w:ascii="Times New Roman" w:eastAsia="Times New Roman" w:hAnsi="Times New Roman" w:cs="Arial"/>
          <w:noProof/>
          <w:sz w:val="20"/>
          <w:szCs w:val="20"/>
        </w:rPr>
        <w:drawing>
          <wp:inline distT="0" distB="0" distL="0" distR="0" wp14:anchorId="4F3BC338" wp14:editId="42BD19E7">
            <wp:extent cx="6381750" cy="161925"/>
            <wp:effectExtent l="0" t="0" r="0" b="9525"/>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6381750" cy="161925"/>
                    </a:xfrm>
                    <a:prstGeom prst="rect">
                      <a:avLst/>
                    </a:prstGeom>
                    <a:noFill/>
                    <a:ln>
                      <a:noFill/>
                    </a:ln>
                  </pic:spPr>
                </pic:pic>
              </a:graphicData>
            </a:graphic>
          </wp:inline>
        </w:drawing>
      </w:r>
    </w:p>
    <w:p w14:paraId="3E91814F" w14:textId="77777777" w:rsidR="00B902D0" w:rsidRPr="003A2F86" w:rsidRDefault="00B902D0" w:rsidP="00B902D0">
      <w:pPr>
        <w:spacing w:after="0" w:line="256" w:lineRule="auto"/>
        <w:rPr>
          <w:rFonts w:ascii="Arial" w:eastAsia="Calibri" w:hAnsi="Arial" w:cs="Arial"/>
          <w:sz w:val="20"/>
          <w:szCs w:val="20"/>
          <w:lang w:eastAsia="en-US"/>
        </w:rPr>
      </w:pPr>
    </w:p>
    <w:p w14:paraId="6F1A866B" w14:textId="3C4C655A" w:rsidR="00B902D0" w:rsidRPr="003A2F86" w:rsidRDefault="00B902D0" w:rsidP="00B902D0">
      <w:pPr>
        <w:spacing w:after="0" w:line="240" w:lineRule="auto"/>
        <w:jc w:val="both"/>
        <w:rPr>
          <w:rFonts w:ascii="Arial" w:eastAsia="Times New Roman" w:hAnsi="Arial" w:cs="Arial"/>
          <w:b/>
          <w:sz w:val="20"/>
          <w:szCs w:val="20"/>
          <w:lang w:eastAsia="en-US"/>
        </w:rPr>
      </w:pPr>
      <w:r w:rsidRPr="003A2F86">
        <w:rPr>
          <w:rFonts w:ascii="Arial" w:eastAsia="Times New Roman" w:hAnsi="Arial" w:cs="Arial"/>
          <w:sz w:val="20"/>
          <w:szCs w:val="20"/>
          <w:lang w:eastAsia="en-US"/>
        </w:rPr>
        <w:t xml:space="preserve">Obrazloženje </w:t>
      </w:r>
      <w:r w:rsidR="00B95A8E" w:rsidRPr="003A2F86">
        <w:rPr>
          <w:rFonts w:ascii="Arial" w:eastAsia="Times New Roman" w:hAnsi="Arial" w:cs="Arial"/>
          <w:sz w:val="20"/>
          <w:szCs w:val="20"/>
          <w:lang w:eastAsia="en-US"/>
        </w:rPr>
        <w:t>i</w:t>
      </w:r>
      <w:r w:rsidR="00465588" w:rsidRPr="003A2F86">
        <w:rPr>
          <w:rFonts w:ascii="Arial" w:eastAsia="Times New Roman" w:hAnsi="Arial" w:cs="Arial"/>
          <w:sz w:val="20"/>
          <w:szCs w:val="20"/>
          <w:lang w:eastAsia="en-US"/>
        </w:rPr>
        <w:t xml:space="preserve">zvršenja </w:t>
      </w:r>
      <w:r w:rsidRPr="003A2F86">
        <w:rPr>
          <w:rFonts w:ascii="Arial" w:eastAsia="Times New Roman" w:hAnsi="Arial" w:cs="Arial"/>
          <w:sz w:val="20"/>
          <w:szCs w:val="20"/>
          <w:lang w:eastAsia="en-US"/>
        </w:rPr>
        <w:t xml:space="preserve">PROGRAMA 2031 Javna ustanova u kulturi, Muzeji i galerije Konavala iskazuje se u </w:t>
      </w:r>
      <w:r w:rsidRPr="003A2F86">
        <w:rPr>
          <w:rFonts w:ascii="Arial" w:eastAsia="Times New Roman" w:hAnsi="Arial" w:cs="Arial"/>
          <w:color w:val="FF0000"/>
          <w:sz w:val="20"/>
          <w:szCs w:val="20"/>
          <w:lang w:eastAsia="en-US"/>
        </w:rPr>
        <w:t xml:space="preserve">točki </w:t>
      </w:r>
      <w:r w:rsidR="00B35AD1" w:rsidRPr="003A2F86">
        <w:rPr>
          <w:rFonts w:ascii="Arial" w:eastAsia="Times New Roman" w:hAnsi="Arial" w:cs="Arial"/>
          <w:b/>
          <w:bCs/>
          <w:color w:val="FF0000"/>
          <w:sz w:val="20"/>
          <w:szCs w:val="20"/>
          <w:lang w:eastAsia="en-US"/>
        </w:rPr>
        <w:t>3</w:t>
      </w:r>
      <w:r w:rsidRPr="003A2F86">
        <w:rPr>
          <w:rFonts w:ascii="Arial" w:eastAsia="Times New Roman" w:hAnsi="Arial" w:cs="Arial"/>
          <w:b/>
          <w:bCs/>
          <w:color w:val="FF0000"/>
          <w:sz w:val="20"/>
          <w:szCs w:val="20"/>
          <w:lang w:eastAsia="en-US"/>
        </w:rPr>
        <w:t>.</w:t>
      </w:r>
      <w:r w:rsidR="00840581" w:rsidRPr="003A2F86">
        <w:rPr>
          <w:rFonts w:ascii="Arial" w:eastAsia="Times New Roman" w:hAnsi="Arial" w:cs="Arial"/>
          <w:b/>
          <w:bCs/>
          <w:color w:val="FF0000"/>
          <w:sz w:val="20"/>
          <w:szCs w:val="20"/>
          <w:lang w:eastAsia="en-US"/>
        </w:rPr>
        <w:t>4</w:t>
      </w:r>
      <w:r w:rsidR="00EE5199" w:rsidRPr="003A2F86">
        <w:rPr>
          <w:rFonts w:ascii="Arial" w:eastAsia="Times New Roman" w:hAnsi="Arial" w:cs="Arial"/>
          <w:b/>
          <w:bCs/>
          <w:color w:val="FF0000"/>
          <w:sz w:val="20"/>
          <w:szCs w:val="20"/>
          <w:lang w:eastAsia="en-US"/>
        </w:rPr>
        <w:t>.</w:t>
      </w:r>
      <w:r w:rsidRPr="003A2F86">
        <w:rPr>
          <w:rFonts w:ascii="Arial" w:eastAsia="Times New Roman" w:hAnsi="Arial" w:cs="Arial"/>
          <w:color w:val="FF0000"/>
          <w:sz w:val="20"/>
          <w:szCs w:val="20"/>
          <w:lang w:eastAsia="en-US"/>
        </w:rPr>
        <w:t xml:space="preserve"> </w:t>
      </w:r>
      <w:r w:rsidRPr="003A2F86">
        <w:rPr>
          <w:rFonts w:ascii="Arial" w:eastAsia="Times New Roman" w:hAnsi="Arial" w:cs="Arial"/>
          <w:b/>
          <w:sz w:val="20"/>
          <w:szCs w:val="20"/>
        </w:rPr>
        <w:t xml:space="preserve">POSEBNI DIO PRORAČUNA </w:t>
      </w:r>
      <w:r w:rsidR="00B95A8E" w:rsidRPr="003A2F86">
        <w:rPr>
          <w:rFonts w:ascii="Arial" w:eastAsia="Times New Roman" w:hAnsi="Arial" w:cs="Arial"/>
          <w:b/>
          <w:sz w:val="20"/>
          <w:szCs w:val="20"/>
        </w:rPr>
        <w:t xml:space="preserve">– IZVRŠENJE FINANCIJSKIH PLANOVA PRORAČUNSKIH KORISNIKA </w:t>
      </w:r>
      <w:r w:rsidR="00B95A8E" w:rsidRPr="003A2F86">
        <w:rPr>
          <w:rFonts w:ascii="Arial" w:eastAsia="Calibri" w:hAnsi="Arial" w:cs="Arial"/>
          <w:b/>
          <w:sz w:val="20"/>
          <w:szCs w:val="20"/>
          <w:lang w:eastAsia="en-US"/>
        </w:rPr>
        <w:t xml:space="preserve">SIJEČANJ – </w:t>
      </w:r>
      <w:r w:rsidR="00680B71">
        <w:rPr>
          <w:rFonts w:ascii="Arial" w:eastAsia="Calibri" w:hAnsi="Arial" w:cs="Arial"/>
          <w:b/>
          <w:sz w:val="20"/>
          <w:szCs w:val="20"/>
          <w:lang w:eastAsia="en-US"/>
        </w:rPr>
        <w:t>PROSINAC</w:t>
      </w:r>
      <w:r w:rsidR="00B95A8E" w:rsidRPr="003A2F86">
        <w:rPr>
          <w:rFonts w:ascii="Arial" w:eastAsia="Calibri" w:hAnsi="Arial" w:cs="Arial"/>
          <w:b/>
          <w:sz w:val="20"/>
          <w:szCs w:val="20"/>
          <w:lang w:eastAsia="en-US"/>
        </w:rPr>
        <w:t xml:space="preserve"> 20</w:t>
      </w:r>
      <w:r w:rsidR="00114EBC" w:rsidRPr="003A2F86">
        <w:rPr>
          <w:rFonts w:ascii="Arial" w:eastAsia="Calibri" w:hAnsi="Arial" w:cs="Arial"/>
          <w:b/>
          <w:sz w:val="20"/>
          <w:szCs w:val="20"/>
          <w:lang w:eastAsia="en-US"/>
        </w:rPr>
        <w:t>2</w:t>
      </w:r>
      <w:r w:rsidR="008460E8">
        <w:rPr>
          <w:rFonts w:ascii="Arial" w:eastAsia="Calibri" w:hAnsi="Arial" w:cs="Arial"/>
          <w:b/>
          <w:sz w:val="20"/>
          <w:szCs w:val="20"/>
          <w:lang w:eastAsia="en-US"/>
        </w:rPr>
        <w:t>5</w:t>
      </w:r>
      <w:r w:rsidR="00B95A8E" w:rsidRPr="003A2F86">
        <w:rPr>
          <w:rFonts w:ascii="Arial" w:eastAsia="Calibri" w:hAnsi="Arial" w:cs="Arial"/>
          <w:b/>
          <w:sz w:val="20"/>
          <w:szCs w:val="20"/>
          <w:lang w:eastAsia="en-US"/>
        </w:rPr>
        <w:t>.</w:t>
      </w:r>
      <w:r w:rsidRPr="003A2F86">
        <w:rPr>
          <w:rFonts w:ascii="Arial" w:eastAsia="Times New Roman" w:hAnsi="Arial" w:cs="Arial"/>
          <w:b/>
          <w:sz w:val="20"/>
          <w:szCs w:val="20"/>
        </w:rPr>
        <w:t xml:space="preserve">, </w:t>
      </w:r>
      <w:hyperlink w:anchor="_3.4.1._GLAVA:_(020" w:history="1">
        <w:r w:rsidR="00795CD9" w:rsidRPr="001417DD">
          <w:rPr>
            <w:rStyle w:val="Hiperveza"/>
            <w:rFonts w:ascii="Arial" w:eastAsia="Times New Roman" w:hAnsi="Arial" w:cs="Arial"/>
            <w:b/>
            <w:sz w:val="20"/>
            <w:szCs w:val="20"/>
          </w:rPr>
          <w:t>3</w:t>
        </w:r>
        <w:r w:rsidRPr="001417DD">
          <w:rPr>
            <w:rStyle w:val="Hiperveza"/>
            <w:rFonts w:ascii="Arial" w:eastAsia="Times New Roman" w:hAnsi="Arial" w:cs="Arial"/>
            <w:b/>
            <w:sz w:val="20"/>
            <w:szCs w:val="20"/>
          </w:rPr>
          <w:t>.</w:t>
        </w:r>
        <w:r w:rsidR="00840581" w:rsidRPr="001417DD">
          <w:rPr>
            <w:rStyle w:val="Hiperveza"/>
            <w:rFonts w:ascii="Arial" w:eastAsia="Times New Roman" w:hAnsi="Arial" w:cs="Arial"/>
            <w:b/>
            <w:sz w:val="20"/>
            <w:szCs w:val="20"/>
          </w:rPr>
          <w:t>4</w:t>
        </w:r>
        <w:r w:rsidR="00EE5199" w:rsidRPr="001417DD">
          <w:rPr>
            <w:rStyle w:val="Hiperveza"/>
            <w:rFonts w:ascii="Arial" w:eastAsia="Times New Roman" w:hAnsi="Arial" w:cs="Arial"/>
            <w:b/>
            <w:sz w:val="20"/>
            <w:szCs w:val="20"/>
          </w:rPr>
          <w:t>.</w:t>
        </w:r>
        <w:r w:rsidRPr="001417DD">
          <w:rPr>
            <w:rStyle w:val="Hiperveza"/>
            <w:rFonts w:ascii="Arial" w:eastAsia="Times New Roman" w:hAnsi="Arial" w:cs="Arial"/>
            <w:b/>
            <w:sz w:val="20"/>
            <w:szCs w:val="20"/>
          </w:rPr>
          <w:t>1. Muzeji i galerije Konavala</w:t>
        </w:r>
      </w:hyperlink>
      <w:r w:rsidRPr="003A2F86">
        <w:rPr>
          <w:rFonts w:ascii="Arial" w:eastAsia="Times New Roman" w:hAnsi="Arial" w:cs="Arial"/>
          <w:b/>
          <w:sz w:val="20"/>
          <w:szCs w:val="20"/>
        </w:rPr>
        <w:t>.</w:t>
      </w:r>
    </w:p>
    <w:p w14:paraId="67A3A517" w14:textId="77777777" w:rsidR="00B902D0" w:rsidRDefault="00B902D0" w:rsidP="00B902D0">
      <w:pPr>
        <w:spacing w:after="0" w:line="240" w:lineRule="auto"/>
        <w:jc w:val="both"/>
        <w:rPr>
          <w:rFonts w:ascii="Arial" w:eastAsia="Calibri" w:hAnsi="Arial" w:cs="Arial"/>
          <w:sz w:val="20"/>
          <w:szCs w:val="20"/>
        </w:rPr>
      </w:pPr>
    </w:p>
    <w:p w14:paraId="0C0144B1" w14:textId="77777777" w:rsidR="00E2724D" w:rsidRPr="003A2F86" w:rsidRDefault="00E2724D" w:rsidP="00B902D0">
      <w:pPr>
        <w:spacing w:after="0" w:line="240" w:lineRule="auto"/>
        <w:jc w:val="both"/>
        <w:rPr>
          <w:rFonts w:ascii="Arial" w:eastAsia="Calibri" w:hAnsi="Arial" w:cs="Arial"/>
          <w:sz w:val="20"/>
          <w:szCs w:val="20"/>
        </w:rPr>
      </w:pPr>
    </w:p>
    <w:p w14:paraId="27B4EBE8" w14:textId="31954A92" w:rsidR="00B902D0" w:rsidRPr="00FA1272" w:rsidRDefault="00EE5199" w:rsidP="00FA1272">
      <w:pPr>
        <w:pStyle w:val="Naslov4"/>
        <w:rPr>
          <w:rFonts w:eastAsia="Calibri"/>
        </w:rPr>
      </w:pPr>
      <w:bookmarkStart w:id="461" w:name="_Toc36842126"/>
      <w:bookmarkStart w:id="462" w:name="_Toc232981447"/>
      <w:r w:rsidRPr="00FA1272">
        <w:rPr>
          <w:rFonts w:eastAsia="Calibri"/>
        </w:rPr>
        <w:t>3.</w:t>
      </w:r>
      <w:r w:rsidR="00375FAF" w:rsidRPr="00FA1272">
        <w:rPr>
          <w:rFonts w:eastAsia="Calibri"/>
        </w:rPr>
        <w:t>3</w:t>
      </w:r>
      <w:r w:rsidRPr="00FA1272">
        <w:rPr>
          <w:rFonts w:eastAsia="Calibri"/>
        </w:rPr>
        <w:t>.2</w:t>
      </w:r>
      <w:r w:rsidR="00B902D0" w:rsidRPr="00FA1272">
        <w:rPr>
          <w:rFonts w:eastAsia="Calibri"/>
        </w:rPr>
        <w:t>.</w:t>
      </w:r>
      <w:r w:rsidR="00732AB9" w:rsidRPr="00FA1272">
        <w:rPr>
          <w:rFonts w:eastAsia="Calibri"/>
        </w:rPr>
        <w:t>3</w:t>
      </w:r>
      <w:r w:rsidR="00B902D0" w:rsidRPr="00FA1272">
        <w:rPr>
          <w:rFonts w:eastAsia="Calibri"/>
        </w:rPr>
        <w:t>.</w:t>
      </w:r>
      <w:r w:rsidR="00B902D0" w:rsidRPr="00FA1272">
        <w:rPr>
          <w:rFonts w:eastAsia="Calibri"/>
        </w:rPr>
        <w:tab/>
        <w:t>GLAVA: (020 04) USTANOVA SOCIJALNE SKRBI</w:t>
      </w:r>
      <w:bookmarkEnd w:id="461"/>
      <w:bookmarkEnd w:id="462"/>
      <w:r w:rsidR="00B902D0" w:rsidRPr="00FA1272">
        <w:rPr>
          <w:rFonts w:eastAsia="Calibri"/>
        </w:rPr>
        <w:t xml:space="preserve"> </w:t>
      </w:r>
    </w:p>
    <w:p w14:paraId="62CAE032" w14:textId="77777777" w:rsidR="00B902D0" w:rsidRPr="003A2F86" w:rsidRDefault="00B902D0" w:rsidP="00B902D0">
      <w:pPr>
        <w:autoSpaceDE w:val="0"/>
        <w:autoSpaceDN w:val="0"/>
        <w:adjustRightInd w:val="0"/>
        <w:spacing w:after="0" w:line="240" w:lineRule="auto"/>
        <w:jc w:val="both"/>
        <w:rPr>
          <w:rFonts w:ascii="Arial" w:eastAsia="Calibri" w:hAnsi="Arial" w:cs="Arial"/>
          <w:sz w:val="20"/>
          <w:szCs w:val="20"/>
        </w:rPr>
      </w:pPr>
    </w:p>
    <w:p w14:paraId="1C07D1DB" w14:textId="77777777" w:rsidR="00B902D0" w:rsidRPr="003A2F86" w:rsidRDefault="00B902D0" w:rsidP="00B902D0">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U razdjelu 020 UPRAVNI ODJEL ZA OPĆE POSLOVE, MJESNU SAMOUPRAVU I DRUŠTVENE DJELATNOSTI, glava (020 04) Ustanova socijalne skrbi, izvodi se slijedeći Program: </w:t>
      </w:r>
    </w:p>
    <w:p w14:paraId="730A836A" w14:textId="77777777" w:rsidR="00B902D0" w:rsidRPr="003A2F86" w:rsidRDefault="00B902D0" w:rsidP="00B902D0">
      <w:pPr>
        <w:spacing w:after="0" w:line="240" w:lineRule="auto"/>
        <w:jc w:val="both"/>
        <w:rPr>
          <w:rFonts w:ascii="Arial" w:eastAsia="Calibri" w:hAnsi="Arial" w:cs="Arial"/>
          <w:sz w:val="20"/>
          <w:szCs w:val="20"/>
        </w:rPr>
      </w:pPr>
    </w:p>
    <w:p w14:paraId="756076EF" w14:textId="77777777" w:rsidR="00B902D0" w:rsidRPr="00837ECF" w:rsidRDefault="00B902D0" w:rsidP="0012332E">
      <w:pPr>
        <w:pStyle w:val="Naslov3"/>
        <w:rPr>
          <w:rFonts w:eastAsia="Calibri"/>
        </w:rPr>
      </w:pPr>
      <w:bookmarkStart w:id="463" w:name="_Toc36842127"/>
      <w:bookmarkStart w:id="464" w:name="_Toc232981448"/>
      <w:r w:rsidRPr="00837ECF">
        <w:rPr>
          <w:rFonts w:eastAsia="Calibri"/>
        </w:rPr>
        <w:t>Program (2044): Socijalna skrb – Dom za starije i nemoćne osobe Konavle</w:t>
      </w:r>
      <w:bookmarkEnd w:id="463"/>
      <w:bookmarkEnd w:id="464"/>
    </w:p>
    <w:p w14:paraId="10BFB1BA" w14:textId="77777777" w:rsidR="00B902D0" w:rsidRPr="003A2F86" w:rsidRDefault="00B902D0" w:rsidP="00B902D0">
      <w:pPr>
        <w:spacing w:after="0" w:line="240" w:lineRule="auto"/>
        <w:jc w:val="both"/>
        <w:rPr>
          <w:rFonts w:ascii="Arial" w:eastAsia="Times New Roman" w:hAnsi="Arial" w:cs="Arial"/>
          <w:sz w:val="20"/>
          <w:szCs w:val="20"/>
          <w:lang w:eastAsia="en-US"/>
        </w:rPr>
      </w:pPr>
    </w:p>
    <w:p w14:paraId="161E627D" w14:textId="77777777" w:rsidR="00B902D0" w:rsidRPr="003A2F86" w:rsidRDefault="00B902D0" w:rsidP="00B902D0">
      <w:pPr>
        <w:spacing w:after="0" w:line="240" w:lineRule="auto"/>
        <w:jc w:val="both"/>
        <w:rPr>
          <w:rFonts w:ascii="Arial" w:eastAsia="Calibri" w:hAnsi="Arial" w:cs="Arial"/>
          <w:sz w:val="20"/>
          <w:szCs w:val="20"/>
        </w:rPr>
      </w:pPr>
      <w:r w:rsidRPr="003A2F86">
        <w:rPr>
          <w:rFonts w:ascii="Times New Roman" w:eastAsia="Calibri" w:hAnsi="Times New Roman" w:cs="Times New Roman"/>
          <w:noProof/>
          <w:sz w:val="20"/>
          <w:szCs w:val="20"/>
        </w:rPr>
        <w:drawing>
          <wp:inline distT="0" distB="0" distL="0" distR="0" wp14:anchorId="6B979599" wp14:editId="3152F0E4">
            <wp:extent cx="7134225" cy="200025"/>
            <wp:effectExtent l="0" t="0" r="9525" b="9525"/>
            <wp:docPr id="704"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7134225" cy="200025"/>
                    </a:xfrm>
                    <a:prstGeom prst="rect">
                      <a:avLst/>
                    </a:prstGeom>
                    <a:noFill/>
                    <a:ln>
                      <a:noFill/>
                    </a:ln>
                  </pic:spPr>
                </pic:pic>
              </a:graphicData>
            </a:graphic>
          </wp:inline>
        </w:drawing>
      </w:r>
    </w:p>
    <w:p w14:paraId="26B51866" w14:textId="77777777" w:rsidR="00B902D0" w:rsidRPr="003A2F86" w:rsidRDefault="00B902D0" w:rsidP="00B902D0">
      <w:pPr>
        <w:spacing w:after="0" w:line="240" w:lineRule="auto"/>
        <w:jc w:val="both"/>
        <w:rPr>
          <w:rFonts w:ascii="Arial" w:eastAsia="Times New Roman" w:hAnsi="Arial" w:cs="Arial"/>
          <w:sz w:val="20"/>
          <w:szCs w:val="20"/>
          <w:lang w:eastAsia="en-US"/>
        </w:rPr>
      </w:pPr>
    </w:p>
    <w:p w14:paraId="0C75C35F" w14:textId="42174BA4" w:rsidR="00B902D0" w:rsidRPr="003A2F86" w:rsidRDefault="00B95A8E" w:rsidP="00B902D0">
      <w:pPr>
        <w:spacing w:after="0" w:line="240" w:lineRule="auto"/>
        <w:jc w:val="both"/>
        <w:rPr>
          <w:rFonts w:ascii="Arial" w:eastAsia="Times New Roman" w:hAnsi="Arial" w:cs="Arial"/>
          <w:b/>
          <w:sz w:val="20"/>
          <w:szCs w:val="20"/>
          <w:lang w:eastAsia="en-US"/>
        </w:rPr>
      </w:pPr>
      <w:r w:rsidRPr="003A2F86">
        <w:rPr>
          <w:rFonts w:ascii="Arial" w:eastAsia="Times New Roman" w:hAnsi="Arial" w:cs="Arial"/>
          <w:sz w:val="20"/>
          <w:szCs w:val="20"/>
          <w:lang w:eastAsia="en-US"/>
        </w:rPr>
        <w:t xml:space="preserve">Obrazloženje izvršenja </w:t>
      </w:r>
      <w:r w:rsidR="00B902D0" w:rsidRPr="003A2F86">
        <w:rPr>
          <w:rFonts w:ascii="Arial" w:eastAsia="Times New Roman" w:hAnsi="Arial" w:cs="Arial"/>
          <w:sz w:val="20"/>
          <w:szCs w:val="20"/>
          <w:lang w:eastAsia="en-US"/>
        </w:rPr>
        <w:t xml:space="preserve">PROGRAMA 2044 Socijalna skrb - Dom za starije i nemoćne osobe Konavle iskazuje se u </w:t>
      </w:r>
      <w:r w:rsidR="00B902D0" w:rsidRPr="003A2F86">
        <w:rPr>
          <w:rFonts w:ascii="Arial" w:eastAsia="Times New Roman" w:hAnsi="Arial" w:cs="Arial"/>
          <w:color w:val="FF0000"/>
          <w:sz w:val="20"/>
          <w:szCs w:val="20"/>
          <w:lang w:eastAsia="en-US"/>
        </w:rPr>
        <w:t xml:space="preserve">točki </w:t>
      </w:r>
      <w:r w:rsidR="00B35AD1" w:rsidRPr="003A2F86">
        <w:rPr>
          <w:rFonts w:ascii="Arial" w:eastAsia="Times New Roman" w:hAnsi="Arial" w:cs="Arial"/>
          <w:b/>
          <w:color w:val="FF0000"/>
          <w:sz w:val="20"/>
          <w:szCs w:val="20"/>
          <w:lang w:eastAsia="en-US"/>
        </w:rPr>
        <w:t>3</w:t>
      </w:r>
      <w:r w:rsidR="00B902D0" w:rsidRPr="003A2F86">
        <w:rPr>
          <w:rFonts w:ascii="Arial" w:eastAsia="Times New Roman" w:hAnsi="Arial" w:cs="Arial"/>
          <w:b/>
          <w:color w:val="FF0000"/>
          <w:sz w:val="20"/>
          <w:szCs w:val="20"/>
          <w:lang w:eastAsia="en-US"/>
        </w:rPr>
        <w:t>.</w:t>
      </w:r>
      <w:r w:rsidR="00840581" w:rsidRPr="003A2F86">
        <w:rPr>
          <w:rFonts w:ascii="Arial" w:eastAsia="Times New Roman" w:hAnsi="Arial" w:cs="Arial"/>
          <w:b/>
          <w:color w:val="FF0000"/>
          <w:sz w:val="20"/>
          <w:szCs w:val="20"/>
          <w:lang w:eastAsia="en-US"/>
        </w:rPr>
        <w:t>4</w:t>
      </w:r>
      <w:r w:rsidR="00B902D0" w:rsidRPr="003A2F86">
        <w:rPr>
          <w:rFonts w:ascii="Arial" w:eastAsia="Times New Roman" w:hAnsi="Arial" w:cs="Arial"/>
          <w:b/>
          <w:color w:val="FF0000"/>
          <w:sz w:val="20"/>
          <w:szCs w:val="20"/>
          <w:lang w:eastAsia="en-US"/>
        </w:rPr>
        <w:t>.</w:t>
      </w:r>
      <w:r w:rsidR="00B902D0" w:rsidRPr="003A2F86">
        <w:rPr>
          <w:rFonts w:ascii="Arial" w:eastAsia="Times New Roman" w:hAnsi="Arial" w:cs="Arial"/>
          <w:color w:val="FF0000"/>
          <w:sz w:val="20"/>
          <w:szCs w:val="20"/>
          <w:lang w:eastAsia="en-US"/>
        </w:rPr>
        <w:t xml:space="preserve"> </w:t>
      </w:r>
      <w:r w:rsidRPr="003A2F86">
        <w:rPr>
          <w:rFonts w:ascii="Arial" w:eastAsia="Times New Roman" w:hAnsi="Arial" w:cs="Arial"/>
          <w:b/>
          <w:sz w:val="20"/>
          <w:szCs w:val="20"/>
        </w:rPr>
        <w:t xml:space="preserve">POSEBNI DIO PRORAČUNA – IZVRŠENJE FINANCIJSKIH PLANOVA PRORAČUNSKIH KORISNIKA SIJEČANJ – </w:t>
      </w:r>
      <w:r w:rsidR="00680B71">
        <w:rPr>
          <w:rFonts w:ascii="Arial" w:eastAsia="Times New Roman" w:hAnsi="Arial" w:cs="Arial"/>
          <w:b/>
          <w:sz w:val="20"/>
          <w:szCs w:val="20"/>
        </w:rPr>
        <w:t>PROSINAC</w:t>
      </w:r>
      <w:r w:rsidRPr="003A2F86">
        <w:rPr>
          <w:rFonts w:ascii="Arial" w:eastAsia="Times New Roman" w:hAnsi="Arial" w:cs="Arial"/>
          <w:b/>
          <w:sz w:val="20"/>
          <w:szCs w:val="20"/>
        </w:rPr>
        <w:t xml:space="preserve"> 20</w:t>
      </w:r>
      <w:r w:rsidR="00114EBC" w:rsidRPr="003A2F86">
        <w:rPr>
          <w:rFonts w:ascii="Arial" w:eastAsia="Times New Roman" w:hAnsi="Arial" w:cs="Arial"/>
          <w:b/>
          <w:sz w:val="20"/>
          <w:szCs w:val="20"/>
        </w:rPr>
        <w:t>2</w:t>
      </w:r>
      <w:r w:rsidR="009B3277">
        <w:rPr>
          <w:rFonts w:ascii="Arial" w:eastAsia="Times New Roman" w:hAnsi="Arial" w:cs="Arial"/>
          <w:b/>
          <w:sz w:val="20"/>
          <w:szCs w:val="20"/>
        </w:rPr>
        <w:t>5</w:t>
      </w:r>
      <w:r w:rsidRPr="003A2F86">
        <w:rPr>
          <w:rFonts w:ascii="Arial" w:eastAsia="Times New Roman" w:hAnsi="Arial" w:cs="Arial"/>
          <w:b/>
          <w:sz w:val="20"/>
          <w:szCs w:val="20"/>
        </w:rPr>
        <w:t>.</w:t>
      </w:r>
      <w:r w:rsidR="00B902D0" w:rsidRPr="003A2F86">
        <w:rPr>
          <w:rFonts w:ascii="Arial" w:eastAsia="Times New Roman" w:hAnsi="Arial" w:cs="Arial"/>
          <w:b/>
          <w:sz w:val="20"/>
          <w:szCs w:val="20"/>
        </w:rPr>
        <w:t xml:space="preserve">, </w:t>
      </w:r>
      <w:hyperlink w:anchor="_3.4.2._GLAVA:_(020" w:history="1">
        <w:r w:rsidR="00B35AD1" w:rsidRPr="001417DD">
          <w:rPr>
            <w:rStyle w:val="Hiperveza"/>
            <w:rFonts w:ascii="Arial" w:eastAsia="Times New Roman" w:hAnsi="Arial" w:cs="Arial"/>
            <w:b/>
            <w:sz w:val="20"/>
            <w:szCs w:val="20"/>
          </w:rPr>
          <w:t>3</w:t>
        </w:r>
        <w:r w:rsidR="00B902D0" w:rsidRPr="001417DD">
          <w:rPr>
            <w:rStyle w:val="Hiperveza"/>
            <w:rFonts w:ascii="Arial" w:eastAsia="Times New Roman" w:hAnsi="Arial" w:cs="Arial"/>
            <w:b/>
            <w:sz w:val="20"/>
            <w:szCs w:val="20"/>
          </w:rPr>
          <w:t>.</w:t>
        </w:r>
        <w:r w:rsidR="00840581" w:rsidRPr="001417DD">
          <w:rPr>
            <w:rStyle w:val="Hiperveza"/>
            <w:rFonts w:ascii="Arial" w:eastAsia="Times New Roman" w:hAnsi="Arial" w:cs="Arial"/>
            <w:b/>
            <w:sz w:val="20"/>
            <w:szCs w:val="20"/>
          </w:rPr>
          <w:t>4</w:t>
        </w:r>
        <w:r w:rsidR="00EE5199" w:rsidRPr="001417DD">
          <w:rPr>
            <w:rStyle w:val="Hiperveza"/>
            <w:rFonts w:ascii="Arial" w:eastAsia="Times New Roman" w:hAnsi="Arial" w:cs="Arial"/>
            <w:b/>
            <w:sz w:val="20"/>
            <w:szCs w:val="20"/>
          </w:rPr>
          <w:t>.</w:t>
        </w:r>
        <w:r w:rsidR="00B902D0" w:rsidRPr="001417DD">
          <w:rPr>
            <w:rStyle w:val="Hiperveza"/>
            <w:rFonts w:ascii="Arial" w:eastAsia="Times New Roman" w:hAnsi="Arial" w:cs="Arial"/>
            <w:b/>
            <w:sz w:val="20"/>
            <w:szCs w:val="20"/>
          </w:rPr>
          <w:t>2. Dom za starije i nemoćne osobe Konavle</w:t>
        </w:r>
      </w:hyperlink>
      <w:r w:rsidR="00B902D0" w:rsidRPr="003A2F86">
        <w:rPr>
          <w:rFonts w:ascii="Arial" w:eastAsia="Times New Roman" w:hAnsi="Arial" w:cs="Arial"/>
          <w:b/>
          <w:sz w:val="20"/>
          <w:szCs w:val="20"/>
        </w:rPr>
        <w:t>.</w:t>
      </w:r>
    </w:p>
    <w:p w14:paraId="1CD4BD79" w14:textId="77777777" w:rsidR="00B902D0" w:rsidRPr="003A2F86" w:rsidRDefault="00B902D0" w:rsidP="00B902D0">
      <w:pPr>
        <w:spacing w:after="0" w:line="240" w:lineRule="auto"/>
        <w:jc w:val="both"/>
        <w:rPr>
          <w:rFonts w:ascii="Arial" w:eastAsia="Calibri" w:hAnsi="Arial" w:cs="Arial"/>
          <w:sz w:val="20"/>
          <w:szCs w:val="20"/>
        </w:rPr>
      </w:pPr>
    </w:p>
    <w:p w14:paraId="28759A02" w14:textId="77777777" w:rsidR="00E2724D" w:rsidRPr="003A2F86" w:rsidRDefault="00E2724D" w:rsidP="00B902D0">
      <w:pPr>
        <w:spacing w:after="0" w:line="240" w:lineRule="auto"/>
        <w:jc w:val="both"/>
        <w:rPr>
          <w:rFonts w:ascii="Arial" w:eastAsia="Calibri" w:hAnsi="Arial" w:cs="Arial"/>
          <w:sz w:val="20"/>
          <w:szCs w:val="20"/>
        </w:rPr>
      </w:pPr>
    </w:p>
    <w:p w14:paraId="42A20A68" w14:textId="4CC213FF" w:rsidR="00B902D0" w:rsidRPr="003A2F86" w:rsidRDefault="00EE5199" w:rsidP="00FA1272">
      <w:pPr>
        <w:pStyle w:val="Naslov4"/>
        <w:rPr>
          <w:rFonts w:eastAsia="Calibri"/>
        </w:rPr>
      </w:pPr>
      <w:bookmarkStart w:id="465" w:name="_Toc36842128"/>
      <w:bookmarkStart w:id="466" w:name="_Toc232981449"/>
      <w:r w:rsidRPr="003A2F86">
        <w:rPr>
          <w:rFonts w:eastAsia="Calibri"/>
        </w:rPr>
        <w:t>3.</w:t>
      </w:r>
      <w:r w:rsidR="00375FAF" w:rsidRPr="003A2F86">
        <w:rPr>
          <w:rFonts w:eastAsia="Calibri"/>
        </w:rPr>
        <w:t>3</w:t>
      </w:r>
      <w:r w:rsidRPr="003A2F86">
        <w:rPr>
          <w:rFonts w:eastAsia="Calibri"/>
        </w:rPr>
        <w:t>.2</w:t>
      </w:r>
      <w:r w:rsidR="00B902D0" w:rsidRPr="003A2F86">
        <w:rPr>
          <w:rFonts w:eastAsia="Calibri"/>
        </w:rPr>
        <w:t>.</w:t>
      </w:r>
      <w:r w:rsidR="00732AB9" w:rsidRPr="003A2F86">
        <w:rPr>
          <w:rFonts w:eastAsia="Calibri"/>
        </w:rPr>
        <w:t>4</w:t>
      </w:r>
      <w:r w:rsidR="00B902D0" w:rsidRPr="003A2F86">
        <w:rPr>
          <w:rFonts w:eastAsia="Calibri"/>
        </w:rPr>
        <w:t>.</w:t>
      </w:r>
      <w:r w:rsidR="00B902D0" w:rsidRPr="003A2F86">
        <w:rPr>
          <w:rFonts w:eastAsia="Calibri"/>
        </w:rPr>
        <w:tab/>
        <w:t>GLAVA: (020 05) USTANOVA PREDŠKOLSKOG ODGOJA</w:t>
      </w:r>
      <w:bookmarkEnd w:id="465"/>
      <w:bookmarkEnd w:id="466"/>
      <w:r w:rsidR="00B902D0" w:rsidRPr="003A2F86">
        <w:rPr>
          <w:rFonts w:eastAsia="Calibri"/>
        </w:rPr>
        <w:t xml:space="preserve"> </w:t>
      </w:r>
    </w:p>
    <w:p w14:paraId="5D75FCCA" w14:textId="77777777" w:rsidR="00B902D0" w:rsidRPr="003A2F86" w:rsidRDefault="00B902D0" w:rsidP="00B902D0">
      <w:pPr>
        <w:autoSpaceDE w:val="0"/>
        <w:autoSpaceDN w:val="0"/>
        <w:adjustRightInd w:val="0"/>
        <w:spacing w:after="0" w:line="240" w:lineRule="auto"/>
        <w:jc w:val="both"/>
        <w:rPr>
          <w:rFonts w:ascii="Arial" w:eastAsia="Calibri" w:hAnsi="Arial" w:cs="Arial"/>
          <w:sz w:val="20"/>
          <w:szCs w:val="20"/>
        </w:rPr>
      </w:pPr>
    </w:p>
    <w:p w14:paraId="126FB664" w14:textId="77777777" w:rsidR="00B902D0" w:rsidRPr="003A2F86" w:rsidRDefault="00B902D0" w:rsidP="00B902D0">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U razdjelu 020 UPRAVNI ODJEL ZA OPĆE POSLOVE, MJESNU SAMOUPRAVU I DRUŠTVENE DJELATNOSTI, glava 020 05 Ustanova predškolskog odgoja, izvodi se jedan program. </w:t>
      </w:r>
    </w:p>
    <w:p w14:paraId="62B4C81C" w14:textId="77777777" w:rsidR="00B902D0" w:rsidRPr="003A2F86" w:rsidRDefault="00B902D0" w:rsidP="00B902D0">
      <w:pPr>
        <w:spacing w:after="0" w:line="240" w:lineRule="auto"/>
        <w:jc w:val="both"/>
        <w:rPr>
          <w:rFonts w:ascii="Arial" w:eastAsia="Times New Roman" w:hAnsi="Arial" w:cs="Arial"/>
          <w:sz w:val="20"/>
          <w:szCs w:val="20"/>
          <w:lang w:eastAsia="en-US"/>
        </w:rPr>
      </w:pPr>
    </w:p>
    <w:p w14:paraId="4C6DB356" w14:textId="77777777" w:rsidR="00B902D0" w:rsidRPr="00837ECF" w:rsidRDefault="00B902D0" w:rsidP="0012332E">
      <w:pPr>
        <w:pStyle w:val="Naslov3"/>
        <w:rPr>
          <w:rFonts w:eastAsia="Calibri"/>
        </w:rPr>
      </w:pPr>
      <w:bookmarkStart w:id="467" w:name="_Toc36842129"/>
      <w:bookmarkStart w:id="468" w:name="_Toc232981450"/>
      <w:r w:rsidRPr="00837ECF">
        <w:rPr>
          <w:rFonts w:eastAsia="Calibri"/>
        </w:rPr>
        <w:t>Program (2051): Odgoj, naobrazba i skrb o predškolskoj djeci</w:t>
      </w:r>
      <w:bookmarkEnd w:id="467"/>
      <w:bookmarkEnd w:id="468"/>
    </w:p>
    <w:p w14:paraId="2785C9ED" w14:textId="77777777" w:rsidR="00B902D0" w:rsidRPr="003A2F86" w:rsidRDefault="00B902D0" w:rsidP="00B902D0">
      <w:pPr>
        <w:spacing w:after="0" w:line="240" w:lineRule="auto"/>
        <w:jc w:val="both"/>
        <w:rPr>
          <w:rFonts w:ascii="Arial" w:eastAsia="Times New Roman" w:hAnsi="Arial" w:cs="Arial"/>
          <w:sz w:val="20"/>
          <w:szCs w:val="20"/>
          <w:lang w:eastAsia="en-US"/>
        </w:rPr>
      </w:pPr>
    </w:p>
    <w:p w14:paraId="5AA60AE3" w14:textId="77777777" w:rsidR="00B902D0" w:rsidRPr="003A2F86" w:rsidRDefault="00B902D0" w:rsidP="00B902D0">
      <w:pPr>
        <w:spacing w:after="0" w:line="240" w:lineRule="auto"/>
        <w:jc w:val="both"/>
        <w:rPr>
          <w:rFonts w:ascii="Arial" w:eastAsia="Calibri" w:hAnsi="Arial" w:cs="Arial"/>
          <w:sz w:val="20"/>
          <w:szCs w:val="20"/>
        </w:rPr>
      </w:pPr>
      <w:r w:rsidRPr="003A2F86">
        <w:rPr>
          <w:rFonts w:ascii="Arial" w:eastAsia="Calibri" w:hAnsi="Arial" w:cs="Arial"/>
          <w:noProof/>
          <w:sz w:val="20"/>
          <w:szCs w:val="20"/>
        </w:rPr>
        <w:drawing>
          <wp:inline distT="0" distB="0" distL="0" distR="0" wp14:anchorId="55F01A4B" wp14:editId="772D8350">
            <wp:extent cx="6115050" cy="190500"/>
            <wp:effectExtent l="0" t="0" r="0" b="0"/>
            <wp:docPr id="705"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115050" cy="190500"/>
                    </a:xfrm>
                    <a:prstGeom prst="rect">
                      <a:avLst/>
                    </a:prstGeom>
                    <a:noFill/>
                    <a:ln>
                      <a:noFill/>
                    </a:ln>
                  </pic:spPr>
                </pic:pic>
              </a:graphicData>
            </a:graphic>
          </wp:inline>
        </w:drawing>
      </w:r>
    </w:p>
    <w:p w14:paraId="2EFC9E20" w14:textId="77777777" w:rsidR="00B902D0" w:rsidRPr="003A2F86" w:rsidRDefault="00B902D0" w:rsidP="00B902D0">
      <w:pPr>
        <w:spacing w:after="0" w:line="240" w:lineRule="auto"/>
        <w:jc w:val="both"/>
        <w:rPr>
          <w:rFonts w:ascii="Arial" w:eastAsia="Calibri" w:hAnsi="Arial" w:cs="Arial"/>
          <w:sz w:val="20"/>
          <w:szCs w:val="20"/>
        </w:rPr>
      </w:pPr>
    </w:p>
    <w:p w14:paraId="2C4B0E8A" w14:textId="3D177C0B" w:rsidR="00B902D0" w:rsidRPr="003A2F86" w:rsidRDefault="00B902D0" w:rsidP="005D36E1">
      <w:pPr>
        <w:spacing w:after="0" w:line="240" w:lineRule="auto"/>
        <w:jc w:val="both"/>
        <w:rPr>
          <w:rFonts w:ascii="Arial" w:eastAsia="Calibri" w:hAnsi="Arial" w:cs="Arial"/>
          <w:sz w:val="20"/>
          <w:szCs w:val="20"/>
        </w:rPr>
      </w:pPr>
      <w:r w:rsidRPr="003A2F86">
        <w:rPr>
          <w:rFonts w:ascii="Arial" w:eastAsia="Times New Roman" w:hAnsi="Arial" w:cs="Arial"/>
          <w:sz w:val="20"/>
          <w:szCs w:val="20"/>
          <w:lang w:eastAsia="en-US"/>
        </w:rPr>
        <w:t xml:space="preserve">Obrazloženje </w:t>
      </w:r>
      <w:r w:rsidR="00B95A8E" w:rsidRPr="003A2F86">
        <w:rPr>
          <w:rFonts w:ascii="Arial" w:eastAsia="Times New Roman" w:hAnsi="Arial" w:cs="Arial"/>
          <w:sz w:val="20"/>
          <w:szCs w:val="20"/>
          <w:lang w:eastAsia="en-US"/>
        </w:rPr>
        <w:t xml:space="preserve">izvršenja </w:t>
      </w:r>
      <w:r w:rsidRPr="003A2F86">
        <w:rPr>
          <w:rFonts w:ascii="Arial" w:eastAsia="Times New Roman" w:hAnsi="Arial" w:cs="Arial"/>
          <w:sz w:val="20"/>
          <w:szCs w:val="20"/>
          <w:lang w:eastAsia="en-US"/>
        </w:rPr>
        <w:t xml:space="preserve">PROGRAMA 2051 Odgoj, naobrazba i skrb o predškolskoj djeci, Dječji vrtić Konavle iskazuje se u </w:t>
      </w:r>
      <w:r w:rsidRPr="003A2F86">
        <w:rPr>
          <w:rFonts w:ascii="Arial" w:eastAsia="Times New Roman" w:hAnsi="Arial" w:cs="Arial"/>
          <w:color w:val="FF0000"/>
          <w:sz w:val="20"/>
          <w:szCs w:val="20"/>
          <w:lang w:eastAsia="en-US"/>
        </w:rPr>
        <w:t xml:space="preserve">točki </w:t>
      </w:r>
      <w:r w:rsidR="00B35AD1" w:rsidRPr="003A2F86">
        <w:rPr>
          <w:rFonts w:ascii="Arial" w:eastAsia="Times New Roman" w:hAnsi="Arial" w:cs="Arial"/>
          <w:b/>
          <w:color w:val="FF0000"/>
          <w:sz w:val="20"/>
          <w:szCs w:val="20"/>
          <w:lang w:eastAsia="en-US"/>
        </w:rPr>
        <w:t>3</w:t>
      </w:r>
      <w:r w:rsidRPr="003A2F86">
        <w:rPr>
          <w:rFonts w:ascii="Arial" w:eastAsia="Times New Roman" w:hAnsi="Arial" w:cs="Arial"/>
          <w:b/>
          <w:color w:val="FF0000"/>
          <w:sz w:val="20"/>
          <w:szCs w:val="20"/>
          <w:lang w:eastAsia="en-US"/>
        </w:rPr>
        <w:t>.</w:t>
      </w:r>
      <w:r w:rsidR="00840581" w:rsidRPr="003A2F86">
        <w:rPr>
          <w:rFonts w:ascii="Arial" w:eastAsia="Times New Roman" w:hAnsi="Arial" w:cs="Arial"/>
          <w:b/>
          <w:color w:val="FF0000"/>
          <w:sz w:val="20"/>
          <w:szCs w:val="20"/>
          <w:lang w:eastAsia="en-US"/>
        </w:rPr>
        <w:t>4</w:t>
      </w:r>
      <w:r w:rsidRPr="003A2F86">
        <w:rPr>
          <w:rFonts w:ascii="Arial" w:eastAsia="Times New Roman" w:hAnsi="Arial" w:cs="Arial"/>
          <w:b/>
          <w:color w:val="FF0000"/>
          <w:sz w:val="20"/>
          <w:szCs w:val="20"/>
          <w:lang w:eastAsia="en-US"/>
        </w:rPr>
        <w:t>.</w:t>
      </w:r>
      <w:r w:rsidRPr="003A2F86">
        <w:rPr>
          <w:rFonts w:ascii="Arial" w:eastAsia="Times New Roman" w:hAnsi="Arial" w:cs="Arial"/>
          <w:color w:val="FF0000"/>
          <w:sz w:val="20"/>
          <w:szCs w:val="20"/>
          <w:lang w:eastAsia="en-US"/>
        </w:rPr>
        <w:t xml:space="preserve"> </w:t>
      </w:r>
      <w:r w:rsidR="00B95A8E" w:rsidRPr="003A2F86">
        <w:rPr>
          <w:rFonts w:ascii="Arial" w:eastAsia="Times New Roman" w:hAnsi="Arial" w:cs="Arial"/>
          <w:b/>
          <w:sz w:val="20"/>
          <w:szCs w:val="20"/>
        </w:rPr>
        <w:t xml:space="preserve">POSEBNI DIO PRORAČUNA – IZVRŠENJE FINANCIJSKIH PLANOVA PRORAČUNSKIH KORISNIKA SIJEČANJ – </w:t>
      </w:r>
      <w:r w:rsidR="00680B71">
        <w:rPr>
          <w:rFonts w:ascii="Arial" w:eastAsia="Times New Roman" w:hAnsi="Arial" w:cs="Arial"/>
          <w:b/>
          <w:sz w:val="20"/>
          <w:szCs w:val="20"/>
        </w:rPr>
        <w:t>PROSINAC</w:t>
      </w:r>
      <w:r w:rsidR="00B95A8E" w:rsidRPr="003A2F86">
        <w:rPr>
          <w:rFonts w:ascii="Arial" w:eastAsia="Times New Roman" w:hAnsi="Arial" w:cs="Arial"/>
          <w:b/>
          <w:sz w:val="20"/>
          <w:szCs w:val="20"/>
        </w:rPr>
        <w:t xml:space="preserve"> 20</w:t>
      </w:r>
      <w:r w:rsidR="00114EBC" w:rsidRPr="003A2F86">
        <w:rPr>
          <w:rFonts w:ascii="Arial" w:eastAsia="Times New Roman" w:hAnsi="Arial" w:cs="Arial"/>
          <w:b/>
          <w:sz w:val="20"/>
          <w:szCs w:val="20"/>
        </w:rPr>
        <w:t>2</w:t>
      </w:r>
      <w:r w:rsidR="00F74B04" w:rsidRPr="003A2F86">
        <w:rPr>
          <w:rFonts w:ascii="Arial" w:eastAsia="Times New Roman" w:hAnsi="Arial" w:cs="Arial"/>
          <w:b/>
          <w:sz w:val="20"/>
          <w:szCs w:val="20"/>
        </w:rPr>
        <w:t>4</w:t>
      </w:r>
      <w:r w:rsidR="00B95A8E" w:rsidRPr="003A2F86">
        <w:rPr>
          <w:rFonts w:ascii="Arial" w:eastAsia="Times New Roman" w:hAnsi="Arial" w:cs="Arial"/>
          <w:b/>
          <w:sz w:val="20"/>
          <w:szCs w:val="20"/>
        </w:rPr>
        <w:t>.</w:t>
      </w:r>
      <w:r w:rsidRPr="003A2F86">
        <w:rPr>
          <w:rFonts w:ascii="Arial" w:eastAsia="Times New Roman" w:hAnsi="Arial" w:cs="Arial"/>
          <w:b/>
          <w:sz w:val="20"/>
          <w:szCs w:val="20"/>
        </w:rPr>
        <w:t xml:space="preserve">, </w:t>
      </w:r>
      <w:hyperlink w:anchor="_3.4.3._GLAVA:_(020" w:history="1">
        <w:r w:rsidR="00B35AD1" w:rsidRPr="001417DD">
          <w:rPr>
            <w:rStyle w:val="Hiperveza"/>
            <w:rFonts w:ascii="Arial" w:eastAsia="Times New Roman" w:hAnsi="Arial" w:cs="Arial"/>
            <w:b/>
            <w:sz w:val="20"/>
            <w:szCs w:val="20"/>
          </w:rPr>
          <w:t>3</w:t>
        </w:r>
        <w:r w:rsidRPr="001417DD">
          <w:rPr>
            <w:rStyle w:val="Hiperveza"/>
            <w:rFonts w:ascii="Arial" w:eastAsia="Times New Roman" w:hAnsi="Arial" w:cs="Arial"/>
            <w:b/>
            <w:sz w:val="20"/>
            <w:szCs w:val="20"/>
          </w:rPr>
          <w:t>.</w:t>
        </w:r>
        <w:r w:rsidR="00840581" w:rsidRPr="001417DD">
          <w:rPr>
            <w:rStyle w:val="Hiperveza"/>
            <w:rFonts w:ascii="Arial" w:eastAsia="Times New Roman" w:hAnsi="Arial" w:cs="Arial"/>
            <w:b/>
            <w:sz w:val="20"/>
            <w:szCs w:val="20"/>
          </w:rPr>
          <w:t>4</w:t>
        </w:r>
        <w:r w:rsidR="00EE5199" w:rsidRPr="001417DD">
          <w:rPr>
            <w:rStyle w:val="Hiperveza"/>
            <w:rFonts w:ascii="Arial" w:eastAsia="Times New Roman" w:hAnsi="Arial" w:cs="Arial"/>
            <w:b/>
            <w:sz w:val="20"/>
            <w:szCs w:val="20"/>
          </w:rPr>
          <w:t>.3</w:t>
        </w:r>
        <w:r w:rsidRPr="001417DD">
          <w:rPr>
            <w:rStyle w:val="Hiperveza"/>
            <w:rFonts w:ascii="Arial" w:eastAsia="Times New Roman" w:hAnsi="Arial" w:cs="Arial"/>
            <w:b/>
            <w:sz w:val="20"/>
            <w:szCs w:val="20"/>
          </w:rPr>
          <w:t>. Dječji vrtić Konavle</w:t>
        </w:r>
      </w:hyperlink>
      <w:r w:rsidRPr="003A2F86">
        <w:rPr>
          <w:rFonts w:ascii="Arial" w:eastAsia="Times New Roman" w:hAnsi="Arial" w:cs="Arial"/>
          <w:b/>
          <w:sz w:val="20"/>
          <w:szCs w:val="20"/>
        </w:rPr>
        <w:t>.</w:t>
      </w:r>
      <w:r w:rsidRPr="003A2F86">
        <w:rPr>
          <w:rFonts w:ascii="Arial" w:eastAsia="Calibri" w:hAnsi="Arial" w:cs="Arial"/>
          <w:sz w:val="20"/>
          <w:szCs w:val="20"/>
        </w:rPr>
        <w:br w:type="page"/>
      </w:r>
    </w:p>
    <w:p w14:paraId="0E475DD4" w14:textId="038FDE89" w:rsidR="00891119" w:rsidRPr="003A2F86" w:rsidRDefault="00B62A4A" w:rsidP="00375FAF">
      <w:pPr>
        <w:pStyle w:val="Naslov3"/>
        <w:rPr>
          <w:rFonts w:eastAsia="Calibri"/>
          <w:lang w:val="hr-HR"/>
        </w:rPr>
      </w:pPr>
      <w:bookmarkStart w:id="469" w:name="_Toc435014677"/>
      <w:bookmarkStart w:id="470" w:name="_Toc232981451"/>
      <w:bookmarkEnd w:id="458"/>
      <w:r w:rsidRPr="003A2F86">
        <w:rPr>
          <w:rFonts w:eastAsia="Calibri"/>
          <w:lang w:val="hr-HR"/>
        </w:rPr>
        <w:lastRenderedPageBreak/>
        <w:t>3.</w:t>
      </w:r>
      <w:r w:rsidR="00375FAF" w:rsidRPr="003A2F86">
        <w:rPr>
          <w:rFonts w:eastAsia="Calibri"/>
          <w:lang w:val="hr-HR"/>
        </w:rPr>
        <w:t>3</w:t>
      </w:r>
      <w:r w:rsidRPr="003A2F86">
        <w:rPr>
          <w:rFonts w:eastAsia="Calibri"/>
          <w:lang w:val="hr-HR"/>
        </w:rPr>
        <w:t>.</w:t>
      </w:r>
      <w:r w:rsidR="00891119" w:rsidRPr="003A2F86">
        <w:rPr>
          <w:rFonts w:eastAsia="Calibri"/>
          <w:lang w:val="hr-HR"/>
        </w:rPr>
        <w:t>3.</w:t>
      </w:r>
      <w:r w:rsidR="00891119" w:rsidRPr="003A2F86">
        <w:rPr>
          <w:rFonts w:eastAsia="Calibri"/>
          <w:lang w:val="hr-HR"/>
        </w:rPr>
        <w:tab/>
        <w:t>RAZDJEL: (030) UPRAVNI ODJEL ZA KOMUNALNI SUSTAV I GOSPODARENJE NEKRETNINAMA</w:t>
      </w:r>
      <w:bookmarkEnd w:id="469"/>
      <w:bookmarkEnd w:id="470"/>
    </w:p>
    <w:p w14:paraId="62E7453C" w14:textId="77777777" w:rsidR="00891119" w:rsidRPr="003A2F86" w:rsidRDefault="00891119" w:rsidP="00891119">
      <w:pPr>
        <w:spacing w:after="0" w:line="240" w:lineRule="auto"/>
        <w:rPr>
          <w:rFonts w:ascii="Times New Roman" w:eastAsia="Calibri" w:hAnsi="Times New Roman" w:cs="Arial"/>
          <w:sz w:val="20"/>
          <w:szCs w:val="20"/>
          <w:lang w:eastAsia="en-US"/>
        </w:rPr>
      </w:pPr>
    </w:p>
    <w:p w14:paraId="5D5809FA" w14:textId="0B420556" w:rsidR="00891119" w:rsidRPr="003A2F86" w:rsidRDefault="00891119" w:rsidP="00891119">
      <w:pPr>
        <w:spacing w:after="0" w:line="240" w:lineRule="auto"/>
        <w:jc w:val="both"/>
        <w:rPr>
          <w:rFonts w:ascii="Arial" w:eastAsia="Times New Roman" w:hAnsi="Arial" w:cs="Arial"/>
          <w:iCs/>
          <w:sz w:val="20"/>
          <w:szCs w:val="20"/>
          <w:lang w:eastAsia="en-US"/>
        </w:rPr>
      </w:pPr>
      <w:r w:rsidRPr="003A2F86">
        <w:rPr>
          <w:rFonts w:ascii="Arial" w:eastAsia="Times New Roman" w:hAnsi="Arial" w:cs="Arial"/>
          <w:iCs/>
          <w:sz w:val="20"/>
          <w:szCs w:val="20"/>
          <w:lang w:eastAsia="en-US"/>
        </w:rPr>
        <w:t>Rashodi i izdaci razdjela 030 (Upravni odjel za komunalni sustav i gospodarenje nekretninama) odnose se na rashode podijeljene u dvije glave, a svaka glava se sastoji od programa podijeljenih u aktivnosti i projekte:</w:t>
      </w:r>
    </w:p>
    <w:p w14:paraId="453EBF38" w14:textId="77777777" w:rsidR="004443EE" w:rsidRDefault="004443EE" w:rsidP="00D72C52">
      <w:pPr>
        <w:spacing w:after="0" w:line="240" w:lineRule="auto"/>
        <w:jc w:val="both"/>
        <w:rPr>
          <w:rFonts w:ascii="Arial" w:eastAsia="Calibri" w:hAnsi="Arial" w:cs="Arial"/>
          <w:sz w:val="20"/>
          <w:szCs w:val="20"/>
        </w:rPr>
      </w:pPr>
      <w:bookmarkStart w:id="471" w:name="_Toc435014678"/>
    </w:p>
    <w:p w14:paraId="0921C5B0" w14:textId="378CB1BA" w:rsidR="00680B71" w:rsidRDefault="00680B71" w:rsidP="00317CD7">
      <w:pPr>
        <w:spacing w:after="0" w:line="240" w:lineRule="auto"/>
        <w:jc w:val="center"/>
        <w:rPr>
          <w:rFonts w:ascii="Arial" w:eastAsia="Calibri" w:hAnsi="Arial" w:cs="Arial"/>
          <w:sz w:val="20"/>
          <w:szCs w:val="20"/>
        </w:rPr>
      </w:pPr>
      <w:r w:rsidRPr="00680B71">
        <w:rPr>
          <w:noProof/>
        </w:rPr>
        <w:drawing>
          <wp:inline distT="0" distB="0" distL="0" distR="0" wp14:anchorId="119E456C" wp14:editId="40347581">
            <wp:extent cx="8346440" cy="2604770"/>
            <wp:effectExtent l="0" t="0" r="0" b="5080"/>
            <wp:docPr id="1868548983"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346440" cy="2604770"/>
                    </a:xfrm>
                    <a:prstGeom prst="rect">
                      <a:avLst/>
                    </a:prstGeom>
                    <a:noFill/>
                    <a:ln>
                      <a:noFill/>
                    </a:ln>
                  </pic:spPr>
                </pic:pic>
              </a:graphicData>
            </a:graphic>
          </wp:inline>
        </w:drawing>
      </w:r>
    </w:p>
    <w:p w14:paraId="5C3D2F59" w14:textId="77777777" w:rsidR="00680B71" w:rsidRPr="00317CD7" w:rsidRDefault="00680B71" w:rsidP="00D72C52">
      <w:pPr>
        <w:spacing w:after="0" w:line="240" w:lineRule="auto"/>
        <w:jc w:val="both"/>
        <w:rPr>
          <w:rFonts w:ascii="Arial" w:eastAsia="Calibri" w:hAnsi="Arial" w:cs="Arial"/>
          <w:sz w:val="16"/>
          <w:szCs w:val="16"/>
        </w:rPr>
      </w:pPr>
    </w:p>
    <w:tbl>
      <w:tblPr>
        <w:tblStyle w:val="Reetkatablice"/>
        <w:tblW w:w="0" w:type="auto"/>
        <w:tblLook w:val="04A0" w:firstRow="1" w:lastRow="0" w:firstColumn="1" w:lastColumn="0" w:noHBand="0" w:noVBand="1"/>
      </w:tblPr>
      <w:tblGrid>
        <w:gridCol w:w="1271"/>
        <w:gridCol w:w="13289"/>
      </w:tblGrid>
      <w:tr w:rsidR="005F5E16" w:rsidRPr="003A2F86" w14:paraId="3D14E163" w14:textId="77777777" w:rsidTr="00B223BA">
        <w:tc>
          <w:tcPr>
            <w:tcW w:w="1271" w:type="dxa"/>
          </w:tcPr>
          <w:p w14:paraId="15C788A7" w14:textId="77777777" w:rsidR="00A9552A" w:rsidRPr="003A2F86" w:rsidRDefault="00A9552A" w:rsidP="00B223BA">
            <w:pPr>
              <w:rPr>
                <w:rFonts w:ascii="Arial" w:eastAsia="Calibri" w:hAnsi="Arial" w:cs="Arial"/>
                <w:b/>
                <w:bCs/>
              </w:rPr>
            </w:pPr>
            <w:r w:rsidRPr="003A2F86">
              <w:rPr>
                <w:rFonts w:ascii="Arial" w:eastAsia="Calibri" w:hAnsi="Arial" w:cs="Arial"/>
                <w:b/>
                <w:bCs/>
              </w:rPr>
              <w:t>Sažetak djelokruga rada:</w:t>
            </w:r>
          </w:p>
        </w:tc>
        <w:tc>
          <w:tcPr>
            <w:tcW w:w="13289" w:type="dxa"/>
          </w:tcPr>
          <w:p w14:paraId="22D23DCB" w14:textId="74EAB876" w:rsidR="00A9552A" w:rsidRPr="003A2F86" w:rsidRDefault="00A9552A" w:rsidP="00B223BA">
            <w:pPr>
              <w:rPr>
                <w:rFonts w:ascii="Arial" w:eastAsia="Calibri" w:hAnsi="Arial" w:cs="Arial"/>
              </w:rPr>
            </w:pPr>
            <w:r w:rsidRPr="003A2F86">
              <w:rPr>
                <w:rFonts w:ascii="Arial" w:eastAsia="Calibri" w:hAnsi="Arial" w:cs="Arial"/>
              </w:rPr>
              <w:t xml:space="preserve">Ustrojstvo i djelokrug rada Upravnog odjela za </w:t>
            </w:r>
            <w:r w:rsidR="004443EE" w:rsidRPr="003A2F86">
              <w:rPr>
                <w:rFonts w:ascii="Arial" w:eastAsia="Calibri" w:hAnsi="Arial" w:cs="Arial"/>
              </w:rPr>
              <w:t xml:space="preserve">prostorno uređenje, zaštitu okoliša, </w:t>
            </w:r>
            <w:r w:rsidRPr="003A2F86">
              <w:rPr>
                <w:rFonts w:ascii="Arial" w:eastAsia="Calibri" w:hAnsi="Arial" w:cs="Arial"/>
              </w:rPr>
              <w:t xml:space="preserve">komunalni sustav </w:t>
            </w:r>
            <w:r w:rsidR="004443EE" w:rsidRPr="003A2F86">
              <w:rPr>
                <w:rFonts w:ascii="Arial" w:eastAsia="Calibri" w:hAnsi="Arial" w:cs="Arial"/>
              </w:rPr>
              <w:t xml:space="preserve">i gospodarenje nekretninama </w:t>
            </w:r>
            <w:r w:rsidRPr="003A2F86">
              <w:rPr>
                <w:rFonts w:ascii="Arial" w:eastAsia="Calibri" w:hAnsi="Arial" w:cs="Arial"/>
              </w:rPr>
              <w:t xml:space="preserve">utvrđeni su Odlukom o ustrojstvu i djelokrugu upravnih tijela Općine (Službeni glasnik Općine Konavle </w:t>
            </w:r>
            <w:r w:rsidR="00B93851" w:rsidRPr="003A2F86">
              <w:rPr>
                <w:rFonts w:ascii="Arial" w:eastAsia="Calibri" w:hAnsi="Arial" w:cs="Arial"/>
              </w:rPr>
              <w:t>6/23, 2/24</w:t>
            </w:r>
            <w:r w:rsidRPr="003A2F86">
              <w:rPr>
                <w:rFonts w:ascii="Arial" w:eastAsia="Calibri" w:hAnsi="Arial" w:cs="Arial"/>
              </w:rPr>
              <w:t xml:space="preserve">), te Pravilnikom o unutarnjem redu (Službeni glasnik Općine Konavle </w:t>
            </w:r>
            <w:r w:rsidR="00B93851" w:rsidRPr="003A2F86">
              <w:rPr>
                <w:rFonts w:ascii="Arial" w:eastAsia="Calibri" w:hAnsi="Arial" w:cs="Arial"/>
              </w:rPr>
              <w:t>1/24, 5/24</w:t>
            </w:r>
            <w:r w:rsidR="009B3277">
              <w:rPr>
                <w:rFonts w:ascii="Arial" w:eastAsia="Calibri" w:hAnsi="Arial" w:cs="Arial"/>
              </w:rPr>
              <w:t>, 6/25</w:t>
            </w:r>
            <w:r w:rsidRPr="003A2F86">
              <w:rPr>
                <w:rFonts w:ascii="Arial" w:eastAsia="Calibri" w:hAnsi="Arial" w:cs="Arial"/>
              </w:rPr>
              <w:t>).</w:t>
            </w:r>
          </w:p>
          <w:p w14:paraId="76996764" w14:textId="79567B08" w:rsidR="00A9552A" w:rsidRPr="003A2F86" w:rsidRDefault="00A9552A" w:rsidP="00B223BA">
            <w:pPr>
              <w:rPr>
                <w:rFonts w:ascii="Arial" w:eastAsia="Calibri" w:hAnsi="Arial" w:cs="Arial"/>
              </w:rPr>
            </w:pPr>
            <w:r w:rsidRPr="003A2F86">
              <w:rPr>
                <w:rFonts w:ascii="Arial" w:eastAsia="Calibri" w:hAnsi="Arial" w:cs="Arial"/>
              </w:rPr>
              <w:t>Upravni odjel obavlja upravne i druge stručne poslove iz područja graditeljstva, komunalnih poslova, infrastrukture, izrađuje izvješća, stručne podloge, prijedloge i nacrte akata iz svog djelokruga, a sve u cilju boljeg i ravnomjernijeg graditeljskog, komunalnog i infrastrukturnog razvoja Općine. Ovaj upravni odjel, obavlja poslove i zadaće u vezi s osnivačkim pravima nad trgovačkim društvima u vlasništvu, uključujući i ustanovu iz područja vatrogastva, te predlaže mjere u svrhu dobrog gospodarenja tim trgovačkim društvima i ustanovama.</w:t>
            </w:r>
          </w:p>
          <w:p w14:paraId="76204E94" w14:textId="0BD70EBE" w:rsidR="00A9552A" w:rsidRPr="003A2F86" w:rsidRDefault="00A9552A" w:rsidP="00B223BA">
            <w:pPr>
              <w:rPr>
                <w:rFonts w:ascii="Arial" w:eastAsia="Calibri" w:hAnsi="Arial" w:cs="Arial"/>
              </w:rPr>
            </w:pPr>
            <w:r w:rsidRPr="003A2F86">
              <w:rPr>
                <w:rFonts w:ascii="Arial" w:eastAsia="Calibri" w:hAnsi="Arial" w:cs="Arial"/>
              </w:rPr>
              <w:t xml:space="preserve">Ustrojstvo i djelokrug rada Upravnog odjela utvrđeni su u svrhu provedbe svakodnevnih radnih zadataka i aktivnosti te realizacije Proračuna Općine Konavle, što podrazumijeva obavljanje poslova vezanih za uređenje naselja i kvalitetu stanovanja, </w:t>
            </w:r>
            <w:r w:rsidR="00B93851" w:rsidRPr="003A2F86">
              <w:rPr>
                <w:rFonts w:ascii="Arial" w:eastAsia="Calibri" w:hAnsi="Arial" w:cs="Arial"/>
              </w:rPr>
              <w:t xml:space="preserve">prostorno planiranje i zaštitu okoliša, </w:t>
            </w:r>
            <w:r w:rsidRPr="003A2F86">
              <w:rPr>
                <w:rFonts w:ascii="Arial" w:eastAsia="Calibri" w:hAnsi="Arial" w:cs="Arial"/>
              </w:rPr>
              <w:t>izgradnju objekata i uređaja komunalne infrastrukture i održavanje zelenih površina i opreme na tim površinama, čišćenje javno-prometnih površina, dezinsekciju i deratizaciju, održavanje javnih objekata, komunalne infrastrukture, autobusnih čekaonica, sanaciju neuređenih deponija, prometnica, javnih pješačkih komunikacija, analizu i uređenje prometa, dodjelu koncesija za obavljanje komunalnih djelatnosti, koordinaciju i kontrolu rada i planova komunalnih poduzeća, upravljanje i nadzor nad cestovnim prometom iz nadležnosti prometnog redarstva, održavanje komunalnog reda iz nadležnosti komunalnog redarstva, razrez i naplatu komunalnog doprinosa, komunalne naknade, poslovnih prostora i ostale slične poslove.</w:t>
            </w:r>
          </w:p>
          <w:p w14:paraId="5073694B" w14:textId="05BAE6C2" w:rsidR="00A9552A" w:rsidRPr="003A2F86" w:rsidRDefault="00A9552A" w:rsidP="00B223BA">
            <w:pPr>
              <w:rPr>
                <w:rFonts w:ascii="Arial" w:eastAsia="Calibri" w:hAnsi="Arial" w:cs="Arial"/>
              </w:rPr>
            </w:pPr>
            <w:r w:rsidRPr="003A2F86">
              <w:rPr>
                <w:rFonts w:ascii="Arial" w:eastAsia="Calibri" w:hAnsi="Arial" w:cs="Arial"/>
              </w:rPr>
              <w:t xml:space="preserve">Upravni odjel realizira i prihode i rashode Proračuna Općine Konavle. </w:t>
            </w:r>
          </w:p>
          <w:p w14:paraId="769B40E1" w14:textId="77777777" w:rsidR="00A9552A" w:rsidRPr="003A2F86" w:rsidRDefault="00A9552A" w:rsidP="00B223BA">
            <w:pPr>
              <w:rPr>
                <w:rFonts w:ascii="Arial" w:eastAsia="Calibri" w:hAnsi="Arial" w:cs="Arial"/>
              </w:rPr>
            </w:pPr>
            <w:r w:rsidRPr="003A2F86">
              <w:rPr>
                <w:rFonts w:ascii="Arial" w:eastAsia="Calibri" w:hAnsi="Arial" w:cs="Arial"/>
              </w:rPr>
              <w:t>Najznačajniji prihodi ostvaruju se od komunalnog doprinosa, komunalne naknade te od naknade za korištenje javnih površina, dok se najveći dio sredstava utroši radi realizacije Programa održavanja i Programa gradnje komunalne infrastrukture.</w:t>
            </w:r>
          </w:p>
        </w:tc>
      </w:tr>
    </w:tbl>
    <w:p w14:paraId="1C275ABB" w14:textId="77777777" w:rsidR="00A9552A" w:rsidRPr="003A2F86" w:rsidRDefault="00A9552A" w:rsidP="00A9552A">
      <w:pPr>
        <w:rPr>
          <w:rFonts w:ascii="Arial" w:eastAsia="Calibri"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2998"/>
      </w:tblGrid>
      <w:tr w:rsidR="005F5E16" w:rsidRPr="003A2F86" w14:paraId="23D8D0F4" w14:textId="77777777" w:rsidTr="00B223BA">
        <w:tc>
          <w:tcPr>
            <w:tcW w:w="1439" w:type="dxa"/>
            <w:tcBorders>
              <w:top w:val="dotted" w:sz="4" w:space="0" w:color="auto"/>
              <w:left w:val="dotted" w:sz="4" w:space="0" w:color="auto"/>
              <w:bottom w:val="dotted" w:sz="4" w:space="0" w:color="auto"/>
              <w:right w:val="dotted" w:sz="4" w:space="0" w:color="auto"/>
            </w:tcBorders>
          </w:tcPr>
          <w:p w14:paraId="2CD082DD" w14:textId="77777777" w:rsidR="00A9552A" w:rsidRPr="003A2F86" w:rsidRDefault="00A9552A" w:rsidP="00A9552A">
            <w:pPr>
              <w:spacing w:after="0" w:line="240" w:lineRule="auto"/>
              <w:rPr>
                <w:rFonts w:ascii="Arial" w:eastAsia="Calibri" w:hAnsi="Arial" w:cs="Arial"/>
                <w:sz w:val="20"/>
                <w:szCs w:val="20"/>
              </w:rPr>
            </w:pPr>
            <w:r w:rsidRPr="003A2F86">
              <w:rPr>
                <w:rFonts w:ascii="Arial" w:eastAsia="Calibri" w:hAnsi="Arial" w:cs="Arial"/>
                <w:b/>
                <w:sz w:val="20"/>
                <w:szCs w:val="20"/>
              </w:rPr>
              <w:t>Ciljevi</w:t>
            </w:r>
          </w:p>
        </w:tc>
        <w:tc>
          <w:tcPr>
            <w:tcW w:w="12998" w:type="dxa"/>
            <w:tcBorders>
              <w:top w:val="dotted" w:sz="4" w:space="0" w:color="auto"/>
              <w:left w:val="dotted" w:sz="4" w:space="0" w:color="auto"/>
              <w:bottom w:val="dotted" w:sz="4" w:space="0" w:color="auto"/>
              <w:right w:val="dotted" w:sz="4" w:space="0" w:color="auto"/>
            </w:tcBorders>
          </w:tcPr>
          <w:p w14:paraId="56392456" w14:textId="77777777" w:rsidR="00A9552A" w:rsidRPr="003A2F86" w:rsidRDefault="00A9552A" w:rsidP="00A9552A">
            <w:pPr>
              <w:spacing w:after="0" w:line="240" w:lineRule="auto"/>
              <w:rPr>
                <w:rFonts w:ascii="Arial" w:eastAsia="Calibri" w:hAnsi="Arial" w:cs="Arial"/>
                <w:sz w:val="20"/>
                <w:szCs w:val="20"/>
              </w:rPr>
            </w:pPr>
            <w:r w:rsidRPr="003A2F86">
              <w:rPr>
                <w:rFonts w:ascii="Arial" w:eastAsia="Calibri" w:hAnsi="Arial" w:cs="Arial"/>
                <w:sz w:val="20"/>
                <w:szCs w:val="20"/>
              </w:rPr>
              <w:t>Među važnijim ciljevima Upravnog odjela su:</w:t>
            </w:r>
          </w:p>
          <w:p w14:paraId="6933DF17" w14:textId="77777777" w:rsidR="00A9552A" w:rsidRPr="003A2F86" w:rsidRDefault="00A9552A">
            <w:pPr>
              <w:numPr>
                <w:ilvl w:val="0"/>
                <w:numId w:val="9"/>
              </w:numPr>
              <w:tabs>
                <w:tab w:val="num" w:pos="567"/>
              </w:tabs>
              <w:spacing w:after="0" w:line="240" w:lineRule="auto"/>
              <w:ind w:left="567" w:hanging="567"/>
              <w:rPr>
                <w:rFonts w:ascii="Arial" w:eastAsia="Calibri" w:hAnsi="Arial" w:cs="Arial"/>
                <w:sz w:val="20"/>
                <w:szCs w:val="20"/>
              </w:rPr>
            </w:pPr>
            <w:r w:rsidRPr="003A2F86">
              <w:rPr>
                <w:rFonts w:ascii="Arial" w:eastAsia="Calibri" w:hAnsi="Arial" w:cs="Arial"/>
                <w:sz w:val="20"/>
                <w:szCs w:val="20"/>
              </w:rPr>
              <w:t xml:space="preserve">Optimalno održavanje i izgradnja novih objekata komunalne infrastrukture koji će unaprijediti kvalitetu života u naseljima na području Općine te doprinijeti boljoj turističkoj ponudi. </w:t>
            </w:r>
          </w:p>
          <w:p w14:paraId="06026C1F" w14:textId="77777777" w:rsidR="00A9552A" w:rsidRPr="003A2F86" w:rsidRDefault="00A9552A">
            <w:pPr>
              <w:numPr>
                <w:ilvl w:val="0"/>
                <w:numId w:val="9"/>
              </w:numPr>
              <w:tabs>
                <w:tab w:val="num" w:pos="567"/>
              </w:tabs>
              <w:spacing w:after="0" w:line="240" w:lineRule="auto"/>
              <w:ind w:left="567" w:hanging="567"/>
              <w:rPr>
                <w:rFonts w:ascii="Arial" w:eastAsia="Calibri" w:hAnsi="Arial" w:cs="Arial"/>
                <w:sz w:val="20"/>
                <w:szCs w:val="20"/>
              </w:rPr>
            </w:pPr>
            <w:r w:rsidRPr="003A2F86">
              <w:rPr>
                <w:rFonts w:ascii="Arial" w:eastAsia="Calibri" w:hAnsi="Arial" w:cs="Arial"/>
                <w:sz w:val="20"/>
                <w:szCs w:val="20"/>
              </w:rPr>
              <w:t>Nastaviti će se realizacija ciljeva zacrtanih iz prijašnjih razdoblja: izgradnja nogostupa na cestama najugroženijim za sigurnost građana, uređenja mjesnih groblja, izgradnju cesta, igrališta za djecu i mlade te na racionalno i svrsishodno održavanje postojećih objekata u vlasništvu Općine u mogućnostima koje budu dozvoljavala raspoloživa proračunska sredstva.</w:t>
            </w:r>
          </w:p>
          <w:p w14:paraId="25FA90EB" w14:textId="77777777" w:rsidR="00A9552A" w:rsidRPr="003A2F86" w:rsidRDefault="00A9552A">
            <w:pPr>
              <w:numPr>
                <w:ilvl w:val="0"/>
                <w:numId w:val="9"/>
              </w:numPr>
              <w:tabs>
                <w:tab w:val="num" w:pos="567"/>
              </w:tabs>
              <w:spacing w:after="0" w:line="240" w:lineRule="auto"/>
              <w:ind w:left="567" w:hanging="567"/>
              <w:rPr>
                <w:rFonts w:ascii="Arial" w:eastAsia="Calibri" w:hAnsi="Arial" w:cs="Arial"/>
                <w:sz w:val="20"/>
                <w:szCs w:val="20"/>
              </w:rPr>
            </w:pPr>
            <w:r w:rsidRPr="003A2F86">
              <w:rPr>
                <w:rFonts w:ascii="Arial" w:eastAsia="Calibri" w:hAnsi="Arial" w:cs="Arial"/>
                <w:sz w:val="20"/>
                <w:szCs w:val="20"/>
              </w:rPr>
              <w:t>Izgraditi cjeloviti sustav gospodarenja otpadom uključujući izgradnju potrebne infrastrukture kao jednim od preduvjeta osiguranja kvalitete života građana.</w:t>
            </w:r>
          </w:p>
          <w:p w14:paraId="18964EEE" w14:textId="77777777" w:rsidR="00A9552A" w:rsidRPr="003A2F86" w:rsidRDefault="00A9552A">
            <w:pPr>
              <w:numPr>
                <w:ilvl w:val="0"/>
                <w:numId w:val="9"/>
              </w:numPr>
              <w:tabs>
                <w:tab w:val="num" w:pos="567"/>
              </w:tabs>
              <w:spacing w:after="0" w:line="240" w:lineRule="auto"/>
              <w:ind w:left="567" w:hanging="567"/>
              <w:rPr>
                <w:rFonts w:ascii="Arial" w:eastAsia="Calibri" w:hAnsi="Arial" w:cs="Arial"/>
                <w:sz w:val="20"/>
                <w:szCs w:val="20"/>
              </w:rPr>
            </w:pPr>
            <w:r w:rsidRPr="003A2F86">
              <w:rPr>
                <w:rFonts w:ascii="Arial" w:eastAsia="Calibri" w:hAnsi="Arial" w:cs="Arial"/>
                <w:sz w:val="20"/>
                <w:szCs w:val="20"/>
              </w:rPr>
              <w:t>U skladu s raspoloživim proračunskim mogućnostima ulagati u nastavak izgradnje kanalizacijske mreže s ciljem očuvanja okoliša i osiguranja čistog mora kao preduvjeta turističkog razvoja Općine.</w:t>
            </w:r>
          </w:p>
          <w:p w14:paraId="595EC5D8" w14:textId="77777777" w:rsidR="00A9552A" w:rsidRPr="003A2F86" w:rsidRDefault="00A9552A">
            <w:pPr>
              <w:numPr>
                <w:ilvl w:val="0"/>
                <w:numId w:val="9"/>
              </w:numPr>
              <w:tabs>
                <w:tab w:val="num" w:pos="567"/>
              </w:tabs>
              <w:spacing w:after="0" w:line="240" w:lineRule="auto"/>
              <w:ind w:left="567" w:hanging="567"/>
              <w:rPr>
                <w:rFonts w:ascii="Arial" w:eastAsia="Calibri" w:hAnsi="Arial" w:cs="Arial"/>
                <w:sz w:val="20"/>
                <w:szCs w:val="20"/>
              </w:rPr>
            </w:pPr>
            <w:r w:rsidRPr="003A2F86">
              <w:rPr>
                <w:rFonts w:ascii="Arial" w:eastAsia="Calibri" w:hAnsi="Arial" w:cs="Arial"/>
                <w:sz w:val="20"/>
                <w:szCs w:val="20"/>
              </w:rPr>
              <w:t>U skladu sa zakonskim obvezama proširiti obveznike plaćanja komunalne naknade na određena područja te na taj način osigurati povećanje prihoda za realizaciju programa održavanja komunalne infrastrukture.</w:t>
            </w:r>
          </w:p>
        </w:tc>
      </w:tr>
      <w:tr w:rsidR="005F5E16" w:rsidRPr="003A2F86" w14:paraId="5733D6D3" w14:textId="77777777" w:rsidTr="00B223BA">
        <w:tc>
          <w:tcPr>
            <w:tcW w:w="1439" w:type="dxa"/>
            <w:tcBorders>
              <w:top w:val="dotted" w:sz="4" w:space="0" w:color="auto"/>
              <w:left w:val="dotted" w:sz="4" w:space="0" w:color="auto"/>
              <w:bottom w:val="dotted" w:sz="4" w:space="0" w:color="auto"/>
              <w:right w:val="dotted" w:sz="4" w:space="0" w:color="auto"/>
            </w:tcBorders>
          </w:tcPr>
          <w:p w14:paraId="4FD4E02E" w14:textId="77777777" w:rsidR="00A9552A" w:rsidRPr="003A2F86" w:rsidRDefault="00A9552A" w:rsidP="00A9552A">
            <w:pPr>
              <w:spacing w:after="0" w:line="240" w:lineRule="auto"/>
              <w:rPr>
                <w:rFonts w:ascii="Arial" w:eastAsia="Calibri" w:hAnsi="Arial" w:cs="Arial"/>
                <w:sz w:val="20"/>
                <w:szCs w:val="20"/>
              </w:rPr>
            </w:pPr>
            <w:r w:rsidRPr="003A2F86">
              <w:rPr>
                <w:rFonts w:ascii="Arial" w:eastAsia="Calibri" w:hAnsi="Arial" w:cs="Arial"/>
                <w:sz w:val="20"/>
                <w:szCs w:val="20"/>
              </w:rPr>
              <w:t>ZAKONSKE I DRUGE PRAVNE OSNOVE PROGRAMA:</w:t>
            </w:r>
          </w:p>
        </w:tc>
        <w:tc>
          <w:tcPr>
            <w:tcW w:w="12998" w:type="dxa"/>
            <w:tcBorders>
              <w:top w:val="dotted" w:sz="4" w:space="0" w:color="auto"/>
              <w:left w:val="dotted" w:sz="4" w:space="0" w:color="auto"/>
              <w:bottom w:val="dotted" w:sz="4" w:space="0" w:color="auto"/>
              <w:right w:val="dotted" w:sz="4" w:space="0" w:color="auto"/>
            </w:tcBorders>
          </w:tcPr>
          <w:p w14:paraId="34A91FC0" w14:textId="75269141" w:rsidR="00A9552A" w:rsidRPr="003A2F86" w:rsidRDefault="00A9552A" w:rsidP="00A9552A">
            <w:pPr>
              <w:autoSpaceDE w:val="0"/>
              <w:autoSpaceDN w:val="0"/>
              <w:adjustRightInd w:val="0"/>
              <w:spacing w:after="0" w:line="240" w:lineRule="auto"/>
              <w:rPr>
                <w:rFonts w:ascii="Arial" w:eastAsia="Calibri" w:hAnsi="Arial" w:cs="Arial"/>
                <w:sz w:val="20"/>
                <w:szCs w:val="20"/>
              </w:rPr>
            </w:pPr>
            <w:r w:rsidRPr="003A2F86">
              <w:rPr>
                <w:rFonts w:ascii="Arial" w:eastAsia="Calibri" w:hAnsi="Arial" w:cs="Arial"/>
                <w:sz w:val="20"/>
                <w:szCs w:val="20"/>
              </w:rPr>
              <w:t>Zakon o lokalnoj i područnoj (regionalnoj) samoupravi (NN 33/01, 60/01,129/05,109/07,125/08, 36/09,150/11,144/12, 19/13, 137/15, 13/17, 98/19, 144/20), Zakon o službenicima i namještenicima u lokalnoj i područnoj (regionalnoj) samoupravi (NN 86/08, 61/11, 4/18, 112/19), Zakon o općem upravnom postupku (NN 47/09,10/21), Zakon o javnoj nabavi (NN 120/16, 114/22</w:t>
            </w:r>
            <w:r w:rsidR="00652E86">
              <w:rPr>
                <w:rFonts w:ascii="Arial" w:eastAsia="Calibri" w:hAnsi="Arial" w:cs="Arial"/>
                <w:sz w:val="20"/>
                <w:szCs w:val="20"/>
              </w:rPr>
              <w:t>, 48/26</w:t>
            </w:r>
            <w:r w:rsidRPr="003A2F86">
              <w:rPr>
                <w:rFonts w:ascii="Arial" w:eastAsia="Calibri" w:hAnsi="Arial" w:cs="Arial"/>
                <w:sz w:val="20"/>
                <w:szCs w:val="20"/>
              </w:rPr>
              <w:t>), Zakon o pravu na pristup informacijama (NN 25/13, 85/15, 69/22), Zakon o radu (NN 93/14, 127/17, 98/19</w:t>
            </w:r>
            <w:r w:rsidR="00FA19B5" w:rsidRPr="003A2F86">
              <w:rPr>
                <w:rFonts w:ascii="Arial" w:eastAsia="Calibri" w:hAnsi="Arial" w:cs="Arial"/>
                <w:sz w:val="20"/>
                <w:szCs w:val="20"/>
              </w:rPr>
              <w:t>, 151/22, 64/23</w:t>
            </w:r>
            <w:r w:rsidRPr="003A2F86">
              <w:rPr>
                <w:rFonts w:ascii="Arial" w:eastAsia="Calibri" w:hAnsi="Arial" w:cs="Arial"/>
                <w:sz w:val="20"/>
                <w:szCs w:val="20"/>
              </w:rPr>
              <w:t>), Uredba o uredskom poslovanju (NN 75/21), Zakon o komunalnom gospodarstvu, Zakon o cestama, Zakon o sigurnosti prometa na cestama, Zakon o vlasništvu i drugim stvarnim pravima, Zakon o prostornom uređenju, Zakon o gradnji, Zakon o građevinskoj inspekciji, Zakon o zaštiti okoliša, Zakon o zaštiti prirode, Zakon o gospodarenju otpadom, Zakon o grobljima, Zakon o proračunu, Zakon o postupanju s nezakonito izgrađenim zgradama u prostoru, Zakon o obaveznim odnosima, Ovršni zakon, Zakon o vodama, Zakon o financiranju vodnog gospodarstva, Zakon o zaštiti životinja, Zakon o zaštiti od požara, Zakon o državnoj izmjeri i katastru nekretnina, Zakon o elektroničkim komunikacijama, Zakon o koncesijama, te ostali zakoni, uredbe, pravilnici, propisi i normativi vezani za komunalno gospodarstvo i vatrogasnu djelatnost</w:t>
            </w:r>
          </w:p>
        </w:tc>
      </w:tr>
    </w:tbl>
    <w:p w14:paraId="62366E80" w14:textId="77777777" w:rsidR="001C171F" w:rsidRPr="003A2F86" w:rsidRDefault="001C171F" w:rsidP="00D72C52">
      <w:pPr>
        <w:autoSpaceDE w:val="0"/>
        <w:autoSpaceDN w:val="0"/>
        <w:adjustRightInd w:val="0"/>
        <w:spacing w:after="0" w:line="240" w:lineRule="auto"/>
        <w:ind w:firstLine="357"/>
        <w:jc w:val="both"/>
        <w:rPr>
          <w:rFonts w:ascii="Arial" w:eastAsia="Calibri" w:hAnsi="Arial" w:cs="Arial"/>
          <w:sz w:val="20"/>
          <w:szCs w:val="20"/>
        </w:rPr>
      </w:pPr>
    </w:p>
    <w:p w14:paraId="2C311449" w14:textId="77777777" w:rsidR="00A9552A" w:rsidRPr="003A2F86" w:rsidRDefault="00A9552A" w:rsidP="00D72C52">
      <w:pPr>
        <w:autoSpaceDE w:val="0"/>
        <w:autoSpaceDN w:val="0"/>
        <w:adjustRightInd w:val="0"/>
        <w:spacing w:after="0" w:line="240" w:lineRule="auto"/>
        <w:ind w:firstLine="357"/>
        <w:jc w:val="both"/>
        <w:rPr>
          <w:rFonts w:ascii="Arial" w:eastAsia="Calibri" w:hAnsi="Arial" w:cs="Arial"/>
          <w:sz w:val="20"/>
          <w:szCs w:val="20"/>
        </w:rPr>
      </w:pPr>
    </w:p>
    <w:p w14:paraId="2175B9CF" w14:textId="77777777" w:rsidR="001A49A3" w:rsidRPr="003A2F86" w:rsidRDefault="001A49A3" w:rsidP="00D72C52">
      <w:pPr>
        <w:autoSpaceDE w:val="0"/>
        <w:autoSpaceDN w:val="0"/>
        <w:adjustRightInd w:val="0"/>
        <w:spacing w:after="0" w:line="240" w:lineRule="auto"/>
        <w:ind w:firstLine="357"/>
        <w:jc w:val="both"/>
        <w:rPr>
          <w:rFonts w:ascii="Arial" w:eastAsia="Calibri" w:hAnsi="Arial" w:cs="Arial"/>
          <w:sz w:val="20"/>
          <w:szCs w:val="20"/>
        </w:rPr>
      </w:pPr>
    </w:p>
    <w:p w14:paraId="4E649281" w14:textId="77777777" w:rsidR="001A49A3" w:rsidRPr="003A2F86" w:rsidRDefault="001A49A3" w:rsidP="00D72C52">
      <w:pPr>
        <w:autoSpaceDE w:val="0"/>
        <w:autoSpaceDN w:val="0"/>
        <w:adjustRightInd w:val="0"/>
        <w:spacing w:after="0" w:line="240" w:lineRule="auto"/>
        <w:ind w:firstLine="357"/>
        <w:jc w:val="both"/>
        <w:rPr>
          <w:rFonts w:ascii="Arial" w:eastAsia="Calibri" w:hAnsi="Arial" w:cs="Arial"/>
          <w:sz w:val="20"/>
          <w:szCs w:val="20"/>
        </w:rPr>
      </w:pPr>
    </w:p>
    <w:p w14:paraId="7810FBB0" w14:textId="77777777" w:rsidR="001A49A3" w:rsidRPr="003A2F86" w:rsidRDefault="001A49A3" w:rsidP="00D72C52">
      <w:pPr>
        <w:autoSpaceDE w:val="0"/>
        <w:autoSpaceDN w:val="0"/>
        <w:adjustRightInd w:val="0"/>
        <w:spacing w:after="0" w:line="240" w:lineRule="auto"/>
        <w:ind w:firstLine="357"/>
        <w:jc w:val="both"/>
        <w:rPr>
          <w:rFonts w:ascii="Arial" w:eastAsia="Calibri" w:hAnsi="Arial" w:cs="Arial"/>
          <w:sz w:val="20"/>
          <w:szCs w:val="20"/>
        </w:rPr>
      </w:pPr>
    </w:p>
    <w:p w14:paraId="637DE9C0" w14:textId="77777777" w:rsidR="001A49A3" w:rsidRPr="003A2F86" w:rsidRDefault="001A49A3" w:rsidP="00D72C52">
      <w:pPr>
        <w:autoSpaceDE w:val="0"/>
        <w:autoSpaceDN w:val="0"/>
        <w:adjustRightInd w:val="0"/>
        <w:spacing w:after="0" w:line="240" w:lineRule="auto"/>
        <w:ind w:firstLine="357"/>
        <w:jc w:val="both"/>
        <w:rPr>
          <w:rFonts w:ascii="Arial" w:eastAsia="Calibri" w:hAnsi="Arial" w:cs="Arial"/>
          <w:sz w:val="20"/>
          <w:szCs w:val="20"/>
        </w:rPr>
      </w:pPr>
    </w:p>
    <w:p w14:paraId="2DAA37FF" w14:textId="77777777" w:rsidR="00B37E46" w:rsidRPr="003A2F86" w:rsidRDefault="00B37E46" w:rsidP="00D72C52">
      <w:pPr>
        <w:autoSpaceDE w:val="0"/>
        <w:autoSpaceDN w:val="0"/>
        <w:adjustRightInd w:val="0"/>
        <w:spacing w:after="0" w:line="240" w:lineRule="auto"/>
        <w:ind w:firstLine="357"/>
        <w:jc w:val="both"/>
        <w:rPr>
          <w:rFonts w:ascii="Arial" w:eastAsia="Calibri" w:hAnsi="Arial" w:cs="Arial"/>
          <w:sz w:val="20"/>
          <w:szCs w:val="20"/>
        </w:rPr>
      </w:pPr>
    </w:p>
    <w:p w14:paraId="23E95D08" w14:textId="77777777" w:rsidR="00775A9C" w:rsidRPr="003A2F86" w:rsidRDefault="00775A9C" w:rsidP="00D72C52">
      <w:pPr>
        <w:autoSpaceDE w:val="0"/>
        <w:autoSpaceDN w:val="0"/>
        <w:adjustRightInd w:val="0"/>
        <w:spacing w:after="0" w:line="240" w:lineRule="auto"/>
        <w:ind w:firstLine="357"/>
        <w:jc w:val="both"/>
        <w:rPr>
          <w:rFonts w:ascii="Arial" w:eastAsia="Calibri" w:hAnsi="Arial" w:cs="Arial"/>
          <w:sz w:val="20"/>
          <w:szCs w:val="20"/>
        </w:rPr>
      </w:pPr>
    </w:p>
    <w:p w14:paraId="5EC03DBE" w14:textId="77777777" w:rsidR="00775A9C" w:rsidRPr="003A2F86" w:rsidRDefault="00775A9C" w:rsidP="00D72C52">
      <w:pPr>
        <w:autoSpaceDE w:val="0"/>
        <w:autoSpaceDN w:val="0"/>
        <w:adjustRightInd w:val="0"/>
        <w:spacing w:after="0" w:line="240" w:lineRule="auto"/>
        <w:ind w:firstLine="357"/>
        <w:jc w:val="both"/>
        <w:rPr>
          <w:rFonts w:ascii="Arial" w:eastAsia="Calibri" w:hAnsi="Arial" w:cs="Arial"/>
          <w:sz w:val="20"/>
          <w:szCs w:val="20"/>
        </w:rPr>
      </w:pPr>
    </w:p>
    <w:p w14:paraId="70B47AB0" w14:textId="77777777" w:rsidR="00775A9C" w:rsidRPr="003A2F86" w:rsidRDefault="00775A9C" w:rsidP="00D72C52">
      <w:pPr>
        <w:autoSpaceDE w:val="0"/>
        <w:autoSpaceDN w:val="0"/>
        <w:adjustRightInd w:val="0"/>
        <w:spacing w:after="0" w:line="240" w:lineRule="auto"/>
        <w:ind w:firstLine="357"/>
        <w:jc w:val="both"/>
        <w:rPr>
          <w:rFonts w:ascii="Arial" w:eastAsia="Calibri" w:hAnsi="Arial" w:cs="Arial"/>
          <w:sz w:val="20"/>
          <w:szCs w:val="20"/>
        </w:rPr>
      </w:pPr>
    </w:p>
    <w:p w14:paraId="0F32A5C3" w14:textId="77777777" w:rsidR="00775A9C" w:rsidRPr="003A2F86" w:rsidRDefault="00775A9C" w:rsidP="00D72C52">
      <w:pPr>
        <w:autoSpaceDE w:val="0"/>
        <w:autoSpaceDN w:val="0"/>
        <w:adjustRightInd w:val="0"/>
        <w:spacing w:after="0" w:line="240" w:lineRule="auto"/>
        <w:ind w:firstLine="357"/>
        <w:jc w:val="both"/>
        <w:rPr>
          <w:rFonts w:ascii="Arial" w:eastAsia="Calibri" w:hAnsi="Arial" w:cs="Arial"/>
          <w:sz w:val="20"/>
          <w:szCs w:val="20"/>
        </w:rPr>
      </w:pPr>
    </w:p>
    <w:p w14:paraId="12B9EFA4" w14:textId="77777777" w:rsidR="001A49A3" w:rsidRPr="003A2F86" w:rsidRDefault="001A49A3" w:rsidP="00D72C52">
      <w:pPr>
        <w:autoSpaceDE w:val="0"/>
        <w:autoSpaceDN w:val="0"/>
        <w:adjustRightInd w:val="0"/>
        <w:spacing w:after="0" w:line="240" w:lineRule="auto"/>
        <w:ind w:firstLine="357"/>
        <w:jc w:val="both"/>
        <w:rPr>
          <w:rFonts w:ascii="Arial" w:eastAsia="Calibri" w:hAnsi="Arial" w:cs="Arial"/>
          <w:sz w:val="20"/>
          <w:szCs w:val="20"/>
        </w:rPr>
      </w:pPr>
    </w:p>
    <w:p w14:paraId="4A70DE4F" w14:textId="77777777" w:rsidR="001A49A3" w:rsidRPr="003A2F86" w:rsidRDefault="001A49A3" w:rsidP="00D72C52">
      <w:pPr>
        <w:autoSpaceDE w:val="0"/>
        <w:autoSpaceDN w:val="0"/>
        <w:adjustRightInd w:val="0"/>
        <w:spacing w:after="0" w:line="240" w:lineRule="auto"/>
        <w:ind w:firstLine="357"/>
        <w:jc w:val="both"/>
        <w:rPr>
          <w:rFonts w:ascii="Arial" w:eastAsia="Calibri" w:hAnsi="Arial" w:cs="Arial"/>
          <w:sz w:val="20"/>
          <w:szCs w:val="20"/>
        </w:rPr>
      </w:pPr>
    </w:p>
    <w:p w14:paraId="07560272" w14:textId="77777777" w:rsidR="001A49A3" w:rsidRPr="003A2F86" w:rsidRDefault="001A49A3" w:rsidP="00D72C52">
      <w:pPr>
        <w:autoSpaceDE w:val="0"/>
        <w:autoSpaceDN w:val="0"/>
        <w:adjustRightInd w:val="0"/>
        <w:spacing w:after="0" w:line="240" w:lineRule="auto"/>
        <w:ind w:firstLine="357"/>
        <w:jc w:val="both"/>
        <w:rPr>
          <w:rFonts w:ascii="Arial" w:eastAsia="Calibri" w:hAnsi="Arial" w:cs="Arial"/>
          <w:sz w:val="20"/>
          <w:szCs w:val="20"/>
        </w:rPr>
      </w:pPr>
    </w:p>
    <w:p w14:paraId="238F3586" w14:textId="77777777" w:rsidR="001A49A3" w:rsidRPr="003A2F86" w:rsidRDefault="001A49A3" w:rsidP="00D72C52">
      <w:pPr>
        <w:autoSpaceDE w:val="0"/>
        <w:autoSpaceDN w:val="0"/>
        <w:adjustRightInd w:val="0"/>
        <w:spacing w:after="0" w:line="240" w:lineRule="auto"/>
        <w:ind w:firstLine="357"/>
        <w:jc w:val="both"/>
        <w:rPr>
          <w:rFonts w:ascii="Arial" w:eastAsia="Calibri" w:hAnsi="Arial" w:cs="Arial"/>
          <w:sz w:val="20"/>
          <w:szCs w:val="20"/>
        </w:rPr>
      </w:pPr>
    </w:p>
    <w:p w14:paraId="07A9CDC3" w14:textId="77777777" w:rsidR="001A49A3" w:rsidRPr="003A2F86" w:rsidRDefault="001A49A3" w:rsidP="00D72C52">
      <w:pPr>
        <w:autoSpaceDE w:val="0"/>
        <w:autoSpaceDN w:val="0"/>
        <w:adjustRightInd w:val="0"/>
        <w:spacing w:after="0" w:line="240" w:lineRule="auto"/>
        <w:ind w:firstLine="357"/>
        <w:jc w:val="both"/>
        <w:rPr>
          <w:rFonts w:ascii="Arial" w:eastAsia="Calibri" w:hAnsi="Arial" w:cs="Arial"/>
          <w:sz w:val="20"/>
          <w:szCs w:val="20"/>
        </w:rPr>
      </w:pPr>
    </w:p>
    <w:p w14:paraId="0751373B" w14:textId="77777777" w:rsidR="001A49A3" w:rsidRPr="003A2F86" w:rsidRDefault="001A49A3" w:rsidP="00D72C52">
      <w:pPr>
        <w:autoSpaceDE w:val="0"/>
        <w:autoSpaceDN w:val="0"/>
        <w:adjustRightInd w:val="0"/>
        <w:spacing w:after="0" w:line="240" w:lineRule="auto"/>
        <w:ind w:firstLine="357"/>
        <w:jc w:val="both"/>
        <w:rPr>
          <w:rFonts w:ascii="Arial" w:eastAsia="Calibri" w:hAnsi="Arial" w:cs="Arial"/>
          <w:sz w:val="20"/>
          <w:szCs w:val="20"/>
        </w:rPr>
      </w:pPr>
    </w:p>
    <w:p w14:paraId="41FB93B1" w14:textId="77777777" w:rsidR="00A9552A" w:rsidRPr="003A2F86" w:rsidRDefault="00A9552A">
      <w:pPr>
        <w:numPr>
          <w:ilvl w:val="0"/>
          <w:numId w:val="26"/>
        </w:numPr>
        <w:pBdr>
          <w:top w:val="single" w:sz="4" w:space="1" w:color="auto"/>
          <w:left w:val="single" w:sz="4" w:space="4" w:color="auto"/>
          <w:bottom w:val="single" w:sz="4" w:space="1" w:color="auto"/>
          <w:right w:val="single" w:sz="4" w:space="4" w:color="auto"/>
        </w:pBdr>
        <w:shd w:val="clear" w:color="auto" w:fill="DBE5F1" w:themeFill="accent1" w:themeFillTint="33"/>
        <w:spacing w:after="0" w:line="240" w:lineRule="auto"/>
        <w:jc w:val="both"/>
        <w:rPr>
          <w:rFonts w:ascii="Arial" w:eastAsia="Calibri" w:hAnsi="Arial" w:cs="Arial"/>
          <w:b/>
        </w:rPr>
      </w:pPr>
      <w:r w:rsidRPr="003A2F86">
        <w:rPr>
          <w:rFonts w:ascii="Arial" w:eastAsia="Calibri" w:hAnsi="Arial" w:cs="Arial"/>
          <w:b/>
        </w:rPr>
        <w:t>OBRAZLOŽENJE OPĆEG DIJELA FINANCIJSKOG PLANA</w:t>
      </w:r>
    </w:p>
    <w:p w14:paraId="6B5DCC02" w14:textId="77777777" w:rsidR="00A9552A" w:rsidRPr="003A2F86" w:rsidRDefault="00A9552A" w:rsidP="00840581">
      <w:pPr>
        <w:spacing w:after="0" w:line="240" w:lineRule="auto"/>
        <w:jc w:val="center"/>
        <w:rPr>
          <w:rFonts w:ascii="Arial" w:hAnsi="Arial" w:cs="Arial"/>
          <w:iCs/>
        </w:rPr>
      </w:pPr>
    </w:p>
    <w:p w14:paraId="08685959" w14:textId="63DBA24A" w:rsidR="00A9552A" w:rsidRPr="003A2F86" w:rsidRDefault="00652E86" w:rsidP="00A9552A">
      <w:pPr>
        <w:jc w:val="center"/>
        <w:rPr>
          <w:rFonts w:ascii="Arial" w:hAnsi="Arial" w:cs="Arial"/>
          <w:iCs/>
        </w:rPr>
      </w:pPr>
      <w:r w:rsidRPr="00652E86">
        <w:rPr>
          <w:noProof/>
        </w:rPr>
        <w:drawing>
          <wp:inline distT="0" distB="0" distL="0" distR="0" wp14:anchorId="4899D516" wp14:editId="14F51773">
            <wp:extent cx="8351634" cy="5524574"/>
            <wp:effectExtent l="0" t="0" r="0" b="0"/>
            <wp:docPr id="683547172"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8355719" cy="5527276"/>
                    </a:xfrm>
                    <a:prstGeom prst="rect">
                      <a:avLst/>
                    </a:prstGeom>
                    <a:noFill/>
                    <a:ln>
                      <a:noFill/>
                    </a:ln>
                  </pic:spPr>
                </pic:pic>
              </a:graphicData>
            </a:graphic>
          </wp:inline>
        </w:drawing>
      </w:r>
    </w:p>
    <w:p w14:paraId="54ABF591" w14:textId="77777777" w:rsidR="009B3277" w:rsidRPr="007E7FDB" w:rsidRDefault="009B3277" w:rsidP="00F80FFA">
      <w:pPr>
        <w:spacing w:after="0" w:line="240" w:lineRule="auto"/>
        <w:ind w:firstLine="709"/>
        <w:rPr>
          <w:rFonts w:ascii="Arial" w:eastAsia="Calibri" w:hAnsi="Arial" w:cs="Arial"/>
          <w:sz w:val="14"/>
          <w:szCs w:val="14"/>
          <w:u w:val="single"/>
        </w:rPr>
      </w:pPr>
    </w:p>
    <w:p w14:paraId="76A077F6" w14:textId="54EE1F35" w:rsidR="00A9552A" w:rsidRPr="00D66177" w:rsidRDefault="00A9552A" w:rsidP="00F80FFA">
      <w:pPr>
        <w:spacing w:after="0" w:line="240" w:lineRule="auto"/>
        <w:ind w:firstLine="709"/>
        <w:rPr>
          <w:rFonts w:ascii="Arial" w:eastAsia="Calibri" w:hAnsi="Arial" w:cs="Arial"/>
          <w:sz w:val="20"/>
          <w:szCs w:val="20"/>
        </w:rPr>
      </w:pPr>
      <w:r w:rsidRPr="00D66177">
        <w:rPr>
          <w:rFonts w:ascii="Arial" w:eastAsia="Calibri" w:hAnsi="Arial" w:cs="Arial"/>
          <w:sz w:val="20"/>
          <w:szCs w:val="20"/>
          <w:u w:val="single"/>
        </w:rPr>
        <w:t>Ostvareni prihodi poslovanja</w:t>
      </w:r>
      <w:r w:rsidRPr="00D66177">
        <w:rPr>
          <w:rFonts w:ascii="Arial" w:eastAsia="Calibri" w:hAnsi="Arial" w:cs="Arial"/>
          <w:sz w:val="20"/>
          <w:szCs w:val="20"/>
        </w:rPr>
        <w:t xml:space="preserve"> za 202</w:t>
      </w:r>
      <w:r w:rsidR="009B3277" w:rsidRPr="00D66177">
        <w:rPr>
          <w:rFonts w:ascii="Arial" w:eastAsia="Calibri" w:hAnsi="Arial" w:cs="Arial"/>
          <w:sz w:val="20"/>
          <w:szCs w:val="20"/>
        </w:rPr>
        <w:t>5</w:t>
      </w:r>
      <w:r w:rsidRPr="00D66177">
        <w:rPr>
          <w:rFonts w:ascii="Arial" w:eastAsia="Calibri" w:hAnsi="Arial" w:cs="Arial"/>
          <w:sz w:val="20"/>
          <w:szCs w:val="20"/>
        </w:rPr>
        <w:t>. sastoje se od:</w:t>
      </w:r>
    </w:p>
    <w:p w14:paraId="2961FB92" w14:textId="71CB5AA3" w:rsidR="00F80FFA" w:rsidRPr="00D66177" w:rsidRDefault="00F80FFA" w:rsidP="00840581">
      <w:pPr>
        <w:spacing w:after="0" w:line="240" w:lineRule="auto"/>
        <w:ind w:firstLine="709"/>
        <w:jc w:val="both"/>
        <w:rPr>
          <w:rFonts w:ascii="Arial" w:eastAsia="Calibri" w:hAnsi="Arial" w:cs="Arial"/>
          <w:sz w:val="20"/>
          <w:szCs w:val="20"/>
        </w:rPr>
      </w:pPr>
      <w:r w:rsidRPr="00D66177">
        <w:rPr>
          <w:rFonts w:ascii="Arial" w:eastAsia="Calibri" w:hAnsi="Arial" w:cs="Arial"/>
          <w:sz w:val="20"/>
          <w:szCs w:val="20"/>
        </w:rPr>
        <w:t xml:space="preserve">- prihodi upravnog odjela se odnose na prihode od komunalnog doprinosa i komunalne naknade u iznosu </w:t>
      </w:r>
      <w:r w:rsidR="00652E86">
        <w:rPr>
          <w:rFonts w:ascii="Arial" w:eastAsia="Calibri" w:hAnsi="Arial" w:cs="Arial"/>
          <w:sz w:val="20"/>
          <w:szCs w:val="20"/>
        </w:rPr>
        <w:t>1.341.890,94</w:t>
      </w:r>
      <w:r w:rsidRPr="00D66177">
        <w:rPr>
          <w:rFonts w:ascii="Arial" w:eastAsia="Calibri" w:hAnsi="Arial" w:cs="Arial"/>
          <w:sz w:val="20"/>
          <w:szCs w:val="20"/>
        </w:rPr>
        <w:t xml:space="preserve"> </w:t>
      </w:r>
      <w:r w:rsidR="00840581" w:rsidRPr="00D66177">
        <w:rPr>
          <w:rFonts w:ascii="Arial" w:eastAsia="Calibri" w:hAnsi="Arial" w:cs="Arial"/>
          <w:sz w:val="20"/>
          <w:szCs w:val="20"/>
        </w:rPr>
        <w:t>€</w:t>
      </w:r>
      <w:r w:rsidRPr="00D66177">
        <w:rPr>
          <w:rFonts w:ascii="Arial" w:eastAsia="Calibri" w:hAnsi="Arial" w:cs="Arial"/>
          <w:sz w:val="20"/>
          <w:szCs w:val="20"/>
        </w:rPr>
        <w:t xml:space="preserve">, pomoći od izvanproračunskog korisnika (ŽUC) za sufinanciranje održavanja cesta u iznosu </w:t>
      </w:r>
      <w:r w:rsidR="00652E86">
        <w:rPr>
          <w:rFonts w:ascii="Arial" w:eastAsia="Calibri" w:hAnsi="Arial" w:cs="Arial"/>
          <w:sz w:val="20"/>
          <w:szCs w:val="20"/>
        </w:rPr>
        <w:t>177.402,48</w:t>
      </w:r>
      <w:r w:rsidRPr="00D66177">
        <w:rPr>
          <w:rFonts w:ascii="Arial" w:eastAsia="Calibri" w:hAnsi="Arial" w:cs="Arial"/>
          <w:sz w:val="20"/>
          <w:szCs w:val="20"/>
        </w:rPr>
        <w:t xml:space="preserve"> €, tekuće pomoći izravnanja za financiranje decentralizirane funkcije vatrogastva u iznosu </w:t>
      </w:r>
      <w:r w:rsidR="00652E86">
        <w:rPr>
          <w:rFonts w:ascii="Arial" w:eastAsia="Calibri" w:hAnsi="Arial" w:cs="Arial"/>
          <w:sz w:val="20"/>
          <w:szCs w:val="20"/>
        </w:rPr>
        <w:t>215.893,12</w:t>
      </w:r>
      <w:r w:rsidRPr="00D66177">
        <w:rPr>
          <w:rFonts w:ascii="Arial" w:eastAsia="Calibri" w:hAnsi="Arial" w:cs="Arial"/>
          <w:sz w:val="20"/>
          <w:szCs w:val="20"/>
        </w:rPr>
        <w:t xml:space="preserve"> €, </w:t>
      </w:r>
      <w:r w:rsidR="00AD56EA" w:rsidRPr="00D66177">
        <w:rPr>
          <w:rFonts w:ascii="Arial" w:eastAsia="Calibri" w:hAnsi="Arial" w:cs="Arial"/>
          <w:sz w:val="20"/>
          <w:szCs w:val="20"/>
        </w:rPr>
        <w:t xml:space="preserve">pomoć Fonda za zaštitu okoliša </w:t>
      </w:r>
      <w:r w:rsidR="00786738" w:rsidRPr="00D66177">
        <w:rPr>
          <w:rFonts w:ascii="Arial" w:eastAsia="Calibri" w:hAnsi="Arial" w:cs="Arial"/>
          <w:sz w:val="20"/>
          <w:szCs w:val="20"/>
        </w:rPr>
        <w:t>0</w:t>
      </w:r>
      <w:r w:rsidR="00AD56EA" w:rsidRPr="00D66177">
        <w:rPr>
          <w:rFonts w:ascii="Arial" w:eastAsia="Calibri" w:hAnsi="Arial" w:cs="Arial"/>
          <w:sz w:val="20"/>
          <w:szCs w:val="20"/>
        </w:rPr>
        <w:t xml:space="preserve"> €, </w:t>
      </w:r>
      <w:r w:rsidRPr="00D66177">
        <w:rPr>
          <w:rFonts w:ascii="Arial" w:eastAsia="Calibri" w:hAnsi="Arial" w:cs="Arial"/>
          <w:sz w:val="20"/>
          <w:szCs w:val="20"/>
        </w:rPr>
        <w:t xml:space="preserve">prihodi od nefinancijske imovine (naknade za koncesije </w:t>
      </w:r>
      <w:r w:rsidR="005639DE" w:rsidRPr="00D66177">
        <w:rPr>
          <w:rFonts w:ascii="Arial" w:eastAsia="Calibri" w:hAnsi="Arial" w:cs="Arial"/>
          <w:sz w:val="20"/>
          <w:szCs w:val="20"/>
        </w:rPr>
        <w:t xml:space="preserve">i koncesijska odobrenja </w:t>
      </w:r>
      <w:r w:rsidR="00643C51">
        <w:rPr>
          <w:rFonts w:ascii="Arial" w:eastAsia="Calibri" w:hAnsi="Arial" w:cs="Arial"/>
          <w:sz w:val="20"/>
          <w:szCs w:val="20"/>
        </w:rPr>
        <w:t>70.739,71</w:t>
      </w:r>
      <w:r w:rsidRPr="00D66177">
        <w:rPr>
          <w:rFonts w:ascii="Arial" w:eastAsia="Calibri" w:hAnsi="Arial" w:cs="Arial"/>
          <w:sz w:val="20"/>
          <w:szCs w:val="20"/>
        </w:rPr>
        <w:t xml:space="preserve"> €, prihodi od zakupa </w:t>
      </w:r>
      <w:r w:rsidR="00643C51">
        <w:rPr>
          <w:rFonts w:ascii="Arial" w:eastAsia="Calibri" w:hAnsi="Arial" w:cs="Arial"/>
          <w:sz w:val="20"/>
          <w:szCs w:val="20"/>
        </w:rPr>
        <w:t>258.661,54</w:t>
      </w:r>
      <w:r w:rsidRPr="00D66177">
        <w:rPr>
          <w:rFonts w:ascii="Arial" w:eastAsia="Calibri" w:hAnsi="Arial" w:cs="Arial"/>
          <w:sz w:val="20"/>
          <w:szCs w:val="20"/>
        </w:rPr>
        <w:t xml:space="preserve"> €, naknade za korištenje nefinancijske imovine </w:t>
      </w:r>
      <w:r w:rsidR="00643C51">
        <w:rPr>
          <w:rFonts w:ascii="Arial" w:eastAsia="Calibri" w:hAnsi="Arial" w:cs="Arial"/>
          <w:sz w:val="20"/>
          <w:szCs w:val="20"/>
        </w:rPr>
        <w:t>1.057.319,37</w:t>
      </w:r>
      <w:r w:rsidRPr="00D66177">
        <w:rPr>
          <w:rFonts w:ascii="Arial" w:eastAsia="Calibri" w:hAnsi="Arial" w:cs="Arial"/>
          <w:sz w:val="20"/>
          <w:szCs w:val="20"/>
        </w:rPr>
        <w:t xml:space="preserve"> € i ostali prihodi od nefinancijske imovine </w:t>
      </w:r>
      <w:r w:rsidR="00643C51">
        <w:rPr>
          <w:rFonts w:ascii="Arial" w:eastAsia="Calibri" w:hAnsi="Arial" w:cs="Arial"/>
          <w:sz w:val="20"/>
          <w:szCs w:val="20"/>
        </w:rPr>
        <w:t xml:space="preserve">4.993,66 </w:t>
      </w:r>
      <w:r w:rsidRPr="00D66177">
        <w:rPr>
          <w:rFonts w:ascii="Arial" w:eastAsia="Calibri" w:hAnsi="Arial" w:cs="Arial"/>
          <w:sz w:val="20"/>
          <w:szCs w:val="20"/>
        </w:rPr>
        <w:t>€</w:t>
      </w:r>
      <w:r w:rsidR="00D66177" w:rsidRPr="00D66177">
        <w:rPr>
          <w:rFonts w:ascii="Arial" w:eastAsia="Calibri" w:hAnsi="Arial" w:cs="Arial"/>
          <w:sz w:val="20"/>
          <w:szCs w:val="20"/>
        </w:rPr>
        <w:t>)</w:t>
      </w:r>
      <w:r w:rsidRPr="00D66177">
        <w:rPr>
          <w:rFonts w:ascii="Arial" w:eastAsia="Calibri" w:hAnsi="Arial" w:cs="Arial"/>
          <w:sz w:val="20"/>
          <w:szCs w:val="20"/>
        </w:rPr>
        <w:t xml:space="preserve">, prihodi od upravnih i ostalih pristojbi (dozvola za obavljanje taxi prijevoza </w:t>
      </w:r>
      <w:r w:rsidR="00643C51">
        <w:rPr>
          <w:rFonts w:ascii="Arial" w:eastAsia="Calibri" w:hAnsi="Arial" w:cs="Arial"/>
          <w:sz w:val="20"/>
          <w:szCs w:val="20"/>
        </w:rPr>
        <w:t>21.699,69</w:t>
      </w:r>
      <w:r w:rsidRPr="00D66177">
        <w:rPr>
          <w:rFonts w:ascii="Arial" w:eastAsia="Calibri" w:hAnsi="Arial" w:cs="Arial"/>
          <w:sz w:val="20"/>
          <w:szCs w:val="20"/>
        </w:rPr>
        <w:t xml:space="preserve"> €, </w:t>
      </w:r>
      <w:r w:rsidR="00786738" w:rsidRPr="00D66177">
        <w:rPr>
          <w:rFonts w:ascii="Arial" w:eastAsia="Calibri" w:hAnsi="Arial" w:cs="Arial"/>
          <w:sz w:val="20"/>
          <w:szCs w:val="20"/>
        </w:rPr>
        <w:t xml:space="preserve">pristojbe za izdavanje dozvola za taxi prijevoz </w:t>
      </w:r>
      <w:r w:rsidR="00643C51">
        <w:rPr>
          <w:rFonts w:ascii="Arial" w:eastAsia="Calibri" w:hAnsi="Arial" w:cs="Arial"/>
          <w:sz w:val="20"/>
          <w:szCs w:val="20"/>
        </w:rPr>
        <w:t>2.618,43</w:t>
      </w:r>
      <w:r w:rsidR="00786738" w:rsidRPr="00D66177">
        <w:rPr>
          <w:rFonts w:ascii="Arial" w:eastAsia="Calibri" w:hAnsi="Arial" w:cs="Arial"/>
          <w:sz w:val="20"/>
          <w:szCs w:val="20"/>
        </w:rPr>
        <w:t xml:space="preserve"> €, dozvola za obavljanje djelatnosti na pomorskom dobru </w:t>
      </w:r>
      <w:r w:rsidR="00643C51">
        <w:rPr>
          <w:rFonts w:ascii="Arial" w:eastAsia="Calibri" w:hAnsi="Arial" w:cs="Arial"/>
          <w:sz w:val="20"/>
          <w:szCs w:val="20"/>
        </w:rPr>
        <w:t>166.138,56</w:t>
      </w:r>
      <w:r w:rsidR="00786738" w:rsidRPr="00D66177">
        <w:rPr>
          <w:rFonts w:ascii="Arial" w:eastAsia="Calibri" w:hAnsi="Arial" w:cs="Arial"/>
          <w:sz w:val="20"/>
          <w:szCs w:val="20"/>
        </w:rPr>
        <w:t xml:space="preserve"> € (novi propisi), </w:t>
      </w:r>
      <w:r w:rsidRPr="00D66177">
        <w:rPr>
          <w:rFonts w:ascii="Arial" w:eastAsia="Calibri" w:hAnsi="Arial" w:cs="Arial"/>
          <w:sz w:val="20"/>
          <w:szCs w:val="20"/>
        </w:rPr>
        <w:t xml:space="preserve">prihodi po posebnim propisima </w:t>
      </w:r>
      <w:r w:rsidR="00380945">
        <w:rPr>
          <w:rFonts w:ascii="Arial" w:eastAsia="Calibri" w:hAnsi="Arial" w:cs="Arial"/>
          <w:sz w:val="20"/>
          <w:szCs w:val="20"/>
        </w:rPr>
        <w:t>82.664,77</w:t>
      </w:r>
      <w:r w:rsidRPr="00D66177">
        <w:rPr>
          <w:rFonts w:ascii="Arial" w:eastAsia="Calibri" w:hAnsi="Arial" w:cs="Arial"/>
          <w:sz w:val="20"/>
          <w:szCs w:val="20"/>
        </w:rPr>
        <w:t xml:space="preserve"> €), donacije </w:t>
      </w:r>
      <w:r w:rsidR="00EE7CC4">
        <w:rPr>
          <w:rFonts w:ascii="Arial" w:eastAsia="Calibri" w:hAnsi="Arial" w:cs="Arial"/>
          <w:sz w:val="20"/>
          <w:szCs w:val="20"/>
        </w:rPr>
        <w:t>138.563,18</w:t>
      </w:r>
      <w:r w:rsidRPr="00D66177">
        <w:rPr>
          <w:rFonts w:ascii="Arial" w:eastAsia="Calibri" w:hAnsi="Arial" w:cs="Arial"/>
          <w:sz w:val="20"/>
          <w:szCs w:val="20"/>
        </w:rPr>
        <w:t xml:space="preserve"> €, kazne za prometne prekršaje i kazne komunalnog redarstva </w:t>
      </w:r>
      <w:r w:rsidR="00EE7CC4">
        <w:rPr>
          <w:rFonts w:ascii="Arial" w:eastAsia="Calibri" w:hAnsi="Arial" w:cs="Arial"/>
          <w:sz w:val="20"/>
          <w:szCs w:val="20"/>
        </w:rPr>
        <w:t>16.892,54</w:t>
      </w:r>
      <w:r w:rsidRPr="00D66177">
        <w:rPr>
          <w:rFonts w:ascii="Arial" w:eastAsia="Calibri" w:hAnsi="Arial" w:cs="Arial"/>
          <w:sz w:val="20"/>
          <w:szCs w:val="20"/>
        </w:rPr>
        <w:t xml:space="preserve"> €, refundacije troškova el</w:t>
      </w:r>
      <w:r w:rsidR="003E611F" w:rsidRPr="00D66177">
        <w:rPr>
          <w:rFonts w:ascii="Arial" w:eastAsia="Calibri" w:hAnsi="Arial" w:cs="Arial"/>
          <w:sz w:val="20"/>
          <w:szCs w:val="20"/>
        </w:rPr>
        <w:t xml:space="preserve">ektrične </w:t>
      </w:r>
      <w:r w:rsidRPr="00D66177">
        <w:rPr>
          <w:rFonts w:ascii="Arial" w:eastAsia="Calibri" w:hAnsi="Arial" w:cs="Arial"/>
          <w:sz w:val="20"/>
          <w:szCs w:val="20"/>
        </w:rPr>
        <w:t xml:space="preserve">energije za prostore u zakupu </w:t>
      </w:r>
      <w:r w:rsidR="00EE7CC4">
        <w:rPr>
          <w:rFonts w:ascii="Arial" w:eastAsia="Calibri" w:hAnsi="Arial" w:cs="Arial"/>
          <w:sz w:val="20"/>
          <w:szCs w:val="20"/>
        </w:rPr>
        <w:t>10.476,15</w:t>
      </w:r>
      <w:r w:rsidRPr="00D66177">
        <w:rPr>
          <w:rFonts w:ascii="Arial" w:eastAsia="Calibri" w:hAnsi="Arial" w:cs="Arial"/>
          <w:sz w:val="20"/>
          <w:szCs w:val="20"/>
        </w:rPr>
        <w:t xml:space="preserve"> €, prihodi od prodaje stanova sa stanarskim pravom </w:t>
      </w:r>
      <w:r w:rsidR="00EE7CC4">
        <w:rPr>
          <w:rFonts w:ascii="Arial" w:eastAsia="Calibri" w:hAnsi="Arial" w:cs="Arial"/>
          <w:sz w:val="20"/>
          <w:szCs w:val="20"/>
        </w:rPr>
        <w:t>1.029,17</w:t>
      </w:r>
      <w:r w:rsidRPr="00D66177">
        <w:rPr>
          <w:rFonts w:ascii="Arial" w:eastAsia="Calibri" w:hAnsi="Arial" w:cs="Arial"/>
          <w:sz w:val="20"/>
          <w:szCs w:val="20"/>
        </w:rPr>
        <w:t xml:space="preserve"> €</w:t>
      </w:r>
      <w:r w:rsidR="00AD56EA" w:rsidRPr="00D66177">
        <w:rPr>
          <w:rFonts w:ascii="Arial" w:eastAsia="Calibri" w:hAnsi="Arial" w:cs="Arial"/>
          <w:sz w:val="20"/>
          <w:szCs w:val="20"/>
        </w:rPr>
        <w:t xml:space="preserve">, prihodi od prodaje zemljišta </w:t>
      </w:r>
      <w:r w:rsidR="00EE7CC4">
        <w:rPr>
          <w:rFonts w:ascii="Arial" w:eastAsia="Calibri" w:hAnsi="Arial" w:cs="Arial"/>
          <w:sz w:val="20"/>
          <w:szCs w:val="20"/>
        </w:rPr>
        <w:t>540.772</w:t>
      </w:r>
      <w:r w:rsidR="00786738" w:rsidRPr="00D66177">
        <w:rPr>
          <w:rFonts w:ascii="Arial" w:eastAsia="Calibri" w:hAnsi="Arial" w:cs="Arial"/>
          <w:sz w:val="20"/>
          <w:szCs w:val="20"/>
        </w:rPr>
        <w:t xml:space="preserve"> €, prihodi od nadoknade troškova na ime stanova na Zvekovici </w:t>
      </w:r>
      <w:r w:rsidR="00EE7CC4">
        <w:rPr>
          <w:rFonts w:ascii="Arial" w:eastAsia="Calibri" w:hAnsi="Arial" w:cs="Arial"/>
          <w:sz w:val="20"/>
          <w:szCs w:val="20"/>
        </w:rPr>
        <w:t>29.004,38</w:t>
      </w:r>
      <w:r w:rsidR="00786738" w:rsidRPr="00D66177">
        <w:rPr>
          <w:rFonts w:ascii="Arial" w:eastAsia="Calibri" w:hAnsi="Arial" w:cs="Arial"/>
          <w:sz w:val="20"/>
          <w:szCs w:val="20"/>
        </w:rPr>
        <w:t xml:space="preserve"> €</w:t>
      </w:r>
      <w:r w:rsidR="009B46BF" w:rsidRPr="00D66177">
        <w:rPr>
          <w:rFonts w:ascii="Arial" w:eastAsia="Calibri" w:hAnsi="Arial" w:cs="Arial"/>
          <w:sz w:val="20"/>
          <w:szCs w:val="20"/>
        </w:rPr>
        <w:t xml:space="preserve"> i drugo.</w:t>
      </w:r>
    </w:p>
    <w:p w14:paraId="26D16FAC" w14:textId="2181515A" w:rsidR="00AD56EA" w:rsidRPr="00D66177" w:rsidRDefault="00A9552A">
      <w:pPr>
        <w:numPr>
          <w:ilvl w:val="0"/>
          <w:numId w:val="8"/>
        </w:numPr>
        <w:spacing w:after="0" w:line="240" w:lineRule="auto"/>
        <w:jc w:val="both"/>
        <w:rPr>
          <w:rFonts w:ascii="Arial" w:eastAsia="Calibri" w:hAnsi="Arial" w:cs="Arial"/>
          <w:sz w:val="20"/>
          <w:szCs w:val="20"/>
        </w:rPr>
      </w:pPr>
      <w:r w:rsidRPr="00D66177">
        <w:rPr>
          <w:rFonts w:ascii="Arial" w:eastAsia="Calibri" w:hAnsi="Arial" w:cs="Arial"/>
          <w:sz w:val="20"/>
          <w:szCs w:val="20"/>
        </w:rPr>
        <w:t>U okviru upravnog odjela u nadležnosti je proračunski korisnik – Javna vatrogasna postrojba koj</w:t>
      </w:r>
      <w:r w:rsidR="00F15103" w:rsidRPr="00D66177">
        <w:rPr>
          <w:rFonts w:ascii="Arial" w:eastAsia="Calibri" w:hAnsi="Arial" w:cs="Arial"/>
          <w:sz w:val="20"/>
          <w:szCs w:val="20"/>
        </w:rPr>
        <w:t>a</w:t>
      </w:r>
      <w:r w:rsidRPr="00D66177">
        <w:rPr>
          <w:rFonts w:ascii="Arial" w:eastAsia="Calibri" w:hAnsi="Arial" w:cs="Arial"/>
          <w:sz w:val="20"/>
          <w:szCs w:val="20"/>
        </w:rPr>
        <w:t xml:space="preserve"> ostvaruje prihode od pomoći i donacija kako je prikazano u tablici u nastavku, odnosno 202</w:t>
      </w:r>
      <w:r w:rsidR="00EE7CC4">
        <w:rPr>
          <w:rFonts w:ascii="Arial" w:eastAsia="Calibri" w:hAnsi="Arial" w:cs="Arial"/>
          <w:sz w:val="20"/>
          <w:szCs w:val="20"/>
        </w:rPr>
        <w:t>5</w:t>
      </w:r>
      <w:r w:rsidRPr="00D66177">
        <w:rPr>
          <w:rFonts w:ascii="Arial" w:eastAsia="Calibri" w:hAnsi="Arial" w:cs="Arial"/>
          <w:sz w:val="20"/>
          <w:szCs w:val="20"/>
        </w:rPr>
        <w:t xml:space="preserve">. godine </w:t>
      </w:r>
      <w:r w:rsidR="00786738" w:rsidRPr="00D66177">
        <w:rPr>
          <w:rFonts w:ascii="Arial" w:eastAsia="Calibri" w:hAnsi="Arial" w:cs="Arial"/>
          <w:sz w:val="20"/>
          <w:szCs w:val="20"/>
        </w:rPr>
        <w:t>ni</w:t>
      </w:r>
      <w:r w:rsidRPr="00D66177">
        <w:rPr>
          <w:rFonts w:ascii="Arial" w:eastAsia="Calibri" w:hAnsi="Arial" w:cs="Arial"/>
          <w:sz w:val="20"/>
          <w:szCs w:val="20"/>
        </w:rPr>
        <w:t>su ostvareni vlastiti prihodi</w:t>
      </w:r>
      <w:r w:rsidR="00AD56EA" w:rsidRPr="00D66177">
        <w:rPr>
          <w:rFonts w:ascii="Arial" w:eastAsia="Calibri" w:hAnsi="Arial" w:cs="Arial"/>
          <w:sz w:val="20"/>
          <w:szCs w:val="20"/>
        </w:rPr>
        <w:t>.</w:t>
      </w:r>
    </w:p>
    <w:p w14:paraId="3DFD2B45" w14:textId="0DAED658" w:rsidR="00786738" w:rsidRDefault="00786738" w:rsidP="00F15103">
      <w:pPr>
        <w:spacing w:after="0" w:line="240" w:lineRule="auto"/>
        <w:jc w:val="center"/>
        <w:rPr>
          <w:rFonts w:ascii="Arial" w:eastAsia="Calibri" w:hAnsi="Arial" w:cs="Arial"/>
          <w:sz w:val="20"/>
          <w:szCs w:val="20"/>
          <w:u w:val="single"/>
        </w:rPr>
      </w:pPr>
    </w:p>
    <w:p w14:paraId="380F6536" w14:textId="72F2D35D" w:rsidR="007A1E17" w:rsidRPr="003A2F86" w:rsidRDefault="00EE7CC4" w:rsidP="00F15103">
      <w:pPr>
        <w:spacing w:after="0" w:line="240" w:lineRule="auto"/>
        <w:jc w:val="center"/>
        <w:rPr>
          <w:rFonts w:ascii="Arial" w:eastAsia="Calibri" w:hAnsi="Arial" w:cs="Arial"/>
          <w:sz w:val="20"/>
          <w:szCs w:val="20"/>
          <w:u w:val="single"/>
        </w:rPr>
      </w:pPr>
      <w:r w:rsidRPr="00EE7CC4">
        <w:rPr>
          <w:noProof/>
        </w:rPr>
        <w:drawing>
          <wp:inline distT="0" distB="0" distL="0" distR="0" wp14:anchorId="37ECEB1D" wp14:editId="797EB9E7">
            <wp:extent cx="9251950" cy="1087120"/>
            <wp:effectExtent l="0" t="0" r="6350" b="0"/>
            <wp:docPr id="2084732022"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251950" cy="1087120"/>
                    </a:xfrm>
                    <a:prstGeom prst="rect">
                      <a:avLst/>
                    </a:prstGeom>
                    <a:noFill/>
                    <a:ln>
                      <a:noFill/>
                    </a:ln>
                  </pic:spPr>
                </pic:pic>
              </a:graphicData>
            </a:graphic>
          </wp:inline>
        </w:drawing>
      </w:r>
    </w:p>
    <w:p w14:paraId="4AF0BC41" w14:textId="77777777" w:rsidR="00EE7CC4" w:rsidRDefault="00EE7CC4" w:rsidP="009D2341">
      <w:pPr>
        <w:spacing w:after="0" w:line="240" w:lineRule="auto"/>
        <w:ind w:firstLine="709"/>
        <w:rPr>
          <w:rFonts w:ascii="Arial" w:eastAsia="Calibri" w:hAnsi="Arial" w:cs="Arial"/>
          <w:sz w:val="20"/>
          <w:szCs w:val="20"/>
          <w:u w:val="single"/>
        </w:rPr>
      </w:pPr>
    </w:p>
    <w:p w14:paraId="2483B9A7" w14:textId="0761B887" w:rsidR="00A9552A" w:rsidRPr="009B46BF" w:rsidRDefault="00A9552A" w:rsidP="009D2341">
      <w:pPr>
        <w:spacing w:after="0" w:line="240" w:lineRule="auto"/>
        <w:ind w:firstLine="709"/>
        <w:rPr>
          <w:rFonts w:ascii="Arial" w:eastAsia="Calibri" w:hAnsi="Arial" w:cs="Arial"/>
          <w:sz w:val="20"/>
          <w:szCs w:val="20"/>
        </w:rPr>
      </w:pPr>
      <w:r w:rsidRPr="009B46BF">
        <w:rPr>
          <w:rFonts w:ascii="Arial" w:eastAsia="Calibri" w:hAnsi="Arial" w:cs="Arial"/>
          <w:sz w:val="20"/>
          <w:szCs w:val="20"/>
          <w:u w:val="single"/>
        </w:rPr>
        <w:t>Izvršeni rashodi poslovanja</w:t>
      </w:r>
      <w:r w:rsidRPr="009B46BF">
        <w:rPr>
          <w:rFonts w:ascii="Arial" w:eastAsia="Calibri" w:hAnsi="Arial" w:cs="Arial"/>
          <w:sz w:val="20"/>
          <w:szCs w:val="20"/>
        </w:rPr>
        <w:t xml:space="preserve"> sastoje se od:</w:t>
      </w:r>
    </w:p>
    <w:p w14:paraId="6C760EE9" w14:textId="0706C4D1" w:rsidR="00A9552A" w:rsidRPr="009B46BF" w:rsidRDefault="00A9552A">
      <w:pPr>
        <w:numPr>
          <w:ilvl w:val="0"/>
          <w:numId w:val="8"/>
        </w:numPr>
        <w:spacing w:after="0" w:line="240" w:lineRule="auto"/>
        <w:contextualSpacing/>
        <w:jc w:val="both"/>
        <w:rPr>
          <w:rFonts w:ascii="Arial" w:eastAsia="Calibri" w:hAnsi="Arial" w:cs="Arial"/>
          <w:sz w:val="20"/>
          <w:szCs w:val="20"/>
        </w:rPr>
      </w:pPr>
      <w:r w:rsidRPr="009B46BF">
        <w:rPr>
          <w:rFonts w:ascii="Arial" w:eastAsia="Calibri" w:hAnsi="Arial" w:cs="Arial"/>
          <w:sz w:val="20"/>
          <w:szCs w:val="20"/>
        </w:rPr>
        <w:t>rashoda za plaće proračunskog korisnika</w:t>
      </w:r>
      <w:r w:rsidR="00F80FFA" w:rsidRPr="009B46BF">
        <w:rPr>
          <w:rFonts w:ascii="Arial" w:eastAsia="Calibri" w:hAnsi="Arial" w:cs="Arial"/>
          <w:sz w:val="20"/>
          <w:szCs w:val="20"/>
        </w:rPr>
        <w:t xml:space="preserve"> (plaće razdjela se iskazuju unutar razdjela 020)</w:t>
      </w:r>
    </w:p>
    <w:p w14:paraId="0826F948" w14:textId="77777777" w:rsidR="00A9552A" w:rsidRPr="009B46BF" w:rsidRDefault="00A9552A">
      <w:pPr>
        <w:numPr>
          <w:ilvl w:val="0"/>
          <w:numId w:val="8"/>
        </w:numPr>
        <w:spacing w:after="0" w:line="240" w:lineRule="auto"/>
        <w:contextualSpacing/>
        <w:jc w:val="both"/>
        <w:rPr>
          <w:rFonts w:ascii="Arial" w:eastAsia="Calibri" w:hAnsi="Arial" w:cs="Arial"/>
          <w:sz w:val="20"/>
          <w:szCs w:val="20"/>
        </w:rPr>
      </w:pPr>
      <w:r w:rsidRPr="009B46BF">
        <w:rPr>
          <w:rFonts w:ascii="Arial" w:eastAsia="Calibri" w:hAnsi="Arial" w:cs="Arial"/>
          <w:sz w:val="20"/>
          <w:szCs w:val="20"/>
        </w:rPr>
        <w:t xml:space="preserve">izdataka za otplate zajmova korištenih za investicije </w:t>
      </w:r>
    </w:p>
    <w:p w14:paraId="5A3603B7" w14:textId="77777777" w:rsidR="00A9552A" w:rsidRPr="009B46BF" w:rsidRDefault="00A9552A">
      <w:pPr>
        <w:numPr>
          <w:ilvl w:val="0"/>
          <w:numId w:val="8"/>
        </w:numPr>
        <w:spacing w:after="0" w:line="240" w:lineRule="auto"/>
        <w:contextualSpacing/>
        <w:jc w:val="both"/>
        <w:rPr>
          <w:rFonts w:ascii="Arial" w:eastAsia="Calibri" w:hAnsi="Arial" w:cs="Arial"/>
          <w:sz w:val="20"/>
          <w:szCs w:val="20"/>
        </w:rPr>
      </w:pPr>
      <w:r w:rsidRPr="009B46BF">
        <w:rPr>
          <w:rFonts w:ascii="Arial" w:eastAsia="Calibri" w:hAnsi="Arial" w:cs="Arial"/>
          <w:sz w:val="20"/>
          <w:szCs w:val="20"/>
        </w:rPr>
        <w:t>programe održavanja komunalne infrastrukture, građenje objekata i uređaja komunalne infrastrukture, te drugih objekata javne namjene iz područja socijale, predškolskog odgoja, školstva i drugo.</w:t>
      </w:r>
    </w:p>
    <w:p w14:paraId="65396509" w14:textId="77777777" w:rsidR="00A9552A" w:rsidRPr="009B46BF" w:rsidRDefault="00A9552A" w:rsidP="00F80FFA">
      <w:pPr>
        <w:spacing w:after="0" w:line="240" w:lineRule="auto"/>
        <w:ind w:left="720"/>
        <w:rPr>
          <w:rFonts w:ascii="Arial" w:eastAsia="Calibri" w:hAnsi="Arial" w:cs="Arial"/>
          <w:sz w:val="20"/>
          <w:szCs w:val="20"/>
        </w:rPr>
      </w:pPr>
    </w:p>
    <w:p w14:paraId="65E5F723" w14:textId="77777777" w:rsidR="00A9552A" w:rsidRPr="009B46BF" w:rsidRDefault="00A9552A">
      <w:pPr>
        <w:numPr>
          <w:ilvl w:val="0"/>
          <w:numId w:val="8"/>
        </w:numPr>
        <w:spacing w:after="0" w:line="240" w:lineRule="auto"/>
        <w:jc w:val="both"/>
        <w:rPr>
          <w:rFonts w:ascii="Arial" w:eastAsia="Calibri" w:hAnsi="Arial" w:cs="Arial"/>
          <w:sz w:val="20"/>
          <w:szCs w:val="20"/>
        </w:rPr>
      </w:pPr>
      <w:r w:rsidRPr="009B46BF">
        <w:rPr>
          <w:rFonts w:ascii="Arial" w:eastAsia="Calibri" w:hAnsi="Arial" w:cs="Arial"/>
          <w:sz w:val="20"/>
          <w:szCs w:val="20"/>
        </w:rPr>
        <w:t xml:space="preserve">U okviru upravnog odjela rashodi za jednog proračunska korisnika u nadležnosti odjela prikazani su u tablici u nastavku. </w:t>
      </w:r>
    </w:p>
    <w:p w14:paraId="155D5E61" w14:textId="16E97407" w:rsidR="009B3277" w:rsidRPr="00EE7CC4" w:rsidRDefault="009B3277" w:rsidP="00A9552A">
      <w:pPr>
        <w:pStyle w:val="Odlomakpopisa"/>
        <w:ind w:left="1068"/>
        <w:contextualSpacing/>
        <w:rPr>
          <w:rFonts w:ascii="Arial" w:eastAsia="Calibri" w:hAnsi="Arial" w:cs="Arial"/>
          <w:sz w:val="14"/>
          <w:szCs w:val="14"/>
          <w:u w:val="single"/>
        </w:rPr>
      </w:pPr>
    </w:p>
    <w:p w14:paraId="595E6D79" w14:textId="37D8BE26" w:rsidR="009B3277" w:rsidRPr="007E7FDB" w:rsidRDefault="00EE7CC4" w:rsidP="00EE7CC4">
      <w:pPr>
        <w:pStyle w:val="Odlomakpopisa"/>
        <w:ind w:left="142"/>
        <w:contextualSpacing/>
        <w:rPr>
          <w:rFonts w:ascii="Arial" w:eastAsia="Calibri" w:hAnsi="Arial" w:cs="Arial"/>
          <w:sz w:val="16"/>
          <w:szCs w:val="16"/>
          <w:u w:val="single"/>
        </w:rPr>
      </w:pPr>
      <w:r w:rsidRPr="00EE7CC4">
        <w:rPr>
          <w:rFonts w:eastAsia="Calibri"/>
          <w:noProof/>
        </w:rPr>
        <w:drawing>
          <wp:inline distT="0" distB="0" distL="0" distR="0" wp14:anchorId="4C49C0C4" wp14:editId="115221DA">
            <wp:extent cx="9251950" cy="1249045"/>
            <wp:effectExtent l="0" t="0" r="6350" b="8255"/>
            <wp:docPr id="775032323"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9251950" cy="1249045"/>
                    </a:xfrm>
                    <a:prstGeom prst="rect">
                      <a:avLst/>
                    </a:prstGeom>
                    <a:noFill/>
                    <a:ln>
                      <a:noFill/>
                    </a:ln>
                  </pic:spPr>
                </pic:pic>
              </a:graphicData>
            </a:graphic>
          </wp:inline>
        </w:drawing>
      </w:r>
    </w:p>
    <w:p w14:paraId="06AC23A7" w14:textId="0C7D3121" w:rsidR="00A9552A" w:rsidRPr="003A2F86" w:rsidRDefault="00A9552A" w:rsidP="00A9552A">
      <w:pPr>
        <w:pStyle w:val="Odlomakpopisa"/>
        <w:ind w:left="1068"/>
        <w:contextualSpacing/>
        <w:rPr>
          <w:rFonts w:ascii="Arial" w:eastAsia="Calibri" w:hAnsi="Arial" w:cs="Arial"/>
          <w:u w:val="single"/>
        </w:rPr>
      </w:pPr>
      <w:r w:rsidRPr="003A2F86">
        <w:rPr>
          <w:rFonts w:ascii="Arial" w:eastAsia="Calibri" w:hAnsi="Arial" w:cs="Arial"/>
          <w:u w:val="single"/>
        </w:rPr>
        <w:t>Višak / manjak prihoda:</w:t>
      </w:r>
    </w:p>
    <w:p w14:paraId="309E9DE0" w14:textId="77777777" w:rsidR="00676A9B" w:rsidRDefault="00A9552A">
      <w:pPr>
        <w:pStyle w:val="Odlomakpopisa"/>
        <w:numPr>
          <w:ilvl w:val="0"/>
          <w:numId w:val="8"/>
        </w:numPr>
        <w:autoSpaceDE w:val="0"/>
        <w:autoSpaceDN w:val="0"/>
        <w:adjustRightInd w:val="0"/>
        <w:contextualSpacing/>
        <w:rPr>
          <w:rFonts w:ascii="Arial" w:eastAsia="Calibri" w:hAnsi="Arial" w:cs="Arial"/>
        </w:rPr>
      </w:pPr>
      <w:r w:rsidRPr="007B4373">
        <w:rPr>
          <w:rFonts w:ascii="Arial" w:eastAsia="Calibri" w:hAnsi="Arial" w:cs="Arial"/>
        </w:rPr>
        <w:t>u financijskom planu ovog razdjela iskazani manjak prihoda podmiruje se iz izvora opći prihodi i primici te se u financijskom planu razdjela iskazuje kao prihod na 671 čime dolazi do uravnoteženosti financijskog plana. U godinama u kojima se ostvaruje višak prihoda isti koriste drugi upravni odjeli.</w:t>
      </w:r>
      <w:bookmarkEnd w:id="471"/>
    </w:p>
    <w:p w14:paraId="616609F2" w14:textId="77777777" w:rsidR="00676A9B" w:rsidRDefault="00676A9B" w:rsidP="00676A9B">
      <w:pPr>
        <w:autoSpaceDE w:val="0"/>
        <w:autoSpaceDN w:val="0"/>
        <w:adjustRightInd w:val="0"/>
        <w:contextualSpacing/>
        <w:rPr>
          <w:rFonts w:ascii="Arial" w:eastAsia="Calibri" w:hAnsi="Arial" w:cs="Arial"/>
        </w:rPr>
      </w:pPr>
    </w:p>
    <w:p w14:paraId="2EB7EFAD" w14:textId="77777777" w:rsidR="00676A9B" w:rsidRPr="003A2F86" w:rsidRDefault="00676A9B">
      <w:pPr>
        <w:numPr>
          <w:ilvl w:val="0"/>
          <w:numId w:val="26"/>
        </w:numPr>
        <w:pBdr>
          <w:top w:val="single" w:sz="4" w:space="1" w:color="auto"/>
          <w:left w:val="single" w:sz="4" w:space="4" w:color="auto"/>
          <w:bottom w:val="single" w:sz="4" w:space="1" w:color="auto"/>
          <w:right w:val="single" w:sz="4" w:space="4" w:color="auto"/>
        </w:pBdr>
        <w:shd w:val="clear" w:color="auto" w:fill="DBE5F1" w:themeFill="accent1" w:themeFillTint="33"/>
        <w:spacing w:after="0" w:line="240" w:lineRule="auto"/>
        <w:jc w:val="both"/>
        <w:rPr>
          <w:rFonts w:ascii="Arial" w:eastAsia="Calibri" w:hAnsi="Arial" w:cs="Arial"/>
          <w:b/>
        </w:rPr>
      </w:pPr>
      <w:r w:rsidRPr="003A2F86">
        <w:rPr>
          <w:rFonts w:ascii="Arial" w:eastAsia="Calibri" w:hAnsi="Arial" w:cs="Arial"/>
          <w:b/>
        </w:rPr>
        <w:t>OBRAZLOŽENJE POSEBNOG DIJELA FINANCIJSKOG PLANA</w:t>
      </w:r>
    </w:p>
    <w:p w14:paraId="617297F6" w14:textId="77777777" w:rsidR="00676A9B" w:rsidRPr="003A2F86" w:rsidRDefault="00676A9B" w:rsidP="00676A9B">
      <w:pPr>
        <w:spacing w:after="0" w:line="240" w:lineRule="auto"/>
        <w:rPr>
          <w:rFonts w:ascii="Arial" w:eastAsia="Calibri" w:hAnsi="Arial" w:cs="Arial"/>
          <w:b/>
        </w:rPr>
      </w:pPr>
    </w:p>
    <w:p w14:paraId="043CA996" w14:textId="77777777" w:rsidR="00676A9B" w:rsidRPr="003A2F86" w:rsidRDefault="00676A9B" w:rsidP="00676A9B">
      <w:pPr>
        <w:spacing w:after="0" w:line="240" w:lineRule="auto"/>
        <w:ind w:left="210" w:right="544"/>
        <w:jc w:val="both"/>
        <w:rPr>
          <w:rFonts w:ascii="Arial" w:eastAsia="Calibri" w:hAnsi="Arial" w:cs="Arial"/>
          <w:sz w:val="20"/>
          <w:szCs w:val="20"/>
        </w:rPr>
      </w:pPr>
      <w:r w:rsidRPr="003A2F86">
        <w:rPr>
          <w:rFonts w:ascii="Arial" w:eastAsia="Calibri" w:hAnsi="Arial" w:cs="Arial"/>
          <w:sz w:val="20"/>
          <w:szCs w:val="20"/>
        </w:rPr>
        <w:t>Posebni dio financijskog plana iskazuje rashode i izdatke po organizacijskoj klasifikaciji, po ekonomskoj i programskoj klasifikaciji, te izvorima financiranja.</w:t>
      </w:r>
    </w:p>
    <w:p w14:paraId="2642A494" w14:textId="77777777" w:rsidR="00676A9B" w:rsidRPr="003A2F86" w:rsidRDefault="00676A9B" w:rsidP="00676A9B">
      <w:pPr>
        <w:autoSpaceDE w:val="0"/>
        <w:autoSpaceDN w:val="0"/>
        <w:adjustRightInd w:val="0"/>
        <w:spacing w:after="0" w:line="240" w:lineRule="auto"/>
        <w:ind w:firstLine="357"/>
        <w:jc w:val="both"/>
        <w:rPr>
          <w:rFonts w:ascii="Arial" w:eastAsia="Calibri" w:hAnsi="Arial" w:cs="Arial"/>
          <w:sz w:val="20"/>
          <w:szCs w:val="20"/>
        </w:rPr>
      </w:pPr>
    </w:p>
    <w:p w14:paraId="1D802A3D" w14:textId="77777777" w:rsidR="00184A8E" w:rsidRPr="00184A8E" w:rsidRDefault="00184A8E" w:rsidP="00184A8E">
      <w:pPr>
        <w:keepNext/>
        <w:spacing w:after="0" w:line="240" w:lineRule="auto"/>
        <w:jc w:val="center"/>
        <w:outlineLvl w:val="3"/>
        <w:rPr>
          <w:rFonts w:ascii="Times New Roman" w:eastAsia="Calibri" w:hAnsi="Times New Roman" w:cs="Times New Roman"/>
          <w:b/>
          <w:szCs w:val="20"/>
          <w:lang w:eastAsia="en-US"/>
        </w:rPr>
      </w:pPr>
      <w:bookmarkStart w:id="472" w:name="_Toc200628520"/>
      <w:bookmarkStart w:id="473" w:name="_Toc232981452"/>
      <w:r w:rsidRPr="00184A8E">
        <w:rPr>
          <w:rFonts w:ascii="Times New Roman" w:eastAsia="Calibri" w:hAnsi="Times New Roman" w:cs="Times New Roman"/>
          <w:b/>
          <w:szCs w:val="20"/>
          <w:lang w:eastAsia="en-US"/>
        </w:rPr>
        <w:t>3.3.3.1.</w:t>
      </w:r>
      <w:r w:rsidRPr="00184A8E">
        <w:rPr>
          <w:rFonts w:ascii="Times New Roman" w:eastAsia="Calibri" w:hAnsi="Times New Roman" w:cs="Times New Roman"/>
          <w:b/>
          <w:szCs w:val="20"/>
          <w:lang w:eastAsia="en-US"/>
        </w:rPr>
        <w:tab/>
        <w:t>GLAVA: (030 01) UO ZA KOMUNALNI SUSTAV I GOSPODARENJE NEKRETNINAMA</w:t>
      </w:r>
      <w:bookmarkEnd w:id="472"/>
      <w:bookmarkEnd w:id="473"/>
    </w:p>
    <w:p w14:paraId="58E123E6" w14:textId="77777777" w:rsidR="00184A8E" w:rsidRPr="00184A8E" w:rsidRDefault="00184A8E" w:rsidP="00184A8E">
      <w:pPr>
        <w:spacing w:after="0" w:line="240" w:lineRule="auto"/>
        <w:rPr>
          <w:rFonts w:ascii="Times New Roman" w:eastAsia="Calibri" w:hAnsi="Times New Roman" w:cs="Arial"/>
          <w:sz w:val="20"/>
          <w:szCs w:val="20"/>
        </w:rPr>
      </w:pPr>
    </w:p>
    <w:p w14:paraId="502B222B" w14:textId="77777777" w:rsidR="00184A8E" w:rsidRPr="00184A8E" w:rsidRDefault="00184A8E" w:rsidP="00184A8E">
      <w:pPr>
        <w:spacing w:after="0" w:line="240" w:lineRule="auto"/>
        <w:rPr>
          <w:rFonts w:ascii="Arial" w:eastAsia="Calibri" w:hAnsi="Arial" w:cs="Arial"/>
          <w:sz w:val="20"/>
          <w:szCs w:val="20"/>
        </w:rPr>
      </w:pPr>
      <w:r w:rsidRPr="00184A8E">
        <w:rPr>
          <w:rFonts w:ascii="Arial" w:eastAsia="Calibri" w:hAnsi="Arial" w:cs="Arial"/>
          <w:sz w:val="20"/>
          <w:szCs w:val="20"/>
        </w:rPr>
        <w:t>Unutar razdjela 030, glave (030 01) izvode se slijedeći programi:</w:t>
      </w:r>
    </w:p>
    <w:p w14:paraId="21CAAFE1" w14:textId="77777777" w:rsidR="00184A8E" w:rsidRPr="00184A8E" w:rsidRDefault="00184A8E" w:rsidP="00184A8E">
      <w:pPr>
        <w:spacing w:after="0" w:line="240" w:lineRule="auto"/>
        <w:jc w:val="both"/>
        <w:rPr>
          <w:rFonts w:ascii="Arial" w:eastAsia="Times New Roman" w:hAnsi="Arial" w:cs="Arial"/>
          <w:sz w:val="16"/>
          <w:szCs w:val="20"/>
          <w:lang w:eastAsia="en-US"/>
        </w:rPr>
      </w:pPr>
    </w:p>
    <w:tbl>
      <w:tblPr>
        <w:tblW w:w="1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01"/>
        <w:gridCol w:w="754"/>
        <w:gridCol w:w="11765"/>
      </w:tblGrid>
      <w:tr w:rsidR="00184A8E" w:rsidRPr="00184A8E" w14:paraId="526CCE53" w14:textId="77777777" w:rsidTr="00410A4B">
        <w:tc>
          <w:tcPr>
            <w:tcW w:w="1401" w:type="dxa"/>
            <w:shd w:val="solid" w:color="B4B4B4" w:fill="auto"/>
          </w:tcPr>
          <w:p w14:paraId="77C9FF8F"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1B5E1354"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2012</w:t>
            </w:r>
          </w:p>
        </w:tc>
        <w:tc>
          <w:tcPr>
            <w:tcW w:w="11765" w:type="dxa"/>
            <w:shd w:val="solid" w:color="B4B4B4" w:fill="auto"/>
          </w:tcPr>
          <w:p w14:paraId="03183318"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Jamstveni fond i otplate kredita</w:t>
            </w:r>
          </w:p>
        </w:tc>
      </w:tr>
      <w:tr w:rsidR="00184A8E" w:rsidRPr="00184A8E" w14:paraId="7300261D" w14:textId="77777777" w:rsidTr="00410A4B">
        <w:tc>
          <w:tcPr>
            <w:tcW w:w="1401" w:type="dxa"/>
            <w:shd w:val="solid" w:color="B4B4B4" w:fill="auto"/>
          </w:tcPr>
          <w:p w14:paraId="33341F3F"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719F7D3D"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2072</w:t>
            </w:r>
          </w:p>
        </w:tc>
        <w:tc>
          <w:tcPr>
            <w:tcW w:w="11765" w:type="dxa"/>
            <w:shd w:val="solid" w:color="B4B4B4" w:fill="auto"/>
          </w:tcPr>
          <w:p w14:paraId="0E9486B2"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Redovan rad udruga za vatrogastvo</w:t>
            </w:r>
          </w:p>
        </w:tc>
      </w:tr>
      <w:tr w:rsidR="00184A8E" w:rsidRPr="00184A8E" w14:paraId="652A5FF2" w14:textId="77777777" w:rsidTr="00410A4B">
        <w:tc>
          <w:tcPr>
            <w:tcW w:w="1401" w:type="dxa"/>
            <w:shd w:val="solid" w:color="B4B4B4" w:fill="auto"/>
          </w:tcPr>
          <w:p w14:paraId="67C3235D"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4430984D"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2073</w:t>
            </w:r>
          </w:p>
        </w:tc>
        <w:tc>
          <w:tcPr>
            <w:tcW w:w="11765" w:type="dxa"/>
            <w:shd w:val="solid" w:color="B4B4B4" w:fill="auto"/>
          </w:tcPr>
          <w:p w14:paraId="174FA2EF"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Pripremne aktivnosti u protupožarnoj zaštiti, te zaštita i spašavanje</w:t>
            </w:r>
          </w:p>
        </w:tc>
      </w:tr>
      <w:tr w:rsidR="00184A8E" w:rsidRPr="00184A8E" w14:paraId="7DCEC8AD" w14:textId="77777777" w:rsidTr="00410A4B">
        <w:tc>
          <w:tcPr>
            <w:tcW w:w="1401" w:type="dxa"/>
            <w:shd w:val="solid" w:color="B4B4B4" w:fill="auto"/>
          </w:tcPr>
          <w:p w14:paraId="25AFBECD"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623789EC"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2081</w:t>
            </w:r>
          </w:p>
        </w:tc>
        <w:tc>
          <w:tcPr>
            <w:tcW w:w="11765" w:type="dxa"/>
            <w:shd w:val="solid" w:color="B4B4B4" w:fill="auto"/>
          </w:tcPr>
          <w:p w14:paraId="07B31F92"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 prostornog uređenja</w:t>
            </w:r>
          </w:p>
        </w:tc>
      </w:tr>
      <w:tr w:rsidR="00184A8E" w:rsidRPr="00184A8E" w14:paraId="0101D5DF" w14:textId="77777777" w:rsidTr="00410A4B">
        <w:tc>
          <w:tcPr>
            <w:tcW w:w="1401" w:type="dxa"/>
            <w:shd w:val="solid" w:color="B4B4B4" w:fill="auto"/>
          </w:tcPr>
          <w:p w14:paraId="00F58E3C"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675E5129"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2091</w:t>
            </w:r>
          </w:p>
        </w:tc>
        <w:tc>
          <w:tcPr>
            <w:tcW w:w="11765" w:type="dxa"/>
            <w:shd w:val="solid" w:color="B4B4B4" w:fill="auto"/>
          </w:tcPr>
          <w:p w14:paraId="285C8909"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Održavanje komunalne infrastrukture</w:t>
            </w:r>
          </w:p>
        </w:tc>
      </w:tr>
      <w:tr w:rsidR="00184A8E" w:rsidRPr="00184A8E" w14:paraId="1BDA7624" w14:textId="77777777" w:rsidTr="00410A4B">
        <w:tc>
          <w:tcPr>
            <w:tcW w:w="1401" w:type="dxa"/>
            <w:shd w:val="solid" w:color="B4B4B4" w:fill="auto"/>
          </w:tcPr>
          <w:p w14:paraId="3E7676F2"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61BDFED3"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2092</w:t>
            </w:r>
          </w:p>
        </w:tc>
        <w:tc>
          <w:tcPr>
            <w:tcW w:w="11765" w:type="dxa"/>
            <w:shd w:val="solid" w:color="B4B4B4" w:fill="auto"/>
          </w:tcPr>
          <w:p w14:paraId="50E5D2F2"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Gradnja komunalne infrastrukture</w:t>
            </w:r>
          </w:p>
        </w:tc>
      </w:tr>
      <w:tr w:rsidR="00184A8E" w:rsidRPr="00184A8E" w14:paraId="26A3311D" w14:textId="77777777" w:rsidTr="00410A4B">
        <w:tc>
          <w:tcPr>
            <w:tcW w:w="1401" w:type="dxa"/>
            <w:shd w:val="solid" w:color="B4B4B4" w:fill="auto"/>
          </w:tcPr>
          <w:p w14:paraId="26F30FF5"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55B7EB6A"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2093</w:t>
            </w:r>
          </w:p>
        </w:tc>
        <w:tc>
          <w:tcPr>
            <w:tcW w:w="11765" w:type="dxa"/>
            <w:shd w:val="solid" w:color="B4B4B4" w:fill="auto"/>
          </w:tcPr>
          <w:p w14:paraId="0BCF314E"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Izgradnja objekata i uređaja, te nabava opreme za prijevoz putnika, održavanje čistoće, odlaganje komunalnog otpada i tržnice</w:t>
            </w:r>
          </w:p>
        </w:tc>
      </w:tr>
      <w:tr w:rsidR="00184A8E" w:rsidRPr="00184A8E" w14:paraId="70B635FC" w14:textId="77777777" w:rsidTr="00410A4B">
        <w:tc>
          <w:tcPr>
            <w:tcW w:w="1401" w:type="dxa"/>
            <w:shd w:val="solid" w:color="B4B4B4" w:fill="auto"/>
          </w:tcPr>
          <w:p w14:paraId="5D9FECB7"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5B4917BF"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2094</w:t>
            </w:r>
          </w:p>
        </w:tc>
        <w:tc>
          <w:tcPr>
            <w:tcW w:w="11765" w:type="dxa"/>
            <w:shd w:val="solid" w:color="B4B4B4" w:fill="auto"/>
            <w:vAlign w:val="center"/>
          </w:tcPr>
          <w:p w14:paraId="1E20F07A"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Plan gradnje komunalnih vodnih građevina: Izgradnja objekata i uređaja, te nabava opreme za opskrbu pitkom vodom, odvodnja</w:t>
            </w:r>
          </w:p>
        </w:tc>
      </w:tr>
      <w:tr w:rsidR="00184A8E" w:rsidRPr="00184A8E" w14:paraId="522C6235" w14:textId="77777777" w:rsidTr="00410A4B">
        <w:tc>
          <w:tcPr>
            <w:tcW w:w="1401" w:type="dxa"/>
            <w:shd w:val="solid" w:color="B4B4B4" w:fill="auto"/>
          </w:tcPr>
          <w:p w14:paraId="1941F132"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11CECD54"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2095</w:t>
            </w:r>
          </w:p>
        </w:tc>
        <w:tc>
          <w:tcPr>
            <w:tcW w:w="11765" w:type="dxa"/>
            <w:shd w:val="solid" w:color="B4B4B4" w:fill="auto"/>
            <w:vAlign w:val="center"/>
          </w:tcPr>
          <w:p w14:paraId="45A7D1E7"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Energetska učinkovitost</w:t>
            </w:r>
          </w:p>
        </w:tc>
      </w:tr>
      <w:tr w:rsidR="00184A8E" w:rsidRPr="00184A8E" w14:paraId="5B0004AF" w14:textId="77777777" w:rsidTr="00410A4B">
        <w:tc>
          <w:tcPr>
            <w:tcW w:w="1401" w:type="dxa"/>
            <w:shd w:val="solid" w:color="B4B4B4" w:fill="auto"/>
          </w:tcPr>
          <w:p w14:paraId="0BC07C8D"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7276D2E9"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2096</w:t>
            </w:r>
          </w:p>
        </w:tc>
        <w:tc>
          <w:tcPr>
            <w:tcW w:w="11765" w:type="dxa"/>
            <w:shd w:val="solid" w:color="B4B4B4" w:fill="auto"/>
            <w:vAlign w:val="center"/>
          </w:tcPr>
          <w:p w14:paraId="53861C7F"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 gradnje građevina za gospodarenje komunalnim otpadom</w:t>
            </w:r>
          </w:p>
        </w:tc>
      </w:tr>
      <w:tr w:rsidR="00184A8E" w:rsidRPr="00184A8E" w14:paraId="6756FC0B" w14:textId="77777777" w:rsidTr="00410A4B">
        <w:tc>
          <w:tcPr>
            <w:tcW w:w="1401" w:type="dxa"/>
            <w:shd w:val="solid" w:color="B4B4B4" w:fill="auto"/>
          </w:tcPr>
          <w:p w14:paraId="2AC09188"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389BCDB9"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2097</w:t>
            </w:r>
          </w:p>
        </w:tc>
        <w:tc>
          <w:tcPr>
            <w:tcW w:w="11765" w:type="dxa"/>
            <w:shd w:val="solid" w:color="B4B4B4" w:fill="auto"/>
          </w:tcPr>
          <w:p w14:paraId="4C2FF857"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Redovan rad UO za komunalni sustav i gospodarenje nekretninama - povremeni opći troškovi u nadležnosti odjela</w:t>
            </w:r>
          </w:p>
        </w:tc>
      </w:tr>
      <w:tr w:rsidR="00184A8E" w:rsidRPr="00184A8E" w14:paraId="09C92FB9" w14:textId="77777777" w:rsidTr="00410A4B">
        <w:tc>
          <w:tcPr>
            <w:tcW w:w="1401" w:type="dxa"/>
            <w:shd w:val="solid" w:color="B4B4B4" w:fill="auto"/>
          </w:tcPr>
          <w:p w14:paraId="0F10150E"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77047281"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2098</w:t>
            </w:r>
          </w:p>
        </w:tc>
        <w:tc>
          <w:tcPr>
            <w:tcW w:w="11765" w:type="dxa"/>
            <w:shd w:val="solid" w:color="B4B4B4" w:fill="auto"/>
            <w:vAlign w:val="center"/>
          </w:tcPr>
          <w:p w14:paraId="00A9B674"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 gospodarenja otpadom</w:t>
            </w:r>
          </w:p>
        </w:tc>
      </w:tr>
      <w:tr w:rsidR="00184A8E" w:rsidRPr="00184A8E" w14:paraId="6AA8C3AE" w14:textId="77777777" w:rsidTr="00410A4B">
        <w:tc>
          <w:tcPr>
            <w:tcW w:w="1401" w:type="dxa"/>
            <w:shd w:val="solid" w:color="B4B4B4" w:fill="auto"/>
          </w:tcPr>
          <w:p w14:paraId="06388CCD"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427E431E"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2099</w:t>
            </w:r>
          </w:p>
        </w:tc>
        <w:tc>
          <w:tcPr>
            <w:tcW w:w="11765" w:type="dxa"/>
            <w:shd w:val="solid" w:color="B4B4B4" w:fill="auto"/>
            <w:vAlign w:val="center"/>
          </w:tcPr>
          <w:p w14:paraId="00E19F4B"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 sanitarno veterinarskih aktivnosti i zaštita okoliša</w:t>
            </w:r>
          </w:p>
        </w:tc>
      </w:tr>
      <w:tr w:rsidR="00184A8E" w:rsidRPr="00184A8E" w14:paraId="2BE6F29A" w14:textId="77777777" w:rsidTr="00410A4B">
        <w:tc>
          <w:tcPr>
            <w:tcW w:w="1401" w:type="dxa"/>
            <w:shd w:val="solid" w:color="B4B4B4" w:fill="auto"/>
          </w:tcPr>
          <w:p w14:paraId="6767D655"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1596644E"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2101</w:t>
            </w:r>
          </w:p>
        </w:tc>
        <w:tc>
          <w:tcPr>
            <w:tcW w:w="11765" w:type="dxa"/>
            <w:shd w:val="solid" w:color="B4B4B4" w:fill="auto"/>
          </w:tcPr>
          <w:p w14:paraId="4592CD9E"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Izgradnja i uređenje objekata javne namjene – predškolski odgoj i školstvo</w:t>
            </w:r>
          </w:p>
        </w:tc>
      </w:tr>
      <w:tr w:rsidR="00184A8E" w:rsidRPr="00184A8E" w14:paraId="10CAEE58" w14:textId="77777777" w:rsidTr="00410A4B">
        <w:tc>
          <w:tcPr>
            <w:tcW w:w="1401" w:type="dxa"/>
            <w:shd w:val="solid" w:color="B4B4B4" w:fill="auto"/>
          </w:tcPr>
          <w:p w14:paraId="55F5CD5E"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51D47DAB"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2102</w:t>
            </w:r>
          </w:p>
        </w:tc>
        <w:tc>
          <w:tcPr>
            <w:tcW w:w="11765" w:type="dxa"/>
            <w:shd w:val="solid" w:color="B4B4B4" w:fill="auto"/>
          </w:tcPr>
          <w:p w14:paraId="5FE5DFE3"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Izgradnja i uređenje objekata javne namjene - sport</w:t>
            </w:r>
          </w:p>
        </w:tc>
      </w:tr>
      <w:tr w:rsidR="00184A8E" w:rsidRPr="00184A8E" w14:paraId="18AF0396" w14:textId="77777777" w:rsidTr="00410A4B">
        <w:tc>
          <w:tcPr>
            <w:tcW w:w="1401" w:type="dxa"/>
            <w:shd w:val="solid" w:color="B4B4B4" w:fill="auto"/>
          </w:tcPr>
          <w:p w14:paraId="54266881"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60840217"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2103</w:t>
            </w:r>
          </w:p>
        </w:tc>
        <w:tc>
          <w:tcPr>
            <w:tcW w:w="11765" w:type="dxa"/>
            <w:shd w:val="solid" w:color="B4B4B4" w:fill="auto"/>
          </w:tcPr>
          <w:p w14:paraId="43511568"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Izgradnja i uređenje objekata javne namjene – socijalna skrb i zdravstvo</w:t>
            </w:r>
          </w:p>
        </w:tc>
      </w:tr>
      <w:tr w:rsidR="00184A8E" w:rsidRPr="00184A8E" w14:paraId="00FE774E" w14:textId="77777777" w:rsidTr="00410A4B">
        <w:tc>
          <w:tcPr>
            <w:tcW w:w="1401" w:type="dxa"/>
            <w:shd w:val="solid" w:color="B4B4B4" w:fill="auto"/>
          </w:tcPr>
          <w:p w14:paraId="0D294BF1"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045303BE"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2104</w:t>
            </w:r>
          </w:p>
        </w:tc>
        <w:tc>
          <w:tcPr>
            <w:tcW w:w="11765" w:type="dxa"/>
            <w:shd w:val="solid" w:color="B4B4B4" w:fill="auto"/>
          </w:tcPr>
          <w:p w14:paraId="7FC3436C"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Izgradnja i uređenje objekata javne namjene – kultura, turizam i religija</w:t>
            </w:r>
          </w:p>
        </w:tc>
      </w:tr>
      <w:tr w:rsidR="00184A8E" w:rsidRPr="00184A8E" w14:paraId="28514C04" w14:textId="77777777" w:rsidTr="00410A4B">
        <w:tc>
          <w:tcPr>
            <w:tcW w:w="1401" w:type="dxa"/>
            <w:shd w:val="solid" w:color="B4B4B4" w:fill="auto"/>
          </w:tcPr>
          <w:p w14:paraId="3D33A28F"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00F01CC6"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2105</w:t>
            </w:r>
          </w:p>
        </w:tc>
        <w:tc>
          <w:tcPr>
            <w:tcW w:w="11765" w:type="dxa"/>
            <w:shd w:val="solid" w:color="B4B4B4" w:fill="auto"/>
          </w:tcPr>
          <w:p w14:paraId="168C8830"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Kapitalna ulaganja u poslovne i druge objekte, nabava imovine i projekti</w:t>
            </w:r>
          </w:p>
        </w:tc>
      </w:tr>
      <w:tr w:rsidR="00184A8E" w:rsidRPr="00184A8E" w14:paraId="2D9FAE5F" w14:textId="77777777" w:rsidTr="00410A4B">
        <w:tc>
          <w:tcPr>
            <w:tcW w:w="1401" w:type="dxa"/>
            <w:shd w:val="solid" w:color="B4B4B4" w:fill="auto"/>
          </w:tcPr>
          <w:p w14:paraId="51DE0BBB"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4E74F80F"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2106</w:t>
            </w:r>
          </w:p>
        </w:tc>
        <w:tc>
          <w:tcPr>
            <w:tcW w:w="11765" w:type="dxa"/>
            <w:shd w:val="solid" w:color="B4B4B4" w:fill="auto"/>
          </w:tcPr>
          <w:p w14:paraId="785D47FD"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Izgradnja i uređenje objekata javne namjene – pomorsko dobro</w:t>
            </w:r>
          </w:p>
        </w:tc>
      </w:tr>
      <w:tr w:rsidR="00184A8E" w:rsidRPr="00184A8E" w14:paraId="3A766F71" w14:textId="77777777" w:rsidTr="00410A4B">
        <w:tc>
          <w:tcPr>
            <w:tcW w:w="1401" w:type="dxa"/>
            <w:shd w:val="solid" w:color="B4B4B4" w:fill="auto"/>
          </w:tcPr>
          <w:p w14:paraId="61F136EB"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754" w:type="dxa"/>
            <w:shd w:val="solid" w:color="B4B4B4" w:fill="auto"/>
          </w:tcPr>
          <w:p w14:paraId="7DD4CF5A"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2109</w:t>
            </w:r>
          </w:p>
        </w:tc>
        <w:tc>
          <w:tcPr>
            <w:tcW w:w="11765" w:type="dxa"/>
            <w:shd w:val="solid" w:color="B4B4B4" w:fill="auto"/>
          </w:tcPr>
          <w:p w14:paraId="6823A4CE" w14:textId="77777777" w:rsidR="00184A8E" w:rsidRPr="00184A8E" w:rsidRDefault="00184A8E" w:rsidP="00184A8E">
            <w:pPr>
              <w:shd w:val="clear" w:color="auto" w:fill="D9D9D9" w:themeFill="background1" w:themeFillShade="D9"/>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Razvoj i sigurnost prometa</w:t>
            </w:r>
          </w:p>
        </w:tc>
      </w:tr>
    </w:tbl>
    <w:p w14:paraId="6C9E1E83" w14:textId="77777777" w:rsidR="00184A8E" w:rsidRPr="00184A8E" w:rsidRDefault="00184A8E" w:rsidP="00184A8E">
      <w:pPr>
        <w:spacing w:after="0" w:line="240" w:lineRule="auto"/>
        <w:jc w:val="both"/>
        <w:rPr>
          <w:rFonts w:ascii="Arial" w:eastAsia="Calibri" w:hAnsi="Arial" w:cs="Arial"/>
          <w:sz w:val="20"/>
          <w:szCs w:val="20"/>
        </w:rPr>
      </w:pPr>
    </w:p>
    <w:p w14:paraId="090566FA" w14:textId="77777777" w:rsidR="00184A8E" w:rsidRPr="00184A8E" w:rsidRDefault="00184A8E" w:rsidP="00184A8E">
      <w:pPr>
        <w:spacing w:after="0" w:line="240" w:lineRule="auto"/>
        <w:jc w:val="both"/>
        <w:rPr>
          <w:rFonts w:ascii="Arial" w:eastAsia="Calibri" w:hAnsi="Arial" w:cs="Arial"/>
          <w:sz w:val="20"/>
          <w:szCs w:val="20"/>
        </w:rPr>
      </w:pPr>
    </w:p>
    <w:p w14:paraId="2F4C4124" w14:textId="77777777" w:rsidR="00184A8E" w:rsidRPr="00184A8E" w:rsidRDefault="00184A8E" w:rsidP="00184A8E">
      <w:pPr>
        <w:spacing w:after="0" w:line="240" w:lineRule="auto"/>
        <w:jc w:val="both"/>
        <w:rPr>
          <w:rFonts w:ascii="Arial" w:eastAsia="Calibri" w:hAnsi="Arial" w:cs="Arial"/>
          <w:sz w:val="20"/>
          <w:szCs w:val="20"/>
        </w:rPr>
      </w:pPr>
    </w:p>
    <w:p w14:paraId="1B6BBE06" w14:textId="77777777" w:rsidR="00184A8E" w:rsidRPr="00184A8E" w:rsidRDefault="00184A8E" w:rsidP="00184A8E">
      <w:pPr>
        <w:spacing w:after="0" w:line="240" w:lineRule="auto"/>
        <w:jc w:val="both"/>
        <w:rPr>
          <w:rFonts w:ascii="Arial" w:eastAsia="Calibri" w:hAnsi="Arial" w:cs="Arial"/>
          <w:sz w:val="20"/>
          <w:szCs w:val="20"/>
        </w:rPr>
      </w:pPr>
    </w:p>
    <w:p w14:paraId="0F65ABA6" w14:textId="77777777" w:rsidR="00184A8E" w:rsidRPr="00184A8E" w:rsidRDefault="00184A8E" w:rsidP="00184A8E">
      <w:pPr>
        <w:spacing w:after="0" w:line="240" w:lineRule="auto"/>
        <w:jc w:val="both"/>
        <w:rPr>
          <w:rFonts w:ascii="Arial" w:eastAsia="Calibri" w:hAnsi="Arial" w:cs="Arial"/>
          <w:sz w:val="20"/>
          <w:szCs w:val="20"/>
        </w:rPr>
      </w:pPr>
    </w:p>
    <w:p w14:paraId="4A76AD03" w14:textId="77777777" w:rsidR="00184A8E" w:rsidRPr="00184A8E" w:rsidRDefault="00184A8E" w:rsidP="00184A8E">
      <w:pPr>
        <w:spacing w:after="0" w:line="240" w:lineRule="auto"/>
        <w:jc w:val="both"/>
        <w:rPr>
          <w:rFonts w:ascii="Arial" w:eastAsia="Calibri" w:hAnsi="Arial" w:cs="Arial"/>
          <w:sz w:val="20"/>
          <w:szCs w:val="20"/>
        </w:rPr>
      </w:pPr>
    </w:p>
    <w:p w14:paraId="45D81E49" w14:textId="77777777" w:rsidR="00184A8E" w:rsidRPr="00184A8E" w:rsidRDefault="00184A8E" w:rsidP="00184A8E">
      <w:pPr>
        <w:spacing w:after="0" w:line="240" w:lineRule="auto"/>
        <w:jc w:val="both"/>
        <w:rPr>
          <w:rFonts w:ascii="Arial" w:eastAsia="Calibri" w:hAnsi="Arial" w:cs="Arial"/>
          <w:sz w:val="20"/>
          <w:szCs w:val="20"/>
        </w:rPr>
      </w:pPr>
    </w:p>
    <w:p w14:paraId="0F0EBA54" w14:textId="77777777" w:rsidR="00184A8E" w:rsidRPr="00184A8E" w:rsidRDefault="00184A8E" w:rsidP="00184A8E">
      <w:pPr>
        <w:spacing w:after="0" w:line="240" w:lineRule="auto"/>
        <w:jc w:val="both"/>
        <w:rPr>
          <w:rFonts w:ascii="Arial" w:eastAsia="Calibri" w:hAnsi="Arial" w:cs="Arial"/>
          <w:sz w:val="20"/>
          <w:szCs w:val="20"/>
        </w:rPr>
      </w:pPr>
    </w:p>
    <w:p w14:paraId="430ED9E5" w14:textId="77777777" w:rsidR="00184A8E" w:rsidRPr="00184A8E" w:rsidRDefault="00184A8E" w:rsidP="00184A8E">
      <w:pPr>
        <w:spacing w:after="0" w:line="240" w:lineRule="auto"/>
        <w:jc w:val="both"/>
        <w:rPr>
          <w:rFonts w:ascii="Arial" w:eastAsia="Calibri" w:hAnsi="Arial" w:cs="Arial"/>
          <w:sz w:val="20"/>
          <w:szCs w:val="20"/>
        </w:rPr>
      </w:pPr>
    </w:p>
    <w:p w14:paraId="2BC9F491" w14:textId="77777777" w:rsidR="00184A8E" w:rsidRPr="00184A8E" w:rsidRDefault="00184A8E" w:rsidP="00184A8E">
      <w:pPr>
        <w:spacing w:after="0" w:line="240" w:lineRule="auto"/>
        <w:jc w:val="both"/>
        <w:rPr>
          <w:rFonts w:ascii="Arial" w:eastAsia="Calibri" w:hAnsi="Arial" w:cs="Arial"/>
          <w:sz w:val="20"/>
          <w:szCs w:val="20"/>
        </w:rPr>
      </w:pPr>
    </w:p>
    <w:p w14:paraId="7DB8385D"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474" w:name="_Toc200628521"/>
      <w:bookmarkStart w:id="475" w:name="_Toc232981453"/>
      <w:r w:rsidRPr="00184A8E">
        <w:rPr>
          <w:rFonts w:ascii="Times New Roman" w:eastAsia="Calibri" w:hAnsi="Times New Roman" w:cs="Times New Roman"/>
          <w:b/>
          <w:sz w:val="24"/>
          <w:szCs w:val="20"/>
          <w:lang w:eastAsia="en-US"/>
        </w:rPr>
        <w:lastRenderedPageBreak/>
        <w:t>Program (2012): Jamstveni fond i otplate kredita</w:t>
      </w:r>
      <w:bookmarkEnd w:id="474"/>
      <w:bookmarkEnd w:id="475"/>
    </w:p>
    <w:p w14:paraId="1F5731E3" w14:textId="77777777" w:rsidR="00184A8E" w:rsidRPr="00184A8E" w:rsidRDefault="00184A8E" w:rsidP="00184A8E">
      <w:pPr>
        <w:spacing w:after="0" w:line="240" w:lineRule="auto"/>
        <w:jc w:val="both"/>
        <w:rPr>
          <w:rFonts w:ascii="Arial" w:eastAsia="Times New Roman" w:hAnsi="Arial" w:cs="Arial"/>
          <w:sz w:val="16"/>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2757"/>
      </w:tblGrid>
      <w:tr w:rsidR="00184A8E" w:rsidRPr="00184A8E" w14:paraId="07B5DFE1" w14:textId="77777777" w:rsidTr="00410A4B">
        <w:tc>
          <w:tcPr>
            <w:tcW w:w="1668" w:type="dxa"/>
            <w:tcBorders>
              <w:top w:val="dotted" w:sz="4" w:space="0" w:color="auto"/>
              <w:left w:val="dotted" w:sz="4" w:space="0" w:color="auto"/>
              <w:bottom w:val="dotted" w:sz="4" w:space="0" w:color="auto"/>
              <w:right w:val="dotted" w:sz="4" w:space="0" w:color="auto"/>
            </w:tcBorders>
          </w:tcPr>
          <w:p w14:paraId="6F218CBB"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757" w:type="dxa"/>
            <w:tcBorders>
              <w:top w:val="dotted" w:sz="4" w:space="0" w:color="auto"/>
              <w:left w:val="dotted" w:sz="4" w:space="0" w:color="auto"/>
              <w:bottom w:val="dotted" w:sz="4" w:space="0" w:color="auto"/>
              <w:right w:val="dotted" w:sz="4" w:space="0" w:color="auto"/>
            </w:tcBorders>
            <w:vAlign w:val="bottom"/>
          </w:tcPr>
          <w:p w14:paraId="7520D5C5"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Cilj programa je osiguravanje financijskih sredstava za otplate kamata i glavnice za primljene kredite, kao i jamstvene zalihe za dana društvima u vlasništvu Općine.</w:t>
            </w:r>
          </w:p>
        </w:tc>
      </w:tr>
      <w:tr w:rsidR="00184A8E" w:rsidRPr="00184A8E" w14:paraId="483D3CAF" w14:textId="77777777" w:rsidTr="00410A4B">
        <w:tc>
          <w:tcPr>
            <w:tcW w:w="1668" w:type="dxa"/>
            <w:tcBorders>
              <w:top w:val="dotted" w:sz="4" w:space="0" w:color="auto"/>
              <w:left w:val="dotted" w:sz="4" w:space="0" w:color="auto"/>
              <w:bottom w:val="dotted" w:sz="4" w:space="0" w:color="auto"/>
              <w:right w:val="dotted" w:sz="4" w:space="0" w:color="auto"/>
            </w:tcBorders>
          </w:tcPr>
          <w:p w14:paraId="675A7136" w14:textId="77777777" w:rsidR="00184A8E" w:rsidRPr="00184A8E" w:rsidRDefault="00184A8E" w:rsidP="00184A8E">
            <w:pPr>
              <w:spacing w:after="0" w:line="240" w:lineRule="auto"/>
              <w:rPr>
                <w:rFonts w:ascii="Arial" w:eastAsia="Calibri" w:hAnsi="Arial" w:cs="Arial"/>
                <w:sz w:val="20"/>
                <w:szCs w:val="20"/>
                <w:lang w:eastAsia="en-US"/>
              </w:rPr>
            </w:pPr>
            <w:r w:rsidRPr="00184A8E">
              <w:rPr>
                <w:rFonts w:ascii="Arial" w:eastAsia="Calibri" w:hAnsi="Arial" w:cs="Arial"/>
                <w:sz w:val="20"/>
                <w:szCs w:val="20"/>
                <w:lang w:eastAsia="en-US"/>
              </w:rPr>
              <w:t>ZAKONSKE I DRUGE PRAVNE OSNOVE PROGRAMA:</w:t>
            </w:r>
          </w:p>
        </w:tc>
        <w:tc>
          <w:tcPr>
            <w:tcW w:w="12757" w:type="dxa"/>
            <w:tcBorders>
              <w:top w:val="dotted" w:sz="4" w:space="0" w:color="auto"/>
              <w:left w:val="dotted" w:sz="4" w:space="0" w:color="auto"/>
              <w:bottom w:val="dotted" w:sz="4" w:space="0" w:color="auto"/>
              <w:right w:val="dotted" w:sz="4" w:space="0" w:color="auto"/>
            </w:tcBorders>
          </w:tcPr>
          <w:p w14:paraId="13B6007B" w14:textId="65F047E6"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rPr>
              <w:t>Zakon o lokalnoj i područnoj (regionalnoj) samoupravi (NN 33/01, 60/01, 129/05, 109/07, 125/08, 36/09, 150/11, 144/12, 19/13, 137/15, 98/19, 144/20), Zakon o proračunu (144/21), Pravilnik o postupku dugoročnog zaduživanja te davanju jamstava i suglasnosti jedinica lokalne i područne (regionalne) samouprave (Narodne novine 67/22), Zakon o javnoj nabavi (Narodne novine 120/16, 114/22</w:t>
            </w:r>
            <w:r w:rsidR="00EE7CC4">
              <w:rPr>
                <w:rFonts w:ascii="Arial" w:eastAsia="Calibri" w:hAnsi="Arial" w:cs="Arial"/>
                <w:sz w:val="20"/>
                <w:szCs w:val="20"/>
              </w:rPr>
              <w:t>, 48/26</w:t>
            </w:r>
            <w:r w:rsidRPr="00184A8E">
              <w:rPr>
                <w:rFonts w:ascii="Arial" w:eastAsia="Calibri" w:hAnsi="Arial" w:cs="Arial"/>
                <w:sz w:val="20"/>
                <w:szCs w:val="20"/>
              </w:rPr>
              <w:t>), Statut, drugi propisi.</w:t>
            </w:r>
          </w:p>
        </w:tc>
      </w:tr>
      <w:tr w:rsidR="00184A8E" w:rsidRPr="00184A8E" w14:paraId="4F9A7F9A" w14:textId="77777777" w:rsidTr="00410A4B">
        <w:tc>
          <w:tcPr>
            <w:tcW w:w="1668" w:type="dxa"/>
            <w:tcBorders>
              <w:top w:val="dotted" w:sz="4" w:space="0" w:color="auto"/>
              <w:left w:val="dotted" w:sz="4" w:space="0" w:color="auto"/>
              <w:bottom w:val="dotted" w:sz="4" w:space="0" w:color="auto"/>
              <w:right w:val="dotted" w:sz="4" w:space="0" w:color="auto"/>
            </w:tcBorders>
          </w:tcPr>
          <w:p w14:paraId="704DE2C8"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Opći </w:t>
            </w:r>
            <w:r w:rsidRPr="00184A8E">
              <w:rPr>
                <w:rFonts w:ascii="Arial" w:eastAsia="Calibri" w:hAnsi="Arial" w:cs="Arial"/>
                <w:b/>
                <w:sz w:val="20"/>
                <w:szCs w:val="20"/>
                <w:lang w:eastAsia="en-US"/>
              </w:rPr>
              <w:t>cilj</w:t>
            </w:r>
            <w:r w:rsidRPr="00184A8E">
              <w:rPr>
                <w:rFonts w:ascii="Arial" w:eastAsia="Calibri" w:hAnsi="Arial" w:cs="Arial"/>
                <w:sz w:val="20"/>
                <w:szCs w:val="20"/>
                <w:lang w:eastAsia="en-US"/>
              </w:rPr>
              <w:t>:</w:t>
            </w:r>
          </w:p>
        </w:tc>
        <w:tc>
          <w:tcPr>
            <w:tcW w:w="12757" w:type="dxa"/>
            <w:tcBorders>
              <w:top w:val="dotted" w:sz="4" w:space="0" w:color="auto"/>
              <w:left w:val="dotted" w:sz="4" w:space="0" w:color="auto"/>
              <w:bottom w:val="dotted" w:sz="4" w:space="0" w:color="auto"/>
              <w:right w:val="dotted" w:sz="4" w:space="0" w:color="auto"/>
            </w:tcBorders>
            <w:vAlign w:val="bottom"/>
          </w:tcPr>
          <w:p w14:paraId="7702115B"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Pravovremeno podmirivanje obveza, te učinkovito upravljanje nekretninama financiranim iz kredita</w:t>
            </w:r>
            <w:r w:rsidRPr="00184A8E">
              <w:rPr>
                <w:rFonts w:ascii="Arial" w:eastAsia="Times New Roman" w:hAnsi="Arial" w:cs="Arial"/>
                <w:sz w:val="20"/>
                <w:szCs w:val="20"/>
                <w:lang w:eastAsia="en-US"/>
              </w:rPr>
              <w:t xml:space="preserve"> </w:t>
            </w:r>
          </w:p>
          <w:p w14:paraId="2560D642"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Times New Roman" w:hAnsi="Arial" w:cs="Arial"/>
                <w:sz w:val="20"/>
                <w:szCs w:val="20"/>
                <w:lang w:eastAsia="en-US"/>
              </w:rPr>
              <w:t>Cilj programa – otplate kredita - je osiguranje pravovremenog i redovnog podmirenja obveza proizašlih iz stvorenih kreditnih obveza Općine u skladu s dinamikom otplate utvrđenom ugovorima o kreditima</w:t>
            </w:r>
            <w:r w:rsidRPr="00184A8E">
              <w:rPr>
                <w:rFonts w:ascii="Arial" w:eastAsia="Calibri" w:hAnsi="Arial" w:cs="Arial"/>
                <w:sz w:val="20"/>
                <w:szCs w:val="20"/>
                <w:lang w:eastAsia="en-US"/>
              </w:rPr>
              <w:t>.</w:t>
            </w:r>
          </w:p>
          <w:p w14:paraId="0F0861B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Cilj programa – jamstveni fond - je osiguranje pravovremenog podmirenja obveza u slučaju protestiranja jamstva. </w:t>
            </w:r>
          </w:p>
        </w:tc>
      </w:tr>
      <w:tr w:rsidR="00184A8E" w:rsidRPr="00184A8E" w14:paraId="0C08C350" w14:textId="77777777" w:rsidTr="00410A4B">
        <w:tc>
          <w:tcPr>
            <w:tcW w:w="1668" w:type="dxa"/>
            <w:tcBorders>
              <w:top w:val="dotted" w:sz="4" w:space="0" w:color="auto"/>
              <w:left w:val="dotted" w:sz="4" w:space="0" w:color="auto"/>
              <w:bottom w:val="dotted" w:sz="4" w:space="0" w:color="auto"/>
              <w:right w:val="dotted" w:sz="4" w:space="0" w:color="auto"/>
            </w:tcBorders>
            <w:vAlign w:val="bottom"/>
          </w:tcPr>
          <w:p w14:paraId="751E1F05"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2757" w:type="dxa"/>
            <w:tcBorders>
              <w:top w:val="dotted" w:sz="4" w:space="0" w:color="auto"/>
              <w:left w:val="dotted" w:sz="4" w:space="0" w:color="auto"/>
              <w:bottom w:val="dotted" w:sz="4" w:space="0" w:color="auto"/>
              <w:right w:val="dotted" w:sz="4" w:space="0" w:color="auto"/>
            </w:tcBorders>
            <w:vAlign w:val="bottom"/>
          </w:tcPr>
          <w:p w14:paraId="1F98E81F"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Osigurati sredstva za redovno funkcioniranje Općine u skladu s proračunskim mogućnostima, te povećanje efikasnosti istih, kao i provođenje mjera efikasnog korištenja sredstava proračuna i ostvarenje ušteda.</w:t>
            </w:r>
          </w:p>
          <w:p w14:paraId="480DB6EB" w14:textId="77777777" w:rsidR="00184A8E" w:rsidRPr="00184A8E" w:rsidRDefault="00184A8E">
            <w:pPr>
              <w:numPr>
                <w:ilvl w:val="0"/>
                <w:numId w:val="3"/>
              </w:numPr>
              <w:spacing w:after="0" w:line="240" w:lineRule="auto"/>
              <w:ind w:left="347" w:hanging="284"/>
              <w:jc w:val="both"/>
              <w:rPr>
                <w:rFonts w:ascii="Arial" w:eastAsia="Times New Roman" w:hAnsi="Arial" w:cs="Arial"/>
                <w:sz w:val="20"/>
                <w:szCs w:val="20"/>
                <w:lang w:eastAsia="en-US"/>
              </w:rPr>
            </w:pPr>
            <w:r w:rsidRPr="00184A8E">
              <w:rPr>
                <w:rFonts w:ascii="Arial" w:eastAsia="Calibri" w:hAnsi="Arial" w:cs="Arial"/>
                <w:sz w:val="20"/>
                <w:szCs w:val="20"/>
                <w:lang w:eastAsia="en-US"/>
              </w:rPr>
              <w:t>Redovita otplata kredita u skladu s otplatnim planom, kao i osiguravanje sredstava za nepredviđene rashode koji se mogu javiti u slučaju neočekivanih promjena tečaja, rasta kamatnih stopa ili slično.</w:t>
            </w:r>
          </w:p>
          <w:p w14:paraId="512F1E0D" w14:textId="77777777" w:rsidR="00184A8E" w:rsidRPr="00184A8E" w:rsidRDefault="00184A8E">
            <w:pPr>
              <w:numPr>
                <w:ilvl w:val="0"/>
                <w:numId w:val="3"/>
              </w:numPr>
              <w:spacing w:after="0" w:line="240" w:lineRule="auto"/>
              <w:ind w:left="347" w:hanging="284"/>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Izvršenje svih financijskih obveza prema bankama po postojećim zaduženjima, u ugovornim rokovima, bez dodatnih troškova zateznih kamata i sl.</w:t>
            </w:r>
          </w:p>
          <w:p w14:paraId="17A0B9E8" w14:textId="77777777" w:rsidR="00184A8E" w:rsidRPr="00184A8E" w:rsidRDefault="00184A8E">
            <w:pPr>
              <w:numPr>
                <w:ilvl w:val="0"/>
                <w:numId w:val="3"/>
              </w:numPr>
              <w:spacing w:after="0" w:line="240" w:lineRule="auto"/>
              <w:ind w:left="347" w:hanging="284"/>
              <w:jc w:val="both"/>
              <w:rPr>
                <w:rFonts w:ascii="Arial" w:eastAsia="Times New Roman" w:hAnsi="Arial" w:cs="Arial"/>
                <w:sz w:val="20"/>
                <w:szCs w:val="20"/>
                <w:lang w:eastAsia="en-US"/>
              </w:rPr>
            </w:pPr>
            <w:r w:rsidRPr="00184A8E">
              <w:rPr>
                <w:rFonts w:ascii="Arial" w:eastAsia="Calibri" w:hAnsi="Arial" w:cs="Arial"/>
                <w:sz w:val="20"/>
                <w:szCs w:val="20"/>
                <w:lang w:eastAsia="en-US"/>
              </w:rPr>
              <w:t>Izvršenje obveza u slučaju protestiranja jamstva bez dodatnih troškova zateznih kamata i sl.</w:t>
            </w:r>
          </w:p>
        </w:tc>
      </w:tr>
    </w:tbl>
    <w:p w14:paraId="47399939" w14:textId="77777777" w:rsidR="00184A8E" w:rsidRPr="00184A8E" w:rsidRDefault="00184A8E" w:rsidP="00184A8E">
      <w:pPr>
        <w:spacing w:after="0" w:line="240" w:lineRule="auto"/>
        <w:jc w:val="both"/>
        <w:rPr>
          <w:rFonts w:ascii="Arial" w:eastAsia="Calibri" w:hAnsi="Arial" w:cs="Arial"/>
          <w:sz w:val="12"/>
          <w:szCs w:val="20"/>
          <w:lang w:eastAsia="en-US"/>
        </w:rPr>
      </w:pPr>
    </w:p>
    <w:p w14:paraId="07B7EC4A"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35F0786C" w14:textId="77777777" w:rsidR="00184A8E" w:rsidRPr="00184A8E" w:rsidRDefault="00184A8E" w:rsidP="00184A8E">
      <w:pPr>
        <w:spacing w:after="0" w:line="240" w:lineRule="auto"/>
        <w:jc w:val="both"/>
        <w:rPr>
          <w:rFonts w:ascii="Arial" w:eastAsia="Calibri" w:hAnsi="Arial" w:cs="Arial"/>
          <w:sz w:val="20"/>
          <w:szCs w:val="20"/>
          <w:lang w:eastAsia="en-US"/>
        </w:rPr>
      </w:pPr>
    </w:p>
    <w:p w14:paraId="6548A125" w14:textId="77777777" w:rsidR="00184A8E" w:rsidRPr="00184A8E" w:rsidRDefault="00184A8E" w:rsidP="00184A8E">
      <w:pPr>
        <w:spacing w:after="0" w:line="240" w:lineRule="auto"/>
        <w:rPr>
          <w:rFonts w:ascii="Arial" w:eastAsia="Calibri" w:hAnsi="Arial" w:cs="Arial"/>
          <w:sz w:val="20"/>
          <w:szCs w:val="20"/>
        </w:rPr>
      </w:pPr>
      <w:r w:rsidRPr="00184A8E">
        <w:rPr>
          <w:rFonts w:ascii="Arial" w:eastAsia="Calibri" w:hAnsi="Arial" w:cs="Arial"/>
          <w:sz w:val="20"/>
          <w:szCs w:val="20"/>
        </w:rPr>
        <w:t>Aktivnosti iskazane u slijedećem pregledu (razdoblje izvršenja 2013.-2018.) su završene prethodnih godina.</w:t>
      </w:r>
    </w:p>
    <w:p w14:paraId="2E5B0772" w14:textId="77777777" w:rsidR="00184A8E" w:rsidRPr="00184A8E" w:rsidRDefault="00184A8E" w:rsidP="00184A8E">
      <w:pPr>
        <w:spacing w:after="0" w:line="240" w:lineRule="auto"/>
        <w:ind w:left="780"/>
        <w:rPr>
          <w:rFonts w:ascii="Arial" w:eastAsia="Calibri" w:hAnsi="Arial" w:cs="Arial"/>
          <w:sz w:val="20"/>
          <w:szCs w:val="20"/>
        </w:rPr>
      </w:pPr>
    </w:p>
    <w:p w14:paraId="753975AE" w14:textId="77777777" w:rsidR="00184A8E" w:rsidRPr="00184A8E" w:rsidRDefault="00184A8E" w:rsidP="00184A8E">
      <w:pPr>
        <w:spacing w:after="0" w:line="240" w:lineRule="auto"/>
        <w:ind w:left="780"/>
        <w:jc w:val="center"/>
        <w:rPr>
          <w:rFonts w:ascii="Arial" w:eastAsia="Calibri" w:hAnsi="Arial" w:cs="Arial"/>
          <w:sz w:val="20"/>
          <w:szCs w:val="20"/>
        </w:rPr>
      </w:pPr>
      <w:r w:rsidRPr="00184A8E">
        <w:rPr>
          <w:noProof/>
          <w:color w:val="FF0000"/>
        </w:rPr>
        <w:drawing>
          <wp:inline distT="0" distB="0" distL="0" distR="0" wp14:anchorId="13D52D8F" wp14:editId="74417075">
            <wp:extent cx="6419850" cy="2133600"/>
            <wp:effectExtent l="0" t="0" r="0" b="0"/>
            <wp:docPr id="466185044"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419850" cy="2133600"/>
                    </a:xfrm>
                    <a:prstGeom prst="rect">
                      <a:avLst/>
                    </a:prstGeom>
                    <a:noFill/>
                    <a:ln>
                      <a:noFill/>
                    </a:ln>
                  </pic:spPr>
                </pic:pic>
              </a:graphicData>
            </a:graphic>
          </wp:inline>
        </w:drawing>
      </w:r>
    </w:p>
    <w:p w14:paraId="3864892D" w14:textId="77777777" w:rsidR="00184A8E" w:rsidRPr="00184A8E" w:rsidRDefault="00184A8E">
      <w:pPr>
        <w:numPr>
          <w:ilvl w:val="0"/>
          <w:numId w:val="6"/>
        </w:numPr>
        <w:spacing w:after="0" w:line="240" w:lineRule="auto"/>
        <w:ind w:left="3544" w:hanging="283"/>
        <w:jc w:val="both"/>
        <w:rPr>
          <w:rFonts w:ascii="Arial" w:eastAsia="Calibri" w:hAnsi="Arial" w:cs="Arial"/>
          <w:sz w:val="18"/>
          <w:szCs w:val="18"/>
        </w:rPr>
      </w:pPr>
      <w:r w:rsidRPr="00184A8E">
        <w:rPr>
          <w:rFonts w:ascii="Arial" w:eastAsia="Calibri" w:hAnsi="Arial" w:cs="Arial"/>
          <w:sz w:val="18"/>
          <w:szCs w:val="18"/>
        </w:rPr>
        <w:t>Krediti iz prethodne tablice su otplaćeni, a jamstva su istekla.</w:t>
      </w:r>
    </w:p>
    <w:p w14:paraId="03EF4BA8" w14:textId="77777777" w:rsidR="00184A8E" w:rsidRPr="00184A8E" w:rsidRDefault="00184A8E" w:rsidP="00184A8E">
      <w:pPr>
        <w:spacing w:after="0" w:line="240" w:lineRule="auto"/>
        <w:jc w:val="both"/>
        <w:rPr>
          <w:rFonts w:ascii="Arial" w:eastAsia="Calibri" w:hAnsi="Arial" w:cs="Arial"/>
          <w:sz w:val="10"/>
          <w:szCs w:val="10"/>
        </w:rPr>
      </w:pPr>
    </w:p>
    <w:p w14:paraId="0E362A60" w14:textId="29E09DCA"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lastRenderedPageBreak/>
        <w:t>Izvršenje aktivnosti sadržanih u ovom programu za 2013.-2024., plan za 2025., izvršenje za 2025., projekcije za 2026.-2027. iskazuju se u valuti EURO kako slijedi:</w:t>
      </w:r>
    </w:p>
    <w:p w14:paraId="4F045D25" w14:textId="77777777" w:rsidR="00184A8E" w:rsidRPr="00184A8E" w:rsidRDefault="00184A8E" w:rsidP="00184A8E">
      <w:pPr>
        <w:spacing w:after="0" w:line="240" w:lineRule="auto"/>
        <w:rPr>
          <w:rFonts w:ascii="Arial" w:eastAsia="Calibri" w:hAnsi="Arial" w:cs="Arial"/>
          <w:sz w:val="20"/>
          <w:szCs w:val="20"/>
        </w:rPr>
      </w:pPr>
    </w:p>
    <w:p w14:paraId="75763E16" w14:textId="6FCD6792" w:rsidR="00184A8E" w:rsidRPr="00184A8E" w:rsidRDefault="009403E4" w:rsidP="00184A8E">
      <w:pPr>
        <w:spacing w:after="0" w:line="240" w:lineRule="auto"/>
        <w:rPr>
          <w:rFonts w:ascii="Arial" w:eastAsia="Calibri" w:hAnsi="Arial" w:cs="Arial"/>
          <w:sz w:val="20"/>
          <w:szCs w:val="20"/>
        </w:rPr>
      </w:pPr>
      <w:r w:rsidRPr="009403E4">
        <w:rPr>
          <w:noProof/>
        </w:rPr>
        <w:drawing>
          <wp:inline distT="0" distB="0" distL="0" distR="0" wp14:anchorId="4E0E5535" wp14:editId="31FD37F0">
            <wp:extent cx="9251950" cy="3874770"/>
            <wp:effectExtent l="0" t="0" r="6350" b="0"/>
            <wp:docPr id="814378815"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251950" cy="3874770"/>
                    </a:xfrm>
                    <a:prstGeom prst="rect">
                      <a:avLst/>
                    </a:prstGeom>
                    <a:noFill/>
                    <a:ln>
                      <a:noFill/>
                    </a:ln>
                  </pic:spPr>
                </pic:pic>
              </a:graphicData>
            </a:graphic>
          </wp:inline>
        </w:drawing>
      </w:r>
    </w:p>
    <w:p w14:paraId="5438D68A" w14:textId="77777777" w:rsidR="00184A8E" w:rsidRPr="00184A8E" w:rsidRDefault="00184A8E">
      <w:pPr>
        <w:numPr>
          <w:ilvl w:val="0"/>
          <w:numId w:val="6"/>
        </w:numPr>
        <w:spacing w:after="0" w:line="240" w:lineRule="auto"/>
        <w:jc w:val="both"/>
        <w:rPr>
          <w:rFonts w:ascii="Arial" w:eastAsia="Calibri" w:hAnsi="Arial" w:cs="Arial"/>
          <w:sz w:val="18"/>
          <w:szCs w:val="18"/>
        </w:rPr>
      </w:pPr>
      <w:r w:rsidRPr="00184A8E">
        <w:rPr>
          <w:rFonts w:ascii="Arial" w:eastAsia="Calibri" w:hAnsi="Arial" w:cs="Arial"/>
          <w:sz w:val="18"/>
          <w:szCs w:val="18"/>
        </w:rPr>
        <w:t>*Od 2019. godine cjelokupni troškovi vezani uz otplatu kredita i jamstvenu zalihu se iskazuju unutar upravnog odjela unutar kojeg je upravljanje nekretninama (PROGRAM 2012 Jamstveni fond i otplate kredita), dok su se do 2019. ovi rashodi iskazivali kroz razdjel 020, u dijelu 020 01.</w:t>
      </w:r>
    </w:p>
    <w:p w14:paraId="238B5269" w14:textId="77777777" w:rsidR="00184A8E" w:rsidRPr="00184A8E" w:rsidRDefault="00184A8E" w:rsidP="00184A8E">
      <w:pPr>
        <w:spacing w:after="0" w:line="240" w:lineRule="auto"/>
        <w:ind w:firstLine="420"/>
        <w:jc w:val="both"/>
        <w:rPr>
          <w:rFonts w:ascii="Arial" w:eastAsia="Calibri" w:hAnsi="Arial" w:cs="Arial"/>
          <w:i/>
          <w:iCs/>
          <w:sz w:val="18"/>
          <w:szCs w:val="18"/>
        </w:rPr>
      </w:pPr>
      <w:r w:rsidRPr="00184A8E">
        <w:rPr>
          <w:rFonts w:ascii="Arial" w:eastAsia="Calibri" w:hAnsi="Arial" w:cs="Arial"/>
          <w:i/>
          <w:iCs/>
          <w:sz w:val="18"/>
          <w:szCs w:val="18"/>
        </w:rPr>
        <w:t>Otplate iz ranijih godina u okviru novog programa se daju radi praćenja i usporedbe.</w:t>
      </w:r>
    </w:p>
    <w:p w14:paraId="32E55DA9" w14:textId="77777777" w:rsidR="00184A8E" w:rsidRPr="00184A8E" w:rsidRDefault="00184A8E" w:rsidP="00184A8E">
      <w:pPr>
        <w:spacing w:after="0" w:line="240" w:lineRule="auto"/>
        <w:jc w:val="both"/>
        <w:rPr>
          <w:rFonts w:ascii="Arial" w:eastAsia="Calibri" w:hAnsi="Arial" w:cs="Arial"/>
          <w:b/>
          <w:sz w:val="20"/>
          <w:szCs w:val="20"/>
        </w:rPr>
      </w:pPr>
    </w:p>
    <w:p w14:paraId="2446FC3B" w14:textId="77777777" w:rsidR="00184A8E" w:rsidRPr="00184A8E" w:rsidRDefault="00184A8E" w:rsidP="00184A8E">
      <w:pPr>
        <w:spacing w:after="0" w:line="240" w:lineRule="auto"/>
        <w:jc w:val="both"/>
        <w:rPr>
          <w:rFonts w:ascii="Arial" w:eastAsia="Calibri" w:hAnsi="Arial" w:cs="Arial"/>
          <w:i/>
          <w:sz w:val="20"/>
          <w:szCs w:val="20"/>
        </w:rPr>
      </w:pPr>
      <w:r w:rsidRPr="00184A8E">
        <w:rPr>
          <w:rFonts w:ascii="Arial" w:eastAsia="Calibri" w:hAnsi="Arial" w:cs="Arial"/>
          <w:b/>
          <w:sz w:val="20"/>
          <w:szCs w:val="20"/>
        </w:rPr>
        <w:t>Ishodište i pokazatelji na kojima se zasnivaju izračuni i ocjene</w:t>
      </w:r>
      <w:r w:rsidRPr="00184A8E">
        <w:rPr>
          <w:rFonts w:ascii="Arial" w:eastAsia="Calibri" w:hAnsi="Arial" w:cs="Arial"/>
          <w:sz w:val="20"/>
          <w:szCs w:val="20"/>
        </w:rPr>
        <w:t xml:space="preserve"> </w:t>
      </w:r>
      <w:r w:rsidRPr="00184A8E">
        <w:rPr>
          <w:rFonts w:ascii="Arial" w:eastAsia="Calibri" w:hAnsi="Arial" w:cs="Arial"/>
          <w:b/>
          <w:sz w:val="20"/>
          <w:szCs w:val="20"/>
        </w:rPr>
        <w:t>potrebnih sredstava za provođenje programa:</w:t>
      </w:r>
      <w:r w:rsidRPr="00184A8E">
        <w:rPr>
          <w:rFonts w:ascii="Arial" w:eastAsia="Calibri" w:hAnsi="Arial" w:cs="Arial"/>
          <w:sz w:val="20"/>
          <w:szCs w:val="20"/>
        </w:rPr>
        <w:t xml:space="preserve"> Planske veličine su određene u predloženim iznosima temeljem ostvarenih ciljeva i postignutih rezultata iz prethodnih godina, te predviđanja promjena u izvršenju ciljeva u narednom razdoblju.</w:t>
      </w:r>
    </w:p>
    <w:p w14:paraId="5247231F" w14:textId="77777777" w:rsidR="00184A8E" w:rsidRPr="00184A8E" w:rsidRDefault="00184A8E" w:rsidP="00184A8E">
      <w:pPr>
        <w:shd w:val="clear" w:color="auto" w:fill="FFFFFF"/>
        <w:spacing w:after="0" w:line="240" w:lineRule="auto"/>
        <w:jc w:val="both"/>
        <w:rPr>
          <w:rFonts w:ascii="Arial" w:eastAsia="Calibri" w:hAnsi="Arial" w:cs="Arial"/>
          <w:sz w:val="20"/>
          <w:szCs w:val="20"/>
        </w:rPr>
      </w:pPr>
      <w:r w:rsidRPr="00184A8E">
        <w:rPr>
          <w:rFonts w:ascii="Arial" w:eastAsia="Calibri" w:hAnsi="Arial" w:cs="Arial"/>
          <w:b/>
          <w:sz w:val="20"/>
          <w:szCs w:val="20"/>
        </w:rPr>
        <w:t>Izvještaj o postignutim ciljevima i rezultatima programa temeljenim na pokazateljima uspješnosti u prethodnoj godini</w:t>
      </w:r>
      <w:r w:rsidRPr="00184A8E">
        <w:rPr>
          <w:rFonts w:ascii="Arial" w:eastAsia="Calibri" w:hAnsi="Arial" w:cs="Arial"/>
          <w:sz w:val="20"/>
          <w:szCs w:val="20"/>
        </w:rPr>
        <w:t>: Izvršenje je u okviru očekivanih vrijednosti.</w:t>
      </w:r>
    </w:p>
    <w:p w14:paraId="0E1B453D" w14:textId="77777777" w:rsidR="00184A8E" w:rsidRPr="00184A8E" w:rsidRDefault="00184A8E" w:rsidP="00184A8E">
      <w:pPr>
        <w:shd w:val="clear" w:color="auto" w:fill="FFFFFF"/>
        <w:spacing w:after="0" w:line="240" w:lineRule="auto"/>
        <w:jc w:val="both"/>
        <w:rPr>
          <w:rFonts w:ascii="Arial" w:eastAsia="Calibri" w:hAnsi="Arial" w:cs="Arial"/>
          <w:sz w:val="20"/>
          <w:szCs w:val="20"/>
        </w:rPr>
      </w:pPr>
    </w:p>
    <w:p w14:paraId="73D96A1E" w14:textId="750FBC81" w:rsidR="009403E4" w:rsidRPr="00170BB3" w:rsidRDefault="009403E4" w:rsidP="009403E4">
      <w:pPr>
        <w:spacing w:after="0" w:line="240" w:lineRule="auto"/>
        <w:rPr>
          <w:rFonts w:ascii="Arial" w:eastAsia="Calibri" w:hAnsi="Arial" w:cs="Arial"/>
          <w:sz w:val="20"/>
          <w:szCs w:val="20"/>
        </w:rPr>
      </w:pPr>
      <w:r w:rsidRPr="00170BB3">
        <w:rPr>
          <w:rFonts w:ascii="Arial" w:eastAsia="Calibri" w:hAnsi="Arial" w:cs="Arial"/>
          <w:sz w:val="20"/>
          <w:szCs w:val="20"/>
        </w:rPr>
        <w:t>Ukupno planirana sredstva na razini programa 2012 iznose 1.231.862 € za 2025. godinu, te 468.600 € za 2026. i 2.526.000 € za 2027. godinu.</w:t>
      </w:r>
    </w:p>
    <w:p w14:paraId="473BFAFE" w14:textId="6443DE14" w:rsidR="00184A8E" w:rsidRPr="00184A8E" w:rsidRDefault="00184A8E" w:rsidP="009403E4">
      <w:pPr>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Rashodi su izvršeni u iznosu </w:t>
      </w:r>
      <w:r w:rsidR="009403E4">
        <w:rPr>
          <w:rFonts w:ascii="Arial" w:eastAsia="Calibri" w:hAnsi="Arial" w:cs="Arial"/>
          <w:sz w:val="20"/>
          <w:szCs w:val="20"/>
        </w:rPr>
        <w:t>1.124.780,14</w:t>
      </w:r>
      <w:r w:rsidRPr="00184A8E">
        <w:rPr>
          <w:rFonts w:ascii="Arial" w:eastAsia="Calibri" w:hAnsi="Arial" w:cs="Arial"/>
          <w:sz w:val="20"/>
          <w:szCs w:val="20"/>
        </w:rPr>
        <w:t xml:space="preserve"> € ili </w:t>
      </w:r>
      <w:r w:rsidR="009403E4">
        <w:rPr>
          <w:rFonts w:ascii="Arial" w:eastAsia="Calibri" w:hAnsi="Arial" w:cs="Arial"/>
          <w:sz w:val="20"/>
          <w:szCs w:val="20"/>
        </w:rPr>
        <w:t>91</w:t>
      </w:r>
      <w:r w:rsidRPr="00184A8E">
        <w:rPr>
          <w:rFonts w:ascii="Arial" w:eastAsia="Calibri" w:hAnsi="Arial" w:cs="Arial"/>
          <w:sz w:val="20"/>
          <w:szCs w:val="20"/>
        </w:rPr>
        <w:t xml:space="preserve">,3% </w:t>
      </w:r>
    </w:p>
    <w:p w14:paraId="6318C733" w14:textId="77777777" w:rsidR="00184A8E" w:rsidRDefault="00184A8E" w:rsidP="009403E4">
      <w:pPr>
        <w:spacing w:after="0" w:line="240" w:lineRule="auto"/>
        <w:jc w:val="both"/>
        <w:rPr>
          <w:rFonts w:ascii="Arial" w:eastAsia="Calibri" w:hAnsi="Arial" w:cs="Arial"/>
          <w:sz w:val="20"/>
          <w:szCs w:val="20"/>
        </w:rPr>
      </w:pPr>
    </w:p>
    <w:p w14:paraId="791AD9E2" w14:textId="77777777" w:rsidR="00170BB3" w:rsidRPr="00184A8E" w:rsidRDefault="00170BB3" w:rsidP="009403E4">
      <w:pPr>
        <w:spacing w:after="0" w:line="240" w:lineRule="auto"/>
        <w:jc w:val="both"/>
        <w:rPr>
          <w:rFonts w:ascii="Arial" w:eastAsia="Calibri" w:hAnsi="Arial" w:cs="Arial"/>
          <w:sz w:val="20"/>
          <w:szCs w:val="20"/>
        </w:rPr>
      </w:pPr>
    </w:p>
    <w:p w14:paraId="489EE311"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lastRenderedPageBreak/>
        <w:t>Obrazloženje aktivnosti / projekata i pokazatelji uspješnosti</w:t>
      </w:r>
    </w:p>
    <w:p w14:paraId="1279E077" w14:textId="77777777" w:rsidR="00184A8E" w:rsidRPr="00184A8E" w:rsidRDefault="00184A8E" w:rsidP="00184A8E">
      <w:pPr>
        <w:spacing w:after="0" w:line="240" w:lineRule="auto"/>
        <w:jc w:val="both"/>
        <w:rPr>
          <w:rFonts w:ascii="Arial" w:eastAsia="Calibri" w:hAnsi="Arial" w:cs="Arial"/>
          <w:sz w:val="20"/>
          <w:szCs w:val="20"/>
          <w:lang w:eastAsia="en-US"/>
        </w:rPr>
      </w:pPr>
    </w:p>
    <w:p w14:paraId="68A4EE2C"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Unutar programa izvode se slijedeće aktivnosti i projekti:</w:t>
      </w:r>
    </w:p>
    <w:p w14:paraId="1A520FFD" w14:textId="77777777" w:rsidR="00184A8E" w:rsidRPr="00184A8E" w:rsidRDefault="00184A8E" w:rsidP="00184A8E">
      <w:pPr>
        <w:spacing w:after="0" w:line="254" w:lineRule="auto"/>
        <w:rPr>
          <w:rFonts w:ascii="Arial" w:eastAsia="Calibri" w:hAnsi="Arial" w:cs="Arial"/>
          <w:sz w:val="20"/>
          <w:szCs w:val="20"/>
          <w:lang w:eastAsia="en-US"/>
        </w:rPr>
      </w:pPr>
    </w:p>
    <w:p w14:paraId="593C160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rPr>
        <w:t>1. A201201: Otplata primljenih kredita od banaka, OTP d.d. – Dom za starije i nemoćne osobe (otplata do 30.9.2024.) (do 2019. bilo A201005)</w:t>
      </w:r>
      <w:r w:rsidRPr="00184A8E">
        <w:rPr>
          <w:rFonts w:ascii="Arial" w:eastAsia="Calibri" w:hAnsi="Arial" w:cs="Arial"/>
          <w:sz w:val="20"/>
          <w:szCs w:val="20"/>
        </w:rPr>
        <w:t xml:space="preserve">- u sklopu navedene aktivnosti su planirani rashodi za otplatu kredita od banke za Dom za starije i nemoćne osobe. </w:t>
      </w:r>
    </w:p>
    <w:p w14:paraId="71250DEF" w14:textId="70D4A0F9"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lang w:eastAsia="en-US"/>
        </w:rPr>
        <w:t xml:space="preserve">Ugovor je zaključen u kolovozu 2013. </w:t>
      </w:r>
      <w:r w:rsidRPr="00184A8E">
        <w:rPr>
          <w:rFonts w:ascii="Arial" w:eastAsia="Calibri" w:hAnsi="Arial" w:cs="Arial"/>
          <w:sz w:val="20"/>
          <w:szCs w:val="20"/>
        </w:rPr>
        <w:t xml:space="preserve">Rashodi su planirani u iznosu </w:t>
      </w:r>
      <w:r w:rsidR="009403E4">
        <w:rPr>
          <w:rFonts w:ascii="Arial" w:eastAsia="Calibri" w:hAnsi="Arial" w:cs="Arial"/>
          <w:sz w:val="20"/>
          <w:szCs w:val="20"/>
        </w:rPr>
        <w:t>223.192</w:t>
      </w:r>
      <w:r w:rsidRPr="00184A8E">
        <w:rPr>
          <w:rFonts w:ascii="Arial" w:eastAsia="Calibri" w:hAnsi="Arial" w:cs="Arial"/>
          <w:sz w:val="20"/>
          <w:szCs w:val="20"/>
        </w:rPr>
        <w:t xml:space="preserve"> €, a izvršeni su izvršeni u iznosu </w:t>
      </w:r>
      <w:r w:rsidR="009403E4">
        <w:rPr>
          <w:rFonts w:ascii="Arial" w:eastAsia="Calibri" w:hAnsi="Arial" w:cs="Arial"/>
          <w:sz w:val="20"/>
          <w:szCs w:val="20"/>
        </w:rPr>
        <w:t>223.188,83</w:t>
      </w:r>
      <w:r w:rsidRPr="00184A8E">
        <w:rPr>
          <w:rFonts w:ascii="Arial" w:eastAsia="Calibri" w:hAnsi="Arial" w:cs="Arial"/>
          <w:sz w:val="20"/>
          <w:szCs w:val="20"/>
        </w:rPr>
        <w:t xml:space="preserve"> € ili </w:t>
      </w:r>
      <w:r w:rsidR="009403E4">
        <w:rPr>
          <w:rFonts w:ascii="Arial" w:eastAsia="Calibri" w:hAnsi="Arial" w:cs="Arial"/>
          <w:sz w:val="20"/>
          <w:szCs w:val="20"/>
        </w:rPr>
        <w:t>100</w:t>
      </w:r>
      <w:r w:rsidRPr="00184A8E">
        <w:rPr>
          <w:rFonts w:ascii="Arial" w:eastAsia="Calibri" w:hAnsi="Arial" w:cs="Arial"/>
          <w:sz w:val="20"/>
          <w:szCs w:val="20"/>
        </w:rPr>
        <w:t xml:space="preserve">%, od čega se na kamate odnosi </w:t>
      </w:r>
      <w:r w:rsidR="009403E4">
        <w:rPr>
          <w:rFonts w:ascii="Arial" w:eastAsia="Calibri" w:hAnsi="Arial" w:cs="Arial"/>
          <w:sz w:val="20"/>
          <w:szCs w:val="20"/>
        </w:rPr>
        <w:t>2.498,06</w:t>
      </w:r>
      <w:r w:rsidRPr="00184A8E">
        <w:rPr>
          <w:rFonts w:ascii="Arial" w:eastAsia="Calibri" w:hAnsi="Arial" w:cs="Arial"/>
          <w:sz w:val="20"/>
          <w:szCs w:val="20"/>
        </w:rPr>
        <w:t xml:space="preserve"> €, na glavnicu </w:t>
      </w:r>
      <w:r w:rsidR="009403E4">
        <w:rPr>
          <w:rFonts w:ascii="Arial" w:eastAsia="Calibri" w:hAnsi="Arial" w:cs="Arial"/>
          <w:sz w:val="20"/>
          <w:szCs w:val="20"/>
        </w:rPr>
        <w:t>219.229,24</w:t>
      </w:r>
      <w:r w:rsidRPr="00184A8E">
        <w:rPr>
          <w:rFonts w:ascii="Arial" w:eastAsia="Calibri" w:hAnsi="Arial" w:cs="Arial"/>
          <w:sz w:val="20"/>
          <w:szCs w:val="20"/>
        </w:rPr>
        <w:t xml:space="preserve"> € (</w:t>
      </w:r>
      <w:r w:rsidR="009403E4">
        <w:rPr>
          <w:rFonts w:ascii="Arial" w:eastAsia="Calibri" w:hAnsi="Arial" w:cs="Arial"/>
          <w:sz w:val="20"/>
          <w:szCs w:val="20"/>
        </w:rPr>
        <w:t>tri</w:t>
      </w:r>
      <w:r w:rsidRPr="00184A8E">
        <w:rPr>
          <w:rFonts w:ascii="Arial" w:eastAsia="Calibri" w:hAnsi="Arial" w:cs="Arial"/>
          <w:sz w:val="20"/>
          <w:szCs w:val="20"/>
        </w:rPr>
        <w:t xml:space="preserve"> obroka)</w:t>
      </w:r>
      <w:r w:rsidR="009403E4">
        <w:rPr>
          <w:rFonts w:ascii="Arial" w:eastAsia="Calibri" w:hAnsi="Arial" w:cs="Arial"/>
          <w:sz w:val="20"/>
          <w:szCs w:val="20"/>
        </w:rPr>
        <w:t>, te naknadu za prijevremenu otplatu 1.461,53 €.</w:t>
      </w:r>
      <w:r w:rsidR="00A55567">
        <w:rPr>
          <w:rFonts w:ascii="Arial" w:eastAsia="Calibri" w:hAnsi="Arial" w:cs="Arial"/>
          <w:sz w:val="20"/>
          <w:szCs w:val="20"/>
        </w:rPr>
        <w:t xml:space="preserve"> Kredit je u cijelosti otplaćen.</w:t>
      </w:r>
    </w:p>
    <w:p w14:paraId="35948768"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p>
    <w:p w14:paraId="1E1B64BE" w14:textId="16B0B5F2"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2. A201202: </w:t>
      </w:r>
      <w:r w:rsidRPr="00184A8E">
        <w:rPr>
          <w:rFonts w:ascii="Arial" w:eastAsia="Times New Roman" w:hAnsi="Arial" w:cs="Arial"/>
          <w:b/>
          <w:iCs/>
          <w:sz w:val="20"/>
          <w:szCs w:val="20"/>
          <w:lang w:eastAsia="en-US"/>
        </w:rPr>
        <w:t>Jamstvena zaliha – kredit Erste (cjevovod Vitaljina, II faza kanalizacije Cavtat, otplata do 30.6.2029.)</w:t>
      </w:r>
      <w:r w:rsidRPr="00184A8E">
        <w:rPr>
          <w:rFonts w:ascii="Arial" w:eastAsia="Calibri" w:hAnsi="Arial" w:cs="Arial"/>
          <w:b/>
          <w:sz w:val="20"/>
          <w:szCs w:val="20"/>
          <w:lang w:eastAsia="en-US"/>
        </w:rPr>
        <w:t xml:space="preserve"> </w:t>
      </w:r>
      <w:r w:rsidRPr="00184A8E">
        <w:rPr>
          <w:rFonts w:ascii="Arial" w:eastAsia="Calibri" w:hAnsi="Arial" w:cs="Arial"/>
          <w:sz w:val="20"/>
          <w:szCs w:val="20"/>
          <w:lang w:eastAsia="en-US"/>
        </w:rPr>
        <w:t>– (</w:t>
      </w:r>
      <w:r w:rsidRPr="00184A8E">
        <w:rPr>
          <w:rFonts w:ascii="Arial" w:eastAsia="Calibri" w:hAnsi="Arial" w:cs="Arial"/>
          <w:b/>
          <w:sz w:val="20"/>
          <w:szCs w:val="20"/>
          <w:lang w:eastAsia="en-US"/>
        </w:rPr>
        <w:t xml:space="preserve">do 2019. bilo A201014) - </w:t>
      </w:r>
      <w:r w:rsidRPr="00184A8E">
        <w:rPr>
          <w:rFonts w:ascii="Arial" w:eastAsia="Calibri" w:hAnsi="Arial" w:cs="Arial"/>
          <w:sz w:val="20"/>
          <w:szCs w:val="20"/>
          <w:lang w:eastAsia="en-US"/>
        </w:rPr>
        <w:t xml:space="preserve">u sklopu navedene aktivnosti su planirane kapitalne pomoći u iznosu </w:t>
      </w:r>
      <w:r w:rsidR="00A205C5">
        <w:rPr>
          <w:rFonts w:ascii="Arial" w:eastAsia="Calibri" w:hAnsi="Arial" w:cs="Arial"/>
          <w:sz w:val="20"/>
          <w:szCs w:val="20"/>
          <w:lang w:eastAsia="en-US"/>
        </w:rPr>
        <w:t>100.170</w:t>
      </w:r>
      <w:r w:rsidRPr="00184A8E">
        <w:rPr>
          <w:rFonts w:ascii="Arial" w:eastAsia="Calibri" w:hAnsi="Arial" w:cs="Arial"/>
          <w:sz w:val="20"/>
          <w:szCs w:val="20"/>
          <w:lang w:eastAsia="en-US"/>
        </w:rPr>
        <w:t xml:space="preserve"> € kao jamstvena zaliha za povrat kredita. Prvi obrok ovog kredita je dospio u lipnju 2021. a posljednji obrok dospijeva 30.6.2029.</w:t>
      </w:r>
    </w:p>
    <w:p w14:paraId="1BF49D33" w14:textId="54B263F4"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Temeljem ugovora o jamstvu i otplatnog plana kao sastavnog dijela ugovora o kreditu za kapitalni projekt koji je komunalno društvo u vlasništvu općine realiziralo ranijih godina </w:t>
      </w:r>
      <w:r w:rsidR="004E295A">
        <w:rPr>
          <w:rFonts w:ascii="Arial" w:eastAsia="Calibri" w:hAnsi="Arial" w:cs="Arial"/>
          <w:sz w:val="20"/>
          <w:szCs w:val="20"/>
          <w:lang w:eastAsia="en-US"/>
        </w:rPr>
        <w:t xml:space="preserve">cilj je </w:t>
      </w:r>
      <w:r w:rsidRPr="00184A8E">
        <w:rPr>
          <w:rFonts w:ascii="Arial" w:eastAsia="Calibri" w:hAnsi="Arial" w:cs="Arial"/>
          <w:sz w:val="20"/>
          <w:szCs w:val="20"/>
          <w:lang w:eastAsia="en-US"/>
        </w:rPr>
        <w:t>osigurati redovitu otplatu glavnice kredita i ugovorene kamate, odnosno isplatu jamstvene zalihe po potrebi.</w:t>
      </w:r>
    </w:p>
    <w:p w14:paraId="123F6EA5" w14:textId="39A44CA3" w:rsidR="00184A8E" w:rsidRPr="00184A8E" w:rsidRDefault="00184A8E" w:rsidP="00184A8E">
      <w:pPr>
        <w:autoSpaceDE w:val="0"/>
        <w:autoSpaceDN w:val="0"/>
        <w:adjustRightInd w:val="0"/>
        <w:spacing w:after="0" w:line="240" w:lineRule="auto"/>
        <w:rPr>
          <w:rFonts w:ascii="Arial" w:eastAsia="Calibri" w:hAnsi="Arial" w:cs="Arial"/>
          <w:b/>
          <w:sz w:val="20"/>
          <w:szCs w:val="20"/>
        </w:rPr>
      </w:pPr>
      <w:r w:rsidRPr="00184A8E">
        <w:rPr>
          <w:rFonts w:ascii="Arial" w:eastAsia="Calibri" w:hAnsi="Arial" w:cs="Arial"/>
          <w:sz w:val="20"/>
          <w:szCs w:val="20"/>
        </w:rPr>
        <w:t xml:space="preserve">Rashodi su izvršeni u iznosu </w:t>
      </w:r>
      <w:r w:rsidR="00A205C5">
        <w:rPr>
          <w:rFonts w:ascii="Arial" w:eastAsia="Calibri" w:hAnsi="Arial" w:cs="Arial"/>
          <w:sz w:val="20"/>
          <w:szCs w:val="20"/>
        </w:rPr>
        <w:t>74.648,34</w:t>
      </w:r>
      <w:r w:rsidRPr="00184A8E">
        <w:rPr>
          <w:rFonts w:ascii="Arial" w:eastAsia="Calibri" w:hAnsi="Arial" w:cs="Arial"/>
          <w:sz w:val="20"/>
          <w:szCs w:val="20"/>
        </w:rPr>
        <w:t xml:space="preserve"> € (dva obroka kredita).</w:t>
      </w:r>
    </w:p>
    <w:p w14:paraId="26845D80" w14:textId="77777777" w:rsidR="00184A8E" w:rsidRPr="00184A8E" w:rsidRDefault="00184A8E" w:rsidP="00184A8E">
      <w:pPr>
        <w:autoSpaceDE w:val="0"/>
        <w:autoSpaceDN w:val="0"/>
        <w:adjustRightInd w:val="0"/>
        <w:spacing w:after="0" w:line="240" w:lineRule="auto"/>
        <w:rPr>
          <w:rFonts w:ascii="Arial" w:eastAsia="Calibri" w:hAnsi="Arial" w:cs="Arial"/>
          <w:b/>
          <w:sz w:val="20"/>
          <w:szCs w:val="20"/>
        </w:rPr>
      </w:pPr>
    </w:p>
    <w:p w14:paraId="3F03BBC3" w14:textId="1D988A93"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3. A201203: </w:t>
      </w:r>
      <w:r w:rsidRPr="00184A8E">
        <w:rPr>
          <w:rFonts w:ascii="Arial" w:eastAsia="Times New Roman" w:hAnsi="Arial" w:cs="Arial"/>
          <w:b/>
          <w:iCs/>
          <w:sz w:val="20"/>
          <w:szCs w:val="20"/>
          <w:lang w:eastAsia="en-US"/>
        </w:rPr>
        <w:t>Otplata primljenih kredita od banaka – energetska učinkovitost</w:t>
      </w:r>
      <w:r w:rsidRPr="00184A8E">
        <w:rPr>
          <w:rFonts w:ascii="Arial" w:eastAsia="Calibri" w:hAnsi="Arial" w:cs="Arial"/>
          <w:b/>
          <w:sz w:val="20"/>
          <w:szCs w:val="20"/>
          <w:lang w:eastAsia="en-US"/>
        </w:rPr>
        <w:t xml:space="preserve"> -</w:t>
      </w:r>
      <w:r w:rsidRPr="00184A8E">
        <w:rPr>
          <w:rFonts w:ascii="Arial" w:eastAsia="Calibri" w:hAnsi="Arial" w:cs="Arial"/>
          <w:sz w:val="20"/>
          <w:szCs w:val="20"/>
          <w:lang w:eastAsia="en-US"/>
        </w:rPr>
        <w:t xml:space="preserve"> u sklopu navedene aktivnosti su planirani rashodi u iznosu </w:t>
      </w:r>
      <w:r w:rsidR="00A55567">
        <w:rPr>
          <w:rFonts w:ascii="Arial" w:eastAsia="Calibri" w:hAnsi="Arial" w:cs="Arial"/>
          <w:sz w:val="20"/>
          <w:szCs w:val="20"/>
          <w:lang w:eastAsia="en-US"/>
        </w:rPr>
        <w:t>103.000</w:t>
      </w:r>
      <w:r w:rsidRPr="00184A8E">
        <w:rPr>
          <w:rFonts w:ascii="Arial" w:eastAsia="Calibri" w:hAnsi="Arial" w:cs="Arial"/>
          <w:sz w:val="20"/>
          <w:szCs w:val="20"/>
          <w:lang w:eastAsia="en-US"/>
        </w:rPr>
        <w:t xml:space="preserve"> €. </w:t>
      </w:r>
    </w:p>
    <w:p w14:paraId="0664556B" w14:textId="3BD640C6" w:rsidR="00A55567" w:rsidRPr="00184A8E" w:rsidRDefault="00A55567" w:rsidP="00A55567">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U 202</w:t>
      </w:r>
      <w:r>
        <w:rPr>
          <w:rFonts w:ascii="Arial" w:eastAsia="Calibri" w:hAnsi="Arial" w:cs="Arial"/>
          <w:b/>
          <w:sz w:val="20"/>
          <w:szCs w:val="20"/>
          <w:lang w:eastAsia="en-US"/>
        </w:rPr>
        <w:t>5</w:t>
      </w:r>
      <w:r w:rsidRPr="00184A8E">
        <w:rPr>
          <w:rFonts w:ascii="Arial" w:eastAsia="Calibri" w:hAnsi="Arial" w:cs="Arial"/>
          <w:b/>
          <w:sz w:val="20"/>
          <w:szCs w:val="20"/>
          <w:lang w:eastAsia="en-US"/>
        </w:rPr>
        <w:t>.</w:t>
      </w:r>
      <w:r w:rsidRPr="00184A8E">
        <w:rPr>
          <w:rFonts w:ascii="Arial" w:eastAsia="Calibri" w:hAnsi="Arial" w:cs="Arial"/>
          <w:sz w:val="20"/>
          <w:szCs w:val="20"/>
          <w:lang w:eastAsia="en-US"/>
        </w:rPr>
        <w:t xml:space="preserve"> godini plaćena </w:t>
      </w:r>
      <w:r>
        <w:rPr>
          <w:rFonts w:ascii="Arial" w:eastAsia="Calibri" w:hAnsi="Arial" w:cs="Arial"/>
          <w:sz w:val="20"/>
          <w:szCs w:val="20"/>
          <w:lang w:eastAsia="en-US"/>
        </w:rPr>
        <w:t xml:space="preserve">je </w:t>
      </w:r>
      <w:r w:rsidRPr="00184A8E">
        <w:rPr>
          <w:rFonts w:ascii="Arial" w:eastAsia="Calibri" w:hAnsi="Arial" w:cs="Arial"/>
          <w:sz w:val="20"/>
          <w:szCs w:val="20"/>
          <w:lang w:eastAsia="en-US"/>
        </w:rPr>
        <w:t xml:space="preserve">glavnica kredita u iznosu </w:t>
      </w:r>
      <w:r>
        <w:rPr>
          <w:rFonts w:ascii="Arial" w:eastAsia="Calibri" w:hAnsi="Arial" w:cs="Arial"/>
          <w:sz w:val="20"/>
          <w:szCs w:val="20"/>
          <w:lang w:eastAsia="en-US"/>
        </w:rPr>
        <w:t>99.683,20</w:t>
      </w:r>
      <w:r w:rsidRPr="00184A8E">
        <w:rPr>
          <w:rFonts w:ascii="Arial" w:eastAsia="Calibri" w:hAnsi="Arial" w:cs="Arial"/>
          <w:sz w:val="20"/>
          <w:szCs w:val="20"/>
          <w:lang w:eastAsia="en-US"/>
        </w:rPr>
        <w:t xml:space="preserve"> €</w:t>
      </w:r>
      <w:r>
        <w:rPr>
          <w:rFonts w:ascii="Arial" w:eastAsia="Calibri" w:hAnsi="Arial" w:cs="Arial"/>
          <w:sz w:val="20"/>
          <w:szCs w:val="20"/>
          <w:lang w:eastAsia="en-US"/>
        </w:rPr>
        <w:t xml:space="preserve">, te kamata u iznosu 2.802,39 € </w:t>
      </w:r>
      <w:r w:rsidRPr="00184A8E">
        <w:rPr>
          <w:rFonts w:ascii="Arial" w:eastAsia="Calibri" w:hAnsi="Arial" w:cs="Arial"/>
          <w:sz w:val="20"/>
          <w:szCs w:val="20"/>
          <w:lang w:eastAsia="en-US"/>
        </w:rPr>
        <w:t xml:space="preserve">ili sveukupno </w:t>
      </w:r>
      <w:r>
        <w:rPr>
          <w:rFonts w:ascii="Arial" w:eastAsia="Calibri" w:hAnsi="Arial" w:cs="Arial"/>
          <w:sz w:val="20"/>
          <w:szCs w:val="20"/>
          <w:lang w:eastAsia="en-US"/>
        </w:rPr>
        <w:t>102.485,59</w:t>
      </w:r>
      <w:r w:rsidRPr="00184A8E">
        <w:rPr>
          <w:rFonts w:ascii="Arial" w:eastAsia="Calibri" w:hAnsi="Arial" w:cs="Arial"/>
          <w:sz w:val="20"/>
          <w:szCs w:val="20"/>
          <w:lang w:eastAsia="en-US"/>
        </w:rPr>
        <w:t xml:space="preserve"> €. </w:t>
      </w:r>
    </w:p>
    <w:p w14:paraId="751304A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49FE12BB" w14:textId="60A27956" w:rsidR="00184A8E" w:rsidRPr="00184A8E" w:rsidRDefault="004E295A" w:rsidP="00184A8E">
      <w:pPr>
        <w:autoSpaceDE w:val="0"/>
        <w:autoSpaceDN w:val="0"/>
        <w:adjustRightInd w:val="0"/>
        <w:spacing w:after="0" w:line="240" w:lineRule="auto"/>
        <w:jc w:val="both"/>
        <w:rPr>
          <w:rFonts w:ascii="Arial" w:eastAsia="Calibri" w:hAnsi="Arial" w:cs="Arial"/>
          <w:sz w:val="20"/>
          <w:szCs w:val="20"/>
          <w:lang w:eastAsia="en-US"/>
        </w:rPr>
      </w:pPr>
      <w:r>
        <w:rPr>
          <w:rFonts w:ascii="Arial" w:eastAsia="Calibri" w:hAnsi="Arial" w:cs="Arial"/>
          <w:b/>
          <w:sz w:val="20"/>
          <w:szCs w:val="20"/>
          <w:lang w:eastAsia="en-US"/>
        </w:rPr>
        <w:t>4</w:t>
      </w:r>
      <w:r w:rsidR="00184A8E" w:rsidRPr="00184A8E">
        <w:rPr>
          <w:rFonts w:ascii="Arial" w:eastAsia="Calibri" w:hAnsi="Arial" w:cs="Arial"/>
          <w:b/>
          <w:sz w:val="20"/>
          <w:szCs w:val="20"/>
          <w:lang w:eastAsia="en-US"/>
        </w:rPr>
        <w:t xml:space="preserve">. A201206: </w:t>
      </w:r>
      <w:r w:rsidR="00184A8E" w:rsidRPr="00184A8E">
        <w:rPr>
          <w:rFonts w:ascii="Arial" w:eastAsia="Times New Roman" w:hAnsi="Arial" w:cs="Arial"/>
          <w:b/>
          <w:iCs/>
          <w:sz w:val="20"/>
          <w:szCs w:val="20"/>
          <w:lang w:eastAsia="en-US"/>
        </w:rPr>
        <w:t>Otplata primljenih kredita od banaka – vatrogasni dom</w:t>
      </w:r>
      <w:r w:rsidR="00184A8E" w:rsidRPr="00184A8E">
        <w:rPr>
          <w:rFonts w:ascii="Arial" w:eastAsia="Calibri" w:hAnsi="Arial" w:cs="Arial"/>
          <w:b/>
          <w:sz w:val="20"/>
          <w:szCs w:val="20"/>
          <w:lang w:eastAsia="en-US"/>
        </w:rPr>
        <w:t xml:space="preserve"> </w:t>
      </w:r>
      <w:r w:rsidR="00184A8E" w:rsidRPr="00184A8E">
        <w:rPr>
          <w:rFonts w:ascii="Arial" w:eastAsia="Calibri" w:hAnsi="Arial" w:cs="Arial"/>
          <w:sz w:val="20"/>
          <w:szCs w:val="20"/>
          <w:lang w:eastAsia="en-US"/>
        </w:rPr>
        <w:t xml:space="preserve">- u sklopu navedene aktivnosti su planirani rashodi u iznosu </w:t>
      </w:r>
      <w:r w:rsidR="00EE4D3F">
        <w:rPr>
          <w:rFonts w:ascii="Arial" w:eastAsia="Calibri" w:hAnsi="Arial" w:cs="Arial"/>
          <w:sz w:val="20"/>
          <w:szCs w:val="20"/>
          <w:lang w:eastAsia="en-US"/>
        </w:rPr>
        <w:t>693.500</w:t>
      </w:r>
      <w:r w:rsidR="00184A8E" w:rsidRPr="00184A8E">
        <w:rPr>
          <w:rFonts w:ascii="Arial" w:eastAsia="Calibri" w:hAnsi="Arial" w:cs="Arial"/>
          <w:sz w:val="20"/>
          <w:szCs w:val="20"/>
          <w:lang w:eastAsia="en-US"/>
        </w:rPr>
        <w:t xml:space="preserve"> € za </w:t>
      </w:r>
      <w:r w:rsidR="00EE4D3F">
        <w:rPr>
          <w:rFonts w:ascii="Arial" w:eastAsia="Calibri" w:hAnsi="Arial" w:cs="Arial"/>
          <w:sz w:val="20"/>
          <w:szCs w:val="20"/>
          <w:lang w:eastAsia="en-US"/>
        </w:rPr>
        <w:t xml:space="preserve">otplatu kredita korištenog za </w:t>
      </w:r>
      <w:r w:rsidR="00184A8E" w:rsidRPr="00184A8E">
        <w:rPr>
          <w:rFonts w:ascii="Arial" w:eastAsia="Calibri" w:hAnsi="Arial" w:cs="Arial"/>
          <w:sz w:val="20"/>
          <w:szCs w:val="20"/>
          <w:lang w:eastAsia="en-US"/>
        </w:rPr>
        <w:t xml:space="preserve">predfinanciranje izgradnje vatrogasnog doma (projekt za koji je osigurano iz EU sredstava do </w:t>
      </w:r>
      <w:r w:rsidR="00184A8E" w:rsidRPr="00184A8E">
        <w:rPr>
          <w:rFonts w:ascii="Arial" w:eastAsia="Times New Roman" w:hAnsi="Arial" w:cs="Arial"/>
          <w:sz w:val="18"/>
          <w:szCs w:val="18"/>
          <w:lang w:eastAsia="en-US"/>
        </w:rPr>
        <w:t>9.109.846,70 kn / 1.209.084,44 €</w:t>
      </w:r>
      <w:r w:rsidR="00184A8E" w:rsidRPr="00184A8E">
        <w:rPr>
          <w:rFonts w:ascii="Arial" w:eastAsia="Calibri" w:hAnsi="Arial" w:cs="Arial"/>
          <w:sz w:val="20"/>
          <w:szCs w:val="20"/>
          <w:lang w:eastAsia="en-US"/>
        </w:rPr>
        <w:t xml:space="preserve">). </w:t>
      </w:r>
    </w:p>
    <w:p w14:paraId="33215E4F" w14:textId="62574FF6" w:rsid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lang w:eastAsia="en-US"/>
        </w:rPr>
        <w:t xml:space="preserve">Temeljem ugovora o kreditu i otplatnog plana kao sastavnog dijela ugovora o kreditu za kapitalni projekt realiziran u 2022. godini potrebno je osigurati redovitu otplatu glavnice kredita i ugovorene kamate. </w:t>
      </w:r>
    </w:p>
    <w:p w14:paraId="2FADD1AD" w14:textId="067E7E01" w:rsidR="00EE4D3F" w:rsidRPr="00184A8E" w:rsidRDefault="00EE4D3F" w:rsidP="00184A8E">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U 2025. godini izvršen je prijevremeni povrat dijela glavnice kredita u iznosu 508.380,29 € iz ostvarene refundacije bespovratnih sredstava. Pored toga, otplaćena je glavnica kredita u iznosu 166.487,62 € ili sveukupno 674.867,91 €. Kamate su plaćene u iznosu 9.779,87 €. </w:t>
      </w:r>
    </w:p>
    <w:p w14:paraId="222BD664" w14:textId="77777777" w:rsidR="00184A8E" w:rsidRPr="00184A8E" w:rsidRDefault="00184A8E" w:rsidP="00184A8E">
      <w:pPr>
        <w:spacing w:after="0" w:line="240" w:lineRule="auto"/>
        <w:jc w:val="both"/>
        <w:rPr>
          <w:rFonts w:ascii="Arial" w:eastAsia="Calibri" w:hAnsi="Arial" w:cs="Arial"/>
          <w:sz w:val="10"/>
          <w:szCs w:val="10"/>
          <w:lang w:eastAsia="en-US"/>
        </w:rPr>
      </w:pPr>
    </w:p>
    <w:tbl>
      <w:tblPr>
        <w:tblStyle w:val="Reetkatablice5366"/>
        <w:tblW w:w="13675" w:type="dxa"/>
        <w:jc w:val="center"/>
        <w:tblLayout w:type="fixed"/>
        <w:tblLook w:val="04A0" w:firstRow="1" w:lastRow="0" w:firstColumn="1" w:lastColumn="0" w:noHBand="0" w:noVBand="1"/>
      </w:tblPr>
      <w:tblGrid>
        <w:gridCol w:w="2552"/>
        <w:gridCol w:w="2830"/>
        <w:gridCol w:w="922"/>
        <w:gridCol w:w="1418"/>
        <w:gridCol w:w="1417"/>
        <w:gridCol w:w="1134"/>
        <w:gridCol w:w="1134"/>
        <w:gridCol w:w="1134"/>
        <w:gridCol w:w="1134"/>
      </w:tblGrid>
      <w:tr w:rsidR="00184A8E" w:rsidRPr="00184A8E" w14:paraId="1E8BAFB4" w14:textId="77777777" w:rsidTr="00410A4B">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CC7E11"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283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E0D0D71"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2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5C99BE5" w14:textId="77777777" w:rsidR="00184A8E" w:rsidRPr="00302E57" w:rsidRDefault="00184A8E" w:rsidP="00184A8E">
            <w:pPr>
              <w:jc w:val="center"/>
              <w:rPr>
                <w:rFonts w:ascii="Arial" w:eastAsia="Calibri" w:hAnsi="Arial" w:cs="Arial"/>
                <w:sz w:val="18"/>
                <w:szCs w:val="18"/>
                <w:lang w:eastAsia="en-US"/>
              </w:rPr>
            </w:pPr>
            <w:r w:rsidRPr="00302E57">
              <w:rPr>
                <w:rFonts w:ascii="Arial" w:eastAsia="Calibri" w:hAnsi="Arial" w:cs="Arial"/>
                <w:sz w:val="18"/>
                <w:szCs w:val="18"/>
                <w:lang w:eastAsia="en-US"/>
              </w:rPr>
              <w:t>Jedinica</w:t>
            </w:r>
          </w:p>
        </w:tc>
        <w:tc>
          <w:tcPr>
            <w:tcW w:w="141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26E4CC7"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C8424B0" w14:textId="5625641D"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302E57">
              <w:rPr>
                <w:rFonts w:ascii="Arial" w:eastAsia="Calibri" w:hAnsi="Arial" w:cs="Arial"/>
                <w:lang w:eastAsia="en-US"/>
              </w:rPr>
              <w:t>4</w:t>
            </w:r>
            <w:r w:rsidRPr="00184A8E">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806F31" w14:textId="56C25062"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302E57">
              <w:rPr>
                <w:rFonts w:ascii="Arial" w:eastAsia="Calibri" w:hAnsi="Arial" w:cs="Arial"/>
                <w:lang w:eastAsia="en-US"/>
              </w:rPr>
              <w:t>5</w:t>
            </w:r>
            <w:r w:rsidRPr="00184A8E">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E36A35B" w14:textId="50DE35A6"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302E57">
              <w:rPr>
                <w:rFonts w:ascii="Arial" w:eastAsia="Calibri" w:hAnsi="Arial" w:cs="Arial"/>
                <w:lang w:eastAsia="en-US"/>
              </w:rPr>
              <w:t>5</w:t>
            </w:r>
            <w:r w:rsidRPr="00184A8E">
              <w:rPr>
                <w:rFonts w:ascii="Arial" w:eastAsia="Calibri" w:hAnsi="Arial" w:cs="Arial"/>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125E44E" w14:textId="2A00F4D6"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302E57">
              <w:rPr>
                <w:rFonts w:ascii="Arial" w:eastAsia="Calibri" w:hAnsi="Arial" w:cs="Arial"/>
                <w:lang w:eastAsia="en-US"/>
              </w:rPr>
              <w:t>6</w:t>
            </w:r>
            <w:r w:rsidRPr="00184A8E">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5B43CC1" w14:textId="5E402F90"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302E57">
              <w:rPr>
                <w:rFonts w:ascii="Arial" w:eastAsia="Calibri" w:hAnsi="Arial" w:cs="Arial"/>
                <w:lang w:eastAsia="en-US"/>
              </w:rPr>
              <w:t>7</w:t>
            </w:r>
            <w:r w:rsidRPr="00184A8E">
              <w:rPr>
                <w:rFonts w:ascii="Arial" w:eastAsia="Calibri" w:hAnsi="Arial" w:cs="Arial"/>
                <w:lang w:eastAsia="en-US"/>
              </w:rPr>
              <w:t>.</w:t>
            </w:r>
          </w:p>
        </w:tc>
      </w:tr>
      <w:tr w:rsidR="00184A8E" w:rsidRPr="00184A8E" w14:paraId="5512E4F1" w14:textId="77777777" w:rsidTr="00410A4B">
        <w:trPr>
          <w:trHeight w:val="401"/>
          <w:jc w:val="center"/>
        </w:trPr>
        <w:tc>
          <w:tcPr>
            <w:tcW w:w="2552" w:type="dxa"/>
            <w:tcBorders>
              <w:top w:val="single" w:sz="4" w:space="0" w:color="auto"/>
              <w:left w:val="single" w:sz="4" w:space="0" w:color="auto"/>
              <w:bottom w:val="single" w:sz="4" w:space="0" w:color="auto"/>
              <w:right w:val="single" w:sz="4" w:space="0" w:color="auto"/>
            </w:tcBorders>
            <w:vAlign w:val="center"/>
          </w:tcPr>
          <w:p w14:paraId="6FE03BF8" w14:textId="77777777" w:rsidR="00184A8E" w:rsidRPr="00184A8E" w:rsidRDefault="00184A8E" w:rsidP="00184A8E">
            <w:pPr>
              <w:autoSpaceDE w:val="0"/>
              <w:autoSpaceDN w:val="0"/>
              <w:adjustRightInd w:val="0"/>
              <w:rPr>
                <w:rFonts w:ascii="Arial" w:hAnsi="Arial" w:cs="Arial"/>
                <w:sz w:val="16"/>
                <w:szCs w:val="16"/>
                <w:lang w:eastAsia="en-US"/>
              </w:rPr>
            </w:pPr>
            <w:r w:rsidRPr="00184A8E">
              <w:rPr>
                <w:rFonts w:ascii="Arial" w:hAnsi="Arial" w:cs="Arial"/>
                <w:sz w:val="16"/>
                <w:szCs w:val="16"/>
                <w:lang w:eastAsia="en-US"/>
              </w:rPr>
              <w:t>Izvršenje svih obveza prema ugovorenim rokovima</w:t>
            </w:r>
          </w:p>
        </w:tc>
        <w:tc>
          <w:tcPr>
            <w:tcW w:w="2830" w:type="dxa"/>
            <w:tcBorders>
              <w:top w:val="single" w:sz="4" w:space="0" w:color="auto"/>
              <w:left w:val="single" w:sz="4" w:space="0" w:color="auto"/>
              <w:bottom w:val="single" w:sz="4" w:space="0" w:color="auto"/>
              <w:right w:val="single" w:sz="4" w:space="0" w:color="auto"/>
            </w:tcBorders>
          </w:tcPr>
          <w:p w14:paraId="0869800D" w14:textId="77777777" w:rsidR="00184A8E" w:rsidRPr="00184A8E" w:rsidRDefault="00184A8E" w:rsidP="00184A8E">
            <w:pPr>
              <w:autoSpaceDE w:val="0"/>
              <w:autoSpaceDN w:val="0"/>
              <w:adjustRightInd w:val="0"/>
              <w:rPr>
                <w:rFonts w:ascii="Arial" w:hAnsi="Arial" w:cs="Arial"/>
                <w:sz w:val="16"/>
                <w:szCs w:val="16"/>
                <w:lang w:eastAsia="en-US"/>
              </w:rPr>
            </w:pPr>
            <w:r w:rsidRPr="00184A8E">
              <w:rPr>
                <w:rFonts w:ascii="Arial" w:hAnsi="Arial" w:cs="Arial"/>
                <w:sz w:val="16"/>
                <w:szCs w:val="16"/>
                <w:lang w:eastAsia="en-US"/>
              </w:rPr>
              <w:t xml:space="preserve">Pravovremeno izvršenje ugovorenih obveza sukladno planovima otplate </w:t>
            </w:r>
          </w:p>
        </w:tc>
        <w:tc>
          <w:tcPr>
            <w:tcW w:w="922" w:type="dxa"/>
            <w:tcBorders>
              <w:top w:val="single" w:sz="4" w:space="0" w:color="auto"/>
              <w:left w:val="single" w:sz="4" w:space="0" w:color="auto"/>
              <w:bottom w:val="single" w:sz="4" w:space="0" w:color="auto"/>
              <w:right w:val="single" w:sz="4" w:space="0" w:color="auto"/>
            </w:tcBorders>
            <w:vAlign w:val="center"/>
            <w:hideMark/>
          </w:tcPr>
          <w:p w14:paraId="52621603" w14:textId="77777777" w:rsidR="00184A8E" w:rsidRPr="00184A8E" w:rsidRDefault="00184A8E" w:rsidP="00184A8E">
            <w:pPr>
              <w:jc w:val="center"/>
              <w:rPr>
                <w:rFonts w:ascii="Arial" w:hAnsi="Arial" w:cs="Arial"/>
                <w:lang w:eastAsia="en-US"/>
              </w:rPr>
            </w:pPr>
            <w:r w:rsidRPr="00184A8E">
              <w:rPr>
                <w:rFonts w:ascii="Arial" w:hAnsi="Arial" w:cs="Arial"/>
                <w:lang w:eastAsia="en-US"/>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7F36023" w14:textId="77777777" w:rsidR="00184A8E" w:rsidRPr="00184A8E" w:rsidRDefault="00184A8E" w:rsidP="00184A8E">
            <w:pPr>
              <w:jc w:val="center"/>
              <w:rPr>
                <w:rFonts w:ascii="Arial" w:hAnsi="Arial" w:cs="Arial"/>
                <w:lang w:eastAsia="en-US"/>
              </w:rPr>
            </w:pPr>
            <w:r w:rsidRPr="00184A8E">
              <w:rPr>
                <w:rFonts w:ascii="Arial" w:hAnsi="Arial" w:cs="Arial"/>
                <w:lang w:eastAsia="en-US"/>
              </w:rPr>
              <w:t>Općina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BBD988"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100 %</w:t>
            </w:r>
          </w:p>
        </w:tc>
        <w:tc>
          <w:tcPr>
            <w:tcW w:w="1134" w:type="dxa"/>
            <w:tcBorders>
              <w:top w:val="single" w:sz="4" w:space="0" w:color="auto"/>
              <w:left w:val="single" w:sz="4" w:space="0" w:color="auto"/>
              <w:bottom w:val="single" w:sz="4" w:space="0" w:color="auto"/>
              <w:right w:val="single" w:sz="4" w:space="0" w:color="auto"/>
            </w:tcBorders>
            <w:vAlign w:val="center"/>
          </w:tcPr>
          <w:p w14:paraId="379526CD"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tcPr>
          <w:p w14:paraId="6FFE4BA1"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9A8526F"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96F1204"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100 %</w:t>
            </w:r>
          </w:p>
        </w:tc>
      </w:tr>
    </w:tbl>
    <w:p w14:paraId="50E5C1F3" w14:textId="77777777" w:rsidR="00184A8E" w:rsidRPr="00184A8E" w:rsidRDefault="00184A8E" w:rsidP="00184A8E">
      <w:pPr>
        <w:spacing w:after="0" w:line="240" w:lineRule="auto"/>
        <w:jc w:val="both"/>
        <w:rPr>
          <w:rFonts w:ascii="Arial" w:eastAsia="Calibri" w:hAnsi="Arial" w:cs="Arial"/>
          <w:sz w:val="20"/>
          <w:szCs w:val="20"/>
        </w:rPr>
      </w:pPr>
    </w:p>
    <w:p w14:paraId="194E5D4C" w14:textId="5FD09C20" w:rsidR="00184A8E" w:rsidRPr="00184A8E" w:rsidRDefault="004E295A" w:rsidP="00184A8E">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b/>
          <w:sz w:val="20"/>
          <w:szCs w:val="20"/>
        </w:rPr>
        <w:t>5</w:t>
      </w:r>
      <w:r w:rsidR="00184A8E" w:rsidRPr="00184A8E">
        <w:rPr>
          <w:rFonts w:ascii="Arial" w:eastAsia="Calibri" w:hAnsi="Arial" w:cs="Arial"/>
          <w:b/>
          <w:sz w:val="20"/>
          <w:szCs w:val="20"/>
        </w:rPr>
        <w:t xml:space="preserve">. A201207: </w:t>
      </w:r>
      <w:r w:rsidR="00184A8E" w:rsidRPr="00184A8E">
        <w:rPr>
          <w:rFonts w:ascii="Arial" w:eastAsia="Times New Roman" w:hAnsi="Arial" w:cs="Arial"/>
          <w:b/>
          <w:iCs/>
          <w:sz w:val="20"/>
          <w:szCs w:val="20"/>
          <w:lang w:eastAsia="en-US"/>
        </w:rPr>
        <w:t>Otplata primljenih kredita od banaka – vrtić Gruda</w:t>
      </w:r>
      <w:r w:rsidR="00184A8E" w:rsidRPr="00184A8E">
        <w:rPr>
          <w:rFonts w:ascii="Arial" w:eastAsia="Calibri" w:hAnsi="Arial" w:cs="Arial"/>
          <w:b/>
          <w:sz w:val="20"/>
          <w:szCs w:val="20"/>
        </w:rPr>
        <w:t xml:space="preserve"> </w:t>
      </w:r>
      <w:r w:rsidR="00184A8E" w:rsidRPr="00184A8E">
        <w:rPr>
          <w:rFonts w:ascii="Arial" w:eastAsia="Calibri" w:hAnsi="Arial" w:cs="Arial"/>
          <w:sz w:val="20"/>
          <w:szCs w:val="20"/>
        </w:rPr>
        <w:t xml:space="preserve">- u sklopu navedene aktivnosti nisu planirani rashodi. Prvotno je bilo planirano predfinanciranje dogradnje i opremanja dječjeg vrtića s jaslicama Gruda (projekt za koji su bila osigurana EU sredstava do </w:t>
      </w:r>
      <w:r w:rsidR="00184A8E" w:rsidRPr="00184A8E">
        <w:rPr>
          <w:rFonts w:ascii="Arial" w:eastAsia="Times New Roman" w:hAnsi="Arial" w:cs="Arial"/>
          <w:sz w:val="18"/>
          <w:szCs w:val="18"/>
          <w:lang w:eastAsia="en-US"/>
        </w:rPr>
        <w:t>6.213.042,21 kn</w:t>
      </w:r>
      <w:r w:rsidR="00184A8E" w:rsidRPr="00184A8E">
        <w:rPr>
          <w:rFonts w:ascii="Arial" w:eastAsia="Calibri" w:hAnsi="Arial" w:cs="Arial"/>
          <w:sz w:val="20"/>
          <w:szCs w:val="20"/>
        </w:rPr>
        <w:t>). Bilo je planirano zaduživanje za predfinanciranje i financiranje investicije. Dva natječaja za izvoditelja radova izgradnje su poništena, te se privremeno odustalo od provedbe ovog projekta zbog nedostatka proračunskih sredstava.</w:t>
      </w:r>
    </w:p>
    <w:p w14:paraId="6E5DF42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Aktivnosti vezane uz opće ciljeve postignute su sukladno postocima izvršenja, a izvršenje rashoda je u okviru očekivanih vrijednosti.</w:t>
      </w:r>
      <w:r w:rsidRPr="00184A8E">
        <w:rPr>
          <w:rFonts w:ascii="Arial" w:eastAsia="Calibri" w:hAnsi="Arial" w:cs="Arial"/>
          <w:sz w:val="20"/>
          <w:szCs w:val="20"/>
        </w:rPr>
        <w:br w:type="page"/>
      </w:r>
    </w:p>
    <w:p w14:paraId="256CDB02"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476" w:name="_Toc435014679"/>
      <w:bookmarkStart w:id="477" w:name="_Toc200628522"/>
      <w:bookmarkStart w:id="478" w:name="_Toc232981454"/>
      <w:r w:rsidRPr="00184A8E">
        <w:rPr>
          <w:rFonts w:ascii="Times New Roman" w:eastAsia="Calibri" w:hAnsi="Times New Roman" w:cs="Times New Roman"/>
          <w:b/>
          <w:sz w:val="24"/>
          <w:szCs w:val="20"/>
          <w:lang w:eastAsia="en-US"/>
        </w:rPr>
        <w:lastRenderedPageBreak/>
        <w:t>Program (2072): Redovan rad udruga za vatrogastvo</w:t>
      </w:r>
      <w:bookmarkEnd w:id="476"/>
      <w:bookmarkEnd w:id="477"/>
      <w:bookmarkEnd w:id="478"/>
    </w:p>
    <w:p w14:paraId="5C1A96FE"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3"/>
        <w:gridCol w:w="13007"/>
      </w:tblGrid>
      <w:tr w:rsidR="00184A8E" w:rsidRPr="00184A8E" w14:paraId="19753E96" w14:textId="77777777" w:rsidTr="00410A4B">
        <w:tc>
          <w:tcPr>
            <w:tcW w:w="1553" w:type="dxa"/>
          </w:tcPr>
          <w:p w14:paraId="031F821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3007" w:type="dxa"/>
          </w:tcPr>
          <w:p w14:paraId="6ACF6554"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Prema zakonskoj regulativi Općina je obvezna izdvojiti iz Proračuna propisani iznos sredstava za vatrogastvo – dobrovoljna vatrogasna društva.</w:t>
            </w:r>
          </w:p>
          <w:p w14:paraId="316F3CB5"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Pod osnovnom djelatnošću Vatrogasne zajednice planirana su sredstva čije iznose i obvezu plaćanja propisuje Zakon o vatrogastvu. Iz tih sredstava nabavlja se oprema za dobrovoljna vatrogasna društva i vatrogasnu zajednicu, potiče se i održava funkcioniranje dobrovoljnog vatrogastva, te izvršavaju druge propisane aktivnosti Vatrogasne zajednice. Program realizira Vatrogasna zajednica Općine i dobrovoljna vatrogasna društva uz koordinaciju Javne vatrogasne postrojbe.</w:t>
            </w:r>
          </w:p>
          <w:p w14:paraId="1378B99C"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Sukladno propisima o zaštiti od požara, kontinuirano se izrađuju i održavaju protupožarni putovi. Nepredviđeni rashodi i rizici ovog programa bi mogli nastati uslijed pojave požara većih razmjera ili elementarnih nepogoda.</w:t>
            </w:r>
          </w:p>
        </w:tc>
      </w:tr>
      <w:tr w:rsidR="00184A8E" w:rsidRPr="00184A8E" w14:paraId="37E72CC1" w14:textId="77777777" w:rsidTr="00410A4B">
        <w:tc>
          <w:tcPr>
            <w:tcW w:w="1553" w:type="dxa"/>
          </w:tcPr>
          <w:p w14:paraId="41EEBAB6" w14:textId="77777777" w:rsidR="00184A8E" w:rsidRPr="00184A8E" w:rsidRDefault="00184A8E" w:rsidP="00184A8E">
            <w:pPr>
              <w:spacing w:after="0" w:line="240" w:lineRule="auto"/>
              <w:jc w:val="both"/>
              <w:rPr>
                <w:rFonts w:ascii="Arial" w:eastAsia="Calibri" w:hAnsi="Arial" w:cs="Arial"/>
                <w:sz w:val="18"/>
                <w:szCs w:val="18"/>
                <w:lang w:eastAsia="en-US"/>
              </w:rPr>
            </w:pPr>
            <w:r w:rsidRPr="00184A8E">
              <w:rPr>
                <w:rFonts w:ascii="Arial" w:eastAsia="Calibri" w:hAnsi="Arial" w:cs="Arial"/>
                <w:sz w:val="18"/>
                <w:szCs w:val="18"/>
                <w:lang w:eastAsia="en-US"/>
              </w:rPr>
              <w:t>ZAKONSKE I DRUGE PRAVNE OSNOVE PROGRAMA:</w:t>
            </w:r>
          </w:p>
        </w:tc>
        <w:tc>
          <w:tcPr>
            <w:tcW w:w="13007" w:type="dxa"/>
          </w:tcPr>
          <w:p w14:paraId="7E7DB71F" w14:textId="13271475"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rPr>
              <w:t>Zakon o lokalnoj i područnoj (regionalnoj) samoupravi (NN 33/01,60/01,129/05, 109/07,125/08, 36/09, 150/11, 144/12, 19/13, 137/15, 123/17, 98/19, 144/20), Zakon o vatrogastvu (NN 125/19, 114/22</w:t>
            </w:r>
            <w:r w:rsidR="00302E57">
              <w:rPr>
                <w:rFonts w:ascii="Arial" w:eastAsia="Times New Roman" w:hAnsi="Arial" w:cs="Arial"/>
                <w:sz w:val="20"/>
                <w:szCs w:val="20"/>
              </w:rPr>
              <w:t>, 155/23</w:t>
            </w:r>
            <w:r w:rsidRPr="00184A8E">
              <w:rPr>
                <w:rFonts w:ascii="Arial" w:eastAsia="Times New Roman" w:hAnsi="Arial" w:cs="Arial"/>
                <w:sz w:val="20"/>
                <w:szCs w:val="20"/>
              </w:rPr>
              <w:t xml:space="preserve">), </w:t>
            </w:r>
            <w:r w:rsidRPr="00184A8E">
              <w:rPr>
                <w:rFonts w:ascii="Arial" w:eastAsia="Calibri" w:hAnsi="Arial" w:cs="Arial"/>
                <w:sz w:val="20"/>
                <w:szCs w:val="20"/>
              </w:rPr>
              <w:t xml:space="preserve">Zakon o zaštiti od požara (NN 92/10, 114/22), </w:t>
            </w:r>
            <w:r w:rsidRPr="00184A8E">
              <w:rPr>
                <w:rFonts w:ascii="Arial" w:eastAsia="Times New Roman" w:hAnsi="Arial" w:cs="Arial"/>
                <w:sz w:val="20"/>
                <w:szCs w:val="20"/>
              </w:rPr>
              <w:t>Zakon o udrugama (NN 74/14, 70/17, 98/19, 151/22), Statut Općine i drugi akti</w:t>
            </w:r>
          </w:p>
        </w:tc>
      </w:tr>
      <w:tr w:rsidR="00184A8E" w:rsidRPr="00184A8E" w14:paraId="3F4A402E" w14:textId="77777777" w:rsidTr="00410A4B">
        <w:tc>
          <w:tcPr>
            <w:tcW w:w="1553" w:type="dxa"/>
          </w:tcPr>
          <w:p w14:paraId="3AACB1C5"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3007" w:type="dxa"/>
          </w:tcPr>
          <w:p w14:paraId="0E2C9B40"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Cilj 1. - Postizanje učinkovite protupožarne zaštite radi sprječavanja nastanka požara</w:t>
            </w:r>
          </w:p>
          <w:p w14:paraId="604CA111"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Zaštita ljudi i imovine.</w:t>
            </w:r>
          </w:p>
          <w:p w14:paraId="76CBF991"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 xml:space="preserve">Protupožarna preventiva, kao bitan čimbenik zaštite od požara, smanjuje mogućnost nastanka štetnih događaja. Preventivom se građanstvo osposobljava za samozaštitu od požara, kako za poduzimanje mjera da do štetnog događaja ne dođe, tako i za otklanjanje opasnosti na najučinkovitiji način sa što manjim štetnim posljedicama, ako do štetnog događaja ipak dođe. </w:t>
            </w:r>
          </w:p>
          <w:p w14:paraId="0A321B34"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Glavni cilj je svrsishodno upravljanje sredstvima Programa te uloženim radom i sredstvima postići što višu razinu zaštite ljudi i imovine od požara, prirodnih nepogoda i unapređenje preventivnih mjera zaštite.</w:t>
            </w:r>
          </w:p>
        </w:tc>
      </w:tr>
      <w:tr w:rsidR="00184A8E" w:rsidRPr="00184A8E" w14:paraId="3482DB3E" w14:textId="77777777" w:rsidTr="00410A4B">
        <w:tc>
          <w:tcPr>
            <w:tcW w:w="1553" w:type="dxa"/>
            <w:vAlign w:val="bottom"/>
          </w:tcPr>
          <w:p w14:paraId="1E8CF796"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3007" w:type="dxa"/>
            <w:vAlign w:val="bottom"/>
          </w:tcPr>
          <w:p w14:paraId="2102E4ED"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Normalno funkcioniranje protupožarne zaštite, te razvijanje dobrovoljstva i humanitarnog djelovanja, odnosno osigurati preduvjete za zaštitu od požara.</w:t>
            </w:r>
          </w:p>
          <w:p w14:paraId="07150AC1"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Edukacija, organizacija, opremanje u cilju efikasnije zaštite.</w:t>
            </w:r>
            <w:r w:rsidRPr="00184A8E">
              <w:rPr>
                <w:rFonts w:ascii="Times New Roman" w:eastAsia="Times New Roman" w:hAnsi="Times New Roman" w:cs="Times New Roman"/>
                <w:sz w:val="20"/>
                <w:szCs w:val="20"/>
                <w:lang w:eastAsia="en-US"/>
              </w:rPr>
              <w:t xml:space="preserve"> </w:t>
            </w:r>
            <w:r w:rsidRPr="00184A8E">
              <w:rPr>
                <w:rFonts w:ascii="Arial" w:eastAsia="Calibri" w:hAnsi="Arial" w:cs="Arial"/>
                <w:sz w:val="20"/>
                <w:szCs w:val="20"/>
                <w:lang w:eastAsia="en-US"/>
              </w:rPr>
              <w:t>Unaprjeđenje vatrogasne opreme te smanjenje rizika od požara na području Općine.</w:t>
            </w:r>
          </w:p>
          <w:p w14:paraId="4D4A397F"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Smanjenje broja intervencija u teku</w:t>
            </w:r>
            <w:r w:rsidRPr="00184A8E">
              <w:rPr>
                <w:rFonts w:ascii="Arial" w:eastAsia="TimesNewRoman" w:hAnsi="Arial" w:cs="Arial"/>
                <w:sz w:val="20"/>
                <w:szCs w:val="20"/>
                <w:lang w:eastAsia="en-US"/>
              </w:rPr>
              <w:t>ć</w:t>
            </w:r>
            <w:r w:rsidRPr="00184A8E">
              <w:rPr>
                <w:rFonts w:ascii="Arial" w:eastAsia="Calibri" w:hAnsi="Arial" w:cs="Arial"/>
                <w:sz w:val="20"/>
                <w:szCs w:val="20"/>
                <w:lang w:eastAsia="en-US"/>
              </w:rPr>
              <w:t>oj godini, rad na prevenciji, opremanje postrojbi osobnom zaštitnom opremom, nedostaju</w:t>
            </w:r>
            <w:r w:rsidRPr="00184A8E">
              <w:rPr>
                <w:rFonts w:ascii="Arial" w:eastAsia="TimesNewRoman" w:hAnsi="Arial" w:cs="Arial"/>
                <w:sz w:val="20"/>
                <w:szCs w:val="20"/>
                <w:lang w:eastAsia="en-US"/>
              </w:rPr>
              <w:t>ć</w:t>
            </w:r>
            <w:r w:rsidRPr="00184A8E">
              <w:rPr>
                <w:rFonts w:ascii="Arial" w:eastAsia="Calibri" w:hAnsi="Arial" w:cs="Arial"/>
                <w:sz w:val="20"/>
                <w:szCs w:val="20"/>
                <w:lang w:eastAsia="en-US"/>
              </w:rPr>
              <w:t>om tehnikom, alatima i drugo.</w:t>
            </w:r>
          </w:p>
          <w:p w14:paraId="338C9D7F"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Stupanj opremljenosti postrojbi vatrogasne zaštite, brzina i uspješnost intervencija.</w:t>
            </w:r>
          </w:p>
        </w:tc>
      </w:tr>
    </w:tbl>
    <w:p w14:paraId="1B21A5A7" w14:textId="77777777" w:rsidR="00184A8E" w:rsidRPr="00184A8E" w:rsidRDefault="00184A8E" w:rsidP="00184A8E">
      <w:pPr>
        <w:spacing w:after="0" w:line="240" w:lineRule="auto"/>
        <w:jc w:val="both"/>
        <w:rPr>
          <w:rFonts w:ascii="Arial" w:eastAsia="Calibri" w:hAnsi="Arial" w:cs="Arial"/>
          <w:sz w:val="16"/>
          <w:szCs w:val="20"/>
          <w:lang w:eastAsia="en-US"/>
        </w:rPr>
      </w:pPr>
    </w:p>
    <w:p w14:paraId="74DCC01F"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53C357E7" w14:textId="77777777" w:rsidR="00184A8E" w:rsidRPr="00184A8E" w:rsidRDefault="00184A8E" w:rsidP="00184A8E">
      <w:pPr>
        <w:spacing w:after="0" w:line="240" w:lineRule="auto"/>
        <w:jc w:val="both"/>
        <w:rPr>
          <w:rFonts w:ascii="Arial" w:eastAsia="Calibri" w:hAnsi="Arial" w:cs="Arial"/>
          <w:sz w:val="16"/>
          <w:szCs w:val="20"/>
          <w:lang w:eastAsia="en-US"/>
        </w:rPr>
      </w:pPr>
    </w:p>
    <w:p w14:paraId="08100F77" w14:textId="334E588E"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6B2DF3D6" w14:textId="77777777" w:rsidR="00184A8E" w:rsidRPr="00184A8E" w:rsidRDefault="00184A8E" w:rsidP="00184A8E">
      <w:pPr>
        <w:spacing w:after="0" w:line="240" w:lineRule="auto"/>
        <w:rPr>
          <w:rFonts w:ascii="Arial" w:eastAsia="Calibri" w:hAnsi="Arial" w:cs="Arial"/>
          <w:sz w:val="12"/>
          <w:szCs w:val="12"/>
        </w:rPr>
      </w:pPr>
    </w:p>
    <w:p w14:paraId="5CF04E01" w14:textId="3B4C5045" w:rsidR="00184A8E" w:rsidRPr="00184A8E" w:rsidRDefault="006E5DB1" w:rsidP="00184A8E">
      <w:pPr>
        <w:spacing w:after="0" w:line="240" w:lineRule="auto"/>
        <w:rPr>
          <w:rFonts w:ascii="Arial" w:eastAsia="Calibri" w:hAnsi="Arial" w:cs="Arial"/>
          <w:color w:val="FF0000"/>
          <w:sz w:val="12"/>
          <w:szCs w:val="12"/>
        </w:rPr>
      </w:pPr>
      <w:r w:rsidRPr="006E5DB1">
        <w:rPr>
          <w:noProof/>
        </w:rPr>
        <w:drawing>
          <wp:inline distT="0" distB="0" distL="0" distR="0" wp14:anchorId="23A1ED6B" wp14:editId="42C1703E">
            <wp:extent cx="9251950" cy="1318260"/>
            <wp:effectExtent l="0" t="0" r="6350" b="0"/>
            <wp:docPr id="529284645"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9251950" cy="1318260"/>
                    </a:xfrm>
                    <a:prstGeom prst="rect">
                      <a:avLst/>
                    </a:prstGeom>
                    <a:noFill/>
                    <a:ln>
                      <a:noFill/>
                    </a:ln>
                  </pic:spPr>
                </pic:pic>
              </a:graphicData>
            </a:graphic>
          </wp:inline>
        </w:drawing>
      </w:r>
    </w:p>
    <w:p w14:paraId="09ED608C" w14:textId="77777777" w:rsidR="00184A8E" w:rsidRPr="00184A8E" w:rsidRDefault="00184A8E" w:rsidP="00184A8E">
      <w:pPr>
        <w:spacing w:after="0" w:line="240" w:lineRule="auto"/>
        <w:rPr>
          <w:rFonts w:ascii="Arial" w:eastAsia="Calibri" w:hAnsi="Arial" w:cs="Arial"/>
          <w:color w:val="FF0000"/>
          <w:sz w:val="12"/>
          <w:szCs w:val="12"/>
        </w:rPr>
      </w:pPr>
    </w:p>
    <w:p w14:paraId="729D88B6"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lastRenderedPageBreak/>
        <w:t>RAZLOG ODSTUPANJA OD PROŠLOGODIŠNJIH PROJEKCIJA</w:t>
      </w:r>
      <w:r w:rsidRPr="00184A8E">
        <w:rPr>
          <w:rFonts w:ascii="Arial" w:eastAsia="Times New Roman" w:hAnsi="Arial" w:cs="Arial"/>
          <w:sz w:val="20"/>
          <w:szCs w:val="20"/>
          <w:lang w:eastAsia="en-US"/>
        </w:rPr>
        <w:t xml:space="preserve">: </w:t>
      </w:r>
    </w:p>
    <w:p w14:paraId="2092B49E"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3727C6AC"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0BFD93F2"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1A216E21" w14:textId="77777777" w:rsidR="00184A8E" w:rsidRPr="00184A8E" w:rsidRDefault="00184A8E" w:rsidP="00184A8E">
      <w:pPr>
        <w:shd w:val="clear" w:color="auto" w:fill="FFFFFF"/>
        <w:spacing w:after="0" w:line="240" w:lineRule="auto"/>
        <w:jc w:val="both"/>
        <w:rPr>
          <w:rFonts w:ascii="Arial" w:eastAsia="Calibri" w:hAnsi="Arial" w:cs="Arial"/>
          <w:sz w:val="20"/>
          <w:szCs w:val="20"/>
        </w:rPr>
      </w:pPr>
      <w:r w:rsidRPr="00184A8E">
        <w:rPr>
          <w:rFonts w:ascii="Arial" w:eastAsia="Calibri" w:hAnsi="Arial" w:cs="Arial"/>
          <w:b/>
          <w:sz w:val="20"/>
          <w:szCs w:val="20"/>
        </w:rPr>
        <w:t>Izvještaj o postignutim ciljevima i rezultatima programa temeljenim na pokazateljima uspješnosti u prethodnoj godini</w:t>
      </w:r>
      <w:r w:rsidRPr="00184A8E">
        <w:rPr>
          <w:rFonts w:ascii="Arial" w:eastAsia="Calibri" w:hAnsi="Arial" w:cs="Arial"/>
          <w:sz w:val="20"/>
          <w:szCs w:val="20"/>
        </w:rPr>
        <w:t>: Izvršenje je u okviru očekivanih vrijednosti.</w:t>
      </w:r>
    </w:p>
    <w:p w14:paraId="0F8A98D8" w14:textId="30F5EFBE"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Planirana sredstva za ostvarenje navedenog programa iznose 1</w:t>
      </w:r>
      <w:r w:rsidR="006E5DB1">
        <w:rPr>
          <w:rFonts w:ascii="Arial" w:eastAsia="Calibri" w:hAnsi="Arial" w:cs="Arial"/>
          <w:sz w:val="20"/>
          <w:szCs w:val="20"/>
          <w:lang w:eastAsia="en-US"/>
        </w:rPr>
        <w:t>8</w:t>
      </w:r>
      <w:r w:rsidRPr="00184A8E">
        <w:rPr>
          <w:rFonts w:ascii="Arial" w:eastAsia="Calibri" w:hAnsi="Arial" w:cs="Arial"/>
          <w:sz w:val="20"/>
          <w:szCs w:val="20"/>
          <w:lang w:eastAsia="en-US"/>
        </w:rPr>
        <w:t>0.000 € za 202</w:t>
      </w:r>
      <w:r w:rsidR="006E5DB1">
        <w:rPr>
          <w:rFonts w:ascii="Arial" w:eastAsia="Calibri" w:hAnsi="Arial" w:cs="Arial"/>
          <w:sz w:val="20"/>
          <w:szCs w:val="20"/>
          <w:lang w:eastAsia="en-US"/>
        </w:rPr>
        <w:t>5</w:t>
      </w:r>
      <w:r w:rsidRPr="00184A8E">
        <w:rPr>
          <w:rFonts w:ascii="Arial" w:eastAsia="Calibri" w:hAnsi="Arial" w:cs="Arial"/>
          <w:sz w:val="20"/>
          <w:szCs w:val="20"/>
          <w:lang w:eastAsia="en-US"/>
        </w:rPr>
        <w:t>., a za 202</w:t>
      </w:r>
      <w:r w:rsidR="006E5DB1">
        <w:rPr>
          <w:rFonts w:ascii="Arial" w:eastAsia="Calibri" w:hAnsi="Arial" w:cs="Arial"/>
          <w:sz w:val="20"/>
          <w:szCs w:val="20"/>
          <w:lang w:eastAsia="en-US"/>
        </w:rPr>
        <w:t>6</w:t>
      </w:r>
      <w:r w:rsidRPr="00184A8E">
        <w:rPr>
          <w:rFonts w:ascii="Arial" w:eastAsia="Calibri" w:hAnsi="Arial" w:cs="Arial"/>
          <w:sz w:val="20"/>
          <w:szCs w:val="20"/>
          <w:lang w:eastAsia="en-US"/>
        </w:rPr>
        <w:t>. i 202</w:t>
      </w:r>
      <w:r w:rsidR="006E5DB1">
        <w:rPr>
          <w:rFonts w:ascii="Arial" w:eastAsia="Calibri" w:hAnsi="Arial" w:cs="Arial"/>
          <w:sz w:val="20"/>
          <w:szCs w:val="20"/>
          <w:lang w:eastAsia="en-US"/>
        </w:rPr>
        <w:t>7</w:t>
      </w:r>
      <w:r w:rsidRPr="00184A8E">
        <w:rPr>
          <w:rFonts w:ascii="Arial" w:eastAsia="Calibri" w:hAnsi="Arial" w:cs="Arial"/>
          <w:sz w:val="20"/>
          <w:szCs w:val="20"/>
          <w:lang w:eastAsia="en-US"/>
        </w:rPr>
        <w:t>. iznose 1</w:t>
      </w:r>
      <w:r w:rsidR="006E5DB1">
        <w:rPr>
          <w:rFonts w:ascii="Arial" w:eastAsia="Calibri" w:hAnsi="Arial" w:cs="Arial"/>
          <w:sz w:val="20"/>
          <w:szCs w:val="20"/>
          <w:lang w:eastAsia="en-US"/>
        </w:rPr>
        <w:t>85</w:t>
      </w:r>
      <w:r w:rsidRPr="00184A8E">
        <w:rPr>
          <w:rFonts w:ascii="Arial" w:eastAsia="Calibri" w:hAnsi="Arial" w:cs="Arial"/>
          <w:sz w:val="20"/>
          <w:szCs w:val="20"/>
          <w:lang w:eastAsia="en-US"/>
        </w:rPr>
        <w:t>.000 €.</w:t>
      </w:r>
    </w:p>
    <w:p w14:paraId="53165A6E" w14:textId="508CFB25"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Rashodi za 202</w:t>
      </w:r>
      <w:r w:rsidR="006E5DB1">
        <w:rPr>
          <w:rFonts w:ascii="Arial" w:eastAsia="Calibri" w:hAnsi="Arial" w:cs="Arial"/>
          <w:sz w:val="20"/>
          <w:szCs w:val="20"/>
          <w:lang w:eastAsia="en-US"/>
        </w:rPr>
        <w:t>5</w:t>
      </w:r>
      <w:r w:rsidRPr="00184A8E">
        <w:rPr>
          <w:rFonts w:ascii="Arial" w:eastAsia="Calibri" w:hAnsi="Arial" w:cs="Arial"/>
          <w:sz w:val="20"/>
          <w:szCs w:val="20"/>
          <w:lang w:eastAsia="en-US"/>
        </w:rPr>
        <w:t>. su izvršeni u iznosu 1</w:t>
      </w:r>
      <w:r w:rsidR="006E5DB1">
        <w:rPr>
          <w:rFonts w:ascii="Arial" w:eastAsia="Calibri" w:hAnsi="Arial" w:cs="Arial"/>
          <w:sz w:val="20"/>
          <w:szCs w:val="20"/>
          <w:lang w:eastAsia="en-US"/>
        </w:rPr>
        <w:t>8</w:t>
      </w:r>
      <w:r w:rsidRPr="00184A8E">
        <w:rPr>
          <w:rFonts w:ascii="Arial" w:eastAsia="Calibri" w:hAnsi="Arial" w:cs="Arial"/>
          <w:sz w:val="20"/>
          <w:szCs w:val="20"/>
          <w:lang w:eastAsia="en-US"/>
        </w:rPr>
        <w:t xml:space="preserve">0.000 € ili </w:t>
      </w:r>
      <w:r w:rsidR="006E5DB1">
        <w:rPr>
          <w:rFonts w:ascii="Arial" w:eastAsia="Calibri" w:hAnsi="Arial" w:cs="Arial"/>
          <w:sz w:val="20"/>
          <w:szCs w:val="20"/>
          <w:lang w:eastAsia="en-US"/>
        </w:rPr>
        <w:t>100</w:t>
      </w:r>
      <w:r w:rsidRPr="00184A8E">
        <w:rPr>
          <w:rFonts w:ascii="Arial" w:eastAsia="Calibri" w:hAnsi="Arial" w:cs="Arial"/>
          <w:sz w:val="20"/>
          <w:szCs w:val="20"/>
          <w:lang w:eastAsia="en-US"/>
        </w:rPr>
        <w:t>%.</w:t>
      </w:r>
    </w:p>
    <w:p w14:paraId="1B97FE2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bookmarkStart w:id="479" w:name="_Hlk230094124"/>
    </w:p>
    <w:p w14:paraId="30FD45D4"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7F6CA9EF" w14:textId="77777777" w:rsidR="00184A8E" w:rsidRPr="00184A8E" w:rsidRDefault="00184A8E" w:rsidP="00184A8E">
      <w:pPr>
        <w:spacing w:after="0" w:line="240" w:lineRule="auto"/>
        <w:jc w:val="both"/>
        <w:rPr>
          <w:rFonts w:ascii="Arial" w:eastAsia="Calibri" w:hAnsi="Arial" w:cs="Arial"/>
          <w:sz w:val="20"/>
          <w:szCs w:val="20"/>
          <w:lang w:eastAsia="en-US"/>
        </w:rPr>
      </w:pPr>
    </w:p>
    <w:p w14:paraId="06C02073" w14:textId="77777777" w:rsidR="00184A8E" w:rsidRPr="00184A8E" w:rsidRDefault="00184A8E" w:rsidP="00184A8E">
      <w:pPr>
        <w:spacing w:after="0" w:line="240" w:lineRule="auto"/>
        <w:jc w:val="both"/>
        <w:rPr>
          <w:rFonts w:ascii="Arial" w:eastAsia="Calibri" w:hAnsi="Arial" w:cs="Arial"/>
          <w:bCs/>
          <w:sz w:val="20"/>
          <w:szCs w:val="20"/>
          <w:lang w:eastAsia="en-US"/>
        </w:rPr>
      </w:pPr>
      <w:r w:rsidRPr="00184A8E">
        <w:rPr>
          <w:rFonts w:ascii="Arial" w:eastAsia="Calibri" w:hAnsi="Arial" w:cs="Arial"/>
          <w:bCs/>
          <w:sz w:val="20"/>
          <w:szCs w:val="20"/>
          <w:lang w:eastAsia="en-US"/>
        </w:rPr>
        <w:t>Unutar programa izvode se slijedeće aktivnosti i projekti:</w:t>
      </w:r>
    </w:p>
    <w:p w14:paraId="13A9A18A" w14:textId="77777777" w:rsidR="00184A8E" w:rsidRPr="00184A8E" w:rsidRDefault="00184A8E" w:rsidP="00184A8E">
      <w:pPr>
        <w:spacing w:after="0" w:line="240" w:lineRule="auto"/>
        <w:jc w:val="both"/>
        <w:rPr>
          <w:rFonts w:ascii="Arial" w:eastAsia="Calibri" w:hAnsi="Arial" w:cs="Arial"/>
          <w:sz w:val="20"/>
          <w:szCs w:val="20"/>
        </w:rPr>
      </w:pPr>
    </w:p>
    <w:p w14:paraId="6DA6E2BA" w14:textId="5D4FA962"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rPr>
        <w:t>1. A207201: Osnovne aktivnosti Vatrogasne zajednice Općine</w:t>
      </w:r>
      <w:r w:rsidRPr="00184A8E">
        <w:rPr>
          <w:rFonts w:ascii="Arial" w:eastAsia="Calibri" w:hAnsi="Arial" w:cs="Arial"/>
          <w:sz w:val="20"/>
          <w:szCs w:val="20"/>
        </w:rPr>
        <w:t xml:space="preserve"> - u sklopu navedene aktivnosti planirani su rashodi za donacije vatrogasnoj zajednici u skladu s obvezama iz Zakona o vatrogastvu. Planirana sredstva za provođenje navedene aktivnosti iznose </w:t>
      </w:r>
      <w:r w:rsidR="00E02922">
        <w:rPr>
          <w:rFonts w:ascii="Arial" w:eastAsia="Calibri" w:hAnsi="Arial" w:cs="Arial"/>
          <w:sz w:val="20"/>
          <w:szCs w:val="20"/>
        </w:rPr>
        <w:t>180</w:t>
      </w:r>
      <w:r w:rsidRPr="00184A8E">
        <w:rPr>
          <w:rFonts w:ascii="Arial" w:eastAsia="Calibri" w:hAnsi="Arial" w:cs="Arial"/>
          <w:sz w:val="20"/>
          <w:szCs w:val="20"/>
        </w:rPr>
        <w:t>.000 €. Rashodi su izvršeni u iznosu 1</w:t>
      </w:r>
      <w:r w:rsidR="00E02922">
        <w:rPr>
          <w:rFonts w:ascii="Arial" w:eastAsia="Calibri" w:hAnsi="Arial" w:cs="Arial"/>
          <w:sz w:val="20"/>
          <w:szCs w:val="20"/>
        </w:rPr>
        <w:t>8</w:t>
      </w:r>
      <w:r w:rsidRPr="00184A8E">
        <w:rPr>
          <w:rFonts w:ascii="Arial" w:eastAsia="Calibri" w:hAnsi="Arial" w:cs="Arial"/>
          <w:sz w:val="20"/>
          <w:szCs w:val="20"/>
        </w:rPr>
        <w:t xml:space="preserve">0.000 € ili </w:t>
      </w:r>
      <w:r w:rsidR="00E02922">
        <w:rPr>
          <w:rFonts w:ascii="Arial" w:eastAsia="Calibri" w:hAnsi="Arial" w:cs="Arial"/>
          <w:sz w:val="20"/>
          <w:szCs w:val="20"/>
        </w:rPr>
        <w:t>100</w:t>
      </w:r>
      <w:r w:rsidRPr="00184A8E">
        <w:rPr>
          <w:rFonts w:ascii="Arial" w:eastAsia="Calibri" w:hAnsi="Arial" w:cs="Arial"/>
          <w:sz w:val="20"/>
          <w:szCs w:val="20"/>
        </w:rPr>
        <w:t xml:space="preserve">%. Vatrogasna zajednica navedena sredstva troši za plaće vatrogasaca i administrativnog osoblja, tekuće i investicijsko održavanje prijevoznih sredstava, osiguranje i registracije prijevoznih sredstava, nabavu vatrogasne opreme, zaštitne odjeće i obuće, vatrogasne cijevi, zdravstvene preglede vatrogasaca, gorivo za vatrogasna vozila i sl. </w:t>
      </w:r>
    </w:p>
    <w:p w14:paraId="3654F13B"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p>
    <w:p w14:paraId="73B7416B"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 xml:space="preserve">Sukladno Zakonu o vatrogastvu, općina, grad i županija s proračunom od 45.000.000 kn / 5.972.526,38 €/ izdvaja 2% sredstava iz proračuna, a svakim povećanjem proračunskih sredstava za 10.000.000 kn / 1.327.228,08 €/ izdvajanje se smanjuje za 0,1%, s tim da smanjenje ne može biti manje od 1% ukupnih proračunskih sredstava, općine, grada ili županije, a Grad Zagreb izdvaja 0,35% iz proračuna Grada Zagreba. </w:t>
      </w:r>
    </w:p>
    <w:p w14:paraId="58558FAB"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Prema mjerilima utvrđenima Zakonom, obveza je sredstva uplatiti na račun vatrogasnih zajednica ili dobrovoljnih vatrogasnih društava gdje nema vatrogasne zajednice.</w:t>
      </w:r>
    </w:p>
    <w:p w14:paraId="65757F3E"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p>
    <w:p w14:paraId="679F4B7B" w14:textId="113B37E4"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VZ Općine ima prosječno zaposleno </w:t>
      </w:r>
      <w:r w:rsidR="00E02922">
        <w:rPr>
          <w:rFonts w:ascii="Arial" w:eastAsia="Calibri" w:hAnsi="Arial" w:cs="Arial"/>
          <w:sz w:val="20"/>
          <w:szCs w:val="20"/>
        </w:rPr>
        <w:t>13</w:t>
      </w:r>
      <w:r w:rsidRPr="00184A8E">
        <w:rPr>
          <w:rFonts w:ascii="Arial" w:eastAsia="Calibri" w:hAnsi="Arial" w:cs="Arial"/>
          <w:sz w:val="20"/>
          <w:szCs w:val="20"/>
        </w:rPr>
        <w:t xml:space="preserve"> djelatnika, od toga jednog administrativnog referenta na pola radnog vremena i jedna čistačica na pola radnog vremena. U Zračnoj luci Dubrovnik je 10 zaposlenika</w:t>
      </w:r>
      <w:r w:rsidR="00E02922">
        <w:rPr>
          <w:rFonts w:ascii="Arial" w:eastAsia="Calibri" w:hAnsi="Arial" w:cs="Arial"/>
          <w:sz w:val="20"/>
          <w:szCs w:val="20"/>
        </w:rPr>
        <w:t xml:space="preserve">, odnosno 9 zaposlenika od </w:t>
      </w:r>
      <w:r w:rsidR="0026459B">
        <w:rPr>
          <w:rFonts w:ascii="Arial" w:eastAsia="Calibri" w:hAnsi="Arial" w:cs="Arial"/>
          <w:sz w:val="20"/>
          <w:szCs w:val="20"/>
        </w:rPr>
        <w:t>travnja</w:t>
      </w:r>
      <w:r w:rsidR="00E02922">
        <w:rPr>
          <w:rFonts w:ascii="Arial" w:eastAsia="Calibri" w:hAnsi="Arial" w:cs="Arial"/>
          <w:sz w:val="20"/>
          <w:szCs w:val="20"/>
        </w:rPr>
        <w:t xml:space="preserve"> 2025. godine</w:t>
      </w:r>
      <w:r w:rsidR="0026459B">
        <w:rPr>
          <w:rFonts w:ascii="Arial" w:eastAsia="Calibri" w:hAnsi="Arial" w:cs="Arial"/>
          <w:sz w:val="20"/>
          <w:szCs w:val="20"/>
        </w:rPr>
        <w:t>,</w:t>
      </w:r>
      <w:r w:rsidRPr="00184A8E">
        <w:rPr>
          <w:rFonts w:ascii="Arial" w:eastAsia="Calibri" w:hAnsi="Arial" w:cs="Arial"/>
          <w:sz w:val="20"/>
          <w:szCs w:val="20"/>
        </w:rPr>
        <w:t xml:space="preserve"> koji obavljaju dežurstvo kao profesionalni vatrogasci i financiraju se naplatom obavljenih usluga. </w:t>
      </w:r>
    </w:p>
    <w:p w14:paraId="651FA55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0A16FDE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Tijekom ljetnih mjeseci kada započinje protupožarna sezona zaposle se sezonski vatrogasci koji rade u smjenama i financiranje istih se obavlja sufinanciranjem Vatrogasne zajednice Dubrovačko neretvanske županije i sredstvima Općine. Protupožarna sezona traje do konca rujna.</w:t>
      </w:r>
    </w:p>
    <w:p w14:paraId="2F168392"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Putem vatrogasne zajednice obavljaju se i poslovi održavanja (košenja i čišćenja) protupožarnih putova, poslove rada u zimskoj službi, te vatrogasnog dežurstva.</w:t>
      </w:r>
    </w:p>
    <w:p w14:paraId="0DC241EC" w14:textId="2F30D144"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U mjesecu lipnju 202</w:t>
      </w:r>
      <w:r w:rsidR="0026459B">
        <w:rPr>
          <w:rFonts w:ascii="Arial" w:eastAsia="Calibri" w:hAnsi="Arial" w:cs="Arial"/>
          <w:sz w:val="20"/>
          <w:szCs w:val="20"/>
        </w:rPr>
        <w:t>5</w:t>
      </w:r>
      <w:r w:rsidRPr="00184A8E">
        <w:rPr>
          <w:rFonts w:ascii="Arial" w:eastAsia="Calibri" w:hAnsi="Arial" w:cs="Arial"/>
          <w:sz w:val="20"/>
          <w:szCs w:val="20"/>
        </w:rPr>
        <w:t xml:space="preserve">. je počela protupožarna sezona te je zaposleno </w:t>
      </w:r>
      <w:r w:rsidR="0026459B">
        <w:rPr>
          <w:rFonts w:ascii="Arial" w:eastAsia="Calibri" w:hAnsi="Arial" w:cs="Arial"/>
          <w:sz w:val="20"/>
          <w:szCs w:val="20"/>
        </w:rPr>
        <w:t>10</w:t>
      </w:r>
      <w:r w:rsidRPr="00184A8E">
        <w:rPr>
          <w:rFonts w:ascii="Arial" w:eastAsia="Calibri" w:hAnsi="Arial" w:cs="Arial"/>
          <w:sz w:val="20"/>
          <w:szCs w:val="20"/>
        </w:rPr>
        <w:t xml:space="preserve"> sezonskih vatrogasca koji su radili u smjenama čiji rad je sufinanciran sredstvima Vatrogasne zajednice Dubrovačko neretvanske županije i sredstvima Općine. Protupožarna sezona traje do konca rujna 202</w:t>
      </w:r>
      <w:r w:rsidR="0026459B">
        <w:rPr>
          <w:rFonts w:ascii="Arial" w:eastAsia="Calibri" w:hAnsi="Arial" w:cs="Arial"/>
          <w:sz w:val="20"/>
          <w:szCs w:val="20"/>
        </w:rPr>
        <w:t>5</w:t>
      </w:r>
      <w:r w:rsidRPr="00184A8E">
        <w:rPr>
          <w:rFonts w:ascii="Arial" w:eastAsia="Calibri" w:hAnsi="Arial" w:cs="Arial"/>
          <w:sz w:val="20"/>
          <w:szCs w:val="20"/>
        </w:rPr>
        <w:t>.</w:t>
      </w:r>
    </w:p>
    <w:p w14:paraId="7067B1F4" w14:textId="601F94E6"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lang w:eastAsia="en-US"/>
        </w:rPr>
        <w:t>Tijekom 202</w:t>
      </w:r>
      <w:r w:rsidR="0026459B">
        <w:rPr>
          <w:rFonts w:ascii="Arial" w:eastAsia="Calibri" w:hAnsi="Arial" w:cs="Arial"/>
          <w:sz w:val="20"/>
          <w:lang w:eastAsia="en-US"/>
        </w:rPr>
        <w:t>5</w:t>
      </w:r>
      <w:r w:rsidRPr="00184A8E">
        <w:rPr>
          <w:rFonts w:ascii="Arial" w:eastAsia="Calibri" w:hAnsi="Arial" w:cs="Arial"/>
          <w:sz w:val="20"/>
          <w:lang w:eastAsia="en-US"/>
        </w:rPr>
        <w:t xml:space="preserve"> godine isplaćivane su plaće dva sezonska vatrogasca koji ujedno obavljaju poslove održavanja (košenja i čišćenja) protupožarnih putova, poslove rada u zimskoj službi, te vatrogasnog dežurstva. </w:t>
      </w:r>
      <w:r w:rsidRPr="00184A8E">
        <w:rPr>
          <w:rFonts w:ascii="Arial" w:eastAsia="Calibri" w:hAnsi="Arial" w:cs="Arial"/>
          <w:sz w:val="20"/>
          <w:szCs w:val="20"/>
        </w:rPr>
        <w:t>Ova dva djelatnika su povremeno bila zaposlena kao pripomoć djelatnicima Javne vatrogasne postrojbe radi popunjavanja smjena zbog korištenja godišnjeg odmora, te bolovanja djelatnika zbog nedostatka ljudi u smjenama (godišnji odmori, slobodni dani, plaćeni dopusti, bolovanja…).</w:t>
      </w:r>
    </w:p>
    <w:p w14:paraId="5522D8D2" w14:textId="77777777" w:rsidR="00184A8E" w:rsidRPr="00184A8E" w:rsidRDefault="00184A8E" w:rsidP="00184A8E">
      <w:pPr>
        <w:spacing w:after="0" w:line="240" w:lineRule="auto"/>
        <w:jc w:val="both"/>
        <w:rPr>
          <w:rFonts w:ascii="Arial" w:eastAsia="Calibri" w:hAnsi="Arial" w:cs="Arial"/>
          <w:sz w:val="20"/>
          <w:szCs w:val="20"/>
        </w:rPr>
      </w:pPr>
    </w:p>
    <w:p w14:paraId="34E4E1CE" w14:textId="6279FDD8"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Ugovor o financiranju vatrogasne zajednice zaključen je </w:t>
      </w:r>
      <w:r w:rsidR="0026459B">
        <w:rPr>
          <w:rFonts w:ascii="Arial" w:eastAsia="Calibri" w:hAnsi="Arial" w:cs="Arial"/>
          <w:sz w:val="20"/>
          <w:szCs w:val="20"/>
        </w:rPr>
        <w:t xml:space="preserve">u prosincu 2024. godine </w:t>
      </w:r>
      <w:r w:rsidRPr="00184A8E">
        <w:rPr>
          <w:rFonts w:ascii="Arial" w:eastAsia="Calibri" w:hAnsi="Arial" w:cs="Arial"/>
          <w:sz w:val="20"/>
          <w:szCs w:val="20"/>
        </w:rPr>
        <w:t>u iznosu 1</w:t>
      </w:r>
      <w:r w:rsidR="0026459B">
        <w:rPr>
          <w:rFonts w:ascii="Arial" w:eastAsia="Calibri" w:hAnsi="Arial" w:cs="Arial"/>
          <w:sz w:val="20"/>
          <w:szCs w:val="20"/>
        </w:rPr>
        <w:t>80</w:t>
      </w:r>
      <w:r w:rsidRPr="00184A8E">
        <w:rPr>
          <w:rFonts w:ascii="Arial" w:eastAsia="Calibri" w:hAnsi="Arial" w:cs="Arial"/>
          <w:sz w:val="20"/>
          <w:szCs w:val="20"/>
        </w:rPr>
        <w:t>.000 €.</w:t>
      </w:r>
    </w:p>
    <w:p w14:paraId="4BB77CCB" w14:textId="77777777" w:rsidR="00184A8E" w:rsidRPr="00184A8E" w:rsidRDefault="00184A8E" w:rsidP="00184A8E">
      <w:pPr>
        <w:spacing w:after="0" w:line="240" w:lineRule="auto"/>
        <w:jc w:val="both"/>
        <w:rPr>
          <w:rFonts w:ascii="Arial" w:eastAsia="Calibri" w:hAnsi="Arial" w:cs="Arial"/>
          <w:sz w:val="20"/>
          <w:szCs w:val="20"/>
        </w:rPr>
      </w:pPr>
    </w:p>
    <w:p w14:paraId="593B533B" w14:textId="77777777" w:rsidR="00184A8E" w:rsidRPr="00184A8E" w:rsidRDefault="00184A8E" w:rsidP="00184A8E">
      <w:pPr>
        <w:spacing w:after="0" w:line="240" w:lineRule="auto"/>
        <w:jc w:val="both"/>
        <w:rPr>
          <w:rFonts w:ascii="Arial" w:eastAsia="Calibri" w:hAnsi="Arial" w:cs="Arial"/>
          <w:sz w:val="20"/>
          <w:szCs w:val="20"/>
        </w:rPr>
      </w:pPr>
    </w:p>
    <w:tbl>
      <w:tblPr>
        <w:tblStyle w:val="Reetkatablice5367"/>
        <w:tblW w:w="13870" w:type="dxa"/>
        <w:jc w:val="center"/>
        <w:tblLayout w:type="fixed"/>
        <w:tblLook w:val="04A0" w:firstRow="1" w:lastRow="0" w:firstColumn="1" w:lastColumn="0" w:noHBand="0" w:noVBand="1"/>
      </w:tblPr>
      <w:tblGrid>
        <w:gridCol w:w="2830"/>
        <w:gridCol w:w="3244"/>
        <w:gridCol w:w="992"/>
        <w:gridCol w:w="1134"/>
        <w:gridCol w:w="1134"/>
        <w:gridCol w:w="1134"/>
        <w:gridCol w:w="1134"/>
        <w:gridCol w:w="1134"/>
        <w:gridCol w:w="1134"/>
      </w:tblGrid>
      <w:tr w:rsidR="00184A8E" w:rsidRPr="00184A8E" w14:paraId="6FA037DC" w14:textId="77777777" w:rsidTr="00410A4B">
        <w:trP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3F4F651" w14:textId="77777777" w:rsidR="00184A8E" w:rsidRPr="00184A8E" w:rsidRDefault="00184A8E" w:rsidP="00184A8E">
            <w:pPr>
              <w:jc w:val="center"/>
              <w:rPr>
                <w:rFonts w:ascii="Arial" w:eastAsia="Calibri" w:hAnsi="Arial" w:cs="Arial"/>
              </w:rPr>
            </w:pPr>
            <w:r w:rsidRPr="00184A8E">
              <w:rPr>
                <w:rFonts w:ascii="Arial" w:eastAsia="Calibri" w:hAnsi="Arial" w:cs="Arial"/>
              </w:rPr>
              <w:lastRenderedPageBreak/>
              <w:t>Pokazatelj rezultata</w:t>
            </w:r>
          </w:p>
        </w:tc>
        <w:tc>
          <w:tcPr>
            <w:tcW w:w="324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79A733D"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B43E7FD"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727C66C"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BF424A1" w14:textId="57692E38"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26459B">
              <w:rPr>
                <w:rFonts w:ascii="Arial" w:eastAsia="Calibri" w:hAnsi="Arial" w:cs="Arial"/>
              </w:rPr>
              <w:t>4</w:t>
            </w:r>
            <w:r w:rsidRPr="00184A8E">
              <w:rPr>
                <w:rFonts w:ascii="Arial" w:eastAsia="Calibri" w:hAnsi="Arial"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02E1704" w14:textId="37EB8E4F"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26459B">
              <w:rPr>
                <w:rFonts w:ascii="Arial" w:eastAsia="Calibri" w:hAnsi="Arial" w:cs="Arial"/>
              </w:rPr>
              <w:t>5</w:t>
            </w:r>
            <w:r w:rsidRPr="00184A8E">
              <w:rPr>
                <w:rFonts w:ascii="Arial" w:eastAsia="Calibri" w:hAnsi="Arial"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335EF30" w14:textId="5F8BE798"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26459B">
              <w:rPr>
                <w:rFonts w:ascii="Arial" w:eastAsia="Calibri" w:hAnsi="Arial" w:cs="Arial"/>
              </w:rPr>
              <w:t>5</w:t>
            </w:r>
            <w:r w:rsidRPr="00184A8E">
              <w:rPr>
                <w:rFonts w:ascii="Arial" w:eastAsia="Calibri" w:hAnsi="Arial"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725CC4B" w14:textId="6D127607"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26459B">
              <w:rPr>
                <w:rFonts w:ascii="Arial" w:eastAsia="Calibri" w:hAnsi="Arial" w:cs="Arial"/>
              </w:rPr>
              <w:t>6</w:t>
            </w:r>
            <w:r w:rsidRPr="00184A8E">
              <w:rPr>
                <w:rFonts w:ascii="Arial" w:eastAsia="Calibri" w:hAnsi="Arial"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01B3A81" w14:textId="4F362659"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26459B">
              <w:rPr>
                <w:rFonts w:ascii="Arial" w:eastAsia="Calibri" w:hAnsi="Arial" w:cs="Arial"/>
              </w:rPr>
              <w:t>7</w:t>
            </w:r>
            <w:r w:rsidRPr="00184A8E">
              <w:rPr>
                <w:rFonts w:ascii="Arial" w:eastAsia="Calibri" w:hAnsi="Arial" w:cs="Arial"/>
              </w:rPr>
              <w:t>.</w:t>
            </w:r>
          </w:p>
        </w:tc>
      </w:tr>
      <w:tr w:rsidR="00184A8E" w:rsidRPr="00184A8E" w14:paraId="2A7D93EB" w14:textId="77777777" w:rsidTr="00410A4B">
        <w:trPr>
          <w:trHeight w:val="709"/>
          <w:jc w:val="center"/>
        </w:trPr>
        <w:tc>
          <w:tcPr>
            <w:tcW w:w="2830" w:type="dxa"/>
            <w:tcBorders>
              <w:top w:val="single" w:sz="4" w:space="0" w:color="auto"/>
              <w:left w:val="single" w:sz="4" w:space="0" w:color="auto"/>
              <w:bottom w:val="single" w:sz="4" w:space="0" w:color="auto"/>
              <w:right w:val="single" w:sz="4" w:space="0" w:color="auto"/>
            </w:tcBorders>
          </w:tcPr>
          <w:p w14:paraId="708BDA52" w14:textId="77777777" w:rsidR="00184A8E" w:rsidRPr="00184A8E" w:rsidRDefault="00184A8E" w:rsidP="00184A8E">
            <w:pPr>
              <w:adjustRightInd w:val="0"/>
              <w:rPr>
                <w:rFonts w:ascii="Arial" w:hAnsi="Arial" w:cs="Arial"/>
                <w:sz w:val="18"/>
                <w:szCs w:val="18"/>
              </w:rPr>
            </w:pPr>
            <w:r w:rsidRPr="00184A8E">
              <w:rPr>
                <w:rFonts w:ascii="Arial" w:hAnsi="Arial" w:cs="Arial"/>
                <w:sz w:val="18"/>
                <w:szCs w:val="18"/>
              </w:rPr>
              <w:t>Izvršavanje aktivnosti obavljanja osnovne djelatnosti Vatrogasne zajednice Općine</w:t>
            </w:r>
          </w:p>
        </w:tc>
        <w:tc>
          <w:tcPr>
            <w:tcW w:w="3244" w:type="dxa"/>
            <w:tcBorders>
              <w:top w:val="single" w:sz="4" w:space="0" w:color="auto"/>
              <w:left w:val="single" w:sz="4" w:space="0" w:color="auto"/>
              <w:bottom w:val="single" w:sz="4" w:space="0" w:color="auto"/>
              <w:right w:val="single" w:sz="4" w:space="0" w:color="auto"/>
            </w:tcBorders>
          </w:tcPr>
          <w:p w14:paraId="40436F1B" w14:textId="77777777" w:rsidR="00184A8E" w:rsidRPr="00184A8E" w:rsidRDefault="00184A8E" w:rsidP="00184A8E">
            <w:pPr>
              <w:adjustRightInd w:val="0"/>
              <w:jc w:val="both"/>
              <w:rPr>
                <w:rFonts w:ascii="Arial" w:hAnsi="Arial" w:cs="Arial"/>
                <w:sz w:val="18"/>
                <w:szCs w:val="18"/>
              </w:rPr>
            </w:pPr>
            <w:r w:rsidRPr="00184A8E">
              <w:rPr>
                <w:rFonts w:ascii="Arial" w:hAnsi="Arial" w:cs="Arial"/>
                <w:sz w:val="18"/>
                <w:szCs w:val="18"/>
              </w:rPr>
              <w:t>Podmirenje rashoda vezanih uz nabavku vatrogasne opreme, poticanje rada DVD-a te ostale redovne djelatnosti VZ OK</w:t>
            </w:r>
          </w:p>
        </w:tc>
        <w:tc>
          <w:tcPr>
            <w:tcW w:w="992" w:type="dxa"/>
            <w:tcBorders>
              <w:top w:val="single" w:sz="4" w:space="0" w:color="auto"/>
              <w:left w:val="single" w:sz="4" w:space="0" w:color="auto"/>
              <w:bottom w:val="single" w:sz="4" w:space="0" w:color="auto"/>
              <w:right w:val="single" w:sz="4" w:space="0" w:color="auto"/>
            </w:tcBorders>
            <w:vAlign w:val="center"/>
          </w:tcPr>
          <w:p w14:paraId="760A2743"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E9127FA"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21B79EBA"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C51179F"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E03DE44"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572B6B0"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CD74BA3"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r>
    </w:tbl>
    <w:p w14:paraId="2EA060D5" w14:textId="77777777" w:rsidR="00184A8E" w:rsidRPr="00184A8E" w:rsidRDefault="00184A8E" w:rsidP="00184A8E">
      <w:pPr>
        <w:spacing w:after="0" w:line="240" w:lineRule="auto"/>
        <w:jc w:val="both"/>
        <w:rPr>
          <w:rFonts w:ascii="Arial" w:eastAsia="Calibri" w:hAnsi="Arial" w:cs="Arial"/>
          <w:sz w:val="20"/>
          <w:szCs w:val="20"/>
          <w:lang w:eastAsia="en-US"/>
        </w:rPr>
      </w:pPr>
    </w:p>
    <w:p w14:paraId="59AFA9A3" w14:textId="7DFA536E"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rPr>
        <w:t>2. A207202: Vatrogasne intervencije, naknade dobrovoljnim vatrogascima, čl.26.ZOV</w:t>
      </w:r>
      <w:r w:rsidRPr="00184A8E">
        <w:rPr>
          <w:rFonts w:ascii="Arial" w:eastAsia="Calibri" w:hAnsi="Arial" w:cs="Arial"/>
          <w:sz w:val="20"/>
          <w:szCs w:val="20"/>
        </w:rPr>
        <w:t xml:space="preserve"> - u sklopu navedene aktivnosti planiraju se rashodi za naknade dobrovoljnim vatrogascima u skladu sa zakonskim obvezama. Planirana sredstva za provođenje navedene aktivnosti </w:t>
      </w:r>
      <w:r w:rsidR="00F33CAF">
        <w:rPr>
          <w:rFonts w:ascii="Arial" w:eastAsia="Calibri" w:hAnsi="Arial" w:cs="Arial"/>
          <w:sz w:val="20"/>
          <w:szCs w:val="20"/>
        </w:rPr>
        <w:t>su prvotno planirani u iznosu</w:t>
      </w:r>
      <w:r w:rsidRPr="00184A8E">
        <w:rPr>
          <w:rFonts w:ascii="Arial" w:eastAsia="Calibri" w:hAnsi="Arial" w:cs="Arial"/>
          <w:sz w:val="20"/>
          <w:szCs w:val="20"/>
        </w:rPr>
        <w:t xml:space="preserve"> 5.000 €.</w:t>
      </w:r>
      <w:r w:rsidR="00F33CAF">
        <w:rPr>
          <w:rFonts w:ascii="Arial" w:eastAsia="Calibri" w:hAnsi="Arial" w:cs="Arial"/>
          <w:sz w:val="20"/>
          <w:szCs w:val="20"/>
        </w:rPr>
        <w:t xml:space="preserve"> Izmjenama proračuna ovi prihodi nisu planirani i nisu </w:t>
      </w:r>
      <w:r w:rsidRPr="00184A8E">
        <w:rPr>
          <w:rFonts w:ascii="Arial" w:eastAsia="Calibri" w:hAnsi="Arial" w:cs="Arial"/>
          <w:sz w:val="20"/>
          <w:szCs w:val="20"/>
        </w:rPr>
        <w:t>izvršeni.</w:t>
      </w:r>
    </w:p>
    <w:p w14:paraId="430BBF63" w14:textId="77777777" w:rsidR="00184A8E" w:rsidRPr="00184A8E" w:rsidRDefault="00184A8E" w:rsidP="00184A8E">
      <w:pPr>
        <w:shd w:val="clear" w:color="auto" w:fill="FFFFFF"/>
        <w:spacing w:after="0" w:line="240" w:lineRule="auto"/>
        <w:jc w:val="both"/>
        <w:rPr>
          <w:rFonts w:ascii="Calibri" w:eastAsia="Times New Roman" w:hAnsi="Calibri" w:cs="Calibri"/>
          <w:sz w:val="24"/>
          <w:szCs w:val="24"/>
          <w:lang w:eastAsia="en-US"/>
        </w:rPr>
      </w:pPr>
    </w:p>
    <w:tbl>
      <w:tblPr>
        <w:tblStyle w:val="Reetkatablice5367"/>
        <w:tblW w:w="14159" w:type="dxa"/>
        <w:jc w:val="center"/>
        <w:tblLayout w:type="fixed"/>
        <w:tblLook w:val="04A0" w:firstRow="1" w:lastRow="0" w:firstColumn="1" w:lastColumn="0" w:noHBand="0" w:noVBand="1"/>
      </w:tblPr>
      <w:tblGrid>
        <w:gridCol w:w="2405"/>
        <w:gridCol w:w="3958"/>
        <w:gridCol w:w="992"/>
        <w:gridCol w:w="1134"/>
        <w:gridCol w:w="1134"/>
        <w:gridCol w:w="1134"/>
        <w:gridCol w:w="1134"/>
        <w:gridCol w:w="1134"/>
        <w:gridCol w:w="1134"/>
      </w:tblGrid>
      <w:tr w:rsidR="00184A8E" w:rsidRPr="00184A8E" w14:paraId="201A2A5F" w14:textId="77777777" w:rsidTr="00410A4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4BA0565" w14:textId="77777777" w:rsidR="00184A8E" w:rsidRPr="00184A8E" w:rsidRDefault="00184A8E" w:rsidP="00184A8E">
            <w:pPr>
              <w:jc w:val="center"/>
              <w:rPr>
                <w:rFonts w:ascii="Arial" w:eastAsia="Calibri" w:hAnsi="Arial" w:cs="Arial"/>
                <w:lang w:eastAsia="en-US"/>
              </w:rPr>
            </w:pPr>
            <w:bookmarkStart w:id="480" w:name="_Hlk120712642"/>
            <w:r w:rsidRPr="00184A8E">
              <w:rPr>
                <w:rFonts w:ascii="Arial" w:eastAsia="Calibri" w:hAnsi="Arial" w:cs="Arial"/>
                <w:lang w:eastAsia="en-US"/>
              </w:rPr>
              <w:t>Pokazatelj rezultata</w:t>
            </w:r>
          </w:p>
        </w:tc>
        <w:tc>
          <w:tcPr>
            <w:tcW w:w="3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F6DB1A8"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E455C31"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5EE7555"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817F3D3" w14:textId="0888DE7B" w:rsidR="00184A8E" w:rsidRPr="00184A8E" w:rsidRDefault="00184A8E" w:rsidP="00184A8E">
            <w:pPr>
              <w:jc w:val="center"/>
              <w:rPr>
                <w:rFonts w:ascii="Arial" w:eastAsia="Calibri" w:hAnsi="Arial" w:cs="Arial"/>
                <w:lang w:eastAsia="en-US"/>
              </w:rPr>
            </w:pPr>
            <w:r w:rsidRPr="00184A8E">
              <w:rPr>
                <w:rFonts w:ascii="Arial" w:eastAsia="Calibri" w:hAnsi="Arial" w:cs="Arial"/>
              </w:rPr>
              <w:t>Polazna vrijednost 20</w:t>
            </w:r>
            <w:r w:rsidR="00F33CAF">
              <w:rPr>
                <w:rFonts w:ascii="Arial" w:eastAsia="Calibri" w:hAnsi="Arial" w:cs="Arial"/>
              </w:rPr>
              <w:t>24</w:t>
            </w:r>
            <w:r w:rsidRPr="00184A8E">
              <w:rPr>
                <w:rFonts w:ascii="Arial" w:eastAsia="Calibri" w:hAnsi="Arial"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9F1DD76" w14:textId="73FEB341"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F33CAF">
              <w:rPr>
                <w:rFonts w:ascii="Arial" w:eastAsia="Calibri" w:hAnsi="Arial" w:cs="Arial"/>
                <w:lang w:eastAsia="en-US"/>
              </w:rPr>
              <w:t>5</w:t>
            </w:r>
            <w:r w:rsidRPr="00184A8E">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EC9E2CA" w14:textId="7DA10C08"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F33CAF">
              <w:rPr>
                <w:rFonts w:ascii="Arial" w:eastAsia="Calibri" w:hAnsi="Arial" w:cs="Arial"/>
                <w:lang w:eastAsia="en-US"/>
              </w:rPr>
              <w:t>5</w:t>
            </w:r>
            <w:r w:rsidRPr="00184A8E">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20E40F2" w14:textId="0EFC1BBE"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w:t>
            </w:r>
            <w:r w:rsidR="00F33CAF">
              <w:rPr>
                <w:rFonts w:ascii="Arial" w:eastAsia="Calibri" w:hAnsi="Arial" w:cs="Arial"/>
                <w:lang w:eastAsia="en-US"/>
              </w:rPr>
              <w:t>26</w:t>
            </w:r>
            <w:r w:rsidRPr="00184A8E">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7DE240E" w14:textId="1FADE1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F33CAF">
              <w:rPr>
                <w:rFonts w:ascii="Arial" w:eastAsia="Calibri" w:hAnsi="Arial" w:cs="Arial"/>
                <w:lang w:eastAsia="en-US"/>
              </w:rPr>
              <w:t>7</w:t>
            </w:r>
            <w:r w:rsidRPr="00184A8E">
              <w:rPr>
                <w:rFonts w:ascii="Arial" w:eastAsia="Calibri" w:hAnsi="Arial" w:cs="Arial"/>
                <w:lang w:eastAsia="en-US"/>
              </w:rPr>
              <w:t>.</w:t>
            </w:r>
          </w:p>
        </w:tc>
      </w:tr>
      <w:tr w:rsidR="00184A8E" w:rsidRPr="00184A8E" w14:paraId="4432F945" w14:textId="77777777" w:rsidTr="00410A4B">
        <w:trPr>
          <w:trHeight w:val="1031"/>
          <w:jc w:val="center"/>
        </w:trPr>
        <w:tc>
          <w:tcPr>
            <w:tcW w:w="2405" w:type="dxa"/>
            <w:tcBorders>
              <w:top w:val="single" w:sz="4" w:space="0" w:color="auto"/>
              <w:left w:val="single" w:sz="4" w:space="0" w:color="auto"/>
              <w:bottom w:val="single" w:sz="4" w:space="0" w:color="auto"/>
              <w:right w:val="single" w:sz="4" w:space="0" w:color="auto"/>
            </w:tcBorders>
            <w:vAlign w:val="center"/>
          </w:tcPr>
          <w:p w14:paraId="26D83DAE"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eastAsia="Calibri" w:hAnsi="Arial" w:cs="Arial"/>
                <w:sz w:val="18"/>
                <w:szCs w:val="18"/>
                <w:lang w:eastAsia="en-US"/>
              </w:rPr>
              <w:t>Povećanje broja osposobljenih vatrogasaca za specijalističke intervencije</w:t>
            </w:r>
          </w:p>
        </w:tc>
        <w:tc>
          <w:tcPr>
            <w:tcW w:w="3958" w:type="dxa"/>
            <w:tcBorders>
              <w:top w:val="single" w:sz="4" w:space="0" w:color="auto"/>
              <w:left w:val="single" w:sz="4" w:space="0" w:color="auto"/>
              <w:bottom w:val="single" w:sz="4" w:space="0" w:color="auto"/>
              <w:right w:val="single" w:sz="4" w:space="0" w:color="auto"/>
            </w:tcBorders>
            <w:vAlign w:val="center"/>
          </w:tcPr>
          <w:p w14:paraId="50C2F468" w14:textId="77777777" w:rsidR="00184A8E" w:rsidRPr="00184A8E" w:rsidRDefault="00184A8E" w:rsidP="00184A8E">
            <w:pPr>
              <w:autoSpaceDE w:val="0"/>
              <w:autoSpaceDN w:val="0"/>
              <w:adjustRightInd w:val="0"/>
              <w:jc w:val="both"/>
              <w:rPr>
                <w:rFonts w:ascii="Arial" w:hAnsi="Arial" w:cs="Arial"/>
                <w:sz w:val="18"/>
                <w:szCs w:val="18"/>
                <w:lang w:eastAsia="en-US"/>
              </w:rPr>
            </w:pPr>
            <w:r w:rsidRPr="00184A8E">
              <w:rPr>
                <w:rFonts w:ascii="Arial" w:eastAsia="Calibri" w:hAnsi="Arial" w:cs="Arial"/>
                <w:sz w:val="18"/>
                <w:szCs w:val="18"/>
                <w:lang w:eastAsia="en-US"/>
              </w:rPr>
              <w:t>Uspješno provođenje edukacije vatrogasaca pridonosi višem standardu protupožarne zaštite, p</w:t>
            </w:r>
            <w:r w:rsidRPr="00184A8E">
              <w:rPr>
                <w:rFonts w:ascii="Arial" w:hAnsi="Arial" w:cs="Arial"/>
                <w:sz w:val="18"/>
                <w:szCs w:val="18"/>
                <w:lang w:eastAsia="en-US"/>
              </w:rPr>
              <w:t>ostizanje što više razine preventive kako bi broj požara bio minimalan</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271C76"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broj</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7BBD2D"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531526D0" w14:textId="1E875A99" w:rsidR="00184A8E" w:rsidRPr="00184A8E" w:rsidRDefault="00F33CAF" w:rsidP="00184A8E">
            <w:pPr>
              <w:jc w:val="center"/>
              <w:rPr>
                <w:rFonts w:ascii="Arial" w:hAnsi="Arial" w:cs="Arial"/>
                <w:sz w:val="18"/>
                <w:szCs w:val="18"/>
                <w:lang w:eastAsia="en-US"/>
              </w:rPr>
            </w:pPr>
            <w:r>
              <w:rPr>
                <w:rFonts w:ascii="Arial" w:hAnsi="Arial" w:cs="Arial"/>
                <w:sz w:val="18"/>
                <w:szCs w:val="18"/>
                <w:lang w:eastAsia="en-US"/>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6D7ECDA1"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34A3920D" w14:textId="3FA7FBE6" w:rsidR="00184A8E" w:rsidRPr="00184A8E" w:rsidRDefault="00F33CAF" w:rsidP="00184A8E">
            <w:pPr>
              <w:jc w:val="center"/>
              <w:rPr>
                <w:rFonts w:ascii="Arial" w:hAnsi="Arial" w:cs="Arial"/>
                <w:sz w:val="18"/>
                <w:szCs w:val="18"/>
                <w:lang w:eastAsia="en-US"/>
              </w:rPr>
            </w:pPr>
            <w:r>
              <w:rPr>
                <w:rFonts w:ascii="Arial" w:hAnsi="Arial" w:cs="Arial"/>
                <w:sz w:val="18"/>
                <w:szCs w:val="18"/>
                <w:lang w:eastAsia="en-US"/>
              </w:rPr>
              <w:t>15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226BA3E"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16</w:t>
            </w:r>
          </w:p>
        </w:tc>
        <w:tc>
          <w:tcPr>
            <w:tcW w:w="1134" w:type="dxa"/>
            <w:tcBorders>
              <w:top w:val="single" w:sz="4" w:space="0" w:color="000000"/>
              <w:left w:val="single" w:sz="4" w:space="0" w:color="000000"/>
              <w:bottom w:val="single" w:sz="4" w:space="0" w:color="000000"/>
              <w:right w:val="single" w:sz="4" w:space="0" w:color="000000"/>
            </w:tcBorders>
            <w:vAlign w:val="center"/>
          </w:tcPr>
          <w:p w14:paraId="22C394DF"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17</w:t>
            </w:r>
          </w:p>
        </w:tc>
      </w:tr>
      <w:bookmarkEnd w:id="480"/>
    </w:tbl>
    <w:p w14:paraId="729196C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5651E11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Aktivnosti vezane uz opće ciljeve postignute su sukladno postocima izvršenja i u skladu s očekivanom dinamikom izvršenja rashoda.</w:t>
      </w:r>
    </w:p>
    <w:p w14:paraId="1E348A1E" w14:textId="77777777" w:rsidR="00184A8E" w:rsidRPr="00184A8E" w:rsidRDefault="00184A8E" w:rsidP="00184A8E">
      <w:pPr>
        <w:rPr>
          <w:rFonts w:ascii="Arial" w:eastAsia="Calibri" w:hAnsi="Arial" w:cs="Arial"/>
          <w:sz w:val="20"/>
          <w:szCs w:val="20"/>
        </w:rPr>
      </w:pPr>
      <w:r w:rsidRPr="00184A8E">
        <w:rPr>
          <w:rFonts w:ascii="Arial" w:eastAsia="Calibri" w:hAnsi="Arial" w:cs="Arial"/>
          <w:sz w:val="20"/>
          <w:szCs w:val="20"/>
        </w:rPr>
        <w:br w:type="page"/>
      </w:r>
    </w:p>
    <w:p w14:paraId="60A3702C"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481" w:name="_Toc435014680"/>
      <w:bookmarkStart w:id="482" w:name="_Toc200628523"/>
      <w:bookmarkStart w:id="483" w:name="_Toc232981455"/>
      <w:r w:rsidRPr="00184A8E">
        <w:rPr>
          <w:rFonts w:ascii="Times New Roman" w:eastAsia="Calibri" w:hAnsi="Times New Roman" w:cs="Times New Roman"/>
          <w:b/>
          <w:sz w:val="24"/>
          <w:szCs w:val="20"/>
          <w:lang w:eastAsia="en-US"/>
        </w:rPr>
        <w:lastRenderedPageBreak/>
        <w:t>Program (2073): Pripremne aktivnosti u protupožarnoj zaštiti, te zaštita i spašavanje</w:t>
      </w:r>
      <w:bookmarkEnd w:id="481"/>
      <w:bookmarkEnd w:id="482"/>
      <w:bookmarkEnd w:id="483"/>
    </w:p>
    <w:p w14:paraId="79132890" w14:textId="77777777" w:rsidR="00184A8E" w:rsidRPr="00184A8E" w:rsidRDefault="00184A8E" w:rsidP="00184A8E">
      <w:pPr>
        <w:spacing w:after="0" w:line="240" w:lineRule="auto"/>
        <w:jc w:val="both"/>
        <w:rPr>
          <w:rFonts w:ascii="Arial" w:eastAsia="Calibri" w:hAnsi="Arial" w:cs="Arial"/>
          <w:sz w:val="20"/>
          <w:szCs w:val="2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3"/>
        <w:gridCol w:w="12757"/>
      </w:tblGrid>
      <w:tr w:rsidR="00184A8E" w:rsidRPr="00184A8E" w14:paraId="4E506898" w14:textId="77777777" w:rsidTr="00410A4B">
        <w:tc>
          <w:tcPr>
            <w:tcW w:w="1413" w:type="dxa"/>
          </w:tcPr>
          <w:p w14:paraId="6F0821AF"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757" w:type="dxa"/>
          </w:tcPr>
          <w:p w14:paraId="26011CB4" w14:textId="3BA73FE4"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Ovim programom se osiguravaju sredstva za redovan rad civilne zaštite, gorske službe spašavanja, sredstva za održavanje Planov</w:t>
            </w:r>
            <w:r w:rsidR="0068061D">
              <w:rPr>
                <w:rFonts w:ascii="Arial" w:eastAsia="Calibri" w:hAnsi="Arial" w:cs="Arial"/>
                <w:sz w:val="20"/>
                <w:szCs w:val="20"/>
                <w:lang w:eastAsia="en-US"/>
              </w:rPr>
              <w:t>a</w:t>
            </w:r>
            <w:r w:rsidRPr="00184A8E">
              <w:rPr>
                <w:rFonts w:ascii="Arial" w:eastAsia="Calibri" w:hAnsi="Arial" w:cs="Arial"/>
                <w:sz w:val="20"/>
                <w:szCs w:val="20"/>
                <w:lang w:eastAsia="en-US"/>
              </w:rPr>
              <w:t xml:space="preserve"> ugroženosti stanovništva, te izradu drugih potrebnih akata iz područja zaštite i spašavanja.</w:t>
            </w:r>
          </w:p>
          <w:p w14:paraId="13B6EF0C"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Sukladno odredbama Zakona o Hrvatskoj gorskoj službi spašavanja (Narodne novine 79/06, 110/115) i Zakona o sustavu civilne zaštite (Narodne novine 82/15, 118/18, 31/20, 20/21, 114/22) osigurana su sredstva za financiranje redovne djelatnosti Hrvatske gorske službe spašavanja Stanica Dubrovnik, te sredstva za izvršavanje mjera i aktivnosti u sustavu civilne zaštite.</w:t>
            </w:r>
          </w:p>
          <w:p w14:paraId="6BFD680A" w14:textId="77777777" w:rsidR="00184A8E" w:rsidRPr="00184A8E" w:rsidRDefault="00184A8E" w:rsidP="00184A8E">
            <w:pPr>
              <w:spacing w:after="0" w:line="240" w:lineRule="auto"/>
              <w:jc w:val="both"/>
              <w:rPr>
                <w:rFonts w:ascii="Arial" w:eastAsia="Calibri" w:hAnsi="Arial" w:cs="Arial"/>
                <w:sz w:val="20"/>
                <w:szCs w:val="20"/>
                <w:lang w:eastAsia="en-US"/>
              </w:rPr>
            </w:pPr>
          </w:p>
          <w:p w14:paraId="738D28D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Civilna zaštita iz nadležnosti lokalne samouprave, temeljem Zakona o sustavu civilne zaštite (NN 82/15, 118/18, 31/20, 20/21, 114/22) obuhvaća izradu i ažuriranje propisane dokumentacije, opremanje prema mogućnostima. Obuhvaćeno je i djelovanje općinskih tijela civilne zaštite, angažiranje redovnih snaga civilne zaštite, odnosno Vatrogasne zajednice. </w:t>
            </w:r>
          </w:p>
          <w:p w14:paraId="0963A40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Hrvatska gorska služba spašavanja se temeljem Zakona o HGSS (NN 79/06 i 110/15) bavi zaštitom i spašavanjem kao svojom redovnom djelatnošću. Uz potrage i intervencije, preventivnim se radom uvećava sigurnost građana te HGSS predstavlja nezamjenjivi resurs Civilne zaštite za izvanredne okolnosti - u slučaju, potresa, vremenskih nepogoda i dugih nesreća na nepristupačnim prostorima. Predviđena sredstva namijenjena su Stanici HGSS Dubrovnik za redovno djelovanje. CILJ je provođenje i razvijanje mjera zaštite utvrđenih zakonskim propisima i uređenje sustava civilne zaštite.</w:t>
            </w:r>
          </w:p>
          <w:p w14:paraId="4E98931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 okviru ovog programa planira se i kapitalni projekt povezan uz izgradnju edukacijskog centra za vatrogasne službe i druge službe iz područja protupožarne zaštite, te zaštite i spašavanja.</w:t>
            </w:r>
          </w:p>
        </w:tc>
      </w:tr>
      <w:tr w:rsidR="00184A8E" w:rsidRPr="00184A8E" w14:paraId="5CA3469F" w14:textId="77777777" w:rsidTr="00410A4B">
        <w:tc>
          <w:tcPr>
            <w:tcW w:w="1413" w:type="dxa"/>
          </w:tcPr>
          <w:p w14:paraId="7DC97DBC"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ZAKONSKE I DRUGE PRAVNE OSNOVE PROGRAMA</w:t>
            </w:r>
          </w:p>
        </w:tc>
        <w:tc>
          <w:tcPr>
            <w:tcW w:w="12757" w:type="dxa"/>
          </w:tcPr>
          <w:p w14:paraId="35E9926E"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rPr>
              <w:t>Zakon o lokalnoj i područnoj (regionalnoj) samoupravi (NN 33/01,60/01,129/05, 109/07,125/08, 36/09, 150/11, 144/12, 19/13, 137/15, 123/17, 98/19, 144/20), Zakon o zaštiti od požara (NN 92/10, 114/22), Pravilnik o izradi procjene ugroženosti od požara i tehnološke eksplozije (NN 35/94, 110/05, 28/10), Zakon o sustavu civilne zaštite (Narodne novine 82/15, 118/18, 31/20, 20/21, 114/22),</w:t>
            </w:r>
            <w:r w:rsidRPr="00184A8E">
              <w:rPr>
                <w:rFonts w:ascii="Times New Roman" w:eastAsia="Times New Roman" w:hAnsi="Times New Roman" w:cs="Times New Roman"/>
                <w:sz w:val="20"/>
                <w:szCs w:val="20"/>
                <w:lang w:eastAsia="en-US"/>
              </w:rPr>
              <w:t xml:space="preserve"> </w:t>
            </w:r>
            <w:r w:rsidRPr="00184A8E">
              <w:rPr>
                <w:rFonts w:ascii="Arial" w:eastAsia="Times New Roman" w:hAnsi="Arial" w:cs="Arial"/>
                <w:sz w:val="20"/>
                <w:szCs w:val="20"/>
              </w:rPr>
              <w:t>Zakona o Hrvatskoj gorskoj službi spašavanja sustavu civilne zaštite (Narodne novine 79/06, 110/15), Statut Općine i drugi akti</w:t>
            </w:r>
          </w:p>
        </w:tc>
      </w:tr>
      <w:tr w:rsidR="00184A8E" w:rsidRPr="00184A8E" w14:paraId="2D5DAAFD" w14:textId="77777777" w:rsidTr="00410A4B">
        <w:tc>
          <w:tcPr>
            <w:tcW w:w="1413" w:type="dxa"/>
          </w:tcPr>
          <w:p w14:paraId="7ED93898"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2757" w:type="dxa"/>
          </w:tcPr>
          <w:p w14:paraId="6E5D2291"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Zaštita ljudi i imovine.</w:t>
            </w:r>
          </w:p>
          <w:p w14:paraId="0603FE8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Times New Roman" w:hAnsi="Arial" w:cs="Arial"/>
                <w:sz w:val="20"/>
                <w:szCs w:val="20"/>
                <w:lang w:eastAsia="en-US"/>
              </w:rPr>
              <w:t>Edukacija i osposobljavanje jedinice civilne zaštite Općine Konavle.</w:t>
            </w:r>
            <w:r w:rsidRPr="00184A8E">
              <w:rPr>
                <w:rFonts w:ascii="Arial" w:eastAsia="Calibri" w:hAnsi="Arial" w:cs="Arial"/>
                <w:sz w:val="20"/>
                <w:szCs w:val="20"/>
                <w:lang w:eastAsia="en-US"/>
              </w:rPr>
              <w:t xml:space="preserve"> </w:t>
            </w:r>
          </w:p>
          <w:p w14:paraId="62493406"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Program realiziraju službenici i namještenici Općine u okviru poslova i zadataka radnih mjesta na koje su raspoređeni u suradnji s javnom vatrogasnom postrojbom, vatrogasnom zajednicom Općine, dobrovoljnim vatrogasnim društvima, nadležnim osobama u Ministarstvu unutarnjih poslova i Policijskoj upravi Dubrovačko-neretvanske županije, Državnom upravom za zaštitu i spašavanje, vatrogasnom zajednicom županije, Hrvatskom gorskom službom spašavanja i dr.</w:t>
            </w:r>
          </w:p>
        </w:tc>
      </w:tr>
      <w:tr w:rsidR="00184A8E" w:rsidRPr="00184A8E" w14:paraId="0A34C4FD" w14:textId="77777777" w:rsidTr="00410A4B">
        <w:tc>
          <w:tcPr>
            <w:tcW w:w="1413" w:type="dxa"/>
            <w:vAlign w:val="bottom"/>
          </w:tcPr>
          <w:p w14:paraId="7D757975"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2757" w:type="dxa"/>
            <w:vAlign w:val="bottom"/>
          </w:tcPr>
          <w:p w14:paraId="1EC17DA2"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Unaprijediti zaštitu okoliša, prostorno uređenje i komunalnu djelatnost, odnosno osigurati preduvjete za zaštitu od požara i civilnu zaštitu.</w:t>
            </w:r>
          </w:p>
          <w:p w14:paraId="7FFD7AB4"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Cilj je ure</w:t>
            </w:r>
            <w:r w:rsidRPr="00184A8E">
              <w:rPr>
                <w:rFonts w:ascii="Arial" w:eastAsia="TimesNewRoman" w:hAnsi="Arial" w:cs="Arial"/>
                <w:sz w:val="20"/>
                <w:szCs w:val="20"/>
                <w:lang w:eastAsia="en-US"/>
              </w:rPr>
              <w:t>đ</w:t>
            </w:r>
            <w:r w:rsidRPr="00184A8E">
              <w:rPr>
                <w:rFonts w:ascii="Arial" w:eastAsia="Calibri" w:hAnsi="Arial" w:cs="Arial"/>
                <w:sz w:val="20"/>
                <w:szCs w:val="20"/>
                <w:lang w:eastAsia="en-US"/>
              </w:rPr>
              <w:t>enje, planiranje, organiziranje, financiranje i provedba sustava civilne zaštite, financiranje Hrvatske gorske službe spašavanja, skrb o potrebama i interesima gra</w:t>
            </w:r>
            <w:r w:rsidRPr="00184A8E">
              <w:rPr>
                <w:rFonts w:ascii="Arial" w:eastAsia="TimesNewRoman" w:hAnsi="Arial" w:cs="Arial"/>
                <w:sz w:val="20"/>
                <w:szCs w:val="20"/>
                <w:lang w:eastAsia="en-US"/>
              </w:rPr>
              <w:t>đ</w:t>
            </w:r>
            <w:r w:rsidRPr="00184A8E">
              <w:rPr>
                <w:rFonts w:ascii="Arial" w:eastAsia="Calibri" w:hAnsi="Arial" w:cs="Arial"/>
                <w:sz w:val="20"/>
                <w:szCs w:val="20"/>
                <w:lang w:eastAsia="en-US"/>
              </w:rPr>
              <w:t>ana za organiziranjem i djelovanjem u</w:t>
            </w:r>
            <w:r w:rsidRPr="00184A8E">
              <w:rPr>
                <w:rFonts w:ascii="Arial" w:eastAsia="TimesNewRoman" w:hAnsi="Arial" w:cs="Arial"/>
                <w:sz w:val="20"/>
                <w:szCs w:val="20"/>
                <w:lang w:eastAsia="en-US"/>
              </w:rPr>
              <w:t>č</w:t>
            </w:r>
            <w:r w:rsidRPr="00184A8E">
              <w:rPr>
                <w:rFonts w:ascii="Arial" w:eastAsia="Calibri" w:hAnsi="Arial" w:cs="Arial"/>
                <w:sz w:val="20"/>
                <w:szCs w:val="20"/>
                <w:lang w:eastAsia="en-US"/>
              </w:rPr>
              <w:t xml:space="preserve">inkovite vatrogasne službe, provedba mjera zaštite od požara i drugih oblika civilne zaštite, te </w:t>
            </w:r>
            <w:r w:rsidRPr="00184A8E">
              <w:rPr>
                <w:rFonts w:ascii="Arial" w:eastAsia="Times New Roman" w:hAnsi="Arial" w:cs="Arial"/>
                <w:sz w:val="20"/>
                <w:szCs w:val="20"/>
                <w:lang w:eastAsia="en-US"/>
              </w:rPr>
              <w:t>održavanje protupožarnih cesta i putova.</w:t>
            </w:r>
          </w:p>
          <w:p w14:paraId="3A5936D7"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Edukacija, organizacija, opremanje u cilju efikasnije zaštite.</w:t>
            </w:r>
          </w:p>
          <w:p w14:paraId="0B999BD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Postizanje što više razine znanja i sposobnosti te stupnja opremljenosti kod osoba koje su zadužene za civilnu zaštitu.</w:t>
            </w:r>
          </w:p>
          <w:p w14:paraId="1EFD4B3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Osiguravanje pomoći operativnim snagama i obavljanje zadataka niže složenosti u velikim nesrećama.</w:t>
            </w:r>
          </w:p>
          <w:p w14:paraId="763C812E"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Sudjelovanje u organiziranju i provođenju evakuacije, sklanjanja i zbrinjavanja. Organiziranje zaštite i spašavanja pripadnika ranjivih skupina. Obavještavanje građana o pravodobnom poduzimanju mjera.</w:t>
            </w:r>
          </w:p>
        </w:tc>
      </w:tr>
    </w:tbl>
    <w:p w14:paraId="2575DA61" w14:textId="77777777" w:rsidR="00184A8E" w:rsidRPr="00184A8E" w:rsidRDefault="00184A8E" w:rsidP="00184A8E">
      <w:pPr>
        <w:spacing w:after="0" w:line="240" w:lineRule="auto"/>
        <w:jc w:val="both"/>
        <w:rPr>
          <w:rFonts w:ascii="Arial" w:eastAsia="Calibri" w:hAnsi="Arial" w:cs="Arial"/>
          <w:sz w:val="20"/>
          <w:szCs w:val="20"/>
          <w:lang w:eastAsia="en-US"/>
        </w:rPr>
      </w:pPr>
    </w:p>
    <w:p w14:paraId="3547851E" w14:textId="77777777" w:rsidR="00184A8E" w:rsidRPr="00184A8E" w:rsidRDefault="00184A8E" w:rsidP="00184A8E">
      <w:pPr>
        <w:spacing w:after="0" w:line="240" w:lineRule="auto"/>
        <w:jc w:val="both"/>
        <w:rPr>
          <w:rFonts w:ascii="Arial" w:eastAsia="Calibri" w:hAnsi="Arial" w:cs="Arial"/>
          <w:sz w:val="20"/>
          <w:szCs w:val="20"/>
          <w:lang w:eastAsia="en-US"/>
        </w:rPr>
      </w:pPr>
    </w:p>
    <w:p w14:paraId="13CAAD7D" w14:textId="77777777" w:rsidR="00184A8E" w:rsidRPr="00184A8E" w:rsidRDefault="00184A8E" w:rsidP="00184A8E">
      <w:pPr>
        <w:spacing w:after="0" w:line="240" w:lineRule="auto"/>
        <w:jc w:val="both"/>
        <w:rPr>
          <w:rFonts w:ascii="Arial" w:eastAsia="Calibri" w:hAnsi="Arial" w:cs="Arial"/>
          <w:sz w:val="20"/>
          <w:szCs w:val="20"/>
          <w:lang w:eastAsia="en-US"/>
        </w:rPr>
      </w:pPr>
    </w:p>
    <w:p w14:paraId="616E42DD"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lastRenderedPageBreak/>
        <w:t>Procjena i ishodište potrebnih sredstava za aktivnosti unutar programa</w:t>
      </w:r>
    </w:p>
    <w:p w14:paraId="5E0809CD" w14:textId="77777777" w:rsidR="00184A8E" w:rsidRPr="00184A8E" w:rsidRDefault="00184A8E" w:rsidP="00184A8E">
      <w:pPr>
        <w:spacing w:after="0" w:line="240" w:lineRule="auto"/>
        <w:jc w:val="both"/>
        <w:rPr>
          <w:rFonts w:ascii="Arial" w:eastAsia="Calibri" w:hAnsi="Arial" w:cs="Arial"/>
          <w:sz w:val="20"/>
          <w:szCs w:val="20"/>
          <w:lang w:eastAsia="en-US"/>
        </w:rPr>
      </w:pPr>
    </w:p>
    <w:p w14:paraId="756CDE6D" w14:textId="4C60593D"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6C9DFD72" w14:textId="2A0086E7" w:rsidR="00184A8E" w:rsidRPr="00184A8E" w:rsidRDefault="00B04FC9" w:rsidP="00184A8E">
      <w:pPr>
        <w:shd w:val="clear" w:color="auto" w:fill="FFFFFF"/>
        <w:spacing w:after="0" w:line="240" w:lineRule="auto"/>
        <w:jc w:val="both"/>
        <w:rPr>
          <w:rFonts w:ascii="Arial" w:eastAsia="Times New Roman" w:hAnsi="Arial" w:cs="Arial"/>
          <w:b/>
          <w:sz w:val="20"/>
          <w:szCs w:val="24"/>
          <w:lang w:eastAsia="en-US"/>
        </w:rPr>
      </w:pPr>
      <w:r w:rsidRPr="00B04FC9">
        <w:rPr>
          <w:noProof/>
        </w:rPr>
        <w:drawing>
          <wp:inline distT="0" distB="0" distL="0" distR="0" wp14:anchorId="30BC19BB" wp14:editId="4088257A">
            <wp:extent cx="9251950" cy="3738880"/>
            <wp:effectExtent l="0" t="0" r="6350" b="0"/>
            <wp:docPr id="703556330"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9251950" cy="3738880"/>
                    </a:xfrm>
                    <a:prstGeom prst="rect">
                      <a:avLst/>
                    </a:prstGeom>
                    <a:noFill/>
                    <a:ln>
                      <a:noFill/>
                    </a:ln>
                  </pic:spPr>
                </pic:pic>
              </a:graphicData>
            </a:graphic>
          </wp:inline>
        </w:drawing>
      </w:r>
    </w:p>
    <w:p w14:paraId="0410F661"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19C89360"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3ECA7CD4" w14:textId="77777777" w:rsidR="00184A8E" w:rsidRPr="00184A8E" w:rsidRDefault="00184A8E" w:rsidP="00184A8E">
      <w:pPr>
        <w:spacing w:after="0" w:line="240" w:lineRule="auto"/>
        <w:jc w:val="both"/>
        <w:rPr>
          <w:rFonts w:ascii="Arial" w:eastAsia="Calibri" w:hAnsi="Arial" w:cs="Arial"/>
          <w:sz w:val="20"/>
          <w:szCs w:val="20"/>
          <w:lang w:eastAsia="en-US"/>
        </w:rPr>
      </w:pPr>
    </w:p>
    <w:p w14:paraId="79239845" w14:textId="77777777" w:rsidR="00184A8E" w:rsidRPr="00184A8E" w:rsidRDefault="00184A8E" w:rsidP="00184A8E">
      <w:pPr>
        <w:shd w:val="clear" w:color="auto" w:fill="FFFFFF"/>
        <w:spacing w:after="0" w:line="240" w:lineRule="auto"/>
        <w:jc w:val="both"/>
        <w:rPr>
          <w:rFonts w:ascii="Arial" w:eastAsia="Times New Roman" w:hAnsi="Arial" w:cs="Arial"/>
          <w:sz w:val="20"/>
          <w:szCs w:val="24"/>
          <w:lang w:eastAsia="en-US"/>
        </w:rPr>
      </w:pPr>
      <w:r w:rsidRPr="00184A8E">
        <w:rPr>
          <w:rFonts w:ascii="Arial" w:eastAsia="Times New Roman" w:hAnsi="Arial" w:cs="Arial"/>
          <w:b/>
          <w:sz w:val="20"/>
          <w:szCs w:val="24"/>
          <w:lang w:eastAsia="en-US"/>
        </w:rPr>
        <w:t>Ishodište i pokazatelji na kojima se zasnivaju izračuni i ocjene</w:t>
      </w:r>
      <w:r w:rsidRPr="00184A8E">
        <w:rPr>
          <w:rFonts w:ascii="Arial" w:eastAsia="Times New Roman" w:hAnsi="Arial" w:cs="Arial"/>
          <w:sz w:val="20"/>
          <w:szCs w:val="24"/>
          <w:lang w:eastAsia="en-US"/>
        </w:rPr>
        <w:t xml:space="preserve"> </w:t>
      </w:r>
      <w:r w:rsidRPr="00184A8E">
        <w:rPr>
          <w:rFonts w:ascii="Arial" w:eastAsia="Times New Roman" w:hAnsi="Arial" w:cs="Arial"/>
          <w:b/>
          <w:sz w:val="20"/>
          <w:szCs w:val="24"/>
          <w:lang w:eastAsia="en-US"/>
        </w:rPr>
        <w:t>potrebnih sredstava za provođenje programa:</w:t>
      </w:r>
      <w:r w:rsidRPr="00184A8E">
        <w:rPr>
          <w:rFonts w:ascii="Arial" w:eastAsia="Times New Roman" w:hAnsi="Arial" w:cs="Arial"/>
          <w:sz w:val="20"/>
          <w:szCs w:val="24"/>
          <w:lang w:eastAsia="en-US"/>
        </w:rPr>
        <w:t xml:space="preserve"> Zakonom o vatrogastvu (NN 125/19) propisan iznos proračunskih sredstava za djelatnost Vatrogasne zajednice, podaci o iznosu ostvarenih sredstava u proteklom razdoblju te prikupljene informacija i izvješća o sredstvima potrebnim za što kvalitetniji rad operativnih snaga u narednom razdoblju.</w:t>
      </w:r>
    </w:p>
    <w:p w14:paraId="6595854D" w14:textId="77777777"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Times New Roman" w:hAnsi="Arial" w:cs="Arial"/>
          <w:b/>
          <w:sz w:val="20"/>
          <w:szCs w:val="24"/>
          <w:lang w:eastAsia="en-US"/>
        </w:rPr>
        <w:t>Izvještaj o postignutim ciljevima i rezultatima programa temeljenim na pokazateljima uspješnosti u prethodnoj godini</w:t>
      </w:r>
      <w:r w:rsidRPr="00184A8E">
        <w:rPr>
          <w:rFonts w:ascii="Arial" w:eastAsia="Times New Roman" w:hAnsi="Arial" w:cs="Arial"/>
          <w:sz w:val="20"/>
          <w:szCs w:val="24"/>
          <w:lang w:eastAsia="en-US"/>
        </w:rPr>
        <w:t xml:space="preserve">: </w:t>
      </w:r>
      <w:r w:rsidRPr="00184A8E">
        <w:rPr>
          <w:rFonts w:ascii="Arial" w:eastAsia="Calibri" w:hAnsi="Arial" w:cs="Arial"/>
          <w:sz w:val="20"/>
          <w:szCs w:val="20"/>
          <w:lang w:eastAsia="en-US"/>
        </w:rPr>
        <w:t>Financijsko izvršenje aktivnosti je u okviru očekivanih vrijednosti.</w:t>
      </w:r>
    </w:p>
    <w:p w14:paraId="3427CD17" w14:textId="77777777" w:rsidR="00184A8E" w:rsidRPr="00184A8E" w:rsidRDefault="00184A8E" w:rsidP="00184A8E">
      <w:pPr>
        <w:shd w:val="clear" w:color="auto" w:fill="FFFFFF"/>
        <w:spacing w:after="0" w:line="240" w:lineRule="auto"/>
        <w:jc w:val="both"/>
        <w:rPr>
          <w:rFonts w:ascii="Arial" w:eastAsia="Times New Roman" w:hAnsi="Arial" w:cs="Arial"/>
          <w:sz w:val="20"/>
          <w:szCs w:val="24"/>
          <w:lang w:eastAsia="en-US"/>
        </w:rPr>
      </w:pPr>
    </w:p>
    <w:p w14:paraId="75F3B754" w14:textId="0BEC6646"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Planirana sredstva za ostvarenje navedenog programa iznose </w:t>
      </w:r>
      <w:r w:rsidR="00B04FC9">
        <w:rPr>
          <w:rFonts w:ascii="Arial" w:eastAsia="Calibri" w:hAnsi="Arial" w:cs="Arial"/>
          <w:sz w:val="20"/>
          <w:szCs w:val="20"/>
          <w:lang w:eastAsia="en-US"/>
        </w:rPr>
        <w:t>20.000</w:t>
      </w:r>
      <w:r w:rsidRPr="00184A8E">
        <w:rPr>
          <w:rFonts w:ascii="Arial" w:eastAsia="Calibri" w:hAnsi="Arial" w:cs="Arial"/>
          <w:sz w:val="20"/>
          <w:szCs w:val="20"/>
          <w:lang w:eastAsia="en-US"/>
        </w:rPr>
        <w:t xml:space="preserve"> € za 202</w:t>
      </w:r>
      <w:r w:rsidR="00B04FC9">
        <w:rPr>
          <w:rFonts w:ascii="Arial" w:eastAsia="Calibri" w:hAnsi="Arial" w:cs="Arial"/>
          <w:sz w:val="20"/>
          <w:szCs w:val="20"/>
          <w:lang w:eastAsia="en-US"/>
        </w:rPr>
        <w:t>5</w:t>
      </w:r>
      <w:r w:rsidRPr="00184A8E">
        <w:rPr>
          <w:rFonts w:ascii="Arial" w:eastAsia="Calibri" w:hAnsi="Arial" w:cs="Arial"/>
          <w:sz w:val="20"/>
          <w:szCs w:val="20"/>
          <w:lang w:eastAsia="en-US"/>
        </w:rPr>
        <w:t>. godinu, te 25.100 € za 202</w:t>
      </w:r>
      <w:r w:rsidR="00B04FC9">
        <w:rPr>
          <w:rFonts w:ascii="Arial" w:eastAsia="Calibri" w:hAnsi="Arial" w:cs="Arial"/>
          <w:sz w:val="20"/>
          <w:szCs w:val="20"/>
          <w:lang w:eastAsia="en-US"/>
        </w:rPr>
        <w:t>6</w:t>
      </w:r>
      <w:r w:rsidRPr="00184A8E">
        <w:rPr>
          <w:rFonts w:ascii="Arial" w:eastAsia="Calibri" w:hAnsi="Arial" w:cs="Arial"/>
          <w:sz w:val="20"/>
          <w:szCs w:val="20"/>
          <w:lang w:eastAsia="en-US"/>
        </w:rPr>
        <w:t>. kao i za 202</w:t>
      </w:r>
      <w:r w:rsidR="00B04FC9">
        <w:rPr>
          <w:rFonts w:ascii="Arial" w:eastAsia="Calibri" w:hAnsi="Arial" w:cs="Arial"/>
          <w:sz w:val="20"/>
          <w:szCs w:val="20"/>
          <w:lang w:eastAsia="en-US"/>
        </w:rPr>
        <w:t>7</w:t>
      </w:r>
      <w:r w:rsidRPr="00184A8E">
        <w:rPr>
          <w:rFonts w:ascii="Arial" w:eastAsia="Calibri" w:hAnsi="Arial" w:cs="Arial"/>
          <w:sz w:val="20"/>
          <w:szCs w:val="20"/>
          <w:lang w:eastAsia="en-US"/>
        </w:rPr>
        <w:t>. godinu.</w:t>
      </w:r>
    </w:p>
    <w:p w14:paraId="21CD18C3" w14:textId="1499E61B"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Rashodi za 202</w:t>
      </w:r>
      <w:r w:rsidR="00B04FC9">
        <w:rPr>
          <w:rFonts w:ascii="Arial" w:eastAsia="Calibri" w:hAnsi="Arial" w:cs="Arial"/>
          <w:sz w:val="20"/>
          <w:szCs w:val="20"/>
          <w:lang w:eastAsia="en-US"/>
        </w:rPr>
        <w:t>5</w:t>
      </w:r>
      <w:r w:rsidRPr="00184A8E">
        <w:rPr>
          <w:rFonts w:ascii="Arial" w:eastAsia="Calibri" w:hAnsi="Arial" w:cs="Arial"/>
          <w:sz w:val="20"/>
          <w:szCs w:val="20"/>
          <w:lang w:eastAsia="en-US"/>
        </w:rPr>
        <w:t xml:space="preserve">. su izvršeni u iznosu </w:t>
      </w:r>
      <w:r w:rsidR="00B04FC9">
        <w:rPr>
          <w:rFonts w:ascii="Arial" w:eastAsia="Calibri" w:hAnsi="Arial" w:cs="Arial"/>
          <w:sz w:val="20"/>
          <w:szCs w:val="20"/>
          <w:lang w:eastAsia="en-US"/>
        </w:rPr>
        <w:t>5.000</w:t>
      </w:r>
      <w:r w:rsidRPr="00184A8E">
        <w:rPr>
          <w:rFonts w:ascii="Arial" w:eastAsia="Calibri" w:hAnsi="Arial" w:cs="Arial"/>
          <w:sz w:val="20"/>
          <w:szCs w:val="20"/>
          <w:lang w:eastAsia="en-US"/>
        </w:rPr>
        <w:t xml:space="preserve"> € ili </w:t>
      </w:r>
      <w:r w:rsidR="00B04FC9">
        <w:rPr>
          <w:rFonts w:ascii="Arial" w:eastAsia="Calibri" w:hAnsi="Arial" w:cs="Arial"/>
          <w:sz w:val="20"/>
          <w:szCs w:val="20"/>
          <w:lang w:eastAsia="en-US"/>
        </w:rPr>
        <w:t>25</w:t>
      </w:r>
      <w:r w:rsidRPr="00184A8E">
        <w:rPr>
          <w:rFonts w:ascii="Arial" w:eastAsia="Calibri" w:hAnsi="Arial" w:cs="Arial"/>
          <w:sz w:val="20"/>
          <w:szCs w:val="20"/>
          <w:lang w:eastAsia="en-US"/>
        </w:rPr>
        <w:t>%.</w:t>
      </w:r>
    </w:p>
    <w:p w14:paraId="543BC56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14120FF0"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lastRenderedPageBreak/>
        <w:t>Obrazloženje aktivnosti / projekata i pokazatelji uspješnosti</w:t>
      </w:r>
    </w:p>
    <w:p w14:paraId="13FA3126"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003C32CF"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Unutar programa izvode se slijedeće aktivnosti i projekti:</w:t>
      </w:r>
    </w:p>
    <w:p w14:paraId="2075E4ED" w14:textId="77777777" w:rsidR="00184A8E" w:rsidRPr="00184A8E" w:rsidRDefault="00184A8E" w:rsidP="00184A8E">
      <w:pPr>
        <w:spacing w:after="0" w:line="240" w:lineRule="auto"/>
        <w:jc w:val="both"/>
        <w:rPr>
          <w:rFonts w:ascii="Arial" w:eastAsia="Calibri" w:hAnsi="Arial" w:cs="Arial"/>
          <w:b/>
          <w:sz w:val="20"/>
          <w:szCs w:val="20"/>
        </w:rPr>
      </w:pPr>
    </w:p>
    <w:p w14:paraId="65DC14A4" w14:textId="582DB378"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1. A207301: Izrada protupožarnih elaborata, Analiza stanja sustava zaštite i spašavanja</w:t>
      </w:r>
      <w:r w:rsidRPr="00184A8E">
        <w:rPr>
          <w:rFonts w:ascii="Arial" w:eastAsia="Calibri" w:hAnsi="Arial" w:cs="Arial"/>
          <w:sz w:val="20"/>
          <w:szCs w:val="20"/>
        </w:rPr>
        <w:t xml:space="preserve"> - u sklopu navedene aktivnosti </w:t>
      </w:r>
      <w:r w:rsidR="00B04FC9">
        <w:rPr>
          <w:rFonts w:ascii="Arial" w:eastAsia="Calibri" w:hAnsi="Arial" w:cs="Arial"/>
          <w:sz w:val="20"/>
          <w:szCs w:val="20"/>
        </w:rPr>
        <w:t xml:space="preserve">prvotno planirani rashodi u iznosu 5.000 €. Izmjenama i dopunama proračuna ovi rashodi nisu planirani i </w:t>
      </w:r>
      <w:r w:rsidRPr="00184A8E">
        <w:rPr>
          <w:rFonts w:ascii="Arial" w:eastAsia="Calibri" w:hAnsi="Arial" w:cs="Arial"/>
          <w:sz w:val="20"/>
          <w:szCs w:val="20"/>
        </w:rPr>
        <w:t>nisu izvršeni.</w:t>
      </w:r>
    </w:p>
    <w:p w14:paraId="4710B6D0" w14:textId="77777777" w:rsidR="00184A8E" w:rsidRPr="00184A8E" w:rsidRDefault="00184A8E" w:rsidP="00184A8E">
      <w:pPr>
        <w:spacing w:after="0" w:line="240" w:lineRule="auto"/>
        <w:jc w:val="both"/>
        <w:rPr>
          <w:rFonts w:ascii="Arial" w:eastAsia="Calibri" w:hAnsi="Arial" w:cs="Arial"/>
          <w:b/>
          <w:sz w:val="20"/>
          <w:szCs w:val="20"/>
        </w:rPr>
      </w:pPr>
    </w:p>
    <w:p w14:paraId="67421E3B" w14:textId="6DBF8321"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2. A207302: Redovan rad Hrvatske gorske službe spašavanja</w:t>
      </w:r>
      <w:r w:rsidRPr="00184A8E">
        <w:rPr>
          <w:rFonts w:ascii="Arial" w:eastAsia="Calibri" w:hAnsi="Arial" w:cs="Arial"/>
          <w:sz w:val="20"/>
          <w:szCs w:val="20"/>
        </w:rPr>
        <w:t xml:space="preserve"> - u sklopu navedene aktivnosti planirani su rashodi za donacije u iznosu </w:t>
      </w:r>
      <w:r w:rsidR="00B04FC9">
        <w:rPr>
          <w:rFonts w:ascii="Arial" w:eastAsia="Calibri" w:hAnsi="Arial" w:cs="Arial"/>
          <w:sz w:val="20"/>
          <w:szCs w:val="20"/>
        </w:rPr>
        <w:t>5</w:t>
      </w:r>
      <w:r w:rsidRPr="00184A8E">
        <w:rPr>
          <w:rFonts w:ascii="Arial" w:eastAsia="Calibri" w:hAnsi="Arial" w:cs="Arial"/>
          <w:sz w:val="20"/>
          <w:szCs w:val="20"/>
        </w:rPr>
        <w:t xml:space="preserve">.000 €, a rashodi su izvršeni u iznosu </w:t>
      </w:r>
      <w:r w:rsidR="00B04FC9">
        <w:rPr>
          <w:rFonts w:ascii="Arial" w:eastAsia="Calibri" w:hAnsi="Arial" w:cs="Arial"/>
          <w:sz w:val="20"/>
          <w:szCs w:val="20"/>
        </w:rPr>
        <w:t>5</w:t>
      </w:r>
      <w:r w:rsidRPr="00184A8E">
        <w:rPr>
          <w:rFonts w:ascii="Arial" w:eastAsia="Calibri" w:hAnsi="Arial" w:cs="Arial"/>
          <w:sz w:val="20"/>
          <w:szCs w:val="20"/>
        </w:rPr>
        <w:t>.000 €.</w:t>
      </w:r>
    </w:p>
    <w:p w14:paraId="6E8EA103" w14:textId="6B25F83F"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U okviru ove aktivnosti se izvršavaju rashodi na temelju zaključenog ugovora – sporazuma o načinu i uvjetima financiranja, te programa javnih potreba za obavljanje djelatnosti Hrvatske gorske službe spašavanja. U </w:t>
      </w:r>
      <w:r w:rsidR="00B04FC9">
        <w:rPr>
          <w:rFonts w:ascii="Arial" w:eastAsia="Calibri" w:hAnsi="Arial" w:cs="Arial"/>
          <w:sz w:val="20"/>
          <w:szCs w:val="20"/>
        </w:rPr>
        <w:t xml:space="preserve">siječnju </w:t>
      </w:r>
      <w:r w:rsidRPr="00184A8E">
        <w:rPr>
          <w:rFonts w:ascii="Arial" w:eastAsia="Calibri" w:hAnsi="Arial" w:cs="Arial"/>
          <w:sz w:val="20"/>
          <w:szCs w:val="20"/>
        </w:rPr>
        <w:t>202</w:t>
      </w:r>
      <w:r w:rsidR="00B04FC9">
        <w:rPr>
          <w:rFonts w:ascii="Arial" w:eastAsia="Calibri" w:hAnsi="Arial" w:cs="Arial"/>
          <w:sz w:val="20"/>
          <w:szCs w:val="20"/>
        </w:rPr>
        <w:t>5</w:t>
      </w:r>
      <w:r w:rsidRPr="00184A8E">
        <w:rPr>
          <w:rFonts w:ascii="Arial" w:eastAsia="Calibri" w:hAnsi="Arial" w:cs="Arial"/>
          <w:sz w:val="20"/>
          <w:szCs w:val="20"/>
        </w:rPr>
        <w:t xml:space="preserve">. je zaključen godišnji ugovor s Gorskom službom spašavanja u iznosu </w:t>
      </w:r>
      <w:r w:rsidR="00B04FC9">
        <w:rPr>
          <w:rFonts w:ascii="Arial" w:eastAsia="Calibri" w:hAnsi="Arial" w:cs="Arial"/>
          <w:sz w:val="20"/>
          <w:szCs w:val="20"/>
        </w:rPr>
        <w:t>5</w:t>
      </w:r>
      <w:r w:rsidRPr="00184A8E">
        <w:rPr>
          <w:rFonts w:ascii="Arial" w:eastAsia="Calibri" w:hAnsi="Arial" w:cs="Arial"/>
          <w:sz w:val="20"/>
          <w:szCs w:val="20"/>
        </w:rPr>
        <w:t>.000 €. Rashodi su izvršeni u ugovorenom iznosu.</w:t>
      </w:r>
    </w:p>
    <w:p w14:paraId="70C3D949" w14:textId="77777777" w:rsidR="00184A8E" w:rsidRPr="00184A8E" w:rsidRDefault="00184A8E" w:rsidP="00184A8E">
      <w:pPr>
        <w:spacing w:after="0" w:line="240" w:lineRule="auto"/>
        <w:jc w:val="both"/>
        <w:rPr>
          <w:rFonts w:ascii="Arial" w:eastAsia="Calibri" w:hAnsi="Arial" w:cs="Arial"/>
          <w:sz w:val="20"/>
          <w:szCs w:val="20"/>
        </w:rPr>
      </w:pPr>
    </w:p>
    <w:p w14:paraId="2473C69F" w14:textId="77777777" w:rsidR="00184A8E" w:rsidRPr="00184A8E" w:rsidRDefault="00184A8E" w:rsidP="00184A8E">
      <w:pPr>
        <w:spacing w:after="0" w:line="240" w:lineRule="auto"/>
        <w:jc w:val="both"/>
        <w:rPr>
          <w:rFonts w:ascii="Arial" w:eastAsia="Calibri" w:hAnsi="Arial" w:cs="Arial"/>
          <w:bCs/>
          <w:sz w:val="20"/>
          <w:szCs w:val="20"/>
        </w:rPr>
      </w:pPr>
      <w:r w:rsidRPr="00184A8E">
        <w:rPr>
          <w:rFonts w:ascii="Arial" w:eastAsia="Calibri" w:hAnsi="Arial" w:cs="Arial"/>
          <w:bCs/>
          <w:sz w:val="20"/>
          <w:szCs w:val="20"/>
        </w:rPr>
        <w:t>Sukladno odredbama Zakona o Hrvatskoj gorskoj službi spašavanja sustavu civilne zaštite („Narodne novine“ broj 79/06, 110/115) osigurana su sredstva za financiranje redovne djelatnosti Hrvatske gorske službe spašavanja Stanica Dubrovnik.</w:t>
      </w:r>
    </w:p>
    <w:p w14:paraId="08979A68"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3B0B36B0" w14:textId="2AEA14D0"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3. K207303: Izrada procjene ugroženosti, Planovi zaštite i spašavanja, ažuriranje procjene i plana zaštite od požara, Smjernice za organizaciju i razvoj sustava zaštite i spašavanja</w:t>
      </w:r>
      <w:r w:rsidRPr="00184A8E">
        <w:rPr>
          <w:rFonts w:ascii="Arial" w:eastAsia="Calibri" w:hAnsi="Arial" w:cs="Arial"/>
          <w:sz w:val="20"/>
          <w:szCs w:val="20"/>
          <w:lang w:eastAsia="en-US"/>
        </w:rPr>
        <w:t xml:space="preserve"> - u sklopu navedenog projekta planirani su rashodi za izradu planova u iznosu </w:t>
      </w:r>
      <w:r w:rsidR="00B04FC9">
        <w:rPr>
          <w:rFonts w:ascii="Arial" w:eastAsia="Calibri" w:hAnsi="Arial" w:cs="Arial"/>
          <w:sz w:val="20"/>
          <w:szCs w:val="20"/>
          <w:lang w:eastAsia="en-US"/>
        </w:rPr>
        <w:t>5.000</w:t>
      </w:r>
      <w:r w:rsidRPr="00184A8E">
        <w:rPr>
          <w:rFonts w:ascii="Arial" w:eastAsia="Calibri" w:hAnsi="Arial" w:cs="Arial"/>
          <w:sz w:val="20"/>
          <w:szCs w:val="20"/>
          <w:lang w:eastAsia="en-US"/>
        </w:rPr>
        <w:t xml:space="preserve"> € temeljem </w:t>
      </w:r>
      <w:r w:rsidRPr="00184A8E">
        <w:rPr>
          <w:rFonts w:ascii="Arial" w:eastAsia="Times New Roman" w:hAnsi="Arial" w:cs="Arial"/>
          <w:sz w:val="20"/>
          <w:szCs w:val="20"/>
        </w:rPr>
        <w:t>Zakona o sustavu civilne zaštite (NN 82/15, 118/18, 31/20, 20/21 i 114/22).</w:t>
      </w:r>
      <w:r w:rsidR="00B04FC9">
        <w:rPr>
          <w:rFonts w:ascii="Arial" w:eastAsia="Times New Roman" w:hAnsi="Arial" w:cs="Arial"/>
          <w:sz w:val="20"/>
          <w:szCs w:val="20"/>
        </w:rPr>
        <w:t xml:space="preserve"> Rashodi nisu izvršeni.</w:t>
      </w:r>
    </w:p>
    <w:p w14:paraId="383DCC8A" w14:textId="25398924" w:rsidR="00184A8E" w:rsidRPr="00184A8E" w:rsidRDefault="00184A8E" w:rsidP="00184A8E">
      <w:pPr>
        <w:spacing w:after="0" w:line="240" w:lineRule="auto"/>
        <w:jc w:val="both"/>
        <w:rPr>
          <w:rFonts w:ascii="Arial" w:eastAsia="Calibri" w:hAnsi="Arial" w:cs="Arial"/>
          <w:sz w:val="20"/>
          <w:szCs w:val="20"/>
          <w:lang w:eastAsia="en-US"/>
        </w:rPr>
      </w:pPr>
    </w:p>
    <w:p w14:paraId="35DC925D"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 xml:space="preserve">U okviru ove aktivnosti, 2016. su izvršeni rashodi za izradu dopuna i usklađivanje dokumentacije Procjene ugroženosti od požara i tehnološke eksplozije te Plana zaštite od požara za Općinu Konavle prema važećim zakonskim propisima. </w:t>
      </w:r>
    </w:p>
    <w:p w14:paraId="69E7D785"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7"/>
        <w:tblW w:w="13870" w:type="dxa"/>
        <w:jc w:val="center"/>
        <w:tblLayout w:type="fixed"/>
        <w:tblLook w:val="04A0" w:firstRow="1" w:lastRow="0" w:firstColumn="1" w:lastColumn="0" w:noHBand="0" w:noVBand="1"/>
      </w:tblPr>
      <w:tblGrid>
        <w:gridCol w:w="2830"/>
        <w:gridCol w:w="3244"/>
        <w:gridCol w:w="992"/>
        <w:gridCol w:w="1134"/>
        <w:gridCol w:w="1134"/>
        <w:gridCol w:w="1134"/>
        <w:gridCol w:w="1134"/>
        <w:gridCol w:w="1134"/>
        <w:gridCol w:w="1134"/>
      </w:tblGrid>
      <w:tr w:rsidR="00184A8E" w:rsidRPr="00184A8E" w14:paraId="29B89013" w14:textId="77777777" w:rsidTr="00410A4B">
        <w:trPr>
          <w:jc w:val="center"/>
        </w:trPr>
        <w:tc>
          <w:tcPr>
            <w:tcW w:w="2830" w:type="dxa"/>
            <w:tcBorders>
              <w:top w:val="single" w:sz="4" w:space="0" w:color="000000"/>
              <w:left w:val="single" w:sz="4" w:space="0" w:color="000000"/>
              <w:bottom w:val="single" w:sz="4" w:space="0" w:color="auto"/>
              <w:right w:val="single" w:sz="4" w:space="0" w:color="000000"/>
            </w:tcBorders>
            <w:shd w:val="clear" w:color="auto" w:fill="BFBFBF"/>
            <w:vAlign w:val="center"/>
            <w:hideMark/>
          </w:tcPr>
          <w:p w14:paraId="7E43EC12"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3244" w:type="dxa"/>
            <w:tcBorders>
              <w:top w:val="single" w:sz="4" w:space="0" w:color="000000"/>
              <w:left w:val="single" w:sz="4" w:space="0" w:color="000000"/>
              <w:bottom w:val="single" w:sz="4" w:space="0" w:color="auto"/>
              <w:right w:val="single" w:sz="4" w:space="0" w:color="000000"/>
            </w:tcBorders>
            <w:shd w:val="clear" w:color="auto" w:fill="BFBFBF"/>
            <w:vAlign w:val="center"/>
            <w:hideMark/>
          </w:tcPr>
          <w:p w14:paraId="0EC457D1"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92" w:type="dxa"/>
            <w:tcBorders>
              <w:top w:val="single" w:sz="4" w:space="0" w:color="000000"/>
              <w:left w:val="single" w:sz="4" w:space="0" w:color="000000"/>
              <w:bottom w:val="single" w:sz="4" w:space="0" w:color="auto"/>
              <w:right w:val="single" w:sz="4" w:space="0" w:color="000000"/>
            </w:tcBorders>
            <w:shd w:val="clear" w:color="auto" w:fill="BFBFBF"/>
            <w:vAlign w:val="center"/>
            <w:hideMark/>
          </w:tcPr>
          <w:p w14:paraId="1D69A859"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auto"/>
              <w:right w:val="single" w:sz="4" w:space="0" w:color="000000"/>
            </w:tcBorders>
            <w:shd w:val="clear" w:color="auto" w:fill="BFBFBF"/>
            <w:vAlign w:val="center"/>
            <w:hideMark/>
          </w:tcPr>
          <w:p w14:paraId="796C1361"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2306128" w14:textId="6EDF0330" w:rsidR="00184A8E" w:rsidRPr="00184A8E" w:rsidRDefault="00184A8E" w:rsidP="00184A8E">
            <w:pPr>
              <w:jc w:val="center"/>
              <w:rPr>
                <w:rFonts w:ascii="Arial" w:eastAsia="Calibri" w:hAnsi="Arial" w:cs="Arial"/>
                <w:lang w:eastAsia="en-US"/>
              </w:rPr>
            </w:pPr>
            <w:r w:rsidRPr="00184A8E">
              <w:rPr>
                <w:rFonts w:ascii="Arial" w:eastAsia="Calibri" w:hAnsi="Arial" w:cs="Arial"/>
              </w:rPr>
              <w:t>Polazna vrijednost 202</w:t>
            </w:r>
            <w:r w:rsidR="00B04FC9">
              <w:rPr>
                <w:rFonts w:ascii="Arial" w:eastAsia="Calibri" w:hAnsi="Arial" w:cs="Arial"/>
              </w:rPr>
              <w:t>4</w:t>
            </w:r>
            <w:r w:rsidRPr="00184A8E">
              <w:rPr>
                <w:rFonts w:ascii="Arial" w:eastAsia="Calibri" w:hAnsi="Arial" w:cs="Arial"/>
              </w:rPr>
              <w:t>.</w:t>
            </w:r>
          </w:p>
        </w:tc>
        <w:tc>
          <w:tcPr>
            <w:tcW w:w="1134" w:type="dxa"/>
            <w:tcBorders>
              <w:top w:val="single" w:sz="4" w:space="0" w:color="000000"/>
              <w:left w:val="single" w:sz="4" w:space="0" w:color="000000"/>
              <w:bottom w:val="single" w:sz="4" w:space="0" w:color="auto"/>
              <w:right w:val="single" w:sz="4" w:space="0" w:color="000000"/>
            </w:tcBorders>
            <w:shd w:val="clear" w:color="auto" w:fill="BFBFBF"/>
            <w:vAlign w:val="center"/>
          </w:tcPr>
          <w:p w14:paraId="550C0B2E" w14:textId="5B3D84EF"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B04FC9">
              <w:rPr>
                <w:rFonts w:ascii="Arial" w:eastAsia="Calibri" w:hAnsi="Arial" w:cs="Arial"/>
                <w:lang w:eastAsia="en-US"/>
              </w:rPr>
              <w:t>5</w:t>
            </w:r>
            <w:r w:rsidRPr="00184A8E">
              <w:rPr>
                <w:rFonts w:ascii="Arial" w:eastAsia="Calibri" w:hAnsi="Arial" w:cs="Arial"/>
                <w:lang w:eastAsia="en-US"/>
              </w:rPr>
              <w:t>.</w:t>
            </w:r>
          </w:p>
        </w:tc>
        <w:tc>
          <w:tcPr>
            <w:tcW w:w="1134" w:type="dxa"/>
            <w:tcBorders>
              <w:top w:val="single" w:sz="4" w:space="0" w:color="000000"/>
              <w:left w:val="single" w:sz="4" w:space="0" w:color="000000"/>
              <w:bottom w:val="single" w:sz="4" w:space="0" w:color="auto"/>
              <w:right w:val="single" w:sz="4" w:space="0" w:color="000000"/>
            </w:tcBorders>
            <w:shd w:val="clear" w:color="auto" w:fill="BFBFBF"/>
            <w:vAlign w:val="center"/>
          </w:tcPr>
          <w:p w14:paraId="40E75960" w14:textId="77777777" w:rsidR="00B04FC9" w:rsidRDefault="00184A8E" w:rsidP="00184A8E">
            <w:pPr>
              <w:jc w:val="center"/>
              <w:rPr>
                <w:rFonts w:ascii="Arial" w:eastAsia="Calibri" w:hAnsi="Arial" w:cs="Arial"/>
                <w:lang w:eastAsia="en-US"/>
              </w:rPr>
            </w:pPr>
            <w:r w:rsidRPr="00184A8E">
              <w:rPr>
                <w:rFonts w:ascii="Arial" w:eastAsia="Calibri" w:hAnsi="Arial" w:cs="Arial"/>
                <w:lang w:eastAsia="en-US"/>
              </w:rPr>
              <w:t>Izvršeno</w:t>
            </w:r>
          </w:p>
          <w:p w14:paraId="4A15C0C6" w14:textId="656B4393" w:rsidR="00184A8E" w:rsidRPr="00184A8E" w:rsidRDefault="00B04FC9" w:rsidP="00184A8E">
            <w:pPr>
              <w:jc w:val="center"/>
              <w:rPr>
                <w:rFonts w:ascii="Arial" w:eastAsia="Calibri" w:hAnsi="Arial" w:cs="Arial"/>
                <w:lang w:eastAsia="en-US"/>
              </w:rPr>
            </w:pPr>
            <w:r>
              <w:rPr>
                <w:rFonts w:ascii="Arial" w:eastAsia="Calibri" w:hAnsi="Arial" w:cs="Arial"/>
                <w:lang w:eastAsia="en-US"/>
              </w:rPr>
              <w:t>2025.</w:t>
            </w:r>
            <w:r w:rsidR="00184A8E" w:rsidRPr="00184A8E">
              <w:rPr>
                <w:rFonts w:ascii="Arial" w:eastAsia="Calibri" w:hAnsi="Arial" w:cs="Arial"/>
                <w:lang w:eastAsia="en-US"/>
              </w:rPr>
              <w:t xml:space="preserve"> </w:t>
            </w:r>
          </w:p>
        </w:tc>
        <w:tc>
          <w:tcPr>
            <w:tcW w:w="1134" w:type="dxa"/>
            <w:tcBorders>
              <w:top w:val="single" w:sz="4" w:space="0" w:color="000000"/>
              <w:left w:val="single" w:sz="4" w:space="0" w:color="000000"/>
              <w:bottom w:val="single" w:sz="4" w:space="0" w:color="auto"/>
              <w:right w:val="single" w:sz="4" w:space="0" w:color="000000"/>
            </w:tcBorders>
            <w:shd w:val="clear" w:color="auto" w:fill="BFBFBF"/>
            <w:vAlign w:val="center"/>
            <w:hideMark/>
          </w:tcPr>
          <w:p w14:paraId="3F913655" w14:textId="75A80ABC"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B04FC9">
              <w:rPr>
                <w:rFonts w:ascii="Arial" w:eastAsia="Calibri" w:hAnsi="Arial" w:cs="Arial"/>
                <w:lang w:eastAsia="en-US"/>
              </w:rPr>
              <w:t>6</w:t>
            </w:r>
            <w:r w:rsidRPr="00184A8E">
              <w:rPr>
                <w:rFonts w:ascii="Arial" w:eastAsia="Calibri" w:hAnsi="Arial" w:cs="Arial"/>
                <w:lang w:eastAsia="en-US"/>
              </w:rPr>
              <w:t>.</w:t>
            </w:r>
          </w:p>
        </w:tc>
        <w:tc>
          <w:tcPr>
            <w:tcW w:w="1134" w:type="dxa"/>
            <w:tcBorders>
              <w:top w:val="single" w:sz="4" w:space="0" w:color="000000"/>
              <w:left w:val="single" w:sz="4" w:space="0" w:color="000000"/>
              <w:bottom w:val="single" w:sz="4" w:space="0" w:color="auto"/>
              <w:right w:val="single" w:sz="4" w:space="0" w:color="000000"/>
            </w:tcBorders>
            <w:shd w:val="clear" w:color="auto" w:fill="BFBFBF"/>
            <w:vAlign w:val="center"/>
          </w:tcPr>
          <w:p w14:paraId="40DE42E1" w14:textId="7AB86436"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B04FC9">
              <w:rPr>
                <w:rFonts w:ascii="Arial" w:eastAsia="Calibri" w:hAnsi="Arial" w:cs="Arial"/>
                <w:lang w:eastAsia="en-US"/>
              </w:rPr>
              <w:t>7</w:t>
            </w:r>
            <w:r w:rsidRPr="00184A8E">
              <w:rPr>
                <w:rFonts w:ascii="Arial" w:eastAsia="Calibri" w:hAnsi="Arial" w:cs="Arial"/>
                <w:lang w:eastAsia="en-US"/>
              </w:rPr>
              <w:t>.</w:t>
            </w:r>
          </w:p>
        </w:tc>
      </w:tr>
      <w:tr w:rsidR="00184A8E" w:rsidRPr="00184A8E" w14:paraId="734D9D00" w14:textId="77777777" w:rsidTr="00410A4B">
        <w:trPr>
          <w:trHeight w:val="657"/>
          <w:jc w:val="center"/>
        </w:trPr>
        <w:tc>
          <w:tcPr>
            <w:tcW w:w="2830" w:type="dxa"/>
            <w:tcBorders>
              <w:top w:val="single" w:sz="4" w:space="0" w:color="auto"/>
              <w:left w:val="single" w:sz="4" w:space="0" w:color="auto"/>
              <w:bottom w:val="single" w:sz="4" w:space="0" w:color="auto"/>
              <w:right w:val="single" w:sz="4" w:space="0" w:color="auto"/>
            </w:tcBorders>
          </w:tcPr>
          <w:p w14:paraId="287BF6AE"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hAnsi="Arial" w:cs="Arial"/>
                <w:sz w:val="18"/>
                <w:szCs w:val="18"/>
              </w:rPr>
              <w:t>Izvršavanje aktivnosti obavljanja osnovne djelatnosti civilne zaštite</w:t>
            </w:r>
          </w:p>
        </w:tc>
        <w:tc>
          <w:tcPr>
            <w:tcW w:w="3244" w:type="dxa"/>
            <w:tcBorders>
              <w:top w:val="single" w:sz="4" w:space="0" w:color="auto"/>
              <w:left w:val="single" w:sz="4" w:space="0" w:color="auto"/>
              <w:bottom w:val="single" w:sz="4" w:space="0" w:color="auto"/>
              <w:right w:val="single" w:sz="4" w:space="0" w:color="auto"/>
            </w:tcBorders>
          </w:tcPr>
          <w:p w14:paraId="36B33985"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hAnsi="Arial" w:cs="Arial"/>
                <w:sz w:val="18"/>
                <w:szCs w:val="18"/>
              </w:rPr>
              <w:t xml:space="preserve">Podmirenje rashoda vezanih uz izradu i ažuriranje propisane dokumentacije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B261A9"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5948AB"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6E458B67" w14:textId="2A89D83E" w:rsidR="00184A8E" w:rsidRPr="00184A8E" w:rsidRDefault="00B04FC9" w:rsidP="00184A8E">
            <w:pPr>
              <w:jc w:val="center"/>
              <w:rPr>
                <w:rFonts w:ascii="Arial" w:hAnsi="Arial" w:cs="Arial"/>
                <w:sz w:val="18"/>
                <w:szCs w:val="18"/>
                <w:lang w:eastAsia="en-US"/>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7D01F2F6"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4ED2D402"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1C2852"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1843923B"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100</w:t>
            </w:r>
          </w:p>
        </w:tc>
      </w:tr>
    </w:tbl>
    <w:p w14:paraId="038CF25A" w14:textId="77777777" w:rsidR="00184A8E" w:rsidRPr="00184A8E" w:rsidRDefault="00184A8E" w:rsidP="00184A8E">
      <w:pPr>
        <w:spacing w:after="0" w:line="240" w:lineRule="auto"/>
        <w:jc w:val="both"/>
        <w:rPr>
          <w:rFonts w:ascii="Arial" w:eastAsia="Calibri" w:hAnsi="Arial" w:cs="Arial"/>
          <w:sz w:val="20"/>
          <w:szCs w:val="20"/>
          <w:lang w:eastAsia="en-US"/>
        </w:rPr>
      </w:pPr>
    </w:p>
    <w:p w14:paraId="513A2928" w14:textId="4E5B4BF0" w:rsidR="00184A8E" w:rsidRPr="00184A8E" w:rsidRDefault="00184A8E" w:rsidP="00184A8E">
      <w:pPr>
        <w:spacing w:after="0" w:line="240" w:lineRule="auto"/>
        <w:jc w:val="both"/>
        <w:rPr>
          <w:rFonts w:ascii="Arial" w:eastAsia="Times New Roman" w:hAnsi="Arial" w:cs="Arial"/>
        </w:rPr>
      </w:pPr>
      <w:r w:rsidRPr="00184A8E">
        <w:rPr>
          <w:rFonts w:ascii="Arial" w:eastAsia="Calibri" w:hAnsi="Arial" w:cs="Arial"/>
          <w:b/>
          <w:sz w:val="20"/>
          <w:szCs w:val="20"/>
          <w:lang w:eastAsia="en-US"/>
        </w:rPr>
        <w:t>4. A207304: Razvoj civilne zaštite</w:t>
      </w:r>
      <w:r w:rsidRPr="00184A8E">
        <w:rPr>
          <w:rFonts w:ascii="Arial" w:eastAsia="Calibri" w:hAnsi="Arial" w:cs="Arial"/>
          <w:sz w:val="20"/>
          <w:szCs w:val="20"/>
          <w:lang w:eastAsia="en-US"/>
        </w:rPr>
        <w:t xml:space="preserve"> - u sklopu navedene aktivnosti planirani su rashodi za nabavu odjeće i druge usluge u iznosu </w:t>
      </w:r>
      <w:r w:rsidR="00B04FC9">
        <w:rPr>
          <w:rFonts w:ascii="Arial" w:eastAsia="Calibri" w:hAnsi="Arial" w:cs="Arial"/>
          <w:sz w:val="20"/>
          <w:szCs w:val="20"/>
          <w:lang w:eastAsia="en-US"/>
        </w:rPr>
        <w:t>3.000</w:t>
      </w:r>
      <w:r w:rsidRPr="00184A8E">
        <w:rPr>
          <w:rFonts w:ascii="Arial" w:eastAsia="Calibri" w:hAnsi="Arial" w:cs="Arial"/>
          <w:sz w:val="20"/>
          <w:szCs w:val="20"/>
          <w:lang w:eastAsia="en-US"/>
        </w:rPr>
        <w:t xml:space="preserve"> € (pružanje savjetodavnih usluga iz područja civilne zaštite na temelju ugovora i slično) – temeljem </w:t>
      </w:r>
      <w:r w:rsidRPr="00184A8E">
        <w:rPr>
          <w:rFonts w:ascii="Arial" w:eastAsia="Times New Roman" w:hAnsi="Arial" w:cs="Arial"/>
        </w:rPr>
        <w:t xml:space="preserve">Zakona o sustavu civilne zaštite (NN 82/15, 118/18, 31/20, 20/21 i 114/22). </w:t>
      </w:r>
    </w:p>
    <w:p w14:paraId="3F49C1CB" w14:textId="1B381774"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rPr>
        <w:t xml:space="preserve">Ovi rashodi </w:t>
      </w:r>
      <w:r w:rsidR="00B04FC9">
        <w:rPr>
          <w:rFonts w:ascii="Arial" w:eastAsia="Calibri" w:hAnsi="Arial" w:cs="Arial"/>
          <w:sz w:val="20"/>
          <w:szCs w:val="20"/>
        </w:rPr>
        <w:t xml:space="preserve">nisu </w:t>
      </w:r>
      <w:r w:rsidRPr="00184A8E">
        <w:rPr>
          <w:rFonts w:ascii="Arial" w:eastAsia="Calibri" w:hAnsi="Arial" w:cs="Arial"/>
          <w:sz w:val="20"/>
          <w:szCs w:val="20"/>
        </w:rPr>
        <w:t>izvršeni.</w:t>
      </w:r>
    </w:p>
    <w:p w14:paraId="0B9C4F8F" w14:textId="77777777" w:rsidR="00184A8E" w:rsidRPr="00AA676F" w:rsidRDefault="00184A8E" w:rsidP="00184A8E">
      <w:pPr>
        <w:spacing w:after="0" w:line="240" w:lineRule="auto"/>
        <w:jc w:val="both"/>
        <w:rPr>
          <w:rFonts w:ascii="Arial" w:eastAsia="Calibri" w:hAnsi="Arial" w:cs="Arial"/>
          <w:sz w:val="14"/>
          <w:szCs w:val="14"/>
          <w:lang w:eastAsia="en-US"/>
        </w:rPr>
      </w:pPr>
    </w:p>
    <w:p w14:paraId="06A4C704" w14:textId="1ECE72FA"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 xml:space="preserve">U 2013. je obavljeno osnivanje članova postrojbe civilne zaštite opće namjene (24 pripadnika) za koje je tada nabavljena zaštitna odjeća. </w:t>
      </w:r>
      <w:r w:rsidR="00B04FC9">
        <w:rPr>
          <w:rFonts w:ascii="Arial" w:eastAsia="Calibri" w:hAnsi="Arial" w:cs="Arial"/>
          <w:sz w:val="18"/>
          <w:szCs w:val="18"/>
          <w:lang w:eastAsia="en-US"/>
        </w:rPr>
        <w:t xml:space="preserve">U 2024. godini je nabavljen hidrantski ormarić za </w:t>
      </w:r>
      <w:r w:rsidR="00B04FC9" w:rsidRPr="00B04FC9">
        <w:rPr>
          <w:rFonts w:ascii="Arial" w:eastAsia="Calibri" w:hAnsi="Arial" w:cs="Arial"/>
          <w:sz w:val="18"/>
          <w:szCs w:val="18"/>
          <w:lang w:eastAsia="en-US"/>
        </w:rPr>
        <w:t>poluotok Sustjepan u Cavtatu</w:t>
      </w:r>
      <w:r w:rsidR="00B04FC9">
        <w:rPr>
          <w:rFonts w:ascii="Arial" w:eastAsia="Calibri" w:hAnsi="Arial" w:cs="Arial"/>
          <w:sz w:val="18"/>
          <w:szCs w:val="18"/>
          <w:lang w:eastAsia="en-US"/>
        </w:rPr>
        <w:t>.</w:t>
      </w:r>
    </w:p>
    <w:p w14:paraId="7A73A26A" w14:textId="77777777" w:rsidR="00184A8E" w:rsidRPr="00AA676F" w:rsidRDefault="00184A8E" w:rsidP="00184A8E">
      <w:pPr>
        <w:spacing w:after="0" w:line="240" w:lineRule="auto"/>
        <w:jc w:val="both"/>
        <w:rPr>
          <w:rFonts w:ascii="Arial" w:eastAsia="Calibri" w:hAnsi="Arial" w:cs="Arial"/>
          <w:sz w:val="14"/>
          <w:szCs w:val="14"/>
          <w:lang w:eastAsia="en-US"/>
        </w:rPr>
      </w:pPr>
    </w:p>
    <w:p w14:paraId="412AC507" w14:textId="00992F6F"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Općinsko vijeće Općine Konavle usvojilo </w:t>
      </w:r>
      <w:r w:rsidR="009652FA">
        <w:rPr>
          <w:rFonts w:ascii="Arial" w:eastAsia="Calibri" w:hAnsi="Arial" w:cs="Arial"/>
          <w:sz w:val="20"/>
          <w:szCs w:val="20"/>
        </w:rPr>
        <w:t>A</w:t>
      </w:r>
      <w:r w:rsidRPr="00184A8E">
        <w:rPr>
          <w:rFonts w:ascii="Arial" w:eastAsia="Calibri" w:hAnsi="Arial" w:cs="Arial"/>
          <w:sz w:val="20"/>
          <w:szCs w:val="20"/>
        </w:rPr>
        <w:t>nalizu stanja sustava civilne zaštite na području Općine Konavle za 20</w:t>
      </w:r>
      <w:r w:rsidR="009652FA">
        <w:rPr>
          <w:rFonts w:ascii="Arial" w:eastAsia="Calibri" w:hAnsi="Arial" w:cs="Arial"/>
          <w:sz w:val="20"/>
          <w:szCs w:val="20"/>
        </w:rPr>
        <w:t>24</w:t>
      </w:r>
      <w:r w:rsidRPr="00184A8E">
        <w:rPr>
          <w:rFonts w:ascii="Arial" w:eastAsia="Calibri" w:hAnsi="Arial" w:cs="Arial"/>
          <w:sz w:val="20"/>
          <w:szCs w:val="20"/>
        </w:rPr>
        <w:t xml:space="preserve">. godinu u </w:t>
      </w:r>
      <w:r w:rsidR="009652FA">
        <w:rPr>
          <w:rFonts w:ascii="Arial" w:eastAsia="Calibri" w:hAnsi="Arial" w:cs="Arial"/>
          <w:sz w:val="20"/>
          <w:szCs w:val="20"/>
        </w:rPr>
        <w:t>prosincu</w:t>
      </w:r>
      <w:r w:rsidRPr="00184A8E">
        <w:rPr>
          <w:rFonts w:ascii="Arial" w:eastAsia="Calibri" w:hAnsi="Arial" w:cs="Arial"/>
          <w:sz w:val="20"/>
          <w:szCs w:val="20"/>
        </w:rPr>
        <w:t xml:space="preserve"> 2024. (Službeni glasnik Općine Konavle </w:t>
      </w:r>
      <w:r w:rsidR="009652FA">
        <w:rPr>
          <w:rFonts w:ascii="Arial" w:eastAsia="Calibri" w:hAnsi="Arial" w:cs="Arial"/>
          <w:sz w:val="20"/>
          <w:szCs w:val="20"/>
        </w:rPr>
        <w:t>11</w:t>
      </w:r>
      <w:r w:rsidRPr="00184A8E">
        <w:rPr>
          <w:rFonts w:ascii="Arial" w:eastAsia="Calibri" w:hAnsi="Arial" w:cs="Arial"/>
          <w:sz w:val="20"/>
          <w:szCs w:val="20"/>
        </w:rPr>
        <w:t>/24), kao i Godišnji plan razvoja sustava CZ na području Općine Konavle u 202</w:t>
      </w:r>
      <w:r w:rsidR="009652FA">
        <w:rPr>
          <w:rFonts w:ascii="Arial" w:eastAsia="Calibri" w:hAnsi="Arial" w:cs="Arial"/>
          <w:sz w:val="20"/>
          <w:szCs w:val="20"/>
        </w:rPr>
        <w:t>5</w:t>
      </w:r>
      <w:r w:rsidRPr="00184A8E">
        <w:rPr>
          <w:rFonts w:ascii="Arial" w:eastAsia="Calibri" w:hAnsi="Arial" w:cs="Arial"/>
          <w:sz w:val="20"/>
          <w:szCs w:val="20"/>
        </w:rPr>
        <w:t>. godini s financijskim učincima za trogodišnje razdoblje</w:t>
      </w:r>
      <w:r w:rsidR="009652FA">
        <w:rPr>
          <w:rFonts w:ascii="Arial" w:eastAsia="Calibri" w:hAnsi="Arial" w:cs="Arial"/>
          <w:sz w:val="20"/>
          <w:szCs w:val="20"/>
        </w:rPr>
        <w:t xml:space="preserve"> (Službeni glasnik Općine Konavle 11/2024)</w:t>
      </w:r>
      <w:r w:rsidRPr="00184A8E">
        <w:rPr>
          <w:rFonts w:ascii="Arial" w:eastAsia="Calibri" w:hAnsi="Arial" w:cs="Arial"/>
          <w:sz w:val="20"/>
          <w:szCs w:val="20"/>
        </w:rPr>
        <w:t>.</w:t>
      </w:r>
    </w:p>
    <w:p w14:paraId="20D57596"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tbl>
      <w:tblPr>
        <w:tblStyle w:val="Reetkatablice5367"/>
        <w:tblW w:w="13870" w:type="dxa"/>
        <w:jc w:val="center"/>
        <w:tblLayout w:type="fixed"/>
        <w:tblLook w:val="04A0" w:firstRow="1" w:lastRow="0" w:firstColumn="1" w:lastColumn="0" w:noHBand="0" w:noVBand="1"/>
      </w:tblPr>
      <w:tblGrid>
        <w:gridCol w:w="2830"/>
        <w:gridCol w:w="3244"/>
        <w:gridCol w:w="992"/>
        <w:gridCol w:w="1134"/>
        <w:gridCol w:w="1134"/>
        <w:gridCol w:w="1134"/>
        <w:gridCol w:w="1134"/>
        <w:gridCol w:w="1134"/>
        <w:gridCol w:w="1134"/>
      </w:tblGrid>
      <w:tr w:rsidR="00184A8E" w:rsidRPr="00184A8E" w14:paraId="06EA0A2A" w14:textId="77777777" w:rsidTr="00410A4B">
        <w:trP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80CBF61"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lastRenderedPageBreak/>
              <w:t>Pokazatelj rezultata</w:t>
            </w:r>
          </w:p>
        </w:tc>
        <w:tc>
          <w:tcPr>
            <w:tcW w:w="324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C16B571"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E3B9BA5"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FCF02D9"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3AD2D0D" w14:textId="6DC3F0AA" w:rsidR="00184A8E" w:rsidRPr="00184A8E" w:rsidRDefault="00184A8E" w:rsidP="00184A8E">
            <w:pPr>
              <w:jc w:val="center"/>
              <w:rPr>
                <w:rFonts w:ascii="Arial" w:eastAsia="Calibri" w:hAnsi="Arial" w:cs="Arial"/>
                <w:lang w:eastAsia="en-US"/>
              </w:rPr>
            </w:pPr>
            <w:r w:rsidRPr="00184A8E">
              <w:rPr>
                <w:rFonts w:ascii="Arial" w:eastAsia="Calibri" w:hAnsi="Arial" w:cs="Arial"/>
              </w:rPr>
              <w:t>Polazna vrijednost 202</w:t>
            </w:r>
            <w:r w:rsidR="009652FA">
              <w:rPr>
                <w:rFonts w:ascii="Arial" w:eastAsia="Calibri" w:hAnsi="Arial" w:cs="Arial"/>
              </w:rPr>
              <w:t>4</w:t>
            </w:r>
            <w:r w:rsidRPr="00184A8E">
              <w:rPr>
                <w:rFonts w:ascii="Arial" w:eastAsia="Calibri" w:hAnsi="Arial"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5A62D0D" w14:textId="1316BC04"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9652FA">
              <w:rPr>
                <w:rFonts w:ascii="Arial" w:eastAsia="Calibri" w:hAnsi="Arial" w:cs="Arial"/>
                <w:lang w:eastAsia="en-US"/>
              </w:rPr>
              <w:t>5</w:t>
            </w:r>
            <w:r w:rsidRPr="00184A8E">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31B4A0E" w14:textId="72688ED4"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9652FA">
              <w:rPr>
                <w:rFonts w:ascii="Arial" w:eastAsia="Calibri" w:hAnsi="Arial" w:cs="Arial"/>
                <w:lang w:eastAsia="en-US"/>
              </w:rPr>
              <w:t>5</w:t>
            </w:r>
            <w:r w:rsidRPr="00184A8E">
              <w:rPr>
                <w:rFonts w:ascii="Arial" w:eastAsia="Calibri" w:hAnsi="Arial" w:cs="Arial"/>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8F4B801" w14:textId="142000B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9652FA">
              <w:rPr>
                <w:rFonts w:ascii="Arial" w:eastAsia="Calibri" w:hAnsi="Arial" w:cs="Arial"/>
                <w:lang w:eastAsia="en-US"/>
              </w:rPr>
              <w:t>6</w:t>
            </w:r>
            <w:r w:rsidRPr="00184A8E">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F43CBB1" w14:textId="5BD4DC49"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9652FA">
              <w:rPr>
                <w:rFonts w:ascii="Arial" w:eastAsia="Calibri" w:hAnsi="Arial" w:cs="Arial"/>
                <w:lang w:eastAsia="en-US"/>
              </w:rPr>
              <w:t>7</w:t>
            </w:r>
            <w:r w:rsidRPr="00184A8E">
              <w:rPr>
                <w:rFonts w:ascii="Arial" w:eastAsia="Calibri" w:hAnsi="Arial" w:cs="Arial"/>
                <w:lang w:eastAsia="en-US"/>
              </w:rPr>
              <w:t>.</w:t>
            </w:r>
          </w:p>
        </w:tc>
      </w:tr>
      <w:tr w:rsidR="00184A8E" w:rsidRPr="00184A8E" w14:paraId="476FE2E2" w14:textId="77777777" w:rsidTr="00AA676F">
        <w:trPr>
          <w:trHeight w:val="455"/>
          <w:jc w:val="center"/>
        </w:trPr>
        <w:tc>
          <w:tcPr>
            <w:tcW w:w="2830" w:type="dxa"/>
            <w:tcBorders>
              <w:top w:val="single" w:sz="4" w:space="0" w:color="auto"/>
              <w:left w:val="single" w:sz="4" w:space="0" w:color="auto"/>
              <w:bottom w:val="single" w:sz="4" w:space="0" w:color="auto"/>
              <w:right w:val="single" w:sz="4" w:space="0" w:color="auto"/>
            </w:tcBorders>
          </w:tcPr>
          <w:p w14:paraId="5B949DF6" w14:textId="77777777" w:rsidR="00184A8E" w:rsidRPr="00AA676F" w:rsidRDefault="00184A8E" w:rsidP="00184A8E">
            <w:pPr>
              <w:autoSpaceDE w:val="0"/>
              <w:autoSpaceDN w:val="0"/>
              <w:adjustRightInd w:val="0"/>
              <w:rPr>
                <w:rFonts w:ascii="Arial" w:hAnsi="Arial" w:cs="Arial"/>
                <w:sz w:val="16"/>
                <w:szCs w:val="16"/>
                <w:lang w:eastAsia="en-US"/>
              </w:rPr>
            </w:pPr>
            <w:r w:rsidRPr="00AA676F">
              <w:rPr>
                <w:rFonts w:ascii="Arial" w:hAnsi="Arial" w:cs="Arial"/>
                <w:sz w:val="16"/>
                <w:szCs w:val="16"/>
              </w:rPr>
              <w:t>Izvršavanje aktivnosti obavljanja osnovne djelatnosti civilne zaštite</w:t>
            </w:r>
          </w:p>
        </w:tc>
        <w:tc>
          <w:tcPr>
            <w:tcW w:w="3244" w:type="dxa"/>
            <w:tcBorders>
              <w:top w:val="single" w:sz="4" w:space="0" w:color="auto"/>
              <w:left w:val="single" w:sz="4" w:space="0" w:color="auto"/>
              <w:bottom w:val="single" w:sz="4" w:space="0" w:color="auto"/>
              <w:right w:val="single" w:sz="4" w:space="0" w:color="auto"/>
            </w:tcBorders>
          </w:tcPr>
          <w:p w14:paraId="6F7CC2C0" w14:textId="77777777" w:rsidR="00184A8E" w:rsidRPr="00184A8E" w:rsidRDefault="00184A8E" w:rsidP="00184A8E">
            <w:pPr>
              <w:autoSpaceDE w:val="0"/>
              <w:autoSpaceDN w:val="0"/>
              <w:adjustRightInd w:val="0"/>
              <w:jc w:val="both"/>
              <w:rPr>
                <w:rFonts w:ascii="Arial" w:hAnsi="Arial" w:cs="Arial"/>
                <w:sz w:val="18"/>
                <w:szCs w:val="18"/>
                <w:lang w:eastAsia="en-US"/>
              </w:rPr>
            </w:pPr>
            <w:r w:rsidRPr="00184A8E">
              <w:rPr>
                <w:rFonts w:ascii="Arial" w:hAnsi="Arial" w:cs="Arial"/>
                <w:sz w:val="18"/>
                <w:szCs w:val="18"/>
              </w:rPr>
              <w:t>Podmirenje rashoda vezanih uz opremanje postrojbi civilne zaštite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483E88"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93A7C6"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51980B87"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0FF2783"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79BB4E3" w14:textId="60758B83" w:rsidR="00184A8E" w:rsidRPr="00184A8E" w:rsidRDefault="009652FA" w:rsidP="00184A8E">
            <w:pPr>
              <w:jc w:val="center"/>
              <w:rPr>
                <w:rFonts w:ascii="Arial" w:hAnsi="Arial" w:cs="Arial"/>
                <w:sz w:val="18"/>
                <w:szCs w:val="18"/>
              </w:rPr>
            </w:pPr>
            <w:r>
              <w:rPr>
                <w:rFonts w:ascii="Arial" w:hAnsi="Arial" w:cs="Arial"/>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B7762AC"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E114424"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100</w:t>
            </w:r>
          </w:p>
        </w:tc>
      </w:tr>
    </w:tbl>
    <w:p w14:paraId="2A5FCEB8"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388A41C9"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5. A207305: Fond za sanaciju iznenadnih onečišćenja mora, udjel Općine Konavle u Fondu</w:t>
      </w:r>
      <w:r w:rsidRPr="00184A8E">
        <w:rPr>
          <w:rFonts w:ascii="Arial" w:eastAsia="Calibri" w:hAnsi="Arial" w:cs="Arial"/>
          <w:sz w:val="20"/>
          <w:szCs w:val="20"/>
          <w:lang w:eastAsia="en-US"/>
        </w:rPr>
        <w:t xml:space="preserve"> - u sklopu navedene aktivnosti nisu planirani.</w:t>
      </w:r>
    </w:p>
    <w:p w14:paraId="2B0A86CD" w14:textId="77777777" w:rsidR="00184A8E" w:rsidRPr="00184A8E" w:rsidRDefault="00184A8E" w:rsidP="00184A8E">
      <w:pPr>
        <w:spacing w:after="0" w:line="240" w:lineRule="auto"/>
        <w:ind w:left="567"/>
        <w:jc w:val="both"/>
        <w:rPr>
          <w:rFonts w:ascii="Arial" w:eastAsia="Calibri" w:hAnsi="Arial" w:cs="Arial"/>
          <w:sz w:val="18"/>
          <w:szCs w:val="18"/>
          <w:lang w:eastAsia="en-US"/>
        </w:rPr>
      </w:pPr>
    </w:p>
    <w:p w14:paraId="4DE22496"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 xml:space="preserve">Vlada Republike Hrvatske donijela je u kolovozu </w:t>
      </w:r>
      <w:r w:rsidRPr="00184A8E">
        <w:rPr>
          <w:rFonts w:ascii="Arial" w:eastAsia="Calibri" w:hAnsi="Arial" w:cs="Arial"/>
          <w:b/>
          <w:bCs/>
          <w:sz w:val="18"/>
          <w:szCs w:val="18"/>
          <w:lang w:eastAsia="en-US"/>
        </w:rPr>
        <w:t>2008</w:t>
      </w:r>
      <w:r w:rsidRPr="00184A8E">
        <w:rPr>
          <w:rFonts w:ascii="Arial" w:eastAsia="Calibri" w:hAnsi="Arial" w:cs="Arial"/>
          <w:sz w:val="18"/>
          <w:szCs w:val="18"/>
          <w:lang w:eastAsia="en-US"/>
        </w:rPr>
        <w:t xml:space="preserve">. Plan intervencija kod iznenadnih onečišćenja mora (Narodne novine 92/08). Odredbama točke 110. spomenutog Plana utvrđeno je da se po odluci predstavničkog tijela Županije iz proračuna priobalnih jedinica lokalne samouprave financira dio troškova za otklanjanje opasnosti od onečišćenja te žurno provođenje mjera kod iznenadnog onečišćenja mora. Na temelju točke 110. Plan intervencija kod iznenadnih onečišćenja mora (Narodne novine 92/08) i članka 57. Plana intervencija od iznenadnih onečišćenja mora u Dubrovačko-neretvanskoj županiji (Službeni glasnik Dubrovačko neretvanske županije 2/11), Županijska skupština je u prosincu 2012. donijela Odluku o osnivanju Fonda za sanaciju iznenadnih onečišćenja mora kojom je utvrđeno da ukupna sredstva za troškove provedbe mjera reagiranja kod iznenadnih onečišćenja mora iznose 300.000 kn / 39.816,84 € (udjel Županije 20%, udjel ostalih priobalnih jedinica u Županiji 80%). Prema Odluci, neutrošena sredstva se prenose u slijedeću proračunsku godinu, a svake godine se u fond uplaćuje dio sredstava utrošenih tijekom prethodne godine najkasnije do 31. ožujka tekuće godine temeljem izračuna udjela u Fondu. </w:t>
      </w:r>
    </w:p>
    <w:p w14:paraId="77A27E95"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 xml:space="preserve">U siječnju </w:t>
      </w:r>
      <w:r w:rsidRPr="00184A8E">
        <w:rPr>
          <w:rFonts w:ascii="Arial" w:eastAsia="Calibri" w:hAnsi="Arial" w:cs="Arial"/>
          <w:b/>
          <w:bCs/>
          <w:sz w:val="18"/>
          <w:szCs w:val="18"/>
          <w:lang w:eastAsia="en-US"/>
        </w:rPr>
        <w:t>2013</w:t>
      </w:r>
      <w:r w:rsidRPr="00184A8E">
        <w:rPr>
          <w:rFonts w:ascii="Arial" w:eastAsia="Calibri" w:hAnsi="Arial" w:cs="Arial"/>
          <w:sz w:val="18"/>
          <w:szCs w:val="18"/>
          <w:lang w:eastAsia="en-US"/>
        </w:rPr>
        <w:t>. godine Županijska skupština donijela je Odluku o pojedinačnim udjelima priobalnih jedinica lokalne samouprave Dubrovačko-neretvanske županije u Fondu za sanaciju iznenadnih onečišćenja mora u Dubrovačko-neretvanskoj županiji (Službeni glasnik Dubrovačko neretvanske županije 1/13). Udjel Općine Konavle u Fondu iznosi 22.574,67 kn // 2.996,17 €// (izračunato na temelju duljine obalne linije 66 km i na temelju proračuna jedinice lokalne i regionalne samouprave, odnosno 22.754,67 / 300.000,00 = 7,52%). Ukupna duljina obalne linije 1.100 km (županija udjel 20 % ili 60.000 kn / 7.963,37 €/, a udjel 18 jedinica lokalne samouprave 120.000 kn /15.926,74 €/ na temelju proračuna i 120.000 kn /15.926,74 €/ na temelju duljine obalne linije).</w:t>
      </w:r>
    </w:p>
    <w:p w14:paraId="2FDF1024" w14:textId="77777777" w:rsidR="00184A8E" w:rsidRPr="00184A8E" w:rsidRDefault="00184A8E" w:rsidP="00184A8E">
      <w:pPr>
        <w:spacing w:after="0" w:line="240" w:lineRule="auto"/>
        <w:jc w:val="both"/>
        <w:rPr>
          <w:rFonts w:ascii="Arial" w:eastAsia="Calibri" w:hAnsi="Arial" w:cs="Arial"/>
          <w:sz w:val="20"/>
          <w:szCs w:val="20"/>
        </w:rPr>
      </w:pPr>
    </w:p>
    <w:p w14:paraId="1B7B1237"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6. A207306: Nabava opreme za zaštitu mora, te opreme i prijevoznih sredstava za protupožarnu zaštitu, spašavanje</w:t>
      </w:r>
      <w:r w:rsidRPr="00184A8E">
        <w:rPr>
          <w:rFonts w:ascii="Arial" w:eastAsia="Calibri" w:hAnsi="Arial" w:cs="Arial"/>
          <w:sz w:val="20"/>
          <w:szCs w:val="20"/>
          <w:lang w:eastAsia="en-US"/>
        </w:rPr>
        <w:t xml:space="preserve"> - u sklopu navedene aktivnosti su planirani rashodi u iznosu 193.200 €,a izvršeni su u iznosu 193.125 €.</w:t>
      </w:r>
    </w:p>
    <w:p w14:paraId="5B76995A"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Izvršeni rashodi se odnose na nabavu rabljenih vatrogasnih autoljestvi koje su kao nefinancijska imovina prenesene proračunskom korisniku Javnoj vatrogasnoj postrojbi.</w:t>
      </w:r>
    </w:p>
    <w:p w14:paraId="6FE5F592" w14:textId="77777777" w:rsidR="00184A8E" w:rsidRPr="00184A8E" w:rsidRDefault="00184A8E" w:rsidP="00184A8E">
      <w:pPr>
        <w:spacing w:after="0" w:line="240" w:lineRule="auto"/>
        <w:jc w:val="both"/>
        <w:rPr>
          <w:rFonts w:ascii="Arial" w:eastAsia="Calibri" w:hAnsi="Arial" w:cs="Arial"/>
          <w:b/>
          <w:sz w:val="20"/>
          <w:szCs w:val="20"/>
        </w:rPr>
      </w:pPr>
    </w:p>
    <w:p w14:paraId="640AE71C" w14:textId="79F1210E"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7. K207307: Izgradnja zajedničkog vatrogasnog doma i spremišta – Vatrogasni dom Gruda</w:t>
      </w:r>
      <w:r w:rsidRPr="00184A8E">
        <w:rPr>
          <w:rFonts w:ascii="Arial" w:eastAsia="Calibri" w:hAnsi="Arial" w:cs="Arial"/>
          <w:sz w:val="20"/>
          <w:szCs w:val="20"/>
        </w:rPr>
        <w:t xml:space="preserve"> - u sklopu navedene aktivnosti su </w:t>
      </w:r>
      <w:r w:rsidR="009652FA">
        <w:rPr>
          <w:rFonts w:ascii="Arial" w:eastAsia="Calibri" w:hAnsi="Arial" w:cs="Arial"/>
          <w:sz w:val="20"/>
          <w:szCs w:val="20"/>
        </w:rPr>
        <w:t xml:space="preserve">prvotno bili </w:t>
      </w:r>
      <w:r w:rsidRPr="00184A8E">
        <w:rPr>
          <w:rFonts w:ascii="Arial" w:eastAsia="Calibri" w:hAnsi="Arial" w:cs="Arial"/>
          <w:sz w:val="20"/>
          <w:szCs w:val="20"/>
        </w:rPr>
        <w:t xml:space="preserve">planirani rashodi u iznosu </w:t>
      </w:r>
      <w:r w:rsidR="009652FA">
        <w:rPr>
          <w:rFonts w:ascii="Arial" w:eastAsia="Calibri" w:hAnsi="Arial" w:cs="Arial"/>
          <w:sz w:val="20"/>
          <w:szCs w:val="20"/>
        </w:rPr>
        <w:t>75.000</w:t>
      </w:r>
      <w:r w:rsidRPr="00184A8E">
        <w:rPr>
          <w:rFonts w:ascii="Arial" w:eastAsia="Calibri" w:hAnsi="Arial" w:cs="Arial"/>
          <w:sz w:val="20"/>
          <w:szCs w:val="20"/>
        </w:rPr>
        <w:t xml:space="preserve"> €. </w:t>
      </w:r>
      <w:r w:rsidR="009652FA">
        <w:rPr>
          <w:rFonts w:ascii="Arial" w:eastAsia="Calibri" w:hAnsi="Arial" w:cs="Arial"/>
          <w:sz w:val="20"/>
          <w:szCs w:val="20"/>
        </w:rPr>
        <w:t xml:space="preserve">Izmjenama i dopunama proračuna rashodi su planirani u iznosu 7.000 €. </w:t>
      </w:r>
      <w:r w:rsidRPr="00184A8E">
        <w:rPr>
          <w:rFonts w:ascii="Arial" w:eastAsia="Calibri" w:hAnsi="Arial" w:cs="Arial"/>
          <w:sz w:val="20"/>
          <w:szCs w:val="20"/>
        </w:rPr>
        <w:t xml:space="preserve">Rashodi </w:t>
      </w:r>
      <w:r w:rsidR="009652FA">
        <w:rPr>
          <w:rFonts w:ascii="Arial" w:eastAsia="Calibri" w:hAnsi="Arial" w:cs="Arial"/>
          <w:sz w:val="20"/>
          <w:szCs w:val="20"/>
        </w:rPr>
        <w:t>ni</w:t>
      </w:r>
      <w:r w:rsidRPr="00184A8E">
        <w:rPr>
          <w:rFonts w:ascii="Arial" w:eastAsia="Calibri" w:hAnsi="Arial" w:cs="Arial"/>
          <w:sz w:val="20"/>
          <w:szCs w:val="20"/>
        </w:rPr>
        <w:t>su izvršeni. Planirani rashodi se najvećim dijelom odnose na rezerviranja za izvršenje rashoda na temelju neusklađenog prijedloga okončane situacije za izgradnju vatrogasnog doma.</w:t>
      </w:r>
    </w:p>
    <w:p w14:paraId="11510DCB" w14:textId="77777777" w:rsidR="00184A8E" w:rsidRPr="00184A8E" w:rsidRDefault="00184A8E" w:rsidP="00184A8E">
      <w:pPr>
        <w:spacing w:after="0" w:line="240" w:lineRule="auto"/>
        <w:jc w:val="both"/>
        <w:rPr>
          <w:rFonts w:ascii="Arial" w:eastAsia="Calibri" w:hAnsi="Arial" w:cs="Arial"/>
          <w:sz w:val="20"/>
          <w:szCs w:val="20"/>
        </w:rPr>
      </w:pPr>
    </w:p>
    <w:p w14:paraId="6BE931D9" w14:textId="77777777" w:rsidR="00184A8E" w:rsidRPr="00184A8E" w:rsidRDefault="00184A8E" w:rsidP="00184A8E">
      <w:pPr>
        <w:autoSpaceDE w:val="0"/>
        <w:autoSpaceDN w:val="0"/>
        <w:adjustRightInd w:val="0"/>
        <w:spacing w:after="0" w:line="240" w:lineRule="auto"/>
        <w:jc w:val="both"/>
        <w:rPr>
          <w:rFonts w:ascii="Arial" w:eastAsia="Calibri" w:hAnsi="Arial" w:cs="Arial"/>
          <w:color w:val="ED0000"/>
          <w:sz w:val="20"/>
          <w:szCs w:val="20"/>
        </w:rPr>
      </w:pPr>
      <w:r w:rsidRPr="00184A8E">
        <w:rPr>
          <w:rFonts w:ascii="Arial" w:eastAsia="Calibri" w:hAnsi="Arial" w:cs="Arial"/>
          <w:sz w:val="20"/>
          <w:szCs w:val="20"/>
        </w:rPr>
        <w:t xml:space="preserve">Detaljnije o projektu u </w:t>
      </w:r>
      <w:hyperlink w:anchor="_8.__IZVADAK" w:history="1">
        <w:r w:rsidRPr="00184A8E">
          <w:rPr>
            <w:rFonts w:ascii="Arial" w:eastAsia="Calibri" w:hAnsi="Arial" w:cs="Arial"/>
            <w:b/>
            <w:bCs/>
            <w:color w:val="0000FF"/>
            <w:sz w:val="20"/>
            <w:szCs w:val="20"/>
            <w:u w:val="single"/>
          </w:rPr>
          <w:t>točki 8.</w:t>
        </w:r>
        <w:r w:rsidRPr="00184A8E">
          <w:rPr>
            <w:rFonts w:ascii="Arial" w:eastAsia="Calibri" w:hAnsi="Arial" w:cs="Arial"/>
            <w:color w:val="0000FF"/>
            <w:sz w:val="20"/>
            <w:szCs w:val="20"/>
            <w:u w:val="single"/>
          </w:rPr>
          <w:t xml:space="preserve"> </w:t>
        </w:r>
        <w:r w:rsidRPr="00184A8E">
          <w:rPr>
            <w:rFonts w:ascii="Arial" w:eastAsia="Calibri" w:hAnsi="Arial" w:cs="Arial"/>
            <w:b/>
            <w:bCs/>
            <w:color w:val="0000FF"/>
            <w:sz w:val="20"/>
            <w:szCs w:val="20"/>
            <w:u w:val="single"/>
          </w:rPr>
          <w:t>Izvadak projekata iz strateškog plana i provedbenog programa</w:t>
        </w:r>
        <w:r w:rsidRPr="00184A8E">
          <w:rPr>
            <w:rFonts w:ascii="Arial" w:eastAsia="Calibri" w:hAnsi="Arial" w:cs="Arial"/>
            <w:color w:val="0000FF"/>
            <w:sz w:val="20"/>
            <w:szCs w:val="20"/>
            <w:u w:val="single"/>
          </w:rPr>
          <w:t>.</w:t>
        </w:r>
      </w:hyperlink>
    </w:p>
    <w:p w14:paraId="6C2A35E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tbl>
      <w:tblPr>
        <w:tblW w:w="14059" w:type="dxa"/>
        <w:jc w:val="center"/>
        <w:tblLayout w:type="fixed"/>
        <w:tblLook w:val="04A0" w:firstRow="1" w:lastRow="0" w:firstColumn="1" w:lastColumn="0" w:noHBand="0" w:noVBand="1"/>
      </w:tblPr>
      <w:tblGrid>
        <w:gridCol w:w="2263"/>
        <w:gridCol w:w="3402"/>
        <w:gridCol w:w="958"/>
        <w:gridCol w:w="1134"/>
        <w:gridCol w:w="1232"/>
        <w:gridCol w:w="1276"/>
        <w:gridCol w:w="1276"/>
        <w:gridCol w:w="1276"/>
        <w:gridCol w:w="1242"/>
      </w:tblGrid>
      <w:tr w:rsidR="00184A8E" w:rsidRPr="00184A8E" w14:paraId="54D45EF0"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7BC419C"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r w:rsidRPr="00184A8E">
              <w:rPr>
                <w:rFonts w:ascii="Arial" w:eastAsia="Calibri" w:hAnsi="Arial" w:cs="Arial"/>
                <w:sz w:val="18"/>
                <w:szCs w:val="18"/>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C2DD590"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r w:rsidRPr="00184A8E">
              <w:rPr>
                <w:rFonts w:ascii="Arial" w:eastAsia="Calibri" w:hAnsi="Arial" w:cs="Arial"/>
                <w:sz w:val="18"/>
                <w:szCs w:val="18"/>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566D1A1" w14:textId="77777777" w:rsidR="00184A8E" w:rsidRPr="00184A8E" w:rsidRDefault="00184A8E" w:rsidP="00184A8E">
            <w:pPr>
              <w:autoSpaceDE w:val="0"/>
              <w:autoSpaceDN w:val="0"/>
              <w:adjustRightInd w:val="0"/>
              <w:spacing w:after="0" w:line="240" w:lineRule="auto"/>
              <w:jc w:val="center"/>
              <w:rPr>
                <w:rFonts w:ascii="Arial" w:eastAsia="Calibri" w:hAnsi="Arial" w:cs="Arial"/>
                <w:sz w:val="18"/>
                <w:szCs w:val="18"/>
              </w:rPr>
            </w:pPr>
            <w:r w:rsidRPr="00184A8E">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484B893" w14:textId="77777777" w:rsidR="00184A8E" w:rsidRPr="00184A8E" w:rsidRDefault="00184A8E" w:rsidP="00184A8E">
            <w:pPr>
              <w:autoSpaceDE w:val="0"/>
              <w:autoSpaceDN w:val="0"/>
              <w:adjustRightInd w:val="0"/>
              <w:spacing w:after="0" w:line="240" w:lineRule="auto"/>
              <w:jc w:val="center"/>
              <w:rPr>
                <w:rFonts w:ascii="Arial" w:eastAsia="Calibri" w:hAnsi="Arial" w:cs="Arial"/>
                <w:sz w:val="18"/>
                <w:szCs w:val="18"/>
              </w:rPr>
            </w:pPr>
            <w:r w:rsidRPr="00184A8E">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2A9A3E4" w14:textId="77777777" w:rsidR="00184A8E" w:rsidRPr="00184A8E" w:rsidRDefault="00184A8E" w:rsidP="00184A8E">
            <w:pPr>
              <w:autoSpaceDE w:val="0"/>
              <w:autoSpaceDN w:val="0"/>
              <w:adjustRightInd w:val="0"/>
              <w:spacing w:after="0" w:line="240" w:lineRule="auto"/>
              <w:jc w:val="center"/>
              <w:rPr>
                <w:rFonts w:ascii="Arial" w:eastAsia="Calibri" w:hAnsi="Arial" w:cs="Arial"/>
                <w:sz w:val="18"/>
                <w:szCs w:val="18"/>
              </w:rPr>
            </w:pPr>
            <w:r w:rsidRPr="00184A8E">
              <w:rPr>
                <w:rFonts w:ascii="Arial" w:eastAsia="Calibri" w:hAnsi="Arial" w:cs="Arial"/>
                <w:sz w:val="18"/>
                <w:szCs w:val="18"/>
              </w:rPr>
              <w:t>Polazna vrijednost 2023.</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101160E" w14:textId="113058AA" w:rsidR="00184A8E" w:rsidRPr="00184A8E" w:rsidRDefault="00184A8E" w:rsidP="00184A8E">
            <w:pPr>
              <w:autoSpaceDE w:val="0"/>
              <w:autoSpaceDN w:val="0"/>
              <w:adjustRightInd w:val="0"/>
              <w:spacing w:after="0" w:line="240" w:lineRule="auto"/>
              <w:jc w:val="center"/>
              <w:rPr>
                <w:rFonts w:ascii="Arial" w:eastAsia="Calibri" w:hAnsi="Arial" w:cs="Arial"/>
                <w:sz w:val="18"/>
                <w:szCs w:val="18"/>
              </w:rPr>
            </w:pPr>
            <w:r w:rsidRPr="00184A8E">
              <w:rPr>
                <w:rFonts w:ascii="Arial" w:eastAsia="Calibri" w:hAnsi="Arial" w:cs="Arial"/>
                <w:sz w:val="18"/>
                <w:szCs w:val="18"/>
              </w:rPr>
              <w:t>Ciljana vrijednost 202</w:t>
            </w:r>
            <w:r w:rsidR="009652FA">
              <w:rPr>
                <w:rFonts w:ascii="Arial" w:eastAsia="Calibri" w:hAnsi="Arial" w:cs="Arial"/>
                <w:sz w:val="18"/>
                <w:szCs w:val="18"/>
              </w:rPr>
              <w:t>5</w:t>
            </w:r>
            <w:r w:rsidRPr="00184A8E">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1B7E1B6" w14:textId="6E24E977" w:rsidR="00184A8E" w:rsidRPr="00184A8E" w:rsidRDefault="00184A8E" w:rsidP="00184A8E">
            <w:pPr>
              <w:autoSpaceDE w:val="0"/>
              <w:autoSpaceDN w:val="0"/>
              <w:adjustRightInd w:val="0"/>
              <w:spacing w:after="0" w:line="240" w:lineRule="auto"/>
              <w:jc w:val="center"/>
              <w:rPr>
                <w:rFonts w:ascii="Arial" w:eastAsia="Calibri" w:hAnsi="Arial" w:cs="Arial"/>
                <w:sz w:val="18"/>
                <w:szCs w:val="18"/>
              </w:rPr>
            </w:pPr>
            <w:r w:rsidRPr="00184A8E">
              <w:rPr>
                <w:rFonts w:ascii="Arial" w:eastAsia="Calibri" w:hAnsi="Arial" w:cs="Arial"/>
                <w:sz w:val="18"/>
                <w:szCs w:val="18"/>
              </w:rPr>
              <w:t>Izvršeno 20</w:t>
            </w:r>
            <w:r w:rsidR="009652FA">
              <w:rPr>
                <w:rFonts w:ascii="Arial" w:eastAsia="Calibri" w:hAnsi="Arial" w:cs="Arial"/>
                <w:sz w:val="18"/>
                <w:szCs w:val="18"/>
              </w:rPr>
              <w:t>25</w:t>
            </w:r>
            <w:r w:rsidRPr="00184A8E">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65B0006" w14:textId="197916E3" w:rsidR="00184A8E" w:rsidRPr="00184A8E" w:rsidRDefault="00184A8E" w:rsidP="00184A8E">
            <w:pPr>
              <w:autoSpaceDE w:val="0"/>
              <w:autoSpaceDN w:val="0"/>
              <w:adjustRightInd w:val="0"/>
              <w:spacing w:after="0" w:line="240" w:lineRule="auto"/>
              <w:jc w:val="center"/>
              <w:rPr>
                <w:rFonts w:ascii="Arial" w:eastAsia="Calibri" w:hAnsi="Arial" w:cs="Arial"/>
                <w:sz w:val="18"/>
                <w:szCs w:val="18"/>
              </w:rPr>
            </w:pPr>
            <w:r w:rsidRPr="00184A8E">
              <w:rPr>
                <w:rFonts w:ascii="Arial" w:eastAsia="Calibri" w:hAnsi="Arial" w:cs="Arial"/>
                <w:sz w:val="18"/>
                <w:szCs w:val="18"/>
              </w:rPr>
              <w:t>Ciljana vrijednost 202</w:t>
            </w:r>
            <w:r w:rsidR="009652FA">
              <w:rPr>
                <w:rFonts w:ascii="Arial" w:eastAsia="Calibri" w:hAnsi="Arial" w:cs="Arial"/>
                <w:sz w:val="18"/>
                <w:szCs w:val="18"/>
              </w:rPr>
              <w:t>6</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C1CB83A" w14:textId="3A6A074D" w:rsidR="00184A8E" w:rsidRPr="00184A8E" w:rsidRDefault="00184A8E" w:rsidP="00184A8E">
            <w:pPr>
              <w:autoSpaceDE w:val="0"/>
              <w:autoSpaceDN w:val="0"/>
              <w:adjustRightInd w:val="0"/>
              <w:spacing w:after="0" w:line="240" w:lineRule="auto"/>
              <w:jc w:val="center"/>
              <w:rPr>
                <w:rFonts w:ascii="Arial" w:eastAsia="Calibri" w:hAnsi="Arial" w:cs="Arial"/>
                <w:sz w:val="18"/>
                <w:szCs w:val="18"/>
              </w:rPr>
            </w:pPr>
            <w:r w:rsidRPr="00184A8E">
              <w:rPr>
                <w:rFonts w:ascii="Arial" w:eastAsia="Calibri" w:hAnsi="Arial" w:cs="Arial"/>
                <w:sz w:val="18"/>
                <w:szCs w:val="18"/>
              </w:rPr>
              <w:t>Ciljana vrijednost 202</w:t>
            </w:r>
            <w:r w:rsidR="009652FA">
              <w:rPr>
                <w:rFonts w:ascii="Arial" w:eastAsia="Calibri" w:hAnsi="Arial" w:cs="Arial"/>
                <w:sz w:val="18"/>
                <w:szCs w:val="18"/>
              </w:rPr>
              <w:t>7</w:t>
            </w:r>
            <w:r w:rsidRPr="00184A8E">
              <w:rPr>
                <w:rFonts w:ascii="Arial" w:eastAsia="Calibri" w:hAnsi="Arial" w:cs="Arial"/>
                <w:sz w:val="18"/>
                <w:szCs w:val="18"/>
              </w:rPr>
              <w:t>.</w:t>
            </w:r>
          </w:p>
        </w:tc>
      </w:tr>
      <w:tr w:rsidR="00184A8E" w:rsidRPr="00184A8E" w14:paraId="6D599A13" w14:textId="77777777" w:rsidTr="00410A4B">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724AFD2B" w14:textId="77777777" w:rsidR="00184A8E" w:rsidRPr="00184A8E" w:rsidRDefault="00184A8E" w:rsidP="00184A8E">
            <w:pPr>
              <w:autoSpaceDE w:val="0"/>
              <w:autoSpaceDN w:val="0"/>
              <w:adjustRightInd w:val="0"/>
              <w:spacing w:after="0" w:line="240" w:lineRule="auto"/>
              <w:rPr>
                <w:rFonts w:ascii="Arial" w:eastAsia="Calibri" w:hAnsi="Arial" w:cs="Arial"/>
                <w:sz w:val="18"/>
                <w:szCs w:val="18"/>
              </w:rPr>
            </w:pPr>
            <w:r w:rsidRPr="00184A8E">
              <w:rPr>
                <w:rFonts w:ascii="Arial" w:eastAsia="Calibri" w:hAnsi="Arial" w:cs="Arial"/>
                <w:sz w:val="18"/>
                <w:szCs w:val="18"/>
              </w:rPr>
              <w:t>postotak izgrađenosti i opremljenosti</w:t>
            </w:r>
          </w:p>
        </w:tc>
        <w:tc>
          <w:tcPr>
            <w:tcW w:w="3402" w:type="dxa"/>
            <w:tcBorders>
              <w:top w:val="single" w:sz="4" w:space="0" w:color="auto"/>
              <w:left w:val="single" w:sz="4" w:space="0" w:color="auto"/>
              <w:bottom w:val="single" w:sz="4" w:space="0" w:color="auto"/>
              <w:right w:val="single" w:sz="4" w:space="0" w:color="auto"/>
            </w:tcBorders>
            <w:vAlign w:val="center"/>
          </w:tcPr>
          <w:p w14:paraId="41DF4E9C" w14:textId="77777777" w:rsidR="00184A8E" w:rsidRPr="00184A8E" w:rsidRDefault="00184A8E" w:rsidP="00184A8E">
            <w:pPr>
              <w:autoSpaceDE w:val="0"/>
              <w:autoSpaceDN w:val="0"/>
              <w:adjustRightInd w:val="0"/>
              <w:spacing w:after="0" w:line="240" w:lineRule="auto"/>
              <w:rPr>
                <w:rFonts w:ascii="Arial" w:eastAsia="Calibri" w:hAnsi="Arial" w:cs="Arial"/>
                <w:sz w:val="18"/>
                <w:szCs w:val="18"/>
              </w:rPr>
            </w:pPr>
            <w:r w:rsidRPr="00184A8E">
              <w:rPr>
                <w:rFonts w:ascii="Arial" w:eastAsia="Calibri" w:hAnsi="Arial" w:cs="Arial"/>
                <w:sz w:val="18"/>
                <w:szCs w:val="18"/>
              </w:rPr>
              <w:t>Izgradnjom novog vatrogasnog doma i nabavom vatrogasnih vozila i opreme postiže se bolja spremnost i smanjuje rizik od širenja požara.</w:t>
            </w:r>
          </w:p>
        </w:tc>
        <w:tc>
          <w:tcPr>
            <w:tcW w:w="958" w:type="dxa"/>
            <w:tcBorders>
              <w:top w:val="single" w:sz="4" w:space="0" w:color="auto"/>
              <w:left w:val="single" w:sz="4" w:space="0" w:color="auto"/>
              <w:bottom w:val="single" w:sz="4" w:space="0" w:color="auto"/>
              <w:right w:val="single" w:sz="4" w:space="0" w:color="auto"/>
            </w:tcBorders>
            <w:vAlign w:val="center"/>
            <w:hideMark/>
          </w:tcPr>
          <w:p w14:paraId="2ED79768"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r w:rsidRPr="00184A8E">
              <w:rPr>
                <w:rFonts w:ascii="Arial" w:eastAsia="Calibri"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D8375E"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r w:rsidRPr="00184A8E">
              <w:rPr>
                <w:rFonts w:ascii="Arial" w:eastAsia="Calibri"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44D0C8AC" w14:textId="77777777" w:rsidR="00184A8E" w:rsidRPr="00184A8E" w:rsidRDefault="00184A8E" w:rsidP="00184A8E">
            <w:pPr>
              <w:autoSpaceDE w:val="0"/>
              <w:autoSpaceDN w:val="0"/>
              <w:adjustRightInd w:val="0"/>
              <w:spacing w:after="0" w:line="240" w:lineRule="auto"/>
              <w:jc w:val="center"/>
              <w:rPr>
                <w:rFonts w:ascii="Arial" w:eastAsia="Calibri" w:hAnsi="Arial" w:cs="Arial"/>
                <w:sz w:val="18"/>
                <w:szCs w:val="18"/>
              </w:rPr>
            </w:pPr>
            <w:r w:rsidRPr="00184A8E">
              <w:rPr>
                <w:rFonts w:ascii="Arial" w:eastAsia="Calibri" w:hAnsi="Arial" w:cs="Arial"/>
                <w:sz w:val="18"/>
                <w:szCs w:val="18"/>
              </w:rPr>
              <w:t>99%</w:t>
            </w:r>
          </w:p>
        </w:tc>
        <w:tc>
          <w:tcPr>
            <w:tcW w:w="1276" w:type="dxa"/>
            <w:tcBorders>
              <w:top w:val="single" w:sz="4" w:space="0" w:color="auto"/>
              <w:left w:val="single" w:sz="4" w:space="0" w:color="auto"/>
              <w:bottom w:val="single" w:sz="4" w:space="0" w:color="auto"/>
              <w:right w:val="single" w:sz="4" w:space="0" w:color="auto"/>
            </w:tcBorders>
            <w:vAlign w:val="center"/>
          </w:tcPr>
          <w:p w14:paraId="18AF38D1" w14:textId="47880654" w:rsidR="00184A8E" w:rsidRPr="00184A8E" w:rsidRDefault="009652FA" w:rsidP="00184A8E">
            <w:pPr>
              <w:autoSpaceDE w:val="0"/>
              <w:autoSpaceDN w:val="0"/>
              <w:adjustRightInd w:val="0"/>
              <w:spacing w:after="0" w:line="240" w:lineRule="auto"/>
              <w:jc w:val="center"/>
              <w:rPr>
                <w:rFonts w:ascii="Arial" w:eastAsia="Calibri" w:hAnsi="Arial" w:cs="Arial"/>
                <w:sz w:val="18"/>
                <w:szCs w:val="18"/>
              </w:rPr>
            </w:pPr>
            <w:r>
              <w:rPr>
                <w:rFonts w:ascii="Arial" w:eastAsia="Calibri" w:hAnsi="Arial" w:cs="Arial"/>
                <w:sz w:val="18"/>
                <w:szCs w:val="18"/>
              </w:rPr>
              <w:t>100</w:t>
            </w:r>
            <w:r w:rsidR="00184A8E" w:rsidRPr="00184A8E">
              <w:rPr>
                <w:rFonts w:ascii="Arial" w:eastAsia="Calibri" w:hAnsi="Arial" w:cs="Arial"/>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15236499" w14:textId="28221859" w:rsidR="00184A8E" w:rsidRPr="00184A8E" w:rsidRDefault="009652FA" w:rsidP="00184A8E">
            <w:pPr>
              <w:autoSpaceDE w:val="0"/>
              <w:autoSpaceDN w:val="0"/>
              <w:adjustRightInd w:val="0"/>
              <w:spacing w:after="0" w:line="240" w:lineRule="auto"/>
              <w:jc w:val="center"/>
              <w:rPr>
                <w:rFonts w:ascii="Arial" w:eastAsia="Calibri" w:hAnsi="Arial" w:cs="Arial"/>
                <w:sz w:val="18"/>
                <w:szCs w:val="18"/>
              </w:rPr>
            </w:pPr>
            <w:r>
              <w:rPr>
                <w:rFonts w:ascii="Arial" w:eastAsia="Calibri" w:hAnsi="Arial" w:cs="Arial"/>
                <w:sz w:val="18"/>
                <w:szCs w:val="18"/>
              </w:rPr>
              <w:t>99</w:t>
            </w:r>
            <w:r w:rsidR="00184A8E" w:rsidRPr="00184A8E">
              <w:rPr>
                <w:rFonts w:ascii="Arial" w:eastAsia="Calibri" w:hAnsi="Arial" w:cs="Arial"/>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09D6FDAE" w14:textId="6850F2D5" w:rsidR="00184A8E" w:rsidRPr="00184A8E" w:rsidRDefault="009652FA" w:rsidP="00184A8E">
            <w:pPr>
              <w:autoSpaceDE w:val="0"/>
              <w:autoSpaceDN w:val="0"/>
              <w:adjustRightInd w:val="0"/>
              <w:spacing w:after="0" w:line="240" w:lineRule="auto"/>
              <w:jc w:val="center"/>
              <w:rPr>
                <w:rFonts w:ascii="Arial" w:eastAsia="Calibri" w:hAnsi="Arial" w:cs="Arial"/>
                <w:sz w:val="18"/>
                <w:szCs w:val="18"/>
              </w:rPr>
            </w:pPr>
            <w:r>
              <w:rPr>
                <w:rFonts w:ascii="Arial" w:eastAsia="Calibri" w:hAnsi="Arial" w:cs="Arial"/>
                <w:sz w:val="18"/>
                <w:szCs w:val="18"/>
              </w:rPr>
              <w:t>100</w:t>
            </w:r>
            <w:r w:rsidR="00184A8E"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17CEA340" w14:textId="77777777" w:rsidR="00184A8E" w:rsidRPr="00184A8E" w:rsidRDefault="00184A8E" w:rsidP="00184A8E">
            <w:pPr>
              <w:autoSpaceDE w:val="0"/>
              <w:autoSpaceDN w:val="0"/>
              <w:adjustRightInd w:val="0"/>
              <w:spacing w:after="0" w:line="240" w:lineRule="auto"/>
              <w:jc w:val="center"/>
              <w:rPr>
                <w:rFonts w:ascii="Arial" w:eastAsia="Calibri" w:hAnsi="Arial" w:cs="Arial"/>
                <w:sz w:val="18"/>
                <w:szCs w:val="18"/>
              </w:rPr>
            </w:pPr>
            <w:r w:rsidRPr="00184A8E">
              <w:rPr>
                <w:rFonts w:ascii="Arial" w:eastAsia="Calibri" w:hAnsi="Arial" w:cs="Arial"/>
                <w:sz w:val="18"/>
                <w:szCs w:val="18"/>
              </w:rPr>
              <w:t>100%</w:t>
            </w:r>
          </w:p>
        </w:tc>
      </w:tr>
    </w:tbl>
    <w:p w14:paraId="3901AA3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7771D6C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Aktivnosti vezane uz opće ciljeve postignute su sukladno postocima izvršenja, dok je izvršenje rashoda u skladu s očekivanim vrijednostima.</w:t>
      </w:r>
      <w:r w:rsidRPr="00184A8E">
        <w:rPr>
          <w:rFonts w:ascii="Arial" w:eastAsia="Calibri" w:hAnsi="Arial" w:cs="Arial"/>
          <w:sz w:val="20"/>
          <w:szCs w:val="20"/>
        </w:rPr>
        <w:br w:type="page"/>
      </w:r>
    </w:p>
    <w:p w14:paraId="6548EB8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397F86A9" w14:textId="77777777" w:rsidR="00184A8E" w:rsidRPr="00184A8E" w:rsidRDefault="00184A8E" w:rsidP="00184A8E">
      <w:pPr>
        <w:autoSpaceDE w:val="0"/>
        <w:autoSpaceDN w:val="0"/>
        <w:adjustRightInd w:val="0"/>
        <w:spacing w:after="0" w:line="240" w:lineRule="auto"/>
        <w:jc w:val="both"/>
        <w:rPr>
          <w:rFonts w:ascii="Arial" w:eastAsia="Calibri" w:hAnsi="Arial" w:cs="Arial"/>
          <w:b/>
          <w:bCs/>
          <w:sz w:val="20"/>
          <w:szCs w:val="20"/>
        </w:rPr>
      </w:pPr>
      <w:bookmarkStart w:id="484" w:name="_Toc146005897"/>
      <w:bookmarkStart w:id="485" w:name="_Toc152222841"/>
      <w:bookmarkStart w:id="486" w:name="_Toc184388828"/>
      <w:r w:rsidRPr="00184A8E">
        <w:rPr>
          <w:rFonts w:ascii="Arial" w:eastAsia="Calibri" w:hAnsi="Arial" w:cs="Arial"/>
          <w:b/>
          <w:bCs/>
          <w:sz w:val="20"/>
          <w:szCs w:val="20"/>
        </w:rPr>
        <w:t>Program (2081): Program prostornog uređenja</w:t>
      </w:r>
      <w:bookmarkEnd w:id="484"/>
      <w:bookmarkEnd w:id="485"/>
      <w:bookmarkEnd w:id="486"/>
    </w:p>
    <w:p w14:paraId="6C5DD03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9"/>
        <w:gridCol w:w="12899"/>
      </w:tblGrid>
      <w:tr w:rsidR="00184A8E" w:rsidRPr="00184A8E" w14:paraId="21942D55" w14:textId="77777777" w:rsidTr="00410A4B">
        <w:tc>
          <w:tcPr>
            <w:tcW w:w="1439" w:type="dxa"/>
          </w:tcPr>
          <w:p w14:paraId="6609D17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OPIS PROGRAMA</w:t>
            </w:r>
          </w:p>
        </w:tc>
        <w:tc>
          <w:tcPr>
            <w:tcW w:w="12899" w:type="dxa"/>
          </w:tcPr>
          <w:p w14:paraId="21B62D2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Ovim programom planiraju se aktivnosti, tekući i kapitalni projekti kojima se nastoji zaštiti okoliš. Isto tako, planiraju se tekući i kapitalni projekti kojima se osigurava prostorno planiranje. Kroz ovaj program osiguravaju se sredstva za pripremu, praćenje izradu i usvajanje ostalih akata vezanih uz izradu dokumenata prostornog uređenja - izradu Prostornog plana Općine, urbanističkih planova uređenja i topografsko katastarskih podloga.</w:t>
            </w:r>
          </w:p>
          <w:p w14:paraId="64EE35D6"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Stvaranje preduvjeta za gospodarenje prostorom Općine kroz urbanističko planiranje što se postiže kroz pripremu, izradu i donošenje dokumenata prostornog uređenja, izradu projekata, prostornih studija i rješenja radi učinkovitijeg gospodarenja prostorom na području Općine Konavle. Program obuhvaća izradu i dovršetak ugovorene prostorno planske dokumentacije, te izradu novih planova sukladno zakonskim odredbama.</w:t>
            </w:r>
          </w:p>
        </w:tc>
      </w:tr>
      <w:tr w:rsidR="00184A8E" w:rsidRPr="00184A8E" w14:paraId="1CB0A48A" w14:textId="77777777" w:rsidTr="00410A4B">
        <w:tc>
          <w:tcPr>
            <w:tcW w:w="1439" w:type="dxa"/>
          </w:tcPr>
          <w:p w14:paraId="4C9BE08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ZAKONSKE I DRUGE PRAVNE OSNOVE PROGRAMA:</w:t>
            </w:r>
          </w:p>
        </w:tc>
        <w:tc>
          <w:tcPr>
            <w:tcW w:w="12899" w:type="dxa"/>
          </w:tcPr>
          <w:p w14:paraId="1300B1C6" w14:textId="4BC11501"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Zakon o lokalnoj i područnoj (regionalnoj) samoupravi (NN 33/01,60/01,129/05, 109/07,125/08, 36/09, 150/11, 144/12, 19/13, 137/15, 123/17, 98/19, 144/20), Zakon o gradnji (NN 153/13, 20/17, 39/19, 125/19, 145/24</w:t>
            </w:r>
            <w:r w:rsidR="00AE1264">
              <w:rPr>
                <w:rFonts w:ascii="Arial" w:eastAsia="Calibri" w:hAnsi="Arial" w:cs="Arial"/>
                <w:sz w:val="20"/>
                <w:szCs w:val="20"/>
              </w:rPr>
              <w:t xml:space="preserve"> – do 31.12.2025.</w:t>
            </w:r>
            <w:r w:rsidRPr="00184A8E">
              <w:rPr>
                <w:rFonts w:ascii="Arial" w:eastAsia="Calibri" w:hAnsi="Arial" w:cs="Arial"/>
                <w:sz w:val="20"/>
                <w:szCs w:val="20"/>
              </w:rPr>
              <w:t xml:space="preserve">), </w:t>
            </w:r>
            <w:r w:rsidR="00AE1264" w:rsidRPr="00184A8E">
              <w:rPr>
                <w:rFonts w:ascii="Arial" w:eastAsia="Calibri" w:hAnsi="Arial" w:cs="Arial"/>
                <w:sz w:val="20"/>
                <w:szCs w:val="20"/>
              </w:rPr>
              <w:t>Zakon o gradnji (NN 1</w:t>
            </w:r>
            <w:r w:rsidR="00AE1264">
              <w:rPr>
                <w:rFonts w:ascii="Arial" w:eastAsia="Calibri" w:hAnsi="Arial" w:cs="Arial"/>
                <w:sz w:val="20"/>
                <w:szCs w:val="20"/>
              </w:rPr>
              <w:t xml:space="preserve">55/25 – od 1.1.2026.), </w:t>
            </w:r>
            <w:r w:rsidRPr="00184A8E">
              <w:rPr>
                <w:rFonts w:ascii="Arial" w:eastAsia="Calibri" w:hAnsi="Arial" w:cs="Arial"/>
                <w:sz w:val="20"/>
                <w:szCs w:val="20"/>
              </w:rPr>
              <w:t>Zakon o prostornom uređenju (NN 153/13, 65/17, 114/18, 39/19, 98/19, 67/23</w:t>
            </w:r>
            <w:r w:rsidR="00AE1264">
              <w:rPr>
                <w:rFonts w:ascii="Arial" w:eastAsia="Calibri" w:hAnsi="Arial" w:cs="Arial"/>
                <w:sz w:val="20"/>
                <w:szCs w:val="20"/>
              </w:rPr>
              <w:t xml:space="preserve"> – do 31.12.2025</w:t>
            </w:r>
            <w:r w:rsidRPr="00184A8E">
              <w:rPr>
                <w:rFonts w:ascii="Arial" w:eastAsia="Calibri" w:hAnsi="Arial" w:cs="Arial"/>
                <w:sz w:val="20"/>
                <w:szCs w:val="20"/>
              </w:rPr>
              <w:t xml:space="preserve">), </w:t>
            </w:r>
            <w:r w:rsidR="00AE1264" w:rsidRPr="00184A8E">
              <w:rPr>
                <w:rFonts w:ascii="Arial" w:eastAsia="Calibri" w:hAnsi="Arial" w:cs="Arial"/>
                <w:sz w:val="20"/>
                <w:szCs w:val="20"/>
              </w:rPr>
              <w:t xml:space="preserve">Zakon o prostornom uređenju (NN </w:t>
            </w:r>
            <w:r w:rsidR="00AE1264">
              <w:rPr>
                <w:rFonts w:ascii="Arial" w:eastAsia="Calibri" w:hAnsi="Arial" w:cs="Arial"/>
                <w:sz w:val="20"/>
                <w:szCs w:val="20"/>
              </w:rPr>
              <w:t xml:space="preserve">155/25 – na snazi od 1.1.2026.), </w:t>
            </w:r>
            <w:r w:rsidRPr="00184A8E">
              <w:rPr>
                <w:rFonts w:ascii="Arial" w:eastAsia="Calibri" w:hAnsi="Arial" w:cs="Arial"/>
                <w:sz w:val="20"/>
                <w:szCs w:val="20"/>
              </w:rPr>
              <w:t>Zakon o građevinskoj inspekciji (NN 153/13, 145/24), Zakon o cestama (NN 84/11, 22/13, 54/13, 148/13, 92/14, 110/19, 144/21, 114/22, 4/23, 133/23</w:t>
            </w:r>
            <w:r w:rsidR="00A52008">
              <w:rPr>
                <w:rFonts w:ascii="Arial" w:eastAsia="Calibri" w:hAnsi="Arial" w:cs="Arial"/>
                <w:sz w:val="20"/>
                <w:szCs w:val="20"/>
              </w:rPr>
              <w:t>, 156/25</w:t>
            </w:r>
            <w:r w:rsidRPr="00184A8E">
              <w:rPr>
                <w:rFonts w:ascii="Arial" w:eastAsia="Calibri" w:hAnsi="Arial" w:cs="Arial"/>
                <w:sz w:val="20"/>
                <w:szCs w:val="20"/>
              </w:rPr>
              <w:t>), Zakon o pomorskom dobru i morskim lukama (NN 83/23), Zakon o zaštiti i očuvanju kulturnih dobara (NN 145/24</w:t>
            </w:r>
            <w:r w:rsidR="00A52008">
              <w:rPr>
                <w:rFonts w:ascii="Arial" w:eastAsia="Calibri" w:hAnsi="Arial" w:cs="Arial"/>
                <w:sz w:val="20"/>
                <w:szCs w:val="20"/>
              </w:rPr>
              <w:t>, 151/25</w:t>
            </w:r>
            <w:r w:rsidRPr="00184A8E">
              <w:rPr>
                <w:rFonts w:ascii="Arial" w:eastAsia="Calibri" w:hAnsi="Arial" w:cs="Arial"/>
                <w:sz w:val="20"/>
                <w:szCs w:val="20"/>
              </w:rPr>
              <w:t>), Zakon o zaštiti od požara (NN 92/10, 114/22), Zakon o sustavu civilne zaštite (NN 82/15, 118/18, 31/20, 20/21, 114/22), Zakon o zaštiti prirode (NN 80/13, 15/18, 14/19, 127/19, 155/23), Zakon o obavljanju geodetske djelatnosti (Narodne novine 25/18), drugi zakonski i podzakonski akti vezani za prostorno planiranje, Prostorni plan uređenja Općine, Urbanistički planovi, Statut Općine i drugi akti</w:t>
            </w:r>
          </w:p>
        </w:tc>
      </w:tr>
      <w:tr w:rsidR="00184A8E" w:rsidRPr="00184A8E" w14:paraId="1046801D" w14:textId="77777777" w:rsidTr="00410A4B">
        <w:tc>
          <w:tcPr>
            <w:tcW w:w="1439" w:type="dxa"/>
          </w:tcPr>
          <w:p w14:paraId="3FA5110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OPĆI CILJ:</w:t>
            </w:r>
          </w:p>
        </w:tc>
        <w:tc>
          <w:tcPr>
            <w:tcW w:w="12899" w:type="dxa"/>
          </w:tcPr>
          <w:p w14:paraId="3A8B440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Osiguranje podloga i uvjeta za kvalitetan dugoročan razvoj Općine .</w:t>
            </w:r>
          </w:p>
          <w:p w14:paraId="0BBCF45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Izrada prostornih planova nižeg reda (izrada novih prostornih planova ili izmjena i dopuna postojećih prostornih planova Općine kojima se će detaljnije definirati uvjeti razvoja nekog područja.</w:t>
            </w:r>
          </w:p>
          <w:p w14:paraId="6AF691D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Jačanje kapaciteta u području uređenja prostora i gospodarenja prostorom, ostvarivanje ravnomjernog prostornog razvoja usklađenog s gospodarskim, društvenim i okolišnim polazištima, kontinuirano provođenje sustava prostornog uređenja kroz praćenje stanja u prostoru, planiranje prostornog razvoja, korištenje i zaštite prostora kroz dokumente prostornog uređenja te osmišljavanje urbanog oblikovanja općine stvaranjem uvjeta za identifikaciju stanovništva sa svojom općinom.</w:t>
            </w:r>
          </w:p>
        </w:tc>
      </w:tr>
      <w:tr w:rsidR="00184A8E" w:rsidRPr="00184A8E" w14:paraId="02F31AF4" w14:textId="77777777" w:rsidTr="00410A4B">
        <w:tc>
          <w:tcPr>
            <w:tcW w:w="1439" w:type="dxa"/>
            <w:vAlign w:val="bottom"/>
          </w:tcPr>
          <w:p w14:paraId="7BAD8E4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POSEBNI CILJEVI</w:t>
            </w:r>
          </w:p>
        </w:tc>
        <w:tc>
          <w:tcPr>
            <w:tcW w:w="12899" w:type="dxa"/>
            <w:vAlign w:val="bottom"/>
          </w:tcPr>
          <w:p w14:paraId="4C375CE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Uređena prostorno planska dokumentacija. </w:t>
            </w:r>
          </w:p>
        </w:tc>
      </w:tr>
    </w:tbl>
    <w:p w14:paraId="435DB5B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7D120F3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Kroz ovaj program osiguravaju se sredstva za izradu Prostornog plana Općine i urbanističkih planova Općine, te izradu popratnih elaborata, kao i druge aktivnosti koje su neophodne za dobro uređenu prostorno plansku dokumentaciju.</w:t>
      </w:r>
    </w:p>
    <w:p w14:paraId="38DEB5F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52F8218B" w14:textId="77777777" w:rsidR="00184A8E" w:rsidRPr="00184A8E" w:rsidRDefault="00184A8E">
      <w:pPr>
        <w:numPr>
          <w:ilvl w:val="0"/>
          <w:numId w:val="33"/>
        </w:num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rPr>
        <w:t>Procjena i ishodište potrebnih sredstava za aktivnosti unutar programa</w:t>
      </w:r>
    </w:p>
    <w:p w14:paraId="142BB6A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6C0AE06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Izvršenje aktivnosti sadržanih u ovom programu za 2013.-2023., plan za 2024., izvršenje za 2024. i projekcije za 2025.-2026. iskazuju se u valuti EURO kako slijedi:</w:t>
      </w:r>
    </w:p>
    <w:p w14:paraId="784F06E2" w14:textId="77777777" w:rsidR="00184A8E" w:rsidRDefault="00184A8E" w:rsidP="00184A8E">
      <w:pPr>
        <w:autoSpaceDE w:val="0"/>
        <w:autoSpaceDN w:val="0"/>
        <w:adjustRightInd w:val="0"/>
        <w:spacing w:after="0" w:line="240" w:lineRule="auto"/>
        <w:jc w:val="both"/>
        <w:rPr>
          <w:rFonts w:ascii="Arial" w:eastAsia="Calibri" w:hAnsi="Arial" w:cs="Arial"/>
          <w:sz w:val="20"/>
          <w:szCs w:val="20"/>
        </w:rPr>
      </w:pPr>
    </w:p>
    <w:p w14:paraId="72E76068" w14:textId="77777777" w:rsidR="004145B6" w:rsidRDefault="004145B6" w:rsidP="00184A8E">
      <w:pPr>
        <w:autoSpaceDE w:val="0"/>
        <w:autoSpaceDN w:val="0"/>
        <w:adjustRightInd w:val="0"/>
        <w:spacing w:after="0" w:line="240" w:lineRule="auto"/>
        <w:jc w:val="both"/>
        <w:rPr>
          <w:rFonts w:ascii="Arial" w:eastAsia="Calibri" w:hAnsi="Arial" w:cs="Arial"/>
          <w:sz w:val="20"/>
          <w:szCs w:val="20"/>
        </w:rPr>
      </w:pPr>
    </w:p>
    <w:p w14:paraId="581E25AE" w14:textId="77777777" w:rsidR="004145B6" w:rsidRDefault="004145B6" w:rsidP="00184A8E">
      <w:pPr>
        <w:autoSpaceDE w:val="0"/>
        <w:autoSpaceDN w:val="0"/>
        <w:adjustRightInd w:val="0"/>
        <w:spacing w:after="0" w:line="240" w:lineRule="auto"/>
        <w:jc w:val="both"/>
        <w:rPr>
          <w:rFonts w:ascii="Arial" w:eastAsia="Calibri" w:hAnsi="Arial" w:cs="Arial"/>
          <w:sz w:val="20"/>
          <w:szCs w:val="20"/>
        </w:rPr>
      </w:pPr>
    </w:p>
    <w:p w14:paraId="4DBB6F1B" w14:textId="77777777" w:rsidR="004145B6" w:rsidRDefault="004145B6" w:rsidP="00184A8E">
      <w:pPr>
        <w:autoSpaceDE w:val="0"/>
        <w:autoSpaceDN w:val="0"/>
        <w:adjustRightInd w:val="0"/>
        <w:spacing w:after="0" w:line="240" w:lineRule="auto"/>
        <w:jc w:val="both"/>
        <w:rPr>
          <w:rFonts w:ascii="Arial" w:eastAsia="Calibri" w:hAnsi="Arial" w:cs="Arial"/>
          <w:sz w:val="20"/>
          <w:szCs w:val="20"/>
        </w:rPr>
      </w:pPr>
    </w:p>
    <w:p w14:paraId="2E3E54A4" w14:textId="77777777" w:rsidR="004145B6" w:rsidRDefault="004145B6" w:rsidP="00184A8E">
      <w:pPr>
        <w:autoSpaceDE w:val="0"/>
        <w:autoSpaceDN w:val="0"/>
        <w:adjustRightInd w:val="0"/>
        <w:spacing w:after="0" w:line="240" w:lineRule="auto"/>
        <w:jc w:val="both"/>
        <w:rPr>
          <w:rFonts w:ascii="Arial" w:eastAsia="Calibri" w:hAnsi="Arial" w:cs="Arial"/>
          <w:sz w:val="20"/>
          <w:szCs w:val="20"/>
        </w:rPr>
      </w:pPr>
    </w:p>
    <w:p w14:paraId="009BB84E" w14:textId="77777777" w:rsidR="004145B6" w:rsidRDefault="004145B6" w:rsidP="00184A8E">
      <w:pPr>
        <w:autoSpaceDE w:val="0"/>
        <w:autoSpaceDN w:val="0"/>
        <w:adjustRightInd w:val="0"/>
        <w:spacing w:after="0" w:line="240" w:lineRule="auto"/>
        <w:jc w:val="both"/>
        <w:rPr>
          <w:rFonts w:ascii="Arial" w:eastAsia="Calibri" w:hAnsi="Arial" w:cs="Arial"/>
          <w:sz w:val="20"/>
          <w:szCs w:val="20"/>
        </w:rPr>
      </w:pPr>
    </w:p>
    <w:p w14:paraId="47E16E40" w14:textId="52E69139" w:rsidR="004145B6" w:rsidRDefault="004145B6" w:rsidP="00184A8E">
      <w:pPr>
        <w:autoSpaceDE w:val="0"/>
        <w:autoSpaceDN w:val="0"/>
        <w:adjustRightInd w:val="0"/>
        <w:spacing w:after="0" w:line="240" w:lineRule="auto"/>
        <w:jc w:val="both"/>
        <w:rPr>
          <w:rFonts w:ascii="Arial" w:eastAsia="Calibri" w:hAnsi="Arial" w:cs="Arial"/>
          <w:sz w:val="20"/>
          <w:szCs w:val="20"/>
        </w:rPr>
      </w:pPr>
      <w:r w:rsidRPr="00A52008">
        <w:rPr>
          <w:noProof/>
        </w:rPr>
        <w:lastRenderedPageBreak/>
        <w:drawing>
          <wp:inline distT="0" distB="0" distL="0" distR="0" wp14:anchorId="725E26BF" wp14:editId="58D54A57">
            <wp:extent cx="9251950" cy="2292985"/>
            <wp:effectExtent l="0" t="0" r="6350" b="0"/>
            <wp:docPr id="1654050470"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9251950" cy="2292985"/>
                    </a:xfrm>
                    <a:prstGeom prst="rect">
                      <a:avLst/>
                    </a:prstGeom>
                    <a:noFill/>
                    <a:ln>
                      <a:noFill/>
                    </a:ln>
                  </pic:spPr>
                </pic:pic>
              </a:graphicData>
            </a:graphic>
          </wp:inline>
        </w:drawing>
      </w:r>
    </w:p>
    <w:p w14:paraId="3889D2B4" w14:textId="77777777" w:rsidR="00184A8E" w:rsidRPr="00184A8E" w:rsidRDefault="00184A8E" w:rsidP="00184A8E">
      <w:pPr>
        <w:autoSpaceDE w:val="0"/>
        <w:autoSpaceDN w:val="0"/>
        <w:adjustRightInd w:val="0"/>
        <w:spacing w:after="0" w:line="240" w:lineRule="auto"/>
        <w:ind w:firstLine="709"/>
        <w:jc w:val="both"/>
        <w:rPr>
          <w:rFonts w:ascii="Arial" w:eastAsia="Calibri" w:hAnsi="Arial" w:cs="Arial"/>
          <w:i/>
          <w:iCs/>
          <w:sz w:val="18"/>
          <w:szCs w:val="18"/>
        </w:rPr>
      </w:pPr>
      <w:r w:rsidRPr="00184A8E">
        <w:rPr>
          <w:rFonts w:ascii="Arial" w:eastAsia="Calibri" w:hAnsi="Arial" w:cs="Arial"/>
          <w:i/>
          <w:iCs/>
          <w:sz w:val="18"/>
          <w:szCs w:val="18"/>
        </w:rPr>
        <w:t>*Ovaj program je u razdoblju od 2019. do 2023. bio u okviru razdjela Upravni odjel za prostorno uređenje i zaštitu okoliša, a odjel se ponovno spojio s UO za komunalni sustav i gospodarenje nekretninama.</w:t>
      </w:r>
    </w:p>
    <w:p w14:paraId="1A65125E" w14:textId="77777777" w:rsidR="00184A8E" w:rsidRPr="00184A8E" w:rsidRDefault="00184A8E" w:rsidP="00184A8E">
      <w:pPr>
        <w:autoSpaceDE w:val="0"/>
        <w:autoSpaceDN w:val="0"/>
        <w:adjustRightInd w:val="0"/>
        <w:spacing w:after="0" w:line="240" w:lineRule="auto"/>
        <w:jc w:val="right"/>
        <w:rPr>
          <w:rFonts w:ascii="Arial" w:eastAsia="Calibri" w:hAnsi="Arial" w:cs="Arial"/>
          <w:sz w:val="20"/>
          <w:szCs w:val="20"/>
        </w:rPr>
      </w:pPr>
      <w:r w:rsidRPr="00184A8E">
        <w:rPr>
          <w:rFonts w:ascii="Arial" w:eastAsia="Calibri" w:hAnsi="Arial" w:cs="Arial"/>
          <w:b/>
          <w:sz w:val="20"/>
          <w:szCs w:val="20"/>
        </w:rPr>
        <w:t>RAZLOG ODSTUPANJA OD PROŠLOGODIŠNJIH PROJEKCIJA</w:t>
      </w:r>
      <w:r w:rsidRPr="00184A8E">
        <w:rPr>
          <w:rFonts w:ascii="Arial" w:eastAsia="Calibri" w:hAnsi="Arial" w:cs="Arial"/>
          <w:sz w:val="20"/>
          <w:szCs w:val="20"/>
        </w:rPr>
        <w:t xml:space="preserve">: </w:t>
      </w:r>
    </w:p>
    <w:p w14:paraId="327E64DC" w14:textId="77777777" w:rsidR="00184A8E" w:rsidRDefault="00184A8E" w:rsidP="00184A8E">
      <w:pPr>
        <w:autoSpaceDE w:val="0"/>
        <w:autoSpaceDN w:val="0"/>
        <w:adjustRightInd w:val="0"/>
        <w:spacing w:after="0" w:line="240" w:lineRule="auto"/>
        <w:jc w:val="right"/>
        <w:rPr>
          <w:rFonts w:ascii="Arial" w:eastAsia="Calibri" w:hAnsi="Arial" w:cs="Arial"/>
          <w:sz w:val="20"/>
          <w:szCs w:val="20"/>
        </w:rPr>
      </w:pPr>
      <w:r w:rsidRPr="00184A8E">
        <w:rPr>
          <w:rFonts w:ascii="Arial" w:eastAsia="Calibri" w:hAnsi="Arial" w:cs="Arial"/>
          <w:sz w:val="20"/>
          <w:szCs w:val="20"/>
        </w:rPr>
        <w:t>Po navedenom programu nije bilo značajnih odstupanja.</w:t>
      </w:r>
    </w:p>
    <w:p w14:paraId="35F0150E" w14:textId="0B018ADA"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5664785A" w14:textId="77777777" w:rsidR="00184A8E" w:rsidRPr="00184A8E" w:rsidRDefault="00184A8E" w:rsidP="00184A8E">
      <w:pPr>
        <w:autoSpaceDE w:val="0"/>
        <w:autoSpaceDN w:val="0"/>
        <w:adjustRightInd w:val="0"/>
        <w:spacing w:after="0" w:line="240" w:lineRule="auto"/>
        <w:jc w:val="both"/>
        <w:rPr>
          <w:rFonts w:ascii="Arial" w:eastAsia="Calibri" w:hAnsi="Arial" w:cs="Arial"/>
          <w:i/>
          <w:sz w:val="20"/>
          <w:szCs w:val="20"/>
        </w:rPr>
      </w:pPr>
      <w:r w:rsidRPr="00184A8E">
        <w:rPr>
          <w:rFonts w:ascii="Arial" w:eastAsia="Calibri" w:hAnsi="Arial" w:cs="Arial"/>
          <w:b/>
          <w:sz w:val="20"/>
          <w:szCs w:val="20"/>
        </w:rPr>
        <w:t>Ishodište i pokazatelji na kojima se zasnivaju izračuni i ocjene</w:t>
      </w:r>
      <w:r w:rsidRPr="00184A8E">
        <w:rPr>
          <w:rFonts w:ascii="Arial" w:eastAsia="Calibri" w:hAnsi="Arial" w:cs="Arial"/>
          <w:sz w:val="20"/>
          <w:szCs w:val="20"/>
        </w:rPr>
        <w:t xml:space="preserve"> </w:t>
      </w:r>
      <w:r w:rsidRPr="00184A8E">
        <w:rPr>
          <w:rFonts w:ascii="Arial" w:eastAsia="Calibri" w:hAnsi="Arial" w:cs="Arial"/>
          <w:b/>
          <w:sz w:val="20"/>
          <w:szCs w:val="20"/>
        </w:rPr>
        <w:t>potrebnih sredstava za provođenje programa:</w:t>
      </w:r>
      <w:r w:rsidRPr="00184A8E">
        <w:rPr>
          <w:rFonts w:ascii="Arial" w:eastAsia="Calibri" w:hAnsi="Arial" w:cs="Arial"/>
          <w:sz w:val="20"/>
          <w:szCs w:val="20"/>
        </w:rPr>
        <w:t xml:space="preserve"> Planske veličine su određene u predloženim iznosima temeljem ostvarenih ciljeva i postignutih rezultata iz prethodnih godina, te predviđanja promjena u izvršenju ciljeva u narednom razdoblju.</w:t>
      </w:r>
    </w:p>
    <w:p w14:paraId="6769EC5C" w14:textId="6DE38F2C" w:rsidR="00184A8E" w:rsidRPr="00184A8E" w:rsidRDefault="00184A8E" w:rsidP="00184A8E">
      <w:pPr>
        <w:autoSpaceDE w:val="0"/>
        <w:autoSpaceDN w:val="0"/>
        <w:adjustRightInd w:val="0"/>
        <w:spacing w:after="0" w:line="240" w:lineRule="auto"/>
        <w:jc w:val="both"/>
        <w:rPr>
          <w:rFonts w:ascii="Arial" w:eastAsia="Calibri" w:hAnsi="Arial" w:cs="Arial"/>
          <w:bCs/>
          <w:sz w:val="20"/>
          <w:szCs w:val="20"/>
        </w:rPr>
      </w:pPr>
      <w:r w:rsidRPr="00184A8E">
        <w:rPr>
          <w:rFonts w:ascii="Arial" w:eastAsia="Calibri" w:hAnsi="Arial" w:cs="Arial"/>
          <w:b/>
          <w:sz w:val="20"/>
          <w:szCs w:val="20"/>
        </w:rPr>
        <w:t xml:space="preserve">Izvještaj o postignutim ciljevima i rezultatima programa temeljenim na pokazateljima uspješnosti u prethodnoj godini: </w:t>
      </w:r>
      <w:r w:rsidRPr="00184A8E">
        <w:rPr>
          <w:rFonts w:ascii="Arial" w:eastAsia="Calibri" w:hAnsi="Arial" w:cs="Arial"/>
          <w:bCs/>
          <w:sz w:val="20"/>
          <w:szCs w:val="20"/>
        </w:rPr>
        <w:t xml:space="preserve">Izvršenje je </w:t>
      </w:r>
      <w:r w:rsidR="00937C54">
        <w:rPr>
          <w:rFonts w:ascii="Arial" w:eastAsia="Calibri" w:hAnsi="Arial" w:cs="Arial"/>
          <w:bCs/>
          <w:sz w:val="20"/>
          <w:szCs w:val="20"/>
        </w:rPr>
        <w:t>manje od</w:t>
      </w:r>
      <w:r w:rsidRPr="00184A8E">
        <w:rPr>
          <w:rFonts w:ascii="Arial" w:eastAsia="Calibri" w:hAnsi="Arial" w:cs="Arial"/>
          <w:bCs/>
          <w:sz w:val="20"/>
          <w:szCs w:val="20"/>
        </w:rPr>
        <w:t xml:space="preserve"> očekivanih vrijednosti.</w:t>
      </w:r>
    </w:p>
    <w:p w14:paraId="659D733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6458FC9C" w14:textId="1BBBAB8C"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Planirana sredstva za ostvarenje navedenog programa iznose </w:t>
      </w:r>
      <w:r w:rsidR="00A52008">
        <w:rPr>
          <w:rFonts w:ascii="Arial" w:eastAsia="Calibri" w:hAnsi="Arial" w:cs="Arial"/>
          <w:sz w:val="20"/>
          <w:szCs w:val="20"/>
        </w:rPr>
        <w:t>80.550</w:t>
      </w:r>
      <w:r w:rsidRPr="00184A8E">
        <w:rPr>
          <w:rFonts w:ascii="Arial" w:eastAsia="Calibri" w:hAnsi="Arial" w:cs="Arial"/>
          <w:sz w:val="20"/>
          <w:szCs w:val="20"/>
        </w:rPr>
        <w:t xml:space="preserve"> € za 202</w:t>
      </w:r>
      <w:r w:rsidR="00A52008">
        <w:rPr>
          <w:rFonts w:ascii="Arial" w:eastAsia="Calibri" w:hAnsi="Arial" w:cs="Arial"/>
          <w:sz w:val="20"/>
          <w:szCs w:val="20"/>
        </w:rPr>
        <w:t>5</w:t>
      </w:r>
      <w:r w:rsidRPr="00184A8E">
        <w:rPr>
          <w:rFonts w:ascii="Arial" w:eastAsia="Calibri" w:hAnsi="Arial" w:cs="Arial"/>
          <w:sz w:val="20"/>
          <w:szCs w:val="20"/>
        </w:rPr>
        <w:t xml:space="preserve">. godinu, te </w:t>
      </w:r>
      <w:r w:rsidR="00A52008">
        <w:rPr>
          <w:rFonts w:ascii="Arial" w:eastAsia="Calibri" w:hAnsi="Arial" w:cs="Arial"/>
          <w:sz w:val="20"/>
          <w:szCs w:val="20"/>
        </w:rPr>
        <w:t>125</w:t>
      </w:r>
      <w:r w:rsidRPr="00184A8E">
        <w:rPr>
          <w:rFonts w:ascii="Arial" w:eastAsia="Calibri" w:hAnsi="Arial" w:cs="Arial"/>
          <w:sz w:val="20"/>
          <w:szCs w:val="20"/>
        </w:rPr>
        <w:t>.000 € za 202</w:t>
      </w:r>
      <w:r w:rsidR="00A52008">
        <w:rPr>
          <w:rFonts w:ascii="Arial" w:eastAsia="Calibri" w:hAnsi="Arial" w:cs="Arial"/>
          <w:sz w:val="20"/>
          <w:szCs w:val="20"/>
        </w:rPr>
        <w:t>6</w:t>
      </w:r>
      <w:r w:rsidRPr="00184A8E">
        <w:rPr>
          <w:rFonts w:ascii="Arial" w:eastAsia="Calibri" w:hAnsi="Arial" w:cs="Arial"/>
          <w:sz w:val="20"/>
          <w:szCs w:val="20"/>
        </w:rPr>
        <w:t xml:space="preserve">. godinu i </w:t>
      </w:r>
      <w:r w:rsidR="00A52008">
        <w:rPr>
          <w:rFonts w:ascii="Arial" w:eastAsia="Calibri" w:hAnsi="Arial" w:cs="Arial"/>
          <w:sz w:val="20"/>
          <w:szCs w:val="20"/>
        </w:rPr>
        <w:t>98.000</w:t>
      </w:r>
      <w:r w:rsidRPr="00184A8E">
        <w:rPr>
          <w:rFonts w:ascii="Arial" w:eastAsia="Calibri" w:hAnsi="Arial" w:cs="Arial"/>
          <w:sz w:val="20"/>
          <w:szCs w:val="20"/>
        </w:rPr>
        <w:t xml:space="preserve"> € za 202</w:t>
      </w:r>
      <w:r w:rsidR="00A52008">
        <w:rPr>
          <w:rFonts w:ascii="Arial" w:eastAsia="Calibri" w:hAnsi="Arial" w:cs="Arial"/>
          <w:sz w:val="20"/>
          <w:szCs w:val="20"/>
        </w:rPr>
        <w:t>7</w:t>
      </w:r>
      <w:r w:rsidRPr="00184A8E">
        <w:rPr>
          <w:rFonts w:ascii="Arial" w:eastAsia="Calibri" w:hAnsi="Arial" w:cs="Arial"/>
          <w:sz w:val="20"/>
          <w:szCs w:val="20"/>
        </w:rPr>
        <w:t>. godinu.</w:t>
      </w:r>
    </w:p>
    <w:p w14:paraId="44DFD665" w14:textId="363A2BAB"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Program je izvršen u iznosu </w:t>
      </w:r>
      <w:r w:rsidR="00A52008">
        <w:rPr>
          <w:rFonts w:ascii="Arial" w:eastAsia="Calibri" w:hAnsi="Arial" w:cs="Arial"/>
          <w:sz w:val="20"/>
          <w:szCs w:val="20"/>
        </w:rPr>
        <w:t>22.541,64</w:t>
      </w:r>
      <w:r w:rsidRPr="00184A8E">
        <w:rPr>
          <w:rFonts w:ascii="Arial" w:eastAsia="Calibri" w:hAnsi="Arial" w:cs="Arial"/>
          <w:sz w:val="20"/>
          <w:szCs w:val="20"/>
        </w:rPr>
        <w:t xml:space="preserve"> € ili </w:t>
      </w:r>
      <w:r w:rsidR="00A52008">
        <w:rPr>
          <w:rFonts w:ascii="Arial" w:eastAsia="Calibri" w:hAnsi="Arial" w:cs="Arial"/>
          <w:sz w:val="20"/>
          <w:szCs w:val="20"/>
        </w:rPr>
        <w:t>28</w:t>
      </w:r>
      <w:r w:rsidRPr="00184A8E">
        <w:rPr>
          <w:rFonts w:ascii="Arial" w:eastAsia="Calibri" w:hAnsi="Arial" w:cs="Arial"/>
          <w:sz w:val="20"/>
          <w:szCs w:val="20"/>
        </w:rPr>
        <w:t>% plana.</w:t>
      </w:r>
    </w:p>
    <w:p w14:paraId="5A30C5D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1C22D18D" w14:textId="77777777" w:rsidR="00184A8E" w:rsidRPr="00184A8E" w:rsidRDefault="00184A8E">
      <w:pPr>
        <w:numPr>
          <w:ilvl w:val="0"/>
          <w:numId w:val="33"/>
        </w:numPr>
        <w:autoSpaceDE w:val="0"/>
        <w:autoSpaceDN w:val="0"/>
        <w:adjustRightInd w:val="0"/>
        <w:spacing w:after="0" w:line="240" w:lineRule="auto"/>
        <w:jc w:val="both"/>
        <w:rPr>
          <w:rFonts w:ascii="Arial" w:eastAsia="Calibri" w:hAnsi="Arial" w:cs="Arial"/>
          <w:b/>
          <w:sz w:val="20"/>
          <w:szCs w:val="20"/>
        </w:rPr>
      </w:pPr>
      <w:r w:rsidRPr="00184A8E">
        <w:rPr>
          <w:rFonts w:ascii="Arial" w:eastAsia="Calibri" w:hAnsi="Arial" w:cs="Arial"/>
          <w:b/>
          <w:sz w:val="20"/>
          <w:szCs w:val="20"/>
        </w:rPr>
        <w:t>Obrazloženje aktivnosti / projekata i pokazatelji uspješnosti</w:t>
      </w:r>
    </w:p>
    <w:p w14:paraId="7ECDDF2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3AF66EE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Unutar programa izvode se slijedeće aktivnosti i projekti:</w:t>
      </w:r>
    </w:p>
    <w:p w14:paraId="1B085886"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31C65363" w14:textId="62762EAD" w:rsidR="00843378" w:rsidRDefault="00184A8E" w:rsidP="00184A8E">
      <w:pPr>
        <w:autoSpaceDE w:val="0"/>
        <w:autoSpaceDN w:val="0"/>
        <w:adjustRightInd w:val="0"/>
        <w:spacing w:after="0" w:line="240" w:lineRule="auto"/>
        <w:jc w:val="both"/>
        <w:rPr>
          <w:rFonts w:ascii="Arial" w:eastAsia="Calibri" w:hAnsi="Arial" w:cs="Arial"/>
          <w:bCs/>
          <w:sz w:val="20"/>
          <w:szCs w:val="20"/>
        </w:rPr>
      </w:pPr>
      <w:r w:rsidRPr="00184A8E">
        <w:rPr>
          <w:rFonts w:ascii="Arial" w:eastAsia="Calibri" w:hAnsi="Arial" w:cs="Arial"/>
          <w:b/>
          <w:sz w:val="20"/>
          <w:szCs w:val="20"/>
        </w:rPr>
        <w:t>1. K208101: Izrada izmjena i dopuna Prostornog plana</w:t>
      </w:r>
      <w:r w:rsidRPr="00184A8E">
        <w:rPr>
          <w:rFonts w:ascii="Arial" w:eastAsia="Calibri" w:hAnsi="Arial" w:cs="Arial"/>
          <w:sz w:val="20"/>
          <w:szCs w:val="20"/>
        </w:rPr>
        <w:t xml:space="preserve"> - u sklopu projekta planirani su rashodi za nastavak izrade izmjena i dopuna Prostornog plana, kao i ciljane izmjene i dopune prostornog plana. Planirana sredstva za provođenje navedene aktivnosti iznose </w:t>
      </w:r>
      <w:r w:rsidR="00693910">
        <w:rPr>
          <w:rFonts w:ascii="Arial" w:eastAsia="Calibri" w:hAnsi="Arial" w:cs="Arial"/>
          <w:sz w:val="20"/>
          <w:szCs w:val="20"/>
        </w:rPr>
        <w:t>35.050</w:t>
      </w:r>
      <w:r w:rsidRPr="00184A8E">
        <w:rPr>
          <w:rFonts w:ascii="Arial" w:eastAsia="Calibri" w:hAnsi="Arial" w:cs="Arial"/>
          <w:sz w:val="20"/>
          <w:szCs w:val="20"/>
        </w:rPr>
        <w:t xml:space="preserve"> € za 202</w:t>
      </w:r>
      <w:r w:rsidR="00693910">
        <w:rPr>
          <w:rFonts w:ascii="Arial" w:eastAsia="Calibri" w:hAnsi="Arial" w:cs="Arial"/>
          <w:sz w:val="20"/>
          <w:szCs w:val="20"/>
        </w:rPr>
        <w:t>5</w:t>
      </w:r>
      <w:r w:rsidRPr="00184A8E">
        <w:rPr>
          <w:rFonts w:ascii="Arial" w:eastAsia="Calibri" w:hAnsi="Arial" w:cs="Arial"/>
          <w:sz w:val="20"/>
          <w:szCs w:val="20"/>
        </w:rPr>
        <w:t>. godinu</w:t>
      </w:r>
      <w:r w:rsidR="00693910">
        <w:rPr>
          <w:rFonts w:ascii="Arial" w:eastAsia="Calibri" w:hAnsi="Arial" w:cs="Arial"/>
          <w:sz w:val="20"/>
          <w:szCs w:val="20"/>
        </w:rPr>
        <w:t>. Rashodi su izvr</w:t>
      </w:r>
      <w:r w:rsidR="00957358">
        <w:rPr>
          <w:rFonts w:ascii="Arial" w:eastAsia="Calibri" w:hAnsi="Arial" w:cs="Arial"/>
          <w:sz w:val="20"/>
          <w:szCs w:val="20"/>
        </w:rPr>
        <w:t>š</w:t>
      </w:r>
      <w:r w:rsidR="00693910">
        <w:rPr>
          <w:rFonts w:ascii="Arial" w:eastAsia="Calibri" w:hAnsi="Arial" w:cs="Arial"/>
          <w:sz w:val="20"/>
          <w:szCs w:val="20"/>
        </w:rPr>
        <w:t>eni u iznosu 15.048,90 €.</w:t>
      </w:r>
      <w:r w:rsidR="0097606C">
        <w:rPr>
          <w:rFonts w:ascii="Arial" w:eastAsia="Calibri" w:hAnsi="Arial" w:cs="Arial"/>
          <w:sz w:val="20"/>
          <w:szCs w:val="20"/>
        </w:rPr>
        <w:t xml:space="preserve"> </w:t>
      </w:r>
      <w:r w:rsidR="0022615B" w:rsidRPr="0022615B">
        <w:rPr>
          <w:rFonts w:ascii="Arial" w:eastAsia="Calibri" w:hAnsi="Arial" w:cs="Arial"/>
          <w:bCs/>
          <w:sz w:val="20"/>
          <w:szCs w:val="20"/>
        </w:rPr>
        <w:t>Izvršeni rashodi se odnose na</w:t>
      </w:r>
      <w:r w:rsidR="0022615B">
        <w:rPr>
          <w:rFonts w:ascii="Arial" w:eastAsia="Calibri" w:hAnsi="Arial" w:cs="Arial"/>
          <w:bCs/>
          <w:sz w:val="20"/>
          <w:szCs w:val="20"/>
        </w:rPr>
        <w:t>:</w:t>
      </w:r>
    </w:p>
    <w:p w14:paraId="046F2849" w14:textId="2D1D2F11" w:rsidR="0022615B" w:rsidRDefault="0022615B">
      <w:pPr>
        <w:pStyle w:val="Odlomakpopisa"/>
        <w:numPr>
          <w:ilvl w:val="0"/>
          <w:numId w:val="3"/>
        </w:numPr>
        <w:autoSpaceDE w:val="0"/>
        <w:autoSpaceDN w:val="0"/>
        <w:adjustRightInd w:val="0"/>
        <w:rPr>
          <w:rFonts w:ascii="Arial" w:eastAsia="Calibri" w:hAnsi="Arial" w:cs="Arial"/>
          <w:bCs/>
        </w:rPr>
      </w:pPr>
      <w:r>
        <w:rPr>
          <w:rFonts w:ascii="Arial" w:eastAsia="Calibri" w:hAnsi="Arial" w:cs="Arial"/>
          <w:bCs/>
        </w:rPr>
        <w:t>izradu pročišćenog teksta prostornog plana uređenja Općine, vezano uz izmjene i dopune Urbanističkog plana uređenja Općine (veza zona ugostiteljsko turističke namjene Prahivac) u iznosu 6.250 €,</w:t>
      </w:r>
    </w:p>
    <w:p w14:paraId="44FE39D0" w14:textId="41D95AF4" w:rsidR="0022615B" w:rsidRDefault="0022615B">
      <w:pPr>
        <w:pStyle w:val="Odlomakpopisa"/>
        <w:numPr>
          <w:ilvl w:val="0"/>
          <w:numId w:val="3"/>
        </w:numPr>
        <w:autoSpaceDE w:val="0"/>
        <w:autoSpaceDN w:val="0"/>
        <w:adjustRightInd w:val="0"/>
        <w:rPr>
          <w:rFonts w:ascii="Arial" w:eastAsia="Calibri" w:hAnsi="Arial" w:cs="Arial"/>
          <w:bCs/>
        </w:rPr>
      </w:pPr>
      <w:r>
        <w:rPr>
          <w:rFonts w:ascii="Arial" w:eastAsia="Calibri" w:hAnsi="Arial" w:cs="Arial"/>
          <w:bCs/>
        </w:rPr>
        <w:t>izvješće o ponovljenoj javnoj raspravi za prostorni plan sukladno ugovoru iz listopada 2025. godine u iznosu 5.000 €, prva situacija (ugovor u iznosu 7.500 € s PDV-om),</w:t>
      </w:r>
    </w:p>
    <w:p w14:paraId="6C6057DE" w14:textId="3449E8A0" w:rsidR="0022615B" w:rsidRDefault="0022615B">
      <w:pPr>
        <w:pStyle w:val="Odlomakpopisa"/>
        <w:numPr>
          <w:ilvl w:val="0"/>
          <w:numId w:val="3"/>
        </w:numPr>
        <w:autoSpaceDE w:val="0"/>
        <w:autoSpaceDN w:val="0"/>
        <w:adjustRightInd w:val="0"/>
        <w:rPr>
          <w:rFonts w:ascii="Arial" w:eastAsia="Calibri" w:hAnsi="Arial" w:cs="Arial"/>
          <w:bCs/>
        </w:rPr>
      </w:pPr>
      <w:r>
        <w:rPr>
          <w:rFonts w:ascii="Arial" w:eastAsia="Calibri" w:hAnsi="Arial" w:cs="Arial"/>
          <w:bCs/>
        </w:rPr>
        <w:t xml:space="preserve">najam panoa za izlaganje prostornog plana za javni uvid 3.562,50 €, </w:t>
      </w:r>
    </w:p>
    <w:p w14:paraId="02D5ACA0" w14:textId="304ADC48" w:rsidR="0022615B" w:rsidRDefault="0022615B">
      <w:pPr>
        <w:pStyle w:val="Odlomakpopisa"/>
        <w:numPr>
          <w:ilvl w:val="0"/>
          <w:numId w:val="3"/>
        </w:numPr>
        <w:autoSpaceDE w:val="0"/>
        <w:autoSpaceDN w:val="0"/>
        <w:adjustRightInd w:val="0"/>
        <w:rPr>
          <w:rFonts w:ascii="Arial" w:eastAsia="Calibri" w:hAnsi="Arial" w:cs="Arial"/>
          <w:bCs/>
        </w:rPr>
      </w:pPr>
      <w:r>
        <w:rPr>
          <w:rFonts w:ascii="Arial" w:eastAsia="Calibri" w:hAnsi="Arial" w:cs="Arial"/>
          <w:bCs/>
        </w:rPr>
        <w:t>ispis i uvez knjige prostornog plana 236,40 €.</w:t>
      </w:r>
    </w:p>
    <w:p w14:paraId="48EE92A5" w14:textId="77777777" w:rsidR="0022615B" w:rsidRPr="0022615B" w:rsidRDefault="0022615B" w:rsidP="0022615B">
      <w:pPr>
        <w:pStyle w:val="Odlomakpopisa"/>
        <w:autoSpaceDE w:val="0"/>
        <w:autoSpaceDN w:val="0"/>
        <w:adjustRightInd w:val="0"/>
        <w:ind w:left="1004"/>
        <w:rPr>
          <w:rFonts w:ascii="Arial" w:eastAsia="Calibri" w:hAnsi="Arial" w:cs="Arial"/>
          <w:bCs/>
        </w:rPr>
      </w:pPr>
    </w:p>
    <w:p w14:paraId="1F0AC22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Cilj Projekta je osiguranje podloga i uvjeta za kvalitetan dugoročni razvoj Općine.</w:t>
      </w:r>
    </w:p>
    <w:p w14:paraId="7AC736CB" w14:textId="77777777" w:rsidR="00184A8E" w:rsidRDefault="00184A8E" w:rsidP="00184A8E">
      <w:pPr>
        <w:autoSpaceDE w:val="0"/>
        <w:autoSpaceDN w:val="0"/>
        <w:adjustRightInd w:val="0"/>
        <w:spacing w:after="0" w:line="240" w:lineRule="auto"/>
        <w:jc w:val="both"/>
        <w:rPr>
          <w:rFonts w:ascii="Arial" w:eastAsia="Calibri" w:hAnsi="Arial" w:cs="Arial"/>
          <w:sz w:val="18"/>
          <w:szCs w:val="18"/>
        </w:rPr>
      </w:pPr>
    </w:p>
    <w:p w14:paraId="4C61F2A7" w14:textId="77777777" w:rsidR="006D136F" w:rsidRDefault="006D136F" w:rsidP="006D136F">
      <w:pPr>
        <w:autoSpaceDE w:val="0"/>
        <w:autoSpaceDN w:val="0"/>
        <w:adjustRightInd w:val="0"/>
        <w:spacing w:after="0" w:line="240" w:lineRule="auto"/>
        <w:jc w:val="both"/>
        <w:rPr>
          <w:rFonts w:ascii="Arial" w:eastAsia="Calibri" w:hAnsi="Arial" w:cs="Arial"/>
          <w:sz w:val="20"/>
          <w:szCs w:val="20"/>
        </w:rPr>
      </w:pPr>
      <w:r w:rsidRPr="00457574">
        <w:rPr>
          <w:rFonts w:ascii="Arial" w:eastAsia="Calibri" w:hAnsi="Arial" w:cs="Arial"/>
          <w:sz w:val="20"/>
          <w:szCs w:val="20"/>
        </w:rPr>
        <w:t>U 202</w:t>
      </w:r>
      <w:r>
        <w:rPr>
          <w:rFonts w:ascii="Arial" w:eastAsia="Calibri" w:hAnsi="Arial" w:cs="Arial"/>
          <w:sz w:val="20"/>
          <w:szCs w:val="20"/>
        </w:rPr>
        <w:t>5</w:t>
      </w:r>
      <w:r w:rsidRPr="00457574">
        <w:rPr>
          <w:rFonts w:ascii="Arial" w:eastAsia="Calibri" w:hAnsi="Arial" w:cs="Arial"/>
          <w:sz w:val="20"/>
          <w:szCs w:val="20"/>
        </w:rPr>
        <w:t xml:space="preserve">. godini su izvršeni rashodi u iznosu </w:t>
      </w:r>
      <w:r>
        <w:rPr>
          <w:rFonts w:ascii="Arial" w:eastAsia="Calibri" w:hAnsi="Arial" w:cs="Arial"/>
          <w:sz w:val="20"/>
          <w:szCs w:val="20"/>
        </w:rPr>
        <w:t>6.250</w:t>
      </w:r>
      <w:r w:rsidRPr="00457574">
        <w:rPr>
          <w:rFonts w:ascii="Arial" w:eastAsia="Calibri" w:hAnsi="Arial" w:cs="Arial"/>
          <w:sz w:val="20"/>
          <w:szCs w:val="20"/>
        </w:rPr>
        <w:t xml:space="preserve"> €</w:t>
      </w:r>
      <w:r>
        <w:rPr>
          <w:rFonts w:ascii="Arial" w:eastAsia="Calibri" w:hAnsi="Arial" w:cs="Arial"/>
          <w:sz w:val="20"/>
          <w:szCs w:val="20"/>
        </w:rPr>
        <w:t xml:space="preserve"> na temelju ugovora iz travnja 2025. godine</w:t>
      </w:r>
      <w:r w:rsidRPr="00457574">
        <w:rPr>
          <w:rFonts w:ascii="Arial" w:eastAsia="Calibri" w:hAnsi="Arial" w:cs="Arial"/>
          <w:sz w:val="20"/>
          <w:szCs w:val="20"/>
        </w:rPr>
        <w:t xml:space="preserve"> i odnose se na izradu</w:t>
      </w:r>
      <w:r>
        <w:rPr>
          <w:rFonts w:ascii="Arial" w:eastAsia="Calibri" w:hAnsi="Arial" w:cs="Arial"/>
          <w:sz w:val="20"/>
          <w:szCs w:val="20"/>
        </w:rPr>
        <w:t xml:space="preserve"> pročišćenog teksta i grafike prostornog plana uređenja Općine nakon usvajanja Odluke o donošenju izmjena i dopuna iz veljače 2025. godine (izmjene su povezane sa izmjenama i dopunama urbanističkog plana uređenja Cavtat sa Zvekovicom, a u svezi zone ugostiteljsko turističke namjene Prahivac.</w:t>
      </w:r>
    </w:p>
    <w:p w14:paraId="649F3FDD" w14:textId="77777777" w:rsidR="006D136F" w:rsidRPr="00184A8E" w:rsidRDefault="006D136F" w:rsidP="00184A8E">
      <w:pPr>
        <w:autoSpaceDE w:val="0"/>
        <w:autoSpaceDN w:val="0"/>
        <w:adjustRightInd w:val="0"/>
        <w:spacing w:after="0" w:line="240" w:lineRule="auto"/>
        <w:jc w:val="both"/>
        <w:rPr>
          <w:rFonts w:ascii="Arial" w:eastAsia="Calibri" w:hAnsi="Arial" w:cs="Arial"/>
          <w:sz w:val="18"/>
          <w:szCs w:val="18"/>
        </w:rPr>
      </w:pPr>
    </w:p>
    <w:p w14:paraId="478E07C6"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Općinsko vijeće je na sjednici 29. studenoga 2018. donijelo Odluku o donošenju ciljanih Izmjena i dopuna prostornog plana uređenja Općine Konavle (Službeni glasnik Općine Konavle 11/18).</w:t>
      </w:r>
    </w:p>
    <w:p w14:paraId="19DBED7F" w14:textId="77777777" w:rsidR="00457574" w:rsidRPr="00184A8E" w:rsidRDefault="00457574" w:rsidP="00184A8E">
      <w:pPr>
        <w:autoSpaceDE w:val="0"/>
        <w:autoSpaceDN w:val="0"/>
        <w:adjustRightInd w:val="0"/>
        <w:spacing w:after="0" w:line="240" w:lineRule="auto"/>
        <w:jc w:val="both"/>
        <w:rPr>
          <w:rFonts w:ascii="Arial" w:eastAsia="Calibri" w:hAnsi="Arial" w:cs="Arial"/>
          <w:sz w:val="20"/>
          <w:szCs w:val="20"/>
        </w:rPr>
      </w:pPr>
    </w:p>
    <w:p w14:paraId="0F0B8495" w14:textId="77777777" w:rsidR="00184A8E" w:rsidRPr="00184A8E" w:rsidRDefault="00184A8E" w:rsidP="00184A8E">
      <w:pPr>
        <w:autoSpaceDE w:val="0"/>
        <w:autoSpaceDN w:val="0"/>
        <w:adjustRightInd w:val="0"/>
        <w:spacing w:after="0" w:line="240" w:lineRule="auto"/>
        <w:jc w:val="both"/>
        <w:rPr>
          <w:rFonts w:ascii="Arial" w:eastAsia="Calibri" w:hAnsi="Arial" w:cs="Arial"/>
          <w:b/>
          <w:bCs/>
          <w:i/>
          <w:iCs/>
          <w:sz w:val="20"/>
          <w:szCs w:val="20"/>
        </w:rPr>
      </w:pPr>
      <w:r w:rsidRPr="00184A8E">
        <w:rPr>
          <w:rFonts w:ascii="Arial" w:eastAsia="Calibri" w:hAnsi="Arial" w:cs="Arial"/>
          <w:b/>
          <w:bCs/>
          <w:i/>
          <w:iCs/>
          <w:sz w:val="20"/>
          <w:szCs w:val="20"/>
        </w:rPr>
        <w:tab/>
      </w:r>
      <w:r w:rsidRPr="00184A8E">
        <w:rPr>
          <w:rFonts w:ascii="Arial" w:eastAsia="Calibri" w:hAnsi="Arial" w:cs="Arial"/>
          <w:b/>
          <w:bCs/>
          <w:i/>
          <w:iCs/>
          <w:sz w:val="20"/>
          <w:szCs w:val="20"/>
        </w:rPr>
        <w:tab/>
      </w:r>
      <w:r w:rsidRPr="00184A8E">
        <w:rPr>
          <w:rFonts w:ascii="Arial" w:eastAsia="Calibri" w:hAnsi="Arial" w:cs="Arial"/>
          <w:b/>
          <w:bCs/>
          <w:i/>
          <w:iCs/>
          <w:sz w:val="20"/>
          <w:szCs w:val="20"/>
        </w:rPr>
        <w:tab/>
        <w:t>Izrada izmjena i dopuna Prostornog plana uređenja Općine Konavle</w:t>
      </w:r>
    </w:p>
    <w:p w14:paraId="47EA033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778B6DC9"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Na temelju Zakona o prostornom uređenju, Općinsko vijeće Općine Konavle je na sjednici održanoj 26. srpnja 2017. donijelo Odluku o izradi izmjena i dopuna Prostornog plana uređenja Općine Konavle (Službeni glasnik Općine Konavle 9/07, 1/08 – isp., 6/08 –isp., 7/08-isp, 1/09-isp., 1/15, 6/15-pročišćeni tekst). Ova Odluka je objavljena u Službenom glasniku Općine Konavle (broj 5/2017 od 1. kolovoza 2017.), a stupila je na snagu osmog dana od dana objave.</w:t>
      </w:r>
    </w:p>
    <w:p w14:paraId="3AFFB96C"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7F793262"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 xml:space="preserve">Agencija za plaćanja u poljoprivredi, ribarstvu i ruralnom razvoju (dalje u tekstu: Agencija) je u travnju 2018. donijela </w:t>
      </w:r>
      <w:r w:rsidRPr="00184A8E">
        <w:rPr>
          <w:rFonts w:ascii="Arial" w:eastAsia="Calibri" w:hAnsi="Arial" w:cs="Arial"/>
          <w:b/>
          <w:sz w:val="18"/>
          <w:szCs w:val="18"/>
        </w:rPr>
        <w:t>Odluku o prihvatljivosti projekta</w:t>
      </w:r>
      <w:r w:rsidRPr="00184A8E">
        <w:rPr>
          <w:rFonts w:ascii="Arial" w:eastAsia="Calibri" w:hAnsi="Arial" w:cs="Arial"/>
          <w:sz w:val="18"/>
          <w:szCs w:val="18"/>
        </w:rPr>
        <w:t xml:space="preserve"> „Ulaganje u izmjenu / dopunu Prostornog plana uređenja“ ,a na temelju Pravilnika o provedbi Mjere 07 „Temeljne usluge i obnova sela u ruralnim područjima“ iz Programa ruralnog razvoja RH za razdoblje 2014.-2020., putem natječaja za provedbu Podmjere 7.1. „Sastavljanje i ažuriranje planova za razvoj općina i sela u ruralnim područjima i njihovih temeljnih usluga te planova zaštite i upravljanja koji se odnose na lokalitete Natura 2000 i druga područja visoke prirodne vrijednosti“. Za provedbu ovog projekta odobrena su sredstva najviše do iznosa 518.875 kn / 68.866,55 €. Općina i Agencija su 21. lipnja 2018. zaključili </w:t>
      </w:r>
      <w:r w:rsidRPr="00184A8E">
        <w:rPr>
          <w:rFonts w:ascii="Arial" w:eastAsia="Calibri" w:hAnsi="Arial" w:cs="Arial"/>
          <w:b/>
          <w:sz w:val="18"/>
          <w:szCs w:val="18"/>
        </w:rPr>
        <w:t>Ugovor o financiranju Operacija 7.1.1.</w:t>
      </w:r>
      <w:r w:rsidRPr="00184A8E">
        <w:rPr>
          <w:rFonts w:ascii="Arial" w:eastAsia="Calibri" w:hAnsi="Arial" w:cs="Arial"/>
          <w:sz w:val="18"/>
          <w:szCs w:val="18"/>
        </w:rPr>
        <w:t xml:space="preserve"> (broj 920659/2018). Najviši iznos javne potpore prema spomenutom Pravilniku iznosi 70.000,00 EUR u protuvrijednosti kuna.</w:t>
      </w:r>
    </w:p>
    <w:p w14:paraId="678EC4BF"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6B1EC9FF"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 xml:space="preserve">Sukladno Odluci i Ugovoru, Općina je obvezna najkasnije </w:t>
      </w:r>
      <w:r w:rsidRPr="00184A8E">
        <w:rPr>
          <w:rFonts w:ascii="Arial" w:eastAsia="Calibri" w:hAnsi="Arial" w:cs="Arial"/>
          <w:i/>
          <w:iCs/>
          <w:sz w:val="18"/>
          <w:szCs w:val="18"/>
        </w:rPr>
        <w:t>u roku 8 mjeseci od dana zaključivanja ugovora</w:t>
      </w:r>
      <w:r w:rsidRPr="00184A8E">
        <w:rPr>
          <w:rFonts w:ascii="Arial" w:eastAsia="Calibri" w:hAnsi="Arial" w:cs="Arial"/>
          <w:sz w:val="18"/>
          <w:szCs w:val="18"/>
        </w:rPr>
        <w:t xml:space="preserve"> dostaviti Agenciji dokumentaciju iz provedenog postupka nabave. Nakon provedene administrativne kontrole postupka nabave i odobrenih ponuda Agencija izdaje </w:t>
      </w:r>
      <w:r w:rsidRPr="00184A8E">
        <w:rPr>
          <w:rFonts w:ascii="Arial" w:eastAsia="Calibri" w:hAnsi="Arial" w:cs="Arial"/>
          <w:b/>
          <w:sz w:val="18"/>
          <w:szCs w:val="18"/>
        </w:rPr>
        <w:t>Odluku o dodjeli sredstava</w:t>
      </w:r>
      <w:r w:rsidRPr="00184A8E">
        <w:rPr>
          <w:rFonts w:ascii="Arial" w:eastAsia="Calibri" w:hAnsi="Arial" w:cs="Arial"/>
          <w:sz w:val="18"/>
          <w:szCs w:val="18"/>
        </w:rPr>
        <w:t xml:space="preserve">. Razdoblje provedbe ulaganja je </w:t>
      </w:r>
      <w:r w:rsidRPr="00184A8E">
        <w:rPr>
          <w:rFonts w:ascii="Arial" w:eastAsia="Calibri" w:hAnsi="Arial" w:cs="Arial"/>
          <w:b/>
          <w:sz w:val="18"/>
          <w:szCs w:val="18"/>
        </w:rPr>
        <w:t>24 mjeseca</w:t>
      </w:r>
      <w:r w:rsidRPr="00184A8E">
        <w:rPr>
          <w:rFonts w:ascii="Arial" w:eastAsia="Calibri" w:hAnsi="Arial" w:cs="Arial"/>
          <w:sz w:val="18"/>
          <w:szCs w:val="18"/>
        </w:rPr>
        <w:t xml:space="preserve"> od datuma donošenja Odluke o dodjeli sredstava do dana podnošenja zahtjeva za isplatu posljednje rate. Općina je imala pravo podnijeti zahtjev za isplatu potpore jednokratno ili najviše u tri rate, i to nakon pravomoćnosti Odluke o dodjeli sredstava s time da maksimalni iznos prve rate iznosi 50% odobrenih sredstava javne potpore. Agencija može provoditi kontrolu projekta prije isplate, tijekom provedbe projekta i tijekom petogodišnjeg razdoblja nakon izvršenog konačnog plaćanja (ex post kontrola).</w:t>
      </w:r>
    </w:p>
    <w:p w14:paraId="17382A15"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60B33793"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 xml:space="preserve">Općina je početkom 2019. provela postupak nabave za usluge izrade izmjena i dopuna prostornog plana uređenja Općine Konavle, te odluku o odabiru sa cjelokupnom dokumentacijom poslala nadležnoj agenciji na provjeru. </w:t>
      </w:r>
    </w:p>
    <w:p w14:paraId="5667FB56"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6E21F286"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Općinsko vijeće Općine Konavle je na sjednici održanoj 16. srpnja 2019. donijelo Odluku o izmjenama i dopunama Odluke o izradi izmjena i dopuna Prostornog plana uređenja Općine Konavle. Ova Odluka je objavljena u Službenom glasniku Općine Konavle (broj 7/2019 od 17. kolovoza 2019.), a stupila je na snagu osmog dana od dana objave.</w:t>
      </w:r>
    </w:p>
    <w:p w14:paraId="2761E82E"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7214FCF5"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Izvršeni rashodi u 2019. su iznosili 94.710,92 kn /12.570,30 € i odnosili su se na izradu ispravka tehničke pogreške u Prostornom planu uređenja Općine Konavle za građevinsko područje izvan naselja u iznosu 17.500 kn /2.322,65 € (ugovor iz studenog 2018.), te na izradu izmjena i dopuna Prostornog plana u iznosu 77.210,92 kn / 10.247,65 € (prva i druga privremena situacija). Naime, nakon provedenog postupka javne nabave, zaključen je u veljači 2019. ugovor u iznosu 259.000 kn /34.375,21 € što s porezom na dodanu vrijednost čini 323.750 kn / 42.969,01 € (Urbanizam Dubrovnik d.o.o.). Ugovorena je izrada plana u roku 26 mjeseci od dana potpisivanja ugovora, a u slučaju ponavljanja javne rasprave (koja traje 30 dana), rok se produžuje za 9 mjeseci.</w:t>
      </w:r>
    </w:p>
    <w:p w14:paraId="2A393173"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6F2AD8B9"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 2020. su izvršeni rashodi u iznosu 97.125 kn / 12.890,70 € koji su se odnosili na ispostavljenu treću privremenu situaciju po ugovoru iz 2019. godine, te ukupno izvedeni radovi do konca 2020. su iznosili 174.335,92 kn / 23.138,35 €. Trećom privremenom situacijom je obuhvaćena izrada nacrta prijedloga plana za javnu raspravu.</w:t>
      </w:r>
    </w:p>
    <w:p w14:paraId="59C92A24"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15628784"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lastRenderedPageBreak/>
        <w:t>Agencija za plaćanja u poljoprivredi, ribarstvu i ruralnom razvoju je u veljači 2021. donijela odluku o odobrenju isplate sredstava u iznosu 174.326,92 kn / 23.388,76 € na temelju ovjerene tri privremene situacije. Doznačena su sredstva u iznosu 121.406,20 kn / 16.113,37 €.</w:t>
      </w:r>
    </w:p>
    <w:p w14:paraId="7FF57DA9"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07E2AAC5"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 xml:space="preserve">Tijekom 2021. godini nije bilo rashoda vezanih uz ugovor o izradi izmjena i dopuna prostornog plana uređenja Općine Konavle koje se sufinanciraju sredstvima EU. Za potrebe ovih izmjena i dopuna obvezno je bilo napraviti stratešku studiju utjecaja na okoliš koja je ugovorena u siječnju 2021. godine (Eko invest d.o.o.) u vrijednosti 85.321,50 kn / 11.324,11 €. </w:t>
      </w:r>
    </w:p>
    <w:p w14:paraId="1DBDEA1C"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19CB03E6"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 2022. je ispostavljena četvrta privremena situacija u iznosu 32.375 kn / 4.296,90 € za izradu prijedloga izmjena i dopuna prostornog plana uređenja općine – prijedlog plana za javnu raspravu (na temelju ugovora iz 2019. godine, te ukupno obavljene usluge izrade plana iznose 206.710,92 kn / 27.435,25 €. Četvrtom privremenom situacijom je obuhvaćena izrada konačnog plana za javnu raspravu.</w:t>
      </w:r>
    </w:p>
    <w:p w14:paraId="1C614C39"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5BB5ECFD"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bookmarkStart w:id="487" w:name="_Hlk144902327"/>
      <w:r w:rsidRPr="00184A8E">
        <w:rPr>
          <w:rFonts w:ascii="Arial" w:eastAsia="Calibri" w:hAnsi="Arial" w:cs="Arial"/>
          <w:sz w:val="18"/>
          <w:szCs w:val="18"/>
        </w:rPr>
        <w:t xml:space="preserve">U 2023. su izvršeni rashodi u iznosu 4.296,25 € i odnosili su se na dodatne troškove izrade nove verzije Prijedloga plana za javnu raspravu u razdoblju od travnja 2022. do prosinca 2022. </w:t>
      </w:r>
      <w:bookmarkStart w:id="488" w:name="_Hlk166057101"/>
      <w:r w:rsidRPr="00184A8E">
        <w:rPr>
          <w:rFonts w:ascii="Arial" w:eastAsia="Calibri" w:hAnsi="Arial" w:cs="Arial"/>
          <w:sz w:val="18"/>
          <w:szCs w:val="18"/>
        </w:rPr>
        <w:t>Javni uvid i javno izlaganje o Prijedlogu izmjena i dopuna Prostornog plana uređenja Općine Konavle i Strateške studije o utjecaju Izmjena i dopuna PPU Općine Konavle na okoliš održano je u studenome 2023. godine.</w:t>
      </w:r>
    </w:p>
    <w:p w14:paraId="6D518E4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6CCC6155" w14:textId="77777777" w:rsidR="00184A8E" w:rsidRPr="00184A8E" w:rsidRDefault="00184A8E" w:rsidP="00457574">
      <w:pPr>
        <w:autoSpaceDE w:val="0"/>
        <w:autoSpaceDN w:val="0"/>
        <w:adjustRightInd w:val="0"/>
        <w:spacing w:after="0" w:line="240" w:lineRule="auto"/>
        <w:ind w:left="567"/>
        <w:jc w:val="both"/>
        <w:rPr>
          <w:rFonts w:ascii="Arial" w:eastAsia="Calibri" w:hAnsi="Arial" w:cs="Arial"/>
          <w:sz w:val="20"/>
          <w:szCs w:val="20"/>
        </w:rPr>
      </w:pPr>
      <w:r w:rsidRPr="00457574">
        <w:rPr>
          <w:rFonts w:ascii="Arial" w:eastAsia="Calibri" w:hAnsi="Arial" w:cs="Arial"/>
          <w:sz w:val="18"/>
          <w:szCs w:val="18"/>
        </w:rPr>
        <w:t>U 2024. godini su izvršeni rashodi u iznosu 17.621,91 € i odnose se na dodatne usluge izrade dopuna prostornog plana (prema dodatku ugovoru iz veljače 2024. i srpnja 2024.) u iznosu 8.593,75 €, te usluge prema petoj privremenoj situaciji u iznosu 4.296,91 € (obrada i dostava tabličnog i grafičkog prikaza prijedloga postupanja po primjedbama zaprimljenim u javnoj raspravi iz siječnja 2024.g., te izrada i dostava izvješća o javnoj raspravi). Također izrađen je pročišćeni tekst izmjena i dopuna prostornog plana uređenja Općine Konavle u iznosu 4.731,25 € prema ugovoru iz srpnja 2024.</w:t>
      </w:r>
    </w:p>
    <w:bookmarkEnd w:id="488"/>
    <w:p w14:paraId="77BED96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6FA781C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bCs/>
          <w:i/>
          <w:iCs/>
          <w:sz w:val="20"/>
          <w:szCs w:val="20"/>
        </w:rPr>
        <w:t>Strateška studija utjecaja na okoliš za izmjene i dopune Prostornog plana uređenja Općine Konavle</w:t>
      </w:r>
    </w:p>
    <w:p w14:paraId="0829EFF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4BE83771"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Ugovorom iz siječnja 2021. godine utvrđena je izrada strateške studije utjecaja na okoliš izmjena i dopuna Prostornog plana uređenja Općine Konavle. Ugovor je zaključen u iznosu 85.321,50 kn /11.324,11 € s porezom na dodanu vrijednost (Eko invest d.o.o.). Studija se izvršava u više faza, a plaćanje se obavlja po donošenju mišljenja o cjelovitosti i stručnoj utemeljenosti nacrta od strane Povjerenstva za stratešku procjenu, te po izdavanju mišljenja o provedenom postupku od strane Ministarstva gospodarstva i održivog razvoja.</w:t>
      </w:r>
    </w:p>
    <w:p w14:paraId="26A3B9ED"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Za izvedene usluge izrade studije utjecaja na okoliš izrade izmjena i dopuna prostornog plana u 2023. godini je ispostavljen račun u iznosu 5.661,46 € (50% ugovora iz 2021.godine).</w:t>
      </w:r>
    </w:p>
    <w:p w14:paraId="722084B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648FAB6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bCs/>
          <w:i/>
          <w:iCs/>
          <w:sz w:val="20"/>
          <w:szCs w:val="20"/>
        </w:rPr>
        <w:t>Izrada II ciljanih izmjena i dopuna Prostornog plana uređenja Općine Konavle</w:t>
      </w:r>
      <w:r w:rsidRPr="00184A8E">
        <w:rPr>
          <w:rFonts w:ascii="Arial" w:eastAsia="Calibri" w:hAnsi="Arial" w:cs="Arial"/>
          <w:sz w:val="20"/>
          <w:szCs w:val="20"/>
        </w:rPr>
        <w:t xml:space="preserve"> </w:t>
      </w:r>
    </w:p>
    <w:p w14:paraId="76B08415" w14:textId="77777777" w:rsidR="00184A8E" w:rsidRPr="00184A8E" w:rsidRDefault="00184A8E" w:rsidP="00184A8E">
      <w:pPr>
        <w:autoSpaceDE w:val="0"/>
        <w:autoSpaceDN w:val="0"/>
        <w:adjustRightInd w:val="0"/>
        <w:spacing w:after="0" w:line="240" w:lineRule="auto"/>
        <w:jc w:val="both"/>
        <w:rPr>
          <w:rFonts w:ascii="Arial" w:eastAsia="Calibri" w:hAnsi="Arial" w:cs="Arial"/>
          <w:b/>
          <w:bCs/>
          <w:i/>
          <w:iCs/>
          <w:sz w:val="20"/>
          <w:szCs w:val="20"/>
        </w:rPr>
      </w:pPr>
      <w:r w:rsidRPr="00184A8E">
        <w:rPr>
          <w:rFonts w:ascii="Arial" w:eastAsia="Calibri" w:hAnsi="Arial" w:cs="Arial"/>
          <w:sz w:val="20"/>
          <w:szCs w:val="20"/>
        </w:rPr>
        <w:t xml:space="preserve">(veza izrada Izmjena i dopuna Urbanističkog plana uređenja </w:t>
      </w:r>
      <w:r w:rsidRPr="00184A8E">
        <w:rPr>
          <w:rFonts w:ascii="Arial" w:eastAsia="Calibri" w:hAnsi="Arial" w:cs="Arial"/>
          <w:sz w:val="20"/>
          <w:szCs w:val="20"/>
        </w:rPr>
        <w:tab/>
        <w:t>''Zračna luka Dubrovnik 1', odnosno buduća poslovna zona Čilipi)</w:t>
      </w:r>
    </w:p>
    <w:bookmarkEnd w:id="487"/>
    <w:p w14:paraId="6CC813C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52AAFCAD"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 2021. godini je ugovorena izrada II ciljanih izmjena i dopuna Prostornog uređenja Općine Konavle u vrijednosti 75.000 kn s PDV-om / 9.954,21 €, a razlozi za izradu i donošenje ovih izmjena i dopuna povezani su s i izradom Izmjena i dopuna Urbanističkog plana uređenja ''Zračna luka Dubrovnik 1'' (Odluka o izradi II ciljanih izmjena i dopuna prostornog plana uređenja Općine Konavle i izradi izmjena i dopuna urbanističkog plana uređenja Zračna luka Dubrovnik 1 - objavljena u Službenom glasniku Općine Konavle broj 1/20), odnosno s ostvarivanjem preduvjeta za osnivanje poduzetničke zone u Čilipima. Na temelju spomenutog ugovora izvršeni su rashodi u 2021. godini u iznosu 30.000 kn / 3.981,68 € (prva privremena situacija nakon predaje radne verzije prijedloga). (Odluke o izmjenama i dopunama prostornog, kao i urbanističkog plana uređenja Zračna luka Čilipi objavljene u Službenom glasniku 1/20, 13/20 i 4/22).</w:t>
      </w:r>
    </w:p>
    <w:p w14:paraId="04AC54CA"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623D77FD"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 xml:space="preserve">U 2022. su ispostavljene dvije privremene i okončana situacija u ukupnoj vrijednosti 45.000 kn / 5.972,53 €, te ukupna vrijednost okončanih usluga odgovara ugovorenoj vrijednosti (ugovor iz 2021. godine, te ukupno obavljene usluge izrade plana iznose 75.000 kn / 9.954,21 €. </w:t>
      </w:r>
    </w:p>
    <w:p w14:paraId="6B30FDF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518D1EB7" w14:textId="1C526BB3"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U </w:t>
      </w:r>
      <w:r w:rsidR="0022615B">
        <w:rPr>
          <w:rFonts w:ascii="Arial" w:eastAsia="Calibri" w:hAnsi="Arial" w:cs="Arial"/>
          <w:sz w:val="20"/>
          <w:szCs w:val="20"/>
        </w:rPr>
        <w:t>razdoblju 2023-202</w:t>
      </w:r>
      <w:r w:rsidR="006D136F">
        <w:rPr>
          <w:rFonts w:ascii="Arial" w:eastAsia="Calibri" w:hAnsi="Arial" w:cs="Arial"/>
          <w:sz w:val="20"/>
          <w:szCs w:val="20"/>
        </w:rPr>
        <w:t>5</w:t>
      </w:r>
      <w:r w:rsidRPr="00184A8E">
        <w:rPr>
          <w:rFonts w:ascii="Arial" w:eastAsia="Calibri" w:hAnsi="Arial" w:cs="Arial"/>
          <w:sz w:val="20"/>
          <w:szCs w:val="20"/>
        </w:rPr>
        <w:t xml:space="preserve">. nije bilo rashoda. </w:t>
      </w:r>
    </w:p>
    <w:p w14:paraId="2DE02EB8" w14:textId="77777777" w:rsidR="00184A8E" w:rsidRDefault="00184A8E" w:rsidP="00184A8E">
      <w:pPr>
        <w:autoSpaceDE w:val="0"/>
        <w:autoSpaceDN w:val="0"/>
        <w:adjustRightInd w:val="0"/>
        <w:spacing w:after="0" w:line="240" w:lineRule="auto"/>
        <w:jc w:val="both"/>
        <w:rPr>
          <w:rFonts w:ascii="Arial" w:eastAsia="Calibri" w:hAnsi="Arial" w:cs="Arial"/>
          <w:sz w:val="20"/>
          <w:szCs w:val="20"/>
        </w:rPr>
      </w:pPr>
    </w:p>
    <w:p w14:paraId="5D8A412A" w14:textId="77777777" w:rsidR="0022615B" w:rsidRPr="00184A8E" w:rsidRDefault="0022615B" w:rsidP="00184A8E">
      <w:pPr>
        <w:autoSpaceDE w:val="0"/>
        <w:autoSpaceDN w:val="0"/>
        <w:adjustRightInd w:val="0"/>
        <w:spacing w:after="0" w:line="240" w:lineRule="auto"/>
        <w:jc w:val="both"/>
        <w:rPr>
          <w:rFonts w:ascii="Arial" w:eastAsia="Calibri" w:hAnsi="Arial" w:cs="Arial"/>
          <w:sz w:val="20"/>
          <w:szCs w:val="20"/>
        </w:rPr>
      </w:pPr>
    </w:p>
    <w:tbl>
      <w:tblPr>
        <w:tblW w:w="14370" w:type="dxa"/>
        <w:jc w:val="center"/>
        <w:tblLayout w:type="fixed"/>
        <w:tblLook w:val="04A0" w:firstRow="1" w:lastRow="0" w:firstColumn="1" w:lastColumn="0" w:noHBand="0" w:noVBand="1"/>
      </w:tblPr>
      <w:tblGrid>
        <w:gridCol w:w="3114"/>
        <w:gridCol w:w="3307"/>
        <w:gridCol w:w="1145"/>
        <w:gridCol w:w="1134"/>
        <w:gridCol w:w="1134"/>
        <w:gridCol w:w="1134"/>
        <w:gridCol w:w="1134"/>
        <w:gridCol w:w="1134"/>
        <w:gridCol w:w="1134"/>
      </w:tblGrid>
      <w:tr w:rsidR="00184A8E" w:rsidRPr="00184A8E" w14:paraId="5D562D59" w14:textId="77777777" w:rsidTr="00410A4B">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C6D135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Pokazatelj rezultata</w:t>
            </w:r>
          </w:p>
        </w:tc>
        <w:tc>
          <w:tcPr>
            <w:tcW w:w="330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F8B1FC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Definicija</w:t>
            </w:r>
          </w:p>
        </w:tc>
        <w:tc>
          <w:tcPr>
            <w:tcW w:w="114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74E2FB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D88677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F591E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Polazna vrijednost 2023.</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BEC015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Ciljana vrijednost 2024.</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7FC7B7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Izvršeno 2024.</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C1A412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Ciljana vrijednost 2025.</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43426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Ciljana vrijednost 2026.</w:t>
            </w:r>
          </w:p>
        </w:tc>
      </w:tr>
      <w:tr w:rsidR="00184A8E" w:rsidRPr="00184A8E" w14:paraId="12CB6505" w14:textId="77777777" w:rsidTr="00410A4B">
        <w:trPr>
          <w:trHeight w:val="274"/>
          <w:jc w:val="center"/>
        </w:trPr>
        <w:tc>
          <w:tcPr>
            <w:tcW w:w="3114" w:type="dxa"/>
            <w:tcBorders>
              <w:top w:val="single" w:sz="4" w:space="0" w:color="auto"/>
              <w:left w:val="single" w:sz="4" w:space="0" w:color="auto"/>
              <w:bottom w:val="single" w:sz="4" w:space="0" w:color="auto"/>
              <w:right w:val="single" w:sz="4" w:space="0" w:color="auto"/>
            </w:tcBorders>
            <w:vAlign w:val="center"/>
          </w:tcPr>
          <w:p w14:paraId="4E168C51"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r w:rsidRPr="00184A8E">
              <w:rPr>
                <w:rFonts w:ascii="Arial" w:eastAsia="Calibri" w:hAnsi="Arial" w:cs="Arial"/>
                <w:sz w:val="18"/>
                <w:szCs w:val="18"/>
              </w:rPr>
              <w:t>Izrada izmjena i dopuna ciljanih izmjena i dopuna Prostornog plana</w:t>
            </w:r>
          </w:p>
        </w:tc>
        <w:tc>
          <w:tcPr>
            <w:tcW w:w="3307" w:type="dxa"/>
            <w:tcBorders>
              <w:top w:val="single" w:sz="4" w:space="0" w:color="auto"/>
              <w:left w:val="single" w:sz="4" w:space="0" w:color="auto"/>
              <w:bottom w:val="single" w:sz="4" w:space="0" w:color="auto"/>
              <w:right w:val="single" w:sz="4" w:space="0" w:color="auto"/>
            </w:tcBorders>
            <w:vAlign w:val="center"/>
          </w:tcPr>
          <w:p w14:paraId="5211E939"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r w:rsidRPr="00184A8E">
              <w:rPr>
                <w:rFonts w:ascii="Arial" w:eastAsia="Calibri" w:hAnsi="Arial" w:cs="Arial"/>
                <w:sz w:val="18"/>
                <w:szCs w:val="18"/>
              </w:rPr>
              <w:t xml:space="preserve">Postotak dovršenosti ciljanih izmjena i dopuna prostornog plana </w:t>
            </w:r>
          </w:p>
        </w:tc>
        <w:tc>
          <w:tcPr>
            <w:tcW w:w="1145" w:type="dxa"/>
            <w:tcBorders>
              <w:top w:val="single" w:sz="4" w:space="0" w:color="auto"/>
              <w:left w:val="single" w:sz="4" w:space="0" w:color="auto"/>
              <w:bottom w:val="single" w:sz="4" w:space="0" w:color="auto"/>
              <w:right w:val="single" w:sz="4" w:space="0" w:color="auto"/>
            </w:tcBorders>
            <w:vAlign w:val="center"/>
          </w:tcPr>
          <w:p w14:paraId="142D1BD5"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r w:rsidRPr="00184A8E">
              <w:rPr>
                <w:rFonts w:ascii="Arial" w:eastAsia="Calibri"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19171FA"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r w:rsidRPr="00184A8E">
              <w:rPr>
                <w:rFonts w:ascii="Arial" w:eastAsia="Calibri" w:hAnsi="Arial" w:cs="Arial"/>
                <w:sz w:val="18"/>
                <w:szCs w:val="18"/>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63CE551E"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r w:rsidRPr="00184A8E">
              <w:rPr>
                <w:rFonts w:ascii="Arial" w:eastAsia="Calibri" w:hAnsi="Arial" w:cs="Arial"/>
                <w:sz w:val="18"/>
                <w:szCs w:val="18"/>
              </w:rPr>
              <w:t>80%</w:t>
            </w:r>
          </w:p>
        </w:tc>
        <w:tc>
          <w:tcPr>
            <w:tcW w:w="1134" w:type="dxa"/>
            <w:tcBorders>
              <w:top w:val="single" w:sz="4" w:space="0" w:color="000000"/>
              <w:left w:val="single" w:sz="4" w:space="0" w:color="000000"/>
              <w:bottom w:val="single" w:sz="4" w:space="0" w:color="000000"/>
              <w:right w:val="single" w:sz="4" w:space="0" w:color="000000"/>
            </w:tcBorders>
            <w:vAlign w:val="center"/>
          </w:tcPr>
          <w:p w14:paraId="7DA43CCE"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r w:rsidRPr="00184A8E">
              <w:rPr>
                <w:rFonts w:ascii="Arial" w:eastAsia="Calibri" w:hAnsi="Arial" w:cs="Arial"/>
                <w:sz w:val="18"/>
                <w:szCs w:val="18"/>
              </w:rPr>
              <w:t>90%</w:t>
            </w:r>
          </w:p>
        </w:tc>
        <w:tc>
          <w:tcPr>
            <w:tcW w:w="1134" w:type="dxa"/>
            <w:tcBorders>
              <w:top w:val="single" w:sz="4" w:space="0" w:color="000000"/>
              <w:left w:val="single" w:sz="4" w:space="0" w:color="000000"/>
              <w:bottom w:val="single" w:sz="4" w:space="0" w:color="000000"/>
              <w:right w:val="single" w:sz="4" w:space="0" w:color="000000"/>
            </w:tcBorders>
            <w:vAlign w:val="center"/>
          </w:tcPr>
          <w:p w14:paraId="20BDB408"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r w:rsidRPr="00184A8E">
              <w:rPr>
                <w:rFonts w:ascii="Arial" w:eastAsia="Calibri" w:hAnsi="Arial" w:cs="Arial"/>
                <w:sz w:val="18"/>
                <w:szCs w:val="18"/>
              </w:rPr>
              <w:t>80%</w:t>
            </w:r>
          </w:p>
        </w:tc>
        <w:tc>
          <w:tcPr>
            <w:tcW w:w="1134" w:type="dxa"/>
            <w:tcBorders>
              <w:top w:val="single" w:sz="4" w:space="0" w:color="000000"/>
              <w:left w:val="single" w:sz="4" w:space="0" w:color="000000"/>
              <w:bottom w:val="single" w:sz="4" w:space="0" w:color="000000"/>
              <w:right w:val="single" w:sz="4" w:space="0" w:color="000000"/>
            </w:tcBorders>
            <w:vAlign w:val="center"/>
          </w:tcPr>
          <w:p w14:paraId="28B060DD"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r w:rsidRPr="00184A8E">
              <w:rPr>
                <w:rFonts w:ascii="Arial" w:eastAsia="Calibri" w:hAnsi="Arial" w:cs="Arial"/>
                <w:sz w:val="18"/>
                <w:szCs w:val="18"/>
              </w:rPr>
              <w:t>95%</w:t>
            </w:r>
          </w:p>
        </w:tc>
        <w:tc>
          <w:tcPr>
            <w:tcW w:w="1134" w:type="dxa"/>
            <w:tcBorders>
              <w:top w:val="single" w:sz="4" w:space="0" w:color="000000"/>
              <w:left w:val="single" w:sz="4" w:space="0" w:color="000000"/>
              <w:bottom w:val="single" w:sz="4" w:space="0" w:color="000000"/>
              <w:right w:val="single" w:sz="4" w:space="0" w:color="000000"/>
            </w:tcBorders>
            <w:vAlign w:val="center"/>
          </w:tcPr>
          <w:p w14:paraId="1180BC7B"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r w:rsidRPr="00184A8E">
              <w:rPr>
                <w:rFonts w:ascii="Arial" w:eastAsia="Calibri" w:hAnsi="Arial" w:cs="Arial"/>
                <w:sz w:val="18"/>
                <w:szCs w:val="18"/>
              </w:rPr>
              <w:t>100%</w:t>
            </w:r>
          </w:p>
        </w:tc>
      </w:tr>
    </w:tbl>
    <w:p w14:paraId="1FEF3C5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37EAD968" w14:textId="26109394"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rPr>
        <w:t>2. K208102: Izrada urbanističkih planova uređenja i topografsko katastarskih podloga</w:t>
      </w:r>
      <w:r w:rsidRPr="00184A8E">
        <w:rPr>
          <w:rFonts w:ascii="Arial" w:eastAsia="Calibri" w:hAnsi="Arial" w:cs="Arial"/>
          <w:sz w:val="20"/>
          <w:szCs w:val="20"/>
        </w:rPr>
        <w:t xml:space="preserve"> - Planirana sredstva za provođenje navedene aktivnosti iznose </w:t>
      </w:r>
      <w:r w:rsidR="0097606C">
        <w:rPr>
          <w:rFonts w:ascii="Arial" w:eastAsia="Calibri" w:hAnsi="Arial" w:cs="Arial"/>
          <w:sz w:val="20"/>
          <w:szCs w:val="20"/>
        </w:rPr>
        <w:t>27.500</w:t>
      </w:r>
      <w:r w:rsidRPr="00184A8E">
        <w:rPr>
          <w:rFonts w:ascii="Arial" w:eastAsia="Calibri" w:hAnsi="Arial" w:cs="Arial"/>
          <w:sz w:val="20"/>
          <w:szCs w:val="20"/>
        </w:rPr>
        <w:t xml:space="preserve"> € i odnose se na izradu izmjena i dopuna Urbanističkog plana uređenja. </w:t>
      </w:r>
    </w:p>
    <w:p w14:paraId="47A331AA" w14:textId="77777777" w:rsidR="00184A8E" w:rsidRPr="00184A8E" w:rsidRDefault="00184A8E" w:rsidP="006D136F">
      <w:pPr>
        <w:autoSpaceDE w:val="0"/>
        <w:autoSpaceDN w:val="0"/>
        <w:adjustRightInd w:val="0"/>
        <w:spacing w:after="0" w:line="240" w:lineRule="auto"/>
        <w:ind w:left="709"/>
        <w:jc w:val="both"/>
        <w:rPr>
          <w:rFonts w:ascii="Arial" w:eastAsia="Calibri" w:hAnsi="Arial" w:cs="Arial"/>
          <w:sz w:val="20"/>
          <w:szCs w:val="20"/>
        </w:rPr>
      </w:pPr>
    </w:p>
    <w:p w14:paraId="5AB51A27" w14:textId="77777777" w:rsidR="00184A8E" w:rsidRPr="00184A8E" w:rsidRDefault="00184A8E" w:rsidP="006D136F">
      <w:pPr>
        <w:autoSpaceDE w:val="0"/>
        <w:autoSpaceDN w:val="0"/>
        <w:adjustRightInd w:val="0"/>
        <w:spacing w:after="0" w:line="240" w:lineRule="auto"/>
        <w:ind w:left="709"/>
        <w:jc w:val="both"/>
        <w:rPr>
          <w:rFonts w:ascii="Arial" w:eastAsia="Calibri" w:hAnsi="Arial" w:cs="Arial"/>
          <w:sz w:val="20"/>
          <w:szCs w:val="20"/>
        </w:rPr>
      </w:pPr>
      <w:r w:rsidRPr="00184A8E">
        <w:rPr>
          <w:rFonts w:ascii="Arial" w:eastAsia="Calibri" w:hAnsi="Arial" w:cs="Arial"/>
          <w:sz w:val="20"/>
          <w:szCs w:val="20"/>
        </w:rPr>
        <w:t>U 2024. godini su izvršeni rashodi u iznosu 13.525,21 € i odnose se na izradu izmjena i dopuna UPU Cavtat sa Zvekovicom za zonu turističko ugostiteljske namjene (treća i četvrta privremena situacija) u iznosu 8.004,85 €, te izradu pročišćenog teksta UPU Zračna luka 1 u iznosu 1.250 € i izradu studije utjecaja na okoliš u iznosu 4.270,36 €.</w:t>
      </w:r>
    </w:p>
    <w:p w14:paraId="70B92A60" w14:textId="77777777" w:rsidR="00184A8E" w:rsidRDefault="00184A8E" w:rsidP="00184A8E">
      <w:pPr>
        <w:autoSpaceDE w:val="0"/>
        <w:autoSpaceDN w:val="0"/>
        <w:adjustRightInd w:val="0"/>
        <w:spacing w:after="0" w:line="240" w:lineRule="auto"/>
        <w:jc w:val="both"/>
        <w:rPr>
          <w:rFonts w:ascii="Arial" w:eastAsia="Calibri" w:hAnsi="Arial" w:cs="Arial"/>
          <w:sz w:val="20"/>
          <w:szCs w:val="20"/>
        </w:rPr>
      </w:pPr>
    </w:p>
    <w:p w14:paraId="52AEF342" w14:textId="6CD2747E" w:rsidR="006D136F" w:rsidRDefault="006D136F" w:rsidP="006D136F">
      <w:pPr>
        <w:autoSpaceDE w:val="0"/>
        <w:autoSpaceDN w:val="0"/>
        <w:adjustRightInd w:val="0"/>
        <w:spacing w:after="0" w:line="240" w:lineRule="auto"/>
        <w:jc w:val="both"/>
        <w:rPr>
          <w:rFonts w:ascii="Arial" w:eastAsia="Calibri" w:hAnsi="Arial" w:cs="Arial"/>
          <w:sz w:val="20"/>
          <w:szCs w:val="20"/>
        </w:rPr>
      </w:pPr>
      <w:r w:rsidRPr="00457574">
        <w:rPr>
          <w:rFonts w:ascii="Arial" w:eastAsia="Calibri" w:hAnsi="Arial" w:cs="Arial"/>
          <w:sz w:val="20"/>
          <w:szCs w:val="20"/>
        </w:rPr>
        <w:t>U 202</w:t>
      </w:r>
      <w:r>
        <w:rPr>
          <w:rFonts w:ascii="Arial" w:eastAsia="Calibri" w:hAnsi="Arial" w:cs="Arial"/>
          <w:sz w:val="20"/>
          <w:szCs w:val="20"/>
        </w:rPr>
        <w:t>5</w:t>
      </w:r>
      <w:r w:rsidRPr="00457574">
        <w:rPr>
          <w:rFonts w:ascii="Arial" w:eastAsia="Calibri" w:hAnsi="Arial" w:cs="Arial"/>
          <w:sz w:val="20"/>
          <w:szCs w:val="20"/>
        </w:rPr>
        <w:t xml:space="preserve">. godini su izvršeni rashodi u iznosu </w:t>
      </w:r>
      <w:r>
        <w:rPr>
          <w:rFonts w:ascii="Arial" w:eastAsia="Calibri" w:hAnsi="Arial" w:cs="Arial"/>
          <w:sz w:val="20"/>
          <w:szCs w:val="20"/>
        </w:rPr>
        <w:t>7.492,74</w:t>
      </w:r>
      <w:r w:rsidRPr="00457574">
        <w:rPr>
          <w:rFonts w:ascii="Arial" w:eastAsia="Calibri" w:hAnsi="Arial" w:cs="Arial"/>
          <w:sz w:val="20"/>
          <w:szCs w:val="20"/>
        </w:rPr>
        <w:t xml:space="preserve"> €</w:t>
      </w:r>
      <w:r>
        <w:rPr>
          <w:rFonts w:ascii="Arial" w:eastAsia="Calibri" w:hAnsi="Arial" w:cs="Arial"/>
          <w:sz w:val="20"/>
          <w:szCs w:val="20"/>
        </w:rPr>
        <w:t xml:space="preserve"> i odnose se na.</w:t>
      </w:r>
    </w:p>
    <w:p w14:paraId="0C702C32" w14:textId="6630E6FB" w:rsidR="006D136F" w:rsidRDefault="006D136F">
      <w:pPr>
        <w:pStyle w:val="Odlomakpopisa"/>
        <w:numPr>
          <w:ilvl w:val="0"/>
          <w:numId w:val="3"/>
        </w:numPr>
        <w:autoSpaceDE w:val="0"/>
        <w:autoSpaceDN w:val="0"/>
        <w:adjustRightInd w:val="0"/>
        <w:rPr>
          <w:rFonts w:ascii="Arial" w:eastAsia="Calibri" w:hAnsi="Arial" w:cs="Arial"/>
        </w:rPr>
      </w:pPr>
      <w:r w:rsidRPr="00184A8E">
        <w:rPr>
          <w:rFonts w:ascii="Arial" w:eastAsia="Calibri" w:hAnsi="Arial" w:cs="Arial"/>
        </w:rPr>
        <w:t>izradu izmjena i dopuna UPU Cavtat sa Zvekovicom za zonu turističko ugostiteljske namjene (</w:t>
      </w:r>
      <w:r>
        <w:rPr>
          <w:rFonts w:ascii="Arial" w:eastAsia="Calibri" w:hAnsi="Arial" w:cs="Arial"/>
        </w:rPr>
        <w:t>okončana</w:t>
      </w:r>
      <w:r w:rsidRPr="00184A8E">
        <w:rPr>
          <w:rFonts w:ascii="Arial" w:eastAsia="Calibri" w:hAnsi="Arial" w:cs="Arial"/>
        </w:rPr>
        <w:t xml:space="preserve"> situacija) u iznosu </w:t>
      </w:r>
      <w:r>
        <w:rPr>
          <w:rFonts w:ascii="Arial" w:eastAsia="Calibri" w:hAnsi="Arial" w:cs="Arial"/>
        </w:rPr>
        <w:t>3.201,94</w:t>
      </w:r>
      <w:r w:rsidRPr="00184A8E">
        <w:rPr>
          <w:rFonts w:ascii="Arial" w:eastAsia="Calibri" w:hAnsi="Arial" w:cs="Arial"/>
        </w:rPr>
        <w:t xml:space="preserve"> €</w:t>
      </w:r>
      <w:r w:rsidR="006C7E03">
        <w:rPr>
          <w:rFonts w:ascii="Arial" w:eastAsia="Calibri" w:hAnsi="Arial" w:cs="Arial"/>
        </w:rPr>
        <w:t xml:space="preserve"> (ugovor iz listopada 2022. godine, sveukupno izvršeni rashodi po ugovoru </w:t>
      </w:r>
      <w:r w:rsidR="00DF5299">
        <w:rPr>
          <w:rFonts w:ascii="Arial" w:eastAsia="Calibri" w:hAnsi="Arial" w:cs="Arial"/>
        </w:rPr>
        <w:t>32.019,39 €),</w:t>
      </w:r>
    </w:p>
    <w:p w14:paraId="6C397216" w14:textId="33170E26" w:rsidR="00DF5299" w:rsidRDefault="00DF5299">
      <w:pPr>
        <w:pStyle w:val="Odlomakpopisa"/>
        <w:numPr>
          <w:ilvl w:val="0"/>
          <w:numId w:val="3"/>
        </w:numPr>
        <w:autoSpaceDE w:val="0"/>
        <w:autoSpaceDN w:val="0"/>
        <w:adjustRightInd w:val="0"/>
        <w:rPr>
          <w:rFonts w:ascii="Arial" w:eastAsia="Calibri" w:hAnsi="Arial" w:cs="Arial"/>
        </w:rPr>
      </w:pPr>
      <w:r>
        <w:rPr>
          <w:rFonts w:ascii="Arial" w:eastAsia="Calibri" w:hAnsi="Arial" w:cs="Arial"/>
        </w:rPr>
        <w:t>izradu izmjena i dopuna UPU Cavtat sa Zvekovicom za zonu ugostiteljsko turističke namjene Prahivac i stim u vezi ciljanih izmjena i dopuna prostornog plana uređenja Općine u istom postupku u iznosu 1.155 €, a na temelju dodatka ugovoru zaključenog u veljači 2025. godine na način da je ugovorena cijena uvećana temeljem indeksacije, odnosno rasta stopa inflacije po stopi koju objavljuje Državni zavod za statistiku</w:t>
      </w:r>
      <w:r w:rsidR="006134A1">
        <w:rPr>
          <w:rFonts w:ascii="Arial" w:eastAsia="Calibri" w:hAnsi="Arial" w:cs="Arial"/>
        </w:rPr>
        <w:t xml:space="preserve"> (od listopada 2022. do prosinca 2024.),</w:t>
      </w:r>
    </w:p>
    <w:p w14:paraId="45C32AD0" w14:textId="4B968416" w:rsidR="006134A1" w:rsidRPr="006D136F" w:rsidRDefault="006134A1">
      <w:pPr>
        <w:pStyle w:val="Odlomakpopisa"/>
        <w:numPr>
          <w:ilvl w:val="0"/>
          <w:numId w:val="3"/>
        </w:numPr>
        <w:autoSpaceDE w:val="0"/>
        <w:autoSpaceDN w:val="0"/>
        <w:adjustRightInd w:val="0"/>
        <w:rPr>
          <w:rFonts w:ascii="Arial" w:eastAsia="Calibri" w:hAnsi="Arial" w:cs="Arial"/>
        </w:rPr>
      </w:pPr>
      <w:r>
        <w:rPr>
          <w:rFonts w:ascii="Arial" w:eastAsia="Calibri" w:hAnsi="Arial" w:cs="Arial"/>
        </w:rPr>
        <w:t>ispis i formatiranje velikog formata urbanističkog plana uređenja u iznosu 3.135,80 €.</w:t>
      </w:r>
    </w:p>
    <w:p w14:paraId="331E44A9" w14:textId="77777777" w:rsidR="006D136F" w:rsidRDefault="006D136F" w:rsidP="006D136F">
      <w:pPr>
        <w:autoSpaceDE w:val="0"/>
        <w:autoSpaceDN w:val="0"/>
        <w:adjustRightInd w:val="0"/>
        <w:spacing w:after="0" w:line="240" w:lineRule="auto"/>
        <w:jc w:val="both"/>
        <w:rPr>
          <w:rFonts w:ascii="Arial" w:eastAsia="Calibri" w:hAnsi="Arial" w:cs="Arial"/>
          <w:sz w:val="20"/>
          <w:szCs w:val="20"/>
        </w:rPr>
      </w:pPr>
    </w:p>
    <w:p w14:paraId="0A9B876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bCs/>
          <w:i/>
          <w:iCs/>
          <w:sz w:val="20"/>
          <w:szCs w:val="20"/>
        </w:rPr>
        <w:t>Izrada Urbanističkog plana uređenja Općine Konavle</w:t>
      </w:r>
      <w:r w:rsidRPr="00184A8E">
        <w:rPr>
          <w:rFonts w:ascii="Arial" w:eastAsia="Calibri" w:hAnsi="Arial" w:cs="Arial"/>
          <w:sz w:val="20"/>
          <w:szCs w:val="20"/>
        </w:rPr>
        <w:t xml:space="preserve"> </w:t>
      </w:r>
    </w:p>
    <w:p w14:paraId="0BA6753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0BEC00C0"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Pročišćeni tekst Urbanističkog plana uređenja „Cavtat sa Zvekovicom“ objavljen je u Službenom glasniku Općine Konavle 3/2016. Odluku za izradu novih Izmjena i dopuna Urbanističkog plana uređenja „Cavtat sa Zvekovicom“ donijelo je Općinsko vijeće na sjednici održanoj 27. lipnja 2016. U razdoblju 2016.-2018. izrađene su Izmjena i dopuna Urbanističkog plana uređenja „Cavtat sa Zvekovicom“ u iznosu 125.000 kn / 16.590,35 €. Nakon dobivene suglasnosti Ministarstva graditeljstva i prostornog uređenja, Općinsko vijeće je na sjednici 12. listopada 2018. donijelo Odluku o donošenju Izmjena i dopuna Urbanističkog plana uređenja „Cavtat sa Zvekovicom“ (Službeni glasnik Općine Konavle 10/18).</w:t>
      </w:r>
    </w:p>
    <w:p w14:paraId="77E56E95"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bookmarkStart w:id="489" w:name="_Hlk134708020"/>
    </w:p>
    <w:p w14:paraId="37D04A1B"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Izmjene i dopune Urbanističkog plana uređenja naselja Popovići su objavljene u Službenom glasniku Općine Konavle broj 5/2020, dok je pročišćeni tekst objavljen u Službenom glasniku broj 7/2020.</w:t>
      </w:r>
    </w:p>
    <w:p w14:paraId="4CB7D0F0"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42D76CF1"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Izvršeni rashodi u 2021. u iznosu 48.750 kn /6.470,24 € su se odnosili na prvu situaciju za izradu izmjena i dopuna UPU Zračna luka Čilipi u svezi poduzetničke zone, a nakon izrade radne verzije plana za raspravu. Ugovorom iz ožujka 2020. utvrđena je izrada izmjena i dopuna Urbanističkog plana uređenja „Zračne luke Dubrovnik 1". Razlozi za izradu i donošenje izmjena i dopuna Urbanističkog plana uređenja „Zračne luke Dubrovnik 1" definirani su Odlukom o izradi, objavljenoj u Službenom glasniku Općine Konavle 1/20. Ugovor je zaključen u iznosu 130.000 kn /17.253,97 € što s porezom na dodanu vrijednost čini 162.500 kn / 21.567,46 € (Urbanizam Dubrovnik d.o.o.).</w:t>
      </w:r>
    </w:p>
    <w:p w14:paraId="5D7B26A7"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5886AAFC"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 2022. su ispostavljene privremene i okončana situacija za izradu izmjena i dopuna urbanističkog plana uređenja Zračna luka Čilipi u iznosu 113.750 kn / 15.0978,22 €, odnosno sveukupno u iznosu 162.500 kn / 21.567,46 €.</w:t>
      </w:r>
    </w:p>
    <w:p w14:paraId="415A68FA"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447A1A15"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lastRenderedPageBreak/>
        <w:t>Općinsko vijeće Općine Konavle je na sjednici održanoj 22. prosinca 2022. donijelo Odluku o donošenju izmjena i dopuna Urbanističkog plana uređenja Zračna luka Čilipi 1, kao i Odluku o donošenju II. ciljanih izmjena i dopuna Prostornog plana uređenja Općine Konavle (koje su povezane s donošenjem UPU Zračna luka Čilipi, odnosno sve vezano uz uređenje poslovne zone u Čilipima). Ove Odluke su objavljene u Službenom glasniku Općine Konavle (broj 7/2022 od 23. prosinca 2022).</w:t>
      </w:r>
    </w:p>
    <w:bookmarkEnd w:id="489"/>
    <w:p w14:paraId="1B477A9D"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20378A7D"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bookmarkStart w:id="490" w:name="_Hlk166057222"/>
      <w:r w:rsidRPr="00184A8E">
        <w:rPr>
          <w:rFonts w:ascii="Arial" w:eastAsia="Calibri" w:hAnsi="Arial" w:cs="Arial"/>
          <w:sz w:val="18"/>
          <w:szCs w:val="18"/>
        </w:rPr>
        <w:t>Izvršeni rashodi u 2023. godini su se odnosili na izradu pročišćenog teksta izmjena i dopuna Urbanističkog plana uređenja Zračna luka Čilipi 1 u iznosu 2.500 €.</w:t>
      </w:r>
    </w:p>
    <w:p w14:paraId="0DC8B2C2"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677E6BAE"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 službenom glasniku Općine Konavle broj 3/2023 objavljen je pročišćeni tekst Urbanističkog plana uređenja „Zračna luka Čilipi 1“ (obuhvaća planove objavljene u sl. glasnicima 10/14, 2/16, 7/22).</w:t>
      </w:r>
    </w:p>
    <w:bookmarkEnd w:id="490"/>
    <w:p w14:paraId="77F5DCA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2E2003B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bCs/>
          <w:i/>
          <w:iCs/>
          <w:sz w:val="20"/>
          <w:szCs w:val="20"/>
        </w:rPr>
        <w:t>Izrada Izmjena i dopuna Prostornog plana uređenja „Cavtat sa Zvekovicom“ za onu ugostiteljsko turističke namjene Prahivac i s tim u vezi izrada Ciljanih izmjena i dopuna Prostornog plana uređenja Općine Konavle.</w:t>
      </w:r>
      <w:r w:rsidRPr="00184A8E">
        <w:rPr>
          <w:rFonts w:ascii="Arial" w:eastAsia="Calibri" w:hAnsi="Arial" w:cs="Arial"/>
          <w:sz w:val="20"/>
          <w:szCs w:val="20"/>
        </w:rPr>
        <w:t xml:space="preserve"> </w:t>
      </w:r>
    </w:p>
    <w:p w14:paraId="1D3A2FC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5C48ECDE"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 xml:space="preserve">Ugovorom od 20. listopada 2022. utvrđena je izrada izmjena i dopuna Urbanističkog plana uređenja „Cavtat sa Zvekovicom" za zonu ugostiteljsko turističke namjene Prahivac i s tim u vezi Ciljanih Izmjena i dopuna Prostorno plana uređenja Općine Konavle u istom postupku. </w:t>
      </w:r>
      <w:bookmarkStart w:id="491" w:name="_Hlk166067005"/>
      <w:r w:rsidRPr="00184A8E">
        <w:rPr>
          <w:rFonts w:ascii="Arial" w:eastAsia="Calibri" w:hAnsi="Arial" w:cs="Arial"/>
          <w:sz w:val="18"/>
          <w:szCs w:val="18"/>
        </w:rPr>
        <w:t>Ugovor je zaključen u iznosu 193.000 kn /25.615,50 €/ što s porezom na dodanu vrijednost čini 241.250 kn / 32.019,38 €/ (Urbanizam Dubrovnik d.o.o.).</w:t>
      </w:r>
    </w:p>
    <w:bookmarkEnd w:id="491"/>
    <w:p w14:paraId="74B3E43A"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 službenom glasniku Općine Konavle broj 2/23 objavljena je Odluka o započinjanju postupka strateške procjene utjecaja na okoliš za Izmjene i dopune Urbanističkog plana uređenja „Cavtat sa Zvekovicom“ (Sl.gl.4/14, 2/16, 10/18, 4/1isp, 6/19-pročišćeni tekst, 6/19-isp) te s tim u vezi Izmjena i dopuna Prostornog plana Uređenja Općine Konavle (Sl.gl. 9/07, 1/08-isp., 6/08-isp, 7/08-isp, 1/09-isp, 1/15, 6/15-pročišćeni tekst, 11/18).</w:t>
      </w:r>
    </w:p>
    <w:p w14:paraId="34476E45"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335E27CE"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bookmarkStart w:id="492" w:name="_Hlk166057204"/>
      <w:r w:rsidRPr="00184A8E">
        <w:rPr>
          <w:rFonts w:ascii="Arial" w:eastAsia="Calibri" w:hAnsi="Arial" w:cs="Arial"/>
          <w:sz w:val="18"/>
          <w:szCs w:val="18"/>
        </w:rPr>
        <w:t>U 2023. su ispostavljene dvije privremene situacije u ukupnom iznosu 20.812,60 € s PDV-om i odnosile su se na izradu stručnog rješenja te isporuku elaborata prijedloga planova za javnu raspravu.</w:t>
      </w:r>
    </w:p>
    <w:p w14:paraId="3E29E267"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p>
    <w:p w14:paraId="67DF57B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Javni uvid i javno izlaganje o Prijedlogu izmjena i dopuna Urbanističkog plana uređenja Cavtat sa Zvekovicom te s tim u vezi Prijedloga izmjena i dopuna Prostornog plana uređenja Općine Konavle i Strateškoj studiji o utjecaju na okoliš izmjena i dopuna Urbanističkog plana uređenja Cavtat sa Zvekovicom održana je tijekom siječnja 2024. godine.</w:t>
      </w:r>
    </w:p>
    <w:p w14:paraId="7E35009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52638288" w14:textId="77777777" w:rsidR="00184A8E" w:rsidRDefault="00184A8E" w:rsidP="00457574">
      <w:pPr>
        <w:autoSpaceDE w:val="0"/>
        <w:autoSpaceDN w:val="0"/>
        <w:adjustRightInd w:val="0"/>
        <w:spacing w:after="0" w:line="240" w:lineRule="auto"/>
        <w:ind w:left="709"/>
        <w:jc w:val="both"/>
        <w:rPr>
          <w:rFonts w:ascii="Arial" w:eastAsia="Calibri" w:hAnsi="Arial" w:cs="Arial"/>
          <w:sz w:val="20"/>
          <w:szCs w:val="20"/>
        </w:rPr>
      </w:pPr>
      <w:r w:rsidRPr="00457574">
        <w:rPr>
          <w:rFonts w:ascii="Arial" w:eastAsia="Calibri" w:hAnsi="Arial" w:cs="Arial"/>
          <w:sz w:val="18"/>
          <w:szCs w:val="18"/>
        </w:rPr>
        <w:t>U 2024. godini su izvršeni rashodi u iznosu 8.004,85 € i odnose se na izradu izmjena i dopuna UPU Cavtat sa Zvekovicom za zonu turističko ugostiteljske namjene (treća i četvrta privremena situacija). Napravljeno je izvješće o provedenoj javnoj raspravi, napravljene izmjene, te ishođena suglasnost nadležnog Ministarstva na konačni prijedlog plana.</w:t>
      </w:r>
    </w:p>
    <w:p w14:paraId="6B4A2012" w14:textId="77777777" w:rsidR="00457574" w:rsidRPr="00184A8E" w:rsidRDefault="00457574" w:rsidP="00184A8E">
      <w:pPr>
        <w:autoSpaceDE w:val="0"/>
        <w:autoSpaceDN w:val="0"/>
        <w:adjustRightInd w:val="0"/>
        <w:spacing w:after="0" w:line="240" w:lineRule="auto"/>
        <w:jc w:val="both"/>
        <w:rPr>
          <w:rFonts w:ascii="Arial" w:eastAsia="Calibri" w:hAnsi="Arial" w:cs="Arial"/>
          <w:sz w:val="20"/>
          <w:szCs w:val="20"/>
        </w:rPr>
      </w:pPr>
    </w:p>
    <w:p w14:paraId="4E937CBD" w14:textId="77777777" w:rsid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U veljači 2025. godine Općinsko vijeće je donijelo Odluku o donošenju Izmjena i dopuna prostornog plana uređenja Općine Konavle i Odluku o donošenju izmjena i dopuna urbanističkog plana uređenja „Cavtat sa Zvekovicom“ (Službeni glasnik Općine Konavle broj 2/2025).</w:t>
      </w:r>
    </w:p>
    <w:p w14:paraId="2A6C78B3" w14:textId="77777777" w:rsidR="00457574" w:rsidRPr="00184A8E" w:rsidRDefault="00457574" w:rsidP="00184A8E">
      <w:pPr>
        <w:autoSpaceDE w:val="0"/>
        <w:autoSpaceDN w:val="0"/>
        <w:adjustRightInd w:val="0"/>
        <w:spacing w:after="0" w:line="240" w:lineRule="auto"/>
        <w:jc w:val="both"/>
        <w:rPr>
          <w:rFonts w:ascii="Arial" w:eastAsia="Calibri" w:hAnsi="Arial" w:cs="Arial"/>
          <w:sz w:val="20"/>
          <w:szCs w:val="20"/>
        </w:rPr>
      </w:pPr>
    </w:p>
    <w:tbl>
      <w:tblPr>
        <w:tblW w:w="14170" w:type="dxa"/>
        <w:jc w:val="center"/>
        <w:tblLayout w:type="fixed"/>
        <w:tblLook w:val="04A0" w:firstRow="1" w:lastRow="0" w:firstColumn="1" w:lastColumn="0" w:noHBand="0" w:noVBand="1"/>
      </w:tblPr>
      <w:tblGrid>
        <w:gridCol w:w="3114"/>
        <w:gridCol w:w="2977"/>
        <w:gridCol w:w="1275"/>
        <w:gridCol w:w="1134"/>
        <w:gridCol w:w="1134"/>
        <w:gridCol w:w="1134"/>
        <w:gridCol w:w="1134"/>
        <w:gridCol w:w="1134"/>
        <w:gridCol w:w="1134"/>
      </w:tblGrid>
      <w:tr w:rsidR="00184A8E" w:rsidRPr="00184A8E" w14:paraId="769A0656" w14:textId="77777777" w:rsidTr="00410A4B">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bookmarkEnd w:id="492"/>
          <w:p w14:paraId="2DAD7B68" w14:textId="77777777"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Pokazatelj rezultata</w:t>
            </w:r>
          </w:p>
        </w:tc>
        <w:tc>
          <w:tcPr>
            <w:tcW w:w="297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364121B" w14:textId="77777777"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Definicija</w:t>
            </w:r>
          </w:p>
        </w:tc>
        <w:tc>
          <w:tcPr>
            <w:tcW w:w="127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1178107" w14:textId="77777777"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DBDE70C" w14:textId="77777777"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9559AB7" w14:textId="7CED729B"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Polazna vrijednost 202</w:t>
            </w:r>
            <w:r w:rsidR="006134A1">
              <w:rPr>
                <w:rFonts w:ascii="Arial" w:hAnsi="Arial" w:cs="Arial"/>
                <w:sz w:val="20"/>
                <w:szCs w:val="20"/>
              </w:rPr>
              <w:t>4</w:t>
            </w:r>
            <w:r w:rsidRPr="00184A8E">
              <w:rPr>
                <w:rFonts w:ascii="Arial"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1D32C6" w14:textId="1D951206"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Ciljana vrijednost 202</w:t>
            </w:r>
            <w:r w:rsidR="006134A1">
              <w:rPr>
                <w:rFonts w:ascii="Arial" w:hAnsi="Arial" w:cs="Arial"/>
                <w:sz w:val="20"/>
                <w:szCs w:val="20"/>
              </w:rPr>
              <w:t>5</w:t>
            </w:r>
            <w:r w:rsidRPr="00184A8E">
              <w:rPr>
                <w:rFonts w:ascii="Arial"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F31BD08" w14:textId="2D5AB097"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Izvršeno 202</w:t>
            </w:r>
            <w:r w:rsidR="006134A1">
              <w:rPr>
                <w:rFonts w:ascii="Arial" w:hAnsi="Arial" w:cs="Arial"/>
                <w:sz w:val="20"/>
                <w:szCs w:val="20"/>
              </w:rPr>
              <w:t>5</w:t>
            </w:r>
            <w:r w:rsidRPr="00184A8E">
              <w:rPr>
                <w:rFonts w:ascii="Arial"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22DB35A" w14:textId="1367D1C5"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Ciljana vrijednost 202</w:t>
            </w:r>
            <w:r w:rsidR="006134A1">
              <w:rPr>
                <w:rFonts w:ascii="Arial" w:hAnsi="Arial" w:cs="Arial"/>
                <w:sz w:val="20"/>
                <w:szCs w:val="20"/>
              </w:rPr>
              <w:t>6</w:t>
            </w:r>
            <w:r w:rsidRPr="00184A8E">
              <w:rPr>
                <w:rFonts w:ascii="Arial"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E463632" w14:textId="0E831E7C"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Ciljana vrijednost 202</w:t>
            </w:r>
            <w:r w:rsidR="006134A1">
              <w:rPr>
                <w:rFonts w:ascii="Arial" w:hAnsi="Arial" w:cs="Arial"/>
                <w:sz w:val="20"/>
                <w:szCs w:val="20"/>
              </w:rPr>
              <w:t>7</w:t>
            </w:r>
            <w:r w:rsidRPr="00184A8E">
              <w:rPr>
                <w:rFonts w:ascii="Arial" w:hAnsi="Arial" w:cs="Arial"/>
                <w:sz w:val="20"/>
                <w:szCs w:val="20"/>
              </w:rPr>
              <w:t>.</w:t>
            </w:r>
          </w:p>
        </w:tc>
      </w:tr>
      <w:tr w:rsidR="00184A8E" w:rsidRPr="00184A8E" w14:paraId="4F9DEF96" w14:textId="77777777" w:rsidTr="00410A4B">
        <w:trPr>
          <w:trHeight w:val="274"/>
          <w:jc w:val="center"/>
        </w:trPr>
        <w:tc>
          <w:tcPr>
            <w:tcW w:w="3114" w:type="dxa"/>
            <w:tcBorders>
              <w:top w:val="single" w:sz="4" w:space="0" w:color="auto"/>
              <w:left w:val="single" w:sz="4" w:space="0" w:color="auto"/>
              <w:bottom w:val="single" w:sz="4" w:space="0" w:color="auto"/>
              <w:right w:val="single" w:sz="4" w:space="0" w:color="auto"/>
            </w:tcBorders>
            <w:vAlign w:val="center"/>
          </w:tcPr>
          <w:p w14:paraId="0DF1F9D8" w14:textId="77777777" w:rsidR="00184A8E" w:rsidRPr="00184A8E" w:rsidRDefault="00184A8E" w:rsidP="00184A8E">
            <w:pPr>
              <w:autoSpaceDE w:val="0"/>
              <w:autoSpaceDN w:val="0"/>
              <w:adjustRightInd w:val="0"/>
              <w:spacing w:after="0" w:line="240" w:lineRule="auto"/>
              <w:rPr>
                <w:rFonts w:ascii="Arial" w:hAnsi="Arial" w:cs="Arial"/>
                <w:sz w:val="18"/>
                <w:szCs w:val="18"/>
              </w:rPr>
            </w:pPr>
            <w:r w:rsidRPr="00184A8E">
              <w:rPr>
                <w:rFonts w:ascii="Arial" w:hAnsi="Arial" w:cs="Arial"/>
                <w:sz w:val="18"/>
                <w:szCs w:val="18"/>
              </w:rPr>
              <w:t>Donesene / usvojene izmjene i dopune Urbanističkog plana uređenja „Cavtat sa Zvekovicom“</w:t>
            </w:r>
          </w:p>
        </w:tc>
        <w:tc>
          <w:tcPr>
            <w:tcW w:w="2977" w:type="dxa"/>
            <w:tcBorders>
              <w:top w:val="single" w:sz="4" w:space="0" w:color="auto"/>
              <w:left w:val="single" w:sz="4" w:space="0" w:color="auto"/>
              <w:bottom w:val="single" w:sz="4" w:space="0" w:color="auto"/>
              <w:right w:val="single" w:sz="4" w:space="0" w:color="auto"/>
            </w:tcBorders>
            <w:vAlign w:val="center"/>
          </w:tcPr>
          <w:p w14:paraId="170A9CD4"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 xml:space="preserve">Postotak dovršenosti izmjena i dopuna urbanističkog plana </w:t>
            </w:r>
          </w:p>
        </w:tc>
        <w:tc>
          <w:tcPr>
            <w:tcW w:w="1275" w:type="dxa"/>
            <w:tcBorders>
              <w:top w:val="single" w:sz="4" w:space="0" w:color="auto"/>
              <w:left w:val="single" w:sz="4" w:space="0" w:color="auto"/>
              <w:bottom w:val="single" w:sz="4" w:space="0" w:color="auto"/>
              <w:right w:val="single" w:sz="4" w:space="0" w:color="auto"/>
            </w:tcBorders>
            <w:vAlign w:val="center"/>
          </w:tcPr>
          <w:p w14:paraId="0D2F1DD4"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6397F2F4"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57506989" w14:textId="496148A1" w:rsidR="00184A8E" w:rsidRPr="00184A8E" w:rsidRDefault="006134A1" w:rsidP="00184A8E">
            <w:pPr>
              <w:autoSpaceDE w:val="0"/>
              <w:autoSpaceDN w:val="0"/>
              <w:adjustRightInd w:val="0"/>
              <w:spacing w:after="0" w:line="240" w:lineRule="auto"/>
              <w:jc w:val="both"/>
              <w:rPr>
                <w:rFonts w:ascii="Arial" w:hAnsi="Arial" w:cs="Arial"/>
                <w:sz w:val="18"/>
                <w:szCs w:val="18"/>
              </w:rPr>
            </w:pPr>
            <w:r>
              <w:rPr>
                <w:rFonts w:ascii="Arial" w:hAnsi="Arial" w:cs="Arial"/>
                <w:sz w:val="18"/>
                <w:szCs w:val="18"/>
              </w:rPr>
              <w:t>7</w:t>
            </w:r>
            <w:r w:rsidR="00184A8E" w:rsidRPr="00184A8E">
              <w:rPr>
                <w:rFonts w:ascii="Arial" w:hAnsi="Arial" w:cs="Arial"/>
                <w:sz w:val="18"/>
                <w:szCs w:val="18"/>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2ED8004"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C54EBBA" w14:textId="081AA9E4" w:rsidR="00184A8E" w:rsidRPr="00184A8E" w:rsidRDefault="006134A1" w:rsidP="00184A8E">
            <w:pPr>
              <w:autoSpaceDE w:val="0"/>
              <w:autoSpaceDN w:val="0"/>
              <w:adjustRightInd w:val="0"/>
              <w:spacing w:after="0" w:line="240" w:lineRule="auto"/>
              <w:jc w:val="both"/>
              <w:rPr>
                <w:rFonts w:ascii="Arial" w:hAnsi="Arial" w:cs="Arial"/>
                <w:sz w:val="18"/>
                <w:szCs w:val="18"/>
              </w:rPr>
            </w:pPr>
            <w:r>
              <w:rPr>
                <w:rFonts w:ascii="Arial" w:hAnsi="Arial" w:cs="Arial"/>
                <w:sz w:val="18"/>
                <w:szCs w:val="18"/>
              </w:rPr>
              <w:t>100</w:t>
            </w:r>
            <w:r w:rsidR="00184A8E" w:rsidRPr="00184A8E">
              <w:rPr>
                <w:rFonts w:ascii="Arial" w:hAnsi="Arial" w:cs="Arial"/>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0E402FB"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6532ACD"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w:t>
            </w:r>
          </w:p>
        </w:tc>
      </w:tr>
    </w:tbl>
    <w:p w14:paraId="78FD23A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tbl>
      <w:tblPr>
        <w:tblW w:w="14170" w:type="dxa"/>
        <w:jc w:val="center"/>
        <w:tblLayout w:type="fixed"/>
        <w:tblLook w:val="04A0" w:firstRow="1" w:lastRow="0" w:firstColumn="1" w:lastColumn="0" w:noHBand="0" w:noVBand="1"/>
      </w:tblPr>
      <w:tblGrid>
        <w:gridCol w:w="2972"/>
        <w:gridCol w:w="3119"/>
        <w:gridCol w:w="1275"/>
        <w:gridCol w:w="1134"/>
        <w:gridCol w:w="1134"/>
        <w:gridCol w:w="1134"/>
        <w:gridCol w:w="1134"/>
        <w:gridCol w:w="1134"/>
        <w:gridCol w:w="1134"/>
      </w:tblGrid>
      <w:tr w:rsidR="00184A8E" w:rsidRPr="00184A8E" w14:paraId="0B10A6F0" w14:textId="77777777" w:rsidTr="00410A4B">
        <w:trPr>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24DDFE4" w14:textId="77777777"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lastRenderedPageBreak/>
              <w:t>Pokazatelj rezultata</w:t>
            </w:r>
          </w:p>
        </w:tc>
        <w:tc>
          <w:tcPr>
            <w:tcW w:w="311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092EB0C" w14:textId="77777777"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Definicija</w:t>
            </w:r>
          </w:p>
        </w:tc>
        <w:tc>
          <w:tcPr>
            <w:tcW w:w="127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F4FEE32" w14:textId="77777777"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871CEE6" w14:textId="77777777"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11B4C7C" w14:textId="4F826D03"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Polazna vrijednost 202</w:t>
            </w:r>
            <w:r w:rsidR="003A6777">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51FF7F" w14:textId="752A763D"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Ciljana vrijednost 202</w:t>
            </w:r>
            <w:r w:rsidR="003A6777">
              <w:rPr>
                <w:rFonts w:ascii="Arial" w:hAnsi="Arial" w:cs="Arial"/>
                <w:sz w:val="20"/>
                <w:szCs w:val="20"/>
              </w:rPr>
              <w:t>5</w:t>
            </w:r>
            <w:r w:rsidRPr="00184A8E">
              <w:rPr>
                <w:rFonts w:ascii="Arial"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7C38BCC" w14:textId="1CCD1D4A"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Izvršeno 202</w:t>
            </w:r>
            <w:r w:rsidR="003A6777">
              <w:rPr>
                <w:rFonts w:ascii="Arial" w:hAnsi="Arial" w:cs="Arial"/>
                <w:sz w:val="20"/>
                <w:szCs w:val="20"/>
              </w:rPr>
              <w:t>5</w:t>
            </w:r>
            <w:r w:rsidRPr="00184A8E">
              <w:rPr>
                <w:rFonts w:ascii="Arial"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3D6D0B9" w14:textId="11D4C220"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Ciljana vrijednost 20</w:t>
            </w:r>
            <w:r w:rsidR="003A6777">
              <w:rPr>
                <w:rFonts w:ascii="Arial" w:hAnsi="Arial" w:cs="Arial"/>
                <w:sz w:val="20"/>
                <w:szCs w:val="20"/>
              </w:rPr>
              <w:t>26</w:t>
            </w:r>
            <w:r w:rsidRPr="00184A8E">
              <w:rPr>
                <w:rFonts w:ascii="Arial"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3122B37" w14:textId="5D1E6E80" w:rsidR="00184A8E" w:rsidRPr="00184A8E" w:rsidRDefault="00184A8E" w:rsidP="00184A8E">
            <w:pPr>
              <w:autoSpaceDE w:val="0"/>
              <w:autoSpaceDN w:val="0"/>
              <w:adjustRightInd w:val="0"/>
              <w:jc w:val="both"/>
              <w:rPr>
                <w:rFonts w:ascii="Arial" w:hAnsi="Arial" w:cs="Arial"/>
                <w:sz w:val="20"/>
                <w:szCs w:val="20"/>
              </w:rPr>
            </w:pPr>
            <w:r w:rsidRPr="00184A8E">
              <w:rPr>
                <w:rFonts w:ascii="Arial" w:hAnsi="Arial" w:cs="Arial"/>
                <w:sz w:val="20"/>
                <w:szCs w:val="20"/>
              </w:rPr>
              <w:t>Ciljana vrijednost 202</w:t>
            </w:r>
            <w:r w:rsidR="003A6777">
              <w:rPr>
                <w:rFonts w:ascii="Arial" w:hAnsi="Arial" w:cs="Arial"/>
                <w:sz w:val="20"/>
                <w:szCs w:val="20"/>
              </w:rPr>
              <w:t>7</w:t>
            </w:r>
            <w:r w:rsidRPr="00184A8E">
              <w:rPr>
                <w:rFonts w:ascii="Arial" w:hAnsi="Arial" w:cs="Arial"/>
                <w:sz w:val="20"/>
                <w:szCs w:val="20"/>
              </w:rPr>
              <w:t>.</w:t>
            </w:r>
          </w:p>
        </w:tc>
      </w:tr>
      <w:tr w:rsidR="00184A8E" w:rsidRPr="00184A8E" w14:paraId="36A2E41A" w14:textId="77777777" w:rsidTr="00410A4B">
        <w:trPr>
          <w:trHeight w:val="274"/>
          <w:jc w:val="center"/>
        </w:trPr>
        <w:tc>
          <w:tcPr>
            <w:tcW w:w="2972" w:type="dxa"/>
            <w:tcBorders>
              <w:top w:val="single" w:sz="4" w:space="0" w:color="auto"/>
              <w:left w:val="single" w:sz="4" w:space="0" w:color="auto"/>
              <w:bottom w:val="single" w:sz="4" w:space="0" w:color="auto"/>
              <w:right w:val="single" w:sz="4" w:space="0" w:color="auto"/>
            </w:tcBorders>
            <w:vAlign w:val="center"/>
          </w:tcPr>
          <w:p w14:paraId="18E10361"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Izrada izmjena i dopuna UPU sa novim prostornim planom Cavtat</w:t>
            </w:r>
          </w:p>
        </w:tc>
        <w:tc>
          <w:tcPr>
            <w:tcW w:w="3119" w:type="dxa"/>
            <w:tcBorders>
              <w:top w:val="single" w:sz="4" w:space="0" w:color="auto"/>
              <w:left w:val="single" w:sz="4" w:space="0" w:color="auto"/>
              <w:bottom w:val="single" w:sz="4" w:space="0" w:color="auto"/>
              <w:right w:val="single" w:sz="4" w:space="0" w:color="auto"/>
            </w:tcBorders>
            <w:vAlign w:val="center"/>
          </w:tcPr>
          <w:p w14:paraId="0B4B70F1"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 xml:space="preserve">Postotak dovršenosti izmjena i dopuna urbanističkog plana </w:t>
            </w:r>
          </w:p>
        </w:tc>
        <w:tc>
          <w:tcPr>
            <w:tcW w:w="1275" w:type="dxa"/>
            <w:tcBorders>
              <w:top w:val="single" w:sz="4" w:space="0" w:color="auto"/>
              <w:left w:val="single" w:sz="4" w:space="0" w:color="auto"/>
              <w:bottom w:val="single" w:sz="4" w:space="0" w:color="auto"/>
              <w:right w:val="single" w:sz="4" w:space="0" w:color="auto"/>
            </w:tcBorders>
            <w:vAlign w:val="center"/>
          </w:tcPr>
          <w:p w14:paraId="683872B7"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895B3EA"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02240542"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3AEA6202"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4CBEC6F0"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4DE2B85B" w14:textId="5F43278A" w:rsidR="00184A8E" w:rsidRPr="00184A8E" w:rsidRDefault="003A6777" w:rsidP="00184A8E">
            <w:pPr>
              <w:autoSpaceDE w:val="0"/>
              <w:autoSpaceDN w:val="0"/>
              <w:adjustRightInd w:val="0"/>
              <w:spacing w:after="0" w:line="240" w:lineRule="auto"/>
              <w:jc w:val="both"/>
              <w:rPr>
                <w:rFonts w:ascii="Arial" w:hAnsi="Arial" w:cs="Arial"/>
                <w:sz w:val="18"/>
                <w:szCs w:val="18"/>
              </w:rPr>
            </w:pPr>
            <w:r>
              <w:rPr>
                <w:rFonts w:ascii="Arial" w:hAnsi="Arial" w:cs="Arial"/>
                <w:sz w:val="18"/>
                <w:szCs w:val="18"/>
              </w:rPr>
              <w:t>3</w:t>
            </w:r>
            <w:r w:rsidR="00184A8E" w:rsidRPr="00184A8E">
              <w:rPr>
                <w:rFonts w:ascii="Arial" w:hAnsi="Arial" w:cs="Arial"/>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0DC76CBA" w14:textId="1B75DBE9" w:rsidR="00184A8E" w:rsidRPr="00184A8E" w:rsidRDefault="003A6777" w:rsidP="00184A8E">
            <w:pPr>
              <w:autoSpaceDE w:val="0"/>
              <w:autoSpaceDN w:val="0"/>
              <w:adjustRightInd w:val="0"/>
              <w:spacing w:after="0" w:line="240" w:lineRule="auto"/>
              <w:jc w:val="both"/>
              <w:rPr>
                <w:rFonts w:ascii="Arial" w:hAnsi="Arial" w:cs="Arial"/>
                <w:sz w:val="18"/>
                <w:szCs w:val="18"/>
              </w:rPr>
            </w:pPr>
            <w:r>
              <w:rPr>
                <w:rFonts w:ascii="Arial" w:hAnsi="Arial" w:cs="Arial"/>
                <w:sz w:val="18"/>
                <w:szCs w:val="18"/>
              </w:rPr>
              <w:t>7</w:t>
            </w:r>
            <w:r w:rsidR="00184A8E" w:rsidRPr="00184A8E">
              <w:rPr>
                <w:rFonts w:ascii="Arial" w:hAnsi="Arial" w:cs="Arial"/>
                <w:sz w:val="18"/>
                <w:szCs w:val="18"/>
              </w:rPr>
              <w:t>0%</w:t>
            </w:r>
          </w:p>
        </w:tc>
      </w:tr>
      <w:tr w:rsidR="00184A8E" w:rsidRPr="00184A8E" w14:paraId="5A6F4D7C" w14:textId="77777777" w:rsidTr="00410A4B">
        <w:trPr>
          <w:trHeight w:val="274"/>
          <w:jc w:val="center"/>
        </w:trPr>
        <w:tc>
          <w:tcPr>
            <w:tcW w:w="2972" w:type="dxa"/>
            <w:tcBorders>
              <w:top w:val="single" w:sz="4" w:space="0" w:color="auto"/>
              <w:left w:val="single" w:sz="4" w:space="0" w:color="auto"/>
              <w:bottom w:val="single" w:sz="4" w:space="0" w:color="auto"/>
              <w:right w:val="single" w:sz="4" w:space="0" w:color="auto"/>
            </w:tcBorders>
            <w:vAlign w:val="center"/>
          </w:tcPr>
          <w:p w14:paraId="22158CB1"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Izrada izmjena i dopuna UPU sa novim prostornim planom Gruda</w:t>
            </w:r>
          </w:p>
        </w:tc>
        <w:tc>
          <w:tcPr>
            <w:tcW w:w="3119" w:type="dxa"/>
            <w:tcBorders>
              <w:top w:val="single" w:sz="4" w:space="0" w:color="auto"/>
              <w:left w:val="single" w:sz="4" w:space="0" w:color="auto"/>
              <w:bottom w:val="single" w:sz="4" w:space="0" w:color="auto"/>
              <w:right w:val="single" w:sz="4" w:space="0" w:color="auto"/>
            </w:tcBorders>
            <w:vAlign w:val="center"/>
          </w:tcPr>
          <w:p w14:paraId="2FC33493"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 xml:space="preserve">Postotak dovršenosti izmjena i dopuna urbanističkog plana </w:t>
            </w:r>
          </w:p>
        </w:tc>
        <w:tc>
          <w:tcPr>
            <w:tcW w:w="1275" w:type="dxa"/>
            <w:tcBorders>
              <w:top w:val="single" w:sz="4" w:space="0" w:color="auto"/>
              <w:left w:val="single" w:sz="4" w:space="0" w:color="auto"/>
              <w:bottom w:val="single" w:sz="4" w:space="0" w:color="auto"/>
              <w:right w:val="single" w:sz="4" w:space="0" w:color="auto"/>
            </w:tcBorders>
            <w:vAlign w:val="center"/>
          </w:tcPr>
          <w:p w14:paraId="6EC4AFCF"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A999230"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4089E3D3"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04F5EBD3"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6964ACC8"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56455829" w14:textId="6C756385" w:rsidR="00184A8E" w:rsidRPr="00184A8E" w:rsidRDefault="003A6777" w:rsidP="00184A8E">
            <w:pPr>
              <w:autoSpaceDE w:val="0"/>
              <w:autoSpaceDN w:val="0"/>
              <w:adjustRightInd w:val="0"/>
              <w:spacing w:after="0" w:line="240" w:lineRule="auto"/>
              <w:jc w:val="both"/>
              <w:rPr>
                <w:rFonts w:ascii="Arial" w:hAnsi="Arial" w:cs="Arial"/>
                <w:sz w:val="18"/>
                <w:szCs w:val="18"/>
              </w:rPr>
            </w:pPr>
            <w:r>
              <w:rPr>
                <w:rFonts w:ascii="Arial" w:hAnsi="Arial" w:cs="Arial"/>
                <w:sz w:val="18"/>
                <w:szCs w:val="18"/>
              </w:rPr>
              <w:t>3</w:t>
            </w:r>
            <w:r w:rsidR="00184A8E" w:rsidRPr="00184A8E">
              <w:rPr>
                <w:rFonts w:ascii="Arial" w:hAnsi="Arial" w:cs="Arial"/>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3D53FF20" w14:textId="0670F443" w:rsidR="00184A8E" w:rsidRPr="00184A8E" w:rsidRDefault="003A6777" w:rsidP="00184A8E">
            <w:pPr>
              <w:autoSpaceDE w:val="0"/>
              <w:autoSpaceDN w:val="0"/>
              <w:adjustRightInd w:val="0"/>
              <w:spacing w:after="0" w:line="240" w:lineRule="auto"/>
              <w:jc w:val="both"/>
              <w:rPr>
                <w:rFonts w:ascii="Arial" w:hAnsi="Arial" w:cs="Arial"/>
                <w:sz w:val="18"/>
                <w:szCs w:val="18"/>
              </w:rPr>
            </w:pPr>
            <w:r>
              <w:rPr>
                <w:rFonts w:ascii="Arial" w:hAnsi="Arial" w:cs="Arial"/>
                <w:sz w:val="18"/>
                <w:szCs w:val="18"/>
              </w:rPr>
              <w:t>7</w:t>
            </w:r>
            <w:r w:rsidR="00184A8E" w:rsidRPr="00184A8E">
              <w:rPr>
                <w:rFonts w:ascii="Arial" w:hAnsi="Arial" w:cs="Arial"/>
                <w:sz w:val="18"/>
                <w:szCs w:val="18"/>
              </w:rPr>
              <w:t>0%</w:t>
            </w:r>
          </w:p>
        </w:tc>
      </w:tr>
      <w:tr w:rsidR="00184A8E" w:rsidRPr="00184A8E" w14:paraId="7029440E" w14:textId="77777777" w:rsidTr="00410A4B">
        <w:trPr>
          <w:trHeight w:val="274"/>
          <w:jc w:val="center"/>
        </w:trPr>
        <w:tc>
          <w:tcPr>
            <w:tcW w:w="2972" w:type="dxa"/>
            <w:tcBorders>
              <w:top w:val="single" w:sz="4" w:space="0" w:color="auto"/>
              <w:left w:val="single" w:sz="4" w:space="0" w:color="auto"/>
              <w:bottom w:val="single" w:sz="4" w:space="0" w:color="auto"/>
              <w:right w:val="single" w:sz="4" w:space="0" w:color="auto"/>
            </w:tcBorders>
            <w:vAlign w:val="center"/>
          </w:tcPr>
          <w:p w14:paraId="7AFC663C"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Izrada izmjena i dopuna UPU sa novim prostornim planom Molunat</w:t>
            </w:r>
          </w:p>
        </w:tc>
        <w:tc>
          <w:tcPr>
            <w:tcW w:w="3119" w:type="dxa"/>
            <w:tcBorders>
              <w:top w:val="single" w:sz="4" w:space="0" w:color="auto"/>
              <w:left w:val="single" w:sz="4" w:space="0" w:color="auto"/>
              <w:bottom w:val="single" w:sz="4" w:space="0" w:color="auto"/>
              <w:right w:val="single" w:sz="4" w:space="0" w:color="auto"/>
            </w:tcBorders>
            <w:vAlign w:val="center"/>
          </w:tcPr>
          <w:p w14:paraId="3FEB03FB"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 xml:space="preserve">Postotak dovršenosti izmjena i dopuna urbanističkog plana </w:t>
            </w:r>
          </w:p>
        </w:tc>
        <w:tc>
          <w:tcPr>
            <w:tcW w:w="1275" w:type="dxa"/>
            <w:tcBorders>
              <w:top w:val="single" w:sz="4" w:space="0" w:color="auto"/>
              <w:left w:val="single" w:sz="4" w:space="0" w:color="auto"/>
              <w:bottom w:val="single" w:sz="4" w:space="0" w:color="auto"/>
              <w:right w:val="single" w:sz="4" w:space="0" w:color="auto"/>
            </w:tcBorders>
            <w:vAlign w:val="center"/>
          </w:tcPr>
          <w:p w14:paraId="36049B83"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69CEB692"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3A3EF1E8"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1BD31638"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0C081A05" w14:textId="77777777" w:rsidR="00184A8E" w:rsidRPr="00184A8E" w:rsidRDefault="00184A8E" w:rsidP="00184A8E">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2DDAE3B8" w14:textId="0468A236" w:rsidR="00184A8E" w:rsidRPr="00184A8E" w:rsidRDefault="003A6777" w:rsidP="00184A8E">
            <w:pPr>
              <w:autoSpaceDE w:val="0"/>
              <w:autoSpaceDN w:val="0"/>
              <w:adjustRightInd w:val="0"/>
              <w:spacing w:after="0" w:line="240" w:lineRule="auto"/>
              <w:jc w:val="both"/>
              <w:rPr>
                <w:rFonts w:ascii="Arial" w:hAnsi="Arial" w:cs="Arial"/>
                <w:sz w:val="18"/>
                <w:szCs w:val="18"/>
              </w:rPr>
            </w:pPr>
            <w:r>
              <w:rPr>
                <w:rFonts w:ascii="Arial" w:hAnsi="Arial" w:cs="Arial"/>
                <w:sz w:val="18"/>
                <w:szCs w:val="18"/>
              </w:rPr>
              <w:t>3</w:t>
            </w:r>
            <w:r w:rsidR="00184A8E" w:rsidRPr="00184A8E">
              <w:rPr>
                <w:rFonts w:ascii="Arial" w:hAnsi="Arial" w:cs="Arial"/>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5EE2A2" w14:textId="1396A6F9" w:rsidR="00184A8E" w:rsidRPr="00184A8E" w:rsidRDefault="003A6777" w:rsidP="00184A8E">
            <w:pPr>
              <w:autoSpaceDE w:val="0"/>
              <w:autoSpaceDN w:val="0"/>
              <w:adjustRightInd w:val="0"/>
              <w:spacing w:after="0" w:line="240" w:lineRule="auto"/>
              <w:jc w:val="both"/>
              <w:rPr>
                <w:rFonts w:ascii="Arial" w:hAnsi="Arial" w:cs="Arial"/>
                <w:sz w:val="18"/>
                <w:szCs w:val="18"/>
              </w:rPr>
            </w:pPr>
            <w:r>
              <w:rPr>
                <w:rFonts w:ascii="Arial" w:hAnsi="Arial" w:cs="Arial"/>
                <w:sz w:val="18"/>
                <w:szCs w:val="18"/>
              </w:rPr>
              <w:t>70</w:t>
            </w:r>
            <w:r w:rsidR="00184A8E" w:rsidRPr="00184A8E">
              <w:rPr>
                <w:rFonts w:ascii="Arial" w:hAnsi="Arial" w:cs="Arial"/>
                <w:sz w:val="18"/>
                <w:szCs w:val="18"/>
              </w:rPr>
              <w:t>%</w:t>
            </w:r>
          </w:p>
        </w:tc>
      </w:tr>
    </w:tbl>
    <w:p w14:paraId="7A24B9C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6DF9034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bCs/>
          <w:i/>
          <w:iCs/>
          <w:sz w:val="20"/>
          <w:szCs w:val="20"/>
        </w:rPr>
        <w:t>Strateška studija utjecaja na okoliš Izmjena i dopuna Urbanističkog plana uređenja Cavtat sa Zvekovicom te s tim u vezi Izmjena i dopuna Prostornog plana uređenja Općine Konavle</w:t>
      </w:r>
    </w:p>
    <w:p w14:paraId="04FEB25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3A0CE32A"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bookmarkStart w:id="493" w:name="_Hlk166067073"/>
      <w:r w:rsidRPr="00184A8E">
        <w:rPr>
          <w:rFonts w:ascii="Arial" w:eastAsia="Calibri" w:hAnsi="Arial" w:cs="Arial"/>
          <w:sz w:val="18"/>
          <w:szCs w:val="18"/>
        </w:rPr>
        <w:t>Ugovorom od 28. studenog 2022. utvrđena je izrada strateške studije utjecaja na okoliš izmjena i dopuna Urbanističkog plana uređenja „Cavtat sa Zvekovicom" za zonu ugostiteljsko turističke namjene Prahivac i s tim u vezi Ciljanih Izmjena i dopuna Prostornog plana uređenja Općine Konavle u istom postupku. Ugovor je zaključen u iznosu 107.250 kn /14.234,52 €/ s porezom na dodanu vrijednost (Ires ekologija d.o.o.). Za izvedene usluge izrade studije u 2023. godini je ispostavljen račun u iznosu 9.964,16 € (70 % ugovora iz 2022. godine). Izvor financiranja ovih rashoda je donacija pravne osobe.</w:t>
      </w:r>
    </w:p>
    <w:p w14:paraId="3AD3F84D"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Za izvedene usluge izrade studije u 2024. je ispostavljen račun u iznosu 4.270,36 € (30 % ugovora iz 2022. godine). Izvor financiranja ovih rashoda je donacija pravne osobe.</w:t>
      </w:r>
    </w:p>
    <w:bookmarkEnd w:id="493"/>
    <w:p w14:paraId="70E976C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477F14E6" w14:textId="01AB9CD0"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rPr>
        <w:t>3. A208103: Geodetski snimci i elaborati, te povezane usluge iz područja prostornog uređenja</w:t>
      </w:r>
      <w:r w:rsidRPr="00184A8E">
        <w:rPr>
          <w:rFonts w:ascii="Arial" w:eastAsia="Calibri" w:hAnsi="Arial" w:cs="Arial"/>
          <w:sz w:val="20"/>
          <w:szCs w:val="20"/>
        </w:rPr>
        <w:t xml:space="preserve">- Planirana sredstva za provođenje aktivnosti iznose </w:t>
      </w:r>
      <w:r w:rsidR="006134A1">
        <w:rPr>
          <w:rFonts w:ascii="Arial" w:eastAsia="Calibri" w:hAnsi="Arial" w:cs="Arial"/>
          <w:sz w:val="20"/>
          <w:szCs w:val="20"/>
        </w:rPr>
        <w:t>18</w:t>
      </w:r>
      <w:r w:rsidRPr="00184A8E">
        <w:rPr>
          <w:rFonts w:ascii="Arial" w:eastAsia="Calibri" w:hAnsi="Arial" w:cs="Arial"/>
          <w:sz w:val="20"/>
          <w:szCs w:val="20"/>
        </w:rPr>
        <w:t xml:space="preserve">.000 €. </w:t>
      </w:r>
      <w:r w:rsidR="006134A1">
        <w:rPr>
          <w:rFonts w:ascii="Arial" w:eastAsia="Calibri" w:hAnsi="Arial" w:cs="Arial"/>
          <w:sz w:val="20"/>
          <w:szCs w:val="20"/>
        </w:rPr>
        <w:t>Rashodi nisu izvršeni.</w:t>
      </w:r>
    </w:p>
    <w:p w14:paraId="62F108F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Planirani rashodi se odnose na:</w:t>
      </w:r>
    </w:p>
    <w:p w14:paraId="53F11FD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izradu strateške studije utjecaja na okoliš za izmjene i dopune prostornog plana uređenja Općine Konavle</w:t>
      </w:r>
    </w:p>
    <w:p w14:paraId="645EE1C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 izradu elaborata Izvješće o stanju u prostoru Općine Konavle, te druge usluge povezane s prostornim i urbanističkim planiranjem. </w:t>
      </w:r>
    </w:p>
    <w:p w14:paraId="2708805D"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Cilj aktivnosti je osiguranje odgovarajućih podloga za kvalitetnu izradu prostornih planova i drugih dokumenata prostornog uređenja, te drugih radova.</w:t>
      </w:r>
    </w:p>
    <w:p w14:paraId="0C3126F0" w14:textId="77777777" w:rsidR="00184A8E" w:rsidRPr="003A6777" w:rsidRDefault="00184A8E" w:rsidP="00184A8E">
      <w:pPr>
        <w:autoSpaceDE w:val="0"/>
        <w:autoSpaceDN w:val="0"/>
        <w:adjustRightInd w:val="0"/>
        <w:spacing w:after="0" w:line="240" w:lineRule="auto"/>
        <w:jc w:val="both"/>
        <w:rPr>
          <w:rFonts w:ascii="Arial" w:eastAsia="Calibri" w:hAnsi="Arial" w:cs="Arial"/>
          <w:sz w:val="12"/>
          <w:szCs w:val="12"/>
        </w:rPr>
      </w:pPr>
    </w:p>
    <w:p w14:paraId="54AF6CAC"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 2020. ovi rashodi su bili izvršeni u iznosu 21.750 kn /2.886,72 € i odnosili su se na troškove izrade nacrta poduzetničke zone u Čilipima (uvjet za dobivanje zemljišta od Republike Hrvatske) u iznosu 18.750 kn / 2.488,55 €/, te izradu idejnog rješenja i troškovnika poduzetničke zone u iznosu 3.000 kn /398,17 €/.</w:t>
      </w:r>
    </w:p>
    <w:p w14:paraId="68E8F81F"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4C839DD8"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Izvršeni rashodi u 2023. u iznosu 5.706,10 € su se odnosili na objavu u tiskanim medijima provedbe javnog uvida i javnog izlaganja u iznosu 206,10 €, te izradu elaborata Izvješće o stanju u prostoru Općine Konavle u iznosu 5.500 € (ugovor s Urbanizam Dubrovnik d.o.o. u iznosu 5.500 € što s PDV-om /iznosi 6.875 € zaključen u travnju 2023. godine).</w:t>
      </w:r>
    </w:p>
    <w:p w14:paraId="704B467A"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p>
    <w:p w14:paraId="12DB9C73" w14:textId="77777777" w:rsidR="00184A8E" w:rsidRPr="00184A8E" w:rsidRDefault="00184A8E" w:rsidP="006134A1">
      <w:pPr>
        <w:autoSpaceDE w:val="0"/>
        <w:autoSpaceDN w:val="0"/>
        <w:adjustRightInd w:val="0"/>
        <w:spacing w:after="0" w:line="240" w:lineRule="auto"/>
        <w:ind w:firstLine="567"/>
        <w:jc w:val="both"/>
        <w:rPr>
          <w:rFonts w:ascii="Arial" w:eastAsia="Calibri" w:hAnsi="Arial" w:cs="Arial"/>
          <w:sz w:val="20"/>
          <w:szCs w:val="20"/>
        </w:rPr>
      </w:pPr>
      <w:r w:rsidRPr="006134A1">
        <w:rPr>
          <w:rFonts w:ascii="Arial" w:eastAsia="Calibri" w:hAnsi="Arial" w:cs="Arial"/>
          <w:sz w:val="18"/>
          <w:szCs w:val="18"/>
        </w:rPr>
        <w:t>Rashodi u 2024. su izvršeni u iznosu 1.375 € i odnose se na okončanu situaciju za izradu izvješća o stanju u prostoru prema ugovoru iz 2023. godine.</w:t>
      </w:r>
    </w:p>
    <w:p w14:paraId="617AE1E5" w14:textId="77777777" w:rsidR="006134A1" w:rsidRPr="003A6777" w:rsidRDefault="006134A1" w:rsidP="00184A8E">
      <w:pPr>
        <w:autoSpaceDE w:val="0"/>
        <w:autoSpaceDN w:val="0"/>
        <w:adjustRightInd w:val="0"/>
        <w:spacing w:after="0" w:line="240" w:lineRule="auto"/>
        <w:jc w:val="both"/>
        <w:rPr>
          <w:rFonts w:ascii="Arial" w:eastAsia="Calibri" w:hAnsi="Arial" w:cs="Arial"/>
          <w:sz w:val="8"/>
          <w:szCs w:val="8"/>
        </w:rPr>
      </w:pPr>
    </w:p>
    <w:tbl>
      <w:tblPr>
        <w:tblW w:w="14170" w:type="dxa"/>
        <w:jc w:val="center"/>
        <w:tblLayout w:type="fixed"/>
        <w:tblLook w:val="04A0" w:firstRow="1" w:lastRow="0" w:firstColumn="1" w:lastColumn="0" w:noHBand="0" w:noVBand="1"/>
      </w:tblPr>
      <w:tblGrid>
        <w:gridCol w:w="2689"/>
        <w:gridCol w:w="3685"/>
        <w:gridCol w:w="992"/>
        <w:gridCol w:w="1134"/>
        <w:gridCol w:w="1134"/>
        <w:gridCol w:w="1134"/>
        <w:gridCol w:w="1134"/>
        <w:gridCol w:w="1134"/>
        <w:gridCol w:w="1134"/>
      </w:tblGrid>
      <w:tr w:rsidR="003A6777" w:rsidRPr="00184A8E" w14:paraId="038D9552" w14:textId="77777777" w:rsidTr="00A63A7F">
        <w:trPr>
          <w:trHeight w:val="743"/>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E5CB801" w14:textId="77777777" w:rsidR="003A6777" w:rsidRPr="00184A8E" w:rsidRDefault="003A6777" w:rsidP="003A6777">
            <w:pPr>
              <w:autoSpaceDE w:val="0"/>
              <w:autoSpaceDN w:val="0"/>
              <w:adjustRightInd w:val="0"/>
              <w:jc w:val="both"/>
              <w:rPr>
                <w:rFonts w:ascii="Arial" w:hAnsi="Arial" w:cs="Arial"/>
                <w:sz w:val="20"/>
                <w:szCs w:val="20"/>
              </w:rPr>
            </w:pPr>
            <w:r w:rsidRPr="00184A8E">
              <w:rPr>
                <w:rFonts w:ascii="Arial" w:hAnsi="Arial" w:cs="Arial"/>
                <w:sz w:val="20"/>
                <w:szCs w:val="20"/>
              </w:rPr>
              <w:t>Pokazatelj rezultata</w:t>
            </w:r>
          </w:p>
        </w:tc>
        <w:tc>
          <w:tcPr>
            <w:tcW w:w="368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0BDF8D" w14:textId="77777777" w:rsidR="003A6777" w:rsidRPr="00184A8E" w:rsidRDefault="003A6777" w:rsidP="003A6777">
            <w:pPr>
              <w:autoSpaceDE w:val="0"/>
              <w:autoSpaceDN w:val="0"/>
              <w:adjustRightInd w:val="0"/>
              <w:jc w:val="both"/>
              <w:rPr>
                <w:rFonts w:ascii="Arial" w:hAnsi="Arial" w:cs="Arial"/>
                <w:sz w:val="20"/>
                <w:szCs w:val="20"/>
              </w:rPr>
            </w:pPr>
            <w:r w:rsidRPr="00184A8E">
              <w:rPr>
                <w:rFonts w:ascii="Arial" w:hAnsi="Arial" w:cs="Arial"/>
                <w:sz w:val="20"/>
                <w:szCs w:val="20"/>
              </w:rPr>
              <w:t>Definicija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08BC7E4" w14:textId="77777777" w:rsidR="003A6777" w:rsidRPr="00184A8E" w:rsidRDefault="003A6777" w:rsidP="003A6777">
            <w:pPr>
              <w:autoSpaceDE w:val="0"/>
              <w:autoSpaceDN w:val="0"/>
              <w:adjustRightInd w:val="0"/>
              <w:jc w:val="both"/>
              <w:rPr>
                <w:rFonts w:ascii="Arial" w:hAnsi="Arial" w:cs="Arial"/>
                <w:sz w:val="20"/>
                <w:szCs w:val="20"/>
              </w:rPr>
            </w:pPr>
            <w:r w:rsidRPr="00184A8E">
              <w:rPr>
                <w:rFonts w:ascii="Arial" w:hAnsi="Arial" w:cs="Arial"/>
                <w:sz w:val="20"/>
                <w:szCs w:val="20"/>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D803AFC" w14:textId="77777777" w:rsidR="003A6777" w:rsidRPr="00184A8E" w:rsidRDefault="003A6777" w:rsidP="003A6777">
            <w:pPr>
              <w:autoSpaceDE w:val="0"/>
              <w:autoSpaceDN w:val="0"/>
              <w:adjustRightInd w:val="0"/>
              <w:jc w:val="both"/>
              <w:rPr>
                <w:rFonts w:ascii="Arial" w:hAnsi="Arial" w:cs="Arial"/>
                <w:sz w:val="20"/>
                <w:szCs w:val="20"/>
              </w:rPr>
            </w:pPr>
            <w:r w:rsidRPr="00184A8E">
              <w:rPr>
                <w:rFonts w:ascii="Arial" w:hAnsi="Arial" w:cs="Arial"/>
                <w:sz w:val="20"/>
                <w:szCs w:val="20"/>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B63C87D" w14:textId="60A64153" w:rsidR="003A6777" w:rsidRPr="00184A8E" w:rsidRDefault="003A6777" w:rsidP="003A6777">
            <w:pPr>
              <w:autoSpaceDE w:val="0"/>
              <w:autoSpaceDN w:val="0"/>
              <w:adjustRightInd w:val="0"/>
              <w:jc w:val="center"/>
              <w:rPr>
                <w:rFonts w:ascii="Arial" w:hAnsi="Arial" w:cs="Arial"/>
                <w:sz w:val="20"/>
                <w:szCs w:val="20"/>
              </w:rPr>
            </w:pPr>
            <w:r w:rsidRPr="00184A8E">
              <w:rPr>
                <w:rFonts w:ascii="Arial" w:hAnsi="Arial" w:cs="Arial"/>
                <w:sz w:val="20"/>
                <w:szCs w:val="20"/>
              </w:rPr>
              <w:t>Polazna vrijednost 202</w:t>
            </w:r>
            <w:r>
              <w:rPr>
                <w:rFonts w:ascii="Arial" w:hAnsi="Arial" w:cs="Arial"/>
                <w:sz w:val="20"/>
                <w:szCs w:val="20"/>
              </w:rPr>
              <w:t>4</w:t>
            </w:r>
            <w:r w:rsidRPr="00184A8E">
              <w:rPr>
                <w:rFonts w:ascii="Arial"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5709BE8" w14:textId="493166C0" w:rsidR="003A6777" w:rsidRPr="00184A8E" w:rsidRDefault="003A6777" w:rsidP="003A6777">
            <w:pPr>
              <w:autoSpaceDE w:val="0"/>
              <w:autoSpaceDN w:val="0"/>
              <w:adjustRightInd w:val="0"/>
              <w:jc w:val="center"/>
              <w:rPr>
                <w:rFonts w:ascii="Arial" w:hAnsi="Arial" w:cs="Arial"/>
                <w:sz w:val="20"/>
                <w:szCs w:val="20"/>
              </w:rPr>
            </w:pPr>
            <w:r w:rsidRPr="00184A8E">
              <w:rPr>
                <w:rFonts w:ascii="Arial" w:hAnsi="Arial" w:cs="Arial"/>
                <w:sz w:val="20"/>
                <w:szCs w:val="20"/>
              </w:rPr>
              <w:t>Ciljana vrijednost 2025.</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E0F2F50" w14:textId="17924AD6" w:rsidR="003A6777" w:rsidRPr="00184A8E" w:rsidRDefault="003A6777" w:rsidP="003A6777">
            <w:pPr>
              <w:autoSpaceDE w:val="0"/>
              <w:autoSpaceDN w:val="0"/>
              <w:adjustRightInd w:val="0"/>
              <w:jc w:val="center"/>
              <w:rPr>
                <w:rFonts w:ascii="Arial" w:hAnsi="Arial" w:cs="Arial"/>
                <w:sz w:val="20"/>
                <w:szCs w:val="20"/>
              </w:rPr>
            </w:pPr>
            <w:r>
              <w:rPr>
                <w:rFonts w:ascii="Arial" w:hAnsi="Arial" w:cs="Arial"/>
                <w:sz w:val="20"/>
                <w:szCs w:val="20"/>
              </w:rPr>
              <w:t>Izvršeno 2025.</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39AF476" w14:textId="77777777" w:rsidR="003A6777" w:rsidRPr="00184A8E" w:rsidRDefault="003A6777" w:rsidP="003A6777">
            <w:pPr>
              <w:autoSpaceDE w:val="0"/>
              <w:autoSpaceDN w:val="0"/>
              <w:adjustRightInd w:val="0"/>
              <w:jc w:val="center"/>
              <w:rPr>
                <w:rFonts w:ascii="Arial" w:hAnsi="Arial" w:cs="Arial"/>
                <w:sz w:val="20"/>
                <w:szCs w:val="20"/>
              </w:rPr>
            </w:pPr>
            <w:r w:rsidRPr="00184A8E">
              <w:rPr>
                <w:rFonts w:ascii="Arial" w:hAnsi="Arial" w:cs="Arial"/>
                <w:sz w:val="20"/>
                <w:szCs w:val="20"/>
              </w:rPr>
              <w:t>Ciljana vrijednost 2026</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A12823" w14:textId="77777777" w:rsidR="003A6777" w:rsidRPr="00184A8E" w:rsidRDefault="003A6777" w:rsidP="003A6777">
            <w:pPr>
              <w:autoSpaceDE w:val="0"/>
              <w:autoSpaceDN w:val="0"/>
              <w:adjustRightInd w:val="0"/>
              <w:jc w:val="center"/>
              <w:rPr>
                <w:rFonts w:ascii="Arial" w:hAnsi="Arial" w:cs="Arial"/>
                <w:sz w:val="20"/>
                <w:szCs w:val="20"/>
              </w:rPr>
            </w:pPr>
            <w:r w:rsidRPr="00184A8E">
              <w:rPr>
                <w:rFonts w:ascii="Arial" w:hAnsi="Arial" w:cs="Arial"/>
                <w:sz w:val="20"/>
                <w:szCs w:val="20"/>
              </w:rPr>
              <w:t>Ciljana vrijednost 2027.</w:t>
            </w:r>
          </w:p>
        </w:tc>
      </w:tr>
      <w:tr w:rsidR="003A6777" w:rsidRPr="00184A8E" w14:paraId="22A7185D" w14:textId="77777777" w:rsidTr="00A63A7F">
        <w:trPr>
          <w:trHeight w:val="274"/>
          <w:jc w:val="center"/>
        </w:trPr>
        <w:tc>
          <w:tcPr>
            <w:tcW w:w="2689" w:type="dxa"/>
            <w:tcBorders>
              <w:top w:val="single" w:sz="4" w:space="0" w:color="auto"/>
              <w:left w:val="single" w:sz="4" w:space="0" w:color="auto"/>
              <w:bottom w:val="single" w:sz="4" w:space="0" w:color="auto"/>
              <w:right w:val="single" w:sz="4" w:space="0" w:color="auto"/>
            </w:tcBorders>
            <w:vAlign w:val="center"/>
          </w:tcPr>
          <w:p w14:paraId="69A60CA8" w14:textId="77777777" w:rsidR="003A6777" w:rsidRPr="00184A8E" w:rsidRDefault="003A6777" w:rsidP="003A6777">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 xml:space="preserve">Izvršavanje geodetskih usluga u svezi izrade planova </w:t>
            </w:r>
          </w:p>
        </w:tc>
        <w:tc>
          <w:tcPr>
            <w:tcW w:w="3685" w:type="dxa"/>
            <w:tcBorders>
              <w:top w:val="single" w:sz="4" w:space="0" w:color="auto"/>
              <w:left w:val="single" w:sz="4" w:space="0" w:color="auto"/>
              <w:bottom w:val="single" w:sz="4" w:space="0" w:color="auto"/>
              <w:right w:val="single" w:sz="4" w:space="0" w:color="auto"/>
            </w:tcBorders>
            <w:vAlign w:val="center"/>
          </w:tcPr>
          <w:p w14:paraId="224066C5" w14:textId="77777777" w:rsidR="003A6777" w:rsidRPr="00184A8E" w:rsidRDefault="003A6777" w:rsidP="003A6777">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 xml:space="preserve">Pravovremeno podmirivanje obveza </w:t>
            </w:r>
          </w:p>
        </w:tc>
        <w:tc>
          <w:tcPr>
            <w:tcW w:w="992" w:type="dxa"/>
            <w:tcBorders>
              <w:top w:val="single" w:sz="4" w:space="0" w:color="auto"/>
              <w:left w:val="single" w:sz="4" w:space="0" w:color="auto"/>
              <w:bottom w:val="single" w:sz="4" w:space="0" w:color="auto"/>
              <w:right w:val="single" w:sz="4" w:space="0" w:color="auto"/>
            </w:tcBorders>
            <w:vAlign w:val="center"/>
          </w:tcPr>
          <w:p w14:paraId="1BB34FF6" w14:textId="77777777" w:rsidR="003A6777" w:rsidRPr="00184A8E" w:rsidRDefault="003A6777" w:rsidP="003A6777">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90F5347" w14:textId="77777777" w:rsidR="003A6777" w:rsidRPr="00184A8E" w:rsidRDefault="003A6777" w:rsidP="003A6777">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6BFAAC7F" w14:textId="77777777" w:rsidR="003A6777" w:rsidRPr="00184A8E" w:rsidRDefault="003A6777" w:rsidP="003A6777">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A5FA7C9" w14:textId="073FB922" w:rsidR="003A6777" w:rsidRPr="00184A8E" w:rsidRDefault="003A6777" w:rsidP="003A6777">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AB87EF3" w14:textId="624DA186" w:rsidR="003A6777" w:rsidRPr="00184A8E" w:rsidRDefault="003A6777" w:rsidP="003A6777">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686C7EC" w14:textId="77777777" w:rsidR="003A6777" w:rsidRPr="00184A8E" w:rsidRDefault="003A6777" w:rsidP="003A6777">
            <w:pPr>
              <w:autoSpaceDE w:val="0"/>
              <w:autoSpaceDN w:val="0"/>
              <w:adjustRightInd w:val="0"/>
              <w:spacing w:after="0" w:line="240" w:lineRule="auto"/>
              <w:jc w:val="both"/>
              <w:rPr>
                <w:rFonts w:ascii="Arial" w:hAnsi="Arial" w:cs="Arial"/>
                <w:sz w:val="18"/>
                <w:szCs w:val="18"/>
              </w:rPr>
            </w:pPr>
            <w:r w:rsidRPr="00184A8E">
              <w:rPr>
                <w:rFonts w:ascii="Arial" w:hAnsi="Arial" w:cs="Arial"/>
                <w:sz w:val="18"/>
                <w:szCs w:val="1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BB0A497" w14:textId="5E89277E" w:rsidR="003A6777" w:rsidRPr="00184A8E" w:rsidRDefault="003A6777" w:rsidP="003A6777">
            <w:pPr>
              <w:autoSpaceDE w:val="0"/>
              <w:autoSpaceDN w:val="0"/>
              <w:adjustRightInd w:val="0"/>
              <w:jc w:val="both"/>
              <w:rPr>
                <w:rFonts w:ascii="Arial" w:hAnsi="Arial" w:cs="Arial"/>
                <w:sz w:val="18"/>
                <w:szCs w:val="18"/>
              </w:rPr>
            </w:pPr>
            <w:r w:rsidRPr="00184A8E">
              <w:rPr>
                <w:rFonts w:ascii="Arial" w:hAnsi="Arial" w:cs="Arial"/>
                <w:sz w:val="18"/>
                <w:szCs w:val="18"/>
              </w:rPr>
              <w:t>100%</w:t>
            </w:r>
          </w:p>
        </w:tc>
      </w:tr>
    </w:tbl>
    <w:p w14:paraId="6321DC86" w14:textId="77777777" w:rsidR="00184A8E" w:rsidRPr="00184A8E" w:rsidRDefault="00184A8E" w:rsidP="00184A8E">
      <w:pPr>
        <w:rPr>
          <w:rFonts w:ascii="Arial" w:eastAsia="Calibri" w:hAnsi="Arial" w:cs="Arial"/>
          <w:sz w:val="20"/>
          <w:szCs w:val="20"/>
        </w:rPr>
      </w:pPr>
      <w:r w:rsidRPr="00184A8E">
        <w:rPr>
          <w:rFonts w:ascii="Arial" w:eastAsia="Calibri" w:hAnsi="Arial" w:cs="Arial"/>
          <w:sz w:val="20"/>
          <w:szCs w:val="20"/>
        </w:rPr>
        <w:br w:type="page"/>
      </w:r>
    </w:p>
    <w:p w14:paraId="2515FF63"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494" w:name="_Toc435014682"/>
      <w:bookmarkStart w:id="495" w:name="_Toc200628524"/>
      <w:bookmarkStart w:id="496" w:name="_Toc232981456"/>
      <w:r w:rsidRPr="00184A8E">
        <w:rPr>
          <w:rFonts w:ascii="Times New Roman" w:eastAsia="Calibri" w:hAnsi="Times New Roman" w:cs="Times New Roman"/>
          <w:b/>
          <w:sz w:val="24"/>
          <w:szCs w:val="20"/>
          <w:lang w:eastAsia="en-US"/>
        </w:rPr>
        <w:lastRenderedPageBreak/>
        <w:t>Program (2091): Održavanje komunalne infrastrukture</w:t>
      </w:r>
      <w:bookmarkEnd w:id="494"/>
      <w:bookmarkEnd w:id="495"/>
      <w:bookmarkEnd w:id="496"/>
    </w:p>
    <w:p w14:paraId="57F3325C" w14:textId="77777777" w:rsidR="00184A8E" w:rsidRPr="00184A8E" w:rsidRDefault="00184A8E" w:rsidP="00184A8E">
      <w:pPr>
        <w:spacing w:after="0" w:line="240" w:lineRule="auto"/>
        <w:rPr>
          <w:rFonts w:ascii="Arial" w:eastAsia="Times New Roman"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9"/>
        <w:gridCol w:w="13121"/>
      </w:tblGrid>
      <w:tr w:rsidR="00184A8E" w:rsidRPr="00184A8E" w14:paraId="12FCE878" w14:textId="77777777" w:rsidTr="00410A4B">
        <w:tc>
          <w:tcPr>
            <w:tcW w:w="1439" w:type="dxa"/>
          </w:tcPr>
          <w:p w14:paraId="27DFD282" w14:textId="77777777" w:rsidR="00184A8E" w:rsidRPr="00184A8E" w:rsidRDefault="00184A8E" w:rsidP="00184A8E">
            <w:pPr>
              <w:spacing w:after="0" w:line="240" w:lineRule="auto"/>
              <w:rPr>
                <w:rFonts w:ascii="Arial" w:eastAsia="Calibri" w:hAnsi="Arial" w:cs="Arial"/>
                <w:sz w:val="18"/>
                <w:szCs w:val="18"/>
                <w:lang w:eastAsia="en-US"/>
              </w:rPr>
            </w:pPr>
            <w:r w:rsidRPr="00184A8E">
              <w:rPr>
                <w:rFonts w:ascii="Arial" w:eastAsia="Calibri" w:hAnsi="Arial" w:cs="Arial"/>
                <w:sz w:val="18"/>
                <w:szCs w:val="18"/>
                <w:lang w:eastAsia="en-US"/>
              </w:rPr>
              <w:t>Zakon o komunalnom gospodarstvu</w:t>
            </w:r>
          </w:p>
        </w:tc>
        <w:tc>
          <w:tcPr>
            <w:tcW w:w="13121" w:type="dxa"/>
          </w:tcPr>
          <w:p w14:paraId="509B8BF5"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Člankom 64. Zakona o komunalnom gospodarstvu (Narodne novine 68/18, 110/18, 32/20, 145/24) propisana je obveza jedinice lokalne samouprave u svezi održavanja komunalne infrastrukture. </w:t>
            </w:r>
          </w:p>
          <w:p w14:paraId="7A5521D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2EFF841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Predstavničko tijelo jedinice lokalne samouprave temeljem članka 72. Zakona o komunalnom gospodarstvu (Narodne novine 68/18, 110/18, 32/20, 145/24), za svaku kalendarsku godinu, u skladu s predvidivim sredstvima i izvorima financiranja donosi Program održavanja komunalne infrastrukture koji se objavljuje u službenom glasilu jedinice lokalne samouprave.</w:t>
            </w:r>
          </w:p>
          <w:p w14:paraId="1B7BBB6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74D03B3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Člankom 75. Zakona o komunalnom gospodarstvu propisano je da se održavanje komunalne infrastrukture financira sredstvima iz komunalnog doprinosa, komunalne naknade, iz cijene komunalne usluge, naknade za koncesiju, iz proračuna lokalne jedinice, fondove Europske unije, ugovora, naknada i drugih izvora propisanih posebnim zakonom, kao i donacija. Dakle, sukladno odredbama ovog novog Zakona, komunalni doprinos se, osim za građenje komunalne infrastrukture može još koristiti i za održavanje komunalne infrastrukture (što se do sada nije moglo).</w:t>
            </w:r>
          </w:p>
          <w:p w14:paraId="737CE26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19059A0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Komunalna naknada može se koristiti i za financiranje građenja i održavanja objekata predškolskog, školskog, zdravstvenog i socijalnog sadržaja, javnih građevina sportske i kulturne namjene te poboljšanja energetske učinkovitosti zgrada u vlasništvu Općine, ako se time ne dovodi u pitanje mogućnost održavanja i građenja komunalne infrastrukture, a sve pod uvjetom da je isto uređeno odlukom predstavničkog tijela.</w:t>
            </w:r>
          </w:p>
          <w:p w14:paraId="06F1C81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04960F3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Nadalje, člankom 17. stavkom 6. podstavkom 2. Zakona o financiranju vodnoga gospodarstva (Narodne novine 153/09, 99/11, 56/13, 154/14, 119/15, 120/16, 127/17, 66/19, 36/24) propisano je da jedinici lokalne samouprave za poslove naplate naknade za uređenje voda pripada naknada od 10%, a iznos Hrvatskim vodama uplaćene naknade za uređenje voda. Člankom 21. Zakona utvrđuje se da se sredstva iz prethodnog navedenog članka koriste za gradnju i održavanje građevina oborinske odvodnje u vlasništvu jedinica lokalne samouprave, stoga je i taj prihod naveden kao izvor financiranja održavanja oborinske odvodnje.</w:t>
            </w:r>
          </w:p>
          <w:p w14:paraId="0BD3A52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517384A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Pod obavljanjem komunalnih djelatnosti održavanja komunalne infrastrukture, sukladno odredbama Zakona o komunalnom gospodarstvu podrazumijevaju se:</w:t>
            </w:r>
          </w:p>
          <w:p w14:paraId="57B529C6"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w:t>
            </w:r>
            <w:r w:rsidRPr="00184A8E">
              <w:rPr>
                <w:rFonts w:ascii="Arial" w:eastAsia="Calibri" w:hAnsi="Arial" w:cs="Arial"/>
                <w:sz w:val="20"/>
                <w:szCs w:val="20"/>
                <w:lang w:eastAsia="en-US"/>
              </w:rPr>
              <w:tab/>
              <w:t xml:space="preserve">održavanja nerazvrstanih cesta </w:t>
            </w:r>
          </w:p>
          <w:p w14:paraId="5C107DB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w:t>
            </w:r>
            <w:r w:rsidRPr="00184A8E">
              <w:rPr>
                <w:rFonts w:ascii="Arial" w:eastAsia="Calibri" w:hAnsi="Arial" w:cs="Arial"/>
                <w:sz w:val="20"/>
                <w:szCs w:val="20"/>
                <w:lang w:eastAsia="en-US"/>
              </w:rPr>
              <w:tab/>
              <w:t>održavanja javnih površina na kojima nije dopušten promet motornih vozila</w:t>
            </w:r>
          </w:p>
          <w:p w14:paraId="7FB4188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w:t>
            </w:r>
            <w:r w:rsidRPr="00184A8E">
              <w:rPr>
                <w:rFonts w:ascii="Arial" w:eastAsia="Calibri" w:hAnsi="Arial" w:cs="Arial"/>
                <w:sz w:val="20"/>
                <w:szCs w:val="20"/>
                <w:lang w:eastAsia="en-US"/>
              </w:rPr>
              <w:tab/>
              <w:t>održavanje građevina javne odvodnje oborinskih voda,</w:t>
            </w:r>
          </w:p>
          <w:p w14:paraId="3B1D78E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w:t>
            </w:r>
            <w:r w:rsidRPr="00184A8E">
              <w:rPr>
                <w:rFonts w:ascii="Arial" w:eastAsia="Calibri" w:hAnsi="Arial" w:cs="Arial"/>
                <w:sz w:val="20"/>
                <w:szCs w:val="20"/>
                <w:lang w:eastAsia="en-US"/>
              </w:rPr>
              <w:tab/>
              <w:t>održavanja javnih zelenih površina,</w:t>
            </w:r>
          </w:p>
          <w:p w14:paraId="74B37CE5"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w:t>
            </w:r>
            <w:r w:rsidRPr="00184A8E">
              <w:rPr>
                <w:rFonts w:ascii="Arial" w:eastAsia="Calibri" w:hAnsi="Arial" w:cs="Arial"/>
                <w:sz w:val="20"/>
                <w:szCs w:val="20"/>
                <w:lang w:eastAsia="en-US"/>
              </w:rPr>
              <w:tab/>
              <w:t>održavanje građevina, uređaja i predmeta javne namjene,</w:t>
            </w:r>
          </w:p>
          <w:p w14:paraId="24CB54A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w:t>
            </w:r>
            <w:r w:rsidRPr="00184A8E">
              <w:rPr>
                <w:rFonts w:ascii="Arial" w:eastAsia="Calibri" w:hAnsi="Arial" w:cs="Arial"/>
                <w:sz w:val="20"/>
                <w:szCs w:val="20"/>
                <w:lang w:eastAsia="en-US"/>
              </w:rPr>
              <w:tab/>
              <w:t>održavanja groblja i krematorija unutar groblja,</w:t>
            </w:r>
          </w:p>
          <w:p w14:paraId="277A6CA5"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w:t>
            </w:r>
            <w:r w:rsidRPr="00184A8E">
              <w:rPr>
                <w:rFonts w:ascii="Arial" w:eastAsia="Calibri" w:hAnsi="Arial" w:cs="Arial"/>
                <w:sz w:val="20"/>
                <w:szCs w:val="20"/>
                <w:lang w:eastAsia="en-US"/>
              </w:rPr>
              <w:tab/>
              <w:t>održavanja čistoće javnih površina,</w:t>
            </w:r>
          </w:p>
          <w:p w14:paraId="1EA6CCB6"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w:t>
            </w:r>
            <w:r w:rsidRPr="00184A8E">
              <w:rPr>
                <w:rFonts w:ascii="Arial" w:eastAsia="Calibri" w:hAnsi="Arial" w:cs="Arial"/>
                <w:sz w:val="20"/>
                <w:szCs w:val="20"/>
                <w:lang w:eastAsia="en-US"/>
              </w:rPr>
              <w:tab/>
              <w:t>održavanje javne rasvjete.</w:t>
            </w:r>
          </w:p>
          <w:p w14:paraId="000822A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5325636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Uslužne komunalne djelatnosti su:</w:t>
            </w:r>
          </w:p>
          <w:p w14:paraId="5C62B23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usluge parkiranja na uređenim javnim površinama</w:t>
            </w:r>
          </w:p>
          <w:p w14:paraId="515AF87D"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usluge javnih tržnica na malo</w:t>
            </w:r>
          </w:p>
          <w:p w14:paraId="29FBA276"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usluge ukopa unutar groblja</w:t>
            </w:r>
          </w:p>
          <w:p w14:paraId="3594548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komunalni linijski prijevoz putnika</w:t>
            </w:r>
          </w:p>
          <w:p w14:paraId="167C43D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obavljanje dimnjačarskih poslova.</w:t>
            </w:r>
          </w:p>
          <w:p w14:paraId="384480A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37085AD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Odredbom članka 26. Zakona utvrđeno je pod kojim uvjetima predstavničko tijelo jedinice lokalne samouprave može odlukom odrediti i drugu djelatnost koja se smatra komunalnom djelatnosti:</w:t>
            </w:r>
          </w:p>
          <w:p w14:paraId="5690B6B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ako se takvom djelatnošću kontinuirano zadovoljavaju potrebe od životnog značenja za stanovništvo na području jedinice lokalne samouprave,</w:t>
            </w:r>
          </w:p>
          <w:p w14:paraId="08BEDD4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ako po svom sadržaju i značenju djelatnost predstavlja nezamjenjiv uvjet života i rada u naselju,</w:t>
            </w:r>
          </w:p>
          <w:p w14:paraId="1D3ADEB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ako je pretežno uslužnog karaktera i</w:t>
            </w:r>
          </w:p>
          <w:p w14:paraId="767F76C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ako se obavlja prema načelima komunalnog gospodarstva. Odredbom članka 48. stavka 2. Zakona je propisano da predstavničko tijelo jedinice lokalne samouprave odlukom određuje komunalne djelatnosti koje se na njezinu području mogu obavljati na temelju ugovora, a koje se financiraju isključivo iz njezina proračuna.</w:t>
            </w:r>
          </w:p>
        </w:tc>
      </w:tr>
      <w:tr w:rsidR="00184A8E" w:rsidRPr="00184A8E" w14:paraId="7688EEB0" w14:textId="77777777" w:rsidTr="00410A4B">
        <w:tc>
          <w:tcPr>
            <w:tcW w:w="1439" w:type="dxa"/>
          </w:tcPr>
          <w:p w14:paraId="0B6F095B" w14:textId="77777777" w:rsidR="00184A8E" w:rsidRPr="00184A8E" w:rsidRDefault="00184A8E" w:rsidP="00184A8E">
            <w:pPr>
              <w:spacing w:after="0" w:line="240" w:lineRule="auto"/>
              <w:rPr>
                <w:rFonts w:ascii="Arial" w:eastAsia="Calibri" w:hAnsi="Arial" w:cs="Arial"/>
                <w:sz w:val="18"/>
                <w:szCs w:val="18"/>
                <w:lang w:eastAsia="en-US"/>
              </w:rPr>
            </w:pPr>
            <w:r w:rsidRPr="00184A8E">
              <w:rPr>
                <w:rFonts w:ascii="Arial" w:eastAsia="Calibri" w:hAnsi="Arial" w:cs="Arial"/>
                <w:sz w:val="20"/>
                <w:szCs w:val="20"/>
                <w:lang w:eastAsia="en-US"/>
              </w:rPr>
              <w:lastRenderedPageBreak/>
              <w:t>OPIS PROGRAMA:</w:t>
            </w:r>
          </w:p>
        </w:tc>
        <w:tc>
          <w:tcPr>
            <w:tcW w:w="13121" w:type="dxa"/>
          </w:tcPr>
          <w:p w14:paraId="3DC69FA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Programom održavanja komunalne infrastrukture utvrđuju se opis i opseg poslova održavanja objekata i uređaja komunalne infrastrukture s procjenom pojedinačnih troškova, po djelatnostima, te iskaz financijskih sredstava potrebnih za ostvarivanje Programa i naznakom izvora financiranja.</w:t>
            </w:r>
          </w:p>
          <w:p w14:paraId="07E7C155"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Važno načelo komunalnog gospodarstva je da se komunalne djelatnosti obavljaju kao javna služba, obzirom da su prijeko potrebne za zadovoljenje općih društvenih potreba, te je Upravni odjel i za ovu je godinu osigurao trajno i kvalitetno obavljanje istih.</w:t>
            </w:r>
          </w:p>
          <w:p w14:paraId="60F0906D"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Pokazatelji uspješnosti provedbe programa očituju se u smanjenju opasnih mjesta na prometnicama, boljoj regulaciji prometa, zadovoljstvu građana i turista doživljajem Općine u posebnim prilikama i slično.</w:t>
            </w:r>
          </w:p>
          <w:p w14:paraId="07E1886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Stupanj sređenosti stanja komunalne infrastrukture – dužina uređenih cesta, stupanj čistoće javnih površina, stupanj uređenosti zelenih površina, funkcionalnost javne rasvjete i slično.</w:t>
            </w:r>
          </w:p>
          <w:p w14:paraId="723BADD6"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Nepredviđeni rashodi i rizici prilikom realizacije ovog programa mogli bi biti ekonomski i prirodni, i to u vidu elementarnih nepogoda koje bi mogle dovesti do značajnijih šteta, ali i eventualni pad ekonomskog standarda koji bi doveo do smanjenja izvora sredstava potrebnih za realizaciju programa.</w:t>
            </w:r>
          </w:p>
        </w:tc>
      </w:tr>
      <w:tr w:rsidR="00184A8E" w:rsidRPr="00184A8E" w14:paraId="2F0DD64D" w14:textId="77777777" w:rsidTr="00410A4B">
        <w:tc>
          <w:tcPr>
            <w:tcW w:w="1439" w:type="dxa"/>
          </w:tcPr>
          <w:p w14:paraId="7E39D131" w14:textId="77777777" w:rsidR="00184A8E" w:rsidRPr="00184A8E" w:rsidRDefault="00184A8E" w:rsidP="00184A8E">
            <w:pPr>
              <w:spacing w:after="0" w:line="240" w:lineRule="auto"/>
              <w:rPr>
                <w:rFonts w:ascii="Arial" w:eastAsia="Calibri" w:hAnsi="Arial" w:cs="Arial"/>
                <w:sz w:val="20"/>
                <w:szCs w:val="20"/>
                <w:lang w:eastAsia="en-US"/>
              </w:rPr>
            </w:pPr>
            <w:r w:rsidRPr="00184A8E">
              <w:rPr>
                <w:rFonts w:ascii="Arial" w:eastAsia="Calibri" w:hAnsi="Arial" w:cs="Arial"/>
                <w:sz w:val="20"/>
                <w:szCs w:val="20"/>
                <w:lang w:eastAsia="en-US"/>
              </w:rPr>
              <w:t>ZAKONSKE I DRUGE PRAVNE OSNOVE PROGRAMA:</w:t>
            </w:r>
          </w:p>
        </w:tc>
        <w:tc>
          <w:tcPr>
            <w:tcW w:w="13121" w:type="dxa"/>
          </w:tcPr>
          <w:p w14:paraId="0B1B3D5D"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Times New Roman" w:hAnsi="Arial" w:cs="Arial"/>
                <w:sz w:val="20"/>
                <w:szCs w:val="20"/>
              </w:rPr>
              <w:t>Zakon o lokalnoj i područnoj (regionalnoj) samoupravi (NN 33/01,60/01,129/05, 109/07,125/08, 36/09, 150/11, 144/12, 19/13, 137/15, 123/17, 98/19, 144/20), Zakon o komunalnom gospodarstvu (Narodne novine 68/18, 110/18, 32/20, 145/24), Zakon o gospodarenju otpadom (NN 84/21, 142/23), Uredba o gospodarenju komunalnim otpadom (NN 50/17, 84/19, 14/20 – rješenje USRH – prestala važiti stupanjem na snagu Pravilnika o gospodarenju otpadom NN 106/22), Statut Općine i drugi akti</w:t>
            </w:r>
          </w:p>
        </w:tc>
      </w:tr>
      <w:tr w:rsidR="00184A8E" w:rsidRPr="00184A8E" w14:paraId="0E6E83C5" w14:textId="77777777" w:rsidTr="00410A4B">
        <w:tc>
          <w:tcPr>
            <w:tcW w:w="1439" w:type="dxa"/>
          </w:tcPr>
          <w:p w14:paraId="40E326AF" w14:textId="77777777" w:rsidR="00184A8E" w:rsidRPr="00184A8E" w:rsidRDefault="00184A8E" w:rsidP="00184A8E">
            <w:pPr>
              <w:spacing w:after="0" w:line="240" w:lineRule="auto"/>
              <w:rPr>
                <w:rFonts w:ascii="Arial" w:eastAsia="Calibri" w:hAnsi="Arial" w:cs="Arial"/>
                <w:sz w:val="20"/>
                <w:szCs w:val="20"/>
                <w:lang w:eastAsia="en-US"/>
              </w:rPr>
            </w:pPr>
            <w:r w:rsidRPr="00184A8E">
              <w:rPr>
                <w:rFonts w:ascii="Arial" w:eastAsia="Calibri" w:hAnsi="Arial" w:cs="Arial"/>
                <w:caps/>
                <w:sz w:val="20"/>
                <w:szCs w:val="20"/>
                <w:lang w:eastAsia="en-US"/>
              </w:rPr>
              <w:t>Opći cilj:</w:t>
            </w:r>
          </w:p>
        </w:tc>
        <w:tc>
          <w:tcPr>
            <w:tcW w:w="13121" w:type="dxa"/>
            <w:vAlign w:val="bottom"/>
          </w:tcPr>
          <w:p w14:paraId="654FD1D4"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 xml:space="preserve">Cilj programa: </w:t>
            </w:r>
          </w:p>
          <w:p w14:paraId="42318C14"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w:t>
            </w:r>
            <w:r w:rsidRPr="00184A8E">
              <w:rPr>
                <w:rFonts w:ascii="Arial" w:eastAsia="Times New Roman" w:hAnsi="Arial" w:cs="Arial"/>
                <w:sz w:val="20"/>
                <w:szCs w:val="20"/>
                <w:lang w:eastAsia="en-US"/>
              </w:rPr>
              <w:tab/>
              <w:t>Redovno provođenje aktivnosti vezanih uz redovitog održavanja objekata i uređaja komunalne i vodne komunalne infrastrukture u ispravnom i funkcionalnom stanju,</w:t>
            </w:r>
          </w:p>
          <w:p w14:paraId="01D7C1D9"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w:t>
            </w:r>
            <w:r w:rsidRPr="00184A8E">
              <w:rPr>
                <w:rFonts w:ascii="Arial" w:eastAsia="Times New Roman" w:hAnsi="Arial" w:cs="Arial"/>
                <w:sz w:val="20"/>
                <w:szCs w:val="20"/>
                <w:lang w:eastAsia="en-US"/>
              </w:rPr>
              <w:tab/>
              <w:t>Osiguravanje građanima trajnog i kvalitetnog obavljanja komunalnih djelatnosti kao djelatnosti od javnog interesa, kao i osigurati provođenje drugih aktivnosti radi zaštite zdravlja i sigurnosti građana.</w:t>
            </w:r>
          </w:p>
          <w:p w14:paraId="4D34487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Times New Roman" w:hAnsi="Arial" w:cs="Arial"/>
                <w:sz w:val="20"/>
                <w:szCs w:val="20"/>
                <w:lang w:eastAsia="en-US"/>
              </w:rPr>
              <w:t>-</w:t>
            </w:r>
            <w:r w:rsidRPr="00184A8E">
              <w:rPr>
                <w:rFonts w:ascii="Arial" w:eastAsia="Times New Roman" w:hAnsi="Arial" w:cs="Arial"/>
                <w:sz w:val="20"/>
                <w:szCs w:val="20"/>
                <w:lang w:eastAsia="en-US"/>
              </w:rPr>
              <w:tab/>
            </w:r>
            <w:r w:rsidRPr="00184A8E">
              <w:rPr>
                <w:rFonts w:ascii="Arial" w:eastAsia="Calibri" w:hAnsi="Arial" w:cs="Arial"/>
                <w:sz w:val="20"/>
                <w:szCs w:val="20"/>
                <w:lang w:eastAsia="en-US"/>
              </w:rPr>
              <w:t>Unaprijediti obavljanje komunalnih djelatnosti, odnosno podići razinu kvalitete komunalne infrastrukture / komunalnih usluga</w:t>
            </w:r>
          </w:p>
          <w:p w14:paraId="69CDFF7C"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         Održavanje</w:t>
            </w:r>
            <w:r w:rsidRPr="00184A8E">
              <w:rPr>
                <w:rFonts w:ascii="Arial" w:eastAsia="Calibri" w:hAnsi="Arial" w:cs="Arial"/>
                <w:sz w:val="20"/>
                <w:szCs w:val="20"/>
                <w:lang w:eastAsia="en-US"/>
              </w:rPr>
              <w:t xml:space="preserve"> komunalnog reda iz nadležnosti komunalnog redarstva, upravljanje i nadzor nad cestovnim prometom iz nadležnosti prometnog redarstva odnosno obavljanje poslova, praćenje i rješavanje problematike iz oblasti komunalnog gospodarstva</w:t>
            </w:r>
          </w:p>
          <w:p w14:paraId="1ECF369A"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w:t>
            </w:r>
            <w:r w:rsidRPr="00184A8E">
              <w:rPr>
                <w:rFonts w:ascii="Arial" w:eastAsia="Times New Roman" w:hAnsi="Arial" w:cs="Arial"/>
                <w:sz w:val="20"/>
                <w:szCs w:val="20"/>
                <w:lang w:eastAsia="en-US"/>
              </w:rPr>
              <w:tab/>
              <w:t>Zadržavanje postojeće ili podizanje razine postignute komunalne opremljenosti područja komunalnom infrastrukturom.</w:t>
            </w:r>
          </w:p>
        </w:tc>
      </w:tr>
      <w:tr w:rsidR="00184A8E" w:rsidRPr="00184A8E" w14:paraId="613E1C26" w14:textId="77777777" w:rsidTr="00410A4B">
        <w:tc>
          <w:tcPr>
            <w:tcW w:w="1439" w:type="dxa"/>
            <w:vAlign w:val="bottom"/>
          </w:tcPr>
          <w:p w14:paraId="40C1DD88" w14:textId="77777777" w:rsidR="00184A8E" w:rsidRPr="00184A8E" w:rsidRDefault="00184A8E" w:rsidP="00184A8E">
            <w:pPr>
              <w:spacing w:after="0" w:line="240" w:lineRule="auto"/>
              <w:rPr>
                <w:rFonts w:ascii="Arial" w:eastAsia="Calibri" w:hAnsi="Arial" w:cs="Arial"/>
                <w:caps/>
                <w:sz w:val="20"/>
                <w:szCs w:val="20"/>
                <w:lang w:eastAsia="en-US"/>
              </w:rPr>
            </w:pPr>
            <w:r w:rsidRPr="00184A8E">
              <w:rPr>
                <w:rFonts w:ascii="Arial" w:eastAsia="Calibri" w:hAnsi="Arial" w:cs="Arial"/>
                <w:sz w:val="20"/>
                <w:szCs w:val="20"/>
                <w:lang w:eastAsia="en-US"/>
              </w:rPr>
              <w:t>POSEBNI CILJEVI</w:t>
            </w:r>
          </w:p>
        </w:tc>
        <w:tc>
          <w:tcPr>
            <w:tcW w:w="13121" w:type="dxa"/>
            <w:vAlign w:val="bottom"/>
          </w:tcPr>
          <w:p w14:paraId="685C7063" w14:textId="77777777" w:rsidR="00184A8E" w:rsidRPr="00184A8E" w:rsidRDefault="00184A8E">
            <w:pPr>
              <w:numPr>
                <w:ilvl w:val="0"/>
                <w:numId w:val="3"/>
              </w:num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održati standard redovnog održavanja komunalne infrastrukture.</w:t>
            </w:r>
          </w:p>
          <w:p w14:paraId="3D5078D5"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 – Trajno i kvalitetno obavljanje komunalne djelatnosti po načelima održivog razvoja.</w:t>
            </w:r>
          </w:p>
          <w:p w14:paraId="5338485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u w:val="single"/>
                <w:lang w:eastAsia="en-US"/>
              </w:rPr>
              <w:t>Cilj</w:t>
            </w:r>
            <w:r w:rsidRPr="00184A8E">
              <w:rPr>
                <w:rFonts w:ascii="Arial" w:eastAsia="Calibri" w:hAnsi="Arial" w:cs="Arial"/>
                <w:sz w:val="20"/>
                <w:szCs w:val="20"/>
                <w:lang w:eastAsia="en-US"/>
              </w:rPr>
              <w:t xml:space="preserve"> provo</w:t>
            </w:r>
            <w:r w:rsidRPr="00184A8E">
              <w:rPr>
                <w:rFonts w:ascii="Arial" w:eastAsia="TimesNewRoman" w:hAnsi="Arial" w:cs="Arial"/>
                <w:sz w:val="20"/>
                <w:szCs w:val="20"/>
                <w:lang w:eastAsia="en-US"/>
              </w:rPr>
              <w:t>đ</w:t>
            </w:r>
            <w:r w:rsidRPr="00184A8E">
              <w:rPr>
                <w:rFonts w:ascii="Arial" w:eastAsia="Calibri" w:hAnsi="Arial" w:cs="Arial"/>
                <w:sz w:val="20"/>
                <w:szCs w:val="20"/>
                <w:lang w:eastAsia="en-US"/>
              </w:rPr>
              <w:t>enja navedenih aktivnosti u sklopu programa je održavanje postignutog standarda komunalne infrastrukture i komunalnih djelatnosti: prometnica, vertikalne i horizontalne signalizacije, javne rasvjete, tržnica na malo, groblja, pove</w:t>
            </w:r>
            <w:r w:rsidRPr="00184A8E">
              <w:rPr>
                <w:rFonts w:ascii="Arial" w:eastAsia="TimesNewRoman" w:hAnsi="Arial" w:cs="Arial"/>
                <w:sz w:val="20"/>
                <w:szCs w:val="20"/>
                <w:lang w:eastAsia="en-US"/>
              </w:rPr>
              <w:t>ć</w:t>
            </w:r>
            <w:r w:rsidRPr="00184A8E">
              <w:rPr>
                <w:rFonts w:ascii="Arial" w:eastAsia="Calibri" w:hAnsi="Arial" w:cs="Arial"/>
                <w:sz w:val="20"/>
                <w:szCs w:val="20"/>
                <w:lang w:eastAsia="en-US"/>
              </w:rPr>
              <w:t>anje kvalitete pokrivenosti urbanom opremom, održavanja javnih površina na području Općine, zaštita zelenila, itd.</w:t>
            </w:r>
          </w:p>
          <w:p w14:paraId="313B0319" w14:textId="77777777" w:rsidR="00184A8E" w:rsidRPr="00184A8E" w:rsidRDefault="00184A8E" w:rsidP="00184A8E">
            <w:pPr>
              <w:spacing w:after="0" w:line="240" w:lineRule="auto"/>
              <w:jc w:val="both"/>
              <w:rPr>
                <w:rFonts w:ascii="Arial" w:eastAsia="Calibri" w:hAnsi="Arial" w:cs="Arial"/>
                <w:sz w:val="20"/>
                <w:szCs w:val="20"/>
                <w:lang w:eastAsia="en-US"/>
              </w:rPr>
            </w:pPr>
          </w:p>
          <w:p w14:paraId="3FF2AE59"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lastRenderedPageBreak/>
              <w:t xml:space="preserve">Pored navedenog, najvažniji ciljevi Programa su </w:t>
            </w:r>
          </w:p>
          <w:p w14:paraId="5C17651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 izgradnja objekata značajnih za razvoj Općine, </w:t>
            </w:r>
          </w:p>
          <w:p w14:paraId="088F397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 racionalno i svrsishodno održavanje postojećih objekata u vlasništvu Općine, </w:t>
            </w:r>
          </w:p>
          <w:p w14:paraId="799C76F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 optimalno održavanje komunalne infrastrukture i zadržavanje visokog nivoa uređenosti, te </w:t>
            </w:r>
          </w:p>
          <w:p w14:paraId="028C37A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izgled Općine u posebnim prigodama koji je od zna</w:t>
            </w:r>
            <w:r w:rsidRPr="00184A8E">
              <w:rPr>
                <w:rFonts w:ascii="Arial" w:eastAsia="TimesNewRoman" w:hAnsi="Arial" w:cs="Arial"/>
                <w:sz w:val="20"/>
                <w:szCs w:val="20"/>
                <w:lang w:eastAsia="en-US"/>
              </w:rPr>
              <w:t>č</w:t>
            </w:r>
            <w:r w:rsidRPr="00184A8E">
              <w:rPr>
                <w:rFonts w:ascii="Arial" w:eastAsia="Calibri" w:hAnsi="Arial" w:cs="Arial"/>
                <w:sz w:val="20"/>
                <w:szCs w:val="20"/>
                <w:lang w:eastAsia="en-US"/>
              </w:rPr>
              <w:t>aja za turizam.</w:t>
            </w:r>
          </w:p>
          <w:p w14:paraId="583EA59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7663F2C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Cilj </w:t>
            </w:r>
            <w:r w:rsidRPr="00184A8E">
              <w:rPr>
                <w:rFonts w:ascii="Arial" w:eastAsia="Calibri" w:hAnsi="Arial" w:cs="Arial"/>
                <w:b/>
                <w:sz w:val="20"/>
                <w:szCs w:val="20"/>
                <w:lang w:eastAsia="en-US"/>
              </w:rPr>
              <w:t>održavanja javnih površina</w:t>
            </w:r>
            <w:r w:rsidRPr="00184A8E">
              <w:rPr>
                <w:rFonts w:ascii="Arial" w:eastAsia="Calibri" w:hAnsi="Arial" w:cs="Arial"/>
                <w:sz w:val="20"/>
                <w:szCs w:val="20"/>
                <w:lang w:eastAsia="en-US"/>
              </w:rPr>
              <w:t xml:space="preserve"> je održavati sve javne površine na području Općine na visokoj razini kvalitete i standarda kako bi ostali privlačna turistička destinacija te ugodno mjesto za stanovanje i rad. Kvaliteta održavanja treba biti na razini jednog od najuređenijih turističkih mjesta u Republici Hrvatskoj.</w:t>
            </w:r>
          </w:p>
          <w:p w14:paraId="73662B2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3192C6CC"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Aktivnošću </w:t>
            </w:r>
            <w:r w:rsidRPr="00184A8E">
              <w:rPr>
                <w:rFonts w:ascii="Arial" w:eastAsia="Calibri" w:hAnsi="Arial" w:cs="Arial"/>
                <w:b/>
                <w:sz w:val="20"/>
                <w:szCs w:val="20"/>
                <w:lang w:eastAsia="en-US"/>
              </w:rPr>
              <w:t>održavanja nerazvrstanih cesta</w:t>
            </w:r>
            <w:r w:rsidRPr="00184A8E">
              <w:rPr>
                <w:rFonts w:ascii="Arial" w:eastAsia="Calibri" w:hAnsi="Arial" w:cs="Arial"/>
                <w:sz w:val="20"/>
                <w:szCs w:val="20"/>
                <w:lang w:eastAsia="en-US"/>
              </w:rPr>
              <w:t xml:space="preserve"> obuhvaćena je regulacija prometa, održavanje cesta, te održavanje nerazvrstanih cesta, asfaltiranje, uređenje šetnica, ulica, sanacija potpornih zidova te geodetska izmjera nerazvrstanih cesta. POSEBNI CILJEVI je kontinuirano unapređenje prometnica na području Općine Konavle, bolja povezanost naselja, osiguranje boljih uvjeta za eventualna proširenja i rekonstrukcije, sa svrhom osiguravanja sigurnosti sudionika u prometu, te promoviranja Općine Konavle kao turističke destinacije.</w:t>
            </w:r>
          </w:p>
          <w:p w14:paraId="66E1402C" w14:textId="77777777" w:rsidR="00184A8E" w:rsidRPr="00184A8E" w:rsidRDefault="00184A8E" w:rsidP="00184A8E">
            <w:pPr>
              <w:spacing w:after="0" w:line="240" w:lineRule="auto"/>
              <w:jc w:val="both"/>
              <w:rPr>
                <w:rFonts w:ascii="Arial" w:eastAsia="Calibri" w:hAnsi="Arial" w:cs="Arial"/>
                <w:sz w:val="20"/>
                <w:szCs w:val="20"/>
                <w:lang w:eastAsia="en-US"/>
              </w:rPr>
            </w:pPr>
          </w:p>
          <w:p w14:paraId="6A67BD6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Groblja su komunalni objekti u vlasništvu jedinice lokalne samouprave na čijem području se nalaze. Cilj aktivnosti </w:t>
            </w:r>
            <w:r w:rsidRPr="00184A8E">
              <w:rPr>
                <w:rFonts w:ascii="Arial" w:eastAsia="Calibri" w:hAnsi="Arial" w:cs="Arial"/>
                <w:b/>
                <w:sz w:val="20"/>
                <w:szCs w:val="20"/>
                <w:lang w:eastAsia="en-US"/>
              </w:rPr>
              <w:t>održavanja groblja</w:t>
            </w:r>
            <w:r w:rsidRPr="00184A8E">
              <w:rPr>
                <w:rFonts w:ascii="Arial" w:eastAsia="Calibri" w:hAnsi="Arial" w:cs="Arial"/>
                <w:sz w:val="20"/>
                <w:szCs w:val="20"/>
                <w:lang w:eastAsia="en-US"/>
              </w:rPr>
              <w:t xml:space="preserve"> (unutar ovog programa) je redovno održavanje groblja te održavanje spomenika i spomen obilježja na području Općine.</w:t>
            </w:r>
          </w:p>
          <w:p w14:paraId="28DB494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7F970F97"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Aktivnošću </w:t>
            </w:r>
            <w:r w:rsidRPr="00184A8E">
              <w:rPr>
                <w:rFonts w:ascii="Arial" w:eastAsia="Calibri" w:hAnsi="Arial" w:cs="Arial"/>
                <w:b/>
                <w:sz w:val="20"/>
                <w:szCs w:val="20"/>
                <w:lang w:eastAsia="en-US"/>
              </w:rPr>
              <w:t>održavanja javne rasvjete</w:t>
            </w:r>
            <w:r w:rsidRPr="00184A8E">
              <w:rPr>
                <w:rFonts w:ascii="Arial" w:eastAsia="Calibri" w:hAnsi="Arial" w:cs="Arial"/>
                <w:sz w:val="20"/>
                <w:szCs w:val="20"/>
                <w:lang w:eastAsia="en-US"/>
              </w:rPr>
              <w:t xml:space="preserve"> je uključena potrošnja električne energije za javnu rasvjetu, materijali i dijelovi za  dekorativnu rasvjetu, održavanje javne rasvjete, elektroenergetska suglasnost. </w:t>
            </w:r>
          </w:p>
        </w:tc>
      </w:tr>
    </w:tbl>
    <w:p w14:paraId="26CAC73B" w14:textId="77777777" w:rsidR="00184A8E" w:rsidRPr="00184A8E" w:rsidRDefault="00184A8E" w:rsidP="00184A8E">
      <w:pPr>
        <w:spacing w:after="0" w:line="240" w:lineRule="auto"/>
        <w:jc w:val="both"/>
        <w:rPr>
          <w:rFonts w:ascii="Arial" w:eastAsia="Calibri" w:hAnsi="Arial" w:cs="Arial"/>
          <w:sz w:val="20"/>
          <w:szCs w:val="20"/>
          <w:lang w:eastAsia="en-US"/>
        </w:rPr>
      </w:pPr>
    </w:p>
    <w:p w14:paraId="4C49EBB7"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4AE497AF" w14:textId="77777777" w:rsidR="00184A8E" w:rsidRPr="00184A8E" w:rsidRDefault="00184A8E" w:rsidP="00184A8E">
      <w:pPr>
        <w:spacing w:after="0" w:line="240" w:lineRule="auto"/>
        <w:rPr>
          <w:rFonts w:ascii="Arial" w:eastAsia="Calibri" w:hAnsi="Arial" w:cs="Arial"/>
          <w:sz w:val="20"/>
          <w:szCs w:val="20"/>
        </w:rPr>
      </w:pPr>
    </w:p>
    <w:p w14:paraId="3E9BE400" w14:textId="3663B54F"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7D869C27" w14:textId="77777777" w:rsidR="00184A8E" w:rsidRPr="00184A8E" w:rsidRDefault="00184A8E" w:rsidP="00184A8E">
      <w:pPr>
        <w:spacing w:after="0" w:line="240" w:lineRule="auto"/>
        <w:rPr>
          <w:rFonts w:ascii="Arial" w:eastAsia="Calibri" w:hAnsi="Arial" w:cs="Arial"/>
          <w:sz w:val="20"/>
          <w:szCs w:val="20"/>
        </w:rPr>
      </w:pPr>
    </w:p>
    <w:p w14:paraId="3021814D" w14:textId="77777777" w:rsidR="00184A8E" w:rsidRPr="00184A8E" w:rsidRDefault="00184A8E" w:rsidP="00184A8E">
      <w:pPr>
        <w:spacing w:after="0" w:line="240" w:lineRule="auto"/>
        <w:rPr>
          <w:rFonts w:ascii="Arial" w:eastAsia="Calibri" w:hAnsi="Arial" w:cs="Arial"/>
          <w:sz w:val="20"/>
          <w:szCs w:val="20"/>
        </w:rPr>
      </w:pPr>
    </w:p>
    <w:p w14:paraId="106A27A4" w14:textId="77777777" w:rsidR="00184A8E" w:rsidRPr="00184A8E" w:rsidRDefault="00184A8E" w:rsidP="00184A8E">
      <w:pPr>
        <w:spacing w:after="0" w:line="240" w:lineRule="auto"/>
        <w:rPr>
          <w:rFonts w:ascii="Arial" w:eastAsia="Calibri" w:hAnsi="Arial" w:cs="Arial"/>
          <w:sz w:val="20"/>
          <w:szCs w:val="20"/>
        </w:rPr>
      </w:pPr>
    </w:p>
    <w:p w14:paraId="537F68B0" w14:textId="77777777" w:rsidR="00184A8E" w:rsidRPr="00184A8E" w:rsidRDefault="00184A8E" w:rsidP="00184A8E">
      <w:pPr>
        <w:spacing w:after="0" w:line="240" w:lineRule="auto"/>
        <w:rPr>
          <w:rFonts w:ascii="Arial" w:eastAsia="Calibri" w:hAnsi="Arial" w:cs="Arial"/>
          <w:sz w:val="20"/>
          <w:szCs w:val="20"/>
        </w:rPr>
      </w:pPr>
    </w:p>
    <w:p w14:paraId="59E004EC" w14:textId="77777777" w:rsidR="00184A8E" w:rsidRPr="00184A8E" w:rsidRDefault="00184A8E" w:rsidP="00184A8E">
      <w:pPr>
        <w:spacing w:after="0" w:line="240" w:lineRule="auto"/>
        <w:rPr>
          <w:rFonts w:ascii="Arial" w:eastAsia="Calibri" w:hAnsi="Arial" w:cs="Arial"/>
          <w:sz w:val="20"/>
          <w:szCs w:val="20"/>
        </w:rPr>
      </w:pPr>
    </w:p>
    <w:p w14:paraId="0229BB8A" w14:textId="77777777" w:rsidR="00184A8E" w:rsidRPr="00184A8E" w:rsidRDefault="00184A8E" w:rsidP="00184A8E">
      <w:pPr>
        <w:spacing w:after="0" w:line="240" w:lineRule="auto"/>
        <w:rPr>
          <w:rFonts w:ascii="Arial" w:eastAsia="Calibri" w:hAnsi="Arial" w:cs="Arial"/>
          <w:sz w:val="20"/>
          <w:szCs w:val="20"/>
        </w:rPr>
      </w:pPr>
    </w:p>
    <w:p w14:paraId="160C3C88" w14:textId="77777777" w:rsidR="00184A8E" w:rsidRPr="00184A8E" w:rsidRDefault="00184A8E" w:rsidP="00184A8E">
      <w:pPr>
        <w:spacing w:after="0" w:line="240" w:lineRule="auto"/>
        <w:rPr>
          <w:rFonts w:ascii="Arial" w:eastAsia="Calibri" w:hAnsi="Arial" w:cs="Arial"/>
          <w:sz w:val="20"/>
          <w:szCs w:val="20"/>
        </w:rPr>
      </w:pPr>
    </w:p>
    <w:p w14:paraId="6E7AE501" w14:textId="132CA5AB" w:rsidR="00184A8E" w:rsidRPr="00184A8E" w:rsidRDefault="00184A8E" w:rsidP="00184A8E">
      <w:pPr>
        <w:spacing w:after="0" w:line="240" w:lineRule="auto"/>
        <w:rPr>
          <w:rFonts w:ascii="Arial" w:eastAsia="Calibri" w:hAnsi="Arial" w:cs="Arial"/>
          <w:sz w:val="20"/>
          <w:szCs w:val="20"/>
        </w:rPr>
      </w:pPr>
    </w:p>
    <w:p w14:paraId="7BB03FA9" w14:textId="77777777" w:rsidR="00184A8E" w:rsidRPr="00184A8E" w:rsidRDefault="00184A8E" w:rsidP="00184A8E">
      <w:pPr>
        <w:spacing w:after="0" w:line="240" w:lineRule="auto"/>
        <w:rPr>
          <w:rFonts w:ascii="Arial" w:eastAsia="Calibri" w:hAnsi="Arial" w:cs="Arial"/>
          <w:sz w:val="20"/>
          <w:szCs w:val="20"/>
        </w:rPr>
      </w:pPr>
    </w:p>
    <w:p w14:paraId="3387309B" w14:textId="77777777" w:rsidR="00184A8E" w:rsidRPr="00184A8E" w:rsidRDefault="00184A8E" w:rsidP="00184A8E">
      <w:pPr>
        <w:spacing w:after="0" w:line="240" w:lineRule="auto"/>
        <w:rPr>
          <w:rFonts w:ascii="Arial" w:eastAsia="Calibri" w:hAnsi="Arial" w:cs="Arial"/>
          <w:sz w:val="20"/>
          <w:szCs w:val="20"/>
        </w:rPr>
      </w:pPr>
    </w:p>
    <w:p w14:paraId="646067AC" w14:textId="77777777" w:rsidR="00184A8E" w:rsidRPr="00184A8E" w:rsidRDefault="00184A8E" w:rsidP="00184A8E">
      <w:pPr>
        <w:spacing w:after="0" w:line="240" w:lineRule="auto"/>
        <w:rPr>
          <w:rFonts w:ascii="Arial" w:eastAsia="Calibri" w:hAnsi="Arial" w:cs="Arial"/>
          <w:sz w:val="20"/>
          <w:szCs w:val="20"/>
        </w:rPr>
      </w:pPr>
    </w:p>
    <w:p w14:paraId="6176289E" w14:textId="77777777" w:rsidR="00184A8E" w:rsidRPr="00184A8E" w:rsidRDefault="00184A8E" w:rsidP="00184A8E">
      <w:pPr>
        <w:spacing w:after="0" w:line="240" w:lineRule="auto"/>
        <w:rPr>
          <w:rFonts w:ascii="Arial" w:eastAsia="Calibri" w:hAnsi="Arial" w:cs="Arial"/>
          <w:sz w:val="20"/>
          <w:szCs w:val="20"/>
        </w:rPr>
      </w:pPr>
    </w:p>
    <w:p w14:paraId="0D012E43" w14:textId="00785334" w:rsidR="00184A8E" w:rsidRDefault="00595736" w:rsidP="00184A8E">
      <w:pPr>
        <w:spacing w:after="0" w:line="240" w:lineRule="auto"/>
        <w:rPr>
          <w:rFonts w:ascii="Arial" w:eastAsia="Calibri" w:hAnsi="Arial" w:cs="Arial"/>
          <w:sz w:val="20"/>
          <w:szCs w:val="20"/>
        </w:rPr>
      </w:pPr>
      <w:r w:rsidRPr="00595736">
        <w:rPr>
          <w:noProof/>
        </w:rPr>
        <w:lastRenderedPageBreak/>
        <w:drawing>
          <wp:inline distT="0" distB="0" distL="0" distR="0" wp14:anchorId="289C1E63" wp14:editId="23198B16">
            <wp:extent cx="9251950" cy="5424805"/>
            <wp:effectExtent l="0" t="0" r="6350" b="4445"/>
            <wp:docPr id="547857570"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9251950" cy="5424805"/>
                    </a:xfrm>
                    <a:prstGeom prst="rect">
                      <a:avLst/>
                    </a:prstGeom>
                    <a:noFill/>
                    <a:ln>
                      <a:noFill/>
                    </a:ln>
                  </pic:spPr>
                </pic:pic>
              </a:graphicData>
            </a:graphic>
          </wp:inline>
        </w:drawing>
      </w:r>
    </w:p>
    <w:p w14:paraId="6FB1F08C" w14:textId="77777777" w:rsidR="00595736" w:rsidRDefault="00595736" w:rsidP="00184A8E">
      <w:pPr>
        <w:spacing w:after="0" w:line="240" w:lineRule="auto"/>
        <w:rPr>
          <w:rFonts w:ascii="Arial" w:eastAsia="Calibri" w:hAnsi="Arial" w:cs="Arial"/>
          <w:sz w:val="20"/>
          <w:szCs w:val="20"/>
        </w:rPr>
      </w:pPr>
    </w:p>
    <w:p w14:paraId="44619B90" w14:textId="77777777" w:rsidR="00595736" w:rsidRDefault="00595736" w:rsidP="00184A8E">
      <w:pPr>
        <w:spacing w:after="0" w:line="240" w:lineRule="auto"/>
        <w:rPr>
          <w:rFonts w:ascii="Arial" w:eastAsia="Calibri" w:hAnsi="Arial" w:cs="Arial"/>
          <w:sz w:val="20"/>
          <w:szCs w:val="20"/>
        </w:rPr>
      </w:pPr>
    </w:p>
    <w:p w14:paraId="775C39F3" w14:textId="2AE4F9B7" w:rsidR="00595736" w:rsidRPr="00184A8E" w:rsidRDefault="00595736" w:rsidP="00184A8E">
      <w:pPr>
        <w:spacing w:after="0" w:line="240" w:lineRule="auto"/>
        <w:rPr>
          <w:rFonts w:ascii="Arial" w:eastAsia="Calibri" w:hAnsi="Arial" w:cs="Arial"/>
          <w:sz w:val="20"/>
          <w:szCs w:val="20"/>
        </w:rPr>
      </w:pPr>
      <w:r w:rsidRPr="00595736">
        <w:rPr>
          <w:noProof/>
        </w:rPr>
        <w:lastRenderedPageBreak/>
        <w:drawing>
          <wp:inline distT="0" distB="0" distL="0" distR="0" wp14:anchorId="39CAE765" wp14:editId="1544990B">
            <wp:extent cx="9251950" cy="2931795"/>
            <wp:effectExtent l="0" t="0" r="6350" b="1905"/>
            <wp:docPr id="208793798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251950" cy="2931795"/>
                    </a:xfrm>
                    <a:prstGeom prst="rect">
                      <a:avLst/>
                    </a:prstGeom>
                    <a:noFill/>
                    <a:ln>
                      <a:noFill/>
                    </a:ln>
                  </pic:spPr>
                </pic:pic>
              </a:graphicData>
            </a:graphic>
          </wp:inline>
        </w:drawing>
      </w:r>
    </w:p>
    <w:p w14:paraId="0158734C" w14:textId="77777777" w:rsidR="00184A8E" w:rsidRPr="00184A8E" w:rsidRDefault="00184A8E">
      <w:pPr>
        <w:numPr>
          <w:ilvl w:val="0"/>
          <w:numId w:val="6"/>
        </w:numPr>
        <w:spacing w:after="0" w:line="240" w:lineRule="auto"/>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 xml:space="preserve">Nazivi aktivnosti su prilagođeni novom Zakonu o komunalnom gospodarstvu (Narodne novine 68/18, 110/18, 32/20, 145/24). Dio troškova je premješten u nove aktivnosti radi detaljnijeg opisa pojedinih komunalnih djelatnosti u novom Zakonu, a dio aktivnosti je premješten u nove programe kao što je 2098 Program gospodarenja otpadom (djelatnosti sakupljanja i odvoza komunalnog otpada, sprečavanja i sanacije nepropisnih odlagališta otpada i sl.), 2099 Program sanitarno veterinarskih aktivnosti i zaštita životinja. </w:t>
      </w:r>
    </w:p>
    <w:p w14:paraId="394BCB81" w14:textId="77777777" w:rsidR="00184A8E" w:rsidRPr="00184A8E" w:rsidRDefault="00184A8E">
      <w:pPr>
        <w:numPr>
          <w:ilvl w:val="0"/>
          <w:numId w:val="6"/>
        </w:numPr>
        <w:spacing w:after="0" w:line="240" w:lineRule="auto"/>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 iskazani iznosi rashoda koji su ranijih godina bili prikazani kroz neki drugi program, odnosno drugu aktivnost (iznosi se ne povećavaju izvršenje tekućeg programa jer nisu bili niti izvršeni kroz ovaj program)</w:t>
      </w:r>
    </w:p>
    <w:p w14:paraId="2BCAE3BD" w14:textId="77777777" w:rsidR="00184A8E" w:rsidRPr="00184A8E" w:rsidRDefault="00184A8E">
      <w:pPr>
        <w:numPr>
          <w:ilvl w:val="0"/>
          <w:numId w:val="6"/>
        </w:numPr>
        <w:spacing w:after="0" w:line="240" w:lineRule="auto"/>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Aktivnost A209127 od 2021. se iskazuje kroz program 2109 Razvoj i sigurnost prometa, A210901</w:t>
      </w:r>
    </w:p>
    <w:p w14:paraId="218FA0BB" w14:textId="77777777" w:rsidR="00184A8E" w:rsidRPr="00184A8E" w:rsidRDefault="00184A8E" w:rsidP="00184A8E">
      <w:pPr>
        <w:spacing w:after="0" w:line="240" w:lineRule="auto"/>
        <w:jc w:val="both"/>
        <w:rPr>
          <w:rFonts w:ascii="Arial" w:eastAsia="Calibri" w:hAnsi="Arial" w:cs="Arial"/>
          <w:sz w:val="20"/>
          <w:szCs w:val="20"/>
          <w:lang w:eastAsia="en-US"/>
        </w:rPr>
      </w:pPr>
    </w:p>
    <w:p w14:paraId="1E15DBF6"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47A41E6B"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7E2FD598" w14:textId="77777777" w:rsidR="00184A8E" w:rsidRPr="00184A8E" w:rsidRDefault="00184A8E" w:rsidP="00184A8E">
      <w:pPr>
        <w:spacing w:after="0" w:line="240" w:lineRule="auto"/>
        <w:jc w:val="both"/>
        <w:rPr>
          <w:rFonts w:ascii="Arial" w:eastAsia="Calibri" w:hAnsi="Arial" w:cs="Arial"/>
          <w:sz w:val="20"/>
          <w:szCs w:val="20"/>
          <w:lang w:eastAsia="en-US"/>
        </w:rPr>
      </w:pPr>
    </w:p>
    <w:p w14:paraId="0C22298C"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15A0A71E" w14:textId="77777777"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Izvršenje je u okviru očekivanih vrijednosti.</w:t>
      </w:r>
    </w:p>
    <w:p w14:paraId="4F37F9C5"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3175EC89" w14:textId="4DF88D49" w:rsidR="00184A8E" w:rsidRPr="00184A8E" w:rsidRDefault="00595736" w:rsidP="00184A8E">
      <w:pPr>
        <w:autoSpaceDE w:val="0"/>
        <w:autoSpaceDN w:val="0"/>
        <w:adjustRightInd w:val="0"/>
        <w:spacing w:after="0" w:line="240" w:lineRule="auto"/>
        <w:jc w:val="both"/>
        <w:rPr>
          <w:rFonts w:ascii="Arial" w:eastAsia="Calibri" w:hAnsi="Arial" w:cs="Arial"/>
          <w:sz w:val="20"/>
          <w:szCs w:val="20"/>
          <w:lang w:eastAsia="en-US"/>
        </w:rPr>
      </w:pPr>
      <w:r w:rsidRPr="00595736">
        <w:rPr>
          <w:rFonts w:ascii="Arial" w:eastAsia="Calibri" w:hAnsi="Arial" w:cs="Arial"/>
          <w:sz w:val="20"/>
          <w:szCs w:val="20"/>
          <w:lang w:eastAsia="en-US"/>
        </w:rPr>
        <w:t>Planirana sredstva za ostvarenje programa 2091 iznose 2</w:t>
      </w:r>
      <w:r w:rsidR="00937C54">
        <w:rPr>
          <w:rFonts w:ascii="Arial" w:eastAsia="Calibri" w:hAnsi="Arial" w:cs="Arial"/>
          <w:sz w:val="20"/>
          <w:szCs w:val="20"/>
          <w:lang w:eastAsia="en-US"/>
        </w:rPr>
        <w:t>.</w:t>
      </w:r>
      <w:r>
        <w:rPr>
          <w:rFonts w:ascii="Arial" w:eastAsia="Calibri" w:hAnsi="Arial" w:cs="Arial"/>
          <w:sz w:val="20"/>
          <w:szCs w:val="20"/>
          <w:lang w:eastAsia="en-US"/>
        </w:rPr>
        <w:t>782.080</w:t>
      </w:r>
      <w:r w:rsidRPr="00595736">
        <w:rPr>
          <w:rFonts w:ascii="Arial" w:eastAsia="Calibri" w:hAnsi="Arial" w:cs="Arial"/>
          <w:sz w:val="20"/>
          <w:szCs w:val="20"/>
          <w:lang w:eastAsia="en-US"/>
        </w:rPr>
        <w:t xml:space="preserve"> € za 2025. godinu, te 2.759.300 € za 2026 godinu i 2.767.550 € za 2027. godinu.</w:t>
      </w:r>
      <w:r>
        <w:rPr>
          <w:rFonts w:ascii="Arial" w:eastAsia="Calibri" w:hAnsi="Arial" w:cs="Arial"/>
          <w:sz w:val="20"/>
          <w:szCs w:val="20"/>
          <w:lang w:eastAsia="en-US"/>
        </w:rPr>
        <w:t xml:space="preserve"> </w:t>
      </w:r>
    </w:p>
    <w:p w14:paraId="140001D0" w14:textId="09998D4D"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rPr>
        <w:t>Rashodi za 202</w:t>
      </w:r>
      <w:r w:rsidR="00595736">
        <w:rPr>
          <w:rFonts w:ascii="Arial" w:eastAsia="Calibri" w:hAnsi="Arial" w:cs="Arial"/>
          <w:sz w:val="20"/>
          <w:szCs w:val="20"/>
        </w:rPr>
        <w:t>5</w:t>
      </w:r>
      <w:r w:rsidRPr="00184A8E">
        <w:rPr>
          <w:rFonts w:ascii="Arial" w:eastAsia="Calibri" w:hAnsi="Arial" w:cs="Arial"/>
          <w:sz w:val="20"/>
          <w:szCs w:val="20"/>
        </w:rPr>
        <w:t xml:space="preserve">. su izvršeni u iznosu </w:t>
      </w:r>
      <w:r w:rsidR="00595736">
        <w:rPr>
          <w:rFonts w:ascii="Arial" w:eastAsia="Calibri" w:hAnsi="Arial" w:cs="Arial"/>
          <w:sz w:val="20"/>
          <w:szCs w:val="20"/>
        </w:rPr>
        <w:t>2.364.205,36</w:t>
      </w:r>
      <w:r w:rsidRPr="00184A8E">
        <w:rPr>
          <w:rFonts w:ascii="Arial" w:eastAsia="Calibri" w:hAnsi="Arial" w:cs="Arial"/>
          <w:sz w:val="20"/>
          <w:szCs w:val="20"/>
        </w:rPr>
        <w:t xml:space="preserve"> € ili </w:t>
      </w:r>
      <w:r w:rsidR="00595736">
        <w:rPr>
          <w:rFonts w:ascii="Arial" w:eastAsia="Calibri" w:hAnsi="Arial" w:cs="Arial"/>
          <w:sz w:val="20"/>
          <w:szCs w:val="20"/>
        </w:rPr>
        <w:t>85</w:t>
      </w:r>
      <w:r w:rsidRPr="00184A8E">
        <w:rPr>
          <w:rFonts w:ascii="Arial" w:eastAsia="Calibri" w:hAnsi="Arial" w:cs="Arial"/>
          <w:sz w:val="20"/>
          <w:szCs w:val="20"/>
        </w:rPr>
        <w:t>%.</w:t>
      </w:r>
    </w:p>
    <w:p w14:paraId="5F524B5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732082E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414B746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06BE213D"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470DD802"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lastRenderedPageBreak/>
        <w:t>Obrazloženje aktivnosti / projekata i pokazatelji uspješnosti</w:t>
      </w:r>
    </w:p>
    <w:p w14:paraId="79249D10" w14:textId="77777777" w:rsidR="00184A8E" w:rsidRPr="00184A8E" w:rsidRDefault="00184A8E" w:rsidP="00184A8E">
      <w:pPr>
        <w:spacing w:after="0" w:line="240" w:lineRule="auto"/>
        <w:jc w:val="both"/>
        <w:rPr>
          <w:rFonts w:ascii="Arial" w:eastAsia="Calibri" w:hAnsi="Arial" w:cs="Arial"/>
          <w:sz w:val="20"/>
          <w:szCs w:val="20"/>
          <w:lang w:eastAsia="en-US"/>
        </w:rPr>
      </w:pPr>
    </w:p>
    <w:p w14:paraId="0CAA74F0"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Unutar programa izvode se slijedeće aktivnosti i projekti:</w:t>
      </w:r>
    </w:p>
    <w:p w14:paraId="0254D410" w14:textId="77777777" w:rsidR="00184A8E" w:rsidRPr="00184A8E" w:rsidRDefault="00184A8E" w:rsidP="00184A8E">
      <w:pPr>
        <w:spacing w:after="0" w:line="240" w:lineRule="auto"/>
        <w:rPr>
          <w:rFonts w:ascii="Arial" w:eastAsia="Calibri" w:hAnsi="Arial" w:cs="Arial"/>
          <w:sz w:val="20"/>
          <w:szCs w:val="20"/>
        </w:rPr>
      </w:pPr>
    </w:p>
    <w:p w14:paraId="0B58181F" w14:textId="1D9F3F82" w:rsidR="00184A8E" w:rsidRPr="00184A8E" w:rsidRDefault="00184A8E" w:rsidP="00184A8E">
      <w:pPr>
        <w:spacing w:after="0" w:line="240" w:lineRule="auto"/>
        <w:jc w:val="both"/>
        <w:rPr>
          <w:rFonts w:ascii="Arial" w:eastAsia="Times New Roman" w:hAnsi="Arial" w:cs="Arial"/>
          <w:sz w:val="20"/>
          <w:szCs w:val="20"/>
          <w:lang w:eastAsia="en-US"/>
        </w:rPr>
      </w:pPr>
      <w:bookmarkStart w:id="497" w:name="_Hlk135148477"/>
      <w:r w:rsidRPr="00184A8E">
        <w:rPr>
          <w:rFonts w:ascii="Arial" w:eastAsia="Calibri" w:hAnsi="Arial" w:cs="Arial"/>
          <w:b/>
          <w:sz w:val="20"/>
          <w:szCs w:val="20"/>
          <w:lang w:eastAsia="en-US"/>
        </w:rPr>
        <w:t xml:space="preserve">1. A209101: Održavanje čistoće javnih površina </w:t>
      </w:r>
      <w:r w:rsidRPr="00184A8E">
        <w:rPr>
          <w:rFonts w:ascii="Arial" w:eastAsia="Calibri" w:hAnsi="Arial" w:cs="Arial"/>
          <w:sz w:val="20"/>
          <w:szCs w:val="20"/>
          <w:lang w:eastAsia="en-US"/>
        </w:rPr>
        <w:t>- u sklopu aktivnosti planiraju se rashodi za usluge čišćenja javnih površina koje obavlja društvo u vlasništvu Općine,</w:t>
      </w:r>
      <w:r w:rsidRPr="00184A8E">
        <w:rPr>
          <w:rFonts w:ascii="Arial" w:eastAsia="Calibri" w:hAnsi="Arial" w:cs="Arial"/>
          <w:b/>
          <w:sz w:val="20"/>
          <w:szCs w:val="20"/>
          <w:lang w:eastAsia="en-US"/>
        </w:rPr>
        <w:t xml:space="preserve"> Čistoća i zelenilo Konavle d.o.o.</w:t>
      </w:r>
      <w:r w:rsidRPr="00184A8E">
        <w:rPr>
          <w:rFonts w:ascii="Arial" w:eastAsia="Calibri" w:hAnsi="Arial" w:cs="Arial"/>
          <w:sz w:val="20"/>
          <w:szCs w:val="20"/>
          <w:lang w:eastAsia="en-US"/>
        </w:rPr>
        <w:t xml:space="preserve"> Planirana sredstva za provođenje aktivnosti iznose </w:t>
      </w:r>
      <w:r w:rsidR="00D07FE5">
        <w:rPr>
          <w:rFonts w:ascii="Arial" w:eastAsia="Calibri" w:hAnsi="Arial" w:cs="Arial"/>
          <w:sz w:val="20"/>
          <w:szCs w:val="20"/>
          <w:lang w:eastAsia="en-US"/>
        </w:rPr>
        <w:t>250</w:t>
      </w:r>
      <w:r w:rsidRPr="00184A8E">
        <w:rPr>
          <w:rFonts w:ascii="Arial" w:eastAsia="Calibri" w:hAnsi="Arial" w:cs="Arial"/>
          <w:sz w:val="20"/>
          <w:szCs w:val="20"/>
          <w:lang w:eastAsia="en-US"/>
        </w:rPr>
        <w:t xml:space="preserve">.000 €. </w:t>
      </w:r>
      <w:r w:rsidRPr="00184A8E">
        <w:rPr>
          <w:rFonts w:ascii="Arial" w:eastAsia="Times New Roman" w:hAnsi="Arial" w:cs="Arial"/>
          <w:sz w:val="20"/>
          <w:szCs w:val="20"/>
          <w:lang w:eastAsia="en-US"/>
        </w:rPr>
        <w:t xml:space="preserve">Na temelju ugovora s društvom u vlasništvu Općine se obavlja se ručno i mehaničko čišćenje. Rashodi su izvršeni u iznosu </w:t>
      </w:r>
      <w:r w:rsidR="00D07FE5">
        <w:rPr>
          <w:rFonts w:ascii="Arial" w:eastAsia="Times New Roman" w:hAnsi="Arial" w:cs="Arial"/>
          <w:sz w:val="20"/>
          <w:szCs w:val="20"/>
          <w:lang w:eastAsia="en-US"/>
        </w:rPr>
        <w:t>249.795,36</w:t>
      </w:r>
      <w:r w:rsidRPr="00184A8E">
        <w:rPr>
          <w:rFonts w:ascii="Arial" w:eastAsia="Times New Roman" w:hAnsi="Arial" w:cs="Arial"/>
          <w:sz w:val="20"/>
          <w:szCs w:val="20"/>
          <w:lang w:eastAsia="en-US"/>
        </w:rPr>
        <w:t xml:space="preserve"> € ili 99</w:t>
      </w:r>
      <w:r w:rsidR="00D07FE5">
        <w:rPr>
          <w:rFonts w:ascii="Arial" w:eastAsia="Times New Roman" w:hAnsi="Arial" w:cs="Arial"/>
          <w:sz w:val="20"/>
          <w:szCs w:val="20"/>
          <w:lang w:eastAsia="en-US"/>
        </w:rPr>
        <w:t>,9</w:t>
      </w:r>
      <w:r w:rsidRPr="00184A8E">
        <w:rPr>
          <w:rFonts w:ascii="Arial" w:eastAsia="Times New Roman" w:hAnsi="Arial" w:cs="Arial"/>
          <w:sz w:val="20"/>
          <w:szCs w:val="20"/>
          <w:lang w:eastAsia="en-US"/>
        </w:rPr>
        <w:t>%.</w:t>
      </w:r>
    </w:p>
    <w:p w14:paraId="4DA21A7B"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5EDEBA83"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ab/>
        <w:t xml:space="preserve">Pod održavanjem čistoće javnih površina, u smislu odredaba Zakona o komunalnom gospodarstvu i Odluke o komunalnom redu podrazumijeva se čišćenje površina javne namjene, osim javnih cesta, koje obuhvaća ručno i strojno čišćenje i pranje javnih površina od otpada, snijega i leda, kao i postavljanje i čišćenje košarica za otpatke i uklanjanje otpada koje je nepoznata osoba odbacila na javnu površinu ili zemljište u vlasništvu jedinice lokalne samouprave. Naročito se razumijeva čišćenje javnih zelenih površina, pješačkih staza, pješačkih zona, otvorenih odvodnih kanala, trgova, parkova i dječjih igrališta. </w:t>
      </w:r>
    </w:p>
    <w:p w14:paraId="21A61C57"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ab/>
        <w:t>Čišćenje javnih površina obuhvaća ručno skupljanje otpadaka na javnim zelenim površinama, radove pometanja (ručno i strojno) na javnim prometnim površinama, te pražnjenje i čišćenje svih košara za otpatke postavljenih na javnim površinama.</w:t>
      </w:r>
    </w:p>
    <w:p w14:paraId="7C9A0CE5"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ab/>
        <w:t>Čišćenje javnih površina ovisi o vrsti i količini otpada (stupnja onečišćenja), otpad je raznovrsnog podrijetla, a sastoji se većinom od odbačenog komunalnog otpada, otpada iz teretnih vozila, onečišćenja iz atmosfere, sezonskog otpada (lišće, sipina), ali i glomaznog otpada (odbačenih dijelova namještaja, bijele tehnike i slično).</w:t>
      </w:r>
    </w:p>
    <w:p w14:paraId="3CED9E7C" w14:textId="10B97DC2"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ab/>
        <w:t>Na temelju Programa rada (sastavni dio ugovora) na održavanju čišćenja javnih prometnih i zelenih površina na području Općine Konavle za 202</w:t>
      </w:r>
      <w:r w:rsidR="00D07FE5">
        <w:rPr>
          <w:rFonts w:ascii="Arial" w:eastAsia="Times New Roman" w:hAnsi="Arial" w:cs="Arial"/>
          <w:sz w:val="20"/>
          <w:szCs w:val="20"/>
        </w:rPr>
        <w:t>5</w:t>
      </w:r>
      <w:r w:rsidRPr="00184A8E">
        <w:rPr>
          <w:rFonts w:ascii="Arial" w:eastAsia="Times New Roman" w:hAnsi="Arial" w:cs="Arial"/>
          <w:sz w:val="20"/>
          <w:szCs w:val="20"/>
        </w:rPr>
        <w:t xml:space="preserve">. godinu kojeg izrađuje društvo u vlasništvu Općine, obuhvaćeno je redovno održavanje Cavtata (Stara jezgra, Mećajac, Tiha, Zvekovica, Obod), dok su u naseljima Gruda, Čilipi, Molunat, Pridvorje, Dubravka, Popovići i Radovčići obuhvaćeni centri mjesta. Izvanredno održavanje se obavlja na svim lokacijama koje nisu obuhvaćene redovnim održavanjem, a osobito svakodnevne intervencije tijekom turističke sezone svugdje gdje se ukaže potreba. Ukoliko u nekom naselju tijekom godine dođe do izgradnje dodatnih sadržaja onda ista lokacija može preći iz izvanrednog u redovno održavanje ukoliko se za tim ukaže potreba. </w:t>
      </w:r>
    </w:p>
    <w:p w14:paraId="02E5C71A" w14:textId="57AA6686"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ab/>
        <w:t xml:space="preserve">Svakodnevno se vrši ručno i mehaničko čišćenje javnih površina u Cavtatu, Grudi i Čilipima, a tijekom ljetne sezone i čišćenje javnih površina u Moluntu. Tijekom ljetne sezone u Cavtatu je organizirano cjelodnevno dežurstvo čistača i komunalnog vozila. Ove poslove obavlja </w:t>
      </w:r>
      <w:r w:rsidR="00D07FE5">
        <w:rPr>
          <w:rFonts w:ascii="Arial" w:eastAsia="Times New Roman" w:hAnsi="Arial" w:cs="Arial"/>
          <w:sz w:val="20"/>
          <w:szCs w:val="20"/>
        </w:rPr>
        <w:t>24</w:t>
      </w:r>
      <w:r w:rsidRPr="00184A8E">
        <w:rPr>
          <w:rFonts w:ascii="Arial" w:eastAsia="Times New Roman" w:hAnsi="Arial" w:cs="Arial"/>
          <w:sz w:val="20"/>
          <w:szCs w:val="20"/>
        </w:rPr>
        <w:t xml:space="preserve"> djelatnika.</w:t>
      </w:r>
    </w:p>
    <w:p w14:paraId="4413F1EF"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ab/>
        <w:t>Usluga čišćenja javnih površina sa specijalnim strojem – čistilicom predstavlja strojno pometanje ulica, pranje i sakupljanje otpada. Ovi poslovi se obavljaju strojem s jednim djelatnikom uglavnom tijekom ljetnih mjeseci.</w:t>
      </w:r>
    </w:p>
    <w:bookmarkEnd w:id="497"/>
    <w:p w14:paraId="4C352E39" w14:textId="77777777" w:rsidR="00184A8E" w:rsidRPr="00184A8E" w:rsidRDefault="00184A8E" w:rsidP="00184A8E">
      <w:pPr>
        <w:tabs>
          <w:tab w:val="left" w:pos="567"/>
        </w:tabs>
        <w:spacing w:after="0" w:line="240" w:lineRule="auto"/>
        <w:jc w:val="both"/>
        <w:rPr>
          <w:rFonts w:ascii="Arial" w:eastAsia="Times New Roman" w:hAnsi="Arial" w:cs="Arial"/>
          <w:bCs/>
          <w:sz w:val="20"/>
          <w:szCs w:val="20"/>
          <w:lang w:eastAsia="en-US"/>
        </w:rPr>
      </w:pPr>
    </w:p>
    <w:tbl>
      <w:tblPr>
        <w:tblStyle w:val="Reetkatablice5368"/>
        <w:tblW w:w="14280" w:type="dxa"/>
        <w:jc w:val="center"/>
        <w:tblLayout w:type="fixed"/>
        <w:tblLook w:val="04A0" w:firstRow="1" w:lastRow="0" w:firstColumn="1" w:lastColumn="0" w:noHBand="0" w:noVBand="1"/>
      </w:tblPr>
      <w:tblGrid>
        <w:gridCol w:w="2405"/>
        <w:gridCol w:w="3549"/>
        <w:gridCol w:w="958"/>
        <w:gridCol w:w="1134"/>
        <w:gridCol w:w="1232"/>
        <w:gridCol w:w="1276"/>
        <w:gridCol w:w="1242"/>
        <w:gridCol w:w="1242"/>
        <w:gridCol w:w="1242"/>
      </w:tblGrid>
      <w:tr w:rsidR="00184A8E" w:rsidRPr="00184A8E" w14:paraId="58D44EA1" w14:textId="77777777" w:rsidTr="00410A4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F3B2DBB"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354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C561D6D"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EB3A4CE"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CC6543F"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F9AAD75" w14:textId="197CE9AC"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D07FE5">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BFD40A9" w14:textId="448C4340"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D07FE5">
              <w:rPr>
                <w:rFonts w:ascii="Arial" w:eastAsia="Calibri" w:hAnsi="Arial" w:cs="Arial"/>
                <w:lang w:eastAsia="en-US"/>
              </w:rPr>
              <w:t>5</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DA68775" w14:textId="2175A479"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D07FE5">
              <w:rPr>
                <w:rFonts w:ascii="Arial" w:eastAsia="Calibri" w:hAnsi="Arial" w:cs="Arial"/>
                <w:lang w:eastAsia="en-US"/>
              </w:rPr>
              <w:t>5</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8A77B48" w14:textId="060CE5BB"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D07FE5">
              <w:rPr>
                <w:rFonts w:ascii="Arial" w:eastAsia="Calibri" w:hAnsi="Arial" w:cs="Arial"/>
                <w:lang w:eastAsia="en-US"/>
              </w:rPr>
              <w:t>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C314297" w14:textId="2BB6654D"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w:t>
            </w:r>
            <w:r w:rsidR="00D07FE5">
              <w:rPr>
                <w:rFonts w:ascii="Arial" w:eastAsia="Calibri" w:hAnsi="Arial" w:cs="Arial"/>
                <w:lang w:eastAsia="en-US"/>
              </w:rPr>
              <w:t>27</w:t>
            </w:r>
            <w:r w:rsidRPr="00184A8E">
              <w:rPr>
                <w:rFonts w:ascii="Arial" w:eastAsia="Calibri" w:hAnsi="Arial" w:cs="Arial"/>
                <w:lang w:eastAsia="en-US"/>
              </w:rPr>
              <w:t>.</w:t>
            </w:r>
          </w:p>
        </w:tc>
      </w:tr>
      <w:tr w:rsidR="00184A8E" w:rsidRPr="00184A8E" w14:paraId="37A3CEEE" w14:textId="77777777" w:rsidTr="00410A4B">
        <w:trPr>
          <w:trHeight w:val="273"/>
          <w:jc w:val="center"/>
        </w:trPr>
        <w:tc>
          <w:tcPr>
            <w:tcW w:w="2405" w:type="dxa"/>
            <w:tcBorders>
              <w:top w:val="single" w:sz="4" w:space="0" w:color="auto"/>
              <w:left w:val="single" w:sz="4" w:space="0" w:color="auto"/>
              <w:bottom w:val="single" w:sz="4" w:space="0" w:color="auto"/>
              <w:right w:val="single" w:sz="4" w:space="0" w:color="auto"/>
            </w:tcBorders>
            <w:vAlign w:val="center"/>
          </w:tcPr>
          <w:p w14:paraId="63D96408" w14:textId="77777777" w:rsidR="00184A8E" w:rsidRPr="00184A8E" w:rsidRDefault="00184A8E" w:rsidP="00184A8E">
            <w:pPr>
              <w:rPr>
                <w:rFonts w:ascii="Arial" w:hAnsi="Arial" w:cs="Arial"/>
                <w:lang w:eastAsia="en-US"/>
              </w:rPr>
            </w:pPr>
            <w:r w:rsidRPr="00184A8E">
              <w:rPr>
                <w:rFonts w:ascii="Arial" w:hAnsi="Arial" w:cs="Arial"/>
                <w:bCs/>
                <w:lang w:eastAsia="en-US"/>
              </w:rPr>
              <w:t>Provedba poslova redovitog održavanje čistoće i pometanja ulica</w:t>
            </w:r>
          </w:p>
        </w:tc>
        <w:tc>
          <w:tcPr>
            <w:tcW w:w="3549" w:type="dxa"/>
            <w:tcBorders>
              <w:top w:val="single" w:sz="4" w:space="0" w:color="auto"/>
              <w:left w:val="single" w:sz="4" w:space="0" w:color="auto"/>
              <w:bottom w:val="single" w:sz="4" w:space="0" w:color="auto"/>
              <w:right w:val="single" w:sz="4" w:space="0" w:color="auto"/>
            </w:tcBorders>
            <w:vAlign w:val="center"/>
          </w:tcPr>
          <w:p w14:paraId="25DF762D" w14:textId="77777777" w:rsidR="00184A8E" w:rsidRPr="00184A8E" w:rsidRDefault="00184A8E" w:rsidP="00184A8E">
            <w:pPr>
              <w:autoSpaceDE w:val="0"/>
              <w:autoSpaceDN w:val="0"/>
              <w:adjustRightInd w:val="0"/>
              <w:rPr>
                <w:rFonts w:ascii="Arial" w:hAnsi="Arial" w:cs="Arial"/>
                <w:lang w:eastAsia="en-US"/>
              </w:rPr>
            </w:pPr>
            <w:r w:rsidRPr="00184A8E">
              <w:rPr>
                <w:rFonts w:ascii="Arial" w:hAnsi="Arial" w:cs="Arial"/>
                <w:bCs/>
                <w:lang w:eastAsia="en-US"/>
              </w:rPr>
              <w:t>Mjeseci provedbe poslova redovitog održavanja čistoće i zelenih površina tijekom pojedine godine</w:t>
            </w:r>
          </w:p>
        </w:tc>
        <w:tc>
          <w:tcPr>
            <w:tcW w:w="958" w:type="dxa"/>
            <w:tcBorders>
              <w:top w:val="single" w:sz="4" w:space="0" w:color="auto"/>
              <w:left w:val="single" w:sz="4" w:space="0" w:color="auto"/>
              <w:bottom w:val="single" w:sz="4" w:space="0" w:color="auto"/>
              <w:right w:val="single" w:sz="4" w:space="0" w:color="auto"/>
            </w:tcBorders>
            <w:vAlign w:val="center"/>
          </w:tcPr>
          <w:p w14:paraId="08C56C13" w14:textId="77777777" w:rsidR="00184A8E" w:rsidRPr="00184A8E" w:rsidRDefault="00184A8E" w:rsidP="00184A8E">
            <w:pPr>
              <w:jc w:val="center"/>
              <w:rPr>
                <w:rFonts w:ascii="Arial" w:hAnsi="Arial" w:cs="Arial"/>
                <w:lang w:eastAsia="en-US"/>
              </w:rPr>
            </w:pPr>
            <w:r w:rsidRPr="00184A8E">
              <w:rPr>
                <w:rFonts w:ascii="Arial" w:hAnsi="Arial" w:cs="Arial"/>
                <w:lang w:eastAsia="en-US"/>
              </w:rPr>
              <w:t>mjeseci</w:t>
            </w:r>
          </w:p>
        </w:tc>
        <w:tc>
          <w:tcPr>
            <w:tcW w:w="1134" w:type="dxa"/>
            <w:tcBorders>
              <w:top w:val="single" w:sz="4" w:space="0" w:color="auto"/>
              <w:left w:val="single" w:sz="4" w:space="0" w:color="auto"/>
              <w:bottom w:val="single" w:sz="4" w:space="0" w:color="auto"/>
              <w:right w:val="single" w:sz="4" w:space="0" w:color="auto"/>
            </w:tcBorders>
            <w:vAlign w:val="center"/>
          </w:tcPr>
          <w:p w14:paraId="18CFD292" w14:textId="77777777" w:rsidR="00184A8E" w:rsidRPr="00184A8E" w:rsidRDefault="00184A8E" w:rsidP="00184A8E">
            <w:pPr>
              <w:jc w:val="center"/>
              <w:rPr>
                <w:rFonts w:ascii="Arial" w:hAnsi="Arial" w:cs="Arial"/>
                <w:lang w:eastAsia="en-US"/>
              </w:rPr>
            </w:pPr>
            <w:r w:rsidRPr="00184A8E">
              <w:rPr>
                <w:rFonts w:ascii="Arial" w:hAnsi="Arial" w:cs="Arial"/>
                <w:lang w:eastAsia="en-US"/>
              </w:rPr>
              <w:t xml:space="preserve">Općina </w:t>
            </w:r>
          </w:p>
        </w:tc>
        <w:tc>
          <w:tcPr>
            <w:tcW w:w="1232" w:type="dxa"/>
            <w:tcBorders>
              <w:top w:val="single" w:sz="4" w:space="0" w:color="auto"/>
              <w:left w:val="single" w:sz="4" w:space="0" w:color="auto"/>
              <w:bottom w:val="single" w:sz="4" w:space="0" w:color="auto"/>
              <w:right w:val="single" w:sz="4" w:space="0" w:color="auto"/>
            </w:tcBorders>
            <w:vAlign w:val="center"/>
          </w:tcPr>
          <w:p w14:paraId="77CDF152" w14:textId="77777777" w:rsidR="00184A8E" w:rsidRPr="00184A8E" w:rsidRDefault="00184A8E" w:rsidP="00184A8E">
            <w:pPr>
              <w:jc w:val="center"/>
              <w:rPr>
                <w:rFonts w:ascii="Arial" w:hAnsi="Arial" w:cs="Arial"/>
                <w:lang w:eastAsia="en-US"/>
              </w:rPr>
            </w:pPr>
            <w:r w:rsidRPr="00184A8E">
              <w:rPr>
                <w:rFonts w:ascii="Arial" w:hAnsi="Arial" w:cs="Arial"/>
                <w:lang w:eastAsia="en-US"/>
              </w:rPr>
              <w:t>12</w:t>
            </w:r>
          </w:p>
        </w:tc>
        <w:tc>
          <w:tcPr>
            <w:tcW w:w="1276" w:type="dxa"/>
            <w:tcBorders>
              <w:top w:val="single" w:sz="4" w:space="0" w:color="auto"/>
              <w:left w:val="single" w:sz="4" w:space="0" w:color="auto"/>
              <w:bottom w:val="single" w:sz="4" w:space="0" w:color="auto"/>
              <w:right w:val="single" w:sz="4" w:space="0" w:color="auto"/>
            </w:tcBorders>
            <w:vAlign w:val="center"/>
          </w:tcPr>
          <w:p w14:paraId="32AFBF2A" w14:textId="77777777" w:rsidR="00184A8E" w:rsidRPr="00184A8E" w:rsidRDefault="00184A8E" w:rsidP="00184A8E">
            <w:pPr>
              <w:jc w:val="center"/>
              <w:rPr>
                <w:rFonts w:ascii="Arial" w:hAnsi="Arial" w:cs="Arial"/>
                <w:lang w:eastAsia="en-US"/>
              </w:rPr>
            </w:pPr>
            <w:r w:rsidRPr="00184A8E">
              <w:rPr>
                <w:rFonts w:ascii="Arial" w:hAnsi="Arial" w:cs="Arial"/>
                <w:lang w:eastAsia="en-US"/>
              </w:rPr>
              <w:t>12</w:t>
            </w:r>
          </w:p>
        </w:tc>
        <w:tc>
          <w:tcPr>
            <w:tcW w:w="1242" w:type="dxa"/>
            <w:tcBorders>
              <w:top w:val="single" w:sz="4" w:space="0" w:color="000000"/>
              <w:left w:val="single" w:sz="4" w:space="0" w:color="000000"/>
              <w:bottom w:val="single" w:sz="4" w:space="0" w:color="000000"/>
              <w:right w:val="single" w:sz="4" w:space="0" w:color="000000"/>
            </w:tcBorders>
            <w:vAlign w:val="center"/>
          </w:tcPr>
          <w:p w14:paraId="1B458926" w14:textId="77777777" w:rsidR="00184A8E" w:rsidRPr="00184A8E" w:rsidRDefault="00184A8E" w:rsidP="00184A8E">
            <w:pPr>
              <w:jc w:val="center"/>
              <w:rPr>
                <w:rFonts w:ascii="Arial" w:hAnsi="Arial" w:cs="Arial"/>
                <w:lang w:eastAsia="en-US"/>
              </w:rPr>
            </w:pPr>
            <w:r w:rsidRPr="00184A8E">
              <w:rPr>
                <w:rFonts w:ascii="Arial" w:hAnsi="Arial" w:cs="Arial"/>
                <w:lang w:eastAsia="en-US"/>
              </w:rPr>
              <w:t>12</w:t>
            </w:r>
          </w:p>
        </w:tc>
        <w:tc>
          <w:tcPr>
            <w:tcW w:w="1242" w:type="dxa"/>
            <w:tcBorders>
              <w:top w:val="single" w:sz="4" w:space="0" w:color="000000"/>
              <w:left w:val="single" w:sz="4" w:space="0" w:color="000000"/>
              <w:bottom w:val="single" w:sz="4" w:space="0" w:color="000000"/>
              <w:right w:val="single" w:sz="4" w:space="0" w:color="000000"/>
            </w:tcBorders>
            <w:vAlign w:val="center"/>
          </w:tcPr>
          <w:p w14:paraId="55AB36F1" w14:textId="77777777" w:rsidR="00184A8E" w:rsidRPr="00184A8E" w:rsidRDefault="00184A8E" w:rsidP="00184A8E">
            <w:pPr>
              <w:jc w:val="center"/>
              <w:rPr>
                <w:rFonts w:ascii="Arial" w:hAnsi="Arial" w:cs="Arial"/>
                <w:lang w:eastAsia="en-US"/>
              </w:rPr>
            </w:pPr>
            <w:r w:rsidRPr="00184A8E">
              <w:rPr>
                <w:rFonts w:ascii="Arial" w:hAnsi="Arial" w:cs="Arial"/>
                <w:lang w:eastAsia="en-US"/>
              </w:rPr>
              <w:t>12</w:t>
            </w:r>
          </w:p>
        </w:tc>
        <w:tc>
          <w:tcPr>
            <w:tcW w:w="1242" w:type="dxa"/>
            <w:tcBorders>
              <w:top w:val="single" w:sz="4" w:space="0" w:color="000000"/>
              <w:left w:val="single" w:sz="4" w:space="0" w:color="000000"/>
              <w:bottom w:val="single" w:sz="4" w:space="0" w:color="000000"/>
              <w:right w:val="single" w:sz="4" w:space="0" w:color="000000"/>
            </w:tcBorders>
            <w:vAlign w:val="center"/>
          </w:tcPr>
          <w:p w14:paraId="2467A7F9" w14:textId="77777777" w:rsidR="00184A8E" w:rsidRPr="00184A8E" w:rsidRDefault="00184A8E" w:rsidP="00184A8E">
            <w:pPr>
              <w:jc w:val="center"/>
              <w:rPr>
                <w:rFonts w:ascii="Arial" w:hAnsi="Arial" w:cs="Arial"/>
                <w:lang w:eastAsia="en-US"/>
              </w:rPr>
            </w:pPr>
            <w:r w:rsidRPr="00184A8E">
              <w:rPr>
                <w:rFonts w:ascii="Arial" w:hAnsi="Arial" w:cs="Arial"/>
                <w:lang w:eastAsia="en-US"/>
              </w:rPr>
              <w:t>12</w:t>
            </w:r>
          </w:p>
        </w:tc>
      </w:tr>
    </w:tbl>
    <w:p w14:paraId="22464147" w14:textId="77777777" w:rsidR="00184A8E" w:rsidRPr="00184A8E" w:rsidRDefault="00184A8E" w:rsidP="00184A8E">
      <w:pPr>
        <w:tabs>
          <w:tab w:val="left" w:pos="567"/>
        </w:tabs>
        <w:spacing w:after="0" w:line="240" w:lineRule="auto"/>
        <w:jc w:val="both"/>
        <w:rPr>
          <w:rFonts w:ascii="Arial" w:eastAsia="Times New Roman" w:hAnsi="Arial" w:cs="Arial"/>
          <w:bCs/>
          <w:sz w:val="20"/>
          <w:szCs w:val="20"/>
        </w:rPr>
      </w:pPr>
    </w:p>
    <w:p w14:paraId="7C42F8D6" w14:textId="341BF469"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 xml:space="preserve">2. A209102: Održavanje javnih zelenih površina - godišnji ugovor </w:t>
      </w:r>
      <w:r w:rsidRPr="00184A8E">
        <w:rPr>
          <w:rFonts w:ascii="Arial" w:eastAsia="Calibri" w:hAnsi="Arial" w:cs="Arial"/>
          <w:sz w:val="20"/>
          <w:szCs w:val="20"/>
        </w:rPr>
        <w:t xml:space="preserve">- u sklopu navedene aktivnosti planiraju se rashodi za usluge održavanja javnih zelenih površina koje obavlja društvo odabrano provedenim postupkom natječaja. Planirana sredstva za provođenje navedene aktivnosti iznose </w:t>
      </w:r>
      <w:r w:rsidR="005D3F21">
        <w:rPr>
          <w:rFonts w:ascii="Arial" w:eastAsia="Calibri" w:hAnsi="Arial" w:cs="Arial"/>
          <w:sz w:val="20"/>
          <w:szCs w:val="20"/>
        </w:rPr>
        <w:t>137.500</w:t>
      </w:r>
      <w:r w:rsidRPr="00184A8E">
        <w:rPr>
          <w:rFonts w:ascii="Arial" w:eastAsia="Calibri" w:hAnsi="Arial" w:cs="Arial"/>
          <w:sz w:val="20"/>
          <w:szCs w:val="20"/>
        </w:rPr>
        <w:t xml:space="preserve">.000 €. Rashodi su izvršeni u iznosu </w:t>
      </w:r>
      <w:r w:rsidR="005D3F21">
        <w:rPr>
          <w:rFonts w:ascii="Arial" w:eastAsia="Calibri" w:hAnsi="Arial" w:cs="Arial"/>
          <w:sz w:val="20"/>
          <w:szCs w:val="20"/>
        </w:rPr>
        <w:t>137.457,54</w:t>
      </w:r>
      <w:r w:rsidRPr="00184A8E">
        <w:rPr>
          <w:rFonts w:ascii="Arial" w:eastAsia="Calibri" w:hAnsi="Arial" w:cs="Arial"/>
          <w:sz w:val="20"/>
          <w:szCs w:val="20"/>
        </w:rPr>
        <w:t xml:space="preserve"> € ili </w:t>
      </w:r>
      <w:r w:rsidR="005D3F21">
        <w:rPr>
          <w:rFonts w:ascii="Arial" w:eastAsia="Calibri" w:hAnsi="Arial" w:cs="Arial"/>
          <w:sz w:val="20"/>
          <w:szCs w:val="20"/>
        </w:rPr>
        <w:t>100</w:t>
      </w:r>
      <w:r w:rsidRPr="00184A8E">
        <w:rPr>
          <w:rFonts w:ascii="Arial" w:eastAsia="Calibri" w:hAnsi="Arial" w:cs="Arial"/>
          <w:sz w:val="20"/>
          <w:szCs w:val="20"/>
        </w:rPr>
        <w:t>%.</w:t>
      </w:r>
    </w:p>
    <w:p w14:paraId="305124DA" w14:textId="77777777" w:rsidR="00184A8E" w:rsidRPr="00184A8E" w:rsidRDefault="00184A8E" w:rsidP="00184A8E">
      <w:pPr>
        <w:spacing w:after="0" w:line="240" w:lineRule="auto"/>
        <w:jc w:val="both"/>
        <w:rPr>
          <w:rFonts w:ascii="Arial" w:eastAsia="Calibri" w:hAnsi="Arial" w:cs="Arial"/>
          <w:sz w:val="20"/>
          <w:szCs w:val="20"/>
        </w:rPr>
      </w:pPr>
      <w:bookmarkStart w:id="498" w:name="_Hlk135146926"/>
    </w:p>
    <w:p w14:paraId="7608CD09" w14:textId="153C3132" w:rsidR="005D3F21" w:rsidRDefault="005D3F21" w:rsidP="00184A8E">
      <w:pPr>
        <w:spacing w:after="0" w:line="240" w:lineRule="auto"/>
        <w:jc w:val="both"/>
        <w:rPr>
          <w:rFonts w:ascii="Arial" w:eastAsia="Calibri" w:hAnsi="Arial" w:cs="Arial"/>
          <w:sz w:val="20"/>
          <w:szCs w:val="20"/>
        </w:rPr>
      </w:pPr>
      <w:r w:rsidRPr="005D3F21">
        <w:rPr>
          <w:rFonts w:ascii="Arial" w:eastAsia="Calibri" w:hAnsi="Arial" w:cs="Arial"/>
          <w:sz w:val="20"/>
          <w:szCs w:val="20"/>
        </w:rPr>
        <w:t xml:space="preserve">Na temelju provedenog postupka nabave sukladno odredbama Zakona o javnoj nabavi za usluge hortikulturnog uređenja u prosincu 2024. zaključen je ugovor s izvoditeljem (Đardin d.o.o.) za radove održavanja javnih zelenih površina na području Općine Konavle u iznosu 114.870 € s porezom na dodanu vrijednost. U svibnju 2025. godine je s istim izvoditeljem zaključen ugovor za radove hortikulturnog uređenja za dodatne lokacije u iznosu 22.625 €, te sveukupno ugovoreni radovi iznose </w:t>
      </w:r>
      <w:r w:rsidRPr="005D3F21">
        <w:rPr>
          <w:rFonts w:ascii="Arial" w:eastAsia="Calibri" w:hAnsi="Arial" w:cs="Arial"/>
          <w:sz w:val="20"/>
          <w:szCs w:val="20"/>
        </w:rPr>
        <w:lastRenderedPageBreak/>
        <w:t xml:space="preserve">137.495 € </w:t>
      </w:r>
      <w:r>
        <w:rPr>
          <w:rFonts w:ascii="Arial" w:eastAsia="Calibri" w:hAnsi="Arial" w:cs="Arial"/>
          <w:sz w:val="20"/>
          <w:szCs w:val="20"/>
        </w:rPr>
        <w:t>(</w:t>
      </w:r>
      <w:r w:rsidRPr="00184A8E">
        <w:rPr>
          <w:rFonts w:ascii="Arial" w:eastAsia="Calibri" w:hAnsi="Arial" w:cs="Arial"/>
          <w:sz w:val="20"/>
          <w:szCs w:val="20"/>
        </w:rPr>
        <w:t>redovno održavanje igrališta, održavanje zelenih površina oko dječjeg vrtića, doma zdravlja, općinske zgrade, održavanje oko zgrade doma za starije i nemoćne osobe; održavanje zelenih površina oko groblja i mrtvačnice; spomenika u Čilipima, odmorišta na Prahivcu i kod Pendova sela, održavanje zelenih površina oko autobusne stanice i autobusnog kolodvora u Cavtatu i Zvekovici, održavanje zelenih površina unutar parkinga u Cavtatu, održavanje zelenog pasaža rive u Cavtatu, održavanje zelenih površina oko Bogišićevog spomenika i mauzoleja u Cavtatu, održavanje zelenih površina na križanju s magistralom na Zvekovici, zelenog otoka na križanju prema hotelu Albatros, održavanja zelenih površina na glavnoj prilaznoj cesti prema Cavtatu kao i na novom ulazu u Cavtat i drugo).</w:t>
      </w:r>
    </w:p>
    <w:bookmarkEnd w:id="498"/>
    <w:p w14:paraId="6C62E52F" w14:textId="77777777" w:rsidR="00184A8E" w:rsidRPr="00184A8E" w:rsidRDefault="00184A8E" w:rsidP="00184A8E">
      <w:pPr>
        <w:spacing w:after="0" w:line="240" w:lineRule="auto"/>
        <w:jc w:val="both"/>
        <w:rPr>
          <w:rFonts w:ascii="Arial" w:eastAsia="Calibri" w:hAnsi="Arial" w:cs="Arial"/>
          <w:sz w:val="20"/>
          <w:szCs w:val="20"/>
        </w:rPr>
      </w:pPr>
    </w:p>
    <w:p w14:paraId="28FF396E" w14:textId="7BEE7B2C" w:rsid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 xml:space="preserve">3. A209103: Održavanje javnih zelenih površina – (nova hortikulturna uređenja, intervencije temeljem odluka, interventna održavanja nakon vremenskih nepogoda ili oštećenja) </w:t>
      </w:r>
      <w:r w:rsidRPr="00184A8E">
        <w:rPr>
          <w:rFonts w:ascii="Arial" w:eastAsia="Calibri" w:hAnsi="Arial" w:cs="Arial"/>
          <w:sz w:val="20"/>
          <w:szCs w:val="20"/>
        </w:rPr>
        <w:t xml:space="preserve">- u sklopu navedene aktivnosti planiraju se rashodi za povremene usluge održavanja javnih zelenih površina na temelju prijava ili na temelju odluka nadležnog odjela (rashodi u svezi rezanja i uklanjanja uništenih stabala i granja nakon vremenskih nepogoda i drugi poslovi). </w:t>
      </w:r>
      <w:bookmarkStart w:id="499" w:name="_Hlk135147424"/>
      <w:r w:rsidRPr="00184A8E">
        <w:rPr>
          <w:rFonts w:ascii="Arial" w:eastAsia="Calibri" w:hAnsi="Arial" w:cs="Arial"/>
          <w:sz w:val="20"/>
          <w:szCs w:val="20"/>
        </w:rPr>
        <w:t xml:space="preserve">Planirana sredstva za provođenje navedene aktivnosti </w:t>
      </w:r>
      <w:r w:rsidR="005D3F21">
        <w:rPr>
          <w:rFonts w:ascii="Arial" w:eastAsia="Calibri" w:hAnsi="Arial" w:cs="Arial"/>
          <w:sz w:val="20"/>
          <w:szCs w:val="20"/>
        </w:rPr>
        <w:t>275.000</w:t>
      </w:r>
      <w:r w:rsidRPr="00184A8E">
        <w:rPr>
          <w:rFonts w:ascii="Arial" w:eastAsia="Calibri" w:hAnsi="Arial" w:cs="Arial"/>
          <w:sz w:val="20"/>
          <w:szCs w:val="20"/>
        </w:rPr>
        <w:t xml:space="preserve"> €. Rashodi su izvršeni u iznosu </w:t>
      </w:r>
      <w:r w:rsidR="005D3F21">
        <w:rPr>
          <w:rFonts w:ascii="Arial" w:eastAsia="Calibri" w:hAnsi="Arial" w:cs="Arial"/>
          <w:sz w:val="20"/>
          <w:szCs w:val="20"/>
        </w:rPr>
        <w:t>221.973,61</w:t>
      </w:r>
      <w:r w:rsidRPr="00184A8E">
        <w:rPr>
          <w:rFonts w:ascii="Arial" w:eastAsia="Calibri" w:hAnsi="Arial" w:cs="Arial"/>
          <w:sz w:val="20"/>
          <w:szCs w:val="20"/>
        </w:rPr>
        <w:t xml:space="preserve"> € ili </w:t>
      </w:r>
      <w:r w:rsidR="005D3F21">
        <w:rPr>
          <w:rFonts w:ascii="Arial" w:eastAsia="Calibri" w:hAnsi="Arial" w:cs="Arial"/>
          <w:sz w:val="20"/>
          <w:szCs w:val="20"/>
        </w:rPr>
        <w:t>80,7</w:t>
      </w:r>
      <w:r w:rsidRPr="00184A8E">
        <w:rPr>
          <w:rFonts w:ascii="Arial" w:eastAsia="Calibri" w:hAnsi="Arial" w:cs="Arial"/>
          <w:sz w:val="20"/>
          <w:szCs w:val="20"/>
        </w:rPr>
        <w:t>% plana.</w:t>
      </w:r>
    </w:p>
    <w:p w14:paraId="7AEFEF4A" w14:textId="77777777" w:rsidR="005D3F21" w:rsidRPr="00184A8E" w:rsidRDefault="005D3F21" w:rsidP="00184A8E">
      <w:pPr>
        <w:spacing w:after="0" w:line="240" w:lineRule="auto"/>
        <w:jc w:val="both"/>
        <w:rPr>
          <w:rFonts w:ascii="Arial" w:eastAsia="Calibri" w:hAnsi="Arial" w:cs="Arial"/>
          <w:sz w:val="20"/>
          <w:szCs w:val="20"/>
        </w:rPr>
      </w:pPr>
    </w:p>
    <w:bookmarkEnd w:id="499"/>
    <w:p w14:paraId="734373A5" w14:textId="58C4D91A" w:rsidR="00184A8E" w:rsidRDefault="005D3F21" w:rsidP="00184A8E">
      <w:pPr>
        <w:spacing w:after="0" w:line="240" w:lineRule="auto"/>
        <w:jc w:val="both"/>
        <w:rPr>
          <w:rFonts w:ascii="Arial" w:eastAsia="Calibri" w:hAnsi="Arial" w:cs="Arial"/>
          <w:sz w:val="20"/>
          <w:szCs w:val="20"/>
        </w:rPr>
      </w:pPr>
      <w:r w:rsidRPr="005D3F21">
        <w:rPr>
          <w:rFonts w:ascii="Arial" w:eastAsia="Calibri" w:hAnsi="Arial" w:cs="Arial"/>
          <w:sz w:val="20"/>
          <w:szCs w:val="20"/>
        </w:rPr>
        <w:t>U tekućoj godini izvršeni rashodi se odnose na nabavu zelenila (sadni materijal za ulaz u Cavtat, Obod, Grudu, Čilipe i druge javne površine), te saniranje hortikulturnog uređenja i rekonstrukcija sustava za navodnjavanje zelenila 124.127,59 € (rekonstrukcija sustava Zvekovica, Pendovo selo, Prahivac, Čilipi, zdravstvena stanica Gruda, oko zgrade Općine Gruda, novi parking Gruda, novi parking Tiha, ulica Frana Laureana Cavtat, Molunat, Mauzolej Račić i druge lokacije), navodnjavanje zelenila 28.990,27 €, božićne jelke za više lokacija na području Općine 4.697 €, čišćenje parcele površine 19.600 m² za uređenje parka ex. obitelji Račić 43.900 €, najam korpi za pilanje i uklanjanje suhih stabala 9.600 € (Cavtat – Šetnica rat, riva i gradska plaža Cavtat, Tiha, kod vatrogasnog doma u Cavtatu, na Mećajcu kod dječjeg vrtića– Cavtat, Vitaljina – Višnjići, Uskoplje i druge lokacije), elaborat postojećeg stanja vegetecije sa smjernicama za krajobrazno uređenje čestice u Cavtatu (prostor koji je temeljem sporazuma iz siječnja 2025. Zaklada Račić dala na korištenje Općini u svrhu uređenja budućeg parka obitelji Račić) u iznosu 6.875 €, elaborat ocjene stanja stabala na rivi u Cavtatu 937,50 €, zaštitu bilja od zaraznih bolesti (injektiranje palmi na rivi Cavtat) 2.846,25 €.</w:t>
      </w:r>
    </w:p>
    <w:p w14:paraId="5E4F97E4" w14:textId="77777777" w:rsidR="005D3F21" w:rsidRPr="00184A8E" w:rsidRDefault="005D3F21" w:rsidP="00184A8E">
      <w:pPr>
        <w:spacing w:after="0" w:line="240" w:lineRule="auto"/>
        <w:jc w:val="both"/>
        <w:rPr>
          <w:rFonts w:ascii="Arial" w:eastAsia="Calibri" w:hAnsi="Arial" w:cs="Arial"/>
          <w:sz w:val="20"/>
          <w:szCs w:val="20"/>
          <w:lang w:eastAsia="en-US"/>
        </w:rPr>
      </w:pPr>
    </w:p>
    <w:tbl>
      <w:tblPr>
        <w:tblStyle w:val="Reetkatablice5368"/>
        <w:tblW w:w="14138" w:type="dxa"/>
        <w:jc w:val="center"/>
        <w:tblLayout w:type="fixed"/>
        <w:tblLook w:val="04A0" w:firstRow="1" w:lastRow="0" w:firstColumn="1" w:lastColumn="0" w:noHBand="0" w:noVBand="1"/>
      </w:tblPr>
      <w:tblGrid>
        <w:gridCol w:w="2977"/>
        <w:gridCol w:w="2972"/>
        <w:gridCol w:w="821"/>
        <w:gridCol w:w="1134"/>
        <w:gridCol w:w="1232"/>
        <w:gridCol w:w="1276"/>
        <w:gridCol w:w="1242"/>
        <w:gridCol w:w="1242"/>
        <w:gridCol w:w="1242"/>
      </w:tblGrid>
      <w:tr w:rsidR="00184A8E" w:rsidRPr="00184A8E" w14:paraId="1F3D300B" w14:textId="77777777" w:rsidTr="00937C54">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DB8632B"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297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5C16DEC"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82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8A2AF9C"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437A1FA"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54DD766" w14:textId="26C69792"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5D3F21">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64D4D41" w14:textId="51C2249B"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5D3F21">
              <w:rPr>
                <w:rFonts w:ascii="Arial" w:eastAsia="Calibri" w:hAnsi="Arial" w:cs="Arial"/>
                <w:lang w:eastAsia="en-US"/>
              </w:rPr>
              <w:t>5</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E999159" w14:textId="360AF5C0"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5D3F21">
              <w:rPr>
                <w:rFonts w:ascii="Arial" w:eastAsia="Calibri" w:hAnsi="Arial" w:cs="Arial"/>
                <w:lang w:eastAsia="en-US"/>
              </w:rPr>
              <w:t>5</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46A0243" w14:textId="5458472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A01BB0">
              <w:rPr>
                <w:rFonts w:ascii="Arial" w:eastAsia="Calibri" w:hAnsi="Arial" w:cs="Arial"/>
                <w:lang w:eastAsia="en-US"/>
              </w:rPr>
              <w:t>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1E592CA" w14:textId="17E4518C"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A01BB0">
              <w:rPr>
                <w:rFonts w:ascii="Arial" w:eastAsia="Calibri" w:hAnsi="Arial" w:cs="Arial"/>
                <w:lang w:eastAsia="en-US"/>
              </w:rPr>
              <w:t>7</w:t>
            </w:r>
            <w:r w:rsidRPr="00184A8E">
              <w:rPr>
                <w:rFonts w:ascii="Arial" w:eastAsia="Calibri" w:hAnsi="Arial" w:cs="Arial"/>
                <w:lang w:eastAsia="en-US"/>
              </w:rPr>
              <w:t>.</w:t>
            </w:r>
          </w:p>
        </w:tc>
      </w:tr>
      <w:tr w:rsidR="00184A8E" w:rsidRPr="00184A8E" w14:paraId="64AABDFC" w14:textId="77777777" w:rsidTr="00937C54">
        <w:trPr>
          <w:trHeight w:val="273"/>
          <w:jc w:val="center"/>
        </w:trPr>
        <w:tc>
          <w:tcPr>
            <w:tcW w:w="2977" w:type="dxa"/>
            <w:tcBorders>
              <w:top w:val="single" w:sz="4" w:space="0" w:color="auto"/>
              <w:left w:val="single" w:sz="4" w:space="0" w:color="auto"/>
              <w:bottom w:val="single" w:sz="4" w:space="0" w:color="auto"/>
              <w:right w:val="single" w:sz="4" w:space="0" w:color="auto"/>
            </w:tcBorders>
            <w:vAlign w:val="center"/>
          </w:tcPr>
          <w:p w14:paraId="0968D59D" w14:textId="77777777" w:rsidR="00184A8E" w:rsidRPr="00184A8E" w:rsidRDefault="00184A8E" w:rsidP="00184A8E">
            <w:pPr>
              <w:rPr>
                <w:rFonts w:ascii="Arial" w:hAnsi="Arial" w:cs="Arial"/>
                <w:sz w:val="18"/>
                <w:szCs w:val="18"/>
                <w:lang w:eastAsia="en-US"/>
              </w:rPr>
            </w:pPr>
            <w:r w:rsidRPr="00184A8E">
              <w:rPr>
                <w:rFonts w:ascii="Arial" w:eastAsia="Calibri" w:hAnsi="Arial" w:cs="Arial"/>
                <w:iCs/>
                <w:sz w:val="18"/>
                <w:szCs w:val="18"/>
              </w:rPr>
              <w:t>Utrošena sredstva za uređenje i opremanje novih zelenih površina, te interventna održavanja nakon vremenskih nepogoda</w:t>
            </w:r>
          </w:p>
        </w:tc>
        <w:tc>
          <w:tcPr>
            <w:tcW w:w="2972" w:type="dxa"/>
            <w:tcBorders>
              <w:top w:val="single" w:sz="4" w:space="0" w:color="auto"/>
              <w:left w:val="single" w:sz="4" w:space="0" w:color="auto"/>
              <w:bottom w:val="single" w:sz="4" w:space="0" w:color="auto"/>
              <w:right w:val="single" w:sz="4" w:space="0" w:color="auto"/>
            </w:tcBorders>
            <w:vAlign w:val="center"/>
          </w:tcPr>
          <w:p w14:paraId="15D7A3AE"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eastAsia="Calibri" w:hAnsi="Arial" w:cs="Arial"/>
                <w:sz w:val="18"/>
                <w:szCs w:val="18"/>
                <w:lang w:eastAsia="en-US"/>
              </w:rPr>
              <w:t xml:space="preserve">Udio utrošenih planiranih sredstava za </w:t>
            </w:r>
            <w:r w:rsidRPr="00184A8E">
              <w:rPr>
                <w:rFonts w:ascii="Arial" w:eastAsia="Calibri" w:hAnsi="Arial" w:cs="Arial"/>
                <w:iCs/>
                <w:sz w:val="18"/>
                <w:szCs w:val="18"/>
              </w:rPr>
              <w:t>uređenje i opremanje novih zelenih površina, odnosno interventna održavanja</w:t>
            </w:r>
          </w:p>
        </w:tc>
        <w:tc>
          <w:tcPr>
            <w:tcW w:w="821" w:type="dxa"/>
            <w:tcBorders>
              <w:top w:val="single" w:sz="4" w:space="0" w:color="auto"/>
              <w:left w:val="single" w:sz="4" w:space="0" w:color="auto"/>
              <w:bottom w:val="single" w:sz="4" w:space="0" w:color="auto"/>
              <w:right w:val="single" w:sz="4" w:space="0" w:color="auto"/>
            </w:tcBorders>
            <w:vAlign w:val="center"/>
          </w:tcPr>
          <w:p w14:paraId="0CAF142B" w14:textId="77777777" w:rsidR="00184A8E" w:rsidRPr="00184A8E" w:rsidRDefault="00184A8E" w:rsidP="00184A8E">
            <w:pPr>
              <w:jc w:val="center"/>
              <w:rPr>
                <w:rFonts w:ascii="Arial" w:hAnsi="Arial" w:cs="Arial"/>
                <w:sz w:val="18"/>
                <w:szCs w:val="18"/>
                <w:lang w:eastAsia="en-US"/>
              </w:rPr>
            </w:pPr>
            <w:r w:rsidRPr="00184A8E">
              <w:rPr>
                <w:rFonts w:ascii="Arial" w:eastAsia="Calibri" w:hAnsi="Arial" w:cs="Arial"/>
                <w:sz w:val="18"/>
                <w:szCs w:val="18"/>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33A573D0"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D58C342" w14:textId="3D9F22E2" w:rsidR="00184A8E" w:rsidRPr="00184A8E" w:rsidRDefault="005D3F21" w:rsidP="00184A8E">
            <w:pPr>
              <w:jc w:val="center"/>
              <w:rPr>
                <w:rFonts w:ascii="Arial" w:hAnsi="Arial" w:cs="Arial"/>
                <w:sz w:val="18"/>
                <w:szCs w:val="18"/>
                <w:lang w:eastAsia="en-US"/>
              </w:rPr>
            </w:pPr>
            <w:r>
              <w:rPr>
                <w:rFonts w:ascii="Arial" w:eastAsia="Calibri" w:hAnsi="Arial" w:cs="Arial"/>
                <w:sz w:val="18"/>
                <w:szCs w:val="18"/>
                <w:lang w:eastAsia="en-US"/>
              </w:rPr>
              <w:t>84</w:t>
            </w:r>
            <w:r w:rsidR="00184A8E" w:rsidRPr="00184A8E">
              <w:rPr>
                <w:rFonts w:ascii="Arial" w:eastAsia="Calibri" w:hAnsi="Arial" w:cs="Arial"/>
                <w:sz w:val="18"/>
                <w:szCs w:val="18"/>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0147ACDF" w14:textId="77777777" w:rsidR="00184A8E" w:rsidRPr="00184A8E" w:rsidRDefault="00184A8E" w:rsidP="00184A8E">
            <w:pPr>
              <w:jc w:val="center"/>
              <w:rPr>
                <w:rFonts w:ascii="Arial" w:hAnsi="Arial" w:cs="Arial"/>
                <w:sz w:val="18"/>
                <w:szCs w:val="18"/>
                <w:lang w:eastAsia="en-US"/>
              </w:rPr>
            </w:pPr>
            <w:r w:rsidRPr="00184A8E">
              <w:rPr>
                <w:rFonts w:ascii="Arial" w:eastAsia="Calibri" w:hAnsi="Arial" w:cs="Arial"/>
                <w:sz w:val="18"/>
                <w:szCs w:val="18"/>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35BF9E16" w14:textId="36318934" w:rsidR="00184A8E" w:rsidRPr="00184A8E" w:rsidRDefault="00A01BB0" w:rsidP="00184A8E">
            <w:pPr>
              <w:jc w:val="center"/>
              <w:rPr>
                <w:rFonts w:ascii="Arial" w:eastAsia="Calibri" w:hAnsi="Arial" w:cs="Arial"/>
                <w:sz w:val="18"/>
                <w:szCs w:val="18"/>
                <w:lang w:eastAsia="en-US"/>
              </w:rPr>
            </w:pPr>
            <w:r>
              <w:rPr>
                <w:rFonts w:ascii="Arial" w:eastAsia="Calibri" w:hAnsi="Arial" w:cs="Arial"/>
                <w:sz w:val="18"/>
                <w:szCs w:val="18"/>
                <w:lang w:eastAsia="en-US"/>
              </w:rPr>
              <w:t>81</w:t>
            </w:r>
            <w:r w:rsidR="00184A8E" w:rsidRPr="00184A8E">
              <w:rPr>
                <w:rFonts w:ascii="Arial" w:eastAsia="Calibri" w:hAnsi="Arial" w:cs="Arial"/>
                <w:sz w:val="18"/>
                <w:szCs w:val="18"/>
                <w:lang w:eastAsia="en-US"/>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132078E1" w14:textId="77777777" w:rsidR="00184A8E" w:rsidRPr="00184A8E" w:rsidRDefault="00184A8E" w:rsidP="00184A8E">
            <w:pPr>
              <w:jc w:val="center"/>
              <w:rPr>
                <w:rFonts w:ascii="Arial" w:hAnsi="Arial" w:cs="Arial"/>
                <w:sz w:val="18"/>
                <w:szCs w:val="18"/>
                <w:lang w:eastAsia="en-US"/>
              </w:rPr>
            </w:pPr>
            <w:r w:rsidRPr="00184A8E">
              <w:rPr>
                <w:rFonts w:ascii="Arial" w:eastAsia="Calibri" w:hAnsi="Arial" w:cs="Arial"/>
                <w:sz w:val="18"/>
                <w:szCs w:val="18"/>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5FCA083C"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100%</w:t>
            </w:r>
          </w:p>
        </w:tc>
      </w:tr>
    </w:tbl>
    <w:p w14:paraId="054764BC"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1EF04143"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 xml:space="preserve">4. A209104: Interventno održavanje čistoće javnih površina - druge usluge lokalnog značaja </w:t>
      </w:r>
      <w:r w:rsidRPr="00184A8E">
        <w:rPr>
          <w:rFonts w:ascii="Arial" w:eastAsia="Calibri" w:hAnsi="Arial" w:cs="Arial"/>
          <w:sz w:val="20"/>
          <w:szCs w:val="20"/>
        </w:rPr>
        <w:t>- u sklopu navedene aktivnosti nisu planirani rashodi i nisu utrošeni. Ova sredstva se planiraju za potrebe interventnog održavanja zbog vremenskih nepogoda ili djelovanja drugih čimbenika.</w:t>
      </w:r>
    </w:p>
    <w:p w14:paraId="02046D54" w14:textId="77777777" w:rsidR="00184A8E" w:rsidRPr="00184A8E" w:rsidRDefault="00184A8E" w:rsidP="00184A8E">
      <w:pPr>
        <w:spacing w:after="0" w:line="240" w:lineRule="auto"/>
        <w:jc w:val="both"/>
        <w:rPr>
          <w:rFonts w:ascii="Arial" w:eastAsia="Calibri" w:hAnsi="Arial" w:cs="Arial"/>
          <w:sz w:val="20"/>
          <w:szCs w:val="20"/>
        </w:rPr>
      </w:pPr>
    </w:p>
    <w:p w14:paraId="7EE2D5A7"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5. A209105: Blagdanska rasvjeta</w:t>
      </w:r>
      <w:r w:rsidRPr="00184A8E">
        <w:rPr>
          <w:rFonts w:ascii="Arial" w:eastAsia="Calibri" w:hAnsi="Arial" w:cs="Arial"/>
          <w:sz w:val="20"/>
          <w:szCs w:val="20"/>
        </w:rPr>
        <w:t xml:space="preserve"> - u sklopu navedene aktivnosti ne planiraju se rashodi. Ovi rashodi se obavljaju kroz održavanje javne rasvjete.</w:t>
      </w:r>
    </w:p>
    <w:p w14:paraId="5F2B52F7" w14:textId="77777777" w:rsidR="00184A8E" w:rsidRPr="00184A8E" w:rsidRDefault="00184A8E" w:rsidP="00184A8E">
      <w:pPr>
        <w:spacing w:after="0" w:line="240" w:lineRule="auto"/>
        <w:jc w:val="both"/>
        <w:rPr>
          <w:rFonts w:ascii="Arial" w:eastAsia="Calibri" w:hAnsi="Arial" w:cs="Arial"/>
          <w:sz w:val="20"/>
          <w:szCs w:val="20"/>
        </w:rPr>
      </w:pPr>
    </w:p>
    <w:p w14:paraId="1C1AC2D9" w14:textId="35C82C0D" w:rsidR="00184A8E" w:rsidRPr="00184A8E" w:rsidRDefault="00184A8E" w:rsidP="00184A8E">
      <w:pPr>
        <w:spacing w:after="0" w:line="240" w:lineRule="auto"/>
        <w:jc w:val="both"/>
        <w:rPr>
          <w:rFonts w:ascii="Arial" w:eastAsia="Times New Roman" w:hAnsi="Arial" w:cs="Arial"/>
          <w:sz w:val="20"/>
          <w:lang w:eastAsia="en-US"/>
        </w:rPr>
      </w:pPr>
      <w:bookmarkStart w:id="500" w:name="_Hlk135136322"/>
      <w:r w:rsidRPr="00184A8E">
        <w:rPr>
          <w:rFonts w:ascii="Arial" w:eastAsia="Calibri" w:hAnsi="Arial" w:cs="Arial"/>
          <w:b/>
          <w:sz w:val="20"/>
          <w:szCs w:val="20"/>
        </w:rPr>
        <w:t>6. A209106: Održavanje nerazvrstanih cesta (godišnji ugovor)</w:t>
      </w:r>
      <w:r w:rsidRPr="00184A8E">
        <w:rPr>
          <w:rFonts w:ascii="Arial" w:eastAsia="Calibri" w:hAnsi="Arial" w:cs="Arial"/>
          <w:sz w:val="20"/>
          <w:szCs w:val="20"/>
        </w:rPr>
        <w:t xml:space="preserve"> - u sklopu navedene aktivnosti planiraju se rashodi za usluge održavanja cesta koje obavlja društvo odabrano nakon provedbe natječaja. Planirana sredstva za provođenje navedene aktivnosti iznose </w:t>
      </w:r>
      <w:r w:rsidR="000B6820">
        <w:rPr>
          <w:rFonts w:ascii="Arial" w:eastAsia="Calibri" w:hAnsi="Arial" w:cs="Arial"/>
          <w:sz w:val="20"/>
          <w:szCs w:val="20"/>
        </w:rPr>
        <w:t>797.965</w:t>
      </w:r>
      <w:r w:rsidRPr="00184A8E">
        <w:rPr>
          <w:rFonts w:ascii="Arial" w:eastAsia="Calibri" w:hAnsi="Arial" w:cs="Arial"/>
          <w:sz w:val="20"/>
          <w:szCs w:val="20"/>
        </w:rPr>
        <w:t xml:space="preserve"> €. Rashodi su izvršeni u iznosu </w:t>
      </w:r>
      <w:r w:rsidR="000B6820">
        <w:rPr>
          <w:rFonts w:ascii="Arial" w:eastAsia="Calibri" w:hAnsi="Arial" w:cs="Arial"/>
          <w:sz w:val="20"/>
          <w:szCs w:val="20"/>
        </w:rPr>
        <w:t>797.963,88</w:t>
      </w:r>
      <w:r w:rsidRPr="00184A8E">
        <w:rPr>
          <w:rFonts w:ascii="Arial" w:eastAsia="Calibri" w:hAnsi="Arial" w:cs="Arial"/>
          <w:sz w:val="20"/>
          <w:szCs w:val="20"/>
        </w:rPr>
        <w:t xml:space="preserve"> € ili </w:t>
      </w:r>
      <w:r w:rsidR="000B6820">
        <w:rPr>
          <w:rFonts w:ascii="Arial" w:eastAsia="Calibri" w:hAnsi="Arial" w:cs="Arial"/>
          <w:sz w:val="20"/>
          <w:szCs w:val="20"/>
        </w:rPr>
        <w:t>100</w:t>
      </w:r>
      <w:r w:rsidRPr="00184A8E">
        <w:rPr>
          <w:rFonts w:ascii="Arial" w:eastAsia="Calibri" w:hAnsi="Arial" w:cs="Arial"/>
          <w:sz w:val="20"/>
          <w:szCs w:val="20"/>
        </w:rPr>
        <w:t>%.</w:t>
      </w:r>
    </w:p>
    <w:p w14:paraId="49B1AEA3" w14:textId="77777777" w:rsidR="00184A8E" w:rsidRPr="00184A8E" w:rsidRDefault="00184A8E" w:rsidP="00184A8E">
      <w:pPr>
        <w:spacing w:after="0" w:line="240" w:lineRule="auto"/>
        <w:jc w:val="both"/>
        <w:rPr>
          <w:rFonts w:ascii="Arial" w:eastAsia="Calibri" w:hAnsi="Arial" w:cs="Arial"/>
          <w:sz w:val="20"/>
          <w:szCs w:val="20"/>
        </w:rPr>
      </w:pPr>
    </w:p>
    <w:p w14:paraId="5E80F412" w14:textId="77777777" w:rsidR="000B6820"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Putem ove aktivnosti su planirana sredstva za izvođenje rashoda na temelju ugovora, zaključenog nakon provedenog natječaja, odnosno provedene javne nabave (sukladno odredbama novog Zakona o komunalnom gospodarstvu). </w:t>
      </w:r>
      <w:bookmarkStart w:id="501" w:name="_Hlk198893221"/>
    </w:p>
    <w:p w14:paraId="3356FA9E" w14:textId="77777777" w:rsidR="000B6820" w:rsidRDefault="000B6820" w:rsidP="00184A8E">
      <w:pPr>
        <w:spacing w:after="0" w:line="240" w:lineRule="auto"/>
        <w:jc w:val="both"/>
        <w:rPr>
          <w:rFonts w:ascii="Arial" w:eastAsia="Calibri" w:hAnsi="Arial" w:cs="Arial"/>
          <w:sz w:val="20"/>
          <w:szCs w:val="20"/>
          <w:lang w:eastAsia="en-US"/>
        </w:rPr>
      </w:pPr>
    </w:p>
    <w:p w14:paraId="6C1C6F0A" w14:textId="77777777" w:rsidR="000B6820" w:rsidRDefault="000B6820" w:rsidP="00184A8E">
      <w:pPr>
        <w:spacing w:after="0" w:line="240" w:lineRule="auto"/>
        <w:jc w:val="both"/>
        <w:rPr>
          <w:rFonts w:ascii="Arial" w:eastAsia="Calibri" w:hAnsi="Arial" w:cs="Arial"/>
          <w:sz w:val="20"/>
          <w:szCs w:val="20"/>
          <w:lang w:eastAsia="en-US"/>
        </w:rPr>
      </w:pPr>
    </w:p>
    <w:bookmarkEnd w:id="500"/>
    <w:bookmarkEnd w:id="501"/>
    <w:p w14:paraId="18EDE13D" w14:textId="77777777" w:rsidR="000B6820" w:rsidRPr="000B6820" w:rsidRDefault="000B6820" w:rsidP="000B6820">
      <w:pPr>
        <w:spacing w:after="0" w:line="240" w:lineRule="auto"/>
        <w:jc w:val="both"/>
        <w:rPr>
          <w:rFonts w:ascii="Arial" w:eastAsia="Calibri" w:hAnsi="Arial" w:cs="Arial"/>
          <w:sz w:val="20"/>
          <w:szCs w:val="20"/>
          <w:lang w:eastAsia="en-US"/>
        </w:rPr>
      </w:pPr>
      <w:r w:rsidRPr="000B6820">
        <w:rPr>
          <w:rFonts w:ascii="Arial" w:eastAsia="Calibri" w:hAnsi="Arial" w:cs="Arial"/>
          <w:sz w:val="20"/>
          <w:szCs w:val="20"/>
          <w:lang w:eastAsia="en-US"/>
        </w:rPr>
        <w:lastRenderedPageBreak/>
        <w:t xml:space="preserve">U veljači 2025. zaključen je ugovor s izvoditeljem „Dubrovnik ceste“ d.d. Ugovoreni su radovi izgradnje, uređenja i održavanja nerazvrstanih cesta, (kolnička konstrukcija - asfaltiranje, odvodnja, zemljani, betonski i zidarski radovi, nabava i postavljanje novih prometnih znakova, horizontalna signalizacija i slični radovi). Ugovorom iz svibnja, te dodatkom ugovoru iz studenoga 2025. ugovoreni su radovi u iznosu 777.863,86 €. </w:t>
      </w:r>
    </w:p>
    <w:p w14:paraId="78E68EDD" w14:textId="77777777" w:rsidR="000B6820" w:rsidRPr="000B6820" w:rsidRDefault="000B6820" w:rsidP="000B6820">
      <w:pPr>
        <w:spacing w:after="0" w:line="240" w:lineRule="auto"/>
        <w:jc w:val="both"/>
        <w:rPr>
          <w:rFonts w:ascii="Arial" w:eastAsia="Calibri" w:hAnsi="Arial" w:cs="Arial"/>
          <w:sz w:val="20"/>
          <w:szCs w:val="20"/>
          <w:lang w:eastAsia="en-US"/>
        </w:rPr>
      </w:pPr>
      <w:r w:rsidRPr="000B6820">
        <w:rPr>
          <w:rFonts w:ascii="Arial" w:eastAsia="Calibri" w:hAnsi="Arial" w:cs="Arial"/>
          <w:sz w:val="20"/>
          <w:szCs w:val="20"/>
          <w:lang w:eastAsia="en-US"/>
        </w:rPr>
        <w:t>Tijekom godine radovi asfaltiranja su obavljeni na sljedećim lokacijama: Drvenik, Cavtat, Gruda, Čilipi (Vučje ždrijelo i naselje) i više drugih manjih pojedinačnih lokacija.</w:t>
      </w:r>
    </w:p>
    <w:p w14:paraId="4003ACD8" w14:textId="77777777" w:rsidR="000B6820" w:rsidRPr="000B6820" w:rsidRDefault="000B6820" w:rsidP="000B6820">
      <w:pPr>
        <w:spacing w:after="0" w:line="240" w:lineRule="auto"/>
        <w:jc w:val="both"/>
        <w:rPr>
          <w:rFonts w:ascii="Arial" w:eastAsia="Calibri" w:hAnsi="Arial" w:cs="Arial"/>
          <w:sz w:val="20"/>
          <w:szCs w:val="20"/>
          <w:lang w:eastAsia="en-US"/>
        </w:rPr>
      </w:pPr>
    </w:p>
    <w:p w14:paraId="680ABE59" w14:textId="77777777" w:rsidR="000B6820" w:rsidRPr="000B6820" w:rsidRDefault="000B6820" w:rsidP="000B6820">
      <w:pPr>
        <w:spacing w:after="0" w:line="240" w:lineRule="auto"/>
        <w:jc w:val="both"/>
        <w:rPr>
          <w:rFonts w:ascii="Arial" w:eastAsia="Calibri" w:hAnsi="Arial" w:cs="Arial"/>
          <w:sz w:val="20"/>
          <w:szCs w:val="20"/>
          <w:lang w:eastAsia="en-US"/>
        </w:rPr>
      </w:pPr>
      <w:r w:rsidRPr="000B6820">
        <w:rPr>
          <w:rFonts w:ascii="Arial" w:eastAsia="Calibri" w:hAnsi="Arial" w:cs="Arial"/>
          <w:sz w:val="20"/>
          <w:szCs w:val="20"/>
          <w:lang w:eastAsia="en-US"/>
        </w:rPr>
        <w:t>Izvedeni radovi se odnose na radove:</w:t>
      </w:r>
    </w:p>
    <w:p w14:paraId="23751536" w14:textId="7F353B0A" w:rsidR="00184A8E" w:rsidRPr="00184A8E" w:rsidRDefault="000B6820" w:rsidP="000B6820">
      <w:pPr>
        <w:spacing w:after="0" w:line="240" w:lineRule="auto"/>
        <w:jc w:val="both"/>
        <w:rPr>
          <w:rFonts w:ascii="Arial" w:eastAsia="Times New Roman" w:hAnsi="Arial" w:cs="Arial"/>
          <w:sz w:val="20"/>
          <w:szCs w:val="20"/>
          <w:lang w:eastAsia="en-US"/>
        </w:rPr>
      </w:pPr>
      <w:r w:rsidRPr="000B6820">
        <w:rPr>
          <w:rFonts w:ascii="Arial" w:eastAsia="Calibri" w:hAnsi="Arial" w:cs="Arial"/>
          <w:sz w:val="20"/>
          <w:szCs w:val="20"/>
          <w:lang w:eastAsia="en-US"/>
        </w:rPr>
        <w:t>- uređenja i održavanja nerazvrstanih cesta, a obračunati su radovi po vrstama: kolnička konstrukcija – asfaltiranje 2.280 tona asfaltne mješavine i 550 m³ tampona s ukupne vrijednosti 660.501,63 €, zemljani radovi vrijednosti 11.707,66 €, potporni zidovi u vrijednosti 691,43 €, odvodnja u vrijednosti 51.932,42 €, betonski i zidarski radovi 19.793,43 €, ostali radovi (struganje postojećeg asfalta 1.800 m²) u vrijednosti 3.818,21 €, prometna oprema s horizontalnom i vertikalnom signalizacijom u vrijednosti 29.419,08 €.</w:t>
      </w:r>
    </w:p>
    <w:p w14:paraId="5DBB711D"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2405"/>
        <w:gridCol w:w="3260"/>
        <w:gridCol w:w="958"/>
        <w:gridCol w:w="1134"/>
        <w:gridCol w:w="1232"/>
        <w:gridCol w:w="1276"/>
        <w:gridCol w:w="1242"/>
        <w:gridCol w:w="1242"/>
        <w:gridCol w:w="1242"/>
      </w:tblGrid>
      <w:tr w:rsidR="00184A8E" w:rsidRPr="00184A8E" w14:paraId="67829F3E" w14:textId="77777777" w:rsidTr="00410A4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C0A15A8"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326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9ED9404"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A5429F4"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9DA60F1"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9C5B538" w14:textId="19C0C935"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0B6820">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0C623F9" w14:textId="056FE05C"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0B6820">
              <w:rPr>
                <w:rFonts w:ascii="Arial" w:eastAsia="Calibri" w:hAnsi="Arial" w:cs="Arial"/>
                <w:lang w:eastAsia="en-US"/>
              </w:rPr>
              <w:t>5</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C5EE040" w14:textId="60058E5F"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0B6820">
              <w:rPr>
                <w:rFonts w:ascii="Arial" w:eastAsia="Calibri" w:hAnsi="Arial" w:cs="Arial"/>
                <w:lang w:eastAsia="en-US"/>
              </w:rPr>
              <w:t>5</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ECDB417" w14:textId="6B19D6D6"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0B6820">
              <w:rPr>
                <w:rFonts w:ascii="Arial" w:eastAsia="Calibri" w:hAnsi="Arial" w:cs="Arial"/>
                <w:lang w:eastAsia="en-US"/>
              </w:rPr>
              <w:t>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82C314" w14:textId="7E0737F9"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0B6820">
              <w:rPr>
                <w:rFonts w:ascii="Arial" w:eastAsia="Calibri" w:hAnsi="Arial" w:cs="Arial"/>
                <w:lang w:eastAsia="en-US"/>
              </w:rPr>
              <w:t>7</w:t>
            </w:r>
            <w:r w:rsidRPr="00184A8E">
              <w:rPr>
                <w:rFonts w:ascii="Arial" w:eastAsia="Calibri" w:hAnsi="Arial" w:cs="Arial"/>
                <w:lang w:eastAsia="en-US"/>
              </w:rPr>
              <w:t>.</w:t>
            </w:r>
          </w:p>
        </w:tc>
      </w:tr>
      <w:tr w:rsidR="00184A8E" w:rsidRPr="00184A8E" w14:paraId="5EBE2994" w14:textId="77777777" w:rsidTr="00410A4B">
        <w:trPr>
          <w:trHeight w:val="273"/>
          <w:jc w:val="center"/>
        </w:trPr>
        <w:tc>
          <w:tcPr>
            <w:tcW w:w="2405" w:type="dxa"/>
            <w:tcBorders>
              <w:top w:val="single" w:sz="4" w:space="0" w:color="auto"/>
              <w:left w:val="single" w:sz="4" w:space="0" w:color="auto"/>
              <w:bottom w:val="single" w:sz="4" w:space="0" w:color="auto"/>
              <w:right w:val="single" w:sz="4" w:space="0" w:color="auto"/>
            </w:tcBorders>
            <w:vAlign w:val="center"/>
          </w:tcPr>
          <w:p w14:paraId="19240A95" w14:textId="77777777" w:rsidR="00184A8E" w:rsidRPr="00184A8E" w:rsidRDefault="00184A8E" w:rsidP="00184A8E">
            <w:pPr>
              <w:rPr>
                <w:rFonts w:ascii="Arial" w:hAnsi="Arial" w:cs="Arial"/>
                <w:sz w:val="18"/>
                <w:szCs w:val="18"/>
                <w:lang w:eastAsia="en-US"/>
              </w:rPr>
            </w:pPr>
            <w:r w:rsidRPr="00184A8E">
              <w:rPr>
                <w:rFonts w:ascii="Arial" w:eastAsia="Calibri" w:hAnsi="Arial" w:cs="Arial"/>
                <w:iCs/>
                <w:sz w:val="18"/>
                <w:szCs w:val="18"/>
              </w:rPr>
              <w:t xml:space="preserve">Utrošena sredstva za redovno održavanje cesta, nogostupa i putova </w:t>
            </w:r>
          </w:p>
        </w:tc>
        <w:tc>
          <w:tcPr>
            <w:tcW w:w="3260" w:type="dxa"/>
            <w:tcBorders>
              <w:top w:val="single" w:sz="4" w:space="0" w:color="auto"/>
              <w:left w:val="single" w:sz="4" w:space="0" w:color="auto"/>
              <w:bottom w:val="single" w:sz="4" w:space="0" w:color="auto"/>
              <w:right w:val="single" w:sz="4" w:space="0" w:color="auto"/>
            </w:tcBorders>
            <w:vAlign w:val="center"/>
          </w:tcPr>
          <w:p w14:paraId="16B6AFAD"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eastAsia="Calibri" w:hAnsi="Arial" w:cs="Arial"/>
                <w:sz w:val="18"/>
                <w:szCs w:val="18"/>
                <w:lang w:eastAsia="en-US"/>
              </w:rPr>
              <w:t xml:space="preserve">Udio utrošenih planiranih sredstava za </w:t>
            </w:r>
            <w:r w:rsidRPr="00184A8E">
              <w:rPr>
                <w:rFonts w:ascii="Arial" w:eastAsia="Calibri" w:hAnsi="Arial" w:cs="Arial"/>
                <w:iCs/>
                <w:sz w:val="18"/>
                <w:szCs w:val="18"/>
              </w:rPr>
              <w:t>redovito održavanje cesta, nogostupa i putova</w:t>
            </w:r>
          </w:p>
        </w:tc>
        <w:tc>
          <w:tcPr>
            <w:tcW w:w="958" w:type="dxa"/>
            <w:tcBorders>
              <w:top w:val="single" w:sz="4" w:space="0" w:color="auto"/>
              <w:left w:val="single" w:sz="4" w:space="0" w:color="auto"/>
              <w:bottom w:val="single" w:sz="4" w:space="0" w:color="auto"/>
              <w:right w:val="single" w:sz="4" w:space="0" w:color="auto"/>
            </w:tcBorders>
            <w:vAlign w:val="center"/>
          </w:tcPr>
          <w:p w14:paraId="797E4680"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7C63A7B7" w14:textId="77777777" w:rsidR="00184A8E" w:rsidRPr="00184A8E" w:rsidRDefault="00184A8E" w:rsidP="00184A8E">
            <w:pPr>
              <w:jc w:val="center"/>
              <w:rPr>
                <w:rFonts w:ascii="Arial" w:hAnsi="Arial" w:cs="Arial"/>
                <w:lang w:eastAsia="en-US"/>
              </w:rPr>
            </w:pPr>
            <w:r w:rsidRPr="00184A8E">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6260434"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B7C07F2"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7049AC92"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556E5F30"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646A1E9"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w:t>
            </w:r>
          </w:p>
        </w:tc>
      </w:tr>
    </w:tbl>
    <w:p w14:paraId="404E0CF9"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0D54901D" w14:textId="09048D7A"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b/>
          <w:sz w:val="20"/>
          <w:szCs w:val="20"/>
          <w:lang w:eastAsia="en-US"/>
        </w:rPr>
        <w:t>7. A209107: Održavanje cesta - hitne intervencije temeljem odluka komunalnog redarstva (interventna održavanja nakon vremenskih nepogoda ili oštećenja)</w:t>
      </w:r>
      <w:r w:rsidRPr="00184A8E">
        <w:rPr>
          <w:rFonts w:ascii="Arial" w:eastAsia="Times New Roman" w:hAnsi="Arial" w:cs="Arial"/>
          <w:sz w:val="20"/>
          <w:szCs w:val="20"/>
          <w:lang w:eastAsia="en-US"/>
        </w:rPr>
        <w:t xml:space="preserve"> - Ove usluge održavanja obuhvaćaju planirane rashode za interventna održavanja cesta iza vremenskih nepogoda ili drugih oštećenja kao što su sanacija klizišta i podzida i slično. Na temelju prijave građana, prijave nadležnih tijela ili saznanjem za oštećenja na drugi način, žurno se obilazi teren i brine o prometnoj sigurnosti cesta. Nakon toga se pristupa sanaciji, a sve radi održavanja prohodnosti i tehničke ispravnosti cesta i prometne sigurnosti na njima. Planirana sredstva za provođenje navedene aktivnosti iznose </w:t>
      </w:r>
      <w:r w:rsidR="00DB6670">
        <w:rPr>
          <w:rFonts w:ascii="Arial" w:eastAsia="Times New Roman" w:hAnsi="Arial" w:cs="Arial"/>
          <w:sz w:val="20"/>
          <w:szCs w:val="20"/>
          <w:lang w:eastAsia="en-US"/>
        </w:rPr>
        <w:t>15</w:t>
      </w:r>
      <w:r w:rsidRPr="00184A8E">
        <w:rPr>
          <w:rFonts w:ascii="Arial" w:eastAsia="Times New Roman" w:hAnsi="Arial" w:cs="Arial"/>
          <w:sz w:val="20"/>
          <w:szCs w:val="20"/>
          <w:lang w:eastAsia="en-US"/>
        </w:rPr>
        <w:t xml:space="preserve">.000 €. </w:t>
      </w:r>
      <w:bookmarkStart w:id="502" w:name="_Hlk166242947"/>
      <w:r w:rsidRPr="00184A8E">
        <w:rPr>
          <w:rFonts w:ascii="Arial" w:eastAsia="Times New Roman" w:hAnsi="Arial" w:cs="Arial"/>
          <w:sz w:val="20"/>
          <w:szCs w:val="20"/>
          <w:lang w:eastAsia="en-US"/>
        </w:rPr>
        <w:t>Rashodi nisu izvršeni.</w:t>
      </w:r>
    </w:p>
    <w:bookmarkEnd w:id="502"/>
    <w:p w14:paraId="00297258"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Style w:val="Reetkatablice5368"/>
        <w:tblW w:w="14280" w:type="dxa"/>
        <w:jc w:val="center"/>
        <w:tblLayout w:type="fixed"/>
        <w:tblLook w:val="04A0" w:firstRow="1" w:lastRow="0" w:firstColumn="1" w:lastColumn="0" w:noHBand="0" w:noVBand="1"/>
      </w:tblPr>
      <w:tblGrid>
        <w:gridCol w:w="2552"/>
        <w:gridCol w:w="3402"/>
        <w:gridCol w:w="958"/>
        <w:gridCol w:w="1134"/>
        <w:gridCol w:w="1232"/>
        <w:gridCol w:w="1276"/>
        <w:gridCol w:w="1242"/>
        <w:gridCol w:w="1242"/>
        <w:gridCol w:w="1242"/>
      </w:tblGrid>
      <w:tr w:rsidR="00184A8E" w:rsidRPr="00184A8E" w14:paraId="2CA6711E" w14:textId="77777777" w:rsidTr="00410A4B">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1144A39"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27045A7"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82CCA77"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9603D46"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C1BA4FC" w14:textId="43421359"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0B6820">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B95295F" w14:textId="69CC448E"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0B6820">
              <w:rPr>
                <w:rFonts w:ascii="Arial" w:eastAsia="Calibri" w:hAnsi="Arial" w:cs="Arial"/>
                <w:lang w:eastAsia="en-US"/>
              </w:rPr>
              <w:t>5</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460E279" w14:textId="255D0CFC"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0B6820">
              <w:rPr>
                <w:rFonts w:ascii="Arial" w:eastAsia="Calibri" w:hAnsi="Arial" w:cs="Arial"/>
                <w:lang w:eastAsia="en-US"/>
              </w:rPr>
              <w:t>5</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3DD284D" w14:textId="77D1A982"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0B6820">
              <w:rPr>
                <w:rFonts w:ascii="Arial" w:eastAsia="Calibri" w:hAnsi="Arial" w:cs="Arial"/>
                <w:lang w:eastAsia="en-US"/>
              </w:rPr>
              <w:t>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66004D7" w14:textId="5E131A3E"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w:t>
            </w:r>
            <w:r w:rsidR="000B6820">
              <w:rPr>
                <w:rFonts w:ascii="Arial" w:eastAsia="Calibri" w:hAnsi="Arial" w:cs="Arial"/>
                <w:lang w:eastAsia="en-US"/>
              </w:rPr>
              <w:t>27</w:t>
            </w:r>
            <w:r w:rsidRPr="00184A8E">
              <w:rPr>
                <w:rFonts w:ascii="Arial" w:eastAsia="Calibri" w:hAnsi="Arial" w:cs="Arial"/>
                <w:lang w:eastAsia="en-US"/>
              </w:rPr>
              <w:t>.</w:t>
            </w:r>
          </w:p>
        </w:tc>
      </w:tr>
      <w:tr w:rsidR="00184A8E" w:rsidRPr="00184A8E" w14:paraId="7A688C5D" w14:textId="77777777" w:rsidTr="00410A4B">
        <w:trPr>
          <w:trHeight w:val="273"/>
          <w:jc w:val="center"/>
        </w:trPr>
        <w:tc>
          <w:tcPr>
            <w:tcW w:w="2552" w:type="dxa"/>
            <w:vAlign w:val="center"/>
          </w:tcPr>
          <w:p w14:paraId="084E4A8B" w14:textId="77777777" w:rsidR="00184A8E" w:rsidRPr="00184A8E" w:rsidRDefault="00184A8E" w:rsidP="00184A8E">
            <w:pPr>
              <w:rPr>
                <w:rFonts w:ascii="Arial" w:hAnsi="Arial" w:cs="Arial"/>
                <w:sz w:val="18"/>
                <w:szCs w:val="18"/>
                <w:lang w:eastAsia="en-US"/>
              </w:rPr>
            </w:pPr>
            <w:r w:rsidRPr="00184A8E">
              <w:rPr>
                <w:rFonts w:ascii="Arial" w:eastAsia="Calibri" w:hAnsi="Arial" w:cs="Arial"/>
                <w:iCs/>
                <w:sz w:val="18"/>
                <w:szCs w:val="18"/>
              </w:rPr>
              <w:t>Utrošena sredstva za pojačano održavanje cesta, nogostupa i putova – hitne intervencije</w:t>
            </w:r>
          </w:p>
        </w:tc>
        <w:tc>
          <w:tcPr>
            <w:tcW w:w="3402" w:type="dxa"/>
            <w:vAlign w:val="center"/>
          </w:tcPr>
          <w:p w14:paraId="3E8E6447"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eastAsia="Calibri" w:hAnsi="Arial" w:cs="Arial"/>
                <w:sz w:val="18"/>
                <w:szCs w:val="18"/>
                <w:lang w:eastAsia="en-US"/>
              </w:rPr>
              <w:t xml:space="preserve">Udio utrošenih planiranih sredstava za pojačano </w:t>
            </w:r>
            <w:r w:rsidRPr="00184A8E">
              <w:rPr>
                <w:rFonts w:ascii="Arial" w:eastAsia="Calibri" w:hAnsi="Arial" w:cs="Arial"/>
                <w:iCs/>
                <w:sz w:val="18"/>
                <w:szCs w:val="18"/>
              </w:rPr>
              <w:t>održavanje cesta, nogostupa i putova u slučajevima hitnih intervencija</w:t>
            </w:r>
          </w:p>
        </w:tc>
        <w:tc>
          <w:tcPr>
            <w:tcW w:w="958" w:type="dxa"/>
            <w:tcBorders>
              <w:top w:val="single" w:sz="4" w:space="0" w:color="auto"/>
              <w:left w:val="single" w:sz="4" w:space="0" w:color="auto"/>
              <w:bottom w:val="single" w:sz="4" w:space="0" w:color="auto"/>
              <w:right w:val="single" w:sz="4" w:space="0" w:color="auto"/>
            </w:tcBorders>
            <w:vAlign w:val="center"/>
          </w:tcPr>
          <w:p w14:paraId="77A9D0F4"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48C226B0" w14:textId="77777777" w:rsidR="00184A8E" w:rsidRPr="00184A8E" w:rsidRDefault="00184A8E" w:rsidP="00184A8E">
            <w:pPr>
              <w:jc w:val="center"/>
              <w:rPr>
                <w:rFonts w:ascii="Arial" w:hAnsi="Arial" w:cs="Arial"/>
                <w:lang w:eastAsia="en-US"/>
              </w:rPr>
            </w:pPr>
            <w:r w:rsidRPr="00184A8E">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5B530620" w14:textId="037377AD" w:rsidR="00184A8E" w:rsidRPr="00184A8E" w:rsidRDefault="000B6820" w:rsidP="00184A8E">
            <w:pPr>
              <w:jc w:val="center"/>
              <w:rPr>
                <w:rFonts w:ascii="Arial" w:hAnsi="Arial" w:cs="Arial"/>
                <w:lang w:eastAsia="en-US"/>
              </w:rPr>
            </w:pPr>
            <w:r>
              <w:rPr>
                <w:rFonts w:ascii="Arial" w:eastAsia="Calibri" w:hAnsi="Arial" w:cs="Arial"/>
                <w:lang w:eastAsia="en-US"/>
              </w:rPr>
              <w:t>0</w:t>
            </w:r>
            <w:r w:rsidR="00184A8E" w:rsidRPr="00184A8E">
              <w:rPr>
                <w:rFonts w:ascii="Arial" w:eastAsia="Calibri" w:hAnsi="Arial" w:cs="Arial"/>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1B1EF1D0"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D2F7987" w14:textId="169594A0" w:rsidR="00184A8E" w:rsidRPr="00184A8E" w:rsidRDefault="000B6820" w:rsidP="00184A8E">
            <w:pPr>
              <w:jc w:val="center"/>
              <w:rPr>
                <w:rFonts w:ascii="Arial" w:eastAsia="Calibri" w:hAnsi="Arial" w:cs="Arial"/>
                <w:lang w:eastAsia="en-US"/>
              </w:rPr>
            </w:pPr>
            <w:r>
              <w:rPr>
                <w:rFonts w:ascii="Arial" w:eastAsia="Calibri" w:hAnsi="Arial" w:cs="Arial"/>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7155F606"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9CC370C"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w:t>
            </w:r>
          </w:p>
        </w:tc>
      </w:tr>
    </w:tbl>
    <w:p w14:paraId="17DDD728"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3493C750" w14:textId="4946F205"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b/>
          <w:sz w:val="20"/>
          <w:szCs w:val="20"/>
          <w:lang w:eastAsia="en-US"/>
        </w:rPr>
        <w:t xml:space="preserve">8. A209108: Održavanje cesta - organizacija prometa u mirovanju (poslovi u vezi naplate parkiranja na javnim površinama) </w:t>
      </w:r>
      <w:r w:rsidRPr="00184A8E">
        <w:rPr>
          <w:rFonts w:ascii="Arial" w:eastAsia="Times New Roman" w:hAnsi="Arial" w:cs="Arial"/>
          <w:sz w:val="20"/>
          <w:szCs w:val="20"/>
          <w:lang w:eastAsia="en-US"/>
        </w:rPr>
        <w:t xml:space="preserve">– planirana je aktivnost za prometno </w:t>
      </w:r>
      <w:bookmarkStart w:id="503" w:name="_Hlk135137033"/>
      <w:r w:rsidRPr="00184A8E">
        <w:rPr>
          <w:rFonts w:ascii="Arial" w:eastAsia="Times New Roman" w:hAnsi="Arial" w:cs="Arial"/>
          <w:sz w:val="20"/>
          <w:szCs w:val="20"/>
          <w:lang w:eastAsia="en-US"/>
        </w:rPr>
        <w:t xml:space="preserve">redarstvo i usluge održavanja prometa u mirovanju u iznosu </w:t>
      </w:r>
      <w:r w:rsidR="00DB6670">
        <w:rPr>
          <w:rFonts w:ascii="Arial" w:eastAsia="Times New Roman" w:hAnsi="Arial" w:cs="Arial"/>
          <w:sz w:val="20"/>
          <w:szCs w:val="20"/>
          <w:lang w:eastAsia="en-US"/>
        </w:rPr>
        <w:t>64.680</w:t>
      </w:r>
      <w:r w:rsidRPr="00184A8E">
        <w:rPr>
          <w:rFonts w:ascii="Arial" w:eastAsia="Times New Roman" w:hAnsi="Arial" w:cs="Arial"/>
          <w:sz w:val="20"/>
          <w:szCs w:val="20"/>
          <w:lang w:eastAsia="en-US"/>
        </w:rPr>
        <w:t xml:space="preserve"> €. Ovi rashodi se odnose na izradu naljepnica za propuštanje vozila u staru Cavtatsku jezgru u vrijeme ljetne sezone (naljepnice za lijepljenje s unutrašnje strane vozila, naljepnice s plastificiranim serijskim brojevima), rashode za korištenje sustava Pazigrad i GRADSKO OKO u segmentu prometnog redarstva i komunalnog redarstva prema zaključenom ugovoru zakupa licence i korištenja opreme. Korištenje sustava podrazumijeva zakup potrebnih računalnih resursa u podatkovnom centru Pazigrada, nadzor rada sustava i osiguravanje neprekidne funkcionalnosti sustava, brigu o sigurnosti podataka, održavanje opreme za terenski rad. Nadalje, ovdje su uključeni i rashodi za nabavu prijenosnih kamera za komunalno redarstvo, te održavanje rampe na parkingu prema šetnici Rat, rashodi za popravak sustava uslijed udara groma, nabavu novih stupića i slično. </w:t>
      </w:r>
    </w:p>
    <w:p w14:paraId="2452213B" w14:textId="77777777" w:rsidR="00184A8E" w:rsidRPr="00184A8E" w:rsidRDefault="00184A8E" w:rsidP="00184A8E">
      <w:pPr>
        <w:spacing w:after="0" w:line="240" w:lineRule="auto"/>
        <w:jc w:val="both"/>
        <w:rPr>
          <w:rFonts w:ascii="Arial" w:eastAsia="Times New Roman" w:hAnsi="Arial" w:cs="Arial"/>
          <w:sz w:val="20"/>
          <w:szCs w:val="20"/>
          <w:lang w:eastAsia="en-US"/>
        </w:rPr>
      </w:pPr>
    </w:p>
    <w:bookmarkEnd w:id="503"/>
    <w:p w14:paraId="145B19A8" w14:textId="77777777" w:rsidR="00DB6670" w:rsidRPr="00DB6670" w:rsidRDefault="00DB6670" w:rsidP="00DB6670">
      <w:pPr>
        <w:spacing w:after="0" w:line="240" w:lineRule="auto"/>
        <w:jc w:val="both"/>
        <w:rPr>
          <w:rFonts w:ascii="Arial" w:eastAsia="Times New Roman" w:hAnsi="Arial" w:cs="Arial"/>
          <w:sz w:val="20"/>
          <w:szCs w:val="20"/>
          <w:lang w:eastAsia="en-US"/>
        </w:rPr>
      </w:pPr>
      <w:r w:rsidRPr="00DB6670">
        <w:rPr>
          <w:rFonts w:ascii="Arial" w:eastAsia="Times New Roman" w:hAnsi="Arial" w:cs="Arial"/>
          <w:sz w:val="20"/>
          <w:szCs w:val="20"/>
          <w:lang w:eastAsia="en-US"/>
        </w:rPr>
        <w:lastRenderedPageBreak/>
        <w:t>Rashodi su planirani u iznosu 64.680 €, a izvršeni su u iznosu 47.565,28 €. Rashodi se odnose na:</w:t>
      </w:r>
    </w:p>
    <w:p w14:paraId="05F3F2D0" w14:textId="77777777" w:rsidR="00DB6670" w:rsidRPr="00DB6670" w:rsidRDefault="00DB6670" w:rsidP="00DB6670">
      <w:pPr>
        <w:spacing w:after="0" w:line="240" w:lineRule="auto"/>
        <w:jc w:val="both"/>
        <w:rPr>
          <w:rFonts w:ascii="Arial" w:eastAsia="Times New Roman" w:hAnsi="Arial" w:cs="Arial"/>
          <w:sz w:val="20"/>
          <w:szCs w:val="20"/>
          <w:lang w:eastAsia="en-US"/>
        </w:rPr>
      </w:pPr>
      <w:r w:rsidRPr="00DB6670">
        <w:rPr>
          <w:rFonts w:ascii="Arial" w:eastAsia="Times New Roman" w:hAnsi="Arial" w:cs="Arial"/>
          <w:sz w:val="20"/>
          <w:szCs w:val="20"/>
          <w:lang w:eastAsia="en-US"/>
        </w:rPr>
        <w:t>-</w:t>
      </w:r>
      <w:r w:rsidRPr="00DB6670">
        <w:rPr>
          <w:rFonts w:ascii="Arial" w:eastAsia="Times New Roman" w:hAnsi="Arial" w:cs="Arial"/>
          <w:sz w:val="20"/>
          <w:szCs w:val="20"/>
          <w:lang w:eastAsia="en-US"/>
        </w:rPr>
        <w:tab/>
        <w:t xml:space="preserve">rashode za korištenje sustava Pazigrad, prometno redarstvo uključujući novu kameru za kontrolu ulaska u staru jezgru (očitanje sustava registrarskih oznaka), korištenje sustava SmartCAM i licencu za godišnji Internet promet za uličnu kameru u iznosu 18.495,83 €, </w:t>
      </w:r>
    </w:p>
    <w:p w14:paraId="7AB6D28D" w14:textId="77777777" w:rsidR="00DB6670" w:rsidRPr="00DB6670" w:rsidRDefault="00DB6670" w:rsidP="00DB6670">
      <w:pPr>
        <w:spacing w:after="0" w:line="240" w:lineRule="auto"/>
        <w:jc w:val="both"/>
        <w:rPr>
          <w:rFonts w:ascii="Arial" w:eastAsia="Times New Roman" w:hAnsi="Arial" w:cs="Arial"/>
          <w:sz w:val="20"/>
          <w:szCs w:val="20"/>
          <w:lang w:eastAsia="en-US"/>
        </w:rPr>
      </w:pPr>
      <w:r w:rsidRPr="00DB6670">
        <w:rPr>
          <w:rFonts w:ascii="Arial" w:eastAsia="Times New Roman" w:hAnsi="Arial" w:cs="Arial"/>
          <w:sz w:val="20"/>
          <w:szCs w:val="20"/>
          <w:lang w:eastAsia="en-US"/>
        </w:rPr>
        <w:t xml:space="preserve">- </w:t>
      </w:r>
      <w:r w:rsidRPr="00DB6670">
        <w:rPr>
          <w:rFonts w:ascii="Arial" w:eastAsia="Times New Roman" w:hAnsi="Arial" w:cs="Arial"/>
          <w:sz w:val="20"/>
          <w:szCs w:val="20"/>
          <w:lang w:eastAsia="en-US"/>
        </w:rPr>
        <w:tab/>
        <w:t>nabavu nove kamere s nosačem i softverom za upravljanje zonom ograničenog prometa u iznosu 18.180,00 € na temelju ugovora iz travnja 2025. (ugovor u iznosu 22.480 € s PDV-om uključuje i iznos korištenja softvera za 12 mjeseci),</w:t>
      </w:r>
    </w:p>
    <w:p w14:paraId="52B865E1" w14:textId="77777777" w:rsidR="00DB6670" w:rsidRPr="00DB6670" w:rsidRDefault="00DB6670" w:rsidP="00DB6670">
      <w:pPr>
        <w:spacing w:after="0" w:line="240" w:lineRule="auto"/>
        <w:jc w:val="both"/>
        <w:rPr>
          <w:rFonts w:ascii="Arial" w:eastAsia="Times New Roman" w:hAnsi="Arial" w:cs="Arial"/>
          <w:sz w:val="20"/>
          <w:szCs w:val="20"/>
          <w:lang w:eastAsia="en-US"/>
        </w:rPr>
      </w:pPr>
      <w:r w:rsidRPr="00DB6670">
        <w:rPr>
          <w:rFonts w:ascii="Arial" w:eastAsia="Times New Roman" w:hAnsi="Arial" w:cs="Arial"/>
          <w:sz w:val="20"/>
          <w:szCs w:val="20"/>
          <w:lang w:eastAsia="en-US"/>
        </w:rPr>
        <w:t>-</w:t>
      </w:r>
      <w:r w:rsidRPr="00DB6670">
        <w:rPr>
          <w:rFonts w:ascii="Arial" w:eastAsia="Times New Roman" w:hAnsi="Arial" w:cs="Arial"/>
          <w:sz w:val="20"/>
          <w:szCs w:val="20"/>
          <w:lang w:eastAsia="en-US"/>
        </w:rPr>
        <w:tab/>
        <w:t xml:space="preserve">rashode za korištenje sustava Pazigrad, komunalno redarstvo, u iznosu 6.898,20 €, </w:t>
      </w:r>
    </w:p>
    <w:p w14:paraId="07294FEB" w14:textId="77777777" w:rsidR="00DB6670" w:rsidRPr="00DB6670" w:rsidRDefault="00DB6670" w:rsidP="00DB6670">
      <w:pPr>
        <w:spacing w:after="0" w:line="240" w:lineRule="auto"/>
        <w:jc w:val="both"/>
        <w:rPr>
          <w:rFonts w:ascii="Arial" w:eastAsia="Times New Roman" w:hAnsi="Arial" w:cs="Arial"/>
          <w:sz w:val="20"/>
          <w:szCs w:val="20"/>
          <w:lang w:eastAsia="en-US"/>
        </w:rPr>
      </w:pPr>
      <w:r w:rsidRPr="00DB6670">
        <w:rPr>
          <w:rFonts w:ascii="Arial" w:eastAsia="Times New Roman" w:hAnsi="Arial" w:cs="Arial"/>
          <w:sz w:val="20"/>
          <w:szCs w:val="20"/>
          <w:lang w:eastAsia="en-US"/>
        </w:rPr>
        <w:t xml:space="preserve">- </w:t>
      </w:r>
      <w:r w:rsidRPr="00DB6670">
        <w:rPr>
          <w:rFonts w:ascii="Arial" w:eastAsia="Times New Roman" w:hAnsi="Arial" w:cs="Arial"/>
          <w:sz w:val="20"/>
          <w:szCs w:val="20"/>
          <w:lang w:eastAsia="en-US"/>
        </w:rPr>
        <w:tab/>
        <w:t xml:space="preserve">godišnji servis, održavanje i popravci automatskih rampi 2.525 €, </w:t>
      </w:r>
    </w:p>
    <w:p w14:paraId="56EBA26B" w14:textId="77777777" w:rsidR="00DB6670" w:rsidRPr="00DB6670" w:rsidRDefault="00DB6670" w:rsidP="00DB6670">
      <w:pPr>
        <w:spacing w:after="0" w:line="240" w:lineRule="auto"/>
        <w:jc w:val="both"/>
        <w:rPr>
          <w:rFonts w:ascii="Arial" w:eastAsia="Times New Roman" w:hAnsi="Arial" w:cs="Arial"/>
          <w:sz w:val="20"/>
          <w:szCs w:val="20"/>
          <w:lang w:eastAsia="en-US"/>
        </w:rPr>
      </w:pPr>
      <w:r w:rsidRPr="00DB6670">
        <w:rPr>
          <w:rFonts w:ascii="Arial" w:eastAsia="Times New Roman" w:hAnsi="Arial" w:cs="Arial"/>
          <w:sz w:val="20"/>
          <w:szCs w:val="20"/>
          <w:lang w:eastAsia="en-US"/>
        </w:rPr>
        <w:t xml:space="preserve">- </w:t>
      </w:r>
      <w:r w:rsidRPr="00DB6670">
        <w:rPr>
          <w:rFonts w:ascii="Arial" w:eastAsia="Times New Roman" w:hAnsi="Arial" w:cs="Arial"/>
          <w:sz w:val="20"/>
          <w:szCs w:val="20"/>
          <w:lang w:eastAsia="en-US"/>
        </w:rPr>
        <w:tab/>
        <w:t>izradu drugih tabli i naljepnica za ulaz u Cavtat 1.466,25 €.</w:t>
      </w:r>
    </w:p>
    <w:p w14:paraId="28C2B79E" w14:textId="77777777" w:rsidR="00DB6670" w:rsidRPr="00DB6670" w:rsidRDefault="00DB6670" w:rsidP="00DB6670">
      <w:pPr>
        <w:spacing w:after="0" w:line="240" w:lineRule="auto"/>
        <w:jc w:val="both"/>
        <w:rPr>
          <w:rFonts w:ascii="Arial" w:eastAsia="Times New Roman" w:hAnsi="Arial" w:cs="Arial"/>
          <w:sz w:val="20"/>
          <w:szCs w:val="20"/>
          <w:lang w:eastAsia="en-US"/>
        </w:rPr>
      </w:pPr>
    </w:p>
    <w:p w14:paraId="510AEC95" w14:textId="77777777" w:rsidR="00DB6670" w:rsidRPr="00DB6670" w:rsidRDefault="00DB6670" w:rsidP="00DB6670">
      <w:pPr>
        <w:spacing w:after="0" w:line="240" w:lineRule="auto"/>
        <w:jc w:val="both"/>
        <w:rPr>
          <w:rFonts w:ascii="Arial" w:eastAsia="Times New Roman" w:hAnsi="Arial" w:cs="Arial"/>
          <w:sz w:val="20"/>
          <w:szCs w:val="20"/>
          <w:lang w:eastAsia="en-US"/>
        </w:rPr>
      </w:pPr>
      <w:r w:rsidRPr="00DB6670">
        <w:rPr>
          <w:rFonts w:ascii="Arial" w:eastAsia="Times New Roman" w:hAnsi="Arial" w:cs="Arial"/>
          <w:sz w:val="20"/>
          <w:szCs w:val="20"/>
          <w:lang w:eastAsia="en-US"/>
        </w:rPr>
        <w:t>Rashodi za korištenje sustava Pazigrad u segmentu prometnog redarstva prema zaključenim ugovorima uključuju:</w:t>
      </w:r>
    </w:p>
    <w:p w14:paraId="2B22F535" w14:textId="77777777" w:rsidR="00DB6670" w:rsidRPr="00DB6670" w:rsidRDefault="00DB6670" w:rsidP="00DB6670">
      <w:pPr>
        <w:spacing w:after="0" w:line="240" w:lineRule="auto"/>
        <w:jc w:val="both"/>
        <w:rPr>
          <w:rFonts w:ascii="Arial" w:eastAsia="Times New Roman" w:hAnsi="Arial" w:cs="Arial"/>
          <w:sz w:val="20"/>
          <w:szCs w:val="20"/>
          <w:lang w:eastAsia="en-US"/>
        </w:rPr>
      </w:pPr>
      <w:r w:rsidRPr="00DB6670">
        <w:rPr>
          <w:rFonts w:ascii="Arial" w:eastAsia="Times New Roman" w:hAnsi="Arial" w:cs="Arial"/>
          <w:sz w:val="20"/>
          <w:szCs w:val="20"/>
          <w:lang w:eastAsia="en-US"/>
        </w:rPr>
        <w:t>-</w:t>
      </w:r>
      <w:r w:rsidRPr="00DB6670">
        <w:rPr>
          <w:rFonts w:ascii="Arial" w:eastAsia="Times New Roman" w:hAnsi="Arial" w:cs="Arial"/>
          <w:sz w:val="20"/>
          <w:szCs w:val="20"/>
          <w:lang w:eastAsia="en-US"/>
        </w:rPr>
        <w:tab/>
        <w:t xml:space="preserve">licenca za kameru - korištenje sustava Pazigrad Smart CAM u iznosu 250 € mjesečno, odnosno 3.000 € godišnje prema ugovoru iz prosinca 2024. (licenca uključuje modul za pregled i kažnjavanje prepoznatih prekršaja); </w:t>
      </w:r>
    </w:p>
    <w:p w14:paraId="7725CD5D" w14:textId="77777777" w:rsidR="00DB6670" w:rsidRPr="00DB6670" w:rsidRDefault="00DB6670" w:rsidP="00DB6670">
      <w:pPr>
        <w:spacing w:after="0" w:line="240" w:lineRule="auto"/>
        <w:jc w:val="both"/>
        <w:rPr>
          <w:rFonts w:ascii="Arial" w:eastAsia="Times New Roman" w:hAnsi="Arial" w:cs="Arial"/>
          <w:sz w:val="20"/>
          <w:szCs w:val="20"/>
          <w:lang w:eastAsia="en-US"/>
        </w:rPr>
      </w:pPr>
      <w:r w:rsidRPr="00DB6670">
        <w:rPr>
          <w:rFonts w:ascii="Arial" w:eastAsia="Times New Roman" w:hAnsi="Arial" w:cs="Arial"/>
          <w:sz w:val="20"/>
          <w:szCs w:val="20"/>
          <w:lang w:eastAsia="en-US"/>
        </w:rPr>
        <w:t>-</w:t>
      </w:r>
      <w:r w:rsidRPr="00DB6670">
        <w:rPr>
          <w:rFonts w:ascii="Arial" w:eastAsia="Times New Roman" w:hAnsi="Arial" w:cs="Arial"/>
          <w:sz w:val="20"/>
          <w:szCs w:val="20"/>
          <w:lang w:eastAsia="en-US"/>
        </w:rPr>
        <w:tab/>
        <w:t>najam ulične kamere, licenca i Internet promet Pazigrad Smart CAM sustava na temelju ugovora iz kolovoza 2024. godinu mjesečno u iznosu 392,17 €, odnosno ugovora iz srpnja 2025. godine, a ukupni godišnji rashodi iznose 4.712,48 €;</w:t>
      </w:r>
    </w:p>
    <w:p w14:paraId="00446432" w14:textId="77777777" w:rsidR="00DB6670" w:rsidRPr="00DB6670" w:rsidRDefault="00DB6670" w:rsidP="00DB6670">
      <w:pPr>
        <w:spacing w:after="0" w:line="240" w:lineRule="auto"/>
        <w:jc w:val="both"/>
        <w:rPr>
          <w:rFonts w:ascii="Arial" w:eastAsia="Times New Roman" w:hAnsi="Arial" w:cs="Arial"/>
          <w:sz w:val="20"/>
          <w:szCs w:val="20"/>
          <w:lang w:eastAsia="en-US"/>
        </w:rPr>
      </w:pPr>
      <w:r w:rsidRPr="00DB6670">
        <w:rPr>
          <w:rFonts w:ascii="Arial" w:eastAsia="Times New Roman" w:hAnsi="Arial" w:cs="Arial"/>
          <w:sz w:val="20"/>
          <w:szCs w:val="20"/>
          <w:lang w:eastAsia="en-US"/>
        </w:rPr>
        <w:t>-</w:t>
      </w:r>
      <w:r w:rsidRPr="00DB6670">
        <w:rPr>
          <w:rFonts w:ascii="Arial" w:eastAsia="Times New Roman" w:hAnsi="Arial" w:cs="Arial"/>
          <w:sz w:val="20"/>
          <w:szCs w:val="20"/>
          <w:lang w:eastAsia="en-US"/>
        </w:rPr>
        <w:tab/>
        <w:t xml:space="preserve">korištenje sustava Pazigrad – Gradsko oko na temelju ugovora za 2025. godinu kojim je utvrđen mjesečni zakup računalnih resursa 600 € mjesečno, odnosno sveukupno 7.200 €; </w:t>
      </w:r>
    </w:p>
    <w:p w14:paraId="5AC48BEF" w14:textId="77777777" w:rsidR="00DB6670" w:rsidRPr="00DB6670" w:rsidRDefault="00DB6670" w:rsidP="00DB6670">
      <w:pPr>
        <w:spacing w:after="0" w:line="240" w:lineRule="auto"/>
        <w:jc w:val="both"/>
        <w:rPr>
          <w:rFonts w:ascii="Arial" w:eastAsia="Times New Roman" w:hAnsi="Arial" w:cs="Arial"/>
          <w:sz w:val="20"/>
          <w:szCs w:val="20"/>
          <w:lang w:eastAsia="en-US"/>
        </w:rPr>
      </w:pPr>
      <w:r w:rsidRPr="00DB6670">
        <w:rPr>
          <w:rFonts w:ascii="Arial" w:eastAsia="Times New Roman" w:hAnsi="Arial" w:cs="Arial"/>
          <w:sz w:val="20"/>
          <w:szCs w:val="20"/>
          <w:lang w:eastAsia="en-US"/>
        </w:rPr>
        <w:t>-</w:t>
      </w:r>
      <w:r w:rsidRPr="00DB6670">
        <w:rPr>
          <w:rFonts w:ascii="Arial" w:eastAsia="Times New Roman" w:hAnsi="Arial" w:cs="Arial"/>
          <w:sz w:val="20"/>
          <w:szCs w:val="20"/>
          <w:lang w:eastAsia="en-US"/>
        </w:rPr>
        <w:tab/>
        <w:t>softver Pazigrad Control podrazurnijeva (uključuje upravljanje, modul za komunikaciju i prihvat podataka sa LPR kamera na ulazu-izlazu iz zone ograničenje, te internet promet). Održavanje i nadzor nad svim funkcijama sustava sastoji se od programske i tehničke podrške, a podrazumijeva osiguravanje neprekidnog rada (24/7), održavanje sustava sa programske strane, otklanjanje uočenih problema. Rashodi se izvršavaju od početka ožujka 2025. godine sukladno zaključenom ugovoru, te je do konca godine izvršeno 3.583,35 € (mjesečno 358,34 €). Istim ugovorom utvrđena je nabava ulične kamere sa softverom.</w:t>
      </w:r>
    </w:p>
    <w:p w14:paraId="41392B63" w14:textId="77777777" w:rsidR="00DB6670" w:rsidRPr="00DB6670" w:rsidRDefault="00DB6670" w:rsidP="00DB6670">
      <w:pPr>
        <w:spacing w:after="0" w:line="240" w:lineRule="auto"/>
        <w:jc w:val="both"/>
        <w:rPr>
          <w:rFonts w:ascii="Arial" w:eastAsia="Times New Roman" w:hAnsi="Arial" w:cs="Arial"/>
          <w:sz w:val="20"/>
          <w:szCs w:val="20"/>
          <w:lang w:eastAsia="en-US"/>
        </w:rPr>
      </w:pPr>
    </w:p>
    <w:p w14:paraId="7EFA5A41" w14:textId="49425BD7" w:rsidR="00DB6670" w:rsidRDefault="00DB6670" w:rsidP="00DB6670">
      <w:pPr>
        <w:spacing w:after="0" w:line="240" w:lineRule="auto"/>
        <w:jc w:val="both"/>
        <w:rPr>
          <w:rFonts w:ascii="Arial" w:eastAsia="Times New Roman" w:hAnsi="Arial" w:cs="Arial"/>
          <w:sz w:val="20"/>
          <w:szCs w:val="20"/>
          <w:lang w:eastAsia="en-US"/>
        </w:rPr>
      </w:pPr>
      <w:r w:rsidRPr="00DB6670">
        <w:rPr>
          <w:rFonts w:ascii="Arial" w:eastAsia="Times New Roman" w:hAnsi="Arial" w:cs="Arial"/>
          <w:sz w:val="20"/>
          <w:szCs w:val="20"/>
          <w:lang w:eastAsia="en-US"/>
        </w:rPr>
        <w:t>Rashodi za korištenje sustava Pazigrad u segmentu komunalnog redarstva izvršeni su prema ugovoru (svibanj 2024., te novom ugovoru iz srpnja 2025. godine) za zakup licence KOMUNALKO i korištenja opreme, te vođenje prekršajnog i upravnog postupka (jedan mobilni komplet – ručni terminal i pisač za rad na terenu). Rashodi su izvršeni u iznosu 6.898,20 € (mjesečno 574,85 €).</w:t>
      </w:r>
    </w:p>
    <w:p w14:paraId="14A07B98" w14:textId="77777777" w:rsidR="00DB6670" w:rsidRPr="00184A8E" w:rsidRDefault="00DB6670" w:rsidP="00DB6670">
      <w:pPr>
        <w:spacing w:after="0" w:line="240" w:lineRule="auto"/>
        <w:jc w:val="both"/>
        <w:rPr>
          <w:rFonts w:ascii="Arial" w:eastAsia="Times New Roman"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2263"/>
        <w:gridCol w:w="3402"/>
        <w:gridCol w:w="958"/>
        <w:gridCol w:w="1134"/>
        <w:gridCol w:w="1232"/>
        <w:gridCol w:w="1276"/>
        <w:gridCol w:w="1242"/>
        <w:gridCol w:w="1242"/>
        <w:gridCol w:w="1242"/>
      </w:tblGrid>
      <w:tr w:rsidR="00184A8E" w:rsidRPr="00184A8E" w14:paraId="5EFB9512"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26A82F0"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B2DE350"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A7661C2"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A912652"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D77DF44" w14:textId="2F3DE916"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DB6670">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ABD3ED7" w14:textId="41865332"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w:t>
            </w:r>
            <w:r w:rsidR="00DB6670">
              <w:rPr>
                <w:rFonts w:ascii="Arial" w:eastAsia="Calibri" w:hAnsi="Arial" w:cs="Arial"/>
                <w:lang w:eastAsia="en-US"/>
              </w:rPr>
              <w:t>25</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920CA25" w14:textId="00000965"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DB6670">
              <w:rPr>
                <w:rFonts w:ascii="Arial" w:eastAsia="Calibri" w:hAnsi="Arial" w:cs="Arial"/>
                <w:lang w:eastAsia="en-US"/>
              </w:rPr>
              <w:t>5</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9F7DA04" w14:textId="531EB81D"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DB6670">
              <w:rPr>
                <w:rFonts w:ascii="Arial" w:eastAsia="Calibri" w:hAnsi="Arial" w:cs="Arial"/>
                <w:lang w:eastAsia="en-US"/>
              </w:rPr>
              <w:t>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4738680" w14:textId="37C82A85"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DB6670">
              <w:rPr>
                <w:rFonts w:ascii="Arial" w:eastAsia="Calibri" w:hAnsi="Arial" w:cs="Arial"/>
                <w:lang w:eastAsia="en-US"/>
              </w:rPr>
              <w:t>7</w:t>
            </w:r>
            <w:r w:rsidRPr="00184A8E">
              <w:rPr>
                <w:rFonts w:ascii="Arial" w:eastAsia="Calibri" w:hAnsi="Arial" w:cs="Arial"/>
                <w:lang w:eastAsia="en-US"/>
              </w:rPr>
              <w:t>.</w:t>
            </w:r>
          </w:p>
        </w:tc>
      </w:tr>
      <w:tr w:rsidR="00184A8E" w:rsidRPr="00184A8E" w14:paraId="029EF7B9" w14:textId="77777777" w:rsidTr="00410A4B">
        <w:trPr>
          <w:trHeight w:val="273"/>
          <w:jc w:val="center"/>
        </w:trPr>
        <w:tc>
          <w:tcPr>
            <w:tcW w:w="2263" w:type="dxa"/>
            <w:vAlign w:val="center"/>
          </w:tcPr>
          <w:p w14:paraId="7492B2B2" w14:textId="77777777" w:rsidR="00184A8E" w:rsidRPr="00184A8E" w:rsidRDefault="00184A8E" w:rsidP="00184A8E">
            <w:pPr>
              <w:rPr>
                <w:rFonts w:ascii="Arial" w:hAnsi="Arial" w:cs="Arial"/>
                <w:lang w:eastAsia="en-US"/>
              </w:rPr>
            </w:pPr>
            <w:r w:rsidRPr="00184A8E">
              <w:rPr>
                <w:rFonts w:ascii="Arial" w:eastAsia="Calibri" w:hAnsi="Arial" w:cs="Arial"/>
                <w:iCs/>
              </w:rPr>
              <w:t>Utrošena sredstva za organizaciju prometa u mirovanju</w:t>
            </w:r>
          </w:p>
        </w:tc>
        <w:tc>
          <w:tcPr>
            <w:tcW w:w="3402" w:type="dxa"/>
            <w:vAlign w:val="center"/>
          </w:tcPr>
          <w:p w14:paraId="3ADE4ABB" w14:textId="77777777" w:rsidR="00184A8E" w:rsidRPr="00184A8E" w:rsidRDefault="00184A8E" w:rsidP="00184A8E">
            <w:pPr>
              <w:autoSpaceDE w:val="0"/>
              <w:autoSpaceDN w:val="0"/>
              <w:adjustRightInd w:val="0"/>
              <w:rPr>
                <w:rFonts w:ascii="Arial" w:hAnsi="Arial" w:cs="Arial"/>
                <w:lang w:eastAsia="en-US"/>
              </w:rPr>
            </w:pPr>
            <w:r w:rsidRPr="00184A8E">
              <w:rPr>
                <w:rFonts w:ascii="Arial" w:eastAsia="Calibri" w:hAnsi="Arial" w:cs="Arial"/>
                <w:lang w:eastAsia="en-US"/>
              </w:rPr>
              <w:t>Udio utrošenih planiranih sredstava za poslove organizacije prometa u mirovanju</w:t>
            </w:r>
          </w:p>
        </w:tc>
        <w:tc>
          <w:tcPr>
            <w:tcW w:w="958" w:type="dxa"/>
            <w:tcBorders>
              <w:top w:val="single" w:sz="4" w:space="0" w:color="auto"/>
              <w:left w:val="single" w:sz="4" w:space="0" w:color="auto"/>
              <w:bottom w:val="single" w:sz="4" w:space="0" w:color="auto"/>
              <w:right w:val="single" w:sz="4" w:space="0" w:color="auto"/>
            </w:tcBorders>
            <w:vAlign w:val="center"/>
          </w:tcPr>
          <w:p w14:paraId="7CE5A958"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119E84C4" w14:textId="77777777" w:rsidR="00184A8E" w:rsidRPr="00184A8E" w:rsidRDefault="00184A8E" w:rsidP="00184A8E">
            <w:pPr>
              <w:jc w:val="center"/>
              <w:rPr>
                <w:rFonts w:ascii="Arial" w:hAnsi="Arial" w:cs="Arial"/>
                <w:lang w:eastAsia="en-US"/>
              </w:rPr>
            </w:pPr>
            <w:r w:rsidRPr="00184A8E">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095806FB" w14:textId="2AA028D1" w:rsidR="00184A8E" w:rsidRPr="00184A8E" w:rsidRDefault="00DB6670" w:rsidP="00184A8E">
            <w:pPr>
              <w:jc w:val="center"/>
              <w:rPr>
                <w:rFonts w:ascii="Arial" w:hAnsi="Arial" w:cs="Arial"/>
                <w:lang w:eastAsia="en-US"/>
              </w:rPr>
            </w:pPr>
            <w:r>
              <w:rPr>
                <w:rFonts w:ascii="Arial" w:eastAsia="Calibri" w:hAnsi="Arial" w:cs="Arial"/>
                <w:lang w:eastAsia="en-US"/>
              </w:rPr>
              <w:t>87</w:t>
            </w:r>
            <w:r w:rsidR="00184A8E" w:rsidRPr="00184A8E">
              <w:rPr>
                <w:rFonts w:ascii="Arial" w:eastAsia="Calibri" w:hAnsi="Arial" w:cs="Arial"/>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1110925E"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43CBE90E" w14:textId="1BA1A464" w:rsidR="00184A8E" w:rsidRPr="00184A8E" w:rsidRDefault="00DB6670" w:rsidP="00184A8E">
            <w:pPr>
              <w:jc w:val="center"/>
              <w:rPr>
                <w:rFonts w:ascii="Arial" w:eastAsia="Calibri" w:hAnsi="Arial" w:cs="Arial"/>
                <w:lang w:eastAsia="en-US"/>
              </w:rPr>
            </w:pPr>
            <w:r>
              <w:rPr>
                <w:rFonts w:ascii="Arial" w:eastAsia="Calibri" w:hAnsi="Arial" w:cs="Arial"/>
                <w:lang w:eastAsia="en-US"/>
              </w:rPr>
              <w:t>73</w:t>
            </w:r>
            <w:r w:rsidR="00184A8E"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00B88DD0"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4325223B"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w:t>
            </w:r>
          </w:p>
        </w:tc>
      </w:tr>
    </w:tbl>
    <w:p w14:paraId="27921B52"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2B2EEB97" w14:textId="018B9D66" w:rsidR="00184A8E" w:rsidRPr="00184A8E" w:rsidRDefault="00184A8E" w:rsidP="00184A8E">
      <w:pPr>
        <w:tabs>
          <w:tab w:val="left" w:pos="142"/>
          <w:tab w:val="left" w:pos="567"/>
        </w:tabs>
        <w:autoSpaceDE w:val="0"/>
        <w:autoSpaceDN w:val="0"/>
        <w:spacing w:after="0" w:line="240" w:lineRule="auto"/>
        <w:jc w:val="both"/>
        <w:rPr>
          <w:rFonts w:ascii="Arial" w:eastAsia="Times New Roman" w:hAnsi="Arial" w:cs="Arial"/>
          <w:sz w:val="20"/>
          <w:szCs w:val="20"/>
          <w:lang w:eastAsia="en-US"/>
        </w:rPr>
      </w:pPr>
      <w:bookmarkStart w:id="504" w:name="_Hlk135137458"/>
      <w:r w:rsidRPr="00184A8E">
        <w:rPr>
          <w:rFonts w:ascii="Arial" w:eastAsia="Calibri" w:hAnsi="Arial" w:cs="Arial"/>
          <w:b/>
          <w:sz w:val="20"/>
          <w:szCs w:val="20"/>
        </w:rPr>
        <w:t>9. A209109: Održavanje i čišćenje cesta</w:t>
      </w:r>
      <w:r w:rsidRPr="00184A8E">
        <w:rPr>
          <w:rFonts w:ascii="Arial" w:eastAsia="Calibri" w:hAnsi="Arial" w:cs="Arial"/>
          <w:sz w:val="20"/>
          <w:szCs w:val="20"/>
        </w:rPr>
        <w:t xml:space="preserve"> - </w:t>
      </w:r>
      <w:r w:rsidRPr="00184A8E">
        <w:rPr>
          <w:rFonts w:ascii="Arial" w:eastAsia="Calibri" w:hAnsi="Arial" w:cs="Arial"/>
          <w:b/>
          <w:sz w:val="20"/>
          <w:szCs w:val="20"/>
        </w:rPr>
        <w:t xml:space="preserve">Zimska služba </w:t>
      </w:r>
      <w:r w:rsidRPr="00184A8E">
        <w:rPr>
          <w:rFonts w:ascii="Arial" w:eastAsia="Calibri" w:hAnsi="Arial" w:cs="Arial"/>
          <w:sz w:val="20"/>
          <w:szCs w:val="20"/>
        </w:rPr>
        <w:t xml:space="preserve">- u sklopu navedene aktivnosti planiraju se rashodi za nabavu i prijevoz soli i pijeska za održavanje cesta u zimskom periodu (nabava </w:t>
      </w:r>
      <w:r w:rsidRPr="00184A8E">
        <w:rPr>
          <w:rFonts w:ascii="Arial" w:eastAsia="Times New Roman" w:hAnsi="Arial" w:cs="Arial"/>
          <w:sz w:val="20"/>
          <w:szCs w:val="20"/>
          <w:lang w:eastAsia="en-US"/>
        </w:rPr>
        <w:t>soli i tucanika za sigurnost i zaštitu prometovanja u zimskim uvjetima)</w:t>
      </w:r>
      <w:r w:rsidRPr="00184A8E">
        <w:rPr>
          <w:rFonts w:ascii="Arial" w:eastAsia="Calibri" w:hAnsi="Arial" w:cs="Arial"/>
          <w:sz w:val="20"/>
          <w:szCs w:val="20"/>
        </w:rPr>
        <w:t xml:space="preserve">, te usluge održavanja cesta. Planirana sredstva za provođenje navedene aktivnosti iznose 25.000 €. Rashodi su izvršeni u iznosu </w:t>
      </w:r>
      <w:r w:rsidR="00DB6670">
        <w:rPr>
          <w:rFonts w:ascii="Arial" w:eastAsia="Calibri" w:hAnsi="Arial" w:cs="Arial"/>
          <w:sz w:val="20"/>
          <w:szCs w:val="20"/>
        </w:rPr>
        <w:t>2.475</w:t>
      </w:r>
      <w:r w:rsidRPr="00184A8E">
        <w:rPr>
          <w:rFonts w:ascii="Arial" w:eastAsia="Calibri" w:hAnsi="Arial" w:cs="Arial"/>
          <w:sz w:val="20"/>
          <w:szCs w:val="20"/>
        </w:rPr>
        <w:t xml:space="preserve"> € </w:t>
      </w:r>
      <w:bookmarkStart w:id="505" w:name="_Hlk198894029"/>
      <w:r w:rsidRPr="00184A8E">
        <w:rPr>
          <w:rFonts w:ascii="Arial" w:eastAsia="Calibri" w:hAnsi="Arial" w:cs="Arial"/>
          <w:sz w:val="20"/>
          <w:szCs w:val="20"/>
        </w:rPr>
        <w:t xml:space="preserve">i odnose se na usluge prijevoza soli, te nabavu soli (4.000 kg). </w:t>
      </w:r>
      <w:bookmarkEnd w:id="505"/>
      <w:r w:rsidR="00096C54" w:rsidRPr="0092651D">
        <w:rPr>
          <w:rFonts w:ascii="Arial" w:hAnsi="Arial" w:cs="Arial"/>
          <w:sz w:val="20"/>
          <w:szCs w:val="20"/>
        </w:rPr>
        <w:t xml:space="preserve">Tucanik za posipanje se nije nabavljao u 2025. godini. </w:t>
      </w:r>
      <w:r w:rsidRPr="00184A8E">
        <w:rPr>
          <w:rFonts w:ascii="Arial" w:eastAsia="Times New Roman" w:hAnsi="Arial" w:cs="Arial"/>
          <w:sz w:val="20"/>
          <w:szCs w:val="20"/>
          <w:lang w:eastAsia="en-US"/>
        </w:rPr>
        <w:t xml:space="preserve">Poslovi zimske službe se organiziraju putem Javne vatrogasne postrojbe Općine Konavle i Vatrogasne zajednice Općine Konavle ne narušavajući obavljanje redovnih poslova postrojbe s obzirom da je Javna vatrogasna postrojba opremljena potrebnim vozilima i opremom. </w:t>
      </w:r>
      <w:r w:rsidR="00096C54" w:rsidRPr="00096C54">
        <w:rPr>
          <w:rFonts w:ascii="Arial" w:eastAsia="Times New Roman" w:hAnsi="Arial" w:cs="Arial"/>
          <w:sz w:val="20"/>
          <w:szCs w:val="20"/>
          <w:lang w:eastAsia="en-US"/>
        </w:rPr>
        <w:t>Izvršenje je manje od planiranog zbog blage zime (nije bilo većih hladnoća i poledice, odnosno nepovoljnih zimskih uvjeta na cestama niti početkom niti koncem godine), a iz prethodne godine je bilo raspoloživih zaliha soli za zimsko posipanje cesta i tucanika.</w:t>
      </w:r>
    </w:p>
    <w:bookmarkEnd w:id="504"/>
    <w:p w14:paraId="4210BF52" w14:textId="77777777" w:rsidR="00184A8E" w:rsidRPr="00184A8E" w:rsidRDefault="00184A8E" w:rsidP="00184A8E">
      <w:pPr>
        <w:tabs>
          <w:tab w:val="left" w:pos="142"/>
          <w:tab w:val="left" w:pos="567"/>
        </w:tabs>
        <w:autoSpaceDE w:val="0"/>
        <w:autoSpaceDN w:val="0"/>
        <w:spacing w:after="0" w:line="240" w:lineRule="auto"/>
        <w:jc w:val="both"/>
        <w:rPr>
          <w:rFonts w:ascii="Arial" w:eastAsia="Calibri" w:hAnsi="Arial" w:cs="Arial"/>
          <w:sz w:val="20"/>
          <w:szCs w:val="20"/>
        </w:rPr>
      </w:pPr>
    </w:p>
    <w:tbl>
      <w:tblPr>
        <w:tblStyle w:val="Reetkatablice5368"/>
        <w:tblW w:w="13991" w:type="dxa"/>
        <w:jc w:val="center"/>
        <w:tblLayout w:type="fixed"/>
        <w:tblLook w:val="04A0" w:firstRow="1" w:lastRow="0" w:firstColumn="1" w:lastColumn="0" w:noHBand="0" w:noVBand="1"/>
      </w:tblPr>
      <w:tblGrid>
        <w:gridCol w:w="2263"/>
        <w:gridCol w:w="3402"/>
        <w:gridCol w:w="958"/>
        <w:gridCol w:w="1134"/>
        <w:gridCol w:w="1232"/>
        <w:gridCol w:w="1276"/>
        <w:gridCol w:w="1242"/>
        <w:gridCol w:w="1242"/>
        <w:gridCol w:w="1242"/>
      </w:tblGrid>
      <w:tr w:rsidR="00184A8E" w:rsidRPr="00184A8E" w14:paraId="4B306290"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78880DD"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lastRenderedPageBreak/>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AC44A1E"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75C44B5"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9C48521"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33437BB" w14:textId="0A462C8C"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096C54">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54AB46A" w14:textId="283A6860"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096C54">
              <w:rPr>
                <w:rFonts w:ascii="Arial" w:eastAsia="Calibri" w:hAnsi="Arial" w:cs="Arial"/>
                <w:lang w:eastAsia="en-US"/>
              </w:rPr>
              <w:t>5</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DF7F1D2" w14:textId="48AA73E8"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096C54">
              <w:rPr>
                <w:rFonts w:ascii="Arial" w:eastAsia="Calibri" w:hAnsi="Arial" w:cs="Arial"/>
                <w:lang w:eastAsia="en-US"/>
              </w:rPr>
              <w:t>5</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C04CF4F" w14:textId="4B7D7FD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096C54">
              <w:rPr>
                <w:rFonts w:ascii="Arial" w:eastAsia="Calibri" w:hAnsi="Arial" w:cs="Arial"/>
                <w:lang w:eastAsia="en-US"/>
              </w:rPr>
              <w:t>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F91E5F9" w14:textId="5AE8BC7C"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096C54">
              <w:rPr>
                <w:rFonts w:ascii="Arial" w:eastAsia="Calibri" w:hAnsi="Arial" w:cs="Arial"/>
                <w:lang w:eastAsia="en-US"/>
              </w:rPr>
              <w:t>7</w:t>
            </w:r>
            <w:r w:rsidRPr="00184A8E">
              <w:rPr>
                <w:rFonts w:ascii="Arial" w:eastAsia="Calibri" w:hAnsi="Arial" w:cs="Arial"/>
                <w:lang w:eastAsia="en-US"/>
              </w:rPr>
              <w:t>.</w:t>
            </w:r>
          </w:p>
        </w:tc>
      </w:tr>
      <w:tr w:rsidR="00184A8E" w:rsidRPr="00184A8E" w14:paraId="78CB5AC1" w14:textId="77777777" w:rsidTr="00410A4B">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1A4217BD" w14:textId="77777777" w:rsidR="00184A8E" w:rsidRPr="00184A8E" w:rsidRDefault="00184A8E" w:rsidP="00184A8E">
            <w:pPr>
              <w:rPr>
                <w:rFonts w:ascii="Arial" w:hAnsi="Arial" w:cs="Arial"/>
                <w:lang w:eastAsia="en-US"/>
              </w:rPr>
            </w:pPr>
            <w:r w:rsidRPr="00184A8E">
              <w:rPr>
                <w:rFonts w:ascii="Arial" w:eastAsia="Calibri" w:hAnsi="Arial" w:cs="Arial"/>
                <w:iCs/>
              </w:rPr>
              <w:t>Utrošena sredstva za zimsku službu</w:t>
            </w:r>
          </w:p>
        </w:tc>
        <w:tc>
          <w:tcPr>
            <w:tcW w:w="3402" w:type="dxa"/>
            <w:tcBorders>
              <w:top w:val="single" w:sz="4" w:space="0" w:color="auto"/>
              <w:left w:val="single" w:sz="4" w:space="0" w:color="auto"/>
              <w:bottom w:val="single" w:sz="4" w:space="0" w:color="auto"/>
              <w:right w:val="single" w:sz="4" w:space="0" w:color="auto"/>
            </w:tcBorders>
            <w:vAlign w:val="center"/>
          </w:tcPr>
          <w:p w14:paraId="749576F0" w14:textId="77777777" w:rsidR="00184A8E" w:rsidRPr="00184A8E" w:rsidRDefault="00184A8E" w:rsidP="00184A8E">
            <w:pPr>
              <w:autoSpaceDE w:val="0"/>
              <w:autoSpaceDN w:val="0"/>
              <w:adjustRightInd w:val="0"/>
              <w:rPr>
                <w:rFonts w:ascii="Arial" w:hAnsi="Arial" w:cs="Arial"/>
                <w:lang w:eastAsia="en-US"/>
              </w:rPr>
            </w:pPr>
            <w:r w:rsidRPr="00184A8E">
              <w:rPr>
                <w:rFonts w:ascii="Arial" w:eastAsia="Calibri" w:hAnsi="Arial" w:cs="Arial"/>
                <w:lang w:eastAsia="en-US"/>
              </w:rPr>
              <w:t>Udio utrošenih planiranih sredstava za zimsku službu</w:t>
            </w:r>
          </w:p>
        </w:tc>
        <w:tc>
          <w:tcPr>
            <w:tcW w:w="958" w:type="dxa"/>
            <w:tcBorders>
              <w:top w:val="single" w:sz="4" w:space="0" w:color="auto"/>
              <w:left w:val="single" w:sz="4" w:space="0" w:color="auto"/>
              <w:bottom w:val="single" w:sz="4" w:space="0" w:color="auto"/>
              <w:right w:val="single" w:sz="4" w:space="0" w:color="auto"/>
            </w:tcBorders>
            <w:vAlign w:val="center"/>
          </w:tcPr>
          <w:p w14:paraId="2500C7C1"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29FC069D" w14:textId="77777777" w:rsidR="00184A8E" w:rsidRPr="00184A8E" w:rsidRDefault="00184A8E" w:rsidP="00184A8E">
            <w:pPr>
              <w:jc w:val="center"/>
              <w:rPr>
                <w:rFonts w:ascii="Arial" w:hAnsi="Arial" w:cs="Arial"/>
                <w:lang w:eastAsia="en-US"/>
              </w:rPr>
            </w:pPr>
            <w:r w:rsidRPr="00184A8E">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44968429"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14%</w:t>
            </w:r>
          </w:p>
        </w:tc>
        <w:tc>
          <w:tcPr>
            <w:tcW w:w="1276" w:type="dxa"/>
            <w:tcBorders>
              <w:top w:val="single" w:sz="4" w:space="0" w:color="auto"/>
              <w:left w:val="single" w:sz="4" w:space="0" w:color="auto"/>
              <w:bottom w:val="single" w:sz="4" w:space="0" w:color="auto"/>
              <w:right w:val="single" w:sz="4" w:space="0" w:color="auto"/>
            </w:tcBorders>
            <w:vAlign w:val="center"/>
          </w:tcPr>
          <w:p w14:paraId="5D58EB8A"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3750F463" w14:textId="3EB28641"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1</w:t>
            </w:r>
            <w:r w:rsidR="00096C54">
              <w:rPr>
                <w:rFonts w:ascii="Arial" w:eastAsia="Calibri" w:hAnsi="Arial" w:cs="Arial"/>
                <w:lang w:eastAsia="en-US"/>
              </w:rPr>
              <w:t>0</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37BC38FB"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4AE2C5CE"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w:t>
            </w:r>
          </w:p>
        </w:tc>
      </w:tr>
    </w:tbl>
    <w:p w14:paraId="2C65A609" w14:textId="77777777" w:rsidR="00184A8E" w:rsidRPr="00184A8E" w:rsidRDefault="00184A8E" w:rsidP="00184A8E">
      <w:pPr>
        <w:spacing w:after="0" w:line="240" w:lineRule="auto"/>
        <w:jc w:val="both"/>
        <w:rPr>
          <w:rFonts w:ascii="Arial" w:eastAsia="Calibri" w:hAnsi="Arial" w:cs="Arial"/>
          <w:sz w:val="20"/>
          <w:szCs w:val="20"/>
          <w:lang w:eastAsia="en-US"/>
        </w:rPr>
      </w:pPr>
    </w:p>
    <w:p w14:paraId="529F6DED" w14:textId="7D09345E"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10. A209111: Održavanje javne rasvjete</w:t>
      </w:r>
      <w:r w:rsidRPr="00184A8E">
        <w:rPr>
          <w:rFonts w:ascii="Arial" w:eastAsia="Calibri" w:hAnsi="Arial" w:cs="Arial"/>
          <w:sz w:val="20"/>
          <w:szCs w:val="20"/>
        </w:rPr>
        <w:t xml:space="preserve"> - u sklopu navedene aktivnosti planiraju se rashodi za utrošak energije za javnu rasvjetu, te usluge održavanja javne rasvjete koje obavlja društvo u vlasništvu Općine. Planirana sredstva za provođenje navedene aktivnosti iznose </w:t>
      </w:r>
      <w:r w:rsidR="00096C54">
        <w:rPr>
          <w:rFonts w:ascii="Arial" w:eastAsia="Calibri" w:hAnsi="Arial" w:cs="Arial"/>
          <w:sz w:val="20"/>
          <w:szCs w:val="20"/>
        </w:rPr>
        <w:t>188</w:t>
      </w:r>
      <w:r w:rsidRPr="00184A8E">
        <w:rPr>
          <w:rFonts w:ascii="Arial" w:eastAsia="Calibri" w:hAnsi="Arial" w:cs="Arial"/>
          <w:sz w:val="20"/>
          <w:szCs w:val="20"/>
        </w:rPr>
        <w:t xml:space="preserve">.000 €. </w:t>
      </w:r>
      <w:r w:rsidRPr="00184A8E">
        <w:rPr>
          <w:rFonts w:ascii="Arial" w:eastAsia="Times New Roman" w:hAnsi="Arial" w:cs="Arial"/>
          <w:sz w:val="20"/>
          <w:szCs w:val="20"/>
          <w:lang w:eastAsia="en-US"/>
        </w:rPr>
        <w:t xml:space="preserve">Rashodi su izvršeni u iznosu </w:t>
      </w:r>
      <w:r w:rsidR="00096C54">
        <w:rPr>
          <w:rFonts w:ascii="Arial" w:eastAsia="Times New Roman" w:hAnsi="Arial" w:cs="Arial"/>
          <w:sz w:val="20"/>
          <w:szCs w:val="20"/>
          <w:lang w:eastAsia="en-US"/>
        </w:rPr>
        <w:t>175.738,26</w:t>
      </w:r>
      <w:r w:rsidRPr="00184A8E">
        <w:rPr>
          <w:rFonts w:ascii="Arial" w:eastAsia="Times New Roman" w:hAnsi="Arial" w:cs="Arial"/>
          <w:sz w:val="20"/>
          <w:szCs w:val="20"/>
          <w:lang w:eastAsia="en-US"/>
        </w:rPr>
        <w:t xml:space="preserve"> € ili </w:t>
      </w:r>
      <w:r w:rsidR="00096C54">
        <w:rPr>
          <w:rFonts w:ascii="Arial" w:eastAsia="Times New Roman" w:hAnsi="Arial" w:cs="Arial"/>
          <w:sz w:val="20"/>
          <w:szCs w:val="20"/>
          <w:lang w:eastAsia="en-US"/>
        </w:rPr>
        <w:t>93,5</w:t>
      </w:r>
      <w:r w:rsidRPr="00184A8E">
        <w:rPr>
          <w:rFonts w:ascii="Arial" w:eastAsia="Times New Roman" w:hAnsi="Arial" w:cs="Arial"/>
          <w:sz w:val="20"/>
          <w:szCs w:val="20"/>
          <w:lang w:eastAsia="en-US"/>
        </w:rPr>
        <w:t>% plana.</w:t>
      </w:r>
    </w:p>
    <w:p w14:paraId="494901F3" w14:textId="77777777" w:rsidR="00184A8E" w:rsidRPr="00184A8E" w:rsidRDefault="00184A8E" w:rsidP="00184A8E">
      <w:pPr>
        <w:spacing w:after="0" w:line="240" w:lineRule="auto"/>
        <w:jc w:val="both"/>
        <w:rPr>
          <w:rFonts w:ascii="Arial" w:eastAsia="Times New Roman" w:hAnsi="Arial" w:cs="Arial"/>
          <w:sz w:val="20"/>
          <w:szCs w:val="20"/>
          <w:lang w:eastAsia="en-US"/>
        </w:rPr>
      </w:pPr>
      <w:bookmarkStart w:id="506" w:name="_Hlk135148723"/>
    </w:p>
    <w:p w14:paraId="7DEC6D3C" w14:textId="0D7670B0" w:rsidR="00184A8E" w:rsidRDefault="00096C54" w:rsidP="00184A8E">
      <w:pPr>
        <w:spacing w:after="0" w:line="240" w:lineRule="auto"/>
        <w:jc w:val="both"/>
        <w:rPr>
          <w:rFonts w:ascii="Arial" w:eastAsia="Times New Roman" w:hAnsi="Arial" w:cs="Arial"/>
          <w:sz w:val="20"/>
          <w:szCs w:val="20"/>
          <w:lang w:eastAsia="en-US"/>
        </w:rPr>
      </w:pPr>
      <w:r w:rsidRPr="00096C54">
        <w:rPr>
          <w:rFonts w:ascii="Arial" w:eastAsia="Times New Roman" w:hAnsi="Arial" w:cs="Arial"/>
          <w:sz w:val="20"/>
          <w:szCs w:val="20"/>
          <w:lang w:eastAsia="en-US"/>
        </w:rPr>
        <w:t>Ovi rashodi se odnose na trošak električne energije za javnu rasvjetu (opskrba i mrežarina) u iznosu 106.796,71 €, rashode za redovno i interventno održavanje javne rasvjete, te rashode za usluge nadzora nad radovima redovnog i interventnog održavanja mreže javne rasvjete 87.967,13 €, kao i nabavu materijala za osvjetljavanje 1.427,44 € i najam blagdanske dekoracije 15.836,25 €. Usluge stručnog nadzora obavljaju se na temelju odluke i ugovora.</w:t>
      </w:r>
    </w:p>
    <w:p w14:paraId="5752F0BD" w14:textId="77777777" w:rsidR="00096C54" w:rsidRPr="00184A8E" w:rsidRDefault="00096C54" w:rsidP="00184A8E">
      <w:pPr>
        <w:spacing w:after="0" w:line="240" w:lineRule="auto"/>
        <w:jc w:val="both"/>
        <w:rPr>
          <w:rFonts w:ascii="Arial" w:eastAsia="Times New Roman" w:hAnsi="Arial" w:cs="Arial"/>
          <w:sz w:val="20"/>
          <w:szCs w:val="20"/>
          <w:lang w:eastAsia="en-US"/>
        </w:rPr>
      </w:pPr>
    </w:p>
    <w:p w14:paraId="72279C17" w14:textId="77777777" w:rsidR="00184A8E" w:rsidRPr="00184A8E" w:rsidRDefault="00184A8E" w:rsidP="00184A8E">
      <w:pPr>
        <w:spacing w:after="0" w:line="240" w:lineRule="auto"/>
        <w:ind w:left="567"/>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Općinsko vijeće je u travnju 2023. godine donijelo Izmjene i dopune Odluke o komunalnim djelatnostima na području Općine (Službeni glasnik Općine Konavle broj 2/2023) kojim je društvu u vlasništvu Općine povjereno obavljanje poslova održavanja javne rasvjete, te održavanje i naplata javnih WC-a i pisoara.</w:t>
      </w:r>
    </w:p>
    <w:bookmarkEnd w:id="506"/>
    <w:p w14:paraId="749C23F3"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251C1C63" w14:textId="77777777" w:rsidR="00184A8E" w:rsidRPr="00184A8E" w:rsidRDefault="00184A8E" w:rsidP="00184A8E">
      <w:pPr>
        <w:spacing w:after="0" w:line="240" w:lineRule="auto"/>
        <w:jc w:val="center"/>
        <w:rPr>
          <w:rFonts w:ascii="Arial" w:eastAsia="Times New Roman" w:hAnsi="Arial" w:cs="Arial"/>
          <w:b/>
          <w:sz w:val="18"/>
          <w:szCs w:val="20"/>
          <w:u w:val="single"/>
          <w:lang w:eastAsia="en-US"/>
        </w:rPr>
      </w:pPr>
      <w:r w:rsidRPr="00184A8E">
        <w:rPr>
          <w:rFonts w:ascii="Arial" w:eastAsia="Times New Roman" w:hAnsi="Arial" w:cs="Arial"/>
          <w:b/>
          <w:sz w:val="18"/>
          <w:szCs w:val="20"/>
          <w:u w:val="single"/>
          <w:lang w:eastAsia="en-US"/>
        </w:rPr>
        <w:t>Trošak električne energije za javnu rasvjetu</w:t>
      </w:r>
    </w:p>
    <w:p w14:paraId="4279C63A" w14:textId="77777777" w:rsidR="00184A8E" w:rsidRPr="00184A8E" w:rsidRDefault="00184A8E" w:rsidP="00184A8E">
      <w:pPr>
        <w:spacing w:after="0" w:line="240" w:lineRule="auto"/>
        <w:jc w:val="both"/>
        <w:rPr>
          <w:rFonts w:ascii="Arial" w:eastAsia="Times New Roman" w:hAnsi="Arial" w:cs="Arial"/>
          <w:sz w:val="18"/>
          <w:szCs w:val="18"/>
          <w:lang w:eastAsia="en-US"/>
        </w:rPr>
      </w:pPr>
    </w:p>
    <w:p w14:paraId="54B664C1" w14:textId="77777777" w:rsidR="00184A8E" w:rsidRPr="00184A8E" w:rsidRDefault="00184A8E" w:rsidP="00184A8E">
      <w:pPr>
        <w:spacing w:after="0" w:line="240" w:lineRule="auto"/>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Trošak električne energije za javnu rasvjetu uključuje opskrbu električnom energijom i korištenje mreže (održavanje dalekovoda). Do konca 2016. ovi računi su ispostavljani odvojeno, a od početka 2017. jedinstveni račun ispostavlja HEP OPSKRBA d.o.o. (dobavljač odabran postupkom nabave).</w:t>
      </w:r>
    </w:p>
    <w:p w14:paraId="7444171A"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73373C39" w14:textId="13325487" w:rsidR="00184A8E" w:rsidRDefault="00184A8E" w:rsidP="00184A8E">
      <w:pPr>
        <w:spacing w:after="0" w:line="240" w:lineRule="auto"/>
        <w:jc w:val="both"/>
        <w:rPr>
          <w:rFonts w:ascii="Arial" w:eastAsia="Times New Roman" w:hAnsi="Arial" w:cs="Arial"/>
          <w:sz w:val="20"/>
          <w:szCs w:val="20"/>
          <w:lang w:eastAsia="en-US"/>
        </w:rPr>
      </w:pPr>
      <w:bookmarkStart w:id="507" w:name="_Hlk198897601"/>
      <w:bookmarkStart w:id="508" w:name="_Hlk166245757"/>
      <w:bookmarkStart w:id="509" w:name="_Hlk135148765"/>
      <w:r w:rsidRPr="00184A8E">
        <w:rPr>
          <w:rFonts w:ascii="Arial" w:eastAsia="Times New Roman" w:hAnsi="Arial" w:cs="Arial"/>
          <w:sz w:val="20"/>
          <w:szCs w:val="20"/>
          <w:lang w:eastAsia="en-US"/>
        </w:rPr>
        <w:t>U 202</w:t>
      </w:r>
      <w:r w:rsidR="00D45212">
        <w:rPr>
          <w:rFonts w:ascii="Arial" w:eastAsia="Times New Roman" w:hAnsi="Arial" w:cs="Arial"/>
          <w:sz w:val="20"/>
          <w:szCs w:val="20"/>
          <w:lang w:eastAsia="en-US"/>
        </w:rPr>
        <w:t>5</w:t>
      </w:r>
      <w:r w:rsidRPr="00184A8E">
        <w:rPr>
          <w:rFonts w:ascii="Arial" w:eastAsia="Times New Roman" w:hAnsi="Arial" w:cs="Arial"/>
          <w:sz w:val="20"/>
          <w:szCs w:val="20"/>
          <w:lang w:eastAsia="en-US"/>
        </w:rPr>
        <w:t>. rashodi za utrošenu energiju za javnu rasvjetu za razdoblje 1-12/202</w:t>
      </w:r>
      <w:r w:rsidR="00D45212">
        <w:rPr>
          <w:rFonts w:ascii="Arial" w:eastAsia="Times New Roman" w:hAnsi="Arial" w:cs="Arial"/>
          <w:sz w:val="20"/>
          <w:szCs w:val="20"/>
          <w:lang w:eastAsia="en-US"/>
        </w:rPr>
        <w:t>5</w:t>
      </w:r>
      <w:r w:rsidRPr="00184A8E">
        <w:rPr>
          <w:rFonts w:ascii="Arial" w:eastAsia="Times New Roman" w:hAnsi="Arial" w:cs="Arial"/>
          <w:sz w:val="20"/>
          <w:szCs w:val="20"/>
          <w:lang w:eastAsia="en-US"/>
        </w:rPr>
        <w:t xml:space="preserve">. iznose </w:t>
      </w:r>
      <w:r w:rsidR="00D45212">
        <w:rPr>
          <w:rFonts w:ascii="Arial" w:eastAsia="Times New Roman" w:hAnsi="Arial" w:cs="Arial"/>
          <w:sz w:val="20"/>
          <w:szCs w:val="20"/>
          <w:lang w:eastAsia="en-US"/>
        </w:rPr>
        <w:t>85.384,53</w:t>
      </w:r>
      <w:r w:rsidRPr="00184A8E">
        <w:rPr>
          <w:rFonts w:ascii="Arial" w:eastAsia="Times New Roman" w:hAnsi="Arial" w:cs="Arial"/>
          <w:sz w:val="20"/>
          <w:szCs w:val="20"/>
          <w:lang w:eastAsia="en-US"/>
        </w:rPr>
        <w:t xml:space="preserve"> €. U računima je iskazan iznos opskrbe i iznos korištenja mreže i usluge na koje se obračunava porez na dodanu vrijednost u visini 13%. </w:t>
      </w:r>
    </w:p>
    <w:p w14:paraId="2C3AF137" w14:textId="77777777" w:rsidR="00096C54" w:rsidRPr="00184A8E" w:rsidRDefault="00096C54" w:rsidP="00184A8E">
      <w:pPr>
        <w:spacing w:after="0" w:line="240" w:lineRule="auto"/>
        <w:jc w:val="both"/>
        <w:rPr>
          <w:rFonts w:ascii="Arial" w:eastAsia="Times New Roman" w:hAnsi="Arial" w:cs="Arial"/>
          <w:sz w:val="20"/>
          <w:szCs w:val="20"/>
          <w:lang w:eastAsia="en-US"/>
        </w:rPr>
      </w:pPr>
    </w:p>
    <w:p w14:paraId="600D56BD" w14:textId="061E96CC" w:rsidR="00D45212" w:rsidRDefault="00184A8E" w:rsidP="00184A8E">
      <w:pPr>
        <w:spacing w:after="0" w:line="240" w:lineRule="auto"/>
        <w:jc w:val="both"/>
        <w:rPr>
          <w:rFonts w:ascii="Arial" w:eastAsia="Times New Roman" w:hAnsi="Arial" w:cs="Arial"/>
          <w:sz w:val="20"/>
          <w:szCs w:val="20"/>
          <w:lang w:eastAsia="en-US"/>
        </w:rPr>
      </w:pPr>
      <w:bookmarkStart w:id="510" w:name="_Hlk198897618"/>
      <w:bookmarkEnd w:id="507"/>
      <w:r w:rsidRPr="00184A8E">
        <w:rPr>
          <w:rFonts w:ascii="Arial" w:eastAsia="Times New Roman" w:hAnsi="Arial" w:cs="Arial"/>
          <w:sz w:val="20"/>
          <w:szCs w:val="20"/>
          <w:lang w:eastAsia="en-US"/>
        </w:rPr>
        <w:t xml:space="preserve">Na temelju provedenog javnog natječaja zaključen je u </w:t>
      </w:r>
      <w:r w:rsidR="00D45212">
        <w:rPr>
          <w:rFonts w:ascii="Arial" w:eastAsia="Times New Roman" w:hAnsi="Arial" w:cs="Arial"/>
          <w:sz w:val="20"/>
          <w:szCs w:val="20"/>
          <w:lang w:eastAsia="en-US"/>
        </w:rPr>
        <w:t>lipnju</w:t>
      </w:r>
      <w:r w:rsidRPr="00184A8E">
        <w:rPr>
          <w:rFonts w:ascii="Arial" w:eastAsia="Times New Roman" w:hAnsi="Arial" w:cs="Arial"/>
          <w:sz w:val="20"/>
          <w:szCs w:val="20"/>
          <w:lang w:eastAsia="en-US"/>
        </w:rPr>
        <w:t xml:space="preserve"> 202</w:t>
      </w:r>
      <w:r w:rsidR="00D45212">
        <w:rPr>
          <w:rFonts w:ascii="Arial" w:eastAsia="Times New Roman" w:hAnsi="Arial" w:cs="Arial"/>
          <w:sz w:val="20"/>
          <w:szCs w:val="20"/>
          <w:lang w:eastAsia="en-US"/>
        </w:rPr>
        <w:t>5</w:t>
      </w:r>
      <w:r w:rsidRPr="00184A8E">
        <w:rPr>
          <w:rFonts w:ascii="Arial" w:eastAsia="Times New Roman" w:hAnsi="Arial" w:cs="Arial"/>
          <w:sz w:val="20"/>
          <w:szCs w:val="20"/>
          <w:lang w:eastAsia="en-US"/>
        </w:rPr>
        <w:t xml:space="preserve">. ugovor o godišnjoj opskrbi električnom energijom s najpovoljnijim ponuditeljem HEP – OPSKRBA d.o.o. Zagreb </w:t>
      </w:r>
      <w:r w:rsidR="00D45212" w:rsidRPr="00D45212">
        <w:rPr>
          <w:rFonts w:ascii="Arial" w:eastAsia="Times New Roman" w:hAnsi="Arial" w:cs="Arial"/>
          <w:sz w:val="20"/>
          <w:szCs w:val="20"/>
          <w:lang w:eastAsia="en-US"/>
        </w:rPr>
        <w:t xml:space="preserve">u iznosu 137.138,11 € što s porezom na dodanu vrijednost 13% čini 154.966,06 € (za 961.360 kWh) ( za 2024. godinu </w:t>
      </w:r>
      <w:r w:rsidR="00D45212">
        <w:rPr>
          <w:rFonts w:ascii="Arial" w:eastAsia="Times New Roman" w:hAnsi="Arial" w:cs="Arial"/>
          <w:sz w:val="20"/>
          <w:szCs w:val="20"/>
          <w:lang w:eastAsia="en-US"/>
        </w:rPr>
        <w:t xml:space="preserve">je bilo </w:t>
      </w:r>
      <w:r w:rsidR="00D45212" w:rsidRPr="00D45212">
        <w:rPr>
          <w:rFonts w:ascii="Arial" w:eastAsia="Times New Roman" w:hAnsi="Arial" w:cs="Arial"/>
          <w:sz w:val="20"/>
          <w:szCs w:val="20"/>
          <w:lang w:eastAsia="en-US"/>
        </w:rPr>
        <w:t>ugovoreno 230.484,46 € s PDV-om za 1.840.798 kWh</w:t>
      </w:r>
      <w:r w:rsidR="00D45212">
        <w:rPr>
          <w:rFonts w:ascii="Arial" w:eastAsia="Times New Roman" w:hAnsi="Arial" w:cs="Arial"/>
          <w:sz w:val="20"/>
          <w:szCs w:val="20"/>
          <w:lang w:eastAsia="en-US"/>
        </w:rPr>
        <w:t xml:space="preserve"> što uključuje javnu rasvjetu i električnu energiju za domove kulture, odnosno druge zgrade</w:t>
      </w:r>
      <w:r w:rsidR="00D45212" w:rsidRPr="00D45212">
        <w:rPr>
          <w:rFonts w:ascii="Arial" w:eastAsia="Times New Roman" w:hAnsi="Arial" w:cs="Arial"/>
          <w:sz w:val="20"/>
          <w:szCs w:val="20"/>
          <w:lang w:eastAsia="en-US"/>
        </w:rPr>
        <w:t>).</w:t>
      </w:r>
    </w:p>
    <w:bookmarkEnd w:id="510"/>
    <w:p w14:paraId="269075BD"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0F0192C1" w14:textId="77777777" w:rsidR="00184A8E" w:rsidRPr="00184A8E" w:rsidRDefault="00184A8E" w:rsidP="00184A8E">
      <w:pPr>
        <w:spacing w:after="0" w:line="240" w:lineRule="auto"/>
        <w:ind w:left="567"/>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U 2022. godini godišnji ugovor je iznosio 432.999,84 € s PDV-om (za 1.943.200 kWh), dok je 2021. godine iznosio 144.237,01 € (za 1.953.900 kWh).</w:t>
      </w:r>
    </w:p>
    <w:p w14:paraId="4A67A757" w14:textId="77777777" w:rsidR="00184A8E" w:rsidRDefault="00184A8E" w:rsidP="00184A8E">
      <w:pPr>
        <w:spacing w:after="0" w:line="240" w:lineRule="auto"/>
        <w:ind w:left="567"/>
        <w:jc w:val="both"/>
        <w:rPr>
          <w:rFonts w:ascii="Arial" w:eastAsia="Times New Roman" w:hAnsi="Arial" w:cs="Arial"/>
          <w:b/>
          <w:bCs/>
          <w:sz w:val="18"/>
          <w:szCs w:val="18"/>
          <w:lang w:eastAsia="en-US"/>
        </w:rPr>
      </w:pPr>
      <w:r w:rsidRPr="00184A8E">
        <w:rPr>
          <w:rFonts w:ascii="Arial" w:eastAsia="Times New Roman" w:hAnsi="Arial" w:cs="Arial"/>
          <w:sz w:val="18"/>
          <w:szCs w:val="18"/>
          <w:lang w:eastAsia="en-US"/>
        </w:rPr>
        <w:t xml:space="preserve">U 2023. godini ugovor je iznosio 419.000,68 € što s porezom na dodanu vrijednost čini 473.470,77 € (za 1.891.308 kWh). </w:t>
      </w:r>
      <w:r w:rsidRPr="00184A8E">
        <w:rPr>
          <w:rFonts w:ascii="Arial" w:eastAsia="Times New Roman" w:hAnsi="Arial" w:cs="Arial"/>
          <w:b/>
          <w:bCs/>
          <w:sz w:val="18"/>
          <w:szCs w:val="18"/>
          <w:lang w:eastAsia="en-US"/>
        </w:rPr>
        <w:t xml:space="preserve">Dakle, ugovorena vrijednost električne energije za javnu rasvjetu je u 2023. godini bila veća za 9,4% u odnosu na 2022. godinu, dok je za 128,3% bila veća nego 2021. godine. </w:t>
      </w:r>
    </w:p>
    <w:p w14:paraId="3937E45E" w14:textId="1D0AE1B4" w:rsidR="00D45212" w:rsidRPr="00D45212" w:rsidRDefault="00D45212" w:rsidP="00184A8E">
      <w:pPr>
        <w:spacing w:after="0" w:line="240" w:lineRule="auto"/>
        <w:ind w:left="567"/>
        <w:jc w:val="both"/>
        <w:rPr>
          <w:rFonts w:ascii="Arial" w:eastAsia="Times New Roman" w:hAnsi="Arial" w:cs="Arial"/>
          <w:sz w:val="18"/>
          <w:szCs w:val="18"/>
          <w:lang w:eastAsia="en-US"/>
        </w:rPr>
      </w:pPr>
      <w:r w:rsidRPr="00D45212">
        <w:rPr>
          <w:rFonts w:ascii="Arial" w:eastAsia="Times New Roman" w:hAnsi="Arial" w:cs="Arial"/>
          <w:sz w:val="18"/>
          <w:szCs w:val="18"/>
          <w:lang w:eastAsia="en-US"/>
        </w:rPr>
        <w:t xml:space="preserve">U 2024. godini ugovor je iznosio </w:t>
      </w:r>
      <w:r w:rsidRPr="00184A8E">
        <w:rPr>
          <w:rFonts w:ascii="Arial" w:eastAsia="Times New Roman" w:hAnsi="Arial" w:cs="Arial"/>
          <w:sz w:val="20"/>
          <w:szCs w:val="20"/>
          <w:lang w:eastAsia="en-US"/>
        </w:rPr>
        <w:t>203.968,55 € što s porezom na dodanu vrijednost 13% čini 230.484,46 € (za 1.840.798 kWh).</w:t>
      </w:r>
    </w:p>
    <w:bookmarkEnd w:id="508"/>
    <w:p w14:paraId="058B9B69"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13F2C654" w14:textId="7A04CC28" w:rsidR="00184A8E" w:rsidRPr="00184A8E" w:rsidRDefault="00184A8E" w:rsidP="00184A8E">
      <w:pPr>
        <w:spacing w:after="0" w:line="240" w:lineRule="auto"/>
        <w:jc w:val="both"/>
        <w:rPr>
          <w:rFonts w:ascii="Arial" w:eastAsia="Times New Roman" w:hAnsi="Arial" w:cs="Arial"/>
          <w:sz w:val="20"/>
          <w:szCs w:val="20"/>
          <w:lang w:eastAsia="en-US"/>
        </w:rPr>
      </w:pPr>
      <w:bookmarkStart w:id="511" w:name="_Hlk198897677"/>
      <w:r w:rsidRPr="00184A8E">
        <w:rPr>
          <w:rFonts w:ascii="Arial" w:eastAsia="Times New Roman" w:hAnsi="Arial" w:cs="Arial"/>
          <w:sz w:val="20"/>
          <w:szCs w:val="20"/>
          <w:lang w:eastAsia="en-US"/>
        </w:rPr>
        <w:t>Ukupno u 202</w:t>
      </w:r>
      <w:r w:rsidR="00D45212">
        <w:rPr>
          <w:rFonts w:ascii="Arial" w:eastAsia="Times New Roman" w:hAnsi="Arial" w:cs="Arial"/>
          <w:sz w:val="20"/>
          <w:szCs w:val="20"/>
          <w:lang w:eastAsia="en-US"/>
        </w:rPr>
        <w:t>5</w:t>
      </w:r>
      <w:r w:rsidRPr="00184A8E">
        <w:rPr>
          <w:rFonts w:ascii="Arial" w:eastAsia="Times New Roman" w:hAnsi="Arial" w:cs="Arial"/>
          <w:sz w:val="20"/>
          <w:szCs w:val="20"/>
          <w:lang w:eastAsia="en-US"/>
        </w:rPr>
        <w:t>. je utrošeno</w:t>
      </w:r>
      <w:r w:rsidR="00D45212">
        <w:rPr>
          <w:rFonts w:ascii="Arial" w:eastAsia="Times New Roman" w:hAnsi="Arial" w:cs="Arial"/>
          <w:sz w:val="20"/>
          <w:szCs w:val="20"/>
          <w:lang w:eastAsia="en-US"/>
        </w:rPr>
        <w:t xml:space="preserve"> za javnu rasvjetu 537.993</w:t>
      </w:r>
      <w:r w:rsidR="00FE5F95">
        <w:rPr>
          <w:rFonts w:ascii="Arial" w:eastAsia="Times New Roman" w:hAnsi="Arial" w:cs="Arial"/>
          <w:sz w:val="20"/>
          <w:szCs w:val="20"/>
          <w:lang w:eastAsia="en-US"/>
        </w:rPr>
        <w:t xml:space="preserve"> kWh (odnosno 178.741 kWh manje nego u 2024. godini).</w:t>
      </w:r>
    </w:p>
    <w:p w14:paraId="63AF3F08"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311AEB07" w14:textId="5935220D" w:rsidR="00184A8E" w:rsidRDefault="00184A8E" w:rsidP="00184A8E">
      <w:pPr>
        <w:spacing w:after="0" w:line="240" w:lineRule="auto"/>
        <w:jc w:val="both"/>
        <w:rPr>
          <w:rFonts w:ascii="Arial" w:eastAsia="Times New Roman" w:hAnsi="Arial" w:cs="Arial"/>
          <w:sz w:val="20"/>
          <w:szCs w:val="20"/>
          <w:lang w:eastAsia="en-US"/>
        </w:rPr>
      </w:pPr>
      <w:bookmarkStart w:id="512" w:name="_Hlk166245775"/>
      <w:r w:rsidRPr="00184A8E">
        <w:rPr>
          <w:rFonts w:ascii="Arial" w:eastAsia="Times New Roman" w:hAnsi="Arial" w:cs="Arial"/>
          <w:sz w:val="20"/>
          <w:szCs w:val="20"/>
          <w:lang w:eastAsia="en-US"/>
        </w:rPr>
        <w:t>Za troškove korištenja mreže</w:t>
      </w:r>
      <w:r w:rsidR="00FE5F95">
        <w:rPr>
          <w:rFonts w:ascii="Arial" w:eastAsia="Times New Roman" w:hAnsi="Arial" w:cs="Arial"/>
          <w:sz w:val="20"/>
          <w:szCs w:val="20"/>
          <w:lang w:eastAsia="en-US"/>
        </w:rPr>
        <w:t xml:space="preserve"> za javnu rasvjetu</w:t>
      </w:r>
      <w:r w:rsidRPr="00184A8E">
        <w:rPr>
          <w:rFonts w:ascii="Arial" w:eastAsia="Times New Roman" w:hAnsi="Arial" w:cs="Arial"/>
          <w:sz w:val="20"/>
          <w:szCs w:val="20"/>
          <w:lang w:eastAsia="en-US"/>
        </w:rPr>
        <w:t xml:space="preserve"> i usluge je utrošeno </w:t>
      </w:r>
      <w:r w:rsidR="005C7F70">
        <w:rPr>
          <w:rFonts w:ascii="Arial" w:eastAsia="Times New Roman" w:hAnsi="Arial" w:cs="Arial"/>
          <w:sz w:val="20"/>
          <w:szCs w:val="20"/>
          <w:lang w:eastAsia="en-US"/>
        </w:rPr>
        <w:t>23.809,61</w:t>
      </w:r>
      <w:r w:rsidRPr="00184A8E">
        <w:rPr>
          <w:rFonts w:ascii="Arial" w:eastAsia="Times New Roman" w:hAnsi="Arial" w:cs="Arial"/>
          <w:sz w:val="20"/>
          <w:szCs w:val="20"/>
          <w:lang w:eastAsia="en-US"/>
        </w:rPr>
        <w:t xml:space="preserve"> €</w:t>
      </w:r>
      <w:r w:rsidR="005C7F70">
        <w:rPr>
          <w:rFonts w:ascii="Arial" w:eastAsia="Times New Roman" w:hAnsi="Arial" w:cs="Arial"/>
          <w:sz w:val="20"/>
          <w:szCs w:val="20"/>
          <w:lang w:eastAsia="en-US"/>
        </w:rPr>
        <w:t xml:space="preserve"> s PDV-om</w:t>
      </w:r>
      <w:r w:rsidRPr="00184A8E">
        <w:rPr>
          <w:rFonts w:ascii="Arial" w:eastAsia="Times New Roman" w:hAnsi="Arial" w:cs="Arial"/>
          <w:sz w:val="20"/>
          <w:szCs w:val="20"/>
          <w:lang w:eastAsia="en-US"/>
        </w:rPr>
        <w:t xml:space="preserve">, dok je za opskrbu utrošeno </w:t>
      </w:r>
      <w:r w:rsidR="005C7F70">
        <w:rPr>
          <w:rFonts w:ascii="Arial" w:eastAsia="Times New Roman" w:hAnsi="Arial" w:cs="Arial"/>
          <w:sz w:val="20"/>
          <w:szCs w:val="20"/>
          <w:lang w:eastAsia="en-US"/>
        </w:rPr>
        <w:t>77.938,23</w:t>
      </w:r>
      <w:r w:rsidRPr="00184A8E">
        <w:rPr>
          <w:rFonts w:ascii="Arial" w:eastAsia="Times New Roman" w:hAnsi="Arial" w:cs="Arial"/>
          <w:sz w:val="20"/>
          <w:szCs w:val="20"/>
          <w:lang w:eastAsia="en-US"/>
        </w:rPr>
        <w:t xml:space="preserve"> € </w:t>
      </w:r>
      <w:r w:rsidR="005C7F70">
        <w:rPr>
          <w:rFonts w:ascii="Arial" w:eastAsia="Times New Roman" w:hAnsi="Arial" w:cs="Arial"/>
          <w:sz w:val="20"/>
          <w:szCs w:val="20"/>
          <w:lang w:eastAsia="en-US"/>
        </w:rPr>
        <w:t>s</w:t>
      </w:r>
      <w:r w:rsidRPr="00184A8E">
        <w:rPr>
          <w:rFonts w:ascii="Arial" w:eastAsia="Times New Roman" w:hAnsi="Arial" w:cs="Arial"/>
          <w:sz w:val="20"/>
          <w:szCs w:val="20"/>
          <w:lang w:eastAsia="en-US"/>
        </w:rPr>
        <w:t xml:space="preserve"> PDV</w:t>
      </w:r>
      <w:r w:rsidR="005C7F70">
        <w:rPr>
          <w:rFonts w:ascii="Arial" w:eastAsia="Times New Roman" w:hAnsi="Arial" w:cs="Arial"/>
          <w:sz w:val="20"/>
          <w:szCs w:val="20"/>
          <w:lang w:eastAsia="en-US"/>
        </w:rPr>
        <w:t>-om</w:t>
      </w:r>
      <w:bookmarkEnd w:id="511"/>
      <w:r w:rsidR="005C7F70">
        <w:rPr>
          <w:rFonts w:ascii="Arial" w:eastAsia="Times New Roman" w:hAnsi="Arial" w:cs="Arial"/>
          <w:sz w:val="20"/>
          <w:szCs w:val="20"/>
          <w:lang w:eastAsia="en-US"/>
        </w:rPr>
        <w:t xml:space="preserve">. </w:t>
      </w:r>
      <w:r w:rsidR="00AB7775">
        <w:rPr>
          <w:rFonts w:ascii="Arial" w:eastAsia="Times New Roman" w:hAnsi="Arial" w:cs="Arial"/>
          <w:sz w:val="20"/>
          <w:szCs w:val="20"/>
          <w:lang w:eastAsia="en-US"/>
        </w:rPr>
        <w:t xml:space="preserve">Smanjenje cijene električne energije na temelju uredbe Vlade Republike Hrvatske u 2025. godini je iznosio </w:t>
      </w:r>
      <w:r w:rsidR="00AB7775" w:rsidRPr="00AB7775">
        <w:rPr>
          <w:rFonts w:ascii="Arial" w:eastAsia="Times New Roman" w:hAnsi="Arial" w:cs="Arial"/>
          <w:sz w:val="20"/>
          <w:szCs w:val="20"/>
          <w:lang w:eastAsia="en-US"/>
        </w:rPr>
        <w:t>16.363,31 €</w:t>
      </w:r>
      <w:r w:rsidR="00AB7775">
        <w:rPr>
          <w:rFonts w:ascii="Arial" w:eastAsia="Times New Roman" w:hAnsi="Arial" w:cs="Arial"/>
          <w:sz w:val="20"/>
          <w:szCs w:val="20"/>
          <w:lang w:eastAsia="en-US"/>
        </w:rPr>
        <w:t>.</w:t>
      </w:r>
    </w:p>
    <w:p w14:paraId="0305D2D1" w14:textId="77777777" w:rsidR="00184A8E" w:rsidRPr="00184A8E" w:rsidRDefault="00184A8E" w:rsidP="00184A8E">
      <w:pPr>
        <w:spacing w:after="0" w:line="240" w:lineRule="auto"/>
        <w:ind w:firstLine="709"/>
        <w:rPr>
          <w:rFonts w:ascii="Arial" w:eastAsia="Times New Roman" w:hAnsi="Arial" w:cs="Arial"/>
          <w:i/>
          <w:sz w:val="18"/>
          <w:szCs w:val="20"/>
          <w:u w:val="single"/>
          <w:lang w:eastAsia="en-US"/>
        </w:rPr>
      </w:pPr>
      <w:bookmarkStart w:id="513" w:name="_Hlk135148856"/>
      <w:bookmarkEnd w:id="509"/>
      <w:bookmarkEnd w:id="512"/>
    </w:p>
    <w:p w14:paraId="11754F54" w14:textId="77777777" w:rsidR="00184A8E" w:rsidRPr="00184A8E" w:rsidRDefault="00184A8E" w:rsidP="00184A8E">
      <w:pPr>
        <w:spacing w:after="0" w:line="240" w:lineRule="auto"/>
        <w:ind w:firstLine="709"/>
        <w:rPr>
          <w:rFonts w:ascii="Arial" w:eastAsia="Times New Roman" w:hAnsi="Arial" w:cs="Arial"/>
          <w:iCs/>
          <w:sz w:val="18"/>
          <w:szCs w:val="20"/>
          <w:lang w:eastAsia="en-US"/>
        </w:rPr>
      </w:pPr>
      <w:r w:rsidRPr="00184A8E">
        <w:rPr>
          <w:rFonts w:ascii="Arial" w:eastAsia="Times New Roman" w:hAnsi="Arial" w:cs="Arial"/>
          <w:i/>
          <w:sz w:val="18"/>
          <w:szCs w:val="20"/>
          <w:u w:val="single"/>
          <w:lang w:eastAsia="en-US"/>
        </w:rPr>
        <w:t xml:space="preserve">*Usporedba: </w:t>
      </w:r>
    </w:p>
    <w:p w14:paraId="5C711438" w14:textId="676026AA" w:rsidR="00184A8E" w:rsidRDefault="00AB7775" w:rsidP="00184A8E">
      <w:pPr>
        <w:spacing w:after="0" w:line="240" w:lineRule="auto"/>
        <w:jc w:val="center"/>
        <w:rPr>
          <w:rFonts w:ascii="Arial" w:eastAsia="Times New Roman" w:hAnsi="Arial" w:cs="Arial"/>
          <w:iCs/>
          <w:color w:val="FF0000"/>
          <w:sz w:val="18"/>
          <w:szCs w:val="20"/>
          <w:lang w:eastAsia="en-US"/>
        </w:rPr>
      </w:pPr>
      <w:r w:rsidRPr="00AB7775">
        <w:rPr>
          <w:noProof/>
        </w:rPr>
        <w:lastRenderedPageBreak/>
        <w:drawing>
          <wp:inline distT="0" distB="0" distL="0" distR="0" wp14:anchorId="0CA0F93B" wp14:editId="5EC930C0">
            <wp:extent cx="8836660" cy="6156325"/>
            <wp:effectExtent l="0" t="0" r="2540" b="0"/>
            <wp:docPr id="120267234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8836660" cy="6156325"/>
                    </a:xfrm>
                    <a:prstGeom prst="rect">
                      <a:avLst/>
                    </a:prstGeom>
                    <a:noFill/>
                    <a:ln>
                      <a:noFill/>
                    </a:ln>
                  </pic:spPr>
                </pic:pic>
              </a:graphicData>
            </a:graphic>
          </wp:inline>
        </w:drawing>
      </w:r>
    </w:p>
    <w:p w14:paraId="2D23ABC2" w14:textId="77777777" w:rsidR="00AB7775" w:rsidRPr="00184A8E" w:rsidRDefault="00AB7775" w:rsidP="00184A8E">
      <w:pPr>
        <w:spacing w:after="0" w:line="240" w:lineRule="auto"/>
        <w:jc w:val="center"/>
        <w:rPr>
          <w:rFonts w:ascii="Arial" w:eastAsia="Times New Roman" w:hAnsi="Arial" w:cs="Arial"/>
          <w:iCs/>
          <w:color w:val="FF0000"/>
          <w:sz w:val="18"/>
          <w:szCs w:val="20"/>
          <w:lang w:eastAsia="en-US"/>
        </w:rPr>
      </w:pPr>
    </w:p>
    <w:p w14:paraId="79219CDB" w14:textId="46174F12" w:rsidR="00184A8E" w:rsidRDefault="00AB7775" w:rsidP="00184A8E">
      <w:pPr>
        <w:spacing w:after="0" w:line="240" w:lineRule="auto"/>
        <w:rPr>
          <w:rFonts w:ascii="Arial" w:eastAsia="Times New Roman" w:hAnsi="Arial" w:cs="Arial"/>
          <w:iCs/>
          <w:sz w:val="18"/>
          <w:szCs w:val="20"/>
          <w:lang w:eastAsia="en-US"/>
        </w:rPr>
      </w:pPr>
      <w:r w:rsidRPr="00AB7775">
        <w:rPr>
          <w:noProof/>
        </w:rPr>
        <w:drawing>
          <wp:inline distT="0" distB="0" distL="0" distR="0" wp14:anchorId="36740782" wp14:editId="79885408">
            <wp:extent cx="9251950" cy="4247515"/>
            <wp:effectExtent l="0" t="0" r="6350" b="635"/>
            <wp:docPr id="520828030"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9251950" cy="4247515"/>
                    </a:xfrm>
                    <a:prstGeom prst="rect">
                      <a:avLst/>
                    </a:prstGeom>
                    <a:noFill/>
                    <a:ln>
                      <a:noFill/>
                    </a:ln>
                  </pic:spPr>
                </pic:pic>
              </a:graphicData>
            </a:graphic>
          </wp:inline>
        </w:drawing>
      </w:r>
    </w:p>
    <w:p w14:paraId="48DC5EB7" w14:textId="77777777" w:rsidR="00AB7775" w:rsidRPr="00184A8E" w:rsidRDefault="00AB7775" w:rsidP="00184A8E">
      <w:pPr>
        <w:spacing w:after="0" w:line="240" w:lineRule="auto"/>
        <w:rPr>
          <w:rFonts w:ascii="Arial" w:eastAsia="Times New Roman" w:hAnsi="Arial" w:cs="Arial"/>
          <w:iCs/>
          <w:sz w:val="18"/>
          <w:szCs w:val="20"/>
          <w:lang w:eastAsia="en-US"/>
        </w:rPr>
      </w:pPr>
    </w:p>
    <w:bookmarkEnd w:id="513"/>
    <w:p w14:paraId="198B68B5" w14:textId="77777777" w:rsidR="00184A8E" w:rsidRPr="00184A8E" w:rsidRDefault="00184A8E" w:rsidP="00184A8E">
      <w:pPr>
        <w:spacing w:after="0" w:line="240" w:lineRule="auto"/>
        <w:jc w:val="center"/>
        <w:rPr>
          <w:rFonts w:ascii="Arial" w:eastAsia="Times New Roman" w:hAnsi="Arial" w:cs="Arial"/>
          <w:b/>
          <w:sz w:val="18"/>
          <w:szCs w:val="20"/>
          <w:u w:val="single"/>
        </w:rPr>
      </w:pPr>
      <w:r w:rsidRPr="00184A8E">
        <w:rPr>
          <w:rFonts w:ascii="Arial" w:eastAsia="Times New Roman" w:hAnsi="Arial" w:cs="Arial"/>
          <w:b/>
          <w:sz w:val="18"/>
          <w:szCs w:val="20"/>
          <w:u w:val="single"/>
        </w:rPr>
        <w:t>Trošak za redovno i interventno održavanje za javnu rasvjetu</w:t>
      </w:r>
    </w:p>
    <w:p w14:paraId="143CB801" w14:textId="77777777" w:rsidR="00184A8E" w:rsidRPr="00184A8E" w:rsidRDefault="00184A8E" w:rsidP="00184A8E">
      <w:pPr>
        <w:spacing w:after="0" w:line="240" w:lineRule="auto"/>
        <w:jc w:val="both"/>
        <w:rPr>
          <w:rFonts w:ascii="Arial" w:eastAsia="Times New Roman" w:hAnsi="Arial" w:cs="Arial"/>
          <w:i/>
          <w:sz w:val="18"/>
          <w:szCs w:val="20"/>
        </w:rPr>
      </w:pPr>
    </w:p>
    <w:p w14:paraId="786BC671" w14:textId="77777777" w:rsidR="00184A8E" w:rsidRPr="00184A8E" w:rsidRDefault="00184A8E" w:rsidP="00184A8E">
      <w:pPr>
        <w:spacing w:after="0" w:line="240" w:lineRule="auto"/>
        <w:jc w:val="both"/>
        <w:rPr>
          <w:rFonts w:ascii="Arial" w:eastAsia="Times New Roman" w:hAnsi="Arial" w:cs="Arial"/>
          <w:sz w:val="20"/>
          <w:szCs w:val="20"/>
        </w:rPr>
      </w:pPr>
      <w:bookmarkStart w:id="514" w:name="_Hlk135149213"/>
      <w:r w:rsidRPr="00184A8E">
        <w:rPr>
          <w:rFonts w:ascii="Arial" w:eastAsia="Times New Roman" w:hAnsi="Arial" w:cs="Arial"/>
          <w:sz w:val="20"/>
          <w:szCs w:val="20"/>
        </w:rPr>
        <w:t>Rashodi za redovno i interventno održavanje javne rasvjete izvršavaju se na temelju ugovora zaključenog s odabranim društvom u vlasništvu Općine. Kvarovi se prijavljuju društvu Čistoća i zelenilo Konavle d.o.o. koje uz račune dostavlja ovjerene liste kvarova na javnoj rasvjeti.</w:t>
      </w:r>
    </w:p>
    <w:p w14:paraId="59A8D336" w14:textId="77777777" w:rsidR="00184A8E" w:rsidRPr="00184A8E" w:rsidRDefault="00184A8E" w:rsidP="00184A8E">
      <w:pPr>
        <w:spacing w:after="0" w:line="240" w:lineRule="auto"/>
        <w:jc w:val="both"/>
        <w:rPr>
          <w:rFonts w:ascii="Arial" w:eastAsia="Times New Roman" w:hAnsi="Arial" w:cs="Arial"/>
          <w:sz w:val="20"/>
          <w:szCs w:val="20"/>
        </w:rPr>
      </w:pPr>
    </w:p>
    <w:p w14:paraId="3CBBA9B1"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ab/>
        <w:t>Pod održavanjem javne rasvjete podrazumijeva se upravljanje i održavanje instalacija javne rasvjete, uključujući podmirivanje troškova električne energije za rasvjetljavanje površina javne namjene.</w:t>
      </w:r>
    </w:p>
    <w:p w14:paraId="0669B46F"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ab/>
        <w:t xml:space="preserve">Cjelokupni sustav javne rasvjete Općine Konavle sastoji se od 3100 svjetiljki koje su raspoređene na 68 mjernih mjesta. Održavanje javne rasvjete sadrži sve radnje vezane za redovno održavanje, izvanredno održavanje i hitne intervencije. Održavanje obuhvaća sve radove otklanjanja kvarova, zamjene istrošenih i </w:t>
      </w:r>
      <w:r w:rsidRPr="00184A8E">
        <w:rPr>
          <w:rFonts w:ascii="Arial" w:eastAsia="Times New Roman" w:hAnsi="Arial" w:cs="Arial"/>
          <w:sz w:val="20"/>
          <w:szCs w:val="20"/>
        </w:rPr>
        <w:lastRenderedPageBreak/>
        <w:t>neispravnih dijelova: rasvjetnih armatura i žarulja, razvodnih ormara, polja mreže javne rasvjete, kontrole rada upravljačkih ormara, ostalih elektroinstalacijskih elemenata (osigurači, sklopnici, sklopke i dr.).</w:t>
      </w:r>
    </w:p>
    <w:p w14:paraId="203BC498"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ab/>
        <w:t xml:space="preserve">Obračun radova održavanja vrši se mjesečno za protekli mjesec na temelju stvarnih količina uz primjenom fiksnih jediničnih cijena iz troškovnika održavanja. Izvoditelj je dužan osigurati neprekidnu dostupnost putem mobitela i e-maila zbog dojave o uočenim kvarovima od strane ovlaštene osobe Općine. </w:t>
      </w:r>
    </w:p>
    <w:p w14:paraId="2FF1AC86"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ab/>
        <w:t>Izvoditelj je vodi dnevnik rada održavanja javne rasvjete u koji se upisuju slijedeći podaci: datum i mjesto pregleda, uočeno stanje o ispravnosti ili kvaru s opisom kvara, datum i vrijeme kada je kvar otklonjen s točno opisanom lokacijom da se može utvrditi gdje se kvar nalazi. Za sve kvarove, osim za promjenu žarulja, potrebno je dostaviti fotodokumentaciju prije i nakon otklona kvara i priložiti uz listu prijave kvara.</w:t>
      </w:r>
    </w:p>
    <w:p w14:paraId="65745816"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ab/>
        <w:t>Najmanje tromjesečno je potrebno izvršiti obilazak vanjske rasvjete oko crkava i vanjske rasvjete na dječjim igralištima na ugovorenim lokacijama.</w:t>
      </w:r>
    </w:p>
    <w:p w14:paraId="3B6421CE" w14:textId="77777777" w:rsidR="00184A8E" w:rsidRPr="00184A8E" w:rsidRDefault="00184A8E" w:rsidP="00184A8E">
      <w:pPr>
        <w:spacing w:after="0" w:line="240" w:lineRule="auto"/>
        <w:jc w:val="both"/>
        <w:rPr>
          <w:rFonts w:ascii="Arial" w:eastAsia="Times New Roman" w:hAnsi="Arial" w:cs="Arial"/>
          <w:sz w:val="20"/>
          <w:szCs w:val="20"/>
        </w:rPr>
      </w:pPr>
    </w:p>
    <w:bookmarkEnd w:id="514"/>
    <w:p w14:paraId="20F52652" w14:textId="1A3997BA" w:rsidR="00184A8E" w:rsidRDefault="00AB7775" w:rsidP="00184A8E">
      <w:pPr>
        <w:spacing w:after="0" w:line="240" w:lineRule="auto"/>
        <w:jc w:val="both"/>
        <w:rPr>
          <w:rFonts w:ascii="Arial" w:eastAsia="Times New Roman" w:hAnsi="Arial" w:cs="Arial"/>
          <w:sz w:val="20"/>
          <w:szCs w:val="20"/>
        </w:rPr>
      </w:pPr>
      <w:r w:rsidRPr="00AB7775">
        <w:rPr>
          <w:rFonts w:ascii="Arial" w:eastAsia="Times New Roman" w:hAnsi="Arial" w:cs="Arial"/>
          <w:sz w:val="20"/>
          <w:szCs w:val="20"/>
        </w:rPr>
        <w:tab/>
        <w:t xml:space="preserve">Rashodi za redovno i interventno održavanje javne rasvjete izvršeni su ukupno u iznosu </w:t>
      </w:r>
      <w:r w:rsidR="00F84789">
        <w:rPr>
          <w:rFonts w:ascii="Arial" w:eastAsia="Times New Roman" w:hAnsi="Arial" w:cs="Arial"/>
          <w:sz w:val="20"/>
          <w:szCs w:val="20"/>
        </w:rPr>
        <w:t>90.353,73</w:t>
      </w:r>
      <w:r w:rsidRPr="00AB7775">
        <w:rPr>
          <w:rFonts w:ascii="Arial" w:eastAsia="Times New Roman" w:hAnsi="Arial" w:cs="Arial"/>
          <w:sz w:val="20"/>
          <w:szCs w:val="20"/>
        </w:rPr>
        <w:t xml:space="preserve"> € (redovno održavanje 69.980,</w:t>
      </w:r>
      <w:r w:rsidR="00905D8A">
        <w:rPr>
          <w:rFonts w:ascii="Arial" w:eastAsia="Times New Roman" w:hAnsi="Arial" w:cs="Arial"/>
          <w:sz w:val="20"/>
          <w:szCs w:val="20"/>
        </w:rPr>
        <w:t>5</w:t>
      </w:r>
      <w:r w:rsidRPr="00AB7775">
        <w:rPr>
          <w:rFonts w:ascii="Arial" w:eastAsia="Times New Roman" w:hAnsi="Arial" w:cs="Arial"/>
          <w:sz w:val="20"/>
          <w:szCs w:val="20"/>
        </w:rPr>
        <w:t xml:space="preserve">1 €, nadzor nad održavanjem javne rasvjete 3.750 €, izvanredno otklanjanje kvarova 747,38 €, najam blagdanske dekoracije 10.545 €, izmjena postojećih kabela u ulici Frana Laureana 2.830,84 €, izrada projektno tehničke dokumentacije s troškovnikom za javnu rasvjetu 2.500 €). Rashodi za redovno održavanje su izvršeni na temelju ugovora zaključenog s društvom u vlasništvu Općine sukladno Odluci o obavljanju komunalnih djelatnosti (Čistoća i zelenilo Konavle d.o.o.) u iznosu </w:t>
      </w:r>
      <w:r w:rsidR="00905D8A">
        <w:rPr>
          <w:rFonts w:ascii="Arial" w:eastAsia="Times New Roman" w:hAnsi="Arial" w:cs="Arial"/>
          <w:sz w:val="20"/>
          <w:szCs w:val="20"/>
        </w:rPr>
        <w:t>69.980,51</w:t>
      </w:r>
      <w:r w:rsidRPr="00AB7775">
        <w:rPr>
          <w:rFonts w:ascii="Arial" w:eastAsia="Times New Roman" w:hAnsi="Arial" w:cs="Arial"/>
          <w:sz w:val="20"/>
          <w:szCs w:val="20"/>
        </w:rPr>
        <w:t xml:space="preserve"> € s porezom na dodanu vrijednost.</w:t>
      </w:r>
    </w:p>
    <w:p w14:paraId="0ED3A03E" w14:textId="77777777" w:rsidR="00AB7775" w:rsidRPr="00184A8E" w:rsidRDefault="00AB7775" w:rsidP="00184A8E">
      <w:pPr>
        <w:spacing w:after="0" w:line="240" w:lineRule="auto"/>
        <w:jc w:val="both"/>
        <w:rPr>
          <w:rFonts w:ascii="Arial" w:eastAsia="Times New Roman" w:hAnsi="Arial" w:cs="Arial"/>
          <w:sz w:val="20"/>
          <w:szCs w:val="20"/>
          <w:lang w:eastAsia="en-US"/>
        </w:rPr>
      </w:pPr>
    </w:p>
    <w:tbl>
      <w:tblPr>
        <w:tblStyle w:val="Reetkatablice5368"/>
        <w:tblW w:w="12895" w:type="dxa"/>
        <w:jc w:val="center"/>
        <w:tblLayout w:type="fixed"/>
        <w:tblLook w:val="04A0" w:firstRow="1" w:lastRow="0" w:firstColumn="1" w:lastColumn="0" w:noHBand="0" w:noVBand="1"/>
      </w:tblPr>
      <w:tblGrid>
        <w:gridCol w:w="2122"/>
        <w:gridCol w:w="1701"/>
        <w:gridCol w:w="850"/>
        <w:gridCol w:w="851"/>
        <w:gridCol w:w="1134"/>
        <w:gridCol w:w="992"/>
        <w:gridCol w:w="992"/>
        <w:gridCol w:w="992"/>
        <w:gridCol w:w="993"/>
        <w:gridCol w:w="992"/>
        <w:gridCol w:w="1276"/>
      </w:tblGrid>
      <w:tr w:rsidR="0023165E" w:rsidRPr="00184A8E" w14:paraId="0E6E4873" w14:textId="77777777" w:rsidTr="0023165E">
        <w:trPr>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7CBD381" w14:textId="77777777" w:rsidR="0023165E" w:rsidRPr="00184A8E" w:rsidRDefault="0023165E" w:rsidP="0023165E">
            <w:pPr>
              <w:jc w:val="center"/>
              <w:rPr>
                <w:rFonts w:ascii="Arial" w:eastAsia="Calibri" w:hAnsi="Arial" w:cs="Arial"/>
                <w:sz w:val="18"/>
                <w:szCs w:val="18"/>
                <w:lang w:eastAsia="en-US"/>
              </w:rPr>
            </w:pPr>
            <w:r w:rsidRPr="00184A8E">
              <w:rPr>
                <w:rFonts w:ascii="Arial" w:eastAsia="Calibri" w:hAnsi="Arial" w:cs="Arial"/>
                <w:sz w:val="18"/>
                <w:szCs w:val="18"/>
                <w:lang w:eastAsia="en-US"/>
              </w:rPr>
              <w:t>Pokazatelj rezultata</w:t>
            </w:r>
          </w:p>
        </w:tc>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17DF326" w14:textId="77777777" w:rsidR="0023165E" w:rsidRPr="00184A8E" w:rsidRDefault="0023165E" w:rsidP="0023165E">
            <w:pPr>
              <w:jc w:val="center"/>
              <w:rPr>
                <w:rFonts w:ascii="Arial" w:eastAsia="Calibri" w:hAnsi="Arial" w:cs="Arial"/>
                <w:sz w:val="18"/>
                <w:szCs w:val="18"/>
                <w:lang w:eastAsia="en-US"/>
              </w:rPr>
            </w:pPr>
            <w:r w:rsidRPr="00184A8E">
              <w:rPr>
                <w:rFonts w:ascii="Arial" w:eastAsia="Calibri" w:hAnsi="Arial" w:cs="Arial"/>
                <w:sz w:val="18"/>
                <w:szCs w:val="18"/>
                <w:lang w:eastAsia="en-US"/>
              </w:rPr>
              <w:t>Definicija</w:t>
            </w:r>
          </w:p>
        </w:tc>
        <w:tc>
          <w:tcPr>
            <w:tcW w:w="85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7E5D93D" w14:textId="77777777" w:rsidR="0023165E" w:rsidRPr="00184A8E" w:rsidRDefault="0023165E" w:rsidP="0023165E">
            <w:pPr>
              <w:jc w:val="center"/>
              <w:rPr>
                <w:rFonts w:ascii="Arial" w:eastAsia="Calibri" w:hAnsi="Arial" w:cs="Arial"/>
                <w:sz w:val="12"/>
                <w:szCs w:val="12"/>
                <w:lang w:eastAsia="en-US"/>
              </w:rPr>
            </w:pPr>
            <w:r w:rsidRPr="00184A8E">
              <w:rPr>
                <w:rFonts w:ascii="Arial" w:eastAsia="Calibri" w:hAnsi="Arial" w:cs="Arial"/>
                <w:sz w:val="12"/>
                <w:szCs w:val="12"/>
                <w:lang w:eastAsia="en-US"/>
              </w:rPr>
              <w:t>Jedinica</w:t>
            </w:r>
          </w:p>
        </w:tc>
        <w:tc>
          <w:tcPr>
            <w:tcW w:w="8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7CBCA3C" w14:textId="77777777" w:rsidR="0023165E" w:rsidRPr="00184A8E" w:rsidRDefault="0023165E" w:rsidP="0023165E">
            <w:pPr>
              <w:jc w:val="center"/>
              <w:rPr>
                <w:rFonts w:ascii="Arial" w:eastAsia="Calibri" w:hAnsi="Arial" w:cs="Arial"/>
                <w:sz w:val="14"/>
                <w:szCs w:val="14"/>
                <w:lang w:eastAsia="en-US"/>
              </w:rPr>
            </w:pPr>
            <w:r w:rsidRPr="00184A8E">
              <w:rPr>
                <w:rFonts w:ascii="Arial" w:eastAsia="Calibri" w:hAnsi="Arial" w:cs="Arial"/>
                <w:sz w:val="14"/>
                <w:szCs w:val="14"/>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01A27CE" w14:textId="77777777" w:rsidR="0023165E" w:rsidRPr="00184A8E" w:rsidRDefault="0023165E" w:rsidP="0023165E">
            <w:pPr>
              <w:jc w:val="center"/>
              <w:rPr>
                <w:rFonts w:ascii="Arial" w:eastAsia="Calibri" w:hAnsi="Arial" w:cs="Arial"/>
                <w:sz w:val="18"/>
                <w:szCs w:val="18"/>
                <w:lang w:eastAsia="en-US"/>
              </w:rPr>
            </w:pPr>
            <w:r w:rsidRPr="00184A8E">
              <w:rPr>
                <w:rFonts w:ascii="Arial" w:eastAsia="Calibri" w:hAnsi="Arial" w:cs="Arial"/>
                <w:sz w:val="18"/>
                <w:szCs w:val="18"/>
                <w:lang w:eastAsia="en-US"/>
              </w:rPr>
              <w:t>Polazna vrijednost 2021.</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675D2AA" w14:textId="77777777" w:rsidR="0023165E" w:rsidRPr="00184A8E" w:rsidRDefault="0023165E" w:rsidP="0023165E">
            <w:pPr>
              <w:jc w:val="center"/>
              <w:rPr>
                <w:rFonts w:ascii="Arial" w:eastAsia="Calibri" w:hAnsi="Arial" w:cs="Arial"/>
                <w:sz w:val="18"/>
                <w:szCs w:val="18"/>
                <w:lang w:eastAsia="en-US"/>
              </w:rPr>
            </w:pPr>
            <w:r w:rsidRPr="00184A8E">
              <w:rPr>
                <w:rFonts w:ascii="Arial" w:eastAsia="Calibri" w:hAnsi="Arial" w:cs="Arial"/>
                <w:sz w:val="18"/>
                <w:szCs w:val="18"/>
                <w:lang w:eastAsia="en-US"/>
              </w:rPr>
              <w:t xml:space="preserve">Izvršeno 2022. </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11FB2E1" w14:textId="77777777" w:rsidR="0023165E" w:rsidRPr="00184A8E" w:rsidRDefault="0023165E" w:rsidP="0023165E">
            <w:pPr>
              <w:jc w:val="center"/>
              <w:rPr>
                <w:rFonts w:ascii="Arial" w:eastAsia="Calibri" w:hAnsi="Arial" w:cs="Arial"/>
                <w:sz w:val="18"/>
                <w:szCs w:val="18"/>
                <w:lang w:eastAsia="en-US"/>
              </w:rPr>
            </w:pPr>
            <w:r w:rsidRPr="00184A8E">
              <w:rPr>
                <w:rFonts w:ascii="Arial" w:eastAsia="Calibri" w:hAnsi="Arial" w:cs="Arial"/>
                <w:sz w:val="18"/>
                <w:szCs w:val="18"/>
                <w:lang w:eastAsia="en-US"/>
              </w:rPr>
              <w:t xml:space="preserve">Izvršeno 2023. </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81E2399" w14:textId="6BB04E4E" w:rsidR="0023165E" w:rsidRPr="00184A8E" w:rsidRDefault="0023165E" w:rsidP="0023165E">
            <w:pPr>
              <w:jc w:val="center"/>
              <w:rPr>
                <w:rFonts w:ascii="Arial" w:eastAsia="Calibri" w:hAnsi="Arial" w:cs="Arial"/>
                <w:sz w:val="18"/>
                <w:szCs w:val="18"/>
                <w:lang w:eastAsia="en-US"/>
              </w:rPr>
            </w:pPr>
            <w:r>
              <w:rPr>
                <w:rFonts w:ascii="Arial" w:eastAsia="Calibri" w:hAnsi="Arial" w:cs="Arial"/>
                <w:sz w:val="18"/>
                <w:szCs w:val="18"/>
                <w:lang w:eastAsia="en-US"/>
              </w:rPr>
              <w:t>Izvršeno 2024.</w:t>
            </w:r>
          </w:p>
        </w:tc>
        <w:tc>
          <w:tcPr>
            <w:tcW w:w="9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74897D3" w14:textId="225A97F5" w:rsidR="0023165E" w:rsidRPr="00184A8E" w:rsidRDefault="0023165E" w:rsidP="0023165E">
            <w:pPr>
              <w:jc w:val="center"/>
              <w:rPr>
                <w:rFonts w:ascii="Arial" w:eastAsia="Calibri" w:hAnsi="Arial" w:cs="Arial"/>
                <w:sz w:val="18"/>
                <w:szCs w:val="18"/>
                <w:lang w:eastAsia="en-US"/>
              </w:rPr>
            </w:pPr>
            <w:r w:rsidRPr="00184A8E">
              <w:rPr>
                <w:rFonts w:ascii="Arial" w:eastAsia="Calibri" w:hAnsi="Arial" w:cs="Arial"/>
                <w:sz w:val="18"/>
                <w:szCs w:val="18"/>
                <w:lang w:eastAsia="en-US"/>
              </w:rPr>
              <w:t>Izvršeno 202</w:t>
            </w:r>
            <w:r>
              <w:rPr>
                <w:rFonts w:ascii="Arial" w:eastAsia="Calibri" w:hAnsi="Arial" w:cs="Arial"/>
                <w:sz w:val="18"/>
                <w:szCs w:val="18"/>
                <w:lang w:eastAsia="en-US"/>
              </w:rPr>
              <w:t>5</w:t>
            </w:r>
            <w:r w:rsidRPr="00184A8E">
              <w:rPr>
                <w:rFonts w:ascii="Arial" w:eastAsia="Calibri" w:hAnsi="Arial" w:cs="Arial"/>
                <w:sz w:val="18"/>
                <w:szCs w:val="18"/>
                <w:lang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6F53B10" w14:textId="39849944" w:rsidR="0023165E" w:rsidRPr="00184A8E" w:rsidRDefault="0023165E" w:rsidP="0023165E">
            <w:pPr>
              <w:jc w:val="center"/>
              <w:rPr>
                <w:rFonts w:ascii="Arial" w:eastAsia="Calibri" w:hAnsi="Arial" w:cs="Arial"/>
                <w:sz w:val="18"/>
                <w:szCs w:val="18"/>
                <w:lang w:eastAsia="en-US"/>
              </w:rPr>
            </w:pPr>
            <w:r w:rsidRPr="00A2004A">
              <w:rPr>
                <w:rFonts w:ascii="Arial" w:eastAsia="Calibri" w:hAnsi="Arial" w:cs="Arial"/>
                <w:sz w:val="18"/>
                <w:szCs w:val="18"/>
              </w:rPr>
              <w:t>Ciljana vrijednost 2026.</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8E7C49C" w14:textId="1197B9FC" w:rsidR="0023165E" w:rsidRPr="00184A8E" w:rsidRDefault="0023165E" w:rsidP="0023165E">
            <w:pPr>
              <w:jc w:val="center"/>
              <w:rPr>
                <w:rFonts w:ascii="Arial" w:eastAsia="Calibri" w:hAnsi="Arial" w:cs="Arial"/>
                <w:sz w:val="18"/>
                <w:szCs w:val="18"/>
                <w:lang w:eastAsia="en-US"/>
              </w:rPr>
            </w:pPr>
            <w:r w:rsidRPr="00A2004A">
              <w:rPr>
                <w:rFonts w:ascii="Arial" w:eastAsia="Calibri" w:hAnsi="Arial" w:cs="Arial"/>
                <w:sz w:val="18"/>
                <w:szCs w:val="18"/>
              </w:rPr>
              <w:t>Ciljana vrijednost 2027.</w:t>
            </w:r>
          </w:p>
        </w:tc>
      </w:tr>
      <w:tr w:rsidR="0023165E" w:rsidRPr="00184A8E" w14:paraId="25AF1D0F" w14:textId="77777777" w:rsidTr="0023165E">
        <w:trPr>
          <w:trHeight w:val="273"/>
          <w:jc w:val="center"/>
        </w:trPr>
        <w:tc>
          <w:tcPr>
            <w:tcW w:w="2122" w:type="dxa"/>
            <w:tcBorders>
              <w:top w:val="single" w:sz="4" w:space="0" w:color="auto"/>
              <w:left w:val="single" w:sz="4" w:space="0" w:color="auto"/>
              <w:bottom w:val="single" w:sz="4" w:space="0" w:color="auto"/>
              <w:right w:val="single" w:sz="4" w:space="0" w:color="auto"/>
            </w:tcBorders>
            <w:vAlign w:val="center"/>
          </w:tcPr>
          <w:p w14:paraId="37DE2AF6" w14:textId="77777777" w:rsidR="0023165E" w:rsidRPr="00184A8E" w:rsidRDefault="0023165E" w:rsidP="0023165E">
            <w:pPr>
              <w:rPr>
                <w:rFonts w:ascii="Arial" w:hAnsi="Arial" w:cs="Arial"/>
                <w:sz w:val="18"/>
                <w:szCs w:val="18"/>
                <w:lang w:eastAsia="en-US"/>
              </w:rPr>
            </w:pPr>
            <w:r w:rsidRPr="00184A8E">
              <w:rPr>
                <w:rFonts w:ascii="Arial" w:hAnsi="Arial" w:cs="Arial"/>
                <w:sz w:val="18"/>
                <w:szCs w:val="18"/>
                <w:lang w:eastAsia="en-US"/>
              </w:rPr>
              <w:t>Smanjenje potrošnje električne energije za javnu rasvjetu</w:t>
            </w:r>
          </w:p>
        </w:tc>
        <w:tc>
          <w:tcPr>
            <w:tcW w:w="1701" w:type="dxa"/>
            <w:tcBorders>
              <w:top w:val="single" w:sz="4" w:space="0" w:color="auto"/>
              <w:left w:val="single" w:sz="4" w:space="0" w:color="auto"/>
              <w:bottom w:val="single" w:sz="4" w:space="0" w:color="auto"/>
              <w:right w:val="single" w:sz="4" w:space="0" w:color="auto"/>
            </w:tcBorders>
            <w:vAlign w:val="center"/>
          </w:tcPr>
          <w:p w14:paraId="6122E845" w14:textId="77777777" w:rsidR="0023165E" w:rsidRPr="00184A8E" w:rsidRDefault="0023165E" w:rsidP="0023165E">
            <w:pPr>
              <w:autoSpaceDE w:val="0"/>
              <w:autoSpaceDN w:val="0"/>
              <w:adjustRightInd w:val="0"/>
              <w:rPr>
                <w:rFonts w:ascii="Arial" w:hAnsi="Arial" w:cs="Arial"/>
                <w:sz w:val="18"/>
                <w:szCs w:val="18"/>
                <w:lang w:eastAsia="en-US"/>
              </w:rPr>
            </w:pPr>
            <w:r w:rsidRPr="00184A8E">
              <w:rPr>
                <w:rFonts w:ascii="Arial" w:hAnsi="Arial" w:cs="Arial"/>
                <w:sz w:val="18"/>
                <w:szCs w:val="18"/>
                <w:lang w:eastAsia="en-US"/>
              </w:rPr>
              <w:t xml:space="preserve">Količina utrošene električne energije za javnu rasvjetu </w:t>
            </w:r>
          </w:p>
        </w:tc>
        <w:tc>
          <w:tcPr>
            <w:tcW w:w="850" w:type="dxa"/>
            <w:tcBorders>
              <w:top w:val="single" w:sz="4" w:space="0" w:color="auto"/>
              <w:left w:val="single" w:sz="4" w:space="0" w:color="auto"/>
              <w:bottom w:val="single" w:sz="4" w:space="0" w:color="auto"/>
              <w:right w:val="single" w:sz="4" w:space="0" w:color="auto"/>
            </w:tcBorders>
            <w:vAlign w:val="center"/>
          </w:tcPr>
          <w:p w14:paraId="13359528" w14:textId="77777777" w:rsidR="0023165E" w:rsidRPr="00184A8E" w:rsidRDefault="0023165E" w:rsidP="0023165E">
            <w:pPr>
              <w:jc w:val="center"/>
              <w:rPr>
                <w:rFonts w:ascii="Arial" w:hAnsi="Arial" w:cs="Arial"/>
                <w:sz w:val="18"/>
                <w:szCs w:val="18"/>
                <w:lang w:eastAsia="en-US"/>
              </w:rPr>
            </w:pPr>
            <w:r w:rsidRPr="00184A8E">
              <w:rPr>
                <w:rFonts w:ascii="Arial" w:eastAsia="Calibri" w:hAnsi="Arial" w:cs="Arial"/>
                <w:sz w:val="18"/>
                <w:szCs w:val="18"/>
                <w:lang w:eastAsia="en-US"/>
              </w:rPr>
              <w:t>kWh</w:t>
            </w:r>
          </w:p>
        </w:tc>
        <w:tc>
          <w:tcPr>
            <w:tcW w:w="851" w:type="dxa"/>
            <w:tcBorders>
              <w:top w:val="single" w:sz="4" w:space="0" w:color="auto"/>
              <w:left w:val="single" w:sz="4" w:space="0" w:color="auto"/>
              <w:bottom w:val="single" w:sz="4" w:space="0" w:color="auto"/>
              <w:right w:val="single" w:sz="4" w:space="0" w:color="auto"/>
            </w:tcBorders>
            <w:vAlign w:val="center"/>
          </w:tcPr>
          <w:p w14:paraId="09A7DD33" w14:textId="77777777" w:rsidR="0023165E" w:rsidRPr="00184A8E" w:rsidRDefault="0023165E" w:rsidP="0023165E">
            <w:pPr>
              <w:jc w:val="center"/>
              <w:rPr>
                <w:rFonts w:ascii="Arial" w:hAnsi="Arial" w:cs="Arial"/>
                <w:sz w:val="14"/>
                <w:szCs w:val="14"/>
                <w:lang w:eastAsia="en-US"/>
              </w:rPr>
            </w:pPr>
            <w:r w:rsidRPr="00184A8E">
              <w:rPr>
                <w:rFonts w:ascii="Arial" w:hAnsi="Arial" w:cs="Arial"/>
                <w:sz w:val="14"/>
                <w:szCs w:val="14"/>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07DDB3D0" w14:textId="77777777" w:rsidR="0023165E" w:rsidRPr="00184A8E" w:rsidRDefault="0023165E" w:rsidP="0023165E">
            <w:pPr>
              <w:jc w:val="center"/>
              <w:rPr>
                <w:rFonts w:ascii="Arial" w:hAnsi="Arial" w:cs="Arial"/>
                <w:sz w:val="16"/>
                <w:szCs w:val="16"/>
                <w:lang w:eastAsia="en-US"/>
              </w:rPr>
            </w:pPr>
            <w:r w:rsidRPr="00184A8E">
              <w:rPr>
                <w:rFonts w:ascii="Arial" w:hAnsi="Arial" w:cs="Arial"/>
                <w:sz w:val="16"/>
                <w:szCs w:val="16"/>
                <w:lang w:eastAsia="en-US"/>
              </w:rPr>
              <w:t>1.625.014</w:t>
            </w:r>
          </w:p>
        </w:tc>
        <w:tc>
          <w:tcPr>
            <w:tcW w:w="992" w:type="dxa"/>
            <w:tcBorders>
              <w:top w:val="single" w:sz="4" w:space="0" w:color="auto"/>
              <w:left w:val="single" w:sz="4" w:space="0" w:color="auto"/>
              <w:bottom w:val="single" w:sz="4" w:space="0" w:color="auto"/>
              <w:right w:val="single" w:sz="4" w:space="0" w:color="auto"/>
            </w:tcBorders>
            <w:vAlign w:val="center"/>
          </w:tcPr>
          <w:p w14:paraId="5F47F493" w14:textId="77777777" w:rsidR="0023165E" w:rsidRPr="00184A8E" w:rsidRDefault="0023165E" w:rsidP="0023165E">
            <w:pPr>
              <w:jc w:val="center"/>
              <w:rPr>
                <w:rFonts w:ascii="Arial" w:hAnsi="Arial" w:cs="Arial"/>
                <w:sz w:val="16"/>
                <w:szCs w:val="16"/>
                <w:lang w:eastAsia="en-US"/>
              </w:rPr>
            </w:pPr>
            <w:r w:rsidRPr="00184A8E">
              <w:rPr>
                <w:rFonts w:ascii="Arial" w:hAnsi="Arial" w:cs="Arial"/>
                <w:sz w:val="16"/>
                <w:szCs w:val="16"/>
                <w:lang w:eastAsia="en-US"/>
              </w:rPr>
              <w:t>1.547.203</w:t>
            </w:r>
          </w:p>
        </w:tc>
        <w:tc>
          <w:tcPr>
            <w:tcW w:w="992" w:type="dxa"/>
            <w:tcBorders>
              <w:top w:val="single" w:sz="4" w:space="0" w:color="auto"/>
              <w:left w:val="single" w:sz="4" w:space="0" w:color="auto"/>
              <w:bottom w:val="single" w:sz="4" w:space="0" w:color="auto"/>
              <w:right w:val="single" w:sz="4" w:space="0" w:color="auto"/>
            </w:tcBorders>
            <w:vAlign w:val="center"/>
          </w:tcPr>
          <w:p w14:paraId="667E8637" w14:textId="77777777" w:rsidR="0023165E" w:rsidRPr="00184A8E" w:rsidRDefault="0023165E" w:rsidP="0023165E">
            <w:pPr>
              <w:jc w:val="center"/>
              <w:rPr>
                <w:rFonts w:ascii="Arial" w:hAnsi="Arial" w:cs="Arial"/>
                <w:sz w:val="16"/>
                <w:szCs w:val="16"/>
                <w:lang w:eastAsia="en-US"/>
              </w:rPr>
            </w:pPr>
            <w:r w:rsidRPr="00184A8E">
              <w:rPr>
                <w:rFonts w:ascii="Arial" w:hAnsi="Arial" w:cs="Arial"/>
                <w:sz w:val="16"/>
                <w:szCs w:val="16"/>
                <w:lang w:eastAsia="en-US"/>
              </w:rPr>
              <w:t>1.500.884</w:t>
            </w:r>
          </w:p>
        </w:tc>
        <w:tc>
          <w:tcPr>
            <w:tcW w:w="992" w:type="dxa"/>
            <w:tcBorders>
              <w:top w:val="single" w:sz="4" w:space="0" w:color="000000"/>
              <w:left w:val="single" w:sz="4" w:space="0" w:color="000000"/>
              <w:bottom w:val="single" w:sz="4" w:space="0" w:color="000000"/>
              <w:right w:val="single" w:sz="4" w:space="0" w:color="000000"/>
            </w:tcBorders>
            <w:vAlign w:val="center"/>
          </w:tcPr>
          <w:p w14:paraId="1EEFCB84" w14:textId="2192F947" w:rsidR="0023165E" w:rsidRPr="00184A8E" w:rsidRDefault="0023165E" w:rsidP="0023165E">
            <w:pPr>
              <w:jc w:val="center"/>
              <w:rPr>
                <w:rFonts w:ascii="Arial" w:hAnsi="Arial" w:cs="Arial"/>
                <w:sz w:val="16"/>
                <w:szCs w:val="16"/>
                <w:lang w:eastAsia="en-US"/>
              </w:rPr>
            </w:pPr>
            <w:r w:rsidRPr="00760378">
              <w:rPr>
                <w:rFonts w:ascii="Arial" w:hAnsi="Arial" w:cs="Arial"/>
                <w:sz w:val="16"/>
                <w:szCs w:val="16"/>
                <w:lang w:eastAsia="en-US"/>
              </w:rPr>
              <w:t>716.734</w:t>
            </w:r>
          </w:p>
        </w:tc>
        <w:tc>
          <w:tcPr>
            <w:tcW w:w="993" w:type="dxa"/>
            <w:tcBorders>
              <w:top w:val="single" w:sz="4" w:space="0" w:color="000000"/>
              <w:left w:val="single" w:sz="4" w:space="0" w:color="000000"/>
              <w:bottom w:val="single" w:sz="4" w:space="0" w:color="000000"/>
              <w:right w:val="single" w:sz="4" w:space="0" w:color="000000"/>
            </w:tcBorders>
            <w:vAlign w:val="center"/>
          </w:tcPr>
          <w:p w14:paraId="705F5121" w14:textId="2B26787F" w:rsidR="0023165E" w:rsidRPr="00184A8E" w:rsidRDefault="0023165E" w:rsidP="0023165E">
            <w:pPr>
              <w:jc w:val="center"/>
              <w:rPr>
                <w:rFonts w:ascii="Arial" w:hAnsi="Arial" w:cs="Arial"/>
                <w:sz w:val="16"/>
                <w:szCs w:val="16"/>
                <w:lang w:eastAsia="en-US"/>
              </w:rPr>
            </w:pPr>
            <w:r>
              <w:rPr>
                <w:rFonts w:ascii="Arial" w:hAnsi="Arial" w:cs="Arial"/>
                <w:sz w:val="16"/>
                <w:szCs w:val="16"/>
                <w:lang w:eastAsia="en-US"/>
              </w:rPr>
              <w:t>537.993</w:t>
            </w:r>
          </w:p>
        </w:tc>
        <w:tc>
          <w:tcPr>
            <w:tcW w:w="992" w:type="dxa"/>
            <w:tcBorders>
              <w:top w:val="single" w:sz="4" w:space="0" w:color="000000"/>
              <w:left w:val="single" w:sz="4" w:space="0" w:color="000000"/>
              <w:bottom w:val="single" w:sz="4" w:space="0" w:color="000000"/>
              <w:right w:val="single" w:sz="4" w:space="0" w:color="000000"/>
            </w:tcBorders>
            <w:vAlign w:val="center"/>
          </w:tcPr>
          <w:p w14:paraId="13B85873" w14:textId="547D36F4" w:rsidR="0023165E" w:rsidRPr="00184A8E" w:rsidRDefault="0023165E" w:rsidP="0023165E">
            <w:pPr>
              <w:jc w:val="center"/>
              <w:rPr>
                <w:rFonts w:ascii="Arial" w:hAnsi="Arial" w:cs="Arial"/>
                <w:sz w:val="16"/>
                <w:szCs w:val="16"/>
                <w:lang w:eastAsia="en-US"/>
              </w:rPr>
            </w:pPr>
            <w:r w:rsidRPr="00A2004A">
              <w:rPr>
                <w:rFonts w:ascii="Arial" w:hAnsi="Arial" w:cs="Arial"/>
                <w:sz w:val="18"/>
                <w:szCs w:val="18"/>
              </w:rPr>
              <w:t>100.000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2225F830" w14:textId="663DC2D9" w:rsidR="0023165E" w:rsidRPr="00184A8E" w:rsidRDefault="0023165E" w:rsidP="0023165E">
            <w:pPr>
              <w:jc w:val="center"/>
              <w:rPr>
                <w:rFonts w:ascii="Arial" w:hAnsi="Arial" w:cs="Arial"/>
                <w:sz w:val="16"/>
                <w:szCs w:val="16"/>
                <w:lang w:eastAsia="en-US"/>
              </w:rPr>
            </w:pPr>
            <w:r w:rsidRPr="00A2004A">
              <w:rPr>
                <w:rFonts w:ascii="Arial" w:hAnsi="Arial" w:cs="Arial"/>
                <w:sz w:val="18"/>
                <w:szCs w:val="18"/>
              </w:rPr>
              <w:t>100.000</w:t>
            </w:r>
          </w:p>
        </w:tc>
      </w:tr>
      <w:tr w:rsidR="0023165E" w:rsidRPr="00184A8E" w14:paraId="43F72317" w14:textId="77777777" w:rsidTr="0023165E">
        <w:trPr>
          <w:trHeight w:val="273"/>
          <w:jc w:val="center"/>
        </w:trPr>
        <w:tc>
          <w:tcPr>
            <w:tcW w:w="2122" w:type="dxa"/>
            <w:tcBorders>
              <w:top w:val="single" w:sz="4" w:space="0" w:color="auto"/>
              <w:left w:val="single" w:sz="4" w:space="0" w:color="auto"/>
              <w:bottom w:val="single" w:sz="4" w:space="0" w:color="auto"/>
              <w:right w:val="single" w:sz="4" w:space="0" w:color="auto"/>
            </w:tcBorders>
            <w:vAlign w:val="center"/>
          </w:tcPr>
          <w:p w14:paraId="49FA9733" w14:textId="77777777" w:rsidR="0023165E" w:rsidRPr="00184A8E" w:rsidRDefault="0023165E" w:rsidP="0023165E">
            <w:pPr>
              <w:rPr>
                <w:rFonts w:ascii="Arial" w:hAnsi="Arial" w:cs="Arial"/>
                <w:sz w:val="18"/>
                <w:szCs w:val="18"/>
                <w:lang w:eastAsia="en-US"/>
              </w:rPr>
            </w:pPr>
            <w:r w:rsidRPr="00184A8E">
              <w:rPr>
                <w:rFonts w:ascii="Arial" w:hAnsi="Arial" w:cs="Arial"/>
                <w:sz w:val="18"/>
                <w:szCs w:val="18"/>
                <w:lang w:eastAsia="en-US"/>
              </w:rPr>
              <w:t>Smanjenje troškova održavanja javne rasvjete</w:t>
            </w:r>
          </w:p>
        </w:tc>
        <w:tc>
          <w:tcPr>
            <w:tcW w:w="1701" w:type="dxa"/>
            <w:tcBorders>
              <w:top w:val="single" w:sz="4" w:space="0" w:color="auto"/>
              <w:left w:val="single" w:sz="4" w:space="0" w:color="auto"/>
              <w:bottom w:val="single" w:sz="4" w:space="0" w:color="auto"/>
              <w:right w:val="single" w:sz="4" w:space="0" w:color="auto"/>
            </w:tcBorders>
            <w:vAlign w:val="center"/>
          </w:tcPr>
          <w:p w14:paraId="2D8755B2" w14:textId="77777777" w:rsidR="0023165E" w:rsidRPr="00184A8E" w:rsidRDefault="0023165E" w:rsidP="0023165E">
            <w:pPr>
              <w:autoSpaceDE w:val="0"/>
              <w:autoSpaceDN w:val="0"/>
              <w:adjustRightInd w:val="0"/>
              <w:rPr>
                <w:rFonts w:ascii="Arial" w:hAnsi="Arial" w:cs="Arial"/>
                <w:sz w:val="18"/>
                <w:szCs w:val="18"/>
                <w:lang w:eastAsia="en-US"/>
              </w:rPr>
            </w:pPr>
            <w:r w:rsidRPr="00184A8E">
              <w:rPr>
                <w:rFonts w:ascii="Arial" w:hAnsi="Arial" w:cs="Arial"/>
                <w:sz w:val="18"/>
                <w:szCs w:val="18"/>
                <w:lang w:eastAsia="en-US"/>
              </w:rPr>
              <w:t>Troškovi održavanja javne rasvjete</w:t>
            </w:r>
          </w:p>
        </w:tc>
        <w:tc>
          <w:tcPr>
            <w:tcW w:w="850" w:type="dxa"/>
            <w:tcBorders>
              <w:top w:val="single" w:sz="4" w:space="0" w:color="auto"/>
              <w:left w:val="single" w:sz="4" w:space="0" w:color="auto"/>
              <w:bottom w:val="single" w:sz="4" w:space="0" w:color="auto"/>
              <w:right w:val="single" w:sz="4" w:space="0" w:color="auto"/>
            </w:tcBorders>
            <w:vAlign w:val="center"/>
          </w:tcPr>
          <w:p w14:paraId="3BEF6328" w14:textId="77777777" w:rsidR="0023165E" w:rsidRPr="00184A8E" w:rsidRDefault="0023165E" w:rsidP="0023165E">
            <w:pPr>
              <w:jc w:val="center"/>
              <w:rPr>
                <w:rFonts w:ascii="Arial" w:eastAsia="Calibri" w:hAnsi="Arial" w:cs="Arial"/>
                <w:lang w:eastAsia="en-US"/>
              </w:rPr>
            </w:pPr>
            <w:r w:rsidRPr="00184A8E">
              <w:rPr>
                <w:rFonts w:ascii="Arial" w:eastAsia="Calibri" w:hAnsi="Arial" w:cs="Arial"/>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69BBD909" w14:textId="77777777" w:rsidR="0023165E" w:rsidRPr="00184A8E" w:rsidRDefault="0023165E" w:rsidP="0023165E">
            <w:pPr>
              <w:jc w:val="center"/>
              <w:rPr>
                <w:rFonts w:ascii="Arial" w:hAnsi="Arial" w:cs="Arial"/>
                <w:sz w:val="14"/>
                <w:szCs w:val="14"/>
                <w:lang w:eastAsia="en-US"/>
              </w:rPr>
            </w:pPr>
            <w:r w:rsidRPr="00184A8E">
              <w:rPr>
                <w:rFonts w:ascii="Arial" w:hAnsi="Arial" w:cs="Arial"/>
                <w:sz w:val="14"/>
                <w:szCs w:val="14"/>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66821080" w14:textId="77777777" w:rsidR="0023165E" w:rsidRPr="00184A8E" w:rsidRDefault="0023165E" w:rsidP="0023165E">
            <w:pPr>
              <w:jc w:val="center"/>
              <w:rPr>
                <w:rFonts w:ascii="Arial" w:hAnsi="Arial" w:cs="Arial"/>
                <w:sz w:val="14"/>
                <w:szCs w:val="14"/>
                <w:lang w:eastAsia="en-US"/>
              </w:rPr>
            </w:pPr>
            <w:r w:rsidRPr="00184A8E">
              <w:rPr>
                <w:rFonts w:ascii="Arial" w:hAnsi="Arial" w:cs="Arial"/>
                <w:sz w:val="14"/>
                <w:szCs w:val="14"/>
                <w:lang w:eastAsia="en-US"/>
              </w:rPr>
              <w:t>69.181,90</w:t>
            </w:r>
          </w:p>
        </w:tc>
        <w:tc>
          <w:tcPr>
            <w:tcW w:w="992" w:type="dxa"/>
            <w:tcBorders>
              <w:top w:val="single" w:sz="4" w:space="0" w:color="auto"/>
              <w:left w:val="single" w:sz="4" w:space="0" w:color="auto"/>
              <w:bottom w:val="single" w:sz="4" w:space="0" w:color="auto"/>
              <w:right w:val="single" w:sz="4" w:space="0" w:color="auto"/>
            </w:tcBorders>
            <w:vAlign w:val="center"/>
          </w:tcPr>
          <w:p w14:paraId="26BFDD5C" w14:textId="77777777" w:rsidR="0023165E" w:rsidRPr="00184A8E" w:rsidRDefault="0023165E" w:rsidP="0023165E">
            <w:pPr>
              <w:jc w:val="center"/>
              <w:rPr>
                <w:rFonts w:ascii="Arial" w:hAnsi="Arial" w:cs="Arial"/>
                <w:sz w:val="14"/>
                <w:szCs w:val="14"/>
                <w:lang w:eastAsia="en-US"/>
              </w:rPr>
            </w:pPr>
            <w:r w:rsidRPr="00184A8E">
              <w:rPr>
                <w:rFonts w:ascii="Arial" w:hAnsi="Arial" w:cs="Arial"/>
                <w:sz w:val="14"/>
                <w:szCs w:val="14"/>
                <w:lang w:eastAsia="en-US"/>
              </w:rPr>
              <w:t>46.478,70</w:t>
            </w:r>
          </w:p>
        </w:tc>
        <w:tc>
          <w:tcPr>
            <w:tcW w:w="992" w:type="dxa"/>
            <w:tcBorders>
              <w:top w:val="single" w:sz="4" w:space="0" w:color="auto"/>
              <w:left w:val="single" w:sz="4" w:space="0" w:color="auto"/>
              <w:bottom w:val="single" w:sz="4" w:space="0" w:color="auto"/>
              <w:right w:val="single" w:sz="4" w:space="0" w:color="auto"/>
            </w:tcBorders>
            <w:vAlign w:val="center"/>
          </w:tcPr>
          <w:p w14:paraId="299BEA9D" w14:textId="77777777" w:rsidR="0023165E" w:rsidRPr="00184A8E" w:rsidRDefault="0023165E" w:rsidP="0023165E">
            <w:pPr>
              <w:jc w:val="center"/>
              <w:rPr>
                <w:rFonts w:ascii="Arial" w:hAnsi="Arial" w:cs="Arial"/>
                <w:sz w:val="14"/>
                <w:szCs w:val="14"/>
                <w:lang w:eastAsia="en-US"/>
              </w:rPr>
            </w:pPr>
            <w:r w:rsidRPr="00184A8E">
              <w:rPr>
                <w:rFonts w:ascii="Arial" w:hAnsi="Arial" w:cs="Arial"/>
                <w:sz w:val="14"/>
                <w:szCs w:val="14"/>
                <w:lang w:eastAsia="en-US"/>
              </w:rPr>
              <w:t>106.208,39</w:t>
            </w:r>
          </w:p>
        </w:tc>
        <w:tc>
          <w:tcPr>
            <w:tcW w:w="992" w:type="dxa"/>
            <w:tcBorders>
              <w:top w:val="single" w:sz="4" w:space="0" w:color="000000"/>
              <w:left w:val="single" w:sz="4" w:space="0" w:color="000000"/>
              <w:bottom w:val="single" w:sz="4" w:space="0" w:color="000000"/>
              <w:right w:val="single" w:sz="4" w:space="0" w:color="000000"/>
            </w:tcBorders>
            <w:vAlign w:val="center"/>
          </w:tcPr>
          <w:p w14:paraId="5D845ADB" w14:textId="13119290" w:rsidR="0023165E" w:rsidRPr="00184A8E" w:rsidRDefault="0023165E" w:rsidP="0023165E">
            <w:pPr>
              <w:jc w:val="center"/>
              <w:rPr>
                <w:rFonts w:ascii="Arial" w:hAnsi="Arial" w:cs="Arial"/>
                <w:sz w:val="14"/>
                <w:szCs w:val="14"/>
                <w:lang w:eastAsia="en-US"/>
              </w:rPr>
            </w:pPr>
            <w:r w:rsidRPr="00760378">
              <w:rPr>
                <w:rFonts w:ascii="Arial" w:hAnsi="Arial" w:cs="Arial"/>
                <w:sz w:val="14"/>
                <w:szCs w:val="14"/>
                <w:lang w:eastAsia="en-US"/>
              </w:rPr>
              <w:t>86.467,13</w:t>
            </w:r>
          </w:p>
        </w:tc>
        <w:tc>
          <w:tcPr>
            <w:tcW w:w="993" w:type="dxa"/>
            <w:tcBorders>
              <w:top w:val="single" w:sz="4" w:space="0" w:color="000000"/>
              <w:left w:val="single" w:sz="4" w:space="0" w:color="000000"/>
              <w:bottom w:val="single" w:sz="4" w:space="0" w:color="000000"/>
              <w:right w:val="single" w:sz="4" w:space="0" w:color="000000"/>
            </w:tcBorders>
            <w:vAlign w:val="center"/>
          </w:tcPr>
          <w:p w14:paraId="399E6AE3" w14:textId="46E0981F" w:rsidR="0023165E" w:rsidRPr="00184A8E" w:rsidRDefault="0023165E" w:rsidP="0023165E">
            <w:pPr>
              <w:jc w:val="center"/>
              <w:rPr>
                <w:rFonts w:ascii="Arial" w:hAnsi="Arial" w:cs="Arial"/>
                <w:sz w:val="14"/>
                <w:szCs w:val="14"/>
                <w:lang w:eastAsia="en-US"/>
              </w:rPr>
            </w:pPr>
            <w:r>
              <w:rPr>
                <w:rFonts w:ascii="Arial" w:hAnsi="Arial" w:cs="Arial"/>
                <w:sz w:val="14"/>
                <w:szCs w:val="14"/>
                <w:lang w:eastAsia="en-US"/>
              </w:rPr>
              <w:t>77.308,73</w:t>
            </w:r>
          </w:p>
        </w:tc>
        <w:tc>
          <w:tcPr>
            <w:tcW w:w="992" w:type="dxa"/>
            <w:tcBorders>
              <w:top w:val="single" w:sz="4" w:space="0" w:color="000000"/>
              <w:left w:val="single" w:sz="4" w:space="0" w:color="000000"/>
              <w:bottom w:val="single" w:sz="4" w:space="0" w:color="000000"/>
              <w:right w:val="single" w:sz="4" w:space="0" w:color="000000"/>
            </w:tcBorders>
            <w:vAlign w:val="center"/>
          </w:tcPr>
          <w:p w14:paraId="0D774C74" w14:textId="581B58CE" w:rsidR="0023165E" w:rsidRPr="00184A8E" w:rsidRDefault="0023165E" w:rsidP="0023165E">
            <w:pPr>
              <w:jc w:val="center"/>
              <w:rPr>
                <w:rFonts w:ascii="Arial" w:hAnsi="Arial" w:cs="Arial"/>
                <w:sz w:val="14"/>
                <w:szCs w:val="14"/>
                <w:lang w:eastAsia="en-US"/>
              </w:rPr>
            </w:pPr>
            <w:r w:rsidRPr="00A2004A">
              <w:rPr>
                <w:rFonts w:ascii="Arial" w:hAnsi="Arial" w:cs="Arial"/>
                <w:sz w:val="18"/>
                <w:szCs w:val="18"/>
              </w:rPr>
              <w:t>40.000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34BCA448" w14:textId="7CD9EDBD" w:rsidR="0023165E" w:rsidRPr="00184A8E" w:rsidRDefault="0023165E" w:rsidP="0023165E">
            <w:pPr>
              <w:jc w:val="center"/>
              <w:rPr>
                <w:rFonts w:ascii="Arial" w:hAnsi="Arial" w:cs="Arial"/>
                <w:sz w:val="14"/>
                <w:szCs w:val="14"/>
                <w:lang w:eastAsia="en-US"/>
              </w:rPr>
            </w:pPr>
            <w:r w:rsidRPr="00A2004A">
              <w:rPr>
                <w:rFonts w:ascii="Arial" w:hAnsi="Arial" w:cs="Arial"/>
                <w:sz w:val="18"/>
                <w:szCs w:val="18"/>
              </w:rPr>
              <w:t>40.000</w:t>
            </w:r>
          </w:p>
        </w:tc>
      </w:tr>
    </w:tbl>
    <w:p w14:paraId="7B0A0763" w14:textId="77777777" w:rsidR="00184A8E" w:rsidRPr="00184A8E" w:rsidRDefault="00184A8E" w:rsidP="00184A8E">
      <w:pPr>
        <w:spacing w:after="0" w:line="240" w:lineRule="auto"/>
        <w:jc w:val="both"/>
        <w:rPr>
          <w:rFonts w:ascii="Arial" w:eastAsia="Calibri" w:hAnsi="Arial" w:cs="Arial"/>
          <w:bCs/>
          <w:sz w:val="20"/>
          <w:szCs w:val="20"/>
          <w:lang w:eastAsia="en-US"/>
        </w:rPr>
      </w:pPr>
    </w:p>
    <w:p w14:paraId="4ACA5F98" w14:textId="77777777" w:rsidR="00184A8E" w:rsidRPr="00184A8E" w:rsidRDefault="00184A8E" w:rsidP="00184A8E">
      <w:pPr>
        <w:spacing w:after="0" w:line="240" w:lineRule="auto"/>
        <w:jc w:val="both"/>
        <w:rPr>
          <w:rFonts w:ascii="Arial" w:eastAsia="Calibri" w:hAnsi="Arial" w:cs="Arial"/>
          <w:b/>
          <w:sz w:val="20"/>
          <w:szCs w:val="20"/>
          <w:lang w:eastAsia="en-US"/>
        </w:rPr>
      </w:pPr>
      <w:r w:rsidRPr="00184A8E">
        <w:rPr>
          <w:rFonts w:ascii="Arial" w:eastAsia="Calibri" w:hAnsi="Arial" w:cs="Arial"/>
          <w:iCs/>
          <w:sz w:val="20"/>
          <w:szCs w:val="20"/>
        </w:rPr>
        <w:t xml:space="preserve">Ukupna instalirana snaga (prije planirane rekonstrukcije javne rasvjete) iznosila je 428,01 kW, sveukupno 3.100 svjetiljke na 68 mjernih mjesta. </w:t>
      </w:r>
    </w:p>
    <w:p w14:paraId="50C22328"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U 2024. godini je završena rekonstrukcija javne rasvjete na području Općine, odnosno instalirana su nova energetski učinkovita rasvjetna tijela.</w:t>
      </w:r>
    </w:p>
    <w:p w14:paraId="42CBA6AC" w14:textId="77777777" w:rsidR="00184A8E" w:rsidRPr="00184A8E" w:rsidRDefault="00184A8E" w:rsidP="00184A8E">
      <w:pPr>
        <w:spacing w:after="0" w:line="240" w:lineRule="auto"/>
        <w:jc w:val="both"/>
        <w:rPr>
          <w:rFonts w:ascii="Arial" w:eastAsia="Times New Roman" w:hAnsi="Arial" w:cs="Arial"/>
          <w:sz w:val="20"/>
          <w:szCs w:val="20"/>
        </w:rPr>
      </w:pPr>
    </w:p>
    <w:p w14:paraId="19C5F8F7"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Calibri" w:hAnsi="Arial" w:cs="Arial"/>
          <w:b/>
          <w:sz w:val="20"/>
          <w:szCs w:val="20"/>
        </w:rPr>
        <w:t>11. A209115: Izvanredno održavanje cesta i potpornih zidova radi održavanja sigurnosti prometa (</w:t>
      </w:r>
      <w:r w:rsidRPr="00184A8E">
        <w:rPr>
          <w:rFonts w:ascii="Arial" w:eastAsia="Calibri" w:hAnsi="Arial" w:cs="Arial"/>
          <w:b/>
          <w:sz w:val="16"/>
          <w:szCs w:val="20"/>
        </w:rPr>
        <w:t>Ranije: Individualno održavanje komunalne infrastrukture - mjesni odbori, manja komunalna uređenja ...)</w:t>
      </w:r>
      <w:r w:rsidRPr="00184A8E">
        <w:rPr>
          <w:rFonts w:ascii="Arial" w:eastAsia="Calibri" w:hAnsi="Arial" w:cs="Arial"/>
          <w:sz w:val="16"/>
          <w:szCs w:val="20"/>
        </w:rPr>
        <w:t xml:space="preserve"> </w:t>
      </w:r>
      <w:r w:rsidRPr="00184A8E">
        <w:rPr>
          <w:rFonts w:ascii="Arial" w:eastAsia="Calibri" w:hAnsi="Arial" w:cs="Arial"/>
          <w:sz w:val="20"/>
          <w:szCs w:val="20"/>
        </w:rPr>
        <w:t>- u sklopu navedene aktivnosti planiraju se rashodi za nabavu građevinskog materijala po zahtjevima mjesnih odbora za potrebe uređenja komunalne infrastrukture u njihovim naseljima, gdje se mještani uglavnom svojim radom angažiraju i sl. Također, po zahtjevima mjesnih odbora obavljaju se drugi radovi odnosno usluge koje se odnose na manja komunalna uređenja i/ili nepredviđene radove koji se mogu pojaviti tijekom godine, a nisu bili predviđeni ovim Programom. Primjerice to su radovi na podzidama, prilaznim putovima prema obiteljskim kućama i druga manja održavanjima koja nisu mogla biti predviđena i obuhvaćena putem redovnog održavanja javnih površina i cesta</w:t>
      </w:r>
      <w:r w:rsidRPr="00184A8E">
        <w:rPr>
          <w:rFonts w:ascii="Arial" w:eastAsia="Times New Roman" w:hAnsi="Arial" w:cs="Arial"/>
          <w:sz w:val="20"/>
          <w:szCs w:val="20"/>
          <w:lang w:eastAsia="en-US"/>
        </w:rPr>
        <w:t xml:space="preserve">. </w:t>
      </w:r>
    </w:p>
    <w:p w14:paraId="5AECE575" w14:textId="292F952F" w:rsidR="00184A8E" w:rsidRPr="00184A8E" w:rsidRDefault="00184A8E" w:rsidP="00184A8E">
      <w:pPr>
        <w:spacing w:after="0" w:line="240" w:lineRule="auto"/>
        <w:ind w:firstLine="709"/>
        <w:jc w:val="both"/>
        <w:rPr>
          <w:rFonts w:ascii="Arial" w:eastAsia="Times New Roman" w:hAnsi="Arial" w:cs="Arial"/>
          <w:sz w:val="20"/>
          <w:szCs w:val="20"/>
          <w:lang w:eastAsia="en-US"/>
        </w:rPr>
      </w:pPr>
      <w:bookmarkStart w:id="515" w:name="_Hlk135137846"/>
      <w:r w:rsidRPr="00184A8E">
        <w:rPr>
          <w:rFonts w:ascii="Arial" w:eastAsia="Times New Roman" w:hAnsi="Arial" w:cs="Arial"/>
          <w:sz w:val="20"/>
          <w:szCs w:val="20"/>
          <w:lang w:eastAsia="en-US"/>
        </w:rPr>
        <w:t xml:space="preserve">Planirana sredstva za provođenje navedene aktivnosti iznose </w:t>
      </w:r>
      <w:r w:rsidR="00905D8A">
        <w:rPr>
          <w:rFonts w:ascii="Arial" w:eastAsia="Times New Roman" w:hAnsi="Arial" w:cs="Arial"/>
          <w:sz w:val="20"/>
          <w:szCs w:val="20"/>
          <w:lang w:eastAsia="en-US"/>
        </w:rPr>
        <w:t>445.750</w:t>
      </w:r>
      <w:r w:rsidRPr="00184A8E">
        <w:rPr>
          <w:rFonts w:ascii="Arial" w:eastAsia="Times New Roman" w:hAnsi="Arial" w:cs="Arial"/>
          <w:sz w:val="20"/>
          <w:szCs w:val="20"/>
          <w:lang w:eastAsia="en-US"/>
        </w:rPr>
        <w:t xml:space="preserve"> €. </w:t>
      </w:r>
      <w:bookmarkStart w:id="516" w:name="_Hlk198894098"/>
      <w:r w:rsidRPr="00184A8E">
        <w:rPr>
          <w:rFonts w:ascii="Arial" w:eastAsia="Times New Roman" w:hAnsi="Arial" w:cs="Arial"/>
          <w:sz w:val="20"/>
          <w:szCs w:val="20"/>
          <w:lang w:eastAsia="en-US"/>
        </w:rPr>
        <w:t xml:space="preserve">Ovi rashodi su izvršeni u iznosu </w:t>
      </w:r>
      <w:r w:rsidR="00905D8A">
        <w:rPr>
          <w:rFonts w:ascii="Arial" w:eastAsia="Times New Roman" w:hAnsi="Arial" w:cs="Arial"/>
          <w:sz w:val="20"/>
          <w:szCs w:val="20"/>
          <w:lang w:eastAsia="en-US"/>
        </w:rPr>
        <w:t>262.863,53</w:t>
      </w:r>
      <w:r w:rsidRPr="00184A8E">
        <w:rPr>
          <w:rFonts w:ascii="Arial" w:eastAsia="Times New Roman" w:hAnsi="Arial" w:cs="Arial"/>
          <w:sz w:val="20"/>
          <w:szCs w:val="20"/>
          <w:lang w:eastAsia="en-US"/>
        </w:rPr>
        <w:t xml:space="preserve"> €, odnose se na:</w:t>
      </w:r>
    </w:p>
    <w:p w14:paraId="1FF93804" w14:textId="6A0434F9" w:rsidR="00184A8E" w:rsidRDefault="00905D8A">
      <w:pPr>
        <w:pStyle w:val="Odlomakpopisa"/>
        <w:numPr>
          <w:ilvl w:val="0"/>
          <w:numId w:val="3"/>
        </w:numPr>
        <w:ind w:left="567" w:hanging="567"/>
        <w:rPr>
          <w:rFonts w:ascii="Arial" w:hAnsi="Arial" w:cs="Arial"/>
        </w:rPr>
      </w:pPr>
      <w:bookmarkStart w:id="517" w:name="_Hlk166243945"/>
      <w:bookmarkEnd w:id="516"/>
      <w:r w:rsidRPr="00905D8A">
        <w:rPr>
          <w:rFonts w:ascii="Arial" w:hAnsi="Arial" w:cs="Arial"/>
        </w:rPr>
        <w:t xml:space="preserve">radove na sanaciji potpornih zidova na nerazvrstanim cestama i pristupnih putova i to naselje izgradnja potpornog zida na cesti u Butkovini 55.596,28 €, potporni zid u ulici Frana Laureana Cavtat 26.043,95 € (žurna sanacija jer je započelo urušavanje u neposrednoj blizini kuća), radovi zamjene i postavljanja infrastrukturne mreže u ulici Frana Laureana u iznosu 43.086,30 €, uređenje ulice Frana Laureana u iznosu 30.845,73 € (nakon što su završeni radovi na izgradnji kanalizacije, radove na postavljanju kanalizacije izvodilo komunalno društvo), potporni zid u Pridvorju (sanacija zbog prodora vode u dom kulture) u iznosu 38.291,54 €, sanaciju kolnika u Čilipima 13.077,98 €, sanacija poljske ceste u Paljem brdu 9.375 €, uređenje prilaza plaži Puvalice (parking) u Čilipima 8.000 €, ravnanje šumskog puta u Zastolju i Pločicama 6.625 €, ravnanje protupožarnog puta u Vitajini 5.500 €, uređenje vatrogasnog puta Bugovina u Čilipima 4.525 €, iskop rovova za vodovod i elektroinstalacije prema mjesnom groblju u Dubravci 3.305,50 € (radi sanacije puknuća cijevi i pada rasvjetnog stupa), radovi na cesti u </w:t>
      </w:r>
      <w:r w:rsidRPr="00905D8A">
        <w:rPr>
          <w:rFonts w:ascii="Arial" w:hAnsi="Arial" w:cs="Arial"/>
        </w:rPr>
        <w:lastRenderedPageBreak/>
        <w:t>Banima (priprema za tamponiranje) 2.750 €, nasipanje ugibališta prema cesti Vojski do 2.500 €, uklanjanje srušenog suhozida u Butkovini 2.520 €, uklanjanje i sanacija zida u Butkovini 1.775 €, zbrinjavanje frezanog asfalta u Dubravci 1.476,25 €, proširenje prilaza mjesnom groblju u Radovčićima 1.000 €, dovoz materijala i zemlje za ulicu Frana Laureana 950 €, usluge pregleda i nadzora nad radovima u ulici Frana Laureana 2.062,50 €, usluge pregleda i nadzora radova na sanaciji potpornog zida u Pridvorju 437,50 €, idejno rješenje i troškovnik radova, te nadzor sanacije potpornog zida u Butkovini 3.125 €. Radove i usluge manjih pojedinačnih vrijednosti iz područja uređenja i održavanja nerazvrstanih cesta i potpornih zidova su inicirali mjesni odbori sveukupne vrijednosti.</w:t>
      </w:r>
    </w:p>
    <w:p w14:paraId="1D3F6D72" w14:textId="77777777" w:rsidR="00905D8A" w:rsidRPr="00905D8A" w:rsidRDefault="00905D8A">
      <w:pPr>
        <w:pStyle w:val="Odlomakpopisa"/>
        <w:numPr>
          <w:ilvl w:val="0"/>
          <w:numId w:val="3"/>
        </w:numPr>
        <w:ind w:left="567" w:hanging="567"/>
        <w:rPr>
          <w:rFonts w:ascii="Arial" w:hAnsi="Arial" w:cs="Arial"/>
        </w:rPr>
      </w:pPr>
    </w:p>
    <w:tbl>
      <w:tblPr>
        <w:tblStyle w:val="Reetkatablice5368"/>
        <w:tblW w:w="14285" w:type="dxa"/>
        <w:jc w:val="center"/>
        <w:tblLayout w:type="fixed"/>
        <w:tblLook w:val="04A0" w:firstRow="1" w:lastRow="0" w:firstColumn="1" w:lastColumn="0" w:noHBand="0" w:noVBand="1"/>
      </w:tblPr>
      <w:tblGrid>
        <w:gridCol w:w="2263"/>
        <w:gridCol w:w="3828"/>
        <w:gridCol w:w="992"/>
        <w:gridCol w:w="1134"/>
        <w:gridCol w:w="1134"/>
        <w:gridCol w:w="1276"/>
        <w:gridCol w:w="1174"/>
        <w:gridCol w:w="1235"/>
        <w:gridCol w:w="1249"/>
      </w:tblGrid>
      <w:tr w:rsidR="00184A8E" w:rsidRPr="00184A8E" w14:paraId="121E965E"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bookmarkEnd w:id="515"/>
          <w:bookmarkEnd w:id="517"/>
          <w:p w14:paraId="36E6BBDC"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382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CC1A88F"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C6C5449"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2EA424C"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FFE25EB" w14:textId="4EB626C1"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905D8A">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40166B7" w14:textId="4E4AB760"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w:t>
            </w:r>
            <w:r w:rsidR="00905D8A">
              <w:rPr>
                <w:rFonts w:ascii="Arial" w:eastAsia="Calibri" w:hAnsi="Arial" w:cs="Arial"/>
                <w:lang w:eastAsia="en-US"/>
              </w:rPr>
              <w:t>25</w:t>
            </w:r>
            <w:r w:rsidRPr="00184A8E">
              <w:rPr>
                <w:rFonts w:ascii="Arial" w:eastAsia="Calibri" w:hAnsi="Arial" w:cs="Arial"/>
                <w:lang w:eastAsia="en-US"/>
              </w:rPr>
              <w:t>.</w:t>
            </w:r>
          </w:p>
        </w:tc>
        <w:tc>
          <w:tcPr>
            <w:tcW w:w="117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4CE32C0" w14:textId="290D40EA"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905D8A">
              <w:rPr>
                <w:rFonts w:ascii="Arial" w:eastAsia="Calibri" w:hAnsi="Arial" w:cs="Arial"/>
                <w:lang w:eastAsia="en-US"/>
              </w:rPr>
              <w:t>5</w:t>
            </w:r>
            <w:r w:rsidRPr="00184A8E">
              <w:rPr>
                <w:rFonts w:ascii="Arial" w:eastAsia="Calibri" w:hAnsi="Arial" w:cs="Arial"/>
                <w:lang w:eastAsia="en-US"/>
              </w:rPr>
              <w:t xml:space="preserve">. </w:t>
            </w:r>
          </w:p>
        </w:tc>
        <w:tc>
          <w:tcPr>
            <w:tcW w:w="12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57DD966" w14:textId="58B6FE02"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905D8A">
              <w:rPr>
                <w:rFonts w:ascii="Arial" w:eastAsia="Calibri" w:hAnsi="Arial" w:cs="Arial"/>
                <w:lang w:eastAsia="en-US"/>
              </w:rPr>
              <w:t>6</w:t>
            </w:r>
            <w:r w:rsidRPr="00184A8E">
              <w:rPr>
                <w:rFonts w:ascii="Arial" w:eastAsia="Calibri" w:hAnsi="Arial" w:cs="Arial"/>
                <w:lang w:eastAsia="en-US"/>
              </w:rPr>
              <w:t>.</w:t>
            </w:r>
          </w:p>
        </w:tc>
        <w:tc>
          <w:tcPr>
            <w:tcW w:w="124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809FC3D" w14:textId="268FBF0A"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905D8A">
              <w:rPr>
                <w:rFonts w:ascii="Arial" w:eastAsia="Calibri" w:hAnsi="Arial" w:cs="Arial"/>
                <w:lang w:eastAsia="en-US"/>
              </w:rPr>
              <w:t>7</w:t>
            </w:r>
            <w:r w:rsidRPr="00184A8E">
              <w:rPr>
                <w:rFonts w:ascii="Arial" w:eastAsia="Calibri" w:hAnsi="Arial" w:cs="Arial"/>
                <w:lang w:eastAsia="en-US"/>
              </w:rPr>
              <w:t>.</w:t>
            </w:r>
          </w:p>
        </w:tc>
      </w:tr>
      <w:tr w:rsidR="00184A8E" w:rsidRPr="00184A8E" w14:paraId="7C4042D9" w14:textId="77777777" w:rsidTr="00410A4B">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3A7B3E55" w14:textId="77777777" w:rsidR="00184A8E" w:rsidRPr="00184A8E" w:rsidRDefault="00184A8E" w:rsidP="00184A8E">
            <w:pPr>
              <w:rPr>
                <w:rFonts w:ascii="Arial" w:hAnsi="Arial" w:cs="Arial"/>
                <w:sz w:val="18"/>
                <w:szCs w:val="18"/>
                <w:lang w:eastAsia="en-US"/>
              </w:rPr>
            </w:pPr>
            <w:r w:rsidRPr="00184A8E">
              <w:rPr>
                <w:rFonts w:ascii="Arial" w:hAnsi="Arial" w:cs="Arial"/>
                <w:sz w:val="18"/>
                <w:szCs w:val="18"/>
                <w:lang w:eastAsia="en-US"/>
              </w:rPr>
              <w:t>Utrošena sredstva za male komunalne akcije u mjesnim odborima</w:t>
            </w:r>
          </w:p>
        </w:tc>
        <w:tc>
          <w:tcPr>
            <w:tcW w:w="3828" w:type="dxa"/>
            <w:tcBorders>
              <w:top w:val="single" w:sz="4" w:space="0" w:color="auto"/>
              <w:left w:val="single" w:sz="4" w:space="0" w:color="auto"/>
              <w:bottom w:val="single" w:sz="4" w:space="0" w:color="auto"/>
              <w:right w:val="single" w:sz="4" w:space="0" w:color="auto"/>
            </w:tcBorders>
            <w:vAlign w:val="center"/>
          </w:tcPr>
          <w:p w14:paraId="251326D6"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hAnsi="Arial" w:cs="Arial"/>
                <w:sz w:val="18"/>
                <w:szCs w:val="18"/>
                <w:lang w:eastAsia="en-US"/>
              </w:rPr>
              <w:t>Udio utrošenih planiranih sredstava za izvanredno održavanje cesta, pristupnih puteva i makadamskih cesta putem mjesnih odbora</w:t>
            </w:r>
          </w:p>
        </w:tc>
        <w:tc>
          <w:tcPr>
            <w:tcW w:w="992" w:type="dxa"/>
            <w:tcBorders>
              <w:top w:val="single" w:sz="4" w:space="0" w:color="auto"/>
              <w:left w:val="single" w:sz="4" w:space="0" w:color="auto"/>
              <w:bottom w:val="single" w:sz="4" w:space="0" w:color="auto"/>
              <w:right w:val="single" w:sz="4" w:space="0" w:color="auto"/>
            </w:tcBorders>
            <w:vAlign w:val="center"/>
          </w:tcPr>
          <w:p w14:paraId="6AC59F0E"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3A73C895" w14:textId="77777777" w:rsidR="00184A8E" w:rsidRPr="00184A8E" w:rsidRDefault="00184A8E" w:rsidP="00184A8E">
            <w:pPr>
              <w:jc w:val="center"/>
              <w:rPr>
                <w:rFonts w:ascii="Arial" w:hAnsi="Arial" w:cs="Arial"/>
                <w:lang w:eastAsia="en-US"/>
              </w:rPr>
            </w:pPr>
            <w:r w:rsidRPr="00184A8E">
              <w:rPr>
                <w:rFonts w:ascii="Arial" w:hAnsi="Arial" w:cs="Arial"/>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06E2D692"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75%</w:t>
            </w:r>
          </w:p>
        </w:tc>
        <w:tc>
          <w:tcPr>
            <w:tcW w:w="1276" w:type="dxa"/>
            <w:tcBorders>
              <w:top w:val="single" w:sz="4" w:space="0" w:color="auto"/>
              <w:left w:val="single" w:sz="4" w:space="0" w:color="auto"/>
              <w:bottom w:val="single" w:sz="4" w:space="0" w:color="auto"/>
              <w:right w:val="single" w:sz="4" w:space="0" w:color="auto"/>
            </w:tcBorders>
            <w:vAlign w:val="center"/>
          </w:tcPr>
          <w:p w14:paraId="474E5BBB"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174" w:type="dxa"/>
            <w:tcBorders>
              <w:top w:val="single" w:sz="4" w:space="0" w:color="000000"/>
              <w:left w:val="single" w:sz="4" w:space="0" w:color="000000"/>
              <w:bottom w:val="single" w:sz="4" w:space="0" w:color="000000"/>
              <w:right w:val="single" w:sz="4" w:space="0" w:color="000000"/>
            </w:tcBorders>
            <w:vAlign w:val="center"/>
          </w:tcPr>
          <w:p w14:paraId="2421F3B8" w14:textId="4C0C32E5" w:rsidR="00184A8E" w:rsidRPr="00184A8E" w:rsidRDefault="00A84C92" w:rsidP="00184A8E">
            <w:pPr>
              <w:jc w:val="center"/>
              <w:rPr>
                <w:rFonts w:ascii="Arial" w:eastAsia="Calibri" w:hAnsi="Arial" w:cs="Arial"/>
                <w:lang w:eastAsia="en-US"/>
              </w:rPr>
            </w:pPr>
            <w:r>
              <w:rPr>
                <w:rFonts w:ascii="Arial" w:eastAsia="Calibri" w:hAnsi="Arial" w:cs="Arial"/>
                <w:lang w:eastAsia="en-US"/>
              </w:rPr>
              <w:t>59</w:t>
            </w:r>
            <w:r w:rsidR="00184A8E" w:rsidRPr="00184A8E">
              <w:rPr>
                <w:rFonts w:ascii="Arial" w:eastAsia="Calibri" w:hAnsi="Arial" w:cs="Arial"/>
                <w:lang w:eastAsia="en-US"/>
              </w:rPr>
              <w:t>%</w:t>
            </w:r>
          </w:p>
        </w:tc>
        <w:tc>
          <w:tcPr>
            <w:tcW w:w="1235" w:type="dxa"/>
            <w:tcBorders>
              <w:top w:val="single" w:sz="4" w:space="0" w:color="000000"/>
              <w:left w:val="single" w:sz="4" w:space="0" w:color="000000"/>
              <w:bottom w:val="single" w:sz="4" w:space="0" w:color="000000"/>
              <w:right w:val="single" w:sz="4" w:space="0" w:color="000000"/>
            </w:tcBorders>
            <w:vAlign w:val="center"/>
          </w:tcPr>
          <w:p w14:paraId="458FAB11"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9" w:type="dxa"/>
            <w:tcBorders>
              <w:top w:val="single" w:sz="4" w:space="0" w:color="000000"/>
              <w:left w:val="single" w:sz="4" w:space="0" w:color="000000"/>
              <w:bottom w:val="single" w:sz="4" w:space="0" w:color="000000"/>
              <w:right w:val="single" w:sz="4" w:space="0" w:color="000000"/>
            </w:tcBorders>
            <w:vAlign w:val="center"/>
          </w:tcPr>
          <w:p w14:paraId="33A2811F"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w:t>
            </w:r>
          </w:p>
        </w:tc>
      </w:tr>
    </w:tbl>
    <w:p w14:paraId="48516EB3"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7710AA35" w14:textId="13D05844"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12. A209116: Sufinanciranje izvanrednog održavanja dijela lokalnih, županijskih i državnih cesta (ŽUC/HC)</w:t>
      </w:r>
      <w:r w:rsidRPr="00184A8E">
        <w:rPr>
          <w:rFonts w:ascii="Arial" w:eastAsia="Calibri" w:hAnsi="Arial" w:cs="Arial"/>
          <w:sz w:val="20"/>
          <w:szCs w:val="20"/>
        </w:rPr>
        <w:t xml:space="preserve"> - Proračunska sredstva su planirana u iznosu </w:t>
      </w:r>
      <w:r w:rsidR="00A84C92">
        <w:rPr>
          <w:rFonts w:ascii="Arial" w:eastAsia="Calibri" w:hAnsi="Arial" w:cs="Arial"/>
          <w:sz w:val="20"/>
          <w:szCs w:val="20"/>
        </w:rPr>
        <w:t>2</w:t>
      </w:r>
      <w:r w:rsidRPr="00184A8E">
        <w:rPr>
          <w:rFonts w:ascii="Arial" w:eastAsia="Calibri" w:hAnsi="Arial" w:cs="Arial"/>
          <w:sz w:val="20"/>
          <w:szCs w:val="20"/>
        </w:rPr>
        <w:t xml:space="preserve">.000 €. Rashodi su izvršeni u iznosu </w:t>
      </w:r>
      <w:r w:rsidR="00A84C92">
        <w:rPr>
          <w:rFonts w:ascii="Arial" w:eastAsia="Calibri" w:hAnsi="Arial" w:cs="Arial"/>
          <w:sz w:val="20"/>
          <w:szCs w:val="20"/>
        </w:rPr>
        <w:t>15.525</w:t>
      </w:r>
      <w:r w:rsidRPr="00184A8E">
        <w:rPr>
          <w:rFonts w:ascii="Arial" w:eastAsia="Calibri" w:hAnsi="Arial" w:cs="Arial"/>
          <w:sz w:val="20"/>
          <w:szCs w:val="20"/>
        </w:rPr>
        <w:t xml:space="preserve"> € ili </w:t>
      </w:r>
      <w:r w:rsidR="00A84C92">
        <w:rPr>
          <w:rFonts w:ascii="Arial" w:eastAsia="Calibri" w:hAnsi="Arial" w:cs="Arial"/>
          <w:sz w:val="20"/>
          <w:szCs w:val="20"/>
        </w:rPr>
        <w:t>77,6</w:t>
      </w:r>
      <w:r w:rsidRPr="00184A8E">
        <w:rPr>
          <w:rFonts w:ascii="Arial" w:eastAsia="Calibri" w:hAnsi="Arial" w:cs="Arial"/>
          <w:sz w:val="20"/>
          <w:szCs w:val="20"/>
        </w:rPr>
        <w:t>%.</w:t>
      </w:r>
    </w:p>
    <w:p w14:paraId="555EA3A5" w14:textId="77777777" w:rsidR="00184A8E" w:rsidRPr="00184A8E" w:rsidRDefault="00184A8E" w:rsidP="00184A8E">
      <w:pPr>
        <w:spacing w:after="0" w:line="240" w:lineRule="auto"/>
        <w:jc w:val="both"/>
        <w:rPr>
          <w:rFonts w:ascii="Arial" w:eastAsia="Calibri" w:hAnsi="Arial" w:cs="Arial"/>
          <w:sz w:val="20"/>
          <w:szCs w:val="20"/>
        </w:rPr>
      </w:pPr>
      <w:bookmarkStart w:id="518" w:name="_Hlk135137981"/>
      <w:r w:rsidRPr="00184A8E">
        <w:rPr>
          <w:rFonts w:ascii="Arial" w:eastAsia="Calibri" w:hAnsi="Arial" w:cs="Arial"/>
          <w:sz w:val="20"/>
          <w:szCs w:val="20"/>
        </w:rPr>
        <w:t xml:space="preserve">Planirani rashodi obuhvaćaju radove na cestama koje nisu pod izravnom nadležnošću Općine Konavle, a nalaze se na području Općine i bitne su za sigurnost prometa. Provedba ovih radova se obavlja uz suglasnost i odobrenje nadležnih tijela. Primjerice, u okviru ove aktivnosti uključuju se troškovi koja nastaju u svezi postavljanja tzv. umjetnih izbočina na istim cestama. U sklopu ove stavke je i izrada tehničke dokumentacije, idejnih rješenja, studije opravdanosti postave usporivača prometa na dijelu županijskih cesta i slično. </w:t>
      </w:r>
    </w:p>
    <w:p w14:paraId="2AB8DC77" w14:textId="77777777" w:rsidR="00184A8E" w:rsidRPr="00184A8E" w:rsidRDefault="00184A8E" w:rsidP="00A84C92">
      <w:pPr>
        <w:spacing w:after="0" w:line="240" w:lineRule="auto"/>
        <w:jc w:val="both"/>
        <w:rPr>
          <w:rFonts w:ascii="Arial" w:eastAsia="Calibri" w:hAnsi="Arial" w:cs="Arial"/>
          <w:sz w:val="20"/>
          <w:szCs w:val="20"/>
        </w:rPr>
      </w:pPr>
    </w:p>
    <w:p w14:paraId="6469D4A3" w14:textId="77777777" w:rsidR="00A84C92" w:rsidRPr="00A84C92" w:rsidRDefault="00A84C92" w:rsidP="00A84C92">
      <w:pPr>
        <w:spacing w:after="0" w:line="240" w:lineRule="auto"/>
        <w:rPr>
          <w:rFonts w:ascii="Arial" w:eastAsia="Calibri" w:hAnsi="Arial" w:cs="Arial"/>
          <w:sz w:val="20"/>
          <w:szCs w:val="20"/>
        </w:rPr>
      </w:pPr>
      <w:r w:rsidRPr="00A84C92">
        <w:rPr>
          <w:rFonts w:ascii="Arial" w:eastAsia="Calibri" w:hAnsi="Arial" w:cs="Arial"/>
          <w:sz w:val="20"/>
          <w:szCs w:val="20"/>
        </w:rPr>
        <w:t>U okviru ove aktivnosti ranijih godina su obavljani radovi na obnovi važne prometnice koja se odvija u više faza - radovi na održavanju trupa ceste LC 69057 (od Potoka prema Debelom brijegu, granični prijelaz, a nastaviti će se prema Grudi, kao i prema Zastolju).</w:t>
      </w:r>
    </w:p>
    <w:p w14:paraId="2AC30A1A" w14:textId="77777777" w:rsidR="00184A8E" w:rsidRPr="00184A8E" w:rsidRDefault="00184A8E" w:rsidP="00184A8E">
      <w:pPr>
        <w:spacing w:after="0" w:line="240" w:lineRule="auto"/>
        <w:jc w:val="both"/>
        <w:rPr>
          <w:rFonts w:ascii="Arial" w:eastAsia="Calibri" w:hAnsi="Arial" w:cs="Arial"/>
          <w:sz w:val="20"/>
          <w:szCs w:val="20"/>
        </w:rPr>
      </w:pPr>
    </w:p>
    <w:p w14:paraId="3387D02B" w14:textId="77777777" w:rsidR="00184A8E" w:rsidRPr="00184A8E" w:rsidRDefault="00184A8E" w:rsidP="00184A8E">
      <w:pPr>
        <w:spacing w:after="0" w:line="240" w:lineRule="auto"/>
        <w:ind w:left="567"/>
        <w:jc w:val="both"/>
        <w:rPr>
          <w:rFonts w:ascii="Arial" w:eastAsia="Calibri" w:hAnsi="Arial" w:cs="Arial"/>
          <w:sz w:val="18"/>
          <w:szCs w:val="18"/>
        </w:rPr>
      </w:pPr>
      <w:bookmarkStart w:id="519" w:name="_Hlk166244342"/>
      <w:r w:rsidRPr="00184A8E">
        <w:rPr>
          <w:rFonts w:ascii="Arial" w:eastAsia="Calibri" w:hAnsi="Arial" w:cs="Arial"/>
          <w:sz w:val="18"/>
          <w:szCs w:val="18"/>
        </w:rPr>
        <w:t>Nakon osiguravanja novčanih sredstava i provedbe novog postupka javne nabave u 2023. godine, te zaključenog ugovora s odabranim izvoditeljem, na nastavku izvanrednog održavanja dijela lokalne ceste L69057, faza II, dionica između dijela naselja Dubravka i naselja Bani, zaključen je ugovor u svibnju 2023. za radove u vrijednosti 306.787,15 € što s porezom na dodanu vrijednost čini 383.458,93 €. Ugovorom o zajedničkom financiranju izvanrednog održavanja iz lipnja 2023, Županijska uprava za ceste se obvezala financirati 30% vrijednosti radova, a Općina preostalih 70% ugovorene vrijednosti radova.</w:t>
      </w:r>
    </w:p>
    <w:p w14:paraId="7C49DD41" w14:textId="77777777" w:rsidR="00184A8E" w:rsidRPr="00184A8E" w:rsidRDefault="00184A8E" w:rsidP="00184A8E">
      <w:pPr>
        <w:spacing w:after="0" w:line="240" w:lineRule="auto"/>
        <w:jc w:val="both"/>
        <w:rPr>
          <w:rFonts w:ascii="Arial" w:eastAsia="Calibri" w:hAnsi="Arial" w:cs="Arial"/>
          <w:sz w:val="18"/>
          <w:szCs w:val="18"/>
        </w:rPr>
      </w:pPr>
    </w:p>
    <w:p w14:paraId="38BA0C70" w14:textId="77777777" w:rsidR="00184A8E" w:rsidRPr="00184A8E" w:rsidRDefault="00184A8E" w:rsidP="00184A8E">
      <w:pPr>
        <w:spacing w:after="0" w:line="240" w:lineRule="auto"/>
        <w:ind w:left="567"/>
        <w:jc w:val="both"/>
        <w:rPr>
          <w:rFonts w:ascii="Arial" w:eastAsia="Calibri" w:hAnsi="Arial" w:cs="Arial"/>
          <w:sz w:val="18"/>
          <w:szCs w:val="18"/>
        </w:rPr>
      </w:pPr>
      <w:r w:rsidRPr="00184A8E">
        <w:rPr>
          <w:rFonts w:ascii="Arial" w:eastAsia="Calibri" w:hAnsi="Arial" w:cs="Arial"/>
          <w:sz w:val="18"/>
          <w:szCs w:val="18"/>
        </w:rPr>
        <w:t>Na temelju ovog ugovora, u 2023. su izvršeni radovi u vrijednosti 180.360,42 € s PDV-om (četiri privremene situacije, dok usluge nadzora nad radovima na ovom dijelu dionice ceste iznose 8.000 €). Rashodi su izvršeni manje od planiranih jer izvoditelj nije ispostavio situacije za obavljene radove u prosincu 2023. godine.</w:t>
      </w:r>
    </w:p>
    <w:bookmarkEnd w:id="519"/>
    <w:p w14:paraId="547BE80C" w14:textId="77777777" w:rsidR="00184A8E" w:rsidRPr="00184A8E" w:rsidRDefault="00184A8E" w:rsidP="00A84C92">
      <w:pPr>
        <w:spacing w:after="0" w:line="240" w:lineRule="auto"/>
        <w:jc w:val="both"/>
        <w:rPr>
          <w:rFonts w:ascii="Arial" w:eastAsia="Calibri" w:hAnsi="Arial" w:cs="Arial"/>
          <w:sz w:val="20"/>
          <w:szCs w:val="20"/>
        </w:rPr>
      </w:pPr>
    </w:p>
    <w:p w14:paraId="3081F984" w14:textId="77777777" w:rsidR="00184A8E" w:rsidRPr="00184A8E" w:rsidRDefault="00184A8E" w:rsidP="00A84C92">
      <w:pPr>
        <w:spacing w:after="0" w:line="240" w:lineRule="auto"/>
        <w:ind w:left="567"/>
        <w:jc w:val="both"/>
        <w:rPr>
          <w:rFonts w:ascii="Arial" w:eastAsia="Calibri" w:hAnsi="Arial" w:cs="Arial"/>
          <w:sz w:val="20"/>
          <w:szCs w:val="20"/>
        </w:rPr>
      </w:pPr>
      <w:bookmarkStart w:id="520" w:name="_Hlk198894494"/>
      <w:r w:rsidRPr="00A84C92">
        <w:rPr>
          <w:rFonts w:ascii="Arial" w:eastAsia="Calibri" w:hAnsi="Arial" w:cs="Arial"/>
          <w:sz w:val="18"/>
          <w:szCs w:val="18"/>
        </w:rPr>
        <w:t>Na temelju ugovora iz 2023. godine, te dodatka ugovoru iz kolovoza 2024. godine ugovoreno je izvođenje radova u ukupnom iznosu 539.928,40 €. U 2024. godini je ispostavljena okončana situacija za obavljene radove u iznosu 359.567,99 € (te sveukupno izvršeni radovi iznose 539.928,41 €). Radovi nadzora nad radovima izvršeni su u iznosu 3.750 €.</w:t>
      </w:r>
    </w:p>
    <w:bookmarkEnd w:id="520"/>
    <w:p w14:paraId="054DF8AD" w14:textId="77777777" w:rsidR="00184A8E" w:rsidRDefault="00184A8E" w:rsidP="00184A8E">
      <w:pPr>
        <w:spacing w:after="0" w:line="240" w:lineRule="auto"/>
        <w:jc w:val="both"/>
        <w:rPr>
          <w:rFonts w:ascii="Arial" w:eastAsia="Calibri" w:hAnsi="Arial" w:cs="Arial"/>
          <w:sz w:val="20"/>
          <w:szCs w:val="20"/>
        </w:rPr>
      </w:pPr>
    </w:p>
    <w:p w14:paraId="4BF11782" w14:textId="77777777" w:rsidR="00A84C92" w:rsidRPr="00A84C92" w:rsidRDefault="00A84C92" w:rsidP="00A84C92">
      <w:pPr>
        <w:spacing w:after="0" w:line="240" w:lineRule="auto"/>
        <w:jc w:val="both"/>
        <w:rPr>
          <w:rFonts w:ascii="Arial" w:eastAsia="Calibri" w:hAnsi="Arial" w:cs="Arial"/>
          <w:sz w:val="20"/>
          <w:szCs w:val="20"/>
        </w:rPr>
      </w:pPr>
      <w:r w:rsidRPr="00A84C92">
        <w:rPr>
          <w:rFonts w:ascii="Arial" w:eastAsia="Calibri" w:hAnsi="Arial" w:cs="Arial"/>
          <w:sz w:val="20"/>
          <w:szCs w:val="20"/>
        </w:rPr>
        <w:t xml:space="preserve">U 2025. godini je bio započet postupak javne nabave za nastavak radova, ali je poništen i novi nije ponovljen. </w:t>
      </w:r>
    </w:p>
    <w:p w14:paraId="7B1FB5AF" w14:textId="77777777" w:rsidR="00A84C92" w:rsidRPr="00A84C92" w:rsidRDefault="00A84C92" w:rsidP="00A84C92">
      <w:pPr>
        <w:spacing w:after="0" w:line="240" w:lineRule="auto"/>
        <w:jc w:val="both"/>
        <w:rPr>
          <w:rFonts w:ascii="Arial" w:eastAsia="Calibri" w:hAnsi="Arial" w:cs="Arial"/>
          <w:sz w:val="20"/>
          <w:szCs w:val="20"/>
        </w:rPr>
      </w:pPr>
    </w:p>
    <w:p w14:paraId="3C301B66" w14:textId="0A89E427" w:rsidR="00A84C92" w:rsidRDefault="00A84C92" w:rsidP="00A84C92">
      <w:pPr>
        <w:spacing w:after="0" w:line="240" w:lineRule="auto"/>
        <w:jc w:val="both"/>
        <w:rPr>
          <w:rFonts w:ascii="Arial" w:eastAsia="Calibri" w:hAnsi="Arial" w:cs="Arial"/>
          <w:sz w:val="20"/>
          <w:szCs w:val="20"/>
        </w:rPr>
      </w:pPr>
      <w:r w:rsidRPr="00A84C92">
        <w:rPr>
          <w:rFonts w:ascii="Arial" w:eastAsia="Calibri" w:hAnsi="Arial" w:cs="Arial"/>
          <w:sz w:val="20"/>
          <w:szCs w:val="20"/>
        </w:rPr>
        <w:t xml:space="preserve">U 2025. godini su izvršeni rashodi za obavljanje usluge geodetskog snimanja poprečnih profila ceste u Močićima u svrhu izrade projektnog rješenja – skretanje prema INA avio servisu 900 €, prometni elaborat zia potrebe obilježavanja pješačkog prijelaza na županijskoj cesti 6266 Zvekovica – Pridvorje – Ljuta u iznosu 1.750 €, prometni elaborat za uređenje prometovanja dijelom državne ceste D8 u Močićima 2.625 €, prometni elaborat izmjene stanja prometne signalizacije na lokalnoj cesti 69059 i nerazvrstanoj cesti Palje brdo – Vodovađa u iznosu 1.250 €, prometni elaborat za pješački prijelaz u Cavtatu, Mećajac u iznosu 1.500 €, prometni elaborat za </w:t>
      </w:r>
      <w:r w:rsidRPr="00A84C92">
        <w:rPr>
          <w:rFonts w:ascii="Arial" w:eastAsia="Calibri" w:hAnsi="Arial" w:cs="Arial"/>
          <w:sz w:val="20"/>
          <w:szCs w:val="20"/>
        </w:rPr>
        <w:lastRenderedPageBreak/>
        <w:t>uređenje pješačkog prijelaza u naselju Dubravka na županijskoj cesti 6241 u neposrednoj blizini škole u iznosu 1.500 €, idejni projekt uređenja raskrižja Obod u iznosu 6.000 €.</w:t>
      </w:r>
    </w:p>
    <w:p w14:paraId="6A6B50AE" w14:textId="77777777" w:rsidR="00A84C92" w:rsidRDefault="00A84C92" w:rsidP="00184A8E">
      <w:pPr>
        <w:spacing w:after="0" w:line="240" w:lineRule="auto"/>
        <w:jc w:val="both"/>
        <w:rPr>
          <w:rFonts w:ascii="Arial" w:eastAsia="Calibri" w:hAnsi="Arial" w:cs="Arial"/>
          <w:sz w:val="20"/>
          <w:szCs w:val="20"/>
        </w:rPr>
      </w:pPr>
    </w:p>
    <w:tbl>
      <w:tblPr>
        <w:tblStyle w:val="Reetkatablice5368"/>
        <w:tblW w:w="13991" w:type="dxa"/>
        <w:jc w:val="center"/>
        <w:tblLayout w:type="fixed"/>
        <w:tblLook w:val="04A0" w:firstRow="1" w:lastRow="0" w:firstColumn="1" w:lastColumn="0" w:noHBand="0" w:noVBand="1"/>
      </w:tblPr>
      <w:tblGrid>
        <w:gridCol w:w="2547"/>
        <w:gridCol w:w="3118"/>
        <w:gridCol w:w="958"/>
        <w:gridCol w:w="1134"/>
        <w:gridCol w:w="1232"/>
        <w:gridCol w:w="1276"/>
        <w:gridCol w:w="1242"/>
        <w:gridCol w:w="1242"/>
        <w:gridCol w:w="1242"/>
      </w:tblGrid>
      <w:tr w:rsidR="00184A8E" w:rsidRPr="00184A8E" w14:paraId="39A96137" w14:textId="77777777" w:rsidTr="00410A4B">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bookmarkEnd w:id="518"/>
          <w:p w14:paraId="1B49AF69"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Pokazatelj rezultata</w:t>
            </w:r>
          </w:p>
        </w:tc>
        <w:tc>
          <w:tcPr>
            <w:tcW w:w="311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4DB0936"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1FD540E"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E8E653E"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7CED24A" w14:textId="79987409"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Polazna vrijednost 202</w:t>
            </w:r>
            <w:r w:rsidR="00A84C92">
              <w:rPr>
                <w:rFonts w:ascii="Arial" w:eastAsia="Calibri" w:hAnsi="Arial" w:cs="Arial"/>
                <w:sz w:val="18"/>
                <w:szCs w:val="18"/>
                <w:lang w:eastAsia="en-US"/>
              </w:rPr>
              <w:t>4</w:t>
            </w:r>
            <w:r w:rsidRPr="00184A8E">
              <w:rPr>
                <w:rFonts w:ascii="Arial" w:eastAsia="Calibri" w:hAnsi="Arial" w:cs="Arial"/>
                <w:sz w:val="18"/>
                <w:szCs w:val="18"/>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46647C2" w14:textId="21640DFB"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A84C92">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2DBC673" w14:textId="40205FC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Izvršeno 202</w:t>
            </w:r>
            <w:r w:rsidR="00A84C92">
              <w:rPr>
                <w:rFonts w:ascii="Arial" w:eastAsia="Calibri" w:hAnsi="Arial" w:cs="Arial"/>
                <w:sz w:val="18"/>
                <w:szCs w:val="18"/>
                <w:lang w:eastAsia="en-US"/>
              </w:rPr>
              <w:t>5</w:t>
            </w:r>
            <w:r w:rsidRPr="00184A8E">
              <w:rPr>
                <w:rFonts w:ascii="Arial" w:eastAsia="Calibri" w:hAnsi="Arial" w:cs="Arial"/>
                <w:sz w:val="18"/>
                <w:szCs w:val="18"/>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45915F9" w14:textId="6EDBE634"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A84C92">
              <w:rPr>
                <w:rFonts w:ascii="Arial" w:eastAsia="Calibri" w:hAnsi="Arial" w:cs="Arial"/>
                <w:sz w:val="18"/>
                <w:szCs w:val="18"/>
                <w:lang w:eastAsia="en-US"/>
              </w:rPr>
              <w:t>6</w:t>
            </w:r>
            <w:r w:rsidRPr="00184A8E">
              <w:rPr>
                <w:rFonts w:ascii="Arial" w:eastAsia="Calibri" w:hAnsi="Arial" w:cs="Arial"/>
                <w:sz w:val="18"/>
                <w:szCs w:val="18"/>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8ACD663" w14:textId="02FF7906"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A84C92">
              <w:rPr>
                <w:rFonts w:ascii="Arial" w:eastAsia="Calibri" w:hAnsi="Arial" w:cs="Arial"/>
                <w:sz w:val="18"/>
                <w:szCs w:val="18"/>
                <w:lang w:eastAsia="en-US"/>
              </w:rPr>
              <w:t>7</w:t>
            </w:r>
            <w:r w:rsidRPr="00184A8E">
              <w:rPr>
                <w:rFonts w:ascii="Arial" w:eastAsia="Calibri" w:hAnsi="Arial" w:cs="Arial"/>
                <w:sz w:val="18"/>
                <w:szCs w:val="18"/>
                <w:lang w:eastAsia="en-US"/>
              </w:rPr>
              <w:t>.</w:t>
            </w:r>
          </w:p>
        </w:tc>
      </w:tr>
      <w:tr w:rsidR="00184A8E" w:rsidRPr="00184A8E" w14:paraId="1E3B2F8A" w14:textId="77777777" w:rsidTr="00410A4B">
        <w:trPr>
          <w:trHeight w:val="273"/>
          <w:jc w:val="center"/>
        </w:trPr>
        <w:tc>
          <w:tcPr>
            <w:tcW w:w="2547" w:type="dxa"/>
            <w:tcBorders>
              <w:top w:val="single" w:sz="4" w:space="0" w:color="auto"/>
              <w:left w:val="single" w:sz="4" w:space="0" w:color="auto"/>
              <w:bottom w:val="single" w:sz="4" w:space="0" w:color="auto"/>
              <w:right w:val="single" w:sz="4" w:space="0" w:color="auto"/>
            </w:tcBorders>
            <w:vAlign w:val="center"/>
          </w:tcPr>
          <w:p w14:paraId="32035F3C" w14:textId="77777777" w:rsidR="00184A8E" w:rsidRPr="00184A8E" w:rsidRDefault="00184A8E" w:rsidP="00184A8E">
            <w:pPr>
              <w:rPr>
                <w:rFonts w:ascii="Arial" w:hAnsi="Arial" w:cs="Arial"/>
                <w:sz w:val="18"/>
                <w:szCs w:val="18"/>
                <w:lang w:eastAsia="en-US"/>
              </w:rPr>
            </w:pPr>
            <w:r w:rsidRPr="00184A8E">
              <w:rPr>
                <w:rFonts w:ascii="Arial" w:hAnsi="Arial" w:cs="Arial"/>
                <w:sz w:val="18"/>
                <w:szCs w:val="18"/>
                <w:lang w:eastAsia="en-US"/>
              </w:rPr>
              <w:t>Broj organiziranih održavanja cesta koje su u nadležnosti ŽUC-a</w:t>
            </w:r>
          </w:p>
        </w:tc>
        <w:tc>
          <w:tcPr>
            <w:tcW w:w="3118" w:type="dxa"/>
            <w:tcBorders>
              <w:top w:val="single" w:sz="4" w:space="0" w:color="auto"/>
              <w:left w:val="single" w:sz="4" w:space="0" w:color="auto"/>
              <w:bottom w:val="single" w:sz="4" w:space="0" w:color="auto"/>
              <w:right w:val="single" w:sz="4" w:space="0" w:color="auto"/>
            </w:tcBorders>
            <w:vAlign w:val="center"/>
          </w:tcPr>
          <w:p w14:paraId="46695BFC"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hAnsi="Arial" w:cs="Arial"/>
                <w:sz w:val="18"/>
                <w:szCs w:val="18"/>
                <w:lang w:eastAsia="en-US"/>
              </w:rPr>
              <w:t>Provedba održavanja lokalnih cesta koje nisu u izravnoj nadležnosti Općine</w:t>
            </w:r>
          </w:p>
        </w:tc>
        <w:tc>
          <w:tcPr>
            <w:tcW w:w="958" w:type="dxa"/>
            <w:tcBorders>
              <w:top w:val="single" w:sz="4" w:space="0" w:color="auto"/>
              <w:left w:val="single" w:sz="4" w:space="0" w:color="auto"/>
              <w:bottom w:val="single" w:sz="4" w:space="0" w:color="auto"/>
              <w:right w:val="single" w:sz="4" w:space="0" w:color="auto"/>
            </w:tcBorders>
            <w:vAlign w:val="center"/>
          </w:tcPr>
          <w:p w14:paraId="52FAAE8F" w14:textId="77777777" w:rsidR="00184A8E" w:rsidRPr="00184A8E" w:rsidRDefault="00184A8E" w:rsidP="00184A8E">
            <w:pPr>
              <w:jc w:val="center"/>
              <w:rPr>
                <w:rFonts w:ascii="Arial" w:hAnsi="Arial" w:cs="Arial"/>
                <w:sz w:val="18"/>
                <w:szCs w:val="18"/>
                <w:lang w:eastAsia="en-US"/>
              </w:rPr>
            </w:pPr>
            <w:r w:rsidRPr="00184A8E">
              <w:rPr>
                <w:rFonts w:ascii="Arial" w:eastAsia="Calibri" w:hAnsi="Arial" w:cs="Arial"/>
                <w:sz w:val="18"/>
                <w:szCs w:val="18"/>
                <w:lang w:eastAsia="en-US"/>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76077FE2"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8C1FC70" w14:textId="77777777" w:rsidR="00184A8E" w:rsidRPr="00184A8E" w:rsidRDefault="00184A8E" w:rsidP="00184A8E">
            <w:pPr>
              <w:jc w:val="center"/>
              <w:rPr>
                <w:rFonts w:ascii="Arial" w:hAnsi="Arial" w:cs="Arial"/>
                <w:sz w:val="18"/>
                <w:szCs w:val="18"/>
                <w:lang w:eastAsia="en-US"/>
              </w:rPr>
            </w:pPr>
            <w:r w:rsidRPr="00184A8E">
              <w:rPr>
                <w:rFonts w:ascii="Arial" w:eastAsia="Calibri" w:hAnsi="Arial" w:cs="Arial"/>
                <w:sz w:val="18"/>
                <w:szCs w:val="18"/>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14:paraId="64FE0790" w14:textId="77777777" w:rsidR="00184A8E" w:rsidRPr="00184A8E" w:rsidRDefault="00184A8E" w:rsidP="00184A8E">
            <w:pPr>
              <w:jc w:val="center"/>
              <w:rPr>
                <w:rFonts w:ascii="Arial" w:hAnsi="Arial" w:cs="Arial"/>
                <w:sz w:val="18"/>
                <w:szCs w:val="18"/>
                <w:lang w:eastAsia="en-US"/>
              </w:rPr>
            </w:pPr>
            <w:r w:rsidRPr="00184A8E">
              <w:rPr>
                <w:rFonts w:ascii="Arial" w:eastAsia="Calibri" w:hAnsi="Arial" w:cs="Arial"/>
                <w:sz w:val="18"/>
                <w:szCs w:val="18"/>
                <w:lang w:eastAsia="en-US"/>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007505F8"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2472A8BA" w14:textId="77777777" w:rsidR="00184A8E" w:rsidRPr="00184A8E" w:rsidRDefault="00184A8E" w:rsidP="00184A8E">
            <w:pPr>
              <w:jc w:val="center"/>
              <w:rPr>
                <w:rFonts w:ascii="Arial" w:hAnsi="Arial" w:cs="Arial"/>
                <w:sz w:val="18"/>
                <w:szCs w:val="18"/>
                <w:lang w:eastAsia="en-US"/>
              </w:rPr>
            </w:pPr>
            <w:r w:rsidRPr="00184A8E">
              <w:rPr>
                <w:rFonts w:ascii="Arial" w:eastAsia="Calibri" w:hAnsi="Arial" w:cs="Arial"/>
                <w:sz w:val="18"/>
                <w:szCs w:val="18"/>
                <w:lang w:eastAsia="en-US"/>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5DBFB2CC"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r>
    </w:tbl>
    <w:p w14:paraId="5F9B80D2" w14:textId="77777777" w:rsidR="00184A8E" w:rsidRPr="00184A8E" w:rsidRDefault="00184A8E" w:rsidP="00184A8E">
      <w:pPr>
        <w:spacing w:after="0" w:line="240" w:lineRule="auto"/>
        <w:jc w:val="both"/>
        <w:rPr>
          <w:rFonts w:ascii="Arial" w:eastAsia="Calibri" w:hAnsi="Arial" w:cs="Arial"/>
          <w:sz w:val="20"/>
          <w:szCs w:val="20"/>
        </w:rPr>
      </w:pPr>
    </w:p>
    <w:p w14:paraId="6BA9E143" w14:textId="19956F78"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 xml:space="preserve">13. A209117: Održavanje sustav odvodnje oborinskih voda </w:t>
      </w:r>
      <w:r w:rsidRPr="00184A8E">
        <w:rPr>
          <w:rFonts w:ascii="Arial" w:eastAsia="Calibri" w:hAnsi="Arial" w:cs="Arial"/>
          <w:sz w:val="20"/>
          <w:szCs w:val="20"/>
        </w:rPr>
        <w:t xml:space="preserve">- Proračunska sredstva su planirana u iznosu </w:t>
      </w:r>
      <w:r w:rsidR="00A84C92">
        <w:rPr>
          <w:rFonts w:ascii="Arial" w:eastAsia="Calibri" w:hAnsi="Arial" w:cs="Arial"/>
          <w:sz w:val="20"/>
          <w:szCs w:val="20"/>
        </w:rPr>
        <w:t>57</w:t>
      </w:r>
      <w:r w:rsidRPr="00184A8E">
        <w:rPr>
          <w:rFonts w:ascii="Arial" w:eastAsia="Calibri" w:hAnsi="Arial" w:cs="Arial"/>
          <w:sz w:val="20"/>
          <w:szCs w:val="20"/>
        </w:rPr>
        <w:t xml:space="preserve">.000 €, a rashodi su izvršeni u iznosu </w:t>
      </w:r>
      <w:r w:rsidR="00A84C92">
        <w:rPr>
          <w:rFonts w:ascii="Arial" w:eastAsia="Calibri" w:hAnsi="Arial" w:cs="Arial"/>
          <w:sz w:val="20"/>
          <w:szCs w:val="20"/>
        </w:rPr>
        <w:t>27.035,84</w:t>
      </w:r>
      <w:r w:rsidRPr="00184A8E">
        <w:rPr>
          <w:rFonts w:ascii="Arial" w:eastAsia="Calibri" w:hAnsi="Arial" w:cs="Arial"/>
          <w:sz w:val="20"/>
          <w:szCs w:val="20"/>
        </w:rPr>
        <w:t xml:space="preserve"> € što čini </w:t>
      </w:r>
      <w:r w:rsidR="00A84C92">
        <w:rPr>
          <w:rFonts w:ascii="Arial" w:eastAsia="Calibri" w:hAnsi="Arial" w:cs="Arial"/>
          <w:sz w:val="20"/>
          <w:szCs w:val="20"/>
        </w:rPr>
        <w:t>47,4</w:t>
      </w:r>
      <w:r w:rsidRPr="00184A8E">
        <w:rPr>
          <w:rFonts w:ascii="Arial" w:eastAsia="Calibri" w:hAnsi="Arial" w:cs="Arial"/>
          <w:sz w:val="20"/>
          <w:szCs w:val="20"/>
        </w:rPr>
        <w:t xml:space="preserve">% plana. </w:t>
      </w:r>
    </w:p>
    <w:p w14:paraId="6F33B389" w14:textId="77777777" w:rsidR="00184A8E" w:rsidRPr="00184A8E" w:rsidRDefault="00184A8E" w:rsidP="00184A8E">
      <w:pPr>
        <w:spacing w:after="0" w:line="240" w:lineRule="auto"/>
        <w:rPr>
          <w:rFonts w:ascii="Arial" w:eastAsia="Calibri" w:hAnsi="Arial" w:cs="Arial"/>
          <w:sz w:val="20"/>
          <w:szCs w:val="20"/>
        </w:rPr>
      </w:pPr>
    </w:p>
    <w:p w14:paraId="2D7B73B3"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Pod održavanjem građevina javne odvodnje oborinskih voda, u smislu odredaba Zakona o komunalnom gospodarstvu, Zakona o vodama, Zakona o cestama i Odluke o komunalnom redu, podrazumijeva se upravljanje i održavanje građevina koje služe prihvatu, odvodnji i ispuštanju oborinskih voda iz građevina i površina javne namjene u građevinskom području, uključujući građevine koje služe zajedničkom prihvatu, odvodnji i ispuštanju oborinskih i drugih otpadnih voda, osim građevina u vlasništvu javnog isporučitelja vodnih usluga, koje, prema posebnim propisima o vodama, služe zajedničkom prihvatu, odvodnji i ispuštanju oborinskih i drugih otpadnih voda.</w:t>
      </w:r>
    </w:p>
    <w:p w14:paraId="74126747"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Pod objektima za odvodnju atmosferskih voda razumijevaju se u skladu s ovim Programom odvodni jarci, slivnici i cijevni propusti.</w:t>
      </w:r>
    </w:p>
    <w:p w14:paraId="0110F30D" w14:textId="77777777" w:rsidR="00184A8E" w:rsidRPr="00184A8E" w:rsidRDefault="00184A8E" w:rsidP="00184A8E">
      <w:pPr>
        <w:spacing w:after="0" w:line="240" w:lineRule="auto"/>
        <w:jc w:val="both"/>
        <w:rPr>
          <w:rFonts w:ascii="Arial" w:eastAsia="Calibri" w:hAnsi="Arial" w:cs="Arial"/>
          <w:sz w:val="20"/>
          <w:szCs w:val="20"/>
        </w:rPr>
      </w:pPr>
    </w:p>
    <w:p w14:paraId="0248EEB3"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U sklopu navedene aktivnosti planiraju se rashodi za poslove održavanja u svezi odvodnje atmosferskih voda, odnosno održavanje sustava oborinske odvodnje (čišćenje i održavanje slivnika, oborinskih kanala i sl.), zamjena rešetki, čišćenje slivnih kanala, iskop, čišćenje i regulacija odvodnih jaraka, putnih graba i odvodnja nerazvrstanih cesta, strojno ručni iskop novih putnih graba uz nerazvrstane ceste i slično. Radovi se izvode prema potrebama utvrđenim temeljem obavljenog izvida na terenu ili po dojavi građana. Dio ovih radova obavlja javni isporučitelj vodnih usluga zajedno s održavanjem cjevovoda za vodoopskrbu (Konavosko komunalno društvo d.o.o., društvo u vlasništvu Općine), te se u tom slučaju može zaključiti ugovor s društvom u vlasništvu Općine koje je registrirano za obavljanje djelatnosti javne vodoopskrbe, javne odvodnje i izvođenje priključaka. Zbog navedenog, kroz sudjelovanje u ovim troškovima poboljšava se sustav oborinske odvodnje s javnih površina (pješačkih i prometnih). </w:t>
      </w:r>
    </w:p>
    <w:p w14:paraId="42FA0C9D" w14:textId="77777777" w:rsidR="00184A8E" w:rsidRPr="00184A8E" w:rsidRDefault="00184A8E" w:rsidP="00184A8E">
      <w:pPr>
        <w:spacing w:after="0" w:line="240" w:lineRule="auto"/>
        <w:jc w:val="both"/>
        <w:rPr>
          <w:rFonts w:ascii="Arial" w:eastAsia="Calibri" w:hAnsi="Arial" w:cs="Arial"/>
          <w:sz w:val="18"/>
          <w:szCs w:val="18"/>
        </w:rPr>
      </w:pPr>
    </w:p>
    <w:p w14:paraId="695CC261" w14:textId="335F74DB" w:rsidR="00184A8E" w:rsidRPr="00184A8E" w:rsidRDefault="00184A8E" w:rsidP="00A84C92">
      <w:pPr>
        <w:spacing w:after="0" w:line="240" w:lineRule="auto"/>
        <w:ind w:left="567"/>
        <w:jc w:val="both"/>
        <w:rPr>
          <w:rFonts w:ascii="Arial" w:eastAsia="Calibri" w:hAnsi="Arial" w:cs="Arial"/>
          <w:sz w:val="20"/>
          <w:szCs w:val="20"/>
        </w:rPr>
      </w:pPr>
      <w:r w:rsidRPr="00A84C92">
        <w:rPr>
          <w:rFonts w:ascii="Arial" w:eastAsia="Calibri" w:hAnsi="Arial" w:cs="Arial"/>
          <w:sz w:val="18"/>
          <w:szCs w:val="18"/>
        </w:rPr>
        <w:t xml:space="preserve">Izvršeni rashodi 2024. godine </w:t>
      </w:r>
      <w:r w:rsidR="00A84C92">
        <w:rPr>
          <w:rFonts w:ascii="Arial" w:eastAsia="Calibri" w:hAnsi="Arial" w:cs="Arial"/>
          <w:sz w:val="18"/>
          <w:szCs w:val="18"/>
        </w:rPr>
        <w:t>su iznosili</w:t>
      </w:r>
      <w:r w:rsidRPr="00A84C92">
        <w:rPr>
          <w:rFonts w:ascii="Arial" w:eastAsia="Calibri" w:hAnsi="Arial" w:cs="Arial"/>
          <w:sz w:val="18"/>
          <w:szCs w:val="18"/>
        </w:rPr>
        <w:t xml:space="preserve"> 41.087,20 € i </w:t>
      </w:r>
      <w:bookmarkStart w:id="521" w:name="_Hlk198894874"/>
      <w:r w:rsidRPr="00A84C92">
        <w:rPr>
          <w:rFonts w:ascii="Arial" w:eastAsia="Calibri" w:hAnsi="Arial" w:cs="Arial"/>
          <w:sz w:val="18"/>
          <w:szCs w:val="18"/>
        </w:rPr>
        <w:t>odnosili su se na radove oborinske odvodnje na Obodu 2.816,28 €, na Zvekovici 5.765,76 €, u Pendovu selu 4.871,33 €, Tušićima 6.096,31 €, Dubravci 6.556,13 €, Močićima 9.356,39 €, Poluganju 5.000 €, te izradu idejnog rješenja upojnog bunara u naselju Močići 625 €. Rashodi su izvršeni u manjem iznosu od planiranih jer je dio rashoda iskazan kroz redovno održavanje nerazvrstanih cesta.</w:t>
      </w:r>
    </w:p>
    <w:bookmarkEnd w:id="521"/>
    <w:p w14:paraId="7D20985E" w14:textId="77777777" w:rsidR="00A84C92" w:rsidRDefault="00A84C92" w:rsidP="00184A8E">
      <w:pPr>
        <w:spacing w:after="0" w:line="240" w:lineRule="auto"/>
        <w:rPr>
          <w:rFonts w:ascii="Arial" w:eastAsia="Calibri" w:hAnsi="Arial" w:cs="Arial"/>
          <w:sz w:val="20"/>
          <w:szCs w:val="20"/>
        </w:rPr>
      </w:pPr>
    </w:p>
    <w:p w14:paraId="269A0577" w14:textId="36EE62CC" w:rsidR="00184A8E" w:rsidRDefault="00A84C92" w:rsidP="00184A8E">
      <w:pPr>
        <w:spacing w:after="0" w:line="240" w:lineRule="auto"/>
        <w:rPr>
          <w:rFonts w:ascii="Arial" w:eastAsia="Calibri" w:hAnsi="Arial" w:cs="Arial"/>
          <w:sz w:val="20"/>
          <w:szCs w:val="20"/>
        </w:rPr>
      </w:pPr>
      <w:r w:rsidRPr="00A84C92">
        <w:rPr>
          <w:rFonts w:ascii="Arial" w:eastAsia="Calibri" w:hAnsi="Arial" w:cs="Arial"/>
          <w:sz w:val="20"/>
          <w:szCs w:val="20"/>
        </w:rPr>
        <w:t xml:space="preserve">Izvršeni rashodi </w:t>
      </w:r>
      <w:r>
        <w:rPr>
          <w:rFonts w:ascii="Arial" w:eastAsia="Calibri" w:hAnsi="Arial" w:cs="Arial"/>
          <w:sz w:val="20"/>
          <w:szCs w:val="20"/>
        </w:rPr>
        <w:t xml:space="preserve">2025. godine </w:t>
      </w:r>
      <w:r w:rsidRPr="00A84C92">
        <w:rPr>
          <w:rFonts w:ascii="Arial" w:eastAsia="Calibri" w:hAnsi="Arial" w:cs="Arial"/>
          <w:sz w:val="20"/>
          <w:szCs w:val="20"/>
        </w:rPr>
        <w:t>se odnose na radove oborinske odvodnje u Dunavama 6.310 €, Pičetama 11.455,31 €, čišćenje kanala odvodnje u Zastolju 2.775 €, izrada i zamjena rešetki za odvodnju na autobusnom stajalištu u Cavtatu 1.562,50 €, te materijal za izvođenje oborinske odvodnje u Paljem brdu 4.933,03 €. Rashodi su izvršeni u manjem iznosu od planiranih jer je dio rashoda izvršen kroz redovno održavanje nerazvrstanih cesta.</w:t>
      </w:r>
    </w:p>
    <w:p w14:paraId="40696BB6" w14:textId="77777777" w:rsidR="0062453E" w:rsidRPr="00184A8E" w:rsidRDefault="0062453E" w:rsidP="00184A8E">
      <w:pPr>
        <w:spacing w:after="0" w:line="240" w:lineRule="auto"/>
        <w:rPr>
          <w:rFonts w:ascii="Arial" w:eastAsia="Calibri" w:hAnsi="Arial" w:cs="Arial"/>
          <w:sz w:val="20"/>
          <w:szCs w:val="20"/>
        </w:rPr>
      </w:pPr>
    </w:p>
    <w:tbl>
      <w:tblPr>
        <w:tblStyle w:val="Reetkatablice5368"/>
        <w:tblW w:w="14138" w:type="dxa"/>
        <w:jc w:val="center"/>
        <w:tblLayout w:type="fixed"/>
        <w:tblLook w:val="04A0" w:firstRow="1" w:lastRow="0" w:firstColumn="1" w:lastColumn="0" w:noHBand="0" w:noVBand="1"/>
      </w:tblPr>
      <w:tblGrid>
        <w:gridCol w:w="2478"/>
        <w:gridCol w:w="3334"/>
        <w:gridCol w:w="958"/>
        <w:gridCol w:w="1134"/>
        <w:gridCol w:w="1232"/>
        <w:gridCol w:w="1276"/>
        <w:gridCol w:w="1242"/>
        <w:gridCol w:w="1242"/>
        <w:gridCol w:w="1242"/>
      </w:tblGrid>
      <w:tr w:rsidR="00184A8E" w:rsidRPr="00184A8E" w14:paraId="57955A59" w14:textId="77777777" w:rsidTr="00410A4B">
        <w:trPr>
          <w:jc w:val="center"/>
        </w:trPr>
        <w:tc>
          <w:tcPr>
            <w:tcW w:w="247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DD0743A"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33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107D8A5"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50F0A48"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D0A4BEB"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F0F2F17" w14:textId="28E39186"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62453E">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48E7273" w14:textId="7FE07AC5"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62453E">
              <w:rPr>
                <w:rFonts w:ascii="Arial" w:eastAsia="Calibri" w:hAnsi="Arial" w:cs="Arial"/>
                <w:lang w:eastAsia="en-US"/>
              </w:rPr>
              <w:t>5</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7C99199"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 xml:space="preserve">Izvršeno 2025.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AE38309" w14:textId="22869A1F"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w:t>
            </w:r>
            <w:r w:rsidR="0062453E">
              <w:rPr>
                <w:rFonts w:ascii="Arial" w:eastAsia="Calibri" w:hAnsi="Arial" w:cs="Arial"/>
                <w:lang w:eastAsia="en-US"/>
              </w:rPr>
              <w:t>26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526ABB1" w14:textId="6A5367DE"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62453E">
              <w:rPr>
                <w:rFonts w:ascii="Arial" w:eastAsia="Calibri" w:hAnsi="Arial" w:cs="Arial"/>
                <w:lang w:eastAsia="en-US"/>
              </w:rPr>
              <w:t>7</w:t>
            </w:r>
            <w:r w:rsidRPr="00184A8E">
              <w:rPr>
                <w:rFonts w:ascii="Arial" w:eastAsia="Calibri" w:hAnsi="Arial" w:cs="Arial"/>
                <w:lang w:eastAsia="en-US"/>
              </w:rPr>
              <w:t>.</w:t>
            </w:r>
          </w:p>
        </w:tc>
      </w:tr>
      <w:tr w:rsidR="00184A8E" w:rsidRPr="00184A8E" w14:paraId="41208711" w14:textId="77777777" w:rsidTr="00410A4B">
        <w:trPr>
          <w:trHeight w:val="273"/>
          <w:jc w:val="center"/>
        </w:trPr>
        <w:tc>
          <w:tcPr>
            <w:tcW w:w="2478" w:type="dxa"/>
            <w:tcBorders>
              <w:top w:val="single" w:sz="4" w:space="0" w:color="auto"/>
              <w:left w:val="single" w:sz="4" w:space="0" w:color="auto"/>
              <w:bottom w:val="single" w:sz="4" w:space="0" w:color="auto"/>
              <w:right w:val="single" w:sz="4" w:space="0" w:color="auto"/>
            </w:tcBorders>
            <w:vAlign w:val="center"/>
          </w:tcPr>
          <w:p w14:paraId="17B7F940" w14:textId="77777777" w:rsidR="00184A8E" w:rsidRPr="00184A8E" w:rsidRDefault="00184A8E" w:rsidP="00184A8E">
            <w:pPr>
              <w:rPr>
                <w:rFonts w:ascii="Arial" w:hAnsi="Arial" w:cs="Arial"/>
                <w:sz w:val="18"/>
                <w:szCs w:val="18"/>
                <w:lang w:eastAsia="en-US"/>
              </w:rPr>
            </w:pPr>
            <w:r w:rsidRPr="00184A8E">
              <w:rPr>
                <w:rFonts w:ascii="Arial" w:eastAsia="Calibri" w:hAnsi="Arial" w:cs="Arial"/>
                <w:sz w:val="18"/>
                <w:szCs w:val="18"/>
                <w:lang w:eastAsia="en-US"/>
              </w:rPr>
              <w:t>Utrošena sredstva za održavanje oborinske kanalizacije na više lokacija</w:t>
            </w:r>
          </w:p>
        </w:tc>
        <w:tc>
          <w:tcPr>
            <w:tcW w:w="3334" w:type="dxa"/>
            <w:tcBorders>
              <w:top w:val="single" w:sz="4" w:space="0" w:color="auto"/>
              <w:left w:val="single" w:sz="4" w:space="0" w:color="auto"/>
              <w:bottom w:val="single" w:sz="4" w:space="0" w:color="auto"/>
              <w:right w:val="single" w:sz="4" w:space="0" w:color="auto"/>
            </w:tcBorders>
            <w:vAlign w:val="center"/>
          </w:tcPr>
          <w:p w14:paraId="07E1DBD4"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eastAsia="Calibri" w:hAnsi="Arial" w:cs="Arial"/>
                <w:sz w:val="18"/>
                <w:szCs w:val="18"/>
                <w:lang w:eastAsia="en-US"/>
              </w:rPr>
              <w:t>Udio utrošenih planiranih sredstava za održavanje oborinske kanalizacije na više lokacija</w:t>
            </w:r>
          </w:p>
        </w:tc>
        <w:tc>
          <w:tcPr>
            <w:tcW w:w="958" w:type="dxa"/>
            <w:tcBorders>
              <w:top w:val="single" w:sz="4" w:space="0" w:color="auto"/>
              <w:left w:val="single" w:sz="4" w:space="0" w:color="auto"/>
              <w:bottom w:val="single" w:sz="4" w:space="0" w:color="auto"/>
              <w:right w:val="single" w:sz="4" w:space="0" w:color="auto"/>
            </w:tcBorders>
            <w:vAlign w:val="center"/>
          </w:tcPr>
          <w:p w14:paraId="7EBB03BE"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678B84E9" w14:textId="77777777" w:rsidR="00184A8E" w:rsidRPr="00184A8E" w:rsidRDefault="00184A8E" w:rsidP="00184A8E">
            <w:pPr>
              <w:jc w:val="center"/>
              <w:rPr>
                <w:rFonts w:ascii="Arial" w:hAnsi="Arial" w:cs="Arial"/>
                <w:lang w:eastAsia="en-US"/>
              </w:rPr>
            </w:pPr>
            <w:r w:rsidRPr="00184A8E">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E76C645" w14:textId="166B859A" w:rsidR="00184A8E" w:rsidRPr="00184A8E" w:rsidRDefault="0062453E" w:rsidP="00184A8E">
            <w:pPr>
              <w:jc w:val="center"/>
              <w:rPr>
                <w:rFonts w:ascii="Arial" w:hAnsi="Arial" w:cs="Arial"/>
                <w:lang w:eastAsia="en-US"/>
              </w:rPr>
            </w:pPr>
            <w:r>
              <w:rPr>
                <w:rFonts w:ascii="Arial" w:eastAsia="Calibri" w:hAnsi="Arial" w:cs="Arial"/>
                <w:lang w:eastAsia="en-US"/>
              </w:rPr>
              <w:t>59</w:t>
            </w:r>
            <w:r w:rsidR="00184A8E" w:rsidRPr="00184A8E">
              <w:rPr>
                <w:rFonts w:ascii="Arial" w:eastAsia="Calibri" w:hAnsi="Arial" w:cs="Arial"/>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5DA126EC"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A5F0E45" w14:textId="5F7CB539" w:rsidR="00184A8E" w:rsidRPr="00184A8E" w:rsidRDefault="0062453E" w:rsidP="00184A8E">
            <w:pPr>
              <w:jc w:val="center"/>
              <w:rPr>
                <w:rFonts w:ascii="Arial" w:eastAsia="Calibri" w:hAnsi="Arial" w:cs="Arial"/>
                <w:lang w:eastAsia="en-US"/>
              </w:rPr>
            </w:pPr>
            <w:r>
              <w:rPr>
                <w:rFonts w:ascii="Arial" w:eastAsia="Calibri" w:hAnsi="Arial" w:cs="Arial"/>
                <w:lang w:eastAsia="en-US"/>
              </w:rPr>
              <w:t>47</w:t>
            </w:r>
            <w:r w:rsidR="00184A8E"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7BB31B12"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21226F9C"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w:t>
            </w:r>
          </w:p>
        </w:tc>
      </w:tr>
    </w:tbl>
    <w:p w14:paraId="17EA7763" w14:textId="77777777" w:rsidR="00184A8E" w:rsidRPr="00184A8E" w:rsidRDefault="00184A8E" w:rsidP="00184A8E">
      <w:pPr>
        <w:spacing w:after="0" w:line="240" w:lineRule="auto"/>
        <w:rPr>
          <w:rFonts w:ascii="Arial" w:eastAsia="Calibri" w:hAnsi="Arial" w:cs="Arial"/>
          <w:sz w:val="20"/>
          <w:szCs w:val="20"/>
        </w:rPr>
      </w:pPr>
    </w:p>
    <w:p w14:paraId="18F2CD23" w14:textId="2E29FA0C"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14. A209121: Održavanje groblja</w:t>
      </w:r>
      <w:r w:rsidRPr="00184A8E">
        <w:rPr>
          <w:rFonts w:ascii="Arial" w:eastAsia="Calibri" w:hAnsi="Arial" w:cs="Arial"/>
          <w:sz w:val="20"/>
          <w:szCs w:val="20"/>
        </w:rPr>
        <w:t xml:space="preserve"> - u sklopu navedene aktivnosti planirani su rashodi za poslove održavanja na mjesnom groblju u Cavtatu (čišćenje groblja metlom </w:t>
      </w:r>
      <w:bookmarkStart w:id="522" w:name="_Hlk135147934"/>
      <w:r w:rsidRPr="00184A8E">
        <w:rPr>
          <w:rFonts w:ascii="Arial" w:eastAsia="Calibri" w:hAnsi="Arial" w:cs="Arial"/>
          <w:sz w:val="20"/>
          <w:szCs w:val="20"/>
        </w:rPr>
        <w:t>i motornom puhalicom, uklanjanje lišća, borovih iglica i smeća, košnja trave na prostoru oko groblja i Mauzoleja, te uklanjanje trave na groblju, jednostavne hortikulturne zahvate na uređenju zelenila, te odvoz smeća s groblja u dogovoru s komunalnom službom) u ukupnom iznosu 1</w:t>
      </w:r>
      <w:r w:rsidR="0062453E">
        <w:rPr>
          <w:rFonts w:ascii="Arial" w:eastAsia="Calibri" w:hAnsi="Arial" w:cs="Arial"/>
          <w:sz w:val="20"/>
          <w:szCs w:val="20"/>
        </w:rPr>
        <w:t>8</w:t>
      </w:r>
      <w:r w:rsidRPr="00184A8E">
        <w:rPr>
          <w:rFonts w:ascii="Arial" w:eastAsia="Calibri" w:hAnsi="Arial" w:cs="Arial"/>
          <w:sz w:val="20"/>
          <w:szCs w:val="20"/>
        </w:rPr>
        <w:t>.000 €. Ugovor je u siječnju 202</w:t>
      </w:r>
      <w:r w:rsidR="0062453E">
        <w:rPr>
          <w:rFonts w:ascii="Arial" w:eastAsia="Calibri" w:hAnsi="Arial" w:cs="Arial"/>
          <w:sz w:val="20"/>
          <w:szCs w:val="20"/>
        </w:rPr>
        <w:t>5</w:t>
      </w:r>
      <w:r w:rsidRPr="00184A8E">
        <w:rPr>
          <w:rFonts w:ascii="Arial" w:eastAsia="Calibri" w:hAnsi="Arial" w:cs="Arial"/>
          <w:sz w:val="20"/>
          <w:szCs w:val="20"/>
        </w:rPr>
        <w:t xml:space="preserve">. zaključen s komunalnim društvom u suvlasništvu Općine (Boninovo d.o.o. Dubrovnik) u iznosu </w:t>
      </w:r>
      <w:r w:rsidR="0062453E">
        <w:rPr>
          <w:rFonts w:ascii="Arial" w:eastAsia="Calibri" w:hAnsi="Arial" w:cs="Arial"/>
          <w:sz w:val="20"/>
          <w:szCs w:val="20"/>
        </w:rPr>
        <w:t>18.000</w:t>
      </w:r>
      <w:r w:rsidRPr="00184A8E">
        <w:rPr>
          <w:rFonts w:ascii="Arial" w:eastAsia="Calibri" w:hAnsi="Arial" w:cs="Arial"/>
          <w:sz w:val="20"/>
          <w:szCs w:val="20"/>
        </w:rPr>
        <w:t xml:space="preserve"> €. Rashodi su izvršeni u ugovorenom iznosu, a nije bilo drugih rashoda za održavanje groblja. </w:t>
      </w:r>
    </w:p>
    <w:p w14:paraId="35B465B9"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Ovi rashodi se izvršavaju na temelju ispostavljenih računa za materijalne troškove na održavanju groblja i troškove rada radnika na održavanju groblja. Spomenuto društvo je preuzelo obvezu obavljanja sprovoda i drugih pogrebnih poslova na groblju Sv. Roka. Također, određeno je kao Uprava groblja za groblje Sv. Roka u Cavtatu i dužno je provoditi odredbe Zakona o grobljima i Odluku o grobljima. </w:t>
      </w:r>
    </w:p>
    <w:bookmarkEnd w:id="522"/>
    <w:p w14:paraId="64AF31E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8"/>
        <w:tblW w:w="14138" w:type="dxa"/>
        <w:jc w:val="center"/>
        <w:tblLayout w:type="fixed"/>
        <w:tblLook w:val="04A0" w:firstRow="1" w:lastRow="0" w:firstColumn="1" w:lastColumn="0" w:noHBand="0" w:noVBand="1"/>
      </w:tblPr>
      <w:tblGrid>
        <w:gridCol w:w="2689"/>
        <w:gridCol w:w="3123"/>
        <w:gridCol w:w="958"/>
        <w:gridCol w:w="1134"/>
        <w:gridCol w:w="1232"/>
        <w:gridCol w:w="1276"/>
        <w:gridCol w:w="1242"/>
        <w:gridCol w:w="1242"/>
        <w:gridCol w:w="1242"/>
      </w:tblGrid>
      <w:tr w:rsidR="00184A8E" w:rsidRPr="00184A8E" w14:paraId="4F40480E" w14:textId="77777777" w:rsidTr="00410A4B">
        <w:trPr>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01AB154"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312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B11BCC2"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2831EC4"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B401933"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51384C2" w14:textId="5B5BF32F"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62453E">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8D8C809" w14:textId="53F0D29B"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62453E">
              <w:rPr>
                <w:rFonts w:ascii="Arial" w:eastAsia="Calibri" w:hAnsi="Arial" w:cs="Arial"/>
                <w:lang w:eastAsia="en-US"/>
              </w:rPr>
              <w:t>5</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F7EFF00" w14:textId="32A3B0B8"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62453E">
              <w:rPr>
                <w:rFonts w:ascii="Arial" w:eastAsia="Calibri" w:hAnsi="Arial" w:cs="Arial"/>
                <w:lang w:eastAsia="en-US"/>
              </w:rPr>
              <w:t>5</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609750C" w14:textId="645936FC"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62453E">
              <w:rPr>
                <w:rFonts w:ascii="Arial" w:eastAsia="Calibri" w:hAnsi="Arial" w:cs="Arial"/>
                <w:lang w:eastAsia="en-US"/>
              </w:rPr>
              <w:t>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3DC233B" w14:textId="7528636C"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62453E">
              <w:rPr>
                <w:rFonts w:ascii="Arial" w:eastAsia="Calibri" w:hAnsi="Arial" w:cs="Arial"/>
                <w:lang w:eastAsia="en-US"/>
              </w:rPr>
              <w:t>7</w:t>
            </w:r>
            <w:r w:rsidRPr="00184A8E">
              <w:rPr>
                <w:rFonts w:ascii="Arial" w:eastAsia="Calibri" w:hAnsi="Arial" w:cs="Arial"/>
                <w:lang w:eastAsia="en-US"/>
              </w:rPr>
              <w:t>.</w:t>
            </w:r>
          </w:p>
        </w:tc>
      </w:tr>
      <w:tr w:rsidR="00184A8E" w:rsidRPr="00184A8E" w14:paraId="2C0ACAE2" w14:textId="77777777" w:rsidTr="00410A4B">
        <w:trPr>
          <w:trHeight w:val="273"/>
          <w:jc w:val="center"/>
        </w:trPr>
        <w:tc>
          <w:tcPr>
            <w:tcW w:w="2689" w:type="dxa"/>
            <w:tcBorders>
              <w:top w:val="single" w:sz="4" w:space="0" w:color="auto"/>
              <w:left w:val="single" w:sz="4" w:space="0" w:color="auto"/>
              <w:bottom w:val="single" w:sz="4" w:space="0" w:color="auto"/>
              <w:right w:val="single" w:sz="4" w:space="0" w:color="auto"/>
            </w:tcBorders>
            <w:vAlign w:val="center"/>
          </w:tcPr>
          <w:p w14:paraId="70190EB6" w14:textId="77777777" w:rsidR="00184A8E" w:rsidRPr="00184A8E" w:rsidRDefault="00184A8E" w:rsidP="00184A8E">
            <w:pPr>
              <w:rPr>
                <w:rFonts w:ascii="Arial" w:hAnsi="Arial" w:cs="Arial"/>
                <w:sz w:val="18"/>
                <w:szCs w:val="18"/>
                <w:lang w:eastAsia="en-US"/>
              </w:rPr>
            </w:pPr>
            <w:r w:rsidRPr="00184A8E">
              <w:rPr>
                <w:rFonts w:ascii="Arial" w:hAnsi="Arial" w:cs="Arial"/>
                <w:sz w:val="18"/>
                <w:szCs w:val="18"/>
                <w:lang w:eastAsia="en-US"/>
              </w:rPr>
              <w:t>Provedba poslova održavanja groblja sv. Roka</w:t>
            </w:r>
          </w:p>
        </w:tc>
        <w:tc>
          <w:tcPr>
            <w:tcW w:w="3123" w:type="dxa"/>
            <w:tcBorders>
              <w:top w:val="single" w:sz="4" w:space="0" w:color="auto"/>
              <w:left w:val="single" w:sz="4" w:space="0" w:color="auto"/>
              <w:bottom w:val="single" w:sz="4" w:space="0" w:color="auto"/>
              <w:right w:val="single" w:sz="4" w:space="0" w:color="auto"/>
            </w:tcBorders>
            <w:vAlign w:val="center"/>
          </w:tcPr>
          <w:p w14:paraId="0C563CDA"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eastAsia="Calibri" w:hAnsi="Arial" w:cs="Arial"/>
                <w:sz w:val="18"/>
                <w:szCs w:val="18"/>
                <w:lang w:eastAsia="en-US"/>
              </w:rPr>
              <w:t>Mjeseci provedbe poslova redovitog održavanja groblja</w:t>
            </w:r>
          </w:p>
        </w:tc>
        <w:tc>
          <w:tcPr>
            <w:tcW w:w="958" w:type="dxa"/>
            <w:tcBorders>
              <w:top w:val="single" w:sz="4" w:space="0" w:color="auto"/>
              <w:left w:val="single" w:sz="4" w:space="0" w:color="auto"/>
              <w:bottom w:val="single" w:sz="4" w:space="0" w:color="auto"/>
              <w:right w:val="single" w:sz="4" w:space="0" w:color="auto"/>
            </w:tcBorders>
            <w:vAlign w:val="center"/>
          </w:tcPr>
          <w:p w14:paraId="63693DDA" w14:textId="77777777" w:rsidR="00184A8E" w:rsidRPr="00184A8E" w:rsidRDefault="00184A8E" w:rsidP="00184A8E">
            <w:pPr>
              <w:jc w:val="center"/>
              <w:rPr>
                <w:rFonts w:ascii="Arial" w:hAnsi="Arial" w:cs="Arial"/>
                <w:sz w:val="18"/>
                <w:szCs w:val="18"/>
                <w:lang w:eastAsia="en-US"/>
              </w:rPr>
            </w:pPr>
            <w:r w:rsidRPr="00184A8E">
              <w:rPr>
                <w:rFonts w:ascii="Arial" w:eastAsia="Calibri" w:hAnsi="Arial" w:cs="Arial"/>
                <w:sz w:val="18"/>
                <w:szCs w:val="18"/>
                <w:lang w:eastAsia="en-US"/>
              </w:rPr>
              <w:t>mjeseci</w:t>
            </w:r>
          </w:p>
        </w:tc>
        <w:tc>
          <w:tcPr>
            <w:tcW w:w="1134" w:type="dxa"/>
            <w:tcBorders>
              <w:top w:val="single" w:sz="4" w:space="0" w:color="auto"/>
              <w:left w:val="single" w:sz="4" w:space="0" w:color="auto"/>
              <w:bottom w:val="single" w:sz="4" w:space="0" w:color="auto"/>
              <w:right w:val="single" w:sz="4" w:space="0" w:color="auto"/>
            </w:tcBorders>
            <w:vAlign w:val="center"/>
          </w:tcPr>
          <w:p w14:paraId="5776B90C"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00A5EDEF" w14:textId="77777777" w:rsidR="00184A8E" w:rsidRPr="00184A8E" w:rsidRDefault="00184A8E" w:rsidP="00184A8E">
            <w:pPr>
              <w:jc w:val="center"/>
              <w:rPr>
                <w:rFonts w:ascii="Arial" w:hAnsi="Arial" w:cs="Arial"/>
                <w:sz w:val="18"/>
                <w:szCs w:val="18"/>
                <w:lang w:eastAsia="en-US"/>
              </w:rPr>
            </w:pPr>
            <w:r w:rsidRPr="00184A8E">
              <w:rPr>
                <w:rFonts w:ascii="Arial" w:eastAsia="Calibri" w:hAnsi="Arial" w:cs="Arial"/>
                <w:sz w:val="18"/>
                <w:szCs w:val="18"/>
                <w:lang w:eastAsia="en-US"/>
              </w:rPr>
              <w:t>12</w:t>
            </w:r>
          </w:p>
        </w:tc>
        <w:tc>
          <w:tcPr>
            <w:tcW w:w="1276" w:type="dxa"/>
            <w:tcBorders>
              <w:top w:val="single" w:sz="4" w:space="0" w:color="auto"/>
              <w:left w:val="single" w:sz="4" w:space="0" w:color="auto"/>
              <w:bottom w:val="single" w:sz="4" w:space="0" w:color="auto"/>
              <w:right w:val="single" w:sz="4" w:space="0" w:color="auto"/>
            </w:tcBorders>
            <w:vAlign w:val="center"/>
          </w:tcPr>
          <w:p w14:paraId="78A5A4DD" w14:textId="77777777" w:rsidR="00184A8E" w:rsidRPr="00184A8E" w:rsidRDefault="00184A8E" w:rsidP="00184A8E">
            <w:pPr>
              <w:jc w:val="center"/>
              <w:rPr>
                <w:rFonts w:ascii="Arial" w:hAnsi="Arial" w:cs="Arial"/>
                <w:sz w:val="18"/>
                <w:szCs w:val="18"/>
                <w:lang w:eastAsia="en-US"/>
              </w:rPr>
            </w:pPr>
            <w:r w:rsidRPr="00184A8E">
              <w:rPr>
                <w:rFonts w:ascii="Arial" w:eastAsia="Calibri" w:hAnsi="Arial" w:cs="Arial"/>
                <w:sz w:val="18"/>
                <w:szCs w:val="18"/>
                <w:lang w:eastAsia="en-US"/>
              </w:rPr>
              <w:t>12</w:t>
            </w:r>
          </w:p>
        </w:tc>
        <w:tc>
          <w:tcPr>
            <w:tcW w:w="1242" w:type="dxa"/>
            <w:tcBorders>
              <w:top w:val="single" w:sz="4" w:space="0" w:color="000000"/>
              <w:left w:val="single" w:sz="4" w:space="0" w:color="000000"/>
              <w:bottom w:val="single" w:sz="4" w:space="0" w:color="000000"/>
              <w:right w:val="single" w:sz="4" w:space="0" w:color="000000"/>
            </w:tcBorders>
            <w:vAlign w:val="center"/>
          </w:tcPr>
          <w:p w14:paraId="05B2B796"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12</w:t>
            </w:r>
          </w:p>
        </w:tc>
        <w:tc>
          <w:tcPr>
            <w:tcW w:w="1242" w:type="dxa"/>
            <w:tcBorders>
              <w:top w:val="single" w:sz="4" w:space="0" w:color="000000"/>
              <w:left w:val="single" w:sz="4" w:space="0" w:color="000000"/>
              <w:bottom w:val="single" w:sz="4" w:space="0" w:color="000000"/>
              <w:right w:val="single" w:sz="4" w:space="0" w:color="000000"/>
            </w:tcBorders>
            <w:vAlign w:val="center"/>
          </w:tcPr>
          <w:p w14:paraId="3439B9E7" w14:textId="77777777" w:rsidR="00184A8E" w:rsidRPr="00184A8E" w:rsidRDefault="00184A8E" w:rsidP="00184A8E">
            <w:pPr>
              <w:jc w:val="center"/>
              <w:rPr>
                <w:rFonts w:ascii="Arial" w:hAnsi="Arial" w:cs="Arial"/>
                <w:sz w:val="18"/>
                <w:szCs w:val="18"/>
                <w:lang w:eastAsia="en-US"/>
              </w:rPr>
            </w:pPr>
            <w:r w:rsidRPr="00184A8E">
              <w:rPr>
                <w:rFonts w:ascii="Arial" w:eastAsia="Calibri" w:hAnsi="Arial" w:cs="Arial"/>
                <w:sz w:val="18"/>
                <w:szCs w:val="18"/>
                <w:lang w:eastAsia="en-US"/>
              </w:rPr>
              <w:t>12</w:t>
            </w:r>
          </w:p>
        </w:tc>
        <w:tc>
          <w:tcPr>
            <w:tcW w:w="1242" w:type="dxa"/>
            <w:tcBorders>
              <w:top w:val="single" w:sz="4" w:space="0" w:color="000000"/>
              <w:left w:val="single" w:sz="4" w:space="0" w:color="000000"/>
              <w:bottom w:val="single" w:sz="4" w:space="0" w:color="000000"/>
              <w:right w:val="single" w:sz="4" w:space="0" w:color="000000"/>
            </w:tcBorders>
            <w:vAlign w:val="center"/>
          </w:tcPr>
          <w:p w14:paraId="259DA68A"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12</w:t>
            </w:r>
          </w:p>
        </w:tc>
      </w:tr>
    </w:tbl>
    <w:p w14:paraId="35161645"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2B612A90" w14:textId="1A59A899"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rPr>
        <w:t>15. A209123: Održavanje građevina, uređaja i predmeta javne namjene</w:t>
      </w:r>
      <w:r w:rsidRPr="00184A8E">
        <w:rPr>
          <w:rFonts w:ascii="Arial" w:eastAsia="Calibri" w:hAnsi="Arial" w:cs="Arial"/>
          <w:sz w:val="20"/>
          <w:szCs w:val="20"/>
        </w:rPr>
        <w:t xml:space="preserve"> - u sklopu navedene aktivnosti planiraju se rashodi u iznosu </w:t>
      </w:r>
      <w:r w:rsidR="0062453E">
        <w:rPr>
          <w:rFonts w:ascii="Arial" w:eastAsia="Calibri" w:hAnsi="Arial" w:cs="Arial"/>
          <w:sz w:val="20"/>
          <w:szCs w:val="20"/>
        </w:rPr>
        <w:t>93.850</w:t>
      </w:r>
      <w:r w:rsidRPr="00184A8E">
        <w:rPr>
          <w:rFonts w:ascii="Arial" w:eastAsia="Calibri" w:hAnsi="Arial" w:cs="Arial"/>
          <w:sz w:val="20"/>
          <w:szCs w:val="20"/>
        </w:rPr>
        <w:t xml:space="preserve"> €, a rashodi su izvršeni u iznosu </w:t>
      </w:r>
      <w:r w:rsidR="0062453E">
        <w:rPr>
          <w:rFonts w:ascii="Arial" w:eastAsia="Calibri" w:hAnsi="Arial" w:cs="Arial"/>
          <w:sz w:val="20"/>
          <w:szCs w:val="20"/>
        </w:rPr>
        <w:t>51.812,45</w:t>
      </w:r>
      <w:r w:rsidRPr="00184A8E">
        <w:rPr>
          <w:rFonts w:ascii="Arial" w:eastAsia="Calibri" w:hAnsi="Arial" w:cs="Arial"/>
          <w:sz w:val="20"/>
          <w:szCs w:val="20"/>
        </w:rPr>
        <w:t xml:space="preserve"> € ili </w:t>
      </w:r>
      <w:r w:rsidR="0062453E">
        <w:rPr>
          <w:rFonts w:ascii="Arial" w:eastAsia="Calibri" w:hAnsi="Arial" w:cs="Arial"/>
          <w:sz w:val="20"/>
          <w:szCs w:val="20"/>
        </w:rPr>
        <w:t>55,2</w:t>
      </w:r>
      <w:r w:rsidRPr="00184A8E">
        <w:rPr>
          <w:rFonts w:ascii="Arial" w:eastAsia="Calibri" w:hAnsi="Arial" w:cs="Arial"/>
          <w:sz w:val="20"/>
          <w:szCs w:val="20"/>
        </w:rPr>
        <w:t xml:space="preserve">% plana. </w:t>
      </w:r>
      <w:bookmarkStart w:id="523" w:name="_Hlk165970102"/>
    </w:p>
    <w:bookmarkEnd w:id="523"/>
    <w:p w14:paraId="49AA937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2FE7AB5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Pod održavanjem građevina i uređaja javne namjene podrazumijeva se održavanje, popravci i čišćenje tih građevina, uređaja i predmeta. Građevine i uređaji javne namjene su nadstrešnice na stajalištima javnog prometa, fontane, javni zahod, javni sat, ploče s planom naselja, oznake kulturnih dobara, zaštićenih dijelova prirode i sadržaja turističke namjene, spomenici i skulpture te druge građevine, uređaji i predmeti javne namjene lokalnog značaja. </w:t>
      </w:r>
    </w:p>
    <w:p w14:paraId="65A63A5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351A26B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U okviru ove aktivnosti su rashodi manjih pojedinačnih vrijednosti za turističku signalizaciju, ploče s planom naselja, oznake ulica, parkova, trgova, oglasne ploče te ostale informativno – promotivne ploče (oznake), ogledala, održavanje spomen obilježja, interventna održavanja autobusnih čekaonica i fasada autobusnih čekaonica i slično. Nadalje, u okviru ove aktivnosti uključen je najam opreme kao što je najam sanitarnih čvorova (WC kabina) i druge opreme tijekom održavanja manifestacija koje financira ili sufinancira Općina. Ovdje su uključeni i rashodi za radove održavanja okoliša objekata u vlasništvu Općine i objektima javne namjene (održavanje komunalne opreme i drugi popravci na javnim površinama koji se nužno javljaju ali se točno ne mogu predvidjeti).</w:t>
      </w:r>
    </w:p>
    <w:p w14:paraId="474B9936"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00D570E7" w14:textId="4248ADFA" w:rsidR="00184A8E" w:rsidRDefault="0062453E" w:rsidP="00184A8E">
      <w:pPr>
        <w:autoSpaceDE w:val="0"/>
        <w:autoSpaceDN w:val="0"/>
        <w:adjustRightInd w:val="0"/>
        <w:spacing w:after="0" w:line="240" w:lineRule="auto"/>
        <w:jc w:val="both"/>
        <w:rPr>
          <w:rFonts w:ascii="Arial" w:eastAsia="Calibri" w:hAnsi="Arial" w:cs="Arial"/>
          <w:sz w:val="20"/>
          <w:szCs w:val="20"/>
        </w:rPr>
      </w:pPr>
      <w:bookmarkStart w:id="524" w:name="_Hlk135147791"/>
      <w:r w:rsidRPr="0062453E">
        <w:rPr>
          <w:rFonts w:ascii="Arial" w:eastAsia="Calibri" w:hAnsi="Arial" w:cs="Arial"/>
          <w:sz w:val="20"/>
          <w:szCs w:val="20"/>
        </w:rPr>
        <w:t>Izvršeni rashodi se odnose na materijal za održavanje građevina, uređaja i predmeta javne namjene (sitna komunalna uređenja diljem Općine) 20.097,35 €, usluge identificiranja postavljenog elektro kabela na autobusnom kolodvoru 480,75 €, usluge interventnih pražnjenja spremnika uz cestu na odmorištima u ljetnoj sezoni 3.909,80 €, priprema i postavljanje polupodzemnih spremnika molok u iznosu 4.125 €, ugradnja moloka u blizini nove škole u ulici Silvija Strahimira Kranjčevića 8.494,91 €, izrada i montaža inoks rozeta za javnu rasvjetu na rivi u Cavtatu 1.380 €, uređenje vrta Bukovac 875 €, nabavu i montažu prometnih znakova, dopunskih ploča i ogledala 9.609,01 €, izrada naljepnica za znakova zabrana (zabrana kampiranja, psi na plaži) u iznosu 1.150,63 €, najam eko wc kabina za plažu u Vitaljini 1.690 € tijekom tri ljetna mjeseca.</w:t>
      </w:r>
    </w:p>
    <w:p w14:paraId="13F74C00" w14:textId="77777777" w:rsidR="0062453E" w:rsidRDefault="0062453E" w:rsidP="00184A8E">
      <w:pPr>
        <w:autoSpaceDE w:val="0"/>
        <w:autoSpaceDN w:val="0"/>
        <w:adjustRightInd w:val="0"/>
        <w:spacing w:after="0" w:line="240" w:lineRule="auto"/>
        <w:jc w:val="both"/>
        <w:rPr>
          <w:rFonts w:ascii="Arial" w:eastAsia="Calibri" w:hAnsi="Arial" w:cs="Arial"/>
          <w:sz w:val="20"/>
          <w:szCs w:val="20"/>
        </w:rPr>
      </w:pPr>
    </w:p>
    <w:p w14:paraId="2214CB82" w14:textId="77777777" w:rsidR="000E0701" w:rsidRDefault="000E0701" w:rsidP="00184A8E">
      <w:pPr>
        <w:autoSpaceDE w:val="0"/>
        <w:autoSpaceDN w:val="0"/>
        <w:adjustRightInd w:val="0"/>
        <w:spacing w:after="0" w:line="240" w:lineRule="auto"/>
        <w:jc w:val="both"/>
        <w:rPr>
          <w:rFonts w:ascii="Arial" w:eastAsia="Calibri" w:hAnsi="Arial" w:cs="Arial"/>
          <w:sz w:val="20"/>
          <w:szCs w:val="20"/>
        </w:rPr>
      </w:pPr>
    </w:p>
    <w:p w14:paraId="5F065E23" w14:textId="77777777" w:rsidR="000E0701" w:rsidRDefault="000E0701" w:rsidP="00184A8E">
      <w:pPr>
        <w:autoSpaceDE w:val="0"/>
        <w:autoSpaceDN w:val="0"/>
        <w:adjustRightInd w:val="0"/>
        <w:spacing w:after="0" w:line="240" w:lineRule="auto"/>
        <w:jc w:val="both"/>
        <w:rPr>
          <w:rFonts w:ascii="Arial" w:eastAsia="Calibri" w:hAnsi="Arial" w:cs="Arial"/>
          <w:sz w:val="20"/>
          <w:szCs w:val="20"/>
        </w:rPr>
      </w:pPr>
    </w:p>
    <w:p w14:paraId="162E2B46" w14:textId="77777777" w:rsidR="000E0701" w:rsidRPr="00184A8E" w:rsidRDefault="000E0701" w:rsidP="00184A8E">
      <w:pPr>
        <w:autoSpaceDE w:val="0"/>
        <w:autoSpaceDN w:val="0"/>
        <w:adjustRightInd w:val="0"/>
        <w:spacing w:after="0" w:line="240" w:lineRule="auto"/>
        <w:jc w:val="both"/>
        <w:rPr>
          <w:rFonts w:ascii="Arial" w:eastAsia="Calibri" w:hAnsi="Arial" w:cs="Arial"/>
          <w:sz w:val="20"/>
          <w:szCs w:val="20"/>
        </w:rPr>
      </w:pPr>
    </w:p>
    <w:tbl>
      <w:tblPr>
        <w:tblStyle w:val="Reetkatablice5368"/>
        <w:tblW w:w="14138" w:type="dxa"/>
        <w:jc w:val="center"/>
        <w:tblLayout w:type="fixed"/>
        <w:tblLook w:val="04A0" w:firstRow="1" w:lastRow="0" w:firstColumn="1" w:lastColumn="0" w:noHBand="0" w:noVBand="1"/>
      </w:tblPr>
      <w:tblGrid>
        <w:gridCol w:w="2689"/>
        <w:gridCol w:w="3123"/>
        <w:gridCol w:w="958"/>
        <w:gridCol w:w="1134"/>
        <w:gridCol w:w="1232"/>
        <w:gridCol w:w="1276"/>
        <w:gridCol w:w="1242"/>
        <w:gridCol w:w="1242"/>
        <w:gridCol w:w="1242"/>
      </w:tblGrid>
      <w:tr w:rsidR="00184A8E" w:rsidRPr="00184A8E" w14:paraId="1CBC3584" w14:textId="77777777" w:rsidTr="00410A4B">
        <w:trPr>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758F40F"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lastRenderedPageBreak/>
              <w:t>Pokazatelj rezultata</w:t>
            </w:r>
          </w:p>
        </w:tc>
        <w:tc>
          <w:tcPr>
            <w:tcW w:w="312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A97A862"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723A124"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CE9A2AA"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A1243A0" w14:textId="3341B1B1"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596FC1">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9B93250" w14:textId="2CF4C2CB"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596FC1">
              <w:rPr>
                <w:rFonts w:ascii="Arial" w:eastAsia="Calibri" w:hAnsi="Arial" w:cs="Arial"/>
                <w:lang w:eastAsia="en-US"/>
              </w:rPr>
              <w:t>5</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0CBCABB" w14:textId="20D0AE13"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596FC1">
              <w:rPr>
                <w:rFonts w:ascii="Arial" w:eastAsia="Calibri" w:hAnsi="Arial" w:cs="Arial"/>
                <w:lang w:eastAsia="en-US"/>
              </w:rPr>
              <w:t>5</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52D2D18" w14:textId="68A64911"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596FC1">
              <w:rPr>
                <w:rFonts w:ascii="Arial" w:eastAsia="Calibri" w:hAnsi="Arial" w:cs="Arial"/>
                <w:lang w:eastAsia="en-US"/>
              </w:rPr>
              <w:t>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127BE4B" w14:textId="21880FB3"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596FC1">
              <w:rPr>
                <w:rFonts w:ascii="Arial" w:eastAsia="Calibri" w:hAnsi="Arial" w:cs="Arial"/>
                <w:lang w:eastAsia="en-US"/>
              </w:rPr>
              <w:t>7</w:t>
            </w:r>
            <w:r w:rsidRPr="00184A8E">
              <w:rPr>
                <w:rFonts w:ascii="Arial" w:eastAsia="Calibri" w:hAnsi="Arial" w:cs="Arial"/>
                <w:lang w:eastAsia="en-US"/>
              </w:rPr>
              <w:t>.</w:t>
            </w:r>
          </w:p>
        </w:tc>
      </w:tr>
      <w:tr w:rsidR="00184A8E" w:rsidRPr="00184A8E" w14:paraId="37B0704D" w14:textId="77777777" w:rsidTr="00410A4B">
        <w:trPr>
          <w:trHeight w:val="273"/>
          <w:jc w:val="center"/>
        </w:trPr>
        <w:tc>
          <w:tcPr>
            <w:tcW w:w="2689" w:type="dxa"/>
            <w:tcBorders>
              <w:top w:val="single" w:sz="4" w:space="0" w:color="auto"/>
              <w:left w:val="single" w:sz="4" w:space="0" w:color="auto"/>
              <w:bottom w:val="single" w:sz="4" w:space="0" w:color="auto"/>
              <w:right w:val="single" w:sz="4" w:space="0" w:color="auto"/>
            </w:tcBorders>
            <w:vAlign w:val="center"/>
          </w:tcPr>
          <w:p w14:paraId="7B5DBC93" w14:textId="77777777" w:rsidR="00184A8E" w:rsidRPr="00184A8E" w:rsidRDefault="00184A8E" w:rsidP="00184A8E">
            <w:pPr>
              <w:rPr>
                <w:rFonts w:ascii="Arial" w:hAnsi="Arial" w:cs="Arial"/>
                <w:sz w:val="18"/>
                <w:szCs w:val="18"/>
                <w:lang w:eastAsia="en-US"/>
              </w:rPr>
            </w:pPr>
            <w:r w:rsidRPr="00184A8E">
              <w:rPr>
                <w:rFonts w:ascii="Arial" w:eastAsia="Calibri" w:hAnsi="Arial" w:cs="Arial"/>
                <w:sz w:val="18"/>
                <w:szCs w:val="18"/>
                <w:lang w:eastAsia="en-US"/>
              </w:rPr>
              <w:t>Utrošena sredstva za održavanje građevina, uređaja i predmeta javne namjene</w:t>
            </w:r>
          </w:p>
        </w:tc>
        <w:tc>
          <w:tcPr>
            <w:tcW w:w="3123" w:type="dxa"/>
            <w:tcBorders>
              <w:top w:val="single" w:sz="4" w:space="0" w:color="auto"/>
              <w:left w:val="single" w:sz="4" w:space="0" w:color="auto"/>
              <w:bottom w:val="single" w:sz="4" w:space="0" w:color="auto"/>
              <w:right w:val="single" w:sz="4" w:space="0" w:color="auto"/>
            </w:tcBorders>
            <w:vAlign w:val="center"/>
          </w:tcPr>
          <w:p w14:paraId="56185960"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eastAsia="Calibri" w:hAnsi="Arial" w:cs="Arial"/>
                <w:sz w:val="18"/>
                <w:szCs w:val="18"/>
                <w:lang w:eastAsia="en-US"/>
              </w:rPr>
              <w:t>Udio utrošenih planiranih sredstava za održavanje građevina, uređaja i predmeta javne namjene</w:t>
            </w:r>
          </w:p>
        </w:tc>
        <w:tc>
          <w:tcPr>
            <w:tcW w:w="958" w:type="dxa"/>
            <w:tcBorders>
              <w:top w:val="single" w:sz="4" w:space="0" w:color="auto"/>
              <w:left w:val="single" w:sz="4" w:space="0" w:color="auto"/>
              <w:bottom w:val="single" w:sz="4" w:space="0" w:color="auto"/>
              <w:right w:val="single" w:sz="4" w:space="0" w:color="auto"/>
            </w:tcBorders>
            <w:vAlign w:val="center"/>
          </w:tcPr>
          <w:p w14:paraId="7F298905"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777A7A27" w14:textId="77777777" w:rsidR="00184A8E" w:rsidRPr="00184A8E" w:rsidRDefault="00184A8E" w:rsidP="00184A8E">
            <w:pPr>
              <w:jc w:val="center"/>
              <w:rPr>
                <w:rFonts w:ascii="Arial" w:hAnsi="Arial" w:cs="Arial"/>
                <w:lang w:eastAsia="en-US"/>
              </w:rPr>
            </w:pPr>
            <w:r w:rsidRPr="00184A8E">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30AD1564" w14:textId="0621B548" w:rsidR="00184A8E" w:rsidRPr="00184A8E" w:rsidRDefault="00596FC1" w:rsidP="00184A8E">
            <w:pPr>
              <w:jc w:val="center"/>
              <w:rPr>
                <w:rFonts w:ascii="Arial" w:hAnsi="Arial" w:cs="Arial"/>
                <w:lang w:eastAsia="en-US"/>
              </w:rPr>
            </w:pPr>
            <w:r>
              <w:rPr>
                <w:rFonts w:ascii="Arial" w:eastAsia="Calibri" w:hAnsi="Arial" w:cs="Arial"/>
                <w:lang w:eastAsia="en-US"/>
              </w:rPr>
              <w:t>74</w:t>
            </w:r>
            <w:r w:rsidR="00184A8E" w:rsidRPr="00184A8E">
              <w:rPr>
                <w:rFonts w:ascii="Arial" w:eastAsia="Calibri" w:hAnsi="Arial" w:cs="Arial"/>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7B1A7477"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40F302F3" w14:textId="38B23741" w:rsidR="00184A8E" w:rsidRPr="00184A8E" w:rsidRDefault="00596FC1" w:rsidP="00184A8E">
            <w:pPr>
              <w:jc w:val="center"/>
              <w:rPr>
                <w:rFonts w:ascii="Arial" w:eastAsia="Calibri" w:hAnsi="Arial" w:cs="Arial"/>
                <w:lang w:eastAsia="en-US"/>
              </w:rPr>
            </w:pPr>
            <w:r>
              <w:rPr>
                <w:rFonts w:ascii="Arial" w:eastAsia="Calibri" w:hAnsi="Arial" w:cs="Arial"/>
                <w:lang w:eastAsia="en-US"/>
              </w:rPr>
              <w:t>55</w:t>
            </w:r>
            <w:r w:rsidR="00184A8E"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45C4F8B9"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30869FE2"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w:t>
            </w:r>
          </w:p>
        </w:tc>
      </w:tr>
    </w:tbl>
    <w:p w14:paraId="06D1139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bookmarkEnd w:id="524"/>
    <w:p w14:paraId="1DE944A0" w14:textId="7F4B5E9D"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rPr>
        <w:t>16. A209124: Održavanje javnih površina na kojima nije dopušten promet motornim vozilima</w:t>
      </w:r>
      <w:r w:rsidRPr="00184A8E">
        <w:rPr>
          <w:rFonts w:ascii="Arial" w:eastAsia="Calibri" w:hAnsi="Arial" w:cs="Arial"/>
          <w:sz w:val="20"/>
          <w:szCs w:val="20"/>
        </w:rPr>
        <w:t xml:space="preserve"> - u sklopu navedene aktivnosti planiraju se rashodi u iznosu </w:t>
      </w:r>
      <w:r w:rsidR="00A466ED">
        <w:rPr>
          <w:rFonts w:ascii="Arial" w:eastAsia="Calibri" w:hAnsi="Arial" w:cs="Arial"/>
          <w:sz w:val="20"/>
          <w:szCs w:val="20"/>
        </w:rPr>
        <w:t>394.335</w:t>
      </w:r>
      <w:r w:rsidRPr="00184A8E">
        <w:rPr>
          <w:rFonts w:ascii="Arial" w:eastAsia="Calibri" w:hAnsi="Arial" w:cs="Arial"/>
          <w:sz w:val="20"/>
          <w:szCs w:val="20"/>
        </w:rPr>
        <w:t xml:space="preserve"> €. Rashodi su izvršeni u iznosu </w:t>
      </w:r>
      <w:r w:rsidR="00A466ED">
        <w:rPr>
          <w:rFonts w:ascii="Arial" w:eastAsia="Calibri" w:hAnsi="Arial" w:cs="Arial"/>
          <w:sz w:val="20"/>
          <w:szCs w:val="20"/>
        </w:rPr>
        <w:t>355.994,60</w:t>
      </w:r>
      <w:r w:rsidRPr="00184A8E">
        <w:rPr>
          <w:rFonts w:ascii="Arial" w:eastAsia="Calibri" w:hAnsi="Arial" w:cs="Arial"/>
          <w:sz w:val="20"/>
          <w:szCs w:val="20"/>
        </w:rPr>
        <w:t xml:space="preserve"> € ili </w:t>
      </w:r>
      <w:r w:rsidR="00A466ED">
        <w:rPr>
          <w:rFonts w:ascii="Arial" w:eastAsia="Calibri" w:hAnsi="Arial" w:cs="Arial"/>
          <w:sz w:val="20"/>
          <w:szCs w:val="20"/>
        </w:rPr>
        <w:t>90,3</w:t>
      </w:r>
      <w:r w:rsidRPr="00184A8E">
        <w:rPr>
          <w:rFonts w:ascii="Arial" w:eastAsia="Calibri" w:hAnsi="Arial" w:cs="Arial"/>
          <w:sz w:val="20"/>
          <w:szCs w:val="20"/>
        </w:rPr>
        <w:t>% plana.</w:t>
      </w:r>
    </w:p>
    <w:p w14:paraId="18FA6D8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5A482E0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Pod održavanjem javnih površina na kojima nije dopušten promet motornih vozila podrazumijeva se održavanje i popravci tih površina kojima se osigurava njihova funkcionalna ispravnost. </w:t>
      </w:r>
    </w:p>
    <w:p w14:paraId="1E1BA56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bookmarkStart w:id="525" w:name="_Hlk135146557"/>
      <w:r w:rsidRPr="00184A8E">
        <w:rPr>
          <w:rFonts w:ascii="Arial" w:eastAsia="Calibri" w:hAnsi="Arial" w:cs="Arial"/>
          <w:sz w:val="20"/>
          <w:szCs w:val="20"/>
        </w:rPr>
        <w:t xml:space="preserve">Javne prometne površine na kojima nije dopušten promet motornim vozilima su: trgovi, pločnici, javni prolazi, javne stube, prečaci, šetališta, uređene plaže, pješačke i biciklističke staze, pothodnici, mostovi i tuneli, ako nisu sastavni dio nerazvrstane ili druge ceste. </w:t>
      </w:r>
    </w:p>
    <w:p w14:paraId="25A543D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5028B71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U sklopu ove aktivnosti planiraju se rashodi za poslove održavanja šetališta i trgova (primjerice uređenja trgova oko crkava, uređenje prostora za manifestacije, postavljanje pristupnih rampi za osobe slabije pokretljivosti, postavljanje zaštitne ograde na šetalištu, zamjena klupa za odmor na šetalištu, ličenje ograde i klupa i slično), uređenje plaža i staza, drugih javno prometnih površina na kojima nije dozvoljen promet motornim vozilima. Ovi radovi se obavljaju prema prijedlozima mjesnih odbora, drugim prijedlozima, na temelju izvida na terenu i slično. </w:t>
      </w:r>
    </w:p>
    <w:p w14:paraId="4504F6B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U okviru održavanja plaža uključeno je čišćenje i dohranjivanje plaža. Također, uključena je i analiza mora odnosno podmirivanje troškova za ispitivanje i ocjenjivanje mora na morskim plažama sukladno Uredbi o kakvoći mora za kupanje. Analizu mora provodi Zavod za javno zdravstvo Dubrovačko-neretvanske županije.</w:t>
      </w:r>
    </w:p>
    <w:p w14:paraId="6A7908D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bookmarkEnd w:id="525"/>
    <w:p w14:paraId="270B0DBA" w14:textId="77777777" w:rsidR="00A466ED" w:rsidRPr="00A466ED" w:rsidRDefault="00A466ED" w:rsidP="00A466ED">
      <w:pPr>
        <w:autoSpaceDE w:val="0"/>
        <w:autoSpaceDN w:val="0"/>
        <w:adjustRightInd w:val="0"/>
        <w:spacing w:after="0" w:line="240" w:lineRule="auto"/>
        <w:jc w:val="both"/>
        <w:rPr>
          <w:rFonts w:ascii="Arial" w:eastAsia="Calibri" w:hAnsi="Arial" w:cs="Arial"/>
          <w:sz w:val="20"/>
          <w:szCs w:val="20"/>
        </w:rPr>
      </w:pPr>
      <w:r w:rsidRPr="00A466ED">
        <w:rPr>
          <w:rFonts w:ascii="Arial" w:eastAsia="Calibri" w:hAnsi="Arial" w:cs="Arial"/>
          <w:sz w:val="20"/>
          <w:szCs w:val="20"/>
        </w:rPr>
        <w:t>Izvršeni rashodi se odnose na:</w:t>
      </w:r>
    </w:p>
    <w:p w14:paraId="6E1A588E" w14:textId="77777777" w:rsidR="00A466ED" w:rsidRPr="00A466ED" w:rsidRDefault="00A466ED" w:rsidP="00A466ED">
      <w:pPr>
        <w:autoSpaceDE w:val="0"/>
        <w:autoSpaceDN w:val="0"/>
        <w:adjustRightInd w:val="0"/>
        <w:spacing w:after="0" w:line="240" w:lineRule="auto"/>
        <w:jc w:val="both"/>
        <w:rPr>
          <w:rFonts w:ascii="Arial" w:eastAsia="Calibri" w:hAnsi="Arial" w:cs="Arial"/>
          <w:sz w:val="20"/>
          <w:szCs w:val="20"/>
        </w:rPr>
      </w:pPr>
      <w:r w:rsidRPr="00A466ED">
        <w:rPr>
          <w:rFonts w:ascii="Arial" w:eastAsia="Calibri" w:hAnsi="Arial" w:cs="Arial"/>
          <w:sz w:val="20"/>
          <w:szCs w:val="20"/>
        </w:rPr>
        <w:t xml:space="preserve">- </w:t>
      </w:r>
      <w:r w:rsidRPr="00A466ED">
        <w:rPr>
          <w:rFonts w:ascii="Arial" w:eastAsia="Calibri" w:hAnsi="Arial" w:cs="Arial"/>
          <w:sz w:val="20"/>
          <w:szCs w:val="20"/>
        </w:rPr>
        <w:tab/>
        <w:t>pojedinačno manje radove održavanja okoliša objekata u vlasništvu općine i javnih površina na kojima nije dopušten promet motornim vozilima u iznosu 299.971,28 € na temelju zaključenog godišnjeg ugovora (ugovor iz siječnja 2025. s društvom u vlasništvu u vrijednosti 299.972,50 € s porezom na dodanu vrijednost). Izvršeni radovi se odnose na radove košnje diljem Općine, radove popravaka / betoniranja na dječjim igralištima u Dubravci, dječjem igralištu Gruda (centar), dječjem igralištu u Močićima, Moluntu, Paljem brdu, Poljicu i Vodovađi, betoniranje podesta za boks kartona u Cavtatu (Rajkov do), kamenarski i zidarski radovi (popravak zidića i krpanje rupa u ulicama i na šetnici Rat u Cavtatu, u Moluntu i Paljem brdu, vraćanje pločnika i provlačenje bužira na parkingu), rušenje zidića i rješavanje oborinske odvodnje u Čilipima, postavljanje nove i popravak postojeće signalizacije turističke zajednice na više lokacija, postavljanje stupića, izrada postolja i postavljanje prometnih ogledala, održavanje odmorišta uz D8, bojanje i postavljanje klupa, popravak ograde na Šetnici Rat, skidanje grafita na autobusnim stanicama, zamjena postojeće uništene ograde na dječjem igralištu s novom ogradom, uređenje prostora oko ambulante u Cavtatu i drugi pojedinačno mani radovi,</w:t>
      </w:r>
    </w:p>
    <w:p w14:paraId="03C44470" w14:textId="77777777" w:rsidR="00A466ED" w:rsidRPr="00A466ED" w:rsidRDefault="00A466ED" w:rsidP="00A466ED">
      <w:pPr>
        <w:autoSpaceDE w:val="0"/>
        <w:autoSpaceDN w:val="0"/>
        <w:adjustRightInd w:val="0"/>
        <w:spacing w:after="0" w:line="240" w:lineRule="auto"/>
        <w:jc w:val="both"/>
        <w:rPr>
          <w:rFonts w:ascii="Arial" w:eastAsia="Calibri" w:hAnsi="Arial" w:cs="Arial"/>
          <w:sz w:val="20"/>
          <w:szCs w:val="20"/>
        </w:rPr>
      </w:pPr>
      <w:r w:rsidRPr="00A466ED">
        <w:rPr>
          <w:rFonts w:ascii="Arial" w:eastAsia="Calibri" w:hAnsi="Arial" w:cs="Arial"/>
          <w:sz w:val="20"/>
          <w:szCs w:val="20"/>
        </w:rPr>
        <w:t xml:space="preserve">- izradu i postavljanje rukohvata u ulici Zrinski u Cavtatu (26 metara) 1.300 €, izrada i montaža ograde na plaži Račić u Cavtatu (17 metara) 2.893,75 €, izradu i postavljanje rukohvata u ulici Frana Supila u Cavtatu (29 metara) 1.812,50 €, izrada i postavljanje klizne kapije za ulaz u Kaponire – buduće poslovna zona (Čilipi) 2.275 €, izrada i montaža kovanog rukohvata kod crkve u Čilipima 575 €, izrada i montaža inoks rukohvata na plaži kod vile Banas u Cavtatu 450 €, </w:t>
      </w:r>
    </w:p>
    <w:p w14:paraId="1B82321D" w14:textId="77777777" w:rsidR="00A466ED" w:rsidRPr="00A466ED" w:rsidRDefault="00A466ED" w:rsidP="00A466ED">
      <w:pPr>
        <w:autoSpaceDE w:val="0"/>
        <w:autoSpaceDN w:val="0"/>
        <w:adjustRightInd w:val="0"/>
        <w:spacing w:after="0" w:line="240" w:lineRule="auto"/>
        <w:jc w:val="both"/>
        <w:rPr>
          <w:rFonts w:ascii="Arial" w:eastAsia="Calibri" w:hAnsi="Arial" w:cs="Arial"/>
          <w:sz w:val="20"/>
          <w:szCs w:val="20"/>
        </w:rPr>
      </w:pPr>
      <w:r w:rsidRPr="00A466ED">
        <w:rPr>
          <w:rFonts w:ascii="Arial" w:eastAsia="Calibri" w:hAnsi="Arial" w:cs="Arial"/>
          <w:sz w:val="20"/>
          <w:szCs w:val="20"/>
        </w:rPr>
        <w:t xml:space="preserve">- </w:t>
      </w:r>
      <w:r w:rsidRPr="00A466ED">
        <w:rPr>
          <w:rFonts w:ascii="Arial" w:eastAsia="Calibri" w:hAnsi="Arial" w:cs="Arial"/>
          <w:sz w:val="20"/>
          <w:szCs w:val="20"/>
        </w:rPr>
        <w:tab/>
        <w:t xml:space="preserve">košnja pješačkih staza Tušići – Palje brod i u Komajima (Cadmos Villagge) u iznosu 12.908,75 €, </w:t>
      </w:r>
    </w:p>
    <w:p w14:paraId="7180FE0D" w14:textId="6CC94991" w:rsidR="00184A8E" w:rsidRDefault="00A466ED" w:rsidP="00A466ED">
      <w:pPr>
        <w:autoSpaceDE w:val="0"/>
        <w:autoSpaceDN w:val="0"/>
        <w:adjustRightInd w:val="0"/>
        <w:spacing w:after="0" w:line="240" w:lineRule="auto"/>
        <w:jc w:val="both"/>
        <w:rPr>
          <w:rFonts w:ascii="Arial" w:eastAsia="Calibri" w:hAnsi="Arial" w:cs="Arial"/>
          <w:sz w:val="20"/>
          <w:szCs w:val="20"/>
        </w:rPr>
      </w:pPr>
      <w:r w:rsidRPr="00A466ED">
        <w:rPr>
          <w:rFonts w:ascii="Arial" w:eastAsia="Calibri" w:hAnsi="Arial" w:cs="Arial"/>
          <w:sz w:val="20"/>
          <w:szCs w:val="20"/>
        </w:rPr>
        <w:t xml:space="preserve">- </w:t>
      </w:r>
      <w:r w:rsidRPr="00A466ED">
        <w:rPr>
          <w:rFonts w:ascii="Arial" w:eastAsia="Calibri" w:hAnsi="Arial" w:cs="Arial"/>
          <w:sz w:val="20"/>
          <w:szCs w:val="20"/>
        </w:rPr>
        <w:tab/>
        <w:t>dohrana plaže i uređenje prilaza plaži Pasjača 33.808,32 €.</w:t>
      </w:r>
    </w:p>
    <w:p w14:paraId="0D6F70CE" w14:textId="77777777" w:rsidR="00A466ED" w:rsidRDefault="00A466ED" w:rsidP="00A466ED">
      <w:pPr>
        <w:autoSpaceDE w:val="0"/>
        <w:autoSpaceDN w:val="0"/>
        <w:adjustRightInd w:val="0"/>
        <w:spacing w:after="0" w:line="240" w:lineRule="auto"/>
        <w:jc w:val="both"/>
        <w:rPr>
          <w:rFonts w:ascii="Arial" w:eastAsia="Calibri" w:hAnsi="Arial" w:cs="Arial"/>
          <w:sz w:val="20"/>
          <w:szCs w:val="20"/>
          <w:lang w:eastAsia="en-US"/>
        </w:rPr>
      </w:pPr>
    </w:p>
    <w:p w14:paraId="779B55E2" w14:textId="77777777" w:rsidR="000E0701" w:rsidRDefault="000E0701" w:rsidP="00A466ED">
      <w:pPr>
        <w:autoSpaceDE w:val="0"/>
        <w:autoSpaceDN w:val="0"/>
        <w:adjustRightInd w:val="0"/>
        <w:spacing w:after="0" w:line="240" w:lineRule="auto"/>
        <w:jc w:val="both"/>
        <w:rPr>
          <w:rFonts w:ascii="Arial" w:eastAsia="Calibri" w:hAnsi="Arial" w:cs="Arial"/>
          <w:sz w:val="20"/>
          <w:szCs w:val="20"/>
          <w:lang w:eastAsia="en-US"/>
        </w:rPr>
      </w:pPr>
    </w:p>
    <w:p w14:paraId="703D36ED" w14:textId="77777777" w:rsidR="000E0701" w:rsidRPr="00184A8E" w:rsidRDefault="000E0701" w:rsidP="00A466ED">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8"/>
        <w:tblW w:w="14280" w:type="dxa"/>
        <w:jc w:val="center"/>
        <w:tblLayout w:type="fixed"/>
        <w:tblLook w:val="04A0" w:firstRow="1" w:lastRow="0" w:firstColumn="1" w:lastColumn="0" w:noHBand="0" w:noVBand="1"/>
      </w:tblPr>
      <w:tblGrid>
        <w:gridCol w:w="2689"/>
        <w:gridCol w:w="3402"/>
        <w:gridCol w:w="992"/>
        <w:gridCol w:w="1134"/>
        <w:gridCol w:w="1276"/>
        <w:gridCol w:w="1275"/>
        <w:gridCol w:w="1028"/>
        <w:gridCol w:w="1242"/>
        <w:gridCol w:w="1242"/>
      </w:tblGrid>
      <w:tr w:rsidR="00184A8E" w:rsidRPr="00184A8E" w14:paraId="1EC67065" w14:textId="77777777" w:rsidTr="00410A4B">
        <w:trPr>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C9F33C0"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lastRenderedPageBreak/>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29156D9"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CBD6D52"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A1795E5"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5DE3806" w14:textId="55BBF23B"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A466ED">
              <w:rPr>
                <w:rFonts w:ascii="Arial" w:eastAsia="Calibri" w:hAnsi="Arial" w:cs="Arial"/>
                <w:lang w:eastAsia="en-US"/>
              </w:rPr>
              <w:t>4</w:t>
            </w:r>
            <w:r w:rsidRPr="00184A8E">
              <w:rPr>
                <w:rFonts w:ascii="Arial" w:eastAsia="Calibri" w:hAnsi="Arial" w:cs="Arial"/>
                <w:lang w:eastAsia="en-US"/>
              </w:rPr>
              <w:t>.</w:t>
            </w:r>
          </w:p>
        </w:tc>
        <w:tc>
          <w:tcPr>
            <w:tcW w:w="127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918231C" w14:textId="30820438"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w:t>
            </w:r>
            <w:r w:rsidR="00A466ED">
              <w:rPr>
                <w:rFonts w:ascii="Arial" w:eastAsia="Calibri" w:hAnsi="Arial" w:cs="Arial"/>
                <w:lang w:eastAsia="en-US"/>
              </w:rPr>
              <w:t>25</w:t>
            </w:r>
            <w:r w:rsidRPr="00184A8E">
              <w:rPr>
                <w:rFonts w:ascii="Arial" w:eastAsia="Calibri" w:hAnsi="Arial" w:cs="Arial"/>
                <w:lang w:eastAsia="en-US"/>
              </w:rPr>
              <w:t>.</w:t>
            </w:r>
          </w:p>
        </w:tc>
        <w:tc>
          <w:tcPr>
            <w:tcW w:w="102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E07B659" w14:textId="6CE6D696"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w:t>
            </w:r>
            <w:r w:rsidR="00A466ED">
              <w:rPr>
                <w:rFonts w:ascii="Arial" w:eastAsia="Calibri" w:hAnsi="Arial" w:cs="Arial"/>
                <w:lang w:eastAsia="en-US"/>
              </w:rPr>
              <w:t>25</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8EB519F" w14:textId="501E3089"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A466ED">
              <w:rPr>
                <w:rFonts w:ascii="Arial" w:eastAsia="Calibri" w:hAnsi="Arial" w:cs="Arial"/>
                <w:lang w:eastAsia="en-US"/>
              </w:rPr>
              <w:t>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6A6F9B6" w14:textId="6B1067E0"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A466ED">
              <w:rPr>
                <w:rFonts w:ascii="Arial" w:eastAsia="Calibri" w:hAnsi="Arial" w:cs="Arial"/>
                <w:lang w:eastAsia="en-US"/>
              </w:rPr>
              <w:t>7</w:t>
            </w:r>
            <w:r w:rsidRPr="00184A8E">
              <w:rPr>
                <w:rFonts w:ascii="Arial" w:eastAsia="Calibri" w:hAnsi="Arial" w:cs="Arial"/>
                <w:lang w:eastAsia="en-US"/>
              </w:rPr>
              <w:t>.</w:t>
            </w:r>
          </w:p>
        </w:tc>
      </w:tr>
      <w:tr w:rsidR="00184A8E" w:rsidRPr="00184A8E" w14:paraId="56114754" w14:textId="77777777" w:rsidTr="00410A4B">
        <w:trPr>
          <w:trHeight w:val="273"/>
          <w:jc w:val="center"/>
        </w:trPr>
        <w:tc>
          <w:tcPr>
            <w:tcW w:w="2689" w:type="dxa"/>
            <w:tcBorders>
              <w:top w:val="single" w:sz="4" w:space="0" w:color="auto"/>
              <w:left w:val="single" w:sz="4" w:space="0" w:color="auto"/>
              <w:bottom w:val="single" w:sz="4" w:space="0" w:color="auto"/>
              <w:right w:val="single" w:sz="4" w:space="0" w:color="auto"/>
            </w:tcBorders>
            <w:vAlign w:val="center"/>
          </w:tcPr>
          <w:p w14:paraId="3DD28BCA" w14:textId="77777777" w:rsidR="00184A8E" w:rsidRPr="00184A8E" w:rsidRDefault="00184A8E" w:rsidP="00184A8E">
            <w:pPr>
              <w:rPr>
                <w:rFonts w:ascii="Arial" w:hAnsi="Arial" w:cs="Arial"/>
                <w:sz w:val="18"/>
                <w:szCs w:val="18"/>
                <w:lang w:eastAsia="en-US"/>
              </w:rPr>
            </w:pPr>
            <w:r w:rsidRPr="00184A8E">
              <w:rPr>
                <w:rFonts w:ascii="Arial" w:eastAsia="Calibri" w:hAnsi="Arial" w:cs="Arial"/>
                <w:iCs/>
                <w:sz w:val="18"/>
                <w:szCs w:val="18"/>
              </w:rPr>
              <w:t xml:space="preserve">Utrošena sredstva za redovno održavanje javnih površina na kojima nije dopušten promet motornim vozilima </w:t>
            </w:r>
          </w:p>
        </w:tc>
        <w:tc>
          <w:tcPr>
            <w:tcW w:w="3402" w:type="dxa"/>
            <w:tcBorders>
              <w:top w:val="single" w:sz="4" w:space="0" w:color="auto"/>
              <w:left w:val="single" w:sz="4" w:space="0" w:color="auto"/>
              <w:bottom w:val="single" w:sz="4" w:space="0" w:color="auto"/>
              <w:right w:val="single" w:sz="4" w:space="0" w:color="auto"/>
            </w:tcBorders>
            <w:vAlign w:val="center"/>
          </w:tcPr>
          <w:p w14:paraId="51498798"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eastAsia="Calibri" w:hAnsi="Arial" w:cs="Arial"/>
                <w:sz w:val="18"/>
                <w:szCs w:val="18"/>
                <w:lang w:eastAsia="en-US"/>
              </w:rPr>
              <w:t xml:space="preserve">Udio utrošenih planiranih sredstava za </w:t>
            </w:r>
            <w:r w:rsidRPr="00184A8E">
              <w:rPr>
                <w:rFonts w:ascii="Arial" w:eastAsia="Calibri" w:hAnsi="Arial" w:cs="Arial"/>
                <w:iCs/>
                <w:sz w:val="18"/>
                <w:szCs w:val="18"/>
              </w:rPr>
              <w:t>održavanje javnih površina na kojima nije dopušten promet motornim vozilima (popravci, košenje, drugo)</w:t>
            </w:r>
          </w:p>
        </w:tc>
        <w:tc>
          <w:tcPr>
            <w:tcW w:w="992" w:type="dxa"/>
            <w:tcBorders>
              <w:top w:val="single" w:sz="4" w:space="0" w:color="auto"/>
              <w:left w:val="single" w:sz="4" w:space="0" w:color="auto"/>
              <w:bottom w:val="single" w:sz="4" w:space="0" w:color="auto"/>
              <w:right w:val="single" w:sz="4" w:space="0" w:color="auto"/>
            </w:tcBorders>
            <w:vAlign w:val="center"/>
          </w:tcPr>
          <w:p w14:paraId="0CE3A970"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14E7F1A7" w14:textId="77777777" w:rsidR="00184A8E" w:rsidRPr="00184A8E" w:rsidRDefault="00184A8E" w:rsidP="00184A8E">
            <w:pPr>
              <w:jc w:val="center"/>
              <w:rPr>
                <w:rFonts w:ascii="Arial" w:hAnsi="Arial" w:cs="Arial"/>
                <w:lang w:eastAsia="en-US"/>
              </w:rPr>
            </w:pPr>
            <w:r w:rsidRPr="00184A8E">
              <w:rPr>
                <w:rFonts w:ascii="Arial" w:hAnsi="Arial" w:cs="Arial"/>
                <w:lang w:eastAsia="en-US"/>
              </w:rPr>
              <w:t>Općina</w:t>
            </w:r>
          </w:p>
        </w:tc>
        <w:tc>
          <w:tcPr>
            <w:tcW w:w="1276" w:type="dxa"/>
            <w:tcBorders>
              <w:top w:val="single" w:sz="4" w:space="0" w:color="auto"/>
              <w:left w:val="single" w:sz="4" w:space="0" w:color="auto"/>
              <w:bottom w:val="single" w:sz="4" w:space="0" w:color="auto"/>
              <w:right w:val="single" w:sz="4" w:space="0" w:color="auto"/>
            </w:tcBorders>
            <w:vAlign w:val="center"/>
          </w:tcPr>
          <w:p w14:paraId="212E3D7B"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80%</w:t>
            </w:r>
          </w:p>
        </w:tc>
        <w:tc>
          <w:tcPr>
            <w:tcW w:w="1275" w:type="dxa"/>
            <w:tcBorders>
              <w:top w:val="single" w:sz="4" w:space="0" w:color="auto"/>
              <w:left w:val="single" w:sz="4" w:space="0" w:color="auto"/>
              <w:bottom w:val="single" w:sz="4" w:space="0" w:color="auto"/>
              <w:right w:val="single" w:sz="4" w:space="0" w:color="auto"/>
            </w:tcBorders>
            <w:vAlign w:val="center"/>
          </w:tcPr>
          <w:p w14:paraId="05F958CD"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028" w:type="dxa"/>
            <w:tcBorders>
              <w:top w:val="single" w:sz="4" w:space="0" w:color="000000"/>
              <w:left w:val="single" w:sz="4" w:space="0" w:color="000000"/>
              <w:bottom w:val="single" w:sz="4" w:space="0" w:color="000000"/>
              <w:right w:val="single" w:sz="4" w:space="0" w:color="000000"/>
            </w:tcBorders>
            <w:vAlign w:val="center"/>
          </w:tcPr>
          <w:p w14:paraId="49D05E07" w14:textId="00D89C5E" w:rsidR="00184A8E" w:rsidRPr="00184A8E" w:rsidRDefault="00A466ED" w:rsidP="00184A8E">
            <w:pPr>
              <w:jc w:val="center"/>
              <w:rPr>
                <w:rFonts w:ascii="Arial" w:eastAsia="Calibri" w:hAnsi="Arial" w:cs="Arial"/>
                <w:lang w:eastAsia="en-US"/>
              </w:rPr>
            </w:pPr>
            <w:r>
              <w:rPr>
                <w:rFonts w:ascii="Arial" w:eastAsia="Calibri" w:hAnsi="Arial" w:cs="Arial"/>
                <w:lang w:eastAsia="en-US"/>
              </w:rPr>
              <w:t>9</w:t>
            </w:r>
            <w:r w:rsidR="00184A8E" w:rsidRPr="00184A8E">
              <w:rPr>
                <w:rFonts w:ascii="Arial" w:eastAsia="Calibri" w:hAnsi="Arial" w:cs="Arial"/>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59B41D2A"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6DCFC04D"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w:t>
            </w:r>
          </w:p>
        </w:tc>
      </w:tr>
    </w:tbl>
    <w:p w14:paraId="6FEA370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074D2B3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Aktivnosti vezane uz opće ciljeve postignute su sukladno postocima izvršenja i u skladu s očekivanom dinamikom izvršenja rashoda. </w:t>
      </w:r>
      <w:r w:rsidRPr="00184A8E">
        <w:rPr>
          <w:rFonts w:ascii="Arial" w:eastAsia="Calibri" w:hAnsi="Arial" w:cs="Arial"/>
          <w:sz w:val="20"/>
          <w:szCs w:val="20"/>
        </w:rPr>
        <w:br w:type="page"/>
      </w:r>
    </w:p>
    <w:p w14:paraId="368058AA"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526" w:name="_Toc435014683"/>
      <w:bookmarkStart w:id="527" w:name="_Toc200628525"/>
      <w:bookmarkStart w:id="528" w:name="_Toc232981457"/>
      <w:r w:rsidRPr="00184A8E">
        <w:rPr>
          <w:rFonts w:ascii="Times New Roman" w:eastAsia="Calibri" w:hAnsi="Times New Roman" w:cs="Times New Roman"/>
          <w:b/>
          <w:sz w:val="24"/>
          <w:szCs w:val="20"/>
          <w:lang w:eastAsia="en-US"/>
        </w:rPr>
        <w:lastRenderedPageBreak/>
        <w:t xml:space="preserve">Program (2092): Gradnja </w:t>
      </w:r>
      <w:bookmarkEnd w:id="526"/>
      <w:r w:rsidRPr="00184A8E">
        <w:rPr>
          <w:rFonts w:ascii="Times New Roman" w:eastAsia="Calibri" w:hAnsi="Times New Roman" w:cs="Times New Roman"/>
          <w:b/>
          <w:sz w:val="24"/>
          <w:szCs w:val="20"/>
          <w:lang w:eastAsia="en-US"/>
        </w:rPr>
        <w:t>komunalne infrastrukture</w:t>
      </w:r>
      <w:bookmarkEnd w:id="527"/>
      <w:bookmarkEnd w:id="528"/>
    </w:p>
    <w:p w14:paraId="74D6509D" w14:textId="77777777" w:rsidR="00184A8E" w:rsidRPr="00184A8E" w:rsidRDefault="00184A8E" w:rsidP="00184A8E">
      <w:pPr>
        <w:spacing w:after="0" w:line="240" w:lineRule="auto"/>
        <w:rPr>
          <w:rFonts w:ascii="Arial" w:eastAsia="Calibri" w:hAnsi="Arial" w:cs="Arial"/>
          <w:sz w:val="20"/>
          <w:szCs w:val="2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413"/>
        <w:gridCol w:w="12729"/>
      </w:tblGrid>
      <w:tr w:rsidR="00184A8E" w:rsidRPr="00184A8E" w14:paraId="629036E4" w14:textId="77777777" w:rsidTr="00410A4B">
        <w:tc>
          <w:tcPr>
            <w:tcW w:w="1413" w:type="dxa"/>
          </w:tcPr>
          <w:p w14:paraId="5CDF9596" w14:textId="77777777" w:rsidR="00184A8E" w:rsidRPr="00184A8E" w:rsidRDefault="00184A8E" w:rsidP="00184A8E">
            <w:pPr>
              <w:spacing w:after="0" w:line="240" w:lineRule="auto"/>
              <w:rPr>
                <w:rFonts w:ascii="Arial" w:eastAsia="Calibri" w:hAnsi="Arial" w:cs="Arial"/>
                <w:caps/>
                <w:sz w:val="20"/>
                <w:szCs w:val="20"/>
              </w:rPr>
            </w:pPr>
            <w:r w:rsidRPr="00184A8E">
              <w:rPr>
                <w:rFonts w:ascii="Arial" w:eastAsia="Calibri" w:hAnsi="Arial" w:cs="Arial"/>
                <w:caps/>
                <w:sz w:val="20"/>
                <w:szCs w:val="20"/>
              </w:rPr>
              <w:t>Opis:</w:t>
            </w:r>
          </w:p>
        </w:tc>
        <w:tc>
          <w:tcPr>
            <w:tcW w:w="12729" w:type="dxa"/>
            <w:vAlign w:val="bottom"/>
          </w:tcPr>
          <w:p w14:paraId="087A93C1"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 xml:space="preserve">Ovim programom nastoji se poboljšati kvaliteta i razina komunalne infrastrukture na području Općine. </w:t>
            </w:r>
          </w:p>
          <w:p w14:paraId="61831B0B"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Izgradnja objekata i uređaja komunalne infrastrukture kao dio obavljanja komunalnih djelatnosti obveza je jedinica lokalnih samouprava koja proizlazi iz Zakona o komunalnom gospodarstvu.</w:t>
            </w:r>
          </w:p>
          <w:p w14:paraId="7DB15D38"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p>
          <w:p w14:paraId="18522096"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Predstavničko tijelo jedinice lokalne samouprave na temelju članka 67. Zakona o komunalnom gospodarstvu (Narodne novine 68/18, 118/18, 32/20, 145/24), za svaku kalendarsku godinu, u skladu s predvidivim sredstvima i izvorima financiranja donosi Program građenja komunalne infrastrukture. Također, program se donosi na temelju članaka 107. i 108. Zakona o cestama (Narodne novine 84/11, 22/13, 54/13, 148/13, 92/14, 110/19, 144/21, 114/22, 4/23, 133/23).</w:t>
            </w:r>
          </w:p>
          <w:p w14:paraId="21B8DC0E"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p>
          <w:p w14:paraId="4BDEDC74"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Programom se određuje građenje komunalne infrastrukture, nabava opreme kojima se osigurava unapređenje stanja u prostoru kao i potreba uređenja zemljišta s procjenom pojedinih troškova po objektima, te financijska sredstava potrebna za ostvarivanje programa, s naznakom izvora financiranja. Troškovi građenja komunalne infrastrukture su procijenjeni, a točan opseg i vrijednost radova utvrditi će se nakon ishođenja izvedbene tehničke dokumentacije i provedenog postupka javne nabave.</w:t>
            </w:r>
          </w:p>
          <w:p w14:paraId="3FBC200A"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p>
          <w:p w14:paraId="2F25E791"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ab/>
              <w:t>Program obuhvaća građenje komunalne infrastrukture, te nabavu opreme za:</w:t>
            </w:r>
          </w:p>
          <w:p w14:paraId="5C316789"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w:t>
            </w:r>
            <w:r w:rsidRPr="00184A8E">
              <w:rPr>
                <w:rFonts w:ascii="Arial" w:eastAsia="Calibri" w:hAnsi="Arial" w:cs="Arial"/>
                <w:sz w:val="20"/>
                <w:szCs w:val="20"/>
              </w:rPr>
              <w:tab/>
              <w:t xml:space="preserve">nerazvrstane ceste </w:t>
            </w:r>
          </w:p>
          <w:p w14:paraId="6E5DE602"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w:t>
            </w:r>
            <w:r w:rsidRPr="00184A8E">
              <w:rPr>
                <w:rFonts w:ascii="Arial" w:eastAsia="Calibri" w:hAnsi="Arial" w:cs="Arial"/>
                <w:sz w:val="20"/>
                <w:szCs w:val="20"/>
              </w:rPr>
              <w:tab/>
              <w:t>javne prometne površine na kojima nije dopušten promet motornih vozila</w:t>
            </w:r>
          </w:p>
          <w:p w14:paraId="234DC281"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w:t>
            </w:r>
            <w:r w:rsidRPr="00184A8E">
              <w:rPr>
                <w:rFonts w:ascii="Arial" w:eastAsia="Calibri" w:hAnsi="Arial" w:cs="Arial"/>
                <w:sz w:val="20"/>
                <w:szCs w:val="20"/>
              </w:rPr>
              <w:tab/>
              <w:t>javna parkirališta</w:t>
            </w:r>
          </w:p>
          <w:p w14:paraId="792B985D"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w:t>
            </w:r>
            <w:r w:rsidRPr="00184A8E">
              <w:rPr>
                <w:rFonts w:ascii="Arial" w:eastAsia="Calibri" w:hAnsi="Arial" w:cs="Arial"/>
                <w:sz w:val="20"/>
                <w:szCs w:val="20"/>
              </w:rPr>
              <w:tab/>
              <w:t>javne zelene površine</w:t>
            </w:r>
          </w:p>
          <w:p w14:paraId="18812F42"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w:t>
            </w:r>
            <w:r w:rsidRPr="00184A8E">
              <w:rPr>
                <w:rFonts w:ascii="Arial" w:eastAsia="Calibri" w:hAnsi="Arial" w:cs="Arial"/>
                <w:sz w:val="20"/>
                <w:szCs w:val="20"/>
              </w:rPr>
              <w:tab/>
              <w:t>građevine i uređaji javne namjene</w:t>
            </w:r>
          </w:p>
          <w:p w14:paraId="2EFEBA0A"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w:t>
            </w:r>
            <w:r w:rsidRPr="00184A8E">
              <w:rPr>
                <w:rFonts w:ascii="Arial" w:eastAsia="Calibri" w:hAnsi="Arial" w:cs="Arial"/>
                <w:sz w:val="20"/>
                <w:szCs w:val="20"/>
              </w:rPr>
              <w:tab/>
              <w:t>javnu rasvjetu</w:t>
            </w:r>
          </w:p>
          <w:p w14:paraId="7D33DAE9"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w:t>
            </w:r>
            <w:r w:rsidRPr="00184A8E">
              <w:rPr>
                <w:rFonts w:ascii="Arial" w:eastAsia="Calibri" w:hAnsi="Arial" w:cs="Arial"/>
                <w:sz w:val="20"/>
                <w:szCs w:val="20"/>
              </w:rPr>
              <w:tab/>
              <w:t>groblja.</w:t>
            </w:r>
          </w:p>
          <w:p w14:paraId="49620F36"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p>
          <w:p w14:paraId="51EE5A1E"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ab/>
              <w:t>U smislu Zakona, građenje komunalne infrastrukture obuhvaća sljedeće radnje i radove:</w:t>
            </w:r>
          </w:p>
          <w:p w14:paraId="40040006"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w:t>
            </w:r>
            <w:r w:rsidRPr="00184A8E">
              <w:rPr>
                <w:rFonts w:ascii="Arial" w:eastAsia="Calibri" w:hAnsi="Arial" w:cs="Arial"/>
                <w:sz w:val="20"/>
                <w:szCs w:val="20"/>
              </w:rPr>
              <w:tab/>
              <w:t>rješavanje imovinsko pravnih odnosa na zemljištu za građenje komunalne infrastrukture</w:t>
            </w:r>
          </w:p>
          <w:p w14:paraId="7481B8D3"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w:t>
            </w:r>
            <w:r w:rsidRPr="00184A8E">
              <w:rPr>
                <w:rFonts w:ascii="Arial" w:eastAsia="Calibri" w:hAnsi="Arial" w:cs="Arial"/>
                <w:sz w:val="20"/>
                <w:szCs w:val="20"/>
              </w:rPr>
              <w:tab/>
              <w:t>uklanjanje i /ili izmještanje postojećih građevina i trajnih nasada na zemljištu za građenje komunalne infrastrukture i radove na sanaciji tog zemljišta</w:t>
            </w:r>
          </w:p>
          <w:p w14:paraId="2F9C5DE8"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w:t>
            </w:r>
            <w:r w:rsidRPr="00184A8E">
              <w:rPr>
                <w:rFonts w:ascii="Arial" w:eastAsia="Calibri" w:hAnsi="Arial" w:cs="Arial"/>
                <w:sz w:val="20"/>
                <w:szCs w:val="20"/>
              </w:rPr>
              <w:tab/>
              <w:t>pribavljanje projekata i druge dokumentacije potrebne za izdavanje dozvola i drugih akata za građenje i uporabu komunalne infrastrukture</w:t>
            </w:r>
          </w:p>
          <w:p w14:paraId="1CCB4C73"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w:t>
            </w:r>
            <w:r w:rsidRPr="00184A8E">
              <w:rPr>
                <w:rFonts w:ascii="Arial" w:eastAsia="Calibri" w:hAnsi="Arial" w:cs="Arial"/>
                <w:sz w:val="20"/>
                <w:szCs w:val="20"/>
              </w:rPr>
              <w:tab/>
              <w:t xml:space="preserve">građenje komunalne infrastrukture u smislu Zakona kojim se uređuje gradnja i provedbe stručnog nadzora </w:t>
            </w:r>
          </w:p>
          <w:p w14:paraId="3E408FF9"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w:t>
            </w:r>
            <w:r w:rsidRPr="00184A8E">
              <w:rPr>
                <w:rFonts w:ascii="Arial" w:eastAsia="Calibri" w:hAnsi="Arial" w:cs="Arial"/>
                <w:sz w:val="20"/>
                <w:szCs w:val="20"/>
              </w:rPr>
              <w:tab/>
              <w:t>evidentiranje u katastru i zemljišnim knjigama.</w:t>
            </w:r>
          </w:p>
          <w:p w14:paraId="4DE02623"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p>
          <w:p w14:paraId="2B23EF06"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 xml:space="preserve">Program gradnje komunalne infrastrukture obuhvaća aktivnosti proširenja javne rasvjete, pripremu tehničke dokumentacije za buduće investicije te kapitalne projekte vezane za izgradnju i rekonstrukciju prometnica i nogostupa, javnih površina, tržnica i ostale infrastrukture. </w:t>
            </w:r>
          </w:p>
          <w:p w14:paraId="1C9578A5"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p>
          <w:p w14:paraId="2D422603"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ab/>
              <w:t>Člankom 33. točkama 13. i 14. Zakona o održivom gospodarenju otpadom (Narodne novine 94/13, 73/17, 14/19, 98/19 – na snazi do 31.7.2021.) bilo je definirano da je Program gradnje građevina za gospodarenje komunalnim otpadom sastavni dio Programa gradnje objekata i uređaja komunalne infrastrukture te da sadrži opis poslova s procjenom troškova potrebnih za ostvarenje projekta gradnje građevina za gospodarenje otpadom te iskaz financijskih sredstava za ostvarenje programa s naznakom izvora financiranja.</w:t>
            </w:r>
          </w:p>
          <w:p w14:paraId="5DB91349"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p>
          <w:p w14:paraId="2025BB54"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Novim Zakonom o gospodarenju otpadom (NN 84/21, 142/23) koji je na snazi od 31.7.2021. donošenje Programa gradnje građevina za gospodarenje komunalnim otpadom kao i izvješća o izvršenju programa je na snazi dvije godine od stupanja na snagu novog Zakona ukoliko je uvedena obveza plaćanja naknade za gradnju građevina za gospodarenje komunalnim otpadom. Općina nije uvela obvezu plaćanja naknade za gradnju građevina za gospodarenje komunalnim otpadom.</w:t>
            </w:r>
          </w:p>
        </w:tc>
      </w:tr>
      <w:tr w:rsidR="00184A8E" w:rsidRPr="00184A8E" w14:paraId="1672E556" w14:textId="77777777" w:rsidTr="00410A4B">
        <w:tc>
          <w:tcPr>
            <w:tcW w:w="1413" w:type="dxa"/>
          </w:tcPr>
          <w:p w14:paraId="5196BD91" w14:textId="77777777" w:rsidR="00184A8E" w:rsidRPr="00184A8E" w:rsidRDefault="00184A8E" w:rsidP="00184A8E">
            <w:pPr>
              <w:spacing w:after="0" w:line="240" w:lineRule="auto"/>
              <w:rPr>
                <w:rFonts w:ascii="Arial" w:eastAsia="Calibri" w:hAnsi="Arial" w:cs="Arial"/>
                <w:caps/>
                <w:sz w:val="20"/>
                <w:szCs w:val="20"/>
              </w:rPr>
            </w:pPr>
            <w:r w:rsidRPr="00184A8E">
              <w:rPr>
                <w:rFonts w:ascii="Arial" w:eastAsia="Calibri" w:hAnsi="Arial" w:cs="Arial"/>
                <w:caps/>
                <w:sz w:val="20"/>
                <w:szCs w:val="20"/>
              </w:rPr>
              <w:lastRenderedPageBreak/>
              <w:t>Opći cilj:</w:t>
            </w:r>
          </w:p>
        </w:tc>
        <w:tc>
          <w:tcPr>
            <w:tcW w:w="12729" w:type="dxa"/>
            <w:vAlign w:val="bottom"/>
          </w:tcPr>
          <w:p w14:paraId="1EF33D5E" w14:textId="77777777" w:rsidR="00184A8E" w:rsidRPr="00184A8E" w:rsidRDefault="00184A8E" w:rsidP="00184A8E">
            <w:pPr>
              <w:spacing w:after="0" w:line="240" w:lineRule="auto"/>
              <w:rPr>
                <w:rFonts w:ascii="Arial" w:eastAsia="Calibri" w:hAnsi="Arial" w:cs="Arial"/>
                <w:sz w:val="20"/>
                <w:szCs w:val="20"/>
              </w:rPr>
            </w:pPr>
            <w:r w:rsidRPr="00184A8E">
              <w:rPr>
                <w:rFonts w:ascii="Arial" w:eastAsia="Calibri" w:hAnsi="Arial" w:cs="Arial"/>
                <w:sz w:val="20"/>
                <w:szCs w:val="20"/>
              </w:rPr>
              <w:t>Unaprijediti zaštitu okoliša, prostornog uređenja i komunalne djelatnosti.</w:t>
            </w:r>
          </w:p>
          <w:p w14:paraId="748602E1" w14:textId="77777777" w:rsidR="00184A8E" w:rsidRPr="00184A8E" w:rsidRDefault="00184A8E" w:rsidP="00184A8E">
            <w:pPr>
              <w:spacing w:after="0" w:line="240" w:lineRule="auto"/>
              <w:rPr>
                <w:rFonts w:ascii="Arial" w:eastAsia="Times New Roman" w:hAnsi="Arial" w:cs="Arial"/>
                <w:sz w:val="20"/>
                <w:szCs w:val="20"/>
                <w:lang w:eastAsia="en-US"/>
              </w:rPr>
            </w:pPr>
            <w:r w:rsidRPr="00184A8E">
              <w:rPr>
                <w:rFonts w:ascii="Arial" w:eastAsia="Times New Roman" w:hAnsi="Arial" w:cs="Arial"/>
                <w:sz w:val="20"/>
                <w:szCs w:val="20"/>
                <w:lang w:eastAsia="en-US"/>
              </w:rPr>
              <w:t xml:space="preserve">Najvažniji POSEBNI CILJEVI je osigurati ravnomjerni nastavak izgradnje komunalne infrastrukture i osigurati preduvjete za razvoj i izgradnju novih gospodarskih objekta. Težište aktivnosti biti će kroz izgradnju cesta i drugih komunikacija. </w:t>
            </w:r>
          </w:p>
          <w:p w14:paraId="542979BB" w14:textId="77777777" w:rsidR="00184A8E" w:rsidRPr="00184A8E" w:rsidRDefault="00184A8E" w:rsidP="00184A8E">
            <w:pPr>
              <w:spacing w:after="0" w:line="240" w:lineRule="auto"/>
              <w:rPr>
                <w:rFonts w:ascii="Arial" w:eastAsia="Times New Roman" w:hAnsi="Arial" w:cs="Arial"/>
                <w:sz w:val="20"/>
                <w:szCs w:val="20"/>
                <w:lang w:eastAsia="en-US"/>
              </w:rPr>
            </w:pPr>
          </w:p>
          <w:p w14:paraId="562FEED9" w14:textId="77777777" w:rsidR="00184A8E" w:rsidRPr="00184A8E" w:rsidRDefault="00184A8E" w:rsidP="00184A8E">
            <w:pPr>
              <w:spacing w:after="0" w:line="240" w:lineRule="auto"/>
              <w:rPr>
                <w:rFonts w:ascii="Arial" w:eastAsia="Times New Roman" w:hAnsi="Arial" w:cs="Arial"/>
                <w:sz w:val="20"/>
                <w:szCs w:val="20"/>
                <w:lang w:eastAsia="en-US"/>
              </w:rPr>
            </w:pPr>
            <w:r w:rsidRPr="00184A8E">
              <w:rPr>
                <w:rFonts w:ascii="Arial" w:eastAsia="Times New Roman" w:hAnsi="Arial" w:cs="Arial"/>
                <w:sz w:val="20"/>
                <w:szCs w:val="20"/>
                <w:lang w:eastAsia="en-US"/>
              </w:rPr>
              <w:t xml:space="preserve">U narednom razdoblju indicija </w:t>
            </w:r>
            <w:r w:rsidRPr="00184A8E">
              <w:rPr>
                <w:rFonts w:ascii="Arial" w:eastAsia="Times New Roman" w:hAnsi="Arial" w:cs="Arial"/>
                <w:b/>
                <w:sz w:val="20"/>
                <w:szCs w:val="20"/>
                <w:lang w:eastAsia="en-US"/>
              </w:rPr>
              <w:t>uređenja javnih površina</w:t>
            </w:r>
            <w:r w:rsidRPr="00184A8E">
              <w:rPr>
                <w:rFonts w:ascii="Arial" w:eastAsia="Times New Roman" w:hAnsi="Arial" w:cs="Arial"/>
                <w:sz w:val="20"/>
                <w:szCs w:val="20"/>
                <w:lang w:eastAsia="en-US"/>
              </w:rPr>
              <w:t xml:space="preserve"> je povećanja novih javnih površina kao uređenih zelenih površina. Nadalje, kroz programe održavanje i izgradnje komunalne infrastrukture biti će potrebno poticati i ulagati u projekte koji će gospodarstvu Općine Konavle biti kvalitetna dopuna turističke ponude.</w:t>
            </w:r>
          </w:p>
          <w:p w14:paraId="07EAD49A" w14:textId="77777777" w:rsidR="00184A8E" w:rsidRPr="00184A8E" w:rsidRDefault="00184A8E" w:rsidP="00184A8E">
            <w:pPr>
              <w:spacing w:after="0" w:line="240" w:lineRule="auto"/>
              <w:rPr>
                <w:rFonts w:ascii="Arial" w:eastAsia="Calibri" w:hAnsi="Arial" w:cs="Arial"/>
                <w:sz w:val="20"/>
                <w:szCs w:val="20"/>
              </w:rPr>
            </w:pPr>
          </w:p>
          <w:p w14:paraId="56EABC49" w14:textId="77777777" w:rsidR="00184A8E" w:rsidRPr="00184A8E" w:rsidRDefault="00184A8E" w:rsidP="00184A8E">
            <w:pPr>
              <w:spacing w:after="0" w:line="240" w:lineRule="auto"/>
              <w:rPr>
                <w:rFonts w:ascii="Arial" w:eastAsia="Times New Roman" w:hAnsi="Arial" w:cs="Arial"/>
                <w:sz w:val="20"/>
                <w:szCs w:val="20"/>
                <w:lang w:eastAsia="en-US"/>
              </w:rPr>
            </w:pPr>
            <w:r w:rsidRPr="00184A8E">
              <w:rPr>
                <w:rFonts w:ascii="Arial" w:eastAsia="Calibri" w:hAnsi="Arial" w:cs="Arial"/>
                <w:sz w:val="20"/>
                <w:szCs w:val="20"/>
              </w:rPr>
              <w:t xml:space="preserve">Cilj aktivnosti građenja </w:t>
            </w:r>
            <w:r w:rsidRPr="00184A8E">
              <w:rPr>
                <w:rFonts w:ascii="Arial" w:eastAsia="Calibri" w:hAnsi="Arial" w:cs="Arial"/>
                <w:b/>
                <w:sz w:val="20"/>
                <w:szCs w:val="20"/>
              </w:rPr>
              <w:t>nerazvrstanih cesta</w:t>
            </w:r>
            <w:r w:rsidRPr="00184A8E">
              <w:rPr>
                <w:rFonts w:ascii="Arial" w:eastAsia="Calibri" w:hAnsi="Arial" w:cs="Arial"/>
                <w:sz w:val="20"/>
                <w:szCs w:val="20"/>
              </w:rPr>
              <w:t xml:space="preserve"> je kontinuirano unapređenje prometnica na području Općine Konavle, bolja povezanost naselja, osiguranje boljih uvjeta za eventualna proširenja i rekonstrukcije, sa svrhom osiguravanja sigurnosti sudionika u prometu, te promoviranja Općine Konavle kao turističke destinacije. Kroz aktivnosti ovog programa je obuhvaćen otkup zemljišta, uređenje i rekonstrukcije cesta, projektna dokumentacija, asfaltiranje. </w:t>
            </w:r>
          </w:p>
          <w:p w14:paraId="06461A09" w14:textId="77777777" w:rsidR="00184A8E" w:rsidRPr="00184A8E" w:rsidRDefault="00184A8E" w:rsidP="00184A8E">
            <w:pPr>
              <w:spacing w:after="0" w:line="240" w:lineRule="auto"/>
              <w:rPr>
                <w:rFonts w:ascii="Arial" w:eastAsia="Times New Roman" w:hAnsi="Arial" w:cs="Arial"/>
                <w:sz w:val="20"/>
                <w:szCs w:val="20"/>
                <w:lang w:eastAsia="en-US"/>
              </w:rPr>
            </w:pPr>
          </w:p>
          <w:p w14:paraId="4A6172C2"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sz w:val="20"/>
                <w:szCs w:val="20"/>
              </w:rPr>
              <w:t xml:space="preserve">Cilj aktivnosti proširenja </w:t>
            </w:r>
            <w:r w:rsidRPr="00184A8E">
              <w:rPr>
                <w:rFonts w:ascii="Arial" w:eastAsia="Calibri" w:hAnsi="Arial" w:cs="Arial"/>
                <w:b/>
                <w:sz w:val="20"/>
                <w:szCs w:val="20"/>
              </w:rPr>
              <w:t>javne rasvjete</w:t>
            </w:r>
            <w:r w:rsidRPr="00184A8E">
              <w:rPr>
                <w:rFonts w:ascii="Arial" w:eastAsia="Calibri" w:hAnsi="Arial" w:cs="Arial"/>
                <w:sz w:val="20"/>
                <w:szCs w:val="20"/>
              </w:rPr>
              <w:t xml:space="preserve"> je postaviti rasvjetna tijela na cijelo područje Općine, odnosno održavati i unapređivati postojeću javnu rasvjetu adekvatnim uređajima radi smanjenja troškova, povećanja energetske učinkovitosti te smanjenja onečišćenja okoliša štetnim emisijama CO2. Sva oprema koja se ugrađuje u skladu je s važećim normama unutar EU, pozitivnim propisima i standardima, a poglavito glede svjetlosnog ekološkog zagađenja. Stoga, u narednom razdoblju namjera je modernizirati postojeću javnu rasvjetu te osigurati zadovoljavajući vizualni identitet povijesne jezgre Općine adekvatnom ambijentalnom rasvjetom.</w:t>
            </w:r>
          </w:p>
          <w:p w14:paraId="177C4BC1" w14:textId="77777777" w:rsidR="00184A8E" w:rsidRPr="00184A8E" w:rsidRDefault="00184A8E" w:rsidP="00184A8E">
            <w:pPr>
              <w:spacing w:after="0" w:line="240" w:lineRule="auto"/>
              <w:rPr>
                <w:rFonts w:ascii="Arial" w:eastAsia="Calibri" w:hAnsi="Arial" w:cs="Arial"/>
                <w:sz w:val="20"/>
                <w:szCs w:val="20"/>
              </w:rPr>
            </w:pPr>
            <w:r w:rsidRPr="00184A8E">
              <w:rPr>
                <w:rFonts w:ascii="Arial" w:eastAsia="Times New Roman" w:hAnsi="Arial" w:cs="Arial"/>
                <w:sz w:val="20"/>
                <w:szCs w:val="20"/>
                <w:lang w:eastAsia="en-US"/>
              </w:rPr>
              <w:t xml:space="preserve">U cilju održavanja i unapređenja </w:t>
            </w:r>
            <w:r w:rsidRPr="00184A8E">
              <w:rPr>
                <w:rFonts w:ascii="Arial" w:eastAsia="Times New Roman" w:hAnsi="Arial" w:cs="Arial"/>
                <w:b/>
                <w:sz w:val="20"/>
                <w:szCs w:val="20"/>
                <w:lang w:eastAsia="en-US"/>
              </w:rPr>
              <w:t>javne rasvjete</w:t>
            </w:r>
            <w:r w:rsidRPr="00184A8E">
              <w:rPr>
                <w:rFonts w:ascii="Arial" w:eastAsia="Times New Roman" w:hAnsi="Arial" w:cs="Arial"/>
                <w:sz w:val="20"/>
                <w:szCs w:val="20"/>
                <w:lang w:eastAsia="en-US"/>
              </w:rPr>
              <w:t xml:space="preserve"> na području Općine planira se kontinuirano postavljanje rasvjetnih tijela, kako uz obiteljske kuće, tako i proširenja uz nerazvrstane, županijske i državne ceste na području Općine. </w:t>
            </w:r>
          </w:p>
        </w:tc>
      </w:tr>
      <w:tr w:rsidR="00184A8E" w:rsidRPr="00184A8E" w14:paraId="379ABECD" w14:textId="77777777" w:rsidTr="00410A4B">
        <w:tc>
          <w:tcPr>
            <w:tcW w:w="1413" w:type="dxa"/>
          </w:tcPr>
          <w:p w14:paraId="50D4CCE3" w14:textId="77777777" w:rsidR="00184A8E" w:rsidRPr="00184A8E" w:rsidRDefault="00184A8E" w:rsidP="00184A8E">
            <w:pPr>
              <w:spacing w:after="0" w:line="240" w:lineRule="auto"/>
              <w:rPr>
                <w:rFonts w:ascii="Arial" w:eastAsia="Calibri" w:hAnsi="Arial" w:cs="Arial"/>
                <w:sz w:val="16"/>
                <w:szCs w:val="16"/>
              </w:rPr>
            </w:pPr>
            <w:r w:rsidRPr="00184A8E">
              <w:rPr>
                <w:rFonts w:ascii="Arial" w:eastAsia="Calibri" w:hAnsi="Arial" w:cs="Arial"/>
                <w:sz w:val="16"/>
                <w:szCs w:val="16"/>
              </w:rPr>
              <w:t>ZAKONSKE I DRUGE PRAVNE OSNOVE PROGRAMA</w:t>
            </w:r>
          </w:p>
        </w:tc>
        <w:tc>
          <w:tcPr>
            <w:tcW w:w="12729" w:type="dxa"/>
          </w:tcPr>
          <w:p w14:paraId="0EC50698"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Zakon o lokalnoj i područnoj (regionalnoj) samoupravi (NN 33/01,60/01,129/05, 109/07,125/08, 36/09, 150/11, 144/12, 19/13, 137/15, 123/17, 98/19, 144/20), Zakon o komunalnom gospodarstvu (Narodne novine 68/18, 110/18, 32/20, 145/24), Zakon o gospodarenju otpadom (NN 84/21, 142/23), Statut Općine i drugi akti</w:t>
            </w:r>
          </w:p>
        </w:tc>
      </w:tr>
      <w:tr w:rsidR="00184A8E" w:rsidRPr="00184A8E" w14:paraId="3AE70CED" w14:textId="77777777" w:rsidTr="00410A4B">
        <w:tc>
          <w:tcPr>
            <w:tcW w:w="1413" w:type="dxa"/>
            <w:tcBorders>
              <w:top w:val="dotted" w:sz="4" w:space="0" w:color="auto"/>
              <w:left w:val="dotted" w:sz="4" w:space="0" w:color="auto"/>
              <w:bottom w:val="dotted" w:sz="4" w:space="0" w:color="auto"/>
              <w:right w:val="dotted" w:sz="4" w:space="0" w:color="auto"/>
            </w:tcBorders>
          </w:tcPr>
          <w:p w14:paraId="4696802F" w14:textId="77777777" w:rsidR="00184A8E" w:rsidRPr="00184A8E" w:rsidRDefault="00184A8E" w:rsidP="00184A8E">
            <w:pPr>
              <w:spacing w:after="0" w:line="240" w:lineRule="auto"/>
              <w:rPr>
                <w:rFonts w:ascii="Arial" w:eastAsia="Calibri" w:hAnsi="Arial" w:cs="Arial"/>
                <w:caps/>
                <w:sz w:val="16"/>
                <w:szCs w:val="16"/>
              </w:rPr>
            </w:pPr>
            <w:r w:rsidRPr="00184A8E">
              <w:rPr>
                <w:rFonts w:ascii="Arial" w:eastAsia="Calibri" w:hAnsi="Arial" w:cs="Arial"/>
                <w:caps/>
                <w:sz w:val="16"/>
                <w:szCs w:val="16"/>
              </w:rPr>
              <w:t>POSEBNI CILJEVI</w:t>
            </w:r>
          </w:p>
        </w:tc>
        <w:tc>
          <w:tcPr>
            <w:tcW w:w="12729" w:type="dxa"/>
            <w:tcBorders>
              <w:top w:val="dotted" w:sz="4" w:space="0" w:color="auto"/>
              <w:left w:val="dotted" w:sz="4" w:space="0" w:color="auto"/>
              <w:bottom w:val="dotted" w:sz="4" w:space="0" w:color="auto"/>
              <w:right w:val="dotted" w:sz="4" w:space="0" w:color="auto"/>
            </w:tcBorders>
            <w:vAlign w:val="bottom"/>
          </w:tcPr>
          <w:p w14:paraId="16C07061"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Podići razinu kvalitete komunalne infrastrukture.</w:t>
            </w:r>
          </w:p>
          <w:p w14:paraId="6FA402E4"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 - Trajno i kvalitetno obavljanje komunalne djelatnosti po načelima održivog razvoja.</w:t>
            </w:r>
          </w:p>
          <w:p w14:paraId="020FD3E0"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Najvažniji POSEBNI CILJEVI je osigurati ravnomjerni nastavak izgradnje komunalne infrastrukture i osigurati preduvjete za razvoj i izgradnju novih gospodarskih objekta. Težište aktivnosti biti će kroz izgradnju cesta i drugih komunikacija. </w:t>
            </w:r>
          </w:p>
          <w:p w14:paraId="343FF358" w14:textId="77777777" w:rsidR="00184A8E" w:rsidRPr="00184A8E" w:rsidRDefault="00184A8E" w:rsidP="00184A8E">
            <w:pPr>
              <w:spacing w:after="0" w:line="240" w:lineRule="auto"/>
              <w:jc w:val="both"/>
              <w:rPr>
                <w:rFonts w:ascii="Arial" w:eastAsia="Calibri" w:hAnsi="Arial" w:cs="Arial"/>
                <w:sz w:val="20"/>
                <w:szCs w:val="20"/>
              </w:rPr>
            </w:pPr>
          </w:p>
          <w:p w14:paraId="14674EF1"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POSEBNI CILJ je poboljšati prometni režim i mrežu u skladu s potrebama stanovništva, povećati sigurnost i protočnost prometa, ukloniti uočene nedostatke u vertikalnoj i horizontalnoj signalizaciji, pripremati projektnu dokumentaciju za buduće investicije, razviti učinkovitu mrežu javne rasvjete, izgrađivati komunikacijsku infrastrukturu te uređivati javne površine – plaže, šetnice, i sl.</w:t>
            </w:r>
          </w:p>
          <w:p w14:paraId="5A4C211B"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Podizanje standarda prometnica, te života mještana i sigurnosti u prometu.</w:t>
            </w:r>
          </w:p>
          <w:p w14:paraId="359EF36F"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Poboljšanje prometne infrastrukture i povećan je sigurnosti na cestama.</w:t>
            </w:r>
          </w:p>
          <w:p w14:paraId="2DEDAF02"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Proširenje javne rasvjete prema zahtjevima mještana i stvarnim potrebama.</w:t>
            </w:r>
          </w:p>
          <w:p w14:paraId="125FB6B9"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Povećanje kvadrature uređenja javnih površina (dječja i sportska igrališta, površine za rekreaciju i odmor).</w:t>
            </w:r>
          </w:p>
          <w:p w14:paraId="7CF18642"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lastRenderedPageBreak/>
              <w:t>Osiguravanje novih sadržaja za djecu i stanovništvo Općine, unapređenje kvalitete života.</w:t>
            </w:r>
          </w:p>
          <w:p w14:paraId="58B894E0"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Hortikulturno i ambijentalno uređenje trgova, parkova, šetnica.</w:t>
            </w:r>
          </w:p>
          <w:p w14:paraId="3C343BCD"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Stvaranje optimalnih uvjeta za korištenje groblja.</w:t>
            </w:r>
          </w:p>
        </w:tc>
      </w:tr>
    </w:tbl>
    <w:p w14:paraId="4CE7B7B0" w14:textId="77777777" w:rsidR="00184A8E" w:rsidRPr="00184A8E" w:rsidRDefault="00184A8E" w:rsidP="00184A8E">
      <w:pPr>
        <w:spacing w:after="0" w:line="240" w:lineRule="auto"/>
        <w:jc w:val="both"/>
        <w:rPr>
          <w:rFonts w:ascii="Arial" w:eastAsia="Calibri" w:hAnsi="Arial" w:cs="Arial"/>
          <w:sz w:val="20"/>
          <w:szCs w:val="20"/>
        </w:rPr>
      </w:pPr>
    </w:p>
    <w:p w14:paraId="707EC1BD"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49DB5197" w14:textId="77777777" w:rsidR="00184A8E" w:rsidRPr="00184A8E" w:rsidRDefault="00184A8E" w:rsidP="00184A8E">
      <w:pPr>
        <w:spacing w:after="0" w:line="240" w:lineRule="auto"/>
        <w:rPr>
          <w:rFonts w:ascii="Arial" w:eastAsia="Calibri" w:hAnsi="Arial" w:cs="Arial"/>
          <w:sz w:val="20"/>
          <w:szCs w:val="20"/>
        </w:rPr>
      </w:pPr>
    </w:p>
    <w:p w14:paraId="7DD5F747" w14:textId="7A42FFDE"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147C4E70" w14:textId="77777777" w:rsidR="00184A8E" w:rsidRPr="00184A8E" w:rsidRDefault="00184A8E" w:rsidP="00184A8E">
      <w:pPr>
        <w:spacing w:after="0" w:line="240" w:lineRule="auto"/>
        <w:jc w:val="both"/>
        <w:rPr>
          <w:rFonts w:ascii="Arial" w:eastAsia="Calibri" w:hAnsi="Arial" w:cs="Arial"/>
          <w:sz w:val="20"/>
          <w:szCs w:val="20"/>
        </w:rPr>
      </w:pPr>
    </w:p>
    <w:p w14:paraId="7FD9EB09" w14:textId="66872C0C" w:rsidR="00184A8E" w:rsidRPr="00184A8E" w:rsidRDefault="00A466ED" w:rsidP="00184A8E">
      <w:pPr>
        <w:spacing w:after="0" w:line="240" w:lineRule="auto"/>
        <w:jc w:val="both"/>
        <w:rPr>
          <w:rFonts w:ascii="Arial" w:eastAsia="Calibri" w:hAnsi="Arial" w:cs="Arial"/>
          <w:sz w:val="20"/>
          <w:szCs w:val="20"/>
        </w:rPr>
      </w:pPr>
      <w:r w:rsidRPr="00A466ED">
        <w:rPr>
          <w:noProof/>
        </w:rPr>
        <w:drawing>
          <wp:inline distT="0" distB="0" distL="0" distR="0" wp14:anchorId="0182DF15" wp14:editId="684B5F1C">
            <wp:extent cx="9251950" cy="4721860"/>
            <wp:effectExtent l="0" t="0" r="6350" b="2540"/>
            <wp:docPr id="1461039022"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9251950" cy="4721860"/>
                    </a:xfrm>
                    <a:prstGeom prst="rect">
                      <a:avLst/>
                    </a:prstGeom>
                    <a:noFill/>
                    <a:ln>
                      <a:noFill/>
                    </a:ln>
                  </pic:spPr>
                </pic:pic>
              </a:graphicData>
            </a:graphic>
          </wp:inline>
        </w:drawing>
      </w:r>
    </w:p>
    <w:p w14:paraId="661ABBFE" w14:textId="3A8DFDD4" w:rsidR="00184A8E" w:rsidRPr="00184A8E" w:rsidRDefault="00A466ED" w:rsidP="00184A8E">
      <w:pPr>
        <w:spacing w:after="0" w:line="240" w:lineRule="auto"/>
        <w:jc w:val="both"/>
        <w:rPr>
          <w:rFonts w:ascii="Arial" w:eastAsia="Calibri" w:hAnsi="Arial" w:cs="Arial"/>
          <w:sz w:val="20"/>
          <w:szCs w:val="20"/>
        </w:rPr>
      </w:pPr>
      <w:r w:rsidRPr="00A466ED">
        <w:rPr>
          <w:noProof/>
        </w:rPr>
        <w:lastRenderedPageBreak/>
        <w:drawing>
          <wp:inline distT="0" distB="0" distL="0" distR="0" wp14:anchorId="7CD08B1D" wp14:editId="51ED7097">
            <wp:extent cx="9251950" cy="4538345"/>
            <wp:effectExtent l="0" t="0" r="6350" b="0"/>
            <wp:docPr id="1259512329"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9251950" cy="4538345"/>
                    </a:xfrm>
                    <a:prstGeom prst="rect">
                      <a:avLst/>
                    </a:prstGeom>
                    <a:noFill/>
                    <a:ln>
                      <a:noFill/>
                    </a:ln>
                  </pic:spPr>
                </pic:pic>
              </a:graphicData>
            </a:graphic>
          </wp:inline>
        </w:drawing>
      </w:r>
    </w:p>
    <w:p w14:paraId="76DA703C" w14:textId="77777777" w:rsidR="00184A8E" w:rsidRPr="00184A8E" w:rsidRDefault="00184A8E">
      <w:pPr>
        <w:numPr>
          <w:ilvl w:val="0"/>
          <w:numId w:val="6"/>
        </w:numPr>
        <w:spacing w:after="0" w:line="240" w:lineRule="auto"/>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 xml:space="preserve">Nazivi aktivnosti su prilagođeni Zakonu o komunalnom gospodarstvu (Narodne novine 68/18). Dio troškova je premješten u nove aktivnosti radi detaljnijeg opisa pojedinih komunalnih djelatnosti u novom Zakonu, a dio aktivnosti je premješten u nove programe kao što je 2098 Program gospodarenja otpadom (djelatnosti sakupljanja i odvoza komunalnog otpada, sprečavanja i sanacije nepropisnih odlagališta otpada i sl.), 2099 Program sanitarno veterinarskih aktivnosti i zaštita životinja. </w:t>
      </w:r>
    </w:p>
    <w:p w14:paraId="57E5364E" w14:textId="77777777" w:rsidR="00184A8E" w:rsidRPr="00184A8E" w:rsidRDefault="00184A8E" w:rsidP="00184A8E">
      <w:pPr>
        <w:shd w:val="clear" w:color="auto" w:fill="FFFFFF"/>
        <w:spacing w:after="0" w:line="240" w:lineRule="auto"/>
        <w:jc w:val="right"/>
        <w:rPr>
          <w:rFonts w:ascii="Arial" w:eastAsia="Times New Roman" w:hAnsi="Arial" w:cs="Arial"/>
          <w:b/>
          <w:sz w:val="20"/>
          <w:szCs w:val="20"/>
          <w:lang w:eastAsia="en-US"/>
        </w:rPr>
      </w:pPr>
    </w:p>
    <w:p w14:paraId="0F61221C"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1C66427F"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3867CC0E"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010C118D" w14:textId="77777777"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Izvršenje je manje od očekivanih vrijednosti prvenstveno zbog neizvršavanja rashoda u području buduće poduzetničke zone).</w:t>
      </w:r>
    </w:p>
    <w:p w14:paraId="470A073E" w14:textId="77777777" w:rsidR="00184A8E" w:rsidRPr="00184A8E" w:rsidRDefault="00184A8E" w:rsidP="00184A8E">
      <w:pPr>
        <w:spacing w:after="0" w:line="240" w:lineRule="auto"/>
        <w:jc w:val="both"/>
        <w:rPr>
          <w:rFonts w:ascii="Arial" w:eastAsia="Calibri" w:hAnsi="Arial" w:cs="Arial"/>
          <w:sz w:val="20"/>
          <w:szCs w:val="20"/>
          <w:lang w:eastAsia="en-US"/>
        </w:rPr>
      </w:pPr>
    </w:p>
    <w:p w14:paraId="66C4B821"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Ovim programom nastoji se poboljšati kvaliteta i razina komunalne infrastrukture na području Općine.</w:t>
      </w:r>
    </w:p>
    <w:p w14:paraId="23D8B0C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4B031750" w14:textId="35D331AA" w:rsidR="00184A8E" w:rsidRPr="00184A8E" w:rsidRDefault="003448FE" w:rsidP="00184A8E">
      <w:pPr>
        <w:autoSpaceDE w:val="0"/>
        <w:autoSpaceDN w:val="0"/>
        <w:adjustRightInd w:val="0"/>
        <w:spacing w:after="0" w:line="240" w:lineRule="auto"/>
        <w:jc w:val="both"/>
        <w:rPr>
          <w:rFonts w:ascii="Arial" w:eastAsia="Calibri" w:hAnsi="Arial" w:cs="Arial"/>
          <w:sz w:val="20"/>
          <w:szCs w:val="20"/>
          <w:lang w:eastAsia="en-US"/>
        </w:rPr>
      </w:pPr>
      <w:r w:rsidRPr="003448FE">
        <w:rPr>
          <w:rFonts w:ascii="Arial" w:eastAsia="Calibri" w:hAnsi="Arial" w:cs="Arial"/>
          <w:sz w:val="20"/>
          <w:szCs w:val="20"/>
          <w:lang w:eastAsia="en-US"/>
        </w:rPr>
        <w:t xml:space="preserve">Planirana sredstva za ostvarenje programa 2092 iznose </w:t>
      </w:r>
      <w:r>
        <w:rPr>
          <w:rFonts w:ascii="Arial" w:eastAsia="Calibri" w:hAnsi="Arial" w:cs="Arial"/>
          <w:sz w:val="20"/>
          <w:szCs w:val="20"/>
          <w:lang w:eastAsia="en-US"/>
        </w:rPr>
        <w:t>3.213.255</w:t>
      </w:r>
      <w:r w:rsidRPr="003448FE">
        <w:rPr>
          <w:rFonts w:ascii="Arial" w:eastAsia="Calibri" w:hAnsi="Arial" w:cs="Arial"/>
          <w:sz w:val="20"/>
          <w:szCs w:val="20"/>
          <w:lang w:eastAsia="en-US"/>
        </w:rPr>
        <w:t xml:space="preserve"> € za 202</w:t>
      </w:r>
      <w:r>
        <w:rPr>
          <w:rFonts w:ascii="Arial" w:eastAsia="Calibri" w:hAnsi="Arial" w:cs="Arial"/>
          <w:sz w:val="20"/>
          <w:szCs w:val="20"/>
          <w:lang w:eastAsia="en-US"/>
        </w:rPr>
        <w:t>5</w:t>
      </w:r>
      <w:r w:rsidRPr="003448FE">
        <w:rPr>
          <w:rFonts w:ascii="Arial" w:eastAsia="Calibri" w:hAnsi="Arial" w:cs="Arial"/>
          <w:sz w:val="20"/>
          <w:szCs w:val="20"/>
          <w:lang w:eastAsia="en-US"/>
        </w:rPr>
        <w:t>. godinu, te 4.694.700 € za 2026. godinu i 3.988.900 € za 2027 .godinu</w:t>
      </w:r>
    </w:p>
    <w:p w14:paraId="50A2416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7BB441D1" w14:textId="703D7D42"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Program 2092 je za 202</w:t>
      </w:r>
      <w:r w:rsidR="003448FE">
        <w:rPr>
          <w:rFonts w:ascii="Arial" w:eastAsia="Calibri" w:hAnsi="Arial" w:cs="Arial"/>
          <w:sz w:val="20"/>
          <w:szCs w:val="20"/>
          <w:lang w:eastAsia="en-US"/>
        </w:rPr>
        <w:t>5</w:t>
      </w:r>
      <w:r w:rsidRPr="00184A8E">
        <w:rPr>
          <w:rFonts w:ascii="Arial" w:eastAsia="Calibri" w:hAnsi="Arial" w:cs="Arial"/>
          <w:sz w:val="20"/>
          <w:szCs w:val="20"/>
          <w:lang w:eastAsia="en-US"/>
        </w:rPr>
        <w:t xml:space="preserve">. godinu izvršen u iznosu </w:t>
      </w:r>
      <w:r w:rsidR="003448FE">
        <w:rPr>
          <w:rFonts w:ascii="Arial" w:eastAsia="Calibri" w:hAnsi="Arial" w:cs="Arial"/>
          <w:sz w:val="20"/>
          <w:szCs w:val="20"/>
          <w:lang w:eastAsia="en-US"/>
        </w:rPr>
        <w:t>1.292.819</w:t>
      </w:r>
      <w:r w:rsidRPr="00184A8E">
        <w:rPr>
          <w:rFonts w:ascii="Arial" w:eastAsia="Calibri" w:hAnsi="Arial" w:cs="Arial"/>
          <w:sz w:val="20"/>
          <w:szCs w:val="20"/>
          <w:lang w:eastAsia="en-US"/>
        </w:rPr>
        <w:t xml:space="preserve"> € ili </w:t>
      </w:r>
      <w:r w:rsidR="003448FE">
        <w:rPr>
          <w:rFonts w:ascii="Arial" w:eastAsia="Calibri" w:hAnsi="Arial" w:cs="Arial"/>
          <w:sz w:val="20"/>
          <w:szCs w:val="20"/>
          <w:lang w:eastAsia="en-US"/>
        </w:rPr>
        <w:t>40,2</w:t>
      </w:r>
      <w:r w:rsidRPr="00184A8E">
        <w:rPr>
          <w:rFonts w:ascii="Arial" w:eastAsia="Calibri" w:hAnsi="Arial" w:cs="Arial"/>
          <w:sz w:val="20"/>
          <w:szCs w:val="20"/>
          <w:lang w:eastAsia="en-US"/>
        </w:rPr>
        <w:t>%.</w:t>
      </w:r>
    </w:p>
    <w:p w14:paraId="4D4DE59D" w14:textId="77777777" w:rsidR="00184A8E" w:rsidRPr="00184A8E" w:rsidRDefault="00184A8E" w:rsidP="00184A8E">
      <w:pPr>
        <w:spacing w:after="0" w:line="240" w:lineRule="auto"/>
        <w:jc w:val="both"/>
        <w:rPr>
          <w:rFonts w:ascii="Arial" w:eastAsia="Calibri" w:hAnsi="Arial" w:cs="Arial"/>
          <w:sz w:val="20"/>
          <w:szCs w:val="20"/>
          <w:lang w:eastAsia="en-US"/>
        </w:rPr>
      </w:pPr>
    </w:p>
    <w:p w14:paraId="406E8716"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6B4122AB" w14:textId="77777777" w:rsidR="00184A8E" w:rsidRPr="00184A8E" w:rsidRDefault="00184A8E" w:rsidP="00184A8E">
      <w:pPr>
        <w:spacing w:after="0" w:line="240" w:lineRule="auto"/>
        <w:jc w:val="both"/>
        <w:rPr>
          <w:rFonts w:ascii="Arial" w:eastAsia="Calibri" w:hAnsi="Arial" w:cs="Arial"/>
          <w:sz w:val="20"/>
          <w:szCs w:val="20"/>
          <w:lang w:eastAsia="en-US"/>
        </w:rPr>
      </w:pPr>
    </w:p>
    <w:p w14:paraId="3CDBE57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Unutar programa izvode se slijedeće aktivnosti i projekti:</w:t>
      </w:r>
    </w:p>
    <w:p w14:paraId="5AFFF7DA" w14:textId="77777777" w:rsidR="00184A8E" w:rsidRPr="00184A8E" w:rsidRDefault="00184A8E" w:rsidP="00184A8E">
      <w:pPr>
        <w:spacing w:after="0" w:line="240" w:lineRule="auto"/>
        <w:jc w:val="both"/>
        <w:rPr>
          <w:rFonts w:ascii="Arial" w:eastAsia="Calibri" w:hAnsi="Arial" w:cs="Arial"/>
          <w:sz w:val="20"/>
          <w:szCs w:val="20"/>
        </w:rPr>
      </w:pPr>
    </w:p>
    <w:p w14:paraId="71DA48BD" w14:textId="6B4C436C" w:rsidR="00184A8E" w:rsidRDefault="00184A8E" w:rsidP="003A5F71">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1. </w:t>
      </w:r>
      <w:bookmarkStart w:id="529" w:name="_Hlk198906264"/>
      <w:r w:rsidRPr="00184A8E">
        <w:rPr>
          <w:rFonts w:ascii="Arial" w:eastAsia="Calibri" w:hAnsi="Arial" w:cs="Arial"/>
          <w:b/>
          <w:sz w:val="20"/>
          <w:szCs w:val="20"/>
          <w:lang w:eastAsia="en-US"/>
        </w:rPr>
        <w:t xml:space="preserve">K209201: Javne prometne površine na kojima nije dopušten promet motornim vozilima (trg, šetnica, plaža i sl.) </w:t>
      </w:r>
      <w:r w:rsidRPr="00184A8E">
        <w:rPr>
          <w:rFonts w:ascii="Arial" w:eastAsia="Calibri" w:hAnsi="Arial" w:cs="Arial"/>
          <w:sz w:val="20"/>
          <w:szCs w:val="20"/>
          <w:lang w:eastAsia="en-US"/>
        </w:rPr>
        <w:t xml:space="preserve">– Proračunska sredstva planirana su u iznosu </w:t>
      </w:r>
      <w:r w:rsidR="003A5F71">
        <w:rPr>
          <w:rFonts w:ascii="Arial" w:eastAsia="Calibri" w:hAnsi="Arial" w:cs="Arial"/>
          <w:sz w:val="20"/>
          <w:szCs w:val="20"/>
          <w:lang w:eastAsia="en-US"/>
        </w:rPr>
        <w:t>190.455</w:t>
      </w:r>
      <w:r w:rsidRPr="00184A8E">
        <w:rPr>
          <w:rFonts w:ascii="Arial" w:eastAsia="Calibri" w:hAnsi="Arial" w:cs="Arial"/>
          <w:sz w:val="20"/>
          <w:szCs w:val="20"/>
          <w:lang w:eastAsia="en-US"/>
        </w:rPr>
        <w:t xml:space="preserve"> €. </w:t>
      </w:r>
      <w:r w:rsidR="003A5F71" w:rsidRPr="003A5F71">
        <w:rPr>
          <w:rFonts w:ascii="Arial" w:eastAsia="Calibri" w:hAnsi="Arial" w:cs="Arial"/>
          <w:sz w:val="20"/>
          <w:szCs w:val="20"/>
          <w:lang w:eastAsia="en-US"/>
        </w:rPr>
        <w:t>Planirani rashodi se odnose na izradu projektne dokumentacije krajobraznog / arhitektonskog uređenja šetališta, kupališta i luke u Moluntu, te na projekt uređenja turističke infrastrukture šetnice Rat u Cavtatu, kao i projekt uređenja gradske plaže u Cavtatu. Narednih godina se planiraju radovi uređenja spomenutih lokacija, ovisno o raspoloživosti proračunskih sredstava.</w:t>
      </w:r>
    </w:p>
    <w:p w14:paraId="0F619B25" w14:textId="77777777" w:rsidR="003A5F71" w:rsidRPr="00184A8E" w:rsidRDefault="003A5F71" w:rsidP="003A5F71">
      <w:pPr>
        <w:autoSpaceDE w:val="0"/>
        <w:autoSpaceDN w:val="0"/>
        <w:adjustRightInd w:val="0"/>
        <w:spacing w:after="0" w:line="240" w:lineRule="auto"/>
        <w:jc w:val="both"/>
        <w:rPr>
          <w:rFonts w:ascii="Arial" w:eastAsia="Calibri" w:hAnsi="Arial" w:cs="Arial"/>
          <w:sz w:val="20"/>
          <w:szCs w:val="20"/>
          <w:lang w:eastAsia="en-US"/>
        </w:rPr>
      </w:pPr>
    </w:p>
    <w:p w14:paraId="3175B633" w14:textId="77777777" w:rsidR="003A5F71" w:rsidRPr="003A5F71" w:rsidRDefault="003A5F71" w:rsidP="003A5F71">
      <w:pPr>
        <w:spacing w:after="0" w:line="240" w:lineRule="auto"/>
        <w:jc w:val="both"/>
        <w:rPr>
          <w:rFonts w:ascii="Arial" w:eastAsia="Calibri" w:hAnsi="Arial" w:cs="Arial"/>
          <w:sz w:val="20"/>
          <w:szCs w:val="20"/>
          <w:lang w:eastAsia="en-US" w:bidi="en-US"/>
        </w:rPr>
      </w:pPr>
      <w:r w:rsidRPr="003A5F71">
        <w:rPr>
          <w:rFonts w:ascii="Arial" w:eastAsia="Calibri" w:hAnsi="Arial" w:cs="Arial"/>
          <w:sz w:val="20"/>
          <w:szCs w:val="20"/>
          <w:lang w:eastAsia="en-US" w:bidi="en-US"/>
        </w:rPr>
        <w:t>U 2025. godini su izvršeni rashodi za:</w:t>
      </w:r>
    </w:p>
    <w:p w14:paraId="0BDB92EE" w14:textId="77777777" w:rsidR="003A5F71" w:rsidRPr="003A5F71" w:rsidRDefault="003A5F71">
      <w:pPr>
        <w:numPr>
          <w:ilvl w:val="0"/>
          <w:numId w:val="3"/>
        </w:numPr>
        <w:spacing w:after="0" w:line="240" w:lineRule="auto"/>
        <w:ind w:left="567" w:hanging="567"/>
        <w:jc w:val="both"/>
        <w:rPr>
          <w:rFonts w:ascii="Arial" w:eastAsia="Calibri" w:hAnsi="Arial" w:cs="Arial"/>
          <w:sz w:val="20"/>
          <w:szCs w:val="20"/>
          <w:lang w:eastAsia="en-US" w:bidi="en-US"/>
        </w:rPr>
      </w:pPr>
      <w:r w:rsidRPr="003A5F71">
        <w:rPr>
          <w:rFonts w:ascii="Arial" w:eastAsia="Calibri" w:hAnsi="Arial" w:cs="Arial"/>
          <w:sz w:val="20"/>
          <w:szCs w:val="20"/>
          <w:lang w:eastAsia="en-US" w:bidi="en-US"/>
        </w:rPr>
        <w:t>sanacija obale i radovi na uređenju plaže ispred vile Banac 71.418,14 € i nadzor nad radovima 2.250 €</w:t>
      </w:r>
    </w:p>
    <w:p w14:paraId="01A0641F" w14:textId="77777777" w:rsidR="003A5F71" w:rsidRPr="003A5F71" w:rsidRDefault="003A5F71">
      <w:pPr>
        <w:numPr>
          <w:ilvl w:val="0"/>
          <w:numId w:val="3"/>
        </w:numPr>
        <w:spacing w:after="0" w:line="240" w:lineRule="auto"/>
        <w:ind w:left="567" w:hanging="567"/>
        <w:jc w:val="both"/>
        <w:rPr>
          <w:rFonts w:ascii="Arial" w:eastAsia="Calibri" w:hAnsi="Arial" w:cs="Arial"/>
          <w:sz w:val="20"/>
          <w:szCs w:val="20"/>
          <w:lang w:eastAsia="en-US" w:bidi="en-US"/>
        </w:rPr>
      </w:pPr>
      <w:r w:rsidRPr="003A5F71">
        <w:rPr>
          <w:rFonts w:ascii="Arial" w:eastAsia="Calibri" w:hAnsi="Arial" w:cs="Arial"/>
          <w:sz w:val="20"/>
          <w:szCs w:val="20"/>
          <w:lang w:eastAsia="en-US" w:bidi="en-US"/>
        </w:rPr>
        <w:t>izrada projekta s troškovnikom sanacije mula i plaže ispred ex hotela Makedonija 1.062,50 €, sanacija obale i mula plaže ispred ex hotela Makedonija 50.958,25 € i nadzor nad radovima 1.500 €,</w:t>
      </w:r>
    </w:p>
    <w:p w14:paraId="012D9A76" w14:textId="77777777" w:rsidR="003A5F71" w:rsidRPr="003A5F71" w:rsidRDefault="003A5F71">
      <w:pPr>
        <w:numPr>
          <w:ilvl w:val="0"/>
          <w:numId w:val="3"/>
        </w:numPr>
        <w:spacing w:after="0" w:line="240" w:lineRule="auto"/>
        <w:ind w:left="567" w:hanging="567"/>
        <w:jc w:val="both"/>
        <w:rPr>
          <w:rFonts w:ascii="Arial" w:eastAsia="Calibri" w:hAnsi="Arial" w:cs="Arial"/>
          <w:sz w:val="20"/>
          <w:szCs w:val="20"/>
          <w:lang w:eastAsia="en-US" w:bidi="en-US"/>
        </w:rPr>
      </w:pPr>
      <w:r w:rsidRPr="003A5F71">
        <w:rPr>
          <w:rFonts w:ascii="Arial" w:eastAsia="Calibri" w:hAnsi="Arial" w:cs="Arial"/>
          <w:sz w:val="20"/>
          <w:szCs w:val="20"/>
          <w:lang w:eastAsia="en-US" w:bidi="en-US"/>
        </w:rPr>
        <w:t>ograda na dijelu plaže ispred vile Banac 6.522,50 €,</w:t>
      </w:r>
    </w:p>
    <w:p w14:paraId="4D8B3FE3" w14:textId="77777777" w:rsidR="003A5F71" w:rsidRPr="003A5F71" w:rsidRDefault="003A5F71">
      <w:pPr>
        <w:numPr>
          <w:ilvl w:val="0"/>
          <w:numId w:val="3"/>
        </w:numPr>
        <w:spacing w:after="0" w:line="240" w:lineRule="auto"/>
        <w:ind w:left="567" w:hanging="567"/>
        <w:jc w:val="both"/>
        <w:rPr>
          <w:rFonts w:ascii="Arial" w:eastAsia="Calibri" w:hAnsi="Arial" w:cs="Arial"/>
          <w:sz w:val="20"/>
          <w:szCs w:val="20"/>
          <w:lang w:eastAsia="en-US" w:bidi="en-US"/>
        </w:rPr>
      </w:pPr>
      <w:r w:rsidRPr="003A5F71">
        <w:rPr>
          <w:rFonts w:ascii="Arial" w:eastAsia="Calibri" w:hAnsi="Arial" w:cs="Arial"/>
          <w:sz w:val="20"/>
          <w:szCs w:val="20"/>
          <w:lang w:eastAsia="en-US" w:bidi="en-US"/>
        </w:rPr>
        <w:t>ograda na plaži Račić u iznosu 1.625,00 €,</w:t>
      </w:r>
    </w:p>
    <w:p w14:paraId="721ED471" w14:textId="77777777" w:rsidR="003A5F71" w:rsidRPr="003A5F71" w:rsidRDefault="003A5F71">
      <w:pPr>
        <w:numPr>
          <w:ilvl w:val="0"/>
          <w:numId w:val="3"/>
        </w:numPr>
        <w:spacing w:after="0" w:line="240" w:lineRule="auto"/>
        <w:ind w:left="567" w:hanging="567"/>
        <w:jc w:val="both"/>
        <w:rPr>
          <w:rFonts w:ascii="Arial" w:eastAsia="Calibri" w:hAnsi="Arial" w:cs="Arial"/>
          <w:sz w:val="20"/>
          <w:szCs w:val="20"/>
          <w:lang w:eastAsia="en-US" w:bidi="en-US"/>
        </w:rPr>
      </w:pPr>
      <w:r w:rsidRPr="003A5F71">
        <w:rPr>
          <w:rFonts w:ascii="Arial" w:eastAsia="Calibri" w:hAnsi="Arial" w:cs="Arial"/>
          <w:sz w:val="20"/>
          <w:szCs w:val="20"/>
          <w:lang w:eastAsia="en-US" w:bidi="en-US"/>
        </w:rPr>
        <w:t>izrada projektne dokumentacije arhitektonsko krajobrazni projekt uređenja javnih površina na katastarskim česticama (dio 9, 659, 695/5, dio 667, dio 668, 670/2, 878, dio 880/1, dio 880/4, 880/11, 880/12, 880/13, 1106 k.o. Cavtat, ukupne površine 32.330 m². Obuhvat zahvata obuhvaća cjelinu međusobno povezanih javnih prostora i pješačkih komunikacija, i to: Urbani koridor 1 (stepenišna veza), urbani koridor 2 (šetnica ispod vile Banac), urbani koridor 3 (Cavtatska riva), Trg Vlaha Bukovca te urbani koridor 4 (šetnica Rat). Planirani zahvat obuhvaća krajobrazno i urbano uređenje prostora u okviru koncepta Zelene mreže Cavtat, s ciljem revitalizacije postojećih javnih površina i pješačkih komunikacija uz očuvanje prirodnih, krajobraznih i ambijentalnih vrijednosti prostora. Rashodi su izvršeni u ugovorenoj vrijednosti 28.750 € na temelju zaključenog ugovora iz studenog 2025. godine.</w:t>
      </w:r>
    </w:p>
    <w:p w14:paraId="23C8F700" w14:textId="77777777" w:rsidR="003A5F71" w:rsidRPr="003A5F71" w:rsidRDefault="003A5F71">
      <w:pPr>
        <w:numPr>
          <w:ilvl w:val="0"/>
          <w:numId w:val="3"/>
        </w:numPr>
        <w:spacing w:after="0" w:line="240" w:lineRule="auto"/>
        <w:ind w:left="567" w:hanging="567"/>
        <w:jc w:val="both"/>
        <w:rPr>
          <w:rFonts w:ascii="Arial" w:eastAsia="Calibri" w:hAnsi="Arial" w:cs="Arial"/>
          <w:sz w:val="20"/>
          <w:szCs w:val="20"/>
          <w:lang w:eastAsia="en-US" w:bidi="en-US"/>
        </w:rPr>
      </w:pPr>
      <w:r w:rsidRPr="003A5F71">
        <w:rPr>
          <w:rFonts w:ascii="Arial" w:eastAsia="Calibri" w:hAnsi="Arial" w:cs="Arial"/>
          <w:sz w:val="20"/>
          <w:szCs w:val="20"/>
          <w:lang w:eastAsia="en-US" w:bidi="en-US"/>
        </w:rPr>
        <w:t>izrada projekta (arhitektonski projekt, projekt konstrukcije, elaborat krajobraznog uređenja) za uređenje javne površine (pretovarna zona) na dijelu č.zem. 1052 k.o. Cavtat u iznosu 10.000 € na temelju ugovora iz studenog 2024. godine,</w:t>
      </w:r>
    </w:p>
    <w:p w14:paraId="6FB88FE4" w14:textId="77777777" w:rsidR="003A5F71" w:rsidRPr="003A5F71" w:rsidRDefault="003A5F71">
      <w:pPr>
        <w:numPr>
          <w:ilvl w:val="0"/>
          <w:numId w:val="3"/>
        </w:numPr>
        <w:spacing w:after="0" w:line="240" w:lineRule="auto"/>
        <w:ind w:left="567" w:hanging="567"/>
        <w:jc w:val="both"/>
        <w:rPr>
          <w:rFonts w:ascii="Arial" w:eastAsia="Calibri" w:hAnsi="Arial" w:cs="Arial"/>
          <w:sz w:val="20"/>
          <w:szCs w:val="20"/>
          <w:lang w:eastAsia="en-US" w:bidi="en-US"/>
        </w:rPr>
      </w:pPr>
      <w:r w:rsidRPr="003A5F71">
        <w:rPr>
          <w:rFonts w:ascii="Arial" w:eastAsia="Calibri" w:hAnsi="Arial" w:cs="Arial"/>
          <w:sz w:val="20"/>
          <w:szCs w:val="20"/>
          <w:lang w:eastAsia="en-US" w:bidi="en-US"/>
        </w:rPr>
        <w:t xml:space="preserve">izrada projektne dokumentacije (glavni projekt s troškovnikom građevinsko obrtničkih radova za uređenje platoa na predjelu „Ravnica“ u Cavtatu u iznosu 4.100 € (na temelju ugovora iz veljače 2024. u iznosu 10.250 €, u 2024. godini su bili izvršeni rashodi u iznosu 6.150 €), </w:t>
      </w:r>
    </w:p>
    <w:p w14:paraId="16751651" w14:textId="77777777" w:rsidR="003A5F71" w:rsidRPr="003A5F71" w:rsidRDefault="003A5F71">
      <w:pPr>
        <w:numPr>
          <w:ilvl w:val="0"/>
          <w:numId w:val="3"/>
        </w:numPr>
        <w:spacing w:after="0" w:line="240" w:lineRule="auto"/>
        <w:ind w:left="567" w:hanging="567"/>
        <w:jc w:val="both"/>
        <w:rPr>
          <w:rFonts w:ascii="Arial" w:eastAsia="Calibri" w:hAnsi="Arial" w:cs="Arial"/>
          <w:sz w:val="20"/>
          <w:szCs w:val="20"/>
          <w:lang w:eastAsia="en-US" w:bidi="en-US"/>
        </w:rPr>
      </w:pPr>
      <w:r w:rsidRPr="003A5F71">
        <w:rPr>
          <w:rFonts w:ascii="Arial" w:eastAsia="Calibri" w:hAnsi="Arial" w:cs="Arial"/>
          <w:sz w:val="20"/>
          <w:szCs w:val="20"/>
          <w:lang w:eastAsia="en-US" w:bidi="en-US"/>
        </w:rPr>
        <w:t>izrada geodetske snimke stvarnog stanja u svrhu projektiranja uređenja perivoja na k.č. 659, 695/5 k.o. Cavtat u iznosu 6.012,50 €,</w:t>
      </w:r>
    </w:p>
    <w:p w14:paraId="24E5D7E7" w14:textId="77777777" w:rsidR="003A5F71" w:rsidRPr="003A5F71" w:rsidRDefault="003A5F71">
      <w:pPr>
        <w:numPr>
          <w:ilvl w:val="0"/>
          <w:numId w:val="3"/>
        </w:numPr>
        <w:spacing w:after="0" w:line="240" w:lineRule="auto"/>
        <w:ind w:left="567" w:hanging="567"/>
        <w:jc w:val="both"/>
        <w:rPr>
          <w:rFonts w:ascii="Arial" w:eastAsia="Calibri" w:hAnsi="Arial" w:cs="Arial"/>
          <w:sz w:val="20"/>
          <w:szCs w:val="20"/>
          <w:lang w:eastAsia="en-US" w:bidi="en-US"/>
        </w:rPr>
      </w:pPr>
      <w:r w:rsidRPr="003A5F71">
        <w:rPr>
          <w:rFonts w:ascii="Arial" w:eastAsia="Calibri" w:hAnsi="Arial" w:cs="Arial"/>
          <w:sz w:val="20"/>
          <w:szCs w:val="20"/>
          <w:lang w:eastAsia="en-US" w:bidi="en-US"/>
        </w:rPr>
        <w:t>izrada projektne prijave na poziv Razvoj zelene infrastrukture u urbanim područjima 6.250 €.</w:t>
      </w:r>
    </w:p>
    <w:p w14:paraId="117BC721" w14:textId="77777777" w:rsidR="003A5F71" w:rsidRPr="00184A8E" w:rsidRDefault="003A5F71" w:rsidP="00184A8E">
      <w:pPr>
        <w:spacing w:after="0" w:line="240" w:lineRule="auto"/>
        <w:ind w:left="646"/>
        <w:jc w:val="both"/>
        <w:rPr>
          <w:rFonts w:ascii="Arial" w:eastAsia="Calibri" w:hAnsi="Arial" w:cs="Arial"/>
          <w:sz w:val="20"/>
          <w:szCs w:val="20"/>
        </w:rPr>
      </w:pPr>
    </w:p>
    <w:tbl>
      <w:tblPr>
        <w:tblStyle w:val="Reetkatablice5368"/>
        <w:tblW w:w="14280" w:type="dxa"/>
        <w:jc w:val="center"/>
        <w:tblLayout w:type="fixed"/>
        <w:tblLook w:val="04A0" w:firstRow="1" w:lastRow="0" w:firstColumn="1" w:lastColumn="0" w:noHBand="0" w:noVBand="1"/>
      </w:tblPr>
      <w:tblGrid>
        <w:gridCol w:w="2830"/>
        <w:gridCol w:w="3124"/>
        <w:gridCol w:w="958"/>
        <w:gridCol w:w="1134"/>
        <w:gridCol w:w="1232"/>
        <w:gridCol w:w="1276"/>
        <w:gridCol w:w="1242"/>
        <w:gridCol w:w="1242"/>
        <w:gridCol w:w="1242"/>
      </w:tblGrid>
      <w:tr w:rsidR="00184A8E" w:rsidRPr="00184A8E" w14:paraId="00C537CF" w14:textId="77777777" w:rsidTr="00410A4B">
        <w:trP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bookmarkEnd w:id="529"/>
          <w:p w14:paraId="34B2790E"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312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DDAEA66"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25F1C81"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5D54559"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1D241EC" w14:textId="2CD5256F"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3A5F71">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A37C55D" w14:textId="6FA5DAC4"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3A5F71">
              <w:rPr>
                <w:rFonts w:ascii="Arial" w:eastAsia="Calibri" w:hAnsi="Arial" w:cs="Arial"/>
                <w:lang w:eastAsia="en-US"/>
              </w:rPr>
              <w:t>5</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89B5755" w14:textId="009204E6"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3A5F71">
              <w:rPr>
                <w:rFonts w:ascii="Arial" w:eastAsia="Calibri" w:hAnsi="Arial" w:cs="Arial"/>
                <w:lang w:eastAsia="en-US"/>
              </w:rPr>
              <w:t>5</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A72037D" w14:textId="392890B0"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3A5F71">
              <w:rPr>
                <w:rFonts w:ascii="Arial" w:eastAsia="Calibri" w:hAnsi="Arial" w:cs="Arial"/>
                <w:lang w:eastAsia="en-US"/>
              </w:rPr>
              <w:t>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2FCA150" w14:textId="0FA1969B"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3A5F71">
              <w:rPr>
                <w:rFonts w:ascii="Arial" w:eastAsia="Calibri" w:hAnsi="Arial" w:cs="Arial"/>
                <w:lang w:eastAsia="en-US"/>
              </w:rPr>
              <w:t>7</w:t>
            </w:r>
            <w:r w:rsidRPr="00184A8E">
              <w:rPr>
                <w:rFonts w:ascii="Arial" w:eastAsia="Calibri" w:hAnsi="Arial" w:cs="Arial"/>
                <w:lang w:eastAsia="en-US"/>
              </w:rPr>
              <w:t>.</w:t>
            </w:r>
          </w:p>
        </w:tc>
      </w:tr>
      <w:tr w:rsidR="003A5F71" w:rsidRPr="00184A8E" w14:paraId="02679FE1" w14:textId="77777777" w:rsidTr="00410A4B">
        <w:trPr>
          <w:trHeight w:val="273"/>
          <w:jc w:val="center"/>
        </w:trPr>
        <w:tc>
          <w:tcPr>
            <w:tcW w:w="2830" w:type="dxa"/>
            <w:tcBorders>
              <w:top w:val="single" w:sz="4" w:space="0" w:color="auto"/>
              <w:left w:val="single" w:sz="4" w:space="0" w:color="auto"/>
              <w:bottom w:val="single" w:sz="4" w:space="0" w:color="auto"/>
              <w:right w:val="single" w:sz="4" w:space="0" w:color="auto"/>
            </w:tcBorders>
            <w:vAlign w:val="center"/>
          </w:tcPr>
          <w:p w14:paraId="28FAA717" w14:textId="7AE4E5D9" w:rsidR="003A5F71" w:rsidRPr="00184A8E" w:rsidRDefault="003A5F71" w:rsidP="003A5F71">
            <w:pPr>
              <w:rPr>
                <w:rFonts w:ascii="Arial" w:hAnsi="Arial" w:cs="Arial"/>
                <w:sz w:val="18"/>
                <w:szCs w:val="18"/>
                <w:lang w:eastAsia="en-US"/>
              </w:rPr>
            </w:pPr>
            <w:r w:rsidRPr="00565A13">
              <w:rPr>
                <w:rFonts w:ascii="Arial" w:eastAsia="Calibri" w:hAnsi="Arial" w:cs="Arial"/>
                <w:iCs/>
                <w:sz w:val="18"/>
                <w:szCs w:val="18"/>
              </w:rPr>
              <w:t>Glavni projekt krajobraznog / arhitektonskog uređenja šetnice, kupališta i luke u Moluntu</w:t>
            </w:r>
          </w:p>
        </w:tc>
        <w:tc>
          <w:tcPr>
            <w:tcW w:w="3124" w:type="dxa"/>
            <w:tcBorders>
              <w:top w:val="single" w:sz="4" w:space="0" w:color="auto"/>
              <w:left w:val="single" w:sz="4" w:space="0" w:color="auto"/>
              <w:bottom w:val="single" w:sz="4" w:space="0" w:color="auto"/>
              <w:right w:val="single" w:sz="4" w:space="0" w:color="auto"/>
            </w:tcBorders>
            <w:vAlign w:val="center"/>
          </w:tcPr>
          <w:p w14:paraId="32E8DB40" w14:textId="0FDDF2FD" w:rsidR="003A5F71" w:rsidRPr="00184A8E" w:rsidRDefault="003A5F71" w:rsidP="003A5F71">
            <w:pPr>
              <w:autoSpaceDE w:val="0"/>
              <w:autoSpaceDN w:val="0"/>
              <w:adjustRightInd w:val="0"/>
              <w:rPr>
                <w:rFonts w:ascii="Arial" w:hAnsi="Arial" w:cs="Arial"/>
                <w:sz w:val="18"/>
                <w:szCs w:val="18"/>
                <w:lang w:eastAsia="en-US"/>
              </w:rPr>
            </w:pPr>
            <w:r w:rsidRPr="00565A13">
              <w:rPr>
                <w:rFonts w:ascii="Arial" w:eastAsia="Calibri" w:hAnsi="Arial" w:cs="Arial"/>
                <w:sz w:val="18"/>
                <w:szCs w:val="18"/>
              </w:rPr>
              <w:t>Izrađen projekt uređenja - Molunat</w:t>
            </w:r>
          </w:p>
        </w:tc>
        <w:tc>
          <w:tcPr>
            <w:tcW w:w="958" w:type="dxa"/>
            <w:tcBorders>
              <w:top w:val="single" w:sz="4" w:space="0" w:color="auto"/>
              <w:left w:val="single" w:sz="4" w:space="0" w:color="auto"/>
              <w:bottom w:val="single" w:sz="4" w:space="0" w:color="auto"/>
              <w:right w:val="single" w:sz="4" w:space="0" w:color="auto"/>
            </w:tcBorders>
            <w:vAlign w:val="center"/>
          </w:tcPr>
          <w:p w14:paraId="2A2FE694" w14:textId="77777777" w:rsidR="003A5F71" w:rsidRPr="00184A8E" w:rsidRDefault="003A5F71" w:rsidP="003A5F71">
            <w:pPr>
              <w:jc w:val="center"/>
              <w:rPr>
                <w:rFonts w:ascii="Arial" w:hAnsi="Arial" w:cs="Arial"/>
                <w:lang w:eastAsia="en-US"/>
              </w:rPr>
            </w:pPr>
            <w:r w:rsidRPr="00184A8E">
              <w:rPr>
                <w:rFonts w:ascii="Arial" w:eastAsia="Calibri"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0AAD8011" w14:textId="77777777" w:rsidR="003A5F71" w:rsidRPr="00184A8E" w:rsidRDefault="003A5F71" w:rsidP="003A5F71">
            <w:pPr>
              <w:jc w:val="center"/>
              <w:rPr>
                <w:rFonts w:ascii="Arial" w:hAnsi="Arial" w:cs="Arial"/>
                <w:lang w:eastAsia="en-US"/>
              </w:rPr>
            </w:pPr>
            <w:r w:rsidRPr="00184A8E">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3D16C22A" w14:textId="7294F3A5" w:rsidR="003A5F71" w:rsidRPr="00184A8E" w:rsidRDefault="003A5F71" w:rsidP="003A5F71">
            <w:pPr>
              <w:jc w:val="center"/>
              <w:rPr>
                <w:rFonts w:ascii="Arial" w:hAnsi="Arial" w:cs="Arial"/>
                <w:lang w:eastAsia="en-US"/>
              </w:rPr>
            </w:pPr>
            <w:r>
              <w:rPr>
                <w:rFonts w:ascii="Arial" w:eastAsia="Calibri" w:hAnsi="Arial" w:cs="Arial"/>
                <w:lang w:eastAsia="en-US"/>
              </w:rPr>
              <w:t>0</w:t>
            </w:r>
            <w:r w:rsidRPr="00184A8E">
              <w:rPr>
                <w:rFonts w:ascii="Arial" w:eastAsia="Calibri" w:hAnsi="Arial" w:cs="Arial"/>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2D238702" w14:textId="77777777" w:rsidR="003A5F71" w:rsidRPr="00184A8E" w:rsidRDefault="003A5F71" w:rsidP="003A5F71">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46FF2D4B" w14:textId="5D919FF5" w:rsidR="003A5F71" w:rsidRPr="00184A8E" w:rsidRDefault="003A5F71" w:rsidP="003A5F71">
            <w:pPr>
              <w:jc w:val="center"/>
              <w:rPr>
                <w:rFonts w:ascii="Arial" w:eastAsia="Calibri" w:hAnsi="Arial" w:cs="Arial"/>
                <w:lang w:eastAsia="en-US"/>
              </w:rPr>
            </w:pPr>
            <w:r>
              <w:rPr>
                <w:rFonts w:ascii="Arial" w:eastAsia="Calibri" w:hAnsi="Arial" w:cs="Arial"/>
                <w:lang w:eastAsia="en-US"/>
              </w:rPr>
              <w:t>0</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vAlign w:val="center"/>
          </w:tcPr>
          <w:p w14:paraId="467980B8" w14:textId="77777777" w:rsidR="003A5F71" w:rsidRPr="00184A8E" w:rsidRDefault="003A5F71" w:rsidP="003A5F71">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3E4BF0F4" w14:textId="77777777" w:rsidR="003A5F71" w:rsidRPr="00184A8E" w:rsidRDefault="003A5F71" w:rsidP="003A5F71">
            <w:pPr>
              <w:jc w:val="center"/>
              <w:rPr>
                <w:rFonts w:ascii="Arial" w:hAnsi="Arial" w:cs="Arial"/>
                <w:lang w:eastAsia="en-US"/>
              </w:rPr>
            </w:pPr>
            <w:r w:rsidRPr="00184A8E">
              <w:rPr>
                <w:rFonts w:ascii="Arial" w:hAnsi="Arial" w:cs="Arial"/>
                <w:lang w:eastAsia="en-US"/>
              </w:rPr>
              <w:t>100%</w:t>
            </w:r>
          </w:p>
        </w:tc>
      </w:tr>
      <w:tr w:rsidR="003A5F71" w:rsidRPr="00184A8E" w14:paraId="1F7ACC8E" w14:textId="77777777" w:rsidTr="00410A4B">
        <w:trPr>
          <w:trHeight w:val="273"/>
          <w:jc w:val="center"/>
        </w:trPr>
        <w:tc>
          <w:tcPr>
            <w:tcW w:w="2830" w:type="dxa"/>
            <w:tcBorders>
              <w:top w:val="single" w:sz="4" w:space="0" w:color="auto"/>
              <w:left w:val="single" w:sz="4" w:space="0" w:color="auto"/>
              <w:bottom w:val="single" w:sz="4" w:space="0" w:color="auto"/>
              <w:right w:val="single" w:sz="4" w:space="0" w:color="auto"/>
            </w:tcBorders>
            <w:vAlign w:val="center"/>
          </w:tcPr>
          <w:p w14:paraId="5C6D290B" w14:textId="77267FDD" w:rsidR="003A5F71" w:rsidRPr="00184A8E" w:rsidRDefault="003A5F71" w:rsidP="003A5F71">
            <w:pPr>
              <w:rPr>
                <w:rFonts w:ascii="Arial" w:eastAsia="Calibri" w:hAnsi="Arial" w:cs="Arial"/>
                <w:iCs/>
                <w:sz w:val="18"/>
                <w:szCs w:val="18"/>
              </w:rPr>
            </w:pPr>
            <w:r w:rsidRPr="00565A13">
              <w:rPr>
                <w:rFonts w:ascii="Arial" w:eastAsia="Calibri" w:hAnsi="Arial" w:cs="Arial"/>
                <w:iCs/>
                <w:sz w:val="18"/>
                <w:szCs w:val="18"/>
              </w:rPr>
              <w:lastRenderedPageBreak/>
              <w:t>Izrada projekta uređenja gradske plaže Cavtat</w:t>
            </w:r>
          </w:p>
        </w:tc>
        <w:tc>
          <w:tcPr>
            <w:tcW w:w="3124" w:type="dxa"/>
            <w:tcBorders>
              <w:top w:val="single" w:sz="4" w:space="0" w:color="auto"/>
              <w:left w:val="single" w:sz="4" w:space="0" w:color="auto"/>
              <w:bottom w:val="single" w:sz="4" w:space="0" w:color="auto"/>
              <w:right w:val="single" w:sz="4" w:space="0" w:color="auto"/>
            </w:tcBorders>
            <w:vAlign w:val="center"/>
          </w:tcPr>
          <w:p w14:paraId="62CC6E94" w14:textId="096BB6F6" w:rsidR="003A5F71" w:rsidRPr="00184A8E" w:rsidRDefault="003A5F71" w:rsidP="003A5F71">
            <w:pPr>
              <w:autoSpaceDE w:val="0"/>
              <w:autoSpaceDN w:val="0"/>
              <w:adjustRightInd w:val="0"/>
              <w:rPr>
                <w:rFonts w:ascii="Arial" w:eastAsia="Calibri" w:hAnsi="Arial" w:cs="Arial"/>
                <w:sz w:val="18"/>
                <w:szCs w:val="18"/>
                <w:lang w:eastAsia="en-US"/>
              </w:rPr>
            </w:pPr>
            <w:r w:rsidRPr="00565A13">
              <w:rPr>
                <w:rFonts w:ascii="Arial" w:eastAsia="Calibri" w:hAnsi="Arial" w:cs="Arial"/>
                <w:sz w:val="18"/>
                <w:szCs w:val="18"/>
              </w:rPr>
              <w:t>Izrađen projekt uređenja gradske plaže Cavtat</w:t>
            </w:r>
          </w:p>
        </w:tc>
        <w:tc>
          <w:tcPr>
            <w:tcW w:w="958" w:type="dxa"/>
            <w:tcBorders>
              <w:top w:val="single" w:sz="4" w:space="0" w:color="auto"/>
              <w:left w:val="single" w:sz="4" w:space="0" w:color="auto"/>
              <w:bottom w:val="single" w:sz="4" w:space="0" w:color="auto"/>
              <w:right w:val="single" w:sz="4" w:space="0" w:color="auto"/>
            </w:tcBorders>
            <w:vAlign w:val="center"/>
          </w:tcPr>
          <w:p w14:paraId="57BAFD9B" w14:textId="77777777" w:rsidR="003A5F71" w:rsidRPr="00184A8E" w:rsidRDefault="003A5F71" w:rsidP="003A5F71">
            <w:pPr>
              <w:jc w:val="center"/>
              <w:rPr>
                <w:rFonts w:ascii="Arial" w:eastAsia="Calibri" w:hAnsi="Arial" w:cs="Arial"/>
                <w:lang w:eastAsia="en-US"/>
              </w:rPr>
            </w:pPr>
            <w:r w:rsidRPr="00184A8E">
              <w:rPr>
                <w:rFonts w:ascii="Arial" w:eastAsia="Calibri"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3B9FF4FB" w14:textId="77777777" w:rsidR="003A5F71" w:rsidRPr="00184A8E" w:rsidRDefault="003A5F71" w:rsidP="003A5F71">
            <w:pPr>
              <w:jc w:val="center"/>
              <w:rPr>
                <w:rFonts w:ascii="Arial" w:hAnsi="Arial" w:cs="Arial"/>
                <w:lang w:eastAsia="en-US"/>
              </w:rPr>
            </w:pPr>
            <w:r w:rsidRPr="00184A8E">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02861A94" w14:textId="77777777" w:rsidR="003A5F71" w:rsidRPr="00184A8E" w:rsidRDefault="003A5F71" w:rsidP="003A5F71">
            <w:pPr>
              <w:jc w:val="center"/>
              <w:rPr>
                <w:rFonts w:ascii="Arial" w:eastAsia="Calibri" w:hAnsi="Arial" w:cs="Arial"/>
                <w:lang w:eastAsia="en-US"/>
              </w:rPr>
            </w:pPr>
            <w:r w:rsidRPr="00184A8E">
              <w:rPr>
                <w:rFonts w:ascii="Arial" w:eastAsia="Calibri" w:hAnsi="Arial" w:cs="Arial"/>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6DB647A0" w14:textId="77777777" w:rsidR="003A5F71" w:rsidRPr="00184A8E" w:rsidRDefault="003A5F71" w:rsidP="003A5F71">
            <w:pPr>
              <w:jc w:val="center"/>
              <w:rPr>
                <w:rFonts w:ascii="Arial" w:eastAsia="Calibri"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4E6B73F" w14:textId="77777777" w:rsidR="003A5F71" w:rsidRPr="00184A8E" w:rsidRDefault="003A5F71" w:rsidP="003A5F71">
            <w:pPr>
              <w:jc w:val="center"/>
              <w:rPr>
                <w:rFonts w:ascii="Arial" w:eastAsia="Calibri" w:hAnsi="Arial" w:cs="Arial"/>
                <w:lang w:eastAsia="en-US"/>
              </w:rPr>
            </w:pPr>
            <w:r w:rsidRPr="00184A8E">
              <w:rPr>
                <w:rFonts w:ascii="Arial" w:eastAsia="Calibri" w:hAnsi="Arial" w:cs="Arial"/>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2210A882" w14:textId="77777777" w:rsidR="003A5F71" w:rsidRPr="00184A8E" w:rsidRDefault="003A5F71" w:rsidP="003A5F71">
            <w:pPr>
              <w:jc w:val="center"/>
              <w:rPr>
                <w:rFonts w:ascii="Arial" w:eastAsia="Calibri"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741D34AD" w14:textId="77777777" w:rsidR="003A5F71" w:rsidRPr="00184A8E" w:rsidRDefault="003A5F71" w:rsidP="003A5F71">
            <w:pPr>
              <w:jc w:val="center"/>
              <w:rPr>
                <w:rFonts w:ascii="Arial" w:hAnsi="Arial" w:cs="Arial"/>
                <w:lang w:eastAsia="en-US"/>
              </w:rPr>
            </w:pPr>
            <w:r w:rsidRPr="00184A8E">
              <w:rPr>
                <w:rFonts w:ascii="Arial" w:hAnsi="Arial" w:cs="Arial"/>
                <w:lang w:eastAsia="en-US"/>
              </w:rPr>
              <w:t>100%</w:t>
            </w:r>
          </w:p>
        </w:tc>
      </w:tr>
      <w:tr w:rsidR="003A5F71" w:rsidRPr="00184A8E" w14:paraId="2743BA2B" w14:textId="77777777" w:rsidTr="00410A4B">
        <w:trPr>
          <w:trHeight w:val="273"/>
          <w:jc w:val="center"/>
        </w:trPr>
        <w:tc>
          <w:tcPr>
            <w:tcW w:w="2830" w:type="dxa"/>
            <w:tcBorders>
              <w:top w:val="single" w:sz="4" w:space="0" w:color="auto"/>
              <w:left w:val="single" w:sz="4" w:space="0" w:color="auto"/>
              <w:bottom w:val="single" w:sz="4" w:space="0" w:color="auto"/>
              <w:right w:val="single" w:sz="4" w:space="0" w:color="auto"/>
            </w:tcBorders>
            <w:vAlign w:val="center"/>
          </w:tcPr>
          <w:p w14:paraId="4506393B" w14:textId="0E0274AF" w:rsidR="003A5F71" w:rsidRPr="00184A8E" w:rsidRDefault="003A5F71" w:rsidP="003A5F71">
            <w:pPr>
              <w:rPr>
                <w:rFonts w:ascii="Arial" w:eastAsia="Calibri" w:hAnsi="Arial" w:cs="Arial"/>
                <w:iCs/>
                <w:sz w:val="18"/>
                <w:szCs w:val="18"/>
              </w:rPr>
            </w:pPr>
            <w:r w:rsidRPr="00565A13">
              <w:rPr>
                <w:rFonts w:ascii="Arial" w:eastAsia="Calibri" w:hAnsi="Arial" w:cs="Arial"/>
                <w:iCs/>
                <w:sz w:val="18"/>
                <w:szCs w:val="18"/>
              </w:rPr>
              <w:t>Izrada projekta uređenja šetnice Rat, Cavtat</w:t>
            </w:r>
          </w:p>
        </w:tc>
        <w:tc>
          <w:tcPr>
            <w:tcW w:w="3124" w:type="dxa"/>
            <w:tcBorders>
              <w:top w:val="single" w:sz="4" w:space="0" w:color="auto"/>
              <w:left w:val="single" w:sz="4" w:space="0" w:color="auto"/>
              <w:bottom w:val="single" w:sz="4" w:space="0" w:color="auto"/>
              <w:right w:val="single" w:sz="4" w:space="0" w:color="auto"/>
            </w:tcBorders>
            <w:vAlign w:val="center"/>
          </w:tcPr>
          <w:p w14:paraId="1ACE5784" w14:textId="1DBDB132" w:rsidR="003A5F71" w:rsidRPr="00184A8E" w:rsidRDefault="003A5F71" w:rsidP="003A5F71">
            <w:pPr>
              <w:autoSpaceDE w:val="0"/>
              <w:autoSpaceDN w:val="0"/>
              <w:adjustRightInd w:val="0"/>
              <w:rPr>
                <w:rFonts w:ascii="Arial" w:eastAsia="Calibri" w:hAnsi="Arial" w:cs="Arial"/>
                <w:sz w:val="18"/>
                <w:szCs w:val="18"/>
                <w:lang w:eastAsia="en-US"/>
              </w:rPr>
            </w:pPr>
            <w:r w:rsidRPr="00565A13">
              <w:rPr>
                <w:rFonts w:ascii="Arial" w:eastAsia="Calibri" w:hAnsi="Arial" w:cs="Arial"/>
                <w:sz w:val="18"/>
                <w:szCs w:val="18"/>
              </w:rPr>
              <w:t>Izrađen projekt uređenja šetnice Rat</w:t>
            </w:r>
          </w:p>
        </w:tc>
        <w:tc>
          <w:tcPr>
            <w:tcW w:w="958" w:type="dxa"/>
            <w:tcBorders>
              <w:top w:val="single" w:sz="4" w:space="0" w:color="auto"/>
              <w:left w:val="single" w:sz="4" w:space="0" w:color="auto"/>
              <w:bottom w:val="single" w:sz="4" w:space="0" w:color="auto"/>
              <w:right w:val="single" w:sz="4" w:space="0" w:color="auto"/>
            </w:tcBorders>
            <w:vAlign w:val="center"/>
          </w:tcPr>
          <w:p w14:paraId="79001693" w14:textId="77777777" w:rsidR="003A5F71" w:rsidRPr="00184A8E" w:rsidRDefault="003A5F71" w:rsidP="003A5F71">
            <w:pPr>
              <w:jc w:val="center"/>
              <w:rPr>
                <w:rFonts w:ascii="Arial" w:eastAsia="Calibri" w:hAnsi="Arial" w:cs="Arial"/>
                <w:lang w:eastAsia="en-US"/>
              </w:rPr>
            </w:pPr>
            <w:r w:rsidRPr="00184A8E">
              <w:rPr>
                <w:rFonts w:ascii="Arial" w:eastAsia="Calibri"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136F0B61" w14:textId="77777777" w:rsidR="003A5F71" w:rsidRPr="00184A8E" w:rsidRDefault="003A5F71" w:rsidP="003A5F71">
            <w:pPr>
              <w:jc w:val="center"/>
              <w:rPr>
                <w:rFonts w:ascii="Arial" w:hAnsi="Arial" w:cs="Arial"/>
                <w:lang w:eastAsia="en-US"/>
              </w:rPr>
            </w:pPr>
            <w:r w:rsidRPr="00184A8E">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26143306" w14:textId="77777777" w:rsidR="003A5F71" w:rsidRPr="00184A8E" w:rsidRDefault="003A5F71" w:rsidP="003A5F71">
            <w:pPr>
              <w:jc w:val="center"/>
              <w:rPr>
                <w:rFonts w:ascii="Arial" w:eastAsia="Calibri" w:hAnsi="Arial" w:cs="Arial"/>
                <w:lang w:eastAsia="en-US"/>
              </w:rPr>
            </w:pPr>
            <w:r w:rsidRPr="00184A8E">
              <w:rPr>
                <w:rFonts w:ascii="Arial" w:eastAsia="Calibri" w:hAnsi="Arial" w:cs="Arial"/>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6FF63C27" w14:textId="77777777" w:rsidR="003A5F71" w:rsidRPr="00184A8E" w:rsidRDefault="003A5F71" w:rsidP="003A5F71">
            <w:pPr>
              <w:jc w:val="center"/>
              <w:rPr>
                <w:rFonts w:ascii="Arial" w:eastAsia="Calibri"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546E8F3D" w14:textId="66BFBB57" w:rsidR="003A5F71" w:rsidRPr="00184A8E" w:rsidRDefault="003A5F71" w:rsidP="003A5F71">
            <w:pPr>
              <w:jc w:val="center"/>
              <w:rPr>
                <w:rFonts w:ascii="Arial" w:eastAsia="Calibri" w:hAnsi="Arial" w:cs="Arial"/>
                <w:lang w:eastAsia="en-US"/>
              </w:rPr>
            </w:pPr>
            <w:r>
              <w:rPr>
                <w:rFonts w:ascii="Arial" w:eastAsia="Calibri" w:hAnsi="Arial" w:cs="Arial"/>
                <w:lang w:eastAsia="en-US"/>
              </w:rPr>
              <w:t>10</w:t>
            </w:r>
            <w:r w:rsidRPr="00184A8E">
              <w:rPr>
                <w:rFonts w:ascii="Arial" w:eastAsia="Calibri" w:hAnsi="Arial" w:cs="Arial"/>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307A06BB" w14:textId="77777777" w:rsidR="003A5F71" w:rsidRPr="00184A8E" w:rsidRDefault="003A5F71" w:rsidP="003A5F71">
            <w:pPr>
              <w:jc w:val="center"/>
              <w:rPr>
                <w:rFonts w:ascii="Arial" w:eastAsia="Calibri"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5460F92B" w14:textId="77777777" w:rsidR="003A5F71" w:rsidRPr="00184A8E" w:rsidRDefault="003A5F71" w:rsidP="003A5F71">
            <w:pPr>
              <w:jc w:val="center"/>
              <w:rPr>
                <w:rFonts w:ascii="Arial" w:hAnsi="Arial" w:cs="Arial"/>
                <w:lang w:eastAsia="en-US"/>
              </w:rPr>
            </w:pPr>
            <w:r w:rsidRPr="00184A8E">
              <w:rPr>
                <w:rFonts w:ascii="Arial" w:hAnsi="Arial" w:cs="Arial"/>
                <w:lang w:eastAsia="en-US"/>
              </w:rPr>
              <w:t>100%</w:t>
            </w:r>
          </w:p>
        </w:tc>
      </w:tr>
    </w:tbl>
    <w:p w14:paraId="6C49CB66" w14:textId="77777777" w:rsidR="00184A8E" w:rsidRPr="00184A8E" w:rsidRDefault="00184A8E" w:rsidP="00184A8E">
      <w:pPr>
        <w:spacing w:after="0" w:line="240" w:lineRule="auto"/>
        <w:jc w:val="both"/>
        <w:rPr>
          <w:rFonts w:ascii="Arial" w:eastAsia="Calibri" w:hAnsi="Arial" w:cs="Arial"/>
          <w:sz w:val="20"/>
          <w:szCs w:val="20"/>
        </w:rPr>
      </w:pPr>
    </w:p>
    <w:p w14:paraId="660D08B4" w14:textId="162A28FA" w:rsidR="00184A8E" w:rsidRPr="00184A8E" w:rsidRDefault="00184A8E" w:rsidP="00184A8E">
      <w:pPr>
        <w:spacing w:after="0" w:line="240" w:lineRule="auto"/>
        <w:jc w:val="both"/>
        <w:rPr>
          <w:rFonts w:ascii="Arial" w:eastAsia="Calibri" w:hAnsi="Arial" w:cs="Arial"/>
          <w:bCs/>
          <w:sz w:val="20"/>
          <w:szCs w:val="20"/>
          <w:lang w:eastAsia="en-US"/>
        </w:rPr>
      </w:pPr>
      <w:bookmarkStart w:id="530" w:name="_Hlk135067972"/>
      <w:r w:rsidRPr="00184A8E">
        <w:rPr>
          <w:rFonts w:ascii="Arial" w:eastAsia="Calibri" w:hAnsi="Arial" w:cs="Arial"/>
          <w:b/>
          <w:sz w:val="20"/>
          <w:szCs w:val="20"/>
          <w:lang w:eastAsia="en-US"/>
        </w:rPr>
        <w:t xml:space="preserve">2. K209202: Projektiranje, rekonstrukcija i izgradnja nerazvrstanih cesta, putova </w:t>
      </w:r>
      <w:r w:rsidRPr="00184A8E">
        <w:rPr>
          <w:rFonts w:ascii="Arial" w:eastAsia="Calibri" w:hAnsi="Arial" w:cs="Arial"/>
          <w:sz w:val="20"/>
          <w:szCs w:val="20"/>
          <w:lang w:eastAsia="en-US"/>
        </w:rPr>
        <w:t xml:space="preserve">- Proračunska sredstva su planirana u iznosu </w:t>
      </w:r>
      <w:r w:rsidR="003A5F71">
        <w:rPr>
          <w:rFonts w:ascii="Arial" w:eastAsia="Calibri" w:hAnsi="Arial" w:cs="Arial"/>
          <w:sz w:val="20"/>
          <w:szCs w:val="20"/>
          <w:lang w:eastAsia="en-US"/>
        </w:rPr>
        <w:t>34</w:t>
      </w:r>
      <w:r w:rsidRPr="00184A8E">
        <w:rPr>
          <w:rFonts w:ascii="Arial" w:eastAsia="Calibri" w:hAnsi="Arial" w:cs="Arial"/>
          <w:sz w:val="20"/>
          <w:szCs w:val="20"/>
          <w:lang w:eastAsia="en-US"/>
        </w:rPr>
        <w:t xml:space="preserve">.000 €. U okviru ovog projekta planiraju se rashodi za otkupe zemljišta za ceste, izradu projektne dokumentacije te manja pojedinačna ulaganja u proširenje / rekonstrukciju dijela postojećih cesta. </w:t>
      </w:r>
    </w:p>
    <w:p w14:paraId="1D13DCF3" w14:textId="77777777" w:rsidR="00184A8E" w:rsidRPr="00184A8E" w:rsidRDefault="00184A8E" w:rsidP="00184A8E">
      <w:pPr>
        <w:spacing w:after="0" w:line="240" w:lineRule="auto"/>
        <w:jc w:val="both"/>
        <w:rPr>
          <w:rFonts w:ascii="Arial" w:eastAsia="Calibri" w:hAnsi="Arial" w:cs="Arial"/>
          <w:bCs/>
          <w:sz w:val="20"/>
          <w:szCs w:val="20"/>
          <w:lang w:eastAsia="en-US"/>
        </w:rPr>
      </w:pPr>
    </w:p>
    <w:p w14:paraId="1E101DE9" w14:textId="77777777" w:rsidR="00184A8E" w:rsidRPr="00184A8E" w:rsidRDefault="00184A8E" w:rsidP="00184A8E">
      <w:pPr>
        <w:spacing w:after="0" w:line="240" w:lineRule="auto"/>
        <w:jc w:val="both"/>
        <w:rPr>
          <w:rFonts w:ascii="Arial" w:eastAsia="Calibri" w:hAnsi="Arial" w:cs="Arial"/>
          <w:bCs/>
          <w:sz w:val="20"/>
          <w:szCs w:val="20"/>
          <w:lang w:eastAsia="en-US"/>
        </w:rPr>
      </w:pPr>
      <w:r w:rsidRPr="00184A8E">
        <w:rPr>
          <w:rFonts w:ascii="Arial" w:eastAsia="Calibri" w:hAnsi="Arial" w:cs="Arial"/>
          <w:bCs/>
          <w:sz w:val="20"/>
          <w:szCs w:val="20"/>
          <w:lang w:eastAsia="en-US"/>
        </w:rPr>
        <w:t xml:space="preserve">U okviru ovog projekta planiraju se rashodi za otkupe zemljišta za ceste, izradu projektne dokumentacije te manja pojedinačna ulaganja u proširenje / rekonstrukciju dijela postojećih cesta. </w:t>
      </w:r>
    </w:p>
    <w:p w14:paraId="6B583FFF" w14:textId="77777777" w:rsidR="00184A8E" w:rsidRPr="00184A8E" w:rsidRDefault="00184A8E" w:rsidP="00184A8E">
      <w:pPr>
        <w:spacing w:after="0" w:line="240" w:lineRule="auto"/>
        <w:jc w:val="both"/>
        <w:rPr>
          <w:rFonts w:ascii="Arial" w:eastAsia="Calibri" w:hAnsi="Arial" w:cs="Arial"/>
          <w:bCs/>
          <w:sz w:val="18"/>
          <w:szCs w:val="18"/>
          <w:lang w:eastAsia="en-US"/>
        </w:rPr>
      </w:pPr>
    </w:p>
    <w:p w14:paraId="7B738FDD" w14:textId="55E0FE1D" w:rsidR="00E4100F" w:rsidRPr="00E4100F" w:rsidRDefault="00E4100F" w:rsidP="00E4100F">
      <w:pPr>
        <w:spacing w:after="0" w:line="240" w:lineRule="auto"/>
        <w:jc w:val="both"/>
        <w:rPr>
          <w:rFonts w:ascii="Arial" w:eastAsia="Calibri" w:hAnsi="Arial" w:cs="Arial"/>
          <w:bCs/>
          <w:sz w:val="20"/>
          <w:szCs w:val="20"/>
          <w:lang w:eastAsia="en-US"/>
        </w:rPr>
      </w:pPr>
      <w:r w:rsidRPr="00E4100F">
        <w:rPr>
          <w:rFonts w:ascii="Arial" w:eastAsia="Calibri" w:hAnsi="Arial" w:cs="Arial"/>
          <w:bCs/>
          <w:sz w:val="20"/>
          <w:szCs w:val="20"/>
          <w:lang w:eastAsia="en-US"/>
        </w:rPr>
        <w:t xml:space="preserve">Rashodi </w:t>
      </w:r>
      <w:r>
        <w:rPr>
          <w:rFonts w:ascii="Arial" w:eastAsia="Calibri" w:hAnsi="Arial" w:cs="Arial"/>
          <w:bCs/>
          <w:sz w:val="20"/>
          <w:szCs w:val="20"/>
          <w:lang w:eastAsia="en-US"/>
        </w:rPr>
        <w:t xml:space="preserve">u 2025. </w:t>
      </w:r>
      <w:r w:rsidRPr="00E4100F">
        <w:rPr>
          <w:rFonts w:ascii="Arial" w:eastAsia="Calibri" w:hAnsi="Arial" w:cs="Arial"/>
          <w:bCs/>
          <w:sz w:val="20"/>
          <w:szCs w:val="20"/>
          <w:lang w:eastAsia="en-US"/>
        </w:rPr>
        <w:t>su izvršeni u iznosu 23.375 € ili 68,8 % plana</w:t>
      </w:r>
      <w:r>
        <w:rPr>
          <w:rFonts w:ascii="Arial" w:eastAsia="Calibri" w:hAnsi="Arial" w:cs="Arial"/>
          <w:bCs/>
          <w:sz w:val="20"/>
          <w:szCs w:val="20"/>
          <w:lang w:eastAsia="en-US"/>
        </w:rPr>
        <w:t>, a odnose se na:</w:t>
      </w:r>
    </w:p>
    <w:p w14:paraId="1B6319BB" w14:textId="77777777" w:rsidR="00E4100F" w:rsidRPr="00E4100F" w:rsidRDefault="00E4100F" w:rsidP="00E4100F">
      <w:pPr>
        <w:spacing w:after="0" w:line="240" w:lineRule="auto"/>
        <w:jc w:val="both"/>
        <w:rPr>
          <w:rFonts w:ascii="Arial" w:eastAsia="Calibri" w:hAnsi="Arial" w:cs="Arial"/>
          <w:bCs/>
          <w:sz w:val="20"/>
          <w:szCs w:val="20"/>
          <w:lang w:eastAsia="en-US"/>
        </w:rPr>
      </w:pPr>
      <w:r w:rsidRPr="00E4100F">
        <w:rPr>
          <w:rFonts w:ascii="Arial" w:eastAsia="Calibri" w:hAnsi="Arial" w:cs="Arial"/>
          <w:bCs/>
          <w:sz w:val="20"/>
          <w:szCs w:val="20"/>
          <w:lang w:eastAsia="en-US"/>
        </w:rPr>
        <w:t>-</w:t>
      </w:r>
      <w:r w:rsidRPr="00E4100F">
        <w:rPr>
          <w:rFonts w:ascii="Arial" w:eastAsia="Calibri" w:hAnsi="Arial" w:cs="Arial"/>
          <w:bCs/>
          <w:sz w:val="20"/>
          <w:szCs w:val="20"/>
          <w:lang w:eastAsia="en-US"/>
        </w:rPr>
        <w:tab/>
        <w:t xml:space="preserve">izrada glavnog projekta rekonstrukcije državne ceste D8 u cilju izrade „Lijevog skretača“ u mjestu Močići u iznosu 6.000 €, </w:t>
      </w:r>
    </w:p>
    <w:p w14:paraId="43DEEBEE" w14:textId="77777777" w:rsidR="00E4100F" w:rsidRPr="00E4100F" w:rsidRDefault="00E4100F" w:rsidP="00E4100F">
      <w:pPr>
        <w:spacing w:after="0" w:line="240" w:lineRule="auto"/>
        <w:jc w:val="both"/>
        <w:rPr>
          <w:rFonts w:ascii="Arial" w:eastAsia="Calibri" w:hAnsi="Arial" w:cs="Arial"/>
          <w:bCs/>
          <w:sz w:val="20"/>
          <w:szCs w:val="20"/>
          <w:lang w:eastAsia="en-US"/>
        </w:rPr>
      </w:pPr>
      <w:r w:rsidRPr="00E4100F">
        <w:rPr>
          <w:rFonts w:ascii="Arial" w:eastAsia="Calibri" w:hAnsi="Arial" w:cs="Arial"/>
          <w:bCs/>
          <w:sz w:val="20"/>
          <w:szCs w:val="20"/>
          <w:lang w:eastAsia="en-US"/>
        </w:rPr>
        <w:t>-</w:t>
      </w:r>
      <w:r w:rsidRPr="00E4100F">
        <w:rPr>
          <w:rFonts w:ascii="Arial" w:eastAsia="Calibri" w:hAnsi="Arial" w:cs="Arial"/>
          <w:bCs/>
          <w:sz w:val="20"/>
          <w:szCs w:val="20"/>
          <w:lang w:eastAsia="en-US"/>
        </w:rPr>
        <w:tab/>
        <w:t>izrada idejnog projekta uređenja ulice Vrelo Njirić u mjestu Ljuta u iznosu 3.000 € i geodetski situacijski snimak Vrala Njirići 875 €,</w:t>
      </w:r>
    </w:p>
    <w:p w14:paraId="5A0DF0DC" w14:textId="77777777" w:rsidR="00E4100F" w:rsidRPr="00E4100F" w:rsidRDefault="00E4100F" w:rsidP="00E4100F">
      <w:pPr>
        <w:spacing w:after="0" w:line="240" w:lineRule="auto"/>
        <w:jc w:val="both"/>
        <w:rPr>
          <w:rFonts w:ascii="Arial" w:eastAsia="Calibri" w:hAnsi="Arial" w:cs="Arial"/>
          <w:bCs/>
          <w:sz w:val="20"/>
          <w:szCs w:val="20"/>
          <w:lang w:eastAsia="en-US"/>
        </w:rPr>
      </w:pPr>
      <w:r w:rsidRPr="00E4100F">
        <w:rPr>
          <w:rFonts w:ascii="Arial" w:eastAsia="Calibri" w:hAnsi="Arial" w:cs="Arial"/>
          <w:bCs/>
          <w:sz w:val="20"/>
          <w:szCs w:val="20"/>
          <w:lang w:eastAsia="en-US"/>
        </w:rPr>
        <w:t>-</w:t>
      </w:r>
      <w:r w:rsidRPr="00E4100F">
        <w:rPr>
          <w:rFonts w:ascii="Arial" w:eastAsia="Calibri" w:hAnsi="Arial" w:cs="Arial"/>
          <w:bCs/>
          <w:sz w:val="20"/>
          <w:szCs w:val="20"/>
          <w:lang w:eastAsia="en-US"/>
        </w:rPr>
        <w:tab/>
        <w:t>projekt uređenja raskrižja Vojski do 3.250 €,</w:t>
      </w:r>
    </w:p>
    <w:p w14:paraId="63DE1B3C" w14:textId="77777777" w:rsidR="00E4100F" w:rsidRPr="00E4100F" w:rsidRDefault="00E4100F" w:rsidP="00E4100F">
      <w:pPr>
        <w:spacing w:after="0" w:line="240" w:lineRule="auto"/>
        <w:jc w:val="both"/>
        <w:rPr>
          <w:rFonts w:ascii="Arial" w:eastAsia="Calibri" w:hAnsi="Arial" w:cs="Arial"/>
          <w:bCs/>
          <w:sz w:val="20"/>
          <w:szCs w:val="20"/>
          <w:lang w:eastAsia="en-US"/>
        </w:rPr>
      </w:pPr>
      <w:r w:rsidRPr="00E4100F">
        <w:rPr>
          <w:rFonts w:ascii="Arial" w:eastAsia="Calibri" w:hAnsi="Arial" w:cs="Arial"/>
          <w:bCs/>
          <w:sz w:val="20"/>
          <w:szCs w:val="20"/>
          <w:lang w:eastAsia="en-US"/>
        </w:rPr>
        <w:t>-</w:t>
      </w:r>
      <w:r w:rsidRPr="00E4100F">
        <w:rPr>
          <w:rFonts w:ascii="Arial" w:eastAsia="Calibri" w:hAnsi="Arial" w:cs="Arial"/>
          <w:bCs/>
          <w:sz w:val="20"/>
          <w:szCs w:val="20"/>
          <w:lang w:eastAsia="en-US"/>
        </w:rPr>
        <w:tab/>
        <w:t>projekt uređenja raskrižja Jagnjilo 2.875 €,</w:t>
      </w:r>
    </w:p>
    <w:p w14:paraId="5AC7BB8A" w14:textId="77777777" w:rsidR="00E4100F" w:rsidRPr="00E4100F" w:rsidRDefault="00E4100F" w:rsidP="00E4100F">
      <w:pPr>
        <w:spacing w:after="0" w:line="240" w:lineRule="auto"/>
        <w:jc w:val="both"/>
        <w:rPr>
          <w:rFonts w:ascii="Arial" w:eastAsia="Calibri" w:hAnsi="Arial" w:cs="Arial"/>
          <w:bCs/>
          <w:sz w:val="20"/>
          <w:szCs w:val="20"/>
          <w:lang w:eastAsia="en-US"/>
        </w:rPr>
      </w:pPr>
      <w:r w:rsidRPr="00E4100F">
        <w:rPr>
          <w:rFonts w:ascii="Arial" w:eastAsia="Calibri" w:hAnsi="Arial" w:cs="Arial"/>
          <w:bCs/>
          <w:sz w:val="20"/>
          <w:szCs w:val="20"/>
          <w:lang w:eastAsia="en-US"/>
        </w:rPr>
        <w:t>-</w:t>
      </w:r>
      <w:r w:rsidRPr="00E4100F">
        <w:rPr>
          <w:rFonts w:ascii="Arial" w:eastAsia="Calibri" w:hAnsi="Arial" w:cs="Arial"/>
          <w:bCs/>
          <w:sz w:val="20"/>
          <w:szCs w:val="20"/>
          <w:lang w:eastAsia="en-US"/>
        </w:rPr>
        <w:tab/>
        <w:t xml:space="preserve">izrada prometnog elaborata za potrebe uređenja prometovanja u ulici Bogišićeva Tiha (od križanja sa ulicom Plosni rat do novoizgrađenog parkirališta) 2.250 €, </w:t>
      </w:r>
    </w:p>
    <w:p w14:paraId="3B7288CE" w14:textId="77777777" w:rsidR="00E4100F" w:rsidRPr="00E4100F" w:rsidRDefault="00E4100F" w:rsidP="00E4100F">
      <w:pPr>
        <w:spacing w:after="0" w:line="240" w:lineRule="auto"/>
        <w:jc w:val="both"/>
        <w:rPr>
          <w:rFonts w:ascii="Arial" w:eastAsia="Calibri" w:hAnsi="Arial" w:cs="Arial"/>
          <w:bCs/>
          <w:sz w:val="20"/>
          <w:szCs w:val="20"/>
          <w:lang w:eastAsia="en-US"/>
        </w:rPr>
      </w:pPr>
      <w:r w:rsidRPr="00E4100F">
        <w:rPr>
          <w:rFonts w:ascii="Arial" w:eastAsia="Calibri" w:hAnsi="Arial" w:cs="Arial"/>
          <w:bCs/>
          <w:sz w:val="20"/>
          <w:szCs w:val="20"/>
          <w:lang w:eastAsia="en-US"/>
        </w:rPr>
        <w:t>-</w:t>
      </w:r>
      <w:r w:rsidRPr="00E4100F">
        <w:rPr>
          <w:rFonts w:ascii="Arial" w:eastAsia="Calibri" w:hAnsi="Arial" w:cs="Arial"/>
          <w:bCs/>
          <w:sz w:val="20"/>
          <w:szCs w:val="20"/>
          <w:lang w:eastAsia="en-US"/>
        </w:rPr>
        <w:tab/>
        <w:t>prometni elaborat za uređenje prometovanja Šetalište Žal, Ulica Plosni Rat, Put od Oboda, prometovanje ispred hotela Albatros 1.875 €,</w:t>
      </w:r>
    </w:p>
    <w:p w14:paraId="30DA02CB" w14:textId="33F7215A" w:rsidR="00E4100F" w:rsidRDefault="00E4100F" w:rsidP="00E4100F">
      <w:pPr>
        <w:spacing w:after="0" w:line="240" w:lineRule="auto"/>
        <w:jc w:val="both"/>
        <w:rPr>
          <w:rFonts w:ascii="Arial" w:eastAsia="Calibri" w:hAnsi="Arial" w:cs="Arial"/>
          <w:bCs/>
          <w:sz w:val="20"/>
          <w:szCs w:val="20"/>
          <w:lang w:eastAsia="en-US"/>
        </w:rPr>
      </w:pPr>
      <w:r w:rsidRPr="00E4100F">
        <w:rPr>
          <w:rFonts w:ascii="Arial" w:eastAsia="Calibri" w:hAnsi="Arial" w:cs="Arial"/>
          <w:bCs/>
          <w:sz w:val="20"/>
          <w:szCs w:val="20"/>
          <w:lang w:eastAsia="en-US"/>
        </w:rPr>
        <w:t>-</w:t>
      </w:r>
      <w:r w:rsidRPr="00E4100F">
        <w:rPr>
          <w:rFonts w:ascii="Arial" w:eastAsia="Calibri" w:hAnsi="Arial" w:cs="Arial"/>
          <w:bCs/>
          <w:sz w:val="20"/>
          <w:szCs w:val="20"/>
          <w:lang w:eastAsia="en-US"/>
        </w:rPr>
        <w:tab/>
        <w:t>izrada idejnog projekta uređenja dijela ulice Poluganje 3.250 €.</w:t>
      </w:r>
    </w:p>
    <w:p w14:paraId="07891BBF" w14:textId="77777777" w:rsidR="00E4100F" w:rsidRPr="00184A8E" w:rsidRDefault="00E4100F" w:rsidP="00184A8E">
      <w:pPr>
        <w:spacing w:after="0" w:line="240" w:lineRule="auto"/>
        <w:jc w:val="both"/>
        <w:rPr>
          <w:rFonts w:ascii="Arial" w:eastAsia="Calibri" w:hAnsi="Arial" w:cs="Arial"/>
          <w:bCs/>
          <w:sz w:val="20"/>
          <w:szCs w:val="20"/>
          <w:lang w:eastAsia="en-US"/>
        </w:rPr>
      </w:pPr>
    </w:p>
    <w:tbl>
      <w:tblPr>
        <w:tblStyle w:val="Reetkatablice5368"/>
        <w:tblW w:w="14280" w:type="dxa"/>
        <w:jc w:val="center"/>
        <w:tblLayout w:type="fixed"/>
        <w:tblLook w:val="04A0" w:firstRow="1" w:lastRow="0" w:firstColumn="1" w:lastColumn="0" w:noHBand="0" w:noVBand="1"/>
      </w:tblPr>
      <w:tblGrid>
        <w:gridCol w:w="2552"/>
        <w:gridCol w:w="3402"/>
        <w:gridCol w:w="958"/>
        <w:gridCol w:w="1134"/>
        <w:gridCol w:w="1232"/>
        <w:gridCol w:w="1276"/>
        <w:gridCol w:w="1242"/>
        <w:gridCol w:w="1242"/>
        <w:gridCol w:w="1242"/>
      </w:tblGrid>
      <w:tr w:rsidR="00184A8E" w:rsidRPr="00184A8E" w14:paraId="4D945B25" w14:textId="77777777" w:rsidTr="00410A4B">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F0B63C3"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2FF0DF3"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DC70282"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B83043"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32037B4" w14:textId="0A07C023"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E4100F">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605EB86" w14:textId="16F0B866"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E4100F">
              <w:rPr>
                <w:rFonts w:ascii="Arial" w:eastAsia="Calibri" w:hAnsi="Arial" w:cs="Arial"/>
                <w:lang w:eastAsia="en-US"/>
              </w:rPr>
              <w:t>5</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C296C8B" w14:textId="1DD43F5B"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E4100F">
              <w:rPr>
                <w:rFonts w:ascii="Arial" w:eastAsia="Calibri" w:hAnsi="Arial" w:cs="Arial"/>
                <w:lang w:eastAsia="en-US"/>
              </w:rPr>
              <w:t>5</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C35C373" w14:textId="00959549"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E4100F">
              <w:rPr>
                <w:rFonts w:ascii="Arial" w:eastAsia="Calibri" w:hAnsi="Arial" w:cs="Arial"/>
                <w:lang w:eastAsia="en-US"/>
              </w:rPr>
              <w:t>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597DA09" w14:textId="0199DCE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E4100F">
              <w:rPr>
                <w:rFonts w:ascii="Arial" w:eastAsia="Calibri" w:hAnsi="Arial" w:cs="Arial"/>
                <w:lang w:eastAsia="en-US"/>
              </w:rPr>
              <w:t>7</w:t>
            </w:r>
            <w:r w:rsidRPr="00184A8E">
              <w:rPr>
                <w:rFonts w:ascii="Arial" w:eastAsia="Calibri" w:hAnsi="Arial" w:cs="Arial"/>
                <w:lang w:eastAsia="en-US"/>
              </w:rPr>
              <w:t>.</w:t>
            </w:r>
          </w:p>
        </w:tc>
      </w:tr>
      <w:tr w:rsidR="00184A8E" w:rsidRPr="00184A8E" w14:paraId="3481D9A9" w14:textId="77777777" w:rsidTr="00410A4B">
        <w:trPr>
          <w:trHeight w:val="273"/>
          <w:jc w:val="center"/>
        </w:trPr>
        <w:tc>
          <w:tcPr>
            <w:tcW w:w="2552" w:type="dxa"/>
            <w:tcBorders>
              <w:top w:val="single" w:sz="4" w:space="0" w:color="auto"/>
              <w:left w:val="single" w:sz="4" w:space="0" w:color="auto"/>
              <w:bottom w:val="single" w:sz="4" w:space="0" w:color="auto"/>
              <w:right w:val="single" w:sz="4" w:space="0" w:color="auto"/>
            </w:tcBorders>
            <w:vAlign w:val="center"/>
          </w:tcPr>
          <w:p w14:paraId="4F79660B" w14:textId="77777777" w:rsidR="00184A8E" w:rsidRPr="00184A8E" w:rsidRDefault="00184A8E" w:rsidP="00184A8E">
            <w:pPr>
              <w:rPr>
                <w:rFonts w:ascii="Arial" w:hAnsi="Arial" w:cs="Arial"/>
                <w:sz w:val="18"/>
                <w:szCs w:val="18"/>
                <w:lang w:eastAsia="en-US"/>
              </w:rPr>
            </w:pPr>
            <w:r w:rsidRPr="00184A8E">
              <w:rPr>
                <w:rFonts w:ascii="Arial" w:eastAsia="Calibri" w:hAnsi="Arial" w:cs="Arial"/>
                <w:iCs/>
                <w:sz w:val="18"/>
                <w:szCs w:val="18"/>
              </w:rPr>
              <w:t xml:space="preserve">Utrošena sredstva za projektiranje, rekonstrukciju i izgradnju cesta </w:t>
            </w:r>
          </w:p>
        </w:tc>
        <w:tc>
          <w:tcPr>
            <w:tcW w:w="3402" w:type="dxa"/>
            <w:tcBorders>
              <w:top w:val="single" w:sz="4" w:space="0" w:color="auto"/>
              <w:left w:val="single" w:sz="4" w:space="0" w:color="auto"/>
              <w:bottom w:val="single" w:sz="4" w:space="0" w:color="auto"/>
              <w:right w:val="single" w:sz="4" w:space="0" w:color="auto"/>
            </w:tcBorders>
            <w:vAlign w:val="center"/>
          </w:tcPr>
          <w:p w14:paraId="7F4C9865"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eastAsia="Calibri" w:hAnsi="Arial" w:cs="Arial"/>
                <w:sz w:val="18"/>
                <w:szCs w:val="18"/>
                <w:lang w:eastAsia="en-US"/>
              </w:rPr>
              <w:t xml:space="preserve">Udio utrošenih planiranih sredstava za </w:t>
            </w:r>
            <w:r w:rsidRPr="00184A8E">
              <w:rPr>
                <w:rFonts w:ascii="Arial" w:eastAsia="Calibri" w:hAnsi="Arial" w:cs="Arial"/>
                <w:iCs/>
                <w:sz w:val="18"/>
                <w:szCs w:val="18"/>
              </w:rPr>
              <w:t>projektiranje novih cesta</w:t>
            </w:r>
          </w:p>
        </w:tc>
        <w:tc>
          <w:tcPr>
            <w:tcW w:w="958" w:type="dxa"/>
            <w:tcBorders>
              <w:top w:val="single" w:sz="4" w:space="0" w:color="auto"/>
              <w:left w:val="single" w:sz="4" w:space="0" w:color="auto"/>
              <w:bottom w:val="single" w:sz="4" w:space="0" w:color="auto"/>
              <w:right w:val="single" w:sz="4" w:space="0" w:color="auto"/>
            </w:tcBorders>
            <w:vAlign w:val="center"/>
          </w:tcPr>
          <w:p w14:paraId="387F6A2E"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0B193A8F" w14:textId="77777777" w:rsidR="00184A8E" w:rsidRPr="00184A8E" w:rsidRDefault="00184A8E" w:rsidP="00184A8E">
            <w:pPr>
              <w:jc w:val="center"/>
              <w:rPr>
                <w:rFonts w:ascii="Arial" w:hAnsi="Arial" w:cs="Arial"/>
                <w:lang w:eastAsia="en-US"/>
              </w:rPr>
            </w:pPr>
            <w:r w:rsidRPr="00184A8E">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1E83D3D" w14:textId="7CC6F87E" w:rsidR="00184A8E" w:rsidRPr="00184A8E" w:rsidRDefault="00E4100F" w:rsidP="00184A8E">
            <w:pPr>
              <w:jc w:val="center"/>
              <w:rPr>
                <w:rFonts w:ascii="Arial" w:hAnsi="Arial" w:cs="Arial"/>
                <w:lang w:eastAsia="en-US"/>
              </w:rPr>
            </w:pPr>
            <w:r>
              <w:rPr>
                <w:rFonts w:ascii="Arial" w:eastAsia="Calibri" w:hAnsi="Arial" w:cs="Arial"/>
                <w:lang w:eastAsia="en-US"/>
              </w:rPr>
              <w:t>59</w:t>
            </w:r>
            <w:r w:rsidR="00184A8E" w:rsidRPr="00184A8E">
              <w:rPr>
                <w:rFonts w:ascii="Arial" w:eastAsia="Calibri" w:hAnsi="Arial" w:cs="Arial"/>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25823D54"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10779623" w14:textId="64E3DDFD" w:rsidR="00184A8E" w:rsidRPr="00184A8E" w:rsidRDefault="00E4100F" w:rsidP="00184A8E">
            <w:pPr>
              <w:jc w:val="center"/>
              <w:rPr>
                <w:rFonts w:ascii="Arial" w:eastAsia="Calibri" w:hAnsi="Arial" w:cs="Arial"/>
                <w:lang w:eastAsia="en-US"/>
              </w:rPr>
            </w:pPr>
            <w:r>
              <w:rPr>
                <w:rFonts w:ascii="Arial" w:eastAsia="Calibri" w:hAnsi="Arial" w:cs="Arial"/>
                <w:lang w:eastAsia="en-US"/>
              </w:rPr>
              <w:t>69</w:t>
            </w:r>
            <w:r w:rsidR="00184A8E"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56C76F4A"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3C055B06"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w:t>
            </w:r>
          </w:p>
        </w:tc>
      </w:tr>
    </w:tbl>
    <w:p w14:paraId="7487F21F" w14:textId="77777777" w:rsidR="00184A8E" w:rsidRPr="00184A8E" w:rsidRDefault="00184A8E" w:rsidP="00184A8E">
      <w:pPr>
        <w:spacing w:after="0" w:line="240" w:lineRule="auto"/>
        <w:jc w:val="both"/>
        <w:rPr>
          <w:rFonts w:ascii="Arial" w:eastAsia="Calibri" w:hAnsi="Arial" w:cs="Arial"/>
          <w:bCs/>
          <w:sz w:val="20"/>
          <w:szCs w:val="20"/>
          <w:lang w:eastAsia="en-US"/>
        </w:rPr>
      </w:pPr>
    </w:p>
    <w:p w14:paraId="1E608547" w14:textId="672EE291"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3. K209203: Rekonstrukcija i izgradnja javne rasvjete</w:t>
      </w:r>
      <w:r w:rsidRPr="00184A8E">
        <w:rPr>
          <w:rFonts w:ascii="Arial" w:eastAsia="Calibri" w:hAnsi="Arial" w:cs="Arial"/>
          <w:sz w:val="20"/>
          <w:szCs w:val="20"/>
        </w:rPr>
        <w:t xml:space="preserve"> - </w:t>
      </w:r>
      <w:bookmarkStart w:id="531" w:name="_Hlk198906928"/>
      <w:r w:rsidRPr="00184A8E">
        <w:rPr>
          <w:rFonts w:ascii="Arial" w:eastAsia="Calibri" w:hAnsi="Arial" w:cs="Arial"/>
          <w:sz w:val="20"/>
          <w:szCs w:val="20"/>
        </w:rPr>
        <w:t xml:space="preserve">Proračunska sredstva planiraju se za proširenje javne rasvjete u iznosu </w:t>
      </w:r>
      <w:r w:rsidR="00E4100F">
        <w:rPr>
          <w:rFonts w:ascii="Arial" w:eastAsia="Calibri" w:hAnsi="Arial" w:cs="Arial"/>
          <w:sz w:val="20"/>
          <w:szCs w:val="20"/>
        </w:rPr>
        <w:t>252</w:t>
      </w:r>
      <w:r w:rsidRPr="00184A8E">
        <w:rPr>
          <w:rFonts w:ascii="Arial" w:eastAsia="Calibri" w:hAnsi="Arial" w:cs="Arial"/>
          <w:sz w:val="20"/>
          <w:szCs w:val="20"/>
        </w:rPr>
        <w:t xml:space="preserve">.000 € sukladno Programu gradnje, zaprimljenim zahtjevima i potrebama. Rashodi su izvršeni u iznosu </w:t>
      </w:r>
      <w:r w:rsidR="00E4100F">
        <w:rPr>
          <w:rFonts w:ascii="Arial" w:eastAsia="Calibri" w:hAnsi="Arial" w:cs="Arial"/>
          <w:sz w:val="20"/>
          <w:szCs w:val="20"/>
        </w:rPr>
        <w:t>208.726,75</w:t>
      </w:r>
      <w:r w:rsidRPr="00184A8E">
        <w:rPr>
          <w:rFonts w:ascii="Arial" w:eastAsia="Calibri" w:hAnsi="Arial" w:cs="Arial"/>
          <w:sz w:val="20"/>
          <w:szCs w:val="20"/>
        </w:rPr>
        <w:t xml:space="preserve"> € i odnose se na:</w:t>
      </w:r>
    </w:p>
    <w:bookmarkEnd w:id="530"/>
    <w:bookmarkEnd w:id="531"/>
    <w:p w14:paraId="6D14320D" w14:textId="77777777" w:rsidR="00E4100F" w:rsidRPr="00E4100F" w:rsidRDefault="00E4100F">
      <w:pPr>
        <w:numPr>
          <w:ilvl w:val="0"/>
          <w:numId w:val="3"/>
        </w:numPr>
        <w:spacing w:after="0" w:line="240" w:lineRule="auto"/>
        <w:ind w:left="567" w:hanging="567"/>
        <w:jc w:val="both"/>
        <w:rPr>
          <w:rFonts w:ascii="Arial" w:hAnsi="Arial" w:cs="Arial"/>
          <w:sz w:val="20"/>
          <w:szCs w:val="20"/>
        </w:rPr>
      </w:pPr>
      <w:r w:rsidRPr="00E4100F">
        <w:rPr>
          <w:rFonts w:ascii="Arial" w:hAnsi="Arial" w:cs="Arial"/>
          <w:sz w:val="20"/>
          <w:szCs w:val="20"/>
        </w:rPr>
        <w:t>postavljanje rasvjete na više mjesta diljem Općine: led svjetiljke za rasvjetu 12.079,50 €, Gruda uz D8 magistralu 70.916,06 € i stručni nadzor postavljanja rasvjete 1.250 €, rasvjeta igralište Gruda-Gnjile 4.466,88 €, Gruda – Bačev do 13.319,98 €, Gruda parking 9.115,95 €, Tiha (Cavtat) parking 14.261,73 €, Cavtat 29.004,08 € (Ulica SS Kranjčevića, Trumbićev put, ulica Antuna Mihanovića), Zastolje 5.956,25 €, Poljice 5.518,75 €, Obod (uključujući rasvjetu za boćarsko igralište i odlagalište otpada) 5.363,43 €, Zvekovica parking 2.855,33 €, Zvekovica – Mećajac (uz D8 i ŽC) 2.752,13 €, te više drugih lokacija (Jasenice, Tušići, Komaji, Vitaljina, Vodovađa, Molunat, Lovorno, Uskoplje, Popovići, Poljice, Zvekovica, Gruda više pojedinačnih lokacija) u ukupnom iznosu 31.866,68 €.</w:t>
      </w:r>
    </w:p>
    <w:p w14:paraId="0CD84A0D" w14:textId="77777777" w:rsidR="00184A8E" w:rsidRPr="00184A8E" w:rsidRDefault="00184A8E" w:rsidP="00184A8E">
      <w:pPr>
        <w:spacing w:after="0" w:line="240" w:lineRule="auto"/>
        <w:jc w:val="both"/>
        <w:rPr>
          <w:rFonts w:ascii="Arial" w:eastAsia="Calibri" w:hAnsi="Arial" w:cs="Arial"/>
          <w:sz w:val="20"/>
          <w:szCs w:val="20"/>
        </w:rPr>
      </w:pPr>
    </w:p>
    <w:tbl>
      <w:tblPr>
        <w:tblStyle w:val="Reetkatablice5368"/>
        <w:tblW w:w="13991" w:type="dxa"/>
        <w:jc w:val="center"/>
        <w:tblLayout w:type="fixed"/>
        <w:tblLook w:val="04A0" w:firstRow="1" w:lastRow="0" w:firstColumn="1" w:lastColumn="0" w:noHBand="0" w:noVBand="1"/>
      </w:tblPr>
      <w:tblGrid>
        <w:gridCol w:w="2263"/>
        <w:gridCol w:w="3402"/>
        <w:gridCol w:w="958"/>
        <w:gridCol w:w="1134"/>
        <w:gridCol w:w="1232"/>
        <w:gridCol w:w="1276"/>
        <w:gridCol w:w="1242"/>
        <w:gridCol w:w="1242"/>
        <w:gridCol w:w="1242"/>
      </w:tblGrid>
      <w:tr w:rsidR="00184A8E" w:rsidRPr="00184A8E" w14:paraId="11827FC3"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09D892C"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6A43C85"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5B2847F"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C91CF3C"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0C7F522" w14:textId="719594C1"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E4100F">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213E601" w14:textId="02E8620E"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E4100F">
              <w:rPr>
                <w:rFonts w:ascii="Arial" w:eastAsia="Calibri" w:hAnsi="Arial" w:cs="Arial"/>
                <w:lang w:eastAsia="en-US"/>
              </w:rPr>
              <w:t>5</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06B873C" w14:textId="18BED24F"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E4100F">
              <w:rPr>
                <w:rFonts w:ascii="Arial" w:eastAsia="Calibri" w:hAnsi="Arial" w:cs="Arial"/>
                <w:lang w:eastAsia="en-US"/>
              </w:rPr>
              <w:t>5</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82FDE96" w14:textId="15704759"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E4100F">
              <w:rPr>
                <w:rFonts w:ascii="Arial" w:eastAsia="Calibri" w:hAnsi="Arial" w:cs="Arial"/>
                <w:lang w:eastAsia="en-US"/>
              </w:rPr>
              <w:t>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F7B1FDE" w14:textId="06303C5B"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E4100F">
              <w:rPr>
                <w:rFonts w:ascii="Arial" w:eastAsia="Calibri" w:hAnsi="Arial" w:cs="Arial"/>
                <w:lang w:eastAsia="en-US"/>
              </w:rPr>
              <w:t>7</w:t>
            </w:r>
            <w:r w:rsidRPr="00184A8E">
              <w:rPr>
                <w:rFonts w:ascii="Arial" w:eastAsia="Calibri" w:hAnsi="Arial" w:cs="Arial"/>
                <w:lang w:eastAsia="en-US"/>
              </w:rPr>
              <w:t>.</w:t>
            </w:r>
          </w:p>
        </w:tc>
      </w:tr>
      <w:tr w:rsidR="00184A8E" w:rsidRPr="00184A8E" w14:paraId="36EE7EDD" w14:textId="77777777" w:rsidTr="00410A4B">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566C15D5" w14:textId="77777777" w:rsidR="00184A8E" w:rsidRPr="00184A8E" w:rsidRDefault="00184A8E" w:rsidP="00184A8E">
            <w:pPr>
              <w:rPr>
                <w:rFonts w:ascii="Arial" w:hAnsi="Arial" w:cs="Arial"/>
                <w:sz w:val="18"/>
                <w:szCs w:val="18"/>
                <w:lang w:eastAsia="en-US"/>
              </w:rPr>
            </w:pPr>
            <w:r w:rsidRPr="00184A8E">
              <w:rPr>
                <w:rFonts w:ascii="Arial" w:eastAsia="Calibri" w:hAnsi="Arial" w:cs="Arial"/>
                <w:iCs/>
                <w:sz w:val="18"/>
                <w:szCs w:val="18"/>
              </w:rPr>
              <w:t xml:space="preserve">Utrošena sredstva za proširenje javne rasvjete </w:t>
            </w:r>
          </w:p>
        </w:tc>
        <w:tc>
          <w:tcPr>
            <w:tcW w:w="3402" w:type="dxa"/>
            <w:tcBorders>
              <w:top w:val="single" w:sz="4" w:space="0" w:color="auto"/>
              <w:left w:val="single" w:sz="4" w:space="0" w:color="auto"/>
              <w:bottom w:val="single" w:sz="4" w:space="0" w:color="auto"/>
              <w:right w:val="single" w:sz="4" w:space="0" w:color="auto"/>
            </w:tcBorders>
            <w:vAlign w:val="center"/>
          </w:tcPr>
          <w:p w14:paraId="0B8E7CDA"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eastAsia="Calibri" w:hAnsi="Arial" w:cs="Arial"/>
                <w:sz w:val="18"/>
                <w:szCs w:val="18"/>
                <w:lang w:eastAsia="en-US"/>
              </w:rPr>
              <w:t xml:space="preserve">Udio utrošenih planiranih sredstava za </w:t>
            </w:r>
            <w:r w:rsidRPr="00184A8E">
              <w:rPr>
                <w:rFonts w:ascii="Arial" w:eastAsia="Calibri" w:hAnsi="Arial" w:cs="Arial"/>
                <w:iCs/>
                <w:sz w:val="18"/>
                <w:szCs w:val="18"/>
              </w:rPr>
              <w:t>proširenje javne rasvjete</w:t>
            </w:r>
          </w:p>
        </w:tc>
        <w:tc>
          <w:tcPr>
            <w:tcW w:w="958" w:type="dxa"/>
            <w:tcBorders>
              <w:top w:val="single" w:sz="4" w:space="0" w:color="auto"/>
              <w:left w:val="single" w:sz="4" w:space="0" w:color="auto"/>
              <w:bottom w:val="single" w:sz="4" w:space="0" w:color="auto"/>
              <w:right w:val="single" w:sz="4" w:space="0" w:color="auto"/>
            </w:tcBorders>
            <w:vAlign w:val="center"/>
          </w:tcPr>
          <w:p w14:paraId="74585CF5"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7CF311D2" w14:textId="77777777" w:rsidR="00184A8E" w:rsidRPr="00184A8E" w:rsidRDefault="00184A8E" w:rsidP="00184A8E">
            <w:pPr>
              <w:jc w:val="center"/>
              <w:rPr>
                <w:rFonts w:ascii="Arial" w:hAnsi="Arial" w:cs="Arial"/>
                <w:lang w:eastAsia="en-US"/>
              </w:rPr>
            </w:pPr>
            <w:r w:rsidRPr="00184A8E">
              <w:rPr>
                <w:rFonts w:ascii="Arial" w:hAnsi="Arial" w:cs="Arial"/>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3FF9802" w14:textId="39CC13DD" w:rsidR="00184A8E" w:rsidRPr="00184A8E" w:rsidRDefault="00184A8E" w:rsidP="00184A8E">
            <w:pPr>
              <w:jc w:val="center"/>
              <w:rPr>
                <w:rFonts w:ascii="Arial" w:hAnsi="Arial" w:cs="Arial"/>
                <w:lang w:eastAsia="en-US"/>
              </w:rPr>
            </w:pPr>
            <w:r w:rsidRPr="00184A8E">
              <w:rPr>
                <w:rFonts w:ascii="Arial" w:eastAsia="Calibri" w:hAnsi="Arial" w:cs="Arial"/>
                <w:lang w:eastAsia="en-US"/>
              </w:rPr>
              <w:t>7</w:t>
            </w:r>
            <w:r w:rsidR="00E4100F">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4F773BCC"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2C3DEE5B" w14:textId="6F44DFC6" w:rsidR="00184A8E" w:rsidRPr="00184A8E" w:rsidRDefault="00E4100F" w:rsidP="00184A8E">
            <w:pPr>
              <w:jc w:val="center"/>
              <w:rPr>
                <w:rFonts w:ascii="Arial" w:eastAsia="Calibri" w:hAnsi="Arial" w:cs="Arial"/>
                <w:lang w:eastAsia="en-US"/>
              </w:rPr>
            </w:pPr>
            <w:r>
              <w:rPr>
                <w:rFonts w:ascii="Arial" w:eastAsia="Calibri" w:hAnsi="Arial" w:cs="Arial"/>
                <w:lang w:eastAsia="en-US"/>
              </w:rPr>
              <w:t>83</w:t>
            </w:r>
            <w:r w:rsidR="00184A8E"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5EEDEC74" w14:textId="77777777" w:rsidR="00184A8E" w:rsidRPr="00184A8E" w:rsidRDefault="00184A8E" w:rsidP="00184A8E">
            <w:pPr>
              <w:jc w:val="center"/>
              <w:rPr>
                <w:rFonts w:ascii="Arial" w:hAnsi="Arial" w:cs="Arial"/>
                <w:lang w:eastAsia="en-US"/>
              </w:rPr>
            </w:pPr>
            <w:r w:rsidRPr="00184A8E">
              <w:rPr>
                <w:rFonts w:ascii="Arial" w:eastAsia="Calibri" w:hAnsi="Arial" w:cs="Arial"/>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6894FE59" w14:textId="77777777" w:rsidR="00184A8E" w:rsidRPr="00184A8E" w:rsidRDefault="00184A8E" w:rsidP="00184A8E">
            <w:pPr>
              <w:jc w:val="center"/>
              <w:rPr>
                <w:rFonts w:ascii="Arial" w:hAnsi="Arial" w:cs="Arial"/>
                <w:lang w:eastAsia="en-US"/>
              </w:rPr>
            </w:pPr>
            <w:r w:rsidRPr="00184A8E">
              <w:rPr>
                <w:rFonts w:ascii="Arial" w:hAnsi="Arial" w:cs="Arial"/>
                <w:lang w:eastAsia="en-US"/>
              </w:rPr>
              <w:t>100%</w:t>
            </w:r>
          </w:p>
        </w:tc>
      </w:tr>
    </w:tbl>
    <w:p w14:paraId="7685B8A7" w14:textId="77777777" w:rsidR="00184A8E" w:rsidRPr="00184A8E" w:rsidRDefault="00184A8E" w:rsidP="00184A8E">
      <w:pPr>
        <w:spacing w:after="0" w:line="240" w:lineRule="auto"/>
        <w:jc w:val="both"/>
        <w:rPr>
          <w:rFonts w:ascii="Arial" w:eastAsia="Calibri" w:hAnsi="Arial" w:cs="Arial"/>
          <w:sz w:val="20"/>
          <w:szCs w:val="20"/>
        </w:rPr>
      </w:pPr>
    </w:p>
    <w:p w14:paraId="0309CCBE" w14:textId="22D57EF6" w:rsidR="00184A8E" w:rsidRPr="00184A8E" w:rsidRDefault="00184A8E" w:rsidP="00184A8E">
      <w:pPr>
        <w:spacing w:after="0" w:line="240" w:lineRule="auto"/>
        <w:jc w:val="both"/>
        <w:rPr>
          <w:rFonts w:ascii="Arial" w:eastAsia="Calibri" w:hAnsi="Arial" w:cs="Arial"/>
          <w:sz w:val="20"/>
          <w:szCs w:val="20"/>
        </w:rPr>
      </w:pPr>
      <w:bookmarkStart w:id="532" w:name="_Hlk135068061"/>
      <w:r w:rsidRPr="00184A8E">
        <w:rPr>
          <w:rFonts w:ascii="Arial" w:eastAsia="Calibri" w:hAnsi="Arial" w:cs="Arial"/>
          <w:b/>
          <w:sz w:val="20"/>
          <w:szCs w:val="20"/>
        </w:rPr>
        <w:lastRenderedPageBreak/>
        <w:t>4. K209204: Modernizacija javne rasvjete – Unapređenje energetske učinkovitosti sustava javne rasvjete (zamjena štednih žarulja)</w:t>
      </w:r>
      <w:r w:rsidRPr="00184A8E">
        <w:rPr>
          <w:rFonts w:ascii="Arial" w:eastAsia="Calibri" w:hAnsi="Arial" w:cs="Arial"/>
          <w:sz w:val="20"/>
          <w:szCs w:val="20"/>
        </w:rPr>
        <w:t xml:space="preserve"> - </w:t>
      </w:r>
      <w:bookmarkStart w:id="533" w:name="_Hlk198906970"/>
      <w:r w:rsidRPr="00184A8E">
        <w:rPr>
          <w:rFonts w:ascii="Arial" w:eastAsia="Calibri" w:hAnsi="Arial" w:cs="Arial"/>
          <w:sz w:val="20"/>
          <w:szCs w:val="20"/>
        </w:rPr>
        <w:t xml:space="preserve">u sklopu projekta rashodi su planirani rashodi u iznosu </w:t>
      </w:r>
      <w:r w:rsidR="00E4100F">
        <w:rPr>
          <w:rFonts w:ascii="Arial" w:eastAsia="Calibri" w:hAnsi="Arial" w:cs="Arial"/>
          <w:sz w:val="20"/>
          <w:szCs w:val="20"/>
        </w:rPr>
        <w:t>32.500</w:t>
      </w:r>
      <w:r w:rsidRPr="00184A8E">
        <w:rPr>
          <w:rFonts w:ascii="Arial" w:eastAsia="Calibri" w:hAnsi="Arial" w:cs="Arial"/>
          <w:sz w:val="20"/>
          <w:szCs w:val="20"/>
        </w:rPr>
        <w:t xml:space="preserve"> €. U okviru ovog projekta planirana je rekonstrukcija javne rasvjete kroz projekt povećanja učinkovitosti sustava zamjenom postojećih rasvjetnih tijela novim i učinkovitijim. </w:t>
      </w:r>
    </w:p>
    <w:p w14:paraId="1FB1EEA8" w14:textId="77777777" w:rsidR="00E4100F" w:rsidRDefault="00E4100F" w:rsidP="00E4100F">
      <w:pPr>
        <w:spacing w:after="0" w:line="240" w:lineRule="auto"/>
        <w:jc w:val="both"/>
        <w:rPr>
          <w:rFonts w:ascii="Arial" w:hAnsi="Arial" w:cs="Arial"/>
          <w:sz w:val="20"/>
          <w:szCs w:val="20"/>
        </w:rPr>
      </w:pPr>
    </w:p>
    <w:p w14:paraId="50FAF0BA" w14:textId="4623025B" w:rsidR="00E4100F" w:rsidRPr="00E4100F" w:rsidRDefault="00E4100F" w:rsidP="00E4100F">
      <w:pPr>
        <w:spacing w:after="0" w:line="240" w:lineRule="auto"/>
        <w:jc w:val="both"/>
        <w:rPr>
          <w:rFonts w:ascii="Arial" w:hAnsi="Arial" w:cs="Arial"/>
          <w:sz w:val="20"/>
          <w:szCs w:val="20"/>
        </w:rPr>
      </w:pPr>
      <w:r w:rsidRPr="00E4100F">
        <w:rPr>
          <w:rFonts w:ascii="Arial" w:hAnsi="Arial" w:cs="Arial"/>
          <w:sz w:val="20"/>
          <w:szCs w:val="20"/>
        </w:rPr>
        <w:t xml:space="preserve">Izvršeni rashodi </w:t>
      </w:r>
      <w:r>
        <w:rPr>
          <w:rFonts w:ascii="Arial" w:hAnsi="Arial" w:cs="Arial"/>
          <w:sz w:val="20"/>
          <w:szCs w:val="20"/>
        </w:rPr>
        <w:t xml:space="preserve">u 2025. </w:t>
      </w:r>
      <w:r w:rsidRPr="00E4100F">
        <w:rPr>
          <w:rFonts w:ascii="Arial" w:hAnsi="Arial" w:cs="Arial"/>
          <w:sz w:val="20"/>
          <w:szCs w:val="20"/>
        </w:rPr>
        <w:t>u iznosu 673,50 € se odnose na postavljanje reflektora na boćarsko igralište u Lovornom.</w:t>
      </w:r>
    </w:p>
    <w:p w14:paraId="4A351608" w14:textId="77777777" w:rsidR="000E0701" w:rsidRDefault="000E0701" w:rsidP="00C614EA">
      <w:pPr>
        <w:spacing w:after="0" w:line="240" w:lineRule="auto"/>
        <w:ind w:left="567"/>
        <w:jc w:val="both"/>
        <w:rPr>
          <w:rFonts w:ascii="Arial" w:eastAsia="Calibri" w:hAnsi="Arial" w:cs="Arial"/>
          <w:sz w:val="18"/>
          <w:szCs w:val="18"/>
        </w:rPr>
      </w:pPr>
      <w:bookmarkStart w:id="534" w:name="_Hlk166233885"/>
      <w:bookmarkStart w:id="535" w:name="_Hlk198906992"/>
      <w:bookmarkEnd w:id="533"/>
    </w:p>
    <w:p w14:paraId="5E06C7CC" w14:textId="719B16BB" w:rsidR="00184A8E" w:rsidRPr="00C614EA" w:rsidRDefault="00184A8E" w:rsidP="00C614EA">
      <w:pPr>
        <w:spacing w:after="0" w:line="240" w:lineRule="auto"/>
        <w:ind w:left="567"/>
        <w:jc w:val="both"/>
        <w:rPr>
          <w:rFonts w:ascii="Arial" w:eastAsia="Calibri" w:hAnsi="Arial" w:cs="Arial"/>
          <w:sz w:val="18"/>
          <w:szCs w:val="18"/>
        </w:rPr>
      </w:pPr>
      <w:r w:rsidRPr="00C614EA">
        <w:rPr>
          <w:rFonts w:ascii="Arial" w:eastAsia="Calibri" w:hAnsi="Arial" w:cs="Arial"/>
          <w:sz w:val="18"/>
          <w:szCs w:val="18"/>
        </w:rPr>
        <w:t>Ugovor o izvođenju radova modernizacije javne rasvjete je zaključen u studenom 2023. godine (Proditus d.o.o.) u iznosu 611.445,08 € s PDV-om. Radovi u 2024. godini su izvršeni u iznosu 636.340,91 €.</w:t>
      </w:r>
    </w:p>
    <w:p w14:paraId="63CC340B" w14:textId="10230957" w:rsidR="00184A8E" w:rsidRDefault="00184A8E" w:rsidP="00C614EA">
      <w:pPr>
        <w:spacing w:after="0" w:line="240" w:lineRule="auto"/>
        <w:ind w:left="567"/>
        <w:jc w:val="both"/>
        <w:rPr>
          <w:rFonts w:ascii="Arial" w:eastAsia="Calibri" w:hAnsi="Arial" w:cs="Arial"/>
          <w:sz w:val="18"/>
          <w:szCs w:val="18"/>
          <w:lang w:eastAsia="en-US"/>
        </w:rPr>
      </w:pPr>
      <w:r w:rsidRPr="00C614EA">
        <w:rPr>
          <w:rFonts w:ascii="Arial" w:eastAsia="Calibri" w:hAnsi="Arial" w:cs="Arial"/>
          <w:sz w:val="18"/>
          <w:szCs w:val="18"/>
        </w:rPr>
        <w:t>Pored navedenog</w:t>
      </w:r>
      <w:r w:rsidR="00C614EA" w:rsidRPr="00C614EA">
        <w:rPr>
          <w:rFonts w:ascii="Arial" w:eastAsia="Calibri" w:hAnsi="Arial" w:cs="Arial"/>
          <w:sz w:val="18"/>
          <w:szCs w:val="18"/>
        </w:rPr>
        <w:t xml:space="preserve"> u 2024. su bili izvršeni i rashodi za </w:t>
      </w:r>
      <w:r w:rsidRPr="00C614EA">
        <w:rPr>
          <w:rFonts w:ascii="Arial" w:eastAsia="Calibri" w:hAnsi="Arial" w:cs="Arial"/>
          <w:sz w:val="18"/>
          <w:szCs w:val="18"/>
          <w:lang w:eastAsia="en-US"/>
        </w:rPr>
        <w:t>izradu tehničke dokumentacije energetske obnove sportskih i dječjih igrališta na 17 lokacija u Općini (snimak terena i postojeće instalacije, prijedlog energetske obnove) u iznosu 5.250,00 € (ugovor iz srpnja 2024.),</w:t>
      </w:r>
      <w:r w:rsidR="00C614EA" w:rsidRPr="00C614EA">
        <w:rPr>
          <w:rFonts w:ascii="Arial" w:eastAsia="Calibri" w:hAnsi="Arial" w:cs="Arial"/>
          <w:sz w:val="18"/>
          <w:szCs w:val="18"/>
          <w:lang w:eastAsia="en-US"/>
        </w:rPr>
        <w:t xml:space="preserve"> </w:t>
      </w:r>
      <w:r w:rsidRPr="00C614EA">
        <w:rPr>
          <w:rFonts w:ascii="Arial" w:eastAsia="Calibri" w:hAnsi="Arial" w:cs="Arial"/>
          <w:sz w:val="18"/>
          <w:szCs w:val="18"/>
          <w:lang w:eastAsia="en-US"/>
        </w:rPr>
        <w:t>nabavu rasvjetnih tijela za energetsku obnovu 17 igrališta diljem Općine I faza u iznosu 24.920 € (ugovor iz kolovoza 2024.),</w:t>
      </w:r>
      <w:r w:rsidR="00C614EA" w:rsidRPr="00C614EA">
        <w:rPr>
          <w:rFonts w:ascii="Arial" w:eastAsia="Calibri" w:hAnsi="Arial" w:cs="Arial"/>
          <w:sz w:val="18"/>
          <w:szCs w:val="18"/>
          <w:lang w:eastAsia="en-US"/>
        </w:rPr>
        <w:t xml:space="preserve"> </w:t>
      </w:r>
      <w:r w:rsidRPr="00C614EA">
        <w:rPr>
          <w:rFonts w:ascii="Arial" w:eastAsia="Calibri" w:hAnsi="Arial" w:cs="Arial"/>
          <w:sz w:val="18"/>
          <w:szCs w:val="18"/>
          <w:lang w:eastAsia="en-US"/>
        </w:rPr>
        <w:t>elektrotehnički radovi postavljanja reflektora na sportskim igralištima 28.070 € (ugovor iz listopada 2024.),</w:t>
      </w:r>
      <w:r w:rsidR="00C614EA" w:rsidRPr="00C614EA">
        <w:rPr>
          <w:rFonts w:ascii="Arial" w:eastAsia="Calibri" w:hAnsi="Arial" w:cs="Arial"/>
          <w:sz w:val="18"/>
          <w:szCs w:val="18"/>
          <w:lang w:eastAsia="en-US"/>
        </w:rPr>
        <w:t xml:space="preserve"> </w:t>
      </w:r>
      <w:r w:rsidRPr="00C614EA">
        <w:rPr>
          <w:rFonts w:ascii="Arial" w:eastAsia="Calibri" w:hAnsi="Arial" w:cs="Arial"/>
          <w:sz w:val="18"/>
          <w:szCs w:val="18"/>
          <w:lang w:eastAsia="en-US"/>
        </w:rPr>
        <w:t>usluge nadzora elektroinstalacija energetske obnove igrališta I faza u iznosu 1.250 €</w:t>
      </w:r>
      <w:r w:rsidR="00C614EA" w:rsidRPr="00C614EA">
        <w:rPr>
          <w:rFonts w:ascii="Arial" w:eastAsia="Calibri" w:hAnsi="Arial" w:cs="Arial"/>
          <w:sz w:val="18"/>
          <w:szCs w:val="18"/>
          <w:lang w:eastAsia="en-US"/>
        </w:rPr>
        <w:t xml:space="preserve"> i drugo</w:t>
      </w:r>
      <w:r w:rsidRPr="00C614EA">
        <w:rPr>
          <w:rFonts w:ascii="Arial" w:eastAsia="Calibri" w:hAnsi="Arial" w:cs="Arial"/>
          <w:sz w:val="18"/>
          <w:szCs w:val="18"/>
          <w:lang w:eastAsia="en-US"/>
        </w:rPr>
        <w:t>.</w:t>
      </w:r>
    </w:p>
    <w:bookmarkEnd w:id="532"/>
    <w:p w14:paraId="2BF588ED" w14:textId="77777777" w:rsidR="00184A8E" w:rsidRPr="00184A8E" w:rsidRDefault="00184A8E" w:rsidP="00184A8E">
      <w:pPr>
        <w:spacing w:after="0" w:line="240" w:lineRule="auto"/>
        <w:jc w:val="both"/>
        <w:rPr>
          <w:rFonts w:ascii="Arial" w:eastAsia="Calibri" w:hAnsi="Arial" w:cs="Arial"/>
          <w:sz w:val="20"/>
          <w:szCs w:val="20"/>
        </w:rPr>
      </w:pPr>
    </w:p>
    <w:tbl>
      <w:tblPr>
        <w:tblStyle w:val="Reetkatablice5368"/>
        <w:tblW w:w="13991" w:type="dxa"/>
        <w:jc w:val="center"/>
        <w:tblLayout w:type="fixed"/>
        <w:tblLook w:val="04A0" w:firstRow="1" w:lastRow="0" w:firstColumn="1" w:lastColumn="0" w:noHBand="0" w:noVBand="1"/>
      </w:tblPr>
      <w:tblGrid>
        <w:gridCol w:w="2263"/>
        <w:gridCol w:w="3402"/>
        <w:gridCol w:w="958"/>
        <w:gridCol w:w="1134"/>
        <w:gridCol w:w="1232"/>
        <w:gridCol w:w="1276"/>
        <w:gridCol w:w="1242"/>
        <w:gridCol w:w="1242"/>
        <w:gridCol w:w="1242"/>
      </w:tblGrid>
      <w:tr w:rsidR="00184A8E" w:rsidRPr="00184A8E" w14:paraId="5F6690A7"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bookmarkEnd w:id="534"/>
          <w:bookmarkEnd w:id="535"/>
          <w:p w14:paraId="0592BA67"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905ADC6"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9E87327"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5965A11"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409E8CF" w14:textId="2E507FC9"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C614EA">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B35349A" w14:textId="62662892"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C614EA">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32FC4E7" w14:textId="28FC6BAC"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C614EA">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AA173EF" w14:textId="10475964"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C614EA">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EE9837F" w14:textId="6C559FDA"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C614EA">
              <w:rPr>
                <w:rFonts w:ascii="Arial" w:eastAsia="Calibri" w:hAnsi="Arial" w:cs="Arial"/>
              </w:rPr>
              <w:t>7</w:t>
            </w:r>
            <w:r w:rsidRPr="00184A8E">
              <w:rPr>
                <w:rFonts w:ascii="Arial" w:eastAsia="Calibri" w:hAnsi="Arial" w:cs="Arial"/>
              </w:rPr>
              <w:t>.</w:t>
            </w:r>
          </w:p>
        </w:tc>
      </w:tr>
      <w:tr w:rsidR="00C614EA" w:rsidRPr="00184A8E" w14:paraId="70EE1301" w14:textId="77777777" w:rsidTr="009117EB">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7CC837B2" w14:textId="52F567B0" w:rsidR="00C614EA" w:rsidRPr="00184A8E" w:rsidRDefault="00C614EA" w:rsidP="00C614EA">
            <w:pPr>
              <w:rPr>
                <w:rFonts w:ascii="Arial" w:hAnsi="Arial" w:cs="Arial"/>
                <w:sz w:val="18"/>
                <w:szCs w:val="18"/>
              </w:rPr>
            </w:pPr>
            <w:r w:rsidRPr="00565A13">
              <w:rPr>
                <w:rFonts w:ascii="Arial" w:eastAsia="Calibri" w:hAnsi="Arial" w:cs="Arial"/>
                <w:iCs/>
                <w:sz w:val="18"/>
                <w:szCs w:val="18"/>
              </w:rPr>
              <w:t>Rekonstrukcija javne rasvjete – energetska učinkovitost, igrališta</w:t>
            </w:r>
          </w:p>
        </w:tc>
        <w:tc>
          <w:tcPr>
            <w:tcW w:w="3402" w:type="dxa"/>
            <w:tcBorders>
              <w:top w:val="single" w:sz="4" w:space="0" w:color="auto"/>
              <w:left w:val="single" w:sz="4" w:space="0" w:color="auto"/>
              <w:bottom w:val="single" w:sz="4" w:space="0" w:color="auto"/>
              <w:right w:val="single" w:sz="4" w:space="0" w:color="auto"/>
            </w:tcBorders>
            <w:vAlign w:val="center"/>
          </w:tcPr>
          <w:p w14:paraId="280DB07C" w14:textId="76F4B14B" w:rsidR="00C614EA" w:rsidRPr="00184A8E" w:rsidRDefault="00C614EA" w:rsidP="00C614EA">
            <w:pPr>
              <w:autoSpaceDE w:val="0"/>
              <w:autoSpaceDN w:val="0"/>
              <w:adjustRightInd w:val="0"/>
              <w:rPr>
                <w:rFonts w:ascii="Arial" w:hAnsi="Arial" w:cs="Arial"/>
                <w:sz w:val="18"/>
                <w:szCs w:val="18"/>
              </w:rPr>
            </w:pPr>
            <w:r w:rsidRPr="00565A13">
              <w:rPr>
                <w:rFonts w:ascii="Arial" w:eastAsia="Calibri" w:hAnsi="Arial" w:cs="Arial"/>
                <w:sz w:val="18"/>
                <w:szCs w:val="18"/>
              </w:rPr>
              <w:t xml:space="preserve">Obavljena rekonstrukcija javne rasvjete na igralištima – modernizacija / energetska učinkovitost sustava </w:t>
            </w:r>
          </w:p>
        </w:tc>
        <w:tc>
          <w:tcPr>
            <w:tcW w:w="958" w:type="dxa"/>
            <w:tcBorders>
              <w:top w:val="single" w:sz="4" w:space="0" w:color="auto"/>
              <w:left w:val="single" w:sz="4" w:space="0" w:color="auto"/>
              <w:bottom w:val="single" w:sz="4" w:space="0" w:color="auto"/>
              <w:right w:val="single" w:sz="4" w:space="0" w:color="auto"/>
            </w:tcBorders>
            <w:vAlign w:val="center"/>
          </w:tcPr>
          <w:p w14:paraId="30385299" w14:textId="2705981E" w:rsidR="00C614EA" w:rsidRPr="00184A8E" w:rsidRDefault="00C614EA" w:rsidP="00C614EA">
            <w:pPr>
              <w:jc w:val="center"/>
              <w:rPr>
                <w:rFonts w:ascii="Arial" w:hAnsi="Arial" w:cs="Arial"/>
              </w:rPr>
            </w:pPr>
            <w:r w:rsidRPr="00565A13">
              <w:rPr>
                <w:rFonts w:ascii="Arial" w:eastAsia="Calibri" w:hAnsi="Arial" w:cs="Arial"/>
                <w:sz w:val="18"/>
                <w:szCs w:val="18"/>
              </w:rPr>
              <w:t>Broj igrališta</w:t>
            </w:r>
          </w:p>
        </w:tc>
        <w:tc>
          <w:tcPr>
            <w:tcW w:w="1134" w:type="dxa"/>
            <w:tcBorders>
              <w:top w:val="single" w:sz="4" w:space="0" w:color="auto"/>
              <w:left w:val="single" w:sz="4" w:space="0" w:color="auto"/>
              <w:bottom w:val="single" w:sz="4" w:space="0" w:color="auto"/>
              <w:right w:val="single" w:sz="4" w:space="0" w:color="auto"/>
            </w:tcBorders>
            <w:vAlign w:val="center"/>
          </w:tcPr>
          <w:p w14:paraId="7BC59158" w14:textId="2B73CA43" w:rsidR="00C614EA" w:rsidRPr="00184A8E" w:rsidRDefault="00C614EA" w:rsidP="00C614EA">
            <w:pPr>
              <w:jc w:val="center"/>
              <w:rPr>
                <w:rFonts w:ascii="Arial" w:hAnsi="Arial" w:cs="Arial"/>
              </w:rPr>
            </w:pPr>
            <w:r w:rsidRPr="00565A13">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565CE09" w14:textId="270912BD" w:rsidR="00C614EA" w:rsidRPr="00184A8E" w:rsidRDefault="00C614EA" w:rsidP="00C614EA">
            <w:pPr>
              <w:jc w:val="center"/>
              <w:rPr>
                <w:rFonts w:ascii="Arial" w:hAnsi="Arial" w:cs="Arial"/>
              </w:rPr>
            </w:pPr>
            <w:r w:rsidRPr="00565A13">
              <w:rPr>
                <w:rFonts w:ascii="Arial" w:eastAsia="Calibri" w:hAnsi="Arial" w:cs="Arial"/>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0D9E0CDC" w14:textId="7A754607" w:rsidR="00C614EA" w:rsidRPr="00184A8E" w:rsidRDefault="00C614EA" w:rsidP="00C614EA">
            <w:pPr>
              <w:jc w:val="center"/>
              <w:rPr>
                <w:rFonts w:ascii="Arial" w:hAnsi="Arial" w:cs="Arial"/>
              </w:rPr>
            </w:pPr>
            <w:r>
              <w:rPr>
                <w:rFonts w:ascii="Arial" w:eastAsia="Calibri" w:hAnsi="Arial" w:cs="Arial"/>
                <w:sz w:val="18"/>
                <w:szCs w:val="18"/>
              </w:rPr>
              <w:t>16</w:t>
            </w:r>
          </w:p>
        </w:tc>
        <w:tc>
          <w:tcPr>
            <w:tcW w:w="1242" w:type="dxa"/>
            <w:tcBorders>
              <w:top w:val="single" w:sz="4" w:space="0" w:color="auto"/>
              <w:left w:val="single" w:sz="4" w:space="0" w:color="auto"/>
              <w:bottom w:val="single" w:sz="4" w:space="0" w:color="auto"/>
              <w:right w:val="single" w:sz="4" w:space="0" w:color="auto"/>
            </w:tcBorders>
            <w:vAlign w:val="center"/>
          </w:tcPr>
          <w:p w14:paraId="03600262" w14:textId="7AED3633" w:rsidR="00C614EA" w:rsidRPr="00184A8E" w:rsidRDefault="00C614EA" w:rsidP="00C614EA">
            <w:pPr>
              <w:jc w:val="center"/>
              <w:rPr>
                <w:rFonts w:ascii="Arial" w:hAnsi="Arial" w:cs="Arial"/>
              </w:rPr>
            </w:pPr>
            <w:r>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15480E65" w14:textId="4CB126B7" w:rsidR="00C614EA" w:rsidRPr="00184A8E" w:rsidRDefault="00C614EA" w:rsidP="00C614EA">
            <w:pPr>
              <w:jc w:val="center"/>
              <w:rPr>
                <w:rFonts w:ascii="Arial" w:hAnsi="Arial" w:cs="Arial"/>
              </w:rPr>
            </w:pPr>
            <w:r w:rsidRPr="00565A13">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085CF34A" w14:textId="4D2F405E" w:rsidR="00C614EA" w:rsidRPr="00184A8E" w:rsidRDefault="00C614EA" w:rsidP="00C614EA">
            <w:pPr>
              <w:jc w:val="center"/>
              <w:rPr>
                <w:rFonts w:ascii="Arial" w:hAnsi="Arial" w:cs="Arial"/>
              </w:rPr>
            </w:pPr>
            <w:r w:rsidRPr="00565A13">
              <w:rPr>
                <w:rFonts w:ascii="Arial" w:hAnsi="Arial" w:cs="Arial"/>
                <w:sz w:val="18"/>
                <w:szCs w:val="18"/>
              </w:rPr>
              <w:t>0</w:t>
            </w:r>
          </w:p>
        </w:tc>
      </w:tr>
    </w:tbl>
    <w:p w14:paraId="785C053F"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7D4233B3"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5. T209205: Sufinanciranje radova rekonstrukcije dijela lokalnih, županijskih i državnih cesta (suglasnost ŽUC / Hrvatske ceste)</w:t>
      </w:r>
      <w:r w:rsidRPr="00184A8E">
        <w:rPr>
          <w:rFonts w:ascii="Arial" w:eastAsia="Calibri" w:hAnsi="Arial" w:cs="Arial"/>
          <w:sz w:val="20"/>
          <w:szCs w:val="20"/>
        </w:rPr>
        <w:t xml:space="preserve"> - u sklopu ovog projekta nisu planirani rashodi. Uobičajeno se sredstva planiraju za sufinanciranje održavanja lokalnih, županijskih i državnih cesta koji su od iznimne važnosti za sigurnost prometa na području Općine (zajednički projekti sa </w:t>
      </w:r>
      <w:r w:rsidRPr="00184A8E">
        <w:rPr>
          <w:rFonts w:ascii="Arial" w:eastAsia="Times New Roman" w:hAnsi="Arial" w:cs="Arial"/>
          <w:sz w:val="20"/>
          <w:szCs w:val="20"/>
          <w:lang w:eastAsia="en-US"/>
        </w:rPr>
        <w:t>ŽUC-om i Hrvatskim cestama)</w:t>
      </w:r>
      <w:r w:rsidRPr="00184A8E">
        <w:rPr>
          <w:rFonts w:ascii="Arial" w:eastAsia="Calibri" w:hAnsi="Arial" w:cs="Arial"/>
          <w:sz w:val="20"/>
          <w:szCs w:val="20"/>
        </w:rPr>
        <w:t>. Rashodi nisu planirani niti su izvršeni.</w:t>
      </w:r>
    </w:p>
    <w:p w14:paraId="6FC656EE"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2405"/>
        <w:gridCol w:w="3402"/>
        <w:gridCol w:w="992"/>
        <w:gridCol w:w="1134"/>
        <w:gridCol w:w="1276"/>
        <w:gridCol w:w="1418"/>
        <w:gridCol w:w="1134"/>
        <w:gridCol w:w="1134"/>
        <w:gridCol w:w="1096"/>
      </w:tblGrid>
      <w:tr w:rsidR="0026442F" w:rsidRPr="00184A8E" w14:paraId="0477F6F3" w14:textId="77777777" w:rsidTr="00410A4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701E0DF" w14:textId="04BD9D9B" w:rsidR="0026442F" w:rsidRPr="00184A8E" w:rsidRDefault="0026442F" w:rsidP="0026442F">
            <w:pPr>
              <w:jc w:val="center"/>
              <w:rPr>
                <w:rFonts w:ascii="Arial" w:eastAsia="Calibri" w:hAnsi="Arial" w:cs="Arial"/>
              </w:rPr>
            </w:pPr>
            <w:r w:rsidRPr="00565A13">
              <w:rPr>
                <w:rFonts w:ascii="Arial" w:eastAsia="Calibri" w:hAnsi="Arial" w:cs="Arial"/>
                <w:sz w:val="18"/>
                <w:szCs w:val="18"/>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E1CA0F5" w14:textId="27F82E9F" w:rsidR="0026442F" w:rsidRPr="00184A8E" w:rsidRDefault="0026442F" w:rsidP="0026442F">
            <w:pPr>
              <w:jc w:val="center"/>
              <w:rPr>
                <w:rFonts w:ascii="Arial" w:eastAsia="Calibri" w:hAnsi="Arial" w:cs="Arial"/>
              </w:rPr>
            </w:pPr>
            <w:r w:rsidRPr="00565A13">
              <w:rPr>
                <w:rFonts w:ascii="Arial" w:eastAsia="Calibri" w:hAnsi="Arial" w:cs="Arial"/>
                <w:sz w:val="18"/>
                <w:szCs w:val="18"/>
              </w:rPr>
              <w:t>Definicija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B579797" w14:textId="77777777" w:rsidR="0026442F" w:rsidRPr="00184A8E" w:rsidRDefault="0026442F" w:rsidP="0026442F">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A5F6BB9" w14:textId="77777777" w:rsidR="0026442F" w:rsidRPr="00184A8E" w:rsidRDefault="0026442F" w:rsidP="0026442F">
            <w:pPr>
              <w:jc w:val="center"/>
              <w:rPr>
                <w:rFonts w:ascii="Arial" w:eastAsia="Calibri" w:hAnsi="Arial" w:cs="Arial"/>
              </w:rPr>
            </w:pPr>
            <w:r w:rsidRPr="00184A8E">
              <w:rPr>
                <w:rFonts w:ascii="Arial" w:eastAsia="Calibri" w:hAnsi="Arial" w:cs="Arial"/>
              </w:rPr>
              <w:t>Izvor podataka</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9B47963" w14:textId="1B101E0B" w:rsidR="0026442F" w:rsidRPr="00184A8E" w:rsidRDefault="0026442F" w:rsidP="0026442F">
            <w:pPr>
              <w:jc w:val="center"/>
              <w:rPr>
                <w:rFonts w:ascii="Arial" w:eastAsia="Calibri" w:hAnsi="Arial" w:cs="Arial"/>
              </w:rPr>
            </w:pPr>
            <w:r w:rsidRPr="00184A8E">
              <w:rPr>
                <w:rFonts w:ascii="Arial" w:eastAsia="Calibri" w:hAnsi="Arial" w:cs="Arial"/>
              </w:rPr>
              <w:t>Polazna vrijednost 202</w:t>
            </w:r>
            <w:r>
              <w:rPr>
                <w:rFonts w:ascii="Arial" w:eastAsia="Calibri" w:hAnsi="Arial" w:cs="Arial"/>
              </w:rPr>
              <w:t>4</w:t>
            </w:r>
            <w:r w:rsidRPr="00184A8E">
              <w:rPr>
                <w:rFonts w:ascii="Arial" w:eastAsia="Calibri" w:hAnsi="Arial" w:cs="Aria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BA1BB5B" w14:textId="1CE22262" w:rsidR="0026442F" w:rsidRPr="00184A8E" w:rsidRDefault="0026442F" w:rsidP="0026442F">
            <w:pPr>
              <w:jc w:val="center"/>
              <w:rPr>
                <w:rFonts w:ascii="Arial" w:eastAsia="Calibri" w:hAnsi="Arial" w:cs="Arial"/>
              </w:rPr>
            </w:pPr>
            <w:r w:rsidRPr="00184A8E">
              <w:rPr>
                <w:rFonts w:ascii="Arial" w:eastAsia="Calibri" w:hAnsi="Arial" w:cs="Arial"/>
              </w:rPr>
              <w:t>Ciljana vrijednost 202</w:t>
            </w:r>
            <w:r>
              <w:rPr>
                <w:rFonts w:ascii="Arial" w:eastAsia="Calibri" w:hAnsi="Arial" w:cs="Arial"/>
              </w:rPr>
              <w:t>5</w:t>
            </w:r>
            <w:r w:rsidRPr="00184A8E">
              <w:rPr>
                <w:rFonts w:ascii="Arial" w:eastAsia="Calibri" w:hAnsi="Arial"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69D7D95" w14:textId="7E72B08E" w:rsidR="0026442F" w:rsidRPr="00184A8E" w:rsidRDefault="0026442F" w:rsidP="0026442F">
            <w:pPr>
              <w:jc w:val="center"/>
              <w:rPr>
                <w:rFonts w:ascii="Arial" w:eastAsia="Calibri" w:hAnsi="Arial" w:cs="Arial"/>
              </w:rPr>
            </w:pPr>
            <w:r w:rsidRPr="00184A8E">
              <w:rPr>
                <w:rFonts w:ascii="Arial" w:eastAsia="Calibri" w:hAnsi="Arial" w:cs="Arial"/>
              </w:rPr>
              <w:t>Izvršeno 20</w:t>
            </w:r>
            <w:r>
              <w:rPr>
                <w:rFonts w:ascii="Arial" w:eastAsia="Calibri" w:hAnsi="Arial" w:cs="Arial"/>
              </w:rPr>
              <w:t>25</w:t>
            </w:r>
            <w:r w:rsidRPr="00184A8E">
              <w:rPr>
                <w:rFonts w:ascii="Arial" w:eastAsia="Calibri" w:hAnsi="Arial" w:cs="Arial"/>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2E789B5" w14:textId="4F1CC99D" w:rsidR="0026442F" w:rsidRPr="00184A8E" w:rsidRDefault="0026442F" w:rsidP="0026442F">
            <w:pPr>
              <w:jc w:val="center"/>
              <w:rPr>
                <w:rFonts w:ascii="Arial" w:eastAsia="Calibri" w:hAnsi="Arial" w:cs="Arial"/>
              </w:rPr>
            </w:pPr>
            <w:r w:rsidRPr="00184A8E">
              <w:rPr>
                <w:rFonts w:ascii="Arial" w:eastAsia="Calibri" w:hAnsi="Arial" w:cs="Arial"/>
              </w:rPr>
              <w:t>Ciljana vrijednost 202</w:t>
            </w:r>
            <w:r>
              <w:rPr>
                <w:rFonts w:ascii="Arial" w:eastAsia="Calibri" w:hAnsi="Arial" w:cs="Arial"/>
              </w:rPr>
              <w:t>6</w:t>
            </w:r>
            <w:r w:rsidRPr="00184A8E">
              <w:rPr>
                <w:rFonts w:ascii="Arial" w:eastAsia="Calibri" w:hAnsi="Arial" w:cs="Arial"/>
              </w:rPr>
              <w:t>.</w:t>
            </w:r>
          </w:p>
        </w:tc>
        <w:tc>
          <w:tcPr>
            <w:tcW w:w="109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79AB0A7" w14:textId="317641A1" w:rsidR="0026442F" w:rsidRPr="00184A8E" w:rsidRDefault="0026442F" w:rsidP="0026442F">
            <w:pPr>
              <w:jc w:val="center"/>
              <w:rPr>
                <w:rFonts w:ascii="Arial" w:eastAsia="Calibri" w:hAnsi="Arial" w:cs="Arial"/>
              </w:rPr>
            </w:pPr>
            <w:r w:rsidRPr="00184A8E">
              <w:rPr>
                <w:rFonts w:ascii="Arial" w:eastAsia="Calibri" w:hAnsi="Arial" w:cs="Arial"/>
              </w:rPr>
              <w:t>Ciljana vrijednost 202</w:t>
            </w:r>
            <w:r>
              <w:rPr>
                <w:rFonts w:ascii="Arial" w:eastAsia="Calibri" w:hAnsi="Arial" w:cs="Arial"/>
              </w:rPr>
              <w:t>7</w:t>
            </w:r>
            <w:r w:rsidRPr="00184A8E">
              <w:rPr>
                <w:rFonts w:ascii="Arial" w:eastAsia="Calibri" w:hAnsi="Arial" w:cs="Arial"/>
              </w:rPr>
              <w:t>.</w:t>
            </w:r>
          </w:p>
        </w:tc>
      </w:tr>
      <w:tr w:rsidR="0026442F" w:rsidRPr="00184A8E" w14:paraId="35C8924F" w14:textId="77777777" w:rsidTr="00410A4B">
        <w:trPr>
          <w:trHeight w:val="273"/>
          <w:jc w:val="center"/>
        </w:trPr>
        <w:tc>
          <w:tcPr>
            <w:tcW w:w="2405" w:type="dxa"/>
            <w:tcBorders>
              <w:top w:val="single" w:sz="4" w:space="0" w:color="auto"/>
              <w:left w:val="single" w:sz="4" w:space="0" w:color="auto"/>
              <w:bottom w:val="single" w:sz="4" w:space="0" w:color="auto"/>
              <w:right w:val="single" w:sz="4" w:space="0" w:color="auto"/>
            </w:tcBorders>
            <w:vAlign w:val="center"/>
          </w:tcPr>
          <w:p w14:paraId="09497A8F" w14:textId="533C878D" w:rsidR="0026442F" w:rsidRPr="00184A8E" w:rsidRDefault="0026442F" w:rsidP="0026442F">
            <w:pPr>
              <w:rPr>
                <w:rFonts w:ascii="Arial" w:hAnsi="Arial" w:cs="Arial"/>
                <w:sz w:val="18"/>
                <w:szCs w:val="18"/>
              </w:rPr>
            </w:pPr>
            <w:r w:rsidRPr="00565A13">
              <w:rPr>
                <w:rFonts w:ascii="Arial" w:eastAsia="Calibri" w:hAnsi="Arial" w:cs="Arial"/>
                <w:iCs/>
                <w:sz w:val="18"/>
                <w:szCs w:val="18"/>
              </w:rPr>
              <w:t xml:space="preserve">Utrošena sredstva za izradu prometnih elaborata i elaborata postavljanja umjetnih izbočina </w:t>
            </w:r>
          </w:p>
        </w:tc>
        <w:tc>
          <w:tcPr>
            <w:tcW w:w="3402" w:type="dxa"/>
            <w:tcBorders>
              <w:top w:val="single" w:sz="4" w:space="0" w:color="auto"/>
              <w:left w:val="single" w:sz="4" w:space="0" w:color="auto"/>
              <w:bottom w:val="single" w:sz="4" w:space="0" w:color="auto"/>
              <w:right w:val="single" w:sz="4" w:space="0" w:color="auto"/>
            </w:tcBorders>
            <w:vAlign w:val="center"/>
          </w:tcPr>
          <w:p w14:paraId="62EF6EDA" w14:textId="48A03A08" w:rsidR="0026442F" w:rsidRPr="00184A8E" w:rsidRDefault="0026442F" w:rsidP="0026442F">
            <w:pPr>
              <w:autoSpaceDE w:val="0"/>
              <w:autoSpaceDN w:val="0"/>
              <w:adjustRightInd w:val="0"/>
              <w:rPr>
                <w:rFonts w:ascii="Arial" w:hAnsi="Arial" w:cs="Arial"/>
                <w:sz w:val="18"/>
                <w:szCs w:val="18"/>
              </w:rPr>
            </w:pPr>
            <w:r w:rsidRPr="00565A13">
              <w:rPr>
                <w:rFonts w:ascii="Arial" w:eastAsia="Calibri" w:hAnsi="Arial" w:cs="Arial"/>
                <w:sz w:val="18"/>
                <w:szCs w:val="18"/>
              </w:rPr>
              <w:t xml:space="preserve">Udio utrošenih planiranih sredstava za </w:t>
            </w:r>
            <w:r w:rsidRPr="00565A13">
              <w:rPr>
                <w:rFonts w:ascii="Arial" w:eastAsia="Calibri" w:hAnsi="Arial" w:cs="Arial"/>
                <w:iCs/>
                <w:sz w:val="18"/>
                <w:szCs w:val="18"/>
              </w:rPr>
              <w:t>izradu prometnih elaborata i elaborata postavljanja umjetnih izbočina – u nadležnosti ŽUC-a i Hrvatskih cesta</w:t>
            </w:r>
          </w:p>
        </w:tc>
        <w:tc>
          <w:tcPr>
            <w:tcW w:w="992" w:type="dxa"/>
            <w:tcBorders>
              <w:top w:val="single" w:sz="4" w:space="0" w:color="auto"/>
              <w:left w:val="single" w:sz="4" w:space="0" w:color="auto"/>
              <w:bottom w:val="single" w:sz="4" w:space="0" w:color="auto"/>
              <w:right w:val="single" w:sz="4" w:space="0" w:color="auto"/>
            </w:tcBorders>
            <w:vAlign w:val="center"/>
          </w:tcPr>
          <w:p w14:paraId="167C9629" w14:textId="77777777" w:rsidR="0026442F" w:rsidRPr="00184A8E" w:rsidRDefault="0026442F" w:rsidP="0026442F">
            <w:pPr>
              <w:jc w:val="center"/>
              <w:rPr>
                <w:rFonts w:ascii="Arial" w:hAnsi="Arial" w:cs="Arial"/>
              </w:rPr>
            </w:pPr>
            <w:r w:rsidRPr="00184A8E">
              <w:rPr>
                <w:rFonts w:ascii="Arial" w:eastAsia="Calibri"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44996B20" w14:textId="77777777" w:rsidR="0026442F" w:rsidRPr="00184A8E" w:rsidRDefault="0026442F" w:rsidP="0026442F">
            <w:pPr>
              <w:jc w:val="center"/>
              <w:rPr>
                <w:rFonts w:ascii="Arial" w:hAnsi="Arial" w:cs="Arial"/>
              </w:rPr>
            </w:pPr>
            <w:r w:rsidRPr="00184A8E">
              <w:rPr>
                <w:rFonts w:ascii="Arial" w:hAnsi="Arial" w:cs="Arial"/>
              </w:rPr>
              <w:t>Općina</w:t>
            </w:r>
          </w:p>
        </w:tc>
        <w:tc>
          <w:tcPr>
            <w:tcW w:w="1276" w:type="dxa"/>
            <w:tcBorders>
              <w:top w:val="single" w:sz="4" w:space="0" w:color="auto"/>
              <w:left w:val="single" w:sz="4" w:space="0" w:color="auto"/>
              <w:bottom w:val="single" w:sz="4" w:space="0" w:color="auto"/>
              <w:right w:val="single" w:sz="4" w:space="0" w:color="auto"/>
            </w:tcBorders>
            <w:vAlign w:val="center"/>
          </w:tcPr>
          <w:p w14:paraId="4CAF885C" w14:textId="77777777" w:rsidR="0026442F" w:rsidRPr="00184A8E" w:rsidRDefault="0026442F" w:rsidP="0026442F">
            <w:pPr>
              <w:jc w:val="center"/>
              <w:rPr>
                <w:rFonts w:ascii="Arial" w:hAnsi="Arial" w:cs="Arial"/>
              </w:rPr>
            </w:pPr>
            <w:r w:rsidRPr="00184A8E">
              <w:rPr>
                <w:rFonts w:ascii="Arial" w:eastAsia="Calibri" w:hAnsi="Arial" w:cs="Arial"/>
              </w:rPr>
              <w:t>0%</w:t>
            </w:r>
          </w:p>
        </w:tc>
        <w:tc>
          <w:tcPr>
            <w:tcW w:w="1418" w:type="dxa"/>
            <w:tcBorders>
              <w:top w:val="single" w:sz="4" w:space="0" w:color="auto"/>
              <w:left w:val="single" w:sz="4" w:space="0" w:color="auto"/>
              <w:bottom w:val="single" w:sz="4" w:space="0" w:color="auto"/>
              <w:right w:val="single" w:sz="4" w:space="0" w:color="auto"/>
            </w:tcBorders>
            <w:vAlign w:val="center"/>
          </w:tcPr>
          <w:p w14:paraId="050F142E" w14:textId="77777777" w:rsidR="0026442F" w:rsidRPr="00184A8E" w:rsidRDefault="0026442F" w:rsidP="0026442F">
            <w:pPr>
              <w:jc w:val="center"/>
              <w:rPr>
                <w:rFonts w:ascii="Arial" w:hAnsi="Arial" w:cs="Arial"/>
              </w:rPr>
            </w:pPr>
            <w:r w:rsidRPr="00184A8E">
              <w:rPr>
                <w:rFonts w:ascii="Arial" w:eastAsia="Calibri" w:hAnsi="Arial" w:cs="Arial"/>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2E85EBA0" w14:textId="77777777" w:rsidR="0026442F" w:rsidRPr="00184A8E" w:rsidRDefault="0026442F" w:rsidP="0026442F">
            <w:pPr>
              <w:jc w:val="center"/>
              <w:rPr>
                <w:rFonts w:ascii="Arial" w:eastAsia="Calibri" w:hAnsi="Arial" w:cs="Arial"/>
              </w:rPr>
            </w:pPr>
            <w:r w:rsidRPr="00184A8E">
              <w:rPr>
                <w:rFonts w:ascii="Arial" w:eastAsia="Calibri" w:hAnsi="Arial" w:cs="Arial"/>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62AD1477" w14:textId="77777777" w:rsidR="0026442F" w:rsidRPr="00184A8E" w:rsidRDefault="0026442F" w:rsidP="0026442F">
            <w:pPr>
              <w:jc w:val="center"/>
              <w:rPr>
                <w:rFonts w:ascii="Arial" w:hAnsi="Arial" w:cs="Arial"/>
              </w:rPr>
            </w:pPr>
            <w:r w:rsidRPr="00184A8E">
              <w:rPr>
                <w:rFonts w:ascii="Arial" w:eastAsia="Calibri" w:hAnsi="Arial" w:cs="Arial"/>
              </w:rPr>
              <w:t>100%</w:t>
            </w:r>
          </w:p>
        </w:tc>
        <w:tc>
          <w:tcPr>
            <w:tcW w:w="1096" w:type="dxa"/>
            <w:tcBorders>
              <w:top w:val="single" w:sz="4" w:space="0" w:color="000000"/>
              <w:left w:val="single" w:sz="4" w:space="0" w:color="000000"/>
              <w:bottom w:val="single" w:sz="4" w:space="0" w:color="000000"/>
              <w:right w:val="single" w:sz="4" w:space="0" w:color="000000"/>
            </w:tcBorders>
            <w:vAlign w:val="center"/>
          </w:tcPr>
          <w:p w14:paraId="24F7140A" w14:textId="77777777" w:rsidR="0026442F" w:rsidRPr="00184A8E" w:rsidRDefault="0026442F" w:rsidP="0026442F">
            <w:pPr>
              <w:jc w:val="center"/>
              <w:rPr>
                <w:rFonts w:ascii="Arial" w:hAnsi="Arial" w:cs="Arial"/>
              </w:rPr>
            </w:pPr>
            <w:r w:rsidRPr="00184A8E">
              <w:rPr>
                <w:rFonts w:ascii="Arial" w:hAnsi="Arial" w:cs="Arial"/>
              </w:rPr>
              <w:t>100%</w:t>
            </w:r>
          </w:p>
        </w:tc>
      </w:tr>
    </w:tbl>
    <w:p w14:paraId="6AA1AFE5" w14:textId="77777777" w:rsidR="00184A8E" w:rsidRPr="00184A8E" w:rsidRDefault="00184A8E" w:rsidP="00184A8E">
      <w:pPr>
        <w:spacing w:after="0" w:line="240" w:lineRule="auto"/>
        <w:jc w:val="both"/>
        <w:rPr>
          <w:rFonts w:ascii="Arial" w:eastAsia="Calibri" w:hAnsi="Arial" w:cs="Arial"/>
          <w:sz w:val="20"/>
          <w:szCs w:val="20"/>
        </w:rPr>
      </w:pPr>
    </w:p>
    <w:p w14:paraId="57E5E42B" w14:textId="23B85984" w:rsidR="00184A8E" w:rsidRPr="00184A8E" w:rsidRDefault="00184A8E" w:rsidP="00184A8E">
      <w:pPr>
        <w:spacing w:after="0" w:line="240" w:lineRule="auto"/>
        <w:jc w:val="both"/>
        <w:rPr>
          <w:rFonts w:ascii="Arial" w:eastAsia="Times New Roman" w:hAnsi="Arial" w:cs="Arial"/>
          <w:sz w:val="20"/>
          <w:szCs w:val="20"/>
          <w:lang w:eastAsia="en-US" w:bidi="en-US"/>
        </w:rPr>
      </w:pPr>
      <w:bookmarkStart w:id="536" w:name="_Hlk135065924"/>
      <w:r w:rsidRPr="00184A8E">
        <w:rPr>
          <w:rFonts w:ascii="Arial" w:eastAsia="Calibri" w:hAnsi="Arial" w:cs="Arial"/>
          <w:b/>
          <w:sz w:val="20"/>
          <w:szCs w:val="20"/>
          <w:lang w:eastAsia="en-US" w:bidi="en-US"/>
        </w:rPr>
        <w:t xml:space="preserve">6. </w:t>
      </w:r>
      <w:bookmarkStart w:id="537" w:name="_Hlk198906602"/>
      <w:r w:rsidRPr="00184A8E">
        <w:rPr>
          <w:rFonts w:ascii="Arial" w:eastAsia="Calibri" w:hAnsi="Arial" w:cs="Arial"/>
          <w:b/>
          <w:sz w:val="20"/>
          <w:szCs w:val="20"/>
          <w:lang w:eastAsia="en-US" w:bidi="en-US"/>
        </w:rPr>
        <w:t>T209209: Izgradnja, uređenje, opremanje parkinga</w:t>
      </w:r>
      <w:r w:rsidRPr="00184A8E">
        <w:rPr>
          <w:rFonts w:ascii="Arial" w:eastAsia="Calibri" w:hAnsi="Arial" w:cs="Arial"/>
          <w:sz w:val="20"/>
          <w:szCs w:val="20"/>
          <w:lang w:eastAsia="en-US" w:bidi="en-US"/>
        </w:rPr>
        <w:t xml:space="preserve"> – Proračunska sredstva su planirana u iznosu </w:t>
      </w:r>
      <w:r w:rsidR="0026442F">
        <w:rPr>
          <w:rFonts w:ascii="Arial" w:eastAsia="Calibri" w:hAnsi="Arial" w:cs="Arial"/>
          <w:sz w:val="20"/>
          <w:szCs w:val="20"/>
          <w:lang w:eastAsia="en-US" w:bidi="en-US"/>
        </w:rPr>
        <w:t>328.750</w:t>
      </w:r>
      <w:r w:rsidRPr="00184A8E">
        <w:rPr>
          <w:rFonts w:ascii="Arial" w:eastAsia="Calibri" w:hAnsi="Arial" w:cs="Arial"/>
          <w:sz w:val="20"/>
          <w:szCs w:val="20"/>
          <w:lang w:eastAsia="en-US" w:bidi="en-US"/>
        </w:rPr>
        <w:t xml:space="preserve"> € i</w:t>
      </w:r>
      <w:r w:rsidR="0026442F" w:rsidRPr="0026442F">
        <w:rPr>
          <w:rFonts w:ascii="Arial" w:eastAsia="Calibri" w:hAnsi="Arial" w:cs="Arial"/>
          <w:sz w:val="20"/>
          <w:szCs w:val="20"/>
          <w:lang w:eastAsia="en-US" w:bidi="en-US"/>
        </w:rPr>
        <w:t xml:space="preserve"> odnose se na radove investicijskog održavanja i uređenja ulaska na prometne površine u staru gradsku jezgru Cavtat i ulaska na glavni parking Cavtat – proširenje parkinga, ažuriranje računalnog rješenja, softver za ručno praćenje parkinga i luke, uređenje parkirališta na Grudi, pripreme za uređenje prostora ispred ambulante u Cavtatu za parking (otkup zemljišta – planirano obročno, izrada projektne dokumentacije).</w:t>
      </w:r>
      <w:r w:rsidR="0026442F">
        <w:rPr>
          <w:rFonts w:ascii="Arial" w:eastAsia="Calibri" w:hAnsi="Arial" w:cs="Arial"/>
          <w:sz w:val="20"/>
          <w:szCs w:val="20"/>
          <w:lang w:eastAsia="en-US" w:bidi="en-US"/>
        </w:rPr>
        <w:t xml:space="preserve"> </w:t>
      </w:r>
      <w:r w:rsidRPr="00184A8E">
        <w:rPr>
          <w:rFonts w:ascii="Arial" w:eastAsia="Times New Roman" w:hAnsi="Arial" w:cs="Arial"/>
          <w:sz w:val="20"/>
          <w:szCs w:val="20"/>
          <w:lang w:eastAsia="en-US" w:bidi="en-US"/>
        </w:rPr>
        <w:t xml:space="preserve">Rashodi su izvršeni u iznosu </w:t>
      </w:r>
      <w:r w:rsidR="0026442F">
        <w:rPr>
          <w:rFonts w:ascii="Arial" w:eastAsia="Times New Roman" w:hAnsi="Arial" w:cs="Arial"/>
          <w:sz w:val="20"/>
          <w:szCs w:val="20"/>
          <w:lang w:eastAsia="en-US" w:bidi="en-US"/>
        </w:rPr>
        <w:t>270.655,81</w:t>
      </w:r>
      <w:r w:rsidRPr="00184A8E">
        <w:rPr>
          <w:rFonts w:ascii="Arial" w:eastAsia="Times New Roman" w:hAnsi="Arial" w:cs="Arial"/>
          <w:sz w:val="20"/>
          <w:szCs w:val="20"/>
          <w:lang w:eastAsia="en-US" w:bidi="en-US"/>
        </w:rPr>
        <w:t xml:space="preserve"> €. </w:t>
      </w:r>
      <w:r w:rsidR="0026442F" w:rsidRPr="0026442F">
        <w:rPr>
          <w:rFonts w:ascii="Arial" w:eastAsia="Times New Roman" w:hAnsi="Arial" w:cs="Arial"/>
          <w:sz w:val="20"/>
          <w:szCs w:val="20"/>
          <w:lang w:eastAsia="en-US" w:bidi="en-US"/>
        </w:rPr>
        <w:t>Rashodi su izvršeni u manjem iznosu jer nije započeto uređenje parkinga u Cavtatu s nabavom nadzornih kamera, te nije dovršeno opremanje igrališta u Pločicama.</w:t>
      </w:r>
    </w:p>
    <w:bookmarkEnd w:id="537"/>
    <w:p w14:paraId="2B022E7F" w14:textId="77777777" w:rsidR="000E0701" w:rsidRDefault="000E0701" w:rsidP="005C1A37">
      <w:pPr>
        <w:spacing w:after="0" w:line="240" w:lineRule="auto"/>
        <w:ind w:left="567"/>
        <w:jc w:val="both"/>
        <w:rPr>
          <w:rFonts w:ascii="Arial" w:eastAsia="Times New Roman" w:hAnsi="Arial" w:cs="Arial"/>
          <w:sz w:val="18"/>
          <w:szCs w:val="18"/>
          <w:lang w:eastAsia="en-US" w:bidi="en-US"/>
        </w:rPr>
      </w:pPr>
    </w:p>
    <w:p w14:paraId="5AA11C52" w14:textId="65C3FE5D" w:rsidR="00184A8E" w:rsidRPr="005C1A37" w:rsidRDefault="005C1A37" w:rsidP="005C1A37">
      <w:pPr>
        <w:spacing w:after="0" w:line="240" w:lineRule="auto"/>
        <w:ind w:left="567"/>
        <w:jc w:val="both"/>
        <w:rPr>
          <w:rFonts w:ascii="Arial" w:eastAsia="Times New Roman" w:hAnsi="Arial" w:cs="Arial"/>
          <w:sz w:val="18"/>
          <w:szCs w:val="18"/>
          <w:lang w:eastAsia="en-US" w:bidi="en-US"/>
        </w:rPr>
      </w:pPr>
      <w:r w:rsidRPr="005C1A37">
        <w:rPr>
          <w:rFonts w:ascii="Arial" w:eastAsia="Times New Roman" w:hAnsi="Arial" w:cs="Arial"/>
          <w:sz w:val="18"/>
          <w:szCs w:val="18"/>
          <w:lang w:eastAsia="en-US" w:bidi="en-US"/>
        </w:rPr>
        <w:t xml:space="preserve">U </w:t>
      </w:r>
      <w:r w:rsidRPr="000E0701">
        <w:rPr>
          <w:rFonts w:ascii="Arial" w:eastAsia="Times New Roman" w:hAnsi="Arial" w:cs="Arial"/>
          <w:b/>
          <w:bCs/>
          <w:sz w:val="18"/>
          <w:szCs w:val="18"/>
          <w:lang w:eastAsia="en-US" w:bidi="en-US"/>
        </w:rPr>
        <w:t>2024</w:t>
      </w:r>
      <w:r w:rsidRPr="005C1A37">
        <w:rPr>
          <w:rFonts w:ascii="Arial" w:eastAsia="Times New Roman" w:hAnsi="Arial" w:cs="Arial"/>
          <w:sz w:val="18"/>
          <w:szCs w:val="18"/>
          <w:lang w:eastAsia="en-US" w:bidi="en-US"/>
        </w:rPr>
        <w:t xml:space="preserve">. godini su rashodi bili izvršeni u iznosu </w:t>
      </w:r>
      <w:bookmarkStart w:id="538" w:name="_Hlk166236572"/>
      <w:bookmarkStart w:id="539" w:name="_Hlk198906624"/>
      <w:r w:rsidR="00184A8E" w:rsidRPr="005C1A37">
        <w:rPr>
          <w:rFonts w:ascii="Arial" w:eastAsia="Times New Roman" w:hAnsi="Arial" w:cs="Arial"/>
          <w:sz w:val="18"/>
          <w:szCs w:val="18"/>
          <w:lang w:eastAsia="en-US" w:bidi="en-US"/>
        </w:rPr>
        <w:t xml:space="preserve">333.357,21 €, a </w:t>
      </w:r>
      <w:r w:rsidRPr="005C1A37">
        <w:rPr>
          <w:rFonts w:ascii="Arial" w:eastAsia="Times New Roman" w:hAnsi="Arial" w:cs="Arial"/>
          <w:sz w:val="18"/>
          <w:szCs w:val="18"/>
          <w:lang w:eastAsia="en-US" w:bidi="en-US"/>
        </w:rPr>
        <w:t>vrijednosno najznačajniji su se odnosili na radove izgradnje parkinga u Tihoj u iznosu 318.234,28 € sa uslugama nadzora nad izvođenjem radova u Tihoj 1.875 €. Pored navedenog nabavljene su i postavljene arle</w:t>
      </w:r>
      <w:r w:rsidR="00184A8E" w:rsidRPr="005C1A37">
        <w:rPr>
          <w:rFonts w:ascii="Arial" w:eastAsia="Times New Roman" w:hAnsi="Arial" w:cs="Arial"/>
          <w:sz w:val="18"/>
          <w:szCs w:val="18"/>
          <w:lang w:eastAsia="en-US" w:bidi="en-US"/>
        </w:rPr>
        <w:t xml:space="preserve"> za postojeći parking u Cavtatu 4.005,30 €,</w:t>
      </w:r>
      <w:r w:rsidRPr="005C1A37">
        <w:rPr>
          <w:rFonts w:ascii="Arial" w:eastAsia="Times New Roman" w:hAnsi="Arial" w:cs="Arial"/>
          <w:sz w:val="18"/>
          <w:szCs w:val="18"/>
          <w:lang w:eastAsia="en-US" w:bidi="en-US"/>
        </w:rPr>
        <w:t xml:space="preserve"> obavljena </w:t>
      </w:r>
      <w:r w:rsidR="00184A8E" w:rsidRPr="005C1A37">
        <w:rPr>
          <w:rFonts w:ascii="Arial" w:eastAsia="Times New Roman" w:hAnsi="Arial" w:cs="Arial"/>
          <w:sz w:val="18"/>
          <w:szCs w:val="18"/>
          <w:lang w:eastAsia="en-US" w:bidi="en-US"/>
        </w:rPr>
        <w:t>novelacij</w:t>
      </w:r>
      <w:r w:rsidRPr="005C1A37">
        <w:rPr>
          <w:rFonts w:ascii="Arial" w:eastAsia="Times New Roman" w:hAnsi="Arial" w:cs="Arial"/>
          <w:sz w:val="18"/>
          <w:szCs w:val="18"/>
          <w:lang w:eastAsia="en-US" w:bidi="en-US"/>
        </w:rPr>
        <w:t>a</w:t>
      </w:r>
      <w:r w:rsidR="00184A8E" w:rsidRPr="005C1A37">
        <w:rPr>
          <w:rFonts w:ascii="Arial" w:eastAsia="Times New Roman" w:hAnsi="Arial" w:cs="Arial"/>
          <w:sz w:val="18"/>
          <w:szCs w:val="18"/>
          <w:lang w:eastAsia="en-US" w:bidi="en-US"/>
        </w:rPr>
        <w:t xml:space="preserve"> izvedbenog projekta parkirališta u centru naselja Gruda 2.625 €,</w:t>
      </w:r>
      <w:r w:rsidRPr="005C1A37">
        <w:rPr>
          <w:rFonts w:ascii="Arial" w:eastAsia="Times New Roman" w:hAnsi="Arial" w:cs="Arial"/>
          <w:sz w:val="18"/>
          <w:szCs w:val="18"/>
          <w:lang w:eastAsia="en-US" w:bidi="en-US"/>
        </w:rPr>
        <w:t xml:space="preserve"> nabavljeni i ugrađeni</w:t>
      </w:r>
      <w:r w:rsidR="00184A8E" w:rsidRPr="005C1A37">
        <w:rPr>
          <w:rFonts w:ascii="Arial" w:eastAsia="Times New Roman" w:hAnsi="Arial" w:cs="Arial"/>
          <w:sz w:val="18"/>
          <w:szCs w:val="18"/>
          <w:lang w:eastAsia="en-US" w:bidi="en-US"/>
        </w:rPr>
        <w:t xml:space="preserve"> parking separator</w:t>
      </w:r>
      <w:r w:rsidRPr="005C1A37">
        <w:rPr>
          <w:rFonts w:ascii="Arial" w:eastAsia="Times New Roman" w:hAnsi="Arial" w:cs="Arial"/>
          <w:sz w:val="18"/>
          <w:szCs w:val="18"/>
          <w:lang w:eastAsia="en-US" w:bidi="en-US"/>
        </w:rPr>
        <w:t>i</w:t>
      </w:r>
      <w:r w:rsidR="00184A8E" w:rsidRPr="005C1A37">
        <w:rPr>
          <w:rFonts w:ascii="Arial" w:eastAsia="Times New Roman" w:hAnsi="Arial" w:cs="Arial"/>
          <w:sz w:val="18"/>
          <w:szCs w:val="18"/>
          <w:lang w:eastAsia="en-US" w:bidi="en-US"/>
        </w:rPr>
        <w:t xml:space="preserve"> na postojećem parkingu u Cavtatu 2.050 €, </w:t>
      </w:r>
      <w:r w:rsidRPr="005C1A37">
        <w:rPr>
          <w:rFonts w:ascii="Arial" w:eastAsia="Times New Roman" w:hAnsi="Arial" w:cs="Arial"/>
          <w:sz w:val="18"/>
          <w:szCs w:val="18"/>
          <w:lang w:eastAsia="en-US" w:bidi="en-US"/>
        </w:rPr>
        <w:t xml:space="preserve">dana kapitalna pomoć društvu u vlasništvu Općine (Čistoća i zelenilo Konavle d.o.o.) u iznosu 2.317,63 € (sredstva za nabavu kamere za postavljanje na parking u centru Cavtata i termalni validator parkirnih karata – glava validatora) i drugo. </w:t>
      </w:r>
    </w:p>
    <w:p w14:paraId="32F6819F" w14:textId="77777777" w:rsidR="005C1A37" w:rsidRPr="005C1A37" w:rsidRDefault="005C1A37" w:rsidP="005C1A37">
      <w:pPr>
        <w:spacing w:after="0" w:line="240" w:lineRule="auto"/>
        <w:jc w:val="both"/>
        <w:rPr>
          <w:rFonts w:ascii="Arial" w:eastAsia="Times New Roman" w:hAnsi="Arial" w:cs="Arial"/>
          <w:sz w:val="20"/>
          <w:szCs w:val="20"/>
        </w:rPr>
      </w:pPr>
    </w:p>
    <w:p w14:paraId="7FC048FC" w14:textId="1E335953" w:rsidR="005C1A37" w:rsidRPr="005C1A37" w:rsidRDefault="005C1A37" w:rsidP="005C1A37">
      <w:pPr>
        <w:spacing w:after="0" w:line="240" w:lineRule="auto"/>
        <w:jc w:val="both"/>
        <w:rPr>
          <w:rFonts w:ascii="Arial" w:eastAsia="Times New Roman" w:hAnsi="Arial" w:cs="Arial"/>
          <w:sz w:val="20"/>
          <w:szCs w:val="20"/>
        </w:rPr>
      </w:pPr>
      <w:r w:rsidRPr="005C1A37">
        <w:rPr>
          <w:rFonts w:ascii="Arial" w:eastAsia="Times New Roman" w:hAnsi="Arial" w:cs="Arial"/>
          <w:sz w:val="20"/>
          <w:szCs w:val="20"/>
        </w:rPr>
        <w:t>Rashodi u 2025. su izvršeni u iznosu 270.655,81 €, a odnose se na:</w:t>
      </w:r>
    </w:p>
    <w:p w14:paraId="0EBCF9FD" w14:textId="77777777" w:rsidR="005C1A37" w:rsidRPr="005C1A37" w:rsidRDefault="005C1A37">
      <w:pPr>
        <w:numPr>
          <w:ilvl w:val="0"/>
          <w:numId w:val="3"/>
        </w:numPr>
        <w:spacing w:after="0" w:line="240" w:lineRule="auto"/>
        <w:ind w:left="567" w:hanging="567"/>
        <w:jc w:val="both"/>
        <w:rPr>
          <w:rFonts w:ascii="Arial" w:hAnsi="Arial" w:cs="Arial"/>
          <w:sz w:val="20"/>
          <w:szCs w:val="20"/>
        </w:rPr>
      </w:pPr>
      <w:r w:rsidRPr="005C1A37">
        <w:rPr>
          <w:rFonts w:ascii="Arial" w:hAnsi="Arial" w:cs="Arial"/>
          <w:sz w:val="20"/>
          <w:szCs w:val="20"/>
        </w:rPr>
        <w:t>izrada i montaža ograde na parkingu Tiha u iznosu 15.180 € prema ugovoru iz siječnja 2025. godine i nadzor građevinskih radova u Tihoj u iznosu 3.250 € (radovi izvedeni u 2024. godini),</w:t>
      </w:r>
    </w:p>
    <w:p w14:paraId="02CF1DEE" w14:textId="77777777" w:rsidR="005C1A37" w:rsidRPr="005C1A37" w:rsidRDefault="005C1A37">
      <w:pPr>
        <w:numPr>
          <w:ilvl w:val="0"/>
          <w:numId w:val="3"/>
        </w:numPr>
        <w:spacing w:after="0" w:line="240" w:lineRule="auto"/>
        <w:ind w:left="567" w:hanging="567"/>
        <w:jc w:val="both"/>
        <w:rPr>
          <w:rFonts w:ascii="Arial" w:hAnsi="Arial" w:cs="Arial"/>
          <w:sz w:val="20"/>
          <w:szCs w:val="20"/>
        </w:rPr>
      </w:pPr>
      <w:r w:rsidRPr="005C1A37">
        <w:rPr>
          <w:rFonts w:ascii="Arial" w:hAnsi="Arial" w:cs="Arial"/>
          <w:sz w:val="20"/>
          <w:szCs w:val="20"/>
        </w:rPr>
        <w:t>izrada projektne dokumentacija za zonu javnog parkinga u uvali Tiha (analiza područja zone javnog parkinga i idejno rješenje sjevernog platoa parking zone i novog obalnog zida) u iznosu 32.875 € prema ugovoru iz studenog 2024. godine,</w:t>
      </w:r>
    </w:p>
    <w:p w14:paraId="5EBBDDB8" w14:textId="77777777" w:rsidR="005C1A37" w:rsidRPr="005C1A37" w:rsidRDefault="005C1A37">
      <w:pPr>
        <w:numPr>
          <w:ilvl w:val="0"/>
          <w:numId w:val="3"/>
        </w:numPr>
        <w:spacing w:after="0" w:line="240" w:lineRule="auto"/>
        <w:ind w:left="567" w:hanging="567"/>
        <w:jc w:val="both"/>
        <w:rPr>
          <w:rFonts w:ascii="Arial" w:hAnsi="Arial" w:cs="Arial"/>
          <w:sz w:val="20"/>
          <w:szCs w:val="20"/>
        </w:rPr>
      </w:pPr>
      <w:r w:rsidRPr="005C1A37">
        <w:rPr>
          <w:rFonts w:ascii="Arial" w:hAnsi="Arial" w:cs="Arial"/>
          <w:sz w:val="20"/>
          <w:szCs w:val="20"/>
        </w:rPr>
        <w:t>uređenje parkinga na Grudi u iznosu 186.727,51 € i to:</w:t>
      </w:r>
    </w:p>
    <w:p w14:paraId="6835C6C4" w14:textId="77777777" w:rsidR="005C1A37" w:rsidRPr="005C1A37" w:rsidRDefault="005C1A37">
      <w:pPr>
        <w:numPr>
          <w:ilvl w:val="1"/>
          <w:numId w:val="3"/>
        </w:numPr>
        <w:spacing w:after="0" w:line="240" w:lineRule="auto"/>
        <w:jc w:val="both"/>
        <w:rPr>
          <w:rFonts w:ascii="Arial" w:hAnsi="Arial" w:cs="Arial"/>
          <w:sz w:val="20"/>
          <w:szCs w:val="20"/>
        </w:rPr>
      </w:pPr>
      <w:r w:rsidRPr="005C1A37">
        <w:rPr>
          <w:rFonts w:ascii="Arial" w:hAnsi="Arial" w:cs="Arial"/>
          <w:sz w:val="20"/>
          <w:szCs w:val="20"/>
        </w:rPr>
        <w:t xml:space="preserve">građevinski radovi (pripremni i zemljani) na uređenju parkirališta Gruda u iznosu 80.312,50 € prema ugovoru iz veljače 2025. godine, </w:t>
      </w:r>
    </w:p>
    <w:p w14:paraId="721745C3" w14:textId="77777777" w:rsidR="005C1A37" w:rsidRPr="005C1A37" w:rsidRDefault="005C1A37">
      <w:pPr>
        <w:numPr>
          <w:ilvl w:val="1"/>
          <w:numId w:val="3"/>
        </w:numPr>
        <w:spacing w:after="0" w:line="240" w:lineRule="auto"/>
        <w:jc w:val="both"/>
        <w:rPr>
          <w:rFonts w:ascii="Arial" w:hAnsi="Arial" w:cs="Arial"/>
          <w:sz w:val="20"/>
          <w:szCs w:val="20"/>
        </w:rPr>
      </w:pPr>
      <w:r w:rsidRPr="005C1A37">
        <w:rPr>
          <w:rFonts w:ascii="Arial" w:hAnsi="Arial" w:cs="Arial"/>
          <w:sz w:val="20"/>
          <w:szCs w:val="20"/>
        </w:rPr>
        <w:t xml:space="preserve">armiranobetonski radovi potrebni za uređenje parkinga Gruda u iznosu 80.750 € na temelju ugovora iz ožujka 2025. godine, </w:t>
      </w:r>
    </w:p>
    <w:p w14:paraId="01DC2DA6" w14:textId="77777777" w:rsidR="005C1A37" w:rsidRPr="005C1A37" w:rsidRDefault="005C1A37">
      <w:pPr>
        <w:numPr>
          <w:ilvl w:val="1"/>
          <w:numId w:val="3"/>
        </w:numPr>
        <w:spacing w:after="0" w:line="240" w:lineRule="auto"/>
        <w:jc w:val="both"/>
        <w:rPr>
          <w:rFonts w:ascii="Arial" w:hAnsi="Arial" w:cs="Arial"/>
          <w:sz w:val="20"/>
          <w:szCs w:val="20"/>
        </w:rPr>
      </w:pPr>
      <w:r w:rsidRPr="005C1A37">
        <w:rPr>
          <w:rFonts w:ascii="Arial" w:hAnsi="Arial" w:cs="Arial"/>
          <w:sz w:val="20"/>
          <w:szCs w:val="20"/>
        </w:rPr>
        <w:t>izrada stepeništa i staze za pristup parkiralištu 4.407,51 € prema ugovoru iz srpnja 2025. godine,</w:t>
      </w:r>
    </w:p>
    <w:p w14:paraId="76CFEAAE" w14:textId="77777777" w:rsidR="005C1A37" w:rsidRPr="005C1A37" w:rsidRDefault="005C1A37">
      <w:pPr>
        <w:numPr>
          <w:ilvl w:val="1"/>
          <w:numId w:val="3"/>
        </w:numPr>
        <w:spacing w:after="0" w:line="240" w:lineRule="auto"/>
        <w:jc w:val="both"/>
        <w:rPr>
          <w:rFonts w:ascii="Arial" w:hAnsi="Arial" w:cs="Arial"/>
          <w:sz w:val="20"/>
          <w:szCs w:val="20"/>
        </w:rPr>
      </w:pPr>
      <w:r w:rsidRPr="005C1A37">
        <w:rPr>
          <w:rFonts w:ascii="Arial" w:hAnsi="Arial" w:cs="Arial"/>
          <w:sz w:val="20"/>
          <w:szCs w:val="20"/>
        </w:rPr>
        <w:t>izrada i montaža ograde na novoizgrađenom parkingu Gruda u iznosu 19.337,50 € prema ugovoru iz lipnja 2025. godine</w:t>
      </w:r>
    </w:p>
    <w:p w14:paraId="216B09F4" w14:textId="77777777" w:rsidR="005C1A37" w:rsidRPr="005C1A37" w:rsidRDefault="005C1A37">
      <w:pPr>
        <w:numPr>
          <w:ilvl w:val="1"/>
          <w:numId w:val="3"/>
        </w:numPr>
        <w:spacing w:after="0" w:line="240" w:lineRule="auto"/>
        <w:jc w:val="both"/>
        <w:rPr>
          <w:rFonts w:ascii="Arial" w:hAnsi="Arial" w:cs="Arial"/>
          <w:sz w:val="20"/>
          <w:szCs w:val="20"/>
        </w:rPr>
      </w:pPr>
      <w:r w:rsidRPr="005C1A37">
        <w:rPr>
          <w:rFonts w:ascii="Arial" w:hAnsi="Arial" w:cs="Arial"/>
          <w:sz w:val="20"/>
          <w:szCs w:val="20"/>
        </w:rPr>
        <w:t>stručni nadzor radova na parkiralištu Gruda 1.920 €,</w:t>
      </w:r>
    </w:p>
    <w:p w14:paraId="2269A00C" w14:textId="77777777" w:rsidR="005C1A37" w:rsidRPr="005C1A37" w:rsidRDefault="005C1A37">
      <w:pPr>
        <w:numPr>
          <w:ilvl w:val="0"/>
          <w:numId w:val="3"/>
        </w:numPr>
        <w:spacing w:after="0" w:line="240" w:lineRule="auto"/>
        <w:ind w:left="567" w:hanging="567"/>
        <w:jc w:val="both"/>
        <w:rPr>
          <w:rFonts w:ascii="Arial" w:hAnsi="Arial" w:cs="Arial"/>
          <w:sz w:val="20"/>
          <w:szCs w:val="20"/>
        </w:rPr>
      </w:pPr>
      <w:r w:rsidRPr="005C1A37">
        <w:rPr>
          <w:rFonts w:ascii="Arial" w:hAnsi="Arial" w:cs="Arial"/>
          <w:sz w:val="20"/>
          <w:szCs w:val="20"/>
        </w:rPr>
        <w:t xml:space="preserve">građevinski radovi uređenja parkinga na Zvekovici (uz ŽC 6239) u iznosu 31.025,80 € prema ugovoru iz veljače 2025. godine i usluge nadzora 1.250 €, </w:t>
      </w:r>
    </w:p>
    <w:p w14:paraId="492DADFF" w14:textId="77777777" w:rsidR="005C1A37" w:rsidRPr="005C1A37" w:rsidRDefault="005C1A37">
      <w:pPr>
        <w:numPr>
          <w:ilvl w:val="0"/>
          <w:numId w:val="3"/>
        </w:numPr>
        <w:spacing w:after="0" w:line="240" w:lineRule="auto"/>
        <w:ind w:left="567" w:hanging="567"/>
        <w:jc w:val="both"/>
        <w:rPr>
          <w:rFonts w:ascii="Arial" w:hAnsi="Arial" w:cs="Arial"/>
          <w:sz w:val="20"/>
          <w:szCs w:val="20"/>
        </w:rPr>
      </w:pPr>
      <w:r w:rsidRPr="005C1A37">
        <w:rPr>
          <w:rFonts w:ascii="Arial" w:hAnsi="Arial" w:cs="Arial"/>
          <w:sz w:val="20"/>
          <w:szCs w:val="20"/>
        </w:rPr>
        <w:t>izrada inox stuba nosača za kamere na parkingu u Cavtatu 312,50 € i izrada table za parking Tiha 35 €.</w:t>
      </w:r>
    </w:p>
    <w:bookmarkEnd w:id="538"/>
    <w:bookmarkEnd w:id="539"/>
    <w:p w14:paraId="1D697FD0" w14:textId="77777777" w:rsidR="00184A8E" w:rsidRPr="00184A8E" w:rsidRDefault="00184A8E" w:rsidP="00184A8E">
      <w:pPr>
        <w:spacing w:after="0" w:line="240" w:lineRule="auto"/>
        <w:jc w:val="both"/>
        <w:rPr>
          <w:rFonts w:ascii="Arial" w:eastAsia="Times New Roman" w:hAnsi="Arial" w:cs="Arial"/>
          <w:sz w:val="18"/>
          <w:szCs w:val="18"/>
          <w:lang w:eastAsia="en-US" w:bidi="en-US"/>
        </w:rPr>
      </w:pPr>
    </w:p>
    <w:tbl>
      <w:tblPr>
        <w:tblStyle w:val="Reetkatablice5368"/>
        <w:tblW w:w="14427" w:type="dxa"/>
        <w:jc w:val="center"/>
        <w:tblLayout w:type="fixed"/>
        <w:tblLook w:val="04A0" w:firstRow="1" w:lastRow="0" w:firstColumn="1" w:lastColumn="0" w:noHBand="0" w:noVBand="1"/>
      </w:tblPr>
      <w:tblGrid>
        <w:gridCol w:w="2699"/>
        <w:gridCol w:w="3533"/>
        <w:gridCol w:w="993"/>
        <w:gridCol w:w="968"/>
        <w:gridCol w:w="1232"/>
        <w:gridCol w:w="1276"/>
        <w:gridCol w:w="1242"/>
        <w:gridCol w:w="1242"/>
        <w:gridCol w:w="1242"/>
      </w:tblGrid>
      <w:tr w:rsidR="00184A8E" w:rsidRPr="00184A8E" w14:paraId="42827AEA" w14:textId="77777777" w:rsidTr="00410A4B">
        <w:trPr>
          <w:jc w:val="center"/>
        </w:trPr>
        <w:tc>
          <w:tcPr>
            <w:tcW w:w="26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bookmarkEnd w:id="536"/>
          <w:p w14:paraId="735915D1"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53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BA6E92A"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D4BBC04"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96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D788B12"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47BEC10" w14:textId="0F972CD4"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5C1A37">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11BCFF8" w14:textId="0E2FE2DA"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831AA8">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30632BD" w14:textId="5059038E"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831AA8">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FD547BD" w14:textId="1218F88C"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831AA8">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42DF7A7" w14:textId="252CDF47"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831AA8">
              <w:rPr>
                <w:rFonts w:ascii="Arial" w:eastAsia="Calibri" w:hAnsi="Arial" w:cs="Arial"/>
              </w:rPr>
              <w:t>7</w:t>
            </w:r>
            <w:r w:rsidRPr="00184A8E">
              <w:rPr>
                <w:rFonts w:ascii="Arial" w:eastAsia="Calibri" w:hAnsi="Arial" w:cs="Arial"/>
              </w:rPr>
              <w:t>.</w:t>
            </w:r>
          </w:p>
        </w:tc>
      </w:tr>
      <w:tr w:rsidR="005C1A37" w:rsidRPr="00184A8E" w14:paraId="44C13B7C" w14:textId="77777777" w:rsidTr="00410A4B">
        <w:trPr>
          <w:trHeight w:val="273"/>
          <w:jc w:val="center"/>
        </w:trPr>
        <w:tc>
          <w:tcPr>
            <w:tcW w:w="2699" w:type="dxa"/>
            <w:tcBorders>
              <w:top w:val="single" w:sz="4" w:space="0" w:color="auto"/>
              <w:left w:val="single" w:sz="4" w:space="0" w:color="auto"/>
              <w:bottom w:val="single" w:sz="4" w:space="0" w:color="auto"/>
              <w:right w:val="single" w:sz="4" w:space="0" w:color="auto"/>
            </w:tcBorders>
            <w:vAlign w:val="center"/>
          </w:tcPr>
          <w:p w14:paraId="22B23428" w14:textId="10FD4F56" w:rsidR="005C1A37" w:rsidRPr="00184A8E" w:rsidRDefault="005C1A37" w:rsidP="005C1A37">
            <w:pPr>
              <w:rPr>
                <w:rFonts w:ascii="Arial" w:hAnsi="Arial" w:cs="Arial"/>
                <w:sz w:val="18"/>
                <w:szCs w:val="18"/>
              </w:rPr>
            </w:pPr>
            <w:r w:rsidRPr="00FF64C3">
              <w:rPr>
                <w:rFonts w:ascii="Arial" w:eastAsia="Calibri" w:hAnsi="Arial" w:cs="Arial"/>
                <w:iCs/>
                <w:sz w:val="18"/>
                <w:szCs w:val="18"/>
              </w:rPr>
              <w:t xml:space="preserve">Utrošena sredstva za uređenja parkirališta u Cavtatu </w:t>
            </w:r>
            <w:r w:rsidR="00831AA8">
              <w:rPr>
                <w:rFonts w:ascii="Arial" w:eastAsia="Calibri" w:hAnsi="Arial" w:cs="Arial"/>
                <w:iCs/>
                <w:sz w:val="18"/>
                <w:szCs w:val="18"/>
              </w:rPr>
              <w:t>(Tiha)</w:t>
            </w:r>
          </w:p>
        </w:tc>
        <w:tc>
          <w:tcPr>
            <w:tcW w:w="3533" w:type="dxa"/>
            <w:tcBorders>
              <w:top w:val="single" w:sz="4" w:space="0" w:color="auto"/>
              <w:left w:val="single" w:sz="4" w:space="0" w:color="auto"/>
              <w:bottom w:val="single" w:sz="4" w:space="0" w:color="auto"/>
              <w:right w:val="single" w:sz="4" w:space="0" w:color="auto"/>
            </w:tcBorders>
            <w:vAlign w:val="center"/>
          </w:tcPr>
          <w:p w14:paraId="2987B182" w14:textId="2882D8E8" w:rsidR="005C1A37" w:rsidRPr="00184A8E" w:rsidRDefault="005C1A37" w:rsidP="005C1A37">
            <w:pPr>
              <w:autoSpaceDE w:val="0"/>
              <w:autoSpaceDN w:val="0"/>
              <w:adjustRightInd w:val="0"/>
              <w:rPr>
                <w:rFonts w:ascii="Arial" w:hAnsi="Arial" w:cs="Arial"/>
                <w:sz w:val="18"/>
                <w:szCs w:val="18"/>
              </w:rPr>
            </w:pPr>
            <w:r w:rsidRPr="00FF64C3">
              <w:rPr>
                <w:rFonts w:ascii="Arial" w:eastAsia="Calibri" w:hAnsi="Arial" w:cs="Arial"/>
                <w:sz w:val="18"/>
                <w:szCs w:val="18"/>
              </w:rPr>
              <w:t xml:space="preserve">Udio utrošenih planiranih sredstava za </w:t>
            </w:r>
            <w:r w:rsidRPr="00FF64C3">
              <w:rPr>
                <w:rFonts w:ascii="Arial" w:eastAsia="Calibri" w:hAnsi="Arial" w:cs="Arial"/>
                <w:iCs/>
                <w:sz w:val="18"/>
                <w:szCs w:val="18"/>
              </w:rPr>
              <w:t>uređenje i opremanje parkirališta u Cavtatu</w:t>
            </w:r>
          </w:p>
        </w:tc>
        <w:tc>
          <w:tcPr>
            <w:tcW w:w="993" w:type="dxa"/>
            <w:tcBorders>
              <w:top w:val="single" w:sz="4" w:space="0" w:color="auto"/>
              <w:left w:val="single" w:sz="4" w:space="0" w:color="auto"/>
              <w:bottom w:val="single" w:sz="4" w:space="0" w:color="auto"/>
              <w:right w:val="single" w:sz="4" w:space="0" w:color="auto"/>
            </w:tcBorders>
            <w:vAlign w:val="center"/>
          </w:tcPr>
          <w:p w14:paraId="55B18CEF" w14:textId="77777777" w:rsidR="005C1A37" w:rsidRPr="00184A8E" w:rsidRDefault="005C1A37" w:rsidP="005C1A37">
            <w:pPr>
              <w:jc w:val="center"/>
              <w:rPr>
                <w:rFonts w:ascii="Arial" w:hAnsi="Arial" w:cs="Arial"/>
              </w:rPr>
            </w:pPr>
            <w:r w:rsidRPr="00184A8E">
              <w:rPr>
                <w:rFonts w:ascii="Arial" w:eastAsia="Calibri" w:hAnsi="Arial" w:cs="Arial"/>
              </w:rPr>
              <w:t>%</w:t>
            </w:r>
          </w:p>
        </w:tc>
        <w:tc>
          <w:tcPr>
            <w:tcW w:w="968" w:type="dxa"/>
            <w:tcBorders>
              <w:top w:val="single" w:sz="4" w:space="0" w:color="auto"/>
              <w:left w:val="single" w:sz="4" w:space="0" w:color="auto"/>
              <w:bottom w:val="single" w:sz="4" w:space="0" w:color="auto"/>
              <w:right w:val="single" w:sz="4" w:space="0" w:color="auto"/>
            </w:tcBorders>
            <w:vAlign w:val="center"/>
          </w:tcPr>
          <w:p w14:paraId="17789C52" w14:textId="77777777" w:rsidR="005C1A37" w:rsidRPr="00184A8E" w:rsidRDefault="005C1A37" w:rsidP="005C1A37">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0911B40F" w14:textId="5D5FBBCB" w:rsidR="005C1A37" w:rsidRPr="00184A8E" w:rsidRDefault="005C1A37" w:rsidP="005C1A37">
            <w:pPr>
              <w:jc w:val="center"/>
              <w:rPr>
                <w:rFonts w:ascii="Arial" w:hAnsi="Arial" w:cs="Arial"/>
              </w:rPr>
            </w:pPr>
            <w:r>
              <w:rPr>
                <w:rFonts w:ascii="Arial" w:eastAsia="Calibri" w:hAnsi="Arial" w:cs="Arial"/>
              </w:rPr>
              <w:t>72</w:t>
            </w:r>
            <w:r w:rsidRPr="00184A8E">
              <w:rPr>
                <w:rFonts w:ascii="Arial" w:eastAsia="Calibri" w:hAnsi="Arial" w:cs="Arial"/>
              </w:rPr>
              <w:t>%</w:t>
            </w:r>
          </w:p>
        </w:tc>
        <w:tc>
          <w:tcPr>
            <w:tcW w:w="1276" w:type="dxa"/>
            <w:tcBorders>
              <w:top w:val="single" w:sz="4" w:space="0" w:color="auto"/>
              <w:left w:val="single" w:sz="4" w:space="0" w:color="auto"/>
              <w:bottom w:val="single" w:sz="4" w:space="0" w:color="auto"/>
              <w:right w:val="single" w:sz="4" w:space="0" w:color="auto"/>
            </w:tcBorders>
            <w:vAlign w:val="center"/>
          </w:tcPr>
          <w:p w14:paraId="073554C1" w14:textId="77777777" w:rsidR="005C1A37" w:rsidRPr="00184A8E" w:rsidRDefault="005C1A37" w:rsidP="005C1A37">
            <w:pPr>
              <w:jc w:val="center"/>
              <w:rPr>
                <w:rFonts w:ascii="Arial" w:hAnsi="Arial" w:cs="Arial"/>
              </w:rPr>
            </w:pPr>
            <w:r w:rsidRPr="00184A8E">
              <w:rPr>
                <w:rFonts w:ascii="Arial" w:eastAsia="Calibri"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24013786" w14:textId="2721D7A2" w:rsidR="005C1A37" w:rsidRPr="00184A8E" w:rsidRDefault="00831AA8" w:rsidP="005C1A37">
            <w:pPr>
              <w:jc w:val="center"/>
              <w:rPr>
                <w:rFonts w:ascii="Arial" w:eastAsia="Calibri" w:hAnsi="Arial" w:cs="Arial"/>
              </w:rPr>
            </w:pPr>
            <w:r>
              <w:rPr>
                <w:rFonts w:ascii="Arial" w:eastAsia="Calibri" w:hAnsi="Arial" w:cs="Arial"/>
              </w:rPr>
              <w:t>100</w:t>
            </w:r>
            <w:r w:rsidR="005C1A37"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5DBBC720" w14:textId="77777777" w:rsidR="005C1A37" w:rsidRPr="00184A8E" w:rsidRDefault="005C1A37" w:rsidP="005C1A37">
            <w:pPr>
              <w:jc w:val="center"/>
              <w:rPr>
                <w:rFonts w:ascii="Arial" w:hAnsi="Arial" w:cs="Arial"/>
              </w:rPr>
            </w:pPr>
            <w:r w:rsidRPr="00184A8E">
              <w:rPr>
                <w:rFonts w:ascii="Arial" w:eastAsia="Calibri"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7D3005A" w14:textId="77777777" w:rsidR="005C1A37" w:rsidRPr="00184A8E" w:rsidRDefault="005C1A37" w:rsidP="005C1A37">
            <w:pPr>
              <w:jc w:val="center"/>
              <w:rPr>
                <w:rFonts w:ascii="Arial" w:hAnsi="Arial" w:cs="Arial"/>
              </w:rPr>
            </w:pPr>
            <w:r w:rsidRPr="00184A8E">
              <w:rPr>
                <w:rFonts w:ascii="Arial" w:hAnsi="Arial" w:cs="Arial"/>
              </w:rPr>
              <w:t>100%</w:t>
            </w:r>
          </w:p>
        </w:tc>
      </w:tr>
    </w:tbl>
    <w:p w14:paraId="4413E621" w14:textId="77777777" w:rsidR="00184A8E" w:rsidRPr="00184A8E" w:rsidRDefault="00184A8E" w:rsidP="00184A8E">
      <w:pPr>
        <w:spacing w:after="0" w:line="240" w:lineRule="auto"/>
        <w:jc w:val="both"/>
        <w:rPr>
          <w:rFonts w:ascii="Arial" w:eastAsia="Calibri" w:hAnsi="Arial" w:cs="Arial"/>
          <w:sz w:val="20"/>
          <w:szCs w:val="20"/>
        </w:rPr>
      </w:pPr>
    </w:p>
    <w:p w14:paraId="4A7050E9"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7. K209211: Izgradnja nogostupa, Poluganje</w:t>
      </w:r>
      <w:r w:rsidRPr="00184A8E">
        <w:rPr>
          <w:rFonts w:ascii="Arial" w:eastAsia="Calibri" w:hAnsi="Arial" w:cs="Arial"/>
          <w:sz w:val="20"/>
          <w:szCs w:val="20"/>
        </w:rPr>
        <w:t xml:space="preserve"> – u sklopu projekta su rashodi za izradu nogostupa u Poluganju. Nisu planirana sredstva za provođenje navedene aktivnosti.</w:t>
      </w:r>
    </w:p>
    <w:p w14:paraId="51DCDB14" w14:textId="77777777" w:rsidR="00184A8E" w:rsidRPr="00184A8E" w:rsidRDefault="00184A8E" w:rsidP="00184A8E">
      <w:pPr>
        <w:spacing w:after="0" w:line="240" w:lineRule="auto"/>
        <w:jc w:val="both"/>
        <w:rPr>
          <w:rFonts w:ascii="Arial" w:eastAsia="Calibri" w:hAnsi="Arial" w:cs="Arial"/>
          <w:sz w:val="20"/>
          <w:szCs w:val="20"/>
        </w:rPr>
      </w:pPr>
    </w:p>
    <w:p w14:paraId="20CD5F57" w14:textId="30679A3C" w:rsidR="00184A8E" w:rsidRPr="00184A8E" w:rsidRDefault="00184A8E" w:rsidP="00184A8E">
      <w:pPr>
        <w:spacing w:after="0" w:line="240" w:lineRule="auto"/>
        <w:jc w:val="both"/>
        <w:rPr>
          <w:rFonts w:ascii="Arial" w:eastAsia="Calibri" w:hAnsi="Arial" w:cs="Arial"/>
          <w:sz w:val="20"/>
          <w:szCs w:val="20"/>
        </w:rPr>
      </w:pPr>
      <w:bookmarkStart w:id="540" w:name="_Hlk135067363"/>
      <w:r w:rsidRPr="00184A8E">
        <w:rPr>
          <w:rFonts w:ascii="Arial" w:eastAsia="Calibri" w:hAnsi="Arial" w:cs="Arial"/>
          <w:b/>
          <w:sz w:val="20"/>
          <w:szCs w:val="20"/>
        </w:rPr>
        <w:t xml:space="preserve">8. </w:t>
      </w:r>
      <w:bookmarkStart w:id="541" w:name="_Hlk198906838"/>
      <w:r w:rsidRPr="00184A8E">
        <w:rPr>
          <w:rFonts w:ascii="Arial" w:eastAsia="Calibri" w:hAnsi="Arial" w:cs="Arial"/>
          <w:b/>
          <w:sz w:val="20"/>
          <w:szCs w:val="20"/>
        </w:rPr>
        <w:t>T209212: Građevine i uređaji javne namjene: Opremanje komunalnom infrastrukturom javnih površina</w:t>
      </w:r>
      <w:r w:rsidRPr="00184A8E">
        <w:rPr>
          <w:rFonts w:ascii="Arial" w:eastAsia="Calibri" w:hAnsi="Arial" w:cs="Arial"/>
          <w:sz w:val="20"/>
          <w:szCs w:val="20"/>
        </w:rPr>
        <w:t xml:space="preserve"> – u sklopu projekta su planirana sredstva za nabavu novih klupa i druge opreme na javnim površinama u iznosu </w:t>
      </w:r>
      <w:r w:rsidR="00831AA8">
        <w:rPr>
          <w:rFonts w:ascii="Arial" w:eastAsia="Calibri" w:hAnsi="Arial" w:cs="Arial"/>
          <w:sz w:val="20"/>
          <w:szCs w:val="20"/>
        </w:rPr>
        <w:t>10</w:t>
      </w:r>
      <w:r w:rsidRPr="00184A8E">
        <w:rPr>
          <w:rFonts w:ascii="Arial" w:eastAsia="Calibri" w:hAnsi="Arial" w:cs="Arial"/>
          <w:sz w:val="20"/>
          <w:szCs w:val="20"/>
        </w:rPr>
        <w:t xml:space="preserve">.000 €. Rashodi </w:t>
      </w:r>
      <w:r w:rsidR="00831AA8">
        <w:rPr>
          <w:rFonts w:ascii="Arial" w:eastAsia="Calibri" w:hAnsi="Arial" w:cs="Arial"/>
          <w:sz w:val="20"/>
          <w:szCs w:val="20"/>
        </w:rPr>
        <w:t>nisu izvršeni.</w:t>
      </w:r>
    </w:p>
    <w:bookmarkEnd w:id="541"/>
    <w:p w14:paraId="09EDD3DE" w14:textId="77777777" w:rsidR="00184A8E" w:rsidRDefault="00184A8E" w:rsidP="00184A8E">
      <w:pPr>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 okviru ovog projekte 2021. su bili izvršeni rashodi u iznosu 41.787,50 kn / 5.546,15 € (nabava kamere za mjerenje brzine, postavljeno na dvije javne površine – Zvekovica i Mećajac).</w:t>
      </w:r>
    </w:p>
    <w:p w14:paraId="03E5B469" w14:textId="46D339EC" w:rsidR="00184A8E" w:rsidRDefault="00831AA8" w:rsidP="00831AA8">
      <w:pPr>
        <w:spacing w:after="0" w:line="240" w:lineRule="auto"/>
        <w:ind w:left="567"/>
        <w:jc w:val="both"/>
        <w:rPr>
          <w:rFonts w:ascii="Arial" w:eastAsia="Calibri" w:hAnsi="Arial" w:cs="Arial"/>
          <w:sz w:val="18"/>
          <w:szCs w:val="18"/>
        </w:rPr>
      </w:pPr>
      <w:r>
        <w:rPr>
          <w:rFonts w:ascii="Arial" w:eastAsia="Calibri" w:hAnsi="Arial" w:cs="Arial"/>
          <w:sz w:val="18"/>
          <w:szCs w:val="18"/>
        </w:rPr>
        <w:t xml:space="preserve">U 2024. godini su bili izvršeni rashodi </w:t>
      </w:r>
      <w:r w:rsidRPr="00831AA8">
        <w:rPr>
          <w:rFonts w:ascii="Arial" w:eastAsia="Calibri" w:hAnsi="Arial" w:cs="Arial"/>
          <w:sz w:val="18"/>
          <w:szCs w:val="18"/>
        </w:rPr>
        <w:t>u iznosu 5.465,50 € i odnos</w:t>
      </w:r>
      <w:r>
        <w:rPr>
          <w:rFonts w:ascii="Arial" w:eastAsia="Calibri" w:hAnsi="Arial" w:cs="Arial"/>
          <w:sz w:val="18"/>
          <w:szCs w:val="18"/>
        </w:rPr>
        <w:t>ili su</w:t>
      </w:r>
      <w:r w:rsidRPr="00831AA8">
        <w:rPr>
          <w:rFonts w:ascii="Arial" w:eastAsia="Calibri" w:hAnsi="Arial" w:cs="Arial"/>
          <w:sz w:val="18"/>
          <w:szCs w:val="18"/>
        </w:rPr>
        <w:t xml:space="preserve"> se na kapitalnu pomoć društvu u vlasništvu Općine za nabavu materijala za izradu baroknih klupa (6 klupa postavljeno na novo uređenu rivu u Cavtatu). </w:t>
      </w:r>
    </w:p>
    <w:p w14:paraId="1272F620" w14:textId="77777777" w:rsidR="00831AA8" w:rsidRPr="00184A8E" w:rsidRDefault="00831AA8" w:rsidP="00831AA8">
      <w:pPr>
        <w:spacing w:after="0" w:line="240" w:lineRule="auto"/>
        <w:ind w:left="567"/>
        <w:jc w:val="both"/>
        <w:rPr>
          <w:rFonts w:ascii="Arial" w:eastAsia="Calibri" w:hAnsi="Arial" w:cs="Arial"/>
          <w:sz w:val="18"/>
          <w:szCs w:val="18"/>
        </w:rPr>
      </w:pPr>
    </w:p>
    <w:tbl>
      <w:tblPr>
        <w:tblStyle w:val="Reetkatablice5368"/>
        <w:tblW w:w="13991" w:type="dxa"/>
        <w:jc w:val="center"/>
        <w:tblLayout w:type="fixed"/>
        <w:tblLook w:val="04A0" w:firstRow="1" w:lastRow="0" w:firstColumn="1" w:lastColumn="0" w:noHBand="0" w:noVBand="1"/>
      </w:tblPr>
      <w:tblGrid>
        <w:gridCol w:w="2263"/>
        <w:gridCol w:w="3402"/>
        <w:gridCol w:w="958"/>
        <w:gridCol w:w="1134"/>
        <w:gridCol w:w="1232"/>
        <w:gridCol w:w="1276"/>
        <w:gridCol w:w="1242"/>
        <w:gridCol w:w="1242"/>
        <w:gridCol w:w="1242"/>
      </w:tblGrid>
      <w:tr w:rsidR="00184A8E" w:rsidRPr="00184A8E" w14:paraId="49505EB6"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bookmarkEnd w:id="540"/>
          <w:p w14:paraId="1E46D290"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E08B243"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EAB8004"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45B04D4"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2D4F7A8" w14:textId="07790509"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831AA8">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F2DBC2D" w14:textId="73787AAF"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831AA8">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898E384" w14:textId="6993452E"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831AA8">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C5CF847" w14:textId="7C2202B7"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831AA8">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5AD6D8B" w14:textId="07B8A896"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831AA8">
              <w:rPr>
                <w:rFonts w:ascii="Arial" w:eastAsia="Calibri" w:hAnsi="Arial" w:cs="Arial"/>
              </w:rPr>
              <w:t>7</w:t>
            </w:r>
            <w:r w:rsidRPr="00184A8E">
              <w:rPr>
                <w:rFonts w:ascii="Arial" w:eastAsia="Calibri" w:hAnsi="Arial" w:cs="Arial"/>
              </w:rPr>
              <w:t>.</w:t>
            </w:r>
          </w:p>
        </w:tc>
      </w:tr>
      <w:tr w:rsidR="00184A8E" w:rsidRPr="00184A8E" w14:paraId="3687980D" w14:textId="77777777" w:rsidTr="00410A4B">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2B4E5791" w14:textId="77777777" w:rsidR="00184A8E" w:rsidRPr="00184A8E" w:rsidRDefault="00184A8E" w:rsidP="00184A8E">
            <w:pPr>
              <w:rPr>
                <w:rFonts w:ascii="Arial" w:hAnsi="Arial" w:cs="Arial"/>
                <w:sz w:val="18"/>
                <w:szCs w:val="18"/>
              </w:rPr>
            </w:pPr>
            <w:r w:rsidRPr="00184A8E">
              <w:rPr>
                <w:rFonts w:ascii="Arial" w:eastAsia="Calibri" w:hAnsi="Arial" w:cs="Arial"/>
                <w:iCs/>
                <w:sz w:val="18"/>
                <w:szCs w:val="18"/>
              </w:rPr>
              <w:t xml:space="preserve">Utrošena sredstva za nabavu novih klupa </w:t>
            </w:r>
          </w:p>
        </w:tc>
        <w:tc>
          <w:tcPr>
            <w:tcW w:w="3402" w:type="dxa"/>
            <w:tcBorders>
              <w:top w:val="single" w:sz="4" w:space="0" w:color="auto"/>
              <w:left w:val="single" w:sz="4" w:space="0" w:color="auto"/>
              <w:bottom w:val="single" w:sz="4" w:space="0" w:color="auto"/>
              <w:right w:val="single" w:sz="4" w:space="0" w:color="auto"/>
            </w:tcBorders>
            <w:vAlign w:val="center"/>
          </w:tcPr>
          <w:p w14:paraId="77821B48" w14:textId="77777777" w:rsidR="00184A8E" w:rsidRPr="00184A8E" w:rsidRDefault="00184A8E" w:rsidP="00184A8E">
            <w:pPr>
              <w:autoSpaceDE w:val="0"/>
              <w:autoSpaceDN w:val="0"/>
              <w:adjustRightInd w:val="0"/>
              <w:rPr>
                <w:rFonts w:ascii="Arial" w:hAnsi="Arial" w:cs="Arial"/>
                <w:sz w:val="18"/>
                <w:szCs w:val="18"/>
              </w:rPr>
            </w:pPr>
            <w:r w:rsidRPr="00184A8E">
              <w:rPr>
                <w:rFonts w:ascii="Arial" w:eastAsia="Calibri" w:hAnsi="Arial" w:cs="Arial"/>
                <w:sz w:val="18"/>
                <w:szCs w:val="18"/>
              </w:rPr>
              <w:t xml:space="preserve">Udio utrošenih planiranih sredstava za </w:t>
            </w:r>
            <w:r w:rsidRPr="00184A8E">
              <w:rPr>
                <w:rFonts w:ascii="Arial" w:eastAsia="Calibri" w:hAnsi="Arial" w:cs="Arial"/>
                <w:iCs/>
                <w:sz w:val="18"/>
                <w:szCs w:val="18"/>
              </w:rPr>
              <w:t>nabavu novih klupa</w:t>
            </w:r>
          </w:p>
        </w:tc>
        <w:tc>
          <w:tcPr>
            <w:tcW w:w="958" w:type="dxa"/>
            <w:tcBorders>
              <w:top w:val="single" w:sz="4" w:space="0" w:color="auto"/>
              <w:left w:val="single" w:sz="4" w:space="0" w:color="auto"/>
              <w:bottom w:val="single" w:sz="4" w:space="0" w:color="auto"/>
              <w:right w:val="single" w:sz="4" w:space="0" w:color="auto"/>
            </w:tcBorders>
            <w:vAlign w:val="center"/>
          </w:tcPr>
          <w:p w14:paraId="555D8F8B" w14:textId="77777777" w:rsidR="00184A8E" w:rsidRPr="00184A8E" w:rsidRDefault="00184A8E" w:rsidP="00184A8E">
            <w:pPr>
              <w:jc w:val="center"/>
              <w:rPr>
                <w:rFonts w:ascii="Arial" w:hAnsi="Arial" w:cs="Arial"/>
              </w:rPr>
            </w:pPr>
            <w:r w:rsidRPr="00184A8E">
              <w:rPr>
                <w:rFonts w:ascii="Arial" w:eastAsia="Calibri"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0158A10A"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4026B26F" w14:textId="1673EBF9" w:rsidR="00184A8E" w:rsidRPr="00184A8E" w:rsidRDefault="00831AA8" w:rsidP="00184A8E">
            <w:pPr>
              <w:jc w:val="center"/>
              <w:rPr>
                <w:rFonts w:ascii="Arial" w:hAnsi="Arial" w:cs="Arial"/>
              </w:rPr>
            </w:pPr>
            <w:r>
              <w:rPr>
                <w:rFonts w:ascii="Arial" w:eastAsia="Calibri" w:hAnsi="Arial" w:cs="Arial"/>
              </w:rPr>
              <w:t>78</w:t>
            </w:r>
          </w:p>
        </w:tc>
        <w:tc>
          <w:tcPr>
            <w:tcW w:w="1276" w:type="dxa"/>
            <w:tcBorders>
              <w:top w:val="single" w:sz="4" w:space="0" w:color="auto"/>
              <w:left w:val="single" w:sz="4" w:space="0" w:color="auto"/>
              <w:bottom w:val="single" w:sz="4" w:space="0" w:color="auto"/>
              <w:right w:val="single" w:sz="4" w:space="0" w:color="auto"/>
            </w:tcBorders>
            <w:vAlign w:val="center"/>
          </w:tcPr>
          <w:p w14:paraId="27980FD6" w14:textId="77777777" w:rsidR="00184A8E" w:rsidRPr="00184A8E" w:rsidRDefault="00184A8E" w:rsidP="00184A8E">
            <w:pPr>
              <w:jc w:val="center"/>
              <w:rPr>
                <w:rFonts w:ascii="Arial" w:hAnsi="Arial" w:cs="Arial"/>
              </w:rPr>
            </w:pPr>
            <w:r w:rsidRPr="00184A8E">
              <w:rPr>
                <w:rFonts w:ascii="Arial" w:eastAsia="Calibri"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FA45CF0" w14:textId="6AC826FB" w:rsidR="00184A8E" w:rsidRPr="00184A8E" w:rsidRDefault="00831AA8" w:rsidP="00184A8E">
            <w:pPr>
              <w:jc w:val="center"/>
              <w:rPr>
                <w:rFonts w:ascii="Arial" w:eastAsia="Calibri" w:hAnsi="Arial" w:cs="Arial"/>
              </w:rPr>
            </w:pPr>
            <w:r>
              <w:rPr>
                <w:rFonts w:ascii="Arial" w:eastAsia="Calibri" w:hAnsi="Arial" w:cs="Arial"/>
              </w:rPr>
              <w:t>0</w:t>
            </w:r>
            <w:r w:rsidR="00184A8E"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2F8E0EA6" w14:textId="77777777" w:rsidR="00184A8E" w:rsidRPr="00184A8E" w:rsidRDefault="00184A8E" w:rsidP="00184A8E">
            <w:pPr>
              <w:jc w:val="center"/>
              <w:rPr>
                <w:rFonts w:ascii="Arial" w:hAnsi="Arial" w:cs="Arial"/>
              </w:rPr>
            </w:pPr>
            <w:r w:rsidRPr="00184A8E">
              <w:rPr>
                <w:rFonts w:ascii="Arial" w:eastAsia="Calibri"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77D4B744" w14:textId="77777777" w:rsidR="00184A8E" w:rsidRPr="00184A8E" w:rsidRDefault="00184A8E" w:rsidP="00184A8E">
            <w:pPr>
              <w:jc w:val="center"/>
              <w:rPr>
                <w:rFonts w:ascii="Arial" w:hAnsi="Arial" w:cs="Arial"/>
              </w:rPr>
            </w:pPr>
            <w:r w:rsidRPr="00184A8E">
              <w:rPr>
                <w:rFonts w:ascii="Arial" w:hAnsi="Arial" w:cs="Arial"/>
              </w:rPr>
              <w:t>100%</w:t>
            </w:r>
          </w:p>
        </w:tc>
      </w:tr>
    </w:tbl>
    <w:p w14:paraId="0AE0F761" w14:textId="77777777" w:rsidR="00184A8E" w:rsidRPr="00184A8E" w:rsidRDefault="00184A8E" w:rsidP="00184A8E">
      <w:pPr>
        <w:spacing w:after="0" w:line="240" w:lineRule="auto"/>
        <w:jc w:val="both"/>
        <w:rPr>
          <w:rFonts w:ascii="Arial" w:eastAsia="Calibri" w:hAnsi="Arial" w:cs="Arial"/>
          <w:sz w:val="20"/>
          <w:szCs w:val="20"/>
          <w:lang w:eastAsia="en-US"/>
        </w:rPr>
      </w:pPr>
    </w:p>
    <w:p w14:paraId="737EF0B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9. K209214: Nogostup uz D8 Gruda - Tušići</w:t>
      </w:r>
      <w:r w:rsidRPr="00184A8E">
        <w:rPr>
          <w:rFonts w:ascii="Arial" w:eastAsia="Calibri" w:hAnsi="Arial" w:cs="Arial"/>
          <w:sz w:val="20"/>
          <w:szCs w:val="20"/>
          <w:lang w:eastAsia="en-US"/>
        </w:rPr>
        <w:t xml:space="preserve"> – u sklopu navedenog projekta nisu planirani rashodi. Ovaj projekt bi se odvijao u fazama. Procijenjena vrijednost ukupnog projekta iznosila je 850.000 kn / 112.814,39 €. Planira se urediti nogostup na dužini 900 m. </w:t>
      </w:r>
    </w:p>
    <w:p w14:paraId="67E6A52D" w14:textId="77777777" w:rsidR="00184A8E" w:rsidRPr="00184A8E" w:rsidRDefault="00184A8E" w:rsidP="00184A8E">
      <w:pPr>
        <w:spacing w:after="0" w:line="240" w:lineRule="auto"/>
        <w:jc w:val="both"/>
        <w:rPr>
          <w:rFonts w:ascii="Arial" w:eastAsia="Calibri" w:hAnsi="Arial" w:cs="Arial"/>
          <w:sz w:val="20"/>
          <w:szCs w:val="20"/>
        </w:rPr>
      </w:pPr>
    </w:p>
    <w:p w14:paraId="31863D1F" w14:textId="68C63596" w:rsidR="00831AA8" w:rsidRPr="00831AA8" w:rsidRDefault="00184A8E" w:rsidP="00831AA8">
      <w:pPr>
        <w:spacing w:after="0" w:line="240" w:lineRule="auto"/>
        <w:jc w:val="both"/>
        <w:rPr>
          <w:rFonts w:ascii="Arial" w:eastAsia="Calibri" w:hAnsi="Arial" w:cs="Arial"/>
          <w:sz w:val="20"/>
          <w:szCs w:val="20"/>
          <w:lang w:eastAsia="en-US"/>
        </w:rPr>
      </w:pPr>
      <w:bookmarkStart w:id="542" w:name="_Hlk198905386"/>
      <w:r w:rsidRPr="00184A8E">
        <w:rPr>
          <w:rFonts w:ascii="Arial" w:eastAsia="Calibri" w:hAnsi="Arial" w:cs="Arial"/>
          <w:b/>
          <w:sz w:val="20"/>
          <w:szCs w:val="20"/>
          <w:lang w:eastAsia="en-US"/>
        </w:rPr>
        <w:lastRenderedPageBreak/>
        <w:t>10. K209215: Nogostup naselje Zvekovica</w:t>
      </w:r>
      <w:r w:rsidRPr="00184A8E">
        <w:rPr>
          <w:rFonts w:ascii="Arial" w:eastAsia="Calibri" w:hAnsi="Arial" w:cs="Arial"/>
          <w:sz w:val="20"/>
          <w:szCs w:val="20"/>
          <w:lang w:eastAsia="en-US"/>
        </w:rPr>
        <w:t xml:space="preserve"> – u sklopu projekta u planirani rashodi u iznosu 3</w:t>
      </w:r>
      <w:r w:rsidR="00831AA8">
        <w:rPr>
          <w:rFonts w:ascii="Arial" w:eastAsia="Calibri" w:hAnsi="Arial" w:cs="Arial"/>
          <w:sz w:val="20"/>
          <w:szCs w:val="20"/>
          <w:lang w:eastAsia="en-US"/>
        </w:rPr>
        <w:t>0</w:t>
      </w:r>
      <w:r w:rsidRPr="00184A8E">
        <w:rPr>
          <w:rFonts w:ascii="Arial" w:eastAsia="Calibri" w:hAnsi="Arial" w:cs="Arial"/>
          <w:sz w:val="20"/>
          <w:szCs w:val="20"/>
          <w:lang w:eastAsia="en-US"/>
        </w:rPr>
        <w:t xml:space="preserve">.000 €. </w:t>
      </w:r>
      <w:r w:rsidR="00831AA8" w:rsidRPr="00831AA8">
        <w:rPr>
          <w:rFonts w:ascii="Arial" w:eastAsia="Calibri" w:hAnsi="Arial" w:cs="Arial"/>
          <w:sz w:val="20"/>
          <w:szCs w:val="20"/>
          <w:lang w:eastAsia="en-US"/>
        </w:rPr>
        <w:t>Planira</w:t>
      </w:r>
      <w:r w:rsidR="00831AA8">
        <w:rPr>
          <w:rFonts w:ascii="Arial" w:eastAsia="Calibri" w:hAnsi="Arial" w:cs="Arial"/>
          <w:sz w:val="20"/>
          <w:szCs w:val="20"/>
          <w:lang w:eastAsia="en-US"/>
        </w:rPr>
        <w:t>no je</w:t>
      </w:r>
      <w:r w:rsidR="00831AA8" w:rsidRPr="00831AA8">
        <w:rPr>
          <w:rFonts w:ascii="Arial" w:eastAsia="Calibri" w:hAnsi="Arial" w:cs="Arial"/>
          <w:sz w:val="20"/>
          <w:szCs w:val="20"/>
          <w:lang w:eastAsia="en-US"/>
        </w:rPr>
        <w:t xml:space="preserve"> urediti nogostup s javnom rasvjetom na dužini 160 m, a u okviru projekta je planirana rekonstrukcija vodovodne mreže i postavljanje kanalizacije, te rješavanje oborinske odvodnje. Rashodi nisu izvršeni u 2025. </w:t>
      </w:r>
    </w:p>
    <w:p w14:paraId="648D62E2" w14:textId="77777777" w:rsidR="00ED41E6" w:rsidRDefault="00ED41E6" w:rsidP="00831AA8">
      <w:pPr>
        <w:spacing w:after="0" w:line="240" w:lineRule="auto"/>
        <w:jc w:val="both"/>
        <w:rPr>
          <w:rFonts w:ascii="Arial" w:eastAsia="Calibri" w:hAnsi="Arial" w:cs="Arial"/>
          <w:sz w:val="20"/>
          <w:szCs w:val="20"/>
          <w:lang w:eastAsia="en-US"/>
        </w:rPr>
      </w:pPr>
    </w:p>
    <w:p w14:paraId="165BAECE" w14:textId="67F2B16C" w:rsidR="00184A8E" w:rsidRPr="00184A8E" w:rsidRDefault="00831AA8" w:rsidP="00831AA8">
      <w:pPr>
        <w:spacing w:after="0" w:line="240" w:lineRule="auto"/>
        <w:jc w:val="both"/>
        <w:rPr>
          <w:rFonts w:ascii="Arial" w:eastAsia="Calibri" w:hAnsi="Arial" w:cs="Arial"/>
          <w:sz w:val="20"/>
          <w:szCs w:val="20"/>
          <w:lang w:eastAsia="en-US"/>
        </w:rPr>
      </w:pPr>
      <w:r w:rsidRPr="00831AA8">
        <w:rPr>
          <w:rFonts w:ascii="Arial" w:eastAsia="Calibri" w:hAnsi="Arial" w:cs="Arial"/>
          <w:sz w:val="20"/>
          <w:szCs w:val="20"/>
          <w:lang w:eastAsia="en-US"/>
        </w:rPr>
        <w:t>Prethodne godine Općina je izradila projektnu dokumentaciju nogostupa uz D8 od vijadukta Obod do raskrižja Zvekovica prema uputama Hrvatskih voda. Rashodi nisu izvršeni jer Hrvatske vode nisu doznačile Općini zahtjev za refundaciju troškova za projekt uređenja nogostupa u okviru kojeg Općina sufinancirala radove oborinske odvodnje i javne rasvjete.</w:t>
      </w:r>
    </w:p>
    <w:bookmarkEnd w:id="542"/>
    <w:p w14:paraId="564DC730" w14:textId="77777777" w:rsidR="00184A8E" w:rsidRPr="00184A8E" w:rsidRDefault="00184A8E" w:rsidP="00184A8E">
      <w:pPr>
        <w:spacing w:after="0" w:line="240" w:lineRule="auto"/>
        <w:jc w:val="both"/>
        <w:rPr>
          <w:rFonts w:ascii="Arial" w:eastAsia="Calibri" w:hAnsi="Arial" w:cs="Arial"/>
          <w:sz w:val="20"/>
          <w:szCs w:val="20"/>
          <w:lang w:eastAsia="en-US"/>
        </w:rPr>
      </w:pPr>
    </w:p>
    <w:p w14:paraId="00DF58AE" w14:textId="77777777" w:rsid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U 2023. godini su bili izvršeni rashodi u iznosu 1.125 € koji su se odnosili na izradu troškovnika kontrolnih ispitivanja nogostupa, te troškovnika komunalne infrastrukture vode i odvodnje uz pješačku stazu D8 od vijadukta Obod.</w:t>
      </w:r>
    </w:p>
    <w:p w14:paraId="689479AC" w14:textId="5A953C80" w:rsidR="00831AA8" w:rsidRPr="00184A8E" w:rsidRDefault="00831AA8" w:rsidP="00184A8E">
      <w:pPr>
        <w:spacing w:after="0" w:line="240" w:lineRule="auto"/>
        <w:ind w:left="567"/>
        <w:jc w:val="both"/>
        <w:rPr>
          <w:rFonts w:ascii="Arial" w:eastAsia="Calibri" w:hAnsi="Arial" w:cs="Arial"/>
          <w:sz w:val="18"/>
          <w:szCs w:val="18"/>
          <w:lang w:eastAsia="en-US"/>
        </w:rPr>
      </w:pPr>
      <w:r>
        <w:rPr>
          <w:rFonts w:ascii="Arial" w:eastAsia="Calibri" w:hAnsi="Arial" w:cs="Arial"/>
          <w:sz w:val="18"/>
          <w:szCs w:val="18"/>
          <w:lang w:eastAsia="en-US"/>
        </w:rPr>
        <w:t>U 2024. su bili izvršeni rashodi u iznosu 2</w:t>
      </w:r>
      <w:r w:rsidRPr="00831AA8">
        <w:rPr>
          <w:rFonts w:ascii="Arial" w:eastAsia="Calibri" w:hAnsi="Arial" w:cs="Arial"/>
          <w:sz w:val="18"/>
          <w:szCs w:val="18"/>
          <w:lang w:eastAsia="en-US"/>
        </w:rPr>
        <w:t xml:space="preserve">.937,50 € </w:t>
      </w:r>
      <w:r>
        <w:rPr>
          <w:rFonts w:ascii="Arial" w:eastAsia="Calibri" w:hAnsi="Arial" w:cs="Arial"/>
          <w:sz w:val="18"/>
          <w:szCs w:val="18"/>
          <w:lang w:eastAsia="en-US"/>
        </w:rPr>
        <w:t xml:space="preserve">i odnosili su se </w:t>
      </w:r>
      <w:r w:rsidRPr="00831AA8">
        <w:rPr>
          <w:rFonts w:ascii="Arial" w:eastAsia="Calibri" w:hAnsi="Arial" w:cs="Arial"/>
          <w:sz w:val="18"/>
          <w:szCs w:val="18"/>
          <w:lang w:eastAsia="en-US"/>
        </w:rPr>
        <w:t>na izradu projektne dokumentacije nogostupa uz D8 od vijadukta Obod do raskrižja Zvekovica prema uputama Hrvatskih voda.</w:t>
      </w:r>
    </w:p>
    <w:p w14:paraId="1359AF54"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2830"/>
        <w:gridCol w:w="2835"/>
        <w:gridCol w:w="958"/>
        <w:gridCol w:w="1134"/>
        <w:gridCol w:w="1232"/>
        <w:gridCol w:w="1276"/>
        <w:gridCol w:w="1242"/>
        <w:gridCol w:w="1242"/>
        <w:gridCol w:w="1242"/>
      </w:tblGrid>
      <w:tr w:rsidR="00184A8E" w:rsidRPr="00184A8E" w14:paraId="105A34F5" w14:textId="77777777" w:rsidTr="00410A4B">
        <w:trP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2A7F21F"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00074FA"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C9477A9"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BF43E6"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29C7630" w14:textId="77777777" w:rsidR="00184A8E" w:rsidRPr="00184A8E" w:rsidRDefault="00184A8E" w:rsidP="00184A8E">
            <w:pPr>
              <w:jc w:val="center"/>
              <w:rPr>
                <w:rFonts w:ascii="Arial" w:eastAsia="Calibri" w:hAnsi="Arial" w:cs="Arial"/>
              </w:rPr>
            </w:pPr>
            <w:r w:rsidRPr="00184A8E">
              <w:rPr>
                <w:rFonts w:ascii="Arial" w:eastAsia="Calibri" w:hAnsi="Arial" w:cs="Arial"/>
              </w:rPr>
              <w:t>Polazna vrijednost 2023.</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76F1302" w14:textId="77777777" w:rsidR="00184A8E" w:rsidRPr="00184A8E" w:rsidRDefault="00184A8E" w:rsidP="00184A8E">
            <w:pPr>
              <w:jc w:val="center"/>
              <w:rPr>
                <w:rFonts w:ascii="Arial" w:eastAsia="Calibri" w:hAnsi="Arial" w:cs="Arial"/>
              </w:rPr>
            </w:pPr>
            <w:r w:rsidRPr="00184A8E">
              <w:rPr>
                <w:rFonts w:ascii="Arial" w:eastAsia="Calibri" w:hAnsi="Arial" w:cs="Arial"/>
              </w:rPr>
              <w:t>Ciljana vrijednost 2024.</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B39326D" w14:textId="77777777" w:rsidR="00184A8E" w:rsidRPr="00184A8E" w:rsidRDefault="00184A8E" w:rsidP="00184A8E">
            <w:pPr>
              <w:jc w:val="center"/>
              <w:rPr>
                <w:rFonts w:ascii="Arial" w:eastAsia="Calibri" w:hAnsi="Arial" w:cs="Arial"/>
              </w:rPr>
            </w:pPr>
            <w:r w:rsidRPr="00184A8E">
              <w:rPr>
                <w:rFonts w:ascii="Arial" w:eastAsia="Calibri" w:hAnsi="Arial" w:cs="Arial"/>
              </w:rPr>
              <w:t xml:space="preserve">Izvršeno 2024.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C5085CB" w14:textId="77777777" w:rsidR="00184A8E" w:rsidRPr="00184A8E" w:rsidRDefault="00184A8E" w:rsidP="00184A8E">
            <w:pPr>
              <w:jc w:val="center"/>
              <w:rPr>
                <w:rFonts w:ascii="Arial" w:eastAsia="Calibri" w:hAnsi="Arial" w:cs="Arial"/>
              </w:rPr>
            </w:pPr>
            <w:r w:rsidRPr="00184A8E">
              <w:rPr>
                <w:rFonts w:ascii="Arial" w:eastAsia="Calibri" w:hAnsi="Arial" w:cs="Arial"/>
              </w:rPr>
              <w:t>Ciljana vrijednost 2025.</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829A2E0" w14:textId="77777777" w:rsidR="00184A8E" w:rsidRPr="00184A8E" w:rsidRDefault="00184A8E" w:rsidP="00184A8E">
            <w:pPr>
              <w:jc w:val="center"/>
              <w:rPr>
                <w:rFonts w:ascii="Arial" w:eastAsia="Calibri" w:hAnsi="Arial" w:cs="Arial"/>
              </w:rPr>
            </w:pPr>
            <w:r w:rsidRPr="00184A8E">
              <w:rPr>
                <w:rFonts w:ascii="Arial" w:eastAsia="Calibri" w:hAnsi="Arial" w:cs="Arial"/>
              </w:rPr>
              <w:t>Ciljana vrijednost 2026.</w:t>
            </w:r>
          </w:p>
        </w:tc>
      </w:tr>
      <w:tr w:rsidR="00184A8E" w:rsidRPr="00184A8E" w14:paraId="66AD078B" w14:textId="77777777" w:rsidTr="00410A4B">
        <w:trPr>
          <w:trHeight w:val="273"/>
          <w:jc w:val="center"/>
        </w:trPr>
        <w:tc>
          <w:tcPr>
            <w:tcW w:w="2830" w:type="dxa"/>
            <w:tcBorders>
              <w:top w:val="single" w:sz="4" w:space="0" w:color="auto"/>
              <w:left w:val="single" w:sz="4" w:space="0" w:color="auto"/>
              <w:bottom w:val="single" w:sz="4" w:space="0" w:color="auto"/>
              <w:right w:val="single" w:sz="4" w:space="0" w:color="auto"/>
            </w:tcBorders>
            <w:vAlign w:val="center"/>
          </w:tcPr>
          <w:p w14:paraId="6FAE5CB7" w14:textId="77777777" w:rsidR="00184A8E" w:rsidRPr="00184A8E" w:rsidRDefault="00184A8E" w:rsidP="00184A8E">
            <w:pPr>
              <w:rPr>
                <w:rFonts w:ascii="Arial" w:hAnsi="Arial" w:cs="Arial"/>
                <w:sz w:val="18"/>
                <w:szCs w:val="18"/>
              </w:rPr>
            </w:pPr>
            <w:r w:rsidRPr="00184A8E">
              <w:rPr>
                <w:rFonts w:ascii="Arial" w:eastAsia="Calibri" w:hAnsi="Arial" w:cs="Arial"/>
                <w:iCs/>
                <w:sz w:val="18"/>
                <w:szCs w:val="18"/>
              </w:rPr>
              <w:t xml:space="preserve">Utrošena sredstva za izgradnju nogostupa s oborinskom odvodnjom i javnom rasvjetom </w:t>
            </w:r>
          </w:p>
        </w:tc>
        <w:tc>
          <w:tcPr>
            <w:tcW w:w="2835" w:type="dxa"/>
            <w:tcBorders>
              <w:top w:val="single" w:sz="4" w:space="0" w:color="auto"/>
              <w:left w:val="single" w:sz="4" w:space="0" w:color="auto"/>
              <w:bottom w:val="single" w:sz="4" w:space="0" w:color="auto"/>
              <w:right w:val="single" w:sz="4" w:space="0" w:color="auto"/>
            </w:tcBorders>
            <w:vAlign w:val="center"/>
          </w:tcPr>
          <w:p w14:paraId="0F27BDC9" w14:textId="77777777" w:rsidR="00184A8E" w:rsidRPr="00184A8E" w:rsidRDefault="00184A8E" w:rsidP="00184A8E">
            <w:pPr>
              <w:autoSpaceDE w:val="0"/>
              <w:autoSpaceDN w:val="0"/>
              <w:adjustRightInd w:val="0"/>
              <w:rPr>
                <w:rFonts w:ascii="Arial" w:hAnsi="Arial" w:cs="Arial"/>
                <w:sz w:val="18"/>
                <w:szCs w:val="18"/>
              </w:rPr>
            </w:pPr>
            <w:r w:rsidRPr="00184A8E">
              <w:rPr>
                <w:rFonts w:ascii="Arial" w:eastAsia="Calibri" w:hAnsi="Arial" w:cs="Arial"/>
                <w:sz w:val="18"/>
                <w:szCs w:val="18"/>
              </w:rPr>
              <w:t>Udio utrošenih planiranih sredstava za oborinsku odvodnju i javnu rasvjetu uz nogostup</w:t>
            </w:r>
          </w:p>
        </w:tc>
        <w:tc>
          <w:tcPr>
            <w:tcW w:w="958" w:type="dxa"/>
            <w:tcBorders>
              <w:top w:val="single" w:sz="4" w:space="0" w:color="auto"/>
              <w:left w:val="single" w:sz="4" w:space="0" w:color="auto"/>
              <w:bottom w:val="single" w:sz="4" w:space="0" w:color="auto"/>
              <w:right w:val="single" w:sz="4" w:space="0" w:color="auto"/>
            </w:tcBorders>
            <w:vAlign w:val="center"/>
          </w:tcPr>
          <w:p w14:paraId="02A891AE" w14:textId="77777777" w:rsidR="00184A8E" w:rsidRPr="00184A8E" w:rsidRDefault="00184A8E" w:rsidP="00184A8E">
            <w:pPr>
              <w:jc w:val="center"/>
              <w:rPr>
                <w:rFonts w:ascii="Arial" w:hAnsi="Arial" w:cs="Arial"/>
              </w:rPr>
            </w:pPr>
            <w:r w:rsidRPr="00184A8E">
              <w:rPr>
                <w:rFonts w:ascii="Arial" w:eastAsia="Calibri"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17E96288"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F75B63A" w14:textId="77777777" w:rsidR="00184A8E" w:rsidRPr="00184A8E" w:rsidRDefault="00184A8E" w:rsidP="00184A8E">
            <w:pPr>
              <w:jc w:val="center"/>
              <w:rPr>
                <w:rFonts w:ascii="Arial" w:hAnsi="Arial" w:cs="Arial"/>
              </w:rPr>
            </w:pPr>
            <w:r w:rsidRPr="00184A8E">
              <w:rPr>
                <w:rFonts w:ascii="Arial" w:eastAsia="Calibri" w:hAnsi="Arial" w:cs="Arial"/>
              </w:rPr>
              <w:t>0%</w:t>
            </w:r>
          </w:p>
        </w:tc>
        <w:tc>
          <w:tcPr>
            <w:tcW w:w="1276" w:type="dxa"/>
            <w:tcBorders>
              <w:top w:val="single" w:sz="4" w:space="0" w:color="auto"/>
              <w:left w:val="single" w:sz="4" w:space="0" w:color="auto"/>
              <w:bottom w:val="single" w:sz="4" w:space="0" w:color="auto"/>
              <w:right w:val="single" w:sz="4" w:space="0" w:color="auto"/>
            </w:tcBorders>
            <w:vAlign w:val="center"/>
          </w:tcPr>
          <w:p w14:paraId="11DCB01B" w14:textId="77777777" w:rsidR="00184A8E" w:rsidRPr="00184A8E" w:rsidRDefault="00184A8E" w:rsidP="00184A8E">
            <w:pPr>
              <w:jc w:val="center"/>
              <w:rPr>
                <w:rFonts w:ascii="Arial" w:hAnsi="Arial" w:cs="Arial"/>
              </w:rPr>
            </w:pPr>
            <w:r w:rsidRPr="00184A8E">
              <w:rPr>
                <w:rFonts w:ascii="Arial" w:eastAsia="Calibri"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5A5CB7FA" w14:textId="77777777" w:rsidR="00184A8E" w:rsidRPr="00184A8E" w:rsidRDefault="00184A8E" w:rsidP="00184A8E">
            <w:pPr>
              <w:jc w:val="center"/>
              <w:rPr>
                <w:rFonts w:ascii="Arial" w:eastAsia="Calibri" w:hAnsi="Arial" w:cs="Arial"/>
              </w:rPr>
            </w:pPr>
            <w:r w:rsidRPr="00184A8E">
              <w:rPr>
                <w:rFonts w:ascii="Arial" w:eastAsia="Calibri"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320AC631" w14:textId="77777777" w:rsidR="00184A8E" w:rsidRPr="00184A8E" w:rsidRDefault="00184A8E" w:rsidP="00184A8E">
            <w:pPr>
              <w:jc w:val="center"/>
              <w:rPr>
                <w:rFonts w:ascii="Arial" w:hAnsi="Arial" w:cs="Arial"/>
              </w:rPr>
            </w:pPr>
            <w:r w:rsidRPr="00184A8E">
              <w:rPr>
                <w:rFonts w:ascii="Arial" w:eastAsia="Calibri"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62620D81" w14:textId="77777777" w:rsidR="00184A8E" w:rsidRPr="00184A8E" w:rsidRDefault="00184A8E" w:rsidP="00184A8E">
            <w:pPr>
              <w:jc w:val="center"/>
              <w:rPr>
                <w:rFonts w:ascii="Arial" w:hAnsi="Arial" w:cs="Arial"/>
              </w:rPr>
            </w:pPr>
            <w:r w:rsidRPr="00184A8E">
              <w:rPr>
                <w:rFonts w:ascii="Arial" w:hAnsi="Arial" w:cs="Arial"/>
              </w:rPr>
              <w:t>0</w:t>
            </w:r>
          </w:p>
        </w:tc>
      </w:tr>
    </w:tbl>
    <w:p w14:paraId="17075F1A"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10D828BD" w14:textId="6B4B8D5B"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lang w:eastAsia="en-US"/>
        </w:rPr>
        <w:t xml:space="preserve">11. K209216: Nogostup naselje </w:t>
      </w:r>
      <w:r w:rsidRPr="00AD7EBA">
        <w:rPr>
          <w:rFonts w:ascii="Arial" w:eastAsia="Calibri" w:hAnsi="Arial" w:cs="Arial"/>
          <w:b/>
          <w:sz w:val="20"/>
          <w:szCs w:val="20"/>
          <w:lang w:eastAsia="en-US"/>
        </w:rPr>
        <w:t xml:space="preserve">Čilipi </w:t>
      </w:r>
      <w:r w:rsidR="00AD7EBA" w:rsidRPr="00AD7EBA">
        <w:rPr>
          <w:rFonts w:ascii="Arial" w:eastAsia="Calibri" w:hAnsi="Arial" w:cs="Arial"/>
          <w:b/>
          <w:sz w:val="20"/>
          <w:szCs w:val="20"/>
          <w:lang w:eastAsia="en-US"/>
        </w:rPr>
        <w:t xml:space="preserve"> s javnom rasvjetom</w:t>
      </w:r>
      <w:r w:rsidRPr="00184A8E">
        <w:rPr>
          <w:rFonts w:ascii="Arial" w:eastAsia="Calibri" w:hAnsi="Arial" w:cs="Arial"/>
          <w:sz w:val="20"/>
          <w:szCs w:val="20"/>
          <w:lang w:eastAsia="en-US"/>
        </w:rPr>
        <w:t xml:space="preserve">– u sklopu projekta su planirani rashodi u iznosu </w:t>
      </w:r>
      <w:r w:rsidR="00ED41E6">
        <w:rPr>
          <w:rFonts w:ascii="Arial" w:eastAsia="Calibri" w:hAnsi="Arial" w:cs="Arial"/>
          <w:sz w:val="20"/>
          <w:szCs w:val="20"/>
          <w:lang w:eastAsia="en-US"/>
        </w:rPr>
        <w:t>266.375</w:t>
      </w:r>
      <w:r w:rsidRPr="00184A8E">
        <w:rPr>
          <w:rFonts w:ascii="Arial" w:eastAsia="Calibri" w:hAnsi="Arial" w:cs="Arial"/>
          <w:sz w:val="20"/>
          <w:szCs w:val="20"/>
          <w:lang w:eastAsia="en-US"/>
        </w:rPr>
        <w:t xml:space="preserve"> €. Ovaj projekt se odvija u fazama. Planira</w:t>
      </w:r>
      <w:r w:rsidR="00ED41E6">
        <w:rPr>
          <w:rFonts w:ascii="Arial" w:eastAsia="Calibri" w:hAnsi="Arial" w:cs="Arial"/>
          <w:sz w:val="20"/>
          <w:szCs w:val="20"/>
          <w:lang w:eastAsia="en-US"/>
        </w:rPr>
        <w:t>no je</w:t>
      </w:r>
      <w:r w:rsidRPr="00184A8E">
        <w:rPr>
          <w:rFonts w:ascii="Arial" w:eastAsia="Calibri" w:hAnsi="Arial" w:cs="Arial"/>
          <w:sz w:val="20"/>
          <w:szCs w:val="20"/>
          <w:lang w:eastAsia="en-US"/>
        </w:rPr>
        <w:t xml:space="preserve"> urediti nogostup kroz naselje (prema naselju Popovići, od D8 do Masješa cca 2270 metara). Radovi izgradnje nogostupa ovise o raspoloživosti proračunskih sredstava.</w:t>
      </w:r>
      <w:r w:rsidRPr="00184A8E">
        <w:rPr>
          <w:rFonts w:ascii="Arial" w:eastAsia="Calibri" w:hAnsi="Arial" w:cs="Arial"/>
          <w:sz w:val="20"/>
          <w:szCs w:val="20"/>
        </w:rPr>
        <w:t xml:space="preserve"> </w:t>
      </w:r>
    </w:p>
    <w:p w14:paraId="4F9F884A" w14:textId="77777777" w:rsidR="00184A8E" w:rsidRDefault="00184A8E" w:rsidP="00184A8E">
      <w:pPr>
        <w:spacing w:after="0" w:line="240" w:lineRule="auto"/>
        <w:jc w:val="both"/>
        <w:rPr>
          <w:rFonts w:ascii="Arial" w:eastAsia="Calibri" w:hAnsi="Arial" w:cs="Arial"/>
          <w:sz w:val="20"/>
          <w:szCs w:val="20"/>
        </w:rPr>
      </w:pPr>
    </w:p>
    <w:p w14:paraId="363C707A" w14:textId="0E7DF159" w:rsidR="00184A8E" w:rsidRPr="00ED41E6" w:rsidRDefault="00ED41E6" w:rsidP="00184A8E">
      <w:pPr>
        <w:spacing w:after="0" w:line="240" w:lineRule="auto"/>
        <w:jc w:val="both"/>
        <w:rPr>
          <w:rFonts w:ascii="Arial" w:eastAsia="Calibri" w:hAnsi="Arial" w:cs="Arial"/>
          <w:sz w:val="18"/>
          <w:szCs w:val="18"/>
        </w:rPr>
      </w:pPr>
      <w:r w:rsidRPr="00ED41E6">
        <w:rPr>
          <w:rFonts w:ascii="Arial" w:eastAsia="Calibri" w:hAnsi="Arial" w:cs="Arial"/>
          <w:sz w:val="18"/>
          <w:szCs w:val="18"/>
        </w:rPr>
        <w:tab/>
        <w:t xml:space="preserve">U 2024. godini su bili izvršeni rashodi u iznosu </w:t>
      </w:r>
      <w:bookmarkStart w:id="543" w:name="_Hlk198905450"/>
      <w:r w:rsidR="00184A8E" w:rsidRPr="00ED41E6">
        <w:rPr>
          <w:rFonts w:ascii="Arial" w:eastAsia="Calibri" w:hAnsi="Arial" w:cs="Arial"/>
          <w:sz w:val="18"/>
          <w:szCs w:val="18"/>
        </w:rPr>
        <w:t>128.104,52 €</w:t>
      </w:r>
      <w:r w:rsidRPr="00ED41E6">
        <w:rPr>
          <w:rFonts w:ascii="Arial" w:eastAsia="Calibri" w:hAnsi="Arial" w:cs="Arial"/>
          <w:sz w:val="18"/>
          <w:szCs w:val="18"/>
        </w:rPr>
        <w:t xml:space="preserve">, a odnosili su se </w:t>
      </w:r>
      <w:r w:rsidR="00184A8E" w:rsidRPr="00ED41E6">
        <w:rPr>
          <w:rFonts w:ascii="Arial" w:eastAsia="Calibri" w:hAnsi="Arial" w:cs="Arial"/>
          <w:sz w:val="18"/>
          <w:szCs w:val="18"/>
        </w:rPr>
        <w:t>na:</w:t>
      </w:r>
    </w:p>
    <w:p w14:paraId="47B3B9E2" w14:textId="77777777" w:rsidR="00184A8E" w:rsidRPr="00ED41E6" w:rsidRDefault="00184A8E">
      <w:pPr>
        <w:numPr>
          <w:ilvl w:val="0"/>
          <w:numId w:val="3"/>
        </w:numPr>
        <w:spacing w:after="0" w:line="240" w:lineRule="auto"/>
        <w:jc w:val="both"/>
        <w:rPr>
          <w:rFonts w:ascii="Arial" w:eastAsia="Calibri" w:hAnsi="Arial" w:cs="Arial"/>
          <w:sz w:val="18"/>
          <w:szCs w:val="18"/>
          <w:lang w:eastAsia="en-US"/>
        </w:rPr>
      </w:pPr>
      <w:r w:rsidRPr="00ED41E6">
        <w:rPr>
          <w:rFonts w:ascii="Arial" w:eastAsia="Calibri" w:hAnsi="Arial" w:cs="Arial"/>
          <w:sz w:val="18"/>
          <w:szCs w:val="18"/>
          <w:lang w:eastAsia="en-US"/>
        </w:rPr>
        <w:t>radovi na izradi nogostupa i rasvjete uz D8 preko puta izlaza iz zračne luke u iznosu 78.077,78 € (na temelju ugovora iz veljače 2024.godine i dodatka ugovoru iz srpnja 2024. godine) a odnose se na: nabava i postavljanje čekaonice 6.250 €, postavljanje javne rasvjete 23.016,69 €, nogostup 48.811,09 €,</w:t>
      </w:r>
    </w:p>
    <w:p w14:paraId="54EEEA78" w14:textId="77777777" w:rsidR="00184A8E" w:rsidRPr="00ED41E6" w:rsidRDefault="00184A8E">
      <w:pPr>
        <w:numPr>
          <w:ilvl w:val="0"/>
          <w:numId w:val="3"/>
        </w:numPr>
        <w:spacing w:after="0" w:line="240" w:lineRule="auto"/>
        <w:jc w:val="both"/>
        <w:rPr>
          <w:rFonts w:ascii="Arial" w:eastAsia="Calibri" w:hAnsi="Arial" w:cs="Arial"/>
          <w:sz w:val="18"/>
          <w:szCs w:val="18"/>
          <w:lang w:eastAsia="en-US"/>
        </w:rPr>
      </w:pPr>
      <w:r w:rsidRPr="00ED41E6">
        <w:rPr>
          <w:rFonts w:ascii="Arial" w:eastAsia="Calibri" w:hAnsi="Arial" w:cs="Arial"/>
          <w:sz w:val="18"/>
          <w:szCs w:val="18"/>
          <w:lang w:eastAsia="en-US"/>
        </w:rPr>
        <w:t>radovi na gradnji nogostupa kroz mjesto Čilipi uz dio ŽC 6240 u iznosu 16.901,74 € (faza I, ukupna dužina 230,87 m, ugovor od 19.11.2024. u iznosu 82.931,25 €),</w:t>
      </w:r>
    </w:p>
    <w:p w14:paraId="6CA5CF7D" w14:textId="77777777" w:rsidR="00184A8E" w:rsidRPr="00ED41E6" w:rsidRDefault="00184A8E">
      <w:pPr>
        <w:numPr>
          <w:ilvl w:val="0"/>
          <w:numId w:val="3"/>
        </w:numPr>
        <w:spacing w:after="0" w:line="240" w:lineRule="auto"/>
        <w:jc w:val="both"/>
        <w:rPr>
          <w:rFonts w:ascii="Arial" w:eastAsia="Calibri" w:hAnsi="Arial" w:cs="Arial"/>
          <w:sz w:val="18"/>
          <w:szCs w:val="18"/>
          <w:lang w:eastAsia="en-US"/>
        </w:rPr>
      </w:pPr>
      <w:r w:rsidRPr="00ED41E6">
        <w:rPr>
          <w:rFonts w:ascii="Arial" w:eastAsia="Calibri" w:hAnsi="Arial" w:cs="Arial"/>
          <w:sz w:val="18"/>
          <w:szCs w:val="18"/>
          <w:lang w:eastAsia="en-US"/>
        </w:rPr>
        <w:t>projektna dokumentacija nogostupa uz ŽC6240 od D8 do ulice Masješi u iznosu 33.125 € (ugovor iz prosinca 2023.).</w:t>
      </w:r>
    </w:p>
    <w:bookmarkEnd w:id="543"/>
    <w:p w14:paraId="104BFA8F" w14:textId="77777777" w:rsidR="00ED41E6" w:rsidRDefault="00ED41E6" w:rsidP="00ED41E6">
      <w:pPr>
        <w:spacing w:after="0" w:line="240" w:lineRule="auto"/>
        <w:jc w:val="both"/>
        <w:rPr>
          <w:rFonts w:ascii="Arial" w:eastAsia="Calibri" w:hAnsi="Arial" w:cs="Arial"/>
          <w:sz w:val="20"/>
          <w:szCs w:val="20"/>
          <w:lang w:eastAsia="en-US"/>
        </w:rPr>
      </w:pPr>
    </w:p>
    <w:p w14:paraId="507C6E3C" w14:textId="62FE3438" w:rsidR="00ED41E6" w:rsidRPr="00ED41E6" w:rsidRDefault="00ED41E6" w:rsidP="00ED41E6">
      <w:pPr>
        <w:spacing w:after="0" w:line="240" w:lineRule="auto"/>
        <w:jc w:val="both"/>
        <w:rPr>
          <w:rFonts w:ascii="Arial" w:eastAsia="Calibri" w:hAnsi="Arial" w:cs="Arial"/>
          <w:sz w:val="20"/>
          <w:szCs w:val="20"/>
          <w:lang w:eastAsia="en-US"/>
        </w:rPr>
      </w:pPr>
      <w:r w:rsidRPr="00ED41E6">
        <w:rPr>
          <w:rFonts w:ascii="Arial" w:eastAsia="Calibri" w:hAnsi="Arial" w:cs="Arial"/>
          <w:sz w:val="20"/>
          <w:szCs w:val="20"/>
          <w:lang w:eastAsia="en-US"/>
        </w:rPr>
        <w:t xml:space="preserve">Rashodi </w:t>
      </w:r>
      <w:r>
        <w:rPr>
          <w:rFonts w:ascii="Arial" w:eastAsia="Calibri" w:hAnsi="Arial" w:cs="Arial"/>
          <w:sz w:val="20"/>
          <w:szCs w:val="20"/>
          <w:lang w:eastAsia="en-US"/>
        </w:rPr>
        <w:t xml:space="preserve">u 2025. </w:t>
      </w:r>
      <w:r w:rsidRPr="00ED41E6">
        <w:rPr>
          <w:rFonts w:ascii="Arial" w:eastAsia="Calibri" w:hAnsi="Arial" w:cs="Arial"/>
          <w:sz w:val="20"/>
          <w:szCs w:val="20"/>
          <w:lang w:eastAsia="en-US"/>
        </w:rPr>
        <w:t>su izvršeni u iznosu 255.575,41 € i odnose se na:</w:t>
      </w:r>
    </w:p>
    <w:p w14:paraId="509DCD0A" w14:textId="77777777" w:rsidR="00ED41E6" w:rsidRPr="00ED41E6" w:rsidRDefault="00ED41E6" w:rsidP="00ED41E6">
      <w:pPr>
        <w:spacing w:after="0" w:line="240" w:lineRule="auto"/>
        <w:jc w:val="both"/>
        <w:rPr>
          <w:rFonts w:ascii="Arial" w:eastAsia="Calibri" w:hAnsi="Arial" w:cs="Arial"/>
          <w:sz w:val="20"/>
          <w:szCs w:val="20"/>
          <w:lang w:eastAsia="en-US"/>
        </w:rPr>
      </w:pPr>
      <w:r w:rsidRPr="00ED41E6">
        <w:rPr>
          <w:rFonts w:ascii="Arial" w:eastAsia="Calibri" w:hAnsi="Arial" w:cs="Arial"/>
          <w:sz w:val="20"/>
          <w:szCs w:val="20"/>
          <w:lang w:eastAsia="en-US"/>
        </w:rPr>
        <w:t>-</w:t>
      </w:r>
      <w:r w:rsidRPr="00ED41E6">
        <w:rPr>
          <w:rFonts w:ascii="Arial" w:eastAsia="Calibri" w:hAnsi="Arial" w:cs="Arial"/>
          <w:sz w:val="20"/>
          <w:szCs w:val="20"/>
          <w:lang w:eastAsia="en-US"/>
        </w:rPr>
        <w:tab/>
        <w:t>izrada geodetskih podloga i projekt nogostupa pored D8 u Čilipima u iznosu 17.700 € na temelju ugovora iz rujna 2023. godine,</w:t>
      </w:r>
    </w:p>
    <w:p w14:paraId="50CFCFEC" w14:textId="77777777" w:rsidR="00ED41E6" w:rsidRPr="00ED41E6" w:rsidRDefault="00ED41E6" w:rsidP="00ED41E6">
      <w:pPr>
        <w:spacing w:after="0" w:line="240" w:lineRule="auto"/>
        <w:jc w:val="both"/>
        <w:rPr>
          <w:rFonts w:ascii="Arial" w:eastAsia="Calibri" w:hAnsi="Arial" w:cs="Arial"/>
          <w:sz w:val="20"/>
          <w:szCs w:val="20"/>
          <w:lang w:eastAsia="en-US"/>
        </w:rPr>
      </w:pPr>
      <w:r w:rsidRPr="00ED41E6">
        <w:rPr>
          <w:rFonts w:ascii="Arial" w:eastAsia="Calibri" w:hAnsi="Arial" w:cs="Arial"/>
          <w:sz w:val="20"/>
          <w:szCs w:val="20"/>
          <w:lang w:eastAsia="en-US"/>
        </w:rPr>
        <w:t>-</w:t>
      </w:r>
      <w:r w:rsidRPr="00ED41E6">
        <w:rPr>
          <w:rFonts w:ascii="Arial" w:eastAsia="Calibri" w:hAnsi="Arial" w:cs="Arial"/>
          <w:sz w:val="20"/>
          <w:szCs w:val="20"/>
          <w:lang w:eastAsia="en-US"/>
        </w:rPr>
        <w:tab/>
        <w:t>izrada troškovnika radova na projektu uređenja nogostupa uz ŽC 6240 Čilipi – Radovčići od D8 do Ulice Masješi u iznosu 1.375 €,</w:t>
      </w:r>
    </w:p>
    <w:p w14:paraId="4F688206" w14:textId="77777777" w:rsidR="00ED41E6" w:rsidRPr="00ED41E6" w:rsidRDefault="00ED41E6" w:rsidP="00ED41E6">
      <w:pPr>
        <w:spacing w:after="0" w:line="240" w:lineRule="auto"/>
        <w:jc w:val="both"/>
        <w:rPr>
          <w:rFonts w:ascii="Arial" w:eastAsia="Calibri" w:hAnsi="Arial" w:cs="Arial"/>
          <w:sz w:val="20"/>
          <w:szCs w:val="20"/>
          <w:lang w:eastAsia="en-US"/>
        </w:rPr>
      </w:pPr>
      <w:r w:rsidRPr="00ED41E6">
        <w:rPr>
          <w:rFonts w:ascii="Arial" w:eastAsia="Calibri" w:hAnsi="Arial" w:cs="Arial"/>
          <w:sz w:val="20"/>
          <w:szCs w:val="20"/>
          <w:lang w:eastAsia="en-US"/>
        </w:rPr>
        <w:t>-</w:t>
      </w:r>
      <w:r w:rsidRPr="00ED41E6">
        <w:rPr>
          <w:rFonts w:ascii="Arial" w:eastAsia="Calibri" w:hAnsi="Arial" w:cs="Arial"/>
          <w:sz w:val="20"/>
          <w:szCs w:val="20"/>
          <w:lang w:eastAsia="en-US"/>
        </w:rPr>
        <w:tab/>
        <w:t>građevinski i elektroinstalaterski radovi na nogostupu Čilipi u iznosu 82.591,51 € prema ugovoru iz prosinca 2024. (ugovor u iznosu 82.643,75 € s PDV-om) i usluge  nadzora stručnog nadzora u iznosu 125 €,</w:t>
      </w:r>
    </w:p>
    <w:p w14:paraId="77511298" w14:textId="77777777" w:rsidR="00ED41E6" w:rsidRPr="00ED41E6" w:rsidRDefault="00ED41E6" w:rsidP="00ED41E6">
      <w:pPr>
        <w:spacing w:after="0" w:line="240" w:lineRule="auto"/>
        <w:jc w:val="both"/>
        <w:rPr>
          <w:rFonts w:ascii="Arial" w:eastAsia="Calibri" w:hAnsi="Arial" w:cs="Arial"/>
          <w:sz w:val="20"/>
          <w:szCs w:val="20"/>
          <w:lang w:eastAsia="en-US"/>
        </w:rPr>
      </w:pPr>
      <w:r w:rsidRPr="00ED41E6">
        <w:rPr>
          <w:rFonts w:ascii="Arial" w:eastAsia="Calibri" w:hAnsi="Arial" w:cs="Arial"/>
          <w:sz w:val="20"/>
          <w:szCs w:val="20"/>
          <w:lang w:eastAsia="en-US"/>
        </w:rPr>
        <w:t>-</w:t>
      </w:r>
      <w:r w:rsidRPr="00ED41E6">
        <w:rPr>
          <w:rFonts w:ascii="Arial" w:eastAsia="Calibri" w:hAnsi="Arial" w:cs="Arial"/>
          <w:sz w:val="20"/>
          <w:szCs w:val="20"/>
          <w:lang w:eastAsia="en-US"/>
        </w:rPr>
        <w:tab/>
        <w:t>radovi na gradnji nogostupa kroz mjesto Čilipi uz dio ŽC 6240 u iznosu 66.021,62 € (faza I, ukupna dužina 230,87 m, ugovor od 19.11.2024. u iznosu 82.931,25 €),</w:t>
      </w:r>
    </w:p>
    <w:p w14:paraId="7C433911" w14:textId="77777777" w:rsidR="00ED41E6" w:rsidRPr="00ED41E6" w:rsidRDefault="00ED41E6" w:rsidP="00ED41E6">
      <w:pPr>
        <w:spacing w:after="0" w:line="240" w:lineRule="auto"/>
        <w:jc w:val="both"/>
        <w:rPr>
          <w:rFonts w:ascii="Arial" w:eastAsia="Calibri" w:hAnsi="Arial" w:cs="Arial"/>
          <w:sz w:val="20"/>
          <w:szCs w:val="20"/>
          <w:lang w:eastAsia="en-US"/>
        </w:rPr>
      </w:pPr>
      <w:r w:rsidRPr="00ED41E6">
        <w:rPr>
          <w:rFonts w:ascii="Arial" w:eastAsia="Calibri" w:hAnsi="Arial" w:cs="Arial"/>
          <w:sz w:val="20"/>
          <w:szCs w:val="20"/>
          <w:lang w:eastAsia="en-US"/>
        </w:rPr>
        <w:t>-</w:t>
      </w:r>
      <w:r w:rsidRPr="00ED41E6">
        <w:rPr>
          <w:rFonts w:ascii="Arial" w:eastAsia="Calibri" w:hAnsi="Arial" w:cs="Arial"/>
          <w:sz w:val="20"/>
          <w:szCs w:val="20"/>
          <w:lang w:eastAsia="en-US"/>
        </w:rPr>
        <w:tab/>
        <w:t xml:space="preserve">sanacija kolinika u Čilipima u iznosu 79.520,72 € prema ugovoru od 8.4.2025 zaključenom u iznosu 81.681,25 € s PDV-om, </w:t>
      </w:r>
    </w:p>
    <w:p w14:paraId="39F13816" w14:textId="77777777" w:rsidR="00ED41E6" w:rsidRPr="00ED41E6" w:rsidRDefault="00ED41E6" w:rsidP="00ED41E6">
      <w:pPr>
        <w:spacing w:after="0" w:line="240" w:lineRule="auto"/>
        <w:jc w:val="both"/>
        <w:rPr>
          <w:rFonts w:ascii="Arial" w:eastAsia="Calibri" w:hAnsi="Arial" w:cs="Arial"/>
          <w:sz w:val="20"/>
          <w:szCs w:val="20"/>
          <w:lang w:eastAsia="en-US"/>
        </w:rPr>
      </w:pPr>
      <w:r w:rsidRPr="00ED41E6">
        <w:rPr>
          <w:rFonts w:ascii="Arial" w:eastAsia="Calibri" w:hAnsi="Arial" w:cs="Arial"/>
          <w:sz w:val="20"/>
          <w:szCs w:val="20"/>
          <w:lang w:eastAsia="en-US"/>
        </w:rPr>
        <w:t>-</w:t>
      </w:r>
      <w:r w:rsidRPr="00ED41E6">
        <w:rPr>
          <w:rFonts w:ascii="Arial" w:eastAsia="Calibri" w:hAnsi="Arial" w:cs="Arial"/>
          <w:sz w:val="20"/>
          <w:szCs w:val="20"/>
          <w:lang w:eastAsia="en-US"/>
        </w:rPr>
        <w:tab/>
        <w:t>usluge stručnog nadzora radova uređenja nogostupa  preko puta izlaza iz zračne luke u iznosu 1.500 €,</w:t>
      </w:r>
    </w:p>
    <w:p w14:paraId="76018805" w14:textId="77777777" w:rsidR="00ED41E6" w:rsidRPr="00ED41E6" w:rsidRDefault="00ED41E6" w:rsidP="00ED41E6">
      <w:pPr>
        <w:spacing w:after="0" w:line="240" w:lineRule="auto"/>
        <w:jc w:val="both"/>
        <w:rPr>
          <w:rFonts w:ascii="Arial" w:eastAsia="Calibri" w:hAnsi="Arial" w:cs="Arial"/>
          <w:sz w:val="20"/>
          <w:szCs w:val="20"/>
          <w:lang w:eastAsia="en-US"/>
        </w:rPr>
      </w:pPr>
      <w:r w:rsidRPr="00ED41E6">
        <w:rPr>
          <w:rFonts w:ascii="Arial" w:eastAsia="Calibri" w:hAnsi="Arial" w:cs="Arial"/>
          <w:sz w:val="20"/>
          <w:szCs w:val="20"/>
          <w:lang w:eastAsia="en-US"/>
        </w:rPr>
        <w:t>-</w:t>
      </w:r>
      <w:r w:rsidRPr="00ED41E6">
        <w:rPr>
          <w:rFonts w:ascii="Arial" w:eastAsia="Calibri" w:hAnsi="Arial" w:cs="Arial"/>
          <w:sz w:val="20"/>
          <w:szCs w:val="20"/>
          <w:lang w:eastAsia="en-US"/>
        </w:rPr>
        <w:tab/>
        <w:t>usluge stručnog nadzora nad radovima gradnje nogostupa uz dio ŽC 6240 kroz naselje Čilipi u iznosu 3.125 €,</w:t>
      </w:r>
    </w:p>
    <w:p w14:paraId="33CC1477" w14:textId="77777777" w:rsidR="00ED41E6" w:rsidRPr="00ED41E6" w:rsidRDefault="00ED41E6" w:rsidP="00ED41E6">
      <w:pPr>
        <w:spacing w:after="0" w:line="240" w:lineRule="auto"/>
        <w:jc w:val="both"/>
        <w:rPr>
          <w:rFonts w:ascii="Arial" w:eastAsia="Calibri" w:hAnsi="Arial" w:cs="Arial"/>
          <w:sz w:val="20"/>
          <w:szCs w:val="20"/>
          <w:lang w:eastAsia="en-US"/>
        </w:rPr>
      </w:pPr>
      <w:r w:rsidRPr="00ED41E6">
        <w:rPr>
          <w:rFonts w:ascii="Arial" w:eastAsia="Calibri" w:hAnsi="Arial" w:cs="Arial"/>
          <w:sz w:val="20"/>
          <w:szCs w:val="20"/>
          <w:lang w:eastAsia="en-US"/>
        </w:rPr>
        <w:t>-</w:t>
      </w:r>
      <w:r w:rsidRPr="00ED41E6">
        <w:rPr>
          <w:rFonts w:ascii="Arial" w:eastAsia="Calibri" w:hAnsi="Arial" w:cs="Arial"/>
          <w:sz w:val="20"/>
          <w:szCs w:val="20"/>
          <w:lang w:eastAsia="en-US"/>
        </w:rPr>
        <w:tab/>
        <w:t>usluge stručnog nadzora nad radovima uređenja nogostupa uz ŽC 6240 u iznosu 3.312,50 €,</w:t>
      </w:r>
    </w:p>
    <w:p w14:paraId="3015DCB5" w14:textId="3739DB65" w:rsidR="00184A8E" w:rsidRDefault="00ED41E6" w:rsidP="00ED41E6">
      <w:pPr>
        <w:spacing w:after="0" w:line="240" w:lineRule="auto"/>
        <w:jc w:val="both"/>
        <w:rPr>
          <w:rFonts w:ascii="Arial" w:eastAsia="Calibri" w:hAnsi="Arial" w:cs="Arial"/>
          <w:sz w:val="20"/>
          <w:szCs w:val="20"/>
          <w:lang w:eastAsia="en-US"/>
        </w:rPr>
      </w:pPr>
      <w:r w:rsidRPr="00ED41E6">
        <w:rPr>
          <w:rFonts w:ascii="Arial" w:eastAsia="Calibri" w:hAnsi="Arial" w:cs="Arial"/>
          <w:sz w:val="20"/>
          <w:szCs w:val="20"/>
          <w:lang w:eastAsia="en-US"/>
        </w:rPr>
        <w:t>-</w:t>
      </w:r>
      <w:r w:rsidRPr="00ED41E6">
        <w:rPr>
          <w:rFonts w:ascii="Arial" w:eastAsia="Calibri" w:hAnsi="Arial" w:cs="Arial"/>
          <w:sz w:val="20"/>
          <w:szCs w:val="20"/>
          <w:lang w:eastAsia="en-US"/>
        </w:rPr>
        <w:tab/>
        <w:t>mikrolokacija postojećih EE vodova na lokaciji nogostupa uz državnu cestu D8 u Močićima u iznosu 304,06 €.</w:t>
      </w:r>
    </w:p>
    <w:p w14:paraId="79EEEA14" w14:textId="77777777" w:rsidR="00ED41E6" w:rsidRPr="00184A8E" w:rsidRDefault="00ED41E6" w:rsidP="00184A8E">
      <w:pPr>
        <w:spacing w:after="0" w:line="240" w:lineRule="auto"/>
        <w:jc w:val="both"/>
        <w:rPr>
          <w:rFonts w:ascii="Arial" w:eastAsia="Calibri"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3256"/>
        <w:gridCol w:w="2551"/>
        <w:gridCol w:w="1134"/>
        <w:gridCol w:w="1134"/>
        <w:gridCol w:w="1134"/>
        <w:gridCol w:w="1418"/>
        <w:gridCol w:w="1134"/>
        <w:gridCol w:w="1134"/>
        <w:gridCol w:w="1096"/>
      </w:tblGrid>
      <w:tr w:rsidR="00184A8E" w:rsidRPr="00184A8E" w14:paraId="34CFE7F0" w14:textId="77777777" w:rsidTr="00410A4B">
        <w:trPr>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1C0CD9D"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C9CF346"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C2DAC34"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F3436C2"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1259195" w14:textId="4BD4B862"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ED41E6">
              <w:rPr>
                <w:rFonts w:ascii="Arial" w:eastAsia="Calibri" w:hAnsi="Arial" w:cs="Arial"/>
              </w:rPr>
              <w:t>4</w:t>
            </w:r>
            <w:r w:rsidRPr="00184A8E">
              <w:rPr>
                <w:rFonts w:ascii="Arial" w:eastAsia="Calibri" w:hAnsi="Arial" w:cs="Aria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94EEA8E" w14:textId="764C8774"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ED41E6">
              <w:rPr>
                <w:rFonts w:ascii="Arial" w:eastAsia="Calibri" w:hAnsi="Arial" w:cs="Arial"/>
              </w:rPr>
              <w:t>5</w:t>
            </w:r>
            <w:r w:rsidRPr="00184A8E">
              <w:rPr>
                <w:rFonts w:ascii="Arial" w:eastAsia="Calibri" w:hAnsi="Arial"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38912F0" w14:textId="133F9168"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ED41E6">
              <w:rPr>
                <w:rFonts w:ascii="Arial" w:eastAsia="Calibri" w:hAnsi="Arial" w:cs="Arial"/>
              </w:rPr>
              <w:t>5</w:t>
            </w:r>
            <w:r w:rsidRPr="00184A8E">
              <w:rPr>
                <w:rFonts w:ascii="Arial" w:eastAsia="Calibri" w:hAnsi="Arial" w:cs="Arial"/>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CA87AB8" w14:textId="63ACF6AD"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ED41E6">
              <w:rPr>
                <w:rFonts w:ascii="Arial" w:eastAsia="Calibri" w:hAnsi="Arial" w:cs="Arial"/>
              </w:rPr>
              <w:t>6</w:t>
            </w:r>
            <w:r w:rsidRPr="00184A8E">
              <w:rPr>
                <w:rFonts w:ascii="Arial" w:eastAsia="Calibri" w:hAnsi="Arial" w:cs="Arial"/>
              </w:rPr>
              <w:t>.</w:t>
            </w:r>
          </w:p>
        </w:tc>
        <w:tc>
          <w:tcPr>
            <w:tcW w:w="109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678D6AA" w14:textId="3D5EC84F"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ED41E6">
              <w:rPr>
                <w:rFonts w:ascii="Arial" w:eastAsia="Calibri" w:hAnsi="Arial" w:cs="Arial"/>
              </w:rPr>
              <w:t>7</w:t>
            </w:r>
            <w:r w:rsidRPr="00184A8E">
              <w:rPr>
                <w:rFonts w:ascii="Arial" w:eastAsia="Calibri" w:hAnsi="Arial" w:cs="Arial"/>
              </w:rPr>
              <w:t>.</w:t>
            </w:r>
          </w:p>
        </w:tc>
      </w:tr>
      <w:tr w:rsidR="00AD7EBA" w:rsidRPr="00184A8E" w14:paraId="7D67B127" w14:textId="77777777" w:rsidTr="00FB0C09">
        <w:trPr>
          <w:trHeight w:val="273"/>
          <w:jc w:val="center"/>
        </w:trPr>
        <w:tc>
          <w:tcPr>
            <w:tcW w:w="3256" w:type="dxa"/>
            <w:tcBorders>
              <w:top w:val="single" w:sz="4" w:space="0" w:color="auto"/>
              <w:left w:val="single" w:sz="4" w:space="0" w:color="auto"/>
              <w:bottom w:val="single" w:sz="4" w:space="0" w:color="auto"/>
              <w:right w:val="single" w:sz="4" w:space="0" w:color="auto"/>
            </w:tcBorders>
            <w:vAlign w:val="center"/>
          </w:tcPr>
          <w:p w14:paraId="2701B429" w14:textId="01308ED4" w:rsidR="00AD7EBA" w:rsidRPr="00184A8E" w:rsidRDefault="00AD7EBA" w:rsidP="00AD7EBA">
            <w:pPr>
              <w:rPr>
                <w:rFonts w:ascii="Arial" w:hAnsi="Arial" w:cs="Arial"/>
                <w:sz w:val="18"/>
                <w:szCs w:val="18"/>
              </w:rPr>
            </w:pPr>
            <w:r w:rsidRPr="007C4323">
              <w:rPr>
                <w:rFonts w:ascii="Arial" w:eastAsia="Calibri" w:hAnsi="Arial" w:cs="Arial"/>
                <w:iCs/>
                <w:sz w:val="18"/>
                <w:szCs w:val="18"/>
              </w:rPr>
              <w:t>Radovi izgradnje nogostupa kroz naselje, od D8 do Masješa</w:t>
            </w:r>
          </w:p>
        </w:tc>
        <w:tc>
          <w:tcPr>
            <w:tcW w:w="2551" w:type="dxa"/>
            <w:tcBorders>
              <w:top w:val="single" w:sz="4" w:space="0" w:color="auto"/>
              <w:left w:val="single" w:sz="4" w:space="0" w:color="auto"/>
              <w:bottom w:val="single" w:sz="4" w:space="0" w:color="auto"/>
              <w:right w:val="single" w:sz="4" w:space="0" w:color="auto"/>
            </w:tcBorders>
            <w:vAlign w:val="center"/>
          </w:tcPr>
          <w:p w14:paraId="076957CC" w14:textId="4D0FD4D4" w:rsidR="00AD7EBA" w:rsidRPr="00184A8E" w:rsidRDefault="00AD7EBA" w:rsidP="00AD7EBA">
            <w:pPr>
              <w:autoSpaceDE w:val="0"/>
              <w:autoSpaceDN w:val="0"/>
              <w:adjustRightInd w:val="0"/>
              <w:rPr>
                <w:rFonts w:ascii="Arial" w:hAnsi="Arial" w:cs="Arial"/>
                <w:sz w:val="18"/>
                <w:szCs w:val="18"/>
              </w:rPr>
            </w:pPr>
            <w:r w:rsidRPr="007C4323">
              <w:rPr>
                <w:rFonts w:ascii="Arial" w:eastAsia="Calibri" w:hAnsi="Arial" w:cs="Arial"/>
                <w:sz w:val="18"/>
                <w:szCs w:val="18"/>
              </w:rPr>
              <w:t>Izrađen projekt</w:t>
            </w:r>
          </w:p>
        </w:tc>
        <w:tc>
          <w:tcPr>
            <w:tcW w:w="1134" w:type="dxa"/>
            <w:tcBorders>
              <w:top w:val="single" w:sz="4" w:space="0" w:color="auto"/>
              <w:left w:val="single" w:sz="4" w:space="0" w:color="auto"/>
              <w:bottom w:val="single" w:sz="4" w:space="0" w:color="auto"/>
              <w:right w:val="single" w:sz="4" w:space="0" w:color="auto"/>
            </w:tcBorders>
            <w:vAlign w:val="center"/>
          </w:tcPr>
          <w:p w14:paraId="6F59EAD9" w14:textId="1103A1B4" w:rsidR="00AD7EBA" w:rsidRPr="00184A8E" w:rsidRDefault="00AD7EBA" w:rsidP="00AD7EBA">
            <w:pPr>
              <w:jc w:val="center"/>
              <w:rPr>
                <w:rFonts w:ascii="Arial" w:hAnsi="Arial" w:cs="Arial"/>
              </w:rPr>
            </w:pPr>
            <w:r w:rsidRPr="007C4323">
              <w:rPr>
                <w:rFonts w:ascii="Arial" w:eastAsia="Calibri"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67937A72" w14:textId="7E3DB6DA" w:rsidR="00AD7EBA" w:rsidRPr="00184A8E" w:rsidRDefault="00AD7EBA" w:rsidP="00AD7EBA">
            <w:pPr>
              <w:jc w:val="center"/>
              <w:rPr>
                <w:rFonts w:ascii="Arial" w:hAnsi="Arial" w:cs="Arial"/>
              </w:rPr>
            </w:pPr>
            <w:r w:rsidRPr="007C4323">
              <w:rPr>
                <w:rFonts w:ascii="Arial" w:hAnsi="Arial" w:cs="Arial"/>
                <w:sz w:val="18"/>
                <w:szCs w:val="18"/>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1FCD4BBF" w14:textId="23905BC3" w:rsidR="00AD7EBA" w:rsidRPr="00184A8E" w:rsidRDefault="00AD7EBA" w:rsidP="00AD7EBA">
            <w:pPr>
              <w:jc w:val="center"/>
              <w:rPr>
                <w:rFonts w:ascii="Arial" w:hAnsi="Arial" w:cs="Arial"/>
              </w:rPr>
            </w:pPr>
            <w:r>
              <w:rPr>
                <w:rFonts w:ascii="Arial" w:eastAsia="Calibri" w:hAnsi="Arial" w:cs="Arial"/>
                <w:sz w:val="18"/>
                <w:szCs w:val="18"/>
              </w:rPr>
              <w:t>5%</w:t>
            </w:r>
          </w:p>
        </w:tc>
        <w:tc>
          <w:tcPr>
            <w:tcW w:w="1418" w:type="dxa"/>
            <w:tcBorders>
              <w:top w:val="single" w:sz="4" w:space="0" w:color="auto"/>
              <w:left w:val="single" w:sz="4" w:space="0" w:color="auto"/>
              <w:bottom w:val="single" w:sz="4" w:space="0" w:color="auto"/>
              <w:right w:val="single" w:sz="4" w:space="0" w:color="auto"/>
            </w:tcBorders>
            <w:vAlign w:val="center"/>
          </w:tcPr>
          <w:p w14:paraId="21DF9A2F" w14:textId="0419D439" w:rsidR="00AD7EBA" w:rsidRPr="00184A8E" w:rsidRDefault="00AD7EBA" w:rsidP="00AD7EBA">
            <w:pPr>
              <w:jc w:val="center"/>
              <w:rPr>
                <w:rFonts w:ascii="Arial" w:hAnsi="Arial" w:cs="Arial"/>
              </w:rPr>
            </w:pPr>
            <w:r>
              <w:rPr>
                <w:rFonts w:ascii="Arial" w:eastAsia="Calibri" w:hAnsi="Arial" w:cs="Arial"/>
                <w:sz w:val="18"/>
                <w:szCs w:val="18"/>
              </w:rPr>
              <w:t>30</w:t>
            </w:r>
          </w:p>
        </w:tc>
        <w:tc>
          <w:tcPr>
            <w:tcW w:w="1134" w:type="dxa"/>
            <w:tcBorders>
              <w:top w:val="single" w:sz="4" w:space="0" w:color="auto"/>
              <w:left w:val="single" w:sz="4" w:space="0" w:color="auto"/>
              <w:bottom w:val="single" w:sz="4" w:space="0" w:color="auto"/>
              <w:right w:val="single" w:sz="4" w:space="0" w:color="auto"/>
            </w:tcBorders>
            <w:vAlign w:val="center"/>
          </w:tcPr>
          <w:p w14:paraId="7AAE2AB1" w14:textId="77777777" w:rsidR="00AD7EBA" w:rsidRDefault="00AD7EBA" w:rsidP="00AD7EBA">
            <w:pPr>
              <w:jc w:val="center"/>
              <w:rPr>
                <w:rFonts w:ascii="Arial" w:eastAsia="Calibri" w:hAnsi="Arial" w:cs="Arial"/>
                <w:sz w:val="18"/>
                <w:szCs w:val="18"/>
              </w:rPr>
            </w:pPr>
            <w:r>
              <w:rPr>
                <w:rFonts w:ascii="Arial" w:eastAsia="Calibri" w:hAnsi="Arial" w:cs="Arial"/>
                <w:sz w:val="18"/>
                <w:szCs w:val="18"/>
              </w:rPr>
              <w:t>10,2%</w:t>
            </w:r>
          </w:p>
          <w:p w14:paraId="1A2AAE9B" w14:textId="06A8B21A" w:rsidR="00AD7EBA" w:rsidRPr="00184A8E" w:rsidRDefault="00AD7EBA" w:rsidP="00AD7EBA">
            <w:pPr>
              <w:jc w:val="center"/>
              <w:rPr>
                <w:rFonts w:ascii="Arial" w:eastAsia="Calibri" w:hAnsi="Arial" w:cs="Arial"/>
              </w:rPr>
            </w:pPr>
            <w:r>
              <w:rPr>
                <w:rFonts w:ascii="Arial" w:eastAsia="Calibri" w:hAnsi="Arial" w:cs="Arial"/>
                <w:sz w:val="18"/>
                <w:szCs w:val="18"/>
              </w:rPr>
              <w:t>(230,87 m)</w:t>
            </w:r>
          </w:p>
        </w:tc>
        <w:tc>
          <w:tcPr>
            <w:tcW w:w="1134" w:type="dxa"/>
            <w:tcBorders>
              <w:top w:val="single" w:sz="4" w:space="0" w:color="000000"/>
              <w:left w:val="single" w:sz="4" w:space="0" w:color="000000"/>
              <w:bottom w:val="single" w:sz="4" w:space="0" w:color="000000"/>
              <w:right w:val="single" w:sz="4" w:space="0" w:color="000000"/>
            </w:tcBorders>
            <w:vAlign w:val="center"/>
          </w:tcPr>
          <w:p w14:paraId="72792641" w14:textId="74B3975F" w:rsidR="00AD7EBA" w:rsidRPr="00184A8E" w:rsidRDefault="00AD7EBA" w:rsidP="00AD7EBA">
            <w:pPr>
              <w:jc w:val="center"/>
              <w:rPr>
                <w:rFonts w:ascii="Arial" w:hAnsi="Arial" w:cs="Arial"/>
              </w:rPr>
            </w:pPr>
            <w:r>
              <w:rPr>
                <w:rFonts w:ascii="Arial" w:eastAsia="Calibri" w:hAnsi="Arial" w:cs="Arial"/>
                <w:sz w:val="18"/>
                <w:szCs w:val="18"/>
              </w:rPr>
              <w:t>50</w:t>
            </w:r>
            <w:r w:rsidRPr="007C4323">
              <w:rPr>
                <w:rFonts w:ascii="Arial" w:eastAsia="Calibri" w:hAnsi="Arial" w:cs="Arial"/>
                <w:sz w:val="18"/>
                <w:szCs w:val="18"/>
              </w:rPr>
              <w:t>%</w:t>
            </w:r>
          </w:p>
        </w:tc>
        <w:tc>
          <w:tcPr>
            <w:tcW w:w="1096" w:type="dxa"/>
            <w:tcBorders>
              <w:top w:val="single" w:sz="4" w:space="0" w:color="000000"/>
              <w:left w:val="single" w:sz="4" w:space="0" w:color="000000"/>
              <w:bottom w:val="single" w:sz="4" w:space="0" w:color="000000"/>
              <w:right w:val="single" w:sz="4" w:space="0" w:color="000000"/>
            </w:tcBorders>
            <w:vAlign w:val="center"/>
          </w:tcPr>
          <w:p w14:paraId="2CBD836D" w14:textId="2BCDB3AA" w:rsidR="00AD7EBA" w:rsidRPr="00184A8E" w:rsidRDefault="00AD7EBA" w:rsidP="00AD7EBA">
            <w:pPr>
              <w:jc w:val="center"/>
              <w:rPr>
                <w:rFonts w:ascii="Arial" w:hAnsi="Arial" w:cs="Arial"/>
              </w:rPr>
            </w:pPr>
            <w:r>
              <w:rPr>
                <w:rFonts w:ascii="Arial" w:hAnsi="Arial" w:cs="Arial"/>
                <w:sz w:val="18"/>
                <w:szCs w:val="18"/>
              </w:rPr>
              <w:t>70</w:t>
            </w:r>
            <w:r w:rsidRPr="007C4323">
              <w:rPr>
                <w:rFonts w:ascii="Arial" w:hAnsi="Arial" w:cs="Arial"/>
                <w:sz w:val="18"/>
                <w:szCs w:val="18"/>
              </w:rPr>
              <w:t>%</w:t>
            </w:r>
          </w:p>
        </w:tc>
      </w:tr>
    </w:tbl>
    <w:p w14:paraId="0E042D17" w14:textId="77777777" w:rsidR="00184A8E" w:rsidRPr="00184A8E" w:rsidRDefault="00184A8E" w:rsidP="00184A8E">
      <w:pPr>
        <w:spacing w:after="0" w:line="240" w:lineRule="auto"/>
        <w:jc w:val="both"/>
        <w:rPr>
          <w:rFonts w:ascii="Arial" w:eastAsia="Calibri" w:hAnsi="Arial" w:cs="Arial"/>
          <w:sz w:val="20"/>
          <w:szCs w:val="20"/>
        </w:rPr>
      </w:pPr>
    </w:p>
    <w:p w14:paraId="51429203"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12. K209218: Nogostup naselje Gruda; od Tušića do vinarije i ostalo</w:t>
      </w:r>
      <w:r w:rsidRPr="00184A8E">
        <w:rPr>
          <w:rFonts w:ascii="Arial" w:eastAsia="Calibri" w:hAnsi="Arial" w:cs="Arial"/>
          <w:sz w:val="20"/>
          <w:szCs w:val="20"/>
        </w:rPr>
        <w:t xml:space="preserve"> – u sklopu projekta nisu planirani rashodi </w:t>
      </w:r>
    </w:p>
    <w:p w14:paraId="053A70AA" w14:textId="77777777" w:rsidR="00184A8E" w:rsidRPr="00184A8E" w:rsidRDefault="00184A8E" w:rsidP="00184A8E">
      <w:pPr>
        <w:spacing w:after="0" w:line="240" w:lineRule="auto"/>
        <w:jc w:val="both"/>
        <w:rPr>
          <w:rFonts w:ascii="Arial" w:eastAsia="Calibri" w:hAnsi="Arial" w:cs="Arial"/>
          <w:sz w:val="20"/>
          <w:szCs w:val="20"/>
        </w:rPr>
      </w:pPr>
    </w:p>
    <w:p w14:paraId="2E00F031" w14:textId="0A9D56C8"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12. K209219: Cesta Pridvorje – Knežev dvor - Samostan</w:t>
      </w:r>
      <w:r w:rsidRPr="00184A8E">
        <w:rPr>
          <w:rFonts w:ascii="Arial" w:eastAsia="Calibri" w:hAnsi="Arial" w:cs="Arial"/>
          <w:sz w:val="20"/>
          <w:szCs w:val="20"/>
          <w:lang w:eastAsia="en-US"/>
        </w:rPr>
        <w:t xml:space="preserve"> – u sklopu projekta nisu planirani rashodi. U budućnosti se planira izgraditi cesta, djelomično rekonstruirati dio postojeće ceste, a projekt bi se odvijao u fazama (probijanje i tamponiranje 1 km ceste i tamponiranje 700 metara već probijene ceste od spoja ŽC 6239 pored Kneževa dvora u Pridvorju do spoja na LC 69053). Rashodi nisu </w:t>
      </w:r>
      <w:r w:rsidR="00AD7EBA">
        <w:rPr>
          <w:rFonts w:ascii="Arial" w:eastAsia="Calibri" w:hAnsi="Arial" w:cs="Arial"/>
          <w:sz w:val="20"/>
          <w:szCs w:val="20"/>
          <w:lang w:eastAsia="en-US"/>
        </w:rPr>
        <w:t>planirani</w:t>
      </w:r>
      <w:r w:rsidRPr="00184A8E">
        <w:rPr>
          <w:rFonts w:ascii="Arial" w:eastAsia="Calibri" w:hAnsi="Arial" w:cs="Arial"/>
          <w:sz w:val="20"/>
          <w:szCs w:val="20"/>
          <w:lang w:eastAsia="en-US"/>
        </w:rPr>
        <w:t>.</w:t>
      </w:r>
    </w:p>
    <w:p w14:paraId="750B57BF" w14:textId="77777777" w:rsidR="00184A8E" w:rsidRPr="00184A8E" w:rsidRDefault="00184A8E" w:rsidP="00184A8E">
      <w:pPr>
        <w:spacing w:after="0" w:line="240" w:lineRule="auto"/>
        <w:jc w:val="both"/>
        <w:rPr>
          <w:rFonts w:ascii="Arial" w:eastAsia="Calibri" w:hAnsi="Arial" w:cs="Arial"/>
          <w:sz w:val="20"/>
          <w:szCs w:val="20"/>
          <w:lang w:eastAsia="en-US"/>
        </w:rPr>
      </w:pPr>
    </w:p>
    <w:p w14:paraId="07450F91" w14:textId="77777777" w:rsidR="00AD7EBA" w:rsidRPr="00AD7EBA" w:rsidRDefault="00184A8E" w:rsidP="00AD7EBA">
      <w:pPr>
        <w:spacing w:after="0" w:line="240" w:lineRule="auto"/>
        <w:jc w:val="both"/>
        <w:rPr>
          <w:rFonts w:ascii="Arial" w:eastAsia="Calibri" w:hAnsi="Arial" w:cs="Arial"/>
          <w:sz w:val="20"/>
          <w:szCs w:val="20"/>
          <w:lang w:eastAsia="en-US"/>
        </w:rPr>
      </w:pPr>
      <w:bookmarkStart w:id="544" w:name="_Hlk198906028"/>
      <w:r w:rsidRPr="00184A8E">
        <w:rPr>
          <w:rFonts w:ascii="Arial" w:eastAsia="Calibri" w:hAnsi="Arial" w:cs="Arial"/>
          <w:b/>
          <w:sz w:val="20"/>
          <w:szCs w:val="20"/>
          <w:lang w:eastAsia="en-US"/>
        </w:rPr>
        <w:t>13. K209220: Nogostup Čilipi - Zvekovica</w:t>
      </w:r>
      <w:r w:rsidRPr="00184A8E">
        <w:rPr>
          <w:rFonts w:ascii="Arial" w:eastAsia="Calibri" w:hAnsi="Arial" w:cs="Arial"/>
          <w:sz w:val="20"/>
          <w:szCs w:val="20"/>
          <w:lang w:eastAsia="en-US"/>
        </w:rPr>
        <w:t xml:space="preserve"> – u sklopu projekta su planirani rashodi u iznosu </w:t>
      </w:r>
      <w:r w:rsidR="00AD7EBA">
        <w:rPr>
          <w:rFonts w:ascii="Arial" w:eastAsia="Calibri" w:hAnsi="Arial" w:cs="Arial"/>
          <w:sz w:val="20"/>
          <w:szCs w:val="20"/>
          <w:lang w:eastAsia="en-US"/>
        </w:rPr>
        <w:t>29.900</w:t>
      </w:r>
      <w:r w:rsidRPr="00184A8E">
        <w:rPr>
          <w:rFonts w:ascii="Arial" w:eastAsia="Calibri" w:hAnsi="Arial" w:cs="Arial"/>
          <w:sz w:val="20"/>
          <w:szCs w:val="20"/>
          <w:lang w:eastAsia="en-US"/>
        </w:rPr>
        <w:t xml:space="preserve"> €. Projekt izgradnje nogostupa bi se odvijao u fazama, a trebao bi se odvijati u suradnji s Hrvatskim cestama. </w:t>
      </w:r>
      <w:r w:rsidR="00AD7EBA" w:rsidRPr="00AD7EBA">
        <w:rPr>
          <w:rFonts w:ascii="Arial" w:eastAsia="Calibri" w:hAnsi="Arial" w:cs="Arial"/>
          <w:sz w:val="20"/>
          <w:szCs w:val="20"/>
          <w:lang w:eastAsia="en-US"/>
        </w:rPr>
        <w:t>Rashodi su izvršeni manje od plana jer nije ispostavljena okončana situacija za izvedbeni projekt nogostupa.</w:t>
      </w:r>
    </w:p>
    <w:p w14:paraId="7F72EB1D" w14:textId="77777777" w:rsidR="00AD7EBA" w:rsidRPr="00AD7EBA" w:rsidRDefault="00AD7EBA" w:rsidP="00AD7EBA">
      <w:pPr>
        <w:spacing w:after="0" w:line="240" w:lineRule="auto"/>
        <w:jc w:val="both"/>
        <w:rPr>
          <w:rFonts w:ascii="Arial" w:eastAsia="Calibri" w:hAnsi="Arial" w:cs="Arial"/>
          <w:sz w:val="20"/>
          <w:szCs w:val="20"/>
          <w:lang w:eastAsia="en-US"/>
        </w:rPr>
      </w:pPr>
    </w:p>
    <w:p w14:paraId="76B2B5A3" w14:textId="77777777" w:rsidR="00AD7EBA" w:rsidRPr="00AD7EBA" w:rsidRDefault="00AD7EBA" w:rsidP="00AD7EBA">
      <w:pPr>
        <w:spacing w:after="0" w:line="240" w:lineRule="auto"/>
        <w:jc w:val="both"/>
        <w:rPr>
          <w:rFonts w:ascii="Arial" w:eastAsia="Calibri" w:hAnsi="Arial" w:cs="Arial"/>
          <w:sz w:val="20"/>
          <w:szCs w:val="20"/>
          <w:lang w:eastAsia="en-US"/>
        </w:rPr>
      </w:pPr>
      <w:r w:rsidRPr="00AD7EBA">
        <w:rPr>
          <w:rFonts w:ascii="Arial" w:eastAsia="Calibri" w:hAnsi="Arial" w:cs="Arial"/>
          <w:sz w:val="20"/>
          <w:szCs w:val="20"/>
          <w:lang w:eastAsia="en-US"/>
        </w:rPr>
        <w:t>U 2025. su izvršeni rashodi u iznosu 9.900 € i odnose se na:</w:t>
      </w:r>
    </w:p>
    <w:p w14:paraId="3BF9C0C7" w14:textId="311FA447" w:rsidR="00184A8E" w:rsidRPr="00184A8E" w:rsidRDefault="00AD7EBA" w:rsidP="00AD7EBA">
      <w:pPr>
        <w:spacing w:after="0" w:line="240" w:lineRule="auto"/>
        <w:jc w:val="both"/>
        <w:rPr>
          <w:rFonts w:ascii="Arial" w:eastAsia="Calibri" w:hAnsi="Arial" w:cs="Arial"/>
          <w:sz w:val="20"/>
          <w:szCs w:val="20"/>
          <w:lang w:eastAsia="en-US"/>
        </w:rPr>
      </w:pPr>
      <w:r w:rsidRPr="00AD7EBA">
        <w:rPr>
          <w:rFonts w:ascii="Arial" w:eastAsia="Calibri" w:hAnsi="Arial" w:cs="Arial"/>
          <w:sz w:val="20"/>
          <w:szCs w:val="20"/>
          <w:lang w:eastAsia="en-US"/>
        </w:rPr>
        <w:t>-</w:t>
      </w:r>
      <w:r w:rsidRPr="00AD7EBA">
        <w:rPr>
          <w:rFonts w:ascii="Arial" w:eastAsia="Calibri" w:hAnsi="Arial" w:cs="Arial"/>
          <w:sz w:val="20"/>
          <w:szCs w:val="20"/>
          <w:lang w:eastAsia="en-US"/>
        </w:rPr>
        <w:tab/>
        <w:t>izradu izvedbenog projekta jednostranog nogostupa uz državnu cestu D8 od naselja Zvekovica do Zračne luke u iznosu 9.900 € na temelju ugovora iz listopada 2024. godine (ugovor 33.000 € s porezom na dodanu vrijednost). Prethodne 2024. godine bilo je izvršeno 6.600 €.</w:t>
      </w:r>
    </w:p>
    <w:p w14:paraId="77656D2E" w14:textId="77777777" w:rsidR="00184A8E" w:rsidRDefault="00184A8E" w:rsidP="00184A8E">
      <w:pPr>
        <w:spacing w:after="0" w:line="240" w:lineRule="auto"/>
        <w:jc w:val="both"/>
        <w:rPr>
          <w:rFonts w:ascii="Arial" w:eastAsia="Calibri" w:hAnsi="Arial" w:cs="Arial"/>
          <w:sz w:val="20"/>
          <w:szCs w:val="20"/>
        </w:rPr>
      </w:pPr>
    </w:p>
    <w:p w14:paraId="4DD54B1A" w14:textId="26BBBBED" w:rsidR="00184A8E" w:rsidRPr="00184A8E" w:rsidRDefault="00184A8E" w:rsidP="00AD7EBA">
      <w:pPr>
        <w:spacing w:after="0" w:line="240" w:lineRule="auto"/>
        <w:ind w:left="709"/>
        <w:jc w:val="both"/>
        <w:rPr>
          <w:rFonts w:ascii="Arial" w:eastAsia="Calibri" w:hAnsi="Arial" w:cs="Arial"/>
          <w:sz w:val="20"/>
          <w:szCs w:val="20"/>
        </w:rPr>
      </w:pPr>
      <w:r w:rsidRPr="00AD7EBA">
        <w:rPr>
          <w:rFonts w:ascii="Arial" w:eastAsia="Calibri" w:hAnsi="Arial" w:cs="Arial"/>
          <w:sz w:val="18"/>
          <w:szCs w:val="18"/>
        </w:rPr>
        <w:t xml:space="preserve">U 2024. su </w:t>
      </w:r>
      <w:r w:rsidR="00AD7EBA">
        <w:rPr>
          <w:rFonts w:ascii="Arial" w:eastAsia="Calibri" w:hAnsi="Arial" w:cs="Arial"/>
          <w:sz w:val="18"/>
          <w:szCs w:val="18"/>
        </w:rPr>
        <w:t xml:space="preserve">bili </w:t>
      </w:r>
      <w:r w:rsidRPr="00AD7EBA">
        <w:rPr>
          <w:rFonts w:ascii="Arial" w:eastAsia="Calibri" w:hAnsi="Arial" w:cs="Arial"/>
          <w:sz w:val="18"/>
          <w:szCs w:val="18"/>
        </w:rPr>
        <w:t>izvršeni rashodi u iznosu 12.787,50 € i odnos</w:t>
      </w:r>
      <w:r w:rsidR="00AD7EBA">
        <w:rPr>
          <w:rFonts w:ascii="Arial" w:eastAsia="Calibri" w:hAnsi="Arial" w:cs="Arial"/>
          <w:sz w:val="18"/>
          <w:szCs w:val="18"/>
        </w:rPr>
        <w:t xml:space="preserve">ili su </w:t>
      </w:r>
      <w:r w:rsidRPr="00AD7EBA">
        <w:rPr>
          <w:rFonts w:ascii="Arial" w:eastAsia="Calibri" w:hAnsi="Arial" w:cs="Arial"/>
          <w:sz w:val="18"/>
          <w:szCs w:val="18"/>
        </w:rPr>
        <w:t>se na:</w:t>
      </w:r>
      <w:r w:rsidR="00AD7EBA">
        <w:rPr>
          <w:rFonts w:ascii="Arial" w:eastAsia="Calibri" w:hAnsi="Arial" w:cs="Arial"/>
          <w:sz w:val="18"/>
          <w:szCs w:val="18"/>
        </w:rPr>
        <w:t xml:space="preserve"> </w:t>
      </w:r>
      <w:r w:rsidRPr="00AD7EBA">
        <w:rPr>
          <w:rFonts w:ascii="Arial" w:eastAsia="Calibri" w:hAnsi="Arial" w:cs="Arial"/>
          <w:sz w:val="18"/>
          <w:szCs w:val="18"/>
        </w:rPr>
        <w:t xml:space="preserve"> izradu geodetskog snimka poprečnih profila ceste od raskrižja na Zvekovici do ulaza Ina, avio servis Zračne luke u iznosu 6.187,50 € (ugovor iz rujna 2024.).Ukupna duljina trase je cca 2.300 metara; </w:t>
      </w:r>
      <w:r w:rsidR="00AD7EBA">
        <w:rPr>
          <w:rFonts w:ascii="Arial" w:eastAsia="Calibri" w:hAnsi="Arial" w:cs="Arial"/>
          <w:sz w:val="18"/>
          <w:szCs w:val="18"/>
        </w:rPr>
        <w:t>te</w:t>
      </w:r>
      <w:r w:rsidRPr="00AD7EBA">
        <w:rPr>
          <w:rFonts w:ascii="Arial" w:eastAsia="Calibri" w:hAnsi="Arial" w:cs="Arial"/>
          <w:sz w:val="18"/>
          <w:szCs w:val="18"/>
        </w:rPr>
        <w:t xml:space="preserve"> izradu izvedbenog projekta jednostranog nogostupa uz državnu cestu D8 od naselja Zvekovica do Zračne luke u iznosu 6.600 € na temelju ugovora iz listopada 2024. godine (ugovor 33.000 € s porezom na dodanu vrijednost).</w:t>
      </w:r>
    </w:p>
    <w:bookmarkEnd w:id="544"/>
    <w:p w14:paraId="0AAF0BA0" w14:textId="77777777" w:rsidR="00184A8E" w:rsidRPr="00184A8E" w:rsidRDefault="00184A8E" w:rsidP="00184A8E">
      <w:pPr>
        <w:spacing w:after="0" w:line="240" w:lineRule="auto"/>
        <w:jc w:val="both"/>
        <w:rPr>
          <w:rFonts w:ascii="Arial" w:eastAsia="Calibri" w:hAnsi="Arial" w:cs="Arial"/>
          <w:sz w:val="20"/>
          <w:szCs w:val="20"/>
        </w:rPr>
      </w:pPr>
    </w:p>
    <w:p w14:paraId="785DB12B" w14:textId="54CA1BF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 xml:space="preserve">14. </w:t>
      </w:r>
      <w:bookmarkStart w:id="545" w:name="_Hlk198907043"/>
      <w:r w:rsidRPr="00184A8E">
        <w:rPr>
          <w:rFonts w:ascii="Arial" w:eastAsia="Calibri" w:hAnsi="Arial" w:cs="Arial"/>
          <w:b/>
          <w:sz w:val="20"/>
          <w:szCs w:val="20"/>
        </w:rPr>
        <w:t>T209221: Proširenje groblja Gruda</w:t>
      </w:r>
      <w:r w:rsidRPr="00184A8E">
        <w:rPr>
          <w:rFonts w:ascii="Arial" w:eastAsia="Calibri" w:hAnsi="Arial" w:cs="Arial"/>
          <w:sz w:val="20"/>
          <w:szCs w:val="20"/>
        </w:rPr>
        <w:t xml:space="preserve"> – u sklopu projekta </w:t>
      </w:r>
      <w:r w:rsidR="003F4657">
        <w:rPr>
          <w:rFonts w:ascii="Arial" w:eastAsia="Calibri" w:hAnsi="Arial" w:cs="Arial"/>
          <w:sz w:val="20"/>
          <w:szCs w:val="20"/>
        </w:rPr>
        <w:t xml:space="preserve">nisu </w:t>
      </w:r>
      <w:r w:rsidRPr="00184A8E">
        <w:rPr>
          <w:rFonts w:ascii="Arial" w:eastAsia="Calibri" w:hAnsi="Arial" w:cs="Arial"/>
          <w:sz w:val="20"/>
          <w:szCs w:val="20"/>
        </w:rPr>
        <w:t>planirani rashodi</w:t>
      </w:r>
      <w:r w:rsidR="003F4657">
        <w:rPr>
          <w:rFonts w:ascii="Arial" w:eastAsia="Calibri" w:hAnsi="Arial" w:cs="Arial"/>
          <w:sz w:val="20"/>
          <w:szCs w:val="20"/>
        </w:rPr>
        <w:t>.</w:t>
      </w:r>
    </w:p>
    <w:bookmarkEnd w:id="545"/>
    <w:p w14:paraId="3D62B9BB" w14:textId="77777777" w:rsidR="00184A8E" w:rsidRPr="00184A8E" w:rsidRDefault="00184A8E" w:rsidP="00184A8E">
      <w:pPr>
        <w:spacing w:after="0" w:line="240" w:lineRule="auto"/>
        <w:jc w:val="both"/>
        <w:rPr>
          <w:rFonts w:ascii="Arial" w:eastAsia="Calibri" w:hAnsi="Arial" w:cs="Arial"/>
          <w:sz w:val="18"/>
          <w:szCs w:val="18"/>
        </w:rPr>
      </w:pPr>
    </w:p>
    <w:p w14:paraId="0F7BFF32" w14:textId="77777777" w:rsidR="00184A8E" w:rsidRPr="00184A8E" w:rsidRDefault="00184A8E" w:rsidP="00184A8E">
      <w:pPr>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 2019. godini otkupljeno je zemljište površine 861 m² za proširenje groblja / parkirališta u iznosu 289.629,56 kn / 38.440,45 €.</w:t>
      </w:r>
    </w:p>
    <w:p w14:paraId="22F9E6D9" w14:textId="77777777" w:rsidR="00184A8E" w:rsidRPr="003F4657" w:rsidRDefault="00184A8E" w:rsidP="00184A8E">
      <w:pPr>
        <w:spacing w:after="0" w:line="240" w:lineRule="auto"/>
        <w:jc w:val="both"/>
        <w:rPr>
          <w:rFonts w:ascii="Arial" w:eastAsia="Calibri" w:hAnsi="Arial" w:cs="Arial"/>
          <w:sz w:val="18"/>
          <w:szCs w:val="18"/>
        </w:rPr>
      </w:pPr>
    </w:p>
    <w:p w14:paraId="6819E9D2" w14:textId="2145D0C0" w:rsidR="00184A8E" w:rsidRPr="00184A8E" w:rsidRDefault="00184A8E" w:rsidP="003F4657">
      <w:pPr>
        <w:spacing w:after="0" w:line="240" w:lineRule="auto"/>
        <w:ind w:left="567"/>
        <w:jc w:val="both"/>
        <w:rPr>
          <w:rFonts w:ascii="Arial" w:eastAsia="Calibri" w:hAnsi="Arial" w:cs="Arial"/>
          <w:sz w:val="20"/>
          <w:szCs w:val="20"/>
        </w:rPr>
      </w:pPr>
      <w:bookmarkStart w:id="546" w:name="_Hlk198907066"/>
      <w:r w:rsidRPr="003F4657">
        <w:rPr>
          <w:rFonts w:ascii="Arial" w:eastAsia="Calibri" w:hAnsi="Arial" w:cs="Arial"/>
          <w:sz w:val="18"/>
          <w:szCs w:val="18"/>
        </w:rPr>
        <w:t xml:space="preserve">Izvršeni rashodi u 2024. </w:t>
      </w:r>
      <w:r w:rsidR="003F4657">
        <w:rPr>
          <w:rFonts w:ascii="Arial" w:eastAsia="Calibri" w:hAnsi="Arial" w:cs="Arial"/>
          <w:sz w:val="18"/>
          <w:szCs w:val="18"/>
        </w:rPr>
        <w:t xml:space="preserve">su se odnosili </w:t>
      </w:r>
      <w:r w:rsidRPr="003F4657">
        <w:rPr>
          <w:rFonts w:ascii="Arial" w:eastAsia="Calibri" w:hAnsi="Arial" w:cs="Arial"/>
          <w:sz w:val="18"/>
          <w:szCs w:val="18"/>
        </w:rPr>
        <w:t xml:space="preserve">na izradu geodetskog snimka stvarnog stanja u svrhu proširenja groblja, zahvat mrtvačnice Gruda, na č.zem. 377/1 k.o. Gruda u iznosu 1.000 €, te na izradu projekta i troškovnika radova za dogradnju groblja u naselju Gruda u iznosu 1.562,50 €. </w:t>
      </w:r>
    </w:p>
    <w:bookmarkEnd w:id="546"/>
    <w:p w14:paraId="452C1912" w14:textId="77777777" w:rsidR="00184A8E" w:rsidRPr="00184A8E" w:rsidRDefault="00184A8E" w:rsidP="00184A8E">
      <w:pPr>
        <w:spacing w:after="0" w:line="240" w:lineRule="auto"/>
        <w:jc w:val="both"/>
        <w:rPr>
          <w:rFonts w:ascii="Arial" w:eastAsia="Calibri" w:hAnsi="Arial" w:cs="Arial"/>
          <w:sz w:val="20"/>
          <w:szCs w:val="20"/>
        </w:rPr>
      </w:pPr>
    </w:p>
    <w:p w14:paraId="47CAA413" w14:textId="0EBD7EC3"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15. T209222: Uređenje šetnice i parka okoliša Mauzoleja Račić s grobljem i pratećim objektom </w:t>
      </w:r>
      <w:r w:rsidRPr="00184A8E">
        <w:rPr>
          <w:rFonts w:ascii="Arial" w:eastAsia="Calibri" w:hAnsi="Arial" w:cs="Arial"/>
          <w:sz w:val="20"/>
          <w:szCs w:val="20"/>
          <w:lang w:eastAsia="en-US"/>
        </w:rPr>
        <w:t xml:space="preserve"> – </w:t>
      </w:r>
      <w:bookmarkStart w:id="547" w:name="_Hlk198907081"/>
      <w:r w:rsidR="003F4657" w:rsidRPr="003F4657">
        <w:rPr>
          <w:rFonts w:ascii="Arial" w:eastAsia="Calibri" w:hAnsi="Arial" w:cs="Arial"/>
          <w:sz w:val="20"/>
          <w:szCs w:val="20"/>
          <w:lang w:eastAsia="en-US"/>
        </w:rPr>
        <w:t>u sklopu navedenog projekta je planirana izrada projekta uređenja groblja i uređenje parka oko mauzoleja prema smjernicama konzervatorskog odjela u vrijednosti</w:t>
      </w:r>
      <w:r w:rsidRPr="00184A8E">
        <w:rPr>
          <w:rFonts w:ascii="Arial" w:eastAsia="Calibri" w:hAnsi="Arial" w:cs="Arial"/>
          <w:sz w:val="20"/>
          <w:szCs w:val="20"/>
          <w:lang w:eastAsia="en-US"/>
        </w:rPr>
        <w:t xml:space="preserve"> </w:t>
      </w:r>
      <w:r w:rsidR="003F4657">
        <w:rPr>
          <w:rFonts w:ascii="Arial" w:eastAsia="Calibri" w:hAnsi="Arial" w:cs="Arial"/>
          <w:sz w:val="20"/>
          <w:szCs w:val="20"/>
          <w:lang w:eastAsia="en-US"/>
        </w:rPr>
        <w:t>1</w:t>
      </w:r>
      <w:r w:rsidRPr="00184A8E">
        <w:rPr>
          <w:rFonts w:ascii="Arial" w:eastAsia="Calibri" w:hAnsi="Arial" w:cs="Arial"/>
          <w:sz w:val="20"/>
          <w:szCs w:val="20"/>
          <w:lang w:eastAsia="en-US"/>
        </w:rPr>
        <w:t xml:space="preserve">0.000 €. Rashodi su izvršeni u iznosu </w:t>
      </w:r>
      <w:r w:rsidR="003F4657">
        <w:rPr>
          <w:rFonts w:ascii="Arial" w:eastAsia="Calibri" w:hAnsi="Arial" w:cs="Arial"/>
          <w:sz w:val="20"/>
          <w:szCs w:val="20"/>
          <w:lang w:eastAsia="en-US"/>
        </w:rPr>
        <w:t>9.200</w:t>
      </w:r>
      <w:r w:rsidRPr="00184A8E">
        <w:rPr>
          <w:rFonts w:ascii="Arial" w:eastAsia="Calibri" w:hAnsi="Arial" w:cs="Arial"/>
          <w:sz w:val="20"/>
          <w:szCs w:val="20"/>
          <w:lang w:eastAsia="en-US"/>
        </w:rPr>
        <w:t xml:space="preserve"> € što čini </w:t>
      </w:r>
      <w:r w:rsidR="003F4657">
        <w:rPr>
          <w:rFonts w:ascii="Arial" w:eastAsia="Calibri" w:hAnsi="Arial" w:cs="Arial"/>
          <w:sz w:val="20"/>
          <w:szCs w:val="20"/>
          <w:lang w:eastAsia="en-US"/>
        </w:rPr>
        <w:t>92</w:t>
      </w:r>
      <w:r w:rsidRPr="00184A8E">
        <w:rPr>
          <w:rFonts w:ascii="Arial" w:eastAsia="Calibri" w:hAnsi="Arial" w:cs="Arial"/>
          <w:sz w:val="20"/>
          <w:szCs w:val="20"/>
          <w:lang w:eastAsia="en-US"/>
        </w:rPr>
        <w:t xml:space="preserve">% projekta. </w:t>
      </w:r>
      <w:r w:rsidR="003F4657" w:rsidRPr="003F4657">
        <w:rPr>
          <w:rFonts w:ascii="Arial" w:eastAsia="Calibri" w:hAnsi="Arial" w:cs="Arial"/>
          <w:sz w:val="20"/>
          <w:szCs w:val="20"/>
          <w:lang w:eastAsia="en-US"/>
        </w:rPr>
        <w:t>Rashodi su izvršeni manje od planiranog jer su manje od planiranog izvršeni rashodi za izradu projektne dokumentacije.</w:t>
      </w:r>
    </w:p>
    <w:bookmarkEnd w:id="547"/>
    <w:p w14:paraId="44055341" w14:textId="77777777" w:rsidR="00184A8E" w:rsidRPr="00184A8E" w:rsidRDefault="00184A8E" w:rsidP="00184A8E">
      <w:pPr>
        <w:spacing w:after="0" w:line="240" w:lineRule="auto"/>
        <w:jc w:val="both"/>
        <w:rPr>
          <w:rFonts w:ascii="Arial" w:eastAsia="Calibri" w:hAnsi="Arial" w:cs="Arial"/>
          <w:sz w:val="20"/>
          <w:szCs w:val="20"/>
          <w:lang w:eastAsia="en-US"/>
        </w:rPr>
      </w:pPr>
    </w:p>
    <w:p w14:paraId="1B57C31A"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 xml:space="preserve">U 2019. su izvršeni rashodi u iznosu 239.084,99 kn / 31.732,03 € koji su se odnosili na izradu projekta krajobraznog uređenja platoa oko mauzoleja i otkup zemljišta površine 1.166 m² od tri fizičke osobe i to za ½ vlasništva (preostalo ½ je vlasništvo RH) za uređenje parka oko mauzoleja. </w:t>
      </w:r>
    </w:p>
    <w:p w14:paraId="10E471CC" w14:textId="77777777" w:rsidR="00184A8E" w:rsidRPr="00184A8E" w:rsidRDefault="00184A8E" w:rsidP="00184A8E">
      <w:pPr>
        <w:spacing w:after="0" w:line="240" w:lineRule="auto"/>
        <w:ind w:left="567"/>
        <w:jc w:val="both"/>
        <w:rPr>
          <w:rFonts w:ascii="Arial" w:eastAsia="Calibri" w:hAnsi="Arial" w:cs="Arial"/>
          <w:sz w:val="18"/>
          <w:szCs w:val="18"/>
          <w:lang w:eastAsia="en-US"/>
        </w:rPr>
      </w:pPr>
    </w:p>
    <w:p w14:paraId="536D6B26" w14:textId="66D3F636" w:rsidR="00184A8E" w:rsidRPr="003F4657" w:rsidRDefault="00184A8E" w:rsidP="003F4657">
      <w:pPr>
        <w:spacing w:after="0" w:line="240" w:lineRule="auto"/>
        <w:ind w:left="567"/>
        <w:jc w:val="both"/>
        <w:rPr>
          <w:rFonts w:ascii="Arial" w:eastAsia="Calibri" w:hAnsi="Arial" w:cs="Arial"/>
          <w:sz w:val="18"/>
          <w:szCs w:val="18"/>
          <w:lang w:eastAsia="en-US"/>
        </w:rPr>
      </w:pPr>
      <w:bookmarkStart w:id="548" w:name="_Hlk198907094"/>
      <w:r w:rsidRPr="003F4657">
        <w:rPr>
          <w:rFonts w:ascii="Arial" w:eastAsia="Calibri" w:hAnsi="Arial" w:cs="Arial"/>
          <w:sz w:val="18"/>
          <w:szCs w:val="18"/>
          <w:lang w:eastAsia="en-US"/>
        </w:rPr>
        <w:t>Rashodi 2024. su</w:t>
      </w:r>
      <w:r w:rsidR="003F4657">
        <w:rPr>
          <w:rFonts w:ascii="Arial" w:eastAsia="Calibri" w:hAnsi="Arial" w:cs="Arial"/>
          <w:sz w:val="18"/>
          <w:szCs w:val="18"/>
          <w:lang w:eastAsia="en-US"/>
        </w:rPr>
        <w:t xml:space="preserve"> bili</w:t>
      </w:r>
      <w:r w:rsidRPr="003F4657">
        <w:rPr>
          <w:rFonts w:ascii="Arial" w:eastAsia="Calibri" w:hAnsi="Arial" w:cs="Arial"/>
          <w:sz w:val="18"/>
          <w:szCs w:val="18"/>
          <w:lang w:eastAsia="en-US"/>
        </w:rPr>
        <w:t xml:space="preserve"> izvršeni u iznosu 10.712,50 € i odnos</w:t>
      </w:r>
      <w:r w:rsidR="003F4657">
        <w:rPr>
          <w:rFonts w:ascii="Arial" w:eastAsia="Calibri" w:hAnsi="Arial" w:cs="Arial"/>
          <w:sz w:val="18"/>
          <w:szCs w:val="18"/>
          <w:lang w:eastAsia="en-US"/>
        </w:rPr>
        <w:t>ili su</w:t>
      </w:r>
      <w:r w:rsidRPr="003F4657">
        <w:rPr>
          <w:rFonts w:ascii="Arial" w:eastAsia="Calibri" w:hAnsi="Arial" w:cs="Arial"/>
          <w:sz w:val="18"/>
          <w:szCs w:val="18"/>
          <w:lang w:eastAsia="en-US"/>
        </w:rPr>
        <w:t xml:space="preserve"> se na:</w:t>
      </w:r>
      <w:r w:rsidR="003F4657">
        <w:rPr>
          <w:rFonts w:ascii="Arial" w:eastAsia="Calibri" w:hAnsi="Arial" w:cs="Arial"/>
          <w:sz w:val="18"/>
          <w:szCs w:val="18"/>
          <w:lang w:eastAsia="en-US"/>
        </w:rPr>
        <w:t xml:space="preserve"> </w:t>
      </w:r>
    </w:p>
    <w:p w14:paraId="27B47A28" w14:textId="77777777" w:rsidR="00184A8E" w:rsidRPr="003F4657" w:rsidRDefault="00184A8E">
      <w:pPr>
        <w:numPr>
          <w:ilvl w:val="0"/>
          <w:numId w:val="3"/>
        </w:numPr>
        <w:spacing w:after="0" w:line="240" w:lineRule="auto"/>
        <w:ind w:left="1571"/>
        <w:jc w:val="both"/>
        <w:rPr>
          <w:rFonts w:ascii="Arial" w:eastAsia="Calibri" w:hAnsi="Arial" w:cs="Arial"/>
          <w:sz w:val="18"/>
          <w:szCs w:val="18"/>
          <w:lang w:eastAsia="en-US"/>
        </w:rPr>
      </w:pPr>
      <w:r w:rsidRPr="003F4657">
        <w:rPr>
          <w:rFonts w:ascii="Arial" w:eastAsia="Calibri" w:hAnsi="Arial" w:cs="Arial"/>
          <w:sz w:val="18"/>
          <w:szCs w:val="18"/>
          <w:lang w:eastAsia="en-US"/>
        </w:rPr>
        <w:t>formiranje vrtne staze oko mauzoleja Račić u Cavtatu u iznosu 3.812,50 €,</w:t>
      </w:r>
    </w:p>
    <w:p w14:paraId="51BF12D8" w14:textId="77777777" w:rsidR="00184A8E" w:rsidRPr="00184A8E" w:rsidRDefault="00184A8E">
      <w:pPr>
        <w:numPr>
          <w:ilvl w:val="0"/>
          <w:numId w:val="3"/>
        </w:numPr>
        <w:spacing w:after="0" w:line="240" w:lineRule="auto"/>
        <w:ind w:left="1571"/>
        <w:jc w:val="both"/>
        <w:rPr>
          <w:rFonts w:ascii="Arial" w:eastAsia="Calibri" w:hAnsi="Arial" w:cs="Arial"/>
          <w:sz w:val="20"/>
          <w:szCs w:val="20"/>
          <w:lang w:eastAsia="en-US"/>
        </w:rPr>
      </w:pPr>
      <w:r w:rsidRPr="003F4657">
        <w:rPr>
          <w:rFonts w:ascii="Arial" w:eastAsia="Calibri" w:hAnsi="Arial" w:cs="Arial"/>
          <w:sz w:val="18"/>
          <w:szCs w:val="18"/>
          <w:lang w:eastAsia="en-US"/>
        </w:rPr>
        <w:t xml:space="preserve">izradu idejnog projekta s 3D vizualizacijom u iznosu 6.900 € (ugovor iz veljače 2024. u iznosu 11.500 € za izradu projektne dokumentacije za uređenje prostora oko mauzoleja Račić i groblja Svetog Roka u Cavtatu: izrada idejnog projekta, ishođenje posebnih uvjeta, glavni projekt – arhitektonski projekt, projekt konstrukcije, </w:t>
      </w:r>
      <w:r w:rsidRPr="003F4657">
        <w:rPr>
          <w:rFonts w:ascii="Arial" w:eastAsia="Calibri" w:hAnsi="Arial" w:cs="Arial"/>
          <w:sz w:val="18"/>
          <w:szCs w:val="18"/>
          <w:lang w:eastAsia="en-US"/>
        </w:rPr>
        <w:lastRenderedPageBreak/>
        <w:t>projekt instalacije vodovoda i kanalizacije, projekt elektrotehničkih instalacija, elaborat krajobraznog uređenja; troškovnih građevinsko obrtničkih radova, te ishođenje potvrda na glavni projekt).</w:t>
      </w:r>
    </w:p>
    <w:bookmarkEnd w:id="548"/>
    <w:p w14:paraId="2A42B8CB" w14:textId="77777777" w:rsidR="00184A8E" w:rsidRPr="003F4657" w:rsidRDefault="00184A8E" w:rsidP="00184A8E">
      <w:pPr>
        <w:spacing w:after="0" w:line="240" w:lineRule="auto"/>
        <w:jc w:val="both"/>
        <w:rPr>
          <w:rFonts w:ascii="Arial" w:eastAsia="Calibri" w:hAnsi="Arial" w:cs="Arial"/>
          <w:sz w:val="18"/>
          <w:szCs w:val="18"/>
          <w:lang w:eastAsia="en-US"/>
        </w:rPr>
      </w:pPr>
    </w:p>
    <w:p w14:paraId="10C6B498" w14:textId="77777777" w:rsidR="003F4657" w:rsidRPr="003F4657" w:rsidRDefault="003F4657" w:rsidP="003F4657">
      <w:pPr>
        <w:spacing w:after="0" w:line="240" w:lineRule="auto"/>
        <w:jc w:val="both"/>
        <w:rPr>
          <w:rFonts w:ascii="Arial" w:hAnsi="Arial" w:cs="Arial"/>
          <w:sz w:val="20"/>
          <w:szCs w:val="20"/>
        </w:rPr>
      </w:pPr>
      <w:r w:rsidRPr="003F4657">
        <w:rPr>
          <w:rFonts w:ascii="Arial" w:hAnsi="Arial" w:cs="Arial"/>
          <w:sz w:val="20"/>
          <w:szCs w:val="20"/>
        </w:rPr>
        <w:t>Rashodi 2025. su izvršeni u iznosu 9.200 € i odnose se na:</w:t>
      </w:r>
    </w:p>
    <w:p w14:paraId="320AEF8E" w14:textId="77777777" w:rsidR="003F4657" w:rsidRPr="003F4657" w:rsidRDefault="003F4657">
      <w:pPr>
        <w:numPr>
          <w:ilvl w:val="0"/>
          <w:numId w:val="3"/>
        </w:numPr>
        <w:spacing w:after="0" w:line="240" w:lineRule="auto"/>
        <w:ind w:left="567" w:hanging="567"/>
        <w:jc w:val="both"/>
        <w:rPr>
          <w:rFonts w:ascii="Arial" w:hAnsi="Arial" w:cs="Arial"/>
          <w:sz w:val="20"/>
          <w:szCs w:val="20"/>
        </w:rPr>
      </w:pPr>
      <w:r w:rsidRPr="003F4657">
        <w:rPr>
          <w:rFonts w:ascii="Arial" w:hAnsi="Arial" w:cs="Arial"/>
          <w:sz w:val="20"/>
          <w:szCs w:val="20"/>
        </w:rPr>
        <w:t>tucanik za vrtnu stazu oko mauzoleja Račić u Cavtatu u iznosu 4.600 €,</w:t>
      </w:r>
    </w:p>
    <w:p w14:paraId="6894F59A" w14:textId="77777777" w:rsidR="003F4657" w:rsidRPr="003F4657" w:rsidRDefault="003F4657">
      <w:pPr>
        <w:numPr>
          <w:ilvl w:val="0"/>
          <w:numId w:val="3"/>
        </w:numPr>
        <w:spacing w:after="0" w:line="240" w:lineRule="auto"/>
        <w:ind w:left="567" w:hanging="567"/>
        <w:jc w:val="both"/>
        <w:rPr>
          <w:rFonts w:ascii="Arial" w:hAnsi="Arial" w:cs="Arial"/>
          <w:sz w:val="20"/>
          <w:szCs w:val="20"/>
        </w:rPr>
      </w:pPr>
      <w:r w:rsidRPr="003F4657">
        <w:rPr>
          <w:rFonts w:ascii="Arial" w:hAnsi="Arial" w:cs="Arial"/>
          <w:sz w:val="20"/>
          <w:szCs w:val="20"/>
        </w:rPr>
        <w:t>izradu idejnog projekta s 3D vizualizacijom u iznosu 4.600 € (ugovor iz veljače 2024. u iznosu 11.500 € za izradu projektne dokumentacije za uređenje prostora oko mauzoleja Račić i groblja Svetog Roka u Cavtatu: izrada idejnog projekta, ishođenje posebnih uvjeta, glavni projekt – arhitektonski projekt, projekt konstrukcije, projekt instalacije vodovoda i kanalizacije, projekt elektrotehničkih instalacija, elaborat krajobraznog uređenja; troškovnih građevinsko obrtničkih radova, te ishođenje potvrda na glavni projekt). U 2024. godini su bili izvršeni rashodi z iznosu 6.900 €, te je u 2025. godini u cijelosti izvršen.</w:t>
      </w:r>
    </w:p>
    <w:p w14:paraId="002E718C" w14:textId="77777777" w:rsidR="003F4657" w:rsidRPr="003F4657" w:rsidRDefault="003F4657" w:rsidP="00184A8E">
      <w:pPr>
        <w:spacing w:after="0" w:line="240" w:lineRule="auto"/>
        <w:jc w:val="both"/>
        <w:rPr>
          <w:rFonts w:ascii="Arial" w:eastAsia="Calibri" w:hAnsi="Arial" w:cs="Arial"/>
          <w:sz w:val="18"/>
          <w:szCs w:val="18"/>
          <w:lang w:eastAsia="en-US"/>
        </w:rPr>
      </w:pPr>
    </w:p>
    <w:tbl>
      <w:tblPr>
        <w:tblStyle w:val="Reetkatablice5368"/>
        <w:tblW w:w="13991" w:type="dxa"/>
        <w:jc w:val="center"/>
        <w:tblLayout w:type="fixed"/>
        <w:tblLook w:val="04A0" w:firstRow="1" w:lastRow="0" w:firstColumn="1" w:lastColumn="0" w:noHBand="0" w:noVBand="1"/>
      </w:tblPr>
      <w:tblGrid>
        <w:gridCol w:w="2547"/>
        <w:gridCol w:w="3118"/>
        <w:gridCol w:w="958"/>
        <w:gridCol w:w="1134"/>
        <w:gridCol w:w="1232"/>
        <w:gridCol w:w="1276"/>
        <w:gridCol w:w="1242"/>
        <w:gridCol w:w="1242"/>
        <w:gridCol w:w="1242"/>
      </w:tblGrid>
      <w:tr w:rsidR="00184A8E" w:rsidRPr="00184A8E" w14:paraId="75E4D275" w14:textId="77777777" w:rsidTr="00410A4B">
        <w:trPr>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CB812CB"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11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CB5E7CA"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989F565"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C97E256"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9D2AB06" w14:textId="2CF3018E"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3F4657">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1F7DE58" w14:textId="439FAB4E"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3F4657">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D19B5A6" w14:textId="264F726F"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3F4657">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E5A9FC8" w14:textId="1DCFF589"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3F4657">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5B0ACDF" w14:textId="24A7D9CC"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3F4657">
              <w:rPr>
                <w:rFonts w:ascii="Arial" w:eastAsia="Calibri" w:hAnsi="Arial" w:cs="Arial"/>
              </w:rPr>
              <w:t>7</w:t>
            </w:r>
            <w:r w:rsidRPr="00184A8E">
              <w:rPr>
                <w:rFonts w:ascii="Arial" w:eastAsia="Calibri" w:hAnsi="Arial" w:cs="Arial"/>
              </w:rPr>
              <w:t>.</w:t>
            </w:r>
          </w:p>
        </w:tc>
      </w:tr>
      <w:tr w:rsidR="00184A8E" w:rsidRPr="00184A8E" w14:paraId="4674EC7E" w14:textId="77777777" w:rsidTr="00410A4B">
        <w:trPr>
          <w:trHeight w:val="273"/>
          <w:jc w:val="center"/>
        </w:trPr>
        <w:tc>
          <w:tcPr>
            <w:tcW w:w="2547" w:type="dxa"/>
            <w:tcBorders>
              <w:top w:val="single" w:sz="4" w:space="0" w:color="auto"/>
              <w:left w:val="single" w:sz="4" w:space="0" w:color="auto"/>
              <w:bottom w:val="single" w:sz="4" w:space="0" w:color="auto"/>
              <w:right w:val="single" w:sz="4" w:space="0" w:color="auto"/>
            </w:tcBorders>
            <w:vAlign w:val="center"/>
          </w:tcPr>
          <w:p w14:paraId="666ABE79" w14:textId="77777777" w:rsidR="00184A8E" w:rsidRPr="00184A8E" w:rsidRDefault="00184A8E" w:rsidP="00184A8E">
            <w:pPr>
              <w:rPr>
                <w:rFonts w:ascii="Arial" w:hAnsi="Arial" w:cs="Arial"/>
                <w:sz w:val="18"/>
                <w:szCs w:val="18"/>
              </w:rPr>
            </w:pPr>
            <w:r w:rsidRPr="00184A8E">
              <w:rPr>
                <w:rFonts w:ascii="Arial" w:eastAsia="Calibri" w:hAnsi="Arial" w:cs="Arial"/>
                <w:iCs/>
                <w:sz w:val="18"/>
                <w:szCs w:val="18"/>
              </w:rPr>
              <w:t>Utrošena sredstva za uređenje okoliša Mauzoleja Račić s izgradnjom grobnice</w:t>
            </w:r>
          </w:p>
        </w:tc>
        <w:tc>
          <w:tcPr>
            <w:tcW w:w="3118" w:type="dxa"/>
            <w:tcBorders>
              <w:top w:val="single" w:sz="4" w:space="0" w:color="auto"/>
              <w:left w:val="single" w:sz="4" w:space="0" w:color="auto"/>
              <w:bottom w:val="single" w:sz="4" w:space="0" w:color="auto"/>
              <w:right w:val="single" w:sz="4" w:space="0" w:color="auto"/>
            </w:tcBorders>
            <w:vAlign w:val="center"/>
          </w:tcPr>
          <w:p w14:paraId="281A1E6C" w14:textId="77777777" w:rsidR="00184A8E" w:rsidRPr="00184A8E" w:rsidRDefault="00184A8E" w:rsidP="00184A8E">
            <w:pPr>
              <w:autoSpaceDE w:val="0"/>
              <w:autoSpaceDN w:val="0"/>
              <w:adjustRightInd w:val="0"/>
              <w:rPr>
                <w:rFonts w:ascii="Arial" w:hAnsi="Arial" w:cs="Arial"/>
                <w:sz w:val="18"/>
                <w:szCs w:val="18"/>
              </w:rPr>
            </w:pPr>
            <w:r w:rsidRPr="00184A8E">
              <w:rPr>
                <w:rFonts w:ascii="Arial" w:eastAsia="Calibri" w:hAnsi="Arial" w:cs="Arial"/>
                <w:sz w:val="18"/>
                <w:szCs w:val="18"/>
              </w:rPr>
              <w:t xml:space="preserve">Udio utrošenih planiranih sredstava za </w:t>
            </w:r>
            <w:r w:rsidRPr="00184A8E">
              <w:rPr>
                <w:rFonts w:ascii="Arial" w:eastAsia="Calibri" w:hAnsi="Arial" w:cs="Arial"/>
                <w:iCs/>
                <w:sz w:val="18"/>
                <w:szCs w:val="18"/>
              </w:rPr>
              <w:t>uređenje</w:t>
            </w:r>
          </w:p>
        </w:tc>
        <w:tc>
          <w:tcPr>
            <w:tcW w:w="958" w:type="dxa"/>
            <w:tcBorders>
              <w:top w:val="single" w:sz="4" w:space="0" w:color="auto"/>
              <w:left w:val="single" w:sz="4" w:space="0" w:color="auto"/>
              <w:bottom w:val="single" w:sz="4" w:space="0" w:color="auto"/>
              <w:right w:val="single" w:sz="4" w:space="0" w:color="auto"/>
            </w:tcBorders>
            <w:vAlign w:val="center"/>
          </w:tcPr>
          <w:p w14:paraId="0D0DCF62" w14:textId="77777777" w:rsidR="00184A8E" w:rsidRPr="00184A8E" w:rsidRDefault="00184A8E" w:rsidP="00184A8E">
            <w:pPr>
              <w:jc w:val="center"/>
              <w:rPr>
                <w:rFonts w:ascii="Arial" w:hAnsi="Arial" w:cs="Arial"/>
              </w:rPr>
            </w:pPr>
            <w:r w:rsidRPr="00184A8E">
              <w:rPr>
                <w:rFonts w:ascii="Arial" w:eastAsia="Calibri"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65D99447"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71A520A" w14:textId="6A487DD1" w:rsidR="00184A8E" w:rsidRPr="00184A8E" w:rsidRDefault="003F4657" w:rsidP="00184A8E">
            <w:pPr>
              <w:jc w:val="center"/>
              <w:rPr>
                <w:rFonts w:ascii="Arial" w:hAnsi="Arial" w:cs="Arial"/>
              </w:rPr>
            </w:pPr>
            <w:r>
              <w:rPr>
                <w:rFonts w:ascii="Arial" w:eastAsia="Calibri" w:hAnsi="Arial" w:cs="Arial"/>
              </w:rPr>
              <w:t>36</w:t>
            </w:r>
            <w:r w:rsidR="00184A8E" w:rsidRPr="00184A8E">
              <w:rPr>
                <w:rFonts w:ascii="Arial" w:eastAsia="Calibri" w:hAnsi="Arial" w:cs="Arial"/>
              </w:rPr>
              <w:t>%</w:t>
            </w:r>
          </w:p>
        </w:tc>
        <w:tc>
          <w:tcPr>
            <w:tcW w:w="1276" w:type="dxa"/>
            <w:tcBorders>
              <w:top w:val="single" w:sz="4" w:space="0" w:color="auto"/>
              <w:left w:val="single" w:sz="4" w:space="0" w:color="auto"/>
              <w:bottom w:val="single" w:sz="4" w:space="0" w:color="auto"/>
              <w:right w:val="single" w:sz="4" w:space="0" w:color="auto"/>
            </w:tcBorders>
            <w:vAlign w:val="center"/>
          </w:tcPr>
          <w:p w14:paraId="77CA3933" w14:textId="77777777" w:rsidR="00184A8E" w:rsidRPr="00184A8E" w:rsidRDefault="00184A8E" w:rsidP="00184A8E">
            <w:pPr>
              <w:jc w:val="center"/>
              <w:rPr>
                <w:rFonts w:ascii="Arial" w:hAnsi="Arial" w:cs="Arial"/>
              </w:rPr>
            </w:pPr>
            <w:r w:rsidRPr="00184A8E">
              <w:rPr>
                <w:rFonts w:ascii="Arial" w:eastAsia="Calibri"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24014520" w14:textId="15AC64F5" w:rsidR="00184A8E" w:rsidRPr="00184A8E" w:rsidRDefault="003F4657" w:rsidP="00184A8E">
            <w:pPr>
              <w:jc w:val="center"/>
              <w:rPr>
                <w:rFonts w:ascii="Arial" w:eastAsia="Calibri" w:hAnsi="Arial" w:cs="Arial"/>
              </w:rPr>
            </w:pPr>
            <w:r>
              <w:rPr>
                <w:rFonts w:ascii="Arial" w:eastAsia="Calibri" w:hAnsi="Arial" w:cs="Arial"/>
              </w:rPr>
              <w:t>92</w:t>
            </w:r>
            <w:r w:rsidR="00184A8E"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5FC5B02B" w14:textId="77777777" w:rsidR="00184A8E" w:rsidRPr="00184A8E" w:rsidRDefault="00184A8E" w:rsidP="00184A8E">
            <w:pPr>
              <w:jc w:val="center"/>
              <w:rPr>
                <w:rFonts w:ascii="Arial" w:hAnsi="Arial" w:cs="Arial"/>
              </w:rPr>
            </w:pPr>
            <w:r w:rsidRPr="00184A8E">
              <w:rPr>
                <w:rFonts w:ascii="Arial" w:eastAsia="Calibri"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3E044FC4" w14:textId="77777777" w:rsidR="00184A8E" w:rsidRPr="00184A8E" w:rsidRDefault="00184A8E" w:rsidP="00184A8E">
            <w:pPr>
              <w:jc w:val="center"/>
              <w:rPr>
                <w:rFonts w:ascii="Arial" w:hAnsi="Arial" w:cs="Arial"/>
              </w:rPr>
            </w:pPr>
            <w:r w:rsidRPr="00184A8E">
              <w:rPr>
                <w:rFonts w:ascii="Arial" w:hAnsi="Arial" w:cs="Arial"/>
              </w:rPr>
              <w:t>0</w:t>
            </w:r>
          </w:p>
        </w:tc>
      </w:tr>
    </w:tbl>
    <w:p w14:paraId="0EA172E5" w14:textId="77777777" w:rsidR="00184A8E" w:rsidRPr="00184A8E" w:rsidRDefault="00184A8E" w:rsidP="00184A8E">
      <w:pPr>
        <w:spacing w:after="0" w:line="240" w:lineRule="auto"/>
        <w:jc w:val="both"/>
        <w:rPr>
          <w:rFonts w:ascii="Arial" w:eastAsia="Calibri" w:hAnsi="Arial" w:cs="Arial"/>
          <w:sz w:val="20"/>
          <w:szCs w:val="20"/>
        </w:rPr>
      </w:pPr>
    </w:p>
    <w:p w14:paraId="62C17BDA" w14:textId="606C0945" w:rsidR="00184A8E" w:rsidRPr="00184A8E" w:rsidRDefault="00184A8E" w:rsidP="00184A8E">
      <w:pPr>
        <w:spacing w:after="0" w:line="240" w:lineRule="auto"/>
        <w:jc w:val="both"/>
        <w:rPr>
          <w:rFonts w:ascii="Arial" w:eastAsia="Calibri" w:hAnsi="Arial" w:cs="Arial"/>
          <w:sz w:val="20"/>
          <w:szCs w:val="20"/>
          <w:lang w:eastAsia="en-US"/>
        </w:rPr>
      </w:pPr>
      <w:bookmarkStart w:id="549" w:name="_Hlk198905495"/>
      <w:r w:rsidRPr="00184A8E">
        <w:rPr>
          <w:rFonts w:ascii="Arial" w:eastAsia="Calibri" w:hAnsi="Arial" w:cs="Arial"/>
          <w:b/>
          <w:sz w:val="20"/>
          <w:szCs w:val="20"/>
          <w:lang w:eastAsia="en-US"/>
        </w:rPr>
        <w:t>16. T209223: Cesta Prahivac</w:t>
      </w:r>
      <w:r w:rsidR="00FC335E">
        <w:rPr>
          <w:rFonts w:ascii="Arial" w:eastAsia="Calibri" w:hAnsi="Arial" w:cs="Arial"/>
          <w:b/>
          <w:sz w:val="20"/>
          <w:szCs w:val="20"/>
          <w:lang w:eastAsia="en-US"/>
        </w:rPr>
        <w:t xml:space="preserve"> - Epidaurus</w:t>
      </w:r>
      <w:r w:rsidRPr="00184A8E">
        <w:rPr>
          <w:rFonts w:ascii="Arial" w:eastAsia="Calibri" w:hAnsi="Arial" w:cs="Arial"/>
          <w:b/>
          <w:sz w:val="20"/>
          <w:szCs w:val="20"/>
          <w:lang w:eastAsia="en-US"/>
        </w:rPr>
        <w:t xml:space="preserve"> </w:t>
      </w:r>
      <w:r w:rsidRPr="00184A8E">
        <w:rPr>
          <w:rFonts w:ascii="Arial" w:eastAsia="Calibri" w:hAnsi="Arial" w:cs="Arial"/>
          <w:sz w:val="20"/>
          <w:szCs w:val="20"/>
          <w:lang w:eastAsia="en-US"/>
        </w:rPr>
        <w:t xml:space="preserve"> </w:t>
      </w:r>
      <w:r w:rsidR="00FC335E" w:rsidRPr="00FC335E">
        <w:rPr>
          <w:rFonts w:ascii="Arial" w:eastAsia="Calibri" w:hAnsi="Arial" w:cs="Arial"/>
          <w:sz w:val="20"/>
          <w:szCs w:val="20"/>
          <w:lang w:eastAsia="en-US"/>
        </w:rPr>
        <w:t xml:space="preserve">u sklopu projekta planira se uknjižba zemljišta, te rekonstrukcija i sanacija ceste. </w:t>
      </w:r>
      <w:r w:rsidR="00FC335E">
        <w:rPr>
          <w:rFonts w:ascii="Arial" w:eastAsia="Calibri" w:hAnsi="Arial" w:cs="Arial"/>
          <w:sz w:val="20"/>
          <w:szCs w:val="20"/>
          <w:lang w:eastAsia="en-US"/>
        </w:rPr>
        <w:t>R</w:t>
      </w:r>
      <w:r w:rsidRPr="00184A8E">
        <w:rPr>
          <w:rFonts w:ascii="Arial" w:eastAsia="Calibri" w:hAnsi="Arial" w:cs="Arial"/>
          <w:sz w:val="20"/>
          <w:szCs w:val="20"/>
          <w:lang w:eastAsia="en-US"/>
        </w:rPr>
        <w:t xml:space="preserve">ashodi su planirani u iznosu </w:t>
      </w:r>
      <w:r w:rsidR="00FC335E">
        <w:rPr>
          <w:rFonts w:ascii="Arial" w:eastAsia="Calibri" w:hAnsi="Arial" w:cs="Arial"/>
          <w:sz w:val="20"/>
          <w:szCs w:val="20"/>
          <w:lang w:eastAsia="en-US"/>
        </w:rPr>
        <w:t>47.375</w:t>
      </w:r>
      <w:r w:rsidRPr="00184A8E">
        <w:rPr>
          <w:rFonts w:ascii="Arial" w:eastAsia="Calibri" w:hAnsi="Arial" w:cs="Arial"/>
          <w:sz w:val="20"/>
          <w:szCs w:val="20"/>
          <w:lang w:eastAsia="en-US"/>
        </w:rPr>
        <w:t xml:space="preserve"> €, a izvršeni</w:t>
      </w:r>
      <w:r w:rsidR="00FC335E">
        <w:rPr>
          <w:rFonts w:ascii="Arial" w:eastAsia="Calibri" w:hAnsi="Arial" w:cs="Arial"/>
          <w:sz w:val="20"/>
          <w:szCs w:val="20"/>
          <w:lang w:eastAsia="en-US"/>
        </w:rPr>
        <w:t xml:space="preserve"> su u iznosu 40.250 € ili 85%.</w:t>
      </w:r>
      <w:r w:rsidRPr="00184A8E">
        <w:rPr>
          <w:rFonts w:ascii="Arial" w:eastAsia="Calibri" w:hAnsi="Arial" w:cs="Arial"/>
          <w:sz w:val="20"/>
          <w:szCs w:val="20"/>
          <w:lang w:eastAsia="en-US"/>
        </w:rPr>
        <w:t xml:space="preserve"> </w:t>
      </w:r>
    </w:p>
    <w:bookmarkEnd w:id="549"/>
    <w:p w14:paraId="33B95108" w14:textId="77777777" w:rsidR="00184A8E" w:rsidRPr="00184A8E" w:rsidRDefault="00184A8E" w:rsidP="00184A8E">
      <w:pPr>
        <w:spacing w:after="0" w:line="240" w:lineRule="auto"/>
        <w:jc w:val="both"/>
        <w:rPr>
          <w:rFonts w:ascii="Arial" w:eastAsia="Calibri" w:hAnsi="Arial" w:cs="Arial"/>
          <w:sz w:val="20"/>
          <w:szCs w:val="20"/>
          <w:lang w:eastAsia="en-US"/>
        </w:rPr>
      </w:pPr>
    </w:p>
    <w:p w14:paraId="67667CE4"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U 2019. godini rashodi su bili izvršeni u iznosu 37.500 kn / 4.977.11 € i odnosili su se na izradu geodetskog elaborata ceste k.o. Obod Prahivac – Robinzon.</w:t>
      </w:r>
    </w:p>
    <w:p w14:paraId="61D220A0" w14:textId="77777777" w:rsidR="00184A8E" w:rsidRPr="00184A8E" w:rsidRDefault="00184A8E" w:rsidP="00184A8E">
      <w:pPr>
        <w:spacing w:after="0" w:line="240" w:lineRule="auto"/>
        <w:jc w:val="both"/>
        <w:rPr>
          <w:rFonts w:ascii="Arial" w:eastAsia="Calibri" w:hAnsi="Arial" w:cs="Arial"/>
          <w:sz w:val="20"/>
          <w:szCs w:val="20"/>
          <w:lang w:eastAsia="en-US"/>
        </w:rPr>
      </w:pPr>
    </w:p>
    <w:p w14:paraId="553A863F" w14:textId="77777777" w:rsidR="00184A8E" w:rsidRPr="00FC335E" w:rsidRDefault="00184A8E" w:rsidP="00FC335E">
      <w:pPr>
        <w:spacing w:after="0" w:line="240" w:lineRule="auto"/>
        <w:ind w:left="567"/>
        <w:jc w:val="both"/>
        <w:rPr>
          <w:rFonts w:ascii="Arial" w:eastAsia="Calibri" w:hAnsi="Arial" w:cs="Arial"/>
          <w:sz w:val="18"/>
          <w:szCs w:val="18"/>
          <w:lang w:eastAsia="en-US"/>
        </w:rPr>
      </w:pPr>
      <w:r w:rsidRPr="00FC335E">
        <w:rPr>
          <w:rFonts w:ascii="Arial" w:eastAsia="Calibri" w:hAnsi="Arial" w:cs="Arial"/>
          <w:sz w:val="18"/>
          <w:szCs w:val="18"/>
          <w:lang w:eastAsia="en-US"/>
        </w:rPr>
        <w:t>Ugovor za izradu projektne dokumentacije – glavni projekt za potrebe ishođenja građevinske dozvole i priloga za ugovaranje i izvedbu radova za zahvat rekonstrukcije raskrižja na državnoj cesti D8, dionica 29+, od km 9-300 do km 9-600, na lokaciji Prahivac zaključen je u listopadu 2024. godine u iznosu 12.875 € .</w:t>
      </w:r>
    </w:p>
    <w:p w14:paraId="413CFCD9" w14:textId="77777777" w:rsidR="00184A8E" w:rsidRPr="00184A8E" w:rsidRDefault="00184A8E" w:rsidP="00FC335E">
      <w:pPr>
        <w:spacing w:after="0" w:line="240" w:lineRule="auto"/>
        <w:ind w:left="567"/>
        <w:jc w:val="both"/>
        <w:rPr>
          <w:rFonts w:ascii="Arial" w:eastAsia="Calibri" w:hAnsi="Arial" w:cs="Arial"/>
          <w:sz w:val="20"/>
          <w:szCs w:val="20"/>
          <w:lang w:eastAsia="en-US"/>
        </w:rPr>
      </w:pPr>
      <w:r w:rsidRPr="00FC335E">
        <w:rPr>
          <w:rFonts w:ascii="Arial" w:eastAsia="Calibri" w:hAnsi="Arial" w:cs="Arial"/>
          <w:sz w:val="18"/>
          <w:szCs w:val="18"/>
          <w:lang w:eastAsia="en-US"/>
        </w:rPr>
        <w:t>Ugovor za izradu projektne dokumentacije za izgradnju nerazvrstane ceste na lokaciji Prahivac zaključen je koncem prosinca 2024. u iznosu 27.375 €.</w:t>
      </w:r>
    </w:p>
    <w:p w14:paraId="5BBCE221" w14:textId="77777777" w:rsidR="00184A8E" w:rsidRPr="00FC335E" w:rsidRDefault="00184A8E" w:rsidP="00184A8E">
      <w:pPr>
        <w:spacing w:after="0" w:line="240" w:lineRule="auto"/>
        <w:jc w:val="both"/>
        <w:rPr>
          <w:rFonts w:ascii="Arial" w:eastAsia="Calibri" w:hAnsi="Arial" w:cs="Arial"/>
          <w:sz w:val="20"/>
          <w:szCs w:val="20"/>
          <w:lang w:eastAsia="en-US"/>
        </w:rPr>
      </w:pPr>
    </w:p>
    <w:p w14:paraId="3DCBE68D" w14:textId="6C90D8DE" w:rsidR="00FC335E" w:rsidRPr="00FC335E" w:rsidRDefault="00FC335E" w:rsidP="00FC335E">
      <w:pPr>
        <w:spacing w:after="0" w:line="240" w:lineRule="auto"/>
        <w:jc w:val="both"/>
        <w:rPr>
          <w:rFonts w:ascii="Arial" w:hAnsi="Arial" w:cs="Arial"/>
          <w:sz w:val="20"/>
          <w:szCs w:val="20"/>
        </w:rPr>
      </w:pPr>
      <w:r w:rsidRPr="00FC335E">
        <w:rPr>
          <w:rFonts w:ascii="Arial" w:hAnsi="Arial" w:cs="Arial"/>
          <w:sz w:val="20"/>
          <w:szCs w:val="20"/>
        </w:rPr>
        <w:t xml:space="preserve">Izvršeni rashodi </w:t>
      </w:r>
      <w:r>
        <w:rPr>
          <w:rFonts w:ascii="Arial" w:hAnsi="Arial" w:cs="Arial"/>
          <w:sz w:val="20"/>
          <w:szCs w:val="20"/>
        </w:rPr>
        <w:t xml:space="preserve">u 2025. godini iznose </w:t>
      </w:r>
      <w:r w:rsidRPr="00FC335E">
        <w:rPr>
          <w:rFonts w:ascii="Arial" w:hAnsi="Arial" w:cs="Arial"/>
          <w:sz w:val="20"/>
          <w:szCs w:val="20"/>
        </w:rPr>
        <w:t xml:space="preserve">40.250 € </w:t>
      </w:r>
      <w:r>
        <w:rPr>
          <w:rFonts w:ascii="Arial" w:hAnsi="Arial" w:cs="Arial"/>
          <w:sz w:val="20"/>
          <w:szCs w:val="20"/>
        </w:rPr>
        <w:t xml:space="preserve">i odnose se </w:t>
      </w:r>
      <w:r w:rsidRPr="00FC335E">
        <w:rPr>
          <w:rFonts w:ascii="Arial" w:hAnsi="Arial" w:cs="Arial"/>
          <w:sz w:val="20"/>
          <w:szCs w:val="20"/>
        </w:rPr>
        <w:t>na:</w:t>
      </w:r>
    </w:p>
    <w:p w14:paraId="525879A0" w14:textId="0BDCBFC7" w:rsidR="00FC335E" w:rsidRPr="00FC335E" w:rsidRDefault="00FC335E">
      <w:pPr>
        <w:pStyle w:val="Odlomakpopisa"/>
        <w:numPr>
          <w:ilvl w:val="0"/>
          <w:numId w:val="3"/>
        </w:numPr>
        <w:ind w:left="567" w:hanging="567"/>
        <w:contextualSpacing/>
        <w:rPr>
          <w:rFonts w:ascii="Arial" w:hAnsi="Arial" w:cs="Arial"/>
        </w:rPr>
      </w:pPr>
      <w:r w:rsidRPr="00FC335E">
        <w:rPr>
          <w:rFonts w:ascii="Arial" w:hAnsi="Arial" w:cs="Arial"/>
        </w:rPr>
        <w:t>izradu projektne dokumentacije za izgradnju nerazvrstane ceste na lokaciji Prahovac - idejno rješenje u iznosu 13.750 €, te izrada idejnog projekta u iznosu 13.625 €,</w:t>
      </w:r>
    </w:p>
    <w:p w14:paraId="273ED721" w14:textId="77777777" w:rsidR="00FC335E" w:rsidRPr="00FC335E" w:rsidRDefault="00FC335E">
      <w:pPr>
        <w:pStyle w:val="Odlomakpopisa"/>
        <w:numPr>
          <w:ilvl w:val="0"/>
          <w:numId w:val="3"/>
        </w:numPr>
        <w:ind w:left="567" w:hanging="567"/>
        <w:contextualSpacing/>
        <w:rPr>
          <w:rFonts w:ascii="Arial" w:hAnsi="Arial" w:cs="Arial"/>
        </w:rPr>
      </w:pPr>
      <w:r w:rsidRPr="00FC335E">
        <w:rPr>
          <w:rFonts w:ascii="Arial" w:hAnsi="Arial" w:cs="Arial"/>
        </w:rPr>
        <w:t xml:space="preserve">izrada glavnog projekta za zahvat rekonstrukcije raskrižja na državnoj cesti D8 na lokaciji Prahivac u iznosu 12.875 € na temelju ugovora iz listopada 2024. </w:t>
      </w:r>
    </w:p>
    <w:p w14:paraId="09E1FDA2" w14:textId="77777777" w:rsidR="00FC335E" w:rsidRPr="00184A8E" w:rsidRDefault="00FC335E" w:rsidP="00184A8E">
      <w:pPr>
        <w:spacing w:after="0" w:line="240" w:lineRule="auto"/>
        <w:jc w:val="both"/>
        <w:rPr>
          <w:rFonts w:ascii="Arial" w:eastAsia="Calibri"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2263"/>
        <w:gridCol w:w="3402"/>
        <w:gridCol w:w="958"/>
        <w:gridCol w:w="1134"/>
        <w:gridCol w:w="1232"/>
        <w:gridCol w:w="1276"/>
        <w:gridCol w:w="1242"/>
        <w:gridCol w:w="1242"/>
        <w:gridCol w:w="1242"/>
      </w:tblGrid>
      <w:tr w:rsidR="00184A8E" w:rsidRPr="00184A8E" w14:paraId="5C94998C"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BFC79EB"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FDE10EC"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53C24CB"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F5C71A3"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88057A7" w14:textId="4188D5DA"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Polazna vrijednost 202</w:t>
            </w:r>
            <w:r w:rsidR="00FC335E">
              <w:rPr>
                <w:rFonts w:ascii="Arial" w:eastAsia="Calibri" w:hAnsi="Arial" w:cs="Arial"/>
                <w:sz w:val="18"/>
                <w:szCs w:val="18"/>
              </w:rPr>
              <w:t>4</w:t>
            </w:r>
            <w:r w:rsidRPr="00184A8E">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EAF688C" w14:textId="21AC7171"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FC335E">
              <w:rPr>
                <w:rFonts w:ascii="Arial" w:eastAsia="Calibri" w:hAnsi="Arial" w:cs="Arial"/>
                <w:sz w:val="18"/>
                <w:szCs w:val="18"/>
              </w:rPr>
              <w:t>5</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4ABC9F" w14:textId="6E1DED89"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Izvršeno 202</w:t>
            </w:r>
            <w:r w:rsidR="00FC335E">
              <w:rPr>
                <w:rFonts w:ascii="Arial" w:eastAsia="Calibri" w:hAnsi="Arial" w:cs="Arial"/>
                <w:sz w:val="18"/>
                <w:szCs w:val="18"/>
              </w:rPr>
              <w:t>5</w:t>
            </w:r>
            <w:r w:rsidRPr="00184A8E">
              <w:rPr>
                <w:rFonts w:ascii="Arial" w:eastAsia="Calibri" w:hAnsi="Arial" w:cs="Arial"/>
                <w:sz w:val="18"/>
                <w:szCs w:val="18"/>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032D99B" w14:textId="4CEE6FBA"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FC335E">
              <w:rPr>
                <w:rFonts w:ascii="Arial" w:eastAsia="Calibri" w:hAnsi="Arial" w:cs="Arial"/>
                <w:sz w:val="18"/>
                <w:szCs w:val="18"/>
              </w:rPr>
              <w:t>6</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9D2F1D6" w14:textId="446C0AFB"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FC335E">
              <w:rPr>
                <w:rFonts w:ascii="Arial" w:eastAsia="Calibri" w:hAnsi="Arial" w:cs="Arial"/>
                <w:sz w:val="18"/>
                <w:szCs w:val="18"/>
              </w:rPr>
              <w:t>7</w:t>
            </w:r>
            <w:r w:rsidRPr="00184A8E">
              <w:rPr>
                <w:rFonts w:ascii="Arial" w:eastAsia="Calibri" w:hAnsi="Arial" w:cs="Arial"/>
                <w:sz w:val="18"/>
                <w:szCs w:val="18"/>
              </w:rPr>
              <w:t>.</w:t>
            </w:r>
          </w:p>
        </w:tc>
      </w:tr>
      <w:tr w:rsidR="00FC335E" w:rsidRPr="00184A8E" w14:paraId="3FBA0986" w14:textId="77777777" w:rsidTr="003B468B">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4BD384E6" w14:textId="6C44E28B" w:rsidR="00FC335E" w:rsidRPr="00184A8E" w:rsidRDefault="00FC335E" w:rsidP="00FC335E">
            <w:pPr>
              <w:rPr>
                <w:rFonts w:ascii="Arial" w:hAnsi="Arial" w:cs="Arial"/>
                <w:sz w:val="18"/>
                <w:szCs w:val="18"/>
              </w:rPr>
            </w:pPr>
            <w:r w:rsidRPr="003D741C">
              <w:rPr>
                <w:rFonts w:ascii="Arial" w:eastAsia="Calibri" w:hAnsi="Arial" w:cs="Arial"/>
                <w:iCs/>
                <w:sz w:val="18"/>
                <w:szCs w:val="18"/>
              </w:rPr>
              <w:t>Utrošena sredstva izradu projekta izgradnje ceste</w:t>
            </w:r>
          </w:p>
        </w:tc>
        <w:tc>
          <w:tcPr>
            <w:tcW w:w="3402" w:type="dxa"/>
            <w:tcBorders>
              <w:top w:val="single" w:sz="4" w:space="0" w:color="auto"/>
              <w:left w:val="single" w:sz="4" w:space="0" w:color="auto"/>
              <w:bottom w:val="single" w:sz="4" w:space="0" w:color="auto"/>
              <w:right w:val="single" w:sz="4" w:space="0" w:color="auto"/>
            </w:tcBorders>
            <w:vAlign w:val="center"/>
          </w:tcPr>
          <w:p w14:paraId="0C9E3AC2" w14:textId="727DCCF3" w:rsidR="00FC335E" w:rsidRPr="00184A8E" w:rsidRDefault="00FC335E" w:rsidP="00FC335E">
            <w:pPr>
              <w:autoSpaceDE w:val="0"/>
              <w:autoSpaceDN w:val="0"/>
              <w:adjustRightInd w:val="0"/>
              <w:rPr>
                <w:rFonts w:ascii="Arial" w:hAnsi="Arial" w:cs="Arial"/>
                <w:sz w:val="18"/>
                <w:szCs w:val="18"/>
              </w:rPr>
            </w:pPr>
            <w:r w:rsidRPr="003D741C">
              <w:rPr>
                <w:rFonts w:ascii="Arial" w:eastAsia="Calibri" w:hAnsi="Arial" w:cs="Arial"/>
                <w:sz w:val="18"/>
                <w:szCs w:val="18"/>
              </w:rPr>
              <w:t>Udio utrošenih za projektiranje</w:t>
            </w:r>
          </w:p>
        </w:tc>
        <w:tc>
          <w:tcPr>
            <w:tcW w:w="958" w:type="dxa"/>
            <w:tcBorders>
              <w:top w:val="single" w:sz="4" w:space="0" w:color="auto"/>
              <w:left w:val="single" w:sz="4" w:space="0" w:color="auto"/>
              <w:bottom w:val="single" w:sz="4" w:space="0" w:color="auto"/>
              <w:right w:val="single" w:sz="4" w:space="0" w:color="auto"/>
            </w:tcBorders>
            <w:vAlign w:val="center"/>
          </w:tcPr>
          <w:p w14:paraId="2D40D7BB" w14:textId="49529877" w:rsidR="00FC335E" w:rsidRPr="00184A8E" w:rsidRDefault="00FC335E" w:rsidP="00FC335E">
            <w:pPr>
              <w:jc w:val="center"/>
              <w:rPr>
                <w:rFonts w:ascii="Arial" w:hAnsi="Arial" w:cs="Arial"/>
                <w:sz w:val="18"/>
                <w:szCs w:val="18"/>
              </w:rPr>
            </w:pPr>
            <w:r w:rsidRPr="003D741C">
              <w:rPr>
                <w:rFonts w:ascii="Arial" w:eastAsia="Calibri"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BA0DDB4" w14:textId="7515A82B" w:rsidR="00FC335E" w:rsidRPr="00184A8E" w:rsidRDefault="00FC335E" w:rsidP="00FC335E">
            <w:pPr>
              <w:jc w:val="center"/>
              <w:rPr>
                <w:rFonts w:ascii="Arial" w:hAnsi="Arial" w:cs="Arial"/>
                <w:sz w:val="18"/>
                <w:szCs w:val="18"/>
              </w:rPr>
            </w:pPr>
            <w:r w:rsidRPr="003D741C">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556601C7" w14:textId="1570635C" w:rsidR="00FC335E" w:rsidRPr="00184A8E" w:rsidRDefault="00FC335E" w:rsidP="00FC335E">
            <w:pPr>
              <w:jc w:val="center"/>
              <w:rPr>
                <w:rFonts w:ascii="Arial" w:hAnsi="Arial" w:cs="Arial"/>
                <w:sz w:val="18"/>
                <w:szCs w:val="18"/>
              </w:rPr>
            </w:pPr>
            <w:r w:rsidRPr="003D741C">
              <w:rPr>
                <w:rFonts w:ascii="Arial" w:eastAsia="Calibri" w:hAnsi="Arial" w:cs="Arial"/>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455F22C2" w14:textId="58F89ACE" w:rsidR="00FC335E" w:rsidRPr="00184A8E" w:rsidRDefault="00DE47A0" w:rsidP="00FC335E">
            <w:pPr>
              <w:jc w:val="center"/>
              <w:rPr>
                <w:rFonts w:ascii="Arial" w:hAnsi="Arial" w:cs="Arial"/>
                <w:sz w:val="18"/>
                <w:szCs w:val="18"/>
              </w:rPr>
            </w:pPr>
            <w:r>
              <w:rPr>
                <w:rFonts w:ascii="Arial" w:eastAsia="Calibri" w:hAnsi="Arial" w:cs="Arial"/>
                <w:sz w:val="18"/>
                <w:szCs w:val="18"/>
              </w:rPr>
              <w:t>100</w:t>
            </w:r>
          </w:p>
        </w:tc>
        <w:tc>
          <w:tcPr>
            <w:tcW w:w="1242" w:type="dxa"/>
            <w:tcBorders>
              <w:top w:val="single" w:sz="4" w:space="0" w:color="auto"/>
              <w:left w:val="single" w:sz="4" w:space="0" w:color="auto"/>
              <w:bottom w:val="single" w:sz="4" w:space="0" w:color="auto"/>
              <w:right w:val="single" w:sz="4" w:space="0" w:color="auto"/>
            </w:tcBorders>
            <w:vAlign w:val="center"/>
          </w:tcPr>
          <w:p w14:paraId="6DC542CB" w14:textId="019CE08E" w:rsidR="00FC335E" w:rsidRPr="00184A8E" w:rsidRDefault="00FC335E" w:rsidP="00FC335E">
            <w:pPr>
              <w:jc w:val="center"/>
              <w:rPr>
                <w:rFonts w:ascii="Arial" w:eastAsia="Calibri" w:hAnsi="Arial" w:cs="Arial"/>
                <w:sz w:val="18"/>
                <w:szCs w:val="18"/>
              </w:rPr>
            </w:pPr>
            <w:r w:rsidRPr="003D741C">
              <w:rPr>
                <w:rFonts w:ascii="Arial" w:eastAsia="Calibri"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43A0492D" w14:textId="34414880" w:rsidR="00FC335E" w:rsidRPr="00184A8E" w:rsidRDefault="00FC335E" w:rsidP="00FC335E">
            <w:pPr>
              <w:jc w:val="center"/>
              <w:rPr>
                <w:rFonts w:ascii="Arial" w:hAnsi="Arial" w:cs="Arial"/>
                <w:sz w:val="18"/>
                <w:szCs w:val="18"/>
              </w:rPr>
            </w:pPr>
            <w:r w:rsidRPr="003D741C">
              <w:rPr>
                <w:rFonts w:ascii="Arial" w:eastAsia="Calibri"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77241EAF" w14:textId="25B5A98B" w:rsidR="00FC335E" w:rsidRPr="00184A8E" w:rsidRDefault="00FC335E" w:rsidP="00FC335E">
            <w:pPr>
              <w:jc w:val="center"/>
              <w:rPr>
                <w:rFonts w:ascii="Arial" w:hAnsi="Arial" w:cs="Arial"/>
                <w:sz w:val="18"/>
                <w:szCs w:val="18"/>
              </w:rPr>
            </w:pPr>
            <w:r w:rsidRPr="003D741C">
              <w:rPr>
                <w:rFonts w:ascii="Arial" w:hAnsi="Arial" w:cs="Arial"/>
                <w:sz w:val="18"/>
                <w:szCs w:val="18"/>
              </w:rPr>
              <w:t>0</w:t>
            </w:r>
          </w:p>
        </w:tc>
      </w:tr>
    </w:tbl>
    <w:p w14:paraId="5F0C2D86" w14:textId="77777777" w:rsidR="00184A8E" w:rsidRPr="00184A8E" w:rsidRDefault="00184A8E" w:rsidP="00184A8E">
      <w:pPr>
        <w:spacing w:after="0" w:line="240" w:lineRule="auto"/>
        <w:jc w:val="both"/>
        <w:rPr>
          <w:rFonts w:ascii="Arial" w:eastAsia="Calibri" w:hAnsi="Arial" w:cs="Arial"/>
          <w:sz w:val="20"/>
          <w:szCs w:val="20"/>
          <w:lang w:eastAsia="en-US"/>
        </w:rPr>
      </w:pPr>
    </w:p>
    <w:p w14:paraId="0BAC1A0D" w14:textId="3714B341" w:rsid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17. T209224: </w:t>
      </w:r>
      <w:bookmarkStart w:id="550" w:name="_Hlk198906352"/>
      <w:r w:rsidRPr="00184A8E">
        <w:rPr>
          <w:rFonts w:ascii="Arial" w:eastAsia="Calibri" w:hAnsi="Arial" w:cs="Arial"/>
          <w:b/>
          <w:sz w:val="20"/>
          <w:szCs w:val="20"/>
          <w:lang w:eastAsia="en-US"/>
        </w:rPr>
        <w:t xml:space="preserve">Javne prometne površine na kojima nije dopušten promet motornim vozilima – ulice, stube i sl. </w:t>
      </w:r>
      <w:r w:rsidRPr="00184A8E">
        <w:rPr>
          <w:rFonts w:ascii="Arial" w:eastAsia="Calibri" w:hAnsi="Arial" w:cs="Arial"/>
          <w:sz w:val="20"/>
          <w:szCs w:val="20"/>
          <w:lang w:eastAsia="en-US"/>
        </w:rPr>
        <w:t xml:space="preserve"> – u sklopu projekta su prvotno su bili planirani rashodi u iznosu 11.000 €. </w:t>
      </w:r>
      <w:bookmarkEnd w:id="550"/>
      <w:r w:rsidR="00DE47A0" w:rsidRPr="00DE47A0">
        <w:rPr>
          <w:rFonts w:ascii="Arial" w:eastAsia="Calibri" w:hAnsi="Arial" w:cs="Arial"/>
          <w:sz w:val="20"/>
          <w:szCs w:val="20"/>
          <w:lang w:eastAsia="en-US"/>
        </w:rPr>
        <w:t>Ovi rashodi se odnose na provedbu arheoloških istraživanja, te izradu glavnog projekta rekonstrukcije ulice kneza Domagoja, Cavtat. Rashodi nisu izvršeni jer je bilo dodatnih zahtjeva konzervatorskog odjela za druge elaborate zaštite konstrukcije nepokretnog kulturnog dobra - zaštita ostataka zida antičkog vodovoda uz Ulicu Kneza Domagoja u Cavtatu, k.č. 346 k.o. Cavtat.</w:t>
      </w:r>
    </w:p>
    <w:p w14:paraId="540EF4FE" w14:textId="77777777" w:rsidR="00DE47A0" w:rsidRPr="00184A8E" w:rsidRDefault="00DE47A0" w:rsidP="00184A8E">
      <w:pPr>
        <w:spacing w:after="0" w:line="240" w:lineRule="auto"/>
        <w:jc w:val="both"/>
        <w:rPr>
          <w:rFonts w:ascii="Arial" w:eastAsia="Calibri" w:hAnsi="Arial" w:cs="Arial"/>
          <w:sz w:val="20"/>
          <w:szCs w:val="20"/>
          <w:lang w:eastAsia="en-US"/>
        </w:rPr>
      </w:pPr>
    </w:p>
    <w:p w14:paraId="3AE473A2" w14:textId="77777777" w:rsidR="00184A8E" w:rsidRPr="00184A8E" w:rsidRDefault="00184A8E" w:rsidP="00184A8E">
      <w:pPr>
        <w:spacing w:after="0" w:line="240" w:lineRule="auto"/>
        <w:jc w:val="both"/>
        <w:rPr>
          <w:rFonts w:ascii="Arial" w:eastAsia="Calibri" w:hAnsi="Arial" w:cs="Arial"/>
          <w:sz w:val="20"/>
          <w:szCs w:val="20"/>
          <w:lang w:eastAsia="en-US"/>
        </w:rPr>
      </w:pPr>
    </w:p>
    <w:p w14:paraId="6934D482" w14:textId="0D7746BE" w:rsidR="00184A8E" w:rsidRPr="00184A8E" w:rsidRDefault="00184A8E" w:rsidP="00184A8E">
      <w:pPr>
        <w:spacing w:after="0" w:line="240" w:lineRule="auto"/>
        <w:jc w:val="both"/>
        <w:rPr>
          <w:rFonts w:ascii="Arial" w:eastAsia="Calibri" w:hAnsi="Arial" w:cs="Arial"/>
          <w:sz w:val="20"/>
          <w:szCs w:val="20"/>
          <w:lang w:eastAsia="en-US"/>
        </w:rPr>
      </w:pPr>
      <w:bookmarkStart w:id="551" w:name="_Hlk198906361"/>
      <w:r w:rsidRPr="00184A8E">
        <w:rPr>
          <w:rFonts w:ascii="Arial" w:eastAsia="Calibri" w:hAnsi="Arial" w:cs="Arial"/>
          <w:sz w:val="20"/>
          <w:szCs w:val="20"/>
          <w:lang w:eastAsia="en-US"/>
        </w:rPr>
        <w:t xml:space="preserve">U 2024. godini izvršeni rashodi </w:t>
      </w:r>
      <w:r w:rsidR="00DE47A0">
        <w:rPr>
          <w:rFonts w:ascii="Arial" w:eastAsia="Calibri" w:hAnsi="Arial" w:cs="Arial"/>
          <w:sz w:val="20"/>
          <w:szCs w:val="20"/>
          <w:lang w:eastAsia="en-US"/>
        </w:rPr>
        <w:t xml:space="preserve">35.337,50 € </w:t>
      </w:r>
      <w:r w:rsidR="001B6B5F">
        <w:rPr>
          <w:rFonts w:ascii="Arial" w:eastAsia="Calibri" w:hAnsi="Arial" w:cs="Arial"/>
          <w:sz w:val="20"/>
          <w:szCs w:val="20"/>
          <w:lang w:eastAsia="en-US"/>
        </w:rPr>
        <w:t xml:space="preserve">su se odnosili </w:t>
      </w:r>
      <w:r w:rsidRPr="00184A8E">
        <w:rPr>
          <w:rFonts w:ascii="Arial" w:eastAsia="Calibri" w:hAnsi="Arial" w:cs="Arial"/>
          <w:sz w:val="20"/>
          <w:szCs w:val="20"/>
          <w:lang w:eastAsia="en-US"/>
        </w:rPr>
        <w:t>na:</w:t>
      </w:r>
    </w:p>
    <w:p w14:paraId="2AC96415" w14:textId="77777777" w:rsidR="00184A8E" w:rsidRPr="00184A8E" w:rsidRDefault="00184A8E">
      <w:pPr>
        <w:numPr>
          <w:ilvl w:val="0"/>
          <w:numId w:val="3"/>
        </w:num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elaborat mjera zaštite konstrukcije nepokretnog kulturnog dobra - zaštita ostataka zida antičkog vodovoda uz Ulicu Kneza Domagoja u Cavtatu, k.č. 346 k.o. Cavtat u iznosu 3.062,50 €,</w:t>
      </w:r>
    </w:p>
    <w:p w14:paraId="0B113FD7" w14:textId="77777777" w:rsidR="00184A8E" w:rsidRPr="00184A8E" w:rsidRDefault="00184A8E">
      <w:pPr>
        <w:numPr>
          <w:ilvl w:val="0"/>
          <w:numId w:val="3"/>
        </w:num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izradu projektne dokumentacije za uređenje / sanaciju Ulice kneza Domagoja i Konavoske ulice u Cavtatu u iznosu 32.275 € (izrađeno idejno rješenje, glavni projekt, te troškovnik radova sukladno ugovoru iz prosinca 2023.).</w:t>
      </w:r>
    </w:p>
    <w:bookmarkEnd w:id="551"/>
    <w:p w14:paraId="2FCAD626"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2263"/>
        <w:gridCol w:w="3402"/>
        <w:gridCol w:w="958"/>
        <w:gridCol w:w="1134"/>
        <w:gridCol w:w="1232"/>
        <w:gridCol w:w="1276"/>
        <w:gridCol w:w="1242"/>
        <w:gridCol w:w="1242"/>
        <w:gridCol w:w="1242"/>
      </w:tblGrid>
      <w:tr w:rsidR="00184A8E" w:rsidRPr="00184A8E" w14:paraId="224469F2"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3864EBE"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28787D2"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47250FD"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099E19C"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A71067F" w14:textId="41C885B1"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DE47A0">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D131479" w14:textId="6FB23CF6" w:rsidR="00184A8E" w:rsidRPr="00184A8E" w:rsidRDefault="00184A8E" w:rsidP="00184A8E">
            <w:pPr>
              <w:jc w:val="center"/>
              <w:rPr>
                <w:rFonts w:ascii="Arial" w:eastAsia="Calibri" w:hAnsi="Arial" w:cs="Arial"/>
              </w:rPr>
            </w:pPr>
            <w:r w:rsidRPr="00184A8E">
              <w:rPr>
                <w:rFonts w:ascii="Arial" w:eastAsia="Calibri" w:hAnsi="Arial" w:cs="Arial"/>
              </w:rPr>
              <w:t>Ciljana vrijednost 20</w:t>
            </w:r>
            <w:r w:rsidR="00DE47A0">
              <w:rPr>
                <w:rFonts w:ascii="Arial" w:eastAsia="Calibri" w:hAnsi="Arial" w:cs="Arial"/>
              </w:rPr>
              <w:t>25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00533BC" w14:textId="6BD30B41"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DE47A0">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29E7B9B" w14:textId="7EDF54A3"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DE47A0">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4F8A7A7" w14:textId="3145FBED"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DE47A0">
              <w:rPr>
                <w:rFonts w:ascii="Arial" w:eastAsia="Calibri" w:hAnsi="Arial" w:cs="Arial"/>
              </w:rPr>
              <w:t>7</w:t>
            </w:r>
            <w:r w:rsidRPr="00184A8E">
              <w:rPr>
                <w:rFonts w:ascii="Arial" w:eastAsia="Calibri" w:hAnsi="Arial" w:cs="Arial"/>
              </w:rPr>
              <w:t>.</w:t>
            </w:r>
          </w:p>
        </w:tc>
      </w:tr>
      <w:tr w:rsidR="00184A8E" w:rsidRPr="00184A8E" w14:paraId="79CE2F73" w14:textId="77777777" w:rsidTr="00410A4B">
        <w:trPr>
          <w:trHeight w:val="273"/>
          <w:jc w:val="center"/>
        </w:trPr>
        <w:tc>
          <w:tcPr>
            <w:tcW w:w="2263" w:type="dxa"/>
            <w:vMerge w:val="restart"/>
            <w:tcBorders>
              <w:top w:val="single" w:sz="4" w:space="0" w:color="auto"/>
              <w:left w:val="single" w:sz="4" w:space="0" w:color="auto"/>
              <w:right w:val="single" w:sz="4" w:space="0" w:color="auto"/>
            </w:tcBorders>
            <w:vAlign w:val="center"/>
          </w:tcPr>
          <w:p w14:paraId="35A11CD7" w14:textId="77777777" w:rsidR="00184A8E" w:rsidRPr="00184A8E" w:rsidRDefault="00184A8E" w:rsidP="00184A8E">
            <w:pPr>
              <w:rPr>
                <w:rFonts w:ascii="Arial" w:hAnsi="Arial" w:cs="Arial"/>
                <w:sz w:val="18"/>
                <w:szCs w:val="18"/>
              </w:rPr>
            </w:pPr>
            <w:r w:rsidRPr="00184A8E">
              <w:rPr>
                <w:rFonts w:ascii="Arial" w:eastAsia="Calibri" w:hAnsi="Arial" w:cs="Arial"/>
                <w:iCs/>
                <w:sz w:val="18"/>
                <w:szCs w:val="18"/>
              </w:rPr>
              <w:t>Rekonstrukcija ulice kneza Domagoja</w:t>
            </w:r>
          </w:p>
        </w:tc>
        <w:tc>
          <w:tcPr>
            <w:tcW w:w="3402" w:type="dxa"/>
            <w:tcBorders>
              <w:top w:val="single" w:sz="4" w:space="0" w:color="auto"/>
              <w:left w:val="single" w:sz="4" w:space="0" w:color="auto"/>
              <w:bottom w:val="single" w:sz="4" w:space="0" w:color="auto"/>
              <w:right w:val="single" w:sz="4" w:space="0" w:color="auto"/>
            </w:tcBorders>
            <w:vAlign w:val="center"/>
          </w:tcPr>
          <w:p w14:paraId="00DC393A" w14:textId="77777777" w:rsidR="00184A8E" w:rsidRPr="00184A8E" w:rsidRDefault="00184A8E" w:rsidP="00184A8E">
            <w:pPr>
              <w:autoSpaceDE w:val="0"/>
              <w:autoSpaceDN w:val="0"/>
              <w:adjustRightInd w:val="0"/>
              <w:rPr>
                <w:rFonts w:ascii="Arial" w:hAnsi="Arial" w:cs="Arial"/>
                <w:sz w:val="18"/>
                <w:szCs w:val="18"/>
              </w:rPr>
            </w:pPr>
            <w:r w:rsidRPr="00184A8E">
              <w:rPr>
                <w:rFonts w:ascii="Arial" w:eastAsia="Calibri" w:hAnsi="Arial" w:cs="Arial"/>
                <w:sz w:val="18"/>
                <w:szCs w:val="18"/>
              </w:rPr>
              <w:t>Izrađen glavni projekt</w:t>
            </w:r>
          </w:p>
        </w:tc>
        <w:tc>
          <w:tcPr>
            <w:tcW w:w="958" w:type="dxa"/>
            <w:tcBorders>
              <w:top w:val="single" w:sz="4" w:space="0" w:color="auto"/>
              <w:left w:val="single" w:sz="4" w:space="0" w:color="auto"/>
              <w:bottom w:val="single" w:sz="4" w:space="0" w:color="auto"/>
              <w:right w:val="single" w:sz="4" w:space="0" w:color="auto"/>
            </w:tcBorders>
            <w:vAlign w:val="center"/>
          </w:tcPr>
          <w:p w14:paraId="1B8C26BC" w14:textId="77777777" w:rsidR="00184A8E" w:rsidRPr="00184A8E" w:rsidRDefault="00184A8E" w:rsidP="00184A8E">
            <w:pPr>
              <w:jc w:val="center"/>
              <w:rPr>
                <w:rFonts w:ascii="Arial" w:hAnsi="Arial" w:cs="Arial"/>
              </w:rPr>
            </w:pPr>
            <w:r w:rsidRPr="00184A8E">
              <w:rPr>
                <w:rFonts w:ascii="Arial" w:eastAsia="Calibri" w:hAnsi="Arial" w:cs="Arial"/>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6AB6CAC5"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018DD00F" w14:textId="3DE530DE" w:rsidR="00184A8E" w:rsidRPr="00184A8E" w:rsidRDefault="00DE47A0" w:rsidP="00184A8E">
            <w:pPr>
              <w:jc w:val="center"/>
              <w:rPr>
                <w:rFonts w:ascii="Arial" w:hAnsi="Arial" w:cs="Arial"/>
              </w:rPr>
            </w:pPr>
            <w:r>
              <w:rPr>
                <w:rFonts w:ascii="Arial" w:eastAsia="Calibri" w:hAnsi="Arial" w:cs="Arial"/>
              </w:rPr>
              <w:t>1</w:t>
            </w:r>
          </w:p>
        </w:tc>
        <w:tc>
          <w:tcPr>
            <w:tcW w:w="1276" w:type="dxa"/>
            <w:tcBorders>
              <w:top w:val="single" w:sz="4" w:space="0" w:color="auto"/>
              <w:left w:val="single" w:sz="4" w:space="0" w:color="auto"/>
              <w:bottom w:val="single" w:sz="4" w:space="0" w:color="auto"/>
              <w:right w:val="single" w:sz="4" w:space="0" w:color="auto"/>
            </w:tcBorders>
            <w:vAlign w:val="center"/>
          </w:tcPr>
          <w:p w14:paraId="38737B35" w14:textId="77777777" w:rsidR="00184A8E" w:rsidRPr="00184A8E" w:rsidRDefault="00184A8E" w:rsidP="00184A8E">
            <w:pPr>
              <w:jc w:val="center"/>
              <w:rPr>
                <w:rFonts w:ascii="Arial" w:hAnsi="Arial" w:cs="Arial"/>
              </w:rPr>
            </w:pPr>
            <w:r w:rsidRPr="00184A8E">
              <w:rPr>
                <w:rFonts w:ascii="Arial" w:eastAsia="Calibri" w:hAnsi="Arial" w:cs="Arial"/>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414A7D17" w14:textId="77777777" w:rsidR="00184A8E" w:rsidRPr="00184A8E" w:rsidRDefault="00184A8E" w:rsidP="00184A8E">
            <w:pPr>
              <w:jc w:val="center"/>
              <w:rPr>
                <w:rFonts w:ascii="Arial" w:eastAsia="Calibri" w:hAnsi="Arial" w:cs="Arial"/>
              </w:rPr>
            </w:pPr>
            <w:r w:rsidRPr="00184A8E">
              <w:rPr>
                <w:rFonts w:ascii="Arial" w:eastAsia="Calibri" w:hAnsi="Arial" w:cs="Arial"/>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61ADC2AE" w14:textId="77777777" w:rsidR="00184A8E" w:rsidRPr="00184A8E" w:rsidRDefault="00184A8E" w:rsidP="00184A8E">
            <w:pPr>
              <w:jc w:val="center"/>
              <w:rPr>
                <w:rFonts w:ascii="Arial" w:hAnsi="Arial" w:cs="Arial"/>
              </w:rPr>
            </w:pPr>
            <w:r w:rsidRPr="00184A8E">
              <w:rPr>
                <w:rFonts w:ascii="Arial" w:eastAsia="Calibri"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6212798E" w14:textId="77777777" w:rsidR="00184A8E" w:rsidRPr="00184A8E" w:rsidRDefault="00184A8E" w:rsidP="00184A8E">
            <w:pPr>
              <w:jc w:val="center"/>
              <w:rPr>
                <w:rFonts w:ascii="Arial" w:hAnsi="Arial" w:cs="Arial"/>
              </w:rPr>
            </w:pPr>
            <w:r w:rsidRPr="00184A8E">
              <w:rPr>
                <w:rFonts w:ascii="Arial" w:hAnsi="Arial" w:cs="Arial"/>
              </w:rPr>
              <w:t>0</w:t>
            </w:r>
          </w:p>
        </w:tc>
      </w:tr>
      <w:tr w:rsidR="00184A8E" w:rsidRPr="00184A8E" w14:paraId="1D39C198" w14:textId="77777777" w:rsidTr="00410A4B">
        <w:trPr>
          <w:trHeight w:val="273"/>
          <w:jc w:val="center"/>
        </w:trPr>
        <w:tc>
          <w:tcPr>
            <w:tcW w:w="2263" w:type="dxa"/>
            <w:vMerge/>
            <w:tcBorders>
              <w:left w:val="single" w:sz="4" w:space="0" w:color="auto"/>
              <w:bottom w:val="single" w:sz="4" w:space="0" w:color="auto"/>
              <w:right w:val="single" w:sz="4" w:space="0" w:color="auto"/>
            </w:tcBorders>
            <w:vAlign w:val="center"/>
          </w:tcPr>
          <w:p w14:paraId="75FF3A12" w14:textId="77777777" w:rsidR="00184A8E" w:rsidRPr="00184A8E" w:rsidRDefault="00184A8E" w:rsidP="00184A8E">
            <w:pPr>
              <w:rPr>
                <w:rFonts w:ascii="Arial" w:eastAsia="Calibri" w:hAnsi="Arial" w:cs="Arial"/>
                <w:iCs/>
                <w:sz w:val="18"/>
                <w:szCs w:val="18"/>
              </w:rPr>
            </w:pPr>
          </w:p>
        </w:tc>
        <w:tc>
          <w:tcPr>
            <w:tcW w:w="3402" w:type="dxa"/>
            <w:tcBorders>
              <w:top w:val="single" w:sz="4" w:space="0" w:color="auto"/>
              <w:left w:val="single" w:sz="4" w:space="0" w:color="auto"/>
              <w:bottom w:val="single" w:sz="4" w:space="0" w:color="auto"/>
              <w:right w:val="single" w:sz="4" w:space="0" w:color="auto"/>
            </w:tcBorders>
            <w:vAlign w:val="center"/>
          </w:tcPr>
          <w:p w14:paraId="5B63C8F0" w14:textId="77777777" w:rsidR="00184A8E" w:rsidRPr="00184A8E" w:rsidRDefault="00184A8E" w:rsidP="00184A8E">
            <w:pPr>
              <w:autoSpaceDE w:val="0"/>
              <w:autoSpaceDN w:val="0"/>
              <w:adjustRightInd w:val="0"/>
              <w:rPr>
                <w:rFonts w:ascii="Arial" w:eastAsia="Calibri" w:hAnsi="Arial" w:cs="Arial"/>
                <w:sz w:val="18"/>
                <w:szCs w:val="18"/>
              </w:rPr>
            </w:pPr>
            <w:r w:rsidRPr="00184A8E">
              <w:rPr>
                <w:rFonts w:ascii="Arial" w:eastAsia="Calibri" w:hAnsi="Arial" w:cs="Arial"/>
                <w:sz w:val="18"/>
                <w:szCs w:val="18"/>
              </w:rPr>
              <w:t>Obavljena rekonstrukcija ulice</w:t>
            </w:r>
          </w:p>
        </w:tc>
        <w:tc>
          <w:tcPr>
            <w:tcW w:w="958" w:type="dxa"/>
            <w:tcBorders>
              <w:top w:val="single" w:sz="4" w:space="0" w:color="auto"/>
              <w:left w:val="single" w:sz="4" w:space="0" w:color="auto"/>
              <w:bottom w:val="single" w:sz="4" w:space="0" w:color="auto"/>
              <w:right w:val="single" w:sz="4" w:space="0" w:color="auto"/>
            </w:tcBorders>
            <w:vAlign w:val="center"/>
          </w:tcPr>
          <w:p w14:paraId="1E207788" w14:textId="77777777" w:rsidR="00184A8E" w:rsidRPr="00184A8E" w:rsidRDefault="00184A8E" w:rsidP="00184A8E">
            <w:pPr>
              <w:jc w:val="center"/>
              <w:rPr>
                <w:rFonts w:ascii="Arial" w:eastAsia="Calibri" w:hAnsi="Arial" w:cs="Arial"/>
              </w:rPr>
            </w:pPr>
            <w:r w:rsidRPr="00184A8E">
              <w:rPr>
                <w:rFonts w:ascii="Arial" w:eastAsia="Calibri"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5E9655CD"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4866788E" w14:textId="77777777" w:rsidR="00184A8E" w:rsidRPr="00184A8E" w:rsidRDefault="00184A8E" w:rsidP="00184A8E">
            <w:pPr>
              <w:jc w:val="center"/>
              <w:rPr>
                <w:rFonts w:ascii="Arial" w:eastAsia="Calibri" w:hAnsi="Arial" w:cs="Arial"/>
              </w:rPr>
            </w:pPr>
            <w:r w:rsidRPr="00184A8E">
              <w:rPr>
                <w:rFonts w:ascii="Arial" w:eastAsia="Calibri" w:hAnsi="Arial" w:cs="Arial"/>
              </w:rPr>
              <w:t>0</w:t>
            </w:r>
          </w:p>
        </w:tc>
        <w:tc>
          <w:tcPr>
            <w:tcW w:w="1276" w:type="dxa"/>
            <w:tcBorders>
              <w:top w:val="single" w:sz="4" w:space="0" w:color="auto"/>
              <w:left w:val="single" w:sz="4" w:space="0" w:color="auto"/>
              <w:bottom w:val="single" w:sz="4" w:space="0" w:color="auto"/>
              <w:right w:val="single" w:sz="4" w:space="0" w:color="auto"/>
            </w:tcBorders>
            <w:vAlign w:val="center"/>
          </w:tcPr>
          <w:p w14:paraId="1E2BCCAF" w14:textId="64DE7CAD" w:rsidR="00184A8E" w:rsidRPr="00184A8E" w:rsidRDefault="00DE47A0" w:rsidP="00184A8E">
            <w:pPr>
              <w:jc w:val="center"/>
              <w:rPr>
                <w:rFonts w:ascii="Arial" w:eastAsia="Calibri" w:hAnsi="Arial" w:cs="Arial"/>
              </w:rPr>
            </w:pPr>
            <w:r>
              <w:rPr>
                <w:rFonts w:ascii="Arial" w:eastAsia="Calibri" w:hAnsi="Arial" w:cs="Arial"/>
              </w:rPr>
              <w:t>5</w:t>
            </w:r>
            <w:r w:rsidR="00184A8E" w:rsidRPr="00184A8E">
              <w:rPr>
                <w:rFonts w:ascii="Arial" w:eastAsia="Calibri"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11581B09" w14:textId="77777777" w:rsidR="00184A8E" w:rsidRPr="00184A8E" w:rsidRDefault="00184A8E" w:rsidP="00184A8E">
            <w:pPr>
              <w:jc w:val="center"/>
              <w:rPr>
                <w:rFonts w:ascii="Arial" w:eastAsia="Calibri" w:hAnsi="Arial" w:cs="Arial"/>
              </w:rPr>
            </w:pPr>
            <w:r w:rsidRPr="00184A8E">
              <w:rPr>
                <w:rFonts w:ascii="Arial" w:eastAsia="Calibri"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7C11EA5A" w14:textId="4AC18049" w:rsidR="00184A8E" w:rsidRPr="00184A8E" w:rsidRDefault="00DE47A0" w:rsidP="00184A8E">
            <w:pPr>
              <w:jc w:val="center"/>
              <w:rPr>
                <w:rFonts w:ascii="Arial" w:eastAsia="Calibri" w:hAnsi="Arial" w:cs="Arial"/>
              </w:rPr>
            </w:pPr>
            <w:r>
              <w:rPr>
                <w:rFonts w:ascii="Arial" w:eastAsia="Calibri" w:hAnsi="Arial" w:cs="Arial"/>
              </w:rPr>
              <w:t>10</w:t>
            </w:r>
            <w:r w:rsidR="00184A8E" w:rsidRPr="00184A8E">
              <w:rPr>
                <w:rFonts w:ascii="Arial" w:eastAsia="Calibri"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565886D7" w14:textId="7C2AEA3D" w:rsidR="00184A8E" w:rsidRPr="00184A8E" w:rsidRDefault="00DE47A0" w:rsidP="00184A8E">
            <w:pPr>
              <w:jc w:val="center"/>
              <w:rPr>
                <w:rFonts w:ascii="Arial" w:hAnsi="Arial" w:cs="Arial"/>
              </w:rPr>
            </w:pPr>
            <w:r>
              <w:rPr>
                <w:rFonts w:ascii="Arial" w:hAnsi="Arial" w:cs="Arial"/>
              </w:rPr>
              <w:t>10</w:t>
            </w:r>
            <w:r w:rsidR="00184A8E" w:rsidRPr="00184A8E">
              <w:rPr>
                <w:rFonts w:ascii="Arial" w:hAnsi="Arial" w:cs="Arial"/>
              </w:rPr>
              <w:t>0%</w:t>
            </w:r>
          </w:p>
        </w:tc>
      </w:tr>
    </w:tbl>
    <w:p w14:paraId="4BC4B5BE" w14:textId="77777777" w:rsidR="00184A8E" w:rsidRPr="00184A8E" w:rsidRDefault="00184A8E" w:rsidP="00184A8E">
      <w:pPr>
        <w:spacing w:after="0" w:line="240" w:lineRule="auto"/>
        <w:jc w:val="both"/>
        <w:rPr>
          <w:rFonts w:ascii="Arial" w:eastAsia="Calibri" w:hAnsi="Arial" w:cs="Arial"/>
          <w:sz w:val="20"/>
          <w:szCs w:val="20"/>
          <w:lang w:eastAsia="en-US"/>
        </w:rPr>
      </w:pPr>
    </w:p>
    <w:p w14:paraId="49168636" w14:textId="77777777" w:rsidR="001B6B5F"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18. </w:t>
      </w:r>
      <w:bookmarkStart w:id="552" w:name="_Hlk198906870"/>
      <w:r w:rsidRPr="00184A8E">
        <w:rPr>
          <w:rFonts w:ascii="Arial" w:eastAsia="Calibri" w:hAnsi="Arial" w:cs="Arial"/>
          <w:b/>
          <w:sz w:val="20"/>
          <w:szCs w:val="20"/>
          <w:lang w:eastAsia="en-US"/>
        </w:rPr>
        <w:t xml:space="preserve">T209225: Građevine i uređaji javne namjene – autobusna stajališta, nadstrešnice </w:t>
      </w:r>
      <w:r w:rsidRPr="00184A8E">
        <w:rPr>
          <w:rFonts w:ascii="Arial" w:eastAsia="Calibri" w:hAnsi="Arial" w:cs="Arial"/>
          <w:sz w:val="20"/>
          <w:szCs w:val="20"/>
          <w:lang w:eastAsia="en-US"/>
        </w:rPr>
        <w:t xml:space="preserve"> – u sklopu projekta su planirani rashodi u iznosu </w:t>
      </w:r>
      <w:r w:rsidR="001B6B5F">
        <w:rPr>
          <w:rFonts w:ascii="Arial" w:eastAsia="Calibri" w:hAnsi="Arial" w:cs="Arial"/>
          <w:sz w:val="20"/>
          <w:szCs w:val="20"/>
          <w:lang w:eastAsia="en-US"/>
        </w:rPr>
        <w:t>15.000</w:t>
      </w:r>
      <w:r w:rsidRPr="00184A8E">
        <w:rPr>
          <w:rFonts w:ascii="Arial" w:eastAsia="Calibri" w:hAnsi="Arial" w:cs="Arial"/>
          <w:sz w:val="20"/>
          <w:szCs w:val="20"/>
          <w:lang w:eastAsia="en-US"/>
        </w:rPr>
        <w:t xml:space="preserve"> €. </w:t>
      </w:r>
    </w:p>
    <w:p w14:paraId="0A6AE533" w14:textId="7EE69B8C" w:rsidR="001B6B5F" w:rsidRDefault="001B6B5F" w:rsidP="00184A8E">
      <w:pPr>
        <w:spacing w:after="0" w:line="240" w:lineRule="auto"/>
        <w:jc w:val="both"/>
        <w:rPr>
          <w:rFonts w:ascii="Arial" w:eastAsia="Calibri" w:hAnsi="Arial" w:cs="Arial"/>
          <w:sz w:val="20"/>
          <w:szCs w:val="20"/>
          <w:lang w:eastAsia="en-US"/>
        </w:rPr>
      </w:pPr>
      <w:r w:rsidRPr="001B6B5F">
        <w:rPr>
          <w:rFonts w:ascii="Arial" w:eastAsia="Calibri" w:hAnsi="Arial" w:cs="Arial"/>
          <w:sz w:val="20"/>
          <w:szCs w:val="20"/>
          <w:lang w:eastAsia="en-US"/>
        </w:rPr>
        <w:t>Ovi rashodi se odnose na nabavu i postavljanje autobusnih čekaonica na više mjesta diljem Općine. Ovom aktivnošću obuhvaćeno je održavanje autobusnih čekaonica, a cilj je stvoriti što bolje uvjete za mještane i njihove goste na području Općine, na samim autobusnim ugibalištima. Rashodi nisu izvršeni. U 2025. godini nisu postavljane nove čekaonice, a planirano postavljanje čekaonica ovisi o dobivanju svih potrebnih dozvola od nadležnih tijela (Hrvatske ceste, Županijske ceste).</w:t>
      </w:r>
    </w:p>
    <w:p w14:paraId="0A44D845" w14:textId="77777777" w:rsidR="001B6B5F" w:rsidRDefault="001B6B5F" w:rsidP="00184A8E">
      <w:pPr>
        <w:spacing w:after="0" w:line="240" w:lineRule="auto"/>
        <w:jc w:val="both"/>
        <w:rPr>
          <w:rFonts w:ascii="Arial" w:eastAsia="Calibri" w:hAnsi="Arial" w:cs="Arial"/>
          <w:sz w:val="20"/>
          <w:szCs w:val="20"/>
          <w:lang w:eastAsia="en-US"/>
        </w:rPr>
      </w:pPr>
    </w:p>
    <w:p w14:paraId="71C6E362" w14:textId="77777777" w:rsidR="00184A8E" w:rsidRPr="00184A8E" w:rsidRDefault="00184A8E" w:rsidP="00184A8E">
      <w:pPr>
        <w:spacing w:after="0" w:line="240" w:lineRule="auto"/>
        <w:ind w:left="567"/>
        <w:jc w:val="both"/>
        <w:rPr>
          <w:rFonts w:ascii="Arial" w:eastAsia="Calibri" w:hAnsi="Arial" w:cs="Arial"/>
          <w:sz w:val="18"/>
          <w:szCs w:val="18"/>
        </w:rPr>
      </w:pPr>
      <w:bookmarkStart w:id="553" w:name="_Hlk166234559"/>
      <w:bookmarkEnd w:id="552"/>
      <w:r w:rsidRPr="00184A8E">
        <w:rPr>
          <w:rFonts w:ascii="Arial" w:eastAsia="Calibri" w:hAnsi="Arial" w:cs="Arial"/>
          <w:sz w:val="18"/>
          <w:szCs w:val="18"/>
        </w:rPr>
        <w:t>U 2022. godini su bili izvršeni rashodi u iznosu 26.069,25 €, a odnosili su se na uređenja dva autobusna stajališta i to na Zvekovici uz D8 (kod kioska), radovi rušenja postojeće nadstrešnice, te betoniranje podne ploče i ugradnja elektroinstalacija za novu autobusnu čekaonicu u iznosu 87.168,75 kn / 11.569,28 €, te nabavu dva nova stajališta sa staklenim oblogama za prekrcajno autobusno parkiralište na Zvekovici u iznosu 109.250 kn / 14.499,97 €.</w:t>
      </w:r>
    </w:p>
    <w:p w14:paraId="760E1FFB"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rPr>
        <w:t xml:space="preserve">U 2023. godini su bili izvršeni rashodi u iznosu </w:t>
      </w:r>
      <w:r w:rsidRPr="00184A8E">
        <w:rPr>
          <w:rFonts w:ascii="Arial" w:eastAsia="Calibri" w:hAnsi="Arial" w:cs="Arial"/>
          <w:sz w:val="18"/>
          <w:szCs w:val="18"/>
          <w:lang w:eastAsia="en-US"/>
        </w:rPr>
        <w:t xml:space="preserve">5.371,25 € (sanaciji autobusne inox čekaonice i vitrine u Cavtatu 1.606,25 €, te autobusno stajalište na Obodu 3.765 €). </w:t>
      </w:r>
    </w:p>
    <w:p w14:paraId="16EDEA47" w14:textId="77777777" w:rsidR="00184A8E" w:rsidRPr="00184A8E" w:rsidRDefault="00184A8E" w:rsidP="00184A8E">
      <w:pPr>
        <w:spacing w:after="0" w:line="240" w:lineRule="auto"/>
        <w:jc w:val="both"/>
        <w:rPr>
          <w:rFonts w:ascii="Arial" w:eastAsia="Calibri" w:hAnsi="Arial" w:cs="Arial"/>
          <w:sz w:val="20"/>
          <w:szCs w:val="20"/>
        </w:rPr>
      </w:pPr>
    </w:p>
    <w:p w14:paraId="404176A4" w14:textId="19347F03" w:rsidR="00184A8E" w:rsidRPr="00184A8E" w:rsidRDefault="00184A8E" w:rsidP="00184A8E">
      <w:pPr>
        <w:spacing w:after="0" w:line="240" w:lineRule="auto"/>
        <w:jc w:val="both"/>
        <w:rPr>
          <w:rFonts w:ascii="Arial" w:eastAsia="Calibri" w:hAnsi="Arial" w:cs="Arial"/>
          <w:sz w:val="20"/>
          <w:szCs w:val="20"/>
        </w:rPr>
      </w:pPr>
      <w:bookmarkStart w:id="554" w:name="_Hlk198906889"/>
      <w:r w:rsidRPr="00184A8E">
        <w:rPr>
          <w:rFonts w:ascii="Arial" w:eastAsia="Calibri" w:hAnsi="Arial" w:cs="Arial"/>
          <w:sz w:val="20"/>
          <w:szCs w:val="20"/>
        </w:rPr>
        <w:t>U 202</w:t>
      </w:r>
      <w:r w:rsidR="009F4203">
        <w:rPr>
          <w:rFonts w:ascii="Arial" w:eastAsia="Calibri" w:hAnsi="Arial" w:cs="Arial"/>
          <w:sz w:val="20"/>
          <w:szCs w:val="20"/>
        </w:rPr>
        <w:t>5</w:t>
      </w:r>
      <w:r w:rsidRPr="00184A8E">
        <w:rPr>
          <w:rFonts w:ascii="Arial" w:eastAsia="Calibri" w:hAnsi="Arial" w:cs="Arial"/>
          <w:sz w:val="20"/>
          <w:szCs w:val="20"/>
        </w:rPr>
        <w:t>. godini nisu postavljane nove čekaonice, a planirano postavljanje čekaonica ovisi o dobivanju svih potrebnih dozvola od nadležnih tijela (Hrvatske ceste, Županijske ceste).</w:t>
      </w:r>
    </w:p>
    <w:bookmarkEnd w:id="554"/>
    <w:p w14:paraId="2A714B0B"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2263"/>
        <w:gridCol w:w="3402"/>
        <w:gridCol w:w="958"/>
        <w:gridCol w:w="1134"/>
        <w:gridCol w:w="1232"/>
        <w:gridCol w:w="1276"/>
        <w:gridCol w:w="1242"/>
        <w:gridCol w:w="1242"/>
        <w:gridCol w:w="1242"/>
      </w:tblGrid>
      <w:tr w:rsidR="00184A8E" w:rsidRPr="00184A8E" w14:paraId="7F6AFD9E"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bookmarkEnd w:id="553"/>
          <w:p w14:paraId="5758BA30"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1EBB170"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A02BBAD"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5E6B935"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F5C2388" w14:textId="32708FDA"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9F4203">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CCC0D38" w14:textId="702F3D02"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9F4203">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B23FE00" w14:textId="5F72E862"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9F4203">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ED42C20" w14:textId="6AE0379B"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9F4203">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CADB7A5" w14:textId="515B2D7B"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9F4203">
              <w:rPr>
                <w:rFonts w:ascii="Arial" w:eastAsia="Calibri" w:hAnsi="Arial" w:cs="Arial"/>
              </w:rPr>
              <w:t>7</w:t>
            </w:r>
            <w:r w:rsidRPr="00184A8E">
              <w:rPr>
                <w:rFonts w:ascii="Arial" w:eastAsia="Calibri" w:hAnsi="Arial" w:cs="Arial"/>
              </w:rPr>
              <w:t>.</w:t>
            </w:r>
          </w:p>
        </w:tc>
      </w:tr>
      <w:tr w:rsidR="00184A8E" w:rsidRPr="00184A8E" w14:paraId="04C27A6A" w14:textId="77777777" w:rsidTr="00410A4B">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46909DF2" w14:textId="77777777" w:rsidR="00184A8E" w:rsidRPr="00184A8E" w:rsidRDefault="00184A8E" w:rsidP="00184A8E">
            <w:pPr>
              <w:rPr>
                <w:rFonts w:ascii="Arial" w:hAnsi="Arial" w:cs="Arial"/>
                <w:sz w:val="18"/>
                <w:szCs w:val="18"/>
              </w:rPr>
            </w:pPr>
            <w:r w:rsidRPr="00184A8E">
              <w:rPr>
                <w:rFonts w:ascii="Arial" w:eastAsia="Calibri" w:hAnsi="Arial" w:cs="Arial"/>
                <w:iCs/>
                <w:sz w:val="18"/>
                <w:szCs w:val="18"/>
              </w:rPr>
              <w:t>Nabava čekaonica i nadstrešnica</w:t>
            </w:r>
          </w:p>
        </w:tc>
        <w:tc>
          <w:tcPr>
            <w:tcW w:w="3402" w:type="dxa"/>
            <w:tcBorders>
              <w:top w:val="single" w:sz="4" w:space="0" w:color="auto"/>
              <w:left w:val="single" w:sz="4" w:space="0" w:color="auto"/>
              <w:bottom w:val="single" w:sz="4" w:space="0" w:color="auto"/>
              <w:right w:val="single" w:sz="4" w:space="0" w:color="auto"/>
            </w:tcBorders>
            <w:vAlign w:val="center"/>
          </w:tcPr>
          <w:p w14:paraId="35081705" w14:textId="77777777" w:rsidR="00184A8E" w:rsidRPr="00184A8E" w:rsidRDefault="00184A8E" w:rsidP="00184A8E">
            <w:pPr>
              <w:autoSpaceDE w:val="0"/>
              <w:autoSpaceDN w:val="0"/>
              <w:adjustRightInd w:val="0"/>
              <w:rPr>
                <w:rFonts w:ascii="Arial" w:hAnsi="Arial" w:cs="Arial"/>
                <w:sz w:val="18"/>
                <w:szCs w:val="18"/>
              </w:rPr>
            </w:pPr>
            <w:r w:rsidRPr="00184A8E">
              <w:rPr>
                <w:rFonts w:ascii="Arial" w:eastAsia="Calibri" w:hAnsi="Arial" w:cs="Arial"/>
                <w:sz w:val="18"/>
                <w:szCs w:val="18"/>
              </w:rPr>
              <w:t>Broj nabavljenih čekaonica / uređenih stajališta</w:t>
            </w:r>
          </w:p>
        </w:tc>
        <w:tc>
          <w:tcPr>
            <w:tcW w:w="958" w:type="dxa"/>
            <w:tcBorders>
              <w:top w:val="single" w:sz="4" w:space="0" w:color="auto"/>
              <w:left w:val="single" w:sz="4" w:space="0" w:color="auto"/>
              <w:bottom w:val="single" w:sz="4" w:space="0" w:color="auto"/>
              <w:right w:val="single" w:sz="4" w:space="0" w:color="auto"/>
            </w:tcBorders>
            <w:vAlign w:val="center"/>
          </w:tcPr>
          <w:p w14:paraId="1267E6F2" w14:textId="77777777" w:rsidR="00184A8E" w:rsidRPr="00184A8E" w:rsidRDefault="00184A8E" w:rsidP="00184A8E">
            <w:pPr>
              <w:jc w:val="center"/>
              <w:rPr>
                <w:rFonts w:ascii="Arial" w:hAnsi="Arial" w:cs="Arial"/>
              </w:rPr>
            </w:pPr>
            <w:r w:rsidRPr="00184A8E">
              <w:rPr>
                <w:rFonts w:ascii="Arial" w:eastAsia="Calibri" w:hAnsi="Arial" w:cs="Arial"/>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37139A5F"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0615FACB" w14:textId="223D17F3" w:rsidR="00184A8E" w:rsidRPr="00184A8E" w:rsidRDefault="009F4203" w:rsidP="00184A8E">
            <w:pPr>
              <w:jc w:val="center"/>
              <w:rPr>
                <w:rFonts w:ascii="Arial" w:hAnsi="Arial" w:cs="Arial"/>
              </w:rPr>
            </w:pPr>
            <w:r>
              <w:rPr>
                <w:rFonts w:ascii="Arial" w:hAnsi="Arial" w:cs="Arial"/>
              </w:rPr>
              <w:t>0</w:t>
            </w:r>
          </w:p>
        </w:tc>
        <w:tc>
          <w:tcPr>
            <w:tcW w:w="1276" w:type="dxa"/>
            <w:tcBorders>
              <w:top w:val="single" w:sz="4" w:space="0" w:color="auto"/>
              <w:left w:val="single" w:sz="4" w:space="0" w:color="auto"/>
              <w:bottom w:val="single" w:sz="4" w:space="0" w:color="auto"/>
              <w:right w:val="single" w:sz="4" w:space="0" w:color="auto"/>
            </w:tcBorders>
            <w:vAlign w:val="center"/>
          </w:tcPr>
          <w:p w14:paraId="1442EDC7" w14:textId="77777777" w:rsidR="00184A8E" w:rsidRPr="00184A8E" w:rsidRDefault="00184A8E" w:rsidP="00184A8E">
            <w:pPr>
              <w:jc w:val="center"/>
              <w:rPr>
                <w:rFonts w:ascii="Arial" w:hAnsi="Arial" w:cs="Arial"/>
              </w:rPr>
            </w:pPr>
            <w:r w:rsidRPr="00184A8E">
              <w:rPr>
                <w:rFonts w:ascii="Arial" w:hAnsi="Arial" w:cs="Arial"/>
              </w:rPr>
              <w:t>4</w:t>
            </w:r>
          </w:p>
        </w:tc>
        <w:tc>
          <w:tcPr>
            <w:tcW w:w="1242" w:type="dxa"/>
            <w:tcBorders>
              <w:top w:val="single" w:sz="4" w:space="0" w:color="000000"/>
              <w:left w:val="single" w:sz="4" w:space="0" w:color="000000"/>
              <w:bottom w:val="single" w:sz="4" w:space="0" w:color="000000"/>
              <w:right w:val="single" w:sz="4" w:space="0" w:color="000000"/>
            </w:tcBorders>
            <w:vAlign w:val="center"/>
          </w:tcPr>
          <w:p w14:paraId="66A8AF53"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705B00A8" w14:textId="77777777" w:rsidR="00184A8E" w:rsidRPr="00184A8E" w:rsidRDefault="00184A8E" w:rsidP="00184A8E">
            <w:pPr>
              <w:jc w:val="center"/>
              <w:rPr>
                <w:rFonts w:ascii="Arial" w:hAnsi="Arial" w:cs="Arial"/>
              </w:rPr>
            </w:pPr>
            <w:r w:rsidRPr="00184A8E">
              <w:rPr>
                <w:rFonts w:ascii="Arial" w:hAnsi="Arial" w:cs="Arial"/>
              </w:rPr>
              <w:t>3</w:t>
            </w:r>
          </w:p>
        </w:tc>
        <w:tc>
          <w:tcPr>
            <w:tcW w:w="1242" w:type="dxa"/>
            <w:tcBorders>
              <w:top w:val="single" w:sz="4" w:space="0" w:color="000000"/>
              <w:left w:val="single" w:sz="4" w:space="0" w:color="000000"/>
              <w:bottom w:val="single" w:sz="4" w:space="0" w:color="000000"/>
              <w:right w:val="single" w:sz="4" w:space="0" w:color="000000"/>
            </w:tcBorders>
            <w:vAlign w:val="center"/>
          </w:tcPr>
          <w:p w14:paraId="6E351062" w14:textId="77777777" w:rsidR="00184A8E" w:rsidRPr="00184A8E" w:rsidRDefault="00184A8E" w:rsidP="00184A8E">
            <w:pPr>
              <w:jc w:val="center"/>
              <w:rPr>
                <w:rFonts w:ascii="Arial" w:hAnsi="Arial" w:cs="Arial"/>
              </w:rPr>
            </w:pPr>
            <w:r w:rsidRPr="00184A8E">
              <w:rPr>
                <w:rFonts w:ascii="Arial" w:hAnsi="Arial" w:cs="Arial"/>
              </w:rPr>
              <w:t>3</w:t>
            </w:r>
          </w:p>
        </w:tc>
      </w:tr>
    </w:tbl>
    <w:p w14:paraId="33DEDCE5" w14:textId="77777777" w:rsidR="00184A8E" w:rsidRPr="00184A8E" w:rsidRDefault="00184A8E" w:rsidP="00184A8E">
      <w:pPr>
        <w:spacing w:after="0" w:line="240" w:lineRule="auto"/>
        <w:jc w:val="both"/>
        <w:rPr>
          <w:rFonts w:ascii="Arial" w:eastAsia="Calibri" w:hAnsi="Arial" w:cs="Arial"/>
          <w:b/>
          <w:sz w:val="20"/>
          <w:szCs w:val="20"/>
        </w:rPr>
      </w:pPr>
      <w:bookmarkStart w:id="555" w:name="_Hlk135066707"/>
    </w:p>
    <w:p w14:paraId="68197CCA" w14:textId="1F498281" w:rsidR="009F4203" w:rsidRPr="009F4203" w:rsidRDefault="00184A8E" w:rsidP="009F4203">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19. </w:t>
      </w:r>
      <w:bookmarkStart w:id="556" w:name="_Hlk198906697"/>
      <w:r w:rsidRPr="00184A8E">
        <w:rPr>
          <w:rFonts w:ascii="Arial" w:eastAsia="Calibri" w:hAnsi="Arial" w:cs="Arial"/>
          <w:b/>
          <w:sz w:val="20"/>
          <w:szCs w:val="20"/>
          <w:lang w:eastAsia="en-US"/>
        </w:rPr>
        <w:t xml:space="preserve">T209226: Javne zelene površine: Uređenje igrališta za djecu s primjenom sigurnosnih standarda </w:t>
      </w:r>
      <w:r w:rsidRPr="00184A8E">
        <w:rPr>
          <w:rFonts w:ascii="Arial" w:eastAsia="Calibri" w:hAnsi="Arial" w:cs="Arial"/>
          <w:sz w:val="20"/>
          <w:szCs w:val="20"/>
          <w:lang w:eastAsia="en-US"/>
        </w:rPr>
        <w:t xml:space="preserve"> – u sklopu projekta su planirani rashodi u iznosu </w:t>
      </w:r>
      <w:r w:rsidR="009F4203">
        <w:rPr>
          <w:rFonts w:ascii="Arial" w:eastAsia="Calibri" w:hAnsi="Arial" w:cs="Arial"/>
          <w:sz w:val="20"/>
          <w:szCs w:val="20"/>
          <w:lang w:eastAsia="en-US"/>
        </w:rPr>
        <w:t>260.000</w:t>
      </w:r>
      <w:r w:rsidRPr="00184A8E">
        <w:rPr>
          <w:rFonts w:ascii="Arial" w:eastAsia="Calibri" w:hAnsi="Arial" w:cs="Arial"/>
          <w:sz w:val="20"/>
          <w:szCs w:val="20"/>
          <w:lang w:eastAsia="en-US"/>
        </w:rPr>
        <w:t xml:space="preserve"> €. Ovi rashodi se odnose na pripremne radove uređenja, te nabavu i opremanje dječjih igrališta diljem Općine. </w:t>
      </w:r>
      <w:bookmarkStart w:id="557" w:name="_Hlk166235360"/>
      <w:r w:rsidRPr="00184A8E">
        <w:rPr>
          <w:rFonts w:ascii="Arial" w:eastAsia="Calibri" w:hAnsi="Arial" w:cs="Arial"/>
          <w:sz w:val="20"/>
          <w:szCs w:val="20"/>
          <w:lang w:eastAsia="en-US"/>
        </w:rPr>
        <w:t xml:space="preserve">Rashodi su izvršeni u iznosu </w:t>
      </w:r>
      <w:r w:rsidR="009F4203">
        <w:rPr>
          <w:rFonts w:ascii="Arial" w:eastAsia="Calibri" w:hAnsi="Arial" w:cs="Arial"/>
          <w:sz w:val="20"/>
          <w:szCs w:val="20"/>
          <w:lang w:eastAsia="en-US"/>
        </w:rPr>
        <w:t>146.460,92</w:t>
      </w:r>
      <w:r w:rsidRPr="00184A8E">
        <w:rPr>
          <w:rFonts w:ascii="Arial" w:eastAsia="Calibri" w:hAnsi="Arial" w:cs="Arial"/>
          <w:sz w:val="20"/>
          <w:szCs w:val="20"/>
          <w:lang w:eastAsia="en-US"/>
        </w:rPr>
        <w:t xml:space="preserve"> € ili </w:t>
      </w:r>
      <w:r w:rsidR="009F4203">
        <w:rPr>
          <w:rFonts w:ascii="Arial" w:eastAsia="Calibri" w:hAnsi="Arial" w:cs="Arial"/>
          <w:sz w:val="20"/>
          <w:szCs w:val="20"/>
          <w:lang w:eastAsia="en-US"/>
        </w:rPr>
        <w:t>46,3</w:t>
      </w:r>
      <w:r w:rsidRPr="00184A8E">
        <w:rPr>
          <w:rFonts w:ascii="Arial" w:eastAsia="Calibri" w:hAnsi="Arial" w:cs="Arial"/>
          <w:sz w:val="20"/>
          <w:szCs w:val="20"/>
          <w:lang w:eastAsia="en-US"/>
        </w:rPr>
        <w:t xml:space="preserve">% plana. </w:t>
      </w:r>
      <w:r w:rsidR="009F4203" w:rsidRPr="009F4203">
        <w:rPr>
          <w:rFonts w:ascii="Arial" w:eastAsia="Calibri" w:hAnsi="Arial" w:cs="Arial"/>
          <w:sz w:val="20"/>
          <w:szCs w:val="20"/>
          <w:lang w:eastAsia="en-US"/>
        </w:rPr>
        <w:t xml:space="preserve">Rashodi su izvršeni manje od planiranog jer do konca 2025. godine jer nisu započeti radovi uređenja dječjeg igrališta u Vodovađi. </w:t>
      </w:r>
    </w:p>
    <w:p w14:paraId="34D54E84" w14:textId="77777777" w:rsidR="009F4203" w:rsidRPr="009F4203" w:rsidRDefault="009F4203" w:rsidP="009F4203">
      <w:pPr>
        <w:spacing w:after="0" w:line="240" w:lineRule="auto"/>
        <w:jc w:val="both"/>
        <w:rPr>
          <w:rFonts w:ascii="Arial" w:eastAsia="Calibri" w:hAnsi="Arial" w:cs="Arial"/>
          <w:sz w:val="20"/>
          <w:szCs w:val="20"/>
          <w:lang w:eastAsia="en-US"/>
        </w:rPr>
      </w:pPr>
    </w:p>
    <w:p w14:paraId="7631DE77" w14:textId="77777777" w:rsidR="009F4203" w:rsidRPr="009F4203" w:rsidRDefault="009F4203" w:rsidP="009F4203">
      <w:pPr>
        <w:spacing w:after="0" w:line="240" w:lineRule="auto"/>
        <w:jc w:val="both"/>
        <w:rPr>
          <w:rFonts w:ascii="Arial" w:eastAsia="Calibri" w:hAnsi="Arial" w:cs="Arial"/>
          <w:sz w:val="20"/>
          <w:szCs w:val="20"/>
          <w:lang w:eastAsia="en-US"/>
        </w:rPr>
      </w:pPr>
      <w:r w:rsidRPr="009F4203">
        <w:rPr>
          <w:rFonts w:ascii="Arial" w:eastAsia="Calibri" w:hAnsi="Arial" w:cs="Arial"/>
          <w:sz w:val="20"/>
          <w:szCs w:val="20"/>
          <w:lang w:eastAsia="en-US"/>
        </w:rPr>
        <w:t>Rashodi u 2025. se odnose na:</w:t>
      </w:r>
    </w:p>
    <w:p w14:paraId="72306421" w14:textId="77777777" w:rsidR="009F4203" w:rsidRPr="009F4203" w:rsidRDefault="009F4203" w:rsidP="009F4203">
      <w:pPr>
        <w:spacing w:after="0" w:line="240" w:lineRule="auto"/>
        <w:jc w:val="both"/>
        <w:rPr>
          <w:rFonts w:ascii="Arial" w:eastAsia="Calibri" w:hAnsi="Arial" w:cs="Arial"/>
          <w:sz w:val="20"/>
          <w:szCs w:val="20"/>
          <w:lang w:eastAsia="en-US"/>
        </w:rPr>
      </w:pPr>
      <w:r w:rsidRPr="009F4203">
        <w:rPr>
          <w:rFonts w:ascii="Arial" w:eastAsia="Calibri" w:hAnsi="Arial" w:cs="Arial"/>
          <w:sz w:val="20"/>
          <w:szCs w:val="20"/>
          <w:lang w:eastAsia="en-US"/>
        </w:rPr>
        <w:t>-</w:t>
      </w:r>
      <w:r w:rsidRPr="009F4203">
        <w:rPr>
          <w:rFonts w:ascii="Arial" w:eastAsia="Calibri" w:hAnsi="Arial" w:cs="Arial"/>
          <w:sz w:val="20"/>
          <w:szCs w:val="20"/>
          <w:lang w:eastAsia="en-US"/>
        </w:rPr>
        <w:tab/>
        <w:t>radove i opremu za dječje igralište, Cavtat, centar, tucanik i mreže protiv korova u iznosu 1.868,75 €,</w:t>
      </w:r>
    </w:p>
    <w:p w14:paraId="457E2B37" w14:textId="77777777" w:rsidR="009F4203" w:rsidRPr="009F4203" w:rsidRDefault="009F4203" w:rsidP="009F4203">
      <w:pPr>
        <w:spacing w:after="0" w:line="240" w:lineRule="auto"/>
        <w:jc w:val="both"/>
        <w:rPr>
          <w:rFonts w:ascii="Arial" w:eastAsia="Calibri" w:hAnsi="Arial" w:cs="Arial"/>
          <w:sz w:val="20"/>
          <w:szCs w:val="20"/>
          <w:lang w:eastAsia="en-US"/>
        </w:rPr>
      </w:pPr>
      <w:r w:rsidRPr="009F4203">
        <w:rPr>
          <w:rFonts w:ascii="Arial" w:eastAsia="Calibri" w:hAnsi="Arial" w:cs="Arial"/>
          <w:sz w:val="20"/>
          <w:szCs w:val="20"/>
          <w:lang w:eastAsia="en-US"/>
        </w:rPr>
        <w:t>-</w:t>
      </w:r>
      <w:r w:rsidRPr="009F4203">
        <w:rPr>
          <w:rFonts w:ascii="Arial" w:eastAsia="Calibri" w:hAnsi="Arial" w:cs="Arial"/>
          <w:sz w:val="20"/>
          <w:szCs w:val="20"/>
          <w:lang w:eastAsia="en-US"/>
        </w:rPr>
        <w:tab/>
        <w:t xml:space="preserve">uređenje i opremanje dječjeg igrališta u Močićima 36.556,05 € (oprema 30.863,55 € i priprema podloge – betoniranje 5.692,50 €), </w:t>
      </w:r>
    </w:p>
    <w:p w14:paraId="144CC61C" w14:textId="77777777" w:rsidR="009F4203" w:rsidRPr="009F4203" w:rsidRDefault="009F4203" w:rsidP="009F4203">
      <w:pPr>
        <w:spacing w:after="0" w:line="240" w:lineRule="auto"/>
        <w:jc w:val="both"/>
        <w:rPr>
          <w:rFonts w:ascii="Arial" w:eastAsia="Calibri" w:hAnsi="Arial" w:cs="Arial"/>
          <w:sz w:val="20"/>
          <w:szCs w:val="20"/>
          <w:lang w:eastAsia="en-US"/>
        </w:rPr>
      </w:pPr>
      <w:r w:rsidRPr="009F4203">
        <w:rPr>
          <w:rFonts w:ascii="Arial" w:eastAsia="Calibri" w:hAnsi="Arial" w:cs="Arial"/>
          <w:sz w:val="20"/>
          <w:szCs w:val="20"/>
          <w:lang w:eastAsia="en-US"/>
        </w:rPr>
        <w:t>-</w:t>
      </w:r>
      <w:r w:rsidRPr="009F4203">
        <w:rPr>
          <w:rFonts w:ascii="Arial" w:eastAsia="Calibri" w:hAnsi="Arial" w:cs="Arial"/>
          <w:sz w:val="20"/>
          <w:szCs w:val="20"/>
          <w:lang w:eastAsia="en-US"/>
        </w:rPr>
        <w:tab/>
        <w:t xml:space="preserve">uređenje i opremanje dječjeg igrališta na Grudi (Gnjile) 43.894,50 € (oprema 32.870 €, priprema podloge – betoniranje 5.692,50 €, ograda 5.332,00 €), </w:t>
      </w:r>
    </w:p>
    <w:p w14:paraId="6058CD94" w14:textId="77777777" w:rsidR="009F4203" w:rsidRPr="009F4203" w:rsidRDefault="009F4203" w:rsidP="009F4203">
      <w:pPr>
        <w:spacing w:after="0" w:line="240" w:lineRule="auto"/>
        <w:jc w:val="both"/>
        <w:rPr>
          <w:rFonts w:ascii="Arial" w:eastAsia="Calibri" w:hAnsi="Arial" w:cs="Arial"/>
          <w:sz w:val="20"/>
          <w:szCs w:val="20"/>
          <w:lang w:eastAsia="en-US"/>
        </w:rPr>
      </w:pPr>
      <w:r w:rsidRPr="009F4203">
        <w:rPr>
          <w:rFonts w:ascii="Arial" w:eastAsia="Calibri" w:hAnsi="Arial" w:cs="Arial"/>
          <w:sz w:val="20"/>
          <w:szCs w:val="20"/>
          <w:lang w:eastAsia="en-US"/>
        </w:rPr>
        <w:t>-</w:t>
      </w:r>
      <w:r w:rsidRPr="009F4203">
        <w:rPr>
          <w:rFonts w:ascii="Arial" w:eastAsia="Calibri" w:hAnsi="Arial" w:cs="Arial"/>
          <w:sz w:val="20"/>
          <w:szCs w:val="20"/>
          <w:lang w:eastAsia="en-US"/>
        </w:rPr>
        <w:tab/>
        <w:t xml:space="preserve">radove pripreme terena i uređenja terena (betoniranje) za dječje igralište u Pločicama 4.068,75 €. </w:t>
      </w:r>
    </w:p>
    <w:p w14:paraId="49D38374" w14:textId="77777777" w:rsidR="009F4203" w:rsidRPr="009F4203" w:rsidRDefault="009F4203" w:rsidP="009F4203">
      <w:pPr>
        <w:spacing w:after="0" w:line="240" w:lineRule="auto"/>
        <w:jc w:val="both"/>
        <w:rPr>
          <w:rFonts w:ascii="Arial" w:eastAsia="Calibri" w:hAnsi="Arial" w:cs="Arial"/>
          <w:sz w:val="20"/>
          <w:szCs w:val="20"/>
          <w:lang w:eastAsia="en-US"/>
        </w:rPr>
      </w:pPr>
      <w:r w:rsidRPr="009F4203">
        <w:rPr>
          <w:rFonts w:ascii="Arial" w:eastAsia="Calibri" w:hAnsi="Arial" w:cs="Arial"/>
          <w:sz w:val="20"/>
          <w:szCs w:val="20"/>
          <w:lang w:eastAsia="en-US"/>
        </w:rPr>
        <w:lastRenderedPageBreak/>
        <w:t>-</w:t>
      </w:r>
      <w:r w:rsidRPr="009F4203">
        <w:rPr>
          <w:rFonts w:ascii="Arial" w:eastAsia="Calibri" w:hAnsi="Arial" w:cs="Arial"/>
          <w:sz w:val="20"/>
          <w:szCs w:val="20"/>
          <w:lang w:eastAsia="en-US"/>
        </w:rPr>
        <w:tab/>
        <w:t xml:space="preserve">uređenje i opremanje dječjeg igrališta na Poljicu 29.265,70 € (oprema 32.870 €, priprema podloge – betoniranje 5.692,50 €, ravnanje terena, uklanjanje starog suhog drveća, nabava i nasipavanje tamponom 4.237,50 €), </w:t>
      </w:r>
    </w:p>
    <w:p w14:paraId="5266C711" w14:textId="77777777" w:rsidR="009F4203" w:rsidRPr="009F4203" w:rsidRDefault="009F4203" w:rsidP="009F4203">
      <w:pPr>
        <w:spacing w:after="0" w:line="240" w:lineRule="auto"/>
        <w:jc w:val="both"/>
        <w:rPr>
          <w:rFonts w:ascii="Arial" w:eastAsia="Calibri" w:hAnsi="Arial" w:cs="Arial"/>
          <w:sz w:val="20"/>
          <w:szCs w:val="20"/>
          <w:lang w:eastAsia="en-US"/>
        </w:rPr>
      </w:pPr>
      <w:r w:rsidRPr="009F4203">
        <w:rPr>
          <w:rFonts w:ascii="Arial" w:eastAsia="Calibri" w:hAnsi="Arial" w:cs="Arial"/>
          <w:sz w:val="20"/>
          <w:szCs w:val="20"/>
          <w:lang w:eastAsia="en-US"/>
        </w:rPr>
        <w:t>-</w:t>
      </w:r>
      <w:r w:rsidRPr="009F4203">
        <w:rPr>
          <w:rFonts w:ascii="Arial" w:eastAsia="Calibri" w:hAnsi="Arial" w:cs="Arial"/>
          <w:sz w:val="20"/>
          <w:szCs w:val="20"/>
          <w:lang w:eastAsia="en-US"/>
        </w:rPr>
        <w:tab/>
        <w:t xml:space="preserve">opremanje dječjeg igrališta na Paljeg brda 22.497,48 € (oprema), </w:t>
      </w:r>
    </w:p>
    <w:p w14:paraId="6F3C4D72" w14:textId="4BEFAD6B" w:rsidR="009F4203" w:rsidRPr="00184A8E" w:rsidRDefault="009F4203" w:rsidP="009F4203">
      <w:pPr>
        <w:spacing w:after="0" w:line="240" w:lineRule="auto"/>
        <w:jc w:val="both"/>
        <w:rPr>
          <w:rFonts w:ascii="Arial" w:eastAsia="Calibri" w:hAnsi="Arial" w:cs="Arial"/>
          <w:sz w:val="20"/>
          <w:szCs w:val="20"/>
          <w:lang w:eastAsia="en-US"/>
        </w:rPr>
      </w:pPr>
      <w:r w:rsidRPr="009F4203">
        <w:rPr>
          <w:rFonts w:ascii="Arial" w:eastAsia="Calibri" w:hAnsi="Arial" w:cs="Arial"/>
          <w:sz w:val="20"/>
          <w:szCs w:val="20"/>
          <w:lang w:eastAsia="en-US"/>
        </w:rPr>
        <w:t>-</w:t>
      </w:r>
      <w:r w:rsidRPr="009F4203">
        <w:rPr>
          <w:rFonts w:ascii="Arial" w:eastAsia="Calibri" w:hAnsi="Arial" w:cs="Arial"/>
          <w:sz w:val="20"/>
          <w:szCs w:val="20"/>
          <w:lang w:eastAsia="en-US"/>
        </w:rPr>
        <w:tab/>
        <w:t>zamjenu opreme na igralištu u Stravči i uređenje igrališta (pocinčane cijevi) 8.309,69 €.</w:t>
      </w:r>
    </w:p>
    <w:bookmarkEnd w:id="556"/>
    <w:bookmarkEnd w:id="557"/>
    <w:p w14:paraId="6E07DE04"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2263"/>
        <w:gridCol w:w="3402"/>
        <w:gridCol w:w="958"/>
        <w:gridCol w:w="1134"/>
        <w:gridCol w:w="1232"/>
        <w:gridCol w:w="1276"/>
        <w:gridCol w:w="1242"/>
        <w:gridCol w:w="1242"/>
        <w:gridCol w:w="1242"/>
      </w:tblGrid>
      <w:tr w:rsidR="00184A8E" w:rsidRPr="00184A8E" w14:paraId="56229933"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EDD3624"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772D221"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AF407AB"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ED6F022"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6C706FE" w14:textId="732A782E"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Polazna vrijednost 202</w:t>
            </w:r>
            <w:r w:rsidR="009F4203">
              <w:rPr>
                <w:rFonts w:ascii="Arial" w:eastAsia="Calibri" w:hAnsi="Arial" w:cs="Arial"/>
                <w:sz w:val="18"/>
                <w:szCs w:val="18"/>
              </w:rPr>
              <w:t>4</w:t>
            </w:r>
            <w:r w:rsidRPr="00184A8E">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C64126C" w14:textId="4359574E"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9F4203">
              <w:rPr>
                <w:rFonts w:ascii="Arial" w:eastAsia="Calibri" w:hAnsi="Arial" w:cs="Arial"/>
                <w:sz w:val="18"/>
                <w:szCs w:val="18"/>
              </w:rPr>
              <w:t>5</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6236C08" w14:textId="56A92338"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Izvršeno 202</w:t>
            </w:r>
            <w:r w:rsidR="009F4203">
              <w:rPr>
                <w:rFonts w:ascii="Arial" w:eastAsia="Calibri" w:hAnsi="Arial" w:cs="Arial"/>
                <w:sz w:val="18"/>
                <w:szCs w:val="18"/>
              </w:rPr>
              <w:t>5</w:t>
            </w:r>
            <w:r w:rsidRPr="00184A8E">
              <w:rPr>
                <w:rFonts w:ascii="Arial" w:eastAsia="Calibri" w:hAnsi="Arial" w:cs="Arial"/>
                <w:sz w:val="18"/>
                <w:szCs w:val="18"/>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7F474F4" w14:textId="1E91CA09"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9F4203">
              <w:rPr>
                <w:rFonts w:ascii="Arial" w:eastAsia="Calibri" w:hAnsi="Arial" w:cs="Arial"/>
                <w:sz w:val="18"/>
                <w:szCs w:val="18"/>
              </w:rPr>
              <w:t>6</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8378CD6" w14:textId="5EC1FA41"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9F4203">
              <w:rPr>
                <w:rFonts w:ascii="Arial" w:eastAsia="Calibri" w:hAnsi="Arial" w:cs="Arial"/>
                <w:sz w:val="18"/>
                <w:szCs w:val="18"/>
              </w:rPr>
              <w:t>7</w:t>
            </w:r>
            <w:r w:rsidRPr="00184A8E">
              <w:rPr>
                <w:rFonts w:ascii="Arial" w:eastAsia="Calibri" w:hAnsi="Arial" w:cs="Arial"/>
                <w:sz w:val="18"/>
                <w:szCs w:val="18"/>
              </w:rPr>
              <w:t>.</w:t>
            </w:r>
          </w:p>
        </w:tc>
      </w:tr>
      <w:tr w:rsidR="00184A8E" w:rsidRPr="00184A8E" w14:paraId="6EA95F38" w14:textId="77777777" w:rsidTr="00410A4B">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085C20DB" w14:textId="77777777" w:rsidR="00184A8E" w:rsidRPr="00184A8E" w:rsidRDefault="00184A8E" w:rsidP="00184A8E">
            <w:pPr>
              <w:rPr>
                <w:rFonts w:ascii="Arial" w:hAnsi="Arial" w:cs="Arial"/>
                <w:sz w:val="16"/>
                <w:szCs w:val="16"/>
              </w:rPr>
            </w:pPr>
            <w:r w:rsidRPr="00184A8E">
              <w:rPr>
                <w:rFonts w:ascii="Arial" w:eastAsia="Calibri" w:hAnsi="Arial" w:cs="Arial"/>
                <w:iCs/>
                <w:sz w:val="16"/>
                <w:szCs w:val="16"/>
              </w:rPr>
              <w:t>Uređenje dječjih igrališta</w:t>
            </w:r>
          </w:p>
        </w:tc>
        <w:tc>
          <w:tcPr>
            <w:tcW w:w="3402" w:type="dxa"/>
            <w:tcBorders>
              <w:top w:val="single" w:sz="4" w:space="0" w:color="auto"/>
              <w:left w:val="single" w:sz="4" w:space="0" w:color="auto"/>
              <w:bottom w:val="single" w:sz="4" w:space="0" w:color="auto"/>
              <w:right w:val="single" w:sz="4" w:space="0" w:color="auto"/>
            </w:tcBorders>
            <w:vAlign w:val="center"/>
          </w:tcPr>
          <w:p w14:paraId="5165378A" w14:textId="77777777" w:rsidR="00184A8E" w:rsidRPr="00184A8E" w:rsidRDefault="00184A8E" w:rsidP="00184A8E">
            <w:pPr>
              <w:autoSpaceDE w:val="0"/>
              <w:autoSpaceDN w:val="0"/>
              <w:adjustRightInd w:val="0"/>
              <w:rPr>
                <w:rFonts w:ascii="Arial" w:hAnsi="Arial" w:cs="Arial"/>
                <w:sz w:val="16"/>
                <w:szCs w:val="16"/>
              </w:rPr>
            </w:pPr>
            <w:r w:rsidRPr="00184A8E">
              <w:rPr>
                <w:rFonts w:ascii="Arial" w:hAnsi="Arial" w:cs="Arial"/>
                <w:sz w:val="16"/>
                <w:szCs w:val="16"/>
              </w:rPr>
              <w:t>Broj uređenih igrališta</w:t>
            </w:r>
          </w:p>
        </w:tc>
        <w:tc>
          <w:tcPr>
            <w:tcW w:w="958" w:type="dxa"/>
            <w:tcBorders>
              <w:top w:val="single" w:sz="4" w:space="0" w:color="auto"/>
              <w:left w:val="single" w:sz="4" w:space="0" w:color="auto"/>
              <w:bottom w:val="single" w:sz="4" w:space="0" w:color="auto"/>
              <w:right w:val="single" w:sz="4" w:space="0" w:color="auto"/>
            </w:tcBorders>
            <w:vAlign w:val="center"/>
          </w:tcPr>
          <w:p w14:paraId="33109C00" w14:textId="77777777" w:rsidR="00184A8E" w:rsidRPr="00184A8E" w:rsidRDefault="00184A8E" w:rsidP="00184A8E">
            <w:pPr>
              <w:jc w:val="center"/>
              <w:rPr>
                <w:rFonts w:ascii="Arial" w:hAnsi="Arial" w:cs="Arial"/>
              </w:rPr>
            </w:pPr>
            <w:r w:rsidRPr="00184A8E">
              <w:rPr>
                <w:rFonts w:ascii="Arial" w:eastAsia="Calibri" w:hAnsi="Arial" w:cs="Arial"/>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1F3D70F0"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3225EDD" w14:textId="34D5C74F" w:rsidR="00184A8E" w:rsidRPr="00184A8E" w:rsidRDefault="009F4203" w:rsidP="00184A8E">
            <w:pPr>
              <w:jc w:val="center"/>
              <w:rPr>
                <w:rFonts w:ascii="Arial" w:hAnsi="Arial" w:cs="Arial"/>
              </w:rPr>
            </w:pPr>
            <w:r>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vAlign w:val="center"/>
          </w:tcPr>
          <w:p w14:paraId="289DF630" w14:textId="77777777" w:rsidR="00184A8E" w:rsidRPr="00184A8E" w:rsidRDefault="00184A8E" w:rsidP="00184A8E">
            <w:pPr>
              <w:jc w:val="center"/>
              <w:rPr>
                <w:rFonts w:ascii="Arial" w:hAnsi="Arial" w:cs="Arial"/>
              </w:rPr>
            </w:pPr>
            <w:r w:rsidRPr="00184A8E">
              <w:rPr>
                <w:rFonts w:ascii="Arial" w:hAnsi="Arial" w:cs="Arial"/>
              </w:rPr>
              <w:t>2</w:t>
            </w:r>
          </w:p>
        </w:tc>
        <w:tc>
          <w:tcPr>
            <w:tcW w:w="1242" w:type="dxa"/>
            <w:tcBorders>
              <w:top w:val="single" w:sz="4" w:space="0" w:color="000000"/>
              <w:left w:val="single" w:sz="4" w:space="0" w:color="000000"/>
              <w:bottom w:val="single" w:sz="4" w:space="0" w:color="000000"/>
              <w:right w:val="single" w:sz="4" w:space="0" w:color="000000"/>
            </w:tcBorders>
            <w:vAlign w:val="center"/>
          </w:tcPr>
          <w:p w14:paraId="4EFA683A" w14:textId="77777777" w:rsidR="00184A8E" w:rsidRPr="00184A8E" w:rsidRDefault="00184A8E" w:rsidP="00184A8E">
            <w:pPr>
              <w:jc w:val="center"/>
              <w:rPr>
                <w:rFonts w:ascii="Arial" w:hAnsi="Arial" w:cs="Arial"/>
              </w:rPr>
            </w:pPr>
            <w:r w:rsidRPr="00184A8E">
              <w:rPr>
                <w:rFonts w:ascii="Arial" w:hAnsi="Arial" w:cs="Arial"/>
              </w:rPr>
              <w:t>5</w:t>
            </w:r>
          </w:p>
        </w:tc>
        <w:tc>
          <w:tcPr>
            <w:tcW w:w="1242" w:type="dxa"/>
            <w:tcBorders>
              <w:top w:val="single" w:sz="4" w:space="0" w:color="000000"/>
              <w:left w:val="single" w:sz="4" w:space="0" w:color="000000"/>
              <w:bottom w:val="single" w:sz="4" w:space="0" w:color="000000"/>
              <w:right w:val="single" w:sz="4" w:space="0" w:color="000000"/>
            </w:tcBorders>
            <w:vAlign w:val="center"/>
          </w:tcPr>
          <w:p w14:paraId="777D5C46" w14:textId="77777777" w:rsidR="00184A8E" w:rsidRPr="00184A8E" w:rsidRDefault="00184A8E" w:rsidP="00184A8E">
            <w:pPr>
              <w:jc w:val="center"/>
              <w:rPr>
                <w:rFonts w:ascii="Arial" w:hAnsi="Arial" w:cs="Arial"/>
              </w:rPr>
            </w:pPr>
            <w:r w:rsidRPr="00184A8E">
              <w:rPr>
                <w:rFonts w:ascii="Arial" w:hAnsi="Arial" w:cs="Arial"/>
              </w:rPr>
              <w:t>2</w:t>
            </w:r>
          </w:p>
        </w:tc>
        <w:tc>
          <w:tcPr>
            <w:tcW w:w="1242" w:type="dxa"/>
            <w:tcBorders>
              <w:top w:val="single" w:sz="4" w:space="0" w:color="000000"/>
              <w:left w:val="single" w:sz="4" w:space="0" w:color="000000"/>
              <w:bottom w:val="single" w:sz="4" w:space="0" w:color="000000"/>
              <w:right w:val="single" w:sz="4" w:space="0" w:color="000000"/>
            </w:tcBorders>
            <w:vAlign w:val="center"/>
          </w:tcPr>
          <w:p w14:paraId="1F49D627" w14:textId="77777777" w:rsidR="00184A8E" w:rsidRPr="00184A8E" w:rsidRDefault="00184A8E" w:rsidP="00184A8E">
            <w:pPr>
              <w:jc w:val="center"/>
              <w:rPr>
                <w:rFonts w:ascii="Arial" w:hAnsi="Arial" w:cs="Arial"/>
              </w:rPr>
            </w:pPr>
            <w:r w:rsidRPr="00184A8E">
              <w:rPr>
                <w:rFonts w:ascii="Arial" w:hAnsi="Arial" w:cs="Arial"/>
              </w:rPr>
              <w:t>2</w:t>
            </w:r>
          </w:p>
        </w:tc>
      </w:tr>
      <w:bookmarkEnd w:id="555"/>
    </w:tbl>
    <w:p w14:paraId="72B6EB5D" w14:textId="77777777" w:rsidR="00184A8E" w:rsidRPr="00184A8E" w:rsidRDefault="00184A8E" w:rsidP="00184A8E">
      <w:pPr>
        <w:tabs>
          <w:tab w:val="num" w:pos="142"/>
        </w:tabs>
        <w:spacing w:after="0" w:line="240" w:lineRule="auto"/>
        <w:jc w:val="both"/>
        <w:rPr>
          <w:rFonts w:ascii="Arial" w:eastAsia="Calibri" w:hAnsi="Arial" w:cs="Arial"/>
          <w:sz w:val="20"/>
          <w:szCs w:val="20"/>
        </w:rPr>
      </w:pPr>
    </w:p>
    <w:p w14:paraId="65E38E09" w14:textId="441206DA" w:rsid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20. A209227: Aktivnosti u svezi evidentiranja i upis nerazvrstanih cesta u zemljišne knjige </w:t>
      </w:r>
      <w:r w:rsidRPr="00184A8E">
        <w:rPr>
          <w:rFonts w:ascii="Arial" w:eastAsia="Calibri" w:hAnsi="Arial" w:cs="Arial"/>
          <w:sz w:val="20"/>
          <w:szCs w:val="20"/>
          <w:lang w:eastAsia="en-US"/>
        </w:rPr>
        <w:t xml:space="preserve"> – u sklopu projekta planiraju se rashodi u iznosu </w:t>
      </w:r>
      <w:r w:rsidR="009F4203">
        <w:rPr>
          <w:rFonts w:ascii="Arial" w:eastAsia="Calibri" w:hAnsi="Arial" w:cs="Arial"/>
          <w:sz w:val="20"/>
          <w:szCs w:val="20"/>
          <w:lang w:eastAsia="en-US"/>
        </w:rPr>
        <w:t>28.200</w:t>
      </w:r>
      <w:r w:rsidRPr="00184A8E">
        <w:rPr>
          <w:rFonts w:ascii="Arial" w:eastAsia="Calibri" w:hAnsi="Arial" w:cs="Arial"/>
          <w:sz w:val="20"/>
          <w:szCs w:val="20"/>
          <w:lang w:eastAsia="en-US"/>
        </w:rPr>
        <w:t xml:space="preserve"> €. Ovi rashodi se odnose na izradu geodetskih elaborata izvedenog stanja, evidentiranje i uknjižbu u katastru i zemljišnim knjigama</w:t>
      </w:r>
      <w:r w:rsidR="009F4203" w:rsidRPr="009F4203">
        <w:t xml:space="preserve"> </w:t>
      </w:r>
      <w:r w:rsidR="009F4203" w:rsidRPr="009F4203">
        <w:rPr>
          <w:rFonts w:ascii="Arial" w:eastAsia="Calibri" w:hAnsi="Arial" w:cs="Arial"/>
          <w:sz w:val="20"/>
          <w:szCs w:val="20"/>
          <w:lang w:eastAsia="en-US"/>
        </w:rPr>
        <w:t>Planirane su izrade geodetskih elaborata za ulice Kneza Domagoja i Frana Laureana u Cavtatu, te drugo.</w:t>
      </w:r>
    </w:p>
    <w:p w14:paraId="7931B7AF" w14:textId="77777777" w:rsidR="009F4203" w:rsidRPr="00184A8E" w:rsidRDefault="009F4203" w:rsidP="00184A8E">
      <w:pPr>
        <w:spacing w:after="0" w:line="240" w:lineRule="auto"/>
        <w:jc w:val="both"/>
        <w:rPr>
          <w:rFonts w:ascii="Arial" w:eastAsia="Calibri" w:hAnsi="Arial" w:cs="Arial"/>
          <w:sz w:val="18"/>
          <w:szCs w:val="18"/>
          <w:lang w:eastAsia="en-US" w:bidi="en-US"/>
        </w:rPr>
      </w:pPr>
    </w:p>
    <w:p w14:paraId="51757EBB" w14:textId="77777777" w:rsidR="000A11A3" w:rsidRPr="000A11A3" w:rsidRDefault="000A11A3" w:rsidP="000A11A3">
      <w:pPr>
        <w:spacing w:after="0" w:line="240" w:lineRule="auto"/>
        <w:jc w:val="both"/>
        <w:rPr>
          <w:rFonts w:ascii="Arial" w:hAnsi="Arial" w:cs="Arial"/>
          <w:sz w:val="20"/>
          <w:szCs w:val="20"/>
        </w:rPr>
      </w:pPr>
      <w:bookmarkStart w:id="558" w:name="_Hlk166237439"/>
      <w:bookmarkStart w:id="559" w:name="_Hlk198905595"/>
      <w:r w:rsidRPr="000A11A3">
        <w:rPr>
          <w:rFonts w:ascii="Arial" w:hAnsi="Arial" w:cs="Arial"/>
          <w:sz w:val="20"/>
          <w:szCs w:val="20"/>
        </w:rPr>
        <w:t>Rashodi u 2025. su izvršeni u iznosu 10.742,50 € i odnose se na:</w:t>
      </w:r>
    </w:p>
    <w:p w14:paraId="238BAAE8" w14:textId="77777777" w:rsidR="000A11A3" w:rsidRPr="000A11A3" w:rsidRDefault="000A11A3">
      <w:pPr>
        <w:numPr>
          <w:ilvl w:val="0"/>
          <w:numId w:val="3"/>
        </w:numPr>
        <w:spacing w:after="0" w:line="240" w:lineRule="auto"/>
        <w:ind w:left="567" w:hanging="567"/>
        <w:jc w:val="both"/>
        <w:rPr>
          <w:rFonts w:ascii="Arial" w:hAnsi="Arial" w:cs="Arial"/>
          <w:sz w:val="20"/>
          <w:szCs w:val="20"/>
        </w:rPr>
      </w:pPr>
      <w:r w:rsidRPr="000A11A3">
        <w:rPr>
          <w:rFonts w:ascii="Arial" w:hAnsi="Arial" w:cs="Arial"/>
          <w:sz w:val="20"/>
          <w:szCs w:val="20"/>
        </w:rPr>
        <w:t>usluge odvjetnika u postupku rješavanja imovinsko pravnih odnosa na nekretnini k.č. 1285/6 i 1285/9 k.o. Dubravka (svojstvo nerazvrstane ceste) u iznosu 780 €,</w:t>
      </w:r>
    </w:p>
    <w:p w14:paraId="402855B5" w14:textId="77777777" w:rsidR="000A11A3" w:rsidRPr="000A11A3" w:rsidRDefault="000A11A3">
      <w:pPr>
        <w:numPr>
          <w:ilvl w:val="0"/>
          <w:numId w:val="3"/>
        </w:numPr>
        <w:spacing w:after="0" w:line="240" w:lineRule="auto"/>
        <w:ind w:left="567" w:hanging="567"/>
        <w:jc w:val="both"/>
        <w:rPr>
          <w:rFonts w:ascii="Arial" w:hAnsi="Arial" w:cs="Arial"/>
          <w:sz w:val="20"/>
          <w:szCs w:val="20"/>
        </w:rPr>
      </w:pPr>
      <w:r w:rsidRPr="000A11A3">
        <w:rPr>
          <w:rFonts w:ascii="Arial" w:hAnsi="Arial" w:cs="Arial"/>
          <w:sz w:val="20"/>
          <w:szCs w:val="20"/>
        </w:rPr>
        <w:t xml:space="preserve">izrada geodetskog snimka na nerazvrstanim cestama u Dubravci 875 €, </w:t>
      </w:r>
    </w:p>
    <w:p w14:paraId="666CC8E8" w14:textId="77777777" w:rsidR="000A11A3" w:rsidRPr="000A11A3" w:rsidRDefault="000A11A3">
      <w:pPr>
        <w:numPr>
          <w:ilvl w:val="0"/>
          <w:numId w:val="3"/>
        </w:numPr>
        <w:spacing w:after="0" w:line="240" w:lineRule="auto"/>
        <w:ind w:left="567" w:hanging="567"/>
        <w:jc w:val="both"/>
        <w:rPr>
          <w:rFonts w:ascii="Arial" w:hAnsi="Arial" w:cs="Arial"/>
          <w:sz w:val="20"/>
          <w:szCs w:val="20"/>
        </w:rPr>
      </w:pPr>
      <w:r w:rsidRPr="000A11A3">
        <w:rPr>
          <w:rFonts w:ascii="Arial" w:hAnsi="Arial" w:cs="Arial"/>
          <w:sz w:val="20"/>
          <w:szCs w:val="20"/>
        </w:rPr>
        <w:t xml:space="preserve">izrada geodetskog elaborata izvedenog stanja za nerazvrstanu cestu Ulica SS Kranjčevića na k.č. 511/2 k.o. Cavtat u iznosu 1.875 €, </w:t>
      </w:r>
    </w:p>
    <w:p w14:paraId="76646969" w14:textId="77777777" w:rsidR="000A11A3" w:rsidRPr="000A11A3" w:rsidRDefault="000A11A3">
      <w:pPr>
        <w:numPr>
          <w:ilvl w:val="0"/>
          <w:numId w:val="3"/>
        </w:numPr>
        <w:spacing w:after="0" w:line="240" w:lineRule="auto"/>
        <w:ind w:left="567" w:hanging="567"/>
        <w:jc w:val="both"/>
        <w:rPr>
          <w:rFonts w:ascii="Arial" w:hAnsi="Arial" w:cs="Arial"/>
          <w:sz w:val="20"/>
          <w:szCs w:val="20"/>
        </w:rPr>
      </w:pPr>
      <w:r w:rsidRPr="000A11A3">
        <w:rPr>
          <w:rFonts w:ascii="Arial" w:hAnsi="Arial" w:cs="Arial"/>
          <w:sz w:val="20"/>
          <w:szCs w:val="20"/>
        </w:rPr>
        <w:t>izrada geodetskog elaborata izvedenog stanja za nerazvrstanu cestu k.o. Poljice (cesta koja spaja Poljice s Ilijinim vrhom iznosu 7.212,50 €.</w:t>
      </w:r>
    </w:p>
    <w:p w14:paraId="052CC806" w14:textId="77777777" w:rsidR="000A11A3" w:rsidRPr="000A11A3" w:rsidRDefault="000A11A3" w:rsidP="000A11A3">
      <w:pPr>
        <w:spacing w:after="0" w:line="240" w:lineRule="auto"/>
        <w:jc w:val="both"/>
        <w:rPr>
          <w:rFonts w:ascii="Arial" w:hAnsi="Arial" w:cs="Arial"/>
          <w:sz w:val="20"/>
          <w:szCs w:val="20"/>
        </w:rPr>
      </w:pPr>
    </w:p>
    <w:p w14:paraId="220250CB" w14:textId="77777777" w:rsidR="000A11A3" w:rsidRPr="000A11A3" w:rsidRDefault="000A11A3" w:rsidP="000A11A3">
      <w:pPr>
        <w:spacing w:after="0" w:line="240" w:lineRule="auto"/>
        <w:jc w:val="both"/>
        <w:rPr>
          <w:rFonts w:ascii="Arial" w:hAnsi="Arial" w:cs="Arial"/>
          <w:sz w:val="20"/>
          <w:szCs w:val="20"/>
        </w:rPr>
      </w:pPr>
      <w:r w:rsidRPr="000A11A3">
        <w:rPr>
          <w:rFonts w:ascii="Arial" w:hAnsi="Arial" w:cs="Arial"/>
          <w:sz w:val="20"/>
          <w:szCs w:val="20"/>
        </w:rPr>
        <w:t>Postupak evidentiranja i upisa nerazvrstanih cesta u zemljišne knjige ovisi o raspoloživim proračunskim sredstvima i provoditi će se više godina. Rashodi su izvršeni manje od planiranog jer izrada drugih elaborata i postupci evidentiranja upisa nisu mogli bili ugovoreni zbog zauzetosti drugim projektima / aktivnostima i zauzetosti ovlaštenih inženjera.</w:t>
      </w:r>
    </w:p>
    <w:p w14:paraId="5491D9DE" w14:textId="77777777" w:rsidR="000A11A3" w:rsidRPr="000A11A3" w:rsidRDefault="000A11A3" w:rsidP="00184A8E">
      <w:pPr>
        <w:spacing w:after="0" w:line="240" w:lineRule="auto"/>
        <w:jc w:val="both"/>
        <w:rPr>
          <w:rFonts w:ascii="Arial" w:eastAsia="Calibri" w:hAnsi="Arial" w:cs="Arial"/>
          <w:sz w:val="20"/>
          <w:szCs w:val="20"/>
          <w:lang w:eastAsia="en-US" w:bidi="en-US"/>
        </w:rPr>
      </w:pPr>
    </w:p>
    <w:bookmarkEnd w:id="558"/>
    <w:bookmarkEnd w:id="559"/>
    <w:p w14:paraId="0A9D81B1" w14:textId="77777777" w:rsidR="00184A8E" w:rsidRPr="00184A8E" w:rsidRDefault="00184A8E" w:rsidP="00184A8E">
      <w:pPr>
        <w:tabs>
          <w:tab w:val="num" w:pos="142"/>
        </w:tabs>
        <w:spacing w:after="0" w:line="240" w:lineRule="auto"/>
        <w:ind w:left="142" w:hanging="142"/>
        <w:jc w:val="both"/>
        <w:rPr>
          <w:rFonts w:ascii="Arial" w:eastAsia="Calibri" w:hAnsi="Arial" w:cs="Arial"/>
          <w:sz w:val="20"/>
          <w:szCs w:val="20"/>
          <w:lang w:eastAsia="en-US"/>
        </w:rPr>
      </w:pPr>
      <w:r w:rsidRPr="00184A8E">
        <w:rPr>
          <w:rFonts w:ascii="Arial" w:eastAsia="Calibri" w:hAnsi="Arial" w:cs="Arial"/>
          <w:sz w:val="20"/>
          <w:szCs w:val="20"/>
          <w:lang w:eastAsia="en-US"/>
        </w:rPr>
        <w:t>CILJ: Upisati u posjed i vlasništvo ceste koje po Zakonu u cestama imaju status nerazvrstanih cesta. Upisom nerazvrstanih cesta u vlasništvo provode se postupci novih katastarskih izmjera, a posljedično tomu i postupci osnivanja ili obnove zemljišnih knjiga zbog toga da zemljišna knjiga postane točna, ažurna evidencija koja će prikazivati točno pravno stanje nekretnine, a ne da zemljišna knjiga i nakon provedenih postupaka obnove, odnosno osnivanja, ostane i nadalje nesređena, odnosno da predstavlja izvor niza novih sudskih sporova.</w:t>
      </w:r>
    </w:p>
    <w:p w14:paraId="5785149A" w14:textId="77777777" w:rsidR="00184A8E" w:rsidRPr="00184A8E" w:rsidRDefault="00184A8E" w:rsidP="00184A8E">
      <w:pPr>
        <w:tabs>
          <w:tab w:val="num" w:pos="142"/>
        </w:tabs>
        <w:spacing w:after="0" w:line="240" w:lineRule="auto"/>
        <w:jc w:val="both"/>
        <w:rPr>
          <w:rFonts w:ascii="Arial" w:eastAsia="Calibri" w:hAnsi="Arial" w:cs="Arial"/>
          <w:sz w:val="18"/>
          <w:szCs w:val="18"/>
          <w:lang w:eastAsia="en-US"/>
        </w:rPr>
      </w:pPr>
    </w:p>
    <w:tbl>
      <w:tblPr>
        <w:tblStyle w:val="Reetkatablice5368"/>
        <w:tblW w:w="14138" w:type="dxa"/>
        <w:jc w:val="center"/>
        <w:tblLayout w:type="fixed"/>
        <w:tblLook w:val="04A0" w:firstRow="1" w:lastRow="0" w:firstColumn="1" w:lastColumn="0" w:noHBand="0" w:noVBand="1"/>
      </w:tblPr>
      <w:tblGrid>
        <w:gridCol w:w="2977"/>
        <w:gridCol w:w="2835"/>
        <w:gridCol w:w="958"/>
        <w:gridCol w:w="1134"/>
        <w:gridCol w:w="1232"/>
        <w:gridCol w:w="1276"/>
        <w:gridCol w:w="1242"/>
        <w:gridCol w:w="1242"/>
        <w:gridCol w:w="1242"/>
      </w:tblGrid>
      <w:tr w:rsidR="00184A8E" w:rsidRPr="00184A8E" w14:paraId="6D2F7247" w14:textId="77777777" w:rsidTr="00410A4B">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77445B8"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Pokazatelj rezultata</w:t>
            </w:r>
          </w:p>
        </w:tc>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2A35B4B"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FF20F9B"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44D9276"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EF89AF2" w14:textId="1E6F53C4"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Polazna vrijednost 202</w:t>
            </w:r>
            <w:r w:rsidR="000A11A3">
              <w:rPr>
                <w:rFonts w:ascii="Arial" w:eastAsia="Calibri" w:hAnsi="Arial" w:cs="Arial"/>
                <w:sz w:val="18"/>
                <w:szCs w:val="18"/>
              </w:rPr>
              <w:t>4</w:t>
            </w:r>
            <w:r w:rsidRPr="00184A8E">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25D2D33" w14:textId="6142ADC9"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0A11A3">
              <w:rPr>
                <w:rFonts w:ascii="Arial" w:eastAsia="Calibri" w:hAnsi="Arial" w:cs="Arial"/>
                <w:sz w:val="18"/>
                <w:szCs w:val="18"/>
              </w:rPr>
              <w:t>5</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B9BDDF5" w14:textId="080B0FCD"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Izvršeno 202</w:t>
            </w:r>
            <w:r w:rsidR="000A11A3">
              <w:rPr>
                <w:rFonts w:ascii="Arial" w:eastAsia="Calibri" w:hAnsi="Arial" w:cs="Arial"/>
                <w:sz w:val="18"/>
                <w:szCs w:val="18"/>
              </w:rPr>
              <w:t>5</w:t>
            </w:r>
            <w:r w:rsidRPr="00184A8E">
              <w:rPr>
                <w:rFonts w:ascii="Arial" w:eastAsia="Calibri" w:hAnsi="Arial" w:cs="Arial"/>
                <w:sz w:val="18"/>
                <w:szCs w:val="18"/>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59EF772" w14:textId="163C31BB"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0A11A3">
              <w:rPr>
                <w:rFonts w:ascii="Arial" w:eastAsia="Calibri" w:hAnsi="Arial" w:cs="Arial"/>
                <w:sz w:val="18"/>
                <w:szCs w:val="18"/>
              </w:rPr>
              <w:t>6</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E87720F" w14:textId="7957359B"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0A11A3">
              <w:rPr>
                <w:rFonts w:ascii="Arial" w:eastAsia="Calibri" w:hAnsi="Arial" w:cs="Arial"/>
                <w:sz w:val="18"/>
                <w:szCs w:val="18"/>
              </w:rPr>
              <w:t>7</w:t>
            </w:r>
            <w:r w:rsidRPr="00184A8E">
              <w:rPr>
                <w:rFonts w:ascii="Arial" w:eastAsia="Calibri" w:hAnsi="Arial" w:cs="Arial"/>
                <w:sz w:val="18"/>
                <w:szCs w:val="18"/>
              </w:rPr>
              <w:t>.</w:t>
            </w:r>
          </w:p>
        </w:tc>
      </w:tr>
      <w:tr w:rsidR="00184A8E" w:rsidRPr="00184A8E" w14:paraId="703D97BD" w14:textId="77777777" w:rsidTr="00410A4B">
        <w:trPr>
          <w:trHeight w:val="273"/>
          <w:jc w:val="center"/>
        </w:trPr>
        <w:tc>
          <w:tcPr>
            <w:tcW w:w="2977" w:type="dxa"/>
            <w:tcBorders>
              <w:top w:val="single" w:sz="4" w:space="0" w:color="auto"/>
              <w:left w:val="single" w:sz="4" w:space="0" w:color="auto"/>
              <w:bottom w:val="single" w:sz="4" w:space="0" w:color="auto"/>
              <w:right w:val="single" w:sz="4" w:space="0" w:color="auto"/>
            </w:tcBorders>
            <w:vAlign w:val="center"/>
          </w:tcPr>
          <w:p w14:paraId="503FFCE9" w14:textId="77777777" w:rsidR="00184A8E" w:rsidRPr="00184A8E" w:rsidRDefault="00184A8E" w:rsidP="00184A8E">
            <w:pPr>
              <w:rPr>
                <w:rFonts w:ascii="Arial" w:hAnsi="Arial" w:cs="Arial"/>
                <w:sz w:val="18"/>
                <w:szCs w:val="18"/>
              </w:rPr>
            </w:pPr>
            <w:r w:rsidRPr="00184A8E">
              <w:rPr>
                <w:rFonts w:ascii="Arial" w:eastAsia="Calibri" w:hAnsi="Arial" w:cs="Arial"/>
                <w:iCs/>
                <w:sz w:val="18"/>
                <w:szCs w:val="18"/>
              </w:rPr>
              <w:t xml:space="preserve">Utrošena sredstva za aktivnosti evidentiranja i upisa nerazvrstanih cesta u zemljišne knjige </w:t>
            </w:r>
          </w:p>
        </w:tc>
        <w:tc>
          <w:tcPr>
            <w:tcW w:w="2835" w:type="dxa"/>
            <w:tcBorders>
              <w:top w:val="single" w:sz="4" w:space="0" w:color="auto"/>
              <w:left w:val="single" w:sz="4" w:space="0" w:color="auto"/>
              <w:bottom w:val="single" w:sz="4" w:space="0" w:color="auto"/>
              <w:right w:val="single" w:sz="4" w:space="0" w:color="auto"/>
            </w:tcBorders>
            <w:vAlign w:val="center"/>
          </w:tcPr>
          <w:p w14:paraId="41D65EDF" w14:textId="77777777" w:rsidR="00184A8E" w:rsidRPr="00184A8E" w:rsidRDefault="00184A8E" w:rsidP="00184A8E">
            <w:pPr>
              <w:autoSpaceDE w:val="0"/>
              <w:autoSpaceDN w:val="0"/>
              <w:adjustRightInd w:val="0"/>
              <w:rPr>
                <w:rFonts w:ascii="Arial" w:hAnsi="Arial" w:cs="Arial"/>
                <w:sz w:val="18"/>
                <w:szCs w:val="18"/>
              </w:rPr>
            </w:pPr>
            <w:r w:rsidRPr="00184A8E">
              <w:rPr>
                <w:rFonts w:ascii="Arial" w:eastAsia="Calibri" w:hAnsi="Arial" w:cs="Arial"/>
                <w:sz w:val="18"/>
                <w:szCs w:val="18"/>
              </w:rPr>
              <w:t>Udio utrošenih planiranih sredstava za evidentiranje i upis cesta u zemljišne knjige</w:t>
            </w:r>
          </w:p>
        </w:tc>
        <w:tc>
          <w:tcPr>
            <w:tcW w:w="958" w:type="dxa"/>
            <w:tcBorders>
              <w:top w:val="single" w:sz="4" w:space="0" w:color="auto"/>
              <w:left w:val="single" w:sz="4" w:space="0" w:color="auto"/>
              <w:bottom w:val="single" w:sz="4" w:space="0" w:color="auto"/>
              <w:right w:val="single" w:sz="4" w:space="0" w:color="auto"/>
            </w:tcBorders>
            <w:vAlign w:val="center"/>
          </w:tcPr>
          <w:p w14:paraId="58025DE3"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6DD8B53D"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2DADD4F4" w14:textId="249B39D1" w:rsidR="00184A8E" w:rsidRPr="00184A8E" w:rsidRDefault="000A11A3" w:rsidP="00184A8E">
            <w:pPr>
              <w:jc w:val="center"/>
              <w:rPr>
                <w:rFonts w:ascii="Arial" w:hAnsi="Arial" w:cs="Arial"/>
                <w:sz w:val="18"/>
                <w:szCs w:val="18"/>
              </w:rPr>
            </w:pPr>
            <w:r>
              <w:rPr>
                <w:rFonts w:ascii="Arial" w:eastAsia="Calibri" w:hAnsi="Arial" w:cs="Arial"/>
                <w:sz w:val="18"/>
                <w:szCs w:val="18"/>
              </w:rPr>
              <w:t>20</w:t>
            </w:r>
            <w:r w:rsidR="00184A8E" w:rsidRPr="00184A8E">
              <w:rPr>
                <w:rFonts w:ascii="Arial" w:eastAsia="Calibri" w:hAnsi="Arial" w:cs="Arial"/>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00CF6EC9"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30D9B5D7" w14:textId="3EAD8B01" w:rsidR="00184A8E" w:rsidRPr="00184A8E" w:rsidRDefault="000A11A3" w:rsidP="00184A8E">
            <w:pPr>
              <w:jc w:val="center"/>
              <w:rPr>
                <w:rFonts w:ascii="Arial" w:eastAsia="Calibri" w:hAnsi="Arial" w:cs="Arial"/>
                <w:sz w:val="18"/>
                <w:szCs w:val="18"/>
              </w:rPr>
            </w:pPr>
            <w:r>
              <w:rPr>
                <w:rFonts w:ascii="Arial" w:eastAsia="Calibri" w:hAnsi="Arial" w:cs="Arial"/>
                <w:sz w:val="18"/>
                <w:szCs w:val="18"/>
              </w:rPr>
              <w:t>38</w:t>
            </w:r>
            <w:r w:rsidR="00184A8E"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2B21C203"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491CC851"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r>
    </w:tbl>
    <w:p w14:paraId="05F31AC2" w14:textId="77777777" w:rsidR="00184A8E" w:rsidRPr="00184A8E" w:rsidRDefault="00184A8E" w:rsidP="00184A8E">
      <w:pPr>
        <w:tabs>
          <w:tab w:val="num" w:pos="142"/>
        </w:tabs>
        <w:spacing w:after="0" w:line="240" w:lineRule="auto"/>
        <w:jc w:val="both"/>
        <w:rPr>
          <w:rFonts w:ascii="Arial" w:eastAsia="Calibri" w:hAnsi="Arial" w:cs="Arial"/>
          <w:sz w:val="20"/>
          <w:szCs w:val="20"/>
          <w:lang w:eastAsia="en-US"/>
        </w:rPr>
      </w:pPr>
    </w:p>
    <w:p w14:paraId="5A5649EF"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 xml:space="preserve">21. T209228: Zaobilaznica Molunat </w:t>
      </w:r>
      <w:r w:rsidRPr="00184A8E">
        <w:rPr>
          <w:rFonts w:ascii="Arial" w:eastAsia="Calibri" w:hAnsi="Arial" w:cs="Arial"/>
          <w:sz w:val="20"/>
          <w:szCs w:val="20"/>
        </w:rPr>
        <w:t xml:space="preserve"> – u sklopu projekta nisu planirani rashodi. U sklopu projekta 2019. godine su izvršeni radovi za izgradnju pristupnog puta. </w:t>
      </w:r>
    </w:p>
    <w:p w14:paraId="3B5F3E46" w14:textId="77777777" w:rsidR="00184A8E" w:rsidRPr="00184A8E" w:rsidRDefault="00184A8E" w:rsidP="00184A8E">
      <w:pPr>
        <w:spacing w:after="0" w:line="240" w:lineRule="auto"/>
        <w:jc w:val="both"/>
        <w:rPr>
          <w:rFonts w:ascii="Arial" w:eastAsia="Calibri" w:hAnsi="Arial" w:cs="Arial"/>
          <w:sz w:val="20"/>
          <w:szCs w:val="20"/>
        </w:rPr>
      </w:pPr>
    </w:p>
    <w:p w14:paraId="4FE4E536" w14:textId="77777777" w:rsidR="00184A8E" w:rsidRPr="00184A8E" w:rsidRDefault="00184A8E" w:rsidP="00184A8E">
      <w:pPr>
        <w:spacing w:after="0" w:line="240" w:lineRule="auto"/>
        <w:jc w:val="both"/>
        <w:rPr>
          <w:rFonts w:ascii="Arial" w:eastAsia="Calibri" w:hAnsi="Arial" w:cs="Arial"/>
          <w:sz w:val="20"/>
          <w:szCs w:val="20"/>
          <w:lang w:eastAsia="en-US"/>
        </w:rPr>
      </w:pPr>
      <w:bookmarkStart w:id="560" w:name="_Hlk135065329"/>
      <w:r w:rsidRPr="00184A8E">
        <w:rPr>
          <w:rFonts w:ascii="Arial" w:eastAsia="Calibri" w:hAnsi="Arial" w:cs="Arial"/>
          <w:b/>
          <w:sz w:val="20"/>
          <w:szCs w:val="20"/>
          <w:lang w:eastAsia="en-US"/>
        </w:rPr>
        <w:t xml:space="preserve">22. T209229: Cesta Mećajac - jug </w:t>
      </w:r>
      <w:r w:rsidRPr="00184A8E">
        <w:rPr>
          <w:rFonts w:ascii="Arial" w:eastAsia="Calibri" w:hAnsi="Arial" w:cs="Arial"/>
          <w:sz w:val="20"/>
          <w:szCs w:val="20"/>
          <w:lang w:eastAsia="en-US"/>
        </w:rPr>
        <w:t xml:space="preserve"> – u sklopu projekta nisu planirani rashodi. </w:t>
      </w:r>
    </w:p>
    <w:p w14:paraId="1B3A2408"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 okviru ovog projekta su rashodi za izradu projektne dokumentacije za proširenje ulice Stjepana Radića – do lokacijske dozvole za proširenje ulice duljine 2 km, I faza, kao i daljnje radove. U okviru ovog projekta radi se o mreži prometnica Mećajac 527,38 m duljine i Mećajac Jug-Podresnik-Mala greda duljine 1765 m.</w:t>
      </w:r>
    </w:p>
    <w:p w14:paraId="5465445B" w14:textId="77777777" w:rsidR="00184A8E" w:rsidRPr="00184A8E" w:rsidRDefault="00184A8E" w:rsidP="00184A8E">
      <w:pPr>
        <w:spacing w:after="0" w:line="240" w:lineRule="auto"/>
        <w:jc w:val="both"/>
        <w:rPr>
          <w:rFonts w:ascii="Arial" w:eastAsia="Calibri" w:hAnsi="Arial" w:cs="Arial"/>
          <w:sz w:val="20"/>
          <w:szCs w:val="20"/>
          <w:lang w:eastAsia="en-US"/>
        </w:rPr>
      </w:pPr>
    </w:p>
    <w:p w14:paraId="4BFC38EA"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2263"/>
        <w:gridCol w:w="3402"/>
        <w:gridCol w:w="958"/>
        <w:gridCol w:w="1134"/>
        <w:gridCol w:w="1232"/>
        <w:gridCol w:w="1276"/>
        <w:gridCol w:w="1242"/>
        <w:gridCol w:w="1242"/>
        <w:gridCol w:w="1242"/>
      </w:tblGrid>
      <w:tr w:rsidR="00184A8E" w:rsidRPr="00184A8E" w14:paraId="3E83DED4"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6204B64"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FF901C3"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EC565CA"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5DEC8F5"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ED018EC" w14:textId="72B7359C"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Polazna vrijednost 202</w:t>
            </w:r>
            <w:r w:rsidR="000A11A3">
              <w:rPr>
                <w:rFonts w:ascii="Arial" w:eastAsia="Calibri" w:hAnsi="Arial" w:cs="Arial"/>
                <w:sz w:val="18"/>
                <w:szCs w:val="18"/>
              </w:rPr>
              <w:t>4</w:t>
            </w:r>
            <w:r w:rsidRPr="00184A8E">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058FF3C" w14:textId="39A24286"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0A11A3">
              <w:rPr>
                <w:rFonts w:ascii="Arial" w:eastAsia="Calibri" w:hAnsi="Arial" w:cs="Arial"/>
                <w:sz w:val="18"/>
                <w:szCs w:val="18"/>
              </w:rPr>
              <w:t>5</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144710C" w14:textId="211558CE"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Izvršeno 202</w:t>
            </w:r>
            <w:r w:rsidR="000A11A3">
              <w:rPr>
                <w:rFonts w:ascii="Arial" w:eastAsia="Calibri" w:hAnsi="Arial" w:cs="Arial"/>
                <w:sz w:val="18"/>
                <w:szCs w:val="18"/>
              </w:rPr>
              <w:t>5</w:t>
            </w:r>
            <w:r w:rsidRPr="00184A8E">
              <w:rPr>
                <w:rFonts w:ascii="Arial" w:eastAsia="Calibri" w:hAnsi="Arial" w:cs="Arial"/>
                <w:sz w:val="18"/>
                <w:szCs w:val="18"/>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9B1A172" w14:textId="550DF3D6"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0A11A3">
              <w:rPr>
                <w:rFonts w:ascii="Arial" w:eastAsia="Calibri" w:hAnsi="Arial" w:cs="Arial"/>
                <w:sz w:val="18"/>
                <w:szCs w:val="18"/>
              </w:rPr>
              <w:t>6</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E8B3BD9" w14:textId="09F2EA4D"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0A11A3">
              <w:rPr>
                <w:rFonts w:ascii="Arial" w:eastAsia="Calibri" w:hAnsi="Arial" w:cs="Arial"/>
                <w:sz w:val="18"/>
                <w:szCs w:val="18"/>
              </w:rPr>
              <w:t>7</w:t>
            </w:r>
            <w:r w:rsidRPr="00184A8E">
              <w:rPr>
                <w:rFonts w:ascii="Arial" w:eastAsia="Calibri" w:hAnsi="Arial" w:cs="Arial"/>
                <w:sz w:val="18"/>
                <w:szCs w:val="18"/>
              </w:rPr>
              <w:t>.</w:t>
            </w:r>
          </w:p>
        </w:tc>
      </w:tr>
      <w:tr w:rsidR="000A11A3" w:rsidRPr="00184A8E" w14:paraId="108F2F0C" w14:textId="77777777" w:rsidTr="006E5DCC">
        <w:trPr>
          <w:trHeight w:val="273"/>
          <w:jc w:val="center"/>
        </w:trPr>
        <w:tc>
          <w:tcPr>
            <w:tcW w:w="2263" w:type="dxa"/>
            <w:vMerge w:val="restart"/>
            <w:tcBorders>
              <w:top w:val="single" w:sz="4" w:space="0" w:color="auto"/>
              <w:left w:val="single" w:sz="4" w:space="0" w:color="auto"/>
              <w:right w:val="single" w:sz="4" w:space="0" w:color="auto"/>
            </w:tcBorders>
            <w:vAlign w:val="center"/>
          </w:tcPr>
          <w:p w14:paraId="6408538A" w14:textId="6CE10670" w:rsidR="000A11A3" w:rsidRPr="00184A8E" w:rsidRDefault="000A11A3" w:rsidP="000A11A3">
            <w:pPr>
              <w:rPr>
                <w:rFonts w:ascii="Arial" w:hAnsi="Arial" w:cs="Arial"/>
                <w:sz w:val="18"/>
                <w:szCs w:val="18"/>
              </w:rPr>
            </w:pPr>
            <w:r w:rsidRPr="00D338D2">
              <w:rPr>
                <w:rFonts w:ascii="Arial" w:eastAsia="Calibri" w:hAnsi="Arial" w:cs="Arial"/>
                <w:iCs/>
                <w:sz w:val="18"/>
                <w:szCs w:val="18"/>
              </w:rPr>
              <w:t>Izrada projekta za proširenje ulice i izgradnja ceste</w:t>
            </w:r>
          </w:p>
        </w:tc>
        <w:tc>
          <w:tcPr>
            <w:tcW w:w="3402" w:type="dxa"/>
            <w:tcBorders>
              <w:top w:val="single" w:sz="4" w:space="0" w:color="auto"/>
              <w:left w:val="single" w:sz="4" w:space="0" w:color="auto"/>
              <w:bottom w:val="single" w:sz="4" w:space="0" w:color="auto"/>
              <w:right w:val="single" w:sz="4" w:space="0" w:color="auto"/>
            </w:tcBorders>
            <w:vAlign w:val="center"/>
          </w:tcPr>
          <w:p w14:paraId="792B363B" w14:textId="77777777" w:rsidR="000A11A3" w:rsidRPr="00D338D2" w:rsidRDefault="000A11A3" w:rsidP="000A11A3">
            <w:pPr>
              <w:autoSpaceDE w:val="0"/>
              <w:autoSpaceDN w:val="0"/>
              <w:adjustRightInd w:val="0"/>
              <w:rPr>
                <w:rFonts w:ascii="Arial" w:eastAsia="Calibri" w:hAnsi="Arial" w:cs="Arial"/>
                <w:sz w:val="18"/>
                <w:szCs w:val="18"/>
              </w:rPr>
            </w:pPr>
            <w:r w:rsidRPr="00D338D2">
              <w:rPr>
                <w:rFonts w:ascii="Arial" w:eastAsia="Calibri" w:hAnsi="Arial" w:cs="Arial"/>
                <w:sz w:val="18"/>
                <w:szCs w:val="18"/>
              </w:rPr>
              <w:t>Izrađen idejni projekt proširenja ulice</w:t>
            </w:r>
          </w:p>
          <w:p w14:paraId="0F765E65" w14:textId="09CC6049" w:rsidR="000A11A3" w:rsidRPr="00184A8E" w:rsidRDefault="000A11A3" w:rsidP="000A11A3">
            <w:pPr>
              <w:autoSpaceDE w:val="0"/>
              <w:autoSpaceDN w:val="0"/>
              <w:adjustRightInd w:val="0"/>
              <w:rPr>
                <w:rFonts w:ascii="Arial" w:hAnsi="Arial" w:cs="Arial"/>
                <w:sz w:val="18"/>
                <w:szCs w:val="18"/>
              </w:rPr>
            </w:pPr>
            <w:r w:rsidRPr="00D338D2">
              <w:rPr>
                <w:rFonts w:ascii="Arial" w:eastAsia="Calibri" w:hAnsi="Arial" w:cs="Arial"/>
                <w:sz w:val="18"/>
                <w:szCs w:val="18"/>
              </w:rPr>
              <w:t>Izrađen glavni izvedbeni projekt</w:t>
            </w:r>
          </w:p>
        </w:tc>
        <w:tc>
          <w:tcPr>
            <w:tcW w:w="958" w:type="dxa"/>
            <w:tcBorders>
              <w:top w:val="single" w:sz="4" w:space="0" w:color="auto"/>
              <w:left w:val="single" w:sz="4" w:space="0" w:color="auto"/>
              <w:bottom w:val="single" w:sz="4" w:space="0" w:color="auto"/>
              <w:right w:val="single" w:sz="4" w:space="0" w:color="auto"/>
            </w:tcBorders>
            <w:vAlign w:val="center"/>
          </w:tcPr>
          <w:p w14:paraId="4B10139F" w14:textId="29751DC2" w:rsidR="000A11A3" w:rsidRPr="00184A8E" w:rsidRDefault="000A11A3" w:rsidP="000A11A3">
            <w:pPr>
              <w:jc w:val="center"/>
              <w:rPr>
                <w:rFonts w:ascii="Arial" w:hAnsi="Arial" w:cs="Arial"/>
                <w:sz w:val="18"/>
                <w:szCs w:val="18"/>
              </w:rPr>
            </w:pPr>
            <w:r w:rsidRPr="00D338D2">
              <w:rPr>
                <w:rFonts w:ascii="Arial" w:eastAsia="Calibri"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2CD86D0" w14:textId="56FDD584" w:rsidR="000A11A3" w:rsidRPr="00184A8E" w:rsidRDefault="000A11A3" w:rsidP="000A11A3">
            <w:pPr>
              <w:jc w:val="center"/>
              <w:rPr>
                <w:rFonts w:ascii="Arial" w:hAnsi="Arial" w:cs="Arial"/>
                <w:sz w:val="18"/>
                <w:szCs w:val="18"/>
              </w:rPr>
            </w:pPr>
            <w:r w:rsidRPr="00D338D2">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BF90D35" w14:textId="77777777" w:rsidR="000A11A3" w:rsidRPr="00D338D2" w:rsidRDefault="000A11A3" w:rsidP="000A11A3">
            <w:pPr>
              <w:jc w:val="center"/>
              <w:rPr>
                <w:rFonts w:ascii="Arial" w:eastAsia="Calibri" w:hAnsi="Arial" w:cs="Arial"/>
                <w:sz w:val="18"/>
                <w:szCs w:val="18"/>
              </w:rPr>
            </w:pPr>
            <w:r w:rsidRPr="00D338D2">
              <w:rPr>
                <w:rFonts w:ascii="Arial" w:eastAsia="Calibri" w:hAnsi="Arial" w:cs="Arial"/>
                <w:sz w:val="18"/>
                <w:szCs w:val="18"/>
              </w:rPr>
              <w:t>100%</w:t>
            </w:r>
          </w:p>
          <w:p w14:paraId="2E3DCFE8" w14:textId="4C7CA510" w:rsidR="000A11A3" w:rsidRPr="00184A8E" w:rsidRDefault="000A11A3" w:rsidP="000A11A3">
            <w:pPr>
              <w:jc w:val="center"/>
              <w:rPr>
                <w:rFonts w:ascii="Arial" w:hAnsi="Arial" w:cs="Arial"/>
                <w:sz w:val="18"/>
                <w:szCs w:val="18"/>
              </w:rPr>
            </w:pPr>
            <w:r w:rsidRPr="00D338D2">
              <w:rPr>
                <w:rFonts w:ascii="Arial" w:hAnsi="Arial" w:cs="Arial"/>
                <w:sz w:val="18"/>
                <w:szCs w:val="18"/>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600EDB7A" w14:textId="77777777" w:rsidR="000A11A3" w:rsidRPr="00D338D2" w:rsidRDefault="000A11A3" w:rsidP="000A11A3">
            <w:pPr>
              <w:jc w:val="center"/>
              <w:rPr>
                <w:rFonts w:ascii="Arial" w:eastAsia="Calibri" w:hAnsi="Arial" w:cs="Arial"/>
                <w:sz w:val="18"/>
                <w:szCs w:val="18"/>
              </w:rPr>
            </w:pPr>
            <w:r w:rsidRPr="00D338D2">
              <w:rPr>
                <w:rFonts w:ascii="Arial" w:eastAsia="Calibri" w:hAnsi="Arial" w:cs="Arial"/>
                <w:sz w:val="18"/>
                <w:szCs w:val="18"/>
              </w:rPr>
              <w:t>100%</w:t>
            </w:r>
          </w:p>
          <w:p w14:paraId="6D99CA87" w14:textId="3506D32E" w:rsidR="000A11A3" w:rsidRPr="00184A8E" w:rsidRDefault="000A11A3" w:rsidP="000A11A3">
            <w:pPr>
              <w:jc w:val="center"/>
              <w:rPr>
                <w:rFonts w:ascii="Arial" w:hAnsi="Arial" w:cs="Arial"/>
                <w:sz w:val="18"/>
                <w:szCs w:val="18"/>
              </w:rPr>
            </w:pPr>
            <w:r w:rsidRPr="00D338D2">
              <w:rPr>
                <w:rFonts w:ascii="Arial" w:eastAsia="Calibri"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7457B56C" w14:textId="77777777" w:rsidR="000A11A3" w:rsidRPr="00D338D2" w:rsidRDefault="000A11A3" w:rsidP="000A11A3">
            <w:pPr>
              <w:jc w:val="center"/>
              <w:rPr>
                <w:rFonts w:ascii="Arial" w:eastAsia="Calibri" w:hAnsi="Arial" w:cs="Arial"/>
                <w:sz w:val="18"/>
                <w:szCs w:val="18"/>
              </w:rPr>
            </w:pPr>
            <w:r w:rsidRPr="00D338D2">
              <w:rPr>
                <w:rFonts w:ascii="Arial" w:eastAsia="Calibri" w:hAnsi="Arial" w:cs="Arial"/>
                <w:sz w:val="18"/>
                <w:szCs w:val="18"/>
              </w:rPr>
              <w:t>100%</w:t>
            </w:r>
          </w:p>
          <w:p w14:paraId="2FBB8F04" w14:textId="63D7F574" w:rsidR="000A11A3" w:rsidRPr="00184A8E" w:rsidRDefault="000A11A3" w:rsidP="000A11A3">
            <w:pPr>
              <w:jc w:val="center"/>
              <w:rPr>
                <w:rFonts w:ascii="Arial" w:eastAsia="Calibri" w:hAnsi="Arial" w:cs="Arial"/>
                <w:sz w:val="18"/>
                <w:szCs w:val="18"/>
              </w:rPr>
            </w:pPr>
            <w:r w:rsidRPr="00D338D2">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16E67B3B" w14:textId="77777777" w:rsidR="000A11A3" w:rsidRPr="00D338D2" w:rsidRDefault="000A11A3" w:rsidP="000A11A3">
            <w:pPr>
              <w:jc w:val="center"/>
              <w:rPr>
                <w:rFonts w:ascii="Arial" w:eastAsia="Calibri" w:hAnsi="Arial" w:cs="Arial"/>
                <w:sz w:val="18"/>
                <w:szCs w:val="18"/>
              </w:rPr>
            </w:pPr>
            <w:r w:rsidRPr="00D338D2">
              <w:rPr>
                <w:rFonts w:ascii="Arial" w:eastAsia="Calibri" w:hAnsi="Arial" w:cs="Arial"/>
                <w:sz w:val="18"/>
                <w:szCs w:val="18"/>
              </w:rPr>
              <w:t>100%</w:t>
            </w:r>
          </w:p>
          <w:p w14:paraId="1008D243" w14:textId="23123F4E" w:rsidR="000A11A3" w:rsidRPr="00184A8E" w:rsidRDefault="000A11A3" w:rsidP="000A11A3">
            <w:pPr>
              <w:jc w:val="center"/>
              <w:rPr>
                <w:rFonts w:ascii="Arial" w:hAnsi="Arial" w:cs="Arial"/>
                <w:sz w:val="18"/>
                <w:szCs w:val="18"/>
              </w:rPr>
            </w:pPr>
            <w:r w:rsidRPr="00D338D2">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1989D1F2" w14:textId="77777777" w:rsidR="000A11A3" w:rsidRPr="00D338D2" w:rsidRDefault="000A11A3" w:rsidP="000A11A3">
            <w:pPr>
              <w:jc w:val="center"/>
              <w:rPr>
                <w:rFonts w:ascii="Arial" w:hAnsi="Arial" w:cs="Arial"/>
                <w:sz w:val="18"/>
                <w:szCs w:val="18"/>
              </w:rPr>
            </w:pPr>
            <w:r w:rsidRPr="00D338D2">
              <w:rPr>
                <w:rFonts w:ascii="Arial" w:hAnsi="Arial" w:cs="Arial"/>
                <w:sz w:val="18"/>
                <w:szCs w:val="18"/>
              </w:rPr>
              <w:t>100%</w:t>
            </w:r>
          </w:p>
          <w:p w14:paraId="18CD219C" w14:textId="5747F3C0" w:rsidR="000A11A3" w:rsidRPr="00184A8E" w:rsidRDefault="000A11A3" w:rsidP="000A11A3">
            <w:pPr>
              <w:jc w:val="center"/>
              <w:rPr>
                <w:rFonts w:ascii="Arial" w:hAnsi="Arial" w:cs="Arial"/>
                <w:sz w:val="18"/>
                <w:szCs w:val="18"/>
              </w:rPr>
            </w:pPr>
            <w:r w:rsidRPr="00D338D2">
              <w:rPr>
                <w:rFonts w:ascii="Arial" w:hAnsi="Arial" w:cs="Arial"/>
                <w:sz w:val="18"/>
                <w:szCs w:val="18"/>
              </w:rPr>
              <w:t>0%</w:t>
            </w:r>
          </w:p>
        </w:tc>
      </w:tr>
      <w:tr w:rsidR="000A11A3" w:rsidRPr="00184A8E" w14:paraId="76FCA4AF" w14:textId="77777777" w:rsidTr="006E5DCC">
        <w:trPr>
          <w:trHeight w:val="273"/>
          <w:jc w:val="center"/>
        </w:trPr>
        <w:tc>
          <w:tcPr>
            <w:tcW w:w="2263" w:type="dxa"/>
            <w:vMerge/>
            <w:tcBorders>
              <w:left w:val="single" w:sz="4" w:space="0" w:color="auto"/>
              <w:bottom w:val="single" w:sz="4" w:space="0" w:color="auto"/>
              <w:right w:val="single" w:sz="4" w:space="0" w:color="auto"/>
            </w:tcBorders>
            <w:vAlign w:val="center"/>
          </w:tcPr>
          <w:p w14:paraId="600C9CE0" w14:textId="77777777" w:rsidR="000A11A3" w:rsidRPr="00184A8E" w:rsidRDefault="000A11A3" w:rsidP="000A11A3">
            <w:pPr>
              <w:rPr>
                <w:rFonts w:ascii="Arial" w:eastAsia="Calibri" w:hAnsi="Arial" w:cs="Arial"/>
                <w:iCs/>
                <w:sz w:val="18"/>
                <w:szCs w:val="18"/>
              </w:rPr>
            </w:pPr>
          </w:p>
        </w:tc>
        <w:tc>
          <w:tcPr>
            <w:tcW w:w="3402" w:type="dxa"/>
            <w:tcBorders>
              <w:top w:val="single" w:sz="4" w:space="0" w:color="auto"/>
              <w:left w:val="single" w:sz="4" w:space="0" w:color="auto"/>
              <w:bottom w:val="single" w:sz="4" w:space="0" w:color="auto"/>
              <w:right w:val="single" w:sz="4" w:space="0" w:color="auto"/>
            </w:tcBorders>
            <w:vAlign w:val="center"/>
          </w:tcPr>
          <w:p w14:paraId="5EEB1C15" w14:textId="19E37EFA" w:rsidR="000A11A3" w:rsidRPr="00184A8E" w:rsidRDefault="000A11A3" w:rsidP="000A11A3">
            <w:pPr>
              <w:autoSpaceDE w:val="0"/>
              <w:autoSpaceDN w:val="0"/>
              <w:adjustRightInd w:val="0"/>
              <w:rPr>
                <w:rFonts w:ascii="Arial" w:eastAsia="Calibri" w:hAnsi="Arial" w:cs="Arial"/>
                <w:sz w:val="18"/>
                <w:szCs w:val="18"/>
              </w:rPr>
            </w:pPr>
            <w:r w:rsidRPr="00D338D2">
              <w:rPr>
                <w:rFonts w:ascii="Arial" w:eastAsia="Calibri" w:hAnsi="Arial" w:cs="Arial"/>
                <w:sz w:val="18"/>
                <w:szCs w:val="18"/>
              </w:rPr>
              <w:t>Udio završenih radova izgradnje ceste Mećajac Jug-Podresnik-Mala greda</w:t>
            </w:r>
          </w:p>
        </w:tc>
        <w:tc>
          <w:tcPr>
            <w:tcW w:w="958" w:type="dxa"/>
            <w:tcBorders>
              <w:top w:val="single" w:sz="4" w:space="0" w:color="auto"/>
              <w:left w:val="single" w:sz="4" w:space="0" w:color="auto"/>
              <w:bottom w:val="single" w:sz="4" w:space="0" w:color="auto"/>
              <w:right w:val="single" w:sz="4" w:space="0" w:color="auto"/>
            </w:tcBorders>
            <w:vAlign w:val="center"/>
          </w:tcPr>
          <w:p w14:paraId="7CA1423E" w14:textId="3C3C36B9" w:rsidR="000A11A3" w:rsidRPr="00184A8E" w:rsidRDefault="000A11A3" w:rsidP="000A11A3">
            <w:pPr>
              <w:jc w:val="center"/>
              <w:rPr>
                <w:rFonts w:ascii="Arial" w:eastAsia="Calibri" w:hAnsi="Arial" w:cs="Arial"/>
                <w:sz w:val="18"/>
                <w:szCs w:val="18"/>
              </w:rPr>
            </w:pPr>
            <w:r w:rsidRPr="00D338D2">
              <w:rPr>
                <w:rFonts w:ascii="Arial" w:eastAsia="Calibri"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17744F3" w14:textId="09941616" w:rsidR="000A11A3" w:rsidRPr="00184A8E" w:rsidRDefault="000A11A3" w:rsidP="000A11A3">
            <w:pPr>
              <w:jc w:val="center"/>
              <w:rPr>
                <w:rFonts w:ascii="Arial" w:hAnsi="Arial" w:cs="Arial"/>
                <w:sz w:val="18"/>
                <w:szCs w:val="18"/>
              </w:rPr>
            </w:pPr>
            <w:r w:rsidRPr="00D338D2">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79D0500" w14:textId="10EA51B0" w:rsidR="000A11A3" w:rsidRPr="00184A8E" w:rsidRDefault="000A11A3" w:rsidP="000A11A3">
            <w:pPr>
              <w:jc w:val="center"/>
              <w:rPr>
                <w:rFonts w:ascii="Arial" w:eastAsia="Calibri" w:hAnsi="Arial" w:cs="Arial"/>
                <w:sz w:val="18"/>
                <w:szCs w:val="18"/>
              </w:rPr>
            </w:pPr>
            <w:r w:rsidRPr="00D338D2">
              <w:rPr>
                <w:rFonts w:ascii="Arial" w:eastAsia="Calibri" w:hAnsi="Arial" w:cs="Arial"/>
                <w:sz w:val="18"/>
                <w:szCs w:val="18"/>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0DD5D254" w14:textId="788883F4" w:rsidR="000A11A3" w:rsidRPr="00184A8E" w:rsidRDefault="000A11A3" w:rsidP="000A11A3">
            <w:pPr>
              <w:jc w:val="center"/>
              <w:rPr>
                <w:rFonts w:ascii="Arial" w:eastAsia="Calibri" w:hAnsi="Arial" w:cs="Arial"/>
                <w:sz w:val="18"/>
                <w:szCs w:val="18"/>
              </w:rPr>
            </w:pPr>
            <w:r w:rsidRPr="00D338D2">
              <w:rPr>
                <w:rFonts w:ascii="Arial" w:eastAsia="Calibri"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5EF2A79F" w14:textId="00FE5503" w:rsidR="000A11A3" w:rsidRPr="00184A8E" w:rsidRDefault="000A11A3" w:rsidP="000A11A3">
            <w:pPr>
              <w:jc w:val="center"/>
              <w:rPr>
                <w:rFonts w:ascii="Arial" w:eastAsia="Calibri" w:hAnsi="Arial" w:cs="Arial"/>
                <w:sz w:val="18"/>
                <w:szCs w:val="18"/>
              </w:rPr>
            </w:pPr>
            <w:r w:rsidRPr="00D338D2">
              <w:rPr>
                <w:rFonts w:ascii="Arial" w:eastAsia="Calibri"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1E156710" w14:textId="5A133671" w:rsidR="000A11A3" w:rsidRPr="00184A8E" w:rsidRDefault="000A11A3" w:rsidP="000A11A3">
            <w:pPr>
              <w:jc w:val="center"/>
              <w:rPr>
                <w:rFonts w:ascii="Arial" w:eastAsia="Calibri" w:hAnsi="Arial" w:cs="Arial"/>
                <w:sz w:val="18"/>
                <w:szCs w:val="18"/>
              </w:rPr>
            </w:pPr>
            <w:r w:rsidRPr="00D338D2">
              <w:rPr>
                <w:rFonts w:ascii="Arial" w:eastAsia="Calibri"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361FA4A8" w14:textId="15B7A711" w:rsidR="000A11A3" w:rsidRPr="00184A8E" w:rsidRDefault="000A11A3" w:rsidP="000A11A3">
            <w:pPr>
              <w:jc w:val="center"/>
              <w:rPr>
                <w:rFonts w:ascii="Arial" w:hAnsi="Arial" w:cs="Arial"/>
                <w:sz w:val="18"/>
                <w:szCs w:val="18"/>
              </w:rPr>
            </w:pPr>
            <w:r w:rsidRPr="00D338D2">
              <w:rPr>
                <w:rFonts w:ascii="Arial" w:hAnsi="Arial" w:cs="Arial"/>
                <w:sz w:val="18"/>
                <w:szCs w:val="18"/>
              </w:rPr>
              <w:t>0%</w:t>
            </w:r>
          </w:p>
        </w:tc>
      </w:tr>
    </w:tbl>
    <w:p w14:paraId="5546BDBE" w14:textId="77777777" w:rsidR="00184A8E" w:rsidRPr="00184A8E" w:rsidRDefault="00184A8E" w:rsidP="00184A8E">
      <w:pPr>
        <w:spacing w:after="0" w:line="240" w:lineRule="auto"/>
        <w:jc w:val="both"/>
        <w:rPr>
          <w:rFonts w:ascii="Arial" w:eastAsia="Calibri" w:hAnsi="Arial" w:cs="Arial"/>
          <w:sz w:val="20"/>
          <w:szCs w:val="20"/>
        </w:rPr>
      </w:pPr>
    </w:p>
    <w:p w14:paraId="2274214D" w14:textId="77777777" w:rsidR="000A11A3"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 xml:space="preserve">23. T209230: Rekonstrukcija raskrižja dionice ŽC, ulaz prema budućoj osnovnoj školi </w:t>
      </w:r>
      <w:r w:rsidRPr="00184A8E">
        <w:rPr>
          <w:rFonts w:ascii="Arial" w:eastAsia="Calibri" w:hAnsi="Arial" w:cs="Arial"/>
          <w:sz w:val="20"/>
          <w:szCs w:val="20"/>
        </w:rPr>
        <w:t xml:space="preserve"> – u sklopu projekta </w:t>
      </w:r>
      <w:r w:rsidR="000A11A3">
        <w:rPr>
          <w:rFonts w:ascii="Arial" w:eastAsia="Calibri" w:hAnsi="Arial" w:cs="Arial"/>
          <w:sz w:val="20"/>
          <w:szCs w:val="20"/>
        </w:rPr>
        <w:t>nisu</w:t>
      </w:r>
      <w:r w:rsidRPr="00184A8E">
        <w:rPr>
          <w:rFonts w:ascii="Arial" w:eastAsia="Calibri" w:hAnsi="Arial" w:cs="Arial"/>
          <w:sz w:val="20"/>
          <w:szCs w:val="20"/>
        </w:rPr>
        <w:t xml:space="preserve"> planirani rashodi. </w:t>
      </w:r>
    </w:p>
    <w:p w14:paraId="15E9F8B8" w14:textId="4D7C4192"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Rashodi </w:t>
      </w:r>
      <w:r w:rsidR="000A11A3">
        <w:rPr>
          <w:rFonts w:ascii="Arial" w:eastAsia="Calibri" w:hAnsi="Arial" w:cs="Arial"/>
          <w:sz w:val="20"/>
          <w:szCs w:val="20"/>
        </w:rPr>
        <w:t xml:space="preserve">u okviru projekta </w:t>
      </w:r>
      <w:r w:rsidRPr="00184A8E">
        <w:rPr>
          <w:rFonts w:ascii="Arial" w:eastAsia="Calibri" w:hAnsi="Arial" w:cs="Arial"/>
          <w:sz w:val="20"/>
          <w:szCs w:val="20"/>
        </w:rPr>
        <w:t xml:space="preserve">se odnose na izradu projektne dokumentacije, uređenje pristupa zemljištu, uređenje pravnih odnosa sa Županijskom upravom za ceste i drugo. Sama izgradnja i rekonstrukcija raskrižja je uvjetovana i izgradnjom nove osnovne škole. </w:t>
      </w:r>
    </w:p>
    <w:p w14:paraId="4BF76463" w14:textId="77777777" w:rsidR="00184A8E" w:rsidRPr="00184A8E" w:rsidRDefault="00184A8E" w:rsidP="00184A8E">
      <w:pPr>
        <w:spacing w:after="0" w:line="240" w:lineRule="auto"/>
        <w:jc w:val="both"/>
        <w:rPr>
          <w:rFonts w:ascii="Arial" w:eastAsia="Calibri" w:hAnsi="Arial" w:cs="Arial"/>
          <w:sz w:val="20"/>
          <w:szCs w:val="20"/>
        </w:rPr>
      </w:pPr>
      <w:bookmarkStart w:id="561" w:name="_Hlk198905649"/>
    </w:p>
    <w:p w14:paraId="6CD316FC"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 xml:space="preserve">24. T209231: Kružni to, D8, dva ulaza, buduća poduzetnička zona </w:t>
      </w:r>
      <w:r w:rsidRPr="00184A8E">
        <w:rPr>
          <w:rFonts w:ascii="Arial" w:eastAsia="Calibri" w:hAnsi="Arial" w:cs="Arial"/>
          <w:sz w:val="20"/>
          <w:szCs w:val="20"/>
        </w:rPr>
        <w:t xml:space="preserve"> – u sklopu projekta su planirani rashodi za izradu projektne dokumentacije i izgradnju. Za 2024. je planirano 521.700 €, dok je za 2025. kao i za 2026. godinu planirano 1.050.000 €.</w:t>
      </w:r>
    </w:p>
    <w:bookmarkEnd w:id="561"/>
    <w:p w14:paraId="7925A666" w14:textId="77777777" w:rsidR="00184A8E" w:rsidRPr="00184A8E" w:rsidRDefault="00184A8E" w:rsidP="00184A8E">
      <w:pPr>
        <w:spacing w:after="0" w:line="240" w:lineRule="auto"/>
        <w:jc w:val="both"/>
        <w:rPr>
          <w:rFonts w:ascii="Arial" w:eastAsia="Calibri" w:hAnsi="Arial" w:cs="Arial"/>
          <w:sz w:val="20"/>
          <w:szCs w:val="20"/>
        </w:rPr>
      </w:pPr>
    </w:p>
    <w:p w14:paraId="346D83C7" w14:textId="77777777" w:rsidR="00184A8E" w:rsidRPr="00184A8E" w:rsidRDefault="00184A8E" w:rsidP="00184A8E">
      <w:pPr>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 2023. godini su bili izvršeni rashodi u iznosu 7.825 € i odnosili su se na izradu projekte dokumentacije za uređenje prilaza poslovnoj zoni Čilipi uz državnu cestu D8, prva privremena situacija, sukladno ugovoru iz srpnja 2023. godine. Ugovoreno je obavljanje usluga u iznosu 32.750 €. Nastavak izrade dokumentacije ovisi o dobivanju potrebnih dozvola od nadležnih institucija.</w:t>
      </w:r>
    </w:p>
    <w:p w14:paraId="68653259" w14:textId="77777777" w:rsidR="00184A8E" w:rsidRPr="00184A8E" w:rsidRDefault="00184A8E" w:rsidP="00184A8E">
      <w:pPr>
        <w:spacing w:after="0" w:line="240" w:lineRule="auto"/>
        <w:jc w:val="both"/>
        <w:rPr>
          <w:rFonts w:ascii="Arial" w:eastAsia="Calibri" w:hAnsi="Arial" w:cs="Arial"/>
          <w:sz w:val="20"/>
          <w:szCs w:val="20"/>
        </w:rPr>
      </w:pPr>
      <w:bookmarkStart w:id="562" w:name="_Hlk198905661"/>
    </w:p>
    <w:p w14:paraId="0D495DFF" w14:textId="4EFF87CA" w:rsidR="00184A8E" w:rsidRPr="000A11A3" w:rsidRDefault="00184A8E" w:rsidP="000A11A3">
      <w:pPr>
        <w:spacing w:after="0" w:line="240" w:lineRule="auto"/>
        <w:ind w:left="567"/>
        <w:jc w:val="both"/>
        <w:rPr>
          <w:rFonts w:ascii="Arial" w:eastAsia="Calibri" w:hAnsi="Arial" w:cs="Arial"/>
          <w:sz w:val="18"/>
          <w:szCs w:val="18"/>
        </w:rPr>
      </w:pPr>
      <w:r w:rsidRPr="000A11A3">
        <w:rPr>
          <w:rFonts w:ascii="Arial" w:eastAsia="Calibri" w:hAnsi="Arial" w:cs="Arial"/>
          <w:sz w:val="18"/>
          <w:szCs w:val="18"/>
        </w:rPr>
        <w:t>Rashodi za 2024. su</w:t>
      </w:r>
      <w:r w:rsidR="000A11A3">
        <w:rPr>
          <w:rFonts w:ascii="Arial" w:eastAsia="Calibri" w:hAnsi="Arial" w:cs="Arial"/>
          <w:sz w:val="18"/>
          <w:szCs w:val="18"/>
        </w:rPr>
        <w:t xml:space="preserve"> bili</w:t>
      </w:r>
      <w:r w:rsidRPr="000A11A3">
        <w:rPr>
          <w:rFonts w:ascii="Arial" w:eastAsia="Calibri" w:hAnsi="Arial" w:cs="Arial"/>
          <w:sz w:val="18"/>
          <w:szCs w:val="18"/>
        </w:rPr>
        <w:t xml:space="preserve"> izvršeni u iznosu 21.950 € i odno</w:t>
      </w:r>
      <w:r w:rsidR="000A11A3">
        <w:rPr>
          <w:rFonts w:ascii="Arial" w:eastAsia="Calibri" w:hAnsi="Arial" w:cs="Arial"/>
          <w:sz w:val="18"/>
          <w:szCs w:val="18"/>
        </w:rPr>
        <w:t>sili su</w:t>
      </w:r>
      <w:r w:rsidRPr="000A11A3">
        <w:rPr>
          <w:rFonts w:ascii="Arial" w:eastAsia="Calibri" w:hAnsi="Arial" w:cs="Arial"/>
          <w:sz w:val="18"/>
          <w:szCs w:val="18"/>
        </w:rPr>
        <w:t xml:space="preserve"> se na izradu geodetskih podloga na temelju ugovora iz rujna 2023. godine (duljina zahvata cca 1600 metara, geodetska situacija postojećeg stanja) i idejnog rješenja prometnica s infrastrukturom u poslovnoj zoni Čilipi (prometnica duljine cca 1600 metara u sklopu projekta rješava se oborinska odvodnja s glavne prometnice, fekalna odvodnja, vodoopskrbni priključak, javna rasvjeta i TK infrastruktura, tip prometnice broj 3 sukladno UPU-u, tj. dvije prometne trake po 3,5 m i nogostup širine 3 m). Rashodi su izvršeni u ugovorenoj vrijednosti.</w:t>
      </w:r>
    </w:p>
    <w:p w14:paraId="13248682" w14:textId="77777777" w:rsidR="00F33DC0" w:rsidRDefault="00F33DC0" w:rsidP="00F33DC0">
      <w:pPr>
        <w:spacing w:after="0" w:line="240" w:lineRule="auto"/>
        <w:jc w:val="both"/>
        <w:rPr>
          <w:rFonts w:ascii="Arial" w:eastAsia="Calibri" w:hAnsi="Arial" w:cs="Arial"/>
          <w:sz w:val="18"/>
          <w:szCs w:val="18"/>
        </w:rPr>
      </w:pPr>
    </w:p>
    <w:p w14:paraId="0AFFA099" w14:textId="77777777" w:rsidR="00F33DC0" w:rsidRPr="00F33DC0" w:rsidRDefault="00F33DC0" w:rsidP="00F33DC0">
      <w:pPr>
        <w:spacing w:after="0" w:line="240" w:lineRule="auto"/>
        <w:jc w:val="both"/>
        <w:rPr>
          <w:rFonts w:ascii="Arial" w:eastAsia="Calibri" w:hAnsi="Arial" w:cs="Arial"/>
          <w:sz w:val="20"/>
          <w:szCs w:val="20"/>
          <w:lang w:eastAsia="en-US" w:bidi="en-US"/>
        </w:rPr>
      </w:pPr>
      <w:r w:rsidRPr="00F33DC0">
        <w:rPr>
          <w:rFonts w:ascii="Arial" w:eastAsia="Calibri" w:hAnsi="Arial" w:cs="Arial"/>
          <w:sz w:val="20"/>
          <w:szCs w:val="20"/>
          <w:lang w:eastAsia="en-US" w:bidi="en-US"/>
        </w:rPr>
        <w:t>Rashodi za 2025. su izvršeni u iznosu 17.512,50 € i odnose se na:</w:t>
      </w:r>
    </w:p>
    <w:p w14:paraId="0BC0B4A0" w14:textId="77777777" w:rsidR="00F33DC0" w:rsidRPr="00F33DC0" w:rsidRDefault="00F33DC0">
      <w:pPr>
        <w:numPr>
          <w:ilvl w:val="0"/>
          <w:numId w:val="3"/>
        </w:numPr>
        <w:spacing w:after="0" w:line="240" w:lineRule="auto"/>
        <w:ind w:left="567" w:hanging="567"/>
        <w:contextualSpacing/>
        <w:jc w:val="both"/>
        <w:rPr>
          <w:rFonts w:ascii="Arial" w:eastAsia="Calibri" w:hAnsi="Arial" w:cs="Arial"/>
          <w:sz w:val="20"/>
          <w:szCs w:val="20"/>
          <w:lang w:eastAsia="en-US" w:bidi="en-US"/>
        </w:rPr>
      </w:pPr>
      <w:r w:rsidRPr="00F33DC0">
        <w:rPr>
          <w:rFonts w:ascii="Arial" w:eastAsia="Calibri" w:hAnsi="Arial" w:cs="Arial"/>
          <w:sz w:val="20"/>
          <w:szCs w:val="20"/>
          <w:lang w:eastAsia="en-US" w:bidi="en-US"/>
        </w:rPr>
        <w:t>rashode u iznosu 4.375 € za dopunu projekta nogostupa uz D8 u Čilipima na temelju ugovora iz srpnja 2024. godine,</w:t>
      </w:r>
    </w:p>
    <w:p w14:paraId="7ADE0396" w14:textId="77777777" w:rsidR="00F33DC0" w:rsidRPr="00F33DC0" w:rsidRDefault="00F33DC0">
      <w:pPr>
        <w:numPr>
          <w:ilvl w:val="0"/>
          <w:numId w:val="3"/>
        </w:numPr>
        <w:spacing w:after="0" w:line="240" w:lineRule="auto"/>
        <w:ind w:left="567" w:hanging="567"/>
        <w:contextualSpacing/>
        <w:jc w:val="both"/>
        <w:rPr>
          <w:rFonts w:ascii="Arial" w:eastAsia="Calibri" w:hAnsi="Arial" w:cs="Arial"/>
          <w:sz w:val="20"/>
          <w:szCs w:val="20"/>
          <w:lang w:eastAsia="en-US" w:bidi="en-US"/>
        </w:rPr>
      </w:pPr>
      <w:r w:rsidRPr="00F33DC0">
        <w:rPr>
          <w:rFonts w:ascii="Arial" w:eastAsia="Calibri" w:hAnsi="Arial" w:cs="Arial"/>
          <w:sz w:val="20"/>
          <w:szCs w:val="20"/>
          <w:lang w:eastAsia="en-US" w:bidi="en-US"/>
        </w:rPr>
        <w:t>izradu projektne dokumentacije temelju ugovora iz srpnja 2023. godine (izrada prilaza poslovnoj zoni Čilipi uz državni cestu D8) u iznosu 13.137,50 € na temelju druge i treće privremene situacije. Ugovor je zaključen u vrijednosti 32.750 e s PDV-om (geodetski radovi, parcelacijski elaborati, geotehnički istražni radovi, građevinski projekti raskrižja, prometnica i odvodnje, projekt prometne opreme i signalizacije, elektrotehnički projekt javne rasvjeta, ishođenje lokacijske i građevinske dozvole). Ukupno na temelju ugovora je izvedeno 16.790 € bez PDV-a.</w:t>
      </w:r>
    </w:p>
    <w:p w14:paraId="323C8ACD" w14:textId="77777777" w:rsidR="00F33DC0" w:rsidRPr="00F33DC0" w:rsidRDefault="00F33DC0" w:rsidP="00F33DC0">
      <w:pPr>
        <w:spacing w:after="0" w:line="240" w:lineRule="auto"/>
        <w:jc w:val="both"/>
        <w:rPr>
          <w:rFonts w:ascii="Arial" w:eastAsia="Calibri" w:hAnsi="Arial" w:cs="Arial"/>
          <w:sz w:val="20"/>
          <w:szCs w:val="20"/>
          <w:lang w:eastAsia="en-US" w:bidi="en-US"/>
        </w:rPr>
      </w:pPr>
    </w:p>
    <w:p w14:paraId="57A5B74F" w14:textId="77777777" w:rsidR="00F33DC0" w:rsidRPr="00F33DC0" w:rsidRDefault="00F33DC0" w:rsidP="00F33DC0">
      <w:pPr>
        <w:spacing w:after="0" w:line="240" w:lineRule="auto"/>
        <w:jc w:val="both"/>
        <w:rPr>
          <w:rFonts w:ascii="Arial" w:eastAsia="Calibri" w:hAnsi="Arial" w:cs="Arial"/>
          <w:sz w:val="20"/>
          <w:szCs w:val="20"/>
          <w:lang w:eastAsia="en-US" w:bidi="en-US"/>
        </w:rPr>
      </w:pPr>
      <w:r w:rsidRPr="00F33DC0">
        <w:rPr>
          <w:rFonts w:ascii="Arial" w:eastAsia="Calibri" w:hAnsi="Arial" w:cs="Arial"/>
          <w:sz w:val="20"/>
          <w:szCs w:val="20"/>
          <w:lang w:eastAsia="en-US" w:bidi="en-US"/>
        </w:rPr>
        <w:t xml:space="preserve">Drugi rashodi nisu izvršeni, a bili su planirani u visini raspoloživih sredstava od prodaje dijela čestica zemljišta unutar poduzetničke zone. </w:t>
      </w:r>
    </w:p>
    <w:p w14:paraId="27372E80" w14:textId="77777777" w:rsidR="00F33DC0" w:rsidRDefault="00F33DC0" w:rsidP="00F33DC0">
      <w:pPr>
        <w:spacing w:after="0" w:line="240" w:lineRule="auto"/>
        <w:jc w:val="both"/>
        <w:rPr>
          <w:rFonts w:ascii="Arial" w:eastAsia="Calibri" w:hAnsi="Arial" w:cs="Arial"/>
          <w:sz w:val="18"/>
          <w:szCs w:val="18"/>
        </w:rPr>
      </w:pPr>
    </w:p>
    <w:p w14:paraId="6AC4141D" w14:textId="54853892" w:rsidR="00184A8E" w:rsidRDefault="00184A8E" w:rsidP="00184A8E">
      <w:pPr>
        <w:spacing w:after="0" w:line="240" w:lineRule="auto"/>
        <w:jc w:val="both"/>
        <w:rPr>
          <w:rFonts w:ascii="Arial" w:eastAsia="Calibri" w:hAnsi="Arial" w:cs="Arial"/>
          <w:sz w:val="20"/>
          <w:szCs w:val="20"/>
        </w:rPr>
      </w:pPr>
      <w:bookmarkStart w:id="563" w:name="_Hlk198905687"/>
      <w:bookmarkEnd w:id="562"/>
      <w:r w:rsidRPr="00184A8E">
        <w:rPr>
          <w:rFonts w:ascii="Arial" w:eastAsia="Calibri" w:hAnsi="Arial" w:cs="Arial"/>
          <w:b/>
          <w:sz w:val="20"/>
          <w:szCs w:val="20"/>
        </w:rPr>
        <w:t xml:space="preserve">25. T209232: Prometna infrastruktura unutar buduće poduzetničke zone </w:t>
      </w:r>
      <w:r w:rsidRPr="00184A8E">
        <w:rPr>
          <w:rFonts w:ascii="Arial" w:eastAsia="Calibri" w:hAnsi="Arial" w:cs="Arial"/>
          <w:sz w:val="20"/>
          <w:szCs w:val="20"/>
        </w:rPr>
        <w:t xml:space="preserve"> – u sklopu projekta su planirani rashodi za izradu projektne dokumentacije i izgradnju. </w:t>
      </w:r>
      <w:r w:rsidR="00F33DC0" w:rsidRPr="00F33DC0">
        <w:rPr>
          <w:rFonts w:ascii="Arial" w:eastAsia="Calibri" w:hAnsi="Arial" w:cs="Arial"/>
          <w:sz w:val="20"/>
          <w:szCs w:val="20"/>
        </w:rPr>
        <w:t>Za 2025. je planirano 430.000 €, dok je za 2026. planirano 1.610.000 €, a za 2027. je planirano 1.500.000 €.</w:t>
      </w:r>
    </w:p>
    <w:p w14:paraId="1D61B306" w14:textId="77777777" w:rsidR="00F33DC0" w:rsidRPr="00184A8E" w:rsidRDefault="00F33DC0" w:rsidP="00184A8E">
      <w:pPr>
        <w:spacing w:after="0" w:line="240" w:lineRule="auto"/>
        <w:jc w:val="both"/>
        <w:rPr>
          <w:rFonts w:ascii="Arial" w:eastAsia="Calibri" w:hAnsi="Arial" w:cs="Arial"/>
          <w:sz w:val="20"/>
          <w:szCs w:val="20"/>
        </w:rPr>
      </w:pPr>
    </w:p>
    <w:p w14:paraId="7F449E28" w14:textId="481DBA35"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Rashodi nisu izvršeni, a bili su planirani u visini raspoloživih sredstava od prodaje dijela čestica zemljišta unutar poduzetničke zone </w:t>
      </w:r>
      <w:bookmarkStart w:id="564" w:name="_Hlk198905792"/>
      <w:r w:rsidRPr="00184A8E">
        <w:rPr>
          <w:rFonts w:ascii="Arial" w:eastAsia="Calibri" w:hAnsi="Arial" w:cs="Arial"/>
          <w:sz w:val="20"/>
          <w:szCs w:val="20"/>
        </w:rPr>
        <w:t>(početak je ovisio o izmještanju sustava navigacije unutar poduzetničke zone, te o izradi projektne dokumentacije).</w:t>
      </w:r>
    </w:p>
    <w:bookmarkEnd w:id="564"/>
    <w:p w14:paraId="06746DE1" w14:textId="77777777" w:rsidR="00184A8E" w:rsidRPr="00184A8E" w:rsidRDefault="00184A8E" w:rsidP="00184A8E">
      <w:pPr>
        <w:spacing w:after="0" w:line="240" w:lineRule="auto"/>
        <w:jc w:val="both"/>
        <w:rPr>
          <w:rFonts w:ascii="Arial" w:eastAsia="Calibri" w:hAnsi="Arial" w:cs="Arial"/>
          <w:sz w:val="20"/>
          <w:szCs w:val="20"/>
        </w:rPr>
      </w:pPr>
    </w:p>
    <w:p w14:paraId="376BC704" w14:textId="5DF5B411" w:rsid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lastRenderedPageBreak/>
        <w:t xml:space="preserve">26. T209233: Energetska infrastruktura unutar buduće poduzetničke zone </w:t>
      </w:r>
      <w:r w:rsidRPr="00184A8E">
        <w:rPr>
          <w:rFonts w:ascii="Arial" w:eastAsia="Calibri" w:hAnsi="Arial" w:cs="Arial"/>
          <w:sz w:val="20"/>
          <w:szCs w:val="20"/>
        </w:rPr>
        <w:t xml:space="preserve"> – u sklopu projekta su planirani rashodi za izradu projektne dokumentacije i izgradnju. </w:t>
      </w:r>
      <w:r w:rsidR="00F33DC0" w:rsidRPr="00F33DC0">
        <w:rPr>
          <w:rFonts w:ascii="Arial" w:eastAsia="Calibri" w:hAnsi="Arial" w:cs="Arial"/>
          <w:sz w:val="20"/>
          <w:szCs w:val="20"/>
        </w:rPr>
        <w:t>Za 2025. je planirano 430.000 €, dok je za 2026. planirano 430.000 €, a za 2027. je planirano 150.000 €.</w:t>
      </w:r>
    </w:p>
    <w:p w14:paraId="30DFA9E5" w14:textId="77777777" w:rsidR="00F33DC0" w:rsidRPr="00184A8E" w:rsidRDefault="00F33DC0" w:rsidP="00184A8E">
      <w:pPr>
        <w:spacing w:after="0" w:line="240" w:lineRule="auto"/>
        <w:jc w:val="both"/>
        <w:rPr>
          <w:rFonts w:ascii="Arial" w:eastAsia="Calibri" w:hAnsi="Arial" w:cs="Arial"/>
          <w:sz w:val="20"/>
          <w:szCs w:val="20"/>
        </w:rPr>
      </w:pPr>
    </w:p>
    <w:p w14:paraId="3CBEB5E7" w14:textId="463008B9" w:rsidR="00184A8E" w:rsidRPr="00F33DC0" w:rsidRDefault="00184A8E" w:rsidP="00F33DC0">
      <w:pPr>
        <w:spacing w:after="0" w:line="240" w:lineRule="auto"/>
        <w:ind w:left="709"/>
        <w:jc w:val="both"/>
        <w:rPr>
          <w:rFonts w:ascii="Arial" w:eastAsia="Calibri" w:hAnsi="Arial" w:cs="Arial"/>
          <w:sz w:val="18"/>
          <w:szCs w:val="18"/>
        </w:rPr>
      </w:pPr>
      <w:r w:rsidRPr="00F33DC0">
        <w:rPr>
          <w:rFonts w:ascii="Arial" w:eastAsia="Calibri" w:hAnsi="Arial" w:cs="Arial"/>
          <w:sz w:val="18"/>
          <w:szCs w:val="18"/>
        </w:rPr>
        <w:t>Rashodi za 2024. su izvršeni u iznosu 218.638,42 € i odnose se na predujam za financiranje i izgradnju elektroenergetskih objekata potrebnih za priključenje građevina na lokaciji buduće poslovne zone sukladno ugovoru o priključenju koji je zaključen s HEP-om, Operator distribucijskog sustava, Elekrojug Dubrovnik. Ugovor je zaključen u srpnju 2024. u iznosu 312.340,60 €. Plaćena su dva obroka ugovora, dok će treći obrok ugovora u visini preostalih 30% vrijednosti ugovora odnosno 93.702,18 € trebati platiti najkasnije do dana podnošenja zahtjeva za sklapanje ugovora o korištenju mreže.</w:t>
      </w:r>
    </w:p>
    <w:p w14:paraId="7B552366" w14:textId="77777777" w:rsidR="00184A8E" w:rsidRPr="00F33DC0" w:rsidRDefault="00184A8E" w:rsidP="00F33DC0">
      <w:pPr>
        <w:spacing w:after="0" w:line="240" w:lineRule="auto"/>
        <w:ind w:left="709"/>
        <w:jc w:val="both"/>
        <w:rPr>
          <w:rFonts w:ascii="Arial" w:eastAsia="Calibri" w:hAnsi="Arial" w:cs="Arial"/>
          <w:sz w:val="18"/>
          <w:szCs w:val="18"/>
        </w:rPr>
      </w:pPr>
    </w:p>
    <w:p w14:paraId="1B680B23" w14:textId="2406AC41" w:rsidR="00F33DC0" w:rsidRDefault="00F33DC0" w:rsidP="00F33DC0">
      <w:pPr>
        <w:spacing w:after="0" w:line="240" w:lineRule="auto"/>
        <w:jc w:val="both"/>
        <w:rPr>
          <w:rFonts w:ascii="Arial" w:eastAsia="Calibri" w:hAnsi="Arial" w:cs="Arial"/>
          <w:sz w:val="20"/>
          <w:szCs w:val="20"/>
        </w:rPr>
      </w:pPr>
      <w:r w:rsidRPr="00F33DC0">
        <w:rPr>
          <w:rFonts w:ascii="Arial" w:eastAsia="Calibri" w:hAnsi="Arial" w:cs="Arial"/>
          <w:sz w:val="20"/>
          <w:szCs w:val="20"/>
        </w:rPr>
        <w:t>U 2025. godini nije bilo izvršenih rashoda u okviru ove aktivnosti. Rashodi su bili planirani u visini raspoloživih sredstava od prodaje dijela čestica zemljišta unutar poduzetničke zone (početak je ovisio o izmještanju sustava navigacije unutar poduzetničke zone, te o izradi projektne dokumentacije).</w:t>
      </w:r>
    </w:p>
    <w:p w14:paraId="39C31C9B" w14:textId="77777777" w:rsidR="00F33DC0" w:rsidRPr="00184A8E" w:rsidRDefault="00F33DC0" w:rsidP="00184A8E">
      <w:pPr>
        <w:spacing w:after="0" w:line="240" w:lineRule="auto"/>
        <w:jc w:val="both"/>
        <w:rPr>
          <w:rFonts w:ascii="Arial" w:eastAsia="Calibri" w:hAnsi="Arial" w:cs="Arial"/>
          <w:sz w:val="20"/>
          <w:szCs w:val="20"/>
        </w:rPr>
      </w:pPr>
    </w:p>
    <w:p w14:paraId="6F647324" w14:textId="0BAB637E" w:rsidR="00184A8E" w:rsidRPr="00184A8E" w:rsidRDefault="00184A8E" w:rsidP="00184A8E">
      <w:pPr>
        <w:spacing w:after="0" w:line="240" w:lineRule="auto"/>
        <w:jc w:val="both"/>
        <w:rPr>
          <w:rFonts w:ascii="Arial" w:eastAsia="Calibri" w:hAnsi="Arial" w:cs="Arial"/>
          <w:sz w:val="20"/>
          <w:szCs w:val="20"/>
        </w:rPr>
      </w:pPr>
      <w:bookmarkStart w:id="565" w:name="_Hlk198905915"/>
      <w:bookmarkEnd w:id="563"/>
      <w:r w:rsidRPr="00184A8E">
        <w:rPr>
          <w:rFonts w:ascii="Arial" w:eastAsia="Calibri" w:hAnsi="Arial" w:cs="Arial"/>
          <w:b/>
          <w:sz w:val="20"/>
          <w:szCs w:val="20"/>
        </w:rPr>
        <w:t>2</w:t>
      </w:r>
      <w:r w:rsidR="00A76D2A">
        <w:rPr>
          <w:rFonts w:ascii="Arial" w:eastAsia="Calibri" w:hAnsi="Arial" w:cs="Arial"/>
          <w:b/>
          <w:sz w:val="20"/>
          <w:szCs w:val="20"/>
        </w:rPr>
        <w:t>7</w:t>
      </w:r>
      <w:r w:rsidRPr="00184A8E">
        <w:rPr>
          <w:rFonts w:ascii="Arial" w:eastAsia="Calibri" w:hAnsi="Arial" w:cs="Arial"/>
          <w:b/>
          <w:sz w:val="20"/>
          <w:szCs w:val="20"/>
        </w:rPr>
        <w:t xml:space="preserve">. T209235: Put dr. Ante Starčevića, Cavtat </w:t>
      </w:r>
      <w:r w:rsidRPr="00184A8E">
        <w:rPr>
          <w:rFonts w:ascii="Arial" w:eastAsia="Calibri" w:hAnsi="Arial" w:cs="Arial"/>
          <w:sz w:val="20"/>
          <w:szCs w:val="20"/>
        </w:rPr>
        <w:t xml:space="preserve"> – u sklopu projekta su planirani rashodi izrade projektne dokumentacije te radovi rekonstrukcije ceste s oborinskom odvodnjom. Za 202</w:t>
      </w:r>
      <w:r w:rsidR="00F33DC0">
        <w:rPr>
          <w:rFonts w:ascii="Arial" w:eastAsia="Calibri" w:hAnsi="Arial" w:cs="Arial"/>
          <w:sz w:val="20"/>
          <w:szCs w:val="20"/>
        </w:rPr>
        <w:t>5</w:t>
      </w:r>
      <w:r w:rsidRPr="00184A8E">
        <w:rPr>
          <w:rFonts w:ascii="Arial" w:eastAsia="Calibri" w:hAnsi="Arial" w:cs="Arial"/>
          <w:sz w:val="20"/>
          <w:szCs w:val="20"/>
        </w:rPr>
        <w:t xml:space="preserve">. je planirano </w:t>
      </w:r>
      <w:r w:rsidR="00F33DC0">
        <w:rPr>
          <w:rFonts w:ascii="Arial" w:eastAsia="Calibri" w:hAnsi="Arial" w:cs="Arial"/>
          <w:sz w:val="20"/>
          <w:szCs w:val="20"/>
        </w:rPr>
        <w:t>280</w:t>
      </w:r>
      <w:r w:rsidRPr="00184A8E">
        <w:rPr>
          <w:rFonts w:ascii="Arial" w:eastAsia="Calibri" w:hAnsi="Arial" w:cs="Arial"/>
          <w:sz w:val="20"/>
          <w:szCs w:val="20"/>
        </w:rPr>
        <w:t>.000 €.</w:t>
      </w:r>
    </w:p>
    <w:p w14:paraId="7BA21234" w14:textId="77777777" w:rsidR="00184A8E" w:rsidRPr="00184A8E" w:rsidRDefault="00184A8E" w:rsidP="00184A8E">
      <w:pPr>
        <w:spacing w:after="0" w:line="240" w:lineRule="auto"/>
        <w:jc w:val="both"/>
        <w:rPr>
          <w:rFonts w:ascii="Arial" w:eastAsia="Calibri" w:hAnsi="Arial" w:cs="Arial"/>
          <w:sz w:val="20"/>
          <w:szCs w:val="20"/>
        </w:rPr>
      </w:pPr>
    </w:p>
    <w:p w14:paraId="13A144E9"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Rashodi za 2023. su bili izvršeni u iznosu 18.750 € i odnosili su se na prvu privremenu situaciju izrade projektne dokumentacije za uređenje prometnice i odvodnje dijela ulice Trumbićev put duljine 65 metara i Obala dr. Ante Starčevića duljine cca 450 metara (sukladno ugovoru iz kolovoza 2023. godine koji je zaključen u iznosu 32.875 €). Ugovorena je izrada idejnog rješenja prometnice i odvodnje, glavni projekt prometnice i odvodnje prema idejnom rješenju koje će se usvojiti, te izrada dokumentacije za nadmetanje.</w:t>
      </w:r>
    </w:p>
    <w:p w14:paraId="2CDD6767" w14:textId="77777777" w:rsidR="00184A8E" w:rsidRPr="00184A8E" w:rsidRDefault="00184A8E" w:rsidP="00184A8E">
      <w:pPr>
        <w:spacing w:after="0" w:line="240" w:lineRule="auto"/>
        <w:jc w:val="both"/>
        <w:rPr>
          <w:rFonts w:ascii="Arial" w:eastAsia="Calibri" w:hAnsi="Arial" w:cs="Arial"/>
          <w:sz w:val="20"/>
          <w:szCs w:val="20"/>
        </w:rPr>
      </w:pPr>
    </w:p>
    <w:p w14:paraId="44D49C34" w14:textId="26EB2265" w:rsidR="00184A8E" w:rsidRPr="00F33DC0" w:rsidRDefault="00184A8E" w:rsidP="00F33DC0">
      <w:pPr>
        <w:spacing w:after="0" w:line="240" w:lineRule="auto"/>
        <w:ind w:left="567"/>
        <w:jc w:val="both"/>
        <w:rPr>
          <w:rFonts w:ascii="Arial" w:eastAsia="Calibri" w:hAnsi="Arial" w:cs="Arial"/>
          <w:sz w:val="18"/>
          <w:szCs w:val="18"/>
        </w:rPr>
      </w:pPr>
      <w:r w:rsidRPr="00F33DC0">
        <w:rPr>
          <w:rFonts w:ascii="Arial" w:eastAsia="Calibri" w:hAnsi="Arial" w:cs="Arial"/>
          <w:sz w:val="18"/>
          <w:szCs w:val="18"/>
        </w:rPr>
        <w:t xml:space="preserve">Rashodi za 2024. su </w:t>
      </w:r>
      <w:r w:rsidR="00F33DC0">
        <w:rPr>
          <w:rFonts w:ascii="Arial" w:eastAsia="Calibri" w:hAnsi="Arial" w:cs="Arial"/>
          <w:sz w:val="18"/>
          <w:szCs w:val="18"/>
        </w:rPr>
        <w:t xml:space="preserve">bili </w:t>
      </w:r>
      <w:r w:rsidRPr="00F33DC0">
        <w:rPr>
          <w:rFonts w:ascii="Arial" w:eastAsia="Calibri" w:hAnsi="Arial" w:cs="Arial"/>
          <w:sz w:val="18"/>
          <w:szCs w:val="18"/>
        </w:rPr>
        <w:t>izvršeni u iznosu 121.588,96 € i odnos</w:t>
      </w:r>
      <w:r w:rsidR="00F33DC0">
        <w:rPr>
          <w:rFonts w:ascii="Arial" w:eastAsia="Calibri" w:hAnsi="Arial" w:cs="Arial"/>
          <w:sz w:val="18"/>
          <w:szCs w:val="18"/>
        </w:rPr>
        <w:t>ili su</w:t>
      </w:r>
      <w:r w:rsidRPr="00F33DC0">
        <w:rPr>
          <w:rFonts w:ascii="Arial" w:eastAsia="Calibri" w:hAnsi="Arial" w:cs="Arial"/>
          <w:sz w:val="18"/>
          <w:szCs w:val="18"/>
        </w:rPr>
        <w:t xml:space="preserve"> se na:</w:t>
      </w:r>
    </w:p>
    <w:p w14:paraId="2B79632A" w14:textId="77777777" w:rsidR="00184A8E" w:rsidRPr="00F33DC0" w:rsidRDefault="00184A8E">
      <w:pPr>
        <w:numPr>
          <w:ilvl w:val="0"/>
          <w:numId w:val="3"/>
        </w:numPr>
        <w:spacing w:after="0" w:line="240" w:lineRule="auto"/>
        <w:ind w:left="1571"/>
        <w:jc w:val="both"/>
        <w:rPr>
          <w:rFonts w:ascii="Arial" w:eastAsia="Calibri" w:hAnsi="Arial" w:cs="Arial"/>
          <w:sz w:val="18"/>
          <w:szCs w:val="18"/>
          <w:lang w:eastAsia="en-US"/>
        </w:rPr>
      </w:pPr>
      <w:r w:rsidRPr="00F33DC0">
        <w:rPr>
          <w:rFonts w:ascii="Arial" w:eastAsia="Calibri" w:hAnsi="Arial" w:cs="Arial"/>
          <w:sz w:val="18"/>
          <w:szCs w:val="18"/>
          <w:lang w:eastAsia="en-US"/>
        </w:rPr>
        <w:t>radove na uređenju prometnice i odvodnje dijela ulice Trumbićev put duljine 65 metara i Obala dr. Ante Starčevića duljine cca 500 metara u iznosu 104.172,90 € (ugovor iz veljače 2024. godine u iznosu 335.968,66 €). U veljači 2024. godine je zaključen dodatak ugovoru kojim se produžuje rok završetka radova. U prosincu 2024. zaključen je drugi dodatak ugovoru kojim je utvrđeno da se predmetni radovi obavljaju unutar zaštićene kulturno povijesne cjeline Cavtata i uvažavajući smjernice posebnih uvjeta Konzervatorskog odjela, sukladno čemu će se radovi nastaviti nakon izrade izmjene i dopune glavnog projekta, te je pretpostavljen završetak radova do 15.2.2026.</w:t>
      </w:r>
    </w:p>
    <w:p w14:paraId="6ADE07CA" w14:textId="77777777" w:rsidR="00184A8E" w:rsidRPr="00F33DC0" w:rsidRDefault="00184A8E">
      <w:pPr>
        <w:numPr>
          <w:ilvl w:val="0"/>
          <w:numId w:val="3"/>
        </w:numPr>
        <w:spacing w:after="0" w:line="240" w:lineRule="auto"/>
        <w:ind w:left="1571"/>
        <w:jc w:val="both"/>
        <w:rPr>
          <w:rFonts w:ascii="Arial" w:eastAsia="Calibri" w:hAnsi="Arial" w:cs="Arial"/>
          <w:sz w:val="18"/>
          <w:szCs w:val="18"/>
          <w:lang w:eastAsia="en-US"/>
        </w:rPr>
      </w:pPr>
      <w:r w:rsidRPr="00F33DC0">
        <w:rPr>
          <w:rFonts w:ascii="Arial" w:eastAsia="Calibri" w:hAnsi="Arial" w:cs="Arial"/>
          <w:sz w:val="18"/>
          <w:szCs w:val="18"/>
          <w:lang w:eastAsia="en-US"/>
        </w:rPr>
        <w:t>nadzor nad radovima uređenja prometnice i odvodnje u ulici Obala dr. Ante Starčevića u iznosu 3.100,68 €, te</w:t>
      </w:r>
    </w:p>
    <w:p w14:paraId="62DDBFCD" w14:textId="77777777" w:rsidR="00184A8E" w:rsidRPr="00184A8E" w:rsidRDefault="00184A8E">
      <w:pPr>
        <w:numPr>
          <w:ilvl w:val="0"/>
          <w:numId w:val="3"/>
        </w:numPr>
        <w:spacing w:after="0" w:line="240" w:lineRule="auto"/>
        <w:ind w:left="1571"/>
        <w:jc w:val="both"/>
        <w:rPr>
          <w:rFonts w:ascii="Arial" w:eastAsia="Calibri" w:hAnsi="Arial" w:cs="Arial"/>
          <w:sz w:val="20"/>
          <w:szCs w:val="20"/>
          <w:lang w:eastAsia="en-US"/>
        </w:rPr>
      </w:pPr>
      <w:r w:rsidRPr="00F33DC0">
        <w:rPr>
          <w:rFonts w:ascii="Arial" w:eastAsia="Calibri" w:hAnsi="Arial" w:cs="Arial"/>
          <w:sz w:val="18"/>
          <w:szCs w:val="18"/>
          <w:lang w:eastAsia="en-US"/>
        </w:rPr>
        <w:t xml:space="preserve">okončanu situaciju za izradu projektne dokumentacije za uređenje prometnice i odvodnje dijela ulice Trumbićev put duljine 65 metara i Obala dr. Ante Starčevića duljine cca 450 metara u iznosu 14.125 € (sukladno ugovoru iz kolovoza 2023. godine). </w:t>
      </w:r>
    </w:p>
    <w:bookmarkEnd w:id="565"/>
    <w:p w14:paraId="7013F935" w14:textId="77777777" w:rsidR="00184A8E" w:rsidRDefault="00184A8E" w:rsidP="00184A8E">
      <w:pPr>
        <w:spacing w:after="0" w:line="240" w:lineRule="auto"/>
        <w:jc w:val="both"/>
        <w:rPr>
          <w:rFonts w:ascii="Arial" w:eastAsia="Calibri" w:hAnsi="Arial" w:cs="Arial"/>
          <w:b/>
          <w:sz w:val="20"/>
          <w:szCs w:val="20"/>
        </w:rPr>
      </w:pPr>
    </w:p>
    <w:p w14:paraId="0692E7D6" w14:textId="77777777" w:rsidR="00F33DC0" w:rsidRPr="00F33DC0" w:rsidRDefault="00F33DC0" w:rsidP="00F33DC0">
      <w:pPr>
        <w:spacing w:after="0" w:line="240" w:lineRule="auto"/>
        <w:jc w:val="both"/>
        <w:rPr>
          <w:rFonts w:ascii="Arial" w:eastAsia="Calibri" w:hAnsi="Arial" w:cs="Arial"/>
          <w:sz w:val="20"/>
          <w:szCs w:val="20"/>
          <w:lang w:eastAsia="en-US" w:bidi="en-US"/>
        </w:rPr>
      </w:pPr>
      <w:r w:rsidRPr="00F33DC0">
        <w:rPr>
          <w:rFonts w:ascii="Arial" w:eastAsia="Calibri" w:hAnsi="Arial" w:cs="Arial"/>
          <w:sz w:val="20"/>
          <w:szCs w:val="20"/>
          <w:lang w:eastAsia="en-US" w:bidi="en-US"/>
        </w:rPr>
        <w:t>Rashodi za 2025. su izvršeni u iznosu 109.297,72 € i odnose se na:</w:t>
      </w:r>
    </w:p>
    <w:p w14:paraId="4CD4B191" w14:textId="77777777" w:rsidR="00F33DC0" w:rsidRPr="00F33DC0" w:rsidRDefault="00F33DC0">
      <w:pPr>
        <w:numPr>
          <w:ilvl w:val="0"/>
          <w:numId w:val="3"/>
        </w:numPr>
        <w:spacing w:after="0" w:line="240" w:lineRule="auto"/>
        <w:ind w:left="567" w:hanging="567"/>
        <w:jc w:val="both"/>
        <w:rPr>
          <w:rFonts w:ascii="Arial" w:eastAsia="Calibri" w:hAnsi="Arial" w:cs="Arial"/>
          <w:sz w:val="20"/>
          <w:szCs w:val="20"/>
          <w:lang w:eastAsia="en-US" w:bidi="en-US"/>
        </w:rPr>
      </w:pPr>
      <w:r w:rsidRPr="00F33DC0">
        <w:rPr>
          <w:rFonts w:ascii="Arial" w:eastAsia="Calibri" w:hAnsi="Arial" w:cs="Arial"/>
          <w:sz w:val="20"/>
          <w:szCs w:val="20"/>
          <w:lang w:eastAsia="en-US" w:bidi="en-US"/>
        </w:rPr>
        <w:t>radove na uređenju prometnice i odvodnje dijela ulice Trumbićev put duljine 65 metara i Obala dr. Ante Starčevića duljine cca 500 metara u iznosu 97.797,72 € (ugovor iz veljače 2024. godine u iznosu 335.968,66 €). U veljači 2024. godine je zaključen dodatak ugovoru kojim se produžuje rok završetka radova. U prosincu 2024. zaključen je drugi dodatak ugovoru kojim je utvrđeno da se predmetni radovi obavljaju unutar zaštićene kulturno povijesne cjeline Cavtata i uvažavajući smjernice posebnih uvjeta Konzervatorskog odjela, sukladno čemu će se radovi nastaviti nakon izrade izmjene i dopune glavnog projekta, te je pretpostavljen završetak radova do 15.2.2026.</w:t>
      </w:r>
    </w:p>
    <w:p w14:paraId="16ACE3B1" w14:textId="77777777" w:rsidR="00F33DC0" w:rsidRPr="00F33DC0" w:rsidRDefault="00F33DC0">
      <w:pPr>
        <w:numPr>
          <w:ilvl w:val="0"/>
          <w:numId w:val="3"/>
        </w:numPr>
        <w:spacing w:after="0" w:line="240" w:lineRule="auto"/>
        <w:ind w:left="567" w:hanging="567"/>
        <w:jc w:val="both"/>
        <w:rPr>
          <w:rFonts w:ascii="Arial" w:eastAsia="Calibri" w:hAnsi="Arial" w:cs="Arial"/>
          <w:sz w:val="20"/>
          <w:szCs w:val="20"/>
          <w:lang w:eastAsia="en-US" w:bidi="en-US"/>
        </w:rPr>
      </w:pPr>
      <w:r w:rsidRPr="00F33DC0">
        <w:rPr>
          <w:rFonts w:ascii="Arial" w:eastAsia="Calibri" w:hAnsi="Arial" w:cs="Arial"/>
          <w:sz w:val="20"/>
          <w:szCs w:val="20"/>
          <w:lang w:eastAsia="en-US" w:bidi="en-US"/>
        </w:rPr>
        <w:t>nadzor nad radovima uređenja prometnice i odvodnje u ulici Obala dr. Ante Starčevića u iznosu 2.826,79 €, te</w:t>
      </w:r>
    </w:p>
    <w:p w14:paraId="01A7B2E1" w14:textId="3FF8C87C" w:rsidR="00F33DC0" w:rsidRPr="00F33DC0" w:rsidRDefault="00F33DC0">
      <w:pPr>
        <w:numPr>
          <w:ilvl w:val="0"/>
          <w:numId w:val="3"/>
        </w:numPr>
        <w:spacing w:after="0" w:line="240" w:lineRule="auto"/>
        <w:ind w:left="567" w:hanging="567"/>
        <w:jc w:val="both"/>
        <w:rPr>
          <w:rFonts w:ascii="Arial" w:eastAsia="Calibri" w:hAnsi="Arial" w:cs="Arial"/>
          <w:sz w:val="20"/>
          <w:szCs w:val="20"/>
          <w:lang w:eastAsia="en-US" w:bidi="en-US"/>
        </w:rPr>
      </w:pPr>
      <w:r w:rsidRPr="00F33DC0">
        <w:rPr>
          <w:rFonts w:ascii="Arial" w:eastAsia="Calibri" w:hAnsi="Arial" w:cs="Arial"/>
          <w:sz w:val="20"/>
          <w:szCs w:val="20"/>
          <w:lang w:eastAsia="en-US" w:bidi="en-US"/>
        </w:rPr>
        <w:t xml:space="preserve">izradu projektne dokumentacije za uređenje prometnice i odvodnje dijela ulice Trumbićev put duljine 65 metara i Obala dr. Ante Starčevića duljine cca 450 metara u iznosu 11.500 € (sukladno ugovoru iz veljače 2025. godine u vrijednosti 11.500 € s PDV-om). </w:t>
      </w:r>
    </w:p>
    <w:p w14:paraId="767231FC" w14:textId="77777777" w:rsidR="00F33DC0" w:rsidRPr="00184A8E" w:rsidRDefault="00F33DC0" w:rsidP="00184A8E">
      <w:pPr>
        <w:spacing w:after="0" w:line="240" w:lineRule="auto"/>
        <w:jc w:val="both"/>
        <w:rPr>
          <w:rFonts w:ascii="Arial" w:eastAsia="Calibri" w:hAnsi="Arial" w:cs="Arial"/>
          <w:b/>
          <w:sz w:val="20"/>
          <w:szCs w:val="20"/>
        </w:rPr>
      </w:pPr>
    </w:p>
    <w:p w14:paraId="0E99BB27" w14:textId="359FD60D"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2</w:t>
      </w:r>
      <w:r w:rsidR="00A76D2A">
        <w:rPr>
          <w:rFonts w:ascii="Arial" w:eastAsia="Calibri" w:hAnsi="Arial" w:cs="Arial"/>
          <w:b/>
          <w:sz w:val="20"/>
          <w:szCs w:val="20"/>
        </w:rPr>
        <w:t>8</w:t>
      </w:r>
      <w:r w:rsidRPr="00184A8E">
        <w:rPr>
          <w:rFonts w:ascii="Arial" w:eastAsia="Calibri" w:hAnsi="Arial" w:cs="Arial"/>
          <w:b/>
          <w:sz w:val="20"/>
          <w:szCs w:val="20"/>
        </w:rPr>
        <w:t xml:space="preserve">. T209236: Čilipi, Vučje ždrijelo </w:t>
      </w:r>
      <w:r w:rsidRPr="00184A8E">
        <w:rPr>
          <w:rFonts w:ascii="Arial" w:eastAsia="Calibri" w:hAnsi="Arial" w:cs="Arial"/>
          <w:sz w:val="20"/>
          <w:szCs w:val="20"/>
        </w:rPr>
        <w:t xml:space="preserve"> – u sklopu projekta su prvotno bili planirani rashodi izrade projektne dokumentacije uređenja ove dionice ceste. Izmjenama proračuna godinu rashodi nisu planirani i nisu izvršeni.</w:t>
      </w:r>
    </w:p>
    <w:p w14:paraId="2F8B57FB" w14:textId="77777777" w:rsidR="00184A8E" w:rsidRPr="00184A8E" w:rsidRDefault="00184A8E" w:rsidP="00184A8E">
      <w:pPr>
        <w:spacing w:after="0" w:line="240" w:lineRule="auto"/>
        <w:jc w:val="both"/>
        <w:rPr>
          <w:rFonts w:ascii="Arial" w:eastAsia="Calibri" w:hAnsi="Arial" w:cs="Arial"/>
          <w:sz w:val="20"/>
          <w:szCs w:val="20"/>
        </w:rPr>
      </w:pPr>
    </w:p>
    <w:bookmarkEnd w:id="560"/>
    <w:p w14:paraId="0FBB079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Aktivnosti vezane uz opće ciljeve postignute su sukladno postocima izvršenja, a izvršenje rashoda je uvjetovano manjim proračunskim sredstvima raspoloživim za ulaganja u izgradnju komunalne infrastrukture.</w:t>
      </w:r>
      <w:r w:rsidRPr="00184A8E">
        <w:rPr>
          <w:rFonts w:ascii="Arial" w:eastAsia="Calibri" w:hAnsi="Arial" w:cs="Arial"/>
          <w:sz w:val="20"/>
          <w:szCs w:val="20"/>
        </w:rPr>
        <w:br w:type="page"/>
      </w:r>
    </w:p>
    <w:p w14:paraId="151FB3D5"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566" w:name="_Toc200628526"/>
      <w:bookmarkStart w:id="567" w:name="_Toc232981458"/>
      <w:r w:rsidRPr="00184A8E">
        <w:rPr>
          <w:rFonts w:ascii="Times New Roman" w:eastAsia="Calibri" w:hAnsi="Times New Roman" w:cs="Times New Roman"/>
          <w:b/>
          <w:sz w:val="24"/>
          <w:szCs w:val="20"/>
          <w:lang w:eastAsia="en-US"/>
        </w:rPr>
        <w:lastRenderedPageBreak/>
        <w:t>Program (2093): Izgradnja objekata i uređaja, te nabava oprema za prijevoz putnika, održavanje čistoće, odlaganje komunalnog otpada i tržnice na malo</w:t>
      </w:r>
      <w:bookmarkEnd w:id="566"/>
      <w:bookmarkEnd w:id="567"/>
    </w:p>
    <w:p w14:paraId="7C42A2C7"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9"/>
        <w:gridCol w:w="12729"/>
      </w:tblGrid>
      <w:tr w:rsidR="00184A8E" w:rsidRPr="00184A8E" w14:paraId="72DCBF40" w14:textId="77777777" w:rsidTr="00410A4B">
        <w:tc>
          <w:tcPr>
            <w:tcW w:w="1439" w:type="dxa"/>
          </w:tcPr>
          <w:p w14:paraId="236BB989"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729" w:type="dxa"/>
          </w:tcPr>
          <w:p w14:paraId="76B97F61"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Ovim programom nastoji se poboljšati kvaliteta i razina infrastrukture na području Općine. </w:t>
            </w:r>
          </w:p>
          <w:p w14:paraId="4558986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Program obuhva</w:t>
            </w:r>
            <w:r w:rsidRPr="00184A8E">
              <w:rPr>
                <w:rFonts w:ascii="Arial" w:eastAsia="TimesNewRoman" w:hAnsi="Arial" w:cs="Arial"/>
                <w:sz w:val="20"/>
                <w:szCs w:val="20"/>
                <w:lang w:eastAsia="en-US"/>
              </w:rPr>
              <w:t>ć</w:t>
            </w:r>
            <w:r w:rsidRPr="00184A8E">
              <w:rPr>
                <w:rFonts w:ascii="Arial" w:eastAsia="Calibri" w:hAnsi="Arial" w:cs="Arial"/>
                <w:sz w:val="20"/>
                <w:szCs w:val="20"/>
                <w:lang w:eastAsia="en-US"/>
              </w:rPr>
              <w:t>a aktivnosti pripremu tehni</w:t>
            </w:r>
            <w:r w:rsidRPr="00184A8E">
              <w:rPr>
                <w:rFonts w:ascii="Arial" w:eastAsia="TimesNewRoman" w:hAnsi="Arial" w:cs="Arial"/>
                <w:sz w:val="20"/>
                <w:szCs w:val="20"/>
                <w:lang w:eastAsia="en-US"/>
              </w:rPr>
              <w:t>č</w:t>
            </w:r>
            <w:r w:rsidRPr="00184A8E">
              <w:rPr>
                <w:rFonts w:ascii="Arial" w:eastAsia="Calibri" w:hAnsi="Arial" w:cs="Arial"/>
                <w:sz w:val="20"/>
                <w:szCs w:val="20"/>
                <w:lang w:eastAsia="en-US"/>
              </w:rPr>
              <w:t>ke dokumentacije za budu</w:t>
            </w:r>
            <w:r w:rsidRPr="00184A8E">
              <w:rPr>
                <w:rFonts w:ascii="Arial" w:eastAsia="TimesNewRoman" w:hAnsi="Arial" w:cs="Arial"/>
                <w:sz w:val="20"/>
                <w:szCs w:val="20"/>
                <w:lang w:eastAsia="en-US"/>
              </w:rPr>
              <w:t>ć</w:t>
            </w:r>
            <w:r w:rsidRPr="00184A8E">
              <w:rPr>
                <w:rFonts w:ascii="Arial" w:eastAsia="Calibri" w:hAnsi="Arial" w:cs="Arial"/>
                <w:sz w:val="20"/>
                <w:szCs w:val="20"/>
                <w:lang w:eastAsia="en-US"/>
              </w:rPr>
              <w:t>e investicije te kapitalne projekte vezane za tržnicu, te nabavu opreme i izgradnju objekata za odlaganje komunalnog otpada.</w:t>
            </w:r>
          </w:p>
        </w:tc>
      </w:tr>
      <w:tr w:rsidR="00184A8E" w:rsidRPr="00184A8E" w14:paraId="5FFFAE2B" w14:textId="77777777" w:rsidTr="00410A4B">
        <w:tc>
          <w:tcPr>
            <w:tcW w:w="1439" w:type="dxa"/>
          </w:tcPr>
          <w:p w14:paraId="19A1EDCB" w14:textId="77777777" w:rsidR="00184A8E" w:rsidRPr="00184A8E" w:rsidRDefault="00184A8E" w:rsidP="00184A8E">
            <w:pPr>
              <w:spacing w:after="0" w:line="240" w:lineRule="auto"/>
              <w:jc w:val="both"/>
              <w:rPr>
                <w:rFonts w:ascii="Arial" w:eastAsia="Calibri" w:hAnsi="Arial" w:cs="Arial"/>
                <w:sz w:val="18"/>
                <w:szCs w:val="18"/>
                <w:lang w:eastAsia="en-US"/>
              </w:rPr>
            </w:pPr>
            <w:r w:rsidRPr="00184A8E">
              <w:rPr>
                <w:rFonts w:ascii="Arial" w:eastAsia="Calibri" w:hAnsi="Arial" w:cs="Arial"/>
                <w:sz w:val="18"/>
                <w:szCs w:val="18"/>
                <w:lang w:eastAsia="en-US"/>
              </w:rPr>
              <w:t>ZAKONSKE I DRUGE PRAVNE OSNOVE PROGRAMA:</w:t>
            </w:r>
          </w:p>
        </w:tc>
        <w:tc>
          <w:tcPr>
            <w:tcW w:w="12729" w:type="dxa"/>
          </w:tcPr>
          <w:p w14:paraId="742C3BD1"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Zakon o lokalnoj i područnoj (regionalnoj) samoupravi (NN 33/01,60/01,129/05, 109/07,125/08, 36/09, 150/11, 144/12, 19/13, 137/15, 123/17, 98/19, 144/20), Zakon o komunalnom gospodarstvu (Narodne novine 68/18, 110/18, 32/20, 145/24), Zakon o gospodarenju otpadom (NN 84/21, 142/23), Statut Općine i drugi akti</w:t>
            </w:r>
          </w:p>
        </w:tc>
      </w:tr>
      <w:tr w:rsidR="00184A8E" w:rsidRPr="00184A8E" w14:paraId="54F17D9D" w14:textId="77777777" w:rsidTr="00410A4B">
        <w:tc>
          <w:tcPr>
            <w:tcW w:w="1439" w:type="dxa"/>
          </w:tcPr>
          <w:p w14:paraId="6EC9A187"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2729" w:type="dxa"/>
          </w:tcPr>
          <w:p w14:paraId="4846A630"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 xml:space="preserve">Podizanje kvalitete života i stanovanja, zaštita okoliša. </w:t>
            </w:r>
          </w:p>
          <w:p w14:paraId="596259E0"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Stvaranje preduvjeta za unapređenje kvalitete stanovanja i življenja te podizanje razine i standarda stanovanja.</w:t>
            </w:r>
          </w:p>
          <w:p w14:paraId="2D1EC96F"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Times New Roman" w:hAnsi="Arial" w:cs="Arial"/>
                <w:sz w:val="20"/>
                <w:szCs w:val="20"/>
                <w:lang w:eastAsia="en-US"/>
              </w:rPr>
              <w:t>Održivo gospodarenje otpadom.</w:t>
            </w:r>
            <w:r w:rsidRPr="00184A8E">
              <w:rPr>
                <w:rFonts w:ascii="Arial" w:eastAsia="Calibri" w:hAnsi="Arial" w:cs="Arial"/>
                <w:sz w:val="20"/>
                <w:szCs w:val="20"/>
                <w:lang w:eastAsia="en-US"/>
              </w:rPr>
              <w:t xml:space="preserve"> </w:t>
            </w:r>
          </w:p>
          <w:p w14:paraId="11225FC0"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Smanjenje otpada, povećanje reciklaže.</w:t>
            </w:r>
          </w:p>
          <w:p w14:paraId="6EBFF39B"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Realizacijom projekta nabave komunalne opreme osigurava se uspostava kvalitetnog, postojanog i ekonomski učinkovitog sustava sakupljanja komunalnog otpada kojim se omogućava odvajanje otpada na mjestu nastanka radi povećanja odvojenog prikupljanja i recikliranja komunalnog otpada, smanjenja udjela biorazgradivog komunalnog otpada i smanjenja odlaganja miješanog komunalnog otpada koji se odlažu na odlagalištima, sukladno Zakonu o gospodarenju otpadom i ciljevima iz Plana gospodarenja otpadom Republike Hrvatske za razdoblje 2023. – 2028. (Narodne novine 84/23) i Plana gospodarenja otpadom Općine Konavle</w:t>
            </w:r>
          </w:p>
        </w:tc>
      </w:tr>
      <w:tr w:rsidR="00184A8E" w:rsidRPr="00184A8E" w14:paraId="77F24F83" w14:textId="77777777" w:rsidTr="00410A4B">
        <w:tc>
          <w:tcPr>
            <w:tcW w:w="1439" w:type="dxa"/>
            <w:vAlign w:val="bottom"/>
          </w:tcPr>
          <w:p w14:paraId="4F6CD710"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2729" w:type="dxa"/>
            <w:vAlign w:val="bottom"/>
          </w:tcPr>
          <w:p w14:paraId="1D83514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Tekućim projektima nabave komunalne opreme za održavanje čistoće i odlaganje komunalnog otpada planira se pridonijeti usklađivanju standarda i zakonskih obveza iz Zakona o gospodarenju otpadom. </w:t>
            </w:r>
          </w:p>
          <w:p w14:paraId="51D23A8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Poboljšanje mjera za uklanjanje otpada, smanjenje divljih odlagališta otpada</w:t>
            </w:r>
          </w:p>
          <w:p w14:paraId="091B50AA"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POSEBNI CILJ je podići razinu kvalitete infrastrukture gospodarenje otpadom, ukloniti uočene nedostatke, provoditi aktivnosti vezane za gospodarenje otpadom.</w:t>
            </w:r>
          </w:p>
        </w:tc>
      </w:tr>
    </w:tbl>
    <w:p w14:paraId="25E158EA" w14:textId="77777777" w:rsidR="00184A8E" w:rsidRPr="00184A8E" w:rsidRDefault="00184A8E" w:rsidP="00184A8E">
      <w:pPr>
        <w:spacing w:after="0" w:line="240" w:lineRule="auto"/>
        <w:jc w:val="both"/>
        <w:rPr>
          <w:rFonts w:ascii="Arial" w:eastAsia="Calibri" w:hAnsi="Arial" w:cs="Arial"/>
          <w:sz w:val="20"/>
          <w:szCs w:val="20"/>
          <w:lang w:eastAsia="en-US"/>
        </w:rPr>
      </w:pPr>
    </w:p>
    <w:p w14:paraId="511CDA74" w14:textId="77777777" w:rsidR="00184A8E" w:rsidRPr="00184A8E" w:rsidRDefault="00184A8E" w:rsidP="00184A8E">
      <w:pPr>
        <w:spacing w:after="0" w:line="240" w:lineRule="auto"/>
        <w:jc w:val="both"/>
        <w:rPr>
          <w:rFonts w:ascii="Arial" w:eastAsia="Calibri" w:hAnsi="Arial" w:cs="Arial"/>
          <w:sz w:val="20"/>
          <w:szCs w:val="20"/>
        </w:rPr>
      </w:pPr>
    </w:p>
    <w:p w14:paraId="5AF57EFD"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17158A80" w14:textId="77777777" w:rsidR="00184A8E" w:rsidRPr="00184A8E" w:rsidRDefault="00184A8E" w:rsidP="00184A8E">
      <w:pPr>
        <w:spacing w:after="0" w:line="240" w:lineRule="auto"/>
        <w:jc w:val="both"/>
        <w:rPr>
          <w:rFonts w:ascii="Arial" w:eastAsia="Calibri" w:hAnsi="Arial" w:cs="Arial"/>
          <w:sz w:val="20"/>
          <w:szCs w:val="20"/>
        </w:rPr>
      </w:pPr>
    </w:p>
    <w:p w14:paraId="306F1B21" w14:textId="105B97A6"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31709788" w14:textId="77777777" w:rsidR="00184A8E" w:rsidRPr="00184A8E" w:rsidRDefault="00184A8E" w:rsidP="00184A8E">
      <w:pPr>
        <w:spacing w:after="0" w:line="240" w:lineRule="auto"/>
        <w:rPr>
          <w:rFonts w:ascii="Arial" w:eastAsia="Calibri" w:hAnsi="Arial" w:cs="Arial"/>
          <w:sz w:val="20"/>
          <w:szCs w:val="20"/>
        </w:rPr>
      </w:pPr>
    </w:p>
    <w:p w14:paraId="47720E61" w14:textId="0E5BE098" w:rsidR="00184A8E" w:rsidRPr="00184A8E" w:rsidRDefault="00954619" w:rsidP="00184A8E">
      <w:pPr>
        <w:spacing w:after="0" w:line="240" w:lineRule="auto"/>
        <w:rPr>
          <w:rFonts w:ascii="Arial" w:eastAsia="Calibri" w:hAnsi="Arial" w:cs="Arial"/>
          <w:color w:val="FF0000"/>
          <w:sz w:val="20"/>
          <w:szCs w:val="20"/>
        </w:rPr>
      </w:pPr>
      <w:r w:rsidRPr="00954619">
        <w:rPr>
          <w:noProof/>
        </w:rPr>
        <w:lastRenderedPageBreak/>
        <w:drawing>
          <wp:inline distT="0" distB="0" distL="0" distR="0" wp14:anchorId="153C6899" wp14:editId="2F2C172A">
            <wp:extent cx="9251950" cy="3283585"/>
            <wp:effectExtent l="0" t="0" r="6350" b="0"/>
            <wp:docPr id="925358710"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9251950" cy="3283585"/>
                    </a:xfrm>
                    <a:prstGeom prst="rect">
                      <a:avLst/>
                    </a:prstGeom>
                    <a:noFill/>
                    <a:ln>
                      <a:noFill/>
                    </a:ln>
                  </pic:spPr>
                </pic:pic>
              </a:graphicData>
            </a:graphic>
          </wp:inline>
        </w:drawing>
      </w:r>
    </w:p>
    <w:p w14:paraId="7D9E6E22"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41F418D2"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4C68FD8A" w14:textId="77777777" w:rsidR="00184A8E" w:rsidRPr="00184A8E" w:rsidRDefault="00184A8E" w:rsidP="00184A8E">
      <w:pPr>
        <w:spacing w:after="0" w:line="240" w:lineRule="auto"/>
        <w:jc w:val="both"/>
        <w:rPr>
          <w:rFonts w:ascii="Arial" w:eastAsia="Calibri" w:hAnsi="Arial" w:cs="Arial"/>
          <w:sz w:val="20"/>
          <w:szCs w:val="20"/>
          <w:lang w:eastAsia="en-US"/>
        </w:rPr>
      </w:pPr>
    </w:p>
    <w:p w14:paraId="72D37B62"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36316027" w14:textId="77777777"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Izvršenje je u okviru očekivanih vrijednosti.</w:t>
      </w:r>
    </w:p>
    <w:p w14:paraId="1F429442" w14:textId="77777777" w:rsidR="00184A8E" w:rsidRPr="00184A8E" w:rsidRDefault="00184A8E" w:rsidP="00184A8E">
      <w:pPr>
        <w:spacing w:after="0" w:line="240" w:lineRule="auto"/>
        <w:jc w:val="both"/>
        <w:rPr>
          <w:rFonts w:ascii="Arial" w:eastAsia="Calibri" w:hAnsi="Arial" w:cs="Arial"/>
          <w:sz w:val="20"/>
          <w:szCs w:val="20"/>
          <w:lang w:eastAsia="en-US"/>
        </w:rPr>
      </w:pPr>
    </w:p>
    <w:p w14:paraId="49301E8D" w14:textId="77777777" w:rsidR="00954619" w:rsidRDefault="00954619" w:rsidP="00184A8E">
      <w:pPr>
        <w:spacing w:after="0" w:line="240" w:lineRule="auto"/>
        <w:jc w:val="both"/>
        <w:rPr>
          <w:rFonts w:ascii="Arial" w:eastAsia="Calibri" w:hAnsi="Arial" w:cs="Arial"/>
          <w:sz w:val="20"/>
          <w:szCs w:val="20"/>
          <w:lang w:eastAsia="en-US"/>
        </w:rPr>
      </w:pPr>
      <w:r w:rsidRPr="00954619">
        <w:rPr>
          <w:rFonts w:ascii="Arial" w:eastAsia="Calibri" w:hAnsi="Arial" w:cs="Arial"/>
          <w:sz w:val="20"/>
          <w:szCs w:val="20"/>
          <w:lang w:eastAsia="en-US"/>
        </w:rPr>
        <w:t xml:space="preserve">Program 2093 planiran je u iznosu </w:t>
      </w:r>
      <w:r>
        <w:rPr>
          <w:rFonts w:ascii="Arial" w:eastAsia="Calibri" w:hAnsi="Arial" w:cs="Arial"/>
          <w:sz w:val="20"/>
          <w:szCs w:val="20"/>
          <w:lang w:eastAsia="en-US"/>
        </w:rPr>
        <w:t>223.310</w:t>
      </w:r>
      <w:r w:rsidRPr="00954619">
        <w:rPr>
          <w:rFonts w:ascii="Arial" w:eastAsia="Calibri" w:hAnsi="Arial" w:cs="Arial"/>
          <w:sz w:val="20"/>
          <w:szCs w:val="20"/>
          <w:lang w:eastAsia="en-US"/>
        </w:rPr>
        <w:t xml:space="preserve"> € za 2025. godinu, te 342.000 € za 2026. godinu i 272.000 € za 2027. godinu.</w:t>
      </w:r>
    </w:p>
    <w:p w14:paraId="6CA31329" w14:textId="4DF82FF2"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Program za 202</w:t>
      </w:r>
      <w:r w:rsidR="00954619">
        <w:rPr>
          <w:rFonts w:ascii="Arial" w:eastAsia="Calibri" w:hAnsi="Arial" w:cs="Arial"/>
          <w:sz w:val="20"/>
          <w:szCs w:val="20"/>
          <w:lang w:eastAsia="en-US"/>
        </w:rPr>
        <w:t>5</w:t>
      </w:r>
      <w:r w:rsidRPr="00184A8E">
        <w:rPr>
          <w:rFonts w:ascii="Arial" w:eastAsia="Calibri" w:hAnsi="Arial" w:cs="Arial"/>
          <w:sz w:val="20"/>
          <w:szCs w:val="20"/>
          <w:lang w:eastAsia="en-US"/>
        </w:rPr>
        <w:t xml:space="preserve">. je izvršen u iznosu </w:t>
      </w:r>
      <w:r w:rsidR="00954619">
        <w:rPr>
          <w:rFonts w:ascii="Arial" w:eastAsia="Calibri" w:hAnsi="Arial" w:cs="Arial"/>
          <w:sz w:val="20"/>
          <w:szCs w:val="20"/>
          <w:lang w:eastAsia="en-US"/>
        </w:rPr>
        <w:t>62.309,72</w:t>
      </w:r>
      <w:r w:rsidRPr="00184A8E">
        <w:rPr>
          <w:rFonts w:ascii="Arial" w:eastAsia="Calibri" w:hAnsi="Arial" w:cs="Arial"/>
          <w:sz w:val="20"/>
          <w:szCs w:val="20"/>
          <w:lang w:eastAsia="en-US"/>
        </w:rPr>
        <w:t xml:space="preserve"> € ili </w:t>
      </w:r>
      <w:r w:rsidR="00954619">
        <w:rPr>
          <w:rFonts w:ascii="Arial" w:eastAsia="Calibri" w:hAnsi="Arial" w:cs="Arial"/>
          <w:sz w:val="20"/>
          <w:szCs w:val="20"/>
          <w:lang w:eastAsia="en-US"/>
        </w:rPr>
        <w:t>27,9</w:t>
      </w:r>
      <w:r w:rsidRPr="00184A8E">
        <w:rPr>
          <w:rFonts w:ascii="Arial" w:eastAsia="Calibri" w:hAnsi="Arial" w:cs="Arial"/>
          <w:sz w:val="20"/>
          <w:szCs w:val="20"/>
          <w:lang w:eastAsia="en-US"/>
        </w:rPr>
        <w:t>% plana.</w:t>
      </w:r>
    </w:p>
    <w:p w14:paraId="47230BB9" w14:textId="77777777" w:rsidR="00184A8E" w:rsidRPr="00184A8E" w:rsidRDefault="00184A8E" w:rsidP="00184A8E">
      <w:pPr>
        <w:spacing w:after="0" w:line="240" w:lineRule="auto"/>
        <w:jc w:val="both"/>
        <w:rPr>
          <w:rFonts w:ascii="Arial" w:eastAsia="Calibri" w:hAnsi="Arial" w:cs="Arial"/>
          <w:sz w:val="20"/>
          <w:szCs w:val="20"/>
          <w:lang w:eastAsia="en-US"/>
        </w:rPr>
      </w:pPr>
    </w:p>
    <w:p w14:paraId="26858D8D"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6C942FCA" w14:textId="77777777" w:rsidR="00184A8E" w:rsidRPr="00184A8E" w:rsidRDefault="00184A8E" w:rsidP="00184A8E">
      <w:pPr>
        <w:spacing w:after="0" w:line="240" w:lineRule="auto"/>
        <w:jc w:val="both"/>
        <w:rPr>
          <w:rFonts w:ascii="Arial" w:eastAsia="Calibri" w:hAnsi="Arial" w:cs="Arial"/>
          <w:sz w:val="20"/>
          <w:szCs w:val="20"/>
          <w:lang w:eastAsia="en-US"/>
        </w:rPr>
      </w:pPr>
    </w:p>
    <w:p w14:paraId="0BFA42DC"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Unutar programa izvode se slijedeće aktivnosti i projekti:</w:t>
      </w:r>
    </w:p>
    <w:p w14:paraId="1AE3A9BF" w14:textId="77777777" w:rsidR="00184A8E" w:rsidRPr="00184A8E" w:rsidRDefault="00184A8E" w:rsidP="00184A8E">
      <w:pPr>
        <w:spacing w:after="0" w:line="240" w:lineRule="auto"/>
        <w:jc w:val="both"/>
        <w:rPr>
          <w:rFonts w:ascii="Arial" w:eastAsia="Calibri" w:hAnsi="Arial" w:cs="Arial"/>
          <w:sz w:val="20"/>
          <w:szCs w:val="20"/>
        </w:rPr>
      </w:pPr>
    </w:p>
    <w:p w14:paraId="2AF3C43A"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1. K209301: Poslovno trgovačka zgrada s tržnicom Cavtat</w:t>
      </w:r>
      <w:r w:rsidRPr="00184A8E">
        <w:rPr>
          <w:rFonts w:ascii="Arial" w:eastAsia="Calibri" w:hAnsi="Arial" w:cs="Arial"/>
          <w:sz w:val="20"/>
          <w:szCs w:val="20"/>
        </w:rPr>
        <w:t xml:space="preserve"> – rashodi nisu planirani. Izgradnja je obavljena putem društva u vlasništvu Općine (Čistoća i zelenilo Konavle d.o.o.). Društvo se zadužilo za izgradnju zgrade s pripadajućom tržnicom. Tijekom 2019. društvo je iznajmilo poslovne prostore. Upravni odjel za prostorno uređenje i gradnju izdalo je uporabnu dozvolu za zgradu dana 7.12.2018. (pravomoćno 11.12.18.). U 2021. na krovu zgrade ne ugrađena sunčana elektrana. </w:t>
      </w:r>
    </w:p>
    <w:p w14:paraId="64BBB59E"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1033525B" w14:textId="2AC43A22"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Calibri" w:hAnsi="Arial" w:cs="Arial"/>
          <w:b/>
          <w:sz w:val="20"/>
          <w:szCs w:val="20"/>
          <w:lang w:eastAsia="en-US"/>
        </w:rPr>
        <w:t>2.T209303: Ulaganje u odlagalište otpada Grabovica (iz naknade sadržane u cijeni usluge)</w:t>
      </w:r>
      <w:r w:rsidRPr="00184A8E">
        <w:rPr>
          <w:rFonts w:ascii="Arial" w:eastAsia="Calibri" w:hAnsi="Arial" w:cs="Arial"/>
          <w:sz w:val="20"/>
          <w:szCs w:val="20"/>
          <w:lang w:eastAsia="en-US"/>
        </w:rPr>
        <w:t xml:space="preserve"> - u sklopu projekta planiraju se kapitalne pomoći gradu Dubrovniku koje obavlja sanaciju odlagališta otpada, te pomoći za sanaciju društvu u suvlasništvu. Ovi radovi se dijelom financiraju iz prikupljenih sredstava odnosno naknade za sanaciju odlagališta Grabovica koju naplaćuje društvo u suvlasništvu (Čistoća Dubrovnik d.o.o.). </w:t>
      </w:r>
      <w:r w:rsidRPr="00184A8E">
        <w:rPr>
          <w:rFonts w:ascii="Arial" w:eastAsia="Times New Roman" w:hAnsi="Arial" w:cs="Arial"/>
          <w:sz w:val="20"/>
          <w:szCs w:val="20"/>
          <w:lang w:eastAsia="en-US"/>
        </w:rPr>
        <w:t xml:space="preserve">Ovi rashodi su planirani u iznosu 90.000 €. Rashodi su izvršeni u iznosu </w:t>
      </w:r>
      <w:r w:rsidR="00954619">
        <w:rPr>
          <w:rFonts w:ascii="Arial" w:eastAsia="Times New Roman" w:hAnsi="Arial" w:cs="Arial"/>
          <w:sz w:val="20"/>
          <w:szCs w:val="20"/>
          <w:lang w:eastAsia="en-US"/>
        </w:rPr>
        <w:t>7.309,72</w:t>
      </w:r>
      <w:r w:rsidRPr="00184A8E">
        <w:rPr>
          <w:rFonts w:ascii="Arial" w:eastAsia="Times New Roman" w:hAnsi="Arial" w:cs="Arial"/>
          <w:sz w:val="20"/>
          <w:szCs w:val="20"/>
          <w:lang w:eastAsia="en-US"/>
        </w:rPr>
        <w:t xml:space="preserve"> € i odnose se na kapitalnu pomoć društvu u suvlasništvu Općine (Čistoća d.o.o. Dubrovnik) za sanaciju odlagališta </w:t>
      </w:r>
      <w:r w:rsidR="00954619">
        <w:rPr>
          <w:rFonts w:ascii="Arial" w:eastAsia="Times New Roman" w:hAnsi="Arial" w:cs="Arial"/>
          <w:sz w:val="20"/>
          <w:szCs w:val="20"/>
          <w:lang w:eastAsia="en-US"/>
        </w:rPr>
        <w:t>7.309,72</w:t>
      </w:r>
      <w:r w:rsidRPr="00184A8E">
        <w:rPr>
          <w:rFonts w:ascii="Arial" w:eastAsia="Times New Roman" w:hAnsi="Arial" w:cs="Arial"/>
          <w:sz w:val="20"/>
          <w:szCs w:val="20"/>
          <w:lang w:eastAsia="en-US"/>
        </w:rPr>
        <w:t xml:space="preserve"> €</w:t>
      </w:r>
      <w:r w:rsidR="00954619">
        <w:rPr>
          <w:rFonts w:ascii="Arial" w:eastAsia="Times New Roman" w:hAnsi="Arial" w:cs="Arial"/>
          <w:sz w:val="20"/>
          <w:szCs w:val="20"/>
          <w:lang w:eastAsia="en-US"/>
        </w:rPr>
        <w:t xml:space="preserve">, dok u tekućoj godini nije bilo </w:t>
      </w:r>
      <w:r w:rsidR="00954619" w:rsidRPr="00184A8E">
        <w:rPr>
          <w:rFonts w:ascii="Arial" w:eastAsia="Times New Roman" w:hAnsi="Arial" w:cs="Arial"/>
          <w:sz w:val="20"/>
          <w:szCs w:val="20"/>
          <w:lang w:eastAsia="en-US"/>
        </w:rPr>
        <w:t>pomoć</w:t>
      </w:r>
      <w:r w:rsidR="00954619">
        <w:rPr>
          <w:rFonts w:ascii="Arial" w:eastAsia="Times New Roman" w:hAnsi="Arial" w:cs="Arial"/>
          <w:sz w:val="20"/>
          <w:szCs w:val="20"/>
          <w:lang w:eastAsia="en-US"/>
        </w:rPr>
        <w:t>i</w:t>
      </w:r>
      <w:r w:rsidR="00954619" w:rsidRPr="00184A8E">
        <w:rPr>
          <w:rFonts w:ascii="Arial" w:eastAsia="Times New Roman" w:hAnsi="Arial" w:cs="Arial"/>
          <w:sz w:val="20"/>
          <w:szCs w:val="20"/>
          <w:lang w:eastAsia="en-US"/>
        </w:rPr>
        <w:t xml:space="preserve"> gradskom proračunu (nositelj sanacije odlagališta otpada Grabovica)</w:t>
      </w:r>
      <w:r w:rsidRPr="00184A8E">
        <w:rPr>
          <w:rFonts w:ascii="Arial" w:eastAsia="Times New Roman" w:hAnsi="Arial" w:cs="Arial"/>
          <w:sz w:val="20"/>
          <w:szCs w:val="20"/>
          <w:lang w:eastAsia="en-US"/>
        </w:rPr>
        <w:t>. Općina nema utjecaj na visinu izvršavanja ovih rashoda već se rashodi izvršavaju na temelju prethodnih sporazuma s Gradom Dubrovnikom i društvom Čistoća d.o.o koji su nositelji sanacije odlagališta otpada.</w:t>
      </w:r>
    </w:p>
    <w:p w14:paraId="1BEB2C60"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28122502" w14:textId="77777777" w:rsidR="00184A8E" w:rsidRPr="00184A8E" w:rsidRDefault="00184A8E" w:rsidP="00184A8E">
      <w:pPr>
        <w:spacing w:after="0" w:line="240" w:lineRule="auto"/>
        <w:ind w:left="567"/>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Rashodi se izvršavaju na temelju zaključenog sporazuma 1.7.2019. između Općine, Grada Dubrovnika kao investitora sanacije odlagališta otpada na Grabovici i društva Čistoća Dubrovnik d.o.o. koje putem računa za usluge sakupljanja i odvoza smeća naplaćuje namjensku naknade, te dodatka sporazumu iz prosinca 2019. i ožujka 2020. Investicija prve faze sanacije Grabovica iznosi 15.858.555,70 kn / 2.104.792,05 €, od čega Fond za zaštitu okoliša sufinancira 44,2% investicije, a preostala razlika troškova investicije se dijeli prema udjelima vlasništva u društvu Čistoća Dubrovnik (Općina podmiruje 9,87% ili 873.473,65 kn / 115.929,88 €/).</w:t>
      </w:r>
    </w:p>
    <w:p w14:paraId="5B22982A" w14:textId="77777777" w:rsidR="00184A8E" w:rsidRPr="00184A8E" w:rsidRDefault="00184A8E" w:rsidP="00184A8E">
      <w:pPr>
        <w:spacing w:after="0" w:line="240" w:lineRule="auto"/>
        <w:ind w:left="567"/>
        <w:jc w:val="both"/>
        <w:rPr>
          <w:rFonts w:ascii="Arial" w:eastAsia="Calibri" w:hAnsi="Arial" w:cs="Arial"/>
          <w:bCs/>
          <w:sz w:val="18"/>
          <w:szCs w:val="18"/>
          <w:lang w:eastAsia="en-US"/>
        </w:rPr>
      </w:pPr>
      <w:r w:rsidRPr="00184A8E">
        <w:rPr>
          <w:rFonts w:ascii="Arial" w:eastAsia="Calibri" w:hAnsi="Arial" w:cs="Arial"/>
          <w:bCs/>
          <w:sz w:val="18"/>
          <w:szCs w:val="18"/>
          <w:lang w:eastAsia="en-US"/>
        </w:rPr>
        <w:t xml:space="preserve">Sredstva se doznačuju gradu Dubrovnik i trgovačkom društvu na temelju sporazuma, a za plaćanje izvedenih radova sanacije, dok dio sredstva izravno opravdava društvo u suvlasništvu Općine koje naplaćuje naknadu. </w:t>
      </w:r>
    </w:p>
    <w:p w14:paraId="59346650" w14:textId="77777777" w:rsidR="00184A8E" w:rsidRPr="00184A8E" w:rsidRDefault="00184A8E" w:rsidP="00184A8E">
      <w:pPr>
        <w:spacing w:after="0" w:line="240" w:lineRule="auto"/>
        <w:jc w:val="both"/>
        <w:rPr>
          <w:rFonts w:ascii="Arial" w:eastAsia="Calibri" w:hAnsi="Arial" w:cs="Arial"/>
          <w:bCs/>
          <w:sz w:val="20"/>
          <w:szCs w:val="20"/>
          <w:lang w:eastAsia="en-US"/>
        </w:rPr>
      </w:pPr>
    </w:p>
    <w:p w14:paraId="4A45E9D9" w14:textId="4F65C643" w:rsidR="00184A8E" w:rsidRDefault="00954619" w:rsidP="00954619">
      <w:pPr>
        <w:spacing w:after="0" w:line="240" w:lineRule="auto"/>
        <w:ind w:left="567"/>
        <w:jc w:val="both"/>
        <w:rPr>
          <w:rFonts w:ascii="Arial" w:eastAsia="Times New Roman" w:hAnsi="Arial" w:cs="Arial"/>
          <w:sz w:val="18"/>
          <w:szCs w:val="18"/>
          <w:lang w:eastAsia="en-US"/>
        </w:rPr>
      </w:pPr>
      <w:r>
        <w:rPr>
          <w:rFonts w:ascii="Arial" w:eastAsia="Calibri" w:hAnsi="Arial" w:cs="Arial"/>
          <w:bCs/>
          <w:sz w:val="18"/>
          <w:szCs w:val="18"/>
          <w:lang w:eastAsia="en-US"/>
        </w:rPr>
        <w:t>Primjerice, u</w:t>
      </w:r>
      <w:r w:rsidR="00184A8E" w:rsidRPr="00954619">
        <w:rPr>
          <w:rFonts w:ascii="Arial" w:eastAsia="Calibri" w:hAnsi="Arial" w:cs="Arial"/>
          <w:bCs/>
          <w:sz w:val="18"/>
          <w:szCs w:val="18"/>
          <w:lang w:eastAsia="en-US"/>
        </w:rPr>
        <w:t xml:space="preserve"> prosincu 2024. godini je zaključen sporazum između Općine, Grada Dubrovnika, društva Čistoća d.o.o. Dubrovnik i drugih susjednih općina kojima je utvrđena visina sredstava koju je Općina kao kapitalnu pomoć doznačila Gradu Dubrovnik</w:t>
      </w:r>
      <w:r w:rsidRPr="00954619">
        <w:rPr>
          <w:rFonts w:ascii="Arial" w:eastAsia="Calibri" w:hAnsi="Arial" w:cs="Arial"/>
          <w:bCs/>
          <w:sz w:val="18"/>
          <w:szCs w:val="18"/>
          <w:lang w:eastAsia="en-US"/>
        </w:rPr>
        <w:t xml:space="preserve"> (</w:t>
      </w:r>
      <w:r w:rsidRPr="00954619">
        <w:rPr>
          <w:rFonts w:ascii="Arial" w:eastAsia="Times New Roman" w:hAnsi="Arial" w:cs="Arial"/>
          <w:sz w:val="18"/>
          <w:szCs w:val="18"/>
          <w:lang w:eastAsia="en-US"/>
        </w:rPr>
        <w:t>21.187,30 €).</w:t>
      </w:r>
      <w:r>
        <w:rPr>
          <w:rFonts w:ascii="Arial" w:eastAsia="Times New Roman" w:hAnsi="Arial" w:cs="Arial"/>
          <w:sz w:val="18"/>
          <w:szCs w:val="18"/>
          <w:lang w:eastAsia="en-US"/>
        </w:rPr>
        <w:t xml:space="preserve"> </w:t>
      </w:r>
    </w:p>
    <w:p w14:paraId="087F3E11" w14:textId="77777777" w:rsidR="00954619" w:rsidRDefault="00954619" w:rsidP="00954619">
      <w:pPr>
        <w:spacing w:after="0" w:line="240" w:lineRule="auto"/>
        <w:ind w:left="567"/>
        <w:jc w:val="both"/>
        <w:rPr>
          <w:rFonts w:ascii="Arial" w:eastAsia="Times New Roman" w:hAnsi="Arial" w:cs="Arial"/>
          <w:sz w:val="20"/>
          <w:szCs w:val="20"/>
          <w:lang w:eastAsia="en-US"/>
        </w:rPr>
      </w:pPr>
    </w:p>
    <w:p w14:paraId="12DF7C06" w14:textId="696DC992" w:rsidR="00954619" w:rsidRPr="00377DA4" w:rsidRDefault="00954619" w:rsidP="00954619">
      <w:pPr>
        <w:spacing w:after="0" w:line="240" w:lineRule="auto"/>
        <w:ind w:left="567"/>
        <w:jc w:val="both"/>
        <w:rPr>
          <w:rFonts w:ascii="Arial" w:eastAsia="Times New Roman" w:hAnsi="Arial" w:cs="Arial"/>
          <w:sz w:val="20"/>
          <w:szCs w:val="20"/>
          <w:lang w:eastAsia="en-US"/>
        </w:rPr>
      </w:pPr>
      <w:r w:rsidRPr="00377DA4">
        <w:rPr>
          <w:rFonts w:ascii="Arial" w:eastAsia="Times New Roman" w:hAnsi="Arial" w:cs="Arial"/>
          <w:sz w:val="20"/>
          <w:szCs w:val="20"/>
          <w:lang w:eastAsia="en-US"/>
        </w:rPr>
        <w:t>U 2025. godini nije bilo sporazuma o prijenosu sredstava Gradu Dubrovniku, kao nositelju sanacije.</w:t>
      </w:r>
    </w:p>
    <w:p w14:paraId="7728FB0D"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2263"/>
        <w:gridCol w:w="3261"/>
        <w:gridCol w:w="850"/>
        <w:gridCol w:w="1134"/>
        <w:gridCol w:w="1559"/>
        <w:gridCol w:w="1198"/>
        <w:gridCol w:w="1242"/>
        <w:gridCol w:w="1242"/>
        <w:gridCol w:w="1242"/>
      </w:tblGrid>
      <w:tr w:rsidR="00184A8E" w:rsidRPr="00184A8E" w14:paraId="146DA767"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A341E07"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26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C70D992"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85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578696"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8D30C72"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3915717" w14:textId="0F5B1D78"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954619">
              <w:rPr>
                <w:rFonts w:ascii="Arial" w:eastAsia="Calibri" w:hAnsi="Arial" w:cs="Arial"/>
              </w:rPr>
              <w:t>4</w:t>
            </w:r>
            <w:r w:rsidRPr="00184A8E">
              <w:rPr>
                <w:rFonts w:ascii="Arial" w:eastAsia="Calibri" w:hAnsi="Arial" w:cs="Arial"/>
              </w:rPr>
              <w:t>.</w:t>
            </w:r>
          </w:p>
        </w:tc>
        <w:tc>
          <w:tcPr>
            <w:tcW w:w="119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9C6F9DA" w14:textId="2B9EDC0B"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D24DF6">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16BFAA2" w14:textId="3F416725"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D24DF6">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67AFBE8" w14:textId="3B8C859D" w:rsidR="00184A8E" w:rsidRPr="00184A8E" w:rsidRDefault="00184A8E" w:rsidP="00184A8E">
            <w:pPr>
              <w:jc w:val="center"/>
              <w:rPr>
                <w:rFonts w:ascii="Arial" w:eastAsia="Calibri" w:hAnsi="Arial" w:cs="Arial"/>
              </w:rPr>
            </w:pPr>
            <w:r w:rsidRPr="00184A8E">
              <w:rPr>
                <w:rFonts w:ascii="Arial" w:eastAsia="Calibri" w:hAnsi="Arial" w:cs="Arial"/>
              </w:rPr>
              <w:t>Ciljana vrijednost 20</w:t>
            </w:r>
            <w:r w:rsidR="00D24DF6">
              <w:rPr>
                <w:rFonts w:ascii="Arial" w:eastAsia="Calibri" w:hAnsi="Arial" w:cs="Arial"/>
              </w:rPr>
              <w:t>26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71ED212" w14:textId="19332427"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D24DF6">
              <w:rPr>
                <w:rFonts w:ascii="Arial" w:eastAsia="Calibri" w:hAnsi="Arial" w:cs="Arial"/>
              </w:rPr>
              <w:t>7</w:t>
            </w:r>
            <w:r w:rsidRPr="00184A8E">
              <w:rPr>
                <w:rFonts w:ascii="Arial" w:eastAsia="Calibri" w:hAnsi="Arial" w:cs="Arial"/>
              </w:rPr>
              <w:t>.</w:t>
            </w:r>
          </w:p>
        </w:tc>
      </w:tr>
      <w:tr w:rsidR="00184A8E" w:rsidRPr="00184A8E" w14:paraId="0CE6B730" w14:textId="77777777" w:rsidTr="00410A4B">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4DBBC9FF" w14:textId="77777777" w:rsidR="00184A8E" w:rsidRPr="00184A8E" w:rsidRDefault="00184A8E" w:rsidP="00184A8E">
            <w:pPr>
              <w:rPr>
                <w:rFonts w:ascii="Arial" w:hAnsi="Arial" w:cs="Arial"/>
                <w:sz w:val="18"/>
                <w:szCs w:val="18"/>
              </w:rPr>
            </w:pPr>
            <w:r w:rsidRPr="00184A8E">
              <w:rPr>
                <w:rFonts w:ascii="Arial" w:eastAsia="Calibri" w:hAnsi="Arial" w:cs="Arial"/>
                <w:iCs/>
                <w:sz w:val="18"/>
                <w:szCs w:val="18"/>
              </w:rPr>
              <w:t xml:space="preserve">Utrošena sredstva za ulaganje u odlagališta otpada Grabovica </w:t>
            </w:r>
          </w:p>
        </w:tc>
        <w:tc>
          <w:tcPr>
            <w:tcW w:w="3261" w:type="dxa"/>
            <w:tcBorders>
              <w:top w:val="single" w:sz="4" w:space="0" w:color="auto"/>
              <w:left w:val="single" w:sz="4" w:space="0" w:color="auto"/>
              <w:bottom w:val="single" w:sz="4" w:space="0" w:color="auto"/>
              <w:right w:val="single" w:sz="4" w:space="0" w:color="auto"/>
            </w:tcBorders>
            <w:vAlign w:val="center"/>
          </w:tcPr>
          <w:p w14:paraId="38412297" w14:textId="77777777" w:rsidR="00184A8E" w:rsidRPr="00184A8E" w:rsidRDefault="00184A8E" w:rsidP="00184A8E">
            <w:pPr>
              <w:autoSpaceDE w:val="0"/>
              <w:autoSpaceDN w:val="0"/>
              <w:adjustRightInd w:val="0"/>
              <w:rPr>
                <w:rFonts w:ascii="Arial" w:hAnsi="Arial" w:cs="Arial"/>
                <w:sz w:val="18"/>
                <w:szCs w:val="18"/>
              </w:rPr>
            </w:pPr>
            <w:r w:rsidRPr="00184A8E">
              <w:rPr>
                <w:rFonts w:ascii="Arial" w:eastAsia="Calibri" w:hAnsi="Arial" w:cs="Arial"/>
                <w:sz w:val="18"/>
                <w:szCs w:val="18"/>
              </w:rPr>
              <w:t xml:space="preserve">Udio utrošenih planiranih sredstava za </w:t>
            </w:r>
            <w:r w:rsidRPr="00184A8E">
              <w:rPr>
                <w:rFonts w:ascii="Arial" w:eastAsia="Calibri" w:hAnsi="Arial" w:cs="Arial"/>
                <w:iCs/>
                <w:sz w:val="18"/>
                <w:szCs w:val="18"/>
              </w:rPr>
              <w:t>saniranje i zatvaranje odlagališta Grabovica</w:t>
            </w:r>
          </w:p>
        </w:tc>
        <w:tc>
          <w:tcPr>
            <w:tcW w:w="850" w:type="dxa"/>
            <w:tcBorders>
              <w:top w:val="single" w:sz="4" w:space="0" w:color="auto"/>
              <w:left w:val="single" w:sz="4" w:space="0" w:color="auto"/>
              <w:bottom w:val="single" w:sz="4" w:space="0" w:color="auto"/>
              <w:right w:val="single" w:sz="4" w:space="0" w:color="auto"/>
            </w:tcBorders>
            <w:vAlign w:val="center"/>
          </w:tcPr>
          <w:p w14:paraId="35D8C45C"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7F1DE87"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Općina</w:t>
            </w:r>
          </w:p>
        </w:tc>
        <w:tc>
          <w:tcPr>
            <w:tcW w:w="1559" w:type="dxa"/>
            <w:tcBorders>
              <w:top w:val="single" w:sz="4" w:space="0" w:color="auto"/>
              <w:left w:val="single" w:sz="4" w:space="0" w:color="auto"/>
              <w:bottom w:val="single" w:sz="4" w:space="0" w:color="auto"/>
              <w:right w:val="single" w:sz="4" w:space="0" w:color="auto"/>
            </w:tcBorders>
            <w:vAlign w:val="center"/>
          </w:tcPr>
          <w:p w14:paraId="74F2CA77" w14:textId="3ACEC6BE" w:rsidR="00184A8E" w:rsidRPr="00377DA4" w:rsidRDefault="00184A8E" w:rsidP="00184A8E">
            <w:pPr>
              <w:jc w:val="center"/>
              <w:rPr>
                <w:rFonts w:ascii="Arial" w:eastAsia="Calibri" w:hAnsi="Arial" w:cs="Arial"/>
                <w:sz w:val="18"/>
                <w:szCs w:val="18"/>
              </w:rPr>
            </w:pPr>
            <w:r w:rsidRPr="00377DA4">
              <w:rPr>
                <w:rFonts w:ascii="Arial" w:eastAsia="Calibri" w:hAnsi="Arial" w:cs="Arial"/>
                <w:sz w:val="18"/>
                <w:szCs w:val="18"/>
              </w:rPr>
              <w:t>stanje novčanih sredstava 31.12.2</w:t>
            </w:r>
            <w:r w:rsidR="00D24DF6" w:rsidRPr="00377DA4">
              <w:rPr>
                <w:rFonts w:ascii="Arial" w:eastAsia="Calibri" w:hAnsi="Arial" w:cs="Arial"/>
                <w:sz w:val="18"/>
                <w:szCs w:val="18"/>
              </w:rPr>
              <w:t>4</w:t>
            </w:r>
            <w:r w:rsidRPr="00377DA4">
              <w:rPr>
                <w:rFonts w:ascii="Arial" w:eastAsia="Calibri" w:hAnsi="Arial" w:cs="Arial"/>
                <w:sz w:val="18"/>
                <w:szCs w:val="18"/>
              </w:rPr>
              <w:t>.</w:t>
            </w:r>
          </w:p>
          <w:p w14:paraId="214E26E0" w14:textId="2A415711" w:rsidR="00184A8E" w:rsidRPr="00377DA4" w:rsidRDefault="00184A8E" w:rsidP="00184A8E">
            <w:pPr>
              <w:jc w:val="center"/>
              <w:rPr>
                <w:rFonts w:ascii="Arial" w:hAnsi="Arial" w:cs="Arial"/>
                <w:sz w:val="18"/>
                <w:szCs w:val="18"/>
              </w:rPr>
            </w:pPr>
            <w:r w:rsidRPr="00377DA4">
              <w:rPr>
                <w:rFonts w:ascii="Arial" w:eastAsia="Calibri" w:hAnsi="Arial" w:cs="Arial"/>
                <w:sz w:val="18"/>
                <w:szCs w:val="18"/>
              </w:rPr>
              <w:t>(</w:t>
            </w:r>
            <w:r w:rsidR="00D24DF6" w:rsidRPr="00377DA4">
              <w:rPr>
                <w:rFonts w:ascii="Arial" w:hAnsi="Arial" w:cs="Arial"/>
                <w:sz w:val="18"/>
                <w:szCs w:val="18"/>
                <w:lang w:eastAsia="en-US"/>
              </w:rPr>
              <w:t xml:space="preserve">293.112,30 </w:t>
            </w:r>
            <w:r w:rsidRPr="00377DA4">
              <w:rPr>
                <w:rFonts w:ascii="Arial" w:eastAsia="Calibri" w:hAnsi="Arial" w:cs="Arial"/>
                <w:sz w:val="18"/>
                <w:szCs w:val="18"/>
              </w:rPr>
              <w:t>€)</w:t>
            </w:r>
          </w:p>
        </w:tc>
        <w:tc>
          <w:tcPr>
            <w:tcW w:w="1198" w:type="dxa"/>
            <w:tcBorders>
              <w:top w:val="single" w:sz="4" w:space="0" w:color="auto"/>
              <w:left w:val="single" w:sz="4" w:space="0" w:color="auto"/>
              <w:bottom w:val="single" w:sz="4" w:space="0" w:color="auto"/>
              <w:right w:val="single" w:sz="4" w:space="0" w:color="auto"/>
            </w:tcBorders>
            <w:vAlign w:val="center"/>
          </w:tcPr>
          <w:p w14:paraId="4E362BBA"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50%</w:t>
            </w:r>
          </w:p>
        </w:tc>
        <w:tc>
          <w:tcPr>
            <w:tcW w:w="1242" w:type="dxa"/>
            <w:tcBorders>
              <w:top w:val="single" w:sz="4" w:space="0" w:color="000000"/>
              <w:left w:val="single" w:sz="4" w:space="0" w:color="000000"/>
              <w:bottom w:val="single" w:sz="4" w:space="0" w:color="000000"/>
              <w:right w:val="single" w:sz="4" w:space="0" w:color="000000"/>
            </w:tcBorders>
            <w:vAlign w:val="center"/>
          </w:tcPr>
          <w:p w14:paraId="580B09B5" w14:textId="77777777" w:rsidR="00184A8E" w:rsidRDefault="00D24DF6" w:rsidP="00184A8E">
            <w:pPr>
              <w:jc w:val="center"/>
              <w:rPr>
                <w:rFonts w:ascii="Arial" w:eastAsia="Calibri" w:hAnsi="Arial" w:cs="Arial"/>
                <w:sz w:val="18"/>
                <w:szCs w:val="18"/>
              </w:rPr>
            </w:pPr>
            <w:r>
              <w:rPr>
                <w:rFonts w:ascii="Arial" w:eastAsia="Calibri" w:hAnsi="Arial" w:cs="Arial"/>
                <w:sz w:val="18"/>
                <w:szCs w:val="18"/>
              </w:rPr>
              <w:t>2,5</w:t>
            </w:r>
            <w:r w:rsidR="00184A8E" w:rsidRPr="00184A8E">
              <w:rPr>
                <w:rFonts w:ascii="Arial" w:eastAsia="Calibri" w:hAnsi="Arial" w:cs="Arial"/>
                <w:sz w:val="18"/>
                <w:szCs w:val="18"/>
              </w:rPr>
              <w:t xml:space="preserve">% </w:t>
            </w:r>
          </w:p>
          <w:p w14:paraId="0F385BEF" w14:textId="4234945A" w:rsidR="00D24DF6" w:rsidRPr="00184A8E" w:rsidRDefault="00D24DF6" w:rsidP="00184A8E">
            <w:pPr>
              <w:jc w:val="center"/>
              <w:rPr>
                <w:rFonts w:ascii="Arial" w:eastAsia="Calibri" w:hAnsi="Arial" w:cs="Arial"/>
                <w:sz w:val="18"/>
                <w:szCs w:val="18"/>
              </w:rPr>
            </w:pPr>
            <w:r>
              <w:rPr>
                <w:rFonts w:ascii="Arial" w:eastAsia="Calibri" w:hAnsi="Arial" w:cs="Arial"/>
                <w:sz w:val="18"/>
                <w:szCs w:val="18"/>
              </w:rPr>
              <w:t>(7.309,72 €)</w:t>
            </w:r>
          </w:p>
        </w:tc>
        <w:tc>
          <w:tcPr>
            <w:tcW w:w="1242" w:type="dxa"/>
            <w:tcBorders>
              <w:top w:val="single" w:sz="4" w:space="0" w:color="000000"/>
              <w:left w:val="single" w:sz="4" w:space="0" w:color="000000"/>
              <w:bottom w:val="single" w:sz="4" w:space="0" w:color="000000"/>
              <w:right w:val="single" w:sz="4" w:space="0" w:color="000000"/>
            </w:tcBorders>
            <w:vAlign w:val="center"/>
          </w:tcPr>
          <w:p w14:paraId="002B9FBE"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80%</w:t>
            </w:r>
          </w:p>
        </w:tc>
        <w:tc>
          <w:tcPr>
            <w:tcW w:w="1242" w:type="dxa"/>
            <w:tcBorders>
              <w:top w:val="single" w:sz="4" w:space="0" w:color="000000"/>
              <w:left w:val="single" w:sz="4" w:space="0" w:color="000000"/>
              <w:bottom w:val="single" w:sz="4" w:space="0" w:color="000000"/>
              <w:right w:val="single" w:sz="4" w:space="0" w:color="000000"/>
            </w:tcBorders>
            <w:vAlign w:val="center"/>
          </w:tcPr>
          <w:p w14:paraId="249BED2E"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r>
    </w:tbl>
    <w:p w14:paraId="0A0E5427"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031CC5DC" w14:textId="77777777" w:rsidR="00C414E1" w:rsidRPr="00C414E1" w:rsidRDefault="00184A8E" w:rsidP="00C414E1">
      <w:pPr>
        <w:spacing w:after="0" w:line="240" w:lineRule="auto"/>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 xml:space="preserve">Namjenska sredstva za sanaciju odlagališta Općine koje je u ime Općine naplatilo društvo Čistoća koncem 2021. su iznosila 2.136.102,35 kn / 283.509,50 €. Tijekom 2022. godine je naplaćeno 460.892,75 kn / 61.170,98 €, a utrošeno je 61.103,94 kn / 8.109,88 € za sanaciju na odlagalištu Grabovica, te koncem 2022. godine ova sredstva iznose 2.535.891,16 kn (336.570,60 €). Tijekom 2023. godine je utrošeno 63.549,57 €, a naplaćeno 40.689,17 €, te sredstva namjenske naknade koncem 2023. godine iznose 313.710,20 €. Od 31. srpnja 2023. godine namjenska naknada se više ne naplaćuje. </w:t>
      </w:r>
      <w:r w:rsidR="00C414E1" w:rsidRPr="00C414E1">
        <w:rPr>
          <w:rFonts w:ascii="Arial" w:eastAsia="Times New Roman" w:hAnsi="Arial" w:cs="Arial"/>
          <w:sz w:val="18"/>
          <w:szCs w:val="18"/>
          <w:lang w:eastAsia="en-US"/>
        </w:rPr>
        <w:t>Tijekom 2024. godine naplaćeno je 589,40 € namjenske naknade (potraživanja iz ranijih razdoblja). U 2024. godini utrošeno je 21.187,30 €, te stanje sredstava koncem 2024. iznosi 293.112,30 €.</w:t>
      </w:r>
    </w:p>
    <w:p w14:paraId="62BF19FB" w14:textId="01DF3489" w:rsidR="00184A8E" w:rsidRPr="00184A8E" w:rsidRDefault="00184A8E" w:rsidP="00184A8E">
      <w:pPr>
        <w:spacing w:after="0" w:line="240" w:lineRule="auto"/>
        <w:ind w:left="567"/>
        <w:jc w:val="both"/>
        <w:rPr>
          <w:rFonts w:ascii="Arial" w:eastAsia="Times New Roman" w:hAnsi="Arial" w:cs="Arial"/>
          <w:sz w:val="18"/>
          <w:szCs w:val="18"/>
          <w:lang w:eastAsia="en-US"/>
        </w:rPr>
      </w:pPr>
    </w:p>
    <w:p w14:paraId="5854ACC4" w14:textId="5EC786BD"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Tijekom 202</w:t>
      </w:r>
      <w:r w:rsidR="00C414E1">
        <w:rPr>
          <w:rFonts w:ascii="Arial" w:eastAsia="Times New Roman" w:hAnsi="Arial" w:cs="Arial"/>
          <w:sz w:val="20"/>
          <w:szCs w:val="20"/>
          <w:lang w:eastAsia="en-US"/>
        </w:rPr>
        <w:t>5</w:t>
      </w:r>
      <w:r w:rsidRPr="00184A8E">
        <w:rPr>
          <w:rFonts w:ascii="Arial" w:eastAsia="Times New Roman" w:hAnsi="Arial" w:cs="Arial"/>
          <w:sz w:val="20"/>
          <w:szCs w:val="20"/>
          <w:lang w:eastAsia="en-US"/>
        </w:rPr>
        <w:t xml:space="preserve">. godine naplaćeno je </w:t>
      </w:r>
      <w:r w:rsidR="00C414E1">
        <w:rPr>
          <w:rFonts w:ascii="Arial" w:eastAsia="Times New Roman" w:hAnsi="Arial" w:cs="Arial"/>
          <w:sz w:val="20"/>
          <w:szCs w:val="20"/>
          <w:lang w:eastAsia="en-US"/>
        </w:rPr>
        <w:t>213,10</w:t>
      </w:r>
      <w:r w:rsidRPr="00184A8E">
        <w:rPr>
          <w:rFonts w:ascii="Arial" w:eastAsia="Times New Roman" w:hAnsi="Arial" w:cs="Arial"/>
          <w:sz w:val="20"/>
          <w:szCs w:val="20"/>
          <w:lang w:eastAsia="en-US"/>
        </w:rPr>
        <w:t xml:space="preserve"> € namjenske naknade (potraživanja iz ranijih razdoblja). U 202</w:t>
      </w:r>
      <w:r w:rsidR="00C414E1">
        <w:rPr>
          <w:rFonts w:ascii="Arial" w:eastAsia="Times New Roman" w:hAnsi="Arial" w:cs="Arial"/>
          <w:sz w:val="20"/>
          <w:szCs w:val="20"/>
          <w:lang w:eastAsia="en-US"/>
        </w:rPr>
        <w:t>5</w:t>
      </w:r>
      <w:r w:rsidRPr="00184A8E">
        <w:rPr>
          <w:rFonts w:ascii="Arial" w:eastAsia="Times New Roman" w:hAnsi="Arial" w:cs="Arial"/>
          <w:sz w:val="20"/>
          <w:szCs w:val="20"/>
          <w:lang w:eastAsia="en-US"/>
        </w:rPr>
        <w:t xml:space="preserve">. godini utrošeno je </w:t>
      </w:r>
      <w:r w:rsidR="00C414E1">
        <w:rPr>
          <w:rFonts w:ascii="Arial" w:eastAsia="Times New Roman" w:hAnsi="Arial" w:cs="Arial"/>
          <w:sz w:val="20"/>
          <w:szCs w:val="20"/>
          <w:lang w:eastAsia="en-US"/>
        </w:rPr>
        <w:t>7.309,72</w:t>
      </w:r>
      <w:r w:rsidRPr="00184A8E">
        <w:rPr>
          <w:rFonts w:ascii="Arial" w:eastAsia="Times New Roman" w:hAnsi="Arial" w:cs="Arial"/>
          <w:sz w:val="20"/>
          <w:szCs w:val="20"/>
          <w:lang w:eastAsia="en-US"/>
        </w:rPr>
        <w:t xml:space="preserve"> €, te stanje sredstava koncem 2024. iznosi </w:t>
      </w:r>
      <w:r w:rsidR="00C414E1">
        <w:rPr>
          <w:rFonts w:ascii="Arial" w:eastAsia="Times New Roman" w:hAnsi="Arial" w:cs="Arial"/>
          <w:sz w:val="20"/>
          <w:szCs w:val="20"/>
          <w:lang w:eastAsia="en-US"/>
        </w:rPr>
        <w:t>286.015,68</w:t>
      </w:r>
      <w:r w:rsidRPr="00184A8E">
        <w:rPr>
          <w:rFonts w:ascii="Arial" w:eastAsia="Times New Roman" w:hAnsi="Arial" w:cs="Arial"/>
          <w:sz w:val="20"/>
          <w:szCs w:val="20"/>
          <w:lang w:eastAsia="en-US"/>
        </w:rPr>
        <w:t xml:space="preserve"> €.</w:t>
      </w:r>
    </w:p>
    <w:p w14:paraId="4374BB56"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69AB93B4" w14:textId="264276D4" w:rsidR="00C414E1" w:rsidRPr="00C414E1" w:rsidRDefault="00184A8E" w:rsidP="00C414E1">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3. T209305: Nabava opreme za održavanje čistoće i odlaganje komunalnog otpada </w:t>
      </w:r>
      <w:r w:rsidRPr="00184A8E">
        <w:rPr>
          <w:rFonts w:ascii="Arial" w:eastAsia="Calibri" w:hAnsi="Arial" w:cs="Arial"/>
          <w:sz w:val="20"/>
          <w:szCs w:val="20"/>
          <w:lang w:eastAsia="en-US"/>
        </w:rPr>
        <w:t xml:space="preserve">– u sklopu projekta planiraju se rashodi i izdaci za nabavu komunalne opreme. Planirani su rashodi za nabavu komunalne opreme u iznosu </w:t>
      </w:r>
      <w:r w:rsidR="00C414E1">
        <w:rPr>
          <w:rFonts w:ascii="Arial" w:eastAsia="Calibri" w:hAnsi="Arial" w:cs="Arial"/>
          <w:sz w:val="20"/>
          <w:szCs w:val="20"/>
          <w:lang w:eastAsia="en-US"/>
        </w:rPr>
        <w:t>50.000</w:t>
      </w:r>
      <w:r w:rsidRPr="00184A8E">
        <w:rPr>
          <w:rFonts w:ascii="Arial" w:eastAsia="Calibri" w:hAnsi="Arial" w:cs="Arial"/>
          <w:sz w:val="20"/>
          <w:szCs w:val="20"/>
          <w:lang w:eastAsia="en-US"/>
        </w:rPr>
        <w:t xml:space="preserve"> €. </w:t>
      </w:r>
      <w:r w:rsidR="00C414E1" w:rsidRPr="00C414E1">
        <w:rPr>
          <w:rFonts w:ascii="Arial" w:eastAsia="Calibri" w:hAnsi="Arial" w:cs="Arial"/>
          <w:sz w:val="20"/>
          <w:szCs w:val="20"/>
          <w:lang w:eastAsia="en-US"/>
        </w:rPr>
        <w:t>Rashodi se odnose na nabavu kanti za razdvajanje otpada uz pretpostavljeno sufinanciranje sredstvima Fonda za zaštitu okoliša i energetsku učinkovitost (kante, kontejneri, komposteri i drugo)</w:t>
      </w:r>
      <w:r w:rsidR="006849B2">
        <w:rPr>
          <w:rFonts w:ascii="Arial" w:eastAsia="Calibri" w:hAnsi="Arial" w:cs="Arial"/>
          <w:sz w:val="20"/>
          <w:szCs w:val="20"/>
          <w:lang w:eastAsia="en-US"/>
        </w:rPr>
        <w:t>, te prijenose društvu u vlasništvu za nabavu komunalne opreme.</w:t>
      </w:r>
    </w:p>
    <w:p w14:paraId="6F6F9053" w14:textId="77777777" w:rsidR="00184A8E" w:rsidRPr="00184A8E" w:rsidRDefault="00184A8E" w:rsidP="00184A8E">
      <w:pPr>
        <w:spacing w:after="0" w:line="240" w:lineRule="auto"/>
        <w:jc w:val="both"/>
        <w:rPr>
          <w:rFonts w:ascii="Arial" w:eastAsia="Calibri" w:hAnsi="Arial" w:cs="Arial"/>
          <w:sz w:val="20"/>
          <w:szCs w:val="20"/>
          <w:lang w:eastAsia="en-US"/>
        </w:rPr>
      </w:pPr>
    </w:p>
    <w:p w14:paraId="0AD77582" w14:textId="19F6980F" w:rsidR="006849B2"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Rashodi </w:t>
      </w:r>
      <w:r w:rsidR="006849B2">
        <w:rPr>
          <w:rFonts w:ascii="Arial" w:eastAsia="Calibri" w:hAnsi="Arial" w:cs="Arial"/>
          <w:sz w:val="20"/>
          <w:szCs w:val="20"/>
          <w:lang w:eastAsia="en-US"/>
        </w:rPr>
        <w:t>ni</w:t>
      </w:r>
      <w:r w:rsidRPr="00184A8E">
        <w:rPr>
          <w:rFonts w:ascii="Arial" w:eastAsia="Calibri" w:hAnsi="Arial" w:cs="Arial"/>
          <w:sz w:val="20"/>
          <w:szCs w:val="20"/>
          <w:lang w:eastAsia="en-US"/>
        </w:rPr>
        <w:t>su izvršeni</w:t>
      </w:r>
      <w:r w:rsidR="006849B2">
        <w:rPr>
          <w:rFonts w:ascii="Arial" w:eastAsia="Calibri" w:hAnsi="Arial" w:cs="Arial"/>
          <w:sz w:val="20"/>
          <w:szCs w:val="20"/>
          <w:lang w:eastAsia="en-US"/>
        </w:rPr>
        <w:t xml:space="preserve">. </w:t>
      </w:r>
    </w:p>
    <w:p w14:paraId="5753B310" w14:textId="77777777" w:rsidR="006849B2" w:rsidRPr="00184A8E" w:rsidRDefault="006849B2" w:rsidP="00184A8E">
      <w:pPr>
        <w:spacing w:after="0" w:line="240" w:lineRule="auto"/>
        <w:jc w:val="both"/>
        <w:rPr>
          <w:rFonts w:ascii="Arial" w:eastAsia="Calibri" w:hAnsi="Arial" w:cs="Arial"/>
          <w:sz w:val="20"/>
          <w:szCs w:val="20"/>
          <w:lang w:eastAsia="en-US"/>
        </w:rPr>
      </w:pPr>
    </w:p>
    <w:tbl>
      <w:tblPr>
        <w:tblStyle w:val="Reetkatablice5368"/>
        <w:tblW w:w="12260" w:type="dxa"/>
        <w:jc w:val="center"/>
        <w:tblLayout w:type="fixed"/>
        <w:tblLook w:val="04A0" w:firstRow="1" w:lastRow="0" w:firstColumn="1" w:lastColumn="0" w:noHBand="0" w:noVBand="1"/>
      </w:tblPr>
      <w:tblGrid>
        <w:gridCol w:w="1271"/>
        <w:gridCol w:w="1559"/>
        <w:gridCol w:w="993"/>
        <w:gridCol w:w="992"/>
        <w:gridCol w:w="1134"/>
        <w:gridCol w:w="1276"/>
        <w:gridCol w:w="1275"/>
        <w:gridCol w:w="1560"/>
        <w:gridCol w:w="1134"/>
        <w:gridCol w:w="1066"/>
      </w:tblGrid>
      <w:tr w:rsidR="00184A8E" w:rsidRPr="00184A8E" w14:paraId="1C0014CD" w14:textId="77777777" w:rsidTr="00410A4B">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FA3EE3B"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lastRenderedPageBreak/>
              <w:t>Pokazatelj rezultata</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EF7458A"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Definicija</w:t>
            </w:r>
          </w:p>
        </w:tc>
        <w:tc>
          <w:tcPr>
            <w:tcW w:w="9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F33C5ED"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Jedinica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03D0C9C"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1198BB9"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Polazna vrijednost 2021.</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C1203E3"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 xml:space="preserve">Izvršeno 2022. </w:t>
            </w:r>
          </w:p>
        </w:tc>
        <w:tc>
          <w:tcPr>
            <w:tcW w:w="127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A2BE07A" w14:textId="77777777" w:rsidR="00184A8E" w:rsidRPr="00184A8E" w:rsidRDefault="00184A8E" w:rsidP="00184A8E">
            <w:pPr>
              <w:jc w:val="center"/>
              <w:rPr>
                <w:rFonts w:ascii="Arial" w:eastAsia="Calibri" w:hAnsi="Arial" w:cs="Arial"/>
              </w:rPr>
            </w:pPr>
            <w:r w:rsidRPr="00184A8E">
              <w:rPr>
                <w:rFonts w:ascii="Arial" w:eastAsia="Calibri" w:hAnsi="Arial" w:cs="Arial"/>
                <w:sz w:val="14"/>
                <w:szCs w:val="14"/>
              </w:rPr>
              <w:t xml:space="preserve">Izvršeno 2023. </w:t>
            </w:r>
          </w:p>
        </w:tc>
        <w:tc>
          <w:tcPr>
            <w:tcW w:w="156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04F66F6" w14:textId="77777777" w:rsidR="00184A8E" w:rsidRPr="00184A8E" w:rsidRDefault="00184A8E" w:rsidP="00184A8E">
            <w:pPr>
              <w:jc w:val="center"/>
              <w:rPr>
                <w:rFonts w:ascii="Arial" w:eastAsia="Calibri" w:hAnsi="Arial" w:cs="Arial"/>
              </w:rPr>
            </w:pPr>
            <w:r w:rsidRPr="00184A8E">
              <w:rPr>
                <w:rFonts w:ascii="Arial" w:eastAsia="Calibri" w:hAnsi="Arial" w:cs="Arial"/>
                <w:sz w:val="14"/>
                <w:szCs w:val="14"/>
              </w:rPr>
              <w:t xml:space="preserve">Izvršeno 2024. </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12DBF84"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2025.</w:t>
            </w:r>
          </w:p>
        </w:tc>
        <w:tc>
          <w:tcPr>
            <w:tcW w:w="106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318DDC0"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2026.</w:t>
            </w:r>
          </w:p>
        </w:tc>
      </w:tr>
      <w:tr w:rsidR="00184A8E" w:rsidRPr="00184A8E" w14:paraId="1F53C893" w14:textId="77777777" w:rsidTr="00410A4B">
        <w:trPr>
          <w:trHeight w:val="273"/>
          <w:jc w:val="center"/>
        </w:trPr>
        <w:tc>
          <w:tcPr>
            <w:tcW w:w="1271" w:type="dxa"/>
            <w:vMerge w:val="restart"/>
            <w:tcBorders>
              <w:top w:val="single" w:sz="4" w:space="0" w:color="auto"/>
              <w:left w:val="single" w:sz="4" w:space="0" w:color="auto"/>
              <w:right w:val="single" w:sz="4" w:space="0" w:color="auto"/>
            </w:tcBorders>
            <w:vAlign w:val="center"/>
          </w:tcPr>
          <w:p w14:paraId="4A2AAE4D" w14:textId="77777777" w:rsidR="00184A8E" w:rsidRPr="00184A8E" w:rsidRDefault="00184A8E" w:rsidP="00184A8E">
            <w:pPr>
              <w:rPr>
                <w:rFonts w:ascii="Arial" w:hAnsi="Arial" w:cs="Arial"/>
                <w:sz w:val="16"/>
                <w:szCs w:val="16"/>
              </w:rPr>
            </w:pPr>
            <w:r w:rsidRPr="00184A8E">
              <w:rPr>
                <w:rFonts w:ascii="Arial" w:eastAsia="Calibri" w:hAnsi="Arial" w:cs="Arial"/>
                <w:iCs/>
                <w:sz w:val="16"/>
                <w:szCs w:val="16"/>
              </w:rPr>
              <w:t>Nabava opreme za odlaganje komunalnog otpada uz sufinanciranje Fonda za zaštitu okoliša</w:t>
            </w:r>
          </w:p>
        </w:tc>
        <w:tc>
          <w:tcPr>
            <w:tcW w:w="1559" w:type="dxa"/>
            <w:vMerge w:val="restart"/>
            <w:tcBorders>
              <w:top w:val="single" w:sz="4" w:space="0" w:color="auto"/>
              <w:left w:val="single" w:sz="4" w:space="0" w:color="auto"/>
              <w:right w:val="single" w:sz="4" w:space="0" w:color="auto"/>
            </w:tcBorders>
            <w:vAlign w:val="center"/>
          </w:tcPr>
          <w:p w14:paraId="626D91CB" w14:textId="77777777" w:rsidR="00184A8E" w:rsidRPr="00184A8E" w:rsidRDefault="00184A8E" w:rsidP="00184A8E">
            <w:pPr>
              <w:autoSpaceDE w:val="0"/>
              <w:autoSpaceDN w:val="0"/>
              <w:adjustRightInd w:val="0"/>
              <w:rPr>
                <w:rFonts w:ascii="Arial" w:hAnsi="Arial" w:cs="Arial"/>
                <w:sz w:val="16"/>
                <w:szCs w:val="16"/>
              </w:rPr>
            </w:pPr>
            <w:r w:rsidRPr="00184A8E">
              <w:rPr>
                <w:rFonts w:ascii="Arial" w:eastAsia="Calibri" w:hAnsi="Arial" w:cs="Arial"/>
                <w:sz w:val="16"/>
                <w:szCs w:val="16"/>
              </w:rPr>
              <w:t>Nabava spremnika za odvojeno prikupljanje plastike, te kartona i papira / kontejnera za staklo, plastiku, karton / kompostera / preša / mobilni kontejner / sustav za identifikaciju i komunikaciju s korisnicima</w:t>
            </w:r>
          </w:p>
        </w:tc>
        <w:tc>
          <w:tcPr>
            <w:tcW w:w="993" w:type="dxa"/>
            <w:vMerge w:val="restart"/>
            <w:tcBorders>
              <w:top w:val="single" w:sz="4" w:space="0" w:color="auto"/>
              <w:left w:val="single" w:sz="4" w:space="0" w:color="auto"/>
              <w:right w:val="single" w:sz="4" w:space="0" w:color="auto"/>
            </w:tcBorders>
            <w:vAlign w:val="center"/>
          </w:tcPr>
          <w:p w14:paraId="207F0013"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broj</w:t>
            </w:r>
          </w:p>
        </w:tc>
        <w:tc>
          <w:tcPr>
            <w:tcW w:w="992" w:type="dxa"/>
            <w:vMerge w:val="restart"/>
            <w:tcBorders>
              <w:top w:val="single" w:sz="4" w:space="0" w:color="auto"/>
              <w:left w:val="single" w:sz="4" w:space="0" w:color="auto"/>
              <w:right w:val="single" w:sz="4" w:space="0" w:color="auto"/>
            </w:tcBorders>
            <w:vAlign w:val="center"/>
          </w:tcPr>
          <w:p w14:paraId="43329EE3"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080636F8" w14:textId="77777777" w:rsidR="00184A8E" w:rsidRPr="00184A8E" w:rsidRDefault="00184A8E" w:rsidP="00184A8E">
            <w:pPr>
              <w:jc w:val="center"/>
              <w:rPr>
                <w:rFonts w:ascii="Arial" w:hAnsi="Arial" w:cs="Arial"/>
                <w:sz w:val="14"/>
                <w:szCs w:val="14"/>
              </w:rPr>
            </w:pPr>
            <w:r w:rsidRPr="00184A8E">
              <w:rPr>
                <w:rFonts w:ascii="Arial" w:eastAsia="Calibri" w:hAnsi="Arial" w:cs="Arial"/>
                <w:sz w:val="14"/>
                <w:szCs w:val="14"/>
              </w:rPr>
              <w:t>4.000 spremnika</w:t>
            </w:r>
          </w:p>
        </w:tc>
        <w:tc>
          <w:tcPr>
            <w:tcW w:w="1276" w:type="dxa"/>
            <w:tcBorders>
              <w:top w:val="single" w:sz="4" w:space="0" w:color="auto"/>
              <w:left w:val="single" w:sz="4" w:space="0" w:color="auto"/>
              <w:bottom w:val="single" w:sz="4" w:space="0" w:color="auto"/>
              <w:right w:val="single" w:sz="4" w:space="0" w:color="auto"/>
            </w:tcBorders>
            <w:vAlign w:val="center"/>
          </w:tcPr>
          <w:p w14:paraId="71778D06" w14:textId="77777777" w:rsidR="00184A8E" w:rsidRPr="00184A8E" w:rsidRDefault="00184A8E" w:rsidP="00184A8E">
            <w:pPr>
              <w:jc w:val="center"/>
              <w:rPr>
                <w:rFonts w:ascii="Arial" w:hAnsi="Arial" w:cs="Arial"/>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126A2395" w14:textId="77777777" w:rsidR="00184A8E" w:rsidRPr="00184A8E" w:rsidRDefault="00184A8E" w:rsidP="00184A8E">
            <w:pPr>
              <w:jc w:val="center"/>
              <w:rPr>
                <w:rFonts w:ascii="Arial" w:hAnsi="Arial" w:cs="Arial"/>
                <w:sz w:val="16"/>
                <w:szCs w:val="16"/>
              </w:rPr>
            </w:pPr>
          </w:p>
        </w:tc>
        <w:tc>
          <w:tcPr>
            <w:tcW w:w="1560" w:type="dxa"/>
            <w:tcBorders>
              <w:top w:val="single" w:sz="4" w:space="0" w:color="auto"/>
              <w:left w:val="single" w:sz="4" w:space="0" w:color="auto"/>
              <w:bottom w:val="single" w:sz="4" w:space="0" w:color="auto"/>
              <w:right w:val="single" w:sz="4" w:space="0" w:color="auto"/>
            </w:tcBorders>
            <w:vAlign w:val="center"/>
          </w:tcPr>
          <w:p w14:paraId="0CE3BD1C" w14:textId="77777777" w:rsidR="00184A8E" w:rsidRPr="00184A8E" w:rsidRDefault="00184A8E" w:rsidP="00184A8E">
            <w:pPr>
              <w:jc w:val="center"/>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7DA9492" w14:textId="77777777" w:rsidR="00184A8E" w:rsidRPr="00184A8E" w:rsidRDefault="00184A8E" w:rsidP="00184A8E">
            <w:pPr>
              <w:jc w:val="center"/>
              <w:rPr>
                <w:rFonts w:ascii="Arial" w:hAnsi="Arial" w:cs="Arial"/>
                <w:sz w:val="16"/>
                <w:szCs w:val="16"/>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37825DC3" w14:textId="77777777" w:rsidR="00184A8E" w:rsidRPr="00184A8E" w:rsidRDefault="00184A8E" w:rsidP="00184A8E">
            <w:pPr>
              <w:jc w:val="center"/>
              <w:rPr>
                <w:rFonts w:ascii="Arial" w:hAnsi="Arial" w:cs="Arial"/>
                <w:sz w:val="16"/>
                <w:szCs w:val="16"/>
              </w:rPr>
            </w:pPr>
          </w:p>
        </w:tc>
      </w:tr>
      <w:tr w:rsidR="00184A8E" w:rsidRPr="00184A8E" w14:paraId="0D94EC2D" w14:textId="77777777" w:rsidTr="00410A4B">
        <w:trPr>
          <w:trHeight w:val="273"/>
          <w:jc w:val="center"/>
        </w:trPr>
        <w:tc>
          <w:tcPr>
            <w:tcW w:w="1271" w:type="dxa"/>
            <w:vMerge/>
            <w:tcBorders>
              <w:left w:val="single" w:sz="4" w:space="0" w:color="auto"/>
              <w:right w:val="single" w:sz="4" w:space="0" w:color="auto"/>
            </w:tcBorders>
            <w:vAlign w:val="center"/>
          </w:tcPr>
          <w:p w14:paraId="6C4274DC" w14:textId="77777777" w:rsidR="00184A8E" w:rsidRPr="00184A8E" w:rsidRDefault="00184A8E" w:rsidP="00184A8E">
            <w:pPr>
              <w:rPr>
                <w:rFonts w:ascii="Arial" w:eastAsia="Calibri" w:hAnsi="Arial" w:cs="Arial"/>
                <w:iCs/>
                <w:sz w:val="14"/>
                <w:szCs w:val="14"/>
              </w:rPr>
            </w:pPr>
          </w:p>
        </w:tc>
        <w:tc>
          <w:tcPr>
            <w:tcW w:w="1559" w:type="dxa"/>
            <w:vMerge/>
            <w:tcBorders>
              <w:left w:val="single" w:sz="4" w:space="0" w:color="auto"/>
              <w:right w:val="single" w:sz="4" w:space="0" w:color="auto"/>
            </w:tcBorders>
            <w:vAlign w:val="center"/>
          </w:tcPr>
          <w:p w14:paraId="4C8A045F" w14:textId="77777777" w:rsidR="00184A8E" w:rsidRPr="00184A8E" w:rsidRDefault="00184A8E" w:rsidP="00184A8E">
            <w:pPr>
              <w:autoSpaceDE w:val="0"/>
              <w:autoSpaceDN w:val="0"/>
              <w:adjustRightInd w:val="0"/>
              <w:rPr>
                <w:rFonts w:ascii="Arial" w:eastAsia="Calibri" w:hAnsi="Arial" w:cs="Arial"/>
                <w:sz w:val="14"/>
                <w:szCs w:val="14"/>
              </w:rPr>
            </w:pPr>
          </w:p>
        </w:tc>
        <w:tc>
          <w:tcPr>
            <w:tcW w:w="993" w:type="dxa"/>
            <w:vMerge/>
            <w:tcBorders>
              <w:left w:val="single" w:sz="4" w:space="0" w:color="auto"/>
              <w:right w:val="single" w:sz="4" w:space="0" w:color="auto"/>
            </w:tcBorders>
            <w:vAlign w:val="center"/>
          </w:tcPr>
          <w:p w14:paraId="65D69271" w14:textId="77777777" w:rsidR="00184A8E" w:rsidRPr="00184A8E" w:rsidRDefault="00184A8E" w:rsidP="00184A8E">
            <w:pPr>
              <w:jc w:val="center"/>
              <w:rPr>
                <w:rFonts w:ascii="Arial" w:eastAsia="Calibri" w:hAnsi="Arial" w:cs="Arial"/>
                <w:sz w:val="14"/>
                <w:szCs w:val="14"/>
              </w:rPr>
            </w:pPr>
          </w:p>
        </w:tc>
        <w:tc>
          <w:tcPr>
            <w:tcW w:w="992" w:type="dxa"/>
            <w:vMerge/>
            <w:tcBorders>
              <w:left w:val="single" w:sz="4" w:space="0" w:color="auto"/>
              <w:right w:val="single" w:sz="4" w:space="0" w:color="auto"/>
            </w:tcBorders>
            <w:vAlign w:val="center"/>
          </w:tcPr>
          <w:p w14:paraId="73BCE266" w14:textId="77777777" w:rsidR="00184A8E" w:rsidRPr="00184A8E" w:rsidRDefault="00184A8E" w:rsidP="00184A8E">
            <w:pPr>
              <w:jc w:val="center"/>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30464BBB" w14:textId="77777777" w:rsidR="00184A8E" w:rsidRPr="00184A8E" w:rsidRDefault="00184A8E" w:rsidP="00184A8E">
            <w:pPr>
              <w:jc w:val="center"/>
              <w:rPr>
                <w:rFonts w:ascii="Arial" w:eastAsia="Calibri" w:hAnsi="Arial" w:cs="Arial"/>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13D41556"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6 polupodzemnih kontejnera (plastika, staklo, karton)</w:t>
            </w:r>
          </w:p>
        </w:tc>
        <w:tc>
          <w:tcPr>
            <w:tcW w:w="1275" w:type="dxa"/>
            <w:tcBorders>
              <w:top w:val="single" w:sz="4" w:space="0" w:color="auto"/>
              <w:left w:val="single" w:sz="4" w:space="0" w:color="auto"/>
              <w:bottom w:val="single" w:sz="4" w:space="0" w:color="auto"/>
              <w:right w:val="single" w:sz="4" w:space="0" w:color="auto"/>
            </w:tcBorders>
            <w:vAlign w:val="center"/>
          </w:tcPr>
          <w:p w14:paraId="4A4333E5" w14:textId="77777777" w:rsidR="00184A8E" w:rsidRPr="00184A8E" w:rsidRDefault="00184A8E" w:rsidP="00184A8E">
            <w:pPr>
              <w:jc w:val="center"/>
              <w:rPr>
                <w:rFonts w:ascii="Arial" w:eastAsia="Calibri" w:hAnsi="Arial" w:cs="Arial"/>
                <w:sz w:val="16"/>
                <w:szCs w:val="16"/>
              </w:rPr>
            </w:pPr>
          </w:p>
        </w:tc>
        <w:tc>
          <w:tcPr>
            <w:tcW w:w="1560" w:type="dxa"/>
            <w:tcBorders>
              <w:top w:val="single" w:sz="4" w:space="0" w:color="auto"/>
              <w:left w:val="single" w:sz="4" w:space="0" w:color="auto"/>
              <w:bottom w:val="single" w:sz="4" w:space="0" w:color="auto"/>
              <w:right w:val="single" w:sz="4" w:space="0" w:color="auto"/>
            </w:tcBorders>
            <w:vAlign w:val="center"/>
          </w:tcPr>
          <w:p w14:paraId="0F2AC61D" w14:textId="77777777" w:rsidR="00184A8E" w:rsidRPr="00184A8E" w:rsidRDefault="00184A8E" w:rsidP="00184A8E">
            <w:pPr>
              <w:jc w:val="center"/>
              <w:rPr>
                <w:rFonts w:ascii="Arial" w:eastAsia="Calibri"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6FF0BEA" w14:textId="77777777" w:rsidR="00184A8E" w:rsidRPr="00184A8E" w:rsidRDefault="00184A8E" w:rsidP="00184A8E">
            <w:pPr>
              <w:jc w:val="center"/>
              <w:rPr>
                <w:rFonts w:ascii="Arial" w:eastAsia="Calibri" w:hAnsi="Arial" w:cs="Arial"/>
                <w:sz w:val="16"/>
                <w:szCs w:val="16"/>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317917DB" w14:textId="77777777" w:rsidR="00184A8E" w:rsidRPr="00184A8E" w:rsidRDefault="00184A8E" w:rsidP="00184A8E">
            <w:pPr>
              <w:jc w:val="center"/>
              <w:rPr>
                <w:rFonts w:ascii="Arial" w:hAnsi="Arial" w:cs="Arial"/>
                <w:sz w:val="16"/>
                <w:szCs w:val="16"/>
              </w:rPr>
            </w:pPr>
          </w:p>
        </w:tc>
      </w:tr>
      <w:tr w:rsidR="00184A8E" w:rsidRPr="00184A8E" w14:paraId="5517450C" w14:textId="77777777" w:rsidTr="00410A4B">
        <w:trPr>
          <w:trHeight w:val="273"/>
          <w:jc w:val="center"/>
        </w:trPr>
        <w:tc>
          <w:tcPr>
            <w:tcW w:w="1271" w:type="dxa"/>
            <w:vMerge/>
            <w:tcBorders>
              <w:left w:val="single" w:sz="4" w:space="0" w:color="auto"/>
              <w:right w:val="single" w:sz="4" w:space="0" w:color="auto"/>
            </w:tcBorders>
            <w:vAlign w:val="center"/>
          </w:tcPr>
          <w:p w14:paraId="253535FE" w14:textId="77777777" w:rsidR="00184A8E" w:rsidRPr="00184A8E" w:rsidRDefault="00184A8E" w:rsidP="00184A8E">
            <w:pPr>
              <w:rPr>
                <w:rFonts w:ascii="Arial" w:eastAsia="Calibri" w:hAnsi="Arial" w:cs="Arial"/>
                <w:iCs/>
                <w:sz w:val="14"/>
                <w:szCs w:val="14"/>
              </w:rPr>
            </w:pPr>
          </w:p>
        </w:tc>
        <w:tc>
          <w:tcPr>
            <w:tcW w:w="1559" w:type="dxa"/>
            <w:vMerge/>
            <w:tcBorders>
              <w:left w:val="single" w:sz="4" w:space="0" w:color="auto"/>
              <w:right w:val="single" w:sz="4" w:space="0" w:color="auto"/>
            </w:tcBorders>
            <w:vAlign w:val="center"/>
          </w:tcPr>
          <w:p w14:paraId="05651B3B" w14:textId="77777777" w:rsidR="00184A8E" w:rsidRPr="00184A8E" w:rsidRDefault="00184A8E" w:rsidP="00184A8E">
            <w:pPr>
              <w:autoSpaceDE w:val="0"/>
              <w:autoSpaceDN w:val="0"/>
              <w:adjustRightInd w:val="0"/>
              <w:rPr>
                <w:rFonts w:ascii="Arial" w:eastAsia="Calibri" w:hAnsi="Arial" w:cs="Arial"/>
                <w:sz w:val="14"/>
                <w:szCs w:val="14"/>
              </w:rPr>
            </w:pPr>
          </w:p>
        </w:tc>
        <w:tc>
          <w:tcPr>
            <w:tcW w:w="993" w:type="dxa"/>
            <w:vMerge/>
            <w:tcBorders>
              <w:left w:val="single" w:sz="4" w:space="0" w:color="auto"/>
              <w:right w:val="single" w:sz="4" w:space="0" w:color="auto"/>
            </w:tcBorders>
            <w:vAlign w:val="center"/>
          </w:tcPr>
          <w:p w14:paraId="12D264A1" w14:textId="77777777" w:rsidR="00184A8E" w:rsidRPr="00184A8E" w:rsidRDefault="00184A8E" w:rsidP="00184A8E">
            <w:pPr>
              <w:jc w:val="center"/>
              <w:rPr>
                <w:rFonts w:ascii="Arial" w:eastAsia="Calibri" w:hAnsi="Arial" w:cs="Arial"/>
                <w:sz w:val="14"/>
                <w:szCs w:val="14"/>
              </w:rPr>
            </w:pPr>
          </w:p>
        </w:tc>
        <w:tc>
          <w:tcPr>
            <w:tcW w:w="992" w:type="dxa"/>
            <w:vMerge/>
            <w:tcBorders>
              <w:left w:val="single" w:sz="4" w:space="0" w:color="auto"/>
              <w:right w:val="single" w:sz="4" w:space="0" w:color="auto"/>
            </w:tcBorders>
            <w:vAlign w:val="center"/>
          </w:tcPr>
          <w:p w14:paraId="2C6B1ED3" w14:textId="77777777" w:rsidR="00184A8E" w:rsidRPr="00184A8E" w:rsidRDefault="00184A8E" w:rsidP="00184A8E">
            <w:pPr>
              <w:jc w:val="center"/>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48A502F" w14:textId="77777777" w:rsidR="00184A8E" w:rsidRPr="00184A8E" w:rsidRDefault="00184A8E" w:rsidP="00184A8E">
            <w:pPr>
              <w:jc w:val="center"/>
              <w:rPr>
                <w:rFonts w:ascii="Arial" w:eastAsia="Calibri" w:hAnsi="Arial" w:cs="Arial"/>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6932D225" w14:textId="77777777" w:rsidR="00184A8E" w:rsidRPr="00184A8E" w:rsidRDefault="00184A8E" w:rsidP="00184A8E">
            <w:pPr>
              <w:jc w:val="center"/>
              <w:rPr>
                <w:rFonts w:ascii="Arial" w:eastAsia="Calibri" w:hAnsi="Arial" w:cs="Arial"/>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5DB4C2AF"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1 mobilni kontejner s kompaktorom</w:t>
            </w:r>
          </w:p>
        </w:tc>
        <w:tc>
          <w:tcPr>
            <w:tcW w:w="1560" w:type="dxa"/>
            <w:tcBorders>
              <w:top w:val="single" w:sz="4" w:space="0" w:color="auto"/>
              <w:left w:val="single" w:sz="4" w:space="0" w:color="auto"/>
              <w:bottom w:val="single" w:sz="4" w:space="0" w:color="auto"/>
              <w:right w:val="single" w:sz="4" w:space="0" w:color="auto"/>
            </w:tcBorders>
            <w:vAlign w:val="center"/>
          </w:tcPr>
          <w:p w14:paraId="7A9DAD54" w14:textId="77777777" w:rsidR="00184A8E" w:rsidRPr="00184A8E" w:rsidRDefault="00184A8E" w:rsidP="00184A8E">
            <w:pPr>
              <w:jc w:val="center"/>
              <w:rPr>
                <w:rFonts w:ascii="Arial" w:eastAsia="Calibri"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E0F7617" w14:textId="77777777" w:rsidR="00184A8E" w:rsidRPr="00184A8E" w:rsidRDefault="00184A8E" w:rsidP="00184A8E">
            <w:pPr>
              <w:jc w:val="center"/>
              <w:rPr>
                <w:rFonts w:ascii="Arial" w:eastAsia="Calibri" w:hAnsi="Arial" w:cs="Arial"/>
                <w:sz w:val="16"/>
                <w:szCs w:val="16"/>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02320C87" w14:textId="77777777" w:rsidR="00184A8E" w:rsidRPr="00184A8E" w:rsidRDefault="00184A8E" w:rsidP="00184A8E">
            <w:pPr>
              <w:jc w:val="center"/>
              <w:rPr>
                <w:rFonts w:ascii="Arial" w:hAnsi="Arial" w:cs="Arial"/>
                <w:sz w:val="16"/>
                <w:szCs w:val="16"/>
              </w:rPr>
            </w:pPr>
          </w:p>
        </w:tc>
      </w:tr>
      <w:tr w:rsidR="00184A8E" w:rsidRPr="00184A8E" w14:paraId="776CA3AC" w14:textId="77777777" w:rsidTr="00410A4B">
        <w:trPr>
          <w:trHeight w:val="273"/>
          <w:jc w:val="center"/>
        </w:trPr>
        <w:tc>
          <w:tcPr>
            <w:tcW w:w="1271" w:type="dxa"/>
            <w:vMerge/>
            <w:tcBorders>
              <w:left w:val="single" w:sz="4" w:space="0" w:color="auto"/>
              <w:right w:val="single" w:sz="4" w:space="0" w:color="auto"/>
            </w:tcBorders>
            <w:vAlign w:val="center"/>
          </w:tcPr>
          <w:p w14:paraId="78C0CB6E" w14:textId="77777777" w:rsidR="00184A8E" w:rsidRPr="00184A8E" w:rsidRDefault="00184A8E" w:rsidP="00184A8E">
            <w:pPr>
              <w:rPr>
                <w:rFonts w:ascii="Arial" w:eastAsia="Calibri" w:hAnsi="Arial" w:cs="Arial"/>
                <w:iCs/>
                <w:sz w:val="14"/>
                <w:szCs w:val="14"/>
              </w:rPr>
            </w:pPr>
          </w:p>
        </w:tc>
        <w:tc>
          <w:tcPr>
            <w:tcW w:w="1559" w:type="dxa"/>
            <w:vMerge/>
            <w:tcBorders>
              <w:left w:val="single" w:sz="4" w:space="0" w:color="auto"/>
              <w:right w:val="single" w:sz="4" w:space="0" w:color="auto"/>
            </w:tcBorders>
            <w:vAlign w:val="center"/>
          </w:tcPr>
          <w:p w14:paraId="17492549" w14:textId="77777777" w:rsidR="00184A8E" w:rsidRPr="00184A8E" w:rsidRDefault="00184A8E" w:rsidP="00184A8E">
            <w:pPr>
              <w:autoSpaceDE w:val="0"/>
              <w:autoSpaceDN w:val="0"/>
              <w:adjustRightInd w:val="0"/>
              <w:rPr>
                <w:rFonts w:ascii="Arial" w:eastAsia="Calibri" w:hAnsi="Arial" w:cs="Arial"/>
                <w:sz w:val="14"/>
                <w:szCs w:val="14"/>
              </w:rPr>
            </w:pPr>
          </w:p>
        </w:tc>
        <w:tc>
          <w:tcPr>
            <w:tcW w:w="993" w:type="dxa"/>
            <w:vMerge/>
            <w:tcBorders>
              <w:left w:val="single" w:sz="4" w:space="0" w:color="auto"/>
              <w:right w:val="single" w:sz="4" w:space="0" w:color="auto"/>
            </w:tcBorders>
            <w:vAlign w:val="center"/>
          </w:tcPr>
          <w:p w14:paraId="6C2831C4" w14:textId="77777777" w:rsidR="00184A8E" w:rsidRPr="00184A8E" w:rsidRDefault="00184A8E" w:rsidP="00184A8E">
            <w:pPr>
              <w:jc w:val="center"/>
              <w:rPr>
                <w:rFonts w:ascii="Arial" w:eastAsia="Calibri" w:hAnsi="Arial" w:cs="Arial"/>
                <w:sz w:val="14"/>
                <w:szCs w:val="14"/>
              </w:rPr>
            </w:pPr>
          </w:p>
        </w:tc>
        <w:tc>
          <w:tcPr>
            <w:tcW w:w="992" w:type="dxa"/>
            <w:vMerge/>
            <w:tcBorders>
              <w:left w:val="single" w:sz="4" w:space="0" w:color="auto"/>
              <w:right w:val="single" w:sz="4" w:space="0" w:color="auto"/>
            </w:tcBorders>
            <w:vAlign w:val="center"/>
          </w:tcPr>
          <w:p w14:paraId="5D0A1AA5" w14:textId="77777777" w:rsidR="00184A8E" w:rsidRPr="00184A8E" w:rsidRDefault="00184A8E" w:rsidP="00184A8E">
            <w:pPr>
              <w:jc w:val="center"/>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67AD2240" w14:textId="77777777" w:rsidR="00184A8E" w:rsidRPr="00184A8E" w:rsidRDefault="00184A8E" w:rsidP="00184A8E">
            <w:pPr>
              <w:jc w:val="center"/>
              <w:rPr>
                <w:rFonts w:ascii="Arial" w:eastAsia="Calibri" w:hAnsi="Arial" w:cs="Arial"/>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7807EA2E" w14:textId="77777777" w:rsidR="00184A8E" w:rsidRPr="00184A8E" w:rsidRDefault="00184A8E" w:rsidP="00184A8E">
            <w:pPr>
              <w:jc w:val="center"/>
              <w:rPr>
                <w:rFonts w:ascii="Arial" w:eastAsia="Calibri" w:hAnsi="Arial" w:cs="Arial"/>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62AFED5B"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1 preša balirka tip B50 za baliranje kartona</w:t>
            </w:r>
          </w:p>
        </w:tc>
        <w:tc>
          <w:tcPr>
            <w:tcW w:w="1560" w:type="dxa"/>
            <w:tcBorders>
              <w:top w:val="single" w:sz="4" w:space="0" w:color="auto"/>
              <w:left w:val="single" w:sz="4" w:space="0" w:color="auto"/>
              <w:bottom w:val="single" w:sz="4" w:space="0" w:color="auto"/>
              <w:right w:val="single" w:sz="4" w:space="0" w:color="auto"/>
            </w:tcBorders>
            <w:vAlign w:val="center"/>
          </w:tcPr>
          <w:p w14:paraId="1231A5A3" w14:textId="77777777" w:rsidR="00184A8E" w:rsidRPr="00184A8E" w:rsidRDefault="00184A8E" w:rsidP="00184A8E">
            <w:pPr>
              <w:jc w:val="center"/>
              <w:rPr>
                <w:rFonts w:ascii="Arial" w:eastAsia="Calibri"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5AC0F12" w14:textId="77777777" w:rsidR="00184A8E" w:rsidRPr="00184A8E" w:rsidRDefault="00184A8E" w:rsidP="00184A8E">
            <w:pPr>
              <w:jc w:val="center"/>
              <w:rPr>
                <w:rFonts w:ascii="Arial" w:eastAsia="Calibri" w:hAnsi="Arial" w:cs="Arial"/>
                <w:sz w:val="16"/>
                <w:szCs w:val="16"/>
              </w:rPr>
            </w:pPr>
            <w:r w:rsidRPr="00184A8E">
              <w:rPr>
                <w:rFonts w:ascii="Arial" w:eastAsia="Calibri" w:hAnsi="Arial" w:cs="Arial"/>
                <w:sz w:val="16"/>
                <w:szCs w:val="16"/>
              </w:rPr>
              <w:t>0</w:t>
            </w:r>
          </w:p>
        </w:tc>
        <w:tc>
          <w:tcPr>
            <w:tcW w:w="1066" w:type="dxa"/>
            <w:tcBorders>
              <w:top w:val="single" w:sz="4" w:space="0" w:color="000000"/>
              <w:left w:val="single" w:sz="4" w:space="0" w:color="000000"/>
              <w:bottom w:val="single" w:sz="4" w:space="0" w:color="000000"/>
              <w:right w:val="single" w:sz="4" w:space="0" w:color="000000"/>
            </w:tcBorders>
            <w:vAlign w:val="center"/>
          </w:tcPr>
          <w:p w14:paraId="04CAE981" w14:textId="77777777" w:rsidR="00184A8E" w:rsidRPr="00184A8E" w:rsidRDefault="00184A8E" w:rsidP="00184A8E">
            <w:pPr>
              <w:jc w:val="center"/>
              <w:rPr>
                <w:rFonts w:ascii="Arial" w:hAnsi="Arial" w:cs="Arial"/>
                <w:sz w:val="16"/>
                <w:szCs w:val="16"/>
              </w:rPr>
            </w:pPr>
            <w:r w:rsidRPr="00184A8E">
              <w:rPr>
                <w:rFonts w:ascii="Arial" w:hAnsi="Arial" w:cs="Arial"/>
                <w:sz w:val="16"/>
                <w:szCs w:val="16"/>
              </w:rPr>
              <w:t>0</w:t>
            </w:r>
          </w:p>
        </w:tc>
      </w:tr>
      <w:tr w:rsidR="00184A8E" w:rsidRPr="00184A8E" w14:paraId="21B7FE4A" w14:textId="77777777" w:rsidTr="00410A4B">
        <w:trPr>
          <w:trHeight w:val="273"/>
          <w:jc w:val="center"/>
        </w:trPr>
        <w:tc>
          <w:tcPr>
            <w:tcW w:w="1271" w:type="dxa"/>
            <w:vMerge/>
            <w:tcBorders>
              <w:left w:val="single" w:sz="4" w:space="0" w:color="auto"/>
              <w:right w:val="single" w:sz="4" w:space="0" w:color="auto"/>
            </w:tcBorders>
            <w:vAlign w:val="center"/>
          </w:tcPr>
          <w:p w14:paraId="1DCFE4F6" w14:textId="77777777" w:rsidR="00184A8E" w:rsidRPr="00184A8E" w:rsidRDefault="00184A8E" w:rsidP="00184A8E">
            <w:pPr>
              <w:rPr>
                <w:rFonts w:ascii="Arial" w:eastAsia="Calibri" w:hAnsi="Arial" w:cs="Arial"/>
                <w:iCs/>
                <w:sz w:val="14"/>
                <w:szCs w:val="14"/>
              </w:rPr>
            </w:pPr>
          </w:p>
        </w:tc>
        <w:tc>
          <w:tcPr>
            <w:tcW w:w="1559" w:type="dxa"/>
            <w:vMerge/>
            <w:tcBorders>
              <w:left w:val="single" w:sz="4" w:space="0" w:color="auto"/>
              <w:right w:val="single" w:sz="4" w:space="0" w:color="auto"/>
            </w:tcBorders>
            <w:vAlign w:val="center"/>
          </w:tcPr>
          <w:p w14:paraId="4B8F855D" w14:textId="77777777" w:rsidR="00184A8E" w:rsidRPr="00184A8E" w:rsidRDefault="00184A8E" w:rsidP="00184A8E">
            <w:pPr>
              <w:autoSpaceDE w:val="0"/>
              <w:autoSpaceDN w:val="0"/>
              <w:adjustRightInd w:val="0"/>
              <w:rPr>
                <w:rFonts w:ascii="Arial" w:eastAsia="Calibri" w:hAnsi="Arial" w:cs="Arial"/>
                <w:sz w:val="14"/>
                <w:szCs w:val="14"/>
              </w:rPr>
            </w:pPr>
          </w:p>
        </w:tc>
        <w:tc>
          <w:tcPr>
            <w:tcW w:w="993" w:type="dxa"/>
            <w:vMerge/>
            <w:tcBorders>
              <w:left w:val="single" w:sz="4" w:space="0" w:color="auto"/>
              <w:right w:val="single" w:sz="4" w:space="0" w:color="auto"/>
            </w:tcBorders>
            <w:vAlign w:val="center"/>
          </w:tcPr>
          <w:p w14:paraId="5BFC0C03" w14:textId="77777777" w:rsidR="00184A8E" w:rsidRPr="00184A8E" w:rsidRDefault="00184A8E" w:rsidP="00184A8E">
            <w:pPr>
              <w:jc w:val="center"/>
              <w:rPr>
                <w:rFonts w:ascii="Arial" w:eastAsia="Calibri" w:hAnsi="Arial" w:cs="Arial"/>
                <w:sz w:val="14"/>
                <w:szCs w:val="14"/>
              </w:rPr>
            </w:pPr>
          </w:p>
        </w:tc>
        <w:tc>
          <w:tcPr>
            <w:tcW w:w="992" w:type="dxa"/>
            <w:vMerge/>
            <w:tcBorders>
              <w:left w:val="single" w:sz="4" w:space="0" w:color="auto"/>
              <w:right w:val="single" w:sz="4" w:space="0" w:color="auto"/>
            </w:tcBorders>
            <w:vAlign w:val="center"/>
          </w:tcPr>
          <w:p w14:paraId="6F65B703" w14:textId="77777777" w:rsidR="00184A8E" w:rsidRPr="00184A8E" w:rsidRDefault="00184A8E" w:rsidP="00184A8E">
            <w:pPr>
              <w:jc w:val="center"/>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C2AEBD2" w14:textId="77777777" w:rsidR="00184A8E" w:rsidRPr="00184A8E" w:rsidRDefault="00184A8E" w:rsidP="00184A8E">
            <w:pPr>
              <w:jc w:val="center"/>
              <w:rPr>
                <w:rFonts w:ascii="Arial" w:eastAsia="Calibri" w:hAnsi="Arial" w:cs="Arial"/>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05A5A957"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 xml:space="preserve">1340 kompostera </w:t>
            </w:r>
          </w:p>
        </w:tc>
        <w:tc>
          <w:tcPr>
            <w:tcW w:w="1275" w:type="dxa"/>
            <w:tcBorders>
              <w:top w:val="single" w:sz="4" w:space="0" w:color="auto"/>
              <w:left w:val="single" w:sz="4" w:space="0" w:color="auto"/>
              <w:bottom w:val="single" w:sz="4" w:space="0" w:color="auto"/>
              <w:right w:val="single" w:sz="4" w:space="0" w:color="auto"/>
            </w:tcBorders>
            <w:vAlign w:val="center"/>
          </w:tcPr>
          <w:p w14:paraId="3F5E1E1C" w14:textId="77777777" w:rsidR="00184A8E" w:rsidRPr="00184A8E" w:rsidRDefault="00184A8E" w:rsidP="00184A8E">
            <w:pPr>
              <w:jc w:val="center"/>
              <w:rPr>
                <w:rFonts w:ascii="Arial" w:eastAsia="Calibri" w:hAnsi="Arial" w:cs="Arial"/>
                <w:sz w:val="16"/>
                <w:szCs w:val="16"/>
              </w:rPr>
            </w:pPr>
          </w:p>
        </w:tc>
        <w:tc>
          <w:tcPr>
            <w:tcW w:w="1560" w:type="dxa"/>
            <w:tcBorders>
              <w:top w:val="single" w:sz="4" w:space="0" w:color="auto"/>
              <w:left w:val="single" w:sz="4" w:space="0" w:color="auto"/>
              <w:bottom w:val="single" w:sz="4" w:space="0" w:color="auto"/>
              <w:right w:val="single" w:sz="4" w:space="0" w:color="auto"/>
            </w:tcBorders>
            <w:vAlign w:val="center"/>
          </w:tcPr>
          <w:p w14:paraId="18B5F828" w14:textId="77777777" w:rsidR="00184A8E" w:rsidRPr="00184A8E" w:rsidRDefault="00184A8E" w:rsidP="00184A8E">
            <w:pPr>
              <w:jc w:val="center"/>
              <w:rPr>
                <w:rFonts w:ascii="Arial" w:eastAsia="Calibri"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7FDE429" w14:textId="77777777" w:rsidR="00184A8E" w:rsidRPr="00184A8E" w:rsidRDefault="00184A8E" w:rsidP="00184A8E">
            <w:pPr>
              <w:jc w:val="center"/>
              <w:rPr>
                <w:rFonts w:ascii="Arial" w:eastAsia="Calibri" w:hAnsi="Arial" w:cs="Arial"/>
                <w:sz w:val="16"/>
                <w:szCs w:val="16"/>
              </w:rPr>
            </w:pPr>
            <w:r w:rsidRPr="00184A8E">
              <w:rPr>
                <w:rFonts w:ascii="Arial" w:eastAsia="Calibri" w:hAnsi="Arial" w:cs="Arial"/>
                <w:sz w:val="16"/>
                <w:szCs w:val="16"/>
              </w:rPr>
              <w:t>0</w:t>
            </w:r>
          </w:p>
        </w:tc>
        <w:tc>
          <w:tcPr>
            <w:tcW w:w="1066" w:type="dxa"/>
            <w:tcBorders>
              <w:top w:val="single" w:sz="4" w:space="0" w:color="000000"/>
              <w:left w:val="single" w:sz="4" w:space="0" w:color="000000"/>
              <w:bottom w:val="single" w:sz="4" w:space="0" w:color="000000"/>
              <w:right w:val="single" w:sz="4" w:space="0" w:color="000000"/>
            </w:tcBorders>
            <w:vAlign w:val="center"/>
          </w:tcPr>
          <w:p w14:paraId="0226B345" w14:textId="77777777" w:rsidR="00184A8E" w:rsidRPr="00184A8E" w:rsidRDefault="00184A8E" w:rsidP="00184A8E">
            <w:pPr>
              <w:jc w:val="center"/>
              <w:rPr>
                <w:rFonts w:ascii="Arial" w:hAnsi="Arial" w:cs="Arial"/>
                <w:sz w:val="16"/>
                <w:szCs w:val="16"/>
              </w:rPr>
            </w:pPr>
            <w:r w:rsidRPr="00184A8E">
              <w:rPr>
                <w:rFonts w:ascii="Arial" w:hAnsi="Arial" w:cs="Arial"/>
                <w:sz w:val="16"/>
                <w:szCs w:val="16"/>
              </w:rPr>
              <w:t>0</w:t>
            </w:r>
          </w:p>
        </w:tc>
      </w:tr>
      <w:tr w:rsidR="00184A8E" w:rsidRPr="00184A8E" w14:paraId="5D2C1102" w14:textId="77777777" w:rsidTr="00410A4B">
        <w:trPr>
          <w:trHeight w:val="1194"/>
          <w:jc w:val="center"/>
        </w:trPr>
        <w:tc>
          <w:tcPr>
            <w:tcW w:w="1271" w:type="dxa"/>
            <w:vMerge/>
            <w:tcBorders>
              <w:left w:val="single" w:sz="4" w:space="0" w:color="auto"/>
              <w:right w:val="single" w:sz="4" w:space="0" w:color="auto"/>
            </w:tcBorders>
            <w:vAlign w:val="center"/>
          </w:tcPr>
          <w:p w14:paraId="2AA31469" w14:textId="77777777" w:rsidR="00184A8E" w:rsidRPr="00184A8E" w:rsidRDefault="00184A8E" w:rsidP="00184A8E">
            <w:pPr>
              <w:rPr>
                <w:rFonts w:ascii="Arial" w:eastAsia="Calibri" w:hAnsi="Arial" w:cs="Arial"/>
                <w:iCs/>
                <w:sz w:val="16"/>
                <w:szCs w:val="16"/>
              </w:rPr>
            </w:pPr>
          </w:p>
        </w:tc>
        <w:tc>
          <w:tcPr>
            <w:tcW w:w="1559" w:type="dxa"/>
            <w:vMerge/>
            <w:tcBorders>
              <w:left w:val="single" w:sz="4" w:space="0" w:color="auto"/>
              <w:right w:val="single" w:sz="4" w:space="0" w:color="auto"/>
            </w:tcBorders>
            <w:vAlign w:val="center"/>
          </w:tcPr>
          <w:p w14:paraId="4D52BB1D" w14:textId="77777777" w:rsidR="00184A8E" w:rsidRPr="00184A8E" w:rsidRDefault="00184A8E" w:rsidP="00184A8E">
            <w:pPr>
              <w:autoSpaceDE w:val="0"/>
              <w:autoSpaceDN w:val="0"/>
              <w:adjustRightInd w:val="0"/>
              <w:rPr>
                <w:rFonts w:ascii="Arial" w:eastAsia="Calibri" w:hAnsi="Arial" w:cs="Arial"/>
                <w:sz w:val="16"/>
                <w:szCs w:val="16"/>
              </w:rPr>
            </w:pPr>
          </w:p>
        </w:tc>
        <w:tc>
          <w:tcPr>
            <w:tcW w:w="993" w:type="dxa"/>
            <w:vMerge/>
            <w:tcBorders>
              <w:left w:val="single" w:sz="4" w:space="0" w:color="auto"/>
              <w:right w:val="single" w:sz="4" w:space="0" w:color="auto"/>
            </w:tcBorders>
            <w:vAlign w:val="center"/>
          </w:tcPr>
          <w:p w14:paraId="79E11F7F" w14:textId="77777777" w:rsidR="00184A8E" w:rsidRPr="00184A8E" w:rsidRDefault="00184A8E" w:rsidP="00184A8E">
            <w:pPr>
              <w:jc w:val="center"/>
              <w:rPr>
                <w:rFonts w:ascii="Arial" w:eastAsia="Calibri" w:hAnsi="Arial" w:cs="Arial"/>
                <w:sz w:val="16"/>
                <w:szCs w:val="16"/>
              </w:rPr>
            </w:pPr>
          </w:p>
        </w:tc>
        <w:tc>
          <w:tcPr>
            <w:tcW w:w="992" w:type="dxa"/>
            <w:vMerge/>
            <w:tcBorders>
              <w:left w:val="single" w:sz="4" w:space="0" w:color="auto"/>
              <w:right w:val="single" w:sz="4" w:space="0" w:color="auto"/>
            </w:tcBorders>
            <w:vAlign w:val="center"/>
          </w:tcPr>
          <w:p w14:paraId="4C8254C8" w14:textId="77777777" w:rsidR="00184A8E" w:rsidRPr="00184A8E" w:rsidRDefault="00184A8E" w:rsidP="00184A8E">
            <w:pPr>
              <w:jc w:val="center"/>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EFB4A0F" w14:textId="77777777" w:rsidR="00184A8E" w:rsidRPr="00184A8E" w:rsidRDefault="00184A8E" w:rsidP="00184A8E">
            <w:pPr>
              <w:jc w:val="center"/>
              <w:rPr>
                <w:rFonts w:ascii="Arial" w:eastAsia="Calibri"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954ED47" w14:textId="77777777" w:rsidR="00184A8E" w:rsidRPr="00184A8E" w:rsidRDefault="00184A8E" w:rsidP="00184A8E">
            <w:pPr>
              <w:jc w:val="center"/>
              <w:rPr>
                <w:rFonts w:ascii="Arial" w:eastAsia="Calibri"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5A1F8FBD"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3 sustava za automatsku identifikaciju spremnika i program za komuniciranje s korisnicima</w:t>
            </w:r>
          </w:p>
        </w:tc>
        <w:tc>
          <w:tcPr>
            <w:tcW w:w="1560" w:type="dxa"/>
            <w:tcBorders>
              <w:top w:val="single" w:sz="4" w:space="0" w:color="auto"/>
              <w:left w:val="single" w:sz="4" w:space="0" w:color="auto"/>
              <w:bottom w:val="single" w:sz="4" w:space="0" w:color="auto"/>
              <w:right w:val="single" w:sz="4" w:space="0" w:color="auto"/>
            </w:tcBorders>
            <w:vAlign w:val="center"/>
          </w:tcPr>
          <w:p w14:paraId="07DA226D" w14:textId="77777777" w:rsidR="00184A8E" w:rsidRPr="00184A8E" w:rsidRDefault="00184A8E" w:rsidP="00184A8E">
            <w:pPr>
              <w:jc w:val="center"/>
              <w:rPr>
                <w:rFonts w:ascii="Arial" w:eastAsia="Calibri"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6675E21" w14:textId="77777777" w:rsidR="00184A8E" w:rsidRPr="00184A8E" w:rsidRDefault="00184A8E" w:rsidP="00184A8E">
            <w:pPr>
              <w:jc w:val="center"/>
              <w:rPr>
                <w:rFonts w:ascii="Arial" w:eastAsia="Calibri" w:hAnsi="Arial" w:cs="Arial"/>
                <w:sz w:val="16"/>
                <w:szCs w:val="16"/>
              </w:rPr>
            </w:pPr>
            <w:r w:rsidRPr="00184A8E">
              <w:rPr>
                <w:rFonts w:ascii="Arial" w:eastAsia="Calibri" w:hAnsi="Arial" w:cs="Arial"/>
                <w:sz w:val="16"/>
                <w:szCs w:val="16"/>
              </w:rPr>
              <w:t>0</w:t>
            </w:r>
          </w:p>
        </w:tc>
        <w:tc>
          <w:tcPr>
            <w:tcW w:w="1066" w:type="dxa"/>
            <w:tcBorders>
              <w:top w:val="single" w:sz="4" w:space="0" w:color="000000"/>
              <w:left w:val="single" w:sz="4" w:space="0" w:color="000000"/>
              <w:bottom w:val="single" w:sz="4" w:space="0" w:color="000000"/>
              <w:right w:val="single" w:sz="4" w:space="0" w:color="000000"/>
            </w:tcBorders>
            <w:vAlign w:val="center"/>
          </w:tcPr>
          <w:p w14:paraId="5692EA1C" w14:textId="77777777" w:rsidR="00184A8E" w:rsidRPr="00184A8E" w:rsidRDefault="00184A8E" w:rsidP="00184A8E">
            <w:pPr>
              <w:jc w:val="center"/>
              <w:rPr>
                <w:rFonts w:ascii="Arial" w:hAnsi="Arial" w:cs="Arial"/>
                <w:sz w:val="16"/>
                <w:szCs w:val="16"/>
              </w:rPr>
            </w:pPr>
            <w:r w:rsidRPr="00184A8E">
              <w:rPr>
                <w:rFonts w:ascii="Arial" w:hAnsi="Arial" w:cs="Arial"/>
                <w:sz w:val="16"/>
                <w:szCs w:val="16"/>
              </w:rPr>
              <w:t>0</w:t>
            </w:r>
          </w:p>
        </w:tc>
      </w:tr>
      <w:tr w:rsidR="00184A8E" w:rsidRPr="00184A8E" w14:paraId="2F79DD1D" w14:textId="77777777" w:rsidTr="00410A4B">
        <w:trPr>
          <w:trHeight w:val="1288"/>
          <w:jc w:val="center"/>
        </w:trPr>
        <w:tc>
          <w:tcPr>
            <w:tcW w:w="1271" w:type="dxa"/>
            <w:vMerge/>
            <w:tcBorders>
              <w:left w:val="single" w:sz="4" w:space="0" w:color="auto"/>
              <w:right w:val="single" w:sz="4" w:space="0" w:color="auto"/>
            </w:tcBorders>
            <w:vAlign w:val="center"/>
          </w:tcPr>
          <w:p w14:paraId="7E955596" w14:textId="77777777" w:rsidR="00184A8E" w:rsidRPr="00184A8E" w:rsidRDefault="00184A8E" w:rsidP="00184A8E">
            <w:pPr>
              <w:rPr>
                <w:rFonts w:ascii="Arial" w:eastAsia="Calibri" w:hAnsi="Arial" w:cs="Arial"/>
                <w:iCs/>
                <w:sz w:val="16"/>
                <w:szCs w:val="16"/>
              </w:rPr>
            </w:pPr>
          </w:p>
        </w:tc>
        <w:tc>
          <w:tcPr>
            <w:tcW w:w="1559" w:type="dxa"/>
            <w:vMerge/>
            <w:tcBorders>
              <w:left w:val="single" w:sz="4" w:space="0" w:color="auto"/>
              <w:right w:val="single" w:sz="4" w:space="0" w:color="auto"/>
            </w:tcBorders>
            <w:vAlign w:val="center"/>
          </w:tcPr>
          <w:p w14:paraId="42014FDB" w14:textId="77777777" w:rsidR="00184A8E" w:rsidRPr="00184A8E" w:rsidRDefault="00184A8E" w:rsidP="00184A8E">
            <w:pPr>
              <w:autoSpaceDE w:val="0"/>
              <w:autoSpaceDN w:val="0"/>
              <w:adjustRightInd w:val="0"/>
              <w:rPr>
                <w:rFonts w:ascii="Arial" w:eastAsia="Calibri" w:hAnsi="Arial" w:cs="Arial"/>
                <w:sz w:val="16"/>
                <w:szCs w:val="16"/>
              </w:rPr>
            </w:pPr>
          </w:p>
        </w:tc>
        <w:tc>
          <w:tcPr>
            <w:tcW w:w="993" w:type="dxa"/>
            <w:vMerge/>
            <w:tcBorders>
              <w:left w:val="single" w:sz="4" w:space="0" w:color="auto"/>
              <w:right w:val="single" w:sz="4" w:space="0" w:color="auto"/>
            </w:tcBorders>
            <w:vAlign w:val="center"/>
          </w:tcPr>
          <w:p w14:paraId="476161D8" w14:textId="77777777" w:rsidR="00184A8E" w:rsidRPr="00184A8E" w:rsidRDefault="00184A8E" w:rsidP="00184A8E">
            <w:pPr>
              <w:jc w:val="center"/>
              <w:rPr>
                <w:rFonts w:ascii="Arial" w:eastAsia="Calibri" w:hAnsi="Arial" w:cs="Arial"/>
                <w:sz w:val="16"/>
                <w:szCs w:val="16"/>
              </w:rPr>
            </w:pPr>
          </w:p>
        </w:tc>
        <w:tc>
          <w:tcPr>
            <w:tcW w:w="992" w:type="dxa"/>
            <w:vMerge/>
            <w:tcBorders>
              <w:left w:val="single" w:sz="4" w:space="0" w:color="auto"/>
              <w:right w:val="single" w:sz="4" w:space="0" w:color="auto"/>
            </w:tcBorders>
            <w:vAlign w:val="center"/>
          </w:tcPr>
          <w:p w14:paraId="7DF37AC6" w14:textId="77777777" w:rsidR="00184A8E" w:rsidRPr="00184A8E" w:rsidRDefault="00184A8E" w:rsidP="00184A8E">
            <w:pPr>
              <w:jc w:val="center"/>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0B9FFEF" w14:textId="77777777" w:rsidR="00184A8E" w:rsidRPr="00184A8E" w:rsidRDefault="00184A8E" w:rsidP="00184A8E">
            <w:pPr>
              <w:jc w:val="center"/>
              <w:rPr>
                <w:rFonts w:ascii="Arial" w:eastAsia="Calibri"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A9C2CFE" w14:textId="77777777" w:rsidR="00184A8E" w:rsidRPr="00184A8E" w:rsidRDefault="00184A8E" w:rsidP="00184A8E">
            <w:pPr>
              <w:jc w:val="center"/>
              <w:rPr>
                <w:rFonts w:ascii="Arial" w:eastAsia="Calibri"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5476FCD1" w14:textId="77777777" w:rsidR="00184A8E" w:rsidRPr="00184A8E" w:rsidRDefault="00184A8E" w:rsidP="00184A8E">
            <w:pPr>
              <w:jc w:val="center"/>
              <w:rPr>
                <w:rFonts w:ascii="Arial" w:eastAsia="Calibri" w:hAnsi="Arial" w:cs="Arial"/>
                <w:sz w:val="16"/>
                <w:szCs w:val="16"/>
              </w:rPr>
            </w:pPr>
          </w:p>
        </w:tc>
        <w:tc>
          <w:tcPr>
            <w:tcW w:w="1560" w:type="dxa"/>
            <w:tcBorders>
              <w:top w:val="single" w:sz="4" w:space="0" w:color="auto"/>
              <w:left w:val="single" w:sz="4" w:space="0" w:color="auto"/>
              <w:bottom w:val="single" w:sz="4" w:space="0" w:color="auto"/>
              <w:right w:val="single" w:sz="4" w:space="0" w:color="auto"/>
            </w:tcBorders>
            <w:vAlign w:val="center"/>
          </w:tcPr>
          <w:p w14:paraId="73CDBC8F"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6 kom. otvoreni abrol kontejner 35 m³,</w:t>
            </w:r>
          </w:p>
          <w:p w14:paraId="36C7A399"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4 kom. otvoreni kontejner 7m³, 6 kom. polupodzemni spremnik za staklo sa internim spremnikom 3m³</w:t>
            </w:r>
          </w:p>
        </w:tc>
        <w:tc>
          <w:tcPr>
            <w:tcW w:w="1134" w:type="dxa"/>
            <w:tcBorders>
              <w:top w:val="single" w:sz="4" w:space="0" w:color="000000"/>
              <w:left w:val="single" w:sz="4" w:space="0" w:color="000000"/>
              <w:bottom w:val="single" w:sz="4" w:space="0" w:color="000000"/>
              <w:right w:val="single" w:sz="4" w:space="0" w:color="000000"/>
            </w:tcBorders>
            <w:vAlign w:val="center"/>
          </w:tcPr>
          <w:p w14:paraId="23DC02EB" w14:textId="77777777" w:rsidR="00184A8E" w:rsidRPr="00184A8E" w:rsidRDefault="00184A8E" w:rsidP="00184A8E">
            <w:pPr>
              <w:jc w:val="center"/>
              <w:rPr>
                <w:rFonts w:ascii="Arial" w:eastAsia="Calibri" w:hAnsi="Arial" w:cs="Arial"/>
                <w:sz w:val="16"/>
                <w:szCs w:val="16"/>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4A68BF25" w14:textId="77777777" w:rsidR="00184A8E" w:rsidRPr="00184A8E" w:rsidRDefault="00184A8E" w:rsidP="00184A8E">
            <w:pPr>
              <w:jc w:val="center"/>
              <w:rPr>
                <w:rFonts w:ascii="Arial" w:hAnsi="Arial" w:cs="Arial"/>
                <w:sz w:val="16"/>
                <w:szCs w:val="16"/>
              </w:rPr>
            </w:pPr>
          </w:p>
        </w:tc>
      </w:tr>
      <w:tr w:rsidR="00184A8E" w:rsidRPr="00184A8E" w14:paraId="2B0FCEA0" w14:textId="77777777" w:rsidTr="00410A4B">
        <w:trPr>
          <w:trHeight w:val="1288"/>
          <w:jc w:val="center"/>
        </w:trPr>
        <w:tc>
          <w:tcPr>
            <w:tcW w:w="1271" w:type="dxa"/>
            <w:vMerge/>
            <w:tcBorders>
              <w:left w:val="single" w:sz="4" w:space="0" w:color="auto"/>
              <w:right w:val="single" w:sz="4" w:space="0" w:color="auto"/>
            </w:tcBorders>
            <w:vAlign w:val="center"/>
          </w:tcPr>
          <w:p w14:paraId="71245FDF" w14:textId="77777777" w:rsidR="00184A8E" w:rsidRPr="00184A8E" w:rsidRDefault="00184A8E" w:rsidP="00184A8E">
            <w:pPr>
              <w:rPr>
                <w:rFonts w:ascii="Arial" w:eastAsia="Calibri" w:hAnsi="Arial" w:cs="Arial"/>
                <w:iCs/>
                <w:sz w:val="16"/>
                <w:szCs w:val="16"/>
              </w:rPr>
            </w:pPr>
          </w:p>
        </w:tc>
        <w:tc>
          <w:tcPr>
            <w:tcW w:w="1559" w:type="dxa"/>
            <w:vMerge/>
            <w:tcBorders>
              <w:left w:val="single" w:sz="4" w:space="0" w:color="auto"/>
              <w:right w:val="single" w:sz="4" w:space="0" w:color="auto"/>
            </w:tcBorders>
            <w:vAlign w:val="center"/>
          </w:tcPr>
          <w:p w14:paraId="1B7EF303" w14:textId="77777777" w:rsidR="00184A8E" w:rsidRPr="00184A8E" w:rsidRDefault="00184A8E" w:rsidP="00184A8E">
            <w:pPr>
              <w:autoSpaceDE w:val="0"/>
              <w:autoSpaceDN w:val="0"/>
              <w:adjustRightInd w:val="0"/>
              <w:rPr>
                <w:rFonts w:ascii="Arial" w:eastAsia="Calibri" w:hAnsi="Arial" w:cs="Arial"/>
                <w:sz w:val="16"/>
                <w:szCs w:val="16"/>
              </w:rPr>
            </w:pPr>
          </w:p>
        </w:tc>
        <w:tc>
          <w:tcPr>
            <w:tcW w:w="993" w:type="dxa"/>
            <w:vMerge/>
            <w:tcBorders>
              <w:left w:val="single" w:sz="4" w:space="0" w:color="auto"/>
              <w:right w:val="single" w:sz="4" w:space="0" w:color="auto"/>
            </w:tcBorders>
            <w:vAlign w:val="center"/>
          </w:tcPr>
          <w:p w14:paraId="703D7D73" w14:textId="77777777" w:rsidR="00184A8E" w:rsidRPr="00184A8E" w:rsidRDefault="00184A8E" w:rsidP="00184A8E">
            <w:pPr>
              <w:jc w:val="center"/>
              <w:rPr>
                <w:rFonts w:ascii="Arial" w:eastAsia="Calibri" w:hAnsi="Arial" w:cs="Arial"/>
                <w:sz w:val="16"/>
                <w:szCs w:val="16"/>
              </w:rPr>
            </w:pPr>
          </w:p>
        </w:tc>
        <w:tc>
          <w:tcPr>
            <w:tcW w:w="992" w:type="dxa"/>
            <w:vMerge/>
            <w:tcBorders>
              <w:left w:val="single" w:sz="4" w:space="0" w:color="auto"/>
              <w:right w:val="single" w:sz="4" w:space="0" w:color="auto"/>
            </w:tcBorders>
            <w:vAlign w:val="center"/>
          </w:tcPr>
          <w:p w14:paraId="020289EF" w14:textId="77777777" w:rsidR="00184A8E" w:rsidRPr="00184A8E" w:rsidRDefault="00184A8E" w:rsidP="00184A8E">
            <w:pPr>
              <w:jc w:val="center"/>
              <w:rPr>
                <w:rFonts w:ascii="Arial" w:hAnsi="Arial" w:cs="Arial"/>
                <w:sz w:val="16"/>
                <w:szCs w:val="16"/>
              </w:rPr>
            </w:pPr>
          </w:p>
        </w:tc>
        <w:tc>
          <w:tcPr>
            <w:tcW w:w="1134" w:type="dxa"/>
            <w:tcBorders>
              <w:top w:val="single" w:sz="4" w:space="0" w:color="auto"/>
              <w:left w:val="single" w:sz="4" w:space="0" w:color="auto"/>
              <w:right w:val="single" w:sz="4" w:space="0" w:color="auto"/>
            </w:tcBorders>
            <w:vAlign w:val="center"/>
          </w:tcPr>
          <w:p w14:paraId="367251B1" w14:textId="77777777" w:rsidR="00184A8E" w:rsidRPr="00184A8E" w:rsidRDefault="00184A8E" w:rsidP="00184A8E">
            <w:pPr>
              <w:jc w:val="center"/>
              <w:rPr>
                <w:rFonts w:ascii="Arial" w:eastAsia="Calibri" w:hAnsi="Arial" w:cs="Arial"/>
                <w:sz w:val="16"/>
                <w:szCs w:val="16"/>
              </w:rPr>
            </w:pPr>
          </w:p>
        </w:tc>
        <w:tc>
          <w:tcPr>
            <w:tcW w:w="1276" w:type="dxa"/>
            <w:tcBorders>
              <w:top w:val="single" w:sz="4" w:space="0" w:color="auto"/>
              <w:left w:val="single" w:sz="4" w:space="0" w:color="auto"/>
              <w:right w:val="single" w:sz="4" w:space="0" w:color="auto"/>
            </w:tcBorders>
            <w:vAlign w:val="center"/>
          </w:tcPr>
          <w:p w14:paraId="5AB4D229" w14:textId="77777777" w:rsidR="00184A8E" w:rsidRPr="00184A8E" w:rsidRDefault="00184A8E" w:rsidP="00184A8E">
            <w:pPr>
              <w:jc w:val="center"/>
              <w:rPr>
                <w:rFonts w:ascii="Arial" w:eastAsia="Calibri" w:hAnsi="Arial" w:cs="Arial"/>
                <w:sz w:val="16"/>
                <w:szCs w:val="16"/>
              </w:rPr>
            </w:pPr>
          </w:p>
        </w:tc>
        <w:tc>
          <w:tcPr>
            <w:tcW w:w="1275" w:type="dxa"/>
            <w:tcBorders>
              <w:top w:val="single" w:sz="4" w:space="0" w:color="auto"/>
              <w:left w:val="single" w:sz="4" w:space="0" w:color="auto"/>
              <w:right w:val="single" w:sz="4" w:space="0" w:color="auto"/>
            </w:tcBorders>
            <w:vAlign w:val="center"/>
          </w:tcPr>
          <w:p w14:paraId="65EF5E16" w14:textId="77777777" w:rsidR="00184A8E" w:rsidRPr="00184A8E" w:rsidRDefault="00184A8E" w:rsidP="00184A8E">
            <w:pPr>
              <w:jc w:val="center"/>
              <w:rPr>
                <w:rFonts w:ascii="Arial" w:eastAsia="Calibri" w:hAnsi="Arial" w:cs="Arial"/>
                <w:sz w:val="16"/>
                <w:szCs w:val="16"/>
              </w:rPr>
            </w:pPr>
          </w:p>
        </w:tc>
        <w:tc>
          <w:tcPr>
            <w:tcW w:w="1560" w:type="dxa"/>
            <w:tcBorders>
              <w:top w:val="single" w:sz="4" w:space="0" w:color="auto"/>
              <w:left w:val="single" w:sz="4" w:space="0" w:color="auto"/>
              <w:right w:val="single" w:sz="4" w:space="0" w:color="auto"/>
            </w:tcBorders>
            <w:vAlign w:val="center"/>
          </w:tcPr>
          <w:p w14:paraId="2AF9611D"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 xml:space="preserve">2 kom. polupodzemne vreće za staklo 3m³, </w:t>
            </w:r>
          </w:p>
          <w:p w14:paraId="3C0F5753"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 xml:space="preserve">5 kom. cinčani kontejner 1100 l za staklo (zeleni poklopac), </w:t>
            </w:r>
          </w:p>
          <w:p w14:paraId="3395D110" w14:textId="77777777" w:rsidR="00184A8E" w:rsidRPr="00184A8E" w:rsidRDefault="00184A8E" w:rsidP="00184A8E">
            <w:pPr>
              <w:jc w:val="center"/>
              <w:rPr>
                <w:rFonts w:ascii="Arial" w:eastAsia="Calibri" w:hAnsi="Arial" w:cs="Arial"/>
                <w:sz w:val="14"/>
                <w:szCs w:val="14"/>
              </w:rPr>
            </w:pPr>
            <w:r w:rsidRPr="00184A8E">
              <w:rPr>
                <w:rFonts w:ascii="Arial" w:eastAsia="Calibri" w:hAnsi="Arial" w:cs="Arial"/>
                <w:sz w:val="14"/>
                <w:szCs w:val="14"/>
              </w:rPr>
              <w:t>6 kom. kontejner cinčani 1100 l žuti sa otvorima za pet</w:t>
            </w:r>
          </w:p>
        </w:tc>
        <w:tc>
          <w:tcPr>
            <w:tcW w:w="1134" w:type="dxa"/>
            <w:tcBorders>
              <w:top w:val="single" w:sz="4" w:space="0" w:color="000000"/>
              <w:left w:val="single" w:sz="4" w:space="0" w:color="000000"/>
              <w:right w:val="single" w:sz="4" w:space="0" w:color="000000"/>
            </w:tcBorders>
            <w:vAlign w:val="center"/>
          </w:tcPr>
          <w:p w14:paraId="15821859" w14:textId="77777777" w:rsidR="00184A8E" w:rsidRPr="00184A8E" w:rsidRDefault="00184A8E" w:rsidP="00184A8E">
            <w:pPr>
              <w:jc w:val="center"/>
              <w:rPr>
                <w:rFonts w:ascii="Arial" w:eastAsia="Calibri" w:hAnsi="Arial" w:cs="Arial"/>
                <w:sz w:val="16"/>
                <w:szCs w:val="16"/>
              </w:rPr>
            </w:pPr>
          </w:p>
        </w:tc>
        <w:tc>
          <w:tcPr>
            <w:tcW w:w="1066" w:type="dxa"/>
            <w:tcBorders>
              <w:top w:val="single" w:sz="4" w:space="0" w:color="000000"/>
              <w:left w:val="single" w:sz="4" w:space="0" w:color="000000"/>
              <w:right w:val="single" w:sz="4" w:space="0" w:color="000000"/>
            </w:tcBorders>
            <w:vAlign w:val="center"/>
          </w:tcPr>
          <w:p w14:paraId="3AECD763" w14:textId="77777777" w:rsidR="00184A8E" w:rsidRPr="00184A8E" w:rsidRDefault="00184A8E" w:rsidP="00184A8E">
            <w:pPr>
              <w:jc w:val="center"/>
              <w:rPr>
                <w:rFonts w:ascii="Arial" w:hAnsi="Arial" w:cs="Arial"/>
                <w:sz w:val="16"/>
                <w:szCs w:val="16"/>
              </w:rPr>
            </w:pPr>
          </w:p>
        </w:tc>
      </w:tr>
    </w:tbl>
    <w:p w14:paraId="1876ABEA" w14:textId="77777777" w:rsidR="00184A8E" w:rsidRPr="00184A8E" w:rsidRDefault="00184A8E" w:rsidP="00184A8E">
      <w:pPr>
        <w:spacing w:after="0" w:line="240" w:lineRule="auto"/>
        <w:ind w:left="567"/>
        <w:jc w:val="both"/>
        <w:rPr>
          <w:rFonts w:ascii="Arial" w:eastAsia="Calibri" w:hAnsi="Arial" w:cs="Arial"/>
          <w:sz w:val="16"/>
          <w:szCs w:val="16"/>
          <w:lang w:eastAsia="en-US"/>
        </w:rPr>
      </w:pPr>
      <w:r w:rsidRPr="00184A8E">
        <w:rPr>
          <w:rFonts w:ascii="Arial" w:eastAsia="Calibri" w:hAnsi="Arial" w:cs="Arial"/>
          <w:sz w:val="16"/>
          <w:szCs w:val="16"/>
          <w:lang w:eastAsia="en-US"/>
        </w:rPr>
        <w:t>* 2021. godina = 600 kom spremnika karton i papir 120 lit, 1.400 spremnika karton i papir 240 lit, 600 kom spremnika plastika 120 lit, 1.400 kom spremnika plastika 240 lit</w:t>
      </w:r>
    </w:p>
    <w:p w14:paraId="1BADF70B" w14:textId="77777777" w:rsidR="00184A8E" w:rsidRPr="00184A8E" w:rsidRDefault="00184A8E" w:rsidP="00184A8E">
      <w:pPr>
        <w:spacing w:after="0" w:line="240" w:lineRule="auto"/>
        <w:ind w:left="567"/>
        <w:jc w:val="both"/>
        <w:rPr>
          <w:rFonts w:ascii="Arial" w:eastAsia="Calibri" w:hAnsi="Arial" w:cs="Arial"/>
          <w:sz w:val="16"/>
          <w:szCs w:val="16"/>
          <w:lang w:eastAsia="en-US"/>
        </w:rPr>
      </w:pPr>
      <w:r w:rsidRPr="00184A8E">
        <w:rPr>
          <w:rFonts w:ascii="Arial" w:eastAsia="Calibri" w:hAnsi="Arial" w:cs="Arial"/>
          <w:sz w:val="16"/>
          <w:szCs w:val="16"/>
          <w:lang w:eastAsia="en-US"/>
        </w:rPr>
        <w:t>**2022. godina = 2 polupodzemna kontejnera od 3m³ ili 3000 litara za plastiku, 2 polupodzemna kontejnera od 3m³ ili 3000 litara za staklo, 2 polupodzemna kontejnera od 3m³ ili 3000 litara za karton, 1300 komada kompostera od 400 litara – zeleni za kućanstvo, 20 kompostera od 400 l – zeleni za gospodarstvo, 20 komada kompostera od 600 litara zeleni za gospodarstvo (sufinanciranje FZOU)</w:t>
      </w:r>
    </w:p>
    <w:p w14:paraId="7BEB1BF6" w14:textId="77777777" w:rsidR="00184A8E" w:rsidRPr="00184A8E" w:rsidRDefault="00184A8E" w:rsidP="00184A8E">
      <w:pPr>
        <w:spacing w:after="0" w:line="240" w:lineRule="auto"/>
        <w:ind w:left="567"/>
        <w:jc w:val="both"/>
        <w:rPr>
          <w:rFonts w:ascii="Arial" w:eastAsia="Calibri" w:hAnsi="Arial" w:cs="Arial"/>
          <w:sz w:val="16"/>
          <w:szCs w:val="16"/>
          <w:lang w:eastAsia="en-US"/>
        </w:rPr>
      </w:pPr>
      <w:r w:rsidRPr="00184A8E">
        <w:rPr>
          <w:rFonts w:ascii="Arial" w:eastAsia="Calibri" w:hAnsi="Arial" w:cs="Arial"/>
          <w:sz w:val="16"/>
          <w:szCs w:val="16"/>
          <w:lang w:eastAsia="en-US"/>
        </w:rPr>
        <w:t xml:space="preserve">*** 2023. godina = </w:t>
      </w:r>
      <w:r w:rsidRPr="00184A8E">
        <w:rPr>
          <w:rFonts w:ascii="Arial" w:eastAsia="Calibri" w:hAnsi="Arial" w:cs="Arial"/>
          <w:sz w:val="16"/>
          <w:szCs w:val="16"/>
        </w:rPr>
        <w:t xml:space="preserve">program za komunikaciju s korisnicima – automatska identifikacija spremnika, balirka za baliranje kartona, mobilni kontejner s kompaktorom, </w:t>
      </w:r>
    </w:p>
    <w:p w14:paraId="059CAAB3" w14:textId="77777777" w:rsidR="00184A8E" w:rsidRPr="00184A8E" w:rsidRDefault="00184A8E" w:rsidP="00184A8E">
      <w:pPr>
        <w:spacing w:after="0" w:line="240" w:lineRule="auto"/>
        <w:jc w:val="both"/>
        <w:rPr>
          <w:rFonts w:ascii="Arial" w:eastAsia="Calibri" w:hAnsi="Arial" w:cs="Arial"/>
          <w:sz w:val="20"/>
          <w:szCs w:val="20"/>
        </w:rPr>
      </w:pPr>
    </w:p>
    <w:p w14:paraId="664D521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rPr>
        <w:t xml:space="preserve">4. T209306: Ulaganja u izgradnju, preuređenje , te uklanjanje odlagališta za kućni otpad </w:t>
      </w:r>
      <w:r w:rsidRPr="00184A8E">
        <w:rPr>
          <w:rFonts w:ascii="Arial" w:eastAsia="Calibri" w:hAnsi="Arial" w:cs="Arial"/>
          <w:sz w:val="20"/>
          <w:szCs w:val="20"/>
        </w:rPr>
        <w:t xml:space="preserve">– Proračunska sredstva se ne planiraju putem ove aktivnosti. </w:t>
      </w:r>
    </w:p>
    <w:p w14:paraId="3F533DFB" w14:textId="77777777" w:rsidR="00184A8E" w:rsidRPr="00184A8E" w:rsidRDefault="00184A8E" w:rsidP="00184A8E">
      <w:pPr>
        <w:spacing w:after="0" w:line="240" w:lineRule="auto"/>
        <w:jc w:val="both"/>
        <w:rPr>
          <w:rFonts w:ascii="Arial" w:eastAsia="Calibri" w:hAnsi="Arial" w:cs="Arial"/>
          <w:b/>
          <w:sz w:val="20"/>
        </w:rPr>
      </w:pPr>
    </w:p>
    <w:p w14:paraId="2ACF8813" w14:textId="459D91FE" w:rsidR="00184A8E" w:rsidRDefault="001945C3" w:rsidP="00184A8E">
      <w:pPr>
        <w:spacing w:after="0" w:line="240" w:lineRule="auto"/>
        <w:jc w:val="both"/>
        <w:rPr>
          <w:rFonts w:ascii="Arial" w:eastAsia="Calibri" w:hAnsi="Arial" w:cs="Arial"/>
          <w:sz w:val="20"/>
          <w:szCs w:val="20"/>
          <w:lang w:eastAsia="en-US"/>
        </w:rPr>
      </w:pPr>
      <w:r>
        <w:rPr>
          <w:rFonts w:ascii="Arial" w:eastAsia="Calibri" w:hAnsi="Arial" w:cs="Arial"/>
          <w:b/>
          <w:sz w:val="20"/>
          <w:szCs w:val="20"/>
          <w:lang w:eastAsia="en-US"/>
        </w:rPr>
        <w:t>5</w:t>
      </w:r>
      <w:r w:rsidR="00184A8E" w:rsidRPr="00184A8E">
        <w:rPr>
          <w:rFonts w:ascii="Arial" w:eastAsia="Calibri" w:hAnsi="Arial" w:cs="Arial"/>
          <w:b/>
          <w:sz w:val="20"/>
          <w:szCs w:val="20"/>
          <w:lang w:eastAsia="en-US"/>
        </w:rPr>
        <w:t xml:space="preserve">. T209307: Nabava kamiona za komunalni otpad 1 i 2 </w:t>
      </w:r>
      <w:r w:rsidR="00184A8E" w:rsidRPr="00184A8E">
        <w:rPr>
          <w:rFonts w:ascii="Arial" w:eastAsia="Calibri" w:hAnsi="Arial" w:cs="Arial"/>
          <w:sz w:val="20"/>
          <w:szCs w:val="20"/>
          <w:lang w:eastAsia="en-US"/>
        </w:rPr>
        <w:t xml:space="preserve">– </w:t>
      </w:r>
      <w:r w:rsidRPr="001945C3">
        <w:rPr>
          <w:rFonts w:ascii="Arial" w:eastAsia="Calibri" w:hAnsi="Arial" w:cs="Arial"/>
          <w:sz w:val="20"/>
          <w:szCs w:val="20"/>
          <w:lang w:eastAsia="en-US"/>
        </w:rPr>
        <w:t xml:space="preserve">u sklopu projekta planiraju se kapitalne pomoći za nabavu kamiona za sakupljanje i odvoz komunalnog otpada. Planirano je nabaviti kamion radi prilagodbi Zakonu o održivom gospodarenju otpadom i podzakonskim aktima donesenim na temelju spomenutog Zakona. Planirani su rashodi za kapitalne pomoći društvu u vlasništvu Općine (Čistoća i zelenilo Konavle d.o.o.). Planirano je </w:t>
      </w:r>
      <w:r>
        <w:rPr>
          <w:rFonts w:ascii="Arial" w:eastAsia="Calibri" w:hAnsi="Arial" w:cs="Arial"/>
          <w:sz w:val="20"/>
          <w:szCs w:val="20"/>
          <w:lang w:eastAsia="en-US"/>
        </w:rPr>
        <w:t>83.310</w:t>
      </w:r>
      <w:r w:rsidRPr="001945C3">
        <w:rPr>
          <w:rFonts w:ascii="Arial" w:eastAsia="Calibri" w:hAnsi="Arial" w:cs="Arial"/>
          <w:sz w:val="20"/>
          <w:szCs w:val="20"/>
          <w:lang w:eastAsia="en-US"/>
        </w:rPr>
        <w:t xml:space="preserve"> €. Rashodi su izvršeni u iznosu </w:t>
      </w:r>
      <w:r>
        <w:rPr>
          <w:rFonts w:ascii="Arial" w:eastAsia="Calibri" w:hAnsi="Arial" w:cs="Arial"/>
          <w:sz w:val="20"/>
          <w:szCs w:val="20"/>
          <w:lang w:eastAsia="en-US"/>
        </w:rPr>
        <w:t>55</w:t>
      </w:r>
      <w:r w:rsidRPr="001945C3">
        <w:rPr>
          <w:rFonts w:ascii="Arial" w:eastAsia="Calibri" w:hAnsi="Arial" w:cs="Arial"/>
          <w:sz w:val="20"/>
          <w:szCs w:val="20"/>
          <w:lang w:eastAsia="en-US"/>
        </w:rPr>
        <w:t>.000 €.</w:t>
      </w:r>
    </w:p>
    <w:p w14:paraId="3004C8FF" w14:textId="77777777" w:rsidR="001945C3" w:rsidRPr="00184A8E" w:rsidRDefault="001945C3" w:rsidP="00184A8E">
      <w:pPr>
        <w:spacing w:after="0" w:line="240" w:lineRule="auto"/>
        <w:jc w:val="both"/>
        <w:rPr>
          <w:rFonts w:ascii="Arial" w:eastAsia="Calibri" w:hAnsi="Arial" w:cs="Arial"/>
          <w:sz w:val="20"/>
          <w:szCs w:val="20"/>
          <w:lang w:eastAsia="en-US"/>
        </w:rPr>
      </w:pPr>
    </w:p>
    <w:p w14:paraId="76A4163E"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Koncem lipnja 2019. godine Općinsko vijeće je donijelo odluku kojom se odobrava zaduživanje društva Čistoća i zelenilo Konavle d.o.o. putem financijskog leasinga za nabavu jednog kamiona u vrijednosti 1.195.312,50 kn / 158.645,23 €/. Ugovor je zaključen u 2019. godine. Općina nije jamac po ugovoru.</w:t>
      </w:r>
    </w:p>
    <w:p w14:paraId="0FF64475" w14:textId="77777777" w:rsidR="00184A8E" w:rsidRPr="00184A8E" w:rsidRDefault="00184A8E" w:rsidP="00184A8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ind w:left="567"/>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 xml:space="preserve">U 2020. su bila doznačena sredstva kapitalne pomoći društvu u vlasništvu Općine za nabavu kamiona Mitsubishi fuso 139.760 kn / 18.549,34 €/. </w:t>
      </w:r>
    </w:p>
    <w:p w14:paraId="75AD00C3"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p>
    <w:p w14:paraId="090324E4"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 xml:space="preserve">U 2021. sredstva kapitalne pomoći društvu u vlasništvu Općine (Čistoća i zelenilo Konavle d.o.o.) za nabavu nefinancijske imovine odnose se na nabavu dva kamiona za sakupljanje otpada Iveco Daily 355.374,45 kn / 47.166,30 €/ (uz sufinanciranje Fond izravno putem društva). </w:t>
      </w:r>
    </w:p>
    <w:p w14:paraId="58AAEF9B"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p>
    <w:p w14:paraId="30B6F0AA"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Društvo je u 2022. nabavilo vozilo za sakupljanje otpada (MAN 18.224 L s nadogradnjom - podizač kontejnera model Meiller AK 12) u iznosu 26.490 € bez PDV-a. Općina nije doznačavala sredstva društvu.</w:t>
      </w:r>
    </w:p>
    <w:p w14:paraId="753B7E0D"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p>
    <w:p w14:paraId="065F9FD4" w14:textId="13471614"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 xml:space="preserve">Društvo je u 2023. </w:t>
      </w:r>
      <w:r w:rsidR="0001653A">
        <w:rPr>
          <w:rFonts w:ascii="Arial" w:eastAsia="Calibri" w:hAnsi="Arial" w:cs="Arial"/>
          <w:sz w:val="18"/>
          <w:szCs w:val="18"/>
          <w:lang w:eastAsia="en-US"/>
        </w:rPr>
        <w:t xml:space="preserve">provelo </w:t>
      </w:r>
      <w:r w:rsidRPr="00184A8E">
        <w:rPr>
          <w:rFonts w:ascii="Arial" w:eastAsia="Calibri" w:hAnsi="Arial" w:cs="Arial"/>
          <w:sz w:val="18"/>
          <w:szCs w:val="18"/>
          <w:lang w:eastAsia="en-US"/>
        </w:rPr>
        <w:t>postupak nabave vozila za sakupljanje otpada (IVECO EUROCARGO ML 120EL22/FAUN ROTOPRESS 088) u iznosu 282.197,60 €.</w:t>
      </w:r>
    </w:p>
    <w:p w14:paraId="1D833919"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Društvu su doznačena sredstva u iznosu 26.530 € za plaćanje dijela učešća za nabavu ovog vozila. Također, društvu su doznačena sredstva u iznosu 26.490 € za nabavu vozila za sakupljanje otpada MAN 18.224 L s nadogradnjom – Podizač kontejnera model MEILLER AK 12.</w:t>
      </w:r>
    </w:p>
    <w:p w14:paraId="4E322695"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74FF0C4D" w14:textId="77777777" w:rsidR="00184A8E" w:rsidRPr="00184A8E" w:rsidRDefault="00184A8E" w:rsidP="001945C3">
      <w:pPr>
        <w:autoSpaceDE w:val="0"/>
        <w:autoSpaceDN w:val="0"/>
        <w:adjustRightInd w:val="0"/>
        <w:spacing w:after="0" w:line="240" w:lineRule="auto"/>
        <w:ind w:left="567"/>
        <w:jc w:val="both"/>
        <w:rPr>
          <w:rFonts w:ascii="Times New Roman" w:hAnsi="Times New Roman" w:cs="Times New Roman"/>
          <w:sz w:val="23"/>
          <w:szCs w:val="23"/>
        </w:rPr>
      </w:pPr>
      <w:r w:rsidRPr="001945C3">
        <w:rPr>
          <w:rFonts w:ascii="Arial" w:eastAsia="Calibri" w:hAnsi="Arial" w:cs="Arial"/>
          <w:sz w:val="18"/>
          <w:szCs w:val="18"/>
          <w:lang w:eastAsia="en-US"/>
        </w:rPr>
        <w:t>U 2024. godini društvo je nabavilo dva komunalna vozila za koje je Općinsko vijeće donijelo odluku o davanju suglasnosti za zaduživanje (u svibnju 2024. za vozilo tipa IVECO DAILY 35C16 sa nadogradnjom Rossi Qube5, te u rujnu 2024. za vozilo tipa MAN, TGM 18.290 4x2 BB CH sa nadogradnjom HIAB, X-HIDUO 092 ES-3). Društvu nisu doznačavana sredstva za nabavu ovih vozila.</w:t>
      </w:r>
    </w:p>
    <w:p w14:paraId="56FD6E75" w14:textId="77777777" w:rsidR="001945C3" w:rsidRDefault="001945C3" w:rsidP="00184A8E">
      <w:pPr>
        <w:autoSpaceDE w:val="0"/>
        <w:autoSpaceDN w:val="0"/>
        <w:adjustRightInd w:val="0"/>
        <w:spacing w:after="0" w:line="240" w:lineRule="auto"/>
        <w:jc w:val="both"/>
        <w:rPr>
          <w:rFonts w:ascii="Arial" w:eastAsia="Calibri" w:hAnsi="Arial" w:cs="Arial"/>
          <w:sz w:val="20"/>
          <w:szCs w:val="20"/>
          <w:lang w:eastAsia="en-US"/>
        </w:rPr>
      </w:pPr>
    </w:p>
    <w:p w14:paraId="6272F00B" w14:textId="70494FD7" w:rsidR="003D3ADB" w:rsidRDefault="001945C3" w:rsidP="00184A8E">
      <w:pPr>
        <w:autoSpaceDE w:val="0"/>
        <w:autoSpaceDN w:val="0"/>
        <w:adjustRightInd w:val="0"/>
        <w:spacing w:after="0" w:line="240" w:lineRule="auto"/>
        <w:jc w:val="both"/>
        <w:rPr>
          <w:rFonts w:ascii="Arial" w:eastAsia="Calibri" w:hAnsi="Arial" w:cs="Arial"/>
          <w:sz w:val="20"/>
          <w:szCs w:val="20"/>
          <w:lang w:eastAsia="en-US"/>
        </w:rPr>
      </w:pPr>
      <w:r w:rsidRPr="001945C3">
        <w:rPr>
          <w:rFonts w:ascii="Arial" w:eastAsia="Calibri" w:hAnsi="Arial" w:cs="Arial"/>
          <w:sz w:val="20"/>
          <w:szCs w:val="20"/>
          <w:lang w:eastAsia="en-US"/>
        </w:rPr>
        <w:t>U 202</w:t>
      </w:r>
      <w:r>
        <w:rPr>
          <w:rFonts w:ascii="Arial" w:eastAsia="Calibri" w:hAnsi="Arial" w:cs="Arial"/>
          <w:sz w:val="20"/>
          <w:szCs w:val="20"/>
          <w:lang w:eastAsia="en-US"/>
        </w:rPr>
        <w:t>5</w:t>
      </w:r>
      <w:r w:rsidRPr="001945C3">
        <w:rPr>
          <w:rFonts w:ascii="Arial" w:eastAsia="Calibri" w:hAnsi="Arial" w:cs="Arial"/>
          <w:sz w:val="20"/>
          <w:szCs w:val="20"/>
          <w:lang w:eastAsia="en-US"/>
        </w:rPr>
        <w:t xml:space="preserve">. godini </w:t>
      </w:r>
      <w:r w:rsidR="003D3ADB">
        <w:rPr>
          <w:rFonts w:ascii="Arial" w:eastAsia="Calibri" w:hAnsi="Arial" w:cs="Arial"/>
          <w:sz w:val="20"/>
          <w:szCs w:val="20"/>
          <w:lang w:eastAsia="en-US"/>
        </w:rPr>
        <w:t>društvu je izvršen prijenos 55.000 € za nadoknadu troškova ulaganja u nabavu komunalnog vozila MAN TGL 12.250+FARID. Ovo vozilo društvo je počelo otplaćivati u srpnju 2019., a posljednji obrok u veljači 2025. godine.</w:t>
      </w:r>
    </w:p>
    <w:p w14:paraId="7787CE92" w14:textId="69311908"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2263"/>
        <w:gridCol w:w="3402"/>
        <w:gridCol w:w="958"/>
        <w:gridCol w:w="1134"/>
        <w:gridCol w:w="1232"/>
        <w:gridCol w:w="1276"/>
        <w:gridCol w:w="1242"/>
        <w:gridCol w:w="1242"/>
        <w:gridCol w:w="1242"/>
      </w:tblGrid>
      <w:tr w:rsidR="00184A8E" w:rsidRPr="00184A8E" w14:paraId="0AED4B78"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00CA6C2"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06633B8"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BDB127B"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E60BD3E"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048D515" w14:textId="2E2F2CB5"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3D3ADB">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5234D23" w14:textId="4F5BB9F6"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3D3ADB">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6530EA1" w14:textId="0BDB5A14"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3D3ADB">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B652B4D" w14:textId="6A1F36D6"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3D3ADB">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33B09A2" w14:textId="509E3DCB"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3D3ADB">
              <w:rPr>
                <w:rFonts w:ascii="Arial" w:eastAsia="Calibri" w:hAnsi="Arial" w:cs="Arial"/>
              </w:rPr>
              <w:t>7</w:t>
            </w:r>
            <w:r w:rsidRPr="00184A8E">
              <w:rPr>
                <w:rFonts w:ascii="Arial" w:eastAsia="Calibri" w:hAnsi="Arial" w:cs="Arial"/>
              </w:rPr>
              <w:t>.</w:t>
            </w:r>
          </w:p>
        </w:tc>
      </w:tr>
      <w:tr w:rsidR="003D3ADB" w:rsidRPr="00184A8E" w14:paraId="4318D21B" w14:textId="77777777" w:rsidTr="00410A4B">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4C74F63D" w14:textId="77777777" w:rsidR="003D3ADB" w:rsidRPr="00184A8E" w:rsidRDefault="003D3ADB" w:rsidP="003D3ADB">
            <w:pPr>
              <w:rPr>
                <w:rFonts w:ascii="Arial" w:hAnsi="Arial" w:cs="Arial"/>
                <w:sz w:val="18"/>
                <w:szCs w:val="18"/>
              </w:rPr>
            </w:pPr>
            <w:r w:rsidRPr="00184A8E">
              <w:rPr>
                <w:rFonts w:ascii="Arial" w:eastAsia="Calibri" w:hAnsi="Arial" w:cs="Arial"/>
                <w:iCs/>
                <w:sz w:val="18"/>
                <w:szCs w:val="18"/>
              </w:rPr>
              <w:t xml:space="preserve">Utrošena sredstva za nabavu kamiona </w:t>
            </w:r>
          </w:p>
        </w:tc>
        <w:tc>
          <w:tcPr>
            <w:tcW w:w="3402" w:type="dxa"/>
            <w:tcBorders>
              <w:top w:val="single" w:sz="4" w:space="0" w:color="auto"/>
              <w:left w:val="single" w:sz="4" w:space="0" w:color="auto"/>
              <w:bottom w:val="single" w:sz="4" w:space="0" w:color="auto"/>
              <w:right w:val="single" w:sz="4" w:space="0" w:color="auto"/>
            </w:tcBorders>
            <w:vAlign w:val="center"/>
          </w:tcPr>
          <w:p w14:paraId="3E17631C" w14:textId="77777777" w:rsidR="003D3ADB" w:rsidRPr="00184A8E" w:rsidRDefault="003D3ADB" w:rsidP="003D3ADB">
            <w:pPr>
              <w:autoSpaceDE w:val="0"/>
              <w:autoSpaceDN w:val="0"/>
              <w:adjustRightInd w:val="0"/>
              <w:rPr>
                <w:rFonts w:ascii="Arial" w:hAnsi="Arial" w:cs="Arial"/>
                <w:sz w:val="18"/>
                <w:szCs w:val="18"/>
              </w:rPr>
            </w:pPr>
            <w:r w:rsidRPr="00184A8E">
              <w:rPr>
                <w:rFonts w:ascii="Arial" w:eastAsia="Calibri" w:hAnsi="Arial" w:cs="Arial"/>
                <w:sz w:val="18"/>
                <w:szCs w:val="18"/>
              </w:rPr>
              <w:t>Broj nabavljenih kamiona za odlaganje otpada</w:t>
            </w:r>
          </w:p>
        </w:tc>
        <w:tc>
          <w:tcPr>
            <w:tcW w:w="958" w:type="dxa"/>
            <w:tcBorders>
              <w:top w:val="single" w:sz="4" w:space="0" w:color="auto"/>
              <w:left w:val="single" w:sz="4" w:space="0" w:color="auto"/>
              <w:bottom w:val="single" w:sz="4" w:space="0" w:color="auto"/>
              <w:right w:val="single" w:sz="4" w:space="0" w:color="auto"/>
            </w:tcBorders>
            <w:vAlign w:val="center"/>
          </w:tcPr>
          <w:p w14:paraId="2241F560" w14:textId="77777777" w:rsidR="003D3ADB" w:rsidRPr="00184A8E" w:rsidRDefault="003D3ADB" w:rsidP="003D3ADB">
            <w:pPr>
              <w:jc w:val="center"/>
              <w:rPr>
                <w:rFonts w:ascii="Arial" w:hAnsi="Arial" w:cs="Arial"/>
                <w:sz w:val="18"/>
                <w:szCs w:val="18"/>
              </w:rPr>
            </w:pPr>
            <w:r w:rsidRPr="00184A8E">
              <w:rPr>
                <w:rFonts w:ascii="Arial" w:eastAsia="Calibri" w:hAnsi="Arial" w:cs="Arial"/>
                <w:sz w:val="18"/>
                <w:szCs w:val="18"/>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576F334C" w14:textId="77777777" w:rsidR="003D3ADB" w:rsidRPr="00184A8E" w:rsidRDefault="003D3ADB" w:rsidP="003D3ADB">
            <w:pPr>
              <w:jc w:val="center"/>
              <w:rPr>
                <w:rFonts w:ascii="Arial" w:hAnsi="Arial" w:cs="Arial"/>
                <w:sz w:val="18"/>
                <w:szCs w:val="18"/>
              </w:rPr>
            </w:pPr>
            <w:r w:rsidRPr="00184A8E">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5E32098E" w14:textId="77777777" w:rsidR="003D3ADB" w:rsidRPr="00184A8E" w:rsidRDefault="003D3ADB" w:rsidP="003D3ADB">
            <w:pPr>
              <w:jc w:val="center"/>
              <w:rPr>
                <w:rFonts w:ascii="Arial" w:eastAsia="Calibri" w:hAnsi="Arial" w:cs="Arial"/>
              </w:rPr>
            </w:pPr>
            <w:r w:rsidRPr="00184A8E">
              <w:rPr>
                <w:rFonts w:ascii="Arial" w:eastAsia="Calibri" w:hAnsi="Arial" w:cs="Arial"/>
              </w:rPr>
              <w:t>0</w:t>
            </w:r>
          </w:p>
          <w:p w14:paraId="600FD921" w14:textId="40A583B9" w:rsidR="003D3ADB" w:rsidRPr="00184A8E" w:rsidRDefault="003D3ADB" w:rsidP="003D3ADB">
            <w:pPr>
              <w:jc w:val="center"/>
              <w:rPr>
                <w:rFonts w:ascii="Arial" w:hAnsi="Arial" w:cs="Arial"/>
                <w:sz w:val="18"/>
                <w:szCs w:val="18"/>
              </w:rPr>
            </w:pPr>
            <w:r w:rsidRPr="00184A8E">
              <w:rPr>
                <w:rFonts w:ascii="Arial" w:eastAsia="Calibri" w:hAnsi="Arial" w:cs="Arial"/>
                <w:sz w:val="12"/>
                <w:szCs w:val="12"/>
              </w:rPr>
              <w:t>(nabavljeno 2 vozila, ali nisu doznačavana sredstva pomoći)</w:t>
            </w:r>
          </w:p>
        </w:tc>
        <w:tc>
          <w:tcPr>
            <w:tcW w:w="1276" w:type="dxa"/>
            <w:tcBorders>
              <w:top w:val="single" w:sz="4" w:space="0" w:color="auto"/>
              <w:left w:val="single" w:sz="4" w:space="0" w:color="auto"/>
              <w:bottom w:val="single" w:sz="4" w:space="0" w:color="auto"/>
              <w:right w:val="single" w:sz="4" w:space="0" w:color="auto"/>
            </w:tcBorders>
            <w:vAlign w:val="center"/>
          </w:tcPr>
          <w:p w14:paraId="5B099DC1" w14:textId="6E851548" w:rsidR="003D3ADB" w:rsidRPr="00184A8E" w:rsidRDefault="003D3ADB" w:rsidP="003D3ADB">
            <w:pPr>
              <w:jc w:val="center"/>
              <w:rPr>
                <w:rFonts w:ascii="Arial" w:hAnsi="Arial" w:cs="Arial"/>
                <w:sz w:val="18"/>
                <w:szCs w:val="18"/>
              </w:rPr>
            </w:pPr>
            <w:r>
              <w:rPr>
                <w:rFonts w:ascii="Arial" w:eastAsia="Calibri" w:hAnsi="Arial" w:cs="Arial"/>
                <w:sz w:val="18"/>
                <w:szCs w:val="18"/>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650561CF" w14:textId="7B58429B" w:rsidR="003D3ADB" w:rsidRPr="00184A8E" w:rsidRDefault="003D3ADB" w:rsidP="003D3ADB">
            <w:pPr>
              <w:jc w:val="center"/>
              <w:rPr>
                <w:rFonts w:ascii="Arial" w:eastAsia="Calibri" w:hAnsi="Arial" w:cs="Arial"/>
                <w:sz w:val="12"/>
                <w:szCs w:val="12"/>
              </w:rPr>
            </w:pPr>
            <w:r>
              <w:rPr>
                <w:rFonts w:ascii="Arial" w:eastAsia="Calibri" w:hAnsi="Arial" w:cs="Arial"/>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1A86276E" w14:textId="77777777" w:rsidR="003D3ADB" w:rsidRPr="00184A8E" w:rsidRDefault="003D3ADB" w:rsidP="003D3ADB">
            <w:pPr>
              <w:jc w:val="center"/>
              <w:rPr>
                <w:rFonts w:ascii="Arial" w:hAnsi="Arial" w:cs="Arial"/>
              </w:rPr>
            </w:pPr>
            <w:r w:rsidRPr="00184A8E">
              <w:rPr>
                <w:rFonts w:ascii="Arial" w:eastAsia="Calibri" w:hAnsi="Arial" w:cs="Arial"/>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27A369A6" w14:textId="77777777" w:rsidR="003D3ADB" w:rsidRPr="00184A8E" w:rsidRDefault="003D3ADB" w:rsidP="003D3ADB">
            <w:pPr>
              <w:jc w:val="center"/>
              <w:rPr>
                <w:rFonts w:ascii="Arial" w:hAnsi="Arial" w:cs="Arial"/>
              </w:rPr>
            </w:pPr>
            <w:r w:rsidRPr="00184A8E">
              <w:rPr>
                <w:rFonts w:ascii="Arial" w:hAnsi="Arial" w:cs="Arial"/>
              </w:rPr>
              <w:t>1</w:t>
            </w:r>
          </w:p>
        </w:tc>
      </w:tr>
    </w:tbl>
    <w:p w14:paraId="2A41369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22D918F4" w14:textId="1786905B"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6 T209308: Nabava drobilice drvenog otpada </w:t>
      </w:r>
      <w:r w:rsidRPr="00184A8E">
        <w:rPr>
          <w:rFonts w:ascii="Arial" w:eastAsia="Calibri" w:hAnsi="Arial" w:cs="Arial"/>
          <w:sz w:val="20"/>
          <w:szCs w:val="20"/>
          <w:lang w:eastAsia="en-US"/>
        </w:rPr>
        <w:t>– u sklopu navedenog projekta ne planiraju se rashodi u 202</w:t>
      </w:r>
      <w:r w:rsidR="003D3ADB">
        <w:rPr>
          <w:rFonts w:ascii="Arial" w:eastAsia="Calibri" w:hAnsi="Arial" w:cs="Arial"/>
          <w:sz w:val="20"/>
          <w:szCs w:val="20"/>
          <w:lang w:eastAsia="en-US"/>
        </w:rPr>
        <w:t>5</w:t>
      </w:r>
      <w:r w:rsidRPr="00184A8E">
        <w:rPr>
          <w:rFonts w:ascii="Arial" w:eastAsia="Calibri" w:hAnsi="Arial" w:cs="Arial"/>
          <w:sz w:val="20"/>
          <w:szCs w:val="20"/>
          <w:lang w:eastAsia="en-US"/>
        </w:rPr>
        <w:t xml:space="preserve">. godini. Slijedećih godina planirano je nabaviti drobilicu uslijed velikih količina drvenog otpada na godišnjoj razini, a kojeg je potrebno transportirati. </w:t>
      </w:r>
      <w:r w:rsidRPr="00184A8E">
        <w:rPr>
          <w:rFonts w:ascii="Arial" w:eastAsia="Times New Roman" w:hAnsi="Arial" w:cs="Arial"/>
          <w:sz w:val="20"/>
          <w:szCs w:val="20"/>
          <w:lang w:eastAsia="en-US"/>
        </w:rPr>
        <w:t>Količina koja bi se ovim strojem obradila predstavljala bi znatnu uštedu na količini koju je potrebno odvest na odlagalište.</w:t>
      </w:r>
    </w:p>
    <w:p w14:paraId="7D9EFC0A" w14:textId="77777777" w:rsidR="00184A8E" w:rsidRPr="00184A8E" w:rsidRDefault="00184A8E" w:rsidP="00184A8E">
      <w:pPr>
        <w:spacing w:after="0" w:line="240" w:lineRule="auto"/>
        <w:jc w:val="both"/>
        <w:rPr>
          <w:rFonts w:ascii="Arial" w:eastAsia="Calibri" w:hAnsi="Arial" w:cs="Arial"/>
          <w:sz w:val="20"/>
          <w:szCs w:val="20"/>
          <w:lang w:eastAsia="en-US"/>
        </w:rPr>
      </w:pPr>
    </w:p>
    <w:p w14:paraId="5737FCB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Aktivnosti vezane uz opće ciljeve postignute su sukladno postocima izvršenja a dinamika izvršenja je uvjetovana manjim proračunskim sredstvima. </w:t>
      </w:r>
    </w:p>
    <w:p w14:paraId="19E63C9E" w14:textId="77777777" w:rsidR="00184A8E" w:rsidRPr="00184A8E" w:rsidRDefault="00184A8E" w:rsidP="00184A8E">
      <w:pPr>
        <w:rPr>
          <w:rFonts w:ascii="Arial" w:eastAsia="Calibri" w:hAnsi="Arial" w:cs="Arial"/>
          <w:sz w:val="20"/>
          <w:szCs w:val="20"/>
        </w:rPr>
      </w:pPr>
      <w:r w:rsidRPr="00184A8E">
        <w:rPr>
          <w:rFonts w:ascii="Arial" w:eastAsia="Calibri" w:hAnsi="Arial" w:cs="Arial"/>
          <w:sz w:val="20"/>
          <w:szCs w:val="20"/>
        </w:rPr>
        <w:br w:type="page"/>
      </w:r>
    </w:p>
    <w:p w14:paraId="30B027DB" w14:textId="77777777" w:rsidR="00184A8E" w:rsidRPr="00184A8E" w:rsidRDefault="00184A8E" w:rsidP="00184A8E">
      <w:pPr>
        <w:spacing w:after="0" w:line="240" w:lineRule="auto"/>
        <w:jc w:val="both"/>
        <w:rPr>
          <w:rFonts w:ascii="Arial" w:eastAsia="Calibri" w:hAnsi="Arial" w:cs="Arial"/>
          <w:sz w:val="20"/>
          <w:szCs w:val="20"/>
        </w:rPr>
      </w:pPr>
    </w:p>
    <w:p w14:paraId="70F5C7B6"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568" w:name="_Toc435014684"/>
      <w:bookmarkStart w:id="569" w:name="_Toc200628527"/>
      <w:bookmarkStart w:id="570" w:name="_Toc232981459"/>
      <w:r w:rsidRPr="00184A8E">
        <w:rPr>
          <w:rFonts w:ascii="Times New Roman" w:eastAsia="Calibri" w:hAnsi="Times New Roman" w:cs="Times New Roman"/>
          <w:b/>
          <w:sz w:val="24"/>
          <w:szCs w:val="20"/>
          <w:lang w:eastAsia="en-US"/>
        </w:rPr>
        <w:t xml:space="preserve">Program (2094): </w:t>
      </w:r>
      <w:r w:rsidRPr="00184A8E">
        <w:rPr>
          <w:rFonts w:ascii="Times New Roman" w:eastAsia="Calibri" w:hAnsi="Times New Roman" w:cs="Times New Roman"/>
          <w:b/>
          <w:sz w:val="24"/>
          <w:szCs w:val="20"/>
          <w:u w:val="single"/>
          <w:lang w:eastAsia="en-US"/>
        </w:rPr>
        <w:t>Plan gradnje komunalnih vodnih građevina</w:t>
      </w:r>
      <w:r w:rsidRPr="00184A8E">
        <w:rPr>
          <w:rFonts w:ascii="Times New Roman" w:eastAsia="Calibri" w:hAnsi="Times New Roman" w:cs="Times New Roman"/>
          <w:b/>
          <w:sz w:val="24"/>
          <w:szCs w:val="20"/>
          <w:lang w:eastAsia="en-US"/>
        </w:rPr>
        <w:t>: Izgradnja objekata i uređaja, te nabava opreme za opskrbu pitkom vodom, te odvodnju i pročišćavanje otpadnih voda</w:t>
      </w:r>
      <w:bookmarkEnd w:id="568"/>
      <w:bookmarkEnd w:id="569"/>
      <w:bookmarkEnd w:id="570"/>
    </w:p>
    <w:p w14:paraId="1FFB7214" w14:textId="77777777" w:rsidR="00184A8E" w:rsidRPr="00184A8E" w:rsidRDefault="00184A8E" w:rsidP="00184A8E">
      <w:pPr>
        <w:spacing w:after="0" w:line="240" w:lineRule="auto"/>
        <w:rPr>
          <w:rFonts w:ascii="Times New Roman" w:eastAsia="Calibri" w:hAnsi="Times New Roman" w:cs="Arial"/>
          <w:sz w:val="20"/>
          <w:szCs w:val="2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9"/>
        <w:gridCol w:w="12979"/>
      </w:tblGrid>
      <w:tr w:rsidR="00184A8E" w:rsidRPr="00184A8E" w14:paraId="6E6468AB" w14:textId="77777777" w:rsidTr="00410A4B">
        <w:tc>
          <w:tcPr>
            <w:tcW w:w="1439" w:type="dxa"/>
          </w:tcPr>
          <w:p w14:paraId="0C541E8B"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979" w:type="dxa"/>
          </w:tcPr>
          <w:p w14:paraId="12247398"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Ovaj program se donosi na temelju Zakona o vodama i Zakona o komunalnom gospodarstvu.</w:t>
            </w:r>
            <w:r w:rsidRPr="00184A8E">
              <w:rPr>
                <w:rFonts w:ascii="Arial" w:eastAsia="Times New Roman" w:hAnsi="Arial" w:cs="Arial"/>
                <w:sz w:val="20"/>
                <w:szCs w:val="20"/>
                <w:lang w:eastAsia="en-US"/>
              </w:rPr>
              <w:t xml:space="preserve"> </w:t>
            </w:r>
          </w:p>
          <w:p w14:paraId="1B73516F"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Times New Roman" w:hAnsi="Arial" w:cs="Arial"/>
                <w:sz w:val="20"/>
                <w:szCs w:val="20"/>
                <w:lang w:eastAsia="en-US"/>
              </w:rPr>
              <w:t>Izgradnja objekata i uređaja vodnih građevina obveza je jedinica lokalnih samouprava koja proizlazi iz Zakona o vodama.</w:t>
            </w:r>
          </w:p>
          <w:p w14:paraId="3207C02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Programom se omogućava izgradnja kvalitetnih i efikasnih objekata javne vodoopskrbe i objekata javne odvodnje. Program obuhvaća i izradu projektne dokumentacije za spomenute objekte.</w:t>
            </w:r>
          </w:p>
        </w:tc>
      </w:tr>
      <w:tr w:rsidR="00184A8E" w:rsidRPr="00184A8E" w14:paraId="283320E4" w14:textId="77777777" w:rsidTr="00410A4B">
        <w:tc>
          <w:tcPr>
            <w:tcW w:w="1439" w:type="dxa"/>
          </w:tcPr>
          <w:p w14:paraId="1D105EA9"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ZAKONSKE I DRUGE PRAVNE OSNOVE PROGRAMA:</w:t>
            </w:r>
          </w:p>
        </w:tc>
        <w:tc>
          <w:tcPr>
            <w:tcW w:w="12979" w:type="dxa"/>
          </w:tcPr>
          <w:p w14:paraId="180C3AA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Times New Roman" w:hAnsi="Arial" w:cs="Arial"/>
                <w:sz w:val="20"/>
                <w:szCs w:val="20"/>
              </w:rPr>
              <w:t xml:space="preserve">Zakon o lokalnoj i područnoj (regionalnoj) samoupravi (NN 33/01, 60/01, 129/05, 109/07, 125/08, 36/09, 150/11, 144/12, 19/13, 137/15, 98/19, 144/20), </w:t>
            </w:r>
            <w:r w:rsidRPr="00184A8E">
              <w:rPr>
                <w:rFonts w:ascii="Arial" w:eastAsia="Calibri" w:hAnsi="Arial" w:cs="Arial"/>
                <w:sz w:val="20"/>
                <w:szCs w:val="20"/>
              </w:rPr>
              <w:t xml:space="preserve">Zakon o vodama (Narodne novine NN 66/19, 84/21, 47/23), </w:t>
            </w:r>
            <w:r w:rsidRPr="00184A8E">
              <w:rPr>
                <w:rFonts w:ascii="Arial" w:eastAsia="Times New Roman" w:hAnsi="Arial" w:cs="Arial"/>
                <w:sz w:val="20"/>
                <w:szCs w:val="20"/>
              </w:rPr>
              <w:t>Zakon o komunalnom gospodarstvu (NN 68/18, 110/18, 32/20, 145/24), Statut Općine i drugi opći akti.</w:t>
            </w:r>
          </w:p>
        </w:tc>
      </w:tr>
      <w:tr w:rsidR="00184A8E" w:rsidRPr="00184A8E" w14:paraId="643DB671" w14:textId="77777777" w:rsidTr="00410A4B">
        <w:tc>
          <w:tcPr>
            <w:tcW w:w="1439" w:type="dxa"/>
          </w:tcPr>
          <w:p w14:paraId="4C8186D8"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2979" w:type="dxa"/>
          </w:tcPr>
          <w:p w14:paraId="201EF944"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Podizanje kvalitete života i stanovanja. Stvaranje preduvjeta za kvalitetniju vodoopskrbu i odvodnju na području Općine.</w:t>
            </w:r>
          </w:p>
          <w:p w14:paraId="5F4D75A6"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Povećanje postotka pokrivenosti naselja mrežom vodoopskrbe i javne odvodnje.</w:t>
            </w:r>
          </w:p>
          <w:p w14:paraId="39A75A3D"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Priključenje na sustav javne odvodnje što većeg broja građevina koje ispunjavaju tehničko-tehnološke uvjete.</w:t>
            </w:r>
          </w:p>
        </w:tc>
      </w:tr>
      <w:tr w:rsidR="00184A8E" w:rsidRPr="00184A8E" w14:paraId="5A2C6C33" w14:textId="77777777" w:rsidTr="00410A4B">
        <w:tc>
          <w:tcPr>
            <w:tcW w:w="1439" w:type="dxa"/>
            <w:vAlign w:val="bottom"/>
          </w:tcPr>
          <w:p w14:paraId="2E8CF68D"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2979" w:type="dxa"/>
            <w:vAlign w:val="bottom"/>
          </w:tcPr>
          <w:p w14:paraId="70DB4F78"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 je izgradnja kvalitetnih i efikasnih sustava odvodnje i vodoopskrbe podru</w:t>
            </w:r>
            <w:r w:rsidRPr="00184A8E">
              <w:rPr>
                <w:rFonts w:ascii="Arial" w:eastAsia="TimesNewRoman" w:hAnsi="Arial" w:cs="Arial"/>
                <w:sz w:val="20"/>
                <w:szCs w:val="20"/>
                <w:lang w:eastAsia="en-US"/>
              </w:rPr>
              <w:t>č</w:t>
            </w:r>
            <w:r w:rsidRPr="00184A8E">
              <w:rPr>
                <w:rFonts w:ascii="Arial" w:eastAsia="Calibri" w:hAnsi="Arial" w:cs="Arial"/>
                <w:sz w:val="20"/>
                <w:szCs w:val="20"/>
                <w:lang w:eastAsia="en-US"/>
              </w:rPr>
              <w:t xml:space="preserve">ja Općine. </w:t>
            </w:r>
          </w:p>
          <w:p w14:paraId="28849D0A"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 -Trajno i kvalitetno obavljanje djelatnosti vodoopskrbe, odvodnje i zaštite voda po načelima održivog razvoja.</w:t>
            </w:r>
          </w:p>
          <w:p w14:paraId="02895896"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Ulaganja u vodne građevine u razdoblju 2020.-2025. godine planira se, u skladu s planovima izgradnje vodnih građevina Konavoskog komunalnog društva d.o.o. (društvo u vlasništvu Općine) i to nastavak radova na izgradnji kanalizacije te radovi na izgradnji vodoopskrbnog sustava. Pored proračuna Općine izgradnja vodnih građevina planira se kao i do sada financirati u većem dijelu sredstvima Hrvatskih voda odnosno odobrenim programima sufinanciranja putem EU. Pri tom je moguća i izmjena Programa radi usklađenja s odobrenim projektima. </w:t>
            </w:r>
          </w:p>
          <w:p w14:paraId="6A181EB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3A5E9950"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Osnovni POSEBNI CILJ gradnje vodnih građevina je nastavak radova na izgradnji cjelovitog sustava kanalizacije u cilju osiguravanja što većeg broja priključaka na javnu mrežu s jedne strane, te kvalitetnim pročišćavanjem otpadnih voda spriječiti zagađivanje okoliša i osigurati čisto more kao preduvjet turističkog razvoja Općine. U dijelu vodoopskrbe cilj je osigurati 100%-u pokrivenost područja Općine javnom vodovodnom mrežom te osigurati kvalitetu i stalnost vodoopskrbe tijekom cijele godine. Ovim Programom obuhvaćene su aktivnosti odnosno kapitalni projekti Konavoskog komunalnog društva d.o.o. Čilipi koji obuhvaćaju i izgradnju kanalizacijskih mreža te projektnu dokumentaciju istih. Svrha odvodnje i izgradnje odvodnih sustava je sakupljanje otpadnih i ostalih suvišnih voda, njihovo odvođenje izvan naseljenih mjesta, pročišćavanje do željenog stupnja čistoće i ispuštanje u vodoprijemnik koji će ih moći primiti. Izgradnja kanalizacijskog sustava ima ogroman utjecaj na podizanje kulturnog i higijenskog standarda čovjeka te stvaranje boljih životnih uvjeta.</w:t>
            </w:r>
          </w:p>
        </w:tc>
      </w:tr>
    </w:tbl>
    <w:p w14:paraId="753FCE12" w14:textId="77777777" w:rsidR="00184A8E" w:rsidRPr="00184A8E" w:rsidRDefault="00184A8E" w:rsidP="00184A8E">
      <w:pPr>
        <w:spacing w:after="0" w:line="240" w:lineRule="auto"/>
        <w:jc w:val="both"/>
        <w:rPr>
          <w:rFonts w:ascii="Arial" w:eastAsia="Calibri" w:hAnsi="Arial" w:cs="Arial"/>
          <w:sz w:val="20"/>
          <w:szCs w:val="20"/>
          <w:lang w:eastAsia="en-US"/>
        </w:rPr>
      </w:pPr>
    </w:p>
    <w:p w14:paraId="2BD177CF"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1DEE1000" w14:textId="77777777" w:rsidR="00184A8E" w:rsidRPr="00184A8E" w:rsidRDefault="00184A8E" w:rsidP="00184A8E">
      <w:pPr>
        <w:spacing w:after="0" w:line="240" w:lineRule="auto"/>
        <w:rPr>
          <w:rFonts w:ascii="Times New Roman" w:eastAsia="Calibri" w:hAnsi="Times New Roman" w:cs="Arial"/>
          <w:sz w:val="20"/>
          <w:szCs w:val="20"/>
        </w:rPr>
      </w:pPr>
    </w:p>
    <w:p w14:paraId="50E894A2" w14:textId="2EB0D62B"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059AF361" w14:textId="77777777" w:rsidR="00184A8E" w:rsidRPr="00184A8E" w:rsidRDefault="00184A8E" w:rsidP="00184A8E">
      <w:pPr>
        <w:spacing w:after="0" w:line="240" w:lineRule="auto"/>
        <w:jc w:val="both"/>
        <w:rPr>
          <w:rFonts w:ascii="Arial" w:eastAsia="Calibri" w:hAnsi="Arial" w:cs="Arial"/>
          <w:b/>
          <w:sz w:val="20"/>
          <w:szCs w:val="20"/>
        </w:rPr>
      </w:pPr>
    </w:p>
    <w:p w14:paraId="247792A0" w14:textId="77777777" w:rsidR="00184A8E" w:rsidRPr="00184A8E" w:rsidRDefault="00184A8E" w:rsidP="00184A8E">
      <w:pPr>
        <w:spacing w:after="0" w:line="240" w:lineRule="auto"/>
        <w:jc w:val="both"/>
        <w:rPr>
          <w:rFonts w:ascii="Arial" w:eastAsia="Calibri" w:hAnsi="Arial" w:cs="Arial"/>
          <w:b/>
          <w:sz w:val="20"/>
          <w:szCs w:val="20"/>
        </w:rPr>
      </w:pPr>
    </w:p>
    <w:p w14:paraId="1A40DB6B" w14:textId="77777777" w:rsidR="00184A8E" w:rsidRPr="00184A8E" w:rsidRDefault="00184A8E" w:rsidP="00184A8E">
      <w:pPr>
        <w:spacing w:after="0" w:line="240" w:lineRule="auto"/>
        <w:jc w:val="both"/>
        <w:rPr>
          <w:rFonts w:ascii="Arial" w:eastAsia="Calibri" w:hAnsi="Arial" w:cs="Arial"/>
          <w:b/>
          <w:sz w:val="20"/>
          <w:szCs w:val="20"/>
        </w:rPr>
      </w:pPr>
    </w:p>
    <w:p w14:paraId="1F911E87" w14:textId="77777777" w:rsidR="00184A8E" w:rsidRPr="00184A8E" w:rsidRDefault="00184A8E" w:rsidP="00184A8E">
      <w:pPr>
        <w:spacing w:after="0" w:line="240" w:lineRule="auto"/>
        <w:jc w:val="both"/>
        <w:rPr>
          <w:rFonts w:ascii="Arial" w:eastAsia="Calibri" w:hAnsi="Arial" w:cs="Arial"/>
          <w:b/>
          <w:sz w:val="20"/>
          <w:szCs w:val="20"/>
        </w:rPr>
      </w:pPr>
    </w:p>
    <w:p w14:paraId="1D4CE288" w14:textId="77777777" w:rsidR="00184A8E" w:rsidRPr="00184A8E" w:rsidRDefault="00184A8E" w:rsidP="00184A8E">
      <w:pPr>
        <w:spacing w:after="0" w:line="240" w:lineRule="auto"/>
        <w:jc w:val="both"/>
        <w:rPr>
          <w:rFonts w:ascii="Arial" w:eastAsia="Calibri" w:hAnsi="Arial" w:cs="Arial"/>
          <w:b/>
          <w:sz w:val="20"/>
          <w:szCs w:val="20"/>
        </w:rPr>
      </w:pPr>
    </w:p>
    <w:p w14:paraId="299B4BCE" w14:textId="3E137673" w:rsidR="00184A8E" w:rsidRPr="00184A8E" w:rsidRDefault="0040237C" w:rsidP="00184A8E">
      <w:pPr>
        <w:spacing w:after="0" w:line="240" w:lineRule="auto"/>
        <w:jc w:val="both"/>
        <w:rPr>
          <w:rFonts w:ascii="Arial" w:eastAsia="Calibri" w:hAnsi="Arial" w:cs="Arial"/>
          <w:b/>
          <w:color w:val="FF0000"/>
          <w:sz w:val="20"/>
          <w:szCs w:val="20"/>
        </w:rPr>
      </w:pPr>
      <w:r w:rsidRPr="0040237C">
        <w:rPr>
          <w:noProof/>
        </w:rPr>
        <w:lastRenderedPageBreak/>
        <w:drawing>
          <wp:inline distT="0" distB="0" distL="0" distR="0" wp14:anchorId="23F4FE2B" wp14:editId="57925564">
            <wp:extent cx="9251950" cy="4690110"/>
            <wp:effectExtent l="0" t="0" r="6350" b="0"/>
            <wp:docPr id="19013118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51950" cy="4690110"/>
                    </a:xfrm>
                    <a:prstGeom prst="rect">
                      <a:avLst/>
                    </a:prstGeom>
                    <a:noFill/>
                    <a:ln>
                      <a:noFill/>
                    </a:ln>
                  </pic:spPr>
                </pic:pic>
              </a:graphicData>
            </a:graphic>
          </wp:inline>
        </w:drawing>
      </w:r>
    </w:p>
    <w:p w14:paraId="45B7F3DB" w14:textId="77777777" w:rsidR="00184A8E" w:rsidRPr="00184A8E" w:rsidRDefault="00184A8E" w:rsidP="00184A8E">
      <w:pPr>
        <w:spacing w:after="0" w:line="240" w:lineRule="auto"/>
        <w:jc w:val="both"/>
        <w:rPr>
          <w:rFonts w:ascii="Arial" w:eastAsia="Calibri" w:hAnsi="Arial" w:cs="Arial"/>
          <w:b/>
          <w:sz w:val="20"/>
          <w:szCs w:val="20"/>
        </w:rPr>
      </w:pPr>
    </w:p>
    <w:p w14:paraId="3D12E01E" w14:textId="77777777" w:rsidR="00184A8E" w:rsidRPr="00184A8E" w:rsidRDefault="00184A8E" w:rsidP="00184A8E">
      <w:pPr>
        <w:spacing w:after="0" w:line="240" w:lineRule="auto"/>
        <w:jc w:val="both"/>
        <w:rPr>
          <w:rFonts w:ascii="Arial" w:eastAsia="Calibri" w:hAnsi="Arial" w:cs="Arial"/>
          <w:b/>
          <w:sz w:val="20"/>
          <w:szCs w:val="20"/>
        </w:rPr>
      </w:pPr>
    </w:p>
    <w:p w14:paraId="182CA449" w14:textId="337A18DE" w:rsidR="00184A8E" w:rsidRPr="00184A8E" w:rsidRDefault="0040237C" w:rsidP="00184A8E">
      <w:pPr>
        <w:spacing w:after="0" w:line="240" w:lineRule="auto"/>
        <w:jc w:val="both"/>
        <w:rPr>
          <w:rFonts w:ascii="Arial" w:eastAsia="Calibri" w:hAnsi="Arial" w:cs="Arial"/>
          <w:b/>
          <w:sz w:val="20"/>
          <w:szCs w:val="20"/>
        </w:rPr>
      </w:pPr>
      <w:r w:rsidRPr="0040237C">
        <w:rPr>
          <w:noProof/>
        </w:rPr>
        <w:lastRenderedPageBreak/>
        <w:drawing>
          <wp:inline distT="0" distB="0" distL="0" distR="0" wp14:anchorId="35BFE993" wp14:editId="2BA0DF89">
            <wp:extent cx="9251950" cy="2005330"/>
            <wp:effectExtent l="0" t="0" r="6350" b="0"/>
            <wp:docPr id="116479249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9251950" cy="2005330"/>
                    </a:xfrm>
                    <a:prstGeom prst="rect">
                      <a:avLst/>
                    </a:prstGeom>
                    <a:noFill/>
                    <a:ln>
                      <a:noFill/>
                    </a:ln>
                  </pic:spPr>
                </pic:pic>
              </a:graphicData>
            </a:graphic>
          </wp:inline>
        </w:drawing>
      </w:r>
    </w:p>
    <w:p w14:paraId="03A73FA4"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4241361E"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5AC5F7EF" w14:textId="77777777" w:rsidR="00184A8E" w:rsidRPr="00184A8E" w:rsidRDefault="00184A8E" w:rsidP="00184A8E">
      <w:pPr>
        <w:spacing w:after="0" w:line="240" w:lineRule="auto"/>
        <w:jc w:val="both"/>
        <w:rPr>
          <w:rFonts w:ascii="Arial" w:eastAsia="Calibri" w:hAnsi="Arial" w:cs="Arial"/>
          <w:sz w:val="20"/>
          <w:szCs w:val="20"/>
          <w:lang w:eastAsia="en-US"/>
        </w:rPr>
      </w:pPr>
    </w:p>
    <w:p w14:paraId="77C58042"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6ED66E84" w14:textId="6B7EEEDF"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Izvršenje je manje od očekivanih vrijednosti</w:t>
      </w:r>
      <w:r w:rsidR="0084743F">
        <w:rPr>
          <w:rFonts w:ascii="Arial" w:eastAsia="Calibri" w:hAnsi="Arial" w:cs="Arial"/>
          <w:sz w:val="20"/>
          <w:szCs w:val="20"/>
          <w:lang w:eastAsia="en-US"/>
        </w:rPr>
        <w:t xml:space="preserve"> jer nisu počela ulaganja u budućoj poduzetničkoj zoni.</w:t>
      </w:r>
    </w:p>
    <w:p w14:paraId="335AB89D" w14:textId="77777777" w:rsidR="00184A8E" w:rsidRPr="00184A8E" w:rsidRDefault="00184A8E" w:rsidP="00184A8E">
      <w:pPr>
        <w:spacing w:after="0" w:line="240" w:lineRule="auto"/>
        <w:jc w:val="both"/>
        <w:rPr>
          <w:rFonts w:ascii="Arial" w:eastAsia="Calibri" w:hAnsi="Arial" w:cs="Arial"/>
          <w:sz w:val="20"/>
          <w:szCs w:val="20"/>
          <w:lang w:eastAsia="en-US"/>
        </w:rPr>
      </w:pPr>
    </w:p>
    <w:p w14:paraId="3A691FD9"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Ovaj program se donosi na temelju Zakona o vodama i Zakona o komunalnom gospodarstvu, a odnosi se na gradnju objekata javne vodoopskrbe i javne odvodnje.</w:t>
      </w:r>
    </w:p>
    <w:p w14:paraId="6DF7A63D" w14:textId="77777777" w:rsidR="00184A8E" w:rsidRPr="00184A8E" w:rsidRDefault="00184A8E" w:rsidP="00184A8E">
      <w:pPr>
        <w:spacing w:after="0" w:line="240" w:lineRule="auto"/>
        <w:jc w:val="both"/>
        <w:rPr>
          <w:rFonts w:ascii="Arial" w:eastAsia="Calibri" w:hAnsi="Arial" w:cs="Arial"/>
          <w:sz w:val="20"/>
          <w:szCs w:val="20"/>
          <w:lang w:eastAsia="en-US"/>
        </w:rPr>
      </w:pPr>
    </w:p>
    <w:p w14:paraId="50B16D44"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Programom se omogućava izgradnja objekata javne vodoopskrbe i objekata javne odvodnje. Program obuhvaća i izradu projektne dokumentacije za spomenute objekte.</w:t>
      </w:r>
    </w:p>
    <w:p w14:paraId="41B9B454" w14:textId="77777777" w:rsidR="00184A8E" w:rsidRPr="00184A8E" w:rsidRDefault="00184A8E" w:rsidP="00184A8E">
      <w:pPr>
        <w:spacing w:after="0" w:line="240" w:lineRule="auto"/>
        <w:jc w:val="both"/>
        <w:rPr>
          <w:rFonts w:ascii="Arial" w:eastAsia="Calibri" w:hAnsi="Arial" w:cs="Arial"/>
          <w:sz w:val="20"/>
          <w:szCs w:val="20"/>
          <w:lang w:eastAsia="en-US"/>
        </w:rPr>
      </w:pPr>
    </w:p>
    <w:p w14:paraId="0C47C03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Plan gradnje komunalnih vodnih građevina donosi Skupština komunalnog društva (Konavosko komunalno društvo d.o.o., društvo u vlasništvu Općine), u skladu s odredbama Zakona o vodama.</w:t>
      </w:r>
    </w:p>
    <w:p w14:paraId="37A53B85"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58E932BC"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Planom gradnje komunalnih vodnih građevina utvrđuju se vrste komunalnih vodnih građevina koje se planiraju graditi, kao i izvori financiranja te gradnje. Pod komunalnim vodnim građevinama podrazumijevaju se građevine za javnu vodoopskrbu i građevine za javnu odvodnju i pročišćavanje otpadnih voda. Izvori sredstava za njegovo provođenje su: vodni doprinos, naknada za priključenje na komunalne vodne građevine, Državni proračun, sredstva EU fondova, Hrvatske vode, ostali izvori i sredstva proračuna jedinice lokalne samouprave, kao i sredstva javnog isporučitelja.</w:t>
      </w:r>
    </w:p>
    <w:p w14:paraId="054C32D6"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5746FBBB"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 xml:space="preserve">Plan gradnje komunalnih građevina provodi Općina Konavle i javni isporučitelj vodne usluge Konavosko komunalno društvo d.o.o. Čilipi, odnosno društvo u vlasništvu Općine osnovano u skladu s odredbama Zakona o vodama. Isporučitelj u provedbi Plana ima prava i obveze investitora. Prema odredbama Zakona o vodama komunalne vodne građevine su javna dobra u javnoj uporabi i u vlasništvu su javnoga isporučitelja vodne usluge. U 2014. je dano jamstvo javnom isporučitelju za zaduživanje kod poslovne banke za financiranje investicija gradnje objekata javne vodoopskrbe i javne odvodnje, te se tijekom 2015., a dijelom i u 2016. značajan dio investicija financirao iz kredita (vodosprema Vitaljina, vodosprema Đurinići s tlačnim cjevovodom, a zatim se kreditnim sredstvima nastavilo financiranje dijela druge faze kanalizacije Cavtat). U razdoblju 2017.-2025. značajan dio investicija se financira sredstvima Hrvatskih voda, te iz EU sredstava. </w:t>
      </w:r>
    </w:p>
    <w:p w14:paraId="5934136B"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3DD9CB95"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6763F98E"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0169A20B" w14:textId="77777777" w:rsidR="00184A8E" w:rsidRPr="00184A8E" w:rsidRDefault="00184A8E" w:rsidP="00184A8E">
      <w:pPr>
        <w:spacing w:after="0" w:line="240" w:lineRule="auto"/>
        <w:jc w:val="both"/>
        <w:rPr>
          <w:rFonts w:ascii="Arial" w:eastAsia="Calibri" w:hAnsi="Arial" w:cs="Arial"/>
          <w:sz w:val="20"/>
          <w:szCs w:val="20"/>
        </w:rPr>
      </w:pPr>
    </w:p>
    <w:p w14:paraId="4C7A3139"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Unutar programa izvode se slijedeće aktivnosti i projekti:</w:t>
      </w:r>
    </w:p>
    <w:p w14:paraId="06BF3E83" w14:textId="77777777" w:rsidR="00184A8E" w:rsidRPr="00184A8E" w:rsidRDefault="00184A8E" w:rsidP="00184A8E">
      <w:pPr>
        <w:spacing w:after="0" w:line="240" w:lineRule="auto"/>
        <w:jc w:val="both"/>
        <w:rPr>
          <w:rFonts w:ascii="Arial" w:eastAsia="Calibri" w:hAnsi="Arial" w:cs="Arial"/>
          <w:sz w:val="20"/>
          <w:szCs w:val="20"/>
        </w:rPr>
      </w:pPr>
    </w:p>
    <w:p w14:paraId="71CDEE9F" w14:textId="4409B26E"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b/>
          <w:sz w:val="20"/>
          <w:szCs w:val="20"/>
          <w:lang w:eastAsia="en-US"/>
        </w:rPr>
        <w:t>1. K209407: Rekonstrukcija postojeće vodoopskrbne mreže</w:t>
      </w:r>
      <w:r w:rsidRPr="00184A8E">
        <w:rPr>
          <w:rFonts w:ascii="Arial" w:eastAsia="Calibri" w:hAnsi="Arial" w:cs="Arial"/>
          <w:sz w:val="20"/>
          <w:szCs w:val="20"/>
          <w:lang w:eastAsia="en-US"/>
        </w:rPr>
        <w:t xml:space="preserve"> - u sklopu projekta su planirani rashodi u obliku kapitalnih pomoći društvu u vlasništvu Općine</w:t>
      </w:r>
      <w:r w:rsidRPr="00184A8E">
        <w:rPr>
          <w:rFonts w:ascii="Arial" w:eastAsia="Times New Roman" w:hAnsi="Arial" w:cs="Arial"/>
          <w:sz w:val="20"/>
          <w:szCs w:val="20"/>
          <w:lang w:eastAsia="en-US"/>
        </w:rPr>
        <w:t xml:space="preserve"> </w:t>
      </w:r>
      <w:r w:rsidR="0040237C">
        <w:rPr>
          <w:rFonts w:ascii="Arial" w:eastAsia="Times New Roman" w:hAnsi="Arial" w:cs="Arial"/>
          <w:sz w:val="20"/>
          <w:szCs w:val="20"/>
          <w:lang w:eastAsia="en-US"/>
        </w:rPr>
        <w:t xml:space="preserve">i drugi rashodi </w:t>
      </w:r>
      <w:r w:rsidRPr="00184A8E">
        <w:rPr>
          <w:rFonts w:ascii="Arial" w:eastAsia="Times New Roman" w:hAnsi="Arial" w:cs="Arial"/>
          <w:sz w:val="20"/>
          <w:szCs w:val="20"/>
          <w:lang w:eastAsia="en-US"/>
        </w:rPr>
        <w:t xml:space="preserve">u ukupnom iznosu </w:t>
      </w:r>
      <w:r w:rsidR="0040237C">
        <w:rPr>
          <w:rFonts w:ascii="Arial" w:eastAsia="Times New Roman" w:hAnsi="Arial" w:cs="Arial"/>
          <w:sz w:val="20"/>
          <w:szCs w:val="20"/>
          <w:lang w:eastAsia="en-US"/>
        </w:rPr>
        <w:t>20</w:t>
      </w:r>
      <w:r w:rsidRPr="00184A8E">
        <w:rPr>
          <w:rFonts w:ascii="Arial" w:eastAsia="Times New Roman" w:hAnsi="Arial" w:cs="Arial"/>
          <w:sz w:val="20"/>
          <w:szCs w:val="20"/>
          <w:lang w:eastAsia="en-US"/>
        </w:rPr>
        <w:t>.000 €. Ovi rashodi se odnose na prijenos za radove rekonstrukcije na području Općine koji se doznačuju na temelju zahtjeva, ugovora o izvođenju radova, situacija za izvedene radove i odobrenja načelnika. Planirani rashodi se odnose na prijenose za rekonstrukciju vodovodne mreže uz nogostup na području Obod – Zvekovica, te vodovoda u Dubravci</w:t>
      </w:r>
      <w:r w:rsidR="005C2E4C">
        <w:rPr>
          <w:rFonts w:ascii="Arial" w:eastAsia="Times New Roman" w:hAnsi="Arial" w:cs="Arial"/>
          <w:sz w:val="20"/>
          <w:szCs w:val="20"/>
          <w:lang w:eastAsia="en-US"/>
        </w:rPr>
        <w:t>, te razvoj drugih vodovodnih mreža</w:t>
      </w:r>
      <w:r w:rsidRPr="00184A8E">
        <w:rPr>
          <w:rFonts w:ascii="Arial" w:eastAsia="Times New Roman" w:hAnsi="Arial" w:cs="Arial"/>
          <w:sz w:val="20"/>
          <w:szCs w:val="20"/>
          <w:lang w:eastAsia="en-US"/>
        </w:rPr>
        <w:t>.</w:t>
      </w:r>
    </w:p>
    <w:p w14:paraId="6988FC96" w14:textId="77777777" w:rsidR="00184A8E" w:rsidRPr="00184A8E" w:rsidRDefault="00184A8E" w:rsidP="00184A8E">
      <w:pPr>
        <w:spacing w:after="0" w:line="240" w:lineRule="auto"/>
        <w:jc w:val="both"/>
        <w:rPr>
          <w:rFonts w:ascii="Arial" w:eastAsia="Calibri" w:hAnsi="Arial" w:cs="Arial"/>
          <w:sz w:val="20"/>
          <w:szCs w:val="20"/>
          <w:lang w:eastAsia="en-US"/>
        </w:rPr>
      </w:pPr>
    </w:p>
    <w:p w14:paraId="474EF4B6" w14:textId="2926B4CA" w:rsidR="00184A8E" w:rsidRPr="005C2E4C" w:rsidRDefault="00184A8E" w:rsidP="005C2E4C">
      <w:pPr>
        <w:spacing w:after="0" w:line="240" w:lineRule="auto"/>
        <w:ind w:left="567"/>
        <w:jc w:val="both"/>
        <w:rPr>
          <w:rFonts w:ascii="Arial" w:eastAsia="Calibri" w:hAnsi="Arial" w:cs="Arial"/>
          <w:sz w:val="18"/>
          <w:szCs w:val="18"/>
          <w:lang w:eastAsia="en-US"/>
        </w:rPr>
      </w:pPr>
      <w:r w:rsidRPr="005C2E4C">
        <w:rPr>
          <w:rFonts w:ascii="Arial" w:eastAsia="Calibri" w:hAnsi="Arial" w:cs="Arial"/>
          <w:sz w:val="18"/>
          <w:szCs w:val="18"/>
          <w:lang w:eastAsia="en-US"/>
        </w:rPr>
        <w:t xml:space="preserve">U 2024. godini su izvršeni rashodi u iznosu 67.424,05 € </w:t>
      </w:r>
      <w:r w:rsidR="005C2E4C">
        <w:rPr>
          <w:rFonts w:ascii="Arial" w:eastAsia="Calibri" w:hAnsi="Arial" w:cs="Arial"/>
          <w:sz w:val="18"/>
          <w:szCs w:val="18"/>
          <w:lang w:eastAsia="en-US"/>
        </w:rPr>
        <w:t>koji su se odnosili na:</w:t>
      </w:r>
    </w:p>
    <w:p w14:paraId="3B0ECB60" w14:textId="77777777" w:rsidR="00184A8E" w:rsidRPr="005C2E4C" w:rsidRDefault="00184A8E" w:rsidP="005C2E4C">
      <w:pPr>
        <w:numPr>
          <w:ilvl w:val="0"/>
          <w:numId w:val="3"/>
        </w:numPr>
        <w:spacing w:after="0" w:line="240" w:lineRule="auto"/>
        <w:ind w:left="1134" w:hanging="567"/>
        <w:jc w:val="both"/>
        <w:rPr>
          <w:rFonts w:ascii="Arial" w:eastAsia="Calibri" w:hAnsi="Arial" w:cs="Arial"/>
          <w:sz w:val="18"/>
          <w:szCs w:val="18"/>
          <w:lang w:eastAsia="en-US"/>
        </w:rPr>
      </w:pPr>
      <w:r w:rsidRPr="005C2E4C">
        <w:rPr>
          <w:rFonts w:ascii="Arial" w:eastAsia="Calibri" w:hAnsi="Arial" w:cs="Arial"/>
          <w:sz w:val="18"/>
          <w:szCs w:val="18"/>
          <w:lang w:eastAsia="en-US"/>
        </w:rPr>
        <w:t>postavljanje (usporedo s radovima na održavanju ceste) kanalizacijske mreže duljine 197 metara na Zvekovici u iznosu 32.652,86 € (ugovor iz siječnja 2024.),</w:t>
      </w:r>
    </w:p>
    <w:p w14:paraId="419CF2DF" w14:textId="77777777" w:rsidR="00184A8E" w:rsidRPr="005C2E4C" w:rsidRDefault="00184A8E" w:rsidP="005C2E4C">
      <w:pPr>
        <w:numPr>
          <w:ilvl w:val="0"/>
          <w:numId w:val="3"/>
        </w:numPr>
        <w:spacing w:after="0" w:line="240" w:lineRule="auto"/>
        <w:ind w:left="1134" w:hanging="567"/>
        <w:jc w:val="both"/>
        <w:rPr>
          <w:rFonts w:ascii="Arial" w:eastAsia="Calibri" w:hAnsi="Arial" w:cs="Arial"/>
          <w:sz w:val="18"/>
          <w:szCs w:val="18"/>
          <w:lang w:eastAsia="en-US"/>
        </w:rPr>
      </w:pPr>
      <w:r w:rsidRPr="005C2E4C">
        <w:rPr>
          <w:rFonts w:ascii="Arial" w:eastAsia="Calibri" w:hAnsi="Arial" w:cs="Arial"/>
          <w:sz w:val="18"/>
          <w:szCs w:val="18"/>
          <w:lang w:eastAsia="en-US"/>
        </w:rPr>
        <w:t>obnova vodovodne mreže (usporedo s radovima na održavanju ceste) na relaciji Počete – Vataje duljine 775 m u iznosu 33.333,06 €, (ugovor iz listopada 2024.),</w:t>
      </w:r>
    </w:p>
    <w:p w14:paraId="3D1E3C6A" w14:textId="77777777" w:rsidR="00184A8E" w:rsidRPr="00184A8E" w:rsidRDefault="00184A8E" w:rsidP="005C2E4C">
      <w:pPr>
        <w:numPr>
          <w:ilvl w:val="0"/>
          <w:numId w:val="3"/>
        </w:numPr>
        <w:spacing w:after="0" w:line="240" w:lineRule="auto"/>
        <w:ind w:left="1134" w:hanging="567"/>
        <w:jc w:val="both"/>
        <w:rPr>
          <w:rFonts w:ascii="Arial" w:eastAsia="Calibri" w:hAnsi="Arial" w:cs="Arial"/>
          <w:sz w:val="20"/>
          <w:szCs w:val="20"/>
          <w:lang w:eastAsia="en-US"/>
        </w:rPr>
      </w:pPr>
      <w:r w:rsidRPr="005C2E4C">
        <w:rPr>
          <w:rFonts w:ascii="Arial" w:eastAsia="Calibri" w:hAnsi="Arial" w:cs="Arial"/>
          <w:sz w:val="18"/>
          <w:szCs w:val="18"/>
          <w:lang w:eastAsia="en-US"/>
        </w:rPr>
        <w:t>nadzor nad radovima postavljanja mreže na Zvekovici u iznosu 1.438,13 €.</w:t>
      </w:r>
    </w:p>
    <w:p w14:paraId="4C007B75" w14:textId="77777777" w:rsidR="00184A8E" w:rsidRDefault="00184A8E" w:rsidP="00184A8E">
      <w:pPr>
        <w:spacing w:after="0" w:line="240" w:lineRule="auto"/>
        <w:jc w:val="both"/>
        <w:rPr>
          <w:rFonts w:ascii="Arial" w:eastAsia="Calibri" w:hAnsi="Arial" w:cs="Arial"/>
          <w:sz w:val="20"/>
          <w:szCs w:val="20"/>
          <w:lang w:eastAsia="en-US"/>
        </w:rPr>
      </w:pPr>
    </w:p>
    <w:p w14:paraId="31BD2A0B" w14:textId="48F3C5CE" w:rsidR="005C2E4C" w:rsidRDefault="005C2E4C" w:rsidP="00184A8E">
      <w:pPr>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U 2025. godini su izvršeni rashodi u iznosu 3.780 € i odnose se na prijenos društvu u vlasništvu za izradu elaborata zaštite okoliša u svrhu provedbe postupka ocjene utjecaja na okoliš projekta „Vodoopskrbni sustav Kuna Konavoska“.</w:t>
      </w:r>
    </w:p>
    <w:p w14:paraId="1E6EE779" w14:textId="77777777" w:rsidR="005C2E4C" w:rsidRPr="00184A8E" w:rsidRDefault="005C2E4C" w:rsidP="00184A8E">
      <w:pPr>
        <w:spacing w:after="0" w:line="240" w:lineRule="auto"/>
        <w:jc w:val="both"/>
        <w:rPr>
          <w:rFonts w:ascii="Arial" w:eastAsia="Calibri"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3256"/>
        <w:gridCol w:w="2409"/>
        <w:gridCol w:w="958"/>
        <w:gridCol w:w="1134"/>
        <w:gridCol w:w="1232"/>
        <w:gridCol w:w="1276"/>
        <w:gridCol w:w="1242"/>
        <w:gridCol w:w="1242"/>
        <w:gridCol w:w="1242"/>
      </w:tblGrid>
      <w:tr w:rsidR="00184A8E" w:rsidRPr="00184A8E" w14:paraId="54E19405" w14:textId="77777777" w:rsidTr="00410A4B">
        <w:trPr>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98D263F"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Pokazatelj rezultata</w:t>
            </w:r>
          </w:p>
        </w:tc>
        <w:tc>
          <w:tcPr>
            <w:tcW w:w="240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7012A8F"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2CA8A77"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F2EBAE3"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EC4977E" w14:textId="7FF9146E"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Polazna vrijednost 202</w:t>
            </w:r>
            <w:r w:rsidR="005C2E4C">
              <w:rPr>
                <w:rFonts w:ascii="Arial" w:eastAsia="Calibri" w:hAnsi="Arial" w:cs="Arial"/>
                <w:sz w:val="18"/>
                <w:szCs w:val="18"/>
              </w:rPr>
              <w:t>4</w:t>
            </w:r>
            <w:r w:rsidRPr="00184A8E">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6F48E86" w14:textId="4E475D3E"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5C2E4C">
              <w:rPr>
                <w:rFonts w:ascii="Arial" w:eastAsia="Calibri" w:hAnsi="Arial" w:cs="Arial"/>
                <w:sz w:val="18"/>
                <w:szCs w:val="18"/>
              </w:rPr>
              <w:t>5</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F0C64AD" w14:textId="4448B94B"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Izvršeno 202</w:t>
            </w:r>
            <w:r w:rsidR="005C2E4C">
              <w:rPr>
                <w:rFonts w:ascii="Arial" w:eastAsia="Calibri" w:hAnsi="Arial" w:cs="Arial"/>
                <w:sz w:val="18"/>
                <w:szCs w:val="18"/>
              </w:rPr>
              <w:t>5</w:t>
            </w:r>
            <w:r w:rsidRPr="00184A8E">
              <w:rPr>
                <w:rFonts w:ascii="Arial" w:eastAsia="Calibri" w:hAnsi="Arial" w:cs="Arial"/>
                <w:sz w:val="18"/>
                <w:szCs w:val="18"/>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97F0AF3" w14:textId="5B08583D"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5C2E4C">
              <w:rPr>
                <w:rFonts w:ascii="Arial" w:eastAsia="Calibri" w:hAnsi="Arial" w:cs="Arial"/>
                <w:sz w:val="18"/>
                <w:szCs w:val="18"/>
              </w:rPr>
              <w:t>6</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9D3FEC4" w14:textId="04E65A44"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5C2E4C">
              <w:rPr>
                <w:rFonts w:ascii="Arial" w:eastAsia="Calibri" w:hAnsi="Arial" w:cs="Arial"/>
                <w:sz w:val="18"/>
                <w:szCs w:val="18"/>
              </w:rPr>
              <w:t>7</w:t>
            </w:r>
            <w:r w:rsidRPr="00184A8E">
              <w:rPr>
                <w:rFonts w:ascii="Arial" w:eastAsia="Calibri" w:hAnsi="Arial" w:cs="Arial"/>
                <w:sz w:val="18"/>
                <w:szCs w:val="18"/>
              </w:rPr>
              <w:t>.</w:t>
            </w:r>
          </w:p>
        </w:tc>
      </w:tr>
      <w:tr w:rsidR="00184A8E" w:rsidRPr="00184A8E" w14:paraId="2F30DD34" w14:textId="77777777" w:rsidTr="00410A4B">
        <w:trPr>
          <w:trHeight w:val="273"/>
          <w:jc w:val="center"/>
        </w:trPr>
        <w:tc>
          <w:tcPr>
            <w:tcW w:w="3256" w:type="dxa"/>
            <w:tcBorders>
              <w:top w:val="single" w:sz="4" w:space="0" w:color="auto"/>
              <w:left w:val="single" w:sz="4" w:space="0" w:color="auto"/>
              <w:bottom w:val="single" w:sz="4" w:space="0" w:color="auto"/>
              <w:right w:val="single" w:sz="4" w:space="0" w:color="auto"/>
            </w:tcBorders>
            <w:vAlign w:val="center"/>
          </w:tcPr>
          <w:p w14:paraId="6CF87687" w14:textId="77777777" w:rsidR="00184A8E" w:rsidRPr="00184A8E" w:rsidRDefault="00184A8E" w:rsidP="00184A8E">
            <w:pPr>
              <w:rPr>
                <w:rFonts w:ascii="Arial" w:hAnsi="Arial" w:cs="Arial"/>
                <w:sz w:val="18"/>
                <w:szCs w:val="18"/>
              </w:rPr>
            </w:pPr>
            <w:r w:rsidRPr="00184A8E">
              <w:rPr>
                <w:rFonts w:ascii="Arial" w:eastAsia="Calibri" w:hAnsi="Arial" w:cs="Arial"/>
                <w:iCs/>
                <w:sz w:val="18"/>
                <w:szCs w:val="18"/>
              </w:rPr>
              <w:t xml:space="preserve">Utrošena sredstva za rekonstrukciju  </w:t>
            </w:r>
            <w:r w:rsidRPr="00184A8E">
              <w:rPr>
                <w:rFonts w:ascii="Arial" w:hAnsi="Arial" w:cs="Arial"/>
                <w:sz w:val="18"/>
                <w:szCs w:val="18"/>
              </w:rPr>
              <w:t>cjevovoda za vodoopskrbu i odvodnju Obod – Zvekovica</w:t>
            </w:r>
          </w:p>
        </w:tc>
        <w:tc>
          <w:tcPr>
            <w:tcW w:w="2409" w:type="dxa"/>
            <w:tcBorders>
              <w:top w:val="single" w:sz="4" w:space="0" w:color="auto"/>
              <w:left w:val="single" w:sz="4" w:space="0" w:color="auto"/>
              <w:bottom w:val="single" w:sz="4" w:space="0" w:color="auto"/>
              <w:right w:val="single" w:sz="4" w:space="0" w:color="auto"/>
            </w:tcBorders>
            <w:vAlign w:val="center"/>
          </w:tcPr>
          <w:p w14:paraId="12E81CC5" w14:textId="77777777" w:rsidR="00184A8E" w:rsidRPr="00184A8E" w:rsidRDefault="00184A8E" w:rsidP="00184A8E">
            <w:pPr>
              <w:autoSpaceDE w:val="0"/>
              <w:autoSpaceDN w:val="0"/>
              <w:adjustRightInd w:val="0"/>
              <w:rPr>
                <w:rFonts w:ascii="Arial" w:hAnsi="Arial" w:cs="Arial"/>
                <w:sz w:val="18"/>
                <w:szCs w:val="18"/>
              </w:rPr>
            </w:pPr>
            <w:r w:rsidRPr="00184A8E">
              <w:rPr>
                <w:rFonts w:ascii="Arial" w:eastAsia="Calibri" w:hAnsi="Arial" w:cs="Arial"/>
                <w:sz w:val="18"/>
                <w:szCs w:val="18"/>
              </w:rPr>
              <w:t xml:space="preserve">Udio utrošenih planiranih sredstava za </w:t>
            </w:r>
            <w:r w:rsidRPr="00184A8E">
              <w:rPr>
                <w:rFonts w:ascii="Arial" w:eastAsia="Calibri" w:hAnsi="Arial" w:cs="Arial"/>
                <w:iCs/>
                <w:sz w:val="18"/>
                <w:szCs w:val="18"/>
              </w:rPr>
              <w:t xml:space="preserve">rekonstrukciju </w:t>
            </w:r>
          </w:p>
        </w:tc>
        <w:tc>
          <w:tcPr>
            <w:tcW w:w="958" w:type="dxa"/>
            <w:tcBorders>
              <w:top w:val="single" w:sz="4" w:space="0" w:color="auto"/>
              <w:left w:val="single" w:sz="4" w:space="0" w:color="auto"/>
              <w:bottom w:val="single" w:sz="4" w:space="0" w:color="auto"/>
              <w:right w:val="single" w:sz="4" w:space="0" w:color="auto"/>
            </w:tcBorders>
            <w:vAlign w:val="center"/>
          </w:tcPr>
          <w:p w14:paraId="6DA471A1"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8A812F1"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42EB7F4B" w14:textId="6B8AA35D" w:rsidR="00184A8E" w:rsidRPr="00184A8E" w:rsidRDefault="005C2E4C" w:rsidP="00184A8E">
            <w:pPr>
              <w:jc w:val="center"/>
              <w:rPr>
                <w:rFonts w:ascii="Arial" w:hAnsi="Arial" w:cs="Arial"/>
                <w:sz w:val="18"/>
                <w:szCs w:val="18"/>
              </w:rPr>
            </w:pPr>
            <w:r>
              <w:rPr>
                <w:rFonts w:ascii="Arial" w:eastAsia="Calibri" w:hAnsi="Arial" w:cs="Arial"/>
                <w:sz w:val="18"/>
                <w:szCs w:val="18"/>
              </w:rPr>
              <w:t>0</w:t>
            </w:r>
            <w:r w:rsidR="00184A8E" w:rsidRPr="00184A8E">
              <w:rPr>
                <w:rFonts w:ascii="Arial" w:eastAsia="Calibri" w:hAnsi="Arial" w:cs="Arial"/>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5F7F2E9F"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2D2C6374" w14:textId="65606D57" w:rsidR="00184A8E" w:rsidRPr="00184A8E" w:rsidRDefault="005C2E4C" w:rsidP="00184A8E">
            <w:pPr>
              <w:jc w:val="center"/>
              <w:rPr>
                <w:rFonts w:ascii="Arial" w:eastAsia="Calibri" w:hAnsi="Arial" w:cs="Arial"/>
                <w:sz w:val="18"/>
                <w:szCs w:val="18"/>
              </w:rPr>
            </w:pPr>
            <w:r>
              <w:rPr>
                <w:rFonts w:ascii="Arial" w:eastAsia="Calibri" w:hAnsi="Arial" w:cs="Arial"/>
                <w:sz w:val="18"/>
                <w:szCs w:val="18"/>
              </w:rPr>
              <w:t>0</w:t>
            </w:r>
            <w:r w:rsidR="00184A8E"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1AF01CE1"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8909F03"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r>
    </w:tbl>
    <w:p w14:paraId="00A2E6B1" w14:textId="77777777" w:rsidR="00184A8E" w:rsidRPr="00184A8E" w:rsidRDefault="00184A8E" w:rsidP="00184A8E">
      <w:pPr>
        <w:spacing w:after="0" w:line="240" w:lineRule="auto"/>
        <w:jc w:val="both"/>
        <w:rPr>
          <w:rFonts w:ascii="Arial" w:eastAsia="Calibri" w:hAnsi="Arial" w:cs="Arial"/>
          <w:sz w:val="20"/>
          <w:szCs w:val="20"/>
        </w:rPr>
      </w:pPr>
    </w:p>
    <w:p w14:paraId="0478BCC4" w14:textId="2662D614" w:rsid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2. K209409: Druga ulaganja u vodoopskrbni sustav - izrade idejnih projekata, geodetskih podloga i tehničke dokumentacije, elektroenergetske suglasnosti, istraživanja i slično</w:t>
      </w:r>
      <w:r w:rsidRPr="00184A8E">
        <w:rPr>
          <w:rFonts w:ascii="Arial" w:eastAsia="Calibri" w:hAnsi="Arial" w:cs="Arial"/>
          <w:sz w:val="20"/>
          <w:szCs w:val="20"/>
          <w:lang w:eastAsia="en-US"/>
        </w:rPr>
        <w:t xml:space="preserve"> - u sklopu projekta su planirani rashodi </w:t>
      </w:r>
      <w:r w:rsidR="00E4103E">
        <w:rPr>
          <w:rFonts w:ascii="Arial" w:eastAsia="Calibri" w:hAnsi="Arial" w:cs="Arial"/>
          <w:sz w:val="20"/>
          <w:szCs w:val="20"/>
          <w:lang w:eastAsia="en-US"/>
        </w:rPr>
        <w:t xml:space="preserve">u iznosu 72.250 € </w:t>
      </w:r>
      <w:r w:rsidRPr="00184A8E">
        <w:rPr>
          <w:rFonts w:ascii="Arial" w:eastAsia="Calibri" w:hAnsi="Arial" w:cs="Arial"/>
          <w:sz w:val="20"/>
          <w:szCs w:val="20"/>
          <w:lang w:eastAsia="en-US"/>
        </w:rPr>
        <w:t>( kapitalne pomoći društvu u vlasništvu Općine u visini izvršenih rashoda za ulaganja u imovinu).</w:t>
      </w:r>
    </w:p>
    <w:p w14:paraId="0DD4CD2D" w14:textId="77777777" w:rsidR="00E4103E" w:rsidRPr="00184A8E" w:rsidRDefault="00E4103E" w:rsidP="00184A8E">
      <w:pPr>
        <w:autoSpaceDE w:val="0"/>
        <w:autoSpaceDN w:val="0"/>
        <w:adjustRightInd w:val="0"/>
        <w:spacing w:after="0" w:line="240" w:lineRule="auto"/>
        <w:jc w:val="both"/>
        <w:rPr>
          <w:rFonts w:ascii="Arial" w:eastAsia="Times New Roman" w:hAnsi="Arial" w:cs="Arial"/>
          <w:sz w:val="20"/>
          <w:szCs w:val="20"/>
          <w:lang w:eastAsia="en-US"/>
        </w:rPr>
      </w:pPr>
    </w:p>
    <w:p w14:paraId="26EE61FB" w14:textId="006F6FEF" w:rsidR="00184A8E" w:rsidRDefault="00E4103E" w:rsidP="00184A8E">
      <w:pPr>
        <w:spacing w:after="0" w:line="240" w:lineRule="auto"/>
        <w:jc w:val="both"/>
        <w:rPr>
          <w:rFonts w:ascii="Arial" w:eastAsia="Calibri" w:hAnsi="Arial" w:cs="Arial"/>
          <w:bCs/>
          <w:sz w:val="20"/>
          <w:szCs w:val="20"/>
        </w:rPr>
      </w:pPr>
      <w:r w:rsidRPr="00E4103E">
        <w:rPr>
          <w:rFonts w:ascii="Arial" w:eastAsia="Calibri" w:hAnsi="Arial" w:cs="Arial"/>
          <w:bCs/>
          <w:sz w:val="20"/>
          <w:szCs w:val="20"/>
        </w:rPr>
        <w:t xml:space="preserve">Izvršeni rashodi se </w:t>
      </w:r>
      <w:r>
        <w:rPr>
          <w:rFonts w:ascii="Arial" w:eastAsia="Calibri" w:hAnsi="Arial" w:cs="Arial"/>
          <w:bCs/>
          <w:sz w:val="20"/>
          <w:szCs w:val="20"/>
        </w:rPr>
        <w:t>odnose na prijenos sredstava društvu u vlasništvu za usluge projektiranja novog vodoopskrbnog sustava Kuna Konavoska u iznosu 7.770 € prema zaključenom ugovoru o kapitalnoj pomoći iz srpnja 2025. godine, zahtjeva komunalnog društva i računa projektanta.</w:t>
      </w:r>
    </w:p>
    <w:p w14:paraId="412343F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22753EDB" w14:textId="4CF5C8D7" w:rsidR="00184A8E" w:rsidRPr="00184A8E" w:rsidRDefault="0001653A" w:rsidP="00184A8E">
      <w:pPr>
        <w:autoSpaceDE w:val="0"/>
        <w:autoSpaceDN w:val="0"/>
        <w:adjustRightInd w:val="0"/>
        <w:spacing w:after="0" w:line="240" w:lineRule="auto"/>
        <w:jc w:val="both"/>
        <w:rPr>
          <w:rFonts w:ascii="Arial" w:eastAsia="Times New Roman" w:hAnsi="Arial" w:cs="Arial"/>
          <w:sz w:val="20"/>
          <w:szCs w:val="20"/>
          <w:lang w:eastAsia="en-US"/>
        </w:rPr>
      </w:pPr>
      <w:r>
        <w:rPr>
          <w:rFonts w:ascii="Arial" w:eastAsia="Calibri" w:hAnsi="Arial" w:cs="Arial"/>
          <w:b/>
          <w:sz w:val="20"/>
          <w:szCs w:val="20"/>
          <w:lang w:eastAsia="en-US"/>
        </w:rPr>
        <w:t>3</w:t>
      </w:r>
      <w:r w:rsidR="00184A8E" w:rsidRPr="00184A8E">
        <w:rPr>
          <w:rFonts w:ascii="Arial" w:eastAsia="Calibri" w:hAnsi="Arial" w:cs="Arial"/>
          <w:b/>
          <w:sz w:val="20"/>
          <w:szCs w:val="20"/>
          <w:lang w:eastAsia="en-US"/>
        </w:rPr>
        <w:t>. K209414: Druga ulaganja u kanalizacijski sustav - izrade idejnih rješenja i projekata, elektroenergetske suglasnosti i drugo</w:t>
      </w:r>
      <w:r w:rsidR="00184A8E" w:rsidRPr="00184A8E">
        <w:rPr>
          <w:rFonts w:ascii="Arial" w:eastAsia="Calibri" w:hAnsi="Arial" w:cs="Arial"/>
          <w:sz w:val="20"/>
          <w:szCs w:val="20"/>
          <w:lang w:eastAsia="en-US"/>
        </w:rPr>
        <w:t xml:space="preserve"> - u sklopu projekta nisu planirani rashodi (kapitalne pomoći društvu u vlasništvu Općine u visini izvršenih rashoda za izvedene radove).</w:t>
      </w:r>
    </w:p>
    <w:p w14:paraId="06F9136E" w14:textId="77777777" w:rsidR="00184A8E" w:rsidRPr="00184A8E" w:rsidRDefault="00184A8E" w:rsidP="00184A8E">
      <w:pPr>
        <w:spacing w:after="0" w:line="240" w:lineRule="auto"/>
        <w:jc w:val="both"/>
        <w:rPr>
          <w:rFonts w:ascii="Arial" w:eastAsia="Calibri" w:hAnsi="Arial" w:cs="Arial"/>
          <w:sz w:val="20"/>
          <w:szCs w:val="20"/>
          <w:lang w:eastAsia="en-US"/>
        </w:rPr>
      </w:pPr>
    </w:p>
    <w:p w14:paraId="1C6B1B76" w14:textId="43FA931F" w:rsidR="00184A8E" w:rsidRPr="00184A8E" w:rsidRDefault="0001653A" w:rsidP="00184A8E">
      <w:pPr>
        <w:autoSpaceDE w:val="0"/>
        <w:autoSpaceDN w:val="0"/>
        <w:adjustRightInd w:val="0"/>
        <w:spacing w:after="0" w:line="240" w:lineRule="auto"/>
        <w:jc w:val="both"/>
        <w:rPr>
          <w:rFonts w:ascii="Arial" w:eastAsia="Times New Roman" w:hAnsi="Arial" w:cs="Arial"/>
          <w:sz w:val="20"/>
          <w:szCs w:val="20"/>
          <w:lang w:eastAsia="en-US"/>
        </w:rPr>
      </w:pPr>
      <w:r>
        <w:rPr>
          <w:rFonts w:ascii="Arial" w:eastAsia="Calibri" w:hAnsi="Arial" w:cs="Arial"/>
          <w:b/>
          <w:sz w:val="20"/>
          <w:szCs w:val="20"/>
          <w:lang w:eastAsia="en-US"/>
        </w:rPr>
        <w:t>4</w:t>
      </w:r>
      <w:r w:rsidR="00184A8E" w:rsidRPr="00184A8E">
        <w:rPr>
          <w:rFonts w:ascii="Arial" w:eastAsia="Calibri" w:hAnsi="Arial" w:cs="Arial"/>
          <w:b/>
          <w:sz w:val="20"/>
          <w:szCs w:val="20"/>
          <w:lang w:eastAsia="en-US"/>
        </w:rPr>
        <w:t>. K209416: Rekonstrukcija Crpne stanice Prahivac</w:t>
      </w:r>
      <w:r w:rsidR="00184A8E" w:rsidRPr="00184A8E">
        <w:rPr>
          <w:rFonts w:ascii="Arial" w:eastAsia="Calibri" w:hAnsi="Arial" w:cs="Arial"/>
          <w:sz w:val="20"/>
          <w:szCs w:val="20"/>
          <w:lang w:eastAsia="en-US"/>
        </w:rPr>
        <w:t xml:space="preserve"> - u sklopu projekta nisu planirani rashodi (kapitalne pomoći društvu u vlasništvu Općine u visini izvršenih rashoda za izvedene radove). Ovi radovi bi se izvodili po stjecanju proračunskih mogućnosti. </w:t>
      </w:r>
    </w:p>
    <w:p w14:paraId="54092FB2" w14:textId="77777777" w:rsidR="00184A8E" w:rsidRPr="00184A8E" w:rsidRDefault="00184A8E" w:rsidP="00184A8E">
      <w:pPr>
        <w:spacing w:after="0" w:line="240" w:lineRule="auto"/>
        <w:jc w:val="both"/>
        <w:rPr>
          <w:rFonts w:ascii="Arial" w:eastAsia="Calibri" w:hAnsi="Arial" w:cs="Arial"/>
          <w:sz w:val="20"/>
          <w:szCs w:val="20"/>
          <w:lang w:eastAsia="en-US"/>
        </w:rPr>
      </w:pPr>
    </w:p>
    <w:p w14:paraId="7F77917B"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Sveukupno planirana investicija u razdoblju 2023-2025. je bila 2.000.000 kn / 265.445,62 €/ (izmjena elektro i strojarskih instalacija), a koja bi se financirala sredstvima Hrvatskih voda, vlastitim prihodima javnog isporučitelja (Konavosko komunalno društvo d.o.o. Čilipi) i sredstvima proračuna Općine. U planiranom proračunu 2023-2025. su iskazani rashodi u visini 20% planirane investicije koji bi se podmirili sredstvima Proračuna Općine.</w:t>
      </w:r>
    </w:p>
    <w:p w14:paraId="29152960"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2263"/>
        <w:gridCol w:w="3402"/>
        <w:gridCol w:w="958"/>
        <w:gridCol w:w="1134"/>
        <w:gridCol w:w="1232"/>
        <w:gridCol w:w="1276"/>
        <w:gridCol w:w="1242"/>
        <w:gridCol w:w="1242"/>
        <w:gridCol w:w="1242"/>
      </w:tblGrid>
      <w:tr w:rsidR="00184A8E" w:rsidRPr="00184A8E" w14:paraId="6F415B03"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BE10DEF"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3E05D4B"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167ED6D"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B0C26B9"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C363C8E" w14:textId="77777777" w:rsidR="00184A8E" w:rsidRPr="00184A8E" w:rsidRDefault="00184A8E" w:rsidP="00184A8E">
            <w:pPr>
              <w:jc w:val="center"/>
              <w:rPr>
                <w:rFonts w:ascii="Arial" w:eastAsia="Calibri" w:hAnsi="Arial" w:cs="Arial"/>
              </w:rPr>
            </w:pPr>
            <w:r w:rsidRPr="00184A8E">
              <w:rPr>
                <w:rFonts w:ascii="Arial" w:eastAsia="Calibri" w:hAnsi="Arial" w:cs="Arial"/>
              </w:rPr>
              <w:t>Polazna vrijednost 2023.</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7BE0583" w14:textId="77777777" w:rsidR="00184A8E" w:rsidRPr="00184A8E" w:rsidRDefault="00184A8E" w:rsidP="00184A8E">
            <w:pPr>
              <w:jc w:val="center"/>
              <w:rPr>
                <w:rFonts w:ascii="Arial" w:eastAsia="Calibri" w:hAnsi="Arial" w:cs="Arial"/>
              </w:rPr>
            </w:pPr>
            <w:r w:rsidRPr="00184A8E">
              <w:rPr>
                <w:rFonts w:ascii="Arial" w:eastAsia="Calibri" w:hAnsi="Arial" w:cs="Arial"/>
              </w:rPr>
              <w:t>Ciljana vrijednost 2024.</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E666CE" w14:textId="77777777" w:rsidR="00184A8E" w:rsidRPr="00184A8E" w:rsidRDefault="00184A8E" w:rsidP="00184A8E">
            <w:pPr>
              <w:jc w:val="center"/>
              <w:rPr>
                <w:rFonts w:ascii="Arial" w:eastAsia="Calibri" w:hAnsi="Arial" w:cs="Arial"/>
              </w:rPr>
            </w:pPr>
            <w:r w:rsidRPr="00184A8E">
              <w:rPr>
                <w:rFonts w:ascii="Arial" w:eastAsia="Calibri" w:hAnsi="Arial" w:cs="Arial"/>
              </w:rPr>
              <w:t xml:space="preserve">Izvršeno 2024.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502BC2F" w14:textId="77777777" w:rsidR="00184A8E" w:rsidRPr="00184A8E" w:rsidRDefault="00184A8E" w:rsidP="00184A8E">
            <w:pPr>
              <w:jc w:val="center"/>
              <w:rPr>
                <w:rFonts w:ascii="Arial" w:eastAsia="Calibri" w:hAnsi="Arial" w:cs="Arial"/>
              </w:rPr>
            </w:pPr>
            <w:r w:rsidRPr="00184A8E">
              <w:rPr>
                <w:rFonts w:ascii="Arial" w:eastAsia="Calibri" w:hAnsi="Arial" w:cs="Arial"/>
              </w:rPr>
              <w:t>Ciljana vrijednost 2025.</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4FA3EA0" w14:textId="77777777" w:rsidR="00184A8E" w:rsidRPr="00184A8E" w:rsidRDefault="00184A8E" w:rsidP="00184A8E">
            <w:pPr>
              <w:jc w:val="center"/>
              <w:rPr>
                <w:rFonts w:ascii="Arial" w:eastAsia="Calibri" w:hAnsi="Arial" w:cs="Arial"/>
              </w:rPr>
            </w:pPr>
            <w:r w:rsidRPr="00184A8E">
              <w:rPr>
                <w:rFonts w:ascii="Arial" w:eastAsia="Calibri" w:hAnsi="Arial" w:cs="Arial"/>
              </w:rPr>
              <w:t>Ciljana vrijednost 2026.</w:t>
            </w:r>
          </w:p>
        </w:tc>
      </w:tr>
      <w:tr w:rsidR="00184A8E" w:rsidRPr="00184A8E" w14:paraId="76549E81" w14:textId="77777777" w:rsidTr="00410A4B">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394D6898" w14:textId="77777777" w:rsidR="00184A8E" w:rsidRPr="00184A8E" w:rsidRDefault="00184A8E" w:rsidP="00184A8E">
            <w:pPr>
              <w:rPr>
                <w:rFonts w:ascii="Arial" w:hAnsi="Arial" w:cs="Arial"/>
                <w:sz w:val="16"/>
                <w:szCs w:val="16"/>
              </w:rPr>
            </w:pPr>
            <w:r w:rsidRPr="00184A8E">
              <w:rPr>
                <w:rFonts w:ascii="Arial" w:eastAsia="Calibri" w:hAnsi="Arial" w:cs="Arial"/>
                <w:iCs/>
                <w:sz w:val="16"/>
                <w:szCs w:val="16"/>
              </w:rPr>
              <w:t xml:space="preserve">Utrošena sredstva za rekonstrukciju crpne stanice Prahivac </w:t>
            </w:r>
          </w:p>
        </w:tc>
        <w:tc>
          <w:tcPr>
            <w:tcW w:w="3402" w:type="dxa"/>
            <w:tcBorders>
              <w:top w:val="single" w:sz="4" w:space="0" w:color="auto"/>
              <w:left w:val="single" w:sz="4" w:space="0" w:color="auto"/>
              <w:bottom w:val="single" w:sz="4" w:space="0" w:color="auto"/>
              <w:right w:val="single" w:sz="4" w:space="0" w:color="auto"/>
            </w:tcBorders>
            <w:vAlign w:val="center"/>
          </w:tcPr>
          <w:p w14:paraId="69B25546" w14:textId="77777777" w:rsidR="00184A8E" w:rsidRPr="00184A8E" w:rsidRDefault="00184A8E" w:rsidP="00184A8E">
            <w:pPr>
              <w:autoSpaceDE w:val="0"/>
              <w:autoSpaceDN w:val="0"/>
              <w:adjustRightInd w:val="0"/>
              <w:rPr>
                <w:rFonts w:ascii="Arial" w:hAnsi="Arial" w:cs="Arial"/>
                <w:sz w:val="16"/>
                <w:szCs w:val="16"/>
              </w:rPr>
            </w:pPr>
            <w:r w:rsidRPr="00184A8E">
              <w:rPr>
                <w:rFonts w:ascii="Arial" w:eastAsia="Calibri" w:hAnsi="Arial" w:cs="Arial"/>
                <w:sz w:val="16"/>
                <w:szCs w:val="16"/>
              </w:rPr>
              <w:t>Udio utrošenih planiranih sredstava kao pomoć za postavljanje rekonstrukciju crpne stanice</w:t>
            </w:r>
          </w:p>
        </w:tc>
        <w:tc>
          <w:tcPr>
            <w:tcW w:w="958" w:type="dxa"/>
            <w:tcBorders>
              <w:top w:val="single" w:sz="4" w:space="0" w:color="auto"/>
              <w:left w:val="single" w:sz="4" w:space="0" w:color="auto"/>
              <w:bottom w:val="single" w:sz="4" w:space="0" w:color="auto"/>
              <w:right w:val="single" w:sz="4" w:space="0" w:color="auto"/>
            </w:tcBorders>
            <w:vAlign w:val="center"/>
          </w:tcPr>
          <w:p w14:paraId="797E5843" w14:textId="77777777" w:rsidR="00184A8E" w:rsidRPr="00184A8E" w:rsidRDefault="00184A8E" w:rsidP="00184A8E">
            <w:pPr>
              <w:jc w:val="center"/>
              <w:rPr>
                <w:rFonts w:ascii="Arial" w:hAnsi="Arial" w:cs="Arial"/>
                <w:sz w:val="16"/>
                <w:szCs w:val="16"/>
              </w:rPr>
            </w:pPr>
            <w:r w:rsidRPr="00184A8E">
              <w:rPr>
                <w:rFonts w:ascii="Arial" w:eastAsia="Calibri" w:hAnsi="Arial" w:cs="Arial"/>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14:paraId="7F0CE983" w14:textId="77777777" w:rsidR="00184A8E" w:rsidRPr="00184A8E" w:rsidRDefault="00184A8E" w:rsidP="00184A8E">
            <w:pPr>
              <w:jc w:val="center"/>
              <w:rPr>
                <w:rFonts w:ascii="Arial" w:hAnsi="Arial" w:cs="Arial"/>
                <w:sz w:val="14"/>
                <w:szCs w:val="14"/>
              </w:rPr>
            </w:pPr>
            <w:r w:rsidRPr="00184A8E">
              <w:rPr>
                <w:rFonts w:ascii="Arial" w:hAnsi="Arial" w:cs="Arial"/>
                <w:sz w:val="14"/>
                <w:szCs w:val="14"/>
              </w:rPr>
              <w:t>Konavosko komunalno društvo d.o.o. i Općina</w:t>
            </w:r>
          </w:p>
        </w:tc>
        <w:tc>
          <w:tcPr>
            <w:tcW w:w="1232" w:type="dxa"/>
            <w:tcBorders>
              <w:top w:val="single" w:sz="4" w:space="0" w:color="auto"/>
              <w:left w:val="single" w:sz="4" w:space="0" w:color="auto"/>
              <w:bottom w:val="single" w:sz="4" w:space="0" w:color="auto"/>
              <w:right w:val="single" w:sz="4" w:space="0" w:color="auto"/>
            </w:tcBorders>
            <w:vAlign w:val="center"/>
          </w:tcPr>
          <w:p w14:paraId="2D674B70" w14:textId="77777777" w:rsidR="00184A8E" w:rsidRPr="00184A8E" w:rsidRDefault="00184A8E" w:rsidP="00184A8E">
            <w:pPr>
              <w:jc w:val="center"/>
              <w:rPr>
                <w:rFonts w:ascii="Arial" w:hAnsi="Arial" w:cs="Arial"/>
                <w:sz w:val="16"/>
                <w:szCs w:val="16"/>
              </w:rPr>
            </w:pPr>
            <w:r w:rsidRPr="00184A8E">
              <w:rPr>
                <w:rFonts w:ascii="Arial" w:eastAsia="Calibri" w:hAnsi="Arial" w:cs="Arial"/>
                <w:sz w:val="16"/>
                <w:szCs w:val="16"/>
              </w:rPr>
              <w:t>0%</w:t>
            </w:r>
          </w:p>
        </w:tc>
        <w:tc>
          <w:tcPr>
            <w:tcW w:w="1276" w:type="dxa"/>
            <w:tcBorders>
              <w:top w:val="single" w:sz="4" w:space="0" w:color="auto"/>
              <w:left w:val="single" w:sz="4" w:space="0" w:color="auto"/>
              <w:bottom w:val="single" w:sz="4" w:space="0" w:color="auto"/>
              <w:right w:val="single" w:sz="4" w:space="0" w:color="auto"/>
            </w:tcBorders>
            <w:vAlign w:val="center"/>
          </w:tcPr>
          <w:p w14:paraId="6EC5E379" w14:textId="77777777" w:rsidR="00184A8E" w:rsidRPr="00184A8E" w:rsidRDefault="00184A8E" w:rsidP="00184A8E">
            <w:pPr>
              <w:jc w:val="center"/>
              <w:rPr>
                <w:rFonts w:ascii="Arial" w:hAnsi="Arial" w:cs="Arial"/>
                <w:sz w:val="16"/>
                <w:szCs w:val="16"/>
              </w:rPr>
            </w:pPr>
            <w:r w:rsidRPr="00184A8E">
              <w:rPr>
                <w:rFonts w:ascii="Arial" w:eastAsia="Calibri" w:hAnsi="Arial" w:cs="Arial"/>
                <w:sz w:val="16"/>
                <w:szCs w:val="16"/>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38B4865A" w14:textId="77777777" w:rsidR="00184A8E" w:rsidRPr="00184A8E" w:rsidRDefault="00184A8E" w:rsidP="00184A8E">
            <w:pPr>
              <w:jc w:val="center"/>
              <w:rPr>
                <w:rFonts w:ascii="Arial" w:eastAsia="Calibri" w:hAnsi="Arial" w:cs="Arial"/>
                <w:sz w:val="16"/>
                <w:szCs w:val="16"/>
              </w:rPr>
            </w:pPr>
            <w:r w:rsidRPr="00184A8E">
              <w:rPr>
                <w:rFonts w:ascii="Arial" w:eastAsia="Calibri" w:hAnsi="Arial" w:cs="Arial"/>
                <w:sz w:val="16"/>
                <w:szCs w:val="16"/>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00930C08" w14:textId="77777777" w:rsidR="00184A8E" w:rsidRPr="00184A8E" w:rsidRDefault="00184A8E" w:rsidP="00184A8E">
            <w:pPr>
              <w:jc w:val="center"/>
              <w:rPr>
                <w:rFonts w:ascii="Arial" w:hAnsi="Arial" w:cs="Arial"/>
                <w:sz w:val="16"/>
                <w:szCs w:val="16"/>
              </w:rPr>
            </w:pPr>
            <w:r w:rsidRPr="00184A8E">
              <w:rPr>
                <w:rFonts w:ascii="Arial" w:eastAsia="Calibri" w:hAnsi="Arial" w:cs="Arial"/>
                <w:sz w:val="16"/>
                <w:szCs w:val="16"/>
              </w:rPr>
              <w:t>50%</w:t>
            </w:r>
          </w:p>
        </w:tc>
        <w:tc>
          <w:tcPr>
            <w:tcW w:w="1242" w:type="dxa"/>
            <w:tcBorders>
              <w:top w:val="single" w:sz="4" w:space="0" w:color="000000"/>
              <w:left w:val="single" w:sz="4" w:space="0" w:color="000000"/>
              <w:bottom w:val="single" w:sz="4" w:space="0" w:color="000000"/>
              <w:right w:val="single" w:sz="4" w:space="0" w:color="000000"/>
            </w:tcBorders>
            <w:vAlign w:val="center"/>
          </w:tcPr>
          <w:p w14:paraId="24414083" w14:textId="77777777" w:rsidR="00184A8E" w:rsidRPr="00184A8E" w:rsidRDefault="00184A8E" w:rsidP="00184A8E">
            <w:pPr>
              <w:jc w:val="center"/>
              <w:rPr>
                <w:rFonts w:ascii="Arial" w:hAnsi="Arial" w:cs="Arial"/>
                <w:sz w:val="16"/>
                <w:szCs w:val="16"/>
              </w:rPr>
            </w:pPr>
            <w:r w:rsidRPr="00184A8E">
              <w:rPr>
                <w:rFonts w:ascii="Arial" w:hAnsi="Arial" w:cs="Arial"/>
                <w:sz w:val="16"/>
                <w:szCs w:val="16"/>
              </w:rPr>
              <w:t>100%</w:t>
            </w:r>
          </w:p>
        </w:tc>
      </w:tr>
    </w:tbl>
    <w:p w14:paraId="2751BA0E" w14:textId="77777777" w:rsidR="00184A8E" w:rsidRPr="00184A8E" w:rsidRDefault="00184A8E" w:rsidP="00184A8E">
      <w:pPr>
        <w:spacing w:after="0" w:line="240" w:lineRule="auto"/>
        <w:jc w:val="both"/>
        <w:rPr>
          <w:rFonts w:ascii="Arial" w:eastAsia="Calibri" w:hAnsi="Arial" w:cs="Arial"/>
          <w:sz w:val="20"/>
          <w:szCs w:val="20"/>
          <w:lang w:eastAsia="en-US"/>
        </w:rPr>
      </w:pPr>
    </w:p>
    <w:p w14:paraId="055B7EA3" w14:textId="14FD3FF2" w:rsidR="00184A8E" w:rsidRPr="00184A8E" w:rsidRDefault="0001653A" w:rsidP="00184A8E">
      <w:pPr>
        <w:spacing w:after="0" w:line="240" w:lineRule="auto"/>
        <w:jc w:val="both"/>
        <w:rPr>
          <w:rFonts w:ascii="Arial" w:eastAsia="Calibri" w:hAnsi="Arial" w:cs="Arial"/>
          <w:b/>
          <w:sz w:val="20"/>
          <w:szCs w:val="20"/>
          <w:lang w:eastAsia="en-US"/>
        </w:rPr>
      </w:pPr>
      <w:r>
        <w:rPr>
          <w:rFonts w:ascii="Arial" w:eastAsia="Calibri" w:hAnsi="Arial" w:cs="Arial"/>
          <w:b/>
          <w:sz w:val="20"/>
          <w:szCs w:val="20"/>
          <w:lang w:eastAsia="en-US"/>
        </w:rPr>
        <w:t>5</w:t>
      </w:r>
      <w:r w:rsidR="00184A8E" w:rsidRPr="00184A8E">
        <w:rPr>
          <w:rFonts w:ascii="Arial" w:eastAsia="Calibri" w:hAnsi="Arial" w:cs="Arial"/>
          <w:b/>
          <w:sz w:val="20"/>
          <w:szCs w:val="20"/>
          <w:lang w:eastAsia="en-US"/>
        </w:rPr>
        <w:t>. T209417: Sanacija cjevovoda Plat – Debeli brijeg</w:t>
      </w:r>
      <w:r w:rsidR="00184A8E" w:rsidRPr="00184A8E">
        <w:rPr>
          <w:rFonts w:ascii="Arial" w:eastAsia="Calibri" w:hAnsi="Arial" w:cs="Arial"/>
          <w:sz w:val="20"/>
          <w:szCs w:val="20"/>
          <w:lang w:eastAsia="en-US"/>
        </w:rPr>
        <w:t xml:space="preserve"> - u sklopu projekta nisu planirani rashodi (kapitalne pomoći društvu u vlasništvu Općine u visini izvršenih rashoda za izvedene radove). Ovi radovi bi se izvodili po stjecanju proračunskih mogućnosti.</w:t>
      </w:r>
    </w:p>
    <w:p w14:paraId="2215D4A3" w14:textId="77777777" w:rsidR="00184A8E" w:rsidRPr="00184A8E" w:rsidRDefault="00184A8E" w:rsidP="00184A8E">
      <w:pPr>
        <w:spacing w:after="0" w:line="240" w:lineRule="auto"/>
        <w:jc w:val="both"/>
        <w:rPr>
          <w:rFonts w:ascii="Arial" w:eastAsia="Calibri" w:hAnsi="Arial" w:cs="Arial"/>
          <w:sz w:val="20"/>
          <w:szCs w:val="20"/>
          <w:lang w:eastAsia="en-US"/>
        </w:rPr>
      </w:pPr>
    </w:p>
    <w:p w14:paraId="3A8B2524"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Sveukupno planirana investicija u razdoblju 2023-2025. je bila 1.500.000 kn / 199.084,21 €/ (popravak cjevovoda), a koja bi se financirala sredstvima Hrvatskih voda, vlastitim prihodima javnog isporučitelja (Konavosko komunalno društvo d.o.o. Čilipi) i sredstvima proračuna Općine. Ovi radovi bi se izvodili po stjecanju proračunskih mogućnosti, a u proračunskom razdoblju 2023.-2025. nisu planirana proračunska sredstva.</w:t>
      </w:r>
    </w:p>
    <w:p w14:paraId="664CCC0D" w14:textId="3D7740EE" w:rsidR="00184A8E" w:rsidRPr="00184A8E" w:rsidRDefault="00184A8E" w:rsidP="00184A8E">
      <w:pPr>
        <w:spacing w:after="0" w:line="240" w:lineRule="auto"/>
        <w:jc w:val="both"/>
        <w:rPr>
          <w:rFonts w:ascii="Arial" w:eastAsia="Calibri" w:hAnsi="Arial" w:cs="Arial"/>
          <w:sz w:val="20"/>
          <w:szCs w:val="20"/>
        </w:rPr>
      </w:pPr>
    </w:p>
    <w:p w14:paraId="586B92FD" w14:textId="195EC8D6" w:rsidR="00184A8E" w:rsidRPr="00184A8E" w:rsidRDefault="0001653A" w:rsidP="00184A8E">
      <w:pPr>
        <w:autoSpaceDE w:val="0"/>
        <w:autoSpaceDN w:val="0"/>
        <w:adjustRightInd w:val="0"/>
        <w:spacing w:after="0" w:line="240" w:lineRule="auto"/>
        <w:jc w:val="both"/>
        <w:rPr>
          <w:rFonts w:ascii="Arial" w:eastAsia="Times New Roman" w:hAnsi="Arial" w:cs="Arial"/>
          <w:sz w:val="20"/>
          <w:szCs w:val="20"/>
          <w:lang w:eastAsia="en-US"/>
        </w:rPr>
      </w:pPr>
      <w:r>
        <w:rPr>
          <w:rFonts w:ascii="Arial" w:eastAsia="Calibri" w:hAnsi="Arial" w:cs="Arial"/>
          <w:b/>
          <w:sz w:val="20"/>
          <w:szCs w:val="20"/>
        </w:rPr>
        <w:t>6</w:t>
      </w:r>
      <w:r w:rsidR="00184A8E" w:rsidRPr="00184A8E">
        <w:rPr>
          <w:rFonts w:ascii="Arial" w:eastAsia="Calibri" w:hAnsi="Arial" w:cs="Arial"/>
          <w:b/>
          <w:sz w:val="20"/>
          <w:szCs w:val="20"/>
        </w:rPr>
        <w:t xml:space="preserve">. T209424: Kanalizacijski sustav Zvekovica </w:t>
      </w:r>
      <w:r w:rsidR="00184A8E" w:rsidRPr="00184A8E">
        <w:rPr>
          <w:rFonts w:ascii="Arial" w:eastAsia="Calibri" w:hAnsi="Arial" w:cs="Arial"/>
          <w:sz w:val="20"/>
          <w:szCs w:val="20"/>
        </w:rPr>
        <w:t xml:space="preserve">- u sklopu projekta nisu planirani rashodi. U narednom razdoblju planirano je provesti projekt </w:t>
      </w:r>
      <w:r w:rsidR="00184A8E" w:rsidRPr="00184A8E">
        <w:rPr>
          <w:rFonts w:ascii="Arial" w:eastAsia="Calibri" w:hAnsi="Arial" w:cs="Arial"/>
          <w:sz w:val="20"/>
          <w:szCs w:val="20"/>
          <w:lang w:eastAsia="en-US"/>
        </w:rPr>
        <w:t>odvodnje otpadnih voda (radovi bi se odvijali uz izgradnju nogostupa na potezu Obod – Zvekovica).</w:t>
      </w:r>
    </w:p>
    <w:p w14:paraId="31F2D5D8"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4280" w:type="dxa"/>
        <w:jc w:val="center"/>
        <w:tblLayout w:type="fixed"/>
        <w:tblLook w:val="04A0" w:firstRow="1" w:lastRow="0" w:firstColumn="1" w:lastColumn="0" w:noHBand="0" w:noVBand="1"/>
      </w:tblPr>
      <w:tblGrid>
        <w:gridCol w:w="2552"/>
        <w:gridCol w:w="3402"/>
        <w:gridCol w:w="958"/>
        <w:gridCol w:w="1134"/>
        <w:gridCol w:w="1232"/>
        <w:gridCol w:w="1276"/>
        <w:gridCol w:w="1242"/>
        <w:gridCol w:w="1242"/>
        <w:gridCol w:w="1242"/>
      </w:tblGrid>
      <w:tr w:rsidR="00184A8E" w:rsidRPr="00184A8E" w14:paraId="15379587" w14:textId="77777777" w:rsidTr="00410A4B">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C028274"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75384D1"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A1B163F"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C31644C"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DE1A9BB" w14:textId="77777777" w:rsidR="00184A8E" w:rsidRPr="00184A8E" w:rsidRDefault="00184A8E" w:rsidP="00184A8E">
            <w:pPr>
              <w:jc w:val="center"/>
              <w:rPr>
                <w:rFonts w:ascii="Arial" w:eastAsia="Calibri" w:hAnsi="Arial" w:cs="Arial"/>
              </w:rPr>
            </w:pPr>
            <w:r w:rsidRPr="00184A8E">
              <w:rPr>
                <w:rFonts w:ascii="Arial" w:eastAsia="Calibri" w:hAnsi="Arial" w:cs="Arial"/>
              </w:rPr>
              <w:t>Polazna vrijednost 2023.</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53910A0" w14:textId="77777777" w:rsidR="00184A8E" w:rsidRPr="00184A8E" w:rsidRDefault="00184A8E" w:rsidP="00184A8E">
            <w:pPr>
              <w:jc w:val="center"/>
              <w:rPr>
                <w:rFonts w:ascii="Arial" w:eastAsia="Calibri" w:hAnsi="Arial" w:cs="Arial"/>
              </w:rPr>
            </w:pPr>
            <w:r w:rsidRPr="00184A8E">
              <w:rPr>
                <w:rFonts w:ascii="Arial" w:eastAsia="Calibri" w:hAnsi="Arial" w:cs="Arial"/>
              </w:rPr>
              <w:t>Ciljana vrijednost 2024.</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93F8B9D" w14:textId="77777777" w:rsidR="00184A8E" w:rsidRPr="00184A8E" w:rsidRDefault="00184A8E" w:rsidP="00184A8E">
            <w:pPr>
              <w:jc w:val="center"/>
              <w:rPr>
                <w:rFonts w:ascii="Arial" w:eastAsia="Calibri" w:hAnsi="Arial" w:cs="Arial"/>
              </w:rPr>
            </w:pPr>
            <w:r w:rsidRPr="00184A8E">
              <w:rPr>
                <w:rFonts w:ascii="Arial" w:eastAsia="Calibri" w:hAnsi="Arial" w:cs="Arial"/>
              </w:rPr>
              <w:t xml:space="preserve">Izvršeno 2024.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5DBD66F" w14:textId="77777777" w:rsidR="00184A8E" w:rsidRPr="00184A8E" w:rsidRDefault="00184A8E" w:rsidP="00184A8E">
            <w:pPr>
              <w:jc w:val="center"/>
              <w:rPr>
                <w:rFonts w:ascii="Arial" w:eastAsia="Calibri" w:hAnsi="Arial" w:cs="Arial"/>
              </w:rPr>
            </w:pPr>
            <w:r w:rsidRPr="00184A8E">
              <w:rPr>
                <w:rFonts w:ascii="Arial" w:eastAsia="Calibri" w:hAnsi="Arial" w:cs="Arial"/>
              </w:rPr>
              <w:t>Ciljana vrijednost 2024.</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DBE3657" w14:textId="77777777" w:rsidR="00184A8E" w:rsidRPr="00184A8E" w:rsidRDefault="00184A8E" w:rsidP="00184A8E">
            <w:pPr>
              <w:jc w:val="center"/>
              <w:rPr>
                <w:rFonts w:ascii="Arial" w:eastAsia="Calibri" w:hAnsi="Arial" w:cs="Arial"/>
              </w:rPr>
            </w:pPr>
            <w:r w:rsidRPr="00184A8E">
              <w:rPr>
                <w:rFonts w:ascii="Arial" w:eastAsia="Calibri" w:hAnsi="Arial" w:cs="Arial"/>
              </w:rPr>
              <w:t>Ciljana vrijednost 2025.</w:t>
            </w:r>
          </w:p>
        </w:tc>
      </w:tr>
      <w:tr w:rsidR="00184A8E" w:rsidRPr="00184A8E" w14:paraId="27041685" w14:textId="77777777" w:rsidTr="00410A4B">
        <w:trPr>
          <w:trHeight w:val="273"/>
          <w:jc w:val="center"/>
        </w:trPr>
        <w:tc>
          <w:tcPr>
            <w:tcW w:w="2552" w:type="dxa"/>
            <w:tcBorders>
              <w:top w:val="single" w:sz="4" w:space="0" w:color="auto"/>
              <w:left w:val="single" w:sz="4" w:space="0" w:color="auto"/>
              <w:bottom w:val="single" w:sz="4" w:space="0" w:color="auto"/>
              <w:right w:val="single" w:sz="4" w:space="0" w:color="auto"/>
            </w:tcBorders>
            <w:vAlign w:val="center"/>
          </w:tcPr>
          <w:p w14:paraId="1070216E" w14:textId="77777777" w:rsidR="00184A8E" w:rsidRPr="00184A8E" w:rsidRDefault="00184A8E" w:rsidP="00184A8E">
            <w:pPr>
              <w:rPr>
                <w:rFonts w:ascii="Arial" w:hAnsi="Arial" w:cs="Arial"/>
                <w:sz w:val="18"/>
                <w:szCs w:val="18"/>
              </w:rPr>
            </w:pPr>
            <w:r w:rsidRPr="00184A8E">
              <w:rPr>
                <w:rFonts w:ascii="Arial" w:eastAsia="Calibri" w:hAnsi="Arial" w:cs="Arial"/>
                <w:iCs/>
                <w:sz w:val="18"/>
                <w:szCs w:val="18"/>
              </w:rPr>
              <w:t xml:space="preserve">Utrošena sredstva za postavljanje kanalizacijskog sustava </w:t>
            </w:r>
          </w:p>
        </w:tc>
        <w:tc>
          <w:tcPr>
            <w:tcW w:w="3402" w:type="dxa"/>
            <w:tcBorders>
              <w:top w:val="single" w:sz="4" w:space="0" w:color="auto"/>
              <w:left w:val="single" w:sz="4" w:space="0" w:color="auto"/>
              <w:bottom w:val="single" w:sz="4" w:space="0" w:color="auto"/>
              <w:right w:val="single" w:sz="4" w:space="0" w:color="auto"/>
            </w:tcBorders>
            <w:vAlign w:val="center"/>
          </w:tcPr>
          <w:p w14:paraId="38BF3415" w14:textId="77777777" w:rsidR="00184A8E" w:rsidRPr="00184A8E" w:rsidRDefault="00184A8E" w:rsidP="00184A8E">
            <w:pPr>
              <w:autoSpaceDE w:val="0"/>
              <w:autoSpaceDN w:val="0"/>
              <w:adjustRightInd w:val="0"/>
              <w:rPr>
                <w:rFonts w:ascii="Arial" w:hAnsi="Arial" w:cs="Arial"/>
                <w:sz w:val="18"/>
                <w:szCs w:val="18"/>
              </w:rPr>
            </w:pPr>
            <w:r w:rsidRPr="00184A8E">
              <w:rPr>
                <w:rFonts w:ascii="Arial" w:eastAsia="Calibri" w:hAnsi="Arial" w:cs="Arial"/>
                <w:sz w:val="18"/>
                <w:szCs w:val="18"/>
              </w:rPr>
              <w:t>Udio utrošenih planiranih sredstava kao pomoć za postavljanje kanalizacijskih cijevi na dijelu Obod - Zvekovica</w:t>
            </w:r>
          </w:p>
        </w:tc>
        <w:tc>
          <w:tcPr>
            <w:tcW w:w="958" w:type="dxa"/>
            <w:tcBorders>
              <w:top w:val="single" w:sz="4" w:space="0" w:color="auto"/>
              <w:left w:val="single" w:sz="4" w:space="0" w:color="auto"/>
              <w:bottom w:val="single" w:sz="4" w:space="0" w:color="auto"/>
              <w:right w:val="single" w:sz="4" w:space="0" w:color="auto"/>
            </w:tcBorders>
            <w:vAlign w:val="center"/>
          </w:tcPr>
          <w:p w14:paraId="1A3DC92C"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F5B51A9"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7D588E77"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495E75C6"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47D90139"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6B10CECE"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7EDAB2A3"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r>
    </w:tbl>
    <w:p w14:paraId="62E0B72B" w14:textId="77777777" w:rsidR="00184A8E" w:rsidRPr="00184A8E" w:rsidRDefault="00184A8E" w:rsidP="00184A8E">
      <w:pPr>
        <w:spacing w:after="0" w:line="240" w:lineRule="auto"/>
        <w:jc w:val="both"/>
        <w:rPr>
          <w:rFonts w:ascii="Arial" w:eastAsia="Calibri" w:hAnsi="Arial" w:cs="Arial"/>
          <w:sz w:val="20"/>
          <w:szCs w:val="20"/>
        </w:rPr>
      </w:pPr>
    </w:p>
    <w:p w14:paraId="61DFD811" w14:textId="401C4750" w:rsidR="00184A8E" w:rsidRPr="00184A8E" w:rsidRDefault="0001653A" w:rsidP="00184A8E">
      <w:pPr>
        <w:spacing w:after="0" w:line="240" w:lineRule="auto"/>
        <w:jc w:val="both"/>
        <w:rPr>
          <w:rFonts w:ascii="Arial" w:eastAsia="Calibri" w:hAnsi="Arial" w:cs="Arial"/>
          <w:sz w:val="20"/>
          <w:szCs w:val="20"/>
          <w:lang w:eastAsia="en-US"/>
        </w:rPr>
      </w:pPr>
      <w:r>
        <w:rPr>
          <w:rFonts w:ascii="Arial" w:eastAsia="Calibri" w:hAnsi="Arial" w:cs="Arial"/>
          <w:b/>
          <w:sz w:val="20"/>
          <w:szCs w:val="20"/>
          <w:lang w:eastAsia="en-US"/>
        </w:rPr>
        <w:t>7</w:t>
      </w:r>
      <w:r w:rsidR="00184A8E" w:rsidRPr="00184A8E">
        <w:rPr>
          <w:rFonts w:ascii="Arial" w:eastAsia="Calibri" w:hAnsi="Arial" w:cs="Arial"/>
          <w:b/>
          <w:sz w:val="20"/>
          <w:szCs w:val="20"/>
          <w:lang w:eastAsia="en-US"/>
        </w:rPr>
        <w:t>. K209426: Projektiranje i izgradnja kanalizacije u nogostupu: izvor Ljuta - Gruda</w:t>
      </w:r>
      <w:r w:rsidR="00184A8E" w:rsidRPr="00184A8E">
        <w:rPr>
          <w:rFonts w:ascii="Arial" w:eastAsia="Calibri" w:hAnsi="Arial" w:cs="Arial"/>
          <w:sz w:val="20"/>
          <w:szCs w:val="20"/>
          <w:lang w:eastAsia="en-US"/>
        </w:rPr>
        <w:t xml:space="preserve"> – u sklopu projekta ne planiraju se rashodi za kapitalne pomoći društvu u vlasništvu Općine u 2024. godini. Za 2025. i 2026. proračunom su planirana sredstva za provođenje navedenog projekta u iznosu 106.000 €. Uz sredstva iz općinskog proračuna i sredstva javnog isporučitelja vodnih usluga, planirani izvor sredstava su Hrvatske vode. </w:t>
      </w:r>
    </w:p>
    <w:p w14:paraId="6370F025" w14:textId="77777777" w:rsidR="00184A8E" w:rsidRPr="00184A8E" w:rsidRDefault="00184A8E" w:rsidP="00184A8E">
      <w:pPr>
        <w:spacing w:after="0" w:line="240" w:lineRule="auto"/>
        <w:jc w:val="both"/>
        <w:rPr>
          <w:rFonts w:ascii="Arial" w:eastAsia="Calibri" w:hAnsi="Arial" w:cs="Arial"/>
          <w:sz w:val="20"/>
          <w:szCs w:val="20"/>
          <w:lang w:eastAsia="en-US"/>
        </w:rPr>
      </w:pPr>
    </w:p>
    <w:p w14:paraId="7EB9B1D3"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Sveukupno planirana investicija je bila oko 4.000.000 kn / 530.891,23 € (projekt kanalizacije u nogostupu na relaciji Izvor Ljuta – Gruda, te radovi izgradnje), a koja bi se financirala sredstvima Hrvatskih voda i sredstvima proračuna Općine. Iz proračuna su planirana za projekt kanalizacije u nogostupu na relaciji Izvor Ljuta - Gruda. Pretpostavljeni izvor financiranja Hrvatske vode 80%, a vlastita sredstva, općinski proračun 20%. Radovi izgradnje nogostupa s kanalizacijom bi se trebali izvoditi od 2025. i dalje.</w:t>
      </w:r>
    </w:p>
    <w:p w14:paraId="34E7EB8E" w14:textId="77777777" w:rsidR="00184A8E" w:rsidRPr="00184A8E" w:rsidRDefault="00184A8E" w:rsidP="00184A8E">
      <w:pPr>
        <w:spacing w:after="0" w:line="240" w:lineRule="auto"/>
        <w:jc w:val="both"/>
        <w:rPr>
          <w:rFonts w:ascii="Arial" w:eastAsia="Calibri" w:hAnsi="Arial" w:cs="Arial"/>
          <w:sz w:val="20"/>
          <w:szCs w:val="20"/>
          <w:lang w:eastAsia="en-US"/>
        </w:rPr>
      </w:pPr>
    </w:p>
    <w:p w14:paraId="404482D3"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Nakon toge planira se izgradnja kanalizacije.</w:t>
      </w:r>
    </w:p>
    <w:p w14:paraId="1F5BA322"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4280" w:type="dxa"/>
        <w:jc w:val="center"/>
        <w:tblLayout w:type="fixed"/>
        <w:tblLook w:val="04A0" w:firstRow="1" w:lastRow="0" w:firstColumn="1" w:lastColumn="0" w:noHBand="0" w:noVBand="1"/>
      </w:tblPr>
      <w:tblGrid>
        <w:gridCol w:w="2836"/>
        <w:gridCol w:w="3118"/>
        <w:gridCol w:w="958"/>
        <w:gridCol w:w="1134"/>
        <w:gridCol w:w="1232"/>
        <w:gridCol w:w="1276"/>
        <w:gridCol w:w="1242"/>
        <w:gridCol w:w="1242"/>
        <w:gridCol w:w="1242"/>
      </w:tblGrid>
      <w:tr w:rsidR="00184A8E" w:rsidRPr="00184A8E" w14:paraId="2FD9D752" w14:textId="77777777" w:rsidTr="00410A4B">
        <w:trPr>
          <w:jc w:val="center"/>
        </w:trPr>
        <w:tc>
          <w:tcPr>
            <w:tcW w:w="283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98E17F6"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11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B39EC37"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827EE7E"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EF542FF"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21807C8" w14:textId="77777777" w:rsidR="00184A8E" w:rsidRPr="00184A8E" w:rsidRDefault="00184A8E" w:rsidP="00184A8E">
            <w:pPr>
              <w:jc w:val="center"/>
              <w:rPr>
                <w:rFonts w:ascii="Arial" w:eastAsia="Calibri" w:hAnsi="Arial" w:cs="Arial"/>
              </w:rPr>
            </w:pPr>
            <w:r w:rsidRPr="00184A8E">
              <w:rPr>
                <w:rFonts w:ascii="Arial" w:eastAsia="Calibri" w:hAnsi="Arial" w:cs="Arial"/>
              </w:rPr>
              <w:t>Polazna vrijednost 2023.</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EEF40A6" w14:textId="77777777" w:rsidR="00184A8E" w:rsidRPr="00184A8E" w:rsidRDefault="00184A8E" w:rsidP="00184A8E">
            <w:pPr>
              <w:jc w:val="center"/>
              <w:rPr>
                <w:rFonts w:ascii="Arial" w:eastAsia="Calibri" w:hAnsi="Arial" w:cs="Arial"/>
              </w:rPr>
            </w:pPr>
            <w:r w:rsidRPr="00184A8E">
              <w:rPr>
                <w:rFonts w:ascii="Arial" w:eastAsia="Calibri" w:hAnsi="Arial" w:cs="Arial"/>
              </w:rPr>
              <w:t>Ciljana vrijednost 2024.</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B8FF499" w14:textId="77777777" w:rsidR="00184A8E" w:rsidRPr="00184A8E" w:rsidRDefault="00184A8E" w:rsidP="00184A8E">
            <w:pPr>
              <w:jc w:val="center"/>
              <w:rPr>
                <w:rFonts w:ascii="Arial" w:eastAsia="Calibri" w:hAnsi="Arial" w:cs="Arial"/>
              </w:rPr>
            </w:pPr>
            <w:r w:rsidRPr="00184A8E">
              <w:rPr>
                <w:rFonts w:ascii="Arial" w:eastAsia="Calibri" w:hAnsi="Arial" w:cs="Arial"/>
              </w:rPr>
              <w:t xml:space="preserve">Izvršeno 2024.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CA778AF" w14:textId="77777777" w:rsidR="00184A8E" w:rsidRPr="00184A8E" w:rsidRDefault="00184A8E" w:rsidP="00184A8E">
            <w:pPr>
              <w:jc w:val="center"/>
              <w:rPr>
                <w:rFonts w:ascii="Arial" w:eastAsia="Calibri" w:hAnsi="Arial" w:cs="Arial"/>
              </w:rPr>
            </w:pPr>
            <w:r w:rsidRPr="00184A8E">
              <w:rPr>
                <w:rFonts w:ascii="Arial" w:eastAsia="Calibri" w:hAnsi="Arial" w:cs="Arial"/>
              </w:rPr>
              <w:t>Ciljana vrijednost 2025.</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FCDA905" w14:textId="77777777" w:rsidR="00184A8E" w:rsidRPr="00184A8E" w:rsidRDefault="00184A8E" w:rsidP="00184A8E">
            <w:pPr>
              <w:jc w:val="center"/>
              <w:rPr>
                <w:rFonts w:ascii="Arial" w:eastAsia="Calibri" w:hAnsi="Arial" w:cs="Arial"/>
              </w:rPr>
            </w:pPr>
            <w:r w:rsidRPr="00184A8E">
              <w:rPr>
                <w:rFonts w:ascii="Arial" w:eastAsia="Calibri" w:hAnsi="Arial" w:cs="Arial"/>
              </w:rPr>
              <w:t>Ciljana vrijednost 2026.</w:t>
            </w:r>
          </w:p>
        </w:tc>
      </w:tr>
      <w:tr w:rsidR="00184A8E" w:rsidRPr="00184A8E" w14:paraId="4C4D6DAC" w14:textId="77777777" w:rsidTr="00410A4B">
        <w:trPr>
          <w:trHeight w:val="273"/>
          <w:jc w:val="center"/>
        </w:trPr>
        <w:tc>
          <w:tcPr>
            <w:tcW w:w="2836" w:type="dxa"/>
            <w:tcBorders>
              <w:top w:val="single" w:sz="4" w:space="0" w:color="auto"/>
              <w:left w:val="single" w:sz="4" w:space="0" w:color="auto"/>
              <w:bottom w:val="single" w:sz="4" w:space="0" w:color="auto"/>
              <w:right w:val="single" w:sz="4" w:space="0" w:color="auto"/>
            </w:tcBorders>
            <w:vAlign w:val="center"/>
          </w:tcPr>
          <w:p w14:paraId="53262899" w14:textId="77777777" w:rsidR="00184A8E" w:rsidRPr="00184A8E" w:rsidRDefault="00184A8E" w:rsidP="00184A8E">
            <w:pPr>
              <w:rPr>
                <w:rFonts w:ascii="Arial" w:hAnsi="Arial" w:cs="Arial"/>
                <w:sz w:val="18"/>
                <w:szCs w:val="18"/>
              </w:rPr>
            </w:pPr>
            <w:r w:rsidRPr="00184A8E">
              <w:rPr>
                <w:rFonts w:ascii="Arial" w:eastAsia="Calibri" w:hAnsi="Arial" w:cs="Arial"/>
                <w:iCs/>
                <w:sz w:val="18"/>
                <w:szCs w:val="18"/>
              </w:rPr>
              <w:t>izrada projekta izgradnje kanalizacije u nogostupu: Izvor Ljuta - Gruda</w:t>
            </w:r>
          </w:p>
        </w:tc>
        <w:tc>
          <w:tcPr>
            <w:tcW w:w="3118" w:type="dxa"/>
            <w:tcBorders>
              <w:top w:val="single" w:sz="4" w:space="0" w:color="auto"/>
              <w:left w:val="single" w:sz="4" w:space="0" w:color="auto"/>
              <w:bottom w:val="single" w:sz="4" w:space="0" w:color="auto"/>
              <w:right w:val="single" w:sz="4" w:space="0" w:color="auto"/>
            </w:tcBorders>
            <w:vAlign w:val="center"/>
          </w:tcPr>
          <w:p w14:paraId="79F05E2E" w14:textId="77777777" w:rsidR="00184A8E" w:rsidRPr="00184A8E" w:rsidRDefault="00184A8E" w:rsidP="00184A8E">
            <w:pPr>
              <w:autoSpaceDE w:val="0"/>
              <w:autoSpaceDN w:val="0"/>
              <w:adjustRightInd w:val="0"/>
              <w:rPr>
                <w:rFonts w:ascii="Arial" w:hAnsi="Arial" w:cs="Arial"/>
                <w:sz w:val="18"/>
                <w:szCs w:val="18"/>
              </w:rPr>
            </w:pPr>
            <w:r w:rsidRPr="00184A8E">
              <w:rPr>
                <w:rFonts w:ascii="Arial" w:eastAsia="Calibri" w:hAnsi="Arial" w:cs="Arial"/>
                <w:sz w:val="18"/>
                <w:szCs w:val="18"/>
              </w:rPr>
              <w:t xml:space="preserve">Izrađen projekt </w:t>
            </w:r>
          </w:p>
        </w:tc>
        <w:tc>
          <w:tcPr>
            <w:tcW w:w="958" w:type="dxa"/>
            <w:tcBorders>
              <w:top w:val="single" w:sz="4" w:space="0" w:color="auto"/>
              <w:left w:val="single" w:sz="4" w:space="0" w:color="auto"/>
              <w:bottom w:val="single" w:sz="4" w:space="0" w:color="auto"/>
              <w:right w:val="single" w:sz="4" w:space="0" w:color="auto"/>
            </w:tcBorders>
            <w:vAlign w:val="center"/>
          </w:tcPr>
          <w:p w14:paraId="1559FA6F"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37E92135" w14:textId="77777777" w:rsidR="00184A8E" w:rsidRPr="00184A8E" w:rsidRDefault="00184A8E" w:rsidP="00184A8E">
            <w:pPr>
              <w:jc w:val="center"/>
              <w:rPr>
                <w:rFonts w:ascii="Arial" w:hAnsi="Arial" w:cs="Arial"/>
                <w:sz w:val="14"/>
                <w:szCs w:val="14"/>
              </w:rPr>
            </w:pPr>
            <w:r w:rsidRPr="00184A8E">
              <w:rPr>
                <w:rFonts w:ascii="Arial" w:hAnsi="Arial" w:cs="Arial"/>
                <w:sz w:val="14"/>
                <w:szCs w:val="14"/>
              </w:rPr>
              <w:t>Konavosko komunalno društvo d.o.o.</w:t>
            </w:r>
          </w:p>
        </w:tc>
        <w:tc>
          <w:tcPr>
            <w:tcW w:w="1232" w:type="dxa"/>
            <w:tcBorders>
              <w:top w:val="single" w:sz="4" w:space="0" w:color="auto"/>
              <w:left w:val="single" w:sz="4" w:space="0" w:color="auto"/>
              <w:bottom w:val="single" w:sz="4" w:space="0" w:color="auto"/>
              <w:right w:val="single" w:sz="4" w:space="0" w:color="auto"/>
            </w:tcBorders>
            <w:vAlign w:val="center"/>
          </w:tcPr>
          <w:p w14:paraId="05ABC087"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2905BF74"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5C8E98C2"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65873F96"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109F5A07"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0</w:t>
            </w:r>
          </w:p>
        </w:tc>
      </w:tr>
      <w:tr w:rsidR="00184A8E" w:rsidRPr="00184A8E" w14:paraId="0FF7A389" w14:textId="77777777" w:rsidTr="00410A4B">
        <w:trPr>
          <w:trHeight w:val="273"/>
          <w:jc w:val="center"/>
        </w:trPr>
        <w:tc>
          <w:tcPr>
            <w:tcW w:w="2836" w:type="dxa"/>
            <w:tcBorders>
              <w:top w:val="single" w:sz="4" w:space="0" w:color="auto"/>
              <w:left w:val="single" w:sz="4" w:space="0" w:color="auto"/>
              <w:bottom w:val="single" w:sz="4" w:space="0" w:color="auto"/>
              <w:right w:val="single" w:sz="4" w:space="0" w:color="auto"/>
            </w:tcBorders>
            <w:vAlign w:val="center"/>
          </w:tcPr>
          <w:p w14:paraId="517542FD" w14:textId="77777777" w:rsidR="00184A8E" w:rsidRPr="00184A8E" w:rsidRDefault="00184A8E" w:rsidP="00184A8E">
            <w:pPr>
              <w:rPr>
                <w:rFonts w:ascii="Arial" w:eastAsia="Calibri" w:hAnsi="Arial" w:cs="Arial"/>
                <w:iCs/>
                <w:sz w:val="18"/>
                <w:szCs w:val="18"/>
              </w:rPr>
            </w:pPr>
            <w:r w:rsidRPr="00184A8E">
              <w:rPr>
                <w:rFonts w:ascii="Arial" w:eastAsia="Calibri" w:hAnsi="Arial" w:cs="Arial"/>
                <w:iCs/>
                <w:sz w:val="18"/>
                <w:szCs w:val="18"/>
              </w:rPr>
              <w:lastRenderedPageBreak/>
              <w:t>Izgradnja kanalizacije Ljuta - Gruda</w:t>
            </w:r>
          </w:p>
        </w:tc>
        <w:tc>
          <w:tcPr>
            <w:tcW w:w="3118" w:type="dxa"/>
            <w:tcBorders>
              <w:top w:val="single" w:sz="4" w:space="0" w:color="auto"/>
              <w:left w:val="single" w:sz="4" w:space="0" w:color="auto"/>
              <w:bottom w:val="single" w:sz="4" w:space="0" w:color="auto"/>
              <w:right w:val="single" w:sz="4" w:space="0" w:color="auto"/>
            </w:tcBorders>
            <w:vAlign w:val="center"/>
          </w:tcPr>
          <w:p w14:paraId="1A97C625" w14:textId="77777777" w:rsidR="00184A8E" w:rsidRPr="00184A8E" w:rsidRDefault="00184A8E" w:rsidP="00184A8E">
            <w:pPr>
              <w:autoSpaceDE w:val="0"/>
              <w:autoSpaceDN w:val="0"/>
              <w:adjustRightInd w:val="0"/>
              <w:rPr>
                <w:rFonts w:ascii="Arial" w:eastAsia="Calibri" w:hAnsi="Arial" w:cs="Arial"/>
                <w:sz w:val="18"/>
                <w:szCs w:val="18"/>
              </w:rPr>
            </w:pPr>
            <w:r w:rsidRPr="00184A8E">
              <w:rPr>
                <w:rFonts w:ascii="Arial" w:eastAsia="Calibri" w:hAnsi="Arial" w:cs="Arial"/>
                <w:sz w:val="18"/>
                <w:szCs w:val="18"/>
              </w:rPr>
              <w:t>Udio izvršenih radova izgradnje</w:t>
            </w:r>
          </w:p>
        </w:tc>
        <w:tc>
          <w:tcPr>
            <w:tcW w:w="958" w:type="dxa"/>
            <w:tcBorders>
              <w:top w:val="single" w:sz="4" w:space="0" w:color="auto"/>
              <w:left w:val="single" w:sz="4" w:space="0" w:color="auto"/>
              <w:bottom w:val="single" w:sz="4" w:space="0" w:color="auto"/>
              <w:right w:val="single" w:sz="4" w:space="0" w:color="auto"/>
            </w:tcBorders>
            <w:vAlign w:val="center"/>
          </w:tcPr>
          <w:p w14:paraId="4B9931F0"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F1D9C61" w14:textId="77777777" w:rsidR="00184A8E" w:rsidRPr="00184A8E" w:rsidRDefault="00184A8E" w:rsidP="00184A8E">
            <w:pPr>
              <w:jc w:val="center"/>
              <w:rPr>
                <w:rFonts w:ascii="Arial" w:hAnsi="Arial" w:cs="Arial"/>
                <w:sz w:val="14"/>
                <w:szCs w:val="14"/>
              </w:rPr>
            </w:pPr>
            <w:r w:rsidRPr="00184A8E">
              <w:rPr>
                <w:rFonts w:ascii="Arial" w:hAnsi="Arial" w:cs="Arial"/>
                <w:sz w:val="14"/>
                <w:szCs w:val="14"/>
              </w:rPr>
              <w:t>Konavosko komunalno društvo d.o.o.</w:t>
            </w:r>
          </w:p>
        </w:tc>
        <w:tc>
          <w:tcPr>
            <w:tcW w:w="1232" w:type="dxa"/>
            <w:tcBorders>
              <w:top w:val="single" w:sz="4" w:space="0" w:color="auto"/>
              <w:left w:val="single" w:sz="4" w:space="0" w:color="auto"/>
              <w:bottom w:val="single" w:sz="4" w:space="0" w:color="auto"/>
              <w:right w:val="single" w:sz="4" w:space="0" w:color="auto"/>
            </w:tcBorders>
            <w:vAlign w:val="center"/>
          </w:tcPr>
          <w:p w14:paraId="3E05070F"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61ECB1C6"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506CE546"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7CA4A14B"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15%</w:t>
            </w:r>
          </w:p>
        </w:tc>
        <w:tc>
          <w:tcPr>
            <w:tcW w:w="1242" w:type="dxa"/>
            <w:tcBorders>
              <w:top w:val="single" w:sz="4" w:space="0" w:color="000000"/>
              <w:left w:val="single" w:sz="4" w:space="0" w:color="000000"/>
              <w:bottom w:val="single" w:sz="4" w:space="0" w:color="000000"/>
              <w:right w:val="single" w:sz="4" w:space="0" w:color="000000"/>
            </w:tcBorders>
            <w:vAlign w:val="center"/>
          </w:tcPr>
          <w:p w14:paraId="52CCA58B"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85%</w:t>
            </w:r>
          </w:p>
        </w:tc>
      </w:tr>
    </w:tbl>
    <w:p w14:paraId="2A4970AC" w14:textId="77777777" w:rsidR="00184A8E" w:rsidRPr="00184A8E" w:rsidRDefault="00184A8E" w:rsidP="00184A8E">
      <w:pPr>
        <w:spacing w:after="0" w:line="240" w:lineRule="auto"/>
        <w:jc w:val="both"/>
        <w:rPr>
          <w:rFonts w:ascii="Arial" w:eastAsia="Calibri" w:hAnsi="Arial" w:cs="Arial"/>
          <w:sz w:val="20"/>
          <w:szCs w:val="20"/>
          <w:lang w:eastAsia="en-US"/>
        </w:rPr>
      </w:pPr>
    </w:p>
    <w:p w14:paraId="5E744F46" w14:textId="52A64BF1" w:rsidR="00184A8E" w:rsidRPr="00184A8E" w:rsidRDefault="0001653A" w:rsidP="00184A8E">
      <w:pPr>
        <w:spacing w:after="0" w:line="240" w:lineRule="auto"/>
        <w:jc w:val="both"/>
        <w:rPr>
          <w:rFonts w:ascii="Arial" w:eastAsia="Calibri" w:hAnsi="Arial" w:cs="Arial"/>
          <w:sz w:val="20"/>
          <w:szCs w:val="20"/>
          <w:lang w:eastAsia="en-US"/>
        </w:rPr>
      </w:pPr>
      <w:r>
        <w:rPr>
          <w:rFonts w:ascii="Arial" w:eastAsia="Calibri" w:hAnsi="Arial" w:cs="Arial"/>
          <w:b/>
          <w:sz w:val="20"/>
          <w:szCs w:val="20"/>
          <w:lang w:eastAsia="en-US"/>
        </w:rPr>
        <w:t>8</w:t>
      </w:r>
      <w:r w:rsidR="00184A8E" w:rsidRPr="00184A8E">
        <w:rPr>
          <w:rFonts w:ascii="Arial" w:eastAsia="Calibri" w:hAnsi="Arial" w:cs="Arial"/>
          <w:b/>
          <w:sz w:val="20"/>
          <w:szCs w:val="20"/>
          <w:lang w:eastAsia="en-US"/>
        </w:rPr>
        <w:t>. K209427: Izgradnja kanalizacije Ulica Frana Laureana - Cavtat</w:t>
      </w:r>
      <w:r w:rsidR="00184A8E" w:rsidRPr="00184A8E">
        <w:rPr>
          <w:rFonts w:ascii="Arial" w:eastAsia="Calibri" w:hAnsi="Arial" w:cs="Arial"/>
          <w:sz w:val="20"/>
          <w:szCs w:val="20"/>
          <w:lang w:eastAsia="en-US"/>
        </w:rPr>
        <w:t xml:space="preserve"> - u sklopu projekta ne planiraju se rashodi u 2024. već narednih godina za kapitalne pomoći u vlasništvu Općine u visini izvršenih rashoda za izvedene radove ukoliko javnom isporučitelju budu trebala dodatna sredstva za dovršetak investicije. </w:t>
      </w:r>
      <w:r w:rsidR="00184A8E" w:rsidRPr="00184A8E">
        <w:rPr>
          <w:rFonts w:ascii="Arial" w:eastAsia="Times New Roman" w:hAnsi="Arial" w:cs="Arial"/>
          <w:sz w:val="20"/>
          <w:szCs w:val="20"/>
          <w:lang w:eastAsia="en-US"/>
        </w:rPr>
        <w:t>Procijenjena vrijednost investicije je bila 1.100.000 kn / 145.995,09 €.</w:t>
      </w:r>
    </w:p>
    <w:p w14:paraId="2F1213A3" w14:textId="77777777" w:rsidR="00184A8E" w:rsidRPr="00184A8E" w:rsidRDefault="00184A8E" w:rsidP="00184A8E">
      <w:pPr>
        <w:spacing w:after="0" w:line="240" w:lineRule="auto"/>
        <w:jc w:val="both"/>
        <w:rPr>
          <w:rFonts w:ascii="Arial" w:eastAsia="Calibri" w:hAnsi="Arial" w:cs="Arial"/>
          <w:sz w:val="20"/>
          <w:szCs w:val="20"/>
          <w:lang w:eastAsia="en-US"/>
        </w:rPr>
      </w:pPr>
    </w:p>
    <w:p w14:paraId="63881A92" w14:textId="77777777" w:rsidR="00184A8E" w:rsidRPr="00184A8E" w:rsidRDefault="00184A8E" w:rsidP="00184A8E">
      <w:pPr>
        <w:autoSpaceDE w:val="0"/>
        <w:autoSpaceDN w:val="0"/>
        <w:adjustRightInd w:val="0"/>
        <w:spacing w:after="0" w:line="240" w:lineRule="auto"/>
        <w:ind w:left="567"/>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Nositelj projekta je društvo u vlasništvu Općine, Konavosko komunalno društvo. Projekt bi se sufinancirao sredstvima javnog isporučitelja (Konavosko komunalno društvo d.o.o.) i sufinanciranjem Hrvatskih voda i EU sredstvima.</w:t>
      </w:r>
    </w:p>
    <w:p w14:paraId="77704261" w14:textId="77777777" w:rsidR="00184A8E" w:rsidRPr="00184A8E" w:rsidRDefault="00184A8E" w:rsidP="00184A8E">
      <w:pPr>
        <w:autoSpaceDE w:val="0"/>
        <w:autoSpaceDN w:val="0"/>
        <w:adjustRightInd w:val="0"/>
        <w:spacing w:after="0" w:line="240" w:lineRule="auto"/>
        <w:ind w:left="567"/>
        <w:jc w:val="both"/>
        <w:rPr>
          <w:rFonts w:ascii="Arial" w:eastAsia="Times New Roman" w:hAnsi="Arial" w:cs="Arial"/>
          <w:sz w:val="18"/>
          <w:szCs w:val="18"/>
          <w:lang w:eastAsia="en-US"/>
        </w:rPr>
      </w:pPr>
    </w:p>
    <w:p w14:paraId="28AF804C" w14:textId="77777777" w:rsidR="00184A8E" w:rsidRPr="00184A8E" w:rsidRDefault="00184A8E" w:rsidP="00184A8E">
      <w:pPr>
        <w:autoSpaceDE w:val="0"/>
        <w:autoSpaceDN w:val="0"/>
        <w:adjustRightInd w:val="0"/>
        <w:spacing w:after="0" w:line="240" w:lineRule="auto"/>
        <w:ind w:left="567"/>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Dubrovačko-neretvanska županija, Upravni odjel za prostorno uređenje i gradnju izdalo je:</w:t>
      </w:r>
    </w:p>
    <w:p w14:paraId="6FD99D3A" w14:textId="77777777" w:rsidR="00184A8E" w:rsidRPr="00184A8E" w:rsidRDefault="00184A8E">
      <w:pPr>
        <w:numPr>
          <w:ilvl w:val="0"/>
          <w:numId w:val="4"/>
        </w:numPr>
        <w:autoSpaceDE w:val="0"/>
        <w:autoSpaceDN w:val="0"/>
        <w:adjustRightInd w:val="0"/>
        <w:spacing w:after="0" w:line="240" w:lineRule="auto"/>
        <w:ind w:left="851" w:hanging="284"/>
        <w:jc w:val="both"/>
        <w:rPr>
          <w:rFonts w:ascii="Arial" w:eastAsia="Times New Roman" w:hAnsi="Arial" w:cs="Arial"/>
          <w:sz w:val="18"/>
          <w:szCs w:val="18"/>
          <w:lang w:eastAsia="en-US"/>
        </w:rPr>
      </w:pPr>
      <w:r w:rsidRPr="00184A8E">
        <w:rPr>
          <w:rFonts w:ascii="Arial" w:eastAsia="Times New Roman" w:hAnsi="Arial" w:cs="Arial"/>
          <w:b/>
          <w:sz w:val="18"/>
          <w:szCs w:val="18"/>
          <w:u w:val="single"/>
          <w:lang w:eastAsia="en-US"/>
        </w:rPr>
        <w:t>Lokacijska dozvola</w:t>
      </w:r>
      <w:r w:rsidRPr="00184A8E">
        <w:rPr>
          <w:rFonts w:ascii="Arial" w:eastAsia="Times New Roman" w:hAnsi="Arial" w:cs="Arial"/>
          <w:sz w:val="18"/>
          <w:szCs w:val="18"/>
          <w:lang w:eastAsia="en-US"/>
        </w:rPr>
        <w:t xml:space="preserve"> za Frana Laureana i Jurja Dalmatinca; KLASA: UP/I-350-05/17-01/000057; URBROJ: 2117/1-23/1-6-17-0007, Dubrovnik, 24.10.2017. PRAVOMOĆNA 28.11.2017.</w:t>
      </w:r>
    </w:p>
    <w:p w14:paraId="0A71AE10" w14:textId="77777777" w:rsidR="00184A8E" w:rsidRPr="00184A8E" w:rsidRDefault="00184A8E">
      <w:pPr>
        <w:numPr>
          <w:ilvl w:val="0"/>
          <w:numId w:val="4"/>
        </w:numPr>
        <w:autoSpaceDE w:val="0"/>
        <w:autoSpaceDN w:val="0"/>
        <w:adjustRightInd w:val="0"/>
        <w:spacing w:after="0" w:line="240" w:lineRule="auto"/>
        <w:ind w:left="851" w:hanging="284"/>
        <w:jc w:val="both"/>
        <w:rPr>
          <w:rFonts w:ascii="Arial" w:eastAsia="Times New Roman" w:hAnsi="Arial" w:cs="Arial"/>
          <w:sz w:val="18"/>
          <w:szCs w:val="18"/>
          <w:lang w:eastAsia="en-US"/>
        </w:rPr>
      </w:pPr>
      <w:r w:rsidRPr="00184A8E">
        <w:rPr>
          <w:rFonts w:ascii="Arial" w:eastAsia="Times New Roman" w:hAnsi="Arial" w:cs="Arial"/>
          <w:b/>
          <w:sz w:val="18"/>
          <w:szCs w:val="18"/>
          <w:u w:val="single"/>
          <w:lang w:eastAsia="en-US"/>
        </w:rPr>
        <w:t>Građevinska dozvola</w:t>
      </w:r>
      <w:r w:rsidRPr="00184A8E">
        <w:rPr>
          <w:rFonts w:ascii="Arial" w:eastAsia="Times New Roman" w:hAnsi="Arial" w:cs="Arial"/>
          <w:sz w:val="18"/>
          <w:szCs w:val="18"/>
          <w:lang w:eastAsia="en-US"/>
        </w:rPr>
        <w:t xml:space="preserve"> za Frana Laureana i Jurja Dalmatinca; KLASA: UP/I-361-03/18-01/000046; URBROJ: 2117/1-23/1-6-18-0009, Dubrovnik, 13.04.2018. (PRAVOMOĆNA 23.svibnja 2018.).</w:t>
      </w:r>
    </w:p>
    <w:p w14:paraId="462F562E" w14:textId="77777777" w:rsidR="00184A8E" w:rsidRPr="00184A8E" w:rsidRDefault="00184A8E" w:rsidP="00184A8E">
      <w:pPr>
        <w:spacing w:after="0" w:line="240" w:lineRule="auto"/>
        <w:jc w:val="both"/>
        <w:rPr>
          <w:rFonts w:ascii="Arial" w:eastAsia="Calibri" w:hAnsi="Arial" w:cs="Arial"/>
          <w:sz w:val="20"/>
          <w:szCs w:val="20"/>
        </w:rPr>
      </w:pPr>
    </w:p>
    <w:p w14:paraId="210A0FA9"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Detaljnije o investiciji u </w:t>
      </w:r>
      <w:hyperlink w:anchor="_8.__IZVADAK" w:history="1">
        <w:r w:rsidRPr="00184A8E">
          <w:rPr>
            <w:rFonts w:ascii="Arial" w:eastAsia="Calibri" w:hAnsi="Arial" w:cs="Arial"/>
            <w:color w:val="0000FF"/>
            <w:sz w:val="20"/>
            <w:szCs w:val="20"/>
            <w:u w:val="single"/>
          </w:rPr>
          <w:t xml:space="preserve">točki 8. </w:t>
        </w:r>
        <w:r w:rsidRPr="00184A8E">
          <w:rPr>
            <w:rFonts w:ascii="Arial" w:eastAsia="Calibri" w:hAnsi="Arial" w:cs="Arial"/>
            <w:b/>
            <w:bCs/>
            <w:color w:val="0000FF"/>
            <w:sz w:val="20"/>
            <w:szCs w:val="20"/>
            <w:u w:val="single"/>
          </w:rPr>
          <w:t>Izvadak projekata iz strateškog plana i provedbenog programa</w:t>
        </w:r>
      </w:hyperlink>
      <w:r w:rsidRPr="00184A8E">
        <w:rPr>
          <w:rFonts w:ascii="Arial" w:eastAsia="Calibri" w:hAnsi="Arial" w:cs="Arial"/>
          <w:b/>
          <w:bCs/>
          <w:sz w:val="20"/>
          <w:szCs w:val="20"/>
        </w:rPr>
        <w:t>.</w:t>
      </w:r>
    </w:p>
    <w:p w14:paraId="1A077DEB" w14:textId="77777777" w:rsidR="00184A8E" w:rsidRPr="00184A8E" w:rsidRDefault="00184A8E" w:rsidP="00184A8E">
      <w:pPr>
        <w:spacing w:after="0" w:line="240" w:lineRule="auto"/>
        <w:jc w:val="both"/>
        <w:rPr>
          <w:rFonts w:ascii="Arial" w:eastAsia="Calibri" w:hAnsi="Arial" w:cs="Arial"/>
          <w:sz w:val="20"/>
          <w:szCs w:val="20"/>
        </w:rPr>
      </w:pPr>
    </w:p>
    <w:p w14:paraId="2C766AB4" w14:textId="62176E20" w:rsidR="00184A8E" w:rsidRPr="00184A8E" w:rsidRDefault="0001653A" w:rsidP="00184A8E">
      <w:pPr>
        <w:spacing w:after="0" w:line="240" w:lineRule="auto"/>
        <w:jc w:val="both"/>
        <w:rPr>
          <w:rFonts w:ascii="Arial" w:eastAsia="Calibri" w:hAnsi="Arial" w:cs="Arial"/>
          <w:sz w:val="20"/>
          <w:szCs w:val="20"/>
          <w:lang w:eastAsia="en-US"/>
        </w:rPr>
      </w:pPr>
      <w:r>
        <w:rPr>
          <w:rFonts w:ascii="Arial" w:eastAsia="Calibri" w:hAnsi="Arial" w:cs="Arial"/>
          <w:b/>
          <w:sz w:val="20"/>
          <w:szCs w:val="20"/>
          <w:lang w:eastAsia="en-US"/>
        </w:rPr>
        <w:t>9</w:t>
      </w:r>
      <w:r w:rsidR="00184A8E" w:rsidRPr="00184A8E">
        <w:rPr>
          <w:rFonts w:ascii="Arial" w:eastAsia="Calibri" w:hAnsi="Arial" w:cs="Arial"/>
          <w:b/>
          <w:sz w:val="20"/>
          <w:szCs w:val="20"/>
          <w:lang w:eastAsia="en-US"/>
        </w:rPr>
        <w:t>. K209428: Izgradnja kanalizacije Ulica Silvija Strahimira Kranjčevića - Cavtat</w:t>
      </w:r>
      <w:r w:rsidR="00184A8E" w:rsidRPr="00184A8E">
        <w:rPr>
          <w:rFonts w:ascii="Arial" w:eastAsia="Calibri" w:hAnsi="Arial" w:cs="Arial"/>
          <w:sz w:val="20"/>
          <w:szCs w:val="20"/>
          <w:lang w:eastAsia="en-US"/>
        </w:rPr>
        <w:t xml:space="preserve"> - u sklopu projekta ne planiraju se rashodi u 2024. </w:t>
      </w:r>
    </w:p>
    <w:p w14:paraId="55E8360F"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p>
    <w:p w14:paraId="486EBFE8" w14:textId="77777777" w:rsidR="00184A8E" w:rsidRPr="00184A8E" w:rsidRDefault="00184A8E" w:rsidP="00184A8E">
      <w:pPr>
        <w:autoSpaceDE w:val="0"/>
        <w:autoSpaceDN w:val="0"/>
        <w:adjustRightInd w:val="0"/>
        <w:spacing w:after="0" w:line="240" w:lineRule="auto"/>
        <w:ind w:left="567"/>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Nositelj projekta je društvo u vlasništvu Općine, Konavosko komunalno društvo. Projekt bi se sufinancirao sredstvima javnog isporučitelja (Konavosko komunalno društvo d.o.o.) i sufinanciranjem Hrvatskih voda te EU sredstvima. Procijenjena vrijednost investicije je bila 3.000.000 kn / 398.168,43 €.</w:t>
      </w:r>
    </w:p>
    <w:p w14:paraId="5BC4F4AE" w14:textId="77777777" w:rsidR="00184A8E" w:rsidRPr="00184A8E" w:rsidRDefault="00184A8E" w:rsidP="00184A8E">
      <w:pPr>
        <w:spacing w:after="0" w:line="240" w:lineRule="auto"/>
        <w:ind w:left="567"/>
        <w:jc w:val="both"/>
        <w:rPr>
          <w:rFonts w:ascii="Arial" w:eastAsia="Calibri" w:hAnsi="Arial" w:cs="Arial"/>
          <w:sz w:val="16"/>
          <w:szCs w:val="18"/>
          <w:lang w:eastAsia="en-US"/>
        </w:rPr>
      </w:pPr>
    </w:p>
    <w:p w14:paraId="2DEBA967" w14:textId="77777777" w:rsidR="00184A8E" w:rsidRPr="00184A8E" w:rsidRDefault="00184A8E" w:rsidP="00184A8E">
      <w:pPr>
        <w:autoSpaceDE w:val="0"/>
        <w:autoSpaceDN w:val="0"/>
        <w:adjustRightInd w:val="0"/>
        <w:spacing w:after="0" w:line="240" w:lineRule="auto"/>
        <w:ind w:left="567"/>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Dubrovačko-neretvanska županija, Upravni odjel za prostorno uređenje i gradnju izdalo je:</w:t>
      </w:r>
    </w:p>
    <w:p w14:paraId="44CEA75D" w14:textId="77777777" w:rsidR="00184A8E" w:rsidRPr="00184A8E" w:rsidRDefault="00184A8E">
      <w:pPr>
        <w:numPr>
          <w:ilvl w:val="0"/>
          <w:numId w:val="4"/>
        </w:numPr>
        <w:autoSpaceDE w:val="0"/>
        <w:autoSpaceDN w:val="0"/>
        <w:adjustRightInd w:val="0"/>
        <w:spacing w:after="0" w:line="240" w:lineRule="auto"/>
        <w:ind w:left="851" w:hanging="284"/>
        <w:jc w:val="both"/>
        <w:rPr>
          <w:rFonts w:ascii="Arial" w:eastAsia="Times New Roman" w:hAnsi="Arial" w:cs="Arial"/>
          <w:sz w:val="18"/>
          <w:szCs w:val="18"/>
          <w:lang w:eastAsia="en-US"/>
        </w:rPr>
      </w:pPr>
      <w:r w:rsidRPr="00184A8E">
        <w:rPr>
          <w:rFonts w:ascii="Arial" w:eastAsia="Times New Roman" w:hAnsi="Arial" w:cs="Arial"/>
          <w:b/>
          <w:sz w:val="18"/>
          <w:szCs w:val="18"/>
          <w:u w:val="single"/>
          <w:lang w:eastAsia="en-US"/>
        </w:rPr>
        <w:t>Lokacijska dozvola</w:t>
      </w:r>
      <w:r w:rsidRPr="00184A8E">
        <w:rPr>
          <w:rFonts w:ascii="Arial" w:eastAsia="Times New Roman" w:hAnsi="Arial" w:cs="Arial"/>
          <w:sz w:val="18"/>
          <w:szCs w:val="18"/>
          <w:lang w:eastAsia="en-US"/>
        </w:rPr>
        <w:t xml:space="preserve"> za S.S.Kranjčevića; KLASA: UP/I-350-05/17-01/000058; URBROJ:2117/1-23/1-6-17-0006, Dubrovnik, 24.10.2017. PRAVOMOĆNA 28.11.2017.</w:t>
      </w:r>
    </w:p>
    <w:p w14:paraId="46F7778C" w14:textId="77777777" w:rsidR="00184A8E" w:rsidRPr="00184A8E" w:rsidRDefault="00184A8E">
      <w:pPr>
        <w:numPr>
          <w:ilvl w:val="0"/>
          <w:numId w:val="4"/>
        </w:numPr>
        <w:autoSpaceDE w:val="0"/>
        <w:autoSpaceDN w:val="0"/>
        <w:adjustRightInd w:val="0"/>
        <w:spacing w:after="0" w:line="240" w:lineRule="auto"/>
        <w:ind w:left="851" w:hanging="284"/>
        <w:jc w:val="both"/>
        <w:rPr>
          <w:rFonts w:ascii="Arial" w:eastAsia="Times New Roman" w:hAnsi="Arial" w:cs="Arial"/>
          <w:sz w:val="18"/>
          <w:szCs w:val="18"/>
          <w:lang w:eastAsia="en-US"/>
        </w:rPr>
      </w:pPr>
      <w:r w:rsidRPr="00184A8E">
        <w:rPr>
          <w:rFonts w:ascii="Arial" w:eastAsia="Times New Roman" w:hAnsi="Arial" w:cs="Arial"/>
          <w:b/>
          <w:sz w:val="18"/>
          <w:szCs w:val="18"/>
          <w:u w:val="single"/>
          <w:lang w:eastAsia="en-US"/>
        </w:rPr>
        <w:t>Građevinska dozvola</w:t>
      </w:r>
      <w:r w:rsidRPr="00184A8E">
        <w:rPr>
          <w:rFonts w:ascii="Arial" w:eastAsia="Times New Roman" w:hAnsi="Arial" w:cs="Arial"/>
          <w:sz w:val="18"/>
          <w:szCs w:val="18"/>
          <w:lang w:eastAsia="en-US"/>
        </w:rPr>
        <w:t xml:space="preserve"> za S.S.Kranjčevića; KLASA: UP/I-361-03/18-01/000080; URBROJ:2117/1-23/1-6-18-0008, Dubrovnik, 12.04.2018. (PRAVOMOĆNA 23.svibnja 2018.).</w:t>
      </w:r>
    </w:p>
    <w:p w14:paraId="1EB20AC1" w14:textId="77777777" w:rsidR="00184A8E" w:rsidRPr="00184A8E" w:rsidRDefault="00184A8E" w:rsidP="00184A8E">
      <w:pPr>
        <w:spacing w:after="0" w:line="240" w:lineRule="auto"/>
        <w:jc w:val="both"/>
        <w:rPr>
          <w:rFonts w:ascii="Arial" w:eastAsia="Calibri" w:hAnsi="Arial" w:cs="Arial"/>
          <w:b/>
          <w:sz w:val="20"/>
          <w:szCs w:val="20"/>
        </w:rPr>
      </w:pPr>
    </w:p>
    <w:p w14:paraId="2F53603C"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Detaljnije o investiciji u </w:t>
      </w:r>
      <w:hyperlink w:anchor="_8.__IZVADAK" w:history="1">
        <w:r w:rsidRPr="00184A8E">
          <w:rPr>
            <w:rFonts w:ascii="Arial" w:eastAsia="Calibri" w:hAnsi="Arial" w:cs="Arial"/>
            <w:color w:val="0000FF"/>
            <w:sz w:val="20"/>
            <w:szCs w:val="20"/>
            <w:u w:val="single"/>
          </w:rPr>
          <w:t xml:space="preserve">točki 8. </w:t>
        </w:r>
        <w:r w:rsidRPr="00184A8E">
          <w:rPr>
            <w:rFonts w:ascii="Arial" w:eastAsia="Calibri" w:hAnsi="Arial" w:cs="Arial"/>
            <w:b/>
            <w:bCs/>
            <w:color w:val="0000FF"/>
            <w:sz w:val="20"/>
            <w:szCs w:val="20"/>
            <w:u w:val="single"/>
          </w:rPr>
          <w:t>Izvadak projekata iz strateškog plana i provedbenog programa.</w:t>
        </w:r>
      </w:hyperlink>
    </w:p>
    <w:p w14:paraId="2C9FBAA2" w14:textId="77777777" w:rsidR="00184A8E" w:rsidRPr="00184A8E" w:rsidRDefault="00184A8E" w:rsidP="00184A8E">
      <w:pPr>
        <w:spacing w:after="0" w:line="240" w:lineRule="auto"/>
        <w:jc w:val="both"/>
        <w:rPr>
          <w:rFonts w:ascii="Arial" w:eastAsia="Calibri" w:hAnsi="Arial" w:cs="Arial"/>
          <w:sz w:val="20"/>
          <w:szCs w:val="20"/>
        </w:rPr>
      </w:pPr>
    </w:p>
    <w:p w14:paraId="06C7B4B8" w14:textId="1D814894" w:rsidR="00184A8E" w:rsidRPr="00184A8E" w:rsidRDefault="0001653A" w:rsidP="00184A8E">
      <w:pPr>
        <w:spacing w:after="0" w:line="240" w:lineRule="auto"/>
        <w:jc w:val="both"/>
        <w:rPr>
          <w:rFonts w:ascii="Arial" w:eastAsia="Times New Roman" w:hAnsi="Arial" w:cs="Arial"/>
          <w:sz w:val="20"/>
          <w:szCs w:val="20"/>
          <w:lang w:eastAsia="en-US"/>
        </w:rPr>
      </w:pPr>
      <w:r>
        <w:rPr>
          <w:rFonts w:ascii="Arial" w:eastAsia="Calibri" w:hAnsi="Arial" w:cs="Arial"/>
          <w:b/>
          <w:sz w:val="20"/>
          <w:szCs w:val="20"/>
          <w:lang w:eastAsia="en-US"/>
        </w:rPr>
        <w:t>10</w:t>
      </w:r>
      <w:r w:rsidR="00184A8E" w:rsidRPr="00184A8E">
        <w:rPr>
          <w:rFonts w:ascii="Arial" w:eastAsia="Calibri" w:hAnsi="Arial" w:cs="Arial"/>
          <w:b/>
          <w:sz w:val="20"/>
          <w:szCs w:val="20"/>
          <w:lang w:eastAsia="en-US"/>
        </w:rPr>
        <w:t>. K209429: Izgradnja vodoopskrbnog sustava Palje Brdo</w:t>
      </w:r>
      <w:r w:rsidR="00184A8E" w:rsidRPr="00184A8E">
        <w:rPr>
          <w:rFonts w:ascii="Arial" w:eastAsia="Calibri" w:hAnsi="Arial" w:cs="Arial"/>
          <w:sz w:val="20"/>
          <w:szCs w:val="20"/>
          <w:lang w:eastAsia="en-US"/>
        </w:rPr>
        <w:t xml:space="preserve"> - u sklopu projekta planirani su rashodi za kapitalne pomoći društvu u vlasništvu Općine u visini izvršenih rashoda za izvedene radove, odnosno u iznosu </w:t>
      </w:r>
      <w:r w:rsidR="00F06D84">
        <w:rPr>
          <w:rFonts w:ascii="Arial" w:eastAsia="Calibri" w:hAnsi="Arial" w:cs="Arial"/>
          <w:sz w:val="20"/>
          <w:szCs w:val="20"/>
          <w:lang w:eastAsia="en-US"/>
        </w:rPr>
        <w:t>2.210</w:t>
      </w:r>
      <w:r w:rsidR="00184A8E" w:rsidRPr="00184A8E">
        <w:rPr>
          <w:rFonts w:ascii="Arial" w:eastAsia="Calibri" w:hAnsi="Arial" w:cs="Arial"/>
          <w:sz w:val="20"/>
          <w:szCs w:val="20"/>
          <w:lang w:eastAsia="en-US"/>
        </w:rPr>
        <w:t xml:space="preserve"> €. </w:t>
      </w:r>
      <w:r w:rsidR="00184A8E" w:rsidRPr="00184A8E">
        <w:rPr>
          <w:rFonts w:ascii="Arial" w:eastAsia="Times New Roman" w:hAnsi="Arial" w:cs="Arial"/>
          <w:sz w:val="20"/>
          <w:szCs w:val="20"/>
          <w:lang w:eastAsia="en-US"/>
        </w:rPr>
        <w:t xml:space="preserve">Nositelj projekta je društvo u vlasništvu Općine, Konavosko komunalno društvo. </w:t>
      </w:r>
    </w:p>
    <w:p w14:paraId="366C9E7B"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7BD91F2A" w14:textId="77777777" w:rsidR="00184A8E" w:rsidRPr="00F06D84" w:rsidRDefault="00184A8E" w:rsidP="00F06D84">
      <w:pPr>
        <w:spacing w:after="0" w:line="240" w:lineRule="auto"/>
        <w:ind w:left="709"/>
        <w:jc w:val="both"/>
        <w:rPr>
          <w:rFonts w:ascii="Arial" w:eastAsia="Times New Roman" w:hAnsi="Arial" w:cs="Arial"/>
          <w:sz w:val="18"/>
          <w:szCs w:val="18"/>
          <w:lang w:eastAsia="en-US"/>
        </w:rPr>
      </w:pPr>
      <w:r w:rsidRPr="00F06D84">
        <w:rPr>
          <w:rFonts w:ascii="Arial" w:eastAsia="Times New Roman" w:hAnsi="Arial" w:cs="Arial"/>
          <w:sz w:val="18"/>
          <w:szCs w:val="18"/>
          <w:lang w:eastAsia="en-US"/>
        </w:rPr>
        <w:t xml:space="preserve">Nakon provedenog postupka javne nabave komunalno društvo je s izvoditeljem zaključilo ugovor u vrijednosti 69.950 € (s porezom na dodanu vrijednost). Izvoditelj je u 2024 .godini ispostavio okončanu situaciju u iznosu 69.468,99 €. Za usluge nadzora nad izvođenjem radova, komunalno društvo je zaključilo ugovor u iznosu 2.125 € (s porezom na dodanu vrijednost). </w:t>
      </w:r>
    </w:p>
    <w:p w14:paraId="538D7AFA" w14:textId="77777777" w:rsidR="00184A8E" w:rsidRPr="00F06D84" w:rsidRDefault="00184A8E" w:rsidP="00184A8E">
      <w:pPr>
        <w:spacing w:after="0" w:line="240" w:lineRule="auto"/>
        <w:jc w:val="both"/>
        <w:rPr>
          <w:rFonts w:ascii="Arial" w:eastAsia="Times New Roman" w:hAnsi="Arial" w:cs="Arial"/>
          <w:sz w:val="18"/>
          <w:szCs w:val="18"/>
          <w:lang w:eastAsia="en-US"/>
        </w:rPr>
      </w:pPr>
    </w:p>
    <w:p w14:paraId="75B3B83C" w14:textId="77777777" w:rsidR="00184A8E" w:rsidRPr="00F06D84" w:rsidRDefault="00184A8E" w:rsidP="00F06D84">
      <w:pPr>
        <w:spacing w:after="0" w:line="240" w:lineRule="auto"/>
        <w:ind w:left="709"/>
        <w:jc w:val="both"/>
        <w:rPr>
          <w:rFonts w:ascii="Arial" w:eastAsia="Times New Roman" w:hAnsi="Arial" w:cs="Arial"/>
          <w:sz w:val="18"/>
          <w:szCs w:val="18"/>
          <w:lang w:eastAsia="en-US"/>
        </w:rPr>
      </w:pPr>
      <w:r w:rsidRPr="00F06D84">
        <w:rPr>
          <w:rFonts w:ascii="Arial" w:eastAsia="Times New Roman" w:hAnsi="Arial" w:cs="Arial"/>
          <w:sz w:val="18"/>
          <w:szCs w:val="18"/>
          <w:lang w:eastAsia="en-US"/>
        </w:rPr>
        <w:t>Općina je doznačila društvu sredstva kapitalne pomoći u iznosu 55,041,40 € (za radove i nadzor).</w:t>
      </w:r>
    </w:p>
    <w:p w14:paraId="04C911D9" w14:textId="77777777" w:rsidR="00F06D84" w:rsidRPr="00F06D84" w:rsidRDefault="00F06D84" w:rsidP="00F06D84">
      <w:pPr>
        <w:spacing w:after="0" w:line="240" w:lineRule="auto"/>
        <w:ind w:left="709"/>
        <w:jc w:val="both"/>
        <w:rPr>
          <w:rFonts w:ascii="Arial" w:eastAsia="Times New Roman" w:hAnsi="Arial" w:cs="Arial"/>
          <w:sz w:val="18"/>
          <w:szCs w:val="18"/>
          <w:lang w:eastAsia="en-US"/>
        </w:rPr>
      </w:pPr>
      <w:r w:rsidRPr="00F06D84">
        <w:rPr>
          <w:rFonts w:ascii="Arial" w:eastAsia="Times New Roman" w:hAnsi="Arial" w:cs="Arial"/>
          <w:sz w:val="18"/>
          <w:szCs w:val="18"/>
          <w:lang w:eastAsia="en-US"/>
        </w:rPr>
        <w:t xml:space="preserve">Rashodi u 2024. su izvršeni u iznosu 55.041,40 € ili 61,4% plana. </w:t>
      </w:r>
    </w:p>
    <w:p w14:paraId="4781DDFF" w14:textId="77777777" w:rsidR="00F06D84" w:rsidRPr="00F06D84" w:rsidRDefault="00F06D84" w:rsidP="00F06D84">
      <w:pPr>
        <w:spacing w:after="0" w:line="240" w:lineRule="auto"/>
        <w:jc w:val="both"/>
        <w:rPr>
          <w:rFonts w:ascii="Arial" w:eastAsia="Times New Roman" w:hAnsi="Arial" w:cs="Arial"/>
          <w:sz w:val="18"/>
          <w:szCs w:val="18"/>
          <w:lang w:eastAsia="en-US"/>
        </w:rPr>
      </w:pPr>
    </w:p>
    <w:p w14:paraId="0D00FB59" w14:textId="3894C449" w:rsidR="00F06D84" w:rsidRPr="00184A8E" w:rsidRDefault="00F06D84" w:rsidP="00F06D84">
      <w:pPr>
        <w:spacing w:after="0" w:line="240" w:lineRule="auto"/>
        <w:jc w:val="both"/>
        <w:rPr>
          <w:rFonts w:ascii="Arial" w:eastAsia="Times New Roman" w:hAnsi="Arial" w:cs="Arial"/>
          <w:sz w:val="20"/>
          <w:szCs w:val="20"/>
          <w:lang w:eastAsia="en-US"/>
        </w:rPr>
      </w:pPr>
      <w:r>
        <w:rPr>
          <w:rFonts w:ascii="Arial" w:eastAsia="Times New Roman" w:hAnsi="Arial" w:cs="Arial"/>
          <w:sz w:val="20"/>
          <w:szCs w:val="20"/>
          <w:lang w:eastAsia="en-US"/>
        </w:rPr>
        <w:t>U 2025. godini izvršeni su rashodi u iznosu 2.200,04 € koji se odnose na prijenos sredstava na temelju okončane situacije za radove izgradnje cjevovoda u Paljem Brdu (radovi 2.136,04 € i nadzor 64 €).</w:t>
      </w:r>
    </w:p>
    <w:p w14:paraId="0AAFD9D3"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2689"/>
        <w:gridCol w:w="2976"/>
        <w:gridCol w:w="958"/>
        <w:gridCol w:w="1134"/>
        <w:gridCol w:w="1232"/>
        <w:gridCol w:w="1276"/>
        <w:gridCol w:w="1242"/>
        <w:gridCol w:w="1242"/>
        <w:gridCol w:w="1242"/>
      </w:tblGrid>
      <w:tr w:rsidR="00184A8E" w:rsidRPr="00184A8E" w14:paraId="4DD6651A" w14:textId="77777777" w:rsidTr="00410A4B">
        <w:trPr>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744293B" w14:textId="77777777" w:rsidR="00184A8E" w:rsidRPr="00184A8E" w:rsidRDefault="00184A8E" w:rsidP="00184A8E">
            <w:pPr>
              <w:jc w:val="center"/>
              <w:rPr>
                <w:rFonts w:ascii="Arial" w:eastAsia="Calibri" w:hAnsi="Arial" w:cs="Arial"/>
              </w:rPr>
            </w:pPr>
            <w:r w:rsidRPr="00184A8E">
              <w:rPr>
                <w:rFonts w:ascii="Arial" w:eastAsia="Calibri" w:hAnsi="Arial" w:cs="Arial"/>
              </w:rPr>
              <w:lastRenderedPageBreak/>
              <w:t>Pokazatelj rezultata</w:t>
            </w:r>
          </w:p>
        </w:tc>
        <w:tc>
          <w:tcPr>
            <w:tcW w:w="29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CEE6B0A"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18D37B9"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19F8CEC"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EE15F8" w14:textId="3532323F"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F06D84">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8CDBBEF" w14:textId="036A2745" w:rsidR="00184A8E" w:rsidRPr="00184A8E" w:rsidRDefault="00184A8E" w:rsidP="00184A8E">
            <w:pPr>
              <w:jc w:val="center"/>
              <w:rPr>
                <w:rFonts w:ascii="Arial" w:eastAsia="Calibri" w:hAnsi="Arial" w:cs="Arial"/>
              </w:rPr>
            </w:pPr>
            <w:r w:rsidRPr="00184A8E">
              <w:rPr>
                <w:rFonts w:ascii="Arial" w:eastAsia="Calibri" w:hAnsi="Arial" w:cs="Arial"/>
              </w:rPr>
              <w:t>Ciljana vrijednost 20</w:t>
            </w:r>
            <w:r w:rsidR="00F06D84">
              <w:rPr>
                <w:rFonts w:ascii="Arial" w:eastAsia="Calibri" w:hAnsi="Arial" w:cs="Arial"/>
              </w:rPr>
              <w:t>25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7AFAECA" w14:textId="03FA945A"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F06D84">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9D17BF5" w14:textId="5F3D1245"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F06D84">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48D5A84" w14:textId="2F01C791"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F06D84">
              <w:rPr>
                <w:rFonts w:ascii="Arial" w:eastAsia="Calibri" w:hAnsi="Arial" w:cs="Arial"/>
              </w:rPr>
              <w:t>7</w:t>
            </w:r>
            <w:r w:rsidRPr="00184A8E">
              <w:rPr>
                <w:rFonts w:ascii="Arial" w:eastAsia="Calibri" w:hAnsi="Arial" w:cs="Arial"/>
              </w:rPr>
              <w:t>.</w:t>
            </w:r>
          </w:p>
        </w:tc>
      </w:tr>
      <w:tr w:rsidR="00184A8E" w:rsidRPr="00184A8E" w14:paraId="77F2AA97" w14:textId="77777777" w:rsidTr="00410A4B">
        <w:trPr>
          <w:trHeight w:val="273"/>
          <w:jc w:val="center"/>
        </w:trPr>
        <w:tc>
          <w:tcPr>
            <w:tcW w:w="2689" w:type="dxa"/>
            <w:tcBorders>
              <w:top w:val="single" w:sz="4" w:space="0" w:color="auto"/>
              <w:left w:val="single" w:sz="4" w:space="0" w:color="auto"/>
              <w:bottom w:val="single" w:sz="4" w:space="0" w:color="auto"/>
              <w:right w:val="single" w:sz="4" w:space="0" w:color="auto"/>
            </w:tcBorders>
            <w:vAlign w:val="center"/>
          </w:tcPr>
          <w:p w14:paraId="34F1668B" w14:textId="77777777" w:rsidR="00184A8E" w:rsidRPr="00184A8E" w:rsidRDefault="00184A8E" w:rsidP="00184A8E">
            <w:pPr>
              <w:rPr>
                <w:rFonts w:ascii="Arial" w:hAnsi="Arial" w:cs="Arial"/>
              </w:rPr>
            </w:pPr>
            <w:r w:rsidRPr="00184A8E">
              <w:rPr>
                <w:rFonts w:ascii="Arial" w:eastAsia="Calibri" w:hAnsi="Arial" w:cs="Arial"/>
                <w:iCs/>
              </w:rPr>
              <w:t>Izgradnja vodoopskrbnog sustava Palje Brdo</w:t>
            </w:r>
          </w:p>
        </w:tc>
        <w:tc>
          <w:tcPr>
            <w:tcW w:w="2976" w:type="dxa"/>
            <w:tcBorders>
              <w:top w:val="single" w:sz="4" w:space="0" w:color="auto"/>
              <w:left w:val="single" w:sz="4" w:space="0" w:color="auto"/>
              <w:bottom w:val="single" w:sz="4" w:space="0" w:color="auto"/>
              <w:right w:val="single" w:sz="4" w:space="0" w:color="auto"/>
            </w:tcBorders>
            <w:vAlign w:val="center"/>
          </w:tcPr>
          <w:p w14:paraId="2BF7C301" w14:textId="77777777" w:rsidR="00184A8E" w:rsidRPr="00184A8E" w:rsidRDefault="00184A8E" w:rsidP="00184A8E">
            <w:pPr>
              <w:autoSpaceDE w:val="0"/>
              <w:autoSpaceDN w:val="0"/>
              <w:adjustRightInd w:val="0"/>
              <w:rPr>
                <w:rFonts w:ascii="Arial" w:hAnsi="Arial" w:cs="Arial"/>
              </w:rPr>
            </w:pPr>
            <w:r w:rsidRPr="00184A8E">
              <w:rPr>
                <w:rFonts w:ascii="Arial" w:eastAsia="Calibri" w:hAnsi="Arial" w:cs="Arial"/>
              </w:rPr>
              <w:t>Izgrađen vodoopskrbni sustav Palje Brdo</w:t>
            </w:r>
          </w:p>
        </w:tc>
        <w:tc>
          <w:tcPr>
            <w:tcW w:w="958" w:type="dxa"/>
            <w:tcBorders>
              <w:top w:val="single" w:sz="4" w:space="0" w:color="auto"/>
              <w:left w:val="single" w:sz="4" w:space="0" w:color="auto"/>
              <w:bottom w:val="single" w:sz="4" w:space="0" w:color="auto"/>
              <w:right w:val="single" w:sz="4" w:space="0" w:color="auto"/>
            </w:tcBorders>
            <w:vAlign w:val="center"/>
          </w:tcPr>
          <w:p w14:paraId="5B00D567" w14:textId="77777777" w:rsidR="00184A8E" w:rsidRPr="00184A8E" w:rsidRDefault="00184A8E" w:rsidP="00184A8E">
            <w:pPr>
              <w:jc w:val="center"/>
              <w:rPr>
                <w:rFonts w:ascii="Arial" w:hAnsi="Arial" w:cs="Arial"/>
              </w:rPr>
            </w:pPr>
            <w:r w:rsidRPr="00184A8E">
              <w:rPr>
                <w:rFonts w:ascii="Arial" w:eastAsia="Calibri" w:hAnsi="Arial" w:cs="Arial"/>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4A07BAAA"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2590FB54" w14:textId="622959E5" w:rsidR="00184A8E" w:rsidRPr="00184A8E" w:rsidRDefault="00F06D84" w:rsidP="00184A8E">
            <w:pPr>
              <w:jc w:val="center"/>
              <w:rPr>
                <w:rFonts w:ascii="Arial" w:hAnsi="Arial" w:cs="Arial"/>
              </w:rPr>
            </w:pPr>
            <w:r>
              <w:rPr>
                <w:rFonts w:ascii="Arial" w:eastAsia="Calibri" w:hAnsi="Arial" w:cs="Arial"/>
              </w:rPr>
              <w:t>1</w:t>
            </w:r>
          </w:p>
        </w:tc>
        <w:tc>
          <w:tcPr>
            <w:tcW w:w="1276" w:type="dxa"/>
            <w:tcBorders>
              <w:top w:val="single" w:sz="4" w:space="0" w:color="auto"/>
              <w:left w:val="single" w:sz="4" w:space="0" w:color="auto"/>
              <w:bottom w:val="single" w:sz="4" w:space="0" w:color="auto"/>
              <w:right w:val="single" w:sz="4" w:space="0" w:color="auto"/>
            </w:tcBorders>
            <w:vAlign w:val="center"/>
          </w:tcPr>
          <w:p w14:paraId="46068AC0" w14:textId="480D12BD" w:rsidR="00184A8E" w:rsidRPr="00184A8E" w:rsidRDefault="00F06D84" w:rsidP="00184A8E">
            <w:pPr>
              <w:jc w:val="center"/>
              <w:rPr>
                <w:rFonts w:ascii="Arial" w:hAnsi="Arial" w:cs="Arial"/>
              </w:rPr>
            </w:pPr>
            <w:r>
              <w:rPr>
                <w:rFonts w:ascii="Arial" w:eastAsia="Calibri" w:hAnsi="Arial" w:cs="Arial"/>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0405BB4D" w14:textId="77777777" w:rsidR="00184A8E" w:rsidRPr="00184A8E" w:rsidRDefault="00184A8E" w:rsidP="00184A8E">
            <w:pPr>
              <w:jc w:val="center"/>
              <w:rPr>
                <w:rFonts w:ascii="Arial" w:eastAsia="Calibri" w:hAnsi="Arial" w:cs="Arial"/>
              </w:rPr>
            </w:pPr>
            <w:r w:rsidRPr="00184A8E">
              <w:rPr>
                <w:rFonts w:ascii="Arial" w:eastAsia="Calibri" w:hAnsi="Arial" w:cs="Arial"/>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6AEF1A63" w14:textId="77777777" w:rsidR="00184A8E" w:rsidRPr="00184A8E" w:rsidRDefault="00184A8E" w:rsidP="00184A8E">
            <w:pPr>
              <w:jc w:val="center"/>
              <w:rPr>
                <w:rFonts w:ascii="Arial" w:hAnsi="Arial" w:cs="Arial"/>
              </w:rPr>
            </w:pPr>
            <w:r w:rsidRPr="00184A8E">
              <w:rPr>
                <w:rFonts w:ascii="Arial" w:eastAsia="Calibri"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71D4489D" w14:textId="77777777" w:rsidR="00184A8E" w:rsidRPr="00184A8E" w:rsidRDefault="00184A8E" w:rsidP="00184A8E">
            <w:pPr>
              <w:jc w:val="center"/>
              <w:rPr>
                <w:rFonts w:ascii="Arial" w:hAnsi="Arial" w:cs="Arial"/>
              </w:rPr>
            </w:pPr>
            <w:r w:rsidRPr="00184A8E">
              <w:rPr>
                <w:rFonts w:ascii="Arial" w:hAnsi="Arial" w:cs="Arial"/>
              </w:rPr>
              <w:t>0</w:t>
            </w:r>
          </w:p>
        </w:tc>
      </w:tr>
    </w:tbl>
    <w:p w14:paraId="338750ED"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6938677E"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Detaljnije o investiciji u </w:t>
      </w:r>
      <w:hyperlink w:anchor="_8.__IZVADAK" w:history="1">
        <w:r w:rsidRPr="00184A8E">
          <w:rPr>
            <w:rFonts w:ascii="Arial" w:eastAsia="Calibri" w:hAnsi="Arial" w:cs="Arial"/>
            <w:color w:val="0000FF"/>
            <w:sz w:val="20"/>
            <w:szCs w:val="20"/>
            <w:u w:val="single"/>
          </w:rPr>
          <w:t xml:space="preserve">točki 8. </w:t>
        </w:r>
        <w:r w:rsidRPr="00184A8E">
          <w:rPr>
            <w:rFonts w:ascii="Arial" w:eastAsia="Calibri" w:hAnsi="Arial" w:cs="Arial"/>
            <w:b/>
            <w:bCs/>
            <w:color w:val="0000FF"/>
            <w:sz w:val="20"/>
            <w:szCs w:val="20"/>
            <w:u w:val="single"/>
          </w:rPr>
          <w:t>Izvadak projekata iz strateškog plana i provedbenog programa</w:t>
        </w:r>
      </w:hyperlink>
      <w:r w:rsidRPr="00184A8E">
        <w:rPr>
          <w:rFonts w:ascii="Arial" w:eastAsia="Calibri" w:hAnsi="Arial" w:cs="Arial"/>
          <w:b/>
          <w:bCs/>
          <w:sz w:val="20"/>
          <w:szCs w:val="20"/>
        </w:rPr>
        <w:t>.</w:t>
      </w:r>
    </w:p>
    <w:p w14:paraId="33E72CFC" w14:textId="77777777" w:rsidR="00184A8E" w:rsidRPr="00184A8E" w:rsidRDefault="00184A8E" w:rsidP="00184A8E">
      <w:pPr>
        <w:spacing w:after="0" w:line="240" w:lineRule="auto"/>
        <w:jc w:val="both"/>
        <w:rPr>
          <w:rFonts w:ascii="Arial" w:eastAsia="Calibri" w:hAnsi="Arial" w:cs="Arial"/>
          <w:sz w:val="20"/>
          <w:szCs w:val="20"/>
        </w:rPr>
      </w:pPr>
    </w:p>
    <w:p w14:paraId="46B57BB7" w14:textId="5BDB5CA0" w:rsidR="00184A8E" w:rsidRPr="00184A8E" w:rsidRDefault="0001653A" w:rsidP="00184A8E">
      <w:pPr>
        <w:autoSpaceDE w:val="0"/>
        <w:autoSpaceDN w:val="0"/>
        <w:adjustRightInd w:val="0"/>
        <w:spacing w:after="0" w:line="240" w:lineRule="auto"/>
        <w:jc w:val="both"/>
        <w:rPr>
          <w:rFonts w:ascii="Arial" w:eastAsia="Times New Roman" w:hAnsi="Arial" w:cs="Arial"/>
          <w:sz w:val="20"/>
          <w:szCs w:val="20"/>
          <w:lang w:eastAsia="en-US"/>
        </w:rPr>
      </w:pPr>
      <w:r>
        <w:rPr>
          <w:rFonts w:ascii="Arial" w:eastAsia="Calibri" w:hAnsi="Arial" w:cs="Arial"/>
          <w:b/>
          <w:sz w:val="20"/>
          <w:szCs w:val="20"/>
        </w:rPr>
        <w:t>11</w:t>
      </w:r>
      <w:r w:rsidR="00184A8E" w:rsidRPr="00184A8E">
        <w:rPr>
          <w:rFonts w:ascii="Arial" w:eastAsia="Calibri" w:hAnsi="Arial" w:cs="Arial"/>
          <w:b/>
          <w:sz w:val="20"/>
          <w:szCs w:val="20"/>
        </w:rPr>
        <w:t>. K209431 Nadzorno upravljački sustav</w:t>
      </w:r>
      <w:r w:rsidR="00184A8E" w:rsidRPr="00184A8E">
        <w:rPr>
          <w:rFonts w:ascii="Arial" w:eastAsia="Calibri" w:hAnsi="Arial" w:cs="Arial"/>
          <w:sz w:val="20"/>
          <w:szCs w:val="20"/>
        </w:rPr>
        <w:t xml:space="preserve"> - u sklopu projekta nisu planirani rashodi. Prethodnih godina n</w:t>
      </w:r>
      <w:r w:rsidR="00184A8E" w:rsidRPr="00184A8E">
        <w:rPr>
          <w:rFonts w:ascii="Arial" w:eastAsia="Times New Roman" w:hAnsi="Arial" w:cs="Arial"/>
          <w:sz w:val="20"/>
          <w:szCs w:val="20"/>
          <w:lang w:eastAsia="en-US"/>
        </w:rPr>
        <w:t xml:space="preserve">ositelj projekta je bilo društvo u vlasništvu Općine, Konavosko komunalno društvo. Projekt se sufinancirao sredstvima javnog isporučitelja (Konavosko komunalno društvo d.o.o.), sredstvima Općine i sredstvima Hrvatskih voda. </w:t>
      </w:r>
    </w:p>
    <w:p w14:paraId="3B57EFDA"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p>
    <w:p w14:paraId="163A2AB6" w14:textId="473EC5F9" w:rsidR="00184A8E" w:rsidRPr="00184A8E" w:rsidRDefault="0001653A" w:rsidP="00184A8E">
      <w:pPr>
        <w:spacing w:after="0" w:line="240" w:lineRule="auto"/>
        <w:jc w:val="both"/>
        <w:rPr>
          <w:rFonts w:ascii="Arial" w:eastAsia="Times New Roman" w:hAnsi="Arial" w:cs="Arial"/>
          <w:sz w:val="20"/>
          <w:szCs w:val="20"/>
          <w:lang w:eastAsia="en-US"/>
        </w:rPr>
      </w:pPr>
      <w:r>
        <w:rPr>
          <w:rFonts w:ascii="Arial" w:eastAsia="Calibri" w:hAnsi="Arial" w:cs="Arial"/>
          <w:b/>
          <w:sz w:val="20"/>
          <w:szCs w:val="20"/>
          <w:lang w:eastAsia="en-US"/>
        </w:rPr>
        <w:t>12</w:t>
      </w:r>
      <w:r w:rsidR="00184A8E" w:rsidRPr="00184A8E">
        <w:rPr>
          <w:rFonts w:ascii="Arial" w:eastAsia="Calibri" w:hAnsi="Arial" w:cs="Arial"/>
          <w:b/>
          <w:sz w:val="20"/>
          <w:szCs w:val="20"/>
          <w:lang w:eastAsia="en-US"/>
        </w:rPr>
        <w:t>. K209432: Komunalna infrastruktura (opskrba vodom, odvodnja, …) – buduća poduzetnička zona</w:t>
      </w:r>
      <w:r w:rsidR="00184A8E" w:rsidRPr="00184A8E">
        <w:rPr>
          <w:rFonts w:ascii="Arial" w:eastAsia="Calibri" w:hAnsi="Arial" w:cs="Arial"/>
          <w:sz w:val="20"/>
          <w:szCs w:val="20"/>
          <w:lang w:eastAsia="en-US"/>
        </w:rPr>
        <w:t xml:space="preserve"> - u sklopu projekta su planirani rashodi u iznosu 150.000 € za intelektualne usluge početka izrade projektne dokumentacije, te kapitalne pomoći izradu projektne dokumentacije</w:t>
      </w:r>
      <w:r w:rsidR="00184A8E" w:rsidRPr="00184A8E">
        <w:rPr>
          <w:rFonts w:ascii="Arial" w:eastAsia="Times New Roman" w:hAnsi="Arial" w:cs="Arial"/>
          <w:sz w:val="20"/>
          <w:szCs w:val="20"/>
          <w:lang w:eastAsia="en-US"/>
        </w:rPr>
        <w:t>. Rashodi nisu izvršeni.</w:t>
      </w:r>
    </w:p>
    <w:p w14:paraId="508535BF"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216BD1F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Aktivnosti vezane uz opće ciljeve postignute su sukladno postocima izvršenja, a izvršenje rashoda u smanjenom obimu je uvjetovano nedostatkom proračunskih sredstava. </w:t>
      </w:r>
      <w:r w:rsidRPr="00184A8E">
        <w:rPr>
          <w:rFonts w:ascii="Arial" w:eastAsia="Calibri" w:hAnsi="Arial" w:cs="Arial"/>
          <w:sz w:val="20"/>
          <w:szCs w:val="20"/>
        </w:rPr>
        <w:br w:type="page"/>
      </w:r>
    </w:p>
    <w:p w14:paraId="40634BBF"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571" w:name="_Toc435014685"/>
      <w:bookmarkStart w:id="572" w:name="_Toc200628528"/>
      <w:bookmarkStart w:id="573" w:name="_Toc232981460"/>
      <w:r w:rsidRPr="00184A8E">
        <w:rPr>
          <w:rFonts w:ascii="Times New Roman" w:eastAsia="Calibri" w:hAnsi="Times New Roman" w:cs="Times New Roman"/>
          <w:b/>
          <w:sz w:val="24"/>
          <w:szCs w:val="20"/>
          <w:lang w:eastAsia="en-US"/>
        </w:rPr>
        <w:lastRenderedPageBreak/>
        <w:t>Program (2095): Energetska učinkovitost</w:t>
      </w:r>
      <w:bookmarkEnd w:id="571"/>
      <w:bookmarkEnd w:id="572"/>
      <w:bookmarkEnd w:id="573"/>
    </w:p>
    <w:p w14:paraId="3C5DB5C1" w14:textId="77777777" w:rsidR="00184A8E" w:rsidRPr="00184A8E" w:rsidRDefault="00184A8E" w:rsidP="00184A8E">
      <w:pPr>
        <w:spacing w:after="0" w:line="240" w:lineRule="auto"/>
        <w:ind w:firstLine="567"/>
        <w:rPr>
          <w:rFonts w:ascii="Arial" w:eastAsia="Calibri" w:hAnsi="Arial" w:cs="Arial"/>
          <w:sz w:val="20"/>
          <w:szCs w:val="2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9"/>
        <w:gridCol w:w="13121"/>
      </w:tblGrid>
      <w:tr w:rsidR="00184A8E" w:rsidRPr="00184A8E" w14:paraId="6A803A0B" w14:textId="77777777" w:rsidTr="00410A4B">
        <w:tc>
          <w:tcPr>
            <w:tcW w:w="1439" w:type="dxa"/>
          </w:tcPr>
          <w:p w14:paraId="72127F02"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3121" w:type="dxa"/>
            <w:tcBorders>
              <w:top w:val="dotted" w:sz="4" w:space="0" w:color="auto"/>
              <w:left w:val="dotted" w:sz="4" w:space="0" w:color="auto"/>
              <w:bottom w:val="dotted" w:sz="4" w:space="0" w:color="auto"/>
              <w:right w:val="dotted" w:sz="4" w:space="0" w:color="auto"/>
            </w:tcBorders>
          </w:tcPr>
          <w:p w14:paraId="4A9F5E05"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 xml:space="preserve">Program se odnosi na provedbu projekta za povećanje energetske učinkovitosti, te iskorištavanje sredstava sufinanciranja sredstava iz Fonda za zaštitu okoliša i energetsku učinkovitost ukoliko postoje mogućnosti. </w:t>
            </w:r>
            <w:r w:rsidRPr="00184A8E">
              <w:rPr>
                <w:rFonts w:ascii="Arial" w:eastAsia="Times New Roman" w:hAnsi="Arial" w:cs="Arial"/>
                <w:sz w:val="20"/>
                <w:szCs w:val="20"/>
                <w:lang w:eastAsia="en-US"/>
              </w:rPr>
              <w:t xml:space="preserve">Fond za zaštitu okoliša i energetsku učinkovitost ima ključnu ulogu u poticanju primjene mjera povećanja energetske učinkovitosti na nacionalnom te gospodarenja energijom na lokalnom nivou. </w:t>
            </w:r>
          </w:p>
          <w:p w14:paraId="5EE6CE0A"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577B48DF"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Projektima u okviru programa se želi potaknuti javni sektor i lokalno stanovništvo na primjenu mjera energetske učinkovitosti u svrhu smanjenja potrošnje energije, onečišćenja okoliša i troškova grijanja čime se postiže veća kvaliteta života. Budući je projekt popraćen promotivnim aktivnostima isti ima i edukativni karakter što će potaknuti ljude na promjenu svijesti te ekološki i održivi način djelovanja u prostoru. Aktivnosti će doprinijeti smanjenju potrošnje energije i smanjenju emisija CO</w:t>
            </w:r>
            <w:r w:rsidRPr="00184A8E">
              <w:rPr>
                <w:rFonts w:ascii="Cambria Math" w:eastAsia="Times New Roman" w:hAnsi="Cambria Math" w:cs="Cambria Math"/>
                <w:sz w:val="20"/>
                <w:szCs w:val="20"/>
                <w:lang w:eastAsia="en-US"/>
              </w:rPr>
              <w:t>₂</w:t>
            </w:r>
            <w:r w:rsidRPr="00184A8E">
              <w:rPr>
                <w:rFonts w:ascii="Arial" w:eastAsia="Times New Roman" w:hAnsi="Arial" w:cs="Arial"/>
                <w:sz w:val="20"/>
                <w:szCs w:val="20"/>
                <w:lang w:eastAsia="en-US"/>
              </w:rPr>
              <w:t>.</w:t>
            </w:r>
          </w:p>
          <w:p w14:paraId="2FA77ACA"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471E60D0"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Sredstvima Fonda financiraju se projekti energetske obnove postojećih kuća, stambenih i nestambenih zgrada, projekti gradnje energetski učinkovitih objekata, korištenja obnovljivih izvora energije, projekti povećanja energetski učinkovitosti javne rasvjete kao i projekti energetske učinkovitosti u industriji. Također, dio sredstava namijenjen je aktivnostima poticanja čistijeg transporta, ali ostalim programima i projektima koji obuhvaćaju edukaciju, informiranje i općenito poticanje održivog razvoja.</w:t>
            </w:r>
          </w:p>
          <w:p w14:paraId="7374E5B3"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669CF192"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Korisnici sredstava Fonda mogu biti jedinice lokalne i regionalne samouprave, institucije, tvrtke, organizacije civilnog društva i građani, a pravo na sufinanciranje projekata ostvaruju prijavom na javne natječaje i pozive odnosno neposrednih zahtjevom.</w:t>
            </w:r>
          </w:p>
          <w:p w14:paraId="2DEC5D75" w14:textId="77777777" w:rsidR="00184A8E" w:rsidRPr="00184A8E" w:rsidRDefault="00184A8E" w:rsidP="00184A8E">
            <w:pPr>
              <w:spacing w:after="0" w:line="240" w:lineRule="auto"/>
              <w:jc w:val="both"/>
              <w:rPr>
                <w:rFonts w:ascii="Arial" w:eastAsia="Times New Roman" w:hAnsi="Arial" w:cs="Arial"/>
                <w:bCs/>
                <w:sz w:val="20"/>
                <w:szCs w:val="20"/>
                <w:lang w:eastAsia="en-US"/>
              </w:rPr>
            </w:pPr>
            <w:r w:rsidRPr="00184A8E">
              <w:rPr>
                <w:rFonts w:ascii="Arial" w:eastAsia="Calibri" w:hAnsi="Arial" w:cs="Arial"/>
                <w:sz w:val="20"/>
                <w:szCs w:val="20"/>
                <w:lang w:eastAsia="en-US"/>
              </w:rPr>
              <w:t xml:space="preserve">Dosadašnjih godina korištena su sredstva Fonda iz Programa „Poticanje korištenja obnovljivih izvora energije“, odnosno </w:t>
            </w:r>
            <w:r w:rsidRPr="00184A8E">
              <w:rPr>
                <w:rFonts w:ascii="Arial" w:eastAsia="Times New Roman" w:hAnsi="Arial" w:cs="Arial"/>
                <w:sz w:val="20"/>
                <w:szCs w:val="20"/>
                <w:lang w:eastAsia="en-US"/>
              </w:rPr>
              <w:t xml:space="preserve">ugradnja solarnih kolektorskih sustava za pripremu potrošnje tople vode i grijanja u kućanstvima na području Općine Konavle </w:t>
            </w:r>
            <w:r w:rsidRPr="00184A8E">
              <w:rPr>
                <w:rFonts w:ascii="Arial" w:eastAsia="Times New Roman" w:hAnsi="Arial" w:cs="Arial"/>
                <w:bCs/>
                <w:sz w:val="20"/>
                <w:szCs w:val="20"/>
                <w:lang w:eastAsia="en-US"/>
              </w:rPr>
              <w:t>(sustavi za pripremu potrošne tople vode pomoću sunčane energije-kolektori)</w:t>
            </w:r>
            <w:r w:rsidRPr="00184A8E">
              <w:rPr>
                <w:rFonts w:ascii="Arial" w:eastAsia="Times New Roman" w:hAnsi="Arial" w:cs="Arial"/>
                <w:sz w:val="20"/>
                <w:szCs w:val="20"/>
                <w:lang w:eastAsia="en-US"/>
              </w:rPr>
              <w:t xml:space="preserve">, a na temelju provedenih natječaja </w:t>
            </w:r>
            <w:r w:rsidRPr="00184A8E">
              <w:rPr>
                <w:rFonts w:ascii="Arial" w:eastAsia="Calibri" w:hAnsi="Arial" w:cs="Arial"/>
                <w:sz w:val="20"/>
                <w:szCs w:val="20"/>
                <w:lang w:eastAsia="en-US"/>
              </w:rPr>
              <w:t xml:space="preserve">za javno prikupljanje prijava </w:t>
            </w:r>
            <w:r w:rsidRPr="00184A8E">
              <w:rPr>
                <w:rFonts w:ascii="Arial" w:eastAsia="Times New Roman" w:hAnsi="Arial" w:cs="Arial"/>
                <w:bCs/>
                <w:sz w:val="20"/>
                <w:szCs w:val="20"/>
                <w:lang w:eastAsia="en-US"/>
              </w:rPr>
              <w:t xml:space="preserve">za neposredno sudjelovanje Općine Konavle u sufinanciranju projekta. U 2015. godini proveden je Program „Energetske obnove obiteljskih kuća“ putem kojeg se financirala zamjena vanjske stolarije, te toplinska zaštita ovojnice grijanog prostora (vanjski zid, krov, strop ...).  </w:t>
            </w:r>
          </w:p>
          <w:p w14:paraId="5FCA2F2A"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Times New Roman" w:hAnsi="Arial" w:cs="Arial"/>
                <w:bCs/>
                <w:sz w:val="20"/>
                <w:szCs w:val="20"/>
                <w:lang w:eastAsia="en-US"/>
              </w:rPr>
              <w:t>Kroz ovaj program se namjerava provoditi projekte energetske obnove u javnim zgradama, odnosno pokušati koristiti sredstva putem natječaja kao što je Energetska obnova i korištenje obnovljivih izvora energije u zgradama javnog sektora, za koje bi bili potpisani ugovori o dodjeli sredstva, te se započelo s izvođenjem radova i provođenjem projekata.</w:t>
            </w:r>
          </w:p>
        </w:tc>
      </w:tr>
      <w:tr w:rsidR="00184A8E" w:rsidRPr="00184A8E" w14:paraId="54DD015C" w14:textId="77777777" w:rsidTr="00410A4B">
        <w:tc>
          <w:tcPr>
            <w:tcW w:w="1439" w:type="dxa"/>
          </w:tcPr>
          <w:p w14:paraId="543FA564" w14:textId="77777777" w:rsidR="00184A8E" w:rsidRPr="00184A8E" w:rsidRDefault="00184A8E" w:rsidP="00184A8E">
            <w:pPr>
              <w:spacing w:after="0" w:line="240" w:lineRule="auto"/>
              <w:jc w:val="both"/>
              <w:rPr>
                <w:rFonts w:ascii="Arial" w:eastAsia="Calibri" w:hAnsi="Arial" w:cs="Arial"/>
                <w:sz w:val="14"/>
                <w:szCs w:val="14"/>
                <w:lang w:eastAsia="en-US"/>
              </w:rPr>
            </w:pPr>
            <w:r w:rsidRPr="00184A8E">
              <w:rPr>
                <w:rFonts w:ascii="Arial" w:eastAsia="Calibri" w:hAnsi="Arial" w:cs="Arial"/>
                <w:sz w:val="14"/>
                <w:szCs w:val="14"/>
                <w:lang w:eastAsia="en-US"/>
              </w:rPr>
              <w:t>ZAKONSKE I DRUGE PRAVNE OSNOVE PROGRAMA:</w:t>
            </w:r>
          </w:p>
        </w:tc>
        <w:tc>
          <w:tcPr>
            <w:tcW w:w="13121" w:type="dxa"/>
          </w:tcPr>
          <w:p w14:paraId="28B8CEA9" w14:textId="7C25454C"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Zakon o lokalnoj i područnoj (regionalnoj) samoupravi (NN 33/01, 60/01, 129/05, 109/07, 125/08, 36/09, 150/11, 144/12, 19/13, 137/15, 98/19, 144/20), Zakon o energetskoj učinkovitosti (NN 127/14, 116/18, 25/20, 32/21, 41/21, 40/25</w:t>
            </w:r>
            <w:r w:rsidR="0084743F">
              <w:rPr>
                <w:rFonts w:ascii="Arial" w:eastAsia="Times New Roman" w:hAnsi="Arial" w:cs="Arial"/>
                <w:sz w:val="20"/>
                <w:szCs w:val="20"/>
                <w:lang w:eastAsia="en-US"/>
              </w:rPr>
              <w:t xml:space="preserve"> – do 31.12.2025.</w:t>
            </w:r>
            <w:r w:rsidRPr="00184A8E">
              <w:rPr>
                <w:rFonts w:ascii="Arial" w:eastAsia="Times New Roman" w:hAnsi="Arial" w:cs="Arial"/>
                <w:sz w:val="20"/>
                <w:szCs w:val="20"/>
                <w:lang w:eastAsia="en-US"/>
              </w:rPr>
              <w:t xml:space="preserve">), </w:t>
            </w:r>
            <w:r w:rsidR="0084743F" w:rsidRPr="00184A8E">
              <w:rPr>
                <w:rFonts w:ascii="Arial" w:eastAsia="Times New Roman" w:hAnsi="Arial" w:cs="Arial"/>
                <w:sz w:val="20"/>
                <w:szCs w:val="20"/>
                <w:lang w:eastAsia="en-US"/>
              </w:rPr>
              <w:t xml:space="preserve">Zakon o energetskoj učinkovitosti (NN </w:t>
            </w:r>
            <w:r w:rsidR="0084743F">
              <w:rPr>
                <w:rFonts w:ascii="Arial" w:eastAsia="Times New Roman" w:hAnsi="Arial" w:cs="Arial"/>
                <w:sz w:val="20"/>
                <w:szCs w:val="20"/>
                <w:lang w:eastAsia="en-US"/>
              </w:rPr>
              <w:t xml:space="preserve">155/25 – od 1.1.26.), </w:t>
            </w:r>
            <w:r w:rsidRPr="00184A8E">
              <w:rPr>
                <w:rFonts w:ascii="Arial" w:eastAsia="Calibri" w:hAnsi="Arial" w:cs="Arial"/>
                <w:sz w:val="20"/>
                <w:szCs w:val="20"/>
                <w:lang w:eastAsia="en-US"/>
              </w:rPr>
              <w:t xml:space="preserve">Natječaj za javno prikupljanje prijava, </w:t>
            </w:r>
            <w:r w:rsidRPr="00184A8E">
              <w:rPr>
                <w:rFonts w:ascii="Arial" w:eastAsia="Times New Roman" w:hAnsi="Arial" w:cs="Arial"/>
                <w:sz w:val="20"/>
                <w:szCs w:val="20"/>
                <w:lang w:eastAsia="en-US"/>
              </w:rPr>
              <w:t xml:space="preserve">Statut Općine i drugi opći akti. </w:t>
            </w:r>
          </w:p>
        </w:tc>
      </w:tr>
      <w:tr w:rsidR="00184A8E" w:rsidRPr="00184A8E" w14:paraId="19265AC4" w14:textId="77777777" w:rsidTr="00410A4B">
        <w:tc>
          <w:tcPr>
            <w:tcW w:w="1439" w:type="dxa"/>
          </w:tcPr>
          <w:p w14:paraId="3D8A09B4"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3121" w:type="dxa"/>
          </w:tcPr>
          <w:p w14:paraId="73A30BB7"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Times New Roman" w:hAnsi="Arial" w:cs="Arial"/>
                <w:sz w:val="20"/>
                <w:szCs w:val="20"/>
                <w:lang w:eastAsia="en-US"/>
              </w:rPr>
              <w:t>Unapređenje kvalitete stanovanja i življenja uz održivo gospodarenje energijom, primjenom obnovljivih izvora energije i uvažavanjem mjera energetske učinkovitosti.</w:t>
            </w:r>
            <w:r w:rsidRPr="00184A8E">
              <w:rPr>
                <w:rFonts w:ascii="Arial" w:eastAsia="Calibri" w:hAnsi="Arial" w:cs="Arial"/>
                <w:sz w:val="20"/>
                <w:szCs w:val="20"/>
                <w:lang w:eastAsia="en-US"/>
              </w:rPr>
              <w:t xml:space="preserve"> </w:t>
            </w:r>
          </w:p>
          <w:p w14:paraId="510556B4"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Smanjenje potrošnje električne energije na ime korištenja solarnih kolektora za pripremu tople vode i grijanje ili kroz energetsku obnovu obiteljskih kuća, energetsku obnovu javnih zgrada i slično. </w:t>
            </w:r>
          </w:p>
          <w:p w14:paraId="54DC0E88"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Prijave javnih zgrada na projekte energetske obnove.</w:t>
            </w:r>
          </w:p>
        </w:tc>
      </w:tr>
      <w:tr w:rsidR="00184A8E" w:rsidRPr="00184A8E" w14:paraId="6C0F8151" w14:textId="77777777" w:rsidTr="00410A4B">
        <w:tc>
          <w:tcPr>
            <w:tcW w:w="1439" w:type="dxa"/>
            <w:vAlign w:val="bottom"/>
          </w:tcPr>
          <w:p w14:paraId="6F74BF22"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3121" w:type="dxa"/>
            <w:vAlign w:val="bottom"/>
          </w:tcPr>
          <w:p w14:paraId="6CD56273"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Poticati korištenje obnovljivih izvora sunčeve energije, te ostvariti zadovoljstvo građana kroz sufinanciranje, odnosno korištenje nepovratnih sredstava. Utjecati na što veće smanjenje ukupne potrošnje energije.</w:t>
            </w:r>
          </w:p>
          <w:p w14:paraId="512ED395" w14:textId="77777777" w:rsidR="00184A8E" w:rsidRPr="00184A8E" w:rsidRDefault="00184A8E" w:rsidP="00184A8E">
            <w:pPr>
              <w:spacing w:after="0" w:line="240" w:lineRule="auto"/>
              <w:jc w:val="both"/>
              <w:rPr>
                <w:rFonts w:ascii="Arial" w:eastAsia="Calibri" w:hAnsi="Arial" w:cs="Arial"/>
                <w:sz w:val="20"/>
                <w:szCs w:val="20"/>
                <w:lang w:eastAsia="en-US"/>
              </w:rPr>
            </w:pPr>
          </w:p>
          <w:p w14:paraId="0C77D412"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POSEBNI CILJEVI je razmjena iskustava u primjeni djelotvornih mjera za poboljšanje energetske učinkovitosti urbanih sredina, te donošenje mjera i provođenje raznih aktivnosti na poboljšanju energetske učinkovitosti, u cilju smanjenja finalne potrošnje energije u svim sektorima Općine, a samim time i smanjenja emisija CO2.</w:t>
            </w:r>
          </w:p>
        </w:tc>
      </w:tr>
    </w:tbl>
    <w:p w14:paraId="29E0E4E8" w14:textId="77777777" w:rsidR="00184A8E" w:rsidRPr="00184A8E" w:rsidRDefault="00184A8E" w:rsidP="00184A8E">
      <w:pPr>
        <w:spacing w:after="0" w:line="240" w:lineRule="auto"/>
        <w:ind w:firstLine="567"/>
        <w:rPr>
          <w:rFonts w:ascii="Arial" w:eastAsia="Calibri" w:hAnsi="Arial" w:cs="Arial"/>
          <w:sz w:val="20"/>
          <w:szCs w:val="20"/>
        </w:rPr>
      </w:pPr>
    </w:p>
    <w:p w14:paraId="33BA6216" w14:textId="2EEAC79C"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lastRenderedPageBreak/>
        <w:t>Izvršenje aktivnosti sadržanih u ovom programu za 2013.-2024., plan za 2025., izvršenje za 2025., projekcije za 2026.-2027. iskazuju se u valuti EURO kako slijedi:</w:t>
      </w:r>
    </w:p>
    <w:p w14:paraId="1051BC9D" w14:textId="77777777" w:rsidR="00184A8E" w:rsidRPr="00184A8E" w:rsidRDefault="00184A8E" w:rsidP="00184A8E">
      <w:pPr>
        <w:spacing w:after="0" w:line="240" w:lineRule="auto"/>
        <w:rPr>
          <w:rFonts w:ascii="Arial" w:eastAsia="Calibri" w:hAnsi="Arial" w:cs="Arial"/>
          <w:sz w:val="20"/>
          <w:szCs w:val="20"/>
        </w:rPr>
      </w:pPr>
    </w:p>
    <w:p w14:paraId="2ABD859D" w14:textId="49470C19" w:rsidR="00184A8E" w:rsidRPr="001E34FD" w:rsidRDefault="0084743F" w:rsidP="00184A8E">
      <w:pPr>
        <w:spacing w:after="0" w:line="240" w:lineRule="auto"/>
        <w:rPr>
          <w:rFonts w:ascii="Arial" w:eastAsia="Calibri" w:hAnsi="Arial" w:cs="Arial"/>
          <w:sz w:val="20"/>
          <w:szCs w:val="20"/>
        </w:rPr>
      </w:pPr>
      <w:r w:rsidRPr="0084743F">
        <w:rPr>
          <w:noProof/>
        </w:rPr>
        <w:drawing>
          <wp:inline distT="0" distB="0" distL="0" distR="0" wp14:anchorId="6A71BC98" wp14:editId="1D93F878">
            <wp:extent cx="9251950" cy="1605915"/>
            <wp:effectExtent l="0" t="0" r="6350" b="0"/>
            <wp:docPr id="1186635174"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251950" cy="1605915"/>
                    </a:xfrm>
                    <a:prstGeom prst="rect">
                      <a:avLst/>
                    </a:prstGeom>
                    <a:noFill/>
                    <a:ln>
                      <a:noFill/>
                    </a:ln>
                  </pic:spPr>
                </pic:pic>
              </a:graphicData>
            </a:graphic>
          </wp:inline>
        </w:drawing>
      </w:r>
    </w:p>
    <w:p w14:paraId="43BBA2D0" w14:textId="77777777" w:rsidR="00184A8E" w:rsidRPr="00184A8E" w:rsidRDefault="00184A8E" w:rsidP="00184A8E">
      <w:pPr>
        <w:spacing w:after="0" w:line="240" w:lineRule="auto"/>
        <w:jc w:val="right"/>
        <w:rPr>
          <w:rFonts w:ascii="Arial" w:eastAsia="Calibri" w:hAnsi="Arial" w:cs="Arial"/>
          <w:b/>
          <w:sz w:val="20"/>
          <w:szCs w:val="20"/>
          <w:lang w:eastAsia="en-US"/>
        </w:rPr>
      </w:pPr>
      <w:r w:rsidRPr="00184A8E">
        <w:rPr>
          <w:rFonts w:ascii="Arial" w:eastAsia="Calibri" w:hAnsi="Arial" w:cs="Arial"/>
          <w:b/>
          <w:sz w:val="20"/>
          <w:szCs w:val="20"/>
          <w:lang w:eastAsia="en-US"/>
        </w:rPr>
        <w:t xml:space="preserve">RAZLOG ODSTUPANJA OD PROŠLOGODIŠNJIH PROJEKCIJA: </w:t>
      </w:r>
    </w:p>
    <w:p w14:paraId="1061EA0B" w14:textId="77777777" w:rsidR="00184A8E" w:rsidRPr="00184A8E" w:rsidRDefault="00184A8E" w:rsidP="00184A8E">
      <w:pPr>
        <w:spacing w:after="0" w:line="240" w:lineRule="auto"/>
        <w:jc w:val="right"/>
        <w:rPr>
          <w:rFonts w:ascii="Arial" w:eastAsia="Calibri" w:hAnsi="Arial" w:cs="Arial"/>
          <w:b/>
          <w:sz w:val="20"/>
          <w:szCs w:val="20"/>
          <w:lang w:eastAsia="en-US"/>
        </w:rPr>
      </w:pPr>
      <w:r w:rsidRPr="00184A8E">
        <w:rPr>
          <w:rFonts w:ascii="Arial" w:eastAsia="Calibri" w:hAnsi="Arial" w:cs="Arial"/>
          <w:b/>
          <w:sz w:val="20"/>
          <w:szCs w:val="20"/>
          <w:lang w:eastAsia="en-US"/>
        </w:rPr>
        <w:t>Po navedenom programu nije bilo značajnih odstupanja.</w:t>
      </w:r>
    </w:p>
    <w:p w14:paraId="175C71BA"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5083BC38"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68D88D67" w14:textId="3FB665C4"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xml:space="preserve">: Izvršenje </w:t>
      </w:r>
      <w:r w:rsidR="006D6467">
        <w:rPr>
          <w:rFonts w:ascii="Arial" w:eastAsia="Calibri" w:hAnsi="Arial" w:cs="Arial"/>
          <w:sz w:val="20"/>
          <w:szCs w:val="20"/>
          <w:lang w:eastAsia="en-US"/>
        </w:rPr>
        <w:t>je manje od</w:t>
      </w:r>
      <w:r w:rsidRPr="00184A8E">
        <w:rPr>
          <w:rFonts w:ascii="Arial" w:eastAsia="Calibri" w:hAnsi="Arial" w:cs="Arial"/>
          <w:sz w:val="20"/>
          <w:szCs w:val="20"/>
          <w:lang w:eastAsia="en-US"/>
        </w:rPr>
        <w:t xml:space="preserve"> očekivanih vrijednosti</w:t>
      </w:r>
      <w:r w:rsidR="00F951CC">
        <w:rPr>
          <w:rFonts w:ascii="Arial" w:eastAsia="Calibri" w:hAnsi="Arial" w:cs="Arial"/>
          <w:sz w:val="20"/>
          <w:szCs w:val="20"/>
          <w:lang w:eastAsia="en-US"/>
        </w:rPr>
        <w:t xml:space="preserve"> (rashodi nisu izvršeni).</w:t>
      </w:r>
    </w:p>
    <w:p w14:paraId="56B5992F" w14:textId="77777777" w:rsidR="00184A8E" w:rsidRPr="00184A8E" w:rsidRDefault="00184A8E" w:rsidP="00184A8E">
      <w:pPr>
        <w:spacing w:after="0" w:line="240" w:lineRule="auto"/>
        <w:jc w:val="both"/>
        <w:rPr>
          <w:rFonts w:ascii="Arial" w:eastAsia="Calibri" w:hAnsi="Arial" w:cs="Arial"/>
          <w:sz w:val="20"/>
          <w:szCs w:val="20"/>
          <w:lang w:eastAsia="en-US"/>
        </w:rPr>
      </w:pPr>
    </w:p>
    <w:p w14:paraId="0FC28814" w14:textId="6A4C7B4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Planirana sredstva za ostvarenje programa 2095 iznose </w:t>
      </w:r>
      <w:r w:rsidR="006D6467">
        <w:rPr>
          <w:rFonts w:ascii="Arial" w:eastAsia="Calibri" w:hAnsi="Arial" w:cs="Arial"/>
          <w:sz w:val="20"/>
          <w:szCs w:val="20"/>
          <w:lang w:eastAsia="en-US"/>
        </w:rPr>
        <w:t>10</w:t>
      </w:r>
      <w:r w:rsidRPr="00184A8E">
        <w:rPr>
          <w:rFonts w:ascii="Arial" w:eastAsia="Calibri" w:hAnsi="Arial" w:cs="Arial"/>
          <w:sz w:val="20"/>
          <w:szCs w:val="20"/>
          <w:lang w:eastAsia="en-US"/>
        </w:rPr>
        <w:t>.000 € za 202</w:t>
      </w:r>
      <w:r w:rsidR="006D6467">
        <w:rPr>
          <w:rFonts w:ascii="Arial" w:eastAsia="Calibri" w:hAnsi="Arial" w:cs="Arial"/>
          <w:sz w:val="20"/>
          <w:szCs w:val="20"/>
          <w:lang w:eastAsia="en-US"/>
        </w:rPr>
        <w:t>5</w:t>
      </w:r>
      <w:r w:rsidRPr="00184A8E">
        <w:rPr>
          <w:rFonts w:ascii="Arial" w:eastAsia="Calibri" w:hAnsi="Arial" w:cs="Arial"/>
          <w:sz w:val="20"/>
          <w:szCs w:val="20"/>
          <w:lang w:eastAsia="en-US"/>
        </w:rPr>
        <w:t xml:space="preserve">. godinu, te 44.000 € za 2025. godinu i 31.000 € za 2026. godinu. </w:t>
      </w:r>
    </w:p>
    <w:p w14:paraId="34EB1F3D"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Rashodi za 2024. su ostvareni u iznosu 66.891,50 € ili 67,6%. </w:t>
      </w:r>
    </w:p>
    <w:p w14:paraId="3B1A34F0" w14:textId="77777777" w:rsidR="00184A8E" w:rsidRPr="00184A8E" w:rsidRDefault="00184A8E" w:rsidP="00184A8E">
      <w:pPr>
        <w:spacing w:after="0" w:line="240" w:lineRule="auto"/>
        <w:jc w:val="both"/>
        <w:rPr>
          <w:rFonts w:ascii="Arial" w:eastAsia="Calibri" w:hAnsi="Arial" w:cs="Arial"/>
          <w:sz w:val="20"/>
          <w:szCs w:val="20"/>
          <w:lang w:eastAsia="en-US"/>
        </w:rPr>
      </w:pPr>
    </w:p>
    <w:p w14:paraId="776DA37E"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4425FD7A" w14:textId="77777777" w:rsidR="00184A8E" w:rsidRPr="00184A8E" w:rsidRDefault="00184A8E" w:rsidP="00184A8E">
      <w:pPr>
        <w:spacing w:after="0" w:line="240" w:lineRule="auto"/>
        <w:jc w:val="both"/>
        <w:rPr>
          <w:rFonts w:ascii="Arial" w:eastAsia="Calibri" w:hAnsi="Arial" w:cs="Arial"/>
          <w:sz w:val="20"/>
          <w:szCs w:val="20"/>
        </w:rPr>
      </w:pPr>
    </w:p>
    <w:p w14:paraId="007A0FF5"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Unutar programa izvode se slijedeće aktivnosti i projekti:</w:t>
      </w:r>
    </w:p>
    <w:p w14:paraId="65C2ED4A" w14:textId="77777777" w:rsidR="00184A8E" w:rsidRPr="00184A8E" w:rsidRDefault="00184A8E" w:rsidP="00184A8E">
      <w:pPr>
        <w:spacing w:after="0" w:line="240" w:lineRule="auto"/>
        <w:jc w:val="both"/>
        <w:rPr>
          <w:rFonts w:ascii="Arial" w:eastAsia="Calibri" w:hAnsi="Arial" w:cs="Arial"/>
          <w:bCs/>
          <w:sz w:val="20"/>
          <w:szCs w:val="20"/>
        </w:rPr>
      </w:pPr>
    </w:p>
    <w:p w14:paraId="02160E13"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1. A209501: Promicanje energetske učinkovitosti – građani i kućanstva</w:t>
      </w:r>
      <w:r w:rsidRPr="00184A8E">
        <w:rPr>
          <w:rFonts w:ascii="Arial" w:eastAsia="Calibri" w:hAnsi="Arial" w:cs="Arial"/>
          <w:sz w:val="20"/>
          <w:szCs w:val="20"/>
        </w:rPr>
        <w:t xml:space="preserve"> - u sklopu aktivnosti nisu planirani rashodi. U 2015. i 2016. novi projekti </w:t>
      </w:r>
      <w:r w:rsidRPr="00184A8E">
        <w:rPr>
          <w:rFonts w:ascii="Arial" w:eastAsia="Calibri" w:hAnsi="Arial" w:cs="Arial"/>
          <w:bCs/>
          <w:sz w:val="20"/>
          <w:szCs w:val="20"/>
        </w:rPr>
        <w:t xml:space="preserve">za promjenu fasade, vanjske stolarije te postavljanje solarnih korektora obavljali su se izravno putem Fonda za zaštitu okoliša i energetsku učinkovitost. </w:t>
      </w:r>
    </w:p>
    <w:p w14:paraId="232693D8" w14:textId="77777777" w:rsidR="00184A8E" w:rsidRPr="00184A8E" w:rsidRDefault="00184A8E" w:rsidP="00184A8E">
      <w:pPr>
        <w:spacing w:after="0" w:line="240" w:lineRule="auto"/>
        <w:jc w:val="both"/>
        <w:rPr>
          <w:rFonts w:ascii="Arial" w:eastAsia="Calibri" w:hAnsi="Arial" w:cs="Arial"/>
          <w:sz w:val="18"/>
          <w:szCs w:val="18"/>
        </w:rPr>
      </w:pPr>
    </w:p>
    <w:p w14:paraId="425BC5ED"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2. A209502: Energetsko certificiranje</w:t>
      </w:r>
      <w:r w:rsidRPr="00184A8E">
        <w:rPr>
          <w:rFonts w:ascii="Arial" w:eastAsia="Calibri" w:hAnsi="Arial" w:cs="Arial"/>
          <w:sz w:val="20"/>
          <w:szCs w:val="20"/>
          <w:lang w:eastAsia="en-US"/>
        </w:rPr>
        <w:t xml:space="preserve"> - u sklopu aktivnosti nisu planirani rashodi za energetsko certificiranje javnih zgrada (u okviru ove aktivnosti se planira izrada energetskih certifikata - energetski pregled s izvješćem i certifikat o postojećem stanju, snimak izvedenog stanja, izrada glavnog projekta – arhitektonski projekt, projekt fizike zgrade, strojarski projekt i troškovnik, energetski pregled s izvješćem i certifikat o novom stanju). Rashodi nisu izvršeni.</w:t>
      </w:r>
    </w:p>
    <w:p w14:paraId="55C4EFC3" w14:textId="77777777" w:rsidR="00184A8E" w:rsidRPr="00184A8E" w:rsidRDefault="00184A8E" w:rsidP="00184A8E">
      <w:pPr>
        <w:spacing w:after="0" w:line="240" w:lineRule="auto"/>
        <w:jc w:val="both"/>
        <w:rPr>
          <w:rFonts w:ascii="Arial" w:eastAsia="Calibri" w:hAnsi="Arial" w:cs="Arial"/>
          <w:sz w:val="18"/>
          <w:szCs w:val="18"/>
        </w:rPr>
      </w:pPr>
    </w:p>
    <w:tbl>
      <w:tblPr>
        <w:tblStyle w:val="Reetkatablice5368"/>
        <w:tblW w:w="13991" w:type="dxa"/>
        <w:jc w:val="center"/>
        <w:tblLayout w:type="fixed"/>
        <w:tblLook w:val="04A0" w:firstRow="1" w:lastRow="0" w:firstColumn="1" w:lastColumn="0" w:noHBand="0" w:noVBand="1"/>
      </w:tblPr>
      <w:tblGrid>
        <w:gridCol w:w="2972"/>
        <w:gridCol w:w="2693"/>
        <w:gridCol w:w="958"/>
        <w:gridCol w:w="1134"/>
        <w:gridCol w:w="1232"/>
        <w:gridCol w:w="1276"/>
        <w:gridCol w:w="1242"/>
        <w:gridCol w:w="1242"/>
        <w:gridCol w:w="1242"/>
      </w:tblGrid>
      <w:tr w:rsidR="00184A8E" w:rsidRPr="00184A8E" w14:paraId="52D89B49" w14:textId="77777777" w:rsidTr="00410A4B">
        <w:trPr>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1C8D885"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12731B3"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7AA4929"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AC59F62"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A8050B6" w14:textId="62C8B7FB"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876161">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7A5355A" w14:textId="44C1FF31"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876161">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7FC925D" w14:textId="687A9C0E"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876161">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F87DD5E" w14:textId="77777777" w:rsidR="00184A8E" w:rsidRPr="00184A8E" w:rsidRDefault="00184A8E" w:rsidP="00184A8E">
            <w:pPr>
              <w:jc w:val="center"/>
              <w:rPr>
                <w:rFonts w:ascii="Arial" w:eastAsia="Calibri" w:hAnsi="Arial" w:cs="Arial"/>
              </w:rPr>
            </w:pPr>
            <w:r w:rsidRPr="00184A8E">
              <w:rPr>
                <w:rFonts w:ascii="Arial" w:eastAsia="Calibri" w:hAnsi="Arial" w:cs="Arial"/>
              </w:rPr>
              <w:t>Ciljana vrijednost 2025.</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A4421FB" w14:textId="77777777" w:rsidR="00184A8E" w:rsidRPr="00184A8E" w:rsidRDefault="00184A8E" w:rsidP="00184A8E">
            <w:pPr>
              <w:jc w:val="center"/>
              <w:rPr>
                <w:rFonts w:ascii="Arial" w:eastAsia="Calibri" w:hAnsi="Arial" w:cs="Arial"/>
              </w:rPr>
            </w:pPr>
            <w:r w:rsidRPr="00184A8E">
              <w:rPr>
                <w:rFonts w:ascii="Arial" w:eastAsia="Calibri" w:hAnsi="Arial" w:cs="Arial"/>
              </w:rPr>
              <w:t>Ciljana vrijednost 2026.</w:t>
            </w:r>
          </w:p>
        </w:tc>
      </w:tr>
      <w:tr w:rsidR="00184A8E" w:rsidRPr="00184A8E" w14:paraId="45787141" w14:textId="77777777" w:rsidTr="00410A4B">
        <w:trPr>
          <w:trHeight w:val="273"/>
          <w:jc w:val="center"/>
        </w:trPr>
        <w:tc>
          <w:tcPr>
            <w:tcW w:w="2972" w:type="dxa"/>
            <w:tcBorders>
              <w:top w:val="single" w:sz="4" w:space="0" w:color="auto"/>
              <w:left w:val="single" w:sz="4" w:space="0" w:color="auto"/>
              <w:bottom w:val="single" w:sz="4" w:space="0" w:color="auto"/>
              <w:right w:val="single" w:sz="4" w:space="0" w:color="auto"/>
            </w:tcBorders>
            <w:vAlign w:val="center"/>
          </w:tcPr>
          <w:p w14:paraId="5ACA1815" w14:textId="77777777" w:rsidR="00184A8E" w:rsidRPr="00184A8E" w:rsidRDefault="00184A8E" w:rsidP="00184A8E">
            <w:pPr>
              <w:rPr>
                <w:rFonts w:ascii="Arial" w:hAnsi="Arial" w:cs="Arial"/>
              </w:rPr>
            </w:pPr>
            <w:r w:rsidRPr="00184A8E">
              <w:rPr>
                <w:rFonts w:ascii="Arial" w:hAnsi="Arial" w:cs="Arial"/>
              </w:rPr>
              <w:t>Izrada energetskih certifikata za zgrade javne namjene</w:t>
            </w:r>
          </w:p>
        </w:tc>
        <w:tc>
          <w:tcPr>
            <w:tcW w:w="2693" w:type="dxa"/>
            <w:tcBorders>
              <w:top w:val="single" w:sz="4" w:space="0" w:color="auto"/>
              <w:left w:val="single" w:sz="4" w:space="0" w:color="auto"/>
              <w:bottom w:val="single" w:sz="4" w:space="0" w:color="auto"/>
              <w:right w:val="single" w:sz="4" w:space="0" w:color="auto"/>
            </w:tcBorders>
            <w:vAlign w:val="center"/>
          </w:tcPr>
          <w:p w14:paraId="160AD24C" w14:textId="77777777" w:rsidR="00184A8E" w:rsidRPr="00184A8E" w:rsidRDefault="00184A8E" w:rsidP="00184A8E">
            <w:pPr>
              <w:autoSpaceDE w:val="0"/>
              <w:autoSpaceDN w:val="0"/>
              <w:adjustRightInd w:val="0"/>
              <w:rPr>
                <w:rFonts w:ascii="Arial" w:hAnsi="Arial" w:cs="Arial"/>
              </w:rPr>
            </w:pPr>
            <w:r w:rsidRPr="00184A8E">
              <w:rPr>
                <w:rFonts w:ascii="Arial" w:hAnsi="Arial" w:cs="Arial"/>
              </w:rPr>
              <w:t xml:space="preserve">Obavljen energetski pregled s izvješćem </w:t>
            </w:r>
          </w:p>
        </w:tc>
        <w:tc>
          <w:tcPr>
            <w:tcW w:w="958" w:type="dxa"/>
            <w:tcBorders>
              <w:top w:val="single" w:sz="4" w:space="0" w:color="auto"/>
              <w:left w:val="single" w:sz="4" w:space="0" w:color="auto"/>
              <w:bottom w:val="single" w:sz="4" w:space="0" w:color="auto"/>
              <w:right w:val="single" w:sz="4" w:space="0" w:color="auto"/>
            </w:tcBorders>
            <w:vAlign w:val="center"/>
          </w:tcPr>
          <w:p w14:paraId="383259F8" w14:textId="77777777" w:rsidR="00184A8E" w:rsidRPr="00184A8E" w:rsidRDefault="00184A8E" w:rsidP="00184A8E">
            <w:pPr>
              <w:jc w:val="center"/>
              <w:rPr>
                <w:rFonts w:ascii="Arial" w:hAnsi="Arial" w:cs="Arial"/>
              </w:rPr>
            </w:pPr>
            <w:r w:rsidRPr="00184A8E">
              <w:rPr>
                <w:rFonts w:ascii="Arial" w:eastAsia="Calibri" w:hAnsi="Arial" w:cs="Arial"/>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7EB246F2"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858B989" w14:textId="77777777" w:rsidR="00184A8E" w:rsidRPr="00184A8E" w:rsidRDefault="00184A8E" w:rsidP="00184A8E">
            <w:pPr>
              <w:jc w:val="center"/>
              <w:rPr>
                <w:rFonts w:ascii="Arial" w:hAnsi="Arial" w:cs="Arial"/>
              </w:rPr>
            </w:pPr>
            <w:r w:rsidRPr="00184A8E">
              <w:rPr>
                <w:rFonts w:ascii="Arial" w:eastAsia="Calibri" w:hAnsi="Arial" w:cs="Arial"/>
              </w:rPr>
              <w:t>0</w:t>
            </w:r>
          </w:p>
        </w:tc>
        <w:tc>
          <w:tcPr>
            <w:tcW w:w="1276" w:type="dxa"/>
            <w:tcBorders>
              <w:top w:val="single" w:sz="4" w:space="0" w:color="auto"/>
              <w:left w:val="single" w:sz="4" w:space="0" w:color="auto"/>
              <w:bottom w:val="single" w:sz="4" w:space="0" w:color="auto"/>
              <w:right w:val="single" w:sz="4" w:space="0" w:color="auto"/>
            </w:tcBorders>
            <w:vAlign w:val="center"/>
          </w:tcPr>
          <w:p w14:paraId="1ED28DEB" w14:textId="77777777" w:rsidR="00184A8E" w:rsidRPr="00184A8E" w:rsidRDefault="00184A8E" w:rsidP="00184A8E">
            <w:pPr>
              <w:jc w:val="center"/>
              <w:rPr>
                <w:rFonts w:ascii="Arial" w:hAnsi="Arial" w:cs="Arial"/>
              </w:rPr>
            </w:pPr>
            <w:r w:rsidRPr="00184A8E">
              <w:rPr>
                <w:rFonts w:ascii="Arial" w:eastAsia="Calibri"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0E9B3F59" w14:textId="77777777" w:rsidR="00184A8E" w:rsidRPr="00184A8E" w:rsidRDefault="00184A8E" w:rsidP="00184A8E">
            <w:pPr>
              <w:jc w:val="center"/>
              <w:rPr>
                <w:rFonts w:ascii="Arial" w:eastAsia="Calibri" w:hAnsi="Arial" w:cs="Arial"/>
              </w:rPr>
            </w:pPr>
            <w:r w:rsidRPr="00184A8E">
              <w:rPr>
                <w:rFonts w:ascii="Arial" w:eastAsia="Calibri"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74D9FE0A" w14:textId="77777777" w:rsidR="00184A8E" w:rsidRPr="00184A8E" w:rsidRDefault="00184A8E" w:rsidP="00184A8E">
            <w:pPr>
              <w:jc w:val="center"/>
              <w:rPr>
                <w:rFonts w:ascii="Arial" w:hAnsi="Arial" w:cs="Arial"/>
              </w:rPr>
            </w:pPr>
            <w:r w:rsidRPr="00184A8E">
              <w:rPr>
                <w:rFonts w:ascii="Arial" w:eastAsia="Calibri" w:hAnsi="Arial" w:cs="Arial"/>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69F3B520" w14:textId="77777777" w:rsidR="00184A8E" w:rsidRPr="00184A8E" w:rsidRDefault="00184A8E" w:rsidP="00184A8E">
            <w:pPr>
              <w:jc w:val="center"/>
              <w:rPr>
                <w:rFonts w:ascii="Arial" w:hAnsi="Arial" w:cs="Arial"/>
              </w:rPr>
            </w:pPr>
            <w:r w:rsidRPr="00184A8E">
              <w:rPr>
                <w:rFonts w:ascii="Arial" w:hAnsi="Arial" w:cs="Arial"/>
              </w:rPr>
              <w:t>1</w:t>
            </w:r>
          </w:p>
        </w:tc>
      </w:tr>
    </w:tbl>
    <w:p w14:paraId="389DA248" w14:textId="77777777" w:rsidR="00184A8E" w:rsidRPr="00184A8E" w:rsidRDefault="00184A8E" w:rsidP="00184A8E">
      <w:pPr>
        <w:spacing w:after="0" w:line="240" w:lineRule="auto"/>
        <w:jc w:val="both"/>
        <w:rPr>
          <w:rFonts w:ascii="Times New Roman" w:eastAsia="Calibri" w:hAnsi="Times New Roman" w:cs="Times New Roman"/>
          <w:sz w:val="20"/>
          <w:szCs w:val="20"/>
          <w:lang w:eastAsia="en-US"/>
        </w:rPr>
      </w:pPr>
    </w:p>
    <w:p w14:paraId="12676B91"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lastRenderedPageBreak/>
        <w:t>3. A209503: Mjere energetske učinkovitosti</w:t>
      </w:r>
      <w:r w:rsidRPr="00184A8E">
        <w:rPr>
          <w:rFonts w:ascii="Arial" w:eastAsia="Calibri" w:hAnsi="Arial" w:cs="Arial"/>
          <w:sz w:val="20"/>
          <w:szCs w:val="20"/>
          <w:lang w:eastAsia="en-US"/>
        </w:rPr>
        <w:t xml:space="preserve"> - u sklopu aktivnosti su prvotno su bili planirani rashodi za provedbu ove aktivnosti u iznosu 10.000 € i odnose se na provedbu mjera energetske učinkovitosti kod javnih zgrada sufinanciranjem sredstava Fonda za zaštitu okoliša i energetsku učinkovitost. Izmjenama proračuna rashodi nisu planirani niti su izvršeni.</w:t>
      </w:r>
    </w:p>
    <w:p w14:paraId="24965120" w14:textId="77777777" w:rsidR="00184A8E" w:rsidRPr="00184A8E" w:rsidRDefault="00184A8E" w:rsidP="00184A8E">
      <w:pPr>
        <w:spacing w:after="0" w:line="240" w:lineRule="auto"/>
        <w:jc w:val="both"/>
        <w:rPr>
          <w:rFonts w:ascii="Times New Roman" w:eastAsia="Calibri" w:hAnsi="Times New Roman" w:cs="Times New Roman"/>
          <w:sz w:val="20"/>
          <w:szCs w:val="20"/>
          <w:lang w:eastAsia="en-US"/>
        </w:rPr>
      </w:pPr>
    </w:p>
    <w:tbl>
      <w:tblPr>
        <w:tblStyle w:val="Reetkatablice5368"/>
        <w:tblW w:w="14422" w:type="dxa"/>
        <w:jc w:val="center"/>
        <w:tblLayout w:type="fixed"/>
        <w:tblLook w:val="04A0" w:firstRow="1" w:lastRow="0" w:firstColumn="1" w:lastColumn="0" w:noHBand="0" w:noVBand="1"/>
      </w:tblPr>
      <w:tblGrid>
        <w:gridCol w:w="2830"/>
        <w:gridCol w:w="3119"/>
        <w:gridCol w:w="1134"/>
        <w:gridCol w:w="1105"/>
        <w:gridCol w:w="1232"/>
        <w:gridCol w:w="1276"/>
        <w:gridCol w:w="1242"/>
        <w:gridCol w:w="1242"/>
        <w:gridCol w:w="1242"/>
      </w:tblGrid>
      <w:tr w:rsidR="00184A8E" w:rsidRPr="00184A8E" w14:paraId="61597ADC" w14:textId="77777777" w:rsidTr="00410A4B">
        <w:trP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5B2FBFD"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Pokazatelj rezultata</w:t>
            </w:r>
          </w:p>
        </w:tc>
        <w:tc>
          <w:tcPr>
            <w:tcW w:w="311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E79D7B4"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Definicija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354D01D"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Jedinica</w:t>
            </w:r>
          </w:p>
        </w:tc>
        <w:tc>
          <w:tcPr>
            <w:tcW w:w="11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7C09318"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1D7E026" w14:textId="1EE8777D"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Polazna vrijednost 202</w:t>
            </w:r>
            <w:r w:rsidR="00876161">
              <w:rPr>
                <w:rFonts w:ascii="Arial" w:eastAsia="Calibri" w:hAnsi="Arial" w:cs="Arial"/>
                <w:sz w:val="18"/>
                <w:szCs w:val="18"/>
              </w:rPr>
              <w:t>4</w:t>
            </w:r>
            <w:r w:rsidRPr="00184A8E">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1BF093F" w14:textId="4EDAE94A"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876161">
              <w:rPr>
                <w:rFonts w:ascii="Arial" w:eastAsia="Calibri" w:hAnsi="Arial" w:cs="Arial"/>
                <w:sz w:val="18"/>
                <w:szCs w:val="18"/>
              </w:rPr>
              <w:t>5</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8D257AF" w14:textId="60522104"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Izvršeno 202</w:t>
            </w:r>
            <w:r w:rsidR="00876161">
              <w:rPr>
                <w:rFonts w:ascii="Arial" w:eastAsia="Calibri" w:hAnsi="Arial" w:cs="Arial"/>
                <w:sz w:val="18"/>
                <w:szCs w:val="18"/>
              </w:rPr>
              <w:t>5</w:t>
            </w:r>
            <w:r w:rsidRPr="00184A8E">
              <w:rPr>
                <w:rFonts w:ascii="Arial" w:eastAsia="Calibri" w:hAnsi="Arial" w:cs="Arial"/>
                <w:sz w:val="18"/>
                <w:szCs w:val="18"/>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87A84FB" w14:textId="4FB2013F"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876161">
              <w:rPr>
                <w:rFonts w:ascii="Arial" w:eastAsia="Calibri" w:hAnsi="Arial" w:cs="Arial"/>
                <w:sz w:val="18"/>
                <w:szCs w:val="18"/>
              </w:rPr>
              <w:t>6</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F4C68B3" w14:textId="7D4A6169"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876161">
              <w:rPr>
                <w:rFonts w:ascii="Arial" w:eastAsia="Calibri" w:hAnsi="Arial" w:cs="Arial"/>
                <w:sz w:val="18"/>
                <w:szCs w:val="18"/>
              </w:rPr>
              <w:t>7</w:t>
            </w:r>
            <w:r w:rsidRPr="00184A8E">
              <w:rPr>
                <w:rFonts w:ascii="Arial" w:eastAsia="Calibri" w:hAnsi="Arial" w:cs="Arial"/>
                <w:sz w:val="18"/>
                <w:szCs w:val="18"/>
              </w:rPr>
              <w:t>.</w:t>
            </w:r>
          </w:p>
        </w:tc>
      </w:tr>
      <w:tr w:rsidR="00184A8E" w:rsidRPr="00184A8E" w14:paraId="2DFA90DC" w14:textId="77777777" w:rsidTr="00410A4B">
        <w:trPr>
          <w:trHeight w:val="273"/>
          <w:jc w:val="center"/>
        </w:trPr>
        <w:tc>
          <w:tcPr>
            <w:tcW w:w="2830" w:type="dxa"/>
            <w:tcBorders>
              <w:top w:val="single" w:sz="4" w:space="0" w:color="auto"/>
              <w:left w:val="single" w:sz="4" w:space="0" w:color="auto"/>
              <w:bottom w:val="single" w:sz="4" w:space="0" w:color="auto"/>
              <w:right w:val="single" w:sz="4" w:space="0" w:color="auto"/>
            </w:tcBorders>
            <w:vAlign w:val="center"/>
          </w:tcPr>
          <w:p w14:paraId="40CB300D" w14:textId="77777777" w:rsidR="00184A8E" w:rsidRPr="00184A8E" w:rsidRDefault="00184A8E" w:rsidP="00184A8E">
            <w:pPr>
              <w:rPr>
                <w:rFonts w:ascii="Arial" w:hAnsi="Arial" w:cs="Arial"/>
                <w:sz w:val="18"/>
                <w:szCs w:val="18"/>
              </w:rPr>
            </w:pPr>
            <w:r w:rsidRPr="00184A8E">
              <w:rPr>
                <w:rFonts w:ascii="Arial" w:hAnsi="Arial" w:cs="Arial"/>
                <w:sz w:val="18"/>
                <w:szCs w:val="18"/>
              </w:rPr>
              <w:t>Rekonstrukcija objekta javne namjene koristeći sredstva FZOU</w:t>
            </w:r>
          </w:p>
        </w:tc>
        <w:tc>
          <w:tcPr>
            <w:tcW w:w="3119" w:type="dxa"/>
            <w:tcBorders>
              <w:top w:val="single" w:sz="4" w:space="0" w:color="auto"/>
              <w:left w:val="single" w:sz="4" w:space="0" w:color="auto"/>
              <w:bottom w:val="single" w:sz="4" w:space="0" w:color="auto"/>
              <w:right w:val="single" w:sz="4" w:space="0" w:color="auto"/>
            </w:tcBorders>
            <w:vAlign w:val="center"/>
          </w:tcPr>
          <w:p w14:paraId="4DFF2C4D" w14:textId="77777777" w:rsidR="00184A8E" w:rsidRPr="00184A8E" w:rsidRDefault="00184A8E" w:rsidP="00184A8E">
            <w:pPr>
              <w:autoSpaceDE w:val="0"/>
              <w:autoSpaceDN w:val="0"/>
              <w:adjustRightInd w:val="0"/>
              <w:rPr>
                <w:rFonts w:ascii="Arial" w:hAnsi="Arial" w:cs="Arial"/>
                <w:sz w:val="18"/>
                <w:szCs w:val="18"/>
              </w:rPr>
            </w:pPr>
            <w:r w:rsidRPr="00184A8E">
              <w:rPr>
                <w:rFonts w:ascii="Arial" w:hAnsi="Arial" w:cs="Arial"/>
                <w:sz w:val="18"/>
                <w:szCs w:val="18"/>
              </w:rPr>
              <w:t>Završena rekonstrukcija jedne zgrade mjerama energetske učinkovitosti</w:t>
            </w:r>
          </w:p>
        </w:tc>
        <w:tc>
          <w:tcPr>
            <w:tcW w:w="1134" w:type="dxa"/>
            <w:tcBorders>
              <w:top w:val="single" w:sz="4" w:space="0" w:color="auto"/>
              <w:left w:val="single" w:sz="4" w:space="0" w:color="auto"/>
              <w:bottom w:val="single" w:sz="4" w:space="0" w:color="auto"/>
              <w:right w:val="single" w:sz="4" w:space="0" w:color="auto"/>
            </w:tcBorders>
            <w:vAlign w:val="center"/>
          </w:tcPr>
          <w:p w14:paraId="51536E0C"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broj</w:t>
            </w:r>
          </w:p>
        </w:tc>
        <w:tc>
          <w:tcPr>
            <w:tcW w:w="1105" w:type="dxa"/>
            <w:tcBorders>
              <w:top w:val="single" w:sz="4" w:space="0" w:color="auto"/>
              <w:left w:val="single" w:sz="4" w:space="0" w:color="auto"/>
              <w:bottom w:val="single" w:sz="4" w:space="0" w:color="auto"/>
              <w:right w:val="single" w:sz="4" w:space="0" w:color="auto"/>
            </w:tcBorders>
            <w:vAlign w:val="center"/>
          </w:tcPr>
          <w:p w14:paraId="08B1A7AB"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2279EE6A"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3ABC2130"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5E520F9E"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0D2E10CB"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3B4700E8"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w:t>
            </w:r>
          </w:p>
        </w:tc>
      </w:tr>
    </w:tbl>
    <w:p w14:paraId="009413D4"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4BC95F91" w14:textId="33362FD1"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4. A209504: Energetski održivi razvoj i prilagodbe klimatskim promjenama</w:t>
      </w:r>
      <w:r w:rsidRPr="00184A8E">
        <w:rPr>
          <w:rFonts w:ascii="Arial" w:eastAsia="Calibri" w:hAnsi="Arial" w:cs="Arial"/>
          <w:sz w:val="20"/>
          <w:szCs w:val="20"/>
          <w:lang w:eastAsia="en-US"/>
        </w:rPr>
        <w:t xml:space="preserve"> - u sklopu aktivnosti su planirani rashodi za provedbu ove aktivnosti u iznosu </w:t>
      </w:r>
      <w:r w:rsidR="00876161">
        <w:rPr>
          <w:rFonts w:ascii="Arial" w:eastAsia="Calibri" w:hAnsi="Arial" w:cs="Arial"/>
          <w:sz w:val="20"/>
          <w:szCs w:val="20"/>
          <w:lang w:eastAsia="en-US"/>
        </w:rPr>
        <w:t>10</w:t>
      </w:r>
      <w:r w:rsidRPr="00184A8E">
        <w:rPr>
          <w:rFonts w:ascii="Arial" w:eastAsia="Calibri" w:hAnsi="Arial" w:cs="Arial"/>
          <w:sz w:val="20"/>
          <w:szCs w:val="20"/>
          <w:lang w:eastAsia="en-US"/>
        </w:rPr>
        <w:t xml:space="preserve">.000 € i odnose se na izradu dokumenata održivog energetskog razvitka i prilagodbu klimatskim promjenama. Aktivnosti sufinancira Fond za zaštitu okoliša. U narednim godinama trebale bi se donositi dopune plana. </w:t>
      </w:r>
      <w:r w:rsidR="00876161">
        <w:rPr>
          <w:rFonts w:ascii="Arial" w:eastAsia="Calibri" w:hAnsi="Arial" w:cs="Arial"/>
          <w:sz w:val="20"/>
          <w:szCs w:val="20"/>
          <w:lang w:eastAsia="en-US"/>
        </w:rPr>
        <w:t xml:space="preserve">U 2025. godini nisu izrađivane dopune plana, te nisu izvršeni rashodi. </w:t>
      </w:r>
    </w:p>
    <w:p w14:paraId="07641652" w14:textId="77777777" w:rsidR="00184A8E" w:rsidRPr="00184A8E" w:rsidRDefault="00184A8E" w:rsidP="00184A8E">
      <w:pPr>
        <w:spacing w:after="0" w:line="240" w:lineRule="auto"/>
        <w:jc w:val="both"/>
        <w:rPr>
          <w:rFonts w:ascii="Arial" w:eastAsia="Calibri" w:hAnsi="Arial" w:cs="Arial"/>
          <w:sz w:val="20"/>
          <w:szCs w:val="20"/>
          <w:lang w:eastAsia="en-US"/>
        </w:rPr>
      </w:pPr>
    </w:p>
    <w:p w14:paraId="25B90229" w14:textId="77777777" w:rsidR="00184A8E" w:rsidRPr="00876161" w:rsidRDefault="00184A8E" w:rsidP="00876161">
      <w:pPr>
        <w:spacing w:after="0" w:line="240" w:lineRule="auto"/>
        <w:ind w:left="709"/>
        <w:jc w:val="both"/>
        <w:rPr>
          <w:rFonts w:ascii="Arial" w:eastAsia="Calibri" w:hAnsi="Arial" w:cs="Arial"/>
          <w:sz w:val="18"/>
          <w:szCs w:val="18"/>
          <w:lang w:eastAsia="en-US"/>
        </w:rPr>
      </w:pPr>
      <w:r w:rsidRPr="00876161">
        <w:rPr>
          <w:rFonts w:ascii="Arial" w:eastAsia="Calibri" w:hAnsi="Arial" w:cs="Arial"/>
          <w:sz w:val="18"/>
          <w:szCs w:val="18"/>
          <w:lang w:eastAsia="en-US"/>
        </w:rPr>
        <w:t>Općina Konavle započela je s izradom SECAP-a (Akcijski plan održivog energetskog razvitka i prilagodbe klimatskim promjenama), a sredstva su osigurana prijavom na natječaj Fonda za zaštitu okoliša i energetsku učinkovitost (u iznosu 8.500 € koja su doznačena u svibnju 2024.). Općinsko vijeće Općine Konavle je u listopadu 2023. donijelo je Odluku o pristupanju Općine Konavle Sporazumu gradonačelnika za klimu i energiju, što je zapravo predstavljalo preduvjet za izradu Akcijskog plana.</w:t>
      </w:r>
    </w:p>
    <w:p w14:paraId="4594A57A" w14:textId="77777777" w:rsidR="00184A8E" w:rsidRPr="00876161" w:rsidRDefault="00184A8E" w:rsidP="00876161">
      <w:pPr>
        <w:spacing w:after="0" w:line="240" w:lineRule="auto"/>
        <w:ind w:left="709"/>
        <w:jc w:val="both"/>
        <w:rPr>
          <w:rFonts w:ascii="Arial" w:eastAsia="Calibri" w:hAnsi="Arial" w:cs="Arial"/>
          <w:sz w:val="18"/>
          <w:szCs w:val="18"/>
          <w:lang w:eastAsia="en-US"/>
        </w:rPr>
      </w:pPr>
    </w:p>
    <w:p w14:paraId="729D1734" w14:textId="77777777" w:rsidR="00184A8E" w:rsidRPr="00876161" w:rsidRDefault="00184A8E" w:rsidP="00876161">
      <w:pPr>
        <w:spacing w:after="0" w:line="240" w:lineRule="auto"/>
        <w:ind w:left="709"/>
        <w:jc w:val="both"/>
        <w:rPr>
          <w:rFonts w:ascii="Arial" w:eastAsia="Calibri" w:hAnsi="Arial" w:cs="Arial"/>
          <w:sz w:val="18"/>
          <w:szCs w:val="18"/>
          <w:lang w:eastAsia="en-US"/>
        </w:rPr>
      </w:pPr>
      <w:r w:rsidRPr="00876161">
        <w:rPr>
          <w:rFonts w:ascii="Arial" w:eastAsia="Calibri" w:hAnsi="Arial" w:cs="Arial"/>
          <w:sz w:val="18"/>
          <w:szCs w:val="18"/>
          <w:lang w:eastAsia="en-US"/>
        </w:rPr>
        <w:t>Ugovor za izradu dokumenta Akcijskog plana energetski održivog razvoja i prilagodbe klimatskim promjenama je zaključen u rujnu 2023., a ugovorena vrijednost je iznosila 10.625 €. Dokument je u cijelosti dovršen u 2024. godini (za ovaj ugovor su u 2023. godini bili izvršeni rashodi u iznosu 5.312,50 €, a 5.312,50 u 2024. godini).</w:t>
      </w:r>
    </w:p>
    <w:p w14:paraId="0F901696" w14:textId="77777777" w:rsidR="00184A8E" w:rsidRPr="00876161" w:rsidRDefault="00184A8E" w:rsidP="00876161">
      <w:pPr>
        <w:spacing w:after="0" w:line="240" w:lineRule="auto"/>
        <w:ind w:left="709"/>
        <w:jc w:val="both"/>
        <w:rPr>
          <w:rFonts w:ascii="Times New Roman" w:eastAsia="Calibri" w:hAnsi="Times New Roman" w:cs="Times New Roman"/>
          <w:sz w:val="18"/>
          <w:szCs w:val="18"/>
          <w:lang w:eastAsia="en-US"/>
        </w:rPr>
      </w:pPr>
    </w:p>
    <w:p w14:paraId="25BF332A" w14:textId="77777777" w:rsidR="00184A8E" w:rsidRPr="00876161" w:rsidRDefault="00184A8E" w:rsidP="00876161">
      <w:pPr>
        <w:spacing w:after="0" w:line="240" w:lineRule="auto"/>
        <w:ind w:left="709"/>
        <w:jc w:val="both"/>
        <w:rPr>
          <w:rFonts w:ascii="Arial" w:eastAsia="Calibri" w:hAnsi="Arial" w:cs="Arial"/>
          <w:sz w:val="18"/>
          <w:szCs w:val="18"/>
          <w:lang w:eastAsia="en-US"/>
        </w:rPr>
      </w:pPr>
      <w:r w:rsidRPr="00876161">
        <w:rPr>
          <w:rFonts w:ascii="Arial" w:eastAsia="Calibri" w:hAnsi="Arial" w:cs="Arial"/>
          <w:sz w:val="18"/>
          <w:szCs w:val="18"/>
          <w:lang w:eastAsia="en-US"/>
        </w:rPr>
        <w:t>Analiza ranjivosti i rizika od klimatskih promjena za Općinu Konavle podrazumijeva procjenu sektorskih ranjivosti i rizika s obzirom na klimatske promjene za područje Općine Konavle. Procijenjeni su ranjivost i rizici odabranih sektora od utjecaja klimatskih promjena. Odabrani sektori procijenjeni su kao najranjiviji s obzirom na očekivane klimatske promjene u budućnosti, a istovremeno se procjenjuju kao najistaknutiji sektori za područje Općine Konavle. Prilikom izrade analize rizika svakog pojedinog sektora na utjecaje klimatskih promjena, u obzir su uzete ključne sastavnice Analize. Predmetna Analiza je temelj na kojem se zasnivaju buduće mjere prilagodbe na učinke klimatskih promjena Općine Konavle kao zasebne cjeline, a ujedno predstavlja podlogu i sastavni dio dokumenta Akcijskog plana energetski održivog razvitka i klimatskih promjena (SECAP) Općine Konavle.</w:t>
      </w:r>
    </w:p>
    <w:p w14:paraId="331A8E5A" w14:textId="77777777" w:rsidR="00184A8E" w:rsidRPr="00876161" w:rsidRDefault="00184A8E" w:rsidP="00876161">
      <w:pPr>
        <w:spacing w:after="0" w:line="240" w:lineRule="auto"/>
        <w:ind w:left="709"/>
        <w:jc w:val="both"/>
        <w:rPr>
          <w:rFonts w:ascii="Arial" w:eastAsia="Calibri" w:hAnsi="Arial" w:cs="Arial"/>
          <w:sz w:val="18"/>
          <w:szCs w:val="18"/>
          <w:lang w:eastAsia="en-US"/>
        </w:rPr>
      </w:pPr>
    </w:p>
    <w:p w14:paraId="1CD3E019" w14:textId="77777777" w:rsidR="00184A8E" w:rsidRPr="00876161" w:rsidRDefault="00184A8E" w:rsidP="00876161">
      <w:pPr>
        <w:spacing w:after="0" w:line="240" w:lineRule="auto"/>
        <w:ind w:left="709"/>
        <w:jc w:val="both"/>
        <w:rPr>
          <w:rFonts w:ascii="Arial" w:eastAsia="Calibri" w:hAnsi="Arial" w:cs="Arial"/>
          <w:sz w:val="18"/>
          <w:szCs w:val="18"/>
          <w:lang w:eastAsia="en-US"/>
        </w:rPr>
      </w:pPr>
      <w:r w:rsidRPr="00876161">
        <w:rPr>
          <w:rFonts w:ascii="Arial" w:eastAsia="Calibri" w:hAnsi="Arial" w:cs="Arial"/>
          <w:sz w:val="18"/>
          <w:szCs w:val="18"/>
          <w:lang w:eastAsia="en-US"/>
        </w:rPr>
        <w:t xml:space="preserve">Općinsko vijeće je donijelo Odluku o prihvaćanju Akcijskog plana održivog energetskog razvitka i prilagodbe klimatskim promjenama (SECAP) za Općinu Konavle u ožujku 2024. godine. </w:t>
      </w:r>
    </w:p>
    <w:p w14:paraId="0748EAEA" w14:textId="77777777" w:rsidR="00184A8E" w:rsidRPr="00876161" w:rsidRDefault="00184A8E" w:rsidP="00876161">
      <w:pPr>
        <w:spacing w:after="0" w:line="240" w:lineRule="auto"/>
        <w:ind w:left="709"/>
        <w:jc w:val="both"/>
        <w:rPr>
          <w:rFonts w:ascii="Arial" w:eastAsia="Calibri" w:hAnsi="Arial" w:cs="Arial"/>
          <w:sz w:val="18"/>
          <w:szCs w:val="18"/>
          <w:lang w:eastAsia="en-US"/>
        </w:rPr>
      </w:pPr>
    </w:p>
    <w:p w14:paraId="1368BF98" w14:textId="77777777" w:rsidR="00184A8E" w:rsidRPr="00876161" w:rsidRDefault="00184A8E" w:rsidP="00876161">
      <w:pPr>
        <w:spacing w:after="0" w:line="240" w:lineRule="auto"/>
        <w:ind w:left="709"/>
        <w:jc w:val="both"/>
        <w:rPr>
          <w:rFonts w:ascii="Arial" w:eastAsia="Calibri" w:hAnsi="Arial" w:cs="Arial"/>
          <w:sz w:val="18"/>
          <w:szCs w:val="18"/>
          <w:lang w:eastAsia="en-US"/>
        </w:rPr>
      </w:pPr>
      <w:r w:rsidRPr="00876161">
        <w:rPr>
          <w:rFonts w:ascii="Arial" w:eastAsia="Calibri" w:hAnsi="Arial" w:cs="Arial"/>
          <w:sz w:val="18"/>
          <w:szCs w:val="18"/>
          <w:lang w:eastAsia="en-US"/>
        </w:rPr>
        <w:t>Izradom i prihvaćanjem plana postavljaju se temelji za energetski održivu općinu, a definirane mjere unutar plana će, prateći opredjeljenje EU prema politici zelene tranzicije, Općini omogućiti pristup financijskim mehanizmima usmjerenim na provedbu mjera energetske učinkovitosti i obnovljivih izvora energije.</w:t>
      </w:r>
    </w:p>
    <w:p w14:paraId="348AE09E" w14:textId="77777777" w:rsidR="00184A8E" w:rsidRPr="00876161" w:rsidRDefault="00184A8E" w:rsidP="00876161">
      <w:pPr>
        <w:spacing w:after="0" w:line="240" w:lineRule="auto"/>
        <w:ind w:left="709"/>
        <w:jc w:val="both"/>
        <w:rPr>
          <w:rFonts w:ascii="Arial" w:eastAsia="Calibri" w:hAnsi="Arial" w:cs="Arial"/>
          <w:sz w:val="18"/>
          <w:szCs w:val="18"/>
          <w:lang w:eastAsia="en-US"/>
        </w:rPr>
      </w:pPr>
    </w:p>
    <w:p w14:paraId="4ED7E24B" w14:textId="77777777" w:rsidR="00184A8E" w:rsidRPr="00876161" w:rsidRDefault="00184A8E" w:rsidP="00876161">
      <w:pPr>
        <w:spacing w:after="0" w:line="240" w:lineRule="auto"/>
        <w:ind w:left="709"/>
        <w:jc w:val="both"/>
        <w:rPr>
          <w:rFonts w:ascii="Arial" w:eastAsia="Calibri" w:hAnsi="Arial" w:cs="Arial"/>
          <w:sz w:val="18"/>
          <w:szCs w:val="18"/>
          <w:lang w:eastAsia="en-US"/>
        </w:rPr>
      </w:pPr>
      <w:r w:rsidRPr="00876161">
        <w:rPr>
          <w:rFonts w:ascii="Arial" w:eastAsia="Calibri" w:hAnsi="Arial" w:cs="Arial"/>
          <w:sz w:val="18"/>
          <w:szCs w:val="18"/>
          <w:lang w:eastAsia="en-US"/>
        </w:rPr>
        <w:t xml:space="preserve">Na temelju usvojenog Akcijskog plana, Općina je u 2024. godini osigurala sufinanciranje radova uređenja rekreacijske zone Obod. Ugovorom zaključenim s Fondom za zaštitu okoliša i energetsku učinkovitost iz svibnja 2024. godine osigurana su sredstva u iznosu 59.785,25 € (sufinanciranje provedbe mjera prilagodbe klimatskim promjenama u svrhu jačanja otpornosti urbanih sredina). </w:t>
      </w:r>
    </w:p>
    <w:p w14:paraId="4B11295E" w14:textId="77777777" w:rsidR="00184A8E" w:rsidRPr="00876161" w:rsidRDefault="00184A8E" w:rsidP="00876161">
      <w:pPr>
        <w:spacing w:after="0" w:line="240" w:lineRule="auto"/>
        <w:ind w:left="709"/>
        <w:jc w:val="both"/>
        <w:rPr>
          <w:rFonts w:ascii="Arial" w:eastAsia="Calibri" w:hAnsi="Arial" w:cs="Arial"/>
          <w:sz w:val="18"/>
          <w:szCs w:val="18"/>
          <w:lang w:eastAsia="en-US"/>
        </w:rPr>
      </w:pPr>
    </w:p>
    <w:p w14:paraId="26A6BA69" w14:textId="2CBFA383" w:rsidR="00184A8E" w:rsidRPr="00184A8E" w:rsidRDefault="00184A8E" w:rsidP="00876161">
      <w:pPr>
        <w:spacing w:after="0" w:line="240" w:lineRule="auto"/>
        <w:ind w:left="709"/>
        <w:jc w:val="both"/>
        <w:rPr>
          <w:rFonts w:ascii="Arial" w:eastAsia="Calibri" w:hAnsi="Arial" w:cs="Arial"/>
          <w:sz w:val="20"/>
          <w:szCs w:val="20"/>
          <w:lang w:eastAsia="en-US"/>
        </w:rPr>
      </w:pPr>
      <w:r w:rsidRPr="00876161">
        <w:rPr>
          <w:rFonts w:ascii="Arial" w:eastAsia="Calibri" w:hAnsi="Arial" w:cs="Arial"/>
          <w:sz w:val="18"/>
          <w:szCs w:val="18"/>
          <w:lang w:eastAsia="en-US"/>
        </w:rPr>
        <w:t xml:space="preserve">Za potrebe provedbe ovog projekta uređenja i opremanja rekreacijske zone Obod, a na temelju provedenog postupka javne nabave, zaključen je ugovor s izvoditeljem radova u iznosu 59.785,25 € .Ovi radovi su obuhvaćali pripremne radove na terenu, sadnju stabala masline, košćele, brijesta i čempresa, grmova lovora i planike, te ostalog bilja. Nadalje, radovi su obuhvaćali uređenje vrtnog dijela rekreacijske zone, postavljanje opreme (vrtne klupe, samoregulirajuće kapaljke za navodnjavanje, cjelovit sustav za automatsko navodnjavanje. Radovi su obavljeni u ugovorenom iznosu. Usluga nadzora nad radovima </w:t>
      </w:r>
      <w:r w:rsidR="00876161">
        <w:rPr>
          <w:rFonts w:ascii="Arial" w:eastAsia="Calibri" w:hAnsi="Arial" w:cs="Arial"/>
          <w:sz w:val="18"/>
          <w:szCs w:val="18"/>
          <w:lang w:eastAsia="en-US"/>
        </w:rPr>
        <w:t>je iznosila</w:t>
      </w:r>
      <w:r w:rsidRPr="00876161">
        <w:rPr>
          <w:rFonts w:ascii="Arial" w:eastAsia="Calibri" w:hAnsi="Arial" w:cs="Arial"/>
          <w:sz w:val="18"/>
          <w:szCs w:val="18"/>
          <w:lang w:eastAsia="en-US"/>
        </w:rPr>
        <w:t xml:space="preserve"> 1.793,75 €. </w:t>
      </w:r>
    </w:p>
    <w:p w14:paraId="654A1C4B" w14:textId="77777777" w:rsidR="00184A8E" w:rsidRPr="00184A8E" w:rsidRDefault="00184A8E" w:rsidP="00184A8E">
      <w:pPr>
        <w:spacing w:after="0" w:line="240" w:lineRule="auto"/>
        <w:jc w:val="both"/>
        <w:rPr>
          <w:rFonts w:ascii="Arial" w:eastAsia="Calibri" w:hAnsi="Arial" w:cs="Arial"/>
          <w:sz w:val="20"/>
          <w:szCs w:val="20"/>
          <w:lang w:eastAsia="en-US"/>
        </w:rPr>
      </w:pPr>
    </w:p>
    <w:p w14:paraId="672C5464" w14:textId="77777777" w:rsidR="00184A8E" w:rsidRPr="00184A8E" w:rsidRDefault="00184A8E" w:rsidP="00184A8E">
      <w:pPr>
        <w:spacing w:after="0" w:line="240" w:lineRule="auto"/>
        <w:jc w:val="both"/>
        <w:rPr>
          <w:rFonts w:ascii="Arial" w:eastAsia="Calibri" w:hAnsi="Arial" w:cs="Arial"/>
          <w:sz w:val="20"/>
          <w:szCs w:val="20"/>
          <w:lang w:eastAsia="en-US"/>
        </w:rPr>
      </w:pPr>
    </w:p>
    <w:p w14:paraId="2AAE76CB"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574" w:name="_Toc200628529"/>
      <w:bookmarkStart w:id="575" w:name="_Toc232981461"/>
      <w:r w:rsidRPr="00184A8E">
        <w:rPr>
          <w:rFonts w:ascii="Times New Roman" w:eastAsia="Calibri" w:hAnsi="Times New Roman" w:cs="Times New Roman"/>
          <w:b/>
          <w:sz w:val="24"/>
          <w:szCs w:val="20"/>
          <w:lang w:eastAsia="en-US"/>
        </w:rPr>
        <w:t>Program (2096): Program gradnje građevina za gospodarenje komunalnim otpadom</w:t>
      </w:r>
      <w:bookmarkEnd w:id="574"/>
      <w:bookmarkEnd w:id="575"/>
    </w:p>
    <w:p w14:paraId="021003E5" w14:textId="77777777" w:rsidR="00184A8E" w:rsidRPr="00184A8E" w:rsidRDefault="00184A8E" w:rsidP="00184A8E">
      <w:pPr>
        <w:spacing w:after="0" w:line="240" w:lineRule="auto"/>
        <w:rPr>
          <w:rFonts w:ascii="Arial" w:eastAsia="Calibri" w:hAnsi="Arial" w:cs="Arial"/>
          <w:sz w:val="14"/>
          <w:szCs w:val="14"/>
        </w:rPr>
      </w:pPr>
    </w:p>
    <w:p w14:paraId="3B7219DF" w14:textId="77777777" w:rsidR="00184A8E" w:rsidRPr="00184A8E" w:rsidRDefault="00184A8E" w:rsidP="00184A8E">
      <w:pPr>
        <w:spacing w:after="0" w:line="240" w:lineRule="auto"/>
        <w:jc w:val="both"/>
        <w:rPr>
          <w:rFonts w:ascii="Arial" w:eastAsia="Calibri" w:hAnsi="Arial" w:cs="Arial"/>
          <w:sz w:val="14"/>
          <w:szCs w:val="14"/>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9"/>
        <w:gridCol w:w="13121"/>
      </w:tblGrid>
      <w:tr w:rsidR="00184A8E" w:rsidRPr="00184A8E" w14:paraId="72803D8E" w14:textId="77777777" w:rsidTr="00410A4B">
        <w:tc>
          <w:tcPr>
            <w:tcW w:w="1439" w:type="dxa"/>
          </w:tcPr>
          <w:p w14:paraId="235743E7"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3121" w:type="dxa"/>
            <w:tcBorders>
              <w:top w:val="dotted" w:sz="4" w:space="0" w:color="auto"/>
              <w:left w:val="dotted" w:sz="4" w:space="0" w:color="auto"/>
              <w:bottom w:val="dotted" w:sz="4" w:space="0" w:color="auto"/>
              <w:right w:val="dotted" w:sz="4" w:space="0" w:color="auto"/>
            </w:tcBorders>
          </w:tcPr>
          <w:p w14:paraId="65D4AEC3" w14:textId="114EBE85"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Člankom 33. točkama 13. i 14. Zakona o održivom gospodarenju otpadom (Narodne novine 94/13, 73/17, 14/19, 98/19 – na snazi do 30.7.21.) </w:t>
            </w:r>
            <w:r w:rsidR="00876161">
              <w:rPr>
                <w:rFonts w:ascii="Arial" w:eastAsia="Calibri" w:hAnsi="Arial" w:cs="Arial"/>
                <w:sz w:val="20"/>
                <w:szCs w:val="20"/>
                <w:lang w:eastAsia="en-US"/>
              </w:rPr>
              <w:t xml:space="preserve">bilo je </w:t>
            </w:r>
            <w:r w:rsidRPr="00184A8E">
              <w:rPr>
                <w:rFonts w:ascii="Arial" w:eastAsia="Calibri" w:hAnsi="Arial" w:cs="Arial"/>
                <w:sz w:val="20"/>
                <w:szCs w:val="20"/>
                <w:lang w:eastAsia="en-US"/>
              </w:rPr>
              <w:t xml:space="preserve">definirano da je Program gradnje građevina za gospodarenje komunalnim otpadom sastavni dio Programa gradnje objekata i uređaja komunalne infrastrukture te da sadrži opis poslova s procjenom troškova potrebnih za ostvarenje projekta gradnje građevina za gospodarenje otpadom te iskaz financijskih sredstava za ostvarenje programa s naznakom izvora financiranja. </w:t>
            </w:r>
          </w:p>
          <w:p w14:paraId="2B41515F" w14:textId="14EFBAAD"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Zakonom o gospodarenju otpadom (NN 84/21, 142/23) koji je na snazi od 31.7.2021. donošenje Programa gradnje građevina za gospodarenje komunalnim otpadom kao i izvješća o izvršenju programa je na snazi dvije godine od stupanja na snagu novog Zakona ukoliko je uvedena obveza plaćanja naknade za gradnju građevina za gospodarenje komunalnim otpadom. Općina nije uvela obvezu plaćanja naknade za gradnju građevina za gospodarenje komunalnim otpadom.</w:t>
            </w:r>
          </w:p>
          <w:p w14:paraId="03DB7DE3" w14:textId="77777777" w:rsidR="00184A8E" w:rsidRPr="00184A8E" w:rsidRDefault="00184A8E" w:rsidP="00184A8E">
            <w:pPr>
              <w:spacing w:after="0" w:line="240" w:lineRule="auto"/>
              <w:jc w:val="both"/>
              <w:rPr>
                <w:rFonts w:ascii="Arial" w:eastAsia="Calibri" w:hAnsi="Arial" w:cs="Arial"/>
                <w:sz w:val="20"/>
                <w:szCs w:val="20"/>
                <w:lang w:eastAsia="en-US"/>
              </w:rPr>
            </w:pPr>
          </w:p>
          <w:p w14:paraId="16790ED0"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Javna usluga prikupljanja miješanog komunalnog otpada i biorazgradivog komunalnog otpada smatra se uslugom od općeg interesa, a pruža je davatelj javne usluge prikupljanja miješanog komunalnog otpada, odnosno davatelj javne usluge prikupljanja biorazgradivog komunalnog otpada. Korisnik usluge prikupljanja miješanog komunalnog otpada i prikupljanja biorazgradivog komunalnog otpada na području pružanja javne usluge je vlasnik nekretnine, odnosno vlasnik posebnog dijela nekretnine i korisnik nekretnine, odnosno posebnog dijela nekretnine kada je vlasnik nekretnine, odnosno posebnog dijela nekretnine obvezu plaćanja ugovorom prenio na tog korisnika i o tome obavijestio davatelja usluge. </w:t>
            </w:r>
          </w:p>
          <w:p w14:paraId="3D39EE85"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Komunalna društva „Čistoća“ d.o.o. Dubrovnik (društvo u suvlasništvu Općine) i društvo „Čistoća i zelenilo Konavle“ d.o.o. organizirano skupljaju i odvoze komunalni otpad i krupni otpad s područja općine Konavle.</w:t>
            </w:r>
          </w:p>
        </w:tc>
      </w:tr>
      <w:tr w:rsidR="00184A8E" w:rsidRPr="00184A8E" w14:paraId="43D8F080" w14:textId="77777777" w:rsidTr="00410A4B">
        <w:tc>
          <w:tcPr>
            <w:tcW w:w="1439" w:type="dxa"/>
          </w:tcPr>
          <w:p w14:paraId="3CC6573D" w14:textId="77777777" w:rsidR="00184A8E" w:rsidRPr="00184A8E" w:rsidRDefault="00184A8E" w:rsidP="00184A8E">
            <w:pPr>
              <w:spacing w:after="0" w:line="240" w:lineRule="auto"/>
              <w:rPr>
                <w:rFonts w:ascii="Arial" w:eastAsia="Calibri" w:hAnsi="Arial" w:cs="Arial"/>
                <w:sz w:val="14"/>
                <w:szCs w:val="14"/>
                <w:lang w:eastAsia="en-US"/>
              </w:rPr>
            </w:pPr>
            <w:r w:rsidRPr="00184A8E">
              <w:rPr>
                <w:rFonts w:ascii="Arial" w:eastAsia="Calibri" w:hAnsi="Arial" w:cs="Arial"/>
                <w:sz w:val="14"/>
                <w:szCs w:val="14"/>
                <w:lang w:eastAsia="en-US"/>
              </w:rPr>
              <w:t>ZAKONSKE I DRUGE PRAVNE OSNOVE PROGRAMA:</w:t>
            </w:r>
          </w:p>
        </w:tc>
        <w:tc>
          <w:tcPr>
            <w:tcW w:w="13121" w:type="dxa"/>
          </w:tcPr>
          <w:p w14:paraId="200D934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Times New Roman" w:hAnsi="Arial" w:cs="Arial"/>
                <w:sz w:val="20"/>
                <w:szCs w:val="20"/>
              </w:rPr>
              <w:t xml:space="preserve">Zakon o lokalnoj i područnoj (regionalnoj) samoupravi (NN 33/01, 60/01, 129/05, 109/07, 125/08, 36/09, 150/11, 144/12, 19/13, 137/15, 98/19, 144/20), </w:t>
            </w:r>
            <w:r w:rsidRPr="00184A8E">
              <w:rPr>
                <w:rFonts w:ascii="Arial" w:eastAsia="Calibri" w:hAnsi="Arial" w:cs="Arial"/>
                <w:sz w:val="20"/>
                <w:szCs w:val="20"/>
              </w:rPr>
              <w:t xml:space="preserve">Zakon o gospodarenju otpadom (NN 84/21, 142/23), </w:t>
            </w:r>
            <w:r w:rsidRPr="00184A8E">
              <w:rPr>
                <w:rFonts w:ascii="Arial" w:eastAsia="Times New Roman" w:hAnsi="Arial" w:cs="Arial"/>
                <w:sz w:val="20"/>
                <w:szCs w:val="20"/>
              </w:rPr>
              <w:t xml:space="preserve">Statut Općine i drugi opći akti. </w:t>
            </w:r>
          </w:p>
        </w:tc>
      </w:tr>
      <w:tr w:rsidR="00184A8E" w:rsidRPr="00184A8E" w14:paraId="64A323FD" w14:textId="77777777" w:rsidTr="00410A4B">
        <w:tc>
          <w:tcPr>
            <w:tcW w:w="1439" w:type="dxa"/>
          </w:tcPr>
          <w:p w14:paraId="748F3E2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3121" w:type="dxa"/>
          </w:tcPr>
          <w:p w14:paraId="36516931"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Podizanje kvalitete života i stanovanja, zaštita okoliša.</w:t>
            </w:r>
          </w:p>
          <w:p w14:paraId="6C3D47A7"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Očuvanje i unapređenje zaštite okoliša s ciljem očuvanja kvalitete zraka, kakvoće i zaštite tla uvažavajući mjere održivog gospodarenja otpadom.</w:t>
            </w:r>
          </w:p>
          <w:p w14:paraId="05F2BD1E"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Stvaranje preduvjeta za unapređenje kvalitete stanovanja i življenja te podizanje razine i standarda stanovanja.</w:t>
            </w:r>
          </w:p>
          <w:p w14:paraId="4C4DEDA8"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Smanjenje otpada, povećanje reciklaže.</w:t>
            </w:r>
          </w:p>
        </w:tc>
      </w:tr>
      <w:tr w:rsidR="00184A8E" w:rsidRPr="00184A8E" w14:paraId="2A529A4F" w14:textId="77777777" w:rsidTr="00410A4B">
        <w:tc>
          <w:tcPr>
            <w:tcW w:w="1439" w:type="dxa"/>
            <w:vAlign w:val="bottom"/>
          </w:tcPr>
          <w:p w14:paraId="61A89892"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3121" w:type="dxa"/>
          </w:tcPr>
          <w:p w14:paraId="1BF1F5F4"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Poboljšanje mjera za uklanjanje otpada, smanjenje divljih odlagališta otpada</w:t>
            </w:r>
          </w:p>
          <w:p w14:paraId="2C754E1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 je provo</w:t>
            </w:r>
            <w:r w:rsidRPr="00184A8E">
              <w:rPr>
                <w:rFonts w:ascii="Arial" w:eastAsia="TimesNewRoman" w:hAnsi="Arial" w:cs="Arial"/>
                <w:sz w:val="20"/>
                <w:szCs w:val="20"/>
                <w:lang w:eastAsia="en-US"/>
              </w:rPr>
              <w:t>đ</w:t>
            </w:r>
            <w:r w:rsidRPr="00184A8E">
              <w:rPr>
                <w:rFonts w:ascii="Arial" w:eastAsia="Calibri" w:hAnsi="Arial" w:cs="Arial"/>
                <w:sz w:val="20"/>
                <w:szCs w:val="20"/>
                <w:lang w:eastAsia="en-US"/>
              </w:rPr>
              <w:t>enje mjera zaštite okoliša te uspostava cjelovitog sustava gospodarenja otpadom.</w:t>
            </w:r>
          </w:p>
          <w:p w14:paraId="2B42520E"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Povećanje educiranosti kućanstava radi smanjenja niskog stupnja odvajanja otpada, kao i recikliranja otpada u ku</w:t>
            </w:r>
            <w:r w:rsidRPr="00184A8E">
              <w:rPr>
                <w:rFonts w:ascii="Arial" w:eastAsia="TimesNewRoman" w:hAnsi="Arial" w:cs="Arial"/>
                <w:sz w:val="20"/>
                <w:szCs w:val="20"/>
                <w:lang w:eastAsia="en-US"/>
              </w:rPr>
              <w:t>ć</w:t>
            </w:r>
            <w:r w:rsidRPr="00184A8E">
              <w:rPr>
                <w:rFonts w:ascii="Arial" w:eastAsia="Calibri" w:hAnsi="Arial" w:cs="Arial"/>
                <w:sz w:val="20"/>
                <w:szCs w:val="20"/>
                <w:lang w:eastAsia="en-US"/>
              </w:rPr>
              <w:t>anstvima koji proizlazi iz nedovoljne educiranosti gra</w:t>
            </w:r>
            <w:r w:rsidRPr="00184A8E">
              <w:rPr>
                <w:rFonts w:ascii="Arial" w:eastAsia="TimesNewRoman" w:hAnsi="Arial" w:cs="Arial"/>
                <w:sz w:val="20"/>
                <w:szCs w:val="20"/>
                <w:lang w:eastAsia="en-US"/>
              </w:rPr>
              <w:t>đ</w:t>
            </w:r>
            <w:r w:rsidRPr="00184A8E">
              <w:rPr>
                <w:rFonts w:ascii="Arial" w:eastAsia="Calibri" w:hAnsi="Arial" w:cs="Arial"/>
                <w:sz w:val="20"/>
                <w:szCs w:val="20"/>
                <w:lang w:eastAsia="en-US"/>
              </w:rPr>
              <w:t>ana, a otežava i kasniji proces gospodarenja otpadom.</w:t>
            </w:r>
          </w:p>
        </w:tc>
      </w:tr>
    </w:tbl>
    <w:p w14:paraId="3DF69D85"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3905C278"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2D02568D" w14:textId="77777777" w:rsidR="00184A8E" w:rsidRPr="00184A8E" w:rsidRDefault="00184A8E" w:rsidP="00184A8E">
      <w:pPr>
        <w:spacing w:after="0" w:line="240" w:lineRule="auto"/>
        <w:jc w:val="both"/>
        <w:rPr>
          <w:rFonts w:ascii="Arial" w:eastAsia="Calibri" w:hAnsi="Arial" w:cs="Arial"/>
          <w:sz w:val="20"/>
          <w:szCs w:val="20"/>
          <w:lang w:eastAsia="en-US"/>
        </w:rPr>
      </w:pPr>
    </w:p>
    <w:p w14:paraId="4DBF3AB6" w14:textId="7A7797A8"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3C3C29A4" w14:textId="77777777" w:rsidR="00184A8E" w:rsidRPr="00184A8E" w:rsidRDefault="00184A8E" w:rsidP="00184A8E">
      <w:pPr>
        <w:spacing w:after="0" w:line="240" w:lineRule="auto"/>
        <w:jc w:val="both"/>
        <w:rPr>
          <w:rFonts w:ascii="Arial" w:eastAsia="Calibri" w:hAnsi="Arial" w:cs="Arial"/>
          <w:sz w:val="20"/>
          <w:szCs w:val="20"/>
        </w:rPr>
      </w:pPr>
    </w:p>
    <w:p w14:paraId="6B164407" w14:textId="07A87647" w:rsidR="00184A8E" w:rsidRPr="00184A8E" w:rsidRDefault="00876161" w:rsidP="00184A8E">
      <w:pPr>
        <w:spacing w:after="0" w:line="240" w:lineRule="auto"/>
        <w:jc w:val="both"/>
        <w:rPr>
          <w:rFonts w:ascii="Arial" w:eastAsia="Calibri" w:hAnsi="Arial" w:cs="Arial"/>
          <w:b/>
          <w:sz w:val="20"/>
          <w:szCs w:val="20"/>
          <w:lang w:eastAsia="en-US"/>
        </w:rPr>
      </w:pPr>
      <w:r w:rsidRPr="00876161">
        <w:rPr>
          <w:noProof/>
        </w:rPr>
        <w:lastRenderedPageBreak/>
        <w:drawing>
          <wp:inline distT="0" distB="0" distL="0" distR="0" wp14:anchorId="238571DB" wp14:editId="1982A6AB">
            <wp:extent cx="9251950" cy="1765300"/>
            <wp:effectExtent l="0" t="0" r="6350" b="6350"/>
            <wp:docPr id="319672472"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9251950" cy="1765300"/>
                    </a:xfrm>
                    <a:prstGeom prst="rect">
                      <a:avLst/>
                    </a:prstGeom>
                    <a:noFill/>
                    <a:ln>
                      <a:noFill/>
                    </a:ln>
                  </pic:spPr>
                </pic:pic>
              </a:graphicData>
            </a:graphic>
          </wp:inline>
        </w:drawing>
      </w:r>
    </w:p>
    <w:p w14:paraId="503CBD5F"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4539D707"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56FB0880"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7781F1FC" w14:textId="2842A19D" w:rsid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xml:space="preserve">: </w:t>
      </w:r>
      <w:r w:rsidR="00F8110C">
        <w:rPr>
          <w:rFonts w:ascii="Arial" w:eastAsia="Calibri" w:hAnsi="Arial" w:cs="Arial"/>
          <w:sz w:val="20"/>
          <w:szCs w:val="20"/>
          <w:lang w:eastAsia="en-US"/>
        </w:rPr>
        <w:t>Rashodi nisu izvršeni.</w:t>
      </w:r>
    </w:p>
    <w:p w14:paraId="0947068C" w14:textId="77777777" w:rsidR="00B67AD3" w:rsidRPr="00184A8E" w:rsidRDefault="00B67AD3" w:rsidP="00184A8E">
      <w:pPr>
        <w:shd w:val="clear" w:color="auto" w:fill="FFFFFF"/>
        <w:spacing w:after="0" w:line="240" w:lineRule="auto"/>
        <w:jc w:val="both"/>
        <w:rPr>
          <w:rFonts w:ascii="Arial" w:eastAsia="Calibri" w:hAnsi="Arial" w:cs="Arial"/>
          <w:sz w:val="20"/>
          <w:szCs w:val="20"/>
          <w:lang w:eastAsia="en-US"/>
        </w:rPr>
      </w:pPr>
    </w:p>
    <w:p w14:paraId="4F2D486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Ovim programom nastoji se poboljšati kvaliteta i razina komunalne infrastrukture na području Općine. </w:t>
      </w:r>
    </w:p>
    <w:p w14:paraId="174095C8" w14:textId="77777777" w:rsidR="00184A8E" w:rsidRPr="00184A8E" w:rsidRDefault="00184A8E" w:rsidP="00B67AD3">
      <w:pPr>
        <w:spacing w:after="0" w:line="240" w:lineRule="auto"/>
        <w:jc w:val="both"/>
        <w:rPr>
          <w:rFonts w:ascii="Arial" w:eastAsia="Calibri" w:hAnsi="Arial" w:cs="Arial"/>
          <w:sz w:val="20"/>
          <w:szCs w:val="20"/>
          <w:lang w:eastAsia="en-US"/>
        </w:rPr>
      </w:pPr>
    </w:p>
    <w:p w14:paraId="121C0B73" w14:textId="040666BC" w:rsidR="00B67AD3" w:rsidRPr="00B67AD3" w:rsidRDefault="00B67AD3" w:rsidP="00B67AD3">
      <w:pPr>
        <w:spacing w:after="0" w:line="240" w:lineRule="auto"/>
        <w:rPr>
          <w:rFonts w:ascii="Arial" w:eastAsia="Calibri" w:hAnsi="Arial" w:cs="Arial"/>
          <w:sz w:val="20"/>
          <w:szCs w:val="20"/>
          <w:lang w:eastAsia="en-US"/>
        </w:rPr>
      </w:pPr>
      <w:r w:rsidRPr="00B67AD3">
        <w:rPr>
          <w:rFonts w:ascii="Arial" w:eastAsia="Calibri" w:hAnsi="Arial" w:cs="Arial"/>
          <w:sz w:val="20"/>
          <w:szCs w:val="20"/>
          <w:lang w:eastAsia="en-US"/>
        </w:rPr>
        <w:t xml:space="preserve">Planirana sredstva za ostvarenje programa 2096 iznose </w:t>
      </w:r>
      <w:r>
        <w:rPr>
          <w:rFonts w:ascii="Arial" w:eastAsia="Calibri" w:hAnsi="Arial" w:cs="Arial"/>
          <w:sz w:val="20"/>
          <w:szCs w:val="20"/>
          <w:lang w:eastAsia="en-US"/>
        </w:rPr>
        <w:t>0</w:t>
      </w:r>
      <w:r w:rsidRPr="00B67AD3">
        <w:rPr>
          <w:rFonts w:ascii="Arial" w:eastAsia="Calibri" w:hAnsi="Arial" w:cs="Arial"/>
          <w:sz w:val="20"/>
          <w:szCs w:val="20"/>
          <w:lang w:eastAsia="en-US"/>
        </w:rPr>
        <w:t xml:space="preserve"> € za 2025. godinu, te 529.500 € za 2026. godinu (izgradnja reciklažnog dvorišta za građevinski otpad) i 252.500 € za 2027. godinu.</w:t>
      </w:r>
    </w:p>
    <w:p w14:paraId="694F08D7" w14:textId="42810DCA"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Rashodi za 202</w:t>
      </w:r>
      <w:r w:rsidR="00B67AD3">
        <w:rPr>
          <w:rFonts w:ascii="Arial" w:eastAsia="Calibri" w:hAnsi="Arial" w:cs="Arial"/>
          <w:sz w:val="20"/>
          <w:szCs w:val="20"/>
          <w:lang w:eastAsia="en-US"/>
        </w:rPr>
        <w:t>5</w:t>
      </w:r>
      <w:r w:rsidRPr="00184A8E">
        <w:rPr>
          <w:rFonts w:ascii="Arial" w:eastAsia="Calibri" w:hAnsi="Arial" w:cs="Arial"/>
          <w:sz w:val="20"/>
          <w:szCs w:val="20"/>
          <w:lang w:eastAsia="en-US"/>
        </w:rPr>
        <w:t xml:space="preserve">. </w:t>
      </w:r>
      <w:r w:rsidR="00B67AD3">
        <w:rPr>
          <w:rFonts w:ascii="Arial" w:eastAsia="Calibri" w:hAnsi="Arial" w:cs="Arial"/>
          <w:sz w:val="20"/>
          <w:szCs w:val="20"/>
          <w:lang w:eastAsia="en-US"/>
        </w:rPr>
        <w:t>nisu izvršeni</w:t>
      </w:r>
      <w:r w:rsidRPr="00184A8E">
        <w:rPr>
          <w:rFonts w:ascii="Arial" w:eastAsia="Calibri" w:hAnsi="Arial" w:cs="Arial"/>
          <w:sz w:val="20"/>
          <w:szCs w:val="20"/>
          <w:lang w:eastAsia="en-US"/>
        </w:rPr>
        <w:t xml:space="preserve">. </w:t>
      </w:r>
    </w:p>
    <w:p w14:paraId="1813197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2FC5B424"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4E9C99DA" w14:textId="77777777" w:rsidR="00184A8E" w:rsidRPr="00184A8E" w:rsidRDefault="00184A8E" w:rsidP="00184A8E">
      <w:pPr>
        <w:spacing w:after="0" w:line="240" w:lineRule="auto"/>
        <w:jc w:val="both"/>
        <w:rPr>
          <w:rFonts w:ascii="Arial" w:eastAsia="Calibri" w:hAnsi="Arial" w:cs="Arial"/>
          <w:sz w:val="20"/>
          <w:szCs w:val="20"/>
          <w:lang w:eastAsia="en-US"/>
        </w:rPr>
      </w:pPr>
    </w:p>
    <w:p w14:paraId="68C712B0"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Unutar programa izvode se slijedeće aktivnosti i projekti:</w:t>
      </w:r>
    </w:p>
    <w:p w14:paraId="3824E99E" w14:textId="77777777" w:rsidR="00184A8E" w:rsidRPr="00184A8E" w:rsidRDefault="00184A8E" w:rsidP="00184A8E">
      <w:pPr>
        <w:spacing w:after="0" w:line="240" w:lineRule="auto"/>
        <w:jc w:val="both"/>
        <w:rPr>
          <w:rFonts w:ascii="Arial" w:eastAsia="Calibri" w:hAnsi="Arial" w:cs="Arial"/>
          <w:sz w:val="20"/>
          <w:szCs w:val="20"/>
        </w:rPr>
      </w:pPr>
    </w:p>
    <w:p w14:paraId="7B2319A7"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1. K209601: Izgradnja i opremanje reciklažnog dvorišta</w:t>
      </w:r>
      <w:r w:rsidRPr="00184A8E">
        <w:rPr>
          <w:rFonts w:ascii="Arial" w:eastAsia="Calibri" w:hAnsi="Arial" w:cs="Arial"/>
          <w:sz w:val="20"/>
          <w:szCs w:val="20"/>
          <w:lang w:eastAsia="en-US"/>
        </w:rPr>
        <w:t xml:space="preserve"> - Ovaj projekt je završen u 2020. te se u slijedećem proračunskom razdoblju u okviru iste aktivnosti planiraju rashodi za dodatno opremanje u obliku kapitalnih pomoći koje bi se dale društvu u vlasništvu Općine koje upravlja radom reciklažnog dvorišta.</w:t>
      </w:r>
    </w:p>
    <w:p w14:paraId="0C9C11E9" w14:textId="77777777" w:rsidR="00184A8E" w:rsidRPr="00184A8E" w:rsidRDefault="00184A8E" w:rsidP="00184A8E">
      <w:pPr>
        <w:spacing w:after="0" w:line="240" w:lineRule="auto"/>
        <w:jc w:val="both"/>
        <w:rPr>
          <w:rFonts w:ascii="Arial" w:eastAsia="Calibri" w:hAnsi="Arial" w:cs="Arial"/>
          <w:sz w:val="20"/>
          <w:szCs w:val="20"/>
          <w:lang w:eastAsia="en-US"/>
        </w:rPr>
      </w:pPr>
    </w:p>
    <w:p w14:paraId="5A67BD08"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Ministarstvo državne imovine je u kolovozu 2018. godine donijelo odluku o darovanju spomenutih nekretnina u k.o. Popovići površine 2.080.m² za potrebe izgradnje reciklažnog dvorišta. Općina je bila obvezna darovanu nekretninu privesti svrsi u roku 5 godina i u navedenom roku dostaviti Ministarstvu državne imovine uporabnu dozvolu. Upravni odjel za prostorno uređenje i gradnju izdalo je uporabnu dozvolu za reciklažno dvorište dana 13.5.2020. (pravomoćno 14.5.2020.).</w:t>
      </w:r>
    </w:p>
    <w:p w14:paraId="58CBCE3F" w14:textId="77777777" w:rsidR="00184A8E" w:rsidRPr="00184A8E" w:rsidRDefault="00184A8E" w:rsidP="00184A8E">
      <w:pPr>
        <w:spacing w:after="0" w:line="240" w:lineRule="auto"/>
        <w:jc w:val="both"/>
        <w:rPr>
          <w:rFonts w:ascii="Arial" w:eastAsia="Calibri" w:hAnsi="Arial" w:cs="Arial"/>
          <w:sz w:val="20"/>
          <w:szCs w:val="20"/>
        </w:rPr>
      </w:pPr>
    </w:p>
    <w:p w14:paraId="58329FEB" w14:textId="32356FD6" w:rsidR="00B67AD3" w:rsidRDefault="00B67AD3" w:rsidP="00184A8E">
      <w:pPr>
        <w:autoSpaceDE w:val="0"/>
        <w:autoSpaceDN w:val="0"/>
        <w:adjustRightInd w:val="0"/>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 xml:space="preserve">U 2025. godini nije bilo rashoda. </w:t>
      </w:r>
    </w:p>
    <w:p w14:paraId="563AA06B" w14:textId="77777777" w:rsidR="00B67AD3" w:rsidRDefault="00B67AD3" w:rsidP="00184A8E">
      <w:pPr>
        <w:autoSpaceDE w:val="0"/>
        <w:autoSpaceDN w:val="0"/>
        <w:adjustRightInd w:val="0"/>
        <w:spacing w:after="0" w:line="240" w:lineRule="auto"/>
        <w:jc w:val="both"/>
        <w:rPr>
          <w:rFonts w:ascii="Arial" w:eastAsia="Calibri" w:hAnsi="Arial" w:cs="Arial"/>
          <w:sz w:val="20"/>
          <w:szCs w:val="20"/>
          <w:lang w:eastAsia="en-US"/>
        </w:rPr>
      </w:pPr>
    </w:p>
    <w:p w14:paraId="6F5831A5" w14:textId="77777777" w:rsidR="002860CD" w:rsidRDefault="002860CD" w:rsidP="00184A8E">
      <w:pPr>
        <w:autoSpaceDE w:val="0"/>
        <w:autoSpaceDN w:val="0"/>
        <w:adjustRightInd w:val="0"/>
        <w:spacing w:after="0" w:line="240" w:lineRule="auto"/>
        <w:jc w:val="both"/>
        <w:rPr>
          <w:rFonts w:ascii="Arial" w:eastAsia="Calibri" w:hAnsi="Arial" w:cs="Arial"/>
          <w:sz w:val="20"/>
          <w:szCs w:val="20"/>
          <w:lang w:eastAsia="en-US"/>
        </w:rPr>
      </w:pPr>
    </w:p>
    <w:p w14:paraId="27CBB3D4" w14:textId="77777777" w:rsidR="002860CD" w:rsidRPr="00184A8E" w:rsidRDefault="002860CD" w:rsidP="00184A8E">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8"/>
        <w:tblW w:w="13936" w:type="dxa"/>
        <w:jc w:val="center"/>
        <w:tblLayout w:type="fixed"/>
        <w:tblLook w:val="04A0" w:firstRow="1" w:lastRow="0" w:firstColumn="1" w:lastColumn="0" w:noHBand="0" w:noVBand="1"/>
      </w:tblPr>
      <w:tblGrid>
        <w:gridCol w:w="2846"/>
        <w:gridCol w:w="2764"/>
        <w:gridCol w:w="958"/>
        <w:gridCol w:w="1134"/>
        <w:gridCol w:w="1232"/>
        <w:gridCol w:w="1276"/>
        <w:gridCol w:w="1242"/>
        <w:gridCol w:w="1242"/>
        <w:gridCol w:w="1242"/>
      </w:tblGrid>
      <w:tr w:rsidR="00184A8E" w:rsidRPr="00184A8E" w14:paraId="5D95180E" w14:textId="77777777" w:rsidTr="00410A4B">
        <w:trPr>
          <w:jc w:val="center"/>
        </w:trPr>
        <w:tc>
          <w:tcPr>
            <w:tcW w:w="284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F0C72A3" w14:textId="77777777" w:rsidR="00184A8E" w:rsidRPr="00184A8E" w:rsidRDefault="00184A8E" w:rsidP="00184A8E">
            <w:pPr>
              <w:jc w:val="center"/>
              <w:rPr>
                <w:rFonts w:ascii="Arial" w:eastAsia="Calibri" w:hAnsi="Arial" w:cs="Arial"/>
              </w:rPr>
            </w:pPr>
            <w:r w:rsidRPr="00184A8E">
              <w:rPr>
                <w:rFonts w:ascii="Arial" w:eastAsia="Calibri" w:hAnsi="Arial" w:cs="Arial"/>
              </w:rPr>
              <w:lastRenderedPageBreak/>
              <w:t>Pokazatelj rezultata</w:t>
            </w:r>
          </w:p>
        </w:tc>
        <w:tc>
          <w:tcPr>
            <w:tcW w:w="276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B96A24C"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CDCF13D"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31F6A68"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741E8ED" w14:textId="332ED608" w:rsidR="00184A8E" w:rsidRPr="00184A8E" w:rsidRDefault="00184A8E" w:rsidP="00184A8E">
            <w:pPr>
              <w:jc w:val="center"/>
              <w:rPr>
                <w:rFonts w:ascii="Arial" w:eastAsia="Calibri" w:hAnsi="Arial" w:cs="Arial"/>
              </w:rPr>
            </w:pPr>
            <w:r w:rsidRPr="00184A8E">
              <w:rPr>
                <w:rFonts w:ascii="Arial" w:eastAsia="Calibri" w:hAnsi="Arial" w:cs="Arial"/>
              </w:rPr>
              <w:t>Polazna vrijednost 20</w:t>
            </w:r>
            <w:r w:rsidR="00B67AD3">
              <w:rPr>
                <w:rFonts w:ascii="Arial" w:eastAsia="Calibri" w:hAnsi="Arial" w:cs="Arial"/>
              </w:rPr>
              <w:t>24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691C170" w14:textId="540ABCDA"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B67AD3">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0B6AA65" w14:textId="6C1B9A95"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B67AD3">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AB3D430" w14:textId="6DD27FB5"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B67AD3">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DFF3B4" w14:textId="4B7F5B57"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B67AD3">
              <w:rPr>
                <w:rFonts w:ascii="Arial" w:eastAsia="Calibri" w:hAnsi="Arial" w:cs="Arial"/>
              </w:rPr>
              <w:t>7</w:t>
            </w:r>
            <w:r w:rsidRPr="00184A8E">
              <w:rPr>
                <w:rFonts w:ascii="Arial" w:eastAsia="Calibri" w:hAnsi="Arial" w:cs="Arial"/>
              </w:rPr>
              <w:t>.</w:t>
            </w:r>
          </w:p>
        </w:tc>
      </w:tr>
      <w:tr w:rsidR="00184A8E" w:rsidRPr="00184A8E" w14:paraId="15E7F8DC" w14:textId="77777777" w:rsidTr="00410A4B">
        <w:trPr>
          <w:trHeight w:val="273"/>
          <w:jc w:val="center"/>
        </w:trPr>
        <w:tc>
          <w:tcPr>
            <w:tcW w:w="2846" w:type="dxa"/>
            <w:tcBorders>
              <w:top w:val="single" w:sz="4" w:space="0" w:color="auto"/>
              <w:left w:val="single" w:sz="4" w:space="0" w:color="auto"/>
              <w:bottom w:val="single" w:sz="4" w:space="0" w:color="auto"/>
              <w:right w:val="single" w:sz="4" w:space="0" w:color="auto"/>
            </w:tcBorders>
            <w:vAlign w:val="center"/>
          </w:tcPr>
          <w:p w14:paraId="3BC8BEDB" w14:textId="77777777" w:rsidR="00184A8E" w:rsidRPr="00184A8E" w:rsidRDefault="00184A8E" w:rsidP="00184A8E">
            <w:pPr>
              <w:rPr>
                <w:rFonts w:ascii="Arial" w:hAnsi="Arial" w:cs="Arial"/>
                <w:sz w:val="18"/>
                <w:szCs w:val="18"/>
              </w:rPr>
            </w:pPr>
            <w:r w:rsidRPr="00184A8E">
              <w:rPr>
                <w:rFonts w:ascii="Arial" w:hAnsi="Arial" w:cs="Arial"/>
                <w:sz w:val="18"/>
                <w:szCs w:val="18"/>
              </w:rPr>
              <w:t>Utrošena sredstva za opremanje reciklažnog dvorišta</w:t>
            </w:r>
          </w:p>
        </w:tc>
        <w:tc>
          <w:tcPr>
            <w:tcW w:w="2764" w:type="dxa"/>
            <w:tcBorders>
              <w:top w:val="single" w:sz="4" w:space="0" w:color="auto"/>
              <w:left w:val="single" w:sz="4" w:space="0" w:color="auto"/>
              <w:bottom w:val="single" w:sz="4" w:space="0" w:color="auto"/>
              <w:right w:val="single" w:sz="4" w:space="0" w:color="auto"/>
            </w:tcBorders>
            <w:vAlign w:val="center"/>
          </w:tcPr>
          <w:p w14:paraId="1F4EB55F" w14:textId="77777777" w:rsidR="00184A8E" w:rsidRPr="00184A8E" w:rsidRDefault="00184A8E" w:rsidP="00184A8E">
            <w:pPr>
              <w:autoSpaceDE w:val="0"/>
              <w:autoSpaceDN w:val="0"/>
              <w:adjustRightInd w:val="0"/>
              <w:rPr>
                <w:rFonts w:ascii="Arial" w:hAnsi="Arial" w:cs="Arial"/>
                <w:sz w:val="18"/>
                <w:szCs w:val="18"/>
              </w:rPr>
            </w:pPr>
            <w:r w:rsidRPr="00184A8E">
              <w:rPr>
                <w:rFonts w:ascii="Arial" w:hAnsi="Arial" w:cs="Arial"/>
                <w:sz w:val="18"/>
                <w:szCs w:val="18"/>
              </w:rPr>
              <w:t>Udio utrošenih sredstava za opremanje reciklažnog dvorišta</w:t>
            </w:r>
          </w:p>
        </w:tc>
        <w:tc>
          <w:tcPr>
            <w:tcW w:w="958" w:type="dxa"/>
            <w:tcBorders>
              <w:top w:val="single" w:sz="4" w:space="0" w:color="auto"/>
              <w:left w:val="single" w:sz="4" w:space="0" w:color="auto"/>
              <w:bottom w:val="single" w:sz="4" w:space="0" w:color="auto"/>
              <w:right w:val="single" w:sz="4" w:space="0" w:color="auto"/>
            </w:tcBorders>
            <w:vAlign w:val="center"/>
          </w:tcPr>
          <w:p w14:paraId="2990C0E0" w14:textId="77777777" w:rsidR="00184A8E" w:rsidRPr="00184A8E" w:rsidRDefault="00184A8E" w:rsidP="00184A8E">
            <w:pPr>
              <w:jc w:val="center"/>
              <w:rPr>
                <w:rFonts w:ascii="Arial" w:hAnsi="Arial" w:cs="Arial"/>
              </w:rPr>
            </w:pPr>
            <w:r w:rsidRPr="00184A8E">
              <w:rPr>
                <w:rFonts w:ascii="Arial" w:eastAsia="Calibri"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3144102B"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B2CFD57" w14:textId="6F7459B9" w:rsidR="00184A8E" w:rsidRPr="00184A8E" w:rsidRDefault="00B67AD3" w:rsidP="00184A8E">
            <w:pPr>
              <w:jc w:val="center"/>
              <w:rPr>
                <w:rFonts w:ascii="Arial" w:hAnsi="Arial" w:cs="Arial"/>
              </w:rPr>
            </w:pPr>
            <w:r>
              <w:rPr>
                <w:rFonts w:ascii="Arial" w:hAnsi="Arial" w:cs="Arial"/>
              </w:rPr>
              <w:t>3</w:t>
            </w:r>
            <w:r w:rsidR="00184A8E" w:rsidRPr="00184A8E">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7FFC388" w14:textId="5B7D76CD" w:rsidR="00184A8E" w:rsidRPr="00184A8E" w:rsidRDefault="00B67AD3" w:rsidP="00184A8E">
            <w:pPr>
              <w:jc w:val="center"/>
              <w:rPr>
                <w:rFonts w:ascii="Arial" w:hAnsi="Arial" w:cs="Arial"/>
              </w:rPr>
            </w:pPr>
            <w:r>
              <w:rPr>
                <w:rFonts w:ascii="Arial" w:hAnsi="Arial" w:cs="Arial"/>
              </w:rPr>
              <w:t>0</w:t>
            </w:r>
            <w:r w:rsidR="00184A8E" w:rsidRPr="00184A8E">
              <w:rPr>
                <w:rFonts w:ascii="Arial" w:hAnsi="Arial" w:cs="Arial"/>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19FCF27A" w14:textId="75CD49F7" w:rsidR="00184A8E" w:rsidRPr="00184A8E" w:rsidRDefault="00B67AD3" w:rsidP="00184A8E">
            <w:pPr>
              <w:jc w:val="center"/>
              <w:rPr>
                <w:rFonts w:ascii="Arial" w:hAnsi="Arial" w:cs="Arial"/>
              </w:rPr>
            </w:pPr>
            <w:r>
              <w:rPr>
                <w:rFonts w:ascii="Arial" w:hAnsi="Arial" w:cs="Arial"/>
              </w:rPr>
              <w:t>0</w:t>
            </w:r>
            <w:r w:rsidR="00184A8E" w:rsidRPr="00184A8E">
              <w:rPr>
                <w:rFonts w:ascii="Arial" w:hAnsi="Arial" w:cs="Arial"/>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17EF0365"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476201B3" w14:textId="77777777" w:rsidR="00184A8E" w:rsidRPr="00184A8E" w:rsidRDefault="00184A8E" w:rsidP="00184A8E">
            <w:pPr>
              <w:jc w:val="center"/>
              <w:rPr>
                <w:rFonts w:ascii="Arial" w:hAnsi="Arial" w:cs="Arial"/>
              </w:rPr>
            </w:pPr>
            <w:r w:rsidRPr="00184A8E">
              <w:rPr>
                <w:rFonts w:ascii="Arial" w:hAnsi="Arial" w:cs="Arial"/>
              </w:rPr>
              <w:t>100%</w:t>
            </w:r>
          </w:p>
        </w:tc>
      </w:tr>
    </w:tbl>
    <w:p w14:paraId="7F42D8A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427F4D00" w14:textId="77777777" w:rsidR="00184A8E" w:rsidRPr="00184A8E" w:rsidRDefault="00184A8E" w:rsidP="00184A8E">
      <w:pPr>
        <w:spacing w:after="0" w:line="240" w:lineRule="auto"/>
        <w:jc w:val="both"/>
        <w:rPr>
          <w:rFonts w:ascii="Arial" w:eastAsia="Calibri" w:hAnsi="Arial" w:cs="Arial"/>
          <w:b/>
          <w:sz w:val="20"/>
          <w:szCs w:val="20"/>
          <w:lang w:eastAsia="en-US"/>
        </w:rPr>
      </w:pPr>
      <w:r w:rsidRPr="00184A8E">
        <w:rPr>
          <w:rFonts w:ascii="Arial" w:eastAsia="Calibri" w:hAnsi="Arial" w:cs="Arial"/>
          <w:b/>
          <w:sz w:val="20"/>
          <w:szCs w:val="20"/>
          <w:lang w:eastAsia="en-US"/>
        </w:rPr>
        <w:t>2. K209603: Izgradnja sortirnice u reciklažnom dvorištu</w:t>
      </w:r>
      <w:r w:rsidRPr="00184A8E">
        <w:rPr>
          <w:rFonts w:ascii="Arial" w:eastAsia="Calibri" w:hAnsi="Arial" w:cs="Arial"/>
          <w:sz w:val="20"/>
          <w:szCs w:val="20"/>
          <w:lang w:eastAsia="en-US"/>
        </w:rPr>
        <w:t xml:space="preserve"> - u sklopu projekta nisu planirani rashodi već će se rashodi dijelom izvršavati kroz projekt </w:t>
      </w:r>
      <w:r w:rsidRPr="00184A8E">
        <w:rPr>
          <w:rFonts w:ascii="Arial" w:eastAsia="Calibri" w:hAnsi="Arial" w:cs="Arial"/>
          <w:b/>
          <w:sz w:val="20"/>
          <w:szCs w:val="20"/>
          <w:lang w:eastAsia="en-US"/>
        </w:rPr>
        <w:t xml:space="preserve">K209601 </w:t>
      </w:r>
      <w:r w:rsidRPr="00184A8E">
        <w:rPr>
          <w:rFonts w:ascii="Arial" w:eastAsia="Calibri" w:hAnsi="Arial" w:cs="Arial"/>
          <w:sz w:val="20"/>
          <w:szCs w:val="20"/>
          <w:lang w:eastAsia="en-US"/>
        </w:rPr>
        <w:t>nakon što završi izgradnja i opremanje reciklažnog dvorišta. Ovo iz razloga jer će sve predstavljati jednu cjelinu. Dio sredstava bi se trebao osigurati putem Fonda za zaštitu okoliša i energetsku učinkovitost, a dio iz vlastitih sredstava.</w:t>
      </w:r>
    </w:p>
    <w:p w14:paraId="28B9BF0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78E375EB" w14:textId="2678BBDD"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3. K209604: Projektiranje, izgradnja i opremanje reciklažnog dvorišta za građevinski otpad</w:t>
      </w:r>
      <w:r w:rsidRPr="00184A8E">
        <w:rPr>
          <w:rFonts w:ascii="Arial" w:eastAsia="Calibri" w:hAnsi="Arial" w:cs="Arial"/>
          <w:sz w:val="20"/>
          <w:szCs w:val="20"/>
          <w:lang w:eastAsia="en-US"/>
        </w:rPr>
        <w:t xml:space="preserve"> - u sklopu projekta prvotno su bili planirani rashodi za projektiranje u iznosu 50.000 €, a izgradnja i opremanje je bila planirana u 202</w:t>
      </w:r>
      <w:r w:rsidR="00B67AD3">
        <w:rPr>
          <w:rFonts w:ascii="Arial" w:eastAsia="Calibri" w:hAnsi="Arial" w:cs="Arial"/>
          <w:sz w:val="20"/>
          <w:szCs w:val="20"/>
          <w:lang w:eastAsia="en-US"/>
        </w:rPr>
        <w:t>6</w:t>
      </w:r>
      <w:r w:rsidRPr="00184A8E">
        <w:rPr>
          <w:rFonts w:ascii="Arial" w:eastAsia="Calibri" w:hAnsi="Arial" w:cs="Arial"/>
          <w:sz w:val="20"/>
          <w:szCs w:val="20"/>
          <w:lang w:eastAsia="en-US"/>
        </w:rPr>
        <w:t>. i 202</w:t>
      </w:r>
      <w:r w:rsidR="00B67AD3">
        <w:rPr>
          <w:rFonts w:ascii="Arial" w:eastAsia="Calibri" w:hAnsi="Arial" w:cs="Arial"/>
          <w:sz w:val="20"/>
          <w:szCs w:val="20"/>
          <w:lang w:eastAsia="en-US"/>
        </w:rPr>
        <w:t>7</w:t>
      </w:r>
      <w:r w:rsidRPr="00184A8E">
        <w:rPr>
          <w:rFonts w:ascii="Arial" w:eastAsia="Calibri" w:hAnsi="Arial" w:cs="Arial"/>
          <w:sz w:val="20"/>
          <w:szCs w:val="20"/>
          <w:lang w:eastAsia="en-US"/>
        </w:rPr>
        <w:t>. Dio sredstava bi se trebao osigurati putem Fonda za zaštitu okoliša i energetsku učinkovitost, a dio iz vlastitih sredstava. Početak izgradnje reciklažnog dvorišta za građevinski otpad ovisi o osiguravanju proračunskih sredstava. Izmjenama i dopunama proračuna nisu planirani rashodi niti su izvršeni.</w:t>
      </w:r>
    </w:p>
    <w:p w14:paraId="492F9F8C"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3991" w:type="dxa"/>
        <w:jc w:val="center"/>
        <w:tblLayout w:type="fixed"/>
        <w:tblLook w:val="04A0" w:firstRow="1" w:lastRow="0" w:firstColumn="1" w:lastColumn="0" w:noHBand="0" w:noVBand="1"/>
      </w:tblPr>
      <w:tblGrid>
        <w:gridCol w:w="2263"/>
        <w:gridCol w:w="3402"/>
        <w:gridCol w:w="958"/>
        <w:gridCol w:w="1134"/>
        <w:gridCol w:w="1232"/>
        <w:gridCol w:w="1276"/>
        <w:gridCol w:w="1242"/>
        <w:gridCol w:w="1242"/>
        <w:gridCol w:w="1242"/>
      </w:tblGrid>
      <w:tr w:rsidR="00184A8E" w:rsidRPr="00184A8E" w14:paraId="170310DC" w14:textId="77777777" w:rsidTr="00410A4B">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3089C58"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C62B7AE"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22D74A4"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4E076AC"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23555B7" w14:textId="26EAA545"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B67AD3">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3260DEB" w14:textId="43539D4F"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B67AD3">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5F0D24D" w14:textId="555A60D7"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B67AD3">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2C0D453" w14:textId="09DA0C58"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B67AD3">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9E53D6" w14:textId="7937E833"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B67AD3">
              <w:rPr>
                <w:rFonts w:ascii="Arial" w:eastAsia="Calibri" w:hAnsi="Arial" w:cs="Arial"/>
              </w:rPr>
              <w:t>7</w:t>
            </w:r>
            <w:r w:rsidRPr="00184A8E">
              <w:rPr>
                <w:rFonts w:ascii="Arial" w:eastAsia="Calibri" w:hAnsi="Arial" w:cs="Arial"/>
              </w:rPr>
              <w:t>.</w:t>
            </w:r>
          </w:p>
        </w:tc>
      </w:tr>
      <w:tr w:rsidR="00184A8E" w:rsidRPr="00184A8E" w14:paraId="5383B3A7" w14:textId="77777777" w:rsidTr="00410A4B">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6BAA92C6" w14:textId="77777777" w:rsidR="00184A8E" w:rsidRPr="00184A8E" w:rsidRDefault="00184A8E" w:rsidP="00184A8E">
            <w:pPr>
              <w:rPr>
                <w:rFonts w:ascii="Arial" w:hAnsi="Arial" w:cs="Arial"/>
                <w:sz w:val="18"/>
                <w:szCs w:val="18"/>
              </w:rPr>
            </w:pPr>
            <w:r w:rsidRPr="00184A8E">
              <w:rPr>
                <w:rFonts w:ascii="Arial" w:hAnsi="Arial" w:cs="Arial"/>
                <w:sz w:val="18"/>
                <w:szCs w:val="18"/>
              </w:rPr>
              <w:t>Projekt izgradnje reciklažnog dvorišta za građevinski otpad</w:t>
            </w:r>
          </w:p>
        </w:tc>
        <w:tc>
          <w:tcPr>
            <w:tcW w:w="3402" w:type="dxa"/>
            <w:tcBorders>
              <w:top w:val="single" w:sz="4" w:space="0" w:color="auto"/>
              <w:left w:val="single" w:sz="4" w:space="0" w:color="auto"/>
              <w:bottom w:val="single" w:sz="4" w:space="0" w:color="auto"/>
              <w:right w:val="single" w:sz="4" w:space="0" w:color="auto"/>
            </w:tcBorders>
            <w:vAlign w:val="center"/>
          </w:tcPr>
          <w:p w14:paraId="09CDA161" w14:textId="77777777" w:rsidR="00184A8E" w:rsidRPr="00184A8E" w:rsidRDefault="00184A8E" w:rsidP="00184A8E">
            <w:pPr>
              <w:autoSpaceDE w:val="0"/>
              <w:autoSpaceDN w:val="0"/>
              <w:adjustRightInd w:val="0"/>
              <w:rPr>
                <w:rFonts w:ascii="Arial" w:hAnsi="Arial" w:cs="Arial"/>
                <w:sz w:val="18"/>
                <w:szCs w:val="18"/>
              </w:rPr>
            </w:pPr>
            <w:r w:rsidRPr="00184A8E">
              <w:rPr>
                <w:rFonts w:ascii="Arial" w:hAnsi="Arial" w:cs="Arial"/>
                <w:sz w:val="18"/>
                <w:szCs w:val="18"/>
              </w:rPr>
              <w:t>Izrađen projekt izgradnje reciklažnog dvorišta za građevinski otpad</w:t>
            </w:r>
          </w:p>
        </w:tc>
        <w:tc>
          <w:tcPr>
            <w:tcW w:w="958" w:type="dxa"/>
            <w:tcBorders>
              <w:top w:val="single" w:sz="4" w:space="0" w:color="auto"/>
              <w:left w:val="single" w:sz="4" w:space="0" w:color="auto"/>
              <w:bottom w:val="single" w:sz="4" w:space="0" w:color="auto"/>
              <w:right w:val="single" w:sz="4" w:space="0" w:color="auto"/>
            </w:tcBorders>
            <w:vAlign w:val="center"/>
          </w:tcPr>
          <w:p w14:paraId="30B4CBFF" w14:textId="77777777" w:rsidR="00184A8E" w:rsidRPr="00184A8E" w:rsidRDefault="00184A8E" w:rsidP="00184A8E">
            <w:pPr>
              <w:jc w:val="center"/>
              <w:rPr>
                <w:rFonts w:ascii="Arial" w:hAnsi="Arial" w:cs="Arial"/>
              </w:rPr>
            </w:pPr>
            <w:r w:rsidRPr="00184A8E">
              <w:rPr>
                <w:rFonts w:ascii="Arial" w:eastAsia="Calibri" w:hAnsi="Arial" w:cs="Arial"/>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2302D399"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3E7C65E1" w14:textId="77777777" w:rsidR="00184A8E" w:rsidRPr="00184A8E" w:rsidRDefault="00184A8E" w:rsidP="00184A8E">
            <w:pPr>
              <w:jc w:val="center"/>
              <w:rPr>
                <w:rFonts w:ascii="Arial" w:hAnsi="Arial" w:cs="Arial"/>
              </w:rPr>
            </w:pPr>
            <w:r w:rsidRPr="00184A8E">
              <w:rPr>
                <w:rFonts w:ascii="Arial" w:hAnsi="Arial" w:cs="Arial"/>
              </w:rPr>
              <w:t>0</w:t>
            </w:r>
          </w:p>
        </w:tc>
        <w:tc>
          <w:tcPr>
            <w:tcW w:w="1276" w:type="dxa"/>
            <w:tcBorders>
              <w:top w:val="single" w:sz="4" w:space="0" w:color="auto"/>
              <w:left w:val="single" w:sz="4" w:space="0" w:color="auto"/>
              <w:bottom w:val="single" w:sz="4" w:space="0" w:color="auto"/>
              <w:right w:val="single" w:sz="4" w:space="0" w:color="auto"/>
            </w:tcBorders>
            <w:vAlign w:val="center"/>
          </w:tcPr>
          <w:p w14:paraId="455D45A6"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2645D423"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5FE80C98" w14:textId="77777777" w:rsidR="00184A8E" w:rsidRPr="00184A8E" w:rsidRDefault="00184A8E" w:rsidP="00184A8E">
            <w:pPr>
              <w:jc w:val="center"/>
              <w:rPr>
                <w:rFonts w:ascii="Arial" w:hAnsi="Arial" w:cs="Arial"/>
              </w:rPr>
            </w:pPr>
            <w:r w:rsidRPr="00184A8E">
              <w:rPr>
                <w:rFonts w:ascii="Arial" w:hAnsi="Arial" w:cs="Arial"/>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643800CD" w14:textId="77777777" w:rsidR="00184A8E" w:rsidRPr="00184A8E" w:rsidRDefault="00184A8E" w:rsidP="00184A8E">
            <w:pPr>
              <w:jc w:val="center"/>
              <w:rPr>
                <w:rFonts w:ascii="Arial" w:hAnsi="Arial" w:cs="Arial"/>
              </w:rPr>
            </w:pPr>
            <w:r w:rsidRPr="00184A8E">
              <w:rPr>
                <w:rFonts w:ascii="Arial" w:hAnsi="Arial" w:cs="Arial"/>
              </w:rPr>
              <w:t>0</w:t>
            </w:r>
          </w:p>
        </w:tc>
      </w:tr>
    </w:tbl>
    <w:p w14:paraId="7E8FFF2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753D8F0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S obzirom da aktivnosti nisu izvršene u okviru ovog programa nisu postignuti opći ciljevi.</w:t>
      </w:r>
      <w:r w:rsidRPr="00184A8E">
        <w:rPr>
          <w:rFonts w:ascii="Arial" w:eastAsia="Calibri" w:hAnsi="Arial" w:cs="Arial"/>
          <w:sz w:val="20"/>
          <w:szCs w:val="20"/>
        </w:rPr>
        <w:br w:type="page"/>
      </w:r>
    </w:p>
    <w:p w14:paraId="55A5018B" w14:textId="77777777" w:rsidR="00184A8E" w:rsidRPr="00184A8E" w:rsidRDefault="00184A8E" w:rsidP="00184A8E">
      <w:pPr>
        <w:spacing w:after="0" w:line="240" w:lineRule="auto"/>
        <w:rPr>
          <w:rFonts w:ascii="Arial" w:eastAsia="Calibri" w:hAnsi="Arial" w:cs="Arial"/>
          <w:sz w:val="20"/>
          <w:szCs w:val="20"/>
        </w:rPr>
      </w:pPr>
    </w:p>
    <w:p w14:paraId="36391108"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576" w:name="_Toc532802877"/>
      <w:bookmarkStart w:id="577" w:name="_Toc200628530"/>
      <w:bookmarkStart w:id="578" w:name="_Toc232981462"/>
      <w:r w:rsidRPr="00184A8E">
        <w:rPr>
          <w:rFonts w:ascii="Times New Roman" w:eastAsia="Calibri" w:hAnsi="Times New Roman" w:cs="Times New Roman"/>
          <w:b/>
          <w:sz w:val="24"/>
          <w:szCs w:val="20"/>
          <w:lang w:eastAsia="en-US"/>
        </w:rPr>
        <w:t>Program (2097): Redovan rad UO komunalni sustav i gospodarenje nekretninama – povremeni opći troškovi u nadležnosti odjela</w:t>
      </w:r>
      <w:bookmarkEnd w:id="576"/>
      <w:bookmarkEnd w:id="577"/>
      <w:bookmarkEnd w:id="578"/>
    </w:p>
    <w:p w14:paraId="464F2A16"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9"/>
        <w:gridCol w:w="12729"/>
      </w:tblGrid>
      <w:tr w:rsidR="00184A8E" w:rsidRPr="00184A8E" w14:paraId="46720F88" w14:textId="77777777" w:rsidTr="00410A4B">
        <w:tc>
          <w:tcPr>
            <w:tcW w:w="1439" w:type="dxa"/>
          </w:tcPr>
          <w:p w14:paraId="660E6116"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729" w:type="dxa"/>
          </w:tcPr>
          <w:p w14:paraId="50AF73B0"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Programom se omogućava redovno obavljanje zadataka u nadležnosti odjela.</w:t>
            </w:r>
          </w:p>
          <w:p w14:paraId="75F619F3"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Times New Roman" w:hAnsi="Arial" w:cs="Arial"/>
                <w:sz w:val="20"/>
                <w:szCs w:val="20"/>
                <w:lang w:eastAsia="en-US"/>
              </w:rPr>
              <w:t>Programom se osiguravaju materijalni i drugi uvjeti za redovan rad upravnog odjela.</w:t>
            </w:r>
          </w:p>
          <w:p w14:paraId="7D4E7882"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Upravni odjel obavlja niz administrativnih i stručnih poslova u okviru svoje nadležnosti sukladno postavkama predviđenih Proračunom Općine te važećim propisima i aktima Općine.</w:t>
            </w:r>
          </w:p>
        </w:tc>
      </w:tr>
      <w:tr w:rsidR="00184A8E" w:rsidRPr="00184A8E" w14:paraId="4405AC18" w14:textId="77777777" w:rsidTr="00410A4B">
        <w:tc>
          <w:tcPr>
            <w:tcW w:w="1439" w:type="dxa"/>
          </w:tcPr>
          <w:p w14:paraId="20CABB6F" w14:textId="77777777" w:rsidR="00184A8E" w:rsidRPr="00184A8E" w:rsidRDefault="00184A8E" w:rsidP="00184A8E">
            <w:pPr>
              <w:spacing w:after="0" w:line="240" w:lineRule="auto"/>
              <w:jc w:val="both"/>
              <w:rPr>
                <w:rFonts w:ascii="Arial" w:eastAsia="Calibri" w:hAnsi="Arial" w:cs="Arial"/>
                <w:sz w:val="16"/>
                <w:szCs w:val="16"/>
                <w:lang w:eastAsia="en-US"/>
              </w:rPr>
            </w:pPr>
            <w:r w:rsidRPr="00184A8E">
              <w:rPr>
                <w:rFonts w:ascii="Arial" w:eastAsia="Calibri" w:hAnsi="Arial" w:cs="Arial"/>
                <w:sz w:val="16"/>
                <w:szCs w:val="16"/>
                <w:lang w:eastAsia="en-US"/>
              </w:rPr>
              <w:t>ZAKONSKE I DRUGE PRAVNE OSNOVE PROGRAMA:</w:t>
            </w:r>
          </w:p>
        </w:tc>
        <w:tc>
          <w:tcPr>
            <w:tcW w:w="12729" w:type="dxa"/>
          </w:tcPr>
          <w:p w14:paraId="1C8561CD"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rPr>
              <w:t>Zakon o lokalnoj i područnoj (regionalnoj) samoupravi (NN 33/01,60/01,129/05, 109/07,125/08, 36/09, 150/11, 144/12, 19/13, 137/15, 123/17, 98/19, 144/20), Zakon o financiranju jedinica lokalne i područne (regionalne) samouprave (NN 127/17, 138/20, 151/22, 114/23), Zakon o proračunu (NN 144/21), drugi zakoni s područja financija i EU propisa</w:t>
            </w:r>
          </w:p>
        </w:tc>
      </w:tr>
      <w:tr w:rsidR="00184A8E" w:rsidRPr="00184A8E" w14:paraId="451588DD" w14:textId="77777777" w:rsidTr="00410A4B">
        <w:tc>
          <w:tcPr>
            <w:tcW w:w="1439" w:type="dxa"/>
            <w:vAlign w:val="bottom"/>
          </w:tcPr>
          <w:p w14:paraId="28A7FE85" w14:textId="77777777" w:rsidR="00184A8E" w:rsidRPr="00184A8E" w:rsidRDefault="00184A8E" w:rsidP="00184A8E">
            <w:pPr>
              <w:spacing w:after="0" w:line="240" w:lineRule="auto"/>
              <w:jc w:val="both"/>
              <w:rPr>
                <w:rFonts w:ascii="Arial" w:eastAsia="Calibri" w:hAnsi="Arial" w:cs="Arial"/>
                <w:caps/>
                <w:sz w:val="20"/>
                <w:szCs w:val="20"/>
                <w:lang w:eastAsia="en-US"/>
              </w:rPr>
            </w:pPr>
            <w:r w:rsidRPr="00184A8E">
              <w:rPr>
                <w:rFonts w:ascii="Arial" w:eastAsia="Calibri" w:hAnsi="Arial" w:cs="Arial"/>
                <w:caps/>
                <w:sz w:val="20"/>
                <w:szCs w:val="20"/>
                <w:lang w:eastAsia="en-US"/>
              </w:rPr>
              <w:t>Opći cilj:</w:t>
            </w:r>
          </w:p>
        </w:tc>
        <w:tc>
          <w:tcPr>
            <w:tcW w:w="12729" w:type="dxa"/>
            <w:vAlign w:val="bottom"/>
          </w:tcPr>
          <w:p w14:paraId="4FDBFA13"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Osiguravanje trajnog i kvalitetnog obavljanja komunalnih djelatnosti, održavanje komunalnog reda iz nadležnosti komunalnog redarstva, upravljanje i nadzor nad cestovnim prometom iz nadležnosti prometnog redarstva odnosno obavljanje poslova, praćenje i rješavanje problematike iz oblasti komunalnog gospodarstva, gospodarenje nekretninama i provedba kapitalnih projekata osnovni je cilj Programa.</w:t>
            </w:r>
          </w:p>
        </w:tc>
      </w:tr>
      <w:tr w:rsidR="00184A8E" w:rsidRPr="00184A8E" w14:paraId="054C7E78" w14:textId="77777777" w:rsidTr="00410A4B">
        <w:tc>
          <w:tcPr>
            <w:tcW w:w="1439" w:type="dxa"/>
            <w:vAlign w:val="bottom"/>
          </w:tcPr>
          <w:p w14:paraId="66305795" w14:textId="77777777" w:rsidR="00184A8E" w:rsidRPr="00184A8E" w:rsidRDefault="00184A8E" w:rsidP="00184A8E">
            <w:pPr>
              <w:spacing w:after="0" w:line="240" w:lineRule="auto"/>
              <w:jc w:val="both"/>
              <w:rPr>
                <w:rFonts w:ascii="Arial" w:eastAsia="Calibri" w:hAnsi="Arial" w:cs="Arial"/>
                <w:caps/>
                <w:sz w:val="20"/>
                <w:szCs w:val="20"/>
                <w:lang w:eastAsia="en-US"/>
              </w:rPr>
            </w:pPr>
            <w:r w:rsidRPr="00184A8E">
              <w:rPr>
                <w:rFonts w:ascii="Arial" w:eastAsia="Calibri" w:hAnsi="Arial" w:cs="Arial"/>
                <w:sz w:val="20"/>
                <w:szCs w:val="20"/>
                <w:lang w:eastAsia="en-US"/>
              </w:rPr>
              <w:t>POSEBNI CILJEVI:</w:t>
            </w:r>
          </w:p>
        </w:tc>
        <w:tc>
          <w:tcPr>
            <w:tcW w:w="12729" w:type="dxa"/>
            <w:vAlign w:val="bottom"/>
          </w:tcPr>
          <w:p w14:paraId="679CCC0A"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Osigurati sredstva za redovno obavljanje poslova iz nadležnosti upravnog odjela.</w:t>
            </w:r>
          </w:p>
        </w:tc>
      </w:tr>
    </w:tbl>
    <w:p w14:paraId="629C651C" w14:textId="77777777" w:rsidR="00184A8E" w:rsidRPr="00184A8E" w:rsidRDefault="00184A8E" w:rsidP="00184A8E">
      <w:pPr>
        <w:spacing w:after="0" w:line="240" w:lineRule="auto"/>
        <w:jc w:val="both"/>
        <w:rPr>
          <w:rFonts w:ascii="Arial" w:eastAsia="Calibri" w:hAnsi="Arial" w:cs="Arial"/>
          <w:sz w:val="20"/>
          <w:szCs w:val="20"/>
          <w:lang w:eastAsia="en-US"/>
        </w:rPr>
      </w:pPr>
    </w:p>
    <w:p w14:paraId="24DFC0C2"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36F2A74C" w14:textId="77777777" w:rsidR="00184A8E" w:rsidRPr="00184A8E" w:rsidRDefault="00184A8E" w:rsidP="00184A8E">
      <w:pPr>
        <w:spacing w:after="0" w:line="240" w:lineRule="auto"/>
        <w:jc w:val="both"/>
        <w:rPr>
          <w:rFonts w:ascii="Arial" w:eastAsia="Calibri" w:hAnsi="Arial" w:cs="Arial"/>
          <w:sz w:val="20"/>
          <w:szCs w:val="20"/>
        </w:rPr>
      </w:pPr>
    </w:p>
    <w:p w14:paraId="1608D9C4" w14:textId="3E9830D2"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6C96EECB" w14:textId="77777777" w:rsidR="00184A8E" w:rsidRPr="00184A8E" w:rsidRDefault="00184A8E" w:rsidP="00184A8E">
      <w:pPr>
        <w:spacing w:after="0" w:line="240" w:lineRule="auto"/>
        <w:jc w:val="both"/>
        <w:rPr>
          <w:rFonts w:ascii="Arial" w:eastAsia="Calibri" w:hAnsi="Arial" w:cs="Arial"/>
          <w:sz w:val="20"/>
          <w:szCs w:val="20"/>
        </w:rPr>
      </w:pPr>
    </w:p>
    <w:p w14:paraId="7553E398" w14:textId="00FB92B4" w:rsidR="00184A8E" w:rsidRPr="00B67AD3" w:rsidRDefault="00B67AD3" w:rsidP="00184A8E">
      <w:pPr>
        <w:spacing w:after="0" w:line="240" w:lineRule="auto"/>
        <w:jc w:val="center"/>
        <w:rPr>
          <w:rFonts w:ascii="Arial" w:eastAsia="Calibri" w:hAnsi="Arial" w:cs="Arial"/>
          <w:sz w:val="20"/>
          <w:szCs w:val="20"/>
        </w:rPr>
      </w:pPr>
      <w:r w:rsidRPr="00B67AD3">
        <w:rPr>
          <w:noProof/>
        </w:rPr>
        <w:drawing>
          <wp:inline distT="0" distB="0" distL="0" distR="0" wp14:anchorId="43AEDE5C" wp14:editId="1D1DCB00">
            <wp:extent cx="9251950" cy="1358265"/>
            <wp:effectExtent l="0" t="0" r="6350" b="0"/>
            <wp:docPr id="1847026776"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9251950" cy="1358265"/>
                    </a:xfrm>
                    <a:prstGeom prst="rect">
                      <a:avLst/>
                    </a:prstGeom>
                    <a:noFill/>
                    <a:ln>
                      <a:noFill/>
                    </a:ln>
                  </pic:spPr>
                </pic:pic>
              </a:graphicData>
            </a:graphic>
          </wp:inline>
        </w:drawing>
      </w:r>
    </w:p>
    <w:p w14:paraId="2E4F362E" w14:textId="77777777" w:rsidR="00184A8E" w:rsidRPr="00184A8E" w:rsidRDefault="00184A8E" w:rsidP="00184A8E">
      <w:pPr>
        <w:spacing w:after="0" w:line="240" w:lineRule="auto"/>
        <w:jc w:val="both"/>
        <w:rPr>
          <w:rFonts w:ascii="Arial" w:eastAsia="Calibri" w:hAnsi="Arial" w:cs="Arial"/>
          <w:sz w:val="10"/>
          <w:szCs w:val="20"/>
          <w:lang w:eastAsia="en-US"/>
        </w:rPr>
      </w:pPr>
    </w:p>
    <w:p w14:paraId="2FDE5535"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7F77AB91"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2CFDC74C" w14:textId="77777777" w:rsidR="00184A8E" w:rsidRPr="00184A8E" w:rsidRDefault="00184A8E" w:rsidP="00184A8E">
      <w:pPr>
        <w:spacing w:after="0" w:line="240" w:lineRule="auto"/>
        <w:jc w:val="both"/>
        <w:rPr>
          <w:rFonts w:ascii="Arial" w:eastAsia="Calibri" w:hAnsi="Arial" w:cs="Arial"/>
          <w:sz w:val="10"/>
          <w:szCs w:val="20"/>
          <w:lang w:eastAsia="en-US"/>
        </w:rPr>
      </w:pPr>
    </w:p>
    <w:p w14:paraId="1ED37E8F"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32AB0685" w14:textId="2D694A03"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Izvršenje je</w:t>
      </w:r>
      <w:r w:rsidR="00B67AD3">
        <w:rPr>
          <w:rFonts w:ascii="Arial" w:eastAsia="Calibri" w:hAnsi="Arial" w:cs="Arial"/>
          <w:sz w:val="20"/>
          <w:szCs w:val="20"/>
          <w:lang w:eastAsia="en-US"/>
        </w:rPr>
        <w:t xml:space="preserve"> manje od</w:t>
      </w:r>
      <w:r w:rsidRPr="00184A8E">
        <w:rPr>
          <w:rFonts w:ascii="Arial" w:eastAsia="Calibri" w:hAnsi="Arial" w:cs="Arial"/>
          <w:sz w:val="20"/>
          <w:szCs w:val="20"/>
          <w:lang w:eastAsia="en-US"/>
        </w:rPr>
        <w:t xml:space="preserve"> očekivanih vrijednosti.</w:t>
      </w:r>
    </w:p>
    <w:p w14:paraId="6625FC99" w14:textId="77777777" w:rsidR="00184A8E" w:rsidRPr="00184A8E" w:rsidRDefault="00184A8E" w:rsidP="00184A8E">
      <w:pPr>
        <w:spacing w:after="0" w:line="240" w:lineRule="auto"/>
        <w:jc w:val="both"/>
        <w:rPr>
          <w:rFonts w:ascii="Arial" w:eastAsia="Calibri" w:hAnsi="Arial" w:cs="Arial"/>
          <w:sz w:val="20"/>
          <w:szCs w:val="20"/>
          <w:lang w:eastAsia="en-US"/>
        </w:rPr>
      </w:pPr>
    </w:p>
    <w:p w14:paraId="0BDDECE1" w14:textId="3413568F" w:rsidR="00184A8E" w:rsidRPr="00184A8E" w:rsidRDefault="00B67AD3" w:rsidP="00184A8E">
      <w:pPr>
        <w:spacing w:after="0" w:line="240" w:lineRule="auto"/>
        <w:jc w:val="both"/>
        <w:rPr>
          <w:rFonts w:ascii="Arial" w:eastAsia="Calibri" w:hAnsi="Arial" w:cs="Arial"/>
          <w:sz w:val="20"/>
          <w:szCs w:val="20"/>
          <w:lang w:eastAsia="en-US"/>
        </w:rPr>
      </w:pPr>
      <w:r w:rsidRPr="00B67AD3">
        <w:rPr>
          <w:rFonts w:ascii="Arial" w:eastAsia="Calibri" w:hAnsi="Arial" w:cs="Arial"/>
          <w:sz w:val="20"/>
          <w:szCs w:val="20"/>
          <w:lang w:eastAsia="en-US"/>
        </w:rPr>
        <w:t xml:space="preserve">Unutar programa 2097 planirani su rashodi u iznosu </w:t>
      </w:r>
      <w:r>
        <w:rPr>
          <w:rFonts w:ascii="Arial" w:eastAsia="Calibri" w:hAnsi="Arial" w:cs="Arial"/>
          <w:sz w:val="20"/>
          <w:szCs w:val="20"/>
          <w:lang w:eastAsia="en-US"/>
        </w:rPr>
        <w:t>221.151</w:t>
      </w:r>
      <w:r w:rsidRPr="00B67AD3">
        <w:rPr>
          <w:rFonts w:ascii="Arial" w:eastAsia="Calibri" w:hAnsi="Arial" w:cs="Arial"/>
          <w:sz w:val="20"/>
          <w:szCs w:val="20"/>
          <w:lang w:eastAsia="en-US"/>
        </w:rPr>
        <w:t xml:space="preserve"> € za 2025. godinu, za 2026. godinu 168.900 € i za 2027. godinu 131.700 €.</w:t>
      </w:r>
    </w:p>
    <w:p w14:paraId="5BD53BD1" w14:textId="5BCB05A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Rashodi za 202</w:t>
      </w:r>
      <w:r w:rsidR="00B67AD3">
        <w:rPr>
          <w:rFonts w:ascii="Arial" w:eastAsia="Calibri" w:hAnsi="Arial" w:cs="Arial"/>
          <w:sz w:val="20"/>
          <w:szCs w:val="20"/>
          <w:lang w:eastAsia="en-US"/>
        </w:rPr>
        <w:t>5</w:t>
      </w:r>
      <w:r w:rsidRPr="00184A8E">
        <w:rPr>
          <w:rFonts w:ascii="Arial" w:eastAsia="Calibri" w:hAnsi="Arial" w:cs="Arial"/>
          <w:sz w:val="20"/>
          <w:szCs w:val="20"/>
          <w:lang w:eastAsia="en-US"/>
        </w:rPr>
        <w:t xml:space="preserve">. su izvršeni u iznosu </w:t>
      </w:r>
      <w:r w:rsidR="00DF3B6C">
        <w:rPr>
          <w:rFonts w:ascii="Arial" w:eastAsia="Calibri" w:hAnsi="Arial" w:cs="Arial"/>
          <w:sz w:val="20"/>
          <w:szCs w:val="20"/>
          <w:lang w:eastAsia="en-US"/>
        </w:rPr>
        <w:t>101.221,50</w:t>
      </w:r>
      <w:r w:rsidRPr="00184A8E">
        <w:rPr>
          <w:rFonts w:ascii="Arial" w:eastAsia="Calibri" w:hAnsi="Arial" w:cs="Arial"/>
          <w:sz w:val="20"/>
          <w:szCs w:val="20"/>
          <w:lang w:eastAsia="en-US"/>
        </w:rPr>
        <w:t xml:space="preserve"> € ili </w:t>
      </w:r>
      <w:r w:rsidR="00DF3B6C">
        <w:rPr>
          <w:rFonts w:ascii="Arial" w:eastAsia="Calibri" w:hAnsi="Arial" w:cs="Arial"/>
          <w:sz w:val="20"/>
          <w:szCs w:val="20"/>
          <w:lang w:eastAsia="en-US"/>
        </w:rPr>
        <w:t>50,1</w:t>
      </w:r>
      <w:r w:rsidRPr="00184A8E">
        <w:rPr>
          <w:rFonts w:ascii="Arial" w:eastAsia="Calibri" w:hAnsi="Arial" w:cs="Arial"/>
          <w:sz w:val="20"/>
          <w:szCs w:val="20"/>
          <w:lang w:eastAsia="en-US"/>
        </w:rPr>
        <w:t xml:space="preserve"> % plana.</w:t>
      </w:r>
    </w:p>
    <w:p w14:paraId="1E64B717" w14:textId="77777777" w:rsidR="00184A8E" w:rsidRPr="00184A8E" w:rsidRDefault="00184A8E" w:rsidP="00184A8E">
      <w:pPr>
        <w:spacing w:after="0" w:line="240" w:lineRule="auto"/>
        <w:jc w:val="both"/>
        <w:rPr>
          <w:rFonts w:ascii="Arial" w:eastAsia="Calibri" w:hAnsi="Arial" w:cs="Arial"/>
          <w:sz w:val="20"/>
          <w:szCs w:val="20"/>
          <w:lang w:eastAsia="en-US"/>
        </w:rPr>
      </w:pPr>
    </w:p>
    <w:p w14:paraId="18D0B1FE"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19491F70" w14:textId="77777777" w:rsidR="00184A8E" w:rsidRPr="00184A8E" w:rsidRDefault="00184A8E" w:rsidP="00184A8E">
      <w:pPr>
        <w:spacing w:after="0" w:line="240" w:lineRule="auto"/>
        <w:jc w:val="both"/>
        <w:rPr>
          <w:rFonts w:ascii="Arial" w:eastAsia="Calibri" w:hAnsi="Arial" w:cs="Arial"/>
          <w:sz w:val="20"/>
          <w:szCs w:val="20"/>
        </w:rPr>
      </w:pPr>
    </w:p>
    <w:p w14:paraId="2547CE13"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Unutar programa izvode se slijedeće aktivnosti i projekti:</w:t>
      </w:r>
    </w:p>
    <w:p w14:paraId="4EB98631" w14:textId="77777777" w:rsidR="00184A8E" w:rsidRPr="00184A8E" w:rsidRDefault="00184A8E" w:rsidP="00184A8E">
      <w:pPr>
        <w:autoSpaceDE w:val="0"/>
        <w:autoSpaceDN w:val="0"/>
        <w:adjustRightInd w:val="0"/>
        <w:spacing w:after="0" w:line="240" w:lineRule="auto"/>
        <w:jc w:val="both"/>
        <w:rPr>
          <w:rFonts w:ascii="Arial" w:eastAsia="Calibri" w:hAnsi="Arial" w:cs="Arial"/>
          <w:b/>
          <w:sz w:val="20"/>
          <w:szCs w:val="20"/>
          <w:lang w:eastAsia="en-US"/>
        </w:rPr>
      </w:pPr>
    </w:p>
    <w:p w14:paraId="3E5DF718" w14:textId="12910BE6"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1. A209701: Aktivnosti redovnog rada upravnog odjela - </w:t>
      </w:r>
      <w:r w:rsidRPr="00184A8E">
        <w:rPr>
          <w:rFonts w:ascii="Arial" w:eastAsia="Calibri" w:hAnsi="Arial" w:cs="Arial"/>
          <w:sz w:val="20"/>
          <w:szCs w:val="20"/>
          <w:lang w:eastAsia="en-US"/>
        </w:rPr>
        <w:t xml:space="preserve">u sklopu aktivnosti su rashodi u iznosu </w:t>
      </w:r>
      <w:r w:rsidR="00DF3B6C">
        <w:rPr>
          <w:rFonts w:ascii="Arial" w:eastAsia="Calibri" w:hAnsi="Arial" w:cs="Arial"/>
          <w:sz w:val="20"/>
          <w:szCs w:val="20"/>
          <w:lang w:eastAsia="en-US"/>
        </w:rPr>
        <w:t>202.151</w:t>
      </w:r>
      <w:r w:rsidRPr="00184A8E">
        <w:rPr>
          <w:rFonts w:ascii="Arial" w:eastAsia="Calibri" w:hAnsi="Arial" w:cs="Arial"/>
          <w:sz w:val="20"/>
          <w:szCs w:val="20"/>
          <w:lang w:eastAsia="en-US"/>
        </w:rPr>
        <w:t xml:space="preserve"> € za materijalne rashode i rashode za usluge u nadležnosti odjela. Vrijednosno najveći rashodi u okviru ove aktivnosti se odnose na planirane rashode za usluge terenske izmjere objekata za potrebe ažuriranja baze podataka obveznika komunalne naknade. Preostali planirani rashodi se odnose primjerice na utrošak električne energije u reciklažnom dvorištu, odvjetničke usluge u predmetima iz nadležnosti odjela (sastav očitovanja, sudjelovanje na raspravi i ročištu, sudjelovanje u uređivanju imovinsko pravnih odnosa i sl.), objave natječaja u javnim glasilima i na elektroničkom oglasniku javne nabave i drugo.</w:t>
      </w:r>
    </w:p>
    <w:p w14:paraId="35DD1FC6" w14:textId="77777777" w:rsidR="00184A8E" w:rsidRPr="00184A8E" w:rsidRDefault="00184A8E" w:rsidP="00184A8E">
      <w:pPr>
        <w:spacing w:after="0" w:line="240" w:lineRule="auto"/>
        <w:jc w:val="both"/>
        <w:rPr>
          <w:rFonts w:ascii="Arial" w:eastAsia="Calibri" w:hAnsi="Arial" w:cs="Arial"/>
          <w:sz w:val="18"/>
          <w:szCs w:val="18"/>
          <w:lang w:eastAsia="en-US"/>
        </w:rPr>
      </w:pPr>
    </w:p>
    <w:p w14:paraId="7F18B06A"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 xml:space="preserve">U okviru ove aktivnosti od 2019., </w:t>
      </w:r>
      <w:r w:rsidRPr="00184A8E">
        <w:rPr>
          <w:rFonts w:ascii="Arial" w:eastAsia="Calibri" w:hAnsi="Arial" w:cs="Arial"/>
          <w:sz w:val="18"/>
          <w:szCs w:val="18"/>
        </w:rPr>
        <w:t xml:space="preserve">od kada je započela zakonska obveza, </w:t>
      </w:r>
      <w:r w:rsidRPr="00184A8E">
        <w:rPr>
          <w:rFonts w:ascii="Arial" w:eastAsia="Calibri" w:hAnsi="Arial" w:cs="Arial"/>
          <w:sz w:val="18"/>
          <w:szCs w:val="18"/>
          <w:lang w:eastAsia="en-US"/>
        </w:rPr>
        <w:t xml:space="preserve">iskazuje se plaćanje </w:t>
      </w:r>
      <w:r w:rsidRPr="00184A8E">
        <w:rPr>
          <w:rFonts w:ascii="Arial" w:eastAsia="Calibri" w:hAnsi="Arial" w:cs="Arial"/>
          <w:b/>
          <w:bCs/>
          <w:sz w:val="18"/>
          <w:szCs w:val="18"/>
          <w:lang w:eastAsia="en-US"/>
        </w:rPr>
        <w:t>poticajne naknade za smanjenje količine miješanog komunalnog otpada</w:t>
      </w:r>
      <w:r w:rsidRPr="00184A8E">
        <w:rPr>
          <w:rFonts w:ascii="Arial" w:eastAsia="Calibri" w:hAnsi="Arial" w:cs="Arial"/>
          <w:sz w:val="18"/>
          <w:szCs w:val="18"/>
          <w:lang w:eastAsia="en-US"/>
        </w:rPr>
        <w:t xml:space="preserve"> prema rješenjima Fonda za zaštitu okoliša i energetsku učinkovitost. Naime, na temelju rješenja Fonda za zaštitu okoliša i energetsku učinkovitost u 2019. prvi put je plaćeno 16.539,72 kn / 2.195,20 € na ime </w:t>
      </w:r>
      <w:r w:rsidRPr="00184A8E">
        <w:rPr>
          <w:rFonts w:ascii="Arial" w:eastAsia="Calibri" w:hAnsi="Arial" w:cs="Arial"/>
          <w:b/>
          <w:sz w:val="18"/>
          <w:szCs w:val="18"/>
          <w:lang w:eastAsia="en-US"/>
        </w:rPr>
        <w:t>poticajne naknade za smanjenje količine miješanog komunalnog otpada</w:t>
      </w:r>
      <w:r w:rsidRPr="00184A8E">
        <w:rPr>
          <w:rFonts w:ascii="Arial" w:eastAsia="Calibri" w:hAnsi="Arial" w:cs="Arial"/>
          <w:sz w:val="18"/>
          <w:szCs w:val="18"/>
          <w:lang w:eastAsia="en-US"/>
        </w:rPr>
        <w:t xml:space="preserve"> za studeni i prosinac 2017. godine (početak primjene zakona) sukladno odredbama članka 29. Zakona o održivom gospodarenju otpadom (NN 94/13, 73/17, 14/19) i članka 24. Uredbe o gospodarenju komunalnim otpadom (NN 50/17). </w:t>
      </w:r>
    </w:p>
    <w:p w14:paraId="7134C944"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U 2020. je plaćena poticajna naknada za 2018. u iznosu 6.984,16 kn / 926,96 €. U 2021., Fond je ispostavio rješenje za plaćanje poticajne naknade u iznosu 67.186,25 kn / 8.917,15 € (naknada za 2020.). Za 2022. godinu ova naknada je iznosila 236.426 kn / 31.379,12 € što je više za 169.239,75 kn / 22.461,97 € nego 2021. godine.</w:t>
      </w:r>
    </w:p>
    <w:p w14:paraId="111A322A" w14:textId="77777777" w:rsidR="00184A8E" w:rsidRPr="00184A8E" w:rsidRDefault="00184A8E" w:rsidP="00184A8E">
      <w:pPr>
        <w:spacing w:after="0" w:line="240" w:lineRule="auto"/>
        <w:jc w:val="both"/>
        <w:rPr>
          <w:rFonts w:ascii="Arial" w:eastAsia="Calibri" w:hAnsi="Arial" w:cs="Arial"/>
          <w:sz w:val="20"/>
          <w:szCs w:val="20"/>
          <w:lang w:eastAsia="en-US"/>
        </w:rPr>
      </w:pPr>
    </w:p>
    <w:p w14:paraId="35031D7F" w14:textId="5D81A7AD"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Manje izvršenje od plana se najvećim dijelom odnosi na rashode za poticajnu naknadu za smanjenje količine miješanog komunalnog otpada (naime, nije poznato koliko bi ovi rashodi mogli iznositi i plan je iznosio </w:t>
      </w:r>
      <w:r w:rsidR="00DF3B6C">
        <w:rPr>
          <w:rFonts w:ascii="Arial" w:eastAsia="Calibri" w:hAnsi="Arial" w:cs="Arial"/>
          <w:sz w:val="20"/>
          <w:szCs w:val="20"/>
          <w:lang w:eastAsia="en-US"/>
        </w:rPr>
        <w:t>8</w:t>
      </w:r>
      <w:r w:rsidRPr="00184A8E">
        <w:rPr>
          <w:rFonts w:ascii="Arial" w:eastAsia="Calibri" w:hAnsi="Arial" w:cs="Arial"/>
          <w:sz w:val="20"/>
          <w:szCs w:val="20"/>
          <w:lang w:eastAsia="en-US"/>
        </w:rPr>
        <w:t>0.000 €), te su bili planirani rashodi za izradu novih izmjena izmjera nekretnina na terenu za potrebe ažuriranja postojeće baze podataka (ov</w:t>
      </w:r>
      <w:r w:rsidR="00DF3B6C">
        <w:rPr>
          <w:rFonts w:ascii="Arial" w:eastAsia="Calibri" w:hAnsi="Arial" w:cs="Arial"/>
          <w:sz w:val="20"/>
          <w:szCs w:val="20"/>
          <w:lang w:eastAsia="en-US"/>
        </w:rPr>
        <w:t>e usluge nisu započete u 2025. godini</w:t>
      </w:r>
      <w:r w:rsidRPr="00184A8E">
        <w:rPr>
          <w:rFonts w:ascii="Arial" w:eastAsia="Calibri" w:hAnsi="Arial" w:cs="Arial"/>
          <w:sz w:val="20"/>
          <w:szCs w:val="20"/>
          <w:lang w:eastAsia="en-US"/>
        </w:rPr>
        <w:t xml:space="preserve">, a plan je iznosio </w:t>
      </w:r>
      <w:r w:rsidR="00DF3B6C">
        <w:rPr>
          <w:rFonts w:ascii="Arial" w:eastAsia="Calibri" w:hAnsi="Arial" w:cs="Arial"/>
          <w:sz w:val="20"/>
          <w:szCs w:val="20"/>
          <w:lang w:eastAsia="en-US"/>
        </w:rPr>
        <w:t>50.365</w:t>
      </w:r>
      <w:r w:rsidRPr="00184A8E">
        <w:rPr>
          <w:rFonts w:ascii="Arial" w:eastAsia="Calibri" w:hAnsi="Arial" w:cs="Arial"/>
          <w:sz w:val="20"/>
          <w:szCs w:val="20"/>
          <w:lang w:eastAsia="en-US"/>
        </w:rPr>
        <w:t xml:space="preserve"> €). </w:t>
      </w:r>
    </w:p>
    <w:p w14:paraId="538F595E" w14:textId="77777777" w:rsidR="00184A8E" w:rsidRPr="00184A8E" w:rsidRDefault="00184A8E" w:rsidP="00184A8E">
      <w:pPr>
        <w:spacing w:after="0" w:line="240" w:lineRule="auto"/>
        <w:jc w:val="both"/>
        <w:rPr>
          <w:rFonts w:ascii="Arial" w:eastAsia="Calibri" w:hAnsi="Arial" w:cs="Arial"/>
          <w:sz w:val="20"/>
          <w:szCs w:val="20"/>
          <w:lang w:eastAsia="en-US"/>
        </w:rPr>
      </w:pPr>
    </w:p>
    <w:p w14:paraId="3D6448E2" w14:textId="252D4CC1" w:rsidR="00184A8E" w:rsidRPr="00DF3B6C" w:rsidRDefault="00184A8E" w:rsidP="00184A8E">
      <w:pPr>
        <w:autoSpaceDE w:val="0"/>
        <w:autoSpaceDN w:val="0"/>
        <w:adjustRightInd w:val="0"/>
        <w:spacing w:after="0" w:line="240" w:lineRule="auto"/>
        <w:jc w:val="both"/>
        <w:rPr>
          <w:rFonts w:ascii="Arial" w:eastAsia="Calibri" w:hAnsi="Arial" w:cs="Arial"/>
          <w:sz w:val="20"/>
          <w:szCs w:val="20"/>
        </w:rPr>
      </w:pPr>
      <w:r w:rsidRPr="00DF3B6C">
        <w:rPr>
          <w:rFonts w:ascii="Arial" w:eastAsia="Calibri" w:hAnsi="Arial" w:cs="Arial"/>
          <w:sz w:val="20"/>
          <w:szCs w:val="20"/>
        </w:rPr>
        <w:t>Izvršeni rashodi</w:t>
      </w:r>
      <w:r w:rsidR="002860CD">
        <w:rPr>
          <w:rFonts w:ascii="Arial" w:eastAsia="Calibri" w:hAnsi="Arial" w:cs="Arial"/>
          <w:sz w:val="20"/>
          <w:szCs w:val="20"/>
        </w:rPr>
        <w:t xml:space="preserve"> u 2025.</w:t>
      </w:r>
      <w:r w:rsidRPr="00DF3B6C">
        <w:rPr>
          <w:rFonts w:ascii="Arial" w:eastAsia="Calibri" w:hAnsi="Arial" w:cs="Arial"/>
          <w:sz w:val="20"/>
          <w:szCs w:val="20"/>
        </w:rPr>
        <w:t xml:space="preserve"> u iznosu </w:t>
      </w:r>
      <w:r w:rsidR="00DF3B6C" w:rsidRPr="00DF3B6C">
        <w:rPr>
          <w:rFonts w:ascii="Arial" w:eastAsia="Calibri" w:hAnsi="Arial" w:cs="Arial"/>
          <w:sz w:val="20"/>
          <w:szCs w:val="20"/>
        </w:rPr>
        <w:t>101.221,50</w:t>
      </w:r>
      <w:r w:rsidRPr="00DF3B6C">
        <w:rPr>
          <w:rFonts w:ascii="Arial" w:eastAsia="Calibri" w:hAnsi="Arial" w:cs="Arial"/>
          <w:sz w:val="20"/>
          <w:szCs w:val="20"/>
        </w:rPr>
        <w:t xml:space="preserve"> € se odnose na:</w:t>
      </w:r>
    </w:p>
    <w:p w14:paraId="4B4CE8DB" w14:textId="485B286C" w:rsidR="00184A8E" w:rsidRPr="00511664" w:rsidRDefault="00184A8E" w:rsidP="00184A8E">
      <w:pPr>
        <w:autoSpaceDE w:val="0"/>
        <w:autoSpaceDN w:val="0"/>
        <w:adjustRightInd w:val="0"/>
        <w:spacing w:after="0" w:line="240" w:lineRule="auto"/>
        <w:jc w:val="both"/>
        <w:rPr>
          <w:rFonts w:ascii="Arial" w:eastAsia="Calibri" w:hAnsi="Arial" w:cs="Arial"/>
          <w:sz w:val="20"/>
          <w:szCs w:val="20"/>
        </w:rPr>
      </w:pPr>
      <w:r w:rsidRPr="001B2F26">
        <w:rPr>
          <w:rFonts w:ascii="Arial" w:eastAsia="Calibri" w:hAnsi="Arial" w:cs="Arial"/>
          <w:sz w:val="20"/>
          <w:szCs w:val="20"/>
        </w:rPr>
        <w:t xml:space="preserve">- rashode za materijal i energiju u iznosu </w:t>
      </w:r>
      <w:r w:rsidR="001B2F26" w:rsidRPr="001B2F26">
        <w:rPr>
          <w:rFonts w:ascii="Arial" w:eastAsia="Calibri" w:hAnsi="Arial" w:cs="Arial"/>
          <w:sz w:val="20"/>
          <w:szCs w:val="20"/>
        </w:rPr>
        <w:t>4.819,21</w:t>
      </w:r>
      <w:r w:rsidRPr="001B2F26">
        <w:rPr>
          <w:rFonts w:ascii="Arial" w:eastAsia="Calibri" w:hAnsi="Arial" w:cs="Arial"/>
          <w:sz w:val="20"/>
          <w:szCs w:val="20"/>
        </w:rPr>
        <w:t xml:space="preserve"> € – od čega električna energija za reciklažno dvorište </w:t>
      </w:r>
      <w:r w:rsidR="001B2F26" w:rsidRPr="001B2F26">
        <w:rPr>
          <w:rFonts w:ascii="Arial" w:eastAsia="Calibri" w:hAnsi="Arial" w:cs="Arial"/>
          <w:sz w:val="20"/>
          <w:szCs w:val="20"/>
        </w:rPr>
        <w:t>1.068,86</w:t>
      </w:r>
      <w:r w:rsidRPr="001B2F26">
        <w:rPr>
          <w:rFonts w:ascii="Arial" w:eastAsia="Calibri" w:hAnsi="Arial" w:cs="Arial"/>
          <w:sz w:val="20"/>
          <w:szCs w:val="20"/>
        </w:rPr>
        <w:t xml:space="preserve"> €, električna energija za bankomat </w:t>
      </w:r>
      <w:r w:rsidR="001B2F26" w:rsidRPr="001B2F26">
        <w:rPr>
          <w:rFonts w:ascii="Arial" w:eastAsia="Calibri" w:hAnsi="Arial" w:cs="Arial"/>
          <w:sz w:val="20"/>
          <w:szCs w:val="20"/>
        </w:rPr>
        <w:t>679,17</w:t>
      </w:r>
      <w:r w:rsidRPr="001B2F26">
        <w:rPr>
          <w:rFonts w:ascii="Arial" w:eastAsia="Calibri" w:hAnsi="Arial" w:cs="Arial"/>
          <w:sz w:val="20"/>
          <w:szCs w:val="20"/>
        </w:rPr>
        <w:t xml:space="preserve"> €, </w:t>
      </w:r>
      <w:r w:rsidRPr="00511664">
        <w:rPr>
          <w:rFonts w:ascii="Arial" w:eastAsia="Calibri" w:hAnsi="Arial" w:cs="Arial"/>
          <w:sz w:val="20"/>
          <w:szCs w:val="20"/>
        </w:rPr>
        <w:t xml:space="preserve">službena odjeća i obuća </w:t>
      </w:r>
      <w:r w:rsidR="001B2F26" w:rsidRPr="00511664">
        <w:rPr>
          <w:rFonts w:ascii="Arial" w:eastAsia="Calibri" w:hAnsi="Arial" w:cs="Arial"/>
          <w:sz w:val="20"/>
          <w:szCs w:val="20"/>
        </w:rPr>
        <w:t>2.692,43</w:t>
      </w:r>
      <w:r w:rsidRPr="00511664">
        <w:rPr>
          <w:rFonts w:ascii="Arial" w:eastAsia="Calibri" w:hAnsi="Arial" w:cs="Arial"/>
          <w:sz w:val="20"/>
          <w:szCs w:val="20"/>
        </w:rPr>
        <w:t xml:space="preserve"> €, te drugi uredski materijal </w:t>
      </w:r>
      <w:r w:rsidR="001B2F26" w:rsidRPr="00511664">
        <w:rPr>
          <w:rFonts w:ascii="Arial" w:eastAsia="Calibri" w:hAnsi="Arial" w:cs="Arial"/>
          <w:sz w:val="20"/>
          <w:szCs w:val="20"/>
        </w:rPr>
        <w:t>378,75</w:t>
      </w:r>
      <w:r w:rsidRPr="00511664">
        <w:rPr>
          <w:rFonts w:ascii="Arial" w:eastAsia="Calibri" w:hAnsi="Arial" w:cs="Arial"/>
          <w:sz w:val="20"/>
          <w:szCs w:val="20"/>
        </w:rPr>
        <w:t xml:space="preserve"> €, </w:t>
      </w:r>
    </w:p>
    <w:p w14:paraId="608E02D5" w14:textId="14FF6AAF" w:rsidR="00184A8E" w:rsidRPr="00511664" w:rsidRDefault="00184A8E" w:rsidP="00184A8E">
      <w:pPr>
        <w:spacing w:after="0" w:line="240" w:lineRule="auto"/>
        <w:jc w:val="both"/>
        <w:rPr>
          <w:rFonts w:ascii="Arial" w:eastAsia="Calibri" w:hAnsi="Arial" w:cs="Arial"/>
          <w:sz w:val="20"/>
          <w:szCs w:val="20"/>
        </w:rPr>
      </w:pPr>
      <w:r w:rsidRPr="00511664">
        <w:rPr>
          <w:rFonts w:ascii="Arial" w:eastAsia="Calibri" w:hAnsi="Arial" w:cs="Arial"/>
          <w:sz w:val="20"/>
          <w:szCs w:val="20"/>
        </w:rPr>
        <w:t xml:space="preserve">- rashode za usluge u iznosu </w:t>
      </w:r>
      <w:r w:rsidR="001B2F26" w:rsidRPr="00511664">
        <w:rPr>
          <w:rFonts w:ascii="Arial" w:eastAsia="Calibri" w:hAnsi="Arial" w:cs="Arial"/>
          <w:sz w:val="20"/>
          <w:szCs w:val="20"/>
        </w:rPr>
        <w:t>48.294,78</w:t>
      </w:r>
      <w:r w:rsidRPr="00511664">
        <w:rPr>
          <w:rFonts w:ascii="Arial" w:eastAsia="Calibri" w:hAnsi="Arial" w:cs="Arial"/>
          <w:sz w:val="20"/>
          <w:szCs w:val="20"/>
        </w:rPr>
        <w:t xml:space="preserve"> € - od čega objave natječaja u javnim glasilima i na elektroničkom oglasniku javne nabave </w:t>
      </w:r>
      <w:r w:rsidR="000323CA" w:rsidRPr="00511664">
        <w:rPr>
          <w:rFonts w:ascii="Arial" w:eastAsia="Calibri" w:hAnsi="Arial" w:cs="Arial"/>
          <w:sz w:val="20"/>
          <w:szCs w:val="20"/>
        </w:rPr>
        <w:t>8.656,89</w:t>
      </w:r>
      <w:r w:rsidRPr="00511664">
        <w:rPr>
          <w:rFonts w:ascii="Arial" w:eastAsia="Calibri" w:hAnsi="Arial" w:cs="Arial"/>
          <w:sz w:val="20"/>
          <w:szCs w:val="20"/>
        </w:rPr>
        <w:t xml:space="preserve"> €,</w:t>
      </w:r>
      <w:r w:rsidR="001B2F26" w:rsidRPr="00511664">
        <w:rPr>
          <w:rFonts w:ascii="Arial" w:eastAsia="Calibri" w:hAnsi="Arial" w:cs="Arial"/>
          <w:sz w:val="20"/>
          <w:szCs w:val="20"/>
        </w:rPr>
        <w:t xml:space="preserve"> naknada HEP-u za radove na električnoj mreži 9.574,10 €, </w:t>
      </w:r>
      <w:r w:rsidRPr="00511664">
        <w:rPr>
          <w:rFonts w:ascii="Arial" w:eastAsia="Calibri" w:hAnsi="Arial" w:cs="Arial"/>
          <w:sz w:val="20"/>
          <w:szCs w:val="20"/>
        </w:rPr>
        <w:t xml:space="preserve">usluge izrade registra imovine i prijenos na Središnji državni registar imovine </w:t>
      </w:r>
      <w:r w:rsidR="002002A7" w:rsidRPr="00511664">
        <w:rPr>
          <w:rFonts w:ascii="Arial" w:eastAsia="Calibri" w:hAnsi="Arial" w:cs="Arial"/>
          <w:sz w:val="20"/>
          <w:szCs w:val="20"/>
        </w:rPr>
        <w:t>708,75</w:t>
      </w:r>
      <w:r w:rsidRPr="00511664">
        <w:rPr>
          <w:rFonts w:ascii="Arial" w:eastAsia="Calibri" w:hAnsi="Arial" w:cs="Arial"/>
          <w:sz w:val="20"/>
          <w:szCs w:val="20"/>
        </w:rPr>
        <w:t xml:space="preserve"> €, usluge nadzora nad provedbom dezinsekcije i deratizacije (Zavod za javno zdravstvo) 929,06 €, najam </w:t>
      </w:r>
      <w:r w:rsidR="000323CA" w:rsidRPr="00511664">
        <w:rPr>
          <w:rFonts w:ascii="Arial" w:eastAsia="Calibri" w:hAnsi="Arial" w:cs="Arial"/>
          <w:sz w:val="20"/>
          <w:szCs w:val="20"/>
        </w:rPr>
        <w:t xml:space="preserve">projekcijskog platna i projektora </w:t>
      </w:r>
      <w:r w:rsidRPr="00511664">
        <w:rPr>
          <w:rFonts w:ascii="Arial" w:eastAsia="Calibri" w:hAnsi="Arial" w:cs="Arial"/>
          <w:sz w:val="20"/>
          <w:szCs w:val="20"/>
        </w:rPr>
        <w:t xml:space="preserve">za održavanje </w:t>
      </w:r>
      <w:r w:rsidR="000323CA" w:rsidRPr="00511664">
        <w:rPr>
          <w:rFonts w:ascii="Arial" w:eastAsia="Calibri" w:hAnsi="Arial" w:cs="Arial"/>
          <w:sz w:val="20"/>
          <w:szCs w:val="20"/>
        </w:rPr>
        <w:t>ponovljene javne rasprave (javni uvid i javno izlaganje) o Prijedlogu izmjena i dopuna Prostornog plana uređenja Općine Konavle i Strateške studije o utjecaju izmjena i dopuna Prostornog plana uređenja Op</w:t>
      </w:r>
      <w:r w:rsidR="00255A31" w:rsidRPr="00511664">
        <w:rPr>
          <w:rFonts w:ascii="Arial" w:eastAsia="Calibri" w:hAnsi="Arial" w:cs="Arial"/>
          <w:sz w:val="20"/>
          <w:szCs w:val="20"/>
        </w:rPr>
        <w:t>ć</w:t>
      </w:r>
      <w:r w:rsidR="000323CA" w:rsidRPr="00511664">
        <w:rPr>
          <w:rFonts w:ascii="Arial" w:eastAsia="Calibri" w:hAnsi="Arial" w:cs="Arial"/>
          <w:sz w:val="20"/>
          <w:szCs w:val="20"/>
        </w:rPr>
        <w:t>ine Konavle na okoli</w:t>
      </w:r>
      <w:r w:rsidR="00255A31" w:rsidRPr="00511664">
        <w:rPr>
          <w:rFonts w:ascii="Arial" w:eastAsia="Calibri" w:hAnsi="Arial" w:cs="Arial"/>
          <w:sz w:val="20"/>
          <w:szCs w:val="20"/>
        </w:rPr>
        <w:t xml:space="preserve">š </w:t>
      </w:r>
      <w:r w:rsidRPr="00511664">
        <w:rPr>
          <w:rFonts w:ascii="Arial" w:eastAsia="Calibri" w:hAnsi="Arial" w:cs="Arial"/>
          <w:sz w:val="20"/>
          <w:szCs w:val="20"/>
        </w:rPr>
        <w:t>u iznosu 1.</w:t>
      </w:r>
      <w:r w:rsidR="00255A31" w:rsidRPr="00511664">
        <w:rPr>
          <w:rFonts w:ascii="Arial" w:eastAsia="Calibri" w:hAnsi="Arial" w:cs="Arial"/>
          <w:sz w:val="20"/>
          <w:szCs w:val="20"/>
        </w:rPr>
        <w:t>274,38</w:t>
      </w:r>
      <w:r w:rsidRPr="00511664">
        <w:rPr>
          <w:rFonts w:ascii="Arial" w:eastAsia="Calibri" w:hAnsi="Arial" w:cs="Arial"/>
          <w:sz w:val="20"/>
          <w:szCs w:val="20"/>
        </w:rPr>
        <w:t xml:space="preserve"> €, odvjetničke usluge </w:t>
      </w:r>
      <w:r w:rsidR="00255A31" w:rsidRPr="00511664">
        <w:rPr>
          <w:rFonts w:ascii="Arial" w:eastAsia="Calibri" w:hAnsi="Arial" w:cs="Arial"/>
          <w:sz w:val="20"/>
          <w:szCs w:val="20"/>
        </w:rPr>
        <w:t>5.801,60</w:t>
      </w:r>
      <w:r w:rsidRPr="00511664">
        <w:rPr>
          <w:rFonts w:ascii="Arial" w:eastAsia="Calibri" w:hAnsi="Arial" w:cs="Arial"/>
          <w:sz w:val="20"/>
          <w:szCs w:val="20"/>
        </w:rPr>
        <w:t xml:space="preserve"> € (zastupanja na ročištu, sastavljanje podnesaka</w:t>
      </w:r>
      <w:r w:rsidR="00255A31" w:rsidRPr="00511664">
        <w:rPr>
          <w:rFonts w:ascii="Arial" w:eastAsia="Calibri" w:hAnsi="Arial" w:cs="Arial"/>
          <w:sz w:val="20"/>
          <w:szCs w:val="20"/>
        </w:rPr>
        <w:t>, zastupanje u utvrđivanju autorskih prava</w:t>
      </w:r>
      <w:r w:rsidRPr="00511664">
        <w:rPr>
          <w:rFonts w:ascii="Arial" w:eastAsia="Calibri" w:hAnsi="Arial" w:cs="Arial"/>
          <w:sz w:val="20"/>
          <w:szCs w:val="20"/>
        </w:rPr>
        <w:t>), usluga nadogradnje sustava za održavanje prostornih i neprostornih baza podataka Općine u iznosu 11.</w:t>
      </w:r>
      <w:r w:rsidR="00255A31" w:rsidRPr="00511664">
        <w:rPr>
          <w:rFonts w:ascii="Arial" w:eastAsia="Calibri" w:hAnsi="Arial" w:cs="Arial"/>
          <w:sz w:val="20"/>
          <w:szCs w:val="20"/>
        </w:rPr>
        <w:t>500</w:t>
      </w:r>
      <w:r w:rsidRPr="00511664">
        <w:rPr>
          <w:rFonts w:ascii="Arial" w:eastAsia="Calibri" w:hAnsi="Arial" w:cs="Arial"/>
          <w:sz w:val="20"/>
          <w:szCs w:val="20"/>
        </w:rPr>
        <w:t xml:space="preserve"> €, usluge </w:t>
      </w:r>
      <w:r w:rsidR="00255A31" w:rsidRPr="00511664">
        <w:rPr>
          <w:rFonts w:ascii="Arial" w:eastAsia="Calibri" w:hAnsi="Arial" w:cs="Arial"/>
          <w:sz w:val="20"/>
          <w:szCs w:val="20"/>
        </w:rPr>
        <w:t xml:space="preserve">izrade digitalnog orto foto dijela Općine i izrade 100 panoramskih stajališta 8.000 €, </w:t>
      </w:r>
      <w:r w:rsidR="002002A7" w:rsidRPr="00511664">
        <w:rPr>
          <w:rFonts w:ascii="Arial" w:eastAsia="Calibri" w:hAnsi="Arial" w:cs="Arial"/>
          <w:sz w:val="20"/>
          <w:szCs w:val="20"/>
        </w:rPr>
        <w:t>mj</w:t>
      </w:r>
      <w:r w:rsidR="005D7A50">
        <w:rPr>
          <w:rFonts w:ascii="Arial" w:eastAsia="Calibri" w:hAnsi="Arial" w:cs="Arial"/>
          <w:sz w:val="20"/>
          <w:szCs w:val="20"/>
        </w:rPr>
        <w:t>e</w:t>
      </w:r>
      <w:r w:rsidR="002002A7" w:rsidRPr="00511664">
        <w:rPr>
          <w:rFonts w:ascii="Arial" w:eastAsia="Calibri" w:hAnsi="Arial" w:cs="Arial"/>
          <w:sz w:val="20"/>
          <w:szCs w:val="20"/>
        </w:rPr>
        <w:t xml:space="preserve">renje tlaka i protoka vode na hidrantima 1.750 €, pregled baterija na električnim biciklima 100 €, </w:t>
      </w:r>
    </w:p>
    <w:p w14:paraId="5B0FF4AB" w14:textId="4A413EED" w:rsidR="002002A7" w:rsidRPr="00511664" w:rsidRDefault="002002A7" w:rsidP="00184A8E">
      <w:pPr>
        <w:spacing w:after="0" w:line="240" w:lineRule="auto"/>
        <w:jc w:val="both"/>
        <w:rPr>
          <w:rFonts w:ascii="Arial" w:eastAsia="Calibri" w:hAnsi="Arial" w:cs="Arial"/>
          <w:sz w:val="20"/>
          <w:szCs w:val="20"/>
        </w:rPr>
      </w:pPr>
      <w:r w:rsidRPr="00511664">
        <w:rPr>
          <w:rFonts w:ascii="Arial" w:eastAsia="Calibri" w:hAnsi="Arial" w:cs="Arial"/>
          <w:sz w:val="20"/>
          <w:szCs w:val="20"/>
        </w:rPr>
        <w:t>- naknade za rad osobama izvan radnog odnosa 100 €</w:t>
      </w:r>
      <w:r w:rsidR="00511664" w:rsidRPr="00511664">
        <w:rPr>
          <w:rFonts w:ascii="Arial" w:eastAsia="Calibri" w:hAnsi="Arial" w:cs="Arial"/>
          <w:sz w:val="20"/>
          <w:szCs w:val="20"/>
        </w:rPr>
        <w:t>,</w:t>
      </w:r>
    </w:p>
    <w:p w14:paraId="430F8716" w14:textId="48E0964B" w:rsidR="00184A8E" w:rsidRPr="00511664" w:rsidRDefault="00184A8E" w:rsidP="00184A8E">
      <w:pPr>
        <w:spacing w:after="0" w:line="240" w:lineRule="auto"/>
        <w:jc w:val="both"/>
        <w:rPr>
          <w:rFonts w:ascii="Arial" w:eastAsia="Calibri" w:hAnsi="Arial" w:cs="Arial"/>
          <w:sz w:val="20"/>
          <w:szCs w:val="20"/>
        </w:rPr>
      </w:pPr>
      <w:r w:rsidRPr="00511664">
        <w:rPr>
          <w:rFonts w:ascii="Arial" w:eastAsia="Calibri" w:hAnsi="Arial" w:cs="Arial"/>
          <w:sz w:val="20"/>
          <w:szCs w:val="20"/>
        </w:rPr>
        <w:t xml:space="preserve">- ostale nespomenute rashode poslovanja u iznosu </w:t>
      </w:r>
      <w:r w:rsidR="00511664" w:rsidRPr="00511664">
        <w:rPr>
          <w:rFonts w:ascii="Arial" w:eastAsia="Calibri" w:hAnsi="Arial" w:cs="Arial"/>
          <w:sz w:val="20"/>
          <w:szCs w:val="20"/>
        </w:rPr>
        <w:t>48.007,51</w:t>
      </w:r>
      <w:r w:rsidRPr="00511664">
        <w:rPr>
          <w:rFonts w:ascii="Arial" w:eastAsia="Calibri" w:hAnsi="Arial" w:cs="Arial"/>
          <w:sz w:val="20"/>
          <w:szCs w:val="20"/>
        </w:rPr>
        <w:t xml:space="preserve"> € (sudske pristojbe </w:t>
      </w:r>
      <w:r w:rsidR="00511664" w:rsidRPr="00511664">
        <w:rPr>
          <w:rFonts w:ascii="Arial" w:eastAsia="Calibri" w:hAnsi="Arial" w:cs="Arial"/>
          <w:sz w:val="20"/>
          <w:szCs w:val="20"/>
        </w:rPr>
        <w:t>26,55</w:t>
      </w:r>
      <w:r w:rsidRPr="00511664">
        <w:rPr>
          <w:rFonts w:ascii="Arial" w:eastAsia="Calibri" w:hAnsi="Arial" w:cs="Arial"/>
          <w:sz w:val="20"/>
          <w:szCs w:val="20"/>
        </w:rPr>
        <w:t xml:space="preserve"> €, javnobilježničke pristojbe ovjere potpisa i ugovora </w:t>
      </w:r>
      <w:r w:rsidR="00511664" w:rsidRPr="00511664">
        <w:rPr>
          <w:rFonts w:ascii="Arial" w:eastAsia="Calibri" w:hAnsi="Arial" w:cs="Arial"/>
          <w:sz w:val="20"/>
          <w:szCs w:val="20"/>
        </w:rPr>
        <w:t>2.643,22</w:t>
      </w:r>
      <w:r w:rsidRPr="00511664">
        <w:rPr>
          <w:rFonts w:ascii="Arial" w:eastAsia="Calibri" w:hAnsi="Arial" w:cs="Arial"/>
          <w:sz w:val="20"/>
          <w:szCs w:val="20"/>
        </w:rPr>
        <w:t xml:space="preserve"> €, </w:t>
      </w:r>
      <w:r w:rsidR="00511664" w:rsidRPr="00511664">
        <w:rPr>
          <w:rFonts w:ascii="Arial" w:eastAsia="Calibri" w:hAnsi="Arial" w:cs="Arial"/>
          <w:sz w:val="20"/>
          <w:szCs w:val="20"/>
        </w:rPr>
        <w:t xml:space="preserve">trošak legalizacije doma kulture u Cavtatu 477,46 €, troškovi izdavanja suglasnosti za radove od strane Hrvatskih cesta 174,22 €, troškovi žalbenog postupka u postupku javne nabave za modernizaciju javne rasvjete prema rješenju Državne komisije za kontrolu postupaka javne nabave 5.000 €, </w:t>
      </w:r>
      <w:r w:rsidRPr="00511664">
        <w:rPr>
          <w:rFonts w:ascii="Arial" w:eastAsia="Calibri" w:hAnsi="Arial" w:cs="Arial"/>
          <w:sz w:val="20"/>
          <w:szCs w:val="20"/>
        </w:rPr>
        <w:t>te poticajna naknada za smanjenje količine miješanog komunalnog otpada za 202</w:t>
      </w:r>
      <w:r w:rsidR="00511664" w:rsidRPr="00511664">
        <w:rPr>
          <w:rFonts w:ascii="Arial" w:eastAsia="Calibri" w:hAnsi="Arial" w:cs="Arial"/>
          <w:sz w:val="20"/>
          <w:szCs w:val="20"/>
        </w:rPr>
        <w:t>4</w:t>
      </w:r>
      <w:r w:rsidRPr="00511664">
        <w:rPr>
          <w:rFonts w:ascii="Arial" w:eastAsia="Calibri" w:hAnsi="Arial" w:cs="Arial"/>
          <w:sz w:val="20"/>
          <w:szCs w:val="20"/>
        </w:rPr>
        <w:t xml:space="preserve">. godinu u iznosu </w:t>
      </w:r>
      <w:r w:rsidR="00511664" w:rsidRPr="00511664">
        <w:rPr>
          <w:rFonts w:ascii="Arial" w:eastAsia="Calibri" w:hAnsi="Arial" w:cs="Arial"/>
          <w:sz w:val="20"/>
          <w:szCs w:val="20"/>
        </w:rPr>
        <w:t>39.686,06</w:t>
      </w:r>
      <w:r w:rsidRPr="00511664">
        <w:rPr>
          <w:rFonts w:ascii="Arial" w:eastAsia="Calibri" w:hAnsi="Arial" w:cs="Arial"/>
          <w:sz w:val="20"/>
          <w:szCs w:val="20"/>
        </w:rPr>
        <w:t xml:space="preserve"> €.</w:t>
      </w:r>
    </w:p>
    <w:p w14:paraId="45BE2B70" w14:textId="77777777" w:rsidR="00184A8E" w:rsidRDefault="00184A8E" w:rsidP="00184A8E">
      <w:pPr>
        <w:spacing w:after="0" w:line="240" w:lineRule="auto"/>
        <w:jc w:val="both"/>
        <w:rPr>
          <w:rFonts w:ascii="Arial" w:eastAsia="Calibri" w:hAnsi="Arial" w:cs="Arial"/>
          <w:sz w:val="20"/>
          <w:szCs w:val="20"/>
          <w:lang w:eastAsia="en-US"/>
        </w:rPr>
      </w:pPr>
    </w:p>
    <w:p w14:paraId="67070B09" w14:textId="77777777" w:rsidR="005D7A50" w:rsidRPr="00511664" w:rsidRDefault="005D7A50" w:rsidP="00184A8E">
      <w:pPr>
        <w:spacing w:after="0" w:line="240" w:lineRule="auto"/>
        <w:jc w:val="both"/>
        <w:rPr>
          <w:rFonts w:ascii="Arial" w:eastAsia="Calibri" w:hAnsi="Arial" w:cs="Arial"/>
          <w:sz w:val="20"/>
          <w:szCs w:val="20"/>
          <w:lang w:eastAsia="en-US"/>
        </w:rPr>
      </w:pPr>
    </w:p>
    <w:tbl>
      <w:tblPr>
        <w:tblStyle w:val="Reetkatablice5368"/>
        <w:tblW w:w="14597" w:type="dxa"/>
        <w:jc w:val="center"/>
        <w:tblLayout w:type="fixed"/>
        <w:tblLook w:val="04A0" w:firstRow="1" w:lastRow="0" w:firstColumn="1" w:lastColumn="0" w:noHBand="0" w:noVBand="1"/>
      </w:tblPr>
      <w:tblGrid>
        <w:gridCol w:w="2835"/>
        <w:gridCol w:w="3402"/>
        <w:gridCol w:w="958"/>
        <w:gridCol w:w="1134"/>
        <w:gridCol w:w="1232"/>
        <w:gridCol w:w="1276"/>
        <w:gridCol w:w="1276"/>
        <w:gridCol w:w="1242"/>
        <w:gridCol w:w="1242"/>
      </w:tblGrid>
      <w:tr w:rsidR="00184A8E" w:rsidRPr="00184A8E" w14:paraId="67BDDF14"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B95365D" w14:textId="77777777" w:rsidR="00184A8E" w:rsidRPr="00184A8E" w:rsidRDefault="00184A8E" w:rsidP="00184A8E">
            <w:pPr>
              <w:jc w:val="center"/>
              <w:rPr>
                <w:rFonts w:ascii="Arial" w:eastAsia="Calibri" w:hAnsi="Arial" w:cs="Arial"/>
              </w:rPr>
            </w:pPr>
            <w:bookmarkStart w:id="579" w:name="_Hlk120789784"/>
            <w:r w:rsidRPr="00184A8E">
              <w:rPr>
                <w:rFonts w:ascii="Arial" w:eastAsia="Calibri" w:hAnsi="Arial" w:cs="Arial"/>
              </w:rPr>
              <w:lastRenderedPageBreak/>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6535CFD"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723092A"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6234D07"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34EC4F0" w14:textId="767E95AF"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DF3B6C">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FE5D1EC" w14:textId="70D4922D"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DF3B6C">
              <w:rPr>
                <w:rFonts w:ascii="Arial" w:eastAsia="Calibri" w:hAnsi="Arial" w:cs="Arial"/>
              </w:rPr>
              <w:t>5</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EB3476B" w14:textId="52443136"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DF3B6C">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EC7A804" w14:textId="0FEED55F"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DF3B6C">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857A9E" w14:textId="36B70F00"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DF3B6C">
              <w:rPr>
                <w:rFonts w:ascii="Arial" w:eastAsia="Calibri" w:hAnsi="Arial" w:cs="Arial"/>
              </w:rPr>
              <w:t>7</w:t>
            </w:r>
            <w:r w:rsidRPr="00184A8E">
              <w:rPr>
                <w:rFonts w:ascii="Arial" w:eastAsia="Calibri" w:hAnsi="Arial" w:cs="Arial"/>
              </w:rPr>
              <w:t>.</w:t>
            </w:r>
          </w:p>
        </w:tc>
      </w:tr>
      <w:tr w:rsidR="00184A8E" w:rsidRPr="00184A8E" w14:paraId="72A31755"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7A2400BE" w14:textId="77777777" w:rsidR="00184A8E" w:rsidRPr="00184A8E" w:rsidRDefault="00184A8E" w:rsidP="00184A8E">
            <w:pPr>
              <w:rPr>
                <w:rFonts w:ascii="Arial" w:hAnsi="Arial" w:cs="Arial"/>
                <w:sz w:val="14"/>
                <w:szCs w:val="14"/>
              </w:rPr>
            </w:pPr>
            <w:r w:rsidRPr="00184A8E">
              <w:rPr>
                <w:rFonts w:ascii="Arial" w:eastAsia="Calibri" w:hAnsi="Arial" w:cs="Arial"/>
                <w:sz w:val="14"/>
                <w:szCs w:val="14"/>
              </w:rPr>
              <w:t>Izvršavanje poslova iz djelokruga rada, Redovito podmirivanje svih obveza za materijalne rashode za materijal, energiju i usluge, te ostale nespomenute rashode poslovanja</w:t>
            </w:r>
          </w:p>
        </w:tc>
        <w:tc>
          <w:tcPr>
            <w:tcW w:w="3402" w:type="dxa"/>
            <w:tcBorders>
              <w:top w:val="single" w:sz="4" w:space="0" w:color="auto"/>
              <w:left w:val="single" w:sz="4" w:space="0" w:color="auto"/>
              <w:bottom w:val="single" w:sz="4" w:space="0" w:color="auto"/>
              <w:right w:val="single" w:sz="4" w:space="0" w:color="auto"/>
            </w:tcBorders>
            <w:vAlign w:val="center"/>
          </w:tcPr>
          <w:p w14:paraId="523D6A3D" w14:textId="77777777" w:rsidR="00184A8E" w:rsidRPr="00184A8E" w:rsidRDefault="00184A8E" w:rsidP="00184A8E">
            <w:pPr>
              <w:autoSpaceDE w:val="0"/>
              <w:autoSpaceDN w:val="0"/>
              <w:adjustRightInd w:val="0"/>
              <w:rPr>
                <w:rFonts w:ascii="Arial" w:hAnsi="Arial" w:cs="Arial"/>
              </w:rPr>
            </w:pPr>
            <w:r w:rsidRPr="00184A8E">
              <w:rPr>
                <w:rFonts w:ascii="Arial" w:eastAsia="Calibri" w:hAnsi="Arial" w:cs="Arial"/>
              </w:rPr>
              <w:t>Pravovremeno podmirivanje tekućih troškova poslovanja</w:t>
            </w:r>
          </w:p>
        </w:tc>
        <w:tc>
          <w:tcPr>
            <w:tcW w:w="958" w:type="dxa"/>
            <w:tcBorders>
              <w:top w:val="single" w:sz="4" w:space="0" w:color="auto"/>
              <w:left w:val="single" w:sz="4" w:space="0" w:color="auto"/>
              <w:bottom w:val="single" w:sz="4" w:space="0" w:color="auto"/>
              <w:right w:val="single" w:sz="4" w:space="0" w:color="auto"/>
            </w:tcBorders>
            <w:vAlign w:val="center"/>
          </w:tcPr>
          <w:p w14:paraId="192191AF"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37DEB327"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758BAB11" w14:textId="77777777" w:rsidR="00184A8E" w:rsidRPr="00184A8E" w:rsidRDefault="00184A8E" w:rsidP="00184A8E">
            <w:pPr>
              <w:jc w:val="center"/>
              <w:rPr>
                <w:rFonts w:ascii="Arial" w:hAnsi="Arial" w:cs="Arial"/>
              </w:rPr>
            </w:pPr>
            <w:r w:rsidRPr="00184A8E">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A2EAB75" w14:textId="77777777" w:rsidR="00184A8E" w:rsidRPr="00184A8E" w:rsidRDefault="00184A8E" w:rsidP="00184A8E">
            <w:pPr>
              <w:jc w:val="center"/>
              <w:rPr>
                <w:rFonts w:ascii="Arial" w:hAnsi="Arial" w:cs="Arial"/>
              </w:rPr>
            </w:pPr>
            <w:r w:rsidRPr="00184A8E">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B7459C8" w14:textId="702C7841" w:rsidR="00184A8E" w:rsidRPr="00184A8E" w:rsidRDefault="005D7A50" w:rsidP="00184A8E">
            <w:pPr>
              <w:jc w:val="center"/>
              <w:rPr>
                <w:rFonts w:ascii="Arial" w:hAnsi="Arial" w:cs="Arial"/>
              </w:rPr>
            </w:pPr>
            <w:r>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79A522EC"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4F39ACB2" w14:textId="77777777" w:rsidR="00184A8E" w:rsidRPr="00184A8E" w:rsidRDefault="00184A8E" w:rsidP="00184A8E">
            <w:pPr>
              <w:jc w:val="center"/>
              <w:rPr>
                <w:rFonts w:ascii="Arial" w:hAnsi="Arial" w:cs="Arial"/>
              </w:rPr>
            </w:pPr>
            <w:r w:rsidRPr="00184A8E">
              <w:rPr>
                <w:rFonts w:ascii="Arial" w:hAnsi="Arial" w:cs="Arial"/>
              </w:rPr>
              <w:t>100</w:t>
            </w:r>
          </w:p>
        </w:tc>
      </w:tr>
      <w:bookmarkEnd w:id="579"/>
    </w:tbl>
    <w:p w14:paraId="75C2FC94" w14:textId="77777777" w:rsidR="00184A8E" w:rsidRPr="00184A8E" w:rsidRDefault="00184A8E" w:rsidP="00184A8E">
      <w:pPr>
        <w:spacing w:after="0" w:line="240" w:lineRule="auto"/>
        <w:jc w:val="both"/>
        <w:rPr>
          <w:rFonts w:ascii="Arial" w:eastAsia="Calibri" w:hAnsi="Arial" w:cs="Arial"/>
          <w:sz w:val="20"/>
          <w:szCs w:val="20"/>
        </w:rPr>
      </w:pPr>
    </w:p>
    <w:tbl>
      <w:tblPr>
        <w:tblStyle w:val="Reetkatablice"/>
        <w:tblW w:w="14709" w:type="dxa"/>
        <w:tblLook w:val="04A0" w:firstRow="1" w:lastRow="0" w:firstColumn="1" w:lastColumn="0" w:noHBand="0" w:noVBand="1"/>
      </w:tblPr>
      <w:tblGrid>
        <w:gridCol w:w="999"/>
        <w:gridCol w:w="880"/>
        <w:gridCol w:w="1948"/>
        <w:gridCol w:w="874"/>
        <w:gridCol w:w="1401"/>
        <w:gridCol w:w="1563"/>
        <w:gridCol w:w="1686"/>
        <w:gridCol w:w="1134"/>
        <w:gridCol w:w="1134"/>
        <w:gridCol w:w="1843"/>
        <w:gridCol w:w="1247"/>
      </w:tblGrid>
      <w:tr w:rsidR="00184A8E" w:rsidRPr="00184A8E" w14:paraId="122EDF4B" w14:textId="77777777" w:rsidTr="00410A4B">
        <w:tc>
          <w:tcPr>
            <w:tcW w:w="999" w:type="dxa"/>
            <w:vMerge w:val="restart"/>
            <w:vAlign w:val="center"/>
          </w:tcPr>
          <w:p w14:paraId="5460BEC3"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Godina nastanka obveze</w:t>
            </w:r>
          </w:p>
        </w:tc>
        <w:tc>
          <w:tcPr>
            <w:tcW w:w="2828" w:type="dxa"/>
            <w:gridSpan w:val="2"/>
            <w:vAlign w:val="center"/>
          </w:tcPr>
          <w:p w14:paraId="1E832891" w14:textId="77777777" w:rsidR="00184A8E" w:rsidRPr="00184A8E" w:rsidRDefault="00184A8E" w:rsidP="00184A8E">
            <w:pPr>
              <w:spacing w:before="100" w:beforeAutospacing="1" w:after="100" w:afterAutospacing="1"/>
              <w:jc w:val="center"/>
              <w:rPr>
                <w:rFonts w:ascii="Arial" w:eastAsia="Calibri" w:hAnsi="Arial" w:cs="Arial"/>
                <w:b/>
                <w:bCs/>
                <w:sz w:val="14"/>
                <w:szCs w:val="14"/>
              </w:rPr>
            </w:pPr>
            <w:r w:rsidRPr="00184A8E">
              <w:rPr>
                <w:rFonts w:ascii="Arial" w:eastAsia="Calibri" w:hAnsi="Arial" w:cs="Arial"/>
                <w:sz w:val="14"/>
                <w:szCs w:val="14"/>
              </w:rPr>
              <w:t>Usporedna godina za izračun</w:t>
            </w:r>
          </w:p>
        </w:tc>
        <w:tc>
          <w:tcPr>
            <w:tcW w:w="5524" w:type="dxa"/>
            <w:gridSpan w:val="4"/>
            <w:vAlign w:val="center"/>
          </w:tcPr>
          <w:p w14:paraId="28B80178" w14:textId="77777777" w:rsidR="00184A8E" w:rsidRPr="00184A8E" w:rsidRDefault="00184A8E" w:rsidP="00184A8E">
            <w:pPr>
              <w:spacing w:before="100" w:beforeAutospacing="1" w:after="100" w:afterAutospacing="1"/>
              <w:jc w:val="center"/>
              <w:rPr>
                <w:rFonts w:ascii="Arial" w:eastAsia="Calibri" w:hAnsi="Arial" w:cs="Arial"/>
                <w:sz w:val="14"/>
                <w:szCs w:val="14"/>
              </w:rPr>
            </w:pPr>
            <w:r w:rsidRPr="00184A8E">
              <w:rPr>
                <w:rFonts w:ascii="Arial" w:eastAsia="Calibri" w:hAnsi="Arial" w:cs="Arial"/>
                <w:sz w:val="14"/>
                <w:szCs w:val="14"/>
              </w:rPr>
              <w:t>Podaci iz godine za koju se obračunava poticajna naknada</w:t>
            </w:r>
          </w:p>
        </w:tc>
        <w:tc>
          <w:tcPr>
            <w:tcW w:w="1134" w:type="dxa"/>
            <w:vMerge w:val="restart"/>
            <w:vAlign w:val="center"/>
          </w:tcPr>
          <w:p w14:paraId="361D1450" w14:textId="77777777" w:rsidR="00184A8E" w:rsidRPr="00184A8E" w:rsidRDefault="00184A8E" w:rsidP="00184A8E">
            <w:pPr>
              <w:spacing w:before="100" w:beforeAutospacing="1" w:after="100" w:afterAutospacing="1"/>
              <w:jc w:val="center"/>
              <w:rPr>
                <w:rFonts w:ascii="Arial" w:eastAsia="Calibri" w:hAnsi="Arial" w:cs="Arial"/>
                <w:sz w:val="14"/>
                <w:szCs w:val="14"/>
              </w:rPr>
            </w:pPr>
            <w:r w:rsidRPr="00184A8E">
              <w:rPr>
                <w:rFonts w:ascii="Arial" w:eastAsia="Calibri" w:hAnsi="Arial" w:cs="Arial"/>
                <w:sz w:val="14"/>
                <w:szCs w:val="14"/>
              </w:rPr>
              <w:t>Jedinična naknada za smanjenje količine miješanog komunalnog otpada (kn)</w:t>
            </w:r>
          </w:p>
        </w:tc>
        <w:tc>
          <w:tcPr>
            <w:tcW w:w="1134" w:type="dxa"/>
            <w:vMerge w:val="restart"/>
            <w:vAlign w:val="center"/>
          </w:tcPr>
          <w:p w14:paraId="14A111FD" w14:textId="77777777" w:rsidR="00184A8E" w:rsidRPr="00184A8E" w:rsidRDefault="00184A8E" w:rsidP="00184A8E">
            <w:pPr>
              <w:spacing w:before="100" w:beforeAutospacing="1" w:after="100" w:afterAutospacing="1"/>
              <w:jc w:val="center"/>
              <w:rPr>
                <w:rFonts w:ascii="Arial" w:eastAsia="Calibri" w:hAnsi="Arial" w:cs="Arial"/>
                <w:sz w:val="14"/>
                <w:szCs w:val="14"/>
              </w:rPr>
            </w:pPr>
            <w:r w:rsidRPr="00184A8E">
              <w:rPr>
                <w:rFonts w:ascii="Arial" w:eastAsia="Calibri" w:hAnsi="Arial" w:cs="Arial"/>
                <w:sz w:val="14"/>
                <w:szCs w:val="14"/>
              </w:rPr>
              <w:t xml:space="preserve">Naknada za razdoblje </w:t>
            </w:r>
          </w:p>
        </w:tc>
        <w:tc>
          <w:tcPr>
            <w:tcW w:w="1843" w:type="dxa"/>
            <w:vMerge w:val="restart"/>
            <w:vAlign w:val="center"/>
          </w:tcPr>
          <w:p w14:paraId="023BD0FC" w14:textId="77777777" w:rsidR="00184A8E" w:rsidRPr="00184A8E" w:rsidRDefault="00184A8E" w:rsidP="00184A8E">
            <w:pPr>
              <w:spacing w:before="100" w:beforeAutospacing="1" w:after="100" w:afterAutospacing="1"/>
              <w:jc w:val="center"/>
              <w:rPr>
                <w:rFonts w:ascii="Arial" w:eastAsia="Calibri" w:hAnsi="Arial" w:cs="Arial"/>
                <w:sz w:val="14"/>
                <w:szCs w:val="14"/>
              </w:rPr>
            </w:pPr>
            <w:r w:rsidRPr="00184A8E">
              <w:rPr>
                <w:rFonts w:ascii="Arial" w:eastAsia="Calibri" w:hAnsi="Arial" w:cs="Arial"/>
                <w:sz w:val="14"/>
                <w:szCs w:val="14"/>
              </w:rPr>
              <w:t xml:space="preserve">Poticajna naknada za smanjenje količine miješanog komunalnog otpada </w:t>
            </w:r>
          </w:p>
          <w:p w14:paraId="4BCCFE41" w14:textId="77777777" w:rsidR="00184A8E" w:rsidRPr="00184A8E" w:rsidRDefault="00184A8E" w:rsidP="00184A8E">
            <w:pPr>
              <w:spacing w:before="100" w:beforeAutospacing="1" w:after="100" w:afterAutospacing="1"/>
              <w:jc w:val="center"/>
              <w:rPr>
                <w:rFonts w:ascii="Arial" w:eastAsia="Calibri" w:hAnsi="Arial" w:cs="Arial"/>
                <w:sz w:val="14"/>
                <w:szCs w:val="14"/>
              </w:rPr>
            </w:pPr>
            <w:r w:rsidRPr="00184A8E">
              <w:rPr>
                <w:rFonts w:ascii="Arial" w:eastAsia="Calibri" w:hAnsi="Arial" w:cs="Arial"/>
                <w:sz w:val="14"/>
                <w:szCs w:val="14"/>
              </w:rPr>
              <w:t>- iznos</w:t>
            </w:r>
          </w:p>
          <w:p w14:paraId="1242F1FD" w14:textId="77777777" w:rsidR="00184A8E" w:rsidRPr="00184A8E" w:rsidRDefault="00184A8E" w:rsidP="00184A8E">
            <w:pPr>
              <w:spacing w:before="100" w:beforeAutospacing="1" w:after="100" w:afterAutospacing="1"/>
              <w:jc w:val="center"/>
              <w:rPr>
                <w:rFonts w:ascii="Arial" w:eastAsia="Calibri" w:hAnsi="Arial" w:cs="Arial"/>
                <w:sz w:val="14"/>
                <w:szCs w:val="14"/>
              </w:rPr>
            </w:pPr>
            <w:r w:rsidRPr="00184A8E">
              <w:rPr>
                <w:rFonts w:ascii="Arial" w:eastAsia="Calibri" w:hAnsi="Arial" w:cs="Arial"/>
                <w:sz w:val="14"/>
                <w:szCs w:val="14"/>
              </w:rPr>
              <w:t>(kn)</w:t>
            </w:r>
          </w:p>
        </w:tc>
        <w:tc>
          <w:tcPr>
            <w:tcW w:w="1247" w:type="dxa"/>
            <w:vMerge w:val="restart"/>
            <w:vAlign w:val="center"/>
          </w:tcPr>
          <w:p w14:paraId="2D4A3062" w14:textId="77777777" w:rsidR="00184A8E" w:rsidRPr="00184A8E" w:rsidRDefault="00184A8E" w:rsidP="00184A8E">
            <w:pPr>
              <w:spacing w:before="100" w:beforeAutospacing="1" w:after="100" w:afterAutospacing="1"/>
              <w:jc w:val="center"/>
              <w:rPr>
                <w:rFonts w:ascii="Arial" w:eastAsia="Calibri" w:hAnsi="Arial" w:cs="Arial"/>
                <w:b/>
                <w:bCs/>
                <w:sz w:val="14"/>
                <w:szCs w:val="14"/>
              </w:rPr>
            </w:pPr>
            <w:r w:rsidRPr="00184A8E">
              <w:rPr>
                <w:rFonts w:ascii="Arial" w:eastAsia="Calibri" w:hAnsi="Arial" w:cs="Arial"/>
                <w:b/>
                <w:bCs/>
                <w:sz w:val="14"/>
                <w:szCs w:val="14"/>
              </w:rPr>
              <w:t>Napomena</w:t>
            </w:r>
          </w:p>
        </w:tc>
      </w:tr>
      <w:tr w:rsidR="00184A8E" w:rsidRPr="00184A8E" w14:paraId="5AE302BB" w14:textId="77777777" w:rsidTr="00410A4B">
        <w:tc>
          <w:tcPr>
            <w:tcW w:w="999" w:type="dxa"/>
            <w:vMerge/>
            <w:tcBorders>
              <w:bottom w:val="double" w:sz="4" w:space="0" w:color="000000"/>
            </w:tcBorders>
            <w:vAlign w:val="center"/>
          </w:tcPr>
          <w:p w14:paraId="2B3902DC"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p>
        </w:tc>
        <w:tc>
          <w:tcPr>
            <w:tcW w:w="880" w:type="dxa"/>
            <w:tcBorders>
              <w:bottom w:val="double" w:sz="4" w:space="0" w:color="000000"/>
            </w:tcBorders>
            <w:vAlign w:val="center"/>
          </w:tcPr>
          <w:p w14:paraId="452F77C1" w14:textId="77777777" w:rsidR="00184A8E" w:rsidRPr="00184A8E" w:rsidRDefault="00184A8E" w:rsidP="00184A8E">
            <w:pPr>
              <w:spacing w:before="100" w:beforeAutospacing="1" w:after="100" w:afterAutospacing="1"/>
              <w:jc w:val="center"/>
              <w:rPr>
                <w:rFonts w:ascii="Arial" w:eastAsia="Calibri" w:hAnsi="Arial" w:cs="Arial"/>
                <w:sz w:val="14"/>
                <w:szCs w:val="14"/>
              </w:rPr>
            </w:pPr>
            <w:r w:rsidRPr="00184A8E">
              <w:rPr>
                <w:rFonts w:ascii="Arial" w:eastAsia="Calibri" w:hAnsi="Arial" w:cs="Arial"/>
                <w:sz w:val="14"/>
                <w:szCs w:val="14"/>
              </w:rPr>
              <w:t>Godina</w:t>
            </w:r>
          </w:p>
        </w:tc>
        <w:tc>
          <w:tcPr>
            <w:tcW w:w="1948" w:type="dxa"/>
            <w:tcBorders>
              <w:bottom w:val="double" w:sz="4" w:space="0" w:color="000000"/>
            </w:tcBorders>
            <w:vAlign w:val="center"/>
          </w:tcPr>
          <w:p w14:paraId="49120C0B" w14:textId="77777777" w:rsidR="00184A8E" w:rsidRPr="00184A8E" w:rsidRDefault="00184A8E" w:rsidP="00184A8E">
            <w:pPr>
              <w:spacing w:before="100" w:beforeAutospacing="1" w:after="100" w:afterAutospacing="1"/>
              <w:jc w:val="center"/>
              <w:rPr>
                <w:rFonts w:ascii="Arial" w:eastAsia="Calibri" w:hAnsi="Arial" w:cs="Arial"/>
                <w:sz w:val="14"/>
                <w:szCs w:val="14"/>
              </w:rPr>
            </w:pPr>
            <w:r w:rsidRPr="00184A8E">
              <w:rPr>
                <w:rFonts w:ascii="Arial" w:eastAsia="Calibri" w:hAnsi="Arial" w:cs="Arial"/>
                <w:sz w:val="14"/>
                <w:szCs w:val="14"/>
              </w:rPr>
              <w:t>Ukupna količina proizvedenog miješanog komunalnog otpada (t)</w:t>
            </w:r>
          </w:p>
        </w:tc>
        <w:tc>
          <w:tcPr>
            <w:tcW w:w="874" w:type="dxa"/>
            <w:tcBorders>
              <w:bottom w:val="double" w:sz="4" w:space="0" w:color="000000"/>
            </w:tcBorders>
            <w:vAlign w:val="center"/>
          </w:tcPr>
          <w:p w14:paraId="5464CF2C" w14:textId="77777777" w:rsidR="00184A8E" w:rsidRPr="00184A8E" w:rsidRDefault="00184A8E" w:rsidP="00184A8E">
            <w:pPr>
              <w:spacing w:before="100" w:beforeAutospacing="1" w:after="100" w:afterAutospacing="1"/>
              <w:jc w:val="center"/>
              <w:rPr>
                <w:rFonts w:ascii="Arial" w:eastAsia="Calibri" w:hAnsi="Arial" w:cs="Arial"/>
                <w:b/>
                <w:bCs/>
                <w:sz w:val="14"/>
                <w:szCs w:val="14"/>
              </w:rPr>
            </w:pPr>
            <w:r w:rsidRPr="00184A8E">
              <w:rPr>
                <w:rFonts w:ascii="Arial" w:eastAsia="Calibri" w:hAnsi="Arial" w:cs="Arial"/>
                <w:b/>
                <w:bCs/>
                <w:sz w:val="14"/>
                <w:szCs w:val="14"/>
              </w:rPr>
              <w:t xml:space="preserve">Godina </w:t>
            </w:r>
          </w:p>
        </w:tc>
        <w:tc>
          <w:tcPr>
            <w:tcW w:w="1401" w:type="dxa"/>
            <w:tcBorders>
              <w:bottom w:val="double" w:sz="4" w:space="0" w:color="000000"/>
            </w:tcBorders>
            <w:vAlign w:val="center"/>
          </w:tcPr>
          <w:p w14:paraId="3A6CA845" w14:textId="77777777" w:rsidR="00184A8E" w:rsidRPr="00184A8E" w:rsidRDefault="00184A8E" w:rsidP="00184A8E">
            <w:pPr>
              <w:spacing w:before="100" w:beforeAutospacing="1" w:after="100" w:afterAutospacing="1"/>
              <w:jc w:val="center"/>
              <w:rPr>
                <w:rFonts w:ascii="Arial" w:eastAsia="Calibri" w:hAnsi="Arial" w:cs="Arial"/>
                <w:sz w:val="14"/>
                <w:szCs w:val="14"/>
              </w:rPr>
            </w:pPr>
            <w:r w:rsidRPr="00184A8E">
              <w:rPr>
                <w:rFonts w:ascii="Arial" w:eastAsia="Calibri" w:hAnsi="Arial" w:cs="Arial"/>
                <w:sz w:val="14"/>
                <w:szCs w:val="14"/>
              </w:rPr>
              <w:t>Granična količina proizvedenog miješanog komunalnog otpada (t)</w:t>
            </w:r>
          </w:p>
        </w:tc>
        <w:tc>
          <w:tcPr>
            <w:tcW w:w="1563" w:type="dxa"/>
            <w:tcBorders>
              <w:bottom w:val="double" w:sz="4" w:space="0" w:color="000000"/>
            </w:tcBorders>
            <w:vAlign w:val="center"/>
          </w:tcPr>
          <w:p w14:paraId="75803E5F" w14:textId="77777777" w:rsidR="00184A8E" w:rsidRPr="00184A8E" w:rsidRDefault="00184A8E" w:rsidP="00184A8E">
            <w:pPr>
              <w:spacing w:before="100" w:beforeAutospacing="1" w:after="100" w:afterAutospacing="1"/>
              <w:jc w:val="center"/>
              <w:rPr>
                <w:rFonts w:ascii="Arial" w:eastAsia="Calibri" w:hAnsi="Arial" w:cs="Arial"/>
                <w:sz w:val="14"/>
                <w:szCs w:val="14"/>
              </w:rPr>
            </w:pPr>
            <w:r w:rsidRPr="00184A8E">
              <w:rPr>
                <w:rFonts w:ascii="Arial" w:eastAsia="Calibri" w:hAnsi="Arial" w:cs="Arial"/>
                <w:sz w:val="14"/>
                <w:szCs w:val="14"/>
              </w:rPr>
              <w:t xml:space="preserve">Sakupljena  količina miješanog komunalnog otpada </w:t>
            </w:r>
          </w:p>
          <w:p w14:paraId="53E5C483" w14:textId="77777777" w:rsidR="00184A8E" w:rsidRPr="00184A8E" w:rsidRDefault="00184A8E" w:rsidP="00184A8E">
            <w:pPr>
              <w:spacing w:before="100" w:beforeAutospacing="1" w:after="100" w:afterAutospacing="1"/>
              <w:jc w:val="center"/>
              <w:rPr>
                <w:rFonts w:ascii="Arial" w:eastAsia="Calibri" w:hAnsi="Arial" w:cs="Arial"/>
                <w:sz w:val="14"/>
                <w:szCs w:val="14"/>
              </w:rPr>
            </w:pPr>
            <w:r w:rsidRPr="00184A8E">
              <w:rPr>
                <w:rFonts w:ascii="Arial" w:eastAsia="Calibri" w:hAnsi="Arial" w:cs="Arial"/>
                <w:sz w:val="14"/>
                <w:szCs w:val="14"/>
              </w:rPr>
              <w:t>(t)</w:t>
            </w:r>
          </w:p>
        </w:tc>
        <w:tc>
          <w:tcPr>
            <w:tcW w:w="1686" w:type="dxa"/>
            <w:tcBorders>
              <w:bottom w:val="double" w:sz="4" w:space="0" w:color="000000"/>
            </w:tcBorders>
            <w:vAlign w:val="center"/>
          </w:tcPr>
          <w:p w14:paraId="30B0B520" w14:textId="77777777" w:rsidR="00184A8E" w:rsidRPr="00184A8E" w:rsidRDefault="00184A8E" w:rsidP="00184A8E">
            <w:pPr>
              <w:spacing w:before="100" w:beforeAutospacing="1" w:after="100" w:afterAutospacing="1"/>
              <w:jc w:val="center"/>
              <w:rPr>
                <w:rFonts w:ascii="Arial" w:eastAsia="Calibri" w:hAnsi="Arial" w:cs="Arial"/>
                <w:sz w:val="14"/>
                <w:szCs w:val="14"/>
              </w:rPr>
            </w:pPr>
            <w:r w:rsidRPr="00184A8E">
              <w:rPr>
                <w:rFonts w:ascii="Arial" w:eastAsia="Calibri" w:hAnsi="Arial" w:cs="Arial"/>
                <w:sz w:val="14"/>
                <w:szCs w:val="14"/>
              </w:rPr>
              <w:t>Prekoračena količina miješanog komunalnog otpada (t)</w:t>
            </w:r>
          </w:p>
        </w:tc>
        <w:tc>
          <w:tcPr>
            <w:tcW w:w="1134" w:type="dxa"/>
            <w:vMerge/>
            <w:tcBorders>
              <w:bottom w:val="double" w:sz="4" w:space="0" w:color="000000"/>
            </w:tcBorders>
            <w:vAlign w:val="center"/>
          </w:tcPr>
          <w:p w14:paraId="062156CF" w14:textId="77777777" w:rsidR="00184A8E" w:rsidRPr="00184A8E" w:rsidRDefault="00184A8E" w:rsidP="00184A8E">
            <w:pPr>
              <w:spacing w:before="100" w:beforeAutospacing="1" w:after="100" w:afterAutospacing="1"/>
              <w:jc w:val="center"/>
              <w:rPr>
                <w:rFonts w:ascii="Arial" w:eastAsia="Calibri" w:hAnsi="Arial" w:cs="Arial"/>
                <w:sz w:val="14"/>
                <w:szCs w:val="14"/>
              </w:rPr>
            </w:pPr>
          </w:p>
        </w:tc>
        <w:tc>
          <w:tcPr>
            <w:tcW w:w="1134" w:type="dxa"/>
            <w:vMerge/>
            <w:tcBorders>
              <w:bottom w:val="double" w:sz="4" w:space="0" w:color="000000"/>
            </w:tcBorders>
            <w:vAlign w:val="center"/>
          </w:tcPr>
          <w:p w14:paraId="480BEFEE" w14:textId="77777777" w:rsidR="00184A8E" w:rsidRPr="00184A8E" w:rsidRDefault="00184A8E" w:rsidP="00184A8E">
            <w:pPr>
              <w:spacing w:before="100" w:beforeAutospacing="1" w:after="100" w:afterAutospacing="1"/>
              <w:jc w:val="center"/>
              <w:rPr>
                <w:rFonts w:ascii="Arial" w:eastAsia="Calibri" w:hAnsi="Arial" w:cs="Arial"/>
                <w:sz w:val="14"/>
                <w:szCs w:val="14"/>
              </w:rPr>
            </w:pPr>
          </w:p>
        </w:tc>
        <w:tc>
          <w:tcPr>
            <w:tcW w:w="1843" w:type="dxa"/>
            <w:vMerge/>
            <w:tcBorders>
              <w:bottom w:val="double" w:sz="4" w:space="0" w:color="000000"/>
            </w:tcBorders>
            <w:vAlign w:val="center"/>
          </w:tcPr>
          <w:p w14:paraId="0D00682A" w14:textId="77777777" w:rsidR="00184A8E" w:rsidRPr="00184A8E" w:rsidRDefault="00184A8E" w:rsidP="00184A8E">
            <w:pPr>
              <w:spacing w:before="100" w:beforeAutospacing="1" w:after="100" w:afterAutospacing="1"/>
              <w:jc w:val="center"/>
              <w:rPr>
                <w:rFonts w:ascii="Arial" w:eastAsia="Calibri" w:hAnsi="Arial" w:cs="Arial"/>
                <w:sz w:val="14"/>
                <w:szCs w:val="14"/>
              </w:rPr>
            </w:pPr>
          </w:p>
        </w:tc>
        <w:tc>
          <w:tcPr>
            <w:tcW w:w="1247" w:type="dxa"/>
            <w:vMerge/>
            <w:tcBorders>
              <w:bottom w:val="double" w:sz="4" w:space="0" w:color="000000"/>
            </w:tcBorders>
            <w:vAlign w:val="center"/>
          </w:tcPr>
          <w:p w14:paraId="63A8B98B"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p>
        </w:tc>
      </w:tr>
      <w:tr w:rsidR="00184A8E" w:rsidRPr="00184A8E" w14:paraId="72AEEDAA" w14:textId="77777777" w:rsidTr="00410A4B">
        <w:tc>
          <w:tcPr>
            <w:tcW w:w="999" w:type="dxa"/>
            <w:tcBorders>
              <w:top w:val="double" w:sz="4" w:space="0" w:color="000000"/>
            </w:tcBorders>
            <w:vAlign w:val="center"/>
          </w:tcPr>
          <w:p w14:paraId="51EC95BA"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2019.</w:t>
            </w:r>
          </w:p>
        </w:tc>
        <w:tc>
          <w:tcPr>
            <w:tcW w:w="880" w:type="dxa"/>
            <w:tcBorders>
              <w:top w:val="double" w:sz="4" w:space="0" w:color="000000"/>
            </w:tcBorders>
            <w:vAlign w:val="center"/>
          </w:tcPr>
          <w:p w14:paraId="7C38D995"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2015.</w:t>
            </w:r>
          </w:p>
        </w:tc>
        <w:tc>
          <w:tcPr>
            <w:tcW w:w="1948" w:type="dxa"/>
            <w:tcBorders>
              <w:top w:val="double" w:sz="4" w:space="0" w:color="000000"/>
            </w:tcBorders>
            <w:vAlign w:val="center"/>
          </w:tcPr>
          <w:p w14:paraId="2C00213E"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3.913,66</w:t>
            </w:r>
          </w:p>
        </w:tc>
        <w:tc>
          <w:tcPr>
            <w:tcW w:w="874" w:type="dxa"/>
            <w:tcBorders>
              <w:top w:val="double" w:sz="4" w:space="0" w:color="000000"/>
            </w:tcBorders>
            <w:vAlign w:val="center"/>
          </w:tcPr>
          <w:p w14:paraId="1C080198"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2017.</w:t>
            </w:r>
          </w:p>
        </w:tc>
        <w:tc>
          <w:tcPr>
            <w:tcW w:w="1401" w:type="dxa"/>
            <w:tcBorders>
              <w:top w:val="double" w:sz="4" w:space="0" w:color="000000"/>
            </w:tcBorders>
            <w:vAlign w:val="center"/>
          </w:tcPr>
          <w:p w14:paraId="7A31F54A"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3.130,93</w:t>
            </w:r>
          </w:p>
        </w:tc>
        <w:tc>
          <w:tcPr>
            <w:tcW w:w="1563" w:type="dxa"/>
            <w:tcBorders>
              <w:top w:val="double" w:sz="4" w:space="0" w:color="000000"/>
            </w:tcBorders>
            <w:vAlign w:val="center"/>
          </w:tcPr>
          <w:p w14:paraId="699C0640"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4.120,60</w:t>
            </w:r>
          </w:p>
        </w:tc>
        <w:tc>
          <w:tcPr>
            <w:tcW w:w="1686" w:type="dxa"/>
            <w:tcBorders>
              <w:top w:val="double" w:sz="4" w:space="0" w:color="000000"/>
            </w:tcBorders>
            <w:vAlign w:val="center"/>
          </w:tcPr>
          <w:p w14:paraId="21A8B485"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989,67</w:t>
            </w:r>
          </w:p>
        </w:tc>
        <w:tc>
          <w:tcPr>
            <w:tcW w:w="1134" w:type="dxa"/>
            <w:tcBorders>
              <w:top w:val="double" w:sz="4" w:space="0" w:color="000000"/>
            </w:tcBorders>
            <w:vAlign w:val="center"/>
          </w:tcPr>
          <w:p w14:paraId="6022220A"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100 kn/t</w:t>
            </w:r>
          </w:p>
          <w:p w14:paraId="1880BDAA"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(12,27 €/t)</w:t>
            </w:r>
          </w:p>
        </w:tc>
        <w:tc>
          <w:tcPr>
            <w:tcW w:w="1134" w:type="dxa"/>
            <w:tcBorders>
              <w:top w:val="double" w:sz="4" w:space="0" w:color="000000"/>
            </w:tcBorders>
            <w:vAlign w:val="center"/>
          </w:tcPr>
          <w:p w14:paraId="1DF8E90B"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u w:val="single"/>
              </w:rPr>
              <w:t>1.11.-</w:t>
            </w:r>
            <w:r w:rsidRPr="00184A8E">
              <w:rPr>
                <w:rFonts w:ascii="Arial" w:eastAsia="Calibri" w:hAnsi="Arial" w:cs="Arial"/>
                <w:sz w:val="16"/>
                <w:szCs w:val="16"/>
              </w:rPr>
              <w:t>31.12.2017.</w:t>
            </w:r>
          </w:p>
        </w:tc>
        <w:tc>
          <w:tcPr>
            <w:tcW w:w="1843" w:type="dxa"/>
            <w:tcBorders>
              <w:top w:val="double" w:sz="4" w:space="0" w:color="000000"/>
            </w:tcBorders>
            <w:vAlign w:val="center"/>
          </w:tcPr>
          <w:p w14:paraId="71110D01"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16.539,72 kn (2.195,20 €)</w:t>
            </w:r>
          </w:p>
        </w:tc>
        <w:tc>
          <w:tcPr>
            <w:tcW w:w="1247" w:type="dxa"/>
            <w:tcBorders>
              <w:top w:val="double" w:sz="4" w:space="0" w:color="000000"/>
            </w:tcBorders>
            <w:vAlign w:val="center"/>
          </w:tcPr>
          <w:p w14:paraId="362CE08A" w14:textId="77777777" w:rsidR="00184A8E" w:rsidRPr="00184A8E" w:rsidRDefault="00184A8E" w:rsidP="00184A8E">
            <w:pPr>
              <w:spacing w:before="100" w:beforeAutospacing="1" w:after="100" w:afterAutospacing="1"/>
              <w:jc w:val="center"/>
              <w:rPr>
                <w:rFonts w:ascii="Arial" w:eastAsia="Calibri" w:hAnsi="Arial" w:cs="Arial"/>
                <w:sz w:val="14"/>
                <w:szCs w:val="14"/>
              </w:rPr>
            </w:pPr>
            <w:r w:rsidRPr="00184A8E">
              <w:rPr>
                <w:rFonts w:ascii="Arial" w:eastAsia="Calibri" w:hAnsi="Arial" w:cs="Arial"/>
                <w:sz w:val="14"/>
                <w:szCs w:val="14"/>
              </w:rPr>
              <w:t>* iznos naknade ukupno za 2017.g je 98.967,20 kn, ali je zakonska obveza plaćanja za razdoblje od 1.11.2017.</w:t>
            </w:r>
          </w:p>
        </w:tc>
      </w:tr>
      <w:tr w:rsidR="00184A8E" w:rsidRPr="00184A8E" w14:paraId="5C506244" w14:textId="77777777" w:rsidTr="00410A4B">
        <w:tc>
          <w:tcPr>
            <w:tcW w:w="999" w:type="dxa"/>
            <w:vAlign w:val="center"/>
          </w:tcPr>
          <w:p w14:paraId="3BE0834D"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2019.</w:t>
            </w:r>
          </w:p>
        </w:tc>
        <w:tc>
          <w:tcPr>
            <w:tcW w:w="880" w:type="dxa"/>
            <w:vAlign w:val="center"/>
          </w:tcPr>
          <w:p w14:paraId="2F19F438"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2015.</w:t>
            </w:r>
          </w:p>
        </w:tc>
        <w:tc>
          <w:tcPr>
            <w:tcW w:w="1948" w:type="dxa"/>
            <w:vAlign w:val="center"/>
          </w:tcPr>
          <w:p w14:paraId="11BADA9E"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3.913,66</w:t>
            </w:r>
          </w:p>
        </w:tc>
        <w:tc>
          <w:tcPr>
            <w:tcW w:w="874" w:type="dxa"/>
            <w:vAlign w:val="center"/>
          </w:tcPr>
          <w:p w14:paraId="4861A3CF"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2018.</w:t>
            </w:r>
          </w:p>
        </w:tc>
        <w:tc>
          <w:tcPr>
            <w:tcW w:w="1401" w:type="dxa"/>
            <w:vAlign w:val="center"/>
          </w:tcPr>
          <w:p w14:paraId="64D60FD1"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2.896,11</w:t>
            </w:r>
          </w:p>
        </w:tc>
        <w:tc>
          <w:tcPr>
            <w:tcW w:w="1563" w:type="dxa"/>
            <w:vAlign w:val="center"/>
          </w:tcPr>
          <w:p w14:paraId="0329BA0B"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2.965,95</w:t>
            </w:r>
          </w:p>
        </w:tc>
        <w:tc>
          <w:tcPr>
            <w:tcW w:w="1686" w:type="dxa"/>
            <w:vAlign w:val="center"/>
          </w:tcPr>
          <w:p w14:paraId="72D2E7CC"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69,84</w:t>
            </w:r>
          </w:p>
        </w:tc>
        <w:tc>
          <w:tcPr>
            <w:tcW w:w="1134" w:type="dxa"/>
            <w:vAlign w:val="center"/>
          </w:tcPr>
          <w:p w14:paraId="201378F8"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100 kn/t</w:t>
            </w:r>
          </w:p>
          <w:p w14:paraId="2614963D"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(12,27 €/t)</w:t>
            </w:r>
          </w:p>
        </w:tc>
        <w:tc>
          <w:tcPr>
            <w:tcW w:w="1134" w:type="dxa"/>
            <w:vAlign w:val="center"/>
          </w:tcPr>
          <w:p w14:paraId="7ED47B52"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1.1.-31.12.2018.</w:t>
            </w:r>
          </w:p>
        </w:tc>
        <w:tc>
          <w:tcPr>
            <w:tcW w:w="1843" w:type="dxa"/>
            <w:vAlign w:val="center"/>
          </w:tcPr>
          <w:p w14:paraId="388BFED6"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 xml:space="preserve">6.984,16 kn </w:t>
            </w:r>
          </w:p>
          <w:p w14:paraId="6DBC2FEE"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(926,96 €)</w:t>
            </w:r>
          </w:p>
        </w:tc>
        <w:tc>
          <w:tcPr>
            <w:tcW w:w="1247" w:type="dxa"/>
            <w:vAlign w:val="center"/>
          </w:tcPr>
          <w:p w14:paraId="6787B5A5" w14:textId="77777777" w:rsidR="00184A8E" w:rsidRPr="00184A8E" w:rsidRDefault="00184A8E" w:rsidP="00184A8E">
            <w:pPr>
              <w:spacing w:before="100" w:beforeAutospacing="1" w:after="100" w:afterAutospacing="1"/>
              <w:jc w:val="center"/>
              <w:rPr>
                <w:rFonts w:ascii="Arial" w:eastAsia="Calibri" w:hAnsi="Arial" w:cs="Arial"/>
                <w:sz w:val="18"/>
                <w:szCs w:val="18"/>
              </w:rPr>
            </w:pPr>
          </w:p>
        </w:tc>
      </w:tr>
      <w:tr w:rsidR="00184A8E" w:rsidRPr="00184A8E" w14:paraId="6CB36348" w14:textId="77777777" w:rsidTr="00410A4B">
        <w:tc>
          <w:tcPr>
            <w:tcW w:w="999" w:type="dxa"/>
            <w:vAlign w:val="center"/>
          </w:tcPr>
          <w:p w14:paraId="12D6B70D"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2021.</w:t>
            </w:r>
          </w:p>
        </w:tc>
        <w:tc>
          <w:tcPr>
            <w:tcW w:w="880" w:type="dxa"/>
            <w:vAlign w:val="center"/>
          </w:tcPr>
          <w:p w14:paraId="52393A39"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2020.</w:t>
            </w:r>
          </w:p>
        </w:tc>
        <w:tc>
          <w:tcPr>
            <w:tcW w:w="1948" w:type="dxa"/>
            <w:vAlign w:val="center"/>
          </w:tcPr>
          <w:p w14:paraId="787B8800"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2.928,7098</w:t>
            </w:r>
          </w:p>
        </w:tc>
        <w:tc>
          <w:tcPr>
            <w:tcW w:w="874" w:type="dxa"/>
            <w:vAlign w:val="center"/>
          </w:tcPr>
          <w:p w14:paraId="361D6C66"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2020.</w:t>
            </w:r>
          </w:p>
        </w:tc>
        <w:tc>
          <w:tcPr>
            <w:tcW w:w="1401" w:type="dxa"/>
            <w:vAlign w:val="center"/>
          </w:tcPr>
          <w:p w14:paraId="21D45D66"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1.699,2317</w:t>
            </w:r>
          </w:p>
        </w:tc>
        <w:tc>
          <w:tcPr>
            <w:tcW w:w="1563" w:type="dxa"/>
            <w:vAlign w:val="center"/>
          </w:tcPr>
          <w:p w14:paraId="6B0FCB73"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2.147,1400</w:t>
            </w:r>
          </w:p>
        </w:tc>
        <w:tc>
          <w:tcPr>
            <w:tcW w:w="1686" w:type="dxa"/>
            <w:vAlign w:val="center"/>
          </w:tcPr>
          <w:p w14:paraId="57FCD9DC"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447,9083</w:t>
            </w:r>
          </w:p>
        </w:tc>
        <w:tc>
          <w:tcPr>
            <w:tcW w:w="1134" w:type="dxa"/>
            <w:vAlign w:val="center"/>
          </w:tcPr>
          <w:p w14:paraId="1A3EBA18"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150 kn/t</w:t>
            </w:r>
          </w:p>
          <w:p w14:paraId="7375F725"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(19,91 €/t)</w:t>
            </w:r>
          </w:p>
        </w:tc>
        <w:tc>
          <w:tcPr>
            <w:tcW w:w="1134" w:type="dxa"/>
            <w:vAlign w:val="center"/>
          </w:tcPr>
          <w:p w14:paraId="0F972AC6"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1.1.-31.12.2020.</w:t>
            </w:r>
          </w:p>
        </w:tc>
        <w:tc>
          <w:tcPr>
            <w:tcW w:w="1843" w:type="dxa"/>
            <w:vAlign w:val="center"/>
          </w:tcPr>
          <w:p w14:paraId="3550A9CC"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67.186,25 €</w:t>
            </w:r>
          </w:p>
        </w:tc>
        <w:tc>
          <w:tcPr>
            <w:tcW w:w="1247" w:type="dxa"/>
            <w:vAlign w:val="center"/>
          </w:tcPr>
          <w:p w14:paraId="728ED5F7" w14:textId="77777777" w:rsidR="00184A8E" w:rsidRPr="00184A8E" w:rsidRDefault="00184A8E" w:rsidP="00184A8E">
            <w:pPr>
              <w:spacing w:before="100" w:beforeAutospacing="1" w:after="100" w:afterAutospacing="1"/>
              <w:jc w:val="center"/>
              <w:rPr>
                <w:rFonts w:ascii="Arial" w:eastAsia="Calibri" w:hAnsi="Arial" w:cs="Arial"/>
                <w:sz w:val="18"/>
                <w:szCs w:val="18"/>
              </w:rPr>
            </w:pPr>
          </w:p>
        </w:tc>
      </w:tr>
    </w:tbl>
    <w:p w14:paraId="38F4B96B" w14:textId="77777777" w:rsidR="00184A8E" w:rsidRPr="00184A8E" w:rsidRDefault="00184A8E" w:rsidP="00184A8E">
      <w:pPr>
        <w:spacing w:after="0" w:line="240" w:lineRule="auto"/>
        <w:jc w:val="both"/>
        <w:rPr>
          <w:rFonts w:ascii="Arial" w:eastAsia="Calibri" w:hAnsi="Arial" w:cs="Arial"/>
          <w:sz w:val="18"/>
          <w:szCs w:val="18"/>
        </w:rPr>
      </w:pPr>
    </w:p>
    <w:tbl>
      <w:tblPr>
        <w:tblStyle w:val="Reetkatablice"/>
        <w:tblW w:w="14709" w:type="dxa"/>
        <w:tblLayout w:type="fixed"/>
        <w:tblLook w:val="04A0" w:firstRow="1" w:lastRow="0" w:firstColumn="1" w:lastColumn="0" w:noHBand="0" w:noVBand="1"/>
      </w:tblPr>
      <w:tblGrid>
        <w:gridCol w:w="997"/>
        <w:gridCol w:w="886"/>
        <w:gridCol w:w="2896"/>
        <w:gridCol w:w="1312"/>
        <w:gridCol w:w="1559"/>
        <w:gridCol w:w="1701"/>
        <w:gridCol w:w="1134"/>
        <w:gridCol w:w="1134"/>
        <w:gridCol w:w="1843"/>
        <w:gridCol w:w="1247"/>
      </w:tblGrid>
      <w:tr w:rsidR="00184A8E" w:rsidRPr="00184A8E" w14:paraId="5FBD9A00" w14:textId="77777777" w:rsidTr="00410A4B">
        <w:tc>
          <w:tcPr>
            <w:tcW w:w="997" w:type="dxa"/>
            <w:vMerge w:val="restart"/>
            <w:vAlign w:val="center"/>
          </w:tcPr>
          <w:p w14:paraId="1F7A05E1"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Godina nastanka obveze</w:t>
            </w:r>
          </w:p>
        </w:tc>
        <w:tc>
          <w:tcPr>
            <w:tcW w:w="8354" w:type="dxa"/>
            <w:gridSpan w:val="5"/>
            <w:vAlign w:val="center"/>
          </w:tcPr>
          <w:p w14:paraId="27405192"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Podaci iz godine za koju se obračunava poticajna naknada</w:t>
            </w:r>
          </w:p>
        </w:tc>
        <w:tc>
          <w:tcPr>
            <w:tcW w:w="1134" w:type="dxa"/>
            <w:vMerge w:val="restart"/>
            <w:vAlign w:val="center"/>
          </w:tcPr>
          <w:p w14:paraId="698616CB"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 xml:space="preserve">Jedinična poticajna naknada </w:t>
            </w:r>
          </w:p>
          <w:p w14:paraId="582551E5"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(kn/t)</w:t>
            </w:r>
          </w:p>
        </w:tc>
        <w:tc>
          <w:tcPr>
            <w:tcW w:w="1134" w:type="dxa"/>
            <w:vMerge w:val="restart"/>
            <w:vAlign w:val="center"/>
          </w:tcPr>
          <w:p w14:paraId="2AC3AA77"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Naknada za razdoblje</w:t>
            </w:r>
          </w:p>
        </w:tc>
        <w:tc>
          <w:tcPr>
            <w:tcW w:w="1843" w:type="dxa"/>
            <w:vMerge w:val="restart"/>
            <w:vAlign w:val="center"/>
          </w:tcPr>
          <w:p w14:paraId="2F6F5CC4"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Poticajna naknada za smanjenje količine miješanog komunalnog otpada</w:t>
            </w:r>
          </w:p>
          <w:p w14:paraId="5E469442"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 iznos (kn)/ €</w:t>
            </w:r>
          </w:p>
        </w:tc>
        <w:tc>
          <w:tcPr>
            <w:tcW w:w="1247" w:type="dxa"/>
            <w:vMerge w:val="restart"/>
            <w:vAlign w:val="center"/>
          </w:tcPr>
          <w:p w14:paraId="54B285A3"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Napomena</w:t>
            </w:r>
          </w:p>
        </w:tc>
      </w:tr>
      <w:tr w:rsidR="00184A8E" w:rsidRPr="00184A8E" w14:paraId="58D23923" w14:textId="77777777" w:rsidTr="00410A4B">
        <w:tc>
          <w:tcPr>
            <w:tcW w:w="997" w:type="dxa"/>
            <w:vMerge/>
            <w:tcBorders>
              <w:bottom w:val="double" w:sz="4" w:space="0" w:color="000000"/>
            </w:tcBorders>
            <w:vAlign w:val="center"/>
          </w:tcPr>
          <w:p w14:paraId="07C9DF66"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p>
        </w:tc>
        <w:tc>
          <w:tcPr>
            <w:tcW w:w="886" w:type="dxa"/>
            <w:tcBorders>
              <w:bottom w:val="double" w:sz="4" w:space="0" w:color="000000"/>
            </w:tcBorders>
            <w:vAlign w:val="center"/>
          </w:tcPr>
          <w:p w14:paraId="668C0705" w14:textId="77777777" w:rsidR="00184A8E" w:rsidRPr="00184A8E" w:rsidRDefault="00184A8E" w:rsidP="00184A8E">
            <w:pPr>
              <w:spacing w:before="100" w:beforeAutospacing="1" w:after="100" w:afterAutospacing="1"/>
              <w:jc w:val="center"/>
              <w:rPr>
                <w:rFonts w:ascii="Arial" w:eastAsia="Calibri" w:hAnsi="Arial" w:cs="Arial"/>
                <w:b/>
                <w:bCs/>
                <w:sz w:val="16"/>
                <w:szCs w:val="16"/>
              </w:rPr>
            </w:pPr>
            <w:r w:rsidRPr="00184A8E">
              <w:rPr>
                <w:rFonts w:ascii="Arial" w:eastAsia="Calibri" w:hAnsi="Arial" w:cs="Arial"/>
                <w:b/>
                <w:bCs/>
                <w:sz w:val="16"/>
                <w:szCs w:val="16"/>
              </w:rPr>
              <w:t>Godina</w:t>
            </w:r>
          </w:p>
        </w:tc>
        <w:tc>
          <w:tcPr>
            <w:tcW w:w="2896" w:type="dxa"/>
            <w:tcBorders>
              <w:bottom w:val="double" w:sz="4" w:space="0" w:color="000000"/>
            </w:tcBorders>
            <w:vAlign w:val="center"/>
          </w:tcPr>
          <w:p w14:paraId="24F64926"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Masa ukupnog komunalnog otpada prikupljenog u okviru javne usluge</w:t>
            </w:r>
          </w:p>
          <w:p w14:paraId="1760F3B9"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(t)</w:t>
            </w:r>
          </w:p>
        </w:tc>
        <w:tc>
          <w:tcPr>
            <w:tcW w:w="1312" w:type="dxa"/>
            <w:tcBorders>
              <w:bottom w:val="double" w:sz="4" w:space="0" w:color="000000"/>
            </w:tcBorders>
            <w:vAlign w:val="center"/>
          </w:tcPr>
          <w:p w14:paraId="7D72CD88"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Granična količina miješanog komunalnog otpada (t)</w:t>
            </w:r>
          </w:p>
        </w:tc>
        <w:tc>
          <w:tcPr>
            <w:tcW w:w="1559" w:type="dxa"/>
            <w:tcBorders>
              <w:bottom w:val="double" w:sz="4" w:space="0" w:color="000000"/>
            </w:tcBorders>
            <w:vAlign w:val="center"/>
          </w:tcPr>
          <w:p w14:paraId="3843C5A1"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Masa miješanog komunalnog otpada prikupljenog u sklopu javne usluge (t)</w:t>
            </w:r>
          </w:p>
        </w:tc>
        <w:tc>
          <w:tcPr>
            <w:tcW w:w="1701" w:type="dxa"/>
            <w:tcBorders>
              <w:bottom w:val="double" w:sz="4" w:space="0" w:color="000000"/>
            </w:tcBorders>
            <w:vAlign w:val="center"/>
          </w:tcPr>
          <w:p w14:paraId="1B0188A2" w14:textId="77777777" w:rsidR="00184A8E" w:rsidRPr="00184A8E" w:rsidRDefault="00184A8E" w:rsidP="00184A8E">
            <w:pPr>
              <w:spacing w:before="100" w:beforeAutospacing="1" w:after="100" w:afterAutospacing="1"/>
              <w:jc w:val="center"/>
              <w:rPr>
                <w:rFonts w:ascii="Arial" w:eastAsia="Calibri" w:hAnsi="Arial" w:cs="Arial"/>
                <w:sz w:val="14"/>
                <w:szCs w:val="14"/>
              </w:rPr>
            </w:pPr>
            <w:r w:rsidRPr="00184A8E">
              <w:rPr>
                <w:rFonts w:ascii="Arial" w:eastAsia="Calibri" w:hAnsi="Arial" w:cs="Arial"/>
                <w:sz w:val="14"/>
                <w:szCs w:val="14"/>
              </w:rPr>
              <w:t>Masa sakupljenog miješanog komunalnog otpada koja prekoračuje graničnu količinu miješanog komunalnog otpada (t)</w:t>
            </w:r>
          </w:p>
        </w:tc>
        <w:tc>
          <w:tcPr>
            <w:tcW w:w="1134" w:type="dxa"/>
            <w:vMerge/>
            <w:tcBorders>
              <w:bottom w:val="double" w:sz="4" w:space="0" w:color="000000"/>
            </w:tcBorders>
            <w:vAlign w:val="center"/>
          </w:tcPr>
          <w:p w14:paraId="24E36BD8" w14:textId="77777777" w:rsidR="00184A8E" w:rsidRPr="00184A8E" w:rsidRDefault="00184A8E" w:rsidP="00184A8E">
            <w:pPr>
              <w:spacing w:before="100" w:beforeAutospacing="1" w:after="100" w:afterAutospacing="1"/>
              <w:jc w:val="center"/>
              <w:rPr>
                <w:rFonts w:ascii="Arial" w:eastAsia="Calibri" w:hAnsi="Arial" w:cs="Arial"/>
                <w:sz w:val="16"/>
                <w:szCs w:val="16"/>
              </w:rPr>
            </w:pPr>
          </w:p>
        </w:tc>
        <w:tc>
          <w:tcPr>
            <w:tcW w:w="1134" w:type="dxa"/>
            <w:vMerge/>
            <w:tcBorders>
              <w:bottom w:val="double" w:sz="4" w:space="0" w:color="000000"/>
            </w:tcBorders>
            <w:vAlign w:val="center"/>
          </w:tcPr>
          <w:p w14:paraId="43AD11C3" w14:textId="77777777" w:rsidR="00184A8E" w:rsidRPr="00184A8E" w:rsidRDefault="00184A8E" w:rsidP="00184A8E">
            <w:pPr>
              <w:spacing w:before="100" w:beforeAutospacing="1" w:after="100" w:afterAutospacing="1"/>
              <w:jc w:val="center"/>
              <w:rPr>
                <w:rFonts w:ascii="Arial" w:eastAsia="Calibri" w:hAnsi="Arial" w:cs="Arial"/>
                <w:b/>
                <w:bCs/>
                <w:sz w:val="16"/>
                <w:szCs w:val="16"/>
              </w:rPr>
            </w:pPr>
          </w:p>
        </w:tc>
        <w:tc>
          <w:tcPr>
            <w:tcW w:w="1843" w:type="dxa"/>
            <w:vMerge/>
            <w:tcBorders>
              <w:bottom w:val="double" w:sz="4" w:space="0" w:color="000000"/>
            </w:tcBorders>
            <w:vAlign w:val="center"/>
          </w:tcPr>
          <w:p w14:paraId="618F4CF0" w14:textId="77777777" w:rsidR="00184A8E" w:rsidRPr="00184A8E" w:rsidRDefault="00184A8E" w:rsidP="00184A8E">
            <w:pPr>
              <w:spacing w:before="100" w:beforeAutospacing="1" w:after="100" w:afterAutospacing="1"/>
              <w:jc w:val="center"/>
              <w:rPr>
                <w:rFonts w:ascii="Arial" w:eastAsia="Calibri" w:hAnsi="Arial" w:cs="Arial"/>
                <w:b/>
                <w:bCs/>
                <w:sz w:val="16"/>
                <w:szCs w:val="16"/>
              </w:rPr>
            </w:pPr>
          </w:p>
        </w:tc>
        <w:tc>
          <w:tcPr>
            <w:tcW w:w="1247" w:type="dxa"/>
            <w:vMerge/>
            <w:tcBorders>
              <w:bottom w:val="double" w:sz="4" w:space="0" w:color="000000"/>
            </w:tcBorders>
            <w:vAlign w:val="center"/>
          </w:tcPr>
          <w:p w14:paraId="518790FE"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p>
        </w:tc>
      </w:tr>
      <w:tr w:rsidR="00184A8E" w:rsidRPr="00184A8E" w14:paraId="24BDB232" w14:textId="77777777" w:rsidTr="00410A4B">
        <w:tc>
          <w:tcPr>
            <w:tcW w:w="997" w:type="dxa"/>
            <w:tcBorders>
              <w:top w:val="double" w:sz="4" w:space="0" w:color="000000"/>
              <w:bottom w:val="double" w:sz="4" w:space="0" w:color="000000"/>
            </w:tcBorders>
            <w:vAlign w:val="center"/>
          </w:tcPr>
          <w:p w14:paraId="13E6DDE4"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2022.</w:t>
            </w:r>
          </w:p>
        </w:tc>
        <w:tc>
          <w:tcPr>
            <w:tcW w:w="886" w:type="dxa"/>
            <w:tcBorders>
              <w:top w:val="double" w:sz="4" w:space="0" w:color="000000"/>
              <w:bottom w:val="double" w:sz="4" w:space="0" w:color="000000"/>
            </w:tcBorders>
            <w:vAlign w:val="center"/>
          </w:tcPr>
          <w:p w14:paraId="1ADB3611"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2021.</w:t>
            </w:r>
          </w:p>
        </w:tc>
        <w:tc>
          <w:tcPr>
            <w:tcW w:w="2896" w:type="dxa"/>
            <w:tcBorders>
              <w:top w:val="double" w:sz="4" w:space="0" w:color="000000"/>
              <w:bottom w:val="double" w:sz="4" w:space="0" w:color="000000"/>
            </w:tcBorders>
            <w:vAlign w:val="center"/>
          </w:tcPr>
          <w:p w14:paraId="66B5F387"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3.886,46</w:t>
            </w:r>
          </w:p>
        </w:tc>
        <w:tc>
          <w:tcPr>
            <w:tcW w:w="1312" w:type="dxa"/>
            <w:tcBorders>
              <w:top w:val="double" w:sz="4" w:space="0" w:color="000000"/>
              <w:bottom w:val="double" w:sz="4" w:space="0" w:color="000000"/>
            </w:tcBorders>
            <w:vAlign w:val="center"/>
          </w:tcPr>
          <w:p w14:paraId="6D4C7B93"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2.098,69</w:t>
            </w:r>
          </w:p>
        </w:tc>
        <w:tc>
          <w:tcPr>
            <w:tcW w:w="1559" w:type="dxa"/>
            <w:tcBorders>
              <w:top w:val="double" w:sz="4" w:space="0" w:color="000000"/>
              <w:bottom w:val="double" w:sz="4" w:space="0" w:color="000000"/>
            </w:tcBorders>
            <w:vAlign w:val="center"/>
          </w:tcPr>
          <w:p w14:paraId="2A2DA812"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3.280,82</w:t>
            </w:r>
          </w:p>
        </w:tc>
        <w:tc>
          <w:tcPr>
            <w:tcW w:w="1701" w:type="dxa"/>
            <w:tcBorders>
              <w:top w:val="double" w:sz="4" w:space="0" w:color="000000"/>
              <w:bottom w:val="double" w:sz="4" w:space="0" w:color="000000"/>
            </w:tcBorders>
            <w:vAlign w:val="center"/>
          </w:tcPr>
          <w:p w14:paraId="34958325"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1.182,13</w:t>
            </w:r>
          </w:p>
        </w:tc>
        <w:tc>
          <w:tcPr>
            <w:tcW w:w="1134" w:type="dxa"/>
            <w:tcBorders>
              <w:top w:val="double" w:sz="4" w:space="0" w:color="000000"/>
              <w:bottom w:val="double" w:sz="4" w:space="0" w:color="000000"/>
            </w:tcBorders>
            <w:vAlign w:val="center"/>
          </w:tcPr>
          <w:p w14:paraId="66D4FCA7"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200 kn/t</w:t>
            </w:r>
          </w:p>
          <w:p w14:paraId="13ED872F"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(26,54 €/t)</w:t>
            </w:r>
          </w:p>
        </w:tc>
        <w:tc>
          <w:tcPr>
            <w:tcW w:w="1134" w:type="dxa"/>
            <w:tcBorders>
              <w:top w:val="double" w:sz="4" w:space="0" w:color="000000"/>
              <w:bottom w:val="double" w:sz="4" w:space="0" w:color="000000"/>
            </w:tcBorders>
            <w:vAlign w:val="center"/>
          </w:tcPr>
          <w:p w14:paraId="1A67DADC"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1.1.-31.12.2021.</w:t>
            </w:r>
          </w:p>
        </w:tc>
        <w:tc>
          <w:tcPr>
            <w:tcW w:w="1843" w:type="dxa"/>
            <w:tcBorders>
              <w:top w:val="double" w:sz="4" w:space="0" w:color="000000"/>
              <w:bottom w:val="double" w:sz="4" w:space="0" w:color="000000"/>
            </w:tcBorders>
            <w:vAlign w:val="center"/>
          </w:tcPr>
          <w:p w14:paraId="1D43FA06"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236.426,00 kn (31.379,12 €)</w:t>
            </w:r>
          </w:p>
        </w:tc>
        <w:tc>
          <w:tcPr>
            <w:tcW w:w="1247" w:type="dxa"/>
            <w:tcBorders>
              <w:top w:val="double" w:sz="4" w:space="0" w:color="000000"/>
              <w:bottom w:val="double" w:sz="4" w:space="0" w:color="000000"/>
            </w:tcBorders>
            <w:vAlign w:val="center"/>
          </w:tcPr>
          <w:p w14:paraId="53DB7253" w14:textId="77777777" w:rsidR="00184A8E" w:rsidRPr="00184A8E" w:rsidRDefault="00184A8E" w:rsidP="00184A8E">
            <w:pPr>
              <w:spacing w:before="100" w:beforeAutospacing="1" w:after="100" w:afterAutospacing="1"/>
              <w:jc w:val="center"/>
              <w:rPr>
                <w:rFonts w:ascii="Arial" w:eastAsia="Calibri" w:hAnsi="Arial" w:cs="Arial"/>
                <w:sz w:val="18"/>
                <w:szCs w:val="18"/>
              </w:rPr>
            </w:pPr>
          </w:p>
        </w:tc>
      </w:tr>
      <w:tr w:rsidR="00184A8E" w:rsidRPr="00184A8E" w14:paraId="2DD83173" w14:textId="77777777" w:rsidTr="00410A4B">
        <w:tc>
          <w:tcPr>
            <w:tcW w:w="997" w:type="dxa"/>
            <w:tcBorders>
              <w:top w:val="double" w:sz="4" w:space="0" w:color="000000"/>
              <w:bottom w:val="double" w:sz="4" w:space="0" w:color="000000"/>
            </w:tcBorders>
            <w:vAlign w:val="center"/>
          </w:tcPr>
          <w:p w14:paraId="1C69EC0D"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2023.</w:t>
            </w:r>
          </w:p>
        </w:tc>
        <w:tc>
          <w:tcPr>
            <w:tcW w:w="886" w:type="dxa"/>
            <w:tcBorders>
              <w:top w:val="double" w:sz="4" w:space="0" w:color="000000"/>
              <w:bottom w:val="double" w:sz="4" w:space="0" w:color="000000"/>
            </w:tcBorders>
            <w:vAlign w:val="center"/>
          </w:tcPr>
          <w:p w14:paraId="269177EE"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2022.</w:t>
            </w:r>
          </w:p>
        </w:tc>
        <w:tc>
          <w:tcPr>
            <w:tcW w:w="2896" w:type="dxa"/>
            <w:tcBorders>
              <w:top w:val="double" w:sz="4" w:space="0" w:color="000000"/>
              <w:bottom w:val="double" w:sz="4" w:space="0" w:color="000000"/>
            </w:tcBorders>
            <w:vAlign w:val="center"/>
          </w:tcPr>
          <w:p w14:paraId="35B2AAB2"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4.221,91</w:t>
            </w:r>
          </w:p>
        </w:tc>
        <w:tc>
          <w:tcPr>
            <w:tcW w:w="1312" w:type="dxa"/>
            <w:tcBorders>
              <w:top w:val="double" w:sz="4" w:space="0" w:color="000000"/>
              <w:bottom w:val="double" w:sz="4" w:space="0" w:color="000000"/>
            </w:tcBorders>
            <w:vAlign w:val="center"/>
          </w:tcPr>
          <w:p w14:paraId="224B4236"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2.110,96</w:t>
            </w:r>
          </w:p>
        </w:tc>
        <w:tc>
          <w:tcPr>
            <w:tcW w:w="1559" w:type="dxa"/>
            <w:tcBorders>
              <w:top w:val="double" w:sz="4" w:space="0" w:color="000000"/>
              <w:bottom w:val="double" w:sz="4" w:space="0" w:color="000000"/>
            </w:tcBorders>
            <w:vAlign w:val="center"/>
          </w:tcPr>
          <w:p w14:paraId="3C37D966"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3.628,61</w:t>
            </w:r>
          </w:p>
        </w:tc>
        <w:tc>
          <w:tcPr>
            <w:tcW w:w="1701" w:type="dxa"/>
            <w:tcBorders>
              <w:top w:val="double" w:sz="4" w:space="0" w:color="000000"/>
              <w:bottom w:val="double" w:sz="4" w:space="0" w:color="000000"/>
            </w:tcBorders>
            <w:vAlign w:val="center"/>
          </w:tcPr>
          <w:p w14:paraId="459BF858"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1.517,65</w:t>
            </w:r>
          </w:p>
        </w:tc>
        <w:tc>
          <w:tcPr>
            <w:tcW w:w="1134" w:type="dxa"/>
            <w:tcBorders>
              <w:top w:val="double" w:sz="4" w:space="0" w:color="000000"/>
              <w:bottom w:val="double" w:sz="4" w:space="0" w:color="000000"/>
            </w:tcBorders>
            <w:vAlign w:val="center"/>
          </w:tcPr>
          <w:p w14:paraId="0B931D17"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26,54 €/t</w:t>
            </w:r>
          </w:p>
        </w:tc>
        <w:tc>
          <w:tcPr>
            <w:tcW w:w="1134" w:type="dxa"/>
            <w:tcBorders>
              <w:top w:val="double" w:sz="4" w:space="0" w:color="000000"/>
              <w:bottom w:val="double" w:sz="4" w:space="0" w:color="000000"/>
            </w:tcBorders>
            <w:vAlign w:val="center"/>
          </w:tcPr>
          <w:p w14:paraId="25CFBC05"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1.1.-31.12.2022.</w:t>
            </w:r>
          </w:p>
        </w:tc>
        <w:tc>
          <w:tcPr>
            <w:tcW w:w="1843" w:type="dxa"/>
            <w:tcBorders>
              <w:top w:val="double" w:sz="4" w:space="0" w:color="000000"/>
              <w:bottom w:val="double" w:sz="4" w:space="0" w:color="000000"/>
            </w:tcBorders>
            <w:vAlign w:val="center"/>
          </w:tcPr>
          <w:p w14:paraId="2D6CDC4A"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40.278,43 €</w:t>
            </w:r>
          </w:p>
        </w:tc>
        <w:tc>
          <w:tcPr>
            <w:tcW w:w="1247" w:type="dxa"/>
            <w:tcBorders>
              <w:top w:val="double" w:sz="4" w:space="0" w:color="000000"/>
              <w:bottom w:val="double" w:sz="4" w:space="0" w:color="000000"/>
            </w:tcBorders>
            <w:vAlign w:val="center"/>
          </w:tcPr>
          <w:p w14:paraId="444BDFDE" w14:textId="77777777" w:rsidR="00184A8E" w:rsidRPr="00184A8E" w:rsidRDefault="00184A8E" w:rsidP="00184A8E">
            <w:pPr>
              <w:spacing w:before="100" w:beforeAutospacing="1" w:after="100" w:afterAutospacing="1"/>
              <w:jc w:val="center"/>
              <w:rPr>
                <w:rFonts w:ascii="Arial" w:eastAsia="Calibri" w:hAnsi="Arial" w:cs="Arial"/>
                <w:sz w:val="18"/>
                <w:szCs w:val="18"/>
              </w:rPr>
            </w:pPr>
          </w:p>
        </w:tc>
      </w:tr>
      <w:tr w:rsidR="00184A8E" w:rsidRPr="00184A8E" w14:paraId="03600A00" w14:textId="77777777" w:rsidTr="005D7A50">
        <w:tc>
          <w:tcPr>
            <w:tcW w:w="997" w:type="dxa"/>
            <w:tcBorders>
              <w:top w:val="double" w:sz="4" w:space="0" w:color="000000"/>
              <w:bottom w:val="double" w:sz="4" w:space="0" w:color="000000"/>
            </w:tcBorders>
            <w:vAlign w:val="center"/>
          </w:tcPr>
          <w:p w14:paraId="59EDCE89"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2024.</w:t>
            </w:r>
          </w:p>
        </w:tc>
        <w:tc>
          <w:tcPr>
            <w:tcW w:w="886" w:type="dxa"/>
            <w:tcBorders>
              <w:top w:val="double" w:sz="4" w:space="0" w:color="000000"/>
              <w:bottom w:val="double" w:sz="4" w:space="0" w:color="000000"/>
            </w:tcBorders>
            <w:vAlign w:val="center"/>
          </w:tcPr>
          <w:p w14:paraId="13193BBC"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2023.</w:t>
            </w:r>
          </w:p>
        </w:tc>
        <w:tc>
          <w:tcPr>
            <w:tcW w:w="2896" w:type="dxa"/>
            <w:tcBorders>
              <w:top w:val="double" w:sz="4" w:space="0" w:color="000000"/>
              <w:bottom w:val="double" w:sz="4" w:space="0" w:color="000000"/>
            </w:tcBorders>
            <w:vAlign w:val="center"/>
          </w:tcPr>
          <w:p w14:paraId="4A15463B"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4.634,37</w:t>
            </w:r>
          </w:p>
        </w:tc>
        <w:tc>
          <w:tcPr>
            <w:tcW w:w="1312" w:type="dxa"/>
            <w:tcBorders>
              <w:top w:val="double" w:sz="4" w:space="0" w:color="000000"/>
              <w:bottom w:val="double" w:sz="4" w:space="0" w:color="000000"/>
            </w:tcBorders>
            <w:vAlign w:val="center"/>
          </w:tcPr>
          <w:p w14:paraId="2D342259"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2.317,18</w:t>
            </w:r>
          </w:p>
        </w:tc>
        <w:tc>
          <w:tcPr>
            <w:tcW w:w="1559" w:type="dxa"/>
            <w:tcBorders>
              <w:top w:val="double" w:sz="4" w:space="0" w:color="000000"/>
              <w:bottom w:val="double" w:sz="4" w:space="0" w:color="000000"/>
            </w:tcBorders>
            <w:vAlign w:val="center"/>
          </w:tcPr>
          <w:p w14:paraId="44166CCD"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4.007,95</w:t>
            </w:r>
          </w:p>
        </w:tc>
        <w:tc>
          <w:tcPr>
            <w:tcW w:w="1701" w:type="dxa"/>
            <w:tcBorders>
              <w:top w:val="double" w:sz="4" w:space="0" w:color="000000"/>
              <w:bottom w:val="double" w:sz="4" w:space="0" w:color="000000"/>
            </w:tcBorders>
            <w:vAlign w:val="center"/>
          </w:tcPr>
          <w:p w14:paraId="2B58BE5B"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1.690,77</w:t>
            </w:r>
          </w:p>
        </w:tc>
        <w:tc>
          <w:tcPr>
            <w:tcW w:w="1134" w:type="dxa"/>
            <w:tcBorders>
              <w:top w:val="double" w:sz="4" w:space="0" w:color="000000"/>
              <w:bottom w:val="double" w:sz="4" w:space="0" w:color="000000"/>
            </w:tcBorders>
            <w:vAlign w:val="center"/>
          </w:tcPr>
          <w:p w14:paraId="068B6049" w14:textId="77777777" w:rsidR="00184A8E" w:rsidRPr="00184A8E" w:rsidRDefault="00184A8E" w:rsidP="00184A8E">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26,54 €/t</w:t>
            </w:r>
          </w:p>
        </w:tc>
        <w:tc>
          <w:tcPr>
            <w:tcW w:w="1134" w:type="dxa"/>
            <w:tcBorders>
              <w:top w:val="double" w:sz="4" w:space="0" w:color="000000"/>
              <w:bottom w:val="double" w:sz="4" w:space="0" w:color="000000"/>
            </w:tcBorders>
            <w:vAlign w:val="center"/>
          </w:tcPr>
          <w:p w14:paraId="2BF97EFA" w14:textId="77777777" w:rsidR="00184A8E" w:rsidRPr="00184A8E" w:rsidRDefault="00184A8E" w:rsidP="00184A8E">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1.1.-31.12.2023.</w:t>
            </w:r>
          </w:p>
        </w:tc>
        <w:tc>
          <w:tcPr>
            <w:tcW w:w="1843" w:type="dxa"/>
            <w:tcBorders>
              <w:top w:val="double" w:sz="4" w:space="0" w:color="000000"/>
              <w:bottom w:val="double" w:sz="4" w:space="0" w:color="000000"/>
            </w:tcBorders>
            <w:vAlign w:val="center"/>
          </w:tcPr>
          <w:p w14:paraId="1D8907FA" w14:textId="77777777" w:rsidR="00184A8E" w:rsidRPr="00184A8E" w:rsidRDefault="00184A8E" w:rsidP="00184A8E">
            <w:pPr>
              <w:spacing w:before="100" w:beforeAutospacing="1" w:after="100" w:afterAutospacing="1"/>
              <w:jc w:val="center"/>
              <w:rPr>
                <w:rFonts w:ascii="Arial" w:eastAsia="Calibri" w:hAnsi="Arial" w:cs="Arial"/>
                <w:b/>
                <w:bCs/>
                <w:sz w:val="18"/>
                <w:szCs w:val="18"/>
              </w:rPr>
            </w:pPr>
            <w:r w:rsidRPr="00184A8E">
              <w:rPr>
                <w:rFonts w:ascii="Arial" w:eastAsia="Calibri" w:hAnsi="Arial" w:cs="Arial"/>
                <w:b/>
                <w:bCs/>
                <w:sz w:val="18"/>
                <w:szCs w:val="18"/>
              </w:rPr>
              <w:t>44.873,04</w:t>
            </w:r>
          </w:p>
        </w:tc>
        <w:tc>
          <w:tcPr>
            <w:tcW w:w="1247" w:type="dxa"/>
            <w:tcBorders>
              <w:top w:val="double" w:sz="4" w:space="0" w:color="000000"/>
              <w:bottom w:val="double" w:sz="4" w:space="0" w:color="000000"/>
            </w:tcBorders>
            <w:vAlign w:val="center"/>
          </w:tcPr>
          <w:p w14:paraId="2D03BC6A" w14:textId="77777777" w:rsidR="00184A8E" w:rsidRPr="00184A8E" w:rsidRDefault="00184A8E" w:rsidP="00184A8E">
            <w:pPr>
              <w:spacing w:before="100" w:beforeAutospacing="1" w:after="100" w:afterAutospacing="1"/>
              <w:jc w:val="center"/>
              <w:rPr>
                <w:rFonts w:ascii="Arial" w:eastAsia="Calibri" w:hAnsi="Arial" w:cs="Arial"/>
                <w:sz w:val="18"/>
                <w:szCs w:val="18"/>
              </w:rPr>
            </w:pPr>
          </w:p>
        </w:tc>
      </w:tr>
      <w:tr w:rsidR="000E7FD2" w:rsidRPr="00184A8E" w14:paraId="73304B62" w14:textId="77777777" w:rsidTr="00410A4B">
        <w:tc>
          <w:tcPr>
            <w:tcW w:w="997" w:type="dxa"/>
            <w:tcBorders>
              <w:top w:val="double" w:sz="4" w:space="0" w:color="000000"/>
            </w:tcBorders>
            <w:vAlign w:val="center"/>
          </w:tcPr>
          <w:p w14:paraId="0A19D6CF" w14:textId="7A297EE1" w:rsidR="000E7FD2" w:rsidRPr="00184A8E" w:rsidRDefault="000E7FD2" w:rsidP="000E7FD2">
            <w:pPr>
              <w:spacing w:before="100" w:beforeAutospacing="1" w:after="100" w:afterAutospacing="1"/>
              <w:jc w:val="center"/>
              <w:rPr>
                <w:rFonts w:ascii="Arial" w:eastAsia="Calibri" w:hAnsi="Arial" w:cs="Arial"/>
                <w:b/>
                <w:bCs/>
                <w:sz w:val="18"/>
                <w:szCs w:val="18"/>
              </w:rPr>
            </w:pPr>
            <w:r>
              <w:rPr>
                <w:rFonts w:ascii="Arial" w:eastAsia="Calibri" w:hAnsi="Arial" w:cs="Arial"/>
                <w:b/>
                <w:bCs/>
                <w:sz w:val="18"/>
                <w:szCs w:val="18"/>
              </w:rPr>
              <w:t>2025.</w:t>
            </w:r>
          </w:p>
        </w:tc>
        <w:tc>
          <w:tcPr>
            <w:tcW w:w="886" w:type="dxa"/>
            <w:tcBorders>
              <w:top w:val="double" w:sz="4" w:space="0" w:color="000000"/>
            </w:tcBorders>
            <w:vAlign w:val="center"/>
          </w:tcPr>
          <w:p w14:paraId="1C528058" w14:textId="08E4C270" w:rsidR="000E7FD2" w:rsidRPr="00184A8E" w:rsidRDefault="000E7FD2" w:rsidP="000E7FD2">
            <w:pPr>
              <w:spacing w:before="100" w:beforeAutospacing="1" w:after="100" w:afterAutospacing="1"/>
              <w:jc w:val="center"/>
              <w:rPr>
                <w:rFonts w:ascii="Arial" w:eastAsia="Calibri" w:hAnsi="Arial" w:cs="Arial"/>
                <w:b/>
                <w:bCs/>
                <w:sz w:val="18"/>
                <w:szCs w:val="18"/>
              </w:rPr>
            </w:pPr>
            <w:r>
              <w:rPr>
                <w:rFonts w:ascii="Arial" w:eastAsia="Calibri" w:hAnsi="Arial" w:cs="Arial"/>
                <w:b/>
                <w:bCs/>
                <w:sz w:val="18"/>
                <w:szCs w:val="18"/>
              </w:rPr>
              <w:t>2024.</w:t>
            </w:r>
          </w:p>
        </w:tc>
        <w:tc>
          <w:tcPr>
            <w:tcW w:w="2896" w:type="dxa"/>
            <w:tcBorders>
              <w:top w:val="double" w:sz="4" w:space="0" w:color="000000"/>
            </w:tcBorders>
            <w:vAlign w:val="center"/>
          </w:tcPr>
          <w:p w14:paraId="24126BD7" w14:textId="6058F888" w:rsidR="000E7FD2" w:rsidRPr="00184A8E" w:rsidRDefault="000E7FD2" w:rsidP="000E7FD2">
            <w:pPr>
              <w:spacing w:before="100" w:beforeAutospacing="1" w:after="100" w:afterAutospacing="1"/>
              <w:jc w:val="center"/>
              <w:rPr>
                <w:rFonts w:ascii="Arial" w:eastAsia="Calibri" w:hAnsi="Arial" w:cs="Arial"/>
                <w:sz w:val="18"/>
                <w:szCs w:val="18"/>
              </w:rPr>
            </w:pPr>
            <w:r>
              <w:rPr>
                <w:rFonts w:ascii="Arial" w:eastAsia="Calibri" w:hAnsi="Arial" w:cs="Arial"/>
                <w:sz w:val="18"/>
                <w:szCs w:val="18"/>
              </w:rPr>
              <w:t>4.313,25</w:t>
            </w:r>
          </w:p>
        </w:tc>
        <w:tc>
          <w:tcPr>
            <w:tcW w:w="1312" w:type="dxa"/>
            <w:tcBorders>
              <w:top w:val="double" w:sz="4" w:space="0" w:color="000000"/>
            </w:tcBorders>
            <w:vAlign w:val="center"/>
          </w:tcPr>
          <w:p w14:paraId="71BFCF99" w14:textId="6208A89E" w:rsidR="000E7FD2" w:rsidRPr="00184A8E" w:rsidRDefault="000E7FD2" w:rsidP="000E7FD2">
            <w:pPr>
              <w:spacing w:before="100" w:beforeAutospacing="1" w:after="100" w:afterAutospacing="1"/>
              <w:jc w:val="center"/>
              <w:rPr>
                <w:rFonts w:ascii="Arial" w:eastAsia="Calibri" w:hAnsi="Arial" w:cs="Arial"/>
                <w:sz w:val="18"/>
                <w:szCs w:val="18"/>
              </w:rPr>
            </w:pPr>
            <w:r>
              <w:rPr>
                <w:rFonts w:ascii="Arial" w:eastAsia="Calibri" w:hAnsi="Arial" w:cs="Arial"/>
                <w:sz w:val="18"/>
                <w:szCs w:val="18"/>
              </w:rPr>
              <w:t>2.156,63</w:t>
            </w:r>
          </w:p>
        </w:tc>
        <w:tc>
          <w:tcPr>
            <w:tcW w:w="1559" w:type="dxa"/>
            <w:tcBorders>
              <w:top w:val="double" w:sz="4" w:space="0" w:color="000000"/>
            </w:tcBorders>
            <w:vAlign w:val="center"/>
          </w:tcPr>
          <w:p w14:paraId="668C1F22" w14:textId="755CC7C0" w:rsidR="000E7FD2" w:rsidRPr="00184A8E" w:rsidRDefault="000E7FD2" w:rsidP="000E7FD2">
            <w:pPr>
              <w:spacing w:before="100" w:beforeAutospacing="1" w:after="100" w:afterAutospacing="1"/>
              <w:jc w:val="center"/>
              <w:rPr>
                <w:rFonts w:ascii="Arial" w:eastAsia="Calibri" w:hAnsi="Arial" w:cs="Arial"/>
                <w:sz w:val="18"/>
                <w:szCs w:val="18"/>
              </w:rPr>
            </w:pPr>
            <w:r>
              <w:rPr>
                <w:rFonts w:ascii="Arial" w:eastAsia="Calibri" w:hAnsi="Arial" w:cs="Arial"/>
                <w:sz w:val="18"/>
                <w:szCs w:val="18"/>
              </w:rPr>
              <w:t>3.651,96</w:t>
            </w:r>
          </w:p>
        </w:tc>
        <w:tc>
          <w:tcPr>
            <w:tcW w:w="1701" w:type="dxa"/>
            <w:tcBorders>
              <w:top w:val="double" w:sz="4" w:space="0" w:color="000000"/>
            </w:tcBorders>
            <w:vAlign w:val="center"/>
          </w:tcPr>
          <w:p w14:paraId="2893539D" w14:textId="19E929E4" w:rsidR="000E7FD2" w:rsidRPr="00184A8E" w:rsidRDefault="000E7FD2" w:rsidP="000E7FD2">
            <w:pPr>
              <w:spacing w:before="100" w:beforeAutospacing="1" w:after="100" w:afterAutospacing="1"/>
              <w:jc w:val="center"/>
              <w:rPr>
                <w:rFonts w:ascii="Arial" w:eastAsia="Calibri" w:hAnsi="Arial" w:cs="Arial"/>
                <w:sz w:val="18"/>
                <w:szCs w:val="18"/>
              </w:rPr>
            </w:pPr>
            <w:r>
              <w:rPr>
                <w:rFonts w:ascii="Arial" w:eastAsia="Calibri" w:hAnsi="Arial" w:cs="Arial"/>
                <w:sz w:val="18"/>
                <w:szCs w:val="18"/>
              </w:rPr>
              <w:t>1.495,33</w:t>
            </w:r>
          </w:p>
        </w:tc>
        <w:tc>
          <w:tcPr>
            <w:tcW w:w="1134" w:type="dxa"/>
            <w:tcBorders>
              <w:top w:val="double" w:sz="4" w:space="0" w:color="000000"/>
            </w:tcBorders>
            <w:vAlign w:val="center"/>
          </w:tcPr>
          <w:p w14:paraId="36FB75F8" w14:textId="1BFF55AD" w:rsidR="000E7FD2" w:rsidRPr="00184A8E" w:rsidRDefault="000E7FD2" w:rsidP="000E7FD2">
            <w:pPr>
              <w:spacing w:before="100" w:beforeAutospacing="1" w:after="100" w:afterAutospacing="1"/>
              <w:jc w:val="center"/>
              <w:rPr>
                <w:rFonts w:ascii="Arial" w:eastAsia="Calibri" w:hAnsi="Arial" w:cs="Arial"/>
                <w:sz w:val="18"/>
                <w:szCs w:val="18"/>
              </w:rPr>
            </w:pPr>
            <w:r w:rsidRPr="00184A8E">
              <w:rPr>
                <w:rFonts w:ascii="Arial" w:eastAsia="Calibri" w:hAnsi="Arial" w:cs="Arial"/>
                <w:sz w:val="18"/>
                <w:szCs w:val="18"/>
              </w:rPr>
              <w:t>26,54 €/t</w:t>
            </w:r>
          </w:p>
        </w:tc>
        <w:tc>
          <w:tcPr>
            <w:tcW w:w="1134" w:type="dxa"/>
            <w:tcBorders>
              <w:top w:val="double" w:sz="4" w:space="0" w:color="000000"/>
            </w:tcBorders>
            <w:vAlign w:val="center"/>
          </w:tcPr>
          <w:p w14:paraId="67E96CF4" w14:textId="0ED64583" w:rsidR="000E7FD2" w:rsidRPr="00184A8E" w:rsidRDefault="000E7FD2" w:rsidP="000E7FD2">
            <w:pPr>
              <w:spacing w:before="100" w:beforeAutospacing="1" w:after="100" w:afterAutospacing="1"/>
              <w:jc w:val="center"/>
              <w:rPr>
                <w:rFonts w:ascii="Arial" w:eastAsia="Calibri" w:hAnsi="Arial" w:cs="Arial"/>
                <w:sz w:val="16"/>
                <w:szCs w:val="16"/>
              </w:rPr>
            </w:pPr>
            <w:r w:rsidRPr="00184A8E">
              <w:rPr>
                <w:rFonts w:ascii="Arial" w:eastAsia="Calibri" w:hAnsi="Arial" w:cs="Arial"/>
                <w:sz w:val="16"/>
                <w:szCs w:val="16"/>
              </w:rPr>
              <w:t>1.1.-31.12.202</w:t>
            </w:r>
            <w:r>
              <w:rPr>
                <w:rFonts w:ascii="Arial" w:eastAsia="Calibri" w:hAnsi="Arial" w:cs="Arial"/>
                <w:sz w:val="16"/>
                <w:szCs w:val="16"/>
              </w:rPr>
              <w:t>4</w:t>
            </w:r>
            <w:r w:rsidRPr="00184A8E">
              <w:rPr>
                <w:rFonts w:ascii="Arial" w:eastAsia="Calibri" w:hAnsi="Arial" w:cs="Arial"/>
                <w:sz w:val="16"/>
                <w:szCs w:val="16"/>
              </w:rPr>
              <w:t>.</w:t>
            </w:r>
          </w:p>
        </w:tc>
        <w:tc>
          <w:tcPr>
            <w:tcW w:w="1843" w:type="dxa"/>
            <w:tcBorders>
              <w:top w:val="double" w:sz="4" w:space="0" w:color="000000"/>
            </w:tcBorders>
            <w:vAlign w:val="center"/>
          </w:tcPr>
          <w:p w14:paraId="0105BFE2" w14:textId="41D34DC4" w:rsidR="000E7FD2" w:rsidRPr="00184A8E" w:rsidRDefault="000E7FD2" w:rsidP="000E7FD2">
            <w:pPr>
              <w:spacing w:before="100" w:beforeAutospacing="1" w:after="100" w:afterAutospacing="1"/>
              <w:jc w:val="center"/>
              <w:rPr>
                <w:rFonts w:ascii="Arial" w:eastAsia="Calibri" w:hAnsi="Arial" w:cs="Arial"/>
                <w:b/>
                <w:bCs/>
                <w:sz w:val="18"/>
                <w:szCs w:val="18"/>
              </w:rPr>
            </w:pPr>
            <w:r>
              <w:rPr>
                <w:rFonts w:ascii="Arial" w:eastAsia="Calibri" w:hAnsi="Arial" w:cs="Arial"/>
                <w:b/>
                <w:bCs/>
                <w:sz w:val="18"/>
                <w:szCs w:val="18"/>
              </w:rPr>
              <w:t>39.686,06</w:t>
            </w:r>
          </w:p>
        </w:tc>
        <w:tc>
          <w:tcPr>
            <w:tcW w:w="1247" w:type="dxa"/>
            <w:tcBorders>
              <w:top w:val="double" w:sz="4" w:space="0" w:color="000000"/>
            </w:tcBorders>
            <w:vAlign w:val="center"/>
          </w:tcPr>
          <w:p w14:paraId="549F0283" w14:textId="77777777" w:rsidR="000E7FD2" w:rsidRPr="00184A8E" w:rsidRDefault="000E7FD2" w:rsidP="000E7FD2">
            <w:pPr>
              <w:spacing w:before="100" w:beforeAutospacing="1" w:after="100" w:afterAutospacing="1"/>
              <w:jc w:val="center"/>
              <w:rPr>
                <w:rFonts w:ascii="Arial" w:eastAsia="Calibri" w:hAnsi="Arial" w:cs="Arial"/>
                <w:sz w:val="18"/>
                <w:szCs w:val="18"/>
              </w:rPr>
            </w:pPr>
          </w:p>
        </w:tc>
      </w:tr>
    </w:tbl>
    <w:p w14:paraId="166C4D29" w14:textId="77777777" w:rsidR="00184A8E" w:rsidRPr="00184A8E" w:rsidRDefault="00184A8E" w:rsidP="00184A8E">
      <w:pPr>
        <w:spacing w:after="0" w:line="240" w:lineRule="auto"/>
        <w:rPr>
          <w:rFonts w:ascii="Arial" w:eastAsia="Calibri" w:hAnsi="Arial" w:cs="Arial"/>
          <w:sz w:val="20"/>
          <w:szCs w:val="20"/>
        </w:rPr>
      </w:pPr>
    </w:p>
    <w:p w14:paraId="437CD1CD" w14:textId="78DC4711" w:rsid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2. A209702: Korištenje sredstava EU – povrati u državni proračun - </w:t>
      </w:r>
      <w:r w:rsidRPr="00184A8E">
        <w:rPr>
          <w:rFonts w:ascii="Arial" w:eastAsia="Calibri" w:hAnsi="Arial" w:cs="Arial"/>
          <w:sz w:val="20"/>
          <w:szCs w:val="20"/>
          <w:lang w:eastAsia="en-US"/>
        </w:rPr>
        <w:t>u sklopu aktivnosti se planiraju rashodi u slučaju povrata doznačenih EU sredstava u državni proračun. Za 202</w:t>
      </w:r>
      <w:r w:rsidR="000E7FD2">
        <w:rPr>
          <w:rFonts w:ascii="Arial" w:eastAsia="Calibri" w:hAnsi="Arial" w:cs="Arial"/>
          <w:sz w:val="20"/>
          <w:szCs w:val="20"/>
          <w:lang w:eastAsia="en-US"/>
        </w:rPr>
        <w:t>5</w:t>
      </w:r>
      <w:r w:rsidRPr="00184A8E">
        <w:rPr>
          <w:rFonts w:ascii="Arial" w:eastAsia="Calibri" w:hAnsi="Arial" w:cs="Arial"/>
          <w:sz w:val="20"/>
          <w:szCs w:val="20"/>
          <w:lang w:eastAsia="en-US"/>
        </w:rPr>
        <w:t xml:space="preserve">. godinu su planirani rashodi u iznosu </w:t>
      </w:r>
      <w:r w:rsidR="000E7FD2">
        <w:rPr>
          <w:rFonts w:ascii="Arial" w:eastAsia="Calibri" w:hAnsi="Arial" w:cs="Arial"/>
          <w:sz w:val="20"/>
          <w:szCs w:val="20"/>
          <w:lang w:eastAsia="en-US"/>
        </w:rPr>
        <w:t>19.000</w:t>
      </w:r>
      <w:r w:rsidRPr="00184A8E">
        <w:rPr>
          <w:rFonts w:ascii="Arial" w:eastAsia="Calibri" w:hAnsi="Arial" w:cs="Arial"/>
          <w:sz w:val="20"/>
          <w:szCs w:val="20"/>
          <w:lang w:eastAsia="en-US"/>
        </w:rPr>
        <w:t xml:space="preserve"> €, </w:t>
      </w:r>
      <w:r w:rsidR="000E7FD2">
        <w:rPr>
          <w:rFonts w:ascii="Arial" w:eastAsia="Calibri" w:hAnsi="Arial" w:cs="Arial"/>
          <w:sz w:val="20"/>
          <w:szCs w:val="20"/>
          <w:lang w:eastAsia="en-US"/>
        </w:rPr>
        <w:t>a rashodi nisu izvršeni.</w:t>
      </w:r>
    </w:p>
    <w:p w14:paraId="3A6F9270" w14:textId="77777777" w:rsidR="000E7FD2" w:rsidRPr="00184A8E" w:rsidRDefault="000E7FD2" w:rsidP="00184A8E">
      <w:pPr>
        <w:autoSpaceDE w:val="0"/>
        <w:autoSpaceDN w:val="0"/>
        <w:adjustRightInd w:val="0"/>
        <w:spacing w:after="0" w:line="240" w:lineRule="auto"/>
        <w:jc w:val="both"/>
        <w:rPr>
          <w:rFonts w:ascii="Arial" w:eastAsia="Calibri" w:hAnsi="Arial" w:cs="Arial"/>
          <w:sz w:val="20"/>
          <w:szCs w:val="20"/>
          <w:lang w:eastAsia="en-US"/>
        </w:rPr>
      </w:pPr>
    </w:p>
    <w:p w14:paraId="243D3005" w14:textId="77777777" w:rsidR="00184A8E" w:rsidRPr="00184A8E" w:rsidRDefault="00184A8E" w:rsidP="00184A8E">
      <w:pPr>
        <w:spacing w:after="0" w:line="240" w:lineRule="auto"/>
        <w:rPr>
          <w:rFonts w:ascii="Arial" w:eastAsia="Calibri" w:hAnsi="Arial" w:cs="Arial"/>
          <w:sz w:val="20"/>
          <w:szCs w:val="20"/>
        </w:rPr>
      </w:pPr>
      <w:r w:rsidRPr="00184A8E">
        <w:rPr>
          <w:rFonts w:ascii="Arial" w:eastAsia="Calibri" w:hAnsi="Arial" w:cs="Arial"/>
          <w:sz w:val="20"/>
          <w:szCs w:val="20"/>
        </w:rPr>
        <w:t xml:space="preserve">Aktivnosti vezane uz opće ciljeve postignute su sukladno postocima izvršenja. </w:t>
      </w:r>
      <w:r w:rsidRPr="00184A8E">
        <w:rPr>
          <w:rFonts w:ascii="Arial" w:eastAsia="Calibri" w:hAnsi="Arial" w:cs="Arial"/>
          <w:sz w:val="20"/>
          <w:szCs w:val="20"/>
        </w:rPr>
        <w:br w:type="page"/>
      </w:r>
    </w:p>
    <w:p w14:paraId="5A67F2F3"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580" w:name="_Toc532802878"/>
      <w:bookmarkStart w:id="581" w:name="_Toc200628531"/>
      <w:bookmarkStart w:id="582" w:name="_Toc232981463"/>
      <w:r w:rsidRPr="00184A8E">
        <w:rPr>
          <w:rFonts w:ascii="Times New Roman" w:eastAsia="Calibri" w:hAnsi="Times New Roman" w:cs="Times New Roman"/>
          <w:b/>
          <w:sz w:val="24"/>
          <w:szCs w:val="20"/>
          <w:lang w:eastAsia="en-US"/>
        </w:rPr>
        <w:lastRenderedPageBreak/>
        <w:t>Program (2098): Program gospodarenja otpadom</w:t>
      </w:r>
      <w:bookmarkEnd w:id="580"/>
      <w:bookmarkEnd w:id="581"/>
      <w:bookmarkEnd w:id="582"/>
    </w:p>
    <w:p w14:paraId="60E04AE3"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9"/>
        <w:gridCol w:w="13121"/>
      </w:tblGrid>
      <w:tr w:rsidR="00184A8E" w:rsidRPr="00184A8E" w14:paraId="3BC7E00D" w14:textId="77777777" w:rsidTr="00410A4B">
        <w:tc>
          <w:tcPr>
            <w:tcW w:w="1439" w:type="dxa"/>
          </w:tcPr>
          <w:p w14:paraId="17A5D4E9" w14:textId="77777777" w:rsidR="00184A8E" w:rsidRPr="00184A8E" w:rsidRDefault="00184A8E" w:rsidP="00184A8E">
            <w:pPr>
              <w:spacing w:after="0" w:line="240" w:lineRule="auto"/>
              <w:jc w:val="both"/>
              <w:rPr>
                <w:rFonts w:ascii="Arial" w:eastAsia="Calibri" w:hAnsi="Arial" w:cs="Arial"/>
                <w:sz w:val="18"/>
                <w:szCs w:val="20"/>
                <w:lang w:eastAsia="en-US"/>
              </w:rPr>
            </w:pPr>
            <w:r w:rsidRPr="00184A8E">
              <w:rPr>
                <w:rFonts w:ascii="Arial" w:eastAsia="Calibri" w:hAnsi="Arial" w:cs="Arial"/>
                <w:sz w:val="18"/>
                <w:szCs w:val="20"/>
                <w:lang w:eastAsia="en-US"/>
              </w:rPr>
              <w:t>OPIS PROGRAMA:</w:t>
            </w:r>
          </w:p>
        </w:tc>
        <w:tc>
          <w:tcPr>
            <w:tcW w:w="13121" w:type="dxa"/>
            <w:tcBorders>
              <w:top w:val="dotted" w:sz="4" w:space="0" w:color="auto"/>
              <w:left w:val="dotted" w:sz="4" w:space="0" w:color="auto"/>
              <w:bottom w:val="dotted" w:sz="4" w:space="0" w:color="auto"/>
              <w:right w:val="dotted" w:sz="4" w:space="0" w:color="auto"/>
            </w:tcBorders>
          </w:tcPr>
          <w:p w14:paraId="4FE5BE71"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Komunalna društva „Čistoća“ d.o.o. Dubrovnik (društvo u suvlasništvu Općine) i društvo „Čistoća i zelenilo Konavle“ d.o.o. organizirano skupljaju i odvoze komunalni otpad i krupni otpad s područja općine Konavle. Sukladno izmjenama zakonskih propisa, program obuhvaća izobrazno informativne aktivnosti o održivom gospodarenju otpadom.</w:t>
            </w:r>
          </w:p>
        </w:tc>
      </w:tr>
      <w:tr w:rsidR="00184A8E" w:rsidRPr="00184A8E" w14:paraId="43E624A3" w14:textId="77777777" w:rsidTr="00410A4B">
        <w:tc>
          <w:tcPr>
            <w:tcW w:w="1439" w:type="dxa"/>
          </w:tcPr>
          <w:p w14:paraId="7DEB14E2" w14:textId="77777777" w:rsidR="00184A8E" w:rsidRPr="00184A8E" w:rsidRDefault="00184A8E" w:rsidP="00184A8E">
            <w:pPr>
              <w:spacing w:after="0" w:line="240" w:lineRule="auto"/>
              <w:jc w:val="both"/>
              <w:rPr>
                <w:rFonts w:ascii="Arial" w:eastAsia="Calibri" w:hAnsi="Arial" w:cs="Arial"/>
                <w:sz w:val="16"/>
                <w:szCs w:val="18"/>
                <w:lang w:eastAsia="en-US"/>
              </w:rPr>
            </w:pPr>
            <w:r w:rsidRPr="00184A8E">
              <w:rPr>
                <w:rFonts w:ascii="Arial" w:eastAsia="Calibri" w:hAnsi="Arial" w:cs="Arial"/>
                <w:sz w:val="16"/>
                <w:szCs w:val="18"/>
                <w:lang w:eastAsia="en-US"/>
              </w:rPr>
              <w:t>ZAKONSKE I DRUGE PRAVNE OSNOVE PROGRAMA:</w:t>
            </w:r>
          </w:p>
        </w:tc>
        <w:tc>
          <w:tcPr>
            <w:tcW w:w="13121" w:type="dxa"/>
          </w:tcPr>
          <w:p w14:paraId="3E8D0ADA" w14:textId="79536EE2"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Times New Roman" w:hAnsi="Arial" w:cs="Arial"/>
                <w:sz w:val="20"/>
                <w:szCs w:val="20"/>
              </w:rPr>
              <w:t>Zakon o lokalnoj i područnoj (regionalnoj) samoupravi (NN 33/01, 60/01, 129/05, 109/07, 125/08, 36/09, 150/11, 144/12, 19/13, 137/15, 98/19, 144/20), Zakon o gospodarenju otpadom (NN 84/21, 142/23), Pravilnik o gospodarenju otpadom (NN 106/22, 138/24), Zakon o zaštiti zraka (Narodne novine 127/19, 57/22, 136/24), Zakon o zaštiti okoliša (Narodne novine 80/13, 153/13, 78/15, 12/18, 118/18), Zakon o zdravstvenoj zaštiti (Narodne novine 100/18, 125/19, 147/20, 119/22, 156/22, 33/23, 36/24</w:t>
            </w:r>
            <w:r w:rsidR="006008F5">
              <w:rPr>
                <w:rFonts w:ascii="Arial" w:eastAsia="Times New Roman" w:hAnsi="Arial" w:cs="Arial"/>
                <w:sz w:val="20"/>
                <w:szCs w:val="20"/>
              </w:rPr>
              <w:t>, 102/25</w:t>
            </w:r>
            <w:r w:rsidRPr="00184A8E">
              <w:rPr>
                <w:rFonts w:ascii="Arial" w:eastAsia="Times New Roman" w:hAnsi="Arial" w:cs="Arial"/>
                <w:sz w:val="20"/>
                <w:szCs w:val="20"/>
              </w:rPr>
              <w:t>), Statut Općine i drugi opći akti.</w:t>
            </w:r>
          </w:p>
        </w:tc>
      </w:tr>
      <w:tr w:rsidR="00184A8E" w:rsidRPr="00184A8E" w14:paraId="0C086221" w14:textId="77777777" w:rsidTr="00410A4B">
        <w:tc>
          <w:tcPr>
            <w:tcW w:w="1439" w:type="dxa"/>
          </w:tcPr>
          <w:p w14:paraId="6F185A14"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3121" w:type="dxa"/>
          </w:tcPr>
          <w:p w14:paraId="14449B71"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Podizanje kvalitete života i stanovanja, zaštita okoliša.</w:t>
            </w:r>
          </w:p>
          <w:p w14:paraId="270C005D"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Stvaranje preduvjeta za unapređenje kvalitete stanovanja i življenja te podizanje razine i standarda stanovanja.</w:t>
            </w:r>
          </w:p>
          <w:p w14:paraId="1276C01D"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Djelotvorno izvršavanje osnovnih zadaća i poslova iz djelokruga Zakona o održivom gospodarenju otpadom.</w:t>
            </w:r>
          </w:p>
          <w:p w14:paraId="70B4C138"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Smanjenje količine nepropisno odbačenog otpada na javnim površinama.</w:t>
            </w:r>
          </w:p>
          <w:p w14:paraId="61657362"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Očuvanje i unapređenje zaštite okoliša s ciljem očuvanja kvalitete zraka, kakvoće i zaštite tla uvažavajući mjere održivog gospodarenja otpadom.</w:t>
            </w:r>
          </w:p>
        </w:tc>
      </w:tr>
      <w:tr w:rsidR="00184A8E" w:rsidRPr="00184A8E" w14:paraId="7F2C341F" w14:textId="77777777" w:rsidTr="00410A4B">
        <w:tc>
          <w:tcPr>
            <w:tcW w:w="1439" w:type="dxa"/>
            <w:vAlign w:val="bottom"/>
          </w:tcPr>
          <w:p w14:paraId="38A93234"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3121" w:type="dxa"/>
          </w:tcPr>
          <w:p w14:paraId="4DF7C0C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Poboljšanje mjera za uklanjanje otpada, smanjenje divljih odlagališta otpada.</w:t>
            </w:r>
          </w:p>
          <w:p w14:paraId="34AC05A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POSEBNI CILJEVI zbrinjavanje komunalnog otpada je uspostava procesa integralnog upravljanja otpadom. </w:t>
            </w:r>
          </w:p>
          <w:p w14:paraId="4661FD0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Gospodarenje otpadom vrlo je složena djelatnost koja zahvaća sve grane gospodarstva, proizvodnje i potrošnje, a sadrži čitav niz postupaka i tehnologija od kojih se velik dio primjenjuje u različitim oblicima.</w:t>
            </w:r>
          </w:p>
          <w:p w14:paraId="3835178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Nadalje, cilj je sprječavanje ili smanjenje štetnog djelovanja otpada na ljudsko zdravlje i okoliš na način smanjenja količina otpada u nastanku i/ili proizvodnji.</w:t>
            </w:r>
          </w:p>
          <w:p w14:paraId="67D4D7B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Smanjenje otpada, povećanje reciklaže.</w:t>
            </w:r>
          </w:p>
          <w:p w14:paraId="6B650F8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Povećanje količine uklonjenog otpada sa javnih površina, broj uklonjenih tehnički neispravnih vozila i sličnih objekata sa javnih površina godišnje</w:t>
            </w:r>
          </w:p>
          <w:p w14:paraId="1F118BC8"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Zaštita okoliša – očuvati javne površine čistima.</w:t>
            </w:r>
          </w:p>
        </w:tc>
      </w:tr>
    </w:tbl>
    <w:p w14:paraId="5DD87981" w14:textId="77777777" w:rsidR="00184A8E" w:rsidRPr="00184A8E" w:rsidRDefault="00184A8E" w:rsidP="00184A8E">
      <w:pPr>
        <w:spacing w:after="0" w:line="240" w:lineRule="auto"/>
        <w:jc w:val="both"/>
        <w:rPr>
          <w:rFonts w:ascii="Arial" w:eastAsia="Calibri" w:hAnsi="Arial" w:cs="Arial"/>
          <w:sz w:val="20"/>
          <w:szCs w:val="20"/>
          <w:lang w:eastAsia="en-US"/>
        </w:rPr>
      </w:pPr>
    </w:p>
    <w:p w14:paraId="54BA2799"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048DFB57" w14:textId="77777777" w:rsidR="00184A8E" w:rsidRPr="00184A8E" w:rsidRDefault="00184A8E" w:rsidP="00184A8E">
      <w:pPr>
        <w:spacing w:after="0" w:line="240" w:lineRule="auto"/>
        <w:rPr>
          <w:rFonts w:ascii="Arial" w:eastAsia="Calibri" w:hAnsi="Arial" w:cs="Arial"/>
          <w:sz w:val="20"/>
          <w:szCs w:val="20"/>
        </w:rPr>
      </w:pPr>
    </w:p>
    <w:p w14:paraId="55EFFB84" w14:textId="5CE0F935"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7290D8A8" w14:textId="77777777" w:rsidR="00184A8E" w:rsidRPr="00184A8E" w:rsidRDefault="00184A8E" w:rsidP="00184A8E">
      <w:pPr>
        <w:spacing w:after="0" w:line="240" w:lineRule="auto"/>
        <w:jc w:val="both"/>
        <w:rPr>
          <w:rFonts w:ascii="Arial" w:eastAsia="Calibri" w:hAnsi="Arial" w:cs="Arial"/>
          <w:sz w:val="20"/>
          <w:szCs w:val="20"/>
        </w:rPr>
      </w:pPr>
    </w:p>
    <w:p w14:paraId="39D49FD7" w14:textId="7FC1C465" w:rsidR="00184A8E" w:rsidRPr="00184A8E" w:rsidRDefault="006008F5" w:rsidP="00184A8E">
      <w:pPr>
        <w:spacing w:after="0" w:line="240" w:lineRule="auto"/>
        <w:jc w:val="both"/>
        <w:rPr>
          <w:rFonts w:ascii="Arial" w:eastAsia="Calibri" w:hAnsi="Arial" w:cs="Arial"/>
          <w:color w:val="FF0000"/>
          <w:sz w:val="20"/>
          <w:szCs w:val="20"/>
        </w:rPr>
      </w:pPr>
      <w:r w:rsidRPr="006008F5">
        <w:rPr>
          <w:noProof/>
        </w:rPr>
        <w:drawing>
          <wp:inline distT="0" distB="0" distL="0" distR="0" wp14:anchorId="63FAA4F3" wp14:editId="1917D1BC">
            <wp:extent cx="9251950" cy="1773555"/>
            <wp:effectExtent l="0" t="0" r="6350" b="0"/>
            <wp:docPr id="1264048230"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9251950" cy="1773555"/>
                    </a:xfrm>
                    <a:prstGeom prst="rect">
                      <a:avLst/>
                    </a:prstGeom>
                    <a:noFill/>
                    <a:ln>
                      <a:noFill/>
                    </a:ln>
                  </pic:spPr>
                </pic:pic>
              </a:graphicData>
            </a:graphic>
          </wp:inline>
        </w:drawing>
      </w:r>
    </w:p>
    <w:p w14:paraId="2D04C9DB" w14:textId="77777777" w:rsidR="00184A8E" w:rsidRPr="00184A8E" w:rsidRDefault="00184A8E" w:rsidP="00184A8E">
      <w:pPr>
        <w:spacing w:after="0" w:line="240" w:lineRule="auto"/>
        <w:jc w:val="both"/>
        <w:rPr>
          <w:rFonts w:ascii="Arial" w:eastAsia="Calibri" w:hAnsi="Arial" w:cs="Arial"/>
          <w:color w:val="7030A0"/>
          <w:sz w:val="18"/>
          <w:szCs w:val="18"/>
        </w:rPr>
      </w:pPr>
      <w:r w:rsidRPr="00184A8E">
        <w:rPr>
          <w:rFonts w:ascii="Arial" w:eastAsia="Calibri" w:hAnsi="Arial" w:cs="Arial"/>
          <w:color w:val="7030A0"/>
          <w:sz w:val="18"/>
          <w:szCs w:val="18"/>
        </w:rPr>
        <w:lastRenderedPageBreak/>
        <w:t>* navode se iznosi izvršenja kroz raniji program putem kojeg su bili iskazivani istovrsni rashodi</w:t>
      </w:r>
    </w:p>
    <w:p w14:paraId="2BC0ACBA"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19AF3111"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70FA1651"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453703A8"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6A9422F7" w14:textId="77777777"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xml:space="preserve">: Rashodi su izvršeni u okviru očekivanih vrijednosti. </w:t>
      </w:r>
    </w:p>
    <w:p w14:paraId="500E3CE4" w14:textId="77777777" w:rsidR="00184A8E" w:rsidRPr="00184A8E" w:rsidRDefault="00184A8E" w:rsidP="00184A8E">
      <w:pPr>
        <w:spacing w:after="0" w:line="240" w:lineRule="auto"/>
        <w:jc w:val="both"/>
        <w:rPr>
          <w:rFonts w:ascii="Arial" w:eastAsia="Calibri" w:hAnsi="Arial" w:cs="Arial"/>
          <w:sz w:val="20"/>
          <w:szCs w:val="20"/>
          <w:lang w:eastAsia="en-US"/>
        </w:rPr>
      </w:pPr>
    </w:p>
    <w:p w14:paraId="313ABCBC" w14:textId="6457956E" w:rsidR="006008F5" w:rsidRDefault="006008F5" w:rsidP="00184A8E">
      <w:pPr>
        <w:spacing w:after="0" w:line="240" w:lineRule="auto"/>
        <w:jc w:val="both"/>
        <w:rPr>
          <w:rFonts w:ascii="Arial" w:eastAsia="Calibri" w:hAnsi="Arial" w:cs="Arial"/>
          <w:sz w:val="20"/>
          <w:szCs w:val="20"/>
          <w:lang w:eastAsia="en-US"/>
        </w:rPr>
      </w:pPr>
      <w:r w:rsidRPr="006008F5">
        <w:rPr>
          <w:rFonts w:ascii="Arial" w:eastAsia="Calibri" w:hAnsi="Arial" w:cs="Arial"/>
          <w:sz w:val="20"/>
          <w:szCs w:val="20"/>
          <w:lang w:eastAsia="en-US"/>
        </w:rPr>
        <w:t xml:space="preserve">Programom 2098 planirani su rashodi u iznosu </w:t>
      </w:r>
      <w:r>
        <w:rPr>
          <w:rFonts w:ascii="Arial" w:eastAsia="Calibri" w:hAnsi="Arial" w:cs="Arial"/>
          <w:sz w:val="20"/>
          <w:szCs w:val="20"/>
          <w:lang w:eastAsia="en-US"/>
        </w:rPr>
        <w:t>543.900</w:t>
      </w:r>
      <w:r w:rsidRPr="006008F5">
        <w:rPr>
          <w:rFonts w:ascii="Arial" w:eastAsia="Calibri" w:hAnsi="Arial" w:cs="Arial"/>
          <w:sz w:val="20"/>
          <w:szCs w:val="20"/>
          <w:lang w:eastAsia="en-US"/>
        </w:rPr>
        <w:t xml:space="preserve"> € za 2025. godinu, te 257.000 € za 2026. godinu i 272.000 € za 2027. godinu. Ovim programom nastoji se poboljšati kvaliteta i razina komunalne infrastrukture na području Općine.</w:t>
      </w:r>
    </w:p>
    <w:p w14:paraId="5510C49F" w14:textId="77777777" w:rsidR="00021594" w:rsidRDefault="00021594" w:rsidP="00184A8E">
      <w:pPr>
        <w:spacing w:after="0" w:line="240" w:lineRule="auto"/>
        <w:jc w:val="both"/>
        <w:rPr>
          <w:rFonts w:ascii="Arial" w:eastAsia="Calibri" w:hAnsi="Arial" w:cs="Arial"/>
          <w:sz w:val="20"/>
          <w:szCs w:val="20"/>
          <w:lang w:eastAsia="en-US"/>
        </w:rPr>
      </w:pPr>
    </w:p>
    <w:p w14:paraId="157A56BF" w14:textId="1703024A"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Rashodi za 202</w:t>
      </w:r>
      <w:r w:rsidR="00021594">
        <w:rPr>
          <w:rFonts w:ascii="Arial" w:eastAsia="Calibri" w:hAnsi="Arial" w:cs="Arial"/>
          <w:sz w:val="20"/>
          <w:szCs w:val="20"/>
          <w:lang w:eastAsia="en-US"/>
        </w:rPr>
        <w:t>5</w:t>
      </w:r>
      <w:r w:rsidRPr="00184A8E">
        <w:rPr>
          <w:rFonts w:ascii="Arial" w:eastAsia="Calibri" w:hAnsi="Arial" w:cs="Arial"/>
          <w:sz w:val="20"/>
          <w:szCs w:val="20"/>
          <w:lang w:eastAsia="en-US"/>
        </w:rPr>
        <w:t xml:space="preserve">. su izvršeni u iznosu </w:t>
      </w:r>
      <w:r w:rsidR="00021594">
        <w:rPr>
          <w:rFonts w:ascii="Arial" w:eastAsia="Calibri" w:hAnsi="Arial" w:cs="Arial"/>
          <w:sz w:val="20"/>
          <w:szCs w:val="20"/>
          <w:lang w:eastAsia="en-US"/>
        </w:rPr>
        <w:t>439.351,49</w:t>
      </w:r>
      <w:r w:rsidRPr="00184A8E">
        <w:rPr>
          <w:rFonts w:ascii="Arial" w:eastAsia="Calibri" w:hAnsi="Arial" w:cs="Arial"/>
          <w:sz w:val="20"/>
          <w:szCs w:val="20"/>
          <w:lang w:eastAsia="en-US"/>
        </w:rPr>
        <w:t xml:space="preserve"> € ili </w:t>
      </w:r>
      <w:r w:rsidR="00021594">
        <w:rPr>
          <w:rFonts w:ascii="Arial" w:eastAsia="Calibri" w:hAnsi="Arial" w:cs="Arial"/>
          <w:sz w:val="20"/>
          <w:szCs w:val="20"/>
          <w:lang w:eastAsia="en-US"/>
        </w:rPr>
        <w:t>80,8</w:t>
      </w:r>
      <w:r w:rsidRPr="00184A8E">
        <w:rPr>
          <w:rFonts w:ascii="Arial" w:eastAsia="Calibri" w:hAnsi="Arial" w:cs="Arial"/>
          <w:sz w:val="20"/>
          <w:szCs w:val="20"/>
          <w:lang w:eastAsia="en-US"/>
        </w:rPr>
        <w:t>% plana.</w:t>
      </w:r>
    </w:p>
    <w:p w14:paraId="115E9FDA" w14:textId="77777777" w:rsidR="00184A8E" w:rsidRPr="00184A8E" w:rsidRDefault="00184A8E" w:rsidP="00184A8E">
      <w:pPr>
        <w:spacing w:after="0" w:line="240" w:lineRule="auto"/>
        <w:jc w:val="both"/>
        <w:rPr>
          <w:rFonts w:ascii="Arial" w:eastAsia="Calibri" w:hAnsi="Arial" w:cs="Arial"/>
          <w:sz w:val="20"/>
          <w:szCs w:val="20"/>
          <w:lang w:eastAsia="en-US"/>
        </w:rPr>
      </w:pPr>
    </w:p>
    <w:p w14:paraId="76272617"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56ED2D86" w14:textId="77777777" w:rsidR="00184A8E" w:rsidRPr="00184A8E" w:rsidRDefault="00184A8E" w:rsidP="00184A8E">
      <w:pPr>
        <w:spacing w:after="0" w:line="240" w:lineRule="auto"/>
        <w:jc w:val="both"/>
        <w:rPr>
          <w:rFonts w:ascii="Arial" w:eastAsia="Calibri" w:hAnsi="Arial" w:cs="Arial"/>
          <w:sz w:val="20"/>
          <w:szCs w:val="20"/>
        </w:rPr>
      </w:pPr>
    </w:p>
    <w:p w14:paraId="63F8608B"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Unutar programa izvode se slijedeće aktivnosti i projekti:</w:t>
      </w:r>
    </w:p>
    <w:p w14:paraId="4A9C9FCB" w14:textId="77777777" w:rsidR="00184A8E" w:rsidRPr="00184A8E" w:rsidRDefault="00184A8E" w:rsidP="00184A8E">
      <w:pPr>
        <w:tabs>
          <w:tab w:val="left" w:pos="3680"/>
        </w:tabs>
        <w:spacing w:after="0" w:line="240" w:lineRule="auto"/>
        <w:jc w:val="both"/>
        <w:rPr>
          <w:rFonts w:ascii="Arial" w:eastAsia="Calibri" w:hAnsi="Arial" w:cs="Arial"/>
          <w:sz w:val="20"/>
          <w:szCs w:val="20"/>
        </w:rPr>
      </w:pPr>
    </w:p>
    <w:p w14:paraId="75AB0CC7"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1. A209801: Sakupljanje i odvoz komunalnog otpada - Čistoća d.o.o. Dubrovnik</w:t>
      </w:r>
      <w:r w:rsidRPr="00184A8E">
        <w:rPr>
          <w:rFonts w:ascii="Arial" w:eastAsia="Calibri" w:hAnsi="Arial" w:cs="Arial"/>
          <w:sz w:val="20"/>
          <w:szCs w:val="20"/>
          <w:lang w:eastAsia="en-US"/>
        </w:rPr>
        <w:t xml:space="preserve"> - </w:t>
      </w:r>
    </w:p>
    <w:p w14:paraId="3E162CEC"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Do početka 2019. ova aktivnost se iskazivala kroz program 2091 -Program održavanja komunalne infrastrukture, aktivnost A209112.</w:t>
      </w:r>
    </w:p>
    <w:p w14:paraId="73C632AC" w14:textId="77777777" w:rsidR="00184A8E" w:rsidRPr="00184A8E" w:rsidRDefault="00184A8E" w:rsidP="00184A8E">
      <w:pPr>
        <w:spacing w:after="0" w:line="240" w:lineRule="auto"/>
        <w:jc w:val="both"/>
        <w:rPr>
          <w:rFonts w:ascii="Arial" w:eastAsia="Calibri" w:hAnsi="Arial" w:cs="Arial"/>
          <w:sz w:val="20"/>
          <w:szCs w:val="20"/>
          <w:lang w:eastAsia="en-US"/>
        </w:rPr>
      </w:pPr>
    </w:p>
    <w:p w14:paraId="1592E1A1" w14:textId="519718BD"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U sklopu navedene aktivnosti planiraju se rashodi za komunalne usluge sakupljanja i odvoza komunalnog otpada kojeg obavlja komunalno društvo u suvlasništvu Općine. Planirana sredstva za provođenje navedene aktivnosti iznose </w:t>
      </w:r>
      <w:r w:rsidR="00021594">
        <w:rPr>
          <w:rFonts w:ascii="Arial" w:eastAsia="Calibri" w:hAnsi="Arial" w:cs="Arial"/>
          <w:sz w:val="20"/>
          <w:szCs w:val="20"/>
          <w:lang w:eastAsia="en-US"/>
        </w:rPr>
        <w:t>147</w:t>
      </w:r>
      <w:r w:rsidRPr="00184A8E">
        <w:rPr>
          <w:rFonts w:ascii="Arial" w:eastAsia="Calibri" w:hAnsi="Arial" w:cs="Arial"/>
          <w:sz w:val="20"/>
          <w:szCs w:val="20"/>
          <w:lang w:eastAsia="en-US"/>
        </w:rPr>
        <w:t xml:space="preserve">.000 €. Rashodi su izvršeni u iznosu 147.000 € ili </w:t>
      </w:r>
      <w:r w:rsidR="00021594">
        <w:rPr>
          <w:rFonts w:ascii="Arial" w:eastAsia="Calibri" w:hAnsi="Arial" w:cs="Arial"/>
          <w:sz w:val="20"/>
          <w:szCs w:val="20"/>
          <w:lang w:eastAsia="en-US"/>
        </w:rPr>
        <w:t>100</w:t>
      </w:r>
      <w:r w:rsidRPr="00184A8E">
        <w:rPr>
          <w:rFonts w:ascii="Arial" w:eastAsia="Calibri" w:hAnsi="Arial" w:cs="Arial"/>
          <w:sz w:val="20"/>
          <w:szCs w:val="20"/>
          <w:lang w:eastAsia="en-US"/>
        </w:rPr>
        <w:t>% plana.</w:t>
      </w:r>
    </w:p>
    <w:p w14:paraId="3EE69BC1" w14:textId="77777777" w:rsidR="00184A8E" w:rsidRPr="00184A8E" w:rsidRDefault="00184A8E" w:rsidP="00184A8E">
      <w:pPr>
        <w:tabs>
          <w:tab w:val="left" w:pos="3680"/>
        </w:tabs>
        <w:spacing w:after="0" w:line="240" w:lineRule="auto"/>
        <w:jc w:val="both"/>
        <w:rPr>
          <w:rFonts w:ascii="Arial" w:eastAsia="Calibri" w:hAnsi="Arial" w:cs="Arial"/>
          <w:sz w:val="20"/>
          <w:szCs w:val="20"/>
          <w:lang w:eastAsia="en-US"/>
        </w:rPr>
      </w:pPr>
    </w:p>
    <w:p w14:paraId="2FF212C8"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Na temelju ugovora Općine i društva Čistoća d.o.o. Dubrovnik (društvo u suvlasništvu Općine) organiziran je svakodnevni odvoz komunalnog otpada iz naselja Cavtat, Obod i Zvekovica odloženog u kontejnere na odlagalište na Grabovicu, dok je iz ostalih naselja prijevoz organiziran dva puta tjedno u zimskoj i tri puta u ljetnoj sezoni po mjesečnoj bruto cijeni u iznosu 117.879,80 kn / 15.647,73 €/. Nakon ukidanja namjenske naknade za odlagalište otpada Grabovica, od kolovoza do konca 2023. računi za odvoz komunalnog otpada su iznosili 13.866,85 € (osnovni ugovor iz prosinca 2012., dodatak ugovoru iz prosinca 2012., dodatak ugovoru iz svibnja 2022., te dodatak ugovoru iz srpnja 2022.).</w:t>
      </w:r>
    </w:p>
    <w:p w14:paraId="74C74A0F"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Četvrti dodatak ugovoru o odvozu i deponiranju kućnog i glomaznog otpada s područja Općine Konavle između društva Čistoća d.o.o. Dubrovnik i Općine je zaključen u prosincu 2023. godine. Ovim ugovorom Čistoća d.o.o. Dubrovnik je preuzela obvezu:</w:t>
      </w:r>
    </w:p>
    <w:p w14:paraId="1C7125A0" w14:textId="77777777" w:rsidR="00184A8E" w:rsidRPr="00184A8E" w:rsidRDefault="00184A8E">
      <w:pPr>
        <w:numPr>
          <w:ilvl w:val="0"/>
          <w:numId w:val="3"/>
        </w:num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odvoza i odlaganja miješanog komunalnog otpada s područja Općine temeljem Odluke o načinu pružanja javne usluge sakupljanja komunalnog otpada na području Općine Konavle od 22.12.2022.</w:t>
      </w:r>
    </w:p>
    <w:p w14:paraId="3BBD2E7C" w14:textId="77777777" w:rsidR="00184A8E" w:rsidRPr="00184A8E" w:rsidRDefault="00184A8E">
      <w:pPr>
        <w:numPr>
          <w:ilvl w:val="0"/>
          <w:numId w:val="3"/>
        </w:num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 xml:space="preserve">pružati usluge edukacije u školama i vrtićima na području Općine. </w:t>
      </w:r>
    </w:p>
    <w:p w14:paraId="63AD3033" w14:textId="77777777" w:rsidR="00184A8E" w:rsidRPr="00184A8E" w:rsidRDefault="00184A8E" w:rsidP="00184A8E">
      <w:pPr>
        <w:spacing w:after="0" w:line="240" w:lineRule="auto"/>
        <w:rPr>
          <w:rFonts w:ascii="Arial" w:hAnsi="Arial" w:cs="Arial"/>
          <w:sz w:val="20"/>
          <w:szCs w:val="20"/>
        </w:rPr>
      </w:pPr>
      <w:r w:rsidRPr="00184A8E">
        <w:rPr>
          <w:rFonts w:ascii="Arial" w:hAnsi="Arial" w:cs="Arial"/>
          <w:sz w:val="20"/>
          <w:szCs w:val="20"/>
        </w:rPr>
        <w:t>Nadalje, društvo Čistoća d.o.o. je ugovorilo zadržavanje prava:</w:t>
      </w:r>
    </w:p>
    <w:p w14:paraId="061EF69D" w14:textId="77777777" w:rsidR="00184A8E" w:rsidRPr="00184A8E" w:rsidRDefault="00184A8E">
      <w:pPr>
        <w:numPr>
          <w:ilvl w:val="0"/>
          <w:numId w:val="3"/>
        </w:num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prikupljanja biorazgradivog komunalnog otpada i odvojeno prikupljenog recikliranog komunalnog otpada od pravnih osoba sa područja cijele Općine ukoliko sa istim sklopi poseban ugovor,</w:t>
      </w:r>
    </w:p>
    <w:p w14:paraId="6CE78F98" w14:textId="77777777" w:rsidR="00184A8E" w:rsidRPr="00184A8E" w:rsidRDefault="00184A8E">
      <w:pPr>
        <w:numPr>
          <w:ilvl w:val="0"/>
          <w:numId w:val="3"/>
        </w:num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prikupljanja i deponiranja miješanog komunalnog otpada uz jadransku turističku cestu od Duboke Ljute do Cavtata i Cavtat svaki radni dan, osim iz podzemnih i polupodzemnih spremnika koji su postavljeni na navedenom području (jer ista prikuplja društvo Čistoća i zelenilo Konavle d.o.o. na isti način kao i reciklirani komunalni otpad od kućanstava na cijelom području općine),</w:t>
      </w:r>
    </w:p>
    <w:p w14:paraId="0A7C9AA8" w14:textId="77777777" w:rsidR="00184A8E" w:rsidRPr="00184A8E" w:rsidRDefault="00184A8E">
      <w:pPr>
        <w:numPr>
          <w:ilvl w:val="0"/>
          <w:numId w:val="3"/>
        </w:num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lastRenderedPageBreak/>
        <w:t>prikupljanje dva puta tjedno s sljedećih područja: Komaji, Gruda, Karasovići, Pločice, Đurinići, Višnjići, Vitaljina, Mikulići, Poljice, Radovčići, Popovići za što uslugu prikupljanja naplaćuje od Općine Konavle u mjesečnom iznosu 9.800 € bez PDV-a, odnosno u iznosu 12.250 € s PDV-om.</w:t>
      </w:r>
    </w:p>
    <w:p w14:paraId="6945C9D0" w14:textId="1D4C8DC4" w:rsidR="00184A8E" w:rsidRPr="00184A8E" w:rsidRDefault="00184A8E" w:rsidP="00184A8E">
      <w:pPr>
        <w:tabs>
          <w:tab w:val="left" w:pos="3680"/>
        </w:tabs>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Dakle, Općina je u 202</w:t>
      </w:r>
      <w:r w:rsidR="00021594">
        <w:rPr>
          <w:rFonts w:ascii="Arial" w:eastAsia="Calibri" w:hAnsi="Arial" w:cs="Arial"/>
          <w:sz w:val="20"/>
          <w:szCs w:val="20"/>
          <w:lang w:eastAsia="en-US"/>
        </w:rPr>
        <w:t>5</w:t>
      </w:r>
      <w:r w:rsidRPr="00184A8E">
        <w:rPr>
          <w:rFonts w:ascii="Arial" w:eastAsia="Calibri" w:hAnsi="Arial" w:cs="Arial"/>
          <w:sz w:val="20"/>
          <w:szCs w:val="20"/>
          <w:lang w:eastAsia="en-US"/>
        </w:rPr>
        <w:t>. izvršila rashode za odvoz i depiniranje kućnog i glomaznog otpada s područja Općine u sveukupnom iznosu 147.000 € (mjesečno 12.000 €).</w:t>
      </w:r>
    </w:p>
    <w:p w14:paraId="355C25E7" w14:textId="77777777" w:rsidR="00184A8E" w:rsidRPr="00184A8E" w:rsidRDefault="00184A8E" w:rsidP="00184A8E">
      <w:pPr>
        <w:tabs>
          <w:tab w:val="left" w:pos="3680"/>
        </w:tabs>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1E0DAD15"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B26D3A1"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B91909F"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A65E206"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19CFE35"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ED12506" w14:textId="70CABE52"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021594">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88634FE" w14:textId="300D1EB8"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021594">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FABB7A2" w14:textId="42820A11"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021594">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9B0A702" w14:textId="3FE73E75" w:rsidR="00184A8E" w:rsidRPr="00184A8E" w:rsidRDefault="00184A8E" w:rsidP="00184A8E">
            <w:pPr>
              <w:jc w:val="center"/>
              <w:rPr>
                <w:rFonts w:ascii="Arial" w:eastAsia="Calibri" w:hAnsi="Arial" w:cs="Arial"/>
              </w:rPr>
            </w:pPr>
            <w:r w:rsidRPr="00184A8E">
              <w:rPr>
                <w:rFonts w:ascii="Arial" w:eastAsia="Calibri" w:hAnsi="Arial" w:cs="Arial"/>
              </w:rPr>
              <w:t>Ciljana vrijednost 20</w:t>
            </w:r>
            <w:r w:rsidR="00021594">
              <w:rPr>
                <w:rFonts w:ascii="Arial" w:eastAsia="Calibri" w:hAnsi="Arial" w:cs="Arial"/>
              </w:rPr>
              <w:t>26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903B397" w14:textId="61E17C6C" w:rsidR="00184A8E" w:rsidRPr="00184A8E" w:rsidRDefault="00184A8E" w:rsidP="00184A8E">
            <w:pPr>
              <w:jc w:val="center"/>
              <w:rPr>
                <w:rFonts w:ascii="Arial" w:eastAsia="Calibri" w:hAnsi="Arial" w:cs="Arial"/>
              </w:rPr>
            </w:pPr>
            <w:r w:rsidRPr="00184A8E">
              <w:rPr>
                <w:rFonts w:ascii="Arial" w:eastAsia="Calibri" w:hAnsi="Arial" w:cs="Arial"/>
              </w:rPr>
              <w:t>Ciljana vrijednost 20</w:t>
            </w:r>
            <w:r w:rsidR="00021594">
              <w:rPr>
                <w:rFonts w:ascii="Arial" w:eastAsia="Calibri" w:hAnsi="Arial" w:cs="Arial"/>
              </w:rPr>
              <w:t>27</w:t>
            </w:r>
            <w:r w:rsidRPr="00184A8E">
              <w:rPr>
                <w:rFonts w:ascii="Arial" w:eastAsia="Calibri" w:hAnsi="Arial" w:cs="Arial"/>
              </w:rPr>
              <w:t>.</w:t>
            </w:r>
          </w:p>
        </w:tc>
      </w:tr>
      <w:tr w:rsidR="00184A8E" w:rsidRPr="00184A8E" w14:paraId="32D35A5A"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0DB5B09C" w14:textId="77777777" w:rsidR="00184A8E" w:rsidRPr="00184A8E" w:rsidRDefault="00184A8E" w:rsidP="00184A8E">
            <w:pPr>
              <w:rPr>
                <w:rFonts w:ascii="Arial" w:hAnsi="Arial" w:cs="Arial"/>
                <w:sz w:val="14"/>
                <w:szCs w:val="14"/>
              </w:rPr>
            </w:pPr>
            <w:r w:rsidRPr="00184A8E">
              <w:rPr>
                <w:rFonts w:ascii="Arial" w:hAnsi="Arial" w:cs="Arial"/>
                <w:sz w:val="14"/>
                <w:szCs w:val="14"/>
              </w:rPr>
              <w:t xml:space="preserve">Izvršavanje usluge sakupljanja i odvoza komunalnog otpada </w:t>
            </w:r>
          </w:p>
        </w:tc>
        <w:tc>
          <w:tcPr>
            <w:tcW w:w="3402" w:type="dxa"/>
            <w:tcBorders>
              <w:top w:val="single" w:sz="4" w:space="0" w:color="auto"/>
              <w:left w:val="single" w:sz="4" w:space="0" w:color="auto"/>
              <w:bottom w:val="single" w:sz="4" w:space="0" w:color="auto"/>
              <w:right w:val="single" w:sz="4" w:space="0" w:color="auto"/>
            </w:tcBorders>
            <w:vAlign w:val="center"/>
          </w:tcPr>
          <w:p w14:paraId="0E450A12" w14:textId="77777777" w:rsidR="00184A8E" w:rsidRPr="00184A8E" w:rsidRDefault="00184A8E" w:rsidP="00184A8E">
            <w:pPr>
              <w:autoSpaceDE w:val="0"/>
              <w:autoSpaceDN w:val="0"/>
              <w:adjustRightInd w:val="0"/>
              <w:rPr>
                <w:rFonts w:ascii="Arial" w:hAnsi="Arial" w:cs="Arial"/>
              </w:rPr>
            </w:pPr>
            <w:r w:rsidRPr="00184A8E">
              <w:rPr>
                <w:rFonts w:ascii="Arial" w:hAnsi="Arial" w:cs="Arial"/>
              </w:rPr>
              <w:t>Izvršena usluga sakupljanja i odvoza komunalnog otpada sukladno ugovoru</w:t>
            </w:r>
          </w:p>
        </w:tc>
        <w:tc>
          <w:tcPr>
            <w:tcW w:w="958" w:type="dxa"/>
            <w:tcBorders>
              <w:top w:val="single" w:sz="4" w:space="0" w:color="auto"/>
              <w:left w:val="single" w:sz="4" w:space="0" w:color="auto"/>
              <w:bottom w:val="single" w:sz="4" w:space="0" w:color="auto"/>
              <w:right w:val="single" w:sz="4" w:space="0" w:color="auto"/>
            </w:tcBorders>
            <w:vAlign w:val="center"/>
          </w:tcPr>
          <w:p w14:paraId="09A00D43"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5C298A12"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40A2C05C" w14:textId="77777777" w:rsidR="00184A8E" w:rsidRPr="00184A8E" w:rsidRDefault="00184A8E" w:rsidP="00184A8E">
            <w:pPr>
              <w:jc w:val="center"/>
              <w:rPr>
                <w:rFonts w:ascii="Arial" w:hAnsi="Arial" w:cs="Arial"/>
              </w:rPr>
            </w:pPr>
            <w:r w:rsidRPr="00184A8E">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EBA71DF"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11AF59CC"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F149C29"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24B79B73" w14:textId="77777777" w:rsidR="00184A8E" w:rsidRPr="00184A8E" w:rsidRDefault="00184A8E" w:rsidP="00184A8E">
            <w:pPr>
              <w:jc w:val="center"/>
              <w:rPr>
                <w:rFonts w:ascii="Arial" w:hAnsi="Arial" w:cs="Arial"/>
              </w:rPr>
            </w:pPr>
            <w:r w:rsidRPr="00184A8E">
              <w:rPr>
                <w:rFonts w:ascii="Arial" w:hAnsi="Arial" w:cs="Arial"/>
              </w:rPr>
              <w:t>100</w:t>
            </w:r>
          </w:p>
        </w:tc>
      </w:tr>
    </w:tbl>
    <w:p w14:paraId="713E04C9" w14:textId="77777777" w:rsidR="00184A8E" w:rsidRPr="00184A8E" w:rsidRDefault="00184A8E" w:rsidP="00184A8E">
      <w:pPr>
        <w:tabs>
          <w:tab w:val="left" w:pos="3680"/>
        </w:tabs>
        <w:spacing w:after="0" w:line="240" w:lineRule="auto"/>
        <w:jc w:val="both"/>
        <w:rPr>
          <w:rFonts w:ascii="Arial" w:eastAsia="Calibri" w:hAnsi="Arial" w:cs="Arial"/>
          <w:sz w:val="20"/>
          <w:szCs w:val="20"/>
          <w:lang w:eastAsia="en-US"/>
        </w:rPr>
      </w:pPr>
    </w:p>
    <w:p w14:paraId="734A87E8" w14:textId="3ADBB714"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2. A209802: Aktivnosti sprječavanja i sanacije nepropisnog odlagališta otpada - </w:t>
      </w:r>
      <w:r w:rsidRPr="00184A8E">
        <w:rPr>
          <w:rFonts w:ascii="Arial" w:eastAsia="Calibri" w:hAnsi="Arial" w:cs="Arial"/>
          <w:sz w:val="20"/>
          <w:szCs w:val="20"/>
          <w:lang w:eastAsia="en-US"/>
        </w:rPr>
        <w:t xml:space="preserve">Proračunska sredstva planirana su u iznosu </w:t>
      </w:r>
      <w:r w:rsidR="00FC242C">
        <w:rPr>
          <w:rFonts w:ascii="Arial" w:eastAsia="Calibri" w:hAnsi="Arial" w:cs="Arial"/>
          <w:sz w:val="20"/>
          <w:szCs w:val="20"/>
          <w:lang w:eastAsia="en-US"/>
        </w:rPr>
        <w:t>396.900</w:t>
      </w:r>
      <w:r w:rsidRPr="00184A8E">
        <w:rPr>
          <w:rFonts w:ascii="Arial" w:eastAsia="Calibri" w:hAnsi="Arial" w:cs="Arial"/>
          <w:sz w:val="20"/>
          <w:szCs w:val="20"/>
          <w:lang w:eastAsia="en-US"/>
        </w:rPr>
        <w:t xml:space="preserve"> €, a odnose se na usluge za sprječavanje i sanaciju nepropisnih odlagališta otpada, kao i za najam kamera i održavanje videonadzora na odlagalištima otpada (održavanje kamera na 13 lokacija), te na subvencije trgovačkom društvu u vlasništvu Općine za izvanredna sakupljanja otpada za nelegalnih odlagališta, odnosno nepropisno odloženog otpada. </w:t>
      </w:r>
    </w:p>
    <w:p w14:paraId="0D4CB6E9" w14:textId="77777777" w:rsidR="00184A8E" w:rsidRPr="00184A8E" w:rsidRDefault="00184A8E" w:rsidP="00184A8E">
      <w:pPr>
        <w:spacing w:after="0" w:line="240" w:lineRule="auto"/>
        <w:jc w:val="both"/>
        <w:rPr>
          <w:rFonts w:ascii="Arial" w:eastAsia="Calibri" w:hAnsi="Arial" w:cs="Arial"/>
          <w:sz w:val="20"/>
          <w:szCs w:val="20"/>
        </w:rPr>
      </w:pPr>
    </w:p>
    <w:p w14:paraId="5311C436" w14:textId="07AB6C00" w:rsidR="00184A8E" w:rsidRPr="00B20507" w:rsidRDefault="00184A8E" w:rsidP="00184A8E">
      <w:pPr>
        <w:spacing w:after="0" w:line="240" w:lineRule="auto"/>
        <w:jc w:val="both"/>
        <w:rPr>
          <w:rFonts w:ascii="Arial" w:eastAsia="Calibri" w:hAnsi="Arial" w:cs="Arial"/>
          <w:sz w:val="20"/>
          <w:szCs w:val="20"/>
        </w:rPr>
      </w:pPr>
      <w:r w:rsidRPr="00B20507">
        <w:rPr>
          <w:rFonts w:ascii="Arial" w:eastAsia="Calibri" w:hAnsi="Arial" w:cs="Arial"/>
          <w:sz w:val="20"/>
          <w:szCs w:val="20"/>
        </w:rPr>
        <w:t xml:space="preserve">Rashodi su izvršeni u iznosu </w:t>
      </w:r>
      <w:r w:rsidR="00FC242C" w:rsidRPr="00B20507">
        <w:rPr>
          <w:rFonts w:ascii="Arial" w:eastAsia="Calibri" w:hAnsi="Arial" w:cs="Arial"/>
          <w:sz w:val="20"/>
          <w:szCs w:val="20"/>
        </w:rPr>
        <w:t>292.351,49</w:t>
      </w:r>
      <w:r w:rsidRPr="00B20507">
        <w:rPr>
          <w:rFonts w:ascii="Arial" w:eastAsia="Calibri" w:hAnsi="Arial" w:cs="Arial"/>
          <w:sz w:val="20"/>
          <w:szCs w:val="20"/>
        </w:rPr>
        <w:t xml:space="preserve"> € ili </w:t>
      </w:r>
      <w:r w:rsidR="00FC242C" w:rsidRPr="00B20507">
        <w:rPr>
          <w:rFonts w:ascii="Arial" w:eastAsia="Calibri" w:hAnsi="Arial" w:cs="Arial"/>
          <w:sz w:val="20"/>
          <w:szCs w:val="20"/>
        </w:rPr>
        <w:t>73,7</w:t>
      </w:r>
      <w:r w:rsidRPr="00B20507">
        <w:rPr>
          <w:rFonts w:ascii="Arial" w:eastAsia="Calibri" w:hAnsi="Arial" w:cs="Arial"/>
          <w:sz w:val="20"/>
          <w:szCs w:val="20"/>
        </w:rPr>
        <w:t>%,a a odnose se na:</w:t>
      </w:r>
    </w:p>
    <w:p w14:paraId="6BA134F7" w14:textId="1C21B6E1" w:rsidR="00184A8E" w:rsidRPr="00B20507" w:rsidRDefault="00184A8E">
      <w:pPr>
        <w:numPr>
          <w:ilvl w:val="0"/>
          <w:numId w:val="3"/>
        </w:numPr>
        <w:spacing w:after="0" w:line="240" w:lineRule="auto"/>
        <w:jc w:val="both"/>
        <w:rPr>
          <w:rFonts w:ascii="Arial" w:eastAsia="Calibri" w:hAnsi="Arial" w:cs="Arial"/>
          <w:sz w:val="20"/>
          <w:szCs w:val="20"/>
          <w:lang w:eastAsia="en-US"/>
        </w:rPr>
      </w:pPr>
      <w:r w:rsidRPr="00B20507">
        <w:rPr>
          <w:rFonts w:ascii="Arial" w:eastAsia="Calibri" w:hAnsi="Arial" w:cs="Arial"/>
          <w:sz w:val="20"/>
          <w:szCs w:val="20"/>
          <w:lang w:eastAsia="en-US"/>
        </w:rPr>
        <w:t xml:space="preserve">subvencije društvu Čistoća i zelenilo Konavle (društvo u vlasništvu Općine) za financiranje nadzora i sakupljanja nelegalno odloženog otpada diljem Općine nakon izgradnje reciklažnog dvorišta u iznosu </w:t>
      </w:r>
      <w:r w:rsidR="00B20507" w:rsidRPr="00B20507">
        <w:rPr>
          <w:rFonts w:ascii="Arial" w:eastAsia="Calibri" w:hAnsi="Arial" w:cs="Arial"/>
          <w:sz w:val="20"/>
          <w:szCs w:val="20"/>
          <w:lang w:eastAsia="en-US"/>
        </w:rPr>
        <w:t>25</w:t>
      </w:r>
      <w:r w:rsidRPr="00B20507">
        <w:rPr>
          <w:rFonts w:ascii="Arial" w:eastAsia="Calibri" w:hAnsi="Arial" w:cs="Arial"/>
          <w:sz w:val="20"/>
          <w:szCs w:val="20"/>
          <w:lang w:eastAsia="en-US"/>
        </w:rPr>
        <w:t xml:space="preserve">0.000 € na temelju zaključenog ugovora, </w:t>
      </w:r>
    </w:p>
    <w:p w14:paraId="2279D068" w14:textId="57A302D1" w:rsidR="00184A8E" w:rsidRPr="00B20507" w:rsidRDefault="00184A8E" w:rsidP="00B20507">
      <w:pPr>
        <w:numPr>
          <w:ilvl w:val="0"/>
          <w:numId w:val="3"/>
        </w:numPr>
        <w:spacing w:after="0" w:line="240" w:lineRule="auto"/>
        <w:jc w:val="both"/>
        <w:rPr>
          <w:rFonts w:ascii="Arial" w:eastAsia="Calibri" w:hAnsi="Arial" w:cs="Arial"/>
          <w:sz w:val="20"/>
          <w:szCs w:val="20"/>
          <w:lang w:eastAsia="en-US"/>
        </w:rPr>
      </w:pPr>
      <w:r w:rsidRPr="00B20507">
        <w:rPr>
          <w:rFonts w:ascii="Arial" w:eastAsia="Calibri" w:hAnsi="Arial" w:cs="Arial"/>
          <w:sz w:val="20"/>
          <w:szCs w:val="20"/>
          <w:lang w:eastAsia="en-US"/>
        </w:rPr>
        <w:t xml:space="preserve">rashode za najam i održavanje sustava videonadzora odlagališta otpada u iznosu </w:t>
      </w:r>
      <w:r w:rsidR="0062494F" w:rsidRPr="00B20507">
        <w:rPr>
          <w:rFonts w:ascii="Arial" w:eastAsia="Calibri" w:hAnsi="Arial" w:cs="Arial"/>
          <w:sz w:val="20"/>
          <w:szCs w:val="20"/>
          <w:lang w:eastAsia="en-US"/>
        </w:rPr>
        <w:t>26.070</w:t>
      </w:r>
      <w:r w:rsidRPr="00B20507">
        <w:rPr>
          <w:rFonts w:ascii="Arial" w:eastAsia="Calibri" w:hAnsi="Arial" w:cs="Arial"/>
          <w:sz w:val="20"/>
          <w:szCs w:val="20"/>
          <w:lang w:eastAsia="en-US"/>
        </w:rPr>
        <w:t xml:space="preserve"> €. Ugovor o najmu i održavanju sustava videonadzora zaključen je u </w:t>
      </w:r>
      <w:r w:rsidR="0062494F" w:rsidRPr="00B20507">
        <w:rPr>
          <w:rFonts w:ascii="Arial" w:eastAsia="Calibri" w:hAnsi="Arial" w:cs="Arial"/>
          <w:sz w:val="20"/>
          <w:szCs w:val="20"/>
          <w:lang w:eastAsia="en-US"/>
        </w:rPr>
        <w:t>kolovozu</w:t>
      </w:r>
      <w:r w:rsidRPr="00B20507">
        <w:rPr>
          <w:rFonts w:ascii="Arial" w:eastAsia="Calibri" w:hAnsi="Arial" w:cs="Arial"/>
          <w:sz w:val="20"/>
          <w:szCs w:val="20"/>
          <w:lang w:eastAsia="en-US"/>
        </w:rPr>
        <w:t xml:space="preserve"> 202</w:t>
      </w:r>
      <w:r w:rsidR="0062494F" w:rsidRPr="00B20507">
        <w:rPr>
          <w:rFonts w:ascii="Arial" w:eastAsia="Calibri" w:hAnsi="Arial" w:cs="Arial"/>
          <w:sz w:val="20"/>
          <w:szCs w:val="20"/>
          <w:lang w:eastAsia="en-US"/>
        </w:rPr>
        <w:t>4</w:t>
      </w:r>
      <w:r w:rsidRPr="00B20507">
        <w:rPr>
          <w:rFonts w:ascii="Arial" w:eastAsia="Calibri" w:hAnsi="Arial" w:cs="Arial"/>
          <w:sz w:val="20"/>
          <w:szCs w:val="20"/>
          <w:lang w:eastAsia="en-US"/>
        </w:rPr>
        <w:t xml:space="preserve">., a ugovoreno je održavanje kamera na </w:t>
      </w:r>
      <w:r w:rsidR="0062494F" w:rsidRPr="00B20507">
        <w:rPr>
          <w:rFonts w:ascii="Arial" w:eastAsia="Calibri" w:hAnsi="Arial" w:cs="Arial"/>
          <w:sz w:val="20"/>
          <w:szCs w:val="20"/>
          <w:lang w:eastAsia="en-US"/>
        </w:rPr>
        <w:t xml:space="preserve">22 </w:t>
      </w:r>
      <w:r w:rsidRPr="00B20507">
        <w:rPr>
          <w:rFonts w:ascii="Arial" w:eastAsia="Calibri" w:hAnsi="Arial" w:cs="Arial"/>
          <w:sz w:val="20"/>
          <w:szCs w:val="20"/>
          <w:lang w:eastAsia="en-US"/>
        </w:rPr>
        <w:t>lokacij</w:t>
      </w:r>
      <w:r w:rsidR="0062494F" w:rsidRPr="00B20507">
        <w:rPr>
          <w:rFonts w:ascii="Arial" w:eastAsia="Calibri" w:hAnsi="Arial" w:cs="Arial"/>
          <w:sz w:val="20"/>
          <w:szCs w:val="20"/>
          <w:lang w:eastAsia="en-US"/>
        </w:rPr>
        <w:t>e</w:t>
      </w:r>
      <w:r w:rsidRPr="00B20507">
        <w:rPr>
          <w:rFonts w:ascii="Arial" w:eastAsia="Calibri" w:hAnsi="Arial" w:cs="Arial"/>
          <w:sz w:val="20"/>
          <w:szCs w:val="20"/>
          <w:lang w:eastAsia="en-US"/>
        </w:rPr>
        <w:t xml:space="preserve"> (mjesečno </w:t>
      </w:r>
      <w:r w:rsidR="00B20507" w:rsidRPr="00B20507">
        <w:rPr>
          <w:rFonts w:ascii="Arial" w:eastAsia="Calibri" w:hAnsi="Arial" w:cs="Arial"/>
          <w:sz w:val="20"/>
          <w:szCs w:val="20"/>
          <w:lang w:eastAsia="en-US"/>
        </w:rPr>
        <w:t>2.172,50</w:t>
      </w:r>
      <w:r w:rsidRPr="00B20507">
        <w:rPr>
          <w:rFonts w:ascii="Arial" w:eastAsia="Calibri" w:hAnsi="Arial" w:cs="Arial"/>
          <w:sz w:val="20"/>
          <w:szCs w:val="20"/>
          <w:lang w:eastAsia="en-US"/>
        </w:rPr>
        <w:t xml:space="preserve"> €). U </w:t>
      </w:r>
      <w:r w:rsidR="00B20507" w:rsidRPr="00B20507">
        <w:rPr>
          <w:rFonts w:ascii="Arial" w:eastAsia="Calibri" w:hAnsi="Arial" w:cs="Arial"/>
          <w:sz w:val="20"/>
          <w:szCs w:val="20"/>
          <w:lang w:eastAsia="en-US"/>
        </w:rPr>
        <w:t>listopadu</w:t>
      </w:r>
      <w:r w:rsidRPr="00B20507">
        <w:rPr>
          <w:rFonts w:ascii="Arial" w:eastAsia="Calibri" w:hAnsi="Arial" w:cs="Arial"/>
          <w:sz w:val="20"/>
          <w:szCs w:val="20"/>
          <w:lang w:eastAsia="en-US"/>
        </w:rPr>
        <w:t xml:space="preserve"> 202</w:t>
      </w:r>
      <w:r w:rsidR="00B20507" w:rsidRPr="00B20507">
        <w:rPr>
          <w:rFonts w:ascii="Arial" w:eastAsia="Calibri" w:hAnsi="Arial" w:cs="Arial"/>
          <w:sz w:val="20"/>
          <w:szCs w:val="20"/>
          <w:lang w:eastAsia="en-US"/>
        </w:rPr>
        <w:t>5</w:t>
      </w:r>
      <w:r w:rsidRPr="00B20507">
        <w:rPr>
          <w:rFonts w:ascii="Arial" w:eastAsia="Calibri" w:hAnsi="Arial" w:cs="Arial"/>
          <w:sz w:val="20"/>
          <w:szCs w:val="20"/>
          <w:lang w:eastAsia="en-US"/>
        </w:rPr>
        <w:t xml:space="preserve">. je zaključen novi ugovor za najam i održavanje videonadzora za </w:t>
      </w:r>
      <w:r w:rsidR="00B20507" w:rsidRPr="00B20507">
        <w:rPr>
          <w:rFonts w:ascii="Arial" w:eastAsia="Calibri" w:hAnsi="Arial" w:cs="Arial"/>
          <w:sz w:val="20"/>
          <w:szCs w:val="20"/>
          <w:lang w:eastAsia="en-US"/>
        </w:rPr>
        <w:t>23 lokacije</w:t>
      </w:r>
      <w:r w:rsidRPr="00B20507">
        <w:rPr>
          <w:rFonts w:ascii="Arial" w:eastAsia="Calibri" w:hAnsi="Arial" w:cs="Arial"/>
          <w:sz w:val="20"/>
          <w:szCs w:val="20"/>
          <w:lang w:eastAsia="en-US"/>
        </w:rPr>
        <w:t xml:space="preserve">. Ugovor je zaključen u ukupnom iznosu </w:t>
      </w:r>
      <w:r w:rsidR="00B20507" w:rsidRPr="00B20507">
        <w:rPr>
          <w:rFonts w:ascii="Arial" w:eastAsia="Calibri" w:hAnsi="Arial" w:cs="Arial"/>
          <w:sz w:val="20"/>
          <w:szCs w:val="20"/>
          <w:lang w:eastAsia="en-US"/>
        </w:rPr>
        <w:t>27.255</w:t>
      </w:r>
      <w:r w:rsidRPr="00B20507">
        <w:rPr>
          <w:rFonts w:ascii="Arial" w:eastAsia="Calibri" w:hAnsi="Arial" w:cs="Arial"/>
          <w:sz w:val="20"/>
          <w:szCs w:val="20"/>
          <w:lang w:eastAsia="en-US"/>
        </w:rPr>
        <w:t xml:space="preserve"> € (mjesečno </w:t>
      </w:r>
      <w:r w:rsidR="00B20507" w:rsidRPr="00B20507">
        <w:rPr>
          <w:rFonts w:ascii="Arial" w:eastAsia="Calibri" w:hAnsi="Arial" w:cs="Arial"/>
          <w:sz w:val="20"/>
          <w:szCs w:val="20"/>
          <w:lang w:eastAsia="en-US"/>
        </w:rPr>
        <w:t>2.271,25</w:t>
      </w:r>
      <w:r w:rsidRPr="00B20507">
        <w:rPr>
          <w:rFonts w:ascii="Arial" w:eastAsia="Calibri" w:hAnsi="Arial" w:cs="Arial"/>
          <w:sz w:val="20"/>
          <w:szCs w:val="20"/>
          <w:lang w:eastAsia="en-US"/>
        </w:rPr>
        <w:t xml:space="preserve"> €).</w:t>
      </w:r>
    </w:p>
    <w:p w14:paraId="700E0169" w14:textId="04B123FB" w:rsidR="00FC242C" w:rsidRDefault="00FC242C">
      <w:pPr>
        <w:numPr>
          <w:ilvl w:val="0"/>
          <w:numId w:val="3"/>
        </w:numPr>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a</w:t>
      </w:r>
      <w:r w:rsidRPr="00FC242C">
        <w:rPr>
          <w:rFonts w:ascii="Arial" w:eastAsia="Calibri" w:hAnsi="Arial" w:cs="Arial"/>
          <w:sz w:val="20"/>
          <w:szCs w:val="20"/>
          <w:lang w:eastAsia="en-US"/>
        </w:rPr>
        <w:t xml:space="preserve">utorskih honorar za oslikavanje objekata u okviru </w:t>
      </w:r>
      <w:r>
        <w:rPr>
          <w:rFonts w:ascii="Arial" w:eastAsia="Calibri" w:hAnsi="Arial" w:cs="Arial"/>
          <w:sz w:val="20"/>
          <w:szCs w:val="20"/>
          <w:lang w:eastAsia="en-US"/>
        </w:rPr>
        <w:t>ekološkog projekta</w:t>
      </w:r>
      <w:r w:rsidRPr="00FC242C">
        <w:rPr>
          <w:rFonts w:ascii="Arial" w:eastAsia="Calibri" w:hAnsi="Arial" w:cs="Arial"/>
          <w:sz w:val="20"/>
          <w:szCs w:val="20"/>
          <w:lang w:eastAsia="en-US"/>
        </w:rPr>
        <w:t xml:space="preserve"> „Cvijeto“ 523,63 €</w:t>
      </w:r>
      <w:r>
        <w:rPr>
          <w:rFonts w:ascii="Arial" w:eastAsia="Calibri" w:hAnsi="Arial" w:cs="Arial"/>
          <w:sz w:val="20"/>
          <w:szCs w:val="20"/>
          <w:lang w:eastAsia="en-US"/>
        </w:rPr>
        <w:t xml:space="preserve">, autorsko djelo za izradu vizualnog identiteta lika Cvijeto u ekološkoj kampanji 3.547,61 €, </w:t>
      </w:r>
      <w:r w:rsidR="0062494F">
        <w:rPr>
          <w:rFonts w:ascii="Arial" w:eastAsia="Calibri" w:hAnsi="Arial" w:cs="Arial"/>
          <w:sz w:val="20"/>
          <w:szCs w:val="20"/>
          <w:lang w:eastAsia="en-US"/>
        </w:rPr>
        <w:t xml:space="preserve">provedba ekološkog projekta Cvijeto 6.600 €, nabava sadnica u okviru projekta Cvijeto 2.216,25 € (lavanda, ružmarin, naranča i limun), </w:t>
      </w:r>
      <w:r w:rsidR="00B20507">
        <w:rPr>
          <w:rFonts w:ascii="Arial" w:eastAsia="Calibri" w:hAnsi="Arial" w:cs="Arial"/>
          <w:sz w:val="20"/>
          <w:szCs w:val="20"/>
          <w:lang w:eastAsia="en-US"/>
        </w:rPr>
        <w:t>tisak crtančica, plakata i majica s logom ekološke kampanje Cvijeto 1.794,00 €, te izrada web rješenja za domenu „Budi kao Cvijeto“ 1.600 €.</w:t>
      </w:r>
    </w:p>
    <w:p w14:paraId="175A59FB" w14:textId="77777777" w:rsidR="00B20507" w:rsidRPr="00FC242C" w:rsidRDefault="00B20507" w:rsidP="00B20507">
      <w:pPr>
        <w:spacing w:after="0" w:line="240" w:lineRule="auto"/>
        <w:ind w:left="1004"/>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35BF89B5"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B2FF803"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A4A7C7E"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696D76B"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3D3286C"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6C27726" w14:textId="643A1E57"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B20507">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D61C453" w14:textId="4BF5814F"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B20507">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AB55D9E" w14:textId="426C1F75"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B20507">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AD582D1" w14:textId="1215370A"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B20507">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C084EB1" w14:textId="73BD8F6C"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B20507">
              <w:rPr>
                <w:rFonts w:ascii="Arial" w:eastAsia="Calibri" w:hAnsi="Arial" w:cs="Arial"/>
              </w:rPr>
              <w:t>7</w:t>
            </w:r>
            <w:r w:rsidRPr="00184A8E">
              <w:rPr>
                <w:rFonts w:ascii="Arial" w:eastAsia="Calibri" w:hAnsi="Arial" w:cs="Arial"/>
              </w:rPr>
              <w:t>.</w:t>
            </w:r>
          </w:p>
        </w:tc>
      </w:tr>
      <w:tr w:rsidR="00184A8E" w:rsidRPr="00184A8E" w14:paraId="4DD903DD"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1012C172" w14:textId="77777777" w:rsidR="00184A8E" w:rsidRPr="00184A8E" w:rsidRDefault="00184A8E" w:rsidP="00184A8E">
            <w:pPr>
              <w:rPr>
                <w:rFonts w:ascii="Arial" w:hAnsi="Arial" w:cs="Arial"/>
                <w:sz w:val="14"/>
                <w:szCs w:val="14"/>
              </w:rPr>
            </w:pPr>
            <w:r w:rsidRPr="00184A8E">
              <w:rPr>
                <w:rFonts w:ascii="Arial" w:hAnsi="Arial" w:cs="Arial"/>
                <w:sz w:val="14"/>
                <w:szCs w:val="14"/>
              </w:rPr>
              <w:t xml:space="preserve">Izvršavanje usluge sakupljanja i odvoza komunalnog otpada </w:t>
            </w:r>
          </w:p>
        </w:tc>
        <w:tc>
          <w:tcPr>
            <w:tcW w:w="3402" w:type="dxa"/>
            <w:tcBorders>
              <w:top w:val="single" w:sz="4" w:space="0" w:color="auto"/>
              <w:left w:val="single" w:sz="4" w:space="0" w:color="auto"/>
              <w:bottom w:val="single" w:sz="4" w:space="0" w:color="auto"/>
              <w:right w:val="single" w:sz="4" w:space="0" w:color="auto"/>
            </w:tcBorders>
            <w:vAlign w:val="center"/>
          </w:tcPr>
          <w:p w14:paraId="3A93D9FA" w14:textId="77777777" w:rsidR="00184A8E" w:rsidRPr="00184A8E" w:rsidRDefault="00184A8E" w:rsidP="00184A8E">
            <w:pPr>
              <w:autoSpaceDE w:val="0"/>
              <w:autoSpaceDN w:val="0"/>
              <w:adjustRightInd w:val="0"/>
              <w:rPr>
                <w:rFonts w:ascii="Arial" w:hAnsi="Arial" w:cs="Arial"/>
              </w:rPr>
            </w:pPr>
            <w:r w:rsidRPr="00184A8E">
              <w:rPr>
                <w:rFonts w:ascii="Arial" w:hAnsi="Arial" w:cs="Arial"/>
              </w:rPr>
              <w:t>Izvršena usluga sakupljanja i odvoza komunalnog otpada sukladno ugovoru</w:t>
            </w:r>
          </w:p>
        </w:tc>
        <w:tc>
          <w:tcPr>
            <w:tcW w:w="958" w:type="dxa"/>
            <w:tcBorders>
              <w:top w:val="single" w:sz="4" w:space="0" w:color="auto"/>
              <w:left w:val="single" w:sz="4" w:space="0" w:color="auto"/>
              <w:bottom w:val="single" w:sz="4" w:space="0" w:color="auto"/>
              <w:right w:val="single" w:sz="4" w:space="0" w:color="auto"/>
            </w:tcBorders>
            <w:vAlign w:val="center"/>
          </w:tcPr>
          <w:p w14:paraId="551E2210"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000D9C47"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253108D1" w14:textId="77777777" w:rsidR="00184A8E" w:rsidRPr="00184A8E" w:rsidRDefault="00184A8E" w:rsidP="00184A8E">
            <w:pPr>
              <w:jc w:val="center"/>
              <w:rPr>
                <w:rFonts w:ascii="Arial" w:hAnsi="Arial" w:cs="Arial"/>
              </w:rPr>
            </w:pPr>
            <w:r w:rsidRPr="00184A8E">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52BF62B"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628FB898"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3EA98B6A"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9564671" w14:textId="77777777" w:rsidR="00184A8E" w:rsidRPr="00184A8E" w:rsidRDefault="00184A8E" w:rsidP="00184A8E">
            <w:pPr>
              <w:jc w:val="center"/>
              <w:rPr>
                <w:rFonts w:ascii="Arial" w:hAnsi="Arial" w:cs="Arial"/>
              </w:rPr>
            </w:pPr>
            <w:r w:rsidRPr="00184A8E">
              <w:rPr>
                <w:rFonts w:ascii="Arial" w:hAnsi="Arial" w:cs="Arial"/>
              </w:rPr>
              <w:t>100</w:t>
            </w:r>
          </w:p>
        </w:tc>
      </w:tr>
    </w:tbl>
    <w:p w14:paraId="363813F8" w14:textId="77777777" w:rsidR="00184A8E" w:rsidRPr="00184A8E" w:rsidRDefault="00184A8E" w:rsidP="00184A8E">
      <w:pPr>
        <w:spacing w:after="0" w:line="240" w:lineRule="auto"/>
        <w:jc w:val="both"/>
        <w:rPr>
          <w:rFonts w:ascii="Arial" w:eastAsia="Calibri" w:hAnsi="Arial" w:cs="Arial"/>
          <w:sz w:val="20"/>
          <w:szCs w:val="20"/>
        </w:rPr>
      </w:pPr>
    </w:p>
    <w:p w14:paraId="2062F08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Aktivnosti vezane uz opće ciljeve postignute su sukladno postocima izvršenja i u skladu s očekivanom dinamikom izvršenja rashoda.</w:t>
      </w:r>
    </w:p>
    <w:p w14:paraId="0EB33ACD" w14:textId="77777777" w:rsidR="00184A8E" w:rsidRPr="00184A8E" w:rsidRDefault="00184A8E" w:rsidP="00184A8E">
      <w:pPr>
        <w:rPr>
          <w:rFonts w:ascii="Arial" w:eastAsia="Calibri" w:hAnsi="Arial" w:cs="Arial"/>
          <w:sz w:val="20"/>
          <w:szCs w:val="20"/>
        </w:rPr>
      </w:pPr>
      <w:r w:rsidRPr="00184A8E">
        <w:rPr>
          <w:rFonts w:ascii="Arial" w:eastAsia="Calibri" w:hAnsi="Arial" w:cs="Arial"/>
          <w:sz w:val="20"/>
          <w:szCs w:val="20"/>
        </w:rPr>
        <w:br w:type="page"/>
      </w:r>
    </w:p>
    <w:p w14:paraId="0CE37B54"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583" w:name="_Toc532802879"/>
      <w:bookmarkStart w:id="584" w:name="_Toc200628532"/>
      <w:bookmarkStart w:id="585" w:name="_Toc232981464"/>
      <w:r w:rsidRPr="00184A8E">
        <w:rPr>
          <w:rFonts w:ascii="Times New Roman" w:eastAsia="Calibri" w:hAnsi="Times New Roman" w:cs="Times New Roman"/>
          <w:b/>
          <w:sz w:val="24"/>
          <w:szCs w:val="20"/>
          <w:lang w:eastAsia="en-US"/>
        </w:rPr>
        <w:lastRenderedPageBreak/>
        <w:t>Program (2099): Program sanitarno – veterinarskih aktivnosti</w:t>
      </w:r>
      <w:bookmarkEnd w:id="583"/>
      <w:r w:rsidRPr="00184A8E">
        <w:rPr>
          <w:rFonts w:ascii="Times New Roman" w:eastAsia="Calibri" w:hAnsi="Times New Roman" w:cs="Times New Roman"/>
          <w:b/>
          <w:sz w:val="24"/>
          <w:szCs w:val="20"/>
          <w:lang w:eastAsia="en-US"/>
        </w:rPr>
        <w:t xml:space="preserve"> i zaštita životinja</w:t>
      </w:r>
      <w:bookmarkEnd w:id="584"/>
      <w:bookmarkEnd w:id="585"/>
    </w:p>
    <w:p w14:paraId="0DFF097B" w14:textId="77777777" w:rsidR="00184A8E" w:rsidRPr="00184A8E" w:rsidRDefault="00184A8E" w:rsidP="00184A8E">
      <w:pPr>
        <w:spacing w:after="0" w:line="240" w:lineRule="auto"/>
        <w:rPr>
          <w:rFonts w:ascii="Arial" w:eastAsia="Calibri" w:hAnsi="Arial" w:cs="Arial"/>
          <w:sz w:val="8"/>
          <w:szCs w:val="8"/>
        </w:rPr>
      </w:pPr>
    </w:p>
    <w:p w14:paraId="0C1B5D7F"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5"/>
        <w:gridCol w:w="12728"/>
      </w:tblGrid>
      <w:tr w:rsidR="00184A8E" w:rsidRPr="00184A8E" w14:paraId="44A4DD3E" w14:textId="77777777" w:rsidTr="00410A4B">
        <w:tc>
          <w:tcPr>
            <w:tcW w:w="1555" w:type="dxa"/>
          </w:tcPr>
          <w:p w14:paraId="10DE9241"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728" w:type="dxa"/>
          </w:tcPr>
          <w:p w14:paraId="459D752B"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Programom se </w:t>
            </w:r>
            <w:r w:rsidRPr="00184A8E">
              <w:rPr>
                <w:rFonts w:ascii="Arial" w:eastAsia="Times New Roman" w:hAnsi="Arial" w:cs="Arial"/>
                <w:sz w:val="20"/>
                <w:szCs w:val="20"/>
                <w:lang w:eastAsia="en-US"/>
              </w:rPr>
              <w:t>osiguravaju uvjeti za provedbu Zakona o zaštiti životinja, provedbu DDD mjera, te drugih propisa iz djelokruga sanitarno veterinarskih aktivnosti.</w:t>
            </w:r>
          </w:p>
        </w:tc>
      </w:tr>
      <w:tr w:rsidR="00184A8E" w:rsidRPr="00184A8E" w14:paraId="5D299753" w14:textId="77777777" w:rsidTr="00410A4B">
        <w:tc>
          <w:tcPr>
            <w:tcW w:w="1555" w:type="dxa"/>
          </w:tcPr>
          <w:p w14:paraId="03C87F93" w14:textId="77777777" w:rsidR="00184A8E" w:rsidRPr="00184A8E" w:rsidRDefault="00184A8E" w:rsidP="00184A8E">
            <w:pPr>
              <w:spacing w:after="0" w:line="240" w:lineRule="auto"/>
              <w:jc w:val="both"/>
              <w:rPr>
                <w:rFonts w:ascii="Arial" w:eastAsia="Calibri" w:hAnsi="Arial" w:cs="Arial"/>
                <w:sz w:val="16"/>
                <w:szCs w:val="16"/>
                <w:lang w:eastAsia="en-US"/>
              </w:rPr>
            </w:pPr>
            <w:r w:rsidRPr="00184A8E">
              <w:rPr>
                <w:rFonts w:ascii="Arial" w:eastAsia="Calibri" w:hAnsi="Arial" w:cs="Arial"/>
                <w:sz w:val="16"/>
                <w:szCs w:val="16"/>
                <w:lang w:eastAsia="en-US"/>
              </w:rPr>
              <w:t>ZAKONSKE I DRUGE PRAVNE OSNOVE PROGRAMA:</w:t>
            </w:r>
          </w:p>
        </w:tc>
        <w:tc>
          <w:tcPr>
            <w:tcW w:w="12728" w:type="dxa"/>
          </w:tcPr>
          <w:p w14:paraId="3DD2DB08"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rPr>
              <w:t>Zakon o lokalnoj i područnoj (regionalnoj) samoupravi (NN 33/01, 60/01, 129/05, 109/07, 125/08, 36/09, 150/11, 144/12, 19/13, 137/15, 98/19, 144/20),</w:t>
            </w:r>
            <w:r w:rsidRPr="00184A8E">
              <w:rPr>
                <w:rFonts w:ascii="Arial" w:eastAsia="Calibri" w:hAnsi="Arial" w:cs="Arial"/>
                <w:sz w:val="20"/>
                <w:szCs w:val="20"/>
              </w:rPr>
              <w:t xml:space="preserve"> Zakon o zaštiti životinja (NN 102/17, 32/19, 78/24),</w:t>
            </w:r>
            <w:r w:rsidRPr="00184A8E">
              <w:rPr>
                <w:rFonts w:ascii="Arial" w:eastAsia="Times New Roman" w:hAnsi="Arial" w:cs="Arial"/>
                <w:sz w:val="20"/>
                <w:szCs w:val="20"/>
                <w:lang w:eastAsia="en-US"/>
              </w:rPr>
              <w:t xml:space="preserve"> Zakon o zaštiti pučanstva od zaraznih bolesti (</w:t>
            </w:r>
            <w:r w:rsidRPr="00184A8E">
              <w:rPr>
                <w:rFonts w:ascii="Arial" w:eastAsia="Times New Roman" w:hAnsi="Arial" w:cs="Arial"/>
                <w:iCs/>
                <w:sz w:val="20"/>
                <w:szCs w:val="20"/>
                <w:shd w:val="clear" w:color="auto" w:fill="FFFFFF"/>
                <w:lang w:eastAsia="en-US"/>
              </w:rPr>
              <w:t xml:space="preserve">Narodne novine </w:t>
            </w:r>
            <w:hyperlink r:id="rId159" w:tgtFrame="_blank" w:history="1">
              <w:r w:rsidRPr="00184A8E">
                <w:rPr>
                  <w:rFonts w:ascii="Arial" w:eastAsia="Times New Roman" w:hAnsi="Arial" w:cs="Arial"/>
                  <w:iCs/>
                  <w:sz w:val="20"/>
                  <w:szCs w:val="20"/>
                  <w:shd w:val="clear" w:color="auto" w:fill="FFFFFF"/>
                  <w:lang w:eastAsia="en-US"/>
                </w:rPr>
                <w:t>79/07,</w:t>
              </w:r>
            </w:hyperlink>
            <w:r w:rsidRPr="00184A8E">
              <w:rPr>
                <w:rFonts w:ascii="Arial" w:eastAsia="Times New Roman" w:hAnsi="Arial" w:cs="Arial"/>
                <w:iCs/>
                <w:sz w:val="20"/>
                <w:szCs w:val="20"/>
                <w:shd w:val="clear" w:color="auto" w:fill="FFFFFF"/>
                <w:lang w:eastAsia="en-US"/>
              </w:rPr>
              <w:t xml:space="preserve"> </w:t>
            </w:r>
            <w:hyperlink r:id="rId160" w:tgtFrame="_blank" w:history="1">
              <w:r w:rsidRPr="00184A8E">
                <w:rPr>
                  <w:rFonts w:ascii="Arial" w:eastAsia="Times New Roman" w:hAnsi="Arial" w:cs="Arial"/>
                  <w:iCs/>
                  <w:sz w:val="20"/>
                  <w:szCs w:val="20"/>
                  <w:shd w:val="clear" w:color="auto" w:fill="FFFFFF"/>
                  <w:lang w:eastAsia="en-US"/>
                </w:rPr>
                <w:t>113/08</w:t>
              </w:r>
            </w:hyperlink>
            <w:r w:rsidRPr="00184A8E">
              <w:rPr>
                <w:rFonts w:ascii="Arial" w:eastAsia="Times New Roman" w:hAnsi="Arial" w:cs="Arial"/>
                <w:iCs/>
                <w:sz w:val="20"/>
                <w:szCs w:val="20"/>
                <w:shd w:val="clear" w:color="auto" w:fill="FFFFFF"/>
                <w:lang w:eastAsia="en-US"/>
              </w:rPr>
              <w:t xml:space="preserve">, </w:t>
            </w:r>
            <w:hyperlink r:id="rId161" w:tgtFrame="_blank" w:history="1">
              <w:r w:rsidRPr="00184A8E">
                <w:rPr>
                  <w:rFonts w:ascii="Arial" w:eastAsia="Times New Roman" w:hAnsi="Arial" w:cs="Arial"/>
                  <w:iCs/>
                  <w:sz w:val="20"/>
                  <w:szCs w:val="20"/>
                  <w:shd w:val="clear" w:color="auto" w:fill="FFFFFF"/>
                  <w:lang w:eastAsia="en-US"/>
                </w:rPr>
                <w:t>43/09</w:t>
              </w:r>
            </w:hyperlink>
            <w:r w:rsidRPr="00184A8E">
              <w:rPr>
                <w:rFonts w:ascii="Arial" w:eastAsia="Times New Roman" w:hAnsi="Arial" w:cs="Arial"/>
                <w:iCs/>
                <w:sz w:val="20"/>
                <w:szCs w:val="20"/>
                <w:shd w:val="clear" w:color="auto" w:fill="FFFFFF"/>
                <w:lang w:eastAsia="en-US"/>
              </w:rPr>
              <w:t>, 130/17, 114/18, 47/20, 134/20, 143/21),</w:t>
            </w:r>
            <w:r w:rsidRPr="00184A8E">
              <w:rPr>
                <w:rFonts w:ascii="Arial" w:eastAsia="Calibri" w:hAnsi="Arial" w:cs="Arial"/>
                <w:sz w:val="20"/>
                <w:szCs w:val="20"/>
              </w:rPr>
              <w:t xml:space="preserve"> </w:t>
            </w:r>
            <w:r w:rsidRPr="00184A8E">
              <w:rPr>
                <w:rFonts w:ascii="Arial" w:eastAsia="Times New Roman" w:hAnsi="Arial" w:cs="Arial"/>
                <w:sz w:val="20"/>
                <w:szCs w:val="20"/>
              </w:rPr>
              <w:t xml:space="preserve">Statut Općine i drugi opći akti. </w:t>
            </w:r>
          </w:p>
        </w:tc>
      </w:tr>
      <w:tr w:rsidR="00184A8E" w:rsidRPr="00184A8E" w14:paraId="3981025E" w14:textId="77777777" w:rsidTr="00410A4B">
        <w:tc>
          <w:tcPr>
            <w:tcW w:w="1555" w:type="dxa"/>
          </w:tcPr>
          <w:p w14:paraId="1F9F27B1"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2728" w:type="dxa"/>
          </w:tcPr>
          <w:p w14:paraId="37C2714A"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Podizanje kvalitete života i stanovanja.</w:t>
            </w:r>
          </w:p>
        </w:tc>
      </w:tr>
      <w:tr w:rsidR="00184A8E" w:rsidRPr="00184A8E" w14:paraId="499CE979" w14:textId="77777777" w:rsidTr="00410A4B">
        <w:tc>
          <w:tcPr>
            <w:tcW w:w="1555" w:type="dxa"/>
            <w:vAlign w:val="bottom"/>
          </w:tcPr>
          <w:p w14:paraId="2544ABDD"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2728" w:type="dxa"/>
          </w:tcPr>
          <w:p w14:paraId="5681FD59"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Podići razinu kvalitete sanitarno veterinarskih aktivnosti.</w:t>
            </w:r>
          </w:p>
          <w:p w14:paraId="53E124C9"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Postizanje mjera DDD kojima će se osigurati odgovarajuća zdravstvena zaštita stanovništva.</w:t>
            </w:r>
          </w:p>
          <w:p w14:paraId="7F4D0A9B"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Postizanje higijenskih uvjeta kojima će se osigurati odgovarajuća zdravstvena zaštita stanovništva (financirati obavljanje poslova vezanih uz program zaštite napuštenih i izgubljenih životinja i zbrinjavanja animalnog otpada na području Općine, što je i zakonska obveza jedinica lokalne samouprave).</w:t>
            </w:r>
          </w:p>
        </w:tc>
      </w:tr>
    </w:tbl>
    <w:p w14:paraId="23B5A8E4" w14:textId="77777777" w:rsidR="00184A8E" w:rsidRPr="00184A8E" w:rsidRDefault="00184A8E" w:rsidP="00184A8E">
      <w:pPr>
        <w:spacing w:after="0" w:line="240" w:lineRule="auto"/>
        <w:jc w:val="both"/>
        <w:rPr>
          <w:rFonts w:ascii="Arial" w:eastAsia="Calibri" w:hAnsi="Arial" w:cs="Arial"/>
          <w:sz w:val="20"/>
          <w:szCs w:val="20"/>
          <w:lang w:eastAsia="en-US"/>
        </w:rPr>
      </w:pPr>
    </w:p>
    <w:p w14:paraId="0B1CF5D1"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710F153C" w14:textId="77777777" w:rsidR="00184A8E" w:rsidRPr="00184A8E" w:rsidRDefault="00184A8E" w:rsidP="00184A8E">
      <w:pPr>
        <w:spacing w:after="0" w:line="240" w:lineRule="auto"/>
        <w:rPr>
          <w:rFonts w:ascii="Arial" w:eastAsia="Calibri" w:hAnsi="Arial" w:cs="Arial"/>
          <w:sz w:val="20"/>
          <w:szCs w:val="20"/>
        </w:rPr>
      </w:pPr>
    </w:p>
    <w:p w14:paraId="6AAE957B" w14:textId="527AF2ED"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46A98519" w14:textId="0A52D6CD" w:rsidR="00184A8E" w:rsidRPr="00184A8E" w:rsidRDefault="00546906" w:rsidP="00184A8E">
      <w:pPr>
        <w:spacing w:after="0" w:line="240" w:lineRule="auto"/>
        <w:rPr>
          <w:rFonts w:ascii="Arial" w:eastAsia="Calibri" w:hAnsi="Arial" w:cs="Arial"/>
          <w:color w:val="FF0000"/>
          <w:sz w:val="20"/>
          <w:szCs w:val="20"/>
        </w:rPr>
      </w:pPr>
      <w:r w:rsidRPr="00546906">
        <w:rPr>
          <w:noProof/>
        </w:rPr>
        <w:drawing>
          <wp:inline distT="0" distB="0" distL="0" distR="0" wp14:anchorId="69795F3B" wp14:editId="404ADE1A">
            <wp:extent cx="9251950" cy="2396490"/>
            <wp:effectExtent l="0" t="0" r="6350" b="3810"/>
            <wp:docPr id="16580545"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9251950" cy="2396490"/>
                    </a:xfrm>
                    <a:prstGeom prst="rect">
                      <a:avLst/>
                    </a:prstGeom>
                    <a:noFill/>
                    <a:ln>
                      <a:noFill/>
                    </a:ln>
                  </pic:spPr>
                </pic:pic>
              </a:graphicData>
            </a:graphic>
          </wp:inline>
        </w:drawing>
      </w:r>
    </w:p>
    <w:p w14:paraId="7063DBC2" w14:textId="77777777" w:rsidR="00184A8E" w:rsidRPr="00184A8E" w:rsidRDefault="00184A8E" w:rsidP="00184A8E">
      <w:pPr>
        <w:spacing w:after="0" w:line="240" w:lineRule="auto"/>
        <w:rPr>
          <w:rFonts w:ascii="Arial" w:eastAsia="Calibri" w:hAnsi="Arial" w:cs="Arial"/>
          <w:color w:val="7030A0"/>
          <w:sz w:val="18"/>
          <w:szCs w:val="18"/>
        </w:rPr>
      </w:pPr>
      <w:r w:rsidRPr="00184A8E">
        <w:rPr>
          <w:rFonts w:ascii="Arial" w:eastAsia="Calibri" w:hAnsi="Arial" w:cs="Arial"/>
          <w:color w:val="7030A0"/>
          <w:sz w:val="18"/>
          <w:szCs w:val="18"/>
        </w:rPr>
        <w:t>* navode se iznosi izvršenja kroz raniji program, ali se ne prenose iznosi izvršenja u zbroj programa po godinama jer su isti izvršeni kroz drugi program</w:t>
      </w:r>
    </w:p>
    <w:p w14:paraId="41F28CD9"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111245EA"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0510D6C3"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720BA584" w14:textId="77777777"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lastRenderedPageBreak/>
        <w:t>Izvještaj o postignutim ciljevima i rezultatima programa temeljenim na pokazateljima uspješnosti u prethodnoj godini</w:t>
      </w:r>
      <w:r w:rsidRPr="00184A8E">
        <w:rPr>
          <w:rFonts w:ascii="Arial" w:eastAsia="Calibri" w:hAnsi="Arial" w:cs="Arial"/>
          <w:sz w:val="20"/>
          <w:szCs w:val="20"/>
          <w:lang w:eastAsia="en-US"/>
        </w:rPr>
        <w:t>: Izvršenje je u okviru očekivanih vrijednosti.</w:t>
      </w:r>
    </w:p>
    <w:p w14:paraId="43D9BF60" w14:textId="77777777" w:rsidR="00184A8E" w:rsidRPr="00184A8E" w:rsidRDefault="00184A8E" w:rsidP="00184A8E">
      <w:pPr>
        <w:spacing w:after="0" w:line="240" w:lineRule="auto"/>
        <w:jc w:val="both"/>
        <w:rPr>
          <w:rFonts w:ascii="Arial" w:eastAsia="Calibri" w:hAnsi="Arial" w:cs="Arial"/>
          <w:sz w:val="20"/>
          <w:szCs w:val="20"/>
          <w:lang w:eastAsia="en-US"/>
        </w:rPr>
      </w:pPr>
    </w:p>
    <w:p w14:paraId="138F9A9F" w14:textId="469805DE" w:rsidR="00184A8E" w:rsidRDefault="001A07A6" w:rsidP="00184A8E">
      <w:pPr>
        <w:spacing w:after="0" w:line="240" w:lineRule="auto"/>
        <w:jc w:val="both"/>
        <w:rPr>
          <w:rFonts w:ascii="Arial" w:eastAsia="Calibri" w:hAnsi="Arial" w:cs="Arial"/>
          <w:sz w:val="20"/>
          <w:szCs w:val="20"/>
          <w:lang w:eastAsia="en-US"/>
        </w:rPr>
      </w:pPr>
      <w:r w:rsidRPr="001A07A6">
        <w:rPr>
          <w:rFonts w:ascii="Arial" w:eastAsia="Calibri" w:hAnsi="Arial" w:cs="Arial"/>
          <w:sz w:val="20"/>
          <w:szCs w:val="20"/>
          <w:lang w:eastAsia="en-US"/>
        </w:rPr>
        <w:t xml:space="preserve">U okviru programa 2099 planirani su rashodi u iznosu </w:t>
      </w:r>
      <w:r w:rsidR="004F26FC">
        <w:rPr>
          <w:rFonts w:ascii="Arial" w:eastAsia="Calibri" w:hAnsi="Arial" w:cs="Arial"/>
          <w:sz w:val="20"/>
          <w:szCs w:val="20"/>
          <w:lang w:eastAsia="en-US"/>
        </w:rPr>
        <w:t>57.060</w:t>
      </w:r>
      <w:r w:rsidRPr="001A07A6">
        <w:rPr>
          <w:rFonts w:ascii="Arial" w:eastAsia="Calibri" w:hAnsi="Arial" w:cs="Arial"/>
          <w:sz w:val="20"/>
          <w:szCs w:val="20"/>
          <w:lang w:eastAsia="en-US"/>
        </w:rPr>
        <w:t xml:space="preserve"> € za 2025. godinu, te 60.000 € za 2026. i 2027. godinu.</w:t>
      </w:r>
      <w:r w:rsidR="00D1345E">
        <w:rPr>
          <w:rFonts w:ascii="Arial" w:eastAsia="Calibri" w:hAnsi="Arial" w:cs="Arial"/>
          <w:sz w:val="20"/>
          <w:szCs w:val="20"/>
          <w:lang w:eastAsia="en-US"/>
        </w:rPr>
        <w:t xml:space="preserve"> </w:t>
      </w:r>
    </w:p>
    <w:p w14:paraId="05DE3825" w14:textId="77777777" w:rsidR="00D1345E" w:rsidRPr="00184A8E" w:rsidRDefault="00D1345E" w:rsidP="00184A8E">
      <w:pPr>
        <w:spacing w:after="0" w:line="240" w:lineRule="auto"/>
        <w:jc w:val="both"/>
        <w:rPr>
          <w:rFonts w:ascii="Arial" w:eastAsia="Calibri" w:hAnsi="Arial" w:cs="Arial"/>
          <w:sz w:val="20"/>
          <w:szCs w:val="20"/>
          <w:lang w:eastAsia="en-US"/>
        </w:rPr>
      </w:pPr>
    </w:p>
    <w:p w14:paraId="072B89F3" w14:textId="050A73EE"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Rashodi za 202</w:t>
      </w:r>
      <w:r w:rsidR="00D1345E">
        <w:rPr>
          <w:rFonts w:ascii="Arial" w:eastAsia="Calibri" w:hAnsi="Arial" w:cs="Arial"/>
          <w:sz w:val="20"/>
          <w:szCs w:val="20"/>
        </w:rPr>
        <w:t>5</w:t>
      </w:r>
      <w:r w:rsidRPr="00184A8E">
        <w:rPr>
          <w:rFonts w:ascii="Arial" w:eastAsia="Calibri" w:hAnsi="Arial" w:cs="Arial"/>
          <w:sz w:val="20"/>
          <w:szCs w:val="20"/>
        </w:rPr>
        <w:t xml:space="preserve">. su izvršeni u iznosu </w:t>
      </w:r>
      <w:r w:rsidR="00D1345E">
        <w:rPr>
          <w:rFonts w:ascii="Arial" w:eastAsia="Calibri" w:hAnsi="Arial" w:cs="Arial"/>
          <w:sz w:val="20"/>
          <w:szCs w:val="20"/>
        </w:rPr>
        <w:t>36.397,81</w:t>
      </w:r>
      <w:r w:rsidRPr="00184A8E">
        <w:rPr>
          <w:rFonts w:ascii="Arial" w:eastAsia="Calibri" w:hAnsi="Arial" w:cs="Arial"/>
          <w:sz w:val="20"/>
          <w:szCs w:val="20"/>
        </w:rPr>
        <w:t xml:space="preserve"> € ili </w:t>
      </w:r>
      <w:r w:rsidR="00D1345E">
        <w:rPr>
          <w:rFonts w:ascii="Arial" w:eastAsia="Calibri" w:hAnsi="Arial" w:cs="Arial"/>
          <w:sz w:val="20"/>
          <w:szCs w:val="20"/>
        </w:rPr>
        <w:t>63,8</w:t>
      </w:r>
      <w:r w:rsidRPr="00184A8E">
        <w:rPr>
          <w:rFonts w:ascii="Arial" w:eastAsia="Calibri" w:hAnsi="Arial" w:cs="Arial"/>
          <w:sz w:val="20"/>
          <w:szCs w:val="20"/>
        </w:rPr>
        <w:t>%.</w:t>
      </w:r>
    </w:p>
    <w:p w14:paraId="2C57EDF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44520463"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197F1F03" w14:textId="77777777" w:rsidR="00184A8E" w:rsidRPr="00184A8E" w:rsidRDefault="00184A8E" w:rsidP="00184A8E">
      <w:pPr>
        <w:spacing w:after="0" w:line="240" w:lineRule="auto"/>
        <w:jc w:val="both"/>
        <w:rPr>
          <w:rFonts w:ascii="Arial" w:eastAsia="Calibri" w:hAnsi="Arial" w:cs="Arial"/>
          <w:sz w:val="20"/>
          <w:szCs w:val="20"/>
        </w:rPr>
      </w:pPr>
    </w:p>
    <w:p w14:paraId="3CD56FC9"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Unutar programa izvode se slijedeće aktivnosti i projekti:</w:t>
      </w:r>
    </w:p>
    <w:p w14:paraId="632E469D" w14:textId="77777777" w:rsidR="00184A8E" w:rsidRPr="00184A8E" w:rsidRDefault="00184A8E" w:rsidP="00184A8E">
      <w:pPr>
        <w:tabs>
          <w:tab w:val="left" w:pos="3680"/>
        </w:tabs>
        <w:spacing w:after="0" w:line="240" w:lineRule="auto"/>
        <w:jc w:val="both"/>
        <w:rPr>
          <w:rFonts w:ascii="Arial" w:eastAsia="Calibri" w:hAnsi="Arial" w:cs="Arial"/>
          <w:sz w:val="20"/>
          <w:szCs w:val="20"/>
        </w:rPr>
      </w:pPr>
    </w:p>
    <w:p w14:paraId="0157D1A7"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1. A209901: Obvezna preventivna DDD (dezinfekcija, dezinsekcija, deratizacija)</w:t>
      </w:r>
      <w:r w:rsidRPr="00184A8E">
        <w:rPr>
          <w:rFonts w:ascii="Arial" w:eastAsia="Calibri" w:hAnsi="Arial" w:cs="Arial"/>
          <w:sz w:val="20"/>
          <w:szCs w:val="20"/>
          <w:lang w:eastAsia="en-US"/>
        </w:rPr>
        <w:t xml:space="preserve"> - </w:t>
      </w:r>
    </w:p>
    <w:p w14:paraId="21129444"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Do početka 2019. ova aktivnost se iskazivala kroz program 2091 -Program održavanja komunalne infrastrukture, aktivnost A209113.</w:t>
      </w:r>
    </w:p>
    <w:p w14:paraId="60CEA8B4" w14:textId="77777777" w:rsidR="00184A8E" w:rsidRPr="00184A8E" w:rsidRDefault="00184A8E" w:rsidP="00184A8E">
      <w:pPr>
        <w:spacing w:after="0" w:line="240" w:lineRule="auto"/>
        <w:jc w:val="both"/>
        <w:rPr>
          <w:rFonts w:ascii="Arial" w:eastAsia="Calibri" w:hAnsi="Arial" w:cs="Arial"/>
          <w:sz w:val="20"/>
          <w:szCs w:val="20"/>
          <w:lang w:eastAsia="en-US"/>
        </w:rPr>
      </w:pPr>
    </w:p>
    <w:p w14:paraId="732AE8FA" w14:textId="74474DE9"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U sklopu navedene aktivnosti planirani su rashodi za usluge u skladu sa zaključenim ugovorom s izvoditeljem (veterinarska ambulanta). Planirana sredstva za provođenje navedene aktivnosti iznose </w:t>
      </w:r>
      <w:r w:rsidR="00D1345E">
        <w:rPr>
          <w:rFonts w:ascii="Arial" w:eastAsia="Calibri" w:hAnsi="Arial" w:cs="Arial"/>
          <w:sz w:val="20"/>
          <w:szCs w:val="20"/>
          <w:lang w:eastAsia="en-US"/>
        </w:rPr>
        <w:t>13.310</w:t>
      </w:r>
      <w:r w:rsidRPr="00184A8E">
        <w:rPr>
          <w:rFonts w:ascii="Arial" w:eastAsia="Calibri" w:hAnsi="Arial" w:cs="Arial"/>
          <w:sz w:val="20"/>
          <w:szCs w:val="20"/>
          <w:lang w:eastAsia="en-US"/>
        </w:rPr>
        <w:t xml:space="preserve"> €. Poslovi se obavljaju na temelju ugovora za </w:t>
      </w:r>
      <w:r w:rsidRPr="00184A8E">
        <w:rPr>
          <w:rFonts w:ascii="Arial" w:eastAsia="Times New Roman" w:hAnsi="Arial" w:cs="Arial"/>
          <w:sz w:val="20"/>
          <w:szCs w:val="20"/>
          <w:lang w:eastAsia="en-US"/>
        </w:rPr>
        <w:t>obavljanje godišnjih tretmana sukladno Zakonu o zaštiti pučanstva od zaraznih bolesti (</w:t>
      </w:r>
      <w:r w:rsidRPr="00184A8E">
        <w:rPr>
          <w:rFonts w:ascii="Arial" w:eastAsia="Times New Roman" w:hAnsi="Arial" w:cs="Arial"/>
          <w:iCs/>
          <w:sz w:val="20"/>
          <w:szCs w:val="20"/>
          <w:shd w:val="clear" w:color="auto" w:fill="FFFFFF"/>
          <w:lang w:eastAsia="en-US"/>
        </w:rPr>
        <w:t xml:space="preserve">Narodne novine </w:t>
      </w:r>
      <w:hyperlink r:id="rId163" w:tgtFrame="_blank" w:history="1">
        <w:r w:rsidRPr="00184A8E">
          <w:rPr>
            <w:rFonts w:ascii="Arial" w:eastAsia="Times New Roman" w:hAnsi="Arial" w:cs="Arial"/>
            <w:iCs/>
            <w:sz w:val="20"/>
            <w:szCs w:val="20"/>
            <w:shd w:val="clear" w:color="auto" w:fill="FFFFFF"/>
            <w:lang w:eastAsia="en-US"/>
          </w:rPr>
          <w:t>79/07,</w:t>
        </w:r>
      </w:hyperlink>
      <w:r w:rsidRPr="00184A8E">
        <w:rPr>
          <w:rFonts w:ascii="Arial" w:eastAsia="Times New Roman" w:hAnsi="Arial" w:cs="Arial"/>
          <w:iCs/>
          <w:sz w:val="20"/>
          <w:szCs w:val="20"/>
          <w:shd w:val="clear" w:color="auto" w:fill="FFFFFF"/>
          <w:lang w:eastAsia="en-US"/>
        </w:rPr>
        <w:t xml:space="preserve"> </w:t>
      </w:r>
      <w:hyperlink r:id="rId164" w:tgtFrame="_blank" w:history="1">
        <w:r w:rsidRPr="00184A8E">
          <w:rPr>
            <w:rFonts w:ascii="Arial" w:eastAsia="Times New Roman" w:hAnsi="Arial" w:cs="Arial"/>
            <w:iCs/>
            <w:sz w:val="20"/>
            <w:szCs w:val="20"/>
            <w:shd w:val="clear" w:color="auto" w:fill="FFFFFF"/>
            <w:lang w:eastAsia="en-US"/>
          </w:rPr>
          <w:t>113/08</w:t>
        </w:r>
      </w:hyperlink>
      <w:r w:rsidRPr="00184A8E">
        <w:rPr>
          <w:rFonts w:ascii="Arial" w:eastAsia="Times New Roman" w:hAnsi="Arial" w:cs="Arial"/>
          <w:iCs/>
          <w:sz w:val="20"/>
          <w:szCs w:val="20"/>
          <w:shd w:val="clear" w:color="auto" w:fill="FFFFFF"/>
          <w:lang w:eastAsia="en-US"/>
        </w:rPr>
        <w:t xml:space="preserve">, </w:t>
      </w:r>
      <w:hyperlink r:id="rId165" w:tgtFrame="_blank" w:history="1">
        <w:r w:rsidRPr="00184A8E">
          <w:rPr>
            <w:rFonts w:ascii="Arial" w:eastAsia="Times New Roman" w:hAnsi="Arial" w:cs="Arial"/>
            <w:iCs/>
            <w:sz w:val="20"/>
            <w:szCs w:val="20"/>
            <w:shd w:val="clear" w:color="auto" w:fill="FFFFFF"/>
            <w:lang w:eastAsia="en-US"/>
          </w:rPr>
          <w:t>43/09</w:t>
        </w:r>
      </w:hyperlink>
      <w:r w:rsidRPr="00184A8E">
        <w:rPr>
          <w:rFonts w:ascii="Arial" w:eastAsia="Times New Roman" w:hAnsi="Arial" w:cs="Arial"/>
          <w:iCs/>
          <w:sz w:val="20"/>
          <w:szCs w:val="20"/>
          <w:shd w:val="clear" w:color="auto" w:fill="FFFFFF"/>
          <w:lang w:eastAsia="en-US"/>
        </w:rPr>
        <w:t>, 130/17, 114/18, 47/20, 134/20, 143/21)</w:t>
      </w:r>
      <w:r w:rsidRPr="00184A8E">
        <w:rPr>
          <w:rFonts w:ascii="Arial" w:eastAsia="Times New Roman" w:hAnsi="Arial" w:cs="Arial"/>
          <w:sz w:val="20"/>
          <w:szCs w:val="20"/>
          <w:lang w:eastAsia="en-US"/>
        </w:rPr>
        <w:t xml:space="preserve"> - dezinsekcija, deratizacija i dezinfekcija. </w:t>
      </w:r>
    </w:p>
    <w:p w14:paraId="5038B069" w14:textId="001C1E63" w:rsidR="00184A8E" w:rsidRPr="00184A8E" w:rsidRDefault="00184A8E" w:rsidP="00184A8E">
      <w:pPr>
        <w:tabs>
          <w:tab w:val="left" w:pos="3680"/>
        </w:tabs>
        <w:spacing w:after="0" w:line="240" w:lineRule="auto"/>
        <w:jc w:val="both"/>
        <w:rPr>
          <w:rFonts w:ascii="Arial" w:eastAsia="Calibri" w:hAnsi="Arial" w:cs="Arial"/>
          <w:sz w:val="20"/>
          <w:szCs w:val="20"/>
        </w:rPr>
      </w:pPr>
      <w:r w:rsidRPr="00184A8E">
        <w:rPr>
          <w:rFonts w:ascii="Arial" w:eastAsia="Calibri" w:hAnsi="Arial" w:cs="Arial"/>
          <w:sz w:val="20"/>
          <w:szCs w:val="20"/>
        </w:rPr>
        <w:t>U siječnju 202</w:t>
      </w:r>
      <w:r w:rsidR="00D1345E">
        <w:rPr>
          <w:rFonts w:ascii="Arial" w:eastAsia="Calibri" w:hAnsi="Arial" w:cs="Arial"/>
          <w:sz w:val="20"/>
          <w:szCs w:val="20"/>
        </w:rPr>
        <w:t>5</w:t>
      </w:r>
      <w:r w:rsidRPr="00184A8E">
        <w:rPr>
          <w:rFonts w:ascii="Arial" w:eastAsia="Calibri" w:hAnsi="Arial" w:cs="Arial"/>
          <w:sz w:val="20"/>
          <w:szCs w:val="20"/>
        </w:rPr>
        <w:t xml:space="preserve">. ugovoreno je obavljanje </w:t>
      </w:r>
      <w:r w:rsidR="00D1345E">
        <w:rPr>
          <w:rFonts w:ascii="Arial" w:eastAsia="Calibri" w:hAnsi="Arial" w:cs="Arial"/>
          <w:sz w:val="20"/>
          <w:szCs w:val="20"/>
        </w:rPr>
        <w:t xml:space="preserve">dvije </w:t>
      </w:r>
      <w:r w:rsidRPr="00184A8E">
        <w:rPr>
          <w:rFonts w:ascii="Arial" w:eastAsia="Calibri" w:hAnsi="Arial" w:cs="Arial"/>
          <w:sz w:val="20"/>
          <w:szCs w:val="20"/>
        </w:rPr>
        <w:t xml:space="preserve">larvicidne dezinsekcije u </w:t>
      </w:r>
      <w:r w:rsidR="00D1345E">
        <w:rPr>
          <w:rFonts w:ascii="Arial" w:eastAsia="Calibri" w:hAnsi="Arial" w:cs="Arial"/>
          <w:sz w:val="20"/>
          <w:szCs w:val="20"/>
        </w:rPr>
        <w:t>razdoblju travanj - lipanj</w:t>
      </w:r>
      <w:r w:rsidRPr="00184A8E">
        <w:rPr>
          <w:rFonts w:ascii="Arial" w:eastAsia="Calibri" w:hAnsi="Arial" w:cs="Arial"/>
          <w:sz w:val="20"/>
          <w:szCs w:val="20"/>
        </w:rPr>
        <w:t xml:space="preserve">, tri adulticidne dezinsekcije u lipnju, srpnju i kolovozu toplinskim zamagljivanjem, </w:t>
      </w:r>
      <w:r w:rsidR="00D1345E">
        <w:rPr>
          <w:rFonts w:ascii="Arial" w:eastAsia="Calibri" w:hAnsi="Arial" w:cs="Arial"/>
          <w:sz w:val="20"/>
          <w:szCs w:val="20"/>
        </w:rPr>
        <w:t xml:space="preserve">provođenje deratizacije dva puta godišnje proljeće / jesen, </w:t>
      </w:r>
      <w:r w:rsidRPr="00184A8E">
        <w:rPr>
          <w:rFonts w:ascii="Arial" w:eastAsia="Calibri" w:hAnsi="Arial" w:cs="Arial"/>
          <w:sz w:val="20"/>
          <w:szCs w:val="20"/>
        </w:rPr>
        <w:t xml:space="preserve">te provođenje dezinfekcije i dezodoracije po potrebi uredskih prostora i drugih prostora po zahtjevu komunalne službe, a sve sukladno Zakonu o zaštiti pučanstva od zaraznih bolesti (dezinsekcija, deratizacija i dezinfekcija) u iznosu </w:t>
      </w:r>
      <w:r w:rsidR="000A1DDC">
        <w:rPr>
          <w:rFonts w:ascii="Arial" w:eastAsia="Calibri" w:hAnsi="Arial" w:cs="Arial"/>
          <w:sz w:val="20"/>
          <w:szCs w:val="20"/>
        </w:rPr>
        <w:t>10.353</w:t>
      </w:r>
      <w:r w:rsidRPr="00184A8E">
        <w:rPr>
          <w:rFonts w:ascii="Arial" w:eastAsia="Calibri" w:hAnsi="Arial" w:cs="Arial"/>
          <w:sz w:val="20"/>
          <w:szCs w:val="20"/>
        </w:rPr>
        <w:t xml:space="preserve"> € što s porezom na dodanu vrijednost čini </w:t>
      </w:r>
      <w:r w:rsidR="000A1DDC">
        <w:rPr>
          <w:rFonts w:ascii="Arial" w:eastAsia="Calibri" w:hAnsi="Arial" w:cs="Arial"/>
          <w:sz w:val="20"/>
          <w:szCs w:val="20"/>
        </w:rPr>
        <w:t>12.941,25</w:t>
      </w:r>
      <w:r w:rsidRPr="00184A8E">
        <w:rPr>
          <w:rFonts w:ascii="Arial" w:eastAsia="Calibri" w:hAnsi="Arial" w:cs="Arial"/>
          <w:sz w:val="20"/>
          <w:szCs w:val="20"/>
        </w:rPr>
        <w:t xml:space="preserve"> €. Svi poslovi provedeni su u koordinaciji i pod nadzorom Zavoda za javno zdravstvo, te komunalnog redara, koji dobiva povratnu informaciju. </w:t>
      </w:r>
    </w:p>
    <w:p w14:paraId="29D49412" w14:textId="507F1754"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Rashodi su izvršeni u iznosu 12.24</w:t>
      </w:r>
      <w:r w:rsidR="000A1DDC">
        <w:rPr>
          <w:rFonts w:ascii="Arial" w:eastAsia="Calibri" w:hAnsi="Arial" w:cs="Arial"/>
          <w:sz w:val="20"/>
          <w:szCs w:val="20"/>
        </w:rPr>
        <w:t>2,50</w:t>
      </w:r>
      <w:r w:rsidRPr="00184A8E">
        <w:rPr>
          <w:rFonts w:ascii="Arial" w:eastAsia="Calibri" w:hAnsi="Arial" w:cs="Arial"/>
          <w:sz w:val="20"/>
          <w:szCs w:val="20"/>
        </w:rPr>
        <w:t xml:space="preserve"> € za obavljanje dezinfekcije i deratizacije (Veterinarska ambulanta Gruda – Konavle d.o.o.).</w:t>
      </w:r>
    </w:p>
    <w:p w14:paraId="5B414DE7" w14:textId="77777777" w:rsidR="00184A8E" w:rsidRPr="00184A8E" w:rsidRDefault="00184A8E" w:rsidP="00184A8E">
      <w:pPr>
        <w:tabs>
          <w:tab w:val="left" w:pos="3680"/>
        </w:tabs>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689"/>
        <w:gridCol w:w="3402"/>
        <w:gridCol w:w="1104"/>
        <w:gridCol w:w="1134"/>
        <w:gridCol w:w="1232"/>
        <w:gridCol w:w="1276"/>
        <w:gridCol w:w="1242"/>
        <w:gridCol w:w="1242"/>
        <w:gridCol w:w="1242"/>
      </w:tblGrid>
      <w:tr w:rsidR="00184A8E" w:rsidRPr="00184A8E" w14:paraId="4CB2DC7E" w14:textId="77777777" w:rsidTr="00410A4B">
        <w:trPr>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3568F2D"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ABF9FA4"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Definicija</w:t>
            </w:r>
          </w:p>
        </w:tc>
        <w:tc>
          <w:tcPr>
            <w:tcW w:w="110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45C3ECF"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1E231B6"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D99FAE5"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Polazna vrijednost 2023.</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73AEC9F" w14:textId="10468648"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984FBE">
              <w:rPr>
                <w:rFonts w:ascii="Arial" w:eastAsia="Calibri" w:hAnsi="Arial" w:cs="Arial"/>
                <w:sz w:val="18"/>
                <w:szCs w:val="18"/>
              </w:rPr>
              <w:t>5</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9469E7" w14:textId="421E30CC"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Izvršeno 202</w:t>
            </w:r>
            <w:r w:rsidR="00984FBE">
              <w:rPr>
                <w:rFonts w:ascii="Arial" w:eastAsia="Calibri" w:hAnsi="Arial" w:cs="Arial"/>
                <w:sz w:val="18"/>
                <w:szCs w:val="18"/>
              </w:rPr>
              <w:t>5</w:t>
            </w:r>
            <w:r w:rsidRPr="00184A8E">
              <w:rPr>
                <w:rFonts w:ascii="Arial" w:eastAsia="Calibri" w:hAnsi="Arial" w:cs="Arial"/>
                <w:sz w:val="18"/>
                <w:szCs w:val="18"/>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AAF8A19" w14:textId="7152B00C"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984FBE">
              <w:rPr>
                <w:rFonts w:ascii="Arial" w:eastAsia="Calibri" w:hAnsi="Arial" w:cs="Arial"/>
                <w:sz w:val="18"/>
                <w:szCs w:val="18"/>
              </w:rPr>
              <w:t>6</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51D05A" w14:textId="6AFA81B4"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w:t>
            </w:r>
            <w:r w:rsidR="00984FBE">
              <w:rPr>
                <w:rFonts w:ascii="Arial" w:eastAsia="Calibri" w:hAnsi="Arial" w:cs="Arial"/>
                <w:sz w:val="18"/>
                <w:szCs w:val="18"/>
              </w:rPr>
              <w:t>27</w:t>
            </w:r>
            <w:r w:rsidRPr="00184A8E">
              <w:rPr>
                <w:rFonts w:ascii="Arial" w:eastAsia="Calibri" w:hAnsi="Arial" w:cs="Arial"/>
                <w:sz w:val="18"/>
                <w:szCs w:val="18"/>
              </w:rPr>
              <w:t>.</w:t>
            </w:r>
          </w:p>
        </w:tc>
      </w:tr>
      <w:tr w:rsidR="00184A8E" w:rsidRPr="00184A8E" w14:paraId="6E4F4D34" w14:textId="77777777" w:rsidTr="00410A4B">
        <w:trPr>
          <w:trHeight w:val="273"/>
          <w:jc w:val="center"/>
        </w:trPr>
        <w:tc>
          <w:tcPr>
            <w:tcW w:w="2689" w:type="dxa"/>
            <w:tcBorders>
              <w:top w:val="single" w:sz="4" w:space="0" w:color="auto"/>
              <w:left w:val="single" w:sz="4" w:space="0" w:color="auto"/>
              <w:bottom w:val="single" w:sz="4" w:space="0" w:color="auto"/>
              <w:right w:val="single" w:sz="4" w:space="0" w:color="auto"/>
            </w:tcBorders>
            <w:vAlign w:val="center"/>
          </w:tcPr>
          <w:p w14:paraId="04C1B8C6" w14:textId="77777777" w:rsidR="00184A8E" w:rsidRPr="00184A8E" w:rsidRDefault="00184A8E" w:rsidP="00184A8E">
            <w:pPr>
              <w:rPr>
                <w:rFonts w:ascii="Arial" w:hAnsi="Arial" w:cs="Arial"/>
                <w:sz w:val="18"/>
                <w:szCs w:val="18"/>
              </w:rPr>
            </w:pPr>
            <w:r w:rsidRPr="00184A8E">
              <w:rPr>
                <w:rFonts w:ascii="Arial" w:eastAsia="Calibri" w:hAnsi="Arial" w:cs="Arial"/>
                <w:iCs/>
                <w:sz w:val="18"/>
                <w:szCs w:val="18"/>
              </w:rPr>
              <w:t>Provedba zaštite i očuvanja pučanstva od zaraznih bolesti</w:t>
            </w:r>
          </w:p>
        </w:tc>
        <w:tc>
          <w:tcPr>
            <w:tcW w:w="3402" w:type="dxa"/>
            <w:tcBorders>
              <w:top w:val="single" w:sz="4" w:space="0" w:color="auto"/>
              <w:left w:val="single" w:sz="4" w:space="0" w:color="auto"/>
              <w:bottom w:val="single" w:sz="4" w:space="0" w:color="auto"/>
              <w:right w:val="single" w:sz="4" w:space="0" w:color="auto"/>
            </w:tcBorders>
            <w:vAlign w:val="center"/>
          </w:tcPr>
          <w:p w14:paraId="16DA4618" w14:textId="77777777" w:rsidR="00184A8E" w:rsidRPr="00184A8E" w:rsidRDefault="00184A8E" w:rsidP="00184A8E">
            <w:pPr>
              <w:autoSpaceDE w:val="0"/>
              <w:autoSpaceDN w:val="0"/>
              <w:adjustRightInd w:val="0"/>
              <w:rPr>
                <w:rFonts w:ascii="Arial" w:hAnsi="Arial" w:cs="Arial"/>
                <w:sz w:val="18"/>
                <w:szCs w:val="18"/>
              </w:rPr>
            </w:pPr>
            <w:r w:rsidRPr="00184A8E">
              <w:rPr>
                <w:rFonts w:ascii="Arial" w:eastAsia="Calibri" w:hAnsi="Arial" w:cs="Arial"/>
                <w:sz w:val="18"/>
                <w:szCs w:val="18"/>
              </w:rPr>
              <w:t>Broj obavljenih tretmana zaštite i očuvanja okoliša sukladno programu mjera preventivne DDD</w:t>
            </w:r>
          </w:p>
        </w:tc>
        <w:tc>
          <w:tcPr>
            <w:tcW w:w="1104" w:type="dxa"/>
            <w:tcBorders>
              <w:top w:val="single" w:sz="4" w:space="0" w:color="auto"/>
              <w:left w:val="single" w:sz="4" w:space="0" w:color="auto"/>
              <w:bottom w:val="single" w:sz="4" w:space="0" w:color="auto"/>
              <w:right w:val="single" w:sz="4" w:space="0" w:color="auto"/>
            </w:tcBorders>
            <w:vAlign w:val="center"/>
          </w:tcPr>
          <w:p w14:paraId="4EBFC91B"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broj tretmana</w:t>
            </w:r>
          </w:p>
        </w:tc>
        <w:tc>
          <w:tcPr>
            <w:tcW w:w="1134" w:type="dxa"/>
            <w:tcBorders>
              <w:top w:val="single" w:sz="4" w:space="0" w:color="auto"/>
              <w:left w:val="single" w:sz="4" w:space="0" w:color="auto"/>
              <w:bottom w:val="single" w:sz="4" w:space="0" w:color="auto"/>
              <w:right w:val="single" w:sz="4" w:space="0" w:color="auto"/>
            </w:tcBorders>
            <w:vAlign w:val="center"/>
          </w:tcPr>
          <w:p w14:paraId="2E92E81A"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54DEF85F"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tcPr>
          <w:p w14:paraId="08EB46EE"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4</w:t>
            </w:r>
          </w:p>
        </w:tc>
        <w:tc>
          <w:tcPr>
            <w:tcW w:w="1242" w:type="dxa"/>
            <w:tcBorders>
              <w:top w:val="single" w:sz="4" w:space="0" w:color="000000"/>
              <w:left w:val="single" w:sz="4" w:space="0" w:color="000000"/>
              <w:bottom w:val="single" w:sz="4" w:space="0" w:color="000000"/>
              <w:right w:val="single" w:sz="4" w:space="0" w:color="000000"/>
            </w:tcBorders>
            <w:vAlign w:val="center"/>
          </w:tcPr>
          <w:p w14:paraId="450CD9F3"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4</w:t>
            </w:r>
          </w:p>
        </w:tc>
        <w:tc>
          <w:tcPr>
            <w:tcW w:w="1242" w:type="dxa"/>
            <w:tcBorders>
              <w:top w:val="single" w:sz="4" w:space="0" w:color="000000"/>
              <w:left w:val="single" w:sz="4" w:space="0" w:color="000000"/>
              <w:bottom w:val="single" w:sz="4" w:space="0" w:color="000000"/>
              <w:right w:val="single" w:sz="4" w:space="0" w:color="000000"/>
            </w:tcBorders>
            <w:vAlign w:val="center"/>
          </w:tcPr>
          <w:p w14:paraId="19120FAE"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4</w:t>
            </w:r>
          </w:p>
        </w:tc>
        <w:tc>
          <w:tcPr>
            <w:tcW w:w="1242" w:type="dxa"/>
            <w:tcBorders>
              <w:top w:val="single" w:sz="4" w:space="0" w:color="000000"/>
              <w:left w:val="single" w:sz="4" w:space="0" w:color="000000"/>
              <w:bottom w:val="single" w:sz="4" w:space="0" w:color="000000"/>
              <w:right w:val="single" w:sz="4" w:space="0" w:color="000000"/>
            </w:tcBorders>
            <w:vAlign w:val="center"/>
          </w:tcPr>
          <w:p w14:paraId="64F035DD"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4</w:t>
            </w:r>
          </w:p>
        </w:tc>
      </w:tr>
    </w:tbl>
    <w:p w14:paraId="7351AFA2" w14:textId="77777777" w:rsidR="00184A8E" w:rsidRPr="00184A8E" w:rsidRDefault="00184A8E" w:rsidP="00184A8E">
      <w:pPr>
        <w:spacing w:after="0" w:line="240" w:lineRule="auto"/>
        <w:jc w:val="both"/>
        <w:rPr>
          <w:rFonts w:ascii="Arial" w:eastAsia="Calibri" w:hAnsi="Arial" w:cs="Arial"/>
          <w:b/>
          <w:sz w:val="20"/>
          <w:szCs w:val="20"/>
        </w:rPr>
      </w:pPr>
    </w:p>
    <w:p w14:paraId="1FCBE1D9" w14:textId="676DBB64"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Calibri" w:hAnsi="Arial" w:cs="Arial"/>
          <w:b/>
          <w:sz w:val="20"/>
          <w:szCs w:val="20"/>
          <w:lang w:eastAsia="en-US"/>
        </w:rPr>
        <w:t>2. A209902: Obavljanje poslove sakupljanja, prijevoza i neškodljivog uklanjanja lešina s javnih površina</w:t>
      </w:r>
      <w:r w:rsidRPr="00184A8E">
        <w:rPr>
          <w:rFonts w:ascii="Arial" w:eastAsia="Calibri" w:hAnsi="Arial" w:cs="Arial"/>
          <w:sz w:val="20"/>
          <w:szCs w:val="20"/>
          <w:lang w:eastAsia="en-US"/>
        </w:rPr>
        <w:t xml:space="preserve"> - u sklopu navedene aktivnosti planiraju se rashodi za usluge u skladu sa zaključenim ugovorom s izvoditeljem. Planirana sredstva za provođenje navedene aktivnosti iznose </w:t>
      </w:r>
      <w:r w:rsidR="00984FBE">
        <w:rPr>
          <w:rFonts w:ascii="Arial" w:eastAsia="Calibri" w:hAnsi="Arial" w:cs="Arial"/>
          <w:sz w:val="20"/>
          <w:szCs w:val="20"/>
          <w:lang w:eastAsia="en-US"/>
        </w:rPr>
        <w:t>10</w:t>
      </w:r>
      <w:r w:rsidRPr="00184A8E">
        <w:rPr>
          <w:rFonts w:ascii="Arial" w:eastAsia="Calibri" w:hAnsi="Arial" w:cs="Arial"/>
          <w:sz w:val="20"/>
          <w:szCs w:val="20"/>
          <w:lang w:eastAsia="en-US"/>
        </w:rPr>
        <w:t xml:space="preserve">.500 €. </w:t>
      </w:r>
      <w:r w:rsidRPr="00184A8E">
        <w:rPr>
          <w:rFonts w:ascii="Arial" w:eastAsia="Calibri" w:hAnsi="Arial" w:cs="Arial"/>
          <w:sz w:val="20"/>
          <w:szCs w:val="20"/>
        </w:rPr>
        <w:t>U siječnju 202</w:t>
      </w:r>
      <w:r w:rsidR="00984FBE">
        <w:rPr>
          <w:rFonts w:ascii="Arial" w:eastAsia="Calibri" w:hAnsi="Arial" w:cs="Arial"/>
          <w:sz w:val="20"/>
          <w:szCs w:val="20"/>
        </w:rPr>
        <w:t>5</w:t>
      </w:r>
      <w:r w:rsidRPr="00184A8E">
        <w:rPr>
          <w:rFonts w:ascii="Arial" w:eastAsia="Calibri" w:hAnsi="Arial" w:cs="Arial"/>
          <w:sz w:val="20"/>
          <w:szCs w:val="20"/>
        </w:rPr>
        <w:t xml:space="preserve">. ugovoreno je sakupljanje uginulih životinja s prometnica i ostalih javnih mjesta po pozivu komunalnih redara, PZC i građana te neškodljivo uklanjanje nusproizvoda životinjskog podrijetla u iznosu </w:t>
      </w:r>
      <w:r w:rsidR="00984FBE">
        <w:rPr>
          <w:rFonts w:ascii="Arial" w:eastAsia="Calibri" w:hAnsi="Arial" w:cs="Arial"/>
          <w:sz w:val="20"/>
          <w:szCs w:val="20"/>
        </w:rPr>
        <w:t>8.400</w:t>
      </w:r>
      <w:r w:rsidRPr="00184A8E">
        <w:rPr>
          <w:rFonts w:ascii="Arial" w:eastAsia="Calibri" w:hAnsi="Arial" w:cs="Arial"/>
          <w:sz w:val="20"/>
          <w:szCs w:val="20"/>
        </w:rPr>
        <w:t xml:space="preserve"> € što s porezom na dodanu vrijednost čini </w:t>
      </w:r>
      <w:r w:rsidR="00984FBE">
        <w:rPr>
          <w:rFonts w:ascii="Arial" w:eastAsia="Calibri" w:hAnsi="Arial" w:cs="Arial"/>
          <w:sz w:val="20"/>
          <w:szCs w:val="20"/>
        </w:rPr>
        <w:t>10.500</w:t>
      </w:r>
      <w:r w:rsidRPr="00184A8E">
        <w:rPr>
          <w:rFonts w:ascii="Arial" w:eastAsia="Calibri" w:hAnsi="Arial" w:cs="Arial"/>
          <w:sz w:val="20"/>
          <w:szCs w:val="20"/>
        </w:rPr>
        <w:t xml:space="preserve"> €. Rashodi su izvršeni u iznosu </w:t>
      </w:r>
      <w:r w:rsidR="00984FBE">
        <w:rPr>
          <w:rFonts w:ascii="Arial" w:eastAsia="Calibri" w:hAnsi="Arial" w:cs="Arial"/>
          <w:sz w:val="20"/>
          <w:szCs w:val="20"/>
        </w:rPr>
        <w:t>10.500</w:t>
      </w:r>
      <w:r w:rsidRPr="00184A8E">
        <w:rPr>
          <w:rFonts w:ascii="Arial" w:eastAsia="Calibri" w:hAnsi="Arial" w:cs="Arial"/>
          <w:sz w:val="20"/>
          <w:szCs w:val="20"/>
        </w:rPr>
        <w:t xml:space="preserve"> € na temelju ugovora. </w:t>
      </w:r>
    </w:p>
    <w:p w14:paraId="6BA40F61" w14:textId="77777777" w:rsidR="00184A8E" w:rsidRPr="00184A8E" w:rsidRDefault="00184A8E" w:rsidP="00184A8E">
      <w:pPr>
        <w:spacing w:after="0" w:line="240" w:lineRule="auto"/>
        <w:jc w:val="both"/>
        <w:rPr>
          <w:rFonts w:ascii="Arial" w:eastAsia="Calibri" w:hAnsi="Arial" w:cs="Arial"/>
          <w:b/>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3F2BAEF9"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FEEFC5E"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E546D00"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7E68472"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173F564"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899A6FD" w14:textId="58077C4B"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Polazna vrijednost 202</w:t>
            </w:r>
            <w:r w:rsidR="00984FBE">
              <w:rPr>
                <w:rFonts w:ascii="Arial" w:eastAsia="Calibri" w:hAnsi="Arial" w:cs="Arial"/>
                <w:sz w:val="18"/>
                <w:szCs w:val="18"/>
              </w:rPr>
              <w:t>4</w:t>
            </w:r>
            <w:r w:rsidRPr="00184A8E">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9A81173" w14:textId="3164351C"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984FBE">
              <w:rPr>
                <w:rFonts w:ascii="Arial" w:eastAsia="Calibri" w:hAnsi="Arial" w:cs="Arial"/>
                <w:sz w:val="18"/>
                <w:szCs w:val="18"/>
              </w:rPr>
              <w:t>5</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FB244F1" w14:textId="448D8C81"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Izvršeno 202</w:t>
            </w:r>
            <w:r w:rsidR="00984FBE">
              <w:rPr>
                <w:rFonts w:ascii="Arial" w:eastAsia="Calibri" w:hAnsi="Arial" w:cs="Arial"/>
                <w:sz w:val="18"/>
                <w:szCs w:val="18"/>
              </w:rPr>
              <w:t>5</w:t>
            </w:r>
            <w:r w:rsidRPr="00184A8E">
              <w:rPr>
                <w:rFonts w:ascii="Arial" w:eastAsia="Calibri" w:hAnsi="Arial" w:cs="Arial"/>
                <w:sz w:val="18"/>
                <w:szCs w:val="18"/>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50B950F" w14:textId="05845D8C"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984FBE">
              <w:rPr>
                <w:rFonts w:ascii="Arial" w:eastAsia="Calibri" w:hAnsi="Arial" w:cs="Arial"/>
                <w:sz w:val="18"/>
                <w:szCs w:val="18"/>
              </w:rPr>
              <w:t>6</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862538B" w14:textId="674FA972"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984FBE">
              <w:rPr>
                <w:rFonts w:ascii="Arial" w:eastAsia="Calibri" w:hAnsi="Arial" w:cs="Arial"/>
                <w:sz w:val="18"/>
                <w:szCs w:val="18"/>
              </w:rPr>
              <w:t>7</w:t>
            </w:r>
            <w:r w:rsidRPr="00184A8E">
              <w:rPr>
                <w:rFonts w:ascii="Arial" w:eastAsia="Calibri" w:hAnsi="Arial" w:cs="Arial"/>
                <w:sz w:val="18"/>
                <w:szCs w:val="18"/>
              </w:rPr>
              <w:t>.</w:t>
            </w:r>
          </w:p>
        </w:tc>
      </w:tr>
      <w:tr w:rsidR="00184A8E" w:rsidRPr="00184A8E" w14:paraId="2CBE18B4"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09E45822" w14:textId="77777777" w:rsidR="00184A8E" w:rsidRPr="00184A8E" w:rsidRDefault="00184A8E" w:rsidP="00184A8E">
            <w:pPr>
              <w:rPr>
                <w:rFonts w:ascii="Arial" w:hAnsi="Arial" w:cs="Arial"/>
                <w:sz w:val="18"/>
                <w:szCs w:val="18"/>
              </w:rPr>
            </w:pPr>
            <w:r w:rsidRPr="00184A8E">
              <w:rPr>
                <w:rFonts w:ascii="Arial" w:hAnsi="Arial" w:cs="Arial"/>
                <w:sz w:val="18"/>
                <w:szCs w:val="18"/>
              </w:rPr>
              <w:t>Izvršavanje usluge sakupljanja lešina s javnih površina sukladno zaključenom ugovoru</w:t>
            </w:r>
          </w:p>
        </w:tc>
        <w:tc>
          <w:tcPr>
            <w:tcW w:w="3402" w:type="dxa"/>
            <w:tcBorders>
              <w:top w:val="single" w:sz="4" w:space="0" w:color="auto"/>
              <w:left w:val="single" w:sz="4" w:space="0" w:color="auto"/>
              <w:bottom w:val="single" w:sz="4" w:space="0" w:color="auto"/>
              <w:right w:val="single" w:sz="4" w:space="0" w:color="auto"/>
            </w:tcBorders>
            <w:vAlign w:val="center"/>
          </w:tcPr>
          <w:p w14:paraId="1815C361" w14:textId="77777777" w:rsidR="00184A8E" w:rsidRPr="00184A8E" w:rsidRDefault="00184A8E" w:rsidP="00184A8E">
            <w:pPr>
              <w:autoSpaceDE w:val="0"/>
              <w:autoSpaceDN w:val="0"/>
              <w:adjustRightInd w:val="0"/>
              <w:rPr>
                <w:rFonts w:ascii="Arial" w:hAnsi="Arial" w:cs="Arial"/>
                <w:sz w:val="18"/>
                <w:szCs w:val="18"/>
              </w:rPr>
            </w:pPr>
            <w:r w:rsidRPr="00184A8E">
              <w:rPr>
                <w:rFonts w:ascii="Arial" w:hAnsi="Arial" w:cs="Arial"/>
                <w:sz w:val="18"/>
                <w:szCs w:val="18"/>
              </w:rPr>
              <w:t>Udio izvršenja planiranih sredstava za uslugu sakupljanja lešina</w:t>
            </w:r>
          </w:p>
        </w:tc>
        <w:tc>
          <w:tcPr>
            <w:tcW w:w="958" w:type="dxa"/>
            <w:tcBorders>
              <w:top w:val="single" w:sz="4" w:space="0" w:color="auto"/>
              <w:left w:val="single" w:sz="4" w:space="0" w:color="auto"/>
              <w:bottom w:val="single" w:sz="4" w:space="0" w:color="auto"/>
              <w:right w:val="single" w:sz="4" w:space="0" w:color="auto"/>
            </w:tcBorders>
            <w:vAlign w:val="center"/>
          </w:tcPr>
          <w:p w14:paraId="15F52E77"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A0456FB"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389CD87"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89E6EB7"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610A1E92"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5C43BACD"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2D623CAA"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r>
    </w:tbl>
    <w:p w14:paraId="13C68E28"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43484310" w14:textId="49C4426B"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Calibri" w:hAnsi="Arial" w:cs="Arial"/>
          <w:b/>
          <w:sz w:val="20"/>
          <w:szCs w:val="20"/>
          <w:lang w:eastAsia="en-US"/>
        </w:rPr>
        <w:t xml:space="preserve">3. A209903: Aktivnosti iz područja zaštite životinja i skrbi o životinjama - </w:t>
      </w:r>
      <w:r w:rsidRPr="00184A8E">
        <w:rPr>
          <w:rFonts w:ascii="Arial" w:eastAsia="Calibri" w:hAnsi="Arial" w:cs="Arial"/>
          <w:sz w:val="20"/>
          <w:szCs w:val="20"/>
          <w:lang w:eastAsia="en-US"/>
        </w:rPr>
        <w:t xml:space="preserve">Proračunska sredstva planirana su u iznosu </w:t>
      </w:r>
      <w:r w:rsidR="00984FBE">
        <w:rPr>
          <w:rFonts w:ascii="Arial" w:eastAsia="Calibri" w:hAnsi="Arial" w:cs="Arial"/>
          <w:sz w:val="20"/>
          <w:szCs w:val="20"/>
          <w:lang w:eastAsia="en-US"/>
        </w:rPr>
        <w:t>33.250</w:t>
      </w:r>
      <w:r w:rsidRPr="00184A8E">
        <w:rPr>
          <w:rFonts w:ascii="Arial" w:eastAsia="Calibri" w:hAnsi="Arial" w:cs="Arial"/>
          <w:sz w:val="20"/>
          <w:szCs w:val="20"/>
          <w:lang w:eastAsia="en-US"/>
        </w:rPr>
        <w:t xml:space="preserve"> €. U sklopu navedene aktivnosti planiraju se rashodi za </w:t>
      </w:r>
      <w:r w:rsidRPr="00184A8E">
        <w:rPr>
          <w:rFonts w:ascii="Arial" w:eastAsia="Times New Roman" w:hAnsi="Arial" w:cs="Arial"/>
          <w:sz w:val="20"/>
          <w:szCs w:val="20"/>
          <w:lang w:eastAsia="en-US"/>
        </w:rPr>
        <w:t xml:space="preserve">obveznu službu za prikupljanje izgubljenih i napuštenih životinja, te skrb za takve životinje u skladu s odredbama Zakona o zaštiti životinja (Narodne novine 102/17, 32/19, 78/24) i drugim provedbenim propisima (sterilizacija mačaka i slično). </w:t>
      </w:r>
    </w:p>
    <w:p w14:paraId="46418EEF" w14:textId="5D00AE8F"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Times New Roman" w:hAnsi="Arial" w:cs="Arial"/>
          <w:sz w:val="20"/>
          <w:szCs w:val="20"/>
          <w:lang w:eastAsia="en-US"/>
        </w:rPr>
        <w:t xml:space="preserve">Rashodi su izvršeni u iznosu </w:t>
      </w:r>
      <w:r w:rsidR="00984FBE">
        <w:rPr>
          <w:rFonts w:ascii="Arial" w:eastAsia="Times New Roman" w:hAnsi="Arial" w:cs="Arial"/>
          <w:sz w:val="20"/>
          <w:szCs w:val="20"/>
          <w:lang w:eastAsia="en-US"/>
        </w:rPr>
        <w:t>12.955,31</w:t>
      </w:r>
      <w:r w:rsidRPr="00184A8E">
        <w:rPr>
          <w:rFonts w:ascii="Arial" w:eastAsia="Times New Roman" w:hAnsi="Arial" w:cs="Arial"/>
          <w:sz w:val="20"/>
          <w:szCs w:val="20"/>
          <w:lang w:eastAsia="en-US"/>
        </w:rPr>
        <w:t xml:space="preserve"> € i ovi rashodi se odnose na troškove sakupljanja i zbrinjavanja napuštenih ili izbjeglih životinja u iznosu </w:t>
      </w:r>
      <w:r w:rsidR="00984FBE">
        <w:rPr>
          <w:rFonts w:ascii="Arial" w:eastAsia="Times New Roman" w:hAnsi="Arial" w:cs="Arial"/>
          <w:sz w:val="20"/>
          <w:szCs w:val="20"/>
          <w:lang w:eastAsia="en-US"/>
        </w:rPr>
        <w:t>12.345,31</w:t>
      </w:r>
      <w:r w:rsidRPr="00184A8E">
        <w:rPr>
          <w:rFonts w:ascii="Arial" w:eastAsia="Times New Roman" w:hAnsi="Arial" w:cs="Arial"/>
          <w:sz w:val="20"/>
          <w:szCs w:val="20"/>
          <w:lang w:eastAsia="en-US"/>
        </w:rPr>
        <w:t xml:space="preserve"> €, te troškove sterilizacije mačaka u iznosu </w:t>
      </w:r>
      <w:r w:rsidR="00984FBE">
        <w:rPr>
          <w:rFonts w:ascii="Arial" w:eastAsia="Times New Roman" w:hAnsi="Arial" w:cs="Arial"/>
          <w:sz w:val="20"/>
          <w:szCs w:val="20"/>
          <w:lang w:eastAsia="en-US"/>
        </w:rPr>
        <w:t>610</w:t>
      </w:r>
      <w:r w:rsidRPr="00184A8E">
        <w:rPr>
          <w:rFonts w:ascii="Arial" w:eastAsia="Times New Roman" w:hAnsi="Arial" w:cs="Arial"/>
          <w:sz w:val="20"/>
          <w:szCs w:val="20"/>
          <w:lang w:eastAsia="en-US"/>
        </w:rPr>
        <w:t xml:space="preserve"> €.</w:t>
      </w:r>
    </w:p>
    <w:p w14:paraId="5C1543A9" w14:textId="77777777" w:rsidR="00184A8E" w:rsidRPr="00184A8E" w:rsidRDefault="00184A8E" w:rsidP="00184A8E">
      <w:pPr>
        <w:spacing w:after="0" w:line="240" w:lineRule="auto"/>
        <w:jc w:val="both"/>
        <w:rPr>
          <w:rFonts w:ascii="Arial" w:eastAsia="Calibri" w:hAnsi="Arial" w:cs="Arial"/>
          <w:sz w:val="20"/>
          <w:szCs w:val="20"/>
          <w:lang w:eastAsia="en-US"/>
        </w:rPr>
      </w:pPr>
    </w:p>
    <w:p w14:paraId="36D18642" w14:textId="77777777" w:rsidR="00184A8E" w:rsidRPr="00184A8E" w:rsidRDefault="00184A8E" w:rsidP="00184A8E">
      <w:pPr>
        <w:autoSpaceDE w:val="0"/>
        <w:autoSpaceDN w:val="0"/>
        <w:adjustRightInd w:val="0"/>
        <w:spacing w:after="0" w:line="240" w:lineRule="auto"/>
        <w:jc w:val="both"/>
        <w:rPr>
          <w:rFonts w:ascii="Arial" w:hAnsi="Arial" w:cs="Arial"/>
          <w:sz w:val="20"/>
          <w:szCs w:val="20"/>
        </w:rPr>
      </w:pPr>
      <w:r w:rsidRPr="00184A8E">
        <w:rPr>
          <w:rFonts w:ascii="Arial" w:hAnsi="Arial" w:cs="Arial"/>
          <w:sz w:val="20"/>
          <w:szCs w:val="20"/>
        </w:rPr>
        <w:t xml:space="preserve">U siječnju 2024. je s Javnom ustanovom „Sklonište za nezbrinute životinje Dubrovnik“ zaključen ugovor o poslovnoj suradnji glede sakupljanja i zbrinjavanja napuštenih ili izbjeglih životinja. Ugovorom su uređenja međusobna prava i obveze ugovorih strana u svrhu sakupljanja i zbrinjavanja napuštenih ili izgubljenih životinja, a koje su nađene na javnoj površini Općine Konavle, a sve u svrhu očuvanja istih, održavanja čistoće, prevencije sigurnosti u prometu, smanjenju nelagode građana, sprečavanju ugriza pasa i prijenosa zaraze. Obveza izvršitelja je: zaprimanje izjave o napuštenim i izgubljenim životinjama, sakupljanje i prijevoz do skloništa u roku 2 sata od dojave (svojim vozilom), smještaj izgubljenih i napuštenih životinja, veterinarsko-zdravstvenu zaštitu životinja, odnosno odmah životinji pružiti klinički pregled, po potrebi cijepljenje životinja protiv bjesnoće, označavanje pronađenih neoznačenih pasa u roku od 10 dana od dolaska u sklonište odnosno označavanje i registraciju mačaka, mikročipiranje i kastracija životinja, trajna sterilizacija pronađenih pasa i mačaka (osim ako je životinja označena pa je moguće pronaći vlasnika i vratiti životinju), te pružiti prehranu, smještaj do udomljavanja, kao i sve druge radnje sukladno odredbama Zakona o zaštiti životinja. </w:t>
      </w:r>
    </w:p>
    <w:p w14:paraId="1F185FFB" w14:textId="77777777" w:rsidR="00184A8E" w:rsidRPr="00184A8E" w:rsidRDefault="00184A8E" w:rsidP="00184A8E">
      <w:pPr>
        <w:autoSpaceDE w:val="0"/>
        <w:autoSpaceDN w:val="0"/>
        <w:adjustRightInd w:val="0"/>
        <w:spacing w:after="0" w:line="240" w:lineRule="auto"/>
        <w:jc w:val="both"/>
        <w:rPr>
          <w:rFonts w:ascii="Arial" w:hAnsi="Arial" w:cs="Arial"/>
          <w:sz w:val="20"/>
          <w:szCs w:val="20"/>
        </w:rPr>
      </w:pPr>
      <w:r w:rsidRPr="00184A8E">
        <w:rPr>
          <w:rFonts w:ascii="Arial" w:hAnsi="Arial" w:cs="Arial"/>
          <w:sz w:val="20"/>
          <w:szCs w:val="20"/>
        </w:rPr>
        <w:t>Naknada za pružene usluge se sastoji od:</w:t>
      </w:r>
    </w:p>
    <w:p w14:paraId="0526D709" w14:textId="77777777" w:rsidR="00184A8E" w:rsidRPr="00184A8E" w:rsidRDefault="00184A8E">
      <w:pPr>
        <w:numPr>
          <w:ilvl w:val="0"/>
          <w:numId w:val="3"/>
        </w:num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paušalne naknade (za pripravnost izvršitelja za potrebe pružanja ugovorenih usluga i za održavanje i rad skloništa) i to 2.000 € godišnje (do 2 psa mjesečno odnosno 24 psa godišnje) odnosno u iznosu 4.000 € godišnje (ako je potreba Općine više od 2 psa mjesečno odnosno više od 24 psa godišnje) (tijekom godine se obračunava manja paušalna naknada, a na kraju poslovne godine se obračunava razlika ukoliko je veći broj zbrinutih pasa), te</w:t>
      </w:r>
    </w:p>
    <w:p w14:paraId="3E14263F" w14:textId="77777777" w:rsidR="00184A8E" w:rsidRPr="00184A8E" w:rsidRDefault="00184A8E">
      <w:pPr>
        <w:numPr>
          <w:ilvl w:val="0"/>
          <w:numId w:val="3"/>
        </w:num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naknada koja se plaća za svaku daljnju uslugu izvršitelja (svako pružanje usluge uključuje poslove hvatanja i zbrinjavanja životinje po jednom terenskom djelovanju, a naknada se plaća u iznosu 450 € po svakoj uhvaćenoj i zbrinutoj životinji, dok se općina obvezuje posebno plaćati i veterinarsko-zdravstvenu zaštitu koja nije uključena u obvezu izvršitelja sve sukladno cijeni koju utvrdi veterinarska ambulanta koja pruži pomoć životinji,</w:t>
      </w:r>
    </w:p>
    <w:p w14:paraId="260C1EA6" w14:textId="77777777" w:rsidR="00184A8E" w:rsidRPr="00184A8E" w:rsidRDefault="00184A8E">
      <w:pPr>
        <w:numPr>
          <w:ilvl w:val="0"/>
          <w:numId w:val="3"/>
        </w:num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naknada za sterilizaciju slobodnoživućih mačaka (naknada uključuje rad djelatnika na terenu 50 € i trošak dolaska u iznosu 1 €/km ,te naknada za prijevoz na povratak mačaka na lokaciju preuzimanja, dok Općina kao naručitelj sama snosi troškove veterinarskih usluga u veterinarskoj ambulanti u kojoj su usluge izvršene),</w:t>
      </w:r>
    </w:p>
    <w:p w14:paraId="3A007F07" w14:textId="77777777" w:rsidR="00184A8E" w:rsidRPr="00184A8E" w:rsidRDefault="00184A8E">
      <w:pPr>
        <w:numPr>
          <w:ilvl w:val="0"/>
          <w:numId w:val="3"/>
        </w:num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naknada za putne troškove (1€/km po dolasku).</w:t>
      </w:r>
    </w:p>
    <w:p w14:paraId="4015F647" w14:textId="77777777" w:rsidR="00184A8E" w:rsidRPr="00184A8E" w:rsidRDefault="00184A8E" w:rsidP="00184A8E">
      <w:pPr>
        <w:autoSpaceDE w:val="0"/>
        <w:autoSpaceDN w:val="0"/>
        <w:adjustRightInd w:val="0"/>
        <w:spacing w:after="0" w:line="240" w:lineRule="auto"/>
        <w:rPr>
          <w:rFonts w:ascii="Arial" w:hAnsi="Arial" w:cs="Arial"/>
          <w:sz w:val="20"/>
          <w:szCs w:val="20"/>
        </w:rPr>
      </w:pPr>
      <w:r w:rsidRPr="00984FBE">
        <w:rPr>
          <w:rFonts w:ascii="Arial" w:hAnsi="Arial" w:cs="Arial"/>
          <w:b/>
          <w:bCs/>
          <w:sz w:val="20"/>
          <w:szCs w:val="20"/>
        </w:rPr>
        <w:t>Ugovor je zaključen na neodređeno vrijeme uz otkazni rok od 30 dana.</w:t>
      </w:r>
      <w:r w:rsidRPr="00184A8E">
        <w:rPr>
          <w:rFonts w:ascii="Arial" w:hAnsi="Arial" w:cs="Arial"/>
          <w:sz w:val="20"/>
          <w:szCs w:val="20"/>
        </w:rPr>
        <w:t xml:space="preserve"> Računi do konca rujna 2024. godine su ispostavljani bez poreza na dodanu vrijednost, dok su nakon toga računi za usluge iskazani uvećano za porez na dodanu vrijednost.</w:t>
      </w:r>
    </w:p>
    <w:p w14:paraId="7E09CAB2" w14:textId="77777777" w:rsidR="00184A8E" w:rsidRPr="00184A8E" w:rsidRDefault="00184A8E" w:rsidP="00984FBE">
      <w:pPr>
        <w:autoSpaceDE w:val="0"/>
        <w:autoSpaceDN w:val="0"/>
        <w:adjustRightInd w:val="0"/>
        <w:spacing w:after="0" w:line="240" w:lineRule="auto"/>
        <w:ind w:left="709"/>
        <w:jc w:val="both"/>
        <w:rPr>
          <w:rFonts w:ascii="Arial" w:eastAsia="Times New Roman" w:hAnsi="Arial" w:cs="Arial"/>
          <w:sz w:val="20"/>
          <w:szCs w:val="20"/>
          <w:lang w:eastAsia="en-US"/>
        </w:rPr>
      </w:pPr>
      <w:r w:rsidRPr="00984FBE">
        <w:rPr>
          <w:rFonts w:ascii="Arial" w:eastAsia="Times New Roman" w:hAnsi="Arial" w:cs="Arial"/>
          <w:sz w:val="18"/>
          <w:szCs w:val="18"/>
          <w:lang w:eastAsia="en-US"/>
        </w:rPr>
        <w:t>Prema ispostavljenim računima, sveukupno tijekom 2024. godine preuzeto je 43 životinje (naknada po životinji 450 € bez PDV-a odnosno 562,50 € s PDV-om, a sveukupno u 2024. godini naknada 20.137,50). Paušalna godišnja naknada, prema broju preuzetih životinja za 2024. godinu je plaćena u iznosu 4.500 € (prva naknada bez PDV-a, a konačan obračun s PDV-om), dok su veterinarski troškovi operacije u Splitu obračunati u iznosu 1.150,24 €, a putni troškovi dolaska na teren iznose 1.638,50 €.</w:t>
      </w:r>
    </w:p>
    <w:p w14:paraId="58B216CF" w14:textId="77777777" w:rsidR="00184A8E" w:rsidRPr="004D7663" w:rsidRDefault="00184A8E" w:rsidP="00184A8E">
      <w:pPr>
        <w:autoSpaceDE w:val="0"/>
        <w:autoSpaceDN w:val="0"/>
        <w:adjustRightInd w:val="0"/>
        <w:spacing w:after="0" w:line="240" w:lineRule="auto"/>
        <w:jc w:val="both"/>
        <w:rPr>
          <w:rFonts w:ascii="Arial" w:eastAsia="Times New Roman" w:hAnsi="Arial" w:cs="Arial"/>
          <w:sz w:val="14"/>
          <w:szCs w:val="14"/>
          <w:lang w:eastAsia="en-US"/>
        </w:rPr>
      </w:pPr>
    </w:p>
    <w:p w14:paraId="5BCFE48D" w14:textId="3ECA29DD" w:rsidR="00984FBE" w:rsidRPr="00984FBE" w:rsidRDefault="00984FBE" w:rsidP="00984FBE">
      <w:pPr>
        <w:autoSpaceDE w:val="0"/>
        <w:autoSpaceDN w:val="0"/>
        <w:adjustRightInd w:val="0"/>
        <w:spacing w:after="0" w:line="240" w:lineRule="auto"/>
        <w:jc w:val="both"/>
        <w:rPr>
          <w:rFonts w:ascii="Arial" w:eastAsia="Times New Roman" w:hAnsi="Arial" w:cs="Arial"/>
          <w:lang w:eastAsia="en-US"/>
        </w:rPr>
      </w:pPr>
      <w:r w:rsidRPr="00984FBE">
        <w:rPr>
          <w:rFonts w:ascii="Arial" w:eastAsia="Times New Roman" w:hAnsi="Arial" w:cs="Arial"/>
          <w:sz w:val="20"/>
          <w:szCs w:val="20"/>
          <w:lang w:eastAsia="en-US"/>
        </w:rPr>
        <w:t>Prema ispostavljenim računima, sveukupno tijekom 202</w:t>
      </w:r>
      <w:r>
        <w:rPr>
          <w:rFonts w:ascii="Arial" w:eastAsia="Times New Roman" w:hAnsi="Arial" w:cs="Arial"/>
          <w:sz w:val="20"/>
          <w:szCs w:val="20"/>
          <w:lang w:eastAsia="en-US"/>
        </w:rPr>
        <w:t>5</w:t>
      </w:r>
      <w:r w:rsidRPr="00984FBE">
        <w:rPr>
          <w:rFonts w:ascii="Arial" w:eastAsia="Times New Roman" w:hAnsi="Arial" w:cs="Arial"/>
          <w:sz w:val="20"/>
          <w:szCs w:val="20"/>
          <w:lang w:eastAsia="en-US"/>
        </w:rPr>
        <w:t xml:space="preserve">. godine preuzeto je </w:t>
      </w:r>
      <w:r w:rsidR="00AA653A">
        <w:rPr>
          <w:rFonts w:ascii="Arial" w:eastAsia="Times New Roman" w:hAnsi="Arial" w:cs="Arial"/>
          <w:sz w:val="20"/>
          <w:szCs w:val="20"/>
          <w:lang w:eastAsia="en-US"/>
        </w:rPr>
        <w:t>15</w:t>
      </w:r>
      <w:r w:rsidRPr="00984FBE">
        <w:rPr>
          <w:rFonts w:ascii="Arial" w:eastAsia="Times New Roman" w:hAnsi="Arial" w:cs="Arial"/>
          <w:sz w:val="20"/>
          <w:szCs w:val="20"/>
          <w:lang w:eastAsia="en-US"/>
        </w:rPr>
        <w:t xml:space="preserve"> životinje (naknada po životinji 450 € bez PDV-a odnosno 562,50 € s PDV-om, a sveukupno u 202</w:t>
      </w:r>
      <w:r w:rsidR="004D7663">
        <w:rPr>
          <w:rFonts w:ascii="Arial" w:eastAsia="Times New Roman" w:hAnsi="Arial" w:cs="Arial"/>
          <w:sz w:val="20"/>
          <w:szCs w:val="20"/>
          <w:lang w:eastAsia="en-US"/>
        </w:rPr>
        <w:t>5</w:t>
      </w:r>
      <w:r w:rsidRPr="00984FBE">
        <w:rPr>
          <w:rFonts w:ascii="Arial" w:eastAsia="Times New Roman" w:hAnsi="Arial" w:cs="Arial"/>
          <w:sz w:val="20"/>
          <w:szCs w:val="20"/>
          <w:lang w:eastAsia="en-US"/>
        </w:rPr>
        <w:t xml:space="preserve">. godini naknada </w:t>
      </w:r>
      <w:r w:rsidR="004D7663">
        <w:rPr>
          <w:rFonts w:ascii="Arial" w:eastAsia="Times New Roman" w:hAnsi="Arial" w:cs="Arial"/>
          <w:sz w:val="20"/>
          <w:szCs w:val="20"/>
          <w:lang w:eastAsia="en-US"/>
        </w:rPr>
        <w:t>8.437,50</w:t>
      </w:r>
      <w:r w:rsidRPr="00984FBE">
        <w:rPr>
          <w:rFonts w:ascii="Arial" w:eastAsia="Times New Roman" w:hAnsi="Arial" w:cs="Arial"/>
          <w:sz w:val="20"/>
          <w:szCs w:val="20"/>
          <w:lang w:eastAsia="en-US"/>
        </w:rPr>
        <w:t>). Paušalna godišnja naknada, prema broju preuzetih životinja za 202</w:t>
      </w:r>
      <w:r w:rsidR="00AA653A">
        <w:rPr>
          <w:rFonts w:ascii="Arial" w:eastAsia="Times New Roman" w:hAnsi="Arial" w:cs="Arial"/>
          <w:sz w:val="20"/>
          <w:szCs w:val="20"/>
          <w:lang w:eastAsia="en-US"/>
        </w:rPr>
        <w:t>5</w:t>
      </w:r>
      <w:r w:rsidRPr="00984FBE">
        <w:rPr>
          <w:rFonts w:ascii="Arial" w:eastAsia="Times New Roman" w:hAnsi="Arial" w:cs="Arial"/>
          <w:sz w:val="20"/>
          <w:szCs w:val="20"/>
          <w:lang w:eastAsia="en-US"/>
        </w:rPr>
        <w:t xml:space="preserve">. godinu je plaćena u iznosu </w:t>
      </w:r>
      <w:r w:rsidR="00AA653A">
        <w:rPr>
          <w:rFonts w:ascii="Arial" w:eastAsia="Times New Roman" w:hAnsi="Arial" w:cs="Arial"/>
          <w:sz w:val="20"/>
          <w:szCs w:val="20"/>
          <w:lang w:eastAsia="en-US"/>
        </w:rPr>
        <w:t>2</w:t>
      </w:r>
      <w:r w:rsidRPr="00984FBE">
        <w:rPr>
          <w:rFonts w:ascii="Arial" w:eastAsia="Times New Roman" w:hAnsi="Arial" w:cs="Arial"/>
          <w:sz w:val="20"/>
          <w:szCs w:val="20"/>
          <w:lang w:eastAsia="en-US"/>
        </w:rPr>
        <w:t xml:space="preserve">.500 €, dok su veterinarski troškovi obračunati u iznosu </w:t>
      </w:r>
      <w:r w:rsidR="004D7663">
        <w:rPr>
          <w:rFonts w:ascii="Arial" w:eastAsia="Times New Roman" w:hAnsi="Arial" w:cs="Arial"/>
          <w:sz w:val="20"/>
          <w:szCs w:val="20"/>
          <w:lang w:eastAsia="en-US"/>
        </w:rPr>
        <w:t>790,31</w:t>
      </w:r>
      <w:r w:rsidRPr="00984FBE">
        <w:rPr>
          <w:rFonts w:ascii="Arial" w:eastAsia="Times New Roman" w:hAnsi="Arial" w:cs="Arial"/>
          <w:sz w:val="20"/>
          <w:szCs w:val="20"/>
          <w:lang w:eastAsia="en-US"/>
        </w:rPr>
        <w:t xml:space="preserve"> €, a putni troškovi dolaska na teren iznose </w:t>
      </w:r>
      <w:r w:rsidR="004D7663">
        <w:rPr>
          <w:rFonts w:ascii="Arial" w:eastAsia="Times New Roman" w:hAnsi="Arial" w:cs="Arial"/>
          <w:sz w:val="20"/>
          <w:szCs w:val="20"/>
          <w:lang w:eastAsia="en-US"/>
        </w:rPr>
        <w:t>617,50</w:t>
      </w:r>
      <w:r w:rsidRPr="00984FBE">
        <w:rPr>
          <w:rFonts w:ascii="Arial" w:eastAsia="Times New Roman" w:hAnsi="Arial" w:cs="Arial"/>
          <w:sz w:val="20"/>
          <w:szCs w:val="20"/>
          <w:lang w:eastAsia="en-US"/>
        </w:rPr>
        <w:t xml:space="preserve"> €.</w:t>
      </w:r>
    </w:p>
    <w:p w14:paraId="30508264" w14:textId="77777777" w:rsidR="00984FBE" w:rsidRPr="004D7663" w:rsidRDefault="00984FBE" w:rsidP="00184A8E">
      <w:pPr>
        <w:autoSpaceDE w:val="0"/>
        <w:autoSpaceDN w:val="0"/>
        <w:adjustRightInd w:val="0"/>
        <w:spacing w:after="0" w:line="240" w:lineRule="auto"/>
        <w:jc w:val="both"/>
        <w:rPr>
          <w:rFonts w:ascii="Arial" w:eastAsia="Times New Roman" w:hAnsi="Arial" w:cs="Arial"/>
          <w:sz w:val="14"/>
          <w:szCs w:val="14"/>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4D7663" w:rsidRPr="00C66FCF" w14:paraId="0F707071" w14:textId="77777777" w:rsidTr="00C76A9D">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D4B435C" w14:textId="77777777" w:rsidR="004D7663" w:rsidRPr="00C66FCF" w:rsidRDefault="004D7663" w:rsidP="004D7663">
            <w:pPr>
              <w:jc w:val="center"/>
              <w:rPr>
                <w:rFonts w:ascii="Arial" w:eastAsia="Calibri" w:hAnsi="Arial" w:cs="Arial"/>
                <w:sz w:val="18"/>
                <w:szCs w:val="18"/>
              </w:rPr>
            </w:pPr>
            <w:r w:rsidRPr="00C66FCF">
              <w:rPr>
                <w:rFonts w:ascii="Arial" w:eastAsia="Calibri" w:hAnsi="Arial" w:cs="Arial"/>
                <w:sz w:val="18"/>
                <w:szCs w:val="18"/>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B64056D" w14:textId="77777777" w:rsidR="004D7663" w:rsidRPr="00C66FCF" w:rsidRDefault="004D7663" w:rsidP="004D7663">
            <w:pPr>
              <w:jc w:val="center"/>
              <w:rPr>
                <w:rFonts w:ascii="Arial" w:eastAsia="Calibri" w:hAnsi="Arial" w:cs="Arial"/>
                <w:sz w:val="18"/>
                <w:szCs w:val="18"/>
              </w:rPr>
            </w:pPr>
            <w:r w:rsidRPr="00C66FCF">
              <w:rPr>
                <w:rFonts w:ascii="Arial" w:eastAsia="Calibri" w:hAnsi="Arial" w:cs="Arial"/>
                <w:sz w:val="18"/>
                <w:szCs w:val="18"/>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730FABE" w14:textId="77777777" w:rsidR="004D7663" w:rsidRPr="00C66FCF" w:rsidRDefault="004D7663" w:rsidP="004D7663">
            <w:pPr>
              <w:jc w:val="center"/>
              <w:rPr>
                <w:rFonts w:ascii="Arial" w:eastAsia="Calibri" w:hAnsi="Arial" w:cs="Arial"/>
                <w:sz w:val="18"/>
                <w:szCs w:val="18"/>
              </w:rPr>
            </w:pPr>
            <w:r w:rsidRPr="00C66FCF">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D102431" w14:textId="77777777" w:rsidR="004D7663" w:rsidRPr="00C66FCF" w:rsidRDefault="004D7663" w:rsidP="004D7663">
            <w:pPr>
              <w:jc w:val="center"/>
              <w:rPr>
                <w:rFonts w:ascii="Arial" w:eastAsia="Calibri" w:hAnsi="Arial" w:cs="Arial"/>
                <w:sz w:val="18"/>
                <w:szCs w:val="18"/>
              </w:rPr>
            </w:pPr>
            <w:r w:rsidRPr="00C66FCF">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F492520" w14:textId="17E2DEEE" w:rsidR="004D7663" w:rsidRPr="00C66FCF" w:rsidRDefault="004D7663" w:rsidP="004D7663">
            <w:pPr>
              <w:jc w:val="center"/>
              <w:rPr>
                <w:rFonts w:ascii="Arial" w:eastAsia="Calibri" w:hAnsi="Arial" w:cs="Arial"/>
                <w:sz w:val="18"/>
                <w:szCs w:val="18"/>
              </w:rPr>
            </w:pPr>
            <w:r w:rsidRPr="00C66FCF">
              <w:rPr>
                <w:rFonts w:ascii="Arial" w:eastAsia="Calibri" w:hAnsi="Arial" w:cs="Arial"/>
                <w:sz w:val="18"/>
                <w:szCs w:val="18"/>
              </w:rPr>
              <w:t>Polazna vrijednost 202</w:t>
            </w:r>
            <w:r>
              <w:rPr>
                <w:rFonts w:ascii="Arial" w:eastAsia="Calibri" w:hAnsi="Arial" w:cs="Arial"/>
                <w:sz w:val="18"/>
                <w:szCs w:val="18"/>
              </w:rPr>
              <w:t>4</w:t>
            </w:r>
            <w:r w:rsidRPr="00C66FCF">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421EE62" w14:textId="461A1F10" w:rsidR="004D7663" w:rsidRPr="00C66FCF" w:rsidRDefault="004D7663" w:rsidP="004D7663">
            <w:pPr>
              <w:jc w:val="center"/>
              <w:rPr>
                <w:rFonts w:ascii="Arial" w:eastAsia="Calibri" w:hAnsi="Arial" w:cs="Arial"/>
                <w:sz w:val="18"/>
                <w:szCs w:val="18"/>
              </w:rPr>
            </w:pPr>
            <w:r w:rsidRPr="00184A8E">
              <w:rPr>
                <w:rFonts w:ascii="Arial" w:eastAsia="Calibri" w:hAnsi="Arial" w:cs="Arial"/>
                <w:sz w:val="18"/>
                <w:szCs w:val="18"/>
              </w:rPr>
              <w:t>Ciljana vrijednost 202</w:t>
            </w:r>
            <w:r>
              <w:rPr>
                <w:rFonts w:ascii="Arial" w:eastAsia="Calibri" w:hAnsi="Arial" w:cs="Arial"/>
                <w:sz w:val="18"/>
                <w:szCs w:val="18"/>
              </w:rPr>
              <w:t>5</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4C2CA18" w14:textId="3DCC52E4" w:rsidR="004D7663" w:rsidRPr="00C66FCF" w:rsidRDefault="004D7663" w:rsidP="004D7663">
            <w:pPr>
              <w:jc w:val="center"/>
              <w:rPr>
                <w:rFonts w:ascii="Arial" w:eastAsia="Calibri" w:hAnsi="Arial" w:cs="Arial"/>
                <w:sz w:val="18"/>
                <w:szCs w:val="18"/>
              </w:rPr>
            </w:pPr>
            <w:r>
              <w:rPr>
                <w:rFonts w:ascii="Arial" w:eastAsia="Calibri" w:hAnsi="Arial" w:cs="Arial"/>
                <w:sz w:val="18"/>
                <w:szCs w:val="18"/>
              </w:rPr>
              <w:t>Izvršeno</w:t>
            </w:r>
            <w:r w:rsidRPr="00C66FCF">
              <w:rPr>
                <w:rFonts w:ascii="Arial" w:eastAsia="Calibri" w:hAnsi="Arial" w:cs="Arial"/>
                <w:sz w:val="18"/>
                <w:szCs w:val="18"/>
              </w:rPr>
              <w:t xml:space="preserve"> 2025.</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FCFBFCD" w14:textId="77777777" w:rsidR="004D7663" w:rsidRPr="00C66FCF" w:rsidRDefault="004D7663" w:rsidP="004D7663">
            <w:pPr>
              <w:jc w:val="center"/>
              <w:rPr>
                <w:rFonts w:ascii="Arial" w:eastAsia="Calibri" w:hAnsi="Arial" w:cs="Arial"/>
                <w:sz w:val="18"/>
                <w:szCs w:val="18"/>
              </w:rPr>
            </w:pPr>
            <w:r w:rsidRPr="00C66FCF">
              <w:rPr>
                <w:rFonts w:ascii="Arial" w:eastAsia="Calibri" w:hAnsi="Arial" w:cs="Arial"/>
                <w:sz w:val="18"/>
                <w:szCs w:val="18"/>
              </w:rPr>
              <w:t>Ciljana vrijednost 2026.</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FFE0772" w14:textId="77777777" w:rsidR="004D7663" w:rsidRPr="00C66FCF" w:rsidRDefault="004D7663" w:rsidP="004D7663">
            <w:pPr>
              <w:jc w:val="center"/>
              <w:rPr>
                <w:rFonts w:ascii="Arial" w:eastAsia="Calibri" w:hAnsi="Arial" w:cs="Arial"/>
                <w:sz w:val="18"/>
                <w:szCs w:val="18"/>
              </w:rPr>
            </w:pPr>
            <w:r w:rsidRPr="00C66FCF">
              <w:rPr>
                <w:rFonts w:ascii="Arial" w:eastAsia="Calibri" w:hAnsi="Arial" w:cs="Arial"/>
                <w:sz w:val="18"/>
                <w:szCs w:val="18"/>
              </w:rPr>
              <w:t>Ciljana vrijednost 2027.</w:t>
            </w:r>
          </w:p>
        </w:tc>
      </w:tr>
      <w:tr w:rsidR="004D7663" w:rsidRPr="00184A8E" w14:paraId="54F78A66" w14:textId="77777777" w:rsidTr="00633352">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6EE4C53F" w14:textId="77777777" w:rsidR="004D7663" w:rsidRPr="00184A8E" w:rsidRDefault="004D7663" w:rsidP="004D7663">
            <w:pPr>
              <w:rPr>
                <w:rFonts w:ascii="Arial" w:hAnsi="Arial" w:cs="Arial"/>
                <w:sz w:val="18"/>
                <w:szCs w:val="18"/>
              </w:rPr>
            </w:pPr>
            <w:r w:rsidRPr="00184A8E">
              <w:rPr>
                <w:rFonts w:ascii="Arial" w:hAnsi="Arial" w:cs="Arial"/>
                <w:sz w:val="18"/>
                <w:szCs w:val="18"/>
              </w:rPr>
              <w:t>Izlasci na teren</w:t>
            </w:r>
          </w:p>
        </w:tc>
        <w:tc>
          <w:tcPr>
            <w:tcW w:w="3402" w:type="dxa"/>
            <w:tcBorders>
              <w:top w:val="single" w:sz="4" w:space="0" w:color="auto"/>
              <w:left w:val="single" w:sz="4" w:space="0" w:color="auto"/>
              <w:bottom w:val="single" w:sz="4" w:space="0" w:color="auto"/>
              <w:right w:val="single" w:sz="4" w:space="0" w:color="auto"/>
            </w:tcBorders>
            <w:vAlign w:val="center"/>
          </w:tcPr>
          <w:p w14:paraId="596FF07B" w14:textId="77777777" w:rsidR="004D7663" w:rsidRPr="00184A8E" w:rsidRDefault="004D7663" w:rsidP="004D7663">
            <w:pPr>
              <w:autoSpaceDE w:val="0"/>
              <w:autoSpaceDN w:val="0"/>
              <w:adjustRightInd w:val="0"/>
              <w:rPr>
                <w:rFonts w:ascii="Arial" w:hAnsi="Arial" w:cs="Arial"/>
                <w:sz w:val="18"/>
                <w:szCs w:val="18"/>
              </w:rPr>
            </w:pPr>
            <w:r w:rsidRPr="00184A8E">
              <w:rPr>
                <w:rFonts w:ascii="Arial" w:hAnsi="Arial" w:cs="Arial"/>
                <w:sz w:val="18"/>
                <w:szCs w:val="18"/>
              </w:rPr>
              <w:t>broj zbrinutih životinja</w:t>
            </w:r>
          </w:p>
        </w:tc>
        <w:tc>
          <w:tcPr>
            <w:tcW w:w="958" w:type="dxa"/>
            <w:tcBorders>
              <w:top w:val="single" w:sz="4" w:space="0" w:color="auto"/>
              <w:left w:val="single" w:sz="4" w:space="0" w:color="auto"/>
              <w:bottom w:val="single" w:sz="4" w:space="0" w:color="auto"/>
              <w:right w:val="single" w:sz="4" w:space="0" w:color="auto"/>
            </w:tcBorders>
            <w:vAlign w:val="center"/>
          </w:tcPr>
          <w:p w14:paraId="36697C6B" w14:textId="77777777" w:rsidR="004D7663" w:rsidRPr="00184A8E" w:rsidRDefault="004D7663" w:rsidP="004D7663">
            <w:pPr>
              <w:jc w:val="center"/>
              <w:rPr>
                <w:rFonts w:ascii="Arial" w:hAnsi="Arial" w:cs="Arial"/>
                <w:sz w:val="18"/>
                <w:szCs w:val="18"/>
              </w:rPr>
            </w:pPr>
            <w:r w:rsidRPr="00184A8E">
              <w:rPr>
                <w:rFonts w:ascii="Arial" w:hAnsi="Arial" w:cs="Arial"/>
                <w:sz w:val="18"/>
                <w:szCs w:val="18"/>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07D6F7A1" w14:textId="77777777" w:rsidR="004D7663" w:rsidRPr="00184A8E" w:rsidRDefault="004D7663" w:rsidP="004D7663">
            <w:pPr>
              <w:jc w:val="center"/>
              <w:rPr>
                <w:rFonts w:ascii="Arial" w:hAnsi="Arial" w:cs="Arial"/>
                <w:sz w:val="18"/>
                <w:szCs w:val="18"/>
              </w:rPr>
            </w:pPr>
            <w:r w:rsidRPr="00184A8E">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5CE69E66" w14:textId="2F25261D" w:rsidR="004D7663" w:rsidRPr="00184A8E" w:rsidRDefault="004D7663" w:rsidP="004D7663">
            <w:pPr>
              <w:jc w:val="center"/>
              <w:rPr>
                <w:rFonts w:ascii="Arial" w:hAnsi="Arial" w:cs="Arial"/>
                <w:sz w:val="18"/>
                <w:szCs w:val="18"/>
              </w:rPr>
            </w:pPr>
            <w:r w:rsidRPr="00184A8E">
              <w:rPr>
                <w:rFonts w:ascii="Arial" w:hAnsi="Arial" w:cs="Arial"/>
                <w:sz w:val="16"/>
                <w:szCs w:val="16"/>
              </w:rPr>
              <w:t>43 životinje (pas / mačka)</w:t>
            </w:r>
          </w:p>
        </w:tc>
        <w:tc>
          <w:tcPr>
            <w:tcW w:w="1276" w:type="dxa"/>
            <w:tcBorders>
              <w:top w:val="single" w:sz="4" w:space="0" w:color="auto"/>
              <w:left w:val="single" w:sz="4" w:space="0" w:color="auto"/>
              <w:bottom w:val="single" w:sz="4" w:space="0" w:color="auto"/>
              <w:right w:val="single" w:sz="4" w:space="0" w:color="auto"/>
            </w:tcBorders>
            <w:vAlign w:val="center"/>
          </w:tcPr>
          <w:p w14:paraId="165790C4" w14:textId="77777777" w:rsidR="004D7663" w:rsidRPr="00184A8E" w:rsidRDefault="004D7663" w:rsidP="004D7663">
            <w:pPr>
              <w:jc w:val="center"/>
              <w:rPr>
                <w:rFonts w:ascii="Arial" w:hAnsi="Arial" w:cs="Arial"/>
                <w:sz w:val="18"/>
                <w:szCs w:val="18"/>
              </w:rPr>
            </w:pPr>
            <w:r w:rsidRPr="00184A8E">
              <w:rPr>
                <w:rFonts w:ascii="Arial" w:hAnsi="Arial" w:cs="Arial"/>
                <w:sz w:val="18"/>
                <w:szCs w:val="18"/>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38595D49" w14:textId="5214E315" w:rsidR="004D7663" w:rsidRPr="00184A8E" w:rsidRDefault="004D7663" w:rsidP="004D7663">
            <w:pPr>
              <w:jc w:val="center"/>
              <w:rPr>
                <w:rFonts w:ascii="Arial" w:hAnsi="Arial" w:cs="Arial"/>
                <w:sz w:val="16"/>
                <w:szCs w:val="16"/>
              </w:rPr>
            </w:pPr>
            <w:r>
              <w:rPr>
                <w:rFonts w:ascii="Arial" w:hAnsi="Arial" w:cs="Arial"/>
                <w:sz w:val="16"/>
                <w:szCs w:val="16"/>
              </w:rPr>
              <w:t>15 životinja (psi i mačke)</w:t>
            </w:r>
          </w:p>
        </w:tc>
        <w:tc>
          <w:tcPr>
            <w:tcW w:w="1242" w:type="dxa"/>
            <w:tcBorders>
              <w:top w:val="single" w:sz="4" w:space="0" w:color="000000"/>
              <w:left w:val="single" w:sz="4" w:space="0" w:color="000000"/>
              <w:bottom w:val="single" w:sz="4" w:space="0" w:color="000000"/>
              <w:right w:val="single" w:sz="4" w:space="0" w:color="000000"/>
            </w:tcBorders>
            <w:vAlign w:val="center"/>
          </w:tcPr>
          <w:p w14:paraId="575C8831" w14:textId="77777777" w:rsidR="004D7663" w:rsidRPr="00184A8E" w:rsidRDefault="004D7663" w:rsidP="004D7663">
            <w:pPr>
              <w:jc w:val="center"/>
              <w:rPr>
                <w:rFonts w:ascii="Arial" w:hAnsi="Arial" w:cs="Arial"/>
                <w:sz w:val="18"/>
                <w:szCs w:val="18"/>
              </w:rPr>
            </w:pPr>
            <w:r w:rsidRPr="00184A8E">
              <w:rPr>
                <w:rFonts w:ascii="Arial" w:hAnsi="Arial" w:cs="Arial"/>
                <w:sz w:val="18"/>
                <w:szCs w:val="18"/>
              </w:rPr>
              <w:t>5</w:t>
            </w:r>
          </w:p>
        </w:tc>
        <w:tc>
          <w:tcPr>
            <w:tcW w:w="1242" w:type="dxa"/>
            <w:tcBorders>
              <w:top w:val="single" w:sz="4" w:space="0" w:color="000000"/>
              <w:left w:val="single" w:sz="4" w:space="0" w:color="000000"/>
              <w:bottom w:val="single" w:sz="4" w:space="0" w:color="000000"/>
              <w:right w:val="single" w:sz="4" w:space="0" w:color="000000"/>
            </w:tcBorders>
            <w:vAlign w:val="center"/>
          </w:tcPr>
          <w:p w14:paraId="13E1B55E" w14:textId="77777777" w:rsidR="004D7663" w:rsidRPr="00184A8E" w:rsidRDefault="004D7663" w:rsidP="004D7663">
            <w:pPr>
              <w:jc w:val="center"/>
              <w:rPr>
                <w:rFonts w:ascii="Arial" w:hAnsi="Arial" w:cs="Arial"/>
                <w:sz w:val="18"/>
                <w:szCs w:val="18"/>
              </w:rPr>
            </w:pPr>
            <w:r w:rsidRPr="00184A8E">
              <w:rPr>
                <w:rFonts w:ascii="Arial" w:hAnsi="Arial" w:cs="Arial"/>
                <w:sz w:val="18"/>
                <w:szCs w:val="18"/>
              </w:rPr>
              <w:t>5</w:t>
            </w:r>
          </w:p>
        </w:tc>
      </w:tr>
    </w:tbl>
    <w:p w14:paraId="43FC9E21" w14:textId="77777777" w:rsidR="004D7663" w:rsidRPr="00184A8E" w:rsidRDefault="004D7663" w:rsidP="00184A8E">
      <w:pPr>
        <w:autoSpaceDE w:val="0"/>
        <w:autoSpaceDN w:val="0"/>
        <w:adjustRightInd w:val="0"/>
        <w:spacing w:after="0" w:line="240" w:lineRule="auto"/>
        <w:jc w:val="both"/>
        <w:rPr>
          <w:rFonts w:ascii="Arial" w:eastAsia="Calibri" w:hAnsi="Arial" w:cs="Arial"/>
          <w:sz w:val="20"/>
          <w:szCs w:val="20"/>
        </w:rPr>
      </w:pPr>
    </w:p>
    <w:p w14:paraId="5AF858A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lastRenderedPageBreak/>
        <w:t>Aktivnosti vezane uz opće ciljeve postignute su sukladno postocima izvršenja i u skladu s očekivanom dinamikom izvršenja rashoda.</w:t>
      </w:r>
    </w:p>
    <w:p w14:paraId="046E2ED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12072FEB" w14:textId="77777777" w:rsidR="00184A8E" w:rsidRPr="00184A8E" w:rsidRDefault="00184A8E" w:rsidP="00184A8E">
      <w:pPr>
        <w:spacing w:after="0" w:line="240" w:lineRule="auto"/>
        <w:rPr>
          <w:rFonts w:ascii="Arial" w:eastAsia="Calibri" w:hAnsi="Arial" w:cs="Arial"/>
          <w:sz w:val="20"/>
          <w:szCs w:val="20"/>
        </w:rPr>
      </w:pPr>
    </w:p>
    <w:p w14:paraId="38C606FD"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586" w:name="_Toc435014686"/>
      <w:bookmarkStart w:id="587" w:name="_Toc200628533"/>
      <w:bookmarkStart w:id="588" w:name="_Toc232981465"/>
      <w:r w:rsidRPr="00184A8E">
        <w:rPr>
          <w:rFonts w:ascii="Times New Roman" w:eastAsia="Calibri" w:hAnsi="Times New Roman" w:cs="Times New Roman"/>
          <w:b/>
          <w:sz w:val="24"/>
          <w:szCs w:val="20"/>
          <w:lang w:eastAsia="en-US"/>
        </w:rPr>
        <w:t>Program (2101): Izgradnja i uređenje objekata javne namjene – predškolski odgoj i školstvo</w:t>
      </w:r>
      <w:bookmarkEnd w:id="586"/>
      <w:bookmarkEnd w:id="587"/>
      <w:bookmarkEnd w:id="588"/>
    </w:p>
    <w:p w14:paraId="2006EFBA"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61"/>
        <w:gridCol w:w="12222"/>
      </w:tblGrid>
      <w:tr w:rsidR="00184A8E" w:rsidRPr="00184A8E" w14:paraId="4B617EE0" w14:textId="77777777" w:rsidTr="00410A4B">
        <w:tc>
          <w:tcPr>
            <w:tcW w:w="2061" w:type="dxa"/>
          </w:tcPr>
          <w:p w14:paraId="452787EA"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222" w:type="dxa"/>
          </w:tcPr>
          <w:p w14:paraId="1895F194"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Proširenje i modernizacija mreže dječjih vrtića, te mreže osnovnih škola.</w:t>
            </w:r>
          </w:p>
        </w:tc>
      </w:tr>
      <w:tr w:rsidR="00184A8E" w:rsidRPr="00184A8E" w14:paraId="0E7C5FE7" w14:textId="77777777" w:rsidTr="00410A4B">
        <w:tc>
          <w:tcPr>
            <w:tcW w:w="2061" w:type="dxa"/>
          </w:tcPr>
          <w:p w14:paraId="764D357B" w14:textId="77777777" w:rsidR="00184A8E" w:rsidRPr="00184A8E" w:rsidRDefault="00184A8E" w:rsidP="00184A8E">
            <w:pPr>
              <w:spacing w:after="0" w:line="240" w:lineRule="auto"/>
              <w:jc w:val="both"/>
              <w:rPr>
                <w:rFonts w:ascii="Arial" w:eastAsia="Calibri" w:hAnsi="Arial" w:cs="Arial"/>
                <w:sz w:val="16"/>
                <w:szCs w:val="16"/>
                <w:lang w:eastAsia="en-US"/>
              </w:rPr>
            </w:pPr>
            <w:r w:rsidRPr="00184A8E">
              <w:rPr>
                <w:rFonts w:ascii="Arial" w:eastAsia="Calibri" w:hAnsi="Arial" w:cs="Arial"/>
                <w:sz w:val="16"/>
                <w:szCs w:val="16"/>
                <w:lang w:eastAsia="en-US"/>
              </w:rPr>
              <w:t>ZAKONSKE I DRUGE PRAVNE OSNOVE PROGRAMA</w:t>
            </w:r>
          </w:p>
        </w:tc>
        <w:tc>
          <w:tcPr>
            <w:tcW w:w="12222" w:type="dxa"/>
          </w:tcPr>
          <w:p w14:paraId="0B09B549" w14:textId="5C7A709A"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Zakon o lokalnoj i područnoj (regionalnoj) samoupravi (NN 33/01,60/01,129/05, 109/07,125/08, 36/09, 150/11, 144/12, 19/13, 137/15, 123/17, 98/19, 144/20), Zakon o predškolskom odgoju i obrazovanju (NN 10/97, 107/07, 94/13, 98/19, 57/22, 101/23</w:t>
            </w:r>
            <w:r w:rsidR="00AC20A7">
              <w:rPr>
                <w:rFonts w:ascii="Arial" w:eastAsia="Times New Roman" w:hAnsi="Arial" w:cs="Arial"/>
                <w:sz w:val="20"/>
                <w:szCs w:val="20"/>
                <w:lang w:eastAsia="en-US"/>
              </w:rPr>
              <w:t>, 145/23, 145/24, 22/26</w:t>
            </w:r>
            <w:r w:rsidRPr="00184A8E">
              <w:rPr>
                <w:rFonts w:ascii="Arial" w:eastAsia="Times New Roman" w:hAnsi="Arial" w:cs="Arial"/>
                <w:sz w:val="20"/>
                <w:szCs w:val="20"/>
                <w:lang w:eastAsia="en-US"/>
              </w:rPr>
              <w:t>), Zakon o javnoj nabavi (NN 120/16, 114/22</w:t>
            </w:r>
            <w:r w:rsidR="00AC20A7">
              <w:rPr>
                <w:rFonts w:ascii="Arial" w:eastAsia="Times New Roman" w:hAnsi="Arial" w:cs="Arial"/>
                <w:sz w:val="20"/>
                <w:szCs w:val="20"/>
                <w:lang w:eastAsia="en-US"/>
              </w:rPr>
              <w:t>, 48/26</w:t>
            </w:r>
            <w:r w:rsidRPr="00184A8E">
              <w:rPr>
                <w:rFonts w:ascii="Arial" w:eastAsia="Times New Roman" w:hAnsi="Arial" w:cs="Arial"/>
                <w:sz w:val="20"/>
                <w:szCs w:val="20"/>
                <w:lang w:eastAsia="en-US"/>
              </w:rPr>
              <w:t>), Statut Općine i drugi akti</w:t>
            </w:r>
          </w:p>
        </w:tc>
      </w:tr>
      <w:tr w:rsidR="00184A8E" w:rsidRPr="00184A8E" w14:paraId="23000AA6" w14:textId="77777777" w:rsidTr="00410A4B">
        <w:tc>
          <w:tcPr>
            <w:tcW w:w="2061" w:type="dxa"/>
          </w:tcPr>
          <w:p w14:paraId="5477E51A"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2222" w:type="dxa"/>
          </w:tcPr>
          <w:p w14:paraId="169CFB87"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Stvaranje preduvjeta za unapređenje kvalitete stanovanja i življenja te podizanje razine i standarda stanovanja.</w:t>
            </w:r>
          </w:p>
          <w:p w14:paraId="1F6A1ECB"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Povećanje broja mjesta za smještaj djece u dječje vrtiće u odnosu na postojeće stanje.</w:t>
            </w:r>
          </w:p>
          <w:p w14:paraId="452C26C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Zadovoljstvo roditelja s radom vrtića. </w:t>
            </w:r>
          </w:p>
          <w:p w14:paraId="49D8F371"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Sigurnost djece i zadovoljstvo roditelja izgradnjom nove i modernije osnovne škole</w:t>
            </w:r>
          </w:p>
        </w:tc>
      </w:tr>
      <w:tr w:rsidR="00184A8E" w:rsidRPr="00184A8E" w14:paraId="6D882A91" w14:textId="77777777" w:rsidTr="00410A4B">
        <w:tc>
          <w:tcPr>
            <w:tcW w:w="2061" w:type="dxa"/>
            <w:vAlign w:val="bottom"/>
          </w:tcPr>
          <w:p w14:paraId="53A5388D"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2222" w:type="dxa"/>
            <w:vAlign w:val="bottom"/>
          </w:tcPr>
          <w:p w14:paraId="0477668C"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Cilj je rješavanje prostornih i pedagoških ograničenja objekata Dječjeg vrtića kao i dobivanje dodatnih javnih društvenih prostora. </w:t>
            </w:r>
          </w:p>
          <w:p w14:paraId="73A5BCDB"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Potrebno je proširenje kapaciteta za smještaj djece u dječje vrtiće i uspostavljanje učinkovite i ekonomične mreže predškolskih objekata.</w:t>
            </w:r>
          </w:p>
          <w:p w14:paraId="384B2002"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Nadalje, zadovoljavanje što više djetetovih osnovnih potreba, te poštivanje individualnih razlika u brzini razvoja i stilu učenja djeteta; cjelovit razvoj djetetovih sposobnosti i potencijala, oblikovanje djetetove osobnosti u smislu jačanja pozitivne i realne slike o sebi, uočavanje i prihvaćanje međusobnih različitosti, te usvajanja osnovnih moralnih vrednota kulture i tradicije kojoj dijete pripada, stjecanje socijalnih vještina, znanja i vještina potrebnih za djetetov daljnji razvoj, izgrađivanje stavova i sustava vrijednosti koji promiču i štite ljudsko dostojanstvo, njegovanje mirotvornog ponašanja, stvaranje optimalnih uvjeta za razvoj djeteta stvaranjem razvojno-poticajne sredina koja uključuje materijalne i socijalne uvjete, a u realizaciju programa uključuju se i roditelji kao aktivni sudionici.</w:t>
            </w:r>
          </w:p>
          <w:p w14:paraId="3517CFB5"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Nadalje, u okviru programa cilj je ostvariti preduvjete za započinjanje izgradnje nove osnovne škole za čiju izgradnju je nadležna Županija. Prvenstveno se radi o obvezi iznalaženja prostora i mogućnosti za izgradnju nove osnovne škole u Cavtatu.</w:t>
            </w:r>
          </w:p>
        </w:tc>
      </w:tr>
    </w:tbl>
    <w:p w14:paraId="1BD5F863" w14:textId="77777777" w:rsidR="00184A8E" w:rsidRPr="00184A8E" w:rsidRDefault="00184A8E" w:rsidP="00184A8E">
      <w:pPr>
        <w:tabs>
          <w:tab w:val="left" w:pos="1576"/>
        </w:tabs>
        <w:spacing w:after="0" w:line="240" w:lineRule="auto"/>
        <w:jc w:val="both"/>
        <w:rPr>
          <w:rFonts w:ascii="Arial" w:eastAsia="Times New Roman" w:hAnsi="Arial" w:cs="Arial"/>
          <w:sz w:val="20"/>
          <w:szCs w:val="20"/>
          <w:lang w:eastAsia="en-US"/>
        </w:rPr>
      </w:pPr>
    </w:p>
    <w:p w14:paraId="7AA69D3E"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64EB44F7" w14:textId="77777777" w:rsidR="00184A8E" w:rsidRPr="00184A8E" w:rsidRDefault="00184A8E" w:rsidP="00184A8E">
      <w:pPr>
        <w:spacing w:after="0" w:line="240" w:lineRule="auto"/>
        <w:rPr>
          <w:rFonts w:ascii="Arial" w:eastAsia="Calibri" w:hAnsi="Arial" w:cs="Arial"/>
          <w:sz w:val="20"/>
          <w:szCs w:val="20"/>
        </w:rPr>
      </w:pPr>
    </w:p>
    <w:p w14:paraId="30C191DF" w14:textId="3F358EB0"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0D05DF32" w14:textId="77777777" w:rsidR="00184A8E" w:rsidRPr="00184A8E" w:rsidRDefault="00184A8E" w:rsidP="00184A8E">
      <w:pPr>
        <w:spacing w:after="0" w:line="240" w:lineRule="auto"/>
        <w:jc w:val="both"/>
        <w:rPr>
          <w:rFonts w:ascii="Arial" w:eastAsia="Calibri" w:hAnsi="Arial" w:cs="Arial"/>
          <w:sz w:val="20"/>
          <w:szCs w:val="20"/>
        </w:rPr>
      </w:pPr>
    </w:p>
    <w:p w14:paraId="35504A12" w14:textId="2C8ED983" w:rsidR="00184A8E" w:rsidRPr="00AC20A7" w:rsidRDefault="00AC20A7" w:rsidP="00184A8E">
      <w:pPr>
        <w:spacing w:after="0" w:line="240" w:lineRule="auto"/>
        <w:rPr>
          <w:rFonts w:ascii="Arial" w:eastAsia="Calibri" w:hAnsi="Arial" w:cs="Arial"/>
          <w:sz w:val="20"/>
          <w:szCs w:val="20"/>
        </w:rPr>
      </w:pPr>
      <w:r w:rsidRPr="00AC20A7">
        <w:rPr>
          <w:noProof/>
        </w:rPr>
        <w:lastRenderedPageBreak/>
        <w:drawing>
          <wp:inline distT="0" distB="0" distL="0" distR="0" wp14:anchorId="04134F12" wp14:editId="0B1425E6">
            <wp:extent cx="9251950" cy="2244725"/>
            <wp:effectExtent l="0" t="0" r="6350" b="3175"/>
            <wp:docPr id="967841324"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9251950" cy="2244725"/>
                    </a:xfrm>
                    <a:prstGeom prst="rect">
                      <a:avLst/>
                    </a:prstGeom>
                    <a:noFill/>
                    <a:ln>
                      <a:noFill/>
                    </a:ln>
                  </pic:spPr>
                </pic:pic>
              </a:graphicData>
            </a:graphic>
          </wp:inline>
        </w:drawing>
      </w:r>
    </w:p>
    <w:p w14:paraId="64366443"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15B1425F"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4C4BFCCB"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1A2DE020"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6CFBE013" w14:textId="506B94F5"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xml:space="preserve">: Izvršenje je manje od očekivanih vrijednosti. Naime, izvršenje rashoda ovisi o </w:t>
      </w:r>
      <w:r w:rsidR="00AC20A7">
        <w:rPr>
          <w:rFonts w:ascii="Arial" w:eastAsia="Calibri" w:hAnsi="Arial" w:cs="Arial"/>
          <w:sz w:val="20"/>
          <w:szCs w:val="20"/>
          <w:lang w:eastAsia="en-US"/>
        </w:rPr>
        <w:t>ispostavljanju situacija za ugovorene radove.</w:t>
      </w:r>
    </w:p>
    <w:p w14:paraId="15D01870" w14:textId="77777777" w:rsidR="00184A8E" w:rsidRPr="00184A8E" w:rsidRDefault="00184A8E" w:rsidP="00184A8E">
      <w:pPr>
        <w:spacing w:after="0" w:line="240" w:lineRule="auto"/>
        <w:jc w:val="both"/>
        <w:rPr>
          <w:rFonts w:ascii="Arial" w:eastAsia="Calibri" w:hAnsi="Arial" w:cs="Arial"/>
          <w:sz w:val="20"/>
          <w:szCs w:val="20"/>
          <w:lang w:eastAsia="en-US"/>
        </w:rPr>
      </w:pPr>
    </w:p>
    <w:p w14:paraId="4149FD21" w14:textId="77777777" w:rsidR="00AC20A7"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Ovaj program osigurava preduvjete za ulaganje u objekte javne namjene. </w:t>
      </w:r>
      <w:r w:rsidR="00AC20A7" w:rsidRPr="00AC20A7">
        <w:rPr>
          <w:rFonts w:ascii="Arial" w:eastAsia="Calibri" w:hAnsi="Arial" w:cs="Arial"/>
          <w:sz w:val="20"/>
          <w:szCs w:val="20"/>
          <w:lang w:eastAsia="en-US"/>
        </w:rPr>
        <w:t xml:space="preserve">Planirana sredstva za ostvarenje programa 2101 iznose </w:t>
      </w:r>
      <w:r w:rsidR="00AC20A7">
        <w:rPr>
          <w:rFonts w:ascii="Arial" w:eastAsia="Calibri" w:hAnsi="Arial" w:cs="Arial"/>
          <w:sz w:val="20"/>
          <w:szCs w:val="20"/>
          <w:lang w:eastAsia="en-US"/>
        </w:rPr>
        <w:t>11.937.007</w:t>
      </w:r>
      <w:r w:rsidR="00AC20A7" w:rsidRPr="00AC20A7">
        <w:rPr>
          <w:rFonts w:ascii="Arial" w:eastAsia="Calibri" w:hAnsi="Arial" w:cs="Arial"/>
          <w:sz w:val="20"/>
          <w:szCs w:val="20"/>
          <w:lang w:eastAsia="en-US"/>
        </w:rPr>
        <w:t xml:space="preserve"> € za 2025. godinu, te 14.401.710 € za 2026. godinu i 3.816.100 € za 2027. godinu.</w:t>
      </w:r>
      <w:r w:rsidR="00AC20A7">
        <w:rPr>
          <w:rFonts w:ascii="Arial" w:eastAsia="Calibri" w:hAnsi="Arial" w:cs="Arial"/>
          <w:sz w:val="20"/>
          <w:szCs w:val="20"/>
          <w:lang w:eastAsia="en-US"/>
        </w:rPr>
        <w:t xml:space="preserve"> </w:t>
      </w:r>
    </w:p>
    <w:p w14:paraId="3CCB01FD" w14:textId="77777777" w:rsidR="00AC20A7" w:rsidRDefault="00AC20A7" w:rsidP="00184A8E">
      <w:pPr>
        <w:spacing w:after="0" w:line="240" w:lineRule="auto"/>
        <w:jc w:val="both"/>
        <w:rPr>
          <w:rFonts w:ascii="Arial" w:eastAsia="Calibri" w:hAnsi="Arial" w:cs="Arial"/>
          <w:sz w:val="20"/>
          <w:szCs w:val="20"/>
          <w:lang w:eastAsia="en-US"/>
        </w:rPr>
      </w:pPr>
    </w:p>
    <w:p w14:paraId="02B5D99E" w14:textId="319F2ADB"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Rashodi za 202</w:t>
      </w:r>
      <w:r w:rsidR="00AC20A7">
        <w:rPr>
          <w:rFonts w:ascii="Arial" w:eastAsia="Calibri" w:hAnsi="Arial" w:cs="Arial"/>
          <w:sz w:val="20"/>
          <w:szCs w:val="20"/>
          <w:lang w:eastAsia="en-US"/>
        </w:rPr>
        <w:t>5</w:t>
      </w:r>
      <w:r w:rsidRPr="00184A8E">
        <w:rPr>
          <w:rFonts w:ascii="Arial" w:eastAsia="Calibri" w:hAnsi="Arial" w:cs="Arial"/>
          <w:sz w:val="20"/>
          <w:szCs w:val="20"/>
          <w:lang w:eastAsia="en-US"/>
        </w:rPr>
        <w:t xml:space="preserve">. su izvršeni u iznosu </w:t>
      </w:r>
      <w:r w:rsidR="00AC20A7">
        <w:rPr>
          <w:rFonts w:ascii="Arial" w:eastAsia="Calibri" w:hAnsi="Arial" w:cs="Arial"/>
          <w:sz w:val="20"/>
          <w:szCs w:val="20"/>
          <w:lang w:eastAsia="en-US"/>
        </w:rPr>
        <w:t>8.661.323,66</w:t>
      </w:r>
      <w:r w:rsidRPr="00184A8E">
        <w:rPr>
          <w:rFonts w:ascii="Arial" w:eastAsia="Calibri" w:hAnsi="Arial" w:cs="Arial"/>
          <w:sz w:val="20"/>
          <w:szCs w:val="20"/>
          <w:lang w:eastAsia="en-US"/>
        </w:rPr>
        <w:t xml:space="preserve"> € ili </w:t>
      </w:r>
      <w:r w:rsidR="00AC20A7">
        <w:rPr>
          <w:rFonts w:ascii="Arial" w:eastAsia="Calibri" w:hAnsi="Arial" w:cs="Arial"/>
          <w:sz w:val="20"/>
          <w:szCs w:val="20"/>
          <w:lang w:eastAsia="en-US"/>
        </w:rPr>
        <w:t>72,6</w:t>
      </w:r>
      <w:r w:rsidRPr="00184A8E">
        <w:rPr>
          <w:rFonts w:ascii="Arial" w:eastAsia="Calibri" w:hAnsi="Arial" w:cs="Arial"/>
          <w:sz w:val="20"/>
          <w:szCs w:val="20"/>
          <w:lang w:eastAsia="en-US"/>
        </w:rPr>
        <w:t xml:space="preserve"> %.</w:t>
      </w:r>
    </w:p>
    <w:p w14:paraId="156A42C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28900DCF"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396E75F2" w14:textId="77777777" w:rsidR="00184A8E" w:rsidRPr="00184A8E" w:rsidRDefault="00184A8E" w:rsidP="00184A8E">
      <w:pPr>
        <w:spacing w:after="0" w:line="240" w:lineRule="auto"/>
        <w:jc w:val="both"/>
        <w:rPr>
          <w:rFonts w:ascii="Arial" w:eastAsia="Calibri" w:hAnsi="Arial" w:cs="Arial"/>
          <w:sz w:val="20"/>
          <w:szCs w:val="20"/>
          <w:lang w:eastAsia="en-US"/>
        </w:rPr>
      </w:pPr>
    </w:p>
    <w:p w14:paraId="5DAFA425"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Unutar programa izvode se slijedeće aktivnosti i projekti:</w:t>
      </w:r>
    </w:p>
    <w:p w14:paraId="36391A79" w14:textId="77777777" w:rsidR="00184A8E" w:rsidRPr="00184A8E" w:rsidRDefault="00184A8E" w:rsidP="00184A8E">
      <w:pPr>
        <w:spacing w:after="0" w:line="240" w:lineRule="auto"/>
        <w:rPr>
          <w:rFonts w:ascii="Arial" w:eastAsia="Calibri" w:hAnsi="Arial" w:cs="Arial"/>
          <w:sz w:val="20"/>
          <w:szCs w:val="20"/>
        </w:rPr>
      </w:pPr>
    </w:p>
    <w:p w14:paraId="1119BC64" w14:textId="77777777" w:rsidR="00475181"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1. K210101: Proširenje dječjeg vrtića na Grudi (max prihod EU 80%)</w:t>
      </w:r>
      <w:r w:rsidRPr="00184A8E">
        <w:rPr>
          <w:rFonts w:ascii="Arial" w:eastAsia="Calibri" w:hAnsi="Arial" w:cs="Arial"/>
          <w:sz w:val="20"/>
          <w:szCs w:val="20"/>
          <w:lang w:eastAsia="en-US"/>
        </w:rPr>
        <w:t xml:space="preserve"> - u sklopu projekta </w:t>
      </w:r>
      <w:r w:rsidR="00ED647D">
        <w:rPr>
          <w:rFonts w:ascii="Arial" w:eastAsia="Calibri" w:hAnsi="Arial" w:cs="Arial"/>
          <w:sz w:val="20"/>
          <w:szCs w:val="20"/>
          <w:lang w:eastAsia="en-US"/>
        </w:rPr>
        <w:t>ni</w:t>
      </w:r>
      <w:r w:rsidRPr="00184A8E">
        <w:rPr>
          <w:rFonts w:ascii="Arial" w:eastAsia="Calibri" w:hAnsi="Arial" w:cs="Arial"/>
          <w:sz w:val="20"/>
          <w:szCs w:val="20"/>
          <w:lang w:eastAsia="en-US"/>
        </w:rPr>
        <w:t>su planirani rashodi</w:t>
      </w:r>
      <w:r w:rsidR="00475181">
        <w:rPr>
          <w:rFonts w:ascii="Arial" w:eastAsia="Calibri" w:hAnsi="Arial" w:cs="Arial"/>
          <w:sz w:val="20"/>
          <w:szCs w:val="20"/>
          <w:lang w:eastAsia="en-US"/>
        </w:rPr>
        <w:t>.</w:t>
      </w:r>
    </w:p>
    <w:p w14:paraId="47B97789" w14:textId="65B825BD" w:rsidR="00184A8E" w:rsidRPr="00184A8E" w:rsidRDefault="00475181" w:rsidP="00184A8E">
      <w:pPr>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 xml:space="preserve">U okviru ovog projekta trebati će napraviti reviziju </w:t>
      </w:r>
      <w:r w:rsidR="00184A8E" w:rsidRPr="00184A8E">
        <w:rPr>
          <w:rFonts w:ascii="Arial" w:eastAsia="Calibri" w:hAnsi="Arial" w:cs="Arial"/>
          <w:sz w:val="20"/>
          <w:szCs w:val="20"/>
          <w:lang w:eastAsia="en-US"/>
        </w:rPr>
        <w:t xml:space="preserve">postojećeg projekta, odnosno </w:t>
      </w:r>
      <w:r>
        <w:rPr>
          <w:rFonts w:ascii="Arial" w:eastAsia="Calibri" w:hAnsi="Arial" w:cs="Arial"/>
          <w:sz w:val="20"/>
          <w:szCs w:val="20"/>
          <w:lang w:eastAsia="en-US"/>
        </w:rPr>
        <w:t>možda izraditi</w:t>
      </w:r>
      <w:r w:rsidR="00184A8E" w:rsidRPr="00184A8E">
        <w:rPr>
          <w:rFonts w:ascii="Arial" w:eastAsia="Calibri" w:hAnsi="Arial" w:cs="Arial"/>
          <w:sz w:val="20"/>
          <w:szCs w:val="20"/>
          <w:lang w:eastAsia="en-US"/>
        </w:rPr>
        <w:t xml:space="preserve"> projekta za novu lokaciju, te </w:t>
      </w:r>
      <w:r>
        <w:rPr>
          <w:rFonts w:ascii="Arial" w:eastAsia="Calibri" w:hAnsi="Arial" w:cs="Arial"/>
          <w:sz w:val="20"/>
          <w:szCs w:val="20"/>
          <w:lang w:eastAsia="en-US"/>
        </w:rPr>
        <w:t>otkupiti</w:t>
      </w:r>
      <w:r w:rsidR="00184A8E" w:rsidRPr="00184A8E">
        <w:rPr>
          <w:rFonts w:ascii="Arial" w:eastAsia="Calibri" w:hAnsi="Arial" w:cs="Arial"/>
          <w:sz w:val="20"/>
          <w:szCs w:val="20"/>
          <w:lang w:eastAsia="en-US"/>
        </w:rPr>
        <w:t xml:space="preserve"> zemljišt</w:t>
      </w:r>
      <w:r>
        <w:rPr>
          <w:rFonts w:ascii="Arial" w:eastAsia="Calibri" w:hAnsi="Arial" w:cs="Arial"/>
          <w:sz w:val="20"/>
          <w:szCs w:val="20"/>
          <w:lang w:eastAsia="en-US"/>
        </w:rPr>
        <w:t>e</w:t>
      </w:r>
      <w:r w:rsidR="00184A8E" w:rsidRPr="00184A8E">
        <w:rPr>
          <w:rFonts w:ascii="Arial" w:eastAsia="Calibri" w:hAnsi="Arial" w:cs="Arial"/>
          <w:sz w:val="20"/>
          <w:szCs w:val="20"/>
          <w:lang w:eastAsia="en-US"/>
        </w:rPr>
        <w:t xml:space="preserve"> za novu lokaciju vrtića. Rashodi nisu izvršeni jer nije dovršeno zaključivanje ugovora </w:t>
      </w:r>
      <w:r>
        <w:rPr>
          <w:rFonts w:ascii="Arial" w:eastAsia="Calibri" w:hAnsi="Arial" w:cs="Arial"/>
          <w:sz w:val="20"/>
          <w:szCs w:val="20"/>
          <w:lang w:eastAsia="en-US"/>
        </w:rPr>
        <w:t xml:space="preserve">za otkup zemljišta </w:t>
      </w:r>
      <w:r w:rsidR="00184A8E" w:rsidRPr="00184A8E">
        <w:rPr>
          <w:rFonts w:ascii="Arial" w:eastAsia="Calibri" w:hAnsi="Arial" w:cs="Arial"/>
          <w:sz w:val="20"/>
          <w:szCs w:val="20"/>
          <w:lang w:eastAsia="en-US"/>
        </w:rPr>
        <w:t>sa fizičkom osobom do konca godine.</w:t>
      </w:r>
    </w:p>
    <w:p w14:paraId="4E36E907" w14:textId="77777777" w:rsidR="00184A8E" w:rsidRPr="00184A8E" w:rsidRDefault="00184A8E" w:rsidP="00184A8E">
      <w:pPr>
        <w:spacing w:after="0" w:line="240" w:lineRule="auto"/>
        <w:ind w:left="567"/>
        <w:jc w:val="both"/>
        <w:rPr>
          <w:rFonts w:ascii="Arial" w:eastAsia="Calibri" w:hAnsi="Arial" w:cs="Arial"/>
          <w:sz w:val="18"/>
          <w:szCs w:val="18"/>
          <w:lang w:eastAsia="en-US"/>
        </w:rPr>
      </w:pPr>
    </w:p>
    <w:p w14:paraId="2B96938D"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 xml:space="preserve">Postojeći broj mjesta u vrtiću Gruda: 67 (bez djece u iznajmljenim jedinicama). Planirani novi prostor za još 55 djece, dakle ukupno vrtić kapaciteta 117 do 122 mjesta. </w:t>
      </w:r>
    </w:p>
    <w:p w14:paraId="4AA7522D"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10086CE8"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i/>
          <w:sz w:val="20"/>
          <w:szCs w:val="20"/>
          <w:lang w:eastAsia="en-US"/>
        </w:rPr>
        <w:t>Opći cilj</w:t>
      </w:r>
      <w:r w:rsidRPr="00184A8E">
        <w:rPr>
          <w:rFonts w:ascii="Arial" w:eastAsia="Calibri" w:hAnsi="Arial" w:cs="Arial"/>
          <w:sz w:val="20"/>
          <w:szCs w:val="20"/>
          <w:lang w:eastAsia="en-US"/>
        </w:rPr>
        <w:t xml:space="preserve"> - Osiguranje uvjeta za povećanje kvalitete i uspješnosti odgoja i obrazovanja djece rane i predškolske dobi kako bi se kroz izgradnju novih, dogradnju i adaptaciju postojećih objekata postigli kvalitetniji uvjeti za rad u dječjem vrtiću.</w:t>
      </w:r>
    </w:p>
    <w:p w14:paraId="2E46AA9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i/>
          <w:sz w:val="20"/>
          <w:szCs w:val="20"/>
          <w:lang w:eastAsia="en-US"/>
        </w:rPr>
        <w:lastRenderedPageBreak/>
        <w:t>Specifični cilj</w:t>
      </w:r>
      <w:r w:rsidRPr="00184A8E">
        <w:rPr>
          <w:rFonts w:ascii="Arial" w:eastAsia="Calibri" w:hAnsi="Arial" w:cs="Arial"/>
          <w:sz w:val="20"/>
          <w:szCs w:val="20"/>
          <w:lang w:eastAsia="en-US"/>
        </w:rPr>
        <w:t xml:space="preserve"> - je izgraditi kvalitetan objekt za provođenje predškolskog odgoja i obrazovanja, kako bi se time dopunile potrebe djece i kako bi se svakome od njih omogućilo optimalno razvijanje potencijala s ciljem osobnog razvoja.</w:t>
      </w:r>
    </w:p>
    <w:p w14:paraId="680C3AED"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i/>
          <w:sz w:val="20"/>
          <w:szCs w:val="20"/>
          <w:lang w:eastAsia="en-US"/>
        </w:rPr>
        <w:t>Očekivani rezultati:</w:t>
      </w:r>
      <w:r w:rsidRPr="00184A8E">
        <w:rPr>
          <w:rFonts w:ascii="Arial" w:eastAsia="Calibri" w:hAnsi="Arial" w:cs="Arial"/>
          <w:sz w:val="20"/>
          <w:szCs w:val="20"/>
          <w:lang w:eastAsia="en-US"/>
        </w:rPr>
        <w:t xml:space="preserve"> Poboljšanje kvalitete života na području Općine Konavle, povećanje broja upisane djece, smanjen trend iseljavanja iz Općine, zapošljavanje 2 odgojitelja i 1 logopeda ili defektologa.</w:t>
      </w:r>
    </w:p>
    <w:p w14:paraId="383D7389" w14:textId="77777777" w:rsidR="00184A8E" w:rsidRPr="00184A8E" w:rsidRDefault="00184A8E" w:rsidP="00184A8E">
      <w:pPr>
        <w:autoSpaceDE w:val="0"/>
        <w:autoSpaceDN w:val="0"/>
        <w:adjustRightInd w:val="0"/>
        <w:spacing w:after="0" w:line="240" w:lineRule="auto"/>
        <w:jc w:val="both"/>
        <w:rPr>
          <w:rFonts w:ascii="Arial" w:eastAsia="Calibri" w:hAnsi="Arial" w:cs="Arial"/>
          <w:i/>
          <w:sz w:val="20"/>
          <w:szCs w:val="20"/>
          <w:lang w:eastAsia="en-US"/>
        </w:rPr>
      </w:pPr>
    </w:p>
    <w:p w14:paraId="288615A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Projekt doprinosi izravno i neizravno stvaranju novih radnih mjesta. Izravno na način da je nakon realizacije projekta potrebno zaposliti dva odgojitelja i jednog stručnog suradnika - defektologa ili logopeda na nivou cijele ustanove (sukladno DPS-u), dakle, realizacijom projekta zaposlit će se tri nove osobe.</w:t>
      </w:r>
    </w:p>
    <w:p w14:paraId="3AF97B1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Neizravno projekt povećanjem kapaciteta i kvalitete zgrade vrtića i samim time odgojno – obrazovnih kapaciteta na području općine Konavle i naselja Gruda utjecati će na pozitivno na demografska kretanja, a samim time i stvaranja boljih uvjeta za razvoj poduzetništva i stvaranje novih radnih mjesta.</w:t>
      </w:r>
    </w:p>
    <w:p w14:paraId="0FF2F506" w14:textId="77777777" w:rsidR="00184A8E" w:rsidRPr="00184A8E" w:rsidRDefault="00184A8E" w:rsidP="00184A8E">
      <w:pPr>
        <w:autoSpaceDE w:val="0"/>
        <w:autoSpaceDN w:val="0"/>
        <w:adjustRightInd w:val="0"/>
        <w:spacing w:after="0" w:line="240" w:lineRule="auto"/>
        <w:jc w:val="both"/>
        <w:rPr>
          <w:rFonts w:ascii="Arial" w:eastAsia="Calibri" w:hAnsi="Arial" w:cs="Arial"/>
          <w:i/>
          <w:sz w:val="20"/>
          <w:szCs w:val="20"/>
          <w:lang w:eastAsia="en-US"/>
        </w:rPr>
      </w:pPr>
    </w:p>
    <w:p w14:paraId="76AEA35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i/>
          <w:sz w:val="20"/>
          <w:szCs w:val="20"/>
          <w:lang w:eastAsia="en-US"/>
        </w:rPr>
        <w:t>Nadograđuje se</w:t>
      </w:r>
      <w:r w:rsidRPr="00184A8E">
        <w:rPr>
          <w:rFonts w:ascii="Arial" w:eastAsia="Calibri" w:hAnsi="Arial" w:cs="Arial"/>
          <w:sz w:val="20"/>
          <w:szCs w:val="20"/>
          <w:lang w:eastAsia="en-US"/>
        </w:rPr>
        <w:t xml:space="preserve">: Izgradnja dodatne dvije prostorije za ranu dob (1-3 god.), dodatna prostorija za predškolsku dob (3-7 g.), višenamjenska prostorija-dvorana, proširena kuhinja koja će zadovoljavati potrebe HACCAP sustava te primjereni prostori za odgojno-obrazovne i ostale radnike. </w:t>
      </w:r>
    </w:p>
    <w:p w14:paraId="24BD61B4"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Državni pedagoški standard: //Jaslice = 5 m² = 1 dijete// </w:t>
      </w:r>
      <w:r w:rsidRPr="00184A8E">
        <w:rPr>
          <w:rFonts w:ascii="Arial" w:eastAsia="Calibri" w:hAnsi="Arial" w:cs="Arial"/>
          <w:sz w:val="20"/>
          <w:szCs w:val="20"/>
          <w:lang w:eastAsia="en-US"/>
        </w:rPr>
        <w:tab/>
        <w:t>//Vrtić = 3 m² = 1 dijete//</w:t>
      </w:r>
    </w:p>
    <w:p w14:paraId="25345076" w14:textId="77777777" w:rsidR="00475181" w:rsidRDefault="00475181" w:rsidP="00184A8E">
      <w:pPr>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475181" w:rsidRPr="004C6789" w14:paraId="08A244DC" w14:textId="77777777" w:rsidTr="00C76A9D">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1C606A3" w14:textId="77777777" w:rsidR="00475181" w:rsidRPr="00C16B44" w:rsidRDefault="00475181" w:rsidP="00475181">
            <w:pPr>
              <w:jc w:val="center"/>
              <w:rPr>
                <w:rFonts w:ascii="Arial" w:eastAsia="Calibri" w:hAnsi="Arial" w:cs="Arial"/>
                <w:sz w:val="18"/>
                <w:szCs w:val="18"/>
              </w:rPr>
            </w:pPr>
            <w:r w:rsidRPr="00C16B44">
              <w:rPr>
                <w:rFonts w:ascii="Arial" w:eastAsia="Calibri" w:hAnsi="Arial" w:cs="Arial"/>
                <w:sz w:val="18"/>
                <w:szCs w:val="18"/>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4F97069" w14:textId="77777777" w:rsidR="00475181" w:rsidRPr="00C16B44" w:rsidRDefault="00475181" w:rsidP="00475181">
            <w:pPr>
              <w:jc w:val="center"/>
              <w:rPr>
                <w:rFonts w:ascii="Arial" w:eastAsia="Calibri" w:hAnsi="Arial" w:cs="Arial"/>
                <w:sz w:val="18"/>
                <w:szCs w:val="18"/>
              </w:rPr>
            </w:pPr>
            <w:r w:rsidRPr="00C16B44">
              <w:rPr>
                <w:rFonts w:ascii="Arial" w:eastAsia="Calibri" w:hAnsi="Arial" w:cs="Arial"/>
                <w:sz w:val="18"/>
                <w:szCs w:val="18"/>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05A33C7" w14:textId="77777777" w:rsidR="00475181" w:rsidRPr="00C16B44" w:rsidRDefault="00475181" w:rsidP="00475181">
            <w:pPr>
              <w:jc w:val="center"/>
              <w:rPr>
                <w:rFonts w:ascii="Arial" w:eastAsia="Calibri" w:hAnsi="Arial" w:cs="Arial"/>
                <w:sz w:val="18"/>
                <w:szCs w:val="18"/>
              </w:rPr>
            </w:pPr>
            <w:r w:rsidRPr="00C16B44">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F8125A5" w14:textId="77777777" w:rsidR="00475181" w:rsidRPr="00C16B44" w:rsidRDefault="00475181" w:rsidP="00475181">
            <w:pPr>
              <w:jc w:val="center"/>
              <w:rPr>
                <w:rFonts w:ascii="Arial" w:eastAsia="Calibri" w:hAnsi="Arial" w:cs="Arial"/>
                <w:sz w:val="18"/>
                <w:szCs w:val="18"/>
              </w:rPr>
            </w:pPr>
            <w:r w:rsidRPr="00C16B44">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88E084D" w14:textId="31B221C6" w:rsidR="00475181" w:rsidRPr="00C16B44" w:rsidRDefault="00475181" w:rsidP="00475181">
            <w:pPr>
              <w:jc w:val="center"/>
              <w:rPr>
                <w:rFonts w:ascii="Arial" w:eastAsia="Calibri" w:hAnsi="Arial" w:cs="Arial"/>
                <w:sz w:val="18"/>
                <w:szCs w:val="18"/>
              </w:rPr>
            </w:pPr>
            <w:r w:rsidRPr="00C16B44">
              <w:rPr>
                <w:rFonts w:ascii="Arial" w:eastAsia="Calibri" w:hAnsi="Arial" w:cs="Arial"/>
                <w:sz w:val="18"/>
                <w:szCs w:val="18"/>
              </w:rPr>
              <w:t>Polazna vrijednost 202</w:t>
            </w:r>
            <w:r>
              <w:rPr>
                <w:rFonts w:ascii="Arial" w:eastAsia="Calibri" w:hAnsi="Arial" w:cs="Arial"/>
                <w:sz w:val="18"/>
                <w:szCs w:val="18"/>
              </w:rPr>
              <w:t>4</w:t>
            </w:r>
            <w:r w:rsidRPr="00C16B44">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BE1583F" w14:textId="787E7EB8" w:rsidR="00475181" w:rsidRPr="00C16B44" w:rsidRDefault="00475181" w:rsidP="00475181">
            <w:pPr>
              <w:jc w:val="center"/>
              <w:rPr>
                <w:rFonts w:ascii="Arial" w:eastAsia="Calibri" w:hAnsi="Arial" w:cs="Arial"/>
                <w:sz w:val="18"/>
                <w:szCs w:val="18"/>
              </w:rPr>
            </w:pPr>
            <w:r w:rsidRPr="00184A8E">
              <w:rPr>
                <w:rFonts w:ascii="Arial" w:eastAsia="Calibri" w:hAnsi="Arial" w:cs="Arial"/>
              </w:rPr>
              <w:t>Ciljana vrijednost 202</w:t>
            </w:r>
            <w:r>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F0366D8" w14:textId="3B6B076C" w:rsidR="00475181" w:rsidRPr="00C16B44" w:rsidRDefault="00475181" w:rsidP="00475181">
            <w:pPr>
              <w:jc w:val="center"/>
              <w:rPr>
                <w:rFonts w:ascii="Arial" w:eastAsia="Calibri" w:hAnsi="Arial" w:cs="Arial"/>
                <w:sz w:val="18"/>
                <w:szCs w:val="18"/>
              </w:rPr>
            </w:pPr>
            <w:r w:rsidRPr="00184A8E">
              <w:rPr>
                <w:rFonts w:ascii="Arial" w:eastAsia="Calibri" w:hAnsi="Arial" w:cs="Arial"/>
              </w:rPr>
              <w:t>Izvršeno 202</w:t>
            </w:r>
            <w:r>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08D2CFC" w14:textId="77777777" w:rsidR="00475181" w:rsidRPr="00C16B44" w:rsidRDefault="00475181" w:rsidP="00475181">
            <w:pPr>
              <w:jc w:val="center"/>
              <w:rPr>
                <w:rFonts w:ascii="Arial" w:eastAsia="Calibri" w:hAnsi="Arial" w:cs="Arial"/>
                <w:sz w:val="18"/>
                <w:szCs w:val="18"/>
              </w:rPr>
            </w:pPr>
            <w:r w:rsidRPr="00C16B44">
              <w:rPr>
                <w:rFonts w:ascii="Arial" w:eastAsia="Calibri" w:hAnsi="Arial" w:cs="Arial"/>
                <w:sz w:val="18"/>
                <w:szCs w:val="18"/>
              </w:rPr>
              <w:t>Ciljana vrijednost 2026.</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3038216" w14:textId="77777777" w:rsidR="00475181" w:rsidRPr="00C16B44" w:rsidRDefault="00475181" w:rsidP="00475181">
            <w:pPr>
              <w:jc w:val="center"/>
              <w:rPr>
                <w:rFonts w:ascii="Arial" w:eastAsia="Calibri" w:hAnsi="Arial" w:cs="Arial"/>
                <w:sz w:val="18"/>
                <w:szCs w:val="18"/>
              </w:rPr>
            </w:pPr>
            <w:r w:rsidRPr="00C16B44">
              <w:rPr>
                <w:rFonts w:ascii="Arial" w:eastAsia="Calibri" w:hAnsi="Arial" w:cs="Arial"/>
                <w:sz w:val="18"/>
                <w:szCs w:val="18"/>
              </w:rPr>
              <w:t>Ciljana vrijednost 2027.</w:t>
            </w:r>
          </w:p>
        </w:tc>
      </w:tr>
      <w:tr w:rsidR="00475181" w:rsidRPr="004C6789" w14:paraId="4FE79A6C" w14:textId="77777777" w:rsidTr="00C76A9D">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54386E9B" w14:textId="77777777" w:rsidR="00475181" w:rsidRPr="004C6789" w:rsidRDefault="00475181" w:rsidP="00475181">
            <w:pPr>
              <w:rPr>
                <w:rFonts w:ascii="Arial" w:hAnsi="Arial" w:cs="Arial"/>
                <w:sz w:val="14"/>
                <w:szCs w:val="14"/>
              </w:rPr>
            </w:pPr>
            <w:r w:rsidRPr="004C6789">
              <w:rPr>
                <w:rFonts w:ascii="Arial" w:hAnsi="Arial" w:cs="Arial"/>
                <w:sz w:val="14"/>
                <w:szCs w:val="14"/>
              </w:rPr>
              <w:t>Izrada / dopuna / revizija projekta rekonstrukcije / izgradnje dječjeg vrtića na Grudi</w:t>
            </w:r>
          </w:p>
        </w:tc>
        <w:tc>
          <w:tcPr>
            <w:tcW w:w="3402" w:type="dxa"/>
            <w:tcBorders>
              <w:top w:val="single" w:sz="4" w:space="0" w:color="auto"/>
              <w:left w:val="single" w:sz="4" w:space="0" w:color="auto"/>
              <w:bottom w:val="single" w:sz="4" w:space="0" w:color="auto"/>
              <w:right w:val="single" w:sz="4" w:space="0" w:color="auto"/>
            </w:tcBorders>
            <w:vAlign w:val="center"/>
          </w:tcPr>
          <w:p w14:paraId="13F8237A" w14:textId="77777777" w:rsidR="00475181" w:rsidRPr="004C6789" w:rsidRDefault="00475181" w:rsidP="00475181">
            <w:pPr>
              <w:autoSpaceDE w:val="0"/>
              <w:autoSpaceDN w:val="0"/>
              <w:adjustRightInd w:val="0"/>
              <w:rPr>
                <w:rFonts w:ascii="Arial" w:hAnsi="Arial" w:cs="Arial"/>
                <w:sz w:val="18"/>
                <w:szCs w:val="18"/>
              </w:rPr>
            </w:pPr>
            <w:r w:rsidRPr="004C6789">
              <w:rPr>
                <w:rFonts w:ascii="Arial" w:hAnsi="Arial" w:cs="Arial"/>
                <w:sz w:val="18"/>
                <w:szCs w:val="18"/>
              </w:rPr>
              <w:t>Udio izvršenja rashoda za uslugu revizije projekta rekonstrukcije / izgradnje dječjeg vrtića na Grudi</w:t>
            </w:r>
          </w:p>
        </w:tc>
        <w:tc>
          <w:tcPr>
            <w:tcW w:w="958" w:type="dxa"/>
            <w:tcBorders>
              <w:top w:val="single" w:sz="4" w:space="0" w:color="auto"/>
              <w:left w:val="single" w:sz="4" w:space="0" w:color="auto"/>
              <w:bottom w:val="single" w:sz="4" w:space="0" w:color="auto"/>
              <w:right w:val="single" w:sz="4" w:space="0" w:color="auto"/>
            </w:tcBorders>
            <w:vAlign w:val="center"/>
          </w:tcPr>
          <w:p w14:paraId="3175B9C4" w14:textId="77777777" w:rsidR="00475181" w:rsidRPr="00C16B44" w:rsidRDefault="00475181" w:rsidP="00475181">
            <w:pPr>
              <w:jc w:val="center"/>
              <w:rPr>
                <w:rFonts w:ascii="Arial" w:hAnsi="Arial" w:cs="Arial"/>
                <w:sz w:val="18"/>
                <w:szCs w:val="18"/>
              </w:rPr>
            </w:pPr>
            <w:r w:rsidRPr="00C16B44">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C6461C2" w14:textId="77777777" w:rsidR="00475181" w:rsidRPr="00C16B44" w:rsidRDefault="00475181" w:rsidP="00475181">
            <w:pPr>
              <w:jc w:val="center"/>
              <w:rPr>
                <w:rFonts w:ascii="Arial" w:hAnsi="Arial" w:cs="Arial"/>
                <w:sz w:val="18"/>
                <w:szCs w:val="18"/>
              </w:rPr>
            </w:pPr>
            <w:r w:rsidRPr="00C16B44">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020702E2" w14:textId="77777777" w:rsidR="00475181" w:rsidRPr="00C16B44" w:rsidRDefault="00475181" w:rsidP="00475181">
            <w:pPr>
              <w:jc w:val="center"/>
              <w:rPr>
                <w:rFonts w:ascii="Arial" w:hAnsi="Arial" w:cs="Arial"/>
                <w:sz w:val="18"/>
                <w:szCs w:val="18"/>
              </w:rPr>
            </w:pPr>
            <w:r w:rsidRPr="00C16B44">
              <w:rPr>
                <w:rFonts w:ascii="Arial" w:hAnsi="Arial" w:cs="Arial"/>
                <w:sz w:val="18"/>
                <w:szCs w:val="18"/>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62063C71" w14:textId="4F0F5AFE" w:rsidR="00475181" w:rsidRPr="00C16B44" w:rsidRDefault="00475181" w:rsidP="00475181">
            <w:pPr>
              <w:jc w:val="center"/>
              <w:rPr>
                <w:rFonts w:ascii="Arial" w:hAnsi="Arial" w:cs="Arial"/>
                <w:sz w:val="18"/>
                <w:szCs w:val="18"/>
              </w:rPr>
            </w:pPr>
            <w:r w:rsidRPr="00C16B44">
              <w:rPr>
                <w:rFonts w:ascii="Arial"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24499891" w14:textId="1B4FE4C0" w:rsidR="00475181" w:rsidRPr="00C16B44" w:rsidRDefault="00475181" w:rsidP="00475181">
            <w:pPr>
              <w:jc w:val="center"/>
              <w:rPr>
                <w:rFonts w:ascii="Arial" w:hAnsi="Arial" w:cs="Arial"/>
                <w:sz w:val="18"/>
                <w:szCs w:val="18"/>
              </w:rPr>
            </w:pPr>
            <w:r>
              <w:rPr>
                <w:rFonts w:ascii="Arial" w:hAnsi="Arial" w:cs="Arial"/>
                <w:sz w:val="18"/>
                <w:szCs w:val="18"/>
              </w:rPr>
              <w:t>0</w:t>
            </w:r>
            <w:r w:rsidRPr="00C16B44">
              <w:rPr>
                <w:rFonts w:ascii="Arial"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366EB12B" w14:textId="77777777" w:rsidR="00475181" w:rsidRPr="00C16B44" w:rsidRDefault="00475181" w:rsidP="00475181">
            <w:pPr>
              <w:jc w:val="center"/>
              <w:rPr>
                <w:rFonts w:ascii="Arial" w:hAnsi="Arial" w:cs="Arial"/>
                <w:sz w:val="18"/>
                <w:szCs w:val="18"/>
              </w:rPr>
            </w:pPr>
            <w:r w:rsidRPr="00C16B44">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4F8F84D4" w14:textId="77777777" w:rsidR="00475181" w:rsidRPr="00C16B44" w:rsidRDefault="00475181" w:rsidP="00475181">
            <w:pPr>
              <w:jc w:val="center"/>
              <w:rPr>
                <w:rFonts w:ascii="Arial" w:hAnsi="Arial" w:cs="Arial"/>
                <w:sz w:val="18"/>
                <w:szCs w:val="18"/>
              </w:rPr>
            </w:pPr>
            <w:r w:rsidRPr="00C16B44">
              <w:rPr>
                <w:rFonts w:ascii="Arial" w:hAnsi="Arial" w:cs="Arial"/>
                <w:sz w:val="18"/>
                <w:szCs w:val="18"/>
              </w:rPr>
              <w:t>0</w:t>
            </w:r>
          </w:p>
        </w:tc>
      </w:tr>
      <w:tr w:rsidR="00475181" w:rsidRPr="004C6789" w14:paraId="12380EFA" w14:textId="77777777" w:rsidTr="00C76A9D">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031C002C" w14:textId="77777777" w:rsidR="00475181" w:rsidRPr="004C6789" w:rsidRDefault="00475181" w:rsidP="00475181">
            <w:pPr>
              <w:rPr>
                <w:rFonts w:ascii="Arial" w:hAnsi="Arial" w:cs="Arial"/>
                <w:sz w:val="14"/>
                <w:szCs w:val="14"/>
              </w:rPr>
            </w:pPr>
            <w:r w:rsidRPr="004C6789">
              <w:rPr>
                <w:rFonts w:ascii="Arial" w:hAnsi="Arial" w:cs="Arial"/>
                <w:sz w:val="14"/>
                <w:szCs w:val="14"/>
              </w:rPr>
              <w:t>Izgradnja dječjeg vrtića</w:t>
            </w:r>
          </w:p>
        </w:tc>
        <w:tc>
          <w:tcPr>
            <w:tcW w:w="3402" w:type="dxa"/>
            <w:tcBorders>
              <w:top w:val="single" w:sz="4" w:space="0" w:color="auto"/>
              <w:left w:val="single" w:sz="4" w:space="0" w:color="auto"/>
              <w:bottom w:val="single" w:sz="4" w:space="0" w:color="auto"/>
              <w:right w:val="single" w:sz="4" w:space="0" w:color="auto"/>
            </w:tcBorders>
            <w:vAlign w:val="center"/>
          </w:tcPr>
          <w:p w14:paraId="643F50C7" w14:textId="77777777" w:rsidR="00475181" w:rsidRPr="004C6789" w:rsidRDefault="00475181" w:rsidP="00475181">
            <w:pPr>
              <w:autoSpaceDE w:val="0"/>
              <w:autoSpaceDN w:val="0"/>
              <w:adjustRightInd w:val="0"/>
              <w:rPr>
                <w:rFonts w:ascii="Arial" w:hAnsi="Arial" w:cs="Arial"/>
                <w:sz w:val="18"/>
                <w:szCs w:val="18"/>
              </w:rPr>
            </w:pPr>
            <w:r w:rsidRPr="004C6789">
              <w:rPr>
                <w:rFonts w:ascii="Arial" w:hAnsi="Arial" w:cs="Arial"/>
                <w:sz w:val="18"/>
                <w:szCs w:val="18"/>
              </w:rPr>
              <w:t>Postotak dovršenja radova izgradnje</w:t>
            </w:r>
          </w:p>
        </w:tc>
        <w:tc>
          <w:tcPr>
            <w:tcW w:w="958" w:type="dxa"/>
            <w:tcBorders>
              <w:top w:val="single" w:sz="4" w:space="0" w:color="auto"/>
              <w:left w:val="single" w:sz="4" w:space="0" w:color="auto"/>
              <w:bottom w:val="single" w:sz="4" w:space="0" w:color="auto"/>
              <w:right w:val="single" w:sz="4" w:space="0" w:color="auto"/>
            </w:tcBorders>
            <w:vAlign w:val="center"/>
          </w:tcPr>
          <w:p w14:paraId="6C0AD65B" w14:textId="77777777" w:rsidR="00475181" w:rsidRPr="00C16B44" w:rsidRDefault="00475181" w:rsidP="00475181">
            <w:pPr>
              <w:jc w:val="center"/>
              <w:rPr>
                <w:rFonts w:ascii="Arial" w:hAnsi="Arial" w:cs="Arial"/>
                <w:sz w:val="18"/>
                <w:szCs w:val="18"/>
              </w:rPr>
            </w:pPr>
            <w:r w:rsidRPr="00C16B44">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6CE5FC2" w14:textId="77777777" w:rsidR="00475181" w:rsidRPr="00C16B44" w:rsidRDefault="00475181" w:rsidP="00475181">
            <w:pPr>
              <w:jc w:val="center"/>
              <w:rPr>
                <w:rFonts w:ascii="Arial" w:hAnsi="Arial" w:cs="Arial"/>
                <w:sz w:val="18"/>
                <w:szCs w:val="18"/>
              </w:rPr>
            </w:pPr>
            <w:r w:rsidRPr="00C16B44">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63C9BAC" w14:textId="77777777" w:rsidR="00475181" w:rsidRPr="00C16B44" w:rsidRDefault="00475181" w:rsidP="00475181">
            <w:pPr>
              <w:jc w:val="center"/>
              <w:rPr>
                <w:rFonts w:ascii="Arial" w:hAnsi="Arial" w:cs="Arial"/>
                <w:sz w:val="18"/>
                <w:szCs w:val="18"/>
              </w:rPr>
            </w:pPr>
            <w:r w:rsidRPr="00C16B44">
              <w:rPr>
                <w:rFonts w:ascii="Arial" w:hAnsi="Arial" w:cs="Arial"/>
                <w:sz w:val="18"/>
                <w:szCs w:val="18"/>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3E2CFB9D" w14:textId="77777777" w:rsidR="00475181" w:rsidRPr="00C16B44" w:rsidRDefault="00475181" w:rsidP="00475181">
            <w:pPr>
              <w:jc w:val="center"/>
              <w:rPr>
                <w:rFonts w:ascii="Arial" w:hAnsi="Arial" w:cs="Arial"/>
                <w:sz w:val="18"/>
                <w:szCs w:val="18"/>
              </w:rPr>
            </w:pPr>
            <w:r w:rsidRPr="00C16B44">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5EBD7F9D" w14:textId="77777777" w:rsidR="00475181" w:rsidRPr="00C16B44" w:rsidRDefault="00475181" w:rsidP="00475181">
            <w:pPr>
              <w:jc w:val="center"/>
              <w:rPr>
                <w:rFonts w:ascii="Arial" w:hAnsi="Arial" w:cs="Arial"/>
                <w:sz w:val="18"/>
                <w:szCs w:val="18"/>
              </w:rPr>
            </w:pPr>
            <w:r w:rsidRPr="00C16B44">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26D5921D" w14:textId="77777777" w:rsidR="00475181" w:rsidRPr="00C16B44" w:rsidRDefault="00475181" w:rsidP="00475181">
            <w:pPr>
              <w:jc w:val="center"/>
              <w:rPr>
                <w:rFonts w:ascii="Arial" w:hAnsi="Arial" w:cs="Arial"/>
                <w:sz w:val="18"/>
                <w:szCs w:val="18"/>
              </w:rPr>
            </w:pPr>
            <w:r w:rsidRPr="00C16B44">
              <w:rPr>
                <w:rFonts w:ascii="Arial" w:hAnsi="Arial" w:cs="Arial"/>
                <w:sz w:val="18"/>
                <w:szCs w:val="18"/>
              </w:rPr>
              <w:t>40%</w:t>
            </w:r>
          </w:p>
        </w:tc>
        <w:tc>
          <w:tcPr>
            <w:tcW w:w="1242" w:type="dxa"/>
            <w:tcBorders>
              <w:top w:val="single" w:sz="4" w:space="0" w:color="000000"/>
              <w:left w:val="single" w:sz="4" w:space="0" w:color="000000"/>
              <w:bottom w:val="single" w:sz="4" w:space="0" w:color="000000"/>
              <w:right w:val="single" w:sz="4" w:space="0" w:color="000000"/>
            </w:tcBorders>
            <w:vAlign w:val="center"/>
          </w:tcPr>
          <w:p w14:paraId="6A532179" w14:textId="77777777" w:rsidR="00475181" w:rsidRPr="00C16B44" w:rsidRDefault="00475181" w:rsidP="00475181">
            <w:pPr>
              <w:jc w:val="center"/>
              <w:rPr>
                <w:rFonts w:ascii="Arial" w:hAnsi="Arial" w:cs="Arial"/>
                <w:sz w:val="18"/>
                <w:szCs w:val="18"/>
              </w:rPr>
            </w:pPr>
            <w:r w:rsidRPr="00C16B44">
              <w:rPr>
                <w:rFonts w:ascii="Arial" w:hAnsi="Arial" w:cs="Arial"/>
                <w:sz w:val="18"/>
                <w:szCs w:val="18"/>
              </w:rPr>
              <w:t>100%</w:t>
            </w:r>
          </w:p>
        </w:tc>
      </w:tr>
    </w:tbl>
    <w:p w14:paraId="12E3371D" w14:textId="77777777" w:rsidR="00475181" w:rsidRPr="00184A8E" w:rsidRDefault="00475181" w:rsidP="00184A8E">
      <w:pPr>
        <w:spacing w:after="0" w:line="240" w:lineRule="auto"/>
        <w:jc w:val="both"/>
        <w:rPr>
          <w:rFonts w:ascii="Arial" w:eastAsia="Calibri" w:hAnsi="Arial" w:cs="Arial"/>
          <w:sz w:val="20"/>
          <w:szCs w:val="20"/>
          <w:lang w:eastAsia="en-US"/>
        </w:rPr>
      </w:pPr>
    </w:p>
    <w:p w14:paraId="548DFD58" w14:textId="77777777" w:rsidR="0019539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2. K210102: Izgradnja novog dječjeg vrtića u Cavtatu</w:t>
      </w:r>
      <w:r w:rsidRPr="00184A8E">
        <w:rPr>
          <w:rFonts w:ascii="Arial" w:eastAsia="Calibri" w:hAnsi="Arial" w:cs="Arial"/>
          <w:sz w:val="20"/>
          <w:szCs w:val="20"/>
          <w:lang w:eastAsia="en-US"/>
        </w:rPr>
        <w:t xml:space="preserve"> - u sklopu projekta </w:t>
      </w:r>
      <w:r w:rsidR="0019539E">
        <w:rPr>
          <w:rFonts w:ascii="Arial" w:eastAsia="Calibri" w:hAnsi="Arial" w:cs="Arial"/>
          <w:sz w:val="20"/>
          <w:szCs w:val="20"/>
          <w:lang w:eastAsia="en-US"/>
        </w:rPr>
        <w:t>ni</w:t>
      </w:r>
      <w:r w:rsidRPr="00184A8E">
        <w:rPr>
          <w:rFonts w:ascii="Arial" w:eastAsia="Calibri" w:hAnsi="Arial" w:cs="Arial"/>
          <w:sz w:val="20"/>
          <w:szCs w:val="20"/>
          <w:lang w:eastAsia="en-US"/>
        </w:rPr>
        <w:t>su planirani rashodi</w:t>
      </w:r>
      <w:r w:rsidR="0019539E">
        <w:rPr>
          <w:rFonts w:ascii="Arial" w:eastAsia="Calibri" w:hAnsi="Arial" w:cs="Arial"/>
          <w:sz w:val="20"/>
          <w:szCs w:val="20"/>
          <w:lang w:eastAsia="en-US"/>
        </w:rPr>
        <w:t>.</w:t>
      </w:r>
    </w:p>
    <w:p w14:paraId="00662BE0" w14:textId="57F1DEFE" w:rsidR="00184A8E" w:rsidRPr="00184A8E" w:rsidRDefault="0019539E" w:rsidP="00184A8E">
      <w:pPr>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 xml:space="preserve">Za ovaj projekt je započeta izrada projektne dokumentacije. Međutim, radi izgradnje nove škole, te činjenice da bi nakon preseljenja škole na novu lokaciju Županija trebala Općini ustupiti zemljište za izgradnju budućeg vrtić, nije nastavljen postupak projektiranja i izrade </w:t>
      </w:r>
      <w:r w:rsidR="00184A8E" w:rsidRPr="00184A8E">
        <w:rPr>
          <w:rFonts w:ascii="Arial" w:eastAsia="Calibri" w:hAnsi="Arial" w:cs="Arial"/>
          <w:sz w:val="20"/>
          <w:szCs w:val="20"/>
          <w:lang w:eastAsia="en-US"/>
        </w:rPr>
        <w:t xml:space="preserve">tehničke dokumentacije. Početak radova izgradnje novog dječjeg vrtića u Cavtatu dijelom ovisi o </w:t>
      </w:r>
      <w:r>
        <w:rPr>
          <w:rFonts w:ascii="Arial" w:eastAsia="Calibri" w:hAnsi="Arial" w:cs="Arial"/>
          <w:sz w:val="20"/>
          <w:szCs w:val="20"/>
          <w:lang w:eastAsia="en-US"/>
        </w:rPr>
        <w:t>završetku</w:t>
      </w:r>
      <w:r w:rsidR="00184A8E" w:rsidRPr="00184A8E">
        <w:rPr>
          <w:rFonts w:ascii="Arial" w:eastAsia="Calibri" w:hAnsi="Arial" w:cs="Arial"/>
          <w:sz w:val="20"/>
          <w:szCs w:val="20"/>
          <w:lang w:eastAsia="en-US"/>
        </w:rPr>
        <w:t xml:space="preserve"> izgradnje nove osnovne škole u Cavtatu, odnosno o iznalaženju lokacije na kojoj bi spomenuti objekti trebali biti smješteni. Rashodi nisu izvršeni.</w:t>
      </w:r>
    </w:p>
    <w:p w14:paraId="6AADDC21" w14:textId="77777777" w:rsidR="00184A8E" w:rsidRPr="00184A8E" w:rsidRDefault="00184A8E" w:rsidP="00184A8E">
      <w:pPr>
        <w:spacing w:after="0" w:line="240" w:lineRule="auto"/>
        <w:jc w:val="both"/>
        <w:rPr>
          <w:rFonts w:ascii="Arial" w:eastAsia="Calibri" w:hAnsi="Arial" w:cs="Arial"/>
          <w:sz w:val="20"/>
          <w:szCs w:val="20"/>
          <w:lang w:eastAsia="en-US"/>
        </w:rPr>
      </w:pPr>
    </w:p>
    <w:p w14:paraId="2AE2E131"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 xml:space="preserve">U 2018. su bili izvršeni rashodi u iznosu 213.750 kn /28.369,50 € i odnosili su se na izradu projektno tehničke dokumentacije dječjeg vrtića u Cavtatu (lokacija škola, trošak izrade glavnog projekta) prema ugovoru iz prosinca 2016. (ugovoreno 237.500 kn s porezom na dodanu vrijednost / 31.521,67 €). Nije još izrađen strojarski projekt – projekt vertikalnog transporta i geodetski projekt. </w:t>
      </w:r>
    </w:p>
    <w:p w14:paraId="5CE5D8AF"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U 2023. su bili izvršeni rashodi u iznosu 7.476,50 € i odnosili su se na izradu projektno tehničke dokumentacije za postojeću zgradu osnovne škole, odnosno analizu postojećeg stanja s procjenom vrijednosti ulaganja i uklanjanja postojeće građevine.</w:t>
      </w:r>
    </w:p>
    <w:p w14:paraId="78B6A124"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63592E00"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150CDAE"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3EF3964"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B799F78"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3E7BF3F"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CA0A914" w14:textId="4E8632C3"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19539E">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A835243" w14:textId="41B021E2"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19539E">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AF7A0B1" w14:textId="2242B286"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19539E">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8DC83A9" w14:textId="455C3B3D"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19539E">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EB3D0AC" w14:textId="46DCF480"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19539E">
              <w:rPr>
                <w:rFonts w:ascii="Arial" w:eastAsia="Calibri" w:hAnsi="Arial" w:cs="Arial"/>
              </w:rPr>
              <w:t>7</w:t>
            </w:r>
            <w:r w:rsidRPr="00184A8E">
              <w:rPr>
                <w:rFonts w:ascii="Arial" w:eastAsia="Calibri" w:hAnsi="Arial" w:cs="Arial"/>
              </w:rPr>
              <w:t>.</w:t>
            </w:r>
          </w:p>
        </w:tc>
      </w:tr>
      <w:tr w:rsidR="00184A8E" w:rsidRPr="00184A8E" w14:paraId="74E8B4CF"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6F4695D5" w14:textId="77777777" w:rsidR="00184A8E" w:rsidRPr="00184A8E" w:rsidRDefault="00184A8E" w:rsidP="00184A8E">
            <w:pPr>
              <w:rPr>
                <w:rFonts w:ascii="Arial" w:hAnsi="Arial" w:cs="Arial"/>
                <w:sz w:val="14"/>
                <w:szCs w:val="14"/>
              </w:rPr>
            </w:pPr>
            <w:r w:rsidRPr="00184A8E">
              <w:rPr>
                <w:rFonts w:ascii="Arial" w:hAnsi="Arial" w:cs="Arial"/>
                <w:sz w:val="14"/>
                <w:szCs w:val="14"/>
              </w:rPr>
              <w:t>Izrada / dopuna projekta izgradnje dječjeg vrtića u Cavtatu</w:t>
            </w:r>
          </w:p>
        </w:tc>
        <w:tc>
          <w:tcPr>
            <w:tcW w:w="3402" w:type="dxa"/>
            <w:tcBorders>
              <w:top w:val="single" w:sz="4" w:space="0" w:color="auto"/>
              <w:left w:val="single" w:sz="4" w:space="0" w:color="auto"/>
              <w:bottom w:val="single" w:sz="4" w:space="0" w:color="auto"/>
              <w:right w:val="single" w:sz="4" w:space="0" w:color="auto"/>
            </w:tcBorders>
            <w:vAlign w:val="center"/>
          </w:tcPr>
          <w:p w14:paraId="01EEF26F" w14:textId="77777777" w:rsidR="00184A8E" w:rsidRPr="00184A8E" w:rsidRDefault="00184A8E" w:rsidP="00184A8E">
            <w:pPr>
              <w:autoSpaceDE w:val="0"/>
              <w:autoSpaceDN w:val="0"/>
              <w:adjustRightInd w:val="0"/>
              <w:rPr>
                <w:rFonts w:ascii="Arial" w:hAnsi="Arial" w:cs="Arial"/>
                <w:sz w:val="18"/>
                <w:szCs w:val="18"/>
              </w:rPr>
            </w:pPr>
            <w:r w:rsidRPr="00184A8E">
              <w:rPr>
                <w:rFonts w:ascii="Arial" w:hAnsi="Arial" w:cs="Arial"/>
                <w:sz w:val="18"/>
                <w:szCs w:val="18"/>
              </w:rPr>
              <w:t>Udio izvršenja rashoda za uslugu revizije projekta izgradnje dječjeg vrtića u Cavtatu</w:t>
            </w:r>
          </w:p>
        </w:tc>
        <w:tc>
          <w:tcPr>
            <w:tcW w:w="958" w:type="dxa"/>
            <w:tcBorders>
              <w:top w:val="single" w:sz="4" w:space="0" w:color="auto"/>
              <w:left w:val="single" w:sz="4" w:space="0" w:color="auto"/>
              <w:bottom w:val="single" w:sz="4" w:space="0" w:color="auto"/>
              <w:right w:val="single" w:sz="4" w:space="0" w:color="auto"/>
            </w:tcBorders>
            <w:vAlign w:val="center"/>
          </w:tcPr>
          <w:p w14:paraId="46D74F16"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4D01D2C4"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59FF7687" w14:textId="77777777" w:rsidR="00184A8E" w:rsidRPr="00184A8E" w:rsidRDefault="00184A8E" w:rsidP="00184A8E">
            <w:pPr>
              <w:jc w:val="center"/>
              <w:rPr>
                <w:rFonts w:ascii="Arial" w:hAnsi="Arial" w:cs="Arial"/>
              </w:rPr>
            </w:pPr>
            <w:r w:rsidRPr="00184A8E">
              <w:rPr>
                <w:rFonts w:ascii="Arial" w:hAnsi="Arial" w:cs="Arial"/>
              </w:rPr>
              <w:t>0</w:t>
            </w:r>
          </w:p>
        </w:tc>
        <w:tc>
          <w:tcPr>
            <w:tcW w:w="1276" w:type="dxa"/>
            <w:tcBorders>
              <w:top w:val="single" w:sz="4" w:space="0" w:color="auto"/>
              <w:left w:val="single" w:sz="4" w:space="0" w:color="auto"/>
              <w:bottom w:val="single" w:sz="4" w:space="0" w:color="auto"/>
              <w:right w:val="single" w:sz="4" w:space="0" w:color="auto"/>
            </w:tcBorders>
            <w:vAlign w:val="center"/>
          </w:tcPr>
          <w:p w14:paraId="38730444" w14:textId="07724CEF" w:rsidR="00184A8E" w:rsidRPr="00184A8E" w:rsidRDefault="0019539E" w:rsidP="00184A8E">
            <w:pPr>
              <w:jc w:val="center"/>
              <w:rPr>
                <w:rFonts w:ascii="Arial" w:hAnsi="Arial" w:cs="Arial"/>
              </w:rPr>
            </w:pPr>
            <w:r>
              <w:rPr>
                <w:rFonts w:ascii="Arial" w:hAnsi="Arial" w:cs="Arial"/>
              </w:rPr>
              <w:t>0</w:t>
            </w:r>
            <w:r w:rsidR="00184A8E" w:rsidRPr="00184A8E">
              <w:rPr>
                <w:rFonts w:ascii="Arial" w:hAnsi="Arial" w:cs="Arial"/>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2F777BC5"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15D410F5"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39B390F" w14:textId="77777777" w:rsidR="00184A8E" w:rsidRPr="00184A8E" w:rsidRDefault="00184A8E" w:rsidP="00184A8E">
            <w:pPr>
              <w:jc w:val="center"/>
              <w:rPr>
                <w:rFonts w:ascii="Arial" w:hAnsi="Arial" w:cs="Arial"/>
              </w:rPr>
            </w:pPr>
            <w:r w:rsidRPr="00184A8E">
              <w:rPr>
                <w:rFonts w:ascii="Arial" w:hAnsi="Arial" w:cs="Arial"/>
              </w:rPr>
              <w:t>100%</w:t>
            </w:r>
          </w:p>
        </w:tc>
      </w:tr>
      <w:tr w:rsidR="00184A8E" w:rsidRPr="00184A8E" w14:paraId="3FFA74CA"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1E6D6A87" w14:textId="77777777" w:rsidR="00184A8E" w:rsidRPr="00184A8E" w:rsidRDefault="00184A8E" w:rsidP="00184A8E">
            <w:pPr>
              <w:rPr>
                <w:rFonts w:ascii="Arial" w:hAnsi="Arial" w:cs="Arial"/>
                <w:sz w:val="14"/>
                <w:szCs w:val="14"/>
              </w:rPr>
            </w:pPr>
            <w:r w:rsidRPr="00184A8E">
              <w:rPr>
                <w:rFonts w:ascii="Arial" w:hAnsi="Arial" w:cs="Arial"/>
                <w:sz w:val="14"/>
                <w:szCs w:val="14"/>
              </w:rPr>
              <w:t>Izgradnja dječjeg vrtića</w:t>
            </w:r>
          </w:p>
        </w:tc>
        <w:tc>
          <w:tcPr>
            <w:tcW w:w="3402" w:type="dxa"/>
            <w:tcBorders>
              <w:top w:val="single" w:sz="4" w:space="0" w:color="auto"/>
              <w:left w:val="single" w:sz="4" w:space="0" w:color="auto"/>
              <w:bottom w:val="single" w:sz="4" w:space="0" w:color="auto"/>
              <w:right w:val="single" w:sz="4" w:space="0" w:color="auto"/>
            </w:tcBorders>
            <w:vAlign w:val="center"/>
          </w:tcPr>
          <w:p w14:paraId="669C844C" w14:textId="77777777" w:rsidR="00184A8E" w:rsidRPr="00184A8E" w:rsidRDefault="00184A8E" w:rsidP="00184A8E">
            <w:pPr>
              <w:autoSpaceDE w:val="0"/>
              <w:autoSpaceDN w:val="0"/>
              <w:adjustRightInd w:val="0"/>
              <w:rPr>
                <w:rFonts w:ascii="Arial" w:hAnsi="Arial" w:cs="Arial"/>
                <w:sz w:val="18"/>
                <w:szCs w:val="18"/>
              </w:rPr>
            </w:pPr>
            <w:r w:rsidRPr="00184A8E">
              <w:rPr>
                <w:rFonts w:ascii="Arial" w:hAnsi="Arial" w:cs="Arial"/>
                <w:sz w:val="18"/>
                <w:szCs w:val="18"/>
              </w:rPr>
              <w:t>Postotak dovršenja radova izgradnje</w:t>
            </w:r>
          </w:p>
        </w:tc>
        <w:tc>
          <w:tcPr>
            <w:tcW w:w="958" w:type="dxa"/>
            <w:tcBorders>
              <w:top w:val="single" w:sz="4" w:space="0" w:color="auto"/>
              <w:left w:val="single" w:sz="4" w:space="0" w:color="auto"/>
              <w:bottom w:val="single" w:sz="4" w:space="0" w:color="auto"/>
              <w:right w:val="single" w:sz="4" w:space="0" w:color="auto"/>
            </w:tcBorders>
            <w:vAlign w:val="center"/>
          </w:tcPr>
          <w:p w14:paraId="1D8C4DD9"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2A934970"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F750BBA" w14:textId="77777777" w:rsidR="00184A8E" w:rsidRPr="00184A8E" w:rsidRDefault="00184A8E" w:rsidP="00184A8E">
            <w:pPr>
              <w:jc w:val="center"/>
              <w:rPr>
                <w:rFonts w:ascii="Arial" w:hAnsi="Arial" w:cs="Arial"/>
              </w:rPr>
            </w:pPr>
            <w:r w:rsidRPr="00184A8E">
              <w:rPr>
                <w:rFonts w:ascii="Arial" w:hAnsi="Arial" w:cs="Arial"/>
              </w:rPr>
              <w:t>0</w:t>
            </w:r>
          </w:p>
        </w:tc>
        <w:tc>
          <w:tcPr>
            <w:tcW w:w="1276" w:type="dxa"/>
            <w:tcBorders>
              <w:top w:val="single" w:sz="4" w:space="0" w:color="auto"/>
              <w:left w:val="single" w:sz="4" w:space="0" w:color="auto"/>
              <w:bottom w:val="single" w:sz="4" w:space="0" w:color="auto"/>
              <w:right w:val="single" w:sz="4" w:space="0" w:color="auto"/>
            </w:tcBorders>
            <w:vAlign w:val="center"/>
          </w:tcPr>
          <w:p w14:paraId="784FC7B1"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27ACCB83"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2B081DF5"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717210C6" w14:textId="77777777" w:rsidR="00184A8E" w:rsidRPr="00184A8E" w:rsidRDefault="00184A8E" w:rsidP="00184A8E">
            <w:pPr>
              <w:jc w:val="center"/>
              <w:rPr>
                <w:rFonts w:ascii="Arial" w:hAnsi="Arial" w:cs="Arial"/>
              </w:rPr>
            </w:pPr>
            <w:r w:rsidRPr="00184A8E">
              <w:rPr>
                <w:rFonts w:ascii="Arial" w:hAnsi="Arial" w:cs="Arial"/>
              </w:rPr>
              <w:t>100%</w:t>
            </w:r>
          </w:p>
        </w:tc>
      </w:tr>
    </w:tbl>
    <w:p w14:paraId="065F42C7" w14:textId="77777777" w:rsidR="00184A8E" w:rsidRPr="00184A8E" w:rsidRDefault="00184A8E" w:rsidP="00184A8E">
      <w:pPr>
        <w:spacing w:after="0" w:line="240" w:lineRule="auto"/>
        <w:jc w:val="both"/>
        <w:rPr>
          <w:rFonts w:ascii="Arial" w:eastAsia="Calibri" w:hAnsi="Arial" w:cs="Arial"/>
          <w:sz w:val="20"/>
          <w:szCs w:val="20"/>
          <w:lang w:eastAsia="en-US"/>
        </w:rPr>
      </w:pPr>
    </w:p>
    <w:p w14:paraId="0F917428" w14:textId="4E2F4D16"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3. K210103: Izgradnja nove osnovne škole Cavtatu, pripremne radnje</w:t>
      </w:r>
      <w:r w:rsidRPr="00184A8E">
        <w:rPr>
          <w:rFonts w:ascii="Arial" w:eastAsia="Calibri" w:hAnsi="Arial" w:cs="Arial"/>
          <w:sz w:val="20"/>
          <w:szCs w:val="20"/>
          <w:lang w:eastAsia="en-US"/>
        </w:rPr>
        <w:t xml:space="preserve"> - u sklopu projekta planiraju se rashodi za izradu projektne dokumentacije, te izgradnj</w:t>
      </w:r>
      <w:r w:rsidR="0019539E">
        <w:rPr>
          <w:rFonts w:ascii="Arial" w:eastAsia="Calibri" w:hAnsi="Arial" w:cs="Arial"/>
          <w:sz w:val="20"/>
          <w:szCs w:val="20"/>
          <w:lang w:eastAsia="en-US"/>
        </w:rPr>
        <w:t>u</w:t>
      </w:r>
      <w:r w:rsidRPr="00184A8E">
        <w:rPr>
          <w:rFonts w:ascii="Arial" w:eastAsia="Calibri" w:hAnsi="Arial" w:cs="Arial"/>
          <w:sz w:val="20"/>
          <w:szCs w:val="20"/>
          <w:lang w:eastAsia="en-US"/>
        </w:rPr>
        <w:t xml:space="preserve"> osnovne škole u iznosu </w:t>
      </w:r>
      <w:r w:rsidR="0019539E">
        <w:rPr>
          <w:rFonts w:ascii="Arial" w:eastAsia="Calibri" w:hAnsi="Arial" w:cs="Arial"/>
          <w:sz w:val="20"/>
          <w:szCs w:val="20"/>
          <w:lang w:eastAsia="en-US"/>
        </w:rPr>
        <w:t>11.937.007</w:t>
      </w:r>
      <w:r w:rsidRPr="00184A8E">
        <w:rPr>
          <w:rFonts w:ascii="Arial" w:eastAsia="Calibri" w:hAnsi="Arial" w:cs="Arial"/>
          <w:sz w:val="20"/>
          <w:szCs w:val="20"/>
          <w:lang w:eastAsia="en-US"/>
        </w:rPr>
        <w:t xml:space="preserve"> €. Objekt postojeće osnovne škole Cavtat je u jako lošem stanju. </w:t>
      </w:r>
    </w:p>
    <w:p w14:paraId="5A21EE48" w14:textId="77777777" w:rsidR="00184A8E" w:rsidRPr="00184A8E" w:rsidRDefault="00184A8E" w:rsidP="00184A8E">
      <w:pPr>
        <w:spacing w:after="0" w:line="240" w:lineRule="auto"/>
        <w:jc w:val="both"/>
        <w:rPr>
          <w:rFonts w:ascii="Arial" w:eastAsia="Calibri" w:hAnsi="Arial" w:cs="Arial"/>
          <w:sz w:val="20"/>
          <w:szCs w:val="20"/>
          <w:lang w:eastAsia="en-US"/>
        </w:rPr>
      </w:pPr>
    </w:p>
    <w:p w14:paraId="62BF327F"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 xml:space="preserve">U 2015. je bila izrađena idejna projektna dokumentacija novog objekta OŠ Cavtat i vrtića. Budući kapacitet vrtića i škole ne zadovoljava prostorne i tehničke standarde, Županija i Općina su nakon realizacije svih preduvjeta, odnosno donošenja UPU Cavtat-Zvekovica počele još u 2014. godini sa investiranjem u izradu projektne dokumentacije. Navedeni objekt škole bi za više od 500 učenika osigurao jednosmjensku nastavu. </w:t>
      </w:r>
    </w:p>
    <w:p w14:paraId="5C011305" w14:textId="77777777" w:rsidR="00184A8E" w:rsidRPr="00184A8E" w:rsidRDefault="00184A8E" w:rsidP="00184A8E">
      <w:pPr>
        <w:spacing w:after="0" w:line="240" w:lineRule="auto"/>
        <w:ind w:left="567"/>
        <w:jc w:val="both"/>
        <w:rPr>
          <w:rFonts w:ascii="Arial" w:eastAsia="Calibri" w:hAnsi="Arial" w:cs="Arial"/>
          <w:sz w:val="18"/>
          <w:szCs w:val="18"/>
          <w:lang w:eastAsia="en-US"/>
        </w:rPr>
      </w:pPr>
    </w:p>
    <w:p w14:paraId="30437B56"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U 2019. rashodi su izvršeni u iznosu 109.625 kn / 14.549,77 €, a odnosili su se na učešće u nabavi zemljišta za izgradnju osnovne škole u Cavtatu. Naime, Ministarstvo državne imovine je, na temelju ugovora o darovanju od 24.10.2019., Općini dodijelilo zemljište površine 18.118 m² k.č. 501, zk.ul. 1214 k.o. Cavtat odnosno k.č. 534/2 k.o. Cavtat, vrijednosti 10.910.000 kn / 1.448.005,84 €/ na kojem bi trebao biti novi objekt osnovne škole (sukladno idejnom rješenju i arhitektonskom projektu iz lipnja 2019.), uz obvezu da se plate troškovi procjene zemljišta i razvrgnuća suvlasničke zajednice s fizičkim osobama. Također, ugovorom o darovanju je utvrđena obveza Općine da darovanu nekretninu privede utvrđenoj namjeni u roku pet godina od dana zaključivanja ugovora i dostavi nadležnom ministarstvu izvršnu uporabnu dozvolu za građevinu za koju je nekretnina darovana.</w:t>
      </w:r>
    </w:p>
    <w:p w14:paraId="27DF67E3" w14:textId="77777777" w:rsidR="00184A8E" w:rsidRPr="00184A8E" w:rsidRDefault="00184A8E" w:rsidP="00184A8E">
      <w:pPr>
        <w:spacing w:after="0" w:line="240" w:lineRule="auto"/>
        <w:ind w:left="567"/>
        <w:jc w:val="both"/>
        <w:rPr>
          <w:rFonts w:ascii="Arial" w:eastAsia="Calibri" w:hAnsi="Arial" w:cs="Arial"/>
          <w:sz w:val="16"/>
          <w:szCs w:val="16"/>
          <w:lang w:eastAsia="en-US"/>
        </w:rPr>
      </w:pPr>
    </w:p>
    <w:p w14:paraId="40A13A8B"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Na temelju provedenog postupka javne nabave zaključen je u 2022. godini ugovor za izradu projektno tehničke dokumentacije za izgradnju osnovne škole u Cavtatu s odabranim izvoditeljem u iznosu 2.175.370,34 kn (s PDV-om) / 288.721,26 €. Ugovoreni rok izrade dokumentacije je 10 mjeseci. U 2022. su izvršeni rashodi u iznosu 668.033,34 kn / 88.663,26 € (dvije privremene situacije).</w:t>
      </w:r>
    </w:p>
    <w:p w14:paraId="044FC07D" w14:textId="77777777" w:rsidR="00184A8E" w:rsidRPr="00184A8E" w:rsidRDefault="00184A8E" w:rsidP="00184A8E">
      <w:pPr>
        <w:spacing w:after="0" w:line="240" w:lineRule="auto"/>
        <w:jc w:val="both"/>
        <w:rPr>
          <w:rFonts w:ascii="Arial" w:eastAsia="Calibri" w:hAnsi="Arial" w:cs="Arial"/>
          <w:sz w:val="18"/>
          <w:szCs w:val="18"/>
          <w:lang w:eastAsia="en-US"/>
        </w:rPr>
      </w:pPr>
    </w:p>
    <w:p w14:paraId="029834A9"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 xml:space="preserve">Dobivene su sljedeće dozvole: </w:t>
      </w:r>
    </w:p>
    <w:p w14:paraId="2428E22E" w14:textId="77777777" w:rsidR="00184A8E" w:rsidRPr="00184A8E" w:rsidRDefault="00184A8E">
      <w:pPr>
        <w:numPr>
          <w:ilvl w:val="0"/>
          <w:numId w:val="7"/>
        </w:numPr>
        <w:autoSpaceDE w:val="0"/>
        <w:autoSpaceDN w:val="0"/>
        <w:adjustRightInd w:val="0"/>
        <w:spacing w:after="0" w:line="240" w:lineRule="auto"/>
        <w:ind w:left="1134" w:hanging="567"/>
        <w:jc w:val="both"/>
        <w:rPr>
          <w:rFonts w:ascii="Arial" w:hAnsi="Arial" w:cs="Arial"/>
          <w:sz w:val="18"/>
          <w:szCs w:val="18"/>
        </w:rPr>
      </w:pPr>
      <w:r w:rsidRPr="00184A8E">
        <w:rPr>
          <w:rFonts w:ascii="Arial" w:hAnsi="Arial" w:cs="Arial"/>
          <w:b/>
          <w:sz w:val="18"/>
          <w:szCs w:val="18"/>
          <w:u w:val="single"/>
        </w:rPr>
        <w:t>Lokacijska dozvola</w:t>
      </w:r>
      <w:r w:rsidRPr="00184A8E">
        <w:rPr>
          <w:rFonts w:ascii="Arial" w:hAnsi="Arial" w:cs="Arial"/>
          <w:sz w:val="18"/>
          <w:szCs w:val="18"/>
        </w:rPr>
        <w:t>; KLASA: UP/I-350-05/22-01/000006; URBROJ:2117-23-6/1-22-0008, Konavle od 19.05.2022., PRAVOMOĆNA, Dubrovačko-neretvanska županija, Upravni odjel za prostorno uređenje i gradnju, Ispostava u Konavlima, izdalo je: lokacijsku dozvolu za ETAPU 1 - građenje građevine infrastrukturne namjene prometnog sustava (cestovni promet), kolno pješačka prometnica, građenje potpornih zidova, te polaganje instalacija vodoopskrbe i oborinske odvodnje, distributivne telekomunikacije, elektroinstalacije i javne rasvjete, te ETAPA 2 – građenje građevine javne i društvene namjene (osnovnoškolska ustanova) – Osnovna škola Cavtat s pripadajućim otvorenim sportskim terenima, parkiralištem i internom prometnicom na građevnoj čestici k.č. 534/2 (č.zem. 501/1 s.i.) k.o.Cavtat, površine 17120 m².</w:t>
      </w:r>
    </w:p>
    <w:p w14:paraId="4F79CDB0" w14:textId="77777777" w:rsidR="00184A8E" w:rsidRPr="00184A8E" w:rsidRDefault="00184A8E">
      <w:pPr>
        <w:numPr>
          <w:ilvl w:val="0"/>
          <w:numId w:val="7"/>
        </w:numPr>
        <w:autoSpaceDE w:val="0"/>
        <w:autoSpaceDN w:val="0"/>
        <w:adjustRightInd w:val="0"/>
        <w:spacing w:after="0" w:line="240" w:lineRule="auto"/>
        <w:ind w:left="1134" w:hanging="567"/>
        <w:jc w:val="both"/>
        <w:rPr>
          <w:rFonts w:ascii="Arial" w:eastAsia="Times New Roman" w:hAnsi="Arial" w:cs="Arial"/>
          <w:sz w:val="18"/>
          <w:szCs w:val="18"/>
          <w:lang w:eastAsia="en-US"/>
        </w:rPr>
      </w:pPr>
      <w:r w:rsidRPr="00184A8E">
        <w:rPr>
          <w:rFonts w:ascii="Arial" w:eastAsia="Times New Roman" w:hAnsi="Arial" w:cs="Arial"/>
          <w:b/>
          <w:sz w:val="18"/>
          <w:szCs w:val="18"/>
          <w:u w:val="single"/>
          <w:lang w:eastAsia="en-US"/>
        </w:rPr>
        <w:t xml:space="preserve">Građevinska dozvola; </w:t>
      </w:r>
      <w:r w:rsidRPr="00184A8E">
        <w:rPr>
          <w:rFonts w:ascii="Arial" w:eastAsia="Times New Roman" w:hAnsi="Arial" w:cs="Arial"/>
          <w:bCs/>
          <w:sz w:val="18"/>
          <w:szCs w:val="18"/>
          <w:lang w:eastAsia="en-US"/>
        </w:rPr>
        <w:t>KLASA: UP/I-361-03/22-01/000408; URBROJ:2117-23-6/1-23-0018, Gruda od 7.7.2023., Dubrovačko-</w:t>
      </w:r>
      <w:r w:rsidRPr="00184A8E">
        <w:rPr>
          <w:rFonts w:ascii="Arial" w:eastAsia="Times New Roman" w:hAnsi="Arial" w:cs="Arial"/>
          <w:sz w:val="18"/>
          <w:szCs w:val="18"/>
          <w:lang w:eastAsia="en-US"/>
        </w:rPr>
        <w:t>neretvanska županija, Upravni odjel za prostorno uređenje i gradnju, Ispostava u Grudi, izdalo je: građevinsku dozvolu za etapno građenje – etapa 2, koja uključuje izgradnju škole s pripadajućim otvorenim sportskim terenima, parkiralištem i internom prometnicom.</w:t>
      </w:r>
    </w:p>
    <w:p w14:paraId="0ED4B4A7" w14:textId="77777777" w:rsidR="00184A8E" w:rsidRPr="00184A8E" w:rsidRDefault="00184A8E">
      <w:pPr>
        <w:numPr>
          <w:ilvl w:val="0"/>
          <w:numId w:val="7"/>
        </w:numPr>
        <w:autoSpaceDE w:val="0"/>
        <w:autoSpaceDN w:val="0"/>
        <w:adjustRightInd w:val="0"/>
        <w:spacing w:after="0" w:line="240" w:lineRule="auto"/>
        <w:ind w:left="1134" w:hanging="567"/>
        <w:jc w:val="both"/>
        <w:rPr>
          <w:rFonts w:ascii="Arial" w:eastAsia="Times New Roman" w:hAnsi="Arial" w:cs="Arial"/>
          <w:sz w:val="18"/>
          <w:szCs w:val="18"/>
          <w:lang w:eastAsia="en-US"/>
        </w:rPr>
      </w:pPr>
      <w:r w:rsidRPr="00184A8E">
        <w:rPr>
          <w:rFonts w:ascii="Arial" w:eastAsia="Times New Roman" w:hAnsi="Arial" w:cs="Arial"/>
          <w:b/>
          <w:sz w:val="18"/>
          <w:szCs w:val="18"/>
          <w:u w:val="single"/>
          <w:lang w:eastAsia="en-US"/>
        </w:rPr>
        <w:t xml:space="preserve">Građevinska dozvola; </w:t>
      </w:r>
      <w:r w:rsidRPr="00184A8E">
        <w:rPr>
          <w:rFonts w:ascii="Arial" w:eastAsia="Times New Roman" w:hAnsi="Arial" w:cs="Arial"/>
          <w:bCs/>
          <w:sz w:val="18"/>
          <w:szCs w:val="18"/>
          <w:lang w:eastAsia="en-US"/>
        </w:rPr>
        <w:t>KLASA: UP/I-361-03/22-01/000482; URBROJ:2117-23-1/2-23-0022, Dubrovnik od 7.4.2023., Dubrovačko-</w:t>
      </w:r>
      <w:r w:rsidRPr="00184A8E">
        <w:rPr>
          <w:rFonts w:ascii="Arial" w:eastAsia="Times New Roman" w:hAnsi="Arial" w:cs="Arial"/>
          <w:sz w:val="18"/>
          <w:szCs w:val="18"/>
          <w:lang w:eastAsia="en-US"/>
        </w:rPr>
        <w:t>neretvanska županija, Upravni odjel za prostorno uređenje i gradnju, Sjedište Dubrovnik, izdalo je: građevinsku dozvolu za etapno građenje – etapa 1, koja građenje građevine infrastrukturne namjene prometnog sustava (cestovni promet), građenje kolno pješačke prometnice, građenje potpornih zidova, te polaganje instalacija u trupu prometnice vodoopskrbnog cjevovoda, oborinske odvodnje, distributivne telekomunikacije, elektroinstalacija i javne rasvjete na građevnoj čestici 534/12 k.o. Cavtat, odnosno 475/1 k.o. Cavtat, a sve u skladu sa glavnim projektom.</w:t>
      </w:r>
    </w:p>
    <w:p w14:paraId="11232ABC" w14:textId="77777777" w:rsidR="00184A8E" w:rsidRPr="00184A8E" w:rsidRDefault="00184A8E" w:rsidP="00184A8E">
      <w:pPr>
        <w:autoSpaceDE w:val="0"/>
        <w:autoSpaceDN w:val="0"/>
        <w:adjustRightInd w:val="0"/>
        <w:spacing w:after="0" w:line="240" w:lineRule="auto"/>
        <w:rPr>
          <w:rFonts w:ascii="Arial" w:eastAsia="Calibri" w:hAnsi="Arial" w:cs="Arial"/>
          <w:sz w:val="18"/>
          <w:szCs w:val="18"/>
          <w:lang w:eastAsia="en-US"/>
        </w:rPr>
      </w:pPr>
    </w:p>
    <w:p w14:paraId="0D2B2D64" w14:textId="77777777" w:rsidR="00184A8E" w:rsidRPr="00184A8E" w:rsidRDefault="00184A8E" w:rsidP="00184A8E">
      <w:pPr>
        <w:autoSpaceDE w:val="0"/>
        <w:autoSpaceDN w:val="0"/>
        <w:adjustRightInd w:val="0"/>
        <w:spacing w:after="0" w:line="240" w:lineRule="auto"/>
        <w:ind w:left="567"/>
        <w:rPr>
          <w:rFonts w:ascii="Arial" w:eastAsia="Calibri" w:hAnsi="Arial" w:cs="Arial"/>
          <w:sz w:val="18"/>
          <w:szCs w:val="18"/>
          <w:lang w:eastAsia="en-US"/>
        </w:rPr>
      </w:pPr>
      <w:r w:rsidRPr="00184A8E">
        <w:rPr>
          <w:rFonts w:ascii="Arial" w:eastAsia="Calibri" w:hAnsi="Arial" w:cs="Arial"/>
          <w:sz w:val="18"/>
          <w:szCs w:val="18"/>
          <w:lang w:eastAsia="en-US"/>
        </w:rPr>
        <w:t>Dozvolu za izmještanje visokonaponskog kabela koji ide duž čestice zemlje na kojoj će se graditi škola je ishodio HEP.</w:t>
      </w:r>
    </w:p>
    <w:p w14:paraId="4C79068E" w14:textId="77777777" w:rsidR="00184A8E" w:rsidRPr="00184A8E" w:rsidRDefault="00184A8E" w:rsidP="00184A8E">
      <w:pPr>
        <w:autoSpaceDE w:val="0"/>
        <w:autoSpaceDN w:val="0"/>
        <w:adjustRightInd w:val="0"/>
        <w:spacing w:after="0" w:line="240" w:lineRule="auto"/>
        <w:ind w:left="567"/>
        <w:jc w:val="both"/>
        <w:rPr>
          <w:rFonts w:ascii="Arial" w:hAnsi="Arial" w:cs="Arial"/>
          <w:sz w:val="18"/>
          <w:szCs w:val="18"/>
        </w:rPr>
      </w:pPr>
      <w:r w:rsidRPr="00184A8E">
        <w:rPr>
          <w:rFonts w:ascii="Arial" w:eastAsia="Calibri" w:hAnsi="Arial" w:cs="Arial"/>
          <w:sz w:val="18"/>
          <w:szCs w:val="18"/>
          <w:lang w:eastAsia="en-US"/>
        </w:rPr>
        <w:t>Financiranje izgradnje nove škole (sa sportskom dvoranom i ostalim potrebnim sadržajima) ovisi o sredstvima Republike Hrvatske i Dubrovačko-neretvanske županije kao osnivača škole.</w:t>
      </w:r>
    </w:p>
    <w:p w14:paraId="59FD5C63" w14:textId="77777777" w:rsidR="00184A8E" w:rsidRPr="00184A8E" w:rsidRDefault="00184A8E" w:rsidP="00184A8E">
      <w:pPr>
        <w:spacing w:after="0" w:line="240" w:lineRule="auto"/>
        <w:ind w:left="567"/>
        <w:jc w:val="both"/>
        <w:rPr>
          <w:rFonts w:ascii="Arial" w:eastAsia="Calibri" w:hAnsi="Arial" w:cs="Arial"/>
          <w:sz w:val="18"/>
          <w:szCs w:val="18"/>
          <w:lang w:eastAsia="en-US"/>
        </w:rPr>
      </w:pPr>
    </w:p>
    <w:p w14:paraId="67CE23E5"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Izvršeni rashodi u 2023. su iznosili 134.331,44 € i odnosili su se na 1,940,43 € za vodni doprinos za građevinu zgrade javne namjene (osnovnu školu), te treću privremenu situaciju za projektno tehničku dokumentaciju u iznosu 132.391,01 € (ishođena lokacijska dozvola i jedna građevinska dozvola).</w:t>
      </w:r>
    </w:p>
    <w:p w14:paraId="6A43F18A" w14:textId="77777777" w:rsidR="00184A8E" w:rsidRPr="00184A8E" w:rsidRDefault="00184A8E" w:rsidP="00184A8E">
      <w:pPr>
        <w:spacing w:after="0" w:line="240" w:lineRule="auto"/>
        <w:jc w:val="both"/>
        <w:rPr>
          <w:rFonts w:ascii="Arial" w:eastAsia="Calibri" w:hAnsi="Arial" w:cs="Arial"/>
          <w:sz w:val="18"/>
          <w:szCs w:val="18"/>
          <w:lang w:eastAsia="en-US"/>
        </w:rPr>
      </w:pPr>
    </w:p>
    <w:p w14:paraId="4B9623CF" w14:textId="77777777" w:rsidR="00184A8E" w:rsidRPr="00E607B4" w:rsidRDefault="00184A8E" w:rsidP="00E607B4">
      <w:pPr>
        <w:spacing w:after="0" w:line="240" w:lineRule="auto"/>
        <w:ind w:left="567"/>
        <w:jc w:val="both"/>
        <w:rPr>
          <w:rFonts w:ascii="Arial" w:eastAsia="Calibri" w:hAnsi="Arial" w:cs="Arial"/>
          <w:sz w:val="18"/>
          <w:szCs w:val="18"/>
          <w:lang w:eastAsia="en-US"/>
        </w:rPr>
      </w:pPr>
      <w:r w:rsidRPr="00E607B4">
        <w:rPr>
          <w:rFonts w:ascii="Arial" w:eastAsia="Calibri" w:hAnsi="Arial" w:cs="Arial"/>
          <w:sz w:val="18"/>
          <w:szCs w:val="18"/>
          <w:lang w:eastAsia="en-US"/>
        </w:rPr>
        <w:t>U 2024. godini su izvršeni rashodi u iznosu 252.495,30 € i odnose se na:</w:t>
      </w:r>
    </w:p>
    <w:p w14:paraId="59E88C85" w14:textId="77777777" w:rsidR="00184A8E" w:rsidRPr="00E607B4" w:rsidRDefault="00184A8E" w:rsidP="00E607B4">
      <w:pPr>
        <w:numPr>
          <w:ilvl w:val="0"/>
          <w:numId w:val="3"/>
        </w:numPr>
        <w:spacing w:after="0" w:line="240" w:lineRule="auto"/>
        <w:ind w:left="1571"/>
        <w:jc w:val="both"/>
        <w:rPr>
          <w:rFonts w:ascii="Arial" w:eastAsia="Calibri" w:hAnsi="Arial" w:cs="Arial"/>
          <w:sz w:val="18"/>
          <w:szCs w:val="18"/>
          <w:lang w:eastAsia="en-US"/>
        </w:rPr>
      </w:pPr>
      <w:r w:rsidRPr="00E607B4">
        <w:rPr>
          <w:rFonts w:ascii="Arial" w:eastAsia="Calibri" w:hAnsi="Arial" w:cs="Arial"/>
          <w:sz w:val="18"/>
          <w:szCs w:val="18"/>
          <w:lang w:eastAsia="en-US"/>
        </w:rPr>
        <w:t>troškove izmještanja dalekovoda u iznosu 186.516,37 € (sukladno zaključenom ugovoru s HEP- Operator distribucijskog sustava iz svibnja 2022.godine)</w:t>
      </w:r>
    </w:p>
    <w:p w14:paraId="4963BFBB" w14:textId="77777777" w:rsidR="00184A8E" w:rsidRPr="00E607B4" w:rsidRDefault="00184A8E" w:rsidP="00E607B4">
      <w:pPr>
        <w:numPr>
          <w:ilvl w:val="0"/>
          <w:numId w:val="3"/>
        </w:numPr>
        <w:spacing w:after="0" w:line="240" w:lineRule="auto"/>
        <w:ind w:left="1571"/>
        <w:jc w:val="both"/>
        <w:rPr>
          <w:rFonts w:ascii="Arial" w:eastAsia="Calibri" w:hAnsi="Arial" w:cs="Arial"/>
          <w:sz w:val="18"/>
          <w:szCs w:val="18"/>
          <w:lang w:eastAsia="en-US"/>
        </w:rPr>
      </w:pPr>
      <w:r w:rsidRPr="00E607B4">
        <w:rPr>
          <w:rFonts w:ascii="Arial" w:eastAsia="Calibri" w:hAnsi="Arial" w:cs="Arial"/>
          <w:sz w:val="18"/>
          <w:szCs w:val="18"/>
          <w:lang w:eastAsia="en-US"/>
        </w:rPr>
        <w:t xml:space="preserve">odvjetničke usluge u postupku pravnog i tehničkog savjetovanja u postupku javne nabave za usluge voditelja projekta izgradnje osnovne škole, a što obuhvaća izradu dokumentacije o nabavi u iznosu 3.125 € (sukladno ugovoru iz prosinca 2023.), </w:t>
      </w:r>
    </w:p>
    <w:p w14:paraId="12BF349D" w14:textId="77777777" w:rsidR="00184A8E" w:rsidRPr="00184A8E" w:rsidRDefault="00184A8E" w:rsidP="00E607B4">
      <w:pPr>
        <w:numPr>
          <w:ilvl w:val="0"/>
          <w:numId w:val="3"/>
        </w:numPr>
        <w:spacing w:after="0" w:line="240" w:lineRule="auto"/>
        <w:ind w:left="1571"/>
        <w:jc w:val="both"/>
        <w:rPr>
          <w:rFonts w:ascii="Arial" w:eastAsia="Calibri" w:hAnsi="Arial" w:cs="Arial"/>
          <w:sz w:val="20"/>
          <w:szCs w:val="20"/>
          <w:lang w:eastAsia="en-US"/>
        </w:rPr>
      </w:pPr>
      <w:r w:rsidRPr="00E607B4">
        <w:rPr>
          <w:rFonts w:ascii="Arial" w:eastAsia="Calibri" w:hAnsi="Arial" w:cs="Arial"/>
          <w:sz w:val="18"/>
          <w:szCs w:val="18"/>
          <w:lang w:eastAsia="en-US"/>
        </w:rPr>
        <w:lastRenderedPageBreak/>
        <w:t>dvije privremene situacije (četvrta i peta) za izradu projektne dokumentacije za izgradnju osnovne škole Cavtat u iznosu 62.853,93 € (na temelju osnovnog ugovora iz 2021. godine, te dodatka iz prosinca 2023. godine, veljače 2024. godine, te svibnja 2024. godine). Sveukupno izvedena vrijednost projektno tehničke dokumentacije na temelju ovih pet privremenih situacija iznosi 227.126,55 € bez PDV-a odnosno 283.908,20 € s PDV-om što čini 93,4% ugovorene vrijednosti.</w:t>
      </w:r>
    </w:p>
    <w:p w14:paraId="4C52300B" w14:textId="77777777" w:rsidR="00184A8E" w:rsidRPr="00E607B4" w:rsidRDefault="00184A8E" w:rsidP="00E607B4">
      <w:pPr>
        <w:spacing w:after="0" w:line="240" w:lineRule="auto"/>
        <w:ind w:left="709"/>
        <w:rPr>
          <w:rFonts w:ascii="Arial" w:eastAsia="Calibri" w:hAnsi="Arial" w:cs="Arial"/>
          <w:sz w:val="18"/>
          <w:szCs w:val="18"/>
        </w:rPr>
      </w:pPr>
    </w:p>
    <w:p w14:paraId="0809FB01" w14:textId="77777777" w:rsidR="00184A8E" w:rsidRPr="00184A8E" w:rsidRDefault="00184A8E" w:rsidP="00E607B4">
      <w:pPr>
        <w:spacing w:after="0" w:line="240" w:lineRule="auto"/>
        <w:ind w:left="709"/>
        <w:jc w:val="both"/>
        <w:rPr>
          <w:rFonts w:ascii="Arial" w:eastAsia="Calibri" w:hAnsi="Arial" w:cs="Arial"/>
          <w:sz w:val="20"/>
          <w:szCs w:val="20"/>
          <w:lang w:eastAsia="en-US"/>
        </w:rPr>
      </w:pPr>
      <w:r w:rsidRPr="00E607B4">
        <w:rPr>
          <w:rFonts w:ascii="Arial" w:eastAsia="Calibri" w:hAnsi="Arial" w:cs="Arial"/>
          <w:sz w:val="18"/>
          <w:szCs w:val="18"/>
          <w:lang w:eastAsia="en-US"/>
        </w:rPr>
        <w:t>Za potrebe izmještanja dalekovoda u 2022. godini je zaključen ugovor o uređenju međusobnih odnosa. Ovim ugovorom je procijenjena vrijednost troškova u iznosu 2.248.491,98 kn / 298.426,17 € (bez PDV-a), odnosno u iznosu 373.032,71 € s PDV-om. HEP-u kao obvezniku izvođenja radova izmještanja dalekovoda su doznačena sredstva u iznosu 186.516,37 € (s PDV-om). Ugovorom je utvrđeno da će preostali iznos Općina doznačiti HEP-u nakon konačnog obračuna izvođenja radova izmještanja dalekovoda. Prema dostavljenom obračunu u travnju 2025. godine, preostala obveza za troškove izmještanja dalekovoda iznosi 129.944,65 € (te sveukupno izvršeni radovi izmještanja dalekovoda iznose 316.461,02 €).</w:t>
      </w:r>
    </w:p>
    <w:p w14:paraId="01EF0326" w14:textId="77777777" w:rsidR="00184A8E" w:rsidRDefault="00184A8E" w:rsidP="00184A8E">
      <w:pPr>
        <w:spacing w:after="0" w:line="240" w:lineRule="auto"/>
        <w:jc w:val="both"/>
        <w:rPr>
          <w:rFonts w:ascii="Arial" w:eastAsia="Calibri" w:hAnsi="Arial" w:cs="Arial"/>
          <w:sz w:val="20"/>
          <w:szCs w:val="20"/>
          <w:lang w:eastAsia="en-US"/>
        </w:rPr>
      </w:pPr>
    </w:p>
    <w:p w14:paraId="374FD72C" w14:textId="675297AB" w:rsidR="00E607B4" w:rsidRDefault="00E607B4" w:rsidP="00184A8E">
      <w:pPr>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U 2025. godini izvršeni su rashodi u iznosu 8.661.323,66 € i odnose se na:</w:t>
      </w:r>
    </w:p>
    <w:p w14:paraId="72833B5F" w14:textId="4BE884F7" w:rsidR="00E607B4" w:rsidRDefault="00E607B4" w:rsidP="00E607B4">
      <w:pPr>
        <w:pStyle w:val="Odlomakpopisa"/>
        <w:numPr>
          <w:ilvl w:val="0"/>
          <w:numId w:val="3"/>
        </w:numPr>
        <w:rPr>
          <w:rFonts w:ascii="Arial" w:eastAsia="Calibri" w:hAnsi="Arial" w:cs="Arial"/>
        </w:rPr>
      </w:pPr>
      <w:r>
        <w:rPr>
          <w:rFonts w:ascii="Arial" w:eastAsia="Calibri" w:hAnsi="Arial" w:cs="Arial"/>
        </w:rPr>
        <w:t>trošak pripreme terena za višak iskopa na izgradnji osnovne škole u iznosu 11.500 €,</w:t>
      </w:r>
    </w:p>
    <w:p w14:paraId="46F0AE2E" w14:textId="73F53F70" w:rsidR="00E607B4" w:rsidRDefault="00E607B4" w:rsidP="00E607B4">
      <w:pPr>
        <w:pStyle w:val="Odlomakpopisa"/>
        <w:numPr>
          <w:ilvl w:val="0"/>
          <w:numId w:val="3"/>
        </w:numPr>
        <w:rPr>
          <w:rFonts w:ascii="Arial" w:eastAsia="Calibri" w:hAnsi="Arial" w:cs="Arial"/>
        </w:rPr>
      </w:pPr>
      <w:r>
        <w:rPr>
          <w:rFonts w:ascii="Arial" w:eastAsia="Calibri" w:hAnsi="Arial" w:cs="Arial"/>
        </w:rPr>
        <w:t xml:space="preserve">izrada geodetskog situacijskog snimka za deponiranje viška iskopa 875 €, </w:t>
      </w:r>
    </w:p>
    <w:p w14:paraId="7A3B6422" w14:textId="0912BDBB" w:rsidR="00E607B4" w:rsidRDefault="00E607B4" w:rsidP="00E607B4">
      <w:pPr>
        <w:pStyle w:val="Odlomakpopisa"/>
        <w:numPr>
          <w:ilvl w:val="0"/>
          <w:numId w:val="3"/>
        </w:numPr>
        <w:rPr>
          <w:rFonts w:ascii="Arial" w:eastAsia="Calibri" w:hAnsi="Arial" w:cs="Arial"/>
        </w:rPr>
      </w:pPr>
      <w:r>
        <w:rPr>
          <w:rFonts w:ascii="Arial" w:eastAsia="Calibri" w:hAnsi="Arial" w:cs="Arial"/>
        </w:rPr>
        <w:t>kontrola postupka javne nabave 1.500 €,</w:t>
      </w:r>
    </w:p>
    <w:p w14:paraId="0ED39330" w14:textId="0DE4FE7F" w:rsidR="00E607B4" w:rsidRDefault="00E607B4" w:rsidP="00E607B4">
      <w:pPr>
        <w:pStyle w:val="Odlomakpopisa"/>
        <w:numPr>
          <w:ilvl w:val="0"/>
          <w:numId w:val="3"/>
        </w:numPr>
        <w:rPr>
          <w:rFonts w:ascii="Arial" w:eastAsia="Calibri" w:hAnsi="Arial" w:cs="Arial"/>
        </w:rPr>
      </w:pPr>
      <w:r w:rsidRPr="00E607B4">
        <w:rPr>
          <w:rFonts w:ascii="Arial" w:eastAsia="Calibri" w:hAnsi="Arial" w:cs="Arial"/>
        </w:rPr>
        <w:t>troš</w:t>
      </w:r>
      <w:r>
        <w:rPr>
          <w:rFonts w:ascii="Arial" w:eastAsia="Calibri" w:hAnsi="Arial" w:cs="Arial"/>
        </w:rPr>
        <w:t>ak</w:t>
      </w:r>
      <w:r w:rsidRPr="00E607B4">
        <w:rPr>
          <w:rFonts w:ascii="Arial" w:eastAsia="Calibri" w:hAnsi="Arial" w:cs="Arial"/>
        </w:rPr>
        <w:t xml:space="preserve"> izmještanja dalekovoda u iznosu </w:t>
      </w:r>
      <w:r>
        <w:rPr>
          <w:rFonts w:ascii="Arial" w:eastAsia="Calibri" w:hAnsi="Arial" w:cs="Arial"/>
        </w:rPr>
        <w:t>129.944,65</w:t>
      </w:r>
      <w:r w:rsidRPr="00E607B4">
        <w:rPr>
          <w:rFonts w:ascii="Arial" w:eastAsia="Calibri" w:hAnsi="Arial" w:cs="Arial"/>
        </w:rPr>
        <w:t xml:space="preserve"> € (</w:t>
      </w:r>
      <w:r>
        <w:rPr>
          <w:rFonts w:ascii="Arial" w:eastAsia="Calibri" w:hAnsi="Arial" w:cs="Arial"/>
        </w:rPr>
        <w:t xml:space="preserve">okončana situacija, </w:t>
      </w:r>
      <w:r w:rsidRPr="00E607B4">
        <w:rPr>
          <w:rFonts w:ascii="Arial" w:eastAsia="Calibri" w:hAnsi="Arial" w:cs="Arial"/>
        </w:rPr>
        <w:t>sukladno zaključenom ugovoru s HEP- Operator distribucijskog sustava iz svibnja 2022.godine)</w:t>
      </w:r>
      <w:r>
        <w:rPr>
          <w:rFonts w:ascii="Arial" w:eastAsia="Calibri" w:hAnsi="Arial" w:cs="Arial"/>
        </w:rPr>
        <w:t>,</w:t>
      </w:r>
    </w:p>
    <w:p w14:paraId="59EB46A2" w14:textId="199BBC51" w:rsidR="000B21D4" w:rsidRPr="000F5E91" w:rsidRDefault="00F74F6A" w:rsidP="000F5E91">
      <w:pPr>
        <w:pStyle w:val="Odlomakpopisa"/>
        <w:numPr>
          <w:ilvl w:val="0"/>
          <w:numId w:val="3"/>
        </w:numPr>
        <w:rPr>
          <w:rFonts w:ascii="Arial" w:eastAsia="Calibri" w:hAnsi="Arial" w:cs="Arial"/>
        </w:rPr>
      </w:pPr>
      <w:r>
        <w:rPr>
          <w:rFonts w:ascii="Arial" w:eastAsia="Calibri" w:hAnsi="Arial" w:cs="Arial"/>
        </w:rPr>
        <w:t xml:space="preserve">okončana situacija za usluge izrade projektno tehničke dokumentacije za izgradnju osnovne škole u iznosu 1.688 € </w:t>
      </w:r>
      <w:r w:rsidRPr="00F74F6A">
        <w:rPr>
          <w:rFonts w:ascii="Arial" w:eastAsia="Calibri" w:hAnsi="Arial" w:cs="Arial"/>
        </w:rPr>
        <w:t xml:space="preserve">(na temelju osnovnog ugovora iz 2021. godine, te dodatka iz prosinca 2023. godine, veljače 2024. godine, svibnja </w:t>
      </w:r>
      <w:r>
        <w:rPr>
          <w:rFonts w:ascii="Arial" w:eastAsia="Calibri" w:hAnsi="Arial" w:cs="Arial"/>
        </w:rPr>
        <w:t xml:space="preserve">i listopada </w:t>
      </w:r>
      <w:r w:rsidRPr="00F74F6A">
        <w:rPr>
          <w:rFonts w:ascii="Arial" w:eastAsia="Calibri" w:hAnsi="Arial" w:cs="Arial"/>
        </w:rPr>
        <w:t>2024. godine</w:t>
      </w:r>
      <w:r>
        <w:rPr>
          <w:rFonts w:ascii="Arial" w:eastAsia="Calibri" w:hAnsi="Arial" w:cs="Arial"/>
        </w:rPr>
        <w:t>, te svibnja, lipnja i srpnja 2025. godine</w:t>
      </w:r>
      <w:r w:rsidRPr="00F74F6A">
        <w:rPr>
          <w:rFonts w:ascii="Arial" w:eastAsia="Calibri" w:hAnsi="Arial" w:cs="Arial"/>
        </w:rPr>
        <w:t xml:space="preserve">). Sveukupno izvedena vrijednost projektno tehničke dokumentacije na temelju ovih privremenih </w:t>
      </w:r>
      <w:r>
        <w:rPr>
          <w:rFonts w:ascii="Arial" w:eastAsia="Calibri" w:hAnsi="Arial" w:cs="Arial"/>
        </w:rPr>
        <w:t xml:space="preserve">i okončane </w:t>
      </w:r>
      <w:r w:rsidRPr="00F74F6A">
        <w:rPr>
          <w:rFonts w:ascii="Arial" w:eastAsia="Calibri" w:hAnsi="Arial" w:cs="Arial"/>
        </w:rPr>
        <w:t>situacij</w:t>
      </w:r>
      <w:r>
        <w:rPr>
          <w:rFonts w:ascii="Arial" w:eastAsia="Calibri" w:hAnsi="Arial" w:cs="Arial"/>
        </w:rPr>
        <w:t>e</w:t>
      </w:r>
      <w:r w:rsidRPr="00F74F6A">
        <w:rPr>
          <w:rFonts w:ascii="Arial" w:eastAsia="Calibri" w:hAnsi="Arial" w:cs="Arial"/>
        </w:rPr>
        <w:t xml:space="preserve"> iznosi </w:t>
      </w:r>
      <w:r w:rsidR="000B21D4">
        <w:rPr>
          <w:rFonts w:ascii="Arial" w:eastAsia="Calibri" w:hAnsi="Arial" w:cs="Arial"/>
        </w:rPr>
        <w:t>228.476,95</w:t>
      </w:r>
      <w:r w:rsidRPr="00F74F6A">
        <w:rPr>
          <w:rFonts w:ascii="Arial" w:eastAsia="Calibri" w:hAnsi="Arial" w:cs="Arial"/>
        </w:rPr>
        <w:t xml:space="preserve"> € bez PDV-a odnosno </w:t>
      </w:r>
      <w:r w:rsidR="000B21D4">
        <w:rPr>
          <w:rFonts w:ascii="Arial" w:eastAsia="Calibri" w:hAnsi="Arial" w:cs="Arial"/>
        </w:rPr>
        <w:t>285.596,19</w:t>
      </w:r>
      <w:r w:rsidRPr="00F74F6A">
        <w:rPr>
          <w:rFonts w:ascii="Arial" w:eastAsia="Calibri" w:hAnsi="Arial" w:cs="Arial"/>
        </w:rPr>
        <w:t xml:space="preserve"> € s PDV-om</w:t>
      </w:r>
      <w:r w:rsidR="000B21D4">
        <w:rPr>
          <w:rFonts w:ascii="Arial" w:eastAsia="Calibri" w:hAnsi="Arial" w:cs="Arial"/>
        </w:rPr>
        <w:t>)</w:t>
      </w:r>
    </w:p>
    <w:p w14:paraId="272325AC" w14:textId="68EB68DA" w:rsidR="00E607B4" w:rsidRDefault="00E607B4" w:rsidP="00E607B4">
      <w:pPr>
        <w:pStyle w:val="Odlomakpopisa"/>
        <w:numPr>
          <w:ilvl w:val="0"/>
          <w:numId w:val="3"/>
        </w:numPr>
        <w:rPr>
          <w:rFonts w:ascii="Arial" w:eastAsia="Calibri" w:hAnsi="Arial" w:cs="Arial"/>
        </w:rPr>
      </w:pPr>
      <w:r>
        <w:rPr>
          <w:rFonts w:ascii="Arial" w:eastAsia="Calibri" w:hAnsi="Arial" w:cs="Arial"/>
        </w:rPr>
        <w:t xml:space="preserve">usluge voditelja projekta izgradnje i opremanja osnovne škole </w:t>
      </w:r>
      <w:r w:rsidR="000F2090">
        <w:rPr>
          <w:rFonts w:ascii="Arial" w:eastAsia="Calibri" w:hAnsi="Arial" w:cs="Arial"/>
        </w:rPr>
        <w:t>108</w:t>
      </w:r>
      <w:r>
        <w:rPr>
          <w:rFonts w:ascii="Arial" w:eastAsia="Calibri" w:hAnsi="Arial" w:cs="Arial"/>
        </w:rPr>
        <w:t>.000 € (sukladno ugovoru iz rujna 2024. godine, ugovoreno 144.000 € s PDV-om),</w:t>
      </w:r>
    </w:p>
    <w:p w14:paraId="1CE32706" w14:textId="65C888E0" w:rsidR="00E607B4" w:rsidRDefault="000F5E91" w:rsidP="001A32B0">
      <w:pPr>
        <w:pStyle w:val="Odlomakpopisa"/>
        <w:numPr>
          <w:ilvl w:val="0"/>
          <w:numId w:val="3"/>
        </w:numPr>
        <w:rPr>
          <w:rFonts w:ascii="Arial" w:eastAsia="Calibri" w:hAnsi="Arial" w:cs="Arial"/>
        </w:rPr>
      </w:pPr>
      <w:r w:rsidRPr="000F5E91">
        <w:rPr>
          <w:rFonts w:ascii="Arial" w:eastAsia="Calibri" w:hAnsi="Arial" w:cs="Arial"/>
        </w:rPr>
        <w:t>usluga izrade tehničke dokumentacije na razini glavnog projekta, provođenja upravnog postupka i ishođenja građevinske dozvole za rekonstrukciju dijela županijske ceste Ž6238 na dijelu pristupa novoj školi u Cavtatu</w:t>
      </w:r>
      <w:r>
        <w:rPr>
          <w:rFonts w:ascii="Arial" w:eastAsia="Calibri" w:hAnsi="Arial" w:cs="Arial"/>
        </w:rPr>
        <w:t xml:space="preserve"> u iznosu 9.137,50 € (prva privremena situacija, sukladno ugovoru iz siječnja 2023. godine koji je bio zaključen u iznosu 14.040 €),</w:t>
      </w:r>
    </w:p>
    <w:p w14:paraId="597D19FC" w14:textId="0408A061" w:rsidR="00287534" w:rsidRDefault="00287534" w:rsidP="001A32B0">
      <w:pPr>
        <w:pStyle w:val="Odlomakpopisa"/>
        <w:numPr>
          <w:ilvl w:val="0"/>
          <w:numId w:val="3"/>
        </w:numPr>
        <w:rPr>
          <w:rFonts w:ascii="Arial" w:eastAsia="Calibri" w:hAnsi="Arial" w:cs="Arial"/>
        </w:rPr>
      </w:pPr>
      <w:r>
        <w:rPr>
          <w:rFonts w:ascii="Arial" w:eastAsia="Calibri" w:hAnsi="Arial" w:cs="Arial"/>
        </w:rPr>
        <w:t>usluge izrade arhitektonskog projekta unutarnjeg uređenja i opremanja škole s troškovnikom u iznosu 85.625 € (sukladno ugovoru iz rujna 2025. godine</w:t>
      </w:r>
      <w:r w:rsidR="000F2090">
        <w:rPr>
          <w:rFonts w:ascii="Arial" w:eastAsia="Calibri" w:hAnsi="Arial" w:cs="Arial"/>
        </w:rPr>
        <w:t>),</w:t>
      </w:r>
    </w:p>
    <w:p w14:paraId="6A6CEC89" w14:textId="0A1AF83A" w:rsidR="000F2090" w:rsidRDefault="000F2090" w:rsidP="001A32B0">
      <w:pPr>
        <w:pStyle w:val="Odlomakpopisa"/>
        <w:numPr>
          <w:ilvl w:val="0"/>
          <w:numId w:val="3"/>
        </w:numPr>
        <w:rPr>
          <w:rFonts w:ascii="Arial" w:eastAsia="Calibri" w:hAnsi="Arial" w:cs="Arial"/>
        </w:rPr>
      </w:pPr>
      <w:r>
        <w:rPr>
          <w:rFonts w:ascii="Arial" w:eastAsia="Calibri" w:hAnsi="Arial" w:cs="Arial"/>
        </w:rPr>
        <w:t xml:space="preserve">radovi izgradnje osnovne škole u iznosu </w:t>
      </w:r>
      <w:r w:rsidR="00D93153">
        <w:rPr>
          <w:rFonts w:ascii="Arial" w:eastAsia="Calibri" w:hAnsi="Arial" w:cs="Arial"/>
        </w:rPr>
        <w:t>8.006.064,14 € (12 privremenih situacija, ugovor iz rujna 2024. godine u iznosu 19.107.402,61 € s PDV-om)</w:t>
      </w:r>
    </w:p>
    <w:p w14:paraId="01DAB909" w14:textId="611CFB6D" w:rsidR="00D93153" w:rsidRDefault="00775492" w:rsidP="001A32B0">
      <w:pPr>
        <w:pStyle w:val="Odlomakpopisa"/>
        <w:numPr>
          <w:ilvl w:val="0"/>
          <w:numId w:val="3"/>
        </w:numPr>
        <w:rPr>
          <w:rFonts w:ascii="Arial" w:eastAsia="Calibri" w:hAnsi="Arial" w:cs="Arial"/>
        </w:rPr>
      </w:pPr>
      <w:r>
        <w:rPr>
          <w:rFonts w:ascii="Arial" w:eastAsia="Calibri" w:hAnsi="Arial" w:cs="Arial"/>
        </w:rPr>
        <w:t xml:space="preserve">usluge koordinatora zaštite na radu tijekom građenja škole 10.156,25 € </w:t>
      </w:r>
      <w:r w:rsidR="00E0182C">
        <w:rPr>
          <w:rFonts w:ascii="Arial" w:eastAsia="Calibri" w:hAnsi="Arial" w:cs="Arial"/>
        </w:rPr>
        <w:t>(ugovor iz srpnja 2024. godine u iznosu 21.875 € s PDV-om),</w:t>
      </w:r>
    </w:p>
    <w:p w14:paraId="38F7845A" w14:textId="3A01F4E0" w:rsidR="00E0182C" w:rsidRDefault="00E0182C" w:rsidP="001A32B0">
      <w:pPr>
        <w:pStyle w:val="Odlomakpopisa"/>
        <w:numPr>
          <w:ilvl w:val="0"/>
          <w:numId w:val="3"/>
        </w:numPr>
        <w:rPr>
          <w:rFonts w:ascii="Arial" w:eastAsia="Calibri" w:hAnsi="Arial" w:cs="Arial"/>
        </w:rPr>
      </w:pPr>
      <w:r>
        <w:rPr>
          <w:rFonts w:ascii="Arial" w:eastAsia="Calibri" w:hAnsi="Arial" w:cs="Arial"/>
        </w:rPr>
        <w:t>usluge projektantskog nadzora tijekom građenja škole u iznosu 48.968,36 € (ugovor iz svibnja 2025. godine u iznosu 83.945,70 €),</w:t>
      </w:r>
    </w:p>
    <w:p w14:paraId="63AC4EC0" w14:textId="6CD0A8E6" w:rsidR="00E0182C" w:rsidRDefault="00E0182C" w:rsidP="001A32B0">
      <w:pPr>
        <w:pStyle w:val="Odlomakpopisa"/>
        <w:numPr>
          <w:ilvl w:val="0"/>
          <w:numId w:val="3"/>
        </w:numPr>
        <w:rPr>
          <w:rFonts w:ascii="Arial" w:eastAsia="Calibri" w:hAnsi="Arial" w:cs="Arial"/>
        </w:rPr>
      </w:pPr>
      <w:r>
        <w:rPr>
          <w:rFonts w:ascii="Arial" w:eastAsia="Calibri" w:hAnsi="Arial" w:cs="Arial"/>
        </w:rPr>
        <w:t>usluga izrade geodetskog elaborat iskolčenja gradnje građevine infrastrukturne namjene prometnog sustava (građenje kolno pješačke prometnice, potpornih zidova i polaganje instalacija) u iznosu 2.250 €</w:t>
      </w:r>
      <w:r w:rsidR="00D76D61">
        <w:rPr>
          <w:rFonts w:ascii="Arial" w:eastAsia="Calibri" w:hAnsi="Arial" w:cs="Arial"/>
        </w:rPr>
        <w:t>,</w:t>
      </w:r>
    </w:p>
    <w:p w14:paraId="1ED50BF6" w14:textId="4A56C819" w:rsidR="00D76D61" w:rsidRDefault="00D76D61" w:rsidP="00D76D61">
      <w:pPr>
        <w:pStyle w:val="Odlomakpopisa"/>
        <w:numPr>
          <w:ilvl w:val="0"/>
          <w:numId w:val="3"/>
        </w:numPr>
        <w:rPr>
          <w:rFonts w:ascii="Arial" w:eastAsia="Calibri" w:hAnsi="Arial" w:cs="Arial"/>
        </w:rPr>
      </w:pPr>
      <w:r>
        <w:rPr>
          <w:rFonts w:ascii="Arial" w:eastAsia="Calibri" w:hAnsi="Arial" w:cs="Arial"/>
        </w:rPr>
        <w:t>usluge voditelja projekta izgradnje lokalne prometnice u okviru škole 2.037,50 € (sukladno ugovoru iz listopada 2025. godine, ugovoreno 6.112,50 € s PDV-om),</w:t>
      </w:r>
    </w:p>
    <w:p w14:paraId="56FA34BF" w14:textId="64387394" w:rsidR="00D76D61" w:rsidRDefault="00D76D61" w:rsidP="001A32B0">
      <w:pPr>
        <w:pStyle w:val="Odlomakpopisa"/>
        <w:numPr>
          <w:ilvl w:val="0"/>
          <w:numId w:val="3"/>
        </w:numPr>
        <w:rPr>
          <w:rFonts w:ascii="Arial" w:eastAsia="Calibri" w:hAnsi="Arial" w:cs="Arial"/>
        </w:rPr>
      </w:pPr>
      <w:r>
        <w:rPr>
          <w:rFonts w:ascii="Arial" w:eastAsia="Calibri" w:hAnsi="Arial" w:cs="Arial"/>
        </w:rPr>
        <w:t>radovi izgradnje lokalne prometnice u okviru škole 240.012,49 € (sukladno ugovoru iz rujna 2025. u iznosu 569.417,39 € s PDV-om),</w:t>
      </w:r>
    </w:p>
    <w:p w14:paraId="7AA53903" w14:textId="598E8BE3" w:rsidR="00D76D61" w:rsidRDefault="00D76D61" w:rsidP="001A32B0">
      <w:pPr>
        <w:pStyle w:val="Odlomakpopisa"/>
        <w:numPr>
          <w:ilvl w:val="0"/>
          <w:numId w:val="3"/>
        </w:numPr>
        <w:rPr>
          <w:rFonts w:ascii="Arial" w:eastAsia="Calibri" w:hAnsi="Arial" w:cs="Arial"/>
        </w:rPr>
      </w:pPr>
      <w:r>
        <w:rPr>
          <w:rFonts w:ascii="Arial" w:eastAsia="Calibri" w:hAnsi="Arial" w:cs="Arial"/>
        </w:rPr>
        <w:t xml:space="preserve">usluge stručnog nadzora i koordinatora zaštite na radu u iznosu 2.739,77 € (na temelju ugovora iz srpnja 2025. u iznosu </w:t>
      </w:r>
      <w:r w:rsidR="002420D8">
        <w:rPr>
          <w:rFonts w:ascii="Arial" w:eastAsia="Calibri" w:hAnsi="Arial" w:cs="Arial"/>
        </w:rPr>
        <w:t xml:space="preserve">6.500 €), </w:t>
      </w:r>
    </w:p>
    <w:p w14:paraId="1CF51166" w14:textId="013DAA29" w:rsidR="002420D8" w:rsidRPr="002420D8" w:rsidRDefault="002420D8" w:rsidP="002420D8">
      <w:pPr>
        <w:pStyle w:val="Odlomakpopisa"/>
        <w:numPr>
          <w:ilvl w:val="0"/>
          <w:numId w:val="3"/>
        </w:numPr>
        <w:rPr>
          <w:rFonts w:ascii="Arial" w:eastAsia="Calibri" w:hAnsi="Arial" w:cs="Arial"/>
        </w:rPr>
      </w:pPr>
      <w:r w:rsidRPr="002420D8">
        <w:rPr>
          <w:rFonts w:ascii="Arial" w:eastAsia="Calibri" w:hAnsi="Arial" w:cs="Arial"/>
        </w:rPr>
        <w:t xml:space="preserve">usluge projektantskog nadzora tijekom građenja </w:t>
      </w:r>
      <w:r>
        <w:rPr>
          <w:rFonts w:ascii="Arial" w:eastAsia="Calibri" w:hAnsi="Arial" w:cs="Arial"/>
        </w:rPr>
        <w:t>lokalne prometnice</w:t>
      </w:r>
      <w:r w:rsidRPr="002420D8">
        <w:rPr>
          <w:rFonts w:ascii="Arial" w:eastAsia="Calibri" w:hAnsi="Arial" w:cs="Arial"/>
        </w:rPr>
        <w:t xml:space="preserve"> u iznosu </w:t>
      </w:r>
      <w:r>
        <w:rPr>
          <w:rFonts w:ascii="Arial" w:eastAsia="Calibri" w:hAnsi="Arial" w:cs="Arial"/>
        </w:rPr>
        <w:t>825</w:t>
      </w:r>
      <w:r w:rsidRPr="002420D8">
        <w:rPr>
          <w:rFonts w:ascii="Arial" w:eastAsia="Calibri" w:hAnsi="Arial" w:cs="Arial"/>
        </w:rPr>
        <w:t xml:space="preserve"> € (ugovor iz </w:t>
      </w:r>
      <w:r>
        <w:rPr>
          <w:rFonts w:ascii="Arial" w:eastAsia="Calibri" w:hAnsi="Arial" w:cs="Arial"/>
        </w:rPr>
        <w:t>listopada</w:t>
      </w:r>
      <w:r w:rsidRPr="002420D8">
        <w:rPr>
          <w:rFonts w:ascii="Arial" w:eastAsia="Calibri" w:hAnsi="Arial" w:cs="Arial"/>
        </w:rPr>
        <w:t xml:space="preserve"> 2025. godine u iznosu </w:t>
      </w:r>
      <w:r>
        <w:rPr>
          <w:rFonts w:ascii="Arial" w:eastAsia="Calibri" w:hAnsi="Arial" w:cs="Arial"/>
        </w:rPr>
        <w:t>4.950</w:t>
      </w:r>
      <w:r w:rsidRPr="002420D8">
        <w:rPr>
          <w:rFonts w:ascii="Arial" w:eastAsia="Calibri" w:hAnsi="Arial" w:cs="Arial"/>
        </w:rPr>
        <w:t xml:space="preserve"> €)</w:t>
      </w:r>
      <w:r>
        <w:rPr>
          <w:rFonts w:ascii="Arial" w:eastAsia="Calibri" w:hAnsi="Arial" w:cs="Arial"/>
        </w:rPr>
        <w:t>.</w:t>
      </w:r>
    </w:p>
    <w:p w14:paraId="7E4A8BAC" w14:textId="77777777" w:rsidR="00287534" w:rsidRDefault="00287534" w:rsidP="002420D8">
      <w:pPr>
        <w:spacing w:after="0" w:line="240" w:lineRule="auto"/>
        <w:rPr>
          <w:rFonts w:ascii="Arial" w:eastAsia="Calibri" w:hAnsi="Arial" w:cs="Arial"/>
        </w:rPr>
      </w:pPr>
    </w:p>
    <w:tbl>
      <w:tblPr>
        <w:tblStyle w:val="Reetkatablice5368"/>
        <w:tblW w:w="14519" w:type="dxa"/>
        <w:jc w:val="center"/>
        <w:tblLayout w:type="fixed"/>
        <w:tblLook w:val="04A0" w:firstRow="1" w:lastRow="0" w:firstColumn="1" w:lastColumn="0" w:noHBand="0" w:noVBand="1"/>
      </w:tblPr>
      <w:tblGrid>
        <w:gridCol w:w="2835"/>
        <w:gridCol w:w="3402"/>
        <w:gridCol w:w="958"/>
        <w:gridCol w:w="1134"/>
        <w:gridCol w:w="1232"/>
        <w:gridCol w:w="1232"/>
        <w:gridCol w:w="1242"/>
        <w:gridCol w:w="1242"/>
        <w:gridCol w:w="1242"/>
      </w:tblGrid>
      <w:tr w:rsidR="00056243" w:rsidRPr="007F628A" w14:paraId="55FFF194" w14:textId="77777777" w:rsidTr="00056243">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58F8F54" w14:textId="77777777" w:rsidR="00056243" w:rsidRPr="00C16B44" w:rsidRDefault="00056243" w:rsidP="00056243">
            <w:pPr>
              <w:jc w:val="center"/>
              <w:rPr>
                <w:rFonts w:ascii="Arial" w:eastAsia="Calibri" w:hAnsi="Arial" w:cs="Arial"/>
                <w:sz w:val="18"/>
                <w:szCs w:val="18"/>
              </w:rPr>
            </w:pPr>
            <w:r w:rsidRPr="00C16B44">
              <w:rPr>
                <w:rFonts w:ascii="Arial" w:eastAsia="Calibri" w:hAnsi="Arial" w:cs="Arial"/>
                <w:sz w:val="18"/>
                <w:szCs w:val="18"/>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F7A3E1E" w14:textId="77777777" w:rsidR="00056243" w:rsidRPr="00C16B44" w:rsidRDefault="00056243" w:rsidP="00056243">
            <w:pPr>
              <w:jc w:val="center"/>
              <w:rPr>
                <w:rFonts w:ascii="Arial" w:eastAsia="Calibri" w:hAnsi="Arial" w:cs="Arial"/>
                <w:sz w:val="18"/>
                <w:szCs w:val="18"/>
              </w:rPr>
            </w:pPr>
            <w:r w:rsidRPr="00C16B44">
              <w:rPr>
                <w:rFonts w:ascii="Arial" w:eastAsia="Calibri" w:hAnsi="Arial" w:cs="Arial"/>
                <w:sz w:val="18"/>
                <w:szCs w:val="18"/>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FADCC01" w14:textId="77777777" w:rsidR="00056243" w:rsidRPr="00C16B44" w:rsidRDefault="00056243" w:rsidP="00056243">
            <w:pPr>
              <w:jc w:val="center"/>
              <w:rPr>
                <w:rFonts w:ascii="Arial" w:eastAsia="Calibri" w:hAnsi="Arial" w:cs="Arial"/>
                <w:sz w:val="18"/>
                <w:szCs w:val="18"/>
              </w:rPr>
            </w:pPr>
            <w:r w:rsidRPr="00C16B44">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9782AAA" w14:textId="77777777" w:rsidR="00056243" w:rsidRPr="00C16B44" w:rsidRDefault="00056243" w:rsidP="00056243">
            <w:pPr>
              <w:jc w:val="center"/>
              <w:rPr>
                <w:rFonts w:ascii="Arial" w:eastAsia="Calibri" w:hAnsi="Arial" w:cs="Arial"/>
                <w:sz w:val="18"/>
                <w:szCs w:val="18"/>
              </w:rPr>
            </w:pPr>
            <w:r w:rsidRPr="00C16B44">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D5E13FB" w14:textId="23ED342A" w:rsidR="00056243" w:rsidRPr="00C16B44" w:rsidRDefault="00056243" w:rsidP="00056243">
            <w:pPr>
              <w:jc w:val="center"/>
              <w:rPr>
                <w:rFonts w:ascii="Arial" w:eastAsia="Calibri" w:hAnsi="Arial" w:cs="Arial"/>
                <w:sz w:val="18"/>
                <w:szCs w:val="18"/>
              </w:rPr>
            </w:pPr>
            <w:r w:rsidRPr="00184A8E">
              <w:rPr>
                <w:rFonts w:ascii="Arial" w:eastAsia="Calibri" w:hAnsi="Arial" w:cs="Arial"/>
              </w:rPr>
              <w:t xml:space="preserve">Izvršeno 2024. </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8767849" w14:textId="49E9964E" w:rsidR="00056243" w:rsidRPr="00C16B44" w:rsidRDefault="00056243" w:rsidP="00056243">
            <w:pPr>
              <w:jc w:val="center"/>
              <w:rPr>
                <w:rFonts w:ascii="Arial" w:eastAsia="Calibri" w:hAnsi="Arial" w:cs="Arial"/>
                <w:sz w:val="18"/>
                <w:szCs w:val="18"/>
              </w:rPr>
            </w:pPr>
            <w:r w:rsidRPr="00184A8E">
              <w:rPr>
                <w:rFonts w:ascii="Arial" w:eastAsia="Calibri" w:hAnsi="Arial" w:cs="Arial"/>
              </w:rPr>
              <w:t>Ciljana vrijednost 2025.</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3D6EA99" w14:textId="3778E4DD" w:rsidR="00056243" w:rsidRPr="00C16B44" w:rsidRDefault="00056243" w:rsidP="00056243">
            <w:pPr>
              <w:jc w:val="center"/>
              <w:rPr>
                <w:rFonts w:ascii="Arial" w:eastAsia="Calibri" w:hAnsi="Arial" w:cs="Arial"/>
                <w:sz w:val="18"/>
                <w:szCs w:val="18"/>
              </w:rPr>
            </w:pPr>
            <w:r w:rsidRPr="00C16B44">
              <w:rPr>
                <w:rFonts w:ascii="Arial" w:eastAsia="Calibri" w:hAnsi="Arial" w:cs="Arial"/>
                <w:sz w:val="18"/>
                <w:szCs w:val="18"/>
              </w:rPr>
              <w:t xml:space="preserve">Izvršeno </w:t>
            </w:r>
            <w:r>
              <w:rPr>
                <w:rFonts w:ascii="Arial" w:eastAsia="Calibri" w:hAnsi="Arial" w:cs="Arial"/>
                <w:sz w:val="18"/>
                <w:szCs w:val="18"/>
              </w:rPr>
              <w:t>2025</w:t>
            </w:r>
            <w:r w:rsidRPr="00C16B44">
              <w:rPr>
                <w:rFonts w:ascii="Arial" w:eastAsia="Calibri" w:hAnsi="Arial" w:cs="Arial"/>
                <w:sz w:val="18"/>
                <w:szCs w:val="18"/>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E845F2E" w14:textId="77777777" w:rsidR="00056243" w:rsidRPr="00C16B44" w:rsidRDefault="00056243" w:rsidP="00056243">
            <w:pPr>
              <w:jc w:val="center"/>
              <w:rPr>
                <w:rFonts w:ascii="Arial" w:eastAsia="Calibri" w:hAnsi="Arial" w:cs="Arial"/>
                <w:sz w:val="18"/>
                <w:szCs w:val="18"/>
              </w:rPr>
            </w:pPr>
            <w:r w:rsidRPr="00C16B44">
              <w:rPr>
                <w:rFonts w:ascii="Arial" w:eastAsia="Calibri" w:hAnsi="Arial" w:cs="Arial"/>
                <w:sz w:val="18"/>
                <w:szCs w:val="18"/>
              </w:rPr>
              <w:t>Ciljana vrijednost 2026.</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74465BE" w14:textId="77777777" w:rsidR="00056243" w:rsidRPr="00C16B44" w:rsidRDefault="00056243" w:rsidP="00056243">
            <w:pPr>
              <w:jc w:val="center"/>
              <w:rPr>
                <w:rFonts w:ascii="Arial" w:eastAsia="Calibri" w:hAnsi="Arial" w:cs="Arial"/>
                <w:sz w:val="18"/>
                <w:szCs w:val="18"/>
              </w:rPr>
            </w:pPr>
            <w:r w:rsidRPr="00C16B44">
              <w:rPr>
                <w:rFonts w:ascii="Arial" w:eastAsia="Calibri" w:hAnsi="Arial" w:cs="Arial"/>
                <w:sz w:val="18"/>
                <w:szCs w:val="18"/>
              </w:rPr>
              <w:t>Ciljana vrijednost 2027.</w:t>
            </w:r>
          </w:p>
        </w:tc>
      </w:tr>
      <w:tr w:rsidR="00056243" w:rsidRPr="007F628A" w14:paraId="57FD14F6" w14:textId="77777777" w:rsidTr="00056243">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56E3A683" w14:textId="77777777" w:rsidR="00056243" w:rsidRPr="007F628A" w:rsidRDefault="00056243" w:rsidP="00056243">
            <w:pPr>
              <w:rPr>
                <w:rFonts w:ascii="Arial" w:hAnsi="Arial" w:cs="Arial"/>
                <w:sz w:val="14"/>
                <w:szCs w:val="14"/>
              </w:rPr>
            </w:pPr>
            <w:r w:rsidRPr="007F628A">
              <w:rPr>
                <w:rFonts w:ascii="Arial" w:hAnsi="Arial" w:cs="Arial"/>
                <w:sz w:val="14"/>
                <w:szCs w:val="14"/>
              </w:rPr>
              <w:t>Izrada projektne dokumentacije i dobivanje građevinske dozvole</w:t>
            </w:r>
          </w:p>
        </w:tc>
        <w:tc>
          <w:tcPr>
            <w:tcW w:w="3402" w:type="dxa"/>
            <w:tcBorders>
              <w:top w:val="single" w:sz="4" w:space="0" w:color="auto"/>
              <w:left w:val="single" w:sz="4" w:space="0" w:color="auto"/>
              <w:bottom w:val="single" w:sz="4" w:space="0" w:color="auto"/>
              <w:right w:val="single" w:sz="4" w:space="0" w:color="auto"/>
            </w:tcBorders>
            <w:vAlign w:val="center"/>
          </w:tcPr>
          <w:p w14:paraId="7677D112" w14:textId="77777777" w:rsidR="00056243" w:rsidRPr="007F628A" w:rsidRDefault="00056243" w:rsidP="00056243">
            <w:pPr>
              <w:autoSpaceDE w:val="0"/>
              <w:autoSpaceDN w:val="0"/>
              <w:adjustRightInd w:val="0"/>
              <w:rPr>
                <w:rFonts w:ascii="Arial" w:hAnsi="Arial" w:cs="Arial"/>
                <w:sz w:val="18"/>
                <w:szCs w:val="18"/>
              </w:rPr>
            </w:pPr>
            <w:r w:rsidRPr="007F628A">
              <w:rPr>
                <w:rFonts w:ascii="Arial" w:hAnsi="Arial" w:cs="Arial"/>
                <w:sz w:val="18"/>
                <w:szCs w:val="18"/>
              </w:rPr>
              <w:t>Izdana građevinska dozvola za izgradnju osnovne škole i izmještanje dalekovoda</w:t>
            </w:r>
          </w:p>
        </w:tc>
        <w:tc>
          <w:tcPr>
            <w:tcW w:w="958" w:type="dxa"/>
            <w:tcBorders>
              <w:top w:val="single" w:sz="4" w:space="0" w:color="auto"/>
              <w:left w:val="single" w:sz="4" w:space="0" w:color="auto"/>
              <w:bottom w:val="single" w:sz="4" w:space="0" w:color="auto"/>
              <w:right w:val="single" w:sz="4" w:space="0" w:color="auto"/>
            </w:tcBorders>
            <w:vAlign w:val="center"/>
          </w:tcPr>
          <w:p w14:paraId="6D9C8570" w14:textId="77777777" w:rsidR="00056243" w:rsidRPr="00C16B44" w:rsidRDefault="00056243" w:rsidP="00056243">
            <w:pPr>
              <w:jc w:val="center"/>
              <w:rPr>
                <w:rFonts w:ascii="Arial" w:hAnsi="Arial" w:cs="Arial"/>
                <w:sz w:val="18"/>
                <w:szCs w:val="18"/>
              </w:rPr>
            </w:pPr>
            <w:r w:rsidRPr="00C16B44">
              <w:rPr>
                <w:rFonts w:ascii="Arial" w:hAnsi="Arial" w:cs="Arial"/>
                <w:sz w:val="18"/>
                <w:szCs w:val="18"/>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28B81B17" w14:textId="77777777" w:rsidR="00056243" w:rsidRPr="00C16B44" w:rsidRDefault="00056243" w:rsidP="00056243">
            <w:pPr>
              <w:jc w:val="center"/>
              <w:rPr>
                <w:rFonts w:ascii="Arial" w:hAnsi="Arial" w:cs="Arial"/>
                <w:sz w:val="18"/>
                <w:szCs w:val="18"/>
              </w:rPr>
            </w:pPr>
            <w:r w:rsidRPr="00C16B44">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3E0A3B1" w14:textId="5DF6F1DE" w:rsidR="00056243" w:rsidRPr="00C16B44" w:rsidRDefault="00056243" w:rsidP="00056243">
            <w:pPr>
              <w:jc w:val="center"/>
              <w:rPr>
                <w:rFonts w:ascii="Arial" w:hAnsi="Arial" w:cs="Arial"/>
                <w:sz w:val="18"/>
                <w:szCs w:val="18"/>
              </w:rPr>
            </w:pPr>
            <w:r w:rsidRPr="00184A8E">
              <w:rPr>
                <w:rFonts w:ascii="Arial" w:hAnsi="Arial" w:cs="Arial"/>
              </w:rPr>
              <w:t>2</w:t>
            </w:r>
          </w:p>
        </w:tc>
        <w:tc>
          <w:tcPr>
            <w:tcW w:w="1232" w:type="dxa"/>
            <w:tcBorders>
              <w:top w:val="single" w:sz="4" w:space="0" w:color="auto"/>
              <w:left w:val="single" w:sz="4" w:space="0" w:color="auto"/>
              <w:bottom w:val="single" w:sz="4" w:space="0" w:color="auto"/>
              <w:right w:val="single" w:sz="4" w:space="0" w:color="auto"/>
            </w:tcBorders>
            <w:vAlign w:val="center"/>
          </w:tcPr>
          <w:p w14:paraId="018D501C" w14:textId="213801E2" w:rsidR="00056243" w:rsidRPr="00C16B44" w:rsidRDefault="00056243" w:rsidP="00056243">
            <w:pPr>
              <w:jc w:val="center"/>
              <w:rPr>
                <w:rFonts w:ascii="Arial" w:hAnsi="Arial" w:cs="Arial"/>
                <w:sz w:val="18"/>
                <w:szCs w:val="18"/>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6303B302" w14:textId="034028D2" w:rsidR="00056243" w:rsidRPr="00C16B44" w:rsidRDefault="00056243" w:rsidP="00056243">
            <w:pPr>
              <w:jc w:val="center"/>
              <w:rPr>
                <w:rFonts w:ascii="Arial" w:hAnsi="Arial" w:cs="Arial"/>
                <w:sz w:val="18"/>
                <w:szCs w:val="18"/>
              </w:rPr>
            </w:pPr>
            <w:r>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6CE5F3F1" w14:textId="77777777" w:rsidR="00056243" w:rsidRPr="00C16B44" w:rsidRDefault="00056243" w:rsidP="00056243">
            <w:pPr>
              <w:jc w:val="center"/>
              <w:rPr>
                <w:rFonts w:ascii="Arial" w:hAnsi="Arial" w:cs="Arial"/>
                <w:sz w:val="18"/>
                <w:szCs w:val="18"/>
              </w:rPr>
            </w:pPr>
            <w:r w:rsidRPr="00C16B44">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4CCC62F4" w14:textId="77777777" w:rsidR="00056243" w:rsidRPr="00C16B44" w:rsidRDefault="00056243" w:rsidP="00056243">
            <w:pPr>
              <w:jc w:val="center"/>
              <w:rPr>
                <w:rFonts w:ascii="Arial" w:hAnsi="Arial" w:cs="Arial"/>
                <w:sz w:val="18"/>
                <w:szCs w:val="18"/>
              </w:rPr>
            </w:pPr>
            <w:r w:rsidRPr="00C16B44">
              <w:rPr>
                <w:rFonts w:ascii="Arial" w:hAnsi="Arial" w:cs="Arial"/>
                <w:sz w:val="18"/>
                <w:szCs w:val="18"/>
              </w:rPr>
              <w:t>0</w:t>
            </w:r>
          </w:p>
        </w:tc>
      </w:tr>
      <w:tr w:rsidR="00056243" w:rsidRPr="007F628A" w14:paraId="64D35FA3" w14:textId="77777777" w:rsidTr="00056243">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231A17E8" w14:textId="77777777" w:rsidR="00056243" w:rsidRPr="007F628A" w:rsidRDefault="00056243" w:rsidP="00056243">
            <w:pPr>
              <w:rPr>
                <w:rFonts w:ascii="Arial" w:hAnsi="Arial" w:cs="Arial"/>
                <w:sz w:val="14"/>
                <w:szCs w:val="14"/>
              </w:rPr>
            </w:pPr>
            <w:r w:rsidRPr="007F628A">
              <w:rPr>
                <w:rFonts w:ascii="Arial" w:hAnsi="Arial" w:cs="Arial"/>
                <w:sz w:val="14"/>
                <w:szCs w:val="14"/>
              </w:rPr>
              <w:lastRenderedPageBreak/>
              <w:t>Izmještanje dalekovoda – preduvjet početka izgradnje škole</w:t>
            </w:r>
          </w:p>
        </w:tc>
        <w:tc>
          <w:tcPr>
            <w:tcW w:w="3402" w:type="dxa"/>
            <w:tcBorders>
              <w:top w:val="single" w:sz="4" w:space="0" w:color="auto"/>
              <w:left w:val="single" w:sz="4" w:space="0" w:color="auto"/>
              <w:bottom w:val="single" w:sz="4" w:space="0" w:color="auto"/>
              <w:right w:val="single" w:sz="4" w:space="0" w:color="auto"/>
            </w:tcBorders>
            <w:vAlign w:val="center"/>
          </w:tcPr>
          <w:p w14:paraId="3B13E065" w14:textId="77777777" w:rsidR="00056243" w:rsidRPr="007F628A" w:rsidRDefault="00056243" w:rsidP="00056243">
            <w:pPr>
              <w:autoSpaceDE w:val="0"/>
              <w:autoSpaceDN w:val="0"/>
              <w:adjustRightInd w:val="0"/>
              <w:rPr>
                <w:rFonts w:ascii="Arial" w:hAnsi="Arial" w:cs="Arial"/>
                <w:sz w:val="18"/>
                <w:szCs w:val="18"/>
              </w:rPr>
            </w:pPr>
            <w:r w:rsidRPr="007F628A">
              <w:rPr>
                <w:rFonts w:ascii="Arial" w:hAnsi="Arial" w:cs="Arial"/>
                <w:sz w:val="18"/>
                <w:szCs w:val="18"/>
              </w:rPr>
              <w:t>Postotak dovršetka radova izmještanja dalekovoda</w:t>
            </w:r>
          </w:p>
        </w:tc>
        <w:tc>
          <w:tcPr>
            <w:tcW w:w="958" w:type="dxa"/>
            <w:tcBorders>
              <w:top w:val="single" w:sz="4" w:space="0" w:color="auto"/>
              <w:left w:val="single" w:sz="4" w:space="0" w:color="auto"/>
              <w:bottom w:val="single" w:sz="4" w:space="0" w:color="auto"/>
              <w:right w:val="single" w:sz="4" w:space="0" w:color="auto"/>
            </w:tcBorders>
            <w:vAlign w:val="center"/>
          </w:tcPr>
          <w:p w14:paraId="0494569D" w14:textId="77777777" w:rsidR="00056243" w:rsidRPr="00C16B44" w:rsidRDefault="00056243" w:rsidP="00056243">
            <w:pPr>
              <w:jc w:val="center"/>
              <w:rPr>
                <w:rFonts w:ascii="Arial" w:hAnsi="Arial" w:cs="Arial"/>
                <w:sz w:val="18"/>
                <w:szCs w:val="18"/>
              </w:rPr>
            </w:pPr>
            <w:r w:rsidRPr="00C16B44">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9CB894B" w14:textId="77777777" w:rsidR="00056243" w:rsidRPr="00C16B44" w:rsidRDefault="00056243" w:rsidP="00056243">
            <w:pPr>
              <w:jc w:val="center"/>
              <w:rPr>
                <w:rFonts w:ascii="Arial" w:hAnsi="Arial" w:cs="Arial"/>
                <w:sz w:val="18"/>
                <w:szCs w:val="18"/>
              </w:rPr>
            </w:pPr>
            <w:r w:rsidRPr="00C16B44">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5B9753F7" w14:textId="65A9BDD8" w:rsidR="00056243" w:rsidRPr="00C16B44" w:rsidRDefault="00056243" w:rsidP="00056243">
            <w:pPr>
              <w:jc w:val="center"/>
              <w:rPr>
                <w:rFonts w:ascii="Arial" w:hAnsi="Arial" w:cs="Arial"/>
                <w:sz w:val="18"/>
                <w:szCs w:val="18"/>
              </w:rPr>
            </w:pPr>
            <w:r w:rsidRPr="00184A8E">
              <w:rPr>
                <w:rFonts w:ascii="Arial" w:hAnsi="Arial" w:cs="Arial"/>
              </w:rPr>
              <w:t>50%</w:t>
            </w:r>
          </w:p>
        </w:tc>
        <w:tc>
          <w:tcPr>
            <w:tcW w:w="1232" w:type="dxa"/>
            <w:tcBorders>
              <w:top w:val="single" w:sz="4" w:space="0" w:color="auto"/>
              <w:left w:val="single" w:sz="4" w:space="0" w:color="auto"/>
              <w:bottom w:val="single" w:sz="4" w:space="0" w:color="auto"/>
              <w:right w:val="single" w:sz="4" w:space="0" w:color="auto"/>
            </w:tcBorders>
            <w:vAlign w:val="center"/>
          </w:tcPr>
          <w:p w14:paraId="2FD1A164" w14:textId="6ACDFB34" w:rsidR="00056243" w:rsidRPr="00C16B44" w:rsidRDefault="00056243" w:rsidP="00056243">
            <w:pPr>
              <w:jc w:val="center"/>
              <w:rPr>
                <w:rFonts w:ascii="Arial" w:hAnsi="Arial" w:cs="Arial"/>
                <w:sz w:val="18"/>
                <w:szCs w:val="18"/>
              </w:rPr>
            </w:pPr>
            <w:r>
              <w:rPr>
                <w:rFonts w:ascii="Arial" w:hAnsi="Arial" w:cs="Arial"/>
              </w:rPr>
              <w:t>10</w:t>
            </w: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74E88A3C" w14:textId="3636CC37" w:rsidR="00056243" w:rsidRPr="00C16B44" w:rsidRDefault="00056243" w:rsidP="00056243">
            <w:pPr>
              <w:jc w:val="center"/>
              <w:rPr>
                <w:rFonts w:ascii="Arial" w:hAnsi="Arial" w:cs="Arial"/>
                <w:sz w:val="18"/>
                <w:szCs w:val="18"/>
              </w:rPr>
            </w:pPr>
            <w:r>
              <w:rPr>
                <w:rFonts w:ascii="Arial" w:hAnsi="Arial" w:cs="Arial"/>
                <w:sz w:val="18"/>
                <w:szCs w:val="18"/>
              </w:rPr>
              <w:t>100</w:t>
            </w:r>
            <w:r w:rsidRPr="00C16B44">
              <w:rPr>
                <w:rFonts w:ascii="Arial"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238AD94E" w14:textId="77777777" w:rsidR="00056243" w:rsidRPr="00C16B44" w:rsidRDefault="00056243" w:rsidP="00056243">
            <w:pPr>
              <w:jc w:val="center"/>
              <w:rPr>
                <w:rFonts w:ascii="Arial" w:hAnsi="Arial" w:cs="Arial"/>
                <w:sz w:val="18"/>
                <w:szCs w:val="18"/>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20BF4554" w14:textId="77777777" w:rsidR="00056243" w:rsidRPr="00C16B44" w:rsidRDefault="00056243" w:rsidP="00056243">
            <w:pPr>
              <w:jc w:val="center"/>
              <w:rPr>
                <w:rFonts w:ascii="Arial" w:hAnsi="Arial" w:cs="Arial"/>
                <w:sz w:val="18"/>
                <w:szCs w:val="18"/>
              </w:rPr>
            </w:pPr>
          </w:p>
        </w:tc>
      </w:tr>
      <w:tr w:rsidR="00056243" w:rsidRPr="007F628A" w14:paraId="6DF24565" w14:textId="77777777" w:rsidTr="00056243">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1C08CBEE" w14:textId="77777777" w:rsidR="00056243" w:rsidRPr="007F628A" w:rsidRDefault="00056243" w:rsidP="00056243">
            <w:pPr>
              <w:rPr>
                <w:rFonts w:ascii="Arial" w:hAnsi="Arial" w:cs="Arial"/>
                <w:sz w:val="14"/>
                <w:szCs w:val="14"/>
              </w:rPr>
            </w:pPr>
            <w:r w:rsidRPr="007F628A">
              <w:rPr>
                <w:rFonts w:ascii="Arial" w:hAnsi="Arial" w:cs="Arial"/>
                <w:sz w:val="14"/>
                <w:szCs w:val="14"/>
              </w:rPr>
              <w:t>Izgradnja osnovne škole</w:t>
            </w:r>
          </w:p>
        </w:tc>
        <w:tc>
          <w:tcPr>
            <w:tcW w:w="3402" w:type="dxa"/>
            <w:tcBorders>
              <w:top w:val="single" w:sz="4" w:space="0" w:color="auto"/>
              <w:left w:val="single" w:sz="4" w:space="0" w:color="auto"/>
              <w:bottom w:val="single" w:sz="4" w:space="0" w:color="auto"/>
              <w:right w:val="single" w:sz="4" w:space="0" w:color="auto"/>
            </w:tcBorders>
            <w:vAlign w:val="center"/>
          </w:tcPr>
          <w:p w14:paraId="18842987" w14:textId="77777777" w:rsidR="00056243" w:rsidRPr="007F628A" w:rsidRDefault="00056243" w:rsidP="00056243">
            <w:pPr>
              <w:autoSpaceDE w:val="0"/>
              <w:autoSpaceDN w:val="0"/>
              <w:adjustRightInd w:val="0"/>
              <w:rPr>
                <w:rFonts w:ascii="Arial" w:hAnsi="Arial" w:cs="Arial"/>
                <w:sz w:val="18"/>
                <w:szCs w:val="18"/>
              </w:rPr>
            </w:pPr>
            <w:r w:rsidRPr="007F628A">
              <w:rPr>
                <w:rFonts w:ascii="Arial" w:hAnsi="Arial" w:cs="Arial"/>
                <w:sz w:val="18"/>
                <w:szCs w:val="18"/>
              </w:rPr>
              <w:t>Postotak dovršetka radova izgradnje</w:t>
            </w:r>
          </w:p>
        </w:tc>
        <w:tc>
          <w:tcPr>
            <w:tcW w:w="958" w:type="dxa"/>
            <w:tcBorders>
              <w:top w:val="single" w:sz="4" w:space="0" w:color="auto"/>
              <w:left w:val="single" w:sz="4" w:space="0" w:color="auto"/>
              <w:bottom w:val="single" w:sz="4" w:space="0" w:color="auto"/>
              <w:right w:val="single" w:sz="4" w:space="0" w:color="auto"/>
            </w:tcBorders>
            <w:vAlign w:val="center"/>
          </w:tcPr>
          <w:p w14:paraId="2139DF23" w14:textId="77777777" w:rsidR="00056243" w:rsidRPr="00C16B44" w:rsidRDefault="00056243" w:rsidP="00056243">
            <w:pPr>
              <w:jc w:val="center"/>
              <w:rPr>
                <w:rFonts w:ascii="Arial" w:hAnsi="Arial" w:cs="Arial"/>
                <w:sz w:val="18"/>
                <w:szCs w:val="18"/>
              </w:rPr>
            </w:pPr>
            <w:r w:rsidRPr="00C16B44">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431F2F1" w14:textId="77777777" w:rsidR="00056243" w:rsidRPr="00C16B44" w:rsidRDefault="00056243" w:rsidP="00056243">
            <w:pPr>
              <w:jc w:val="center"/>
              <w:rPr>
                <w:rFonts w:ascii="Arial" w:hAnsi="Arial" w:cs="Arial"/>
                <w:sz w:val="18"/>
                <w:szCs w:val="18"/>
              </w:rPr>
            </w:pPr>
            <w:r w:rsidRPr="00C16B44">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7213E77C" w14:textId="3BE4EC66" w:rsidR="00056243" w:rsidRPr="00C16B44" w:rsidRDefault="00056243" w:rsidP="00056243">
            <w:pPr>
              <w:jc w:val="center"/>
              <w:rPr>
                <w:rFonts w:ascii="Arial" w:hAnsi="Arial" w:cs="Arial"/>
                <w:sz w:val="18"/>
                <w:szCs w:val="18"/>
              </w:rPr>
            </w:pPr>
            <w:r w:rsidRPr="00184A8E">
              <w:rPr>
                <w:rFonts w:ascii="Arial" w:hAnsi="Arial" w:cs="Arial"/>
              </w:rPr>
              <w:t>0</w:t>
            </w:r>
          </w:p>
        </w:tc>
        <w:tc>
          <w:tcPr>
            <w:tcW w:w="1232" w:type="dxa"/>
            <w:tcBorders>
              <w:top w:val="single" w:sz="4" w:space="0" w:color="auto"/>
              <w:left w:val="single" w:sz="4" w:space="0" w:color="auto"/>
              <w:bottom w:val="single" w:sz="4" w:space="0" w:color="auto"/>
              <w:right w:val="single" w:sz="4" w:space="0" w:color="auto"/>
            </w:tcBorders>
            <w:vAlign w:val="center"/>
          </w:tcPr>
          <w:p w14:paraId="028F8F92" w14:textId="14547265" w:rsidR="00056243" w:rsidRPr="00C16B44" w:rsidRDefault="00056243" w:rsidP="00056243">
            <w:pPr>
              <w:jc w:val="center"/>
              <w:rPr>
                <w:rFonts w:ascii="Arial" w:hAnsi="Arial" w:cs="Arial"/>
                <w:sz w:val="18"/>
                <w:szCs w:val="18"/>
              </w:rPr>
            </w:pPr>
            <w:r w:rsidRPr="00184A8E">
              <w:rPr>
                <w:rFonts w:ascii="Arial" w:hAnsi="Arial" w:cs="Arial"/>
              </w:rPr>
              <w:t>50%</w:t>
            </w:r>
          </w:p>
        </w:tc>
        <w:tc>
          <w:tcPr>
            <w:tcW w:w="1242" w:type="dxa"/>
            <w:tcBorders>
              <w:top w:val="single" w:sz="4" w:space="0" w:color="000000"/>
              <w:left w:val="single" w:sz="4" w:space="0" w:color="000000"/>
              <w:bottom w:val="single" w:sz="4" w:space="0" w:color="000000"/>
              <w:right w:val="single" w:sz="4" w:space="0" w:color="000000"/>
            </w:tcBorders>
            <w:vAlign w:val="center"/>
          </w:tcPr>
          <w:p w14:paraId="3B61D4A1" w14:textId="310766AC" w:rsidR="00056243" w:rsidRPr="00C16B44" w:rsidRDefault="00056243" w:rsidP="00056243">
            <w:pPr>
              <w:jc w:val="center"/>
              <w:rPr>
                <w:rFonts w:ascii="Arial" w:hAnsi="Arial" w:cs="Arial"/>
                <w:sz w:val="18"/>
                <w:szCs w:val="18"/>
              </w:rPr>
            </w:pPr>
            <w:r>
              <w:rPr>
                <w:rFonts w:ascii="Arial" w:hAnsi="Arial" w:cs="Arial"/>
                <w:sz w:val="18"/>
                <w:szCs w:val="18"/>
              </w:rPr>
              <w:t>41,9%</w:t>
            </w:r>
          </w:p>
        </w:tc>
        <w:tc>
          <w:tcPr>
            <w:tcW w:w="1242" w:type="dxa"/>
            <w:tcBorders>
              <w:top w:val="single" w:sz="4" w:space="0" w:color="000000"/>
              <w:left w:val="single" w:sz="4" w:space="0" w:color="000000"/>
              <w:bottom w:val="single" w:sz="4" w:space="0" w:color="000000"/>
              <w:right w:val="single" w:sz="4" w:space="0" w:color="000000"/>
            </w:tcBorders>
            <w:vAlign w:val="center"/>
          </w:tcPr>
          <w:p w14:paraId="768AF5A1" w14:textId="77777777" w:rsidR="00056243" w:rsidRPr="00C16B44" w:rsidRDefault="00056243" w:rsidP="00056243">
            <w:pPr>
              <w:jc w:val="center"/>
              <w:rPr>
                <w:rFonts w:ascii="Arial" w:hAnsi="Arial" w:cs="Arial"/>
                <w:sz w:val="18"/>
                <w:szCs w:val="18"/>
              </w:rPr>
            </w:pPr>
            <w:r w:rsidRPr="00C16B44">
              <w:rPr>
                <w:rFonts w:ascii="Arial" w:hAnsi="Arial" w:cs="Arial"/>
                <w:sz w:val="18"/>
                <w:szCs w:val="18"/>
              </w:rPr>
              <w:t>95%</w:t>
            </w:r>
          </w:p>
        </w:tc>
        <w:tc>
          <w:tcPr>
            <w:tcW w:w="1242" w:type="dxa"/>
            <w:tcBorders>
              <w:top w:val="single" w:sz="4" w:space="0" w:color="000000"/>
              <w:left w:val="single" w:sz="4" w:space="0" w:color="000000"/>
              <w:bottom w:val="single" w:sz="4" w:space="0" w:color="000000"/>
              <w:right w:val="single" w:sz="4" w:space="0" w:color="000000"/>
            </w:tcBorders>
            <w:vAlign w:val="center"/>
          </w:tcPr>
          <w:p w14:paraId="4BFE182D" w14:textId="0E1DBDEE" w:rsidR="00056243" w:rsidRPr="00C16B44" w:rsidRDefault="00056243" w:rsidP="00056243">
            <w:pPr>
              <w:jc w:val="center"/>
              <w:rPr>
                <w:rFonts w:ascii="Arial" w:hAnsi="Arial" w:cs="Arial"/>
                <w:sz w:val="18"/>
                <w:szCs w:val="18"/>
              </w:rPr>
            </w:pPr>
            <w:r>
              <w:rPr>
                <w:rFonts w:ascii="Arial" w:hAnsi="Arial" w:cs="Arial"/>
                <w:sz w:val="18"/>
                <w:szCs w:val="18"/>
              </w:rPr>
              <w:t>100</w:t>
            </w:r>
            <w:r w:rsidRPr="00C16B44">
              <w:rPr>
                <w:rFonts w:ascii="Arial" w:hAnsi="Arial" w:cs="Arial"/>
                <w:sz w:val="18"/>
                <w:szCs w:val="18"/>
              </w:rPr>
              <w:t>%</w:t>
            </w:r>
          </w:p>
        </w:tc>
      </w:tr>
    </w:tbl>
    <w:p w14:paraId="158ED5F1" w14:textId="77777777" w:rsidR="002420D8" w:rsidRDefault="002420D8" w:rsidP="00184A8E">
      <w:pPr>
        <w:spacing w:after="0" w:line="240" w:lineRule="auto"/>
        <w:jc w:val="both"/>
        <w:rPr>
          <w:rFonts w:ascii="Arial" w:eastAsia="Calibri" w:hAnsi="Arial" w:cs="Arial"/>
          <w:sz w:val="20"/>
          <w:szCs w:val="20"/>
        </w:rPr>
      </w:pPr>
    </w:p>
    <w:p w14:paraId="02E79BFA" w14:textId="2B5374D8" w:rsidR="00184A8E" w:rsidRPr="00184A8E" w:rsidRDefault="000C74D9" w:rsidP="00184A8E">
      <w:pPr>
        <w:spacing w:after="0" w:line="240" w:lineRule="auto"/>
        <w:jc w:val="both"/>
        <w:rPr>
          <w:rFonts w:ascii="Arial" w:eastAsia="Calibri" w:hAnsi="Arial" w:cs="Arial"/>
          <w:sz w:val="20"/>
          <w:szCs w:val="20"/>
          <w:lang w:eastAsia="en-US"/>
        </w:rPr>
      </w:pPr>
      <w:r>
        <w:rPr>
          <w:rFonts w:ascii="Arial" w:eastAsia="Calibri" w:hAnsi="Arial" w:cs="Arial"/>
          <w:b/>
          <w:sz w:val="20"/>
          <w:szCs w:val="20"/>
          <w:lang w:eastAsia="en-US"/>
        </w:rPr>
        <w:t>4</w:t>
      </w:r>
      <w:r w:rsidR="00184A8E" w:rsidRPr="00184A8E">
        <w:rPr>
          <w:rFonts w:ascii="Arial" w:eastAsia="Calibri" w:hAnsi="Arial" w:cs="Arial"/>
          <w:b/>
          <w:sz w:val="20"/>
          <w:szCs w:val="20"/>
          <w:lang w:eastAsia="en-US"/>
        </w:rPr>
        <w:t xml:space="preserve">. T210105: Pripremne radnje, projektiranje i izgradnja dječjeg vrtića Čilipi </w:t>
      </w:r>
      <w:r w:rsidR="00184A8E" w:rsidRPr="00184A8E">
        <w:rPr>
          <w:rFonts w:ascii="Arial" w:eastAsia="Calibri" w:hAnsi="Arial" w:cs="Arial"/>
          <w:sz w:val="20"/>
          <w:szCs w:val="20"/>
          <w:lang w:eastAsia="en-US"/>
        </w:rPr>
        <w:t>- u sklopu projekta nisu planirani rashodi. Izrada projektne dokumentacije kao i svi daljnji radovi planiranog projekta bi se izvodili narednih godina ovisno o pripremljenosti projekta i pronalasku izvora financiranja, a početak izgradnje bi mogao biti 2025. godine ukoliko se ishode sve potrebne dozvole i osigura financiranje. Rashodi nisu izvršeni.</w:t>
      </w:r>
    </w:p>
    <w:p w14:paraId="0A5766DE" w14:textId="77777777" w:rsidR="00184A8E" w:rsidRPr="00184A8E" w:rsidRDefault="00184A8E" w:rsidP="00184A8E">
      <w:pPr>
        <w:spacing w:after="0" w:line="240" w:lineRule="auto"/>
        <w:ind w:left="567"/>
        <w:jc w:val="both"/>
        <w:rPr>
          <w:rFonts w:ascii="Arial" w:eastAsia="Calibri" w:hAnsi="Arial" w:cs="Arial"/>
          <w:sz w:val="18"/>
          <w:szCs w:val="20"/>
          <w:lang w:eastAsia="en-US"/>
        </w:rPr>
      </w:pPr>
    </w:p>
    <w:p w14:paraId="56120A19" w14:textId="77777777" w:rsidR="00184A8E" w:rsidRPr="00184A8E" w:rsidRDefault="00184A8E" w:rsidP="00184A8E">
      <w:pPr>
        <w:autoSpaceDE w:val="0"/>
        <w:autoSpaceDN w:val="0"/>
        <w:adjustRightInd w:val="0"/>
        <w:spacing w:after="0" w:line="240" w:lineRule="auto"/>
        <w:ind w:left="567"/>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U 2019. godini su bili izvršeni rashodi na temelju ugovora za izradu urbanističko arhitektonske analize te izrade projektne dokumentacije za izgradnju dječjeg vrtića na dijelu č.zem. 909 k.o. Čilipi. (Alfaplan d.o.o.) u iznosu 59.750 kn / 7.930,19 €.</w:t>
      </w:r>
    </w:p>
    <w:p w14:paraId="0D1A3B71"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65F7691D"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267047D"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5241039"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38F01E5"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04887F5"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9948CB5" w14:textId="41010471"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3B4A22">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2E6D945" w14:textId="2351AC74"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3B4A22">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D29D38D" w14:textId="4C3173AF"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3B4A22">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8A5BDDC" w14:textId="10318F93" w:rsidR="00184A8E" w:rsidRPr="00184A8E" w:rsidRDefault="00184A8E" w:rsidP="00184A8E">
            <w:pPr>
              <w:jc w:val="center"/>
              <w:rPr>
                <w:rFonts w:ascii="Arial" w:eastAsia="Calibri" w:hAnsi="Arial" w:cs="Arial"/>
              </w:rPr>
            </w:pPr>
            <w:r w:rsidRPr="00184A8E">
              <w:rPr>
                <w:rFonts w:ascii="Arial" w:eastAsia="Calibri" w:hAnsi="Arial" w:cs="Arial"/>
              </w:rPr>
              <w:t>Ciljana vrijednost 20</w:t>
            </w:r>
            <w:r w:rsidR="003B4A22">
              <w:rPr>
                <w:rFonts w:ascii="Arial" w:eastAsia="Calibri" w:hAnsi="Arial" w:cs="Arial"/>
              </w:rPr>
              <w:t>26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9719896" w14:textId="1F87E405"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3B4A22">
              <w:rPr>
                <w:rFonts w:ascii="Arial" w:eastAsia="Calibri" w:hAnsi="Arial" w:cs="Arial"/>
              </w:rPr>
              <w:t>7</w:t>
            </w:r>
            <w:r w:rsidRPr="00184A8E">
              <w:rPr>
                <w:rFonts w:ascii="Arial" w:eastAsia="Calibri" w:hAnsi="Arial" w:cs="Arial"/>
              </w:rPr>
              <w:t>.</w:t>
            </w:r>
          </w:p>
        </w:tc>
      </w:tr>
      <w:tr w:rsidR="00184A8E" w:rsidRPr="00184A8E" w14:paraId="231FF399"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5F886755" w14:textId="77777777" w:rsidR="00184A8E" w:rsidRPr="00184A8E" w:rsidRDefault="00184A8E" w:rsidP="00184A8E">
            <w:pPr>
              <w:rPr>
                <w:rFonts w:ascii="Arial" w:hAnsi="Arial" w:cs="Arial"/>
                <w:sz w:val="14"/>
                <w:szCs w:val="14"/>
              </w:rPr>
            </w:pPr>
            <w:r w:rsidRPr="00184A8E">
              <w:rPr>
                <w:rFonts w:ascii="Arial" w:hAnsi="Arial" w:cs="Arial"/>
                <w:sz w:val="14"/>
                <w:szCs w:val="14"/>
              </w:rPr>
              <w:t>Izrada projektne dokumentacije za izgradnju objekta</w:t>
            </w:r>
          </w:p>
        </w:tc>
        <w:tc>
          <w:tcPr>
            <w:tcW w:w="3402" w:type="dxa"/>
            <w:tcBorders>
              <w:top w:val="single" w:sz="4" w:space="0" w:color="auto"/>
              <w:left w:val="single" w:sz="4" w:space="0" w:color="auto"/>
              <w:bottom w:val="single" w:sz="4" w:space="0" w:color="auto"/>
              <w:right w:val="single" w:sz="4" w:space="0" w:color="auto"/>
            </w:tcBorders>
            <w:vAlign w:val="center"/>
          </w:tcPr>
          <w:p w14:paraId="0EF11401" w14:textId="77777777" w:rsidR="00184A8E" w:rsidRPr="00184A8E" w:rsidRDefault="00184A8E" w:rsidP="00184A8E">
            <w:pPr>
              <w:autoSpaceDE w:val="0"/>
              <w:autoSpaceDN w:val="0"/>
              <w:adjustRightInd w:val="0"/>
              <w:rPr>
                <w:rFonts w:ascii="Arial" w:hAnsi="Arial" w:cs="Arial"/>
              </w:rPr>
            </w:pPr>
            <w:r w:rsidRPr="00184A8E">
              <w:rPr>
                <w:rFonts w:ascii="Arial" w:hAnsi="Arial" w:cs="Arial"/>
              </w:rPr>
              <w:t>Postotak dovršetka izrade projekta</w:t>
            </w:r>
          </w:p>
        </w:tc>
        <w:tc>
          <w:tcPr>
            <w:tcW w:w="958" w:type="dxa"/>
            <w:tcBorders>
              <w:top w:val="single" w:sz="4" w:space="0" w:color="auto"/>
              <w:left w:val="single" w:sz="4" w:space="0" w:color="auto"/>
              <w:bottom w:val="single" w:sz="4" w:space="0" w:color="auto"/>
              <w:right w:val="single" w:sz="4" w:space="0" w:color="auto"/>
            </w:tcBorders>
            <w:vAlign w:val="center"/>
          </w:tcPr>
          <w:p w14:paraId="519921F6"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7AB8ABA9"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99E75AC" w14:textId="77777777" w:rsidR="00184A8E" w:rsidRPr="00184A8E" w:rsidRDefault="00184A8E" w:rsidP="00184A8E">
            <w:pPr>
              <w:jc w:val="center"/>
              <w:rPr>
                <w:rFonts w:ascii="Arial" w:hAnsi="Arial" w:cs="Arial"/>
              </w:rPr>
            </w:pPr>
            <w:r w:rsidRPr="00184A8E">
              <w:rPr>
                <w:rFonts w:ascii="Arial" w:hAnsi="Arial" w:cs="Arial"/>
              </w:rPr>
              <w:t>0</w:t>
            </w:r>
          </w:p>
        </w:tc>
        <w:tc>
          <w:tcPr>
            <w:tcW w:w="1276" w:type="dxa"/>
            <w:tcBorders>
              <w:top w:val="single" w:sz="4" w:space="0" w:color="auto"/>
              <w:left w:val="single" w:sz="4" w:space="0" w:color="auto"/>
              <w:bottom w:val="single" w:sz="4" w:space="0" w:color="auto"/>
              <w:right w:val="single" w:sz="4" w:space="0" w:color="auto"/>
            </w:tcBorders>
            <w:vAlign w:val="center"/>
          </w:tcPr>
          <w:p w14:paraId="6F1503F3" w14:textId="500A7E1A" w:rsidR="00184A8E" w:rsidRPr="00184A8E" w:rsidRDefault="003B4A22" w:rsidP="00184A8E">
            <w:pPr>
              <w:jc w:val="center"/>
              <w:rPr>
                <w:rFonts w:ascii="Arial" w:hAnsi="Arial" w:cs="Arial"/>
              </w:rPr>
            </w:pPr>
            <w:r>
              <w:rPr>
                <w:rFonts w:ascii="Arial" w:hAnsi="Arial" w:cs="Arial"/>
              </w:rPr>
              <w:t>0</w:t>
            </w:r>
            <w:r w:rsidR="00184A8E" w:rsidRPr="00184A8E">
              <w:rPr>
                <w:rFonts w:ascii="Arial" w:hAnsi="Arial" w:cs="Arial"/>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14457186"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4720D90D"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5233AA7A" w14:textId="77777777" w:rsidR="00184A8E" w:rsidRPr="00184A8E" w:rsidRDefault="00184A8E" w:rsidP="00184A8E">
            <w:pPr>
              <w:jc w:val="center"/>
              <w:rPr>
                <w:rFonts w:ascii="Arial" w:hAnsi="Arial" w:cs="Arial"/>
              </w:rPr>
            </w:pPr>
            <w:r w:rsidRPr="00184A8E">
              <w:rPr>
                <w:rFonts w:ascii="Arial" w:hAnsi="Arial" w:cs="Arial"/>
              </w:rPr>
              <w:t>0</w:t>
            </w:r>
          </w:p>
        </w:tc>
      </w:tr>
    </w:tbl>
    <w:p w14:paraId="1BD0EFEE" w14:textId="77777777" w:rsidR="00184A8E" w:rsidRPr="00184A8E" w:rsidRDefault="00184A8E" w:rsidP="00184A8E">
      <w:pPr>
        <w:spacing w:after="0" w:line="240" w:lineRule="auto"/>
        <w:jc w:val="both"/>
        <w:rPr>
          <w:rFonts w:ascii="Arial" w:eastAsia="Calibri" w:hAnsi="Arial" w:cs="Arial"/>
          <w:sz w:val="20"/>
          <w:szCs w:val="20"/>
        </w:rPr>
      </w:pPr>
    </w:p>
    <w:p w14:paraId="39912B8B" w14:textId="5A3D1FB2" w:rsidR="00184A8E" w:rsidRPr="00184A8E" w:rsidRDefault="000C74D9" w:rsidP="00184A8E">
      <w:pPr>
        <w:spacing w:after="0" w:line="240" w:lineRule="auto"/>
        <w:jc w:val="both"/>
        <w:rPr>
          <w:rFonts w:ascii="Arial" w:eastAsia="Calibri" w:hAnsi="Arial" w:cs="Arial"/>
          <w:sz w:val="20"/>
          <w:szCs w:val="20"/>
          <w:lang w:eastAsia="en-US"/>
        </w:rPr>
      </w:pPr>
      <w:r>
        <w:rPr>
          <w:rFonts w:ascii="Arial" w:eastAsia="Calibri" w:hAnsi="Arial" w:cs="Arial"/>
          <w:b/>
          <w:sz w:val="20"/>
          <w:szCs w:val="20"/>
          <w:lang w:eastAsia="en-US"/>
        </w:rPr>
        <w:t>5</w:t>
      </w:r>
      <w:r w:rsidR="00184A8E" w:rsidRPr="00184A8E">
        <w:rPr>
          <w:rFonts w:ascii="Arial" w:eastAsia="Calibri" w:hAnsi="Arial" w:cs="Arial"/>
          <w:b/>
          <w:sz w:val="20"/>
          <w:szCs w:val="20"/>
          <w:lang w:eastAsia="en-US"/>
        </w:rPr>
        <w:t xml:space="preserve">. T210106: Ulaganja u školske objekte </w:t>
      </w:r>
      <w:r w:rsidR="00184A8E" w:rsidRPr="00184A8E">
        <w:rPr>
          <w:rFonts w:ascii="Arial" w:eastAsia="Calibri" w:hAnsi="Arial" w:cs="Arial"/>
          <w:sz w:val="20"/>
          <w:szCs w:val="20"/>
          <w:lang w:eastAsia="en-US"/>
        </w:rPr>
        <w:t>- u sklopu projekta nisu planirani rashodi. Prvotno su bili planirani rashodi u iznosu 12.000 € za preuređenje prostorija u osnovnoj školi Cavtat zbog lošeg stanja i prokišnjavanja.</w:t>
      </w:r>
      <w:r w:rsidR="00184A8E" w:rsidRPr="00184A8E">
        <w:rPr>
          <w:rFonts w:ascii="Arial" w:eastAsia="Calibri" w:hAnsi="Arial" w:cs="Arial"/>
          <w:sz w:val="20"/>
          <w:szCs w:val="20"/>
        </w:rPr>
        <w:t xml:space="preserve"> Izmjenama proračuna rashodi nisu planirani. Rashodi nisu izvršeni.</w:t>
      </w:r>
    </w:p>
    <w:p w14:paraId="1140422D" w14:textId="77777777" w:rsidR="00184A8E" w:rsidRPr="00184A8E" w:rsidRDefault="00184A8E" w:rsidP="00184A8E">
      <w:pPr>
        <w:spacing w:after="0" w:line="240" w:lineRule="auto"/>
        <w:jc w:val="both"/>
        <w:rPr>
          <w:rFonts w:ascii="Arial" w:eastAsia="Calibri" w:hAnsi="Arial" w:cs="Arial"/>
          <w:sz w:val="20"/>
          <w:szCs w:val="20"/>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0D98D733"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937612E"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C9821B1"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3514011"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F13B1EE"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19DC490" w14:textId="42E498FD"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Polazna vrijednost 202</w:t>
            </w:r>
            <w:r w:rsidR="00056243">
              <w:rPr>
                <w:rFonts w:ascii="Arial" w:eastAsia="Calibri" w:hAnsi="Arial" w:cs="Arial"/>
                <w:sz w:val="18"/>
                <w:szCs w:val="18"/>
              </w:rPr>
              <w:t>4</w:t>
            </w:r>
            <w:r w:rsidRPr="00184A8E">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C8A9EA2" w14:textId="3C587324"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w:t>
            </w:r>
            <w:r w:rsidR="00056243">
              <w:rPr>
                <w:rFonts w:ascii="Arial" w:eastAsia="Calibri" w:hAnsi="Arial" w:cs="Arial"/>
                <w:sz w:val="18"/>
                <w:szCs w:val="18"/>
              </w:rPr>
              <w:t>25</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CF469EB" w14:textId="1E55BCF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Izvršeno 202</w:t>
            </w:r>
            <w:r w:rsidR="00056243">
              <w:rPr>
                <w:rFonts w:ascii="Arial" w:eastAsia="Calibri" w:hAnsi="Arial" w:cs="Arial"/>
                <w:sz w:val="18"/>
                <w:szCs w:val="18"/>
              </w:rPr>
              <w:t>5</w:t>
            </w:r>
            <w:r w:rsidRPr="00184A8E">
              <w:rPr>
                <w:rFonts w:ascii="Arial" w:eastAsia="Calibri" w:hAnsi="Arial" w:cs="Arial"/>
                <w:sz w:val="18"/>
                <w:szCs w:val="18"/>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79037A3" w14:textId="3E5F5A72"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056243">
              <w:rPr>
                <w:rFonts w:ascii="Arial" w:eastAsia="Calibri" w:hAnsi="Arial" w:cs="Arial"/>
                <w:sz w:val="18"/>
                <w:szCs w:val="18"/>
              </w:rPr>
              <w:t>6</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2B324D4" w14:textId="676772D2"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056243">
              <w:rPr>
                <w:rFonts w:ascii="Arial" w:eastAsia="Calibri" w:hAnsi="Arial" w:cs="Arial"/>
                <w:sz w:val="18"/>
                <w:szCs w:val="18"/>
              </w:rPr>
              <w:t>7</w:t>
            </w:r>
            <w:r w:rsidRPr="00184A8E">
              <w:rPr>
                <w:rFonts w:ascii="Arial" w:eastAsia="Calibri" w:hAnsi="Arial" w:cs="Arial"/>
                <w:sz w:val="18"/>
                <w:szCs w:val="18"/>
              </w:rPr>
              <w:t>.</w:t>
            </w:r>
          </w:p>
        </w:tc>
      </w:tr>
      <w:tr w:rsidR="00184A8E" w:rsidRPr="00184A8E" w14:paraId="6BF2C80B"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3B846E82" w14:textId="77777777" w:rsidR="00184A8E" w:rsidRPr="00184A8E" w:rsidRDefault="00184A8E" w:rsidP="00184A8E">
            <w:pPr>
              <w:rPr>
                <w:rFonts w:ascii="Arial" w:hAnsi="Arial" w:cs="Arial"/>
                <w:sz w:val="18"/>
                <w:szCs w:val="18"/>
              </w:rPr>
            </w:pPr>
            <w:r w:rsidRPr="00184A8E">
              <w:rPr>
                <w:rFonts w:ascii="Arial" w:hAnsi="Arial" w:cs="Arial"/>
                <w:sz w:val="18"/>
                <w:szCs w:val="18"/>
              </w:rPr>
              <w:t>Ulaganje u održavanje škole</w:t>
            </w:r>
          </w:p>
        </w:tc>
        <w:tc>
          <w:tcPr>
            <w:tcW w:w="3402" w:type="dxa"/>
            <w:tcBorders>
              <w:top w:val="single" w:sz="4" w:space="0" w:color="auto"/>
              <w:left w:val="single" w:sz="4" w:space="0" w:color="auto"/>
              <w:bottom w:val="single" w:sz="4" w:space="0" w:color="auto"/>
              <w:right w:val="single" w:sz="4" w:space="0" w:color="auto"/>
            </w:tcBorders>
            <w:vAlign w:val="center"/>
          </w:tcPr>
          <w:p w14:paraId="629046CB" w14:textId="77777777" w:rsidR="00184A8E" w:rsidRPr="00184A8E" w:rsidRDefault="00184A8E" w:rsidP="00184A8E">
            <w:pPr>
              <w:autoSpaceDE w:val="0"/>
              <w:autoSpaceDN w:val="0"/>
              <w:adjustRightInd w:val="0"/>
              <w:rPr>
                <w:rFonts w:ascii="Arial" w:hAnsi="Arial" w:cs="Arial"/>
                <w:sz w:val="18"/>
                <w:szCs w:val="18"/>
              </w:rPr>
            </w:pPr>
            <w:r w:rsidRPr="00184A8E">
              <w:rPr>
                <w:rFonts w:ascii="Arial" w:hAnsi="Arial" w:cs="Arial"/>
                <w:sz w:val="18"/>
                <w:szCs w:val="18"/>
              </w:rPr>
              <w:t>Obavljeno ulaganje u staru školu</w:t>
            </w:r>
          </w:p>
        </w:tc>
        <w:tc>
          <w:tcPr>
            <w:tcW w:w="958" w:type="dxa"/>
            <w:tcBorders>
              <w:top w:val="single" w:sz="4" w:space="0" w:color="auto"/>
              <w:left w:val="single" w:sz="4" w:space="0" w:color="auto"/>
              <w:bottom w:val="single" w:sz="4" w:space="0" w:color="auto"/>
              <w:right w:val="single" w:sz="4" w:space="0" w:color="auto"/>
            </w:tcBorders>
            <w:vAlign w:val="center"/>
          </w:tcPr>
          <w:p w14:paraId="53F8C438"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98C7675"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CA91F5F"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2F257A8C"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4BDB0A3A"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2D2423D8"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5E7FE7F7"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0</w:t>
            </w:r>
          </w:p>
        </w:tc>
      </w:tr>
    </w:tbl>
    <w:p w14:paraId="5BF13B9D" w14:textId="77777777" w:rsidR="00184A8E" w:rsidRPr="00184A8E" w:rsidRDefault="00184A8E" w:rsidP="00184A8E">
      <w:pPr>
        <w:spacing w:after="0" w:line="240" w:lineRule="auto"/>
        <w:jc w:val="both"/>
        <w:rPr>
          <w:rFonts w:ascii="Arial" w:eastAsia="Calibri" w:hAnsi="Arial" w:cs="Arial"/>
          <w:sz w:val="20"/>
          <w:szCs w:val="20"/>
          <w:lang w:eastAsia="en-US"/>
        </w:rPr>
      </w:pPr>
    </w:p>
    <w:p w14:paraId="5088EC5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Aktivnosti vezane uz opće ciljeve postignute su sukladno postocima izvršenja i u skladu s očekivanom dinamikom izvršenja rashoda.</w:t>
      </w:r>
      <w:r w:rsidRPr="00184A8E">
        <w:rPr>
          <w:rFonts w:ascii="Arial" w:eastAsia="Calibri" w:hAnsi="Arial" w:cs="Arial"/>
          <w:sz w:val="20"/>
          <w:szCs w:val="20"/>
        </w:rPr>
        <w:br w:type="page"/>
      </w:r>
    </w:p>
    <w:p w14:paraId="2FDFE4E8" w14:textId="77777777" w:rsidR="00184A8E" w:rsidRPr="00184A8E" w:rsidRDefault="00184A8E" w:rsidP="00184A8E">
      <w:pPr>
        <w:spacing w:after="0" w:line="240" w:lineRule="auto"/>
        <w:jc w:val="both"/>
        <w:rPr>
          <w:rFonts w:ascii="Arial" w:eastAsia="Calibri" w:hAnsi="Arial" w:cs="Arial"/>
          <w:sz w:val="20"/>
          <w:szCs w:val="20"/>
        </w:rPr>
      </w:pPr>
    </w:p>
    <w:p w14:paraId="3B5D5234"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589" w:name="_Toc435014687"/>
      <w:bookmarkStart w:id="590" w:name="_Toc200628534"/>
      <w:bookmarkStart w:id="591" w:name="_Toc232981466"/>
      <w:r w:rsidRPr="00184A8E">
        <w:rPr>
          <w:rFonts w:ascii="Times New Roman" w:eastAsia="Calibri" w:hAnsi="Times New Roman" w:cs="Times New Roman"/>
          <w:b/>
          <w:sz w:val="24"/>
          <w:szCs w:val="20"/>
          <w:lang w:eastAsia="en-US"/>
        </w:rPr>
        <w:t>Program (2102): Izgradnja i uređenje objekata javne namjene – sport</w:t>
      </w:r>
      <w:bookmarkEnd w:id="589"/>
      <w:bookmarkEnd w:id="590"/>
      <w:bookmarkEnd w:id="591"/>
    </w:p>
    <w:p w14:paraId="06275808"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80"/>
        <w:gridCol w:w="12580"/>
      </w:tblGrid>
      <w:tr w:rsidR="00184A8E" w:rsidRPr="00184A8E" w14:paraId="64428FD0" w14:textId="77777777" w:rsidTr="00410A4B">
        <w:tc>
          <w:tcPr>
            <w:tcW w:w="1980" w:type="dxa"/>
          </w:tcPr>
          <w:p w14:paraId="2E68D4CB"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580" w:type="dxa"/>
          </w:tcPr>
          <w:p w14:paraId="06B837D5"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Opći cilj investicije je zadovoljavanje kulturnih i sportskih potreba Općine Konavle. </w:t>
            </w:r>
          </w:p>
        </w:tc>
      </w:tr>
      <w:tr w:rsidR="00184A8E" w:rsidRPr="00184A8E" w14:paraId="2D3C59B5" w14:textId="77777777" w:rsidTr="00410A4B">
        <w:tc>
          <w:tcPr>
            <w:tcW w:w="1980" w:type="dxa"/>
          </w:tcPr>
          <w:p w14:paraId="6894098F" w14:textId="77777777" w:rsidR="00184A8E" w:rsidRPr="00184A8E" w:rsidRDefault="00184A8E" w:rsidP="00184A8E">
            <w:pPr>
              <w:spacing w:after="0" w:line="240" w:lineRule="auto"/>
              <w:jc w:val="both"/>
              <w:rPr>
                <w:rFonts w:ascii="Arial" w:eastAsia="Calibri" w:hAnsi="Arial" w:cs="Arial"/>
                <w:sz w:val="16"/>
                <w:szCs w:val="16"/>
                <w:lang w:eastAsia="en-US"/>
              </w:rPr>
            </w:pPr>
            <w:r w:rsidRPr="00184A8E">
              <w:rPr>
                <w:rFonts w:ascii="Arial" w:eastAsia="Calibri" w:hAnsi="Arial" w:cs="Arial"/>
                <w:sz w:val="16"/>
                <w:szCs w:val="16"/>
                <w:lang w:eastAsia="en-US"/>
              </w:rPr>
              <w:t>ZAKONSKE I DRUGE PRAVNE OSNOVE PROGRAMA:</w:t>
            </w:r>
          </w:p>
        </w:tc>
        <w:tc>
          <w:tcPr>
            <w:tcW w:w="12580" w:type="dxa"/>
          </w:tcPr>
          <w:p w14:paraId="123F9B7A"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Zakon o lokalnoj i područnoj (regionalnoj) samoupravi (NN 33/01, 60/01,129/05, 109/07,125/08, 36/09, 150/11, 144/12, 19/13, 137/15, 123/17, 98/19, 144/20), Zakon o javnoj nabavi (NN 120/16, 114/22), Zakon o sportu (NN 141/22), Statut Općine i drugi akti</w:t>
            </w:r>
          </w:p>
        </w:tc>
      </w:tr>
      <w:tr w:rsidR="00184A8E" w:rsidRPr="00184A8E" w14:paraId="572CDDAC" w14:textId="77777777" w:rsidTr="00410A4B">
        <w:tc>
          <w:tcPr>
            <w:tcW w:w="1980" w:type="dxa"/>
            <w:tcBorders>
              <w:top w:val="dotted" w:sz="4" w:space="0" w:color="auto"/>
              <w:left w:val="dotted" w:sz="4" w:space="0" w:color="auto"/>
              <w:bottom w:val="dotted" w:sz="4" w:space="0" w:color="auto"/>
              <w:right w:val="dotted" w:sz="4" w:space="0" w:color="auto"/>
            </w:tcBorders>
          </w:tcPr>
          <w:p w14:paraId="7F4A4C0B"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2580" w:type="dxa"/>
            <w:tcBorders>
              <w:top w:val="dotted" w:sz="4" w:space="0" w:color="auto"/>
              <w:left w:val="dotted" w:sz="4" w:space="0" w:color="auto"/>
              <w:bottom w:val="dotted" w:sz="4" w:space="0" w:color="auto"/>
              <w:right w:val="dotted" w:sz="4" w:space="0" w:color="auto"/>
            </w:tcBorders>
          </w:tcPr>
          <w:p w14:paraId="60543349"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Podizanje kvalitete života i stanovanja.</w:t>
            </w:r>
          </w:p>
          <w:p w14:paraId="194069F0"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Stvaranje preduvjeta za unapređenje kvalitete stanovanja i življenja te podizanje razine i standarda javnih potreba u sportu na području Općine.</w:t>
            </w:r>
          </w:p>
        </w:tc>
      </w:tr>
      <w:tr w:rsidR="00184A8E" w:rsidRPr="00184A8E" w14:paraId="6534907D" w14:textId="77777777" w:rsidTr="00410A4B">
        <w:tc>
          <w:tcPr>
            <w:tcW w:w="1980" w:type="dxa"/>
            <w:tcBorders>
              <w:top w:val="dotted" w:sz="4" w:space="0" w:color="auto"/>
              <w:left w:val="dotted" w:sz="4" w:space="0" w:color="auto"/>
              <w:bottom w:val="dotted" w:sz="4" w:space="0" w:color="auto"/>
              <w:right w:val="dotted" w:sz="4" w:space="0" w:color="auto"/>
            </w:tcBorders>
            <w:vAlign w:val="bottom"/>
          </w:tcPr>
          <w:p w14:paraId="6F41063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2580" w:type="dxa"/>
            <w:tcBorders>
              <w:top w:val="dotted" w:sz="4" w:space="0" w:color="auto"/>
              <w:left w:val="dotted" w:sz="4" w:space="0" w:color="auto"/>
              <w:bottom w:val="dotted" w:sz="4" w:space="0" w:color="auto"/>
              <w:right w:val="dotted" w:sz="4" w:space="0" w:color="auto"/>
            </w:tcBorders>
            <w:vAlign w:val="bottom"/>
          </w:tcPr>
          <w:p w14:paraId="2C9974E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Poseban cilj: Obogaćivanje postojećih sadržaja i programa novim, radi zadovoljavanja potreba različitih skupina građana. </w:t>
            </w:r>
          </w:p>
          <w:p w14:paraId="1626AFD7"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Povećanje broja sportskih zbivanja, manifestacija od značaja za Općinu, te povećanje standarda usluga na području sportske djelatnosti.</w:t>
            </w:r>
          </w:p>
        </w:tc>
      </w:tr>
    </w:tbl>
    <w:p w14:paraId="2C97ECE5" w14:textId="77777777" w:rsidR="00184A8E" w:rsidRPr="00184A8E" w:rsidRDefault="00184A8E" w:rsidP="00184A8E">
      <w:pPr>
        <w:shd w:val="clear" w:color="auto" w:fill="FFFFFF"/>
        <w:spacing w:after="0" w:line="240" w:lineRule="auto"/>
        <w:jc w:val="both"/>
        <w:rPr>
          <w:rFonts w:ascii="Arial" w:eastAsia="Times New Roman" w:hAnsi="Arial" w:cs="Arial"/>
          <w:sz w:val="20"/>
          <w:szCs w:val="20"/>
          <w:bdr w:val="none" w:sz="0" w:space="0" w:color="auto" w:frame="1"/>
          <w:lang w:eastAsia="en-US"/>
        </w:rPr>
      </w:pPr>
    </w:p>
    <w:p w14:paraId="5B67CCBB"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3825FCF9" w14:textId="77777777" w:rsidR="00184A8E" w:rsidRPr="00184A8E" w:rsidRDefault="00184A8E" w:rsidP="00184A8E">
      <w:pPr>
        <w:spacing w:after="0" w:line="240" w:lineRule="auto"/>
        <w:rPr>
          <w:rFonts w:ascii="Arial" w:eastAsia="Calibri" w:hAnsi="Arial" w:cs="Arial"/>
          <w:sz w:val="20"/>
          <w:szCs w:val="20"/>
        </w:rPr>
      </w:pPr>
    </w:p>
    <w:p w14:paraId="2466AA89" w14:textId="65FCAB65"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11A90797" w14:textId="77088E18" w:rsidR="00184A8E" w:rsidRPr="00184A8E" w:rsidRDefault="003B4A22" w:rsidP="00184A8E">
      <w:pPr>
        <w:spacing w:after="0" w:line="240" w:lineRule="auto"/>
        <w:rPr>
          <w:rFonts w:ascii="Arial" w:eastAsia="Calibri" w:hAnsi="Arial" w:cs="Arial"/>
          <w:sz w:val="20"/>
          <w:szCs w:val="20"/>
        </w:rPr>
      </w:pPr>
      <w:r w:rsidRPr="003B4A22">
        <w:rPr>
          <w:noProof/>
        </w:rPr>
        <w:drawing>
          <wp:inline distT="0" distB="0" distL="0" distR="0" wp14:anchorId="520D2AC0" wp14:editId="15A809B7">
            <wp:extent cx="9251950" cy="1821815"/>
            <wp:effectExtent l="0" t="0" r="6350" b="6985"/>
            <wp:docPr id="1031871450"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9251950" cy="1821815"/>
                    </a:xfrm>
                    <a:prstGeom prst="rect">
                      <a:avLst/>
                    </a:prstGeom>
                    <a:noFill/>
                    <a:ln>
                      <a:noFill/>
                    </a:ln>
                  </pic:spPr>
                </pic:pic>
              </a:graphicData>
            </a:graphic>
          </wp:inline>
        </w:drawing>
      </w:r>
    </w:p>
    <w:p w14:paraId="1C94D9B7"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1570FB41"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2A63A1D0"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4B43810D" w14:textId="77777777"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Izvršenje je manje od očekivanih vrijednosti.</w:t>
      </w:r>
    </w:p>
    <w:p w14:paraId="77BABD6A" w14:textId="77777777" w:rsidR="00184A8E" w:rsidRPr="00184A8E" w:rsidRDefault="00184A8E" w:rsidP="00184A8E">
      <w:pPr>
        <w:spacing w:after="0" w:line="240" w:lineRule="auto"/>
        <w:jc w:val="both"/>
        <w:rPr>
          <w:rFonts w:ascii="Arial" w:eastAsia="Calibri" w:hAnsi="Arial" w:cs="Arial"/>
          <w:sz w:val="20"/>
          <w:szCs w:val="20"/>
          <w:lang w:eastAsia="en-US"/>
        </w:rPr>
      </w:pPr>
    </w:p>
    <w:p w14:paraId="3B52CF32" w14:textId="0D1B9BF2" w:rsidR="003B4A22" w:rsidRDefault="003B4A22" w:rsidP="00184A8E">
      <w:pPr>
        <w:spacing w:after="0" w:line="240" w:lineRule="auto"/>
        <w:jc w:val="both"/>
        <w:rPr>
          <w:rFonts w:ascii="Arial" w:eastAsia="Calibri" w:hAnsi="Arial" w:cs="Arial"/>
          <w:sz w:val="20"/>
          <w:szCs w:val="20"/>
          <w:lang w:eastAsia="en-US"/>
        </w:rPr>
      </w:pPr>
      <w:r w:rsidRPr="003B4A22">
        <w:rPr>
          <w:rFonts w:ascii="Arial" w:eastAsia="Calibri" w:hAnsi="Arial" w:cs="Arial"/>
          <w:sz w:val="20"/>
          <w:szCs w:val="20"/>
          <w:lang w:eastAsia="en-US"/>
        </w:rPr>
        <w:t xml:space="preserve">U okviru programa 2102 planirani su rashodi u iznosu </w:t>
      </w:r>
      <w:r>
        <w:rPr>
          <w:rFonts w:ascii="Arial" w:eastAsia="Calibri" w:hAnsi="Arial" w:cs="Arial"/>
          <w:sz w:val="20"/>
          <w:szCs w:val="20"/>
          <w:lang w:eastAsia="en-US"/>
        </w:rPr>
        <w:t>265.650</w:t>
      </w:r>
      <w:r w:rsidRPr="003B4A22">
        <w:rPr>
          <w:rFonts w:ascii="Arial" w:eastAsia="Calibri" w:hAnsi="Arial" w:cs="Arial"/>
          <w:sz w:val="20"/>
          <w:szCs w:val="20"/>
          <w:lang w:eastAsia="en-US"/>
        </w:rPr>
        <w:t xml:space="preserve"> € za 2025. godinu, te 4.363.500 € za 2026. godinu i 427.000 € za 2027. godinu.</w:t>
      </w:r>
    </w:p>
    <w:p w14:paraId="1015EE3D" w14:textId="77777777" w:rsidR="003B4A22" w:rsidRDefault="003B4A22" w:rsidP="00184A8E">
      <w:pPr>
        <w:spacing w:after="0" w:line="240" w:lineRule="auto"/>
        <w:jc w:val="both"/>
        <w:rPr>
          <w:rFonts w:ascii="Arial" w:eastAsia="Calibri" w:hAnsi="Arial" w:cs="Arial"/>
          <w:sz w:val="20"/>
          <w:szCs w:val="20"/>
        </w:rPr>
      </w:pPr>
    </w:p>
    <w:p w14:paraId="1FE69C0A" w14:textId="72B7CD3D"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Rashodi za 202</w:t>
      </w:r>
      <w:r w:rsidR="003B4A22">
        <w:rPr>
          <w:rFonts w:ascii="Arial" w:eastAsia="Calibri" w:hAnsi="Arial" w:cs="Arial"/>
          <w:sz w:val="20"/>
          <w:szCs w:val="20"/>
        </w:rPr>
        <w:t>5</w:t>
      </w:r>
      <w:r w:rsidRPr="00184A8E">
        <w:rPr>
          <w:rFonts w:ascii="Arial" w:eastAsia="Calibri" w:hAnsi="Arial" w:cs="Arial"/>
          <w:sz w:val="20"/>
          <w:szCs w:val="20"/>
        </w:rPr>
        <w:t xml:space="preserve">. su izvršeni u iznosu </w:t>
      </w:r>
      <w:r w:rsidR="003B4A22">
        <w:rPr>
          <w:rFonts w:ascii="Arial" w:eastAsia="Calibri" w:hAnsi="Arial" w:cs="Arial"/>
          <w:sz w:val="20"/>
          <w:szCs w:val="20"/>
        </w:rPr>
        <w:t>128.736,73</w:t>
      </w:r>
      <w:r w:rsidRPr="00184A8E">
        <w:rPr>
          <w:rFonts w:ascii="Arial" w:eastAsia="Calibri" w:hAnsi="Arial" w:cs="Arial"/>
          <w:sz w:val="20"/>
          <w:szCs w:val="20"/>
        </w:rPr>
        <w:t xml:space="preserve"> € ili </w:t>
      </w:r>
      <w:r w:rsidR="003B4A22">
        <w:rPr>
          <w:rFonts w:ascii="Arial" w:eastAsia="Calibri" w:hAnsi="Arial" w:cs="Arial"/>
          <w:sz w:val="20"/>
          <w:szCs w:val="20"/>
        </w:rPr>
        <w:t>48,5</w:t>
      </w:r>
      <w:r w:rsidRPr="00184A8E">
        <w:rPr>
          <w:rFonts w:ascii="Arial" w:eastAsia="Calibri" w:hAnsi="Arial" w:cs="Arial"/>
          <w:sz w:val="20"/>
          <w:szCs w:val="20"/>
        </w:rPr>
        <w:t>%.</w:t>
      </w:r>
    </w:p>
    <w:p w14:paraId="6CFCF10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3EB707EF"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0EB841CE" w14:textId="77777777" w:rsidR="00184A8E" w:rsidRPr="00184A8E" w:rsidRDefault="00184A8E" w:rsidP="00184A8E">
      <w:pPr>
        <w:spacing w:after="0" w:line="240" w:lineRule="auto"/>
        <w:jc w:val="both"/>
        <w:rPr>
          <w:rFonts w:ascii="Arial" w:eastAsia="Calibri" w:hAnsi="Arial" w:cs="Arial"/>
          <w:sz w:val="20"/>
          <w:szCs w:val="20"/>
        </w:rPr>
      </w:pPr>
    </w:p>
    <w:p w14:paraId="4DC1377A"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Unutar programa izvode se slijedeće aktivnosti i projekti:</w:t>
      </w:r>
    </w:p>
    <w:p w14:paraId="087A33A4" w14:textId="77777777" w:rsidR="00184A8E" w:rsidRPr="00184A8E" w:rsidRDefault="00184A8E" w:rsidP="00184A8E">
      <w:pPr>
        <w:spacing w:after="0" w:line="240" w:lineRule="auto"/>
        <w:jc w:val="both"/>
        <w:rPr>
          <w:rFonts w:ascii="Arial" w:eastAsia="Calibri" w:hAnsi="Arial" w:cs="Arial"/>
          <w:sz w:val="20"/>
          <w:szCs w:val="20"/>
        </w:rPr>
      </w:pPr>
    </w:p>
    <w:p w14:paraId="531BD8C5" w14:textId="584B174A"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1. K210201: Ulaganja u sportske objekte</w:t>
      </w:r>
      <w:r w:rsidRPr="00184A8E">
        <w:rPr>
          <w:rFonts w:ascii="Arial" w:eastAsia="Calibri" w:hAnsi="Arial" w:cs="Arial"/>
          <w:sz w:val="20"/>
          <w:szCs w:val="20"/>
          <w:lang w:eastAsia="en-US"/>
        </w:rPr>
        <w:t xml:space="preserve"> - u sklopu projekta su planirani rashodi u iznosu </w:t>
      </w:r>
      <w:r w:rsidR="00653422">
        <w:rPr>
          <w:rFonts w:ascii="Arial" w:eastAsia="Calibri" w:hAnsi="Arial" w:cs="Arial"/>
          <w:sz w:val="20"/>
          <w:szCs w:val="20"/>
          <w:lang w:eastAsia="en-US"/>
        </w:rPr>
        <w:t>43</w:t>
      </w:r>
      <w:r w:rsidRPr="00184A8E">
        <w:rPr>
          <w:rFonts w:ascii="Arial" w:eastAsia="Calibri" w:hAnsi="Arial" w:cs="Arial"/>
          <w:sz w:val="20"/>
          <w:szCs w:val="20"/>
          <w:lang w:eastAsia="en-US"/>
        </w:rPr>
        <w:t>.</w:t>
      </w:r>
      <w:r w:rsidR="00653422">
        <w:rPr>
          <w:rFonts w:ascii="Arial" w:eastAsia="Calibri" w:hAnsi="Arial" w:cs="Arial"/>
          <w:sz w:val="20"/>
          <w:szCs w:val="20"/>
          <w:lang w:eastAsia="en-US"/>
        </w:rPr>
        <w:t>4</w:t>
      </w:r>
      <w:r w:rsidRPr="00184A8E">
        <w:rPr>
          <w:rFonts w:ascii="Arial" w:eastAsia="Calibri" w:hAnsi="Arial" w:cs="Arial"/>
          <w:sz w:val="20"/>
          <w:szCs w:val="20"/>
          <w:lang w:eastAsia="en-US"/>
        </w:rPr>
        <w:t xml:space="preserve">00 €. Ovdje se planiraju rashodi za igrališta. Rashodi su izvršeni u iznosu </w:t>
      </w:r>
      <w:r w:rsidR="00653422">
        <w:rPr>
          <w:rFonts w:ascii="Arial" w:eastAsia="Calibri" w:hAnsi="Arial" w:cs="Arial"/>
          <w:sz w:val="20"/>
          <w:szCs w:val="20"/>
          <w:lang w:eastAsia="en-US"/>
        </w:rPr>
        <w:t>23.057,50</w:t>
      </w:r>
      <w:r w:rsidRPr="00184A8E">
        <w:rPr>
          <w:rFonts w:ascii="Arial" w:eastAsia="Calibri" w:hAnsi="Arial" w:cs="Arial"/>
          <w:sz w:val="20"/>
          <w:szCs w:val="20"/>
          <w:lang w:eastAsia="en-US"/>
        </w:rPr>
        <w:t xml:space="preserve"> €.</w:t>
      </w:r>
    </w:p>
    <w:p w14:paraId="6E57CE43" w14:textId="77777777" w:rsidR="00184A8E" w:rsidRPr="00184A8E" w:rsidRDefault="00184A8E" w:rsidP="00184A8E">
      <w:pPr>
        <w:spacing w:after="0" w:line="240" w:lineRule="auto"/>
        <w:jc w:val="both"/>
        <w:rPr>
          <w:rFonts w:ascii="Arial" w:eastAsia="Calibri" w:hAnsi="Arial" w:cs="Arial"/>
          <w:sz w:val="20"/>
          <w:szCs w:val="20"/>
          <w:lang w:eastAsia="en-US"/>
        </w:rPr>
      </w:pPr>
    </w:p>
    <w:p w14:paraId="768777E4" w14:textId="7F5EDDC7" w:rsidR="00184A8E" w:rsidRPr="0014407C" w:rsidRDefault="0014407C" w:rsidP="00653422">
      <w:pPr>
        <w:spacing w:after="0" w:line="240" w:lineRule="auto"/>
        <w:ind w:left="567"/>
        <w:jc w:val="both"/>
        <w:rPr>
          <w:rFonts w:ascii="Arial" w:eastAsia="Calibri" w:hAnsi="Arial" w:cs="Arial"/>
          <w:sz w:val="18"/>
          <w:szCs w:val="18"/>
          <w:lang w:eastAsia="en-US"/>
        </w:rPr>
      </w:pPr>
      <w:r w:rsidRPr="0014407C">
        <w:rPr>
          <w:rFonts w:ascii="Arial" w:eastAsia="Calibri" w:hAnsi="Arial" w:cs="Arial"/>
          <w:sz w:val="18"/>
          <w:szCs w:val="18"/>
          <w:lang w:eastAsia="en-US"/>
        </w:rPr>
        <w:t>U</w:t>
      </w:r>
      <w:r w:rsidR="00184A8E" w:rsidRPr="0014407C">
        <w:rPr>
          <w:rFonts w:ascii="Arial" w:eastAsia="Calibri" w:hAnsi="Arial" w:cs="Arial"/>
          <w:sz w:val="18"/>
          <w:szCs w:val="18"/>
          <w:lang w:eastAsia="en-US"/>
        </w:rPr>
        <w:t xml:space="preserve"> 2024. godini </w:t>
      </w:r>
      <w:r w:rsidRPr="0014407C">
        <w:rPr>
          <w:rFonts w:ascii="Arial" w:eastAsia="Calibri" w:hAnsi="Arial" w:cs="Arial"/>
          <w:sz w:val="18"/>
          <w:szCs w:val="18"/>
          <w:lang w:eastAsia="en-US"/>
        </w:rPr>
        <w:t xml:space="preserve">su bili izvršeni rashodi </w:t>
      </w:r>
      <w:r w:rsidR="00184A8E" w:rsidRPr="0014407C">
        <w:rPr>
          <w:rFonts w:ascii="Arial" w:eastAsia="Calibri" w:hAnsi="Arial" w:cs="Arial"/>
          <w:sz w:val="18"/>
          <w:szCs w:val="18"/>
          <w:lang w:eastAsia="en-US"/>
        </w:rPr>
        <w:t xml:space="preserve">u iznosu 9.072,55 € </w:t>
      </w:r>
      <w:r w:rsidRPr="0014407C">
        <w:rPr>
          <w:rFonts w:ascii="Arial" w:eastAsia="Calibri" w:hAnsi="Arial" w:cs="Arial"/>
          <w:sz w:val="18"/>
          <w:szCs w:val="18"/>
          <w:lang w:eastAsia="en-US"/>
        </w:rPr>
        <w:t>za</w:t>
      </w:r>
      <w:r w:rsidR="00184A8E" w:rsidRPr="0014407C">
        <w:rPr>
          <w:rFonts w:ascii="Arial" w:eastAsia="Calibri" w:hAnsi="Arial" w:cs="Arial"/>
          <w:sz w:val="18"/>
          <w:szCs w:val="18"/>
          <w:lang w:eastAsia="en-US"/>
        </w:rPr>
        <w:t xml:space="preserve"> uređenje i opremanje nogometnog igrališta u Dubravci za što je županija osigurala 8.000 €. </w:t>
      </w:r>
    </w:p>
    <w:p w14:paraId="460F5F96" w14:textId="77777777" w:rsidR="00184A8E" w:rsidRDefault="00184A8E" w:rsidP="00184A8E">
      <w:pPr>
        <w:spacing w:after="0" w:line="240" w:lineRule="auto"/>
        <w:jc w:val="both"/>
        <w:rPr>
          <w:rFonts w:ascii="Arial" w:eastAsia="Calibri" w:hAnsi="Arial" w:cs="Arial"/>
          <w:sz w:val="20"/>
          <w:szCs w:val="20"/>
          <w:lang w:eastAsia="en-US"/>
        </w:rPr>
      </w:pPr>
    </w:p>
    <w:p w14:paraId="5090D4F6" w14:textId="77777777" w:rsidR="00653422" w:rsidRDefault="00653422" w:rsidP="00653422">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Izvršeni rashodi u 202</w:t>
      </w:r>
      <w:r>
        <w:rPr>
          <w:rFonts w:ascii="Arial" w:eastAsia="Calibri" w:hAnsi="Arial" w:cs="Arial"/>
          <w:sz w:val="20"/>
          <w:szCs w:val="20"/>
          <w:lang w:eastAsia="en-US"/>
        </w:rPr>
        <w:t>5</w:t>
      </w:r>
      <w:r w:rsidRPr="00184A8E">
        <w:rPr>
          <w:rFonts w:ascii="Arial" w:eastAsia="Calibri" w:hAnsi="Arial" w:cs="Arial"/>
          <w:sz w:val="20"/>
          <w:szCs w:val="20"/>
          <w:lang w:eastAsia="en-US"/>
        </w:rPr>
        <w:t xml:space="preserve">. godini u iznosu </w:t>
      </w:r>
      <w:r>
        <w:rPr>
          <w:rFonts w:ascii="Arial" w:eastAsia="Calibri" w:hAnsi="Arial" w:cs="Arial"/>
          <w:sz w:val="20"/>
          <w:szCs w:val="20"/>
          <w:lang w:eastAsia="en-US"/>
        </w:rPr>
        <w:t>23.057,50</w:t>
      </w:r>
      <w:r w:rsidRPr="00184A8E">
        <w:rPr>
          <w:rFonts w:ascii="Arial" w:eastAsia="Calibri" w:hAnsi="Arial" w:cs="Arial"/>
          <w:sz w:val="20"/>
          <w:szCs w:val="20"/>
          <w:lang w:eastAsia="en-US"/>
        </w:rPr>
        <w:t xml:space="preserve"> € se odnose na</w:t>
      </w:r>
      <w:r>
        <w:rPr>
          <w:rFonts w:ascii="Arial" w:eastAsia="Calibri" w:hAnsi="Arial" w:cs="Arial"/>
          <w:sz w:val="20"/>
          <w:szCs w:val="20"/>
          <w:lang w:eastAsia="en-US"/>
        </w:rPr>
        <w:t>.</w:t>
      </w:r>
    </w:p>
    <w:p w14:paraId="0CE83361" w14:textId="62A4808A" w:rsidR="00653422" w:rsidRDefault="00653422" w:rsidP="00653422">
      <w:pPr>
        <w:pStyle w:val="Odlomakpopisa"/>
        <w:numPr>
          <w:ilvl w:val="0"/>
          <w:numId w:val="3"/>
        </w:numPr>
        <w:rPr>
          <w:rFonts w:ascii="Arial" w:eastAsia="Calibri" w:hAnsi="Arial" w:cs="Arial"/>
        </w:rPr>
      </w:pPr>
      <w:r>
        <w:rPr>
          <w:rFonts w:ascii="Arial" w:eastAsia="Calibri" w:hAnsi="Arial" w:cs="Arial"/>
        </w:rPr>
        <w:t>postavljanje umjetne trave na malonogometnom igralištu pored osnovne škole Gruda u iznosu 19.397,50 € (sufinanciranje sredstvima Županije),</w:t>
      </w:r>
    </w:p>
    <w:p w14:paraId="421963E5" w14:textId="6EC41F2D" w:rsidR="00653422" w:rsidRPr="00653422" w:rsidRDefault="0014407C" w:rsidP="00653422">
      <w:pPr>
        <w:pStyle w:val="Odlomakpopisa"/>
        <w:numPr>
          <w:ilvl w:val="0"/>
          <w:numId w:val="3"/>
        </w:numPr>
        <w:rPr>
          <w:rFonts w:ascii="Arial" w:eastAsia="Calibri" w:hAnsi="Arial" w:cs="Arial"/>
        </w:rPr>
      </w:pPr>
      <w:r>
        <w:rPr>
          <w:rFonts w:ascii="Arial" w:eastAsia="Calibri" w:hAnsi="Arial" w:cs="Arial"/>
        </w:rPr>
        <w:t>ugradnja elektro kotla za grijanje spremnika potroške tople vode OŠ Gruda 3.660 €</w:t>
      </w:r>
      <w:r w:rsidR="00653422" w:rsidRPr="00653422">
        <w:rPr>
          <w:rFonts w:ascii="Arial" w:eastAsia="Calibri" w:hAnsi="Arial" w:cs="Arial"/>
        </w:rPr>
        <w:t xml:space="preserve">. </w:t>
      </w:r>
    </w:p>
    <w:p w14:paraId="6F0E4B7C" w14:textId="77777777" w:rsidR="00653422" w:rsidRPr="00184A8E" w:rsidRDefault="00653422" w:rsidP="00184A8E">
      <w:pPr>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77414216"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6D2DDC6"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292DE6D"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76BF237"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337C9C6"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E4487B3" w14:textId="49E201E7"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14407C">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6169E8A" w14:textId="0E7DCA70"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14407C">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CCCFD08" w14:textId="4AB1FBF2"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14407C">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F140123" w14:textId="18704D5F"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14407C">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D7C5E7B" w14:textId="035D96D7"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14407C">
              <w:rPr>
                <w:rFonts w:ascii="Arial" w:eastAsia="Calibri" w:hAnsi="Arial" w:cs="Arial"/>
              </w:rPr>
              <w:t>7</w:t>
            </w:r>
            <w:r w:rsidRPr="00184A8E">
              <w:rPr>
                <w:rFonts w:ascii="Arial" w:eastAsia="Calibri" w:hAnsi="Arial" w:cs="Arial"/>
              </w:rPr>
              <w:t>.</w:t>
            </w:r>
          </w:p>
        </w:tc>
      </w:tr>
      <w:tr w:rsidR="00184A8E" w:rsidRPr="00184A8E" w14:paraId="16616AD4"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1D91490B" w14:textId="77777777" w:rsidR="00184A8E" w:rsidRPr="00184A8E" w:rsidRDefault="00184A8E" w:rsidP="00184A8E">
            <w:pPr>
              <w:rPr>
                <w:rFonts w:ascii="Arial" w:hAnsi="Arial" w:cs="Arial"/>
                <w:sz w:val="14"/>
                <w:szCs w:val="14"/>
              </w:rPr>
            </w:pPr>
            <w:r w:rsidRPr="00184A8E">
              <w:rPr>
                <w:rFonts w:ascii="Arial" w:hAnsi="Arial" w:cs="Arial"/>
                <w:sz w:val="14"/>
                <w:szCs w:val="14"/>
              </w:rPr>
              <w:t xml:space="preserve">Održavanje i uređenje sportskih objekata </w:t>
            </w:r>
          </w:p>
        </w:tc>
        <w:tc>
          <w:tcPr>
            <w:tcW w:w="3402" w:type="dxa"/>
            <w:tcBorders>
              <w:top w:val="single" w:sz="4" w:space="0" w:color="auto"/>
              <w:left w:val="single" w:sz="4" w:space="0" w:color="auto"/>
              <w:bottom w:val="single" w:sz="4" w:space="0" w:color="auto"/>
              <w:right w:val="single" w:sz="4" w:space="0" w:color="auto"/>
            </w:tcBorders>
            <w:vAlign w:val="center"/>
          </w:tcPr>
          <w:p w14:paraId="69ABF8FF" w14:textId="77777777" w:rsidR="00184A8E" w:rsidRPr="00184A8E" w:rsidRDefault="00184A8E" w:rsidP="00184A8E">
            <w:pPr>
              <w:autoSpaceDE w:val="0"/>
              <w:autoSpaceDN w:val="0"/>
              <w:adjustRightInd w:val="0"/>
              <w:rPr>
                <w:rFonts w:ascii="Arial" w:hAnsi="Arial" w:cs="Arial"/>
              </w:rPr>
            </w:pPr>
            <w:r w:rsidRPr="00184A8E">
              <w:rPr>
                <w:rFonts w:ascii="Arial" w:hAnsi="Arial" w:cs="Arial"/>
              </w:rPr>
              <w:t>Postotak izvršenih rashoda za uređenje sportskih objekata</w:t>
            </w:r>
          </w:p>
        </w:tc>
        <w:tc>
          <w:tcPr>
            <w:tcW w:w="958" w:type="dxa"/>
            <w:tcBorders>
              <w:top w:val="single" w:sz="4" w:space="0" w:color="auto"/>
              <w:left w:val="single" w:sz="4" w:space="0" w:color="auto"/>
              <w:bottom w:val="single" w:sz="4" w:space="0" w:color="auto"/>
              <w:right w:val="single" w:sz="4" w:space="0" w:color="auto"/>
            </w:tcBorders>
            <w:vAlign w:val="center"/>
          </w:tcPr>
          <w:p w14:paraId="057C2BDA"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07AAFC2D"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459903BE" w14:textId="0726DCA9" w:rsidR="00184A8E" w:rsidRPr="00184A8E" w:rsidRDefault="0014407C" w:rsidP="00184A8E">
            <w:pPr>
              <w:jc w:val="center"/>
              <w:rPr>
                <w:rFonts w:ascii="Arial" w:hAnsi="Arial" w:cs="Arial"/>
              </w:rPr>
            </w:pPr>
            <w:r>
              <w:rPr>
                <w:rFonts w:ascii="Arial" w:hAnsi="Arial" w:cs="Arial"/>
              </w:rPr>
              <w:t>39</w:t>
            </w:r>
          </w:p>
        </w:tc>
        <w:tc>
          <w:tcPr>
            <w:tcW w:w="1276" w:type="dxa"/>
            <w:tcBorders>
              <w:top w:val="single" w:sz="4" w:space="0" w:color="auto"/>
              <w:left w:val="single" w:sz="4" w:space="0" w:color="auto"/>
              <w:bottom w:val="single" w:sz="4" w:space="0" w:color="auto"/>
              <w:right w:val="single" w:sz="4" w:space="0" w:color="auto"/>
            </w:tcBorders>
            <w:vAlign w:val="center"/>
          </w:tcPr>
          <w:p w14:paraId="1A316F1C"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75804BE7" w14:textId="31E765EC" w:rsidR="00184A8E" w:rsidRPr="00184A8E" w:rsidRDefault="0014407C" w:rsidP="00184A8E">
            <w:pPr>
              <w:jc w:val="center"/>
              <w:rPr>
                <w:rFonts w:ascii="Arial" w:hAnsi="Arial" w:cs="Arial"/>
              </w:rPr>
            </w:pPr>
            <w:r>
              <w:rPr>
                <w:rFonts w:ascii="Arial" w:hAnsi="Arial" w:cs="Arial"/>
              </w:rPr>
              <w:t>53</w:t>
            </w:r>
          </w:p>
        </w:tc>
        <w:tc>
          <w:tcPr>
            <w:tcW w:w="1242" w:type="dxa"/>
            <w:tcBorders>
              <w:top w:val="single" w:sz="4" w:space="0" w:color="000000"/>
              <w:left w:val="single" w:sz="4" w:space="0" w:color="000000"/>
              <w:bottom w:val="single" w:sz="4" w:space="0" w:color="000000"/>
              <w:right w:val="single" w:sz="4" w:space="0" w:color="000000"/>
            </w:tcBorders>
            <w:vAlign w:val="center"/>
          </w:tcPr>
          <w:p w14:paraId="55ECC8BD"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77DDE32F" w14:textId="77777777" w:rsidR="00184A8E" w:rsidRPr="00184A8E" w:rsidRDefault="00184A8E" w:rsidP="00184A8E">
            <w:pPr>
              <w:jc w:val="center"/>
              <w:rPr>
                <w:rFonts w:ascii="Arial" w:hAnsi="Arial" w:cs="Arial"/>
              </w:rPr>
            </w:pPr>
            <w:r w:rsidRPr="00184A8E">
              <w:rPr>
                <w:rFonts w:ascii="Arial" w:hAnsi="Arial" w:cs="Arial"/>
              </w:rPr>
              <w:t>100</w:t>
            </w:r>
          </w:p>
        </w:tc>
      </w:tr>
    </w:tbl>
    <w:p w14:paraId="324BF818" w14:textId="77777777" w:rsidR="00184A8E" w:rsidRPr="00184A8E" w:rsidRDefault="00184A8E" w:rsidP="00184A8E">
      <w:pPr>
        <w:spacing w:after="0" w:line="240" w:lineRule="auto"/>
        <w:rPr>
          <w:rFonts w:ascii="Arial" w:eastAsia="Calibri" w:hAnsi="Arial" w:cs="Arial"/>
          <w:sz w:val="20"/>
          <w:szCs w:val="20"/>
        </w:rPr>
      </w:pPr>
    </w:p>
    <w:p w14:paraId="27798996" w14:textId="756F1041"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b/>
          <w:sz w:val="20"/>
          <w:szCs w:val="20"/>
          <w:lang w:eastAsia="en-US"/>
        </w:rPr>
        <w:t>2. T210202: Izgradnja sportskih igrališta – objekata, Boćarski dom, Dubravka</w:t>
      </w:r>
      <w:r w:rsidRPr="00184A8E">
        <w:rPr>
          <w:rFonts w:ascii="Arial" w:eastAsia="Calibri" w:hAnsi="Arial" w:cs="Arial"/>
          <w:sz w:val="20"/>
          <w:szCs w:val="20"/>
          <w:lang w:eastAsia="en-US"/>
        </w:rPr>
        <w:t xml:space="preserve"> - Proračunska sredstva su planirana u iznosu </w:t>
      </w:r>
      <w:r w:rsidR="00FB201B">
        <w:rPr>
          <w:rFonts w:ascii="Arial" w:eastAsia="Calibri" w:hAnsi="Arial" w:cs="Arial"/>
          <w:sz w:val="20"/>
          <w:szCs w:val="20"/>
          <w:lang w:eastAsia="en-US"/>
        </w:rPr>
        <w:t>35</w:t>
      </w:r>
      <w:r w:rsidRPr="00184A8E">
        <w:rPr>
          <w:rFonts w:ascii="Arial" w:eastAsia="Calibri" w:hAnsi="Arial" w:cs="Arial"/>
          <w:sz w:val="20"/>
          <w:szCs w:val="20"/>
          <w:lang w:eastAsia="en-US"/>
        </w:rPr>
        <w:t xml:space="preserve">.000 € i odnose se na izradu projektne dokumentacije i rashode za druge pripremne radnje. Namjerava se krenuti u izgradnju Boćarskog doma u Dubravci nakon što se dobije sva potrebna dokumentacija. </w:t>
      </w:r>
      <w:r w:rsidRPr="00184A8E">
        <w:rPr>
          <w:rFonts w:ascii="Arial" w:eastAsia="Times New Roman" w:hAnsi="Arial" w:cs="Arial"/>
          <w:sz w:val="20"/>
          <w:szCs w:val="20"/>
          <w:lang w:eastAsia="en-US"/>
        </w:rPr>
        <w:t>Ugovor za projektno-tehničke dokumentacije za izgradnju boćarskog doma u Dubravci zaključen je 6. ožujka 2019. u iznosu 143.750 kn / 19.078,90 €.</w:t>
      </w:r>
      <w:r w:rsidRPr="00184A8E">
        <w:rPr>
          <w:rFonts w:ascii="Arial" w:eastAsia="Times New Roman" w:hAnsi="Arial" w:cs="Arial"/>
          <w:sz w:val="20"/>
        </w:rPr>
        <w:t xml:space="preserve"> </w:t>
      </w:r>
    </w:p>
    <w:p w14:paraId="7CA0034D"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p>
    <w:p w14:paraId="21AB8993" w14:textId="77777777" w:rsidR="00184A8E" w:rsidRPr="00FB201B" w:rsidRDefault="00184A8E" w:rsidP="00FB201B">
      <w:pPr>
        <w:autoSpaceDE w:val="0"/>
        <w:autoSpaceDN w:val="0"/>
        <w:adjustRightInd w:val="0"/>
        <w:spacing w:after="0" w:line="240" w:lineRule="auto"/>
        <w:ind w:left="709"/>
        <w:jc w:val="both"/>
        <w:rPr>
          <w:rFonts w:ascii="Arial" w:eastAsia="Times New Roman" w:hAnsi="Arial" w:cs="Arial"/>
          <w:sz w:val="18"/>
          <w:szCs w:val="18"/>
          <w:lang w:eastAsia="en-US"/>
        </w:rPr>
      </w:pPr>
      <w:r w:rsidRPr="00FB201B">
        <w:rPr>
          <w:rFonts w:ascii="Arial" w:eastAsia="Times New Roman" w:hAnsi="Arial" w:cs="Arial"/>
          <w:sz w:val="18"/>
          <w:szCs w:val="18"/>
          <w:lang w:eastAsia="en-US"/>
        </w:rPr>
        <w:t>Osigurana su novčana sredstva za izgradnju boćarske dvorane iz ITU mehanizma. Grad Dubrovnik s okolnim općinama je pripremio potpunu dokumentaciju za više projekata koji se planiraju financirati sredstvima iz ITU mehanizma. Ministarstvo regionalnoga razvoja i fondova Europske unije prihvatilo je prijavu Grada Dubrovnika na Poziv za urbana područja za provedbu mehanizma integriranih teritorijalnih ulaganja (ITU mehanizma) u financijskom razdoblju 2021. – 2027., putem kojeg Dubrovnik i okolne općine imaju na raspolaganju 22 milijuna eura za realizaciju strateških projekata.</w:t>
      </w:r>
      <w:r w:rsidRPr="00FB201B">
        <w:rPr>
          <w:sz w:val="18"/>
          <w:szCs w:val="18"/>
        </w:rPr>
        <w:t xml:space="preserve"> </w:t>
      </w:r>
      <w:r w:rsidRPr="00FB201B">
        <w:rPr>
          <w:rFonts w:ascii="Arial" w:eastAsia="Times New Roman" w:hAnsi="Arial" w:cs="Arial"/>
          <w:sz w:val="18"/>
          <w:szCs w:val="18"/>
          <w:lang w:eastAsia="en-US"/>
        </w:rPr>
        <w:t>Ministarstvo je izvršilo pregled i provjeru prihvatljivosti prijave Grada Dubrovnika te je utvrđeno kako su ispunjeni svi uvjeti. Urbano područje Dubrovnik obuhvaća Grad Dubrovnik i općine Dubrovačko primorje, Župa dubrovačka i Konavle, a uspostavljeno je u srpnju 2021. Izrada Strategije razvoja Urbanog područja Dubrovnik bila je preduvjet svih ulaganja u sklopu ITU mehanizma, a usvojilo ju je Koordinacijsko i Partnersko vijeće te je prošla proces savjetovanja s javnošću.</w:t>
      </w:r>
    </w:p>
    <w:p w14:paraId="4CC995C2" w14:textId="77777777" w:rsidR="00184A8E" w:rsidRPr="00FB201B" w:rsidRDefault="00184A8E" w:rsidP="00FB201B">
      <w:pPr>
        <w:autoSpaceDE w:val="0"/>
        <w:autoSpaceDN w:val="0"/>
        <w:adjustRightInd w:val="0"/>
        <w:spacing w:after="0" w:line="240" w:lineRule="auto"/>
        <w:ind w:left="709"/>
        <w:jc w:val="both"/>
        <w:rPr>
          <w:rFonts w:ascii="Arial" w:eastAsia="Times New Roman" w:hAnsi="Arial" w:cs="Arial"/>
          <w:sz w:val="18"/>
          <w:szCs w:val="18"/>
          <w:lang w:eastAsia="en-US"/>
        </w:rPr>
      </w:pPr>
    </w:p>
    <w:p w14:paraId="6C8306A5" w14:textId="77777777" w:rsidR="00184A8E" w:rsidRPr="00FB201B" w:rsidRDefault="00184A8E" w:rsidP="00FB201B">
      <w:pPr>
        <w:autoSpaceDE w:val="0"/>
        <w:autoSpaceDN w:val="0"/>
        <w:adjustRightInd w:val="0"/>
        <w:spacing w:after="0" w:line="240" w:lineRule="auto"/>
        <w:ind w:left="709"/>
        <w:jc w:val="both"/>
        <w:rPr>
          <w:rFonts w:ascii="Arial" w:eastAsia="Times New Roman" w:hAnsi="Arial" w:cs="Arial"/>
          <w:sz w:val="18"/>
          <w:szCs w:val="18"/>
          <w:lang w:eastAsia="en-US"/>
        </w:rPr>
      </w:pPr>
      <w:r w:rsidRPr="00FB201B">
        <w:rPr>
          <w:rFonts w:ascii="Arial" w:eastAsia="Times New Roman" w:hAnsi="Arial" w:cs="Arial"/>
          <w:b/>
          <w:bCs/>
          <w:sz w:val="18"/>
          <w:szCs w:val="18"/>
          <w:lang w:eastAsia="en-US"/>
        </w:rPr>
        <w:t>Integrirana teritorijalna ulaganja</w:t>
      </w:r>
      <w:r w:rsidRPr="00FB201B">
        <w:rPr>
          <w:rFonts w:ascii="Arial" w:eastAsia="Times New Roman" w:hAnsi="Arial" w:cs="Arial"/>
          <w:sz w:val="18"/>
          <w:szCs w:val="18"/>
          <w:lang w:eastAsia="en-US"/>
        </w:rPr>
        <w:t xml:space="preserve"> predstavljaju mehanizam koji se po prvi put koristio u Europskoj uniji u razdoblju 2014.-2020. godine, a omogućuje integriranje sredstava iz različitih europskih fondova i operativnih programa te ulaganje tih sredstava u aktivnosti kojima će se ojačati uloga gradova kao pokretača gospodarskog razvoja. U financijskom razdoblju 2021.-2027., Republika Hrvatska provodit će mjere održivog urbanog razvoja kroz Integrirani teritorijalni program 2021.-2027. korištenjem sredstava Europskog fonda za regionalni razvoj putem mehanizma integriranih teritorijalnih ulaganja. Na temelju odredbi EU regulative i trenutno važećeg nacionalnog zakonodavstva, Republika Hrvatska u novom financijskom razdoblju 2021.-2027. planira korištenje ITU mehanizma u 22 hrvatska grada: Dubrovnik, Bjelovar, Koprivnica, Krapina, Osijek, Pazin, Požega, Pula, Sisak, Slavonski Brod, Split, Šibenik, Varaždin, Vinkovci, Virovitica, Zadar, Čakovec, Gospić, Karlovac, Rijeka, Vukovar i Zagreb.</w:t>
      </w:r>
    </w:p>
    <w:p w14:paraId="79A2D99B" w14:textId="77777777" w:rsidR="00184A8E" w:rsidRPr="00FB201B" w:rsidRDefault="00184A8E" w:rsidP="00FB201B">
      <w:pPr>
        <w:autoSpaceDE w:val="0"/>
        <w:autoSpaceDN w:val="0"/>
        <w:adjustRightInd w:val="0"/>
        <w:spacing w:after="0" w:line="240" w:lineRule="auto"/>
        <w:ind w:left="709"/>
        <w:jc w:val="both"/>
        <w:rPr>
          <w:rFonts w:ascii="Arial" w:eastAsia="Times New Roman" w:hAnsi="Arial" w:cs="Arial"/>
          <w:sz w:val="18"/>
          <w:szCs w:val="18"/>
          <w:lang w:eastAsia="en-US"/>
        </w:rPr>
      </w:pPr>
    </w:p>
    <w:p w14:paraId="7782FE46" w14:textId="77777777" w:rsidR="00184A8E" w:rsidRPr="00FB201B" w:rsidRDefault="00184A8E" w:rsidP="00FB201B">
      <w:pPr>
        <w:autoSpaceDE w:val="0"/>
        <w:autoSpaceDN w:val="0"/>
        <w:adjustRightInd w:val="0"/>
        <w:spacing w:after="0" w:line="240" w:lineRule="auto"/>
        <w:ind w:left="1276"/>
        <w:jc w:val="both"/>
        <w:rPr>
          <w:rFonts w:ascii="Arial" w:eastAsia="Calibri" w:hAnsi="Arial" w:cs="Arial"/>
          <w:sz w:val="18"/>
          <w:szCs w:val="18"/>
          <w:lang w:eastAsia="en-US"/>
        </w:rPr>
      </w:pPr>
      <w:r w:rsidRPr="00FB201B">
        <w:rPr>
          <w:rFonts w:ascii="Arial" w:eastAsia="Times New Roman" w:hAnsi="Arial" w:cs="Arial"/>
          <w:sz w:val="18"/>
          <w:szCs w:val="18"/>
          <w:lang w:eastAsia="en-US"/>
        </w:rPr>
        <w:t>Rashodi su u 2020. bili izvršeni u iznosu 13.500 kn / 1.791.76 € i odnosili su se na troškove izdavanja potvrde o usklađenosti projekta s propozicijama (HRVATSKI BOĆARSKI SAVEZ) i izradu tehničke dokumentacije, izrada statike za boćarsku dvoranu.</w:t>
      </w:r>
    </w:p>
    <w:p w14:paraId="42066733" w14:textId="77777777" w:rsidR="00FB201B" w:rsidRDefault="00FB201B" w:rsidP="00FB201B">
      <w:pPr>
        <w:spacing w:after="0" w:line="240" w:lineRule="auto"/>
        <w:ind w:left="709"/>
        <w:jc w:val="both"/>
        <w:rPr>
          <w:rFonts w:ascii="Arial" w:eastAsia="Times New Roman" w:hAnsi="Arial" w:cs="Arial"/>
          <w:sz w:val="18"/>
          <w:szCs w:val="18"/>
          <w:lang w:eastAsia="en-US"/>
        </w:rPr>
      </w:pPr>
    </w:p>
    <w:p w14:paraId="7761C414" w14:textId="70FA0107" w:rsidR="00184A8E" w:rsidRPr="00FB201B" w:rsidRDefault="00184A8E" w:rsidP="00FB201B">
      <w:pPr>
        <w:spacing w:after="0" w:line="240" w:lineRule="auto"/>
        <w:ind w:left="709"/>
        <w:jc w:val="both"/>
        <w:rPr>
          <w:rFonts w:ascii="Arial" w:eastAsia="Calibri" w:hAnsi="Arial" w:cs="Arial"/>
          <w:sz w:val="18"/>
          <w:szCs w:val="18"/>
          <w:lang w:eastAsia="en-US"/>
        </w:rPr>
      </w:pPr>
      <w:r w:rsidRPr="00FB201B">
        <w:rPr>
          <w:rFonts w:ascii="Arial" w:eastAsia="Times New Roman" w:hAnsi="Arial" w:cs="Arial"/>
          <w:sz w:val="18"/>
          <w:szCs w:val="18"/>
          <w:lang w:eastAsia="en-US"/>
        </w:rPr>
        <w:lastRenderedPageBreak/>
        <w:t>Ministarstvo regionalnog razvoja i fondova Europske unije i Grad Dubrovnik (kao središte urbanog razvoj) zaključili su u prosincu 2023. godine Sporazum o provedbi integriranih ulaganja u okviru Integriranog teritorijalnog programa 2021.-2027. Ovim sporazumom utvrđena su sredstva za izgradnju boćarske dvorane u iznosu 2.110.553 €. Općina bi trebala zaključiti ugovor o sufinanciranju s nadležnim ministarstvom tijekom 2025. godine.</w:t>
      </w:r>
    </w:p>
    <w:p w14:paraId="7CAC2ED2" w14:textId="77777777" w:rsidR="00184A8E" w:rsidRPr="00FB201B" w:rsidRDefault="00184A8E" w:rsidP="00FB201B">
      <w:pPr>
        <w:spacing w:after="0" w:line="240" w:lineRule="auto"/>
        <w:ind w:left="709"/>
        <w:jc w:val="both"/>
        <w:rPr>
          <w:rFonts w:ascii="Arial" w:eastAsia="Calibri" w:hAnsi="Arial" w:cs="Arial"/>
          <w:sz w:val="18"/>
          <w:szCs w:val="18"/>
          <w:lang w:eastAsia="en-US"/>
        </w:rPr>
      </w:pPr>
    </w:p>
    <w:p w14:paraId="748D1C5B" w14:textId="77777777" w:rsidR="00184A8E" w:rsidRPr="00FB201B" w:rsidRDefault="00184A8E" w:rsidP="00FB201B">
      <w:pPr>
        <w:spacing w:after="0" w:line="240" w:lineRule="auto"/>
        <w:ind w:left="709"/>
        <w:jc w:val="both"/>
        <w:rPr>
          <w:rFonts w:ascii="Arial" w:eastAsia="Calibri" w:hAnsi="Arial" w:cs="Arial"/>
          <w:sz w:val="18"/>
          <w:szCs w:val="18"/>
          <w:lang w:eastAsia="en-US"/>
        </w:rPr>
      </w:pPr>
      <w:r w:rsidRPr="00FB201B">
        <w:rPr>
          <w:rFonts w:ascii="Arial" w:eastAsia="Calibri" w:hAnsi="Arial" w:cs="Arial"/>
          <w:sz w:val="18"/>
          <w:szCs w:val="18"/>
          <w:lang w:eastAsia="en-US"/>
        </w:rPr>
        <w:t xml:space="preserve">Projekt „Izgradnje i opremanja boćarskog doma“ uključuje izgradnju i opremanje polivalentne (boćarske) dvorane s popratnim sadržajima potrebnim za održavanje službenih natjecanja najviše razine. Projekt podrazumijeva aktivnosti izrade projektno- tehničke dokumentacije, izgradnje i opremanja polivalentne boćarske dvorane te aktivnosti informiranja i vidljivosti. Uz dvoranu, planira se izgradnja ugostiteljskog objekta i sobe za sastanke, što omogućuje polivalentno korištenje resursa dvorane. Objekt će biti prilagođen potrebama zelene tranzicije i osobama s invaliditetom. </w:t>
      </w:r>
    </w:p>
    <w:p w14:paraId="6485C8D1" w14:textId="77777777" w:rsidR="00184A8E" w:rsidRPr="00FB201B" w:rsidRDefault="00184A8E" w:rsidP="00FB201B">
      <w:pPr>
        <w:spacing w:after="0" w:line="240" w:lineRule="auto"/>
        <w:ind w:left="709"/>
        <w:jc w:val="both"/>
        <w:rPr>
          <w:rFonts w:ascii="Arial" w:eastAsia="Calibri" w:hAnsi="Arial" w:cs="Arial"/>
          <w:sz w:val="18"/>
          <w:szCs w:val="18"/>
          <w:lang w:eastAsia="en-US"/>
        </w:rPr>
      </w:pPr>
    </w:p>
    <w:p w14:paraId="7B75DA35" w14:textId="77777777" w:rsidR="00184A8E" w:rsidRPr="00FB201B" w:rsidRDefault="00184A8E" w:rsidP="00FB201B">
      <w:pPr>
        <w:spacing w:after="0" w:line="240" w:lineRule="auto"/>
        <w:ind w:left="709"/>
        <w:jc w:val="both"/>
        <w:rPr>
          <w:rFonts w:ascii="Arial" w:eastAsia="Calibri" w:hAnsi="Arial" w:cs="Arial"/>
          <w:sz w:val="18"/>
          <w:szCs w:val="18"/>
          <w:lang w:eastAsia="en-US"/>
        </w:rPr>
      </w:pPr>
      <w:r w:rsidRPr="00FB201B">
        <w:rPr>
          <w:rFonts w:ascii="Arial" w:eastAsia="Calibri" w:hAnsi="Arial" w:cs="Arial"/>
          <w:sz w:val="18"/>
          <w:szCs w:val="18"/>
          <w:lang w:eastAsia="en-US"/>
        </w:rPr>
        <w:t xml:space="preserve">U Dubrovačko-neretvanskoj županiji broj registriranih boćara veći je od broja registriranih nogometaša, što ukazuje na rastuću popularnost boćanja među svim generacijskim skupinama. Radi se o tradicionalnom sportu ovog područja koji se može dodatno valorizirati kroz različite aspekte poput sportskog i turističkog razvoja. Nedostatak odgovarajuće infrastrukture trenutno ograničava mogućnosti razvoja ovog sporta, a izgradnjom dvorane taj će se problem značajno riješiti. </w:t>
      </w:r>
    </w:p>
    <w:p w14:paraId="73410CC0" w14:textId="77777777" w:rsidR="00184A8E" w:rsidRPr="00FB201B" w:rsidRDefault="00184A8E" w:rsidP="00FB201B">
      <w:pPr>
        <w:spacing w:after="0" w:line="240" w:lineRule="auto"/>
        <w:ind w:left="709"/>
        <w:jc w:val="both"/>
        <w:rPr>
          <w:rFonts w:ascii="Arial" w:eastAsia="Calibri" w:hAnsi="Arial" w:cs="Arial"/>
          <w:sz w:val="18"/>
          <w:szCs w:val="18"/>
          <w:lang w:eastAsia="en-US"/>
        </w:rPr>
      </w:pPr>
    </w:p>
    <w:p w14:paraId="2193185D" w14:textId="77777777" w:rsidR="00184A8E" w:rsidRPr="00FB201B" w:rsidRDefault="00184A8E" w:rsidP="00FB201B">
      <w:pPr>
        <w:spacing w:after="0" w:line="240" w:lineRule="auto"/>
        <w:ind w:left="709"/>
        <w:jc w:val="both"/>
        <w:rPr>
          <w:rFonts w:ascii="Arial" w:eastAsia="Calibri" w:hAnsi="Arial" w:cs="Arial"/>
          <w:sz w:val="18"/>
          <w:szCs w:val="18"/>
          <w:lang w:eastAsia="en-US"/>
        </w:rPr>
      </w:pPr>
      <w:r w:rsidRPr="00FB201B">
        <w:rPr>
          <w:rFonts w:ascii="Arial" w:eastAsia="Calibri" w:hAnsi="Arial" w:cs="Arial"/>
          <w:sz w:val="18"/>
          <w:szCs w:val="18"/>
          <w:lang w:eastAsia="en-US"/>
        </w:rPr>
        <w:t>Boćarska dvorana omogućit će organizaciju natjecanja najviše razine na dubrovačkom području s četiri boćarske staze unutar dvorane i dodatnim stazama u Župi dubrovačkoj, koja se nalazi manje od 30 kilometara udaljena. Dvorana također ima važan društveno-sociološki značaj za razvoj Konavala, jer će služiti kao mjesto okupljanja i događanja, dodajući novu vrijednost sredini.</w:t>
      </w:r>
    </w:p>
    <w:p w14:paraId="231A6FF1" w14:textId="77777777" w:rsidR="00184A8E" w:rsidRPr="00FB201B" w:rsidRDefault="00184A8E" w:rsidP="00FB201B">
      <w:pPr>
        <w:spacing w:after="0" w:line="240" w:lineRule="auto"/>
        <w:ind w:left="709"/>
        <w:jc w:val="both"/>
        <w:rPr>
          <w:rFonts w:ascii="Arial" w:eastAsia="Calibri" w:hAnsi="Arial" w:cs="Arial"/>
          <w:sz w:val="18"/>
          <w:szCs w:val="18"/>
          <w:lang w:eastAsia="en-US"/>
        </w:rPr>
      </w:pPr>
    </w:p>
    <w:p w14:paraId="48454751" w14:textId="77777777" w:rsidR="00184A8E" w:rsidRPr="00FB201B" w:rsidRDefault="00184A8E" w:rsidP="00FB201B">
      <w:pPr>
        <w:spacing w:after="0" w:line="240" w:lineRule="auto"/>
        <w:ind w:left="709"/>
        <w:jc w:val="both"/>
        <w:rPr>
          <w:rFonts w:ascii="Arial" w:eastAsia="Calibri" w:hAnsi="Arial" w:cs="Arial"/>
          <w:sz w:val="18"/>
          <w:szCs w:val="18"/>
          <w:lang w:eastAsia="en-US"/>
        </w:rPr>
      </w:pPr>
      <w:r w:rsidRPr="00FB201B">
        <w:rPr>
          <w:rFonts w:ascii="Arial" w:eastAsia="Calibri" w:hAnsi="Arial" w:cs="Arial"/>
          <w:sz w:val="18"/>
          <w:szCs w:val="18"/>
          <w:lang w:eastAsia="en-US"/>
        </w:rPr>
        <w:t>Cilj je projekta rješavanje problema nedostatka infrastrukture za boćanje i omogućavanje daljnjeg razvoja ovog sporta, čime će se stvoriti značajni uvjeti za društveni razvoj Konavala. Ciljne skupine obuhvaćaju boćare, boćarske amatere, boćarske reprezentativce te lokalno stanovništvo koje će koristiti društvene resurse dvorane, kao i posjetitelje i turiste koji će, uz multimedijalne sadržaje i proaktivan pristup upravljanju dvoranom, imati priliku upoznati se s boćanjem kao tradicionalnim sportom ovog podneblja.</w:t>
      </w:r>
    </w:p>
    <w:p w14:paraId="24CDD54E" w14:textId="77777777" w:rsidR="00184A8E" w:rsidRPr="00FB201B" w:rsidRDefault="00184A8E" w:rsidP="00FB201B">
      <w:pPr>
        <w:spacing w:after="0" w:line="240" w:lineRule="auto"/>
        <w:ind w:left="709"/>
        <w:jc w:val="both"/>
        <w:rPr>
          <w:rFonts w:ascii="Arial" w:eastAsia="Calibri" w:hAnsi="Arial" w:cs="Arial"/>
          <w:sz w:val="18"/>
          <w:szCs w:val="18"/>
          <w:lang w:eastAsia="en-US"/>
        </w:rPr>
      </w:pPr>
    </w:p>
    <w:p w14:paraId="077CD3E0" w14:textId="77777777" w:rsidR="00184A8E" w:rsidRPr="00FB201B" w:rsidRDefault="00184A8E" w:rsidP="00FB201B">
      <w:pPr>
        <w:spacing w:after="0" w:line="240" w:lineRule="auto"/>
        <w:ind w:left="709"/>
        <w:jc w:val="both"/>
        <w:rPr>
          <w:rFonts w:ascii="Arial" w:eastAsia="Calibri" w:hAnsi="Arial" w:cs="Arial"/>
          <w:sz w:val="18"/>
          <w:szCs w:val="18"/>
          <w:lang w:eastAsia="en-US"/>
        </w:rPr>
      </w:pPr>
      <w:r w:rsidRPr="00FB201B">
        <w:rPr>
          <w:rFonts w:ascii="Arial" w:eastAsia="Calibri" w:hAnsi="Arial" w:cs="Arial"/>
          <w:sz w:val="18"/>
          <w:szCs w:val="18"/>
          <w:lang w:eastAsia="en-US"/>
        </w:rPr>
        <w:t>Zgrada boćarskog doma s pratećim sadržajima ishodišni je objekt sportsko rekreacijske zone a dimenzionirana je sukladno Propozicijama o boćalištima, Hrvatskog boćarskog saveza iz siječnja 2018. godine, a kako bi se u dvorani na četiri staze za boćanje omogućilo odigravanje utakmica Hrvatske boćarske lige.</w:t>
      </w:r>
    </w:p>
    <w:p w14:paraId="5AD8F73D" w14:textId="77777777" w:rsidR="00184A8E" w:rsidRPr="00FB201B" w:rsidRDefault="00184A8E" w:rsidP="00FB201B">
      <w:pPr>
        <w:spacing w:after="0" w:line="240" w:lineRule="auto"/>
        <w:ind w:left="709"/>
        <w:jc w:val="both"/>
        <w:rPr>
          <w:rFonts w:ascii="Arial" w:eastAsia="Calibri" w:hAnsi="Arial" w:cs="Arial"/>
          <w:sz w:val="18"/>
          <w:szCs w:val="18"/>
          <w:lang w:eastAsia="en-US"/>
        </w:rPr>
      </w:pPr>
      <w:r w:rsidRPr="00FB201B">
        <w:rPr>
          <w:rFonts w:ascii="Arial" w:eastAsia="Calibri" w:hAnsi="Arial" w:cs="Arial"/>
          <w:sz w:val="18"/>
          <w:szCs w:val="18"/>
          <w:lang w:eastAsia="en-US"/>
        </w:rPr>
        <w:t>Prema podacima glavnog projekta planirana građevina sastoji se od tri dilatacije. Glavni i ujedno najveći volumen je sportska dvorana pravokutnog je tlocrta i pruža se u smjeru istok – zapad. Sjeverno se nalazi manji dvoetažni volumen u kojem se nalaze prateći sadržaji. Uz manji volumen nalazi se treći, poluukopani volumen u kojemu se predviđa smještaj svlačionica za potrebe na parceli zatečenog nogometnog igrališta.</w:t>
      </w:r>
    </w:p>
    <w:p w14:paraId="5091C835" w14:textId="77777777" w:rsidR="00184A8E" w:rsidRPr="00FB201B" w:rsidRDefault="00184A8E" w:rsidP="00FB201B">
      <w:pPr>
        <w:spacing w:after="0" w:line="240" w:lineRule="auto"/>
        <w:ind w:left="709"/>
        <w:jc w:val="both"/>
        <w:rPr>
          <w:rFonts w:ascii="Arial" w:eastAsia="Calibri" w:hAnsi="Arial" w:cs="Arial"/>
          <w:sz w:val="18"/>
          <w:szCs w:val="18"/>
          <w:lang w:eastAsia="en-US"/>
        </w:rPr>
      </w:pPr>
    </w:p>
    <w:p w14:paraId="03BA8C6C" w14:textId="77777777" w:rsidR="00184A8E" w:rsidRPr="00FB201B" w:rsidRDefault="00184A8E" w:rsidP="00FB201B">
      <w:pPr>
        <w:spacing w:after="0" w:line="240" w:lineRule="auto"/>
        <w:ind w:left="709"/>
        <w:jc w:val="both"/>
        <w:rPr>
          <w:rFonts w:ascii="Arial" w:eastAsia="Calibri" w:hAnsi="Arial" w:cs="Arial"/>
          <w:sz w:val="18"/>
          <w:szCs w:val="18"/>
          <w:lang w:eastAsia="en-US"/>
        </w:rPr>
      </w:pPr>
      <w:r w:rsidRPr="00FB201B">
        <w:rPr>
          <w:rFonts w:ascii="Arial" w:eastAsia="Calibri" w:hAnsi="Arial" w:cs="Arial"/>
          <w:sz w:val="18"/>
          <w:szCs w:val="18"/>
          <w:lang w:eastAsia="en-US"/>
        </w:rPr>
        <w:t>Projekt je strateški usklađen s Nacionalnom razvojnom strategijom Republike Hrvatske do 2030. godine kao i s planovima razvoja Dubrovačko-neretvanske županije, potičući poboljšanje kvalitete života i unaprjeđenje ljudskog kapitala kroz sportske i rekreacijske programe.</w:t>
      </w:r>
    </w:p>
    <w:p w14:paraId="26A9C5AE" w14:textId="77777777" w:rsidR="00184A8E" w:rsidRPr="00FB201B" w:rsidRDefault="00184A8E" w:rsidP="00FB201B">
      <w:pPr>
        <w:spacing w:after="0" w:line="240" w:lineRule="auto"/>
        <w:ind w:left="709"/>
        <w:jc w:val="both"/>
        <w:rPr>
          <w:rFonts w:ascii="Arial" w:eastAsia="Calibri" w:hAnsi="Arial" w:cs="Arial"/>
          <w:sz w:val="18"/>
          <w:szCs w:val="18"/>
          <w:lang w:eastAsia="en-US"/>
        </w:rPr>
      </w:pPr>
    </w:p>
    <w:p w14:paraId="5A1171C3" w14:textId="26A36180" w:rsidR="00184A8E" w:rsidRPr="00FB201B" w:rsidRDefault="00184A8E" w:rsidP="00FB201B">
      <w:pPr>
        <w:spacing w:after="0" w:line="240" w:lineRule="auto"/>
        <w:ind w:left="709"/>
        <w:jc w:val="both"/>
        <w:rPr>
          <w:rFonts w:ascii="Arial" w:eastAsia="Calibri" w:hAnsi="Arial" w:cs="Arial"/>
          <w:sz w:val="18"/>
          <w:szCs w:val="18"/>
          <w:lang w:eastAsia="en-US"/>
        </w:rPr>
      </w:pPr>
      <w:r w:rsidRPr="00FB201B">
        <w:rPr>
          <w:rFonts w:ascii="Arial" w:eastAsia="Calibri" w:hAnsi="Arial" w:cs="Arial"/>
          <w:sz w:val="18"/>
          <w:szCs w:val="18"/>
          <w:lang w:eastAsia="en-US"/>
        </w:rPr>
        <w:t xml:space="preserve">Tijekom 2024. godine su </w:t>
      </w:r>
      <w:r w:rsidR="00FB201B">
        <w:rPr>
          <w:rFonts w:ascii="Arial" w:eastAsia="Calibri" w:hAnsi="Arial" w:cs="Arial"/>
          <w:sz w:val="18"/>
          <w:szCs w:val="18"/>
          <w:lang w:eastAsia="en-US"/>
        </w:rPr>
        <w:t xml:space="preserve">bili </w:t>
      </w:r>
      <w:r w:rsidRPr="00FB201B">
        <w:rPr>
          <w:rFonts w:ascii="Arial" w:eastAsia="Calibri" w:hAnsi="Arial" w:cs="Arial"/>
          <w:sz w:val="18"/>
          <w:szCs w:val="18"/>
          <w:lang w:eastAsia="en-US"/>
        </w:rPr>
        <w:t>izvršeni rashodi vezani uz projekt izgradnje boćarske dvorane u iznosu 39.956,25 € i odnos</w:t>
      </w:r>
      <w:r w:rsidR="00FB201B">
        <w:rPr>
          <w:rFonts w:ascii="Arial" w:eastAsia="Calibri" w:hAnsi="Arial" w:cs="Arial"/>
          <w:sz w:val="18"/>
          <w:szCs w:val="18"/>
          <w:lang w:eastAsia="en-US"/>
        </w:rPr>
        <w:t>ili su se</w:t>
      </w:r>
      <w:r w:rsidRPr="00FB201B">
        <w:rPr>
          <w:rFonts w:ascii="Arial" w:eastAsia="Calibri" w:hAnsi="Arial" w:cs="Arial"/>
          <w:sz w:val="18"/>
          <w:szCs w:val="18"/>
          <w:lang w:eastAsia="en-US"/>
        </w:rPr>
        <w:t xml:space="preserve"> na:</w:t>
      </w:r>
    </w:p>
    <w:p w14:paraId="6A461F9A" w14:textId="77777777" w:rsidR="00184A8E" w:rsidRPr="00184A8E" w:rsidRDefault="00184A8E" w:rsidP="00FB201B">
      <w:pPr>
        <w:numPr>
          <w:ilvl w:val="0"/>
          <w:numId w:val="3"/>
        </w:numPr>
        <w:spacing w:after="0" w:line="240" w:lineRule="auto"/>
        <w:ind w:left="1713"/>
        <w:jc w:val="both"/>
        <w:rPr>
          <w:rFonts w:ascii="Arial" w:eastAsia="Calibri" w:hAnsi="Arial" w:cs="Arial"/>
          <w:sz w:val="20"/>
          <w:szCs w:val="20"/>
          <w:lang w:eastAsia="en-US"/>
        </w:rPr>
      </w:pPr>
      <w:r w:rsidRPr="00FB201B">
        <w:rPr>
          <w:rFonts w:ascii="Arial" w:eastAsia="Calibri" w:hAnsi="Arial" w:cs="Arial"/>
          <w:sz w:val="18"/>
          <w:szCs w:val="18"/>
          <w:lang w:eastAsia="en-US"/>
        </w:rPr>
        <w:t>otkup zemljišta od fizičkih osoba za potrebe izgradnje boćarskog doma, formiranje parcele i ishođenje građevinske dozvole u iznosu 25.000 € (otkupljeno zemljište površine 807m² po vrijednosti koju je utvrdio stalni sudski vještak,</w:t>
      </w:r>
    </w:p>
    <w:p w14:paraId="1F374804" w14:textId="77777777" w:rsidR="00184A8E" w:rsidRPr="00FB201B" w:rsidRDefault="00184A8E" w:rsidP="00FB201B">
      <w:pPr>
        <w:numPr>
          <w:ilvl w:val="0"/>
          <w:numId w:val="3"/>
        </w:numPr>
        <w:spacing w:after="0" w:line="240" w:lineRule="auto"/>
        <w:ind w:left="1713"/>
        <w:jc w:val="both"/>
        <w:rPr>
          <w:rFonts w:ascii="Arial" w:eastAsia="Calibri" w:hAnsi="Arial" w:cs="Arial"/>
          <w:sz w:val="18"/>
          <w:szCs w:val="18"/>
          <w:lang w:eastAsia="en-US"/>
        </w:rPr>
      </w:pPr>
      <w:r w:rsidRPr="00FB201B">
        <w:rPr>
          <w:rFonts w:ascii="Arial" w:eastAsia="Calibri" w:hAnsi="Arial" w:cs="Arial"/>
          <w:sz w:val="18"/>
          <w:szCs w:val="18"/>
          <w:lang w:eastAsia="en-US"/>
        </w:rPr>
        <w:t>trošak izrade procjembenog elaborata za zemljište koje je donirala Republika Hrvatska putem Dubrovačko neretvanske županije u iznosu 693,75 € (naime prema ugovoru o darovanju iz studenoga 2024. godine, RH je putem županije donirala zemljište k.č. 2150/8 površine 162 m², upisano u zul 87 k.o. Dubravka, procijenjene vrijednosti 910 €, uz obvezu plaćanja procjembenog elaborata);</w:t>
      </w:r>
    </w:p>
    <w:p w14:paraId="26D2789A" w14:textId="77777777" w:rsidR="00184A8E" w:rsidRPr="00FB201B" w:rsidRDefault="00184A8E" w:rsidP="00FB201B">
      <w:pPr>
        <w:numPr>
          <w:ilvl w:val="0"/>
          <w:numId w:val="3"/>
        </w:numPr>
        <w:spacing w:after="0" w:line="240" w:lineRule="auto"/>
        <w:ind w:left="1713"/>
        <w:jc w:val="both"/>
        <w:rPr>
          <w:rFonts w:ascii="Arial" w:eastAsia="Calibri" w:hAnsi="Arial" w:cs="Arial"/>
          <w:sz w:val="18"/>
          <w:szCs w:val="18"/>
          <w:lang w:eastAsia="en-US"/>
        </w:rPr>
      </w:pPr>
      <w:r w:rsidRPr="00FB201B">
        <w:rPr>
          <w:rFonts w:ascii="Arial" w:eastAsia="Calibri" w:hAnsi="Arial" w:cs="Arial"/>
          <w:sz w:val="18"/>
          <w:szCs w:val="18"/>
          <w:lang w:eastAsia="en-US"/>
        </w:rPr>
        <w:t>izradu procjene učinka na načelo ravnopravnosti spolova i nediskriminacije za projekt izgradnje boćarske dvorane 3.062,50 €,</w:t>
      </w:r>
    </w:p>
    <w:p w14:paraId="736979CB" w14:textId="77777777" w:rsidR="00184A8E" w:rsidRPr="00FB201B" w:rsidRDefault="00184A8E" w:rsidP="00FB201B">
      <w:pPr>
        <w:numPr>
          <w:ilvl w:val="0"/>
          <w:numId w:val="3"/>
        </w:numPr>
        <w:spacing w:after="0" w:line="240" w:lineRule="auto"/>
        <w:ind w:left="1713"/>
        <w:jc w:val="both"/>
        <w:rPr>
          <w:rFonts w:ascii="Arial" w:eastAsia="Calibri" w:hAnsi="Arial" w:cs="Arial"/>
          <w:sz w:val="18"/>
          <w:szCs w:val="18"/>
          <w:lang w:eastAsia="en-US"/>
        </w:rPr>
      </w:pPr>
      <w:r w:rsidRPr="00FB201B">
        <w:rPr>
          <w:rFonts w:ascii="Arial" w:eastAsia="Calibri" w:hAnsi="Arial" w:cs="Arial"/>
          <w:sz w:val="18"/>
          <w:szCs w:val="18"/>
          <w:lang w:eastAsia="en-US"/>
        </w:rPr>
        <w:t>izradu procjene otpornosti na klimatske promjene za projekt izgradnje boćarske dvorane 3.125 €,</w:t>
      </w:r>
    </w:p>
    <w:p w14:paraId="30725663" w14:textId="77777777" w:rsidR="00184A8E" w:rsidRPr="00FB201B" w:rsidRDefault="00184A8E" w:rsidP="00FB201B">
      <w:pPr>
        <w:numPr>
          <w:ilvl w:val="0"/>
          <w:numId w:val="3"/>
        </w:numPr>
        <w:spacing w:after="0" w:line="240" w:lineRule="auto"/>
        <w:ind w:left="1713"/>
        <w:jc w:val="both"/>
        <w:rPr>
          <w:rFonts w:ascii="Arial" w:eastAsia="Calibri" w:hAnsi="Arial" w:cs="Arial"/>
          <w:sz w:val="18"/>
          <w:szCs w:val="18"/>
          <w:lang w:eastAsia="en-US"/>
        </w:rPr>
      </w:pPr>
      <w:r w:rsidRPr="00FB201B">
        <w:rPr>
          <w:rFonts w:ascii="Arial" w:eastAsia="Calibri" w:hAnsi="Arial" w:cs="Arial"/>
          <w:sz w:val="18"/>
          <w:szCs w:val="18"/>
          <w:lang w:eastAsia="en-US"/>
        </w:rPr>
        <w:t>izrada geodetskog elaborata za boćalište u iznosu 1.875 €, te</w:t>
      </w:r>
    </w:p>
    <w:p w14:paraId="2D68CE56" w14:textId="77777777" w:rsidR="00184A8E" w:rsidRPr="00FB201B" w:rsidRDefault="00184A8E" w:rsidP="00FB201B">
      <w:pPr>
        <w:numPr>
          <w:ilvl w:val="0"/>
          <w:numId w:val="3"/>
        </w:numPr>
        <w:spacing w:after="0" w:line="240" w:lineRule="auto"/>
        <w:ind w:left="1713"/>
        <w:jc w:val="both"/>
        <w:rPr>
          <w:rFonts w:ascii="Arial" w:eastAsia="Calibri" w:hAnsi="Arial" w:cs="Arial"/>
          <w:sz w:val="18"/>
          <w:szCs w:val="18"/>
          <w:lang w:eastAsia="en-US"/>
        </w:rPr>
      </w:pPr>
      <w:r w:rsidRPr="00FB201B">
        <w:rPr>
          <w:rFonts w:ascii="Arial" w:eastAsia="Calibri" w:hAnsi="Arial" w:cs="Arial"/>
          <w:sz w:val="18"/>
          <w:szCs w:val="18"/>
          <w:lang w:eastAsia="en-US"/>
        </w:rPr>
        <w:t>studija izvodljivosti s analizom troškova i koristi za projekt izgradnje boćarske dvorane u iznosu 6.200 € (na temelju ugovora iz svibnja 2025.).</w:t>
      </w:r>
    </w:p>
    <w:p w14:paraId="28C07FD4" w14:textId="77777777" w:rsidR="00184A8E" w:rsidRPr="006949D8" w:rsidRDefault="00184A8E" w:rsidP="006949D8">
      <w:pPr>
        <w:spacing w:after="0" w:line="240" w:lineRule="auto"/>
        <w:jc w:val="both"/>
        <w:rPr>
          <w:rFonts w:ascii="Arial" w:eastAsia="Calibri" w:hAnsi="Arial" w:cs="Arial"/>
          <w:sz w:val="20"/>
          <w:szCs w:val="20"/>
          <w:lang w:eastAsia="en-US"/>
        </w:rPr>
      </w:pPr>
    </w:p>
    <w:p w14:paraId="7DB169CC" w14:textId="4D09BA6C" w:rsidR="006949D8" w:rsidRDefault="006949D8" w:rsidP="006949D8">
      <w:pPr>
        <w:spacing w:after="0" w:line="240" w:lineRule="auto"/>
        <w:jc w:val="both"/>
        <w:rPr>
          <w:rFonts w:ascii="Arial" w:eastAsia="Calibri" w:hAnsi="Arial" w:cs="Arial"/>
          <w:sz w:val="20"/>
          <w:szCs w:val="20"/>
          <w:lang w:eastAsia="en-US"/>
        </w:rPr>
      </w:pPr>
      <w:r w:rsidRPr="006949D8">
        <w:rPr>
          <w:rFonts w:ascii="Arial" w:eastAsia="Calibri" w:hAnsi="Arial" w:cs="Arial"/>
          <w:sz w:val="20"/>
          <w:szCs w:val="20"/>
          <w:lang w:eastAsia="en-US"/>
        </w:rPr>
        <w:t xml:space="preserve">U 2025. godini izvršeni </w:t>
      </w:r>
      <w:r>
        <w:rPr>
          <w:rFonts w:ascii="Arial" w:eastAsia="Calibri" w:hAnsi="Arial" w:cs="Arial"/>
          <w:sz w:val="20"/>
          <w:szCs w:val="20"/>
          <w:lang w:eastAsia="en-US"/>
        </w:rPr>
        <w:t xml:space="preserve">su rashodi u iznosu 1.875 € </w:t>
      </w:r>
      <w:r w:rsidR="009F7E24">
        <w:rPr>
          <w:rFonts w:ascii="Arial" w:eastAsia="Calibri" w:hAnsi="Arial" w:cs="Arial"/>
          <w:sz w:val="20"/>
          <w:szCs w:val="20"/>
          <w:lang w:eastAsia="en-US"/>
        </w:rPr>
        <w:t>i odnose se na reviziju glavnog projekta boćarske dvorane po revidentu za metalne spregnute konstrukcije.</w:t>
      </w:r>
    </w:p>
    <w:p w14:paraId="711ACD37" w14:textId="77777777" w:rsidR="000C74D9" w:rsidRPr="006949D8" w:rsidRDefault="000C74D9" w:rsidP="006949D8">
      <w:pPr>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1FA335EF"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BF49F89" w14:textId="77777777" w:rsidR="00184A8E" w:rsidRPr="00184A8E" w:rsidRDefault="00184A8E" w:rsidP="00184A8E">
            <w:pPr>
              <w:jc w:val="center"/>
              <w:rPr>
                <w:rFonts w:ascii="Arial" w:eastAsia="Calibri" w:hAnsi="Arial" w:cs="Arial"/>
              </w:rPr>
            </w:pPr>
            <w:r w:rsidRPr="00184A8E">
              <w:rPr>
                <w:rFonts w:ascii="Arial" w:eastAsia="Calibri" w:hAnsi="Arial" w:cs="Arial"/>
              </w:rPr>
              <w:lastRenderedPageBreak/>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2993B75"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B8AFEE5"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E61A016"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2474070" w14:textId="344600D1"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9F7E24">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27FD75D" w14:textId="41938F9E"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9F7E24">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D75D9FD" w14:textId="0085D6D7"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9F7E24">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D387229" w14:textId="043EEF47"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9F7E24">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9807207" w14:textId="03EFD67C"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9F7E24">
              <w:rPr>
                <w:rFonts w:ascii="Arial" w:eastAsia="Calibri" w:hAnsi="Arial" w:cs="Arial"/>
              </w:rPr>
              <w:t>7</w:t>
            </w:r>
            <w:r w:rsidRPr="00184A8E">
              <w:rPr>
                <w:rFonts w:ascii="Arial" w:eastAsia="Calibri" w:hAnsi="Arial" w:cs="Arial"/>
              </w:rPr>
              <w:t>.</w:t>
            </w:r>
          </w:p>
        </w:tc>
      </w:tr>
      <w:tr w:rsidR="00184A8E" w:rsidRPr="00184A8E" w14:paraId="1CEF653C"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5358DEED" w14:textId="77777777" w:rsidR="00184A8E" w:rsidRPr="00184A8E" w:rsidRDefault="00184A8E" w:rsidP="00184A8E">
            <w:pPr>
              <w:rPr>
                <w:rFonts w:ascii="Arial" w:hAnsi="Arial" w:cs="Arial"/>
                <w:sz w:val="14"/>
                <w:szCs w:val="14"/>
              </w:rPr>
            </w:pPr>
            <w:r w:rsidRPr="00184A8E">
              <w:rPr>
                <w:rFonts w:ascii="Arial" w:hAnsi="Arial" w:cs="Arial"/>
                <w:sz w:val="16"/>
                <w:szCs w:val="16"/>
              </w:rPr>
              <w:t>Izrada projektne dokumentacije i dobivanje građevinske dozvole</w:t>
            </w:r>
          </w:p>
        </w:tc>
        <w:tc>
          <w:tcPr>
            <w:tcW w:w="3402" w:type="dxa"/>
            <w:tcBorders>
              <w:top w:val="single" w:sz="4" w:space="0" w:color="auto"/>
              <w:left w:val="single" w:sz="4" w:space="0" w:color="auto"/>
              <w:bottom w:val="single" w:sz="4" w:space="0" w:color="auto"/>
              <w:right w:val="single" w:sz="4" w:space="0" w:color="auto"/>
            </w:tcBorders>
            <w:vAlign w:val="center"/>
          </w:tcPr>
          <w:p w14:paraId="136D006B" w14:textId="77777777" w:rsidR="00184A8E" w:rsidRPr="00184A8E" w:rsidRDefault="00184A8E" w:rsidP="00184A8E">
            <w:pPr>
              <w:autoSpaceDE w:val="0"/>
              <w:autoSpaceDN w:val="0"/>
              <w:adjustRightInd w:val="0"/>
              <w:rPr>
                <w:rFonts w:ascii="Arial" w:hAnsi="Arial" w:cs="Arial"/>
                <w:sz w:val="18"/>
                <w:szCs w:val="18"/>
              </w:rPr>
            </w:pPr>
            <w:r w:rsidRPr="00184A8E">
              <w:rPr>
                <w:rFonts w:ascii="Arial" w:hAnsi="Arial" w:cs="Arial"/>
                <w:sz w:val="18"/>
                <w:szCs w:val="18"/>
              </w:rPr>
              <w:t>Izdana građevinska dozvola za izgradnju objekta</w:t>
            </w:r>
          </w:p>
        </w:tc>
        <w:tc>
          <w:tcPr>
            <w:tcW w:w="958" w:type="dxa"/>
            <w:tcBorders>
              <w:top w:val="single" w:sz="4" w:space="0" w:color="auto"/>
              <w:left w:val="single" w:sz="4" w:space="0" w:color="auto"/>
              <w:bottom w:val="single" w:sz="4" w:space="0" w:color="auto"/>
              <w:right w:val="single" w:sz="4" w:space="0" w:color="auto"/>
            </w:tcBorders>
            <w:vAlign w:val="center"/>
          </w:tcPr>
          <w:p w14:paraId="57B5C5F0" w14:textId="77777777" w:rsidR="00184A8E" w:rsidRPr="00184A8E" w:rsidRDefault="00184A8E" w:rsidP="00184A8E">
            <w:pPr>
              <w:jc w:val="center"/>
              <w:rPr>
                <w:rFonts w:ascii="Arial" w:hAnsi="Arial" w:cs="Arial"/>
              </w:rPr>
            </w:pPr>
            <w:r w:rsidRPr="00184A8E">
              <w:rPr>
                <w:rFonts w:ascii="Arial" w:hAnsi="Arial" w:cs="Arial"/>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73776373"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462F15C2" w14:textId="77777777" w:rsidR="00184A8E" w:rsidRPr="00184A8E" w:rsidRDefault="00184A8E" w:rsidP="00184A8E">
            <w:pPr>
              <w:jc w:val="center"/>
              <w:rPr>
                <w:rFonts w:ascii="Arial" w:hAnsi="Arial" w:cs="Arial"/>
              </w:rPr>
            </w:pPr>
            <w:r w:rsidRPr="00184A8E">
              <w:rPr>
                <w:rFonts w:ascii="Arial" w:hAnsi="Arial" w:cs="Arial"/>
              </w:rPr>
              <w:t>0</w:t>
            </w:r>
          </w:p>
        </w:tc>
        <w:tc>
          <w:tcPr>
            <w:tcW w:w="1276" w:type="dxa"/>
            <w:tcBorders>
              <w:top w:val="single" w:sz="4" w:space="0" w:color="auto"/>
              <w:left w:val="single" w:sz="4" w:space="0" w:color="auto"/>
              <w:bottom w:val="single" w:sz="4" w:space="0" w:color="auto"/>
              <w:right w:val="single" w:sz="4" w:space="0" w:color="auto"/>
            </w:tcBorders>
            <w:vAlign w:val="center"/>
          </w:tcPr>
          <w:p w14:paraId="17628B5F" w14:textId="77777777" w:rsidR="00184A8E" w:rsidRPr="00184A8E" w:rsidRDefault="00184A8E" w:rsidP="00184A8E">
            <w:pPr>
              <w:jc w:val="center"/>
              <w:rPr>
                <w:rFonts w:ascii="Arial" w:hAnsi="Arial" w:cs="Arial"/>
              </w:rPr>
            </w:pPr>
            <w:r w:rsidRPr="00184A8E">
              <w:rPr>
                <w:rFonts w:ascii="Arial" w:hAnsi="Arial" w:cs="Arial"/>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3A897176"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45D28D50"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398420E9" w14:textId="77777777" w:rsidR="00184A8E" w:rsidRPr="00184A8E" w:rsidRDefault="00184A8E" w:rsidP="00184A8E">
            <w:pPr>
              <w:jc w:val="center"/>
              <w:rPr>
                <w:rFonts w:ascii="Arial" w:hAnsi="Arial" w:cs="Arial"/>
              </w:rPr>
            </w:pPr>
            <w:r w:rsidRPr="00184A8E">
              <w:rPr>
                <w:rFonts w:ascii="Arial" w:hAnsi="Arial" w:cs="Arial"/>
              </w:rPr>
              <w:t>0</w:t>
            </w:r>
          </w:p>
        </w:tc>
      </w:tr>
      <w:tr w:rsidR="00184A8E" w:rsidRPr="00184A8E" w14:paraId="43003011"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270B796D" w14:textId="77777777" w:rsidR="00184A8E" w:rsidRPr="00184A8E" w:rsidRDefault="00184A8E" w:rsidP="00184A8E">
            <w:pPr>
              <w:rPr>
                <w:rFonts w:ascii="Arial" w:hAnsi="Arial" w:cs="Arial"/>
                <w:sz w:val="14"/>
                <w:szCs w:val="14"/>
              </w:rPr>
            </w:pPr>
            <w:r w:rsidRPr="00184A8E">
              <w:rPr>
                <w:rFonts w:ascii="Arial" w:hAnsi="Arial" w:cs="Arial"/>
                <w:sz w:val="16"/>
                <w:szCs w:val="16"/>
              </w:rPr>
              <w:t>Izgradnja boćarske dvorane</w:t>
            </w:r>
          </w:p>
        </w:tc>
        <w:tc>
          <w:tcPr>
            <w:tcW w:w="3402" w:type="dxa"/>
            <w:tcBorders>
              <w:top w:val="single" w:sz="4" w:space="0" w:color="auto"/>
              <w:left w:val="single" w:sz="4" w:space="0" w:color="auto"/>
              <w:bottom w:val="single" w:sz="4" w:space="0" w:color="auto"/>
              <w:right w:val="single" w:sz="4" w:space="0" w:color="auto"/>
            </w:tcBorders>
            <w:vAlign w:val="center"/>
          </w:tcPr>
          <w:p w14:paraId="7E3E2123" w14:textId="77777777" w:rsidR="00184A8E" w:rsidRPr="00184A8E" w:rsidRDefault="00184A8E" w:rsidP="00184A8E">
            <w:pPr>
              <w:autoSpaceDE w:val="0"/>
              <w:autoSpaceDN w:val="0"/>
              <w:adjustRightInd w:val="0"/>
              <w:rPr>
                <w:rFonts w:ascii="Arial" w:hAnsi="Arial" w:cs="Arial"/>
                <w:sz w:val="18"/>
                <w:szCs w:val="18"/>
              </w:rPr>
            </w:pPr>
            <w:r w:rsidRPr="00184A8E">
              <w:rPr>
                <w:rFonts w:ascii="Arial" w:hAnsi="Arial" w:cs="Arial"/>
                <w:sz w:val="18"/>
                <w:szCs w:val="18"/>
              </w:rPr>
              <w:t>Postotak dovršetka radova izgradnje</w:t>
            </w:r>
          </w:p>
        </w:tc>
        <w:tc>
          <w:tcPr>
            <w:tcW w:w="958" w:type="dxa"/>
            <w:tcBorders>
              <w:top w:val="single" w:sz="4" w:space="0" w:color="auto"/>
              <w:left w:val="single" w:sz="4" w:space="0" w:color="auto"/>
              <w:bottom w:val="single" w:sz="4" w:space="0" w:color="auto"/>
              <w:right w:val="single" w:sz="4" w:space="0" w:color="auto"/>
            </w:tcBorders>
            <w:vAlign w:val="center"/>
          </w:tcPr>
          <w:p w14:paraId="308A340D"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40FBA5C6"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113689C" w14:textId="77777777" w:rsidR="00184A8E" w:rsidRPr="00184A8E" w:rsidRDefault="00184A8E" w:rsidP="00184A8E">
            <w:pPr>
              <w:jc w:val="center"/>
              <w:rPr>
                <w:rFonts w:ascii="Arial" w:hAnsi="Arial" w:cs="Arial"/>
              </w:rPr>
            </w:pPr>
            <w:r w:rsidRPr="00184A8E">
              <w:rPr>
                <w:rFonts w:ascii="Arial" w:hAnsi="Arial" w:cs="Arial"/>
              </w:rPr>
              <w:t>0</w:t>
            </w:r>
          </w:p>
        </w:tc>
        <w:tc>
          <w:tcPr>
            <w:tcW w:w="1276" w:type="dxa"/>
            <w:tcBorders>
              <w:top w:val="single" w:sz="4" w:space="0" w:color="auto"/>
              <w:left w:val="single" w:sz="4" w:space="0" w:color="auto"/>
              <w:bottom w:val="single" w:sz="4" w:space="0" w:color="auto"/>
              <w:right w:val="single" w:sz="4" w:space="0" w:color="auto"/>
            </w:tcBorders>
            <w:vAlign w:val="center"/>
          </w:tcPr>
          <w:p w14:paraId="30A0EDAF" w14:textId="77777777" w:rsidR="00184A8E" w:rsidRPr="00184A8E" w:rsidRDefault="00184A8E" w:rsidP="00184A8E">
            <w:pPr>
              <w:jc w:val="center"/>
              <w:rPr>
                <w:rFonts w:ascii="Arial" w:hAnsi="Arial" w:cs="Arial"/>
              </w:rPr>
            </w:pPr>
            <w:r w:rsidRPr="00184A8E">
              <w:rPr>
                <w:rFonts w:ascii="Arial" w:hAnsi="Arial" w:cs="Arial"/>
              </w:rPr>
              <w:t>20%</w:t>
            </w:r>
          </w:p>
        </w:tc>
        <w:tc>
          <w:tcPr>
            <w:tcW w:w="1242" w:type="dxa"/>
            <w:tcBorders>
              <w:top w:val="single" w:sz="4" w:space="0" w:color="000000"/>
              <w:left w:val="single" w:sz="4" w:space="0" w:color="000000"/>
              <w:bottom w:val="single" w:sz="4" w:space="0" w:color="000000"/>
              <w:right w:val="single" w:sz="4" w:space="0" w:color="000000"/>
            </w:tcBorders>
            <w:vAlign w:val="center"/>
          </w:tcPr>
          <w:p w14:paraId="28CB1137"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11603F21" w14:textId="77777777" w:rsidR="00184A8E" w:rsidRPr="00184A8E" w:rsidRDefault="00184A8E" w:rsidP="00184A8E">
            <w:pPr>
              <w:jc w:val="center"/>
              <w:rPr>
                <w:rFonts w:ascii="Arial" w:hAnsi="Arial" w:cs="Arial"/>
              </w:rPr>
            </w:pPr>
            <w:r w:rsidRPr="00184A8E">
              <w:rPr>
                <w:rFonts w:ascii="Arial" w:hAnsi="Arial" w:cs="Arial"/>
              </w:rPr>
              <w:t>70%</w:t>
            </w:r>
          </w:p>
        </w:tc>
        <w:tc>
          <w:tcPr>
            <w:tcW w:w="1242" w:type="dxa"/>
            <w:tcBorders>
              <w:top w:val="single" w:sz="4" w:space="0" w:color="000000"/>
              <w:left w:val="single" w:sz="4" w:space="0" w:color="000000"/>
              <w:bottom w:val="single" w:sz="4" w:space="0" w:color="000000"/>
              <w:right w:val="single" w:sz="4" w:space="0" w:color="000000"/>
            </w:tcBorders>
            <w:vAlign w:val="center"/>
          </w:tcPr>
          <w:p w14:paraId="346287CA" w14:textId="77777777" w:rsidR="00184A8E" w:rsidRPr="00184A8E" w:rsidRDefault="00184A8E" w:rsidP="00184A8E">
            <w:pPr>
              <w:jc w:val="center"/>
              <w:rPr>
                <w:rFonts w:ascii="Arial" w:hAnsi="Arial" w:cs="Arial"/>
              </w:rPr>
            </w:pPr>
            <w:r w:rsidRPr="00184A8E">
              <w:rPr>
                <w:rFonts w:ascii="Arial" w:hAnsi="Arial" w:cs="Arial"/>
              </w:rPr>
              <w:t>100%</w:t>
            </w:r>
          </w:p>
        </w:tc>
      </w:tr>
    </w:tbl>
    <w:p w14:paraId="7940D44A" w14:textId="77777777" w:rsidR="00184A8E" w:rsidRPr="00184A8E" w:rsidRDefault="00184A8E" w:rsidP="00184A8E">
      <w:pPr>
        <w:spacing w:after="0" w:line="240" w:lineRule="auto"/>
        <w:rPr>
          <w:rFonts w:ascii="Arial" w:eastAsia="Calibri" w:hAnsi="Arial" w:cs="Arial"/>
          <w:sz w:val="18"/>
          <w:szCs w:val="18"/>
        </w:rPr>
      </w:pPr>
    </w:p>
    <w:p w14:paraId="471D0C19" w14:textId="5195F2DA"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3. T210203: Uređenja sportskih igrališta i prostora oko igrališta</w:t>
      </w:r>
      <w:r w:rsidRPr="00184A8E">
        <w:rPr>
          <w:rFonts w:ascii="Arial" w:eastAsia="Calibri" w:hAnsi="Arial" w:cs="Arial"/>
          <w:sz w:val="20"/>
          <w:szCs w:val="20"/>
          <w:lang w:eastAsia="en-US"/>
        </w:rPr>
        <w:t xml:space="preserve"> - u sklopu projekta planiraju se rashodi u iznosu </w:t>
      </w:r>
      <w:r w:rsidR="009F7E24">
        <w:rPr>
          <w:rFonts w:ascii="Arial" w:eastAsia="Calibri" w:hAnsi="Arial" w:cs="Arial"/>
          <w:sz w:val="20"/>
          <w:szCs w:val="20"/>
          <w:lang w:eastAsia="en-US"/>
        </w:rPr>
        <w:t>187.250</w:t>
      </w:r>
      <w:r w:rsidRPr="00184A8E">
        <w:rPr>
          <w:rFonts w:ascii="Arial" w:eastAsia="Calibri" w:hAnsi="Arial" w:cs="Arial"/>
          <w:sz w:val="20"/>
          <w:szCs w:val="20"/>
          <w:lang w:eastAsia="en-US"/>
        </w:rPr>
        <w:t xml:space="preserve"> €. Planirana sredstva se odnose uređenje sportskih igrališta (sportsko igralište Vodovađa, Popovići polje, Šupjaka i slično), te nabavu manje sportske opreme za igrališta.</w:t>
      </w:r>
    </w:p>
    <w:p w14:paraId="7E4AB168"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lang w:eastAsia="en-US"/>
        </w:rPr>
      </w:pPr>
    </w:p>
    <w:p w14:paraId="2483A502" w14:textId="2369D55B" w:rsidR="00184A8E" w:rsidRPr="009F7E24" w:rsidRDefault="00184A8E" w:rsidP="009F7E24">
      <w:pPr>
        <w:autoSpaceDE w:val="0"/>
        <w:autoSpaceDN w:val="0"/>
        <w:adjustRightInd w:val="0"/>
        <w:spacing w:after="0" w:line="240" w:lineRule="auto"/>
        <w:ind w:left="644"/>
        <w:jc w:val="both"/>
        <w:rPr>
          <w:rFonts w:ascii="Arial" w:eastAsia="Calibri" w:hAnsi="Arial" w:cs="Arial"/>
          <w:sz w:val="18"/>
          <w:szCs w:val="18"/>
          <w:lang w:eastAsia="en-US"/>
        </w:rPr>
      </w:pPr>
      <w:r w:rsidRPr="009F7E24">
        <w:rPr>
          <w:rFonts w:ascii="Arial" w:eastAsia="Calibri" w:hAnsi="Arial" w:cs="Arial"/>
          <w:sz w:val="18"/>
          <w:szCs w:val="18"/>
          <w:lang w:eastAsia="en-US"/>
        </w:rPr>
        <w:t>U 2024. godini su</w:t>
      </w:r>
      <w:r w:rsidR="009F7E24">
        <w:rPr>
          <w:rFonts w:ascii="Arial" w:eastAsia="Calibri" w:hAnsi="Arial" w:cs="Arial"/>
          <w:sz w:val="18"/>
          <w:szCs w:val="18"/>
          <w:lang w:eastAsia="en-US"/>
        </w:rPr>
        <w:t xml:space="preserve"> bili</w:t>
      </w:r>
      <w:r w:rsidRPr="009F7E24">
        <w:rPr>
          <w:rFonts w:ascii="Arial" w:eastAsia="Calibri" w:hAnsi="Arial" w:cs="Arial"/>
          <w:sz w:val="18"/>
          <w:szCs w:val="18"/>
          <w:lang w:eastAsia="en-US"/>
        </w:rPr>
        <w:t xml:space="preserve"> izvršeni rashodi u iznosu 132.187,37 €</w:t>
      </w:r>
      <w:r w:rsidR="006A542E">
        <w:rPr>
          <w:rFonts w:ascii="Arial" w:eastAsia="Calibri" w:hAnsi="Arial" w:cs="Arial"/>
          <w:sz w:val="18"/>
          <w:szCs w:val="18"/>
          <w:lang w:eastAsia="en-US"/>
        </w:rPr>
        <w:t xml:space="preserve">, a vrijednosno najznačajniji radovi su se </w:t>
      </w:r>
      <w:r w:rsidRPr="009F7E24">
        <w:rPr>
          <w:rFonts w:ascii="Arial" w:eastAsia="Calibri" w:hAnsi="Arial" w:cs="Arial"/>
          <w:sz w:val="18"/>
          <w:szCs w:val="18"/>
          <w:lang w:eastAsia="en-US"/>
        </w:rPr>
        <w:t>odnos</w:t>
      </w:r>
      <w:r w:rsidR="009F7E24">
        <w:rPr>
          <w:rFonts w:ascii="Arial" w:eastAsia="Calibri" w:hAnsi="Arial" w:cs="Arial"/>
          <w:sz w:val="18"/>
          <w:szCs w:val="18"/>
          <w:lang w:eastAsia="en-US"/>
        </w:rPr>
        <w:t xml:space="preserve">ili </w:t>
      </w:r>
      <w:r w:rsidRPr="009F7E24">
        <w:rPr>
          <w:rFonts w:ascii="Arial" w:eastAsia="Calibri" w:hAnsi="Arial" w:cs="Arial"/>
          <w:sz w:val="18"/>
          <w:szCs w:val="18"/>
          <w:lang w:eastAsia="en-US"/>
        </w:rPr>
        <w:t>na:</w:t>
      </w:r>
    </w:p>
    <w:p w14:paraId="695DF5FF" w14:textId="71C6FE90" w:rsidR="00184A8E" w:rsidRPr="009F7E24" w:rsidRDefault="00184A8E" w:rsidP="009F7E24">
      <w:pPr>
        <w:numPr>
          <w:ilvl w:val="0"/>
          <w:numId w:val="3"/>
        </w:numPr>
        <w:autoSpaceDE w:val="0"/>
        <w:autoSpaceDN w:val="0"/>
        <w:adjustRightInd w:val="0"/>
        <w:spacing w:after="0" w:line="240" w:lineRule="auto"/>
        <w:ind w:left="1648"/>
        <w:jc w:val="both"/>
        <w:rPr>
          <w:rFonts w:ascii="Arial" w:eastAsia="Calibri" w:hAnsi="Arial" w:cs="Arial"/>
          <w:sz w:val="18"/>
          <w:szCs w:val="18"/>
          <w:lang w:eastAsia="en-US"/>
        </w:rPr>
      </w:pPr>
      <w:r w:rsidRPr="009F7E24">
        <w:rPr>
          <w:rFonts w:ascii="Arial" w:eastAsia="Calibri" w:hAnsi="Arial" w:cs="Arial"/>
          <w:sz w:val="18"/>
          <w:szCs w:val="18"/>
          <w:lang w:eastAsia="en-US"/>
        </w:rPr>
        <w:t>uređenje i opremanje vježbališta u Čilipima u iznosu 56.070,60 € (</w:t>
      </w:r>
      <w:r w:rsidR="009F7E24">
        <w:rPr>
          <w:rFonts w:ascii="Arial" w:eastAsia="Calibri" w:hAnsi="Arial" w:cs="Arial"/>
          <w:sz w:val="18"/>
          <w:szCs w:val="18"/>
          <w:lang w:eastAsia="en-US"/>
        </w:rPr>
        <w:t>sufinanciranje sredstvima Ministarstva turizma i sporta 16.300 €</w:t>
      </w:r>
      <w:r w:rsidRPr="009F7E24">
        <w:rPr>
          <w:rFonts w:ascii="Arial" w:eastAsia="Calibri" w:hAnsi="Arial" w:cs="Arial"/>
          <w:sz w:val="18"/>
          <w:szCs w:val="18"/>
          <w:lang w:eastAsia="en-US"/>
        </w:rPr>
        <w:t>),</w:t>
      </w:r>
    </w:p>
    <w:p w14:paraId="54B32149" w14:textId="77777777" w:rsidR="00184A8E" w:rsidRPr="009F7E24" w:rsidRDefault="00184A8E" w:rsidP="009F7E24">
      <w:pPr>
        <w:numPr>
          <w:ilvl w:val="0"/>
          <w:numId w:val="3"/>
        </w:numPr>
        <w:autoSpaceDE w:val="0"/>
        <w:autoSpaceDN w:val="0"/>
        <w:adjustRightInd w:val="0"/>
        <w:spacing w:after="0" w:line="240" w:lineRule="auto"/>
        <w:ind w:left="1648"/>
        <w:jc w:val="both"/>
        <w:rPr>
          <w:rFonts w:ascii="Arial" w:eastAsia="Calibri" w:hAnsi="Arial" w:cs="Arial"/>
          <w:sz w:val="18"/>
          <w:szCs w:val="18"/>
          <w:lang w:eastAsia="en-US"/>
        </w:rPr>
      </w:pPr>
      <w:r w:rsidRPr="009F7E24">
        <w:rPr>
          <w:rFonts w:ascii="Arial" w:eastAsia="Calibri" w:hAnsi="Arial" w:cs="Arial"/>
          <w:sz w:val="18"/>
          <w:szCs w:val="18"/>
          <w:lang w:eastAsia="en-US"/>
        </w:rPr>
        <w:t>uređenje pomoćnog igrališta na Gnjilama (NK Slaven) u iznosu 30.755 € (dovoz tampona i zemlje, ravnanje, postavljanje cijevi i mreže),</w:t>
      </w:r>
    </w:p>
    <w:p w14:paraId="7710CBB4" w14:textId="27231275" w:rsidR="00184A8E" w:rsidRPr="009F7E24" w:rsidRDefault="00184A8E" w:rsidP="009F7E24">
      <w:pPr>
        <w:numPr>
          <w:ilvl w:val="0"/>
          <w:numId w:val="3"/>
        </w:numPr>
        <w:autoSpaceDE w:val="0"/>
        <w:autoSpaceDN w:val="0"/>
        <w:adjustRightInd w:val="0"/>
        <w:spacing w:after="0" w:line="240" w:lineRule="auto"/>
        <w:ind w:left="1648"/>
        <w:jc w:val="both"/>
        <w:rPr>
          <w:rFonts w:ascii="Arial" w:eastAsia="Calibri" w:hAnsi="Arial" w:cs="Arial"/>
          <w:sz w:val="18"/>
          <w:szCs w:val="18"/>
          <w:lang w:eastAsia="en-US"/>
        </w:rPr>
      </w:pPr>
      <w:r w:rsidRPr="009F7E24">
        <w:rPr>
          <w:rFonts w:ascii="Arial" w:eastAsia="Calibri" w:hAnsi="Arial" w:cs="Arial"/>
          <w:sz w:val="18"/>
          <w:szCs w:val="18"/>
          <w:lang w:eastAsia="en-US"/>
        </w:rPr>
        <w:t>radovi na igralištu u Šupjaci (Čilipi) u iznosu 22.389,63 €,</w:t>
      </w:r>
    </w:p>
    <w:p w14:paraId="5A639E97" w14:textId="77777777" w:rsidR="00184A8E" w:rsidRPr="009F7E24" w:rsidRDefault="00184A8E" w:rsidP="009F7E24">
      <w:pPr>
        <w:numPr>
          <w:ilvl w:val="0"/>
          <w:numId w:val="3"/>
        </w:numPr>
        <w:autoSpaceDE w:val="0"/>
        <w:autoSpaceDN w:val="0"/>
        <w:adjustRightInd w:val="0"/>
        <w:spacing w:after="0" w:line="240" w:lineRule="auto"/>
        <w:ind w:left="1648"/>
        <w:jc w:val="both"/>
        <w:rPr>
          <w:rFonts w:ascii="Arial" w:eastAsia="Calibri" w:hAnsi="Arial" w:cs="Arial"/>
          <w:sz w:val="18"/>
          <w:szCs w:val="18"/>
          <w:lang w:eastAsia="en-US"/>
        </w:rPr>
      </w:pPr>
      <w:r w:rsidRPr="009F7E24">
        <w:rPr>
          <w:rFonts w:ascii="Arial" w:eastAsia="Calibri" w:hAnsi="Arial" w:cs="Arial"/>
          <w:sz w:val="18"/>
          <w:szCs w:val="18"/>
          <w:lang w:eastAsia="en-US"/>
        </w:rPr>
        <w:t>radovi uređenja novog igrališta u Paljem Brdu 7.889,08 €,</w:t>
      </w:r>
    </w:p>
    <w:p w14:paraId="3AC7FDC4" w14:textId="77777777" w:rsidR="00184A8E" w:rsidRPr="009F7E24" w:rsidRDefault="00184A8E" w:rsidP="009F7E24">
      <w:pPr>
        <w:numPr>
          <w:ilvl w:val="0"/>
          <w:numId w:val="3"/>
        </w:numPr>
        <w:autoSpaceDE w:val="0"/>
        <w:autoSpaceDN w:val="0"/>
        <w:adjustRightInd w:val="0"/>
        <w:spacing w:after="0" w:line="240" w:lineRule="auto"/>
        <w:ind w:left="1648"/>
        <w:jc w:val="both"/>
        <w:rPr>
          <w:rFonts w:ascii="Arial" w:eastAsia="Calibri" w:hAnsi="Arial" w:cs="Arial"/>
          <w:sz w:val="18"/>
          <w:szCs w:val="18"/>
          <w:lang w:eastAsia="en-US"/>
        </w:rPr>
      </w:pPr>
      <w:r w:rsidRPr="009F7E24">
        <w:rPr>
          <w:rFonts w:ascii="Arial" w:eastAsia="Calibri" w:hAnsi="Arial" w:cs="Arial"/>
          <w:sz w:val="18"/>
          <w:szCs w:val="18"/>
          <w:lang w:eastAsia="en-US"/>
        </w:rPr>
        <w:t xml:space="preserve">nogostup oko igrališta na stadionu Sv. Martin u Gabrilima u iznosu 7.542,45 €, </w:t>
      </w:r>
    </w:p>
    <w:p w14:paraId="255F2C29" w14:textId="01FF07DF" w:rsidR="006A542E" w:rsidRPr="009F7E24" w:rsidRDefault="00184A8E" w:rsidP="006A542E">
      <w:pPr>
        <w:numPr>
          <w:ilvl w:val="0"/>
          <w:numId w:val="3"/>
        </w:numPr>
        <w:autoSpaceDE w:val="0"/>
        <w:autoSpaceDN w:val="0"/>
        <w:adjustRightInd w:val="0"/>
        <w:spacing w:after="0" w:line="240" w:lineRule="auto"/>
        <w:ind w:left="1648"/>
        <w:jc w:val="both"/>
        <w:rPr>
          <w:rFonts w:ascii="Arial" w:eastAsia="Calibri" w:hAnsi="Arial" w:cs="Arial"/>
          <w:sz w:val="18"/>
          <w:szCs w:val="18"/>
          <w:lang w:eastAsia="en-US"/>
        </w:rPr>
      </w:pPr>
      <w:r w:rsidRPr="009F7E24">
        <w:rPr>
          <w:rFonts w:ascii="Arial" w:eastAsia="Calibri" w:hAnsi="Arial" w:cs="Arial"/>
          <w:sz w:val="18"/>
          <w:szCs w:val="18"/>
          <w:lang w:eastAsia="en-US"/>
        </w:rPr>
        <w:t>uređenje i opremanje igrališta u Dubravci 6.126,76 € (</w:t>
      </w:r>
      <w:r w:rsidR="006A542E">
        <w:rPr>
          <w:rFonts w:ascii="Arial" w:eastAsia="Calibri" w:hAnsi="Arial" w:cs="Arial"/>
          <w:sz w:val="18"/>
          <w:szCs w:val="18"/>
          <w:lang w:eastAsia="en-US"/>
        </w:rPr>
        <w:t xml:space="preserve">u okviru čega je </w:t>
      </w:r>
      <w:r w:rsidRPr="009F7E24">
        <w:rPr>
          <w:rFonts w:ascii="Arial" w:eastAsia="Calibri" w:hAnsi="Arial" w:cs="Arial"/>
          <w:sz w:val="18"/>
          <w:szCs w:val="18"/>
          <w:lang w:eastAsia="en-US"/>
        </w:rPr>
        <w:t>traktorska kosilica 3.982,66 € za koju je u 2023. godini osigurano sufinanciranje iz proračuna Dubrovačko neretvanske županije 2.900</w:t>
      </w:r>
      <w:r w:rsidR="006A542E">
        <w:rPr>
          <w:rFonts w:ascii="Arial" w:eastAsia="Calibri" w:hAnsi="Arial" w:cs="Arial"/>
          <w:sz w:val="18"/>
          <w:szCs w:val="18"/>
          <w:lang w:eastAsia="en-US"/>
        </w:rPr>
        <w:t xml:space="preserve"> €).</w:t>
      </w:r>
    </w:p>
    <w:p w14:paraId="4F2DE035" w14:textId="67096315" w:rsidR="00184A8E" w:rsidRPr="006A542E" w:rsidRDefault="00184A8E" w:rsidP="006A542E">
      <w:pPr>
        <w:autoSpaceDE w:val="0"/>
        <w:autoSpaceDN w:val="0"/>
        <w:adjustRightInd w:val="0"/>
        <w:spacing w:after="0" w:line="240" w:lineRule="auto"/>
        <w:jc w:val="both"/>
        <w:rPr>
          <w:rFonts w:ascii="Arial" w:eastAsia="Calibri" w:hAnsi="Arial" w:cs="Arial"/>
          <w:sz w:val="20"/>
          <w:szCs w:val="20"/>
          <w:lang w:eastAsia="en-US"/>
        </w:rPr>
      </w:pPr>
    </w:p>
    <w:p w14:paraId="45333863" w14:textId="739D8162" w:rsidR="006A542E" w:rsidRPr="009D0209" w:rsidRDefault="006A542E" w:rsidP="009D0209">
      <w:pPr>
        <w:autoSpaceDE w:val="0"/>
        <w:autoSpaceDN w:val="0"/>
        <w:adjustRightInd w:val="0"/>
        <w:spacing w:after="0" w:line="240" w:lineRule="auto"/>
        <w:ind w:left="567"/>
        <w:jc w:val="both"/>
        <w:rPr>
          <w:rFonts w:ascii="Arial" w:eastAsia="Calibri" w:hAnsi="Arial" w:cs="Arial"/>
          <w:sz w:val="20"/>
          <w:szCs w:val="20"/>
          <w:lang w:eastAsia="en-US"/>
        </w:rPr>
      </w:pPr>
      <w:r w:rsidRPr="009D0209">
        <w:rPr>
          <w:rFonts w:ascii="Arial" w:eastAsia="Calibri" w:hAnsi="Arial" w:cs="Arial"/>
          <w:sz w:val="20"/>
          <w:szCs w:val="20"/>
          <w:lang w:eastAsia="en-US"/>
        </w:rPr>
        <w:t>U 2025. godini su izvršeni rashodi u iznosu 103.804,23 € i odnose se na:</w:t>
      </w:r>
    </w:p>
    <w:p w14:paraId="5906FF09" w14:textId="71DAA1AB" w:rsidR="006A542E" w:rsidRPr="009D0209" w:rsidRDefault="006A542E" w:rsidP="009D0209">
      <w:pPr>
        <w:numPr>
          <w:ilvl w:val="0"/>
          <w:numId w:val="3"/>
        </w:numPr>
        <w:autoSpaceDE w:val="0"/>
        <w:autoSpaceDN w:val="0"/>
        <w:adjustRightInd w:val="0"/>
        <w:spacing w:after="0" w:line="240" w:lineRule="auto"/>
        <w:ind w:left="567"/>
        <w:jc w:val="both"/>
        <w:rPr>
          <w:rFonts w:ascii="Arial" w:eastAsia="Calibri" w:hAnsi="Arial" w:cs="Arial"/>
          <w:sz w:val="20"/>
          <w:szCs w:val="20"/>
          <w:lang w:eastAsia="en-US"/>
        </w:rPr>
      </w:pPr>
      <w:r w:rsidRPr="009D0209">
        <w:rPr>
          <w:rFonts w:ascii="Arial" w:eastAsia="Calibri" w:hAnsi="Arial" w:cs="Arial"/>
          <w:sz w:val="20"/>
          <w:szCs w:val="20"/>
          <w:lang w:eastAsia="en-US"/>
        </w:rPr>
        <w:t>radove na streljani Gaj u Dunavama 36.388,75 € sukladno ugovoru iz listopada 2025. godine,</w:t>
      </w:r>
    </w:p>
    <w:p w14:paraId="4EE5F2F6" w14:textId="38212CE7" w:rsidR="006A542E" w:rsidRPr="009D0209" w:rsidRDefault="006A542E" w:rsidP="009D0209">
      <w:pPr>
        <w:numPr>
          <w:ilvl w:val="0"/>
          <w:numId w:val="3"/>
        </w:numPr>
        <w:autoSpaceDE w:val="0"/>
        <w:autoSpaceDN w:val="0"/>
        <w:adjustRightInd w:val="0"/>
        <w:spacing w:after="0" w:line="240" w:lineRule="auto"/>
        <w:ind w:left="567"/>
        <w:jc w:val="both"/>
        <w:rPr>
          <w:rFonts w:ascii="Arial" w:eastAsia="Calibri" w:hAnsi="Arial" w:cs="Arial"/>
          <w:sz w:val="20"/>
          <w:szCs w:val="20"/>
          <w:lang w:eastAsia="en-US"/>
        </w:rPr>
      </w:pPr>
      <w:r w:rsidRPr="009D0209">
        <w:rPr>
          <w:rFonts w:ascii="Arial" w:eastAsia="Calibri" w:hAnsi="Arial" w:cs="Arial"/>
          <w:sz w:val="20"/>
          <w:szCs w:val="20"/>
          <w:lang w:eastAsia="en-US"/>
        </w:rPr>
        <w:t>radovi uređenja novog igrališta u Paljem Brdu 5.692,50 €,</w:t>
      </w:r>
    </w:p>
    <w:p w14:paraId="1C8CD72F" w14:textId="142188B5" w:rsidR="006A542E" w:rsidRPr="009D0209" w:rsidRDefault="001C5F02" w:rsidP="009D0209">
      <w:pPr>
        <w:numPr>
          <w:ilvl w:val="0"/>
          <w:numId w:val="3"/>
        </w:numPr>
        <w:autoSpaceDE w:val="0"/>
        <w:autoSpaceDN w:val="0"/>
        <w:adjustRightInd w:val="0"/>
        <w:spacing w:after="0" w:line="240" w:lineRule="auto"/>
        <w:ind w:left="567"/>
        <w:jc w:val="both"/>
        <w:rPr>
          <w:rFonts w:ascii="Arial" w:eastAsia="Calibri" w:hAnsi="Arial" w:cs="Arial"/>
          <w:sz w:val="20"/>
          <w:szCs w:val="20"/>
          <w:lang w:eastAsia="en-US"/>
        </w:rPr>
      </w:pPr>
      <w:r w:rsidRPr="009D0209">
        <w:rPr>
          <w:rFonts w:ascii="Arial" w:eastAsia="Calibri" w:hAnsi="Arial" w:cs="Arial"/>
          <w:sz w:val="20"/>
          <w:szCs w:val="20"/>
          <w:lang w:eastAsia="en-US"/>
        </w:rPr>
        <w:t>uređenje boćarskog igrališta u Vodovađi u iznosu 15.330 €,</w:t>
      </w:r>
    </w:p>
    <w:p w14:paraId="6ADA29BF" w14:textId="533C4A1D" w:rsidR="001C5F02" w:rsidRPr="009D0209" w:rsidRDefault="001C5F02" w:rsidP="009D0209">
      <w:pPr>
        <w:numPr>
          <w:ilvl w:val="0"/>
          <w:numId w:val="3"/>
        </w:numPr>
        <w:autoSpaceDE w:val="0"/>
        <w:autoSpaceDN w:val="0"/>
        <w:adjustRightInd w:val="0"/>
        <w:spacing w:after="0" w:line="240" w:lineRule="auto"/>
        <w:ind w:left="567"/>
        <w:jc w:val="both"/>
        <w:rPr>
          <w:rFonts w:ascii="Arial" w:eastAsia="Calibri" w:hAnsi="Arial" w:cs="Arial"/>
          <w:sz w:val="20"/>
          <w:szCs w:val="20"/>
          <w:lang w:eastAsia="en-US"/>
        </w:rPr>
      </w:pPr>
      <w:r w:rsidRPr="009D0209">
        <w:rPr>
          <w:rFonts w:ascii="Arial" w:eastAsia="Calibri" w:hAnsi="Arial" w:cs="Arial"/>
          <w:sz w:val="20"/>
          <w:szCs w:val="20"/>
          <w:lang w:eastAsia="en-US"/>
        </w:rPr>
        <w:t>radovi na igralištu u Šupjaci (Čilipi) u iznosu 24.421,11 € (dosijavanje travnjaka , jarboli, materijal za uređenje prostorija),</w:t>
      </w:r>
    </w:p>
    <w:p w14:paraId="240972DC" w14:textId="2401F36F" w:rsidR="001C5F02" w:rsidRPr="009D0209" w:rsidRDefault="001C5F02" w:rsidP="009D0209">
      <w:pPr>
        <w:numPr>
          <w:ilvl w:val="0"/>
          <w:numId w:val="3"/>
        </w:numPr>
        <w:autoSpaceDE w:val="0"/>
        <w:autoSpaceDN w:val="0"/>
        <w:adjustRightInd w:val="0"/>
        <w:spacing w:after="0" w:line="240" w:lineRule="auto"/>
        <w:ind w:left="567"/>
        <w:jc w:val="both"/>
        <w:rPr>
          <w:rFonts w:ascii="Arial" w:eastAsia="Calibri" w:hAnsi="Arial" w:cs="Arial"/>
          <w:sz w:val="20"/>
          <w:szCs w:val="20"/>
          <w:lang w:eastAsia="en-US"/>
        </w:rPr>
      </w:pPr>
      <w:r w:rsidRPr="009D0209">
        <w:rPr>
          <w:rFonts w:ascii="Arial" w:eastAsia="Calibri" w:hAnsi="Arial" w:cs="Arial"/>
          <w:sz w:val="20"/>
          <w:szCs w:val="20"/>
          <w:lang w:eastAsia="en-US"/>
        </w:rPr>
        <w:t xml:space="preserve">materijal za održavanje igrališta na Gnjilama (NK Slaven) u iznosu 11.384,17 €, </w:t>
      </w:r>
    </w:p>
    <w:p w14:paraId="57879AC8" w14:textId="6CFA5C4F" w:rsidR="001C5F02" w:rsidRPr="009D0209" w:rsidRDefault="001C5F02" w:rsidP="009D0209">
      <w:pPr>
        <w:numPr>
          <w:ilvl w:val="0"/>
          <w:numId w:val="3"/>
        </w:numPr>
        <w:autoSpaceDE w:val="0"/>
        <w:autoSpaceDN w:val="0"/>
        <w:adjustRightInd w:val="0"/>
        <w:spacing w:after="0" w:line="240" w:lineRule="auto"/>
        <w:ind w:left="567"/>
        <w:jc w:val="both"/>
        <w:rPr>
          <w:rFonts w:ascii="Arial" w:eastAsia="Calibri" w:hAnsi="Arial" w:cs="Arial"/>
          <w:sz w:val="20"/>
          <w:szCs w:val="20"/>
          <w:lang w:eastAsia="en-US"/>
        </w:rPr>
      </w:pPr>
      <w:r w:rsidRPr="009D0209">
        <w:rPr>
          <w:rFonts w:ascii="Arial" w:eastAsia="Calibri" w:hAnsi="Arial" w:cs="Arial"/>
          <w:sz w:val="20"/>
          <w:szCs w:val="20"/>
          <w:lang w:eastAsia="en-US"/>
        </w:rPr>
        <w:t>servis traktorske kosilice koja se koristi za igralište u Dubravci u iznosu 191,70 €,</w:t>
      </w:r>
    </w:p>
    <w:p w14:paraId="23C58E8C" w14:textId="37DD09F2" w:rsidR="001C5F02" w:rsidRPr="009D0209" w:rsidRDefault="009D0209" w:rsidP="009D0209">
      <w:pPr>
        <w:numPr>
          <w:ilvl w:val="0"/>
          <w:numId w:val="3"/>
        </w:numPr>
        <w:autoSpaceDE w:val="0"/>
        <w:autoSpaceDN w:val="0"/>
        <w:adjustRightInd w:val="0"/>
        <w:spacing w:after="0" w:line="240" w:lineRule="auto"/>
        <w:ind w:left="567"/>
        <w:jc w:val="both"/>
        <w:rPr>
          <w:rFonts w:ascii="Arial" w:eastAsia="Calibri" w:hAnsi="Arial" w:cs="Arial"/>
          <w:sz w:val="20"/>
          <w:szCs w:val="20"/>
          <w:lang w:eastAsia="en-US"/>
        </w:rPr>
      </w:pPr>
      <w:r w:rsidRPr="009D0209">
        <w:rPr>
          <w:rFonts w:ascii="Arial" w:eastAsia="Calibri" w:hAnsi="Arial" w:cs="Arial"/>
          <w:sz w:val="20"/>
          <w:szCs w:val="20"/>
          <w:lang w:eastAsia="en-US"/>
        </w:rPr>
        <w:t>opremanje igrališta u iznosu 10.396 € (traktorska kosilica za igralište u Popovićima 3.437 € i četverocikl marke Segway za igralište u Dubravci 6.959 € što je sufinancirano sredstvima županije).</w:t>
      </w:r>
    </w:p>
    <w:p w14:paraId="55696FBF" w14:textId="77777777" w:rsidR="006A542E" w:rsidRPr="006A542E" w:rsidRDefault="006A542E" w:rsidP="006A542E">
      <w:pPr>
        <w:autoSpaceDE w:val="0"/>
        <w:autoSpaceDN w:val="0"/>
        <w:adjustRightInd w:val="0"/>
        <w:spacing w:after="0" w:line="240" w:lineRule="auto"/>
        <w:jc w:val="both"/>
        <w:rPr>
          <w:rFonts w:ascii="Arial" w:eastAsia="Calibri" w:hAnsi="Arial" w:cs="Arial"/>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56062994"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3F0C931"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763197E"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FD5D58E"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96EA02B"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4038DEE" w14:textId="0BB02B30"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9F7E24">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768A420" w14:textId="2DB7E669"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9F7E24">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6D3019" w14:textId="7554BE31"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9F7E24">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BDB0C12" w14:textId="67DA5A6A"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9F7E24">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D6AD1FA" w14:textId="1F4667A2"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9F7E24">
              <w:rPr>
                <w:rFonts w:ascii="Arial" w:eastAsia="Calibri" w:hAnsi="Arial" w:cs="Arial"/>
              </w:rPr>
              <w:t>7</w:t>
            </w:r>
            <w:r w:rsidRPr="00184A8E">
              <w:rPr>
                <w:rFonts w:ascii="Arial" w:eastAsia="Calibri" w:hAnsi="Arial" w:cs="Arial"/>
              </w:rPr>
              <w:t>.</w:t>
            </w:r>
          </w:p>
        </w:tc>
      </w:tr>
      <w:tr w:rsidR="00184A8E" w:rsidRPr="00184A8E" w14:paraId="24AC0F34"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4575F0BA" w14:textId="77777777" w:rsidR="00184A8E" w:rsidRPr="00184A8E" w:rsidRDefault="00184A8E" w:rsidP="00184A8E">
            <w:pPr>
              <w:rPr>
                <w:rFonts w:ascii="Arial" w:hAnsi="Arial" w:cs="Arial"/>
                <w:sz w:val="16"/>
                <w:szCs w:val="16"/>
              </w:rPr>
            </w:pPr>
            <w:r w:rsidRPr="00184A8E">
              <w:rPr>
                <w:rFonts w:ascii="Arial" w:hAnsi="Arial" w:cs="Arial"/>
                <w:sz w:val="16"/>
                <w:szCs w:val="16"/>
              </w:rPr>
              <w:t xml:space="preserve">Održavanje i uređenje sportskih igrališta </w:t>
            </w:r>
          </w:p>
        </w:tc>
        <w:tc>
          <w:tcPr>
            <w:tcW w:w="3402" w:type="dxa"/>
            <w:tcBorders>
              <w:top w:val="single" w:sz="4" w:space="0" w:color="auto"/>
              <w:left w:val="single" w:sz="4" w:space="0" w:color="auto"/>
              <w:bottom w:val="single" w:sz="4" w:space="0" w:color="auto"/>
              <w:right w:val="single" w:sz="4" w:space="0" w:color="auto"/>
            </w:tcBorders>
            <w:vAlign w:val="center"/>
          </w:tcPr>
          <w:p w14:paraId="58A0E0DE" w14:textId="77777777" w:rsidR="00184A8E" w:rsidRPr="00184A8E" w:rsidRDefault="00184A8E" w:rsidP="00184A8E">
            <w:pPr>
              <w:autoSpaceDE w:val="0"/>
              <w:autoSpaceDN w:val="0"/>
              <w:adjustRightInd w:val="0"/>
              <w:rPr>
                <w:rFonts w:ascii="Arial" w:hAnsi="Arial" w:cs="Arial"/>
                <w:sz w:val="18"/>
                <w:szCs w:val="18"/>
              </w:rPr>
            </w:pPr>
            <w:r w:rsidRPr="00184A8E">
              <w:rPr>
                <w:rFonts w:ascii="Arial" w:hAnsi="Arial" w:cs="Arial"/>
                <w:sz w:val="18"/>
                <w:szCs w:val="18"/>
              </w:rPr>
              <w:t>Postotak izvršenih rashoda za uređenje igrališta</w:t>
            </w:r>
          </w:p>
        </w:tc>
        <w:tc>
          <w:tcPr>
            <w:tcW w:w="958" w:type="dxa"/>
            <w:tcBorders>
              <w:top w:val="single" w:sz="4" w:space="0" w:color="auto"/>
              <w:left w:val="single" w:sz="4" w:space="0" w:color="auto"/>
              <w:bottom w:val="single" w:sz="4" w:space="0" w:color="auto"/>
              <w:right w:val="single" w:sz="4" w:space="0" w:color="auto"/>
            </w:tcBorders>
            <w:vAlign w:val="center"/>
          </w:tcPr>
          <w:p w14:paraId="2EDF8190"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4F7A2DC7"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D3B1B8A" w14:textId="6C1FFB32" w:rsidR="00184A8E" w:rsidRPr="00184A8E" w:rsidRDefault="009F7E24" w:rsidP="00184A8E">
            <w:pPr>
              <w:jc w:val="center"/>
              <w:rPr>
                <w:rFonts w:ascii="Arial" w:hAnsi="Arial" w:cs="Arial"/>
              </w:rPr>
            </w:pPr>
            <w:r>
              <w:rPr>
                <w:rFonts w:ascii="Arial" w:hAnsi="Arial" w:cs="Arial"/>
              </w:rPr>
              <w:t>47</w:t>
            </w:r>
            <w:r w:rsidR="00184A8E" w:rsidRPr="00184A8E">
              <w:rPr>
                <w:rFonts w:ascii="Arial" w:hAnsi="Arial" w:cs="Arial"/>
              </w:rPr>
              <w:t>%</w:t>
            </w:r>
          </w:p>
          <w:p w14:paraId="7F9C345A" w14:textId="3E227525" w:rsidR="00184A8E" w:rsidRPr="00184A8E" w:rsidRDefault="00184A8E" w:rsidP="00184A8E">
            <w:pPr>
              <w:jc w:val="center"/>
              <w:rPr>
                <w:rFonts w:ascii="Arial" w:hAnsi="Arial" w:cs="Arial"/>
              </w:rPr>
            </w:pPr>
            <w:r w:rsidRPr="00184A8E">
              <w:rPr>
                <w:rFonts w:ascii="Arial" w:hAnsi="Arial" w:cs="Arial"/>
              </w:rPr>
              <w:t>(</w:t>
            </w:r>
            <w:r w:rsidR="009F7E24">
              <w:rPr>
                <w:rFonts w:ascii="Arial" w:hAnsi="Arial" w:cs="Arial"/>
              </w:rPr>
              <w:t>6</w:t>
            </w:r>
            <w:r w:rsidRPr="00184A8E">
              <w:rPr>
                <w:rFonts w:ascii="Arial" w:hAnsi="Arial" w:cs="Arial"/>
              </w:rPr>
              <w:t xml:space="preserve"> igrališta)</w:t>
            </w:r>
          </w:p>
        </w:tc>
        <w:tc>
          <w:tcPr>
            <w:tcW w:w="1276" w:type="dxa"/>
            <w:tcBorders>
              <w:top w:val="single" w:sz="4" w:space="0" w:color="auto"/>
              <w:left w:val="single" w:sz="4" w:space="0" w:color="auto"/>
              <w:bottom w:val="single" w:sz="4" w:space="0" w:color="auto"/>
              <w:right w:val="single" w:sz="4" w:space="0" w:color="auto"/>
            </w:tcBorders>
            <w:vAlign w:val="center"/>
          </w:tcPr>
          <w:p w14:paraId="26915BE1"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317E91E4" w14:textId="0820BF46" w:rsidR="00184A8E" w:rsidRPr="00184A8E" w:rsidRDefault="009F7E24" w:rsidP="00184A8E">
            <w:pPr>
              <w:jc w:val="center"/>
              <w:rPr>
                <w:rFonts w:ascii="Arial" w:hAnsi="Arial" w:cs="Arial"/>
              </w:rPr>
            </w:pPr>
            <w:r>
              <w:rPr>
                <w:rFonts w:ascii="Arial" w:hAnsi="Arial" w:cs="Arial"/>
              </w:rPr>
              <w:t>55</w:t>
            </w:r>
            <w:r w:rsidR="00184A8E" w:rsidRPr="00184A8E">
              <w:rPr>
                <w:rFonts w:ascii="Arial" w:hAnsi="Arial" w:cs="Arial"/>
              </w:rPr>
              <w:t>%</w:t>
            </w:r>
          </w:p>
          <w:p w14:paraId="5FAFB8C9" w14:textId="69D8AE41" w:rsidR="00184A8E" w:rsidRPr="00184A8E" w:rsidRDefault="00184A8E" w:rsidP="00184A8E">
            <w:pPr>
              <w:jc w:val="center"/>
              <w:rPr>
                <w:rFonts w:ascii="Arial" w:hAnsi="Arial" w:cs="Arial"/>
              </w:rPr>
            </w:pPr>
            <w:r w:rsidRPr="00184A8E">
              <w:rPr>
                <w:rFonts w:ascii="Arial" w:hAnsi="Arial" w:cs="Arial"/>
              </w:rPr>
              <w:t>(</w:t>
            </w:r>
            <w:r w:rsidR="006A542E">
              <w:rPr>
                <w:rFonts w:ascii="Arial" w:hAnsi="Arial" w:cs="Arial"/>
              </w:rPr>
              <w:t>7</w:t>
            </w:r>
            <w:r w:rsidRPr="00184A8E">
              <w:rPr>
                <w:rFonts w:ascii="Arial" w:hAnsi="Arial" w:cs="Arial"/>
              </w:rPr>
              <w:t xml:space="preserve"> igrališta)</w:t>
            </w:r>
          </w:p>
        </w:tc>
        <w:tc>
          <w:tcPr>
            <w:tcW w:w="1242" w:type="dxa"/>
            <w:tcBorders>
              <w:top w:val="single" w:sz="4" w:space="0" w:color="000000"/>
              <w:left w:val="single" w:sz="4" w:space="0" w:color="000000"/>
              <w:bottom w:val="single" w:sz="4" w:space="0" w:color="000000"/>
              <w:right w:val="single" w:sz="4" w:space="0" w:color="000000"/>
            </w:tcBorders>
            <w:vAlign w:val="center"/>
          </w:tcPr>
          <w:p w14:paraId="7350D281"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7EA896BF" w14:textId="77777777" w:rsidR="00184A8E" w:rsidRPr="00184A8E" w:rsidRDefault="00184A8E" w:rsidP="00184A8E">
            <w:pPr>
              <w:jc w:val="center"/>
              <w:rPr>
                <w:rFonts w:ascii="Arial" w:hAnsi="Arial" w:cs="Arial"/>
              </w:rPr>
            </w:pPr>
            <w:r w:rsidRPr="00184A8E">
              <w:rPr>
                <w:rFonts w:ascii="Arial" w:hAnsi="Arial" w:cs="Arial"/>
              </w:rPr>
              <w:t>100</w:t>
            </w:r>
          </w:p>
        </w:tc>
      </w:tr>
    </w:tbl>
    <w:p w14:paraId="77D0146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04ACB84D" w14:textId="08999E09"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rPr>
        <w:t>4. K210204: Pripremne radnje, projektiranje i izgradnja bazena i malonogometnog igrališta Čilipi</w:t>
      </w:r>
      <w:r w:rsidRPr="00184A8E">
        <w:rPr>
          <w:rFonts w:ascii="Arial" w:eastAsia="Calibri" w:hAnsi="Arial" w:cs="Arial"/>
          <w:sz w:val="20"/>
          <w:szCs w:val="20"/>
        </w:rPr>
        <w:t xml:space="preserve"> - u sklopu projekta prvotno su bili planirani</w:t>
      </w:r>
      <w:r w:rsidRPr="00184A8E">
        <w:rPr>
          <w:rFonts w:ascii="Arial" w:eastAsia="Calibri" w:hAnsi="Arial" w:cs="Arial"/>
          <w:sz w:val="20"/>
          <w:szCs w:val="20"/>
          <w:lang w:eastAsia="en-US"/>
        </w:rPr>
        <w:t xml:space="preserve"> rashodi za 202</w:t>
      </w:r>
      <w:r w:rsidR="00E15369">
        <w:rPr>
          <w:rFonts w:ascii="Arial" w:eastAsia="Calibri" w:hAnsi="Arial" w:cs="Arial"/>
          <w:sz w:val="20"/>
          <w:szCs w:val="20"/>
          <w:lang w:eastAsia="en-US"/>
        </w:rPr>
        <w:t>5</w:t>
      </w:r>
      <w:r w:rsidRPr="00184A8E">
        <w:rPr>
          <w:rFonts w:ascii="Arial" w:eastAsia="Calibri" w:hAnsi="Arial" w:cs="Arial"/>
          <w:sz w:val="20"/>
          <w:szCs w:val="20"/>
          <w:lang w:eastAsia="en-US"/>
        </w:rPr>
        <w:t>. godinu u iznosu 30.000 €. Planirana sredstva se odnose na izradu projektne dokumentacije i popratne usluge. Početak provedbe investicije ovisi o osiguravanju sredstava za financiranje cjelokupne investicije. Izmjenama i dopunama proračuna rashodi nisu planirani, niti su izvršeni.</w:t>
      </w:r>
    </w:p>
    <w:p w14:paraId="71270AA8"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rPr>
      </w:pPr>
    </w:p>
    <w:p w14:paraId="01D0C114" w14:textId="77777777" w:rsidR="00184A8E" w:rsidRPr="00184A8E" w:rsidRDefault="00184A8E" w:rsidP="00184A8E">
      <w:pPr>
        <w:autoSpaceDE w:val="0"/>
        <w:autoSpaceDN w:val="0"/>
        <w:adjustRightInd w:val="0"/>
        <w:spacing w:after="0" w:line="240" w:lineRule="auto"/>
        <w:ind w:left="567"/>
        <w:jc w:val="both"/>
        <w:rPr>
          <w:rFonts w:ascii="Arial" w:eastAsia="Times New Roman" w:hAnsi="Arial" w:cs="Arial"/>
          <w:sz w:val="18"/>
          <w:szCs w:val="18"/>
          <w:lang w:eastAsia="en-US"/>
        </w:rPr>
      </w:pPr>
      <w:r w:rsidRPr="00184A8E">
        <w:rPr>
          <w:rFonts w:ascii="Arial" w:eastAsia="Times New Roman" w:hAnsi="Arial" w:cs="Arial"/>
          <w:sz w:val="18"/>
          <w:szCs w:val="18"/>
          <w:lang w:eastAsia="en-US"/>
        </w:rPr>
        <w:t>U 2019. godini su bili izvršeni rashodi za izradu urbanističko arhitektonske analize te izrade projektne dokumentacije za izgradnju zgrade sportsko rekreacijskog sadržaja s unutarnjim bazenom na dijelu č.zem. 909 k.o. Čilipi u iznosu 87.250 kn / 11.580,07 €.</w:t>
      </w:r>
    </w:p>
    <w:p w14:paraId="408BBB10"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2B0E37BF"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B942164" w14:textId="77777777" w:rsidR="00184A8E" w:rsidRPr="00184A8E" w:rsidRDefault="00184A8E" w:rsidP="00184A8E">
            <w:pPr>
              <w:jc w:val="center"/>
              <w:rPr>
                <w:rFonts w:ascii="Arial" w:eastAsia="Calibri" w:hAnsi="Arial" w:cs="Arial"/>
              </w:rPr>
            </w:pPr>
            <w:r w:rsidRPr="00184A8E">
              <w:rPr>
                <w:rFonts w:ascii="Arial" w:eastAsia="Calibri" w:hAnsi="Arial" w:cs="Arial"/>
              </w:rPr>
              <w:lastRenderedPageBreak/>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CD1DC3D"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9FABAA4"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2D72568"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2C2DBFA" w14:textId="11127DC7"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E15369">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87DCD74" w14:textId="1B8F1D13"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E15369">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D3FA77D" w14:textId="3088F6CB"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E15369">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E096A23" w14:textId="2A2958B1"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E15369">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A3980C8" w14:textId="14F4FDF5"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E15369">
              <w:rPr>
                <w:rFonts w:ascii="Arial" w:eastAsia="Calibri" w:hAnsi="Arial" w:cs="Arial"/>
              </w:rPr>
              <w:t>7</w:t>
            </w:r>
            <w:r w:rsidRPr="00184A8E">
              <w:rPr>
                <w:rFonts w:ascii="Arial" w:eastAsia="Calibri" w:hAnsi="Arial" w:cs="Arial"/>
              </w:rPr>
              <w:t>.</w:t>
            </w:r>
          </w:p>
        </w:tc>
      </w:tr>
      <w:tr w:rsidR="00184A8E" w:rsidRPr="00184A8E" w14:paraId="32B34EE4"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5B7D71FA" w14:textId="77777777" w:rsidR="00184A8E" w:rsidRPr="00184A8E" w:rsidRDefault="00184A8E" w:rsidP="00184A8E">
            <w:pPr>
              <w:rPr>
                <w:rFonts w:ascii="Arial" w:hAnsi="Arial" w:cs="Arial"/>
                <w:sz w:val="16"/>
                <w:szCs w:val="16"/>
              </w:rPr>
            </w:pPr>
            <w:r w:rsidRPr="00184A8E">
              <w:rPr>
                <w:rFonts w:ascii="Arial" w:hAnsi="Arial" w:cs="Arial"/>
                <w:sz w:val="16"/>
                <w:szCs w:val="16"/>
              </w:rPr>
              <w:t>Izrada projektne dokumentacije za izgradnju objekta</w:t>
            </w:r>
          </w:p>
        </w:tc>
        <w:tc>
          <w:tcPr>
            <w:tcW w:w="3402" w:type="dxa"/>
            <w:tcBorders>
              <w:top w:val="single" w:sz="4" w:space="0" w:color="auto"/>
              <w:left w:val="single" w:sz="4" w:space="0" w:color="auto"/>
              <w:bottom w:val="single" w:sz="4" w:space="0" w:color="auto"/>
              <w:right w:val="single" w:sz="4" w:space="0" w:color="auto"/>
            </w:tcBorders>
            <w:vAlign w:val="center"/>
          </w:tcPr>
          <w:p w14:paraId="768A6A9E" w14:textId="77777777" w:rsidR="00184A8E" w:rsidRPr="00184A8E" w:rsidRDefault="00184A8E" w:rsidP="00184A8E">
            <w:pPr>
              <w:autoSpaceDE w:val="0"/>
              <w:autoSpaceDN w:val="0"/>
              <w:adjustRightInd w:val="0"/>
              <w:rPr>
                <w:rFonts w:ascii="Arial" w:hAnsi="Arial" w:cs="Arial"/>
              </w:rPr>
            </w:pPr>
            <w:r w:rsidRPr="00184A8E">
              <w:rPr>
                <w:rFonts w:ascii="Arial" w:hAnsi="Arial" w:cs="Arial"/>
              </w:rPr>
              <w:t>Postotak dovršetka izrade projekta</w:t>
            </w:r>
          </w:p>
        </w:tc>
        <w:tc>
          <w:tcPr>
            <w:tcW w:w="958" w:type="dxa"/>
            <w:tcBorders>
              <w:top w:val="single" w:sz="4" w:space="0" w:color="auto"/>
              <w:left w:val="single" w:sz="4" w:space="0" w:color="auto"/>
              <w:bottom w:val="single" w:sz="4" w:space="0" w:color="auto"/>
              <w:right w:val="single" w:sz="4" w:space="0" w:color="auto"/>
            </w:tcBorders>
            <w:vAlign w:val="center"/>
          </w:tcPr>
          <w:p w14:paraId="372937B2"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434A6ABA"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8ED2ADA" w14:textId="77777777" w:rsidR="00184A8E" w:rsidRPr="00184A8E" w:rsidRDefault="00184A8E" w:rsidP="00184A8E">
            <w:pPr>
              <w:jc w:val="center"/>
              <w:rPr>
                <w:rFonts w:ascii="Arial" w:hAnsi="Arial" w:cs="Arial"/>
              </w:rPr>
            </w:pPr>
            <w:r w:rsidRPr="00184A8E">
              <w:rPr>
                <w:rFonts w:ascii="Arial" w:hAnsi="Arial" w:cs="Arial"/>
              </w:rPr>
              <w:t>0</w:t>
            </w:r>
          </w:p>
        </w:tc>
        <w:tc>
          <w:tcPr>
            <w:tcW w:w="1276" w:type="dxa"/>
            <w:tcBorders>
              <w:top w:val="single" w:sz="4" w:space="0" w:color="auto"/>
              <w:left w:val="single" w:sz="4" w:space="0" w:color="auto"/>
              <w:bottom w:val="single" w:sz="4" w:space="0" w:color="auto"/>
              <w:right w:val="single" w:sz="4" w:space="0" w:color="auto"/>
            </w:tcBorders>
            <w:vAlign w:val="center"/>
          </w:tcPr>
          <w:p w14:paraId="5D91B965"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3A824D7B"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33E32FD7" w14:textId="77777777" w:rsidR="00184A8E" w:rsidRPr="00184A8E" w:rsidRDefault="00184A8E" w:rsidP="00184A8E">
            <w:pPr>
              <w:jc w:val="center"/>
              <w:rPr>
                <w:rFonts w:ascii="Arial" w:hAnsi="Arial" w:cs="Arial"/>
              </w:rPr>
            </w:pPr>
            <w:r w:rsidRPr="00184A8E">
              <w:rPr>
                <w:rFonts w:ascii="Arial" w:hAnsi="Arial" w:cs="Arial"/>
              </w:rPr>
              <w:t>10</w:t>
            </w:r>
          </w:p>
        </w:tc>
        <w:tc>
          <w:tcPr>
            <w:tcW w:w="1242" w:type="dxa"/>
            <w:tcBorders>
              <w:top w:val="single" w:sz="4" w:space="0" w:color="000000"/>
              <w:left w:val="single" w:sz="4" w:space="0" w:color="000000"/>
              <w:bottom w:val="single" w:sz="4" w:space="0" w:color="000000"/>
              <w:right w:val="single" w:sz="4" w:space="0" w:color="000000"/>
            </w:tcBorders>
            <w:vAlign w:val="center"/>
          </w:tcPr>
          <w:p w14:paraId="2DAF21E0" w14:textId="77777777" w:rsidR="00184A8E" w:rsidRPr="00184A8E" w:rsidRDefault="00184A8E" w:rsidP="00184A8E">
            <w:pPr>
              <w:jc w:val="center"/>
              <w:rPr>
                <w:rFonts w:ascii="Arial" w:hAnsi="Arial" w:cs="Arial"/>
              </w:rPr>
            </w:pPr>
            <w:r w:rsidRPr="00184A8E">
              <w:rPr>
                <w:rFonts w:ascii="Arial" w:hAnsi="Arial" w:cs="Arial"/>
              </w:rPr>
              <w:t>100</w:t>
            </w:r>
          </w:p>
        </w:tc>
      </w:tr>
    </w:tbl>
    <w:p w14:paraId="23E6435E" w14:textId="77777777" w:rsidR="00184A8E" w:rsidRPr="00184A8E" w:rsidRDefault="00184A8E" w:rsidP="00184A8E">
      <w:pPr>
        <w:spacing w:after="0" w:line="240" w:lineRule="auto"/>
        <w:rPr>
          <w:rFonts w:ascii="Arial" w:eastAsia="Calibri" w:hAnsi="Arial" w:cs="Arial"/>
          <w:sz w:val="20"/>
          <w:szCs w:val="20"/>
        </w:rPr>
      </w:pPr>
    </w:p>
    <w:p w14:paraId="6A454F5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0001E6D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6401BA5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Aktivnosti vezane uz opće ciljeve postignute su sukladno postocima izvršenja. </w:t>
      </w:r>
    </w:p>
    <w:p w14:paraId="3155AB11" w14:textId="77777777" w:rsidR="00184A8E" w:rsidRPr="00184A8E" w:rsidRDefault="00184A8E" w:rsidP="00184A8E">
      <w:pPr>
        <w:rPr>
          <w:rFonts w:ascii="Arial" w:eastAsia="Calibri" w:hAnsi="Arial" w:cs="Arial"/>
          <w:sz w:val="20"/>
          <w:szCs w:val="20"/>
        </w:rPr>
      </w:pPr>
      <w:r w:rsidRPr="00184A8E">
        <w:rPr>
          <w:rFonts w:ascii="Arial" w:eastAsia="Calibri" w:hAnsi="Arial" w:cs="Arial"/>
          <w:sz w:val="20"/>
          <w:szCs w:val="20"/>
        </w:rPr>
        <w:br w:type="page"/>
      </w:r>
    </w:p>
    <w:p w14:paraId="3E907342"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592" w:name="_Toc435014688"/>
      <w:bookmarkStart w:id="593" w:name="_Toc200628535"/>
      <w:bookmarkStart w:id="594" w:name="_Toc232981467"/>
      <w:r w:rsidRPr="00184A8E">
        <w:rPr>
          <w:rFonts w:ascii="Times New Roman" w:eastAsia="Calibri" w:hAnsi="Times New Roman" w:cs="Times New Roman"/>
          <w:b/>
          <w:sz w:val="24"/>
          <w:szCs w:val="20"/>
          <w:lang w:eastAsia="en-US"/>
        </w:rPr>
        <w:lastRenderedPageBreak/>
        <w:t>Program (2103): Izgradnja i uređenje objekata javne namjene – socijalna skrb i zdravstvo</w:t>
      </w:r>
      <w:bookmarkEnd w:id="592"/>
      <w:bookmarkEnd w:id="593"/>
      <w:bookmarkEnd w:id="594"/>
    </w:p>
    <w:p w14:paraId="46A27AC6"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2986"/>
      </w:tblGrid>
      <w:tr w:rsidR="00184A8E" w:rsidRPr="00184A8E" w14:paraId="50E218E1" w14:textId="77777777" w:rsidTr="00410A4B">
        <w:tc>
          <w:tcPr>
            <w:tcW w:w="1439" w:type="dxa"/>
            <w:tcBorders>
              <w:top w:val="dotted" w:sz="4" w:space="0" w:color="auto"/>
              <w:left w:val="dotted" w:sz="4" w:space="0" w:color="auto"/>
              <w:bottom w:val="dotted" w:sz="4" w:space="0" w:color="auto"/>
              <w:right w:val="dotted" w:sz="4" w:space="0" w:color="auto"/>
            </w:tcBorders>
          </w:tcPr>
          <w:p w14:paraId="624CE8ED"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986" w:type="dxa"/>
            <w:tcBorders>
              <w:top w:val="dotted" w:sz="4" w:space="0" w:color="auto"/>
              <w:left w:val="dotted" w:sz="4" w:space="0" w:color="auto"/>
              <w:bottom w:val="dotted" w:sz="4" w:space="0" w:color="auto"/>
              <w:right w:val="dotted" w:sz="4" w:space="0" w:color="auto"/>
            </w:tcBorders>
          </w:tcPr>
          <w:p w14:paraId="3B90B4A0"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Ovaj program obuhvaća djelatnosti i poslove koji se odnose na unapređenje i očuvanje zdravlja, prevenciju bolesti svih dobnih skupina, te podizanje kvalitete zdravlja i života osjetljivih skupina (starije osobe). </w:t>
            </w:r>
          </w:p>
          <w:p w14:paraId="396E2083"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Se realizira u suradnji s ustanovama u vlasništvu Dubrovačko-neretvanske županije koje obavljaju poslove zdravstvene skrbi (ambulante) na području Općine (Zavod za javno zdravstvo Dubrovačko-neretvanske županije – RKP 31501, Dom zdravlja Dubrovnik – RKP 31712, Zavod za hitnu medicinu Dubrovačko-neretvanske županije – RKP 47300), kao i ustanovom - Dom za starije i nemoćne osobe Konavle.</w:t>
            </w:r>
          </w:p>
        </w:tc>
      </w:tr>
      <w:tr w:rsidR="00184A8E" w:rsidRPr="00184A8E" w14:paraId="638D0DDA" w14:textId="77777777" w:rsidTr="00410A4B">
        <w:tc>
          <w:tcPr>
            <w:tcW w:w="1439" w:type="dxa"/>
            <w:tcBorders>
              <w:top w:val="dotted" w:sz="4" w:space="0" w:color="auto"/>
              <w:left w:val="dotted" w:sz="4" w:space="0" w:color="auto"/>
              <w:bottom w:val="dotted" w:sz="4" w:space="0" w:color="auto"/>
              <w:right w:val="dotted" w:sz="4" w:space="0" w:color="auto"/>
            </w:tcBorders>
          </w:tcPr>
          <w:p w14:paraId="0CE16109" w14:textId="77777777" w:rsidR="00184A8E" w:rsidRPr="00184A8E" w:rsidRDefault="00184A8E" w:rsidP="00184A8E">
            <w:pPr>
              <w:spacing w:after="0" w:line="240" w:lineRule="auto"/>
              <w:jc w:val="both"/>
              <w:rPr>
                <w:rFonts w:ascii="Arial" w:eastAsia="Calibri" w:hAnsi="Arial" w:cs="Arial"/>
                <w:sz w:val="16"/>
                <w:szCs w:val="16"/>
                <w:lang w:eastAsia="en-US"/>
              </w:rPr>
            </w:pPr>
            <w:r w:rsidRPr="00184A8E">
              <w:rPr>
                <w:rFonts w:ascii="Arial" w:eastAsia="Calibri" w:hAnsi="Arial" w:cs="Arial"/>
                <w:sz w:val="16"/>
                <w:szCs w:val="16"/>
                <w:lang w:eastAsia="en-US"/>
              </w:rPr>
              <w:t>ZAKONSKE I DRUGE PRAVNE OSNOVE PROGRAMA:</w:t>
            </w:r>
          </w:p>
        </w:tc>
        <w:tc>
          <w:tcPr>
            <w:tcW w:w="12986" w:type="dxa"/>
            <w:tcBorders>
              <w:top w:val="dotted" w:sz="4" w:space="0" w:color="auto"/>
              <w:left w:val="dotted" w:sz="4" w:space="0" w:color="auto"/>
              <w:bottom w:val="dotted" w:sz="4" w:space="0" w:color="auto"/>
              <w:right w:val="dotted" w:sz="4" w:space="0" w:color="auto"/>
            </w:tcBorders>
          </w:tcPr>
          <w:p w14:paraId="3D543BF5"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rPr>
              <w:t>Zakon o lokalnoj i područnoj (regionalnoj) samoupravi (NN 33/01,60/01,129/05, 109/07,125/08, 36/09, 150/11, 144/12, 19/13, 137/15, 123/17, 98/19, 144/20), Zakon o socijalnoj skrbi (NN 18/22, 46/22, 119/22, 71/23, 156/23, 61/25), Zakon o ustanovama (NN 76/93, 29/97, 47/99, 35/08, 127/19, 151/22), Statut i drugi akti</w:t>
            </w:r>
          </w:p>
        </w:tc>
      </w:tr>
      <w:tr w:rsidR="00184A8E" w:rsidRPr="00184A8E" w14:paraId="579590BC" w14:textId="77777777" w:rsidTr="00410A4B">
        <w:tc>
          <w:tcPr>
            <w:tcW w:w="1439" w:type="dxa"/>
            <w:tcBorders>
              <w:top w:val="dotted" w:sz="4" w:space="0" w:color="auto"/>
              <w:left w:val="dotted" w:sz="4" w:space="0" w:color="auto"/>
              <w:bottom w:val="dotted" w:sz="4" w:space="0" w:color="auto"/>
              <w:right w:val="dotted" w:sz="4" w:space="0" w:color="auto"/>
            </w:tcBorders>
          </w:tcPr>
          <w:p w14:paraId="35595AF5"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2986" w:type="dxa"/>
            <w:tcBorders>
              <w:top w:val="dotted" w:sz="4" w:space="0" w:color="auto"/>
              <w:left w:val="dotted" w:sz="4" w:space="0" w:color="auto"/>
              <w:bottom w:val="dotted" w:sz="4" w:space="0" w:color="auto"/>
              <w:right w:val="dotted" w:sz="4" w:space="0" w:color="auto"/>
            </w:tcBorders>
          </w:tcPr>
          <w:p w14:paraId="40033F06"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Podizanje kvalitete života i stanovanja</w:t>
            </w:r>
          </w:p>
        </w:tc>
      </w:tr>
      <w:tr w:rsidR="00184A8E" w:rsidRPr="00184A8E" w14:paraId="6789C776" w14:textId="77777777" w:rsidTr="00410A4B">
        <w:tc>
          <w:tcPr>
            <w:tcW w:w="1439" w:type="dxa"/>
            <w:tcBorders>
              <w:top w:val="dotted" w:sz="4" w:space="0" w:color="auto"/>
              <w:left w:val="dotted" w:sz="4" w:space="0" w:color="auto"/>
              <w:bottom w:val="dotted" w:sz="4" w:space="0" w:color="auto"/>
              <w:right w:val="dotted" w:sz="4" w:space="0" w:color="auto"/>
            </w:tcBorders>
            <w:vAlign w:val="bottom"/>
          </w:tcPr>
          <w:p w14:paraId="1FDE680C"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2986" w:type="dxa"/>
            <w:tcBorders>
              <w:top w:val="dotted" w:sz="4" w:space="0" w:color="auto"/>
              <w:left w:val="dotted" w:sz="4" w:space="0" w:color="auto"/>
              <w:bottom w:val="dotted" w:sz="4" w:space="0" w:color="auto"/>
              <w:right w:val="dotted" w:sz="4" w:space="0" w:color="auto"/>
            </w:tcBorders>
            <w:vAlign w:val="bottom"/>
          </w:tcPr>
          <w:p w14:paraId="324A4F7B"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Poboljšati kvalitetu života osoba starije životne dobi kroz njihov smještaj u ustanovu u kojoj će kvalitetnije provoditi slobodno vrijeme i aktivno sudjelovati u životu zajednice. </w:t>
            </w:r>
          </w:p>
          <w:p w14:paraId="67D7E138"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Izbjegavanje neprimjerene i preuranjene institucionalizacije starijih i nemoćnih osoba, podizanje kvalitete života starijih osoba kojima treba tuđa pomoć i njega uz rješavanje problema socijalne izoliranosti i osamljenosti starijih, čuvanje funkcionalnih sposobnosti starijih osoba, uključivanje obitelji u organiziranu skrb.</w:t>
            </w:r>
          </w:p>
          <w:p w14:paraId="5FE822BE"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Ulaganje u dodatne usluge medicinske skrbi na području Općine, ovisno o izraženim potrebama stanovništva, te unapređenje kvalitete življenja osoba s posebnim potrebama i osoba s invaliditetom uređenjem prostora za nesmetan pristup javnim objektima, crkvama i sl.</w:t>
            </w:r>
          </w:p>
        </w:tc>
      </w:tr>
    </w:tbl>
    <w:p w14:paraId="2BB5DE0C" w14:textId="77777777" w:rsidR="00184A8E" w:rsidRPr="00184A8E" w:rsidRDefault="00184A8E" w:rsidP="00184A8E">
      <w:pPr>
        <w:spacing w:after="0" w:line="240" w:lineRule="auto"/>
        <w:jc w:val="both"/>
        <w:rPr>
          <w:rFonts w:ascii="Arial" w:eastAsia="Calibri" w:hAnsi="Arial" w:cs="Arial"/>
          <w:sz w:val="20"/>
          <w:szCs w:val="20"/>
          <w:lang w:eastAsia="en-US"/>
        </w:rPr>
      </w:pPr>
    </w:p>
    <w:p w14:paraId="7B144693"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53E47BE6" w14:textId="77777777" w:rsidR="00184A8E" w:rsidRPr="00184A8E" w:rsidRDefault="00184A8E" w:rsidP="00184A8E">
      <w:pPr>
        <w:spacing w:after="0" w:line="240" w:lineRule="auto"/>
        <w:rPr>
          <w:rFonts w:ascii="Arial" w:eastAsia="Calibri" w:hAnsi="Arial" w:cs="Arial"/>
          <w:sz w:val="20"/>
          <w:szCs w:val="20"/>
        </w:rPr>
      </w:pPr>
    </w:p>
    <w:p w14:paraId="7F720230" w14:textId="53DB4273"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53CAF142" w14:textId="77777777" w:rsidR="00184A8E" w:rsidRPr="00184A8E" w:rsidRDefault="00184A8E" w:rsidP="00184A8E">
      <w:pPr>
        <w:spacing w:after="0" w:line="240" w:lineRule="auto"/>
        <w:rPr>
          <w:rFonts w:ascii="Arial" w:eastAsia="Calibri" w:hAnsi="Arial" w:cs="Arial"/>
          <w:sz w:val="20"/>
          <w:szCs w:val="20"/>
        </w:rPr>
      </w:pPr>
    </w:p>
    <w:p w14:paraId="2B965AB4" w14:textId="03CA50EB" w:rsidR="00184A8E" w:rsidRPr="00184A8E" w:rsidRDefault="00E15369" w:rsidP="00184A8E">
      <w:pPr>
        <w:spacing w:after="0" w:line="240" w:lineRule="auto"/>
        <w:rPr>
          <w:rFonts w:ascii="Arial" w:eastAsia="Calibri" w:hAnsi="Arial" w:cs="Arial"/>
          <w:sz w:val="20"/>
          <w:szCs w:val="20"/>
        </w:rPr>
      </w:pPr>
      <w:r w:rsidRPr="00E15369">
        <w:rPr>
          <w:noProof/>
        </w:rPr>
        <w:drawing>
          <wp:inline distT="0" distB="0" distL="0" distR="0" wp14:anchorId="5075570A" wp14:editId="0857AA99">
            <wp:extent cx="9251950" cy="1749425"/>
            <wp:effectExtent l="0" t="0" r="6350" b="3175"/>
            <wp:docPr id="1651251439"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9251950" cy="1749425"/>
                    </a:xfrm>
                    <a:prstGeom prst="rect">
                      <a:avLst/>
                    </a:prstGeom>
                    <a:noFill/>
                    <a:ln>
                      <a:noFill/>
                    </a:ln>
                  </pic:spPr>
                </pic:pic>
              </a:graphicData>
            </a:graphic>
          </wp:inline>
        </w:drawing>
      </w:r>
    </w:p>
    <w:p w14:paraId="42226A2E"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3D5048CB"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4C0564AB"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05F3D48F" w14:textId="584A98B5"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lastRenderedPageBreak/>
        <w:t>Izvještaj o postignutim ciljevima i rezultatima programa temeljenim na pokazateljima uspješnosti u prethodnoj godini</w:t>
      </w:r>
      <w:r w:rsidRPr="00184A8E">
        <w:rPr>
          <w:rFonts w:ascii="Arial" w:eastAsia="Calibri" w:hAnsi="Arial" w:cs="Arial"/>
          <w:sz w:val="20"/>
          <w:szCs w:val="20"/>
          <w:lang w:eastAsia="en-US"/>
        </w:rPr>
        <w:t xml:space="preserve">: Izvršenje </w:t>
      </w:r>
      <w:r w:rsidR="00E15369">
        <w:rPr>
          <w:rFonts w:ascii="Arial" w:eastAsia="Calibri" w:hAnsi="Arial" w:cs="Arial"/>
          <w:sz w:val="20"/>
          <w:szCs w:val="20"/>
          <w:lang w:eastAsia="en-US"/>
        </w:rPr>
        <w:t>u okviru</w:t>
      </w:r>
      <w:r w:rsidRPr="00184A8E">
        <w:rPr>
          <w:rFonts w:ascii="Arial" w:eastAsia="Calibri" w:hAnsi="Arial" w:cs="Arial"/>
          <w:sz w:val="20"/>
          <w:szCs w:val="20"/>
          <w:lang w:eastAsia="en-US"/>
        </w:rPr>
        <w:t xml:space="preserve"> očekivanih vrijednosti.</w:t>
      </w:r>
    </w:p>
    <w:p w14:paraId="762E1CA8" w14:textId="77777777" w:rsidR="00184A8E" w:rsidRPr="00184A8E" w:rsidRDefault="00184A8E" w:rsidP="00184A8E">
      <w:pPr>
        <w:spacing w:after="0" w:line="240" w:lineRule="auto"/>
        <w:jc w:val="both"/>
        <w:rPr>
          <w:rFonts w:ascii="Arial" w:eastAsia="Calibri" w:hAnsi="Arial" w:cs="Arial"/>
          <w:sz w:val="20"/>
          <w:szCs w:val="20"/>
          <w:lang w:eastAsia="en-US"/>
        </w:rPr>
      </w:pPr>
    </w:p>
    <w:p w14:paraId="1C8D56D7" w14:textId="77777777" w:rsidR="00E15369" w:rsidRDefault="00E15369" w:rsidP="00184A8E">
      <w:pPr>
        <w:autoSpaceDE w:val="0"/>
        <w:autoSpaceDN w:val="0"/>
        <w:adjustRightInd w:val="0"/>
        <w:spacing w:after="0" w:line="240" w:lineRule="auto"/>
        <w:jc w:val="both"/>
        <w:rPr>
          <w:rFonts w:ascii="Arial" w:eastAsia="Calibri" w:hAnsi="Arial" w:cs="Arial"/>
          <w:sz w:val="20"/>
          <w:szCs w:val="20"/>
          <w:lang w:eastAsia="en-US"/>
        </w:rPr>
      </w:pPr>
      <w:r w:rsidRPr="00E15369">
        <w:rPr>
          <w:rFonts w:ascii="Arial" w:eastAsia="Calibri" w:hAnsi="Arial" w:cs="Arial"/>
          <w:sz w:val="20"/>
          <w:szCs w:val="20"/>
          <w:lang w:eastAsia="en-US"/>
        </w:rPr>
        <w:t xml:space="preserve">Unutar ovog programa 2103 su planirana sredstva u iznosu </w:t>
      </w:r>
      <w:r>
        <w:rPr>
          <w:rFonts w:ascii="Arial" w:eastAsia="Calibri" w:hAnsi="Arial" w:cs="Arial"/>
          <w:sz w:val="20"/>
          <w:szCs w:val="20"/>
          <w:lang w:eastAsia="en-US"/>
        </w:rPr>
        <w:t>53.175</w:t>
      </w:r>
      <w:r w:rsidRPr="00E15369">
        <w:rPr>
          <w:rFonts w:ascii="Arial" w:eastAsia="Calibri" w:hAnsi="Arial" w:cs="Arial"/>
          <w:sz w:val="20"/>
          <w:szCs w:val="20"/>
          <w:lang w:eastAsia="en-US"/>
        </w:rPr>
        <w:t xml:space="preserve"> € za 2025. godinu, te 25.000 € za 2026. i 25.000 € za 2027. godinu.</w:t>
      </w:r>
    </w:p>
    <w:p w14:paraId="00614B00" w14:textId="77777777" w:rsidR="00E15369" w:rsidRDefault="00E15369" w:rsidP="00184A8E">
      <w:pPr>
        <w:autoSpaceDE w:val="0"/>
        <w:autoSpaceDN w:val="0"/>
        <w:adjustRightInd w:val="0"/>
        <w:spacing w:after="0" w:line="240" w:lineRule="auto"/>
        <w:jc w:val="both"/>
        <w:rPr>
          <w:rFonts w:ascii="Arial" w:eastAsia="Calibri" w:hAnsi="Arial" w:cs="Arial"/>
          <w:sz w:val="20"/>
          <w:szCs w:val="20"/>
          <w:lang w:eastAsia="en-US"/>
        </w:rPr>
      </w:pPr>
    </w:p>
    <w:p w14:paraId="58D60352" w14:textId="0AB5A2CC"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Rashodi u 202</w:t>
      </w:r>
      <w:r w:rsidR="00E15369">
        <w:rPr>
          <w:rFonts w:ascii="Arial" w:eastAsia="Calibri" w:hAnsi="Arial" w:cs="Arial"/>
          <w:sz w:val="20"/>
          <w:szCs w:val="20"/>
          <w:lang w:eastAsia="en-US"/>
        </w:rPr>
        <w:t>5</w:t>
      </w:r>
      <w:r w:rsidRPr="00184A8E">
        <w:rPr>
          <w:rFonts w:ascii="Arial" w:eastAsia="Calibri" w:hAnsi="Arial" w:cs="Arial"/>
          <w:sz w:val="20"/>
          <w:szCs w:val="20"/>
          <w:lang w:eastAsia="en-US"/>
        </w:rPr>
        <w:t xml:space="preserve">. su izvršeni u iznosu </w:t>
      </w:r>
      <w:r w:rsidR="00E15369">
        <w:rPr>
          <w:rFonts w:ascii="Arial" w:eastAsia="Calibri" w:hAnsi="Arial" w:cs="Arial"/>
          <w:sz w:val="20"/>
          <w:szCs w:val="20"/>
          <w:lang w:eastAsia="en-US"/>
        </w:rPr>
        <w:t>53.166,88</w:t>
      </w:r>
      <w:r w:rsidRPr="00184A8E">
        <w:rPr>
          <w:rFonts w:ascii="Arial" w:eastAsia="Calibri" w:hAnsi="Arial" w:cs="Arial"/>
          <w:sz w:val="20"/>
          <w:szCs w:val="20"/>
          <w:lang w:eastAsia="en-US"/>
        </w:rPr>
        <w:t xml:space="preserve"> € ili </w:t>
      </w:r>
      <w:r w:rsidR="00E15369">
        <w:rPr>
          <w:rFonts w:ascii="Arial" w:eastAsia="Calibri" w:hAnsi="Arial" w:cs="Arial"/>
          <w:sz w:val="20"/>
          <w:szCs w:val="20"/>
          <w:lang w:eastAsia="en-US"/>
        </w:rPr>
        <w:t>100</w:t>
      </w:r>
      <w:r w:rsidRPr="00184A8E">
        <w:rPr>
          <w:rFonts w:ascii="Arial" w:eastAsia="Calibri" w:hAnsi="Arial" w:cs="Arial"/>
          <w:sz w:val="20"/>
          <w:szCs w:val="20"/>
          <w:lang w:eastAsia="en-US"/>
        </w:rPr>
        <w:t xml:space="preserve">%. </w:t>
      </w:r>
    </w:p>
    <w:p w14:paraId="254A56E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2FF3B368"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33366311"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p>
    <w:p w14:paraId="48834530" w14:textId="77777777" w:rsidR="00184A8E" w:rsidRPr="00184A8E" w:rsidRDefault="00184A8E" w:rsidP="00184A8E">
      <w:pPr>
        <w:spacing w:after="0" w:line="240" w:lineRule="auto"/>
        <w:rPr>
          <w:rFonts w:ascii="Arial" w:eastAsia="Calibri" w:hAnsi="Arial" w:cs="Arial"/>
          <w:sz w:val="20"/>
          <w:szCs w:val="20"/>
        </w:rPr>
      </w:pPr>
      <w:r w:rsidRPr="00184A8E">
        <w:rPr>
          <w:rFonts w:ascii="Arial" w:eastAsia="Calibri" w:hAnsi="Arial" w:cs="Arial"/>
          <w:sz w:val="20"/>
          <w:szCs w:val="20"/>
        </w:rPr>
        <w:t>Unutar programa su planirane slijedeće aktivnosti i projekti:</w:t>
      </w:r>
    </w:p>
    <w:p w14:paraId="6F021D3F" w14:textId="77777777" w:rsidR="00184A8E" w:rsidRPr="00184A8E" w:rsidRDefault="00184A8E" w:rsidP="00184A8E">
      <w:pPr>
        <w:spacing w:after="0" w:line="240" w:lineRule="auto"/>
        <w:rPr>
          <w:rFonts w:ascii="Arial" w:eastAsia="Calibri" w:hAnsi="Arial" w:cs="Arial"/>
          <w:sz w:val="20"/>
          <w:szCs w:val="20"/>
        </w:rPr>
      </w:pPr>
    </w:p>
    <w:p w14:paraId="3F28FFC9" w14:textId="77777777" w:rsidR="00184A8E" w:rsidRPr="00184A8E" w:rsidRDefault="00184A8E" w:rsidP="00184A8E">
      <w:pPr>
        <w:spacing w:after="0" w:line="240" w:lineRule="auto"/>
        <w:rPr>
          <w:rFonts w:ascii="Arial" w:eastAsia="Calibri" w:hAnsi="Arial" w:cs="Arial"/>
          <w:sz w:val="20"/>
          <w:szCs w:val="20"/>
        </w:rPr>
      </w:pPr>
      <w:r w:rsidRPr="00184A8E">
        <w:rPr>
          <w:rFonts w:ascii="Arial" w:eastAsia="Calibri" w:hAnsi="Arial" w:cs="Arial"/>
          <w:b/>
          <w:sz w:val="20"/>
          <w:szCs w:val="20"/>
        </w:rPr>
        <w:t>1. K210301: Izgradnja Doma za starije i nemoćne osobe na Grudi</w:t>
      </w:r>
      <w:r w:rsidRPr="00184A8E">
        <w:rPr>
          <w:rFonts w:ascii="Arial" w:eastAsia="Calibri" w:hAnsi="Arial" w:cs="Arial"/>
          <w:sz w:val="20"/>
          <w:szCs w:val="20"/>
        </w:rPr>
        <w:t xml:space="preserve"> - Investicija završena, zgrada dobila uporabnu dozvolu i dom započeo s radom u srpnju 2016. Rashodi unutar ovog projekta se više ne planiraju.</w:t>
      </w:r>
    </w:p>
    <w:p w14:paraId="22E98C47" w14:textId="77777777" w:rsidR="00184A8E" w:rsidRPr="00184A8E" w:rsidRDefault="00184A8E" w:rsidP="00184A8E">
      <w:pPr>
        <w:spacing w:after="0" w:line="240" w:lineRule="auto"/>
        <w:jc w:val="both"/>
        <w:rPr>
          <w:rFonts w:ascii="Arial" w:eastAsia="Calibri" w:hAnsi="Arial" w:cs="Arial"/>
          <w:bCs/>
          <w:sz w:val="20"/>
          <w:szCs w:val="20"/>
        </w:rPr>
      </w:pPr>
    </w:p>
    <w:p w14:paraId="74B7337E" w14:textId="47BD8B35"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2. K210302: Ulaganja u zdravstvene ustanove – ambulante</w:t>
      </w:r>
      <w:r w:rsidRPr="00184A8E">
        <w:rPr>
          <w:rFonts w:ascii="Arial" w:eastAsia="Calibri" w:hAnsi="Arial" w:cs="Arial"/>
          <w:sz w:val="20"/>
          <w:szCs w:val="20"/>
          <w:lang w:eastAsia="en-US"/>
        </w:rPr>
        <w:t xml:space="preserve"> - Planirana sredstva za provođenje navedenog projekta iznose </w:t>
      </w:r>
      <w:r w:rsidR="00E15369">
        <w:rPr>
          <w:rFonts w:ascii="Arial" w:eastAsia="Calibri" w:hAnsi="Arial" w:cs="Arial"/>
          <w:sz w:val="20"/>
          <w:szCs w:val="20"/>
          <w:lang w:eastAsia="en-US"/>
        </w:rPr>
        <w:t>43.100</w:t>
      </w:r>
      <w:r w:rsidRPr="00184A8E">
        <w:rPr>
          <w:rFonts w:ascii="Arial" w:eastAsia="Calibri" w:hAnsi="Arial" w:cs="Arial"/>
          <w:sz w:val="20"/>
          <w:szCs w:val="20"/>
          <w:lang w:eastAsia="en-US"/>
        </w:rPr>
        <w:t xml:space="preserve"> € za uređenje prostora ambulanti koji koriste općinski prostor</w:t>
      </w:r>
      <w:r w:rsidR="00E15369">
        <w:rPr>
          <w:rFonts w:ascii="Arial" w:eastAsia="Calibri" w:hAnsi="Arial" w:cs="Arial"/>
          <w:sz w:val="20"/>
          <w:szCs w:val="20"/>
          <w:lang w:eastAsia="en-US"/>
        </w:rPr>
        <w:t xml:space="preserve"> i nabavu sanitetskog vozila</w:t>
      </w:r>
      <w:r w:rsidRPr="00184A8E">
        <w:rPr>
          <w:rFonts w:ascii="Arial" w:eastAsia="Calibri" w:hAnsi="Arial" w:cs="Arial"/>
          <w:sz w:val="20"/>
          <w:szCs w:val="20"/>
          <w:lang w:eastAsia="en-US"/>
        </w:rPr>
        <w:t xml:space="preserve">. Rashodi su izvršeni u iznosu </w:t>
      </w:r>
      <w:r w:rsidR="00E15369">
        <w:rPr>
          <w:rFonts w:ascii="Arial" w:eastAsia="Calibri" w:hAnsi="Arial" w:cs="Arial"/>
          <w:sz w:val="20"/>
          <w:szCs w:val="20"/>
          <w:lang w:eastAsia="en-US"/>
        </w:rPr>
        <w:t>43.096,25</w:t>
      </w:r>
      <w:r w:rsidRPr="00184A8E">
        <w:rPr>
          <w:rFonts w:ascii="Arial" w:eastAsia="Calibri" w:hAnsi="Arial" w:cs="Arial"/>
          <w:sz w:val="20"/>
          <w:szCs w:val="20"/>
          <w:lang w:eastAsia="en-US"/>
        </w:rPr>
        <w:t xml:space="preserve"> €.</w:t>
      </w:r>
    </w:p>
    <w:p w14:paraId="333F4F5A" w14:textId="77777777" w:rsidR="00184A8E" w:rsidRPr="00184A8E" w:rsidRDefault="00184A8E" w:rsidP="00184A8E">
      <w:pPr>
        <w:spacing w:after="0" w:line="240" w:lineRule="auto"/>
        <w:jc w:val="both"/>
        <w:rPr>
          <w:rFonts w:ascii="Arial" w:eastAsia="Calibri" w:hAnsi="Arial" w:cs="Arial"/>
          <w:sz w:val="16"/>
          <w:szCs w:val="16"/>
          <w:lang w:eastAsia="en-US"/>
        </w:rPr>
      </w:pPr>
    </w:p>
    <w:p w14:paraId="021731D2" w14:textId="5B6EF13F"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Izvršeni rashodi u 202</w:t>
      </w:r>
      <w:r w:rsidR="002A6CC3">
        <w:rPr>
          <w:rFonts w:ascii="Arial" w:eastAsia="Calibri" w:hAnsi="Arial" w:cs="Arial"/>
          <w:sz w:val="20"/>
          <w:szCs w:val="20"/>
          <w:lang w:eastAsia="en-US"/>
        </w:rPr>
        <w:t>5</w:t>
      </w:r>
      <w:r w:rsidRPr="00184A8E">
        <w:rPr>
          <w:rFonts w:ascii="Arial" w:eastAsia="Calibri" w:hAnsi="Arial" w:cs="Arial"/>
          <w:sz w:val="20"/>
          <w:szCs w:val="20"/>
          <w:lang w:eastAsia="en-US"/>
        </w:rPr>
        <w:t xml:space="preserve">. u iznosu </w:t>
      </w:r>
      <w:r w:rsidR="002A6CC3">
        <w:rPr>
          <w:rFonts w:ascii="Arial" w:eastAsia="Calibri" w:hAnsi="Arial" w:cs="Arial"/>
          <w:sz w:val="20"/>
          <w:szCs w:val="20"/>
          <w:lang w:eastAsia="en-US"/>
        </w:rPr>
        <w:t>43.096,25</w:t>
      </w:r>
      <w:r w:rsidRPr="00184A8E">
        <w:rPr>
          <w:rFonts w:ascii="Arial" w:eastAsia="Calibri" w:hAnsi="Arial" w:cs="Arial"/>
          <w:sz w:val="20"/>
          <w:szCs w:val="20"/>
          <w:lang w:eastAsia="en-US"/>
        </w:rPr>
        <w:t xml:space="preserve"> € se odnose na </w:t>
      </w:r>
      <w:r w:rsidR="00902189">
        <w:rPr>
          <w:rFonts w:ascii="Arial" w:eastAsia="Calibri" w:hAnsi="Arial" w:cs="Arial"/>
          <w:sz w:val="20"/>
          <w:szCs w:val="20"/>
          <w:lang w:eastAsia="en-US"/>
        </w:rPr>
        <w:t xml:space="preserve">odčepljivanje instalacija i </w:t>
      </w:r>
      <w:r w:rsidRPr="00184A8E">
        <w:rPr>
          <w:rFonts w:ascii="Arial" w:eastAsia="Calibri" w:hAnsi="Arial" w:cs="Arial"/>
          <w:sz w:val="20"/>
          <w:szCs w:val="20"/>
          <w:lang w:eastAsia="en-US"/>
        </w:rPr>
        <w:t xml:space="preserve">radove uređenja dijela prostora u ambulanti </w:t>
      </w:r>
      <w:r w:rsidR="002A6CC3">
        <w:rPr>
          <w:rFonts w:ascii="Arial" w:eastAsia="Calibri" w:hAnsi="Arial" w:cs="Arial"/>
          <w:sz w:val="20"/>
          <w:szCs w:val="20"/>
          <w:lang w:eastAsia="en-US"/>
        </w:rPr>
        <w:t>na Grudi 13.096,25 € (bojanje i čišćenje fasade ugovoreno 17.301,25 € u srpnju 2025.</w:t>
      </w:r>
      <w:r w:rsidR="00902189">
        <w:rPr>
          <w:rFonts w:ascii="Arial" w:eastAsia="Calibri" w:hAnsi="Arial" w:cs="Arial"/>
          <w:sz w:val="20"/>
          <w:szCs w:val="20"/>
          <w:lang w:eastAsia="en-US"/>
        </w:rPr>
        <w:t>, a izvršeni radovi prema prvoj situaciji iznose 12.821,25 €</w:t>
      </w:r>
      <w:r w:rsidR="002A6CC3">
        <w:rPr>
          <w:rFonts w:ascii="Arial" w:eastAsia="Calibri" w:hAnsi="Arial" w:cs="Arial"/>
          <w:sz w:val="20"/>
          <w:szCs w:val="20"/>
          <w:lang w:eastAsia="en-US"/>
        </w:rPr>
        <w:t>)</w:t>
      </w:r>
      <w:r w:rsidRPr="00184A8E">
        <w:rPr>
          <w:rFonts w:ascii="Arial" w:eastAsia="Calibri" w:hAnsi="Arial" w:cs="Arial"/>
          <w:sz w:val="20"/>
          <w:szCs w:val="20"/>
          <w:lang w:eastAsia="en-US"/>
        </w:rPr>
        <w:t xml:space="preserve">, </w:t>
      </w:r>
      <w:r w:rsidR="002A6CC3">
        <w:rPr>
          <w:rFonts w:ascii="Arial" w:eastAsia="Calibri" w:hAnsi="Arial" w:cs="Arial"/>
          <w:sz w:val="20"/>
          <w:szCs w:val="20"/>
          <w:lang w:eastAsia="en-US"/>
        </w:rPr>
        <w:t>te donaciju sredstava u iznosu 30.000 € za nabavu vozila za sanitetski prijevoz Zavodu za hitnu medicinu Dubrovačko neretvanske županije.</w:t>
      </w:r>
    </w:p>
    <w:p w14:paraId="4EDEF6BE" w14:textId="77777777" w:rsidR="00184A8E" w:rsidRPr="00184A8E" w:rsidRDefault="00184A8E" w:rsidP="00184A8E">
      <w:pPr>
        <w:spacing w:after="0" w:line="240" w:lineRule="auto"/>
        <w:jc w:val="both"/>
        <w:rPr>
          <w:rFonts w:ascii="Arial" w:eastAsia="Calibri" w:hAnsi="Arial" w:cs="Arial"/>
          <w:sz w:val="18"/>
          <w:szCs w:val="18"/>
          <w:lang w:eastAsia="en-US"/>
        </w:rPr>
      </w:pPr>
    </w:p>
    <w:tbl>
      <w:tblPr>
        <w:tblStyle w:val="Reetkatablice5368"/>
        <w:tblW w:w="14024" w:type="dxa"/>
        <w:jc w:val="center"/>
        <w:tblLayout w:type="fixed"/>
        <w:tblLook w:val="04A0" w:firstRow="1" w:lastRow="0" w:firstColumn="1" w:lastColumn="0" w:noHBand="0" w:noVBand="1"/>
      </w:tblPr>
      <w:tblGrid>
        <w:gridCol w:w="2557"/>
        <w:gridCol w:w="3141"/>
        <w:gridCol w:w="958"/>
        <w:gridCol w:w="1134"/>
        <w:gridCol w:w="1232"/>
        <w:gridCol w:w="1276"/>
        <w:gridCol w:w="1242"/>
        <w:gridCol w:w="1242"/>
        <w:gridCol w:w="1242"/>
      </w:tblGrid>
      <w:tr w:rsidR="00184A8E" w:rsidRPr="00184A8E" w14:paraId="78433CCA" w14:textId="77777777" w:rsidTr="00410A4B">
        <w:trPr>
          <w:jc w:val="center"/>
        </w:trPr>
        <w:tc>
          <w:tcPr>
            <w:tcW w:w="255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AACAC5E"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Pokazatelj rezultata</w:t>
            </w:r>
          </w:p>
        </w:tc>
        <w:tc>
          <w:tcPr>
            <w:tcW w:w="314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D5D7EB9"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6D33A3F"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06E8830"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B6B524F" w14:textId="1E9C1263"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Polazna vrijednost 202</w:t>
            </w:r>
            <w:r w:rsidR="002A6CC3">
              <w:rPr>
                <w:rFonts w:ascii="Arial" w:eastAsia="Calibri" w:hAnsi="Arial" w:cs="Arial"/>
                <w:sz w:val="18"/>
                <w:szCs w:val="18"/>
              </w:rPr>
              <w:t>4</w:t>
            </w:r>
            <w:r w:rsidRPr="00184A8E">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F41755E" w14:textId="725A835A"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w:t>
            </w:r>
            <w:r w:rsidR="002A6CC3">
              <w:rPr>
                <w:rFonts w:ascii="Arial" w:eastAsia="Calibri" w:hAnsi="Arial" w:cs="Arial"/>
                <w:sz w:val="18"/>
                <w:szCs w:val="18"/>
              </w:rPr>
              <w:t>25</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D407ABB" w14:textId="5053AA2A"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Izvršeno 20</w:t>
            </w:r>
            <w:r w:rsidR="002A6CC3">
              <w:rPr>
                <w:rFonts w:ascii="Arial" w:eastAsia="Calibri" w:hAnsi="Arial" w:cs="Arial"/>
                <w:sz w:val="18"/>
                <w:szCs w:val="18"/>
              </w:rPr>
              <w:t>25</w:t>
            </w:r>
            <w:r w:rsidRPr="00184A8E">
              <w:rPr>
                <w:rFonts w:ascii="Arial" w:eastAsia="Calibri" w:hAnsi="Arial" w:cs="Arial"/>
                <w:sz w:val="18"/>
                <w:szCs w:val="18"/>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DB11AD8" w14:textId="6AEF9D06"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2A6CC3">
              <w:rPr>
                <w:rFonts w:ascii="Arial" w:eastAsia="Calibri" w:hAnsi="Arial" w:cs="Arial"/>
                <w:sz w:val="18"/>
                <w:szCs w:val="18"/>
              </w:rPr>
              <w:t>6</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E5FB22D" w14:textId="7BEA9BDD"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2A6CC3">
              <w:rPr>
                <w:rFonts w:ascii="Arial" w:eastAsia="Calibri" w:hAnsi="Arial" w:cs="Arial"/>
                <w:sz w:val="18"/>
                <w:szCs w:val="18"/>
              </w:rPr>
              <w:t>7</w:t>
            </w:r>
            <w:r w:rsidRPr="00184A8E">
              <w:rPr>
                <w:rFonts w:ascii="Arial" w:eastAsia="Calibri" w:hAnsi="Arial" w:cs="Arial"/>
                <w:sz w:val="18"/>
                <w:szCs w:val="18"/>
              </w:rPr>
              <w:t>.</w:t>
            </w:r>
          </w:p>
        </w:tc>
      </w:tr>
      <w:tr w:rsidR="00184A8E" w:rsidRPr="00184A8E" w14:paraId="522213E1" w14:textId="77777777" w:rsidTr="00410A4B">
        <w:trPr>
          <w:trHeight w:val="273"/>
          <w:jc w:val="center"/>
        </w:trPr>
        <w:tc>
          <w:tcPr>
            <w:tcW w:w="2557" w:type="dxa"/>
            <w:tcBorders>
              <w:top w:val="single" w:sz="4" w:space="0" w:color="auto"/>
              <w:left w:val="single" w:sz="4" w:space="0" w:color="auto"/>
              <w:bottom w:val="single" w:sz="4" w:space="0" w:color="auto"/>
              <w:right w:val="single" w:sz="4" w:space="0" w:color="auto"/>
            </w:tcBorders>
            <w:vAlign w:val="center"/>
          </w:tcPr>
          <w:p w14:paraId="4680066C" w14:textId="77777777" w:rsidR="00184A8E" w:rsidRPr="00184A8E" w:rsidRDefault="00184A8E" w:rsidP="00184A8E">
            <w:pPr>
              <w:rPr>
                <w:rFonts w:ascii="Arial" w:hAnsi="Arial" w:cs="Arial"/>
                <w:sz w:val="16"/>
                <w:szCs w:val="16"/>
              </w:rPr>
            </w:pPr>
            <w:r w:rsidRPr="00184A8E">
              <w:rPr>
                <w:rFonts w:ascii="Arial" w:hAnsi="Arial" w:cs="Arial"/>
                <w:sz w:val="16"/>
                <w:szCs w:val="16"/>
              </w:rPr>
              <w:t xml:space="preserve">Izvršavanje kapitalnih pomoći za nabavu opreme </w:t>
            </w:r>
          </w:p>
        </w:tc>
        <w:tc>
          <w:tcPr>
            <w:tcW w:w="3141" w:type="dxa"/>
            <w:tcBorders>
              <w:top w:val="single" w:sz="4" w:space="0" w:color="auto"/>
              <w:left w:val="single" w:sz="4" w:space="0" w:color="auto"/>
              <w:bottom w:val="single" w:sz="4" w:space="0" w:color="auto"/>
              <w:right w:val="single" w:sz="4" w:space="0" w:color="auto"/>
            </w:tcBorders>
            <w:vAlign w:val="center"/>
          </w:tcPr>
          <w:p w14:paraId="38832C96" w14:textId="77777777" w:rsidR="00184A8E" w:rsidRPr="00184A8E" w:rsidRDefault="00184A8E" w:rsidP="00184A8E">
            <w:pPr>
              <w:autoSpaceDE w:val="0"/>
              <w:autoSpaceDN w:val="0"/>
              <w:adjustRightInd w:val="0"/>
              <w:rPr>
                <w:rFonts w:ascii="Arial" w:hAnsi="Arial" w:cs="Arial"/>
                <w:sz w:val="16"/>
                <w:szCs w:val="16"/>
              </w:rPr>
            </w:pPr>
            <w:r w:rsidRPr="00184A8E">
              <w:rPr>
                <w:rFonts w:ascii="Arial" w:hAnsi="Arial" w:cs="Arial"/>
                <w:sz w:val="16"/>
                <w:szCs w:val="16"/>
              </w:rPr>
              <w:t>Postotak izvršenja rashoda za nabavu opreme / vozila za zdravstvene ustanove koje obavljaju usluge na području Općine</w:t>
            </w:r>
          </w:p>
        </w:tc>
        <w:tc>
          <w:tcPr>
            <w:tcW w:w="958" w:type="dxa"/>
            <w:tcBorders>
              <w:top w:val="single" w:sz="4" w:space="0" w:color="auto"/>
              <w:left w:val="single" w:sz="4" w:space="0" w:color="auto"/>
              <w:bottom w:val="single" w:sz="4" w:space="0" w:color="auto"/>
              <w:right w:val="single" w:sz="4" w:space="0" w:color="auto"/>
            </w:tcBorders>
            <w:vAlign w:val="center"/>
          </w:tcPr>
          <w:p w14:paraId="1B5237AF"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3C2EE919"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EB14A95"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287228D" w14:textId="58C2D1DB" w:rsidR="00184A8E" w:rsidRPr="00184A8E" w:rsidRDefault="00902189" w:rsidP="00184A8E">
            <w:pPr>
              <w:jc w:val="center"/>
              <w:rPr>
                <w:rFonts w:ascii="Arial" w:hAnsi="Arial" w:cs="Arial"/>
                <w:sz w:val="18"/>
                <w:szCs w:val="18"/>
              </w:rPr>
            </w:pPr>
            <w:r>
              <w:rPr>
                <w:rFonts w:ascii="Arial"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270DFDF7" w14:textId="77777777" w:rsidR="00184A8E" w:rsidRDefault="00902189" w:rsidP="00184A8E">
            <w:pPr>
              <w:jc w:val="center"/>
              <w:rPr>
                <w:rFonts w:ascii="Arial" w:hAnsi="Arial" w:cs="Arial"/>
                <w:sz w:val="18"/>
                <w:szCs w:val="18"/>
              </w:rPr>
            </w:pPr>
            <w:r>
              <w:rPr>
                <w:rFonts w:ascii="Arial" w:hAnsi="Arial" w:cs="Arial"/>
                <w:sz w:val="18"/>
                <w:szCs w:val="18"/>
              </w:rPr>
              <w:t>100</w:t>
            </w:r>
          </w:p>
          <w:p w14:paraId="35454EC5" w14:textId="6209C16C" w:rsidR="00902189" w:rsidRPr="00184A8E" w:rsidRDefault="00902189" w:rsidP="00184A8E">
            <w:pPr>
              <w:jc w:val="center"/>
              <w:rPr>
                <w:rFonts w:ascii="Arial" w:hAnsi="Arial" w:cs="Arial"/>
                <w:sz w:val="18"/>
                <w:szCs w:val="18"/>
              </w:rPr>
            </w:pPr>
            <w:r>
              <w:rPr>
                <w:rFonts w:ascii="Arial" w:hAnsi="Arial" w:cs="Arial"/>
                <w:sz w:val="18"/>
                <w:szCs w:val="18"/>
              </w:rPr>
              <w:t>(sredstva za 1 vozilo)</w:t>
            </w:r>
          </w:p>
        </w:tc>
        <w:tc>
          <w:tcPr>
            <w:tcW w:w="1242" w:type="dxa"/>
            <w:tcBorders>
              <w:top w:val="single" w:sz="4" w:space="0" w:color="000000"/>
              <w:left w:val="single" w:sz="4" w:space="0" w:color="000000"/>
              <w:bottom w:val="single" w:sz="4" w:space="0" w:color="000000"/>
              <w:right w:val="single" w:sz="4" w:space="0" w:color="000000"/>
            </w:tcBorders>
            <w:vAlign w:val="center"/>
          </w:tcPr>
          <w:p w14:paraId="3EEBA359"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70E6679E"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r>
    </w:tbl>
    <w:p w14:paraId="006185C5" w14:textId="77777777" w:rsidR="00184A8E" w:rsidRPr="00184A8E" w:rsidRDefault="00184A8E" w:rsidP="00184A8E">
      <w:pPr>
        <w:spacing w:after="0" w:line="240" w:lineRule="auto"/>
        <w:jc w:val="both"/>
        <w:rPr>
          <w:rFonts w:ascii="Arial" w:eastAsia="Calibri" w:hAnsi="Arial" w:cs="Arial"/>
          <w:bCs/>
          <w:sz w:val="20"/>
          <w:szCs w:val="20"/>
          <w:lang w:eastAsia="en-US"/>
        </w:rPr>
      </w:pPr>
    </w:p>
    <w:p w14:paraId="6C5B522D" w14:textId="77777777" w:rsidR="00902189"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3. T210303: Uređenje prostora s ciljem unapređenja kvalitete življenja osoba s posebnim potrebama, osoba s invaliditetom</w:t>
      </w:r>
      <w:r w:rsidRPr="00184A8E">
        <w:rPr>
          <w:rFonts w:ascii="Arial" w:eastAsia="Calibri" w:hAnsi="Arial" w:cs="Arial"/>
          <w:sz w:val="20"/>
          <w:szCs w:val="20"/>
          <w:lang w:eastAsia="en-US"/>
        </w:rPr>
        <w:t xml:space="preserve"> - Planirana sredstva za provođenje navedenog projekta iznose </w:t>
      </w:r>
      <w:r w:rsidR="00902189">
        <w:rPr>
          <w:rFonts w:ascii="Arial" w:eastAsia="Calibri" w:hAnsi="Arial" w:cs="Arial"/>
          <w:sz w:val="20"/>
          <w:szCs w:val="20"/>
          <w:lang w:eastAsia="en-US"/>
        </w:rPr>
        <w:t>10.075</w:t>
      </w:r>
      <w:r w:rsidRPr="00184A8E">
        <w:rPr>
          <w:rFonts w:ascii="Arial" w:eastAsia="Calibri" w:hAnsi="Arial" w:cs="Arial"/>
          <w:sz w:val="20"/>
          <w:szCs w:val="20"/>
          <w:lang w:eastAsia="en-US"/>
        </w:rPr>
        <w:t xml:space="preserve"> €. Planirani rashodi se, između ostalog, odnose na postavljanje pristupnih rampi ispred javnih objekata i slično, te održavanje postavljenih liftera za invalide (lifteri namijenjeni osobama s invaliditetom i teško pokretljivim osobama kako bi im se omogućio lakši pristup moru). Rashodi su izvršeni u iznosu </w:t>
      </w:r>
      <w:r w:rsidR="00902189">
        <w:rPr>
          <w:rFonts w:ascii="Arial" w:eastAsia="Calibri" w:hAnsi="Arial" w:cs="Arial"/>
          <w:sz w:val="20"/>
          <w:szCs w:val="20"/>
          <w:lang w:eastAsia="en-US"/>
        </w:rPr>
        <w:t>10.070,63</w:t>
      </w:r>
      <w:r w:rsidRPr="00184A8E">
        <w:rPr>
          <w:rFonts w:ascii="Arial" w:eastAsia="Calibri" w:hAnsi="Arial" w:cs="Arial"/>
          <w:sz w:val="20"/>
          <w:szCs w:val="20"/>
          <w:lang w:eastAsia="en-US"/>
        </w:rPr>
        <w:t xml:space="preserve"> € i odnose se na</w:t>
      </w:r>
      <w:r w:rsidR="00902189">
        <w:rPr>
          <w:rFonts w:ascii="Arial" w:eastAsia="Calibri" w:hAnsi="Arial" w:cs="Arial"/>
          <w:sz w:val="20"/>
          <w:szCs w:val="20"/>
          <w:lang w:eastAsia="en-US"/>
        </w:rPr>
        <w:t>:</w:t>
      </w:r>
    </w:p>
    <w:p w14:paraId="385580AD" w14:textId="578E4579" w:rsidR="00184A8E" w:rsidRDefault="00902189" w:rsidP="00184A8E">
      <w:pPr>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w:t>
      </w:r>
      <w:r w:rsidR="00184A8E" w:rsidRPr="00184A8E">
        <w:rPr>
          <w:rFonts w:ascii="Arial" w:eastAsia="Calibri" w:hAnsi="Arial" w:cs="Arial"/>
          <w:sz w:val="20"/>
          <w:szCs w:val="20"/>
          <w:lang w:eastAsia="en-US"/>
        </w:rPr>
        <w:t xml:space="preserve"> održavanje lifta za invalide u Cavtatu, te lifta za invalide u Moluntu</w:t>
      </w:r>
      <w:r>
        <w:rPr>
          <w:rFonts w:ascii="Arial" w:eastAsia="Calibri" w:hAnsi="Arial" w:cs="Arial"/>
          <w:sz w:val="20"/>
          <w:szCs w:val="20"/>
          <w:lang w:eastAsia="en-US"/>
        </w:rPr>
        <w:t xml:space="preserve"> u iznosu 2.875 €,</w:t>
      </w:r>
    </w:p>
    <w:p w14:paraId="344BF662" w14:textId="4BB4A06E" w:rsidR="00902189" w:rsidRDefault="00902189" w:rsidP="00184A8E">
      <w:pPr>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 xml:space="preserve">- građevinske radove izrade rampe za invalide kod igrališta u Čilipima 7.195,63 €. </w:t>
      </w:r>
    </w:p>
    <w:p w14:paraId="78DEFC9A" w14:textId="77777777" w:rsidR="00902189" w:rsidRPr="00184A8E" w:rsidRDefault="00902189" w:rsidP="00184A8E">
      <w:pPr>
        <w:spacing w:after="0" w:line="240" w:lineRule="auto"/>
        <w:jc w:val="both"/>
        <w:rPr>
          <w:rFonts w:ascii="Arial" w:eastAsia="Calibri" w:hAnsi="Arial" w:cs="Arial"/>
          <w:sz w:val="20"/>
          <w:szCs w:val="20"/>
          <w:lang w:eastAsia="en-US"/>
        </w:rPr>
      </w:pPr>
    </w:p>
    <w:p w14:paraId="433649D6" w14:textId="77777777" w:rsidR="00184A8E" w:rsidRPr="00184A8E" w:rsidRDefault="00184A8E" w:rsidP="00184A8E">
      <w:pPr>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 2018. nabavljen je lift za invalide na plaži koju koristi i hotel „Croatia“, te se isti svake godine održava. Lift za invalide na plaži u Moluntu je postavila Dubrovačko – neretvanska županija, a Općina ima obvezu održavanja lifta.</w:t>
      </w: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04EECEE0"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4BB6891"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4A743A3"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FDAB08F"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3B450F8"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792E69B" w14:textId="5A5A452D"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Polazna vrijednost 202</w:t>
            </w:r>
            <w:r w:rsidR="00902189">
              <w:rPr>
                <w:rFonts w:ascii="Arial" w:eastAsia="Calibri" w:hAnsi="Arial" w:cs="Arial"/>
                <w:sz w:val="18"/>
                <w:szCs w:val="18"/>
              </w:rPr>
              <w:t>4</w:t>
            </w:r>
            <w:r w:rsidRPr="00184A8E">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9A577BD" w14:textId="6B260183"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902189">
              <w:rPr>
                <w:rFonts w:ascii="Arial" w:eastAsia="Calibri" w:hAnsi="Arial" w:cs="Arial"/>
                <w:sz w:val="18"/>
                <w:szCs w:val="18"/>
              </w:rPr>
              <w:t>5</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BEF66AD" w14:textId="39AE03E1"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Izvršeno 202</w:t>
            </w:r>
            <w:r w:rsidR="00902189">
              <w:rPr>
                <w:rFonts w:ascii="Arial" w:eastAsia="Calibri" w:hAnsi="Arial" w:cs="Arial"/>
                <w:sz w:val="18"/>
                <w:szCs w:val="18"/>
              </w:rPr>
              <w:t>5</w:t>
            </w:r>
            <w:r w:rsidRPr="00184A8E">
              <w:rPr>
                <w:rFonts w:ascii="Arial" w:eastAsia="Calibri" w:hAnsi="Arial" w:cs="Arial"/>
                <w:sz w:val="18"/>
                <w:szCs w:val="18"/>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A42CC98" w14:textId="63232AAB"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902189">
              <w:rPr>
                <w:rFonts w:ascii="Arial" w:eastAsia="Calibri" w:hAnsi="Arial" w:cs="Arial"/>
                <w:sz w:val="18"/>
                <w:szCs w:val="18"/>
              </w:rPr>
              <w:t>6</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FAFC394" w14:textId="549F516C"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902189">
              <w:rPr>
                <w:rFonts w:ascii="Arial" w:eastAsia="Calibri" w:hAnsi="Arial" w:cs="Arial"/>
                <w:sz w:val="18"/>
                <w:szCs w:val="18"/>
              </w:rPr>
              <w:t>7</w:t>
            </w:r>
            <w:r w:rsidRPr="00184A8E">
              <w:rPr>
                <w:rFonts w:ascii="Arial" w:eastAsia="Calibri" w:hAnsi="Arial" w:cs="Arial"/>
                <w:sz w:val="18"/>
                <w:szCs w:val="18"/>
              </w:rPr>
              <w:t>.</w:t>
            </w:r>
          </w:p>
        </w:tc>
      </w:tr>
      <w:tr w:rsidR="00184A8E" w:rsidRPr="00184A8E" w14:paraId="4D5F89E7"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58830D23" w14:textId="77777777" w:rsidR="00184A8E" w:rsidRPr="00184A8E" w:rsidRDefault="00184A8E" w:rsidP="00184A8E">
            <w:pPr>
              <w:rPr>
                <w:rFonts w:ascii="Arial" w:hAnsi="Arial" w:cs="Arial"/>
                <w:sz w:val="18"/>
                <w:szCs w:val="18"/>
              </w:rPr>
            </w:pPr>
            <w:r w:rsidRPr="00184A8E">
              <w:rPr>
                <w:rFonts w:ascii="Arial" w:hAnsi="Arial" w:cs="Arial"/>
                <w:sz w:val="18"/>
                <w:szCs w:val="18"/>
              </w:rPr>
              <w:t xml:space="preserve">Izvršavanje usluge održavanja liftera </w:t>
            </w:r>
          </w:p>
        </w:tc>
        <w:tc>
          <w:tcPr>
            <w:tcW w:w="3402" w:type="dxa"/>
            <w:tcBorders>
              <w:top w:val="single" w:sz="4" w:space="0" w:color="auto"/>
              <w:left w:val="single" w:sz="4" w:space="0" w:color="auto"/>
              <w:bottom w:val="single" w:sz="4" w:space="0" w:color="auto"/>
              <w:right w:val="single" w:sz="4" w:space="0" w:color="auto"/>
            </w:tcBorders>
            <w:vAlign w:val="center"/>
          </w:tcPr>
          <w:p w14:paraId="369BE689" w14:textId="77777777" w:rsidR="00184A8E" w:rsidRPr="00184A8E" w:rsidRDefault="00184A8E" w:rsidP="00184A8E">
            <w:pPr>
              <w:autoSpaceDE w:val="0"/>
              <w:autoSpaceDN w:val="0"/>
              <w:adjustRightInd w:val="0"/>
              <w:rPr>
                <w:rFonts w:ascii="Arial" w:hAnsi="Arial" w:cs="Arial"/>
                <w:sz w:val="16"/>
                <w:szCs w:val="16"/>
              </w:rPr>
            </w:pPr>
            <w:r w:rsidRPr="00184A8E">
              <w:rPr>
                <w:rFonts w:ascii="Arial" w:hAnsi="Arial" w:cs="Arial"/>
                <w:sz w:val="16"/>
                <w:szCs w:val="16"/>
              </w:rPr>
              <w:t>Postotak izvršenja rashoda za održavanje liftera za invalide u Moluntu i Cavtatu</w:t>
            </w:r>
          </w:p>
        </w:tc>
        <w:tc>
          <w:tcPr>
            <w:tcW w:w="958" w:type="dxa"/>
            <w:tcBorders>
              <w:top w:val="single" w:sz="4" w:space="0" w:color="auto"/>
              <w:left w:val="single" w:sz="4" w:space="0" w:color="auto"/>
              <w:bottom w:val="single" w:sz="4" w:space="0" w:color="auto"/>
              <w:right w:val="single" w:sz="4" w:space="0" w:color="auto"/>
            </w:tcBorders>
            <w:vAlign w:val="center"/>
          </w:tcPr>
          <w:p w14:paraId="15E7E20D"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BD7BCC0"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E70FC27"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F8614F2"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5DE6B46"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40C60A83"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88E1245"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r>
    </w:tbl>
    <w:p w14:paraId="653A3C8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Aktivnosti vezane uz opće ciljeve postignute su sukladno postocima izvršenja i u skladu s očekivanom dinamikom izvršenja rashoda.</w:t>
      </w:r>
    </w:p>
    <w:p w14:paraId="0631108A" w14:textId="77777777" w:rsidR="00184A8E" w:rsidRPr="00184A8E" w:rsidRDefault="00184A8E" w:rsidP="00184A8E">
      <w:pPr>
        <w:spacing w:after="0" w:line="240" w:lineRule="auto"/>
        <w:rPr>
          <w:rFonts w:ascii="Arial" w:eastAsia="Calibri" w:hAnsi="Arial" w:cs="Arial"/>
          <w:sz w:val="20"/>
          <w:szCs w:val="20"/>
        </w:rPr>
      </w:pPr>
    </w:p>
    <w:p w14:paraId="23543D86"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595" w:name="_Toc435014689"/>
      <w:bookmarkStart w:id="596" w:name="_Toc200628536"/>
      <w:bookmarkStart w:id="597" w:name="_Toc232981468"/>
      <w:r w:rsidRPr="00184A8E">
        <w:rPr>
          <w:rFonts w:ascii="Times New Roman" w:eastAsia="Calibri" w:hAnsi="Times New Roman" w:cs="Times New Roman"/>
          <w:b/>
          <w:sz w:val="24"/>
          <w:szCs w:val="20"/>
          <w:lang w:eastAsia="en-US"/>
        </w:rPr>
        <w:t>Program (2104): Izgradnja i uređenje objekata javne namjene – kultura, turizam i religija</w:t>
      </w:r>
      <w:bookmarkEnd w:id="595"/>
      <w:bookmarkEnd w:id="596"/>
      <w:bookmarkEnd w:id="597"/>
    </w:p>
    <w:p w14:paraId="71C90AC7"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26"/>
        <w:gridCol w:w="12786"/>
      </w:tblGrid>
      <w:tr w:rsidR="00184A8E" w:rsidRPr="00184A8E" w14:paraId="176C56BB" w14:textId="77777777" w:rsidTr="00410A4B">
        <w:tc>
          <w:tcPr>
            <w:tcW w:w="1526" w:type="dxa"/>
          </w:tcPr>
          <w:p w14:paraId="48AF70F9"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786" w:type="dxa"/>
          </w:tcPr>
          <w:p w14:paraId="0D8DE3E4"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Ovaj program obuhvaća djelatnosti i poslove koji se odnose na sakupljanje, čuvanje, istraživanje civilizacijskih i kulturnih dobara, odnosno njihova obnova u skladu s konzervatorskim uvjetima, te prezentacija stanovništvu i turistima. </w:t>
            </w:r>
          </w:p>
        </w:tc>
      </w:tr>
      <w:tr w:rsidR="00184A8E" w:rsidRPr="00184A8E" w14:paraId="23E3C9FA" w14:textId="77777777" w:rsidTr="00410A4B">
        <w:tc>
          <w:tcPr>
            <w:tcW w:w="1526" w:type="dxa"/>
          </w:tcPr>
          <w:p w14:paraId="3248008D" w14:textId="77777777" w:rsidR="00184A8E" w:rsidRPr="00184A8E" w:rsidRDefault="00184A8E" w:rsidP="00184A8E">
            <w:pPr>
              <w:spacing w:after="0" w:line="240" w:lineRule="auto"/>
              <w:jc w:val="both"/>
              <w:rPr>
                <w:rFonts w:ascii="Arial" w:eastAsia="Calibri" w:hAnsi="Arial" w:cs="Arial"/>
                <w:sz w:val="16"/>
                <w:szCs w:val="16"/>
                <w:lang w:eastAsia="en-US"/>
              </w:rPr>
            </w:pPr>
            <w:r w:rsidRPr="00184A8E">
              <w:rPr>
                <w:rFonts w:ascii="Arial" w:eastAsia="Calibri" w:hAnsi="Arial" w:cs="Arial"/>
                <w:sz w:val="16"/>
                <w:szCs w:val="16"/>
                <w:lang w:eastAsia="en-US"/>
              </w:rPr>
              <w:t>ZAKONSKE I DRUGE PRAVNE OSNOVE PROGRAMA</w:t>
            </w:r>
          </w:p>
        </w:tc>
        <w:tc>
          <w:tcPr>
            <w:tcW w:w="12786" w:type="dxa"/>
          </w:tcPr>
          <w:p w14:paraId="0F49F90B"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rPr>
              <w:t>Zakon o lokalnoj i područnoj (regionalnoj) samoupravi (NN 33/01,60/01,129/05, 109/07,125/08, 36/09, 150/11, 144/12, 19/13, 137/15, 123/17, 98/19, 144/20), Zakon o muzejima (61/18, 98/19, 114/22, 36/24), Zakon o ustanovama (NN 76/93, 29/97, 47/99, 35/08, 127/19, 151/22), Statut Općine i drugi akti</w:t>
            </w:r>
          </w:p>
        </w:tc>
      </w:tr>
      <w:tr w:rsidR="00184A8E" w:rsidRPr="00184A8E" w14:paraId="6B52F436" w14:textId="77777777" w:rsidTr="00410A4B">
        <w:tc>
          <w:tcPr>
            <w:tcW w:w="1526" w:type="dxa"/>
            <w:tcBorders>
              <w:top w:val="dotted" w:sz="4" w:space="0" w:color="auto"/>
              <w:left w:val="dotted" w:sz="4" w:space="0" w:color="auto"/>
              <w:bottom w:val="dotted" w:sz="4" w:space="0" w:color="auto"/>
              <w:right w:val="dotted" w:sz="4" w:space="0" w:color="auto"/>
            </w:tcBorders>
          </w:tcPr>
          <w:p w14:paraId="74C85163"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2786" w:type="dxa"/>
            <w:tcBorders>
              <w:top w:val="dotted" w:sz="4" w:space="0" w:color="auto"/>
              <w:left w:val="dotted" w:sz="4" w:space="0" w:color="auto"/>
              <w:bottom w:val="dotted" w:sz="4" w:space="0" w:color="auto"/>
              <w:right w:val="dotted" w:sz="4" w:space="0" w:color="auto"/>
            </w:tcBorders>
          </w:tcPr>
          <w:p w14:paraId="43E72D70"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Podizanje kvalitete života i stanovanja. Stvaranje preduvjeta za unapređenje kvalitete stanovanja i življenja te podizanje razine i standarda javnih potreba u kulturi na području Općine.</w:t>
            </w:r>
          </w:p>
          <w:p w14:paraId="16C6FFE0"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Stvaranje preduvjeta za unapređenje kvalitete stanovanja i življenja, podizanje razine i standarda javnih potreba u kulturi zaštitom i očuvanjem kulturnih dobara na području Općine.</w:t>
            </w:r>
          </w:p>
        </w:tc>
      </w:tr>
      <w:tr w:rsidR="00184A8E" w:rsidRPr="00184A8E" w14:paraId="38C22197" w14:textId="77777777" w:rsidTr="00410A4B">
        <w:tc>
          <w:tcPr>
            <w:tcW w:w="1526" w:type="dxa"/>
            <w:tcBorders>
              <w:top w:val="dotted" w:sz="4" w:space="0" w:color="auto"/>
              <w:left w:val="dotted" w:sz="4" w:space="0" w:color="auto"/>
              <w:bottom w:val="dotted" w:sz="4" w:space="0" w:color="auto"/>
              <w:right w:val="dotted" w:sz="4" w:space="0" w:color="auto"/>
            </w:tcBorders>
            <w:vAlign w:val="bottom"/>
          </w:tcPr>
          <w:p w14:paraId="686FB287"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2786" w:type="dxa"/>
            <w:tcBorders>
              <w:top w:val="dotted" w:sz="4" w:space="0" w:color="auto"/>
              <w:left w:val="dotted" w:sz="4" w:space="0" w:color="auto"/>
              <w:bottom w:val="dotted" w:sz="4" w:space="0" w:color="auto"/>
              <w:right w:val="dotted" w:sz="4" w:space="0" w:color="auto"/>
            </w:tcBorders>
            <w:vAlign w:val="bottom"/>
          </w:tcPr>
          <w:p w14:paraId="2020C91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Ostvarivanje programa zaštite kulturne baštine, njena prezentacija, te prenošenje spoznaja o bogatoj kulturnoj prošlosti Konavala. </w:t>
            </w:r>
          </w:p>
          <w:p w14:paraId="24CEA43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Izvođenje radova rekonstrukcije i obnove vjerskih objekata, te kulturno povijesnih građevina, ali i domova kulture putem kojim se u naseljima diljem Općine utječe na prenošenje kulturnog nasljeđa i očuvanje kulturne baštine (broj restaurirane i prezentirane građe, odnosno građevinski obnovljenih objekata, broj obnovljenih i uređenih domova kulture i sl.). </w:t>
            </w:r>
          </w:p>
          <w:p w14:paraId="267D8774"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Zaštita i očuvanje kulturnih dobara kao materijalni (pred)uvjeti zadovoljavanja javnih potreba u kulturi..</w:t>
            </w:r>
          </w:p>
        </w:tc>
      </w:tr>
    </w:tbl>
    <w:p w14:paraId="0A8F7D65" w14:textId="77777777" w:rsidR="00184A8E" w:rsidRPr="00184A8E" w:rsidRDefault="00184A8E" w:rsidP="00184A8E">
      <w:pPr>
        <w:spacing w:after="0" w:line="240" w:lineRule="auto"/>
        <w:jc w:val="both"/>
        <w:rPr>
          <w:rFonts w:ascii="Arial" w:eastAsia="Calibri" w:hAnsi="Arial" w:cs="Arial"/>
          <w:sz w:val="18"/>
          <w:szCs w:val="20"/>
          <w:lang w:eastAsia="en-US"/>
        </w:rPr>
      </w:pPr>
    </w:p>
    <w:p w14:paraId="3DCA2F82"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108D6153" w14:textId="77777777" w:rsidR="00184A8E" w:rsidRPr="00184A8E" w:rsidRDefault="00184A8E" w:rsidP="00184A8E">
      <w:pPr>
        <w:spacing w:after="0" w:line="240" w:lineRule="auto"/>
        <w:jc w:val="both"/>
        <w:rPr>
          <w:rFonts w:ascii="Arial" w:eastAsia="Calibri" w:hAnsi="Arial" w:cs="Arial"/>
          <w:sz w:val="20"/>
          <w:szCs w:val="20"/>
        </w:rPr>
      </w:pPr>
    </w:p>
    <w:p w14:paraId="1ADB717D" w14:textId="61DA2904"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6F9D950F" w14:textId="48478273" w:rsidR="00184A8E" w:rsidRPr="00184A8E" w:rsidRDefault="00CC47F9" w:rsidP="00184A8E">
      <w:pPr>
        <w:spacing w:after="0" w:line="240" w:lineRule="auto"/>
        <w:rPr>
          <w:rFonts w:ascii="Arial" w:eastAsia="Calibri" w:hAnsi="Arial" w:cs="Arial"/>
          <w:color w:val="FF0000"/>
          <w:sz w:val="20"/>
          <w:szCs w:val="20"/>
        </w:rPr>
      </w:pPr>
      <w:r w:rsidRPr="00CC47F9">
        <w:rPr>
          <w:noProof/>
        </w:rPr>
        <w:lastRenderedPageBreak/>
        <w:drawing>
          <wp:inline distT="0" distB="0" distL="0" distR="0" wp14:anchorId="0F190052" wp14:editId="62C6EDA1">
            <wp:extent cx="9251950" cy="2931795"/>
            <wp:effectExtent l="0" t="0" r="6350" b="1905"/>
            <wp:docPr id="1420585970"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251950" cy="2931795"/>
                    </a:xfrm>
                    <a:prstGeom prst="rect">
                      <a:avLst/>
                    </a:prstGeom>
                    <a:noFill/>
                    <a:ln>
                      <a:noFill/>
                    </a:ln>
                  </pic:spPr>
                </pic:pic>
              </a:graphicData>
            </a:graphic>
          </wp:inline>
        </w:drawing>
      </w:r>
    </w:p>
    <w:p w14:paraId="0B6C59B0"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56B96484"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215202E8" w14:textId="77777777" w:rsidR="00184A8E" w:rsidRPr="00184A8E" w:rsidRDefault="00184A8E" w:rsidP="00184A8E">
      <w:pPr>
        <w:spacing w:after="0" w:line="240" w:lineRule="auto"/>
        <w:jc w:val="both"/>
        <w:rPr>
          <w:rFonts w:ascii="Arial" w:eastAsia="Calibri" w:hAnsi="Arial" w:cs="Arial"/>
          <w:sz w:val="20"/>
          <w:szCs w:val="20"/>
          <w:lang w:eastAsia="en-US"/>
        </w:rPr>
      </w:pPr>
    </w:p>
    <w:p w14:paraId="624647C9"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3D3CCB21" w14:textId="7BE3536E"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xml:space="preserve">: Izvršenje je </w:t>
      </w:r>
      <w:r w:rsidR="00CC47F9">
        <w:rPr>
          <w:rFonts w:ascii="Arial" w:eastAsia="Calibri" w:hAnsi="Arial" w:cs="Arial"/>
          <w:sz w:val="20"/>
          <w:szCs w:val="20"/>
          <w:lang w:eastAsia="en-US"/>
        </w:rPr>
        <w:t>manje od</w:t>
      </w:r>
      <w:r w:rsidRPr="00184A8E">
        <w:rPr>
          <w:rFonts w:ascii="Arial" w:eastAsia="Calibri" w:hAnsi="Arial" w:cs="Arial"/>
          <w:sz w:val="20"/>
          <w:szCs w:val="20"/>
          <w:lang w:eastAsia="en-US"/>
        </w:rPr>
        <w:t xml:space="preserve"> očekivanih vrijednosti.</w:t>
      </w:r>
    </w:p>
    <w:p w14:paraId="6049740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775E5889" w14:textId="77777777" w:rsidR="00CC47F9" w:rsidRDefault="00CC47F9" w:rsidP="00184A8E">
      <w:pPr>
        <w:autoSpaceDE w:val="0"/>
        <w:autoSpaceDN w:val="0"/>
        <w:adjustRightInd w:val="0"/>
        <w:spacing w:after="0" w:line="240" w:lineRule="auto"/>
        <w:jc w:val="both"/>
        <w:rPr>
          <w:rFonts w:ascii="Arial" w:eastAsia="Calibri" w:hAnsi="Arial" w:cs="Arial"/>
          <w:sz w:val="20"/>
          <w:szCs w:val="20"/>
          <w:lang w:eastAsia="en-US"/>
        </w:rPr>
      </w:pPr>
      <w:r w:rsidRPr="00CC47F9">
        <w:rPr>
          <w:rFonts w:ascii="Arial" w:eastAsia="Calibri" w:hAnsi="Arial" w:cs="Arial"/>
          <w:sz w:val="20"/>
          <w:szCs w:val="20"/>
          <w:lang w:eastAsia="en-US"/>
        </w:rPr>
        <w:t xml:space="preserve">Za provođenje programa 2104. su planirana proračunska sredstva za 2025. godinu u iznosu </w:t>
      </w:r>
      <w:r>
        <w:rPr>
          <w:rFonts w:ascii="Arial" w:eastAsia="Calibri" w:hAnsi="Arial" w:cs="Arial"/>
          <w:sz w:val="20"/>
          <w:szCs w:val="20"/>
          <w:lang w:eastAsia="en-US"/>
        </w:rPr>
        <w:t>465.125</w:t>
      </w:r>
      <w:r w:rsidRPr="00CC47F9">
        <w:rPr>
          <w:rFonts w:ascii="Arial" w:eastAsia="Calibri" w:hAnsi="Arial" w:cs="Arial"/>
          <w:sz w:val="20"/>
          <w:szCs w:val="20"/>
          <w:lang w:eastAsia="en-US"/>
        </w:rPr>
        <w:t xml:space="preserve"> €, te za 2026. godinu u iznosu 825.500 € i za 2027. godinu u iznosu 1.050.500 €.</w:t>
      </w:r>
    </w:p>
    <w:p w14:paraId="0EC2B628" w14:textId="77777777" w:rsidR="00CC47F9" w:rsidRDefault="00CC47F9" w:rsidP="00184A8E">
      <w:pPr>
        <w:autoSpaceDE w:val="0"/>
        <w:autoSpaceDN w:val="0"/>
        <w:adjustRightInd w:val="0"/>
        <w:spacing w:after="0" w:line="240" w:lineRule="auto"/>
        <w:jc w:val="both"/>
        <w:rPr>
          <w:rFonts w:ascii="Arial" w:eastAsia="Calibri" w:hAnsi="Arial" w:cs="Arial"/>
          <w:sz w:val="20"/>
          <w:szCs w:val="20"/>
        </w:rPr>
      </w:pPr>
    </w:p>
    <w:p w14:paraId="7F9F5290" w14:textId="52B54270"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Rashodi</w:t>
      </w:r>
      <w:r w:rsidR="00CC47F9">
        <w:rPr>
          <w:rFonts w:ascii="Arial" w:eastAsia="Calibri" w:hAnsi="Arial" w:cs="Arial"/>
          <w:sz w:val="20"/>
          <w:szCs w:val="20"/>
        </w:rPr>
        <w:t xml:space="preserve"> u 2025. godini su izvršeni u iznosu 243.023,82 € ili 52,2 % pla</w:t>
      </w:r>
      <w:r w:rsidRPr="00184A8E">
        <w:rPr>
          <w:rFonts w:ascii="Arial" w:eastAsia="Calibri" w:hAnsi="Arial" w:cs="Arial"/>
          <w:sz w:val="20"/>
          <w:szCs w:val="20"/>
        </w:rPr>
        <w:t xml:space="preserve">na. </w:t>
      </w:r>
    </w:p>
    <w:p w14:paraId="1E2F542D" w14:textId="77777777" w:rsid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18BD118D"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2857017A" w14:textId="77777777" w:rsidR="00184A8E" w:rsidRPr="00184A8E" w:rsidRDefault="00184A8E" w:rsidP="00184A8E">
      <w:pPr>
        <w:spacing w:after="0" w:line="240" w:lineRule="auto"/>
        <w:jc w:val="both"/>
        <w:rPr>
          <w:rFonts w:ascii="Arial" w:eastAsia="Calibri" w:hAnsi="Arial" w:cs="Arial"/>
          <w:sz w:val="20"/>
          <w:szCs w:val="20"/>
          <w:lang w:eastAsia="en-US"/>
        </w:rPr>
      </w:pPr>
    </w:p>
    <w:p w14:paraId="2CE06217"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Unutar programa izvode se slijedeće aktivnosti i projekti:</w:t>
      </w:r>
    </w:p>
    <w:p w14:paraId="371FCBBF"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p>
    <w:p w14:paraId="59D82B7D" w14:textId="4AA4120C"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1. T210401: Održavanje i ulaganja u objekte javne namjene - kultura (domovi kulture i sl.), turizam i religija</w:t>
      </w:r>
      <w:r w:rsidRPr="00184A8E">
        <w:rPr>
          <w:rFonts w:ascii="Arial" w:eastAsia="Calibri" w:hAnsi="Arial" w:cs="Arial"/>
          <w:sz w:val="20"/>
          <w:szCs w:val="20"/>
          <w:lang w:eastAsia="en-US"/>
        </w:rPr>
        <w:t xml:space="preserve"> - Proračunska sredstva su planirana u iznosu </w:t>
      </w:r>
      <w:r w:rsidR="00157709">
        <w:rPr>
          <w:rFonts w:ascii="Arial" w:eastAsia="Calibri" w:hAnsi="Arial" w:cs="Arial"/>
          <w:sz w:val="20"/>
          <w:szCs w:val="20"/>
          <w:lang w:eastAsia="en-US"/>
        </w:rPr>
        <w:t>250.125</w:t>
      </w:r>
      <w:r w:rsidRPr="00184A8E">
        <w:rPr>
          <w:rFonts w:ascii="Arial" w:eastAsia="Calibri" w:hAnsi="Arial" w:cs="Arial"/>
          <w:sz w:val="20"/>
          <w:szCs w:val="20"/>
          <w:lang w:eastAsia="en-US"/>
        </w:rPr>
        <w:t xml:space="preserve"> € i odnose se prvenstveno na održavanje i obnovu domova kulture kao jednog od osnovnih mjesta na kojima se okuplja stanovništvo, prvenstveno u manjim naseljima. </w:t>
      </w:r>
    </w:p>
    <w:p w14:paraId="550930B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5C9F330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lastRenderedPageBreak/>
        <w:t>Rashodi u okviru ove aktivnosti se redovito planiraju u nešto većoj vrijednosti u slučaju nastupa izvanrednih okolnosti kao što je bilo olujno nevrijeme koje je znatno oštetilo krov na domu u Vitaljini te ga je u 2023. godini trebalo žurno popraviti.</w:t>
      </w:r>
    </w:p>
    <w:p w14:paraId="6274624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42F07745" w14:textId="08129B97" w:rsid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Rashodi su u 202</w:t>
      </w:r>
      <w:r w:rsidR="00580B6D">
        <w:rPr>
          <w:rFonts w:ascii="Arial" w:eastAsia="Calibri" w:hAnsi="Arial" w:cs="Arial"/>
          <w:sz w:val="20"/>
          <w:szCs w:val="20"/>
          <w:lang w:eastAsia="en-US"/>
        </w:rPr>
        <w:t>5</w:t>
      </w:r>
      <w:r w:rsidRPr="00184A8E">
        <w:rPr>
          <w:rFonts w:ascii="Arial" w:eastAsia="Calibri" w:hAnsi="Arial" w:cs="Arial"/>
          <w:sz w:val="20"/>
          <w:szCs w:val="20"/>
          <w:lang w:eastAsia="en-US"/>
        </w:rPr>
        <w:t xml:space="preserve">. godini izvršeni u iznosu </w:t>
      </w:r>
      <w:r w:rsidR="00837852">
        <w:rPr>
          <w:rFonts w:ascii="Arial" w:eastAsia="Calibri" w:hAnsi="Arial" w:cs="Arial"/>
          <w:sz w:val="20"/>
          <w:szCs w:val="20"/>
          <w:lang w:eastAsia="en-US"/>
        </w:rPr>
        <w:t>143.328,11</w:t>
      </w:r>
      <w:r w:rsidRPr="00184A8E">
        <w:rPr>
          <w:rFonts w:ascii="Arial" w:eastAsia="Calibri" w:hAnsi="Arial" w:cs="Arial"/>
          <w:sz w:val="20"/>
          <w:szCs w:val="20"/>
          <w:lang w:eastAsia="en-US"/>
        </w:rPr>
        <w:t xml:space="preserve"> €, a odnose se na:</w:t>
      </w:r>
    </w:p>
    <w:p w14:paraId="1FF49133" w14:textId="1B3E8FB6" w:rsidR="00580B6D" w:rsidRDefault="007F1C8D" w:rsidP="00580B6D">
      <w:pPr>
        <w:pStyle w:val="Odlomakpopisa"/>
        <w:numPr>
          <w:ilvl w:val="0"/>
          <w:numId w:val="3"/>
        </w:numPr>
        <w:autoSpaceDE w:val="0"/>
        <w:autoSpaceDN w:val="0"/>
        <w:adjustRightInd w:val="0"/>
        <w:rPr>
          <w:rFonts w:ascii="Arial" w:eastAsia="Calibri" w:hAnsi="Arial" w:cs="Arial"/>
        </w:rPr>
      </w:pPr>
      <w:r>
        <w:rPr>
          <w:rFonts w:ascii="Arial" w:eastAsia="Calibri" w:hAnsi="Arial" w:cs="Arial"/>
        </w:rPr>
        <w:t xml:space="preserve">ličenje zidova doma u Čilipima 3.750 €, </w:t>
      </w:r>
    </w:p>
    <w:p w14:paraId="2E69DCB5" w14:textId="6D5197B3" w:rsidR="007F1C8D" w:rsidRDefault="007F1C8D" w:rsidP="00580B6D">
      <w:pPr>
        <w:pStyle w:val="Odlomakpopisa"/>
        <w:numPr>
          <w:ilvl w:val="0"/>
          <w:numId w:val="3"/>
        </w:numPr>
        <w:autoSpaceDE w:val="0"/>
        <w:autoSpaceDN w:val="0"/>
        <w:adjustRightInd w:val="0"/>
        <w:rPr>
          <w:rFonts w:ascii="Arial" w:eastAsia="Calibri" w:hAnsi="Arial" w:cs="Arial"/>
        </w:rPr>
      </w:pPr>
      <w:r>
        <w:rPr>
          <w:rFonts w:ascii="Arial" w:eastAsia="Calibri" w:hAnsi="Arial" w:cs="Arial"/>
        </w:rPr>
        <w:t>popravljanje prozora i vrata doma kulture u Vodovađi (ex škola) 901,02 €,</w:t>
      </w:r>
    </w:p>
    <w:p w14:paraId="1A3398BC" w14:textId="6DE540B7" w:rsidR="007F1C8D" w:rsidRDefault="007F1C8D" w:rsidP="00580B6D">
      <w:pPr>
        <w:pStyle w:val="Odlomakpopisa"/>
        <w:numPr>
          <w:ilvl w:val="0"/>
          <w:numId w:val="3"/>
        </w:numPr>
        <w:autoSpaceDE w:val="0"/>
        <w:autoSpaceDN w:val="0"/>
        <w:adjustRightInd w:val="0"/>
        <w:rPr>
          <w:rFonts w:ascii="Arial" w:eastAsia="Calibri" w:hAnsi="Arial" w:cs="Arial"/>
        </w:rPr>
      </w:pPr>
      <w:r>
        <w:rPr>
          <w:rFonts w:ascii="Arial" w:eastAsia="Calibri" w:hAnsi="Arial" w:cs="Arial"/>
        </w:rPr>
        <w:t>zidarske radove u domu kulture u Popovićima 1.225 € i izmjena kroa na domu lutrue u Popovićima 27.125 €,</w:t>
      </w:r>
    </w:p>
    <w:p w14:paraId="2C5FAC06" w14:textId="6A8665B1" w:rsidR="007F1C8D" w:rsidRDefault="007F1C8D" w:rsidP="00580B6D">
      <w:pPr>
        <w:pStyle w:val="Odlomakpopisa"/>
        <w:numPr>
          <w:ilvl w:val="0"/>
          <w:numId w:val="3"/>
        </w:numPr>
        <w:autoSpaceDE w:val="0"/>
        <w:autoSpaceDN w:val="0"/>
        <w:adjustRightInd w:val="0"/>
        <w:rPr>
          <w:rFonts w:ascii="Arial" w:eastAsia="Calibri" w:hAnsi="Arial" w:cs="Arial"/>
        </w:rPr>
      </w:pPr>
      <w:r>
        <w:rPr>
          <w:rFonts w:ascii="Arial" w:eastAsia="Calibri" w:hAnsi="Arial" w:cs="Arial"/>
        </w:rPr>
        <w:t>izrada geodetskog snimka objekta doma kulture u Čilipima 2.125 €,</w:t>
      </w:r>
    </w:p>
    <w:p w14:paraId="08F85545" w14:textId="74B46F88" w:rsidR="007F1C8D" w:rsidRDefault="007F1C8D" w:rsidP="00580B6D">
      <w:pPr>
        <w:pStyle w:val="Odlomakpopisa"/>
        <w:numPr>
          <w:ilvl w:val="0"/>
          <w:numId w:val="3"/>
        </w:numPr>
        <w:autoSpaceDE w:val="0"/>
        <w:autoSpaceDN w:val="0"/>
        <w:adjustRightInd w:val="0"/>
        <w:rPr>
          <w:rFonts w:ascii="Arial" w:eastAsia="Calibri" w:hAnsi="Arial" w:cs="Arial"/>
        </w:rPr>
      </w:pPr>
      <w:r>
        <w:rPr>
          <w:rFonts w:ascii="Arial" w:eastAsia="Calibri" w:hAnsi="Arial" w:cs="Arial"/>
        </w:rPr>
        <w:t xml:space="preserve">građevinske radove popravka krovišta, te izolaterske radove doma kulture u Dubravci (Mrcine) 83.329,70 €, </w:t>
      </w:r>
    </w:p>
    <w:p w14:paraId="111DCF75" w14:textId="23B160A2" w:rsidR="007F1C8D" w:rsidRDefault="007F1C8D" w:rsidP="00580B6D">
      <w:pPr>
        <w:pStyle w:val="Odlomakpopisa"/>
        <w:numPr>
          <w:ilvl w:val="0"/>
          <w:numId w:val="3"/>
        </w:numPr>
        <w:autoSpaceDE w:val="0"/>
        <w:autoSpaceDN w:val="0"/>
        <w:adjustRightInd w:val="0"/>
        <w:rPr>
          <w:rFonts w:ascii="Arial" w:eastAsia="Calibri" w:hAnsi="Arial" w:cs="Arial"/>
        </w:rPr>
      </w:pPr>
      <w:r>
        <w:rPr>
          <w:rFonts w:ascii="Arial" w:eastAsia="Calibri" w:hAnsi="Arial" w:cs="Arial"/>
        </w:rPr>
        <w:t>izmjenu prozora i vrata na domu kulture Gruda 22.359,89 €, te popravak krova na istom domu 1.750 €,</w:t>
      </w:r>
    </w:p>
    <w:p w14:paraId="21BB8C90" w14:textId="63506F4B" w:rsidR="007F1C8D" w:rsidRDefault="007F1C8D" w:rsidP="00580B6D">
      <w:pPr>
        <w:pStyle w:val="Odlomakpopisa"/>
        <w:numPr>
          <w:ilvl w:val="0"/>
          <w:numId w:val="3"/>
        </w:numPr>
        <w:autoSpaceDE w:val="0"/>
        <w:autoSpaceDN w:val="0"/>
        <w:adjustRightInd w:val="0"/>
        <w:rPr>
          <w:rFonts w:ascii="Arial" w:eastAsia="Calibri" w:hAnsi="Arial" w:cs="Arial"/>
        </w:rPr>
      </w:pPr>
      <w:r>
        <w:rPr>
          <w:rFonts w:ascii="Arial" w:eastAsia="Calibri" w:hAnsi="Arial" w:cs="Arial"/>
        </w:rPr>
        <w:t>popravak vrata na domu kulture u Močićima 762,50 €.</w:t>
      </w:r>
    </w:p>
    <w:p w14:paraId="508AD76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4E79C82B"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975F7C2"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DAEC4EA"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4C50D29"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696DB06"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45D5C35" w14:textId="6E7A39A6"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837852">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CA72DBA" w14:textId="391169F6"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837852">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492158F" w14:textId="5ADE0D30"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837852">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351D263" w14:textId="2FEEF548"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837852">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500E5B9" w14:textId="493EED10"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837852">
              <w:rPr>
                <w:rFonts w:ascii="Arial" w:eastAsia="Calibri" w:hAnsi="Arial" w:cs="Arial"/>
              </w:rPr>
              <w:t>7</w:t>
            </w:r>
            <w:r w:rsidRPr="00184A8E">
              <w:rPr>
                <w:rFonts w:ascii="Arial" w:eastAsia="Calibri" w:hAnsi="Arial" w:cs="Arial"/>
              </w:rPr>
              <w:t>.</w:t>
            </w:r>
          </w:p>
        </w:tc>
      </w:tr>
      <w:tr w:rsidR="00184A8E" w:rsidRPr="00184A8E" w14:paraId="08D9F6D7"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3100EAEB" w14:textId="77777777" w:rsidR="00184A8E" w:rsidRPr="00184A8E" w:rsidRDefault="00184A8E" w:rsidP="00184A8E">
            <w:pPr>
              <w:rPr>
                <w:rFonts w:ascii="Arial" w:hAnsi="Arial" w:cs="Arial"/>
                <w:sz w:val="14"/>
                <w:szCs w:val="14"/>
              </w:rPr>
            </w:pPr>
            <w:r w:rsidRPr="00184A8E">
              <w:rPr>
                <w:rFonts w:ascii="Arial" w:hAnsi="Arial" w:cs="Arial"/>
                <w:sz w:val="14"/>
                <w:szCs w:val="14"/>
              </w:rPr>
              <w:t xml:space="preserve">Izvršavanje održavanja domova kulture i drugih objekata javne namjene </w:t>
            </w:r>
          </w:p>
        </w:tc>
        <w:tc>
          <w:tcPr>
            <w:tcW w:w="3402" w:type="dxa"/>
            <w:tcBorders>
              <w:top w:val="single" w:sz="4" w:space="0" w:color="auto"/>
              <w:left w:val="single" w:sz="4" w:space="0" w:color="auto"/>
              <w:bottom w:val="single" w:sz="4" w:space="0" w:color="auto"/>
              <w:right w:val="single" w:sz="4" w:space="0" w:color="auto"/>
            </w:tcBorders>
            <w:vAlign w:val="center"/>
          </w:tcPr>
          <w:p w14:paraId="0B411649" w14:textId="77777777" w:rsidR="00184A8E" w:rsidRPr="00184A8E" w:rsidRDefault="00184A8E" w:rsidP="00184A8E">
            <w:pPr>
              <w:autoSpaceDE w:val="0"/>
              <w:autoSpaceDN w:val="0"/>
              <w:adjustRightInd w:val="0"/>
              <w:rPr>
                <w:rFonts w:ascii="Arial" w:hAnsi="Arial" w:cs="Arial"/>
                <w:sz w:val="18"/>
                <w:szCs w:val="18"/>
              </w:rPr>
            </w:pPr>
            <w:r w:rsidRPr="00184A8E">
              <w:rPr>
                <w:rFonts w:ascii="Arial" w:hAnsi="Arial" w:cs="Arial"/>
                <w:sz w:val="18"/>
                <w:szCs w:val="18"/>
              </w:rPr>
              <w:t xml:space="preserve">Postotak izvršenja planiranih rashoda za ulaganja u društvene domove </w:t>
            </w:r>
          </w:p>
        </w:tc>
        <w:tc>
          <w:tcPr>
            <w:tcW w:w="958" w:type="dxa"/>
            <w:tcBorders>
              <w:top w:val="single" w:sz="4" w:space="0" w:color="auto"/>
              <w:left w:val="single" w:sz="4" w:space="0" w:color="auto"/>
              <w:bottom w:val="single" w:sz="4" w:space="0" w:color="auto"/>
              <w:right w:val="single" w:sz="4" w:space="0" w:color="auto"/>
            </w:tcBorders>
            <w:vAlign w:val="center"/>
          </w:tcPr>
          <w:p w14:paraId="5B00AAFC"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43AC75CA"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4A2FA3F8" w14:textId="0B181FEA" w:rsidR="00184A8E" w:rsidRPr="00184A8E" w:rsidRDefault="00837852" w:rsidP="00184A8E">
            <w:pPr>
              <w:jc w:val="center"/>
              <w:rPr>
                <w:rFonts w:ascii="Arial" w:hAnsi="Arial" w:cs="Arial"/>
              </w:rPr>
            </w:pPr>
            <w:r>
              <w:rPr>
                <w:rFonts w:ascii="Arial" w:hAnsi="Arial" w:cs="Arial"/>
              </w:rPr>
              <w:t>78</w:t>
            </w:r>
          </w:p>
        </w:tc>
        <w:tc>
          <w:tcPr>
            <w:tcW w:w="1276" w:type="dxa"/>
            <w:tcBorders>
              <w:top w:val="single" w:sz="4" w:space="0" w:color="auto"/>
              <w:left w:val="single" w:sz="4" w:space="0" w:color="auto"/>
              <w:bottom w:val="single" w:sz="4" w:space="0" w:color="auto"/>
              <w:right w:val="single" w:sz="4" w:space="0" w:color="auto"/>
            </w:tcBorders>
            <w:vAlign w:val="center"/>
          </w:tcPr>
          <w:p w14:paraId="20B235EA"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6FCB1D29" w14:textId="3AF68C9F" w:rsidR="00184A8E" w:rsidRPr="00184A8E" w:rsidRDefault="00837852" w:rsidP="00184A8E">
            <w:pPr>
              <w:jc w:val="center"/>
              <w:rPr>
                <w:rFonts w:ascii="Arial" w:hAnsi="Arial" w:cs="Arial"/>
              </w:rPr>
            </w:pPr>
            <w:r>
              <w:rPr>
                <w:rFonts w:ascii="Arial" w:hAnsi="Arial" w:cs="Arial"/>
              </w:rPr>
              <w:t>57</w:t>
            </w:r>
          </w:p>
        </w:tc>
        <w:tc>
          <w:tcPr>
            <w:tcW w:w="1242" w:type="dxa"/>
            <w:tcBorders>
              <w:top w:val="single" w:sz="4" w:space="0" w:color="000000"/>
              <w:left w:val="single" w:sz="4" w:space="0" w:color="000000"/>
              <w:bottom w:val="single" w:sz="4" w:space="0" w:color="000000"/>
              <w:right w:val="single" w:sz="4" w:space="0" w:color="000000"/>
            </w:tcBorders>
            <w:vAlign w:val="center"/>
          </w:tcPr>
          <w:p w14:paraId="5E2A8EDA"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21B71CD6" w14:textId="77777777" w:rsidR="00184A8E" w:rsidRPr="00184A8E" w:rsidRDefault="00184A8E" w:rsidP="00184A8E">
            <w:pPr>
              <w:jc w:val="center"/>
              <w:rPr>
                <w:rFonts w:ascii="Arial" w:hAnsi="Arial" w:cs="Arial"/>
              </w:rPr>
            </w:pPr>
            <w:r w:rsidRPr="00184A8E">
              <w:rPr>
                <w:rFonts w:ascii="Arial" w:hAnsi="Arial" w:cs="Arial"/>
              </w:rPr>
              <w:t>100</w:t>
            </w:r>
          </w:p>
        </w:tc>
      </w:tr>
    </w:tbl>
    <w:p w14:paraId="2CDF595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2F6630E7"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b/>
          <w:sz w:val="20"/>
          <w:szCs w:val="20"/>
        </w:rPr>
        <w:t>2. K210402: Ulaganja u spomenike kulture i zaštita povijesnih objekata</w:t>
      </w:r>
      <w:r w:rsidRPr="00184A8E">
        <w:rPr>
          <w:rFonts w:ascii="Arial" w:eastAsia="Calibri" w:hAnsi="Arial" w:cs="Arial"/>
          <w:sz w:val="20"/>
          <w:szCs w:val="20"/>
        </w:rPr>
        <w:t xml:space="preserve"> - Proračunska sredstva nisu planirana.</w:t>
      </w:r>
    </w:p>
    <w:p w14:paraId="7E6EDE16" w14:textId="77777777" w:rsidR="00184A8E" w:rsidRPr="00184A8E" w:rsidRDefault="00184A8E" w:rsidP="00184A8E">
      <w:pPr>
        <w:spacing w:after="0" w:line="240" w:lineRule="auto"/>
        <w:rPr>
          <w:rFonts w:ascii="Arial" w:eastAsia="Calibri" w:hAnsi="Arial" w:cs="Arial"/>
          <w:sz w:val="20"/>
          <w:szCs w:val="20"/>
        </w:rPr>
      </w:pPr>
    </w:p>
    <w:p w14:paraId="7E4AFFD4" w14:textId="77777777" w:rsidR="00184A8E" w:rsidRPr="00184A8E" w:rsidRDefault="00184A8E" w:rsidP="00184A8E">
      <w:pPr>
        <w:autoSpaceDE w:val="0"/>
        <w:autoSpaceDN w:val="0"/>
        <w:adjustRightInd w:val="0"/>
        <w:spacing w:after="0" w:line="240" w:lineRule="auto"/>
        <w:rPr>
          <w:rFonts w:ascii="Arial" w:eastAsia="Calibri" w:hAnsi="Arial" w:cs="Arial"/>
          <w:sz w:val="20"/>
          <w:szCs w:val="20"/>
        </w:rPr>
      </w:pPr>
      <w:r w:rsidRPr="00184A8E">
        <w:rPr>
          <w:rFonts w:ascii="Arial" w:eastAsia="Calibri" w:hAnsi="Arial" w:cs="Arial"/>
          <w:b/>
          <w:sz w:val="20"/>
          <w:szCs w:val="20"/>
        </w:rPr>
        <w:t xml:space="preserve">3. K210403: Program zaštite i očuvanje kulturnih dobara </w:t>
      </w:r>
      <w:r w:rsidRPr="00184A8E">
        <w:rPr>
          <w:rFonts w:ascii="Arial" w:eastAsia="Calibri" w:hAnsi="Arial" w:cs="Arial"/>
          <w:sz w:val="20"/>
          <w:szCs w:val="20"/>
        </w:rPr>
        <w:t>- Proračunska sredstva nisu planirana.</w:t>
      </w:r>
    </w:p>
    <w:p w14:paraId="1E456260" w14:textId="77777777" w:rsidR="00184A8E" w:rsidRPr="00184A8E" w:rsidRDefault="00184A8E" w:rsidP="00184A8E">
      <w:pPr>
        <w:autoSpaceDE w:val="0"/>
        <w:autoSpaceDN w:val="0"/>
        <w:adjustRightInd w:val="0"/>
        <w:spacing w:after="0" w:line="240" w:lineRule="auto"/>
        <w:jc w:val="both"/>
        <w:rPr>
          <w:rFonts w:ascii="Arial" w:eastAsia="Calibri" w:hAnsi="Arial" w:cs="Arial"/>
          <w:b/>
          <w:sz w:val="20"/>
          <w:szCs w:val="20"/>
        </w:rPr>
      </w:pPr>
    </w:p>
    <w:p w14:paraId="66DBC82D" w14:textId="3CF29C1C"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4. T210404: Ulaganja u objekte javne namjene – sakralni objekti</w:t>
      </w:r>
      <w:r w:rsidRPr="00184A8E">
        <w:rPr>
          <w:rFonts w:ascii="Arial" w:eastAsia="Calibri" w:hAnsi="Arial" w:cs="Arial"/>
          <w:sz w:val="20"/>
          <w:szCs w:val="20"/>
          <w:lang w:eastAsia="en-US"/>
        </w:rPr>
        <w:t xml:space="preserve"> – - Proračunska sredstva su planirana u iznosu </w:t>
      </w:r>
      <w:r w:rsidR="00BB6FB9">
        <w:rPr>
          <w:rFonts w:ascii="Arial" w:eastAsia="Calibri" w:hAnsi="Arial" w:cs="Arial"/>
          <w:sz w:val="20"/>
          <w:szCs w:val="20"/>
          <w:lang w:eastAsia="en-US"/>
        </w:rPr>
        <w:t>138.500</w:t>
      </w:r>
      <w:r w:rsidRPr="00184A8E">
        <w:rPr>
          <w:rFonts w:ascii="Arial" w:eastAsia="Calibri" w:hAnsi="Arial" w:cs="Arial"/>
          <w:sz w:val="20"/>
          <w:szCs w:val="20"/>
          <w:lang w:eastAsia="en-US"/>
        </w:rPr>
        <w:t xml:space="preserve"> €. Planirana sredstva se odnose na uređenja sakralnih objekata odnosno okoliša sakralnih objekata, ali i donacije u građevinskom materijalu za uređenje sakralnih objekata. </w:t>
      </w:r>
    </w:p>
    <w:p w14:paraId="1A21FEC5" w14:textId="77777777" w:rsidR="00184A8E" w:rsidRPr="00184A8E" w:rsidRDefault="00184A8E" w:rsidP="00184A8E">
      <w:pPr>
        <w:autoSpaceDE w:val="0"/>
        <w:autoSpaceDN w:val="0"/>
        <w:adjustRightInd w:val="0"/>
        <w:spacing w:after="0" w:line="240" w:lineRule="auto"/>
        <w:jc w:val="both"/>
        <w:rPr>
          <w:rFonts w:ascii="Arial" w:eastAsia="Calibri" w:hAnsi="Arial" w:cs="Arial"/>
          <w:bCs/>
          <w:sz w:val="20"/>
          <w:szCs w:val="20"/>
          <w:lang w:eastAsia="en-US"/>
        </w:rPr>
      </w:pPr>
    </w:p>
    <w:p w14:paraId="47776881" w14:textId="106C5D0C" w:rsidR="00BB6FB9" w:rsidRDefault="00BB6FB9" w:rsidP="00E20E01">
      <w:pPr>
        <w:autoSpaceDE w:val="0"/>
        <w:autoSpaceDN w:val="0"/>
        <w:adjustRightInd w:val="0"/>
        <w:spacing w:after="0" w:line="240" w:lineRule="auto"/>
        <w:jc w:val="both"/>
        <w:rPr>
          <w:rFonts w:ascii="Arial" w:eastAsia="Calibri" w:hAnsi="Arial" w:cs="Arial"/>
          <w:bCs/>
          <w:sz w:val="20"/>
          <w:szCs w:val="20"/>
          <w:lang w:eastAsia="en-US"/>
        </w:rPr>
      </w:pPr>
      <w:r w:rsidRPr="00BB6FB9">
        <w:rPr>
          <w:rFonts w:ascii="Arial" w:eastAsia="Calibri" w:hAnsi="Arial" w:cs="Arial"/>
          <w:bCs/>
          <w:sz w:val="20"/>
          <w:szCs w:val="20"/>
          <w:lang w:eastAsia="en-US"/>
        </w:rPr>
        <w:t>Rashodi u 2025.</w:t>
      </w:r>
      <w:r>
        <w:rPr>
          <w:rFonts w:ascii="Arial" w:eastAsia="Calibri" w:hAnsi="Arial" w:cs="Arial"/>
          <w:bCs/>
          <w:sz w:val="20"/>
          <w:szCs w:val="20"/>
          <w:lang w:eastAsia="en-US"/>
        </w:rPr>
        <w:t xml:space="preserve"> su izvršeni u iznosu </w:t>
      </w:r>
      <w:r w:rsidR="00F61681">
        <w:rPr>
          <w:rFonts w:ascii="Arial" w:eastAsia="Calibri" w:hAnsi="Arial" w:cs="Arial"/>
          <w:bCs/>
          <w:sz w:val="20"/>
          <w:szCs w:val="20"/>
          <w:lang w:eastAsia="en-US"/>
        </w:rPr>
        <w:t>94.810,54 € i odnose se na:</w:t>
      </w:r>
    </w:p>
    <w:p w14:paraId="5EF7CC30" w14:textId="1BE8F771" w:rsidR="00F61681" w:rsidRDefault="00F61681" w:rsidP="00E20E01">
      <w:pPr>
        <w:pStyle w:val="Odlomakpopisa"/>
        <w:numPr>
          <w:ilvl w:val="0"/>
          <w:numId w:val="3"/>
        </w:numPr>
        <w:autoSpaceDE w:val="0"/>
        <w:autoSpaceDN w:val="0"/>
        <w:adjustRightInd w:val="0"/>
        <w:ind w:left="567" w:hanging="567"/>
        <w:rPr>
          <w:rFonts w:ascii="Arial" w:eastAsia="Calibri" w:hAnsi="Arial" w:cs="Arial"/>
          <w:bCs/>
        </w:rPr>
      </w:pPr>
      <w:r>
        <w:rPr>
          <w:rFonts w:ascii="Arial" w:eastAsia="Calibri" w:hAnsi="Arial" w:cs="Arial"/>
          <w:bCs/>
        </w:rPr>
        <w:t>po</w:t>
      </w:r>
      <w:r w:rsidR="00E733C1">
        <w:rPr>
          <w:rFonts w:ascii="Arial" w:eastAsia="Calibri" w:hAnsi="Arial" w:cs="Arial"/>
          <w:bCs/>
        </w:rPr>
        <w:t>s</w:t>
      </w:r>
      <w:r>
        <w:rPr>
          <w:rFonts w:ascii="Arial" w:eastAsia="Calibri" w:hAnsi="Arial" w:cs="Arial"/>
          <w:bCs/>
        </w:rPr>
        <w:t xml:space="preserve">tavljanje ograde oko crkve Velike gospe u </w:t>
      </w:r>
      <w:r w:rsidR="00E733C1">
        <w:rPr>
          <w:rFonts w:ascii="Arial" w:eastAsia="Calibri" w:hAnsi="Arial" w:cs="Arial"/>
          <w:bCs/>
        </w:rPr>
        <w:t>Lovornom 5.514,60 €,</w:t>
      </w:r>
    </w:p>
    <w:p w14:paraId="0C0DAE88" w14:textId="1B826C8D" w:rsidR="00E733C1" w:rsidRDefault="00876E4A" w:rsidP="00E20E01">
      <w:pPr>
        <w:pStyle w:val="Odlomakpopisa"/>
        <w:numPr>
          <w:ilvl w:val="0"/>
          <w:numId w:val="3"/>
        </w:numPr>
        <w:autoSpaceDE w:val="0"/>
        <w:autoSpaceDN w:val="0"/>
        <w:adjustRightInd w:val="0"/>
        <w:ind w:left="567" w:hanging="567"/>
        <w:rPr>
          <w:rFonts w:ascii="Arial" w:eastAsia="Calibri" w:hAnsi="Arial" w:cs="Arial"/>
          <w:bCs/>
        </w:rPr>
      </w:pPr>
      <w:r>
        <w:rPr>
          <w:rFonts w:ascii="Arial" w:eastAsia="Calibri" w:hAnsi="Arial" w:cs="Arial"/>
          <w:bCs/>
        </w:rPr>
        <w:t>radovi na crkvi i župnom dvoru u Pridvroju 12.306,75 € (</w:t>
      </w:r>
      <w:r w:rsidR="00E733C1">
        <w:rPr>
          <w:rFonts w:ascii="Arial" w:eastAsia="Calibri" w:hAnsi="Arial" w:cs="Arial"/>
          <w:bCs/>
        </w:rPr>
        <w:t>hidroizolaterski radovi na terasi crkve Sv. Srđa i Baha u Pridvorju 6.323,75 €, postavljanje toplinske izolacije u istoj crkvi 2.875 €, kao i izrada i montaža ograde za župni dvor u Pridvorju 1.710 €</w:t>
      </w:r>
      <w:r>
        <w:rPr>
          <w:rFonts w:ascii="Arial" w:eastAsia="Calibri" w:hAnsi="Arial" w:cs="Arial"/>
          <w:bCs/>
        </w:rPr>
        <w:t xml:space="preserve"> i popločavanje ravnog krova na vjeronaučnoj dvorani u okviru župnog dvora u Pridvorju 1.398 €),</w:t>
      </w:r>
    </w:p>
    <w:p w14:paraId="1DA14D18" w14:textId="155188FE" w:rsidR="00E733C1" w:rsidRDefault="00E733C1" w:rsidP="00E20E01">
      <w:pPr>
        <w:pStyle w:val="Odlomakpopisa"/>
        <w:numPr>
          <w:ilvl w:val="0"/>
          <w:numId w:val="3"/>
        </w:numPr>
        <w:autoSpaceDE w:val="0"/>
        <w:autoSpaceDN w:val="0"/>
        <w:adjustRightInd w:val="0"/>
        <w:ind w:left="567" w:hanging="567"/>
        <w:rPr>
          <w:rFonts w:ascii="Arial" w:eastAsia="Calibri" w:hAnsi="Arial" w:cs="Arial"/>
          <w:bCs/>
        </w:rPr>
      </w:pPr>
      <w:r>
        <w:rPr>
          <w:rFonts w:ascii="Arial" w:eastAsia="Calibri" w:hAnsi="Arial" w:cs="Arial"/>
          <w:bCs/>
        </w:rPr>
        <w:t>nabava i postavljanje dvokrilnih vrata za crkvu sv. Ivana u Čilipima 1.437,50 €,</w:t>
      </w:r>
    </w:p>
    <w:p w14:paraId="6F762E33" w14:textId="55958306" w:rsidR="00E733C1" w:rsidRDefault="00E733C1" w:rsidP="00E20E01">
      <w:pPr>
        <w:pStyle w:val="Odlomakpopisa"/>
        <w:numPr>
          <w:ilvl w:val="0"/>
          <w:numId w:val="3"/>
        </w:numPr>
        <w:autoSpaceDE w:val="0"/>
        <w:autoSpaceDN w:val="0"/>
        <w:adjustRightInd w:val="0"/>
        <w:ind w:left="567" w:hanging="567"/>
        <w:rPr>
          <w:rFonts w:ascii="Arial" w:eastAsia="Calibri" w:hAnsi="Arial" w:cs="Arial"/>
          <w:bCs/>
        </w:rPr>
      </w:pPr>
      <w:r>
        <w:rPr>
          <w:rFonts w:ascii="Arial" w:eastAsia="Calibri" w:hAnsi="Arial" w:cs="Arial"/>
          <w:bCs/>
        </w:rPr>
        <w:t>postavljanje ograde oko Đurđeve crkve u Cavtatu (Mećajac) 630 €,</w:t>
      </w:r>
    </w:p>
    <w:p w14:paraId="4E3F031A" w14:textId="21A76C5A" w:rsidR="00E733C1" w:rsidRDefault="00E733C1" w:rsidP="00E20E01">
      <w:pPr>
        <w:pStyle w:val="Odlomakpopisa"/>
        <w:numPr>
          <w:ilvl w:val="0"/>
          <w:numId w:val="3"/>
        </w:numPr>
        <w:autoSpaceDE w:val="0"/>
        <w:autoSpaceDN w:val="0"/>
        <w:adjustRightInd w:val="0"/>
        <w:ind w:left="567" w:hanging="567"/>
        <w:rPr>
          <w:rFonts w:ascii="Arial" w:eastAsia="Calibri" w:hAnsi="Arial" w:cs="Arial"/>
          <w:bCs/>
        </w:rPr>
      </w:pPr>
      <w:r>
        <w:rPr>
          <w:rFonts w:ascii="Arial" w:eastAsia="Calibri" w:hAnsi="Arial" w:cs="Arial"/>
          <w:bCs/>
        </w:rPr>
        <w:t xml:space="preserve">izrada i montaža spomenika ispred crkve sv. Trojstva na Grudi 1.850 €, </w:t>
      </w:r>
    </w:p>
    <w:p w14:paraId="74C890B7" w14:textId="2890B92F" w:rsidR="00876E4A" w:rsidRDefault="00876E4A" w:rsidP="00E20E01">
      <w:pPr>
        <w:pStyle w:val="Odlomakpopisa"/>
        <w:numPr>
          <w:ilvl w:val="0"/>
          <w:numId w:val="3"/>
        </w:numPr>
        <w:autoSpaceDE w:val="0"/>
        <w:autoSpaceDN w:val="0"/>
        <w:adjustRightInd w:val="0"/>
        <w:ind w:left="567" w:hanging="567"/>
        <w:rPr>
          <w:rFonts w:ascii="Arial" w:eastAsia="Calibri" w:hAnsi="Arial" w:cs="Arial"/>
          <w:bCs/>
        </w:rPr>
      </w:pPr>
      <w:r>
        <w:rPr>
          <w:rFonts w:ascii="Arial" w:eastAsia="Calibri" w:hAnsi="Arial" w:cs="Arial"/>
          <w:bCs/>
        </w:rPr>
        <w:t xml:space="preserve">uređenje platoa na trgu ispred crkve u Pločicama 31.011,81 €, </w:t>
      </w:r>
    </w:p>
    <w:p w14:paraId="1A44E80D" w14:textId="1478E0A7" w:rsidR="00876E4A" w:rsidRDefault="00876E4A" w:rsidP="00E20E01">
      <w:pPr>
        <w:pStyle w:val="Odlomakpopisa"/>
        <w:numPr>
          <w:ilvl w:val="0"/>
          <w:numId w:val="3"/>
        </w:numPr>
        <w:autoSpaceDE w:val="0"/>
        <w:autoSpaceDN w:val="0"/>
        <w:adjustRightInd w:val="0"/>
        <w:ind w:left="567" w:hanging="567"/>
        <w:rPr>
          <w:rFonts w:ascii="Arial" w:eastAsia="Calibri" w:hAnsi="Arial" w:cs="Arial"/>
          <w:bCs/>
        </w:rPr>
      </w:pPr>
      <w:r>
        <w:rPr>
          <w:rFonts w:ascii="Arial" w:eastAsia="Calibri" w:hAnsi="Arial" w:cs="Arial"/>
          <w:bCs/>
        </w:rPr>
        <w:t>uređenje pristupnog puta prema groblju sv. Ivan u Vodovađi sa uslugama nadzora 32.778,63 €,</w:t>
      </w:r>
    </w:p>
    <w:p w14:paraId="038239E8" w14:textId="237BDF2A" w:rsidR="00876E4A" w:rsidRPr="00F61681" w:rsidRDefault="00876E4A" w:rsidP="00E20E01">
      <w:pPr>
        <w:pStyle w:val="Odlomakpopisa"/>
        <w:numPr>
          <w:ilvl w:val="0"/>
          <w:numId w:val="3"/>
        </w:numPr>
        <w:autoSpaceDE w:val="0"/>
        <w:autoSpaceDN w:val="0"/>
        <w:adjustRightInd w:val="0"/>
        <w:ind w:left="567" w:hanging="567"/>
        <w:rPr>
          <w:rFonts w:ascii="Arial" w:eastAsia="Calibri" w:hAnsi="Arial" w:cs="Arial"/>
          <w:bCs/>
        </w:rPr>
      </w:pPr>
      <w:r>
        <w:rPr>
          <w:rFonts w:ascii="Arial" w:eastAsia="Calibri" w:hAnsi="Arial" w:cs="Arial"/>
          <w:bCs/>
        </w:rPr>
        <w:t>radovi uređenja dvorane u samostanu u Pridvorju za potrebe organizacije dana Općine 9.281,25 € (elektroinstalacije u dvorani, soboslikarski radovi, instalacija rasvjete, uređenje spomen ploče, čišćenje sanitarnog čvora).</w:t>
      </w:r>
    </w:p>
    <w:p w14:paraId="59C6CD62" w14:textId="77777777" w:rsidR="00184A8E" w:rsidRDefault="00184A8E" w:rsidP="00184A8E">
      <w:pPr>
        <w:autoSpaceDE w:val="0"/>
        <w:autoSpaceDN w:val="0"/>
        <w:adjustRightInd w:val="0"/>
        <w:spacing w:after="0" w:line="240" w:lineRule="auto"/>
        <w:jc w:val="both"/>
        <w:rPr>
          <w:rFonts w:ascii="Arial" w:eastAsia="Calibri" w:hAnsi="Arial" w:cs="Arial"/>
          <w:bCs/>
          <w:sz w:val="20"/>
          <w:szCs w:val="20"/>
          <w:lang w:eastAsia="en-US"/>
        </w:rPr>
      </w:pPr>
    </w:p>
    <w:p w14:paraId="241E42DA" w14:textId="77777777" w:rsidR="007E5C36" w:rsidRPr="00BB6FB9" w:rsidRDefault="007E5C36" w:rsidP="00184A8E">
      <w:pPr>
        <w:autoSpaceDE w:val="0"/>
        <w:autoSpaceDN w:val="0"/>
        <w:adjustRightInd w:val="0"/>
        <w:spacing w:after="0" w:line="240" w:lineRule="auto"/>
        <w:jc w:val="both"/>
        <w:rPr>
          <w:rFonts w:ascii="Arial" w:eastAsia="Calibri" w:hAnsi="Arial" w:cs="Arial"/>
          <w:bCs/>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51691954"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AC21540" w14:textId="77777777" w:rsidR="00184A8E" w:rsidRPr="00184A8E" w:rsidRDefault="00184A8E" w:rsidP="00184A8E">
            <w:pPr>
              <w:jc w:val="center"/>
              <w:rPr>
                <w:rFonts w:ascii="Arial" w:eastAsia="Calibri" w:hAnsi="Arial" w:cs="Arial"/>
              </w:rPr>
            </w:pPr>
            <w:r w:rsidRPr="00184A8E">
              <w:rPr>
                <w:rFonts w:ascii="Arial" w:eastAsia="Calibri" w:hAnsi="Arial" w:cs="Arial"/>
              </w:rPr>
              <w:lastRenderedPageBreak/>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2B5FA43"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A4EB727"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8D532B4"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606ED92" w14:textId="093C182A"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E20E01">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2D4CD23" w14:textId="1318C8B1"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E20E01">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8CE7C0E" w14:textId="4E703048"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E20E01">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479CB5F" w14:textId="2F4186A5"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E20E01">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F7BF4BE" w14:textId="063198AF" w:rsidR="00184A8E" w:rsidRPr="00184A8E" w:rsidRDefault="00184A8E" w:rsidP="00184A8E">
            <w:pPr>
              <w:jc w:val="center"/>
              <w:rPr>
                <w:rFonts w:ascii="Arial" w:eastAsia="Calibri" w:hAnsi="Arial" w:cs="Arial"/>
              </w:rPr>
            </w:pPr>
            <w:r w:rsidRPr="00184A8E">
              <w:rPr>
                <w:rFonts w:ascii="Arial" w:eastAsia="Calibri" w:hAnsi="Arial" w:cs="Arial"/>
              </w:rPr>
              <w:t>Ciljana vrijednost 20</w:t>
            </w:r>
            <w:r w:rsidR="00E20E01">
              <w:rPr>
                <w:rFonts w:ascii="Arial" w:eastAsia="Calibri" w:hAnsi="Arial" w:cs="Arial"/>
              </w:rPr>
              <w:t>27</w:t>
            </w:r>
            <w:r w:rsidRPr="00184A8E">
              <w:rPr>
                <w:rFonts w:ascii="Arial" w:eastAsia="Calibri" w:hAnsi="Arial" w:cs="Arial"/>
              </w:rPr>
              <w:t>.</w:t>
            </w:r>
          </w:p>
        </w:tc>
      </w:tr>
      <w:tr w:rsidR="00184A8E" w:rsidRPr="00184A8E" w14:paraId="055C0DC9"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47FD928B" w14:textId="5C821679" w:rsidR="00184A8E" w:rsidRPr="00184A8E" w:rsidRDefault="00184A8E" w:rsidP="00184A8E">
            <w:pPr>
              <w:rPr>
                <w:rFonts w:ascii="Arial" w:hAnsi="Arial" w:cs="Arial"/>
                <w:sz w:val="14"/>
                <w:szCs w:val="14"/>
              </w:rPr>
            </w:pPr>
            <w:r w:rsidRPr="00184A8E">
              <w:rPr>
                <w:rFonts w:ascii="Arial" w:hAnsi="Arial" w:cs="Arial"/>
                <w:sz w:val="14"/>
                <w:szCs w:val="14"/>
              </w:rPr>
              <w:t xml:space="preserve">Izvršavanje rashoda za sanaciju </w:t>
            </w:r>
            <w:r w:rsidR="00E20E01">
              <w:rPr>
                <w:rFonts w:ascii="Arial" w:hAnsi="Arial" w:cs="Arial"/>
                <w:sz w:val="14"/>
                <w:szCs w:val="14"/>
              </w:rPr>
              <w:t>uređenje prostora sakralnih objekata i okoliša sakralnih objekata</w:t>
            </w:r>
            <w:r w:rsidRPr="00184A8E">
              <w:rPr>
                <w:rFonts w:ascii="Arial" w:hAnsi="Arial" w:cs="Arial"/>
                <w:sz w:val="14"/>
                <w:szCs w:val="14"/>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65EBAEF8" w14:textId="3273CBD3" w:rsidR="00184A8E" w:rsidRPr="00184A8E" w:rsidRDefault="00184A8E" w:rsidP="00184A8E">
            <w:pPr>
              <w:autoSpaceDE w:val="0"/>
              <w:autoSpaceDN w:val="0"/>
              <w:adjustRightInd w:val="0"/>
              <w:rPr>
                <w:rFonts w:ascii="Arial" w:hAnsi="Arial" w:cs="Arial"/>
              </w:rPr>
            </w:pPr>
            <w:r w:rsidRPr="00184A8E">
              <w:rPr>
                <w:rFonts w:ascii="Arial" w:hAnsi="Arial" w:cs="Arial"/>
              </w:rPr>
              <w:t xml:space="preserve">Postotak izvršenja rashoda </w:t>
            </w:r>
          </w:p>
        </w:tc>
        <w:tc>
          <w:tcPr>
            <w:tcW w:w="958" w:type="dxa"/>
            <w:tcBorders>
              <w:top w:val="single" w:sz="4" w:space="0" w:color="auto"/>
              <w:left w:val="single" w:sz="4" w:space="0" w:color="auto"/>
              <w:bottom w:val="single" w:sz="4" w:space="0" w:color="auto"/>
              <w:right w:val="single" w:sz="4" w:space="0" w:color="auto"/>
            </w:tcBorders>
            <w:vAlign w:val="center"/>
          </w:tcPr>
          <w:p w14:paraId="1DA43D15"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40C81211"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5669DBEF" w14:textId="2DF4F47B" w:rsidR="00184A8E" w:rsidRPr="00184A8E" w:rsidRDefault="00E20E01" w:rsidP="00184A8E">
            <w:pPr>
              <w:jc w:val="center"/>
              <w:rPr>
                <w:rFonts w:ascii="Arial" w:hAnsi="Arial" w:cs="Arial"/>
              </w:rPr>
            </w:pPr>
            <w:r>
              <w:rPr>
                <w:rFonts w:ascii="Arial" w:hAnsi="Arial" w:cs="Arial"/>
              </w:rPr>
              <w:t>71</w:t>
            </w:r>
          </w:p>
        </w:tc>
        <w:tc>
          <w:tcPr>
            <w:tcW w:w="1276" w:type="dxa"/>
            <w:tcBorders>
              <w:top w:val="single" w:sz="4" w:space="0" w:color="auto"/>
              <w:left w:val="single" w:sz="4" w:space="0" w:color="auto"/>
              <w:bottom w:val="single" w:sz="4" w:space="0" w:color="auto"/>
              <w:right w:val="single" w:sz="4" w:space="0" w:color="auto"/>
            </w:tcBorders>
            <w:vAlign w:val="center"/>
          </w:tcPr>
          <w:p w14:paraId="36273DC9"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1A7A1952" w14:textId="78B77E43" w:rsidR="00184A8E" w:rsidRPr="00184A8E" w:rsidRDefault="00E20E01" w:rsidP="00184A8E">
            <w:pPr>
              <w:jc w:val="center"/>
              <w:rPr>
                <w:rFonts w:ascii="Arial" w:hAnsi="Arial" w:cs="Arial"/>
              </w:rPr>
            </w:pPr>
            <w:r>
              <w:rPr>
                <w:rFonts w:ascii="Arial" w:hAnsi="Arial" w:cs="Arial"/>
              </w:rPr>
              <w:t>68</w:t>
            </w:r>
          </w:p>
        </w:tc>
        <w:tc>
          <w:tcPr>
            <w:tcW w:w="1242" w:type="dxa"/>
            <w:tcBorders>
              <w:top w:val="single" w:sz="4" w:space="0" w:color="000000"/>
              <w:left w:val="single" w:sz="4" w:space="0" w:color="000000"/>
              <w:bottom w:val="single" w:sz="4" w:space="0" w:color="000000"/>
              <w:right w:val="single" w:sz="4" w:space="0" w:color="000000"/>
            </w:tcBorders>
            <w:vAlign w:val="center"/>
          </w:tcPr>
          <w:p w14:paraId="592A1556"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3E816713" w14:textId="77777777" w:rsidR="00184A8E" w:rsidRPr="00184A8E" w:rsidRDefault="00184A8E" w:rsidP="00184A8E">
            <w:pPr>
              <w:jc w:val="center"/>
              <w:rPr>
                <w:rFonts w:ascii="Arial" w:hAnsi="Arial" w:cs="Arial"/>
              </w:rPr>
            </w:pPr>
            <w:r w:rsidRPr="00184A8E">
              <w:rPr>
                <w:rFonts w:ascii="Arial" w:hAnsi="Arial" w:cs="Arial"/>
              </w:rPr>
              <w:t>0</w:t>
            </w:r>
          </w:p>
        </w:tc>
      </w:tr>
    </w:tbl>
    <w:p w14:paraId="37898F3E" w14:textId="77777777" w:rsidR="00184A8E" w:rsidRPr="00184A8E" w:rsidRDefault="00184A8E" w:rsidP="00184A8E">
      <w:pPr>
        <w:autoSpaceDE w:val="0"/>
        <w:autoSpaceDN w:val="0"/>
        <w:adjustRightInd w:val="0"/>
        <w:spacing w:after="0" w:line="240" w:lineRule="auto"/>
        <w:jc w:val="both"/>
        <w:rPr>
          <w:rFonts w:ascii="Arial" w:eastAsia="Calibri" w:hAnsi="Arial" w:cs="Arial"/>
          <w:b/>
          <w:sz w:val="20"/>
          <w:szCs w:val="20"/>
          <w:lang w:eastAsia="en-US"/>
        </w:rPr>
      </w:pPr>
    </w:p>
    <w:p w14:paraId="33491258" w14:textId="7E0ED001"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5. T210405: </w:t>
      </w:r>
      <w:r w:rsidRPr="00184A8E">
        <w:rPr>
          <w:rFonts w:ascii="Arial" w:eastAsia="Times New Roman" w:hAnsi="Arial" w:cs="Arial"/>
          <w:b/>
          <w:iCs/>
          <w:sz w:val="20"/>
          <w:szCs w:val="20"/>
          <w:lang w:eastAsia="en-US"/>
        </w:rPr>
        <w:t>Ulaganja u objekte javne namjene – kulture, turizam</w:t>
      </w:r>
      <w:r w:rsidRPr="00184A8E">
        <w:rPr>
          <w:rFonts w:ascii="Arial" w:eastAsia="Calibri" w:hAnsi="Arial" w:cs="Arial"/>
          <w:sz w:val="20"/>
          <w:szCs w:val="20"/>
          <w:lang w:eastAsia="en-US"/>
        </w:rPr>
        <w:t xml:space="preserve"> - Proračunska sredstva su planirana u iznosu </w:t>
      </w:r>
      <w:r w:rsidR="00E20E01">
        <w:rPr>
          <w:rFonts w:ascii="Arial" w:eastAsia="Calibri" w:hAnsi="Arial" w:cs="Arial"/>
          <w:sz w:val="20"/>
          <w:szCs w:val="20"/>
          <w:lang w:eastAsia="en-US"/>
        </w:rPr>
        <w:t>20.000</w:t>
      </w:r>
      <w:r w:rsidRPr="00184A8E">
        <w:rPr>
          <w:rFonts w:ascii="Arial" w:eastAsia="Calibri" w:hAnsi="Arial" w:cs="Arial"/>
          <w:sz w:val="20"/>
          <w:szCs w:val="20"/>
          <w:lang w:eastAsia="en-US"/>
        </w:rPr>
        <w:t xml:space="preserve"> €. Planirani rashodi se odnose na državanje wi-fi sustava u Čilipima i drugo. </w:t>
      </w:r>
    </w:p>
    <w:p w14:paraId="37CB55A0" w14:textId="77777777" w:rsidR="00184A8E" w:rsidRDefault="00184A8E" w:rsidP="00184A8E">
      <w:pPr>
        <w:autoSpaceDE w:val="0"/>
        <w:autoSpaceDN w:val="0"/>
        <w:adjustRightInd w:val="0"/>
        <w:spacing w:after="0" w:line="240" w:lineRule="auto"/>
        <w:jc w:val="both"/>
        <w:rPr>
          <w:rFonts w:ascii="Arial" w:eastAsia="Calibri" w:hAnsi="Arial" w:cs="Arial"/>
          <w:bCs/>
          <w:sz w:val="20"/>
          <w:szCs w:val="20"/>
          <w:lang w:eastAsia="en-US"/>
        </w:rPr>
      </w:pPr>
    </w:p>
    <w:p w14:paraId="6056479D" w14:textId="79D920AA" w:rsidR="00E20E01" w:rsidRDefault="00E20E01" w:rsidP="00184A8E">
      <w:pPr>
        <w:autoSpaceDE w:val="0"/>
        <w:autoSpaceDN w:val="0"/>
        <w:adjustRightInd w:val="0"/>
        <w:spacing w:after="0" w:line="240" w:lineRule="auto"/>
        <w:jc w:val="both"/>
        <w:rPr>
          <w:rFonts w:ascii="Arial" w:eastAsia="Calibri" w:hAnsi="Arial" w:cs="Arial"/>
          <w:bCs/>
          <w:sz w:val="20"/>
          <w:szCs w:val="20"/>
          <w:lang w:eastAsia="en-US"/>
        </w:rPr>
      </w:pPr>
      <w:r>
        <w:rPr>
          <w:rFonts w:ascii="Arial" w:eastAsia="Calibri" w:hAnsi="Arial" w:cs="Arial"/>
          <w:bCs/>
          <w:sz w:val="20"/>
          <w:szCs w:val="20"/>
          <w:lang w:eastAsia="en-US"/>
        </w:rPr>
        <w:t>Rashodi u 2025. godini su izvršeni u iznosu 4.885,17 € i odnose se na:</w:t>
      </w:r>
    </w:p>
    <w:p w14:paraId="7ACA58F1" w14:textId="77777777" w:rsidR="00E20E01" w:rsidRDefault="00E20E01" w:rsidP="00E20E01">
      <w:pPr>
        <w:autoSpaceDE w:val="0"/>
        <w:autoSpaceDN w:val="0"/>
        <w:adjustRightInd w:val="0"/>
        <w:spacing w:after="0" w:line="240" w:lineRule="auto"/>
        <w:ind w:left="567"/>
        <w:jc w:val="both"/>
        <w:rPr>
          <w:rFonts w:ascii="Arial" w:eastAsia="Calibri" w:hAnsi="Arial" w:cs="Arial"/>
          <w:sz w:val="20"/>
          <w:szCs w:val="20"/>
          <w:lang w:eastAsia="en-US"/>
        </w:rPr>
      </w:pPr>
      <w:r w:rsidRPr="00E20E01">
        <w:rPr>
          <w:rFonts w:ascii="Arial" w:eastAsia="Calibri" w:hAnsi="Arial" w:cs="Arial"/>
          <w:sz w:val="20"/>
          <w:szCs w:val="20"/>
          <w:lang w:eastAsia="en-US"/>
        </w:rPr>
        <w:t>- održavanje wifi sustava u Čilipima u iznosu 2.538,36 €,</w:t>
      </w:r>
    </w:p>
    <w:p w14:paraId="2D62E7A0" w14:textId="1D8F3001" w:rsidR="005D39F1" w:rsidRDefault="005D39F1" w:rsidP="00E20E01">
      <w:pPr>
        <w:autoSpaceDE w:val="0"/>
        <w:autoSpaceDN w:val="0"/>
        <w:adjustRightInd w:val="0"/>
        <w:spacing w:after="0" w:line="240" w:lineRule="auto"/>
        <w:ind w:left="567"/>
        <w:jc w:val="both"/>
        <w:rPr>
          <w:rFonts w:ascii="Arial" w:eastAsia="Calibri" w:hAnsi="Arial" w:cs="Arial"/>
          <w:sz w:val="20"/>
          <w:szCs w:val="20"/>
          <w:lang w:eastAsia="en-US"/>
        </w:rPr>
      </w:pPr>
      <w:r>
        <w:rPr>
          <w:rFonts w:ascii="Arial" w:eastAsia="Calibri" w:hAnsi="Arial" w:cs="Arial"/>
          <w:sz w:val="20"/>
          <w:szCs w:val="20"/>
          <w:lang w:eastAsia="en-US"/>
        </w:rPr>
        <w:t>- nabavu adaptera i swich, te konfiguraciju i instalaciju sustava u okviru WIFI4EU inicijative u iznosu 1.146,81 €, te</w:t>
      </w:r>
    </w:p>
    <w:p w14:paraId="17629B4F" w14:textId="4D7B2E11" w:rsidR="005D39F1" w:rsidRPr="00E20E01" w:rsidRDefault="005D39F1" w:rsidP="00E20E01">
      <w:pPr>
        <w:autoSpaceDE w:val="0"/>
        <w:autoSpaceDN w:val="0"/>
        <w:adjustRightInd w:val="0"/>
        <w:spacing w:after="0" w:line="240" w:lineRule="auto"/>
        <w:ind w:left="567"/>
        <w:jc w:val="both"/>
        <w:rPr>
          <w:rFonts w:ascii="Arial" w:eastAsia="Calibri" w:hAnsi="Arial" w:cs="Arial"/>
          <w:sz w:val="20"/>
          <w:szCs w:val="20"/>
          <w:lang w:eastAsia="en-US"/>
        </w:rPr>
      </w:pPr>
      <w:r>
        <w:rPr>
          <w:rFonts w:ascii="Arial" w:eastAsia="Calibri" w:hAnsi="Arial" w:cs="Arial"/>
          <w:sz w:val="20"/>
          <w:szCs w:val="20"/>
          <w:lang w:eastAsia="en-US"/>
        </w:rPr>
        <w:t>- nabavu i ugradnju klima uređaja u domu kulture u Dubravci (Mrcine) 1.200 €.</w:t>
      </w:r>
    </w:p>
    <w:p w14:paraId="58E9820C" w14:textId="77777777" w:rsidR="00E20E01" w:rsidRPr="00E20E01" w:rsidRDefault="00E20E01" w:rsidP="00184A8E">
      <w:pPr>
        <w:autoSpaceDE w:val="0"/>
        <w:autoSpaceDN w:val="0"/>
        <w:adjustRightInd w:val="0"/>
        <w:spacing w:after="0" w:line="240" w:lineRule="auto"/>
        <w:jc w:val="both"/>
        <w:rPr>
          <w:rFonts w:ascii="Arial" w:eastAsia="Calibri" w:hAnsi="Arial" w:cs="Arial"/>
          <w:bCs/>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6EEA4ED3"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EA0BBC9"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750CDA2"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1EDA1DD"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4673EE1"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7E3FBEE" w14:textId="72107148"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C72F97">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044C129" w14:textId="7A16CCED"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C72F97">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8B32AB8" w14:textId="1445768D"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C72F97">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C7AB31B" w14:textId="37D6771B"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C72F97">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35D99E" w14:textId="685A33EA"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C72F97">
              <w:rPr>
                <w:rFonts w:ascii="Arial" w:eastAsia="Calibri" w:hAnsi="Arial" w:cs="Arial"/>
              </w:rPr>
              <w:t>7</w:t>
            </w:r>
            <w:r w:rsidRPr="00184A8E">
              <w:rPr>
                <w:rFonts w:ascii="Arial" w:eastAsia="Calibri" w:hAnsi="Arial" w:cs="Arial"/>
              </w:rPr>
              <w:t>.</w:t>
            </w:r>
          </w:p>
        </w:tc>
      </w:tr>
      <w:tr w:rsidR="00184A8E" w:rsidRPr="00184A8E" w14:paraId="16811A64"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5A0E79BE" w14:textId="77777777" w:rsidR="00184A8E" w:rsidRPr="00184A8E" w:rsidRDefault="00184A8E" w:rsidP="00184A8E">
            <w:pPr>
              <w:rPr>
                <w:rFonts w:ascii="Arial" w:hAnsi="Arial" w:cs="Arial"/>
                <w:sz w:val="14"/>
                <w:szCs w:val="14"/>
              </w:rPr>
            </w:pPr>
            <w:r w:rsidRPr="00184A8E">
              <w:rPr>
                <w:rFonts w:ascii="Arial" w:hAnsi="Arial" w:cs="Arial"/>
                <w:sz w:val="14"/>
                <w:szCs w:val="14"/>
              </w:rPr>
              <w:t>Izvršavanje usluga održavanja wi-fi sustava</w:t>
            </w:r>
          </w:p>
        </w:tc>
        <w:tc>
          <w:tcPr>
            <w:tcW w:w="3402" w:type="dxa"/>
            <w:tcBorders>
              <w:top w:val="single" w:sz="4" w:space="0" w:color="auto"/>
              <w:left w:val="single" w:sz="4" w:space="0" w:color="auto"/>
              <w:bottom w:val="single" w:sz="4" w:space="0" w:color="auto"/>
              <w:right w:val="single" w:sz="4" w:space="0" w:color="auto"/>
            </w:tcBorders>
            <w:vAlign w:val="center"/>
          </w:tcPr>
          <w:p w14:paraId="7861472F" w14:textId="77777777" w:rsidR="00184A8E" w:rsidRPr="00184A8E" w:rsidRDefault="00184A8E" w:rsidP="00184A8E">
            <w:pPr>
              <w:autoSpaceDE w:val="0"/>
              <w:autoSpaceDN w:val="0"/>
              <w:adjustRightInd w:val="0"/>
              <w:rPr>
                <w:rFonts w:ascii="Arial" w:hAnsi="Arial" w:cs="Arial"/>
                <w:sz w:val="16"/>
                <w:szCs w:val="16"/>
              </w:rPr>
            </w:pPr>
            <w:r w:rsidRPr="00184A8E">
              <w:rPr>
                <w:rFonts w:ascii="Arial" w:hAnsi="Arial" w:cs="Arial"/>
                <w:sz w:val="16"/>
                <w:szCs w:val="16"/>
              </w:rPr>
              <w:t>Postotak izvršenja planiranih rashoda za održavanje wi-fi sustav u Čilipima</w:t>
            </w:r>
          </w:p>
        </w:tc>
        <w:tc>
          <w:tcPr>
            <w:tcW w:w="958" w:type="dxa"/>
            <w:tcBorders>
              <w:top w:val="single" w:sz="4" w:space="0" w:color="auto"/>
              <w:left w:val="single" w:sz="4" w:space="0" w:color="auto"/>
              <w:bottom w:val="single" w:sz="4" w:space="0" w:color="auto"/>
              <w:right w:val="single" w:sz="4" w:space="0" w:color="auto"/>
            </w:tcBorders>
            <w:vAlign w:val="center"/>
          </w:tcPr>
          <w:p w14:paraId="46F4DC1F"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3AAD6974"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29B358F7" w14:textId="77777777" w:rsidR="00184A8E" w:rsidRPr="00184A8E" w:rsidRDefault="00184A8E" w:rsidP="00184A8E">
            <w:pPr>
              <w:jc w:val="center"/>
              <w:rPr>
                <w:rFonts w:ascii="Arial" w:hAnsi="Arial" w:cs="Arial"/>
              </w:rPr>
            </w:pPr>
            <w:r w:rsidRPr="00184A8E">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068BCB1"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2D1BBEA6"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1C6DB2CF"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37717422" w14:textId="77777777" w:rsidR="00184A8E" w:rsidRPr="00184A8E" w:rsidRDefault="00184A8E" w:rsidP="00184A8E">
            <w:pPr>
              <w:jc w:val="center"/>
              <w:rPr>
                <w:rFonts w:ascii="Arial" w:hAnsi="Arial" w:cs="Arial"/>
              </w:rPr>
            </w:pPr>
            <w:r w:rsidRPr="00184A8E">
              <w:rPr>
                <w:rFonts w:ascii="Arial" w:hAnsi="Arial" w:cs="Arial"/>
              </w:rPr>
              <w:t>100</w:t>
            </w:r>
          </w:p>
        </w:tc>
      </w:tr>
    </w:tbl>
    <w:p w14:paraId="71DE203A" w14:textId="77777777" w:rsidR="00184A8E" w:rsidRPr="00184A8E" w:rsidRDefault="00184A8E" w:rsidP="00184A8E">
      <w:pPr>
        <w:autoSpaceDE w:val="0"/>
        <w:autoSpaceDN w:val="0"/>
        <w:adjustRightInd w:val="0"/>
        <w:spacing w:after="0" w:line="240" w:lineRule="auto"/>
        <w:jc w:val="both"/>
        <w:rPr>
          <w:rFonts w:ascii="Arial" w:eastAsia="Calibri" w:hAnsi="Arial" w:cs="Arial"/>
          <w:b/>
          <w:sz w:val="20"/>
          <w:szCs w:val="20"/>
          <w:lang w:eastAsia="en-US"/>
        </w:rPr>
      </w:pPr>
    </w:p>
    <w:p w14:paraId="71875039" w14:textId="3DB9BBBD"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6. T210406: Ulaganja u objekte javne namjene – kultura, Spomen kuća hrvatskog lijeričara</w:t>
      </w:r>
      <w:r w:rsidRPr="00184A8E">
        <w:rPr>
          <w:rFonts w:ascii="Arial" w:eastAsia="Calibri" w:hAnsi="Arial" w:cs="Arial"/>
          <w:sz w:val="20"/>
          <w:szCs w:val="20"/>
          <w:lang w:eastAsia="en-US"/>
        </w:rPr>
        <w:t xml:space="preserve"> - Proračunska sredstva su planirana u iznosu </w:t>
      </w:r>
      <w:r w:rsidR="00C72F97">
        <w:rPr>
          <w:rFonts w:ascii="Arial" w:eastAsia="Calibri" w:hAnsi="Arial" w:cs="Arial"/>
          <w:sz w:val="20"/>
          <w:szCs w:val="20"/>
          <w:lang w:eastAsia="en-US"/>
        </w:rPr>
        <w:t>17</w:t>
      </w:r>
      <w:r w:rsidRPr="00184A8E">
        <w:rPr>
          <w:rFonts w:ascii="Arial" w:eastAsia="Calibri" w:hAnsi="Arial" w:cs="Arial"/>
          <w:sz w:val="20"/>
          <w:szCs w:val="20"/>
          <w:lang w:eastAsia="en-US"/>
        </w:rPr>
        <w:t xml:space="preserve">.000 €. Planirana sredstva se odnose usluge čišćenja okoliša objekata (Pridvorje), te pripremne radove na uređenju objekta za kulturne namjene i usluge izrade projekata. Izvođenje radova preuređenja ovisi o osiguravanju financijskih sredstava. </w:t>
      </w:r>
      <w:r w:rsidR="00C72F97">
        <w:rPr>
          <w:rFonts w:ascii="Arial" w:eastAsia="Calibri" w:hAnsi="Arial" w:cs="Arial"/>
          <w:sz w:val="20"/>
          <w:szCs w:val="20"/>
          <w:lang w:eastAsia="en-US"/>
        </w:rPr>
        <w:t>U 2025. godini nisu izvršeni rashodi.</w:t>
      </w:r>
    </w:p>
    <w:p w14:paraId="6F1D7DF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5977204F"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Rashodi u 2023. su bili izvršeni u iznosu 5.125 € i odnosili su se na izradu idejnog rješenja rekonstrukcije i adaptacije građevine za mediteranski muzej lijerice i poskočice – memorijalna kuća Nikolaša Skvičala.</w:t>
      </w:r>
    </w:p>
    <w:p w14:paraId="4A1F68F7" w14:textId="77777777" w:rsidR="00184A8E" w:rsidRPr="00C72F97" w:rsidRDefault="00184A8E" w:rsidP="00C72F97">
      <w:pPr>
        <w:autoSpaceDE w:val="0"/>
        <w:autoSpaceDN w:val="0"/>
        <w:adjustRightInd w:val="0"/>
        <w:spacing w:after="0" w:line="240" w:lineRule="auto"/>
        <w:ind w:left="567"/>
        <w:jc w:val="both"/>
        <w:rPr>
          <w:rFonts w:ascii="Arial" w:eastAsia="Calibri" w:hAnsi="Arial" w:cs="Arial"/>
          <w:sz w:val="18"/>
          <w:szCs w:val="18"/>
          <w:lang w:eastAsia="en-US"/>
        </w:rPr>
      </w:pPr>
    </w:p>
    <w:p w14:paraId="320AA5A5" w14:textId="2E7473CC" w:rsidR="00184A8E" w:rsidRPr="00184A8E" w:rsidRDefault="00184A8E" w:rsidP="00C72F97">
      <w:pPr>
        <w:autoSpaceDE w:val="0"/>
        <w:autoSpaceDN w:val="0"/>
        <w:adjustRightInd w:val="0"/>
        <w:spacing w:after="0" w:line="240" w:lineRule="auto"/>
        <w:ind w:left="567"/>
        <w:jc w:val="both"/>
        <w:rPr>
          <w:rFonts w:ascii="Arial" w:eastAsia="Calibri" w:hAnsi="Arial" w:cs="Arial"/>
          <w:sz w:val="20"/>
          <w:szCs w:val="20"/>
          <w:lang w:eastAsia="en-US"/>
        </w:rPr>
      </w:pPr>
      <w:r w:rsidRPr="00C72F97">
        <w:rPr>
          <w:rFonts w:ascii="Arial" w:eastAsia="Calibri" w:hAnsi="Arial" w:cs="Arial"/>
          <w:sz w:val="18"/>
          <w:szCs w:val="18"/>
          <w:lang w:eastAsia="en-US"/>
        </w:rPr>
        <w:t xml:space="preserve">Rashodi u 2024. su </w:t>
      </w:r>
      <w:r w:rsidR="00C72F97" w:rsidRPr="00C72F97">
        <w:rPr>
          <w:rFonts w:ascii="Arial" w:eastAsia="Calibri" w:hAnsi="Arial" w:cs="Arial"/>
          <w:sz w:val="18"/>
          <w:szCs w:val="18"/>
          <w:lang w:eastAsia="en-US"/>
        </w:rPr>
        <w:t xml:space="preserve">bili </w:t>
      </w:r>
      <w:r w:rsidRPr="00C72F97">
        <w:rPr>
          <w:rFonts w:ascii="Arial" w:eastAsia="Calibri" w:hAnsi="Arial" w:cs="Arial"/>
          <w:sz w:val="18"/>
          <w:szCs w:val="18"/>
          <w:lang w:eastAsia="en-US"/>
        </w:rPr>
        <w:t>izvršeni u iznosu 25.500 € i odnos</w:t>
      </w:r>
      <w:r w:rsidR="00C72F97" w:rsidRPr="00C72F97">
        <w:rPr>
          <w:rFonts w:ascii="Arial" w:eastAsia="Calibri" w:hAnsi="Arial" w:cs="Arial"/>
          <w:sz w:val="18"/>
          <w:szCs w:val="18"/>
          <w:lang w:eastAsia="en-US"/>
        </w:rPr>
        <w:t xml:space="preserve">ili su </w:t>
      </w:r>
      <w:r w:rsidRPr="00C72F97">
        <w:rPr>
          <w:rFonts w:ascii="Arial" w:eastAsia="Calibri" w:hAnsi="Arial" w:cs="Arial"/>
          <w:sz w:val="18"/>
          <w:szCs w:val="18"/>
          <w:lang w:eastAsia="en-US"/>
        </w:rPr>
        <w:t xml:space="preserve">se na izradu geodetskog elaborata evidentiranja stvarnog stanja č.zgr. 79 k.o. Pridvorje u svrhu izrade projektne dokumentacije (obavljene prijave u zemljišno knjižni odjel) u iznosu 1.125 €, te izrađeno idejno rješenje interijera i koncepta mauzelolškog postava za građevinu „Interpretacijski centar lijerice i poskočice – Memorijalna kuća Nikolaša Skvičala u Pridvorju“, te ishođena građevinska dozvola prema ugovoru iz siječnja 2024. u iznosu 24.375 €. </w:t>
      </w:r>
    </w:p>
    <w:p w14:paraId="5D818395" w14:textId="77777777" w:rsidR="00184A8E" w:rsidRPr="00C72F97" w:rsidRDefault="00184A8E" w:rsidP="00C72F97">
      <w:pPr>
        <w:autoSpaceDE w:val="0"/>
        <w:autoSpaceDN w:val="0"/>
        <w:adjustRightInd w:val="0"/>
        <w:spacing w:after="0" w:line="240" w:lineRule="auto"/>
        <w:ind w:left="567"/>
        <w:jc w:val="both"/>
        <w:rPr>
          <w:rFonts w:ascii="Arial" w:eastAsia="Calibri" w:hAnsi="Arial" w:cs="Arial"/>
          <w:b/>
          <w:sz w:val="18"/>
          <w:szCs w:val="18"/>
          <w:lang w:eastAsia="en-US"/>
        </w:rPr>
      </w:pPr>
    </w:p>
    <w:p w14:paraId="25946789" w14:textId="77777777" w:rsidR="00C72F97" w:rsidRPr="00C72F97" w:rsidRDefault="00C72F97" w:rsidP="00C72F97">
      <w:pPr>
        <w:autoSpaceDE w:val="0"/>
        <w:autoSpaceDN w:val="0"/>
        <w:adjustRightInd w:val="0"/>
        <w:spacing w:after="0" w:line="240" w:lineRule="auto"/>
        <w:ind w:left="567"/>
        <w:jc w:val="both"/>
        <w:rPr>
          <w:rFonts w:ascii="Arial" w:eastAsia="Calibri" w:hAnsi="Arial" w:cs="Arial"/>
          <w:bCs/>
          <w:sz w:val="18"/>
          <w:szCs w:val="18"/>
          <w:lang w:eastAsia="en-US"/>
        </w:rPr>
      </w:pPr>
      <w:r w:rsidRPr="00C72F97">
        <w:rPr>
          <w:rFonts w:ascii="Arial" w:eastAsia="Calibri" w:hAnsi="Arial" w:cs="Arial"/>
          <w:bCs/>
          <w:sz w:val="18"/>
          <w:szCs w:val="18"/>
          <w:lang w:eastAsia="en-US"/>
        </w:rPr>
        <w:t>Predmet ovog projekta je rekonstrukcija građevine u ruševnom stanju - ruševine te prenamjena iste u građevinu javne i društvene namjene (kulturna ustanova) – Interpretacijski centar – Mediteranski muzej lijerice i poskočice – Memorijalna kuća Nikolaša Skvičala.</w:t>
      </w:r>
    </w:p>
    <w:p w14:paraId="4954B4EE" w14:textId="77777777" w:rsidR="00C72F97" w:rsidRPr="00C72F97" w:rsidRDefault="00C72F97" w:rsidP="00C72F97">
      <w:pPr>
        <w:autoSpaceDE w:val="0"/>
        <w:autoSpaceDN w:val="0"/>
        <w:adjustRightInd w:val="0"/>
        <w:spacing w:after="0" w:line="240" w:lineRule="auto"/>
        <w:ind w:left="567"/>
        <w:jc w:val="both"/>
        <w:rPr>
          <w:rFonts w:ascii="Arial" w:eastAsia="Calibri" w:hAnsi="Arial" w:cs="Arial"/>
          <w:bCs/>
          <w:sz w:val="18"/>
          <w:szCs w:val="18"/>
          <w:lang w:eastAsia="en-US"/>
        </w:rPr>
      </w:pPr>
      <w:r w:rsidRPr="00C72F97">
        <w:rPr>
          <w:rFonts w:ascii="Arial" w:eastAsia="Calibri" w:hAnsi="Arial" w:cs="Arial"/>
          <w:bCs/>
          <w:sz w:val="18"/>
          <w:szCs w:val="18"/>
          <w:lang w:eastAsia="en-US"/>
        </w:rPr>
        <w:t>Predmetna građevinska čestica katastarske oznake k.č. 2441, k.o. Pridvorje, površine 250 m2, nepravilnog oblika. Rekonstrukcija ruševne građevine - ruševine uključuje konstrukcijsku obnovu - zadržavanje dijela postojećih vanjskih zidova suterena te dijela unutarnjih zidova suterena uz dodavanje novih konstrukcijskih elemenata - zidovi, ploče i krovovi. Predmetnim zahvatom se planira rekonstrukcija postojeće stambene građevine – ruševine u postojećim gabaritima sa zadržavanjem pozicija i dimenzija postojećih otvora te zadržavanje visine vijenca i zabata. Planirana vrijednost investicije iznosi 600.000 €.</w:t>
      </w:r>
    </w:p>
    <w:p w14:paraId="51ADF736" w14:textId="77777777" w:rsidR="00C72F97" w:rsidRPr="00C72F97" w:rsidRDefault="00C72F97" w:rsidP="00C72F97">
      <w:pPr>
        <w:autoSpaceDE w:val="0"/>
        <w:autoSpaceDN w:val="0"/>
        <w:adjustRightInd w:val="0"/>
        <w:spacing w:after="0" w:line="240" w:lineRule="auto"/>
        <w:ind w:left="567"/>
        <w:jc w:val="both"/>
        <w:rPr>
          <w:rFonts w:ascii="Arial" w:eastAsia="Calibri" w:hAnsi="Arial" w:cs="Arial"/>
          <w:bCs/>
          <w:sz w:val="18"/>
          <w:szCs w:val="18"/>
          <w:lang w:eastAsia="en-US"/>
        </w:rPr>
      </w:pPr>
      <w:r w:rsidRPr="00C72F97">
        <w:rPr>
          <w:rFonts w:ascii="Arial" w:eastAsia="Calibri" w:hAnsi="Arial" w:cs="Arial"/>
          <w:bCs/>
          <w:sz w:val="18"/>
          <w:szCs w:val="18"/>
          <w:lang w:eastAsia="en-US"/>
        </w:rPr>
        <w:t>Planirani interpretacijski centar sastoji se od etaže prizemlja na kojoj je glavni ulaz i etaže suterena. U prizemlju se nalazi izložbeni prostor, lift za osobe smanjene pokretljivosti i osobe s invaliditetom te stubište. U suterenu se nalazi dodatni izložbeni prostor te sanitarije za posjetitelje i spremišni prostor. Glavni ulaz u građevinu je na sjeveroistočnom pročelju.</w:t>
      </w:r>
    </w:p>
    <w:p w14:paraId="19F1A9E9" w14:textId="77777777" w:rsidR="00C72F97" w:rsidRPr="00C72F97" w:rsidRDefault="00C72F97" w:rsidP="00C72F97">
      <w:pPr>
        <w:autoSpaceDE w:val="0"/>
        <w:autoSpaceDN w:val="0"/>
        <w:adjustRightInd w:val="0"/>
        <w:spacing w:after="0" w:line="240" w:lineRule="auto"/>
        <w:ind w:left="567"/>
        <w:jc w:val="both"/>
        <w:rPr>
          <w:rFonts w:ascii="Arial" w:eastAsia="Calibri" w:hAnsi="Arial" w:cs="Arial"/>
          <w:bCs/>
          <w:sz w:val="18"/>
          <w:szCs w:val="18"/>
          <w:lang w:eastAsia="en-US"/>
        </w:rPr>
      </w:pPr>
    </w:p>
    <w:p w14:paraId="67101A92" w14:textId="77777777" w:rsidR="00C72F97" w:rsidRPr="00C72F97" w:rsidRDefault="00C72F97" w:rsidP="00C72F97">
      <w:pPr>
        <w:autoSpaceDE w:val="0"/>
        <w:autoSpaceDN w:val="0"/>
        <w:adjustRightInd w:val="0"/>
        <w:spacing w:after="0" w:line="240" w:lineRule="auto"/>
        <w:ind w:left="567"/>
        <w:jc w:val="both"/>
        <w:rPr>
          <w:rFonts w:ascii="Arial" w:eastAsia="Calibri" w:hAnsi="Arial" w:cs="Arial"/>
          <w:bCs/>
          <w:sz w:val="18"/>
          <w:szCs w:val="18"/>
          <w:lang w:eastAsia="en-US"/>
        </w:rPr>
      </w:pPr>
      <w:r w:rsidRPr="00C72F97">
        <w:rPr>
          <w:rFonts w:ascii="Arial" w:eastAsia="Calibri" w:hAnsi="Arial" w:cs="Arial"/>
          <w:bCs/>
          <w:sz w:val="18"/>
          <w:szCs w:val="18"/>
          <w:lang w:eastAsia="en-US"/>
        </w:rPr>
        <w:t xml:space="preserve">Izdana je Građevinska dozvola za Interpretacijski centar- Mediteranski muzej lijerice i poskočice- Memorijalna kuća Nikolaša Skvičala. Sada se može krenuti u izradu troškovnika koji su još ostali kao zadnja ugovorena faza. </w:t>
      </w:r>
    </w:p>
    <w:p w14:paraId="6FD84574" w14:textId="77777777" w:rsidR="00C72F97" w:rsidRPr="00C72F97" w:rsidRDefault="00C72F97" w:rsidP="00C72F97">
      <w:pPr>
        <w:numPr>
          <w:ilvl w:val="0"/>
          <w:numId w:val="26"/>
        </w:numPr>
        <w:autoSpaceDE w:val="0"/>
        <w:autoSpaceDN w:val="0"/>
        <w:adjustRightInd w:val="0"/>
        <w:spacing w:after="0" w:line="240" w:lineRule="auto"/>
        <w:ind w:left="1287"/>
        <w:jc w:val="both"/>
        <w:rPr>
          <w:rFonts w:ascii="Arial" w:eastAsia="Calibri" w:hAnsi="Arial" w:cs="Arial"/>
          <w:bCs/>
          <w:sz w:val="18"/>
          <w:szCs w:val="18"/>
          <w:lang w:eastAsia="en-US"/>
        </w:rPr>
      </w:pPr>
      <w:r w:rsidRPr="00C72F97">
        <w:rPr>
          <w:rFonts w:ascii="Arial" w:eastAsia="Calibri" w:hAnsi="Arial" w:cs="Arial"/>
          <w:bCs/>
          <w:sz w:val="18"/>
          <w:szCs w:val="18"/>
          <w:lang w:eastAsia="en-US"/>
        </w:rPr>
        <w:lastRenderedPageBreak/>
        <w:t>Građevinska dozvola, Upravni odjel za prostorno uređenje i gradnju, Ispostava Gruda, KLASA: UP/I-361-03/24-01/000285, URBROJ: 2117-23-6/1-24-0005</w:t>
      </w:r>
    </w:p>
    <w:p w14:paraId="56ED5AFD" w14:textId="77777777" w:rsidR="00C72F97" w:rsidRPr="00C72F97" w:rsidRDefault="00C72F97" w:rsidP="00C72F97">
      <w:pPr>
        <w:autoSpaceDE w:val="0"/>
        <w:autoSpaceDN w:val="0"/>
        <w:adjustRightInd w:val="0"/>
        <w:spacing w:after="0" w:line="240" w:lineRule="auto"/>
        <w:ind w:left="567"/>
        <w:jc w:val="both"/>
        <w:rPr>
          <w:rFonts w:ascii="Arial" w:eastAsia="Calibri" w:hAnsi="Arial" w:cs="Arial"/>
          <w:bCs/>
          <w:sz w:val="18"/>
          <w:szCs w:val="18"/>
          <w:lang w:eastAsia="en-US"/>
        </w:rPr>
      </w:pPr>
      <w:r w:rsidRPr="00C72F97">
        <w:rPr>
          <w:rFonts w:ascii="Arial" w:eastAsia="Calibri" w:hAnsi="Arial" w:cs="Arial"/>
          <w:bCs/>
          <w:sz w:val="18"/>
          <w:szCs w:val="18"/>
          <w:lang w:eastAsia="en-US"/>
        </w:rPr>
        <w:t>Gruda, 14.10.2024.</w:t>
      </w:r>
    </w:p>
    <w:p w14:paraId="04802B03" w14:textId="77777777" w:rsidR="00C72F97" w:rsidRPr="00C72F97" w:rsidRDefault="00C72F97" w:rsidP="00184A8E">
      <w:pPr>
        <w:autoSpaceDE w:val="0"/>
        <w:autoSpaceDN w:val="0"/>
        <w:adjustRightInd w:val="0"/>
        <w:spacing w:after="0" w:line="240" w:lineRule="auto"/>
        <w:jc w:val="both"/>
        <w:rPr>
          <w:rFonts w:ascii="Arial" w:eastAsia="Calibri" w:hAnsi="Arial" w:cs="Arial"/>
          <w:bCs/>
          <w:sz w:val="20"/>
          <w:szCs w:val="20"/>
          <w:lang w:eastAsia="en-US"/>
        </w:rPr>
      </w:pPr>
    </w:p>
    <w:tbl>
      <w:tblPr>
        <w:tblStyle w:val="Reetkatablice5368"/>
        <w:tblW w:w="14563" w:type="dxa"/>
        <w:jc w:val="center"/>
        <w:tblLayout w:type="fixed"/>
        <w:tblLook w:val="04A0" w:firstRow="1" w:lastRow="0" w:firstColumn="1" w:lastColumn="0" w:noHBand="0" w:noVBand="1"/>
      </w:tblPr>
      <w:tblGrid>
        <w:gridCol w:w="2263"/>
        <w:gridCol w:w="3974"/>
        <w:gridCol w:w="958"/>
        <w:gridCol w:w="1134"/>
        <w:gridCol w:w="1232"/>
        <w:gridCol w:w="1276"/>
        <w:gridCol w:w="1242"/>
        <w:gridCol w:w="1242"/>
        <w:gridCol w:w="1242"/>
      </w:tblGrid>
      <w:tr w:rsidR="00C72F97" w:rsidRPr="00C72F97" w14:paraId="18520DB8" w14:textId="77777777" w:rsidTr="00C72F97">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D4C1634" w14:textId="77777777" w:rsidR="00C72F97" w:rsidRPr="00C72F97" w:rsidRDefault="00C72F97" w:rsidP="00C72F97">
            <w:pPr>
              <w:jc w:val="center"/>
              <w:rPr>
                <w:rFonts w:ascii="Arial" w:eastAsia="Calibri" w:hAnsi="Arial" w:cs="Arial"/>
                <w:sz w:val="18"/>
                <w:szCs w:val="18"/>
                <w:lang w:eastAsia="en-US"/>
              </w:rPr>
            </w:pPr>
            <w:r w:rsidRPr="00C72F97">
              <w:rPr>
                <w:rFonts w:ascii="Arial" w:eastAsia="Calibri" w:hAnsi="Arial" w:cs="Arial"/>
                <w:sz w:val="18"/>
                <w:szCs w:val="18"/>
                <w:lang w:eastAsia="en-US"/>
              </w:rPr>
              <w:t>Pokazatelj rezultata</w:t>
            </w:r>
          </w:p>
        </w:tc>
        <w:tc>
          <w:tcPr>
            <w:tcW w:w="397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AFCA5A7" w14:textId="77777777" w:rsidR="00C72F97" w:rsidRPr="00C72F97" w:rsidRDefault="00C72F97" w:rsidP="00C72F97">
            <w:pPr>
              <w:jc w:val="center"/>
              <w:rPr>
                <w:rFonts w:ascii="Arial" w:eastAsia="Calibri" w:hAnsi="Arial" w:cs="Arial"/>
                <w:sz w:val="18"/>
                <w:szCs w:val="18"/>
                <w:lang w:eastAsia="en-US"/>
              </w:rPr>
            </w:pPr>
            <w:r w:rsidRPr="00C72F97">
              <w:rPr>
                <w:rFonts w:ascii="Arial" w:eastAsia="Calibri" w:hAnsi="Arial" w:cs="Arial"/>
                <w:sz w:val="18"/>
                <w:szCs w:val="18"/>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96BCC90" w14:textId="77777777" w:rsidR="00C72F97" w:rsidRPr="00C72F97" w:rsidRDefault="00C72F97" w:rsidP="00C72F97">
            <w:pPr>
              <w:jc w:val="center"/>
              <w:rPr>
                <w:rFonts w:ascii="Arial" w:eastAsia="Calibri" w:hAnsi="Arial" w:cs="Arial"/>
                <w:sz w:val="18"/>
                <w:szCs w:val="18"/>
                <w:lang w:eastAsia="en-US"/>
              </w:rPr>
            </w:pPr>
            <w:r w:rsidRPr="00C72F97">
              <w:rPr>
                <w:rFonts w:ascii="Arial" w:eastAsia="Calibri" w:hAnsi="Arial" w:cs="Arial"/>
                <w:sz w:val="18"/>
                <w:szCs w:val="18"/>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793826E" w14:textId="77777777" w:rsidR="00C72F97" w:rsidRPr="00C72F97" w:rsidRDefault="00C72F97" w:rsidP="00C72F97">
            <w:pPr>
              <w:jc w:val="center"/>
              <w:rPr>
                <w:rFonts w:ascii="Arial" w:eastAsia="Calibri" w:hAnsi="Arial" w:cs="Arial"/>
                <w:sz w:val="18"/>
                <w:szCs w:val="18"/>
                <w:lang w:eastAsia="en-US"/>
              </w:rPr>
            </w:pPr>
            <w:r w:rsidRPr="00C72F97">
              <w:rPr>
                <w:rFonts w:ascii="Arial" w:eastAsia="Calibri" w:hAnsi="Arial" w:cs="Arial"/>
                <w:sz w:val="18"/>
                <w:szCs w:val="18"/>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0FFB928" w14:textId="7DF40C03" w:rsidR="00C72F97" w:rsidRPr="00C72F97" w:rsidRDefault="00C72F97" w:rsidP="00C72F97">
            <w:pPr>
              <w:jc w:val="center"/>
              <w:rPr>
                <w:rFonts w:ascii="Arial" w:eastAsia="Calibri" w:hAnsi="Arial" w:cs="Arial"/>
                <w:sz w:val="18"/>
                <w:szCs w:val="18"/>
                <w:lang w:eastAsia="en-US"/>
              </w:rPr>
            </w:pPr>
            <w:r w:rsidRPr="00C72F97">
              <w:rPr>
                <w:rFonts w:ascii="Arial" w:eastAsia="Calibri" w:hAnsi="Arial" w:cs="Arial"/>
                <w:sz w:val="18"/>
                <w:szCs w:val="18"/>
                <w:lang w:eastAsia="en-US"/>
              </w:rPr>
              <w:t>Polazna vrijednost 202</w:t>
            </w:r>
            <w:r>
              <w:rPr>
                <w:rFonts w:ascii="Arial" w:eastAsia="Calibri" w:hAnsi="Arial" w:cs="Arial"/>
                <w:sz w:val="18"/>
                <w:szCs w:val="18"/>
                <w:lang w:eastAsia="en-US"/>
              </w:rPr>
              <w:t>4</w:t>
            </w:r>
            <w:r w:rsidRPr="00C72F97">
              <w:rPr>
                <w:rFonts w:ascii="Arial" w:eastAsia="Calibri" w:hAnsi="Arial" w:cs="Arial"/>
                <w:sz w:val="18"/>
                <w:szCs w:val="18"/>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DFF29E5" w14:textId="63441FCF" w:rsidR="00C72F97" w:rsidRPr="00C72F97" w:rsidRDefault="00C72F97" w:rsidP="00C72F97">
            <w:pPr>
              <w:jc w:val="center"/>
              <w:rPr>
                <w:rFonts w:ascii="Arial" w:eastAsia="Calibri" w:hAnsi="Arial" w:cs="Arial"/>
                <w:sz w:val="18"/>
                <w:szCs w:val="18"/>
                <w:lang w:eastAsia="en-US"/>
              </w:rPr>
            </w:pPr>
            <w:r w:rsidRPr="00C72F97">
              <w:rPr>
                <w:rFonts w:ascii="Arial" w:eastAsia="Calibri" w:hAnsi="Arial" w:cs="Arial"/>
                <w:sz w:val="18"/>
                <w:szCs w:val="18"/>
                <w:lang w:eastAsia="en-US"/>
              </w:rPr>
              <w:t>Ciljana vrijednost 2025.</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E71016C" w14:textId="521D3D1B" w:rsidR="00C72F97" w:rsidRPr="00C72F97" w:rsidRDefault="00C72F97" w:rsidP="00C72F97">
            <w:pPr>
              <w:jc w:val="center"/>
              <w:rPr>
                <w:rFonts w:ascii="Arial" w:eastAsia="Calibri" w:hAnsi="Arial" w:cs="Arial"/>
                <w:sz w:val="18"/>
                <w:szCs w:val="18"/>
                <w:lang w:eastAsia="en-US"/>
              </w:rPr>
            </w:pPr>
            <w:r>
              <w:rPr>
                <w:rFonts w:ascii="Arial" w:eastAsia="Calibri" w:hAnsi="Arial" w:cs="Arial"/>
                <w:sz w:val="18"/>
                <w:szCs w:val="18"/>
                <w:lang w:eastAsia="en-US"/>
              </w:rPr>
              <w:t>Izvršeno</w:t>
            </w:r>
            <w:r w:rsidRPr="00C72F97">
              <w:rPr>
                <w:rFonts w:ascii="Arial" w:eastAsia="Calibri" w:hAnsi="Arial" w:cs="Arial"/>
                <w:sz w:val="18"/>
                <w:szCs w:val="18"/>
                <w:lang w:eastAsia="en-US"/>
              </w:rPr>
              <w:t xml:space="preserve"> 2025.</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0506C4A" w14:textId="77777777" w:rsidR="00C72F97" w:rsidRPr="00C72F97" w:rsidRDefault="00C72F97" w:rsidP="00C72F97">
            <w:pPr>
              <w:jc w:val="center"/>
              <w:rPr>
                <w:rFonts w:ascii="Arial" w:eastAsia="Calibri" w:hAnsi="Arial" w:cs="Arial"/>
                <w:sz w:val="18"/>
                <w:szCs w:val="18"/>
                <w:lang w:eastAsia="en-US"/>
              </w:rPr>
            </w:pPr>
            <w:r w:rsidRPr="00C72F97">
              <w:rPr>
                <w:rFonts w:ascii="Arial" w:eastAsia="Calibri" w:hAnsi="Arial" w:cs="Arial"/>
                <w:sz w:val="18"/>
                <w:szCs w:val="18"/>
                <w:lang w:eastAsia="en-US"/>
              </w:rPr>
              <w:t>Ciljana vrijednost 2026.</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8574DD8" w14:textId="77777777" w:rsidR="00C72F97" w:rsidRPr="00C72F97" w:rsidRDefault="00C72F97" w:rsidP="00C72F97">
            <w:pPr>
              <w:jc w:val="center"/>
              <w:rPr>
                <w:rFonts w:ascii="Arial" w:eastAsia="Calibri" w:hAnsi="Arial" w:cs="Arial"/>
                <w:sz w:val="18"/>
                <w:szCs w:val="18"/>
                <w:lang w:eastAsia="en-US"/>
              </w:rPr>
            </w:pPr>
            <w:r w:rsidRPr="00C72F97">
              <w:rPr>
                <w:rFonts w:ascii="Arial" w:eastAsia="Calibri" w:hAnsi="Arial" w:cs="Arial"/>
                <w:sz w:val="18"/>
                <w:szCs w:val="18"/>
                <w:lang w:eastAsia="en-US"/>
              </w:rPr>
              <w:t>Ciljana vrijednost 2027.</w:t>
            </w:r>
          </w:p>
        </w:tc>
      </w:tr>
      <w:tr w:rsidR="00C72F97" w:rsidRPr="00C72F97" w14:paraId="68B682E5" w14:textId="77777777" w:rsidTr="00C72F97">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1EE512CE" w14:textId="77777777" w:rsidR="00C72F97" w:rsidRPr="00C72F97" w:rsidRDefault="00C72F97" w:rsidP="00C72F97">
            <w:pPr>
              <w:rPr>
                <w:rFonts w:ascii="Arial" w:hAnsi="Arial" w:cs="Arial"/>
                <w:sz w:val="14"/>
                <w:szCs w:val="14"/>
                <w:lang w:eastAsia="en-US"/>
              </w:rPr>
            </w:pPr>
            <w:r w:rsidRPr="00C72F97">
              <w:rPr>
                <w:rFonts w:ascii="Arial" w:hAnsi="Arial" w:cs="Arial"/>
                <w:sz w:val="14"/>
                <w:szCs w:val="14"/>
                <w:lang w:eastAsia="en-US"/>
              </w:rPr>
              <w:t>Izrada projekta preuređenja objekta u Spomen kuću</w:t>
            </w:r>
          </w:p>
        </w:tc>
        <w:tc>
          <w:tcPr>
            <w:tcW w:w="3974" w:type="dxa"/>
            <w:tcBorders>
              <w:top w:val="single" w:sz="4" w:space="0" w:color="auto"/>
              <w:left w:val="single" w:sz="4" w:space="0" w:color="auto"/>
              <w:bottom w:val="single" w:sz="4" w:space="0" w:color="auto"/>
              <w:right w:val="single" w:sz="4" w:space="0" w:color="auto"/>
            </w:tcBorders>
            <w:vAlign w:val="center"/>
          </w:tcPr>
          <w:p w14:paraId="550F1CD6" w14:textId="77777777" w:rsidR="00C72F97" w:rsidRPr="00C72F97" w:rsidRDefault="00C72F97" w:rsidP="00C72F97">
            <w:pPr>
              <w:autoSpaceDE w:val="0"/>
              <w:autoSpaceDN w:val="0"/>
              <w:adjustRightInd w:val="0"/>
              <w:rPr>
                <w:rFonts w:ascii="Arial" w:hAnsi="Arial" w:cs="Arial"/>
                <w:sz w:val="18"/>
                <w:szCs w:val="18"/>
                <w:lang w:eastAsia="en-US"/>
              </w:rPr>
            </w:pPr>
            <w:r w:rsidRPr="00C72F97">
              <w:rPr>
                <w:rFonts w:ascii="Arial" w:hAnsi="Arial" w:cs="Arial"/>
                <w:sz w:val="18"/>
                <w:szCs w:val="18"/>
                <w:lang w:eastAsia="en-US"/>
              </w:rPr>
              <w:t>Postotak izvršenja planiranih rashoda za preuređenje objekta, Spomen kuća lijeričara</w:t>
            </w:r>
          </w:p>
        </w:tc>
        <w:tc>
          <w:tcPr>
            <w:tcW w:w="958" w:type="dxa"/>
            <w:tcBorders>
              <w:top w:val="single" w:sz="4" w:space="0" w:color="auto"/>
              <w:left w:val="single" w:sz="4" w:space="0" w:color="auto"/>
              <w:bottom w:val="single" w:sz="4" w:space="0" w:color="auto"/>
              <w:right w:val="single" w:sz="4" w:space="0" w:color="auto"/>
            </w:tcBorders>
            <w:vAlign w:val="center"/>
          </w:tcPr>
          <w:p w14:paraId="3FD219D4" w14:textId="77777777" w:rsidR="00C72F97" w:rsidRPr="00C72F97" w:rsidRDefault="00C72F97" w:rsidP="00C72F97">
            <w:pPr>
              <w:jc w:val="center"/>
              <w:rPr>
                <w:rFonts w:ascii="Arial" w:hAnsi="Arial" w:cs="Arial"/>
                <w:sz w:val="18"/>
                <w:szCs w:val="18"/>
                <w:lang w:eastAsia="en-US"/>
              </w:rPr>
            </w:pPr>
            <w:r w:rsidRPr="00C72F97">
              <w:rPr>
                <w:rFonts w:ascii="Arial" w:hAnsi="Arial" w:cs="Arial"/>
                <w:sz w:val="18"/>
                <w:szCs w:val="18"/>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7A35BCEB" w14:textId="77777777" w:rsidR="00C72F97" w:rsidRPr="00C72F97" w:rsidRDefault="00C72F97" w:rsidP="00C72F97">
            <w:pPr>
              <w:jc w:val="center"/>
              <w:rPr>
                <w:rFonts w:ascii="Arial" w:hAnsi="Arial" w:cs="Arial"/>
                <w:sz w:val="18"/>
                <w:szCs w:val="18"/>
                <w:lang w:eastAsia="en-US"/>
              </w:rPr>
            </w:pPr>
            <w:r w:rsidRPr="00C72F97">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7A9D7A94" w14:textId="2A77FE83" w:rsidR="00C72F97" w:rsidRPr="00C72F97" w:rsidRDefault="00C72F97" w:rsidP="00C72F97">
            <w:pPr>
              <w:jc w:val="center"/>
              <w:rPr>
                <w:rFonts w:ascii="Arial" w:hAnsi="Arial" w:cs="Arial"/>
                <w:sz w:val="18"/>
                <w:szCs w:val="18"/>
                <w:lang w:eastAsia="en-US"/>
              </w:rPr>
            </w:pPr>
            <w:r>
              <w:rPr>
                <w:rFonts w:ascii="Arial" w:hAnsi="Arial" w:cs="Arial"/>
                <w:sz w:val="18"/>
                <w:szCs w:val="18"/>
                <w:lang w:eastAsia="en-US"/>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5328BDE4" w14:textId="47852137" w:rsidR="00C72F97" w:rsidRPr="00C72F97" w:rsidRDefault="00C72F97" w:rsidP="00C72F97">
            <w:pPr>
              <w:jc w:val="center"/>
              <w:rPr>
                <w:rFonts w:ascii="Arial" w:hAnsi="Arial" w:cs="Arial"/>
                <w:sz w:val="18"/>
                <w:szCs w:val="18"/>
                <w:lang w:eastAsia="en-US"/>
              </w:rPr>
            </w:pPr>
            <w:r w:rsidRPr="00C72F97">
              <w:rPr>
                <w:rFonts w:ascii="Arial" w:hAnsi="Arial" w:cs="Arial"/>
                <w:sz w:val="18"/>
                <w:szCs w:val="18"/>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3E529F5C" w14:textId="05D45601" w:rsidR="00C72F97" w:rsidRPr="00C72F97" w:rsidRDefault="00C72F97" w:rsidP="00C72F97">
            <w:pPr>
              <w:jc w:val="center"/>
              <w:rPr>
                <w:rFonts w:ascii="Arial" w:hAnsi="Arial" w:cs="Arial"/>
                <w:sz w:val="18"/>
                <w:szCs w:val="18"/>
                <w:lang w:eastAsia="en-US"/>
              </w:rPr>
            </w:pPr>
            <w:r>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02B856E8" w14:textId="77777777" w:rsidR="00C72F97" w:rsidRPr="00C72F97" w:rsidRDefault="00C72F97" w:rsidP="00C72F97">
            <w:pPr>
              <w:jc w:val="center"/>
              <w:rPr>
                <w:rFonts w:ascii="Arial" w:hAnsi="Arial" w:cs="Arial"/>
                <w:sz w:val="18"/>
                <w:szCs w:val="18"/>
                <w:lang w:eastAsia="en-US"/>
              </w:rPr>
            </w:pPr>
            <w:r w:rsidRPr="00C72F97">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74EAA485" w14:textId="77777777" w:rsidR="00C72F97" w:rsidRPr="00C72F97" w:rsidRDefault="00C72F97" w:rsidP="00C72F97">
            <w:pPr>
              <w:jc w:val="center"/>
              <w:rPr>
                <w:rFonts w:ascii="Arial" w:hAnsi="Arial" w:cs="Arial"/>
                <w:sz w:val="18"/>
                <w:szCs w:val="18"/>
                <w:lang w:eastAsia="en-US"/>
              </w:rPr>
            </w:pPr>
            <w:r w:rsidRPr="00C72F97">
              <w:rPr>
                <w:rFonts w:ascii="Arial" w:hAnsi="Arial" w:cs="Arial"/>
                <w:sz w:val="18"/>
                <w:szCs w:val="18"/>
                <w:lang w:eastAsia="en-US"/>
              </w:rPr>
              <w:t>0</w:t>
            </w:r>
          </w:p>
        </w:tc>
      </w:tr>
      <w:tr w:rsidR="00C72F97" w:rsidRPr="00C72F97" w14:paraId="5F6F65C7" w14:textId="77777777" w:rsidTr="00C72F97">
        <w:trPr>
          <w:trHeight w:val="273"/>
          <w:jc w:val="center"/>
        </w:trPr>
        <w:tc>
          <w:tcPr>
            <w:tcW w:w="2263" w:type="dxa"/>
            <w:tcBorders>
              <w:top w:val="single" w:sz="4" w:space="0" w:color="auto"/>
              <w:left w:val="single" w:sz="4" w:space="0" w:color="auto"/>
              <w:bottom w:val="single" w:sz="4" w:space="0" w:color="auto"/>
              <w:right w:val="single" w:sz="4" w:space="0" w:color="auto"/>
            </w:tcBorders>
            <w:vAlign w:val="center"/>
          </w:tcPr>
          <w:p w14:paraId="3CC8706C" w14:textId="77777777" w:rsidR="00C72F97" w:rsidRPr="00C72F97" w:rsidRDefault="00C72F97" w:rsidP="00C72F97">
            <w:pPr>
              <w:rPr>
                <w:rFonts w:ascii="Arial" w:hAnsi="Arial" w:cs="Arial"/>
                <w:sz w:val="14"/>
                <w:szCs w:val="14"/>
                <w:lang w:eastAsia="en-US"/>
              </w:rPr>
            </w:pPr>
            <w:r w:rsidRPr="00C72F97">
              <w:rPr>
                <w:rFonts w:ascii="Arial" w:hAnsi="Arial" w:cs="Arial"/>
                <w:sz w:val="14"/>
                <w:szCs w:val="14"/>
                <w:lang w:eastAsia="en-US"/>
              </w:rPr>
              <w:t>Rekonstrukcija objekta</w:t>
            </w:r>
          </w:p>
        </w:tc>
        <w:tc>
          <w:tcPr>
            <w:tcW w:w="3974" w:type="dxa"/>
            <w:tcBorders>
              <w:top w:val="single" w:sz="4" w:space="0" w:color="auto"/>
              <w:left w:val="single" w:sz="4" w:space="0" w:color="auto"/>
              <w:bottom w:val="single" w:sz="4" w:space="0" w:color="auto"/>
              <w:right w:val="single" w:sz="4" w:space="0" w:color="auto"/>
            </w:tcBorders>
            <w:vAlign w:val="center"/>
          </w:tcPr>
          <w:p w14:paraId="708DA1EB" w14:textId="77777777" w:rsidR="00C72F97" w:rsidRPr="00C72F97" w:rsidRDefault="00C72F97" w:rsidP="00C72F97">
            <w:pPr>
              <w:autoSpaceDE w:val="0"/>
              <w:autoSpaceDN w:val="0"/>
              <w:adjustRightInd w:val="0"/>
              <w:rPr>
                <w:rFonts w:ascii="Arial" w:hAnsi="Arial" w:cs="Arial"/>
                <w:sz w:val="18"/>
                <w:szCs w:val="18"/>
                <w:lang w:eastAsia="en-US"/>
              </w:rPr>
            </w:pPr>
            <w:r w:rsidRPr="00C72F97">
              <w:rPr>
                <w:rFonts w:ascii="Arial" w:hAnsi="Arial" w:cs="Arial"/>
                <w:sz w:val="18"/>
                <w:szCs w:val="18"/>
                <w:lang w:eastAsia="en-US"/>
              </w:rPr>
              <w:t xml:space="preserve">Postotak izvršenih radova </w:t>
            </w:r>
          </w:p>
        </w:tc>
        <w:tc>
          <w:tcPr>
            <w:tcW w:w="958" w:type="dxa"/>
            <w:tcBorders>
              <w:top w:val="single" w:sz="4" w:space="0" w:color="auto"/>
              <w:left w:val="single" w:sz="4" w:space="0" w:color="auto"/>
              <w:bottom w:val="single" w:sz="4" w:space="0" w:color="auto"/>
              <w:right w:val="single" w:sz="4" w:space="0" w:color="auto"/>
            </w:tcBorders>
            <w:vAlign w:val="center"/>
          </w:tcPr>
          <w:p w14:paraId="0489A78A" w14:textId="77777777" w:rsidR="00C72F97" w:rsidRPr="00C72F97" w:rsidRDefault="00C72F97" w:rsidP="00C72F97">
            <w:pPr>
              <w:jc w:val="center"/>
              <w:rPr>
                <w:rFonts w:ascii="Arial" w:hAnsi="Arial" w:cs="Arial"/>
                <w:sz w:val="18"/>
                <w:szCs w:val="18"/>
                <w:lang w:eastAsia="en-US"/>
              </w:rPr>
            </w:pPr>
            <w:r w:rsidRPr="00C72F97">
              <w:rPr>
                <w:rFonts w:ascii="Arial" w:hAnsi="Arial" w:cs="Arial"/>
                <w:sz w:val="18"/>
                <w:szCs w:val="18"/>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2FED13A7" w14:textId="77777777" w:rsidR="00C72F97" w:rsidRPr="00C72F97" w:rsidRDefault="00C72F97" w:rsidP="00C72F97">
            <w:pPr>
              <w:jc w:val="center"/>
              <w:rPr>
                <w:rFonts w:ascii="Arial" w:hAnsi="Arial" w:cs="Arial"/>
                <w:sz w:val="18"/>
                <w:szCs w:val="18"/>
                <w:lang w:eastAsia="en-US"/>
              </w:rPr>
            </w:pPr>
            <w:r w:rsidRPr="00C72F97">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3517C230" w14:textId="77777777" w:rsidR="00C72F97" w:rsidRPr="00C72F97" w:rsidRDefault="00C72F97" w:rsidP="00C72F97">
            <w:pPr>
              <w:jc w:val="center"/>
              <w:rPr>
                <w:rFonts w:ascii="Arial" w:hAnsi="Arial" w:cs="Arial"/>
                <w:sz w:val="18"/>
                <w:szCs w:val="18"/>
                <w:lang w:eastAsia="en-US"/>
              </w:rPr>
            </w:pPr>
            <w:r w:rsidRPr="00C72F97">
              <w:rPr>
                <w:rFonts w:ascii="Arial" w:hAnsi="Arial" w:cs="Arial"/>
                <w:sz w:val="18"/>
                <w:szCs w:val="18"/>
                <w:lang w:eastAsia="en-US"/>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58DF3934" w14:textId="59580CBA" w:rsidR="00C72F97" w:rsidRPr="00C72F97" w:rsidRDefault="00C72F97" w:rsidP="00C72F97">
            <w:pPr>
              <w:jc w:val="center"/>
              <w:rPr>
                <w:rFonts w:ascii="Arial" w:hAnsi="Arial" w:cs="Arial"/>
                <w:sz w:val="18"/>
                <w:szCs w:val="18"/>
                <w:lang w:eastAsia="en-US"/>
              </w:rPr>
            </w:pPr>
            <w:r w:rsidRPr="00C72F97">
              <w:rPr>
                <w:rFonts w:ascii="Arial" w:hAnsi="Arial" w:cs="Arial"/>
                <w:sz w:val="18"/>
                <w:szCs w:val="18"/>
                <w:lang w:eastAsia="en-US"/>
              </w:rPr>
              <w:t>30</w:t>
            </w:r>
          </w:p>
        </w:tc>
        <w:tc>
          <w:tcPr>
            <w:tcW w:w="1242" w:type="dxa"/>
            <w:tcBorders>
              <w:top w:val="single" w:sz="4" w:space="0" w:color="000000"/>
              <w:left w:val="single" w:sz="4" w:space="0" w:color="000000"/>
              <w:bottom w:val="single" w:sz="4" w:space="0" w:color="000000"/>
              <w:right w:val="single" w:sz="4" w:space="0" w:color="000000"/>
            </w:tcBorders>
            <w:vAlign w:val="center"/>
          </w:tcPr>
          <w:p w14:paraId="6241CDB5" w14:textId="5896C107" w:rsidR="00C72F97" w:rsidRPr="00C72F97" w:rsidRDefault="00C72F97" w:rsidP="00C72F97">
            <w:pPr>
              <w:jc w:val="center"/>
              <w:rPr>
                <w:rFonts w:ascii="Arial" w:hAnsi="Arial" w:cs="Arial"/>
                <w:sz w:val="18"/>
                <w:szCs w:val="18"/>
                <w:lang w:eastAsia="en-US"/>
              </w:rPr>
            </w:pPr>
            <w:r>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117D72E5" w14:textId="77777777" w:rsidR="00C72F97" w:rsidRPr="00C72F97" w:rsidRDefault="00C72F97" w:rsidP="00C72F97">
            <w:pPr>
              <w:jc w:val="center"/>
              <w:rPr>
                <w:rFonts w:ascii="Arial" w:hAnsi="Arial" w:cs="Arial"/>
                <w:sz w:val="18"/>
                <w:szCs w:val="18"/>
                <w:lang w:eastAsia="en-US"/>
              </w:rPr>
            </w:pPr>
            <w:r w:rsidRPr="00C72F97">
              <w:rPr>
                <w:rFonts w:ascii="Arial" w:hAnsi="Arial" w:cs="Arial"/>
                <w:sz w:val="18"/>
                <w:szCs w:val="18"/>
                <w:lang w:eastAsia="en-US"/>
              </w:rPr>
              <w:t>70</w:t>
            </w:r>
          </w:p>
        </w:tc>
        <w:tc>
          <w:tcPr>
            <w:tcW w:w="1242" w:type="dxa"/>
            <w:tcBorders>
              <w:top w:val="single" w:sz="4" w:space="0" w:color="000000"/>
              <w:left w:val="single" w:sz="4" w:space="0" w:color="000000"/>
              <w:bottom w:val="single" w:sz="4" w:space="0" w:color="000000"/>
              <w:right w:val="single" w:sz="4" w:space="0" w:color="000000"/>
            </w:tcBorders>
            <w:vAlign w:val="center"/>
          </w:tcPr>
          <w:p w14:paraId="14AD8260" w14:textId="77777777" w:rsidR="00C72F97" w:rsidRPr="00C72F97" w:rsidRDefault="00C72F97" w:rsidP="00C72F97">
            <w:pPr>
              <w:jc w:val="center"/>
              <w:rPr>
                <w:rFonts w:ascii="Arial" w:hAnsi="Arial" w:cs="Arial"/>
                <w:sz w:val="18"/>
                <w:szCs w:val="18"/>
                <w:lang w:eastAsia="en-US"/>
              </w:rPr>
            </w:pPr>
            <w:r w:rsidRPr="00C72F97">
              <w:rPr>
                <w:rFonts w:ascii="Arial" w:hAnsi="Arial" w:cs="Arial"/>
                <w:sz w:val="18"/>
                <w:szCs w:val="18"/>
                <w:lang w:eastAsia="en-US"/>
              </w:rPr>
              <w:t>100</w:t>
            </w:r>
          </w:p>
        </w:tc>
      </w:tr>
    </w:tbl>
    <w:p w14:paraId="0A773E32" w14:textId="77777777" w:rsidR="00C72F97" w:rsidRDefault="00C72F97" w:rsidP="00184A8E">
      <w:pPr>
        <w:autoSpaceDE w:val="0"/>
        <w:autoSpaceDN w:val="0"/>
        <w:adjustRightInd w:val="0"/>
        <w:spacing w:after="0" w:line="240" w:lineRule="auto"/>
        <w:jc w:val="both"/>
        <w:rPr>
          <w:rFonts w:ascii="Arial" w:eastAsia="Calibri" w:hAnsi="Arial" w:cs="Arial"/>
          <w:b/>
          <w:sz w:val="20"/>
          <w:szCs w:val="20"/>
          <w:lang w:eastAsia="en-US"/>
        </w:rPr>
      </w:pPr>
    </w:p>
    <w:p w14:paraId="0E492F34" w14:textId="3414D0B9"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7. T210407: Ulaganja u objekte javne namjene – kultura, Muzej iseljeništva</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(Stranj)-</w:t>
      </w:r>
      <w:r w:rsidRPr="00184A8E">
        <w:rPr>
          <w:rFonts w:ascii="Arial" w:eastAsia="Calibri" w:hAnsi="Arial" w:cs="Arial"/>
          <w:sz w:val="20"/>
          <w:szCs w:val="20"/>
          <w:lang w:eastAsia="en-US"/>
        </w:rPr>
        <w:t xml:space="preserve"> Proračunska sredstva su prvotno bila planirana u iznosu </w:t>
      </w:r>
      <w:r w:rsidR="00C72F97">
        <w:rPr>
          <w:rFonts w:ascii="Arial" w:eastAsia="Calibri" w:hAnsi="Arial" w:cs="Arial"/>
          <w:sz w:val="20"/>
          <w:szCs w:val="20"/>
          <w:lang w:eastAsia="en-US"/>
        </w:rPr>
        <w:t>145</w:t>
      </w:r>
      <w:r w:rsidRPr="00184A8E">
        <w:rPr>
          <w:rFonts w:ascii="Arial" w:eastAsia="Calibri" w:hAnsi="Arial" w:cs="Arial"/>
          <w:sz w:val="20"/>
          <w:szCs w:val="20"/>
          <w:lang w:eastAsia="en-US"/>
        </w:rPr>
        <w:t>.000 € za usluge čišćenja okoliša objekata (Pridvorje), te izradu projektne dokumentacije. Radovi bi se odvijali u fazama slijedećih godina sukladno osiguravanju proračunskih sredstava. Izvođenje radova preuređenja ovisi o osiguravanju financijskih sredstava. Izmjenama proračuna rashodi nisu planirani i nisu izvršeni.</w:t>
      </w:r>
    </w:p>
    <w:p w14:paraId="28A4A96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50044B4E"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U 2019. su bili izvršeni rashodi u iznosu 6.720 kn / 891,90 €, a odnosili su se na ravnanje terena i odvoz materijala oko stranja u Pridvorju, dok su u 2020. bili izvršeni rashodi u iznosu 27.500 kn / 3.649,88 € koji su se odnosili na arhitektonski snimak postojećeg stanja građevine „Stranj“ u Pridvorju, te izradu idejnog projekta za rekonstrukciju građevine.</w:t>
      </w:r>
    </w:p>
    <w:p w14:paraId="4FC9DC95" w14:textId="77777777" w:rsid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8A4832" w:rsidRPr="008A4832" w14:paraId="06F2AA2B" w14:textId="77777777" w:rsidTr="00C76A9D">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49EE2D8" w14:textId="77777777" w:rsidR="008A4832" w:rsidRPr="008A4832" w:rsidRDefault="008A4832" w:rsidP="008A4832">
            <w:pPr>
              <w:jc w:val="center"/>
              <w:rPr>
                <w:rFonts w:ascii="Arial" w:eastAsia="Calibri" w:hAnsi="Arial" w:cs="Arial"/>
                <w:sz w:val="18"/>
                <w:szCs w:val="18"/>
                <w:lang w:eastAsia="en-US"/>
              </w:rPr>
            </w:pPr>
            <w:r w:rsidRPr="008A4832">
              <w:rPr>
                <w:rFonts w:ascii="Arial" w:eastAsia="Calibri" w:hAnsi="Arial" w:cs="Arial"/>
                <w:sz w:val="18"/>
                <w:szCs w:val="18"/>
                <w:lang w:eastAsia="en-US"/>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E7148B7" w14:textId="77777777" w:rsidR="008A4832" w:rsidRPr="008A4832" w:rsidRDefault="008A4832" w:rsidP="008A4832">
            <w:pPr>
              <w:jc w:val="center"/>
              <w:rPr>
                <w:rFonts w:ascii="Arial" w:eastAsia="Calibri" w:hAnsi="Arial" w:cs="Arial"/>
                <w:sz w:val="18"/>
                <w:szCs w:val="18"/>
                <w:lang w:eastAsia="en-US"/>
              </w:rPr>
            </w:pPr>
            <w:r w:rsidRPr="008A4832">
              <w:rPr>
                <w:rFonts w:ascii="Arial" w:eastAsia="Calibri" w:hAnsi="Arial" w:cs="Arial"/>
                <w:sz w:val="18"/>
                <w:szCs w:val="18"/>
                <w:lang w:eastAsia="en-US"/>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AFF82EC" w14:textId="77777777" w:rsidR="008A4832" w:rsidRPr="008A4832" w:rsidRDefault="008A4832" w:rsidP="008A4832">
            <w:pPr>
              <w:jc w:val="center"/>
              <w:rPr>
                <w:rFonts w:ascii="Arial" w:eastAsia="Calibri" w:hAnsi="Arial" w:cs="Arial"/>
                <w:sz w:val="18"/>
                <w:szCs w:val="18"/>
                <w:lang w:eastAsia="en-US"/>
              </w:rPr>
            </w:pPr>
            <w:r w:rsidRPr="008A4832">
              <w:rPr>
                <w:rFonts w:ascii="Arial" w:eastAsia="Calibri" w:hAnsi="Arial" w:cs="Arial"/>
                <w:sz w:val="18"/>
                <w:szCs w:val="18"/>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74E8E0D" w14:textId="77777777" w:rsidR="008A4832" w:rsidRPr="008A4832" w:rsidRDefault="008A4832" w:rsidP="008A4832">
            <w:pPr>
              <w:jc w:val="center"/>
              <w:rPr>
                <w:rFonts w:ascii="Arial" w:eastAsia="Calibri" w:hAnsi="Arial" w:cs="Arial"/>
                <w:sz w:val="18"/>
                <w:szCs w:val="18"/>
                <w:lang w:eastAsia="en-US"/>
              </w:rPr>
            </w:pPr>
            <w:r w:rsidRPr="008A4832">
              <w:rPr>
                <w:rFonts w:ascii="Arial" w:eastAsia="Calibri" w:hAnsi="Arial" w:cs="Arial"/>
                <w:sz w:val="18"/>
                <w:szCs w:val="18"/>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BAC34EE" w14:textId="163531A1" w:rsidR="008A4832" w:rsidRPr="008A4832" w:rsidRDefault="008A4832" w:rsidP="008A4832">
            <w:pPr>
              <w:jc w:val="center"/>
              <w:rPr>
                <w:rFonts w:ascii="Arial" w:eastAsia="Calibri" w:hAnsi="Arial" w:cs="Arial"/>
                <w:sz w:val="18"/>
                <w:szCs w:val="18"/>
                <w:lang w:eastAsia="en-US"/>
              </w:rPr>
            </w:pPr>
            <w:r w:rsidRPr="008A4832">
              <w:rPr>
                <w:rFonts w:ascii="Arial" w:eastAsia="Calibri" w:hAnsi="Arial" w:cs="Arial"/>
                <w:sz w:val="18"/>
                <w:szCs w:val="18"/>
                <w:lang w:eastAsia="en-US"/>
              </w:rPr>
              <w:t>Polazna vrijednost 202</w:t>
            </w:r>
            <w:r>
              <w:rPr>
                <w:rFonts w:ascii="Arial" w:eastAsia="Calibri" w:hAnsi="Arial" w:cs="Arial"/>
                <w:sz w:val="18"/>
                <w:szCs w:val="18"/>
                <w:lang w:eastAsia="en-US"/>
              </w:rPr>
              <w:t>4</w:t>
            </w:r>
            <w:r w:rsidRPr="008A4832">
              <w:rPr>
                <w:rFonts w:ascii="Arial" w:eastAsia="Calibri" w:hAnsi="Arial" w:cs="Arial"/>
                <w:sz w:val="18"/>
                <w:szCs w:val="18"/>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8776EBE" w14:textId="372C4B77" w:rsidR="008A4832" w:rsidRPr="008A4832" w:rsidRDefault="008A4832" w:rsidP="008A4832">
            <w:pPr>
              <w:jc w:val="center"/>
              <w:rPr>
                <w:rFonts w:ascii="Arial" w:eastAsia="Calibri" w:hAnsi="Arial" w:cs="Arial"/>
                <w:sz w:val="18"/>
                <w:szCs w:val="18"/>
                <w:lang w:eastAsia="en-US"/>
              </w:rPr>
            </w:pPr>
            <w:r w:rsidRPr="008A4832">
              <w:rPr>
                <w:rFonts w:ascii="Arial" w:eastAsia="Calibri" w:hAnsi="Arial" w:cs="Arial"/>
                <w:sz w:val="18"/>
                <w:szCs w:val="18"/>
                <w:lang w:eastAsia="en-US"/>
              </w:rPr>
              <w:t>Ciljana vrijednost 2025.</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8E05885" w14:textId="69DEF0A6" w:rsidR="008A4832" w:rsidRPr="008A4832" w:rsidRDefault="008A4832" w:rsidP="008A4832">
            <w:pPr>
              <w:jc w:val="center"/>
              <w:rPr>
                <w:rFonts w:ascii="Arial" w:eastAsia="Calibri" w:hAnsi="Arial" w:cs="Arial"/>
                <w:sz w:val="18"/>
                <w:szCs w:val="18"/>
                <w:lang w:eastAsia="en-US"/>
              </w:rPr>
            </w:pPr>
            <w:r>
              <w:rPr>
                <w:rFonts w:ascii="Arial" w:eastAsia="Calibri" w:hAnsi="Arial" w:cs="Arial"/>
                <w:sz w:val="18"/>
                <w:szCs w:val="18"/>
                <w:lang w:eastAsia="en-US"/>
              </w:rPr>
              <w:t>Izvršeno</w:t>
            </w:r>
            <w:r w:rsidRPr="008A4832">
              <w:rPr>
                <w:rFonts w:ascii="Arial" w:eastAsia="Calibri" w:hAnsi="Arial" w:cs="Arial"/>
                <w:sz w:val="18"/>
                <w:szCs w:val="18"/>
                <w:lang w:eastAsia="en-US"/>
              </w:rPr>
              <w:t xml:space="preserve"> 2025.</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1B0DCED" w14:textId="77777777" w:rsidR="008A4832" w:rsidRPr="008A4832" w:rsidRDefault="008A4832" w:rsidP="008A4832">
            <w:pPr>
              <w:jc w:val="center"/>
              <w:rPr>
                <w:rFonts w:ascii="Arial" w:eastAsia="Calibri" w:hAnsi="Arial" w:cs="Arial"/>
                <w:sz w:val="18"/>
                <w:szCs w:val="18"/>
                <w:lang w:eastAsia="en-US"/>
              </w:rPr>
            </w:pPr>
            <w:r w:rsidRPr="008A4832">
              <w:rPr>
                <w:rFonts w:ascii="Arial" w:eastAsia="Calibri" w:hAnsi="Arial" w:cs="Arial"/>
                <w:sz w:val="18"/>
                <w:szCs w:val="18"/>
                <w:lang w:eastAsia="en-US"/>
              </w:rPr>
              <w:t>Ciljana vrijednost 2026.</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9185E9F" w14:textId="77777777" w:rsidR="008A4832" w:rsidRPr="008A4832" w:rsidRDefault="008A4832" w:rsidP="008A4832">
            <w:pPr>
              <w:jc w:val="center"/>
              <w:rPr>
                <w:rFonts w:ascii="Arial" w:eastAsia="Calibri" w:hAnsi="Arial" w:cs="Arial"/>
                <w:sz w:val="18"/>
                <w:szCs w:val="18"/>
                <w:lang w:eastAsia="en-US"/>
              </w:rPr>
            </w:pPr>
            <w:r w:rsidRPr="008A4832">
              <w:rPr>
                <w:rFonts w:ascii="Arial" w:eastAsia="Calibri" w:hAnsi="Arial" w:cs="Arial"/>
                <w:sz w:val="18"/>
                <w:szCs w:val="18"/>
                <w:lang w:eastAsia="en-US"/>
              </w:rPr>
              <w:t>Ciljana vrijednost 2027.</w:t>
            </w:r>
          </w:p>
        </w:tc>
      </w:tr>
      <w:tr w:rsidR="008A4832" w:rsidRPr="008A4832" w14:paraId="2EE2687F" w14:textId="77777777" w:rsidTr="00C76A9D">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2676F423" w14:textId="77777777" w:rsidR="008A4832" w:rsidRPr="008A4832" w:rsidRDefault="008A4832" w:rsidP="008A4832">
            <w:pPr>
              <w:rPr>
                <w:rFonts w:ascii="Arial" w:hAnsi="Arial" w:cs="Arial"/>
                <w:sz w:val="14"/>
                <w:szCs w:val="14"/>
                <w:lang w:eastAsia="en-US"/>
              </w:rPr>
            </w:pPr>
            <w:r w:rsidRPr="008A4832">
              <w:rPr>
                <w:rFonts w:ascii="Arial" w:hAnsi="Arial" w:cs="Arial"/>
                <w:sz w:val="14"/>
                <w:szCs w:val="14"/>
                <w:lang w:eastAsia="en-US"/>
              </w:rPr>
              <w:t>Izrada projekta preuređenja objekta u Muzej iseljeništva</w:t>
            </w:r>
          </w:p>
        </w:tc>
        <w:tc>
          <w:tcPr>
            <w:tcW w:w="3402" w:type="dxa"/>
            <w:tcBorders>
              <w:top w:val="single" w:sz="4" w:space="0" w:color="auto"/>
              <w:left w:val="single" w:sz="4" w:space="0" w:color="auto"/>
              <w:bottom w:val="single" w:sz="4" w:space="0" w:color="auto"/>
              <w:right w:val="single" w:sz="4" w:space="0" w:color="auto"/>
            </w:tcBorders>
            <w:vAlign w:val="center"/>
          </w:tcPr>
          <w:p w14:paraId="3C80A540" w14:textId="77777777" w:rsidR="008A4832" w:rsidRPr="008A4832" w:rsidRDefault="008A4832" w:rsidP="008A4832">
            <w:pPr>
              <w:autoSpaceDE w:val="0"/>
              <w:autoSpaceDN w:val="0"/>
              <w:adjustRightInd w:val="0"/>
              <w:rPr>
                <w:rFonts w:ascii="Arial" w:hAnsi="Arial" w:cs="Arial"/>
                <w:sz w:val="18"/>
                <w:szCs w:val="18"/>
                <w:lang w:eastAsia="en-US"/>
              </w:rPr>
            </w:pPr>
            <w:r w:rsidRPr="008A4832">
              <w:rPr>
                <w:rFonts w:ascii="Arial" w:hAnsi="Arial" w:cs="Arial"/>
                <w:sz w:val="18"/>
                <w:szCs w:val="18"/>
                <w:lang w:eastAsia="en-US"/>
              </w:rPr>
              <w:t>Postotak izvršenja planiranih rashoda za preuređenje objekta</w:t>
            </w:r>
          </w:p>
        </w:tc>
        <w:tc>
          <w:tcPr>
            <w:tcW w:w="958" w:type="dxa"/>
            <w:tcBorders>
              <w:top w:val="single" w:sz="4" w:space="0" w:color="auto"/>
              <w:left w:val="single" w:sz="4" w:space="0" w:color="auto"/>
              <w:bottom w:val="single" w:sz="4" w:space="0" w:color="auto"/>
              <w:right w:val="single" w:sz="4" w:space="0" w:color="auto"/>
            </w:tcBorders>
            <w:vAlign w:val="center"/>
          </w:tcPr>
          <w:p w14:paraId="2E506D7B" w14:textId="77777777" w:rsidR="008A4832" w:rsidRPr="008A4832" w:rsidRDefault="008A4832" w:rsidP="008A4832">
            <w:pPr>
              <w:jc w:val="center"/>
              <w:rPr>
                <w:rFonts w:ascii="Arial" w:hAnsi="Arial" w:cs="Arial"/>
                <w:sz w:val="18"/>
                <w:szCs w:val="18"/>
                <w:lang w:eastAsia="en-US"/>
              </w:rPr>
            </w:pPr>
            <w:r w:rsidRPr="008A4832">
              <w:rPr>
                <w:rFonts w:ascii="Arial" w:hAnsi="Arial" w:cs="Arial"/>
                <w:sz w:val="18"/>
                <w:szCs w:val="18"/>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5E84CA5E" w14:textId="77777777" w:rsidR="008A4832" w:rsidRPr="008A4832" w:rsidRDefault="008A4832" w:rsidP="008A4832">
            <w:pPr>
              <w:jc w:val="center"/>
              <w:rPr>
                <w:rFonts w:ascii="Arial" w:hAnsi="Arial" w:cs="Arial"/>
                <w:sz w:val="18"/>
                <w:szCs w:val="18"/>
                <w:lang w:eastAsia="en-US"/>
              </w:rPr>
            </w:pPr>
            <w:r w:rsidRPr="008A4832">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27546B51" w14:textId="77777777" w:rsidR="008A4832" w:rsidRPr="008A4832" w:rsidRDefault="008A4832" w:rsidP="008A4832">
            <w:pPr>
              <w:jc w:val="center"/>
              <w:rPr>
                <w:rFonts w:ascii="Arial" w:hAnsi="Arial" w:cs="Arial"/>
                <w:sz w:val="18"/>
                <w:szCs w:val="18"/>
                <w:lang w:eastAsia="en-US"/>
              </w:rPr>
            </w:pPr>
            <w:r w:rsidRPr="008A4832">
              <w:rPr>
                <w:rFonts w:ascii="Arial" w:hAnsi="Arial" w:cs="Arial"/>
                <w:sz w:val="18"/>
                <w:szCs w:val="18"/>
                <w:lang w:eastAsia="en-US"/>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6CA5BCDE" w14:textId="77777777" w:rsidR="008A4832" w:rsidRPr="008A4832" w:rsidRDefault="008A4832" w:rsidP="008A4832">
            <w:pPr>
              <w:jc w:val="center"/>
              <w:rPr>
                <w:rFonts w:ascii="Arial" w:hAnsi="Arial" w:cs="Arial"/>
                <w:sz w:val="18"/>
                <w:szCs w:val="18"/>
                <w:lang w:eastAsia="en-US"/>
              </w:rPr>
            </w:pPr>
            <w:r w:rsidRPr="008A4832">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2D4B8490" w14:textId="5C6EB324" w:rsidR="008A4832" w:rsidRPr="008A4832" w:rsidRDefault="008A4832" w:rsidP="008A4832">
            <w:pPr>
              <w:jc w:val="center"/>
              <w:rPr>
                <w:rFonts w:ascii="Arial" w:hAnsi="Arial" w:cs="Arial"/>
                <w:sz w:val="18"/>
                <w:szCs w:val="18"/>
                <w:lang w:eastAsia="en-US"/>
              </w:rPr>
            </w:pPr>
            <w:r>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45296227" w14:textId="77777777" w:rsidR="008A4832" w:rsidRPr="008A4832" w:rsidRDefault="008A4832" w:rsidP="008A4832">
            <w:pPr>
              <w:jc w:val="center"/>
              <w:rPr>
                <w:rFonts w:ascii="Arial" w:hAnsi="Arial" w:cs="Arial"/>
                <w:sz w:val="18"/>
                <w:szCs w:val="18"/>
                <w:lang w:eastAsia="en-US"/>
              </w:rPr>
            </w:pPr>
            <w:r w:rsidRPr="008A4832">
              <w:rPr>
                <w:rFonts w:ascii="Arial" w:hAnsi="Arial" w:cs="Arial"/>
                <w:sz w:val="18"/>
                <w:szCs w:val="18"/>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5FA743D7" w14:textId="77777777" w:rsidR="008A4832" w:rsidRPr="008A4832" w:rsidRDefault="008A4832" w:rsidP="008A4832">
            <w:pPr>
              <w:jc w:val="center"/>
              <w:rPr>
                <w:rFonts w:ascii="Arial" w:hAnsi="Arial" w:cs="Arial"/>
                <w:sz w:val="18"/>
                <w:szCs w:val="18"/>
                <w:lang w:eastAsia="en-US"/>
              </w:rPr>
            </w:pPr>
            <w:r w:rsidRPr="008A4832">
              <w:rPr>
                <w:rFonts w:ascii="Arial" w:hAnsi="Arial" w:cs="Arial"/>
                <w:sz w:val="18"/>
                <w:szCs w:val="18"/>
                <w:lang w:eastAsia="en-US"/>
              </w:rPr>
              <w:t>100</w:t>
            </w:r>
          </w:p>
        </w:tc>
      </w:tr>
      <w:tr w:rsidR="008A4832" w:rsidRPr="008A4832" w14:paraId="6399F60E" w14:textId="77777777" w:rsidTr="00C76A9D">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3ECF9E5D" w14:textId="77777777" w:rsidR="008A4832" w:rsidRPr="008A4832" w:rsidRDefault="008A4832" w:rsidP="008A4832">
            <w:pPr>
              <w:rPr>
                <w:rFonts w:ascii="Arial" w:hAnsi="Arial" w:cs="Arial"/>
                <w:sz w:val="14"/>
                <w:szCs w:val="14"/>
                <w:lang w:eastAsia="en-US"/>
              </w:rPr>
            </w:pPr>
            <w:r w:rsidRPr="008A4832">
              <w:rPr>
                <w:rFonts w:ascii="Arial" w:hAnsi="Arial" w:cs="Arial"/>
                <w:sz w:val="14"/>
                <w:szCs w:val="14"/>
                <w:lang w:eastAsia="en-US"/>
              </w:rPr>
              <w:t>Rekonstrukcija objekta</w:t>
            </w:r>
          </w:p>
        </w:tc>
        <w:tc>
          <w:tcPr>
            <w:tcW w:w="3402" w:type="dxa"/>
            <w:tcBorders>
              <w:top w:val="single" w:sz="4" w:space="0" w:color="auto"/>
              <w:left w:val="single" w:sz="4" w:space="0" w:color="auto"/>
              <w:bottom w:val="single" w:sz="4" w:space="0" w:color="auto"/>
              <w:right w:val="single" w:sz="4" w:space="0" w:color="auto"/>
            </w:tcBorders>
            <w:vAlign w:val="center"/>
          </w:tcPr>
          <w:p w14:paraId="3DFB218A" w14:textId="77777777" w:rsidR="008A4832" w:rsidRPr="008A4832" w:rsidRDefault="008A4832" w:rsidP="008A4832">
            <w:pPr>
              <w:autoSpaceDE w:val="0"/>
              <w:autoSpaceDN w:val="0"/>
              <w:adjustRightInd w:val="0"/>
              <w:rPr>
                <w:rFonts w:ascii="Arial" w:hAnsi="Arial" w:cs="Arial"/>
                <w:sz w:val="18"/>
                <w:szCs w:val="18"/>
                <w:lang w:eastAsia="en-US"/>
              </w:rPr>
            </w:pPr>
            <w:r w:rsidRPr="008A4832">
              <w:rPr>
                <w:rFonts w:ascii="Arial" w:hAnsi="Arial" w:cs="Arial"/>
                <w:sz w:val="18"/>
                <w:szCs w:val="18"/>
                <w:lang w:eastAsia="en-US"/>
              </w:rPr>
              <w:t xml:space="preserve">Postotak izvršenih radova </w:t>
            </w:r>
          </w:p>
        </w:tc>
        <w:tc>
          <w:tcPr>
            <w:tcW w:w="958" w:type="dxa"/>
            <w:tcBorders>
              <w:top w:val="single" w:sz="4" w:space="0" w:color="auto"/>
              <w:left w:val="single" w:sz="4" w:space="0" w:color="auto"/>
              <w:bottom w:val="single" w:sz="4" w:space="0" w:color="auto"/>
              <w:right w:val="single" w:sz="4" w:space="0" w:color="auto"/>
            </w:tcBorders>
            <w:vAlign w:val="center"/>
          </w:tcPr>
          <w:p w14:paraId="6642771C" w14:textId="77777777" w:rsidR="008A4832" w:rsidRPr="008A4832" w:rsidRDefault="008A4832" w:rsidP="008A4832">
            <w:pPr>
              <w:jc w:val="center"/>
              <w:rPr>
                <w:rFonts w:ascii="Arial" w:hAnsi="Arial" w:cs="Arial"/>
                <w:sz w:val="18"/>
                <w:szCs w:val="18"/>
                <w:lang w:eastAsia="en-US"/>
              </w:rPr>
            </w:pPr>
            <w:r w:rsidRPr="008A4832">
              <w:rPr>
                <w:rFonts w:ascii="Arial" w:hAnsi="Arial" w:cs="Arial"/>
                <w:sz w:val="18"/>
                <w:szCs w:val="18"/>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1EE04E0E" w14:textId="77777777" w:rsidR="008A4832" w:rsidRPr="008A4832" w:rsidRDefault="008A4832" w:rsidP="008A4832">
            <w:pPr>
              <w:jc w:val="center"/>
              <w:rPr>
                <w:rFonts w:ascii="Arial" w:hAnsi="Arial" w:cs="Arial"/>
                <w:sz w:val="18"/>
                <w:szCs w:val="18"/>
                <w:lang w:eastAsia="en-US"/>
              </w:rPr>
            </w:pPr>
            <w:r w:rsidRPr="008A4832">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E1F439C" w14:textId="77777777" w:rsidR="008A4832" w:rsidRPr="008A4832" w:rsidRDefault="008A4832" w:rsidP="008A4832">
            <w:pPr>
              <w:jc w:val="center"/>
              <w:rPr>
                <w:rFonts w:ascii="Arial" w:hAnsi="Arial" w:cs="Arial"/>
                <w:sz w:val="18"/>
                <w:szCs w:val="18"/>
                <w:lang w:eastAsia="en-US"/>
              </w:rPr>
            </w:pPr>
            <w:r w:rsidRPr="008A4832">
              <w:rPr>
                <w:rFonts w:ascii="Arial" w:hAnsi="Arial" w:cs="Arial"/>
                <w:sz w:val="18"/>
                <w:szCs w:val="18"/>
                <w:lang w:eastAsia="en-US"/>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307166F4" w14:textId="77777777" w:rsidR="008A4832" w:rsidRPr="008A4832" w:rsidRDefault="008A4832" w:rsidP="008A4832">
            <w:pPr>
              <w:jc w:val="center"/>
              <w:rPr>
                <w:rFonts w:ascii="Arial" w:hAnsi="Arial" w:cs="Arial"/>
                <w:sz w:val="18"/>
                <w:szCs w:val="18"/>
                <w:lang w:eastAsia="en-US"/>
              </w:rPr>
            </w:pPr>
            <w:r w:rsidRPr="008A4832">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098769B9" w14:textId="02C23B44" w:rsidR="008A4832" w:rsidRPr="008A4832" w:rsidRDefault="008A4832" w:rsidP="008A4832">
            <w:pPr>
              <w:jc w:val="center"/>
              <w:rPr>
                <w:rFonts w:ascii="Arial" w:hAnsi="Arial" w:cs="Arial"/>
                <w:sz w:val="18"/>
                <w:szCs w:val="18"/>
                <w:lang w:eastAsia="en-US"/>
              </w:rPr>
            </w:pPr>
            <w:r>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2AEF91D6" w14:textId="77777777" w:rsidR="008A4832" w:rsidRPr="008A4832" w:rsidRDefault="008A4832" w:rsidP="008A4832">
            <w:pPr>
              <w:jc w:val="center"/>
              <w:rPr>
                <w:rFonts w:ascii="Arial" w:hAnsi="Arial" w:cs="Arial"/>
                <w:sz w:val="18"/>
                <w:szCs w:val="18"/>
                <w:lang w:eastAsia="en-US"/>
              </w:rPr>
            </w:pPr>
            <w:r w:rsidRPr="008A4832">
              <w:rPr>
                <w:rFonts w:ascii="Arial" w:hAnsi="Arial" w:cs="Arial"/>
                <w:sz w:val="18"/>
                <w:szCs w:val="18"/>
                <w:lang w:eastAsia="en-US"/>
              </w:rPr>
              <w:t>50</w:t>
            </w:r>
          </w:p>
        </w:tc>
        <w:tc>
          <w:tcPr>
            <w:tcW w:w="1242" w:type="dxa"/>
            <w:tcBorders>
              <w:top w:val="single" w:sz="4" w:space="0" w:color="000000"/>
              <w:left w:val="single" w:sz="4" w:space="0" w:color="000000"/>
              <w:bottom w:val="single" w:sz="4" w:space="0" w:color="000000"/>
              <w:right w:val="single" w:sz="4" w:space="0" w:color="000000"/>
            </w:tcBorders>
            <w:vAlign w:val="center"/>
          </w:tcPr>
          <w:p w14:paraId="43BA77FD" w14:textId="77777777" w:rsidR="008A4832" w:rsidRPr="008A4832" w:rsidRDefault="008A4832" w:rsidP="008A4832">
            <w:pPr>
              <w:jc w:val="center"/>
              <w:rPr>
                <w:rFonts w:ascii="Arial" w:hAnsi="Arial" w:cs="Arial"/>
                <w:sz w:val="18"/>
                <w:szCs w:val="18"/>
                <w:lang w:eastAsia="en-US"/>
              </w:rPr>
            </w:pPr>
            <w:r w:rsidRPr="008A4832">
              <w:rPr>
                <w:rFonts w:ascii="Arial" w:hAnsi="Arial" w:cs="Arial"/>
                <w:sz w:val="18"/>
                <w:szCs w:val="18"/>
                <w:lang w:eastAsia="en-US"/>
              </w:rPr>
              <w:t>80</w:t>
            </w:r>
          </w:p>
        </w:tc>
      </w:tr>
    </w:tbl>
    <w:p w14:paraId="7E421E3C" w14:textId="77777777" w:rsidR="00C72F97" w:rsidRDefault="00C72F97" w:rsidP="00184A8E">
      <w:pPr>
        <w:autoSpaceDE w:val="0"/>
        <w:autoSpaceDN w:val="0"/>
        <w:adjustRightInd w:val="0"/>
        <w:spacing w:after="0" w:line="240" w:lineRule="auto"/>
        <w:jc w:val="both"/>
        <w:rPr>
          <w:rFonts w:ascii="Arial" w:eastAsia="Calibri" w:hAnsi="Arial" w:cs="Arial"/>
          <w:sz w:val="20"/>
          <w:szCs w:val="20"/>
          <w:lang w:eastAsia="en-US"/>
        </w:rPr>
      </w:pPr>
    </w:p>
    <w:p w14:paraId="756E2F2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Aktivnosti vezane uz opće ciljeve postignute su sukladno postocima izvršenja, a izvršenje rashoda je dijelom uvjetovano nedostatkom proračunskih sredstava. </w:t>
      </w:r>
    </w:p>
    <w:p w14:paraId="1F152446" w14:textId="7068635C" w:rsidR="008A4832" w:rsidRDefault="008A4832">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br w:type="page"/>
      </w:r>
    </w:p>
    <w:p w14:paraId="6FB8C173" w14:textId="77777777" w:rsidR="00184A8E" w:rsidRPr="00184A8E" w:rsidRDefault="00184A8E" w:rsidP="00184A8E">
      <w:pPr>
        <w:spacing w:after="0" w:line="240" w:lineRule="auto"/>
        <w:rPr>
          <w:rFonts w:ascii="Times New Roman" w:eastAsia="Calibri" w:hAnsi="Times New Roman" w:cs="Times New Roman"/>
          <w:sz w:val="20"/>
          <w:szCs w:val="20"/>
          <w:lang w:eastAsia="en-US"/>
        </w:rPr>
      </w:pPr>
    </w:p>
    <w:p w14:paraId="091D5133"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598" w:name="_Toc435014690"/>
      <w:bookmarkStart w:id="599" w:name="_Toc200628537"/>
      <w:bookmarkStart w:id="600" w:name="_Toc232981469"/>
      <w:r w:rsidRPr="00184A8E">
        <w:rPr>
          <w:rFonts w:ascii="Times New Roman" w:eastAsia="Calibri" w:hAnsi="Times New Roman" w:cs="Times New Roman"/>
          <w:b/>
          <w:sz w:val="24"/>
          <w:szCs w:val="20"/>
          <w:lang w:eastAsia="en-US"/>
        </w:rPr>
        <w:t>Program (2105): Kapitalna ulaganja u poslovne i druge prostore</w:t>
      </w:r>
      <w:bookmarkEnd w:id="598"/>
      <w:bookmarkEnd w:id="599"/>
      <w:bookmarkEnd w:id="600"/>
    </w:p>
    <w:p w14:paraId="44C0B4BE"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3"/>
        <w:gridCol w:w="12870"/>
      </w:tblGrid>
      <w:tr w:rsidR="00184A8E" w:rsidRPr="00184A8E" w14:paraId="43FE1B34" w14:textId="77777777" w:rsidTr="00410A4B">
        <w:tc>
          <w:tcPr>
            <w:tcW w:w="1413" w:type="dxa"/>
          </w:tcPr>
          <w:p w14:paraId="2FE2C51A"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870" w:type="dxa"/>
          </w:tcPr>
          <w:p w14:paraId="29B03563"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Svrha programa je osigurati održavanje i očuvanje prostora u vlasništvu Općine pažnjom dobrog gospodara. </w:t>
            </w:r>
          </w:p>
          <w:p w14:paraId="67FCE09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Ovaj program obuhvaća djelatnosti i poslove koji se odnose na upravljanje općinskom imovinom, odnosno za održavanje i očuvanje prostora u vlasništvu Općine pažnjom dobrog gospodara. </w:t>
            </w:r>
          </w:p>
          <w:p w14:paraId="6B41FC71"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Nadalje ovaj program obuhvaća i nabavu imovine odnosno vozila i opreme kojom se poboljšava komunalna infrastruktura.</w:t>
            </w:r>
          </w:p>
          <w:p w14:paraId="5D7E5C3B"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Cilj je legalizacija objekata javne namjene u skladu sa Zakonom o postupanju s nezakonito izgrađenim građevinama. </w:t>
            </w:r>
          </w:p>
          <w:p w14:paraId="53A533E6"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Cilj je ulagati u nabavu opreme i vozila koja će znatno doprinijeti poboljšanju komunalne infrastrukture.</w:t>
            </w:r>
          </w:p>
          <w:p w14:paraId="03C4F10D"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Program obuhvaća aktivnosti ureda usmjerene ka stjecanju prava vlasništva nad nekretninama, koje nekretnine sukladno posebnim propisima ne mogu biti u vlasništvu privatnih osoba kao i stjecanje prava vlasništva nad nekretninama koje su od interesa za Općinu.</w:t>
            </w:r>
          </w:p>
          <w:p w14:paraId="356021D1"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Cilj je uređenje imovinskopravnih odnosa, upis prava vlasništva Općine Konavle, odnosno upis javnog dobra na upravljanju i korištenju Općine Konavle, ispunjenje zakonskih pretpostavki za izgradnju/rekonstrukciju prometne infrastrukture, provedba parcelacijskih elaborata.</w:t>
            </w:r>
          </w:p>
        </w:tc>
      </w:tr>
      <w:tr w:rsidR="00184A8E" w:rsidRPr="00184A8E" w14:paraId="2E9472BB" w14:textId="77777777" w:rsidTr="00410A4B">
        <w:tc>
          <w:tcPr>
            <w:tcW w:w="1413" w:type="dxa"/>
          </w:tcPr>
          <w:p w14:paraId="06667049"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ZAKONSKE I DRUGE PRAVNE OSNOVE PROGRAMA</w:t>
            </w:r>
          </w:p>
        </w:tc>
        <w:tc>
          <w:tcPr>
            <w:tcW w:w="12870" w:type="dxa"/>
          </w:tcPr>
          <w:p w14:paraId="22EE648E" w14:textId="7CD9A50D"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 xml:space="preserve">Zakon o lokalnoj i područnoj (regionalnoj) samoupravi (NN 33/01,60/01,129/05, 109/07,125/08, 36/09, 150/11, 144/12, 19/13, 137/15, 123/17, 98/19, 144/20), </w:t>
            </w:r>
            <w:r w:rsidRPr="00184A8E">
              <w:rPr>
                <w:rFonts w:ascii="Arial" w:eastAsia="Calibri" w:hAnsi="Arial" w:cs="Arial"/>
                <w:sz w:val="20"/>
                <w:szCs w:val="20"/>
                <w:lang w:eastAsia="en-US"/>
              </w:rPr>
              <w:t xml:space="preserve">Zakon o vlasništvu i drugim stvarnim pravima (NN 91/96, 68/98, 137/99, 22/00, 73/00, 129/00, 114/01, 79/06, 141/06, 146/08, 38/09, 153/09, 143/12, 152/14, 81/15, 94/17), Zakon o zakupu i kupoprodaji poslovnog prostora (NN 125/11, 64/15, 112/18, 123/24), </w:t>
            </w:r>
            <w:r w:rsidRPr="00184A8E">
              <w:rPr>
                <w:rFonts w:ascii="Arial" w:eastAsia="Times New Roman" w:hAnsi="Arial" w:cs="Arial"/>
                <w:sz w:val="20"/>
                <w:szCs w:val="20"/>
                <w:lang w:eastAsia="en-US"/>
              </w:rPr>
              <w:t>Zakon o općem upravnom postupku (NN 47/09,110/21), Zakon o javnoj nabavi (NN 120/16,114/22</w:t>
            </w:r>
            <w:r w:rsidR="008A4832">
              <w:rPr>
                <w:rFonts w:ascii="Arial" w:eastAsia="Times New Roman" w:hAnsi="Arial" w:cs="Arial"/>
                <w:sz w:val="20"/>
                <w:szCs w:val="20"/>
                <w:lang w:eastAsia="en-US"/>
              </w:rPr>
              <w:t>, 48/26</w:t>
            </w:r>
            <w:r w:rsidRPr="00184A8E">
              <w:rPr>
                <w:rFonts w:ascii="Arial" w:eastAsia="Times New Roman" w:hAnsi="Arial" w:cs="Arial"/>
                <w:sz w:val="20"/>
                <w:szCs w:val="20"/>
                <w:lang w:eastAsia="en-US"/>
              </w:rPr>
              <w:t xml:space="preserve">), Zakon o pravu na pristup informacijama (NN 25/13, 85/15,69/22), Zakon o radu (NN 93/14,127/17, 98/19, 151/22, 46/23, 64/23), Uredba o uredskom poslovanju (NN 75/21), </w:t>
            </w:r>
            <w:r w:rsidRPr="00184A8E">
              <w:rPr>
                <w:rFonts w:ascii="Arial" w:eastAsia="Calibri" w:hAnsi="Arial" w:cs="Arial"/>
                <w:sz w:val="20"/>
                <w:szCs w:val="20"/>
                <w:lang w:eastAsia="en-US"/>
              </w:rPr>
              <w:t>S</w:t>
            </w:r>
            <w:r w:rsidRPr="00184A8E">
              <w:rPr>
                <w:rFonts w:ascii="Arial" w:eastAsia="Times New Roman" w:hAnsi="Arial" w:cs="Arial"/>
                <w:sz w:val="20"/>
                <w:szCs w:val="20"/>
                <w:lang w:eastAsia="en-US"/>
              </w:rPr>
              <w:t>tatut Općine i drugi akti</w:t>
            </w:r>
          </w:p>
        </w:tc>
      </w:tr>
      <w:tr w:rsidR="00184A8E" w:rsidRPr="00184A8E" w14:paraId="1048BE68" w14:textId="77777777" w:rsidTr="00410A4B">
        <w:tc>
          <w:tcPr>
            <w:tcW w:w="1413" w:type="dxa"/>
            <w:tcBorders>
              <w:top w:val="dotted" w:sz="4" w:space="0" w:color="auto"/>
              <w:left w:val="dotted" w:sz="4" w:space="0" w:color="auto"/>
              <w:bottom w:val="dotted" w:sz="4" w:space="0" w:color="auto"/>
              <w:right w:val="dotted" w:sz="4" w:space="0" w:color="auto"/>
            </w:tcBorders>
          </w:tcPr>
          <w:p w14:paraId="10022CE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2870" w:type="dxa"/>
            <w:tcBorders>
              <w:top w:val="dotted" w:sz="4" w:space="0" w:color="auto"/>
              <w:left w:val="dotted" w:sz="4" w:space="0" w:color="auto"/>
              <w:bottom w:val="dotted" w:sz="4" w:space="0" w:color="auto"/>
              <w:right w:val="dotted" w:sz="4" w:space="0" w:color="auto"/>
            </w:tcBorders>
          </w:tcPr>
          <w:p w14:paraId="3E825464"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Podizanje kvalitete života i stanovanja.</w:t>
            </w:r>
          </w:p>
          <w:p w14:paraId="28EC676E"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Održavanje i upravljanje poslovnim objektima – cilj je očuvanja bitnih zahtjeva za građevinu na način da se ne naruše svojstva građevine.</w:t>
            </w:r>
          </w:p>
        </w:tc>
      </w:tr>
      <w:tr w:rsidR="00184A8E" w:rsidRPr="00184A8E" w14:paraId="19A6211E" w14:textId="77777777" w:rsidTr="00410A4B">
        <w:tc>
          <w:tcPr>
            <w:tcW w:w="1413" w:type="dxa"/>
            <w:tcBorders>
              <w:top w:val="dotted" w:sz="4" w:space="0" w:color="auto"/>
              <w:left w:val="dotted" w:sz="4" w:space="0" w:color="auto"/>
              <w:bottom w:val="dotted" w:sz="4" w:space="0" w:color="auto"/>
              <w:right w:val="dotted" w:sz="4" w:space="0" w:color="auto"/>
            </w:tcBorders>
            <w:vAlign w:val="bottom"/>
          </w:tcPr>
          <w:p w14:paraId="51BD4E48"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2870" w:type="dxa"/>
            <w:tcBorders>
              <w:top w:val="dotted" w:sz="4" w:space="0" w:color="auto"/>
              <w:left w:val="dotted" w:sz="4" w:space="0" w:color="auto"/>
              <w:bottom w:val="dotted" w:sz="4" w:space="0" w:color="auto"/>
              <w:right w:val="dotted" w:sz="4" w:space="0" w:color="auto"/>
            </w:tcBorders>
            <w:vAlign w:val="bottom"/>
          </w:tcPr>
          <w:p w14:paraId="66710A54"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POSEBNI CILJ je izgradnja i uređenje prostora za obavljanje poslova iz nadležnosti Općine ili obnova i rekonstrukcija drugih prostora u vlasništvu Općine te osiguravanje sredstva potrebnih za održavanje i podizanje kvalitete općinskih stambeno - poslovnih prostora. Pod tim se podrazumijeva tekuće i investicijsko održavanje zgrada (pročelja, krovišta, zajednički dijelovi i slično).</w:t>
            </w:r>
          </w:p>
        </w:tc>
      </w:tr>
    </w:tbl>
    <w:p w14:paraId="15514542" w14:textId="77777777" w:rsidR="00184A8E" w:rsidRPr="00184A8E" w:rsidRDefault="00184A8E" w:rsidP="00184A8E">
      <w:pPr>
        <w:spacing w:after="0" w:line="240" w:lineRule="auto"/>
        <w:jc w:val="both"/>
        <w:rPr>
          <w:rFonts w:ascii="Arial" w:eastAsia="Calibri" w:hAnsi="Arial" w:cs="Arial"/>
          <w:sz w:val="20"/>
          <w:szCs w:val="20"/>
          <w:lang w:eastAsia="en-US"/>
        </w:rPr>
      </w:pPr>
    </w:p>
    <w:p w14:paraId="69DAA1C8"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037D6754" w14:textId="77777777" w:rsidR="00184A8E" w:rsidRPr="00184A8E" w:rsidRDefault="00184A8E" w:rsidP="00184A8E">
      <w:pPr>
        <w:spacing w:after="0" w:line="240" w:lineRule="auto"/>
        <w:rPr>
          <w:rFonts w:ascii="Arial" w:eastAsia="Calibri" w:hAnsi="Arial" w:cs="Arial"/>
          <w:sz w:val="20"/>
          <w:szCs w:val="20"/>
        </w:rPr>
      </w:pPr>
    </w:p>
    <w:p w14:paraId="7CF1A3AE" w14:textId="6C4DE7E1"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5D2143D1" w14:textId="77777777" w:rsidR="00184A8E" w:rsidRPr="00184A8E" w:rsidRDefault="00184A8E" w:rsidP="00184A8E">
      <w:pPr>
        <w:spacing w:after="0" w:line="240" w:lineRule="auto"/>
        <w:rPr>
          <w:rFonts w:ascii="Arial" w:eastAsia="Calibri" w:hAnsi="Arial" w:cs="Arial"/>
          <w:sz w:val="20"/>
          <w:szCs w:val="20"/>
        </w:rPr>
      </w:pPr>
    </w:p>
    <w:p w14:paraId="6033A1A2" w14:textId="309CBEA9" w:rsidR="00184A8E" w:rsidRPr="00184A8E" w:rsidRDefault="008A4832" w:rsidP="00184A8E">
      <w:pPr>
        <w:spacing w:after="0" w:line="240" w:lineRule="auto"/>
        <w:rPr>
          <w:rFonts w:ascii="Arial" w:eastAsia="Calibri" w:hAnsi="Arial" w:cs="Arial"/>
          <w:sz w:val="20"/>
          <w:szCs w:val="20"/>
        </w:rPr>
      </w:pPr>
      <w:r w:rsidRPr="008A4832">
        <w:rPr>
          <w:noProof/>
        </w:rPr>
        <w:lastRenderedPageBreak/>
        <w:drawing>
          <wp:inline distT="0" distB="0" distL="0" distR="0" wp14:anchorId="67DEDCB7" wp14:editId="1E9FD13B">
            <wp:extent cx="9251950" cy="3578860"/>
            <wp:effectExtent l="0" t="0" r="6350" b="2540"/>
            <wp:docPr id="14668851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9251950" cy="3578860"/>
                    </a:xfrm>
                    <a:prstGeom prst="rect">
                      <a:avLst/>
                    </a:prstGeom>
                    <a:noFill/>
                    <a:ln>
                      <a:noFill/>
                    </a:ln>
                  </pic:spPr>
                </pic:pic>
              </a:graphicData>
            </a:graphic>
          </wp:inline>
        </w:drawing>
      </w:r>
    </w:p>
    <w:p w14:paraId="37CCB598"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435F57B8"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295988BE"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6ADFA1E9" w14:textId="7241408C"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xml:space="preserve">: Izvršenje je </w:t>
      </w:r>
      <w:r w:rsidR="008A4832">
        <w:rPr>
          <w:rFonts w:ascii="Arial" w:eastAsia="Calibri" w:hAnsi="Arial" w:cs="Arial"/>
          <w:sz w:val="20"/>
          <w:szCs w:val="20"/>
          <w:lang w:eastAsia="en-US"/>
        </w:rPr>
        <w:t>u okviru</w:t>
      </w:r>
      <w:r w:rsidRPr="00184A8E">
        <w:rPr>
          <w:rFonts w:ascii="Arial" w:eastAsia="Calibri" w:hAnsi="Arial" w:cs="Arial"/>
          <w:sz w:val="20"/>
          <w:szCs w:val="20"/>
          <w:lang w:eastAsia="en-US"/>
        </w:rPr>
        <w:t xml:space="preserve"> očekivanih vrijednosti</w:t>
      </w:r>
      <w:r w:rsidRPr="00184A8E">
        <w:rPr>
          <w:rFonts w:ascii="Arial" w:eastAsia="Calibri" w:hAnsi="Arial" w:cs="Arial"/>
          <w:sz w:val="20"/>
          <w:szCs w:val="20"/>
        </w:rPr>
        <w:t>.</w:t>
      </w:r>
    </w:p>
    <w:p w14:paraId="20534D06"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23AE6F42" w14:textId="77777777" w:rsidR="008A4832" w:rsidRDefault="008A4832" w:rsidP="008A4832">
      <w:pPr>
        <w:autoSpaceDE w:val="0"/>
        <w:autoSpaceDN w:val="0"/>
        <w:adjustRightInd w:val="0"/>
        <w:spacing w:after="0" w:line="240" w:lineRule="auto"/>
        <w:jc w:val="both"/>
        <w:rPr>
          <w:rFonts w:ascii="Arial" w:eastAsia="Calibri" w:hAnsi="Arial" w:cs="Arial"/>
          <w:sz w:val="20"/>
          <w:szCs w:val="20"/>
          <w:lang w:eastAsia="en-US"/>
        </w:rPr>
      </w:pPr>
      <w:r w:rsidRPr="008A4832">
        <w:rPr>
          <w:rFonts w:ascii="Arial" w:eastAsia="Calibri" w:hAnsi="Arial" w:cs="Arial"/>
          <w:sz w:val="20"/>
          <w:szCs w:val="20"/>
          <w:lang w:eastAsia="en-US"/>
        </w:rPr>
        <w:t xml:space="preserve">Za provođenje programa 2105 planirana su sredstva u iznosu </w:t>
      </w:r>
      <w:r>
        <w:rPr>
          <w:rFonts w:ascii="Arial" w:eastAsia="Calibri" w:hAnsi="Arial" w:cs="Arial"/>
          <w:sz w:val="20"/>
          <w:szCs w:val="20"/>
          <w:lang w:eastAsia="en-US"/>
        </w:rPr>
        <w:t>715.375</w:t>
      </w:r>
      <w:r w:rsidRPr="008A4832">
        <w:rPr>
          <w:rFonts w:ascii="Arial" w:eastAsia="Calibri" w:hAnsi="Arial" w:cs="Arial"/>
          <w:sz w:val="20"/>
          <w:szCs w:val="20"/>
          <w:lang w:eastAsia="en-US"/>
        </w:rPr>
        <w:t xml:space="preserve"> € za 2025. godinu, a za 2026. godinu u iznosu 533.700 € i za 2027. godinu u iznosu 413.200 € </w:t>
      </w:r>
    </w:p>
    <w:p w14:paraId="4C6E164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36590C2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Dio programa koji se izvršavao kroz program 2105, a koji se odnosio na legalizaciju objekata, od 2019. do 2023. godine se planirao putem programa 2108, razdjel 050 - Upravnog odjela za prostorno uređenje i zaštitu okoliša (nastao razdvajanjem razdjela 030 na dva upravna odjela). Od 2024. ova dva upravna odjela su ponovno spojena (ostaje razdjel 030).</w:t>
      </w:r>
    </w:p>
    <w:p w14:paraId="113387F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00F3BBC4"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2177080D" w14:textId="77777777" w:rsidR="00184A8E" w:rsidRPr="00184A8E" w:rsidRDefault="00184A8E" w:rsidP="00184A8E">
      <w:pPr>
        <w:spacing w:after="0" w:line="240" w:lineRule="auto"/>
        <w:jc w:val="both"/>
        <w:rPr>
          <w:rFonts w:ascii="Arial" w:eastAsia="Calibri" w:hAnsi="Arial" w:cs="Arial"/>
          <w:sz w:val="20"/>
          <w:szCs w:val="20"/>
          <w:lang w:eastAsia="en-US"/>
        </w:rPr>
      </w:pPr>
    </w:p>
    <w:p w14:paraId="6E7C96E4"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lastRenderedPageBreak/>
        <w:t>Unutar programa izvode se slijedeće aktivnosti i projekti:</w:t>
      </w:r>
    </w:p>
    <w:p w14:paraId="3CB588B3" w14:textId="77777777" w:rsidR="00184A8E" w:rsidRPr="00184A8E" w:rsidRDefault="00184A8E" w:rsidP="00184A8E">
      <w:pPr>
        <w:spacing w:after="0" w:line="240" w:lineRule="auto"/>
        <w:jc w:val="both"/>
        <w:rPr>
          <w:rFonts w:ascii="Arial" w:eastAsia="Calibri" w:hAnsi="Arial" w:cs="Arial"/>
          <w:sz w:val="20"/>
          <w:szCs w:val="20"/>
        </w:rPr>
      </w:pPr>
    </w:p>
    <w:p w14:paraId="1B4A116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rPr>
        <w:t>1. T210501: Legalizacija objekata</w:t>
      </w:r>
      <w:r w:rsidRPr="00184A8E">
        <w:rPr>
          <w:rFonts w:ascii="Arial" w:eastAsia="Calibri" w:hAnsi="Arial" w:cs="Arial"/>
          <w:sz w:val="20"/>
          <w:szCs w:val="20"/>
        </w:rPr>
        <w:t xml:space="preserve"> – </w:t>
      </w:r>
    </w:p>
    <w:p w14:paraId="038B2046" w14:textId="3598B9E4"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18"/>
          <w:szCs w:val="18"/>
        </w:rPr>
        <w:t xml:space="preserve">* Od početka 2019. do 2023. godine ova aktivnost se prikazivala kroz program 2108, aktivnost Upravnog odjela za prostorno uređenje i zaštitu okoliša (razdjel 050). Od početka 2024. razdjel 050 je ponovno spojen s razdjelom 030. </w:t>
      </w:r>
      <w:r w:rsidR="008A4832">
        <w:rPr>
          <w:rFonts w:ascii="Arial" w:eastAsia="Calibri" w:hAnsi="Arial" w:cs="Arial"/>
          <w:sz w:val="18"/>
          <w:szCs w:val="18"/>
        </w:rPr>
        <w:t>P</w:t>
      </w:r>
      <w:r w:rsidRPr="00184A8E">
        <w:rPr>
          <w:rFonts w:ascii="Arial" w:eastAsia="Calibri" w:hAnsi="Arial" w:cs="Arial"/>
          <w:sz w:val="20"/>
          <w:szCs w:val="20"/>
        </w:rPr>
        <w:t xml:space="preserve">lanirana proračunska sredstva </w:t>
      </w:r>
      <w:r w:rsidR="008A4832">
        <w:rPr>
          <w:rFonts w:ascii="Arial" w:eastAsia="Calibri" w:hAnsi="Arial" w:cs="Arial"/>
          <w:sz w:val="20"/>
          <w:szCs w:val="20"/>
        </w:rPr>
        <w:t>iznose 5.000</w:t>
      </w:r>
      <w:r w:rsidRPr="00184A8E">
        <w:rPr>
          <w:rFonts w:ascii="Arial" w:eastAsia="Calibri" w:hAnsi="Arial" w:cs="Arial"/>
          <w:sz w:val="20"/>
          <w:szCs w:val="20"/>
        </w:rPr>
        <w:t xml:space="preserve"> € za izradu projekata za legalizaciju objekata (geodetski snimci te arhitektonski snimci), te materijalne troškove vezane uz provedbu legalizacije</w:t>
      </w:r>
      <w:r w:rsidR="008A4832">
        <w:rPr>
          <w:rFonts w:ascii="Arial" w:eastAsia="Calibri" w:hAnsi="Arial" w:cs="Arial"/>
          <w:sz w:val="20"/>
          <w:szCs w:val="20"/>
        </w:rPr>
        <w:t>. R</w:t>
      </w:r>
      <w:r w:rsidRPr="00184A8E">
        <w:rPr>
          <w:rFonts w:ascii="Arial" w:eastAsia="Calibri" w:hAnsi="Arial" w:cs="Arial"/>
          <w:sz w:val="20"/>
          <w:szCs w:val="20"/>
        </w:rPr>
        <w:t>ashodi nisu izvršeni.</w:t>
      </w:r>
    </w:p>
    <w:p w14:paraId="0B61CE36"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p>
    <w:p w14:paraId="4230AA9C"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 2019. bili su izvršeni rashodi u iznosu 102.603,07 kn /13.617,77 € koji su se odnosili na izradu geodetskih snimki izvedenog stanja nezakonito izgrađenih građevina u ukupnom iznosu 26.875 kn / 3.566,93 € (Zavičajna kuća Čilipi, Dom kulture Dubravka, bivša škola Popovići, društveni dom Duba konavoska, građevina na igralištu u Čilipima, zgrade u Cavtatu) i izradu arhitektonske snimke za građevine u iznosu 57.725 kn / 7.661,42 € (Zavičajna kuća Čilipi, bivša škola Popovići, društveni dom Duba konavoska, dom kulture u Cavtatu), izrada arhitektonske snimke izvedenog stanja zgrade javne namjene i pratećih građevina na nogometnom  igralištu Šupjaka (legalizacija sportskog centra Šupjaka) 15.000 kn /1.990,84 €, plaćanje vodnog doprinosa za legalizaciju športskog centra Šupjaka, sportskog centra u Ljutoj, zgrade u kojoj je bila osnovna škola u Moluntu i područna škola u Vitaljini u iznosu 3.003,07 kn / 398,58 €.</w:t>
      </w:r>
    </w:p>
    <w:p w14:paraId="600DF6F7"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12C848D6"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2020. godine bili su izvršeni rashodi u iznosu 7.749,05 kn /1.028,48 € koji su se odnosili na izradu geodetskog elaborata provedbe rješenja o utvrđivanju građevne čestice na č.zem. 188 i 1886/1 k.o. Obod (stara izmjera), te k.č. 1875/6 i 1878 k.o. Obod (nova izmjera) na kojima se nalaze postojeće zgrade, te na plaćanje vodnog doprinosa za legalizaciju škole u Popovićima k.č. 876/2 i vodni doprinos za legalizaciju zgrade u Dubi konavoskoj k.č. 1421/1 k.o. Duba.</w:t>
      </w:r>
    </w:p>
    <w:p w14:paraId="289EEAD2"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lang w:eastAsia="en-US"/>
        </w:rPr>
      </w:pPr>
    </w:p>
    <w:tbl>
      <w:tblPr>
        <w:tblStyle w:val="Reetkatablice536"/>
        <w:tblW w:w="14029" w:type="dxa"/>
        <w:jc w:val="center"/>
        <w:tblLayout w:type="fixed"/>
        <w:tblLook w:val="04A0" w:firstRow="1" w:lastRow="0" w:firstColumn="1" w:lastColumn="0" w:noHBand="0" w:noVBand="1"/>
      </w:tblPr>
      <w:tblGrid>
        <w:gridCol w:w="2405"/>
        <w:gridCol w:w="2977"/>
        <w:gridCol w:w="1984"/>
        <w:gridCol w:w="1134"/>
        <w:gridCol w:w="1134"/>
        <w:gridCol w:w="993"/>
        <w:gridCol w:w="1134"/>
        <w:gridCol w:w="1134"/>
        <w:gridCol w:w="1134"/>
      </w:tblGrid>
      <w:tr w:rsidR="00184A8E" w:rsidRPr="00184A8E" w14:paraId="26E34B89" w14:textId="77777777" w:rsidTr="00410A4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3A35327" w14:textId="77777777" w:rsidR="00184A8E" w:rsidRPr="00184A8E" w:rsidRDefault="00184A8E" w:rsidP="00184A8E">
            <w:pPr>
              <w:jc w:val="both"/>
              <w:rPr>
                <w:rFonts w:ascii="Arial" w:eastAsia="Calibri" w:hAnsi="Arial" w:cs="Arial"/>
                <w:sz w:val="18"/>
                <w:szCs w:val="18"/>
                <w:lang w:eastAsia="en-US"/>
              </w:rPr>
            </w:pPr>
            <w:r w:rsidRPr="00184A8E">
              <w:rPr>
                <w:rFonts w:ascii="Arial" w:eastAsia="Calibri" w:hAnsi="Arial" w:cs="Arial"/>
                <w:sz w:val="18"/>
                <w:szCs w:val="18"/>
                <w:lang w:eastAsia="en-US"/>
              </w:rPr>
              <w:t>Pokazatelj rezultata</w:t>
            </w:r>
          </w:p>
        </w:tc>
        <w:tc>
          <w:tcPr>
            <w:tcW w:w="297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BB9E957" w14:textId="77777777" w:rsidR="00184A8E" w:rsidRPr="00184A8E" w:rsidRDefault="00184A8E" w:rsidP="00184A8E">
            <w:pPr>
              <w:jc w:val="both"/>
              <w:rPr>
                <w:rFonts w:ascii="Arial" w:eastAsia="Calibri" w:hAnsi="Arial" w:cs="Arial"/>
                <w:sz w:val="18"/>
                <w:szCs w:val="18"/>
                <w:lang w:eastAsia="en-US"/>
              </w:rPr>
            </w:pPr>
            <w:r w:rsidRPr="00184A8E">
              <w:rPr>
                <w:rFonts w:ascii="Arial" w:eastAsia="Calibri" w:hAnsi="Arial" w:cs="Arial"/>
                <w:sz w:val="18"/>
                <w:szCs w:val="18"/>
                <w:lang w:eastAsia="en-US"/>
              </w:rPr>
              <w:t>Definicija</w:t>
            </w:r>
          </w:p>
        </w:tc>
        <w:tc>
          <w:tcPr>
            <w:tcW w:w="198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399749" w14:textId="77777777" w:rsidR="00184A8E" w:rsidRPr="00184A8E" w:rsidRDefault="00184A8E" w:rsidP="00184A8E">
            <w:pPr>
              <w:jc w:val="both"/>
              <w:rPr>
                <w:rFonts w:ascii="Arial" w:eastAsia="Calibri" w:hAnsi="Arial" w:cs="Arial"/>
                <w:sz w:val="18"/>
                <w:szCs w:val="18"/>
                <w:lang w:eastAsia="en-US"/>
              </w:rPr>
            </w:pPr>
            <w:r w:rsidRPr="00184A8E">
              <w:rPr>
                <w:rFonts w:ascii="Arial" w:eastAsia="Calibri" w:hAnsi="Arial" w:cs="Arial"/>
                <w:sz w:val="18"/>
                <w:szCs w:val="18"/>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A6D757A"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440BEBD" w14:textId="1AEC3B06"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Polazna vrijednost 20</w:t>
            </w:r>
            <w:r w:rsidR="00B95434">
              <w:rPr>
                <w:rFonts w:ascii="Arial" w:eastAsia="Calibri" w:hAnsi="Arial" w:cs="Arial"/>
                <w:sz w:val="18"/>
                <w:szCs w:val="18"/>
                <w:lang w:eastAsia="en-US"/>
              </w:rPr>
              <w:t>24</w:t>
            </w:r>
            <w:r w:rsidRPr="00184A8E">
              <w:rPr>
                <w:rFonts w:ascii="Arial" w:eastAsia="Calibri" w:hAnsi="Arial" w:cs="Arial"/>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2E1FDF9" w14:textId="06F222E2"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B95434">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2D924D4" w14:textId="7B234EEA"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Izvršeno 202</w:t>
            </w:r>
            <w:r w:rsidR="00B95434">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F66BE06" w14:textId="0FEF0DE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B95434">
              <w:rPr>
                <w:rFonts w:ascii="Arial" w:eastAsia="Calibri" w:hAnsi="Arial" w:cs="Arial"/>
                <w:sz w:val="18"/>
                <w:szCs w:val="18"/>
                <w:lang w:eastAsia="en-US"/>
              </w:rPr>
              <w:t>6</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39499F5" w14:textId="327483AF"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B95434">
              <w:rPr>
                <w:rFonts w:ascii="Arial" w:eastAsia="Calibri" w:hAnsi="Arial" w:cs="Arial"/>
                <w:sz w:val="18"/>
                <w:szCs w:val="18"/>
                <w:lang w:eastAsia="en-US"/>
              </w:rPr>
              <w:t>7</w:t>
            </w:r>
            <w:r w:rsidRPr="00184A8E">
              <w:rPr>
                <w:rFonts w:ascii="Arial" w:eastAsia="Calibri" w:hAnsi="Arial" w:cs="Arial"/>
                <w:sz w:val="18"/>
                <w:szCs w:val="18"/>
                <w:lang w:eastAsia="en-US"/>
              </w:rPr>
              <w:t>.</w:t>
            </w:r>
          </w:p>
        </w:tc>
      </w:tr>
      <w:tr w:rsidR="00184A8E" w:rsidRPr="00184A8E" w14:paraId="30B4AD51" w14:textId="77777777" w:rsidTr="00410A4B">
        <w:trPr>
          <w:trHeight w:val="274"/>
          <w:jc w:val="center"/>
        </w:trPr>
        <w:tc>
          <w:tcPr>
            <w:tcW w:w="2405" w:type="dxa"/>
            <w:tcBorders>
              <w:top w:val="single" w:sz="4" w:space="0" w:color="auto"/>
              <w:left w:val="single" w:sz="4" w:space="0" w:color="auto"/>
              <w:bottom w:val="single" w:sz="4" w:space="0" w:color="auto"/>
              <w:right w:val="single" w:sz="4" w:space="0" w:color="auto"/>
            </w:tcBorders>
            <w:vAlign w:val="center"/>
          </w:tcPr>
          <w:p w14:paraId="78D5803D" w14:textId="77777777" w:rsidR="00184A8E" w:rsidRPr="00184A8E" w:rsidRDefault="00184A8E" w:rsidP="00184A8E">
            <w:pPr>
              <w:rPr>
                <w:rFonts w:ascii="Arial" w:eastAsia="Calibri" w:hAnsi="Arial" w:cs="Arial"/>
                <w:sz w:val="16"/>
                <w:szCs w:val="16"/>
                <w:lang w:eastAsia="en-US"/>
              </w:rPr>
            </w:pPr>
            <w:r w:rsidRPr="00184A8E">
              <w:rPr>
                <w:rFonts w:ascii="Arial" w:eastAsia="Calibri" w:hAnsi="Arial" w:cs="Arial"/>
                <w:sz w:val="16"/>
                <w:szCs w:val="16"/>
                <w:lang w:eastAsia="en-US"/>
              </w:rPr>
              <w:t xml:space="preserve">Legalizacija objekata </w:t>
            </w:r>
          </w:p>
        </w:tc>
        <w:tc>
          <w:tcPr>
            <w:tcW w:w="2977" w:type="dxa"/>
            <w:tcBorders>
              <w:top w:val="single" w:sz="4" w:space="0" w:color="auto"/>
              <w:left w:val="single" w:sz="4" w:space="0" w:color="auto"/>
              <w:bottom w:val="single" w:sz="4" w:space="0" w:color="auto"/>
              <w:right w:val="single" w:sz="4" w:space="0" w:color="auto"/>
            </w:tcBorders>
            <w:vAlign w:val="center"/>
          </w:tcPr>
          <w:p w14:paraId="31A58A37" w14:textId="77777777" w:rsidR="00184A8E" w:rsidRPr="00184A8E" w:rsidRDefault="00184A8E" w:rsidP="00184A8E">
            <w:pPr>
              <w:jc w:val="center"/>
              <w:rPr>
                <w:rFonts w:ascii="Arial" w:eastAsia="Calibri" w:hAnsi="Arial" w:cs="Arial"/>
                <w:sz w:val="16"/>
                <w:szCs w:val="16"/>
                <w:lang w:eastAsia="en-US"/>
              </w:rPr>
            </w:pPr>
            <w:r w:rsidRPr="00184A8E">
              <w:rPr>
                <w:rFonts w:ascii="Arial" w:eastAsia="Calibri" w:hAnsi="Arial" w:cs="Arial"/>
                <w:sz w:val="16"/>
                <w:szCs w:val="16"/>
                <w:lang w:eastAsia="en-US"/>
              </w:rPr>
              <w:t>Broj legaliziranih objekata</w:t>
            </w:r>
          </w:p>
        </w:tc>
        <w:tc>
          <w:tcPr>
            <w:tcW w:w="1984" w:type="dxa"/>
            <w:tcBorders>
              <w:top w:val="single" w:sz="4" w:space="0" w:color="auto"/>
              <w:left w:val="single" w:sz="4" w:space="0" w:color="auto"/>
              <w:bottom w:val="single" w:sz="4" w:space="0" w:color="auto"/>
              <w:right w:val="single" w:sz="4" w:space="0" w:color="auto"/>
            </w:tcBorders>
            <w:vAlign w:val="center"/>
          </w:tcPr>
          <w:p w14:paraId="36B422BE" w14:textId="77777777" w:rsidR="00184A8E" w:rsidRPr="00184A8E" w:rsidRDefault="00184A8E" w:rsidP="00184A8E">
            <w:pPr>
              <w:jc w:val="center"/>
              <w:rPr>
                <w:rFonts w:ascii="Arial" w:eastAsia="Calibri" w:hAnsi="Arial" w:cs="Arial"/>
                <w:sz w:val="16"/>
                <w:szCs w:val="16"/>
                <w:lang w:eastAsia="en-US"/>
              </w:rPr>
            </w:pPr>
            <w:r w:rsidRPr="00184A8E">
              <w:rPr>
                <w:rFonts w:ascii="Arial" w:eastAsia="Calibri" w:hAnsi="Arial" w:cs="Arial"/>
                <w:sz w:val="16"/>
                <w:szCs w:val="16"/>
                <w:lang w:eastAsia="en-US"/>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37A5A6CB" w14:textId="77777777" w:rsidR="00184A8E" w:rsidRPr="00184A8E" w:rsidRDefault="00184A8E" w:rsidP="00184A8E">
            <w:pPr>
              <w:jc w:val="center"/>
              <w:rPr>
                <w:rFonts w:ascii="Arial" w:eastAsia="Calibri" w:hAnsi="Arial" w:cs="Arial"/>
                <w:sz w:val="16"/>
                <w:szCs w:val="16"/>
                <w:lang w:eastAsia="en-US"/>
              </w:rPr>
            </w:pPr>
            <w:r w:rsidRPr="00184A8E">
              <w:rPr>
                <w:rFonts w:ascii="Arial" w:eastAsia="Calibri" w:hAnsi="Arial" w:cs="Arial"/>
                <w:sz w:val="16"/>
                <w:szCs w:val="16"/>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68FC966E" w14:textId="77777777" w:rsidR="00184A8E" w:rsidRPr="00184A8E" w:rsidRDefault="00184A8E" w:rsidP="00184A8E">
            <w:pPr>
              <w:jc w:val="center"/>
              <w:rPr>
                <w:rFonts w:ascii="Arial" w:eastAsia="Calibri" w:hAnsi="Arial" w:cs="Arial"/>
                <w:sz w:val="16"/>
                <w:szCs w:val="16"/>
                <w:lang w:eastAsia="en-US"/>
              </w:rPr>
            </w:pPr>
            <w:r w:rsidRPr="00184A8E">
              <w:rPr>
                <w:rFonts w:ascii="Arial" w:eastAsia="Calibri" w:hAnsi="Arial" w:cs="Arial"/>
                <w:sz w:val="16"/>
                <w:szCs w:val="16"/>
                <w:lang w:eastAsia="en-US"/>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3D23EE40" w14:textId="77777777" w:rsidR="00184A8E" w:rsidRPr="00184A8E" w:rsidRDefault="00184A8E" w:rsidP="00184A8E">
            <w:pPr>
              <w:jc w:val="center"/>
              <w:rPr>
                <w:rFonts w:ascii="Arial" w:eastAsia="Calibri" w:hAnsi="Arial" w:cs="Arial"/>
                <w:sz w:val="16"/>
                <w:szCs w:val="16"/>
                <w:lang w:eastAsia="en-US"/>
              </w:rPr>
            </w:pPr>
            <w:r w:rsidRPr="00184A8E">
              <w:rPr>
                <w:rFonts w:ascii="Arial" w:eastAsia="Calibri" w:hAnsi="Arial" w:cs="Arial"/>
                <w:sz w:val="16"/>
                <w:szCs w:val="16"/>
                <w:lang w:eastAsia="en-US"/>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2677E37F" w14:textId="77777777" w:rsidR="00184A8E" w:rsidRPr="00184A8E" w:rsidRDefault="00184A8E" w:rsidP="00184A8E">
            <w:pPr>
              <w:jc w:val="center"/>
              <w:rPr>
                <w:rFonts w:ascii="Arial" w:eastAsia="Calibri" w:hAnsi="Arial" w:cs="Arial"/>
                <w:sz w:val="16"/>
                <w:szCs w:val="16"/>
                <w:lang w:eastAsia="en-US"/>
              </w:rPr>
            </w:pPr>
            <w:r w:rsidRPr="00184A8E">
              <w:rPr>
                <w:rFonts w:ascii="Arial" w:eastAsia="Calibri" w:hAnsi="Arial" w:cs="Arial"/>
                <w:sz w:val="16"/>
                <w:szCs w:val="16"/>
                <w:lang w:eastAsia="en-US"/>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605F353C" w14:textId="77777777" w:rsidR="00184A8E" w:rsidRPr="00184A8E" w:rsidRDefault="00184A8E" w:rsidP="00184A8E">
            <w:pPr>
              <w:jc w:val="center"/>
              <w:rPr>
                <w:rFonts w:ascii="Arial" w:eastAsia="Calibri" w:hAnsi="Arial" w:cs="Arial"/>
                <w:sz w:val="16"/>
                <w:szCs w:val="16"/>
                <w:lang w:eastAsia="en-US"/>
              </w:rPr>
            </w:pPr>
            <w:r w:rsidRPr="00184A8E">
              <w:rPr>
                <w:rFonts w:ascii="Arial" w:eastAsia="Calibri" w:hAnsi="Arial" w:cs="Arial"/>
                <w:sz w:val="16"/>
                <w:szCs w:val="16"/>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3F8A1E2E" w14:textId="77777777" w:rsidR="00184A8E" w:rsidRPr="00184A8E" w:rsidRDefault="00184A8E" w:rsidP="00184A8E">
            <w:pPr>
              <w:jc w:val="center"/>
              <w:rPr>
                <w:rFonts w:ascii="Arial" w:eastAsia="Calibri" w:hAnsi="Arial" w:cs="Arial"/>
                <w:sz w:val="16"/>
                <w:szCs w:val="16"/>
                <w:lang w:eastAsia="en-US"/>
              </w:rPr>
            </w:pPr>
            <w:r w:rsidRPr="00184A8E">
              <w:rPr>
                <w:rFonts w:ascii="Arial" w:eastAsia="Calibri" w:hAnsi="Arial" w:cs="Arial"/>
                <w:sz w:val="16"/>
                <w:szCs w:val="16"/>
                <w:lang w:eastAsia="en-US"/>
              </w:rPr>
              <w:t>2</w:t>
            </w:r>
          </w:p>
        </w:tc>
      </w:tr>
    </w:tbl>
    <w:p w14:paraId="1E69D7C4" w14:textId="77777777" w:rsidR="00184A8E" w:rsidRPr="00184A8E" w:rsidRDefault="00184A8E" w:rsidP="00184A8E">
      <w:pPr>
        <w:spacing w:after="0" w:line="240" w:lineRule="auto"/>
        <w:jc w:val="both"/>
        <w:rPr>
          <w:rFonts w:ascii="Times New Roman" w:eastAsia="Times New Roman" w:hAnsi="Times New Roman" w:cs="Times New Roman"/>
          <w:sz w:val="20"/>
          <w:szCs w:val="20"/>
          <w:lang w:eastAsia="en-US"/>
        </w:rPr>
      </w:pPr>
    </w:p>
    <w:p w14:paraId="6C64AB69" w14:textId="710885A7" w:rsidR="00B95434"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rPr>
        <w:t xml:space="preserve">2. K210502: Otkup zemljišta i zgrada za buduće projekte, razvrgnuća suvlasničke zajednice </w:t>
      </w:r>
      <w:r w:rsidRPr="00184A8E">
        <w:rPr>
          <w:rFonts w:ascii="Arial" w:eastAsia="Calibri" w:hAnsi="Arial" w:cs="Arial"/>
          <w:sz w:val="20"/>
          <w:szCs w:val="20"/>
        </w:rPr>
        <w:t xml:space="preserve">– Za provođenje programa su planirana proračunska sredstva u iznosu </w:t>
      </w:r>
      <w:r w:rsidR="00B95434">
        <w:rPr>
          <w:rFonts w:ascii="Arial" w:eastAsia="Calibri" w:hAnsi="Arial" w:cs="Arial"/>
          <w:sz w:val="20"/>
          <w:szCs w:val="20"/>
        </w:rPr>
        <w:t>230.000</w:t>
      </w:r>
      <w:r w:rsidRPr="00184A8E">
        <w:rPr>
          <w:rFonts w:ascii="Arial" w:eastAsia="Calibri" w:hAnsi="Arial" w:cs="Arial"/>
          <w:sz w:val="20"/>
          <w:szCs w:val="20"/>
        </w:rPr>
        <w:t xml:space="preserve"> €. Rashodi su izvršeni</w:t>
      </w:r>
      <w:r w:rsidR="00B95434">
        <w:rPr>
          <w:rFonts w:ascii="Arial" w:eastAsia="Calibri" w:hAnsi="Arial" w:cs="Arial"/>
          <w:sz w:val="20"/>
          <w:szCs w:val="20"/>
        </w:rPr>
        <w:t xml:space="preserve"> u iznosu 569.430 €</w:t>
      </w:r>
      <w:r w:rsidRPr="00184A8E">
        <w:rPr>
          <w:rFonts w:ascii="Arial" w:eastAsia="Calibri" w:hAnsi="Arial" w:cs="Arial"/>
          <w:sz w:val="20"/>
          <w:szCs w:val="20"/>
        </w:rPr>
        <w:t xml:space="preserve">. </w:t>
      </w:r>
      <w:r w:rsidR="00B95434">
        <w:rPr>
          <w:rFonts w:ascii="Arial" w:eastAsia="Calibri" w:hAnsi="Arial" w:cs="Arial"/>
          <w:sz w:val="20"/>
          <w:szCs w:val="20"/>
        </w:rPr>
        <w:t>Više izvršeni rashodi su podmireni iz namjenski ostvarenih sredstava, odnosno od prodaje i zamjene zemljišta.</w:t>
      </w:r>
    </w:p>
    <w:p w14:paraId="5E4B9FCB" w14:textId="77777777" w:rsidR="00B95434" w:rsidRDefault="00B95434" w:rsidP="00184A8E">
      <w:pPr>
        <w:autoSpaceDE w:val="0"/>
        <w:autoSpaceDN w:val="0"/>
        <w:adjustRightInd w:val="0"/>
        <w:spacing w:after="0" w:line="240" w:lineRule="auto"/>
        <w:ind w:left="567"/>
        <w:jc w:val="both"/>
        <w:rPr>
          <w:rFonts w:ascii="Arial" w:eastAsia="Calibri" w:hAnsi="Arial" w:cs="Arial"/>
          <w:sz w:val="18"/>
          <w:szCs w:val="18"/>
          <w:lang w:eastAsia="en-US"/>
        </w:rPr>
      </w:pPr>
    </w:p>
    <w:p w14:paraId="473B3617" w14:textId="19D0C63E" w:rsidR="00B95434" w:rsidRDefault="00B95434" w:rsidP="00B95434">
      <w:pPr>
        <w:autoSpaceDE w:val="0"/>
        <w:autoSpaceDN w:val="0"/>
        <w:adjustRightInd w:val="0"/>
        <w:spacing w:after="0" w:line="240" w:lineRule="auto"/>
        <w:jc w:val="both"/>
        <w:rPr>
          <w:rFonts w:ascii="Arial" w:eastAsia="Calibri" w:hAnsi="Arial" w:cs="Arial"/>
          <w:bCs/>
          <w:sz w:val="20"/>
          <w:szCs w:val="20"/>
        </w:rPr>
      </w:pPr>
      <w:r>
        <w:rPr>
          <w:rFonts w:ascii="Arial" w:eastAsia="Calibri" w:hAnsi="Arial" w:cs="Arial"/>
          <w:bCs/>
          <w:sz w:val="20"/>
          <w:szCs w:val="20"/>
        </w:rPr>
        <w:t>U 2025. izvršeni rashodi u iznosu 569.4</w:t>
      </w:r>
      <w:r w:rsidR="009F0CE6">
        <w:rPr>
          <w:rFonts w:ascii="Arial" w:eastAsia="Calibri" w:hAnsi="Arial" w:cs="Arial"/>
          <w:bCs/>
          <w:sz w:val="20"/>
          <w:szCs w:val="20"/>
        </w:rPr>
        <w:t>30</w:t>
      </w:r>
      <w:r>
        <w:rPr>
          <w:rFonts w:ascii="Arial" w:eastAsia="Calibri" w:hAnsi="Arial" w:cs="Arial"/>
          <w:bCs/>
          <w:sz w:val="20"/>
          <w:szCs w:val="20"/>
        </w:rPr>
        <w:t xml:space="preserve"> € se odnose na:</w:t>
      </w:r>
    </w:p>
    <w:p w14:paraId="2856EEB7" w14:textId="1629D590" w:rsidR="00B95434" w:rsidRDefault="00B95434" w:rsidP="00B95434">
      <w:pPr>
        <w:pStyle w:val="Odlomakpopisa"/>
        <w:numPr>
          <w:ilvl w:val="0"/>
          <w:numId w:val="3"/>
        </w:numPr>
        <w:autoSpaceDE w:val="0"/>
        <w:autoSpaceDN w:val="0"/>
        <w:adjustRightInd w:val="0"/>
        <w:rPr>
          <w:rFonts w:ascii="Arial" w:eastAsia="Calibri" w:hAnsi="Arial" w:cs="Arial"/>
          <w:bCs/>
        </w:rPr>
      </w:pPr>
      <w:r>
        <w:rPr>
          <w:rFonts w:ascii="Arial" w:eastAsia="Calibri" w:hAnsi="Arial" w:cs="Arial"/>
          <w:bCs/>
        </w:rPr>
        <w:t>zamjenu zemljišta sa zračnom lukom sukladno ugovoru iz ožujka 2025. godine u iznosu 458.000 €, površine 4.624 m²,</w:t>
      </w:r>
    </w:p>
    <w:p w14:paraId="432AC912" w14:textId="069516BD" w:rsidR="00B95434" w:rsidRDefault="00B95434" w:rsidP="00B95434">
      <w:pPr>
        <w:pStyle w:val="Odlomakpopisa"/>
        <w:numPr>
          <w:ilvl w:val="0"/>
          <w:numId w:val="3"/>
        </w:numPr>
        <w:autoSpaceDE w:val="0"/>
        <w:autoSpaceDN w:val="0"/>
        <w:adjustRightInd w:val="0"/>
        <w:rPr>
          <w:rFonts w:ascii="Arial" w:eastAsia="Calibri" w:hAnsi="Arial" w:cs="Arial"/>
          <w:bCs/>
        </w:rPr>
      </w:pPr>
      <w:r>
        <w:rPr>
          <w:rFonts w:ascii="Arial" w:eastAsia="Calibri" w:hAnsi="Arial" w:cs="Arial"/>
          <w:bCs/>
        </w:rPr>
        <w:t>kupnja zemljišta na poluotoku Rat u Cavtatu za arheološka istraživanja 104.000 €, 3.833 m², te</w:t>
      </w:r>
    </w:p>
    <w:p w14:paraId="7796545A" w14:textId="224AE8B6" w:rsidR="00B95434" w:rsidRPr="00B95434" w:rsidRDefault="007E622C" w:rsidP="00B95434">
      <w:pPr>
        <w:pStyle w:val="Odlomakpopisa"/>
        <w:numPr>
          <w:ilvl w:val="0"/>
          <w:numId w:val="3"/>
        </w:numPr>
        <w:autoSpaceDE w:val="0"/>
        <w:autoSpaceDN w:val="0"/>
        <w:adjustRightInd w:val="0"/>
        <w:rPr>
          <w:rFonts w:ascii="Arial" w:eastAsia="Calibri" w:hAnsi="Arial" w:cs="Arial"/>
          <w:bCs/>
        </w:rPr>
      </w:pPr>
      <w:r>
        <w:rPr>
          <w:rFonts w:ascii="Arial" w:eastAsia="Calibri" w:hAnsi="Arial" w:cs="Arial"/>
          <w:bCs/>
        </w:rPr>
        <w:t>zamjena zemljišta u Čilipima kod igrališta u iznosu 7.430 €. 83 m²</w:t>
      </w:r>
    </w:p>
    <w:p w14:paraId="7C49D925"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381C4D6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3. K210503: Ulaganje u poslovne / uredske objekte</w:t>
      </w:r>
      <w:r w:rsidRPr="00184A8E">
        <w:rPr>
          <w:rFonts w:ascii="Arial" w:eastAsia="Calibri" w:hAnsi="Arial" w:cs="Arial"/>
          <w:sz w:val="20"/>
          <w:szCs w:val="20"/>
          <w:lang w:eastAsia="en-US"/>
        </w:rPr>
        <w:t xml:space="preserve"> - Za provođenje programa proračunska sredstva su planirana u iznosu 270.000 €. Ovi rashodi se odnose na tekuće i investicijsko održavanje objekata u vlasništvu općine. Rashodi su izvršeni u iznosu 192.943,56 € ili 71,5% plana.</w:t>
      </w:r>
    </w:p>
    <w:p w14:paraId="30D1AD0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2AA0D71A" w14:textId="63C51AEB" w:rsidR="007E622C" w:rsidRDefault="007E622C" w:rsidP="00184A8E">
      <w:pPr>
        <w:autoSpaceDE w:val="0"/>
        <w:autoSpaceDN w:val="0"/>
        <w:adjustRightInd w:val="0"/>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Rashodi u 2025. godini su izvršeni u iznosu 169.518,75 €, a odnose se na:</w:t>
      </w:r>
    </w:p>
    <w:p w14:paraId="611AFCB9" w14:textId="6ABCAFA9" w:rsidR="007E622C" w:rsidRDefault="007E622C" w:rsidP="007E622C">
      <w:pPr>
        <w:pStyle w:val="Odlomakpopisa"/>
        <w:numPr>
          <w:ilvl w:val="0"/>
          <w:numId w:val="3"/>
        </w:numPr>
        <w:autoSpaceDE w:val="0"/>
        <w:autoSpaceDN w:val="0"/>
        <w:adjustRightInd w:val="0"/>
        <w:ind w:left="567" w:hanging="567"/>
        <w:rPr>
          <w:rFonts w:ascii="Arial" w:eastAsia="Calibri" w:hAnsi="Arial" w:cs="Arial"/>
        </w:rPr>
      </w:pPr>
      <w:r>
        <w:rPr>
          <w:rFonts w:ascii="Arial" w:eastAsia="Calibri" w:hAnsi="Arial" w:cs="Arial"/>
        </w:rPr>
        <w:t xml:space="preserve">uređenje sanitarnog čvora </w:t>
      </w:r>
      <w:r w:rsidR="00F37A48">
        <w:rPr>
          <w:rFonts w:ascii="Arial" w:eastAsia="Calibri" w:hAnsi="Arial" w:cs="Arial"/>
        </w:rPr>
        <w:t>u dječjem vrtiću Katićan u Čilipima 26.505 €,</w:t>
      </w:r>
    </w:p>
    <w:p w14:paraId="5310E065" w14:textId="58F01F4E" w:rsidR="00F37A48" w:rsidRDefault="00F37A48" w:rsidP="007E622C">
      <w:pPr>
        <w:pStyle w:val="Odlomakpopisa"/>
        <w:numPr>
          <w:ilvl w:val="0"/>
          <w:numId w:val="3"/>
        </w:numPr>
        <w:autoSpaceDE w:val="0"/>
        <w:autoSpaceDN w:val="0"/>
        <w:adjustRightInd w:val="0"/>
        <w:ind w:left="567" w:hanging="567"/>
        <w:rPr>
          <w:rFonts w:ascii="Arial" w:eastAsia="Calibri" w:hAnsi="Arial" w:cs="Arial"/>
        </w:rPr>
      </w:pPr>
      <w:r>
        <w:rPr>
          <w:rFonts w:ascii="Arial" w:eastAsia="Calibri" w:hAnsi="Arial" w:cs="Arial"/>
        </w:rPr>
        <w:t>čišćenje, popravak i bojanje fasade Doma za starije i nemoćne osobe 91.596 €,</w:t>
      </w:r>
    </w:p>
    <w:p w14:paraId="54638354" w14:textId="5DDF44BC" w:rsidR="00F37A48" w:rsidRDefault="00F37A48" w:rsidP="007E622C">
      <w:pPr>
        <w:pStyle w:val="Odlomakpopisa"/>
        <w:numPr>
          <w:ilvl w:val="0"/>
          <w:numId w:val="3"/>
        </w:numPr>
        <w:autoSpaceDE w:val="0"/>
        <w:autoSpaceDN w:val="0"/>
        <w:adjustRightInd w:val="0"/>
        <w:ind w:left="567" w:hanging="567"/>
        <w:rPr>
          <w:rFonts w:ascii="Arial" w:eastAsia="Calibri" w:hAnsi="Arial" w:cs="Arial"/>
        </w:rPr>
      </w:pPr>
      <w:r>
        <w:rPr>
          <w:rFonts w:ascii="Arial" w:eastAsia="Calibri" w:hAnsi="Arial" w:cs="Arial"/>
        </w:rPr>
        <w:t xml:space="preserve">uređenje prostora doma za Zvekovici 2.350 €, </w:t>
      </w:r>
    </w:p>
    <w:p w14:paraId="592936AC" w14:textId="38B13553" w:rsidR="00F37A48" w:rsidRDefault="00F37A48" w:rsidP="007E622C">
      <w:pPr>
        <w:pStyle w:val="Odlomakpopisa"/>
        <w:numPr>
          <w:ilvl w:val="0"/>
          <w:numId w:val="3"/>
        </w:numPr>
        <w:autoSpaceDE w:val="0"/>
        <w:autoSpaceDN w:val="0"/>
        <w:adjustRightInd w:val="0"/>
        <w:ind w:left="567" w:hanging="567"/>
        <w:rPr>
          <w:rFonts w:ascii="Arial" w:eastAsia="Calibri" w:hAnsi="Arial" w:cs="Arial"/>
        </w:rPr>
      </w:pPr>
      <w:r>
        <w:rPr>
          <w:rFonts w:ascii="Arial" w:eastAsia="Calibri" w:hAnsi="Arial" w:cs="Arial"/>
        </w:rPr>
        <w:t xml:space="preserve">izolaterski radovi na zgradi turističke zajednice 2.681,25 €, </w:t>
      </w:r>
    </w:p>
    <w:p w14:paraId="14BE77FE" w14:textId="7A8ED78A" w:rsidR="00F37A48" w:rsidRDefault="00F37A48" w:rsidP="007E622C">
      <w:pPr>
        <w:pStyle w:val="Odlomakpopisa"/>
        <w:numPr>
          <w:ilvl w:val="0"/>
          <w:numId w:val="3"/>
        </w:numPr>
        <w:autoSpaceDE w:val="0"/>
        <w:autoSpaceDN w:val="0"/>
        <w:adjustRightInd w:val="0"/>
        <w:ind w:left="567" w:hanging="567"/>
        <w:rPr>
          <w:rFonts w:ascii="Arial" w:eastAsia="Calibri" w:hAnsi="Arial" w:cs="Arial"/>
        </w:rPr>
      </w:pPr>
      <w:r>
        <w:rPr>
          <w:rFonts w:ascii="Arial" w:eastAsia="Calibri" w:hAnsi="Arial" w:cs="Arial"/>
        </w:rPr>
        <w:t xml:space="preserve">uređenje prostora dječjeg vrtića u Marijino domu 3.196 €, </w:t>
      </w:r>
    </w:p>
    <w:p w14:paraId="0E05FA40" w14:textId="1580A8B7" w:rsidR="00F37A48" w:rsidRDefault="00F37A48" w:rsidP="007E622C">
      <w:pPr>
        <w:pStyle w:val="Odlomakpopisa"/>
        <w:numPr>
          <w:ilvl w:val="0"/>
          <w:numId w:val="3"/>
        </w:numPr>
        <w:autoSpaceDE w:val="0"/>
        <w:autoSpaceDN w:val="0"/>
        <w:adjustRightInd w:val="0"/>
        <w:ind w:left="567" w:hanging="567"/>
        <w:rPr>
          <w:rFonts w:ascii="Arial" w:eastAsia="Calibri" w:hAnsi="Arial" w:cs="Arial"/>
        </w:rPr>
      </w:pPr>
      <w:r>
        <w:rPr>
          <w:rFonts w:ascii="Arial" w:eastAsia="Calibri" w:hAnsi="Arial" w:cs="Arial"/>
        </w:rPr>
        <w:t>gipsarski radovi, žbukanje, soboslikarski radovi i provjera električnih instalacija u domu u Moluntu (ex pošta) u iznosu 4.053 €,</w:t>
      </w:r>
    </w:p>
    <w:p w14:paraId="2408CC91" w14:textId="56264A9C" w:rsidR="00F37A48" w:rsidRDefault="00F37A48" w:rsidP="007E622C">
      <w:pPr>
        <w:pStyle w:val="Odlomakpopisa"/>
        <w:numPr>
          <w:ilvl w:val="0"/>
          <w:numId w:val="3"/>
        </w:numPr>
        <w:autoSpaceDE w:val="0"/>
        <w:autoSpaceDN w:val="0"/>
        <w:adjustRightInd w:val="0"/>
        <w:ind w:left="567" w:hanging="567"/>
        <w:rPr>
          <w:rFonts w:ascii="Arial" w:eastAsia="Calibri" w:hAnsi="Arial" w:cs="Arial"/>
        </w:rPr>
      </w:pPr>
      <w:r>
        <w:rPr>
          <w:rFonts w:ascii="Arial" w:eastAsia="Calibri" w:hAnsi="Arial" w:cs="Arial"/>
        </w:rPr>
        <w:lastRenderedPageBreak/>
        <w:t xml:space="preserve">odčepljivanje sanitarnog čvora u domu na Grudi 150 €, </w:t>
      </w:r>
    </w:p>
    <w:p w14:paraId="7683802A" w14:textId="25262446" w:rsidR="00F37A48" w:rsidRDefault="00F37A48" w:rsidP="007E622C">
      <w:pPr>
        <w:pStyle w:val="Odlomakpopisa"/>
        <w:numPr>
          <w:ilvl w:val="0"/>
          <w:numId w:val="3"/>
        </w:numPr>
        <w:autoSpaceDE w:val="0"/>
        <w:autoSpaceDN w:val="0"/>
        <w:adjustRightInd w:val="0"/>
        <w:ind w:left="567" w:hanging="567"/>
        <w:rPr>
          <w:rFonts w:ascii="Arial" w:eastAsia="Calibri" w:hAnsi="Arial" w:cs="Arial"/>
        </w:rPr>
      </w:pPr>
      <w:r>
        <w:rPr>
          <w:rFonts w:ascii="Arial" w:eastAsia="Calibri" w:hAnsi="Arial" w:cs="Arial"/>
        </w:rPr>
        <w:t>ispitivanje tla i egotehnički elaborat doma u Moluntu (ex restoran) u iznosu 2.300 €,</w:t>
      </w:r>
    </w:p>
    <w:p w14:paraId="70686648" w14:textId="1843B483" w:rsidR="00B01D94" w:rsidRDefault="00B01D94" w:rsidP="007E622C">
      <w:pPr>
        <w:pStyle w:val="Odlomakpopisa"/>
        <w:numPr>
          <w:ilvl w:val="0"/>
          <w:numId w:val="3"/>
        </w:numPr>
        <w:autoSpaceDE w:val="0"/>
        <w:autoSpaceDN w:val="0"/>
        <w:adjustRightInd w:val="0"/>
        <w:ind w:left="567" w:hanging="567"/>
        <w:rPr>
          <w:rFonts w:ascii="Arial" w:eastAsia="Calibri" w:hAnsi="Arial" w:cs="Arial"/>
        </w:rPr>
      </w:pPr>
      <w:r>
        <w:rPr>
          <w:rFonts w:ascii="Arial" w:eastAsia="Calibri" w:hAnsi="Arial" w:cs="Arial"/>
        </w:rPr>
        <w:t>izvješće o stanju mjera zaštite od požara u objektima dječjih vrtića 812,50 €, te</w:t>
      </w:r>
    </w:p>
    <w:p w14:paraId="16EE990F" w14:textId="64976C5A" w:rsidR="00B01D94" w:rsidRDefault="00B01D94" w:rsidP="007E622C">
      <w:pPr>
        <w:pStyle w:val="Odlomakpopisa"/>
        <w:numPr>
          <w:ilvl w:val="0"/>
          <w:numId w:val="3"/>
        </w:numPr>
        <w:autoSpaceDE w:val="0"/>
        <w:autoSpaceDN w:val="0"/>
        <w:adjustRightInd w:val="0"/>
        <w:ind w:left="567" w:hanging="567"/>
        <w:rPr>
          <w:rFonts w:ascii="Arial" w:eastAsia="Calibri" w:hAnsi="Arial" w:cs="Arial"/>
        </w:rPr>
      </w:pPr>
      <w:r>
        <w:rPr>
          <w:rFonts w:ascii="Arial" w:eastAsia="Calibri" w:hAnsi="Arial" w:cs="Arial"/>
        </w:rPr>
        <w:t>izrada projekte dokumentacije za rekonstrukciju stambene jedinice u Cavtatu u iznosu 11.500 €,</w:t>
      </w:r>
    </w:p>
    <w:p w14:paraId="3AE1CC38" w14:textId="3B9372B2" w:rsidR="00B01D94" w:rsidRPr="007E622C" w:rsidRDefault="00B01D94" w:rsidP="007E622C">
      <w:pPr>
        <w:pStyle w:val="Odlomakpopisa"/>
        <w:numPr>
          <w:ilvl w:val="0"/>
          <w:numId w:val="3"/>
        </w:numPr>
        <w:autoSpaceDE w:val="0"/>
        <w:autoSpaceDN w:val="0"/>
        <w:adjustRightInd w:val="0"/>
        <w:ind w:left="567" w:hanging="567"/>
        <w:rPr>
          <w:rFonts w:ascii="Arial" w:eastAsia="Calibri" w:hAnsi="Arial" w:cs="Arial"/>
        </w:rPr>
      </w:pPr>
      <w:r>
        <w:rPr>
          <w:rFonts w:ascii="Arial" w:eastAsia="Calibri" w:hAnsi="Arial" w:cs="Arial"/>
        </w:rPr>
        <w:t>izrada projekte dokumentacije za ishođenje građevinske dozvole za radove na domu kulture u Cavtatu u iznosu 24.375 € (sukladno ugovoru iz studenog 2024.).</w:t>
      </w:r>
    </w:p>
    <w:p w14:paraId="591D83D4" w14:textId="77777777" w:rsidR="00B01D94" w:rsidRPr="00184A8E" w:rsidRDefault="00B01D94" w:rsidP="00184A8E">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5E8CF79B"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3291D92"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B601D23"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14AC346"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C321C23"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96E3E09" w14:textId="33FE8DE5"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AC494C">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54EB883" w14:textId="24308142"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AC494C">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80939E1" w14:textId="4A451BCE"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AC494C">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4FE40BB" w14:textId="0AEC3C66" w:rsidR="00184A8E" w:rsidRPr="00184A8E" w:rsidRDefault="00184A8E" w:rsidP="00184A8E">
            <w:pPr>
              <w:jc w:val="center"/>
              <w:rPr>
                <w:rFonts w:ascii="Arial" w:eastAsia="Calibri" w:hAnsi="Arial" w:cs="Arial"/>
              </w:rPr>
            </w:pPr>
            <w:r w:rsidRPr="00184A8E">
              <w:rPr>
                <w:rFonts w:ascii="Arial" w:eastAsia="Calibri" w:hAnsi="Arial" w:cs="Arial"/>
              </w:rPr>
              <w:t>Ciljana vrijednost 20</w:t>
            </w:r>
            <w:r w:rsidR="00AC494C">
              <w:rPr>
                <w:rFonts w:ascii="Arial" w:eastAsia="Calibri" w:hAnsi="Arial" w:cs="Arial"/>
              </w:rPr>
              <w:t>26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9063786" w14:textId="5E047DD9"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AC494C">
              <w:rPr>
                <w:rFonts w:ascii="Arial" w:eastAsia="Calibri" w:hAnsi="Arial" w:cs="Arial"/>
              </w:rPr>
              <w:t>7</w:t>
            </w:r>
            <w:r w:rsidRPr="00184A8E">
              <w:rPr>
                <w:rFonts w:ascii="Arial" w:eastAsia="Calibri" w:hAnsi="Arial" w:cs="Arial"/>
              </w:rPr>
              <w:t>.</w:t>
            </w:r>
          </w:p>
        </w:tc>
      </w:tr>
      <w:tr w:rsidR="00184A8E" w:rsidRPr="00184A8E" w14:paraId="69C5AEB1"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6103CCAC" w14:textId="77777777" w:rsidR="00184A8E" w:rsidRPr="00184A8E" w:rsidRDefault="00184A8E" w:rsidP="00184A8E">
            <w:pPr>
              <w:rPr>
                <w:rFonts w:ascii="Arial" w:hAnsi="Arial" w:cs="Arial"/>
                <w:sz w:val="14"/>
                <w:szCs w:val="14"/>
              </w:rPr>
            </w:pPr>
            <w:r w:rsidRPr="00184A8E">
              <w:rPr>
                <w:rFonts w:ascii="Arial" w:hAnsi="Arial" w:cs="Arial"/>
                <w:sz w:val="14"/>
                <w:szCs w:val="14"/>
              </w:rPr>
              <w:t xml:space="preserve">Izvršavanje usluga održavanja poslovnih objekata </w:t>
            </w:r>
          </w:p>
        </w:tc>
        <w:tc>
          <w:tcPr>
            <w:tcW w:w="3402" w:type="dxa"/>
            <w:tcBorders>
              <w:top w:val="single" w:sz="4" w:space="0" w:color="auto"/>
              <w:left w:val="single" w:sz="4" w:space="0" w:color="auto"/>
              <w:bottom w:val="single" w:sz="4" w:space="0" w:color="auto"/>
              <w:right w:val="single" w:sz="4" w:space="0" w:color="auto"/>
            </w:tcBorders>
            <w:vAlign w:val="center"/>
          </w:tcPr>
          <w:p w14:paraId="69CFDABE" w14:textId="77777777" w:rsidR="00184A8E" w:rsidRPr="00184A8E" w:rsidRDefault="00184A8E" w:rsidP="00184A8E">
            <w:pPr>
              <w:autoSpaceDE w:val="0"/>
              <w:autoSpaceDN w:val="0"/>
              <w:adjustRightInd w:val="0"/>
              <w:rPr>
                <w:rFonts w:ascii="Arial" w:hAnsi="Arial" w:cs="Arial"/>
                <w:sz w:val="18"/>
                <w:szCs w:val="18"/>
              </w:rPr>
            </w:pPr>
            <w:r w:rsidRPr="00184A8E">
              <w:rPr>
                <w:rFonts w:ascii="Arial" w:hAnsi="Arial" w:cs="Arial"/>
                <w:sz w:val="18"/>
                <w:szCs w:val="18"/>
              </w:rPr>
              <w:t>Postotak izvršenih rashoda planiranih za održavanje poslovnih objekata</w:t>
            </w:r>
          </w:p>
        </w:tc>
        <w:tc>
          <w:tcPr>
            <w:tcW w:w="958" w:type="dxa"/>
            <w:tcBorders>
              <w:top w:val="single" w:sz="4" w:space="0" w:color="auto"/>
              <w:left w:val="single" w:sz="4" w:space="0" w:color="auto"/>
              <w:bottom w:val="single" w:sz="4" w:space="0" w:color="auto"/>
              <w:right w:val="single" w:sz="4" w:space="0" w:color="auto"/>
            </w:tcBorders>
            <w:vAlign w:val="center"/>
          </w:tcPr>
          <w:p w14:paraId="66079951"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4C91A0A7"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09CCF38C" w14:textId="4F89DFD0" w:rsidR="00184A8E" w:rsidRPr="00184A8E" w:rsidRDefault="00AC494C" w:rsidP="00184A8E">
            <w:pPr>
              <w:jc w:val="center"/>
              <w:rPr>
                <w:rFonts w:ascii="Arial" w:hAnsi="Arial" w:cs="Arial"/>
              </w:rPr>
            </w:pPr>
            <w:r>
              <w:rPr>
                <w:rFonts w:ascii="Arial" w:hAnsi="Arial" w:cs="Arial"/>
              </w:rPr>
              <w:t>72</w:t>
            </w:r>
          </w:p>
        </w:tc>
        <w:tc>
          <w:tcPr>
            <w:tcW w:w="1276" w:type="dxa"/>
            <w:tcBorders>
              <w:top w:val="single" w:sz="4" w:space="0" w:color="auto"/>
              <w:left w:val="single" w:sz="4" w:space="0" w:color="auto"/>
              <w:bottom w:val="single" w:sz="4" w:space="0" w:color="auto"/>
              <w:right w:val="single" w:sz="4" w:space="0" w:color="auto"/>
            </w:tcBorders>
            <w:vAlign w:val="center"/>
          </w:tcPr>
          <w:p w14:paraId="16A80346"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46925DDC" w14:textId="5489DF45" w:rsidR="00184A8E" w:rsidRPr="00184A8E" w:rsidRDefault="00AC494C" w:rsidP="00184A8E">
            <w:pPr>
              <w:jc w:val="center"/>
              <w:rPr>
                <w:rFonts w:ascii="Arial" w:hAnsi="Arial" w:cs="Arial"/>
              </w:rPr>
            </w:pPr>
            <w:r>
              <w:rPr>
                <w:rFonts w:ascii="Arial" w:hAnsi="Arial" w:cs="Arial"/>
              </w:rPr>
              <w:t>78</w:t>
            </w:r>
          </w:p>
        </w:tc>
        <w:tc>
          <w:tcPr>
            <w:tcW w:w="1242" w:type="dxa"/>
            <w:tcBorders>
              <w:top w:val="single" w:sz="4" w:space="0" w:color="000000"/>
              <w:left w:val="single" w:sz="4" w:space="0" w:color="000000"/>
              <w:bottom w:val="single" w:sz="4" w:space="0" w:color="000000"/>
              <w:right w:val="single" w:sz="4" w:space="0" w:color="000000"/>
            </w:tcBorders>
            <w:vAlign w:val="center"/>
          </w:tcPr>
          <w:p w14:paraId="78279B0F"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22747BFF" w14:textId="77777777" w:rsidR="00184A8E" w:rsidRPr="00184A8E" w:rsidRDefault="00184A8E" w:rsidP="00184A8E">
            <w:pPr>
              <w:jc w:val="center"/>
              <w:rPr>
                <w:rFonts w:ascii="Arial" w:hAnsi="Arial" w:cs="Arial"/>
              </w:rPr>
            </w:pPr>
            <w:r w:rsidRPr="00184A8E">
              <w:rPr>
                <w:rFonts w:ascii="Arial" w:hAnsi="Arial" w:cs="Arial"/>
              </w:rPr>
              <w:t>100</w:t>
            </w:r>
          </w:p>
        </w:tc>
      </w:tr>
    </w:tbl>
    <w:p w14:paraId="7A7D00DD" w14:textId="77777777" w:rsidR="00B01D94" w:rsidRPr="00184A8E" w:rsidRDefault="00B01D94" w:rsidP="00184A8E">
      <w:pPr>
        <w:autoSpaceDE w:val="0"/>
        <w:autoSpaceDN w:val="0"/>
        <w:adjustRightInd w:val="0"/>
        <w:spacing w:after="0" w:line="240" w:lineRule="auto"/>
        <w:jc w:val="both"/>
        <w:rPr>
          <w:rFonts w:ascii="Arial" w:eastAsia="Calibri" w:hAnsi="Arial" w:cs="Arial"/>
          <w:sz w:val="20"/>
          <w:szCs w:val="20"/>
          <w:lang w:eastAsia="en-US"/>
        </w:rPr>
      </w:pPr>
      <w:bookmarkStart w:id="601" w:name="_Hlk145337239"/>
    </w:p>
    <w:bookmarkEnd w:id="601"/>
    <w:p w14:paraId="20DE4E28" w14:textId="6CA18F84"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4. A210505: Registar imovine – rješavanje imovinsko pravnih odnosa, procjena imovine, uknjižba i drugo </w:t>
      </w:r>
      <w:r w:rsidRPr="00184A8E">
        <w:rPr>
          <w:rFonts w:ascii="Arial" w:eastAsia="Calibri" w:hAnsi="Arial" w:cs="Arial"/>
          <w:sz w:val="20"/>
          <w:szCs w:val="20"/>
          <w:lang w:eastAsia="en-US"/>
        </w:rPr>
        <w:t xml:space="preserve">– Za provođenje programa planiraju se proračunska sredstva u iznosu </w:t>
      </w:r>
      <w:r w:rsidR="00AC494C">
        <w:rPr>
          <w:rFonts w:ascii="Arial" w:eastAsia="Calibri" w:hAnsi="Arial" w:cs="Arial"/>
          <w:sz w:val="20"/>
          <w:szCs w:val="20"/>
          <w:lang w:eastAsia="en-US"/>
        </w:rPr>
        <w:t>54.500</w:t>
      </w:r>
      <w:r w:rsidRPr="00184A8E">
        <w:rPr>
          <w:rFonts w:ascii="Arial" w:eastAsia="Calibri" w:hAnsi="Arial" w:cs="Arial"/>
          <w:sz w:val="20"/>
          <w:szCs w:val="20"/>
          <w:lang w:eastAsia="en-US"/>
        </w:rPr>
        <w:t xml:space="preserve"> €. Ovi rashodi se odnose na procjenu vrijednosti nekretnina, izradu radnih snimaka, izradu geodetskih elaborata, te druge materijalne troškove vezane uz pojedine nekretnine u vlasništvu / suvlasništvu Općine. </w:t>
      </w:r>
    </w:p>
    <w:p w14:paraId="2AC9501A" w14:textId="77777777" w:rsidR="00BD34E2" w:rsidRDefault="00BD34E2" w:rsidP="00AC494C">
      <w:pPr>
        <w:autoSpaceDE w:val="0"/>
        <w:autoSpaceDN w:val="0"/>
        <w:adjustRightInd w:val="0"/>
        <w:spacing w:after="0" w:line="240" w:lineRule="auto"/>
        <w:rPr>
          <w:rFonts w:ascii="Arial" w:eastAsia="Calibri" w:hAnsi="Arial" w:cs="Arial"/>
          <w:sz w:val="18"/>
          <w:szCs w:val="18"/>
          <w:lang w:eastAsia="en-US"/>
        </w:rPr>
      </w:pPr>
    </w:p>
    <w:p w14:paraId="0A87D3E9" w14:textId="100BABC5" w:rsidR="00AC494C" w:rsidRDefault="00AC494C" w:rsidP="00AC494C">
      <w:pPr>
        <w:autoSpaceDE w:val="0"/>
        <w:autoSpaceDN w:val="0"/>
        <w:adjustRightInd w:val="0"/>
        <w:spacing w:after="0" w:line="240" w:lineRule="auto"/>
        <w:rPr>
          <w:rFonts w:ascii="Arial" w:eastAsia="Calibri" w:hAnsi="Arial" w:cs="Arial"/>
          <w:sz w:val="20"/>
          <w:szCs w:val="20"/>
        </w:rPr>
      </w:pPr>
      <w:r w:rsidRPr="00AC494C">
        <w:rPr>
          <w:rFonts w:ascii="Arial" w:eastAsia="Calibri" w:hAnsi="Arial" w:cs="Arial"/>
          <w:sz w:val="20"/>
          <w:szCs w:val="20"/>
        </w:rPr>
        <w:t>Rashodi u 202</w:t>
      </w:r>
      <w:r>
        <w:rPr>
          <w:rFonts w:ascii="Arial" w:eastAsia="Calibri" w:hAnsi="Arial" w:cs="Arial"/>
          <w:sz w:val="20"/>
          <w:szCs w:val="20"/>
        </w:rPr>
        <w:t>5</w:t>
      </w:r>
      <w:r w:rsidRPr="00AC494C">
        <w:rPr>
          <w:rFonts w:ascii="Arial" w:eastAsia="Calibri" w:hAnsi="Arial" w:cs="Arial"/>
          <w:sz w:val="20"/>
          <w:szCs w:val="20"/>
        </w:rPr>
        <w:t xml:space="preserve">. su izvršeni u iznosu </w:t>
      </w:r>
      <w:r>
        <w:rPr>
          <w:rFonts w:ascii="Arial" w:eastAsia="Calibri" w:hAnsi="Arial" w:cs="Arial"/>
          <w:sz w:val="20"/>
          <w:szCs w:val="20"/>
        </w:rPr>
        <w:t>40.222,70</w:t>
      </w:r>
      <w:r w:rsidRPr="00AC494C">
        <w:rPr>
          <w:rFonts w:ascii="Arial" w:eastAsia="Calibri" w:hAnsi="Arial" w:cs="Arial"/>
          <w:sz w:val="20"/>
          <w:szCs w:val="20"/>
        </w:rPr>
        <w:t xml:space="preserve"> € i odnos</w:t>
      </w:r>
      <w:r>
        <w:rPr>
          <w:rFonts w:ascii="Arial" w:eastAsia="Calibri" w:hAnsi="Arial" w:cs="Arial"/>
          <w:sz w:val="20"/>
          <w:szCs w:val="20"/>
        </w:rPr>
        <w:t>e</w:t>
      </w:r>
      <w:r w:rsidRPr="00AC494C">
        <w:rPr>
          <w:rFonts w:ascii="Arial" w:eastAsia="Calibri" w:hAnsi="Arial" w:cs="Arial"/>
          <w:sz w:val="20"/>
          <w:szCs w:val="20"/>
        </w:rPr>
        <w:t xml:space="preserve"> se na:</w:t>
      </w:r>
    </w:p>
    <w:p w14:paraId="446584AF" w14:textId="73AC4F79" w:rsidR="00AC494C" w:rsidRDefault="00AC494C" w:rsidP="00B469DE">
      <w:pPr>
        <w:numPr>
          <w:ilvl w:val="0"/>
          <w:numId w:val="3"/>
        </w:numPr>
        <w:autoSpaceDE w:val="0"/>
        <w:autoSpaceDN w:val="0"/>
        <w:adjustRightInd w:val="0"/>
        <w:spacing w:after="0" w:line="240" w:lineRule="auto"/>
        <w:ind w:left="567" w:hanging="567"/>
        <w:jc w:val="both"/>
        <w:rPr>
          <w:rFonts w:ascii="Arial" w:eastAsia="Calibri" w:hAnsi="Arial" w:cs="Arial"/>
          <w:sz w:val="20"/>
          <w:szCs w:val="20"/>
          <w:lang w:eastAsia="en-US"/>
        </w:rPr>
      </w:pPr>
      <w:r w:rsidRPr="00AC494C">
        <w:rPr>
          <w:rFonts w:ascii="Arial" w:eastAsia="Calibri" w:hAnsi="Arial" w:cs="Arial"/>
          <w:sz w:val="20"/>
          <w:szCs w:val="20"/>
          <w:lang w:eastAsia="en-US"/>
        </w:rPr>
        <w:t xml:space="preserve">odvjetničke usluge u postupcima rješavanja imovinsko pravnih odnosa </w:t>
      </w:r>
      <w:r>
        <w:rPr>
          <w:rFonts w:ascii="Arial" w:eastAsia="Calibri" w:hAnsi="Arial" w:cs="Arial"/>
          <w:sz w:val="20"/>
          <w:szCs w:val="20"/>
          <w:lang w:eastAsia="en-US"/>
        </w:rPr>
        <w:t>26.081,72</w:t>
      </w:r>
      <w:r w:rsidRPr="00AC494C">
        <w:rPr>
          <w:rFonts w:ascii="Arial" w:eastAsia="Calibri" w:hAnsi="Arial" w:cs="Arial"/>
          <w:sz w:val="20"/>
          <w:szCs w:val="20"/>
          <w:lang w:eastAsia="en-US"/>
        </w:rPr>
        <w:t xml:space="preserve"> € (rješavanje imovinsko pravnih odnosa </w:t>
      </w:r>
      <w:r>
        <w:rPr>
          <w:rFonts w:ascii="Arial" w:eastAsia="Calibri" w:hAnsi="Arial" w:cs="Arial"/>
          <w:sz w:val="20"/>
          <w:szCs w:val="20"/>
          <w:lang w:eastAsia="en-US"/>
        </w:rPr>
        <w:t xml:space="preserve">u Čilipima, </w:t>
      </w:r>
      <w:r w:rsidR="004063F8">
        <w:rPr>
          <w:rFonts w:ascii="Arial" w:eastAsia="Calibri" w:hAnsi="Arial" w:cs="Arial"/>
          <w:sz w:val="20"/>
          <w:szCs w:val="20"/>
          <w:lang w:eastAsia="en-US"/>
        </w:rPr>
        <w:t xml:space="preserve">Cavtatu, Ljutoj, </w:t>
      </w:r>
      <w:r>
        <w:rPr>
          <w:rFonts w:ascii="Arial" w:eastAsia="Calibri" w:hAnsi="Arial" w:cs="Arial"/>
          <w:sz w:val="20"/>
          <w:szCs w:val="20"/>
          <w:lang w:eastAsia="en-US"/>
        </w:rPr>
        <w:t xml:space="preserve">razvrgnuće suvlasništva na objektu u Moluntu, </w:t>
      </w:r>
      <w:r w:rsidRPr="00AC494C">
        <w:rPr>
          <w:rFonts w:ascii="Arial" w:eastAsia="Calibri" w:hAnsi="Arial" w:cs="Arial"/>
          <w:sz w:val="20"/>
          <w:szCs w:val="20"/>
          <w:lang w:eastAsia="en-US"/>
        </w:rPr>
        <w:t>zastupanje u postupku proglašenja svojstva komunalne infrastrukture</w:t>
      </w:r>
      <w:r w:rsidR="004063F8">
        <w:rPr>
          <w:rFonts w:ascii="Arial" w:eastAsia="Calibri" w:hAnsi="Arial" w:cs="Arial"/>
          <w:sz w:val="20"/>
          <w:szCs w:val="20"/>
          <w:lang w:eastAsia="en-US"/>
        </w:rPr>
        <w:t xml:space="preserve"> u Paljem brdu, Poljicu)</w:t>
      </w:r>
    </w:p>
    <w:p w14:paraId="75735987" w14:textId="3B91B4A8" w:rsidR="004063F8" w:rsidRDefault="00AC494C" w:rsidP="00B469DE">
      <w:pPr>
        <w:numPr>
          <w:ilvl w:val="0"/>
          <w:numId w:val="3"/>
        </w:numPr>
        <w:autoSpaceDE w:val="0"/>
        <w:autoSpaceDN w:val="0"/>
        <w:adjustRightInd w:val="0"/>
        <w:spacing w:after="0" w:line="240" w:lineRule="auto"/>
        <w:ind w:left="567" w:hanging="567"/>
        <w:jc w:val="both"/>
        <w:rPr>
          <w:rFonts w:ascii="Arial" w:eastAsia="Calibri" w:hAnsi="Arial" w:cs="Arial"/>
          <w:sz w:val="20"/>
          <w:szCs w:val="20"/>
          <w:lang w:eastAsia="en-US"/>
        </w:rPr>
      </w:pPr>
      <w:r w:rsidRPr="00AC494C">
        <w:rPr>
          <w:rFonts w:ascii="Arial" w:eastAsia="Calibri" w:hAnsi="Arial" w:cs="Arial"/>
          <w:sz w:val="20"/>
          <w:szCs w:val="20"/>
          <w:lang w:eastAsia="en-US"/>
        </w:rPr>
        <w:t xml:space="preserve">geodetski katastarske usluge </w:t>
      </w:r>
      <w:r w:rsidR="004063F8">
        <w:rPr>
          <w:rFonts w:ascii="Arial" w:eastAsia="Calibri" w:hAnsi="Arial" w:cs="Arial"/>
          <w:sz w:val="20"/>
          <w:szCs w:val="20"/>
          <w:lang w:eastAsia="en-US"/>
        </w:rPr>
        <w:t>5.350</w:t>
      </w:r>
      <w:r w:rsidRPr="00AC494C">
        <w:rPr>
          <w:rFonts w:ascii="Arial" w:eastAsia="Calibri" w:hAnsi="Arial" w:cs="Arial"/>
          <w:sz w:val="20"/>
          <w:szCs w:val="20"/>
          <w:lang w:eastAsia="en-US"/>
        </w:rPr>
        <w:t xml:space="preserve"> € (izrada </w:t>
      </w:r>
      <w:r w:rsidR="004063F8">
        <w:rPr>
          <w:rFonts w:ascii="Arial" w:eastAsia="Calibri" w:hAnsi="Arial" w:cs="Arial"/>
          <w:sz w:val="20"/>
          <w:szCs w:val="20"/>
          <w:lang w:eastAsia="en-US"/>
        </w:rPr>
        <w:t xml:space="preserve">orto foto snimke groblja Svetog Roka u Cavtatu, Usluge obilježavanja granica katastarskih čestica u Moluntu za novu izmjeru), </w:t>
      </w:r>
    </w:p>
    <w:p w14:paraId="52CAEB39" w14:textId="02E0D832" w:rsidR="00AC494C" w:rsidRPr="004063F8" w:rsidRDefault="00AC494C" w:rsidP="00B469DE">
      <w:pPr>
        <w:numPr>
          <w:ilvl w:val="0"/>
          <w:numId w:val="3"/>
        </w:numPr>
        <w:autoSpaceDE w:val="0"/>
        <w:autoSpaceDN w:val="0"/>
        <w:adjustRightInd w:val="0"/>
        <w:spacing w:after="0" w:line="240" w:lineRule="auto"/>
        <w:ind w:left="567" w:hanging="567"/>
        <w:jc w:val="both"/>
        <w:rPr>
          <w:rFonts w:ascii="Arial" w:eastAsia="Calibri" w:hAnsi="Arial" w:cs="Arial"/>
          <w:sz w:val="20"/>
          <w:szCs w:val="20"/>
          <w:lang w:eastAsia="en-US"/>
        </w:rPr>
      </w:pPr>
      <w:r w:rsidRPr="00AC494C">
        <w:rPr>
          <w:rFonts w:ascii="Arial" w:eastAsia="Calibri" w:hAnsi="Arial" w:cs="Arial"/>
          <w:sz w:val="20"/>
          <w:szCs w:val="20"/>
          <w:lang w:eastAsia="en-US"/>
        </w:rPr>
        <w:t xml:space="preserve">usluge procjene čestica zemljišta u iznosu </w:t>
      </w:r>
      <w:r w:rsidR="004063F8">
        <w:rPr>
          <w:rFonts w:ascii="Arial" w:eastAsia="Calibri" w:hAnsi="Arial" w:cs="Arial"/>
          <w:sz w:val="20"/>
          <w:szCs w:val="20"/>
          <w:lang w:eastAsia="en-US"/>
        </w:rPr>
        <w:t>5.518,16</w:t>
      </w:r>
      <w:r w:rsidRPr="00AC494C">
        <w:rPr>
          <w:rFonts w:ascii="Arial" w:eastAsia="Calibri" w:hAnsi="Arial" w:cs="Arial"/>
          <w:sz w:val="20"/>
          <w:szCs w:val="20"/>
          <w:lang w:eastAsia="en-US"/>
        </w:rPr>
        <w:t xml:space="preserve"> € (nekretnine </w:t>
      </w:r>
      <w:r w:rsidR="004063F8" w:rsidRPr="00AC494C">
        <w:rPr>
          <w:rFonts w:ascii="Arial" w:eastAsia="Calibri" w:hAnsi="Arial" w:cs="Arial"/>
          <w:sz w:val="20"/>
          <w:szCs w:val="20"/>
          <w:lang w:eastAsia="en-US"/>
        </w:rPr>
        <w:t>Cavtat</w:t>
      </w:r>
      <w:r w:rsidR="004063F8">
        <w:rPr>
          <w:rFonts w:ascii="Arial" w:eastAsia="Calibri" w:hAnsi="Arial" w:cs="Arial"/>
          <w:sz w:val="20"/>
          <w:szCs w:val="20"/>
          <w:lang w:eastAsia="en-US"/>
        </w:rPr>
        <w:t xml:space="preserve">, </w:t>
      </w:r>
      <w:r w:rsidR="004063F8" w:rsidRPr="00AC494C">
        <w:rPr>
          <w:rFonts w:ascii="Arial" w:eastAsia="Calibri" w:hAnsi="Arial" w:cs="Arial"/>
          <w:sz w:val="20"/>
          <w:szCs w:val="20"/>
          <w:lang w:eastAsia="en-US"/>
        </w:rPr>
        <w:t>Gruda,</w:t>
      </w:r>
      <w:r w:rsidR="004063F8">
        <w:rPr>
          <w:rFonts w:ascii="Arial" w:eastAsia="Calibri" w:hAnsi="Arial" w:cs="Arial"/>
          <w:sz w:val="20"/>
          <w:szCs w:val="20"/>
          <w:lang w:eastAsia="en-US"/>
        </w:rPr>
        <w:t xml:space="preserve"> Popovići, Lovorno, Dubravka Močići)</w:t>
      </w:r>
    </w:p>
    <w:p w14:paraId="4DAED5E7" w14:textId="1970A2E9" w:rsidR="00AC494C" w:rsidRDefault="00AC494C" w:rsidP="00B469DE">
      <w:pPr>
        <w:numPr>
          <w:ilvl w:val="0"/>
          <w:numId w:val="3"/>
        </w:numPr>
        <w:autoSpaceDE w:val="0"/>
        <w:autoSpaceDN w:val="0"/>
        <w:adjustRightInd w:val="0"/>
        <w:spacing w:after="0" w:line="240" w:lineRule="auto"/>
        <w:ind w:left="567" w:hanging="567"/>
        <w:jc w:val="both"/>
        <w:rPr>
          <w:rFonts w:ascii="Arial" w:eastAsia="Calibri" w:hAnsi="Arial" w:cs="Arial"/>
          <w:sz w:val="20"/>
          <w:szCs w:val="20"/>
          <w:lang w:eastAsia="en-US"/>
        </w:rPr>
      </w:pPr>
      <w:r w:rsidRPr="00AC494C">
        <w:rPr>
          <w:rFonts w:ascii="Arial" w:eastAsia="Calibri" w:hAnsi="Arial" w:cs="Arial"/>
          <w:sz w:val="20"/>
          <w:szCs w:val="20"/>
          <w:lang w:eastAsia="en-US"/>
        </w:rPr>
        <w:t xml:space="preserve">usluge </w:t>
      </w:r>
      <w:r w:rsidR="004063F8">
        <w:rPr>
          <w:rFonts w:ascii="Arial" w:eastAsia="Calibri" w:hAnsi="Arial" w:cs="Arial"/>
          <w:sz w:val="20"/>
          <w:szCs w:val="20"/>
          <w:lang w:eastAsia="en-US"/>
        </w:rPr>
        <w:t>geodetske izmjere doma kulture u Dub</w:t>
      </w:r>
      <w:r w:rsidR="00F21548">
        <w:rPr>
          <w:rFonts w:ascii="Arial" w:eastAsia="Calibri" w:hAnsi="Arial" w:cs="Arial"/>
          <w:sz w:val="20"/>
          <w:szCs w:val="20"/>
          <w:lang w:eastAsia="en-US"/>
        </w:rPr>
        <w:t>r</w:t>
      </w:r>
      <w:r w:rsidR="004063F8">
        <w:rPr>
          <w:rFonts w:ascii="Arial" w:eastAsia="Calibri" w:hAnsi="Arial" w:cs="Arial"/>
          <w:sz w:val="20"/>
          <w:szCs w:val="20"/>
          <w:lang w:eastAsia="en-US"/>
        </w:rPr>
        <w:t>avci u svrhu procjene nekretnine i definiranje područja komunalnog gospodarstva 1.562,50 €,</w:t>
      </w:r>
    </w:p>
    <w:p w14:paraId="2DFF03C7" w14:textId="1126908D" w:rsidR="004063F8" w:rsidRPr="00AC494C" w:rsidRDefault="004063F8" w:rsidP="00B469DE">
      <w:pPr>
        <w:numPr>
          <w:ilvl w:val="0"/>
          <w:numId w:val="3"/>
        </w:numPr>
        <w:autoSpaceDE w:val="0"/>
        <w:autoSpaceDN w:val="0"/>
        <w:adjustRightInd w:val="0"/>
        <w:spacing w:after="0" w:line="240" w:lineRule="auto"/>
        <w:ind w:left="567" w:hanging="567"/>
        <w:jc w:val="both"/>
        <w:rPr>
          <w:rFonts w:ascii="Arial" w:eastAsia="Calibri" w:hAnsi="Arial" w:cs="Arial"/>
          <w:sz w:val="20"/>
          <w:szCs w:val="20"/>
          <w:lang w:eastAsia="en-US"/>
        </w:rPr>
      </w:pPr>
      <w:r>
        <w:rPr>
          <w:rFonts w:ascii="Arial" w:eastAsia="Calibri" w:hAnsi="Arial" w:cs="Arial"/>
          <w:sz w:val="20"/>
          <w:szCs w:val="20"/>
          <w:lang w:eastAsia="en-US"/>
        </w:rPr>
        <w:t>izrada geodetskog elabora</w:t>
      </w:r>
      <w:r w:rsidR="00F21548">
        <w:rPr>
          <w:rFonts w:ascii="Arial" w:eastAsia="Calibri" w:hAnsi="Arial" w:cs="Arial"/>
          <w:sz w:val="20"/>
          <w:szCs w:val="20"/>
          <w:lang w:eastAsia="en-US"/>
        </w:rPr>
        <w:t>t</w:t>
      </w:r>
      <w:r>
        <w:rPr>
          <w:rFonts w:ascii="Arial" w:eastAsia="Calibri" w:hAnsi="Arial" w:cs="Arial"/>
          <w:sz w:val="20"/>
          <w:szCs w:val="20"/>
          <w:lang w:eastAsia="en-US"/>
        </w:rPr>
        <w:t>a u svrhu diobe čestice zemljišta u Ljutoj</w:t>
      </w:r>
      <w:r w:rsidR="00B469DE">
        <w:rPr>
          <w:rFonts w:ascii="Arial" w:eastAsia="Calibri" w:hAnsi="Arial" w:cs="Arial"/>
          <w:sz w:val="20"/>
          <w:szCs w:val="20"/>
          <w:lang w:eastAsia="en-US"/>
        </w:rPr>
        <w:t xml:space="preserve"> za potrebe definiranja područja komunalne infrastrukture (k.č. 980 k.o. Ljuta) 1.125 € </w:t>
      </w:r>
    </w:p>
    <w:p w14:paraId="4750E3D9" w14:textId="1A93B6B5" w:rsidR="00AC494C" w:rsidRPr="00AC494C" w:rsidRDefault="00AC494C" w:rsidP="00B469DE">
      <w:pPr>
        <w:numPr>
          <w:ilvl w:val="0"/>
          <w:numId w:val="3"/>
        </w:numPr>
        <w:autoSpaceDE w:val="0"/>
        <w:autoSpaceDN w:val="0"/>
        <w:adjustRightInd w:val="0"/>
        <w:spacing w:after="0" w:line="240" w:lineRule="auto"/>
        <w:ind w:left="567" w:hanging="567"/>
        <w:jc w:val="both"/>
        <w:rPr>
          <w:rFonts w:ascii="Arial" w:eastAsia="Calibri" w:hAnsi="Arial" w:cs="Arial"/>
          <w:sz w:val="20"/>
          <w:szCs w:val="20"/>
          <w:lang w:eastAsia="en-US"/>
        </w:rPr>
      </w:pPr>
      <w:r w:rsidRPr="00AC494C">
        <w:rPr>
          <w:rFonts w:ascii="Arial" w:eastAsia="Calibri" w:hAnsi="Arial" w:cs="Arial"/>
          <w:sz w:val="20"/>
          <w:szCs w:val="20"/>
          <w:lang w:eastAsia="en-US"/>
        </w:rPr>
        <w:t xml:space="preserve">sudske i ostale pristojbe </w:t>
      </w:r>
      <w:r w:rsidR="00B469DE">
        <w:rPr>
          <w:rFonts w:ascii="Arial" w:eastAsia="Calibri" w:hAnsi="Arial" w:cs="Arial"/>
          <w:sz w:val="20"/>
          <w:szCs w:val="20"/>
          <w:lang w:eastAsia="en-US"/>
        </w:rPr>
        <w:t>585,32</w:t>
      </w:r>
      <w:r w:rsidRPr="00AC494C">
        <w:rPr>
          <w:rFonts w:ascii="Arial" w:eastAsia="Calibri" w:hAnsi="Arial" w:cs="Arial"/>
          <w:sz w:val="20"/>
          <w:szCs w:val="20"/>
          <w:lang w:eastAsia="en-US"/>
        </w:rPr>
        <w:t xml:space="preserve"> €.</w:t>
      </w:r>
    </w:p>
    <w:p w14:paraId="46C5DCA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702D6264"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FAE1C47"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57F9913"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B203A1B"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E61ED3C"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DD6DEF3" w14:textId="2D00A93C" w:rsidR="00184A8E" w:rsidRPr="00184A8E" w:rsidRDefault="00184A8E" w:rsidP="00184A8E">
            <w:pPr>
              <w:jc w:val="center"/>
              <w:rPr>
                <w:rFonts w:ascii="Arial" w:eastAsia="Calibri" w:hAnsi="Arial" w:cs="Arial"/>
              </w:rPr>
            </w:pPr>
            <w:r w:rsidRPr="00184A8E">
              <w:rPr>
                <w:rFonts w:ascii="Arial" w:eastAsia="Calibri" w:hAnsi="Arial" w:cs="Arial"/>
              </w:rPr>
              <w:t>Polazna vrijednost 20</w:t>
            </w:r>
            <w:r w:rsidR="00B469DE">
              <w:rPr>
                <w:rFonts w:ascii="Arial" w:eastAsia="Calibri" w:hAnsi="Arial" w:cs="Arial"/>
              </w:rPr>
              <w:t>24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7340D69" w14:textId="4608B18D" w:rsidR="00184A8E" w:rsidRPr="00184A8E" w:rsidRDefault="00184A8E" w:rsidP="00184A8E">
            <w:pPr>
              <w:jc w:val="center"/>
              <w:rPr>
                <w:rFonts w:ascii="Arial" w:eastAsia="Calibri" w:hAnsi="Arial" w:cs="Arial"/>
              </w:rPr>
            </w:pPr>
            <w:r w:rsidRPr="00184A8E">
              <w:rPr>
                <w:rFonts w:ascii="Arial" w:eastAsia="Calibri" w:hAnsi="Arial" w:cs="Arial"/>
              </w:rPr>
              <w:t>Ciljana vrijednost 20</w:t>
            </w:r>
            <w:r w:rsidR="00B469DE">
              <w:rPr>
                <w:rFonts w:ascii="Arial" w:eastAsia="Calibri" w:hAnsi="Arial" w:cs="Arial"/>
              </w:rPr>
              <w:t>25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2F335CE" w14:textId="79379353"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B469DE">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76416AD" w14:textId="1A80970D"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B469DE">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5C6A178" w14:textId="048D66EB"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B469DE">
              <w:rPr>
                <w:rFonts w:ascii="Arial" w:eastAsia="Calibri" w:hAnsi="Arial" w:cs="Arial"/>
              </w:rPr>
              <w:t>7</w:t>
            </w:r>
            <w:r w:rsidRPr="00184A8E">
              <w:rPr>
                <w:rFonts w:ascii="Arial" w:eastAsia="Calibri" w:hAnsi="Arial" w:cs="Arial"/>
              </w:rPr>
              <w:t>.</w:t>
            </w:r>
          </w:p>
        </w:tc>
      </w:tr>
      <w:tr w:rsidR="00184A8E" w:rsidRPr="00184A8E" w14:paraId="68C3BBAC"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18248274" w14:textId="77777777" w:rsidR="00184A8E" w:rsidRPr="00184A8E" w:rsidRDefault="00184A8E" w:rsidP="00184A8E">
            <w:pPr>
              <w:rPr>
                <w:rFonts w:ascii="Arial" w:hAnsi="Arial" w:cs="Arial"/>
                <w:sz w:val="14"/>
                <w:szCs w:val="14"/>
              </w:rPr>
            </w:pPr>
            <w:r w:rsidRPr="00184A8E">
              <w:rPr>
                <w:rFonts w:ascii="Arial" w:hAnsi="Arial" w:cs="Arial"/>
                <w:sz w:val="14"/>
                <w:szCs w:val="14"/>
              </w:rPr>
              <w:t xml:space="preserve">Izvršavanje usluge procjene nekretnina u vlasništvu Općine i rješavanje imovinsko pravnih odnosa </w:t>
            </w:r>
          </w:p>
        </w:tc>
        <w:tc>
          <w:tcPr>
            <w:tcW w:w="3402" w:type="dxa"/>
            <w:tcBorders>
              <w:top w:val="single" w:sz="4" w:space="0" w:color="auto"/>
              <w:left w:val="single" w:sz="4" w:space="0" w:color="auto"/>
              <w:bottom w:val="single" w:sz="4" w:space="0" w:color="auto"/>
              <w:right w:val="single" w:sz="4" w:space="0" w:color="auto"/>
            </w:tcBorders>
            <w:vAlign w:val="center"/>
          </w:tcPr>
          <w:p w14:paraId="4BAD53D0" w14:textId="77777777" w:rsidR="00184A8E" w:rsidRPr="00184A8E" w:rsidRDefault="00184A8E" w:rsidP="00184A8E">
            <w:pPr>
              <w:autoSpaceDE w:val="0"/>
              <w:autoSpaceDN w:val="0"/>
              <w:adjustRightInd w:val="0"/>
              <w:rPr>
                <w:rFonts w:ascii="Arial" w:hAnsi="Arial" w:cs="Arial"/>
                <w:sz w:val="18"/>
                <w:szCs w:val="18"/>
              </w:rPr>
            </w:pPr>
            <w:r w:rsidRPr="00184A8E">
              <w:rPr>
                <w:rFonts w:ascii="Arial" w:hAnsi="Arial" w:cs="Arial"/>
                <w:sz w:val="18"/>
                <w:szCs w:val="18"/>
              </w:rPr>
              <w:t>Postotak izvršenja planiranih rashoda za usluge procjene nekretnina i rješavanje imovinsko pravnih odnosa</w:t>
            </w:r>
          </w:p>
        </w:tc>
        <w:tc>
          <w:tcPr>
            <w:tcW w:w="958" w:type="dxa"/>
            <w:tcBorders>
              <w:top w:val="single" w:sz="4" w:space="0" w:color="auto"/>
              <w:left w:val="single" w:sz="4" w:space="0" w:color="auto"/>
              <w:bottom w:val="single" w:sz="4" w:space="0" w:color="auto"/>
              <w:right w:val="single" w:sz="4" w:space="0" w:color="auto"/>
            </w:tcBorders>
            <w:vAlign w:val="center"/>
          </w:tcPr>
          <w:p w14:paraId="53752AD4"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50F8DFCE"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76AEC50A" w14:textId="51DCF897" w:rsidR="00184A8E" w:rsidRPr="00184A8E" w:rsidRDefault="00B469DE" w:rsidP="00184A8E">
            <w:pPr>
              <w:jc w:val="center"/>
              <w:rPr>
                <w:rFonts w:ascii="Arial" w:hAnsi="Arial" w:cs="Arial"/>
              </w:rPr>
            </w:pPr>
            <w:r>
              <w:rPr>
                <w:rFonts w:ascii="Arial" w:hAnsi="Arial" w:cs="Arial"/>
              </w:rPr>
              <w:t>73</w:t>
            </w:r>
            <w:r w:rsidR="00184A8E" w:rsidRPr="00184A8E">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9C9FD5B"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4509551D" w14:textId="28655CDC" w:rsidR="00184A8E" w:rsidRPr="00184A8E" w:rsidRDefault="00184A8E" w:rsidP="00184A8E">
            <w:pPr>
              <w:jc w:val="center"/>
              <w:rPr>
                <w:rFonts w:ascii="Arial" w:hAnsi="Arial" w:cs="Arial"/>
              </w:rPr>
            </w:pPr>
            <w:r w:rsidRPr="00184A8E">
              <w:rPr>
                <w:rFonts w:ascii="Arial" w:hAnsi="Arial" w:cs="Arial"/>
              </w:rPr>
              <w:t>7</w:t>
            </w:r>
            <w:r w:rsidR="00B469DE">
              <w:rPr>
                <w:rFonts w:ascii="Arial" w:hAnsi="Arial" w:cs="Arial"/>
              </w:rPr>
              <w:t>4</w:t>
            </w:r>
            <w:r w:rsidRPr="00184A8E">
              <w:rPr>
                <w:rFonts w:ascii="Arial" w:hAnsi="Arial" w:cs="Arial"/>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12131733"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16DB4F5" w14:textId="77777777" w:rsidR="00184A8E" w:rsidRPr="00184A8E" w:rsidRDefault="00184A8E" w:rsidP="00184A8E">
            <w:pPr>
              <w:jc w:val="center"/>
              <w:rPr>
                <w:rFonts w:ascii="Arial" w:hAnsi="Arial" w:cs="Arial"/>
              </w:rPr>
            </w:pPr>
            <w:r w:rsidRPr="00184A8E">
              <w:rPr>
                <w:rFonts w:ascii="Arial" w:hAnsi="Arial" w:cs="Arial"/>
              </w:rPr>
              <w:t>100%</w:t>
            </w:r>
          </w:p>
        </w:tc>
      </w:tr>
    </w:tbl>
    <w:p w14:paraId="380396D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4C6CBF29" w14:textId="263E893D" w:rsidR="00B469D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lang w:eastAsia="en-US"/>
        </w:rPr>
        <w:t>5. A210506: Nabava vozila, strojeva, opreme, uređaja za poboljšanje komunalnog standarda</w:t>
      </w:r>
      <w:r w:rsidRPr="00184A8E">
        <w:rPr>
          <w:rFonts w:ascii="Arial" w:eastAsia="Calibri" w:hAnsi="Arial" w:cs="Arial"/>
          <w:sz w:val="20"/>
          <w:szCs w:val="20"/>
          <w:lang w:eastAsia="en-US"/>
        </w:rPr>
        <w:t xml:space="preserve"> - Za provođenje programa su planirana proračunska sredstva u iznosu </w:t>
      </w:r>
      <w:r w:rsidR="00B469DE">
        <w:rPr>
          <w:rFonts w:ascii="Arial" w:eastAsia="Calibri" w:hAnsi="Arial" w:cs="Arial"/>
          <w:sz w:val="20"/>
          <w:szCs w:val="20"/>
          <w:lang w:eastAsia="en-US"/>
        </w:rPr>
        <w:t>23.000</w:t>
      </w:r>
      <w:r w:rsidRPr="00184A8E">
        <w:rPr>
          <w:rFonts w:ascii="Arial" w:eastAsia="Calibri" w:hAnsi="Arial" w:cs="Arial"/>
          <w:sz w:val="20"/>
          <w:szCs w:val="20"/>
          <w:lang w:eastAsia="en-US"/>
        </w:rPr>
        <w:t xml:space="preserve"> €. Ovi rashodi se odnose rashode za nabavu potrebne opreme kao što je korpa za javnu rasvjetu i vozilo za prijevoz, te vozilo za košenje i slično. Pored navedenog moguća je nabava druge opreme.</w:t>
      </w:r>
      <w:r w:rsidRPr="00184A8E">
        <w:rPr>
          <w:rFonts w:ascii="Arial" w:eastAsia="Calibri" w:hAnsi="Arial" w:cs="Arial"/>
          <w:sz w:val="20"/>
          <w:szCs w:val="20"/>
        </w:rPr>
        <w:t xml:space="preserve"> </w:t>
      </w:r>
      <w:r w:rsidR="00B469DE">
        <w:rPr>
          <w:rFonts w:ascii="Arial" w:eastAsia="Calibri" w:hAnsi="Arial" w:cs="Arial"/>
          <w:sz w:val="20"/>
          <w:szCs w:val="20"/>
        </w:rPr>
        <w:t xml:space="preserve">Rashodi su izvršeni u iznosu 2.618,75 € i odnose se na nabavu meteorološke postaje koja je smještena kod bivšeg vatrogasnog doma. </w:t>
      </w:r>
      <w:r w:rsidR="000E20EC">
        <w:rPr>
          <w:rFonts w:ascii="Arial" w:eastAsia="Calibri" w:hAnsi="Arial" w:cs="Arial"/>
          <w:sz w:val="20"/>
          <w:szCs w:val="20"/>
        </w:rPr>
        <w:t xml:space="preserve">Rashodi su izvršeni manje od plana jer nisu izvršeni novi prijenosi društvu u vlasništvu za vozila i drugu komunalnu opremu (računalni program za sustav prikupljanja podataka o sakupljanju otpada). </w:t>
      </w:r>
    </w:p>
    <w:p w14:paraId="0C06138B" w14:textId="77777777" w:rsidR="00B469DE" w:rsidRDefault="00B469DE" w:rsidP="00184A8E">
      <w:pPr>
        <w:autoSpaceDE w:val="0"/>
        <w:autoSpaceDN w:val="0"/>
        <w:adjustRightInd w:val="0"/>
        <w:spacing w:after="0" w:line="240" w:lineRule="auto"/>
        <w:jc w:val="both"/>
        <w:rPr>
          <w:rFonts w:ascii="Arial" w:eastAsia="Calibri" w:hAnsi="Arial" w:cs="Arial"/>
          <w:sz w:val="20"/>
          <w:szCs w:val="20"/>
        </w:rPr>
      </w:pPr>
    </w:p>
    <w:p w14:paraId="353C8620" w14:textId="338BBCA8" w:rsidR="00184A8E" w:rsidRPr="00184A8E" w:rsidRDefault="00B469DE" w:rsidP="00B469DE">
      <w:pPr>
        <w:autoSpaceDE w:val="0"/>
        <w:autoSpaceDN w:val="0"/>
        <w:adjustRightInd w:val="0"/>
        <w:spacing w:after="0" w:line="240" w:lineRule="auto"/>
        <w:ind w:left="709"/>
        <w:jc w:val="both"/>
        <w:rPr>
          <w:rFonts w:ascii="Arial" w:eastAsia="Calibri" w:hAnsi="Arial" w:cs="Arial"/>
          <w:sz w:val="20"/>
          <w:szCs w:val="20"/>
          <w:lang w:eastAsia="en-US"/>
        </w:rPr>
      </w:pPr>
      <w:r w:rsidRPr="00B469DE">
        <w:rPr>
          <w:rFonts w:ascii="Arial" w:eastAsia="Calibri" w:hAnsi="Arial" w:cs="Arial"/>
          <w:sz w:val="18"/>
          <w:szCs w:val="18"/>
        </w:rPr>
        <w:t xml:space="preserve">U 2024. godini u okviru ove aktivnosti bili su izvršeni rashodi u iznosu </w:t>
      </w:r>
      <w:r w:rsidR="00184A8E" w:rsidRPr="00B469DE">
        <w:rPr>
          <w:rFonts w:ascii="Arial" w:eastAsia="Calibri" w:hAnsi="Arial" w:cs="Arial"/>
          <w:sz w:val="18"/>
          <w:szCs w:val="18"/>
        </w:rPr>
        <w:t>21.096,21 €</w:t>
      </w:r>
      <w:r w:rsidRPr="00B469DE">
        <w:rPr>
          <w:rFonts w:ascii="Arial" w:eastAsia="Calibri" w:hAnsi="Arial" w:cs="Arial"/>
          <w:sz w:val="18"/>
          <w:szCs w:val="18"/>
        </w:rPr>
        <w:t xml:space="preserve"> koji su se odnosili na </w:t>
      </w:r>
      <w:r w:rsidR="00184A8E" w:rsidRPr="00B469DE">
        <w:rPr>
          <w:rFonts w:ascii="Arial" w:eastAsia="Calibri" w:hAnsi="Arial" w:cs="Arial"/>
          <w:sz w:val="18"/>
          <w:szCs w:val="18"/>
        </w:rPr>
        <w:t>kapitalne pomoći društvu u vlasništvu Općine (Čistoća i zelenilo Konavle d.o.o.) za</w:t>
      </w:r>
      <w:r w:rsidRPr="00B469DE">
        <w:rPr>
          <w:rFonts w:ascii="Arial" w:eastAsia="Calibri" w:hAnsi="Arial" w:cs="Arial"/>
          <w:sz w:val="18"/>
          <w:szCs w:val="18"/>
        </w:rPr>
        <w:t xml:space="preserve"> </w:t>
      </w:r>
      <w:r w:rsidR="00184A8E" w:rsidRPr="00B469DE">
        <w:rPr>
          <w:rFonts w:ascii="Arial" w:eastAsia="Calibri" w:hAnsi="Arial" w:cs="Arial"/>
          <w:sz w:val="18"/>
          <w:szCs w:val="18"/>
        </w:rPr>
        <w:t>nabavu električnog tricikla za čistače javnih površina 10.352,38 €,</w:t>
      </w:r>
      <w:r w:rsidRPr="00B469DE">
        <w:rPr>
          <w:rFonts w:ascii="Arial" w:eastAsia="Calibri" w:hAnsi="Arial" w:cs="Arial"/>
          <w:sz w:val="18"/>
          <w:szCs w:val="18"/>
        </w:rPr>
        <w:t xml:space="preserve"> </w:t>
      </w:r>
      <w:r w:rsidR="00184A8E" w:rsidRPr="00B469DE">
        <w:rPr>
          <w:rFonts w:ascii="Arial" w:eastAsia="Calibri" w:hAnsi="Arial" w:cs="Arial"/>
          <w:sz w:val="18"/>
          <w:szCs w:val="18"/>
        </w:rPr>
        <w:t xml:space="preserve">nabavu rabljenog dostavnog vozila Caddy 4.000 €, </w:t>
      </w:r>
      <w:r w:rsidRPr="00B469DE">
        <w:rPr>
          <w:rFonts w:ascii="Arial" w:eastAsia="Calibri" w:hAnsi="Arial" w:cs="Arial"/>
          <w:sz w:val="18"/>
          <w:szCs w:val="18"/>
        </w:rPr>
        <w:t>te</w:t>
      </w:r>
      <w:r w:rsidR="00184A8E" w:rsidRPr="00B469DE">
        <w:rPr>
          <w:rFonts w:ascii="Arial" w:eastAsia="Calibri" w:hAnsi="Arial" w:cs="Arial"/>
          <w:sz w:val="18"/>
          <w:szCs w:val="18"/>
        </w:rPr>
        <w:t xml:space="preserve"> nabavu alata, ljestvi, penjalica za stupove javne rasvjete, UPS i druge opreme 6.743,83 €.</w:t>
      </w:r>
    </w:p>
    <w:p w14:paraId="6DF246E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21280C35"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295E3A2"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B4A72D3"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223F29B"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81EE8A5"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4CFCE99" w14:textId="00208C52"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B469DE">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3358719" w14:textId="11F3B7FA"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B469DE">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78C7072" w14:textId="7FCC31B7"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B469DE">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1C29F42" w14:textId="1ED6A654"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B469DE">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264694A" w14:textId="3D855A7D"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B469DE">
              <w:rPr>
                <w:rFonts w:ascii="Arial" w:eastAsia="Calibri" w:hAnsi="Arial" w:cs="Arial"/>
              </w:rPr>
              <w:t>7</w:t>
            </w:r>
            <w:r w:rsidRPr="00184A8E">
              <w:rPr>
                <w:rFonts w:ascii="Arial" w:eastAsia="Calibri" w:hAnsi="Arial" w:cs="Arial"/>
              </w:rPr>
              <w:t>.</w:t>
            </w:r>
          </w:p>
        </w:tc>
      </w:tr>
      <w:tr w:rsidR="00184A8E" w:rsidRPr="00184A8E" w14:paraId="3BB27E4E"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18691C4E" w14:textId="77777777" w:rsidR="00184A8E" w:rsidRPr="00184A8E" w:rsidRDefault="00184A8E" w:rsidP="00184A8E">
            <w:pPr>
              <w:rPr>
                <w:rFonts w:ascii="Arial" w:hAnsi="Arial" w:cs="Arial"/>
                <w:sz w:val="18"/>
                <w:szCs w:val="18"/>
              </w:rPr>
            </w:pPr>
            <w:r w:rsidRPr="00184A8E">
              <w:rPr>
                <w:rFonts w:ascii="Arial" w:hAnsi="Arial" w:cs="Arial"/>
                <w:sz w:val="18"/>
                <w:szCs w:val="18"/>
              </w:rPr>
              <w:t>Nabavljena oprema koja je stavljena u upotrebu</w:t>
            </w:r>
          </w:p>
        </w:tc>
        <w:tc>
          <w:tcPr>
            <w:tcW w:w="3402" w:type="dxa"/>
            <w:vAlign w:val="center"/>
          </w:tcPr>
          <w:p w14:paraId="136FA804" w14:textId="77777777" w:rsidR="00184A8E" w:rsidRPr="00184A8E" w:rsidRDefault="00184A8E" w:rsidP="00184A8E">
            <w:pPr>
              <w:autoSpaceDE w:val="0"/>
              <w:autoSpaceDN w:val="0"/>
              <w:adjustRightInd w:val="0"/>
              <w:rPr>
                <w:rFonts w:ascii="Arial" w:hAnsi="Arial" w:cs="Arial"/>
                <w:sz w:val="18"/>
                <w:szCs w:val="18"/>
              </w:rPr>
            </w:pPr>
            <w:r w:rsidRPr="00184A8E">
              <w:rPr>
                <w:rFonts w:ascii="Arial" w:eastAsia="Calibri" w:hAnsi="Arial" w:cs="Arial"/>
                <w:sz w:val="18"/>
                <w:szCs w:val="18"/>
              </w:rPr>
              <w:t>Udio utrošenih planiranih sredstava tijekom pojedine godine</w:t>
            </w:r>
          </w:p>
        </w:tc>
        <w:tc>
          <w:tcPr>
            <w:tcW w:w="958" w:type="dxa"/>
            <w:vAlign w:val="center"/>
          </w:tcPr>
          <w:p w14:paraId="3D8D6676"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w:t>
            </w:r>
          </w:p>
        </w:tc>
        <w:tc>
          <w:tcPr>
            <w:tcW w:w="1134" w:type="dxa"/>
            <w:vAlign w:val="center"/>
          </w:tcPr>
          <w:p w14:paraId="74A0A1DE"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Općina</w:t>
            </w:r>
          </w:p>
        </w:tc>
        <w:tc>
          <w:tcPr>
            <w:tcW w:w="1232" w:type="dxa"/>
            <w:vAlign w:val="center"/>
          </w:tcPr>
          <w:p w14:paraId="516EBC28" w14:textId="601BEDD7" w:rsidR="00184A8E" w:rsidRPr="00184A8E" w:rsidRDefault="00B469DE" w:rsidP="00184A8E">
            <w:pPr>
              <w:jc w:val="center"/>
              <w:rPr>
                <w:rFonts w:ascii="Arial" w:hAnsi="Arial" w:cs="Arial"/>
                <w:sz w:val="18"/>
                <w:szCs w:val="18"/>
              </w:rPr>
            </w:pPr>
            <w:r>
              <w:rPr>
                <w:rFonts w:ascii="Arial" w:eastAsia="Calibri" w:hAnsi="Arial" w:cs="Arial"/>
                <w:sz w:val="18"/>
                <w:szCs w:val="18"/>
              </w:rPr>
              <w:t>69</w:t>
            </w:r>
          </w:p>
        </w:tc>
        <w:tc>
          <w:tcPr>
            <w:tcW w:w="1276" w:type="dxa"/>
            <w:vAlign w:val="center"/>
          </w:tcPr>
          <w:p w14:paraId="203523C6" w14:textId="77777777" w:rsidR="00184A8E" w:rsidRPr="00184A8E" w:rsidRDefault="00184A8E" w:rsidP="00184A8E">
            <w:pPr>
              <w:jc w:val="center"/>
              <w:rPr>
                <w:rFonts w:ascii="Arial" w:hAnsi="Arial" w:cs="Arial"/>
                <w:sz w:val="18"/>
                <w:szCs w:val="18"/>
              </w:rPr>
            </w:pPr>
            <w:r w:rsidRPr="00184A8E">
              <w:rPr>
                <w:rFonts w:ascii="Arial" w:eastAsia="Calibri" w:hAnsi="Arial" w:cs="Arial"/>
                <w:sz w:val="18"/>
                <w:szCs w:val="18"/>
              </w:rPr>
              <w:t>100</w:t>
            </w:r>
          </w:p>
        </w:tc>
        <w:tc>
          <w:tcPr>
            <w:tcW w:w="1242" w:type="dxa"/>
            <w:vAlign w:val="center"/>
          </w:tcPr>
          <w:p w14:paraId="31AA2338" w14:textId="7C0E9313" w:rsidR="00184A8E" w:rsidRPr="00184A8E" w:rsidRDefault="00B469DE" w:rsidP="00184A8E">
            <w:pPr>
              <w:jc w:val="center"/>
              <w:rPr>
                <w:rFonts w:ascii="Arial" w:hAnsi="Arial" w:cs="Arial"/>
                <w:sz w:val="18"/>
                <w:szCs w:val="18"/>
              </w:rPr>
            </w:pPr>
            <w:r>
              <w:rPr>
                <w:rFonts w:ascii="Arial" w:eastAsia="Calibri" w:hAnsi="Arial" w:cs="Arial"/>
                <w:sz w:val="18"/>
                <w:szCs w:val="18"/>
              </w:rPr>
              <w:t>11</w:t>
            </w:r>
          </w:p>
        </w:tc>
        <w:tc>
          <w:tcPr>
            <w:tcW w:w="1242" w:type="dxa"/>
            <w:tcBorders>
              <w:top w:val="single" w:sz="4" w:space="0" w:color="000000"/>
              <w:left w:val="single" w:sz="4" w:space="0" w:color="000000"/>
              <w:bottom w:val="single" w:sz="4" w:space="0" w:color="000000"/>
              <w:right w:val="single" w:sz="4" w:space="0" w:color="000000"/>
            </w:tcBorders>
            <w:vAlign w:val="center"/>
          </w:tcPr>
          <w:p w14:paraId="6715EF56"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4F8BA7D5"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r>
    </w:tbl>
    <w:p w14:paraId="49A44DB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3F45C44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rPr>
        <w:t xml:space="preserve">6. T210507: Nabava kamiona za pražnjenje i čišćenje kanalizacije - kombinirka </w:t>
      </w:r>
      <w:r w:rsidRPr="00184A8E">
        <w:rPr>
          <w:rFonts w:ascii="Arial" w:eastAsia="Calibri" w:hAnsi="Arial" w:cs="Arial"/>
          <w:sz w:val="20"/>
          <w:szCs w:val="20"/>
        </w:rPr>
        <w:t xml:space="preserve">- Za provođenje projekta ne planiraju se proračunska sredstva. </w:t>
      </w:r>
    </w:p>
    <w:p w14:paraId="728812D0"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rPr>
      </w:pPr>
    </w:p>
    <w:p w14:paraId="69469DC9"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 xml:space="preserve">U 2018. društvo u vlasništvu Općine (Konavosko komunalno društvo d.o.o.) je putem financijskog leasinga uz rok otplate od 5 godina nabavilo kamion za potrebe obavljanja djelatnosti. Ovo zaduživanje nije ušlo u stupanj zaduženosti Općine, </w:t>
      </w:r>
      <w:r w:rsidRPr="00184A8E">
        <w:rPr>
          <w:rFonts w:ascii="Arial" w:eastAsia="Calibri" w:hAnsi="Arial" w:cs="Arial"/>
          <w:sz w:val="18"/>
          <w:szCs w:val="18"/>
          <w:lang w:eastAsia="en-US"/>
        </w:rPr>
        <w:t>a Općina ga prikazuje i iskazuje izvanbilančno kroz dane suglasnosti.</w:t>
      </w:r>
    </w:p>
    <w:p w14:paraId="55201B55" w14:textId="77777777" w:rsidR="00184A8E" w:rsidRPr="00184A8E" w:rsidRDefault="00184A8E" w:rsidP="00184A8E">
      <w:pPr>
        <w:spacing w:after="0" w:line="240" w:lineRule="auto"/>
        <w:jc w:val="both"/>
        <w:rPr>
          <w:rFonts w:ascii="Arial" w:eastAsia="Calibri" w:hAnsi="Arial" w:cs="Arial"/>
          <w:sz w:val="20"/>
          <w:szCs w:val="20"/>
        </w:rPr>
      </w:pPr>
    </w:p>
    <w:p w14:paraId="4BC57A9F" w14:textId="418E2DA1"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rPr>
        <w:t xml:space="preserve">7. T210508: Osiguravanje preduvjeta za izgradnju i početak rada Poduzetničke zone Čilipi </w:t>
      </w:r>
      <w:r w:rsidRPr="00184A8E">
        <w:rPr>
          <w:rFonts w:ascii="Arial" w:eastAsia="Calibri" w:hAnsi="Arial" w:cs="Arial"/>
          <w:sz w:val="20"/>
          <w:szCs w:val="20"/>
        </w:rPr>
        <w:t xml:space="preserve">- Za provođenje projekta planirana su proračunska sredstva za početak provedbe raznih poslova na zemljištu kojeg je dodijelila RH u iznosu </w:t>
      </w:r>
      <w:r w:rsidR="000E20EC">
        <w:rPr>
          <w:rFonts w:ascii="Arial" w:eastAsia="Calibri" w:hAnsi="Arial" w:cs="Arial"/>
          <w:sz w:val="20"/>
          <w:szCs w:val="20"/>
        </w:rPr>
        <w:t>170.000</w:t>
      </w:r>
      <w:r w:rsidRPr="00184A8E">
        <w:rPr>
          <w:rFonts w:ascii="Arial" w:eastAsia="Calibri" w:hAnsi="Arial" w:cs="Arial"/>
          <w:sz w:val="20"/>
          <w:szCs w:val="20"/>
        </w:rPr>
        <w:t xml:space="preserve"> €.</w:t>
      </w:r>
    </w:p>
    <w:p w14:paraId="71FE116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3AEFA9D7"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 xml:space="preserve">Republika Hrvatska i Ministarstvo prostornoga uređenja, graditeljstva i državne imovine su, na temelju Zakona o upravljanju državnom imovinom (NN 52/18), Zakona o unapređenju poduzetničke infrastrukture (NN 93/13, 114/13, 41/114, 57/18) i Odluke o darovanju nekretnina u k.o. Čilipi Općini Konavle u svrhu izgradnje Poduzetničke zone Čilipi prema odluci Vlade Rh od 6.5.2021., zaključili s Općinom Konavle dana 8.7.2021. ugovor o darovanju nekretnina u vlasništvu RH u k.o. Čilipi (dio bivše vojne nekretnine – građevina s pripadajućim zemljištem). Čestice zemljišta upisane u zk.ul. 890 k.o. Čilipi, površine 195.061 m², čestice zemljišta i građevine upisane u zk.ul. 842 k.o. Čilipi površine 7.718 m², odnosno sveukupno površine 202.779 m² su darovane u svrhu izgradnje Poduzetničke zone Čilipi. Vrijednost darovanih nekretnina iznosi </w:t>
      </w:r>
      <w:r w:rsidRPr="00184A8E">
        <w:rPr>
          <w:rFonts w:ascii="Arial" w:eastAsia="Calibri" w:hAnsi="Arial" w:cs="Arial"/>
          <w:sz w:val="18"/>
          <w:szCs w:val="18"/>
          <w:lang w:eastAsia="en-US"/>
        </w:rPr>
        <w:t xml:space="preserve">70.370.000 kn / 9.339.704,03 € </w:t>
      </w:r>
      <w:r w:rsidRPr="00184A8E">
        <w:rPr>
          <w:rFonts w:ascii="Arial" w:eastAsia="Calibri" w:hAnsi="Arial" w:cs="Arial"/>
          <w:sz w:val="18"/>
          <w:szCs w:val="18"/>
        </w:rPr>
        <w:t>prema procjembenom elaboratu stalnog sudskog vještaka za graditeljstvo i procjenu nekretnina, a revidiranom od strane Službe za tehničke poslove Ministarstva prostornoga uređenja, graditeljstva i državne imovine. Trošak procjene nekretnine koji općina treba platiti iznosi 8.625 kn. Rh je ovlastila Općinu da može u zemljišnim i drugim javnim knjigama ishoditi uknjižbu prava vlasništva na darovanim nekretninama bez svakog daljnjeg pitanja i/ili odobrenja. Općina je stupila u posjed nekretnine danom potpisivanja ugovora. Općina se ugovorom obvezala da darovane nekretnine privede svrsi u roku 5 godina oda dana sklapanja ugovora o darovanju, te da u navedenom roku pisano i dokumentirano izvijesti Ministarstvo prostornoga uređenja, graditeljstva i državne imovine, te dostavi pravno-relevantnu dokumentaciju (izvršne i uporabne dozvole i drugu dokumentaciju). Privođenje svrsi darovanja podrazumijeva da se izvrši infrastrukturno opremanje Poduzetničke zone energetskom infrastrukturom (struja, javna rasvjeta, trafostanica ili priključci na javnu mrežu), komunalnom infrastrukturom (opskrba vodom, vodovodne i oborinske instalacije, kanalizacija i odvodnja), prometnom infrastrukturom (pristupne ceste, ceste unutar poduzetničke zone, parkirališta i sl.), te komunikacijskom infrastrukturom (telefonska i internetska mreža, radio, TV i drugo).</w:t>
      </w:r>
    </w:p>
    <w:p w14:paraId="175360C5"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p>
    <w:p w14:paraId="74B419DD"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Ugovorom je omogućeno daljnje raspolaganje darovanom nekretninom u smislu prodaje s time da se ostvarena sredstva moraju koristiti za infrastrukturno opremanje poduzetničke zone sukladno odredbama članka 5. Zakona o unapređenju poduzetničke zone ili za unapređenje poduzetničkog okruženja unutar Općine Konavle o čemu se dokumentirano mora izvijestiti nadležno Ministarstvo u roku od 30 dana od dana izvršenih rashoda.</w:t>
      </w:r>
    </w:p>
    <w:p w14:paraId="3C512B3F" w14:textId="77777777" w:rsidR="00184A8E" w:rsidRPr="00184A8E" w:rsidRDefault="00184A8E" w:rsidP="00184A8E">
      <w:pPr>
        <w:autoSpaceDE w:val="0"/>
        <w:autoSpaceDN w:val="0"/>
        <w:adjustRightInd w:val="0"/>
        <w:spacing w:after="0" w:line="240" w:lineRule="auto"/>
        <w:ind w:left="567"/>
        <w:rPr>
          <w:rFonts w:ascii="Arial" w:eastAsia="Calibri" w:hAnsi="Arial" w:cs="Arial"/>
          <w:sz w:val="18"/>
          <w:szCs w:val="18"/>
        </w:rPr>
      </w:pPr>
    </w:p>
    <w:p w14:paraId="10F4E263"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 xml:space="preserve">Općina se obvezala preuzeti sve obveze koje bi eventualno proizašle iz potraživanja i prava trećih osoba na darovanim nekretninama. Naime, na jednom dijelu nekretnine površine 7.490 m² još nije pravomoćno okončan postupak naknade za oduzetu imovinu. </w:t>
      </w:r>
    </w:p>
    <w:p w14:paraId="1D9DA2EB" w14:textId="77777777" w:rsidR="00184A8E" w:rsidRPr="00184A8E" w:rsidRDefault="00184A8E" w:rsidP="00184A8E">
      <w:pPr>
        <w:autoSpaceDE w:val="0"/>
        <w:autoSpaceDN w:val="0"/>
        <w:adjustRightInd w:val="0"/>
        <w:spacing w:after="0" w:line="240" w:lineRule="auto"/>
        <w:ind w:left="567"/>
        <w:rPr>
          <w:rFonts w:ascii="Arial" w:eastAsia="Calibri" w:hAnsi="Arial" w:cs="Arial"/>
          <w:sz w:val="18"/>
          <w:szCs w:val="18"/>
        </w:rPr>
      </w:pPr>
    </w:p>
    <w:p w14:paraId="437FD8A1"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rPr>
      </w:pPr>
      <w:r w:rsidRPr="00184A8E">
        <w:rPr>
          <w:rFonts w:ascii="Arial" w:eastAsia="Calibri" w:hAnsi="Arial" w:cs="Arial"/>
          <w:sz w:val="18"/>
          <w:szCs w:val="18"/>
        </w:rPr>
        <w:t>U slučaju da Općina ne privede svrsi darovane nekretnine u utvrđenom roku, kao i u slučaju promjene namjene darovanih nekretnina, te u slučaju korištenja sredstava od prodaje nenamjenski, RH se ovlašćuje raskinuti ugovor. Ugovor se smatra raskinutim danom dostave obavijesti o raskidu, a darovane nekretnine prelaze u vlasništvo RH ili će Općina trebati isplatiti naknadu za darovanu nekretninu u visini tržišne vrijednosti utvrđenu ugovorom.</w:t>
      </w:r>
    </w:p>
    <w:p w14:paraId="1AA6685D" w14:textId="77777777" w:rsidR="00184A8E" w:rsidRPr="00184A8E" w:rsidRDefault="00184A8E" w:rsidP="00184A8E">
      <w:pPr>
        <w:autoSpaceDE w:val="0"/>
        <w:autoSpaceDN w:val="0"/>
        <w:adjustRightInd w:val="0"/>
        <w:spacing w:after="0" w:line="240" w:lineRule="auto"/>
        <w:rPr>
          <w:rFonts w:ascii="Arial" w:eastAsia="Calibri" w:hAnsi="Arial" w:cs="Arial"/>
          <w:sz w:val="18"/>
          <w:szCs w:val="18"/>
        </w:rPr>
      </w:pPr>
    </w:p>
    <w:p w14:paraId="7CFE8362"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U 2021. su bili izvršeni rashodi u iznosu 14.124,38 kn / 1.874,63 € i odnosili su se na troškove procjene zemljišta prema zaključenom ugovoru s RH, objavu javnog poziva za iskaz interesa, usluge prijevoda javnog poziva, sudske i javnobilježničke pristojbe.</w:t>
      </w:r>
    </w:p>
    <w:p w14:paraId="4B03515E"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20"/>
          <w:szCs w:val="20"/>
          <w:lang w:eastAsia="en-US"/>
        </w:rPr>
      </w:pPr>
    </w:p>
    <w:p w14:paraId="59556C46"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lastRenderedPageBreak/>
        <w:t xml:space="preserve">U 2022. godini rashodi su bili izvršeni u iznosu 189.573,79 kn / 25.160,77 € i odnosili su se na izdatak za osnivački ulog (temeljni kapital) u društvo u vlasništvu Općine (Poslovna zona Čilipi d.o.o.) u iznosu 20.000 kn / 2.654,46 €, te na usluge </w:t>
      </w:r>
      <w:r w:rsidRPr="00184A8E">
        <w:rPr>
          <w:rFonts w:ascii="Arial" w:eastAsia="Calibri" w:hAnsi="Arial" w:cs="Arial"/>
          <w:sz w:val="20"/>
          <w:szCs w:val="20"/>
        </w:rPr>
        <w:t>koordinacije poslova osnivanja poslovne zone u iznosu 169.573,79 kn / 22.506,31 €</w:t>
      </w:r>
      <w:r w:rsidRPr="00184A8E">
        <w:rPr>
          <w:rFonts w:ascii="Arial" w:eastAsia="Calibri" w:hAnsi="Arial" w:cs="Arial"/>
          <w:sz w:val="18"/>
          <w:szCs w:val="18"/>
          <w:lang w:eastAsia="en-US"/>
        </w:rPr>
        <w:t>.</w:t>
      </w:r>
    </w:p>
    <w:p w14:paraId="3D278D33"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p>
    <w:p w14:paraId="3160BA37" w14:textId="77777777" w:rsidR="00184A8E" w:rsidRPr="00184A8E" w:rsidRDefault="00184A8E" w:rsidP="00184A8E">
      <w:pPr>
        <w:autoSpaceDE w:val="0"/>
        <w:autoSpaceDN w:val="0"/>
        <w:adjustRightInd w:val="0"/>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Rashodi u 2023. su bili izvršeni u iznosu 87.046,99 € i odnosili su se na koordinaciju poslova vezanih uz poslovnu zonu 19.200 €, izradu idejnog rješenja premještanja VOR-a u iznosu 3.193,63 €, pripremne građevinske radove (betoniranje i izravnavanje terena) kako bi se provelo izmještanje VOR-a u iznosu 64.653,36 €.</w:t>
      </w:r>
    </w:p>
    <w:p w14:paraId="66D49DE7" w14:textId="77777777" w:rsidR="00184A8E" w:rsidRPr="000E20EC" w:rsidRDefault="00184A8E" w:rsidP="000E20EC">
      <w:pPr>
        <w:autoSpaceDE w:val="0"/>
        <w:autoSpaceDN w:val="0"/>
        <w:adjustRightInd w:val="0"/>
        <w:spacing w:after="0" w:line="240" w:lineRule="auto"/>
        <w:ind w:left="567"/>
        <w:jc w:val="both"/>
        <w:rPr>
          <w:rFonts w:ascii="Arial" w:eastAsia="Calibri" w:hAnsi="Arial" w:cs="Arial"/>
          <w:sz w:val="16"/>
          <w:szCs w:val="16"/>
          <w:lang w:eastAsia="en-US"/>
        </w:rPr>
      </w:pPr>
    </w:p>
    <w:p w14:paraId="05BAA387" w14:textId="0283253E" w:rsidR="00184A8E" w:rsidRPr="000E20EC" w:rsidRDefault="00184A8E" w:rsidP="000E20EC">
      <w:pPr>
        <w:autoSpaceDE w:val="0"/>
        <w:autoSpaceDN w:val="0"/>
        <w:adjustRightInd w:val="0"/>
        <w:spacing w:after="0" w:line="240" w:lineRule="auto"/>
        <w:ind w:left="567"/>
        <w:jc w:val="both"/>
        <w:rPr>
          <w:rFonts w:ascii="Arial" w:eastAsia="Calibri" w:hAnsi="Arial" w:cs="Arial"/>
          <w:sz w:val="18"/>
          <w:szCs w:val="18"/>
          <w:lang w:eastAsia="en-US"/>
        </w:rPr>
      </w:pPr>
      <w:r w:rsidRPr="000E20EC">
        <w:rPr>
          <w:rFonts w:ascii="Arial" w:eastAsia="Calibri" w:hAnsi="Arial" w:cs="Arial"/>
          <w:sz w:val="18"/>
          <w:szCs w:val="18"/>
          <w:lang w:eastAsia="en-US"/>
        </w:rPr>
        <w:t xml:space="preserve">Rashodi u 2024. godini su </w:t>
      </w:r>
      <w:r w:rsidR="000E20EC">
        <w:rPr>
          <w:rFonts w:ascii="Arial" w:eastAsia="Calibri" w:hAnsi="Arial" w:cs="Arial"/>
          <w:sz w:val="18"/>
          <w:szCs w:val="18"/>
          <w:lang w:eastAsia="en-US"/>
        </w:rPr>
        <w:t xml:space="preserve">bili </w:t>
      </w:r>
      <w:r w:rsidRPr="000E20EC">
        <w:rPr>
          <w:rFonts w:ascii="Arial" w:eastAsia="Calibri" w:hAnsi="Arial" w:cs="Arial"/>
          <w:sz w:val="18"/>
          <w:szCs w:val="18"/>
          <w:lang w:eastAsia="en-US"/>
        </w:rPr>
        <w:t>izvršeni u iznosu 78.182,38 € i odnos</w:t>
      </w:r>
      <w:r w:rsidR="000E20EC">
        <w:rPr>
          <w:rFonts w:ascii="Arial" w:eastAsia="Calibri" w:hAnsi="Arial" w:cs="Arial"/>
          <w:sz w:val="18"/>
          <w:szCs w:val="18"/>
          <w:lang w:eastAsia="en-US"/>
        </w:rPr>
        <w:t>ili su</w:t>
      </w:r>
      <w:r w:rsidRPr="000E20EC">
        <w:rPr>
          <w:rFonts w:ascii="Arial" w:eastAsia="Calibri" w:hAnsi="Arial" w:cs="Arial"/>
          <w:sz w:val="18"/>
          <w:szCs w:val="18"/>
          <w:lang w:eastAsia="en-US"/>
        </w:rPr>
        <w:t xml:space="preserve"> se na:</w:t>
      </w:r>
    </w:p>
    <w:p w14:paraId="64202824" w14:textId="77777777" w:rsidR="00184A8E" w:rsidRPr="000E20EC" w:rsidRDefault="00184A8E" w:rsidP="000E20EC">
      <w:pPr>
        <w:numPr>
          <w:ilvl w:val="0"/>
          <w:numId w:val="3"/>
        </w:numPr>
        <w:autoSpaceDE w:val="0"/>
        <w:autoSpaceDN w:val="0"/>
        <w:adjustRightInd w:val="0"/>
        <w:spacing w:after="0" w:line="240" w:lineRule="auto"/>
        <w:ind w:left="1418" w:hanging="284"/>
        <w:jc w:val="both"/>
        <w:rPr>
          <w:rFonts w:ascii="Arial" w:eastAsia="Calibri" w:hAnsi="Arial" w:cs="Arial"/>
          <w:sz w:val="18"/>
          <w:szCs w:val="18"/>
          <w:lang w:eastAsia="en-US"/>
        </w:rPr>
      </w:pPr>
      <w:r w:rsidRPr="000E20EC">
        <w:rPr>
          <w:rFonts w:ascii="Arial" w:eastAsia="Calibri" w:hAnsi="Arial" w:cs="Arial"/>
          <w:sz w:val="18"/>
          <w:szCs w:val="18"/>
          <w:lang w:eastAsia="en-US"/>
        </w:rPr>
        <w:t>nabavu kabela i drugog materijala za izmještanje VOR-a 19.125,50 €,</w:t>
      </w:r>
    </w:p>
    <w:p w14:paraId="40B0CC76" w14:textId="77777777" w:rsidR="00184A8E" w:rsidRPr="000E20EC" w:rsidRDefault="00184A8E" w:rsidP="000E20EC">
      <w:pPr>
        <w:numPr>
          <w:ilvl w:val="0"/>
          <w:numId w:val="3"/>
        </w:numPr>
        <w:autoSpaceDE w:val="0"/>
        <w:autoSpaceDN w:val="0"/>
        <w:adjustRightInd w:val="0"/>
        <w:spacing w:after="0" w:line="240" w:lineRule="auto"/>
        <w:ind w:left="1418" w:hanging="284"/>
        <w:jc w:val="both"/>
        <w:rPr>
          <w:rFonts w:ascii="Arial" w:eastAsia="Calibri" w:hAnsi="Arial" w:cs="Arial"/>
          <w:sz w:val="18"/>
          <w:szCs w:val="18"/>
          <w:lang w:eastAsia="en-US"/>
        </w:rPr>
      </w:pPr>
      <w:r w:rsidRPr="000E20EC">
        <w:rPr>
          <w:rFonts w:ascii="Arial" w:eastAsia="Calibri" w:hAnsi="Arial" w:cs="Arial"/>
          <w:sz w:val="18"/>
          <w:szCs w:val="18"/>
          <w:lang w:eastAsia="en-US"/>
        </w:rPr>
        <w:t>izmještanje VOR-a 56.013,44 € (radovi izmještanja 51.375,31 €, snimanje inspekcijskom kamerom 3.388,13 €, usluge dizalice 1.250 €),</w:t>
      </w:r>
    </w:p>
    <w:p w14:paraId="59A0AD79" w14:textId="77777777" w:rsidR="00184A8E" w:rsidRPr="000E20EC" w:rsidRDefault="00184A8E" w:rsidP="000E20EC">
      <w:pPr>
        <w:numPr>
          <w:ilvl w:val="0"/>
          <w:numId w:val="3"/>
        </w:numPr>
        <w:autoSpaceDE w:val="0"/>
        <w:autoSpaceDN w:val="0"/>
        <w:adjustRightInd w:val="0"/>
        <w:spacing w:after="0" w:line="240" w:lineRule="auto"/>
        <w:ind w:left="1418" w:hanging="284"/>
        <w:jc w:val="both"/>
        <w:rPr>
          <w:rFonts w:ascii="Arial" w:eastAsia="Calibri" w:hAnsi="Arial" w:cs="Arial"/>
          <w:sz w:val="18"/>
          <w:szCs w:val="18"/>
          <w:lang w:eastAsia="en-US"/>
        </w:rPr>
      </w:pPr>
      <w:r w:rsidRPr="000E20EC">
        <w:rPr>
          <w:rFonts w:ascii="Arial" w:eastAsia="Calibri" w:hAnsi="Arial" w:cs="Arial"/>
          <w:sz w:val="18"/>
          <w:szCs w:val="18"/>
          <w:lang w:eastAsia="en-US"/>
        </w:rPr>
        <w:t>izrada elaborata optimalnog tehničkog rješenja 138,75 €</w:t>
      </w:r>
    </w:p>
    <w:p w14:paraId="042BD64C" w14:textId="77777777" w:rsidR="00184A8E" w:rsidRPr="000E20EC" w:rsidRDefault="00184A8E" w:rsidP="000E20EC">
      <w:pPr>
        <w:numPr>
          <w:ilvl w:val="0"/>
          <w:numId w:val="3"/>
        </w:numPr>
        <w:autoSpaceDE w:val="0"/>
        <w:autoSpaceDN w:val="0"/>
        <w:adjustRightInd w:val="0"/>
        <w:spacing w:after="0" w:line="240" w:lineRule="auto"/>
        <w:ind w:left="1418" w:hanging="284"/>
        <w:jc w:val="both"/>
        <w:rPr>
          <w:rFonts w:ascii="Arial" w:eastAsia="Calibri" w:hAnsi="Arial" w:cs="Arial"/>
          <w:sz w:val="18"/>
          <w:szCs w:val="18"/>
          <w:lang w:eastAsia="en-US"/>
        </w:rPr>
      </w:pPr>
      <w:r w:rsidRPr="000E20EC">
        <w:rPr>
          <w:rFonts w:ascii="Arial" w:eastAsia="Calibri" w:hAnsi="Arial" w:cs="Arial"/>
          <w:sz w:val="18"/>
          <w:szCs w:val="18"/>
          <w:lang w:eastAsia="en-US"/>
        </w:rPr>
        <w:t xml:space="preserve">zaštitarske usluge potrebne kod izmještanja VOR-a 1.404,69 €, </w:t>
      </w:r>
    </w:p>
    <w:p w14:paraId="20C8E532" w14:textId="77777777" w:rsidR="00184A8E" w:rsidRPr="000E20EC" w:rsidRDefault="00184A8E" w:rsidP="000E20EC">
      <w:pPr>
        <w:numPr>
          <w:ilvl w:val="0"/>
          <w:numId w:val="3"/>
        </w:numPr>
        <w:autoSpaceDE w:val="0"/>
        <w:autoSpaceDN w:val="0"/>
        <w:adjustRightInd w:val="0"/>
        <w:spacing w:after="0" w:line="240" w:lineRule="auto"/>
        <w:ind w:left="1418" w:hanging="284"/>
        <w:jc w:val="both"/>
        <w:rPr>
          <w:rFonts w:ascii="Arial" w:eastAsia="Calibri" w:hAnsi="Arial" w:cs="Arial"/>
          <w:sz w:val="18"/>
          <w:szCs w:val="18"/>
          <w:lang w:eastAsia="en-US"/>
        </w:rPr>
      </w:pPr>
      <w:r w:rsidRPr="000E20EC">
        <w:rPr>
          <w:rFonts w:ascii="Arial" w:eastAsia="Calibri" w:hAnsi="Arial" w:cs="Arial"/>
          <w:sz w:val="18"/>
          <w:szCs w:val="18"/>
          <w:lang w:eastAsia="en-US"/>
        </w:rPr>
        <w:t>usluge prijevoza kabela potrebnog za izmještanje VOR-a na relaciji Zagreb – Dubrovnik 1.500 €.</w:t>
      </w:r>
    </w:p>
    <w:p w14:paraId="560D82D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5F6207A3" w14:textId="7C387A9C"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Izvođenje radova izmještanja VOR- u posljednjem tromjesečju 2024. godine je utjecalo na izvođenje svih drugih rashoda vezanih uz poduzetničku zonu zbog čega su rashodi izvršeni manje od planiranog.</w:t>
      </w:r>
    </w:p>
    <w:p w14:paraId="1DB8E7EF" w14:textId="77777777" w:rsidR="000E20EC" w:rsidRDefault="000E20EC" w:rsidP="00184A8E">
      <w:pPr>
        <w:autoSpaceDE w:val="0"/>
        <w:autoSpaceDN w:val="0"/>
        <w:adjustRightInd w:val="0"/>
        <w:spacing w:after="0" w:line="240" w:lineRule="auto"/>
        <w:jc w:val="both"/>
        <w:rPr>
          <w:rFonts w:ascii="Arial" w:eastAsia="Calibri" w:hAnsi="Arial" w:cs="Arial"/>
          <w:sz w:val="20"/>
          <w:szCs w:val="20"/>
          <w:lang w:eastAsia="en-US"/>
        </w:rPr>
      </w:pPr>
    </w:p>
    <w:p w14:paraId="4AF87D78" w14:textId="16C5CED8" w:rsidR="000E20EC" w:rsidRDefault="000E20EC" w:rsidP="00184A8E">
      <w:pPr>
        <w:autoSpaceDE w:val="0"/>
        <w:autoSpaceDN w:val="0"/>
        <w:adjustRightInd w:val="0"/>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Rashodi u 202</w:t>
      </w:r>
      <w:r w:rsidR="008F05EB">
        <w:rPr>
          <w:rFonts w:ascii="Arial" w:eastAsia="Calibri" w:hAnsi="Arial" w:cs="Arial"/>
          <w:sz w:val="20"/>
          <w:szCs w:val="20"/>
          <w:lang w:eastAsia="en-US"/>
        </w:rPr>
        <w:t>5</w:t>
      </w:r>
      <w:r>
        <w:rPr>
          <w:rFonts w:ascii="Arial" w:eastAsia="Calibri" w:hAnsi="Arial" w:cs="Arial"/>
          <w:sz w:val="20"/>
          <w:szCs w:val="20"/>
          <w:lang w:eastAsia="en-US"/>
        </w:rPr>
        <w:t xml:space="preserve">. godini su izvršeni u iznosu </w:t>
      </w:r>
      <w:r w:rsidR="008F05EB">
        <w:rPr>
          <w:rFonts w:ascii="Arial" w:eastAsia="Calibri" w:hAnsi="Arial" w:cs="Arial"/>
          <w:sz w:val="20"/>
          <w:szCs w:val="20"/>
          <w:lang w:eastAsia="en-US"/>
        </w:rPr>
        <w:t>22.787,50 € i odnose se na:</w:t>
      </w:r>
    </w:p>
    <w:p w14:paraId="3A39BF0E" w14:textId="3598C4E8" w:rsidR="008F05EB" w:rsidRDefault="008F05EB" w:rsidP="008F05EB">
      <w:pPr>
        <w:pStyle w:val="Odlomakpopisa"/>
        <w:numPr>
          <w:ilvl w:val="0"/>
          <w:numId w:val="3"/>
        </w:numPr>
        <w:autoSpaceDE w:val="0"/>
        <w:autoSpaceDN w:val="0"/>
        <w:adjustRightInd w:val="0"/>
        <w:rPr>
          <w:rFonts w:ascii="Arial" w:eastAsia="Calibri" w:hAnsi="Arial" w:cs="Arial"/>
        </w:rPr>
      </w:pPr>
      <w:r>
        <w:rPr>
          <w:rFonts w:ascii="Arial" w:eastAsia="Calibri" w:hAnsi="Arial" w:cs="Arial"/>
        </w:rPr>
        <w:t>nabavu i postavljanje ograde u poslovnoj zoni u iznosu 5.000 €,</w:t>
      </w:r>
    </w:p>
    <w:p w14:paraId="2721594E" w14:textId="367E76BF" w:rsidR="008F05EB" w:rsidRPr="008F05EB" w:rsidRDefault="008F05EB" w:rsidP="008F05EB">
      <w:pPr>
        <w:pStyle w:val="Odlomakpopisa"/>
        <w:numPr>
          <w:ilvl w:val="0"/>
          <w:numId w:val="3"/>
        </w:numPr>
        <w:autoSpaceDE w:val="0"/>
        <w:autoSpaceDN w:val="0"/>
        <w:adjustRightInd w:val="0"/>
        <w:rPr>
          <w:rFonts w:ascii="Arial" w:eastAsia="Calibri" w:hAnsi="Arial" w:cs="Arial"/>
        </w:rPr>
      </w:pPr>
      <w:r>
        <w:rPr>
          <w:rFonts w:ascii="Arial" w:eastAsia="Calibri" w:hAnsi="Arial" w:cs="Arial"/>
        </w:rPr>
        <w:t>usluge izrade projektno tehničke dokumentacije i usluge stručnog nad</w:t>
      </w:r>
      <w:r w:rsidR="007240F7">
        <w:rPr>
          <w:rFonts w:ascii="Arial" w:eastAsia="Calibri" w:hAnsi="Arial" w:cs="Arial"/>
        </w:rPr>
        <w:t>z</w:t>
      </w:r>
      <w:r>
        <w:rPr>
          <w:rFonts w:ascii="Arial" w:eastAsia="Calibri" w:hAnsi="Arial" w:cs="Arial"/>
        </w:rPr>
        <w:t>ora za izmještanje VOR-a u poslovnoj zoni 17.787,50 €.</w:t>
      </w:r>
    </w:p>
    <w:p w14:paraId="60E35053" w14:textId="77777777" w:rsidR="000E20EC" w:rsidRPr="00184A8E" w:rsidRDefault="000E20EC" w:rsidP="00184A8E">
      <w:pPr>
        <w:autoSpaceDE w:val="0"/>
        <w:autoSpaceDN w:val="0"/>
        <w:adjustRightInd w:val="0"/>
        <w:spacing w:after="0" w:line="240" w:lineRule="auto"/>
        <w:jc w:val="both"/>
        <w:rPr>
          <w:rFonts w:ascii="Arial" w:eastAsia="Calibri" w:hAnsi="Arial" w:cs="Arial"/>
          <w:sz w:val="20"/>
          <w:szCs w:val="20"/>
          <w:lang w:eastAsia="en-US"/>
        </w:rPr>
      </w:pPr>
    </w:p>
    <w:p w14:paraId="00DAFFF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Ciljevi: </w:t>
      </w:r>
    </w:p>
    <w:p w14:paraId="6C9B934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stvaranje konkretnih preduvjeta za disperziju gospodarske djelatnosti i jačanje otpornosti na krize gospodarstva cijelog urbanog područja.</w:t>
      </w:r>
    </w:p>
    <w:p w14:paraId="276D189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-poboljšanja socio-ekonomske situacije tijekom i nakon provedbe projekta (novih 100 radnih mjesta)</w:t>
      </w:r>
    </w:p>
    <w:p w14:paraId="1F55B83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-povećanja ukupnog prihoda u kratkoročnom trogodišnjem razdoblju za 2%,</w:t>
      </w:r>
    </w:p>
    <w:p w14:paraId="368901E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-disperzija gospodarstva</w:t>
      </w:r>
    </w:p>
    <w:p w14:paraId="4119DDC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-veća otpornost gospodarstva na krize.</w:t>
      </w:r>
    </w:p>
    <w:p w14:paraId="185E926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3256"/>
        <w:gridCol w:w="2981"/>
        <w:gridCol w:w="958"/>
        <w:gridCol w:w="1134"/>
        <w:gridCol w:w="1232"/>
        <w:gridCol w:w="1276"/>
        <w:gridCol w:w="1242"/>
        <w:gridCol w:w="1242"/>
        <w:gridCol w:w="1242"/>
      </w:tblGrid>
      <w:tr w:rsidR="00184A8E" w:rsidRPr="00184A8E" w14:paraId="52815BF8" w14:textId="77777777" w:rsidTr="00410A4B">
        <w:trPr>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F237B91"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298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F485713"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5412EDE"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0AFF8FB"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9EF721A" w14:textId="56870A83"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8F05EB">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1F91CC7" w14:textId="6DE52184"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8F05EB">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CD19CCA" w14:textId="61C7A5B1"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8F05EB">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078C874" w14:textId="19482030"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8F05EB">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4AED72A" w14:textId="61151910"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8F05EB">
              <w:rPr>
                <w:rFonts w:ascii="Arial" w:eastAsia="Calibri" w:hAnsi="Arial" w:cs="Arial"/>
              </w:rPr>
              <w:t>7</w:t>
            </w:r>
            <w:r w:rsidRPr="00184A8E">
              <w:rPr>
                <w:rFonts w:ascii="Arial" w:eastAsia="Calibri" w:hAnsi="Arial" w:cs="Arial"/>
              </w:rPr>
              <w:t>.</w:t>
            </w:r>
          </w:p>
        </w:tc>
      </w:tr>
      <w:tr w:rsidR="008F05EB" w:rsidRPr="00184A8E" w14:paraId="47F3A660" w14:textId="77777777" w:rsidTr="00410A4B">
        <w:trPr>
          <w:trHeight w:val="273"/>
          <w:jc w:val="center"/>
        </w:trPr>
        <w:tc>
          <w:tcPr>
            <w:tcW w:w="3256" w:type="dxa"/>
            <w:tcBorders>
              <w:top w:val="single" w:sz="4" w:space="0" w:color="auto"/>
              <w:left w:val="single" w:sz="4" w:space="0" w:color="auto"/>
              <w:bottom w:val="single" w:sz="4" w:space="0" w:color="auto"/>
              <w:right w:val="single" w:sz="4" w:space="0" w:color="auto"/>
            </w:tcBorders>
            <w:vAlign w:val="center"/>
          </w:tcPr>
          <w:p w14:paraId="47B220A5" w14:textId="77777777" w:rsidR="008F05EB" w:rsidRPr="00184A8E" w:rsidRDefault="008F05EB" w:rsidP="008F05EB">
            <w:pPr>
              <w:rPr>
                <w:rFonts w:ascii="Arial" w:hAnsi="Arial" w:cs="Arial"/>
                <w:sz w:val="14"/>
                <w:szCs w:val="14"/>
              </w:rPr>
            </w:pPr>
            <w:r w:rsidRPr="00184A8E">
              <w:rPr>
                <w:rFonts w:ascii="Arial" w:hAnsi="Arial" w:cs="Arial"/>
                <w:sz w:val="14"/>
                <w:szCs w:val="14"/>
              </w:rPr>
              <w:t>Izmještanje VOR-a (navigacijski uređaj) kao preduvjeta za početak djelovanja unutar buduće poduzetničke zone</w:t>
            </w:r>
          </w:p>
        </w:tc>
        <w:tc>
          <w:tcPr>
            <w:tcW w:w="2981" w:type="dxa"/>
            <w:vAlign w:val="center"/>
          </w:tcPr>
          <w:p w14:paraId="179B34D5" w14:textId="77777777" w:rsidR="008F05EB" w:rsidRPr="00184A8E" w:rsidRDefault="008F05EB" w:rsidP="008F05EB">
            <w:pPr>
              <w:autoSpaceDE w:val="0"/>
              <w:autoSpaceDN w:val="0"/>
              <w:adjustRightInd w:val="0"/>
              <w:rPr>
                <w:rFonts w:ascii="Arial" w:hAnsi="Arial" w:cs="Arial"/>
              </w:rPr>
            </w:pPr>
            <w:r w:rsidRPr="00184A8E">
              <w:rPr>
                <w:rFonts w:ascii="Arial" w:eastAsia="Calibri" w:hAnsi="Arial" w:cs="Arial"/>
              </w:rPr>
              <w:t xml:space="preserve">Premješten VOR-a </w:t>
            </w:r>
          </w:p>
        </w:tc>
        <w:tc>
          <w:tcPr>
            <w:tcW w:w="958" w:type="dxa"/>
            <w:tcBorders>
              <w:top w:val="single" w:sz="4" w:space="0" w:color="auto"/>
              <w:left w:val="single" w:sz="4" w:space="0" w:color="auto"/>
              <w:bottom w:val="single" w:sz="4" w:space="0" w:color="auto"/>
              <w:right w:val="single" w:sz="4" w:space="0" w:color="auto"/>
            </w:tcBorders>
            <w:vAlign w:val="center"/>
          </w:tcPr>
          <w:p w14:paraId="38468F85" w14:textId="77777777" w:rsidR="008F05EB" w:rsidRPr="00184A8E" w:rsidRDefault="008F05EB" w:rsidP="008F05EB">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05FCA761" w14:textId="77777777" w:rsidR="008F05EB" w:rsidRPr="00184A8E" w:rsidRDefault="008F05EB" w:rsidP="008F05EB">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48ADE158" w14:textId="27B4A45F" w:rsidR="008F05EB" w:rsidRPr="00184A8E" w:rsidRDefault="008F05EB" w:rsidP="008F05EB">
            <w:pPr>
              <w:jc w:val="center"/>
              <w:rPr>
                <w:rFonts w:ascii="Arial" w:hAnsi="Arial" w:cs="Arial"/>
              </w:rPr>
            </w:pPr>
            <w:r w:rsidRPr="00184A8E">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1AAD425" w14:textId="77777777" w:rsidR="008F05EB" w:rsidRPr="00184A8E" w:rsidRDefault="008F05EB" w:rsidP="008F05EB">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21996DDA" w14:textId="77777777" w:rsidR="008F05EB" w:rsidRPr="00184A8E" w:rsidRDefault="008F05EB" w:rsidP="008F05EB">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161818F1" w14:textId="77777777" w:rsidR="008F05EB" w:rsidRPr="00184A8E" w:rsidRDefault="008F05EB" w:rsidP="008F05EB">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358199BD" w14:textId="77777777" w:rsidR="008F05EB" w:rsidRPr="00184A8E" w:rsidRDefault="008F05EB" w:rsidP="008F05EB">
            <w:pPr>
              <w:jc w:val="center"/>
              <w:rPr>
                <w:rFonts w:ascii="Arial" w:hAnsi="Arial" w:cs="Arial"/>
              </w:rPr>
            </w:pPr>
            <w:r w:rsidRPr="00184A8E">
              <w:rPr>
                <w:rFonts w:ascii="Arial" w:hAnsi="Arial" w:cs="Arial"/>
              </w:rPr>
              <w:t>0</w:t>
            </w:r>
          </w:p>
        </w:tc>
      </w:tr>
      <w:tr w:rsidR="00DF7664" w:rsidRPr="00184A8E" w14:paraId="7298BD44" w14:textId="77777777" w:rsidTr="00410A4B">
        <w:trPr>
          <w:trHeight w:val="273"/>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428BFC" w14:textId="77777777" w:rsidR="00DF7664" w:rsidRPr="00184A8E" w:rsidRDefault="00DF7664" w:rsidP="00DF7664">
            <w:pPr>
              <w:rPr>
                <w:rFonts w:ascii="Arial" w:hAnsi="Arial" w:cs="Arial"/>
                <w:sz w:val="18"/>
                <w:szCs w:val="18"/>
              </w:rPr>
            </w:pPr>
            <w:r w:rsidRPr="00184A8E">
              <w:rPr>
                <w:rFonts w:ascii="Arial" w:eastAsia="Calibri" w:hAnsi="Arial" w:cs="Arial"/>
                <w:sz w:val="18"/>
                <w:szCs w:val="18"/>
              </w:rPr>
              <w:t>Izrada Masterplana i glavnog projekta razvoja poduzetničke zone</w:t>
            </w:r>
          </w:p>
        </w:tc>
        <w:tc>
          <w:tcPr>
            <w:tcW w:w="2981" w:type="dxa"/>
            <w:vAlign w:val="center"/>
          </w:tcPr>
          <w:p w14:paraId="39013DF4" w14:textId="77777777" w:rsidR="00DF7664" w:rsidRPr="00184A8E" w:rsidRDefault="00DF7664" w:rsidP="00DF7664">
            <w:pPr>
              <w:autoSpaceDE w:val="0"/>
              <w:autoSpaceDN w:val="0"/>
              <w:adjustRightInd w:val="0"/>
              <w:rPr>
                <w:rFonts w:ascii="Arial" w:eastAsia="Calibri" w:hAnsi="Arial" w:cs="Arial"/>
                <w:sz w:val="18"/>
                <w:szCs w:val="18"/>
              </w:rPr>
            </w:pPr>
            <w:r w:rsidRPr="00184A8E">
              <w:rPr>
                <w:rFonts w:ascii="Arial" w:eastAsia="Calibri" w:hAnsi="Arial" w:cs="Arial"/>
                <w:sz w:val="18"/>
                <w:szCs w:val="18"/>
              </w:rPr>
              <w:t>Izrađeni projekti</w:t>
            </w:r>
          </w:p>
        </w:tc>
        <w:tc>
          <w:tcPr>
            <w:tcW w:w="958" w:type="dxa"/>
            <w:tcBorders>
              <w:top w:val="single" w:sz="4" w:space="0" w:color="auto"/>
              <w:left w:val="single" w:sz="4" w:space="0" w:color="auto"/>
              <w:bottom w:val="single" w:sz="4" w:space="0" w:color="auto"/>
              <w:right w:val="single" w:sz="4" w:space="0" w:color="auto"/>
            </w:tcBorders>
            <w:vAlign w:val="center"/>
          </w:tcPr>
          <w:p w14:paraId="7FB299B2" w14:textId="77777777" w:rsidR="00DF7664" w:rsidRPr="00184A8E" w:rsidRDefault="00DF7664" w:rsidP="00DF7664">
            <w:pPr>
              <w:jc w:val="center"/>
              <w:rPr>
                <w:rFonts w:ascii="Arial" w:hAnsi="Arial" w:cs="Arial"/>
                <w:sz w:val="18"/>
                <w:szCs w:val="18"/>
              </w:rPr>
            </w:pPr>
            <w:r w:rsidRPr="00184A8E">
              <w:rPr>
                <w:rFonts w:ascii="Arial" w:hAnsi="Arial" w:cs="Arial"/>
                <w:sz w:val="18"/>
                <w:szCs w:val="18"/>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01BF3CA0" w14:textId="77777777" w:rsidR="00DF7664" w:rsidRPr="00184A8E" w:rsidRDefault="00DF7664" w:rsidP="00DF7664">
            <w:pPr>
              <w:jc w:val="center"/>
              <w:rPr>
                <w:rFonts w:ascii="Arial" w:hAnsi="Arial" w:cs="Arial"/>
                <w:sz w:val="18"/>
                <w:szCs w:val="18"/>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20857C73" w14:textId="5D9FC191" w:rsidR="00DF7664" w:rsidRPr="00184A8E" w:rsidRDefault="00DF7664" w:rsidP="00DF7664">
            <w:pPr>
              <w:jc w:val="center"/>
              <w:rPr>
                <w:rFonts w:ascii="Arial" w:hAnsi="Arial" w:cs="Arial"/>
                <w:sz w:val="18"/>
                <w:szCs w:val="18"/>
              </w:rPr>
            </w:pPr>
            <w:r w:rsidRPr="00184A8E">
              <w:rPr>
                <w:rFonts w:ascii="Arial" w:hAnsi="Arial" w:cs="Arial"/>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3C0415B5" w14:textId="54EA32A7" w:rsidR="00DF7664" w:rsidRPr="00184A8E" w:rsidRDefault="00DF7664" w:rsidP="00DF7664">
            <w:pPr>
              <w:jc w:val="center"/>
              <w:rPr>
                <w:rFonts w:ascii="Arial" w:hAnsi="Arial" w:cs="Arial"/>
                <w:sz w:val="18"/>
                <w:szCs w:val="18"/>
              </w:rPr>
            </w:pPr>
            <w:r w:rsidRPr="008F05EB">
              <w:rPr>
                <w:rFonts w:ascii="Arial" w:hAnsi="Arial" w:cs="Arial"/>
                <w:sz w:val="18"/>
                <w:szCs w:val="18"/>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3C187A4" w14:textId="77777777" w:rsidR="00DF7664" w:rsidRPr="00184A8E" w:rsidRDefault="00DF7664" w:rsidP="00DF7664">
            <w:pPr>
              <w:jc w:val="center"/>
              <w:rPr>
                <w:rFonts w:ascii="Arial" w:hAnsi="Arial" w:cs="Arial"/>
                <w:sz w:val="18"/>
                <w:szCs w:val="18"/>
              </w:rPr>
            </w:pPr>
            <w:r w:rsidRPr="00184A8E">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327D4B9C" w14:textId="77777777" w:rsidR="00DF7664" w:rsidRPr="00184A8E" w:rsidRDefault="00DF7664" w:rsidP="00DF7664">
            <w:pPr>
              <w:jc w:val="center"/>
              <w:rPr>
                <w:rFonts w:ascii="Arial" w:hAnsi="Arial" w:cs="Arial"/>
                <w:sz w:val="18"/>
                <w:szCs w:val="18"/>
              </w:rPr>
            </w:pPr>
            <w:r w:rsidRPr="00184A8E">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0BCA7FE2" w14:textId="77777777" w:rsidR="00DF7664" w:rsidRPr="00184A8E" w:rsidRDefault="00DF7664" w:rsidP="00DF7664">
            <w:pPr>
              <w:jc w:val="center"/>
              <w:rPr>
                <w:rFonts w:ascii="Arial" w:hAnsi="Arial" w:cs="Arial"/>
                <w:sz w:val="18"/>
                <w:szCs w:val="18"/>
              </w:rPr>
            </w:pPr>
            <w:r w:rsidRPr="00184A8E">
              <w:rPr>
                <w:rFonts w:ascii="Arial" w:hAnsi="Arial" w:cs="Arial"/>
                <w:sz w:val="18"/>
                <w:szCs w:val="18"/>
              </w:rPr>
              <w:t>0</w:t>
            </w:r>
          </w:p>
        </w:tc>
      </w:tr>
      <w:tr w:rsidR="00DF7664" w:rsidRPr="00184A8E" w14:paraId="4BFE7025" w14:textId="77777777" w:rsidTr="00410A4B">
        <w:trPr>
          <w:trHeight w:val="273"/>
          <w:jc w:val="center"/>
        </w:trPr>
        <w:tc>
          <w:tcPr>
            <w:tcW w:w="3256" w:type="dxa"/>
            <w:tcBorders>
              <w:top w:val="single" w:sz="4" w:space="0" w:color="auto"/>
              <w:left w:val="single" w:sz="4" w:space="0" w:color="auto"/>
              <w:bottom w:val="single" w:sz="4" w:space="0" w:color="auto"/>
              <w:right w:val="single" w:sz="4" w:space="0" w:color="auto"/>
            </w:tcBorders>
            <w:vAlign w:val="center"/>
          </w:tcPr>
          <w:p w14:paraId="68A1D46F" w14:textId="77777777" w:rsidR="00DF7664" w:rsidRPr="00184A8E" w:rsidRDefault="00DF7664" w:rsidP="00DF7664">
            <w:pPr>
              <w:rPr>
                <w:rFonts w:ascii="Arial" w:eastAsia="Calibri" w:hAnsi="Arial" w:cs="Arial"/>
                <w:sz w:val="18"/>
                <w:szCs w:val="18"/>
              </w:rPr>
            </w:pPr>
            <w:r w:rsidRPr="00184A8E">
              <w:rPr>
                <w:rFonts w:ascii="Arial" w:eastAsia="Calibri" w:hAnsi="Arial" w:cs="Arial"/>
                <w:sz w:val="18"/>
                <w:szCs w:val="18"/>
              </w:rPr>
              <w:t>Realizacija potrebne infrastrukture (prometnice u okviru zone, vodoopskrbni i kanalizacijski sustav, sustav električne energije)</w:t>
            </w:r>
          </w:p>
        </w:tc>
        <w:tc>
          <w:tcPr>
            <w:tcW w:w="2981" w:type="dxa"/>
            <w:vAlign w:val="center"/>
          </w:tcPr>
          <w:p w14:paraId="235F948C" w14:textId="77777777" w:rsidR="00DF7664" w:rsidRPr="00184A8E" w:rsidRDefault="00DF7664" w:rsidP="00DF7664">
            <w:pPr>
              <w:autoSpaceDE w:val="0"/>
              <w:autoSpaceDN w:val="0"/>
              <w:adjustRightInd w:val="0"/>
              <w:rPr>
                <w:rFonts w:ascii="Arial" w:eastAsia="Calibri" w:hAnsi="Arial" w:cs="Arial"/>
                <w:sz w:val="18"/>
                <w:szCs w:val="18"/>
              </w:rPr>
            </w:pPr>
            <w:r w:rsidRPr="00184A8E">
              <w:rPr>
                <w:rFonts w:ascii="Arial" w:eastAsia="Calibri" w:hAnsi="Arial" w:cs="Arial"/>
                <w:sz w:val="18"/>
                <w:szCs w:val="18"/>
              </w:rPr>
              <w:t>Postotak obavljenih radova izgradnje infrastrukture</w:t>
            </w:r>
          </w:p>
        </w:tc>
        <w:tc>
          <w:tcPr>
            <w:tcW w:w="958" w:type="dxa"/>
            <w:tcBorders>
              <w:top w:val="single" w:sz="4" w:space="0" w:color="auto"/>
              <w:left w:val="single" w:sz="4" w:space="0" w:color="auto"/>
              <w:bottom w:val="single" w:sz="4" w:space="0" w:color="auto"/>
              <w:right w:val="single" w:sz="4" w:space="0" w:color="auto"/>
            </w:tcBorders>
            <w:vAlign w:val="center"/>
          </w:tcPr>
          <w:p w14:paraId="24D279C1" w14:textId="77777777" w:rsidR="00DF7664" w:rsidRPr="00184A8E" w:rsidRDefault="00DF7664" w:rsidP="00DF7664">
            <w:pPr>
              <w:jc w:val="center"/>
              <w:rPr>
                <w:rFonts w:ascii="Arial" w:hAnsi="Arial" w:cs="Arial"/>
                <w:sz w:val="18"/>
                <w:szCs w:val="18"/>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3995B21D" w14:textId="77777777" w:rsidR="00DF7664" w:rsidRPr="00184A8E" w:rsidRDefault="00DF7664" w:rsidP="00DF7664">
            <w:pPr>
              <w:jc w:val="center"/>
              <w:rPr>
                <w:rFonts w:ascii="Arial" w:hAnsi="Arial" w:cs="Arial"/>
                <w:sz w:val="18"/>
                <w:szCs w:val="18"/>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3EDEC393" w14:textId="072A844F" w:rsidR="00DF7664" w:rsidRPr="00184A8E" w:rsidRDefault="00DF7664" w:rsidP="00DF7664">
            <w:pPr>
              <w:jc w:val="center"/>
              <w:rPr>
                <w:rFonts w:ascii="Arial" w:hAnsi="Arial" w:cs="Arial"/>
                <w:sz w:val="18"/>
                <w:szCs w:val="18"/>
              </w:rPr>
            </w:pPr>
            <w:r>
              <w:rPr>
                <w:rFonts w:ascii="Arial" w:hAnsi="Arial" w:cs="Arial"/>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0301AB5C" w14:textId="7B5207D7" w:rsidR="00DF7664" w:rsidRPr="00184A8E" w:rsidRDefault="00DF7664" w:rsidP="00DF7664">
            <w:pPr>
              <w:jc w:val="center"/>
              <w:rPr>
                <w:rFonts w:ascii="Arial" w:hAnsi="Arial" w:cs="Arial"/>
                <w:sz w:val="18"/>
                <w:szCs w:val="18"/>
              </w:rPr>
            </w:pPr>
            <w:r w:rsidRPr="008F05EB">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72178A70" w14:textId="77777777" w:rsidR="00DF7664" w:rsidRPr="00184A8E" w:rsidRDefault="00DF7664" w:rsidP="00DF7664">
            <w:pPr>
              <w:jc w:val="center"/>
              <w:rPr>
                <w:rFonts w:ascii="Arial" w:hAnsi="Arial" w:cs="Arial"/>
                <w:sz w:val="18"/>
                <w:szCs w:val="18"/>
              </w:rPr>
            </w:pPr>
            <w:r w:rsidRPr="00184A8E">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0C26D65E" w14:textId="77777777" w:rsidR="00DF7664" w:rsidRPr="00184A8E" w:rsidRDefault="00DF7664" w:rsidP="00DF7664">
            <w:pPr>
              <w:jc w:val="center"/>
              <w:rPr>
                <w:rFonts w:ascii="Arial" w:hAnsi="Arial" w:cs="Arial"/>
                <w:sz w:val="18"/>
                <w:szCs w:val="18"/>
              </w:rPr>
            </w:pPr>
            <w:r w:rsidRPr="00184A8E">
              <w:rPr>
                <w:rFonts w:ascii="Arial" w:hAnsi="Arial" w:cs="Arial"/>
                <w:sz w:val="18"/>
                <w:szCs w:val="18"/>
              </w:rPr>
              <w:t>50%</w:t>
            </w:r>
          </w:p>
        </w:tc>
        <w:tc>
          <w:tcPr>
            <w:tcW w:w="1242" w:type="dxa"/>
            <w:tcBorders>
              <w:top w:val="single" w:sz="4" w:space="0" w:color="000000"/>
              <w:left w:val="single" w:sz="4" w:space="0" w:color="000000"/>
              <w:bottom w:val="single" w:sz="4" w:space="0" w:color="000000"/>
              <w:right w:val="single" w:sz="4" w:space="0" w:color="000000"/>
            </w:tcBorders>
            <w:vAlign w:val="center"/>
          </w:tcPr>
          <w:p w14:paraId="48FA78F0" w14:textId="77777777" w:rsidR="00DF7664" w:rsidRPr="00184A8E" w:rsidRDefault="00DF7664" w:rsidP="00DF7664">
            <w:pPr>
              <w:jc w:val="center"/>
              <w:rPr>
                <w:rFonts w:ascii="Arial" w:hAnsi="Arial" w:cs="Arial"/>
                <w:sz w:val="18"/>
                <w:szCs w:val="18"/>
              </w:rPr>
            </w:pPr>
            <w:r w:rsidRPr="00184A8E">
              <w:rPr>
                <w:rFonts w:ascii="Arial" w:hAnsi="Arial" w:cs="Arial"/>
                <w:sz w:val="18"/>
                <w:szCs w:val="18"/>
              </w:rPr>
              <w:t>100%</w:t>
            </w:r>
          </w:p>
        </w:tc>
      </w:tr>
      <w:tr w:rsidR="00DF7664" w:rsidRPr="00184A8E" w14:paraId="6EE40B4A" w14:textId="77777777" w:rsidTr="00410A4B">
        <w:trPr>
          <w:trHeight w:val="273"/>
          <w:jc w:val="center"/>
        </w:trPr>
        <w:tc>
          <w:tcPr>
            <w:tcW w:w="3256" w:type="dxa"/>
            <w:tcBorders>
              <w:top w:val="single" w:sz="4" w:space="0" w:color="auto"/>
              <w:left w:val="single" w:sz="4" w:space="0" w:color="auto"/>
              <w:bottom w:val="single" w:sz="4" w:space="0" w:color="auto"/>
              <w:right w:val="single" w:sz="4" w:space="0" w:color="auto"/>
            </w:tcBorders>
            <w:vAlign w:val="center"/>
          </w:tcPr>
          <w:p w14:paraId="7B2116ED" w14:textId="77777777" w:rsidR="00DF7664" w:rsidRPr="00184A8E" w:rsidRDefault="00DF7664" w:rsidP="00DF7664">
            <w:pPr>
              <w:rPr>
                <w:rFonts w:ascii="Arial" w:eastAsia="Calibri" w:hAnsi="Arial" w:cs="Arial"/>
                <w:sz w:val="18"/>
                <w:szCs w:val="18"/>
              </w:rPr>
            </w:pPr>
            <w:r w:rsidRPr="00184A8E">
              <w:rPr>
                <w:rFonts w:ascii="Arial" w:eastAsia="Calibri" w:hAnsi="Arial" w:cs="Arial"/>
                <w:sz w:val="18"/>
                <w:szCs w:val="18"/>
              </w:rPr>
              <w:t>Izrada projektno tehničke dokumentacije i izgradnja poduzetničkog inkubatora</w:t>
            </w:r>
          </w:p>
        </w:tc>
        <w:tc>
          <w:tcPr>
            <w:tcW w:w="2981" w:type="dxa"/>
            <w:vAlign w:val="center"/>
          </w:tcPr>
          <w:p w14:paraId="3F7979FC" w14:textId="77777777" w:rsidR="00DF7664" w:rsidRPr="00184A8E" w:rsidRDefault="00DF7664" w:rsidP="00DF7664">
            <w:pPr>
              <w:autoSpaceDE w:val="0"/>
              <w:autoSpaceDN w:val="0"/>
              <w:adjustRightInd w:val="0"/>
              <w:rPr>
                <w:rFonts w:ascii="Arial" w:eastAsia="Calibri" w:hAnsi="Arial" w:cs="Arial"/>
                <w:sz w:val="18"/>
                <w:szCs w:val="18"/>
              </w:rPr>
            </w:pPr>
            <w:r w:rsidRPr="00184A8E">
              <w:rPr>
                <w:rFonts w:ascii="Arial" w:eastAsia="Calibri" w:hAnsi="Arial" w:cs="Arial"/>
                <w:sz w:val="18"/>
                <w:szCs w:val="18"/>
              </w:rPr>
              <w:t>Postotak izrađenosti projektne dokumentacije</w:t>
            </w:r>
          </w:p>
        </w:tc>
        <w:tc>
          <w:tcPr>
            <w:tcW w:w="958" w:type="dxa"/>
            <w:tcBorders>
              <w:top w:val="single" w:sz="4" w:space="0" w:color="auto"/>
              <w:left w:val="single" w:sz="4" w:space="0" w:color="auto"/>
              <w:bottom w:val="single" w:sz="4" w:space="0" w:color="auto"/>
              <w:right w:val="single" w:sz="4" w:space="0" w:color="auto"/>
            </w:tcBorders>
            <w:vAlign w:val="center"/>
          </w:tcPr>
          <w:p w14:paraId="32498400" w14:textId="77777777" w:rsidR="00DF7664" w:rsidRPr="00184A8E" w:rsidRDefault="00DF7664" w:rsidP="00DF7664">
            <w:pPr>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959CA78" w14:textId="77777777" w:rsidR="00DF7664" w:rsidRPr="00184A8E" w:rsidRDefault="00DF7664" w:rsidP="00DF7664">
            <w:pPr>
              <w:jc w:val="center"/>
              <w:rPr>
                <w:rFonts w:ascii="Arial" w:hAnsi="Arial" w:cs="Arial"/>
                <w:sz w:val="18"/>
                <w:szCs w:val="18"/>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14B9289A" w14:textId="21C8FFC5" w:rsidR="00DF7664" w:rsidRPr="00184A8E" w:rsidRDefault="00DF7664" w:rsidP="00DF7664">
            <w:pPr>
              <w:jc w:val="center"/>
              <w:rPr>
                <w:rFonts w:ascii="Arial" w:hAnsi="Arial" w:cs="Arial"/>
                <w:sz w:val="18"/>
                <w:szCs w:val="18"/>
              </w:rPr>
            </w:pPr>
            <w:r w:rsidRPr="00184A8E">
              <w:rPr>
                <w:rFonts w:ascii="Arial" w:hAnsi="Arial" w:cs="Arial"/>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1E57489B" w14:textId="49CD9D73" w:rsidR="00DF7664" w:rsidRPr="00184A8E" w:rsidRDefault="00DF7664" w:rsidP="00DF7664">
            <w:pPr>
              <w:jc w:val="center"/>
              <w:rPr>
                <w:rFonts w:ascii="Arial" w:hAnsi="Arial" w:cs="Arial"/>
                <w:sz w:val="18"/>
                <w:szCs w:val="18"/>
              </w:rPr>
            </w:pPr>
            <w:r w:rsidRPr="008F05EB">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15891FAE" w14:textId="77777777" w:rsidR="00DF7664" w:rsidRPr="00184A8E" w:rsidRDefault="00DF7664" w:rsidP="00DF7664">
            <w:pPr>
              <w:jc w:val="center"/>
              <w:rPr>
                <w:rFonts w:ascii="Arial" w:hAnsi="Arial" w:cs="Arial"/>
                <w:sz w:val="18"/>
                <w:szCs w:val="18"/>
              </w:rPr>
            </w:pPr>
            <w:r w:rsidRPr="00184A8E">
              <w:rPr>
                <w:rFonts w:ascii="Arial" w:hAnsi="Arial" w:cs="Arial"/>
                <w:sz w:val="18"/>
                <w:szCs w:val="18"/>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4891009F" w14:textId="77777777" w:rsidR="00DF7664" w:rsidRPr="00184A8E" w:rsidRDefault="00DF7664" w:rsidP="00DF7664">
            <w:pPr>
              <w:jc w:val="center"/>
              <w:rPr>
                <w:rFonts w:ascii="Arial" w:hAnsi="Arial" w:cs="Arial"/>
                <w:sz w:val="18"/>
                <w:szCs w:val="18"/>
              </w:rPr>
            </w:pPr>
            <w:r w:rsidRPr="00184A8E">
              <w:rPr>
                <w:rFonts w:ascii="Arial" w:hAnsi="Arial" w:cs="Arial"/>
                <w:sz w:val="18"/>
                <w:szCs w:val="18"/>
              </w:rPr>
              <w:t>20%</w:t>
            </w:r>
          </w:p>
        </w:tc>
        <w:tc>
          <w:tcPr>
            <w:tcW w:w="1242" w:type="dxa"/>
            <w:tcBorders>
              <w:top w:val="single" w:sz="4" w:space="0" w:color="000000"/>
              <w:left w:val="single" w:sz="4" w:space="0" w:color="000000"/>
              <w:bottom w:val="single" w:sz="4" w:space="0" w:color="000000"/>
              <w:right w:val="single" w:sz="4" w:space="0" w:color="000000"/>
            </w:tcBorders>
            <w:vAlign w:val="center"/>
          </w:tcPr>
          <w:p w14:paraId="7DD1A641" w14:textId="77777777" w:rsidR="00DF7664" w:rsidRPr="00184A8E" w:rsidRDefault="00DF7664" w:rsidP="00DF7664">
            <w:pPr>
              <w:jc w:val="center"/>
              <w:rPr>
                <w:rFonts w:ascii="Arial" w:hAnsi="Arial" w:cs="Arial"/>
                <w:sz w:val="18"/>
                <w:szCs w:val="18"/>
              </w:rPr>
            </w:pPr>
            <w:r w:rsidRPr="00184A8E">
              <w:rPr>
                <w:rFonts w:ascii="Arial" w:hAnsi="Arial" w:cs="Arial"/>
                <w:sz w:val="18"/>
                <w:szCs w:val="18"/>
              </w:rPr>
              <w:t>100%</w:t>
            </w:r>
          </w:p>
        </w:tc>
      </w:tr>
    </w:tbl>
    <w:p w14:paraId="3D920381" w14:textId="77777777" w:rsidR="00184A8E" w:rsidRDefault="00184A8E" w:rsidP="00184A8E">
      <w:pPr>
        <w:autoSpaceDE w:val="0"/>
        <w:autoSpaceDN w:val="0"/>
        <w:adjustRightInd w:val="0"/>
        <w:spacing w:after="0" w:line="240" w:lineRule="auto"/>
        <w:rPr>
          <w:rFonts w:ascii="Arial" w:eastAsia="Calibri" w:hAnsi="Arial" w:cs="Arial"/>
          <w:sz w:val="20"/>
          <w:szCs w:val="20"/>
        </w:rPr>
      </w:pPr>
    </w:p>
    <w:p w14:paraId="001D69E7" w14:textId="77777777" w:rsidR="00DF7664" w:rsidRPr="00EC270F" w:rsidRDefault="00DF7664" w:rsidP="00DF7664">
      <w:pPr>
        <w:spacing w:after="0" w:line="240" w:lineRule="auto"/>
        <w:rPr>
          <w:rFonts w:ascii="Arial" w:eastAsia="Calibri" w:hAnsi="Arial" w:cs="Arial"/>
        </w:rPr>
      </w:pPr>
    </w:p>
    <w:p w14:paraId="03746FA7" w14:textId="0D773459" w:rsidR="00DF7664" w:rsidRPr="00DF7664" w:rsidRDefault="00DF7664" w:rsidP="00DF7664">
      <w:pPr>
        <w:autoSpaceDE w:val="0"/>
        <w:autoSpaceDN w:val="0"/>
        <w:adjustRightInd w:val="0"/>
        <w:spacing w:after="0" w:line="240" w:lineRule="auto"/>
        <w:jc w:val="both"/>
        <w:rPr>
          <w:rFonts w:ascii="Arial" w:eastAsia="Calibri" w:hAnsi="Arial" w:cs="Arial"/>
          <w:sz w:val="20"/>
          <w:szCs w:val="20"/>
        </w:rPr>
      </w:pPr>
      <w:r w:rsidRPr="00DF7664">
        <w:rPr>
          <w:rFonts w:ascii="Arial" w:eastAsia="Calibri" w:hAnsi="Arial" w:cs="Arial"/>
          <w:b/>
          <w:sz w:val="20"/>
          <w:szCs w:val="20"/>
        </w:rPr>
        <w:lastRenderedPageBreak/>
        <w:t xml:space="preserve">8. T210509: Osiguravanje preduvjeta za provedbu strateškog projekta „Marina &amp; resort“ </w:t>
      </w:r>
      <w:r w:rsidRPr="00DF7664">
        <w:rPr>
          <w:rFonts w:ascii="Arial" w:eastAsia="Calibri" w:hAnsi="Arial" w:cs="Arial"/>
          <w:sz w:val="20"/>
          <w:szCs w:val="20"/>
        </w:rPr>
        <w:t xml:space="preserve">- Za provođenje projekta planirana su proračunska sredstva u iznosu </w:t>
      </w:r>
      <w:r>
        <w:rPr>
          <w:rFonts w:ascii="Arial" w:eastAsia="Calibri" w:hAnsi="Arial" w:cs="Arial"/>
          <w:sz w:val="20"/>
          <w:szCs w:val="20"/>
        </w:rPr>
        <w:t>15</w:t>
      </w:r>
      <w:r w:rsidRPr="00DF7664">
        <w:rPr>
          <w:rFonts w:ascii="Arial" w:eastAsia="Calibri" w:hAnsi="Arial" w:cs="Arial"/>
          <w:sz w:val="20"/>
          <w:szCs w:val="20"/>
        </w:rPr>
        <w:t>.000 € i odnose se na usluge koje bude trebalo izvršavati u postupcima ugovaranja izrade potrebne dokumentacije, nužne za provedbu ovog projekta.</w:t>
      </w:r>
      <w:r>
        <w:rPr>
          <w:rFonts w:ascii="Arial" w:eastAsia="Calibri" w:hAnsi="Arial" w:cs="Arial"/>
          <w:sz w:val="20"/>
          <w:szCs w:val="20"/>
        </w:rPr>
        <w:t xml:space="preserve"> Rashodi nisu izvršeni u okviru ovog projekta (za ovaj projekt su izvršavani rashodi u okviru </w:t>
      </w:r>
      <w:r w:rsidR="00740F84">
        <w:rPr>
          <w:rFonts w:ascii="Arial" w:eastAsia="Calibri" w:hAnsi="Arial" w:cs="Arial"/>
          <w:sz w:val="20"/>
          <w:szCs w:val="20"/>
        </w:rPr>
        <w:t>izrade prostorno planske dokumentacije).</w:t>
      </w:r>
    </w:p>
    <w:p w14:paraId="256C9AEA" w14:textId="77777777" w:rsidR="008F05EB" w:rsidRPr="00184A8E" w:rsidRDefault="008F05EB" w:rsidP="00184A8E">
      <w:pPr>
        <w:autoSpaceDE w:val="0"/>
        <w:autoSpaceDN w:val="0"/>
        <w:adjustRightInd w:val="0"/>
        <w:spacing w:after="0" w:line="240" w:lineRule="auto"/>
        <w:rPr>
          <w:rFonts w:ascii="Arial" w:eastAsia="Calibri" w:hAnsi="Arial" w:cs="Arial"/>
          <w:sz w:val="20"/>
          <w:szCs w:val="20"/>
        </w:rPr>
      </w:pPr>
    </w:p>
    <w:p w14:paraId="259D3BD0" w14:textId="052274AA"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Sredstvima planiranim i utrošenim u okviru ovog programa ostvaruje se zadani Cilj programa.</w:t>
      </w:r>
    </w:p>
    <w:p w14:paraId="1C0C6D23" w14:textId="77777777" w:rsidR="00184A8E" w:rsidRPr="00184A8E" w:rsidRDefault="00184A8E" w:rsidP="00184A8E">
      <w:pPr>
        <w:spacing w:after="0" w:line="240" w:lineRule="auto"/>
        <w:rPr>
          <w:rFonts w:ascii="Arial" w:eastAsia="Calibri" w:hAnsi="Arial" w:cs="Arial"/>
          <w:sz w:val="20"/>
          <w:szCs w:val="20"/>
        </w:rPr>
      </w:pPr>
    </w:p>
    <w:p w14:paraId="23C391A3" w14:textId="77777777" w:rsidR="00184A8E" w:rsidRPr="00184A8E" w:rsidRDefault="00184A8E" w:rsidP="00184A8E">
      <w:pPr>
        <w:rPr>
          <w:rFonts w:ascii="Arial" w:eastAsia="Calibri" w:hAnsi="Arial" w:cs="Arial"/>
          <w:sz w:val="20"/>
          <w:szCs w:val="20"/>
        </w:rPr>
      </w:pPr>
      <w:r w:rsidRPr="00184A8E">
        <w:rPr>
          <w:rFonts w:ascii="Arial" w:eastAsia="Calibri" w:hAnsi="Arial" w:cs="Arial"/>
          <w:sz w:val="20"/>
          <w:szCs w:val="20"/>
        </w:rPr>
        <w:br w:type="page"/>
      </w:r>
    </w:p>
    <w:p w14:paraId="20B6DD5A"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602" w:name="_Toc469298566"/>
      <w:bookmarkStart w:id="603" w:name="_Toc200628538"/>
      <w:bookmarkStart w:id="604" w:name="_Toc232981470"/>
      <w:bookmarkEnd w:id="479"/>
      <w:r w:rsidRPr="00184A8E">
        <w:rPr>
          <w:rFonts w:ascii="Times New Roman" w:eastAsia="Calibri" w:hAnsi="Times New Roman" w:cs="Times New Roman"/>
          <w:b/>
          <w:sz w:val="24"/>
          <w:szCs w:val="20"/>
          <w:lang w:eastAsia="en-US"/>
        </w:rPr>
        <w:lastRenderedPageBreak/>
        <w:t>Program (2106): Izgradnja i uređenje objekata javne namjene – pomorsko dobro</w:t>
      </w:r>
      <w:bookmarkEnd w:id="602"/>
      <w:bookmarkEnd w:id="603"/>
      <w:bookmarkEnd w:id="604"/>
    </w:p>
    <w:p w14:paraId="225695F2"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5"/>
        <w:gridCol w:w="12870"/>
      </w:tblGrid>
      <w:tr w:rsidR="00184A8E" w:rsidRPr="00184A8E" w14:paraId="4073DD2F" w14:textId="77777777" w:rsidTr="00410A4B">
        <w:tc>
          <w:tcPr>
            <w:tcW w:w="1555" w:type="dxa"/>
          </w:tcPr>
          <w:p w14:paraId="6EC32CF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870" w:type="dxa"/>
          </w:tcPr>
          <w:p w14:paraId="50A2026F"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Ovaj program obuhvaća djelatnosti i poslove koji se odnose na upravljanje općinskom imovinom pažnjom dobrog gospodara, održavanje i očuvanje prostora u vlasništvu Općine, kao i upravljanje imovinom koja je na području Općine, a koju Općina na temelju drugih zakonskim propisa ima obvezu uređivati. </w:t>
            </w:r>
          </w:p>
          <w:p w14:paraId="72444765"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 okviru ovog programa provoditi će se održavanje pomorskog dobra kojim se podrazumijeva unaprjeđenje, sanacije, zaštita pomorskog dobra te postava i skidanje psiholoških brana, info ploča, tuševa prije i nakon turističke sezone te hitne sanacije na pomorskom dobru. Kapitalni projekti uređenja plaža iskazuju se kroz Program gradnje komunalne infrastrukture.</w:t>
            </w:r>
          </w:p>
        </w:tc>
      </w:tr>
      <w:tr w:rsidR="00184A8E" w:rsidRPr="00184A8E" w14:paraId="1A90EBDC" w14:textId="77777777" w:rsidTr="00410A4B">
        <w:tc>
          <w:tcPr>
            <w:tcW w:w="1555" w:type="dxa"/>
          </w:tcPr>
          <w:p w14:paraId="37F938B4" w14:textId="77777777" w:rsidR="00184A8E" w:rsidRPr="00184A8E" w:rsidRDefault="00184A8E" w:rsidP="00184A8E">
            <w:pPr>
              <w:spacing w:after="0" w:line="240" w:lineRule="auto"/>
              <w:rPr>
                <w:rFonts w:ascii="Arial" w:eastAsia="Calibri" w:hAnsi="Arial" w:cs="Arial"/>
                <w:sz w:val="16"/>
                <w:szCs w:val="16"/>
                <w:lang w:eastAsia="en-US"/>
              </w:rPr>
            </w:pPr>
            <w:r w:rsidRPr="00184A8E">
              <w:rPr>
                <w:rFonts w:ascii="Arial" w:eastAsia="Calibri" w:hAnsi="Arial" w:cs="Arial"/>
                <w:sz w:val="16"/>
                <w:szCs w:val="16"/>
                <w:lang w:eastAsia="en-US"/>
              </w:rPr>
              <w:t>ZAKONSKE I DRUGE PRAVNE OSNOVE PROGRAMA</w:t>
            </w:r>
          </w:p>
        </w:tc>
        <w:tc>
          <w:tcPr>
            <w:tcW w:w="12870" w:type="dxa"/>
          </w:tcPr>
          <w:p w14:paraId="6F01290E"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Zakon o lokalnoj i područnoj (regionalnoj) samoupravi (NN 33/01,60/01,129/05, 109/07,125/08, 36/09, 150/11, 144/12, 19/13, 137/15, 123/17, 98/19, 144/20), Zakon o pomorskom dobru i morskim lukama (NN 83/23), Uredba o postupku davanja koncesijskog odobrenja na pomorskom dobru (NN 36/04, 63/08, 133/13 i 63/14), Statut Općine i drugi akti</w:t>
            </w:r>
          </w:p>
        </w:tc>
      </w:tr>
      <w:tr w:rsidR="00184A8E" w:rsidRPr="00184A8E" w14:paraId="739B5B0E" w14:textId="77777777" w:rsidTr="00410A4B">
        <w:tc>
          <w:tcPr>
            <w:tcW w:w="1555" w:type="dxa"/>
            <w:tcBorders>
              <w:top w:val="dotted" w:sz="4" w:space="0" w:color="auto"/>
              <w:left w:val="dotted" w:sz="4" w:space="0" w:color="auto"/>
              <w:bottom w:val="dotted" w:sz="4" w:space="0" w:color="auto"/>
              <w:right w:val="dotted" w:sz="4" w:space="0" w:color="auto"/>
            </w:tcBorders>
          </w:tcPr>
          <w:p w14:paraId="44B50E72"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2870" w:type="dxa"/>
            <w:tcBorders>
              <w:top w:val="dotted" w:sz="4" w:space="0" w:color="auto"/>
              <w:left w:val="dotted" w:sz="4" w:space="0" w:color="auto"/>
              <w:bottom w:val="dotted" w:sz="4" w:space="0" w:color="auto"/>
              <w:right w:val="dotted" w:sz="4" w:space="0" w:color="auto"/>
            </w:tcBorders>
          </w:tcPr>
          <w:p w14:paraId="70F7F5BE"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Podizanje kvalitete života i stanovanja</w:t>
            </w:r>
          </w:p>
        </w:tc>
      </w:tr>
      <w:tr w:rsidR="00184A8E" w:rsidRPr="00184A8E" w14:paraId="17C8E425" w14:textId="77777777" w:rsidTr="00410A4B">
        <w:tc>
          <w:tcPr>
            <w:tcW w:w="1555" w:type="dxa"/>
            <w:tcBorders>
              <w:top w:val="dotted" w:sz="4" w:space="0" w:color="auto"/>
              <w:left w:val="dotted" w:sz="4" w:space="0" w:color="auto"/>
              <w:bottom w:val="dotted" w:sz="4" w:space="0" w:color="auto"/>
              <w:right w:val="dotted" w:sz="4" w:space="0" w:color="auto"/>
            </w:tcBorders>
            <w:vAlign w:val="bottom"/>
          </w:tcPr>
          <w:p w14:paraId="2A010A9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2870" w:type="dxa"/>
            <w:tcBorders>
              <w:top w:val="dotted" w:sz="4" w:space="0" w:color="auto"/>
              <w:left w:val="dotted" w:sz="4" w:space="0" w:color="auto"/>
              <w:bottom w:val="dotted" w:sz="4" w:space="0" w:color="auto"/>
              <w:right w:val="dotted" w:sz="4" w:space="0" w:color="auto"/>
            </w:tcBorders>
            <w:vAlign w:val="bottom"/>
          </w:tcPr>
          <w:p w14:paraId="050123D9"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 xml:space="preserve">Svrha programa je osigurati održavanje i očuvanje prostora koje je posredno i neposredno u nadležnosti Općine. Izvođenje radova utvrđivanja granica pomorskog dobra na području Općine. </w:t>
            </w:r>
          </w:p>
        </w:tc>
      </w:tr>
    </w:tbl>
    <w:p w14:paraId="10E52EA5" w14:textId="77777777" w:rsidR="00184A8E" w:rsidRPr="00184A8E" w:rsidRDefault="00184A8E" w:rsidP="00184A8E">
      <w:pPr>
        <w:spacing w:after="0" w:line="240" w:lineRule="auto"/>
        <w:jc w:val="both"/>
        <w:rPr>
          <w:rFonts w:ascii="Arial" w:eastAsia="Calibri" w:hAnsi="Arial" w:cs="Arial"/>
          <w:sz w:val="20"/>
          <w:szCs w:val="20"/>
          <w:lang w:eastAsia="en-US"/>
        </w:rPr>
      </w:pPr>
    </w:p>
    <w:p w14:paraId="433B2331"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4EC1F1EE" w14:textId="77777777" w:rsidR="00184A8E" w:rsidRPr="00184A8E" w:rsidRDefault="00184A8E" w:rsidP="00184A8E">
      <w:pPr>
        <w:spacing w:after="0" w:line="240" w:lineRule="auto"/>
        <w:rPr>
          <w:rFonts w:ascii="Arial" w:eastAsia="Calibri" w:hAnsi="Arial" w:cs="Arial"/>
          <w:sz w:val="20"/>
          <w:szCs w:val="20"/>
        </w:rPr>
      </w:pPr>
    </w:p>
    <w:p w14:paraId="016B1D38" w14:textId="4B79BDCE"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054C9416" w14:textId="57CAD9E2" w:rsidR="00184A8E" w:rsidRPr="00184A8E" w:rsidRDefault="00DF7664" w:rsidP="00184A8E">
      <w:pPr>
        <w:spacing w:after="0" w:line="240" w:lineRule="auto"/>
        <w:rPr>
          <w:rFonts w:ascii="Arial" w:eastAsia="Times New Roman" w:hAnsi="Arial" w:cs="Arial"/>
          <w:color w:val="FF0000"/>
          <w:sz w:val="20"/>
          <w:szCs w:val="20"/>
          <w:lang w:eastAsia="en-US"/>
        </w:rPr>
      </w:pPr>
      <w:r w:rsidRPr="00DF7664">
        <w:rPr>
          <w:noProof/>
        </w:rPr>
        <w:drawing>
          <wp:inline distT="0" distB="0" distL="0" distR="0" wp14:anchorId="54858DC3" wp14:editId="1A22BA9E">
            <wp:extent cx="9251950" cy="1326515"/>
            <wp:effectExtent l="0" t="0" r="6350" b="6985"/>
            <wp:docPr id="1444379632"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9251950" cy="1326515"/>
                    </a:xfrm>
                    <a:prstGeom prst="rect">
                      <a:avLst/>
                    </a:prstGeom>
                    <a:noFill/>
                    <a:ln>
                      <a:noFill/>
                    </a:ln>
                  </pic:spPr>
                </pic:pic>
              </a:graphicData>
            </a:graphic>
          </wp:inline>
        </w:drawing>
      </w:r>
    </w:p>
    <w:p w14:paraId="65D9BFF2" w14:textId="77777777" w:rsidR="00184A8E" w:rsidRPr="00184A8E" w:rsidRDefault="00184A8E" w:rsidP="00184A8E">
      <w:pPr>
        <w:shd w:val="clear" w:color="auto" w:fill="FFFFFF"/>
        <w:spacing w:after="0" w:line="240" w:lineRule="auto"/>
        <w:jc w:val="right"/>
        <w:rPr>
          <w:rFonts w:ascii="Arial" w:eastAsia="Times New Roman" w:hAnsi="Arial" w:cs="Arial"/>
          <w:b/>
          <w:sz w:val="20"/>
          <w:szCs w:val="20"/>
          <w:lang w:eastAsia="en-US"/>
        </w:rPr>
      </w:pPr>
    </w:p>
    <w:p w14:paraId="6DA595D7"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04723B6A"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2D5E10F9"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0CBDF488"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6E5AB13D" w14:textId="77777777"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Izvršenje je manje od očekivanih vrijednosti.</w:t>
      </w:r>
    </w:p>
    <w:p w14:paraId="284E54F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087BC278" w14:textId="77777777" w:rsidR="00740F84" w:rsidRDefault="00740F84" w:rsidP="00184A8E">
      <w:pPr>
        <w:autoSpaceDE w:val="0"/>
        <w:autoSpaceDN w:val="0"/>
        <w:adjustRightInd w:val="0"/>
        <w:spacing w:after="0" w:line="240" w:lineRule="auto"/>
        <w:jc w:val="both"/>
        <w:rPr>
          <w:rFonts w:ascii="Arial" w:eastAsia="Calibri" w:hAnsi="Arial" w:cs="Arial"/>
          <w:sz w:val="20"/>
          <w:szCs w:val="20"/>
          <w:lang w:eastAsia="en-US"/>
        </w:rPr>
      </w:pPr>
      <w:r w:rsidRPr="00740F84">
        <w:rPr>
          <w:rFonts w:ascii="Arial" w:eastAsia="Calibri" w:hAnsi="Arial" w:cs="Arial"/>
          <w:sz w:val="20"/>
          <w:szCs w:val="20"/>
          <w:lang w:eastAsia="en-US"/>
        </w:rPr>
        <w:t xml:space="preserve">Za provođenje programa 2106 su planirana proračunska sredstva za 2025. godinu u iznosu </w:t>
      </w:r>
      <w:r>
        <w:rPr>
          <w:rFonts w:ascii="Arial" w:eastAsia="Calibri" w:hAnsi="Arial" w:cs="Arial"/>
          <w:sz w:val="20"/>
          <w:szCs w:val="20"/>
          <w:lang w:eastAsia="en-US"/>
        </w:rPr>
        <w:t>27.000</w:t>
      </w:r>
      <w:r w:rsidRPr="00740F84">
        <w:rPr>
          <w:rFonts w:ascii="Arial" w:eastAsia="Calibri" w:hAnsi="Arial" w:cs="Arial"/>
          <w:sz w:val="20"/>
          <w:szCs w:val="20"/>
          <w:lang w:eastAsia="en-US"/>
        </w:rPr>
        <w:t xml:space="preserve"> €, a za 2026. i 2027. godinu 27.000 €.</w:t>
      </w:r>
    </w:p>
    <w:p w14:paraId="08417356" w14:textId="662A13F9"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Rashodi za 202</w:t>
      </w:r>
      <w:r w:rsidR="00740F84">
        <w:rPr>
          <w:rFonts w:ascii="Arial" w:eastAsia="Calibri" w:hAnsi="Arial" w:cs="Arial"/>
          <w:sz w:val="20"/>
          <w:szCs w:val="20"/>
          <w:lang w:eastAsia="en-US"/>
        </w:rPr>
        <w:t>5</w:t>
      </w:r>
      <w:r w:rsidRPr="00184A8E">
        <w:rPr>
          <w:rFonts w:ascii="Arial" w:eastAsia="Calibri" w:hAnsi="Arial" w:cs="Arial"/>
          <w:sz w:val="20"/>
          <w:szCs w:val="20"/>
          <w:lang w:eastAsia="en-US"/>
        </w:rPr>
        <w:t>. su izvršeni</w:t>
      </w:r>
      <w:r w:rsidR="00740F84">
        <w:rPr>
          <w:rFonts w:ascii="Arial" w:eastAsia="Calibri" w:hAnsi="Arial" w:cs="Arial"/>
          <w:sz w:val="20"/>
          <w:szCs w:val="20"/>
          <w:lang w:eastAsia="en-US"/>
        </w:rPr>
        <w:t xml:space="preserve"> u iznosu 1.625 €.</w:t>
      </w:r>
    </w:p>
    <w:p w14:paraId="51F25D91" w14:textId="77777777" w:rsidR="00184A8E" w:rsidRPr="00184A8E" w:rsidRDefault="00184A8E" w:rsidP="00184A8E">
      <w:pPr>
        <w:spacing w:after="0" w:line="240" w:lineRule="auto"/>
        <w:jc w:val="both"/>
        <w:rPr>
          <w:rFonts w:ascii="Arial" w:eastAsia="Calibri" w:hAnsi="Arial" w:cs="Arial"/>
          <w:sz w:val="20"/>
          <w:szCs w:val="20"/>
          <w:lang w:eastAsia="en-US"/>
        </w:rPr>
      </w:pPr>
    </w:p>
    <w:p w14:paraId="59FC6DC6" w14:textId="77777777" w:rsidR="00184A8E" w:rsidRPr="00184A8E" w:rsidRDefault="00184A8E" w:rsidP="00184A8E">
      <w:pPr>
        <w:spacing w:after="0" w:line="240" w:lineRule="auto"/>
        <w:jc w:val="both"/>
        <w:rPr>
          <w:rFonts w:ascii="Arial" w:eastAsia="Calibri" w:hAnsi="Arial" w:cs="Arial"/>
          <w:sz w:val="20"/>
          <w:szCs w:val="20"/>
          <w:lang w:eastAsia="en-US"/>
        </w:rPr>
      </w:pPr>
    </w:p>
    <w:p w14:paraId="440C2690"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lastRenderedPageBreak/>
        <w:t>Obrazloženje aktivnosti / projekata i pokazatelji uspješnosti</w:t>
      </w:r>
    </w:p>
    <w:p w14:paraId="21302FCA" w14:textId="77777777" w:rsidR="00184A8E" w:rsidRPr="00184A8E" w:rsidRDefault="00184A8E" w:rsidP="00184A8E">
      <w:pPr>
        <w:spacing w:after="0" w:line="240" w:lineRule="auto"/>
        <w:jc w:val="both"/>
        <w:rPr>
          <w:rFonts w:ascii="Arial" w:eastAsia="Calibri" w:hAnsi="Arial" w:cs="Arial"/>
          <w:sz w:val="20"/>
          <w:szCs w:val="20"/>
          <w:lang w:eastAsia="en-US"/>
        </w:rPr>
      </w:pPr>
    </w:p>
    <w:p w14:paraId="50A62B2E" w14:textId="77777777" w:rsidR="00184A8E" w:rsidRPr="00184A8E" w:rsidRDefault="00184A8E" w:rsidP="00184A8E">
      <w:pPr>
        <w:spacing w:after="0" w:line="240" w:lineRule="auto"/>
        <w:rPr>
          <w:rFonts w:ascii="Arial" w:eastAsia="Calibri" w:hAnsi="Arial" w:cs="Arial"/>
          <w:sz w:val="20"/>
          <w:szCs w:val="20"/>
        </w:rPr>
      </w:pPr>
      <w:r w:rsidRPr="00184A8E">
        <w:rPr>
          <w:rFonts w:ascii="Arial" w:eastAsia="Calibri" w:hAnsi="Arial" w:cs="Arial"/>
          <w:sz w:val="20"/>
          <w:szCs w:val="20"/>
        </w:rPr>
        <w:t>Unutar programa izvode se slijedeće aktivnosti i projekti:</w:t>
      </w:r>
    </w:p>
    <w:p w14:paraId="11D3528A" w14:textId="77777777" w:rsidR="00184A8E" w:rsidRPr="00184A8E" w:rsidRDefault="00184A8E" w:rsidP="00184A8E">
      <w:pPr>
        <w:spacing w:after="0" w:line="240" w:lineRule="auto"/>
        <w:rPr>
          <w:rFonts w:ascii="Arial" w:eastAsia="Calibri" w:hAnsi="Arial" w:cs="Arial"/>
          <w:sz w:val="20"/>
          <w:szCs w:val="20"/>
        </w:rPr>
      </w:pPr>
    </w:p>
    <w:p w14:paraId="73122EE7" w14:textId="228FA6CD"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1. A210602: Utvrđivanje granice pomorskog dobra</w:t>
      </w:r>
      <w:r w:rsidRPr="00184A8E">
        <w:rPr>
          <w:rFonts w:ascii="Arial" w:eastAsia="Calibri" w:hAnsi="Arial" w:cs="Arial"/>
          <w:sz w:val="20"/>
          <w:szCs w:val="20"/>
          <w:lang w:eastAsia="en-US"/>
        </w:rPr>
        <w:t xml:space="preserve"> - Za provođenje programa su planirana proračunska sredstva</w:t>
      </w:r>
      <w:r w:rsidR="00740F84">
        <w:rPr>
          <w:rFonts w:ascii="Arial" w:eastAsia="Calibri" w:hAnsi="Arial" w:cs="Arial"/>
          <w:sz w:val="20"/>
          <w:szCs w:val="20"/>
          <w:lang w:eastAsia="en-US"/>
        </w:rPr>
        <w:t xml:space="preserve"> u iznosu 7.000 €</w:t>
      </w:r>
      <w:r w:rsidRPr="00184A8E">
        <w:rPr>
          <w:rFonts w:ascii="Arial" w:eastAsia="Calibri" w:hAnsi="Arial" w:cs="Arial"/>
          <w:sz w:val="20"/>
          <w:szCs w:val="20"/>
          <w:lang w:eastAsia="en-US"/>
        </w:rPr>
        <w:t>. U okviru ove aktivnosti se planiraju rashodi za usluge geodetskih radova određivanja granice pomorskog dobra (npr. na području Cavtata od hotela Epidaurus prema Čistoj luci, od hotela Epidaurus prema Čistoj luci, te drugim lokacijama).</w:t>
      </w:r>
      <w:r w:rsidRPr="00184A8E">
        <w:rPr>
          <w:rFonts w:ascii="Arial" w:eastAsia="Calibri" w:hAnsi="Arial" w:cs="Arial"/>
          <w:sz w:val="20"/>
          <w:szCs w:val="20"/>
        </w:rPr>
        <w:t xml:space="preserve"> Rashodi su izvršen</w:t>
      </w:r>
      <w:r w:rsidR="00740F84">
        <w:rPr>
          <w:rFonts w:ascii="Arial" w:eastAsia="Calibri" w:hAnsi="Arial" w:cs="Arial"/>
          <w:sz w:val="20"/>
          <w:szCs w:val="20"/>
        </w:rPr>
        <w:t xml:space="preserve">i u iznosu 1.625 € </w:t>
      </w:r>
      <w:r w:rsidR="00740F84" w:rsidRPr="00740F84">
        <w:rPr>
          <w:rFonts w:ascii="Arial" w:eastAsia="Calibri" w:hAnsi="Arial" w:cs="Arial"/>
          <w:sz w:val="20"/>
          <w:szCs w:val="20"/>
        </w:rPr>
        <w:t>€, a odnose se na usluge izrade grafičkih priloga uz plan upravljanja pomorskim dobrom na području Cavtat s Obodom, Molunat i Prevlaka.</w:t>
      </w:r>
    </w:p>
    <w:p w14:paraId="1B9E4BA8"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16835F2E"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2C929B3"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A517E50"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3678513"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56904B6"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8E6C003" w14:textId="796C4BB3"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740F84">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76123B5" w14:textId="2095AF90"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740F84">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4A3B0D1" w14:textId="6F128B3F"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740F84">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6C32881" w14:textId="681CA132"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740F84">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7F5A9E4" w14:textId="7A92AE18"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740F84">
              <w:rPr>
                <w:rFonts w:ascii="Arial" w:eastAsia="Calibri" w:hAnsi="Arial" w:cs="Arial"/>
              </w:rPr>
              <w:t>7</w:t>
            </w:r>
            <w:r w:rsidRPr="00184A8E">
              <w:rPr>
                <w:rFonts w:ascii="Arial" w:eastAsia="Calibri" w:hAnsi="Arial" w:cs="Arial"/>
              </w:rPr>
              <w:t>.</w:t>
            </w:r>
          </w:p>
        </w:tc>
      </w:tr>
      <w:tr w:rsidR="00184A8E" w:rsidRPr="00184A8E" w14:paraId="604D25FC"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48E728E6" w14:textId="77777777" w:rsidR="00184A8E" w:rsidRPr="00184A8E" w:rsidRDefault="00184A8E" w:rsidP="00184A8E">
            <w:pPr>
              <w:rPr>
                <w:rFonts w:ascii="Arial" w:hAnsi="Arial" w:cs="Arial"/>
                <w:sz w:val="16"/>
                <w:szCs w:val="16"/>
              </w:rPr>
            </w:pPr>
            <w:r w:rsidRPr="00184A8E">
              <w:rPr>
                <w:rFonts w:ascii="Arial" w:hAnsi="Arial" w:cs="Arial"/>
                <w:sz w:val="16"/>
                <w:szCs w:val="16"/>
              </w:rPr>
              <w:t>Izvršavanje rashoda za utvrđivanje granice pomorskog dobra</w:t>
            </w:r>
          </w:p>
        </w:tc>
        <w:tc>
          <w:tcPr>
            <w:tcW w:w="3402" w:type="dxa"/>
            <w:vAlign w:val="center"/>
          </w:tcPr>
          <w:p w14:paraId="6718DA71" w14:textId="77777777" w:rsidR="00184A8E" w:rsidRPr="00184A8E" w:rsidRDefault="00184A8E" w:rsidP="00184A8E">
            <w:pPr>
              <w:autoSpaceDE w:val="0"/>
              <w:autoSpaceDN w:val="0"/>
              <w:adjustRightInd w:val="0"/>
              <w:rPr>
                <w:rFonts w:ascii="Arial" w:hAnsi="Arial" w:cs="Arial"/>
              </w:rPr>
            </w:pPr>
            <w:r w:rsidRPr="00184A8E">
              <w:rPr>
                <w:rFonts w:ascii="Arial" w:eastAsia="Calibri" w:hAnsi="Arial" w:cs="Arial"/>
              </w:rPr>
              <w:t>Udio utrošenih planiranih sredstava tijekom pojedine godine</w:t>
            </w:r>
          </w:p>
        </w:tc>
        <w:tc>
          <w:tcPr>
            <w:tcW w:w="958" w:type="dxa"/>
            <w:tcBorders>
              <w:top w:val="single" w:sz="4" w:space="0" w:color="auto"/>
              <w:left w:val="single" w:sz="4" w:space="0" w:color="auto"/>
              <w:bottom w:val="single" w:sz="4" w:space="0" w:color="auto"/>
              <w:right w:val="single" w:sz="4" w:space="0" w:color="auto"/>
            </w:tcBorders>
            <w:vAlign w:val="center"/>
          </w:tcPr>
          <w:p w14:paraId="3F81078E"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540B98A5"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5BEBC569" w14:textId="77777777" w:rsidR="00184A8E" w:rsidRPr="00184A8E" w:rsidRDefault="00184A8E" w:rsidP="00184A8E">
            <w:pPr>
              <w:jc w:val="center"/>
              <w:rPr>
                <w:rFonts w:ascii="Arial" w:hAnsi="Arial" w:cs="Arial"/>
              </w:rPr>
            </w:pPr>
            <w:r w:rsidRPr="00184A8E">
              <w:rPr>
                <w:rFonts w:ascii="Arial" w:hAnsi="Arial" w:cs="Arial"/>
              </w:rPr>
              <w:t>0</w:t>
            </w:r>
          </w:p>
        </w:tc>
        <w:tc>
          <w:tcPr>
            <w:tcW w:w="1276" w:type="dxa"/>
            <w:tcBorders>
              <w:top w:val="single" w:sz="4" w:space="0" w:color="auto"/>
              <w:left w:val="single" w:sz="4" w:space="0" w:color="auto"/>
              <w:bottom w:val="single" w:sz="4" w:space="0" w:color="auto"/>
              <w:right w:val="single" w:sz="4" w:space="0" w:color="auto"/>
            </w:tcBorders>
            <w:vAlign w:val="center"/>
          </w:tcPr>
          <w:p w14:paraId="7F013451" w14:textId="0EC75261" w:rsidR="00184A8E" w:rsidRPr="00184A8E" w:rsidRDefault="00740F84" w:rsidP="00184A8E">
            <w:pPr>
              <w:jc w:val="center"/>
              <w:rPr>
                <w:rFonts w:ascii="Arial" w:hAnsi="Arial" w:cs="Arial"/>
              </w:rPr>
            </w:pPr>
            <w:r>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6C410C32" w14:textId="4A834EAF" w:rsidR="00184A8E" w:rsidRPr="00184A8E" w:rsidRDefault="00740F84" w:rsidP="00184A8E">
            <w:pPr>
              <w:jc w:val="center"/>
              <w:rPr>
                <w:rFonts w:ascii="Arial" w:hAnsi="Arial" w:cs="Arial"/>
              </w:rPr>
            </w:pPr>
            <w:r>
              <w:rPr>
                <w:rFonts w:ascii="Arial" w:hAnsi="Arial" w:cs="Arial"/>
              </w:rPr>
              <w:t>23</w:t>
            </w:r>
          </w:p>
        </w:tc>
        <w:tc>
          <w:tcPr>
            <w:tcW w:w="1242" w:type="dxa"/>
            <w:tcBorders>
              <w:top w:val="single" w:sz="4" w:space="0" w:color="000000"/>
              <w:left w:val="single" w:sz="4" w:space="0" w:color="000000"/>
              <w:bottom w:val="single" w:sz="4" w:space="0" w:color="000000"/>
              <w:right w:val="single" w:sz="4" w:space="0" w:color="000000"/>
            </w:tcBorders>
            <w:vAlign w:val="center"/>
          </w:tcPr>
          <w:p w14:paraId="167DD546"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746BA2B0" w14:textId="77777777" w:rsidR="00184A8E" w:rsidRPr="00184A8E" w:rsidRDefault="00184A8E" w:rsidP="00184A8E">
            <w:pPr>
              <w:jc w:val="center"/>
              <w:rPr>
                <w:rFonts w:ascii="Arial" w:hAnsi="Arial" w:cs="Arial"/>
              </w:rPr>
            </w:pPr>
            <w:r w:rsidRPr="00184A8E">
              <w:rPr>
                <w:rFonts w:ascii="Arial" w:hAnsi="Arial" w:cs="Arial"/>
              </w:rPr>
              <w:t>100</w:t>
            </w:r>
          </w:p>
        </w:tc>
      </w:tr>
    </w:tbl>
    <w:p w14:paraId="0AB70BB1" w14:textId="77777777" w:rsidR="00184A8E" w:rsidRPr="00184A8E" w:rsidRDefault="00184A8E" w:rsidP="00184A8E">
      <w:pPr>
        <w:spacing w:after="0" w:line="240" w:lineRule="auto"/>
        <w:jc w:val="both"/>
        <w:rPr>
          <w:rFonts w:ascii="Arial" w:eastAsia="Calibri" w:hAnsi="Arial" w:cs="Arial"/>
          <w:sz w:val="20"/>
          <w:szCs w:val="20"/>
          <w:lang w:eastAsia="en-US"/>
        </w:rPr>
      </w:pPr>
    </w:p>
    <w:p w14:paraId="2B48424B" w14:textId="17FC8F18"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2. A210603: Održavanje i zaštita pomorskog dobra, uređenje plaža, riva i drugo </w:t>
      </w:r>
      <w:r w:rsidRPr="00184A8E">
        <w:rPr>
          <w:rFonts w:ascii="Arial" w:eastAsia="Calibri" w:hAnsi="Arial" w:cs="Arial"/>
          <w:sz w:val="20"/>
          <w:szCs w:val="20"/>
          <w:lang w:eastAsia="en-US"/>
        </w:rPr>
        <w:t xml:space="preserve">– Za provođenje programa su planirana proračunska sredstva za usluge uređenja plaža u iznosu </w:t>
      </w:r>
      <w:r w:rsidR="00C7439A">
        <w:rPr>
          <w:rFonts w:ascii="Arial" w:eastAsia="Calibri" w:hAnsi="Arial" w:cs="Arial"/>
          <w:sz w:val="20"/>
          <w:szCs w:val="20"/>
          <w:lang w:eastAsia="en-US"/>
        </w:rPr>
        <w:t>20.000</w:t>
      </w:r>
      <w:r w:rsidRPr="00184A8E">
        <w:rPr>
          <w:rFonts w:ascii="Arial" w:eastAsia="Calibri" w:hAnsi="Arial" w:cs="Arial"/>
          <w:sz w:val="20"/>
          <w:szCs w:val="20"/>
          <w:lang w:eastAsia="en-US"/>
        </w:rPr>
        <w:t xml:space="preserve"> € (Pasjača, Molunat, uvala Tiha u Cavtatu i sl.). Rashodi nisu izvršeni.</w:t>
      </w:r>
    </w:p>
    <w:p w14:paraId="30A10E95" w14:textId="77777777" w:rsidR="00C7439A" w:rsidRPr="00184A8E" w:rsidRDefault="00C7439A" w:rsidP="00184A8E">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958"/>
        <w:gridCol w:w="1134"/>
        <w:gridCol w:w="1232"/>
        <w:gridCol w:w="1276"/>
        <w:gridCol w:w="1242"/>
        <w:gridCol w:w="1242"/>
        <w:gridCol w:w="1242"/>
      </w:tblGrid>
      <w:tr w:rsidR="00184A8E" w:rsidRPr="00184A8E" w14:paraId="1CDE71D9"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0E9E2CB" w14:textId="77777777" w:rsidR="00184A8E" w:rsidRPr="00184A8E" w:rsidRDefault="00184A8E" w:rsidP="00184A8E">
            <w:pPr>
              <w:jc w:val="center"/>
              <w:rPr>
                <w:rFonts w:ascii="Arial" w:eastAsia="Calibri" w:hAnsi="Arial" w:cs="Arial"/>
              </w:rPr>
            </w:pPr>
            <w:r w:rsidRPr="00184A8E">
              <w:rPr>
                <w:rFonts w:ascii="Arial" w:eastAsia="Calibri" w:hAnsi="Arial" w:cs="Arial"/>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7AE6EB8" w14:textId="77777777" w:rsidR="00184A8E" w:rsidRPr="00184A8E" w:rsidRDefault="00184A8E" w:rsidP="00184A8E">
            <w:pPr>
              <w:jc w:val="center"/>
              <w:rPr>
                <w:rFonts w:ascii="Arial" w:eastAsia="Calibri" w:hAnsi="Arial" w:cs="Arial"/>
              </w:rPr>
            </w:pPr>
            <w:r w:rsidRPr="00184A8E">
              <w:rPr>
                <w:rFonts w:ascii="Arial" w:eastAsia="Calibri" w:hAnsi="Arial" w:cs="Arial"/>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9DA751D" w14:textId="77777777" w:rsidR="00184A8E" w:rsidRPr="00184A8E" w:rsidRDefault="00184A8E" w:rsidP="00184A8E">
            <w:pPr>
              <w:jc w:val="center"/>
              <w:rPr>
                <w:rFonts w:ascii="Arial" w:eastAsia="Calibri" w:hAnsi="Arial" w:cs="Arial"/>
              </w:rPr>
            </w:pPr>
            <w:r w:rsidRPr="00184A8E">
              <w:rPr>
                <w:rFonts w:ascii="Arial" w:eastAsia="Calibri" w:hAnsi="Arial" w:cs="Arial"/>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CCBC56F" w14:textId="77777777" w:rsidR="00184A8E" w:rsidRPr="00184A8E" w:rsidRDefault="00184A8E" w:rsidP="00184A8E">
            <w:pPr>
              <w:jc w:val="center"/>
              <w:rPr>
                <w:rFonts w:ascii="Arial" w:eastAsia="Calibri" w:hAnsi="Arial" w:cs="Arial"/>
              </w:rPr>
            </w:pPr>
            <w:r w:rsidRPr="00184A8E">
              <w:rPr>
                <w:rFonts w:ascii="Arial" w:eastAsia="Calibri" w:hAnsi="Arial" w:cs="Arial"/>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061FC62" w14:textId="635B5445" w:rsidR="00184A8E" w:rsidRPr="00184A8E" w:rsidRDefault="00184A8E" w:rsidP="00184A8E">
            <w:pPr>
              <w:jc w:val="center"/>
              <w:rPr>
                <w:rFonts w:ascii="Arial" w:eastAsia="Calibri" w:hAnsi="Arial" w:cs="Arial"/>
              </w:rPr>
            </w:pPr>
            <w:r w:rsidRPr="00184A8E">
              <w:rPr>
                <w:rFonts w:ascii="Arial" w:eastAsia="Calibri" w:hAnsi="Arial" w:cs="Arial"/>
              </w:rPr>
              <w:t>Polazna vrijednost 202</w:t>
            </w:r>
            <w:r w:rsidR="00C7439A">
              <w:rPr>
                <w:rFonts w:ascii="Arial" w:eastAsia="Calibri" w:hAnsi="Arial" w:cs="Arial"/>
              </w:rPr>
              <w:t>4</w:t>
            </w:r>
            <w:r w:rsidRPr="00184A8E">
              <w:rPr>
                <w:rFonts w:ascii="Arial" w:eastAsia="Calibri" w:hAnsi="Arial" w:cs="Aria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A1BF2E5" w14:textId="2FE7C50E"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C7439A">
              <w:rPr>
                <w:rFonts w:ascii="Arial" w:eastAsia="Calibri" w:hAnsi="Arial" w:cs="Arial"/>
              </w:rPr>
              <w:t>5</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D423D57" w14:textId="5A8ABD10" w:rsidR="00184A8E" w:rsidRPr="00184A8E" w:rsidRDefault="00184A8E" w:rsidP="00184A8E">
            <w:pPr>
              <w:jc w:val="center"/>
              <w:rPr>
                <w:rFonts w:ascii="Arial" w:eastAsia="Calibri" w:hAnsi="Arial" w:cs="Arial"/>
              </w:rPr>
            </w:pPr>
            <w:r w:rsidRPr="00184A8E">
              <w:rPr>
                <w:rFonts w:ascii="Arial" w:eastAsia="Calibri" w:hAnsi="Arial" w:cs="Arial"/>
              </w:rPr>
              <w:t>Izvršeno 202</w:t>
            </w:r>
            <w:r w:rsidR="00C7439A">
              <w:rPr>
                <w:rFonts w:ascii="Arial" w:eastAsia="Calibri" w:hAnsi="Arial" w:cs="Arial"/>
              </w:rPr>
              <w:t>5</w:t>
            </w:r>
            <w:r w:rsidRPr="00184A8E">
              <w:rPr>
                <w:rFonts w:ascii="Arial" w:eastAsia="Calibri" w:hAnsi="Arial" w:cs="Arial"/>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1382001" w14:textId="3D837DAE"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C7439A">
              <w:rPr>
                <w:rFonts w:ascii="Arial" w:eastAsia="Calibri" w:hAnsi="Arial" w:cs="Arial"/>
              </w:rPr>
              <w:t>6</w:t>
            </w:r>
            <w:r w:rsidRPr="00184A8E">
              <w:rPr>
                <w:rFonts w:ascii="Arial" w:eastAsia="Calibri" w:hAnsi="Arial" w:cs="Arial"/>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1308155" w14:textId="630C3534" w:rsidR="00184A8E" w:rsidRPr="00184A8E" w:rsidRDefault="00184A8E" w:rsidP="00184A8E">
            <w:pPr>
              <w:jc w:val="center"/>
              <w:rPr>
                <w:rFonts w:ascii="Arial" w:eastAsia="Calibri" w:hAnsi="Arial" w:cs="Arial"/>
              </w:rPr>
            </w:pPr>
            <w:r w:rsidRPr="00184A8E">
              <w:rPr>
                <w:rFonts w:ascii="Arial" w:eastAsia="Calibri" w:hAnsi="Arial" w:cs="Arial"/>
              </w:rPr>
              <w:t>Ciljana vrijednost 202</w:t>
            </w:r>
            <w:r w:rsidR="00C7439A">
              <w:rPr>
                <w:rFonts w:ascii="Arial" w:eastAsia="Calibri" w:hAnsi="Arial" w:cs="Arial"/>
              </w:rPr>
              <w:t>7</w:t>
            </w:r>
            <w:r w:rsidRPr="00184A8E">
              <w:rPr>
                <w:rFonts w:ascii="Arial" w:eastAsia="Calibri" w:hAnsi="Arial" w:cs="Arial"/>
              </w:rPr>
              <w:t>.</w:t>
            </w:r>
          </w:p>
        </w:tc>
      </w:tr>
      <w:tr w:rsidR="00184A8E" w:rsidRPr="00184A8E" w14:paraId="3354CCC3" w14:textId="77777777" w:rsidTr="00410A4B">
        <w:trPr>
          <w:trHeight w:val="273"/>
          <w:jc w:val="center"/>
        </w:trPr>
        <w:tc>
          <w:tcPr>
            <w:tcW w:w="2835" w:type="dxa"/>
            <w:tcBorders>
              <w:top w:val="single" w:sz="4" w:space="0" w:color="auto"/>
              <w:left w:val="single" w:sz="4" w:space="0" w:color="auto"/>
              <w:bottom w:val="single" w:sz="4" w:space="0" w:color="auto"/>
              <w:right w:val="single" w:sz="4" w:space="0" w:color="auto"/>
            </w:tcBorders>
            <w:vAlign w:val="center"/>
          </w:tcPr>
          <w:p w14:paraId="1CC25A37" w14:textId="77777777" w:rsidR="00184A8E" w:rsidRPr="00184A8E" w:rsidRDefault="00184A8E" w:rsidP="00184A8E">
            <w:pPr>
              <w:rPr>
                <w:rFonts w:ascii="Arial" w:hAnsi="Arial" w:cs="Arial"/>
                <w:sz w:val="16"/>
                <w:szCs w:val="16"/>
              </w:rPr>
            </w:pPr>
            <w:r w:rsidRPr="00184A8E">
              <w:rPr>
                <w:rFonts w:ascii="Arial" w:hAnsi="Arial" w:cs="Arial"/>
                <w:sz w:val="16"/>
                <w:szCs w:val="16"/>
              </w:rPr>
              <w:t>Izvršavanje rashoda za uređenje plaža i riva</w:t>
            </w:r>
          </w:p>
        </w:tc>
        <w:tc>
          <w:tcPr>
            <w:tcW w:w="3402" w:type="dxa"/>
            <w:tcBorders>
              <w:top w:val="single" w:sz="4" w:space="0" w:color="auto"/>
              <w:left w:val="single" w:sz="4" w:space="0" w:color="auto"/>
              <w:bottom w:val="single" w:sz="4" w:space="0" w:color="auto"/>
              <w:right w:val="single" w:sz="4" w:space="0" w:color="auto"/>
            </w:tcBorders>
            <w:vAlign w:val="center"/>
          </w:tcPr>
          <w:p w14:paraId="670BB549" w14:textId="77777777" w:rsidR="00184A8E" w:rsidRPr="00184A8E" w:rsidRDefault="00184A8E" w:rsidP="00184A8E">
            <w:pPr>
              <w:autoSpaceDE w:val="0"/>
              <w:autoSpaceDN w:val="0"/>
              <w:adjustRightInd w:val="0"/>
              <w:rPr>
                <w:rFonts w:ascii="Arial" w:hAnsi="Arial" w:cs="Arial"/>
              </w:rPr>
            </w:pPr>
            <w:r w:rsidRPr="00184A8E">
              <w:rPr>
                <w:rFonts w:ascii="Arial" w:eastAsia="Calibri" w:hAnsi="Arial" w:cs="Arial"/>
              </w:rPr>
              <w:t>Udio utrošenih planiranih sredstava tijekom pojedine godine</w:t>
            </w:r>
          </w:p>
        </w:tc>
        <w:tc>
          <w:tcPr>
            <w:tcW w:w="958" w:type="dxa"/>
            <w:tcBorders>
              <w:top w:val="single" w:sz="4" w:space="0" w:color="auto"/>
              <w:left w:val="single" w:sz="4" w:space="0" w:color="auto"/>
              <w:bottom w:val="single" w:sz="4" w:space="0" w:color="auto"/>
              <w:right w:val="single" w:sz="4" w:space="0" w:color="auto"/>
            </w:tcBorders>
            <w:vAlign w:val="center"/>
          </w:tcPr>
          <w:p w14:paraId="4736B265" w14:textId="77777777" w:rsidR="00184A8E" w:rsidRPr="00184A8E" w:rsidRDefault="00184A8E" w:rsidP="00184A8E">
            <w:pPr>
              <w:jc w:val="center"/>
              <w:rPr>
                <w:rFonts w:ascii="Arial" w:hAnsi="Arial" w:cs="Arial"/>
              </w:rPr>
            </w:pPr>
            <w:r w:rsidRPr="00184A8E">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tcPr>
          <w:p w14:paraId="1866B6B8" w14:textId="77777777" w:rsidR="00184A8E" w:rsidRPr="00184A8E" w:rsidRDefault="00184A8E" w:rsidP="00184A8E">
            <w:pPr>
              <w:jc w:val="center"/>
              <w:rPr>
                <w:rFonts w:ascii="Arial" w:hAnsi="Arial" w:cs="Arial"/>
              </w:rPr>
            </w:pPr>
            <w:r w:rsidRPr="00184A8E">
              <w:rPr>
                <w:rFonts w:ascii="Arial" w:hAnsi="Arial" w:cs="Arial"/>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377C6525" w14:textId="04D2FC24" w:rsidR="00184A8E" w:rsidRPr="00184A8E" w:rsidRDefault="00C7439A" w:rsidP="00184A8E">
            <w:pPr>
              <w:jc w:val="center"/>
              <w:rPr>
                <w:rFonts w:ascii="Arial" w:hAnsi="Arial" w:cs="Arial"/>
              </w:rPr>
            </w:pPr>
            <w:r>
              <w:rPr>
                <w:rFonts w:ascii="Arial" w:hAnsi="Arial" w:cs="Arial"/>
              </w:rPr>
              <w:t>0</w:t>
            </w:r>
            <w:r w:rsidR="00184A8E" w:rsidRPr="00184A8E">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vAlign w:val="center"/>
          </w:tcPr>
          <w:p w14:paraId="3A410E0A"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6CC4680D" w14:textId="77777777" w:rsidR="00184A8E" w:rsidRPr="00184A8E" w:rsidRDefault="00184A8E" w:rsidP="00184A8E">
            <w:pPr>
              <w:jc w:val="center"/>
              <w:rPr>
                <w:rFonts w:ascii="Arial" w:hAnsi="Arial" w:cs="Arial"/>
              </w:rPr>
            </w:pPr>
            <w:r w:rsidRPr="00184A8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45D8B36F" w14:textId="77777777" w:rsidR="00184A8E" w:rsidRPr="00184A8E" w:rsidRDefault="00184A8E" w:rsidP="00184A8E">
            <w:pPr>
              <w:jc w:val="center"/>
              <w:rPr>
                <w:rFonts w:ascii="Arial" w:hAnsi="Arial" w:cs="Arial"/>
              </w:rPr>
            </w:pPr>
            <w:r w:rsidRPr="00184A8E">
              <w:rPr>
                <w:rFonts w:ascii="Arial" w:hAnsi="Arial" w:cs="Arial"/>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256874C7" w14:textId="77777777" w:rsidR="00184A8E" w:rsidRPr="00184A8E" w:rsidRDefault="00184A8E" w:rsidP="00184A8E">
            <w:pPr>
              <w:jc w:val="center"/>
              <w:rPr>
                <w:rFonts w:ascii="Arial" w:hAnsi="Arial" w:cs="Arial"/>
              </w:rPr>
            </w:pPr>
            <w:r w:rsidRPr="00184A8E">
              <w:rPr>
                <w:rFonts w:ascii="Arial" w:hAnsi="Arial" w:cs="Arial"/>
              </w:rPr>
              <w:t>100</w:t>
            </w:r>
          </w:p>
        </w:tc>
      </w:tr>
    </w:tbl>
    <w:p w14:paraId="57401FD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5212747D"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Aktivnosti vezane uz opće ciljeve postignute su sukladno postocima izvršenja. </w:t>
      </w:r>
    </w:p>
    <w:p w14:paraId="290BC324" w14:textId="77777777" w:rsidR="00184A8E" w:rsidRPr="00184A8E" w:rsidRDefault="00184A8E" w:rsidP="00184A8E">
      <w:pPr>
        <w:rPr>
          <w:rFonts w:ascii="Arial" w:eastAsia="Calibri" w:hAnsi="Arial" w:cs="Arial"/>
          <w:sz w:val="20"/>
          <w:szCs w:val="20"/>
        </w:rPr>
      </w:pPr>
      <w:r w:rsidRPr="00184A8E">
        <w:rPr>
          <w:rFonts w:ascii="Arial" w:eastAsia="Calibri" w:hAnsi="Arial" w:cs="Arial"/>
          <w:sz w:val="20"/>
          <w:szCs w:val="20"/>
        </w:rPr>
        <w:br w:type="page"/>
      </w:r>
    </w:p>
    <w:p w14:paraId="434A0CD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0ADBD9B2"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605" w:name="_Toc90986218"/>
      <w:bookmarkStart w:id="606" w:name="_Toc200628539"/>
      <w:bookmarkStart w:id="607" w:name="_Toc232981471"/>
      <w:r w:rsidRPr="00184A8E">
        <w:rPr>
          <w:rFonts w:ascii="Times New Roman" w:eastAsia="Calibri" w:hAnsi="Times New Roman" w:cs="Times New Roman"/>
          <w:b/>
          <w:sz w:val="24"/>
          <w:szCs w:val="20"/>
          <w:lang w:eastAsia="en-US"/>
        </w:rPr>
        <w:t>Program (2109): Razvoj i sigurnost prometa</w:t>
      </w:r>
      <w:bookmarkEnd w:id="605"/>
      <w:bookmarkEnd w:id="606"/>
      <w:bookmarkEnd w:id="607"/>
    </w:p>
    <w:p w14:paraId="2F3B349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45"/>
        <w:gridCol w:w="12243"/>
      </w:tblGrid>
      <w:tr w:rsidR="00184A8E" w:rsidRPr="00184A8E" w14:paraId="5A8452D5" w14:textId="77777777" w:rsidTr="00410A4B">
        <w:tc>
          <w:tcPr>
            <w:tcW w:w="1545" w:type="dxa"/>
          </w:tcPr>
          <w:p w14:paraId="0D5E58A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243" w:type="dxa"/>
          </w:tcPr>
          <w:p w14:paraId="777BF4E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Važno načelo komunalnog gospodarstva je da se komunalne djelatnosti obavljaju kao javna služba, obzirom da su prijeko potrebne za zadovoljenje općih društvenih potreba, te je Upravni odjel i za ovu je godinu osigurao trajno i kvalitetno obavljanje istih.</w:t>
            </w:r>
          </w:p>
          <w:p w14:paraId="696F33E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Uslužne komunalne djelatnosti su:</w:t>
            </w:r>
          </w:p>
          <w:p w14:paraId="6A26499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usluge parkiranja na uređenim javnim površinama</w:t>
            </w:r>
          </w:p>
          <w:p w14:paraId="59E1A2D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usluge javnih tržnica na malo</w:t>
            </w:r>
          </w:p>
          <w:p w14:paraId="4031A19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usluge ukopa unutar groblja</w:t>
            </w:r>
          </w:p>
          <w:p w14:paraId="4B103B1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komunalni linijski prijevoz putnika</w:t>
            </w:r>
          </w:p>
          <w:p w14:paraId="48B81ED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obavljanje dimnjačarskih poslova.</w:t>
            </w:r>
          </w:p>
        </w:tc>
      </w:tr>
      <w:tr w:rsidR="00184A8E" w:rsidRPr="00184A8E" w14:paraId="09842949" w14:textId="77777777" w:rsidTr="00410A4B">
        <w:tc>
          <w:tcPr>
            <w:tcW w:w="1545" w:type="dxa"/>
          </w:tcPr>
          <w:p w14:paraId="216A93B7" w14:textId="77777777" w:rsidR="00184A8E" w:rsidRPr="00184A8E" w:rsidRDefault="00184A8E" w:rsidP="00184A8E">
            <w:pPr>
              <w:autoSpaceDE w:val="0"/>
              <w:autoSpaceDN w:val="0"/>
              <w:adjustRightInd w:val="0"/>
              <w:spacing w:after="0" w:line="240" w:lineRule="auto"/>
              <w:jc w:val="both"/>
              <w:rPr>
                <w:rFonts w:ascii="Arial" w:eastAsia="Calibri" w:hAnsi="Arial" w:cs="Arial"/>
                <w:sz w:val="16"/>
                <w:szCs w:val="16"/>
                <w:lang w:eastAsia="en-US"/>
              </w:rPr>
            </w:pPr>
            <w:r w:rsidRPr="00184A8E">
              <w:rPr>
                <w:rFonts w:ascii="Arial" w:eastAsia="Calibri" w:hAnsi="Arial" w:cs="Arial"/>
                <w:sz w:val="16"/>
                <w:szCs w:val="16"/>
                <w:lang w:eastAsia="en-US"/>
              </w:rPr>
              <w:t>ZAKONSKE I DRUGE PRAVNE OSNOVE PROGRAMA</w:t>
            </w:r>
          </w:p>
        </w:tc>
        <w:tc>
          <w:tcPr>
            <w:tcW w:w="12243" w:type="dxa"/>
          </w:tcPr>
          <w:p w14:paraId="10B1A14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Zakon o lokalnoj i područnoj (regionalnoj) samoupravi (NN 33/01,60/01,129/05, 109/07,125/08, 36/09, 150/11, 144/12, 19/13, 137/15, 123/17, 98/19, 144/20), Zakon o komunalnom gospodarstvu (NN 68/18, 110/18, 32/20, 145/24), </w:t>
            </w:r>
            <w:r w:rsidRPr="00184A8E">
              <w:rPr>
                <w:rFonts w:ascii="Arial" w:eastAsia="Times New Roman" w:hAnsi="Arial" w:cs="Arial"/>
                <w:sz w:val="20"/>
                <w:szCs w:val="20"/>
                <w:lang w:eastAsia="en-US"/>
              </w:rPr>
              <w:t xml:space="preserve">Zakon o državnim potporama (Narodne novine 47/14, 69/17), drugi zakoni s područja financija, gospodarstva, poljoprivrede i EU propisa, </w:t>
            </w:r>
            <w:r w:rsidRPr="00184A8E">
              <w:rPr>
                <w:rFonts w:ascii="Arial" w:eastAsia="Calibri" w:hAnsi="Arial" w:cs="Arial"/>
                <w:sz w:val="20"/>
                <w:szCs w:val="20"/>
                <w:lang w:eastAsia="en-US"/>
              </w:rPr>
              <w:t>Statut Općine i drugi akti</w:t>
            </w:r>
          </w:p>
        </w:tc>
      </w:tr>
      <w:tr w:rsidR="00184A8E" w:rsidRPr="00184A8E" w14:paraId="258CBC63" w14:textId="77777777" w:rsidTr="00410A4B">
        <w:tc>
          <w:tcPr>
            <w:tcW w:w="1545" w:type="dxa"/>
          </w:tcPr>
          <w:p w14:paraId="2E3093D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2243" w:type="dxa"/>
            <w:vAlign w:val="bottom"/>
          </w:tcPr>
          <w:p w14:paraId="18A53D8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Osiguravanje trajnog i kvalitetnog obavljanja uslužnih komunalnih djelatnosti, praćenje i rješavanje problematike iz oblasti komunalnog gospodarstva osnovni je cilj ovog Programa. </w:t>
            </w:r>
          </w:p>
          <w:p w14:paraId="16375A3D"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Unaprijediti obavljanje komunalnih djelatnosti, odnosno podići razinu kvalitete komunalne infrastrukture. </w:t>
            </w:r>
          </w:p>
          <w:p w14:paraId="648D8DF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Zadovoljavanje zajedničkih komunalnih potreba građana.</w:t>
            </w:r>
          </w:p>
        </w:tc>
      </w:tr>
      <w:tr w:rsidR="00184A8E" w:rsidRPr="00184A8E" w14:paraId="3C6D3D7B" w14:textId="77777777" w:rsidTr="00410A4B">
        <w:tc>
          <w:tcPr>
            <w:tcW w:w="1545" w:type="dxa"/>
            <w:vAlign w:val="bottom"/>
          </w:tcPr>
          <w:p w14:paraId="2323F28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2243" w:type="dxa"/>
            <w:vAlign w:val="bottom"/>
          </w:tcPr>
          <w:p w14:paraId="351B6F8C"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Trajno i kvalitetno obavljanje komunalne djelatnosti po načelima održivog razvoja.</w:t>
            </w:r>
          </w:p>
          <w:p w14:paraId="78930D2C"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Djelotvorno održavanje </w:t>
            </w:r>
            <w:r w:rsidRPr="00184A8E">
              <w:rPr>
                <w:rFonts w:ascii="Arial" w:eastAsia="Calibri" w:hAnsi="Arial" w:cs="Arial"/>
                <w:b/>
                <w:sz w:val="20"/>
                <w:szCs w:val="20"/>
                <w:lang w:eastAsia="en-US"/>
              </w:rPr>
              <w:t>sustava javnog prijevoza</w:t>
            </w:r>
            <w:r w:rsidRPr="00184A8E">
              <w:rPr>
                <w:rFonts w:ascii="Arial" w:eastAsia="Calibri" w:hAnsi="Arial" w:cs="Arial"/>
                <w:sz w:val="20"/>
                <w:szCs w:val="20"/>
                <w:lang w:eastAsia="en-US"/>
              </w:rPr>
              <w:t xml:space="preserve"> građana.</w:t>
            </w:r>
          </w:p>
        </w:tc>
      </w:tr>
    </w:tbl>
    <w:p w14:paraId="45DC721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3512F251"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32E6EC36"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6000A4D6" w14:textId="1C37E9E1"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13C0A20D" w14:textId="77777777" w:rsidR="00184A8E" w:rsidRPr="00184A8E" w:rsidRDefault="00184A8E" w:rsidP="00184A8E">
      <w:pPr>
        <w:spacing w:after="0" w:line="240" w:lineRule="auto"/>
        <w:jc w:val="both"/>
        <w:rPr>
          <w:rFonts w:ascii="Arial" w:eastAsia="Calibri" w:hAnsi="Arial" w:cs="Arial"/>
          <w:sz w:val="20"/>
          <w:szCs w:val="20"/>
          <w:lang w:eastAsia="en-US"/>
        </w:rPr>
      </w:pPr>
    </w:p>
    <w:p w14:paraId="60158D4F" w14:textId="1F122569" w:rsidR="00184A8E" w:rsidRPr="00184A8E" w:rsidRDefault="00C7439A" w:rsidP="00184A8E">
      <w:pPr>
        <w:spacing w:after="0" w:line="240" w:lineRule="auto"/>
        <w:jc w:val="both"/>
        <w:rPr>
          <w:rFonts w:ascii="Arial" w:eastAsia="Calibri" w:hAnsi="Arial" w:cs="Arial"/>
          <w:sz w:val="20"/>
          <w:szCs w:val="20"/>
          <w:lang w:eastAsia="en-US"/>
        </w:rPr>
      </w:pPr>
      <w:r w:rsidRPr="00C7439A">
        <w:rPr>
          <w:noProof/>
        </w:rPr>
        <w:drawing>
          <wp:inline distT="0" distB="0" distL="0" distR="0" wp14:anchorId="0FFEA917" wp14:editId="3C99A549">
            <wp:extent cx="9251950" cy="1094740"/>
            <wp:effectExtent l="0" t="0" r="6350" b="0"/>
            <wp:docPr id="1677460481"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9251950" cy="1094740"/>
                    </a:xfrm>
                    <a:prstGeom prst="rect">
                      <a:avLst/>
                    </a:prstGeom>
                    <a:noFill/>
                    <a:ln>
                      <a:noFill/>
                    </a:ln>
                  </pic:spPr>
                </pic:pic>
              </a:graphicData>
            </a:graphic>
          </wp:inline>
        </w:drawing>
      </w:r>
    </w:p>
    <w:p w14:paraId="35DAFF91"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2D8B3EC9"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51F46814" w14:textId="77777777" w:rsidR="00184A8E" w:rsidRPr="00184A8E" w:rsidRDefault="00184A8E" w:rsidP="00184A8E">
      <w:pPr>
        <w:spacing w:after="0" w:line="240" w:lineRule="auto"/>
        <w:jc w:val="both"/>
        <w:rPr>
          <w:rFonts w:ascii="Arial" w:eastAsia="Calibri" w:hAnsi="Arial" w:cs="Arial"/>
          <w:sz w:val="20"/>
          <w:szCs w:val="20"/>
          <w:lang w:eastAsia="en-US"/>
        </w:rPr>
      </w:pPr>
    </w:p>
    <w:p w14:paraId="2849B6E9"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2EFAD4D9"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Izvršenje je u skladu s očekivanim.</w:t>
      </w:r>
    </w:p>
    <w:p w14:paraId="67C45841" w14:textId="77777777"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p>
    <w:p w14:paraId="727AA421" w14:textId="77777777"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p>
    <w:p w14:paraId="65F7831E"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lastRenderedPageBreak/>
        <w:t>Obrazloženje aktivnosti / projekata i pokazatelji uspješnosti</w:t>
      </w:r>
    </w:p>
    <w:p w14:paraId="636DFCEC" w14:textId="77777777" w:rsidR="00184A8E" w:rsidRPr="00184A8E" w:rsidRDefault="00184A8E" w:rsidP="00184A8E">
      <w:pPr>
        <w:spacing w:after="0" w:line="240" w:lineRule="auto"/>
        <w:jc w:val="both"/>
        <w:rPr>
          <w:rFonts w:ascii="Arial" w:eastAsia="Calibri" w:hAnsi="Arial" w:cs="Arial"/>
          <w:sz w:val="20"/>
          <w:szCs w:val="20"/>
          <w:lang w:eastAsia="en-US"/>
        </w:rPr>
      </w:pPr>
    </w:p>
    <w:p w14:paraId="0D8CE093" w14:textId="77777777" w:rsidR="00184A8E" w:rsidRPr="00184A8E" w:rsidRDefault="00184A8E" w:rsidP="00184A8E">
      <w:pPr>
        <w:spacing w:after="0" w:line="240" w:lineRule="auto"/>
        <w:rPr>
          <w:rFonts w:ascii="Arial" w:eastAsia="Calibri" w:hAnsi="Arial" w:cs="Arial"/>
          <w:sz w:val="20"/>
          <w:szCs w:val="20"/>
        </w:rPr>
      </w:pPr>
      <w:r w:rsidRPr="00184A8E">
        <w:rPr>
          <w:rFonts w:ascii="Arial" w:eastAsia="Calibri" w:hAnsi="Arial" w:cs="Arial"/>
          <w:sz w:val="20"/>
          <w:szCs w:val="20"/>
        </w:rPr>
        <w:t>Unutar programa izvode se slijedeće aktivnosti i projekti:</w:t>
      </w:r>
    </w:p>
    <w:p w14:paraId="70901E06" w14:textId="77777777" w:rsidR="00184A8E" w:rsidRPr="00184A8E" w:rsidRDefault="00184A8E" w:rsidP="00184A8E">
      <w:pPr>
        <w:spacing w:after="0" w:line="240" w:lineRule="auto"/>
        <w:jc w:val="both"/>
        <w:rPr>
          <w:rFonts w:ascii="Arial" w:eastAsia="Calibri" w:hAnsi="Arial" w:cs="Arial"/>
          <w:sz w:val="20"/>
          <w:szCs w:val="20"/>
        </w:rPr>
      </w:pPr>
    </w:p>
    <w:p w14:paraId="63DCB5FA" w14:textId="2686E066"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1. A210901: Komunalni linijski prijevoz</w:t>
      </w:r>
      <w:r w:rsidRPr="00184A8E">
        <w:rPr>
          <w:rFonts w:ascii="Arial" w:eastAsia="Calibri" w:hAnsi="Arial" w:cs="Arial"/>
          <w:sz w:val="20"/>
          <w:szCs w:val="20"/>
          <w:lang w:eastAsia="en-US"/>
        </w:rPr>
        <w:t xml:space="preserve"> - u sklopu navedene aktivnosti planiraju se rashodi u iznosu </w:t>
      </w:r>
      <w:r w:rsidR="00C7439A">
        <w:rPr>
          <w:rFonts w:ascii="Arial" w:eastAsia="Calibri" w:hAnsi="Arial" w:cs="Arial"/>
          <w:sz w:val="20"/>
          <w:szCs w:val="20"/>
          <w:lang w:eastAsia="en-US"/>
        </w:rPr>
        <w:t>255.000</w:t>
      </w:r>
      <w:r w:rsidRPr="00184A8E">
        <w:rPr>
          <w:rFonts w:ascii="Arial" w:eastAsia="Calibri" w:hAnsi="Arial" w:cs="Arial"/>
          <w:sz w:val="20"/>
          <w:szCs w:val="20"/>
          <w:lang w:eastAsia="en-US"/>
        </w:rPr>
        <w:t xml:space="preserve"> € (subvencioniranje linija 29, 30 i 31 - nerentabilne linije, odnosno linije s malim brojem korisnika). Rashodi su izvršeni u iznosu </w:t>
      </w:r>
      <w:r w:rsidR="00C7439A">
        <w:rPr>
          <w:rFonts w:ascii="Arial" w:eastAsia="Calibri" w:hAnsi="Arial" w:cs="Arial"/>
          <w:sz w:val="20"/>
          <w:szCs w:val="20"/>
          <w:lang w:eastAsia="en-US"/>
        </w:rPr>
        <w:t>254.592,43</w:t>
      </w:r>
      <w:r w:rsidRPr="00184A8E">
        <w:rPr>
          <w:rFonts w:ascii="Arial" w:eastAsia="Calibri" w:hAnsi="Arial" w:cs="Arial"/>
          <w:sz w:val="20"/>
          <w:szCs w:val="20"/>
          <w:lang w:eastAsia="en-US"/>
        </w:rPr>
        <w:t xml:space="preserve"> € ili 99,</w:t>
      </w:r>
      <w:r w:rsidR="00C7439A">
        <w:rPr>
          <w:rFonts w:ascii="Arial" w:eastAsia="Calibri" w:hAnsi="Arial" w:cs="Arial"/>
          <w:sz w:val="20"/>
          <w:szCs w:val="20"/>
          <w:lang w:eastAsia="en-US"/>
        </w:rPr>
        <w:t>8</w:t>
      </w:r>
      <w:r w:rsidRPr="00184A8E">
        <w:rPr>
          <w:rFonts w:ascii="Arial" w:eastAsia="Calibri" w:hAnsi="Arial" w:cs="Arial"/>
          <w:sz w:val="20"/>
          <w:szCs w:val="20"/>
          <w:lang w:eastAsia="en-US"/>
        </w:rPr>
        <w:t xml:space="preserve">% plana. </w:t>
      </w:r>
    </w:p>
    <w:p w14:paraId="253E23F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5BF5B28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ab/>
        <w:t xml:space="preserve">Pod komunalnim linijskim prijevozom putnika podrazumijeva se javni cestovni prijevoz putnika na linijama unutar zona koje utvrđuju jedinice lokalne samouprave na svojem području. Prema odredbama Zakona o komunalnom gospodarstvu, u sklopu obavljanja ove uslužne djelatnosti može se osigurati i građenje ili održavanje komunalne infrastrukture potrebne za obavljanje te djelatnosti. </w:t>
      </w:r>
    </w:p>
    <w:p w14:paraId="7BCE1CE2" w14:textId="77777777" w:rsid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ab/>
        <w:t>Obavljanje komunalne usluge linijskog prijevoza putnika u javnom prometu povjereno je društvu u suvlasništvu Općine na temelju ugovora o pružanju komunalne usluge i nadoknadi troškova prijevoza putnika u javnom prometu iz lipnja 2018. godine. Ugovor je zaključen na određeno vrijeme do 31. prosinca 2022.. godine, a dopunama je produženo važenje ugovora do 31. svibnja 2025 . Rashodi za subvencije trgovačkom društvu u suvlasništvu općine (Libertas Dubrovnik d.o.o.) za subvencioniranje lokalnih nerentabilnih linija izvršavaju se u skladu sa zaključenim ugovorom. Plan rada komunalnog društva prihvaća se na skupštini društva.</w:t>
      </w:r>
    </w:p>
    <w:p w14:paraId="1329CED8" w14:textId="7553E20D" w:rsidR="00C7439A" w:rsidRPr="00184A8E" w:rsidRDefault="00C7439A" w:rsidP="00184A8E">
      <w:pPr>
        <w:autoSpaceDE w:val="0"/>
        <w:autoSpaceDN w:val="0"/>
        <w:adjustRightInd w:val="0"/>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Novi ugovor za petogodišnje razdoblje je zaključen u svibnju 2025. godine (rok na koji je ugovor zaključen 1.6.2025.-31.12.2034.)</w:t>
      </w:r>
    </w:p>
    <w:p w14:paraId="2D370D61" w14:textId="77777777" w:rsidR="00184A8E" w:rsidRPr="00184A8E" w:rsidRDefault="00184A8E" w:rsidP="00184A8E">
      <w:pPr>
        <w:autoSpaceDE w:val="0"/>
        <w:autoSpaceDN w:val="0"/>
        <w:adjustRightInd w:val="0"/>
        <w:spacing w:after="0" w:line="240" w:lineRule="auto"/>
        <w:jc w:val="both"/>
        <w:rPr>
          <w:rFonts w:ascii="Arial" w:eastAsia="Calibri" w:hAnsi="Arial" w:cs="Arial"/>
          <w:sz w:val="14"/>
          <w:szCs w:val="14"/>
          <w:lang w:eastAsia="en-US"/>
        </w:rPr>
      </w:pPr>
    </w:p>
    <w:tbl>
      <w:tblPr>
        <w:tblStyle w:val="Reetkatablice5368"/>
        <w:tblW w:w="14563" w:type="dxa"/>
        <w:jc w:val="center"/>
        <w:tblLayout w:type="fixed"/>
        <w:tblLook w:val="04A0" w:firstRow="1" w:lastRow="0" w:firstColumn="1" w:lastColumn="0" w:noHBand="0" w:noVBand="1"/>
      </w:tblPr>
      <w:tblGrid>
        <w:gridCol w:w="3114"/>
        <w:gridCol w:w="3123"/>
        <w:gridCol w:w="958"/>
        <w:gridCol w:w="1134"/>
        <w:gridCol w:w="1232"/>
        <w:gridCol w:w="1276"/>
        <w:gridCol w:w="1242"/>
        <w:gridCol w:w="1242"/>
        <w:gridCol w:w="1242"/>
      </w:tblGrid>
      <w:tr w:rsidR="00184A8E" w:rsidRPr="00184A8E" w14:paraId="5528A773" w14:textId="77777777" w:rsidTr="00410A4B">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408FEB5" w14:textId="77777777" w:rsidR="00184A8E" w:rsidRPr="00184A8E" w:rsidRDefault="00184A8E" w:rsidP="00184A8E">
            <w:pPr>
              <w:jc w:val="center"/>
              <w:rPr>
                <w:rFonts w:ascii="Arial" w:eastAsia="Calibri" w:hAnsi="Arial" w:cs="Arial"/>
                <w:sz w:val="18"/>
                <w:szCs w:val="18"/>
              </w:rPr>
            </w:pPr>
            <w:bookmarkStart w:id="608" w:name="_Hlk120870001"/>
            <w:r w:rsidRPr="00184A8E">
              <w:rPr>
                <w:rFonts w:ascii="Arial" w:eastAsia="Calibri" w:hAnsi="Arial" w:cs="Arial"/>
                <w:sz w:val="18"/>
                <w:szCs w:val="18"/>
              </w:rPr>
              <w:t>Pokazatelj rezultata</w:t>
            </w:r>
          </w:p>
        </w:tc>
        <w:tc>
          <w:tcPr>
            <w:tcW w:w="312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8202FA2"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Definicija</w:t>
            </w:r>
          </w:p>
        </w:tc>
        <w:tc>
          <w:tcPr>
            <w:tcW w:w="95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5D0376F"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FEB9881" w14:textId="7777777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C467E62" w14:textId="302E1AD5"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Polazna vrijednost 202</w:t>
            </w:r>
            <w:r w:rsidR="00C7439A">
              <w:rPr>
                <w:rFonts w:ascii="Arial" w:eastAsia="Calibri" w:hAnsi="Arial" w:cs="Arial"/>
                <w:sz w:val="18"/>
                <w:szCs w:val="18"/>
              </w:rPr>
              <w:t>4</w:t>
            </w:r>
            <w:r w:rsidRPr="00184A8E">
              <w:rPr>
                <w:rFonts w:ascii="Arial" w:eastAsia="Calibri" w:hAnsi="Arial" w:cs="Arial"/>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76B3046" w14:textId="60CAAA3C"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C7439A">
              <w:rPr>
                <w:rFonts w:ascii="Arial" w:eastAsia="Calibri" w:hAnsi="Arial" w:cs="Arial"/>
                <w:sz w:val="18"/>
                <w:szCs w:val="18"/>
              </w:rPr>
              <w:t>5</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627A986" w14:textId="2443D807"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Izvršeno 202</w:t>
            </w:r>
            <w:r w:rsidR="00C7439A">
              <w:rPr>
                <w:rFonts w:ascii="Arial" w:eastAsia="Calibri" w:hAnsi="Arial" w:cs="Arial"/>
                <w:sz w:val="18"/>
                <w:szCs w:val="18"/>
              </w:rPr>
              <w:t>5</w:t>
            </w:r>
            <w:r w:rsidRPr="00184A8E">
              <w:rPr>
                <w:rFonts w:ascii="Arial" w:eastAsia="Calibri" w:hAnsi="Arial" w:cs="Arial"/>
                <w:sz w:val="18"/>
                <w:szCs w:val="18"/>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A9F4715" w14:textId="33BB8D4C"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C7439A">
              <w:rPr>
                <w:rFonts w:ascii="Arial" w:eastAsia="Calibri" w:hAnsi="Arial" w:cs="Arial"/>
                <w:sz w:val="18"/>
                <w:szCs w:val="18"/>
              </w:rPr>
              <w:t>6</w:t>
            </w:r>
            <w:r w:rsidRPr="00184A8E">
              <w:rPr>
                <w:rFonts w:ascii="Arial" w:eastAsia="Calibri" w:hAnsi="Arial" w:cs="Arial"/>
                <w:sz w:val="18"/>
                <w:szCs w:val="18"/>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76BC75" w14:textId="51DC87E6" w:rsidR="00184A8E" w:rsidRPr="00184A8E" w:rsidRDefault="00184A8E" w:rsidP="00184A8E">
            <w:pPr>
              <w:jc w:val="center"/>
              <w:rPr>
                <w:rFonts w:ascii="Arial" w:eastAsia="Calibri" w:hAnsi="Arial" w:cs="Arial"/>
                <w:sz w:val="18"/>
                <w:szCs w:val="18"/>
              </w:rPr>
            </w:pPr>
            <w:r w:rsidRPr="00184A8E">
              <w:rPr>
                <w:rFonts w:ascii="Arial" w:eastAsia="Calibri" w:hAnsi="Arial" w:cs="Arial"/>
                <w:sz w:val="18"/>
                <w:szCs w:val="18"/>
              </w:rPr>
              <w:t>Ciljana vrijednost 202</w:t>
            </w:r>
            <w:r w:rsidR="00C7439A">
              <w:rPr>
                <w:rFonts w:ascii="Arial" w:eastAsia="Calibri" w:hAnsi="Arial" w:cs="Arial"/>
                <w:sz w:val="18"/>
                <w:szCs w:val="18"/>
              </w:rPr>
              <w:t>7</w:t>
            </w:r>
            <w:r w:rsidRPr="00184A8E">
              <w:rPr>
                <w:rFonts w:ascii="Arial" w:eastAsia="Calibri" w:hAnsi="Arial" w:cs="Arial"/>
                <w:sz w:val="18"/>
                <w:szCs w:val="18"/>
              </w:rPr>
              <w:t>.</w:t>
            </w:r>
          </w:p>
        </w:tc>
      </w:tr>
      <w:tr w:rsidR="00184A8E" w:rsidRPr="00184A8E" w14:paraId="09751393" w14:textId="77777777" w:rsidTr="00410A4B">
        <w:trPr>
          <w:trHeight w:val="369"/>
          <w:jc w:val="center"/>
        </w:trPr>
        <w:tc>
          <w:tcPr>
            <w:tcW w:w="3114" w:type="dxa"/>
            <w:vAlign w:val="center"/>
          </w:tcPr>
          <w:p w14:paraId="13ACC38B" w14:textId="77777777" w:rsidR="00184A8E" w:rsidRPr="00184A8E" w:rsidRDefault="00184A8E" w:rsidP="00184A8E">
            <w:pPr>
              <w:rPr>
                <w:rFonts w:ascii="Arial" w:hAnsi="Arial" w:cs="Arial"/>
                <w:sz w:val="18"/>
                <w:szCs w:val="18"/>
              </w:rPr>
            </w:pPr>
            <w:r w:rsidRPr="00184A8E">
              <w:rPr>
                <w:rFonts w:ascii="Arial" w:eastAsia="Calibri" w:hAnsi="Arial" w:cs="Arial"/>
                <w:sz w:val="18"/>
                <w:szCs w:val="18"/>
              </w:rPr>
              <w:t xml:space="preserve">Redovito podmirivanje svih obveza za </w:t>
            </w:r>
            <w:r w:rsidRPr="00184A8E">
              <w:rPr>
                <w:rFonts w:ascii="Arial" w:eastAsia="Calibri" w:hAnsi="Arial" w:cs="Arial"/>
                <w:iCs/>
                <w:sz w:val="18"/>
                <w:szCs w:val="18"/>
              </w:rPr>
              <w:t>sufinanciranje nerentabilnih linija</w:t>
            </w:r>
          </w:p>
        </w:tc>
        <w:tc>
          <w:tcPr>
            <w:tcW w:w="3123" w:type="dxa"/>
            <w:vAlign w:val="center"/>
          </w:tcPr>
          <w:p w14:paraId="65D65A06" w14:textId="77777777" w:rsidR="00184A8E" w:rsidRPr="00184A8E" w:rsidRDefault="00184A8E" w:rsidP="00184A8E">
            <w:pPr>
              <w:jc w:val="both"/>
              <w:rPr>
                <w:rFonts w:ascii="Arial" w:hAnsi="Arial" w:cs="Arial"/>
                <w:sz w:val="18"/>
                <w:szCs w:val="18"/>
              </w:rPr>
            </w:pPr>
            <w:r w:rsidRPr="00184A8E">
              <w:rPr>
                <w:rFonts w:ascii="Arial" w:eastAsia="Calibri" w:hAnsi="Arial" w:cs="Arial"/>
                <w:sz w:val="18"/>
                <w:szCs w:val="18"/>
              </w:rPr>
              <w:t xml:space="preserve">Pravovremeno podmirivanje troškova </w:t>
            </w:r>
          </w:p>
        </w:tc>
        <w:tc>
          <w:tcPr>
            <w:tcW w:w="958" w:type="dxa"/>
            <w:tcBorders>
              <w:top w:val="single" w:sz="4" w:space="0" w:color="auto"/>
              <w:left w:val="single" w:sz="4" w:space="0" w:color="auto"/>
              <w:bottom w:val="single" w:sz="4" w:space="0" w:color="auto"/>
              <w:right w:val="single" w:sz="4" w:space="0" w:color="auto"/>
            </w:tcBorders>
            <w:vAlign w:val="center"/>
          </w:tcPr>
          <w:p w14:paraId="6B4890A9"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9E2A698"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71DF127"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2B96081"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1CB7E798"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563C6492"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65EB2847"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100</w:t>
            </w:r>
          </w:p>
        </w:tc>
      </w:tr>
      <w:bookmarkEnd w:id="608"/>
    </w:tbl>
    <w:p w14:paraId="6B7C917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4EBD4D7F" w14:textId="24E582BC" w:rsidR="00676A9B" w:rsidRDefault="00184A8E" w:rsidP="00184A8E">
      <w:pPr>
        <w:autoSpaceDE w:val="0"/>
        <w:autoSpaceDN w:val="0"/>
        <w:adjustRightInd w:val="0"/>
        <w:contextualSpacing/>
        <w:rPr>
          <w:rFonts w:ascii="Arial" w:eastAsia="Calibri" w:hAnsi="Arial" w:cs="Arial"/>
        </w:rPr>
      </w:pPr>
      <w:r w:rsidRPr="00184A8E">
        <w:rPr>
          <w:rFonts w:ascii="Arial" w:eastAsia="Calibri" w:hAnsi="Arial" w:cs="Arial"/>
          <w:sz w:val="20"/>
          <w:szCs w:val="20"/>
        </w:rPr>
        <w:br w:type="page"/>
      </w:r>
    </w:p>
    <w:p w14:paraId="401BE3B7" w14:textId="77777777" w:rsidR="00B95A8E" w:rsidRPr="003A2F86" w:rsidRDefault="00B95A8E" w:rsidP="00B95A8E">
      <w:pPr>
        <w:spacing w:after="0" w:line="240" w:lineRule="auto"/>
        <w:jc w:val="both"/>
        <w:rPr>
          <w:rFonts w:ascii="Arial" w:eastAsia="Calibri" w:hAnsi="Arial" w:cs="Arial"/>
          <w:sz w:val="20"/>
          <w:szCs w:val="20"/>
        </w:rPr>
      </w:pPr>
    </w:p>
    <w:p w14:paraId="08FBBF6C" w14:textId="45626219" w:rsidR="00B95A8E" w:rsidRPr="003A2F86" w:rsidRDefault="00B95A8E" w:rsidP="00375FAF">
      <w:pPr>
        <w:pStyle w:val="Naslov4"/>
        <w:rPr>
          <w:rFonts w:eastAsia="Calibri"/>
          <w:lang w:val="hr-HR"/>
        </w:rPr>
      </w:pPr>
      <w:bookmarkStart w:id="609" w:name="_Toc232981472"/>
      <w:r w:rsidRPr="003A2F86">
        <w:rPr>
          <w:rFonts w:eastAsia="Calibri"/>
          <w:lang w:val="hr-HR"/>
        </w:rPr>
        <w:t>3.</w:t>
      </w:r>
      <w:r w:rsidR="00375FAF" w:rsidRPr="003A2F86">
        <w:rPr>
          <w:rFonts w:eastAsia="Calibri"/>
          <w:lang w:val="hr-HR"/>
        </w:rPr>
        <w:t>3.</w:t>
      </w:r>
      <w:r w:rsidR="00AE2BD5" w:rsidRPr="003A2F86">
        <w:rPr>
          <w:rFonts w:eastAsia="Calibri"/>
          <w:lang w:val="hr-HR"/>
        </w:rPr>
        <w:t>3.2.</w:t>
      </w:r>
      <w:r w:rsidRPr="003A2F86">
        <w:rPr>
          <w:rFonts w:eastAsia="Calibri"/>
          <w:lang w:val="hr-HR"/>
        </w:rPr>
        <w:tab/>
        <w:t>GLAVA: (030 02) USTANOVA ZA VATROGASNU DJELATNOST</w:t>
      </w:r>
      <w:bookmarkEnd w:id="609"/>
      <w:r w:rsidRPr="003A2F86">
        <w:rPr>
          <w:rFonts w:eastAsia="Calibri"/>
          <w:lang w:val="hr-HR"/>
        </w:rPr>
        <w:t xml:space="preserve"> </w:t>
      </w:r>
    </w:p>
    <w:p w14:paraId="3CEB40D7" w14:textId="77777777" w:rsidR="00B95A8E" w:rsidRPr="003A2F86" w:rsidRDefault="00B95A8E" w:rsidP="00B95A8E">
      <w:pPr>
        <w:autoSpaceDE w:val="0"/>
        <w:autoSpaceDN w:val="0"/>
        <w:adjustRightInd w:val="0"/>
        <w:spacing w:after="0" w:line="240" w:lineRule="auto"/>
        <w:jc w:val="both"/>
        <w:rPr>
          <w:rFonts w:ascii="Arial" w:eastAsia="Calibri" w:hAnsi="Arial" w:cs="Arial"/>
          <w:sz w:val="20"/>
          <w:szCs w:val="20"/>
        </w:rPr>
      </w:pPr>
    </w:p>
    <w:p w14:paraId="28235132" w14:textId="77777777" w:rsidR="00B95A8E" w:rsidRPr="003A2F86" w:rsidRDefault="00B95A8E" w:rsidP="00B95A8E">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U razdjelu 030 UPRAVNI ODJEL ZA KOMUNALNI SUSTAV I GOSPODARENJE NEKRETNINAMA, glava 030 02 Ustanova </w:t>
      </w:r>
      <w:r w:rsidR="0066305F" w:rsidRPr="003A2F86">
        <w:rPr>
          <w:rFonts w:ascii="Arial" w:eastAsia="Calibri" w:hAnsi="Arial" w:cs="Arial"/>
          <w:sz w:val="20"/>
          <w:szCs w:val="20"/>
        </w:rPr>
        <w:t>za vatrogasnu djelatnost</w:t>
      </w:r>
      <w:r w:rsidRPr="003A2F86">
        <w:rPr>
          <w:rFonts w:ascii="Arial" w:eastAsia="Calibri" w:hAnsi="Arial" w:cs="Arial"/>
          <w:sz w:val="20"/>
          <w:szCs w:val="20"/>
        </w:rPr>
        <w:t xml:space="preserve">, izvodi se jedan program. </w:t>
      </w:r>
    </w:p>
    <w:p w14:paraId="6DEEC3E0" w14:textId="77777777" w:rsidR="00B95A8E" w:rsidRPr="003A2F86" w:rsidRDefault="00B95A8E" w:rsidP="00B95A8E">
      <w:pPr>
        <w:spacing w:after="0" w:line="240" w:lineRule="auto"/>
        <w:jc w:val="both"/>
        <w:rPr>
          <w:rFonts w:ascii="Arial" w:eastAsia="Times New Roman" w:hAnsi="Arial" w:cs="Arial"/>
          <w:sz w:val="20"/>
          <w:szCs w:val="20"/>
          <w:lang w:eastAsia="en-US"/>
        </w:rPr>
      </w:pPr>
    </w:p>
    <w:p w14:paraId="785DC35F" w14:textId="77777777" w:rsidR="007320FD" w:rsidRPr="003A2F86" w:rsidRDefault="007320FD" w:rsidP="00F1100F">
      <w:pPr>
        <w:pStyle w:val="Naslov3"/>
        <w:rPr>
          <w:rFonts w:eastAsia="Calibri"/>
          <w:lang w:val="hr-HR"/>
        </w:rPr>
      </w:pPr>
      <w:bookmarkStart w:id="610" w:name="_Toc36842151"/>
      <w:bookmarkStart w:id="611" w:name="_Toc232981473"/>
      <w:r w:rsidRPr="003A2F86">
        <w:rPr>
          <w:rFonts w:eastAsia="Calibri"/>
          <w:lang w:val="hr-HR"/>
        </w:rPr>
        <w:t>Program (2071): Redovna djelatnost javne vatrogasne postrojbe</w:t>
      </w:r>
      <w:bookmarkEnd w:id="610"/>
      <w:bookmarkEnd w:id="611"/>
    </w:p>
    <w:p w14:paraId="401D0986" w14:textId="77777777" w:rsidR="007320FD" w:rsidRPr="003A2F86" w:rsidRDefault="007320FD" w:rsidP="007320FD">
      <w:pPr>
        <w:spacing w:after="0" w:line="240" w:lineRule="auto"/>
        <w:rPr>
          <w:rFonts w:ascii="Times New Roman" w:eastAsia="Calibri" w:hAnsi="Times New Roman" w:cs="Times New Roman"/>
          <w:sz w:val="20"/>
          <w:szCs w:val="20"/>
          <w:lang w:eastAsia="en-US"/>
        </w:rPr>
      </w:pPr>
    </w:p>
    <w:tbl>
      <w:tblPr>
        <w:tblW w:w="13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39"/>
        <w:gridCol w:w="567"/>
        <w:gridCol w:w="8930"/>
      </w:tblGrid>
      <w:tr w:rsidR="00CC60DA" w:rsidRPr="003A2F86" w14:paraId="2339EE1F" w14:textId="77777777" w:rsidTr="00596E8D">
        <w:tc>
          <w:tcPr>
            <w:tcW w:w="4139" w:type="dxa"/>
            <w:tcBorders>
              <w:top w:val="single" w:sz="4" w:space="0" w:color="auto"/>
              <w:left w:val="single" w:sz="4" w:space="0" w:color="auto"/>
              <w:bottom w:val="single" w:sz="4" w:space="0" w:color="auto"/>
              <w:right w:val="single" w:sz="4" w:space="0" w:color="auto"/>
            </w:tcBorders>
            <w:shd w:val="solid" w:color="B4B4B4" w:fill="auto"/>
          </w:tcPr>
          <w:p w14:paraId="350336D1" w14:textId="77777777" w:rsidR="007320FD" w:rsidRPr="003A2F86" w:rsidRDefault="007320FD" w:rsidP="007320FD">
            <w:pPr>
              <w:spacing w:after="0" w:line="240" w:lineRule="auto"/>
              <w:jc w:val="center"/>
              <w:rPr>
                <w:rFonts w:ascii="Arial" w:eastAsia="Times New Roman" w:hAnsi="Arial" w:cs="Arial"/>
                <w:sz w:val="20"/>
                <w:szCs w:val="20"/>
                <w:lang w:eastAsia="en-US"/>
              </w:rPr>
            </w:pPr>
            <w:r w:rsidRPr="003A2F86">
              <w:rPr>
                <w:rFonts w:ascii="Arial" w:eastAsia="Times New Roman" w:hAnsi="Arial" w:cs="Arial"/>
                <w:sz w:val="20"/>
                <w:szCs w:val="20"/>
                <w:lang w:eastAsia="en-US"/>
              </w:rPr>
              <w:t>PROGRAM</w:t>
            </w:r>
          </w:p>
        </w:tc>
        <w:tc>
          <w:tcPr>
            <w:tcW w:w="567" w:type="dxa"/>
            <w:tcBorders>
              <w:top w:val="single" w:sz="4" w:space="0" w:color="auto"/>
              <w:left w:val="single" w:sz="4" w:space="0" w:color="auto"/>
              <w:bottom w:val="single" w:sz="4" w:space="0" w:color="auto"/>
              <w:right w:val="single" w:sz="4" w:space="0" w:color="auto"/>
            </w:tcBorders>
            <w:shd w:val="solid" w:color="B4B4B4" w:fill="auto"/>
          </w:tcPr>
          <w:p w14:paraId="575AC14C" w14:textId="77777777" w:rsidR="007320FD" w:rsidRPr="003A2F86" w:rsidRDefault="007320FD" w:rsidP="007320FD">
            <w:pPr>
              <w:spacing w:after="0" w:line="240" w:lineRule="auto"/>
              <w:rPr>
                <w:rFonts w:ascii="Arial" w:eastAsia="Times New Roman" w:hAnsi="Arial" w:cs="Arial"/>
                <w:b/>
                <w:sz w:val="20"/>
                <w:szCs w:val="20"/>
                <w:lang w:eastAsia="en-US"/>
              </w:rPr>
            </w:pPr>
            <w:r w:rsidRPr="003A2F86">
              <w:rPr>
                <w:rFonts w:ascii="Arial" w:eastAsia="Times New Roman" w:hAnsi="Arial" w:cs="Arial"/>
                <w:b/>
                <w:sz w:val="20"/>
                <w:szCs w:val="20"/>
                <w:lang w:eastAsia="en-US"/>
              </w:rPr>
              <w:t>2071</w:t>
            </w:r>
          </w:p>
        </w:tc>
        <w:tc>
          <w:tcPr>
            <w:tcW w:w="8930" w:type="dxa"/>
            <w:tcBorders>
              <w:top w:val="single" w:sz="4" w:space="0" w:color="auto"/>
              <w:left w:val="single" w:sz="4" w:space="0" w:color="auto"/>
              <w:bottom w:val="single" w:sz="4" w:space="0" w:color="auto"/>
              <w:right w:val="single" w:sz="4" w:space="0" w:color="auto"/>
            </w:tcBorders>
            <w:shd w:val="solid" w:color="B4B4B4" w:fill="auto"/>
          </w:tcPr>
          <w:p w14:paraId="4FB6647D" w14:textId="77777777" w:rsidR="007320FD" w:rsidRPr="003A2F86" w:rsidRDefault="007320FD" w:rsidP="007320FD">
            <w:pPr>
              <w:spacing w:after="0" w:line="240" w:lineRule="auto"/>
              <w:rPr>
                <w:rFonts w:ascii="Arial" w:eastAsia="Times New Roman" w:hAnsi="Arial" w:cs="Arial"/>
                <w:sz w:val="20"/>
                <w:szCs w:val="20"/>
                <w:lang w:eastAsia="en-US"/>
              </w:rPr>
            </w:pPr>
            <w:r w:rsidRPr="003A2F86">
              <w:rPr>
                <w:rFonts w:ascii="Arial" w:eastAsia="Times New Roman" w:hAnsi="Arial" w:cs="Arial"/>
                <w:sz w:val="20"/>
                <w:szCs w:val="20"/>
                <w:lang w:eastAsia="en-US"/>
              </w:rPr>
              <w:t>Redovna djelatnost vatrogasne postrojbe</w:t>
            </w:r>
          </w:p>
        </w:tc>
      </w:tr>
    </w:tbl>
    <w:p w14:paraId="0070E585" w14:textId="77777777" w:rsidR="007320FD" w:rsidRPr="003A2F86" w:rsidRDefault="007320FD" w:rsidP="007320FD">
      <w:pPr>
        <w:spacing w:after="0" w:line="240" w:lineRule="auto"/>
        <w:rPr>
          <w:rFonts w:ascii="Times New Roman" w:eastAsia="Times New Roman" w:hAnsi="Times New Roman" w:cs="Arial"/>
          <w:sz w:val="20"/>
          <w:szCs w:val="20"/>
          <w:lang w:eastAsia="en-US"/>
        </w:rPr>
      </w:pPr>
      <w:r w:rsidRPr="003A2F86">
        <w:rPr>
          <w:rFonts w:ascii="Times New Roman" w:eastAsia="Times New Roman" w:hAnsi="Times New Roman" w:cs="Arial"/>
          <w:noProof/>
          <w:sz w:val="20"/>
          <w:szCs w:val="20"/>
        </w:rPr>
        <w:drawing>
          <wp:inline distT="0" distB="0" distL="0" distR="0" wp14:anchorId="445AD94A" wp14:editId="6C4EB622">
            <wp:extent cx="6383655" cy="163830"/>
            <wp:effectExtent l="19050" t="0" r="0" b="0"/>
            <wp:docPr id="7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3" cstate="print"/>
                    <a:srcRect/>
                    <a:stretch>
                      <a:fillRect/>
                    </a:stretch>
                  </pic:blipFill>
                  <pic:spPr bwMode="auto">
                    <a:xfrm>
                      <a:off x="0" y="0"/>
                      <a:ext cx="6383655" cy="163830"/>
                    </a:xfrm>
                    <a:prstGeom prst="rect">
                      <a:avLst/>
                    </a:prstGeom>
                    <a:noFill/>
                    <a:ln w="9525">
                      <a:noFill/>
                      <a:miter lim="800000"/>
                      <a:headEnd/>
                      <a:tailEnd/>
                    </a:ln>
                  </pic:spPr>
                </pic:pic>
              </a:graphicData>
            </a:graphic>
          </wp:inline>
        </w:drawing>
      </w:r>
    </w:p>
    <w:p w14:paraId="0621D305" w14:textId="77777777" w:rsidR="007320FD" w:rsidRPr="003A2F86" w:rsidRDefault="007320FD" w:rsidP="007320FD">
      <w:pPr>
        <w:spacing w:after="0" w:line="240" w:lineRule="auto"/>
        <w:jc w:val="both"/>
        <w:rPr>
          <w:rFonts w:ascii="Arial" w:eastAsia="Times New Roman" w:hAnsi="Arial" w:cs="Arial"/>
          <w:sz w:val="20"/>
          <w:szCs w:val="20"/>
          <w:lang w:eastAsia="en-US"/>
        </w:rPr>
      </w:pPr>
    </w:p>
    <w:p w14:paraId="5AA92708" w14:textId="1DA3EE0C" w:rsidR="007320FD" w:rsidRPr="003A2F86" w:rsidRDefault="007320FD" w:rsidP="007320FD">
      <w:pPr>
        <w:spacing w:after="0" w:line="240" w:lineRule="auto"/>
        <w:jc w:val="both"/>
        <w:rPr>
          <w:rFonts w:ascii="Arial" w:eastAsia="Times New Roman" w:hAnsi="Arial" w:cs="Arial"/>
          <w:b/>
          <w:sz w:val="20"/>
          <w:szCs w:val="20"/>
          <w:lang w:eastAsia="en-US"/>
        </w:rPr>
      </w:pPr>
      <w:r w:rsidRPr="003A2F86">
        <w:rPr>
          <w:rFonts w:ascii="Arial" w:eastAsia="Times New Roman" w:hAnsi="Arial" w:cs="Arial"/>
          <w:sz w:val="20"/>
          <w:szCs w:val="20"/>
          <w:lang w:eastAsia="en-US"/>
        </w:rPr>
        <w:t xml:space="preserve">Obrazloženje izvršenja PROGRAMA 2071 Redovna djelatnost javne vatrogasne postrojbe, Javna vatrogasna postrojba Konavle iskazuje se u </w:t>
      </w:r>
      <w:r w:rsidRPr="003A2F86">
        <w:rPr>
          <w:rFonts w:ascii="Arial" w:eastAsia="Times New Roman" w:hAnsi="Arial" w:cs="Arial"/>
          <w:color w:val="FF0000"/>
          <w:sz w:val="20"/>
          <w:szCs w:val="20"/>
          <w:lang w:eastAsia="en-US"/>
        </w:rPr>
        <w:t xml:space="preserve">točki </w:t>
      </w:r>
      <w:r w:rsidR="00F1100F" w:rsidRPr="003A2F86">
        <w:rPr>
          <w:rFonts w:ascii="Arial" w:eastAsia="Times New Roman" w:hAnsi="Arial" w:cs="Arial"/>
          <w:b/>
          <w:color w:val="FF0000"/>
          <w:sz w:val="20"/>
          <w:szCs w:val="20"/>
          <w:lang w:eastAsia="en-US"/>
        </w:rPr>
        <w:t>3</w:t>
      </w:r>
      <w:r w:rsidRPr="003A2F86">
        <w:rPr>
          <w:rFonts w:ascii="Arial" w:eastAsia="Times New Roman" w:hAnsi="Arial" w:cs="Arial"/>
          <w:b/>
          <w:color w:val="FF0000"/>
          <w:sz w:val="20"/>
          <w:szCs w:val="20"/>
          <w:lang w:eastAsia="en-US"/>
        </w:rPr>
        <w:t>.</w:t>
      </w:r>
      <w:r w:rsidR="00F1100F" w:rsidRPr="003A2F86">
        <w:rPr>
          <w:rFonts w:ascii="Arial" w:eastAsia="Times New Roman" w:hAnsi="Arial" w:cs="Arial"/>
          <w:b/>
          <w:color w:val="FF0000"/>
          <w:sz w:val="20"/>
          <w:szCs w:val="20"/>
          <w:lang w:eastAsia="en-US"/>
        </w:rPr>
        <w:t>4</w:t>
      </w:r>
      <w:r w:rsidRPr="003A2F86">
        <w:rPr>
          <w:rFonts w:ascii="Arial" w:eastAsia="Times New Roman" w:hAnsi="Arial" w:cs="Arial"/>
          <w:b/>
          <w:color w:val="FF0000"/>
          <w:sz w:val="20"/>
          <w:szCs w:val="20"/>
          <w:lang w:eastAsia="en-US"/>
        </w:rPr>
        <w:t>.</w:t>
      </w:r>
      <w:r w:rsidRPr="003A2F86">
        <w:rPr>
          <w:rFonts w:ascii="Arial" w:eastAsia="Times New Roman" w:hAnsi="Arial" w:cs="Arial"/>
          <w:color w:val="FF0000"/>
          <w:sz w:val="20"/>
          <w:szCs w:val="20"/>
          <w:lang w:eastAsia="en-US"/>
        </w:rPr>
        <w:t xml:space="preserve"> </w:t>
      </w:r>
      <w:r w:rsidRPr="003A2F86">
        <w:rPr>
          <w:rFonts w:ascii="Arial" w:eastAsia="Times New Roman" w:hAnsi="Arial" w:cs="Arial"/>
          <w:b/>
          <w:sz w:val="20"/>
          <w:szCs w:val="20"/>
        </w:rPr>
        <w:t xml:space="preserve">POSEBNI DIO PRORAČUNA – IZVRŠENJE FINANCIJSKIH PLANOVA PRORAČUNSKIH KORISNIKA SIJEČANJ – </w:t>
      </w:r>
      <w:r w:rsidR="00C7439A">
        <w:rPr>
          <w:rFonts w:ascii="Arial" w:eastAsia="Times New Roman" w:hAnsi="Arial" w:cs="Arial"/>
          <w:b/>
          <w:sz w:val="20"/>
          <w:szCs w:val="20"/>
        </w:rPr>
        <w:t>PROSINAC</w:t>
      </w:r>
      <w:r w:rsidRPr="003A2F86">
        <w:rPr>
          <w:rFonts w:ascii="Arial" w:eastAsia="Times New Roman" w:hAnsi="Arial" w:cs="Arial"/>
          <w:b/>
          <w:sz w:val="20"/>
          <w:szCs w:val="20"/>
        </w:rPr>
        <w:t xml:space="preserve"> 20</w:t>
      </w:r>
      <w:r w:rsidR="00114EBC" w:rsidRPr="003A2F86">
        <w:rPr>
          <w:rFonts w:ascii="Arial" w:eastAsia="Times New Roman" w:hAnsi="Arial" w:cs="Arial"/>
          <w:b/>
          <w:sz w:val="20"/>
          <w:szCs w:val="20"/>
        </w:rPr>
        <w:t>2</w:t>
      </w:r>
      <w:r w:rsidR="00D23FEF">
        <w:rPr>
          <w:rFonts w:ascii="Arial" w:eastAsia="Times New Roman" w:hAnsi="Arial" w:cs="Arial"/>
          <w:b/>
          <w:sz w:val="20"/>
          <w:szCs w:val="20"/>
        </w:rPr>
        <w:t>5</w:t>
      </w:r>
      <w:r w:rsidRPr="003A2F86">
        <w:rPr>
          <w:rFonts w:ascii="Arial" w:eastAsia="Times New Roman" w:hAnsi="Arial" w:cs="Arial"/>
          <w:b/>
          <w:sz w:val="20"/>
          <w:szCs w:val="20"/>
        </w:rPr>
        <w:t xml:space="preserve">., </w:t>
      </w:r>
      <w:hyperlink w:anchor="_3.4.4._GLAVA:_(030" w:history="1">
        <w:r w:rsidR="00F1100F" w:rsidRPr="004C4D68">
          <w:rPr>
            <w:rStyle w:val="Hiperveza"/>
            <w:rFonts w:ascii="Arial" w:eastAsia="Times New Roman" w:hAnsi="Arial" w:cs="Arial"/>
            <w:b/>
            <w:sz w:val="20"/>
            <w:szCs w:val="20"/>
          </w:rPr>
          <w:t>3</w:t>
        </w:r>
        <w:r w:rsidRPr="004C4D68">
          <w:rPr>
            <w:rStyle w:val="Hiperveza"/>
            <w:rFonts w:ascii="Arial" w:eastAsia="Times New Roman" w:hAnsi="Arial" w:cs="Arial"/>
            <w:b/>
            <w:sz w:val="20"/>
            <w:szCs w:val="20"/>
          </w:rPr>
          <w:t>.</w:t>
        </w:r>
        <w:r w:rsidR="00F1100F" w:rsidRPr="004C4D68">
          <w:rPr>
            <w:rStyle w:val="Hiperveza"/>
            <w:rFonts w:ascii="Arial" w:eastAsia="Times New Roman" w:hAnsi="Arial" w:cs="Arial"/>
            <w:b/>
            <w:sz w:val="20"/>
            <w:szCs w:val="20"/>
          </w:rPr>
          <w:t>4</w:t>
        </w:r>
        <w:r w:rsidRPr="004C4D68">
          <w:rPr>
            <w:rStyle w:val="Hiperveza"/>
            <w:rFonts w:ascii="Arial" w:eastAsia="Times New Roman" w:hAnsi="Arial" w:cs="Arial"/>
            <w:b/>
            <w:sz w:val="20"/>
            <w:szCs w:val="20"/>
          </w:rPr>
          <w:t>.4. Javna vatrogasna postrojba Konavle</w:t>
        </w:r>
      </w:hyperlink>
      <w:r w:rsidRPr="003A2F86">
        <w:rPr>
          <w:rFonts w:ascii="Arial" w:eastAsia="Times New Roman" w:hAnsi="Arial" w:cs="Arial"/>
          <w:b/>
          <w:sz w:val="20"/>
          <w:szCs w:val="20"/>
        </w:rPr>
        <w:t>.</w:t>
      </w:r>
    </w:p>
    <w:p w14:paraId="264B366E" w14:textId="77777777" w:rsidR="00B95A8E" w:rsidRPr="003A2F86" w:rsidRDefault="00B95A8E" w:rsidP="00891119">
      <w:pPr>
        <w:spacing w:after="0" w:line="240" w:lineRule="auto"/>
        <w:jc w:val="both"/>
        <w:rPr>
          <w:rFonts w:ascii="Arial" w:eastAsia="Calibri" w:hAnsi="Arial" w:cs="Arial"/>
          <w:sz w:val="20"/>
          <w:szCs w:val="20"/>
        </w:rPr>
      </w:pPr>
    </w:p>
    <w:p w14:paraId="2E73F05B" w14:textId="77777777" w:rsidR="007320FD" w:rsidRPr="003A2F86" w:rsidRDefault="007320FD">
      <w:pPr>
        <w:rPr>
          <w:rFonts w:ascii="Arial" w:eastAsia="Calibri" w:hAnsi="Arial" w:cs="Arial"/>
          <w:sz w:val="20"/>
          <w:szCs w:val="20"/>
        </w:rPr>
      </w:pPr>
      <w:r w:rsidRPr="003A2F86">
        <w:rPr>
          <w:rFonts w:ascii="Arial" w:eastAsia="Calibri" w:hAnsi="Arial" w:cs="Arial"/>
          <w:sz w:val="20"/>
          <w:szCs w:val="20"/>
        </w:rPr>
        <w:br w:type="page"/>
      </w:r>
    </w:p>
    <w:p w14:paraId="30D89718" w14:textId="241E8B84" w:rsidR="00891119" w:rsidRPr="003A2F86" w:rsidRDefault="00AE2BD5" w:rsidP="00375FAF">
      <w:pPr>
        <w:pStyle w:val="Naslov3"/>
        <w:rPr>
          <w:rFonts w:eastAsia="Calibri"/>
          <w:lang w:val="hr-HR"/>
        </w:rPr>
      </w:pPr>
      <w:bookmarkStart w:id="612" w:name="_Toc232981474"/>
      <w:r w:rsidRPr="003A2F86">
        <w:rPr>
          <w:rFonts w:eastAsia="Calibri"/>
          <w:lang w:val="hr-HR"/>
        </w:rPr>
        <w:lastRenderedPageBreak/>
        <w:t>3.</w:t>
      </w:r>
      <w:r w:rsidR="00375FAF" w:rsidRPr="003A2F86">
        <w:rPr>
          <w:rFonts w:eastAsia="Calibri"/>
          <w:lang w:val="hr-HR"/>
        </w:rPr>
        <w:t>3</w:t>
      </w:r>
      <w:r w:rsidRPr="003A2F86">
        <w:rPr>
          <w:rFonts w:eastAsia="Calibri"/>
          <w:lang w:val="hr-HR"/>
        </w:rPr>
        <w:t>.</w:t>
      </w:r>
      <w:r w:rsidR="00891119" w:rsidRPr="003A2F86">
        <w:rPr>
          <w:rFonts w:eastAsia="Calibri"/>
          <w:lang w:val="hr-HR"/>
        </w:rPr>
        <w:t>4.</w:t>
      </w:r>
      <w:r w:rsidR="00891119" w:rsidRPr="003A2F86">
        <w:rPr>
          <w:rFonts w:eastAsia="Calibri"/>
          <w:lang w:val="hr-HR"/>
        </w:rPr>
        <w:tab/>
        <w:t>RAZDJEL: (040) UPRAVNI ODJEL ZA RURALNI RAZVOJ, GOSPODARSTVO I EU FONDOVE</w:t>
      </w:r>
      <w:bookmarkEnd w:id="612"/>
      <w:r w:rsidR="00891119" w:rsidRPr="003A2F86">
        <w:rPr>
          <w:rFonts w:eastAsia="Calibri"/>
          <w:lang w:val="hr-HR"/>
        </w:rPr>
        <w:t xml:space="preserve"> </w:t>
      </w:r>
    </w:p>
    <w:p w14:paraId="00294ADD" w14:textId="77777777" w:rsidR="00891119" w:rsidRPr="003A2F86" w:rsidRDefault="00891119" w:rsidP="00891119">
      <w:pPr>
        <w:spacing w:after="0" w:line="240" w:lineRule="auto"/>
        <w:rPr>
          <w:rFonts w:ascii="Times New Roman" w:eastAsia="Calibri" w:hAnsi="Times New Roman" w:cs="Arial"/>
          <w:sz w:val="20"/>
          <w:szCs w:val="20"/>
          <w:lang w:eastAsia="en-US"/>
        </w:rPr>
      </w:pPr>
    </w:p>
    <w:p w14:paraId="4B29BD47" w14:textId="2D63FB48" w:rsidR="00330748" w:rsidRPr="003A2F86" w:rsidRDefault="00330748" w:rsidP="00330748">
      <w:pPr>
        <w:spacing w:after="0" w:line="240" w:lineRule="auto"/>
        <w:jc w:val="both"/>
        <w:rPr>
          <w:rFonts w:ascii="Arial" w:eastAsia="Times New Roman" w:hAnsi="Arial" w:cs="Arial"/>
          <w:iCs/>
          <w:sz w:val="20"/>
          <w:szCs w:val="20"/>
          <w:lang w:eastAsia="en-US"/>
        </w:rPr>
      </w:pPr>
      <w:r w:rsidRPr="003A2F86">
        <w:rPr>
          <w:rFonts w:ascii="Arial" w:eastAsia="Times New Roman" w:hAnsi="Arial" w:cs="Arial"/>
          <w:iCs/>
          <w:sz w:val="20"/>
          <w:szCs w:val="20"/>
          <w:lang w:eastAsia="en-US"/>
        </w:rPr>
        <w:t>Rashodi i izdaci razdjela 040 (Upravni odjel za ruralni razvoj, gospodarstvo i EU fondove) odnose se na rashode jedne glave koja je sastavljena od šest programa podijeljenih u aktivnosti i projekte.</w:t>
      </w:r>
    </w:p>
    <w:p w14:paraId="19B20327" w14:textId="77777777" w:rsidR="005E5271" w:rsidRPr="003A2F86" w:rsidRDefault="005E5271" w:rsidP="00330748">
      <w:pPr>
        <w:spacing w:after="0" w:line="240" w:lineRule="auto"/>
        <w:jc w:val="both"/>
        <w:rPr>
          <w:rFonts w:ascii="Arial" w:eastAsia="Calibri" w:hAnsi="Arial" w:cs="Arial"/>
          <w:sz w:val="20"/>
          <w:szCs w:val="20"/>
          <w:lang w:eastAsia="en-US"/>
        </w:rPr>
      </w:pPr>
    </w:p>
    <w:p w14:paraId="1B00E685" w14:textId="3822C74F" w:rsidR="00155C45" w:rsidRPr="003A2F86" w:rsidRDefault="009B594B" w:rsidP="009B594B">
      <w:pPr>
        <w:spacing w:after="0" w:line="240" w:lineRule="auto"/>
        <w:jc w:val="center"/>
        <w:rPr>
          <w:rFonts w:ascii="Arial" w:eastAsia="Calibri" w:hAnsi="Arial" w:cs="Arial"/>
          <w:sz w:val="20"/>
          <w:szCs w:val="20"/>
          <w:lang w:eastAsia="en-US"/>
        </w:rPr>
      </w:pPr>
      <w:r w:rsidRPr="009B594B">
        <w:rPr>
          <w:noProof/>
        </w:rPr>
        <w:drawing>
          <wp:inline distT="0" distB="0" distL="0" distR="0" wp14:anchorId="27820496" wp14:editId="09F5DCC2">
            <wp:extent cx="8346440" cy="2296795"/>
            <wp:effectExtent l="0" t="0" r="0" b="8255"/>
            <wp:docPr id="5186235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8346440" cy="2296795"/>
                    </a:xfrm>
                    <a:prstGeom prst="rect">
                      <a:avLst/>
                    </a:prstGeom>
                    <a:noFill/>
                    <a:ln>
                      <a:noFill/>
                    </a:ln>
                  </pic:spPr>
                </pic:pic>
              </a:graphicData>
            </a:graphic>
          </wp:inline>
        </w:drawing>
      </w:r>
    </w:p>
    <w:tbl>
      <w:tblPr>
        <w:tblW w:w="1459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08"/>
        <w:gridCol w:w="12888"/>
      </w:tblGrid>
      <w:tr w:rsidR="00990BB5" w:rsidRPr="003A2F86" w14:paraId="588AE5DA" w14:textId="77777777" w:rsidTr="00BB3216">
        <w:tc>
          <w:tcPr>
            <w:tcW w:w="1708" w:type="dxa"/>
          </w:tcPr>
          <w:p w14:paraId="2689C68C" w14:textId="77777777" w:rsidR="00A23547" w:rsidRPr="003A2F86" w:rsidRDefault="00A23547" w:rsidP="00A23547">
            <w:pPr>
              <w:spacing w:after="0" w:line="240" w:lineRule="auto"/>
              <w:rPr>
                <w:rFonts w:ascii="Arial" w:eastAsia="Calibri" w:hAnsi="Arial" w:cs="Arial"/>
                <w:caps/>
                <w:sz w:val="20"/>
                <w:szCs w:val="20"/>
              </w:rPr>
            </w:pPr>
            <w:r w:rsidRPr="003A2F86">
              <w:rPr>
                <w:rFonts w:ascii="Arial" w:eastAsia="Calibri" w:hAnsi="Arial" w:cs="Arial"/>
                <w:caps/>
                <w:sz w:val="20"/>
                <w:szCs w:val="20"/>
              </w:rPr>
              <w:t>Sažetak djelokruga rada</w:t>
            </w:r>
          </w:p>
        </w:tc>
        <w:tc>
          <w:tcPr>
            <w:tcW w:w="12888" w:type="dxa"/>
            <w:vAlign w:val="bottom"/>
          </w:tcPr>
          <w:p w14:paraId="0E92A0FC" w14:textId="77777777" w:rsidR="00A23547" w:rsidRPr="003A2F86" w:rsidRDefault="00A23547" w:rsidP="00A23547">
            <w:pPr>
              <w:spacing w:after="0" w:line="240" w:lineRule="auto"/>
              <w:rPr>
                <w:rFonts w:ascii="Arial" w:eastAsia="Calibri" w:hAnsi="Arial" w:cs="Arial"/>
                <w:sz w:val="20"/>
                <w:szCs w:val="20"/>
              </w:rPr>
            </w:pPr>
            <w:r w:rsidRPr="003A2F86">
              <w:rPr>
                <w:rFonts w:ascii="Arial" w:eastAsia="Calibri" w:hAnsi="Arial" w:cs="Arial"/>
                <w:sz w:val="20"/>
                <w:szCs w:val="20"/>
              </w:rPr>
              <w:t>Upravni odjel za ruralni razvoj, gospodarstvo i EU fondove je ustrojen Odlukom Općinskog vijeća od 26. srpnja 2017. godine.</w:t>
            </w:r>
          </w:p>
          <w:p w14:paraId="2A3698E6" w14:textId="77777777" w:rsidR="00A23547" w:rsidRPr="003A2F86" w:rsidRDefault="00A23547" w:rsidP="00A23547">
            <w:pPr>
              <w:spacing w:after="0" w:line="240" w:lineRule="auto"/>
              <w:rPr>
                <w:rFonts w:ascii="Arial" w:eastAsia="Calibri" w:hAnsi="Arial" w:cs="Arial"/>
                <w:sz w:val="20"/>
                <w:szCs w:val="20"/>
              </w:rPr>
            </w:pPr>
            <w:r w:rsidRPr="003A2F86">
              <w:rPr>
                <w:rFonts w:ascii="Arial" w:eastAsia="Calibri" w:hAnsi="Arial" w:cs="Arial"/>
                <w:sz w:val="20"/>
                <w:szCs w:val="20"/>
              </w:rPr>
              <w:t>U nadležnosti rada upravnog odjela je izdvojen dio programa koji je do osnivanja odjela bio u nadležnosti razdjela 020, glava 02001 Upravni odjel za proračun, financije i gospodarstvo, a to su: PROGRAMI 2061, 2062, 2063 i 2064. U nastavku obrazloženja navode se spomenuti programi preneseni u nadležnost ovog odjela. Ukoliko je kod pojedinih programa (odnosno aktivnosti unutar programa) postojalo izvršenje ranijih godina isti iznosi će biti iskazani u prikazu plan/izvršenje u okviru ovog razdjela kako bi se lakše pratio kontinuitet podataka.</w:t>
            </w:r>
          </w:p>
          <w:p w14:paraId="0B946F9F" w14:textId="77777777" w:rsidR="00A23547" w:rsidRPr="003A2F86" w:rsidRDefault="00A23547" w:rsidP="00A23547">
            <w:pPr>
              <w:spacing w:after="0" w:line="240" w:lineRule="auto"/>
              <w:rPr>
                <w:rFonts w:ascii="Arial" w:eastAsia="Calibri" w:hAnsi="Arial" w:cs="Arial"/>
                <w:sz w:val="20"/>
                <w:szCs w:val="20"/>
              </w:rPr>
            </w:pPr>
            <w:r w:rsidRPr="003A2F86">
              <w:rPr>
                <w:rFonts w:ascii="Arial" w:eastAsia="Calibri" w:hAnsi="Arial" w:cs="Arial"/>
                <w:sz w:val="20"/>
                <w:szCs w:val="20"/>
              </w:rPr>
              <w:t>Upravni odjel osigurava materijalne i druge uvjete za kandidiranje projekta u suradnji s drugim upravnim tijelima i partnerima za fondove EU i druge fondove i za njihovu realizaciju. Također, upravni odjel obuhvaća aktivnosti poticanja poduzetništva i gospodarstva, te ruralnog razvoja sukladno raspoloživim proračunskim sredstvima.</w:t>
            </w:r>
          </w:p>
        </w:tc>
      </w:tr>
    </w:tbl>
    <w:p w14:paraId="099F8AF9" w14:textId="77777777" w:rsidR="008A6ED3" w:rsidRPr="003A2F86" w:rsidRDefault="008A6ED3" w:rsidP="00891119">
      <w:pPr>
        <w:spacing w:after="0" w:line="240" w:lineRule="auto"/>
        <w:jc w:val="both"/>
        <w:rPr>
          <w:rFonts w:ascii="Arial" w:eastAsia="Calibri" w:hAnsi="Arial" w:cs="Arial"/>
          <w:sz w:val="20"/>
          <w:szCs w:val="20"/>
          <w:lang w:eastAsia="en-US"/>
        </w:rPr>
      </w:pPr>
    </w:p>
    <w:p w14:paraId="48A3396A" w14:textId="77777777" w:rsidR="00845098" w:rsidRPr="003A2F86" w:rsidRDefault="00845098" w:rsidP="00891119">
      <w:pPr>
        <w:spacing w:after="0" w:line="240" w:lineRule="auto"/>
        <w:jc w:val="both"/>
        <w:rPr>
          <w:rFonts w:ascii="Arial" w:eastAsia="Calibri" w:hAnsi="Arial" w:cs="Arial"/>
          <w:sz w:val="20"/>
          <w:szCs w:val="20"/>
          <w:lang w:eastAsia="en-US"/>
        </w:rPr>
      </w:pPr>
    </w:p>
    <w:p w14:paraId="2E5684B2" w14:textId="77777777" w:rsidR="00A23547" w:rsidRPr="003A2F86" w:rsidRDefault="00A23547" w:rsidP="00891119">
      <w:pPr>
        <w:spacing w:after="0" w:line="240" w:lineRule="auto"/>
        <w:jc w:val="both"/>
        <w:rPr>
          <w:rFonts w:ascii="Arial" w:eastAsia="Calibri" w:hAnsi="Arial" w:cs="Arial"/>
          <w:sz w:val="20"/>
          <w:szCs w:val="20"/>
          <w:lang w:eastAsia="en-US"/>
        </w:rPr>
      </w:pPr>
    </w:p>
    <w:p w14:paraId="3F6C3159" w14:textId="77777777" w:rsidR="00BB3216" w:rsidRPr="003A2F86" w:rsidRDefault="00BB3216" w:rsidP="00891119">
      <w:pPr>
        <w:spacing w:after="0" w:line="240" w:lineRule="auto"/>
        <w:jc w:val="both"/>
        <w:rPr>
          <w:rFonts w:ascii="Arial" w:eastAsia="Calibri" w:hAnsi="Arial" w:cs="Arial"/>
          <w:sz w:val="20"/>
          <w:szCs w:val="20"/>
          <w:lang w:eastAsia="en-US"/>
        </w:rPr>
      </w:pPr>
    </w:p>
    <w:p w14:paraId="10F33CE0" w14:textId="77777777" w:rsidR="00BB3216" w:rsidRPr="003A2F86" w:rsidRDefault="00BB3216" w:rsidP="00891119">
      <w:pPr>
        <w:spacing w:after="0" w:line="240" w:lineRule="auto"/>
        <w:jc w:val="both"/>
        <w:rPr>
          <w:rFonts w:ascii="Arial" w:eastAsia="Calibri" w:hAnsi="Arial" w:cs="Arial"/>
          <w:sz w:val="20"/>
          <w:szCs w:val="20"/>
          <w:lang w:eastAsia="en-US"/>
        </w:rPr>
      </w:pPr>
    </w:p>
    <w:p w14:paraId="7A4222C4" w14:textId="77777777" w:rsidR="00A17204" w:rsidRPr="003A2F86" w:rsidRDefault="00A17204" w:rsidP="00891119">
      <w:pPr>
        <w:spacing w:after="0" w:line="240" w:lineRule="auto"/>
        <w:jc w:val="both"/>
        <w:rPr>
          <w:rFonts w:ascii="Arial" w:eastAsia="Calibri" w:hAnsi="Arial" w:cs="Arial"/>
          <w:sz w:val="20"/>
          <w:szCs w:val="20"/>
          <w:lang w:eastAsia="en-US"/>
        </w:rPr>
      </w:pPr>
    </w:p>
    <w:p w14:paraId="71C4468F" w14:textId="77777777" w:rsidR="00A17204" w:rsidRPr="003A2F86" w:rsidRDefault="00A17204" w:rsidP="00891119">
      <w:pPr>
        <w:spacing w:after="0" w:line="240" w:lineRule="auto"/>
        <w:jc w:val="both"/>
        <w:rPr>
          <w:rFonts w:ascii="Arial" w:eastAsia="Calibri" w:hAnsi="Arial" w:cs="Arial"/>
          <w:sz w:val="20"/>
          <w:szCs w:val="20"/>
          <w:lang w:eastAsia="en-US"/>
        </w:rPr>
      </w:pPr>
    </w:p>
    <w:p w14:paraId="107A1E4D" w14:textId="77777777" w:rsidR="00A23547" w:rsidRPr="003A2F86" w:rsidRDefault="00A23547" w:rsidP="00891119">
      <w:pPr>
        <w:spacing w:after="0" w:line="240" w:lineRule="auto"/>
        <w:jc w:val="both"/>
        <w:rPr>
          <w:rFonts w:ascii="Arial" w:eastAsia="Calibri" w:hAnsi="Arial" w:cs="Arial"/>
          <w:sz w:val="20"/>
          <w:szCs w:val="20"/>
          <w:lang w:eastAsia="en-US"/>
        </w:rPr>
      </w:pPr>
    </w:p>
    <w:p w14:paraId="0576C9C1" w14:textId="77777777" w:rsidR="00A23547" w:rsidRPr="003A2F86" w:rsidRDefault="00A23547" w:rsidP="00891119">
      <w:pPr>
        <w:spacing w:after="0" w:line="240" w:lineRule="auto"/>
        <w:jc w:val="both"/>
        <w:rPr>
          <w:rFonts w:ascii="Arial" w:eastAsia="Calibri" w:hAnsi="Arial" w:cs="Arial"/>
          <w:sz w:val="20"/>
          <w:szCs w:val="20"/>
          <w:lang w:eastAsia="en-US"/>
        </w:rPr>
      </w:pPr>
    </w:p>
    <w:p w14:paraId="6A3E233F" w14:textId="77777777" w:rsidR="00A23547" w:rsidRPr="003A2F86" w:rsidRDefault="00A23547" w:rsidP="00891119">
      <w:pPr>
        <w:spacing w:after="0" w:line="240" w:lineRule="auto"/>
        <w:jc w:val="both"/>
        <w:rPr>
          <w:rFonts w:ascii="Arial" w:eastAsia="Calibri" w:hAnsi="Arial" w:cs="Arial"/>
          <w:sz w:val="20"/>
          <w:szCs w:val="20"/>
          <w:lang w:eastAsia="en-US"/>
        </w:rPr>
      </w:pPr>
    </w:p>
    <w:p w14:paraId="6337B54D" w14:textId="77777777" w:rsidR="00A23547" w:rsidRPr="003A2F86" w:rsidRDefault="00A23547" w:rsidP="00891119">
      <w:pPr>
        <w:spacing w:after="0" w:line="240" w:lineRule="auto"/>
        <w:jc w:val="both"/>
        <w:rPr>
          <w:rFonts w:ascii="Arial" w:eastAsia="Calibri" w:hAnsi="Arial" w:cs="Arial"/>
          <w:sz w:val="20"/>
          <w:szCs w:val="20"/>
          <w:lang w:eastAsia="en-US"/>
        </w:rPr>
      </w:pPr>
    </w:p>
    <w:p w14:paraId="52A07891" w14:textId="77777777" w:rsidR="00A23547" w:rsidRPr="003A2F86" w:rsidRDefault="00A23547" w:rsidP="00891119">
      <w:pPr>
        <w:spacing w:after="0" w:line="240" w:lineRule="auto"/>
        <w:jc w:val="both"/>
        <w:rPr>
          <w:rFonts w:ascii="Arial" w:eastAsia="Calibri" w:hAnsi="Arial" w:cs="Arial"/>
          <w:sz w:val="20"/>
          <w:szCs w:val="20"/>
          <w:lang w:eastAsia="en-US"/>
        </w:rPr>
      </w:pPr>
    </w:p>
    <w:p w14:paraId="282B18FE" w14:textId="77777777" w:rsidR="00A23547" w:rsidRPr="003A2F86" w:rsidRDefault="00A23547">
      <w:pPr>
        <w:pStyle w:val="Odlomakpopisa"/>
        <w:numPr>
          <w:ilvl w:val="0"/>
          <w:numId w:val="26"/>
        </w:num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eastAsia="Calibri" w:hAnsi="Arial" w:cs="Arial"/>
          <w:b/>
        </w:rPr>
      </w:pPr>
      <w:r w:rsidRPr="003A2F86">
        <w:rPr>
          <w:rFonts w:ascii="Arial" w:eastAsia="Calibri" w:hAnsi="Arial" w:cs="Arial"/>
          <w:b/>
        </w:rPr>
        <w:lastRenderedPageBreak/>
        <w:t>OBRAZLOŽENJE OPĆEG DIJELA FINANCIJSKOG PLANA</w:t>
      </w:r>
    </w:p>
    <w:p w14:paraId="1F8634D3" w14:textId="57D7C97A" w:rsidR="00A23547" w:rsidRPr="003A2F86" w:rsidRDefault="00A23547" w:rsidP="009E67BB">
      <w:pPr>
        <w:spacing w:after="0" w:line="240" w:lineRule="auto"/>
        <w:jc w:val="center"/>
        <w:rPr>
          <w:rFonts w:ascii="Arial" w:eastAsia="Calibri" w:hAnsi="Arial" w:cs="Arial"/>
          <w:sz w:val="20"/>
          <w:szCs w:val="20"/>
          <w:lang w:eastAsia="en-US"/>
        </w:rPr>
      </w:pPr>
    </w:p>
    <w:p w14:paraId="45E05E73" w14:textId="23464B4D" w:rsidR="00A23547" w:rsidRPr="003A2F86" w:rsidRDefault="00E77550" w:rsidP="009E67BB">
      <w:pPr>
        <w:spacing w:after="0" w:line="240" w:lineRule="auto"/>
        <w:jc w:val="center"/>
        <w:rPr>
          <w:rFonts w:ascii="Arial" w:eastAsia="Calibri" w:hAnsi="Arial" w:cs="Arial"/>
          <w:sz w:val="20"/>
          <w:szCs w:val="20"/>
          <w:lang w:eastAsia="en-US"/>
        </w:rPr>
      </w:pPr>
      <w:r w:rsidRPr="00E77550">
        <w:rPr>
          <w:noProof/>
        </w:rPr>
        <w:drawing>
          <wp:inline distT="0" distB="0" distL="0" distR="0" wp14:anchorId="30A74E25" wp14:editId="7FC37ADD">
            <wp:extent cx="7325833" cy="5549180"/>
            <wp:effectExtent l="0" t="0" r="8890" b="0"/>
            <wp:docPr id="112339161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7329769" cy="5552161"/>
                    </a:xfrm>
                    <a:prstGeom prst="rect">
                      <a:avLst/>
                    </a:prstGeom>
                    <a:noFill/>
                    <a:ln>
                      <a:noFill/>
                    </a:ln>
                  </pic:spPr>
                </pic:pic>
              </a:graphicData>
            </a:graphic>
          </wp:inline>
        </w:drawing>
      </w:r>
    </w:p>
    <w:p w14:paraId="069DC85D" w14:textId="77777777" w:rsidR="00A23547" w:rsidRDefault="00A23547" w:rsidP="00891119">
      <w:pPr>
        <w:spacing w:after="0" w:line="240" w:lineRule="auto"/>
        <w:jc w:val="both"/>
        <w:rPr>
          <w:rFonts w:ascii="Arial" w:eastAsia="Calibri" w:hAnsi="Arial" w:cs="Arial"/>
          <w:sz w:val="20"/>
          <w:szCs w:val="20"/>
          <w:lang w:eastAsia="en-US"/>
        </w:rPr>
      </w:pPr>
    </w:p>
    <w:p w14:paraId="66A58AB6" w14:textId="77777777" w:rsidR="00D23FEF" w:rsidRPr="00A047FE" w:rsidRDefault="00D23FEF" w:rsidP="00891119">
      <w:pPr>
        <w:spacing w:after="0" w:line="240" w:lineRule="auto"/>
        <w:jc w:val="both"/>
        <w:rPr>
          <w:rFonts w:ascii="Arial" w:eastAsia="Calibri" w:hAnsi="Arial" w:cs="Arial"/>
          <w:sz w:val="20"/>
          <w:szCs w:val="20"/>
          <w:lang w:eastAsia="en-US"/>
        </w:rPr>
      </w:pPr>
    </w:p>
    <w:p w14:paraId="269A11E7" w14:textId="370813C5" w:rsidR="009E67BB" w:rsidRPr="00A047FE" w:rsidRDefault="009E67BB" w:rsidP="009E67BB">
      <w:pPr>
        <w:spacing w:after="0" w:line="240" w:lineRule="auto"/>
        <w:ind w:firstLine="708"/>
        <w:rPr>
          <w:rFonts w:ascii="Arial" w:eastAsia="Calibri" w:hAnsi="Arial" w:cs="Arial"/>
          <w:sz w:val="20"/>
          <w:szCs w:val="20"/>
        </w:rPr>
      </w:pPr>
      <w:r w:rsidRPr="00A047FE">
        <w:rPr>
          <w:rFonts w:ascii="Arial" w:eastAsia="Calibri" w:hAnsi="Arial" w:cs="Arial"/>
          <w:sz w:val="20"/>
          <w:szCs w:val="20"/>
          <w:u w:val="single"/>
        </w:rPr>
        <w:t>Ostvareni prihodi poslovanja</w:t>
      </w:r>
      <w:r w:rsidRPr="00A047FE">
        <w:rPr>
          <w:rFonts w:ascii="Arial" w:eastAsia="Calibri" w:hAnsi="Arial" w:cs="Arial"/>
          <w:sz w:val="20"/>
          <w:szCs w:val="20"/>
        </w:rPr>
        <w:t xml:space="preserve"> za 202</w:t>
      </w:r>
      <w:r w:rsidR="00D23FEF">
        <w:rPr>
          <w:rFonts w:ascii="Arial" w:eastAsia="Calibri" w:hAnsi="Arial" w:cs="Arial"/>
          <w:sz w:val="20"/>
          <w:szCs w:val="20"/>
        </w:rPr>
        <w:t>5</w:t>
      </w:r>
      <w:r w:rsidRPr="00A047FE">
        <w:rPr>
          <w:rFonts w:ascii="Arial" w:eastAsia="Calibri" w:hAnsi="Arial" w:cs="Arial"/>
          <w:sz w:val="20"/>
          <w:szCs w:val="20"/>
        </w:rPr>
        <w:t>. sastoje se od:</w:t>
      </w:r>
    </w:p>
    <w:p w14:paraId="7FAD9192" w14:textId="5554F3F4" w:rsidR="009E67BB" w:rsidRPr="00A047FE" w:rsidRDefault="009E67BB">
      <w:pPr>
        <w:pStyle w:val="Odlomakpopisa"/>
        <w:numPr>
          <w:ilvl w:val="0"/>
          <w:numId w:val="8"/>
        </w:numPr>
        <w:rPr>
          <w:rFonts w:ascii="Arial" w:eastAsia="Calibri" w:hAnsi="Arial" w:cs="Arial"/>
        </w:rPr>
      </w:pPr>
      <w:r w:rsidRPr="00A047FE">
        <w:rPr>
          <w:rFonts w:ascii="Arial" w:eastAsia="Calibri" w:hAnsi="Arial" w:cs="Arial"/>
        </w:rPr>
        <w:t>Razdjel ostvaruje vlastite prihode</w:t>
      </w:r>
      <w:r w:rsidR="006041F1" w:rsidRPr="00A047FE">
        <w:rPr>
          <w:rFonts w:ascii="Arial" w:eastAsia="Calibri" w:hAnsi="Arial" w:cs="Arial"/>
        </w:rPr>
        <w:t xml:space="preserve"> i to</w:t>
      </w:r>
      <w:r w:rsidRPr="00A047FE">
        <w:rPr>
          <w:rFonts w:ascii="Arial" w:eastAsia="Calibri" w:hAnsi="Arial" w:cs="Arial"/>
        </w:rPr>
        <w:t xml:space="preserve"> prihod</w:t>
      </w:r>
      <w:r w:rsidR="006041F1" w:rsidRPr="00A047FE">
        <w:rPr>
          <w:rFonts w:ascii="Arial" w:eastAsia="Calibri" w:hAnsi="Arial" w:cs="Arial"/>
        </w:rPr>
        <w:t>e</w:t>
      </w:r>
      <w:r w:rsidRPr="00A047FE">
        <w:rPr>
          <w:rFonts w:ascii="Arial" w:eastAsia="Calibri" w:hAnsi="Arial" w:cs="Arial"/>
        </w:rPr>
        <w:t xml:space="preserve"> od projekata,</w:t>
      </w:r>
      <w:r w:rsidR="00642F73" w:rsidRPr="00A047FE">
        <w:rPr>
          <w:rFonts w:ascii="Arial" w:eastAsia="Calibri" w:hAnsi="Arial" w:cs="Arial"/>
        </w:rPr>
        <w:t xml:space="preserve"> </w:t>
      </w:r>
      <w:r w:rsidR="00155C45" w:rsidRPr="00A047FE">
        <w:rPr>
          <w:rFonts w:ascii="Arial" w:eastAsia="Calibri" w:hAnsi="Arial" w:cs="Arial"/>
        </w:rPr>
        <w:t xml:space="preserve">prihod od prenamjene poljoprivrednog zemljišta </w:t>
      </w:r>
      <w:r w:rsidR="00D23FEF">
        <w:rPr>
          <w:rFonts w:ascii="Arial" w:eastAsia="Calibri" w:hAnsi="Arial" w:cs="Arial"/>
        </w:rPr>
        <w:t>0</w:t>
      </w:r>
      <w:r w:rsidR="00155C45" w:rsidRPr="00A047FE">
        <w:rPr>
          <w:rFonts w:ascii="Arial" w:eastAsia="Calibri" w:hAnsi="Arial" w:cs="Arial"/>
        </w:rPr>
        <w:t xml:space="preserve"> €, </w:t>
      </w:r>
      <w:r w:rsidR="00642F73" w:rsidRPr="00A047FE">
        <w:rPr>
          <w:rFonts w:ascii="Arial" w:eastAsia="Calibri" w:hAnsi="Arial" w:cs="Arial"/>
        </w:rPr>
        <w:t>prihoda od zakupa poljoprivrednog zemljišta u državnom vlasništvu</w:t>
      </w:r>
      <w:r w:rsidR="003075DF" w:rsidRPr="00A047FE">
        <w:rPr>
          <w:rFonts w:ascii="Arial" w:eastAsia="Calibri" w:hAnsi="Arial" w:cs="Arial"/>
        </w:rPr>
        <w:t xml:space="preserve"> </w:t>
      </w:r>
      <w:r w:rsidR="00155C45" w:rsidRPr="00A047FE">
        <w:rPr>
          <w:rFonts w:ascii="Arial" w:eastAsia="Calibri" w:hAnsi="Arial" w:cs="Arial"/>
        </w:rPr>
        <w:t>0</w:t>
      </w:r>
      <w:r w:rsidR="003075DF" w:rsidRPr="00A047FE">
        <w:rPr>
          <w:rFonts w:ascii="Arial" w:eastAsia="Calibri" w:hAnsi="Arial" w:cs="Arial"/>
        </w:rPr>
        <w:t xml:space="preserve"> €, sufinanciranje projekta </w:t>
      </w:r>
      <w:r w:rsidR="000A7090" w:rsidRPr="00A047FE">
        <w:rPr>
          <w:rFonts w:ascii="Arial" w:eastAsia="Calibri" w:hAnsi="Arial" w:cs="Arial"/>
        </w:rPr>
        <w:t xml:space="preserve">u vinogradarstvu </w:t>
      </w:r>
      <w:r w:rsidR="00D23FEF">
        <w:rPr>
          <w:rFonts w:ascii="Arial" w:eastAsia="Calibri" w:hAnsi="Arial" w:cs="Arial"/>
        </w:rPr>
        <w:t>1.747,51</w:t>
      </w:r>
      <w:r w:rsidR="000A7090" w:rsidRPr="00A047FE">
        <w:rPr>
          <w:rFonts w:ascii="Arial" w:eastAsia="Calibri" w:hAnsi="Arial" w:cs="Arial"/>
        </w:rPr>
        <w:t xml:space="preserve"> €, </w:t>
      </w:r>
      <w:r w:rsidR="00510963" w:rsidRPr="00A047FE">
        <w:rPr>
          <w:rFonts w:ascii="Arial" w:eastAsia="Calibri" w:hAnsi="Arial" w:cs="Arial"/>
        </w:rPr>
        <w:t xml:space="preserve">pomoći za </w:t>
      </w:r>
      <w:r w:rsidRPr="00A047FE">
        <w:rPr>
          <w:rFonts w:ascii="Arial" w:eastAsia="Calibri" w:hAnsi="Arial" w:cs="Arial"/>
        </w:rPr>
        <w:t>projekt</w:t>
      </w:r>
      <w:r w:rsidR="00A047FE" w:rsidRPr="00A047FE">
        <w:rPr>
          <w:rFonts w:ascii="Arial" w:eastAsia="Calibri" w:hAnsi="Arial" w:cs="Arial"/>
        </w:rPr>
        <w:t>e Waterlink, Crossmart, To 0 wast</w:t>
      </w:r>
      <w:r w:rsidR="00671B22">
        <w:rPr>
          <w:rFonts w:ascii="Arial" w:eastAsia="Calibri" w:hAnsi="Arial" w:cs="Arial"/>
        </w:rPr>
        <w:t>e</w:t>
      </w:r>
      <w:r w:rsidR="00E77550">
        <w:rPr>
          <w:rFonts w:ascii="Arial" w:eastAsia="Calibri" w:hAnsi="Arial" w:cs="Arial"/>
        </w:rPr>
        <w:t xml:space="preserve"> 699.556,47 €</w:t>
      </w:r>
    </w:p>
    <w:p w14:paraId="40B69942" w14:textId="32ED0E12" w:rsidR="009E67BB" w:rsidRPr="00A047FE" w:rsidRDefault="009E67BB">
      <w:pPr>
        <w:pStyle w:val="Odlomakpopisa"/>
        <w:numPr>
          <w:ilvl w:val="0"/>
          <w:numId w:val="8"/>
        </w:numPr>
        <w:rPr>
          <w:rFonts w:ascii="Arial" w:eastAsia="Calibri" w:hAnsi="Arial" w:cs="Arial"/>
        </w:rPr>
      </w:pPr>
      <w:r w:rsidRPr="00A047FE">
        <w:rPr>
          <w:rFonts w:ascii="Arial" w:eastAsia="Calibri" w:hAnsi="Arial" w:cs="Arial"/>
        </w:rPr>
        <w:t>Ostali prihodi se odnose na prihode koji se u financijskom planu razdjela iskazuje na 671</w:t>
      </w:r>
    </w:p>
    <w:p w14:paraId="38223F56" w14:textId="77777777" w:rsidR="009E67BB" w:rsidRPr="00A047FE" w:rsidRDefault="009E67BB" w:rsidP="009E67BB">
      <w:pPr>
        <w:spacing w:after="0" w:line="240" w:lineRule="auto"/>
        <w:rPr>
          <w:rFonts w:ascii="Arial" w:eastAsia="Calibri" w:hAnsi="Arial" w:cs="Arial"/>
          <w:sz w:val="20"/>
          <w:szCs w:val="20"/>
        </w:rPr>
      </w:pPr>
    </w:p>
    <w:p w14:paraId="14E48F3A" w14:textId="32B7FEF2" w:rsidR="009E67BB" w:rsidRPr="003A2F86" w:rsidRDefault="009E67BB" w:rsidP="009E67BB">
      <w:pPr>
        <w:spacing w:after="0" w:line="240" w:lineRule="auto"/>
        <w:ind w:firstLine="708"/>
        <w:rPr>
          <w:rFonts w:ascii="Arial" w:eastAsia="Calibri" w:hAnsi="Arial" w:cs="Arial"/>
          <w:sz w:val="20"/>
          <w:szCs w:val="20"/>
        </w:rPr>
      </w:pPr>
      <w:r w:rsidRPr="003A2F86">
        <w:rPr>
          <w:rFonts w:ascii="Arial" w:eastAsia="Calibri" w:hAnsi="Arial" w:cs="Arial"/>
          <w:sz w:val="20"/>
          <w:szCs w:val="20"/>
          <w:u w:val="single"/>
        </w:rPr>
        <w:t>Izvršeni rashodi poslovanja</w:t>
      </w:r>
      <w:r w:rsidRPr="003A2F86">
        <w:rPr>
          <w:rFonts w:ascii="Arial" w:eastAsia="Calibri" w:hAnsi="Arial" w:cs="Arial"/>
          <w:sz w:val="20"/>
          <w:szCs w:val="20"/>
        </w:rPr>
        <w:t xml:space="preserve"> sastoje se od:</w:t>
      </w:r>
    </w:p>
    <w:p w14:paraId="1F575467" w14:textId="77777777" w:rsidR="009E67BB" w:rsidRPr="003A2F86" w:rsidRDefault="009E67BB" w:rsidP="009E67BB">
      <w:pPr>
        <w:spacing w:after="0" w:line="240" w:lineRule="auto"/>
        <w:ind w:firstLine="708"/>
        <w:rPr>
          <w:rFonts w:ascii="Arial" w:eastAsia="Calibri" w:hAnsi="Arial" w:cs="Arial"/>
          <w:sz w:val="20"/>
          <w:szCs w:val="20"/>
        </w:rPr>
      </w:pPr>
    </w:p>
    <w:p w14:paraId="744DACF6" w14:textId="77777777" w:rsidR="009E67BB" w:rsidRPr="003A2F86" w:rsidRDefault="009E67BB">
      <w:pPr>
        <w:pStyle w:val="Odlomakpopisa"/>
        <w:numPr>
          <w:ilvl w:val="0"/>
          <w:numId w:val="28"/>
        </w:numPr>
        <w:contextualSpacing/>
        <w:rPr>
          <w:rFonts w:ascii="Arial" w:eastAsia="Calibri" w:hAnsi="Arial" w:cs="Arial"/>
        </w:rPr>
      </w:pPr>
      <w:r w:rsidRPr="003A2F86">
        <w:rPr>
          <w:rFonts w:ascii="Arial" w:eastAsia="Calibri" w:hAnsi="Arial" w:cs="Arial"/>
        </w:rPr>
        <w:t>materijalnih rashoda za rad upravnog tijela i provedbu tekućih projekata,</w:t>
      </w:r>
    </w:p>
    <w:p w14:paraId="62F14663" w14:textId="77777777" w:rsidR="009E67BB" w:rsidRPr="003A2F86" w:rsidRDefault="009E67BB">
      <w:pPr>
        <w:pStyle w:val="Odlomakpopisa"/>
        <w:numPr>
          <w:ilvl w:val="0"/>
          <w:numId w:val="28"/>
        </w:numPr>
        <w:contextualSpacing/>
        <w:rPr>
          <w:rFonts w:ascii="Arial" w:eastAsia="Calibri" w:hAnsi="Arial" w:cs="Arial"/>
        </w:rPr>
      </w:pPr>
      <w:r w:rsidRPr="003A2F86">
        <w:rPr>
          <w:rFonts w:ascii="Arial" w:eastAsia="Calibri" w:hAnsi="Arial" w:cs="Arial"/>
        </w:rPr>
        <w:t>ostale rashode (tekuće donacije) koje se odnose na potpore u poljoprivredi i gospodarstvu.</w:t>
      </w:r>
    </w:p>
    <w:p w14:paraId="0C1EA3FF" w14:textId="77777777" w:rsidR="00510963" w:rsidRPr="003A2F86" w:rsidRDefault="00510963" w:rsidP="009E67BB">
      <w:pPr>
        <w:pStyle w:val="Odlomakpopisa"/>
        <w:ind w:left="1068"/>
        <w:contextualSpacing/>
        <w:rPr>
          <w:rFonts w:ascii="Arial" w:eastAsia="Calibri" w:hAnsi="Arial" w:cs="Arial"/>
          <w:u w:val="single"/>
        </w:rPr>
      </w:pPr>
    </w:p>
    <w:p w14:paraId="1BFBA65F" w14:textId="40957E8C" w:rsidR="009E67BB" w:rsidRPr="003A2F86" w:rsidRDefault="009E67BB" w:rsidP="00B8009E">
      <w:pPr>
        <w:pStyle w:val="Odlomakpopisa"/>
        <w:ind w:left="567"/>
        <w:contextualSpacing/>
        <w:rPr>
          <w:rFonts w:ascii="Arial" w:eastAsia="Calibri" w:hAnsi="Arial" w:cs="Arial"/>
          <w:u w:val="single"/>
        </w:rPr>
      </w:pPr>
      <w:r w:rsidRPr="003A2F86">
        <w:rPr>
          <w:rFonts w:ascii="Arial" w:eastAsia="Calibri" w:hAnsi="Arial" w:cs="Arial"/>
          <w:u w:val="single"/>
        </w:rPr>
        <w:t xml:space="preserve">Višak </w:t>
      </w:r>
      <w:r w:rsidR="00510963" w:rsidRPr="003A2F86">
        <w:rPr>
          <w:rFonts w:ascii="Arial" w:eastAsia="Calibri" w:hAnsi="Arial" w:cs="Arial"/>
          <w:u w:val="single"/>
        </w:rPr>
        <w:t xml:space="preserve">/ manjak </w:t>
      </w:r>
      <w:r w:rsidRPr="003A2F86">
        <w:rPr>
          <w:rFonts w:ascii="Arial" w:eastAsia="Calibri" w:hAnsi="Arial" w:cs="Arial"/>
          <w:u w:val="single"/>
        </w:rPr>
        <w:t>prihoda:</w:t>
      </w:r>
    </w:p>
    <w:p w14:paraId="202A4170" w14:textId="7B6D8552" w:rsidR="009E67BB" w:rsidRPr="003A2F86" w:rsidRDefault="009E67BB">
      <w:pPr>
        <w:pStyle w:val="Odlomakpopisa"/>
        <w:numPr>
          <w:ilvl w:val="0"/>
          <w:numId w:val="8"/>
        </w:numPr>
        <w:contextualSpacing/>
        <w:rPr>
          <w:rFonts w:ascii="Arial" w:eastAsia="Calibri" w:hAnsi="Arial" w:cs="Arial"/>
        </w:rPr>
      </w:pPr>
      <w:r w:rsidRPr="003A2F86">
        <w:rPr>
          <w:rFonts w:ascii="Arial" w:eastAsia="Calibri" w:hAnsi="Arial" w:cs="Arial"/>
        </w:rPr>
        <w:t xml:space="preserve">u financijskom planu ovog razdjela </w:t>
      </w:r>
      <w:r w:rsidR="00510963" w:rsidRPr="003A2F86">
        <w:rPr>
          <w:rFonts w:ascii="Arial" w:eastAsia="Calibri" w:hAnsi="Arial" w:cs="Arial"/>
        </w:rPr>
        <w:t>nema viškova / manjkova</w:t>
      </w:r>
      <w:r w:rsidRPr="003A2F86">
        <w:rPr>
          <w:rFonts w:ascii="Arial" w:eastAsia="Calibri" w:hAnsi="Arial" w:cs="Arial"/>
        </w:rPr>
        <w:t>.</w:t>
      </w:r>
    </w:p>
    <w:p w14:paraId="57839981" w14:textId="0F7B430F" w:rsidR="00891119" w:rsidRDefault="00891119" w:rsidP="006D5160">
      <w:pPr>
        <w:autoSpaceDE w:val="0"/>
        <w:autoSpaceDN w:val="0"/>
        <w:adjustRightInd w:val="0"/>
        <w:spacing w:after="0" w:line="240" w:lineRule="auto"/>
        <w:jc w:val="both"/>
        <w:rPr>
          <w:rFonts w:ascii="Arial" w:eastAsia="Times New Roman" w:hAnsi="Arial" w:cs="Arial"/>
          <w:sz w:val="20"/>
          <w:szCs w:val="20"/>
        </w:rPr>
      </w:pPr>
      <w:r w:rsidRPr="00DD6E91">
        <w:rPr>
          <w:rFonts w:ascii="Arial" w:eastAsia="Times New Roman" w:hAnsi="Arial" w:cs="Arial"/>
          <w:sz w:val="20"/>
          <w:szCs w:val="20"/>
        </w:rPr>
        <w:br w:type="page"/>
      </w:r>
    </w:p>
    <w:p w14:paraId="1B45A752" w14:textId="77777777" w:rsidR="00184A8E" w:rsidRPr="00184A8E" w:rsidRDefault="00184A8E" w:rsidP="00184A8E">
      <w:pPr>
        <w:spacing w:after="0" w:line="240" w:lineRule="auto"/>
      </w:pPr>
    </w:p>
    <w:p w14:paraId="5A30C017" w14:textId="77777777" w:rsidR="00184A8E" w:rsidRPr="00184A8E" w:rsidRDefault="00184A8E">
      <w:pPr>
        <w:numPr>
          <w:ilvl w:val="0"/>
          <w:numId w:val="26"/>
        </w:numPr>
        <w:pBdr>
          <w:top w:val="single" w:sz="4" w:space="1" w:color="auto"/>
          <w:left w:val="single" w:sz="4" w:space="4" w:color="auto"/>
          <w:bottom w:val="single" w:sz="4" w:space="1" w:color="auto"/>
          <w:right w:val="single" w:sz="4" w:space="4" w:color="auto"/>
        </w:pBdr>
        <w:shd w:val="clear" w:color="auto" w:fill="DBE5F1" w:themeFill="accent1" w:themeFillTint="33"/>
        <w:spacing w:after="0" w:line="240" w:lineRule="auto"/>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POSEBNOG DIJELA FINANCIJSKOG PLANA</w:t>
      </w:r>
    </w:p>
    <w:p w14:paraId="1B462140" w14:textId="77777777" w:rsidR="00184A8E" w:rsidRPr="00184A8E" w:rsidRDefault="00184A8E" w:rsidP="00184A8E">
      <w:pPr>
        <w:spacing w:after="0" w:line="240" w:lineRule="auto"/>
        <w:rPr>
          <w:rFonts w:ascii="Arial" w:eastAsia="Calibri" w:hAnsi="Arial" w:cs="Arial"/>
          <w:b/>
        </w:rPr>
      </w:pPr>
    </w:p>
    <w:p w14:paraId="6C76677E" w14:textId="77777777" w:rsidR="00184A8E" w:rsidRPr="00184A8E" w:rsidRDefault="00184A8E" w:rsidP="00184A8E">
      <w:pPr>
        <w:spacing w:after="0" w:line="240" w:lineRule="auto"/>
        <w:ind w:left="212" w:right="543"/>
        <w:rPr>
          <w:rFonts w:ascii="Arial" w:eastAsia="Calibri" w:hAnsi="Arial" w:cs="Arial"/>
          <w:sz w:val="20"/>
          <w:szCs w:val="20"/>
          <w:lang w:eastAsia="en-US"/>
        </w:rPr>
      </w:pPr>
      <w:r w:rsidRPr="00184A8E">
        <w:rPr>
          <w:rFonts w:ascii="Arial" w:eastAsia="Calibri" w:hAnsi="Arial" w:cs="Arial"/>
          <w:sz w:val="20"/>
          <w:szCs w:val="20"/>
          <w:lang w:eastAsia="en-US"/>
        </w:rPr>
        <w:t>Posebni dio financijskog plana iskazuje rashode i izdatke po organizacijskoj klasifikaciji, po ekonomskoj i programskoj klasifikaciji, te izvorima financiranja.</w:t>
      </w:r>
    </w:p>
    <w:p w14:paraId="156D4569" w14:textId="77777777" w:rsidR="00184A8E" w:rsidRPr="00184A8E" w:rsidRDefault="00184A8E" w:rsidP="00184A8E">
      <w:pPr>
        <w:spacing w:after="0" w:line="240" w:lineRule="auto"/>
        <w:jc w:val="both"/>
        <w:rPr>
          <w:rFonts w:ascii="Arial" w:eastAsia="Calibri" w:hAnsi="Arial" w:cs="Arial"/>
          <w:sz w:val="20"/>
          <w:szCs w:val="20"/>
          <w:lang w:eastAsia="en-US"/>
        </w:rPr>
      </w:pPr>
    </w:p>
    <w:p w14:paraId="1C0C91B5" w14:textId="77777777" w:rsidR="00184A8E" w:rsidRPr="00184A8E" w:rsidRDefault="00184A8E" w:rsidP="00184A8E">
      <w:pPr>
        <w:spacing w:after="0" w:line="240" w:lineRule="auto"/>
        <w:jc w:val="both"/>
        <w:rPr>
          <w:rFonts w:ascii="Arial" w:eastAsia="Calibri" w:hAnsi="Arial" w:cs="Arial"/>
          <w:sz w:val="20"/>
          <w:szCs w:val="20"/>
          <w:lang w:eastAsia="en-US"/>
        </w:rPr>
      </w:pPr>
    </w:p>
    <w:p w14:paraId="293E87F3" w14:textId="77777777" w:rsidR="00184A8E" w:rsidRPr="00184A8E" w:rsidRDefault="00184A8E" w:rsidP="00184A8E">
      <w:pPr>
        <w:keepNext/>
        <w:spacing w:after="0" w:line="240" w:lineRule="auto"/>
        <w:jc w:val="center"/>
        <w:outlineLvl w:val="3"/>
        <w:rPr>
          <w:rFonts w:ascii="Times New Roman" w:eastAsia="Calibri" w:hAnsi="Times New Roman" w:cs="Times New Roman"/>
          <w:b/>
          <w:szCs w:val="20"/>
          <w:lang w:eastAsia="en-US"/>
        </w:rPr>
      </w:pPr>
      <w:bookmarkStart w:id="613" w:name="_Toc200628543"/>
      <w:bookmarkStart w:id="614" w:name="_Toc232981475"/>
      <w:r w:rsidRPr="00184A8E">
        <w:rPr>
          <w:rFonts w:ascii="Times New Roman" w:eastAsia="Calibri" w:hAnsi="Times New Roman" w:cs="Times New Roman"/>
          <w:b/>
          <w:szCs w:val="20"/>
          <w:lang w:eastAsia="en-US"/>
        </w:rPr>
        <w:t>3.3.4.1.</w:t>
      </w:r>
      <w:r w:rsidRPr="00184A8E">
        <w:rPr>
          <w:rFonts w:ascii="Times New Roman" w:eastAsia="Calibri" w:hAnsi="Times New Roman" w:cs="Times New Roman"/>
          <w:b/>
          <w:szCs w:val="20"/>
          <w:lang w:eastAsia="en-US"/>
        </w:rPr>
        <w:tab/>
        <w:t>GLAVA: (040 01) UO ZA RURALNI RAZVOJ, GOSPODARSTVO I EU FONDOVE</w:t>
      </w:r>
      <w:bookmarkEnd w:id="613"/>
      <w:bookmarkEnd w:id="614"/>
    </w:p>
    <w:p w14:paraId="5EF23BC9" w14:textId="77777777" w:rsidR="00184A8E" w:rsidRPr="00184A8E" w:rsidRDefault="00184A8E" w:rsidP="00184A8E">
      <w:pPr>
        <w:spacing w:after="0" w:line="240" w:lineRule="auto"/>
        <w:rPr>
          <w:rFonts w:ascii="Times New Roman" w:eastAsia="Calibri" w:hAnsi="Times New Roman" w:cs="Arial"/>
          <w:sz w:val="20"/>
          <w:szCs w:val="20"/>
        </w:rPr>
      </w:pPr>
    </w:p>
    <w:p w14:paraId="0DEC64F1" w14:textId="77777777" w:rsidR="00184A8E" w:rsidRPr="00184A8E" w:rsidRDefault="00184A8E" w:rsidP="00184A8E">
      <w:pPr>
        <w:spacing w:after="0" w:line="240" w:lineRule="auto"/>
        <w:rPr>
          <w:rFonts w:ascii="Arial" w:eastAsia="Calibri" w:hAnsi="Arial" w:cs="Arial"/>
          <w:sz w:val="20"/>
          <w:szCs w:val="20"/>
        </w:rPr>
      </w:pPr>
      <w:r w:rsidRPr="00184A8E">
        <w:rPr>
          <w:rFonts w:ascii="Arial" w:eastAsia="Calibri" w:hAnsi="Arial" w:cs="Arial"/>
          <w:sz w:val="20"/>
          <w:szCs w:val="20"/>
        </w:rPr>
        <w:t>Unutar ove glave izvode se slijedeći programi:</w:t>
      </w:r>
    </w:p>
    <w:p w14:paraId="40E919A3"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W w:w="13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56"/>
        <w:gridCol w:w="857"/>
        <w:gridCol w:w="11340"/>
      </w:tblGrid>
      <w:tr w:rsidR="00184A8E" w:rsidRPr="00184A8E" w14:paraId="49717A53" w14:textId="77777777" w:rsidTr="00410A4B">
        <w:tc>
          <w:tcPr>
            <w:tcW w:w="1156" w:type="dxa"/>
            <w:shd w:val="solid" w:color="B4B4B4" w:fill="auto"/>
          </w:tcPr>
          <w:p w14:paraId="498962DF"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857" w:type="dxa"/>
            <w:shd w:val="solid" w:color="B4B4B4" w:fill="auto"/>
          </w:tcPr>
          <w:p w14:paraId="36A2EAFD" w14:textId="77777777" w:rsidR="00184A8E" w:rsidRPr="00184A8E" w:rsidRDefault="00184A8E" w:rsidP="00184A8E">
            <w:pPr>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2061</w:t>
            </w:r>
          </w:p>
        </w:tc>
        <w:tc>
          <w:tcPr>
            <w:tcW w:w="11340" w:type="dxa"/>
            <w:shd w:val="solid" w:color="B4B4B4" w:fill="auto"/>
          </w:tcPr>
          <w:p w14:paraId="231DCDEB"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Razvoj gospodarstva i poduzetništva</w:t>
            </w:r>
          </w:p>
        </w:tc>
      </w:tr>
      <w:tr w:rsidR="00184A8E" w:rsidRPr="00184A8E" w14:paraId="392F848F" w14:textId="77777777" w:rsidTr="00410A4B">
        <w:tc>
          <w:tcPr>
            <w:tcW w:w="1156" w:type="dxa"/>
            <w:shd w:val="solid" w:color="B4B4B4" w:fill="auto"/>
          </w:tcPr>
          <w:p w14:paraId="216EA6B5"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857" w:type="dxa"/>
            <w:shd w:val="solid" w:color="B4B4B4" w:fill="auto"/>
          </w:tcPr>
          <w:p w14:paraId="2CFE3E74" w14:textId="77777777" w:rsidR="00184A8E" w:rsidRPr="00184A8E" w:rsidRDefault="00184A8E" w:rsidP="00184A8E">
            <w:pPr>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2062</w:t>
            </w:r>
          </w:p>
        </w:tc>
        <w:tc>
          <w:tcPr>
            <w:tcW w:w="11340" w:type="dxa"/>
            <w:shd w:val="solid" w:color="B4B4B4" w:fill="auto"/>
          </w:tcPr>
          <w:p w14:paraId="30AEB3AB"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Poticanje razvoja poljoprivrede</w:t>
            </w:r>
          </w:p>
        </w:tc>
      </w:tr>
      <w:tr w:rsidR="00184A8E" w:rsidRPr="00184A8E" w14:paraId="54EAD31E" w14:textId="77777777" w:rsidTr="00410A4B">
        <w:tc>
          <w:tcPr>
            <w:tcW w:w="1156" w:type="dxa"/>
            <w:shd w:val="solid" w:color="B4B4B4" w:fill="auto"/>
          </w:tcPr>
          <w:p w14:paraId="6EFD28D4"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857" w:type="dxa"/>
            <w:shd w:val="solid" w:color="B4B4B4" w:fill="auto"/>
          </w:tcPr>
          <w:p w14:paraId="011446C7" w14:textId="77777777" w:rsidR="00184A8E" w:rsidRPr="00184A8E" w:rsidRDefault="00184A8E" w:rsidP="00184A8E">
            <w:pPr>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2063</w:t>
            </w:r>
          </w:p>
        </w:tc>
        <w:tc>
          <w:tcPr>
            <w:tcW w:w="11340" w:type="dxa"/>
            <w:shd w:val="solid" w:color="B4B4B4" w:fill="auto"/>
          </w:tcPr>
          <w:p w14:paraId="01EBFA37"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Elementarne nepogode</w:t>
            </w:r>
          </w:p>
        </w:tc>
      </w:tr>
      <w:tr w:rsidR="00184A8E" w:rsidRPr="00184A8E" w14:paraId="26061820" w14:textId="77777777" w:rsidTr="00410A4B">
        <w:tc>
          <w:tcPr>
            <w:tcW w:w="1156" w:type="dxa"/>
            <w:shd w:val="solid" w:color="B4B4B4" w:fill="auto"/>
          </w:tcPr>
          <w:p w14:paraId="4FB201A5"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857" w:type="dxa"/>
            <w:shd w:val="solid" w:color="B4B4B4" w:fill="auto"/>
          </w:tcPr>
          <w:p w14:paraId="7AF5FD11" w14:textId="77777777" w:rsidR="00184A8E" w:rsidRPr="00184A8E" w:rsidRDefault="00184A8E" w:rsidP="00184A8E">
            <w:pPr>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2064</w:t>
            </w:r>
          </w:p>
        </w:tc>
        <w:tc>
          <w:tcPr>
            <w:tcW w:w="11340" w:type="dxa"/>
            <w:shd w:val="solid" w:color="B4B4B4" w:fill="auto"/>
          </w:tcPr>
          <w:p w14:paraId="49FA651E"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Suradnja s fondovima EU i drugim fondovima</w:t>
            </w:r>
          </w:p>
        </w:tc>
      </w:tr>
      <w:tr w:rsidR="00184A8E" w:rsidRPr="00184A8E" w14:paraId="5FEED3D8" w14:textId="77777777" w:rsidTr="00410A4B">
        <w:tc>
          <w:tcPr>
            <w:tcW w:w="1156" w:type="dxa"/>
            <w:shd w:val="solid" w:color="B4B4B4" w:fill="auto"/>
          </w:tcPr>
          <w:p w14:paraId="52D85080"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857" w:type="dxa"/>
            <w:shd w:val="solid" w:color="B4B4B4" w:fill="auto"/>
          </w:tcPr>
          <w:p w14:paraId="4F952646" w14:textId="77777777" w:rsidR="00184A8E" w:rsidRPr="00184A8E" w:rsidRDefault="00184A8E" w:rsidP="00184A8E">
            <w:pPr>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2065</w:t>
            </w:r>
          </w:p>
        </w:tc>
        <w:tc>
          <w:tcPr>
            <w:tcW w:w="11340" w:type="dxa"/>
            <w:shd w:val="solid" w:color="B4B4B4" w:fill="auto"/>
          </w:tcPr>
          <w:p w14:paraId="27EA3B39"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Redovan rad UO za ruralni razvoj, gospodarstvo i EU fondove – povremeni opći troškovi</w:t>
            </w:r>
          </w:p>
        </w:tc>
      </w:tr>
      <w:tr w:rsidR="00184A8E" w:rsidRPr="00184A8E" w14:paraId="7B6FB578" w14:textId="77777777" w:rsidTr="00410A4B">
        <w:tc>
          <w:tcPr>
            <w:tcW w:w="1156" w:type="dxa"/>
            <w:shd w:val="solid" w:color="B4B4B4" w:fill="auto"/>
          </w:tcPr>
          <w:p w14:paraId="6841F303"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w:t>
            </w:r>
          </w:p>
        </w:tc>
        <w:tc>
          <w:tcPr>
            <w:tcW w:w="857" w:type="dxa"/>
            <w:shd w:val="solid" w:color="B4B4B4" w:fill="auto"/>
          </w:tcPr>
          <w:p w14:paraId="4514A95C" w14:textId="77777777" w:rsidR="00184A8E" w:rsidRPr="00184A8E" w:rsidRDefault="00184A8E" w:rsidP="00184A8E">
            <w:pPr>
              <w:spacing w:after="0" w:line="240" w:lineRule="auto"/>
              <w:jc w:val="both"/>
              <w:rPr>
                <w:rFonts w:ascii="Arial" w:eastAsia="Times New Roman" w:hAnsi="Arial" w:cs="Arial"/>
                <w:b/>
                <w:sz w:val="20"/>
                <w:szCs w:val="20"/>
                <w:lang w:eastAsia="en-US"/>
              </w:rPr>
            </w:pPr>
            <w:r w:rsidRPr="00184A8E">
              <w:rPr>
                <w:rFonts w:ascii="Arial" w:eastAsia="Times New Roman" w:hAnsi="Arial" w:cs="Arial"/>
                <w:b/>
                <w:sz w:val="20"/>
                <w:szCs w:val="20"/>
                <w:lang w:eastAsia="en-US"/>
              </w:rPr>
              <w:t>2066</w:t>
            </w:r>
          </w:p>
        </w:tc>
        <w:tc>
          <w:tcPr>
            <w:tcW w:w="11340" w:type="dxa"/>
            <w:shd w:val="solid" w:color="B4B4B4" w:fill="auto"/>
          </w:tcPr>
          <w:p w14:paraId="44B1FE25"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Upravljanje projektima EU – javna uprava i administracija</w:t>
            </w:r>
          </w:p>
        </w:tc>
      </w:tr>
    </w:tbl>
    <w:p w14:paraId="0791A93E" w14:textId="77777777" w:rsidR="00184A8E" w:rsidRPr="00184A8E" w:rsidRDefault="00184A8E" w:rsidP="00184A8E">
      <w:pPr>
        <w:spacing w:after="0" w:line="240" w:lineRule="auto"/>
        <w:jc w:val="both"/>
        <w:rPr>
          <w:rFonts w:ascii="Times New Roman" w:eastAsia="Calibri" w:hAnsi="Times New Roman" w:cs="Times New Roman"/>
          <w:sz w:val="20"/>
          <w:szCs w:val="20"/>
          <w:lang w:eastAsia="en-US"/>
        </w:rPr>
      </w:pPr>
    </w:p>
    <w:p w14:paraId="7A1671AF" w14:textId="77777777" w:rsidR="00184A8E" w:rsidRPr="00184A8E" w:rsidRDefault="00184A8E" w:rsidP="00184A8E">
      <w:pPr>
        <w:spacing w:after="0" w:line="240" w:lineRule="auto"/>
        <w:jc w:val="both"/>
        <w:rPr>
          <w:rFonts w:ascii="Times New Roman" w:eastAsia="Calibri" w:hAnsi="Times New Roman" w:cs="Times New Roman"/>
          <w:sz w:val="20"/>
          <w:szCs w:val="20"/>
          <w:lang w:eastAsia="en-US"/>
        </w:rPr>
      </w:pPr>
    </w:p>
    <w:p w14:paraId="4A142F53"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615" w:name="_Toc200628544"/>
      <w:bookmarkStart w:id="616" w:name="_Toc232981476"/>
      <w:r w:rsidRPr="00184A8E">
        <w:rPr>
          <w:rFonts w:ascii="Times New Roman" w:eastAsia="Calibri" w:hAnsi="Times New Roman" w:cs="Times New Roman"/>
          <w:b/>
          <w:sz w:val="24"/>
          <w:szCs w:val="20"/>
          <w:lang w:eastAsia="en-US"/>
        </w:rPr>
        <w:t>Program (2061): Razvoj gospodarstva i poduzetništva</w:t>
      </w:r>
      <w:bookmarkEnd w:id="615"/>
      <w:bookmarkEnd w:id="616"/>
    </w:p>
    <w:p w14:paraId="03685A9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122"/>
        <w:gridCol w:w="12303"/>
      </w:tblGrid>
      <w:tr w:rsidR="00184A8E" w:rsidRPr="00184A8E" w14:paraId="13AD7613" w14:textId="77777777" w:rsidTr="00410A4B">
        <w:tc>
          <w:tcPr>
            <w:tcW w:w="2122" w:type="dxa"/>
          </w:tcPr>
          <w:p w14:paraId="55685215"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303" w:type="dxa"/>
          </w:tcPr>
          <w:p w14:paraId="1E21D9C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Program obuhvaća izradu strategije ukupnog razvoja, poticanje poduzetništva i gospodarstva kroz sufinanciranje njihovih projekata i aktivnosti te subvencije kamata za poduzetničke kredite.</w:t>
            </w:r>
          </w:p>
        </w:tc>
      </w:tr>
      <w:tr w:rsidR="00184A8E" w:rsidRPr="00184A8E" w14:paraId="21F0781C" w14:textId="77777777" w:rsidTr="00410A4B">
        <w:tc>
          <w:tcPr>
            <w:tcW w:w="2122" w:type="dxa"/>
          </w:tcPr>
          <w:p w14:paraId="0097804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ZAKONSKE I DRUGE PRAVNE OSNOVE PROGRAMA</w:t>
            </w:r>
          </w:p>
        </w:tc>
        <w:tc>
          <w:tcPr>
            <w:tcW w:w="12303" w:type="dxa"/>
          </w:tcPr>
          <w:p w14:paraId="4F203725" w14:textId="68FE3361"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rPr>
              <w:t xml:space="preserve">Zakon o lokalnoj i područnoj (regionalnoj) samoupravi (NN 33/01,60/01,129/05, 109/07,125/08, 36/09, 150/11, 144/12, 19/13, 137/15, 123/17, 98/19, 144/20), </w:t>
            </w:r>
            <w:r w:rsidRPr="00184A8E">
              <w:rPr>
                <w:rFonts w:ascii="Arial" w:eastAsia="Times New Roman" w:hAnsi="Arial" w:cs="Arial"/>
                <w:sz w:val="20"/>
                <w:szCs w:val="20"/>
              </w:rPr>
              <w:t>Zakon o fiskalnoj odgovornosti (Narodne novine 111/18), Zakon o poticanju razvoja malog gospodarstva (NN 29/02, 63/07, 53/12, 56/13, 121/16), Zakon o poljoprivredi (NN 118/18, 42/20, 127/20, 52/21, 152/22, 152/24), Zakon o poljoprivrednom zemljištu (NN 20/18, 115/18, 98/19, 57/22</w:t>
            </w:r>
            <w:r w:rsidR="00E77550">
              <w:rPr>
                <w:rFonts w:ascii="Arial" w:eastAsia="Times New Roman" w:hAnsi="Arial" w:cs="Arial"/>
                <w:sz w:val="20"/>
                <w:szCs w:val="20"/>
              </w:rPr>
              <w:t>, 136/25</w:t>
            </w:r>
            <w:r w:rsidRPr="00184A8E">
              <w:rPr>
                <w:rFonts w:ascii="Arial" w:eastAsia="Times New Roman" w:hAnsi="Arial" w:cs="Arial"/>
                <w:sz w:val="20"/>
                <w:szCs w:val="20"/>
              </w:rPr>
              <w:t xml:space="preserve">), Zakon o turističkim zajednicama i promicanju hrvatskog turizma (NN 52/19, 42/20), Zakon o turističkoj pristojbi (NN 52/19, 32/20, 42/20), Zakon o državnim potporama (Narodne novine 47/14, 69/17), drugi zakoni s područja financija, gospodarstva, poljoprivrede i EU propisa, </w:t>
            </w:r>
            <w:r w:rsidRPr="00184A8E">
              <w:rPr>
                <w:rFonts w:ascii="Arial" w:eastAsia="Calibri" w:hAnsi="Arial" w:cs="Arial"/>
                <w:sz w:val="20"/>
                <w:szCs w:val="20"/>
              </w:rPr>
              <w:t>Statut Općine i drugi akti</w:t>
            </w:r>
          </w:p>
        </w:tc>
      </w:tr>
      <w:tr w:rsidR="00184A8E" w:rsidRPr="00184A8E" w14:paraId="683FDEA6" w14:textId="77777777" w:rsidTr="00410A4B">
        <w:tc>
          <w:tcPr>
            <w:tcW w:w="2122" w:type="dxa"/>
          </w:tcPr>
          <w:p w14:paraId="213C9E2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2303" w:type="dxa"/>
          </w:tcPr>
          <w:p w14:paraId="2D8CA2DA"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Poticanje malog gospodarstva, poticanje i oživljavanje autohtone proizvodnje i ekoloških proizvoda.</w:t>
            </w:r>
          </w:p>
          <w:p w14:paraId="075046C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Poticanje razvoja gospodarstva i smanjenje nezaposlenosti.</w:t>
            </w:r>
          </w:p>
          <w:p w14:paraId="2DB757D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 okviru programa su i aktivnosti informiranja i edukacije poduzetnika koje se odnose na organizaciju informativnih, savjetodavnih i edukativnih skupova za poduzetnike i druge zainteresirane osobe s područja Općine. Skupovi bi se održavali u organizaciji Općine i u suradnji s raznim institucijama (Udruženje obrtnika, Hrvatski zavod za zapošljavanje, DUNEA, te drugim partnerima).</w:t>
            </w:r>
            <w:r w:rsidRPr="00184A8E">
              <w:rPr>
                <w:rFonts w:ascii="Times New Roman" w:eastAsia="Times New Roman" w:hAnsi="Times New Roman" w:cs="Times New Roman"/>
                <w:sz w:val="20"/>
                <w:szCs w:val="20"/>
                <w:lang w:eastAsia="en-US"/>
              </w:rPr>
              <w:t xml:space="preserve"> </w:t>
            </w:r>
            <w:r w:rsidRPr="00184A8E">
              <w:rPr>
                <w:rFonts w:ascii="Arial" w:eastAsia="Calibri" w:hAnsi="Arial" w:cs="Arial"/>
                <w:sz w:val="20"/>
                <w:szCs w:val="20"/>
                <w:lang w:eastAsia="en-US"/>
              </w:rPr>
              <w:t>Riječ je o raznim edukacijama, predavanjima, prezentacijama, akademijama, mentoriranju itd. u cilju jačanja poduzetničkih potencijala postojećih i potencijalnih poduzetnika i obrtnika te povećanju svijesti kod stanovnika Općine o prednostima bavljenja poduzetništvom.</w:t>
            </w:r>
          </w:p>
          <w:p w14:paraId="58D39D1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Bolja informiranost i veća razina znanja poduzetnika o aktualnim gospodarskim i poslovnim temama, povećanje kvalitete i prepoznatljivosti lokalnih proizvoda i usluga.</w:t>
            </w:r>
          </w:p>
          <w:p w14:paraId="493DF07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Broj korisnika koji tijekom godine koriste mjere za poticanje razvoja gospodarstva </w:t>
            </w:r>
          </w:p>
        </w:tc>
      </w:tr>
      <w:tr w:rsidR="00184A8E" w:rsidRPr="00184A8E" w14:paraId="662B2A89" w14:textId="77777777" w:rsidTr="00410A4B">
        <w:tc>
          <w:tcPr>
            <w:tcW w:w="2122" w:type="dxa"/>
            <w:vAlign w:val="bottom"/>
          </w:tcPr>
          <w:p w14:paraId="754D6E1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2303" w:type="dxa"/>
            <w:vAlign w:val="bottom"/>
          </w:tcPr>
          <w:p w14:paraId="3684E50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Poticati razvoj gospodarstva imajući u vidu postojeće zakonske odredbe o mogućnosti dodjeljivanja potpora, kao i ograničenja za dodjeljivanje potpora.</w:t>
            </w:r>
          </w:p>
          <w:p w14:paraId="23544A9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lastRenderedPageBreak/>
              <w:t>Rasterećenje gospodarskih subjekata pri otplati poduzetničkih kredita, povećanje razine informiranosti i znanja poduzetnika, poticanje razvoja poduzetništva, naročito poticanje na samozapošljavanje i zapošljavanje, pružanje podrške uključivanju poduzetnika u apliciranje na EU natječaje i drugo.</w:t>
            </w:r>
          </w:p>
          <w:p w14:paraId="73BE4A0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Subvencioniranje kamata po poduzetničkim kreditima za investicije, te osiguravanje pomoći za dobivanje bespovratnih EU sredstava kroz mjere za poticanje razvoja gospodarstva i smanjenja nezaposlenosti.</w:t>
            </w:r>
          </w:p>
        </w:tc>
      </w:tr>
    </w:tbl>
    <w:p w14:paraId="210BBFEF"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5ACEF875"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511E890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1B7BBA4C" w14:textId="243D8579" w:rsidR="00184A8E" w:rsidRPr="00184A8E" w:rsidRDefault="008A16BA" w:rsidP="00184A8E">
      <w:pPr>
        <w:spacing w:after="0" w:line="240" w:lineRule="auto"/>
        <w:jc w:val="both"/>
        <w:rPr>
          <w:rFonts w:ascii="Arial" w:eastAsia="Calibri" w:hAnsi="Arial" w:cs="Arial"/>
          <w:sz w:val="18"/>
          <w:szCs w:val="18"/>
        </w:rPr>
      </w:pPr>
      <w:r>
        <w:rPr>
          <w:rFonts w:ascii="Arial" w:eastAsia="Calibri" w:hAnsi="Arial" w:cs="Arial"/>
          <w:sz w:val="20"/>
          <w:szCs w:val="20"/>
        </w:rPr>
        <w:t>Izvršenje aktivnosti sadržanih u ovom programu za 2013.-2024., plan za 2025., izvršenje za 2025., projekcije za 2026.-2027. iskazuju se u valuti EURO kako slijedi:</w:t>
      </w:r>
      <w:r w:rsidR="00184A8E" w:rsidRPr="00184A8E">
        <w:rPr>
          <w:rFonts w:ascii="Arial" w:eastAsia="Calibri" w:hAnsi="Arial" w:cs="Arial"/>
          <w:sz w:val="18"/>
          <w:szCs w:val="18"/>
        </w:rPr>
        <w:t xml:space="preserve"> </w:t>
      </w:r>
    </w:p>
    <w:p w14:paraId="74A6A689" w14:textId="673F899A" w:rsidR="00184A8E" w:rsidRPr="00184A8E" w:rsidRDefault="00BC1295" w:rsidP="00184A8E">
      <w:pPr>
        <w:spacing w:after="0" w:line="240" w:lineRule="auto"/>
        <w:jc w:val="both"/>
        <w:rPr>
          <w:rFonts w:ascii="Arial" w:eastAsia="Calibri" w:hAnsi="Arial" w:cs="Arial"/>
          <w:sz w:val="18"/>
          <w:szCs w:val="18"/>
        </w:rPr>
      </w:pPr>
      <w:r w:rsidRPr="00BC1295">
        <w:rPr>
          <w:noProof/>
        </w:rPr>
        <w:drawing>
          <wp:inline distT="0" distB="0" distL="0" distR="0" wp14:anchorId="009A4439" wp14:editId="27A33E65">
            <wp:extent cx="9251950" cy="2317115"/>
            <wp:effectExtent l="0" t="0" r="6350" b="6985"/>
            <wp:docPr id="1875571704"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251950" cy="2317115"/>
                    </a:xfrm>
                    <a:prstGeom prst="rect">
                      <a:avLst/>
                    </a:prstGeom>
                    <a:noFill/>
                    <a:ln>
                      <a:noFill/>
                    </a:ln>
                  </pic:spPr>
                </pic:pic>
              </a:graphicData>
            </a:graphic>
          </wp:inline>
        </w:drawing>
      </w:r>
    </w:p>
    <w:p w14:paraId="384FC710" w14:textId="77777777" w:rsidR="00184A8E" w:rsidRPr="00184A8E" w:rsidRDefault="00184A8E">
      <w:pPr>
        <w:numPr>
          <w:ilvl w:val="0"/>
          <w:numId w:val="41"/>
        </w:numPr>
        <w:spacing w:after="0" w:line="240" w:lineRule="auto"/>
        <w:ind w:left="284" w:hanging="142"/>
        <w:jc w:val="both"/>
        <w:rPr>
          <w:rFonts w:ascii="Arial" w:eastAsia="Calibri" w:hAnsi="Arial" w:cs="Arial"/>
          <w:sz w:val="18"/>
          <w:szCs w:val="18"/>
          <w:lang w:eastAsia="en-US"/>
        </w:rPr>
      </w:pPr>
      <w:r w:rsidRPr="00184A8E">
        <w:rPr>
          <w:rFonts w:ascii="Times New Roman" w:eastAsia="Calibri" w:hAnsi="Times New Roman" w:cs="Times New Roman"/>
          <w:sz w:val="20"/>
          <w:szCs w:val="20"/>
          <w:lang w:eastAsia="en-US"/>
        </w:rPr>
        <w:t xml:space="preserve"> </w:t>
      </w:r>
      <w:r w:rsidRPr="00184A8E">
        <w:rPr>
          <w:rFonts w:ascii="Arial" w:eastAsia="Calibri" w:hAnsi="Arial" w:cs="Arial"/>
          <w:sz w:val="18"/>
          <w:szCs w:val="18"/>
          <w:lang w:eastAsia="en-US"/>
        </w:rPr>
        <w:t>Do konca 2017. podaci koji s odnose na izvršenje aktivnosti unutar ovog Programa bili su iskazani unutar rashoda razdjela 020, odnosno glave 020 01 Upravni odjel za proračun i financije, a od početka 2018. godine ovaj program se izvršava kroz novoosnovani Upravni odjel za ruralni razvoj, gospodarstvo i EU fondove, razdjel 040, glava 04001.</w:t>
      </w:r>
    </w:p>
    <w:p w14:paraId="67947CDD" w14:textId="77777777" w:rsidR="00184A8E" w:rsidRPr="00184A8E" w:rsidRDefault="00184A8E" w:rsidP="00184A8E">
      <w:pPr>
        <w:spacing w:after="0" w:line="240" w:lineRule="auto"/>
        <w:jc w:val="both"/>
        <w:rPr>
          <w:rFonts w:ascii="Arial" w:eastAsia="Calibri" w:hAnsi="Arial" w:cs="Arial"/>
          <w:sz w:val="14"/>
          <w:szCs w:val="20"/>
        </w:rPr>
      </w:pPr>
    </w:p>
    <w:p w14:paraId="46871223"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46CF991D"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2531C38E" w14:textId="77777777" w:rsidR="00184A8E" w:rsidRPr="00184A8E" w:rsidRDefault="00184A8E" w:rsidP="00184A8E">
      <w:pPr>
        <w:spacing w:after="0" w:line="240" w:lineRule="auto"/>
        <w:jc w:val="both"/>
        <w:rPr>
          <w:rFonts w:ascii="Arial" w:eastAsia="Calibri" w:hAnsi="Arial" w:cs="Arial"/>
          <w:sz w:val="14"/>
          <w:szCs w:val="20"/>
          <w:lang w:eastAsia="en-US"/>
        </w:rPr>
      </w:pPr>
    </w:p>
    <w:p w14:paraId="0127E626" w14:textId="12E93034"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w:t>
      </w:r>
      <w:r w:rsidR="00BC1295">
        <w:rPr>
          <w:rFonts w:ascii="Arial" w:eastAsia="Calibri" w:hAnsi="Arial" w:cs="Arial"/>
          <w:sz w:val="20"/>
          <w:szCs w:val="20"/>
          <w:lang w:eastAsia="en-US"/>
        </w:rPr>
        <w:t>Sredstva nisu planirana</w:t>
      </w:r>
      <w:r w:rsidRPr="00184A8E">
        <w:rPr>
          <w:rFonts w:ascii="Arial" w:eastAsia="Calibri" w:hAnsi="Arial" w:cs="Arial"/>
          <w:sz w:val="20"/>
          <w:szCs w:val="20"/>
          <w:lang w:eastAsia="en-US"/>
        </w:rPr>
        <w:t xml:space="preserve">. </w:t>
      </w:r>
    </w:p>
    <w:p w14:paraId="72B4DED2" w14:textId="51F30582"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xml:space="preserve">: </w:t>
      </w:r>
      <w:r w:rsidR="00BC1295">
        <w:rPr>
          <w:rFonts w:ascii="Arial" w:eastAsia="Calibri" w:hAnsi="Arial" w:cs="Arial"/>
          <w:sz w:val="20"/>
          <w:szCs w:val="20"/>
          <w:lang w:eastAsia="en-US"/>
        </w:rPr>
        <w:t>Rashodi nisu izvršeni.</w:t>
      </w:r>
    </w:p>
    <w:p w14:paraId="1FD5262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4F24D7DE" w14:textId="3FF085DA"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Ovaj program je prvotno bio planiran za 20</w:t>
      </w:r>
      <w:r w:rsidR="00FA0846">
        <w:rPr>
          <w:rFonts w:ascii="Arial" w:eastAsia="Calibri" w:hAnsi="Arial" w:cs="Arial"/>
          <w:sz w:val="20"/>
          <w:szCs w:val="20"/>
        </w:rPr>
        <w:t>25</w:t>
      </w:r>
      <w:r w:rsidRPr="00184A8E">
        <w:rPr>
          <w:rFonts w:ascii="Arial" w:eastAsia="Calibri" w:hAnsi="Arial" w:cs="Arial"/>
          <w:sz w:val="20"/>
          <w:szCs w:val="20"/>
        </w:rPr>
        <w:t xml:space="preserve">. godinu u iznosu </w:t>
      </w:r>
      <w:r w:rsidR="00FA0846">
        <w:rPr>
          <w:rFonts w:ascii="Arial" w:eastAsia="Calibri" w:hAnsi="Arial" w:cs="Arial"/>
          <w:sz w:val="20"/>
          <w:szCs w:val="20"/>
        </w:rPr>
        <w:t>25.000</w:t>
      </w:r>
      <w:r w:rsidRPr="00184A8E">
        <w:rPr>
          <w:rFonts w:ascii="Arial" w:eastAsia="Calibri" w:hAnsi="Arial" w:cs="Arial"/>
          <w:sz w:val="20"/>
          <w:szCs w:val="20"/>
        </w:rPr>
        <w:t xml:space="preserve"> €, ali izmjenama i dopunama proračuna nije planiran.</w:t>
      </w:r>
    </w:p>
    <w:p w14:paraId="537A409B"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140D55CD"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5EA144A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6BD2C64D"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Unutar programa izvode se slijedeće aktivnosti i projekti:</w:t>
      </w:r>
    </w:p>
    <w:p w14:paraId="100E74CE" w14:textId="77777777" w:rsidR="00184A8E" w:rsidRPr="00184A8E" w:rsidRDefault="00184A8E" w:rsidP="00184A8E">
      <w:pPr>
        <w:spacing w:after="0" w:line="240" w:lineRule="auto"/>
        <w:jc w:val="both"/>
        <w:rPr>
          <w:rFonts w:ascii="Arial" w:eastAsia="Calibri" w:hAnsi="Arial" w:cs="Arial"/>
          <w:sz w:val="20"/>
          <w:szCs w:val="20"/>
        </w:rPr>
      </w:pPr>
    </w:p>
    <w:p w14:paraId="15A3CDFE" w14:textId="4EC3AEE2"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Calibri" w:hAnsi="Arial" w:cs="Arial"/>
          <w:b/>
          <w:sz w:val="20"/>
          <w:szCs w:val="20"/>
          <w:lang w:eastAsia="en-US"/>
        </w:rPr>
        <w:lastRenderedPageBreak/>
        <w:t>1. A206104: Mjere održivog poslovanja malog poduzetništva</w:t>
      </w:r>
      <w:r w:rsidRPr="00184A8E">
        <w:rPr>
          <w:rFonts w:ascii="Arial" w:eastAsia="Calibri" w:hAnsi="Arial" w:cs="Arial"/>
          <w:sz w:val="20"/>
          <w:szCs w:val="20"/>
          <w:lang w:eastAsia="en-US"/>
        </w:rPr>
        <w:t xml:space="preserve"> - u sklopu aktivnosti prvotno su planirani rashodi u iznosu </w:t>
      </w:r>
      <w:r w:rsidR="007A0556">
        <w:rPr>
          <w:rFonts w:ascii="Arial" w:eastAsia="Calibri" w:hAnsi="Arial" w:cs="Arial"/>
          <w:sz w:val="20"/>
          <w:szCs w:val="20"/>
          <w:lang w:eastAsia="en-US"/>
        </w:rPr>
        <w:t>18.000</w:t>
      </w:r>
      <w:r w:rsidRPr="00184A8E">
        <w:rPr>
          <w:rFonts w:ascii="Arial" w:eastAsia="Calibri" w:hAnsi="Arial" w:cs="Arial"/>
          <w:sz w:val="20"/>
          <w:szCs w:val="20"/>
          <w:lang w:eastAsia="en-US"/>
        </w:rPr>
        <w:t xml:space="preserve"> € za subvencije kamata za poduzetničke kredite sukladno zakonskim propisima, ali i ograničenjima. </w:t>
      </w:r>
      <w:r w:rsidRPr="00184A8E">
        <w:rPr>
          <w:rFonts w:ascii="Arial" w:eastAsia="Times New Roman" w:hAnsi="Arial" w:cs="Arial"/>
          <w:sz w:val="20"/>
          <w:szCs w:val="20"/>
          <w:lang w:eastAsia="en-US"/>
        </w:rPr>
        <w:t>Subvencije kamata za poduzetničke zajmove temelje se na poduzetničkim programima putem kojih bi se gospodarstvenicima s područja Općine omogućila realizacija raznovrsnih projekata u cilju unapređenja poslovanja. Izmjenama proračuna rashodi nisu planirani niti su izvršeni.</w:t>
      </w:r>
    </w:p>
    <w:p w14:paraId="482243DE" w14:textId="77777777" w:rsidR="00184A8E" w:rsidRPr="00184A8E" w:rsidRDefault="00184A8E" w:rsidP="00184A8E">
      <w:pPr>
        <w:spacing w:after="0" w:line="240" w:lineRule="auto"/>
        <w:jc w:val="both"/>
        <w:rPr>
          <w:rFonts w:ascii="Arial" w:eastAsia="Calibri" w:hAnsi="Arial" w:cs="Arial"/>
          <w:sz w:val="20"/>
          <w:szCs w:val="20"/>
          <w:lang w:eastAsia="en-US"/>
        </w:rPr>
      </w:pPr>
    </w:p>
    <w:p w14:paraId="65927722" w14:textId="77777777" w:rsidR="00184A8E" w:rsidRPr="00184A8E" w:rsidRDefault="00184A8E" w:rsidP="007A0556">
      <w:pPr>
        <w:autoSpaceDE w:val="0"/>
        <w:autoSpaceDN w:val="0"/>
        <w:adjustRightInd w:val="0"/>
        <w:spacing w:after="0" w:line="240" w:lineRule="auto"/>
        <w:ind w:left="709"/>
        <w:jc w:val="both"/>
        <w:rPr>
          <w:rFonts w:ascii="Arial" w:eastAsia="Calibri" w:hAnsi="Arial" w:cs="Arial"/>
          <w:sz w:val="20"/>
          <w:szCs w:val="20"/>
          <w:lang w:eastAsia="en-US"/>
        </w:rPr>
      </w:pPr>
      <w:r w:rsidRPr="007A0556">
        <w:rPr>
          <w:rFonts w:ascii="Arial" w:eastAsia="Calibri" w:hAnsi="Arial" w:cs="Arial"/>
          <w:sz w:val="18"/>
          <w:szCs w:val="18"/>
          <w:lang w:eastAsia="en-US"/>
        </w:rPr>
        <w:t xml:space="preserve">U okviru ove aktivnosti moguće su i aktivnosti informiranja i edukacije poduzetnika odnosno organizacija informativnih, savjetodavnih i edukativnih skupova za poduzetnike i druge zainteresirane osobe sa područja Općine. Skupovi bi se mogli održati u organizaciji Općine i u suradnji sa raznim institucijama (npr. Udruženje obrtnika, Hrvatski zavod za zapošljavanje, Razvojna agencija Dubrovačko neretvanske županije - DUNEA, Hrvatska banka za obnovu i razvoj), fondovima i udrugama. Za specijalizirane edukacije mogli bi se angažirati vrhunski stručnjaci u predmetnim područjima. </w:t>
      </w:r>
    </w:p>
    <w:p w14:paraId="3EF14B3D"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3402"/>
        <w:gridCol w:w="1129"/>
        <w:gridCol w:w="963"/>
        <w:gridCol w:w="1232"/>
        <w:gridCol w:w="1276"/>
        <w:gridCol w:w="1242"/>
        <w:gridCol w:w="1242"/>
        <w:gridCol w:w="1242"/>
      </w:tblGrid>
      <w:tr w:rsidR="00184A8E" w:rsidRPr="00184A8E" w14:paraId="5EFAC265"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9E02E9D"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8691381"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112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21E06DE"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9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4FA45AB"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4F94DA" w14:textId="0D3EB346"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7A0556">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80E3FF9" w14:textId="247BEA28"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7A0556">
              <w:rPr>
                <w:rFonts w:ascii="Arial" w:eastAsia="Calibri" w:hAnsi="Arial" w:cs="Arial"/>
                <w:lang w:eastAsia="en-US"/>
              </w:rPr>
              <w:t>5</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5B8DF96" w14:textId="72B18FF5"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7A0556">
              <w:rPr>
                <w:rFonts w:ascii="Arial" w:eastAsia="Calibri" w:hAnsi="Arial" w:cs="Arial"/>
                <w:lang w:eastAsia="en-US"/>
              </w:rPr>
              <w:t>5</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667D2B" w14:textId="32D47ECB"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7A0556">
              <w:rPr>
                <w:rFonts w:ascii="Arial" w:eastAsia="Calibri" w:hAnsi="Arial" w:cs="Arial"/>
                <w:lang w:eastAsia="en-US"/>
              </w:rPr>
              <w:t>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6DCC83F" w14:textId="320A6A43"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7A0556">
              <w:rPr>
                <w:rFonts w:ascii="Arial" w:eastAsia="Calibri" w:hAnsi="Arial" w:cs="Arial"/>
                <w:lang w:eastAsia="en-US"/>
              </w:rPr>
              <w:t>7</w:t>
            </w:r>
            <w:r w:rsidRPr="00184A8E">
              <w:rPr>
                <w:rFonts w:ascii="Arial" w:eastAsia="Calibri" w:hAnsi="Arial" w:cs="Arial"/>
                <w:lang w:eastAsia="en-US"/>
              </w:rPr>
              <w:t>.</w:t>
            </w:r>
          </w:p>
        </w:tc>
      </w:tr>
      <w:tr w:rsidR="00184A8E" w:rsidRPr="00184A8E" w14:paraId="5608263D" w14:textId="77777777" w:rsidTr="00410A4B">
        <w:trPr>
          <w:trHeight w:val="273"/>
          <w:jc w:val="center"/>
        </w:trPr>
        <w:tc>
          <w:tcPr>
            <w:tcW w:w="2835" w:type="dxa"/>
            <w:vAlign w:val="center"/>
          </w:tcPr>
          <w:p w14:paraId="55008EA8" w14:textId="77777777" w:rsidR="00184A8E" w:rsidRPr="00184A8E" w:rsidRDefault="00184A8E" w:rsidP="00184A8E">
            <w:pPr>
              <w:jc w:val="both"/>
              <w:rPr>
                <w:rFonts w:ascii="Arial" w:hAnsi="Arial" w:cs="Arial"/>
                <w:sz w:val="18"/>
                <w:szCs w:val="18"/>
                <w:lang w:eastAsia="en-US"/>
              </w:rPr>
            </w:pPr>
            <w:r w:rsidRPr="00184A8E">
              <w:rPr>
                <w:rFonts w:ascii="Arial" w:hAnsi="Arial" w:cs="Arial"/>
                <w:sz w:val="18"/>
                <w:szCs w:val="18"/>
              </w:rPr>
              <w:t>Obavljanje poslova i postupka vezanih uz financiranje programa za potpore poduzetnicima</w:t>
            </w:r>
          </w:p>
        </w:tc>
        <w:tc>
          <w:tcPr>
            <w:tcW w:w="3402" w:type="dxa"/>
          </w:tcPr>
          <w:p w14:paraId="116DA770"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hAnsi="Arial" w:cs="Arial"/>
                <w:sz w:val="18"/>
                <w:szCs w:val="18"/>
              </w:rPr>
              <w:t>Provedbom natječaja za dodjelu sredstava omogućava se realizacija projekata u cilju unapređenja poslovanja poduzetnika</w:t>
            </w:r>
          </w:p>
        </w:tc>
        <w:tc>
          <w:tcPr>
            <w:tcW w:w="1129" w:type="dxa"/>
            <w:tcBorders>
              <w:top w:val="single" w:sz="4" w:space="0" w:color="auto"/>
              <w:left w:val="single" w:sz="4" w:space="0" w:color="auto"/>
              <w:bottom w:val="single" w:sz="4" w:space="0" w:color="auto"/>
              <w:right w:val="single" w:sz="4" w:space="0" w:color="auto"/>
            </w:tcBorders>
            <w:vAlign w:val="center"/>
          </w:tcPr>
          <w:p w14:paraId="36BD3673" w14:textId="77777777" w:rsidR="00184A8E" w:rsidRPr="00184A8E" w:rsidRDefault="00184A8E" w:rsidP="00184A8E">
            <w:pPr>
              <w:jc w:val="center"/>
              <w:rPr>
                <w:rFonts w:ascii="Arial" w:hAnsi="Arial" w:cs="Arial"/>
                <w:sz w:val="16"/>
                <w:szCs w:val="16"/>
                <w:lang w:eastAsia="en-US"/>
              </w:rPr>
            </w:pPr>
            <w:r w:rsidRPr="00184A8E">
              <w:rPr>
                <w:rFonts w:ascii="Arial" w:hAnsi="Arial" w:cs="Arial"/>
                <w:sz w:val="16"/>
                <w:szCs w:val="16"/>
                <w:lang w:eastAsia="en-US"/>
              </w:rPr>
              <w:t>Broj provedenih natječaja</w:t>
            </w:r>
          </w:p>
        </w:tc>
        <w:tc>
          <w:tcPr>
            <w:tcW w:w="963" w:type="dxa"/>
            <w:tcBorders>
              <w:top w:val="single" w:sz="4" w:space="0" w:color="auto"/>
              <w:left w:val="single" w:sz="4" w:space="0" w:color="auto"/>
              <w:bottom w:val="single" w:sz="4" w:space="0" w:color="auto"/>
              <w:right w:val="single" w:sz="4" w:space="0" w:color="auto"/>
            </w:tcBorders>
            <w:vAlign w:val="center"/>
          </w:tcPr>
          <w:p w14:paraId="13DEAD8D"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0B4B08B"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0EE5B8CA"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1DEECD44"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6D455FCD"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19791ADC"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r>
    </w:tbl>
    <w:p w14:paraId="11AFD478" w14:textId="77777777" w:rsidR="00184A8E" w:rsidRPr="00184A8E" w:rsidRDefault="00184A8E" w:rsidP="00184A8E">
      <w:pPr>
        <w:spacing w:after="0" w:line="240" w:lineRule="auto"/>
        <w:jc w:val="both"/>
        <w:rPr>
          <w:rFonts w:ascii="Arial" w:eastAsia="Calibri" w:hAnsi="Arial" w:cs="Arial"/>
          <w:sz w:val="20"/>
          <w:szCs w:val="20"/>
        </w:rPr>
      </w:pPr>
    </w:p>
    <w:p w14:paraId="2176BF0F"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2. A206105: Aktivnosti iz područja integriranog teritorijalnog ulaganja i održivog urbanog razvoja</w:t>
      </w:r>
      <w:r w:rsidRPr="00184A8E">
        <w:rPr>
          <w:rFonts w:ascii="Arial" w:eastAsia="Calibri" w:hAnsi="Arial" w:cs="Arial"/>
          <w:sz w:val="20"/>
          <w:szCs w:val="20"/>
          <w:lang w:eastAsia="en-US"/>
        </w:rPr>
        <w:t xml:space="preserve"> - u sklopu aktivnosti prvotno su bili planirani rashodi u iznosu 7.000 €. Izmjenama i dopunama proračuna rashodi nisu planirani. Rashodi nisu izvršeni.</w:t>
      </w:r>
    </w:p>
    <w:p w14:paraId="638C7684" w14:textId="77777777" w:rsidR="00184A8E" w:rsidRPr="00184A8E" w:rsidRDefault="00184A8E" w:rsidP="00184A8E">
      <w:pPr>
        <w:spacing w:after="0" w:line="240" w:lineRule="auto"/>
        <w:jc w:val="both"/>
        <w:rPr>
          <w:rFonts w:ascii="Arial" w:eastAsia="Calibri" w:hAnsi="Arial" w:cs="Arial"/>
          <w:sz w:val="20"/>
          <w:szCs w:val="20"/>
          <w:lang w:eastAsia="en-US"/>
        </w:rPr>
      </w:pPr>
    </w:p>
    <w:p w14:paraId="1EAB9E84" w14:textId="77777777" w:rsidR="00184A8E" w:rsidRPr="007A0556" w:rsidRDefault="00184A8E" w:rsidP="007A0556">
      <w:pPr>
        <w:spacing w:after="0" w:line="240" w:lineRule="auto"/>
        <w:ind w:left="709"/>
        <w:jc w:val="both"/>
        <w:rPr>
          <w:rFonts w:ascii="Arial" w:eastAsia="Calibri" w:hAnsi="Arial" w:cs="Arial"/>
          <w:sz w:val="18"/>
          <w:szCs w:val="18"/>
          <w:lang w:eastAsia="en-US"/>
        </w:rPr>
      </w:pPr>
      <w:r w:rsidRPr="007A0556">
        <w:rPr>
          <w:rFonts w:ascii="Arial" w:eastAsia="Calibri" w:hAnsi="Arial" w:cs="Arial"/>
          <w:sz w:val="18"/>
          <w:szCs w:val="18"/>
          <w:lang w:eastAsia="en-US"/>
        </w:rPr>
        <w:t>Priliku za korištenje EU sredstava putem mehanizma integriranih teritorijalnih ulaganja (ITU mehanizam) u financijskom razdoblju 2014.-2020. godine dobile su četiri urbane aglomeracije: Zagreb, Split, Rijeka, Osijek i tri veća urbana područja: Zadar i Slavonski Brod, Pula. Uz postojećih sedam gradova priliku za korištenje EU sredstava u okviru ITU mehanizma u novom financijskom razdoblju 2021.-2027. dobit će još sedam gradova koji sukladno Zakonu o regionalnom razvoju ispunjavaju kriterije za veće urbano područje: Dubrovnik, Karlovac, Varaždin, Vinkovci, Sisak, Šibenik i Bjelovar. Izdvojena sredstva bit će na raspolaganju za financiranje projekata urbanog razvoja na području jedinica lokalne samouprave koje čine odabrano ITU područje.</w:t>
      </w:r>
    </w:p>
    <w:p w14:paraId="38ECEB65" w14:textId="77777777" w:rsidR="00184A8E" w:rsidRPr="007A0556" w:rsidRDefault="00184A8E" w:rsidP="007A0556">
      <w:pPr>
        <w:spacing w:after="0" w:line="240" w:lineRule="auto"/>
        <w:ind w:left="709"/>
        <w:jc w:val="both"/>
        <w:rPr>
          <w:rFonts w:ascii="Arial" w:eastAsia="Calibri" w:hAnsi="Arial" w:cs="Arial"/>
          <w:sz w:val="18"/>
          <w:szCs w:val="18"/>
          <w:lang w:eastAsia="en-US"/>
        </w:rPr>
      </w:pPr>
    </w:p>
    <w:p w14:paraId="740F596E" w14:textId="77777777" w:rsidR="00184A8E" w:rsidRPr="007A0556" w:rsidRDefault="00184A8E" w:rsidP="007A0556">
      <w:pPr>
        <w:spacing w:after="0" w:line="240" w:lineRule="auto"/>
        <w:ind w:left="709"/>
        <w:jc w:val="both"/>
        <w:rPr>
          <w:rFonts w:ascii="Arial" w:eastAsia="Calibri" w:hAnsi="Arial" w:cs="Arial"/>
          <w:sz w:val="18"/>
          <w:szCs w:val="18"/>
          <w:lang w:eastAsia="en-US"/>
        </w:rPr>
      </w:pPr>
      <w:r w:rsidRPr="007A0556">
        <w:rPr>
          <w:rFonts w:ascii="Arial" w:eastAsia="Calibri" w:hAnsi="Arial" w:cs="Arial"/>
          <w:sz w:val="18"/>
          <w:szCs w:val="18"/>
          <w:lang w:eastAsia="en-US"/>
        </w:rPr>
        <w:t xml:space="preserve">Mjere održivog urbanoga razvoja putem ITU mehanizma u Republici Hrvatskoj provodi </w:t>
      </w:r>
      <w:r w:rsidRPr="007A0556">
        <w:rPr>
          <w:rFonts w:ascii="Arial" w:eastAsia="Calibri" w:hAnsi="Arial" w:cs="Arial"/>
          <w:b/>
          <w:bCs/>
          <w:sz w:val="18"/>
          <w:szCs w:val="18"/>
          <w:lang w:eastAsia="en-US"/>
        </w:rPr>
        <w:t>Ministarstvo regionalnoga razvoja i fondova Europske unije</w:t>
      </w:r>
      <w:r w:rsidRPr="007A0556">
        <w:rPr>
          <w:rFonts w:ascii="Arial" w:eastAsia="Calibri" w:hAnsi="Arial" w:cs="Arial"/>
          <w:sz w:val="18"/>
          <w:szCs w:val="18"/>
          <w:lang w:eastAsia="en-US"/>
        </w:rPr>
        <w:t xml:space="preserve">, Upravljačko tijelo za Operativni program Konkurentnost i kohezija i Koordinacijsko tijelo za provedbu mehanizma integriranih teritorijalnih ulaganja, u suradnji s </w:t>
      </w:r>
      <w:r w:rsidRPr="007A0556">
        <w:rPr>
          <w:rFonts w:ascii="Arial" w:eastAsia="Calibri" w:hAnsi="Arial" w:cs="Arial"/>
          <w:b/>
          <w:bCs/>
          <w:sz w:val="18"/>
          <w:szCs w:val="18"/>
          <w:lang w:eastAsia="en-US"/>
        </w:rPr>
        <w:t xml:space="preserve">Ministarstvom rada i mirovinskoga sustava </w:t>
      </w:r>
      <w:r w:rsidRPr="007A0556">
        <w:rPr>
          <w:rFonts w:ascii="Arial" w:eastAsia="Calibri" w:hAnsi="Arial" w:cs="Arial"/>
          <w:sz w:val="18"/>
          <w:szCs w:val="18"/>
          <w:lang w:eastAsia="en-US"/>
        </w:rPr>
        <w:t>kao Upravljačkim tijelom za Operativni program Učinkoviti ljudski potencijali.</w:t>
      </w:r>
    </w:p>
    <w:p w14:paraId="0BE6C5B4" w14:textId="77777777" w:rsidR="00184A8E" w:rsidRPr="007A0556" w:rsidRDefault="00184A8E" w:rsidP="007A0556">
      <w:pPr>
        <w:spacing w:after="0" w:line="240" w:lineRule="auto"/>
        <w:ind w:left="709"/>
        <w:jc w:val="both"/>
        <w:rPr>
          <w:rFonts w:ascii="Arial" w:eastAsia="Calibri" w:hAnsi="Arial" w:cs="Arial"/>
          <w:sz w:val="18"/>
          <w:szCs w:val="18"/>
          <w:lang w:eastAsia="en-US"/>
        </w:rPr>
      </w:pPr>
    </w:p>
    <w:p w14:paraId="2F3B3DDE" w14:textId="77777777" w:rsidR="00184A8E" w:rsidRPr="007A0556" w:rsidRDefault="00184A8E" w:rsidP="007A0556">
      <w:pPr>
        <w:spacing w:after="0" w:line="240" w:lineRule="auto"/>
        <w:ind w:left="709"/>
        <w:jc w:val="both"/>
        <w:rPr>
          <w:rFonts w:ascii="Arial" w:eastAsia="Calibri" w:hAnsi="Arial" w:cs="Arial"/>
          <w:sz w:val="18"/>
          <w:szCs w:val="18"/>
          <w:lang w:eastAsia="en-US"/>
        </w:rPr>
      </w:pPr>
      <w:r w:rsidRPr="007A0556">
        <w:rPr>
          <w:rFonts w:ascii="Arial" w:eastAsia="Calibri" w:hAnsi="Arial" w:cs="Arial"/>
          <w:sz w:val="18"/>
          <w:szCs w:val="18"/>
          <w:lang w:eastAsia="en-US"/>
        </w:rPr>
        <w:t>Nakon ispunjenja preduvjeta Grad Dubrovnik s okolnim područjem utvrđuje se područjem za moguće proširenje provedbe mehanizma integriranih teritorijalnih ulaganja u financijskom razdoblju 2021.-2027., te se korisnicima daju na raspolaganje značajna financijska sredstva za provedbu projekata u sklopu integriranog teritorijalnog ulaganja i održivog urbanog razvoja, a iz više područja koja uključuju kulturu, turizam, promet i mobilnost, digitalizaciju, gospodarstvo i zaštitu okoliša.</w:t>
      </w:r>
    </w:p>
    <w:p w14:paraId="0EC13F53" w14:textId="77777777" w:rsidR="00184A8E" w:rsidRPr="007A0556" w:rsidRDefault="00184A8E" w:rsidP="007A0556">
      <w:pPr>
        <w:spacing w:after="0" w:line="240" w:lineRule="auto"/>
        <w:ind w:left="709"/>
        <w:jc w:val="both"/>
        <w:rPr>
          <w:rFonts w:ascii="Arial" w:eastAsia="Calibri" w:hAnsi="Arial" w:cs="Arial"/>
          <w:sz w:val="18"/>
          <w:szCs w:val="18"/>
          <w:lang w:eastAsia="en-US"/>
        </w:rPr>
      </w:pPr>
    </w:p>
    <w:p w14:paraId="26A7062E" w14:textId="77777777" w:rsidR="00184A8E" w:rsidRPr="007A0556" w:rsidRDefault="00184A8E" w:rsidP="007A0556">
      <w:pPr>
        <w:spacing w:after="0" w:line="240" w:lineRule="auto"/>
        <w:ind w:left="709"/>
        <w:jc w:val="both"/>
        <w:rPr>
          <w:rFonts w:ascii="Arial" w:eastAsia="Calibri" w:hAnsi="Arial" w:cs="Arial"/>
          <w:sz w:val="18"/>
          <w:szCs w:val="18"/>
          <w:lang w:eastAsia="en-US"/>
        </w:rPr>
      </w:pPr>
      <w:r w:rsidRPr="007A0556">
        <w:rPr>
          <w:rFonts w:ascii="Arial" w:eastAsia="Calibri" w:hAnsi="Arial" w:cs="Arial"/>
          <w:sz w:val="18"/>
          <w:szCs w:val="18"/>
          <w:lang w:eastAsia="en-US"/>
        </w:rPr>
        <w:t>Integrirana teritorijalna ulaganja predstavljaju mehanizam koji se po prvi puta koristi u Europskoj uniji u razdoblju 2014.-2020. godine, a koji omogućuje integriranje sredstava iz različitih europskih fondova i operativnih programa te ulaganje tih sredstava u aktivnosti kojima će se ojačati uloga gradova kao pokretača gospodarskog razvoja. Najbitnije informacije svakog pojedinog projekta su: status projekta, financijska vrijednost i trajanje projekta te eventualno alokacije po godinama, ukoliko već postoje određeni izračuni troškovnika. Za svaki projekt treba nastojati da je stupanj spremnosti dokumentacije što veći.</w:t>
      </w:r>
    </w:p>
    <w:p w14:paraId="70A4E0EF" w14:textId="77777777" w:rsidR="00184A8E" w:rsidRPr="00184A8E" w:rsidRDefault="00184A8E" w:rsidP="007A0556">
      <w:pPr>
        <w:spacing w:after="0" w:line="240" w:lineRule="auto"/>
        <w:ind w:left="709"/>
        <w:jc w:val="both"/>
        <w:rPr>
          <w:rFonts w:ascii="Arial" w:eastAsia="Calibri" w:hAnsi="Arial" w:cs="Arial"/>
          <w:sz w:val="20"/>
          <w:szCs w:val="20"/>
          <w:lang w:eastAsia="en-US"/>
        </w:rPr>
      </w:pPr>
      <w:r w:rsidRPr="007A0556">
        <w:rPr>
          <w:rFonts w:ascii="Arial" w:eastAsia="Calibri" w:hAnsi="Arial" w:cs="Arial"/>
          <w:sz w:val="18"/>
          <w:szCs w:val="18"/>
          <w:lang w:eastAsia="en-US"/>
        </w:rPr>
        <w:t xml:space="preserve">Područja ITU ulaganja mogu biti: sektor predškolskog odgoja (radovi i opremanje vrtića), zelena tranzicija sektora javnog prijevoza, ulaganja u zelenu infrastrukturu, ulaganja u javnu turističku infrastrukturu, ulaganje u višenamjensku sportsku, edukacijsku, sigurnosnu i društvenu infrastrukturu, razvoj digitalnih usluga i proizvoda (digitalna tranzicija), opremanje socijalne infrastrukture, kulturna baština, brownfield (infrastruktura koji zahtijeva neku intervenciju kako bi se ponovno vratila u uporabu), poduzetnička potporna infrastruktura i dr. </w:t>
      </w:r>
    </w:p>
    <w:p w14:paraId="005622F2"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3397"/>
        <w:gridCol w:w="2127"/>
        <w:gridCol w:w="1842"/>
        <w:gridCol w:w="963"/>
        <w:gridCol w:w="1232"/>
        <w:gridCol w:w="1276"/>
        <w:gridCol w:w="1242"/>
        <w:gridCol w:w="1242"/>
        <w:gridCol w:w="1242"/>
      </w:tblGrid>
      <w:tr w:rsidR="00184A8E" w:rsidRPr="00184A8E" w14:paraId="3BC392D1" w14:textId="77777777" w:rsidTr="00410A4B">
        <w:trP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387439B"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lastRenderedPageBreak/>
              <w:t>Pokazatelj rezultata</w:t>
            </w:r>
          </w:p>
        </w:tc>
        <w:tc>
          <w:tcPr>
            <w:tcW w:w="212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73952CB"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Definicija</w:t>
            </w:r>
          </w:p>
        </w:tc>
        <w:tc>
          <w:tcPr>
            <w:tcW w:w="18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D2A3AE1"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Jedinica</w:t>
            </w:r>
          </w:p>
        </w:tc>
        <w:tc>
          <w:tcPr>
            <w:tcW w:w="96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821AA79"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E95AA9E" w14:textId="6447D6F3"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Polazna vrijednost 202</w:t>
            </w:r>
            <w:r w:rsidR="007A0556">
              <w:rPr>
                <w:rFonts w:ascii="Arial" w:eastAsia="Calibri" w:hAnsi="Arial" w:cs="Arial"/>
                <w:sz w:val="18"/>
                <w:szCs w:val="18"/>
                <w:lang w:eastAsia="en-US"/>
              </w:rPr>
              <w:t>4</w:t>
            </w:r>
            <w:r w:rsidRPr="00184A8E">
              <w:rPr>
                <w:rFonts w:ascii="Arial" w:eastAsia="Calibri" w:hAnsi="Arial" w:cs="Arial"/>
                <w:sz w:val="18"/>
                <w:szCs w:val="18"/>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EBF2DE4" w14:textId="3B65AB38"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7A0556">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7504A0A" w14:textId="5D57252C"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Izvršeno 202</w:t>
            </w:r>
            <w:r w:rsidR="007A0556">
              <w:rPr>
                <w:rFonts w:ascii="Arial" w:eastAsia="Calibri" w:hAnsi="Arial" w:cs="Arial"/>
                <w:sz w:val="18"/>
                <w:szCs w:val="18"/>
                <w:lang w:eastAsia="en-US"/>
              </w:rPr>
              <w:t>5</w:t>
            </w:r>
            <w:r w:rsidRPr="00184A8E">
              <w:rPr>
                <w:rFonts w:ascii="Arial" w:eastAsia="Calibri" w:hAnsi="Arial" w:cs="Arial"/>
                <w:sz w:val="18"/>
                <w:szCs w:val="18"/>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E351CAD" w14:textId="0F46A440"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7A0556">
              <w:rPr>
                <w:rFonts w:ascii="Arial" w:eastAsia="Calibri" w:hAnsi="Arial" w:cs="Arial"/>
                <w:sz w:val="18"/>
                <w:szCs w:val="18"/>
                <w:lang w:eastAsia="en-US"/>
              </w:rPr>
              <w:t>6</w:t>
            </w:r>
            <w:r w:rsidRPr="00184A8E">
              <w:rPr>
                <w:rFonts w:ascii="Arial" w:eastAsia="Calibri" w:hAnsi="Arial" w:cs="Arial"/>
                <w:sz w:val="18"/>
                <w:szCs w:val="18"/>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699F7C8" w14:textId="42721B1F"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7A0556">
              <w:rPr>
                <w:rFonts w:ascii="Arial" w:eastAsia="Calibri" w:hAnsi="Arial" w:cs="Arial"/>
                <w:sz w:val="18"/>
                <w:szCs w:val="18"/>
                <w:lang w:eastAsia="en-US"/>
              </w:rPr>
              <w:t>7</w:t>
            </w:r>
            <w:r w:rsidRPr="00184A8E">
              <w:rPr>
                <w:rFonts w:ascii="Arial" w:eastAsia="Calibri" w:hAnsi="Arial" w:cs="Arial"/>
                <w:sz w:val="18"/>
                <w:szCs w:val="18"/>
                <w:lang w:eastAsia="en-US"/>
              </w:rPr>
              <w:t>.</w:t>
            </w:r>
          </w:p>
        </w:tc>
      </w:tr>
      <w:tr w:rsidR="00184A8E" w:rsidRPr="00184A8E" w14:paraId="2ACD9BD4" w14:textId="77777777" w:rsidTr="00410A4B">
        <w:trPr>
          <w:trHeight w:val="273"/>
          <w:jc w:val="center"/>
        </w:trPr>
        <w:tc>
          <w:tcPr>
            <w:tcW w:w="3397" w:type="dxa"/>
            <w:vAlign w:val="center"/>
          </w:tcPr>
          <w:p w14:paraId="58E429A0" w14:textId="77777777" w:rsidR="00184A8E" w:rsidRPr="00184A8E" w:rsidRDefault="00184A8E" w:rsidP="00184A8E">
            <w:pPr>
              <w:jc w:val="both"/>
              <w:rPr>
                <w:rFonts w:ascii="Arial" w:hAnsi="Arial" w:cs="Arial"/>
                <w:sz w:val="16"/>
                <w:szCs w:val="16"/>
                <w:lang w:eastAsia="en-US"/>
              </w:rPr>
            </w:pPr>
            <w:r w:rsidRPr="00184A8E">
              <w:rPr>
                <w:rFonts w:ascii="Arial" w:hAnsi="Arial" w:cs="Arial"/>
                <w:sz w:val="16"/>
                <w:szCs w:val="16"/>
              </w:rPr>
              <w:t>Provedba aktivnosti vezanih uz koordinaciju pripreme projekata uključenih u Strategiju razvoja Urbanog područja Dubrovnik</w:t>
            </w:r>
          </w:p>
        </w:tc>
        <w:tc>
          <w:tcPr>
            <w:tcW w:w="2127" w:type="dxa"/>
          </w:tcPr>
          <w:p w14:paraId="441DC6D3"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hAnsi="Arial" w:cs="Arial"/>
                <w:sz w:val="18"/>
                <w:szCs w:val="18"/>
              </w:rPr>
              <w:t xml:space="preserve">Priprema projekata </w:t>
            </w:r>
          </w:p>
        </w:tc>
        <w:tc>
          <w:tcPr>
            <w:tcW w:w="1842" w:type="dxa"/>
            <w:tcBorders>
              <w:top w:val="single" w:sz="4" w:space="0" w:color="auto"/>
              <w:left w:val="single" w:sz="4" w:space="0" w:color="auto"/>
              <w:bottom w:val="single" w:sz="4" w:space="0" w:color="auto"/>
              <w:right w:val="single" w:sz="4" w:space="0" w:color="auto"/>
            </w:tcBorders>
            <w:vAlign w:val="center"/>
          </w:tcPr>
          <w:p w14:paraId="4561757A" w14:textId="77777777" w:rsidR="00184A8E" w:rsidRPr="00184A8E" w:rsidRDefault="00184A8E" w:rsidP="00184A8E">
            <w:pPr>
              <w:jc w:val="center"/>
              <w:rPr>
                <w:rFonts w:ascii="Arial" w:hAnsi="Arial" w:cs="Arial"/>
                <w:sz w:val="16"/>
                <w:szCs w:val="16"/>
                <w:lang w:eastAsia="en-US"/>
              </w:rPr>
            </w:pPr>
            <w:r w:rsidRPr="00184A8E">
              <w:rPr>
                <w:rFonts w:ascii="Arial" w:hAnsi="Arial" w:cs="Arial"/>
                <w:sz w:val="16"/>
                <w:szCs w:val="16"/>
                <w:lang w:eastAsia="en-US"/>
              </w:rPr>
              <w:t>Broj pripremljenih projekata</w:t>
            </w:r>
          </w:p>
        </w:tc>
        <w:tc>
          <w:tcPr>
            <w:tcW w:w="963" w:type="dxa"/>
            <w:tcBorders>
              <w:top w:val="single" w:sz="4" w:space="0" w:color="auto"/>
              <w:left w:val="single" w:sz="4" w:space="0" w:color="auto"/>
              <w:bottom w:val="single" w:sz="4" w:space="0" w:color="auto"/>
              <w:right w:val="single" w:sz="4" w:space="0" w:color="auto"/>
            </w:tcBorders>
            <w:vAlign w:val="center"/>
          </w:tcPr>
          <w:p w14:paraId="46E4A794"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4CFDC5F0"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3E9F549D"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017DEF5E"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5754A4F1"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c>
          <w:tcPr>
            <w:tcW w:w="1242" w:type="dxa"/>
            <w:tcBorders>
              <w:top w:val="single" w:sz="4" w:space="0" w:color="000000"/>
              <w:left w:val="single" w:sz="4" w:space="0" w:color="000000"/>
              <w:bottom w:val="single" w:sz="4" w:space="0" w:color="000000"/>
              <w:right w:val="single" w:sz="4" w:space="0" w:color="000000"/>
            </w:tcBorders>
            <w:vAlign w:val="center"/>
          </w:tcPr>
          <w:p w14:paraId="65488971"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r>
    </w:tbl>
    <w:p w14:paraId="2CDFDD72" w14:textId="77777777" w:rsidR="00184A8E" w:rsidRPr="00184A8E" w:rsidRDefault="00184A8E" w:rsidP="00184A8E">
      <w:pPr>
        <w:spacing w:after="0" w:line="240" w:lineRule="auto"/>
        <w:jc w:val="both"/>
        <w:rPr>
          <w:rFonts w:ascii="Arial" w:eastAsia="Calibri" w:hAnsi="Arial" w:cs="Arial"/>
          <w:sz w:val="20"/>
          <w:szCs w:val="20"/>
          <w:lang w:eastAsia="en-US"/>
        </w:rPr>
      </w:pPr>
    </w:p>
    <w:p w14:paraId="233F388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3. K206106: Poduzetnički inkubator</w:t>
      </w:r>
      <w:r w:rsidRPr="00184A8E">
        <w:rPr>
          <w:rFonts w:ascii="Arial" w:eastAsia="Calibri" w:hAnsi="Arial" w:cs="Arial"/>
          <w:sz w:val="20"/>
          <w:szCs w:val="20"/>
          <w:lang w:eastAsia="en-US"/>
        </w:rPr>
        <w:t xml:space="preserve"> - u sklopu aktivnosti nisu planirani rashodi.</w:t>
      </w:r>
    </w:p>
    <w:p w14:paraId="4B6966C4" w14:textId="77777777" w:rsidR="00184A8E" w:rsidRPr="00184A8E" w:rsidRDefault="00184A8E" w:rsidP="00184A8E">
      <w:pPr>
        <w:spacing w:after="0" w:line="240" w:lineRule="auto"/>
        <w:jc w:val="both"/>
        <w:rPr>
          <w:rFonts w:ascii="Arial" w:eastAsia="Calibri" w:hAnsi="Arial" w:cs="Arial"/>
          <w:sz w:val="20"/>
          <w:szCs w:val="20"/>
          <w:lang w:eastAsia="en-US"/>
        </w:rPr>
      </w:pPr>
    </w:p>
    <w:p w14:paraId="25985C79"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Prostor od 23 hektara u neposrednom kontaktu Zračne luke Dubrovnik predviđeno je za Poduzetničku zonu. Poduzetnički inkubator treba biti lokomotiva suvremenog razvoja poduzetničke zone u sadržajnom i izvedbenom smislu. Stoga je potrebno izgraditi Poduzetnički inkubator koji će pružiti potrebnu infrastrukturu, a kroz poduzetničku instituciju i potporu start up-ovima. </w:t>
      </w:r>
    </w:p>
    <w:p w14:paraId="61205DAE"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8"/>
        <w:tblW w:w="14563" w:type="dxa"/>
        <w:jc w:val="center"/>
        <w:tblLayout w:type="fixed"/>
        <w:tblLook w:val="04A0" w:firstRow="1" w:lastRow="0" w:firstColumn="1" w:lastColumn="0" w:noHBand="0" w:noVBand="1"/>
      </w:tblPr>
      <w:tblGrid>
        <w:gridCol w:w="2835"/>
        <w:gridCol w:w="2689"/>
        <w:gridCol w:w="992"/>
        <w:gridCol w:w="1813"/>
        <w:gridCol w:w="1232"/>
        <w:gridCol w:w="1276"/>
        <w:gridCol w:w="1242"/>
        <w:gridCol w:w="1242"/>
        <w:gridCol w:w="1242"/>
      </w:tblGrid>
      <w:tr w:rsidR="00184A8E" w:rsidRPr="00184A8E" w14:paraId="4521690C" w14:textId="77777777" w:rsidTr="00410A4B">
        <w:trP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1B6C03E"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268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AF9D0CE"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CCC5735"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81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63A8D6D"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23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F50947F" w14:textId="19027F2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7A0556">
              <w:rPr>
                <w:rFonts w:ascii="Arial" w:eastAsia="Calibri" w:hAnsi="Arial" w:cs="Arial"/>
                <w:lang w:eastAsia="en-US"/>
              </w:rPr>
              <w:t>4</w:t>
            </w:r>
            <w:r w:rsidRPr="00184A8E">
              <w:rPr>
                <w:rFonts w:ascii="Arial" w:eastAsia="Calibri" w:hAnsi="Arial" w:cs="Arial"/>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15D9665" w14:textId="6F75E801"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7A0556">
              <w:rPr>
                <w:rFonts w:ascii="Arial" w:eastAsia="Calibri" w:hAnsi="Arial" w:cs="Arial"/>
                <w:lang w:eastAsia="en-US"/>
              </w:rPr>
              <w:t>5</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E5F5464" w14:textId="08CA950D"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7A0556">
              <w:rPr>
                <w:rFonts w:ascii="Arial" w:eastAsia="Calibri" w:hAnsi="Arial" w:cs="Arial"/>
                <w:lang w:eastAsia="en-US"/>
              </w:rPr>
              <w:t>5</w:t>
            </w:r>
            <w:r w:rsidRPr="00184A8E">
              <w:rPr>
                <w:rFonts w:ascii="Arial" w:eastAsia="Calibri" w:hAnsi="Arial" w:cs="Arial"/>
                <w:lang w:eastAsia="en-US"/>
              </w:rPr>
              <w:t xml:space="preserve">. </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A3566E8" w14:textId="3C06F920"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7A0556">
              <w:rPr>
                <w:rFonts w:ascii="Arial" w:eastAsia="Calibri" w:hAnsi="Arial" w:cs="Arial"/>
                <w:lang w:eastAsia="en-US"/>
              </w:rPr>
              <w:t>6</w:t>
            </w:r>
            <w:r w:rsidRPr="00184A8E">
              <w:rPr>
                <w:rFonts w:ascii="Arial" w:eastAsia="Calibri" w:hAnsi="Arial" w:cs="Arial"/>
                <w:lang w:eastAsia="en-US"/>
              </w:rPr>
              <w:t>.</w:t>
            </w:r>
          </w:p>
        </w:tc>
        <w:tc>
          <w:tcPr>
            <w:tcW w:w="12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DB99F4F" w14:textId="1C880216"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7A0556">
              <w:rPr>
                <w:rFonts w:ascii="Arial" w:eastAsia="Calibri" w:hAnsi="Arial" w:cs="Arial"/>
                <w:lang w:eastAsia="en-US"/>
              </w:rPr>
              <w:t>7</w:t>
            </w:r>
            <w:r w:rsidRPr="00184A8E">
              <w:rPr>
                <w:rFonts w:ascii="Arial" w:eastAsia="Calibri" w:hAnsi="Arial" w:cs="Arial"/>
                <w:lang w:eastAsia="en-US"/>
              </w:rPr>
              <w:t>.</w:t>
            </w:r>
          </w:p>
        </w:tc>
      </w:tr>
      <w:tr w:rsidR="00184A8E" w:rsidRPr="00184A8E" w14:paraId="47E2FF94" w14:textId="77777777" w:rsidTr="00410A4B">
        <w:trPr>
          <w:trHeight w:val="273"/>
          <w:jc w:val="center"/>
        </w:trPr>
        <w:tc>
          <w:tcPr>
            <w:tcW w:w="2835" w:type="dxa"/>
            <w:vAlign w:val="center"/>
          </w:tcPr>
          <w:p w14:paraId="2DC7D8E9" w14:textId="77777777" w:rsidR="00184A8E" w:rsidRPr="00184A8E" w:rsidRDefault="00184A8E" w:rsidP="00184A8E">
            <w:pPr>
              <w:jc w:val="both"/>
              <w:rPr>
                <w:rFonts w:ascii="Arial" w:hAnsi="Arial" w:cs="Arial"/>
                <w:sz w:val="18"/>
                <w:szCs w:val="18"/>
                <w:lang w:eastAsia="en-US"/>
              </w:rPr>
            </w:pPr>
            <w:r w:rsidRPr="00184A8E">
              <w:rPr>
                <w:rFonts w:ascii="Arial" w:hAnsi="Arial" w:cs="Arial"/>
                <w:sz w:val="18"/>
                <w:szCs w:val="18"/>
              </w:rPr>
              <w:t xml:space="preserve">Provedba aktivnosti vezanih uz koordinaciju poslova vezanih uz budući poduzetnički inkubator </w:t>
            </w:r>
          </w:p>
        </w:tc>
        <w:tc>
          <w:tcPr>
            <w:tcW w:w="2689" w:type="dxa"/>
          </w:tcPr>
          <w:p w14:paraId="66D93D88" w14:textId="77777777" w:rsidR="00184A8E" w:rsidRPr="00184A8E" w:rsidRDefault="00184A8E" w:rsidP="00184A8E">
            <w:pPr>
              <w:autoSpaceDE w:val="0"/>
              <w:autoSpaceDN w:val="0"/>
              <w:adjustRightInd w:val="0"/>
              <w:rPr>
                <w:rFonts w:ascii="Arial" w:hAnsi="Arial" w:cs="Arial"/>
                <w:sz w:val="18"/>
                <w:szCs w:val="18"/>
                <w:lang w:eastAsia="en-US"/>
              </w:rPr>
            </w:pPr>
            <w:r w:rsidRPr="00184A8E">
              <w:rPr>
                <w:rFonts w:ascii="Arial" w:hAnsi="Arial" w:cs="Arial"/>
                <w:sz w:val="18"/>
                <w:szCs w:val="18"/>
              </w:rPr>
              <w:t xml:space="preserve">Postotak izvršenih rashoda </w:t>
            </w:r>
          </w:p>
        </w:tc>
        <w:tc>
          <w:tcPr>
            <w:tcW w:w="992" w:type="dxa"/>
            <w:tcBorders>
              <w:top w:val="single" w:sz="4" w:space="0" w:color="auto"/>
              <w:left w:val="single" w:sz="4" w:space="0" w:color="auto"/>
              <w:bottom w:val="single" w:sz="4" w:space="0" w:color="auto"/>
              <w:right w:val="single" w:sz="4" w:space="0" w:color="auto"/>
            </w:tcBorders>
            <w:vAlign w:val="center"/>
          </w:tcPr>
          <w:p w14:paraId="371A70E9" w14:textId="77777777" w:rsidR="00184A8E" w:rsidRPr="00184A8E" w:rsidRDefault="00184A8E" w:rsidP="00184A8E">
            <w:pPr>
              <w:jc w:val="center"/>
              <w:rPr>
                <w:rFonts w:ascii="Arial" w:hAnsi="Arial" w:cs="Arial"/>
                <w:sz w:val="16"/>
                <w:szCs w:val="16"/>
                <w:lang w:eastAsia="en-US"/>
              </w:rPr>
            </w:pPr>
            <w:r w:rsidRPr="00184A8E">
              <w:rPr>
                <w:rFonts w:ascii="Arial" w:hAnsi="Arial" w:cs="Arial"/>
                <w:sz w:val="16"/>
                <w:szCs w:val="16"/>
                <w:lang w:eastAsia="en-US"/>
              </w:rPr>
              <w:t>%</w:t>
            </w:r>
          </w:p>
        </w:tc>
        <w:tc>
          <w:tcPr>
            <w:tcW w:w="1813" w:type="dxa"/>
            <w:tcBorders>
              <w:top w:val="single" w:sz="4" w:space="0" w:color="auto"/>
              <w:left w:val="single" w:sz="4" w:space="0" w:color="auto"/>
              <w:bottom w:val="single" w:sz="4" w:space="0" w:color="auto"/>
              <w:right w:val="single" w:sz="4" w:space="0" w:color="auto"/>
            </w:tcBorders>
            <w:vAlign w:val="center"/>
          </w:tcPr>
          <w:p w14:paraId="0C6A60B5"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232" w:type="dxa"/>
            <w:tcBorders>
              <w:top w:val="single" w:sz="4" w:space="0" w:color="auto"/>
              <w:left w:val="single" w:sz="4" w:space="0" w:color="auto"/>
              <w:bottom w:val="single" w:sz="4" w:space="0" w:color="auto"/>
              <w:right w:val="single" w:sz="4" w:space="0" w:color="auto"/>
            </w:tcBorders>
            <w:vAlign w:val="center"/>
          </w:tcPr>
          <w:p w14:paraId="680CACDC"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49505B19"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2AC3AC7E"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242" w:type="dxa"/>
            <w:tcBorders>
              <w:top w:val="single" w:sz="4" w:space="0" w:color="000000"/>
              <w:left w:val="single" w:sz="4" w:space="0" w:color="000000"/>
              <w:bottom w:val="single" w:sz="4" w:space="0" w:color="000000"/>
              <w:right w:val="single" w:sz="4" w:space="0" w:color="000000"/>
            </w:tcBorders>
            <w:vAlign w:val="center"/>
          </w:tcPr>
          <w:p w14:paraId="2FBD3285"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14:paraId="0847DC81"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100%</w:t>
            </w:r>
          </w:p>
        </w:tc>
      </w:tr>
    </w:tbl>
    <w:p w14:paraId="6A73ABE0" w14:textId="77777777" w:rsidR="00184A8E" w:rsidRPr="00184A8E" w:rsidRDefault="00184A8E" w:rsidP="00184A8E">
      <w:pPr>
        <w:spacing w:after="0" w:line="240" w:lineRule="auto"/>
        <w:jc w:val="both"/>
        <w:rPr>
          <w:rFonts w:ascii="Arial" w:eastAsia="Calibri" w:hAnsi="Arial" w:cs="Arial"/>
          <w:sz w:val="20"/>
          <w:szCs w:val="20"/>
          <w:lang w:eastAsia="en-US"/>
        </w:rPr>
      </w:pPr>
    </w:p>
    <w:p w14:paraId="7295ABC7" w14:textId="77777777" w:rsidR="00184A8E" w:rsidRPr="00184A8E" w:rsidRDefault="00184A8E" w:rsidP="00184A8E">
      <w:pPr>
        <w:spacing w:after="0" w:line="240" w:lineRule="auto"/>
        <w:jc w:val="both"/>
        <w:rPr>
          <w:rFonts w:ascii="Arial" w:eastAsia="Calibri" w:hAnsi="Arial" w:cs="Arial"/>
          <w:sz w:val="20"/>
          <w:szCs w:val="20"/>
        </w:rPr>
      </w:pPr>
    </w:p>
    <w:p w14:paraId="72EBF7B6"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617" w:name="_Toc200628545"/>
      <w:bookmarkStart w:id="618" w:name="_Toc232981477"/>
      <w:r w:rsidRPr="00184A8E">
        <w:rPr>
          <w:rFonts w:ascii="Times New Roman" w:eastAsia="Calibri" w:hAnsi="Times New Roman" w:cs="Times New Roman"/>
          <w:b/>
          <w:sz w:val="24"/>
          <w:szCs w:val="20"/>
          <w:lang w:eastAsia="en-US"/>
        </w:rPr>
        <w:t>Program (2062): Poticanje razvoja poljoprivrede</w:t>
      </w:r>
      <w:bookmarkEnd w:id="617"/>
      <w:bookmarkEnd w:id="618"/>
    </w:p>
    <w:p w14:paraId="618AFC39"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3"/>
        <w:gridCol w:w="13007"/>
      </w:tblGrid>
      <w:tr w:rsidR="00184A8E" w:rsidRPr="00184A8E" w14:paraId="742B7BC0" w14:textId="77777777" w:rsidTr="00410A4B">
        <w:tc>
          <w:tcPr>
            <w:tcW w:w="1553" w:type="dxa"/>
          </w:tcPr>
          <w:p w14:paraId="2BFB0155"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3007" w:type="dxa"/>
          </w:tcPr>
          <w:p w14:paraId="576EDF90"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Program obuhvaća aktivnosti sufinanciranja rada udruga u poljoprivredi – obiteljska poljoprivredna gospodarstva koja značajno doprinose razvoju turizma, za koje bi se trebao provesti natječaj sukladno zakonskoj regulativi i Pravilniku o financiranju programa i projekata koje provode organizacije civilnog društva. </w:t>
            </w:r>
          </w:p>
          <w:p w14:paraId="53836E4E"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Program obuhvaća sufinanciranje projekata i aktivnosti usmjerenih razvoju održive poljoprivrede i ostalog gospodarstva na temelju programa sufinanciranja u poljoprivredi.</w:t>
            </w:r>
          </w:p>
        </w:tc>
      </w:tr>
      <w:tr w:rsidR="00184A8E" w:rsidRPr="00184A8E" w14:paraId="15AD4864" w14:textId="77777777" w:rsidTr="00410A4B">
        <w:tc>
          <w:tcPr>
            <w:tcW w:w="1553" w:type="dxa"/>
          </w:tcPr>
          <w:p w14:paraId="433777A6" w14:textId="77777777" w:rsidR="00184A8E" w:rsidRPr="00184A8E" w:rsidRDefault="00184A8E" w:rsidP="00184A8E">
            <w:pPr>
              <w:spacing w:after="0" w:line="240" w:lineRule="auto"/>
              <w:jc w:val="both"/>
              <w:rPr>
                <w:rFonts w:ascii="Arial" w:eastAsia="Calibri" w:hAnsi="Arial" w:cs="Arial"/>
                <w:sz w:val="16"/>
                <w:szCs w:val="16"/>
                <w:lang w:eastAsia="en-US"/>
              </w:rPr>
            </w:pPr>
            <w:r w:rsidRPr="00184A8E">
              <w:rPr>
                <w:rFonts w:ascii="Arial" w:eastAsia="Calibri" w:hAnsi="Arial" w:cs="Arial"/>
                <w:sz w:val="16"/>
                <w:szCs w:val="16"/>
                <w:lang w:eastAsia="en-US"/>
              </w:rPr>
              <w:t>ZAKONSKE I DRUGE PRAVNE OSNOVE PROGRAMA</w:t>
            </w:r>
          </w:p>
        </w:tc>
        <w:tc>
          <w:tcPr>
            <w:tcW w:w="13007" w:type="dxa"/>
          </w:tcPr>
          <w:p w14:paraId="41F601BB" w14:textId="02A8E00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rPr>
              <w:t>Zakon o lokalnoj i područnoj (regionalnoj) samoupravi (NN 33/01,60/01,129/05, 109/07,125/08, 36/09, 150/11, 144/12, 19/13, 137/15, 123/17, 98/19, 144/20), Zakon o poljoprivredi (NN 118/18, 42/20, 127/20, 52/21, 152/22, 152/24), Zakon o poljoprivrednom zemljištu (NN 20/18, 115/18, 98/19, 57/22</w:t>
            </w:r>
            <w:r w:rsidR="007A0556">
              <w:rPr>
                <w:rFonts w:ascii="Arial" w:eastAsia="Times New Roman" w:hAnsi="Arial" w:cs="Arial"/>
                <w:sz w:val="20"/>
                <w:szCs w:val="20"/>
              </w:rPr>
              <w:t>, 136/25</w:t>
            </w:r>
            <w:r w:rsidRPr="00184A8E">
              <w:rPr>
                <w:rFonts w:ascii="Arial" w:eastAsia="Times New Roman" w:hAnsi="Arial" w:cs="Arial"/>
                <w:sz w:val="20"/>
                <w:szCs w:val="20"/>
              </w:rPr>
              <w:t>), Statut Općine i drugi akti</w:t>
            </w:r>
          </w:p>
        </w:tc>
      </w:tr>
      <w:tr w:rsidR="00184A8E" w:rsidRPr="00184A8E" w14:paraId="11DD22F6" w14:textId="77777777" w:rsidTr="00410A4B">
        <w:tc>
          <w:tcPr>
            <w:tcW w:w="1553" w:type="dxa"/>
            <w:tcBorders>
              <w:top w:val="dotted" w:sz="4" w:space="0" w:color="auto"/>
              <w:left w:val="dotted" w:sz="4" w:space="0" w:color="auto"/>
              <w:bottom w:val="dotted" w:sz="4" w:space="0" w:color="auto"/>
              <w:right w:val="dotted" w:sz="4" w:space="0" w:color="auto"/>
            </w:tcBorders>
          </w:tcPr>
          <w:p w14:paraId="33BED58F"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3007" w:type="dxa"/>
            <w:tcBorders>
              <w:top w:val="dotted" w:sz="4" w:space="0" w:color="auto"/>
              <w:left w:val="dotted" w:sz="4" w:space="0" w:color="auto"/>
              <w:bottom w:val="dotted" w:sz="4" w:space="0" w:color="auto"/>
              <w:right w:val="dotted" w:sz="4" w:space="0" w:color="auto"/>
            </w:tcBorders>
          </w:tcPr>
          <w:p w14:paraId="3B138F63"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Poticanje i oživljavanje autohtone proizvodnje i ekoloških proizvoda.</w:t>
            </w:r>
          </w:p>
          <w:p w14:paraId="7870AAE5"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Razvoj turizma i gospodarski razvoj Općine.</w:t>
            </w:r>
          </w:p>
          <w:p w14:paraId="1558FC8B"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 xml:space="preserve">Cilj programa je kroz različite oblike sufinanciranja povećati i očuvati poljoprivrednu proizvodnju, povećati zaposlenost na vlastitim poljoprivrednim imanjima, očuvati ruralni prostor te postići proizvodnju kvalitetnih poljoprivrednih proizvoda. </w:t>
            </w:r>
          </w:p>
        </w:tc>
      </w:tr>
      <w:tr w:rsidR="00184A8E" w:rsidRPr="00184A8E" w14:paraId="70CA248B" w14:textId="77777777" w:rsidTr="00410A4B">
        <w:tc>
          <w:tcPr>
            <w:tcW w:w="1553" w:type="dxa"/>
            <w:tcBorders>
              <w:top w:val="dotted" w:sz="4" w:space="0" w:color="auto"/>
              <w:left w:val="dotted" w:sz="4" w:space="0" w:color="auto"/>
              <w:bottom w:val="dotted" w:sz="4" w:space="0" w:color="auto"/>
              <w:right w:val="dotted" w:sz="4" w:space="0" w:color="auto"/>
            </w:tcBorders>
            <w:vAlign w:val="bottom"/>
          </w:tcPr>
          <w:p w14:paraId="6B92EF43"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3007" w:type="dxa"/>
            <w:tcBorders>
              <w:top w:val="dotted" w:sz="4" w:space="0" w:color="auto"/>
              <w:left w:val="dotted" w:sz="4" w:space="0" w:color="auto"/>
              <w:bottom w:val="dotted" w:sz="4" w:space="0" w:color="auto"/>
              <w:right w:val="dotted" w:sz="4" w:space="0" w:color="auto"/>
            </w:tcBorders>
            <w:vAlign w:val="bottom"/>
          </w:tcPr>
          <w:p w14:paraId="7EF1CA82"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 xml:space="preserve">Poticati razvoj poljoprivrednih gospodarstava koji pridonose razvoju turizma i promociji Općine, </w:t>
            </w:r>
            <w:r w:rsidRPr="00184A8E">
              <w:rPr>
                <w:rFonts w:ascii="Arial" w:eastAsia="Times New Roman" w:hAnsi="Arial" w:cs="Arial"/>
                <w:sz w:val="20"/>
                <w:szCs w:val="20"/>
                <w:lang w:eastAsia="en-US"/>
              </w:rPr>
              <w:t xml:space="preserve">očuvati ruralni prostor te postići kvantitativnu i kvalitetnu proizvodnju koja pridonosi razvoju turizma na području Općine. </w:t>
            </w:r>
          </w:p>
          <w:p w14:paraId="1CF2D018"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Poticanje i oživljavanje autohtone proizvodnje i ekoloških proizvoda.</w:t>
            </w:r>
          </w:p>
          <w:p w14:paraId="2A25EDBB"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Podizanje kvalitete turističke ponude i produženje turističke sezone.</w:t>
            </w:r>
          </w:p>
          <w:p w14:paraId="0C1DDD94"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Održivo očuvanje ruralnog prostora, a time i razvoj turizma.</w:t>
            </w:r>
          </w:p>
        </w:tc>
      </w:tr>
    </w:tbl>
    <w:p w14:paraId="15E8E807" w14:textId="77777777" w:rsidR="00184A8E" w:rsidRPr="00184A8E" w:rsidRDefault="00184A8E" w:rsidP="00184A8E">
      <w:pPr>
        <w:spacing w:after="0" w:line="240" w:lineRule="auto"/>
        <w:jc w:val="both"/>
        <w:rPr>
          <w:rFonts w:ascii="Arial" w:eastAsia="Calibri" w:hAnsi="Arial" w:cs="Arial"/>
          <w:sz w:val="20"/>
          <w:szCs w:val="20"/>
          <w:lang w:eastAsia="en-US"/>
        </w:rPr>
      </w:pPr>
    </w:p>
    <w:p w14:paraId="231A0E04"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lastRenderedPageBreak/>
        <w:t>Procjena i ishodište potrebnih sredstava za aktivnosti unutar programa</w:t>
      </w:r>
    </w:p>
    <w:p w14:paraId="39986F25" w14:textId="77777777" w:rsidR="00184A8E" w:rsidRPr="00184A8E" w:rsidRDefault="00184A8E" w:rsidP="00184A8E">
      <w:pPr>
        <w:spacing w:after="0" w:line="240" w:lineRule="auto"/>
        <w:jc w:val="both"/>
        <w:rPr>
          <w:rFonts w:ascii="Arial" w:eastAsia="Calibri" w:hAnsi="Arial" w:cs="Arial"/>
          <w:sz w:val="20"/>
          <w:szCs w:val="20"/>
        </w:rPr>
      </w:pPr>
    </w:p>
    <w:p w14:paraId="27ECA10E" w14:textId="28276B8D"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3BEB5BEB" w14:textId="77777777" w:rsidR="00184A8E" w:rsidRPr="00184A8E" w:rsidRDefault="00184A8E" w:rsidP="00184A8E">
      <w:pPr>
        <w:spacing w:after="0" w:line="240" w:lineRule="auto"/>
        <w:rPr>
          <w:rFonts w:ascii="Arial" w:eastAsia="Calibri" w:hAnsi="Arial" w:cs="Arial"/>
          <w:sz w:val="20"/>
          <w:szCs w:val="20"/>
        </w:rPr>
      </w:pPr>
    </w:p>
    <w:p w14:paraId="4F322B4D" w14:textId="6BA0F54B" w:rsidR="00184A8E" w:rsidRPr="00184A8E" w:rsidRDefault="006A1550" w:rsidP="00184A8E">
      <w:pPr>
        <w:spacing w:after="0" w:line="240" w:lineRule="auto"/>
        <w:rPr>
          <w:rFonts w:ascii="Arial" w:eastAsia="Calibri" w:hAnsi="Arial" w:cs="Arial"/>
          <w:sz w:val="20"/>
          <w:szCs w:val="20"/>
        </w:rPr>
      </w:pPr>
      <w:r w:rsidRPr="006A1550">
        <w:rPr>
          <w:noProof/>
        </w:rPr>
        <w:drawing>
          <wp:inline distT="0" distB="0" distL="0" distR="0" wp14:anchorId="66FA82B9" wp14:editId="5A219EC2">
            <wp:extent cx="9251950" cy="2237105"/>
            <wp:effectExtent l="0" t="0" r="6350" b="0"/>
            <wp:docPr id="983430118"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251950" cy="2237105"/>
                    </a:xfrm>
                    <a:prstGeom prst="rect">
                      <a:avLst/>
                    </a:prstGeom>
                    <a:noFill/>
                    <a:ln>
                      <a:noFill/>
                    </a:ln>
                  </pic:spPr>
                </pic:pic>
              </a:graphicData>
            </a:graphic>
          </wp:inline>
        </w:drawing>
      </w:r>
    </w:p>
    <w:p w14:paraId="52B3F626" w14:textId="77777777" w:rsidR="00184A8E" w:rsidRPr="00184A8E" w:rsidRDefault="00184A8E">
      <w:pPr>
        <w:numPr>
          <w:ilvl w:val="0"/>
          <w:numId w:val="18"/>
        </w:numPr>
        <w:spacing w:after="0" w:line="240" w:lineRule="auto"/>
        <w:jc w:val="both"/>
        <w:rPr>
          <w:rFonts w:ascii="Arial" w:eastAsia="Calibri" w:hAnsi="Arial" w:cs="Arial"/>
          <w:sz w:val="18"/>
          <w:szCs w:val="18"/>
          <w:lang w:eastAsia="en-US"/>
        </w:rPr>
      </w:pPr>
      <w:r w:rsidRPr="00184A8E">
        <w:rPr>
          <w:rFonts w:ascii="Arial" w:eastAsia="Calibri" w:hAnsi="Arial" w:cs="Arial"/>
          <w:sz w:val="18"/>
          <w:szCs w:val="18"/>
          <w:lang w:eastAsia="en-US"/>
        </w:rPr>
        <w:t xml:space="preserve">*U 2013. godini u okviru aktivnosti A206201 – Potpore i poticaji za razvoj poljoprivrede, bila su izvršena sredstva za sufinanciranje premije osiguranja poljoprivrednih površina i stočnog fonda, sadnju novih višegodišnjih nasada, premiranje otkupa poljoprivrednih proizvoda, pčelarsku djelatnost, proizvodnju grožđa i voća, proizvodnju maslina, obrađeno oranično zemljište. Rashodi su bili iskazani unutar rashoda razdjela 020, odnosno glave 02001 Upravni odjel za proračun, financije i gospodarstvo. Ova aktivnost je izmijenila naziv u 2018. godini. </w:t>
      </w:r>
    </w:p>
    <w:p w14:paraId="5CF6ED17" w14:textId="77777777" w:rsidR="00184A8E" w:rsidRPr="00184A8E" w:rsidRDefault="00184A8E">
      <w:pPr>
        <w:numPr>
          <w:ilvl w:val="0"/>
          <w:numId w:val="18"/>
        </w:numPr>
        <w:spacing w:after="0" w:line="240" w:lineRule="auto"/>
        <w:jc w:val="both"/>
        <w:rPr>
          <w:rFonts w:ascii="Arial" w:eastAsia="Calibri" w:hAnsi="Arial" w:cs="Arial"/>
          <w:sz w:val="18"/>
          <w:szCs w:val="18"/>
          <w:lang w:eastAsia="en-US"/>
        </w:rPr>
      </w:pPr>
      <w:r w:rsidRPr="00184A8E">
        <w:rPr>
          <w:rFonts w:ascii="Arial" w:eastAsia="Calibri" w:hAnsi="Arial" w:cs="Arial"/>
          <w:sz w:val="18"/>
          <w:szCs w:val="18"/>
          <w:lang w:eastAsia="en-US"/>
        </w:rPr>
        <w:t>** Od početka 2018. godine ovaj program se izvršava kroz novoosnovani Upravni odjel za ruralni razvoj, gospodarstvo i EU fondove, razdjel 040, glava 04001 i ima naziv A206201 –Potpore u turizmu i ruralnom razvoju</w:t>
      </w:r>
    </w:p>
    <w:p w14:paraId="07F26AAB"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79F2D764"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743E1D26"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0DF12488"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77133445"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36C9241E" w14:textId="55210B4C" w:rsidR="00184A8E" w:rsidRPr="00184A8E" w:rsidRDefault="00184A8E" w:rsidP="00184A8E">
      <w:pPr>
        <w:shd w:val="clear" w:color="auto" w:fill="FFFFFF"/>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Izvještaj o postignutim ciljevima i rezultatima programa temeljenim na pokazateljima uspješnosti u prethodnoj godini</w:t>
      </w:r>
      <w:r w:rsidRPr="00184A8E">
        <w:rPr>
          <w:rFonts w:ascii="Arial" w:eastAsia="Calibri" w:hAnsi="Arial" w:cs="Arial"/>
          <w:sz w:val="20"/>
          <w:szCs w:val="20"/>
          <w:lang w:eastAsia="en-US"/>
        </w:rPr>
        <w:t xml:space="preserve">: Izvršenje je </w:t>
      </w:r>
      <w:r w:rsidR="00040CAE">
        <w:rPr>
          <w:rFonts w:ascii="Arial" w:eastAsia="Calibri" w:hAnsi="Arial" w:cs="Arial"/>
          <w:sz w:val="20"/>
          <w:szCs w:val="20"/>
          <w:lang w:eastAsia="en-US"/>
        </w:rPr>
        <w:t xml:space="preserve">u okviru </w:t>
      </w:r>
      <w:r w:rsidRPr="00184A8E">
        <w:rPr>
          <w:rFonts w:ascii="Arial" w:eastAsia="Calibri" w:hAnsi="Arial" w:cs="Arial"/>
          <w:sz w:val="20"/>
          <w:szCs w:val="20"/>
          <w:lang w:eastAsia="en-US"/>
        </w:rPr>
        <w:t>očekivanih vrijednosti.</w:t>
      </w:r>
    </w:p>
    <w:p w14:paraId="5D7B5FD9"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6118F693" w14:textId="77777777" w:rsidR="00184A8E" w:rsidRPr="00184A8E" w:rsidRDefault="00184A8E" w:rsidP="00184A8E">
      <w:pPr>
        <w:autoSpaceDE w:val="0"/>
        <w:autoSpaceDN w:val="0"/>
        <w:adjustRightInd w:val="0"/>
        <w:spacing w:after="0" w:line="240" w:lineRule="auto"/>
        <w:jc w:val="both"/>
        <w:rPr>
          <w:rFonts w:ascii="Arial" w:eastAsia="TimesNewRoman" w:hAnsi="Arial" w:cs="Arial"/>
          <w:sz w:val="20"/>
          <w:szCs w:val="20"/>
        </w:rPr>
      </w:pPr>
      <w:r w:rsidRPr="00184A8E">
        <w:rPr>
          <w:rFonts w:ascii="Arial" w:eastAsia="Calibri" w:hAnsi="Arial" w:cs="Arial"/>
          <w:sz w:val="20"/>
          <w:szCs w:val="20"/>
        </w:rPr>
        <w:t xml:space="preserve">Na izvršavanje ovog programa utječu i novi zakonski propisi vezani uz dodjeljivanje državnih potpora. Naime, </w:t>
      </w:r>
      <w:r w:rsidRPr="00184A8E">
        <w:rPr>
          <w:rFonts w:ascii="Arial" w:eastAsia="Calibri" w:hAnsi="Arial" w:cs="Arial"/>
          <w:sz w:val="20"/>
          <w:szCs w:val="20"/>
          <w:u w:val="single"/>
        </w:rPr>
        <w:t>d</w:t>
      </w:r>
      <w:r w:rsidRPr="00184A8E">
        <w:rPr>
          <w:rFonts w:ascii="Arial" w:eastAsia="TimesNewRoman" w:hAnsi="Arial" w:cs="Arial"/>
          <w:sz w:val="20"/>
          <w:szCs w:val="20"/>
          <w:u w:val="single"/>
        </w:rPr>
        <w:t>avatelj državne potpore</w:t>
      </w:r>
      <w:r w:rsidRPr="00184A8E">
        <w:rPr>
          <w:rFonts w:ascii="Arial" w:eastAsia="TimesNewRoman" w:hAnsi="Arial" w:cs="Arial"/>
          <w:sz w:val="20"/>
          <w:szCs w:val="20"/>
        </w:rPr>
        <w:t xml:space="preserve"> je središnje tijelo državne uprave, </w:t>
      </w:r>
      <w:r w:rsidRPr="00184A8E">
        <w:rPr>
          <w:rFonts w:ascii="Arial" w:eastAsia="TimesNewRoman" w:hAnsi="Arial" w:cs="Arial"/>
          <w:b/>
          <w:sz w:val="20"/>
          <w:szCs w:val="20"/>
        </w:rPr>
        <w:t>jedinica lokalne i područne (regionalne) samouprave</w:t>
      </w:r>
      <w:r w:rsidRPr="00184A8E">
        <w:rPr>
          <w:rFonts w:ascii="Arial" w:eastAsia="TimesNewRoman" w:hAnsi="Arial" w:cs="Arial"/>
          <w:sz w:val="20"/>
          <w:szCs w:val="20"/>
        </w:rPr>
        <w:t>, te svaka pravna osoba koja dodjeljuje državne potpore. Korisnik državne potpore je svaka pravna i fizička osoba koja, obavljajući gospodarsku djelatnost sudjeluje u prometu roba i usluga, a prima državnu potporu, bez obzira na njezin oblik i namjenu. Prema vrsti državne potpore dijele se na: 1. programe državnih potpora i 2. pojedinačne/jednokratne potpore.</w:t>
      </w:r>
    </w:p>
    <w:p w14:paraId="15B85114" w14:textId="77777777" w:rsidR="00184A8E" w:rsidRPr="00184A8E" w:rsidRDefault="00184A8E" w:rsidP="00184A8E">
      <w:pPr>
        <w:spacing w:after="0" w:line="240" w:lineRule="auto"/>
        <w:jc w:val="both"/>
        <w:rPr>
          <w:rFonts w:ascii="Arial" w:eastAsia="Times New Roman" w:hAnsi="Arial" w:cs="Arial"/>
          <w:sz w:val="20"/>
          <w:szCs w:val="20"/>
        </w:rPr>
      </w:pPr>
    </w:p>
    <w:p w14:paraId="5B0B206A"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Ministarstvo financija, u području državnih potpora i potpora male vrijednosti, između ostalog, obavlja sljedeće poslove:</w:t>
      </w:r>
    </w:p>
    <w:p w14:paraId="54E76C88"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i/>
          <w:iCs/>
          <w:sz w:val="20"/>
          <w:szCs w:val="20"/>
        </w:rPr>
        <w:t>−</w:t>
      </w:r>
      <w:r w:rsidRPr="00184A8E">
        <w:rPr>
          <w:rFonts w:ascii="Arial" w:eastAsia="Times New Roman" w:hAnsi="Arial" w:cs="Arial"/>
          <w:sz w:val="20"/>
          <w:szCs w:val="20"/>
        </w:rPr>
        <w:t xml:space="preserve"> provodi i nadzire provedbu politike državnih potpora u okviru mjera fiskalne politike Republike Hrvatske</w:t>
      </w:r>
    </w:p>
    <w:p w14:paraId="4D3B7812"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i/>
          <w:iCs/>
          <w:sz w:val="20"/>
          <w:szCs w:val="20"/>
        </w:rPr>
        <w:lastRenderedPageBreak/>
        <w:t xml:space="preserve">− </w:t>
      </w:r>
      <w:r w:rsidRPr="00184A8E">
        <w:rPr>
          <w:rFonts w:ascii="Arial" w:eastAsia="Times New Roman" w:hAnsi="Arial" w:cs="Arial"/>
          <w:sz w:val="20"/>
          <w:szCs w:val="20"/>
        </w:rPr>
        <w:t>prijavljuje Europskoj komisiji prijedloge programa državnih potpora i pojedinačnih državnih potpora</w:t>
      </w:r>
    </w:p>
    <w:p w14:paraId="7D7A1C22"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i/>
          <w:iCs/>
          <w:sz w:val="20"/>
          <w:szCs w:val="20"/>
        </w:rPr>
        <w:t>−</w:t>
      </w:r>
      <w:r w:rsidRPr="00184A8E">
        <w:rPr>
          <w:rFonts w:ascii="Arial" w:eastAsia="Times New Roman" w:hAnsi="Arial" w:cs="Arial"/>
          <w:sz w:val="20"/>
          <w:szCs w:val="20"/>
        </w:rPr>
        <w:t>daje mišljenje na prijedloge programa državnih potpora i pojedinačnih državnih potpora izuzetih od obveze prijave Europskoj komisiji i obavještava o tome Europsku komisiju</w:t>
      </w:r>
    </w:p>
    <w:p w14:paraId="50963D23"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i/>
          <w:iCs/>
          <w:sz w:val="20"/>
          <w:szCs w:val="20"/>
        </w:rPr>
        <w:t>−</w:t>
      </w:r>
      <w:r w:rsidRPr="00184A8E">
        <w:rPr>
          <w:rFonts w:ascii="Arial" w:eastAsia="Times New Roman" w:hAnsi="Arial" w:cs="Arial"/>
          <w:sz w:val="20"/>
          <w:szCs w:val="20"/>
        </w:rPr>
        <w:t>pruža stručnu pomoć davateljima državnih potpora i potpora male vrijednosti</w:t>
      </w:r>
    </w:p>
    <w:p w14:paraId="2EB43A10"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i/>
          <w:iCs/>
          <w:sz w:val="20"/>
          <w:szCs w:val="20"/>
        </w:rPr>
        <w:t>−</w:t>
      </w:r>
      <w:r w:rsidRPr="00184A8E">
        <w:rPr>
          <w:rFonts w:ascii="Arial" w:eastAsia="Times New Roman" w:hAnsi="Arial" w:cs="Arial"/>
          <w:sz w:val="20"/>
          <w:szCs w:val="20"/>
        </w:rPr>
        <w:t>prikuplja, obrađuje, evidentira podatke o dodijeljenim državnim potporama i potporama male vrijednosti te provodi analizu učinkovitosti državnih potpora i potpora male vrijednosti</w:t>
      </w:r>
    </w:p>
    <w:p w14:paraId="53244331"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i/>
          <w:iCs/>
          <w:sz w:val="20"/>
          <w:szCs w:val="20"/>
        </w:rPr>
        <w:t>−</w:t>
      </w:r>
      <w:r w:rsidRPr="00184A8E">
        <w:rPr>
          <w:rFonts w:ascii="Arial" w:eastAsia="Times New Roman" w:hAnsi="Arial" w:cs="Arial"/>
          <w:sz w:val="20"/>
          <w:szCs w:val="20"/>
        </w:rPr>
        <w:t>izrađuje godišnje izvješće o državnim potporama</w:t>
      </w:r>
    </w:p>
    <w:p w14:paraId="31327E4D" w14:textId="77777777" w:rsidR="00184A8E" w:rsidRPr="00184A8E" w:rsidRDefault="00184A8E" w:rsidP="00184A8E">
      <w:pPr>
        <w:spacing w:after="0" w:line="240" w:lineRule="auto"/>
        <w:jc w:val="both"/>
        <w:rPr>
          <w:rFonts w:ascii="Arial" w:eastAsia="Times New Roman" w:hAnsi="Arial" w:cs="Arial"/>
          <w:sz w:val="20"/>
          <w:szCs w:val="20"/>
        </w:rPr>
      </w:pPr>
      <w:r w:rsidRPr="00184A8E">
        <w:rPr>
          <w:rFonts w:ascii="Arial" w:eastAsia="Times New Roman" w:hAnsi="Arial" w:cs="Arial"/>
          <w:i/>
          <w:iCs/>
          <w:sz w:val="20"/>
          <w:szCs w:val="20"/>
        </w:rPr>
        <w:t>−</w:t>
      </w:r>
      <w:r w:rsidRPr="00184A8E">
        <w:rPr>
          <w:rFonts w:ascii="Arial" w:eastAsia="Times New Roman" w:hAnsi="Arial" w:cs="Arial"/>
          <w:sz w:val="20"/>
          <w:szCs w:val="20"/>
        </w:rPr>
        <w:t>izvješćuje Europsku komisiju o dodijeljenim državnim potporama.</w:t>
      </w:r>
    </w:p>
    <w:p w14:paraId="79241F18" w14:textId="77777777" w:rsidR="00184A8E" w:rsidRPr="00184A8E" w:rsidRDefault="00184A8E" w:rsidP="00184A8E">
      <w:pPr>
        <w:spacing w:after="0" w:line="240" w:lineRule="auto"/>
        <w:jc w:val="both"/>
        <w:rPr>
          <w:rFonts w:ascii="Arial" w:eastAsia="Calibri" w:hAnsi="Arial" w:cs="Arial"/>
          <w:sz w:val="20"/>
          <w:szCs w:val="20"/>
        </w:rPr>
      </w:pPr>
    </w:p>
    <w:p w14:paraId="79C9D4BA" w14:textId="77777777" w:rsidR="00184A8E" w:rsidRPr="00184A8E" w:rsidRDefault="00184A8E" w:rsidP="00184A8E">
      <w:pPr>
        <w:spacing w:after="0" w:line="240" w:lineRule="auto"/>
        <w:jc w:val="both"/>
        <w:rPr>
          <w:rFonts w:ascii="Arial" w:eastAsia="CIDFont+F2" w:hAnsi="Arial" w:cs="Arial"/>
          <w:sz w:val="20"/>
          <w:szCs w:val="20"/>
        </w:rPr>
      </w:pPr>
      <w:r w:rsidRPr="00184A8E">
        <w:rPr>
          <w:rFonts w:ascii="Arial" w:eastAsia="Times New Roman" w:hAnsi="Arial" w:cs="Arial"/>
          <w:sz w:val="20"/>
          <w:szCs w:val="20"/>
        </w:rPr>
        <w:t>Svi oblici financiranja udruga za redovno obavljanje djelatnosti i programske aktivnosti (putem donacija) propisani su U</w:t>
      </w:r>
      <w:r w:rsidRPr="00184A8E">
        <w:rPr>
          <w:rFonts w:ascii="Arial" w:eastAsia="CIDFont+F2" w:hAnsi="Arial" w:cs="Arial"/>
          <w:sz w:val="20"/>
          <w:szCs w:val="20"/>
        </w:rPr>
        <w:t xml:space="preserve">redbom o kriterijima, mjerilima i postupcima financiranja i ugovaranja programa i projekata od interesa za opće dobro koje provode udruge (Narodne novine 26/15, 37/21). Ovom Uredbom predviđeno je sufinanciranje rada udruga putem javnog natječaja. Sukladno spomenutom, potrebno je objaviti javni poziv za raspored sredstava za spomenute namjene iz aktivnosti A206201. </w:t>
      </w:r>
    </w:p>
    <w:p w14:paraId="4EF2CAE5" w14:textId="77777777" w:rsidR="00184A8E" w:rsidRPr="00184A8E" w:rsidRDefault="00184A8E" w:rsidP="00184A8E">
      <w:pPr>
        <w:spacing w:after="0" w:line="240" w:lineRule="auto"/>
        <w:jc w:val="both"/>
        <w:rPr>
          <w:rFonts w:ascii="Arial" w:eastAsia="Calibri" w:hAnsi="Arial" w:cs="Arial"/>
          <w:sz w:val="20"/>
          <w:szCs w:val="20"/>
        </w:rPr>
      </w:pPr>
    </w:p>
    <w:p w14:paraId="7868C227" w14:textId="77777777" w:rsidR="00040CAE" w:rsidRDefault="00040CAE" w:rsidP="00184A8E">
      <w:pPr>
        <w:autoSpaceDE w:val="0"/>
        <w:autoSpaceDN w:val="0"/>
        <w:adjustRightInd w:val="0"/>
        <w:spacing w:after="0" w:line="240" w:lineRule="auto"/>
        <w:jc w:val="both"/>
        <w:rPr>
          <w:rFonts w:ascii="Arial" w:eastAsia="Calibri" w:hAnsi="Arial" w:cs="Arial"/>
          <w:sz w:val="20"/>
          <w:szCs w:val="20"/>
        </w:rPr>
      </w:pPr>
      <w:r w:rsidRPr="00040CAE">
        <w:rPr>
          <w:rFonts w:ascii="Arial" w:eastAsia="Calibri" w:hAnsi="Arial" w:cs="Arial"/>
          <w:sz w:val="20"/>
          <w:szCs w:val="20"/>
        </w:rPr>
        <w:t xml:space="preserve">U okviru ovog programa su planirana proračunska sredstva u iznosu </w:t>
      </w:r>
      <w:r>
        <w:rPr>
          <w:rFonts w:ascii="Arial" w:eastAsia="Calibri" w:hAnsi="Arial" w:cs="Arial"/>
          <w:sz w:val="20"/>
          <w:szCs w:val="20"/>
        </w:rPr>
        <w:t>75.104</w:t>
      </w:r>
      <w:r w:rsidRPr="00040CAE">
        <w:rPr>
          <w:rFonts w:ascii="Arial" w:eastAsia="Calibri" w:hAnsi="Arial" w:cs="Arial"/>
          <w:sz w:val="20"/>
          <w:szCs w:val="20"/>
        </w:rPr>
        <w:t xml:space="preserve"> € za 2025. godinu, odnosno 200.700 € za 2026. godinu i 100.700 € za 2027. godinu.</w:t>
      </w:r>
      <w:r>
        <w:rPr>
          <w:rFonts w:ascii="Arial" w:eastAsia="Calibri" w:hAnsi="Arial" w:cs="Arial"/>
          <w:sz w:val="20"/>
          <w:szCs w:val="20"/>
        </w:rPr>
        <w:t xml:space="preserve"> </w:t>
      </w:r>
    </w:p>
    <w:p w14:paraId="5A55F116" w14:textId="77777777" w:rsidR="00040CAE" w:rsidRDefault="00040CAE" w:rsidP="00184A8E">
      <w:pPr>
        <w:autoSpaceDE w:val="0"/>
        <w:autoSpaceDN w:val="0"/>
        <w:adjustRightInd w:val="0"/>
        <w:spacing w:after="0" w:line="240" w:lineRule="auto"/>
        <w:jc w:val="both"/>
        <w:rPr>
          <w:rFonts w:ascii="Arial" w:eastAsia="Calibri" w:hAnsi="Arial" w:cs="Arial"/>
          <w:sz w:val="20"/>
          <w:szCs w:val="20"/>
        </w:rPr>
      </w:pPr>
    </w:p>
    <w:p w14:paraId="535E9F9D" w14:textId="3EA7CB6B" w:rsidR="00184A8E" w:rsidRPr="00184A8E" w:rsidRDefault="00040CAE" w:rsidP="00184A8E">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R</w:t>
      </w:r>
      <w:r w:rsidR="00184A8E" w:rsidRPr="00184A8E">
        <w:rPr>
          <w:rFonts w:ascii="Arial" w:eastAsia="Calibri" w:hAnsi="Arial" w:cs="Arial"/>
          <w:sz w:val="20"/>
          <w:szCs w:val="20"/>
        </w:rPr>
        <w:t>ashodi za 202</w:t>
      </w:r>
      <w:r>
        <w:rPr>
          <w:rFonts w:ascii="Arial" w:eastAsia="Calibri" w:hAnsi="Arial" w:cs="Arial"/>
          <w:sz w:val="20"/>
          <w:szCs w:val="20"/>
        </w:rPr>
        <w:t>5</w:t>
      </w:r>
      <w:r w:rsidR="00184A8E" w:rsidRPr="00184A8E">
        <w:rPr>
          <w:rFonts w:ascii="Arial" w:eastAsia="Calibri" w:hAnsi="Arial" w:cs="Arial"/>
          <w:sz w:val="20"/>
          <w:szCs w:val="20"/>
        </w:rPr>
        <w:t xml:space="preserve">. su izvršeni u iznosu </w:t>
      </w:r>
      <w:r>
        <w:rPr>
          <w:rFonts w:ascii="Arial" w:eastAsia="Calibri" w:hAnsi="Arial" w:cs="Arial"/>
          <w:sz w:val="20"/>
          <w:szCs w:val="20"/>
        </w:rPr>
        <w:t>51.768,30</w:t>
      </w:r>
      <w:r w:rsidR="00184A8E" w:rsidRPr="00184A8E">
        <w:rPr>
          <w:rFonts w:ascii="Arial" w:eastAsia="Calibri" w:hAnsi="Arial" w:cs="Arial"/>
          <w:sz w:val="20"/>
          <w:szCs w:val="20"/>
        </w:rPr>
        <w:t xml:space="preserve"> € ili </w:t>
      </w:r>
      <w:r>
        <w:rPr>
          <w:rFonts w:ascii="Arial" w:eastAsia="Calibri" w:hAnsi="Arial" w:cs="Arial"/>
          <w:sz w:val="20"/>
          <w:szCs w:val="20"/>
        </w:rPr>
        <w:t>68,9</w:t>
      </w:r>
      <w:r w:rsidR="00184A8E" w:rsidRPr="00184A8E">
        <w:rPr>
          <w:rFonts w:ascii="Arial" w:eastAsia="Calibri" w:hAnsi="Arial" w:cs="Arial"/>
          <w:sz w:val="20"/>
          <w:szCs w:val="20"/>
        </w:rPr>
        <w:t>% plana.</w:t>
      </w:r>
    </w:p>
    <w:p w14:paraId="701E1D8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4E5EC50A"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24B9EF1F" w14:textId="77777777" w:rsidR="00184A8E" w:rsidRPr="00184A8E" w:rsidRDefault="00184A8E" w:rsidP="00184A8E">
      <w:pPr>
        <w:spacing w:after="0" w:line="240" w:lineRule="auto"/>
        <w:jc w:val="both"/>
        <w:rPr>
          <w:rFonts w:ascii="Arial" w:eastAsia="Times New Roman" w:hAnsi="Arial" w:cs="Arial"/>
          <w:sz w:val="20"/>
          <w:szCs w:val="20"/>
        </w:rPr>
      </w:pPr>
    </w:p>
    <w:p w14:paraId="0C172D9D"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Unutar programa izvode se slijedeće aktivnosti i projekti:</w:t>
      </w:r>
    </w:p>
    <w:p w14:paraId="703DA019" w14:textId="77777777" w:rsidR="00184A8E" w:rsidRPr="00184A8E" w:rsidRDefault="00184A8E" w:rsidP="00184A8E">
      <w:pPr>
        <w:spacing w:after="0" w:line="240" w:lineRule="auto"/>
        <w:jc w:val="both"/>
        <w:rPr>
          <w:rFonts w:ascii="Arial" w:eastAsia="Calibri" w:hAnsi="Arial" w:cs="Arial"/>
          <w:sz w:val="20"/>
          <w:szCs w:val="20"/>
        </w:rPr>
      </w:pPr>
    </w:p>
    <w:p w14:paraId="0733C48A" w14:textId="7C31C250"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1. A206201: Potpore u turizmu i ruralnom razvoju</w:t>
      </w:r>
      <w:r w:rsidRPr="00184A8E">
        <w:rPr>
          <w:rFonts w:ascii="Arial" w:eastAsia="Calibri" w:hAnsi="Arial" w:cs="Arial"/>
          <w:sz w:val="20"/>
          <w:szCs w:val="20"/>
          <w:lang w:eastAsia="en-US"/>
        </w:rPr>
        <w:t xml:space="preserve"> - u sklopu aktivnosti su </w:t>
      </w:r>
      <w:r w:rsidR="00040CAE">
        <w:rPr>
          <w:rFonts w:ascii="Arial" w:eastAsia="Calibri" w:hAnsi="Arial" w:cs="Arial"/>
          <w:sz w:val="20"/>
          <w:szCs w:val="20"/>
          <w:lang w:eastAsia="en-US"/>
        </w:rPr>
        <w:t xml:space="preserve">prvotno su bili </w:t>
      </w:r>
      <w:r w:rsidRPr="00184A8E">
        <w:rPr>
          <w:rFonts w:ascii="Arial" w:eastAsia="Calibri" w:hAnsi="Arial" w:cs="Arial"/>
          <w:sz w:val="20"/>
          <w:szCs w:val="20"/>
          <w:lang w:eastAsia="en-US"/>
        </w:rPr>
        <w:t xml:space="preserve">planirani rashodi za donacije, subvencije i pomoći u iznosu </w:t>
      </w:r>
      <w:r w:rsidR="00040CAE">
        <w:rPr>
          <w:rFonts w:ascii="Arial" w:eastAsia="Calibri" w:hAnsi="Arial" w:cs="Arial"/>
          <w:sz w:val="20"/>
          <w:szCs w:val="20"/>
          <w:lang w:eastAsia="en-US"/>
        </w:rPr>
        <w:t>30.000</w:t>
      </w:r>
      <w:r w:rsidRPr="00184A8E">
        <w:rPr>
          <w:rFonts w:ascii="Arial" w:eastAsia="Calibri" w:hAnsi="Arial" w:cs="Arial"/>
          <w:sz w:val="20"/>
          <w:szCs w:val="20"/>
          <w:lang w:eastAsia="en-US"/>
        </w:rPr>
        <w:t xml:space="preserve"> €. </w:t>
      </w:r>
      <w:r w:rsidR="00040CAE">
        <w:rPr>
          <w:rFonts w:ascii="Arial" w:eastAsia="Calibri" w:hAnsi="Arial" w:cs="Arial"/>
          <w:sz w:val="20"/>
          <w:szCs w:val="20"/>
          <w:lang w:eastAsia="en-US"/>
        </w:rPr>
        <w:t xml:space="preserve">Izmjenama proračuna rashodi nisu planirani. </w:t>
      </w:r>
      <w:r w:rsidRPr="00184A8E">
        <w:rPr>
          <w:rFonts w:ascii="Arial" w:eastAsia="Calibri" w:hAnsi="Arial" w:cs="Arial"/>
          <w:sz w:val="20"/>
          <w:szCs w:val="20"/>
          <w:lang w:eastAsia="en-US"/>
        </w:rPr>
        <w:t>Rashodi nisu izvršeni.</w:t>
      </w:r>
    </w:p>
    <w:p w14:paraId="68079382" w14:textId="77777777" w:rsidR="00184A8E" w:rsidRPr="00184A8E" w:rsidRDefault="00184A8E" w:rsidP="00184A8E">
      <w:pPr>
        <w:spacing w:after="0" w:line="240" w:lineRule="auto"/>
        <w:jc w:val="both"/>
        <w:rPr>
          <w:rFonts w:ascii="Arial" w:eastAsia="Calibri" w:hAnsi="Arial" w:cs="Arial"/>
          <w:sz w:val="20"/>
          <w:szCs w:val="20"/>
          <w:lang w:eastAsia="en-US"/>
        </w:rPr>
      </w:pPr>
    </w:p>
    <w:p w14:paraId="05B2D6F8" w14:textId="77777777" w:rsidR="00184A8E" w:rsidRPr="00184A8E" w:rsidRDefault="00184A8E" w:rsidP="00184A8E">
      <w:pPr>
        <w:spacing w:after="0" w:line="240" w:lineRule="auto"/>
        <w:jc w:val="both"/>
        <w:rPr>
          <w:rFonts w:ascii="Arial" w:eastAsia="Calibri" w:hAnsi="Arial" w:cs="Arial"/>
          <w:bCs/>
          <w:sz w:val="20"/>
          <w:szCs w:val="20"/>
          <w:lang w:eastAsia="en-US"/>
        </w:rPr>
      </w:pPr>
      <w:r w:rsidRPr="00184A8E">
        <w:rPr>
          <w:rFonts w:ascii="Arial" w:eastAsia="Calibri" w:hAnsi="Arial" w:cs="Arial"/>
          <w:sz w:val="20"/>
          <w:szCs w:val="20"/>
          <w:lang w:eastAsia="en-US"/>
        </w:rPr>
        <w:t xml:space="preserve">Ova aktivnost obuhvaća potpore poljoprivrednim gospodarstvima i udrugama koje svojim radom doprinose razvoju turizma. Za spomenute potpore potrebno je provesti natječaj sukladno zakonskoj regulativi i Pravilniku o financiranju programa i projekata koje provode organizacije civilnog društva, odnosno sukladno </w:t>
      </w:r>
      <w:r w:rsidRPr="00184A8E">
        <w:rPr>
          <w:rFonts w:ascii="Arial" w:eastAsia="Calibri" w:hAnsi="Arial" w:cs="Arial"/>
          <w:bCs/>
          <w:sz w:val="20"/>
          <w:szCs w:val="20"/>
          <w:lang w:eastAsia="en-US"/>
        </w:rPr>
        <w:t>Uredbi o kriterijima, mjerilima i postupcima financiranja i ugovaranja programa i projekata od interesa za opće dobro koje provode udruge (NN 26/2015, 37/2021).</w:t>
      </w:r>
    </w:p>
    <w:p w14:paraId="38ED9B6C"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Zakonom o udrugama je propisano što se smatra </w:t>
      </w:r>
      <w:r w:rsidRPr="00184A8E">
        <w:rPr>
          <w:rFonts w:ascii="Arial" w:eastAsia="Calibri" w:hAnsi="Arial" w:cs="Arial"/>
          <w:b/>
          <w:sz w:val="20"/>
          <w:szCs w:val="20"/>
          <w:lang w:eastAsia="en-US"/>
        </w:rPr>
        <w:t>programima i projektima od interesa za opće dobro</w:t>
      </w:r>
      <w:r w:rsidRPr="00184A8E">
        <w:rPr>
          <w:rFonts w:ascii="Arial" w:eastAsia="Calibri" w:hAnsi="Arial" w:cs="Arial"/>
          <w:sz w:val="20"/>
          <w:szCs w:val="20"/>
          <w:lang w:eastAsia="en-US"/>
        </w:rPr>
        <w:t xml:space="preserve">, a spomenutom Uredbom se utvrđuju kriteriji, mjerila i postupci koje davatelji financijskih sredstava, raspolažući sredstvima iz javnih izvora, primjenjuju prilikom financiranja i ugovaranja programa i/ili projekata od interesa za opće dobro </w:t>
      </w:r>
      <w:r w:rsidRPr="00184A8E">
        <w:rPr>
          <w:rFonts w:ascii="Arial" w:eastAsia="Calibri" w:hAnsi="Arial" w:cs="Arial"/>
          <w:sz w:val="20"/>
          <w:szCs w:val="20"/>
          <w:u w:val="single"/>
          <w:lang w:eastAsia="en-US"/>
        </w:rPr>
        <w:t>koje provode udruge</w:t>
      </w:r>
      <w:r w:rsidRPr="00184A8E">
        <w:rPr>
          <w:rFonts w:ascii="Arial" w:eastAsia="Calibri" w:hAnsi="Arial" w:cs="Arial"/>
          <w:sz w:val="20"/>
          <w:szCs w:val="20"/>
          <w:lang w:eastAsia="en-US"/>
        </w:rPr>
        <w:t>.</w:t>
      </w:r>
    </w:p>
    <w:p w14:paraId="0E7041F9" w14:textId="77777777" w:rsidR="00184A8E" w:rsidRPr="00184A8E" w:rsidRDefault="00184A8E" w:rsidP="00184A8E">
      <w:pPr>
        <w:spacing w:after="0" w:line="240" w:lineRule="auto"/>
        <w:jc w:val="both"/>
        <w:rPr>
          <w:rFonts w:ascii="Arial" w:eastAsia="Calibri" w:hAnsi="Arial" w:cs="Arial"/>
          <w:sz w:val="18"/>
          <w:szCs w:val="18"/>
          <w:lang w:eastAsia="en-US"/>
        </w:rPr>
      </w:pPr>
    </w:p>
    <w:p w14:paraId="039FA8BB" w14:textId="77777777" w:rsidR="00184A8E" w:rsidRPr="00184A8E" w:rsidRDefault="00184A8E" w:rsidP="00184A8E">
      <w:pPr>
        <w:spacing w:after="0" w:line="240" w:lineRule="auto"/>
        <w:ind w:left="567"/>
        <w:jc w:val="both"/>
        <w:rPr>
          <w:rFonts w:ascii="Arial" w:eastAsia="Calibri" w:hAnsi="Arial" w:cs="Arial"/>
          <w:sz w:val="18"/>
          <w:szCs w:val="18"/>
        </w:rPr>
      </w:pPr>
      <w:r w:rsidRPr="00184A8E">
        <w:rPr>
          <w:rFonts w:ascii="Arial" w:eastAsia="Calibri" w:hAnsi="Arial" w:cs="Arial"/>
          <w:sz w:val="18"/>
          <w:szCs w:val="18"/>
        </w:rPr>
        <w:t>Općinsko vijeće je na sjednici 28. lipnja 2019. godine usvojilo Idejnu studiju za razvoj poljoprivrede i prerade poljoprivrednih proizvoda na području Općine Konavle (izradilo Agrarno savjetovanje d.o.o.), (Službeni glasnik Općine Konavle 6/19).</w:t>
      </w:r>
    </w:p>
    <w:p w14:paraId="1F18B50C" w14:textId="77777777" w:rsidR="00184A8E" w:rsidRPr="00184A8E" w:rsidRDefault="00184A8E" w:rsidP="00184A8E">
      <w:pPr>
        <w:spacing w:after="0" w:line="240" w:lineRule="auto"/>
        <w:ind w:left="567"/>
        <w:jc w:val="both"/>
        <w:rPr>
          <w:rFonts w:ascii="Arial" w:eastAsia="Calibri" w:hAnsi="Arial" w:cs="Arial"/>
          <w:sz w:val="18"/>
          <w:szCs w:val="18"/>
          <w:lang w:eastAsia="en-US"/>
        </w:rPr>
      </w:pPr>
    </w:p>
    <w:p w14:paraId="11E66029" w14:textId="77777777" w:rsidR="00184A8E" w:rsidRPr="00184A8E" w:rsidRDefault="00184A8E" w:rsidP="00184A8E">
      <w:pPr>
        <w:spacing w:after="0" w:line="240" w:lineRule="auto"/>
        <w:ind w:left="567"/>
        <w:jc w:val="both"/>
        <w:rPr>
          <w:rFonts w:ascii="Arial" w:eastAsia="Calibri" w:hAnsi="Arial" w:cs="Arial"/>
          <w:sz w:val="18"/>
          <w:szCs w:val="18"/>
        </w:rPr>
      </w:pPr>
      <w:r w:rsidRPr="00184A8E">
        <w:rPr>
          <w:rFonts w:ascii="Arial" w:eastAsia="Calibri" w:hAnsi="Arial" w:cs="Arial"/>
          <w:sz w:val="18"/>
          <w:szCs w:val="18"/>
          <w:lang w:eastAsia="en-US"/>
        </w:rPr>
        <w:t>Ovom aktivnošću osiguravaju se sredstva za sufinanciranje mjere 4. (marketinške aktivnosti), 5. (izrada dokumentacije) i 6. (ruralni razvoj) iz Programa mjera u poljoprivredi i ruralnom razvoju Općine Konavle (</w:t>
      </w:r>
      <w:r w:rsidRPr="00184A8E">
        <w:rPr>
          <w:rFonts w:ascii="Arial" w:eastAsia="Calibri" w:hAnsi="Arial" w:cs="Arial"/>
          <w:sz w:val="18"/>
          <w:szCs w:val="18"/>
        </w:rPr>
        <w:t>Službeni glasnik Općine Konavle 2/21</w:t>
      </w:r>
      <w:r w:rsidRPr="00184A8E">
        <w:rPr>
          <w:rFonts w:ascii="Arial" w:eastAsia="Calibri" w:hAnsi="Arial" w:cs="Arial"/>
          <w:sz w:val="18"/>
          <w:szCs w:val="18"/>
          <w:lang w:eastAsia="en-US"/>
        </w:rPr>
        <w:t xml:space="preserve">). </w:t>
      </w:r>
      <w:r w:rsidRPr="00184A8E">
        <w:rPr>
          <w:rFonts w:ascii="Arial" w:eastAsia="Calibri" w:hAnsi="Arial" w:cs="Arial"/>
          <w:sz w:val="18"/>
          <w:szCs w:val="18"/>
        </w:rPr>
        <w:t>U ožujku 2021. je objavljen javni poziv za financiranje projekata i programa u poljoprivredi i ruralnom razvoju Općine Konavle za 2021. godinu iz Programa mjera u poljoprivredi i ruralnom razvoju. Po ovom pozivu nije bilo dodjele sredstava.</w:t>
      </w:r>
    </w:p>
    <w:p w14:paraId="4E03AD5B" w14:textId="77777777" w:rsidR="00184A8E" w:rsidRPr="00184A8E" w:rsidRDefault="00184A8E" w:rsidP="00184A8E">
      <w:pPr>
        <w:spacing w:after="0" w:line="240" w:lineRule="auto"/>
        <w:ind w:left="567"/>
        <w:jc w:val="both"/>
        <w:rPr>
          <w:rFonts w:ascii="Arial" w:eastAsia="Calibri" w:hAnsi="Arial" w:cs="Arial"/>
          <w:sz w:val="18"/>
          <w:szCs w:val="18"/>
        </w:rPr>
      </w:pPr>
    </w:p>
    <w:p w14:paraId="7E1E5931" w14:textId="77777777" w:rsidR="00184A8E" w:rsidRPr="00184A8E" w:rsidRDefault="00184A8E" w:rsidP="00184A8E">
      <w:pPr>
        <w:spacing w:after="0" w:line="240" w:lineRule="auto"/>
        <w:ind w:left="567"/>
        <w:jc w:val="both"/>
        <w:rPr>
          <w:rFonts w:ascii="Arial" w:eastAsia="Calibri" w:hAnsi="Arial" w:cs="Arial"/>
          <w:sz w:val="18"/>
          <w:szCs w:val="18"/>
        </w:rPr>
      </w:pPr>
      <w:r w:rsidRPr="00184A8E">
        <w:rPr>
          <w:rFonts w:ascii="Arial" w:eastAsia="Calibri" w:hAnsi="Arial" w:cs="Arial"/>
          <w:sz w:val="18"/>
          <w:szCs w:val="18"/>
        </w:rPr>
        <w:t xml:space="preserve">Općinsko vijeće je na sjednici održanoj 28. lipnja 2023. godine donijelo Program korištenja sredstava od raspolaganja poljoprivrednim zemljištem u vlasništvu Republike Hrvatske na području Općine Konavle za 2023. godinu. Prihodi od raspolaganja poljoprivrednim zemljištem se dijele u omjeru: Županija 10 %, državni proračun 25%, Općina 65%. </w:t>
      </w:r>
    </w:p>
    <w:p w14:paraId="6D50A489" w14:textId="77777777" w:rsidR="00184A8E" w:rsidRPr="00184A8E" w:rsidRDefault="00184A8E" w:rsidP="00184A8E">
      <w:pPr>
        <w:spacing w:after="0" w:line="240" w:lineRule="auto"/>
        <w:ind w:left="567"/>
        <w:jc w:val="both"/>
        <w:rPr>
          <w:rFonts w:ascii="Arial" w:eastAsia="Calibri" w:hAnsi="Arial" w:cs="Arial"/>
          <w:sz w:val="18"/>
          <w:szCs w:val="18"/>
        </w:rPr>
      </w:pPr>
    </w:p>
    <w:p w14:paraId="49C4FFCC" w14:textId="77777777" w:rsidR="00184A8E" w:rsidRPr="00184A8E" w:rsidRDefault="00184A8E" w:rsidP="00184A8E">
      <w:pPr>
        <w:spacing w:after="0" w:line="240" w:lineRule="auto"/>
        <w:ind w:left="567"/>
        <w:jc w:val="both"/>
        <w:rPr>
          <w:rFonts w:ascii="Arial" w:eastAsia="Calibri" w:hAnsi="Arial" w:cs="Arial"/>
          <w:sz w:val="18"/>
          <w:szCs w:val="18"/>
        </w:rPr>
      </w:pPr>
      <w:r w:rsidRPr="00184A8E">
        <w:rPr>
          <w:rFonts w:ascii="Arial" w:eastAsia="Calibri" w:hAnsi="Arial" w:cs="Arial"/>
          <w:sz w:val="18"/>
          <w:szCs w:val="18"/>
        </w:rPr>
        <w:lastRenderedPageBreak/>
        <w:t xml:space="preserve">U 2023. godini nisu naplaćeni svi planirani prihodi od zakupnika (iskazana u potraživanja u poslovnim knjigama), a ostvareno je samo 809,61 €. </w:t>
      </w:r>
    </w:p>
    <w:p w14:paraId="259621D5" w14:textId="77777777" w:rsidR="00184A8E" w:rsidRPr="00184A8E" w:rsidRDefault="00184A8E" w:rsidP="00184A8E">
      <w:pPr>
        <w:spacing w:after="0" w:line="240" w:lineRule="auto"/>
        <w:jc w:val="both"/>
        <w:rPr>
          <w:rFonts w:ascii="Arial" w:eastAsia="Calibri" w:hAnsi="Arial" w:cs="Arial"/>
          <w:sz w:val="18"/>
          <w:szCs w:val="18"/>
        </w:rPr>
      </w:pPr>
    </w:p>
    <w:p w14:paraId="0B9CB15D" w14:textId="35B598C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Ovi prihodi nisu ostvareni u 2024.</w:t>
      </w:r>
      <w:r w:rsidR="004A3BA5">
        <w:rPr>
          <w:rFonts w:ascii="Arial" w:eastAsia="Calibri" w:hAnsi="Arial" w:cs="Arial"/>
          <w:sz w:val="20"/>
          <w:szCs w:val="20"/>
        </w:rPr>
        <w:t>, kao niti u 2025. godini.</w:t>
      </w:r>
    </w:p>
    <w:p w14:paraId="43315172"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
        <w:tblW w:w="14459" w:type="dxa"/>
        <w:jc w:val="center"/>
        <w:tblLayout w:type="fixed"/>
        <w:tblLook w:val="04A0" w:firstRow="1" w:lastRow="0" w:firstColumn="1" w:lastColumn="0" w:noHBand="0" w:noVBand="1"/>
      </w:tblPr>
      <w:tblGrid>
        <w:gridCol w:w="2836"/>
        <w:gridCol w:w="3544"/>
        <w:gridCol w:w="1559"/>
        <w:gridCol w:w="992"/>
        <w:gridCol w:w="992"/>
        <w:gridCol w:w="1134"/>
        <w:gridCol w:w="1134"/>
        <w:gridCol w:w="1134"/>
        <w:gridCol w:w="1134"/>
      </w:tblGrid>
      <w:tr w:rsidR="00184A8E" w:rsidRPr="00184A8E" w14:paraId="79BB3EDC" w14:textId="77777777" w:rsidTr="00410A4B">
        <w:trPr>
          <w:jc w:val="center"/>
        </w:trPr>
        <w:tc>
          <w:tcPr>
            <w:tcW w:w="283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60E4912"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Pokazatelj rezultata</w:t>
            </w:r>
          </w:p>
        </w:tc>
        <w:tc>
          <w:tcPr>
            <w:tcW w:w="354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D161C64"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Definicija</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44C14E6"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Jedinica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5CA9D0A"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Izvor podataka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8F7482C" w14:textId="71E1554D"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Polazna vrijednost 202</w:t>
            </w:r>
            <w:r w:rsidR="004A3BA5">
              <w:rPr>
                <w:rFonts w:ascii="Arial" w:eastAsia="Calibri" w:hAnsi="Arial" w:cs="Arial"/>
                <w:sz w:val="18"/>
                <w:szCs w:val="18"/>
                <w:lang w:eastAsia="en-US"/>
              </w:rPr>
              <w:t>4</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1989B06" w14:textId="4443DBD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4A3BA5">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6800341" w14:textId="0CD126C5"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Izvršeno 202</w:t>
            </w:r>
            <w:r w:rsidR="004A3BA5">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809B8CB" w14:textId="0F4897E1"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4A3BA5">
              <w:rPr>
                <w:rFonts w:ascii="Arial" w:eastAsia="Calibri" w:hAnsi="Arial" w:cs="Arial"/>
                <w:sz w:val="18"/>
                <w:szCs w:val="18"/>
                <w:lang w:eastAsia="en-US"/>
              </w:rPr>
              <w:t>6</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80317F8" w14:textId="22C89590"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4A3BA5">
              <w:rPr>
                <w:rFonts w:ascii="Arial" w:eastAsia="Calibri" w:hAnsi="Arial" w:cs="Arial"/>
                <w:sz w:val="18"/>
                <w:szCs w:val="18"/>
                <w:lang w:eastAsia="en-US"/>
              </w:rPr>
              <w:t>7</w:t>
            </w:r>
            <w:r w:rsidRPr="00184A8E">
              <w:rPr>
                <w:rFonts w:ascii="Arial" w:eastAsia="Calibri" w:hAnsi="Arial" w:cs="Arial"/>
                <w:sz w:val="18"/>
                <w:szCs w:val="18"/>
                <w:lang w:eastAsia="en-US"/>
              </w:rPr>
              <w:t>.</w:t>
            </w:r>
          </w:p>
        </w:tc>
      </w:tr>
      <w:tr w:rsidR="00184A8E" w:rsidRPr="00184A8E" w14:paraId="0365F4B5" w14:textId="77777777" w:rsidTr="00410A4B">
        <w:trPr>
          <w:trHeight w:val="274"/>
          <w:jc w:val="center"/>
        </w:trPr>
        <w:tc>
          <w:tcPr>
            <w:tcW w:w="2836" w:type="dxa"/>
            <w:tcBorders>
              <w:top w:val="single" w:sz="4" w:space="0" w:color="auto"/>
              <w:left w:val="single" w:sz="4" w:space="0" w:color="auto"/>
              <w:bottom w:val="single" w:sz="4" w:space="0" w:color="auto"/>
              <w:right w:val="single" w:sz="4" w:space="0" w:color="auto"/>
            </w:tcBorders>
          </w:tcPr>
          <w:p w14:paraId="1F677FDA" w14:textId="77777777" w:rsidR="00184A8E" w:rsidRPr="00184A8E" w:rsidRDefault="00184A8E" w:rsidP="00184A8E">
            <w:pPr>
              <w:rPr>
                <w:rFonts w:ascii="Arial" w:eastAsia="Calibri" w:hAnsi="Arial" w:cs="Arial"/>
                <w:sz w:val="18"/>
                <w:szCs w:val="18"/>
                <w:lang w:eastAsia="en-US"/>
              </w:rPr>
            </w:pPr>
            <w:r w:rsidRPr="00184A8E">
              <w:rPr>
                <w:rFonts w:ascii="Arial" w:hAnsi="Arial" w:cs="Arial"/>
                <w:sz w:val="18"/>
                <w:szCs w:val="18"/>
              </w:rPr>
              <w:t>Obavljanje poslova i postupka vezanih uz financiranje programa i projekata kojima se sufinancira poljoprivreda</w:t>
            </w:r>
          </w:p>
        </w:tc>
        <w:tc>
          <w:tcPr>
            <w:tcW w:w="3544" w:type="dxa"/>
            <w:tcBorders>
              <w:top w:val="single" w:sz="4" w:space="0" w:color="auto"/>
              <w:left w:val="single" w:sz="4" w:space="0" w:color="auto"/>
              <w:bottom w:val="single" w:sz="4" w:space="0" w:color="auto"/>
              <w:right w:val="single" w:sz="4" w:space="0" w:color="auto"/>
            </w:tcBorders>
          </w:tcPr>
          <w:p w14:paraId="60A08078" w14:textId="77777777" w:rsidR="00184A8E" w:rsidRPr="00184A8E" w:rsidRDefault="00184A8E" w:rsidP="00184A8E">
            <w:pPr>
              <w:autoSpaceDE w:val="0"/>
              <w:autoSpaceDN w:val="0"/>
              <w:adjustRightInd w:val="0"/>
              <w:jc w:val="center"/>
              <w:rPr>
                <w:rFonts w:ascii="Arial" w:eastAsia="Calibri" w:hAnsi="Arial" w:cs="Arial"/>
                <w:sz w:val="18"/>
                <w:szCs w:val="18"/>
                <w:lang w:eastAsia="en-US"/>
              </w:rPr>
            </w:pPr>
            <w:r w:rsidRPr="00184A8E">
              <w:rPr>
                <w:rFonts w:ascii="Arial" w:hAnsi="Arial" w:cs="Arial"/>
                <w:sz w:val="18"/>
                <w:szCs w:val="18"/>
              </w:rPr>
              <w:t>Provedbom natječaja za dodjelu sredstava omogućava se financiranje programa i projekata iz područja poljoprivrede koji su od javnog interesa</w:t>
            </w:r>
          </w:p>
        </w:tc>
        <w:tc>
          <w:tcPr>
            <w:tcW w:w="1559" w:type="dxa"/>
            <w:tcBorders>
              <w:top w:val="single" w:sz="4" w:space="0" w:color="auto"/>
              <w:left w:val="single" w:sz="4" w:space="0" w:color="auto"/>
              <w:bottom w:val="single" w:sz="4" w:space="0" w:color="auto"/>
              <w:right w:val="single" w:sz="4" w:space="0" w:color="auto"/>
            </w:tcBorders>
            <w:vAlign w:val="center"/>
          </w:tcPr>
          <w:p w14:paraId="086D773B" w14:textId="77777777" w:rsidR="00184A8E" w:rsidRPr="00184A8E" w:rsidRDefault="00184A8E" w:rsidP="00184A8E">
            <w:pPr>
              <w:jc w:val="center"/>
              <w:rPr>
                <w:rFonts w:ascii="Arial" w:eastAsia="Calibri" w:hAnsi="Arial" w:cs="Arial"/>
                <w:sz w:val="18"/>
                <w:szCs w:val="18"/>
                <w:lang w:eastAsia="en-US"/>
              </w:rPr>
            </w:pPr>
            <w:r w:rsidRPr="00184A8E">
              <w:rPr>
                <w:rFonts w:ascii="Arial" w:hAnsi="Arial" w:cs="Arial"/>
                <w:sz w:val="18"/>
                <w:szCs w:val="18"/>
              </w:rPr>
              <w:t xml:space="preserve">Broj provedenih natječaja </w:t>
            </w:r>
          </w:p>
        </w:tc>
        <w:tc>
          <w:tcPr>
            <w:tcW w:w="992" w:type="dxa"/>
            <w:tcBorders>
              <w:top w:val="single" w:sz="4" w:space="0" w:color="auto"/>
              <w:left w:val="single" w:sz="4" w:space="0" w:color="auto"/>
              <w:bottom w:val="single" w:sz="4" w:space="0" w:color="auto"/>
              <w:right w:val="single" w:sz="4" w:space="0" w:color="auto"/>
            </w:tcBorders>
            <w:vAlign w:val="center"/>
          </w:tcPr>
          <w:p w14:paraId="6A83BAAB"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992" w:type="dxa"/>
            <w:tcBorders>
              <w:top w:val="single" w:sz="4" w:space="0" w:color="auto"/>
              <w:left w:val="single" w:sz="4" w:space="0" w:color="auto"/>
              <w:bottom w:val="single" w:sz="4" w:space="0" w:color="auto"/>
              <w:right w:val="single" w:sz="4" w:space="0" w:color="auto"/>
            </w:tcBorders>
            <w:vAlign w:val="center"/>
          </w:tcPr>
          <w:p w14:paraId="5A9D20B7"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58FCEA37" w14:textId="44005F15" w:rsidR="00184A8E" w:rsidRPr="00184A8E" w:rsidRDefault="004A3BA5" w:rsidP="00184A8E">
            <w:pPr>
              <w:jc w:val="center"/>
              <w:rPr>
                <w:rFonts w:ascii="Arial" w:hAnsi="Arial" w:cs="Arial"/>
                <w:sz w:val="18"/>
                <w:szCs w:val="18"/>
                <w:lang w:eastAsia="en-US"/>
              </w:rPr>
            </w:pPr>
            <w:r>
              <w:rPr>
                <w:rFonts w:ascii="Arial" w:hAnsi="Arial" w:cs="Arial"/>
                <w:sz w:val="18"/>
                <w:szCs w:val="18"/>
                <w:lang w:eastAsia="en-US"/>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79B222BC"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EB6F92"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002415D3"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r>
    </w:tbl>
    <w:p w14:paraId="796967F1" w14:textId="77777777" w:rsidR="00184A8E" w:rsidRPr="00184A8E" w:rsidRDefault="00184A8E" w:rsidP="00184A8E">
      <w:pPr>
        <w:spacing w:after="0" w:line="240" w:lineRule="auto"/>
        <w:jc w:val="both"/>
        <w:rPr>
          <w:rFonts w:ascii="Arial" w:eastAsia="Calibri" w:hAnsi="Arial" w:cs="Arial"/>
          <w:sz w:val="20"/>
          <w:szCs w:val="20"/>
          <w:lang w:eastAsia="en-US"/>
        </w:rPr>
      </w:pPr>
    </w:p>
    <w:p w14:paraId="5BC58CDC" w14:textId="3F393A16"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2. A206202: Istraživačke i razvojne aktivnosti u području ruralnog razvoja i gospodarstva</w:t>
      </w:r>
      <w:r w:rsidRPr="00184A8E">
        <w:rPr>
          <w:rFonts w:ascii="Arial" w:eastAsia="Calibri" w:hAnsi="Arial" w:cs="Arial"/>
          <w:sz w:val="20"/>
          <w:szCs w:val="20"/>
          <w:lang w:eastAsia="en-US"/>
        </w:rPr>
        <w:t xml:space="preserve"> - u sklopu aktivnosti planirani su rashodi za znanstveno istraživačke usluge iz područja poljoprivrede i gospodarstva na području Općine. Ovi rashodi su </w:t>
      </w:r>
      <w:r w:rsidR="004A3BA5">
        <w:rPr>
          <w:rFonts w:ascii="Arial" w:eastAsia="Calibri" w:hAnsi="Arial" w:cs="Arial"/>
          <w:sz w:val="20"/>
          <w:szCs w:val="20"/>
          <w:lang w:eastAsia="en-US"/>
        </w:rPr>
        <w:t xml:space="preserve">prvotno bili </w:t>
      </w:r>
      <w:r w:rsidRPr="00184A8E">
        <w:rPr>
          <w:rFonts w:ascii="Arial" w:eastAsia="Calibri" w:hAnsi="Arial" w:cs="Arial"/>
          <w:sz w:val="20"/>
          <w:szCs w:val="20"/>
          <w:lang w:eastAsia="en-US"/>
        </w:rPr>
        <w:t xml:space="preserve">planirani u iznosu 11.000 €. U okviru aktivnosti je financiranje nastavka provedbe projekta unapređenja proizvodnje grožđa i vina. </w:t>
      </w:r>
      <w:r w:rsidR="004A3BA5">
        <w:rPr>
          <w:rFonts w:ascii="Arial" w:eastAsia="Calibri" w:hAnsi="Arial" w:cs="Arial"/>
          <w:sz w:val="20"/>
          <w:szCs w:val="20"/>
          <w:lang w:eastAsia="en-US"/>
        </w:rPr>
        <w:t>Izmjenama proračuna rashodi nisu planirani. Rashodi nisu izvršeni.</w:t>
      </w:r>
    </w:p>
    <w:p w14:paraId="44B9B4CE" w14:textId="77777777" w:rsidR="00184A8E" w:rsidRPr="00184A8E" w:rsidRDefault="00184A8E" w:rsidP="00184A8E">
      <w:pPr>
        <w:spacing w:after="0" w:line="240" w:lineRule="auto"/>
        <w:jc w:val="both"/>
        <w:rPr>
          <w:rFonts w:ascii="Arial" w:eastAsia="Calibri" w:hAnsi="Arial" w:cs="Arial"/>
          <w:sz w:val="18"/>
          <w:szCs w:val="18"/>
          <w:lang w:eastAsia="en-US"/>
        </w:rPr>
      </w:pPr>
    </w:p>
    <w:p w14:paraId="235A175B" w14:textId="77777777" w:rsidR="00184A8E" w:rsidRPr="00184A8E" w:rsidRDefault="00184A8E" w:rsidP="00184A8E">
      <w:pPr>
        <w:spacing w:after="0" w:line="240" w:lineRule="auto"/>
        <w:ind w:left="567"/>
        <w:jc w:val="both"/>
        <w:rPr>
          <w:rFonts w:ascii="Arial" w:eastAsia="Calibri" w:hAnsi="Arial" w:cs="Arial"/>
          <w:sz w:val="18"/>
          <w:szCs w:val="18"/>
        </w:rPr>
      </w:pPr>
      <w:r w:rsidRPr="00184A8E">
        <w:rPr>
          <w:rFonts w:ascii="Arial" w:eastAsia="Calibri" w:hAnsi="Arial" w:cs="Arial"/>
          <w:sz w:val="18"/>
          <w:szCs w:val="18"/>
          <w:lang w:eastAsia="en-US"/>
        </w:rPr>
        <w:t xml:space="preserve">2020. godine su izvršeni rashodi u iznosu 79.000 kn /10.485,10 €/ na temelju ugovora s Agronomskim fakultetom u Zagrebu (ugovor iz listopada 2019., projekt unapređenje proizvodnje grožđa i vina sorte malvasija dubrovačka bijela I faza 2020.-2025., ugovor s Gradom Dubrovnik, Županijom i Sveučilištem u Zagrebu, Agronomski fakultet, sveukupno ugovoreno 395.000 kn s PDV-om / 52.425,51 €/). U 2021. su rashodi na temelju ovog ugovora izvršeni u iznosu 79.500 kn /10.485,10 €/, kao i u 2022. godini (79.000 kn / 10.485,10 €), te u 2023. godini (10.485,10 €). </w:t>
      </w:r>
      <w:r w:rsidRPr="00184A8E">
        <w:rPr>
          <w:rFonts w:ascii="Arial" w:eastAsia="Calibri" w:hAnsi="Arial" w:cs="Arial"/>
          <w:sz w:val="18"/>
          <w:szCs w:val="18"/>
        </w:rPr>
        <w:t>Pored navedenog, u 2023. su bili izvršeni rashodi u iznosu 240,57 € za autorski honorar za provedenu edukaciju „Uzgoj i zaštita zdravlja peradi, reprodukcija peradi, prijam jednodnevne peradi, proizvodnja konzumnih jaja“, predavanje Dobre pčelarske prakse i preventivne mjere za sprječavanje bolesti“ u iznosu 930,95 €, te je sufinancirana organizacija međunarodnog simpozija o vinu u iznosu 2.500 €.</w:t>
      </w:r>
    </w:p>
    <w:p w14:paraId="523ED3B3" w14:textId="77777777" w:rsidR="00184A8E" w:rsidRPr="00184A8E" w:rsidRDefault="00184A8E" w:rsidP="00184A8E">
      <w:pPr>
        <w:spacing w:after="0" w:line="240" w:lineRule="auto"/>
        <w:jc w:val="both"/>
        <w:rPr>
          <w:rFonts w:ascii="Arial" w:eastAsia="Calibri" w:hAnsi="Arial" w:cs="Arial"/>
          <w:sz w:val="18"/>
          <w:szCs w:val="18"/>
        </w:rPr>
      </w:pPr>
    </w:p>
    <w:p w14:paraId="0BF397BE" w14:textId="5AF3C55A" w:rsidR="00184A8E" w:rsidRPr="004A3BA5" w:rsidRDefault="00184A8E" w:rsidP="004A3BA5">
      <w:pPr>
        <w:spacing w:after="0" w:line="240" w:lineRule="auto"/>
        <w:ind w:left="567"/>
        <w:jc w:val="both"/>
        <w:rPr>
          <w:rFonts w:ascii="Arial" w:eastAsia="Calibri" w:hAnsi="Arial" w:cs="Arial"/>
          <w:sz w:val="18"/>
          <w:szCs w:val="18"/>
          <w:lang w:eastAsia="en-US"/>
        </w:rPr>
      </w:pPr>
      <w:r w:rsidRPr="004A3BA5">
        <w:rPr>
          <w:rFonts w:ascii="Arial" w:eastAsia="Calibri" w:hAnsi="Arial" w:cs="Arial"/>
          <w:sz w:val="18"/>
          <w:szCs w:val="18"/>
        </w:rPr>
        <w:t xml:space="preserve">U 2024. godini su </w:t>
      </w:r>
      <w:r w:rsidR="004A3BA5" w:rsidRPr="004A3BA5">
        <w:rPr>
          <w:rFonts w:ascii="Arial" w:eastAsia="Calibri" w:hAnsi="Arial" w:cs="Arial"/>
          <w:sz w:val="18"/>
          <w:szCs w:val="18"/>
        </w:rPr>
        <w:t xml:space="preserve">bili </w:t>
      </w:r>
      <w:r w:rsidRPr="004A3BA5">
        <w:rPr>
          <w:rFonts w:ascii="Arial" w:eastAsia="Calibri" w:hAnsi="Arial" w:cs="Arial"/>
          <w:sz w:val="18"/>
          <w:szCs w:val="18"/>
        </w:rPr>
        <w:t xml:space="preserve">izvršeni rashodi u iznosu 10.485,10 € koji se u cijelosti odnose na </w:t>
      </w:r>
      <w:r w:rsidRPr="004A3BA5">
        <w:rPr>
          <w:rFonts w:ascii="Arial" w:eastAsia="Calibri" w:hAnsi="Arial" w:cs="Arial"/>
          <w:sz w:val="18"/>
          <w:szCs w:val="18"/>
          <w:lang w:eastAsia="en-US"/>
        </w:rPr>
        <w:t>ugovor s Agronomskim fakultetom u Zagrebu (ugovor iz listopada 2019.). Uz Općinu Konavle, Dubrovačko neretvanska županija i Grad Dubrovnik su sufinancirali po 1/3 troškova provedbe ove aktivnosti.</w:t>
      </w:r>
    </w:p>
    <w:p w14:paraId="070D54F1" w14:textId="092DF04E" w:rsidR="004A3BA5" w:rsidRPr="004A3BA5" w:rsidRDefault="004A3BA5" w:rsidP="004A3BA5">
      <w:pPr>
        <w:spacing w:after="0" w:line="240" w:lineRule="auto"/>
        <w:jc w:val="both"/>
        <w:rPr>
          <w:rFonts w:ascii="Arial" w:eastAsia="Calibri" w:hAnsi="Arial" w:cs="Arial"/>
          <w:sz w:val="20"/>
          <w:szCs w:val="20"/>
          <w:lang w:eastAsia="en-US"/>
        </w:rPr>
      </w:pPr>
      <w:r w:rsidRPr="004A3BA5">
        <w:rPr>
          <w:rFonts w:ascii="Arial" w:eastAsia="Calibri" w:hAnsi="Arial" w:cs="Arial"/>
          <w:sz w:val="20"/>
          <w:szCs w:val="20"/>
          <w:lang w:eastAsia="en-US"/>
        </w:rPr>
        <w:t>Ovih rashoda nema u 2025. godini</w:t>
      </w:r>
      <w:r>
        <w:rPr>
          <w:rFonts w:ascii="Arial" w:eastAsia="Calibri" w:hAnsi="Arial" w:cs="Arial"/>
          <w:sz w:val="20"/>
          <w:szCs w:val="20"/>
          <w:lang w:eastAsia="en-US"/>
        </w:rPr>
        <w:t xml:space="preserve"> (ostvarena je refundacija sredstava iz proračuna grada Dubrovnik u iznosu 1.747,51 €).</w:t>
      </w:r>
    </w:p>
    <w:p w14:paraId="1B10FECF" w14:textId="77777777" w:rsidR="00184A8E" w:rsidRPr="00184A8E" w:rsidRDefault="00184A8E" w:rsidP="00184A8E">
      <w:pPr>
        <w:spacing w:after="0" w:line="240" w:lineRule="auto"/>
        <w:jc w:val="both"/>
        <w:rPr>
          <w:rFonts w:ascii="Arial" w:eastAsia="Times New Roman" w:hAnsi="Arial" w:cs="Arial"/>
          <w:sz w:val="20"/>
          <w:szCs w:val="20"/>
          <w:lang w:eastAsia="en-US"/>
        </w:rPr>
      </w:pPr>
    </w:p>
    <w:tbl>
      <w:tblPr>
        <w:tblStyle w:val="Reetkatablice536"/>
        <w:tblW w:w="14317" w:type="dxa"/>
        <w:jc w:val="center"/>
        <w:tblLayout w:type="fixed"/>
        <w:tblLook w:val="04A0" w:firstRow="1" w:lastRow="0" w:firstColumn="1" w:lastColumn="0" w:noHBand="0" w:noVBand="1"/>
      </w:tblPr>
      <w:tblGrid>
        <w:gridCol w:w="2836"/>
        <w:gridCol w:w="2693"/>
        <w:gridCol w:w="1984"/>
        <w:gridCol w:w="1134"/>
        <w:gridCol w:w="1134"/>
        <w:gridCol w:w="1134"/>
        <w:gridCol w:w="1134"/>
        <w:gridCol w:w="1134"/>
        <w:gridCol w:w="1134"/>
      </w:tblGrid>
      <w:tr w:rsidR="00184A8E" w:rsidRPr="00184A8E" w14:paraId="1C89368D" w14:textId="77777777" w:rsidTr="00410A4B">
        <w:trPr>
          <w:jc w:val="center"/>
        </w:trPr>
        <w:tc>
          <w:tcPr>
            <w:tcW w:w="283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60C1A2C"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954F50F"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198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B4A09A7"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2613744"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691FF40"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2023.</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9FA0208"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2024.</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72CC733"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2024.</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BE29E49"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2025.</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FDF172F"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2026.</w:t>
            </w:r>
          </w:p>
        </w:tc>
      </w:tr>
      <w:tr w:rsidR="00184A8E" w:rsidRPr="00184A8E" w14:paraId="5AA4866F" w14:textId="77777777" w:rsidTr="00410A4B">
        <w:trPr>
          <w:trHeight w:val="274"/>
          <w:jc w:val="center"/>
        </w:trPr>
        <w:tc>
          <w:tcPr>
            <w:tcW w:w="2836" w:type="dxa"/>
            <w:tcBorders>
              <w:top w:val="single" w:sz="4" w:space="0" w:color="auto"/>
              <w:left w:val="single" w:sz="4" w:space="0" w:color="auto"/>
              <w:bottom w:val="single" w:sz="4" w:space="0" w:color="auto"/>
              <w:right w:val="single" w:sz="4" w:space="0" w:color="auto"/>
            </w:tcBorders>
            <w:vAlign w:val="center"/>
          </w:tcPr>
          <w:p w14:paraId="56FE75D8" w14:textId="77777777" w:rsidR="00184A8E" w:rsidRPr="00184A8E" w:rsidRDefault="00184A8E" w:rsidP="00184A8E">
            <w:pPr>
              <w:rPr>
                <w:rFonts w:ascii="Arial" w:eastAsia="Calibri" w:hAnsi="Arial" w:cs="Arial"/>
                <w:sz w:val="16"/>
                <w:szCs w:val="16"/>
                <w:lang w:eastAsia="en-US"/>
              </w:rPr>
            </w:pPr>
            <w:r w:rsidRPr="00184A8E">
              <w:rPr>
                <w:rFonts w:ascii="Arial" w:hAnsi="Arial" w:cs="Arial"/>
                <w:sz w:val="16"/>
                <w:szCs w:val="16"/>
              </w:rPr>
              <w:t>Osiguravanje financijskih sredstava za sufinanciranje znanstveno istraživačkih radnji iz područja poljoprivrede na području Općine</w:t>
            </w:r>
          </w:p>
        </w:tc>
        <w:tc>
          <w:tcPr>
            <w:tcW w:w="2693" w:type="dxa"/>
            <w:tcBorders>
              <w:top w:val="single" w:sz="4" w:space="0" w:color="auto"/>
              <w:left w:val="single" w:sz="4" w:space="0" w:color="auto"/>
              <w:bottom w:val="single" w:sz="4" w:space="0" w:color="auto"/>
              <w:right w:val="single" w:sz="4" w:space="0" w:color="auto"/>
            </w:tcBorders>
            <w:vAlign w:val="center"/>
          </w:tcPr>
          <w:p w14:paraId="7AFBC944" w14:textId="77777777" w:rsidR="00184A8E" w:rsidRPr="00184A8E" w:rsidRDefault="00184A8E" w:rsidP="00184A8E">
            <w:pPr>
              <w:autoSpaceDE w:val="0"/>
              <w:autoSpaceDN w:val="0"/>
              <w:adjustRightInd w:val="0"/>
              <w:rPr>
                <w:rFonts w:ascii="Arial" w:eastAsia="Calibri" w:hAnsi="Arial" w:cs="Arial"/>
                <w:sz w:val="16"/>
                <w:szCs w:val="16"/>
                <w:lang w:eastAsia="en-US"/>
              </w:rPr>
            </w:pPr>
            <w:r w:rsidRPr="00184A8E">
              <w:rPr>
                <w:rFonts w:ascii="Arial" w:eastAsia="Calibri" w:hAnsi="Arial" w:cs="Arial"/>
                <w:sz w:val="16"/>
                <w:szCs w:val="16"/>
                <w:lang w:eastAsia="en-US"/>
              </w:rPr>
              <w:t>Pravovremeno podmirivanje obveza za projekta koji imaju za cilj unapređenje poljoprivrede na području Općine</w:t>
            </w:r>
          </w:p>
        </w:tc>
        <w:tc>
          <w:tcPr>
            <w:tcW w:w="1984" w:type="dxa"/>
            <w:tcBorders>
              <w:top w:val="single" w:sz="4" w:space="0" w:color="auto"/>
              <w:left w:val="single" w:sz="4" w:space="0" w:color="auto"/>
              <w:bottom w:val="single" w:sz="4" w:space="0" w:color="auto"/>
              <w:right w:val="single" w:sz="4" w:space="0" w:color="auto"/>
            </w:tcBorders>
            <w:vAlign w:val="center"/>
          </w:tcPr>
          <w:p w14:paraId="286521D4"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 xml:space="preserve">Broj projekata koji se sufinanciraju </w:t>
            </w:r>
          </w:p>
          <w:p w14:paraId="4ACF79B0" w14:textId="77777777" w:rsidR="00184A8E" w:rsidRPr="00184A8E" w:rsidRDefault="00184A8E" w:rsidP="00184A8E">
            <w:pPr>
              <w:autoSpaceDE w:val="0"/>
              <w:autoSpaceDN w:val="0"/>
              <w:adjustRightInd w:val="0"/>
              <w:jc w:val="center"/>
              <w:rPr>
                <w:rFonts w:ascii="Arial" w:eastAsia="Calibri" w:hAnsi="Arial" w:cs="Arial"/>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147C2D35"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7ADEFCAD"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5790826A"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5DE8093A"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9B6E56A"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688BEA33"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r>
    </w:tbl>
    <w:p w14:paraId="74C63D58" w14:textId="77777777" w:rsidR="00184A8E" w:rsidRPr="00184A8E" w:rsidRDefault="00184A8E" w:rsidP="00184A8E">
      <w:pPr>
        <w:spacing w:after="0" w:line="240" w:lineRule="auto"/>
        <w:jc w:val="both"/>
        <w:rPr>
          <w:rFonts w:ascii="Arial" w:eastAsia="Times New Roman" w:hAnsi="Arial" w:cs="Arial"/>
          <w:sz w:val="20"/>
          <w:szCs w:val="20"/>
          <w:lang w:eastAsia="en-US"/>
        </w:rPr>
      </w:pPr>
    </w:p>
    <w:p w14:paraId="742C3DD2" w14:textId="0A47EA21" w:rsidR="00184A8E" w:rsidRPr="00184A8E" w:rsidRDefault="00184A8E" w:rsidP="00184A8E">
      <w:pPr>
        <w:spacing w:after="0" w:line="240" w:lineRule="auto"/>
        <w:jc w:val="both"/>
        <w:rPr>
          <w:rFonts w:ascii="Arial" w:eastAsia="CIDFont+F2" w:hAnsi="Arial" w:cs="Arial"/>
          <w:sz w:val="20"/>
          <w:szCs w:val="20"/>
        </w:rPr>
      </w:pPr>
      <w:r w:rsidRPr="00184A8E">
        <w:rPr>
          <w:rFonts w:ascii="Arial" w:eastAsia="Calibri" w:hAnsi="Arial" w:cs="Arial"/>
          <w:b/>
          <w:sz w:val="20"/>
          <w:szCs w:val="20"/>
          <w:lang w:eastAsia="en-US"/>
        </w:rPr>
        <w:t>3. A206203: Pilot projekti u ruralnom području – dodatne pogodnosti postojećih prostora</w:t>
      </w:r>
      <w:r w:rsidRPr="00184A8E">
        <w:rPr>
          <w:rFonts w:ascii="Arial" w:eastAsia="Calibri" w:hAnsi="Arial" w:cs="Arial"/>
          <w:sz w:val="20"/>
          <w:szCs w:val="20"/>
          <w:lang w:eastAsia="en-US"/>
        </w:rPr>
        <w:t xml:space="preserve"> - u sklopu aktivnosti planirani su rashodi za materijalne rashode u iznosu </w:t>
      </w:r>
      <w:r w:rsidR="004A3BA5">
        <w:rPr>
          <w:rFonts w:ascii="Arial" w:eastAsia="Calibri" w:hAnsi="Arial" w:cs="Arial"/>
          <w:sz w:val="20"/>
          <w:szCs w:val="20"/>
          <w:lang w:eastAsia="en-US"/>
        </w:rPr>
        <w:t>18.860</w:t>
      </w:r>
      <w:r w:rsidRPr="00184A8E">
        <w:rPr>
          <w:rFonts w:ascii="Arial" w:eastAsia="Calibri" w:hAnsi="Arial" w:cs="Arial"/>
          <w:sz w:val="20"/>
          <w:szCs w:val="20"/>
          <w:lang w:eastAsia="en-US"/>
        </w:rPr>
        <w:t xml:space="preserve"> €. Ovi rashodi </w:t>
      </w:r>
      <w:r w:rsidR="004A3BA5">
        <w:rPr>
          <w:rFonts w:ascii="Arial" w:eastAsia="Calibri" w:hAnsi="Arial" w:cs="Arial"/>
          <w:sz w:val="20"/>
          <w:szCs w:val="20"/>
          <w:lang w:eastAsia="en-US"/>
        </w:rPr>
        <w:t>se odnose</w:t>
      </w:r>
      <w:r w:rsidRPr="00184A8E">
        <w:rPr>
          <w:rFonts w:ascii="Arial" w:eastAsia="Calibri" w:hAnsi="Arial" w:cs="Arial"/>
          <w:sz w:val="20"/>
          <w:szCs w:val="20"/>
          <w:lang w:eastAsia="en-US"/>
        </w:rPr>
        <w:t xml:space="preserve"> na uređivanje objekata u vlasništvu Općine na način da se postojećim prostorima doda određeni sadržaj odnosno pogodnosti koje bi pridonijele vizualnom identitetu određenog naselja, odnosno ruralnom razvoju. U osnovi je cilj ove aktivnosti r</w:t>
      </w:r>
      <w:r w:rsidRPr="00184A8E">
        <w:rPr>
          <w:rFonts w:ascii="Arial" w:eastAsia="CIDFont+F2" w:hAnsi="Arial" w:cs="Arial"/>
          <w:sz w:val="20"/>
          <w:szCs w:val="20"/>
          <w:lang w:eastAsia="en-US"/>
        </w:rPr>
        <w:t xml:space="preserve">azvijanje i promicanje kulturnog identiteta lokalne zajednice, zaštita i promocija kulturne baštine, unapređenje postojeće kulturne slike zajednice kao i obogaćivanje sadržaja zajednice kao turističke destinacije. </w:t>
      </w:r>
      <w:r w:rsidRPr="00184A8E">
        <w:rPr>
          <w:rFonts w:ascii="Arial" w:eastAsia="CIDFont+F2" w:hAnsi="Arial" w:cs="Arial"/>
          <w:sz w:val="20"/>
          <w:szCs w:val="20"/>
        </w:rPr>
        <w:t xml:space="preserve">Rashodi su izvršeni u iznosu </w:t>
      </w:r>
      <w:r w:rsidR="004A3BA5">
        <w:rPr>
          <w:rFonts w:ascii="Arial" w:eastAsia="CIDFont+F2" w:hAnsi="Arial" w:cs="Arial"/>
          <w:sz w:val="20"/>
          <w:szCs w:val="20"/>
        </w:rPr>
        <w:t>14.040</w:t>
      </w:r>
      <w:r w:rsidRPr="00184A8E">
        <w:rPr>
          <w:rFonts w:ascii="Arial" w:eastAsia="CIDFont+F2" w:hAnsi="Arial" w:cs="Arial"/>
          <w:sz w:val="20"/>
          <w:szCs w:val="20"/>
        </w:rPr>
        <w:t xml:space="preserve"> €.</w:t>
      </w:r>
    </w:p>
    <w:p w14:paraId="604C8E02" w14:textId="77777777" w:rsidR="00184A8E" w:rsidRPr="00184A8E" w:rsidRDefault="00184A8E" w:rsidP="00184A8E">
      <w:pPr>
        <w:spacing w:after="0" w:line="240" w:lineRule="auto"/>
        <w:jc w:val="both"/>
        <w:rPr>
          <w:rFonts w:ascii="Arial" w:eastAsia="CIDFont+F2" w:hAnsi="Arial" w:cs="Arial"/>
          <w:sz w:val="20"/>
          <w:szCs w:val="20"/>
        </w:rPr>
      </w:pPr>
    </w:p>
    <w:p w14:paraId="61A1372F" w14:textId="1797E68F" w:rsidR="004A3BA5" w:rsidRDefault="004A3BA5" w:rsidP="004A3BA5">
      <w:pPr>
        <w:spacing w:after="0" w:line="240" w:lineRule="auto"/>
        <w:jc w:val="both"/>
        <w:rPr>
          <w:rFonts w:ascii="Arial" w:eastAsia="CIDFont+F2" w:hAnsi="Arial" w:cs="Arial"/>
          <w:sz w:val="20"/>
          <w:szCs w:val="20"/>
          <w:lang w:eastAsia="en-US"/>
        </w:rPr>
      </w:pPr>
      <w:r w:rsidRPr="00184A8E">
        <w:rPr>
          <w:rFonts w:ascii="Arial" w:eastAsia="CIDFont+F2" w:hAnsi="Arial" w:cs="Arial"/>
          <w:sz w:val="20"/>
          <w:szCs w:val="20"/>
          <w:lang w:eastAsia="en-US"/>
        </w:rPr>
        <w:t>Rashodi u 202</w:t>
      </w:r>
      <w:r w:rsidR="002A45FC">
        <w:rPr>
          <w:rFonts w:ascii="Arial" w:eastAsia="CIDFont+F2" w:hAnsi="Arial" w:cs="Arial"/>
          <w:sz w:val="20"/>
          <w:szCs w:val="20"/>
          <w:lang w:eastAsia="en-US"/>
        </w:rPr>
        <w:t>5</w:t>
      </w:r>
      <w:r w:rsidRPr="00184A8E">
        <w:rPr>
          <w:rFonts w:ascii="Arial" w:eastAsia="CIDFont+F2" w:hAnsi="Arial" w:cs="Arial"/>
          <w:sz w:val="20"/>
          <w:szCs w:val="20"/>
          <w:lang w:eastAsia="en-US"/>
        </w:rPr>
        <w:t xml:space="preserve">. su izvršeni u iznosu </w:t>
      </w:r>
      <w:r w:rsidR="002A45FC">
        <w:rPr>
          <w:rFonts w:ascii="Arial" w:eastAsia="CIDFont+F2" w:hAnsi="Arial" w:cs="Arial"/>
          <w:sz w:val="20"/>
          <w:szCs w:val="20"/>
          <w:lang w:eastAsia="en-US"/>
        </w:rPr>
        <w:t>14.040</w:t>
      </w:r>
      <w:r w:rsidRPr="00184A8E">
        <w:rPr>
          <w:rFonts w:ascii="Arial" w:eastAsia="CIDFont+F2" w:hAnsi="Arial" w:cs="Arial"/>
          <w:sz w:val="20"/>
          <w:szCs w:val="20"/>
          <w:lang w:eastAsia="en-US"/>
        </w:rPr>
        <w:t xml:space="preserve"> € i odnose se na</w:t>
      </w:r>
      <w:r w:rsidR="008E11D4">
        <w:rPr>
          <w:rFonts w:ascii="Arial" w:eastAsia="CIDFont+F2" w:hAnsi="Arial" w:cs="Arial"/>
          <w:sz w:val="20"/>
          <w:szCs w:val="20"/>
          <w:lang w:eastAsia="en-US"/>
        </w:rPr>
        <w:t>:</w:t>
      </w:r>
    </w:p>
    <w:p w14:paraId="4F017D2C" w14:textId="02A1DF6B" w:rsidR="008E11D4" w:rsidRDefault="008E11D4" w:rsidP="008E11D4">
      <w:pPr>
        <w:pStyle w:val="Odlomakpopisa"/>
        <w:numPr>
          <w:ilvl w:val="0"/>
          <w:numId w:val="8"/>
        </w:numPr>
        <w:rPr>
          <w:rFonts w:ascii="Arial" w:eastAsia="CIDFont+F2" w:hAnsi="Arial" w:cs="Arial"/>
        </w:rPr>
      </w:pPr>
      <w:r>
        <w:rPr>
          <w:rFonts w:ascii="Arial" w:eastAsia="CIDFont+F2" w:hAnsi="Arial" w:cs="Arial"/>
        </w:rPr>
        <w:t>nabavu 400 stolica za dom kulture Gruda u okviru projekta kulturno sportski most HR-BIH,</w:t>
      </w:r>
    </w:p>
    <w:p w14:paraId="581808A0" w14:textId="59DDFB2F" w:rsidR="008E11D4" w:rsidRPr="008E11D4" w:rsidRDefault="008E11D4" w:rsidP="008E11D4">
      <w:pPr>
        <w:pStyle w:val="Odlomakpopisa"/>
        <w:numPr>
          <w:ilvl w:val="0"/>
          <w:numId w:val="8"/>
        </w:numPr>
        <w:rPr>
          <w:rFonts w:ascii="Arial" w:eastAsia="CIDFont+F2" w:hAnsi="Arial" w:cs="Arial"/>
        </w:rPr>
      </w:pPr>
      <w:r>
        <w:rPr>
          <w:rFonts w:ascii="Arial" w:eastAsia="CIDFont+F2" w:hAnsi="Arial" w:cs="Arial"/>
        </w:rPr>
        <w:lastRenderedPageBreak/>
        <w:t>dizajn i izradu table i logotipa za Eko park Konavle u iznosu 290 €.</w:t>
      </w:r>
    </w:p>
    <w:p w14:paraId="31704B56" w14:textId="77777777" w:rsidR="00184A8E" w:rsidRPr="00184A8E" w:rsidRDefault="00184A8E" w:rsidP="00184A8E">
      <w:pPr>
        <w:spacing w:after="0" w:line="240" w:lineRule="auto"/>
        <w:jc w:val="both"/>
        <w:rPr>
          <w:rFonts w:ascii="Arial" w:eastAsia="CIDFont+F2" w:hAnsi="Arial" w:cs="Arial"/>
          <w:sz w:val="20"/>
          <w:szCs w:val="20"/>
          <w:lang w:eastAsia="en-US"/>
        </w:rPr>
      </w:pPr>
    </w:p>
    <w:tbl>
      <w:tblPr>
        <w:tblStyle w:val="Reetkatablice536"/>
        <w:tblW w:w="14170" w:type="dxa"/>
        <w:jc w:val="center"/>
        <w:tblLayout w:type="fixed"/>
        <w:tblLook w:val="04A0" w:firstRow="1" w:lastRow="0" w:firstColumn="1" w:lastColumn="0" w:noHBand="0" w:noVBand="1"/>
      </w:tblPr>
      <w:tblGrid>
        <w:gridCol w:w="2405"/>
        <w:gridCol w:w="2977"/>
        <w:gridCol w:w="1984"/>
        <w:gridCol w:w="1134"/>
        <w:gridCol w:w="1134"/>
        <w:gridCol w:w="1134"/>
        <w:gridCol w:w="1134"/>
        <w:gridCol w:w="1134"/>
        <w:gridCol w:w="1134"/>
      </w:tblGrid>
      <w:tr w:rsidR="00184A8E" w:rsidRPr="00184A8E" w14:paraId="2FDD7A42" w14:textId="77777777" w:rsidTr="00410A4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C06FC9B"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Pokazatelj rezultata</w:t>
            </w:r>
          </w:p>
        </w:tc>
        <w:tc>
          <w:tcPr>
            <w:tcW w:w="297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315A265"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Definicija</w:t>
            </w:r>
          </w:p>
        </w:tc>
        <w:tc>
          <w:tcPr>
            <w:tcW w:w="198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003DF99"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FA5C16E" w14:textId="77777777"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4FA726D" w14:textId="1CFA3CC0"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Polazna vrijednost 202</w:t>
            </w:r>
            <w:r w:rsidR="008E11D4">
              <w:rPr>
                <w:rFonts w:ascii="Arial" w:eastAsia="Calibri" w:hAnsi="Arial" w:cs="Arial"/>
                <w:lang w:eastAsia="en-US"/>
              </w:rPr>
              <w:t>4</w:t>
            </w:r>
            <w:r w:rsidRPr="00184A8E">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70494CB" w14:textId="654BC372"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8E11D4">
              <w:rPr>
                <w:rFonts w:ascii="Arial" w:eastAsia="Calibri" w:hAnsi="Arial" w:cs="Arial"/>
                <w:lang w:eastAsia="en-US"/>
              </w:rPr>
              <w:t>5</w:t>
            </w:r>
            <w:r w:rsidRPr="00184A8E">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5CCF761" w14:textId="4C1C35F9"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Izvršeno 202</w:t>
            </w:r>
            <w:r w:rsidR="008E11D4">
              <w:rPr>
                <w:rFonts w:ascii="Arial" w:eastAsia="Calibri" w:hAnsi="Arial" w:cs="Arial"/>
                <w:lang w:eastAsia="en-US"/>
              </w:rPr>
              <w:t>5</w:t>
            </w:r>
            <w:r w:rsidRPr="00184A8E">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33B1097" w14:textId="0AB891EA"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8E11D4">
              <w:rPr>
                <w:rFonts w:ascii="Arial" w:eastAsia="Calibri" w:hAnsi="Arial" w:cs="Arial"/>
                <w:lang w:eastAsia="en-US"/>
              </w:rPr>
              <w:t>6</w:t>
            </w:r>
            <w:r w:rsidRPr="00184A8E">
              <w:rPr>
                <w:rFonts w:ascii="Arial" w:eastAsia="Calibri" w:hAnsi="Arial" w:cs="Arial"/>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BF84E37" w14:textId="7176DD79" w:rsidR="00184A8E" w:rsidRPr="00184A8E" w:rsidRDefault="00184A8E" w:rsidP="00184A8E">
            <w:pPr>
              <w:jc w:val="center"/>
              <w:rPr>
                <w:rFonts w:ascii="Arial" w:eastAsia="Calibri" w:hAnsi="Arial" w:cs="Arial"/>
                <w:lang w:eastAsia="en-US"/>
              </w:rPr>
            </w:pPr>
            <w:r w:rsidRPr="00184A8E">
              <w:rPr>
                <w:rFonts w:ascii="Arial" w:eastAsia="Calibri" w:hAnsi="Arial" w:cs="Arial"/>
                <w:lang w:eastAsia="en-US"/>
              </w:rPr>
              <w:t>Ciljana vrijednost 202</w:t>
            </w:r>
            <w:r w:rsidR="008E11D4">
              <w:rPr>
                <w:rFonts w:ascii="Arial" w:eastAsia="Calibri" w:hAnsi="Arial" w:cs="Arial"/>
                <w:lang w:eastAsia="en-US"/>
              </w:rPr>
              <w:t>7</w:t>
            </w:r>
            <w:r w:rsidRPr="00184A8E">
              <w:rPr>
                <w:rFonts w:ascii="Arial" w:eastAsia="Calibri" w:hAnsi="Arial" w:cs="Arial"/>
                <w:lang w:eastAsia="en-US"/>
              </w:rPr>
              <w:t>.</w:t>
            </w:r>
          </w:p>
        </w:tc>
      </w:tr>
      <w:tr w:rsidR="00184A8E" w:rsidRPr="00184A8E" w14:paraId="4584EF1C" w14:textId="77777777" w:rsidTr="00410A4B">
        <w:trPr>
          <w:trHeight w:val="274"/>
          <w:jc w:val="center"/>
        </w:trPr>
        <w:tc>
          <w:tcPr>
            <w:tcW w:w="2405" w:type="dxa"/>
            <w:tcBorders>
              <w:top w:val="single" w:sz="4" w:space="0" w:color="auto"/>
              <w:left w:val="single" w:sz="4" w:space="0" w:color="auto"/>
              <w:bottom w:val="single" w:sz="4" w:space="0" w:color="auto"/>
              <w:right w:val="single" w:sz="4" w:space="0" w:color="auto"/>
            </w:tcBorders>
            <w:vAlign w:val="center"/>
          </w:tcPr>
          <w:p w14:paraId="5EA80D91" w14:textId="77777777" w:rsidR="00184A8E" w:rsidRPr="00184A8E" w:rsidRDefault="00184A8E" w:rsidP="00184A8E">
            <w:pPr>
              <w:rPr>
                <w:rFonts w:ascii="Arial" w:eastAsia="Calibri" w:hAnsi="Arial" w:cs="Arial"/>
                <w:sz w:val="16"/>
                <w:szCs w:val="16"/>
                <w:lang w:eastAsia="en-US"/>
              </w:rPr>
            </w:pPr>
            <w:r w:rsidRPr="00184A8E">
              <w:rPr>
                <w:rFonts w:ascii="Arial" w:hAnsi="Arial" w:cs="Arial"/>
                <w:sz w:val="16"/>
                <w:szCs w:val="16"/>
              </w:rPr>
              <w:t>Osiguravanje financijskih sredstava za projekata koji doprinose davanju dodatne „vrijednosti“ postojećim ruralnim područjima</w:t>
            </w:r>
          </w:p>
        </w:tc>
        <w:tc>
          <w:tcPr>
            <w:tcW w:w="2977" w:type="dxa"/>
            <w:tcBorders>
              <w:top w:val="single" w:sz="4" w:space="0" w:color="auto"/>
              <w:left w:val="single" w:sz="4" w:space="0" w:color="auto"/>
              <w:bottom w:val="single" w:sz="4" w:space="0" w:color="auto"/>
              <w:right w:val="single" w:sz="4" w:space="0" w:color="auto"/>
            </w:tcBorders>
            <w:vAlign w:val="center"/>
          </w:tcPr>
          <w:p w14:paraId="701D5A7A" w14:textId="77777777" w:rsidR="00184A8E" w:rsidRPr="00184A8E" w:rsidRDefault="00184A8E" w:rsidP="00184A8E">
            <w:pPr>
              <w:autoSpaceDE w:val="0"/>
              <w:autoSpaceDN w:val="0"/>
              <w:adjustRightInd w:val="0"/>
              <w:rPr>
                <w:rFonts w:ascii="Arial" w:eastAsia="Calibri" w:hAnsi="Arial" w:cs="Arial"/>
                <w:sz w:val="16"/>
                <w:szCs w:val="16"/>
                <w:lang w:eastAsia="en-US"/>
              </w:rPr>
            </w:pPr>
            <w:r w:rsidRPr="00184A8E">
              <w:rPr>
                <w:rFonts w:ascii="Arial" w:eastAsia="Calibri" w:hAnsi="Arial" w:cs="Arial"/>
                <w:sz w:val="16"/>
                <w:szCs w:val="16"/>
                <w:lang w:eastAsia="en-US"/>
              </w:rPr>
              <w:t>Pravovremeno podmirivanje obveza za projekta koji imaju za cilj „davanje dodatne vrijednosti“ postojećim područjima Općine</w:t>
            </w:r>
          </w:p>
        </w:tc>
        <w:tc>
          <w:tcPr>
            <w:tcW w:w="1984" w:type="dxa"/>
            <w:tcBorders>
              <w:top w:val="single" w:sz="4" w:space="0" w:color="auto"/>
              <w:left w:val="single" w:sz="4" w:space="0" w:color="auto"/>
              <w:bottom w:val="single" w:sz="4" w:space="0" w:color="auto"/>
              <w:right w:val="single" w:sz="4" w:space="0" w:color="auto"/>
            </w:tcBorders>
            <w:vAlign w:val="center"/>
          </w:tcPr>
          <w:p w14:paraId="3124DC41" w14:textId="77777777" w:rsidR="00184A8E" w:rsidRPr="00184A8E" w:rsidRDefault="00184A8E" w:rsidP="00184A8E">
            <w:pPr>
              <w:jc w:val="center"/>
              <w:rPr>
                <w:rFonts w:ascii="Arial" w:hAnsi="Arial" w:cs="Arial"/>
                <w:sz w:val="18"/>
                <w:szCs w:val="18"/>
              </w:rPr>
            </w:pPr>
            <w:r w:rsidRPr="00184A8E">
              <w:rPr>
                <w:rFonts w:ascii="Arial" w:hAnsi="Arial" w:cs="Arial"/>
                <w:sz w:val="18"/>
                <w:szCs w:val="18"/>
              </w:rPr>
              <w:t xml:space="preserve">Broj projekata koji se sufinanciraju </w:t>
            </w:r>
          </w:p>
          <w:p w14:paraId="6E226CAC" w14:textId="77777777" w:rsidR="00184A8E" w:rsidRPr="00184A8E" w:rsidRDefault="00184A8E" w:rsidP="00184A8E">
            <w:pPr>
              <w:autoSpaceDE w:val="0"/>
              <w:autoSpaceDN w:val="0"/>
              <w:adjustRightInd w:val="0"/>
              <w:jc w:val="center"/>
              <w:rPr>
                <w:rFonts w:ascii="Arial" w:eastAsia="Calibri" w:hAnsi="Arial" w:cs="Arial"/>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9AFF221"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2DE8A857"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518EEEF7"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73726001"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05DA043F"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17E19E5C"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2</w:t>
            </w:r>
          </w:p>
        </w:tc>
      </w:tr>
    </w:tbl>
    <w:p w14:paraId="17D5EE26" w14:textId="77777777" w:rsidR="00184A8E" w:rsidRPr="00184A8E" w:rsidRDefault="00184A8E" w:rsidP="00184A8E">
      <w:pPr>
        <w:spacing w:after="0" w:line="240" w:lineRule="auto"/>
        <w:jc w:val="both"/>
        <w:rPr>
          <w:rFonts w:ascii="Arial" w:eastAsia="Calibri" w:hAnsi="Arial" w:cs="Arial"/>
          <w:b/>
          <w:sz w:val="20"/>
          <w:szCs w:val="20"/>
        </w:rPr>
      </w:pPr>
    </w:p>
    <w:p w14:paraId="051DEDA4" w14:textId="1D5FCE34" w:rsidR="00184A8E" w:rsidRPr="00184A8E" w:rsidRDefault="00184A8E" w:rsidP="00184A8E">
      <w:pPr>
        <w:spacing w:after="0" w:line="240" w:lineRule="auto"/>
        <w:jc w:val="both"/>
        <w:rPr>
          <w:rFonts w:ascii="Arial" w:eastAsia="CIDFont+F2" w:hAnsi="Arial" w:cs="Arial"/>
          <w:sz w:val="20"/>
          <w:szCs w:val="20"/>
        </w:rPr>
      </w:pPr>
      <w:r w:rsidRPr="00184A8E">
        <w:rPr>
          <w:rFonts w:ascii="Arial" w:eastAsia="Calibri" w:hAnsi="Arial" w:cs="Arial"/>
          <w:b/>
          <w:sz w:val="20"/>
          <w:szCs w:val="20"/>
        </w:rPr>
        <w:t>4. A206204: Podrška razvoju poljoprivrede</w:t>
      </w:r>
      <w:r w:rsidRPr="00184A8E">
        <w:rPr>
          <w:rFonts w:ascii="Arial" w:eastAsia="Calibri" w:hAnsi="Arial" w:cs="Arial"/>
          <w:sz w:val="20"/>
          <w:szCs w:val="20"/>
        </w:rPr>
        <w:t xml:space="preserve"> - u sklopu aktivnosti su planirani rashodi za materijalne rashode i nabavu opreme u iznosu </w:t>
      </w:r>
      <w:r w:rsidR="00352C87">
        <w:rPr>
          <w:rFonts w:ascii="Arial" w:eastAsia="Calibri" w:hAnsi="Arial" w:cs="Arial"/>
          <w:sz w:val="20"/>
          <w:szCs w:val="20"/>
        </w:rPr>
        <w:t>25.200</w:t>
      </w:r>
      <w:r w:rsidRPr="00184A8E">
        <w:rPr>
          <w:rFonts w:ascii="Arial" w:eastAsia="Calibri" w:hAnsi="Arial" w:cs="Arial"/>
          <w:sz w:val="20"/>
          <w:szCs w:val="20"/>
        </w:rPr>
        <w:t xml:space="preserve"> €. Ovi rashodi bi se odnosili određena ulaganja u promotivne aktivnosti, organizaciju seminara, koordinaciju pripreme poduzetničkih projekata u poljoprivredi, uređenje prodajnih prostora i nabavu štandova za prodaju poljoprivrednih proizvoda, izrad</w:t>
      </w:r>
      <w:r w:rsidR="00352C87">
        <w:rPr>
          <w:rFonts w:ascii="Arial" w:eastAsia="Calibri" w:hAnsi="Arial" w:cs="Arial"/>
          <w:sz w:val="20"/>
          <w:szCs w:val="20"/>
        </w:rPr>
        <w:t>u</w:t>
      </w:r>
      <w:r w:rsidRPr="00184A8E">
        <w:rPr>
          <w:rFonts w:ascii="Arial" w:eastAsia="Calibri" w:hAnsi="Arial" w:cs="Arial"/>
          <w:sz w:val="20"/>
          <w:szCs w:val="20"/>
        </w:rPr>
        <w:t xml:space="preserve"> aplikacije e-placa kojom bi se potaknula poljoprivredna proizvodnja i prodaja proizvoda i slično. Realizacijom ovih aktivnosti stvorili bi se određeni preduvjeti za uspješniji razvoj poljoprivrede.</w:t>
      </w:r>
      <w:r w:rsidRPr="00184A8E">
        <w:rPr>
          <w:rFonts w:ascii="Arial" w:eastAsia="CIDFont+F2" w:hAnsi="Arial" w:cs="Arial"/>
          <w:sz w:val="20"/>
          <w:szCs w:val="20"/>
        </w:rPr>
        <w:t xml:space="preserve"> </w:t>
      </w:r>
    </w:p>
    <w:p w14:paraId="68326B24" w14:textId="77777777" w:rsidR="00184A8E" w:rsidRPr="00184A8E" w:rsidRDefault="00184A8E" w:rsidP="00184A8E">
      <w:pPr>
        <w:spacing w:after="0" w:line="240" w:lineRule="auto"/>
        <w:jc w:val="both"/>
        <w:rPr>
          <w:rFonts w:ascii="Arial" w:eastAsia="CIDFont+F2" w:hAnsi="Arial" w:cs="Arial"/>
          <w:sz w:val="18"/>
          <w:szCs w:val="18"/>
        </w:rPr>
      </w:pPr>
    </w:p>
    <w:p w14:paraId="6B19BFCB" w14:textId="77777777" w:rsidR="00352C87" w:rsidRPr="00352C87" w:rsidRDefault="00184A8E" w:rsidP="00184A8E">
      <w:pPr>
        <w:spacing w:after="0" w:line="240" w:lineRule="auto"/>
        <w:jc w:val="both"/>
        <w:rPr>
          <w:rFonts w:ascii="Arial" w:eastAsia="Calibri" w:hAnsi="Arial" w:cs="Arial"/>
          <w:bCs/>
          <w:sz w:val="20"/>
          <w:szCs w:val="20"/>
        </w:rPr>
      </w:pPr>
      <w:r w:rsidRPr="00352C87">
        <w:rPr>
          <w:rFonts w:ascii="Arial" w:eastAsia="Calibri" w:hAnsi="Arial" w:cs="Arial"/>
          <w:bCs/>
          <w:sz w:val="20"/>
          <w:szCs w:val="20"/>
        </w:rPr>
        <w:t>U 202</w:t>
      </w:r>
      <w:r w:rsidR="00352C87" w:rsidRPr="00352C87">
        <w:rPr>
          <w:rFonts w:ascii="Arial" w:eastAsia="Calibri" w:hAnsi="Arial" w:cs="Arial"/>
          <w:bCs/>
          <w:sz w:val="20"/>
          <w:szCs w:val="20"/>
        </w:rPr>
        <w:t>5</w:t>
      </w:r>
      <w:r w:rsidRPr="00352C87">
        <w:rPr>
          <w:rFonts w:ascii="Arial" w:eastAsia="Calibri" w:hAnsi="Arial" w:cs="Arial"/>
          <w:bCs/>
          <w:sz w:val="20"/>
          <w:szCs w:val="20"/>
        </w:rPr>
        <w:t xml:space="preserve">. su izvršeni rashodi u iznosu </w:t>
      </w:r>
      <w:r w:rsidR="00352C87" w:rsidRPr="00352C87">
        <w:rPr>
          <w:rFonts w:ascii="Arial" w:eastAsia="Calibri" w:hAnsi="Arial" w:cs="Arial"/>
          <w:bCs/>
          <w:sz w:val="20"/>
          <w:szCs w:val="20"/>
        </w:rPr>
        <w:t>15.478,30 € koji se odnose na:</w:t>
      </w:r>
    </w:p>
    <w:p w14:paraId="226730B2" w14:textId="548E900F" w:rsidR="00184A8E" w:rsidRDefault="00184A8E" w:rsidP="00352C87">
      <w:pPr>
        <w:pStyle w:val="Odlomakpopisa"/>
        <w:numPr>
          <w:ilvl w:val="0"/>
          <w:numId w:val="8"/>
        </w:numPr>
        <w:rPr>
          <w:rFonts w:ascii="Arial" w:eastAsia="Calibri" w:hAnsi="Arial" w:cs="Arial"/>
          <w:bCs/>
        </w:rPr>
      </w:pPr>
      <w:r w:rsidRPr="00352C87">
        <w:rPr>
          <w:rFonts w:ascii="Arial" w:eastAsia="Calibri" w:hAnsi="Arial" w:cs="Arial"/>
          <w:bCs/>
        </w:rPr>
        <w:t>čišćenje vodovodnog kanala na Grudi</w:t>
      </w:r>
      <w:r w:rsidR="00352C87">
        <w:rPr>
          <w:rFonts w:ascii="Arial" w:eastAsia="Calibri" w:hAnsi="Arial" w:cs="Arial"/>
          <w:bCs/>
        </w:rPr>
        <w:t xml:space="preserve"> u iznosu 11.500 €,</w:t>
      </w:r>
    </w:p>
    <w:p w14:paraId="4554A1D8" w14:textId="4F05C2FC" w:rsidR="00352C87" w:rsidRDefault="00352C87" w:rsidP="00352C87">
      <w:pPr>
        <w:pStyle w:val="Odlomakpopisa"/>
        <w:numPr>
          <w:ilvl w:val="0"/>
          <w:numId w:val="8"/>
        </w:numPr>
        <w:rPr>
          <w:rFonts w:ascii="Arial" w:eastAsia="Calibri" w:hAnsi="Arial" w:cs="Arial"/>
          <w:bCs/>
        </w:rPr>
      </w:pPr>
      <w:r>
        <w:rPr>
          <w:rFonts w:ascii="Arial" w:eastAsia="Calibri" w:hAnsi="Arial" w:cs="Arial"/>
          <w:bCs/>
        </w:rPr>
        <w:t>laboratorijske usluge na uređajima za kontrolu kvalitete vina i maslinova ulja u laboratoriju smještenom u Ruralnom centru u iznosu 1.045,14 € (uređaji i oprema nabavljeni u okviru projekta Crossmart),</w:t>
      </w:r>
    </w:p>
    <w:p w14:paraId="0BB109F0" w14:textId="66C1D326" w:rsidR="00352C87" w:rsidRPr="00352C87" w:rsidRDefault="003B30C7" w:rsidP="00352C87">
      <w:pPr>
        <w:pStyle w:val="Odlomakpopisa"/>
        <w:numPr>
          <w:ilvl w:val="0"/>
          <w:numId w:val="8"/>
        </w:numPr>
        <w:rPr>
          <w:rFonts w:ascii="Arial" w:eastAsia="Calibri" w:hAnsi="Arial" w:cs="Arial"/>
          <w:bCs/>
        </w:rPr>
      </w:pPr>
      <w:r>
        <w:rPr>
          <w:rFonts w:ascii="Arial" w:eastAsia="Calibri" w:hAnsi="Arial" w:cs="Arial"/>
          <w:bCs/>
        </w:rPr>
        <w:t>naknada za korištenje cestovnog zemljišta u iznosu 296/24 €/m² mjesečno i naknada za obavljanje prateće djelatnosti (usluge trgovine) 53,09 € mjesečno za prostor uz cestu na Grudi (prostor koji se koristi kao privremena tržnica, k.č. 2414/2 k.o. Gruda, 130 m²), odnosno sveukupno 2.933,16 € (ugovor s Županijskom upravom za ceste iz ožujka 2025. godine na rok 12 godina, a godišnja naknada se usklađuje s godišnjim rastom indeksa cijena na malo koji objavljuje Državni zavod za statistiku).</w:t>
      </w:r>
    </w:p>
    <w:p w14:paraId="6BC3D9F4" w14:textId="77777777" w:rsidR="00184A8E" w:rsidRPr="00352C87" w:rsidRDefault="00184A8E" w:rsidP="00184A8E">
      <w:pPr>
        <w:spacing w:after="0" w:line="240" w:lineRule="auto"/>
        <w:jc w:val="both"/>
        <w:rPr>
          <w:rFonts w:ascii="Arial" w:eastAsia="Calibri" w:hAnsi="Arial" w:cs="Arial"/>
          <w:bCs/>
          <w:sz w:val="20"/>
          <w:szCs w:val="20"/>
        </w:rPr>
      </w:pPr>
    </w:p>
    <w:tbl>
      <w:tblPr>
        <w:tblStyle w:val="Reetkatablice536"/>
        <w:tblW w:w="14170" w:type="dxa"/>
        <w:jc w:val="center"/>
        <w:tblLayout w:type="fixed"/>
        <w:tblLook w:val="04A0" w:firstRow="1" w:lastRow="0" w:firstColumn="1" w:lastColumn="0" w:noHBand="0" w:noVBand="1"/>
      </w:tblPr>
      <w:tblGrid>
        <w:gridCol w:w="4106"/>
        <w:gridCol w:w="1843"/>
        <w:gridCol w:w="1417"/>
        <w:gridCol w:w="1134"/>
        <w:gridCol w:w="1134"/>
        <w:gridCol w:w="1134"/>
        <w:gridCol w:w="1134"/>
        <w:gridCol w:w="1134"/>
        <w:gridCol w:w="1134"/>
      </w:tblGrid>
      <w:tr w:rsidR="00184A8E" w:rsidRPr="00184A8E" w14:paraId="7C6917FB" w14:textId="77777777" w:rsidTr="00410A4B">
        <w:trPr>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38D614F"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Pokazatelj rezultata</w:t>
            </w:r>
          </w:p>
        </w:tc>
        <w:tc>
          <w:tcPr>
            <w:tcW w:w="184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1DAF913"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Definicija</w:t>
            </w:r>
          </w:p>
        </w:tc>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89244E3"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E69A364"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5ADEE98"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Polazna vrijednost 2023.</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CA73110" w14:textId="44C0805C"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22604B">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511DF40" w14:textId="0161159A"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Izvršeno 202</w:t>
            </w:r>
            <w:r w:rsidR="0022604B">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9AE42B7"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2025.</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D421D41"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2026.</w:t>
            </w:r>
          </w:p>
        </w:tc>
      </w:tr>
      <w:tr w:rsidR="00184A8E" w:rsidRPr="00184A8E" w14:paraId="29253277" w14:textId="77777777" w:rsidTr="00410A4B">
        <w:trPr>
          <w:trHeight w:val="274"/>
          <w:jc w:val="center"/>
        </w:trPr>
        <w:tc>
          <w:tcPr>
            <w:tcW w:w="4106" w:type="dxa"/>
            <w:tcBorders>
              <w:top w:val="single" w:sz="4" w:space="0" w:color="auto"/>
              <w:left w:val="single" w:sz="4" w:space="0" w:color="auto"/>
              <w:bottom w:val="single" w:sz="4" w:space="0" w:color="auto"/>
              <w:right w:val="single" w:sz="4" w:space="0" w:color="auto"/>
            </w:tcBorders>
            <w:vAlign w:val="center"/>
          </w:tcPr>
          <w:p w14:paraId="66CA026D" w14:textId="77777777" w:rsidR="00184A8E" w:rsidRPr="00184A8E" w:rsidRDefault="00184A8E" w:rsidP="00184A8E">
            <w:pPr>
              <w:jc w:val="both"/>
              <w:rPr>
                <w:rFonts w:ascii="Arial" w:eastAsia="Calibri" w:hAnsi="Arial" w:cs="Arial"/>
                <w:sz w:val="18"/>
                <w:szCs w:val="18"/>
                <w:lang w:eastAsia="en-US"/>
              </w:rPr>
            </w:pPr>
            <w:r w:rsidRPr="00184A8E">
              <w:rPr>
                <w:rFonts w:ascii="Arial" w:hAnsi="Arial" w:cs="Arial"/>
                <w:sz w:val="18"/>
                <w:szCs w:val="18"/>
              </w:rPr>
              <w:t>Obavljanje poslova i postupka vezanih uz izmjeru i utvrđivanje vlasništva na dijelu za koji se namjerava obaviti komasacija Konavoskog polja</w:t>
            </w:r>
          </w:p>
        </w:tc>
        <w:tc>
          <w:tcPr>
            <w:tcW w:w="1843" w:type="dxa"/>
            <w:tcBorders>
              <w:top w:val="single" w:sz="4" w:space="0" w:color="auto"/>
              <w:left w:val="single" w:sz="4" w:space="0" w:color="auto"/>
              <w:bottom w:val="single" w:sz="4" w:space="0" w:color="auto"/>
              <w:right w:val="single" w:sz="4" w:space="0" w:color="auto"/>
            </w:tcBorders>
            <w:vAlign w:val="center"/>
          </w:tcPr>
          <w:p w14:paraId="6ECBEE61" w14:textId="77777777" w:rsidR="00184A8E" w:rsidRPr="00184A8E" w:rsidRDefault="00184A8E" w:rsidP="00184A8E">
            <w:pPr>
              <w:autoSpaceDE w:val="0"/>
              <w:autoSpaceDN w:val="0"/>
              <w:adjustRightInd w:val="0"/>
              <w:jc w:val="center"/>
              <w:rPr>
                <w:rFonts w:ascii="Arial" w:eastAsia="Calibri" w:hAnsi="Arial" w:cs="Arial"/>
                <w:sz w:val="18"/>
                <w:szCs w:val="18"/>
                <w:lang w:eastAsia="en-US"/>
              </w:rPr>
            </w:pPr>
            <w:r w:rsidRPr="00184A8E">
              <w:rPr>
                <w:rFonts w:ascii="Arial" w:eastAsia="Calibri" w:hAnsi="Arial" w:cs="Arial"/>
                <w:sz w:val="18"/>
                <w:szCs w:val="18"/>
                <w:lang w:eastAsia="en-US"/>
              </w:rPr>
              <w:t>Postotak obavljenih usluga</w:t>
            </w:r>
          </w:p>
        </w:tc>
        <w:tc>
          <w:tcPr>
            <w:tcW w:w="1417" w:type="dxa"/>
            <w:tcBorders>
              <w:top w:val="single" w:sz="4" w:space="0" w:color="auto"/>
              <w:left w:val="single" w:sz="4" w:space="0" w:color="auto"/>
              <w:bottom w:val="single" w:sz="4" w:space="0" w:color="auto"/>
              <w:right w:val="single" w:sz="4" w:space="0" w:color="auto"/>
            </w:tcBorders>
            <w:vAlign w:val="center"/>
          </w:tcPr>
          <w:p w14:paraId="2084F6D3" w14:textId="77777777" w:rsidR="00184A8E" w:rsidRPr="00184A8E" w:rsidRDefault="00184A8E" w:rsidP="00184A8E">
            <w:pPr>
              <w:autoSpaceDE w:val="0"/>
              <w:autoSpaceDN w:val="0"/>
              <w:adjustRightInd w:val="0"/>
              <w:jc w:val="center"/>
              <w:rPr>
                <w:rFonts w:ascii="Arial" w:eastAsia="Calibri" w:hAnsi="Arial" w:cs="Arial"/>
                <w:sz w:val="18"/>
                <w:szCs w:val="18"/>
                <w:lang w:eastAsia="en-US"/>
              </w:rPr>
            </w:pPr>
            <w:r w:rsidRPr="00184A8E">
              <w:rPr>
                <w:rFonts w:ascii="Arial" w:eastAsia="Calibri" w:hAnsi="Arial" w:cs="Arial"/>
                <w:sz w:val="18"/>
                <w:szCs w:val="18"/>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27FDD299"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4F84F82B"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3B31797D"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50</w:t>
            </w:r>
          </w:p>
        </w:tc>
        <w:tc>
          <w:tcPr>
            <w:tcW w:w="1134" w:type="dxa"/>
            <w:tcBorders>
              <w:top w:val="single" w:sz="4" w:space="0" w:color="000000"/>
              <w:left w:val="single" w:sz="4" w:space="0" w:color="000000"/>
              <w:bottom w:val="single" w:sz="4" w:space="0" w:color="000000"/>
              <w:right w:val="single" w:sz="4" w:space="0" w:color="000000"/>
            </w:tcBorders>
            <w:vAlign w:val="center"/>
          </w:tcPr>
          <w:p w14:paraId="740E9184" w14:textId="3136EAC3" w:rsidR="00184A8E" w:rsidRPr="00184A8E" w:rsidRDefault="0022604B" w:rsidP="00184A8E">
            <w:pPr>
              <w:jc w:val="center"/>
              <w:rPr>
                <w:rFonts w:ascii="Arial" w:hAnsi="Arial" w:cs="Arial"/>
                <w:sz w:val="18"/>
                <w:szCs w:val="18"/>
                <w:lang w:eastAsia="en-US"/>
              </w:rPr>
            </w:pPr>
            <w:r>
              <w:rPr>
                <w:rFonts w:ascii="Arial" w:hAnsi="Arial" w:cs="Arial"/>
                <w:sz w:val="18"/>
                <w:szCs w:val="18"/>
                <w:lang w:eastAsia="en-US"/>
              </w:rPr>
              <w:t>50</w:t>
            </w:r>
          </w:p>
        </w:tc>
        <w:tc>
          <w:tcPr>
            <w:tcW w:w="1134" w:type="dxa"/>
            <w:tcBorders>
              <w:top w:val="single" w:sz="4" w:space="0" w:color="000000"/>
              <w:left w:val="single" w:sz="4" w:space="0" w:color="000000"/>
              <w:bottom w:val="single" w:sz="4" w:space="0" w:color="000000"/>
              <w:right w:val="single" w:sz="4" w:space="0" w:color="000000"/>
            </w:tcBorders>
            <w:vAlign w:val="center"/>
          </w:tcPr>
          <w:p w14:paraId="6DF15E60"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FBE7897"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100</w:t>
            </w:r>
          </w:p>
        </w:tc>
      </w:tr>
    </w:tbl>
    <w:p w14:paraId="130DD181" w14:textId="77777777" w:rsidR="00184A8E" w:rsidRPr="00184A8E" w:rsidRDefault="00184A8E" w:rsidP="00184A8E">
      <w:pPr>
        <w:spacing w:after="0" w:line="240" w:lineRule="auto"/>
        <w:ind w:left="709" w:firstLine="709"/>
        <w:jc w:val="both"/>
        <w:rPr>
          <w:rFonts w:ascii="Arial" w:eastAsia="Calibri" w:hAnsi="Arial" w:cs="Arial"/>
          <w:bCs/>
          <w:i/>
          <w:iCs/>
          <w:sz w:val="18"/>
          <w:szCs w:val="18"/>
        </w:rPr>
      </w:pPr>
      <w:r w:rsidRPr="00184A8E">
        <w:rPr>
          <w:rFonts w:ascii="Arial" w:eastAsia="Calibri" w:hAnsi="Arial" w:cs="Arial"/>
          <w:bCs/>
          <w:i/>
          <w:iCs/>
          <w:sz w:val="18"/>
          <w:szCs w:val="18"/>
        </w:rPr>
        <w:t>*bilo je više sastanaka i drugih aktivnosti na temu komasacije Konavoskog polja</w:t>
      </w:r>
    </w:p>
    <w:p w14:paraId="7BC2E478" w14:textId="77777777" w:rsidR="00184A8E" w:rsidRPr="00184A8E" w:rsidRDefault="00184A8E" w:rsidP="00184A8E">
      <w:pPr>
        <w:spacing w:after="0" w:line="240" w:lineRule="auto"/>
        <w:ind w:left="709" w:firstLine="709"/>
        <w:jc w:val="both"/>
        <w:rPr>
          <w:rFonts w:ascii="Arial" w:eastAsia="Calibri" w:hAnsi="Arial" w:cs="Arial"/>
          <w:bCs/>
          <w:sz w:val="20"/>
          <w:szCs w:val="20"/>
        </w:rPr>
      </w:pPr>
    </w:p>
    <w:p w14:paraId="7EC3CC1F" w14:textId="77777777" w:rsidR="00184A8E" w:rsidRPr="00184A8E" w:rsidRDefault="00184A8E" w:rsidP="00184A8E">
      <w:pPr>
        <w:spacing w:after="0" w:line="240" w:lineRule="auto"/>
        <w:jc w:val="center"/>
        <w:rPr>
          <w:rFonts w:ascii="Arial" w:eastAsia="Calibri" w:hAnsi="Arial" w:cs="Arial"/>
          <w:b/>
          <w:sz w:val="16"/>
          <w:szCs w:val="16"/>
        </w:rPr>
      </w:pPr>
      <w:r w:rsidRPr="00184A8E">
        <w:rPr>
          <w:rFonts w:ascii="Arial" w:eastAsia="Calibri" w:hAnsi="Arial" w:cs="Arial"/>
          <w:b/>
          <w:sz w:val="16"/>
          <w:szCs w:val="16"/>
        </w:rPr>
        <w:t>Komasacija konavoskog polja</w:t>
      </w:r>
    </w:p>
    <w:p w14:paraId="387ABD45" w14:textId="77777777" w:rsidR="00184A8E" w:rsidRPr="00184A8E" w:rsidRDefault="00184A8E" w:rsidP="00184A8E">
      <w:pPr>
        <w:spacing w:after="0" w:line="240" w:lineRule="auto"/>
        <w:jc w:val="center"/>
        <w:rPr>
          <w:rFonts w:ascii="Arial" w:eastAsia="Calibri" w:hAnsi="Arial" w:cs="Arial"/>
          <w:b/>
          <w:sz w:val="16"/>
          <w:szCs w:val="16"/>
        </w:rPr>
      </w:pPr>
    </w:p>
    <w:p w14:paraId="57BBCB38" w14:textId="77777777" w:rsidR="00184A8E" w:rsidRPr="00184A8E" w:rsidRDefault="00184A8E" w:rsidP="00184A8E">
      <w:pPr>
        <w:spacing w:after="0" w:line="240" w:lineRule="auto"/>
        <w:jc w:val="center"/>
        <w:rPr>
          <w:rFonts w:ascii="Arial" w:eastAsia="Calibri" w:hAnsi="Arial" w:cs="Arial"/>
          <w:b/>
          <w:sz w:val="16"/>
          <w:szCs w:val="16"/>
        </w:rPr>
      </w:pPr>
      <w:r w:rsidRPr="00184A8E">
        <w:rPr>
          <w:rFonts w:ascii="Arial" w:eastAsia="Calibri" w:hAnsi="Arial" w:cs="Arial"/>
          <w:b/>
          <w:sz w:val="16"/>
          <w:szCs w:val="16"/>
        </w:rPr>
        <w:t xml:space="preserve">23.9.2024.: </w:t>
      </w:r>
      <w:hyperlink r:id="rId178" w:history="1">
        <w:r w:rsidRPr="00184A8E">
          <w:rPr>
            <w:rFonts w:ascii="Arial" w:eastAsia="Calibri" w:hAnsi="Arial" w:cs="Arial"/>
            <w:b/>
            <w:color w:val="0000FF"/>
            <w:sz w:val="16"/>
            <w:szCs w:val="16"/>
            <w:u w:val="single"/>
          </w:rPr>
          <w:t>https://www.opcinakonavle.hr/2024/09/23/zapoceo-postupak-komasacije-na-podrucju-opcine-konavle/</w:t>
        </w:r>
      </w:hyperlink>
    </w:p>
    <w:p w14:paraId="5A70044D" w14:textId="77777777" w:rsidR="00184A8E" w:rsidRPr="00184A8E" w:rsidRDefault="00184A8E" w:rsidP="00184A8E">
      <w:pPr>
        <w:spacing w:after="0" w:line="240" w:lineRule="auto"/>
        <w:jc w:val="both"/>
        <w:rPr>
          <w:rFonts w:ascii="Arial" w:eastAsia="Calibri" w:hAnsi="Arial" w:cs="Arial"/>
          <w:bCs/>
          <w:sz w:val="16"/>
          <w:szCs w:val="16"/>
        </w:rPr>
      </w:pPr>
    </w:p>
    <w:p w14:paraId="1661D977"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Dana 3. rujna 2024. potpisan je Ugovor – Nabava usluge izrade prijedloga Projekta komasacije i provedba komasacije te je započeo postupak komasacije na području Općine Konavle. Prva sjednica Povjerenstva za komasaciju na odabranom području Općine Konavle je održana u prostorijama Općine Konavle u Cavtatu dana 19. rujna 2024.</w:t>
      </w:r>
    </w:p>
    <w:p w14:paraId="42E05564"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Radi se o okrupnjavanju poljoprivrednog zemljišta na području katastarskih općina: k.o. Komaji, k.o. Pridvorje, k.o. Lovorno, k.o. Popovići, k.o. Gruda, k.o. Mihanići i k.o. Radovčići, na površini od 477,6 hektara te ukupnim očekivanim iznosom troškova komasacije u iznosu od 865.000 €.</w:t>
      </w:r>
    </w:p>
    <w:p w14:paraId="3338A8C8"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Ministarstvo poljoprivrede, šumarstva i ribarstva je u skladu s „Programom komasacije poljoprivrednog zemljišta do 2026. godine“ objavilo Javni poziv za odabir određenih područja za provođenje komasacije te je u rujnu 2023. donijelo Odluku o komasaciji na području Općine Konavle, čime je nadležno Ministarstvo preuzelo ulogu nositelja komasacije.</w:t>
      </w:r>
    </w:p>
    <w:p w14:paraId="1FAFD720"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U Općini Konavle postupkom komasacije pridonijet će se rješavanju imovinsko-pravnih pitanja, kao i mogućnosti raspolaganja poljoprivrednim zemljištem u vlasništvu Republike Hrvatske te se time ispunjava krajnji cilj – bolje iskorištavanje poljoprivrednog zemljišta.</w:t>
      </w:r>
    </w:p>
    <w:p w14:paraId="37DCB1A1"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lastRenderedPageBreak/>
        <w:t>Svrha komasacije je omogućavanje ekonomičnijeg iskorištavanja poljoprivrednog zemljišta uz povoljnije uvjete za poljoprivrednu proizvodnju i ruralni razvoj, čime se povećava kvaliteta života u ruralnim područjima te je stoga Vlada Republike Hrvatske donijela Program i osigurala sredstva u iznosu od 39.816.842 € za provođenje komasacije na oko 18 000 hektara zemljišta.</w:t>
      </w:r>
    </w:p>
    <w:p w14:paraId="28974083" w14:textId="77777777" w:rsidR="00184A8E" w:rsidRPr="00184A8E" w:rsidRDefault="00184A8E" w:rsidP="00184A8E">
      <w:pPr>
        <w:spacing w:after="0" w:line="240" w:lineRule="auto"/>
        <w:jc w:val="both"/>
        <w:rPr>
          <w:rFonts w:ascii="Arial" w:eastAsia="Calibri" w:hAnsi="Arial" w:cs="Arial"/>
          <w:bCs/>
          <w:sz w:val="16"/>
          <w:szCs w:val="16"/>
        </w:rPr>
      </w:pPr>
    </w:p>
    <w:p w14:paraId="4D929EF5"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Komasacija se provodi tako da se sudioniku komasacije za njegovo zemljište uneseno u komasacijsku gromadu dodjeljuje novo zemljište jednake vrijednosti i u što manjem broju katastarskih čestica uz odbitak vrijednosti zemljišta za opće potrebe, zajedničke potrebe naselja i sudionika komasacije. Prilikom diobe komasacijske gromade i dodjele zemljišta nastojat će se svakom sudioniku komasacije, koji je u komasaciji ostvario pravo na zemljište, dodijeliti zemljište što više okrupnjeno i grupirano, u što prikladnijem obliku za iskorištavanje s osiguranim pristupom te na položaju pretežita dijela i uporabe zemljišta koje je unio u komasacijsku gromadu.</w:t>
      </w:r>
    </w:p>
    <w:p w14:paraId="0CE8EDC8"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Komasacijom se stvaraju povoljniji uvjeti za razvoj poljoprivredne proizvodnje osnivanjem većih i pravilnijih katastarskih čestica, izgradnjom poljoprivrednih putova, vodnih građevina za melioracije te izvođenjem drugih radova na uređenju zemljišta namijenjenog poljoprivredi, pri čemu se posvećuje dužna pozornost očuvanju obilježja krajobraza.</w:t>
      </w:r>
    </w:p>
    <w:p w14:paraId="5EF6BDCA"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Program komasacije poljoprivrednog zemljišta za razdoblje do 2026. godine u sklopu mjere „Unaprjeđenje sustava za restrukturiranje poljoprivrednog zemljišta i komasaciju“ donesen je kao dio Nacionalnog plana za oporavak i otpornost 2021.-2026.</w:t>
      </w:r>
    </w:p>
    <w:p w14:paraId="3ADBC7B3" w14:textId="77777777" w:rsidR="00184A8E" w:rsidRPr="00184A8E" w:rsidRDefault="00184A8E" w:rsidP="00184A8E">
      <w:pPr>
        <w:spacing w:after="0" w:line="240" w:lineRule="auto"/>
        <w:jc w:val="both"/>
        <w:rPr>
          <w:rFonts w:ascii="Arial" w:eastAsia="Calibri" w:hAnsi="Arial" w:cs="Arial"/>
          <w:bCs/>
          <w:sz w:val="16"/>
          <w:szCs w:val="16"/>
        </w:rPr>
      </w:pPr>
    </w:p>
    <w:p w14:paraId="1C88E549" w14:textId="77777777" w:rsidR="00184A8E" w:rsidRPr="00184A8E" w:rsidRDefault="00184A8E" w:rsidP="00184A8E">
      <w:pPr>
        <w:spacing w:after="0" w:line="240" w:lineRule="auto"/>
        <w:jc w:val="center"/>
        <w:rPr>
          <w:rFonts w:ascii="Arial" w:eastAsia="Calibri" w:hAnsi="Arial" w:cs="Arial"/>
          <w:b/>
          <w:sz w:val="16"/>
          <w:szCs w:val="16"/>
        </w:rPr>
      </w:pPr>
      <w:r w:rsidRPr="00184A8E">
        <w:rPr>
          <w:rFonts w:ascii="Arial" w:eastAsia="Calibri" w:hAnsi="Arial" w:cs="Arial"/>
          <w:b/>
          <w:sz w:val="16"/>
          <w:szCs w:val="16"/>
        </w:rPr>
        <w:t xml:space="preserve">8.1.2025.: </w:t>
      </w:r>
      <w:hyperlink r:id="rId179" w:history="1">
        <w:r w:rsidRPr="00184A8E">
          <w:rPr>
            <w:rFonts w:ascii="Arial" w:eastAsia="Calibri" w:hAnsi="Arial" w:cs="Arial"/>
            <w:b/>
            <w:color w:val="0000FF"/>
            <w:sz w:val="16"/>
            <w:szCs w:val="16"/>
            <w:u w:val="single"/>
          </w:rPr>
          <w:t>https://www.opcinakonavle.hr/komasacija-konavoskog-polja/</w:t>
        </w:r>
      </w:hyperlink>
    </w:p>
    <w:p w14:paraId="4AD0F165" w14:textId="77777777" w:rsidR="00184A8E" w:rsidRPr="00184A8E" w:rsidRDefault="00184A8E" w:rsidP="00184A8E">
      <w:pPr>
        <w:spacing w:after="0" w:line="240" w:lineRule="auto"/>
        <w:jc w:val="both"/>
        <w:rPr>
          <w:rFonts w:ascii="Arial" w:eastAsia="Calibri" w:hAnsi="Arial" w:cs="Arial"/>
          <w:bCs/>
          <w:sz w:val="16"/>
          <w:szCs w:val="16"/>
        </w:rPr>
      </w:pPr>
    </w:p>
    <w:p w14:paraId="4CC97B4B"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Geodetski zavod Rijeka izabran je za provedbu projekta komasacije za dio Konavoskog polja, a ugovor su potpisali, ministar u Ministarstvu poljoprivrede, šumarstva i ribarstva te, član uprave Geodetskog zavoda Rijeka, temeljem prethodno provedene javne nabave za odabir izvršitelja.</w:t>
      </w:r>
    </w:p>
    <w:p w14:paraId="688BD0A6" w14:textId="77777777" w:rsidR="00184A8E" w:rsidRPr="00184A8E" w:rsidRDefault="00184A8E" w:rsidP="00184A8E">
      <w:pPr>
        <w:spacing w:after="0" w:line="240" w:lineRule="auto"/>
        <w:jc w:val="both"/>
        <w:rPr>
          <w:rFonts w:ascii="Arial" w:eastAsia="Calibri" w:hAnsi="Arial" w:cs="Arial"/>
          <w:bCs/>
          <w:sz w:val="16"/>
          <w:szCs w:val="16"/>
        </w:rPr>
      </w:pPr>
    </w:p>
    <w:p w14:paraId="56D0596E"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Sukladno predmetnom ugovoru rokovi za izvršenje radova su šest mjeseci od potpisivanja ugovora za izradu Projekta komasacije, rok za izvođenje stručnih geodetskih poslova provedbe komasacije je najkasnije do 30. lipnja 2025., a provedbu komasacije u katastru i zemljišnoj knjizi, s otklonjenim eventualnim primjedbama, treba provesti najkasnije do kraja 2025.</w:t>
      </w:r>
    </w:p>
    <w:p w14:paraId="1203A4BC" w14:textId="77777777" w:rsidR="00184A8E" w:rsidRPr="00184A8E" w:rsidRDefault="00184A8E" w:rsidP="00184A8E">
      <w:pPr>
        <w:spacing w:after="0" w:line="240" w:lineRule="auto"/>
        <w:jc w:val="both"/>
        <w:rPr>
          <w:rFonts w:ascii="Arial" w:eastAsia="Calibri" w:hAnsi="Arial" w:cs="Arial"/>
          <w:bCs/>
          <w:sz w:val="16"/>
          <w:szCs w:val="16"/>
        </w:rPr>
      </w:pPr>
    </w:p>
    <w:p w14:paraId="30D3769F"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Inače, još prethodno, Općina Konavle je Zakonom o poljoprivrednom zemljištu iz 2018. godine dobila mogućnost raspolaganja poljoprivrednim zemljištem u vlasništvu RH. Analizirajući zatečeno stanje i uvidjevši mnoštvo malih, rascjepkanih čestica kompleksne strukture vlasništva, u suradnji s Dubrovačko- neretvanskom županijom i Ministarstvom poljoprivrede te Hrvatskim vodama, Općina Konavle je donijela odluku o neminovnosti komasiranja zemljišta, kako bi se stvorili uvjeti za poljoprivredno obrađivanje.</w:t>
      </w:r>
    </w:p>
    <w:p w14:paraId="3B7A7FB0" w14:textId="77777777" w:rsidR="00184A8E" w:rsidRPr="00184A8E" w:rsidRDefault="00184A8E" w:rsidP="00184A8E">
      <w:pPr>
        <w:spacing w:after="0" w:line="240" w:lineRule="auto"/>
        <w:jc w:val="both"/>
        <w:rPr>
          <w:rFonts w:ascii="Arial" w:eastAsia="Calibri" w:hAnsi="Arial" w:cs="Arial"/>
          <w:bCs/>
          <w:sz w:val="16"/>
          <w:szCs w:val="16"/>
        </w:rPr>
      </w:pPr>
    </w:p>
    <w:p w14:paraId="6581592E"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Još tada su započele prve aktivnosti na realizaciji projekta sukladno Zakonu o komasaciji poljoprivrednog zemljišta, u prvom koraku detaljnom analizom vlasničke strukture. Komasacijsko područje definirano je po granici zemljišta koje je za vrijeme bivše države bilo nacionalizirano, pa je slijedom toga ostalo u pretežito državnom vlasništvu. Nadalje, analizom vlasničke strukture je utvrđeno je da se na predmetnom komasacijskom području površine 477,6 hektara, prema sadašnjem stanju, nalazi preko tri tisuće čestica s 1235 upisanih (su)vlasnika. To dovoljno govori o nužnoj potrebi komasiranja odabranog zemljišta i o koliko zahtjevnom poslu se radi, ali je definitivno jedan od osnovnih preduvjeta za razvoj poljoprivrede na ovom području.</w:t>
      </w:r>
    </w:p>
    <w:p w14:paraId="2E47162D" w14:textId="77777777" w:rsidR="00184A8E" w:rsidRPr="00184A8E" w:rsidRDefault="00184A8E" w:rsidP="00184A8E">
      <w:pPr>
        <w:spacing w:after="0" w:line="240" w:lineRule="auto"/>
        <w:jc w:val="both"/>
        <w:rPr>
          <w:rFonts w:ascii="Arial" w:eastAsia="Calibri" w:hAnsi="Arial" w:cs="Arial"/>
          <w:bCs/>
          <w:sz w:val="16"/>
          <w:szCs w:val="16"/>
        </w:rPr>
      </w:pPr>
    </w:p>
    <w:p w14:paraId="782A755D"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Svrha komasacije je omogućavanje ekonomičnijeg iskorištavanja poljoprivrednog zemljišta uz povoljnije uvjete za poljoprivrednu proizvodnju i ruralni razvoj, čime se povećava kvaliteta života u ruralnim područjima.</w:t>
      </w:r>
    </w:p>
    <w:p w14:paraId="0FE579C2"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 xml:space="preserve">Više o postupcima komasacije može se pronaći na link-u: </w:t>
      </w:r>
      <w:hyperlink r:id="rId180" w:history="1">
        <w:r w:rsidRPr="00184A8E">
          <w:rPr>
            <w:rFonts w:ascii="Arial" w:eastAsia="Calibri" w:hAnsi="Arial" w:cs="Arial"/>
            <w:bCs/>
            <w:color w:val="0000FF"/>
            <w:sz w:val="16"/>
            <w:szCs w:val="16"/>
            <w:u w:val="single"/>
          </w:rPr>
          <w:t>https://poljoprivreda.gov.hr/istaknute-teme/poljoprivreda-173/poljoprivredno-zemljiste/komasacija-poljoprivrednog-zemljista/6441</w:t>
        </w:r>
      </w:hyperlink>
    </w:p>
    <w:p w14:paraId="717CBC73" w14:textId="77777777" w:rsidR="00184A8E" w:rsidRPr="00184A8E" w:rsidRDefault="00184A8E" w:rsidP="00184A8E">
      <w:pPr>
        <w:spacing w:after="0" w:line="240" w:lineRule="auto"/>
        <w:jc w:val="both"/>
        <w:rPr>
          <w:rFonts w:ascii="Arial" w:eastAsia="Calibri" w:hAnsi="Arial" w:cs="Arial"/>
          <w:bCs/>
          <w:sz w:val="16"/>
          <w:szCs w:val="16"/>
        </w:rPr>
      </w:pPr>
    </w:p>
    <w:p w14:paraId="595671BA"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Relevantna dokumentacija:</w:t>
      </w:r>
    </w:p>
    <w:p w14:paraId="6455C06A"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 xml:space="preserve">16.1.2024. </w:t>
      </w:r>
      <w:hyperlink r:id="rId181" w:history="1">
        <w:r w:rsidRPr="00184A8E">
          <w:rPr>
            <w:rFonts w:ascii="Arial" w:eastAsia="Calibri" w:hAnsi="Arial" w:cs="Arial"/>
            <w:bCs/>
            <w:color w:val="0000FF"/>
            <w:sz w:val="16"/>
            <w:szCs w:val="16"/>
            <w:u w:val="single"/>
          </w:rPr>
          <w:t>Odluka o nabavi usluge izrade odgovarajuće dokumentacije te osnivanju i imenovanju Povjerenstva za komasaciju – Općina Konavle</w:t>
        </w:r>
      </w:hyperlink>
    </w:p>
    <w:p w14:paraId="48C3862A"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 3.9.2024. – Ugovor Ev.br. 12/2024/VV Nabava usluge izrade prijedloga Projekta komasacije i provedba komasacije Grupa 1 – Usluga izrade prijedloga Projekta komasacije i usluga provedbe komasacije na području Općine Konavle, između Ministarstva poljoprivrede, šumarstva i ribarstva kao Naručitelja i GEODETSKI ZAVOD RIJEKA d.o.o. kao Izvršitelja</w:t>
      </w:r>
    </w:p>
    <w:p w14:paraId="0FFEC311"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 28.11.2024.  </w:t>
      </w:r>
      <w:hyperlink r:id="rId182" w:history="1">
        <w:r w:rsidRPr="00184A8E">
          <w:rPr>
            <w:rFonts w:ascii="Arial" w:eastAsia="Calibri" w:hAnsi="Arial" w:cs="Arial"/>
            <w:bCs/>
            <w:color w:val="0000FF"/>
            <w:sz w:val="16"/>
            <w:szCs w:val="16"/>
            <w:u w:val="single"/>
          </w:rPr>
          <w:t>Odluka o imenovanju člana Povjerenstva za komasaciju – Općina Konavle </w:t>
        </w:r>
      </w:hyperlink>
    </w:p>
    <w:p w14:paraId="3B8E136E"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 xml:space="preserve">– 20.02.2025. </w:t>
      </w:r>
      <w:hyperlink r:id="rId183" w:history="1">
        <w:r w:rsidRPr="00184A8E">
          <w:rPr>
            <w:rFonts w:ascii="Arial" w:eastAsia="Calibri" w:hAnsi="Arial" w:cs="Arial"/>
            <w:bCs/>
            <w:color w:val="0000FF"/>
            <w:sz w:val="16"/>
            <w:szCs w:val="16"/>
            <w:u w:val="single"/>
          </w:rPr>
          <w:t>Zaključak o postavljanju privremenog zastupnika u postupku komasacije na području Općine Konavle</w:t>
        </w:r>
      </w:hyperlink>
    </w:p>
    <w:p w14:paraId="548C3BE6" w14:textId="77777777" w:rsidR="00184A8E" w:rsidRPr="00184A8E" w:rsidRDefault="00184A8E" w:rsidP="00184A8E">
      <w:pPr>
        <w:spacing w:after="0" w:line="240" w:lineRule="auto"/>
        <w:jc w:val="both"/>
        <w:rPr>
          <w:rFonts w:ascii="Arial" w:eastAsia="Calibri" w:hAnsi="Arial" w:cs="Arial"/>
          <w:bCs/>
          <w:sz w:val="16"/>
          <w:szCs w:val="16"/>
        </w:rPr>
      </w:pPr>
    </w:p>
    <w:p w14:paraId="22E2D7B3" w14:textId="77777777" w:rsidR="00184A8E" w:rsidRPr="00184A8E" w:rsidRDefault="00184A8E" w:rsidP="00184A8E">
      <w:pPr>
        <w:spacing w:after="0" w:line="240" w:lineRule="auto"/>
        <w:jc w:val="center"/>
        <w:rPr>
          <w:rFonts w:ascii="Arial" w:eastAsia="Calibri" w:hAnsi="Arial" w:cs="Arial"/>
          <w:b/>
          <w:sz w:val="16"/>
          <w:szCs w:val="16"/>
        </w:rPr>
      </w:pPr>
      <w:r w:rsidRPr="00184A8E">
        <w:rPr>
          <w:rFonts w:ascii="Arial" w:eastAsia="Calibri" w:hAnsi="Arial" w:cs="Arial"/>
          <w:b/>
          <w:sz w:val="16"/>
          <w:szCs w:val="16"/>
        </w:rPr>
        <w:t xml:space="preserve">2.4.2025.: </w:t>
      </w:r>
      <w:hyperlink r:id="rId184" w:history="1">
        <w:r w:rsidRPr="00184A8E">
          <w:rPr>
            <w:rFonts w:ascii="Arial" w:eastAsia="Calibri" w:hAnsi="Arial" w:cs="Arial"/>
            <w:b/>
            <w:color w:val="0000FF"/>
            <w:sz w:val="16"/>
            <w:szCs w:val="16"/>
            <w:u w:val="single"/>
          </w:rPr>
          <w:t>https://www.opcinakonavle.hr/2025/04/02/poziv-na-skup-sudionika-komasacije-na-podrucju-opcine-konavle/</w:t>
        </w:r>
      </w:hyperlink>
    </w:p>
    <w:p w14:paraId="7379AC24" w14:textId="77777777" w:rsidR="00184A8E" w:rsidRPr="00184A8E" w:rsidRDefault="00184A8E" w:rsidP="00184A8E">
      <w:pPr>
        <w:spacing w:after="0" w:line="240" w:lineRule="auto"/>
        <w:jc w:val="both"/>
        <w:rPr>
          <w:rFonts w:ascii="Arial" w:eastAsia="Calibri" w:hAnsi="Arial" w:cs="Arial"/>
          <w:bCs/>
          <w:sz w:val="16"/>
          <w:szCs w:val="16"/>
        </w:rPr>
      </w:pPr>
    </w:p>
    <w:p w14:paraId="1DCDD12C"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 xml:space="preserve">Ministarstvo poljoprivrede, šumarstva i ribarstva kao nositelj komasacije na odabranom području Općine Konavle pozvalo je na Skup sudionika komasacije koji se održao dana </w:t>
      </w:r>
      <w:r w:rsidRPr="00184A8E">
        <w:rPr>
          <w:rFonts w:ascii="Arial" w:eastAsia="Calibri" w:hAnsi="Arial" w:cs="Arial"/>
          <w:b/>
          <w:bCs/>
          <w:sz w:val="16"/>
          <w:szCs w:val="16"/>
        </w:rPr>
        <w:t>3. travnja 2025. godine u Domu kulture Gruda</w:t>
      </w:r>
      <w:r w:rsidRPr="00184A8E">
        <w:rPr>
          <w:rFonts w:ascii="Arial" w:eastAsia="Calibri" w:hAnsi="Arial" w:cs="Arial"/>
          <w:bCs/>
          <w:sz w:val="16"/>
          <w:szCs w:val="16"/>
        </w:rPr>
        <w:t>, radi predstavljanja Prijedloga projekta komasacije za komasacijsko područje na području Općine Konavle.</w:t>
      </w:r>
    </w:p>
    <w:p w14:paraId="7BDE54A1"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Sudionici komasacije su osobe koje su vlasnici zemljišta ili nositelji prava građenja na zemljištu unesenom u komasacijsku gromadu te osobe koje su na temelju provedene komasacije ostvarile pravo na dodjelu zemljišta iz komasacijske gromade kao sudionik komasacije.</w:t>
      </w:r>
    </w:p>
    <w:p w14:paraId="1B61A7EA"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Trebalo je donijeti osobne identifikacijske isprave i druge dokaze o činjenicama u vezi poljoprivrednog zemljišta u postupku komasacije.</w:t>
      </w:r>
    </w:p>
    <w:p w14:paraId="0C738691"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Na predstavljeni Prijedlog projekta komasacije mogli su se podnijeti pisani prijedlozi i primjedbe Nositelju komasacije najkasnije u roku od 15 dana od dana održavanja Skupa.</w:t>
      </w:r>
    </w:p>
    <w:p w14:paraId="46FE11E3"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 xml:space="preserve">Poziv se može pronaći </w:t>
      </w:r>
      <w:hyperlink r:id="rId185" w:history="1">
        <w:r w:rsidRPr="00184A8E">
          <w:rPr>
            <w:rFonts w:ascii="Arial" w:eastAsia="Calibri" w:hAnsi="Arial" w:cs="Arial"/>
            <w:bCs/>
            <w:color w:val="0000FF"/>
            <w:sz w:val="16"/>
            <w:szCs w:val="16"/>
            <w:u w:val="single"/>
          </w:rPr>
          <w:t>OVDJE</w:t>
        </w:r>
      </w:hyperlink>
      <w:r w:rsidRPr="00184A8E">
        <w:rPr>
          <w:rFonts w:ascii="Arial" w:eastAsia="Calibri" w:hAnsi="Arial" w:cs="Arial"/>
          <w:bCs/>
          <w:sz w:val="16"/>
          <w:szCs w:val="16"/>
        </w:rPr>
        <w:t>.</w:t>
      </w:r>
    </w:p>
    <w:p w14:paraId="1C01078F" w14:textId="77777777" w:rsidR="00184A8E" w:rsidRPr="00184A8E" w:rsidRDefault="00184A8E" w:rsidP="00184A8E">
      <w:pPr>
        <w:spacing w:after="0" w:line="240" w:lineRule="auto"/>
        <w:jc w:val="both"/>
        <w:rPr>
          <w:rFonts w:ascii="Arial" w:eastAsia="Calibri" w:hAnsi="Arial" w:cs="Arial"/>
          <w:bCs/>
          <w:sz w:val="16"/>
          <w:szCs w:val="16"/>
        </w:rPr>
      </w:pPr>
    </w:p>
    <w:p w14:paraId="6E8BC779" w14:textId="77777777" w:rsidR="00184A8E" w:rsidRPr="00184A8E" w:rsidRDefault="00184A8E" w:rsidP="00184A8E">
      <w:pPr>
        <w:spacing w:after="0" w:line="240" w:lineRule="auto"/>
        <w:jc w:val="center"/>
        <w:rPr>
          <w:rFonts w:ascii="Arial" w:eastAsia="Calibri" w:hAnsi="Arial" w:cs="Arial"/>
          <w:b/>
          <w:sz w:val="16"/>
          <w:szCs w:val="16"/>
        </w:rPr>
      </w:pPr>
      <w:r w:rsidRPr="00184A8E">
        <w:rPr>
          <w:rFonts w:ascii="Arial" w:eastAsia="Calibri" w:hAnsi="Arial" w:cs="Arial"/>
          <w:b/>
          <w:sz w:val="16"/>
          <w:szCs w:val="16"/>
        </w:rPr>
        <w:t xml:space="preserve">14.4.2025:  </w:t>
      </w:r>
      <w:hyperlink r:id="rId186" w:history="1">
        <w:r w:rsidRPr="00184A8E">
          <w:rPr>
            <w:rFonts w:ascii="Arial" w:eastAsia="Calibri" w:hAnsi="Arial" w:cs="Arial"/>
            <w:b/>
            <w:color w:val="0000FF"/>
            <w:sz w:val="16"/>
            <w:szCs w:val="16"/>
            <w:u w:val="single"/>
          </w:rPr>
          <w:t>https://www.opcinakonavle.hr/2025/04/14/vazne-upute-za-sudionike-komasacije-na-podrucju-konavoskog-polja/</w:t>
        </w:r>
      </w:hyperlink>
    </w:p>
    <w:p w14:paraId="03705496" w14:textId="77777777" w:rsidR="00184A8E" w:rsidRPr="00184A8E" w:rsidRDefault="00184A8E" w:rsidP="00184A8E">
      <w:pPr>
        <w:spacing w:after="0" w:line="240" w:lineRule="auto"/>
        <w:jc w:val="both"/>
        <w:rPr>
          <w:rFonts w:ascii="Arial" w:eastAsia="Calibri" w:hAnsi="Arial" w:cs="Arial"/>
          <w:bCs/>
          <w:sz w:val="16"/>
          <w:szCs w:val="16"/>
        </w:rPr>
      </w:pPr>
    </w:p>
    <w:p w14:paraId="0769BA10"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 xml:space="preserve">Pozvani su svi sudionici komasacije na komasacijskom području Konavoskog polja na dostavu pisanih prijedloga ili primjedbi nositelju komasacije Ministarstvu poljoprivrede, šumarstva i ribarstva. Pisane prijedloge na prezentirani prijedlog projekta komasacije trebalo je dostaviti elektronskom poštom na adresu </w:t>
      </w:r>
      <w:hyperlink r:id="rId187" w:history="1">
        <w:r w:rsidRPr="00184A8E">
          <w:rPr>
            <w:rFonts w:ascii="Arial" w:eastAsia="Calibri" w:hAnsi="Arial" w:cs="Arial"/>
            <w:bCs/>
            <w:color w:val="0000FF"/>
            <w:sz w:val="16"/>
            <w:szCs w:val="16"/>
            <w:u w:val="single"/>
          </w:rPr>
          <w:t>ante.vukovic@mps.hr</w:t>
        </w:r>
      </w:hyperlink>
      <w:r w:rsidRPr="00184A8E">
        <w:rPr>
          <w:rFonts w:ascii="Arial" w:eastAsia="Calibri" w:hAnsi="Arial" w:cs="Arial"/>
          <w:bCs/>
          <w:sz w:val="16"/>
          <w:szCs w:val="16"/>
        </w:rPr>
        <w:t xml:space="preserve"> ili preporučenom poštom na adresu: Ministarstvo poljoprivrede, šumarstva i ribarstva, Uprava za poljoprivredno zemljište, biljnu proizvodnju i tržište, Ulica Grada Vukovara 78, 10 000 Zagreb.</w:t>
      </w:r>
    </w:p>
    <w:p w14:paraId="7E13BACC" w14:textId="77777777" w:rsidR="00184A8E" w:rsidRPr="00184A8E" w:rsidRDefault="00184A8E" w:rsidP="00184A8E">
      <w:pPr>
        <w:spacing w:after="0" w:line="240" w:lineRule="auto"/>
        <w:jc w:val="both"/>
        <w:rPr>
          <w:rFonts w:ascii="Arial" w:eastAsia="Calibri" w:hAnsi="Arial" w:cs="Arial"/>
          <w:bCs/>
          <w:sz w:val="16"/>
          <w:szCs w:val="16"/>
        </w:rPr>
      </w:pPr>
    </w:p>
    <w:p w14:paraId="55F20CC8"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 xml:space="preserve">Sudionici su pozvani da podnesu zahtjev za promjenom (dopunom) osobnih podataka u službenim evidencijama zemljišne knjige. Za dodatne informacije može se obratiti na adresu elektronske pošte stručnog izrađivača komasacije </w:t>
      </w:r>
      <w:hyperlink r:id="rId188" w:history="1">
        <w:r w:rsidRPr="00184A8E">
          <w:rPr>
            <w:rFonts w:ascii="Arial" w:eastAsia="Calibri" w:hAnsi="Arial" w:cs="Arial"/>
            <w:bCs/>
            <w:color w:val="0000FF"/>
            <w:sz w:val="16"/>
            <w:szCs w:val="16"/>
            <w:u w:val="single"/>
          </w:rPr>
          <w:t>komasacija@gzr.hr</w:t>
        </w:r>
      </w:hyperlink>
      <w:r w:rsidRPr="00184A8E">
        <w:rPr>
          <w:rFonts w:ascii="Arial" w:eastAsia="Calibri" w:hAnsi="Arial" w:cs="Arial"/>
          <w:bCs/>
          <w:sz w:val="16"/>
          <w:szCs w:val="16"/>
        </w:rPr>
        <w:t xml:space="preserve"> ili broj telefona (051) 401 432 (Geodetski zavod Rijeka).</w:t>
      </w:r>
    </w:p>
    <w:p w14:paraId="41E14B6B" w14:textId="77777777" w:rsidR="00184A8E" w:rsidRPr="00184A8E" w:rsidRDefault="00184A8E" w:rsidP="00184A8E">
      <w:pPr>
        <w:spacing w:after="0" w:line="240" w:lineRule="auto"/>
        <w:jc w:val="both"/>
        <w:rPr>
          <w:rFonts w:ascii="Arial" w:eastAsia="Calibri" w:hAnsi="Arial" w:cs="Arial"/>
          <w:bCs/>
          <w:sz w:val="16"/>
          <w:szCs w:val="16"/>
        </w:rPr>
      </w:pPr>
    </w:p>
    <w:p w14:paraId="7B171DE3" w14:textId="77777777" w:rsidR="00184A8E" w:rsidRPr="00184A8E" w:rsidRDefault="00184A8E" w:rsidP="00184A8E">
      <w:pPr>
        <w:spacing w:after="0" w:line="240" w:lineRule="auto"/>
        <w:jc w:val="both"/>
        <w:rPr>
          <w:rFonts w:ascii="Arial" w:eastAsia="Calibri" w:hAnsi="Arial" w:cs="Arial"/>
          <w:bCs/>
          <w:sz w:val="16"/>
          <w:szCs w:val="16"/>
        </w:rPr>
      </w:pPr>
      <w:r w:rsidRPr="00184A8E">
        <w:rPr>
          <w:rFonts w:ascii="Arial" w:eastAsia="Calibri" w:hAnsi="Arial" w:cs="Arial"/>
          <w:bCs/>
          <w:sz w:val="16"/>
          <w:szCs w:val="16"/>
        </w:rPr>
        <w:t>Prijedlog nositelja komasacije je da minimalna površina novoformirane čestice iznosi 500 m². Ukoliko je udio zemljišta koji se unosi u komasaciju manji od navedene površine prijedlog je da se dodijeli zemljište formirano na jednoj katastarskoj čestici u kojoj bi korisnik bio upisan u suvlasništvu s ostalim sudionicama komasacije čija je površina također manja od 500 m². Međutim, ostavljena je mogućnost da se formira zasebna katastarska čestica od minimalno navedenih 500 m² na način da se navedena površina dosegne s drugim sudionikom ili sudionicama sukladno vašem zajedničkom dogovoru (izjavama sudionika i dostavi potrebnih obrazaca). Rok za podnošenje svih prethodno pobrojanih ili bilo kojih drugih prijedloga i prijava je bio zaključno s 18. travnja 2025.</w:t>
      </w:r>
    </w:p>
    <w:p w14:paraId="40E27B63" w14:textId="77777777" w:rsidR="00184A8E" w:rsidRPr="00184A8E" w:rsidRDefault="00184A8E" w:rsidP="00184A8E">
      <w:pPr>
        <w:shd w:val="clear" w:color="auto" w:fill="FFFFFF"/>
        <w:spacing w:after="0" w:line="240" w:lineRule="auto"/>
        <w:rPr>
          <w:rFonts w:ascii="Source Sans Pro" w:eastAsia="Times New Roman" w:hAnsi="Source Sans Pro" w:cs="Times New Roman"/>
          <w:color w:val="444444"/>
          <w:sz w:val="16"/>
          <w:szCs w:val="16"/>
        </w:rPr>
      </w:pPr>
      <w:hyperlink r:id="rId189" w:history="1">
        <w:r w:rsidRPr="00184A8E">
          <w:rPr>
            <w:rFonts w:ascii="Source Sans Pro" w:eastAsia="Times New Roman" w:hAnsi="Source Sans Pro" w:cs="Times New Roman"/>
            <w:color w:val="2D87CC"/>
            <w:sz w:val="16"/>
            <w:szCs w:val="16"/>
            <w:u w:val="single"/>
          </w:rPr>
          <w:t>PREGLEDNA KARTA_Komasacija Konavoskog polja</w:t>
        </w:r>
      </w:hyperlink>
      <w:r w:rsidRPr="00184A8E">
        <w:t xml:space="preserve">   //  </w:t>
      </w:r>
      <w:r w:rsidRPr="00184A8E">
        <w:tab/>
      </w:r>
      <w:hyperlink r:id="rId190" w:history="1">
        <w:r w:rsidRPr="00184A8E">
          <w:rPr>
            <w:rFonts w:ascii="Source Sans Pro" w:eastAsia="Times New Roman" w:hAnsi="Source Sans Pro" w:cs="Times New Roman"/>
            <w:color w:val="2D87CC"/>
            <w:sz w:val="16"/>
            <w:szCs w:val="16"/>
            <w:u w:val="single"/>
          </w:rPr>
          <w:t>POPIS osoba s povrsinom manjom od 500 kvadrata</w:t>
        </w:r>
      </w:hyperlink>
      <w:r w:rsidRPr="00184A8E">
        <w:tab/>
      </w:r>
      <w:r w:rsidRPr="00184A8E">
        <w:tab/>
        <w:t xml:space="preserve">// </w:t>
      </w:r>
      <w:hyperlink r:id="rId191" w:history="1">
        <w:r w:rsidRPr="00184A8E">
          <w:rPr>
            <w:rFonts w:ascii="Source Sans Pro" w:eastAsia="Times New Roman" w:hAnsi="Source Sans Pro" w:cs="Times New Roman"/>
            <w:color w:val="2D87CC"/>
            <w:sz w:val="16"/>
            <w:szCs w:val="16"/>
            <w:u w:val="single"/>
          </w:rPr>
          <w:t>POPIS osoba s nepotpunim podacima</w:t>
        </w:r>
      </w:hyperlink>
    </w:p>
    <w:p w14:paraId="4BA44A6C" w14:textId="77777777" w:rsidR="00184A8E" w:rsidRPr="00184A8E" w:rsidRDefault="00184A8E" w:rsidP="00184A8E">
      <w:pPr>
        <w:shd w:val="clear" w:color="auto" w:fill="FFFFFF"/>
        <w:spacing w:after="0" w:line="240" w:lineRule="auto"/>
        <w:rPr>
          <w:rFonts w:ascii="Source Sans Pro" w:eastAsia="Times New Roman" w:hAnsi="Source Sans Pro" w:cs="Times New Roman"/>
          <w:color w:val="444444"/>
          <w:sz w:val="16"/>
          <w:szCs w:val="16"/>
        </w:rPr>
      </w:pPr>
      <w:hyperlink r:id="rId192" w:history="1">
        <w:r w:rsidRPr="00184A8E">
          <w:rPr>
            <w:rFonts w:ascii="Source Sans Pro" w:eastAsia="Times New Roman" w:hAnsi="Source Sans Pro" w:cs="Times New Roman"/>
            <w:color w:val="2D87CC"/>
            <w:sz w:val="16"/>
            <w:szCs w:val="16"/>
            <w:u w:val="single"/>
          </w:rPr>
          <w:t>IZJAVA_ formiranje dogovorne cestice</w:t>
        </w:r>
      </w:hyperlink>
      <w:r w:rsidRPr="00184A8E">
        <w:tab/>
      </w:r>
      <w:r w:rsidRPr="00184A8E">
        <w:tab/>
        <w:t xml:space="preserve">// </w:t>
      </w:r>
      <w:r w:rsidRPr="00184A8E">
        <w:tab/>
      </w:r>
      <w:hyperlink r:id="rId193" w:history="1">
        <w:r w:rsidRPr="00184A8E">
          <w:rPr>
            <w:rFonts w:ascii="Source Sans Pro" w:eastAsia="Times New Roman" w:hAnsi="Source Sans Pro" w:cs="Times New Roman"/>
            <w:color w:val="2D87CC"/>
            <w:sz w:val="16"/>
            <w:szCs w:val="16"/>
            <w:u w:val="single"/>
          </w:rPr>
          <w:t>Popis sudionika komasacije s upisanim adresama koji imaju preko 500 procjembenih jedinica</w:t>
        </w:r>
      </w:hyperlink>
    </w:p>
    <w:p w14:paraId="69C2A7D3" w14:textId="77777777" w:rsidR="00015580" w:rsidRDefault="00015580" w:rsidP="00184A8E">
      <w:pPr>
        <w:spacing w:after="0" w:line="240" w:lineRule="auto"/>
        <w:jc w:val="both"/>
        <w:rPr>
          <w:rFonts w:ascii="Arial" w:eastAsia="Calibri" w:hAnsi="Arial" w:cs="Arial"/>
          <w:bCs/>
          <w:sz w:val="20"/>
          <w:szCs w:val="20"/>
        </w:rPr>
      </w:pPr>
    </w:p>
    <w:p w14:paraId="70B256D7" w14:textId="50167F6A" w:rsidR="00015580" w:rsidRPr="00015580" w:rsidRDefault="00015580" w:rsidP="00015580">
      <w:pPr>
        <w:spacing w:after="0" w:line="240" w:lineRule="auto"/>
        <w:jc w:val="center"/>
        <w:rPr>
          <w:rFonts w:ascii="Arial" w:eastAsia="Calibri" w:hAnsi="Arial" w:cs="Arial"/>
          <w:b/>
          <w:sz w:val="16"/>
          <w:szCs w:val="16"/>
        </w:rPr>
      </w:pPr>
      <w:r>
        <w:rPr>
          <w:rFonts w:ascii="Arial" w:eastAsia="Calibri" w:hAnsi="Arial" w:cs="Arial"/>
          <w:b/>
          <w:sz w:val="16"/>
          <w:szCs w:val="16"/>
        </w:rPr>
        <w:t>22.3.2026.</w:t>
      </w:r>
      <w:r>
        <w:rPr>
          <w:rFonts w:ascii="Arial" w:eastAsia="Calibri" w:hAnsi="Arial" w:cs="Arial"/>
          <w:bCs/>
          <w:sz w:val="20"/>
          <w:szCs w:val="20"/>
        </w:rPr>
        <w:t xml:space="preserve"> </w:t>
      </w:r>
      <w:hyperlink r:id="rId194" w:history="1">
        <w:r w:rsidRPr="00015580">
          <w:rPr>
            <w:rStyle w:val="Hiperveza"/>
            <w:rFonts w:ascii="Arial" w:eastAsia="Calibri" w:hAnsi="Arial" w:cs="Arial"/>
            <w:b/>
            <w:sz w:val="16"/>
            <w:szCs w:val="16"/>
          </w:rPr>
          <w:t>https://www.opcinakonavle.hr/2026/03/22/komasacija-ovdje-potrazite-svoju-parcelu-nakon-prijedloga-nadiobe-zemljista-u-konavoskom-polju/</w:t>
        </w:r>
      </w:hyperlink>
    </w:p>
    <w:p w14:paraId="3F32B087" w14:textId="77777777" w:rsidR="00015580" w:rsidRPr="0022604B" w:rsidRDefault="00015580" w:rsidP="00015580">
      <w:pPr>
        <w:spacing w:after="0" w:line="240" w:lineRule="auto"/>
        <w:jc w:val="center"/>
        <w:rPr>
          <w:rFonts w:ascii="Arial" w:eastAsia="Calibri" w:hAnsi="Arial" w:cs="Arial"/>
          <w:bCs/>
          <w:sz w:val="14"/>
          <w:szCs w:val="14"/>
        </w:rPr>
      </w:pPr>
    </w:p>
    <w:p w14:paraId="6EEC9A50" w14:textId="77777777" w:rsidR="00015580" w:rsidRPr="00015580" w:rsidRDefault="00015580" w:rsidP="00015580">
      <w:pPr>
        <w:spacing w:after="0" w:line="240" w:lineRule="auto"/>
        <w:jc w:val="both"/>
        <w:rPr>
          <w:rFonts w:ascii="Arial" w:eastAsia="Calibri" w:hAnsi="Arial" w:cs="Arial"/>
          <w:bCs/>
          <w:sz w:val="16"/>
          <w:szCs w:val="16"/>
        </w:rPr>
      </w:pPr>
      <w:r w:rsidRPr="00015580">
        <w:rPr>
          <w:rFonts w:ascii="Arial" w:eastAsia="Calibri" w:hAnsi="Arial" w:cs="Arial"/>
          <w:bCs/>
          <w:sz w:val="16"/>
          <w:szCs w:val="16"/>
        </w:rPr>
        <w:t>Nastavno na održani skup sudionika komasacije u nastavku vam donosimo preglednu kartu i kazalo prijedloga nadiobe izrađenog na temelju Projekta komasacije na području Općine Konavle.</w:t>
      </w:r>
    </w:p>
    <w:p w14:paraId="05E8F2CA" w14:textId="77777777" w:rsidR="00015580" w:rsidRPr="00015580" w:rsidRDefault="00015580" w:rsidP="00015580">
      <w:pPr>
        <w:spacing w:after="0" w:line="240" w:lineRule="auto"/>
        <w:jc w:val="both"/>
        <w:rPr>
          <w:rFonts w:ascii="Arial" w:eastAsia="Calibri" w:hAnsi="Arial" w:cs="Arial"/>
          <w:bCs/>
          <w:sz w:val="16"/>
          <w:szCs w:val="16"/>
        </w:rPr>
      </w:pPr>
      <w:r w:rsidRPr="00015580">
        <w:rPr>
          <w:rFonts w:ascii="Arial" w:eastAsia="Calibri" w:hAnsi="Arial" w:cs="Arial"/>
          <w:bCs/>
          <w:sz w:val="16"/>
          <w:szCs w:val="16"/>
        </w:rPr>
        <w:t>Svi sudionici komasacije koji imaju primjedbu ili prijedlog na predloženu nadiobu istu mogu uputiti na e-mail adresu izrađivača komasacije: komasacija@gzr.hr (Geodetski zavod Rijeka), najkasnije u roku od 15 dana od održavanja skupa.</w:t>
      </w:r>
    </w:p>
    <w:p w14:paraId="54B6EF72" w14:textId="77777777" w:rsidR="00015580" w:rsidRPr="00015580" w:rsidRDefault="00015580" w:rsidP="00015580">
      <w:pPr>
        <w:spacing w:after="0" w:line="240" w:lineRule="auto"/>
        <w:jc w:val="both"/>
        <w:rPr>
          <w:rFonts w:ascii="Arial" w:eastAsia="Calibri" w:hAnsi="Arial" w:cs="Arial"/>
          <w:bCs/>
          <w:sz w:val="16"/>
          <w:szCs w:val="16"/>
        </w:rPr>
      </w:pPr>
      <w:r w:rsidRPr="00015580">
        <w:rPr>
          <w:rFonts w:ascii="Arial" w:eastAsia="Calibri" w:hAnsi="Arial" w:cs="Arial"/>
          <w:bCs/>
          <w:sz w:val="16"/>
          <w:szCs w:val="16"/>
        </w:rPr>
        <w:t>Cilj komasacije je okrupnjavanje poljoprivrednog zemljišta u dijelu Konavoskog polja, na području katastarskih općina: k.o. Komaji, k.o. Pridvorje, k.o. Lovorno, k.o. Popovići, k.o. Gruda, k.o. Mihanići i k.o. Radovčići, na površini od 477,6 hektara.</w:t>
      </w:r>
    </w:p>
    <w:p w14:paraId="090CCDDF" w14:textId="77777777" w:rsidR="00015580" w:rsidRPr="00015580" w:rsidRDefault="00015580" w:rsidP="00015580">
      <w:pPr>
        <w:spacing w:after="0" w:line="240" w:lineRule="auto"/>
        <w:jc w:val="both"/>
        <w:rPr>
          <w:rFonts w:ascii="Arial" w:eastAsia="Calibri" w:hAnsi="Arial" w:cs="Arial"/>
          <w:bCs/>
          <w:sz w:val="16"/>
          <w:szCs w:val="16"/>
        </w:rPr>
      </w:pPr>
      <w:r w:rsidRPr="00015580">
        <w:rPr>
          <w:rFonts w:ascii="Arial" w:eastAsia="Calibri" w:hAnsi="Arial" w:cs="Arial"/>
          <w:bCs/>
          <w:sz w:val="16"/>
          <w:szCs w:val="16"/>
        </w:rPr>
        <w:t>Provedbom komasacije stvaraju se povoljniji uvjeti za razvoj poljoprivredne proizvodnje formiranjem većih i pravilnijih katastarskih čestica, izgradnjom poljoprivrednih puteva, vodnih građevina za melioraciju te izvođenjem drugih radova na uređenju zemljišta namijenjenog poljoprivredi, pri čemu se posvećuje dužna pozornost očuvanju obilježja krajobraza.</w:t>
      </w:r>
    </w:p>
    <w:p w14:paraId="4B42953D" w14:textId="77777777" w:rsidR="00015580" w:rsidRPr="00015580" w:rsidRDefault="00015580" w:rsidP="00015580">
      <w:pPr>
        <w:spacing w:after="0" w:line="240" w:lineRule="auto"/>
        <w:jc w:val="both"/>
        <w:rPr>
          <w:rFonts w:ascii="Arial" w:eastAsia="Calibri" w:hAnsi="Arial" w:cs="Arial"/>
          <w:bCs/>
          <w:sz w:val="16"/>
          <w:szCs w:val="16"/>
        </w:rPr>
      </w:pPr>
      <w:r w:rsidRPr="00015580">
        <w:rPr>
          <w:rFonts w:ascii="Arial" w:eastAsia="Calibri" w:hAnsi="Arial" w:cs="Arial"/>
          <w:bCs/>
          <w:sz w:val="16"/>
          <w:szCs w:val="16"/>
        </w:rPr>
        <w:t>Ovim putem još jednom zahvaljujemo svima koji su sudjelovali na skupu i konstruktivno pridonijeli realizaciji ovog važnog projekta.</w:t>
      </w:r>
    </w:p>
    <w:p w14:paraId="0288DE53" w14:textId="77777777" w:rsidR="0022604B" w:rsidRPr="0022604B" w:rsidRDefault="0022604B" w:rsidP="0022604B">
      <w:pPr>
        <w:shd w:val="clear" w:color="auto" w:fill="FFFFFF"/>
        <w:spacing w:after="0" w:line="240" w:lineRule="auto"/>
        <w:rPr>
          <w:rFonts w:ascii="Source Sans Pro" w:eastAsia="Times New Roman" w:hAnsi="Source Sans Pro" w:cs="Times New Roman"/>
          <w:color w:val="444444"/>
          <w:sz w:val="20"/>
          <w:szCs w:val="20"/>
        </w:rPr>
      </w:pPr>
      <w:r w:rsidRPr="0022604B">
        <w:rPr>
          <w:rFonts w:ascii="Source Sans Pro" w:eastAsia="Times New Roman" w:hAnsi="Source Sans Pro" w:cs="Times New Roman"/>
          <w:color w:val="444444"/>
          <w:sz w:val="20"/>
          <w:szCs w:val="20"/>
        </w:rPr>
        <w:t>Popis čestica provjerite </w:t>
      </w:r>
      <w:hyperlink r:id="rId195" w:history="1">
        <w:r w:rsidRPr="0022604B">
          <w:rPr>
            <w:rFonts w:ascii="Source Sans Pro" w:eastAsia="Times New Roman" w:hAnsi="Source Sans Pro" w:cs="Times New Roman"/>
            <w:color w:val="2D87CC"/>
            <w:sz w:val="20"/>
            <w:szCs w:val="20"/>
            <w:u w:val="single"/>
          </w:rPr>
          <w:t>OVDJE</w:t>
        </w:r>
      </w:hyperlink>
      <w:r w:rsidRPr="0022604B">
        <w:rPr>
          <w:rFonts w:ascii="Source Sans Pro" w:eastAsia="Times New Roman" w:hAnsi="Source Sans Pro" w:cs="Times New Roman"/>
          <w:color w:val="444444"/>
          <w:sz w:val="20"/>
          <w:szCs w:val="20"/>
        </w:rPr>
        <w:t>.</w:t>
      </w:r>
    </w:p>
    <w:p w14:paraId="57C5D5EA" w14:textId="77777777" w:rsidR="0022604B" w:rsidRPr="0022604B" w:rsidRDefault="0022604B" w:rsidP="0022604B">
      <w:pPr>
        <w:shd w:val="clear" w:color="auto" w:fill="FFFFFF"/>
        <w:spacing w:after="0" w:line="240" w:lineRule="auto"/>
        <w:rPr>
          <w:rFonts w:ascii="Source Sans Pro" w:eastAsia="Times New Roman" w:hAnsi="Source Sans Pro" w:cs="Times New Roman"/>
          <w:color w:val="444444"/>
          <w:sz w:val="20"/>
          <w:szCs w:val="20"/>
        </w:rPr>
      </w:pPr>
      <w:r w:rsidRPr="0022604B">
        <w:rPr>
          <w:rFonts w:ascii="Source Sans Pro" w:eastAsia="Times New Roman" w:hAnsi="Source Sans Pro" w:cs="Times New Roman"/>
          <w:color w:val="444444"/>
          <w:sz w:val="20"/>
          <w:szCs w:val="20"/>
        </w:rPr>
        <w:t>Kartu čestica provjerite </w:t>
      </w:r>
      <w:hyperlink r:id="rId196" w:history="1">
        <w:r w:rsidRPr="0022604B">
          <w:rPr>
            <w:rFonts w:ascii="Source Sans Pro" w:eastAsia="Times New Roman" w:hAnsi="Source Sans Pro" w:cs="Times New Roman"/>
            <w:color w:val="2D87CC"/>
            <w:sz w:val="20"/>
            <w:szCs w:val="20"/>
            <w:u w:val="single"/>
          </w:rPr>
          <w:t>OVDJE</w:t>
        </w:r>
      </w:hyperlink>
      <w:r w:rsidRPr="0022604B">
        <w:rPr>
          <w:rFonts w:ascii="Source Sans Pro" w:eastAsia="Times New Roman" w:hAnsi="Source Sans Pro" w:cs="Times New Roman"/>
          <w:color w:val="444444"/>
          <w:sz w:val="20"/>
          <w:szCs w:val="20"/>
        </w:rPr>
        <w:t>.</w:t>
      </w:r>
    </w:p>
    <w:p w14:paraId="01173DEA" w14:textId="77777777" w:rsidR="00015580" w:rsidRDefault="00015580" w:rsidP="00184A8E">
      <w:pPr>
        <w:spacing w:after="0" w:line="240" w:lineRule="auto"/>
        <w:jc w:val="both"/>
        <w:rPr>
          <w:rFonts w:ascii="Arial" w:eastAsia="Calibri" w:hAnsi="Arial" w:cs="Arial"/>
          <w:bCs/>
          <w:sz w:val="20"/>
          <w:szCs w:val="20"/>
        </w:rPr>
      </w:pPr>
    </w:p>
    <w:p w14:paraId="2AC2905B" w14:textId="31D0B8A6"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b/>
          <w:sz w:val="20"/>
          <w:szCs w:val="20"/>
        </w:rPr>
        <w:t>5. A206205: Potpore u poljoprivredi i stočarstvu</w:t>
      </w:r>
      <w:r w:rsidRPr="00184A8E">
        <w:rPr>
          <w:rFonts w:ascii="Arial" w:eastAsia="Calibri" w:hAnsi="Arial" w:cs="Arial"/>
          <w:sz w:val="20"/>
          <w:szCs w:val="20"/>
        </w:rPr>
        <w:t xml:space="preserve"> - u sklopu aktivnosti planiraju se rashodi za subvencije. Ova aktivnost obuhvaća potpore poljoprivrednim gospodarstvima koje su prvotno bile planirane u iznosu </w:t>
      </w:r>
      <w:r w:rsidR="0022604B">
        <w:rPr>
          <w:rFonts w:ascii="Arial" w:eastAsia="Calibri" w:hAnsi="Arial" w:cs="Arial"/>
          <w:sz w:val="20"/>
          <w:szCs w:val="20"/>
        </w:rPr>
        <w:t>20.000</w:t>
      </w:r>
      <w:r w:rsidRPr="00184A8E">
        <w:rPr>
          <w:rFonts w:ascii="Arial" w:eastAsia="Calibri" w:hAnsi="Arial" w:cs="Arial"/>
          <w:sz w:val="20"/>
          <w:szCs w:val="20"/>
        </w:rPr>
        <w:t xml:space="preserve"> €. Za spomenute potpore treba se provesti natječaj sukladno zakonskoj regulativi. Izmjenama i dopunama proračuna rashodi nisu planirani. Rashodi nisu izvršeni. </w:t>
      </w:r>
    </w:p>
    <w:p w14:paraId="0528CE8D" w14:textId="77777777" w:rsidR="00184A8E" w:rsidRPr="00184A8E" w:rsidRDefault="00184A8E" w:rsidP="00184A8E">
      <w:pPr>
        <w:spacing w:after="0" w:line="240" w:lineRule="auto"/>
        <w:ind w:left="567"/>
        <w:jc w:val="both"/>
        <w:rPr>
          <w:rFonts w:ascii="Arial" w:eastAsia="Calibri" w:hAnsi="Arial" w:cs="Arial"/>
          <w:sz w:val="18"/>
          <w:szCs w:val="18"/>
          <w:lang w:eastAsia="en-US"/>
        </w:rPr>
      </w:pPr>
      <w:r w:rsidRPr="00184A8E">
        <w:rPr>
          <w:rFonts w:ascii="Arial" w:eastAsia="Calibri" w:hAnsi="Arial" w:cs="Arial"/>
          <w:sz w:val="18"/>
          <w:szCs w:val="18"/>
          <w:lang w:eastAsia="en-US"/>
        </w:rPr>
        <w:t>Ovom aktivnošću osiguravaju se sredstva za sufinanciranje mjere 1. (uređenje poljoprivrednih zemljišta), 2. (razvoj konkurentne poljoprivredne proizvodnje) i 3. (izgradnja poljoprivrednih objekata) iz Programa mjera u poljoprivredi i ruralnom razvoju Općine Konavle (za 2019. i 2020.g. program bio objavljen u sl.gl. Općine Konavle 1/20).</w:t>
      </w:r>
    </w:p>
    <w:p w14:paraId="0988A263"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
        <w:tblW w:w="14170" w:type="dxa"/>
        <w:jc w:val="center"/>
        <w:tblLayout w:type="fixed"/>
        <w:tblLook w:val="04A0" w:firstRow="1" w:lastRow="0" w:firstColumn="1" w:lastColumn="0" w:noHBand="0" w:noVBand="1"/>
      </w:tblPr>
      <w:tblGrid>
        <w:gridCol w:w="2689"/>
        <w:gridCol w:w="3402"/>
        <w:gridCol w:w="1275"/>
        <w:gridCol w:w="1134"/>
        <w:gridCol w:w="1134"/>
        <w:gridCol w:w="1134"/>
        <w:gridCol w:w="1134"/>
        <w:gridCol w:w="1134"/>
        <w:gridCol w:w="1134"/>
      </w:tblGrid>
      <w:tr w:rsidR="00184A8E" w:rsidRPr="00184A8E" w14:paraId="565E76F1" w14:textId="77777777" w:rsidTr="00410A4B">
        <w:trPr>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9CA550E"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Pokazatelj rezultata</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22DD08E"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Definicija</w:t>
            </w:r>
          </w:p>
        </w:tc>
        <w:tc>
          <w:tcPr>
            <w:tcW w:w="127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2A6A296"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DB84DDF"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2906E1B" w14:textId="216BB24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Polazna vrijednost 202</w:t>
            </w:r>
            <w:r w:rsidR="0022604B">
              <w:rPr>
                <w:rFonts w:ascii="Arial" w:eastAsia="Calibri" w:hAnsi="Arial" w:cs="Arial"/>
                <w:sz w:val="18"/>
                <w:szCs w:val="18"/>
                <w:lang w:eastAsia="en-US"/>
              </w:rPr>
              <w:t>4</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9DCD2A9" w14:textId="7B5FB89A"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22604B">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78A507F" w14:textId="204280DE"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Izvršeno 202</w:t>
            </w:r>
            <w:r w:rsidR="0022604B">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03EED55" w14:textId="3A0ED803"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22604B">
              <w:rPr>
                <w:rFonts w:ascii="Arial" w:eastAsia="Calibri" w:hAnsi="Arial" w:cs="Arial"/>
                <w:sz w:val="18"/>
                <w:szCs w:val="18"/>
                <w:lang w:eastAsia="en-US"/>
              </w:rPr>
              <w:t>6</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9239D83" w14:textId="1CD3FFF8"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22604B">
              <w:rPr>
                <w:rFonts w:ascii="Arial" w:eastAsia="Calibri" w:hAnsi="Arial" w:cs="Arial"/>
                <w:sz w:val="18"/>
                <w:szCs w:val="18"/>
                <w:lang w:eastAsia="en-US"/>
              </w:rPr>
              <w:t>7</w:t>
            </w:r>
            <w:r w:rsidRPr="00184A8E">
              <w:rPr>
                <w:rFonts w:ascii="Arial" w:eastAsia="Calibri" w:hAnsi="Arial" w:cs="Arial"/>
                <w:sz w:val="18"/>
                <w:szCs w:val="18"/>
                <w:lang w:eastAsia="en-US"/>
              </w:rPr>
              <w:t>.</w:t>
            </w:r>
          </w:p>
        </w:tc>
      </w:tr>
      <w:tr w:rsidR="00184A8E" w:rsidRPr="00184A8E" w14:paraId="43B8487B" w14:textId="77777777" w:rsidTr="00410A4B">
        <w:trPr>
          <w:trHeight w:val="274"/>
          <w:jc w:val="center"/>
        </w:trPr>
        <w:tc>
          <w:tcPr>
            <w:tcW w:w="2689" w:type="dxa"/>
            <w:tcBorders>
              <w:top w:val="single" w:sz="4" w:space="0" w:color="auto"/>
              <w:left w:val="single" w:sz="4" w:space="0" w:color="auto"/>
              <w:bottom w:val="single" w:sz="4" w:space="0" w:color="auto"/>
              <w:right w:val="single" w:sz="4" w:space="0" w:color="auto"/>
            </w:tcBorders>
          </w:tcPr>
          <w:p w14:paraId="0105D8EA" w14:textId="77777777" w:rsidR="00184A8E" w:rsidRPr="00184A8E" w:rsidRDefault="00184A8E" w:rsidP="00184A8E">
            <w:pPr>
              <w:rPr>
                <w:rFonts w:ascii="Arial" w:eastAsia="Calibri" w:hAnsi="Arial" w:cs="Arial"/>
                <w:sz w:val="18"/>
                <w:szCs w:val="18"/>
                <w:lang w:eastAsia="en-US"/>
              </w:rPr>
            </w:pPr>
            <w:r w:rsidRPr="00184A8E">
              <w:rPr>
                <w:rFonts w:ascii="Arial" w:hAnsi="Arial" w:cs="Arial"/>
                <w:sz w:val="18"/>
                <w:szCs w:val="18"/>
              </w:rPr>
              <w:t>Obavljanje poslova i postupka vezanih uz financiranje programa i projekata kojima se sufinancira poljoprivreda</w:t>
            </w:r>
          </w:p>
        </w:tc>
        <w:tc>
          <w:tcPr>
            <w:tcW w:w="3402" w:type="dxa"/>
            <w:tcBorders>
              <w:top w:val="single" w:sz="4" w:space="0" w:color="auto"/>
              <w:left w:val="single" w:sz="4" w:space="0" w:color="auto"/>
              <w:bottom w:val="single" w:sz="4" w:space="0" w:color="auto"/>
              <w:right w:val="single" w:sz="4" w:space="0" w:color="auto"/>
            </w:tcBorders>
          </w:tcPr>
          <w:p w14:paraId="585F48EC" w14:textId="77777777" w:rsidR="00184A8E" w:rsidRPr="00184A8E" w:rsidRDefault="00184A8E" w:rsidP="00184A8E">
            <w:pPr>
              <w:autoSpaceDE w:val="0"/>
              <w:autoSpaceDN w:val="0"/>
              <w:adjustRightInd w:val="0"/>
              <w:jc w:val="center"/>
              <w:rPr>
                <w:rFonts w:ascii="Arial" w:eastAsia="Calibri" w:hAnsi="Arial" w:cs="Arial"/>
                <w:sz w:val="18"/>
                <w:szCs w:val="18"/>
                <w:lang w:eastAsia="en-US"/>
              </w:rPr>
            </w:pPr>
            <w:r w:rsidRPr="00184A8E">
              <w:rPr>
                <w:rFonts w:ascii="Arial" w:hAnsi="Arial" w:cs="Arial"/>
                <w:sz w:val="18"/>
                <w:szCs w:val="18"/>
              </w:rPr>
              <w:t>Provedbom natječaja za dodjelu sredstava omogućava se financiranje programa i projekata iz područja poljoprivrede koji su od javnog interesa</w:t>
            </w:r>
          </w:p>
        </w:tc>
        <w:tc>
          <w:tcPr>
            <w:tcW w:w="1275" w:type="dxa"/>
            <w:tcBorders>
              <w:top w:val="single" w:sz="4" w:space="0" w:color="auto"/>
              <w:left w:val="single" w:sz="4" w:space="0" w:color="auto"/>
              <w:bottom w:val="single" w:sz="4" w:space="0" w:color="auto"/>
              <w:right w:val="single" w:sz="4" w:space="0" w:color="auto"/>
            </w:tcBorders>
            <w:vAlign w:val="center"/>
          </w:tcPr>
          <w:p w14:paraId="5A7D5D40" w14:textId="77777777" w:rsidR="00184A8E" w:rsidRPr="00184A8E" w:rsidRDefault="00184A8E" w:rsidP="00184A8E">
            <w:pPr>
              <w:jc w:val="center"/>
              <w:rPr>
                <w:rFonts w:ascii="Arial" w:eastAsia="Calibri" w:hAnsi="Arial" w:cs="Arial"/>
                <w:sz w:val="18"/>
                <w:szCs w:val="18"/>
                <w:lang w:eastAsia="en-US"/>
              </w:rPr>
            </w:pPr>
            <w:r w:rsidRPr="00184A8E">
              <w:rPr>
                <w:rFonts w:ascii="Arial" w:hAnsi="Arial" w:cs="Arial"/>
                <w:sz w:val="18"/>
                <w:szCs w:val="18"/>
              </w:rPr>
              <w:t xml:space="preserve">Broj provedenih natječaja </w:t>
            </w:r>
          </w:p>
        </w:tc>
        <w:tc>
          <w:tcPr>
            <w:tcW w:w="1134" w:type="dxa"/>
            <w:tcBorders>
              <w:top w:val="single" w:sz="4" w:space="0" w:color="auto"/>
              <w:left w:val="single" w:sz="4" w:space="0" w:color="auto"/>
              <w:bottom w:val="single" w:sz="4" w:space="0" w:color="auto"/>
              <w:right w:val="single" w:sz="4" w:space="0" w:color="auto"/>
            </w:tcBorders>
            <w:vAlign w:val="center"/>
          </w:tcPr>
          <w:p w14:paraId="166F4B8D"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46B217E5"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394B8475"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2125554C"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30460174"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08B28581"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r>
    </w:tbl>
    <w:p w14:paraId="0FC16D61" w14:textId="77777777" w:rsidR="00184A8E" w:rsidRPr="00184A8E" w:rsidRDefault="00184A8E" w:rsidP="00184A8E">
      <w:pPr>
        <w:spacing w:after="0" w:line="240" w:lineRule="auto"/>
        <w:jc w:val="both"/>
        <w:rPr>
          <w:rFonts w:ascii="Arial" w:eastAsia="Calibri" w:hAnsi="Arial" w:cs="Arial"/>
          <w:sz w:val="20"/>
          <w:szCs w:val="20"/>
          <w:lang w:eastAsia="en-US"/>
        </w:rPr>
      </w:pPr>
    </w:p>
    <w:p w14:paraId="0A8DDBC9" w14:textId="647B0EF2"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b/>
          <w:sz w:val="20"/>
          <w:szCs w:val="20"/>
          <w:lang w:eastAsia="en-US"/>
        </w:rPr>
        <w:t>5. T206206: Krajobrazno uređenje tržnice / ribarnice (Gruda)</w:t>
      </w:r>
      <w:r w:rsidRPr="00184A8E">
        <w:rPr>
          <w:rFonts w:ascii="Arial" w:eastAsia="Calibri" w:hAnsi="Arial" w:cs="Arial"/>
          <w:sz w:val="20"/>
          <w:szCs w:val="20"/>
          <w:lang w:eastAsia="en-US"/>
        </w:rPr>
        <w:t xml:space="preserve"> </w:t>
      </w:r>
      <w:r w:rsidRPr="00184A8E">
        <w:rPr>
          <w:rFonts w:ascii="Arial" w:eastAsia="Calibri" w:hAnsi="Arial" w:cs="Arial"/>
          <w:sz w:val="20"/>
          <w:szCs w:val="20"/>
        </w:rPr>
        <w:t xml:space="preserve">u sklopu aktivnosti prvotno su planirani rashodi u iznosu </w:t>
      </w:r>
      <w:r w:rsidR="00E74BC2">
        <w:rPr>
          <w:rFonts w:ascii="Arial" w:eastAsia="Calibri" w:hAnsi="Arial" w:cs="Arial"/>
          <w:sz w:val="20"/>
          <w:szCs w:val="20"/>
        </w:rPr>
        <w:t>350</w:t>
      </w:r>
      <w:r w:rsidRPr="00184A8E">
        <w:rPr>
          <w:rFonts w:ascii="Arial" w:eastAsia="Calibri" w:hAnsi="Arial" w:cs="Arial"/>
          <w:sz w:val="20"/>
          <w:szCs w:val="20"/>
        </w:rPr>
        <w:t>.000 €</w:t>
      </w:r>
      <w:r w:rsidRPr="00184A8E">
        <w:rPr>
          <w:rFonts w:ascii="Arial" w:eastAsia="Calibri" w:hAnsi="Arial" w:cs="Arial"/>
          <w:sz w:val="20"/>
          <w:szCs w:val="20"/>
          <w:lang w:eastAsia="en-US"/>
        </w:rPr>
        <w:t>. Planirani su rashodi za usluge i izradu projektne dokumentacije za uređenje prostora na Grudi za potrebe lokalne tržnice.</w:t>
      </w:r>
      <w:r w:rsidRPr="00184A8E">
        <w:rPr>
          <w:rFonts w:ascii="Arial" w:eastAsia="Calibri" w:hAnsi="Arial" w:cs="Arial"/>
          <w:sz w:val="20"/>
          <w:szCs w:val="20"/>
        </w:rPr>
        <w:t xml:space="preserve"> Najveći dio sredstava za provedbu ove aktivnosti je osiguran iz fonda lokalne akcijske grupe (LAG Dubrovačka traversa).</w:t>
      </w:r>
    </w:p>
    <w:p w14:paraId="7F3574AC" w14:textId="77777777" w:rsidR="00184A8E" w:rsidRPr="00184A8E" w:rsidRDefault="00184A8E" w:rsidP="00184A8E">
      <w:pPr>
        <w:spacing w:after="0" w:line="240" w:lineRule="auto"/>
        <w:jc w:val="both"/>
        <w:rPr>
          <w:rFonts w:ascii="Arial" w:eastAsia="Calibri" w:hAnsi="Arial" w:cs="Arial"/>
          <w:sz w:val="20"/>
          <w:szCs w:val="20"/>
          <w:lang w:eastAsia="en-US"/>
        </w:rPr>
      </w:pPr>
    </w:p>
    <w:p w14:paraId="40C9F5B4" w14:textId="7A323B66" w:rsidR="00184A8E" w:rsidRPr="00184A8E" w:rsidRDefault="00184A8E" w:rsidP="00E74BC2">
      <w:pPr>
        <w:spacing w:after="0" w:line="240" w:lineRule="auto"/>
        <w:ind w:left="709"/>
        <w:jc w:val="both"/>
        <w:rPr>
          <w:rFonts w:ascii="Arial" w:eastAsia="Calibri" w:hAnsi="Arial" w:cs="Arial"/>
          <w:sz w:val="20"/>
          <w:szCs w:val="20"/>
          <w:lang w:eastAsia="en-US"/>
        </w:rPr>
      </w:pPr>
      <w:r w:rsidRPr="00E74BC2">
        <w:rPr>
          <w:rFonts w:ascii="Arial" w:eastAsia="Calibri" w:hAnsi="Arial" w:cs="Arial"/>
          <w:sz w:val="18"/>
          <w:szCs w:val="18"/>
          <w:lang w:eastAsia="en-US"/>
        </w:rPr>
        <w:lastRenderedPageBreak/>
        <w:t xml:space="preserve">Rashodi </w:t>
      </w:r>
      <w:r w:rsidR="00E74BC2" w:rsidRPr="00E74BC2">
        <w:rPr>
          <w:rFonts w:ascii="Arial" w:eastAsia="Calibri" w:hAnsi="Arial" w:cs="Arial"/>
          <w:sz w:val="18"/>
          <w:szCs w:val="18"/>
          <w:lang w:eastAsia="en-US"/>
        </w:rPr>
        <w:t xml:space="preserve">su u 2024. bili </w:t>
      </w:r>
      <w:r w:rsidRPr="00E74BC2">
        <w:rPr>
          <w:rFonts w:ascii="Arial" w:eastAsia="Calibri" w:hAnsi="Arial" w:cs="Arial"/>
          <w:sz w:val="18"/>
          <w:szCs w:val="18"/>
          <w:lang w:eastAsia="en-US"/>
        </w:rPr>
        <w:t xml:space="preserve">izvršeni u iznosu 3.000 € ili 3% plana. </w:t>
      </w:r>
      <w:r w:rsidR="00E74BC2" w:rsidRPr="00E74BC2">
        <w:rPr>
          <w:rFonts w:ascii="Arial" w:eastAsia="Calibri" w:hAnsi="Arial" w:cs="Arial"/>
          <w:sz w:val="18"/>
          <w:szCs w:val="18"/>
          <w:lang w:eastAsia="en-US"/>
        </w:rPr>
        <w:t>Odnosili su se</w:t>
      </w:r>
      <w:r w:rsidRPr="00E74BC2">
        <w:rPr>
          <w:rFonts w:ascii="Arial" w:eastAsia="Calibri" w:hAnsi="Arial" w:cs="Arial"/>
          <w:sz w:val="18"/>
          <w:szCs w:val="18"/>
          <w:lang w:eastAsia="en-US"/>
        </w:rPr>
        <w:t xml:space="preserve"> na izradu idejnog projekta zelene tržnice na Grudi na temelju odluke o odobravanju izrade projekta iz travnja 2024. (idejno rješenje, vizualizacija, opis, procjena troškova).</w:t>
      </w:r>
    </w:p>
    <w:p w14:paraId="49E732A0" w14:textId="77777777" w:rsidR="00184A8E" w:rsidRPr="00E74BC2" w:rsidRDefault="00184A8E" w:rsidP="00184A8E">
      <w:pPr>
        <w:autoSpaceDE w:val="0"/>
        <w:autoSpaceDN w:val="0"/>
        <w:adjustRightInd w:val="0"/>
        <w:spacing w:after="0" w:line="240" w:lineRule="auto"/>
        <w:jc w:val="both"/>
        <w:rPr>
          <w:rFonts w:ascii="Arial" w:eastAsia="Calibri" w:hAnsi="Arial" w:cs="Arial"/>
          <w:sz w:val="20"/>
          <w:szCs w:val="20"/>
        </w:rPr>
      </w:pPr>
    </w:p>
    <w:p w14:paraId="7B31CF49" w14:textId="0DFE7DA0" w:rsidR="00E74BC2" w:rsidRPr="00E74BC2" w:rsidRDefault="00E74BC2" w:rsidP="00E74BC2">
      <w:pPr>
        <w:autoSpaceDE w:val="0"/>
        <w:autoSpaceDN w:val="0"/>
        <w:adjustRightInd w:val="0"/>
        <w:spacing w:after="0" w:line="240" w:lineRule="auto"/>
        <w:jc w:val="both"/>
        <w:rPr>
          <w:rFonts w:ascii="Arial" w:eastAsia="Calibri" w:hAnsi="Arial" w:cs="Arial"/>
          <w:b/>
          <w:sz w:val="20"/>
          <w:szCs w:val="20"/>
          <w:lang w:eastAsia="en-US"/>
        </w:rPr>
      </w:pPr>
      <w:r w:rsidRPr="00E74BC2">
        <w:rPr>
          <w:rFonts w:ascii="Arial" w:eastAsia="Calibri" w:hAnsi="Arial" w:cs="Arial"/>
          <w:sz w:val="20"/>
          <w:szCs w:val="20"/>
        </w:rPr>
        <w:t xml:space="preserve">U 2025. godini su izvršeni rashodi u iznosu 22.250 €. </w:t>
      </w:r>
      <w:r w:rsidRPr="00E74BC2">
        <w:rPr>
          <w:rFonts w:ascii="Arial" w:eastAsia="Calibri" w:hAnsi="Arial" w:cs="Arial"/>
          <w:sz w:val="20"/>
          <w:szCs w:val="20"/>
          <w:lang w:eastAsia="en-US"/>
        </w:rPr>
        <w:t>Ugovor za izradu projektne dokumentacije, glavni izvedbeni projekt uređenja s troškovnikom i detaljima izvedbe, je zaključen u rujnu 2024. godine u iznosu 22.250 € (s PDV-om). Ugovorena je izrada projekta prodajnog prostora, uređenja prostora tržnice, projekt elektroinstalacija, projekt vodovoda i odvodnje.</w:t>
      </w:r>
    </w:p>
    <w:p w14:paraId="6C54EA8E" w14:textId="77777777" w:rsidR="00E74BC2" w:rsidRPr="00184A8E" w:rsidRDefault="00E74BC2" w:rsidP="00184A8E">
      <w:pPr>
        <w:autoSpaceDE w:val="0"/>
        <w:autoSpaceDN w:val="0"/>
        <w:adjustRightInd w:val="0"/>
        <w:spacing w:after="0" w:line="240" w:lineRule="auto"/>
        <w:jc w:val="both"/>
        <w:rPr>
          <w:rFonts w:ascii="Arial" w:eastAsia="Calibri" w:hAnsi="Arial" w:cs="Arial"/>
          <w:sz w:val="20"/>
          <w:szCs w:val="20"/>
        </w:rPr>
      </w:pPr>
    </w:p>
    <w:p w14:paraId="458E0408"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Aktivnosti vezane uz opće ciljeve postignute su sukladno postocima izvršenja, a manje izvršenje rashoda od očekivanih je uvjetovano štednjom radi obveze povrata beskamatnih zajmova odobrenih Općini tijekom 2020. i 2021. </w:t>
      </w:r>
    </w:p>
    <w:p w14:paraId="743D93ED" w14:textId="77777777" w:rsidR="00184A8E" w:rsidRPr="00184A8E" w:rsidRDefault="00184A8E" w:rsidP="00184A8E">
      <w:pPr>
        <w:spacing w:after="0" w:line="240" w:lineRule="auto"/>
        <w:jc w:val="both"/>
        <w:rPr>
          <w:rFonts w:ascii="Arial" w:eastAsia="Calibri" w:hAnsi="Arial" w:cs="Arial"/>
          <w:sz w:val="20"/>
          <w:szCs w:val="20"/>
        </w:rPr>
      </w:pPr>
    </w:p>
    <w:p w14:paraId="7960CFF3" w14:textId="77777777" w:rsidR="00184A8E" w:rsidRPr="00184A8E" w:rsidRDefault="00184A8E" w:rsidP="00184A8E">
      <w:pPr>
        <w:spacing w:after="0" w:line="240" w:lineRule="auto"/>
        <w:jc w:val="both"/>
        <w:rPr>
          <w:rFonts w:ascii="Arial" w:eastAsia="Calibri" w:hAnsi="Arial" w:cs="Arial"/>
          <w:sz w:val="20"/>
          <w:szCs w:val="20"/>
        </w:rPr>
      </w:pPr>
    </w:p>
    <w:p w14:paraId="12168A00"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619" w:name="_Toc435014660"/>
      <w:bookmarkStart w:id="620" w:name="_Toc499715745"/>
      <w:bookmarkStart w:id="621" w:name="_Toc200628546"/>
      <w:bookmarkStart w:id="622" w:name="_Toc232981478"/>
      <w:r w:rsidRPr="00184A8E">
        <w:rPr>
          <w:rFonts w:ascii="Times New Roman" w:eastAsia="Calibri" w:hAnsi="Times New Roman" w:cs="Times New Roman"/>
          <w:b/>
          <w:sz w:val="24"/>
          <w:szCs w:val="20"/>
          <w:lang w:eastAsia="en-US"/>
        </w:rPr>
        <w:t>Program (2063): Elementarne nepogode</w:t>
      </w:r>
      <w:bookmarkEnd w:id="619"/>
      <w:bookmarkEnd w:id="620"/>
      <w:bookmarkEnd w:id="621"/>
      <w:bookmarkEnd w:id="622"/>
    </w:p>
    <w:p w14:paraId="05B8EB0F"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80"/>
        <w:gridCol w:w="12162"/>
      </w:tblGrid>
      <w:tr w:rsidR="00184A8E" w:rsidRPr="00184A8E" w14:paraId="3AF8F161" w14:textId="77777777" w:rsidTr="00410A4B">
        <w:tc>
          <w:tcPr>
            <w:tcW w:w="1980" w:type="dxa"/>
          </w:tcPr>
          <w:p w14:paraId="221E55C0"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162" w:type="dxa"/>
          </w:tcPr>
          <w:p w14:paraId="00CC5C2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Ovaj program se odnosi na postupanja u slučaju nastupanja neke elementarne nepogode, odnosno radnje za ublažavanje posljedica od elementarnih nepogoda.</w:t>
            </w:r>
          </w:p>
        </w:tc>
      </w:tr>
      <w:tr w:rsidR="00184A8E" w:rsidRPr="00184A8E" w14:paraId="01C4F9EF" w14:textId="77777777" w:rsidTr="00410A4B">
        <w:tc>
          <w:tcPr>
            <w:tcW w:w="1980" w:type="dxa"/>
          </w:tcPr>
          <w:p w14:paraId="7B50F791" w14:textId="77777777" w:rsidR="00184A8E" w:rsidRPr="00184A8E" w:rsidRDefault="00184A8E" w:rsidP="00184A8E">
            <w:pPr>
              <w:spacing w:after="0" w:line="240" w:lineRule="auto"/>
              <w:jc w:val="both"/>
              <w:rPr>
                <w:rFonts w:ascii="Arial" w:eastAsia="Calibri" w:hAnsi="Arial" w:cs="Arial"/>
                <w:sz w:val="18"/>
                <w:szCs w:val="18"/>
                <w:lang w:eastAsia="en-US"/>
              </w:rPr>
            </w:pPr>
            <w:r w:rsidRPr="00184A8E">
              <w:rPr>
                <w:rFonts w:ascii="Arial" w:eastAsia="Calibri" w:hAnsi="Arial" w:cs="Arial"/>
                <w:sz w:val="18"/>
                <w:szCs w:val="18"/>
                <w:lang w:eastAsia="en-US"/>
              </w:rPr>
              <w:t>ZAKONSKE I DRUGE PRAVNE OSNOVE PROGRAMA</w:t>
            </w:r>
          </w:p>
        </w:tc>
        <w:tc>
          <w:tcPr>
            <w:tcW w:w="12162" w:type="dxa"/>
          </w:tcPr>
          <w:p w14:paraId="6C367F77"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rPr>
              <w:t xml:space="preserve">Zakon o lokalnoj i područnoj (regionalnoj) samoupravi (NN 33/01,60/01,129/05, 109/07,125/08, 36/09, 150/11, 144/12, 19/13, 137/15, 123/17, 98/19, 144/20), </w:t>
            </w:r>
            <w:r w:rsidRPr="00184A8E">
              <w:rPr>
                <w:rFonts w:ascii="Arial" w:hAnsi="Arial" w:cs="Arial"/>
                <w:sz w:val="20"/>
                <w:szCs w:val="20"/>
              </w:rPr>
              <w:t xml:space="preserve">Zakon o ublažavanju i uklanjanju posljedica prirodnih nepogoda </w:t>
            </w:r>
            <w:r w:rsidRPr="00184A8E">
              <w:rPr>
                <w:rFonts w:ascii="Arial" w:eastAsia="Times New Roman" w:hAnsi="Arial" w:cs="Arial"/>
                <w:sz w:val="20"/>
                <w:szCs w:val="20"/>
              </w:rPr>
              <w:t>(NN 16/19), Statut Općine i drugi akti</w:t>
            </w:r>
          </w:p>
        </w:tc>
      </w:tr>
      <w:tr w:rsidR="00184A8E" w:rsidRPr="00184A8E" w14:paraId="68D692CA" w14:textId="77777777" w:rsidTr="00410A4B">
        <w:tc>
          <w:tcPr>
            <w:tcW w:w="1980" w:type="dxa"/>
            <w:vAlign w:val="bottom"/>
          </w:tcPr>
          <w:p w14:paraId="7CB5097B"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POSEBNI CILJEVI</w:t>
            </w:r>
          </w:p>
        </w:tc>
        <w:tc>
          <w:tcPr>
            <w:tcW w:w="12162" w:type="dxa"/>
            <w:vAlign w:val="bottom"/>
          </w:tcPr>
          <w:p w14:paraId="4839B4B6"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Pravovremeno poduzeti sve potrebne radnje u slučaju neke elementarne nepogode. Pokazatelji uspješnosti očituju se u broju obrađenih zahtjeva – prijava elementarne nepogode, pravovremenom izlasku na teren i poduzimanju preventivnih mjera ……</w:t>
            </w:r>
          </w:p>
        </w:tc>
      </w:tr>
    </w:tbl>
    <w:p w14:paraId="0ACA4613" w14:textId="77777777" w:rsidR="00184A8E" w:rsidRDefault="00184A8E" w:rsidP="00184A8E">
      <w:pPr>
        <w:spacing w:after="0" w:line="240" w:lineRule="auto"/>
        <w:jc w:val="both"/>
        <w:rPr>
          <w:rFonts w:ascii="Arial" w:eastAsia="Calibri" w:hAnsi="Arial" w:cs="Arial"/>
          <w:sz w:val="20"/>
          <w:szCs w:val="20"/>
          <w:lang w:eastAsia="en-US"/>
        </w:rPr>
      </w:pPr>
    </w:p>
    <w:p w14:paraId="0AE1E7C2" w14:textId="77777777" w:rsidR="00E74BC2" w:rsidRDefault="00E74BC2" w:rsidP="00184A8E">
      <w:pPr>
        <w:spacing w:after="0" w:line="240" w:lineRule="auto"/>
        <w:jc w:val="both"/>
        <w:rPr>
          <w:rFonts w:ascii="Arial" w:eastAsia="Calibri" w:hAnsi="Arial" w:cs="Arial"/>
          <w:sz w:val="20"/>
          <w:szCs w:val="20"/>
          <w:lang w:eastAsia="en-US"/>
        </w:rPr>
      </w:pPr>
    </w:p>
    <w:p w14:paraId="5AFDB5DC" w14:textId="77777777" w:rsidR="00E74BC2" w:rsidRPr="00184A8E" w:rsidRDefault="00E74BC2" w:rsidP="00184A8E">
      <w:pPr>
        <w:spacing w:after="0" w:line="240" w:lineRule="auto"/>
        <w:jc w:val="both"/>
        <w:rPr>
          <w:rFonts w:ascii="Arial" w:eastAsia="Calibri" w:hAnsi="Arial" w:cs="Arial"/>
          <w:sz w:val="20"/>
          <w:szCs w:val="20"/>
          <w:lang w:eastAsia="en-US"/>
        </w:rPr>
      </w:pPr>
    </w:p>
    <w:p w14:paraId="0CEEEF98"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456A3F88" w14:textId="77777777" w:rsidR="00184A8E" w:rsidRPr="00184A8E" w:rsidRDefault="00184A8E" w:rsidP="00184A8E">
      <w:pPr>
        <w:spacing w:after="0" w:line="240" w:lineRule="auto"/>
        <w:jc w:val="both"/>
        <w:rPr>
          <w:rFonts w:ascii="Arial" w:eastAsia="Calibri" w:hAnsi="Arial" w:cs="Arial"/>
          <w:sz w:val="20"/>
          <w:szCs w:val="20"/>
        </w:rPr>
      </w:pPr>
    </w:p>
    <w:p w14:paraId="18142FC8" w14:textId="763F9921" w:rsidR="00184A8E" w:rsidRPr="00184A8E" w:rsidRDefault="008A16BA" w:rsidP="00184A8E">
      <w:pPr>
        <w:spacing w:after="0" w:line="240" w:lineRule="auto"/>
        <w:jc w:val="both"/>
        <w:rPr>
          <w:rFonts w:ascii="Arial" w:eastAsia="Calibri" w:hAnsi="Arial" w:cs="Arial"/>
          <w:sz w:val="20"/>
          <w:szCs w:val="20"/>
        </w:rPr>
      </w:pPr>
      <w:r>
        <w:rPr>
          <w:rFonts w:ascii="Arial" w:eastAsia="Calibri" w:hAnsi="Arial" w:cs="Arial"/>
          <w:sz w:val="20"/>
          <w:szCs w:val="20"/>
        </w:rPr>
        <w:t>Izvršenje aktivnosti sadržanih u ovom programu za 2013.-2024., plan za 2025., izvršenje za 2025., projekcije za 2026.-2027. iskazuju se u valuti EURO kako slijedi:</w:t>
      </w:r>
    </w:p>
    <w:p w14:paraId="5979CA4C" w14:textId="42045884" w:rsidR="00184A8E" w:rsidRPr="00184A8E" w:rsidRDefault="00E74BC2" w:rsidP="00184A8E">
      <w:pPr>
        <w:spacing w:after="0" w:line="240" w:lineRule="auto"/>
        <w:rPr>
          <w:rFonts w:ascii="Arial" w:eastAsia="Calibri" w:hAnsi="Arial" w:cs="Arial"/>
          <w:sz w:val="20"/>
          <w:szCs w:val="20"/>
        </w:rPr>
      </w:pPr>
      <w:r w:rsidRPr="00E74BC2">
        <w:rPr>
          <w:noProof/>
        </w:rPr>
        <w:drawing>
          <wp:inline distT="0" distB="0" distL="0" distR="0" wp14:anchorId="22111BAF" wp14:editId="64D4053A">
            <wp:extent cx="9251950" cy="822960"/>
            <wp:effectExtent l="0" t="0" r="6350" b="0"/>
            <wp:docPr id="1433109526"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9251950" cy="822960"/>
                    </a:xfrm>
                    <a:prstGeom prst="rect">
                      <a:avLst/>
                    </a:prstGeom>
                    <a:noFill/>
                    <a:ln>
                      <a:noFill/>
                    </a:ln>
                  </pic:spPr>
                </pic:pic>
              </a:graphicData>
            </a:graphic>
          </wp:inline>
        </w:drawing>
      </w:r>
    </w:p>
    <w:p w14:paraId="305299C1" w14:textId="5236A066" w:rsidR="00184A8E" w:rsidRPr="00184A8E" w:rsidRDefault="00184A8E" w:rsidP="00184A8E">
      <w:pPr>
        <w:spacing w:after="0" w:line="240" w:lineRule="auto"/>
        <w:rPr>
          <w:rFonts w:ascii="Arial" w:eastAsia="Calibri" w:hAnsi="Arial" w:cs="Arial"/>
          <w:sz w:val="20"/>
          <w:szCs w:val="20"/>
        </w:rPr>
      </w:pPr>
    </w:p>
    <w:p w14:paraId="6BE15A47" w14:textId="77777777" w:rsidR="00184A8E" w:rsidRPr="00184A8E" w:rsidRDefault="00184A8E">
      <w:pPr>
        <w:numPr>
          <w:ilvl w:val="0"/>
          <w:numId w:val="19"/>
        </w:numPr>
        <w:spacing w:after="0" w:line="240" w:lineRule="auto"/>
        <w:jc w:val="both"/>
        <w:rPr>
          <w:rFonts w:ascii="Arial" w:eastAsia="Calibri" w:hAnsi="Arial" w:cs="Arial"/>
          <w:sz w:val="20"/>
          <w:szCs w:val="20"/>
          <w:lang w:eastAsia="en-US"/>
        </w:rPr>
      </w:pPr>
      <w:r w:rsidRPr="00184A8E">
        <w:rPr>
          <w:rFonts w:ascii="Arial" w:eastAsia="Calibri" w:hAnsi="Arial" w:cs="Arial"/>
          <w:sz w:val="18"/>
          <w:szCs w:val="18"/>
          <w:lang w:eastAsia="en-US"/>
        </w:rPr>
        <w:t xml:space="preserve">* Do konca 2017. podaci koji se odnose na izvršenje aktivnosti unutar ovog Programa bili su iskazani unutar rashoda razdjela 020, odnosno glave 02001 Upravni odjel za proračun, financije i gospodarstvo. </w:t>
      </w:r>
    </w:p>
    <w:p w14:paraId="3F51357A"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297D6183"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4A12B069" w14:textId="77777777" w:rsidR="00184A8E" w:rsidRPr="00184A8E" w:rsidRDefault="00184A8E" w:rsidP="00184A8E">
      <w:pPr>
        <w:spacing w:after="0" w:line="240" w:lineRule="auto"/>
        <w:jc w:val="both"/>
        <w:rPr>
          <w:rFonts w:ascii="Arial" w:eastAsia="Calibri" w:hAnsi="Arial" w:cs="Arial"/>
          <w:bCs/>
          <w:sz w:val="20"/>
          <w:szCs w:val="20"/>
          <w:lang w:eastAsia="en-US"/>
        </w:rPr>
      </w:pPr>
    </w:p>
    <w:p w14:paraId="4A069378"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79544EF0" w14:textId="2B63C0AC" w:rsidR="00184A8E" w:rsidRPr="00184A8E" w:rsidRDefault="00184A8E" w:rsidP="00184A8E">
      <w:pPr>
        <w:spacing w:after="0" w:line="240" w:lineRule="auto"/>
        <w:jc w:val="both"/>
        <w:rPr>
          <w:rFonts w:ascii="Arial" w:eastAsia="Calibri" w:hAnsi="Arial" w:cs="Arial"/>
          <w:bCs/>
          <w:sz w:val="20"/>
          <w:szCs w:val="20"/>
          <w:lang w:eastAsia="en-US"/>
        </w:rPr>
      </w:pPr>
      <w:r w:rsidRPr="00184A8E">
        <w:rPr>
          <w:rFonts w:ascii="Arial" w:eastAsia="Calibri" w:hAnsi="Arial" w:cs="Arial"/>
          <w:b/>
          <w:sz w:val="20"/>
          <w:szCs w:val="20"/>
          <w:lang w:eastAsia="en-US"/>
        </w:rPr>
        <w:lastRenderedPageBreak/>
        <w:t xml:space="preserve">Izvještaj o postignutim ciljevima i rezultatima programa temeljenim na pokazateljima uspješnosti u prethodnoj godini: </w:t>
      </w:r>
      <w:r w:rsidRPr="00184A8E">
        <w:rPr>
          <w:rFonts w:ascii="Arial" w:eastAsia="Calibri" w:hAnsi="Arial" w:cs="Arial"/>
          <w:bCs/>
          <w:sz w:val="20"/>
          <w:szCs w:val="20"/>
          <w:lang w:eastAsia="en-US"/>
        </w:rPr>
        <w:t>Izvršenje je u okviru očekivanih vrijednosti</w:t>
      </w:r>
      <w:r w:rsidR="00E37BE8">
        <w:rPr>
          <w:rFonts w:ascii="Arial" w:eastAsia="Calibri" w:hAnsi="Arial" w:cs="Arial"/>
          <w:bCs/>
          <w:sz w:val="20"/>
          <w:szCs w:val="20"/>
          <w:lang w:eastAsia="en-US"/>
        </w:rPr>
        <w:t xml:space="preserve"> (nije bilo rashoda).</w:t>
      </w:r>
    </w:p>
    <w:p w14:paraId="3265400E" w14:textId="77777777" w:rsidR="00184A8E" w:rsidRPr="00184A8E" w:rsidRDefault="00184A8E" w:rsidP="00184A8E">
      <w:pPr>
        <w:spacing w:after="0" w:line="240" w:lineRule="auto"/>
        <w:jc w:val="both"/>
        <w:rPr>
          <w:rFonts w:ascii="Arial" w:eastAsia="Calibri" w:hAnsi="Arial" w:cs="Arial"/>
          <w:sz w:val="20"/>
          <w:szCs w:val="20"/>
          <w:lang w:eastAsia="en-US"/>
        </w:rPr>
      </w:pPr>
    </w:p>
    <w:p w14:paraId="71571E18" w14:textId="139B50A2"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Program 2063 je planiran u iznosu </w:t>
      </w:r>
      <w:r w:rsidR="00E74BC2">
        <w:rPr>
          <w:rFonts w:ascii="Arial" w:eastAsia="Calibri" w:hAnsi="Arial" w:cs="Arial"/>
          <w:sz w:val="20"/>
          <w:szCs w:val="20"/>
          <w:lang w:eastAsia="en-US"/>
        </w:rPr>
        <w:t>14.250</w:t>
      </w:r>
      <w:r w:rsidRPr="00184A8E">
        <w:rPr>
          <w:rFonts w:ascii="Arial" w:eastAsia="Calibri" w:hAnsi="Arial" w:cs="Arial"/>
          <w:sz w:val="20"/>
          <w:szCs w:val="20"/>
          <w:lang w:eastAsia="en-US"/>
        </w:rPr>
        <w:t xml:space="preserve"> €, a rashodi nisu izvršeni. </w:t>
      </w:r>
    </w:p>
    <w:p w14:paraId="362A63B9" w14:textId="77777777" w:rsidR="00184A8E" w:rsidRPr="00184A8E" w:rsidRDefault="00184A8E" w:rsidP="00184A8E">
      <w:pPr>
        <w:spacing w:after="0" w:line="240" w:lineRule="auto"/>
        <w:jc w:val="both"/>
        <w:rPr>
          <w:rFonts w:ascii="Arial" w:eastAsia="Calibri" w:hAnsi="Arial" w:cs="Arial"/>
          <w:sz w:val="20"/>
          <w:szCs w:val="20"/>
          <w:lang w:eastAsia="en-US"/>
        </w:rPr>
      </w:pPr>
    </w:p>
    <w:p w14:paraId="1340845B"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2D2249DD" w14:textId="77777777" w:rsidR="00184A8E" w:rsidRPr="00184A8E" w:rsidRDefault="00184A8E" w:rsidP="00184A8E">
      <w:pPr>
        <w:spacing w:after="0" w:line="240" w:lineRule="auto"/>
        <w:jc w:val="both"/>
        <w:rPr>
          <w:rFonts w:ascii="Arial" w:eastAsia="Calibri" w:hAnsi="Arial" w:cs="Arial"/>
          <w:sz w:val="20"/>
          <w:szCs w:val="20"/>
          <w:lang w:eastAsia="en-US"/>
        </w:rPr>
      </w:pPr>
    </w:p>
    <w:p w14:paraId="17785C9C"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Unutar programa izvode se slijedeće aktivnosti i projekti:</w:t>
      </w:r>
    </w:p>
    <w:p w14:paraId="7F857E6C" w14:textId="77777777" w:rsidR="00184A8E" w:rsidRPr="00184A8E" w:rsidRDefault="00184A8E" w:rsidP="00184A8E">
      <w:pPr>
        <w:spacing w:after="0" w:line="240" w:lineRule="auto"/>
        <w:jc w:val="both"/>
        <w:rPr>
          <w:rFonts w:ascii="Arial" w:eastAsia="Calibri" w:hAnsi="Arial" w:cs="Arial"/>
          <w:sz w:val="20"/>
          <w:szCs w:val="20"/>
          <w:lang w:eastAsia="en-US"/>
        </w:rPr>
      </w:pPr>
    </w:p>
    <w:p w14:paraId="3F4FE674" w14:textId="753C4F38"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1. A206301: Ublažavanje posljedica od elementarnih nepogoda</w:t>
      </w:r>
      <w:r w:rsidRPr="00184A8E">
        <w:rPr>
          <w:rFonts w:ascii="Arial" w:eastAsia="Calibri" w:hAnsi="Arial" w:cs="Arial"/>
          <w:sz w:val="20"/>
          <w:szCs w:val="20"/>
          <w:lang w:eastAsia="en-US"/>
        </w:rPr>
        <w:t xml:space="preserve"> - u sklopu aktivnosti su rashodi za naknade šteta pravnim i fizičkim osobama. Planirana sredstva za provođenje navedene aktivnosti iznose </w:t>
      </w:r>
      <w:r w:rsidR="00E74BC2">
        <w:rPr>
          <w:rFonts w:ascii="Arial" w:eastAsia="Calibri" w:hAnsi="Arial" w:cs="Arial"/>
          <w:sz w:val="20"/>
          <w:szCs w:val="20"/>
          <w:lang w:eastAsia="en-US"/>
        </w:rPr>
        <w:t>14.250</w:t>
      </w:r>
      <w:r w:rsidRPr="00184A8E">
        <w:rPr>
          <w:rFonts w:ascii="Arial" w:eastAsia="Calibri" w:hAnsi="Arial" w:cs="Arial"/>
          <w:sz w:val="20"/>
          <w:szCs w:val="20"/>
          <w:lang w:eastAsia="en-US"/>
        </w:rPr>
        <w:t xml:space="preserve"> €. Osnovni cilj ove aktivnosti je osiguravanje dijela sredstava za financiranje rashoda nastalih pri otklanjanju posljedica elementarnih nepogoda (uz sredstva koja se mogu koristiti iz proračunske zalihe). Rashodi nisu izvršeni.</w:t>
      </w:r>
    </w:p>
    <w:p w14:paraId="7748B54C" w14:textId="77777777" w:rsidR="00184A8E" w:rsidRPr="00184A8E" w:rsidRDefault="00184A8E" w:rsidP="00184A8E">
      <w:pPr>
        <w:spacing w:after="0" w:line="240" w:lineRule="auto"/>
        <w:rPr>
          <w:rFonts w:ascii="Arial" w:eastAsia="Calibri" w:hAnsi="Arial" w:cs="Arial"/>
          <w:sz w:val="20"/>
          <w:szCs w:val="20"/>
          <w:lang w:eastAsia="en-US"/>
        </w:rPr>
      </w:pPr>
    </w:p>
    <w:tbl>
      <w:tblPr>
        <w:tblStyle w:val="Reetkatablice536"/>
        <w:tblW w:w="14317" w:type="dxa"/>
        <w:jc w:val="center"/>
        <w:tblLayout w:type="fixed"/>
        <w:tblLook w:val="04A0" w:firstRow="1" w:lastRow="0" w:firstColumn="1" w:lastColumn="0" w:noHBand="0" w:noVBand="1"/>
      </w:tblPr>
      <w:tblGrid>
        <w:gridCol w:w="2694"/>
        <w:gridCol w:w="3827"/>
        <w:gridCol w:w="992"/>
        <w:gridCol w:w="1134"/>
        <w:gridCol w:w="1134"/>
        <w:gridCol w:w="1134"/>
        <w:gridCol w:w="1134"/>
        <w:gridCol w:w="1134"/>
        <w:gridCol w:w="1134"/>
      </w:tblGrid>
      <w:tr w:rsidR="00184A8E" w:rsidRPr="00184A8E" w14:paraId="1EC999DE" w14:textId="77777777" w:rsidTr="00410A4B">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B60178D"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Pokazatelj rezultata</w:t>
            </w:r>
          </w:p>
        </w:tc>
        <w:tc>
          <w:tcPr>
            <w:tcW w:w="382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0744846"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Definicija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8058D48"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809D3B4"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0B8458" w14:textId="20E2596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Polazna vrijednost 202</w:t>
            </w:r>
            <w:r w:rsidR="00E74BC2">
              <w:rPr>
                <w:rFonts w:ascii="Arial" w:eastAsia="Calibri" w:hAnsi="Arial" w:cs="Arial"/>
                <w:sz w:val="18"/>
                <w:szCs w:val="18"/>
                <w:lang w:eastAsia="en-US"/>
              </w:rPr>
              <w:t>4</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0E109A6" w14:textId="7644F955"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E74BC2">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3BEB6F" w14:textId="55C4722B"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Izvršeno 202</w:t>
            </w:r>
            <w:r w:rsidR="00E74BC2">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9C40220" w14:textId="3E1445BC"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E74BC2">
              <w:rPr>
                <w:rFonts w:ascii="Arial" w:eastAsia="Calibri" w:hAnsi="Arial" w:cs="Arial"/>
                <w:sz w:val="18"/>
                <w:szCs w:val="18"/>
                <w:lang w:eastAsia="en-US"/>
              </w:rPr>
              <w:t>6</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F9268C2" w14:textId="3F1D325F"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E74BC2">
              <w:rPr>
                <w:rFonts w:ascii="Arial" w:eastAsia="Calibri" w:hAnsi="Arial" w:cs="Arial"/>
                <w:sz w:val="18"/>
                <w:szCs w:val="18"/>
                <w:lang w:eastAsia="en-US"/>
              </w:rPr>
              <w:t>7</w:t>
            </w:r>
            <w:r w:rsidRPr="00184A8E">
              <w:rPr>
                <w:rFonts w:ascii="Arial" w:eastAsia="Calibri" w:hAnsi="Arial" w:cs="Arial"/>
                <w:sz w:val="18"/>
                <w:szCs w:val="18"/>
                <w:lang w:eastAsia="en-US"/>
              </w:rPr>
              <w:t>.</w:t>
            </w:r>
          </w:p>
        </w:tc>
      </w:tr>
      <w:tr w:rsidR="00184A8E" w:rsidRPr="00184A8E" w14:paraId="599DF442" w14:textId="77777777" w:rsidTr="00410A4B">
        <w:trPr>
          <w:trHeight w:val="274"/>
          <w:jc w:val="center"/>
        </w:trPr>
        <w:tc>
          <w:tcPr>
            <w:tcW w:w="2694" w:type="dxa"/>
            <w:tcBorders>
              <w:top w:val="single" w:sz="4" w:space="0" w:color="auto"/>
              <w:left w:val="single" w:sz="4" w:space="0" w:color="auto"/>
              <w:bottom w:val="single" w:sz="4" w:space="0" w:color="auto"/>
              <w:right w:val="single" w:sz="4" w:space="0" w:color="auto"/>
            </w:tcBorders>
            <w:vAlign w:val="center"/>
          </w:tcPr>
          <w:p w14:paraId="3720A6C0" w14:textId="77777777" w:rsidR="00184A8E" w:rsidRPr="00184A8E" w:rsidRDefault="00184A8E" w:rsidP="00184A8E">
            <w:pPr>
              <w:rPr>
                <w:rFonts w:ascii="Arial" w:eastAsia="Calibri" w:hAnsi="Arial" w:cs="Arial"/>
                <w:sz w:val="18"/>
                <w:szCs w:val="18"/>
                <w:lang w:eastAsia="en-US"/>
              </w:rPr>
            </w:pPr>
            <w:r w:rsidRPr="00184A8E">
              <w:rPr>
                <w:rFonts w:ascii="Arial" w:hAnsi="Arial" w:cs="Arial"/>
                <w:sz w:val="18"/>
                <w:szCs w:val="18"/>
              </w:rPr>
              <w:t>Osiguravanje financijskih sredstava za ublažavanje posljedica od elementarnih nepogoda</w:t>
            </w:r>
          </w:p>
        </w:tc>
        <w:tc>
          <w:tcPr>
            <w:tcW w:w="3827" w:type="dxa"/>
            <w:tcBorders>
              <w:top w:val="single" w:sz="4" w:space="0" w:color="auto"/>
              <w:left w:val="single" w:sz="4" w:space="0" w:color="auto"/>
              <w:bottom w:val="single" w:sz="4" w:space="0" w:color="auto"/>
              <w:right w:val="single" w:sz="4" w:space="0" w:color="auto"/>
            </w:tcBorders>
            <w:vAlign w:val="center"/>
          </w:tcPr>
          <w:p w14:paraId="7AA9EA10" w14:textId="77777777" w:rsidR="00184A8E" w:rsidRPr="00184A8E" w:rsidRDefault="00184A8E" w:rsidP="00184A8E">
            <w:pPr>
              <w:autoSpaceDE w:val="0"/>
              <w:autoSpaceDN w:val="0"/>
              <w:adjustRightInd w:val="0"/>
              <w:rPr>
                <w:rFonts w:ascii="Arial" w:eastAsia="Calibri" w:hAnsi="Arial" w:cs="Arial"/>
                <w:sz w:val="18"/>
                <w:szCs w:val="18"/>
                <w:lang w:eastAsia="en-US"/>
              </w:rPr>
            </w:pPr>
            <w:r w:rsidRPr="00184A8E">
              <w:rPr>
                <w:rFonts w:ascii="Arial" w:eastAsia="Calibri" w:hAnsi="Arial" w:cs="Arial"/>
                <w:sz w:val="18"/>
                <w:szCs w:val="18"/>
                <w:lang w:eastAsia="en-US"/>
              </w:rPr>
              <w:t xml:space="preserve">Pravovremena pomoć fizičkim i pravnim osobama u slučaju nastanka elementarnih nepogoda, postotak udovoljenih zahtjeva koji ispunjavaju uvjeta </w:t>
            </w:r>
          </w:p>
        </w:tc>
        <w:tc>
          <w:tcPr>
            <w:tcW w:w="992" w:type="dxa"/>
            <w:tcBorders>
              <w:top w:val="single" w:sz="4" w:space="0" w:color="auto"/>
              <w:left w:val="single" w:sz="4" w:space="0" w:color="auto"/>
              <w:bottom w:val="single" w:sz="4" w:space="0" w:color="auto"/>
              <w:right w:val="single" w:sz="4" w:space="0" w:color="auto"/>
            </w:tcBorders>
            <w:vAlign w:val="center"/>
          </w:tcPr>
          <w:p w14:paraId="6385719B" w14:textId="77777777" w:rsidR="00184A8E" w:rsidRPr="00184A8E" w:rsidRDefault="00184A8E" w:rsidP="00184A8E">
            <w:pPr>
              <w:jc w:val="center"/>
              <w:rPr>
                <w:rFonts w:ascii="Arial" w:eastAsia="Calibri" w:hAnsi="Arial" w:cs="Arial"/>
                <w:sz w:val="18"/>
                <w:szCs w:val="18"/>
                <w:lang w:eastAsia="en-US"/>
              </w:rPr>
            </w:pPr>
            <w:r w:rsidRPr="00184A8E">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116422A6"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4991FDE4"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00C5E787"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34FD566"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68BA7C1A"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537D2C7"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100</w:t>
            </w:r>
          </w:p>
        </w:tc>
      </w:tr>
    </w:tbl>
    <w:p w14:paraId="1BB06B42" w14:textId="77777777" w:rsidR="00184A8E" w:rsidRPr="00184A8E" w:rsidRDefault="00184A8E" w:rsidP="00184A8E">
      <w:pPr>
        <w:spacing w:after="0" w:line="240" w:lineRule="auto"/>
        <w:jc w:val="both"/>
        <w:rPr>
          <w:rFonts w:ascii="Arial" w:eastAsia="Calibri" w:hAnsi="Arial" w:cs="Arial"/>
          <w:sz w:val="20"/>
          <w:szCs w:val="20"/>
        </w:rPr>
      </w:pPr>
    </w:p>
    <w:p w14:paraId="5A0F904D"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Aktivnosti vezane uz opće ciljeve postignute su sukladno postocima izvršenja i u skladu s očekivanom dinamikom izvršenja rashoda. </w:t>
      </w:r>
    </w:p>
    <w:p w14:paraId="221FC532" w14:textId="77777777" w:rsidR="00184A8E" w:rsidRPr="00184A8E" w:rsidRDefault="00184A8E" w:rsidP="00184A8E">
      <w:pPr>
        <w:spacing w:after="0" w:line="240" w:lineRule="auto"/>
        <w:jc w:val="both"/>
        <w:rPr>
          <w:rFonts w:ascii="Arial" w:eastAsia="Calibri" w:hAnsi="Arial" w:cs="Arial"/>
          <w:sz w:val="20"/>
          <w:szCs w:val="20"/>
        </w:rPr>
      </w:pPr>
    </w:p>
    <w:p w14:paraId="37DCE63B" w14:textId="77777777" w:rsidR="00184A8E" w:rsidRPr="00184A8E" w:rsidRDefault="00184A8E" w:rsidP="00184A8E">
      <w:pPr>
        <w:spacing w:after="0" w:line="240" w:lineRule="auto"/>
        <w:jc w:val="both"/>
        <w:rPr>
          <w:rFonts w:ascii="Arial" w:eastAsia="Calibri" w:hAnsi="Arial" w:cs="Arial"/>
          <w:sz w:val="20"/>
          <w:szCs w:val="20"/>
        </w:rPr>
      </w:pPr>
    </w:p>
    <w:p w14:paraId="307941D2"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623" w:name="_Toc200628547"/>
      <w:bookmarkStart w:id="624" w:name="_Toc232981479"/>
      <w:r w:rsidRPr="00184A8E">
        <w:rPr>
          <w:rFonts w:ascii="Times New Roman" w:eastAsia="Calibri" w:hAnsi="Times New Roman" w:cs="Times New Roman"/>
          <w:b/>
          <w:sz w:val="24"/>
          <w:szCs w:val="20"/>
          <w:lang w:eastAsia="en-US"/>
        </w:rPr>
        <w:t>Program (2064): Suradnja s fondovima EU i drugim fondovima</w:t>
      </w:r>
      <w:bookmarkEnd w:id="623"/>
      <w:bookmarkEnd w:id="624"/>
    </w:p>
    <w:p w14:paraId="36DEEDB5" w14:textId="77777777" w:rsidR="00184A8E" w:rsidRPr="00184A8E" w:rsidRDefault="00184A8E" w:rsidP="00184A8E">
      <w:pPr>
        <w:spacing w:after="0" w:line="240" w:lineRule="auto"/>
        <w:rPr>
          <w:rFonts w:ascii="Times New Roman" w:eastAsia="Calibri" w:hAnsi="Times New Roman" w:cs="Times New Roman"/>
          <w:sz w:val="20"/>
          <w:szCs w:val="20"/>
          <w:lang w:eastAsia="en-US"/>
        </w:rPr>
      </w:pPr>
    </w:p>
    <w:p w14:paraId="2151F91F"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Ovim programom osiguravaju se sredstva za prijavu na projekte koji bi se trebali sufinancirati sredstvima EU i drugim fondovima. </w:t>
      </w:r>
    </w:p>
    <w:p w14:paraId="60CECEDC" w14:textId="77777777" w:rsidR="00184A8E" w:rsidRPr="00184A8E" w:rsidRDefault="00184A8E" w:rsidP="00184A8E">
      <w:pPr>
        <w:spacing w:after="0" w:line="240" w:lineRule="auto"/>
        <w:jc w:val="both"/>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28"/>
      </w:tblGrid>
      <w:tr w:rsidR="00184A8E" w:rsidRPr="00184A8E" w14:paraId="6D5B24B9" w14:textId="77777777" w:rsidTr="00410A4B">
        <w:tc>
          <w:tcPr>
            <w:tcW w:w="1555" w:type="dxa"/>
            <w:tcBorders>
              <w:top w:val="dotted" w:sz="4" w:space="0" w:color="auto"/>
              <w:left w:val="dotted" w:sz="4" w:space="0" w:color="auto"/>
              <w:bottom w:val="dotted" w:sz="4" w:space="0" w:color="auto"/>
              <w:right w:val="dotted" w:sz="4" w:space="0" w:color="auto"/>
            </w:tcBorders>
          </w:tcPr>
          <w:p w14:paraId="78E2BB64"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728" w:type="dxa"/>
            <w:tcBorders>
              <w:top w:val="dotted" w:sz="4" w:space="0" w:color="auto"/>
              <w:left w:val="dotted" w:sz="4" w:space="0" w:color="auto"/>
              <w:bottom w:val="dotted" w:sz="4" w:space="0" w:color="auto"/>
              <w:right w:val="dotted" w:sz="4" w:space="0" w:color="auto"/>
            </w:tcBorders>
          </w:tcPr>
          <w:p w14:paraId="2D3BD3A1"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Programom Suradnja s fondovima EU i drugim fondovima osiguravaju se inicijalna sredstva potrebna za prijavu – kandidiranje za natječaje.</w:t>
            </w:r>
          </w:p>
          <w:p w14:paraId="6B329B55"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Programom se stvaraju pretpostavke za razvoj Općine u skladu sa strategijama EU, Operativnim programima RH i Razvojnom strategijom DNŽ uz financijske pomoći iz strukturnih i drugih fondova. Putem ovog programa nastoji se postići usklađenost s regionalnim i nacionalnim programima i stvoriti pretpostavke za dobivanje sredstava EU fondova. </w:t>
            </w:r>
          </w:p>
          <w:p w14:paraId="0F7DEF89"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Ovaj program obuhvaća i poslove koji uključuju stručnu, administrativnu i tehničku pripremu dokumentacije u svrhu prijave na projekte sufinancirane od strane Europske unije i drugih institucija, te provedbu tih projekata iz svih područja važnih za razvoj Općine, pripremu, provedbu i razvoj programa i aktivnosti u području održivog razvoja, poslove vezane uz strategiju razvoja Općine, poslove pripreme nacrta općih i pojedinačnih akata i drugih poslova iz svoje nadležnosti u skladu sa zakonom.</w:t>
            </w:r>
          </w:p>
        </w:tc>
      </w:tr>
      <w:tr w:rsidR="00184A8E" w:rsidRPr="00184A8E" w14:paraId="67ECD09F" w14:textId="77777777" w:rsidTr="00410A4B">
        <w:tc>
          <w:tcPr>
            <w:tcW w:w="1555" w:type="dxa"/>
            <w:tcBorders>
              <w:top w:val="dotted" w:sz="4" w:space="0" w:color="auto"/>
              <w:left w:val="dotted" w:sz="4" w:space="0" w:color="auto"/>
              <w:bottom w:val="dotted" w:sz="4" w:space="0" w:color="auto"/>
              <w:right w:val="dotted" w:sz="4" w:space="0" w:color="auto"/>
            </w:tcBorders>
          </w:tcPr>
          <w:p w14:paraId="5C9CB1C2" w14:textId="77777777" w:rsidR="00184A8E" w:rsidRPr="00184A8E" w:rsidRDefault="00184A8E" w:rsidP="00184A8E">
            <w:pPr>
              <w:spacing w:after="0" w:line="240" w:lineRule="auto"/>
              <w:jc w:val="both"/>
              <w:rPr>
                <w:rFonts w:ascii="Arial" w:eastAsia="Calibri" w:hAnsi="Arial" w:cs="Arial"/>
                <w:sz w:val="16"/>
                <w:szCs w:val="16"/>
                <w:lang w:eastAsia="en-US"/>
              </w:rPr>
            </w:pPr>
            <w:r w:rsidRPr="00184A8E">
              <w:rPr>
                <w:rFonts w:ascii="Arial" w:eastAsia="Calibri" w:hAnsi="Arial" w:cs="Arial"/>
                <w:sz w:val="16"/>
                <w:szCs w:val="16"/>
                <w:lang w:eastAsia="en-US"/>
              </w:rPr>
              <w:t>ZAKONSKE I DRUGE PRAVNE OSNOVE PROGRAMA:</w:t>
            </w:r>
          </w:p>
        </w:tc>
        <w:tc>
          <w:tcPr>
            <w:tcW w:w="12728" w:type="dxa"/>
            <w:tcBorders>
              <w:top w:val="dotted" w:sz="4" w:space="0" w:color="auto"/>
              <w:left w:val="dotted" w:sz="4" w:space="0" w:color="auto"/>
              <w:bottom w:val="dotted" w:sz="4" w:space="0" w:color="auto"/>
              <w:right w:val="dotted" w:sz="4" w:space="0" w:color="auto"/>
            </w:tcBorders>
          </w:tcPr>
          <w:p w14:paraId="025C56B1"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 xml:space="preserve">Zakon o uspostavi institucionalnog okvira za provedbu Europskih strukturnih i investicijskih fondova u Republici Hrvatskoj u financijskom razdoblju 2014.-2020. (Narodne novine, br. 92/14), </w:t>
            </w:r>
          </w:p>
          <w:p w14:paraId="2B767767"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 xml:space="preserve">Zakon o institucionalnom okviru za korištenje fondova Europske unije u Republici Hrvatskoj (NN 116/21), </w:t>
            </w:r>
          </w:p>
          <w:p w14:paraId="7ACF7F9C"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t xml:space="preserve">Uredba o funkcijama, zadaćama i odgovornosti Koordinacijskog tijela u institucionalnom okviru za korištenje fondova Europske unije u Republici Hrvatskoj u financijskom razdoblju od 2021. do 2027. godine (NN 96/22), </w:t>
            </w:r>
          </w:p>
          <w:p w14:paraId="055F88AC"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rPr>
            </w:pPr>
            <w:r w:rsidRPr="00184A8E">
              <w:rPr>
                <w:rFonts w:ascii="Arial" w:eastAsia="Times New Roman" w:hAnsi="Arial" w:cs="Arial"/>
                <w:sz w:val="20"/>
                <w:szCs w:val="20"/>
              </w:rPr>
              <w:lastRenderedPageBreak/>
              <w:t>Uredba o tijelima u sustavu upravljanja i kontrole za provedbu programa iz područja teritorijalnih ulaganja i pravedne tranzicije za financijsko razdoblje 2021. – 2027. (NN 96/22),</w:t>
            </w:r>
          </w:p>
          <w:p w14:paraId="3D0AF1D8"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rPr>
              <w:t>Zakon o lokalnoj i područnoj (regionalnoj) samoupravi (NN 33/01,60/01,129/05, 109/07,125/08, 36/09, 150/11, 144/12, 19/13, 137/15, 123/17, 98/19, 144/20), Statut i drugi akti</w:t>
            </w:r>
          </w:p>
        </w:tc>
      </w:tr>
      <w:tr w:rsidR="00184A8E" w:rsidRPr="00184A8E" w14:paraId="56EA3656" w14:textId="77777777" w:rsidTr="00410A4B">
        <w:tc>
          <w:tcPr>
            <w:tcW w:w="1555" w:type="dxa"/>
            <w:tcBorders>
              <w:top w:val="dotted" w:sz="4" w:space="0" w:color="auto"/>
              <w:left w:val="dotted" w:sz="4" w:space="0" w:color="auto"/>
              <w:bottom w:val="dotted" w:sz="4" w:space="0" w:color="auto"/>
              <w:right w:val="dotted" w:sz="4" w:space="0" w:color="auto"/>
            </w:tcBorders>
          </w:tcPr>
          <w:p w14:paraId="030C45D9"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lastRenderedPageBreak/>
              <w:t>OPĆI CILJ:</w:t>
            </w:r>
          </w:p>
        </w:tc>
        <w:tc>
          <w:tcPr>
            <w:tcW w:w="12728" w:type="dxa"/>
            <w:tcBorders>
              <w:top w:val="dotted" w:sz="4" w:space="0" w:color="auto"/>
              <w:left w:val="dotted" w:sz="4" w:space="0" w:color="auto"/>
              <w:bottom w:val="dotted" w:sz="4" w:space="0" w:color="auto"/>
              <w:right w:val="dotted" w:sz="4" w:space="0" w:color="auto"/>
            </w:tcBorders>
          </w:tcPr>
          <w:p w14:paraId="08E04065"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Osiguravanje financijskih sredstava za predfinanciranje EU projekata</w:t>
            </w:r>
          </w:p>
          <w:p w14:paraId="1E131CC4"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Izrada projektnih prijedloga za sufinanciranje iz fondova Europske unije imaj za cilj učinkovito korištenje sredstava iz fondova Europske unije radi rasta i razvoja Općine.</w:t>
            </w:r>
          </w:p>
          <w:p w14:paraId="5E434CE8"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Planirana su sredstva za sufinanciranje troškova po EU projektima (dokumentacija za različite projekte za sufinanciranje iz EU izvora, te drugih međunarodnih i nacionalnih izvora, razne studije i pripreme i sl.). Pripremljena dokumentacija je preduvjet prijave projekata za financiranje iz nacionalnih i EU natječaja. Sredstva su planirana za izrade stručnih podloga i cjelokupnu projektnu dokumentaciju koja je potrebna za prijavu projekata.</w:t>
            </w:r>
          </w:p>
        </w:tc>
      </w:tr>
      <w:tr w:rsidR="00184A8E" w:rsidRPr="00184A8E" w14:paraId="605F2A81" w14:textId="77777777" w:rsidTr="00410A4B">
        <w:tc>
          <w:tcPr>
            <w:tcW w:w="1555" w:type="dxa"/>
            <w:tcBorders>
              <w:top w:val="dotted" w:sz="4" w:space="0" w:color="auto"/>
              <w:left w:val="dotted" w:sz="4" w:space="0" w:color="auto"/>
              <w:bottom w:val="dotted" w:sz="4" w:space="0" w:color="auto"/>
              <w:right w:val="dotted" w:sz="4" w:space="0" w:color="auto"/>
            </w:tcBorders>
            <w:vAlign w:val="bottom"/>
          </w:tcPr>
          <w:p w14:paraId="72335F80" w14:textId="77777777" w:rsidR="00184A8E" w:rsidRPr="00184A8E" w:rsidRDefault="00184A8E" w:rsidP="00184A8E">
            <w:pPr>
              <w:spacing w:after="0" w:line="240" w:lineRule="auto"/>
              <w:jc w:val="both"/>
              <w:rPr>
                <w:rFonts w:ascii="Arial" w:eastAsia="Calibri" w:hAnsi="Arial" w:cs="Arial"/>
                <w:sz w:val="16"/>
                <w:szCs w:val="16"/>
                <w:lang w:eastAsia="en-US"/>
              </w:rPr>
            </w:pPr>
            <w:r w:rsidRPr="00184A8E">
              <w:rPr>
                <w:rFonts w:ascii="Arial" w:eastAsia="Calibri" w:hAnsi="Arial" w:cs="Arial"/>
                <w:sz w:val="16"/>
                <w:szCs w:val="16"/>
                <w:lang w:eastAsia="en-US"/>
              </w:rPr>
              <w:t>POSEBNI CILJEVI (što se programom želi postići):</w:t>
            </w:r>
          </w:p>
        </w:tc>
        <w:tc>
          <w:tcPr>
            <w:tcW w:w="12728" w:type="dxa"/>
            <w:tcBorders>
              <w:top w:val="dotted" w:sz="4" w:space="0" w:color="auto"/>
              <w:left w:val="dotted" w:sz="4" w:space="0" w:color="auto"/>
              <w:bottom w:val="dotted" w:sz="4" w:space="0" w:color="auto"/>
              <w:right w:val="dotted" w:sz="4" w:space="0" w:color="auto"/>
            </w:tcBorders>
            <w:vAlign w:val="bottom"/>
          </w:tcPr>
          <w:p w14:paraId="37E39EAC"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Cilj - Visoka razina spremnosti projekata radi pravovremene i kvalitetne prijave na različite dostupne natječaje.</w:t>
            </w:r>
          </w:p>
          <w:p w14:paraId="324AF8FD"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Cilj je osiguravanje uvjeta za </w:t>
            </w:r>
            <w:r w:rsidRPr="00184A8E">
              <w:rPr>
                <w:rFonts w:ascii="Arial" w:eastAsia="Times New Roman" w:hAnsi="Arial" w:cs="Times New Roman"/>
                <w:sz w:val="20"/>
                <w:szCs w:val="20"/>
                <w:lang w:eastAsia="en-US"/>
              </w:rPr>
              <w:t>kandidiranje na natječaje za financiranje kapitalnih objekata i tekućih izdataka kroz projekte.</w:t>
            </w:r>
            <w:r w:rsidRPr="00184A8E">
              <w:rPr>
                <w:rFonts w:ascii="Arial" w:eastAsia="Calibri" w:hAnsi="Arial" w:cs="Arial"/>
                <w:sz w:val="20"/>
                <w:szCs w:val="20"/>
                <w:lang w:eastAsia="en-US"/>
              </w:rPr>
              <w:t xml:space="preserve"> </w:t>
            </w:r>
          </w:p>
          <w:p w14:paraId="013EC6D9" w14:textId="77777777" w:rsidR="00184A8E" w:rsidRPr="00184A8E" w:rsidRDefault="00184A8E" w:rsidP="00184A8E">
            <w:pPr>
              <w:spacing w:after="0" w:line="240" w:lineRule="auto"/>
              <w:jc w:val="both"/>
              <w:rPr>
                <w:rFonts w:ascii="Arial" w:eastAsia="Times New Roman" w:hAnsi="Arial" w:cs="Arial"/>
                <w:b/>
                <w:sz w:val="20"/>
                <w:szCs w:val="20"/>
                <w:lang w:eastAsia="en-US"/>
              </w:rPr>
            </w:pPr>
            <w:r w:rsidRPr="00184A8E">
              <w:rPr>
                <w:rFonts w:ascii="Arial" w:eastAsia="Calibri" w:hAnsi="Arial" w:cs="Arial"/>
                <w:sz w:val="20"/>
                <w:szCs w:val="20"/>
                <w:lang w:eastAsia="en-US"/>
              </w:rPr>
              <w:t>Realizacija projekata koji se sufinanciraju sredstvima iz različitih europskih fondova</w:t>
            </w:r>
          </w:p>
        </w:tc>
      </w:tr>
    </w:tbl>
    <w:p w14:paraId="3DEE6F21" w14:textId="77777777" w:rsidR="00184A8E" w:rsidRPr="00184A8E" w:rsidRDefault="00184A8E" w:rsidP="00184A8E">
      <w:pPr>
        <w:spacing w:after="0" w:line="240" w:lineRule="auto"/>
        <w:jc w:val="both"/>
        <w:rPr>
          <w:rFonts w:ascii="Arial" w:eastAsia="Calibri" w:hAnsi="Arial" w:cs="Arial"/>
          <w:sz w:val="20"/>
          <w:szCs w:val="20"/>
          <w:lang w:eastAsia="en-US"/>
        </w:rPr>
      </w:pPr>
    </w:p>
    <w:p w14:paraId="7F2A293D"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0F7D0AB7" w14:textId="77777777" w:rsidR="00184A8E" w:rsidRPr="00184A8E" w:rsidRDefault="00184A8E" w:rsidP="00184A8E">
      <w:pPr>
        <w:spacing w:after="0" w:line="240" w:lineRule="auto"/>
        <w:jc w:val="both"/>
        <w:rPr>
          <w:rFonts w:ascii="Arial" w:eastAsia="Calibri" w:hAnsi="Arial" w:cs="Arial"/>
          <w:sz w:val="20"/>
          <w:szCs w:val="20"/>
        </w:rPr>
      </w:pPr>
    </w:p>
    <w:p w14:paraId="4B10C434" w14:textId="14335C04"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Izvršenje aktivnosti sadržanih u ovom programu za 2018.-20</w:t>
      </w:r>
      <w:r w:rsidR="00551473">
        <w:rPr>
          <w:rFonts w:ascii="Arial" w:eastAsia="Calibri" w:hAnsi="Arial" w:cs="Arial"/>
          <w:sz w:val="20"/>
          <w:szCs w:val="20"/>
        </w:rPr>
        <w:t>24</w:t>
      </w:r>
      <w:r w:rsidRPr="00184A8E">
        <w:rPr>
          <w:rFonts w:ascii="Arial" w:eastAsia="Calibri" w:hAnsi="Arial" w:cs="Arial"/>
          <w:sz w:val="20"/>
          <w:szCs w:val="20"/>
        </w:rPr>
        <w:t>., plan za 20</w:t>
      </w:r>
      <w:r w:rsidR="00551473">
        <w:rPr>
          <w:rFonts w:ascii="Arial" w:eastAsia="Calibri" w:hAnsi="Arial" w:cs="Arial"/>
          <w:sz w:val="20"/>
          <w:szCs w:val="20"/>
        </w:rPr>
        <w:t>25</w:t>
      </w:r>
      <w:r w:rsidRPr="00184A8E">
        <w:rPr>
          <w:rFonts w:ascii="Arial" w:eastAsia="Calibri" w:hAnsi="Arial" w:cs="Arial"/>
          <w:sz w:val="20"/>
          <w:szCs w:val="20"/>
        </w:rPr>
        <w:t>., izvršenje za 202</w:t>
      </w:r>
      <w:r w:rsidR="00551473">
        <w:rPr>
          <w:rFonts w:ascii="Arial" w:eastAsia="Calibri" w:hAnsi="Arial" w:cs="Arial"/>
          <w:sz w:val="20"/>
          <w:szCs w:val="20"/>
        </w:rPr>
        <w:t>5</w:t>
      </w:r>
      <w:r w:rsidRPr="00184A8E">
        <w:rPr>
          <w:rFonts w:ascii="Arial" w:eastAsia="Calibri" w:hAnsi="Arial" w:cs="Arial"/>
          <w:sz w:val="20"/>
          <w:szCs w:val="20"/>
        </w:rPr>
        <w:t>., projekcije za 202</w:t>
      </w:r>
      <w:r w:rsidR="00551473">
        <w:rPr>
          <w:rFonts w:ascii="Arial" w:eastAsia="Calibri" w:hAnsi="Arial" w:cs="Arial"/>
          <w:sz w:val="20"/>
          <w:szCs w:val="20"/>
        </w:rPr>
        <w:t>6</w:t>
      </w:r>
      <w:r w:rsidRPr="00184A8E">
        <w:rPr>
          <w:rFonts w:ascii="Arial" w:eastAsia="Calibri" w:hAnsi="Arial" w:cs="Arial"/>
          <w:sz w:val="20"/>
          <w:szCs w:val="20"/>
        </w:rPr>
        <w:t>.-202</w:t>
      </w:r>
      <w:r w:rsidR="00551473">
        <w:rPr>
          <w:rFonts w:ascii="Arial" w:eastAsia="Calibri" w:hAnsi="Arial" w:cs="Arial"/>
          <w:sz w:val="20"/>
          <w:szCs w:val="20"/>
        </w:rPr>
        <w:t>7</w:t>
      </w:r>
      <w:r w:rsidRPr="00184A8E">
        <w:rPr>
          <w:rFonts w:ascii="Arial" w:eastAsia="Calibri" w:hAnsi="Arial" w:cs="Arial"/>
          <w:sz w:val="20"/>
          <w:szCs w:val="20"/>
        </w:rPr>
        <w:t>. iskazuju se kako slijedi:</w:t>
      </w:r>
    </w:p>
    <w:p w14:paraId="5D43E1CB" w14:textId="43E2A53B" w:rsidR="00184A8E" w:rsidRPr="00184A8E" w:rsidRDefault="00551473" w:rsidP="00184A8E">
      <w:pPr>
        <w:spacing w:after="0" w:line="240" w:lineRule="auto"/>
        <w:jc w:val="both"/>
        <w:rPr>
          <w:rFonts w:ascii="Arial" w:eastAsia="Calibri" w:hAnsi="Arial" w:cs="Arial"/>
          <w:sz w:val="20"/>
          <w:szCs w:val="20"/>
        </w:rPr>
      </w:pPr>
      <w:r w:rsidRPr="00551473">
        <w:rPr>
          <w:noProof/>
        </w:rPr>
        <w:drawing>
          <wp:inline distT="0" distB="0" distL="0" distR="0" wp14:anchorId="090E4C05" wp14:editId="2A12DAFD">
            <wp:extent cx="9251950" cy="1779270"/>
            <wp:effectExtent l="0" t="0" r="6350" b="0"/>
            <wp:docPr id="1169384972"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9251950" cy="1779270"/>
                    </a:xfrm>
                    <a:prstGeom prst="rect">
                      <a:avLst/>
                    </a:prstGeom>
                    <a:noFill/>
                    <a:ln>
                      <a:noFill/>
                    </a:ln>
                  </pic:spPr>
                </pic:pic>
              </a:graphicData>
            </a:graphic>
          </wp:inline>
        </w:drawing>
      </w:r>
    </w:p>
    <w:p w14:paraId="103A1FF6"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20E8D378"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1F0577CA" w14:textId="77777777" w:rsidR="00184A8E" w:rsidRPr="00184A8E" w:rsidRDefault="00184A8E" w:rsidP="00184A8E">
      <w:pPr>
        <w:spacing w:after="0" w:line="240" w:lineRule="auto"/>
        <w:jc w:val="both"/>
        <w:rPr>
          <w:rFonts w:ascii="Arial" w:eastAsia="Calibri" w:hAnsi="Arial" w:cs="Arial"/>
          <w:bCs/>
          <w:sz w:val="20"/>
          <w:szCs w:val="20"/>
          <w:lang w:eastAsia="en-US"/>
        </w:rPr>
      </w:pPr>
    </w:p>
    <w:p w14:paraId="2FD14804"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0AC48DCF" w14:textId="77777777" w:rsidR="00184A8E" w:rsidRPr="00184A8E" w:rsidRDefault="00184A8E" w:rsidP="00184A8E">
      <w:pPr>
        <w:spacing w:after="0" w:line="240" w:lineRule="auto"/>
        <w:jc w:val="both"/>
        <w:rPr>
          <w:rFonts w:ascii="Arial" w:eastAsia="Calibri" w:hAnsi="Arial" w:cs="Arial"/>
          <w:bCs/>
          <w:sz w:val="20"/>
          <w:szCs w:val="20"/>
          <w:lang w:eastAsia="en-US"/>
        </w:rPr>
      </w:pPr>
      <w:r w:rsidRPr="00184A8E">
        <w:rPr>
          <w:rFonts w:ascii="Arial" w:eastAsia="Calibri" w:hAnsi="Arial" w:cs="Arial"/>
          <w:b/>
          <w:sz w:val="20"/>
          <w:szCs w:val="20"/>
          <w:lang w:eastAsia="en-US"/>
        </w:rPr>
        <w:t xml:space="preserve">Izvještaj o postignutim ciljevima i rezultatima programa temeljenim na pokazateljima uspješnosti u prethodnoj godini: </w:t>
      </w:r>
      <w:r w:rsidRPr="00184A8E">
        <w:rPr>
          <w:rFonts w:ascii="Arial" w:eastAsia="Calibri" w:hAnsi="Arial" w:cs="Arial"/>
          <w:bCs/>
          <w:sz w:val="20"/>
          <w:szCs w:val="20"/>
          <w:lang w:eastAsia="en-US"/>
        </w:rPr>
        <w:t>Izvršenje je u okviru očekivanih vrijednosti. Naime, ova planirana sredstva koriste za pripremu i poticanje novih projekata i kao osiguranje učešća Općine u projektima koji se prijavljuju za sufinanciranje, a nakon što projekt bude odobren svi troškovi se planiraju u odvojenim aktivnostima.</w:t>
      </w:r>
    </w:p>
    <w:p w14:paraId="3180F533" w14:textId="77777777" w:rsidR="00184A8E" w:rsidRPr="00184A8E" w:rsidRDefault="00184A8E" w:rsidP="00184A8E">
      <w:pPr>
        <w:spacing w:after="0" w:line="240" w:lineRule="auto"/>
        <w:jc w:val="both"/>
        <w:rPr>
          <w:rFonts w:ascii="Arial" w:eastAsia="Calibri" w:hAnsi="Arial" w:cs="Arial"/>
          <w:sz w:val="20"/>
          <w:szCs w:val="20"/>
          <w:lang w:eastAsia="en-US"/>
        </w:rPr>
      </w:pPr>
    </w:p>
    <w:p w14:paraId="3B4B6571" w14:textId="0F97A712"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Program 2064 je planiran u iznosu </w:t>
      </w:r>
      <w:r w:rsidR="00551473">
        <w:rPr>
          <w:rFonts w:ascii="Arial" w:eastAsia="Calibri" w:hAnsi="Arial" w:cs="Arial"/>
          <w:sz w:val="20"/>
          <w:szCs w:val="20"/>
          <w:lang w:eastAsia="en-US"/>
        </w:rPr>
        <w:t>9.500</w:t>
      </w:r>
      <w:r w:rsidRPr="00184A8E">
        <w:rPr>
          <w:rFonts w:ascii="Arial" w:eastAsia="Calibri" w:hAnsi="Arial" w:cs="Arial"/>
          <w:sz w:val="20"/>
          <w:szCs w:val="20"/>
          <w:lang w:eastAsia="en-US"/>
        </w:rPr>
        <w:t xml:space="preserve"> €. Rashodi nisu izvršeni.</w:t>
      </w:r>
    </w:p>
    <w:p w14:paraId="567F7791"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731AD582"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677DC247" w14:textId="77777777" w:rsidR="00184A8E" w:rsidRPr="00184A8E" w:rsidRDefault="00184A8E" w:rsidP="00184A8E">
      <w:pPr>
        <w:spacing w:after="0" w:line="240" w:lineRule="auto"/>
        <w:jc w:val="both"/>
        <w:rPr>
          <w:rFonts w:ascii="Arial" w:eastAsia="Calibri" w:hAnsi="Arial" w:cs="Arial"/>
          <w:sz w:val="20"/>
          <w:szCs w:val="20"/>
          <w:lang w:eastAsia="en-US"/>
        </w:rPr>
      </w:pPr>
    </w:p>
    <w:p w14:paraId="5E9306EA"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Unutar programa su planirane slijedeće aktivnosti i projekti:</w:t>
      </w:r>
    </w:p>
    <w:p w14:paraId="497D3924"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6405F6C3" w14:textId="38E56E66"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1. A206401: Poticanje projekata -</w:t>
      </w:r>
      <w:r w:rsidRPr="00184A8E">
        <w:rPr>
          <w:rFonts w:ascii="Arial" w:eastAsia="Calibri" w:hAnsi="Arial" w:cs="Arial"/>
          <w:sz w:val="20"/>
          <w:szCs w:val="20"/>
          <w:lang w:eastAsia="en-US"/>
        </w:rPr>
        <w:t xml:space="preserve"> u sklopu aktivnosti su </w:t>
      </w:r>
      <w:r w:rsidR="00266E38">
        <w:rPr>
          <w:rFonts w:ascii="Arial" w:eastAsia="Calibri" w:hAnsi="Arial" w:cs="Arial"/>
          <w:sz w:val="20"/>
          <w:szCs w:val="20"/>
          <w:lang w:eastAsia="en-US"/>
        </w:rPr>
        <w:t xml:space="preserve">prvotno bili </w:t>
      </w:r>
      <w:r w:rsidRPr="00184A8E">
        <w:rPr>
          <w:rFonts w:ascii="Arial" w:eastAsia="Calibri" w:hAnsi="Arial" w:cs="Arial"/>
          <w:sz w:val="20"/>
          <w:szCs w:val="20"/>
          <w:lang w:eastAsia="en-US"/>
        </w:rPr>
        <w:t xml:space="preserve">planirani rashodi u iznosu </w:t>
      </w:r>
      <w:r w:rsidR="00266E38">
        <w:rPr>
          <w:rFonts w:ascii="Arial" w:eastAsia="Calibri" w:hAnsi="Arial" w:cs="Arial"/>
          <w:sz w:val="20"/>
          <w:szCs w:val="20"/>
          <w:lang w:eastAsia="en-US"/>
        </w:rPr>
        <w:t>22.300</w:t>
      </w:r>
      <w:r w:rsidRPr="00184A8E">
        <w:rPr>
          <w:rFonts w:ascii="Arial" w:eastAsia="Calibri" w:hAnsi="Arial" w:cs="Arial"/>
          <w:sz w:val="20"/>
          <w:szCs w:val="20"/>
          <w:lang w:eastAsia="en-US"/>
        </w:rPr>
        <w:t xml:space="preserve"> €. Planirana sredstva se odnose na materijalne i financijske rashode za prijave na natječaje za financiranje projekata. </w:t>
      </w:r>
      <w:r w:rsidR="00266E38">
        <w:rPr>
          <w:rFonts w:ascii="Arial" w:eastAsia="Calibri" w:hAnsi="Arial" w:cs="Arial"/>
          <w:sz w:val="20"/>
          <w:szCs w:val="20"/>
          <w:lang w:eastAsia="en-US"/>
        </w:rPr>
        <w:t xml:space="preserve">Izmjenama proračuna rashodi nisu planirani. </w:t>
      </w:r>
      <w:r w:rsidRPr="00184A8E">
        <w:rPr>
          <w:rFonts w:ascii="Arial" w:eastAsia="Calibri" w:hAnsi="Arial" w:cs="Arial"/>
          <w:sz w:val="20"/>
          <w:szCs w:val="20"/>
          <w:lang w:eastAsia="en-US"/>
        </w:rPr>
        <w:t>Rashodi nisu izvršeni.</w:t>
      </w:r>
    </w:p>
    <w:p w14:paraId="53D88B21"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lang w:eastAsia="en-US"/>
        </w:rPr>
      </w:pPr>
    </w:p>
    <w:tbl>
      <w:tblPr>
        <w:tblStyle w:val="Reetkatablice536"/>
        <w:tblW w:w="14170" w:type="dxa"/>
        <w:jc w:val="center"/>
        <w:tblLayout w:type="fixed"/>
        <w:tblLook w:val="04A0" w:firstRow="1" w:lastRow="0" w:firstColumn="1" w:lastColumn="0" w:noHBand="0" w:noVBand="1"/>
      </w:tblPr>
      <w:tblGrid>
        <w:gridCol w:w="3256"/>
        <w:gridCol w:w="2409"/>
        <w:gridCol w:w="1701"/>
        <w:gridCol w:w="1134"/>
        <w:gridCol w:w="1134"/>
        <w:gridCol w:w="1134"/>
        <w:gridCol w:w="1134"/>
        <w:gridCol w:w="1134"/>
        <w:gridCol w:w="1134"/>
      </w:tblGrid>
      <w:tr w:rsidR="00184A8E" w:rsidRPr="00184A8E" w14:paraId="258563FE" w14:textId="77777777" w:rsidTr="00410A4B">
        <w:trPr>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FCCC9A8"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Pokazatelj rezultata</w:t>
            </w:r>
          </w:p>
        </w:tc>
        <w:tc>
          <w:tcPr>
            <w:tcW w:w="240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E60DFBD"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Definicija</w:t>
            </w:r>
          </w:p>
        </w:tc>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57427DC"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429E05C"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5912788" w14:textId="52588DFF"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Polazna vrijednost 202</w:t>
            </w:r>
            <w:r w:rsidR="00551473">
              <w:rPr>
                <w:rFonts w:ascii="Arial" w:eastAsia="Calibri" w:hAnsi="Arial" w:cs="Arial"/>
                <w:sz w:val="18"/>
                <w:szCs w:val="18"/>
                <w:lang w:eastAsia="en-US"/>
              </w:rPr>
              <w:t>4</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CA6347F" w14:textId="08B08FFD"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5334F9">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F38A66D" w14:textId="5B95D36F"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Izvršeno 202</w:t>
            </w:r>
            <w:r w:rsidR="005334F9">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B55AFF0" w14:textId="3C1106E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w:t>
            </w:r>
            <w:r w:rsidR="00063230">
              <w:rPr>
                <w:rFonts w:ascii="Arial" w:eastAsia="Calibri" w:hAnsi="Arial" w:cs="Arial"/>
                <w:sz w:val="18"/>
                <w:szCs w:val="18"/>
                <w:lang w:eastAsia="en-US"/>
              </w:rPr>
              <w:t>26</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14B6C44" w14:textId="3D36C5A1"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063230">
              <w:rPr>
                <w:rFonts w:ascii="Arial" w:eastAsia="Calibri" w:hAnsi="Arial" w:cs="Arial"/>
                <w:sz w:val="18"/>
                <w:szCs w:val="18"/>
                <w:lang w:eastAsia="en-US"/>
              </w:rPr>
              <w:t>7</w:t>
            </w:r>
            <w:r w:rsidRPr="00184A8E">
              <w:rPr>
                <w:rFonts w:ascii="Arial" w:eastAsia="Calibri" w:hAnsi="Arial" w:cs="Arial"/>
                <w:sz w:val="18"/>
                <w:szCs w:val="18"/>
                <w:lang w:eastAsia="en-US"/>
              </w:rPr>
              <w:t>.</w:t>
            </w:r>
          </w:p>
        </w:tc>
      </w:tr>
      <w:tr w:rsidR="00184A8E" w:rsidRPr="00184A8E" w14:paraId="1DE53828" w14:textId="77777777" w:rsidTr="00410A4B">
        <w:trPr>
          <w:trHeight w:val="274"/>
          <w:jc w:val="center"/>
        </w:trPr>
        <w:tc>
          <w:tcPr>
            <w:tcW w:w="3256" w:type="dxa"/>
            <w:tcBorders>
              <w:top w:val="single" w:sz="4" w:space="0" w:color="auto"/>
              <w:left w:val="single" w:sz="4" w:space="0" w:color="auto"/>
              <w:bottom w:val="single" w:sz="4" w:space="0" w:color="auto"/>
              <w:right w:val="single" w:sz="4" w:space="0" w:color="auto"/>
            </w:tcBorders>
            <w:vAlign w:val="center"/>
          </w:tcPr>
          <w:p w14:paraId="0959C159" w14:textId="77777777" w:rsidR="00184A8E" w:rsidRPr="00184A8E" w:rsidRDefault="00184A8E" w:rsidP="00184A8E">
            <w:pPr>
              <w:rPr>
                <w:rFonts w:ascii="Arial" w:eastAsia="Calibri" w:hAnsi="Arial" w:cs="Arial"/>
                <w:sz w:val="18"/>
                <w:szCs w:val="18"/>
                <w:lang w:eastAsia="en-US"/>
              </w:rPr>
            </w:pPr>
            <w:r w:rsidRPr="00184A8E">
              <w:rPr>
                <w:rFonts w:ascii="Arial" w:hAnsi="Arial" w:cs="Arial"/>
                <w:sz w:val="18"/>
                <w:szCs w:val="18"/>
              </w:rPr>
              <w:t>Osiguravanje financijskih sredstava potrebnih za pripremu dokumentacije za prijavu projekata na natječaje</w:t>
            </w:r>
          </w:p>
        </w:tc>
        <w:tc>
          <w:tcPr>
            <w:tcW w:w="2409" w:type="dxa"/>
            <w:tcBorders>
              <w:top w:val="single" w:sz="4" w:space="0" w:color="auto"/>
              <w:left w:val="single" w:sz="4" w:space="0" w:color="auto"/>
              <w:bottom w:val="single" w:sz="4" w:space="0" w:color="auto"/>
              <w:right w:val="single" w:sz="4" w:space="0" w:color="auto"/>
            </w:tcBorders>
            <w:vAlign w:val="center"/>
          </w:tcPr>
          <w:p w14:paraId="535B1E0A" w14:textId="77777777" w:rsidR="00184A8E" w:rsidRPr="00184A8E" w:rsidRDefault="00184A8E" w:rsidP="00184A8E">
            <w:pPr>
              <w:autoSpaceDE w:val="0"/>
              <w:autoSpaceDN w:val="0"/>
              <w:adjustRightInd w:val="0"/>
              <w:rPr>
                <w:rFonts w:ascii="Arial" w:eastAsia="Calibri" w:hAnsi="Arial" w:cs="Arial"/>
                <w:sz w:val="18"/>
                <w:szCs w:val="18"/>
                <w:lang w:eastAsia="en-US"/>
              </w:rPr>
            </w:pPr>
            <w:r w:rsidRPr="00184A8E">
              <w:rPr>
                <w:rFonts w:ascii="Arial" w:eastAsia="Calibri" w:hAnsi="Arial" w:cs="Arial"/>
                <w:sz w:val="18"/>
                <w:szCs w:val="18"/>
                <w:lang w:eastAsia="en-US"/>
              </w:rPr>
              <w:t>Praćenje i pravovremena prijava na projekte koje je moguće sufinancirati</w:t>
            </w:r>
          </w:p>
        </w:tc>
        <w:tc>
          <w:tcPr>
            <w:tcW w:w="1701" w:type="dxa"/>
            <w:tcBorders>
              <w:top w:val="single" w:sz="4" w:space="0" w:color="auto"/>
              <w:left w:val="single" w:sz="4" w:space="0" w:color="auto"/>
              <w:bottom w:val="single" w:sz="4" w:space="0" w:color="auto"/>
              <w:right w:val="single" w:sz="4" w:space="0" w:color="auto"/>
            </w:tcBorders>
            <w:vAlign w:val="center"/>
          </w:tcPr>
          <w:p w14:paraId="699C5400" w14:textId="77777777" w:rsidR="00184A8E" w:rsidRPr="00184A8E" w:rsidRDefault="00184A8E" w:rsidP="00184A8E">
            <w:pPr>
              <w:jc w:val="center"/>
              <w:rPr>
                <w:rFonts w:ascii="Arial" w:eastAsia="Calibri" w:hAnsi="Arial" w:cs="Arial"/>
                <w:sz w:val="18"/>
                <w:szCs w:val="18"/>
                <w:lang w:eastAsia="en-US"/>
              </w:rPr>
            </w:pPr>
            <w:r w:rsidRPr="00184A8E">
              <w:rPr>
                <w:rFonts w:ascii="Arial" w:hAnsi="Arial" w:cs="Arial"/>
                <w:sz w:val="18"/>
                <w:szCs w:val="18"/>
              </w:rPr>
              <w:t>Broj uspješnih prijava</w:t>
            </w:r>
          </w:p>
        </w:tc>
        <w:tc>
          <w:tcPr>
            <w:tcW w:w="1134" w:type="dxa"/>
            <w:tcBorders>
              <w:top w:val="single" w:sz="4" w:space="0" w:color="auto"/>
              <w:left w:val="single" w:sz="4" w:space="0" w:color="auto"/>
              <w:bottom w:val="single" w:sz="4" w:space="0" w:color="auto"/>
              <w:right w:val="single" w:sz="4" w:space="0" w:color="auto"/>
            </w:tcBorders>
            <w:vAlign w:val="center"/>
          </w:tcPr>
          <w:p w14:paraId="2D4F7332"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5C030DEB" w14:textId="54C909AF"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w:t>
            </w:r>
            <w:r w:rsidR="00266E38">
              <w:rPr>
                <w:rFonts w:ascii="Arial"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C39D885"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52345296" w14:textId="791F31DE" w:rsidR="00184A8E" w:rsidRPr="00184A8E" w:rsidRDefault="00266E38" w:rsidP="00184A8E">
            <w:pPr>
              <w:jc w:val="center"/>
              <w:rPr>
                <w:rFonts w:ascii="Arial" w:hAnsi="Arial" w:cs="Arial"/>
                <w:sz w:val="18"/>
                <w:szCs w:val="18"/>
                <w:lang w:eastAsia="en-US"/>
              </w:rPr>
            </w:pPr>
            <w:r>
              <w:rPr>
                <w:rFonts w:ascii="Arial" w:hAnsi="Arial" w:cs="Arial"/>
                <w:sz w:val="18"/>
                <w:szCs w:val="18"/>
                <w:lang w:eastAsia="en-US"/>
              </w:rPr>
              <w:t>-</w:t>
            </w:r>
            <w:r w:rsidR="00184A8E" w:rsidRPr="00184A8E">
              <w:rPr>
                <w:rFonts w:ascii="Arial" w:hAnsi="Arial" w:cs="Arial"/>
                <w:sz w:val="18"/>
                <w:szCs w:val="18"/>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3C513077"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11BD1542"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2</w:t>
            </w:r>
          </w:p>
        </w:tc>
      </w:tr>
    </w:tbl>
    <w:p w14:paraId="7DA80C54" w14:textId="77777777" w:rsidR="00184A8E" w:rsidRPr="00184A8E" w:rsidRDefault="00184A8E">
      <w:pPr>
        <w:numPr>
          <w:ilvl w:val="0"/>
          <w:numId w:val="19"/>
        </w:numPr>
        <w:autoSpaceDE w:val="0"/>
        <w:autoSpaceDN w:val="0"/>
        <w:adjustRightInd w:val="0"/>
        <w:spacing w:after="0" w:line="240" w:lineRule="auto"/>
        <w:jc w:val="both"/>
        <w:rPr>
          <w:rFonts w:ascii="Arial" w:eastAsia="Calibri" w:hAnsi="Arial" w:cs="Arial"/>
          <w:sz w:val="18"/>
          <w:szCs w:val="18"/>
          <w:lang w:eastAsia="en-US"/>
        </w:rPr>
      </w:pPr>
      <w:r w:rsidRPr="00184A8E">
        <w:rPr>
          <w:rFonts w:ascii="Arial" w:eastAsia="Calibri" w:hAnsi="Arial" w:cs="Arial"/>
          <w:sz w:val="18"/>
          <w:szCs w:val="18"/>
          <w:lang w:eastAsia="en-US"/>
        </w:rPr>
        <w:t>Iskazivanje osiguranih planiranih sredstava je korišteno tijekom 2024. godine kod prijave na projekte putem javnih natječaja (Fond za zaštitu okoliša i energetsku učinkovitost, Ministarstvo regionalnog razvoja i fondova Europske unije). Nakon odobrenja projekata, sredstva za provedbu se planiraju putem posebne aktivnosti.</w:t>
      </w:r>
    </w:p>
    <w:p w14:paraId="32EDDC64" w14:textId="77777777" w:rsidR="00184A8E" w:rsidRPr="00184A8E" w:rsidRDefault="00184A8E" w:rsidP="00184A8E">
      <w:pPr>
        <w:autoSpaceDE w:val="0"/>
        <w:autoSpaceDN w:val="0"/>
        <w:adjustRightInd w:val="0"/>
        <w:spacing w:after="0" w:line="240" w:lineRule="auto"/>
        <w:jc w:val="both"/>
        <w:rPr>
          <w:rFonts w:ascii="Arial" w:eastAsia="Calibri" w:hAnsi="Arial" w:cs="Arial"/>
          <w:sz w:val="18"/>
          <w:szCs w:val="18"/>
          <w:lang w:eastAsia="en-US"/>
        </w:rPr>
      </w:pPr>
    </w:p>
    <w:p w14:paraId="6A2CB521" w14:textId="2BC48BBF"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i/>
          <w:sz w:val="20"/>
          <w:szCs w:val="20"/>
          <w:lang w:eastAsia="en-US"/>
        </w:rPr>
        <w:t xml:space="preserve">2. </w:t>
      </w:r>
      <w:r w:rsidRPr="00266E38">
        <w:rPr>
          <w:rFonts w:ascii="Arial" w:eastAsia="Calibri" w:hAnsi="Arial" w:cs="Arial"/>
          <w:b/>
          <w:iCs/>
          <w:sz w:val="20"/>
          <w:szCs w:val="20"/>
          <w:lang w:eastAsia="en-US"/>
        </w:rPr>
        <w:t>A206402</w:t>
      </w:r>
      <w:r w:rsidRPr="00184A8E">
        <w:rPr>
          <w:rFonts w:ascii="Arial" w:eastAsia="Calibri" w:hAnsi="Arial" w:cs="Arial"/>
          <w:b/>
          <w:i/>
          <w:sz w:val="20"/>
          <w:szCs w:val="20"/>
          <w:lang w:eastAsia="en-US"/>
        </w:rPr>
        <w:t xml:space="preserve">: </w:t>
      </w:r>
      <w:r w:rsidRPr="00184A8E">
        <w:rPr>
          <w:rFonts w:ascii="Arial" w:eastAsia="Times New Roman" w:hAnsi="Arial" w:cs="Arial"/>
          <w:b/>
          <w:iCs/>
          <w:sz w:val="20"/>
          <w:szCs w:val="20"/>
          <w:lang w:eastAsia="en-US"/>
        </w:rPr>
        <w:t>Učešće OK u povlačenju sredstava pomoći EU</w:t>
      </w:r>
      <w:r w:rsidRPr="00184A8E">
        <w:rPr>
          <w:rFonts w:ascii="Arial" w:eastAsia="Calibri" w:hAnsi="Arial" w:cs="Arial"/>
          <w:b/>
          <w:sz w:val="20"/>
          <w:szCs w:val="20"/>
          <w:lang w:eastAsia="en-US"/>
        </w:rPr>
        <w:t xml:space="preserve"> -</w:t>
      </w:r>
      <w:r w:rsidRPr="00184A8E">
        <w:rPr>
          <w:rFonts w:ascii="Arial" w:eastAsia="Calibri" w:hAnsi="Arial" w:cs="Arial"/>
          <w:sz w:val="20"/>
          <w:szCs w:val="20"/>
          <w:lang w:eastAsia="en-US"/>
        </w:rPr>
        <w:t xml:space="preserve"> u sklopu aktivnosti su planirani rashodi u iznosu 5</w:t>
      </w:r>
      <w:r w:rsidR="00063230">
        <w:rPr>
          <w:rFonts w:ascii="Arial" w:eastAsia="Calibri" w:hAnsi="Arial" w:cs="Arial"/>
          <w:sz w:val="20"/>
          <w:szCs w:val="20"/>
          <w:lang w:eastAsia="en-US"/>
        </w:rPr>
        <w:t>5</w:t>
      </w:r>
      <w:r w:rsidRPr="00184A8E">
        <w:rPr>
          <w:rFonts w:ascii="Arial" w:eastAsia="Calibri" w:hAnsi="Arial" w:cs="Arial"/>
          <w:sz w:val="20"/>
          <w:szCs w:val="20"/>
          <w:lang w:eastAsia="en-US"/>
        </w:rPr>
        <w:t xml:space="preserve">.000 €. Planirana sredstva se odnose na financijske rashode (učešće za sudjelovanje u projektu). </w:t>
      </w:r>
      <w:r w:rsidR="00063230" w:rsidRPr="00063230">
        <w:rPr>
          <w:rFonts w:ascii="Arial" w:eastAsia="Calibri" w:hAnsi="Arial" w:cs="Arial"/>
          <w:sz w:val="20"/>
          <w:szCs w:val="20"/>
          <w:lang w:eastAsia="en-US"/>
        </w:rPr>
        <w:t xml:space="preserve">Izmjenama proračuna rashodi nisu planirani. </w:t>
      </w:r>
      <w:r w:rsidRPr="00184A8E">
        <w:rPr>
          <w:rFonts w:ascii="Arial" w:eastAsia="Calibri" w:hAnsi="Arial" w:cs="Arial"/>
          <w:sz w:val="20"/>
          <w:szCs w:val="20"/>
        </w:rPr>
        <w:t>Rashodi nisu izvršeni.</w:t>
      </w:r>
    </w:p>
    <w:p w14:paraId="502D93CC" w14:textId="77777777" w:rsidR="00184A8E" w:rsidRPr="00184A8E" w:rsidRDefault="00184A8E" w:rsidP="00184A8E">
      <w:pPr>
        <w:spacing w:after="0" w:line="240" w:lineRule="auto"/>
        <w:jc w:val="both"/>
        <w:rPr>
          <w:rFonts w:ascii="Arial" w:eastAsia="Calibri" w:hAnsi="Arial" w:cs="Arial"/>
          <w:sz w:val="18"/>
          <w:szCs w:val="18"/>
          <w:lang w:eastAsia="en-US"/>
        </w:rPr>
      </w:pPr>
    </w:p>
    <w:tbl>
      <w:tblPr>
        <w:tblStyle w:val="Reetkatablice536"/>
        <w:tblW w:w="14170" w:type="dxa"/>
        <w:jc w:val="center"/>
        <w:tblLayout w:type="fixed"/>
        <w:tblLook w:val="04A0" w:firstRow="1" w:lastRow="0" w:firstColumn="1" w:lastColumn="0" w:noHBand="0" w:noVBand="1"/>
      </w:tblPr>
      <w:tblGrid>
        <w:gridCol w:w="3114"/>
        <w:gridCol w:w="2551"/>
        <w:gridCol w:w="1701"/>
        <w:gridCol w:w="1134"/>
        <w:gridCol w:w="1134"/>
        <w:gridCol w:w="1134"/>
        <w:gridCol w:w="1134"/>
        <w:gridCol w:w="1134"/>
        <w:gridCol w:w="1134"/>
      </w:tblGrid>
      <w:tr w:rsidR="00184A8E" w:rsidRPr="00184A8E" w14:paraId="79A5F934" w14:textId="77777777" w:rsidTr="00410A4B">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F8BC6A8"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Pokazatelj rezultata</w:t>
            </w:r>
          </w:p>
        </w:tc>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0511B29"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Definicija</w:t>
            </w:r>
          </w:p>
        </w:tc>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28BBEC0"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62190D6"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0BE275A" w14:textId="4AC82060"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Polazna vrijednost 202</w:t>
            </w:r>
            <w:r w:rsidR="00063230">
              <w:rPr>
                <w:rFonts w:ascii="Arial" w:eastAsia="Calibri" w:hAnsi="Arial" w:cs="Arial"/>
                <w:sz w:val="18"/>
                <w:szCs w:val="18"/>
                <w:lang w:eastAsia="en-US"/>
              </w:rPr>
              <w:t>4</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9F877B8" w14:textId="572339BA"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063230">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C15A762" w14:textId="7C3562DA"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Izvršeno 20</w:t>
            </w:r>
            <w:r w:rsidR="00063230">
              <w:rPr>
                <w:rFonts w:ascii="Arial" w:eastAsia="Calibri" w:hAnsi="Arial" w:cs="Arial"/>
                <w:sz w:val="18"/>
                <w:szCs w:val="18"/>
                <w:lang w:eastAsia="en-US"/>
              </w:rPr>
              <w:t>25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5C336C3" w14:textId="4C1D510C"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063230">
              <w:rPr>
                <w:rFonts w:ascii="Arial" w:eastAsia="Calibri" w:hAnsi="Arial" w:cs="Arial"/>
                <w:sz w:val="18"/>
                <w:szCs w:val="18"/>
                <w:lang w:eastAsia="en-US"/>
              </w:rPr>
              <w:t>6</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D18C0B7" w14:textId="6FAB6076"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063230">
              <w:rPr>
                <w:rFonts w:ascii="Arial" w:eastAsia="Calibri" w:hAnsi="Arial" w:cs="Arial"/>
                <w:sz w:val="18"/>
                <w:szCs w:val="18"/>
                <w:lang w:eastAsia="en-US"/>
              </w:rPr>
              <w:t>7</w:t>
            </w:r>
            <w:r w:rsidRPr="00184A8E">
              <w:rPr>
                <w:rFonts w:ascii="Arial" w:eastAsia="Calibri" w:hAnsi="Arial" w:cs="Arial"/>
                <w:sz w:val="18"/>
                <w:szCs w:val="18"/>
                <w:lang w:eastAsia="en-US"/>
              </w:rPr>
              <w:t>.</w:t>
            </w:r>
          </w:p>
        </w:tc>
      </w:tr>
      <w:tr w:rsidR="00184A8E" w:rsidRPr="00184A8E" w14:paraId="3E04DD02" w14:textId="77777777" w:rsidTr="00410A4B">
        <w:trPr>
          <w:trHeight w:val="274"/>
          <w:jc w:val="center"/>
        </w:trPr>
        <w:tc>
          <w:tcPr>
            <w:tcW w:w="3114" w:type="dxa"/>
            <w:tcBorders>
              <w:top w:val="single" w:sz="4" w:space="0" w:color="auto"/>
              <w:left w:val="single" w:sz="4" w:space="0" w:color="auto"/>
              <w:bottom w:val="single" w:sz="4" w:space="0" w:color="auto"/>
              <w:right w:val="single" w:sz="4" w:space="0" w:color="auto"/>
            </w:tcBorders>
            <w:vAlign w:val="center"/>
          </w:tcPr>
          <w:p w14:paraId="6F564017" w14:textId="77777777" w:rsidR="00184A8E" w:rsidRPr="00184A8E" w:rsidRDefault="00184A8E" w:rsidP="00184A8E">
            <w:pPr>
              <w:rPr>
                <w:rFonts w:ascii="Arial" w:eastAsia="Calibri" w:hAnsi="Arial" w:cs="Arial"/>
                <w:sz w:val="18"/>
                <w:szCs w:val="18"/>
                <w:lang w:eastAsia="en-US"/>
              </w:rPr>
            </w:pPr>
            <w:r w:rsidRPr="00184A8E">
              <w:rPr>
                <w:rFonts w:ascii="Arial" w:hAnsi="Arial" w:cs="Arial"/>
                <w:sz w:val="18"/>
                <w:szCs w:val="18"/>
              </w:rPr>
              <w:t>Osiguravanje financijskih sredstava potrebnih za učešća u projektima koji se sufinanciraju EU sredstvima</w:t>
            </w:r>
          </w:p>
        </w:tc>
        <w:tc>
          <w:tcPr>
            <w:tcW w:w="2551" w:type="dxa"/>
            <w:tcBorders>
              <w:top w:val="single" w:sz="4" w:space="0" w:color="auto"/>
              <w:left w:val="single" w:sz="4" w:space="0" w:color="auto"/>
              <w:bottom w:val="single" w:sz="4" w:space="0" w:color="auto"/>
              <w:right w:val="single" w:sz="4" w:space="0" w:color="auto"/>
            </w:tcBorders>
            <w:vAlign w:val="center"/>
          </w:tcPr>
          <w:p w14:paraId="5AE5AA77" w14:textId="77777777" w:rsidR="00184A8E" w:rsidRPr="00184A8E" w:rsidRDefault="00184A8E" w:rsidP="00184A8E">
            <w:pPr>
              <w:autoSpaceDE w:val="0"/>
              <w:autoSpaceDN w:val="0"/>
              <w:adjustRightInd w:val="0"/>
              <w:rPr>
                <w:rFonts w:ascii="Arial" w:eastAsia="Calibri" w:hAnsi="Arial" w:cs="Arial"/>
                <w:sz w:val="18"/>
                <w:szCs w:val="18"/>
                <w:lang w:eastAsia="en-US"/>
              </w:rPr>
            </w:pPr>
            <w:r w:rsidRPr="00184A8E">
              <w:rPr>
                <w:rFonts w:ascii="Arial" w:eastAsia="Calibri" w:hAnsi="Arial" w:cs="Arial"/>
                <w:sz w:val="18"/>
                <w:szCs w:val="18"/>
                <w:lang w:eastAsia="en-US"/>
              </w:rPr>
              <w:t>Broj projekata za koje su korištena sredstva učešća</w:t>
            </w:r>
          </w:p>
        </w:tc>
        <w:tc>
          <w:tcPr>
            <w:tcW w:w="1701" w:type="dxa"/>
            <w:tcBorders>
              <w:top w:val="single" w:sz="4" w:space="0" w:color="auto"/>
              <w:left w:val="single" w:sz="4" w:space="0" w:color="auto"/>
              <w:bottom w:val="single" w:sz="4" w:space="0" w:color="auto"/>
              <w:right w:val="single" w:sz="4" w:space="0" w:color="auto"/>
            </w:tcBorders>
            <w:vAlign w:val="center"/>
          </w:tcPr>
          <w:p w14:paraId="37C977AA" w14:textId="77777777" w:rsidR="00184A8E" w:rsidRPr="00184A8E" w:rsidRDefault="00184A8E" w:rsidP="00184A8E">
            <w:pPr>
              <w:jc w:val="center"/>
              <w:rPr>
                <w:rFonts w:ascii="Arial" w:eastAsia="Calibri" w:hAnsi="Arial" w:cs="Arial"/>
                <w:sz w:val="18"/>
                <w:szCs w:val="18"/>
                <w:lang w:eastAsia="en-US"/>
              </w:rPr>
            </w:pPr>
            <w:r w:rsidRPr="00184A8E">
              <w:rPr>
                <w:rFonts w:ascii="Arial" w:hAnsi="Arial" w:cs="Arial"/>
                <w:sz w:val="18"/>
                <w:szCs w:val="18"/>
              </w:rPr>
              <w:t>Broj projekata</w:t>
            </w:r>
          </w:p>
        </w:tc>
        <w:tc>
          <w:tcPr>
            <w:tcW w:w="1134" w:type="dxa"/>
            <w:tcBorders>
              <w:top w:val="single" w:sz="4" w:space="0" w:color="auto"/>
              <w:left w:val="single" w:sz="4" w:space="0" w:color="auto"/>
              <w:bottom w:val="single" w:sz="4" w:space="0" w:color="auto"/>
              <w:right w:val="single" w:sz="4" w:space="0" w:color="auto"/>
            </w:tcBorders>
            <w:vAlign w:val="center"/>
          </w:tcPr>
          <w:p w14:paraId="470085D5"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7A1B0462" w14:textId="1CA0784B"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w:t>
            </w:r>
            <w:r w:rsidR="00063230">
              <w:rPr>
                <w:rFonts w:ascii="Arial"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98412CB"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5AD1E4DD"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4145DA83"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2FDCA078" w14:textId="77777777" w:rsidR="00184A8E" w:rsidRPr="00184A8E" w:rsidRDefault="00184A8E" w:rsidP="00184A8E">
            <w:pPr>
              <w:jc w:val="center"/>
              <w:rPr>
                <w:rFonts w:ascii="Arial" w:hAnsi="Arial" w:cs="Arial"/>
                <w:sz w:val="18"/>
                <w:szCs w:val="18"/>
                <w:lang w:eastAsia="en-US"/>
              </w:rPr>
            </w:pPr>
            <w:r w:rsidRPr="00184A8E">
              <w:rPr>
                <w:rFonts w:ascii="Arial" w:hAnsi="Arial" w:cs="Arial"/>
                <w:sz w:val="18"/>
                <w:szCs w:val="18"/>
                <w:lang w:eastAsia="en-US"/>
              </w:rPr>
              <w:t>1</w:t>
            </w:r>
          </w:p>
        </w:tc>
      </w:tr>
    </w:tbl>
    <w:p w14:paraId="5B9F5F28" w14:textId="77777777" w:rsidR="00184A8E" w:rsidRPr="00184A8E" w:rsidRDefault="00184A8E">
      <w:pPr>
        <w:numPr>
          <w:ilvl w:val="0"/>
          <w:numId w:val="19"/>
        </w:numPr>
        <w:autoSpaceDE w:val="0"/>
        <w:autoSpaceDN w:val="0"/>
        <w:adjustRightInd w:val="0"/>
        <w:spacing w:after="0" w:line="240" w:lineRule="auto"/>
        <w:jc w:val="both"/>
        <w:rPr>
          <w:rFonts w:ascii="Arial" w:eastAsia="Calibri" w:hAnsi="Arial" w:cs="Arial"/>
          <w:sz w:val="18"/>
          <w:szCs w:val="18"/>
          <w:lang w:eastAsia="en-US"/>
        </w:rPr>
      </w:pPr>
      <w:r w:rsidRPr="00184A8E">
        <w:rPr>
          <w:rFonts w:ascii="Arial" w:eastAsia="Calibri" w:hAnsi="Arial" w:cs="Arial"/>
          <w:sz w:val="18"/>
          <w:szCs w:val="18"/>
          <w:lang w:eastAsia="en-US"/>
        </w:rPr>
        <w:t>Iskazivanje osiguranih planiranih sredstava je korišteno tijekom 2024. godine kod prijave na projekte putem javnih natječaja (Fond za zaštitu okoliša i energetsku učinkovitost, Ministarstvo regionalnog razvoja i fondova Europske unije). Nakon odobrenja projekata, sredstva za provedbu se planiraju putem posebne aktivnosti.</w:t>
      </w:r>
    </w:p>
    <w:p w14:paraId="0C125BAC" w14:textId="77777777" w:rsidR="00184A8E" w:rsidRPr="00184A8E" w:rsidRDefault="00184A8E" w:rsidP="00184A8E">
      <w:pPr>
        <w:spacing w:after="0" w:line="240" w:lineRule="auto"/>
        <w:jc w:val="both"/>
        <w:rPr>
          <w:rFonts w:ascii="Arial" w:eastAsia="Calibri" w:hAnsi="Arial" w:cs="Arial"/>
          <w:sz w:val="18"/>
          <w:szCs w:val="18"/>
          <w:lang w:eastAsia="en-US"/>
        </w:rPr>
      </w:pPr>
    </w:p>
    <w:p w14:paraId="37539CAB" w14:textId="26221ED9"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i/>
          <w:sz w:val="20"/>
          <w:szCs w:val="20"/>
          <w:lang w:eastAsia="en-US"/>
        </w:rPr>
        <w:t xml:space="preserve">3. A206403: </w:t>
      </w:r>
      <w:r w:rsidRPr="00184A8E">
        <w:rPr>
          <w:rFonts w:ascii="Arial" w:eastAsia="Times New Roman" w:hAnsi="Arial" w:cs="Arial"/>
          <w:b/>
          <w:iCs/>
          <w:sz w:val="20"/>
          <w:szCs w:val="20"/>
          <w:lang w:eastAsia="en-US"/>
        </w:rPr>
        <w:t>Učešće OK u povlačenju sredstava iz drugih fondova za programe od interesa Općine</w:t>
      </w:r>
      <w:r w:rsidRPr="00184A8E">
        <w:rPr>
          <w:rFonts w:ascii="Arial" w:eastAsia="Calibri" w:hAnsi="Arial" w:cs="Arial"/>
          <w:b/>
          <w:sz w:val="20"/>
          <w:szCs w:val="20"/>
          <w:lang w:eastAsia="en-US"/>
        </w:rPr>
        <w:t xml:space="preserve"> -</w:t>
      </w:r>
      <w:r w:rsidRPr="00184A8E">
        <w:rPr>
          <w:rFonts w:ascii="Arial" w:eastAsia="Calibri" w:hAnsi="Arial" w:cs="Arial"/>
          <w:sz w:val="20"/>
          <w:szCs w:val="20"/>
          <w:lang w:eastAsia="en-US"/>
        </w:rPr>
        <w:t xml:space="preserve"> u sklopu aktivnosti su planirani rashodi u iznosu </w:t>
      </w:r>
      <w:r w:rsidR="00063230">
        <w:rPr>
          <w:rFonts w:ascii="Arial" w:eastAsia="Calibri" w:hAnsi="Arial" w:cs="Arial"/>
          <w:sz w:val="20"/>
          <w:szCs w:val="20"/>
          <w:lang w:eastAsia="en-US"/>
        </w:rPr>
        <w:t>9.500</w:t>
      </w:r>
      <w:r w:rsidRPr="00184A8E">
        <w:rPr>
          <w:rFonts w:ascii="Arial" w:eastAsia="Calibri" w:hAnsi="Arial" w:cs="Arial"/>
          <w:sz w:val="20"/>
          <w:szCs w:val="20"/>
          <w:lang w:eastAsia="en-US"/>
        </w:rPr>
        <w:t xml:space="preserve"> €. Planirana sredstva se odnose na materijalne rashode za učešća za sudjelovanje u projektima.</w:t>
      </w:r>
      <w:r w:rsidRPr="00184A8E">
        <w:rPr>
          <w:rFonts w:ascii="Arial" w:eastAsia="Calibri" w:hAnsi="Arial" w:cs="Arial"/>
          <w:sz w:val="20"/>
          <w:szCs w:val="20"/>
        </w:rPr>
        <w:t xml:space="preserve"> Rashodi nisu izvršeni.</w:t>
      </w:r>
    </w:p>
    <w:p w14:paraId="1DAE1507"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Style w:val="Reetkatablice536"/>
        <w:tblW w:w="14170" w:type="dxa"/>
        <w:jc w:val="center"/>
        <w:tblLayout w:type="fixed"/>
        <w:tblLook w:val="04A0" w:firstRow="1" w:lastRow="0" w:firstColumn="1" w:lastColumn="0" w:noHBand="0" w:noVBand="1"/>
      </w:tblPr>
      <w:tblGrid>
        <w:gridCol w:w="3114"/>
        <w:gridCol w:w="2693"/>
        <w:gridCol w:w="1559"/>
        <w:gridCol w:w="1134"/>
        <w:gridCol w:w="1134"/>
        <w:gridCol w:w="1134"/>
        <w:gridCol w:w="1134"/>
        <w:gridCol w:w="1134"/>
        <w:gridCol w:w="1134"/>
      </w:tblGrid>
      <w:tr w:rsidR="00184A8E" w:rsidRPr="00184A8E" w14:paraId="15FE4BA9" w14:textId="77777777" w:rsidTr="00410A4B">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A697D44" w14:textId="77777777" w:rsidR="00184A8E" w:rsidRPr="00184A8E" w:rsidRDefault="00184A8E" w:rsidP="00184A8E">
            <w:pPr>
              <w:jc w:val="both"/>
              <w:rPr>
                <w:rFonts w:ascii="Arial" w:eastAsia="Calibri" w:hAnsi="Arial" w:cs="Arial"/>
                <w:sz w:val="18"/>
                <w:szCs w:val="18"/>
                <w:lang w:eastAsia="en-US"/>
              </w:rPr>
            </w:pPr>
            <w:r w:rsidRPr="00184A8E">
              <w:rPr>
                <w:rFonts w:ascii="Arial" w:eastAsia="Calibri" w:hAnsi="Arial" w:cs="Arial"/>
                <w:sz w:val="18"/>
                <w:szCs w:val="18"/>
                <w:lang w:eastAsia="en-US"/>
              </w:rPr>
              <w:t>Pokazatelj rezultata</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BF77DBB" w14:textId="77777777" w:rsidR="00184A8E" w:rsidRPr="00184A8E" w:rsidRDefault="00184A8E" w:rsidP="00184A8E">
            <w:pPr>
              <w:jc w:val="both"/>
              <w:rPr>
                <w:rFonts w:ascii="Arial" w:eastAsia="Calibri" w:hAnsi="Arial" w:cs="Arial"/>
                <w:sz w:val="18"/>
                <w:szCs w:val="18"/>
                <w:lang w:eastAsia="en-US"/>
              </w:rPr>
            </w:pPr>
            <w:r w:rsidRPr="00184A8E">
              <w:rPr>
                <w:rFonts w:ascii="Arial" w:eastAsia="Calibri" w:hAnsi="Arial" w:cs="Arial"/>
                <w:sz w:val="18"/>
                <w:szCs w:val="18"/>
                <w:lang w:eastAsia="en-US"/>
              </w:rPr>
              <w:t>Definicija</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09F5B94"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C89254A" w14:textId="77777777" w:rsidR="00184A8E" w:rsidRPr="00184A8E" w:rsidRDefault="00184A8E" w:rsidP="00063230">
            <w:pPr>
              <w:jc w:val="center"/>
              <w:rPr>
                <w:rFonts w:ascii="Arial" w:eastAsia="Calibri" w:hAnsi="Arial" w:cs="Arial"/>
                <w:sz w:val="18"/>
                <w:szCs w:val="18"/>
                <w:lang w:eastAsia="en-US"/>
              </w:rPr>
            </w:pPr>
            <w:r w:rsidRPr="00184A8E">
              <w:rPr>
                <w:rFonts w:ascii="Arial" w:eastAsia="Calibri" w:hAnsi="Arial" w:cs="Arial"/>
                <w:sz w:val="18"/>
                <w:szCs w:val="18"/>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46870A3" w14:textId="365D907F" w:rsidR="00184A8E" w:rsidRPr="00184A8E" w:rsidRDefault="00184A8E" w:rsidP="00063230">
            <w:pPr>
              <w:jc w:val="center"/>
              <w:rPr>
                <w:rFonts w:ascii="Arial" w:eastAsia="Calibri" w:hAnsi="Arial" w:cs="Arial"/>
                <w:sz w:val="18"/>
                <w:szCs w:val="18"/>
                <w:lang w:eastAsia="en-US"/>
              </w:rPr>
            </w:pPr>
            <w:r w:rsidRPr="00184A8E">
              <w:rPr>
                <w:rFonts w:ascii="Arial" w:eastAsia="Calibri" w:hAnsi="Arial" w:cs="Arial"/>
                <w:sz w:val="18"/>
                <w:szCs w:val="18"/>
                <w:lang w:eastAsia="en-US"/>
              </w:rPr>
              <w:t>Polazna vrijednost 202</w:t>
            </w:r>
            <w:r w:rsidR="00063230">
              <w:rPr>
                <w:rFonts w:ascii="Arial" w:eastAsia="Calibri" w:hAnsi="Arial" w:cs="Arial"/>
                <w:sz w:val="18"/>
                <w:szCs w:val="18"/>
                <w:lang w:eastAsia="en-US"/>
              </w:rPr>
              <w:t>4</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5B5CE26" w14:textId="64F2E9FB" w:rsidR="00184A8E" w:rsidRPr="00184A8E" w:rsidRDefault="00184A8E" w:rsidP="00063230">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063230">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B22C5F" w14:textId="6C406787" w:rsidR="00184A8E" w:rsidRPr="00184A8E" w:rsidRDefault="00184A8E" w:rsidP="00063230">
            <w:pPr>
              <w:jc w:val="center"/>
              <w:rPr>
                <w:rFonts w:ascii="Arial" w:eastAsia="Calibri" w:hAnsi="Arial" w:cs="Arial"/>
                <w:sz w:val="18"/>
                <w:szCs w:val="18"/>
                <w:lang w:eastAsia="en-US"/>
              </w:rPr>
            </w:pPr>
            <w:r w:rsidRPr="00184A8E">
              <w:rPr>
                <w:rFonts w:ascii="Arial" w:eastAsia="Calibri" w:hAnsi="Arial" w:cs="Arial"/>
                <w:sz w:val="18"/>
                <w:szCs w:val="18"/>
                <w:lang w:eastAsia="en-US"/>
              </w:rPr>
              <w:t>Izvršeno 202</w:t>
            </w:r>
            <w:r w:rsidR="00063230">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05D0491" w14:textId="45701420" w:rsidR="00184A8E" w:rsidRPr="00184A8E" w:rsidRDefault="00184A8E" w:rsidP="00063230">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063230">
              <w:rPr>
                <w:rFonts w:ascii="Arial" w:eastAsia="Calibri" w:hAnsi="Arial" w:cs="Arial"/>
                <w:sz w:val="18"/>
                <w:szCs w:val="18"/>
                <w:lang w:eastAsia="en-US"/>
              </w:rPr>
              <w:t>6</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B84F029" w14:textId="3C176AF1" w:rsidR="00184A8E" w:rsidRPr="00184A8E" w:rsidRDefault="00184A8E" w:rsidP="00063230">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063230">
              <w:rPr>
                <w:rFonts w:ascii="Arial" w:eastAsia="Calibri" w:hAnsi="Arial" w:cs="Arial"/>
                <w:sz w:val="18"/>
                <w:szCs w:val="18"/>
                <w:lang w:eastAsia="en-US"/>
              </w:rPr>
              <w:t>7</w:t>
            </w:r>
            <w:r w:rsidRPr="00184A8E">
              <w:rPr>
                <w:rFonts w:ascii="Arial" w:eastAsia="Calibri" w:hAnsi="Arial" w:cs="Arial"/>
                <w:sz w:val="18"/>
                <w:szCs w:val="18"/>
                <w:lang w:eastAsia="en-US"/>
              </w:rPr>
              <w:t>.</w:t>
            </w:r>
          </w:p>
        </w:tc>
      </w:tr>
      <w:tr w:rsidR="00184A8E" w:rsidRPr="00184A8E" w14:paraId="674D1E51" w14:textId="77777777" w:rsidTr="00410A4B">
        <w:trPr>
          <w:trHeight w:val="274"/>
          <w:jc w:val="center"/>
        </w:trPr>
        <w:tc>
          <w:tcPr>
            <w:tcW w:w="3114" w:type="dxa"/>
            <w:tcBorders>
              <w:top w:val="single" w:sz="4" w:space="0" w:color="auto"/>
              <w:left w:val="single" w:sz="4" w:space="0" w:color="auto"/>
              <w:bottom w:val="single" w:sz="4" w:space="0" w:color="auto"/>
              <w:right w:val="single" w:sz="4" w:space="0" w:color="auto"/>
            </w:tcBorders>
            <w:vAlign w:val="center"/>
          </w:tcPr>
          <w:p w14:paraId="57A9420C" w14:textId="77777777" w:rsidR="00184A8E" w:rsidRPr="00184A8E" w:rsidRDefault="00184A8E" w:rsidP="00184A8E">
            <w:pPr>
              <w:rPr>
                <w:rFonts w:ascii="Arial" w:eastAsia="Calibri" w:hAnsi="Arial" w:cs="Arial"/>
                <w:sz w:val="18"/>
                <w:szCs w:val="18"/>
                <w:lang w:eastAsia="en-US"/>
              </w:rPr>
            </w:pPr>
            <w:r w:rsidRPr="00184A8E">
              <w:rPr>
                <w:rFonts w:ascii="Arial" w:eastAsia="Calibri" w:hAnsi="Arial" w:cs="Arial"/>
                <w:sz w:val="18"/>
                <w:szCs w:val="18"/>
                <w:lang w:eastAsia="en-US"/>
              </w:rPr>
              <w:t>Osiguravanje financijskih sredstava potrebnih za učešća u projektima koji se sufinanciraju iz proračuna RH ili drugih fondova</w:t>
            </w:r>
          </w:p>
        </w:tc>
        <w:tc>
          <w:tcPr>
            <w:tcW w:w="2693" w:type="dxa"/>
            <w:tcBorders>
              <w:top w:val="single" w:sz="4" w:space="0" w:color="auto"/>
              <w:left w:val="single" w:sz="4" w:space="0" w:color="auto"/>
              <w:bottom w:val="single" w:sz="4" w:space="0" w:color="auto"/>
              <w:right w:val="single" w:sz="4" w:space="0" w:color="auto"/>
            </w:tcBorders>
            <w:vAlign w:val="center"/>
          </w:tcPr>
          <w:p w14:paraId="1357B448"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Broj projekata za koje su korištena sredstva učešća</w:t>
            </w:r>
          </w:p>
        </w:tc>
        <w:tc>
          <w:tcPr>
            <w:tcW w:w="1559" w:type="dxa"/>
            <w:tcBorders>
              <w:top w:val="single" w:sz="4" w:space="0" w:color="auto"/>
              <w:left w:val="single" w:sz="4" w:space="0" w:color="auto"/>
              <w:bottom w:val="single" w:sz="4" w:space="0" w:color="auto"/>
              <w:right w:val="single" w:sz="4" w:space="0" w:color="auto"/>
            </w:tcBorders>
            <w:vAlign w:val="center"/>
          </w:tcPr>
          <w:p w14:paraId="26ABF38B"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Broj projekata</w:t>
            </w:r>
          </w:p>
        </w:tc>
        <w:tc>
          <w:tcPr>
            <w:tcW w:w="1134" w:type="dxa"/>
            <w:tcBorders>
              <w:top w:val="single" w:sz="4" w:space="0" w:color="auto"/>
              <w:left w:val="single" w:sz="4" w:space="0" w:color="auto"/>
              <w:bottom w:val="single" w:sz="4" w:space="0" w:color="auto"/>
              <w:right w:val="single" w:sz="4" w:space="0" w:color="auto"/>
            </w:tcBorders>
            <w:vAlign w:val="center"/>
          </w:tcPr>
          <w:p w14:paraId="2DAAD69E"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0DF82AF1"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494143B"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3FD8C325"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9C3469E"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537915FB"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1</w:t>
            </w:r>
          </w:p>
        </w:tc>
      </w:tr>
    </w:tbl>
    <w:p w14:paraId="1490E4FE" w14:textId="77777777" w:rsidR="00184A8E" w:rsidRDefault="00184A8E">
      <w:pPr>
        <w:numPr>
          <w:ilvl w:val="0"/>
          <w:numId w:val="19"/>
        </w:numPr>
        <w:autoSpaceDE w:val="0"/>
        <w:autoSpaceDN w:val="0"/>
        <w:adjustRightInd w:val="0"/>
        <w:spacing w:after="0" w:line="240" w:lineRule="auto"/>
        <w:jc w:val="both"/>
        <w:rPr>
          <w:rFonts w:ascii="Arial" w:eastAsia="Calibri" w:hAnsi="Arial" w:cs="Arial"/>
          <w:sz w:val="18"/>
          <w:szCs w:val="18"/>
          <w:lang w:eastAsia="en-US"/>
        </w:rPr>
      </w:pPr>
      <w:r w:rsidRPr="00184A8E">
        <w:rPr>
          <w:rFonts w:ascii="Arial" w:eastAsia="Calibri" w:hAnsi="Arial" w:cs="Arial"/>
          <w:sz w:val="18"/>
          <w:szCs w:val="18"/>
          <w:lang w:eastAsia="en-US"/>
        </w:rPr>
        <w:t>Iskazivanje osiguranih planiranih sredstava je korišteno tijekom 2024. godine kod prijave na projekte putem javnih natječaja (Fond za zaštitu okoliša i energetsku učinkovitost, Ministarstvo regionalnog razvoja i fondova Europske unije). Nakon odobrenja projekata, sredstva za provedbu se planiraju putem posebne aktivnosti.</w:t>
      </w:r>
    </w:p>
    <w:p w14:paraId="11613586" w14:textId="77777777" w:rsidR="00225B89" w:rsidRPr="00184A8E" w:rsidRDefault="00225B89" w:rsidP="00225B89">
      <w:pPr>
        <w:autoSpaceDE w:val="0"/>
        <w:autoSpaceDN w:val="0"/>
        <w:adjustRightInd w:val="0"/>
        <w:spacing w:after="0" w:line="240" w:lineRule="auto"/>
        <w:ind w:left="720"/>
        <w:jc w:val="both"/>
        <w:rPr>
          <w:rFonts w:ascii="Arial" w:eastAsia="Calibri" w:hAnsi="Arial" w:cs="Arial"/>
          <w:sz w:val="18"/>
          <w:szCs w:val="18"/>
          <w:lang w:eastAsia="en-US"/>
        </w:rPr>
      </w:pPr>
    </w:p>
    <w:p w14:paraId="15AD9667"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Aktivnosti vezane uz opće ciljeve postignute su sukladno postocima izvršenja i u skladu s očekivanom dinamikom izvršenja rashoda. </w:t>
      </w:r>
      <w:r w:rsidRPr="00184A8E">
        <w:rPr>
          <w:rFonts w:ascii="Arial" w:eastAsia="Calibri" w:hAnsi="Arial" w:cs="Arial"/>
          <w:sz w:val="20"/>
          <w:szCs w:val="20"/>
        </w:rPr>
        <w:br w:type="page"/>
      </w:r>
    </w:p>
    <w:p w14:paraId="3F6FB4C0"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625" w:name="_Toc200628548"/>
      <w:bookmarkStart w:id="626" w:name="_Toc232981480"/>
      <w:r w:rsidRPr="00184A8E">
        <w:rPr>
          <w:rFonts w:ascii="Times New Roman" w:eastAsia="Calibri" w:hAnsi="Times New Roman" w:cs="Times New Roman"/>
          <w:b/>
          <w:sz w:val="24"/>
          <w:szCs w:val="20"/>
          <w:lang w:eastAsia="en-US"/>
        </w:rPr>
        <w:lastRenderedPageBreak/>
        <w:t>Program (2065): Redovan rad UO za ruralni razvoj, gospodarstvo i EU fondove – povremeni opći troškovi u nadležnosti odjela</w:t>
      </w:r>
      <w:bookmarkEnd w:id="625"/>
      <w:bookmarkEnd w:id="626"/>
    </w:p>
    <w:p w14:paraId="3B760098" w14:textId="77777777" w:rsidR="00184A8E" w:rsidRPr="00184A8E" w:rsidRDefault="00184A8E" w:rsidP="00184A8E">
      <w:pPr>
        <w:spacing w:after="0" w:line="240" w:lineRule="auto"/>
        <w:jc w:val="both"/>
        <w:rPr>
          <w:rFonts w:ascii="Arial" w:eastAsia="Calibri" w:hAnsi="Arial" w:cs="Arial"/>
          <w:sz w:val="20"/>
          <w:szCs w:val="20"/>
          <w:lang w:eastAsia="en-US"/>
        </w:rPr>
      </w:pPr>
    </w:p>
    <w:p w14:paraId="39018EB3"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Ovim programom osiguravaju se sredstva za redovan rad upravnog odjela. </w:t>
      </w:r>
    </w:p>
    <w:p w14:paraId="0BCC4DCF" w14:textId="77777777" w:rsidR="00184A8E" w:rsidRPr="00184A8E" w:rsidRDefault="00184A8E" w:rsidP="00184A8E">
      <w:pPr>
        <w:spacing w:after="0" w:line="240" w:lineRule="auto"/>
        <w:jc w:val="both"/>
        <w:rPr>
          <w:rFonts w:ascii="Arial" w:eastAsia="Calibri" w:hAnsi="Arial" w:cs="Arial"/>
          <w:sz w:val="20"/>
          <w:szCs w:val="20"/>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5"/>
        <w:gridCol w:w="12728"/>
      </w:tblGrid>
      <w:tr w:rsidR="00184A8E" w:rsidRPr="00184A8E" w14:paraId="2045867A" w14:textId="77777777" w:rsidTr="00410A4B">
        <w:tc>
          <w:tcPr>
            <w:tcW w:w="1555" w:type="dxa"/>
          </w:tcPr>
          <w:p w14:paraId="37D1BD71"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728" w:type="dxa"/>
            <w:tcBorders>
              <w:top w:val="dotted" w:sz="4" w:space="0" w:color="auto"/>
              <w:left w:val="dotted" w:sz="4" w:space="0" w:color="auto"/>
              <w:bottom w:val="dotted" w:sz="4" w:space="0" w:color="auto"/>
              <w:right w:val="dotted" w:sz="4" w:space="0" w:color="auto"/>
            </w:tcBorders>
          </w:tcPr>
          <w:p w14:paraId="045D5738"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Programom se omogućava redovno obavljanje zadataka u nadležnosti odjela.</w:t>
            </w:r>
          </w:p>
          <w:p w14:paraId="0BE7B78B" w14:textId="77777777" w:rsidR="00184A8E" w:rsidRPr="00184A8E" w:rsidRDefault="00184A8E" w:rsidP="00184A8E">
            <w:pPr>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Programom se osiguravaju materijalni i drugi uvjeti za kandidiranje projekta u suradnji s drugim upravnim tijelima i partnerima za fondove EU i druge fondove i za njihovu realizaciju.</w:t>
            </w:r>
          </w:p>
          <w:p w14:paraId="53790BD0"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Putem ovog programa iskazuju se i rashodi nastali u svezi pripreme i praćenja projekata, te iznalaženja novih mogućnosti kandidiranja projekata iz djelokruga upravnog tijela za financiranje putem programa EU, RH i drugih subjekata u suradnji ostalim upravnim odjelima, razvojnom agencijom i drugim subjektima i institucijama.</w:t>
            </w:r>
          </w:p>
          <w:p w14:paraId="65C70CD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Planiraju se sredstva za pripremu i prijavu projekata na programe prekogranične suradnje, te druge projekte koji će se otvoriti u 2018. godini te samo inicijalna sredstva za prijavljene projekte, ukoliko projekti budu odobreni.</w:t>
            </w:r>
          </w:p>
        </w:tc>
      </w:tr>
      <w:tr w:rsidR="00184A8E" w:rsidRPr="00184A8E" w14:paraId="1FF3687D" w14:textId="77777777" w:rsidTr="00410A4B">
        <w:tc>
          <w:tcPr>
            <w:tcW w:w="1555" w:type="dxa"/>
          </w:tcPr>
          <w:p w14:paraId="2644CA64"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ZAKONSKE I DRUGE PRAVNE OSNOVE PROGRAMA:</w:t>
            </w:r>
          </w:p>
        </w:tc>
        <w:tc>
          <w:tcPr>
            <w:tcW w:w="12728" w:type="dxa"/>
            <w:tcBorders>
              <w:top w:val="dotted" w:sz="4" w:space="0" w:color="auto"/>
              <w:left w:val="dotted" w:sz="4" w:space="0" w:color="auto"/>
              <w:bottom w:val="dotted" w:sz="4" w:space="0" w:color="auto"/>
              <w:right w:val="dotted" w:sz="4" w:space="0" w:color="auto"/>
            </w:tcBorders>
          </w:tcPr>
          <w:p w14:paraId="38153086" w14:textId="61FA7DBF"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rPr>
              <w:t>Zakon o lokalnoj i područnoj (regionalnoj) samoupravi (NN 33/01,60/01,129/05, 109/07,125/08, 36/09, 150/11, 144/12, 19/13, 137/15, 123/17, 98/19, 144/20), Zakon o financiranju jedinica lokalne i područne (regionalne) samouprave (NN 127/17, 138/20, 151/22, 114/23), Zakon o proračunu (NN 144/21), Zakon o poticanju razvoja malog gospodarstva (NN 29/02, 63/07, 53/12, 56/13, 121/16), Zakon o poljoprivredi (NN 118/18, 42/20, 127/20, 52/21, 152/22, 152/24), Zakon o poljoprivrednom zemljištu (NN 20/18, 115/18, 98/19, 57/22</w:t>
            </w:r>
            <w:r w:rsidR="00D7656C">
              <w:rPr>
                <w:rFonts w:ascii="Arial" w:eastAsia="Times New Roman" w:hAnsi="Arial" w:cs="Arial"/>
                <w:sz w:val="20"/>
                <w:szCs w:val="20"/>
              </w:rPr>
              <w:t>, 136/25</w:t>
            </w:r>
            <w:r w:rsidRPr="00184A8E">
              <w:rPr>
                <w:rFonts w:ascii="Arial" w:eastAsia="Times New Roman" w:hAnsi="Arial" w:cs="Arial"/>
                <w:sz w:val="20"/>
                <w:szCs w:val="20"/>
              </w:rPr>
              <w:t>), drugi zakoni s područja financija, gospodarstva, poljoprivrede i EU propisa</w:t>
            </w:r>
          </w:p>
        </w:tc>
      </w:tr>
      <w:tr w:rsidR="00184A8E" w:rsidRPr="00184A8E" w14:paraId="720AA72A" w14:textId="77777777" w:rsidTr="00410A4B">
        <w:tc>
          <w:tcPr>
            <w:tcW w:w="1555" w:type="dxa"/>
            <w:vAlign w:val="bottom"/>
          </w:tcPr>
          <w:p w14:paraId="57FC34C9" w14:textId="77777777" w:rsidR="00184A8E" w:rsidRPr="00184A8E" w:rsidRDefault="00184A8E" w:rsidP="00184A8E">
            <w:pPr>
              <w:spacing w:after="0" w:line="240" w:lineRule="auto"/>
              <w:jc w:val="both"/>
              <w:rPr>
                <w:rFonts w:ascii="Arial" w:eastAsia="Calibri" w:hAnsi="Arial" w:cs="Arial"/>
                <w:caps/>
                <w:sz w:val="20"/>
                <w:szCs w:val="20"/>
                <w:lang w:eastAsia="en-US"/>
              </w:rPr>
            </w:pPr>
            <w:r w:rsidRPr="00184A8E">
              <w:rPr>
                <w:rFonts w:ascii="Arial" w:eastAsia="Calibri" w:hAnsi="Arial" w:cs="Arial"/>
                <w:caps/>
                <w:sz w:val="20"/>
                <w:szCs w:val="20"/>
                <w:lang w:eastAsia="en-US"/>
              </w:rPr>
              <w:t>Opći cilj:</w:t>
            </w:r>
          </w:p>
        </w:tc>
        <w:tc>
          <w:tcPr>
            <w:tcW w:w="12728" w:type="dxa"/>
            <w:vAlign w:val="bottom"/>
          </w:tcPr>
          <w:p w14:paraId="0181F7C3"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Osigurati sredstva za izvršavanje aktivnosti iz nadležnosti, te potpore upravnim tijelima općinske uprave na poslovima kandidiranja projekata za financiranje od strane europskih i drugih fondova. </w:t>
            </w:r>
          </w:p>
        </w:tc>
      </w:tr>
      <w:tr w:rsidR="00184A8E" w:rsidRPr="00184A8E" w14:paraId="79421067" w14:textId="77777777" w:rsidTr="00410A4B">
        <w:tc>
          <w:tcPr>
            <w:tcW w:w="1555" w:type="dxa"/>
            <w:vAlign w:val="bottom"/>
          </w:tcPr>
          <w:p w14:paraId="1DBBE05C" w14:textId="77777777" w:rsidR="00184A8E" w:rsidRPr="00184A8E" w:rsidRDefault="00184A8E" w:rsidP="00184A8E">
            <w:pPr>
              <w:spacing w:after="0" w:line="240" w:lineRule="auto"/>
              <w:jc w:val="both"/>
              <w:rPr>
                <w:rFonts w:ascii="Arial" w:eastAsia="Calibri" w:hAnsi="Arial" w:cs="Arial"/>
                <w:caps/>
                <w:sz w:val="20"/>
                <w:szCs w:val="20"/>
                <w:lang w:eastAsia="en-US"/>
              </w:rPr>
            </w:pPr>
            <w:r w:rsidRPr="00184A8E">
              <w:rPr>
                <w:rFonts w:ascii="Arial" w:eastAsia="Calibri" w:hAnsi="Arial" w:cs="Arial"/>
                <w:sz w:val="20"/>
                <w:szCs w:val="20"/>
                <w:lang w:eastAsia="en-US"/>
              </w:rPr>
              <w:t>POSEBNI CILJEVI:</w:t>
            </w:r>
          </w:p>
        </w:tc>
        <w:tc>
          <w:tcPr>
            <w:tcW w:w="12728" w:type="dxa"/>
            <w:vAlign w:val="bottom"/>
          </w:tcPr>
          <w:p w14:paraId="4B9AF03B"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 xml:space="preserve">Ciljevi programa su osiguravanje uvjeta za </w:t>
            </w:r>
            <w:r w:rsidRPr="00184A8E">
              <w:rPr>
                <w:rFonts w:ascii="Arial" w:eastAsia="Times New Roman" w:hAnsi="Arial" w:cs="Times New Roman"/>
                <w:sz w:val="20"/>
                <w:szCs w:val="20"/>
                <w:lang w:eastAsia="en-US"/>
              </w:rPr>
              <w:t xml:space="preserve">kandidiranje na natječaje (od kojih su neki u tijeku) za financiranje kapitalnih objekata i tekućih izdataka kroz projekte, </w:t>
            </w:r>
            <w:r w:rsidRPr="00184A8E">
              <w:rPr>
                <w:rFonts w:ascii="Arial" w:eastAsia="Calibri" w:hAnsi="Arial" w:cs="Arial"/>
                <w:sz w:val="20"/>
                <w:szCs w:val="20"/>
                <w:lang w:eastAsia="en-US"/>
              </w:rPr>
              <w:t>uspješna provedba započetog projekta, te praćenje otvorenih natječaja na koje se mogu prijaviti projekti Općine. Pravovremeno obavljanje djelatnosti iz nadležnosti tijela (priprema za prijavu na natječaje, sudjelovanje na raznim seminarima i radionicama, promidžbene aktivnosti, praćenje EU projekata, izrada studija i analiza i drugo.)</w:t>
            </w:r>
          </w:p>
          <w:p w14:paraId="11FED3DD"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Uspješno kandidiranje projekata za financiranje od strane europskih i drugih fondova</w:t>
            </w:r>
          </w:p>
          <w:p w14:paraId="7812833F"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Uspješno odobreni projekti od strane nadležnih institucija</w:t>
            </w:r>
          </w:p>
        </w:tc>
      </w:tr>
    </w:tbl>
    <w:p w14:paraId="767C3DD2" w14:textId="77777777" w:rsidR="00184A8E" w:rsidRPr="00184A8E" w:rsidRDefault="00184A8E" w:rsidP="00184A8E">
      <w:pPr>
        <w:spacing w:after="0" w:line="240" w:lineRule="auto"/>
        <w:jc w:val="both"/>
        <w:rPr>
          <w:rFonts w:ascii="Arial" w:eastAsia="Calibri" w:hAnsi="Arial" w:cs="Arial"/>
          <w:sz w:val="20"/>
          <w:szCs w:val="20"/>
          <w:lang w:eastAsia="en-US"/>
        </w:rPr>
      </w:pPr>
    </w:p>
    <w:p w14:paraId="175C8B9D"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5464D648" w14:textId="77777777" w:rsidR="00184A8E" w:rsidRPr="00184A8E" w:rsidRDefault="00184A8E" w:rsidP="00184A8E">
      <w:pPr>
        <w:spacing w:after="0" w:line="240" w:lineRule="auto"/>
        <w:jc w:val="both"/>
        <w:rPr>
          <w:rFonts w:ascii="Arial" w:eastAsia="Calibri" w:hAnsi="Arial" w:cs="Arial"/>
          <w:sz w:val="20"/>
          <w:szCs w:val="20"/>
          <w:lang w:eastAsia="en-US"/>
        </w:rPr>
      </w:pPr>
    </w:p>
    <w:p w14:paraId="3B7D769A" w14:textId="427500AD"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Izvršenje aktivnosti sadržanih u ovom programu za 2018.-202</w:t>
      </w:r>
      <w:r w:rsidR="00D7656C">
        <w:rPr>
          <w:rFonts w:ascii="Arial" w:eastAsia="Calibri" w:hAnsi="Arial" w:cs="Arial"/>
          <w:sz w:val="20"/>
          <w:szCs w:val="20"/>
        </w:rPr>
        <w:t>4</w:t>
      </w:r>
      <w:r w:rsidRPr="00184A8E">
        <w:rPr>
          <w:rFonts w:ascii="Arial" w:eastAsia="Calibri" w:hAnsi="Arial" w:cs="Arial"/>
          <w:sz w:val="20"/>
          <w:szCs w:val="20"/>
        </w:rPr>
        <w:t>., plan za 202</w:t>
      </w:r>
      <w:r w:rsidR="00D7656C">
        <w:rPr>
          <w:rFonts w:ascii="Arial" w:eastAsia="Calibri" w:hAnsi="Arial" w:cs="Arial"/>
          <w:sz w:val="20"/>
          <w:szCs w:val="20"/>
        </w:rPr>
        <w:t>5</w:t>
      </w:r>
      <w:r w:rsidRPr="00184A8E">
        <w:rPr>
          <w:rFonts w:ascii="Arial" w:eastAsia="Calibri" w:hAnsi="Arial" w:cs="Arial"/>
          <w:sz w:val="20"/>
          <w:szCs w:val="20"/>
        </w:rPr>
        <w:t>., izvršenje za 202</w:t>
      </w:r>
      <w:r w:rsidR="00D7656C">
        <w:rPr>
          <w:rFonts w:ascii="Arial" w:eastAsia="Calibri" w:hAnsi="Arial" w:cs="Arial"/>
          <w:sz w:val="20"/>
          <w:szCs w:val="20"/>
        </w:rPr>
        <w:t>5</w:t>
      </w:r>
      <w:r w:rsidRPr="00184A8E">
        <w:rPr>
          <w:rFonts w:ascii="Arial" w:eastAsia="Calibri" w:hAnsi="Arial" w:cs="Arial"/>
          <w:sz w:val="20"/>
          <w:szCs w:val="20"/>
        </w:rPr>
        <w:t>., projekcije za 202</w:t>
      </w:r>
      <w:r w:rsidR="00D7656C">
        <w:rPr>
          <w:rFonts w:ascii="Arial" w:eastAsia="Calibri" w:hAnsi="Arial" w:cs="Arial"/>
          <w:sz w:val="20"/>
          <w:szCs w:val="20"/>
        </w:rPr>
        <w:t>6</w:t>
      </w:r>
      <w:r w:rsidRPr="00184A8E">
        <w:rPr>
          <w:rFonts w:ascii="Arial" w:eastAsia="Calibri" w:hAnsi="Arial" w:cs="Arial"/>
          <w:sz w:val="20"/>
          <w:szCs w:val="20"/>
        </w:rPr>
        <w:t>.-202</w:t>
      </w:r>
      <w:r w:rsidR="00D7656C">
        <w:rPr>
          <w:rFonts w:ascii="Arial" w:eastAsia="Calibri" w:hAnsi="Arial" w:cs="Arial"/>
          <w:sz w:val="20"/>
          <w:szCs w:val="20"/>
        </w:rPr>
        <w:t>7</w:t>
      </w:r>
      <w:r w:rsidRPr="00184A8E">
        <w:rPr>
          <w:rFonts w:ascii="Arial" w:eastAsia="Calibri" w:hAnsi="Arial" w:cs="Arial"/>
          <w:sz w:val="20"/>
          <w:szCs w:val="20"/>
        </w:rPr>
        <w:t>. iskazuju se kako slijedi:</w:t>
      </w:r>
    </w:p>
    <w:p w14:paraId="573BC1BE" w14:textId="77777777" w:rsidR="00184A8E" w:rsidRPr="00184A8E" w:rsidRDefault="00184A8E" w:rsidP="00184A8E">
      <w:pPr>
        <w:spacing w:after="0" w:line="240" w:lineRule="auto"/>
        <w:jc w:val="both"/>
        <w:rPr>
          <w:rFonts w:ascii="Arial" w:eastAsia="Calibri" w:hAnsi="Arial" w:cs="Arial"/>
          <w:sz w:val="16"/>
          <w:szCs w:val="20"/>
        </w:rPr>
      </w:pPr>
    </w:p>
    <w:p w14:paraId="2A848106" w14:textId="284D7688" w:rsidR="00184A8E" w:rsidRDefault="00D7656C" w:rsidP="00184A8E">
      <w:pPr>
        <w:spacing w:after="0" w:line="240" w:lineRule="auto"/>
        <w:jc w:val="both"/>
        <w:rPr>
          <w:rFonts w:ascii="Arial" w:eastAsia="Calibri" w:hAnsi="Arial" w:cs="Arial"/>
          <w:b/>
          <w:color w:val="FF0000"/>
          <w:sz w:val="20"/>
          <w:szCs w:val="20"/>
          <w:lang w:eastAsia="en-US"/>
        </w:rPr>
      </w:pPr>
      <w:r w:rsidRPr="00D7656C">
        <w:rPr>
          <w:noProof/>
        </w:rPr>
        <w:drawing>
          <wp:inline distT="0" distB="0" distL="0" distR="0" wp14:anchorId="6E135AA4" wp14:editId="746F93BE">
            <wp:extent cx="9251950" cy="1605915"/>
            <wp:effectExtent l="0" t="0" r="6350" b="0"/>
            <wp:docPr id="205233628"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9251950" cy="1605915"/>
                    </a:xfrm>
                    <a:prstGeom prst="rect">
                      <a:avLst/>
                    </a:prstGeom>
                    <a:noFill/>
                    <a:ln>
                      <a:noFill/>
                    </a:ln>
                  </pic:spPr>
                </pic:pic>
              </a:graphicData>
            </a:graphic>
          </wp:inline>
        </w:drawing>
      </w:r>
    </w:p>
    <w:p w14:paraId="277D81B0" w14:textId="77777777" w:rsidR="00D7656C" w:rsidRPr="00225B89" w:rsidRDefault="00D7656C" w:rsidP="00184A8E">
      <w:pPr>
        <w:spacing w:after="0" w:line="240" w:lineRule="auto"/>
        <w:jc w:val="both"/>
        <w:rPr>
          <w:rFonts w:ascii="Arial" w:eastAsia="Calibri" w:hAnsi="Arial" w:cs="Arial"/>
          <w:b/>
          <w:sz w:val="20"/>
          <w:szCs w:val="20"/>
          <w:lang w:eastAsia="en-US"/>
        </w:rPr>
      </w:pPr>
    </w:p>
    <w:p w14:paraId="38568558"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6A46435A"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2492D15A" w14:textId="77777777" w:rsidR="00184A8E" w:rsidRPr="00184A8E" w:rsidRDefault="00184A8E" w:rsidP="00184A8E">
      <w:pPr>
        <w:spacing w:after="0" w:line="240" w:lineRule="auto"/>
        <w:jc w:val="both"/>
        <w:rPr>
          <w:rFonts w:ascii="Arial" w:eastAsia="Calibri" w:hAnsi="Arial" w:cs="Arial"/>
          <w:b/>
          <w:sz w:val="20"/>
          <w:szCs w:val="20"/>
          <w:lang w:eastAsia="en-US"/>
        </w:rPr>
      </w:pPr>
    </w:p>
    <w:p w14:paraId="2F7634A0" w14:textId="77777777" w:rsidR="00184A8E" w:rsidRPr="00184A8E" w:rsidRDefault="00184A8E" w:rsidP="00184A8E">
      <w:pPr>
        <w:spacing w:after="0" w:line="240" w:lineRule="auto"/>
        <w:jc w:val="both"/>
        <w:rPr>
          <w:rFonts w:ascii="Arial" w:eastAsia="Calibri" w:hAnsi="Arial" w:cs="Arial"/>
          <w:i/>
          <w:sz w:val="20"/>
          <w:szCs w:val="20"/>
          <w:lang w:eastAsia="en-US"/>
        </w:rPr>
      </w:pPr>
      <w:r w:rsidRPr="00184A8E">
        <w:rPr>
          <w:rFonts w:ascii="Arial" w:eastAsia="Calibri" w:hAnsi="Arial" w:cs="Arial"/>
          <w:b/>
          <w:sz w:val="20"/>
          <w:szCs w:val="20"/>
          <w:lang w:eastAsia="en-US"/>
        </w:rPr>
        <w:t>Ishodište i pokazatelji na kojima se zasnivaju izračuni i ocjene</w:t>
      </w:r>
      <w:r w:rsidRPr="00184A8E">
        <w:rPr>
          <w:rFonts w:ascii="Arial" w:eastAsia="Calibri" w:hAnsi="Arial" w:cs="Arial"/>
          <w:sz w:val="20"/>
          <w:szCs w:val="20"/>
          <w:lang w:eastAsia="en-US"/>
        </w:rPr>
        <w:t xml:space="preserve"> </w:t>
      </w:r>
      <w:r w:rsidRPr="00184A8E">
        <w:rPr>
          <w:rFonts w:ascii="Arial" w:eastAsia="Calibri" w:hAnsi="Arial" w:cs="Arial"/>
          <w:b/>
          <w:sz w:val="20"/>
          <w:szCs w:val="20"/>
          <w:lang w:eastAsia="en-US"/>
        </w:rPr>
        <w:t>potrebnih sredstava za provođenje programa:</w:t>
      </w:r>
      <w:r w:rsidRPr="00184A8E">
        <w:rPr>
          <w:rFonts w:ascii="Arial" w:eastAsia="Calibri" w:hAnsi="Arial" w:cs="Arial"/>
          <w:sz w:val="20"/>
          <w:szCs w:val="20"/>
          <w:lang w:eastAsia="en-US"/>
        </w:rPr>
        <w:t xml:space="preserve"> Planske veličine su određene u predloženim iznosima temeljem ostvarenih ciljeva i postignutih rezultata iz prethodnih godina, te predviđanja promjena u izvršenju ciljeva u narednom razdoblju.</w:t>
      </w:r>
    </w:p>
    <w:p w14:paraId="64CDAA2D" w14:textId="5C6C68B4" w:rsidR="00184A8E" w:rsidRPr="00184A8E" w:rsidRDefault="00184A8E" w:rsidP="00184A8E">
      <w:pPr>
        <w:spacing w:after="0" w:line="240" w:lineRule="auto"/>
        <w:jc w:val="both"/>
        <w:rPr>
          <w:rFonts w:ascii="Arial" w:eastAsia="Calibri" w:hAnsi="Arial" w:cs="Arial"/>
          <w:bCs/>
          <w:sz w:val="20"/>
          <w:szCs w:val="20"/>
        </w:rPr>
      </w:pPr>
      <w:r w:rsidRPr="00184A8E">
        <w:rPr>
          <w:rFonts w:ascii="Arial" w:eastAsia="Calibri" w:hAnsi="Arial" w:cs="Arial"/>
          <w:b/>
          <w:sz w:val="20"/>
          <w:szCs w:val="20"/>
          <w:lang w:eastAsia="en-US"/>
        </w:rPr>
        <w:t xml:space="preserve">Izvještaj o postignutim ciljevima i rezultatima programa temeljenim na pokazateljima uspješnosti u prethodnoj godini: </w:t>
      </w:r>
      <w:r w:rsidRPr="00184A8E">
        <w:rPr>
          <w:rFonts w:ascii="Arial" w:eastAsia="Calibri" w:hAnsi="Arial" w:cs="Arial"/>
          <w:bCs/>
          <w:sz w:val="20"/>
          <w:szCs w:val="20"/>
        </w:rPr>
        <w:t xml:space="preserve">Izvršenje je </w:t>
      </w:r>
      <w:r w:rsidR="00D7656C">
        <w:rPr>
          <w:rFonts w:ascii="Arial" w:eastAsia="Calibri" w:hAnsi="Arial" w:cs="Arial"/>
          <w:bCs/>
          <w:sz w:val="20"/>
          <w:szCs w:val="20"/>
        </w:rPr>
        <w:t>manje od</w:t>
      </w:r>
      <w:r w:rsidRPr="00184A8E">
        <w:rPr>
          <w:rFonts w:ascii="Arial" w:eastAsia="Calibri" w:hAnsi="Arial" w:cs="Arial"/>
          <w:bCs/>
          <w:sz w:val="20"/>
          <w:szCs w:val="20"/>
        </w:rPr>
        <w:t xml:space="preserve"> očekivanih vrijednosti.</w:t>
      </w:r>
    </w:p>
    <w:p w14:paraId="41066833" w14:textId="77777777" w:rsidR="00184A8E" w:rsidRPr="00184A8E" w:rsidRDefault="00184A8E" w:rsidP="00184A8E">
      <w:pPr>
        <w:spacing w:after="0" w:line="240" w:lineRule="auto"/>
        <w:jc w:val="both"/>
        <w:rPr>
          <w:rFonts w:ascii="Arial" w:eastAsia="Calibri" w:hAnsi="Arial" w:cs="Arial"/>
          <w:sz w:val="20"/>
          <w:szCs w:val="20"/>
          <w:lang w:eastAsia="en-US"/>
        </w:rPr>
      </w:pPr>
    </w:p>
    <w:p w14:paraId="2DD83CED"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5BA6261D" w14:textId="77777777" w:rsidR="00184A8E" w:rsidRPr="00184A8E" w:rsidRDefault="00184A8E" w:rsidP="00184A8E">
      <w:pPr>
        <w:spacing w:after="0" w:line="240" w:lineRule="auto"/>
        <w:jc w:val="both"/>
        <w:rPr>
          <w:rFonts w:ascii="Arial" w:eastAsia="Calibri" w:hAnsi="Arial" w:cs="Arial"/>
          <w:sz w:val="20"/>
          <w:szCs w:val="20"/>
        </w:rPr>
      </w:pPr>
    </w:p>
    <w:p w14:paraId="10111475" w14:textId="77777777"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Unutar programa se izvode slijedeće aktivnosti i projekti:</w:t>
      </w:r>
    </w:p>
    <w:p w14:paraId="7A4A91E2"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p>
    <w:p w14:paraId="19CB92F3" w14:textId="3585373F" w:rsidR="00184A8E" w:rsidRPr="000754B1"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1. A206501: Aktivnosti redovnog rada upravnog odjela - </w:t>
      </w:r>
      <w:r w:rsidRPr="00184A8E">
        <w:rPr>
          <w:rFonts w:ascii="Arial" w:eastAsia="Calibri" w:hAnsi="Arial" w:cs="Arial"/>
          <w:sz w:val="20"/>
          <w:szCs w:val="20"/>
          <w:lang w:eastAsia="en-US"/>
        </w:rPr>
        <w:t xml:space="preserve">u sklopu aktivnosti su rashodi u iznosu </w:t>
      </w:r>
      <w:r w:rsidR="00D7656C">
        <w:rPr>
          <w:rFonts w:ascii="Arial" w:eastAsia="Calibri" w:hAnsi="Arial" w:cs="Arial"/>
          <w:sz w:val="20"/>
          <w:szCs w:val="20"/>
          <w:lang w:eastAsia="en-US"/>
        </w:rPr>
        <w:t>17.100</w:t>
      </w:r>
      <w:r w:rsidRPr="00184A8E">
        <w:rPr>
          <w:rFonts w:ascii="Arial" w:eastAsia="Calibri" w:hAnsi="Arial" w:cs="Arial"/>
          <w:sz w:val="20"/>
          <w:szCs w:val="20"/>
          <w:lang w:eastAsia="en-US"/>
        </w:rPr>
        <w:t xml:space="preserve"> € za materijalne rashode i rashode za usluge u nadležnosti odjela, troškovi povezani s pripremanjem dokumentacije u svrhu prijave na projekte sufinancirane od EU i drugih institucija i drugo. Svi vrijednosno manji rashodi ovog upravnog </w:t>
      </w:r>
      <w:r w:rsidRPr="000754B1">
        <w:rPr>
          <w:rFonts w:ascii="Arial" w:eastAsia="Calibri" w:hAnsi="Arial" w:cs="Arial"/>
          <w:sz w:val="20"/>
          <w:szCs w:val="20"/>
          <w:lang w:eastAsia="en-US"/>
        </w:rPr>
        <w:t xml:space="preserve">odjela se uglavnom odnose na opće troškove koji se evidentiraju unutar aktivnosti A201001, zajednički troškovi upravnih tijela, dok se u okviru ove aktivnosti evidentiraju isključivo rashodi vezani uz osiguranje bitnih preduvjeta za provedbu svih drugih aktivnosti unutar upravnog odjela. </w:t>
      </w:r>
    </w:p>
    <w:p w14:paraId="31D133E5" w14:textId="77777777" w:rsidR="00184A8E" w:rsidRPr="000754B1" w:rsidRDefault="00184A8E" w:rsidP="00184A8E">
      <w:pPr>
        <w:spacing w:after="0" w:line="240" w:lineRule="auto"/>
        <w:jc w:val="both"/>
        <w:rPr>
          <w:rFonts w:ascii="Arial" w:eastAsia="Calibri" w:hAnsi="Arial" w:cs="Arial"/>
          <w:sz w:val="20"/>
          <w:szCs w:val="20"/>
          <w:lang w:eastAsia="en-US"/>
        </w:rPr>
      </w:pPr>
    </w:p>
    <w:p w14:paraId="41C093D6" w14:textId="752C3719" w:rsidR="00184A8E" w:rsidRPr="000754B1" w:rsidRDefault="00184A8E" w:rsidP="00184A8E">
      <w:pPr>
        <w:spacing w:after="0" w:line="240" w:lineRule="auto"/>
        <w:jc w:val="both"/>
        <w:rPr>
          <w:rFonts w:ascii="Arial" w:eastAsia="Calibri" w:hAnsi="Arial" w:cs="Arial"/>
          <w:sz w:val="20"/>
          <w:szCs w:val="20"/>
          <w:lang w:eastAsia="en-US"/>
        </w:rPr>
      </w:pPr>
      <w:r w:rsidRPr="000754B1">
        <w:rPr>
          <w:rFonts w:ascii="Arial" w:eastAsia="Calibri" w:hAnsi="Arial" w:cs="Arial"/>
          <w:sz w:val="20"/>
          <w:szCs w:val="20"/>
          <w:lang w:eastAsia="en-US"/>
        </w:rPr>
        <w:t xml:space="preserve">Rashodi su izvršeni u iznosu </w:t>
      </w:r>
      <w:r w:rsidR="00D7656C" w:rsidRPr="000754B1">
        <w:rPr>
          <w:rFonts w:ascii="Arial" w:eastAsia="Calibri" w:hAnsi="Arial" w:cs="Arial"/>
          <w:sz w:val="20"/>
          <w:szCs w:val="20"/>
          <w:lang w:eastAsia="en-US"/>
        </w:rPr>
        <w:t>12.374,96</w:t>
      </w:r>
      <w:r w:rsidRPr="000754B1">
        <w:rPr>
          <w:rFonts w:ascii="Arial" w:eastAsia="Calibri" w:hAnsi="Arial" w:cs="Arial"/>
          <w:sz w:val="20"/>
          <w:szCs w:val="20"/>
          <w:lang w:eastAsia="en-US"/>
        </w:rPr>
        <w:t xml:space="preserve"> € što čini </w:t>
      </w:r>
      <w:r w:rsidR="00D7656C" w:rsidRPr="000754B1">
        <w:rPr>
          <w:rFonts w:ascii="Arial" w:eastAsia="Calibri" w:hAnsi="Arial" w:cs="Arial"/>
          <w:sz w:val="20"/>
          <w:szCs w:val="20"/>
          <w:lang w:eastAsia="en-US"/>
        </w:rPr>
        <w:t>72,4</w:t>
      </w:r>
      <w:r w:rsidRPr="000754B1">
        <w:rPr>
          <w:rFonts w:ascii="Arial" w:eastAsia="Calibri" w:hAnsi="Arial" w:cs="Arial"/>
          <w:sz w:val="20"/>
          <w:szCs w:val="20"/>
          <w:lang w:eastAsia="en-US"/>
        </w:rPr>
        <w:t xml:space="preserve">% plana, a odnose se na </w:t>
      </w:r>
      <w:r w:rsidR="000213B2" w:rsidRPr="000754B1">
        <w:rPr>
          <w:rFonts w:ascii="Arial" w:eastAsia="Calibri" w:hAnsi="Arial" w:cs="Arial"/>
          <w:sz w:val="20"/>
          <w:szCs w:val="20"/>
          <w:lang w:eastAsia="en-US"/>
        </w:rPr>
        <w:t>trošak sastava upravne tužbe, te sastava očitovana na odgovor protiv rješenja Ministarstva poljoprivrede, šumarstva i ribarstva u iznosu 11.253,28 €</w:t>
      </w:r>
      <w:r w:rsidRPr="000754B1">
        <w:rPr>
          <w:rFonts w:ascii="Arial" w:eastAsia="Calibri" w:hAnsi="Arial" w:cs="Arial"/>
          <w:sz w:val="20"/>
          <w:szCs w:val="20"/>
          <w:lang w:eastAsia="en-US"/>
        </w:rPr>
        <w:t xml:space="preserve">, </w:t>
      </w:r>
      <w:r w:rsidR="000213B2" w:rsidRPr="000754B1">
        <w:rPr>
          <w:rFonts w:ascii="Arial" w:eastAsia="Calibri" w:hAnsi="Arial" w:cs="Arial"/>
          <w:sz w:val="20"/>
          <w:szCs w:val="20"/>
          <w:lang w:eastAsia="en-US"/>
        </w:rPr>
        <w:t>pretplatu za</w:t>
      </w:r>
      <w:r w:rsidRPr="000754B1">
        <w:rPr>
          <w:rFonts w:ascii="Arial" w:eastAsia="Calibri" w:hAnsi="Arial" w:cs="Arial"/>
          <w:sz w:val="20"/>
          <w:szCs w:val="20"/>
          <w:lang w:eastAsia="en-US"/>
        </w:rPr>
        <w:t xml:space="preserve"> korištenj</w:t>
      </w:r>
      <w:r w:rsidR="000213B2" w:rsidRPr="000754B1">
        <w:rPr>
          <w:rFonts w:ascii="Arial" w:eastAsia="Calibri" w:hAnsi="Arial" w:cs="Arial"/>
          <w:sz w:val="20"/>
          <w:szCs w:val="20"/>
          <w:lang w:eastAsia="en-US"/>
        </w:rPr>
        <w:t>e</w:t>
      </w:r>
      <w:r w:rsidRPr="000754B1">
        <w:rPr>
          <w:rFonts w:ascii="Arial" w:eastAsia="Calibri" w:hAnsi="Arial" w:cs="Arial"/>
          <w:sz w:val="20"/>
          <w:szCs w:val="20"/>
          <w:lang w:eastAsia="en-US"/>
        </w:rPr>
        <w:t xml:space="preserve"> CHAT GPT </w:t>
      </w:r>
      <w:r w:rsidR="000213B2" w:rsidRPr="000754B1">
        <w:rPr>
          <w:rFonts w:ascii="Arial" w:eastAsia="Calibri" w:hAnsi="Arial" w:cs="Arial"/>
          <w:sz w:val="20"/>
          <w:szCs w:val="20"/>
          <w:lang w:eastAsia="en-US"/>
        </w:rPr>
        <w:t>269,02</w:t>
      </w:r>
      <w:r w:rsidRPr="000754B1">
        <w:rPr>
          <w:rFonts w:ascii="Arial" w:eastAsia="Calibri" w:hAnsi="Arial" w:cs="Arial"/>
          <w:sz w:val="20"/>
          <w:szCs w:val="20"/>
          <w:lang w:eastAsia="en-US"/>
        </w:rPr>
        <w:t xml:space="preserve"> €, usluge prijevoza nabavljene traktorske kosilice </w:t>
      </w:r>
      <w:r w:rsidR="000213B2" w:rsidRPr="000754B1">
        <w:rPr>
          <w:rFonts w:ascii="Arial" w:eastAsia="Calibri" w:hAnsi="Arial" w:cs="Arial"/>
          <w:sz w:val="20"/>
          <w:szCs w:val="20"/>
          <w:lang w:eastAsia="en-US"/>
        </w:rPr>
        <w:t>562,50</w:t>
      </w:r>
      <w:r w:rsidRPr="000754B1">
        <w:rPr>
          <w:rFonts w:ascii="Arial" w:eastAsia="Calibri" w:hAnsi="Arial" w:cs="Arial"/>
          <w:sz w:val="20"/>
          <w:szCs w:val="20"/>
          <w:lang w:eastAsia="en-US"/>
        </w:rPr>
        <w:t xml:space="preserve"> €, te </w:t>
      </w:r>
      <w:r w:rsidR="000754B1" w:rsidRPr="000754B1">
        <w:rPr>
          <w:rFonts w:ascii="Arial" w:eastAsia="Calibri" w:hAnsi="Arial" w:cs="Arial"/>
          <w:sz w:val="20"/>
          <w:szCs w:val="20"/>
          <w:lang w:eastAsia="en-US"/>
        </w:rPr>
        <w:t>objava poziva za sudionike komasacije u tjednom tisku 290,16</w:t>
      </w:r>
      <w:r w:rsidRPr="000754B1">
        <w:rPr>
          <w:rFonts w:ascii="Arial" w:eastAsia="Calibri" w:hAnsi="Arial" w:cs="Arial"/>
          <w:sz w:val="20"/>
          <w:szCs w:val="20"/>
          <w:lang w:eastAsia="en-US"/>
        </w:rPr>
        <w:t xml:space="preserve"> €.</w:t>
      </w:r>
    </w:p>
    <w:p w14:paraId="13F442B3"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tbl>
      <w:tblPr>
        <w:tblStyle w:val="Reetkatablice536"/>
        <w:tblW w:w="14170" w:type="dxa"/>
        <w:jc w:val="center"/>
        <w:tblLayout w:type="fixed"/>
        <w:tblLook w:val="04A0" w:firstRow="1" w:lastRow="0" w:firstColumn="1" w:lastColumn="0" w:noHBand="0" w:noVBand="1"/>
      </w:tblPr>
      <w:tblGrid>
        <w:gridCol w:w="3397"/>
        <w:gridCol w:w="1985"/>
        <w:gridCol w:w="1984"/>
        <w:gridCol w:w="1134"/>
        <w:gridCol w:w="1134"/>
        <w:gridCol w:w="1134"/>
        <w:gridCol w:w="1134"/>
        <w:gridCol w:w="1134"/>
        <w:gridCol w:w="1134"/>
      </w:tblGrid>
      <w:tr w:rsidR="00184A8E" w:rsidRPr="00184A8E" w14:paraId="5395268E" w14:textId="77777777" w:rsidTr="00410A4B">
        <w:trP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CAF8B38" w14:textId="77777777" w:rsidR="00184A8E" w:rsidRPr="00184A8E" w:rsidRDefault="00184A8E" w:rsidP="00184A8E">
            <w:pPr>
              <w:jc w:val="both"/>
              <w:rPr>
                <w:rFonts w:ascii="Arial" w:eastAsia="Calibri" w:hAnsi="Arial" w:cs="Arial"/>
                <w:sz w:val="18"/>
                <w:szCs w:val="18"/>
                <w:lang w:eastAsia="en-US"/>
              </w:rPr>
            </w:pPr>
            <w:r w:rsidRPr="00184A8E">
              <w:rPr>
                <w:rFonts w:ascii="Arial" w:eastAsia="Calibri" w:hAnsi="Arial" w:cs="Arial"/>
                <w:sz w:val="18"/>
                <w:szCs w:val="18"/>
                <w:lang w:eastAsia="en-US"/>
              </w:rPr>
              <w:t>Pokazatelj rezultata</w:t>
            </w:r>
          </w:p>
        </w:tc>
        <w:tc>
          <w:tcPr>
            <w:tcW w:w="198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57CB40B" w14:textId="77777777" w:rsidR="00184A8E" w:rsidRPr="00184A8E" w:rsidRDefault="00184A8E" w:rsidP="00184A8E">
            <w:pPr>
              <w:jc w:val="both"/>
              <w:rPr>
                <w:rFonts w:ascii="Arial" w:eastAsia="Calibri" w:hAnsi="Arial" w:cs="Arial"/>
                <w:sz w:val="18"/>
                <w:szCs w:val="18"/>
                <w:lang w:eastAsia="en-US"/>
              </w:rPr>
            </w:pPr>
            <w:r w:rsidRPr="00184A8E">
              <w:rPr>
                <w:rFonts w:ascii="Arial" w:eastAsia="Calibri" w:hAnsi="Arial" w:cs="Arial"/>
                <w:sz w:val="18"/>
                <w:szCs w:val="18"/>
                <w:lang w:eastAsia="en-US"/>
              </w:rPr>
              <w:t>Definicija</w:t>
            </w:r>
          </w:p>
        </w:tc>
        <w:tc>
          <w:tcPr>
            <w:tcW w:w="198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C13D585"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Jedinica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FF3531D"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C86CDB" w14:textId="17C86C11"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Polazna vrijednost 202</w:t>
            </w:r>
            <w:r w:rsidR="000754B1">
              <w:rPr>
                <w:rFonts w:ascii="Arial" w:eastAsia="Calibri" w:hAnsi="Arial" w:cs="Arial"/>
                <w:sz w:val="18"/>
                <w:szCs w:val="18"/>
                <w:lang w:eastAsia="en-US"/>
              </w:rPr>
              <w:t>4</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804E7EC" w14:textId="6AC3AB9B"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0754B1">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4224D2" w14:textId="3319A70B"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Izvršeno 202</w:t>
            </w:r>
            <w:r w:rsidR="000754B1">
              <w:rPr>
                <w:rFonts w:ascii="Arial" w:eastAsia="Calibri" w:hAnsi="Arial" w:cs="Arial"/>
                <w:sz w:val="18"/>
                <w:szCs w:val="18"/>
                <w:lang w:eastAsia="en-US"/>
              </w:rPr>
              <w:t>5</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78B6F32" w14:textId="3C2AC2E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0754B1">
              <w:rPr>
                <w:rFonts w:ascii="Arial" w:eastAsia="Calibri" w:hAnsi="Arial" w:cs="Arial"/>
                <w:sz w:val="18"/>
                <w:szCs w:val="18"/>
                <w:lang w:eastAsia="en-US"/>
              </w:rPr>
              <w:t>6</w:t>
            </w:r>
            <w:r w:rsidRPr="00184A8E">
              <w:rPr>
                <w:rFonts w:ascii="Arial" w:eastAsia="Calibri" w:hAnsi="Arial" w:cs="Arial"/>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B35A202" w14:textId="10E7934B"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Ciljana vrijednost 202</w:t>
            </w:r>
            <w:r w:rsidR="000754B1">
              <w:rPr>
                <w:rFonts w:ascii="Arial" w:eastAsia="Calibri" w:hAnsi="Arial" w:cs="Arial"/>
                <w:sz w:val="18"/>
                <w:szCs w:val="18"/>
                <w:lang w:eastAsia="en-US"/>
              </w:rPr>
              <w:t>7</w:t>
            </w:r>
            <w:r w:rsidRPr="00184A8E">
              <w:rPr>
                <w:rFonts w:ascii="Arial" w:eastAsia="Calibri" w:hAnsi="Arial" w:cs="Arial"/>
                <w:sz w:val="18"/>
                <w:szCs w:val="18"/>
                <w:lang w:eastAsia="en-US"/>
              </w:rPr>
              <w:t>.</w:t>
            </w:r>
          </w:p>
        </w:tc>
      </w:tr>
      <w:tr w:rsidR="00184A8E" w:rsidRPr="00184A8E" w14:paraId="7BCB085F" w14:textId="77777777" w:rsidTr="00410A4B">
        <w:trPr>
          <w:trHeight w:val="274"/>
          <w:jc w:val="center"/>
        </w:trPr>
        <w:tc>
          <w:tcPr>
            <w:tcW w:w="3397" w:type="dxa"/>
            <w:tcBorders>
              <w:top w:val="single" w:sz="4" w:space="0" w:color="auto"/>
              <w:left w:val="single" w:sz="4" w:space="0" w:color="auto"/>
              <w:bottom w:val="single" w:sz="4" w:space="0" w:color="auto"/>
              <w:right w:val="single" w:sz="4" w:space="0" w:color="auto"/>
            </w:tcBorders>
            <w:vAlign w:val="center"/>
          </w:tcPr>
          <w:p w14:paraId="1BF4EAEF" w14:textId="77777777" w:rsidR="00184A8E" w:rsidRPr="00184A8E" w:rsidRDefault="00184A8E" w:rsidP="00184A8E">
            <w:pPr>
              <w:rPr>
                <w:rFonts w:ascii="Arial" w:eastAsia="Calibri" w:hAnsi="Arial" w:cs="Arial"/>
                <w:sz w:val="18"/>
                <w:szCs w:val="18"/>
                <w:lang w:eastAsia="en-US"/>
              </w:rPr>
            </w:pPr>
            <w:r w:rsidRPr="00184A8E">
              <w:rPr>
                <w:rFonts w:ascii="Arial" w:eastAsia="Calibri" w:hAnsi="Arial" w:cs="Arial"/>
                <w:sz w:val="18"/>
                <w:szCs w:val="18"/>
                <w:lang w:eastAsia="en-US"/>
              </w:rPr>
              <w:t xml:space="preserve">Izvršavanje poslova iz djelokruga rada, redovito podmirivanje svih obveza prema dobavljačima/ isporučiteljima </w:t>
            </w:r>
          </w:p>
        </w:tc>
        <w:tc>
          <w:tcPr>
            <w:tcW w:w="1985" w:type="dxa"/>
            <w:tcBorders>
              <w:top w:val="single" w:sz="4" w:space="0" w:color="auto"/>
              <w:left w:val="single" w:sz="4" w:space="0" w:color="auto"/>
              <w:bottom w:val="single" w:sz="4" w:space="0" w:color="auto"/>
              <w:right w:val="single" w:sz="4" w:space="0" w:color="auto"/>
            </w:tcBorders>
            <w:vAlign w:val="center"/>
          </w:tcPr>
          <w:p w14:paraId="1DE58208" w14:textId="77777777" w:rsidR="00184A8E" w:rsidRPr="00184A8E" w:rsidRDefault="00184A8E" w:rsidP="00184A8E">
            <w:pPr>
              <w:rPr>
                <w:rFonts w:ascii="Arial" w:eastAsia="Calibri" w:hAnsi="Arial" w:cs="Arial"/>
                <w:sz w:val="18"/>
                <w:szCs w:val="18"/>
                <w:lang w:eastAsia="en-US"/>
              </w:rPr>
            </w:pPr>
            <w:r w:rsidRPr="00184A8E">
              <w:rPr>
                <w:rFonts w:ascii="Arial" w:eastAsia="Calibri" w:hAnsi="Arial" w:cs="Arial"/>
                <w:sz w:val="18"/>
                <w:szCs w:val="18"/>
                <w:lang w:eastAsia="en-US"/>
              </w:rPr>
              <w:t xml:space="preserve">Pravovremeno podmirivanje tekućih troškova poslovanja </w:t>
            </w:r>
          </w:p>
        </w:tc>
        <w:tc>
          <w:tcPr>
            <w:tcW w:w="1984" w:type="dxa"/>
            <w:tcBorders>
              <w:top w:val="single" w:sz="4" w:space="0" w:color="auto"/>
              <w:left w:val="single" w:sz="4" w:space="0" w:color="auto"/>
              <w:bottom w:val="single" w:sz="4" w:space="0" w:color="auto"/>
              <w:right w:val="single" w:sz="4" w:space="0" w:color="auto"/>
            </w:tcBorders>
            <w:vAlign w:val="center"/>
          </w:tcPr>
          <w:p w14:paraId="08BA3105"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69F74490"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Općina</w:t>
            </w:r>
          </w:p>
        </w:tc>
        <w:tc>
          <w:tcPr>
            <w:tcW w:w="1134" w:type="dxa"/>
            <w:tcBorders>
              <w:top w:val="single" w:sz="4" w:space="0" w:color="auto"/>
              <w:left w:val="single" w:sz="4" w:space="0" w:color="auto"/>
              <w:bottom w:val="single" w:sz="4" w:space="0" w:color="auto"/>
              <w:right w:val="single" w:sz="4" w:space="0" w:color="auto"/>
            </w:tcBorders>
            <w:vAlign w:val="center"/>
          </w:tcPr>
          <w:p w14:paraId="4E0E278C"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00FFA88"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00AF09F"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EBDECF6"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738741A" w14:textId="77777777" w:rsidR="00184A8E" w:rsidRPr="00184A8E" w:rsidRDefault="00184A8E" w:rsidP="00184A8E">
            <w:pPr>
              <w:jc w:val="center"/>
              <w:rPr>
                <w:rFonts w:ascii="Arial" w:eastAsia="Calibri" w:hAnsi="Arial" w:cs="Arial"/>
                <w:sz w:val="18"/>
                <w:szCs w:val="18"/>
                <w:lang w:eastAsia="en-US"/>
              </w:rPr>
            </w:pPr>
            <w:r w:rsidRPr="00184A8E">
              <w:rPr>
                <w:rFonts w:ascii="Arial" w:eastAsia="Calibri" w:hAnsi="Arial" w:cs="Arial"/>
                <w:sz w:val="18"/>
                <w:szCs w:val="18"/>
                <w:lang w:eastAsia="en-US"/>
              </w:rPr>
              <w:t>100</w:t>
            </w:r>
          </w:p>
        </w:tc>
      </w:tr>
    </w:tbl>
    <w:p w14:paraId="370D192D"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0C8BA626" w14:textId="14B3A2AB"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 xml:space="preserve">2. A206502: Korištenje sredstava EU – povrati u državni proračun - </w:t>
      </w:r>
      <w:r w:rsidRPr="00184A8E">
        <w:rPr>
          <w:rFonts w:ascii="Arial" w:eastAsia="Calibri" w:hAnsi="Arial" w:cs="Arial"/>
          <w:sz w:val="20"/>
          <w:szCs w:val="20"/>
          <w:lang w:eastAsia="en-US"/>
        </w:rPr>
        <w:t xml:space="preserve">u sklopu aktivnosti su planirani rashodi u iznosu </w:t>
      </w:r>
      <w:r w:rsidR="000754B1">
        <w:rPr>
          <w:rFonts w:ascii="Arial" w:eastAsia="Calibri" w:hAnsi="Arial" w:cs="Arial"/>
          <w:sz w:val="20"/>
          <w:szCs w:val="20"/>
          <w:lang w:eastAsia="en-US"/>
        </w:rPr>
        <w:t>19</w:t>
      </w:r>
      <w:r w:rsidRPr="00184A8E">
        <w:rPr>
          <w:rFonts w:ascii="Arial" w:eastAsia="Calibri" w:hAnsi="Arial" w:cs="Arial"/>
          <w:sz w:val="20"/>
          <w:szCs w:val="20"/>
          <w:lang w:eastAsia="en-US"/>
        </w:rPr>
        <w:t>.000 € za slučaj potrebe povrata u državni proračun doznačenih sredstava EU koja nisu iskorištena ili troškovi nisu priznati. Rashodi nisu izvršeni.</w:t>
      </w:r>
    </w:p>
    <w:p w14:paraId="6471A844"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lang w:eastAsia="en-US"/>
        </w:rPr>
      </w:pPr>
    </w:p>
    <w:p w14:paraId="775115D6" w14:textId="77777777" w:rsidR="00184A8E" w:rsidRP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 xml:space="preserve">Aktivnosti vezane uz opće ciljeve postignute su sukladno postocima izvršenja i u skladu s očekivanom dinamikom izvršenja rashoda. </w:t>
      </w:r>
    </w:p>
    <w:p w14:paraId="4994C464" w14:textId="77777777" w:rsidR="00225B89" w:rsidRDefault="00225B89" w:rsidP="00184A8E">
      <w:pPr>
        <w:spacing w:after="0" w:line="240" w:lineRule="auto"/>
        <w:jc w:val="both"/>
        <w:rPr>
          <w:rFonts w:ascii="Arial" w:eastAsia="Calibri" w:hAnsi="Arial" w:cs="Arial"/>
          <w:sz w:val="20"/>
          <w:szCs w:val="20"/>
        </w:rPr>
      </w:pPr>
    </w:p>
    <w:p w14:paraId="6C9863BD" w14:textId="77777777" w:rsidR="00225B89" w:rsidRDefault="00225B89" w:rsidP="00184A8E">
      <w:pPr>
        <w:spacing w:after="0" w:line="240" w:lineRule="auto"/>
        <w:jc w:val="both"/>
        <w:rPr>
          <w:rFonts w:ascii="Arial" w:eastAsia="Calibri" w:hAnsi="Arial" w:cs="Arial"/>
          <w:sz w:val="20"/>
          <w:szCs w:val="20"/>
        </w:rPr>
      </w:pPr>
    </w:p>
    <w:p w14:paraId="3B6488B1" w14:textId="77777777" w:rsidR="00225B89" w:rsidRDefault="00225B89" w:rsidP="00184A8E">
      <w:pPr>
        <w:spacing w:after="0" w:line="240" w:lineRule="auto"/>
        <w:jc w:val="both"/>
        <w:rPr>
          <w:rFonts w:ascii="Arial" w:eastAsia="Calibri" w:hAnsi="Arial" w:cs="Arial"/>
          <w:sz w:val="20"/>
          <w:szCs w:val="20"/>
        </w:rPr>
      </w:pPr>
    </w:p>
    <w:p w14:paraId="20141FFD" w14:textId="77777777" w:rsidR="00225B89" w:rsidRDefault="00225B89" w:rsidP="00184A8E">
      <w:pPr>
        <w:spacing w:after="0" w:line="240" w:lineRule="auto"/>
        <w:jc w:val="both"/>
        <w:rPr>
          <w:rFonts w:ascii="Arial" w:eastAsia="Calibri" w:hAnsi="Arial" w:cs="Arial"/>
          <w:sz w:val="20"/>
          <w:szCs w:val="20"/>
        </w:rPr>
      </w:pPr>
    </w:p>
    <w:p w14:paraId="2EE8C032" w14:textId="77777777" w:rsidR="00225B89" w:rsidRDefault="00225B89" w:rsidP="00184A8E">
      <w:pPr>
        <w:spacing w:after="0" w:line="240" w:lineRule="auto"/>
        <w:jc w:val="both"/>
        <w:rPr>
          <w:rFonts w:ascii="Arial" w:eastAsia="Calibri" w:hAnsi="Arial" w:cs="Arial"/>
          <w:sz w:val="20"/>
          <w:szCs w:val="20"/>
        </w:rPr>
      </w:pPr>
    </w:p>
    <w:p w14:paraId="5C8A8360" w14:textId="77777777" w:rsidR="00225B89" w:rsidRDefault="00225B89" w:rsidP="00184A8E">
      <w:pPr>
        <w:spacing w:after="0" w:line="240" w:lineRule="auto"/>
        <w:jc w:val="both"/>
        <w:rPr>
          <w:rFonts w:ascii="Arial" w:eastAsia="Calibri" w:hAnsi="Arial" w:cs="Arial"/>
          <w:sz w:val="20"/>
          <w:szCs w:val="20"/>
        </w:rPr>
      </w:pPr>
    </w:p>
    <w:p w14:paraId="2B131B1F" w14:textId="77777777" w:rsidR="00225B89" w:rsidRDefault="00225B89" w:rsidP="00184A8E">
      <w:pPr>
        <w:spacing w:after="0" w:line="240" w:lineRule="auto"/>
        <w:jc w:val="both"/>
        <w:rPr>
          <w:rFonts w:ascii="Arial" w:eastAsia="Calibri" w:hAnsi="Arial" w:cs="Arial"/>
          <w:sz w:val="20"/>
          <w:szCs w:val="20"/>
        </w:rPr>
      </w:pPr>
    </w:p>
    <w:p w14:paraId="4E399B26" w14:textId="48DEEC11"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lastRenderedPageBreak/>
        <w:t xml:space="preserve">U nastavku je su prikazani neki od značajnijih projekata koji su prijavljeni i za koje su odobrena sredstva iz EU fondova ili nacionalnih izvora (projekti u tijeku). Tijekom 2023. godine je prijavljeno više novih projekata od čega su tri odobrena u travnju 2024. godine. </w:t>
      </w:r>
      <w:r w:rsidR="00B933C3">
        <w:rPr>
          <w:rFonts w:ascii="Arial" w:eastAsia="Calibri" w:hAnsi="Arial" w:cs="Arial"/>
          <w:sz w:val="20"/>
          <w:szCs w:val="20"/>
        </w:rPr>
        <w:t>Ovi projekti su u tijeku provedbe.</w:t>
      </w:r>
    </w:p>
    <w:p w14:paraId="1301DFF7" w14:textId="0B047F84" w:rsidR="00184A8E" w:rsidRPr="00184A8E" w:rsidRDefault="00B933C3" w:rsidP="00184A8E">
      <w:pPr>
        <w:spacing w:after="0" w:line="240" w:lineRule="auto"/>
        <w:jc w:val="both"/>
        <w:rPr>
          <w:rFonts w:ascii="Arial" w:eastAsia="Calibri" w:hAnsi="Arial" w:cs="Arial"/>
          <w:sz w:val="20"/>
          <w:szCs w:val="20"/>
        </w:rPr>
      </w:pPr>
      <w:r w:rsidRPr="00B933C3">
        <w:rPr>
          <w:noProof/>
        </w:rPr>
        <w:drawing>
          <wp:inline distT="0" distB="0" distL="0" distR="0" wp14:anchorId="7C58F45A" wp14:editId="3CADD31B">
            <wp:extent cx="9251950" cy="1950085"/>
            <wp:effectExtent l="0" t="0" r="6350" b="0"/>
            <wp:docPr id="2034391926"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9251950" cy="1950085"/>
                    </a:xfrm>
                    <a:prstGeom prst="rect">
                      <a:avLst/>
                    </a:prstGeom>
                    <a:noFill/>
                    <a:ln>
                      <a:noFill/>
                    </a:ln>
                  </pic:spPr>
                </pic:pic>
              </a:graphicData>
            </a:graphic>
          </wp:inline>
        </w:drawing>
      </w:r>
    </w:p>
    <w:p w14:paraId="49F9D46E" w14:textId="332A13F6" w:rsidR="00184A8E" w:rsidRPr="00184A8E" w:rsidRDefault="00184A8E" w:rsidP="00184A8E">
      <w:pPr>
        <w:spacing w:after="0" w:line="240" w:lineRule="auto"/>
        <w:jc w:val="both"/>
        <w:rPr>
          <w:rFonts w:ascii="Arial" w:eastAsia="Calibri" w:hAnsi="Arial" w:cs="Arial"/>
          <w:sz w:val="20"/>
          <w:szCs w:val="20"/>
        </w:rPr>
      </w:pPr>
    </w:p>
    <w:p w14:paraId="105767AA" w14:textId="77777777" w:rsidR="00184A8E" w:rsidRPr="00184A8E" w:rsidRDefault="00184A8E" w:rsidP="00184A8E">
      <w:pPr>
        <w:rPr>
          <w:rFonts w:ascii="Arial" w:eastAsia="Calibri" w:hAnsi="Arial" w:cs="Arial"/>
          <w:sz w:val="20"/>
          <w:szCs w:val="20"/>
        </w:rPr>
      </w:pPr>
      <w:r w:rsidRPr="00184A8E">
        <w:rPr>
          <w:rFonts w:ascii="Arial" w:eastAsia="Calibri" w:hAnsi="Arial" w:cs="Arial"/>
          <w:sz w:val="20"/>
          <w:szCs w:val="20"/>
        </w:rPr>
        <w:br w:type="page"/>
      </w:r>
    </w:p>
    <w:p w14:paraId="0430A739" w14:textId="77777777" w:rsidR="00184A8E" w:rsidRPr="00184A8E" w:rsidRDefault="00184A8E" w:rsidP="00184A8E">
      <w:pPr>
        <w:keepNext/>
        <w:spacing w:after="0" w:line="240" w:lineRule="auto"/>
        <w:jc w:val="both"/>
        <w:outlineLvl w:val="2"/>
        <w:rPr>
          <w:rFonts w:ascii="Times New Roman" w:eastAsia="Calibri" w:hAnsi="Times New Roman" w:cs="Times New Roman"/>
          <w:b/>
          <w:sz w:val="24"/>
          <w:szCs w:val="20"/>
          <w:lang w:eastAsia="en-US"/>
        </w:rPr>
      </w:pPr>
      <w:bookmarkStart w:id="627" w:name="_Toc200628549"/>
      <w:bookmarkStart w:id="628" w:name="_Toc232981481"/>
      <w:r w:rsidRPr="00184A8E">
        <w:rPr>
          <w:rFonts w:ascii="Times New Roman" w:eastAsia="Calibri" w:hAnsi="Times New Roman" w:cs="Times New Roman"/>
          <w:b/>
          <w:sz w:val="24"/>
          <w:szCs w:val="20"/>
          <w:lang w:eastAsia="en-US"/>
        </w:rPr>
        <w:lastRenderedPageBreak/>
        <w:t>Program (2066): Upravljanje projektima EU – javna uprava i administracija</w:t>
      </w:r>
      <w:bookmarkEnd w:id="627"/>
      <w:bookmarkEnd w:id="628"/>
    </w:p>
    <w:p w14:paraId="598BED9A" w14:textId="77777777" w:rsidR="00184A8E" w:rsidRPr="00184A8E" w:rsidRDefault="00184A8E" w:rsidP="00184A8E">
      <w:pPr>
        <w:spacing w:after="0" w:line="240" w:lineRule="auto"/>
        <w:jc w:val="both"/>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28"/>
      </w:tblGrid>
      <w:tr w:rsidR="00184A8E" w:rsidRPr="00184A8E" w14:paraId="32D139D7" w14:textId="77777777" w:rsidTr="00410A4B">
        <w:tc>
          <w:tcPr>
            <w:tcW w:w="1555" w:type="dxa"/>
            <w:tcBorders>
              <w:top w:val="dotted" w:sz="4" w:space="0" w:color="auto"/>
              <w:left w:val="dotted" w:sz="4" w:space="0" w:color="auto"/>
              <w:bottom w:val="dotted" w:sz="4" w:space="0" w:color="auto"/>
              <w:right w:val="dotted" w:sz="4" w:space="0" w:color="auto"/>
            </w:tcBorders>
          </w:tcPr>
          <w:p w14:paraId="68271A1D"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OPIS PROGRAMA:</w:t>
            </w:r>
          </w:p>
        </w:tc>
        <w:tc>
          <w:tcPr>
            <w:tcW w:w="12728" w:type="dxa"/>
            <w:tcBorders>
              <w:top w:val="dotted" w:sz="4" w:space="0" w:color="auto"/>
              <w:left w:val="dotted" w:sz="4" w:space="0" w:color="auto"/>
              <w:bottom w:val="dotted" w:sz="4" w:space="0" w:color="auto"/>
              <w:right w:val="dotted" w:sz="4" w:space="0" w:color="auto"/>
            </w:tcBorders>
          </w:tcPr>
          <w:p w14:paraId="3F21BD53"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b/>
                <w:sz w:val="20"/>
                <w:szCs w:val="20"/>
                <w:lang w:eastAsia="en-US"/>
              </w:rPr>
              <w:t>Opći cilj:</w:t>
            </w:r>
            <w:r w:rsidRPr="00184A8E">
              <w:rPr>
                <w:rFonts w:ascii="Arial" w:eastAsia="Calibri" w:hAnsi="Arial" w:cs="Arial"/>
                <w:sz w:val="20"/>
                <w:szCs w:val="20"/>
                <w:lang w:eastAsia="en-US"/>
              </w:rPr>
              <w:t xml:space="preserve"> Sudjelovanje Općine u različitim inicijativama koje se sufinanciraju sredstvima iz različitih europskih fondova, poboljšanje prekogranične suradnje</w:t>
            </w:r>
          </w:p>
          <w:p w14:paraId="0C68FD7C"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Kroz ovaj program se iskazuju projekti koji se financiraju ili sufinanciraju sredstvima EU i drugim fondovima, a nisu iskazani kroz druge Upravne odjele (najčešće iz razloga što je zaposlenik upravnog odjela voditelj projekta koji se sufinancira).</w:t>
            </w:r>
          </w:p>
        </w:tc>
      </w:tr>
      <w:tr w:rsidR="00184A8E" w:rsidRPr="00184A8E" w14:paraId="4A7CA9B9" w14:textId="77777777" w:rsidTr="00410A4B">
        <w:tc>
          <w:tcPr>
            <w:tcW w:w="1555" w:type="dxa"/>
            <w:tcBorders>
              <w:top w:val="dotted" w:sz="4" w:space="0" w:color="auto"/>
              <w:left w:val="dotted" w:sz="4" w:space="0" w:color="auto"/>
              <w:bottom w:val="dotted" w:sz="4" w:space="0" w:color="auto"/>
              <w:right w:val="dotted" w:sz="4" w:space="0" w:color="auto"/>
            </w:tcBorders>
          </w:tcPr>
          <w:p w14:paraId="1FA4C500" w14:textId="77777777" w:rsidR="00184A8E" w:rsidRPr="00184A8E" w:rsidRDefault="00184A8E" w:rsidP="00184A8E">
            <w:pPr>
              <w:spacing w:after="0" w:line="240" w:lineRule="auto"/>
              <w:rPr>
                <w:rFonts w:ascii="Arial" w:eastAsia="Calibri" w:hAnsi="Arial" w:cs="Arial"/>
                <w:sz w:val="14"/>
                <w:szCs w:val="14"/>
                <w:lang w:eastAsia="en-US"/>
              </w:rPr>
            </w:pPr>
            <w:r w:rsidRPr="00184A8E">
              <w:rPr>
                <w:rFonts w:ascii="Arial" w:eastAsia="Calibri" w:hAnsi="Arial" w:cs="Arial"/>
                <w:sz w:val="14"/>
                <w:szCs w:val="14"/>
                <w:lang w:eastAsia="en-US"/>
              </w:rPr>
              <w:t>ZAKONSKE I DRUGE PRAVNE OSNOVE PROGRAMA:</w:t>
            </w:r>
          </w:p>
        </w:tc>
        <w:tc>
          <w:tcPr>
            <w:tcW w:w="12728" w:type="dxa"/>
            <w:tcBorders>
              <w:top w:val="dotted" w:sz="4" w:space="0" w:color="auto"/>
              <w:left w:val="dotted" w:sz="4" w:space="0" w:color="auto"/>
              <w:bottom w:val="dotted" w:sz="4" w:space="0" w:color="auto"/>
              <w:right w:val="dotted" w:sz="4" w:space="0" w:color="auto"/>
            </w:tcBorders>
          </w:tcPr>
          <w:p w14:paraId="0F2646F4"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Zakon o lokalnoj i područnoj (regionalnoj) samoupravi (NN 33/01, 60/01, 129/05, 109/07, 125/08, 36/09, 150/11, 144/12, 19/13, 137/15, 123/17, 98/19, 144/20), Statut i drugi akti</w:t>
            </w:r>
          </w:p>
        </w:tc>
      </w:tr>
      <w:tr w:rsidR="00184A8E" w:rsidRPr="00184A8E" w14:paraId="7B1B0F79" w14:textId="77777777" w:rsidTr="00410A4B">
        <w:tc>
          <w:tcPr>
            <w:tcW w:w="1555" w:type="dxa"/>
            <w:tcBorders>
              <w:top w:val="dotted" w:sz="4" w:space="0" w:color="auto"/>
              <w:left w:val="dotted" w:sz="4" w:space="0" w:color="auto"/>
              <w:bottom w:val="dotted" w:sz="4" w:space="0" w:color="auto"/>
              <w:right w:val="dotted" w:sz="4" w:space="0" w:color="auto"/>
            </w:tcBorders>
          </w:tcPr>
          <w:p w14:paraId="2B88090E"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OPĆI CILJ:</w:t>
            </w:r>
          </w:p>
        </w:tc>
        <w:tc>
          <w:tcPr>
            <w:tcW w:w="12728" w:type="dxa"/>
            <w:tcBorders>
              <w:top w:val="dotted" w:sz="4" w:space="0" w:color="auto"/>
              <w:left w:val="dotted" w:sz="4" w:space="0" w:color="auto"/>
              <w:bottom w:val="dotted" w:sz="4" w:space="0" w:color="auto"/>
              <w:right w:val="dotted" w:sz="4" w:space="0" w:color="auto"/>
            </w:tcBorders>
          </w:tcPr>
          <w:p w14:paraId="1CD038AD"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Times New Roman" w:hAnsi="Arial" w:cs="Arial"/>
                <w:sz w:val="20"/>
                <w:szCs w:val="20"/>
                <w:lang w:eastAsia="en-US"/>
              </w:rPr>
              <w:t>Cjelovito praćenje provedbe odobrenih projekata kako bi se što efikasnije iskoristila odobrena sredstva, te kako bi bilo što manje neprihvatljivih troškova.</w:t>
            </w:r>
          </w:p>
        </w:tc>
      </w:tr>
      <w:tr w:rsidR="00184A8E" w:rsidRPr="00184A8E" w14:paraId="5B3D9BBF" w14:textId="77777777" w:rsidTr="00410A4B">
        <w:tc>
          <w:tcPr>
            <w:tcW w:w="1555" w:type="dxa"/>
            <w:tcBorders>
              <w:top w:val="dotted" w:sz="4" w:space="0" w:color="auto"/>
              <w:left w:val="dotted" w:sz="4" w:space="0" w:color="auto"/>
              <w:bottom w:val="dotted" w:sz="4" w:space="0" w:color="auto"/>
              <w:right w:val="dotted" w:sz="4" w:space="0" w:color="auto"/>
            </w:tcBorders>
            <w:vAlign w:val="bottom"/>
          </w:tcPr>
          <w:p w14:paraId="582D91DD" w14:textId="77777777" w:rsidR="00184A8E" w:rsidRPr="00184A8E" w:rsidRDefault="00184A8E" w:rsidP="00184A8E">
            <w:pPr>
              <w:spacing w:after="0" w:line="240" w:lineRule="auto"/>
              <w:jc w:val="both"/>
              <w:rPr>
                <w:rFonts w:ascii="Arial" w:eastAsia="Calibri" w:hAnsi="Arial" w:cs="Arial"/>
                <w:sz w:val="16"/>
                <w:szCs w:val="18"/>
                <w:lang w:eastAsia="en-US"/>
              </w:rPr>
            </w:pPr>
            <w:r w:rsidRPr="00184A8E">
              <w:rPr>
                <w:rFonts w:ascii="Arial" w:eastAsia="Calibri" w:hAnsi="Arial" w:cs="Arial"/>
                <w:sz w:val="16"/>
                <w:szCs w:val="18"/>
                <w:lang w:eastAsia="en-US"/>
              </w:rPr>
              <w:t>POSEBNI CILJEVI (što se programom želi postići):</w:t>
            </w:r>
          </w:p>
        </w:tc>
        <w:tc>
          <w:tcPr>
            <w:tcW w:w="12728" w:type="dxa"/>
            <w:tcBorders>
              <w:top w:val="dotted" w:sz="4" w:space="0" w:color="auto"/>
              <w:left w:val="dotted" w:sz="4" w:space="0" w:color="auto"/>
              <w:bottom w:val="dotted" w:sz="4" w:space="0" w:color="auto"/>
              <w:right w:val="dotted" w:sz="4" w:space="0" w:color="auto"/>
            </w:tcBorders>
            <w:vAlign w:val="bottom"/>
          </w:tcPr>
          <w:p w14:paraId="67419D54" w14:textId="77777777" w:rsidR="00184A8E" w:rsidRPr="00184A8E" w:rsidRDefault="00184A8E" w:rsidP="00184A8E">
            <w:pPr>
              <w:autoSpaceDE w:val="0"/>
              <w:autoSpaceDN w:val="0"/>
              <w:adjustRightInd w:val="0"/>
              <w:spacing w:after="0" w:line="240" w:lineRule="auto"/>
              <w:jc w:val="both"/>
              <w:rPr>
                <w:rFonts w:ascii="Arial" w:eastAsia="Times New Roman" w:hAnsi="Arial" w:cs="Arial"/>
                <w:sz w:val="20"/>
                <w:szCs w:val="20"/>
                <w:lang w:eastAsia="en-US"/>
              </w:rPr>
            </w:pPr>
            <w:r w:rsidRPr="00184A8E">
              <w:rPr>
                <w:rFonts w:ascii="Arial" w:eastAsia="Calibri" w:hAnsi="Arial" w:cs="Arial"/>
                <w:sz w:val="20"/>
                <w:szCs w:val="20"/>
                <w:lang w:eastAsia="en-US"/>
              </w:rPr>
              <w:t>Cilj - Visoka razina iskoristivosti odobrenih sredstava.</w:t>
            </w:r>
          </w:p>
        </w:tc>
      </w:tr>
    </w:tbl>
    <w:p w14:paraId="658CCE5E" w14:textId="77777777" w:rsidR="00184A8E" w:rsidRPr="00184A8E" w:rsidRDefault="00184A8E" w:rsidP="00184A8E">
      <w:pPr>
        <w:spacing w:after="0" w:line="240" w:lineRule="auto"/>
        <w:jc w:val="both"/>
        <w:rPr>
          <w:rFonts w:ascii="Arial" w:eastAsia="Calibri" w:hAnsi="Arial" w:cs="Arial"/>
          <w:sz w:val="20"/>
          <w:szCs w:val="20"/>
          <w:lang w:eastAsia="en-US"/>
        </w:rPr>
      </w:pPr>
    </w:p>
    <w:p w14:paraId="65D5E023"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left="3828" w:right="1948" w:hanging="851"/>
        <w:jc w:val="both"/>
        <w:rPr>
          <w:rFonts w:ascii="Arial" w:eastAsia="Calibri" w:hAnsi="Arial" w:cs="Arial"/>
          <w:sz w:val="20"/>
          <w:szCs w:val="20"/>
        </w:rPr>
      </w:pPr>
      <w:r w:rsidRPr="00184A8E">
        <w:rPr>
          <w:rFonts w:ascii="Arial" w:eastAsia="Calibri" w:hAnsi="Arial" w:cs="Arial"/>
          <w:b/>
          <w:sz w:val="20"/>
          <w:szCs w:val="20"/>
          <w:lang w:eastAsia="en-US"/>
        </w:rPr>
        <w:t>Procjena i ishodište potrebnih sredstava za aktivnosti unutar programa</w:t>
      </w:r>
    </w:p>
    <w:p w14:paraId="59047F72" w14:textId="77777777" w:rsidR="00184A8E" w:rsidRPr="00184A8E" w:rsidRDefault="00184A8E" w:rsidP="00184A8E">
      <w:pPr>
        <w:spacing w:after="0" w:line="240" w:lineRule="auto"/>
        <w:jc w:val="both"/>
        <w:rPr>
          <w:rFonts w:ascii="Arial" w:eastAsia="Calibri" w:hAnsi="Arial" w:cs="Arial"/>
          <w:sz w:val="20"/>
          <w:szCs w:val="20"/>
        </w:rPr>
      </w:pPr>
    </w:p>
    <w:p w14:paraId="1C9A255D" w14:textId="2D092E10" w:rsidR="00184A8E" w:rsidRPr="00184A8E" w:rsidRDefault="00184A8E" w:rsidP="00184A8E">
      <w:pPr>
        <w:spacing w:after="0" w:line="240" w:lineRule="auto"/>
        <w:jc w:val="both"/>
        <w:rPr>
          <w:rFonts w:ascii="Arial" w:eastAsia="Calibri" w:hAnsi="Arial" w:cs="Arial"/>
          <w:sz w:val="20"/>
          <w:szCs w:val="20"/>
        </w:rPr>
      </w:pPr>
      <w:r w:rsidRPr="00184A8E">
        <w:rPr>
          <w:rFonts w:ascii="Arial" w:eastAsia="Calibri" w:hAnsi="Arial" w:cs="Arial"/>
          <w:sz w:val="20"/>
          <w:szCs w:val="20"/>
        </w:rPr>
        <w:t>Izvršenje aktivnosti sadržanih u ovom programu za 2019.-202</w:t>
      </w:r>
      <w:r w:rsidR="00B933C3">
        <w:rPr>
          <w:rFonts w:ascii="Arial" w:eastAsia="Calibri" w:hAnsi="Arial" w:cs="Arial"/>
          <w:sz w:val="20"/>
          <w:szCs w:val="20"/>
        </w:rPr>
        <w:t>4</w:t>
      </w:r>
      <w:r w:rsidRPr="00184A8E">
        <w:rPr>
          <w:rFonts w:ascii="Arial" w:eastAsia="Calibri" w:hAnsi="Arial" w:cs="Arial"/>
          <w:sz w:val="20"/>
          <w:szCs w:val="20"/>
        </w:rPr>
        <w:t>., plan za 202</w:t>
      </w:r>
      <w:r w:rsidR="00B933C3">
        <w:rPr>
          <w:rFonts w:ascii="Arial" w:eastAsia="Calibri" w:hAnsi="Arial" w:cs="Arial"/>
          <w:sz w:val="20"/>
          <w:szCs w:val="20"/>
        </w:rPr>
        <w:t>5</w:t>
      </w:r>
      <w:r w:rsidRPr="00184A8E">
        <w:rPr>
          <w:rFonts w:ascii="Arial" w:eastAsia="Calibri" w:hAnsi="Arial" w:cs="Arial"/>
          <w:sz w:val="20"/>
          <w:szCs w:val="20"/>
        </w:rPr>
        <w:t>., izvršenje za 202</w:t>
      </w:r>
      <w:r w:rsidR="00B933C3">
        <w:rPr>
          <w:rFonts w:ascii="Arial" w:eastAsia="Calibri" w:hAnsi="Arial" w:cs="Arial"/>
          <w:sz w:val="20"/>
          <w:szCs w:val="20"/>
        </w:rPr>
        <w:t>5</w:t>
      </w:r>
      <w:r w:rsidRPr="00184A8E">
        <w:rPr>
          <w:rFonts w:ascii="Arial" w:eastAsia="Calibri" w:hAnsi="Arial" w:cs="Arial"/>
          <w:sz w:val="20"/>
          <w:szCs w:val="20"/>
        </w:rPr>
        <w:t>., projekcije za 202</w:t>
      </w:r>
      <w:r w:rsidR="00B933C3">
        <w:rPr>
          <w:rFonts w:ascii="Arial" w:eastAsia="Calibri" w:hAnsi="Arial" w:cs="Arial"/>
          <w:sz w:val="20"/>
          <w:szCs w:val="20"/>
        </w:rPr>
        <w:t>6</w:t>
      </w:r>
      <w:r w:rsidRPr="00184A8E">
        <w:rPr>
          <w:rFonts w:ascii="Arial" w:eastAsia="Calibri" w:hAnsi="Arial" w:cs="Arial"/>
          <w:sz w:val="20"/>
          <w:szCs w:val="20"/>
        </w:rPr>
        <w:t>.-202</w:t>
      </w:r>
      <w:r w:rsidR="00B933C3">
        <w:rPr>
          <w:rFonts w:ascii="Arial" w:eastAsia="Calibri" w:hAnsi="Arial" w:cs="Arial"/>
          <w:sz w:val="20"/>
          <w:szCs w:val="20"/>
        </w:rPr>
        <w:t>7</w:t>
      </w:r>
      <w:r w:rsidRPr="00184A8E">
        <w:rPr>
          <w:rFonts w:ascii="Arial" w:eastAsia="Calibri" w:hAnsi="Arial" w:cs="Arial"/>
          <w:sz w:val="20"/>
          <w:szCs w:val="20"/>
        </w:rPr>
        <w:t>. iskazuju se kako slijedi:</w:t>
      </w:r>
    </w:p>
    <w:p w14:paraId="6098184E" w14:textId="4E24ABA6" w:rsidR="00184A8E" w:rsidRPr="00184A8E" w:rsidRDefault="00B933C3" w:rsidP="00184A8E">
      <w:pPr>
        <w:spacing w:after="0" w:line="240" w:lineRule="auto"/>
        <w:jc w:val="center"/>
        <w:rPr>
          <w:rFonts w:ascii="Arial" w:eastAsia="Calibri" w:hAnsi="Arial" w:cs="Arial"/>
          <w:sz w:val="20"/>
          <w:szCs w:val="20"/>
        </w:rPr>
      </w:pPr>
      <w:r w:rsidRPr="00B933C3">
        <w:rPr>
          <w:noProof/>
        </w:rPr>
        <w:lastRenderedPageBreak/>
        <w:drawing>
          <wp:inline distT="0" distB="0" distL="0" distR="0" wp14:anchorId="2985599C" wp14:editId="3DF67F2C">
            <wp:extent cx="8123274" cy="5273159"/>
            <wp:effectExtent l="0" t="0" r="0" b="3810"/>
            <wp:docPr id="265249015"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8123820" cy="5273513"/>
                    </a:xfrm>
                    <a:prstGeom prst="rect">
                      <a:avLst/>
                    </a:prstGeom>
                    <a:noFill/>
                    <a:ln>
                      <a:noFill/>
                    </a:ln>
                  </pic:spPr>
                </pic:pic>
              </a:graphicData>
            </a:graphic>
          </wp:inline>
        </w:drawing>
      </w:r>
    </w:p>
    <w:p w14:paraId="45E95907"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b/>
          <w:sz w:val="20"/>
          <w:szCs w:val="20"/>
          <w:lang w:eastAsia="en-US"/>
        </w:rPr>
        <w:t>RAZLOG ODSTUPANJA OD PROŠLOGODIŠNJIH PROJEKCIJA</w:t>
      </w:r>
      <w:r w:rsidRPr="00184A8E">
        <w:rPr>
          <w:rFonts w:ascii="Arial" w:eastAsia="Times New Roman" w:hAnsi="Arial" w:cs="Arial"/>
          <w:sz w:val="20"/>
          <w:szCs w:val="20"/>
          <w:lang w:eastAsia="en-US"/>
        </w:rPr>
        <w:t xml:space="preserve">: </w:t>
      </w:r>
    </w:p>
    <w:p w14:paraId="24094294" w14:textId="77777777" w:rsidR="00184A8E" w:rsidRPr="00184A8E" w:rsidRDefault="00184A8E" w:rsidP="00184A8E">
      <w:pPr>
        <w:shd w:val="clear" w:color="auto" w:fill="FFFFFF"/>
        <w:spacing w:after="0" w:line="240" w:lineRule="auto"/>
        <w:jc w:val="right"/>
        <w:rPr>
          <w:rFonts w:ascii="Arial" w:eastAsia="Times New Roman" w:hAnsi="Arial" w:cs="Arial"/>
          <w:sz w:val="20"/>
          <w:szCs w:val="20"/>
          <w:lang w:eastAsia="en-US"/>
        </w:rPr>
      </w:pPr>
      <w:r w:rsidRPr="00184A8E">
        <w:rPr>
          <w:rFonts w:ascii="Arial" w:eastAsia="Times New Roman" w:hAnsi="Arial" w:cs="Arial"/>
          <w:sz w:val="20"/>
          <w:szCs w:val="20"/>
          <w:lang w:eastAsia="en-US"/>
        </w:rPr>
        <w:t>Po navedenom programu nije bilo značajnih odstupanja.</w:t>
      </w:r>
    </w:p>
    <w:p w14:paraId="124BE3DC" w14:textId="77777777" w:rsidR="00184A8E" w:rsidRPr="00184A8E" w:rsidRDefault="00184A8E" w:rsidP="00184A8E">
      <w:pPr>
        <w:shd w:val="clear" w:color="auto" w:fill="FFFFFF"/>
        <w:spacing w:after="0" w:line="240" w:lineRule="auto"/>
        <w:jc w:val="both"/>
        <w:rPr>
          <w:rFonts w:ascii="Arial" w:eastAsia="Times New Roman" w:hAnsi="Arial" w:cs="Arial"/>
          <w:i/>
          <w:sz w:val="20"/>
          <w:szCs w:val="24"/>
          <w:lang w:eastAsia="en-US"/>
        </w:rPr>
      </w:pPr>
      <w:r w:rsidRPr="00184A8E">
        <w:rPr>
          <w:rFonts w:ascii="Arial" w:eastAsia="Times New Roman" w:hAnsi="Arial" w:cs="Arial"/>
          <w:b/>
          <w:sz w:val="20"/>
          <w:szCs w:val="24"/>
          <w:lang w:eastAsia="en-US"/>
        </w:rPr>
        <w:t>Ishodište i pokazatelji na kojima se zasnivaju izračuni i ocjene</w:t>
      </w:r>
      <w:r w:rsidRPr="00184A8E">
        <w:rPr>
          <w:rFonts w:ascii="Arial" w:eastAsia="Times New Roman" w:hAnsi="Arial" w:cs="Arial"/>
          <w:sz w:val="20"/>
          <w:szCs w:val="24"/>
          <w:lang w:eastAsia="en-US"/>
        </w:rPr>
        <w:t xml:space="preserve"> </w:t>
      </w:r>
      <w:r w:rsidRPr="00184A8E">
        <w:rPr>
          <w:rFonts w:ascii="Arial" w:eastAsia="Times New Roman" w:hAnsi="Arial" w:cs="Arial"/>
          <w:b/>
          <w:sz w:val="20"/>
          <w:szCs w:val="24"/>
          <w:lang w:eastAsia="en-US"/>
        </w:rPr>
        <w:t>potrebnih sredstava za provođenje programa:</w:t>
      </w:r>
      <w:r w:rsidRPr="00184A8E">
        <w:rPr>
          <w:rFonts w:ascii="Arial" w:eastAsia="Times New Roman" w:hAnsi="Arial" w:cs="Arial"/>
          <w:sz w:val="20"/>
          <w:szCs w:val="24"/>
          <w:lang w:eastAsia="en-US"/>
        </w:rPr>
        <w:t xml:space="preserve"> Ugovori o sufinanciraju odnosnih projekata (postotak sufinanciranja različit) </w:t>
      </w:r>
    </w:p>
    <w:p w14:paraId="04713C54" w14:textId="77777777" w:rsidR="00184A8E" w:rsidRPr="00184A8E" w:rsidRDefault="00184A8E" w:rsidP="00184A8E">
      <w:pPr>
        <w:shd w:val="clear" w:color="auto" w:fill="FFFFFF"/>
        <w:spacing w:after="0" w:line="240" w:lineRule="auto"/>
        <w:jc w:val="both"/>
        <w:rPr>
          <w:rFonts w:ascii="Arial" w:eastAsia="Times New Roman" w:hAnsi="Arial" w:cs="Arial"/>
          <w:sz w:val="20"/>
          <w:szCs w:val="24"/>
          <w:lang w:eastAsia="en-US"/>
        </w:rPr>
      </w:pPr>
      <w:r w:rsidRPr="00184A8E">
        <w:rPr>
          <w:rFonts w:ascii="Arial" w:eastAsia="Times New Roman" w:hAnsi="Arial" w:cs="Arial"/>
          <w:b/>
          <w:sz w:val="20"/>
          <w:szCs w:val="24"/>
          <w:lang w:eastAsia="en-US"/>
        </w:rPr>
        <w:t>Izvještaj o postignutim ciljevima i rezultatima programa temeljenim na pokazateljima uspješnosti u prethodnoj godini</w:t>
      </w:r>
      <w:r w:rsidRPr="00184A8E">
        <w:rPr>
          <w:rFonts w:ascii="Arial" w:eastAsia="Times New Roman" w:hAnsi="Arial" w:cs="Arial"/>
          <w:sz w:val="20"/>
          <w:szCs w:val="24"/>
          <w:lang w:eastAsia="en-US"/>
        </w:rPr>
        <w:t xml:space="preserve">: </w:t>
      </w:r>
      <w:r w:rsidRPr="00184A8E">
        <w:rPr>
          <w:rFonts w:ascii="Arial" w:eastAsia="Times New Roman" w:hAnsi="Arial" w:cs="Arial"/>
          <w:sz w:val="20"/>
          <w:szCs w:val="24"/>
        </w:rPr>
        <w:t>Izvršenje je u skladu s predviđanjima.</w:t>
      </w:r>
    </w:p>
    <w:p w14:paraId="072407FC" w14:textId="77777777" w:rsidR="00184A8E" w:rsidRPr="00184A8E" w:rsidRDefault="00184A8E" w:rsidP="00184A8E">
      <w:pPr>
        <w:spacing w:after="0" w:line="240" w:lineRule="auto"/>
        <w:jc w:val="both"/>
        <w:rPr>
          <w:rFonts w:ascii="Arial" w:eastAsia="Calibri" w:hAnsi="Arial" w:cs="Arial"/>
          <w:sz w:val="20"/>
          <w:szCs w:val="20"/>
          <w:lang w:eastAsia="en-US"/>
        </w:rPr>
      </w:pPr>
    </w:p>
    <w:p w14:paraId="0C52FB22" w14:textId="77777777" w:rsidR="00184A8E" w:rsidRPr="00184A8E" w:rsidRDefault="00184A8E">
      <w:pPr>
        <w:numPr>
          <w:ilvl w:val="0"/>
          <w:numId w:val="33"/>
        </w:numPr>
        <w:pBdr>
          <w:top w:val="single" w:sz="4" w:space="1" w:color="auto"/>
          <w:left w:val="single" w:sz="4" w:space="0" w:color="auto"/>
          <w:bottom w:val="single" w:sz="4" w:space="1" w:color="auto"/>
          <w:right w:val="single" w:sz="4" w:space="4" w:color="auto"/>
        </w:pBdr>
        <w:spacing w:after="0" w:line="240" w:lineRule="auto"/>
        <w:ind w:right="3082"/>
        <w:jc w:val="both"/>
        <w:rPr>
          <w:rFonts w:ascii="Arial" w:eastAsia="Calibri" w:hAnsi="Arial" w:cs="Arial"/>
          <w:b/>
          <w:sz w:val="20"/>
          <w:szCs w:val="20"/>
          <w:lang w:eastAsia="en-US"/>
        </w:rPr>
      </w:pPr>
      <w:r w:rsidRPr="00184A8E">
        <w:rPr>
          <w:rFonts w:ascii="Arial" w:eastAsia="Calibri" w:hAnsi="Arial" w:cs="Arial"/>
          <w:b/>
          <w:sz w:val="20"/>
          <w:szCs w:val="20"/>
          <w:lang w:eastAsia="en-US"/>
        </w:rPr>
        <w:t>Obrazloženje aktivnosti / projekata i pokazatelji uspješnosti</w:t>
      </w:r>
    </w:p>
    <w:p w14:paraId="6678FDBF" w14:textId="77777777" w:rsidR="00184A8E" w:rsidRPr="00184A8E" w:rsidRDefault="00184A8E" w:rsidP="00184A8E">
      <w:pPr>
        <w:spacing w:after="0" w:line="240" w:lineRule="auto"/>
        <w:jc w:val="both"/>
        <w:rPr>
          <w:rFonts w:ascii="Arial" w:eastAsia="Calibri" w:hAnsi="Arial" w:cs="Arial"/>
          <w:sz w:val="20"/>
          <w:szCs w:val="20"/>
          <w:lang w:eastAsia="en-US"/>
        </w:rPr>
      </w:pPr>
    </w:p>
    <w:p w14:paraId="4AAB83A5" w14:textId="77777777" w:rsidR="00184A8E" w:rsidRPr="00184A8E" w:rsidRDefault="00184A8E" w:rsidP="00184A8E">
      <w:pPr>
        <w:spacing w:after="0" w:line="240" w:lineRule="auto"/>
        <w:jc w:val="both"/>
        <w:rPr>
          <w:rFonts w:ascii="Arial" w:eastAsia="Calibri" w:hAnsi="Arial" w:cs="Arial"/>
          <w:sz w:val="20"/>
          <w:szCs w:val="20"/>
          <w:lang w:eastAsia="en-US"/>
        </w:rPr>
      </w:pPr>
      <w:r w:rsidRPr="00184A8E">
        <w:rPr>
          <w:rFonts w:ascii="Arial" w:eastAsia="Calibri" w:hAnsi="Arial" w:cs="Arial"/>
          <w:sz w:val="20"/>
          <w:szCs w:val="20"/>
          <w:lang w:eastAsia="en-US"/>
        </w:rPr>
        <w:t>Unutar programa su planirane slijedeće aktivnosti i projekti:</w:t>
      </w:r>
    </w:p>
    <w:p w14:paraId="1E240333" w14:textId="77777777" w:rsidR="00184A8E" w:rsidRPr="00184A8E" w:rsidRDefault="00184A8E" w:rsidP="00184A8E">
      <w:pPr>
        <w:spacing w:after="0" w:line="240" w:lineRule="auto"/>
        <w:jc w:val="both"/>
        <w:rPr>
          <w:rFonts w:ascii="Arial" w:eastAsia="Calibri" w:hAnsi="Arial" w:cs="Arial"/>
          <w:sz w:val="20"/>
          <w:szCs w:val="20"/>
        </w:rPr>
      </w:pPr>
    </w:p>
    <w:p w14:paraId="669B6C9A" w14:textId="4D534872" w:rsidR="00184A8E" w:rsidRPr="00184A8E" w:rsidRDefault="00B933C3" w:rsidP="00184A8E">
      <w:pPr>
        <w:spacing w:after="0" w:line="240" w:lineRule="auto"/>
        <w:jc w:val="both"/>
        <w:rPr>
          <w:rFonts w:ascii="Arial" w:eastAsia="Calibri" w:hAnsi="Arial" w:cs="Arial"/>
          <w:bCs/>
          <w:sz w:val="20"/>
          <w:szCs w:val="20"/>
        </w:rPr>
      </w:pPr>
      <w:r>
        <w:rPr>
          <w:rFonts w:ascii="Arial" w:eastAsia="Calibri" w:hAnsi="Arial" w:cs="Arial"/>
          <w:b/>
          <w:sz w:val="20"/>
          <w:szCs w:val="20"/>
        </w:rPr>
        <w:t>1</w:t>
      </w:r>
      <w:r w:rsidR="00184A8E" w:rsidRPr="00184A8E">
        <w:rPr>
          <w:rFonts w:ascii="Arial" w:eastAsia="Calibri" w:hAnsi="Arial" w:cs="Arial"/>
          <w:b/>
          <w:sz w:val="20"/>
          <w:szCs w:val="20"/>
        </w:rPr>
        <w:t xml:space="preserve">. T206608: „To 0 waste“ Interreg VI-A IPA Programme Croatia - Bosnia and Herzegovina -Montenegro 2021-2027- </w:t>
      </w:r>
      <w:r w:rsidR="00184A8E" w:rsidRPr="00184A8E">
        <w:rPr>
          <w:rFonts w:ascii="Arial" w:eastAsia="Calibri" w:hAnsi="Arial" w:cs="Arial"/>
          <w:bCs/>
          <w:sz w:val="20"/>
          <w:szCs w:val="20"/>
        </w:rPr>
        <w:t xml:space="preserve">u sklopu projekta rashodi u planirani u </w:t>
      </w:r>
      <w:r w:rsidRPr="00B933C3">
        <w:rPr>
          <w:rFonts w:ascii="Arial" w:eastAsia="Calibri" w:hAnsi="Arial" w:cs="Arial"/>
          <w:bCs/>
          <w:sz w:val="20"/>
          <w:szCs w:val="20"/>
        </w:rPr>
        <w:t xml:space="preserve">iznosu </w:t>
      </w:r>
      <w:r>
        <w:rPr>
          <w:rFonts w:ascii="Arial" w:eastAsia="Calibri" w:hAnsi="Arial" w:cs="Arial"/>
          <w:bCs/>
          <w:sz w:val="20"/>
          <w:szCs w:val="20"/>
        </w:rPr>
        <w:t>607.845</w:t>
      </w:r>
      <w:r w:rsidRPr="00B933C3">
        <w:rPr>
          <w:rFonts w:ascii="Arial" w:eastAsia="Calibri" w:hAnsi="Arial" w:cs="Arial"/>
          <w:bCs/>
          <w:sz w:val="20"/>
          <w:szCs w:val="20"/>
        </w:rPr>
        <w:t xml:space="preserve"> € za 2025. godinu, te 94.000 € za 2026. godinu i 76.000 € za 2027. godinu</w:t>
      </w:r>
      <w:r w:rsidR="00184A8E" w:rsidRPr="00184A8E">
        <w:rPr>
          <w:rFonts w:ascii="Arial" w:eastAsia="Calibri" w:hAnsi="Arial" w:cs="Arial"/>
          <w:bCs/>
          <w:sz w:val="20"/>
          <w:szCs w:val="20"/>
        </w:rPr>
        <w:t>.</w:t>
      </w:r>
    </w:p>
    <w:p w14:paraId="73A24F2C" w14:textId="77777777" w:rsidR="00184A8E" w:rsidRPr="00184A8E" w:rsidRDefault="00184A8E" w:rsidP="00184A8E">
      <w:pPr>
        <w:spacing w:after="0" w:line="240" w:lineRule="auto"/>
        <w:jc w:val="both"/>
        <w:rPr>
          <w:rFonts w:ascii="Arial" w:eastAsia="Calibri" w:hAnsi="Arial" w:cs="Arial"/>
          <w:bCs/>
          <w:sz w:val="20"/>
          <w:szCs w:val="20"/>
        </w:rPr>
      </w:pPr>
    </w:p>
    <w:p w14:paraId="34C43529" w14:textId="77777777" w:rsidR="00184A8E" w:rsidRPr="00184A8E" w:rsidRDefault="00184A8E" w:rsidP="00B933C3">
      <w:pPr>
        <w:spacing w:after="0" w:line="240" w:lineRule="auto"/>
        <w:ind w:left="709"/>
        <w:jc w:val="both"/>
        <w:rPr>
          <w:rFonts w:ascii="Arial" w:eastAsia="Calibri" w:hAnsi="Arial" w:cs="Arial"/>
          <w:bCs/>
          <w:sz w:val="20"/>
          <w:szCs w:val="20"/>
        </w:rPr>
      </w:pPr>
      <w:r w:rsidRPr="00B933C3">
        <w:rPr>
          <w:rFonts w:ascii="Arial" w:eastAsia="Calibri" w:hAnsi="Arial" w:cs="Arial"/>
          <w:bCs/>
          <w:sz w:val="18"/>
          <w:szCs w:val="18"/>
        </w:rPr>
        <w:t>U okviru specifičnog cilja 2.6. Promocija i tranzicija na cirkularnu i učinkovitu ekonomiju Općini je odobren projekt „T0 0 WASTE“, koji ima za cilj promicanje održivog upravljanja otpadom i prelazak na kružnu i resursno učinkovitu ekonomiju. Jedna od glavnih aktivnosti jest nabava komunalne opreme koja će značajno unaprijediti sustav upravljanja otpadom. Kroz projekt će se nabaviti dva specijalizirana vozila za prikupljanje odvojenog otpada te polupodzemni spremnici za odvajanje otpada, a kroz zajedničke radionice dodatno će se povećati i kompetencije komunalnih zaposlenika. Također, u okviru projekta dodatno će se na pojedinim lokacijama postaviti videonadzor radi sprječavanja ilegalnog odlaganja otpada i osiguranja čistoće okoliša, te ozeleniti i javne površine. Glavni partner projekta je Općina Tuzi, dok je drugi partner Grad Mostar. Vrijednost cjelokupnog projekta svih partnera iznosi 2.251.839 € od čega projekt Općine iznosi 622.125 €. EU sredstvima se sufinancira 85% odobrenih troškova projekta ili do 528.806,25 €. Trajanje projekta je od 15. srpnja 2024. do 14. siječnja 2027.</w:t>
      </w:r>
    </w:p>
    <w:p w14:paraId="66382834" w14:textId="77777777" w:rsidR="00184A8E" w:rsidRPr="00184A8E" w:rsidRDefault="00184A8E" w:rsidP="00184A8E">
      <w:pPr>
        <w:spacing w:after="0" w:line="240" w:lineRule="auto"/>
        <w:jc w:val="both"/>
        <w:rPr>
          <w:rFonts w:ascii="Arial" w:eastAsia="Calibri" w:hAnsi="Arial" w:cs="Arial"/>
          <w:bCs/>
          <w:sz w:val="20"/>
          <w:szCs w:val="20"/>
        </w:rPr>
      </w:pPr>
    </w:p>
    <w:p w14:paraId="136B4995" w14:textId="77777777" w:rsidR="00184A8E" w:rsidRPr="00184A8E" w:rsidRDefault="00184A8E" w:rsidP="00B933C3">
      <w:pPr>
        <w:spacing w:after="0" w:line="240" w:lineRule="auto"/>
        <w:ind w:firstLine="709"/>
        <w:jc w:val="both"/>
        <w:rPr>
          <w:rFonts w:ascii="Arial" w:eastAsia="Calibri" w:hAnsi="Arial" w:cs="Arial"/>
          <w:bCs/>
          <w:sz w:val="20"/>
          <w:szCs w:val="20"/>
        </w:rPr>
      </w:pPr>
      <w:r w:rsidRPr="00B933C3">
        <w:rPr>
          <w:rFonts w:ascii="Arial" w:eastAsia="Calibri" w:hAnsi="Arial" w:cs="Arial"/>
          <w:bCs/>
          <w:sz w:val="18"/>
          <w:szCs w:val="18"/>
        </w:rPr>
        <w:t xml:space="preserve">U 2024. su izvršeni rashodi u iznosu 28.479,62 € i odnose se na rashode za zaposlene 22.356,69 € i materijalne rashode 6.122,93 €. </w:t>
      </w:r>
    </w:p>
    <w:p w14:paraId="15F281D1" w14:textId="77777777" w:rsidR="00184A8E" w:rsidRDefault="00184A8E" w:rsidP="00184A8E">
      <w:pPr>
        <w:spacing w:after="0" w:line="240" w:lineRule="auto"/>
        <w:jc w:val="both"/>
        <w:rPr>
          <w:rFonts w:ascii="Arial" w:eastAsia="Calibri" w:hAnsi="Arial" w:cs="Arial"/>
          <w:bCs/>
          <w:sz w:val="20"/>
          <w:szCs w:val="20"/>
        </w:rPr>
      </w:pPr>
    </w:p>
    <w:p w14:paraId="4984B3A7" w14:textId="77777777" w:rsidR="00911D22" w:rsidRDefault="00B933C3" w:rsidP="00B933C3">
      <w:pPr>
        <w:spacing w:after="0" w:line="240" w:lineRule="auto"/>
        <w:jc w:val="both"/>
        <w:rPr>
          <w:rFonts w:ascii="Arial" w:eastAsia="Calibri" w:hAnsi="Arial" w:cs="Arial"/>
          <w:bCs/>
          <w:sz w:val="20"/>
          <w:szCs w:val="20"/>
        </w:rPr>
      </w:pPr>
      <w:r w:rsidRPr="00184A8E">
        <w:rPr>
          <w:rFonts w:ascii="Arial" w:eastAsia="Calibri" w:hAnsi="Arial" w:cs="Arial"/>
          <w:bCs/>
          <w:sz w:val="20"/>
          <w:szCs w:val="20"/>
        </w:rPr>
        <w:t>U 202</w:t>
      </w:r>
      <w:r>
        <w:rPr>
          <w:rFonts w:ascii="Arial" w:eastAsia="Calibri" w:hAnsi="Arial" w:cs="Arial"/>
          <w:bCs/>
          <w:sz w:val="20"/>
          <w:szCs w:val="20"/>
        </w:rPr>
        <w:t>5</w:t>
      </w:r>
      <w:r w:rsidRPr="00184A8E">
        <w:rPr>
          <w:rFonts w:ascii="Arial" w:eastAsia="Calibri" w:hAnsi="Arial" w:cs="Arial"/>
          <w:bCs/>
          <w:sz w:val="20"/>
          <w:szCs w:val="20"/>
        </w:rPr>
        <w:t xml:space="preserve">. su izvršeni rashodi u iznosu </w:t>
      </w:r>
      <w:r>
        <w:rPr>
          <w:rFonts w:ascii="Arial" w:eastAsia="Calibri" w:hAnsi="Arial" w:cs="Arial"/>
          <w:bCs/>
          <w:sz w:val="20"/>
          <w:szCs w:val="20"/>
        </w:rPr>
        <w:t>541.025,40</w:t>
      </w:r>
      <w:r w:rsidRPr="00184A8E">
        <w:rPr>
          <w:rFonts w:ascii="Arial" w:eastAsia="Calibri" w:hAnsi="Arial" w:cs="Arial"/>
          <w:bCs/>
          <w:sz w:val="20"/>
          <w:szCs w:val="20"/>
        </w:rPr>
        <w:t xml:space="preserve"> € i odnose se na rashode za zaposlene </w:t>
      </w:r>
      <w:r>
        <w:rPr>
          <w:rFonts w:ascii="Arial" w:eastAsia="Calibri" w:hAnsi="Arial" w:cs="Arial"/>
          <w:bCs/>
          <w:sz w:val="20"/>
          <w:szCs w:val="20"/>
        </w:rPr>
        <w:t>29.351,92</w:t>
      </w:r>
      <w:r w:rsidRPr="00184A8E">
        <w:rPr>
          <w:rFonts w:ascii="Arial" w:eastAsia="Calibri" w:hAnsi="Arial" w:cs="Arial"/>
          <w:bCs/>
          <w:sz w:val="20"/>
          <w:szCs w:val="20"/>
        </w:rPr>
        <w:t xml:space="preserve"> €, materijalne rashode </w:t>
      </w:r>
      <w:r>
        <w:rPr>
          <w:rFonts w:ascii="Arial" w:eastAsia="Calibri" w:hAnsi="Arial" w:cs="Arial"/>
          <w:bCs/>
          <w:sz w:val="20"/>
          <w:szCs w:val="20"/>
        </w:rPr>
        <w:t>25.277,23</w:t>
      </w:r>
      <w:r w:rsidRPr="00184A8E">
        <w:rPr>
          <w:rFonts w:ascii="Arial" w:eastAsia="Calibri" w:hAnsi="Arial" w:cs="Arial"/>
          <w:bCs/>
          <w:sz w:val="20"/>
          <w:szCs w:val="20"/>
        </w:rPr>
        <w:t xml:space="preserve"> € i rashode za nabavu nefinancijske imovine </w:t>
      </w:r>
      <w:r w:rsidR="00FA602F">
        <w:rPr>
          <w:rFonts w:ascii="Arial" w:eastAsia="Calibri" w:hAnsi="Arial" w:cs="Arial"/>
          <w:bCs/>
          <w:sz w:val="20"/>
          <w:szCs w:val="20"/>
        </w:rPr>
        <w:t>486.396,25</w:t>
      </w:r>
      <w:r w:rsidRPr="00184A8E">
        <w:rPr>
          <w:rFonts w:ascii="Arial" w:eastAsia="Calibri" w:hAnsi="Arial" w:cs="Arial"/>
          <w:bCs/>
          <w:sz w:val="20"/>
          <w:szCs w:val="20"/>
        </w:rPr>
        <w:t xml:space="preserve"> €.</w:t>
      </w:r>
      <w:r w:rsidR="00FA602F">
        <w:rPr>
          <w:rFonts w:ascii="Arial" w:eastAsia="Calibri" w:hAnsi="Arial" w:cs="Arial"/>
          <w:bCs/>
          <w:sz w:val="20"/>
          <w:szCs w:val="20"/>
        </w:rPr>
        <w:t xml:space="preserve"> Materijalni rashodi se odnose na </w:t>
      </w:r>
      <w:r w:rsidR="00FB0F44">
        <w:rPr>
          <w:rFonts w:ascii="Arial" w:eastAsia="Calibri" w:hAnsi="Arial" w:cs="Arial"/>
          <w:bCs/>
          <w:sz w:val="20"/>
          <w:szCs w:val="20"/>
        </w:rPr>
        <w:t xml:space="preserve">naknade troškova zaposlenima 1.535,85 € (troškovi službenog putovanja 100 €, prijevoz na posao 1.435,85 €), </w:t>
      </w:r>
      <w:r w:rsidR="003755B3">
        <w:rPr>
          <w:rFonts w:ascii="Arial" w:eastAsia="Calibri" w:hAnsi="Arial" w:cs="Arial"/>
          <w:bCs/>
          <w:sz w:val="20"/>
          <w:szCs w:val="20"/>
        </w:rPr>
        <w:t>uredski materijal 3.059,85 € (neizravni troškovi), energiju 399,01 € (neizravni troškovi), usluge savjetovanja postupcima javne nabave 4.266,66 € (neizravni troškovi), usluge registracije prijevoznih sredstava 778,48 € (neizravni troškovi), usluge osiguranja nabavljenih prijevoznih sredstava 4.151,13 € (neizravni troškovi), troškove pripreme i provedbe promidžbene kampanje 11.086,25 €</w:t>
      </w:r>
      <w:r w:rsidR="00911D22">
        <w:rPr>
          <w:rFonts w:ascii="Arial" w:eastAsia="Calibri" w:hAnsi="Arial" w:cs="Arial"/>
          <w:bCs/>
          <w:sz w:val="20"/>
          <w:szCs w:val="20"/>
        </w:rPr>
        <w:t>.</w:t>
      </w:r>
    </w:p>
    <w:p w14:paraId="7241819C" w14:textId="5F34C677" w:rsidR="00B933C3" w:rsidRPr="00184A8E" w:rsidRDefault="00911D22" w:rsidP="00B933C3">
      <w:pPr>
        <w:spacing w:after="0" w:line="240" w:lineRule="auto"/>
        <w:jc w:val="both"/>
        <w:rPr>
          <w:rFonts w:ascii="Arial" w:eastAsia="Calibri" w:hAnsi="Arial" w:cs="Arial"/>
          <w:bCs/>
          <w:sz w:val="20"/>
          <w:szCs w:val="20"/>
        </w:rPr>
      </w:pPr>
      <w:r>
        <w:rPr>
          <w:rFonts w:ascii="Arial" w:eastAsia="Calibri" w:hAnsi="Arial" w:cs="Arial"/>
          <w:bCs/>
          <w:sz w:val="20"/>
          <w:szCs w:val="20"/>
        </w:rPr>
        <w:t xml:space="preserve">Rashodi za nabavu nefinancijske imovine se odnose na </w:t>
      </w:r>
      <w:r w:rsidR="003755B3">
        <w:rPr>
          <w:rFonts w:ascii="Arial" w:eastAsia="Calibri" w:hAnsi="Arial" w:cs="Arial"/>
          <w:bCs/>
          <w:sz w:val="20"/>
          <w:szCs w:val="20"/>
        </w:rPr>
        <w:t>nabav</w:t>
      </w:r>
      <w:r>
        <w:rPr>
          <w:rFonts w:ascii="Arial" w:eastAsia="Calibri" w:hAnsi="Arial" w:cs="Arial"/>
          <w:bCs/>
          <w:sz w:val="20"/>
          <w:szCs w:val="20"/>
        </w:rPr>
        <w:t>u</w:t>
      </w:r>
      <w:r w:rsidR="003755B3">
        <w:rPr>
          <w:rFonts w:ascii="Arial" w:eastAsia="Calibri" w:hAnsi="Arial" w:cs="Arial"/>
          <w:bCs/>
          <w:sz w:val="20"/>
          <w:szCs w:val="20"/>
        </w:rPr>
        <w:t xml:space="preserve"> polupodzemni</w:t>
      </w:r>
      <w:r w:rsidR="00756205">
        <w:rPr>
          <w:rFonts w:ascii="Arial" w:eastAsia="Calibri" w:hAnsi="Arial" w:cs="Arial"/>
          <w:bCs/>
          <w:sz w:val="20"/>
          <w:szCs w:val="20"/>
        </w:rPr>
        <w:t>h</w:t>
      </w:r>
      <w:r w:rsidR="003755B3">
        <w:rPr>
          <w:rFonts w:ascii="Arial" w:eastAsia="Calibri" w:hAnsi="Arial" w:cs="Arial"/>
          <w:bCs/>
          <w:sz w:val="20"/>
          <w:szCs w:val="20"/>
        </w:rPr>
        <w:t xml:space="preserve"> sprem</w:t>
      </w:r>
      <w:r w:rsidR="00756205">
        <w:rPr>
          <w:rFonts w:ascii="Arial" w:eastAsia="Calibri" w:hAnsi="Arial" w:cs="Arial"/>
          <w:bCs/>
          <w:sz w:val="20"/>
          <w:szCs w:val="20"/>
        </w:rPr>
        <w:t>nika za staklo (11 komada zapremine 3m³ sa internim silosom) i plastiku (4 komada zapremine 3m³ sa internim silosom) u ukupnom iznosu 72.187,50 €, nabava teretnog vozila MAN TGM s kiperskim sandukom i dizalicom u iznosu 272.333,75 €, te nabava specijaliziranog električnog komunalnog vozila u iznosu 141.875 €.</w:t>
      </w:r>
    </w:p>
    <w:p w14:paraId="544F62D1" w14:textId="77777777" w:rsidR="00B933C3" w:rsidRPr="00184A8E" w:rsidRDefault="00B933C3" w:rsidP="00184A8E">
      <w:pPr>
        <w:spacing w:after="0" w:line="240" w:lineRule="auto"/>
        <w:jc w:val="both"/>
        <w:rPr>
          <w:rFonts w:ascii="Arial" w:eastAsia="Calibri" w:hAnsi="Arial" w:cs="Arial"/>
          <w:bCs/>
          <w:sz w:val="20"/>
          <w:szCs w:val="20"/>
        </w:rPr>
      </w:pPr>
    </w:p>
    <w:p w14:paraId="136AFA9B" w14:textId="3763AE9D" w:rsidR="00184A8E" w:rsidRPr="00184A8E" w:rsidRDefault="00B933C3" w:rsidP="00184A8E">
      <w:pPr>
        <w:spacing w:after="0" w:line="240" w:lineRule="auto"/>
        <w:jc w:val="both"/>
        <w:rPr>
          <w:rFonts w:ascii="Arial" w:eastAsia="Calibri" w:hAnsi="Arial" w:cs="Arial"/>
          <w:bCs/>
          <w:sz w:val="20"/>
          <w:szCs w:val="20"/>
        </w:rPr>
      </w:pPr>
      <w:r>
        <w:rPr>
          <w:rFonts w:ascii="Arial" w:eastAsia="Calibri" w:hAnsi="Arial" w:cs="Arial"/>
          <w:b/>
          <w:sz w:val="20"/>
          <w:szCs w:val="20"/>
        </w:rPr>
        <w:t>2</w:t>
      </w:r>
      <w:r w:rsidR="00184A8E" w:rsidRPr="00184A8E">
        <w:rPr>
          <w:rFonts w:ascii="Arial" w:eastAsia="Calibri" w:hAnsi="Arial" w:cs="Arial"/>
          <w:b/>
          <w:sz w:val="20"/>
          <w:szCs w:val="20"/>
        </w:rPr>
        <w:t xml:space="preserve">. T206609: „Waterlink“ Interreg VI-A IPA Programme Croatia - Bosnia and Herzegovina -Montenegro 2021-2027- </w:t>
      </w:r>
      <w:r w:rsidR="00184A8E" w:rsidRPr="00184A8E">
        <w:rPr>
          <w:rFonts w:ascii="Arial" w:eastAsia="Calibri" w:hAnsi="Arial" w:cs="Arial"/>
          <w:bCs/>
          <w:sz w:val="20"/>
          <w:szCs w:val="20"/>
        </w:rPr>
        <w:t xml:space="preserve">u sklopu projekta rashodi u planirani u iznosu </w:t>
      </w:r>
      <w:r w:rsidR="00732FE5">
        <w:rPr>
          <w:rFonts w:ascii="Arial" w:eastAsia="Calibri" w:hAnsi="Arial" w:cs="Arial"/>
          <w:bCs/>
          <w:sz w:val="20"/>
          <w:szCs w:val="20"/>
        </w:rPr>
        <w:t>565.875</w:t>
      </w:r>
      <w:r w:rsidR="00732FE5" w:rsidRPr="00732FE5">
        <w:rPr>
          <w:rFonts w:ascii="Arial" w:eastAsia="Calibri" w:hAnsi="Arial" w:cs="Arial"/>
          <w:bCs/>
          <w:sz w:val="20"/>
          <w:szCs w:val="20"/>
        </w:rPr>
        <w:t xml:space="preserve"> € za 2025. godinu, te 320.000 € za 2026. godinu i 19.000 € za 2027. godinu.</w:t>
      </w:r>
    </w:p>
    <w:p w14:paraId="0A1CD152" w14:textId="77777777" w:rsidR="00184A8E" w:rsidRPr="00184A8E" w:rsidRDefault="00184A8E" w:rsidP="00184A8E">
      <w:pPr>
        <w:spacing w:after="0" w:line="240" w:lineRule="auto"/>
        <w:jc w:val="both"/>
        <w:rPr>
          <w:rFonts w:ascii="Arial" w:eastAsia="Calibri" w:hAnsi="Arial" w:cs="Arial"/>
          <w:bCs/>
          <w:sz w:val="20"/>
          <w:szCs w:val="20"/>
        </w:rPr>
      </w:pPr>
    </w:p>
    <w:p w14:paraId="0E96F56F" w14:textId="77777777" w:rsidR="00184A8E" w:rsidRPr="00756205" w:rsidRDefault="00184A8E" w:rsidP="00756205">
      <w:pPr>
        <w:spacing w:after="0" w:line="240" w:lineRule="auto"/>
        <w:ind w:left="709"/>
        <w:jc w:val="both"/>
        <w:rPr>
          <w:rFonts w:ascii="Arial" w:eastAsia="Calibri" w:hAnsi="Arial" w:cs="Arial"/>
          <w:bCs/>
          <w:sz w:val="18"/>
          <w:szCs w:val="18"/>
        </w:rPr>
      </w:pPr>
      <w:r w:rsidRPr="00756205">
        <w:rPr>
          <w:rFonts w:ascii="Arial" w:eastAsia="Calibri" w:hAnsi="Arial" w:cs="Arial"/>
          <w:bCs/>
          <w:sz w:val="18"/>
          <w:szCs w:val="18"/>
        </w:rPr>
        <w:t>U okviru specifičnog cilja 2.4. Prilagodba klimatskim promjenama Općini je odobren projekt WATERLINK kojemu je glavni cilj kontrola kvalitete vode (za što će se u okviru projekta nabaviti suvremeni laboratorij) te dodatno smanjenje gubitaka tehničke vode, s obzirom da se radi o povezanim vodoopskrbnim sustavima prekograničnog područja. To će se postići uspostavom daljinske kontrole potrošnje vode i stvaranjem nadzornog centra za nadzor svih parametara sustava i detekciju gubitaka. Projekt također uključuje izradu Zajedničkog akcijskog plana za upravljanje vodom, a sve će to doprinijeti općem cilju projekta omogućavanjem učinkovitog praćenja i smanjenja gubitaka vode kroz poboljšane prakse upravljanja vodom. Glavni partner je Grad Trebinje, dok su drugi projektni partneri Vodovod i kanalizacija Herceg Novi te Fakultet građevinarstva, arhitekture i geodezije Sveučilišta u Splitu. Vrijednost cjelokupnog projekta svih partnera iznosi 1.639.945,20 € od čega projekt Općine iznosi 535.752 €. EU sredstvima se sufinancira 85% odobrenih troškova projekta ili do 481.543,02 €. Trajanje projekta je od 15. kolovoza 2024. do 14. kolovoza 2026.</w:t>
      </w:r>
    </w:p>
    <w:p w14:paraId="5052511B" w14:textId="77777777" w:rsidR="00184A8E" w:rsidRPr="00756205" w:rsidRDefault="00184A8E" w:rsidP="00756205">
      <w:pPr>
        <w:spacing w:after="0" w:line="240" w:lineRule="auto"/>
        <w:ind w:left="709"/>
        <w:jc w:val="both"/>
        <w:rPr>
          <w:rFonts w:ascii="Arial" w:eastAsia="Calibri" w:hAnsi="Arial" w:cs="Arial"/>
          <w:bCs/>
          <w:sz w:val="18"/>
          <w:szCs w:val="18"/>
        </w:rPr>
      </w:pPr>
    </w:p>
    <w:p w14:paraId="00FE51FA" w14:textId="77777777" w:rsidR="00184A8E" w:rsidRPr="00184A8E" w:rsidRDefault="00184A8E" w:rsidP="00756205">
      <w:pPr>
        <w:spacing w:after="0" w:line="240" w:lineRule="auto"/>
        <w:ind w:left="709"/>
        <w:jc w:val="both"/>
        <w:rPr>
          <w:rFonts w:ascii="Arial" w:eastAsia="Calibri" w:hAnsi="Arial" w:cs="Arial"/>
          <w:bCs/>
          <w:sz w:val="20"/>
          <w:szCs w:val="20"/>
        </w:rPr>
      </w:pPr>
      <w:r w:rsidRPr="00756205">
        <w:rPr>
          <w:rFonts w:ascii="Arial" w:eastAsia="Calibri" w:hAnsi="Arial" w:cs="Arial"/>
          <w:bCs/>
          <w:sz w:val="18"/>
          <w:szCs w:val="18"/>
        </w:rPr>
        <w:t>U 2024. su izvršeni rashodi u iznosu 14.371,73 € i odnose se na rashode za zaposlene 11.940,27 €, materijalne rashode 782,71 € i rashode za nabavu nefinancijske imovine 1.648,75 € (prijenosno računalo za voditeljicu projekta).</w:t>
      </w:r>
    </w:p>
    <w:p w14:paraId="379B9D24" w14:textId="77777777" w:rsidR="00184A8E" w:rsidRDefault="00184A8E" w:rsidP="00184A8E">
      <w:pPr>
        <w:spacing w:after="0" w:line="240" w:lineRule="auto"/>
        <w:jc w:val="both"/>
        <w:rPr>
          <w:rFonts w:ascii="Arial" w:eastAsia="Calibri" w:hAnsi="Arial" w:cs="Arial"/>
          <w:bCs/>
          <w:sz w:val="20"/>
          <w:szCs w:val="20"/>
        </w:rPr>
      </w:pPr>
    </w:p>
    <w:p w14:paraId="299E498C" w14:textId="7B665C06" w:rsidR="00FB0F44" w:rsidRDefault="00756205" w:rsidP="00756205">
      <w:pPr>
        <w:spacing w:after="0" w:line="240" w:lineRule="auto"/>
        <w:jc w:val="both"/>
        <w:rPr>
          <w:rFonts w:ascii="Arial" w:eastAsia="Calibri" w:hAnsi="Arial" w:cs="Arial"/>
          <w:bCs/>
          <w:sz w:val="20"/>
          <w:szCs w:val="20"/>
        </w:rPr>
      </w:pPr>
      <w:r w:rsidRPr="00184A8E">
        <w:rPr>
          <w:rFonts w:ascii="Arial" w:eastAsia="Calibri" w:hAnsi="Arial" w:cs="Arial"/>
          <w:bCs/>
          <w:sz w:val="20"/>
          <w:szCs w:val="20"/>
        </w:rPr>
        <w:t>U 202</w:t>
      </w:r>
      <w:r>
        <w:rPr>
          <w:rFonts w:ascii="Arial" w:eastAsia="Calibri" w:hAnsi="Arial" w:cs="Arial"/>
          <w:bCs/>
          <w:sz w:val="20"/>
          <w:szCs w:val="20"/>
        </w:rPr>
        <w:t>5</w:t>
      </w:r>
      <w:r w:rsidRPr="00184A8E">
        <w:rPr>
          <w:rFonts w:ascii="Arial" w:eastAsia="Calibri" w:hAnsi="Arial" w:cs="Arial"/>
          <w:bCs/>
          <w:sz w:val="20"/>
          <w:szCs w:val="20"/>
        </w:rPr>
        <w:t xml:space="preserve">. su izvršeni rashodi u iznosu </w:t>
      </w:r>
      <w:r>
        <w:rPr>
          <w:rFonts w:ascii="Arial" w:eastAsia="Calibri" w:hAnsi="Arial" w:cs="Arial"/>
          <w:bCs/>
          <w:sz w:val="20"/>
          <w:szCs w:val="20"/>
        </w:rPr>
        <w:t>541.025,40</w:t>
      </w:r>
      <w:r w:rsidRPr="00184A8E">
        <w:rPr>
          <w:rFonts w:ascii="Arial" w:eastAsia="Calibri" w:hAnsi="Arial" w:cs="Arial"/>
          <w:bCs/>
          <w:sz w:val="20"/>
          <w:szCs w:val="20"/>
        </w:rPr>
        <w:t xml:space="preserve"> € i odnose se na rashode za zaposlene </w:t>
      </w:r>
      <w:r w:rsidR="00FB0F44">
        <w:rPr>
          <w:rFonts w:ascii="Arial" w:eastAsia="Calibri" w:hAnsi="Arial" w:cs="Arial"/>
          <w:bCs/>
          <w:sz w:val="20"/>
          <w:szCs w:val="20"/>
        </w:rPr>
        <w:t>31.717,34</w:t>
      </w:r>
      <w:r w:rsidRPr="00184A8E">
        <w:rPr>
          <w:rFonts w:ascii="Arial" w:eastAsia="Calibri" w:hAnsi="Arial" w:cs="Arial"/>
          <w:bCs/>
          <w:sz w:val="20"/>
          <w:szCs w:val="20"/>
        </w:rPr>
        <w:t xml:space="preserve"> €, materijalne rashode </w:t>
      </w:r>
      <w:r w:rsidR="00FB0F44">
        <w:rPr>
          <w:rFonts w:ascii="Arial" w:eastAsia="Calibri" w:hAnsi="Arial" w:cs="Arial"/>
          <w:bCs/>
          <w:sz w:val="20"/>
          <w:szCs w:val="20"/>
        </w:rPr>
        <w:t>57.162,15</w:t>
      </w:r>
      <w:r w:rsidRPr="00184A8E">
        <w:rPr>
          <w:rFonts w:ascii="Arial" w:eastAsia="Calibri" w:hAnsi="Arial" w:cs="Arial"/>
          <w:bCs/>
          <w:sz w:val="20"/>
          <w:szCs w:val="20"/>
        </w:rPr>
        <w:t xml:space="preserve"> € i rashode za nabavu nefinancijske imovine </w:t>
      </w:r>
      <w:r w:rsidR="00FB0F44">
        <w:rPr>
          <w:rFonts w:ascii="Arial" w:eastAsia="Calibri" w:hAnsi="Arial" w:cs="Arial"/>
          <w:bCs/>
          <w:sz w:val="20"/>
          <w:szCs w:val="20"/>
        </w:rPr>
        <w:t>343.299,16</w:t>
      </w:r>
      <w:r w:rsidRPr="00184A8E">
        <w:rPr>
          <w:rFonts w:ascii="Arial" w:eastAsia="Calibri" w:hAnsi="Arial" w:cs="Arial"/>
          <w:bCs/>
          <w:sz w:val="20"/>
          <w:szCs w:val="20"/>
        </w:rPr>
        <w:t xml:space="preserve"> €.</w:t>
      </w:r>
      <w:r>
        <w:rPr>
          <w:rFonts w:ascii="Arial" w:eastAsia="Calibri" w:hAnsi="Arial" w:cs="Arial"/>
          <w:bCs/>
          <w:sz w:val="20"/>
          <w:szCs w:val="20"/>
        </w:rPr>
        <w:t xml:space="preserve"> Materijalni rashodi se odnose na </w:t>
      </w:r>
      <w:r w:rsidR="00FB0F44" w:rsidRPr="00FB0F44">
        <w:rPr>
          <w:rFonts w:ascii="Arial" w:eastAsia="Calibri" w:hAnsi="Arial" w:cs="Arial"/>
          <w:bCs/>
          <w:sz w:val="20"/>
          <w:szCs w:val="20"/>
        </w:rPr>
        <w:t xml:space="preserve">naknade troškova zaposlenima </w:t>
      </w:r>
      <w:r w:rsidR="00FB0F44">
        <w:rPr>
          <w:rFonts w:ascii="Arial" w:eastAsia="Calibri" w:hAnsi="Arial" w:cs="Arial"/>
          <w:bCs/>
          <w:sz w:val="20"/>
          <w:szCs w:val="20"/>
        </w:rPr>
        <w:t>1.439,83</w:t>
      </w:r>
      <w:r w:rsidR="00FB0F44" w:rsidRPr="00FB0F44">
        <w:rPr>
          <w:rFonts w:ascii="Arial" w:eastAsia="Calibri" w:hAnsi="Arial" w:cs="Arial"/>
          <w:bCs/>
          <w:sz w:val="20"/>
          <w:szCs w:val="20"/>
        </w:rPr>
        <w:t xml:space="preserve"> € (prijevoz na posao</w:t>
      </w:r>
      <w:r w:rsidR="00FB0F44">
        <w:rPr>
          <w:rFonts w:ascii="Arial" w:eastAsia="Calibri" w:hAnsi="Arial" w:cs="Arial"/>
          <w:bCs/>
          <w:sz w:val="20"/>
          <w:szCs w:val="20"/>
        </w:rPr>
        <w:t xml:space="preserve">), </w:t>
      </w:r>
      <w:r>
        <w:rPr>
          <w:rFonts w:ascii="Arial" w:eastAsia="Calibri" w:hAnsi="Arial" w:cs="Arial"/>
          <w:bCs/>
          <w:sz w:val="20"/>
          <w:szCs w:val="20"/>
        </w:rPr>
        <w:t xml:space="preserve">uredski materijal </w:t>
      </w:r>
      <w:r w:rsidR="00FB0F44">
        <w:rPr>
          <w:rFonts w:ascii="Arial" w:eastAsia="Calibri" w:hAnsi="Arial" w:cs="Arial"/>
          <w:bCs/>
          <w:sz w:val="20"/>
          <w:szCs w:val="20"/>
        </w:rPr>
        <w:t>1.036,39</w:t>
      </w:r>
      <w:r>
        <w:rPr>
          <w:rFonts w:ascii="Arial" w:eastAsia="Calibri" w:hAnsi="Arial" w:cs="Arial"/>
          <w:bCs/>
          <w:sz w:val="20"/>
          <w:szCs w:val="20"/>
        </w:rPr>
        <w:t xml:space="preserve"> € </w:t>
      </w:r>
      <w:r>
        <w:rPr>
          <w:rFonts w:ascii="Arial" w:eastAsia="Calibri" w:hAnsi="Arial" w:cs="Arial"/>
          <w:bCs/>
          <w:sz w:val="20"/>
          <w:szCs w:val="20"/>
        </w:rPr>
        <w:lastRenderedPageBreak/>
        <w:t xml:space="preserve">(neizravni troškovi), energiju </w:t>
      </w:r>
      <w:r w:rsidR="00FB0F44">
        <w:rPr>
          <w:rFonts w:ascii="Arial" w:eastAsia="Calibri" w:hAnsi="Arial" w:cs="Arial"/>
          <w:bCs/>
          <w:sz w:val="20"/>
          <w:szCs w:val="20"/>
        </w:rPr>
        <w:t>470,52</w:t>
      </w:r>
      <w:r>
        <w:rPr>
          <w:rFonts w:ascii="Arial" w:eastAsia="Calibri" w:hAnsi="Arial" w:cs="Arial"/>
          <w:bCs/>
          <w:sz w:val="20"/>
          <w:szCs w:val="20"/>
        </w:rPr>
        <w:t xml:space="preserve"> € (neizravni troškovi), </w:t>
      </w:r>
      <w:r w:rsidR="00FB0F44">
        <w:rPr>
          <w:rFonts w:ascii="Arial" w:eastAsia="Calibri" w:hAnsi="Arial" w:cs="Arial"/>
          <w:bCs/>
          <w:sz w:val="20"/>
          <w:szCs w:val="20"/>
        </w:rPr>
        <w:t xml:space="preserve">sitan inventar 1.819,34 €, laboratorijski materijal </w:t>
      </w:r>
      <w:r w:rsidR="00FA00BE">
        <w:rPr>
          <w:rFonts w:ascii="Arial" w:eastAsia="Calibri" w:hAnsi="Arial" w:cs="Arial"/>
          <w:bCs/>
          <w:sz w:val="20"/>
          <w:szCs w:val="20"/>
        </w:rPr>
        <w:t xml:space="preserve">43.518,36 €, usluge telefona i poštarine 1.013,40 € (neizravni troškovi), usluge održavanja telefonske centrale 550 € (neizravni troškovi), objave postupaka javne nabave 746,55 € (neizravni troškovi), komunalne usluge 272,28 € (neizravni troškovi), </w:t>
      </w:r>
      <w:r w:rsidR="00911D22">
        <w:rPr>
          <w:rFonts w:ascii="Arial" w:eastAsia="Calibri" w:hAnsi="Arial" w:cs="Arial"/>
          <w:bCs/>
          <w:sz w:val="20"/>
          <w:szCs w:val="20"/>
        </w:rPr>
        <w:t>usluge savjetovanja postupcima javne nabave 4.266,67 € (neizravni troškovi),</w:t>
      </w:r>
      <w:r w:rsidR="00911D22" w:rsidRPr="00911D22">
        <w:rPr>
          <w:rFonts w:ascii="Arial" w:eastAsia="Calibri" w:hAnsi="Arial" w:cs="Arial"/>
          <w:bCs/>
          <w:sz w:val="20"/>
          <w:szCs w:val="20"/>
        </w:rPr>
        <w:t xml:space="preserve"> </w:t>
      </w:r>
      <w:r w:rsidR="00911D22">
        <w:rPr>
          <w:rFonts w:ascii="Arial" w:eastAsia="Calibri" w:hAnsi="Arial" w:cs="Arial"/>
          <w:bCs/>
          <w:sz w:val="20"/>
          <w:szCs w:val="20"/>
        </w:rPr>
        <w:t>usluge registracije prijevoznih sredstava 210,01 € (neizravni troškovi),</w:t>
      </w:r>
      <w:r w:rsidR="00911D22" w:rsidRPr="00911D22">
        <w:rPr>
          <w:rFonts w:ascii="Arial" w:eastAsia="Calibri" w:hAnsi="Arial" w:cs="Arial"/>
          <w:bCs/>
          <w:sz w:val="20"/>
          <w:szCs w:val="20"/>
        </w:rPr>
        <w:t xml:space="preserve"> </w:t>
      </w:r>
      <w:r w:rsidR="00911D22">
        <w:rPr>
          <w:rFonts w:ascii="Arial" w:eastAsia="Calibri" w:hAnsi="Arial" w:cs="Arial"/>
          <w:bCs/>
          <w:sz w:val="20"/>
          <w:szCs w:val="20"/>
        </w:rPr>
        <w:t>usluge osiguranja nabavljenih prijevoznih sredstava 1.387,50 € (neizravni troškovi), usluge reprezentacije za predstavljanje projekta 431,30 €.</w:t>
      </w:r>
    </w:p>
    <w:p w14:paraId="502D98FF" w14:textId="69CD1049" w:rsidR="00037885" w:rsidRDefault="00911D22" w:rsidP="00911D22">
      <w:pPr>
        <w:spacing w:after="0" w:line="240" w:lineRule="auto"/>
        <w:jc w:val="both"/>
        <w:rPr>
          <w:rFonts w:ascii="Arial" w:eastAsia="Calibri" w:hAnsi="Arial" w:cs="Arial"/>
          <w:bCs/>
          <w:sz w:val="20"/>
          <w:szCs w:val="20"/>
        </w:rPr>
      </w:pPr>
      <w:r w:rsidRPr="00911D22">
        <w:rPr>
          <w:rFonts w:ascii="Arial" w:eastAsia="Calibri" w:hAnsi="Arial" w:cs="Arial"/>
          <w:bCs/>
          <w:sz w:val="20"/>
          <w:szCs w:val="20"/>
        </w:rPr>
        <w:t xml:space="preserve">Rashodi za nabavu nefinancijske imovine se odnose na </w:t>
      </w:r>
      <w:r w:rsidR="00037885">
        <w:rPr>
          <w:rFonts w:ascii="Arial" w:eastAsia="Calibri" w:hAnsi="Arial" w:cs="Arial"/>
          <w:bCs/>
          <w:sz w:val="20"/>
          <w:szCs w:val="20"/>
        </w:rPr>
        <w:t xml:space="preserve">nabavu uredske opreme za laboratorij za kontrolu kvalitete vode 30.713,77 €, nabavu računala 1.291,25 €, nabavu laboratorijske opreme 111.234,28 €, nabavu kontrolnih i mjernih uređaja za laboratorij 43.258,91 €, nabavu terenskog vozila AMAROK 49.762,72 €, te izradu GIS sustava upravljanja vodom 70.005 €, izradu web aplikacije 1.288,23 €, usluga geodetskog snimanja, georeferenciranja i integracije u GIS sustav 19.745 €, te </w:t>
      </w:r>
      <w:r w:rsidR="00732FE5">
        <w:rPr>
          <w:rFonts w:ascii="Arial" w:eastAsia="Calibri" w:hAnsi="Arial" w:cs="Arial"/>
          <w:bCs/>
          <w:sz w:val="20"/>
          <w:szCs w:val="20"/>
        </w:rPr>
        <w:t>iz</w:t>
      </w:r>
      <w:r w:rsidR="00037885">
        <w:rPr>
          <w:rFonts w:ascii="Arial" w:eastAsia="Calibri" w:hAnsi="Arial" w:cs="Arial"/>
          <w:bCs/>
          <w:sz w:val="20"/>
          <w:szCs w:val="20"/>
        </w:rPr>
        <w:t xml:space="preserve">rada projektno tehničke dokumentacije </w:t>
      </w:r>
      <w:r w:rsidR="00732FE5">
        <w:rPr>
          <w:rFonts w:ascii="Arial" w:eastAsia="Calibri" w:hAnsi="Arial" w:cs="Arial"/>
          <w:bCs/>
          <w:sz w:val="20"/>
          <w:szCs w:val="20"/>
        </w:rPr>
        <w:t>za izgradnju spojnog cjevovoda Pridvorje Minahići 16.000 €.</w:t>
      </w:r>
    </w:p>
    <w:p w14:paraId="6159C1E8" w14:textId="77777777" w:rsidR="00911D22" w:rsidRDefault="00911D22" w:rsidP="00756205">
      <w:pPr>
        <w:spacing w:after="0" w:line="240" w:lineRule="auto"/>
        <w:jc w:val="both"/>
        <w:rPr>
          <w:rFonts w:ascii="Arial" w:eastAsia="Calibri" w:hAnsi="Arial" w:cs="Arial"/>
          <w:bCs/>
          <w:sz w:val="20"/>
          <w:szCs w:val="20"/>
        </w:rPr>
      </w:pPr>
    </w:p>
    <w:p w14:paraId="67E84631" w14:textId="2E88F97B" w:rsidR="00184A8E" w:rsidRPr="00184A8E" w:rsidRDefault="00B933C3" w:rsidP="00184A8E">
      <w:pPr>
        <w:spacing w:after="0" w:line="240" w:lineRule="auto"/>
        <w:jc w:val="both"/>
        <w:rPr>
          <w:rFonts w:ascii="Arial" w:eastAsia="Calibri" w:hAnsi="Arial" w:cs="Arial"/>
          <w:bCs/>
          <w:sz w:val="20"/>
          <w:szCs w:val="20"/>
        </w:rPr>
      </w:pPr>
      <w:r>
        <w:rPr>
          <w:rFonts w:ascii="Arial" w:eastAsia="Calibri" w:hAnsi="Arial" w:cs="Arial"/>
          <w:b/>
          <w:sz w:val="20"/>
          <w:szCs w:val="20"/>
        </w:rPr>
        <w:t>3</w:t>
      </w:r>
      <w:r w:rsidR="00184A8E" w:rsidRPr="00184A8E">
        <w:rPr>
          <w:rFonts w:ascii="Arial" w:eastAsia="Calibri" w:hAnsi="Arial" w:cs="Arial"/>
          <w:b/>
          <w:sz w:val="20"/>
          <w:szCs w:val="20"/>
        </w:rPr>
        <w:t xml:space="preserve">. T206610: „Crossmart“ Interreg VI-A IPA Programme Croatia - Bosnia and Herzegovina -Montenegro 2021-2027- </w:t>
      </w:r>
      <w:r w:rsidR="00184A8E" w:rsidRPr="00184A8E">
        <w:rPr>
          <w:rFonts w:ascii="Arial" w:eastAsia="Calibri" w:hAnsi="Arial" w:cs="Arial"/>
          <w:bCs/>
          <w:sz w:val="20"/>
          <w:szCs w:val="20"/>
        </w:rPr>
        <w:t xml:space="preserve">u sklopu projekta rashodi u planirani u </w:t>
      </w:r>
      <w:r w:rsidR="000426E7" w:rsidRPr="000426E7">
        <w:rPr>
          <w:rFonts w:ascii="Arial" w:eastAsia="Calibri" w:hAnsi="Arial" w:cs="Arial"/>
          <w:bCs/>
          <w:sz w:val="20"/>
          <w:szCs w:val="20"/>
        </w:rPr>
        <w:t xml:space="preserve">iznosu </w:t>
      </w:r>
      <w:r w:rsidR="000426E7">
        <w:rPr>
          <w:rFonts w:ascii="Arial" w:eastAsia="Calibri" w:hAnsi="Arial" w:cs="Arial"/>
          <w:bCs/>
          <w:sz w:val="20"/>
          <w:szCs w:val="20"/>
        </w:rPr>
        <w:t>557.106</w:t>
      </w:r>
      <w:r w:rsidR="000426E7" w:rsidRPr="000426E7">
        <w:rPr>
          <w:rFonts w:ascii="Arial" w:eastAsia="Calibri" w:hAnsi="Arial" w:cs="Arial"/>
          <w:bCs/>
          <w:sz w:val="20"/>
          <w:szCs w:val="20"/>
        </w:rPr>
        <w:t xml:space="preserve"> € za 2025. godinu, te 41.000 € za 2026. godinu i 12.000 € za 2027. godinu.</w:t>
      </w:r>
    </w:p>
    <w:p w14:paraId="54D9C27B" w14:textId="77777777" w:rsidR="00184A8E" w:rsidRPr="00184A8E" w:rsidRDefault="00184A8E" w:rsidP="00184A8E">
      <w:pPr>
        <w:spacing w:after="0" w:line="240" w:lineRule="auto"/>
        <w:jc w:val="both"/>
        <w:rPr>
          <w:rFonts w:ascii="Arial" w:eastAsia="Calibri" w:hAnsi="Arial" w:cs="Arial"/>
          <w:bCs/>
          <w:sz w:val="20"/>
          <w:szCs w:val="20"/>
        </w:rPr>
      </w:pPr>
    </w:p>
    <w:p w14:paraId="4106CC1D" w14:textId="77777777" w:rsidR="00184A8E" w:rsidRPr="000426E7" w:rsidRDefault="00184A8E" w:rsidP="00732FE5">
      <w:pPr>
        <w:spacing w:after="0" w:line="240" w:lineRule="auto"/>
        <w:ind w:left="709"/>
        <w:jc w:val="both"/>
        <w:rPr>
          <w:rFonts w:ascii="Arial" w:eastAsia="Calibri" w:hAnsi="Arial" w:cs="Arial"/>
          <w:bCs/>
          <w:sz w:val="18"/>
          <w:szCs w:val="18"/>
        </w:rPr>
      </w:pPr>
      <w:r w:rsidRPr="00732FE5">
        <w:rPr>
          <w:rFonts w:ascii="Arial" w:eastAsia="Calibri" w:hAnsi="Arial" w:cs="Arial"/>
          <w:bCs/>
          <w:sz w:val="18"/>
          <w:szCs w:val="18"/>
        </w:rPr>
        <w:t xml:space="preserve">U okviru specifičnog cilja 1.1. Istraživanje i razvoj Općini Konavle odobren je projekt CROSSMART, koji ima za cilj razviti i unaprijediti inovacijske kapacitete poljoprivrednika i poboljšati njihov pristup naprednim tehnologijama. Kroz projekt će Općina uspostaviti laboratorijski centar koji će sadržavati potrebnu laboratorijsku opremu za kontrolu kvalitete proizvoda, a za provođenje pilot projekta nabaviti će se i meteorološke stanice, dronovi, kao i senzori za praćenje kvalitete tla. Glavni partner na projektu je Centar za poduzetništvo Dubrovačko-neretvanske županije, a projektni partneri su Ured za europske integracije kantona Središnja Bosna, Općina Tuzi, Agronomski fakultet Sveučilišta u Zagrebu te Udruženje za </w:t>
      </w:r>
      <w:r w:rsidRPr="000426E7">
        <w:rPr>
          <w:rFonts w:ascii="Arial" w:eastAsia="Calibri" w:hAnsi="Arial" w:cs="Arial"/>
          <w:bCs/>
          <w:sz w:val="18"/>
          <w:szCs w:val="18"/>
        </w:rPr>
        <w:t>gospodarski razvoj REDAH. Vrijednost cjelokupnog projekta svih partnera iznosi 1.516.844,60 € od čega projekt Općine iznosi 507.780 €. EU sredstvima se sufinancira 85% odobrenih troškova projekta ili do 431.613 €. Trajanje projekta je od 1. rujna 2024. do 28. veljače 2027.</w:t>
      </w:r>
    </w:p>
    <w:p w14:paraId="3CD14FCC" w14:textId="77777777" w:rsidR="00184A8E" w:rsidRPr="000426E7" w:rsidRDefault="00184A8E" w:rsidP="00732FE5">
      <w:pPr>
        <w:spacing w:after="0" w:line="240" w:lineRule="auto"/>
        <w:ind w:left="709"/>
        <w:jc w:val="both"/>
        <w:rPr>
          <w:rFonts w:ascii="Arial" w:eastAsia="Calibri" w:hAnsi="Arial" w:cs="Arial"/>
          <w:sz w:val="18"/>
          <w:szCs w:val="18"/>
        </w:rPr>
      </w:pPr>
    </w:p>
    <w:p w14:paraId="44EF2817" w14:textId="77777777" w:rsidR="00184A8E" w:rsidRPr="000426E7" w:rsidRDefault="00184A8E" w:rsidP="00732FE5">
      <w:pPr>
        <w:spacing w:after="0" w:line="240" w:lineRule="auto"/>
        <w:ind w:left="709"/>
        <w:jc w:val="both"/>
        <w:rPr>
          <w:rFonts w:ascii="Arial" w:eastAsia="Calibri" w:hAnsi="Arial" w:cs="Arial"/>
          <w:bCs/>
          <w:sz w:val="20"/>
          <w:szCs w:val="20"/>
        </w:rPr>
      </w:pPr>
      <w:r w:rsidRPr="000426E7">
        <w:rPr>
          <w:rFonts w:ascii="Arial" w:eastAsia="Calibri" w:hAnsi="Arial" w:cs="Arial"/>
          <w:bCs/>
          <w:sz w:val="18"/>
          <w:szCs w:val="18"/>
        </w:rPr>
        <w:t xml:space="preserve">U 2024. su izvršeni rashodi u iznosu 15.569,48 € i odnose se na rashode za zaposlene 9.574,56 € i materijalne rashode 5.994,92 €. </w:t>
      </w:r>
    </w:p>
    <w:p w14:paraId="25E1D22C" w14:textId="77777777" w:rsidR="00184A8E" w:rsidRPr="00EB71ED" w:rsidRDefault="00184A8E" w:rsidP="00184A8E">
      <w:pPr>
        <w:spacing w:after="0" w:line="240" w:lineRule="auto"/>
        <w:jc w:val="both"/>
        <w:rPr>
          <w:rFonts w:ascii="Arial" w:eastAsia="Calibri" w:hAnsi="Arial" w:cs="Arial"/>
          <w:sz w:val="20"/>
          <w:szCs w:val="20"/>
        </w:rPr>
      </w:pPr>
    </w:p>
    <w:p w14:paraId="6A7A616C" w14:textId="759DC0DE" w:rsidR="00732FE5" w:rsidRDefault="00732FE5" w:rsidP="00732FE5">
      <w:pPr>
        <w:spacing w:after="0" w:line="240" w:lineRule="auto"/>
        <w:jc w:val="both"/>
        <w:rPr>
          <w:rFonts w:ascii="Arial" w:eastAsia="Calibri" w:hAnsi="Arial" w:cs="Arial"/>
          <w:bCs/>
          <w:sz w:val="20"/>
          <w:szCs w:val="20"/>
        </w:rPr>
      </w:pPr>
      <w:r w:rsidRPr="00EB71ED">
        <w:rPr>
          <w:rFonts w:ascii="Arial" w:eastAsia="Calibri" w:hAnsi="Arial" w:cs="Arial"/>
          <w:bCs/>
          <w:sz w:val="20"/>
          <w:szCs w:val="20"/>
        </w:rPr>
        <w:t xml:space="preserve">U 2025. su izvršeni rashodi u iznosu 437.151,47 € i odnose se na rashode za zaposlene </w:t>
      </w:r>
      <w:r w:rsidR="000426E7" w:rsidRPr="00EB71ED">
        <w:rPr>
          <w:rFonts w:ascii="Arial" w:eastAsia="Calibri" w:hAnsi="Arial" w:cs="Arial"/>
          <w:bCs/>
          <w:sz w:val="20"/>
          <w:szCs w:val="20"/>
        </w:rPr>
        <w:t>29.445,98</w:t>
      </w:r>
      <w:r w:rsidRPr="00EB71ED">
        <w:rPr>
          <w:rFonts w:ascii="Arial" w:eastAsia="Calibri" w:hAnsi="Arial" w:cs="Arial"/>
          <w:bCs/>
          <w:sz w:val="20"/>
          <w:szCs w:val="20"/>
        </w:rPr>
        <w:t xml:space="preserve"> €, materijalne rashode </w:t>
      </w:r>
      <w:r w:rsidR="000426E7" w:rsidRPr="00EB71ED">
        <w:rPr>
          <w:rFonts w:ascii="Arial" w:eastAsia="Calibri" w:hAnsi="Arial" w:cs="Arial"/>
          <w:bCs/>
          <w:sz w:val="20"/>
          <w:szCs w:val="20"/>
        </w:rPr>
        <w:t>18.647,52</w:t>
      </w:r>
      <w:r w:rsidRPr="00EB71ED">
        <w:rPr>
          <w:rFonts w:ascii="Arial" w:eastAsia="Calibri" w:hAnsi="Arial" w:cs="Arial"/>
          <w:bCs/>
          <w:sz w:val="20"/>
          <w:szCs w:val="20"/>
        </w:rPr>
        <w:t xml:space="preserve"> € i rashode za nabavu nefinancijske imovine </w:t>
      </w:r>
      <w:r w:rsidR="000426E7" w:rsidRPr="00EB71ED">
        <w:rPr>
          <w:rFonts w:ascii="Arial" w:eastAsia="Calibri" w:hAnsi="Arial" w:cs="Arial"/>
          <w:bCs/>
          <w:sz w:val="20"/>
          <w:szCs w:val="20"/>
        </w:rPr>
        <w:t>389.057,97</w:t>
      </w:r>
      <w:r w:rsidRPr="00EB71ED">
        <w:rPr>
          <w:rFonts w:ascii="Arial" w:eastAsia="Calibri" w:hAnsi="Arial" w:cs="Arial"/>
          <w:bCs/>
          <w:sz w:val="20"/>
          <w:szCs w:val="20"/>
        </w:rPr>
        <w:t xml:space="preserve"> €. Materijalni rashodi se odnose na naknade troškova zaposlenima </w:t>
      </w:r>
      <w:r w:rsidR="000426E7" w:rsidRPr="00EB71ED">
        <w:rPr>
          <w:rFonts w:ascii="Arial" w:eastAsia="Calibri" w:hAnsi="Arial" w:cs="Arial"/>
          <w:bCs/>
          <w:sz w:val="20"/>
          <w:szCs w:val="20"/>
        </w:rPr>
        <w:t>1.315,62</w:t>
      </w:r>
      <w:r w:rsidRPr="00EB71ED">
        <w:rPr>
          <w:rFonts w:ascii="Arial" w:eastAsia="Calibri" w:hAnsi="Arial" w:cs="Arial"/>
          <w:bCs/>
          <w:sz w:val="20"/>
          <w:szCs w:val="20"/>
        </w:rPr>
        <w:t xml:space="preserve"> € (prijevoz na posao), uredski materijal </w:t>
      </w:r>
      <w:r w:rsidR="00616581">
        <w:rPr>
          <w:rFonts w:ascii="Arial" w:eastAsia="Calibri" w:hAnsi="Arial" w:cs="Arial"/>
          <w:bCs/>
          <w:sz w:val="20"/>
          <w:szCs w:val="20"/>
        </w:rPr>
        <w:t xml:space="preserve">i ostalog materijala za redovno poslovanje </w:t>
      </w:r>
      <w:r w:rsidR="000426E7" w:rsidRPr="00EB71ED">
        <w:rPr>
          <w:rFonts w:ascii="Arial" w:eastAsia="Calibri" w:hAnsi="Arial" w:cs="Arial"/>
          <w:bCs/>
          <w:sz w:val="20"/>
          <w:szCs w:val="20"/>
        </w:rPr>
        <w:t>4.168,15</w:t>
      </w:r>
      <w:r w:rsidRPr="00EB71ED">
        <w:rPr>
          <w:rFonts w:ascii="Arial" w:eastAsia="Calibri" w:hAnsi="Arial" w:cs="Arial"/>
          <w:bCs/>
          <w:sz w:val="20"/>
          <w:szCs w:val="20"/>
        </w:rPr>
        <w:t xml:space="preserve"> € (neizravni troškovi), sitan inventar </w:t>
      </w:r>
      <w:r w:rsidR="000426E7" w:rsidRPr="00EB71ED">
        <w:rPr>
          <w:rFonts w:ascii="Arial" w:eastAsia="Calibri" w:hAnsi="Arial" w:cs="Arial"/>
          <w:bCs/>
          <w:sz w:val="20"/>
          <w:szCs w:val="20"/>
        </w:rPr>
        <w:t>3.292,50</w:t>
      </w:r>
      <w:r w:rsidRPr="00EB71ED">
        <w:rPr>
          <w:rFonts w:ascii="Arial" w:eastAsia="Calibri" w:hAnsi="Arial" w:cs="Arial"/>
          <w:bCs/>
          <w:sz w:val="20"/>
          <w:szCs w:val="20"/>
        </w:rPr>
        <w:t xml:space="preserve"> €, usluge telefona i poštarine </w:t>
      </w:r>
      <w:r w:rsidR="00EB71ED" w:rsidRPr="00EB71ED">
        <w:rPr>
          <w:rFonts w:ascii="Arial" w:eastAsia="Calibri" w:hAnsi="Arial" w:cs="Arial"/>
          <w:bCs/>
          <w:sz w:val="20"/>
          <w:szCs w:val="20"/>
        </w:rPr>
        <w:t>601,05</w:t>
      </w:r>
      <w:r w:rsidRPr="00EB71ED">
        <w:rPr>
          <w:rFonts w:ascii="Arial" w:eastAsia="Calibri" w:hAnsi="Arial" w:cs="Arial"/>
          <w:bCs/>
          <w:sz w:val="20"/>
          <w:szCs w:val="20"/>
        </w:rPr>
        <w:t xml:space="preserve"> € (neizravni troškovi), objave postupaka javne nabave </w:t>
      </w:r>
      <w:r w:rsidR="00EB71ED" w:rsidRPr="00EB71ED">
        <w:rPr>
          <w:rFonts w:ascii="Arial" w:eastAsia="Calibri" w:hAnsi="Arial" w:cs="Arial"/>
          <w:bCs/>
          <w:sz w:val="20"/>
          <w:szCs w:val="20"/>
        </w:rPr>
        <w:t>248,85</w:t>
      </w:r>
      <w:r w:rsidRPr="00EB71ED">
        <w:rPr>
          <w:rFonts w:ascii="Arial" w:eastAsia="Calibri" w:hAnsi="Arial" w:cs="Arial"/>
          <w:bCs/>
          <w:sz w:val="20"/>
          <w:szCs w:val="20"/>
        </w:rPr>
        <w:t xml:space="preserve"> € (neizravni troškovi), komunalne usluge </w:t>
      </w:r>
      <w:r w:rsidR="00EB71ED" w:rsidRPr="00EB71ED">
        <w:rPr>
          <w:rFonts w:ascii="Arial" w:eastAsia="Calibri" w:hAnsi="Arial" w:cs="Arial"/>
          <w:bCs/>
          <w:sz w:val="20"/>
          <w:szCs w:val="20"/>
        </w:rPr>
        <w:t>22,68</w:t>
      </w:r>
      <w:r w:rsidRPr="00EB71ED">
        <w:rPr>
          <w:rFonts w:ascii="Arial" w:eastAsia="Calibri" w:hAnsi="Arial" w:cs="Arial"/>
          <w:bCs/>
          <w:sz w:val="20"/>
          <w:szCs w:val="20"/>
        </w:rPr>
        <w:t xml:space="preserve"> € (neizravni troškovi), usluge savjetovanja postupcima javne nabave 4.266,6</w:t>
      </w:r>
      <w:r w:rsidR="000C27C3">
        <w:rPr>
          <w:rFonts w:ascii="Arial" w:eastAsia="Calibri" w:hAnsi="Arial" w:cs="Arial"/>
          <w:bCs/>
          <w:sz w:val="20"/>
          <w:szCs w:val="20"/>
        </w:rPr>
        <w:t>7</w:t>
      </w:r>
      <w:r w:rsidRPr="00EB71ED">
        <w:rPr>
          <w:rFonts w:ascii="Arial" w:eastAsia="Calibri" w:hAnsi="Arial" w:cs="Arial"/>
          <w:bCs/>
          <w:sz w:val="20"/>
          <w:szCs w:val="20"/>
        </w:rPr>
        <w:t xml:space="preserve"> € (neizravni troškovi), </w:t>
      </w:r>
      <w:r w:rsidRPr="00663F40">
        <w:rPr>
          <w:rFonts w:ascii="Arial" w:eastAsia="Calibri" w:hAnsi="Arial" w:cs="Arial"/>
          <w:bCs/>
          <w:sz w:val="20"/>
          <w:szCs w:val="20"/>
        </w:rPr>
        <w:t xml:space="preserve">usluge osiguranja </w:t>
      </w:r>
      <w:r w:rsidR="00663F40" w:rsidRPr="00663F40">
        <w:rPr>
          <w:rFonts w:ascii="Arial" w:eastAsia="Calibri" w:hAnsi="Arial" w:cs="Arial"/>
          <w:bCs/>
          <w:sz w:val="20"/>
          <w:szCs w:val="20"/>
        </w:rPr>
        <w:t>drona 107</w:t>
      </w:r>
      <w:r w:rsidRPr="00663F40">
        <w:rPr>
          <w:rFonts w:ascii="Arial" w:eastAsia="Calibri" w:hAnsi="Arial" w:cs="Arial"/>
          <w:bCs/>
          <w:sz w:val="20"/>
          <w:szCs w:val="20"/>
        </w:rPr>
        <w:t xml:space="preserve"> € (neizravni troškovi</w:t>
      </w:r>
      <w:r w:rsidR="00616581">
        <w:rPr>
          <w:rFonts w:ascii="Arial" w:eastAsia="Calibri" w:hAnsi="Arial" w:cs="Arial"/>
          <w:bCs/>
          <w:sz w:val="20"/>
          <w:szCs w:val="20"/>
        </w:rPr>
        <w:t xml:space="preserve">), </w:t>
      </w:r>
      <w:r w:rsidR="00EB71ED" w:rsidRPr="00663F40">
        <w:rPr>
          <w:rFonts w:ascii="Arial" w:eastAsia="Calibri" w:hAnsi="Arial" w:cs="Arial"/>
          <w:bCs/>
          <w:sz w:val="20"/>
          <w:szCs w:val="20"/>
        </w:rPr>
        <w:t xml:space="preserve">usluge nadzora nad radovima preuređenja Centra za ruralni razvoj 3.750 €, usluga projektiranja </w:t>
      </w:r>
      <w:r w:rsidR="00663F40" w:rsidRPr="00663F40">
        <w:rPr>
          <w:rFonts w:ascii="Arial" w:eastAsia="Calibri" w:hAnsi="Arial" w:cs="Arial"/>
          <w:bCs/>
          <w:sz w:val="20"/>
          <w:szCs w:val="20"/>
        </w:rPr>
        <w:t xml:space="preserve">Centra za ruralni razvoj </w:t>
      </w:r>
      <w:r w:rsidR="00EB71ED" w:rsidRPr="00663F40">
        <w:rPr>
          <w:rFonts w:ascii="Arial" w:eastAsia="Calibri" w:hAnsi="Arial" w:cs="Arial"/>
          <w:bCs/>
          <w:sz w:val="20"/>
          <w:szCs w:val="20"/>
        </w:rPr>
        <w:t>875 €</w:t>
      </w:r>
      <w:r w:rsidR="00663F40">
        <w:rPr>
          <w:rFonts w:ascii="Arial" w:eastAsia="Calibri" w:hAnsi="Arial" w:cs="Arial"/>
          <w:bCs/>
          <w:sz w:val="20"/>
          <w:szCs w:val="20"/>
        </w:rPr>
        <w:t>.</w:t>
      </w:r>
    </w:p>
    <w:p w14:paraId="55FBC592" w14:textId="7E976DE4" w:rsidR="00663F40" w:rsidRPr="00616581" w:rsidRDefault="00732FE5" w:rsidP="00732FE5">
      <w:pPr>
        <w:spacing w:after="0" w:line="240" w:lineRule="auto"/>
        <w:jc w:val="both"/>
        <w:rPr>
          <w:rFonts w:ascii="Arial" w:eastAsia="Calibri" w:hAnsi="Arial" w:cs="Arial"/>
          <w:bCs/>
          <w:sz w:val="20"/>
          <w:szCs w:val="20"/>
        </w:rPr>
      </w:pPr>
      <w:r w:rsidRPr="00663F40">
        <w:rPr>
          <w:rFonts w:ascii="Arial" w:eastAsia="Calibri" w:hAnsi="Arial" w:cs="Arial"/>
          <w:bCs/>
          <w:sz w:val="20"/>
          <w:szCs w:val="20"/>
        </w:rPr>
        <w:t>Rashodi za nabavu nefinancijske imovine se odnose na nabavu uredsk</w:t>
      </w:r>
      <w:r w:rsidR="00663F40">
        <w:rPr>
          <w:rFonts w:ascii="Arial" w:eastAsia="Calibri" w:hAnsi="Arial" w:cs="Arial"/>
          <w:bCs/>
          <w:sz w:val="20"/>
          <w:szCs w:val="20"/>
        </w:rPr>
        <w:t xml:space="preserve">og </w:t>
      </w:r>
      <w:r w:rsidR="00663F40" w:rsidRPr="00663F40">
        <w:rPr>
          <w:rFonts w:ascii="Arial" w:eastAsia="Calibri" w:hAnsi="Arial" w:cs="Arial"/>
          <w:bCs/>
          <w:sz w:val="20"/>
          <w:szCs w:val="20"/>
        </w:rPr>
        <w:t>namještaja</w:t>
      </w:r>
      <w:r w:rsidRPr="00663F40">
        <w:rPr>
          <w:rFonts w:ascii="Arial" w:eastAsia="Calibri" w:hAnsi="Arial" w:cs="Arial"/>
          <w:bCs/>
          <w:sz w:val="20"/>
          <w:szCs w:val="20"/>
        </w:rPr>
        <w:t xml:space="preserve"> za laboratorij za kontrolu kvalitete </w:t>
      </w:r>
      <w:r w:rsidR="00663F40" w:rsidRPr="00663F40">
        <w:rPr>
          <w:rFonts w:ascii="Arial" w:eastAsia="Calibri" w:hAnsi="Arial" w:cs="Arial"/>
          <w:bCs/>
          <w:sz w:val="20"/>
          <w:szCs w:val="20"/>
        </w:rPr>
        <w:t>ulja i vina</w:t>
      </w:r>
      <w:r w:rsidRPr="00663F40">
        <w:rPr>
          <w:rFonts w:ascii="Arial" w:eastAsia="Calibri" w:hAnsi="Arial" w:cs="Arial"/>
          <w:bCs/>
          <w:sz w:val="20"/>
          <w:szCs w:val="20"/>
        </w:rPr>
        <w:t xml:space="preserve"> </w:t>
      </w:r>
      <w:r w:rsidR="00663F40" w:rsidRPr="00663F40">
        <w:rPr>
          <w:rFonts w:ascii="Arial" w:eastAsia="Calibri" w:hAnsi="Arial" w:cs="Arial"/>
          <w:bCs/>
          <w:sz w:val="20"/>
          <w:szCs w:val="20"/>
        </w:rPr>
        <w:t>4.811,25</w:t>
      </w:r>
      <w:r w:rsidRPr="00663F40">
        <w:rPr>
          <w:rFonts w:ascii="Arial" w:eastAsia="Calibri" w:hAnsi="Arial" w:cs="Arial"/>
          <w:bCs/>
          <w:sz w:val="20"/>
          <w:szCs w:val="20"/>
        </w:rPr>
        <w:t xml:space="preserve"> €, nabavu računala </w:t>
      </w:r>
      <w:r w:rsidR="00663F40" w:rsidRPr="00663F40">
        <w:rPr>
          <w:rFonts w:ascii="Arial" w:eastAsia="Calibri" w:hAnsi="Arial" w:cs="Arial"/>
          <w:bCs/>
          <w:sz w:val="20"/>
          <w:szCs w:val="20"/>
        </w:rPr>
        <w:t>3.375</w:t>
      </w:r>
      <w:r w:rsidRPr="00663F40">
        <w:rPr>
          <w:rFonts w:ascii="Arial" w:eastAsia="Calibri" w:hAnsi="Arial" w:cs="Arial"/>
          <w:bCs/>
          <w:sz w:val="20"/>
          <w:szCs w:val="20"/>
        </w:rPr>
        <w:t xml:space="preserve"> </w:t>
      </w:r>
      <w:r w:rsidRPr="00616581">
        <w:rPr>
          <w:rFonts w:ascii="Arial" w:eastAsia="Calibri" w:hAnsi="Arial" w:cs="Arial"/>
          <w:bCs/>
          <w:sz w:val="20"/>
          <w:szCs w:val="20"/>
        </w:rPr>
        <w:t xml:space="preserve">€, </w:t>
      </w:r>
      <w:r w:rsidR="00663F40" w:rsidRPr="00616581">
        <w:rPr>
          <w:rFonts w:ascii="Arial" w:eastAsia="Calibri" w:hAnsi="Arial" w:cs="Arial"/>
          <w:bCs/>
          <w:sz w:val="20"/>
          <w:szCs w:val="20"/>
        </w:rPr>
        <w:t xml:space="preserve">radovi preuređenja prostora ex vatrogasnog doma u prostor za laboratorij (Centar za ruralni razvoj) u iznosu 66.101,14 €, nabavu TV uređaja 1.525 €, nabavu klima uređaja 4.993,90 €, </w:t>
      </w:r>
      <w:r w:rsidRPr="00616581">
        <w:rPr>
          <w:rFonts w:ascii="Arial" w:eastAsia="Calibri" w:hAnsi="Arial" w:cs="Arial"/>
          <w:bCs/>
          <w:sz w:val="20"/>
          <w:szCs w:val="20"/>
        </w:rPr>
        <w:t xml:space="preserve">nabavu kontrolnih i mjernih uređaja za laboratorij </w:t>
      </w:r>
      <w:r w:rsidR="00663F40" w:rsidRPr="00616581">
        <w:rPr>
          <w:rFonts w:ascii="Arial" w:eastAsia="Calibri" w:hAnsi="Arial" w:cs="Arial"/>
          <w:bCs/>
          <w:sz w:val="20"/>
          <w:szCs w:val="20"/>
        </w:rPr>
        <w:t>283.716,68</w:t>
      </w:r>
      <w:r w:rsidRPr="00616581">
        <w:rPr>
          <w:rFonts w:ascii="Arial" w:eastAsia="Calibri" w:hAnsi="Arial" w:cs="Arial"/>
          <w:bCs/>
          <w:sz w:val="20"/>
          <w:szCs w:val="20"/>
        </w:rPr>
        <w:t xml:space="preserve"> €, </w:t>
      </w:r>
      <w:r w:rsidR="00663F40" w:rsidRPr="00616581">
        <w:rPr>
          <w:rFonts w:ascii="Arial" w:eastAsia="Calibri" w:hAnsi="Arial" w:cs="Arial"/>
          <w:bCs/>
          <w:sz w:val="20"/>
          <w:szCs w:val="20"/>
        </w:rPr>
        <w:t xml:space="preserve">nabavu pametnih lovki za insekte 4.937,50 €, </w:t>
      </w:r>
      <w:r w:rsidR="00616581" w:rsidRPr="00616581">
        <w:rPr>
          <w:rFonts w:ascii="Arial" w:eastAsia="Calibri" w:hAnsi="Arial" w:cs="Arial"/>
          <w:bCs/>
          <w:sz w:val="20"/>
          <w:szCs w:val="20"/>
        </w:rPr>
        <w:t xml:space="preserve">oprema za čajnu kuhinju 13.597,50 €, nabava bespilotne letjelice (dron) 6.000 €. </w:t>
      </w:r>
    </w:p>
    <w:p w14:paraId="6348B753" w14:textId="77777777" w:rsidR="00184A8E" w:rsidRPr="00184A8E" w:rsidRDefault="00184A8E" w:rsidP="00184A8E">
      <w:pPr>
        <w:spacing w:after="0" w:line="240" w:lineRule="auto"/>
        <w:jc w:val="both"/>
        <w:rPr>
          <w:rFonts w:ascii="Arial" w:eastAsia="Calibri" w:hAnsi="Arial" w:cs="Arial"/>
          <w:sz w:val="20"/>
          <w:szCs w:val="20"/>
        </w:rPr>
      </w:pPr>
    </w:p>
    <w:p w14:paraId="77ADE715" w14:textId="7C1D622D" w:rsidR="00184A8E" w:rsidRPr="00184A8E" w:rsidRDefault="00B933C3" w:rsidP="00184A8E">
      <w:pPr>
        <w:spacing w:after="0" w:line="240" w:lineRule="auto"/>
        <w:jc w:val="both"/>
        <w:rPr>
          <w:rFonts w:ascii="Arial" w:eastAsia="Calibri" w:hAnsi="Arial" w:cs="Arial"/>
          <w:bCs/>
          <w:sz w:val="20"/>
          <w:szCs w:val="20"/>
        </w:rPr>
      </w:pPr>
      <w:r>
        <w:rPr>
          <w:rFonts w:ascii="Arial" w:eastAsia="Calibri" w:hAnsi="Arial" w:cs="Arial"/>
          <w:b/>
          <w:sz w:val="20"/>
          <w:szCs w:val="20"/>
        </w:rPr>
        <w:t>4</w:t>
      </w:r>
      <w:r w:rsidR="00184A8E" w:rsidRPr="00184A8E">
        <w:rPr>
          <w:rFonts w:ascii="Arial" w:eastAsia="Calibri" w:hAnsi="Arial" w:cs="Arial"/>
          <w:b/>
          <w:sz w:val="20"/>
          <w:szCs w:val="20"/>
        </w:rPr>
        <w:t xml:space="preserve">. T206611: „CIRCUS“ </w:t>
      </w:r>
      <w:r w:rsidR="00184A8E" w:rsidRPr="00184A8E">
        <w:rPr>
          <w:rFonts w:ascii="Arial" w:eastAsia="Calibri" w:hAnsi="Arial" w:cs="Arial"/>
          <w:b/>
          <w:bCs/>
          <w:sz w:val="20"/>
          <w:szCs w:val="20"/>
        </w:rPr>
        <w:t>Interreg VI-B IPA Adriatic</w:t>
      </w:r>
      <w:r w:rsidR="00184A8E" w:rsidRPr="00184A8E">
        <w:rPr>
          <w:rFonts w:ascii="Arial" w:eastAsia="Calibri" w:hAnsi="Arial" w:cs="Arial"/>
          <w:b/>
          <w:sz w:val="20"/>
          <w:szCs w:val="20"/>
        </w:rPr>
        <w:t xml:space="preserve">- </w:t>
      </w:r>
      <w:r w:rsidR="00184A8E" w:rsidRPr="00184A8E">
        <w:rPr>
          <w:rFonts w:ascii="Arial" w:eastAsia="Calibri" w:hAnsi="Arial" w:cs="Arial"/>
          <w:bCs/>
          <w:sz w:val="20"/>
          <w:szCs w:val="20"/>
        </w:rPr>
        <w:t xml:space="preserve">u sklopu projekta rashodi u planirani u iznosu 40.300 € za 2024. godinu, te 40.000 € za 2026. godinu i 53.000 € za 2027. godinu. </w:t>
      </w:r>
    </w:p>
    <w:p w14:paraId="6586FB1A" w14:textId="77777777" w:rsidR="00184A8E" w:rsidRPr="00184A8E" w:rsidRDefault="00184A8E" w:rsidP="00184A8E">
      <w:pPr>
        <w:spacing w:after="0" w:line="240" w:lineRule="auto"/>
        <w:jc w:val="both"/>
        <w:rPr>
          <w:rFonts w:ascii="Arial" w:eastAsia="Calibri" w:hAnsi="Arial" w:cs="Arial"/>
          <w:bCs/>
          <w:sz w:val="20"/>
          <w:szCs w:val="20"/>
        </w:rPr>
      </w:pPr>
    </w:p>
    <w:p w14:paraId="065BF2A2" w14:textId="77777777" w:rsidR="00184A8E" w:rsidRPr="000C27C3" w:rsidRDefault="00184A8E" w:rsidP="000C27C3">
      <w:pPr>
        <w:spacing w:after="0" w:line="240" w:lineRule="auto"/>
        <w:ind w:left="709"/>
        <w:jc w:val="both"/>
        <w:rPr>
          <w:rFonts w:ascii="Arial" w:eastAsia="Calibri" w:hAnsi="Arial" w:cs="Arial"/>
          <w:sz w:val="18"/>
          <w:szCs w:val="18"/>
        </w:rPr>
      </w:pPr>
      <w:r w:rsidRPr="000C27C3">
        <w:rPr>
          <w:rFonts w:ascii="Arial" w:eastAsia="Calibri" w:hAnsi="Arial" w:cs="Arial"/>
          <w:sz w:val="18"/>
          <w:szCs w:val="18"/>
        </w:rPr>
        <w:t xml:space="preserve">CIRCUS - </w:t>
      </w:r>
      <w:r w:rsidRPr="000C27C3">
        <w:rPr>
          <w:rFonts w:ascii="Arial" w:eastAsia="Calibri" w:hAnsi="Arial" w:cs="Arial"/>
          <w:b/>
          <w:bCs/>
          <w:sz w:val="18"/>
          <w:szCs w:val="18"/>
        </w:rPr>
        <w:t>Circular economy Strategies, action plans, and Solutions for agrifood systems transition in ADRION coastal communities</w:t>
      </w:r>
      <w:r w:rsidRPr="000C27C3">
        <w:rPr>
          <w:rFonts w:ascii="Arial" w:eastAsia="Calibri" w:hAnsi="Arial" w:cs="Arial"/>
          <w:sz w:val="18"/>
          <w:szCs w:val="18"/>
        </w:rPr>
        <w:t xml:space="preserve">, Ugovor s projektnim partnerima je zaključen u studenome 2024. godine. Uz Općinu Konavle, u projektu sudjeluje još devet partnera iz Italije, Grčke, Bosne i Hercegovine, Crne Gore i Albanije. Projekt podupire prijelaz na cirkularnu ekonomiju (kružno gospodarstvo) poljoprivredno-prehrambenih sustava u jadranskim i jonskim obalnim zajednicama razvijanjem i testiranjem strategija, akcijskih planova i rješenja kroz participativne pristupe, s ciljem rješavanja postojećih zajedničkih problema s kojima se lokalne zajednice suočavaju. Projekt je sufinanciran u okviru Interreg IPA ADRION Programa. Projekt traje od 1. rujna 2024. do 31. kolovoza 2027 godine. Sveukupna vrijednost projekta svih partnera iznosi 1.579.031,08 €, od čega se 85% sufinancira sredstvima EU. U odobrenom proračunu ovog projekta, na Općinu se odnosi 134.450 € od čega se 85% sufinancira EU sredstvima. </w:t>
      </w:r>
    </w:p>
    <w:p w14:paraId="1077F0B2" w14:textId="77777777" w:rsidR="00184A8E" w:rsidRPr="000C27C3" w:rsidRDefault="00184A8E" w:rsidP="000C27C3">
      <w:pPr>
        <w:spacing w:after="0" w:line="240" w:lineRule="auto"/>
        <w:ind w:left="709"/>
        <w:jc w:val="both"/>
        <w:rPr>
          <w:rFonts w:ascii="Arial" w:eastAsia="Calibri" w:hAnsi="Arial" w:cs="Arial"/>
          <w:sz w:val="18"/>
          <w:szCs w:val="18"/>
        </w:rPr>
      </w:pPr>
    </w:p>
    <w:p w14:paraId="645986D9" w14:textId="77777777" w:rsidR="00184A8E" w:rsidRDefault="00184A8E" w:rsidP="000C27C3">
      <w:pPr>
        <w:spacing w:after="0" w:line="240" w:lineRule="auto"/>
        <w:ind w:left="709"/>
        <w:jc w:val="both"/>
        <w:rPr>
          <w:rFonts w:ascii="Arial" w:eastAsia="Calibri" w:hAnsi="Arial" w:cs="Arial"/>
          <w:bCs/>
          <w:sz w:val="18"/>
          <w:szCs w:val="18"/>
        </w:rPr>
      </w:pPr>
      <w:r w:rsidRPr="000C27C3">
        <w:rPr>
          <w:rFonts w:ascii="Arial" w:eastAsia="Calibri" w:hAnsi="Arial" w:cs="Arial"/>
          <w:bCs/>
          <w:sz w:val="18"/>
          <w:szCs w:val="18"/>
        </w:rPr>
        <w:t>U 2024. su izvršeni rashodi u iznosu 3.000 € i odnose se na materijalne (usluga organizacije sastanka projektnih partnera).</w:t>
      </w:r>
    </w:p>
    <w:p w14:paraId="3A1F0C32" w14:textId="599D27E6" w:rsidR="000C27C3" w:rsidRDefault="000C27C3" w:rsidP="000C27C3">
      <w:pPr>
        <w:spacing w:after="0" w:line="240" w:lineRule="auto"/>
        <w:jc w:val="both"/>
        <w:rPr>
          <w:rFonts w:ascii="Arial" w:eastAsia="Calibri" w:hAnsi="Arial" w:cs="Arial"/>
          <w:bCs/>
          <w:sz w:val="20"/>
          <w:szCs w:val="20"/>
        </w:rPr>
      </w:pPr>
      <w:r w:rsidRPr="00EB71ED">
        <w:rPr>
          <w:rFonts w:ascii="Arial" w:eastAsia="Calibri" w:hAnsi="Arial" w:cs="Arial"/>
          <w:bCs/>
          <w:sz w:val="20"/>
          <w:szCs w:val="20"/>
        </w:rPr>
        <w:lastRenderedPageBreak/>
        <w:t xml:space="preserve">U 2025. su izvršeni rashodi u iznosu </w:t>
      </w:r>
      <w:r>
        <w:rPr>
          <w:rFonts w:ascii="Arial" w:eastAsia="Calibri" w:hAnsi="Arial" w:cs="Arial"/>
          <w:bCs/>
          <w:sz w:val="20"/>
          <w:szCs w:val="20"/>
        </w:rPr>
        <w:t>21.362,36</w:t>
      </w:r>
      <w:r w:rsidRPr="00EB71ED">
        <w:rPr>
          <w:rFonts w:ascii="Arial" w:eastAsia="Calibri" w:hAnsi="Arial" w:cs="Arial"/>
          <w:bCs/>
          <w:sz w:val="20"/>
          <w:szCs w:val="20"/>
        </w:rPr>
        <w:t xml:space="preserve"> € i odnose se na rashode za zaposlene </w:t>
      </w:r>
      <w:r>
        <w:rPr>
          <w:rFonts w:ascii="Arial" w:eastAsia="Calibri" w:hAnsi="Arial" w:cs="Arial"/>
          <w:bCs/>
          <w:sz w:val="20"/>
          <w:szCs w:val="20"/>
        </w:rPr>
        <w:t>8.527,11</w:t>
      </w:r>
      <w:r w:rsidRPr="00EB71ED">
        <w:rPr>
          <w:rFonts w:ascii="Arial" w:eastAsia="Calibri" w:hAnsi="Arial" w:cs="Arial"/>
          <w:bCs/>
          <w:sz w:val="20"/>
          <w:szCs w:val="20"/>
        </w:rPr>
        <w:t xml:space="preserve"> €</w:t>
      </w:r>
      <w:r>
        <w:rPr>
          <w:rFonts w:ascii="Arial" w:eastAsia="Calibri" w:hAnsi="Arial" w:cs="Arial"/>
          <w:bCs/>
          <w:sz w:val="20"/>
          <w:szCs w:val="20"/>
        </w:rPr>
        <w:t xml:space="preserve"> i</w:t>
      </w:r>
      <w:r w:rsidRPr="00EB71ED">
        <w:rPr>
          <w:rFonts w:ascii="Arial" w:eastAsia="Calibri" w:hAnsi="Arial" w:cs="Arial"/>
          <w:bCs/>
          <w:sz w:val="20"/>
          <w:szCs w:val="20"/>
        </w:rPr>
        <w:t xml:space="preserve"> materijalne rashode </w:t>
      </w:r>
      <w:r>
        <w:rPr>
          <w:rFonts w:ascii="Arial" w:eastAsia="Calibri" w:hAnsi="Arial" w:cs="Arial"/>
          <w:bCs/>
          <w:sz w:val="20"/>
          <w:szCs w:val="20"/>
        </w:rPr>
        <w:t>12.835,25</w:t>
      </w:r>
      <w:r w:rsidRPr="00EB71ED">
        <w:rPr>
          <w:rFonts w:ascii="Arial" w:eastAsia="Calibri" w:hAnsi="Arial" w:cs="Arial"/>
          <w:bCs/>
          <w:sz w:val="20"/>
          <w:szCs w:val="20"/>
        </w:rPr>
        <w:t xml:space="preserve">. Materijalni rashodi se odnose na naknade troškova zaposlenima </w:t>
      </w:r>
      <w:r>
        <w:rPr>
          <w:rFonts w:ascii="Arial" w:eastAsia="Calibri" w:hAnsi="Arial" w:cs="Arial"/>
          <w:bCs/>
          <w:sz w:val="20"/>
          <w:szCs w:val="20"/>
        </w:rPr>
        <w:t>2.247,25</w:t>
      </w:r>
      <w:r w:rsidRPr="00EB71ED">
        <w:rPr>
          <w:rFonts w:ascii="Arial" w:eastAsia="Calibri" w:hAnsi="Arial" w:cs="Arial"/>
          <w:bCs/>
          <w:sz w:val="20"/>
          <w:szCs w:val="20"/>
        </w:rPr>
        <w:t xml:space="preserve"> € (prijevoz na posao</w:t>
      </w:r>
      <w:r>
        <w:rPr>
          <w:rFonts w:ascii="Arial" w:eastAsia="Calibri" w:hAnsi="Arial" w:cs="Arial"/>
          <w:bCs/>
          <w:sz w:val="20"/>
          <w:szCs w:val="20"/>
        </w:rPr>
        <w:t xml:space="preserve"> 372,80</w:t>
      </w:r>
      <w:r w:rsidR="00DF550D">
        <w:rPr>
          <w:rFonts w:ascii="Arial" w:eastAsia="Calibri" w:hAnsi="Arial" w:cs="Arial"/>
          <w:bCs/>
          <w:sz w:val="20"/>
          <w:szCs w:val="20"/>
        </w:rPr>
        <w:t xml:space="preserve"> €</w:t>
      </w:r>
      <w:r>
        <w:rPr>
          <w:rFonts w:ascii="Arial" w:eastAsia="Calibri" w:hAnsi="Arial" w:cs="Arial"/>
          <w:bCs/>
          <w:sz w:val="20"/>
          <w:szCs w:val="20"/>
        </w:rPr>
        <w:t>, službena putovanja 1.874,45 €</w:t>
      </w:r>
      <w:r w:rsidRPr="00EB71ED">
        <w:rPr>
          <w:rFonts w:ascii="Arial" w:eastAsia="Calibri" w:hAnsi="Arial" w:cs="Arial"/>
          <w:bCs/>
          <w:sz w:val="20"/>
          <w:szCs w:val="20"/>
        </w:rPr>
        <w:t xml:space="preserve">), uredski materijal </w:t>
      </w:r>
      <w:r>
        <w:rPr>
          <w:rFonts w:ascii="Arial" w:eastAsia="Calibri" w:hAnsi="Arial" w:cs="Arial"/>
          <w:bCs/>
          <w:sz w:val="20"/>
          <w:szCs w:val="20"/>
        </w:rPr>
        <w:t>i ostalog materijala za redovno poslovanje 143,95</w:t>
      </w:r>
      <w:r w:rsidRPr="00EB71ED">
        <w:rPr>
          <w:rFonts w:ascii="Arial" w:eastAsia="Calibri" w:hAnsi="Arial" w:cs="Arial"/>
          <w:bCs/>
          <w:sz w:val="20"/>
          <w:szCs w:val="20"/>
        </w:rPr>
        <w:t xml:space="preserve"> € (neizravni troškovi), </w:t>
      </w:r>
      <w:r>
        <w:rPr>
          <w:rFonts w:ascii="Arial" w:eastAsia="Calibri" w:hAnsi="Arial" w:cs="Arial"/>
          <w:bCs/>
          <w:sz w:val="20"/>
          <w:szCs w:val="20"/>
        </w:rPr>
        <w:t>najam prostora za održavanje radionice 500 €, usluge provedbe radionica i izrada izvješća o procjeni potreba za obalnu zajednicu</w:t>
      </w:r>
      <w:r w:rsidR="00DF550D">
        <w:rPr>
          <w:rFonts w:ascii="Arial" w:eastAsia="Calibri" w:hAnsi="Arial" w:cs="Arial"/>
          <w:bCs/>
          <w:sz w:val="20"/>
          <w:szCs w:val="20"/>
        </w:rPr>
        <w:t>, odnosno definiranje lokalne strategije i akcijskih planova u okviru projekta 8.936 €, usluge reprezentacije u okviru predstavljanja projekta i održavanja tri radionice 1.008,05 €.</w:t>
      </w:r>
    </w:p>
    <w:p w14:paraId="7A2D4B7A" w14:textId="77777777" w:rsidR="000C27C3" w:rsidRDefault="000C27C3" w:rsidP="000C27C3">
      <w:pPr>
        <w:spacing w:after="0" w:line="240" w:lineRule="auto"/>
        <w:jc w:val="both"/>
        <w:rPr>
          <w:rFonts w:ascii="Arial" w:eastAsia="Calibri" w:hAnsi="Arial" w:cs="Arial"/>
          <w:bCs/>
          <w:sz w:val="20"/>
          <w:szCs w:val="20"/>
        </w:rPr>
      </w:pPr>
    </w:p>
    <w:p w14:paraId="675140B8" w14:textId="77777777" w:rsidR="000C27C3" w:rsidRPr="000C27C3" w:rsidRDefault="000C27C3" w:rsidP="000C27C3">
      <w:pPr>
        <w:spacing w:after="0" w:line="240" w:lineRule="auto"/>
        <w:jc w:val="both"/>
        <w:rPr>
          <w:rFonts w:ascii="Arial" w:eastAsia="Calibri" w:hAnsi="Arial" w:cs="Arial"/>
          <w:bCs/>
          <w:sz w:val="20"/>
          <w:szCs w:val="20"/>
        </w:rPr>
      </w:pPr>
    </w:p>
    <w:p w14:paraId="599716C9" w14:textId="77777777" w:rsidR="00184A8E" w:rsidRPr="00184A8E" w:rsidRDefault="00184A8E" w:rsidP="00184A8E">
      <w:pPr>
        <w:spacing w:after="0" w:line="240" w:lineRule="auto"/>
        <w:jc w:val="both"/>
        <w:rPr>
          <w:rFonts w:ascii="Arial" w:eastAsia="Calibri" w:hAnsi="Arial" w:cs="Arial"/>
          <w:sz w:val="20"/>
          <w:szCs w:val="20"/>
        </w:rPr>
      </w:pPr>
    </w:p>
    <w:p w14:paraId="145202B3" w14:textId="77777777" w:rsidR="00184A8E" w:rsidRPr="00184A8E" w:rsidRDefault="00184A8E" w:rsidP="00184A8E">
      <w:pPr>
        <w:spacing w:after="0" w:line="240" w:lineRule="auto"/>
        <w:jc w:val="both"/>
        <w:rPr>
          <w:rFonts w:ascii="Arial" w:eastAsia="Calibri" w:hAnsi="Arial" w:cs="Arial"/>
          <w:sz w:val="20"/>
          <w:szCs w:val="20"/>
        </w:rPr>
      </w:pPr>
    </w:p>
    <w:p w14:paraId="3531ADB8" w14:textId="28F23E22" w:rsidR="00184A8E" w:rsidRDefault="00184A8E" w:rsidP="00184A8E">
      <w:pPr>
        <w:autoSpaceDE w:val="0"/>
        <w:autoSpaceDN w:val="0"/>
        <w:adjustRightInd w:val="0"/>
        <w:spacing w:after="0" w:line="240" w:lineRule="auto"/>
        <w:jc w:val="both"/>
        <w:rPr>
          <w:rFonts w:ascii="Arial" w:eastAsia="Calibri" w:hAnsi="Arial" w:cs="Arial"/>
          <w:sz w:val="20"/>
          <w:szCs w:val="20"/>
        </w:rPr>
      </w:pPr>
      <w:r w:rsidRPr="00184A8E">
        <w:rPr>
          <w:rFonts w:ascii="Arial" w:eastAsia="Calibri" w:hAnsi="Arial" w:cs="Arial"/>
          <w:sz w:val="20"/>
          <w:szCs w:val="20"/>
        </w:rPr>
        <w:t>Aktivnosti vezane uz opće ciljeve postignute su sukladno postocima izvršenja i u skladu s očekivanom dinamikom izvršenja rashoda.</w:t>
      </w:r>
    </w:p>
    <w:p w14:paraId="70466A07" w14:textId="77777777" w:rsidR="00184A8E" w:rsidRDefault="00184A8E">
      <w:pPr>
        <w:rPr>
          <w:rFonts w:ascii="Arial" w:eastAsia="Calibri" w:hAnsi="Arial" w:cs="Arial"/>
          <w:sz w:val="20"/>
          <w:szCs w:val="20"/>
        </w:rPr>
      </w:pPr>
      <w:r>
        <w:rPr>
          <w:rFonts w:ascii="Arial" w:eastAsia="Calibri" w:hAnsi="Arial" w:cs="Arial"/>
          <w:sz w:val="20"/>
          <w:szCs w:val="20"/>
        </w:rPr>
        <w:br w:type="page"/>
      </w:r>
    </w:p>
    <w:p w14:paraId="78456E09" w14:textId="77777777" w:rsidR="00184A8E" w:rsidRPr="00DD6E91" w:rsidRDefault="00184A8E" w:rsidP="006D5160">
      <w:pPr>
        <w:autoSpaceDE w:val="0"/>
        <w:autoSpaceDN w:val="0"/>
        <w:adjustRightInd w:val="0"/>
        <w:spacing w:after="0" w:line="240" w:lineRule="auto"/>
        <w:jc w:val="both"/>
        <w:rPr>
          <w:rFonts w:ascii="Arial" w:eastAsia="Times New Roman" w:hAnsi="Arial" w:cs="Arial"/>
          <w:sz w:val="20"/>
          <w:szCs w:val="20"/>
        </w:rPr>
      </w:pPr>
    </w:p>
    <w:p w14:paraId="6EA4DDC6" w14:textId="41FFBAE5" w:rsidR="00BF311E" w:rsidRPr="003A2F86" w:rsidRDefault="00AE2BD5" w:rsidP="00375FAF">
      <w:pPr>
        <w:pStyle w:val="Naslov3"/>
        <w:rPr>
          <w:rFonts w:eastAsia="Calibri"/>
          <w:lang w:val="hr-HR"/>
        </w:rPr>
      </w:pPr>
      <w:bookmarkStart w:id="629" w:name="_Toc532802895"/>
      <w:bookmarkStart w:id="630" w:name="_Toc232981482"/>
      <w:r w:rsidRPr="003A2F86">
        <w:rPr>
          <w:rFonts w:eastAsia="Calibri"/>
          <w:lang w:val="hr-HR"/>
        </w:rPr>
        <w:t>3.</w:t>
      </w:r>
      <w:r w:rsidR="00375FAF" w:rsidRPr="003A2F86">
        <w:rPr>
          <w:rFonts w:eastAsia="Calibri"/>
          <w:lang w:val="hr-HR"/>
        </w:rPr>
        <w:t>3</w:t>
      </w:r>
      <w:r w:rsidRPr="003A2F86">
        <w:rPr>
          <w:rFonts w:eastAsia="Calibri"/>
          <w:lang w:val="hr-HR"/>
        </w:rPr>
        <w:t>.5</w:t>
      </w:r>
      <w:r w:rsidR="00BF311E" w:rsidRPr="003A2F86">
        <w:rPr>
          <w:rFonts w:eastAsia="Calibri"/>
          <w:lang w:val="hr-HR"/>
        </w:rPr>
        <w:t>.</w:t>
      </w:r>
      <w:r w:rsidR="00BF311E" w:rsidRPr="003A2F86">
        <w:rPr>
          <w:rFonts w:eastAsia="Calibri"/>
          <w:lang w:val="hr-HR"/>
        </w:rPr>
        <w:tab/>
        <w:t>RAZDJEL: (050) UPRAVNI ODJEL ZA PROSTORNO UREĐENJE I ZAŠTITU OKOLIŠA</w:t>
      </w:r>
      <w:bookmarkEnd w:id="629"/>
      <w:bookmarkEnd w:id="630"/>
    </w:p>
    <w:p w14:paraId="45DCF50F" w14:textId="77777777" w:rsidR="00F84804" w:rsidRPr="003A2F86" w:rsidRDefault="00F84804" w:rsidP="00BF311E">
      <w:pPr>
        <w:spacing w:after="0" w:line="240" w:lineRule="auto"/>
        <w:jc w:val="both"/>
        <w:rPr>
          <w:rFonts w:ascii="Arial" w:eastAsia="Times New Roman" w:hAnsi="Arial" w:cs="Arial"/>
          <w:iCs/>
          <w:sz w:val="20"/>
          <w:szCs w:val="20"/>
          <w:lang w:eastAsia="en-US"/>
        </w:rPr>
      </w:pPr>
    </w:p>
    <w:p w14:paraId="48B20B4D" w14:textId="07FD9832" w:rsidR="00BF311E" w:rsidRPr="003A2F86" w:rsidRDefault="00510963" w:rsidP="00BF311E">
      <w:pPr>
        <w:spacing w:after="0" w:line="240" w:lineRule="auto"/>
        <w:jc w:val="both"/>
        <w:rPr>
          <w:rFonts w:ascii="Arial" w:eastAsia="Times New Roman" w:hAnsi="Arial" w:cs="Arial"/>
          <w:iCs/>
          <w:sz w:val="20"/>
          <w:szCs w:val="20"/>
          <w:lang w:eastAsia="en-US"/>
        </w:rPr>
      </w:pPr>
      <w:r w:rsidRPr="003A2F86">
        <w:rPr>
          <w:rFonts w:ascii="Arial" w:eastAsia="Times New Roman" w:hAnsi="Arial" w:cs="Arial"/>
          <w:iCs/>
          <w:sz w:val="20"/>
          <w:szCs w:val="20"/>
          <w:lang w:eastAsia="en-US"/>
        </w:rPr>
        <w:t xml:space="preserve">Razdjel </w:t>
      </w:r>
      <w:r w:rsidR="00BF311E" w:rsidRPr="003A2F86">
        <w:rPr>
          <w:rFonts w:ascii="Arial" w:eastAsia="Times New Roman" w:hAnsi="Arial" w:cs="Arial"/>
          <w:iCs/>
          <w:sz w:val="20"/>
          <w:szCs w:val="20"/>
          <w:lang w:eastAsia="en-US"/>
        </w:rPr>
        <w:t xml:space="preserve">050 (Upravni odjel za prostorno uređenje i zaštitu okoliša) </w:t>
      </w:r>
      <w:r w:rsidRPr="003A2F86">
        <w:rPr>
          <w:rFonts w:ascii="Arial" w:eastAsia="Times New Roman" w:hAnsi="Arial" w:cs="Arial"/>
          <w:iCs/>
          <w:sz w:val="20"/>
          <w:szCs w:val="20"/>
          <w:lang w:eastAsia="en-US"/>
        </w:rPr>
        <w:t>je od početka 2024. godine spojen s razdjelom 030.</w:t>
      </w:r>
    </w:p>
    <w:p w14:paraId="6A5EE11D" w14:textId="4DB44A5C" w:rsidR="001566B7" w:rsidRDefault="001566B7" w:rsidP="00FE50B3">
      <w:pPr>
        <w:autoSpaceDE w:val="0"/>
        <w:autoSpaceDN w:val="0"/>
        <w:adjustRightInd w:val="0"/>
        <w:spacing w:after="0" w:line="240" w:lineRule="auto"/>
        <w:jc w:val="center"/>
        <w:rPr>
          <w:rFonts w:ascii="Arial" w:eastAsia="Times New Roman" w:hAnsi="Arial" w:cs="Arial"/>
          <w:sz w:val="20"/>
          <w:szCs w:val="20"/>
        </w:rPr>
      </w:pPr>
    </w:p>
    <w:p w14:paraId="66C41E08" w14:textId="2E03C731" w:rsidR="000838FE" w:rsidRDefault="000838FE" w:rsidP="00FE50B3">
      <w:pPr>
        <w:autoSpaceDE w:val="0"/>
        <w:autoSpaceDN w:val="0"/>
        <w:adjustRightInd w:val="0"/>
        <w:spacing w:after="0" w:line="240" w:lineRule="auto"/>
        <w:jc w:val="center"/>
        <w:rPr>
          <w:rFonts w:ascii="Arial" w:eastAsia="Times New Roman" w:hAnsi="Arial" w:cs="Arial"/>
          <w:sz w:val="20"/>
          <w:szCs w:val="20"/>
        </w:rPr>
      </w:pPr>
      <w:r w:rsidRPr="000838FE">
        <w:rPr>
          <w:noProof/>
        </w:rPr>
        <w:drawing>
          <wp:inline distT="0" distB="0" distL="0" distR="0" wp14:anchorId="5674DDDB" wp14:editId="6CC3C905">
            <wp:extent cx="8346440" cy="2275205"/>
            <wp:effectExtent l="0" t="0" r="0" b="0"/>
            <wp:docPr id="1073401587"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8346440" cy="2275205"/>
                    </a:xfrm>
                    <a:prstGeom prst="rect">
                      <a:avLst/>
                    </a:prstGeom>
                    <a:noFill/>
                    <a:ln>
                      <a:noFill/>
                    </a:ln>
                  </pic:spPr>
                </pic:pic>
              </a:graphicData>
            </a:graphic>
          </wp:inline>
        </w:drawing>
      </w:r>
    </w:p>
    <w:p w14:paraId="61F971E0" w14:textId="77777777" w:rsidR="000838FE" w:rsidRPr="003A2F86" w:rsidRDefault="000838FE" w:rsidP="00FE50B3">
      <w:pPr>
        <w:autoSpaceDE w:val="0"/>
        <w:autoSpaceDN w:val="0"/>
        <w:adjustRightInd w:val="0"/>
        <w:spacing w:after="0" w:line="240" w:lineRule="auto"/>
        <w:jc w:val="center"/>
        <w:rPr>
          <w:rFonts w:ascii="Arial" w:eastAsia="Times New Roman" w:hAnsi="Arial" w:cs="Arial"/>
          <w:sz w:val="20"/>
          <w:szCs w:val="20"/>
        </w:rPr>
      </w:pPr>
    </w:p>
    <w:p w14:paraId="39B56094" w14:textId="61FD7EBC" w:rsidR="003B7B90" w:rsidRPr="003A2F86" w:rsidRDefault="003B7B90" w:rsidP="001B399A">
      <w:pPr>
        <w:autoSpaceDE w:val="0"/>
        <w:autoSpaceDN w:val="0"/>
        <w:adjustRightInd w:val="0"/>
        <w:spacing w:after="0" w:line="240" w:lineRule="auto"/>
        <w:jc w:val="center"/>
        <w:rPr>
          <w:noProof/>
        </w:rPr>
      </w:pPr>
    </w:p>
    <w:p w14:paraId="02A387F1" w14:textId="05F98266" w:rsidR="004A781F" w:rsidRPr="003A2F86" w:rsidRDefault="004A781F">
      <w:pPr>
        <w:rPr>
          <w:noProof/>
        </w:rPr>
      </w:pPr>
      <w:r w:rsidRPr="003A2F86">
        <w:rPr>
          <w:noProof/>
        </w:rPr>
        <w:br w:type="page"/>
      </w:r>
    </w:p>
    <w:p w14:paraId="4127A6FC" w14:textId="77777777" w:rsidR="004A781F" w:rsidRPr="003A2F86" w:rsidRDefault="004A781F" w:rsidP="00546245">
      <w:pPr>
        <w:autoSpaceDE w:val="0"/>
        <w:autoSpaceDN w:val="0"/>
        <w:adjustRightInd w:val="0"/>
        <w:spacing w:after="0" w:line="240" w:lineRule="auto"/>
        <w:rPr>
          <w:noProof/>
        </w:rPr>
      </w:pPr>
    </w:p>
    <w:p w14:paraId="584336C3" w14:textId="3A69D48E" w:rsidR="00B902D0" w:rsidRPr="003A2F86" w:rsidRDefault="00795CD9" w:rsidP="009E1772">
      <w:pPr>
        <w:pStyle w:val="Naslov2"/>
        <w:rPr>
          <w:rFonts w:ascii="Arial" w:eastAsia="Calibri" w:hAnsi="Arial" w:cs="Arial"/>
          <w:sz w:val="22"/>
          <w:lang w:val="hr-HR"/>
        </w:rPr>
      </w:pPr>
      <w:bookmarkStart w:id="631" w:name="_Toc36842166"/>
      <w:bookmarkStart w:id="632" w:name="_Toc232981483"/>
      <w:r w:rsidRPr="003A2F86">
        <w:rPr>
          <w:rFonts w:ascii="Arial" w:eastAsia="Calibri" w:hAnsi="Arial" w:cs="Arial"/>
          <w:sz w:val="22"/>
          <w:lang w:val="hr-HR"/>
        </w:rPr>
        <w:t>3</w:t>
      </w:r>
      <w:r w:rsidR="001049AC" w:rsidRPr="003A2F86">
        <w:rPr>
          <w:rFonts w:ascii="Arial" w:eastAsia="Calibri" w:hAnsi="Arial" w:cs="Arial"/>
          <w:sz w:val="22"/>
          <w:lang w:val="hr-HR"/>
        </w:rPr>
        <w:t>.</w:t>
      </w:r>
      <w:r w:rsidR="00375FAF" w:rsidRPr="003A2F86">
        <w:rPr>
          <w:rFonts w:ascii="Arial" w:eastAsia="Calibri" w:hAnsi="Arial" w:cs="Arial"/>
          <w:sz w:val="22"/>
          <w:lang w:val="hr-HR"/>
        </w:rPr>
        <w:t>4</w:t>
      </w:r>
      <w:r w:rsidR="001049AC" w:rsidRPr="003A2F86">
        <w:rPr>
          <w:rFonts w:ascii="Arial" w:eastAsia="Calibri" w:hAnsi="Arial" w:cs="Arial"/>
          <w:sz w:val="22"/>
          <w:lang w:val="hr-HR"/>
        </w:rPr>
        <w:t xml:space="preserve">. </w:t>
      </w:r>
      <w:r w:rsidR="001049AC" w:rsidRPr="003A2F86">
        <w:rPr>
          <w:rFonts w:ascii="Arial" w:eastAsia="Calibri" w:hAnsi="Arial" w:cs="Arial"/>
          <w:sz w:val="22"/>
          <w:lang w:val="hr-HR"/>
        </w:rPr>
        <w:tab/>
        <w:t>POSEBNI DIO PRORAČUNA</w:t>
      </w:r>
      <w:r w:rsidR="00B902D0" w:rsidRPr="003A2F86">
        <w:rPr>
          <w:rFonts w:ascii="Arial" w:eastAsia="Calibri" w:hAnsi="Arial" w:cs="Arial"/>
          <w:sz w:val="22"/>
          <w:lang w:val="hr-HR"/>
        </w:rPr>
        <w:t>–IZVRŠENJE FINANCIJSKIH PLANOVA PRORAČUNSKIH KORISNIK</w:t>
      </w:r>
      <w:bookmarkEnd w:id="631"/>
      <w:r w:rsidR="00E33686" w:rsidRPr="003A2F86">
        <w:rPr>
          <w:rFonts w:ascii="Arial" w:eastAsia="Calibri" w:hAnsi="Arial" w:cs="Arial"/>
          <w:sz w:val="22"/>
          <w:lang w:val="hr-HR"/>
        </w:rPr>
        <w:t xml:space="preserve">A </w:t>
      </w:r>
      <w:r w:rsidR="008A591F" w:rsidRPr="003A2F86">
        <w:rPr>
          <w:rFonts w:ascii="Arial" w:eastAsia="Calibri" w:hAnsi="Arial" w:cs="Arial"/>
          <w:sz w:val="22"/>
          <w:lang w:val="hr-HR"/>
        </w:rPr>
        <w:t>SIJE</w:t>
      </w:r>
      <w:r w:rsidR="00CE2A5F" w:rsidRPr="003A2F86">
        <w:rPr>
          <w:rFonts w:ascii="Arial" w:eastAsia="Calibri" w:hAnsi="Arial" w:cs="Arial"/>
          <w:sz w:val="22"/>
          <w:lang w:val="hr-HR"/>
        </w:rPr>
        <w:t>Č</w:t>
      </w:r>
      <w:r w:rsidR="008A591F" w:rsidRPr="003A2F86">
        <w:rPr>
          <w:rFonts w:ascii="Arial" w:eastAsia="Calibri" w:hAnsi="Arial" w:cs="Arial"/>
          <w:sz w:val="22"/>
          <w:lang w:val="hr-HR"/>
        </w:rPr>
        <w:t>ANJ –</w:t>
      </w:r>
      <w:r w:rsidR="003B7B90">
        <w:rPr>
          <w:rFonts w:ascii="Arial" w:eastAsia="Calibri" w:hAnsi="Arial" w:cs="Arial"/>
          <w:sz w:val="22"/>
          <w:lang w:val="hr-HR"/>
        </w:rPr>
        <w:t>PROSINAC</w:t>
      </w:r>
      <w:r w:rsidR="007978CC">
        <w:rPr>
          <w:rFonts w:ascii="Arial" w:eastAsia="Calibri" w:hAnsi="Arial" w:cs="Arial"/>
          <w:sz w:val="22"/>
          <w:lang w:val="hr-HR"/>
        </w:rPr>
        <w:t xml:space="preserve"> </w:t>
      </w:r>
      <w:r w:rsidR="008A591F" w:rsidRPr="003A2F86">
        <w:rPr>
          <w:rFonts w:ascii="Arial" w:eastAsia="Calibri" w:hAnsi="Arial" w:cs="Arial"/>
          <w:sz w:val="22"/>
          <w:lang w:val="hr-HR"/>
        </w:rPr>
        <w:t>20</w:t>
      </w:r>
      <w:r w:rsidR="00114EBC" w:rsidRPr="003A2F86">
        <w:rPr>
          <w:rFonts w:ascii="Arial" w:eastAsia="Calibri" w:hAnsi="Arial" w:cs="Arial"/>
          <w:sz w:val="22"/>
          <w:lang w:val="hr-HR"/>
        </w:rPr>
        <w:t>2</w:t>
      </w:r>
      <w:r w:rsidR="00C034F2">
        <w:rPr>
          <w:rFonts w:ascii="Arial" w:eastAsia="Calibri" w:hAnsi="Arial" w:cs="Arial"/>
          <w:sz w:val="22"/>
          <w:lang w:val="hr-HR"/>
        </w:rPr>
        <w:t>5</w:t>
      </w:r>
      <w:r w:rsidR="008A591F" w:rsidRPr="003A2F86">
        <w:rPr>
          <w:rFonts w:ascii="Arial" w:eastAsia="Calibri" w:hAnsi="Arial" w:cs="Arial"/>
          <w:sz w:val="22"/>
          <w:lang w:val="hr-HR"/>
        </w:rPr>
        <w:t>.</w:t>
      </w:r>
      <w:bookmarkEnd w:id="632"/>
    </w:p>
    <w:p w14:paraId="2598BB05" w14:textId="77777777" w:rsidR="00B902D0" w:rsidRPr="003A2F86" w:rsidRDefault="00B902D0" w:rsidP="00B902D0">
      <w:pPr>
        <w:autoSpaceDE w:val="0"/>
        <w:autoSpaceDN w:val="0"/>
        <w:adjustRightInd w:val="0"/>
        <w:spacing w:after="0" w:line="240" w:lineRule="auto"/>
        <w:jc w:val="both"/>
        <w:rPr>
          <w:rFonts w:ascii="Arial" w:eastAsia="Times New Roman" w:hAnsi="Arial" w:cs="Arial"/>
          <w:i/>
        </w:rPr>
      </w:pPr>
    </w:p>
    <w:p w14:paraId="6F4B8309" w14:textId="77777777" w:rsidR="00B902D0" w:rsidRPr="003A2F86" w:rsidRDefault="00B902D0" w:rsidP="00B902D0">
      <w:pPr>
        <w:autoSpaceDE w:val="0"/>
        <w:autoSpaceDN w:val="0"/>
        <w:adjustRightInd w:val="0"/>
        <w:spacing w:after="0" w:line="240" w:lineRule="auto"/>
        <w:jc w:val="both"/>
        <w:rPr>
          <w:rFonts w:ascii="Arial" w:eastAsia="Times New Roman" w:hAnsi="Arial" w:cs="Arial"/>
          <w:sz w:val="20"/>
        </w:rPr>
      </w:pPr>
      <w:r w:rsidRPr="003A2F86">
        <w:rPr>
          <w:rFonts w:ascii="Arial" w:eastAsia="Times New Roman" w:hAnsi="Arial" w:cs="Arial"/>
          <w:sz w:val="20"/>
        </w:rPr>
        <w:t>U posebnom dijelu proračuna iskazan</w:t>
      </w:r>
      <w:r w:rsidR="005C3382" w:rsidRPr="003A2F86">
        <w:rPr>
          <w:rFonts w:ascii="Arial" w:eastAsia="Times New Roman" w:hAnsi="Arial" w:cs="Arial"/>
          <w:sz w:val="20"/>
        </w:rPr>
        <w:t xml:space="preserve">o je obrazloženje izvršenja </w:t>
      </w:r>
      <w:r w:rsidRPr="003A2F86">
        <w:rPr>
          <w:rFonts w:ascii="Arial" w:eastAsia="Times New Roman" w:hAnsi="Arial" w:cs="Arial"/>
          <w:sz w:val="20"/>
        </w:rPr>
        <w:t>financijskih planova četiri proračunska korisnika Općine Konavle (Muzeji i galerije Konavala, Dom za starije i nemoćne osobe Konavle, Dječji vrtić Konavle, Javn</w:t>
      </w:r>
      <w:r w:rsidR="005C3382" w:rsidRPr="003A2F86">
        <w:rPr>
          <w:rFonts w:ascii="Arial" w:eastAsia="Times New Roman" w:hAnsi="Arial" w:cs="Arial"/>
          <w:sz w:val="20"/>
        </w:rPr>
        <w:t>a vatrogasna postrojba Konavle).</w:t>
      </w:r>
    </w:p>
    <w:p w14:paraId="3EEED067" w14:textId="77777777" w:rsidR="005C3382" w:rsidRPr="003A2F86" w:rsidRDefault="005C3382" w:rsidP="005C3382">
      <w:pPr>
        <w:spacing w:after="0" w:line="240" w:lineRule="auto"/>
        <w:jc w:val="both"/>
        <w:rPr>
          <w:rFonts w:ascii="Calibri" w:eastAsia="Times New Roman" w:hAnsi="Calibri" w:cs="Arial"/>
          <w:lang w:eastAsia="en-US"/>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1"/>
        <w:gridCol w:w="915"/>
        <w:gridCol w:w="1090"/>
        <w:gridCol w:w="404"/>
        <w:gridCol w:w="709"/>
        <w:gridCol w:w="567"/>
        <w:gridCol w:w="9323"/>
      </w:tblGrid>
      <w:tr w:rsidR="00CC60DA" w:rsidRPr="003A2F86" w14:paraId="6E0693F9" w14:textId="77777777" w:rsidTr="00612DE8">
        <w:tc>
          <w:tcPr>
            <w:tcW w:w="1021" w:type="dxa"/>
            <w:tcBorders>
              <w:bottom w:val="single" w:sz="4" w:space="0" w:color="auto"/>
            </w:tcBorders>
            <w:shd w:val="pct25" w:color="auto" w:fill="auto"/>
          </w:tcPr>
          <w:p w14:paraId="6ABDDB0E" w14:textId="77777777" w:rsidR="005C3382" w:rsidRPr="003A2F86" w:rsidRDefault="005C3382" w:rsidP="00612DE8">
            <w:pPr>
              <w:spacing w:after="0" w:line="240" w:lineRule="auto"/>
              <w:jc w:val="both"/>
              <w:rPr>
                <w:rFonts w:ascii="Calibri" w:eastAsia="Times New Roman" w:hAnsi="Calibri" w:cs="Arial"/>
                <w:b/>
                <w:i/>
                <w:lang w:eastAsia="en-US"/>
              </w:rPr>
            </w:pPr>
            <w:r w:rsidRPr="003A2F86">
              <w:rPr>
                <w:rFonts w:ascii="Calibri" w:eastAsia="Times New Roman" w:hAnsi="Calibri" w:cs="Arial"/>
                <w:b/>
                <w:i/>
                <w:lang w:eastAsia="en-US"/>
              </w:rPr>
              <w:t>RAZDJEL</w:t>
            </w:r>
          </w:p>
        </w:tc>
        <w:tc>
          <w:tcPr>
            <w:tcW w:w="915" w:type="dxa"/>
            <w:tcBorders>
              <w:bottom w:val="single" w:sz="4" w:space="0" w:color="auto"/>
            </w:tcBorders>
            <w:shd w:val="pct25" w:color="auto" w:fill="auto"/>
          </w:tcPr>
          <w:p w14:paraId="1089878C" w14:textId="77777777" w:rsidR="005C3382" w:rsidRPr="003A2F86" w:rsidRDefault="005C3382" w:rsidP="00612DE8">
            <w:pPr>
              <w:spacing w:after="0" w:line="240" w:lineRule="auto"/>
              <w:jc w:val="both"/>
              <w:rPr>
                <w:rFonts w:ascii="Calibri" w:eastAsia="Times New Roman" w:hAnsi="Calibri" w:cs="Arial"/>
                <w:b/>
                <w:i/>
                <w:lang w:eastAsia="en-US"/>
              </w:rPr>
            </w:pPr>
          </w:p>
        </w:tc>
        <w:tc>
          <w:tcPr>
            <w:tcW w:w="1090" w:type="dxa"/>
            <w:tcBorders>
              <w:bottom w:val="single" w:sz="4" w:space="0" w:color="auto"/>
            </w:tcBorders>
            <w:shd w:val="pct25" w:color="auto" w:fill="auto"/>
          </w:tcPr>
          <w:p w14:paraId="0721C913" w14:textId="77777777" w:rsidR="005C3382" w:rsidRPr="003A2F86" w:rsidRDefault="005C3382" w:rsidP="00612DE8">
            <w:pPr>
              <w:spacing w:after="0" w:line="240" w:lineRule="auto"/>
              <w:jc w:val="both"/>
              <w:rPr>
                <w:rFonts w:ascii="Calibri" w:eastAsia="Times New Roman" w:hAnsi="Calibri" w:cs="Arial"/>
                <w:b/>
                <w:i/>
                <w:lang w:eastAsia="en-US"/>
              </w:rPr>
            </w:pPr>
          </w:p>
        </w:tc>
        <w:tc>
          <w:tcPr>
            <w:tcW w:w="404" w:type="dxa"/>
            <w:tcBorders>
              <w:bottom w:val="single" w:sz="4" w:space="0" w:color="auto"/>
            </w:tcBorders>
            <w:shd w:val="pct25" w:color="auto" w:fill="auto"/>
          </w:tcPr>
          <w:p w14:paraId="362B8EC2" w14:textId="77777777" w:rsidR="005C3382" w:rsidRPr="003A2F86" w:rsidRDefault="005C3382" w:rsidP="00612DE8">
            <w:pPr>
              <w:spacing w:after="0" w:line="240" w:lineRule="auto"/>
              <w:jc w:val="both"/>
              <w:rPr>
                <w:rFonts w:ascii="Calibri" w:eastAsia="Times New Roman" w:hAnsi="Calibri" w:cs="Arial"/>
                <w:b/>
                <w:i/>
                <w:lang w:eastAsia="en-US"/>
              </w:rPr>
            </w:pPr>
            <w:r w:rsidRPr="003A2F86">
              <w:rPr>
                <w:rFonts w:ascii="Calibri" w:eastAsia="Times New Roman" w:hAnsi="Calibri" w:cs="Arial"/>
                <w:b/>
                <w:i/>
                <w:lang w:eastAsia="en-US"/>
              </w:rPr>
              <w:t>020</w:t>
            </w:r>
          </w:p>
        </w:tc>
        <w:tc>
          <w:tcPr>
            <w:tcW w:w="709" w:type="dxa"/>
            <w:tcBorders>
              <w:bottom w:val="single" w:sz="4" w:space="0" w:color="auto"/>
            </w:tcBorders>
            <w:shd w:val="pct25" w:color="auto" w:fill="auto"/>
          </w:tcPr>
          <w:p w14:paraId="40106C70" w14:textId="77777777" w:rsidR="005C3382" w:rsidRPr="003A2F86" w:rsidRDefault="005C3382" w:rsidP="00612DE8">
            <w:pPr>
              <w:spacing w:after="0" w:line="240" w:lineRule="auto"/>
              <w:jc w:val="both"/>
              <w:rPr>
                <w:rFonts w:ascii="Calibri" w:eastAsia="Times New Roman" w:hAnsi="Calibri" w:cs="Arial"/>
                <w:b/>
                <w:i/>
                <w:lang w:eastAsia="en-US"/>
              </w:rPr>
            </w:pPr>
          </w:p>
        </w:tc>
        <w:tc>
          <w:tcPr>
            <w:tcW w:w="567" w:type="dxa"/>
            <w:tcBorders>
              <w:bottom w:val="single" w:sz="4" w:space="0" w:color="auto"/>
            </w:tcBorders>
            <w:shd w:val="pct25" w:color="auto" w:fill="auto"/>
          </w:tcPr>
          <w:p w14:paraId="511CD4DC" w14:textId="77777777" w:rsidR="005C3382" w:rsidRPr="003A2F86" w:rsidRDefault="005C3382" w:rsidP="00612DE8">
            <w:pPr>
              <w:spacing w:after="0" w:line="240" w:lineRule="auto"/>
              <w:jc w:val="both"/>
              <w:rPr>
                <w:rFonts w:ascii="Calibri" w:eastAsia="Times New Roman" w:hAnsi="Calibri" w:cs="Arial"/>
                <w:b/>
                <w:i/>
                <w:lang w:eastAsia="en-US"/>
              </w:rPr>
            </w:pPr>
          </w:p>
        </w:tc>
        <w:tc>
          <w:tcPr>
            <w:tcW w:w="9323" w:type="dxa"/>
            <w:tcBorders>
              <w:bottom w:val="single" w:sz="4" w:space="0" w:color="auto"/>
            </w:tcBorders>
            <w:shd w:val="pct25" w:color="auto" w:fill="auto"/>
          </w:tcPr>
          <w:p w14:paraId="5A1EE366" w14:textId="77777777" w:rsidR="005C3382" w:rsidRPr="003A2F86" w:rsidRDefault="005C3382" w:rsidP="00612DE8">
            <w:pPr>
              <w:spacing w:after="0" w:line="240" w:lineRule="auto"/>
              <w:jc w:val="both"/>
              <w:rPr>
                <w:rFonts w:ascii="Calibri" w:eastAsia="Times New Roman" w:hAnsi="Calibri" w:cs="Arial"/>
                <w:b/>
                <w:i/>
                <w:lang w:eastAsia="en-US"/>
              </w:rPr>
            </w:pPr>
            <w:r w:rsidRPr="003A2F86">
              <w:rPr>
                <w:rFonts w:ascii="Calibri" w:eastAsia="Calibri" w:hAnsi="Calibri" w:cs="Arial"/>
                <w:b/>
              </w:rPr>
              <w:t xml:space="preserve">UPRAVNI ODJEL ZA OPĆE POSLOVE, MJESNU SAMOUPRAVU I DRUŠTVENE DJELATNOSTI </w:t>
            </w:r>
          </w:p>
        </w:tc>
      </w:tr>
      <w:tr w:rsidR="00CC60DA" w:rsidRPr="003A2F86" w14:paraId="64147B70" w14:textId="77777777" w:rsidTr="00612DE8">
        <w:tc>
          <w:tcPr>
            <w:tcW w:w="1021" w:type="dxa"/>
            <w:tcBorders>
              <w:bottom w:val="single" w:sz="4" w:space="0" w:color="auto"/>
            </w:tcBorders>
            <w:shd w:val="pct15" w:color="auto" w:fill="auto"/>
          </w:tcPr>
          <w:p w14:paraId="0D67A215" w14:textId="77777777" w:rsidR="005C3382" w:rsidRPr="003A2F86" w:rsidRDefault="005C3382" w:rsidP="00612DE8">
            <w:pPr>
              <w:spacing w:after="0" w:line="240" w:lineRule="auto"/>
              <w:jc w:val="both"/>
              <w:rPr>
                <w:rFonts w:ascii="Calibri" w:eastAsia="Times New Roman" w:hAnsi="Calibri" w:cs="Arial"/>
                <w:lang w:eastAsia="en-US"/>
              </w:rPr>
            </w:pPr>
          </w:p>
        </w:tc>
        <w:tc>
          <w:tcPr>
            <w:tcW w:w="915" w:type="dxa"/>
            <w:tcBorders>
              <w:bottom w:val="single" w:sz="4" w:space="0" w:color="auto"/>
            </w:tcBorders>
            <w:shd w:val="pct15" w:color="auto" w:fill="auto"/>
          </w:tcPr>
          <w:p w14:paraId="5BC1C563" w14:textId="77777777" w:rsidR="005C3382" w:rsidRPr="003A2F86" w:rsidRDefault="005C3382" w:rsidP="00612DE8">
            <w:pPr>
              <w:spacing w:after="0" w:line="240" w:lineRule="auto"/>
              <w:jc w:val="both"/>
              <w:rPr>
                <w:rFonts w:ascii="Calibri" w:eastAsia="Times New Roman" w:hAnsi="Calibri" w:cs="Arial"/>
                <w:lang w:eastAsia="en-US"/>
              </w:rPr>
            </w:pPr>
            <w:r w:rsidRPr="003A2F86">
              <w:rPr>
                <w:rFonts w:ascii="Calibri" w:eastAsia="Times New Roman" w:hAnsi="Calibri" w:cs="Arial"/>
                <w:lang w:eastAsia="en-US"/>
              </w:rPr>
              <w:t>Glava</w:t>
            </w:r>
          </w:p>
        </w:tc>
        <w:tc>
          <w:tcPr>
            <w:tcW w:w="1090" w:type="dxa"/>
            <w:tcBorders>
              <w:bottom w:val="single" w:sz="4" w:space="0" w:color="auto"/>
            </w:tcBorders>
            <w:shd w:val="pct15" w:color="auto" w:fill="auto"/>
          </w:tcPr>
          <w:p w14:paraId="33BE44ED" w14:textId="77777777" w:rsidR="005C3382" w:rsidRPr="003A2F86" w:rsidRDefault="005C3382" w:rsidP="00612DE8">
            <w:pPr>
              <w:spacing w:after="0" w:line="240" w:lineRule="auto"/>
              <w:jc w:val="both"/>
              <w:rPr>
                <w:rFonts w:ascii="Calibri" w:eastAsia="Times New Roman" w:hAnsi="Calibri" w:cs="Arial"/>
                <w:lang w:eastAsia="en-US"/>
              </w:rPr>
            </w:pPr>
          </w:p>
        </w:tc>
        <w:tc>
          <w:tcPr>
            <w:tcW w:w="404" w:type="dxa"/>
            <w:tcBorders>
              <w:bottom w:val="single" w:sz="4" w:space="0" w:color="auto"/>
            </w:tcBorders>
            <w:shd w:val="pct15" w:color="auto" w:fill="auto"/>
          </w:tcPr>
          <w:p w14:paraId="25670966" w14:textId="77777777" w:rsidR="005C3382" w:rsidRPr="003A2F86" w:rsidRDefault="005C3382" w:rsidP="00612DE8">
            <w:pPr>
              <w:spacing w:after="0" w:line="240" w:lineRule="auto"/>
              <w:jc w:val="both"/>
              <w:rPr>
                <w:rFonts w:ascii="Calibri" w:eastAsia="Times New Roman" w:hAnsi="Calibri" w:cs="Arial"/>
                <w:lang w:eastAsia="en-US"/>
              </w:rPr>
            </w:pPr>
          </w:p>
        </w:tc>
        <w:tc>
          <w:tcPr>
            <w:tcW w:w="709" w:type="dxa"/>
            <w:tcBorders>
              <w:bottom w:val="single" w:sz="4" w:space="0" w:color="auto"/>
            </w:tcBorders>
            <w:shd w:val="pct15" w:color="auto" w:fill="auto"/>
          </w:tcPr>
          <w:p w14:paraId="7CE04499" w14:textId="77777777" w:rsidR="005C3382" w:rsidRPr="003A2F86" w:rsidRDefault="005C3382" w:rsidP="00612DE8">
            <w:pPr>
              <w:spacing w:after="0" w:line="240" w:lineRule="auto"/>
              <w:jc w:val="both"/>
              <w:rPr>
                <w:rFonts w:ascii="Calibri" w:eastAsia="Times New Roman" w:hAnsi="Calibri" w:cs="Arial"/>
                <w:b/>
                <w:lang w:eastAsia="en-US"/>
              </w:rPr>
            </w:pPr>
            <w:r w:rsidRPr="003A2F86">
              <w:rPr>
                <w:rFonts w:ascii="Calibri" w:eastAsia="Times New Roman" w:hAnsi="Calibri" w:cs="Arial"/>
                <w:b/>
                <w:lang w:eastAsia="en-US"/>
              </w:rPr>
              <w:t>020 03</w:t>
            </w:r>
          </w:p>
        </w:tc>
        <w:tc>
          <w:tcPr>
            <w:tcW w:w="567" w:type="dxa"/>
            <w:tcBorders>
              <w:bottom w:val="single" w:sz="4" w:space="0" w:color="auto"/>
            </w:tcBorders>
            <w:shd w:val="pct15" w:color="auto" w:fill="auto"/>
          </w:tcPr>
          <w:p w14:paraId="42B4AAC7" w14:textId="77777777" w:rsidR="005C3382" w:rsidRPr="003A2F86" w:rsidRDefault="005C3382" w:rsidP="00612DE8">
            <w:pPr>
              <w:spacing w:after="0" w:line="240" w:lineRule="auto"/>
              <w:jc w:val="both"/>
              <w:rPr>
                <w:rFonts w:ascii="Calibri" w:eastAsia="Times New Roman" w:hAnsi="Calibri" w:cs="Arial"/>
                <w:lang w:eastAsia="en-US"/>
              </w:rPr>
            </w:pPr>
          </w:p>
        </w:tc>
        <w:tc>
          <w:tcPr>
            <w:tcW w:w="9323" w:type="dxa"/>
            <w:tcBorders>
              <w:bottom w:val="single" w:sz="4" w:space="0" w:color="auto"/>
            </w:tcBorders>
            <w:shd w:val="pct15" w:color="auto" w:fill="auto"/>
          </w:tcPr>
          <w:p w14:paraId="28085E40" w14:textId="77777777" w:rsidR="005C3382" w:rsidRPr="003A2F86" w:rsidRDefault="005C3382" w:rsidP="00612DE8">
            <w:pPr>
              <w:tabs>
                <w:tab w:val="left" w:pos="567"/>
              </w:tabs>
              <w:spacing w:after="0" w:line="240" w:lineRule="auto"/>
              <w:jc w:val="both"/>
              <w:rPr>
                <w:rFonts w:ascii="Calibri" w:eastAsia="Times New Roman" w:hAnsi="Calibri" w:cs="Arial"/>
                <w:lang w:eastAsia="en-US"/>
              </w:rPr>
            </w:pPr>
            <w:r w:rsidRPr="003A2F86">
              <w:rPr>
                <w:rFonts w:ascii="Calibri" w:eastAsia="Calibri" w:hAnsi="Calibri" w:cs="Arial"/>
                <w:lang w:eastAsia="en-US"/>
              </w:rPr>
              <w:t>USTANOVA U KULTURI</w:t>
            </w:r>
          </w:p>
        </w:tc>
      </w:tr>
      <w:tr w:rsidR="00CC60DA" w:rsidRPr="003A2F86" w14:paraId="66B1ADF2" w14:textId="77777777" w:rsidTr="00612DE8">
        <w:tc>
          <w:tcPr>
            <w:tcW w:w="1021" w:type="dxa"/>
            <w:shd w:val="solid" w:color="B4B4B4" w:fill="auto"/>
          </w:tcPr>
          <w:p w14:paraId="00D06EC1" w14:textId="77777777" w:rsidR="005C3382" w:rsidRPr="003A2F86" w:rsidRDefault="005C3382" w:rsidP="00612DE8">
            <w:pPr>
              <w:spacing w:after="0" w:line="240" w:lineRule="auto"/>
              <w:jc w:val="both"/>
              <w:rPr>
                <w:rFonts w:ascii="Calibri" w:eastAsia="Times New Roman" w:hAnsi="Calibri" w:cs="Arial"/>
                <w:lang w:eastAsia="en-US"/>
              </w:rPr>
            </w:pPr>
          </w:p>
        </w:tc>
        <w:tc>
          <w:tcPr>
            <w:tcW w:w="915" w:type="dxa"/>
            <w:shd w:val="solid" w:color="B4B4B4" w:fill="auto"/>
          </w:tcPr>
          <w:p w14:paraId="57358747" w14:textId="77777777" w:rsidR="005C3382" w:rsidRPr="003A2F86" w:rsidRDefault="005C3382" w:rsidP="00612DE8">
            <w:pPr>
              <w:spacing w:after="0" w:line="240" w:lineRule="auto"/>
              <w:jc w:val="both"/>
              <w:rPr>
                <w:rFonts w:ascii="Calibri" w:eastAsia="Times New Roman" w:hAnsi="Calibri" w:cs="Arial"/>
                <w:lang w:eastAsia="en-US"/>
              </w:rPr>
            </w:pPr>
          </w:p>
        </w:tc>
        <w:tc>
          <w:tcPr>
            <w:tcW w:w="1090" w:type="dxa"/>
            <w:shd w:val="solid" w:color="B4B4B4" w:fill="auto"/>
          </w:tcPr>
          <w:p w14:paraId="3B938C3B" w14:textId="77777777" w:rsidR="005C3382" w:rsidRPr="003A2F86" w:rsidRDefault="005C3382" w:rsidP="00612DE8">
            <w:pPr>
              <w:spacing w:after="0" w:line="240" w:lineRule="auto"/>
              <w:jc w:val="both"/>
              <w:rPr>
                <w:rFonts w:ascii="Calibri" w:eastAsia="Times New Roman" w:hAnsi="Calibri" w:cs="Arial"/>
                <w:lang w:eastAsia="en-US"/>
              </w:rPr>
            </w:pPr>
            <w:r w:rsidRPr="003A2F86">
              <w:rPr>
                <w:rFonts w:ascii="Calibri" w:eastAsia="Times New Roman" w:hAnsi="Calibri" w:cs="Arial"/>
                <w:lang w:eastAsia="en-US"/>
              </w:rPr>
              <w:t>PROGRAM</w:t>
            </w:r>
          </w:p>
        </w:tc>
        <w:tc>
          <w:tcPr>
            <w:tcW w:w="404" w:type="dxa"/>
            <w:shd w:val="solid" w:color="B4B4B4" w:fill="auto"/>
          </w:tcPr>
          <w:p w14:paraId="267785C8" w14:textId="77777777" w:rsidR="005C3382" w:rsidRPr="003A2F86" w:rsidRDefault="005C3382" w:rsidP="00612DE8">
            <w:pPr>
              <w:spacing w:after="0" w:line="240" w:lineRule="auto"/>
              <w:jc w:val="both"/>
              <w:rPr>
                <w:rFonts w:ascii="Calibri" w:eastAsia="Times New Roman" w:hAnsi="Calibri" w:cs="Arial"/>
                <w:lang w:eastAsia="en-US"/>
              </w:rPr>
            </w:pPr>
          </w:p>
        </w:tc>
        <w:tc>
          <w:tcPr>
            <w:tcW w:w="709" w:type="dxa"/>
            <w:shd w:val="solid" w:color="B4B4B4" w:fill="auto"/>
          </w:tcPr>
          <w:p w14:paraId="52541509" w14:textId="77777777" w:rsidR="005C3382" w:rsidRPr="003A2F86" w:rsidRDefault="005C3382" w:rsidP="00612DE8">
            <w:pPr>
              <w:spacing w:after="0" w:line="240" w:lineRule="auto"/>
              <w:jc w:val="both"/>
              <w:rPr>
                <w:rFonts w:ascii="Calibri" w:eastAsia="Times New Roman" w:hAnsi="Calibri" w:cs="Arial"/>
                <w:b/>
                <w:lang w:eastAsia="en-US"/>
              </w:rPr>
            </w:pPr>
          </w:p>
        </w:tc>
        <w:tc>
          <w:tcPr>
            <w:tcW w:w="567" w:type="dxa"/>
            <w:shd w:val="solid" w:color="B4B4B4" w:fill="auto"/>
          </w:tcPr>
          <w:p w14:paraId="7EB7C9C4" w14:textId="77777777" w:rsidR="005C3382" w:rsidRPr="003A2F86" w:rsidRDefault="005C3382" w:rsidP="00612DE8">
            <w:pPr>
              <w:spacing w:after="0" w:line="240" w:lineRule="auto"/>
              <w:jc w:val="both"/>
              <w:rPr>
                <w:rFonts w:ascii="Calibri" w:eastAsia="Times New Roman" w:hAnsi="Calibri" w:cs="Arial"/>
                <w:b/>
                <w:lang w:eastAsia="en-US"/>
              </w:rPr>
            </w:pPr>
            <w:r w:rsidRPr="003A2F86">
              <w:rPr>
                <w:rFonts w:ascii="Calibri" w:eastAsia="Times New Roman" w:hAnsi="Calibri" w:cs="Arial"/>
                <w:b/>
                <w:lang w:eastAsia="en-US"/>
              </w:rPr>
              <w:t>2031</w:t>
            </w:r>
          </w:p>
        </w:tc>
        <w:tc>
          <w:tcPr>
            <w:tcW w:w="9323" w:type="dxa"/>
            <w:shd w:val="solid" w:color="B4B4B4" w:fill="auto"/>
          </w:tcPr>
          <w:p w14:paraId="6BC459B0" w14:textId="77777777" w:rsidR="005C3382" w:rsidRPr="003A2F86" w:rsidRDefault="005C3382" w:rsidP="00612DE8">
            <w:pPr>
              <w:spacing w:after="0" w:line="240" w:lineRule="auto"/>
              <w:rPr>
                <w:rFonts w:ascii="Calibri" w:eastAsia="Times New Roman" w:hAnsi="Calibri" w:cs="Arial"/>
                <w:lang w:eastAsia="en-US"/>
              </w:rPr>
            </w:pPr>
            <w:r w:rsidRPr="003A2F86">
              <w:rPr>
                <w:rFonts w:ascii="Calibri" w:eastAsia="Times New Roman" w:hAnsi="Calibri" w:cs="Arial"/>
                <w:lang w:eastAsia="en-US"/>
              </w:rPr>
              <w:t>Javna ustanova u kulturi</w:t>
            </w:r>
          </w:p>
        </w:tc>
      </w:tr>
      <w:tr w:rsidR="00CC60DA" w:rsidRPr="003A2F86" w14:paraId="72619065" w14:textId="77777777" w:rsidTr="00612DE8">
        <w:tc>
          <w:tcPr>
            <w:tcW w:w="1021" w:type="dxa"/>
            <w:tcBorders>
              <w:bottom w:val="single" w:sz="4" w:space="0" w:color="auto"/>
            </w:tcBorders>
            <w:shd w:val="pct15" w:color="auto" w:fill="auto"/>
          </w:tcPr>
          <w:p w14:paraId="496B043D" w14:textId="77777777" w:rsidR="005C3382" w:rsidRPr="003A2F86" w:rsidRDefault="005C3382" w:rsidP="00612DE8">
            <w:pPr>
              <w:spacing w:after="0" w:line="240" w:lineRule="auto"/>
              <w:jc w:val="both"/>
              <w:rPr>
                <w:rFonts w:ascii="Calibri" w:eastAsia="Times New Roman" w:hAnsi="Calibri" w:cs="Arial"/>
                <w:lang w:eastAsia="en-US"/>
              </w:rPr>
            </w:pPr>
          </w:p>
        </w:tc>
        <w:tc>
          <w:tcPr>
            <w:tcW w:w="915" w:type="dxa"/>
            <w:tcBorders>
              <w:bottom w:val="single" w:sz="4" w:space="0" w:color="auto"/>
            </w:tcBorders>
            <w:shd w:val="pct15" w:color="auto" w:fill="auto"/>
          </w:tcPr>
          <w:p w14:paraId="298E8482" w14:textId="77777777" w:rsidR="005C3382" w:rsidRPr="003A2F86" w:rsidRDefault="005C3382" w:rsidP="00612DE8">
            <w:pPr>
              <w:spacing w:after="0" w:line="240" w:lineRule="auto"/>
              <w:jc w:val="both"/>
              <w:rPr>
                <w:rFonts w:ascii="Calibri" w:eastAsia="Times New Roman" w:hAnsi="Calibri" w:cs="Arial"/>
                <w:lang w:eastAsia="en-US"/>
              </w:rPr>
            </w:pPr>
            <w:r w:rsidRPr="003A2F86">
              <w:rPr>
                <w:rFonts w:ascii="Calibri" w:eastAsia="Times New Roman" w:hAnsi="Calibri" w:cs="Arial"/>
                <w:lang w:eastAsia="en-US"/>
              </w:rPr>
              <w:t>Glava</w:t>
            </w:r>
          </w:p>
        </w:tc>
        <w:tc>
          <w:tcPr>
            <w:tcW w:w="1090" w:type="dxa"/>
            <w:tcBorders>
              <w:bottom w:val="single" w:sz="4" w:space="0" w:color="auto"/>
            </w:tcBorders>
            <w:shd w:val="pct15" w:color="auto" w:fill="auto"/>
          </w:tcPr>
          <w:p w14:paraId="5B7E3BBA" w14:textId="77777777" w:rsidR="005C3382" w:rsidRPr="003A2F86" w:rsidRDefault="005C3382" w:rsidP="00612DE8">
            <w:pPr>
              <w:spacing w:after="0" w:line="240" w:lineRule="auto"/>
              <w:jc w:val="both"/>
              <w:rPr>
                <w:rFonts w:ascii="Calibri" w:eastAsia="Times New Roman" w:hAnsi="Calibri" w:cs="Arial"/>
                <w:lang w:eastAsia="en-US"/>
              </w:rPr>
            </w:pPr>
          </w:p>
        </w:tc>
        <w:tc>
          <w:tcPr>
            <w:tcW w:w="404" w:type="dxa"/>
            <w:tcBorders>
              <w:bottom w:val="single" w:sz="4" w:space="0" w:color="auto"/>
            </w:tcBorders>
            <w:shd w:val="pct15" w:color="auto" w:fill="auto"/>
          </w:tcPr>
          <w:p w14:paraId="14C639DF" w14:textId="77777777" w:rsidR="005C3382" w:rsidRPr="003A2F86" w:rsidRDefault="005C3382" w:rsidP="00612DE8">
            <w:pPr>
              <w:spacing w:after="0" w:line="240" w:lineRule="auto"/>
              <w:jc w:val="both"/>
              <w:rPr>
                <w:rFonts w:ascii="Calibri" w:eastAsia="Times New Roman" w:hAnsi="Calibri" w:cs="Arial"/>
                <w:lang w:eastAsia="en-US"/>
              </w:rPr>
            </w:pPr>
          </w:p>
        </w:tc>
        <w:tc>
          <w:tcPr>
            <w:tcW w:w="709" w:type="dxa"/>
            <w:tcBorders>
              <w:bottom w:val="single" w:sz="4" w:space="0" w:color="auto"/>
            </w:tcBorders>
            <w:shd w:val="pct15" w:color="auto" w:fill="auto"/>
          </w:tcPr>
          <w:p w14:paraId="13A6D7B0" w14:textId="77777777" w:rsidR="005C3382" w:rsidRPr="003A2F86" w:rsidRDefault="005C3382" w:rsidP="00612DE8">
            <w:pPr>
              <w:spacing w:after="0" w:line="240" w:lineRule="auto"/>
              <w:jc w:val="both"/>
              <w:rPr>
                <w:rFonts w:ascii="Calibri" w:eastAsia="Times New Roman" w:hAnsi="Calibri" w:cs="Arial"/>
                <w:b/>
                <w:lang w:eastAsia="en-US"/>
              </w:rPr>
            </w:pPr>
            <w:r w:rsidRPr="003A2F86">
              <w:rPr>
                <w:rFonts w:ascii="Calibri" w:eastAsia="Times New Roman" w:hAnsi="Calibri" w:cs="Arial"/>
                <w:b/>
                <w:lang w:eastAsia="en-US"/>
              </w:rPr>
              <w:t>020 04</w:t>
            </w:r>
          </w:p>
        </w:tc>
        <w:tc>
          <w:tcPr>
            <w:tcW w:w="567" w:type="dxa"/>
            <w:tcBorders>
              <w:bottom w:val="single" w:sz="4" w:space="0" w:color="auto"/>
            </w:tcBorders>
            <w:shd w:val="pct15" w:color="auto" w:fill="auto"/>
          </w:tcPr>
          <w:p w14:paraId="02AD2CD8" w14:textId="77777777" w:rsidR="005C3382" w:rsidRPr="003A2F86" w:rsidRDefault="005C3382" w:rsidP="00612DE8">
            <w:pPr>
              <w:spacing w:after="0" w:line="240" w:lineRule="auto"/>
              <w:jc w:val="both"/>
              <w:rPr>
                <w:rFonts w:ascii="Calibri" w:eastAsia="Times New Roman" w:hAnsi="Calibri" w:cs="Arial"/>
                <w:lang w:eastAsia="en-US"/>
              </w:rPr>
            </w:pPr>
          </w:p>
        </w:tc>
        <w:tc>
          <w:tcPr>
            <w:tcW w:w="9323" w:type="dxa"/>
            <w:tcBorders>
              <w:bottom w:val="single" w:sz="4" w:space="0" w:color="auto"/>
            </w:tcBorders>
            <w:shd w:val="pct15" w:color="auto" w:fill="auto"/>
          </w:tcPr>
          <w:p w14:paraId="489E0CE5" w14:textId="77777777" w:rsidR="005C3382" w:rsidRPr="003A2F86" w:rsidRDefault="005C3382" w:rsidP="00612DE8">
            <w:pPr>
              <w:tabs>
                <w:tab w:val="left" w:pos="567"/>
              </w:tabs>
              <w:spacing w:after="0" w:line="240" w:lineRule="auto"/>
              <w:jc w:val="both"/>
              <w:rPr>
                <w:rFonts w:ascii="Calibri" w:eastAsia="Times New Roman" w:hAnsi="Calibri" w:cs="Arial"/>
                <w:lang w:eastAsia="en-US"/>
              </w:rPr>
            </w:pPr>
            <w:r w:rsidRPr="003A2F86">
              <w:rPr>
                <w:rFonts w:ascii="Calibri" w:eastAsia="Calibri" w:hAnsi="Calibri" w:cs="Arial"/>
                <w:lang w:eastAsia="en-US"/>
              </w:rPr>
              <w:t>USTANOVA SOCIJALNE SKRBI</w:t>
            </w:r>
          </w:p>
        </w:tc>
      </w:tr>
      <w:tr w:rsidR="00CC60DA" w:rsidRPr="003A2F86" w14:paraId="706984E2" w14:textId="77777777" w:rsidTr="00612DE8">
        <w:tc>
          <w:tcPr>
            <w:tcW w:w="1021" w:type="dxa"/>
            <w:shd w:val="solid" w:color="B4B4B4" w:fill="auto"/>
          </w:tcPr>
          <w:p w14:paraId="23ED766B" w14:textId="77777777" w:rsidR="005C3382" w:rsidRPr="003A2F86" w:rsidRDefault="005C3382" w:rsidP="00612DE8">
            <w:pPr>
              <w:spacing w:after="0" w:line="240" w:lineRule="auto"/>
              <w:jc w:val="both"/>
              <w:rPr>
                <w:rFonts w:ascii="Calibri" w:eastAsia="Times New Roman" w:hAnsi="Calibri" w:cs="Arial"/>
                <w:lang w:eastAsia="en-US"/>
              </w:rPr>
            </w:pPr>
          </w:p>
        </w:tc>
        <w:tc>
          <w:tcPr>
            <w:tcW w:w="915" w:type="dxa"/>
            <w:shd w:val="solid" w:color="B4B4B4" w:fill="auto"/>
          </w:tcPr>
          <w:p w14:paraId="67E4A6EF" w14:textId="77777777" w:rsidR="005C3382" w:rsidRPr="003A2F86" w:rsidRDefault="005C3382" w:rsidP="00612DE8">
            <w:pPr>
              <w:spacing w:after="0" w:line="240" w:lineRule="auto"/>
              <w:jc w:val="both"/>
              <w:rPr>
                <w:rFonts w:ascii="Calibri" w:eastAsia="Times New Roman" w:hAnsi="Calibri" w:cs="Arial"/>
                <w:lang w:eastAsia="en-US"/>
              </w:rPr>
            </w:pPr>
          </w:p>
        </w:tc>
        <w:tc>
          <w:tcPr>
            <w:tcW w:w="1090" w:type="dxa"/>
            <w:shd w:val="solid" w:color="B4B4B4" w:fill="auto"/>
          </w:tcPr>
          <w:p w14:paraId="49E50447" w14:textId="77777777" w:rsidR="005C3382" w:rsidRPr="003A2F86" w:rsidRDefault="005C3382" w:rsidP="00612DE8">
            <w:pPr>
              <w:spacing w:after="0" w:line="240" w:lineRule="auto"/>
              <w:jc w:val="both"/>
              <w:rPr>
                <w:rFonts w:ascii="Calibri" w:eastAsia="Times New Roman" w:hAnsi="Calibri" w:cs="Arial"/>
                <w:lang w:eastAsia="en-US"/>
              </w:rPr>
            </w:pPr>
            <w:r w:rsidRPr="003A2F86">
              <w:rPr>
                <w:rFonts w:ascii="Calibri" w:eastAsia="Times New Roman" w:hAnsi="Calibri" w:cs="Arial"/>
                <w:lang w:eastAsia="en-US"/>
              </w:rPr>
              <w:t>PROGRAM</w:t>
            </w:r>
          </w:p>
        </w:tc>
        <w:tc>
          <w:tcPr>
            <w:tcW w:w="404" w:type="dxa"/>
            <w:shd w:val="solid" w:color="B4B4B4" w:fill="auto"/>
          </w:tcPr>
          <w:p w14:paraId="71E1EF62" w14:textId="77777777" w:rsidR="005C3382" w:rsidRPr="003A2F86" w:rsidRDefault="005C3382" w:rsidP="00612DE8">
            <w:pPr>
              <w:spacing w:after="0" w:line="240" w:lineRule="auto"/>
              <w:jc w:val="both"/>
              <w:rPr>
                <w:rFonts w:ascii="Calibri" w:eastAsia="Times New Roman" w:hAnsi="Calibri" w:cs="Arial"/>
                <w:lang w:eastAsia="en-US"/>
              </w:rPr>
            </w:pPr>
          </w:p>
        </w:tc>
        <w:tc>
          <w:tcPr>
            <w:tcW w:w="709" w:type="dxa"/>
            <w:shd w:val="solid" w:color="B4B4B4" w:fill="auto"/>
          </w:tcPr>
          <w:p w14:paraId="03A96968" w14:textId="77777777" w:rsidR="005C3382" w:rsidRPr="003A2F86" w:rsidRDefault="005C3382" w:rsidP="00612DE8">
            <w:pPr>
              <w:spacing w:after="0" w:line="240" w:lineRule="auto"/>
              <w:jc w:val="both"/>
              <w:rPr>
                <w:rFonts w:ascii="Calibri" w:eastAsia="Times New Roman" w:hAnsi="Calibri" w:cs="Arial"/>
                <w:b/>
                <w:lang w:eastAsia="en-US"/>
              </w:rPr>
            </w:pPr>
          </w:p>
        </w:tc>
        <w:tc>
          <w:tcPr>
            <w:tcW w:w="567" w:type="dxa"/>
            <w:shd w:val="solid" w:color="B4B4B4" w:fill="auto"/>
          </w:tcPr>
          <w:p w14:paraId="153D765A" w14:textId="77777777" w:rsidR="005C3382" w:rsidRPr="003A2F86" w:rsidRDefault="005C3382" w:rsidP="00612DE8">
            <w:pPr>
              <w:spacing w:after="0" w:line="240" w:lineRule="auto"/>
              <w:jc w:val="both"/>
              <w:rPr>
                <w:rFonts w:ascii="Calibri" w:eastAsia="Times New Roman" w:hAnsi="Calibri" w:cs="Arial"/>
                <w:b/>
                <w:lang w:eastAsia="en-US"/>
              </w:rPr>
            </w:pPr>
            <w:r w:rsidRPr="003A2F86">
              <w:rPr>
                <w:rFonts w:ascii="Calibri" w:eastAsia="Times New Roman" w:hAnsi="Calibri" w:cs="Arial"/>
                <w:b/>
                <w:lang w:eastAsia="en-US"/>
              </w:rPr>
              <w:t>2044</w:t>
            </w:r>
          </w:p>
        </w:tc>
        <w:tc>
          <w:tcPr>
            <w:tcW w:w="9323" w:type="dxa"/>
            <w:shd w:val="solid" w:color="B4B4B4" w:fill="auto"/>
          </w:tcPr>
          <w:p w14:paraId="71F21DAE" w14:textId="77777777" w:rsidR="005C3382" w:rsidRPr="003A2F86" w:rsidRDefault="005C3382" w:rsidP="00612DE8">
            <w:pPr>
              <w:spacing w:after="0" w:line="240" w:lineRule="auto"/>
              <w:rPr>
                <w:rFonts w:ascii="Calibri" w:eastAsia="Times New Roman" w:hAnsi="Calibri" w:cs="Arial"/>
                <w:lang w:eastAsia="en-US"/>
              </w:rPr>
            </w:pPr>
            <w:r w:rsidRPr="003A2F86">
              <w:rPr>
                <w:rFonts w:ascii="Calibri" w:eastAsia="Times New Roman" w:hAnsi="Calibri" w:cs="Arial"/>
                <w:lang w:eastAsia="en-US"/>
              </w:rPr>
              <w:t>Socijalna skrb – Dom za starije i nemoćne osobe Konavle</w:t>
            </w:r>
          </w:p>
        </w:tc>
      </w:tr>
      <w:tr w:rsidR="00CC60DA" w:rsidRPr="003A2F86" w14:paraId="577F0384" w14:textId="77777777" w:rsidTr="00612DE8">
        <w:tc>
          <w:tcPr>
            <w:tcW w:w="1021" w:type="dxa"/>
            <w:tcBorders>
              <w:bottom w:val="single" w:sz="4" w:space="0" w:color="auto"/>
            </w:tcBorders>
            <w:shd w:val="pct15" w:color="auto" w:fill="auto"/>
          </w:tcPr>
          <w:p w14:paraId="1B1BC8DE" w14:textId="77777777" w:rsidR="005C3382" w:rsidRPr="003A2F86" w:rsidRDefault="005C3382" w:rsidP="00612DE8">
            <w:pPr>
              <w:spacing w:after="0" w:line="240" w:lineRule="auto"/>
              <w:jc w:val="both"/>
              <w:rPr>
                <w:rFonts w:ascii="Calibri" w:eastAsia="Times New Roman" w:hAnsi="Calibri" w:cs="Arial"/>
                <w:lang w:eastAsia="en-US"/>
              </w:rPr>
            </w:pPr>
          </w:p>
        </w:tc>
        <w:tc>
          <w:tcPr>
            <w:tcW w:w="915" w:type="dxa"/>
            <w:tcBorders>
              <w:bottom w:val="single" w:sz="4" w:space="0" w:color="auto"/>
            </w:tcBorders>
            <w:shd w:val="pct15" w:color="auto" w:fill="auto"/>
          </w:tcPr>
          <w:p w14:paraId="13F59C61" w14:textId="77777777" w:rsidR="005C3382" w:rsidRPr="003A2F86" w:rsidRDefault="005C3382" w:rsidP="00612DE8">
            <w:pPr>
              <w:spacing w:after="0" w:line="240" w:lineRule="auto"/>
              <w:jc w:val="both"/>
              <w:rPr>
                <w:rFonts w:ascii="Calibri" w:eastAsia="Times New Roman" w:hAnsi="Calibri" w:cs="Arial"/>
                <w:lang w:eastAsia="en-US"/>
              </w:rPr>
            </w:pPr>
            <w:r w:rsidRPr="003A2F86">
              <w:rPr>
                <w:rFonts w:ascii="Calibri" w:eastAsia="Times New Roman" w:hAnsi="Calibri" w:cs="Arial"/>
                <w:lang w:eastAsia="en-US"/>
              </w:rPr>
              <w:t>Glava</w:t>
            </w:r>
          </w:p>
        </w:tc>
        <w:tc>
          <w:tcPr>
            <w:tcW w:w="1090" w:type="dxa"/>
            <w:tcBorders>
              <w:bottom w:val="single" w:sz="4" w:space="0" w:color="auto"/>
            </w:tcBorders>
            <w:shd w:val="pct15" w:color="auto" w:fill="auto"/>
          </w:tcPr>
          <w:p w14:paraId="507D03C3" w14:textId="77777777" w:rsidR="005C3382" w:rsidRPr="003A2F86" w:rsidRDefault="005C3382" w:rsidP="00612DE8">
            <w:pPr>
              <w:spacing w:after="0" w:line="240" w:lineRule="auto"/>
              <w:jc w:val="both"/>
              <w:rPr>
                <w:rFonts w:ascii="Calibri" w:eastAsia="Times New Roman" w:hAnsi="Calibri" w:cs="Arial"/>
                <w:lang w:eastAsia="en-US"/>
              </w:rPr>
            </w:pPr>
          </w:p>
        </w:tc>
        <w:tc>
          <w:tcPr>
            <w:tcW w:w="404" w:type="dxa"/>
            <w:tcBorders>
              <w:bottom w:val="single" w:sz="4" w:space="0" w:color="auto"/>
            </w:tcBorders>
            <w:shd w:val="pct15" w:color="auto" w:fill="auto"/>
          </w:tcPr>
          <w:p w14:paraId="67063777" w14:textId="77777777" w:rsidR="005C3382" w:rsidRPr="003A2F86" w:rsidRDefault="005C3382" w:rsidP="00612DE8">
            <w:pPr>
              <w:spacing w:after="0" w:line="240" w:lineRule="auto"/>
              <w:jc w:val="both"/>
              <w:rPr>
                <w:rFonts w:ascii="Calibri" w:eastAsia="Times New Roman" w:hAnsi="Calibri" w:cs="Arial"/>
                <w:lang w:eastAsia="en-US"/>
              </w:rPr>
            </w:pPr>
          </w:p>
        </w:tc>
        <w:tc>
          <w:tcPr>
            <w:tcW w:w="709" w:type="dxa"/>
            <w:tcBorders>
              <w:bottom w:val="single" w:sz="4" w:space="0" w:color="auto"/>
            </w:tcBorders>
            <w:shd w:val="pct15" w:color="auto" w:fill="auto"/>
          </w:tcPr>
          <w:p w14:paraId="748AB215" w14:textId="77777777" w:rsidR="005C3382" w:rsidRPr="003A2F86" w:rsidRDefault="005C3382" w:rsidP="005C3382">
            <w:pPr>
              <w:spacing w:after="0" w:line="240" w:lineRule="auto"/>
              <w:jc w:val="both"/>
              <w:rPr>
                <w:rFonts w:ascii="Calibri" w:eastAsia="Times New Roman" w:hAnsi="Calibri" w:cs="Arial"/>
                <w:b/>
                <w:lang w:eastAsia="en-US"/>
              </w:rPr>
            </w:pPr>
            <w:r w:rsidRPr="003A2F86">
              <w:rPr>
                <w:rFonts w:ascii="Calibri" w:eastAsia="Times New Roman" w:hAnsi="Calibri" w:cs="Arial"/>
                <w:b/>
                <w:lang w:eastAsia="en-US"/>
              </w:rPr>
              <w:t>020 05</w:t>
            </w:r>
          </w:p>
        </w:tc>
        <w:tc>
          <w:tcPr>
            <w:tcW w:w="567" w:type="dxa"/>
            <w:tcBorders>
              <w:bottom w:val="single" w:sz="4" w:space="0" w:color="auto"/>
            </w:tcBorders>
            <w:shd w:val="pct15" w:color="auto" w:fill="auto"/>
          </w:tcPr>
          <w:p w14:paraId="07DED860" w14:textId="77777777" w:rsidR="005C3382" w:rsidRPr="003A2F86" w:rsidRDefault="005C3382" w:rsidP="00612DE8">
            <w:pPr>
              <w:spacing w:after="0" w:line="240" w:lineRule="auto"/>
              <w:jc w:val="both"/>
              <w:rPr>
                <w:rFonts w:ascii="Calibri" w:eastAsia="Times New Roman" w:hAnsi="Calibri" w:cs="Arial"/>
                <w:lang w:eastAsia="en-US"/>
              </w:rPr>
            </w:pPr>
          </w:p>
        </w:tc>
        <w:tc>
          <w:tcPr>
            <w:tcW w:w="9323" w:type="dxa"/>
            <w:tcBorders>
              <w:bottom w:val="single" w:sz="4" w:space="0" w:color="auto"/>
            </w:tcBorders>
            <w:shd w:val="pct15" w:color="auto" w:fill="auto"/>
          </w:tcPr>
          <w:p w14:paraId="0B1FA163" w14:textId="77777777" w:rsidR="005C3382" w:rsidRPr="003A2F86" w:rsidRDefault="00F83CE2" w:rsidP="005C3382">
            <w:pPr>
              <w:tabs>
                <w:tab w:val="left" w:pos="567"/>
              </w:tabs>
              <w:spacing w:after="0" w:line="240" w:lineRule="auto"/>
              <w:jc w:val="both"/>
              <w:rPr>
                <w:rFonts w:ascii="Calibri" w:eastAsia="Times New Roman" w:hAnsi="Calibri" w:cs="Arial"/>
                <w:lang w:eastAsia="en-US"/>
              </w:rPr>
            </w:pPr>
            <w:r w:rsidRPr="003A2F86">
              <w:rPr>
                <w:rFonts w:ascii="Calibri" w:eastAsia="Calibri" w:hAnsi="Calibri" w:cs="Arial"/>
                <w:lang w:eastAsia="en-US"/>
              </w:rPr>
              <w:t>USTANOVA PREDŠKOLSKOG ODGOJA</w:t>
            </w:r>
          </w:p>
        </w:tc>
      </w:tr>
      <w:tr w:rsidR="00CC60DA" w:rsidRPr="003A2F86" w14:paraId="587F2760" w14:textId="77777777" w:rsidTr="00612DE8">
        <w:tc>
          <w:tcPr>
            <w:tcW w:w="1021" w:type="dxa"/>
            <w:shd w:val="solid" w:color="B4B4B4" w:fill="auto"/>
          </w:tcPr>
          <w:p w14:paraId="3EB6D3C4" w14:textId="77777777" w:rsidR="005C3382" w:rsidRPr="003A2F86" w:rsidRDefault="005C3382" w:rsidP="005C3382">
            <w:pPr>
              <w:spacing w:after="0" w:line="240" w:lineRule="auto"/>
              <w:jc w:val="both"/>
              <w:rPr>
                <w:rFonts w:ascii="Calibri" w:eastAsia="Times New Roman" w:hAnsi="Calibri" w:cs="Arial"/>
                <w:lang w:eastAsia="en-US"/>
              </w:rPr>
            </w:pPr>
          </w:p>
        </w:tc>
        <w:tc>
          <w:tcPr>
            <w:tcW w:w="915" w:type="dxa"/>
            <w:shd w:val="solid" w:color="B4B4B4" w:fill="auto"/>
          </w:tcPr>
          <w:p w14:paraId="06E6E6DD" w14:textId="77777777" w:rsidR="005C3382" w:rsidRPr="003A2F86" w:rsidRDefault="005C3382" w:rsidP="005C3382">
            <w:pPr>
              <w:spacing w:after="0" w:line="240" w:lineRule="auto"/>
              <w:jc w:val="both"/>
              <w:rPr>
                <w:rFonts w:ascii="Calibri" w:eastAsia="Times New Roman" w:hAnsi="Calibri" w:cs="Arial"/>
                <w:lang w:eastAsia="en-US"/>
              </w:rPr>
            </w:pPr>
          </w:p>
        </w:tc>
        <w:tc>
          <w:tcPr>
            <w:tcW w:w="1090" w:type="dxa"/>
            <w:shd w:val="solid" w:color="B4B4B4" w:fill="auto"/>
          </w:tcPr>
          <w:p w14:paraId="63336BE6" w14:textId="77777777" w:rsidR="005C3382" w:rsidRPr="003A2F86" w:rsidRDefault="005C3382" w:rsidP="005C3382">
            <w:pPr>
              <w:spacing w:after="0" w:line="240" w:lineRule="auto"/>
              <w:jc w:val="both"/>
              <w:rPr>
                <w:rFonts w:ascii="Calibri" w:eastAsia="Times New Roman" w:hAnsi="Calibri" w:cs="Arial"/>
                <w:lang w:eastAsia="en-US"/>
              </w:rPr>
            </w:pPr>
            <w:r w:rsidRPr="003A2F86">
              <w:rPr>
                <w:rFonts w:ascii="Calibri" w:eastAsia="Times New Roman" w:hAnsi="Calibri" w:cs="Arial"/>
                <w:lang w:eastAsia="en-US"/>
              </w:rPr>
              <w:t>PROGRAM</w:t>
            </w:r>
          </w:p>
        </w:tc>
        <w:tc>
          <w:tcPr>
            <w:tcW w:w="404" w:type="dxa"/>
            <w:shd w:val="solid" w:color="B4B4B4" w:fill="auto"/>
          </w:tcPr>
          <w:p w14:paraId="46BF3890" w14:textId="77777777" w:rsidR="005C3382" w:rsidRPr="003A2F86" w:rsidRDefault="005C3382" w:rsidP="005C3382">
            <w:pPr>
              <w:spacing w:after="0" w:line="240" w:lineRule="auto"/>
              <w:jc w:val="both"/>
              <w:rPr>
                <w:rFonts w:ascii="Calibri" w:eastAsia="Times New Roman" w:hAnsi="Calibri" w:cs="Arial"/>
                <w:lang w:eastAsia="en-US"/>
              </w:rPr>
            </w:pPr>
          </w:p>
        </w:tc>
        <w:tc>
          <w:tcPr>
            <w:tcW w:w="709" w:type="dxa"/>
            <w:shd w:val="solid" w:color="B4B4B4" w:fill="auto"/>
          </w:tcPr>
          <w:p w14:paraId="30E9B645" w14:textId="77777777" w:rsidR="005C3382" w:rsidRPr="003A2F86" w:rsidRDefault="005C3382" w:rsidP="005C3382">
            <w:pPr>
              <w:spacing w:after="0" w:line="240" w:lineRule="auto"/>
              <w:jc w:val="both"/>
              <w:rPr>
                <w:rFonts w:ascii="Calibri" w:eastAsia="Times New Roman" w:hAnsi="Calibri" w:cs="Arial"/>
                <w:lang w:eastAsia="en-US"/>
              </w:rPr>
            </w:pPr>
          </w:p>
        </w:tc>
        <w:tc>
          <w:tcPr>
            <w:tcW w:w="567" w:type="dxa"/>
            <w:shd w:val="solid" w:color="B4B4B4" w:fill="auto"/>
          </w:tcPr>
          <w:p w14:paraId="11023343" w14:textId="77777777" w:rsidR="005C3382" w:rsidRPr="003A2F86" w:rsidRDefault="005C3382" w:rsidP="005C3382">
            <w:pPr>
              <w:spacing w:after="0" w:line="240" w:lineRule="auto"/>
              <w:jc w:val="both"/>
              <w:rPr>
                <w:rFonts w:ascii="Calibri" w:eastAsia="Times New Roman" w:hAnsi="Calibri" w:cs="Arial"/>
                <w:b/>
                <w:lang w:eastAsia="en-US"/>
              </w:rPr>
            </w:pPr>
            <w:r w:rsidRPr="003A2F86">
              <w:rPr>
                <w:rFonts w:ascii="Calibri" w:eastAsia="Times New Roman" w:hAnsi="Calibri" w:cs="Arial"/>
                <w:b/>
                <w:lang w:eastAsia="en-US"/>
              </w:rPr>
              <w:t>2051</w:t>
            </w:r>
          </w:p>
        </w:tc>
        <w:tc>
          <w:tcPr>
            <w:tcW w:w="9323" w:type="dxa"/>
            <w:shd w:val="solid" w:color="B4B4B4" w:fill="auto"/>
          </w:tcPr>
          <w:p w14:paraId="1C753BAD" w14:textId="77777777" w:rsidR="005C3382" w:rsidRPr="003A2F86" w:rsidRDefault="005C3382" w:rsidP="005C3382">
            <w:pPr>
              <w:spacing w:after="0" w:line="240" w:lineRule="auto"/>
              <w:rPr>
                <w:rFonts w:ascii="Calibri" w:eastAsia="Times New Roman" w:hAnsi="Calibri" w:cs="Arial"/>
                <w:lang w:eastAsia="en-US"/>
              </w:rPr>
            </w:pPr>
            <w:r w:rsidRPr="003A2F86">
              <w:rPr>
                <w:rFonts w:ascii="Calibri" w:eastAsia="Times New Roman" w:hAnsi="Calibri" w:cs="Arial"/>
                <w:lang w:eastAsia="en-US"/>
              </w:rPr>
              <w:t>Odgoj, naobrazba i skrb o predškolskoj djeci</w:t>
            </w:r>
          </w:p>
        </w:tc>
      </w:tr>
    </w:tbl>
    <w:p w14:paraId="21166B50" w14:textId="77777777" w:rsidR="005C3382" w:rsidRPr="003A2F86" w:rsidRDefault="005C3382" w:rsidP="00B902D0">
      <w:pPr>
        <w:autoSpaceDE w:val="0"/>
        <w:autoSpaceDN w:val="0"/>
        <w:adjustRightInd w:val="0"/>
        <w:spacing w:after="0" w:line="240" w:lineRule="auto"/>
        <w:jc w:val="both"/>
        <w:rPr>
          <w:rFonts w:ascii="Arial" w:eastAsia="Times New Roman" w:hAnsi="Arial" w:cs="Arial"/>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1"/>
        <w:gridCol w:w="915"/>
        <w:gridCol w:w="1090"/>
        <w:gridCol w:w="404"/>
        <w:gridCol w:w="709"/>
        <w:gridCol w:w="567"/>
        <w:gridCol w:w="9323"/>
      </w:tblGrid>
      <w:tr w:rsidR="00CC60DA" w:rsidRPr="003A2F86" w14:paraId="3CB59716" w14:textId="77777777" w:rsidTr="00612DE8">
        <w:tc>
          <w:tcPr>
            <w:tcW w:w="1021" w:type="dxa"/>
            <w:tcBorders>
              <w:bottom w:val="single" w:sz="4" w:space="0" w:color="auto"/>
            </w:tcBorders>
            <w:shd w:val="pct25" w:color="auto" w:fill="auto"/>
          </w:tcPr>
          <w:p w14:paraId="741FA2F1" w14:textId="77777777" w:rsidR="00D94A3F" w:rsidRPr="003A2F86" w:rsidRDefault="00D94A3F" w:rsidP="00612DE8">
            <w:pPr>
              <w:spacing w:after="0" w:line="240" w:lineRule="auto"/>
              <w:jc w:val="both"/>
              <w:rPr>
                <w:rFonts w:ascii="Calibri" w:eastAsia="Times New Roman" w:hAnsi="Calibri" w:cs="Arial"/>
                <w:b/>
                <w:i/>
                <w:lang w:eastAsia="en-US"/>
              </w:rPr>
            </w:pPr>
            <w:r w:rsidRPr="003A2F86">
              <w:rPr>
                <w:rFonts w:ascii="Calibri" w:eastAsia="Times New Roman" w:hAnsi="Calibri" w:cs="Arial"/>
                <w:b/>
                <w:i/>
                <w:lang w:eastAsia="en-US"/>
              </w:rPr>
              <w:t>RAZDJEL</w:t>
            </w:r>
          </w:p>
        </w:tc>
        <w:tc>
          <w:tcPr>
            <w:tcW w:w="915" w:type="dxa"/>
            <w:tcBorders>
              <w:bottom w:val="single" w:sz="4" w:space="0" w:color="auto"/>
            </w:tcBorders>
            <w:shd w:val="pct25" w:color="auto" w:fill="auto"/>
          </w:tcPr>
          <w:p w14:paraId="7CBAF14E" w14:textId="77777777" w:rsidR="00D94A3F" w:rsidRPr="003A2F86" w:rsidRDefault="00D94A3F" w:rsidP="00612DE8">
            <w:pPr>
              <w:spacing w:after="0" w:line="240" w:lineRule="auto"/>
              <w:jc w:val="both"/>
              <w:rPr>
                <w:rFonts w:ascii="Calibri" w:eastAsia="Times New Roman" w:hAnsi="Calibri" w:cs="Arial"/>
                <w:b/>
                <w:i/>
                <w:lang w:eastAsia="en-US"/>
              </w:rPr>
            </w:pPr>
          </w:p>
        </w:tc>
        <w:tc>
          <w:tcPr>
            <w:tcW w:w="1090" w:type="dxa"/>
            <w:tcBorders>
              <w:bottom w:val="single" w:sz="4" w:space="0" w:color="auto"/>
            </w:tcBorders>
            <w:shd w:val="pct25" w:color="auto" w:fill="auto"/>
          </w:tcPr>
          <w:p w14:paraId="2AC843FC" w14:textId="77777777" w:rsidR="00D94A3F" w:rsidRPr="003A2F86" w:rsidRDefault="00D94A3F" w:rsidP="00612DE8">
            <w:pPr>
              <w:spacing w:after="0" w:line="240" w:lineRule="auto"/>
              <w:jc w:val="both"/>
              <w:rPr>
                <w:rFonts w:ascii="Calibri" w:eastAsia="Times New Roman" w:hAnsi="Calibri" w:cs="Arial"/>
                <w:b/>
                <w:i/>
                <w:lang w:eastAsia="en-US"/>
              </w:rPr>
            </w:pPr>
          </w:p>
        </w:tc>
        <w:tc>
          <w:tcPr>
            <w:tcW w:w="404" w:type="dxa"/>
            <w:tcBorders>
              <w:bottom w:val="single" w:sz="4" w:space="0" w:color="auto"/>
            </w:tcBorders>
            <w:shd w:val="pct25" w:color="auto" w:fill="auto"/>
          </w:tcPr>
          <w:p w14:paraId="5FE4DDC2" w14:textId="77777777" w:rsidR="00D94A3F" w:rsidRPr="003A2F86" w:rsidRDefault="00D94A3F" w:rsidP="00612DE8">
            <w:pPr>
              <w:spacing w:after="0" w:line="240" w:lineRule="auto"/>
              <w:jc w:val="both"/>
              <w:rPr>
                <w:rFonts w:ascii="Calibri" w:eastAsia="Times New Roman" w:hAnsi="Calibri" w:cs="Arial"/>
                <w:b/>
                <w:i/>
                <w:lang w:eastAsia="en-US"/>
              </w:rPr>
            </w:pPr>
            <w:r w:rsidRPr="003A2F86">
              <w:rPr>
                <w:rFonts w:ascii="Calibri" w:eastAsia="Times New Roman" w:hAnsi="Calibri" w:cs="Arial"/>
                <w:b/>
                <w:i/>
                <w:lang w:eastAsia="en-US"/>
              </w:rPr>
              <w:t>030</w:t>
            </w:r>
          </w:p>
        </w:tc>
        <w:tc>
          <w:tcPr>
            <w:tcW w:w="709" w:type="dxa"/>
            <w:tcBorders>
              <w:bottom w:val="single" w:sz="4" w:space="0" w:color="auto"/>
            </w:tcBorders>
            <w:shd w:val="pct25" w:color="auto" w:fill="auto"/>
          </w:tcPr>
          <w:p w14:paraId="6A1C32B1" w14:textId="77777777" w:rsidR="00D94A3F" w:rsidRPr="003A2F86" w:rsidRDefault="00D94A3F" w:rsidP="00612DE8">
            <w:pPr>
              <w:spacing w:after="0" w:line="240" w:lineRule="auto"/>
              <w:jc w:val="both"/>
              <w:rPr>
                <w:rFonts w:ascii="Calibri" w:eastAsia="Times New Roman" w:hAnsi="Calibri" w:cs="Arial"/>
                <w:b/>
                <w:i/>
                <w:lang w:eastAsia="en-US"/>
              </w:rPr>
            </w:pPr>
          </w:p>
        </w:tc>
        <w:tc>
          <w:tcPr>
            <w:tcW w:w="567" w:type="dxa"/>
            <w:tcBorders>
              <w:bottom w:val="single" w:sz="4" w:space="0" w:color="auto"/>
            </w:tcBorders>
            <w:shd w:val="pct25" w:color="auto" w:fill="auto"/>
          </w:tcPr>
          <w:p w14:paraId="56D19A9F" w14:textId="77777777" w:rsidR="00D94A3F" w:rsidRPr="003A2F86" w:rsidRDefault="00D94A3F" w:rsidP="00612DE8">
            <w:pPr>
              <w:spacing w:after="0" w:line="240" w:lineRule="auto"/>
              <w:jc w:val="both"/>
              <w:rPr>
                <w:rFonts w:ascii="Calibri" w:eastAsia="Times New Roman" w:hAnsi="Calibri" w:cs="Arial"/>
                <w:b/>
                <w:i/>
                <w:lang w:eastAsia="en-US"/>
              </w:rPr>
            </w:pPr>
          </w:p>
        </w:tc>
        <w:tc>
          <w:tcPr>
            <w:tcW w:w="9323" w:type="dxa"/>
            <w:tcBorders>
              <w:bottom w:val="single" w:sz="4" w:space="0" w:color="auto"/>
            </w:tcBorders>
            <w:shd w:val="pct25" w:color="auto" w:fill="auto"/>
          </w:tcPr>
          <w:p w14:paraId="4225BC4C" w14:textId="77777777" w:rsidR="00D94A3F" w:rsidRPr="003A2F86" w:rsidRDefault="00D94A3F" w:rsidP="00D94A3F">
            <w:pPr>
              <w:spacing w:after="0" w:line="240" w:lineRule="auto"/>
              <w:jc w:val="both"/>
              <w:rPr>
                <w:rFonts w:ascii="Calibri" w:eastAsia="Times New Roman" w:hAnsi="Calibri" w:cs="Arial"/>
                <w:b/>
                <w:i/>
                <w:lang w:eastAsia="en-US"/>
              </w:rPr>
            </w:pPr>
            <w:r w:rsidRPr="003A2F86">
              <w:rPr>
                <w:rFonts w:ascii="Calibri" w:eastAsia="Calibri" w:hAnsi="Calibri" w:cs="Arial"/>
                <w:b/>
              </w:rPr>
              <w:t xml:space="preserve">UPRAVNI ODJEL ZA KOMUNALNI SUSTAV I GOSPODARENJE NEKRETNINAMA </w:t>
            </w:r>
          </w:p>
        </w:tc>
      </w:tr>
      <w:tr w:rsidR="00CC60DA" w:rsidRPr="003A2F86" w14:paraId="50387CD3" w14:textId="77777777" w:rsidTr="00612DE8">
        <w:tc>
          <w:tcPr>
            <w:tcW w:w="1021" w:type="dxa"/>
            <w:tcBorders>
              <w:bottom w:val="single" w:sz="4" w:space="0" w:color="auto"/>
            </w:tcBorders>
            <w:shd w:val="pct15" w:color="auto" w:fill="auto"/>
          </w:tcPr>
          <w:p w14:paraId="1D71FAEA" w14:textId="77777777" w:rsidR="00D94A3F" w:rsidRPr="003A2F86" w:rsidRDefault="00D94A3F" w:rsidP="00612DE8">
            <w:pPr>
              <w:spacing w:after="0" w:line="240" w:lineRule="auto"/>
              <w:jc w:val="both"/>
              <w:rPr>
                <w:rFonts w:ascii="Calibri" w:eastAsia="Times New Roman" w:hAnsi="Calibri" w:cs="Arial"/>
                <w:lang w:eastAsia="en-US"/>
              </w:rPr>
            </w:pPr>
          </w:p>
        </w:tc>
        <w:tc>
          <w:tcPr>
            <w:tcW w:w="915" w:type="dxa"/>
            <w:tcBorders>
              <w:bottom w:val="single" w:sz="4" w:space="0" w:color="auto"/>
            </w:tcBorders>
            <w:shd w:val="pct15" w:color="auto" w:fill="auto"/>
          </w:tcPr>
          <w:p w14:paraId="38B3A745" w14:textId="77777777" w:rsidR="00D94A3F" w:rsidRPr="003A2F86" w:rsidRDefault="00D94A3F" w:rsidP="00612DE8">
            <w:pPr>
              <w:spacing w:after="0" w:line="240" w:lineRule="auto"/>
              <w:jc w:val="both"/>
              <w:rPr>
                <w:rFonts w:ascii="Calibri" w:eastAsia="Times New Roman" w:hAnsi="Calibri" w:cs="Arial"/>
                <w:lang w:eastAsia="en-US"/>
              </w:rPr>
            </w:pPr>
            <w:r w:rsidRPr="003A2F86">
              <w:rPr>
                <w:rFonts w:ascii="Calibri" w:eastAsia="Times New Roman" w:hAnsi="Calibri" w:cs="Arial"/>
                <w:lang w:eastAsia="en-US"/>
              </w:rPr>
              <w:t>Glava</w:t>
            </w:r>
          </w:p>
        </w:tc>
        <w:tc>
          <w:tcPr>
            <w:tcW w:w="1090" w:type="dxa"/>
            <w:tcBorders>
              <w:bottom w:val="single" w:sz="4" w:space="0" w:color="auto"/>
            </w:tcBorders>
            <w:shd w:val="pct15" w:color="auto" w:fill="auto"/>
          </w:tcPr>
          <w:p w14:paraId="5F24C7C0" w14:textId="77777777" w:rsidR="00D94A3F" w:rsidRPr="003A2F86" w:rsidRDefault="00D94A3F" w:rsidP="00612DE8">
            <w:pPr>
              <w:spacing w:after="0" w:line="240" w:lineRule="auto"/>
              <w:jc w:val="both"/>
              <w:rPr>
                <w:rFonts w:ascii="Calibri" w:eastAsia="Times New Roman" w:hAnsi="Calibri" w:cs="Arial"/>
                <w:lang w:eastAsia="en-US"/>
              </w:rPr>
            </w:pPr>
          </w:p>
        </w:tc>
        <w:tc>
          <w:tcPr>
            <w:tcW w:w="404" w:type="dxa"/>
            <w:tcBorders>
              <w:bottom w:val="single" w:sz="4" w:space="0" w:color="auto"/>
            </w:tcBorders>
            <w:shd w:val="pct15" w:color="auto" w:fill="auto"/>
          </w:tcPr>
          <w:p w14:paraId="210FE7BE" w14:textId="77777777" w:rsidR="00D94A3F" w:rsidRPr="003A2F86" w:rsidRDefault="00D94A3F" w:rsidP="00612DE8">
            <w:pPr>
              <w:spacing w:after="0" w:line="240" w:lineRule="auto"/>
              <w:jc w:val="both"/>
              <w:rPr>
                <w:rFonts w:ascii="Calibri" w:eastAsia="Times New Roman" w:hAnsi="Calibri" w:cs="Arial"/>
                <w:lang w:eastAsia="en-US"/>
              </w:rPr>
            </w:pPr>
          </w:p>
        </w:tc>
        <w:tc>
          <w:tcPr>
            <w:tcW w:w="709" w:type="dxa"/>
            <w:tcBorders>
              <w:bottom w:val="single" w:sz="4" w:space="0" w:color="auto"/>
            </w:tcBorders>
            <w:shd w:val="pct15" w:color="auto" w:fill="auto"/>
          </w:tcPr>
          <w:p w14:paraId="7A3A3970" w14:textId="77777777" w:rsidR="00D94A3F" w:rsidRPr="003A2F86" w:rsidRDefault="00D94A3F" w:rsidP="00D94A3F">
            <w:pPr>
              <w:spacing w:after="0" w:line="240" w:lineRule="auto"/>
              <w:jc w:val="both"/>
              <w:rPr>
                <w:rFonts w:ascii="Calibri" w:eastAsia="Times New Roman" w:hAnsi="Calibri" w:cs="Arial"/>
                <w:b/>
                <w:lang w:eastAsia="en-US"/>
              </w:rPr>
            </w:pPr>
            <w:r w:rsidRPr="003A2F86">
              <w:rPr>
                <w:rFonts w:ascii="Calibri" w:eastAsia="Times New Roman" w:hAnsi="Calibri" w:cs="Arial"/>
                <w:b/>
                <w:lang w:eastAsia="en-US"/>
              </w:rPr>
              <w:t>030 02</w:t>
            </w:r>
          </w:p>
        </w:tc>
        <w:tc>
          <w:tcPr>
            <w:tcW w:w="567" w:type="dxa"/>
            <w:tcBorders>
              <w:bottom w:val="single" w:sz="4" w:space="0" w:color="auto"/>
            </w:tcBorders>
            <w:shd w:val="pct15" w:color="auto" w:fill="auto"/>
          </w:tcPr>
          <w:p w14:paraId="26BA8097" w14:textId="77777777" w:rsidR="00D94A3F" w:rsidRPr="003A2F86" w:rsidRDefault="00D94A3F" w:rsidP="00612DE8">
            <w:pPr>
              <w:spacing w:after="0" w:line="240" w:lineRule="auto"/>
              <w:jc w:val="both"/>
              <w:rPr>
                <w:rFonts w:ascii="Calibri" w:eastAsia="Times New Roman" w:hAnsi="Calibri" w:cs="Arial"/>
                <w:lang w:eastAsia="en-US"/>
              </w:rPr>
            </w:pPr>
          </w:p>
        </w:tc>
        <w:tc>
          <w:tcPr>
            <w:tcW w:w="9323" w:type="dxa"/>
            <w:tcBorders>
              <w:bottom w:val="single" w:sz="4" w:space="0" w:color="auto"/>
            </w:tcBorders>
            <w:shd w:val="pct15" w:color="auto" w:fill="auto"/>
          </w:tcPr>
          <w:p w14:paraId="5BE3E0EB" w14:textId="77777777" w:rsidR="00D94A3F" w:rsidRPr="003A2F86" w:rsidRDefault="00D94A3F" w:rsidP="00D94A3F">
            <w:pPr>
              <w:tabs>
                <w:tab w:val="left" w:pos="567"/>
              </w:tabs>
              <w:spacing w:after="0" w:line="240" w:lineRule="auto"/>
              <w:jc w:val="both"/>
              <w:rPr>
                <w:rFonts w:ascii="Calibri" w:eastAsia="Times New Roman" w:hAnsi="Calibri" w:cs="Arial"/>
                <w:lang w:eastAsia="en-US"/>
              </w:rPr>
            </w:pPr>
            <w:r w:rsidRPr="003A2F86">
              <w:rPr>
                <w:rFonts w:ascii="Calibri" w:eastAsia="Calibri" w:hAnsi="Calibri" w:cs="Arial"/>
                <w:lang w:eastAsia="en-US"/>
              </w:rPr>
              <w:t>USTANOVA ZA VATROGASNU DJELATNOST</w:t>
            </w:r>
          </w:p>
        </w:tc>
      </w:tr>
      <w:tr w:rsidR="00CC60DA" w:rsidRPr="003A2F86" w14:paraId="2714AA0D" w14:textId="77777777" w:rsidTr="00612DE8">
        <w:tc>
          <w:tcPr>
            <w:tcW w:w="1021" w:type="dxa"/>
            <w:shd w:val="solid" w:color="B4B4B4" w:fill="auto"/>
          </w:tcPr>
          <w:p w14:paraId="2219823F" w14:textId="77777777" w:rsidR="00D94A3F" w:rsidRPr="003A2F86" w:rsidRDefault="00D94A3F" w:rsidP="00612DE8">
            <w:pPr>
              <w:spacing w:after="0" w:line="240" w:lineRule="auto"/>
              <w:jc w:val="both"/>
              <w:rPr>
                <w:rFonts w:ascii="Calibri" w:eastAsia="Times New Roman" w:hAnsi="Calibri" w:cs="Arial"/>
                <w:lang w:eastAsia="en-US"/>
              </w:rPr>
            </w:pPr>
          </w:p>
        </w:tc>
        <w:tc>
          <w:tcPr>
            <w:tcW w:w="915" w:type="dxa"/>
            <w:shd w:val="solid" w:color="B4B4B4" w:fill="auto"/>
          </w:tcPr>
          <w:p w14:paraId="47A66B53" w14:textId="77777777" w:rsidR="00D94A3F" w:rsidRPr="003A2F86" w:rsidRDefault="00D94A3F" w:rsidP="00612DE8">
            <w:pPr>
              <w:spacing w:after="0" w:line="240" w:lineRule="auto"/>
              <w:jc w:val="both"/>
              <w:rPr>
                <w:rFonts w:ascii="Calibri" w:eastAsia="Times New Roman" w:hAnsi="Calibri" w:cs="Arial"/>
                <w:lang w:eastAsia="en-US"/>
              </w:rPr>
            </w:pPr>
          </w:p>
        </w:tc>
        <w:tc>
          <w:tcPr>
            <w:tcW w:w="1090" w:type="dxa"/>
            <w:shd w:val="solid" w:color="B4B4B4" w:fill="auto"/>
          </w:tcPr>
          <w:p w14:paraId="56703115" w14:textId="77777777" w:rsidR="00D94A3F" w:rsidRPr="003A2F86" w:rsidRDefault="00D94A3F" w:rsidP="00612DE8">
            <w:pPr>
              <w:spacing w:after="0" w:line="240" w:lineRule="auto"/>
              <w:jc w:val="both"/>
              <w:rPr>
                <w:rFonts w:ascii="Calibri" w:eastAsia="Times New Roman" w:hAnsi="Calibri" w:cs="Arial"/>
                <w:lang w:eastAsia="en-US"/>
              </w:rPr>
            </w:pPr>
            <w:r w:rsidRPr="003A2F86">
              <w:rPr>
                <w:rFonts w:ascii="Calibri" w:eastAsia="Times New Roman" w:hAnsi="Calibri" w:cs="Arial"/>
                <w:lang w:eastAsia="en-US"/>
              </w:rPr>
              <w:t>PROGRAM</w:t>
            </w:r>
          </w:p>
        </w:tc>
        <w:tc>
          <w:tcPr>
            <w:tcW w:w="404" w:type="dxa"/>
            <w:shd w:val="solid" w:color="B4B4B4" w:fill="auto"/>
          </w:tcPr>
          <w:p w14:paraId="2917DBFB" w14:textId="77777777" w:rsidR="00D94A3F" w:rsidRPr="003A2F86" w:rsidRDefault="00D94A3F" w:rsidP="00612DE8">
            <w:pPr>
              <w:spacing w:after="0" w:line="240" w:lineRule="auto"/>
              <w:jc w:val="both"/>
              <w:rPr>
                <w:rFonts w:ascii="Calibri" w:eastAsia="Times New Roman" w:hAnsi="Calibri" w:cs="Arial"/>
                <w:lang w:eastAsia="en-US"/>
              </w:rPr>
            </w:pPr>
          </w:p>
        </w:tc>
        <w:tc>
          <w:tcPr>
            <w:tcW w:w="709" w:type="dxa"/>
            <w:shd w:val="solid" w:color="B4B4B4" w:fill="auto"/>
          </w:tcPr>
          <w:p w14:paraId="135EEE80" w14:textId="77777777" w:rsidR="00D94A3F" w:rsidRPr="003A2F86" w:rsidRDefault="00D94A3F" w:rsidP="00612DE8">
            <w:pPr>
              <w:spacing w:after="0" w:line="240" w:lineRule="auto"/>
              <w:jc w:val="both"/>
              <w:rPr>
                <w:rFonts w:ascii="Calibri" w:eastAsia="Times New Roman" w:hAnsi="Calibri" w:cs="Arial"/>
                <w:b/>
                <w:lang w:eastAsia="en-US"/>
              </w:rPr>
            </w:pPr>
          </w:p>
        </w:tc>
        <w:tc>
          <w:tcPr>
            <w:tcW w:w="567" w:type="dxa"/>
            <w:shd w:val="solid" w:color="B4B4B4" w:fill="auto"/>
          </w:tcPr>
          <w:p w14:paraId="3BF04E76" w14:textId="77777777" w:rsidR="00D94A3F" w:rsidRPr="003A2F86" w:rsidRDefault="00D94A3F" w:rsidP="00D94A3F">
            <w:pPr>
              <w:spacing w:after="0" w:line="240" w:lineRule="auto"/>
              <w:jc w:val="both"/>
              <w:rPr>
                <w:rFonts w:ascii="Calibri" w:eastAsia="Times New Roman" w:hAnsi="Calibri" w:cs="Arial"/>
                <w:b/>
                <w:lang w:eastAsia="en-US"/>
              </w:rPr>
            </w:pPr>
            <w:r w:rsidRPr="003A2F86">
              <w:rPr>
                <w:rFonts w:ascii="Calibri" w:eastAsia="Times New Roman" w:hAnsi="Calibri" w:cs="Arial"/>
                <w:b/>
                <w:lang w:eastAsia="en-US"/>
              </w:rPr>
              <w:t>2071</w:t>
            </w:r>
          </w:p>
        </w:tc>
        <w:tc>
          <w:tcPr>
            <w:tcW w:w="9323" w:type="dxa"/>
            <w:shd w:val="solid" w:color="B4B4B4" w:fill="auto"/>
          </w:tcPr>
          <w:p w14:paraId="0CFED3EC" w14:textId="77777777" w:rsidR="00D94A3F" w:rsidRPr="003A2F86" w:rsidRDefault="00D94A3F" w:rsidP="00612DE8">
            <w:pPr>
              <w:spacing w:after="0" w:line="240" w:lineRule="auto"/>
              <w:rPr>
                <w:rFonts w:ascii="Calibri" w:eastAsia="Times New Roman" w:hAnsi="Calibri" w:cs="Arial"/>
                <w:lang w:eastAsia="en-US"/>
              </w:rPr>
            </w:pPr>
            <w:r w:rsidRPr="003A2F86">
              <w:rPr>
                <w:rFonts w:ascii="Calibri" w:eastAsia="Times New Roman" w:hAnsi="Calibri" w:cs="Arial"/>
                <w:lang w:eastAsia="en-US"/>
              </w:rPr>
              <w:t>Redovna djelatnost javne vatrogasne postrojbe</w:t>
            </w:r>
          </w:p>
        </w:tc>
      </w:tr>
    </w:tbl>
    <w:p w14:paraId="5ECC79BB" w14:textId="77777777" w:rsidR="005C3382" w:rsidRPr="003A2F86" w:rsidRDefault="005C3382" w:rsidP="00B902D0">
      <w:pPr>
        <w:autoSpaceDE w:val="0"/>
        <w:autoSpaceDN w:val="0"/>
        <w:adjustRightInd w:val="0"/>
        <w:spacing w:after="0" w:line="240" w:lineRule="auto"/>
        <w:jc w:val="both"/>
        <w:rPr>
          <w:rFonts w:ascii="Arial" w:eastAsia="Times New Roman" w:hAnsi="Arial" w:cs="Arial"/>
        </w:rPr>
      </w:pPr>
    </w:p>
    <w:p w14:paraId="6566DFEF" w14:textId="77777777" w:rsidR="00D94A3F" w:rsidRPr="003A2F86" w:rsidRDefault="00D94A3F" w:rsidP="00B902D0">
      <w:pPr>
        <w:autoSpaceDE w:val="0"/>
        <w:autoSpaceDN w:val="0"/>
        <w:adjustRightInd w:val="0"/>
        <w:spacing w:after="0" w:line="240" w:lineRule="auto"/>
        <w:jc w:val="both"/>
        <w:rPr>
          <w:rFonts w:ascii="Arial" w:eastAsia="Times New Roman" w:hAnsi="Arial" w:cs="Arial"/>
        </w:rPr>
      </w:pPr>
    </w:p>
    <w:p w14:paraId="36A9CE55" w14:textId="68B5E0C2" w:rsidR="00B902D0" w:rsidRPr="003A2F86" w:rsidRDefault="00795CD9" w:rsidP="00792D46">
      <w:pPr>
        <w:pStyle w:val="Naslov3"/>
        <w:jc w:val="center"/>
        <w:rPr>
          <w:rFonts w:ascii="Arial" w:eastAsia="Calibri" w:hAnsi="Arial" w:cs="Arial"/>
          <w:sz w:val="22"/>
          <w:lang w:val="hr-HR"/>
        </w:rPr>
      </w:pPr>
      <w:bookmarkStart w:id="633" w:name="_3.4.1._GLAVA:_(020"/>
      <w:bookmarkStart w:id="634" w:name="_Toc36842167"/>
      <w:bookmarkStart w:id="635" w:name="_Toc232981484"/>
      <w:bookmarkEnd w:id="633"/>
      <w:r w:rsidRPr="003A2F86">
        <w:rPr>
          <w:rFonts w:ascii="Arial" w:eastAsia="Calibri" w:hAnsi="Arial" w:cs="Arial"/>
          <w:sz w:val="22"/>
          <w:lang w:val="hr-HR"/>
        </w:rPr>
        <w:t>3</w:t>
      </w:r>
      <w:r w:rsidR="004147A4" w:rsidRPr="003A2F86">
        <w:rPr>
          <w:rFonts w:ascii="Arial" w:eastAsia="Calibri" w:hAnsi="Arial" w:cs="Arial"/>
          <w:sz w:val="22"/>
          <w:lang w:val="hr-HR"/>
        </w:rPr>
        <w:t>.</w:t>
      </w:r>
      <w:r w:rsidR="00375FAF" w:rsidRPr="003A2F86">
        <w:rPr>
          <w:rFonts w:ascii="Arial" w:eastAsia="Calibri" w:hAnsi="Arial" w:cs="Arial"/>
          <w:sz w:val="22"/>
          <w:lang w:val="hr-HR"/>
        </w:rPr>
        <w:t>4</w:t>
      </w:r>
      <w:r w:rsidR="004147A4" w:rsidRPr="003A2F86">
        <w:rPr>
          <w:rFonts w:ascii="Arial" w:eastAsia="Calibri" w:hAnsi="Arial" w:cs="Arial"/>
          <w:sz w:val="22"/>
          <w:lang w:val="hr-HR"/>
        </w:rPr>
        <w:t>.</w:t>
      </w:r>
      <w:r w:rsidR="002B6F08" w:rsidRPr="003A2F86">
        <w:rPr>
          <w:rFonts w:ascii="Arial" w:eastAsia="Calibri" w:hAnsi="Arial" w:cs="Arial"/>
          <w:sz w:val="22"/>
          <w:lang w:val="hr-HR"/>
        </w:rPr>
        <w:t>1.</w:t>
      </w:r>
      <w:r w:rsidR="004147A4" w:rsidRPr="003A2F86">
        <w:rPr>
          <w:rFonts w:ascii="Arial" w:eastAsia="Calibri" w:hAnsi="Arial" w:cs="Arial"/>
          <w:sz w:val="22"/>
          <w:lang w:val="hr-HR"/>
        </w:rPr>
        <w:tab/>
      </w:r>
      <w:r w:rsidR="00942057" w:rsidRPr="003A2F86">
        <w:rPr>
          <w:rFonts w:ascii="Arial" w:eastAsia="Calibri" w:hAnsi="Arial" w:cs="Arial"/>
          <w:sz w:val="22"/>
          <w:lang w:val="hr-HR"/>
        </w:rPr>
        <w:t xml:space="preserve">GLAVA: (020 03) USTANOVA U KULTURI - </w:t>
      </w:r>
      <w:r w:rsidR="0004293C" w:rsidRPr="003A2F86">
        <w:rPr>
          <w:rFonts w:ascii="Arial" w:eastAsia="Calibri" w:hAnsi="Arial" w:cs="Arial"/>
          <w:sz w:val="22"/>
          <w:lang w:val="hr-HR"/>
        </w:rPr>
        <w:t xml:space="preserve">MUZEJI </w:t>
      </w:r>
      <w:r w:rsidR="00626F9C" w:rsidRPr="003A2F86">
        <w:rPr>
          <w:rFonts w:ascii="Arial" w:eastAsia="Calibri" w:hAnsi="Arial" w:cs="Arial"/>
          <w:sz w:val="22"/>
          <w:lang w:val="hr-HR"/>
        </w:rPr>
        <w:t>I</w:t>
      </w:r>
      <w:r w:rsidR="0004293C" w:rsidRPr="003A2F86">
        <w:rPr>
          <w:rFonts w:ascii="Arial" w:eastAsia="Calibri" w:hAnsi="Arial" w:cs="Arial"/>
          <w:sz w:val="22"/>
          <w:lang w:val="hr-HR"/>
        </w:rPr>
        <w:t xml:space="preserve"> GALERIJE KONAVALA</w:t>
      </w:r>
      <w:bookmarkEnd w:id="634"/>
      <w:bookmarkEnd w:id="635"/>
    </w:p>
    <w:p w14:paraId="2B5D6C0C" w14:textId="77777777" w:rsidR="00B902D0" w:rsidRPr="003A2F86" w:rsidRDefault="00B902D0" w:rsidP="00B902D0">
      <w:pPr>
        <w:autoSpaceDE w:val="0"/>
        <w:autoSpaceDN w:val="0"/>
        <w:adjustRightInd w:val="0"/>
        <w:spacing w:after="0" w:line="240" w:lineRule="auto"/>
        <w:rPr>
          <w:rFonts w:ascii="Arial" w:eastAsia="Calibri" w:hAnsi="Arial" w:cs="Arial"/>
          <w:sz w:val="20"/>
          <w:szCs w:val="20"/>
        </w:rPr>
      </w:pPr>
    </w:p>
    <w:p w14:paraId="3A06C1AE" w14:textId="77777777" w:rsidR="00B902D0" w:rsidRPr="003A2F86" w:rsidRDefault="00B902D0" w:rsidP="00B902D0">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U razdjelu 020 UPRAVNI ODJEL ZA OPĆE POSLOVE, MJESNU SAMOUPRAVU I DRUŠTVENE DJELATNOSTI, glava (020 03) Ustanova u kulturi, izvodi se jedan Program. </w:t>
      </w:r>
    </w:p>
    <w:p w14:paraId="30410854" w14:textId="77777777" w:rsidR="00B902D0" w:rsidRPr="003A2F86" w:rsidRDefault="00B902D0" w:rsidP="00B902D0">
      <w:pPr>
        <w:spacing w:after="0" w:line="240" w:lineRule="auto"/>
        <w:jc w:val="both"/>
        <w:rPr>
          <w:rFonts w:ascii="Arial" w:eastAsia="Times New Roman" w:hAnsi="Arial" w:cs="Arial"/>
          <w:sz w:val="20"/>
          <w:szCs w:val="20"/>
          <w:lang w:eastAsia="en-US"/>
        </w:rPr>
      </w:pPr>
    </w:p>
    <w:p w14:paraId="49E9495E" w14:textId="77777777" w:rsidR="00B902D0" w:rsidRPr="003A2F86" w:rsidRDefault="00B902D0" w:rsidP="00C720E8">
      <w:pPr>
        <w:pStyle w:val="Naslov3"/>
        <w:rPr>
          <w:rFonts w:eastAsia="Calibri"/>
          <w:lang w:val="hr-HR"/>
        </w:rPr>
      </w:pPr>
      <w:bookmarkStart w:id="636" w:name="_Toc36842168"/>
      <w:bookmarkStart w:id="637" w:name="_Toc232981485"/>
      <w:r w:rsidRPr="003A2F86">
        <w:rPr>
          <w:rFonts w:eastAsia="Calibri"/>
          <w:lang w:val="hr-HR"/>
        </w:rPr>
        <w:t>Program (2031): Javna ustanova u kulturi</w:t>
      </w:r>
      <w:bookmarkEnd w:id="636"/>
      <w:bookmarkEnd w:id="637"/>
    </w:p>
    <w:p w14:paraId="3E777A64" w14:textId="77777777" w:rsidR="00B902D0" w:rsidRPr="003A2F86" w:rsidRDefault="00B902D0" w:rsidP="00B902D0">
      <w:pPr>
        <w:spacing w:after="0" w:line="240" w:lineRule="auto"/>
        <w:rPr>
          <w:rFonts w:ascii="Times New Roman" w:eastAsia="Times New Roman" w:hAnsi="Times New Roman" w:cs="Arial"/>
          <w:sz w:val="20"/>
          <w:szCs w:val="20"/>
          <w:lang w:eastAsia="en-US"/>
        </w:rPr>
      </w:pPr>
      <w:r w:rsidRPr="003A2F86">
        <w:rPr>
          <w:rFonts w:ascii="Times New Roman" w:eastAsia="Times New Roman" w:hAnsi="Times New Roman" w:cs="Arial"/>
          <w:noProof/>
          <w:sz w:val="20"/>
          <w:szCs w:val="20"/>
        </w:rPr>
        <w:drawing>
          <wp:inline distT="0" distB="0" distL="0" distR="0" wp14:anchorId="0B40EC49" wp14:editId="54B55069">
            <wp:extent cx="6381750" cy="161925"/>
            <wp:effectExtent l="0" t="0" r="0" b="9525"/>
            <wp:docPr id="7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6381750" cy="161925"/>
                    </a:xfrm>
                    <a:prstGeom prst="rect">
                      <a:avLst/>
                    </a:prstGeom>
                    <a:noFill/>
                    <a:ln>
                      <a:noFill/>
                    </a:ln>
                  </pic:spPr>
                </pic:pic>
              </a:graphicData>
            </a:graphic>
          </wp:inline>
        </w:drawing>
      </w:r>
    </w:p>
    <w:p w14:paraId="039520F6" w14:textId="77777777" w:rsidR="00142BE7" w:rsidRPr="003A2F86" w:rsidRDefault="00142BE7" w:rsidP="00C720E8">
      <w:pPr>
        <w:spacing w:after="0" w:line="240" w:lineRule="auto"/>
        <w:rPr>
          <w:rFonts w:ascii="Arial" w:eastAsia="Calibri" w:hAnsi="Arial" w:cs="Arial"/>
        </w:rPr>
      </w:pPr>
    </w:p>
    <w:tbl>
      <w:tblPr>
        <w:tblW w:w="14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2500"/>
      </w:tblGrid>
      <w:tr w:rsidR="00BF3FB4" w:rsidRPr="003A2F86" w14:paraId="68472FBE" w14:textId="77777777" w:rsidTr="00BC217C">
        <w:tc>
          <w:tcPr>
            <w:tcW w:w="1843" w:type="dxa"/>
            <w:tcBorders>
              <w:top w:val="dotted" w:sz="4" w:space="0" w:color="auto"/>
              <w:left w:val="dotted" w:sz="4" w:space="0" w:color="auto"/>
              <w:bottom w:val="dotted" w:sz="4" w:space="0" w:color="auto"/>
              <w:right w:val="dotted" w:sz="4" w:space="0" w:color="auto"/>
            </w:tcBorders>
          </w:tcPr>
          <w:p w14:paraId="0B1E3FAF" w14:textId="77777777" w:rsidR="00BF3FB4" w:rsidRPr="003A2F86" w:rsidRDefault="00BF3FB4" w:rsidP="00BF3FB4">
            <w:pPr>
              <w:spacing w:after="0" w:line="240" w:lineRule="auto"/>
              <w:rPr>
                <w:rFonts w:ascii="Arial" w:eastAsia="Calibri" w:hAnsi="Arial" w:cs="Arial"/>
                <w:sz w:val="20"/>
                <w:szCs w:val="20"/>
              </w:rPr>
            </w:pPr>
            <w:r w:rsidRPr="003A2F86">
              <w:rPr>
                <w:rFonts w:ascii="Arial" w:eastAsia="Calibri" w:hAnsi="Arial" w:cs="Arial"/>
                <w:sz w:val="20"/>
                <w:szCs w:val="20"/>
              </w:rPr>
              <w:t>DJELOKRUG RADA:</w:t>
            </w:r>
          </w:p>
        </w:tc>
        <w:tc>
          <w:tcPr>
            <w:tcW w:w="12500" w:type="dxa"/>
          </w:tcPr>
          <w:p w14:paraId="75127C48" w14:textId="77777777" w:rsidR="00BF3FB4" w:rsidRPr="00225B89" w:rsidRDefault="00BF3FB4" w:rsidP="00BF3FB4">
            <w:pPr>
              <w:spacing w:after="0" w:line="240" w:lineRule="auto"/>
              <w:jc w:val="both"/>
              <w:rPr>
                <w:rFonts w:ascii="Arial" w:hAnsi="Arial" w:cs="Arial"/>
                <w:sz w:val="20"/>
                <w:szCs w:val="20"/>
              </w:rPr>
            </w:pPr>
            <w:r w:rsidRPr="00225B89">
              <w:rPr>
                <w:rFonts w:ascii="Arial" w:eastAsia="Times New Roman" w:hAnsi="Arial" w:cs="Arial"/>
                <w:sz w:val="20"/>
                <w:szCs w:val="20"/>
              </w:rPr>
              <w:t xml:space="preserve">Javna ustanova Muzeji i galerije Konavala osnovana je 2. travnja 1997.g. na temelju Odluke Općinskog vijeća Općine Konavle o osnivanju javne ustanove Muzeji i galerije Konavala (Klasa:011-01/97-01/01,Ur.broj: 2117/02-OV-97-1 od 2.travnja 1997.g.) i suglasnosti Ministarstva kulture (klasa:612-05/96-01-191, urbroj:532-03-3/4-97-01). </w:t>
            </w:r>
            <w:r w:rsidRPr="00225B89">
              <w:rPr>
                <w:rFonts w:ascii="Arial" w:hAnsi="Arial" w:cs="Arial"/>
                <w:sz w:val="20"/>
                <w:szCs w:val="20"/>
              </w:rPr>
              <w:t>Ustanova obavlja svoju djelatnost, posluje i sudjeluje u pravnom prometu pod nazivom Muzeji i galerije Konavala.</w:t>
            </w:r>
            <w:bookmarkStart w:id="638" w:name="_Hlk222933145"/>
            <w:r w:rsidRPr="00225B89">
              <w:rPr>
                <w:rFonts w:ascii="Arial" w:hAnsi="Arial" w:cs="Arial"/>
                <w:sz w:val="20"/>
                <w:szCs w:val="20"/>
              </w:rPr>
              <w:t xml:space="preserve"> </w:t>
            </w:r>
          </w:p>
          <w:p w14:paraId="6136BB15" w14:textId="77777777" w:rsidR="00BF3FB4" w:rsidRPr="00225B89" w:rsidRDefault="00BF3FB4" w:rsidP="00BF3FB4">
            <w:pPr>
              <w:pStyle w:val="Obinitekst"/>
              <w:jc w:val="both"/>
              <w:rPr>
                <w:rFonts w:ascii="Arial" w:hAnsi="Arial" w:cs="Arial"/>
                <w:sz w:val="20"/>
                <w:szCs w:val="20"/>
              </w:rPr>
            </w:pPr>
            <w:r w:rsidRPr="00225B89">
              <w:rPr>
                <w:rFonts w:ascii="Arial" w:hAnsi="Arial" w:cs="Arial"/>
                <w:sz w:val="20"/>
                <w:szCs w:val="20"/>
              </w:rPr>
              <w:t xml:space="preserve">Osnivanje Ustanove temeljilo se na postojećim resursima koji su bili obuhvaćeni djelokrugom Zavičajne kuće Čilipi, rodne kuće i ateljea Vlaha Bukovca, u kojoj je prethodno djelovala Galerija Bukovac, te zbirkom rukotvorstva Vezilačke udruge Cavtat. Po završetku Domovinskog rata provedena je obnova Kuće Bukovac, koja je za javnost ponovno otvorena 2004. godine, dok je Zavičajni muzej Konavala započeo s radom 2007. </w:t>
            </w:r>
          </w:p>
          <w:p w14:paraId="0BB4083F" w14:textId="77777777" w:rsidR="00BF3FB4" w:rsidRPr="00225B89" w:rsidRDefault="00BF3FB4" w:rsidP="00BF3FB4">
            <w:pPr>
              <w:pStyle w:val="Obinitekst"/>
              <w:jc w:val="both"/>
              <w:rPr>
                <w:rFonts w:ascii="Arial" w:hAnsi="Arial" w:cs="Arial"/>
                <w:sz w:val="20"/>
                <w:szCs w:val="20"/>
              </w:rPr>
            </w:pPr>
            <w:r w:rsidRPr="00225B89">
              <w:rPr>
                <w:rFonts w:ascii="Arial" w:hAnsi="Arial" w:cs="Arial"/>
                <w:sz w:val="20"/>
                <w:szCs w:val="20"/>
              </w:rPr>
              <w:t>godine.</w:t>
            </w:r>
          </w:p>
          <w:bookmarkEnd w:id="638"/>
          <w:p w14:paraId="14AD16C8" w14:textId="77777777" w:rsidR="00BF3FB4" w:rsidRPr="00225B89" w:rsidRDefault="00BF3FB4" w:rsidP="00BF3FB4">
            <w:pPr>
              <w:spacing w:after="0" w:line="240" w:lineRule="auto"/>
              <w:jc w:val="both"/>
              <w:rPr>
                <w:rFonts w:ascii="Arial" w:eastAsia="Times New Roman" w:hAnsi="Arial" w:cs="Arial"/>
                <w:sz w:val="20"/>
                <w:szCs w:val="20"/>
              </w:rPr>
            </w:pPr>
            <w:r w:rsidRPr="00225B89">
              <w:rPr>
                <w:rFonts w:ascii="Arial" w:eastAsia="Times New Roman" w:hAnsi="Arial" w:cs="Arial"/>
                <w:sz w:val="20"/>
                <w:szCs w:val="20"/>
              </w:rPr>
              <w:lastRenderedPageBreak/>
              <w:t>Javna ustanova Muzeji i galerije Konavala obavlja svoju djelatnost, posluje i sudjeluje u pravnom prometu pod nazivom: Muzeji i galerije Konavala. Ustanova je osnovana sredstvima Zavičajne kuće Čilipi te rodne kuće i ateljea Vlaha Bukovca u kojoj je djelovala Galerija Bukovac te zbirkom rukotvorstva Vezilačke udruge Cavtat. Nakon Domovinskog rata Kuća Bukovac je obnovljena i otvorena za javnost 2004. godine, a Zavičajni muzej Konavala 2007. godine. Statut Muzeja donesen je 2016. godine na temelju Odluke o izmjenama i dopunama Odluke o osnivanju javne ustanove u kulturi Muzeji i galerije Konavala (klasa:021-05/02-16-154, urbroj:2117/02-01-16-1, od 31. ožujka 2016. godine) temeljem kojeg se Muzej organizira kroz ustrojbene jedinice, a sjedište muzeja je Gruda, Gruda 152. Ustrojbene jedinice su:</w:t>
            </w:r>
          </w:p>
          <w:p w14:paraId="4F4FAB7B" w14:textId="77777777" w:rsidR="00BF3FB4" w:rsidRPr="00225B89" w:rsidRDefault="00BF3FB4">
            <w:pPr>
              <w:numPr>
                <w:ilvl w:val="0"/>
                <w:numId w:val="36"/>
              </w:numPr>
              <w:spacing w:after="0" w:line="240" w:lineRule="auto"/>
              <w:contextualSpacing/>
              <w:jc w:val="both"/>
              <w:rPr>
                <w:rFonts w:ascii="Arial" w:eastAsia="Times New Roman" w:hAnsi="Arial" w:cs="Arial"/>
                <w:sz w:val="20"/>
                <w:szCs w:val="20"/>
              </w:rPr>
            </w:pPr>
            <w:r w:rsidRPr="00225B89">
              <w:rPr>
                <w:rFonts w:ascii="Arial" w:eastAsia="Times New Roman" w:hAnsi="Arial" w:cs="Arial"/>
                <w:sz w:val="20"/>
                <w:szCs w:val="20"/>
              </w:rPr>
              <w:t xml:space="preserve">Zavičajni muzej Konavala, Beroje 49, Čilipi </w:t>
            </w:r>
          </w:p>
          <w:p w14:paraId="3E7269B2" w14:textId="77777777" w:rsidR="00BF3FB4" w:rsidRPr="00225B89" w:rsidRDefault="00BF3FB4">
            <w:pPr>
              <w:numPr>
                <w:ilvl w:val="0"/>
                <w:numId w:val="36"/>
              </w:numPr>
              <w:spacing w:after="0" w:line="240" w:lineRule="auto"/>
              <w:contextualSpacing/>
              <w:jc w:val="both"/>
              <w:rPr>
                <w:rFonts w:ascii="Arial" w:eastAsia="Times New Roman" w:hAnsi="Arial" w:cs="Arial"/>
                <w:sz w:val="20"/>
                <w:szCs w:val="20"/>
              </w:rPr>
            </w:pPr>
            <w:r w:rsidRPr="00225B89">
              <w:rPr>
                <w:rFonts w:ascii="Arial" w:eastAsia="Times New Roman" w:hAnsi="Arial" w:cs="Arial"/>
                <w:sz w:val="20"/>
                <w:szCs w:val="20"/>
              </w:rPr>
              <w:t>Kuća Bukovac, Bukovčeva 5, Cavtat</w:t>
            </w:r>
          </w:p>
          <w:p w14:paraId="464DAD9A" w14:textId="77777777" w:rsidR="00BF3FB4" w:rsidRPr="00225B89" w:rsidRDefault="00BF3FB4">
            <w:pPr>
              <w:numPr>
                <w:ilvl w:val="0"/>
                <w:numId w:val="36"/>
              </w:numPr>
              <w:spacing w:after="0" w:line="240" w:lineRule="auto"/>
              <w:contextualSpacing/>
              <w:jc w:val="both"/>
              <w:rPr>
                <w:rFonts w:ascii="Arial" w:eastAsia="Times New Roman" w:hAnsi="Arial" w:cs="Arial"/>
                <w:sz w:val="20"/>
                <w:szCs w:val="20"/>
              </w:rPr>
            </w:pPr>
            <w:r w:rsidRPr="00225B89">
              <w:rPr>
                <w:rFonts w:ascii="Arial" w:eastAsia="Times New Roman" w:hAnsi="Arial" w:cs="Arial"/>
                <w:sz w:val="20"/>
                <w:szCs w:val="20"/>
              </w:rPr>
              <w:t>Odjel za arheologiju i spomeničku baštinu, Podvor 16, Pridvorje</w:t>
            </w:r>
          </w:p>
          <w:p w14:paraId="2D09C1EA" w14:textId="77777777" w:rsidR="00BF3FB4" w:rsidRPr="00225B89" w:rsidRDefault="00BF3FB4">
            <w:pPr>
              <w:numPr>
                <w:ilvl w:val="0"/>
                <w:numId w:val="36"/>
              </w:numPr>
              <w:spacing w:after="0" w:line="240" w:lineRule="auto"/>
              <w:contextualSpacing/>
              <w:jc w:val="both"/>
              <w:rPr>
                <w:rFonts w:ascii="Arial" w:eastAsia="Times New Roman" w:hAnsi="Arial" w:cs="Arial"/>
                <w:sz w:val="20"/>
                <w:szCs w:val="20"/>
              </w:rPr>
            </w:pPr>
            <w:r w:rsidRPr="00225B89">
              <w:rPr>
                <w:rFonts w:ascii="Arial" w:eastAsia="Times New Roman" w:hAnsi="Arial" w:cs="Arial"/>
                <w:sz w:val="20"/>
                <w:szCs w:val="20"/>
              </w:rPr>
              <w:t>Služba stručnih poslova, Gruda 152</w:t>
            </w:r>
          </w:p>
          <w:p w14:paraId="6A610718" w14:textId="77777777" w:rsidR="00BF3FB4" w:rsidRPr="00225B89" w:rsidRDefault="00BF3FB4">
            <w:pPr>
              <w:numPr>
                <w:ilvl w:val="0"/>
                <w:numId w:val="36"/>
              </w:numPr>
              <w:spacing w:after="0" w:line="240" w:lineRule="auto"/>
              <w:contextualSpacing/>
              <w:jc w:val="both"/>
              <w:rPr>
                <w:rFonts w:ascii="Arial" w:eastAsia="Times New Roman" w:hAnsi="Arial" w:cs="Arial"/>
                <w:sz w:val="20"/>
                <w:szCs w:val="20"/>
              </w:rPr>
            </w:pPr>
            <w:r w:rsidRPr="00225B89">
              <w:rPr>
                <w:rFonts w:ascii="Arial" w:eastAsia="Times New Roman" w:hAnsi="Arial" w:cs="Arial"/>
                <w:sz w:val="20"/>
                <w:szCs w:val="20"/>
              </w:rPr>
              <w:t>Služba općih poslova, Gruda 152</w:t>
            </w:r>
          </w:p>
          <w:p w14:paraId="275A22CD" w14:textId="77777777" w:rsidR="00BF3FB4" w:rsidRPr="00225B89" w:rsidRDefault="00BF3FB4" w:rsidP="00BF3FB4">
            <w:pPr>
              <w:pStyle w:val="StandardWeb"/>
              <w:spacing w:before="0" w:after="0"/>
              <w:jc w:val="both"/>
              <w:rPr>
                <w:rFonts w:ascii="Arial" w:hAnsi="Arial" w:cs="Arial"/>
                <w:sz w:val="20"/>
                <w:szCs w:val="20"/>
              </w:rPr>
            </w:pPr>
            <w:r w:rsidRPr="00225B89">
              <w:rPr>
                <w:rFonts w:ascii="Arial" w:hAnsi="Arial" w:cs="Arial"/>
                <w:sz w:val="20"/>
                <w:szCs w:val="20"/>
              </w:rPr>
              <w:t xml:space="preserve">Prema članku 17. stavku 1. i članku 31. </w:t>
            </w:r>
            <w:r w:rsidRPr="00225B89">
              <w:rPr>
                <w:rStyle w:val="whitespace-normal"/>
                <w:rFonts w:ascii="Arial" w:hAnsi="Arial" w:cs="Arial"/>
                <w:sz w:val="20"/>
                <w:szCs w:val="20"/>
              </w:rPr>
              <w:t>Zakon o muzejima</w:t>
            </w:r>
            <w:r w:rsidRPr="00225B89">
              <w:rPr>
                <w:rFonts w:ascii="Arial" w:hAnsi="Arial" w:cs="Arial"/>
                <w:sz w:val="20"/>
                <w:szCs w:val="20"/>
              </w:rPr>
              <w:t>, sredstva za rad muzeja osigurava osnivač, što uključuje sredstva za plaće zaposlenika, financiranje programa, materijalne izdatke, kao i sredstva namijenjena investicijama, investicijskom održavanju te otkupu muzejske građe.</w:t>
            </w:r>
          </w:p>
          <w:p w14:paraId="47F5C859" w14:textId="77777777" w:rsidR="00BF3FB4" w:rsidRPr="00225B89" w:rsidRDefault="00BF3FB4" w:rsidP="00BF3FB4">
            <w:pPr>
              <w:pStyle w:val="StandardWeb"/>
              <w:spacing w:before="0" w:after="0"/>
              <w:jc w:val="both"/>
              <w:rPr>
                <w:rFonts w:ascii="Arial" w:hAnsi="Arial" w:cs="Arial"/>
                <w:sz w:val="20"/>
                <w:szCs w:val="20"/>
              </w:rPr>
            </w:pPr>
            <w:r w:rsidRPr="00225B89">
              <w:rPr>
                <w:rFonts w:ascii="Arial" w:hAnsi="Arial" w:cs="Arial"/>
                <w:sz w:val="20"/>
                <w:szCs w:val="20"/>
              </w:rPr>
              <w:t>Sredstva za posebne programe osigurava osnivač, a u skladu sa svojim interesom mogu sudjelovati i nadležna tijela državne uprave, čiji djelokrug obuhvaća program koji se ostvaruje, te jedinice lokalne i područne (regionalne) samouprave na području realizacije programa, kao i druge pravne i fizičke osobe.</w:t>
            </w:r>
          </w:p>
          <w:p w14:paraId="3B13C8D0" w14:textId="77777777" w:rsidR="00BF3FB4" w:rsidRPr="00225B89" w:rsidRDefault="00BF3FB4" w:rsidP="00BF3FB4">
            <w:pPr>
              <w:pStyle w:val="StandardWeb"/>
              <w:jc w:val="both"/>
              <w:rPr>
                <w:rFonts w:ascii="Arial" w:hAnsi="Arial" w:cs="Arial"/>
                <w:sz w:val="20"/>
                <w:szCs w:val="20"/>
              </w:rPr>
            </w:pPr>
            <w:r w:rsidRPr="00225B89">
              <w:rPr>
                <w:rStyle w:val="whitespace-normal"/>
                <w:rFonts w:ascii="Arial" w:hAnsi="Arial" w:cs="Arial"/>
                <w:sz w:val="20"/>
                <w:szCs w:val="20"/>
              </w:rPr>
              <w:t>Ministarstvo nadležno za poslove kulture Republike Hrvatske</w:t>
            </w:r>
            <w:r w:rsidRPr="00225B89">
              <w:rPr>
                <w:rFonts w:ascii="Arial" w:hAnsi="Arial" w:cs="Arial"/>
                <w:sz w:val="20"/>
                <w:szCs w:val="20"/>
              </w:rPr>
              <w:t xml:space="preserve"> može sudjelovati u osiguranju sredstava za rad muzeja, osobito za redovito očuvanje i održavanje muzejskih prostora, predmeta i zbirki koje su u državnom vlasništvu, a nalaze se u muzejima čiji je osnivač jedinica lokalne ili područne (regionalne) samouprave, pri čemu se sklapa odgovarajući ugovor.</w:t>
            </w:r>
          </w:p>
          <w:p w14:paraId="010B9C2C" w14:textId="66293415" w:rsidR="00BF3FB4" w:rsidRPr="00225B89" w:rsidRDefault="00BF3FB4" w:rsidP="00BF3FB4">
            <w:pPr>
              <w:pStyle w:val="StandardWeb"/>
              <w:jc w:val="both"/>
              <w:rPr>
                <w:rFonts w:ascii="Arial" w:hAnsi="Arial" w:cs="Arial"/>
                <w:sz w:val="20"/>
                <w:szCs w:val="20"/>
              </w:rPr>
            </w:pPr>
            <w:r w:rsidRPr="00225B89">
              <w:rPr>
                <w:rFonts w:ascii="Arial" w:hAnsi="Arial" w:cs="Arial"/>
                <w:sz w:val="20"/>
                <w:szCs w:val="20"/>
              </w:rPr>
              <w:t>Osim navedenog, sredstva za rad muzeja ostvaruju se i iz vlastitih prihoda, sponzorstava, darovanja i na</w:t>
            </w:r>
            <w:r w:rsidR="00152E1E">
              <w:rPr>
                <w:rFonts w:ascii="Arial" w:hAnsi="Arial" w:cs="Arial"/>
                <w:sz w:val="20"/>
                <w:szCs w:val="20"/>
              </w:rPr>
              <w:t xml:space="preserve"> </w:t>
            </w:r>
            <w:r w:rsidRPr="00225B89">
              <w:rPr>
                <w:rFonts w:ascii="Arial" w:hAnsi="Arial" w:cs="Arial"/>
                <w:sz w:val="20"/>
                <w:szCs w:val="20"/>
              </w:rPr>
              <w:t xml:space="preserve">druge načine predviđene zakonskim propisima. Javna ustanova </w:t>
            </w:r>
            <w:r w:rsidRPr="00225B89">
              <w:rPr>
                <w:rStyle w:val="whitespace-normal"/>
                <w:rFonts w:ascii="Arial" w:hAnsi="Arial" w:cs="Arial"/>
                <w:sz w:val="20"/>
                <w:szCs w:val="20"/>
              </w:rPr>
              <w:t>Muzeji i galerije Konavala</w:t>
            </w:r>
            <w:r w:rsidRPr="00225B89">
              <w:rPr>
                <w:rFonts w:ascii="Arial" w:hAnsi="Arial" w:cs="Arial"/>
                <w:sz w:val="20"/>
                <w:szCs w:val="20"/>
              </w:rPr>
              <w:t xml:space="preserve"> obavlja muzejsku djelatnost te stručnu i tehničku zaštitu kulturne baštine na području </w:t>
            </w:r>
            <w:r w:rsidRPr="00225B89">
              <w:rPr>
                <w:rStyle w:val="whitespace-normal"/>
                <w:rFonts w:ascii="Arial" w:hAnsi="Arial" w:cs="Arial"/>
                <w:sz w:val="20"/>
                <w:szCs w:val="20"/>
              </w:rPr>
              <w:t>Konavle</w:t>
            </w:r>
            <w:r w:rsidRPr="00225B89">
              <w:rPr>
                <w:rFonts w:ascii="Arial" w:hAnsi="Arial" w:cs="Arial"/>
                <w:sz w:val="20"/>
                <w:szCs w:val="20"/>
              </w:rPr>
              <w:t xml:space="preserve"> u skladu s odredbama Zakona o muzejima i Zakona o zaštiti kulturne baštine.</w:t>
            </w:r>
          </w:p>
          <w:p w14:paraId="3572F7D6" w14:textId="77777777" w:rsidR="00BF3FB4" w:rsidRPr="00225B89" w:rsidRDefault="00BF3FB4" w:rsidP="00BF3FB4">
            <w:pPr>
              <w:pStyle w:val="StandardWeb"/>
              <w:rPr>
                <w:rFonts w:ascii="Arial" w:hAnsi="Arial" w:cs="Arial"/>
                <w:sz w:val="20"/>
                <w:szCs w:val="20"/>
              </w:rPr>
            </w:pPr>
            <w:r w:rsidRPr="00225B89">
              <w:rPr>
                <w:rStyle w:val="Naglaeno"/>
                <w:rFonts w:ascii="Arial" w:hAnsi="Arial" w:cs="Arial"/>
                <w:sz w:val="20"/>
                <w:szCs w:val="20"/>
              </w:rPr>
              <w:t>Djelatnost Muzeja obuhvaća:</w:t>
            </w:r>
          </w:p>
          <w:p w14:paraId="169A9AE5" w14:textId="77777777" w:rsidR="00BF3FB4" w:rsidRPr="00225B89" w:rsidRDefault="00BF3FB4">
            <w:pPr>
              <w:pStyle w:val="StandardWeb"/>
              <w:numPr>
                <w:ilvl w:val="0"/>
                <w:numId w:val="54"/>
              </w:numPr>
              <w:spacing w:before="100" w:beforeAutospacing="1" w:after="100" w:afterAutospacing="1"/>
              <w:rPr>
                <w:rFonts w:ascii="Arial" w:hAnsi="Arial" w:cs="Arial"/>
                <w:sz w:val="20"/>
                <w:szCs w:val="20"/>
              </w:rPr>
            </w:pPr>
            <w:r w:rsidRPr="00225B89">
              <w:rPr>
                <w:rFonts w:ascii="Arial" w:hAnsi="Arial" w:cs="Arial"/>
                <w:sz w:val="20"/>
                <w:szCs w:val="20"/>
              </w:rPr>
              <w:t>Sustavno prikupljanje, čuvanje i istraživanje civilizacijskih, kulturnih i prirodnih dobara od prapovijesnih vremena do suvremenog doba, uključujući njihovu stručnu i znanstvenu obradu, sistematizaciju u zbirke, trajnu zaštitu muzejske građe, muzejske dokumentacije, lokaliteta i nalazišta, te njihovo neposredno i posredno predočavanje javnosti putem stalnih i povremenih izložbi, kao i objavljivanje spoznaja o muzejskoj građi kroz stručne, znanstvene i druge medije.</w:t>
            </w:r>
          </w:p>
          <w:p w14:paraId="44351371" w14:textId="77777777" w:rsidR="00BF3FB4" w:rsidRPr="00225B89" w:rsidRDefault="00BF3FB4">
            <w:pPr>
              <w:pStyle w:val="StandardWeb"/>
              <w:numPr>
                <w:ilvl w:val="0"/>
                <w:numId w:val="54"/>
              </w:numPr>
              <w:spacing w:before="100" w:beforeAutospacing="1" w:after="100" w:afterAutospacing="1"/>
              <w:rPr>
                <w:rFonts w:ascii="Arial" w:hAnsi="Arial" w:cs="Arial"/>
                <w:sz w:val="20"/>
                <w:szCs w:val="20"/>
              </w:rPr>
            </w:pPr>
            <w:r w:rsidRPr="00225B89">
              <w:rPr>
                <w:rFonts w:ascii="Arial" w:hAnsi="Arial" w:cs="Arial"/>
                <w:sz w:val="20"/>
                <w:szCs w:val="20"/>
              </w:rPr>
              <w:t xml:space="preserve">Istraživanje i prezentiranje graditeljskog nasljeđa </w:t>
            </w:r>
            <w:r w:rsidRPr="00225B89">
              <w:rPr>
                <w:rStyle w:val="whitespace-normal"/>
                <w:rFonts w:ascii="Arial" w:hAnsi="Arial" w:cs="Arial"/>
                <w:sz w:val="20"/>
                <w:szCs w:val="20"/>
              </w:rPr>
              <w:t>Konavle</w:t>
            </w:r>
            <w:r w:rsidRPr="00225B89">
              <w:rPr>
                <w:rFonts w:ascii="Arial" w:hAnsi="Arial" w:cs="Arial"/>
                <w:sz w:val="20"/>
                <w:szCs w:val="20"/>
              </w:rPr>
              <w:t>.</w:t>
            </w:r>
          </w:p>
          <w:p w14:paraId="43379E22" w14:textId="77777777" w:rsidR="00BF3FB4" w:rsidRPr="00225B89" w:rsidRDefault="00BF3FB4">
            <w:pPr>
              <w:pStyle w:val="StandardWeb"/>
              <w:numPr>
                <w:ilvl w:val="0"/>
                <w:numId w:val="54"/>
              </w:numPr>
              <w:spacing w:before="100" w:beforeAutospacing="1" w:after="100" w:afterAutospacing="1"/>
              <w:rPr>
                <w:rFonts w:ascii="Arial" w:hAnsi="Arial" w:cs="Arial"/>
                <w:sz w:val="20"/>
                <w:szCs w:val="20"/>
              </w:rPr>
            </w:pPr>
            <w:r w:rsidRPr="00225B89">
              <w:rPr>
                <w:rFonts w:ascii="Arial" w:hAnsi="Arial" w:cs="Arial"/>
                <w:sz w:val="20"/>
                <w:szCs w:val="20"/>
              </w:rPr>
              <w:t>Organiziranje predavanja, tečajeva, seminara i drugih oblika edukativnog rada.</w:t>
            </w:r>
          </w:p>
          <w:p w14:paraId="47BA4E26" w14:textId="77777777" w:rsidR="00BF3FB4" w:rsidRPr="00225B89" w:rsidRDefault="00BF3FB4">
            <w:pPr>
              <w:pStyle w:val="StandardWeb"/>
              <w:numPr>
                <w:ilvl w:val="0"/>
                <w:numId w:val="54"/>
              </w:numPr>
              <w:spacing w:before="100" w:beforeAutospacing="1" w:after="100" w:afterAutospacing="1"/>
              <w:rPr>
                <w:rFonts w:ascii="Arial" w:hAnsi="Arial" w:cs="Arial"/>
                <w:sz w:val="20"/>
                <w:szCs w:val="20"/>
              </w:rPr>
            </w:pPr>
            <w:r w:rsidRPr="00225B89">
              <w:rPr>
                <w:rFonts w:ascii="Arial" w:hAnsi="Arial" w:cs="Arial"/>
                <w:sz w:val="20"/>
                <w:szCs w:val="20"/>
              </w:rPr>
              <w:t>Pripremanje i izdavanje kataloga te drugih stručnih i znanstvenih publikacija.</w:t>
            </w:r>
          </w:p>
          <w:p w14:paraId="5154F2CD" w14:textId="77777777" w:rsidR="00BF3FB4" w:rsidRPr="00225B89" w:rsidRDefault="00BF3FB4">
            <w:pPr>
              <w:pStyle w:val="StandardWeb"/>
              <w:numPr>
                <w:ilvl w:val="0"/>
                <w:numId w:val="54"/>
              </w:numPr>
              <w:spacing w:before="100" w:beforeAutospacing="1" w:after="100" w:afterAutospacing="1"/>
              <w:rPr>
                <w:rFonts w:ascii="Arial" w:hAnsi="Arial" w:cs="Arial"/>
                <w:sz w:val="20"/>
                <w:szCs w:val="20"/>
              </w:rPr>
            </w:pPr>
            <w:r w:rsidRPr="00225B89">
              <w:rPr>
                <w:rFonts w:ascii="Arial" w:hAnsi="Arial" w:cs="Arial"/>
                <w:sz w:val="20"/>
                <w:szCs w:val="20"/>
              </w:rPr>
              <w:t xml:space="preserve">Održavanje nematerijalne baštine </w:t>
            </w:r>
            <w:r w:rsidRPr="00225B89">
              <w:rPr>
                <w:rStyle w:val="whitespace-normal"/>
                <w:rFonts w:ascii="Arial" w:hAnsi="Arial" w:cs="Arial"/>
                <w:sz w:val="20"/>
                <w:szCs w:val="20"/>
              </w:rPr>
              <w:t>Konavle</w:t>
            </w:r>
            <w:r w:rsidRPr="00225B89">
              <w:rPr>
                <w:rFonts w:ascii="Arial" w:hAnsi="Arial" w:cs="Arial"/>
                <w:sz w:val="20"/>
                <w:szCs w:val="20"/>
              </w:rPr>
              <w:t>.</w:t>
            </w:r>
          </w:p>
          <w:p w14:paraId="42F38AFF" w14:textId="77777777" w:rsidR="00BF3FB4" w:rsidRPr="00225B89" w:rsidRDefault="00BF3FB4">
            <w:pPr>
              <w:pStyle w:val="StandardWeb"/>
              <w:numPr>
                <w:ilvl w:val="0"/>
                <w:numId w:val="54"/>
              </w:numPr>
              <w:spacing w:before="100" w:beforeAutospacing="1" w:after="100" w:afterAutospacing="1"/>
              <w:rPr>
                <w:rFonts w:ascii="Arial" w:hAnsi="Arial" w:cs="Arial"/>
                <w:sz w:val="20"/>
                <w:szCs w:val="20"/>
              </w:rPr>
            </w:pPr>
            <w:r w:rsidRPr="00225B89">
              <w:rPr>
                <w:rFonts w:ascii="Arial" w:hAnsi="Arial" w:cs="Arial"/>
                <w:sz w:val="20"/>
                <w:szCs w:val="20"/>
              </w:rPr>
              <w:t>Pripremanje i izdavanje promidžbenih materijala za upoznavanje i promidžbu muzejske djelatnosti i muzejske građe.</w:t>
            </w:r>
          </w:p>
          <w:p w14:paraId="14284164" w14:textId="77777777" w:rsidR="00BF3FB4" w:rsidRPr="00225B89" w:rsidRDefault="00BF3FB4">
            <w:pPr>
              <w:pStyle w:val="StandardWeb"/>
              <w:numPr>
                <w:ilvl w:val="0"/>
                <w:numId w:val="54"/>
              </w:numPr>
              <w:spacing w:before="100" w:beforeAutospacing="1" w:after="100" w:afterAutospacing="1"/>
              <w:rPr>
                <w:rFonts w:ascii="Arial" w:hAnsi="Arial" w:cs="Arial"/>
                <w:sz w:val="20"/>
                <w:szCs w:val="20"/>
              </w:rPr>
            </w:pPr>
            <w:r w:rsidRPr="00225B89">
              <w:rPr>
                <w:rFonts w:ascii="Arial" w:hAnsi="Arial" w:cs="Arial"/>
                <w:sz w:val="20"/>
                <w:szCs w:val="20"/>
              </w:rPr>
              <w:t xml:space="preserve">Stručnu i tehničku zaštitu pokretne i nepokretne kulturne baštine na području </w:t>
            </w:r>
            <w:r w:rsidRPr="00225B89">
              <w:rPr>
                <w:rStyle w:val="whitespace-normal"/>
                <w:rFonts w:ascii="Arial" w:hAnsi="Arial" w:cs="Arial"/>
                <w:sz w:val="20"/>
                <w:szCs w:val="20"/>
              </w:rPr>
              <w:t>Konavle</w:t>
            </w:r>
            <w:r w:rsidRPr="00225B89">
              <w:rPr>
                <w:rFonts w:ascii="Arial" w:hAnsi="Arial" w:cs="Arial"/>
                <w:sz w:val="20"/>
                <w:szCs w:val="20"/>
              </w:rPr>
              <w:t xml:space="preserve"> u suradnji s </w:t>
            </w:r>
            <w:r w:rsidRPr="00225B89">
              <w:rPr>
                <w:rStyle w:val="whitespace-normal"/>
                <w:rFonts w:ascii="Arial" w:hAnsi="Arial" w:cs="Arial"/>
                <w:sz w:val="20"/>
                <w:szCs w:val="20"/>
              </w:rPr>
              <w:t>Ministarstvo kulture i medija Republike Hrvatske</w:t>
            </w:r>
            <w:r w:rsidRPr="00225B89">
              <w:rPr>
                <w:rFonts w:ascii="Arial" w:hAnsi="Arial" w:cs="Arial"/>
                <w:sz w:val="20"/>
                <w:szCs w:val="20"/>
              </w:rPr>
              <w:t xml:space="preserve"> i Konzervatorskim odjelom u Dubrovniku.</w:t>
            </w:r>
          </w:p>
          <w:p w14:paraId="67614A41" w14:textId="77777777" w:rsidR="00BF3FB4" w:rsidRPr="00225B89" w:rsidRDefault="00BF3FB4">
            <w:pPr>
              <w:pStyle w:val="StandardWeb"/>
              <w:numPr>
                <w:ilvl w:val="0"/>
                <w:numId w:val="54"/>
              </w:numPr>
              <w:spacing w:before="100" w:beforeAutospacing="1" w:after="100" w:afterAutospacing="1"/>
              <w:rPr>
                <w:rFonts w:ascii="Arial" w:hAnsi="Arial" w:cs="Arial"/>
                <w:sz w:val="20"/>
                <w:szCs w:val="20"/>
              </w:rPr>
            </w:pPr>
            <w:r w:rsidRPr="00225B89">
              <w:rPr>
                <w:rFonts w:ascii="Arial" w:hAnsi="Arial" w:cs="Arial"/>
                <w:sz w:val="20"/>
                <w:szCs w:val="20"/>
              </w:rPr>
              <w:t xml:space="preserve">Organiziranje kulturnih manifestacija na području </w:t>
            </w:r>
            <w:r w:rsidRPr="00225B89">
              <w:rPr>
                <w:rStyle w:val="whitespace-normal"/>
                <w:rFonts w:ascii="Arial" w:hAnsi="Arial" w:cs="Arial"/>
                <w:sz w:val="20"/>
                <w:szCs w:val="20"/>
              </w:rPr>
              <w:t>Konavle</w:t>
            </w:r>
            <w:r w:rsidRPr="00225B89">
              <w:rPr>
                <w:rFonts w:ascii="Arial" w:hAnsi="Arial" w:cs="Arial"/>
                <w:sz w:val="20"/>
                <w:szCs w:val="20"/>
              </w:rPr>
              <w:t>.</w:t>
            </w:r>
          </w:p>
          <w:p w14:paraId="1A6A90E8" w14:textId="77777777" w:rsidR="00BF3FB4" w:rsidRPr="00225B89" w:rsidRDefault="00BF3FB4" w:rsidP="00BF3FB4">
            <w:pPr>
              <w:pStyle w:val="StandardWeb"/>
              <w:rPr>
                <w:rFonts w:ascii="Arial" w:hAnsi="Arial" w:cs="Arial"/>
                <w:sz w:val="20"/>
                <w:szCs w:val="20"/>
              </w:rPr>
            </w:pPr>
            <w:r w:rsidRPr="00225B89">
              <w:rPr>
                <w:rStyle w:val="whitespace-normal"/>
                <w:rFonts w:ascii="Arial" w:hAnsi="Arial" w:cs="Arial"/>
                <w:sz w:val="20"/>
                <w:szCs w:val="20"/>
              </w:rPr>
              <w:lastRenderedPageBreak/>
              <w:t>Ustanova Muzeji i galerije Konavala</w:t>
            </w:r>
            <w:r w:rsidRPr="00225B89">
              <w:rPr>
                <w:rFonts w:ascii="Arial" w:hAnsi="Arial" w:cs="Arial"/>
                <w:sz w:val="20"/>
                <w:szCs w:val="20"/>
              </w:rPr>
              <w:t xml:space="preserve"> obavlja svoju djelatnost i skrbi o muzejskoj građi u sljedećim muzejskim jedinicama:</w:t>
            </w:r>
          </w:p>
          <w:p w14:paraId="0545E056" w14:textId="77777777" w:rsidR="00BF3FB4" w:rsidRPr="00225B89" w:rsidRDefault="00BF3FB4">
            <w:pPr>
              <w:pStyle w:val="StandardWeb"/>
              <w:numPr>
                <w:ilvl w:val="0"/>
                <w:numId w:val="55"/>
              </w:numPr>
              <w:spacing w:before="100" w:beforeAutospacing="1" w:after="100" w:afterAutospacing="1"/>
              <w:rPr>
                <w:rFonts w:ascii="Arial" w:hAnsi="Arial" w:cs="Arial"/>
                <w:sz w:val="20"/>
                <w:szCs w:val="20"/>
              </w:rPr>
            </w:pPr>
            <w:r w:rsidRPr="00225B89">
              <w:rPr>
                <w:rStyle w:val="Naglaeno"/>
                <w:rFonts w:ascii="Arial" w:hAnsi="Arial" w:cs="Arial"/>
                <w:sz w:val="20"/>
                <w:szCs w:val="20"/>
              </w:rPr>
              <w:t>Kuća Bukovac u Cavtatu</w:t>
            </w:r>
            <w:r w:rsidRPr="00225B89">
              <w:rPr>
                <w:rFonts w:ascii="Arial" w:hAnsi="Arial" w:cs="Arial"/>
                <w:sz w:val="20"/>
                <w:szCs w:val="20"/>
              </w:rPr>
              <w:t xml:space="preserve">, rodna kuća i muzej slikara </w:t>
            </w:r>
            <w:r w:rsidRPr="00225B89">
              <w:rPr>
                <w:rStyle w:val="whitespace-normal"/>
                <w:rFonts w:ascii="Arial" w:hAnsi="Arial" w:cs="Arial"/>
                <w:sz w:val="20"/>
                <w:szCs w:val="20"/>
              </w:rPr>
              <w:t>Vlaha Bukovca</w:t>
            </w:r>
            <w:r w:rsidRPr="00225B89">
              <w:rPr>
                <w:rFonts w:ascii="Arial" w:hAnsi="Arial" w:cs="Arial"/>
                <w:sz w:val="20"/>
                <w:szCs w:val="20"/>
              </w:rPr>
              <w:t>;</w:t>
            </w:r>
          </w:p>
          <w:p w14:paraId="64BC04BA" w14:textId="77777777" w:rsidR="00BF3FB4" w:rsidRPr="00225B89" w:rsidRDefault="00BF3FB4">
            <w:pPr>
              <w:pStyle w:val="StandardWeb"/>
              <w:numPr>
                <w:ilvl w:val="0"/>
                <w:numId w:val="55"/>
              </w:numPr>
              <w:spacing w:before="100" w:beforeAutospacing="1" w:after="100" w:afterAutospacing="1"/>
              <w:rPr>
                <w:rFonts w:ascii="Arial" w:hAnsi="Arial" w:cs="Arial"/>
                <w:sz w:val="20"/>
                <w:szCs w:val="20"/>
              </w:rPr>
            </w:pPr>
            <w:r w:rsidRPr="00225B89">
              <w:rPr>
                <w:rStyle w:val="Naglaeno"/>
                <w:rFonts w:ascii="Arial" w:hAnsi="Arial" w:cs="Arial"/>
                <w:sz w:val="20"/>
                <w:szCs w:val="20"/>
              </w:rPr>
              <w:t>Zavičajni muzej Konavala u Čilipima</w:t>
            </w:r>
            <w:r w:rsidRPr="00225B89">
              <w:rPr>
                <w:rFonts w:ascii="Arial" w:hAnsi="Arial" w:cs="Arial"/>
                <w:sz w:val="20"/>
                <w:szCs w:val="20"/>
              </w:rPr>
              <w:t>;</w:t>
            </w:r>
          </w:p>
          <w:p w14:paraId="1C0E4A56" w14:textId="77777777" w:rsidR="00BF3FB4" w:rsidRPr="00225B89" w:rsidRDefault="00BF3FB4">
            <w:pPr>
              <w:pStyle w:val="StandardWeb"/>
              <w:numPr>
                <w:ilvl w:val="0"/>
                <w:numId w:val="55"/>
              </w:numPr>
              <w:spacing w:before="100" w:beforeAutospacing="1" w:after="100" w:afterAutospacing="1"/>
              <w:rPr>
                <w:rFonts w:ascii="Arial" w:hAnsi="Arial" w:cs="Arial"/>
                <w:sz w:val="20"/>
                <w:szCs w:val="20"/>
              </w:rPr>
            </w:pPr>
            <w:r w:rsidRPr="00225B89">
              <w:rPr>
                <w:rStyle w:val="Naglaeno"/>
                <w:rFonts w:ascii="Arial" w:hAnsi="Arial" w:cs="Arial"/>
                <w:sz w:val="20"/>
                <w:szCs w:val="20"/>
              </w:rPr>
              <w:t>Mauzolej obitelji Račić u Cavtatu</w:t>
            </w:r>
            <w:r w:rsidRPr="00225B89">
              <w:rPr>
                <w:rFonts w:ascii="Arial" w:hAnsi="Arial" w:cs="Arial"/>
                <w:sz w:val="20"/>
                <w:szCs w:val="20"/>
              </w:rPr>
              <w:t>;</w:t>
            </w:r>
          </w:p>
          <w:p w14:paraId="6B4674E5" w14:textId="77777777" w:rsidR="00BF3FB4" w:rsidRPr="00225B89" w:rsidRDefault="00BF3FB4">
            <w:pPr>
              <w:pStyle w:val="StandardWeb"/>
              <w:numPr>
                <w:ilvl w:val="0"/>
                <w:numId w:val="55"/>
              </w:numPr>
              <w:spacing w:before="100" w:beforeAutospacing="1" w:after="100" w:afterAutospacing="1"/>
              <w:rPr>
                <w:rFonts w:ascii="Arial" w:hAnsi="Arial" w:cs="Arial"/>
                <w:sz w:val="20"/>
                <w:szCs w:val="20"/>
              </w:rPr>
            </w:pPr>
            <w:r w:rsidRPr="00225B89">
              <w:rPr>
                <w:rStyle w:val="Naglaeno"/>
                <w:rFonts w:ascii="Arial" w:hAnsi="Arial" w:cs="Arial"/>
                <w:sz w:val="20"/>
                <w:szCs w:val="20"/>
              </w:rPr>
              <w:t>Prizemlje Franjevačkog samostana u Pridvorju</w:t>
            </w:r>
            <w:r w:rsidRPr="00225B89">
              <w:rPr>
                <w:rFonts w:ascii="Arial" w:hAnsi="Arial" w:cs="Arial"/>
                <w:sz w:val="20"/>
                <w:szCs w:val="20"/>
              </w:rPr>
              <w:t>, gdje je smješten Odjel za arheologiju i spomeničku baštinu;</w:t>
            </w:r>
          </w:p>
          <w:p w14:paraId="08FF631D" w14:textId="77777777" w:rsidR="00BF3FB4" w:rsidRPr="00225B89" w:rsidRDefault="00BF3FB4">
            <w:pPr>
              <w:pStyle w:val="StandardWeb"/>
              <w:numPr>
                <w:ilvl w:val="0"/>
                <w:numId w:val="55"/>
              </w:numPr>
              <w:spacing w:before="100" w:beforeAutospacing="1" w:after="100" w:afterAutospacing="1"/>
              <w:rPr>
                <w:rFonts w:ascii="Arial" w:hAnsi="Arial" w:cs="Arial"/>
                <w:sz w:val="20"/>
                <w:szCs w:val="20"/>
              </w:rPr>
            </w:pPr>
            <w:r w:rsidRPr="00225B89">
              <w:rPr>
                <w:rStyle w:val="Naglaeno"/>
                <w:rFonts w:ascii="Arial" w:hAnsi="Arial" w:cs="Arial"/>
                <w:sz w:val="20"/>
                <w:szCs w:val="20"/>
              </w:rPr>
              <w:t>Prizemlje zgrade Doma u Pločicama</w:t>
            </w:r>
            <w:r w:rsidRPr="00225B89">
              <w:rPr>
                <w:rFonts w:ascii="Arial" w:hAnsi="Arial" w:cs="Arial"/>
                <w:sz w:val="20"/>
                <w:szCs w:val="20"/>
              </w:rPr>
              <w:t>, gdje se nalazi čuvaonica muzejske građe;</w:t>
            </w:r>
          </w:p>
          <w:p w14:paraId="488A14FE" w14:textId="77777777" w:rsidR="00BF3FB4" w:rsidRPr="00225B89" w:rsidRDefault="00BF3FB4">
            <w:pPr>
              <w:pStyle w:val="StandardWeb"/>
              <w:numPr>
                <w:ilvl w:val="0"/>
                <w:numId w:val="55"/>
              </w:numPr>
              <w:spacing w:before="100" w:beforeAutospacing="1" w:after="100" w:afterAutospacing="1"/>
              <w:rPr>
                <w:rFonts w:ascii="Arial" w:hAnsi="Arial" w:cs="Arial"/>
                <w:sz w:val="20"/>
                <w:szCs w:val="20"/>
              </w:rPr>
            </w:pPr>
            <w:r w:rsidRPr="00225B89">
              <w:rPr>
                <w:rStyle w:val="Naglaeno"/>
                <w:rFonts w:ascii="Arial" w:hAnsi="Arial" w:cs="Arial"/>
                <w:sz w:val="20"/>
                <w:szCs w:val="20"/>
              </w:rPr>
              <w:t>Zgrada Doma kulture, Gruda 152</w:t>
            </w:r>
            <w:r w:rsidRPr="00225B89">
              <w:rPr>
                <w:rFonts w:ascii="Arial" w:hAnsi="Arial" w:cs="Arial"/>
                <w:sz w:val="20"/>
                <w:szCs w:val="20"/>
              </w:rPr>
              <w:t>, u kojoj je smješten Odjel općih i stručnih poslova.</w:t>
            </w:r>
          </w:p>
          <w:p w14:paraId="74543CB8" w14:textId="77777777" w:rsidR="00BF3FB4" w:rsidRPr="00225B89" w:rsidRDefault="00BF3FB4" w:rsidP="00BF3FB4">
            <w:pPr>
              <w:pStyle w:val="StandardWeb"/>
              <w:rPr>
                <w:rFonts w:ascii="Arial" w:hAnsi="Arial" w:cs="Arial"/>
                <w:sz w:val="20"/>
                <w:szCs w:val="20"/>
              </w:rPr>
            </w:pPr>
            <w:r w:rsidRPr="00225B89">
              <w:rPr>
                <w:rFonts w:ascii="Arial" w:hAnsi="Arial" w:cs="Arial"/>
                <w:sz w:val="20"/>
                <w:szCs w:val="20"/>
              </w:rPr>
              <w:t xml:space="preserve">Osim toga, Muzej skrbi o arheološkim lokalitetima </w:t>
            </w:r>
            <w:r w:rsidRPr="00225B89">
              <w:rPr>
                <w:rStyle w:val="Naglaeno"/>
                <w:rFonts w:ascii="Arial" w:hAnsi="Arial" w:cs="Arial"/>
                <w:sz w:val="20"/>
                <w:szCs w:val="20"/>
              </w:rPr>
              <w:t>Jagnjilo i</w:t>
            </w:r>
            <w:r w:rsidRPr="00225B89">
              <w:rPr>
                <w:rFonts w:ascii="Arial" w:hAnsi="Arial" w:cs="Arial"/>
                <w:b/>
                <w:bCs/>
                <w:sz w:val="20"/>
                <w:szCs w:val="20"/>
              </w:rPr>
              <w:t xml:space="preserve"> </w:t>
            </w:r>
            <w:r w:rsidRPr="00225B89">
              <w:rPr>
                <w:rStyle w:val="Naglaeno"/>
                <w:rFonts w:ascii="Arial" w:hAnsi="Arial" w:cs="Arial"/>
                <w:sz w:val="20"/>
                <w:szCs w:val="20"/>
              </w:rPr>
              <w:t>sv. Barbara</w:t>
            </w:r>
            <w:r w:rsidRPr="00225B89">
              <w:rPr>
                <w:rFonts w:ascii="Arial" w:hAnsi="Arial" w:cs="Arial"/>
                <w:sz w:val="20"/>
                <w:szCs w:val="20"/>
              </w:rPr>
              <w:t xml:space="preserve">, te povremeno nadzire i druge zaštićene lokalitete na području </w:t>
            </w:r>
            <w:r w:rsidRPr="00225B89">
              <w:rPr>
                <w:rStyle w:val="whitespace-normal"/>
                <w:rFonts w:ascii="Arial" w:hAnsi="Arial" w:cs="Arial"/>
                <w:sz w:val="20"/>
                <w:szCs w:val="20"/>
              </w:rPr>
              <w:t>Konavala</w:t>
            </w:r>
            <w:r w:rsidRPr="00225B89">
              <w:rPr>
                <w:rFonts w:ascii="Arial" w:hAnsi="Arial" w:cs="Arial"/>
                <w:sz w:val="20"/>
                <w:szCs w:val="20"/>
              </w:rPr>
              <w:t>.</w:t>
            </w:r>
          </w:p>
          <w:p w14:paraId="40E3C194" w14:textId="77777777" w:rsidR="00BF3FB4" w:rsidRPr="00225B89" w:rsidRDefault="00BF3FB4" w:rsidP="00BF3FB4">
            <w:pPr>
              <w:spacing w:after="0" w:line="240" w:lineRule="auto"/>
              <w:jc w:val="both"/>
              <w:rPr>
                <w:rFonts w:ascii="Arial" w:eastAsia="Times New Roman" w:hAnsi="Arial" w:cs="Arial"/>
                <w:iCs/>
                <w:sz w:val="20"/>
                <w:szCs w:val="20"/>
                <w:u w:val="single"/>
              </w:rPr>
            </w:pPr>
            <w:r w:rsidRPr="00225B89">
              <w:rPr>
                <w:rFonts w:ascii="Arial" w:eastAsia="Times New Roman" w:hAnsi="Arial" w:cs="Arial"/>
                <w:b/>
                <w:iCs/>
                <w:sz w:val="20"/>
                <w:szCs w:val="20"/>
                <w:u w:val="single"/>
              </w:rPr>
              <w:t xml:space="preserve">Zavičajni muzej Konavala, </w:t>
            </w:r>
            <w:r w:rsidRPr="00225B89">
              <w:rPr>
                <w:rFonts w:ascii="Arial" w:eastAsia="Times New Roman" w:hAnsi="Arial" w:cs="Arial"/>
                <w:iCs/>
                <w:sz w:val="20"/>
                <w:szCs w:val="20"/>
                <w:u w:val="single"/>
              </w:rPr>
              <w:t xml:space="preserve"> Beroje 49, Čilipi</w:t>
            </w:r>
          </w:p>
          <w:p w14:paraId="7C861637" w14:textId="77777777" w:rsidR="00BF3FB4" w:rsidRPr="00225B89" w:rsidRDefault="00BF3FB4" w:rsidP="00BF3FB4">
            <w:pPr>
              <w:spacing w:after="0" w:line="240" w:lineRule="auto"/>
              <w:jc w:val="both"/>
              <w:rPr>
                <w:rFonts w:ascii="Arial" w:eastAsia="Times New Roman" w:hAnsi="Arial" w:cs="Arial"/>
                <w:iCs/>
                <w:sz w:val="20"/>
                <w:szCs w:val="20"/>
              </w:rPr>
            </w:pPr>
          </w:p>
          <w:p w14:paraId="3F0F38D0" w14:textId="77777777" w:rsidR="00BF3FB4" w:rsidRPr="00225B89" w:rsidRDefault="00BF3FB4" w:rsidP="00BF3FB4">
            <w:pPr>
              <w:spacing w:after="0" w:line="240" w:lineRule="auto"/>
              <w:jc w:val="both"/>
              <w:rPr>
                <w:rFonts w:ascii="Arial" w:eastAsia="Times New Roman" w:hAnsi="Arial" w:cs="Arial"/>
                <w:iCs/>
                <w:sz w:val="20"/>
                <w:szCs w:val="20"/>
                <w:u w:val="single"/>
              </w:rPr>
            </w:pPr>
            <w:r w:rsidRPr="00225B89">
              <w:rPr>
                <w:rFonts w:ascii="Arial" w:eastAsia="Times New Roman" w:hAnsi="Arial" w:cs="Arial"/>
                <w:iCs/>
                <w:sz w:val="20"/>
                <w:szCs w:val="20"/>
              </w:rPr>
              <w:t>Zavičajni muzej Konavala je etnografski muzej u kojem se prikuplja, čuva, izlaže, proučava, objavljuje i popularizira etnografska građa, odnosno predmeti koji svjedoče o načinu života i kulturi stanovnika s područja Konavala.</w:t>
            </w:r>
          </w:p>
          <w:p w14:paraId="46034EB7" w14:textId="77777777" w:rsidR="00BF3FB4" w:rsidRPr="00225B89" w:rsidRDefault="00BF3FB4" w:rsidP="00BF3FB4">
            <w:pPr>
              <w:spacing w:after="0" w:line="240" w:lineRule="auto"/>
              <w:jc w:val="both"/>
              <w:rPr>
                <w:rFonts w:ascii="Arial" w:eastAsia="Times New Roman" w:hAnsi="Arial" w:cs="Arial"/>
                <w:iCs/>
                <w:sz w:val="20"/>
                <w:szCs w:val="20"/>
              </w:rPr>
            </w:pPr>
            <w:r w:rsidRPr="00225B89">
              <w:rPr>
                <w:rFonts w:ascii="Arial" w:eastAsia="Times New Roman" w:hAnsi="Arial" w:cs="Arial"/>
                <w:iCs/>
                <w:sz w:val="20"/>
                <w:szCs w:val="20"/>
              </w:rPr>
              <w:t>Prema sadržaju zbirki Zavičajni muzej pretežito čuva tekstilnu građu u obliku tradicijskog odijevanja, rukotvorstva te lokalne proizvodnje tekstilnih vlakana Uključivanjem lokalnog stanovništva kroz raznovrsne programe nastoji se poticati zajednicu na zajedničko održanje nematerijalne baštine Konavala.</w:t>
            </w:r>
          </w:p>
          <w:p w14:paraId="07EFA371" w14:textId="77777777" w:rsidR="00BF3FB4" w:rsidRPr="00225B89" w:rsidRDefault="00BF3FB4" w:rsidP="00BF3FB4">
            <w:pPr>
              <w:spacing w:after="0" w:line="240" w:lineRule="auto"/>
              <w:jc w:val="both"/>
              <w:rPr>
                <w:rFonts w:ascii="Arial" w:eastAsia="Times New Roman" w:hAnsi="Arial" w:cs="Arial"/>
                <w:iCs/>
                <w:sz w:val="20"/>
                <w:szCs w:val="20"/>
              </w:rPr>
            </w:pPr>
            <w:r w:rsidRPr="00225B89">
              <w:rPr>
                <w:rFonts w:ascii="Arial" w:hAnsi="Arial" w:cs="Arial"/>
                <w:sz w:val="20"/>
                <w:szCs w:val="20"/>
              </w:rPr>
              <w:t xml:space="preserve">Stalni muzejski postav koncipiran je na dvije razine: u prizemlju je predstavljeno djelovanje </w:t>
            </w:r>
            <w:r w:rsidRPr="00225B89">
              <w:rPr>
                <w:rStyle w:val="whitespace-normal"/>
                <w:rFonts w:ascii="Arial" w:hAnsi="Arial" w:cs="Arial"/>
                <w:sz w:val="20"/>
                <w:szCs w:val="20"/>
              </w:rPr>
              <w:t>Vezilačke udruge Cavtat</w:t>
            </w:r>
            <w:r w:rsidRPr="00225B89">
              <w:rPr>
                <w:rFonts w:ascii="Arial" w:hAnsi="Arial" w:cs="Arial"/>
                <w:sz w:val="20"/>
                <w:szCs w:val="20"/>
              </w:rPr>
              <w:t>, dok je na prvom katu prikazan razvoj i oblikovanje tradicijskog konavoskog odijevanja kroz povijest.</w:t>
            </w:r>
          </w:p>
          <w:p w14:paraId="0F5DDB2E" w14:textId="77777777" w:rsidR="00BF3FB4" w:rsidRPr="00225B89" w:rsidRDefault="00BF3FB4" w:rsidP="00BF3FB4">
            <w:pPr>
              <w:spacing w:after="0" w:line="240" w:lineRule="auto"/>
              <w:jc w:val="both"/>
              <w:rPr>
                <w:rFonts w:ascii="Arial" w:eastAsia="Times New Roman" w:hAnsi="Arial" w:cs="Arial"/>
                <w:iCs/>
                <w:sz w:val="20"/>
                <w:szCs w:val="20"/>
              </w:rPr>
            </w:pPr>
          </w:p>
          <w:p w14:paraId="1EAE1EDF" w14:textId="77777777" w:rsidR="00BF3FB4" w:rsidRPr="00225B89" w:rsidRDefault="00BF3FB4" w:rsidP="00BF3FB4">
            <w:pPr>
              <w:spacing w:after="0" w:line="240" w:lineRule="auto"/>
              <w:jc w:val="both"/>
              <w:rPr>
                <w:rFonts w:ascii="Arial" w:eastAsia="Times New Roman" w:hAnsi="Arial" w:cs="Arial"/>
                <w:iCs/>
                <w:sz w:val="20"/>
                <w:szCs w:val="20"/>
              </w:rPr>
            </w:pPr>
            <w:r w:rsidRPr="00225B89">
              <w:rPr>
                <w:rFonts w:ascii="Arial" w:eastAsia="Times New Roman" w:hAnsi="Arial" w:cs="Arial"/>
                <w:iCs/>
                <w:sz w:val="20"/>
                <w:szCs w:val="20"/>
              </w:rPr>
              <w:t>Muzejska građa je raspoređena u sljedeće zbirke:</w:t>
            </w:r>
          </w:p>
          <w:p w14:paraId="18E31C78" w14:textId="77777777" w:rsidR="00BF3FB4" w:rsidRPr="00225B89" w:rsidRDefault="00BF3FB4">
            <w:pPr>
              <w:pStyle w:val="Odlomakpopisa"/>
              <w:numPr>
                <w:ilvl w:val="0"/>
                <w:numId w:val="56"/>
              </w:numPr>
              <w:contextualSpacing/>
              <w:rPr>
                <w:rFonts w:ascii="Arial" w:hAnsi="Arial" w:cs="Arial"/>
                <w:iCs/>
              </w:rPr>
            </w:pPr>
            <w:r w:rsidRPr="00225B89">
              <w:rPr>
                <w:rFonts w:ascii="Arial" w:hAnsi="Arial" w:cs="Arial"/>
                <w:iCs/>
              </w:rPr>
              <w:t>Etnografska zbirka</w:t>
            </w:r>
          </w:p>
          <w:p w14:paraId="5BC7D7B2" w14:textId="77777777" w:rsidR="00BF3FB4" w:rsidRPr="00225B89" w:rsidRDefault="00BF3FB4">
            <w:pPr>
              <w:pStyle w:val="Odlomakpopisa"/>
              <w:numPr>
                <w:ilvl w:val="0"/>
                <w:numId w:val="56"/>
              </w:numPr>
              <w:contextualSpacing/>
              <w:rPr>
                <w:rFonts w:ascii="Arial" w:hAnsi="Arial" w:cs="Arial"/>
                <w:iCs/>
              </w:rPr>
            </w:pPr>
            <w:r w:rsidRPr="00225B89">
              <w:rPr>
                <w:rFonts w:ascii="Arial" w:hAnsi="Arial" w:cs="Arial"/>
                <w:iCs/>
              </w:rPr>
              <w:t>Zbirka Vezilačke udruge Cavtat</w:t>
            </w:r>
          </w:p>
          <w:p w14:paraId="1CAAB908" w14:textId="77777777" w:rsidR="00BF3FB4" w:rsidRPr="00225B89" w:rsidRDefault="00BF3FB4">
            <w:pPr>
              <w:pStyle w:val="Odlomakpopisa"/>
              <w:numPr>
                <w:ilvl w:val="0"/>
                <w:numId w:val="56"/>
              </w:numPr>
              <w:contextualSpacing/>
              <w:rPr>
                <w:rFonts w:ascii="Arial" w:hAnsi="Arial" w:cs="Arial"/>
                <w:iCs/>
              </w:rPr>
            </w:pPr>
            <w:r w:rsidRPr="00225B89">
              <w:rPr>
                <w:rFonts w:ascii="Arial" w:hAnsi="Arial" w:cs="Arial"/>
                <w:iCs/>
              </w:rPr>
              <w:t>Istraživačko – dokumentacijska zbirka</w:t>
            </w:r>
          </w:p>
          <w:p w14:paraId="5C893AED" w14:textId="77777777" w:rsidR="00BF3FB4" w:rsidRPr="00225B89" w:rsidRDefault="00BF3FB4" w:rsidP="00BF3FB4">
            <w:pPr>
              <w:tabs>
                <w:tab w:val="left" w:pos="-1440"/>
              </w:tabs>
              <w:spacing w:after="0" w:line="240" w:lineRule="auto"/>
              <w:jc w:val="both"/>
              <w:rPr>
                <w:rFonts w:ascii="Arial" w:eastAsia="Times New Roman" w:hAnsi="Arial" w:cs="Arial"/>
                <w:iCs/>
                <w:sz w:val="20"/>
                <w:szCs w:val="20"/>
              </w:rPr>
            </w:pPr>
            <w:r w:rsidRPr="00225B89">
              <w:rPr>
                <w:rFonts w:ascii="Arial" w:eastAsia="Times New Roman" w:hAnsi="Arial" w:cs="Arial"/>
                <w:iCs/>
                <w:sz w:val="20"/>
                <w:szCs w:val="20"/>
              </w:rPr>
              <w:t>U sklopu muzeja nalazi se muzejska prodavaonica.</w:t>
            </w:r>
          </w:p>
          <w:p w14:paraId="17A679D4" w14:textId="77777777" w:rsidR="00BF3FB4" w:rsidRPr="00225B89" w:rsidRDefault="00BF3FB4" w:rsidP="00BF3FB4">
            <w:pPr>
              <w:tabs>
                <w:tab w:val="left" w:pos="-1440"/>
              </w:tabs>
              <w:spacing w:after="0" w:line="240" w:lineRule="auto"/>
              <w:jc w:val="both"/>
              <w:rPr>
                <w:rFonts w:ascii="Arial" w:eastAsia="Times New Roman" w:hAnsi="Arial" w:cs="Arial"/>
                <w:strike/>
                <w:sz w:val="20"/>
                <w:szCs w:val="20"/>
              </w:rPr>
            </w:pPr>
          </w:p>
          <w:p w14:paraId="689C8AC9" w14:textId="77777777" w:rsidR="00BF3FB4" w:rsidRPr="00225B89" w:rsidRDefault="00BF3FB4" w:rsidP="00BF3FB4">
            <w:pPr>
              <w:spacing w:after="0" w:line="240" w:lineRule="auto"/>
              <w:jc w:val="both"/>
              <w:rPr>
                <w:rFonts w:ascii="Arial" w:eastAsia="Times New Roman" w:hAnsi="Arial" w:cs="Arial"/>
                <w:b/>
                <w:bCs/>
                <w:iCs/>
                <w:sz w:val="20"/>
                <w:szCs w:val="20"/>
                <w:u w:val="single"/>
              </w:rPr>
            </w:pPr>
            <w:r w:rsidRPr="00225B89">
              <w:rPr>
                <w:rFonts w:ascii="Arial" w:eastAsia="Times New Roman" w:hAnsi="Arial" w:cs="Arial"/>
                <w:b/>
                <w:bCs/>
                <w:iCs/>
                <w:sz w:val="20"/>
                <w:szCs w:val="20"/>
                <w:u w:val="single"/>
              </w:rPr>
              <w:t xml:space="preserve">Kuća Bukovac, </w:t>
            </w:r>
            <w:r w:rsidRPr="00225B89">
              <w:rPr>
                <w:rFonts w:ascii="Arial" w:eastAsia="Times New Roman" w:hAnsi="Arial" w:cs="Arial"/>
                <w:iCs/>
                <w:sz w:val="20"/>
                <w:szCs w:val="20"/>
                <w:u w:val="single"/>
              </w:rPr>
              <w:t>Bukovčeva 5, Cavtat</w:t>
            </w:r>
          </w:p>
          <w:p w14:paraId="588539E1" w14:textId="77777777" w:rsidR="00BF3FB4" w:rsidRPr="00225B89" w:rsidRDefault="00BF3FB4" w:rsidP="00BF3FB4">
            <w:pPr>
              <w:spacing w:after="0" w:line="240" w:lineRule="auto"/>
              <w:jc w:val="both"/>
              <w:rPr>
                <w:rFonts w:ascii="Arial" w:eastAsia="Times New Roman" w:hAnsi="Arial" w:cs="Arial"/>
                <w:iCs/>
                <w:sz w:val="20"/>
                <w:szCs w:val="20"/>
              </w:rPr>
            </w:pPr>
            <w:r w:rsidRPr="00225B89">
              <w:rPr>
                <w:rFonts w:ascii="Arial" w:eastAsia="Calibri" w:hAnsi="Arial" w:cs="Arial"/>
                <w:sz w:val="20"/>
                <w:szCs w:val="20"/>
                <w:shd w:val="clear" w:color="auto" w:fill="FFFFFF"/>
              </w:rPr>
              <w:t xml:space="preserve">Kuća Bukovac je rodna kuća i muzej Vlaha Bukovca (Cavtat, 1855. – Prag, 1922.), jednog od najznačajnijih hrvatskih slikara i začetnika hrvatskog modernog slikarstva. </w:t>
            </w:r>
            <w:r w:rsidRPr="00225B89">
              <w:rPr>
                <w:rFonts w:ascii="Arial" w:eastAsia="Calibri" w:hAnsi="Arial" w:cs="Arial"/>
                <w:sz w:val="20"/>
                <w:szCs w:val="20"/>
              </w:rPr>
              <w:t xml:space="preserve">Stalni postav muzeja čini ostavština slikara: Bukovčeva djela koja prezentiraju sve faze slikarevog opusa, zbirka namještaja i osobnih predmeta, velika arhivska zbirka te zidni oslici. Arhivska zbirka  je nezaobilazno mjesto svim znanstvenicima koji se bave životom i djelom  Vlaha Bukovca budući da se u njoj čuva sveukupna dokumentacija, rukopisi, koorespodencija i ostali predmeti važni za život i rad Vlaha Bukovca te njegove obitelji. U Kući Bukovac se čuvaju i umjetnička djela Bukovčevih kćeri Ivanke i Jelice, koje su također bile akademske slikarice. </w:t>
            </w:r>
            <w:r w:rsidRPr="00225B89">
              <w:rPr>
                <w:rFonts w:ascii="Arial" w:eastAsia="Times New Roman" w:hAnsi="Arial" w:cs="Arial"/>
                <w:iCs/>
                <w:sz w:val="20"/>
                <w:szCs w:val="20"/>
              </w:rPr>
              <w:t>Muzejska građa je raspoređena u sljedeće zbirke:</w:t>
            </w:r>
          </w:p>
          <w:p w14:paraId="0A0A460E" w14:textId="77777777" w:rsidR="00BF3FB4" w:rsidRPr="00225B89" w:rsidRDefault="00BF3FB4">
            <w:pPr>
              <w:pStyle w:val="Odlomakpopisa"/>
              <w:numPr>
                <w:ilvl w:val="0"/>
                <w:numId w:val="56"/>
              </w:numPr>
              <w:contextualSpacing/>
              <w:rPr>
                <w:rFonts w:ascii="Arial" w:hAnsi="Arial" w:cs="Arial"/>
                <w:iCs/>
              </w:rPr>
            </w:pPr>
            <w:r w:rsidRPr="00225B89">
              <w:rPr>
                <w:rFonts w:ascii="Arial" w:hAnsi="Arial" w:cs="Arial"/>
                <w:iCs/>
              </w:rPr>
              <w:t>Zbirka slika</w:t>
            </w:r>
          </w:p>
          <w:p w14:paraId="472E4E58" w14:textId="77777777" w:rsidR="00BF3FB4" w:rsidRPr="00225B89" w:rsidRDefault="00BF3FB4">
            <w:pPr>
              <w:pStyle w:val="Odlomakpopisa"/>
              <w:numPr>
                <w:ilvl w:val="0"/>
                <w:numId w:val="56"/>
              </w:numPr>
              <w:contextualSpacing/>
              <w:rPr>
                <w:rFonts w:ascii="Arial" w:hAnsi="Arial" w:cs="Arial"/>
                <w:iCs/>
              </w:rPr>
            </w:pPr>
            <w:r w:rsidRPr="00225B89">
              <w:rPr>
                <w:rFonts w:ascii="Arial" w:hAnsi="Arial" w:cs="Arial"/>
                <w:iCs/>
              </w:rPr>
              <w:t>Zbirka crteža i akvarela</w:t>
            </w:r>
          </w:p>
          <w:p w14:paraId="568055D7" w14:textId="77777777" w:rsidR="00BF3FB4" w:rsidRPr="00225B89" w:rsidRDefault="00BF3FB4">
            <w:pPr>
              <w:pStyle w:val="Odlomakpopisa"/>
              <w:numPr>
                <w:ilvl w:val="0"/>
                <w:numId w:val="56"/>
              </w:numPr>
              <w:contextualSpacing/>
              <w:rPr>
                <w:rFonts w:ascii="Arial" w:hAnsi="Arial" w:cs="Arial"/>
                <w:iCs/>
              </w:rPr>
            </w:pPr>
            <w:r w:rsidRPr="00225B89">
              <w:rPr>
                <w:rFonts w:ascii="Arial" w:hAnsi="Arial" w:cs="Arial"/>
                <w:iCs/>
              </w:rPr>
              <w:t>Zbirka fotografija</w:t>
            </w:r>
          </w:p>
          <w:p w14:paraId="146A0B13" w14:textId="77777777" w:rsidR="00BF3FB4" w:rsidRPr="00225B89" w:rsidRDefault="00BF3FB4">
            <w:pPr>
              <w:pStyle w:val="Odlomakpopisa"/>
              <w:numPr>
                <w:ilvl w:val="0"/>
                <w:numId w:val="56"/>
              </w:numPr>
              <w:contextualSpacing/>
              <w:rPr>
                <w:rFonts w:ascii="Arial" w:hAnsi="Arial" w:cs="Arial"/>
                <w:iCs/>
              </w:rPr>
            </w:pPr>
            <w:r w:rsidRPr="00225B89">
              <w:rPr>
                <w:rFonts w:ascii="Arial" w:hAnsi="Arial" w:cs="Arial"/>
              </w:rPr>
              <w:t>Zbirka namještaja i uporabnih predmeta</w:t>
            </w:r>
          </w:p>
          <w:p w14:paraId="433795F1" w14:textId="77777777" w:rsidR="00BF3FB4" w:rsidRPr="00225B89" w:rsidRDefault="00BF3FB4">
            <w:pPr>
              <w:pStyle w:val="Odlomakpopisa"/>
              <w:numPr>
                <w:ilvl w:val="0"/>
                <w:numId w:val="56"/>
              </w:numPr>
              <w:contextualSpacing/>
              <w:rPr>
                <w:rFonts w:ascii="Arial" w:hAnsi="Arial" w:cs="Arial"/>
                <w:iCs/>
              </w:rPr>
            </w:pPr>
            <w:r w:rsidRPr="00225B89">
              <w:rPr>
                <w:rFonts w:ascii="Arial" w:hAnsi="Arial" w:cs="Arial"/>
              </w:rPr>
              <w:t>Arhivska zbirka</w:t>
            </w:r>
          </w:p>
          <w:p w14:paraId="468027AD" w14:textId="77777777" w:rsidR="00BF3FB4" w:rsidRPr="00225B89" w:rsidRDefault="00BF3FB4" w:rsidP="00BF3FB4">
            <w:pPr>
              <w:tabs>
                <w:tab w:val="left" w:pos="-1440"/>
              </w:tabs>
              <w:spacing w:after="0" w:line="240" w:lineRule="auto"/>
              <w:jc w:val="both"/>
              <w:rPr>
                <w:rFonts w:ascii="Arial" w:eastAsia="Times New Roman" w:hAnsi="Arial" w:cs="Arial"/>
                <w:iCs/>
                <w:sz w:val="20"/>
                <w:szCs w:val="20"/>
              </w:rPr>
            </w:pPr>
            <w:r w:rsidRPr="00225B89">
              <w:rPr>
                <w:rFonts w:ascii="Arial" w:eastAsia="Times New Roman" w:hAnsi="Arial" w:cs="Arial"/>
                <w:iCs/>
                <w:sz w:val="20"/>
                <w:szCs w:val="20"/>
              </w:rPr>
              <w:lastRenderedPageBreak/>
              <w:t>Muzejski postav je organiziran kroz stalni postav i povremene izložbe u prizemlju zgrade u prostoru galerije. U stalnom postavu osim djela Vlaha Bukovca i njegovih kćeri, prezentira se kultura stanovanja s kraja 19. stoljeća, prvi profesionalni slikarski atelje na ovome području, kao i reprezentativna jedinica urbane matrice Cavtata koja sa zgradom uključuje i dva vrta.</w:t>
            </w:r>
          </w:p>
          <w:p w14:paraId="3D7EEB9E" w14:textId="77777777" w:rsidR="00BF3FB4" w:rsidRPr="00225B89" w:rsidRDefault="00BF3FB4" w:rsidP="00BF3FB4">
            <w:pPr>
              <w:tabs>
                <w:tab w:val="left" w:pos="-1440"/>
              </w:tabs>
              <w:spacing w:after="0" w:line="240" w:lineRule="auto"/>
              <w:jc w:val="both"/>
              <w:rPr>
                <w:rFonts w:ascii="Arial" w:eastAsia="Times New Roman" w:hAnsi="Arial" w:cs="Arial"/>
                <w:b/>
                <w:iCs/>
                <w:sz w:val="20"/>
                <w:szCs w:val="20"/>
                <w:u w:val="single"/>
              </w:rPr>
            </w:pPr>
            <w:r w:rsidRPr="00225B89">
              <w:rPr>
                <w:rFonts w:ascii="Arial" w:eastAsia="Times New Roman" w:hAnsi="Arial" w:cs="Arial"/>
                <w:iCs/>
                <w:sz w:val="20"/>
                <w:szCs w:val="20"/>
              </w:rPr>
              <w:t>U sklopu muzeja nalazi se muzejska prodavaonica.</w:t>
            </w:r>
          </w:p>
          <w:p w14:paraId="4921E916" w14:textId="77777777" w:rsidR="00BF3FB4" w:rsidRPr="00225B89" w:rsidRDefault="00BF3FB4" w:rsidP="00BF3FB4">
            <w:pPr>
              <w:tabs>
                <w:tab w:val="left" w:pos="-1440"/>
              </w:tabs>
              <w:spacing w:after="0" w:line="240" w:lineRule="auto"/>
              <w:jc w:val="both"/>
              <w:rPr>
                <w:rFonts w:ascii="Arial" w:eastAsia="Times New Roman" w:hAnsi="Arial" w:cs="Arial"/>
                <w:b/>
                <w:iCs/>
                <w:sz w:val="20"/>
                <w:szCs w:val="20"/>
                <w:u w:val="single"/>
              </w:rPr>
            </w:pPr>
          </w:p>
          <w:p w14:paraId="34F7BEEB" w14:textId="77777777" w:rsidR="00BF3FB4" w:rsidRPr="00225B89" w:rsidRDefault="00BF3FB4" w:rsidP="00BF3FB4">
            <w:pPr>
              <w:tabs>
                <w:tab w:val="left" w:pos="-1440"/>
              </w:tabs>
              <w:spacing w:after="0" w:line="240" w:lineRule="auto"/>
              <w:jc w:val="both"/>
              <w:rPr>
                <w:rFonts w:ascii="Arial" w:eastAsia="Times New Roman" w:hAnsi="Arial" w:cs="Arial"/>
                <w:b/>
                <w:iCs/>
                <w:sz w:val="20"/>
                <w:szCs w:val="20"/>
                <w:u w:val="single"/>
              </w:rPr>
            </w:pPr>
            <w:r w:rsidRPr="00225B89">
              <w:rPr>
                <w:rFonts w:ascii="Arial" w:eastAsia="Times New Roman" w:hAnsi="Arial" w:cs="Arial"/>
                <w:b/>
                <w:iCs/>
                <w:sz w:val="20"/>
                <w:szCs w:val="20"/>
                <w:u w:val="single"/>
              </w:rPr>
              <w:t xml:space="preserve">Odjel za arheologiju i spomeničku baštinu, </w:t>
            </w:r>
            <w:r w:rsidRPr="00225B89">
              <w:rPr>
                <w:rFonts w:ascii="Arial" w:eastAsia="Times New Roman" w:hAnsi="Arial" w:cs="Arial"/>
                <w:bCs/>
                <w:iCs/>
                <w:sz w:val="20"/>
                <w:szCs w:val="20"/>
                <w:u w:val="single"/>
              </w:rPr>
              <w:t>Franjevački samostan Sv. Vlaho</w:t>
            </w:r>
            <w:r w:rsidRPr="00225B89">
              <w:rPr>
                <w:rFonts w:ascii="Arial" w:eastAsia="Times New Roman" w:hAnsi="Arial" w:cs="Arial"/>
                <w:iCs/>
                <w:sz w:val="20"/>
                <w:szCs w:val="20"/>
                <w:u w:val="single"/>
              </w:rPr>
              <w:t>, Pod Dvorom 16, Pridvorje</w:t>
            </w:r>
          </w:p>
          <w:p w14:paraId="1F64139E" w14:textId="77777777" w:rsidR="00BF3FB4" w:rsidRPr="00225B89" w:rsidRDefault="00BF3FB4" w:rsidP="00BF3FB4">
            <w:pPr>
              <w:tabs>
                <w:tab w:val="left" w:pos="-1440"/>
              </w:tabs>
              <w:spacing w:after="0" w:line="240" w:lineRule="auto"/>
              <w:jc w:val="both"/>
              <w:rPr>
                <w:rFonts w:ascii="Arial" w:eastAsia="Times New Roman" w:hAnsi="Arial" w:cs="Arial"/>
                <w:sz w:val="20"/>
                <w:szCs w:val="20"/>
              </w:rPr>
            </w:pPr>
            <w:r w:rsidRPr="00225B89">
              <w:rPr>
                <w:rFonts w:ascii="Arial" w:eastAsia="Times New Roman" w:hAnsi="Arial" w:cs="Arial"/>
                <w:sz w:val="20"/>
                <w:szCs w:val="20"/>
              </w:rPr>
              <w:t xml:space="preserve">Odjel je smješten u prizemlju Franjevačkog samostana u Pridvorju kojim ustanova upravlja od 2017. godine. Unutar odjela nalazi se čuvaonica za arheološku građu koja zadovoljava standarde za čuvanje muzejske građe, prostor stalnog postava i prostor za rad stručnih djelatnika. U Odjel za arheologiju se zaprimaju svi arheološki nalazi koji se pronađu tijekom arheoloških istraživanja na području Konavala uz prateće dozvole Ministarstva kulture za trajnim pohranama nalaza.  </w:t>
            </w:r>
          </w:p>
          <w:p w14:paraId="5D514A7F" w14:textId="77777777" w:rsidR="00BF3FB4" w:rsidRPr="00225B89" w:rsidRDefault="00BF3FB4" w:rsidP="00BF3FB4">
            <w:pPr>
              <w:tabs>
                <w:tab w:val="left" w:pos="-1440"/>
              </w:tabs>
              <w:spacing w:after="0" w:line="240" w:lineRule="auto"/>
              <w:jc w:val="both"/>
              <w:rPr>
                <w:rFonts w:ascii="Arial" w:eastAsia="Times New Roman" w:hAnsi="Arial" w:cs="Arial"/>
                <w:iCs/>
                <w:sz w:val="20"/>
                <w:szCs w:val="20"/>
              </w:rPr>
            </w:pPr>
            <w:r w:rsidRPr="00225B89">
              <w:rPr>
                <w:rFonts w:ascii="Arial" w:eastAsia="Times New Roman" w:hAnsi="Arial" w:cs="Arial"/>
                <w:iCs/>
                <w:sz w:val="20"/>
                <w:szCs w:val="20"/>
              </w:rPr>
              <w:t>Muzejska građa je raspoređena u sljedeće zbirke:</w:t>
            </w:r>
          </w:p>
          <w:p w14:paraId="12A3C986" w14:textId="77777777" w:rsidR="00BF3FB4" w:rsidRPr="00225B89" w:rsidRDefault="00BF3FB4">
            <w:pPr>
              <w:pStyle w:val="Odlomakpopisa"/>
              <w:numPr>
                <w:ilvl w:val="0"/>
                <w:numId w:val="56"/>
              </w:numPr>
              <w:contextualSpacing/>
              <w:rPr>
                <w:rFonts w:ascii="Arial" w:hAnsi="Arial" w:cs="Arial"/>
                <w:iCs/>
              </w:rPr>
            </w:pPr>
            <w:r w:rsidRPr="00225B89">
              <w:rPr>
                <w:rFonts w:ascii="Arial" w:hAnsi="Arial" w:cs="Arial"/>
              </w:rPr>
              <w:t>Arheološka zbirka</w:t>
            </w:r>
          </w:p>
          <w:p w14:paraId="3076D5EC" w14:textId="77777777" w:rsidR="00BF3FB4" w:rsidRPr="00225B89" w:rsidRDefault="00BF3FB4">
            <w:pPr>
              <w:pStyle w:val="Odlomakpopisa"/>
              <w:numPr>
                <w:ilvl w:val="0"/>
                <w:numId w:val="56"/>
              </w:numPr>
              <w:contextualSpacing/>
              <w:rPr>
                <w:rFonts w:ascii="Arial" w:hAnsi="Arial" w:cs="Arial"/>
                <w:iCs/>
              </w:rPr>
            </w:pPr>
            <w:r w:rsidRPr="00225B89">
              <w:rPr>
                <w:rFonts w:ascii="Arial" w:hAnsi="Arial" w:cs="Arial"/>
              </w:rPr>
              <w:t>Numizmatička zbirka</w:t>
            </w:r>
          </w:p>
          <w:p w14:paraId="59F99A12" w14:textId="77777777" w:rsidR="00BF3FB4" w:rsidRPr="00225B89" w:rsidRDefault="00BF3FB4" w:rsidP="00BF3FB4">
            <w:pPr>
              <w:tabs>
                <w:tab w:val="left" w:pos="-1440"/>
              </w:tabs>
              <w:spacing w:after="0" w:line="240" w:lineRule="auto"/>
              <w:jc w:val="both"/>
              <w:rPr>
                <w:rFonts w:ascii="Arial" w:eastAsia="Times New Roman" w:hAnsi="Arial" w:cs="Arial"/>
                <w:iCs/>
                <w:sz w:val="20"/>
                <w:szCs w:val="20"/>
              </w:rPr>
            </w:pPr>
            <w:r w:rsidRPr="00225B89">
              <w:rPr>
                <w:rFonts w:ascii="Arial" w:eastAsia="Times New Roman" w:hAnsi="Arial" w:cs="Arial"/>
                <w:iCs/>
                <w:sz w:val="20"/>
                <w:szCs w:val="20"/>
              </w:rPr>
              <w:t>U sklopu muzeja nalazi se muzejska prodavaonica.</w:t>
            </w:r>
          </w:p>
          <w:p w14:paraId="7E5F5286" w14:textId="77777777" w:rsidR="00BF3FB4" w:rsidRPr="00225B89" w:rsidRDefault="00BF3FB4" w:rsidP="00BF3FB4">
            <w:pPr>
              <w:spacing w:after="0" w:line="240" w:lineRule="auto"/>
              <w:jc w:val="both"/>
              <w:rPr>
                <w:rFonts w:ascii="Arial" w:eastAsia="Times New Roman" w:hAnsi="Arial" w:cs="Arial"/>
                <w:b/>
                <w:iCs/>
                <w:sz w:val="20"/>
                <w:szCs w:val="20"/>
                <w:u w:val="single"/>
              </w:rPr>
            </w:pPr>
          </w:p>
          <w:p w14:paraId="29EDD717" w14:textId="77777777" w:rsidR="00BF3FB4" w:rsidRPr="00225B89" w:rsidRDefault="00BF3FB4" w:rsidP="00BF3FB4">
            <w:pPr>
              <w:spacing w:after="0" w:line="240" w:lineRule="auto"/>
              <w:jc w:val="both"/>
              <w:rPr>
                <w:rFonts w:ascii="Arial" w:eastAsia="Times New Roman" w:hAnsi="Arial" w:cs="Arial"/>
                <w:iCs/>
                <w:sz w:val="20"/>
                <w:szCs w:val="20"/>
                <w:u w:val="single"/>
              </w:rPr>
            </w:pPr>
            <w:r w:rsidRPr="00225B89">
              <w:rPr>
                <w:rFonts w:ascii="Arial" w:eastAsia="Times New Roman" w:hAnsi="Arial" w:cs="Arial"/>
                <w:b/>
                <w:iCs/>
                <w:sz w:val="20"/>
                <w:szCs w:val="20"/>
                <w:u w:val="single"/>
              </w:rPr>
              <w:t xml:space="preserve">Služba općih poslova, </w:t>
            </w:r>
            <w:r w:rsidRPr="00225B89">
              <w:rPr>
                <w:rFonts w:ascii="Arial" w:eastAsia="Times New Roman" w:hAnsi="Arial" w:cs="Arial"/>
                <w:iCs/>
                <w:sz w:val="20"/>
                <w:szCs w:val="20"/>
                <w:u w:val="single"/>
              </w:rPr>
              <w:t>Gruda 152, Gruda</w:t>
            </w:r>
          </w:p>
          <w:p w14:paraId="2461634D" w14:textId="77777777" w:rsidR="00BF3FB4" w:rsidRPr="00225B89" w:rsidRDefault="00BF3FB4" w:rsidP="00BF3FB4">
            <w:pPr>
              <w:spacing w:after="0" w:line="240" w:lineRule="auto"/>
              <w:jc w:val="both"/>
              <w:rPr>
                <w:rFonts w:ascii="Arial" w:eastAsia="Times New Roman" w:hAnsi="Arial" w:cs="Arial"/>
                <w:iCs/>
                <w:sz w:val="20"/>
                <w:szCs w:val="20"/>
              </w:rPr>
            </w:pPr>
            <w:r w:rsidRPr="00225B89">
              <w:rPr>
                <w:rFonts w:ascii="Arial" w:eastAsia="Times New Roman" w:hAnsi="Arial" w:cs="Arial"/>
                <w:iCs/>
                <w:sz w:val="20"/>
                <w:szCs w:val="20"/>
              </w:rPr>
              <w:t>Služba općih poslova osigurava organizacijske i provedbene uvjete za poslovanje muzeja. Služba obavlja sve administrativne i računovodstveno-financijske poslove, proračunskog planiranja i izvršenja, kadrovske poslove, obračun plaća i dohodaka, poslove arhiviranja poslovne dokumentacije. Također, službenici obavljaju poslove promidžbe i sklapanja poslova,  obrade zahtjeva za uvid u muzejsku građu i za pristup informacijama, te ostalu poslovnu komunikaciju sa poslovnim subjektima.</w:t>
            </w:r>
          </w:p>
          <w:p w14:paraId="472B4190" w14:textId="77777777" w:rsidR="00BF3FB4" w:rsidRPr="00225B89" w:rsidRDefault="00BF3FB4" w:rsidP="00BF3FB4">
            <w:pPr>
              <w:spacing w:after="0" w:line="240" w:lineRule="auto"/>
              <w:jc w:val="both"/>
              <w:rPr>
                <w:rFonts w:ascii="Arial" w:eastAsia="Times New Roman" w:hAnsi="Arial" w:cs="Arial"/>
                <w:b/>
                <w:iCs/>
                <w:sz w:val="20"/>
                <w:szCs w:val="20"/>
              </w:rPr>
            </w:pPr>
          </w:p>
          <w:p w14:paraId="617EFAD1" w14:textId="77777777" w:rsidR="00BF3FB4" w:rsidRPr="00225B89" w:rsidRDefault="00BF3FB4" w:rsidP="00BF3FB4">
            <w:pPr>
              <w:spacing w:after="0" w:line="240" w:lineRule="auto"/>
              <w:jc w:val="both"/>
              <w:rPr>
                <w:rFonts w:ascii="Arial" w:eastAsia="Times New Roman" w:hAnsi="Arial" w:cs="Arial"/>
                <w:iCs/>
                <w:sz w:val="20"/>
                <w:szCs w:val="20"/>
              </w:rPr>
            </w:pPr>
            <w:r w:rsidRPr="00225B89">
              <w:rPr>
                <w:rFonts w:ascii="Arial" w:eastAsia="Times New Roman" w:hAnsi="Arial" w:cs="Arial"/>
                <w:b/>
                <w:iCs/>
                <w:sz w:val="20"/>
                <w:szCs w:val="20"/>
                <w:u w:val="single"/>
              </w:rPr>
              <w:t>Služba stručnih poslova</w:t>
            </w:r>
            <w:r w:rsidRPr="00225B89">
              <w:rPr>
                <w:rFonts w:ascii="Arial" w:eastAsia="Times New Roman" w:hAnsi="Arial" w:cs="Arial"/>
                <w:b/>
                <w:iCs/>
                <w:sz w:val="20"/>
                <w:szCs w:val="20"/>
              </w:rPr>
              <w:t xml:space="preserve"> </w:t>
            </w:r>
            <w:r w:rsidRPr="00225B89">
              <w:rPr>
                <w:rFonts w:ascii="Arial" w:eastAsia="Times New Roman" w:hAnsi="Arial" w:cs="Arial"/>
                <w:bCs/>
                <w:iCs/>
                <w:sz w:val="20"/>
                <w:szCs w:val="20"/>
              </w:rPr>
              <w:t>organizirana je kroz rad u muzejskim jedinicama</w:t>
            </w:r>
            <w:r w:rsidRPr="00225B89">
              <w:rPr>
                <w:rFonts w:ascii="Arial" w:eastAsia="Times New Roman" w:hAnsi="Arial" w:cs="Arial"/>
                <w:b/>
                <w:iCs/>
                <w:sz w:val="20"/>
                <w:szCs w:val="20"/>
              </w:rPr>
              <w:t xml:space="preserve"> </w:t>
            </w:r>
            <w:r w:rsidRPr="00225B89">
              <w:rPr>
                <w:rFonts w:ascii="Arial" w:eastAsia="Times New Roman" w:hAnsi="Arial" w:cs="Arial"/>
                <w:bCs/>
                <w:iCs/>
                <w:sz w:val="20"/>
                <w:szCs w:val="20"/>
              </w:rPr>
              <w:t xml:space="preserve">te na lokaciji </w:t>
            </w:r>
            <w:r w:rsidRPr="00225B89">
              <w:rPr>
                <w:rFonts w:ascii="Arial" w:eastAsia="Times New Roman" w:hAnsi="Arial" w:cs="Arial"/>
                <w:iCs/>
                <w:sz w:val="20"/>
                <w:szCs w:val="20"/>
              </w:rPr>
              <w:t xml:space="preserve">Gruda 152 i u čuvaonici Pločice. Unutar Službe stručnih poslova raspoređuju se svi stručni djelatnici za poslove istraživanja, vođenja zbirki i dokumentacije, pedagoške poslove, poslove konzervacije i restauracije, fotografiranja, te rada knjižnice i zbirke stručnog gradiva koja je smještena na Grudi 152. Čuvaonica u Pločicama je </w:t>
            </w:r>
            <w:r w:rsidRPr="00225B89">
              <w:rPr>
                <w:rFonts w:ascii="Arial" w:eastAsia="Times New Roman" w:hAnsi="Arial" w:cs="Arial"/>
                <w:sz w:val="20"/>
                <w:szCs w:val="20"/>
              </w:rPr>
              <w:t>prostor osposobljen za funkciju muzejske čuvaonice /</w:t>
            </w:r>
            <w:r w:rsidRPr="00225B89">
              <w:rPr>
                <w:rFonts w:ascii="Arial" w:eastAsia="Times New Roman" w:hAnsi="Arial" w:cs="Arial"/>
                <w:color w:val="FF0000"/>
                <w:sz w:val="20"/>
                <w:szCs w:val="20"/>
              </w:rPr>
              <w:t xml:space="preserve"> </w:t>
            </w:r>
            <w:r w:rsidRPr="00225B89">
              <w:rPr>
                <w:rFonts w:ascii="Arial" w:eastAsia="Times New Roman" w:hAnsi="Arial" w:cs="Arial"/>
                <w:sz w:val="20"/>
                <w:szCs w:val="20"/>
              </w:rPr>
              <w:t xml:space="preserve">karantene prvenstveno za potrebe pohrane namještaja iz Kuće Bukovac gdje se uz </w:t>
            </w:r>
            <w:r w:rsidRPr="00225B89">
              <w:rPr>
                <w:rFonts w:ascii="Arial" w:eastAsia="Times New Roman" w:hAnsi="Arial" w:cs="Arial"/>
                <w:iCs/>
                <w:sz w:val="20"/>
                <w:szCs w:val="20"/>
              </w:rPr>
              <w:t>čuvanje građe obavljaju i poslovi preventivne zaštite.</w:t>
            </w:r>
          </w:p>
          <w:p w14:paraId="6DBB7E41" w14:textId="13B6A354" w:rsidR="00BF3FB4" w:rsidRPr="00225B89" w:rsidRDefault="00BF3FB4" w:rsidP="00BF3FB4">
            <w:pPr>
              <w:spacing w:after="0" w:line="240" w:lineRule="auto"/>
              <w:jc w:val="both"/>
              <w:rPr>
                <w:rFonts w:ascii="Arial" w:eastAsia="Calibri" w:hAnsi="Arial" w:cs="Arial"/>
                <w:sz w:val="20"/>
                <w:szCs w:val="20"/>
              </w:rPr>
            </w:pPr>
          </w:p>
        </w:tc>
      </w:tr>
    </w:tbl>
    <w:p w14:paraId="1BCDEB9F" w14:textId="77777777" w:rsidR="00142BE7" w:rsidRDefault="00142BE7" w:rsidP="00142BE7">
      <w:pPr>
        <w:spacing w:after="0" w:line="240" w:lineRule="auto"/>
        <w:rPr>
          <w:rFonts w:ascii="Arial" w:eastAsia="Calibri" w:hAnsi="Arial" w:cs="Arial"/>
        </w:rPr>
      </w:pPr>
    </w:p>
    <w:p w14:paraId="5AAEF3A0" w14:textId="77777777" w:rsidR="007B4373" w:rsidRDefault="007B4373" w:rsidP="00142BE7">
      <w:pPr>
        <w:spacing w:after="0" w:line="240" w:lineRule="auto"/>
        <w:rPr>
          <w:rFonts w:ascii="Arial" w:eastAsia="Calibri" w:hAnsi="Arial" w:cs="Arial"/>
        </w:rPr>
      </w:pPr>
    </w:p>
    <w:p w14:paraId="106CF661" w14:textId="77777777" w:rsidR="00225B89" w:rsidRDefault="00225B89" w:rsidP="00142BE7">
      <w:pPr>
        <w:spacing w:after="0" w:line="240" w:lineRule="auto"/>
        <w:rPr>
          <w:rFonts w:ascii="Arial" w:eastAsia="Calibri" w:hAnsi="Arial" w:cs="Arial"/>
        </w:rPr>
      </w:pPr>
    </w:p>
    <w:p w14:paraId="61C3DD45" w14:textId="77777777" w:rsidR="00225B89" w:rsidRDefault="00225B89" w:rsidP="00142BE7">
      <w:pPr>
        <w:spacing w:after="0" w:line="240" w:lineRule="auto"/>
        <w:rPr>
          <w:rFonts w:ascii="Arial" w:eastAsia="Calibri" w:hAnsi="Arial" w:cs="Arial"/>
        </w:rPr>
      </w:pPr>
    </w:p>
    <w:p w14:paraId="256DF6C8" w14:textId="77777777" w:rsidR="00225B89" w:rsidRDefault="00225B89" w:rsidP="00142BE7">
      <w:pPr>
        <w:spacing w:after="0" w:line="240" w:lineRule="auto"/>
        <w:rPr>
          <w:rFonts w:ascii="Arial" w:eastAsia="Calibri" w:hAnsi="Arial" w:cs="Arial"/>
        </w:rPr>
      </w:pPr>
    </w:p>
    <w:p w14:paraId="6C61BCC3" w14:textId="77777777" w:rsidR="00225B89" w:rsidRDefault="00225B89" w:rsidP="00142BE7">
      <w:pPr>
        <w:spacing w:after="0" w:line="240" w:lineRule="auto"/>
        <w:rPr>
          <w:rFonts w:ascii="Arial" w:eastAsia="Calibri" w:hAnsi="Arial" w:cs="Arial"/>
        </w:rPr>
      </w:pPr>
    </w:p>
    <w:p w14:paraId="3E6FF644" w14:textId="77777777" w:rsidR="00225B89" w:rsidRDefault="00225B89" w:rsidP="00142BE7">
      <w:pPr>
        <w:spacing w:after="0" w:line="240" w:lineRule="auto"/>
        <w:rPr>
          <w:rFonts w:ascii="Arial" w:eastAsia="Calibri" w:hAnsi="Arial" w:cs="Arial"/>
        </w:rPr>
      </w:pPr>
    </w:p>
    <w:p w14:paraId="166B6F35" w14:textId="77777777" w:rsidR="00225B89" w:rsidRDefault="00225B89" w:rsidP="00142BE7">
      <w:pPr>
        <w:spacing w:after="0" w:line="240" w:lineRule="auto"/>
        <w:rPr>
          <w:rFonts w:ascii="Arial" w:eastAsia="Calibri" w:hAnsi="Arial" w:cs="Arial"/>
        </w:rPr>
      </w:pPr>
    </w:p>
    <w:p w14:paraId="3D6D5CB1" w14:textId="77777777" w:rsidR="00225B89" w:rsidRDefault="00225B89" w:rsidP="00142BE7">
      <w:pPr>
        <w:spacing w:after="0" w:line="240" w:lineRule="auto"/>
        <w:rPr>
          <w:rFonts w:ascii="Arial" w:eastAsia="Calibri" w:hAnsi="Arial" w:cs="Arial"/>
        </w:rPr>
      </w:pPr>
    </w:p>
    <w:p w14:paraId="6E85BA6F" w14:textId="77777777" w:rsidR="00225B89" w:rsidRDefault="00225B89" w:rsidP="00142BE7">
      <w:pPr>
        <w:spacing w:after="0" w:line="240" w:lineRule="auto"/>
        <w:rPr>
          <w:rFonts w:ascii="Arial" w:eastAsia="Calibri" w:hAnsi="Arial" w:cs="Arial"/>
        </w:rPr>
      </w:pPr>
    </w:p>
    <w:p w14:paraId="5D935A99" w14:textId="77777777" w:rsidR="007B4373" w:rsidRDefault="007B4373" w:rsidP="00142BE7">
      <w:pPr>
        <w:spacing w:after="0" w:line="240" w:lineRule="auto"/>
        <w:rPr>
          <w:rFonts w:ascii="Arial" w:eastAsia="Calibri" w:hAnsi="Arial" w:cs="Arial"/>
        </w:rPr>
      </w:pPr>
    </w:p>
    <w:p w14:paraId="5E84BA80" w14:textId="77777777" w:rsidR="007B4373" w:rsidRPr="003A2F86" w:rsidRDefault="007B4373" w:rsidP="00142BE7">
      <w:pPr>
        <w:spacing w:after="0" w:line="240" w:lineRule="auto"/>
        <w:rPr>
          <w:rFonts w:ascii="Arial" w:eastAsia="Calibri" w:hAnsi="Arial" w:cs="Arial"/>
        </w:rPr>
      </w:pPr>
    </w:p>
    <w:p w14:paraId="70F172E1" w14:textId="77777777" w:rsidR="00142BE7" w:rsidRPr="003A2F86" w:rsidRDefault="00142BE7">
      <w:pPr>
        <w:pStyle w:val="Odlomakpopisa"/>
        <w:numPr>
          <w:ilvl w:val="0"/>
          <w:numId w:val="26"/>
        </w:num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eastAsia="Calibri" w:hAnsi="Arial" w:cs="Arial"/>
          <w:b/>
        </w:rPr>
      </w:pPr>
      <w:r w:rsidRPr="003A2F86">
        <w:rPr>
          <w:rFonts w:ascii="Arial" w:eastAsia="Calibri" w:hAnsi="Arial" w:cs="Arial"/>
          <w:b/>
        </w:rPr>
        <w:lastRenderedPageBreak/>
        <w:t>OBRAZLOŽENJE OPĆEG DIJELA FINANCIJSKOG PLANA</w:t>
      </w:r>
    </w:p>
    <w:p w14:paraId="45D4F05A" w14:textId="0BF026B1" w:rsidR="00142BE7" w:rsidRPr="003A2F86" w:rsidRDefault="00BF3FB4" w:rsidP="00CA1DCC">
      <w:pPr>
        <w:spacing w:after="0" w:line="240" w:lineRule="auto"/>
        <w:jc w:val="center"/>
        <w:rPr>
          <w:rFonts w:ascii="Arial" w:eastAsia="Calibri" w:hAnsi="Arial" w:cs="Arial"/>
        </w:rPr>
      </w:pPr>
      <w:r w:rsidRPr="00BF3FB4">
        <w:rPr>
          <w:noProof/>
        </w:rPr>
        <w:drawing>
          <wp:inline distT="0" distB="0" distL="0" distR="0" wp14:anchorId="6F7BE82E" wp14:editId="50EAE506">
            <wp:extent cx="8431619" cy="5486050"/>
            <wp:effectExtent l="0" t="0" r="7620" b="635"/>
            <wp:docPr id="1244793861"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8433471" cy="5487255"/>
                    </a:xfrm>
                    <a:prstGeom prst="rect">
                      <a:avLst/>
                    </a:prstGeom>
                    <a:noFill/>
                    <a:ln>
                      <a:noFill/>
                    </a:ln>
                  </pic:spPr>
                </pic:pic>
              </a:graphicData>
            </a:graphic>
          </wp:inline>
        </w:drawing>
      </w:r>
    </w:p>
    <w:p w14:paraId="15159260" w14:textId="5CCDA0C7" w:rsidR="00142BE7" w:rsidRPr="003A2F86" w:rsidRDefault="00142BE7" w:rsidP="00A63BE4">
      <w:pPr>
        <w:spacing w:after="0" w:line="240" w:lineRule="auto"/>
        <w:jc w:val="center"/>
        <w:rPr>
          <w:rFonts w:ascii="Arial" w:eastAsia="Calibri" w:hAnsi="Arial" w:cs="Arial"/>
        </w:rPr>
      </w:pPr>
    </w:p>
    <w:p w14:paraId="790D0ED8" w14:textId="77777777" w:rsidR="00DA693C" w:rsidRPr="00EF272E" w:rsidRDefault="00DA693C" w:rsidP="00DA693C">
      <w:pPr>
        <w:spacing w:after="0" w:line="240" w:lineRule="auto"/>
        <w:rPr>
          <w:rFonts w:ascii="Arial" w:hAnsi="Arial" w:cs="Arial"/>
          <w:sz w:val="20"/>
          <w:szCs w:val="20"/>
          <w:lang w:eastAsia="en-US"/>
        </w:rPr>
      </w:pPr>
      <w:r w:rsidRPr="00EF272E">
        <w:rPr>
          <w:rFonts w:ascii="Arial" w:hAnsi="Arial" w:cs="Arial"/>
          <w:sz w:val="20"/>
          <w:szCs w:val="20"/>
          <w:lang w:eastAsia="en-US"/>
        </w:rPr>
        <w:lastRenderedPageBreak/>
        <w:t>Opći dio financijskog plana sastoji se od sažetaka računa prihoda i rashoda, prihodi i rashodi su iskazani prema ekonomskoj klasifikaciji i pripadajućim izvorima, a rashodi su iskazani i prema funkcijskoj klasifikaciji.</w:t>
      </w:r>
    </w:p>
    <w:p w14:paraId="78A982BE" w14:textId="77777777" w:rsidR="007B4373" w:rsidRPr="00225B89" w:rsidRDefault="007B4373" w:rsidP="00DA693C">
      <w:pPr>
        <w:spacing w:after="0" w:line="240" w:lineRule="auto"/>
        <w:rPr>
          <w:rFonts w:ascii="Arial" w:hAnsi="Arial" w:cs="Arial"/>
          <w:sz w:val="20"/>
          <w:szCs w:val="20"/>
          <w:lang w:eastAsia="en-US"/>
        </w:rPr>
      </w:pPr>
    </w:p>
    <w:p w14:paraId="239E6E8E" w14:textId="77777777" w:rsidR="00BF3FB4" w:rsidRPr="00225B89" w:rsidRDefault="00BF3FB4" w:rsidP="00BF3FB4">
      <w:pPr>
        <w:spacing w:after="0"/>
        <w:rPr>
          <w:rFonts w:ascii="Arial" w:eastAsia="Calibri" w:hAnsi="Arial" w:cs="Arial"/>
          <w:sz w:val="20"/>
          <w:szCs w:val="20"/>
          <w:lang w:eastAsia="en-US"/>
        </w:rPr>
      </w:pPr>
      <w:r w:rsidRPr="00225B89">
        <w:rPr>
          <w:rFonts w:ascii="Arial" w:eastAsia="Calibri" w:hAnsi="Arial" w:cs="Arial"/>
          <w:b/>
          <w:bCs/>
          <w:sz w:val="20"/>
          <w:szCs w:val="20"/>
          <w:lang w:eastAsia="en-US"/>
        </w:rPr>
        <w:t xml:space="preserve">Prihodi poslovanja za 2025. godinu </w:t>
      </w:r>
    </w:p>
    <w:p w14:paraId="10040598" w14:textId="77777777" w:rsidR="00BF3FB4" w:rsidRPr="00225B89" w:rsidRDefault="00BF3FB4" w:rsidP="00BF3FB4">
      <w:pPr>
        <w:spacing w:after="0"/>
        <w:rPr>
          <w:rFonts w:ascii="Arial" w:eastAsia="Calibri" w:hAnsi="Arial" w:cs="Arial"/>
          <w:sz w:val="20"/>
          <w:szCs w:val="20"/>
          <w:lang w:eastAsia="en-US"/>
        </w:rPr>
      </w:pPr>
    </w:p>
    <w:p w14:paraId="0557610E" w14:textId="53B6BE40" w:rsidR="00BF3FB4" w:rsidRPr="00225B89" w:rsidRDefault="00BF3FB4">
      <w:pPr>
        <w:numPr>
          <w:ilvl w:val="0"/>
          <w:numId w:val="52"/>
        </w:numPr>
        <w:spacing w:after="160" w:line="259" w:lineRule="auto"/>
        <w:contextualSpacing/>
        <w:jc w:val="both"/>
        <w:rPr>
          <w:rFonts w:ascii="Arial" w:eastAsia="Calibri" w:hAnsi="Arial" w:cs="Arial"/>
          <w:sz w:val="20"/>
          <w:szCs w:val="20"/>
          <w:lang w:eastAsia="en-US"/>
        </w:rPr>
      </w:pPr>
      <w:r w:rsidRPr="00225B89">
        <w:rPr>
          <w:rFonts w:ascii="Arial" w:eastAsia="Calibri" w:hAnsi="Arial" w:cs="Arial"/>
          <w:b/>
          <w:bCs/>
          <w:i/>
          <w:iCs/>
          <w:sz w:val="20"/>
          <w:szCs w:val="20"/>
          <w:lang w:eastAsia="en-US"/>
        </w:rPr>
        <w:t>Prihodi  od pomoći iz inozemstva i od subjekata unutar općeg proračuna</w:t>
      </w:r>
      <w:r w:rsidRPr="00225B89">
        <w:rPr>
          <w:rFonts w:ascii="Arial" w:eastAsia="Calibri" w:hAnsi="Arial" w:cs="Arial"/>
          <w:sz w:val="20"/>
          <w:szCs w:val="20"/>
          <w:lang w:eastAsia="en-US"/>
        </w:rPr>
        <w:t xml:space="preserve"> za 2025. godinu   iznose 53.787,50 € i sastoje se od </w:t>
      </w:r>
    </w:p>
    <w:p w14:paraId="0432F87B" w14:textId="1F5AED8A" w:rsidR="00BF3FB4" w:rsidRPr="00225B89" w:rsidRDefault="00BF3FB4">
      <w:pPr>
        <w:numPr>
          <w:ilvl w:val="0"/>
          <w:numId w:val="36"/>
        </w:numPr>
        <w:spacing w:after="160" w:line="259" w:lineRule="auto"/>
        <w:contextualSpacing/>
        <w:jc w:val="both"/>
        <w:rPr>
          <w:rFonts w:ascii="Arial" w:eastAsia="Calibri" w:hAnsi="Arial" w:cs="Arial"/>
          <w:i/>
          <w:iCs/>
          <w:color w:val="000000"/>
          <w:sz w:val="20"/>
          <w:szCs w:val="20"/>
          <w:shd w:val="clear" w:color="auto" w:fill="FFFFFF"/>
          <w:lang w:eastAsia="en-US"/>
        </w:rPr>
      </w:pPr>
      <w:r w:rsidRPr="00225B89">
        <w:rPr>
          <w:rFonts w:ascii="Arial" w:eastAsia="Calibri" w:hAnsi="Arial" w:cs="Arial"/>
          <w:sz w:val="20"/>
          <w:szCs w:val="20"/>
          <w:lang w:eastAsia="en-US"/>
        </w:rPr>
        <w:t xml:space="preserve">10.000,00 € pomoć Ministarstva kulture i medija za izložbene aktivnosti tijekom 2025. godine: izložbe </w:t>
      </w:r>
      <w:r w:rsidRPr="00225B89">
        <w:rPr>
          <w:rFonts w:ascii="Arial" w:eastAsia="Calibri" w:hAnsi="Arial" w:cs="Arial"/>
          <w:bCs/>
          <w:i/>
          <w:iCs/>
          <w:sz w:val="20"/>
          <w:szCs w:val="20"/>
          <w:lang w:eastAsia="en-US"/>
        </w:rPr>
        <w:t xml:space="preserve">Cavtaćanin Niko Miljan_praški učenik Vlaha Bukovca, Bukovac i Bogišić, dvije glasovite cavtatske obitelji, Ratko Zvrko, lik i djelo, Arheo pop-up i Šarena školica. </w:t>
      </w:r>
    </w:p>
    <w:p w14:paraId="0BB00FDE" w14:textId="7D5520D9" w:rsidR="00BF3FB4" w:rsidRPr="00225B89" w:rsidRDefault="00BF3FB4">
      <w:pPr>
        <w:numPr>
          <w:ilvl w:val="0"/>
          <w:numId w:val="36"/>
        </w:numPr>
        <w:spacing w:after="160" w:line="259" w:lineRule="auto"/>
        <w:contextualSpacing/>
        <w:jc w:val="both"/>
        <w:rPr>
          <w:rFonts w:ascii="Arial" w:eastAsia="Calibri" w:hAnsi="Arial" w:cs="Arial"/>
          <w:i/>
          <w:iCs/>
          <w:color w:val="000000"/>
          <w:sz w:val="20"/>
          <w:szCs w:val="20"/>
          <w:shd w:val="clear" w:color="auto" w:fill="FFFFFF"/>
          <w:lang w:eastAsia="en-US"/>
        </w:rPr>
      </w:pPr>
      <w:r w:rsidRPr="00225B89">
        <w:rPr>
          <w:rFonts w:ascii="Arial" w:eastAsia="Calibri" w:hAnsi="Arial" w:cs="Arial"/>
          <w:sz w:val="20"/>
          <w:szCs w:val="20"/>
          <w:lang w:eastAsia="en-US"/>
        </w:rPr>
        <w:t>800,00 € pomoć od Dubrovačko-neretvanske županije za izložbenu aktivnost</w:t>
      </w:r>
    </w:p>
    <w:p w14:paraId="29983D22" w14:textId="5D4FD611" w:rsidR="00BF3FB4" w:rsidRPr="00225B89" w:rsidRDefault="00BF3FB4">
      <w:pPr>
        <w:numPr>
          <w:ilvl w:val="0"/>
          <w:numId w:val="36"/>
        </w:numPr>
        <w:spacing w:after="160" w:line="259" w:lineRule="auto"/>
        <w:contextualSpacing/>
        <w:jc w:val="both"/>
        <w:rPr>
          <w:rFonts w:ascii="Arial" w:eastAsia="Calibri" w:hAnsi="Arial" w:cs="Arial"/>
          <w:color w:val="000000"/>
          <w:sz w:val="20"/>
          <w:szCs w:val="20"/>
          <w:shd w:val="clear" w:color="auto" w:fill="FFFFFF"/>
          <w:lang w:eastAsia="en-US"/>
        </w:rPr>
      </w:pPr>
      <w:r w:rsidRPr="00225B89">
        <w:rPr>
          <w:rFonts w:ascii="Arial" w:eastAsia="Calibri" w:hAnsi="Arial" w:cs="Arial"/>
          <w:color w:val="000000"/>
          <w:sz w:val="20"/>
          <w:szCs w:val="20"/>
          <w:shd w:val="clear" w:color="auto" w:fill="FFFFFF"/>
          <w:lang w:eastAsia="en-US"/>
        </w:rPr>
        <w:t xml:space="preserve">4.000,00 € </w:t>
      </w:r>
      <w:r w:rsidRPr="00225B89">
        <w:rPr>
          <w:rFonts w:ascii="Arial" w:eastAsia="Calibri" w:hAnsi="Arial" w:cs="Arial"/>
          <w:sz w:val="20"/>
          <w:szCs w:val="20"/>
          <w:lang w:eastAsia="en-US"/>
        </w:rPr>
        <w:t xml:space="preserve">pomoć Ministarstva kulture i medija za </w:t>
      </w:r>
      <w:r w:rsidRPr="00225B89">
        <w:rPr>
          <w:rFonts w:ascii="Arial" w:eastAsia="Calibri" w:hAnsi="Arial" w:cs="Arial"/>
          <w:color w:val="000000"/>
          <w:sz w:val="20"/>
          <w:szCs w:val="20"/>
          <w:shd w:val="clear" w:color="auto" w:fill="FFFFFF"/>
          <w:lang w:eastAsia="en-US"/>
        </w:rPr>
        <w:t>za izradu teksta i grafički dizajn 4. slikovnice o Vlahu Bukovcu</w:t>
      </w:r>
    </w:p>
    <w:p w14:paraId="25EBB3F7" w14:textId="18C6CFFF" w:rsidR="00BF3FB4" w:rsidRPr="00225B89" w:rsidRDefault="00BF3FB4">
      <w:pPr>
        <w:numPr>
          <w:ilvl w:val="0"/>
          <w:numId w:val="36"/>
        </w:numPr>
        <w:spacing w:after="160" w:line="259" w:lineRule="auto"/>
        <w:contextualSpacing/>
        <w:jc w:val="both"/>
        <w:rPr>
          <w:rFonts w:ascii="Arial" w:eastAsia="Calibri" w:hAnsi="Arial" w:cs="Arial"/>
          <w:color w:val="000000"/>
          <w:sz w:val="20"/>
          <w:szCs w:val="20"/>
          <w:shd w:val="clear" w:color="auto" w:fill="FFFFFF"/>
          <w:lang w:eastAsia="en-US"/>
        </w:rPr>
      </w:pPr>
      <w:r w:rsidRPr="00225B89">
        <w:rPr>
          <w:rFonts w:ascii="Arial" w:eastAsia="Calibri" w:hAnsi="Arial" w:cs="Arial"/>
          <w:color w:val="000000"/>
          <w:sz w:val="20"/>
          <w:szCs w:val="20"/>
          <w:shd w:val="clear" w:color="auto" w:fill="FFFFFF"/>
          <w:lang w:eastAsia="en-US"/>
        </w:rPr>
        <w:t>10.000,00 € pomoć Ministarstva kulture i medija za cjelovitu restauracija harmonija KB-708 iz fundusa Kuće Bukovac</w:t>
      </w:r>
    </w:p>
    <w:p w14:paraId="35D4EE49" w14:textId="39A1B767" w:rsidR="00BF3FB4" w:rsidRPr="00225B89" w:rsidRDefault="00BF3FB4">
      <w:pPr>
        <w:numPr>
          <w:ilvl w:val="0"/>
          <w:numId w:val="36"/>
        </w:numPr>
        <w:spacing w:after="160" w:line="259" w:lineRule="auto"/>
        <w:contextualSpacing/>
        <w:jc w:val="both"/>
        <w:rPr>
          <w:rFonts w:ascii="Arial" w:eastAsia="Calibri" w:hAnsi="Arial" w:cs="Arial"/>
          <w:color w:val="000000"/>
          <w:sz w:val="20"/>
          <w:szCs w:val="20"/>
          <w:shd w:val="clear" w:color="auto" w:fill="FFFFFF"/>
          <w:lang w:eastAsia="en-US"/>
        </w:rPr>
      </w:pPr>
      <w:r w:rsidRPr="00225B89">
        <w:rPr>
          <w:rFonts w:ascii="Arial" w:eastAsia="Calibri" w:hAnsi="Arial" w:cs="Arial"/>
          <w:color w:val="000000"/>
          <w:sz w:val="20"/>
          <w:szCs w:val="20"/>
          <w:shd w:val="clear" w:color="auto" w:fill="FFFFFF"/>
          <w:lang w:eastAsia="en-US"/>
        </w:rPr>
        <w:t>14.987,50 € pomoć Ministarstva kulture i medija za zaštitu i očuvanje nepokretnih kulturnih dobara na konzervatorsko-restauratorske radove na Mauzoleju Račić</w:t>
      </w:r>
    </w:p>
    <w:p w14:paraId="03D0E469" w14:textId="53A8D0C3" w:rsidR="00BF3FB4" w:rsidRPr="00225B89" w:rsidRDefault="00BF3FB4">
      <w:pPr>
        <w:numPr>
          <w:ilvl w:val="0"/>
          <w:numId w:val="36"/>
        </w:numPr>
        <w:spacing w:after="160" w:line="259" w:lineRule="auto"/>
        <w:contextualSpacing/>
        <w:jc w:val="both"/>
        <w:rPr>
          <w:rFonts w:ascii="Arial" w:eastAsia="Calibri" w:hAnsi="Arial" w:cs="Arial"/>
          <w:color w:val="000000"/>
          <w:sz w:val="20"/>
          <w:szCs w:val="20"/>
          <w:shd w:val="clear" w:color="auto" w:fill="FFFFFF"/>
          <w:lang w:eastAsia="en-US"/>
        </w:rPr>
      </w:pPr>
      <w:r w:rsidRPr="00225B89">
        <w:rPr>
          <w:rFonts w:ascii="Arial" w:eastAsia="Calibri" w:hAnsi="Arial" w:cs="Arial"/>
          <w:color w:val="000000"/>
          <w:sz w:val="20"/>
          <w:szCs w:val="20"/>
          <w:shd w:val="clear" w:color="auto" w:fill="FFFFFF"/>
          <w:lang w:eastAsia="en-US"/>
        </w:rPr>
        <w:t>6.000,00 € pomoć Ministarstva kulture i medija za program digitalizacije slika i crteža Vlaha Bukovca iz zbirke Kuće Bukovac</w:t>
      </w:r>
    </w:p>
    <w:p w14:paraId="7EB1CECB" w14:textId="389E65BD" w:rsidR="00BF3FB4" w:rsidRPr="00225B89" w:rsidRDefault="00BF3FB4">
      <w:pPr>
        <w:numPr>
          <w:ilvl w:val="0"/>
          <w:numId w:val="36"/>
        </w:numPr>
        <w:spacing w:after="160" w:line="259" w:lineRule="auto"/>
        <w:contextualSpacing/>
        <w:jc w:val="both"/>
        <w:rPr>
          <w:rFonts w:ascii="Arial" w:eastAsia="Calibri" w:hAnsi="Arial" w:cs="Arial"/>
          <w:color w:val="000000"/>
          <w:sz w:val="20"/>
          <w:szCs w:val="20"/>
          <w:shd w:val="clear" w:color="auto" w:fill="FFFFFF"/>
          <w:lang w:eastAsia="en-US"/>
        </w:rPr>
      </w:pPr>
      <w:r w:rsidRPr="00225B89">
        <w:rPr>
          <w:rFonts w:ascii="Arial" w:eastAsia="Calibri" w:hAnsi="Arial" w:cs="Arial"/>
          <w:color w:val="000000"/>
          <w:sz w:val="20"/>
          <w:szCs w:val="20"/>
          <w:shd w:val="clear" w:color="auto" w:fill="FFFFFF"/>
          <w:lang w:eastAsia="en-US"/>
        </w:rPr>
        <w:t>8.000,00 € pomoći Ministarstva kulture i medija za program zaštite i očuvanja kopnene arheološke baštine, arheološka istraživanja na lokaciji Rat, Cavtat</w:t>
      </w:r>
    </w:p>
    <w:p w14:paraId="06574B3E" w14:textId="77777777" w:rsidR="00BF3FB4" w:rsidRPr="00225B89" w:rsidRDefault="00BF3FB4" w:rsidP="00BF3FB4">
      <w:pPr>
        <w:ind w:left="720"/>
        <w:contextualSpacing/>
        <w:jc w:val="both"/>
        <w:rPr>
          <w:rFonts w:ascii="Arial" w:eastAsia="Calibri" w:hAnsi="Arial" w:cs="Arial"/>
          <w:color w:val="000000"/>
          <w:sz w:val="20"/>
          <w:szCs w:val="20"/>
          <w:shd w:val="clear" w:color="auto" w:fill="FFFFFF"/>
          <w:lang w:eastAsia="en-US"/>
        </w:rPr>
      </w:pPr>
    </w:p>
    <w:p w14:paraId="5DEE48FC" w14:textId="77777777" w:rsidR="00BF3FB4" w:rsidRPr="00225B89" w:rsidRDefault="00BF3FB4">
      <w:pPr>
        <w:numPr>
          <w:ilvl w:val="0"/>
          <w:numId w:val="37"/>
        </w:numPr>
        <w:spacing w:after="160" w:line="259" w:lineRule="auto"/>
        <w:contextualSpacing/>
        <w:jc w:val="both"/>
        <w:rPr>
          <w:rFonts w:ascii="Arial" w:eastAsia="Calibri" w:hAnsi="Arial" w:cs="Arial"/>
          <w:sz w:val="20"/>
          <w:szCs w:val="20"/>
          <w:lang w:eastAsia="en-US"/>
        </w:rPr>
      </w:pPr>
      <w:r w:rsidRPr="00225B89">
        <w:rPr>
          <w:rFonts w:ascii="Arial" w:eastAsia="Calibri" w:hAnsi="Arial" w:cs="Arial"/>
          <w:b/>
          <w:bCs/>
          <w:i/>
          <w:iCs/>
          <w:sz w:val="20"/>
          <w:szCs w:val="20"/>
          <w:lang w:eastAsia="en-US"/>
        </w:rPr>
        <w:t>Prihodi od upravnih i administrativnih pristojbi, pristojbi po posebnim propisima i naknade</w:t>
      </w:r>
      <w:r w:rsidRPr="00225B89">
        <w:rPr>
          <w:rFonts w:ascii="Arial" w:eastAsia="Calibri" w:hAnsi="Arial" w:cs="Arial"/>
          <w:sz w:val="20"/>
          <w:szCs w:val="20"/>
          <w:lang w:eastAsia="en-US"/>
        </w:rPr>
        <w:t xml:space="preserve">  </w:t>
      </w:r>
    </w:p>
    <w:p w14:paraId="1972E5FB" w14:textId="309B7E0D" w:rsidR="00BF3FB4" w:rsidRPr="00225B89" w:rsidRDefault="00BF3FB4" w:rsidP="00BF3FB4">
      <w:pPr>
        <w:ind w:left="720"/>
        <w:contextualSpacing/>
        <w:jc w:val="both"/>
        <w:rPr>
          <w:rFonts w:ascii="Arial" w:eastAsia="Calibri" w:hAnsi="Arial" w:cs="Arial"/>
          <w:sz w:val="20"/>
          <w:szCs w:val="20"/>
          <w:lang w:eastAsia="en-US"/>
        </w:rPr>
      </w:pPr>
      <w:r w:rsidRPr="00225B89">
        <w:rPr>
          <w:rFonts w:ascii="Arial" w:eastAsia="Calibri" w:hAnsi="Arial" w:cs="Arial"/>
          <w:sz w:val="20"/>
          <w:szCs w:val="20"/>
          <w:lang w:eastAsia="en-US"/>
        </w:rPr>
        <w:t>U 2025. godini  ostvaren je prihod od prodanih ulaznica u svim muzejskim jedinicama u iznosu od 52.902,20 € što predstavlja povećanje od 26% u odnosu na prethodnu godinu. Povećanje prihoda prvenstveno je rezultat povećanja cijena ulaznica za Kuću Bukovac koja ostvaruje najveći udio u ukupnom broju posjetitelja. Ukupni broj posjetitelja ustanove je na nivou prošlogodišnjeg.</w:t>
      </w:r>
    </w:p>
    <w:p w14:paraId="67EDA061" w14:textId="77777777" w:rsidR="00BF3FB4" w:rsidRPr="00225B89" w:rsidRDefault="00BF3FB4" w:rsidP="00BF3FB4">
      <w:pPr>
        <w:ind w:left="720"/>
        <w:contextualSpacing/>
        <w:jc w:val="both"/>
        <w:rPr>
          <w:rFonts w:ascii="Arial" w:eastAsia="Calibri" w:hAnsi="Arial" w:cs="Arial"/>
          <w:b/>
          <w:bCs/>
          <w:sz w:val="20"/>
          <w:szCs w:val="20"/>
          <w:lang w:eastAsia="en-US"/>
        </w:rPr>
      </w:pPr>
      <w:r w:rsidRPr="00225B89">
        <w:rPr>
          <w:rFonts w:ascii="Arial" w:eastAsia="Calibri" w:hAnsi="Arial" w:cs="Arial"/>
          <w:sz w:val="20"/>
          <w:szCs w:val="20"/>
          <w:lang w:eastAsia="en-US"/>
        </w:rPr>
        <w:t xml:space="preserve">U </w:t>
      </w:r>
      <w:r w:rsidRPr="00225B89">
        <w:rPr>
          <w:rFonts w:ascii="Arial" w:eastAsia="Calibri" w:hAnsi="Arial" w:cs="Arial"/>
          <w:b/>
          <w:bCs/>
          <w:sz w:val="20"/>
          <w:szCs w:val="20"/>
          <w:lang w:eastAsia="en-US"/>
        </w:rPr>
        <w:t xml:space="preserve">2025. godini naplaćena je odštete od osiguravajuće kuće </w:t>
      </w:r>
      <w:r w:rsidRPr="00225B89">
        <w:rPr>
          <w:rFonts w:ascii="Arial" w:eastAsia="Calibri" w:hAnsi="Arial" w:cs="Arial"/>
          <w:sz w:val="20"/>
          <w:szCs w:val="20"/>
          <w:lang w:eastAsia="en-US"/>
        </w:rPr>
        <w:t>zbog za nastale štete na opremi</w:t>
      </w:r>
      <w:r w:rsidRPr="00225B89">
        <w:rPr>
          <w:rFonts w:ascii="Arial" w:eastAsia="Calibri" w:hAnsi="Arial" w:cs="Arial"/>
          <w:b/>
          <w:bCs/>
          <w:sz w:val="20"/>
          <w:szCs w:val="20"/>
          <w:lang w:eastAsia="en-US"/>
        </w:rPr>
        <w:t xml:space="preserve"> uslijed udara groma u Depou Pločice</w:t>
      </w:r>
      <w:r w:rsidRPr="00225B89">
        <w:rPr>
          <w:rFonts w:ascii="Arial" w:eastAsia="Calibri" w:hAnsi="Arial" w:cs="Arial"/>
          <w:sz w:val="20"/>
          <w:szCs w:val="20"/>
          <w:lang w:eastAsia="en-US"/>
        </w:rPr>
        <w:t>, dok u</w:t>
      </w:r>
      <w:r w:rsidRPr="00225B89">
        <w:rPr>
          <w:rFonts w:ascii="Arial" w:eastAsia="Calibri" w:hAnsi="Arial" w:cs="Arial"/>
          <w:b/>
          <w:bCs/>
          <w:sz w:val="20"/>
          <w:szCs w:val="20"/>
          <w:lang w:eastAsia="en-US"/>
        </w:rPr>
        <w:t xml:space="preserve"> 2024. godini nije bilo evidentiranih štetnih događaja.</w:t>
      </w:r>
    </w:p>
    <w:p w14:paraId="222E8D0B" w14:textId="77777777" w:rsidR="00BF3FB4" w:rsidRPr="00225B89" w:rsidRDefault="00BF3FB4" w:rsidP="00BF3FB4">
      <w:pPr>
        <w:ind w:left="720"/>
        <w:contextualSpacing/>
        <w:jc w:val="both"/>
        <w:rPr>
          <w:rFonts w:ascii="Arial" w:eastAsia="Calibri" w:hAnsi="Arial" w:cs="Arial"/>
          <w:b/>
          <w:bCs/>
          <w:sz w:val="20"/>
          <w:szCs w:val="20"/>
          <w:lang w:eastAsia="en-US"/>
        </w:rPr>
      </w:pPr>
    </w:p>
    <w:p w14:paraId="6EE5B6BC" w14:textId="77777777" w:rsidR="00BF3FB4" w:rsidRPr="00225B89" w:rsidRDefault="00BF3FB4">
      <w:pPr>
        <w:numPr>
          <w:ilvl w:val="0"/>
          <w:numId w:val="37"/>
        </w:numPr>
        <w:spacing w:after="0" w:line="259" w:lineRule="auto"/>
        <w:contextualSpacing/>
        <w:jc w:val="both"/>
        <w:rPr>
          <w:rFonts w:ascii="Arial" w:eastAsia="Calibri" w:hAnsi="Arial" w:cs="Arial"/>
          <w:sz w:val="20"/>
          <w:szCs w:val="20"/>
          <w:lang w:eastAsia="en-US"/>
        </w:rPr>
      </w:pPr>
      <w:r w:rsidRPr="00225B89">
        <w:rPr>
          <w:rFonts w:ascii="Arial" w:eastAsia="Calibri" w:hAnsi="Arial" w:cs="Arial"/>
          <w:b/>
          <w:bCs/>
          <w:i/>
          <w:iCs/>
          <w:sz w:val="20"/>
          <w:szCs w:val="20"/>
          <w:lang w:eastAsia="en-US"/>
        </w:rPr>
        <w:t>Prihodi od prodaje proizvoda i robe, te pruženih usluga i prihodi od donacija</w:t>
      </w:r>
      <w:r w:rsidRPr="00225B89">
        <w:rPr>
          <w:rFonts w:ascii="Arial" w:eastAsia="Calibri" w:hAnsi="Arial" w:cs="Arial"/>
          <w:sz w:val="20"/>
          <w:szCs w:val="20"/>
          <w:lang w:eastAsia="en-US"/>
        </w:rPr>
        <w:t xml:space="preserve"> </w:t>
      </w:r>
    </w:p>
    <w:p w14:paraId="7DA03F08" w14:textId="6DA5DD85" w:rsidR="00BF3FB4" w:rsidRPr="00225B89" w:rsidRDefault="00BF3FB4" w:rsidP="00BF3FB4">
      <w:pPr>
        <w:spacing w:after="0" w:line="259" w:lineRule="auto"/>
        <w:ind w:left="708"/>
        <w:jc w:val="both"/>
        <w:rPr>
          <w:rFonts w:ascii="Arial" w:eastAsia="Calibri" w:hAnsi="Arial" w:cs="Arial"/>
          <w:kern w:val="2"/>
          <w:sz w:val="20"/>
          <w:szCs w:val="20"/>
          <w:lang w:eastAsia="en-US"/>
          <w14:ligatures w14:val="standardContextual"/>
        </w:rPr>
      </w:pPr>
      <w:r w:rsidRPr="00225B89">
        <w:rPr>
          <w:rFonts w:ascii="Arial" w:eastAsia="Calibri" w:hAnsi="Arial" w:cs="Arial"/>
          <w:kern w:val="2"/>
          <w:sz w:val="20"/>
          <w:szCs w:val="20"/>
          <w:lang w:eastAsia="en-US"/>
          <w14:ligatures w14:val="standardContextual"/>
        </w:rPr>
        <w:t xml:space="preserve">U 2025. godini ostvareni su prihodi od prodaje suvenirskog programa i izdavaštva u svim muzejskim jedinicama u iznosu od 65.968,41 €, što predstavlja povećanje od 162 % u odnosu na prethodnu godinu. Rast prihoda ponajprije je rezultat prodaje monografije </w:t>
      </w:r>
      <w:r w:rsidRPr="00225B89">
        <w:rPr>
          <w:rFonts w:ascii="Arial" w:eastAsia="Calibri" w:hAnsi="Arial" w:cs="Arial"/>
          <w:i/>
          <w:iCs/>
          <w:kern w:val="2"/>
          <w:sz w:val="20"/>
          <w:szCs w:val="20"/>
          <w:lang w:eastAsia="en-US"/>
          <w14:ligatures w14:val="standardContextual"/>
        </w:rPr>
        <w:t>Vlaho Bukovac</w:t>
      </w:r>
      <w:r w:rsidRPr="00225B89">
        <w:rPr>
          <w:rFonts w:ascii="Arial" w:eastAsia="Calibri" w:hAnsi="Arial" w:cs="Arial"/>
          <w:kern w:val="2"/>
          <w:sz w:val="20"/>
          <w:szCs w:val="20"/>
          <w:lang w:eastAsia="en-US"/>
          <w14:ligatures w14:val="standardContextual"/>
        </w:rPr>
        <w:t>, koja je zbog velikog interesa šire javnosti u kratkom roku plasirana putem kupnji i otkupa za narodne knjižnice.</w:t>
      </w:r>
    </w:p>
    <w:p w14:paraId="079F161D" w14:textId="6A70D955" w:rsidR="00BF3FB4" w:rsidRPr="00225B89" w:rsidRDefault="00BF3FB4" w:rsidP="00BF3FB4">
      <w:pPr>
        <w:spacing w:after="0"/>
        <w:ind w:left="720"/>
        <w:contextualSpacing/>
        <w:jc w:val="both"/>
        <w:rPr>
          <w:rFonts w:ascii="Arial" w:eastAsia="Calibri" w:hAnsi="Arial" w:cs="Arial"/>
          <w:sz w:val="20"/>
          <w:szCs w:val="20"/>
          <w:lang w:eastAsia="en-US"/>
        </w:rPr>
      </w:pPr>
      <w:r w:rsidRPr="00225B89">
        <w:rPr>
          <w:rFonts w:ascii="Arial" w:eastAsia="Calibri" w:hAnsi="Arial" w:cs="Arial"/>
          <w:sz w:val="20"/>
          <w:szCs w:val="20"/>
          <w:lang w:eastAsia="en-US"/>
        </w:rPr>
        <w:t xml:space="preserve">Prihodi od pruženih usluga u 2025. godini ostvareni su u iznosu od 8.599,82 €, a prihodi od tekućih donacija u iznosu od 3.979,00 od čega je 1.500 € primitak od Turističke zajednice Općine Konavle, 2.409 € razlika prema programu Erasmus+ ATME, 70 € donacija od fizičkih osoba. </w:t>
      </w:r>
    </w:p>
    <w:p w14:paraId="7D2001EA" w14:textId="77777777" w:rsidR="00BF3FB4" w:rsidRPr="00225B89" w:rsidRDefault="00BF3FB4" w:rsidP="00BF3FB4">
      <w:pPr>
        <w:ind w:left="720"/>
        <w:contextualSpacing/>
        <w:rPr>
          <w:rFonts w:ascii="Arial" w:eastAsia="Calibri" w:hAnsi="Arial" w:cs="Arial"/>
          <w:sz w:val="20"/>
          <w:szCs w:val="20"/>
          <w:lang w:eastAsia="en-US"/>
        </w:rPr>
      </w:pPr>
    </w:p>
    <w:p w14:paraId="4FF674BA" w14:textId="77777777" w:rsidR="00BF3FB4" w:rsidRPr="00225B89" w:rsidRDefault="00BF3FB4">
      <w:pPr>
        <w:numPr>
          <w:ilvl w:val="0"/>
          <w:numId w:val="37"/>
        </w:numPr>
        <w:spacing w:after="0" w:line="259" w:lineRule="auto"/>
        <w:contextualSpacing/>
        <w:jc w:val="both"/>
        <w:rPr>
          <w:rFonts w:ascii="Arial" w:eastAsia="Calibri" w:hAnsi="Arial" w:cs="Arial"/>
          <w:sz w:val="20"/>
          <w:szCs w:val="20"/>
          <w:lang w:eastAsia="en-US"/>
        </w:rPr>
      </w:pPr>
      <w:r w:rsidRPr="00225B89">
        <w:rPr>
          <w:rFonts w:ascii="Arial" w:eastAsia="Calibri" w:hAnsi="Arial" w:cs="Arial"/>
          <w:b/>
          <w:bCs/>
          <w:i/>
          <w:iCs/>
          <w:sz w:val="20"/>
          <w:szCs w:val="20"/>
          <w:lang w:eastAsia="en-US"/>
        </w:rPr>
        <w:t>Prihodi iz nadležnog proračuna i HZZO-a temeljem ugovornih obveza</w:t>
      </w:r>
      <w:r w:rsidRPr="00225B89">
        <w:rPr>
          <w:rFonts w:ascii="Arial" w:eastAsia="Calibri" w:hAnsi="Arial" w:cs="Arial"/>
          <w:i/>
          <w:iCs/>
          <w:sz w:val="20"/>
          <w:szCs w:val="20"/>
          <w:lang w:eastAsia="en-US"/>
        </w:rPr>
        <w:t xml:space="preserve"> </w:t>
      </w:r>
      <w:r w:rsidRPr="00225B89">
        <w:rPr>
          <w:rFonts w:ascii="Arial" w:eastAsia="Calibri" w:hAnsi="Arial" w:cs="Arial"/>
          <w:sz w:val="20"/>
          <w:szCs w:val="20"/>
          <w:lang w:eastAsia="en-US"/>
        </w:rPr>
        <w:t xml:space="preserve"> </w:t>
      </w:r>
    </w:p>
    <w:p w14:paraId="3CE8F430" w14:textId="475040C1" w:rsidR="00BF3FB4" w:rsidRPr="00225B89" w:rsidRDefault="00BF3FB4" w:rsidP="00BF3FB4">
      <w:pPr>
        <w:spacing w:after="0"/>
        <w:ind w:left="720"/>
        <w:contextualSpacing/>
        <w:jc w:val="both"/>
        <w:rPr>
          <w:rFonts w:ascii="Arial" w:eastAsia="Calibri" w:hAnsi="Arial" w:cs="Arial"/>
          <w:sz w:val="20"/>
          <w:szCs w:val="20"/>
          <w:lang w:eastAsia="en-US"/>
        </w:rPr>
      </w:pPr>
      <w:r w:rsidRPr="00225B89">
        <w:rPr>
          <w:rFonts w:ascii="Arial" w:eastAsia="Calibri" w:hAnsi="Arial" w:cs="Arial"/>
          <w:sz w:val="20"/>
          <w:szCs w:val="20"/>
          <w:lang w:eastAsia="en-US"/>
        </w:rPr>
        <w:t>Prihodi ostvareni od nadležnog općinskog proračuna u 2025. godini iznose 523.143,67 € za potrebe realizacije redovne djelatnosti ustanove u kulturi te su povećani 58,12 % prvenstveno zbog povećanja plaća zaposlenika, troškova tiskanja kapitalnog djela monografije Vlaho Bukovac i nabavu klimatizacijskih uređaja, stolarije i radova u muzejskim jedinicama.</w:t>
      </w:r>
    </w:p>
    <w:p w14:paraId="4FECAF80" w14:textId="77777777" w:rsidR="00BF3FB4" w:rsidRPr="00225B89" w:rsidRDefault="00BF3FB4" w:rsidP="00BF3FB4">
      <w:pPr>
        <w:spacing w:after="0"/>
        <w:ind w:left="720"/>
        <w:contextualSpacing/>
        <w:jc w:val="both"/>
        <w:rPr>
          <w:rFonts w:ascii="Arial" w:eastAsia="Calibri" w:hAnsi="Arial" w:cs="Arial"/>
          <w:sz w:val="20"/>
          <w:szCs w:val="20"/>
          <w:lang w:eastAsia="en-US"/>
        </w:rPr>
      </w:pPr>
    </w:p>
    <w:p w14:paraId="4615A814" w14:textId="77777777" w:rsidR="00BF3FB4" w:rsidRPr="00225B89" w:rsidRDefault="00BF3FB4">
      <w:pPr>
        <w:numPr>
          <w:ilvl w:val="0"/>
          <w:numId w:val="37"/>
        </w:numPr>
        <w:spacing w:after="160" w:line="259" w:lineRule="auto"/>
        <w:contextualSpacing/>
        <w:rPr>
          <w:rFonts w:ascii="Arial" w:eastAsia="Calibri" w:hAnsi="Arial" w:cs="Arial"/>
          <w:b/>
          <w:sz w:val="20"/>
          <w:szCs w:val="20"/>
          <w:lang w:eastAsia="en-US"/>
        </w:rPr>
      </w:pPr>
      <w:r w:rsidRPr="00225B89">
        <w:rPr>
          <w:rFonts w:ascii="Arial" w:eastAsia="Calibri" w:hAnsi="Arial" w:cs="Arial"/>
          <w:b/>
          <w:sz w:val="20"/>
          <w:szCs w:val="20"/>
          <w:lang w:eastAsia="en-US"/>
        </w:rPr>
        <w:t xml:space="preserve">Prihodi iz nadležnog proračuna za financiranje rashoda za nabavu nefinancijske imovine </w:t>
      </w:r>
    </w:p>
    <w:p w14:paraId="47DDD44B" w14:textId="2945DA2B" w:rsidR="00BF3FB4" w:rsidRPr="00225B89" w:rsidRDefault="00BF3FB4" w:rsidP="00BF3FB4">
      <w:pPr>
        <w:spacing w:after="0"/>
        <w:ind w:left="720"/>
        <w:contextualSpacing/>
        <w:jc w:val="both"/>
        <w:rPr>
          <w:rFonts w:ascii="Arial" w:eastAsia="Calibri" w:hAnsi="Arial" w:cs="Arial"/>
          <w:sz w:val="20"/>
          <w:szCs w:val="20"/>
          <w:lang w:eastAsia="en-US"/>
        </w:rPr>
      </w:pPr>
      <w:r w:rsidRPr="00225B89">
        <w:rPr>
          <w:rFonts w:ascii="Arial" w:eastAsia="Calibri" w:hAnsi="Arial" w:cs="Arial"/>
          <w:sz w:val="20"/>
          <w:szCs w:val="20"/>
          <w:lang w:eastAsia="en-US"/>
        </w:rPr>
        <w:lastRenderedPageBreak/>
        <w:t xml:space="preserve">Prihodi iz nadležnog proračuna za financiranje rashoda za nabavu nefinancijske imovine u 2025. godini iznose 22.806,58 €, što je u usporedbi s prethodnom godinom višestruko više. Povećanje se prvenstveno odnosi na otkup muzejske građe – slike Vlaha Bukovca </w:t>
      </w:r>
      <w:r w:rsidRPr="00225B89">
        <w:rPr>
          <w:rFonts w:ascii="Arial" w:eastAsia="Calibri" w:hAnsi="Arial" w:cs="Arial"/>
          <w:i/>
          <w:iCs/>
          <w:sz w:val="20"/>
          <w:szCs w:val="20"/>
          <w:lang w:eastAsia="en-US"/>
        </w:rPr>
        <w:t>Studija figure slikara „Alegorija umjetnosti“</w:t>
      </w:r>
      <w:r w:rsidRPr="00225B89">
        <w:rPr>
          <w:rFonts w:ascii="Arial" w:eastAsia="Calibri" w:hAnsi="Arial" w:cs="Arial"/>
          <w:sz w:val="20"/>
          <w:szCs w:val="20"/>
          <w:lang w:eastAsia="en-US"/>
        </w:rPr>
        <w:t xml:space="preserve"> – za potrebe fundusa Kuće Bukovac.</w:t>
      </w:r>
    </w:p>
    <w:p w14:paraId="24261099" w14:textId="77777777" w:rsidR="00BF3FB4" w:rsidRPr="00225B89" w:rsidRDefault="00BF3FB4" w:rsidP="00BF3FB4">
      <w:pPr>
        <w:spacing w:after="0"/>
        <w:ind w:left="720"/>
        <w:contextualSpacing/>
        <w:jc w:val="both"/>
        <w:rPr>
          <w:rFonts w:ascii="Arial" w:eastAsia="Calibri" w:hAnsi="Arial" w:cs="Arial"/>
          <w:sz w:val="20"/>
          <w:szCs w:val="20"/>
          <w:lang w:eastAsia="en-US"/>
        </w:rPr>
      </w:pPr>
    </w:p>
    <w:p w14:paraId="63577EC5" w14:textId="77777777" w:rsidR="00BF3FB4" w:rsidRPr="00225B89" w:rsidRDefault="00BF3FB4">
      <w:pPr>
        <w:numPr>
          <w:ilvl w:val="0"/>
          <w:numId w:val="37"/>
        </w:numPr>
        <w:spacing w:after="160" w:line="259" w:lineRule="auto"/>
        <w:contextualSpacing/>
        <w:rPr>
          <w:rFonts w:ascii="Arial" w:eastAsia="Calibri" w:hAnsi="Arial" w:cs="Arial"/>
          <w:b/>
          <w:sz w:val="20"/>
          <w:szCs w:val="20"/>
          <w:lang w:eastAsia="en-US"/>
        </w:rPr>
      </w:pPr>
      <w:r w:rsidRPr="00225B89">
        <w:rPr>
          <w:rFonts w:ascii="Arial" w:eastAsia="Calibri" w:hAnsi="Arial" w:cs="Arial"/>
          <w:b/>
          <w:sz w:val="20"/>
          <w:szCs w:val="20"/>
          <w:lang w:eastAsia="en-US"/>
        </w:rPr>
        <w:t>Prihodi od prodaje proizvedene dugotrajne imovine, uredska oprema i namještaj</w:t>
      </w:r>
    </w:p>
    <w:p w14:paraId="2EA72675" w14:textId="6C3B3E7D" w:rsidR="00BF3FB4" w:rsidRPr="00225B89" w:rsidRDefault="00BF3FB4" w:rsidP="00BF3FB4">
      <w:pPr>
        <w:spacing w:after="0"/>
        <w:ind w:left="720"/>
        <w:contextualSpacing/>
        <w:jc w:val="both"/>
        <w:rPr>
          <w:rFonts w:ascii="Arial" w:eastAsia="Calibri" w:hAnsi="Arial" w:cs="Arial"/>
          <w:sz w:val="20"/>
          <w:szCs w:val="20"/>
          <w:lang w:eastAsia="en-US"/>
        </w:rPr>
      </w:pPr>
      <w:r w:rsidRPr="00225B89">
        <w:rPr>
          <w:rFonts w:ascii="Arial" w:eastAsia="Calibri" w:hAnsi="Arial" w:cs="Arial"/>
          <w:sz w:val="20"/>
          <w:szCs w:val="20"/>
          <w:lang w:eastAsia="en-US"/>
        </w:rPr>
        <w:t>Radi se o prihodu od 50 € od prodaje rashodovanog računala zastarjelih performansi, umjesto odvoza na odlagalište elektroničkog otpada.</w:t>
      </w:r>
    </w:p>
    <w:p w14:paraId="14F1825D" w14:textId="77777777" w:rsidR="00DA693C" w:rsidRPr="00225B89" w:rsidRDefault="00DA693C" w:rsidP="00DA693C">
      <w:pPr>
        <w:spacing w:after="0" w:line="240" w:lineRule="auto"/>
        <w:rPr>
          <w:rFonts w:ascii="Arial" w:hAnsi="Arial" w:cs="Arial"/>
          <w:sz w:val="20"/>
          <w:szCs w:val="20"/>
          <w:lang w:eastAsia="en-US"/>
        </w:rPr>
      </w:pPr>
    </w:p>
    <w:p w14:paraId="1022F82A" w14:textId="77777777" w:rsidR="00DA693C" w:rsidRPr="00225B89" w:rsidRDefault="00DA693C" w:rsidP="00DA693C">
      <w:pPr>
        <w:spacing w:after="0" w:line="240" w:lineRule="auto"/>
        <w:rPr>
          <w:rFonts w:ascii="Arial" w:hAnsi="Arial" w:cs="Arial"/>
          <w:sz w:val="20"/>
          <w:szCs w:val="20"/>
          <w:lang w:eastAsia="en-US"/>
        </w:rPr>
      </w:pPr>
      <w:r w:rsidRPr="00225B89">
        <w:rPr>
          <w:rFonts w:ascii="Arial" w:hAnsi="Arial" w:cs="Arial"/>
          <w:sz w:val="20"/>
          <w:szCs w:val="20"/>
          <w:lang w:eastAsia="en-US"/>
        </w:rPr>
        <w:t>Opći dio financijskog plana sastoji se od sažetaka računa prihoda i rashoda, prihodi i rashodi su iskazani prema ekonomskoj klasifikaciji i pripadajućim izvorima, a rashodi su iskazani i prema funkcijskoj klasifikaciji.</w:t>
      </w:r>
    </w:p>
    <w:p w14:paraId="474A3C3A" w14:textId="77777777" w:rsidR="00DA693C" w:rsidRPr="00225B89" w:rsidRDefault="00DA693C" w:rsidP="00DA693C">
      <w:pPr>
        <w:spacing w:after="0" w:line="240" w:lineRule="auto"/>
        <w:rPr>
          <w:rFonts w:ascii="Arial" w:hAnsi="Arial" w:cs="Arial"/>
          <w:sz w:val="20"/>
          <w:szCs w:val="20"/>
          <w:lang w:eastAsia="en-US"/>
        </w:rPr>
      </w:pPr>
      <w:bookmarkStart w:id="639" w:name="_Hlk193267936"/>
    </w:p>
    <w:bookmarkEnd w:id="639"/>
    <w:p w14:paraId="52686EAF" w14:textId="77777777" w:rsidR="00BF3FB4" w:rsidRPr="00225B89" w:rsidRDefault="00BF3FB4" w:rsidP="00BF3FB4">
      <w:pPr>
        <w:spacing w:after="0"/>
        <w:rPr>
          <w:rFonts w:ascii="Arial" w:eastAsia="Calibri" w:hAnsi="Arial" w:cs="Arial"/>
          <w:sz w:val="20"/>
          <w:szCs w:val="20"/>
          <w:lang w:eastAsia="en-US"/>
        </w:rPr>
      </w:pPr>
      <w:r w:rsidRPr="00225B89">
        <w:rPr>
          <w:rFonts w:ascii="Arial" w:eastAsia="Calibri" w:hAnsi="Arial" w:cs="Arial"/>
          <w:b/>
          <w:bCs/>
          <w:sz w:val="20"/>
          <w:szCs w:val="20"/>
          <w:lang w:eastAsia="en-US"/>
        </w:rPr>
        <w:t>Rashodi poslovanja za 2025. godinu</w:t>
      </w:r>
    </w:p>
    <w:p w14:paraId="0B6B16FB" w14:textId="77777777" w:rsidR="00BF3FB4" w:rsidRPr="00225B89" w:rsidRDefault="00BF3FB4" w:rsidP="00BF3FB4">
      <w:pPr>
        <w:spacing w:after="0"/>
        <w:rPr>
          <w:rFonts w:ascii="Arial" w:eastAsia="Calibri" w:hAnsi="Arial" w:cs="Arial"/>
          <w:sz w:val="20"/>
          <w:szCs w:val="20"/>
          <w:lang w:eastAsia="en-US"/>
        </w:rPr>
      </w:pPr>
    </w:p>
    <w:p w14:paraId="265D41C6" w14:textId="77777777" w:rsidR="00BF3FB4" w:rsidRPr="00225B89" w:rsidRDefault="00BF3FB4">
      <w:pPr>
        <w:numPr>
          <w:ilvl w:val="0"/>
          <w:numId w:val="37"/>
        </w:numPr>
        <w:spacing w:after="0" w:line="259" w:lineRule="auto"/>
        <w:contextualSpacing/>
        <w:jc w:val="both"/>
        <w:rPr>
          <w:rFonts w:ascii="Arial" w:eastAsia="Calibri" w:hAnsi="Arial" w:cs="Arial"/>
          <w:sz w:val="20"/>
          <w:szCs w:val="20"/>
          <w:lang w:eastAsia="en-US"/>
        </w:rPr>
      </w:pPr>
      <w:r w:rsidRPr="00225B89">
        <w:rPr>
          <w:rFonts w:ascii="Arial" w:eastAsia="Calibri" w:hAnsi="Arial" w:cs="Arial"/>
          <w:b/>
          <w:bCs/>
          <w:i/>
          <w:iCs/>
          <w:sz w:val="20"/>
          <w:szCs w:val="20"/>
          <w:lang w:eastAsia="en-US"/>
        </w:rPr>
        <w:t>Rashodi za zaposlenike</w:t>
      </w:r>
      <w:r w:rsidRPr="00225B89">
        <w:rPr>
          <w:rFonts w:ascii="Arial" w:eastAsia="Calibri" w:hAnsi="Arial" w:cs="Arial"/>
          <w:sz w:val="20"/>
          <w:szCs w:val="20"/>
          <w:lang w:eastAsia="en-US"/>
        </w:rPr>
        <w:t xml:space="preserve"> </w:t>
      </w:r>
    </w:p>
    <w:p w14:paraId="62B1114F" w14:textId="30F80886" w:rsidR="00BF3FB4" w:rsidRPr="00225B89" w:rsidRDefault="00BF3FB4" w:rsidP="00BF3FB4">
      <w:pPr>
        <w:spacing w:after="0"/>
        <w:ind w:left="720"/>
        <w:contextualSpacing/>
        <w:jc w:val="both"/>
        <w:rPr>
          <w:rFonts w:ascii="Arial" w:eastAsia="Calibri" w:hAnsi="Arial" w:cs="Arial"/>
          <w:sz w:val="20"/>
          <w:szCs w:val="20"/>
          <w:lang w:eastAsia="en-US"/>
        </w:rPr>
      </w:pPr>
      <w:r w:rsidRPr="00225B89">
        <w:rPr>
          <w:rFonts w:ascii="Arial" w:eastAsia="Calibri" w:hAnsi="Arial" w:cs="Arial"/>
          <w:sz w:val="20"/>
          <w:szCs w:val="20"/>
          <w:lang w:eastAsia="en-US"/>
        </w:rPr>
        <w:t>Rashodi za zaposlenike za 2025. godinu iznose 435.981,71 € što čini povećanje od 56% zbog povećanja plaća zaposlenika i zbog većeg broja zaposlenika tijekom sezone. Ustanova u 2025. godini na temelju ostvarenih sati rada broji 14  zaposlenika dok je u usporednom razdoblju 2024. godine to  bilo 12 zaposlenika.</w:t>
      </w:r>
    </w:p>
    <w:p w14:paraId="3DF1EF5F" w14:textId="77777777" w:rsidR="00BF3FB4" w:rsidRPr="00225B89" w:rsidRDefault="00BF3FB4" w:rsidP="00BF3FB4">
      <w:pPr>
        <w:spacing w:after="0"/>
        <w:ind w:left="720"/>
        <w:contextualSpacing/>
        <w:jc w:val="both"/>
        <w:rPr>
          <w:rFonts w:ascii="Arial" w:eastAsia="Calibri" w:hAnsi="Arial" w:cs="Arial"/>
          <w:sz w:val="20"/>
          <w:szCs w:val="20"/>
          <w:lang w:eastAsia="en-US"/>
        </w:rPr>
      </w:pPr>
    </w:p>
    <w:p w14:paraId="0578EA07" w14:textId="77777777" w:rsidR="00BF3FB4" w:rsidRPr="00225B89" w:rsidRDefault="00BF3FB4">
      <w:pPr>
        <w:numPr>
          <w:ilvl w:val="0"/>
          <w:numId w:val="37"/>
        </w:numPr>
        <w:spacing w:after="0" w:line="259" w:lineRule="auto"/>
        <w:contextualSpacing/>
        <w:jc w:val="both"/>
        <w:rPr>
          <w:rFonts w:ascii="Arial" w:eastAsia="Calibri" w:hAnsi="Arial" w:cs="Arial"/>
          <w:sz w:val="20"/>
          <w:szCs w:val="20"/>
          <w:lang w:eastAsia="en-US"/>
        </w:rPr>
      </w:pPr>
      <w:r w:rsidRPr="00225B89">
        <w:rPr>
          <w:rFonts w:ascii="Arial" w:eastAsia="Calibri" w:hAnsi="Arial" w:cs="Arial"/>
          <w:b/>
          <w:bCs/>
          <w:i/>
          <w:iCs/>
          <w:sz w:val="20"/>
          <w:szCs w:val="20"/>
          <w:lang w:eastAsia="en-US"/>
        </w:rPr>
        <w:t>Materijalni rashodi</w:t>
      </w:r>
    </w:p>
    <w:p w14:paraId="0AB6D235" w14:textId="628307FE" w:rsidR="00BF3FB4" w:rsidRPr="00225B89" w:rsidRDefault="00BF3FB4" w:rsidP="00BF3FB4">
      <w:pPr>
        <w:spacing w:after="0"/>
        <w:ind w:left="720"/>
        <w:contextualSpacing/>
        <w:jc w:val="both"/>
        <w:rPr>
          <w:rFonts w:ascii="Arial" w:eastAsia="Calibri" w:hAnsi="Arial" w:cs="Arial"/>
          <w:sz w:val="20"/>
          <w:szCs w:val="20"/>
          <w:lang w:eastAsia="en-US"/>
        </w:rPr>
      </w:pPr>
      <w:r w:rsidRPr="00225B89">
        <w:rPr>
          <w:rFonts w:ascii="Arial" w:eastAsia="Calibri" w:hAnsi="Arial" w:cs="Arial"/>
          <w:sz w:val="20"/>
          <w:szCs w:val="20"/>
          <w:lang w:eastAsia="en-US"/>
        </w:rPr>
        <w:t xml:space="preserve">Materijalni rashodi u 2025. godini ostvareni su iznosu do 240.263,27 € što čini povećanje od 47% u odnosu na prethodnu godinu. Rashodi se odnose na naknada za zaposlenike (prijevoz zaposlenika na rad i s rada); na rashode za materijal i energiju:  nabavu el. energije, uredskog i ostalog materijala za potrebe poslovanja, nabavu suvenirskog programa, sitnog inventara; usluge telefona i interneta, poštarine; komunalne usluge, usluge promidžbe i informiranja, zatim intelektualne i osobne usluge (autorski honorari), usluge studentskog servisa, usluge zakupa i održavanje računalnih sustava,  grafičke i tiskarske usluge kod izdavanja raznih publikacija, usluge integralne i tehničke zaštite muzejskih objekata i sl. </w:t>
      </w:r>
    </w:p>
    <w:p w14:paraId="22AAEF8E" w14:textId="77777777" w:rsidR="00BF3FB4" w:rsidRPr="00225B89" w:rsidRDefault="00BF3FB4" w:rsidP="00BF3FB4">
      <w:pPr>
        <w:spacing w:after="0"/>
        <w:ind w:left="720"/>
        <w:contextualSpacing/>
        <w:jc w:val="both"/>
        <w:rPr>
          <w:rFonts w:ascii="Arial" w:eastAsia="Calibri" w:hAnsi="Arial" w:cs="Arial"/>
          <w:kern w:val="2"/>
          <w:sz w:val="20"/>
          <w:szCs w:val="20"/>
          <w:lang w:eastAsia="en-US"/>
          <w14:ligatures w14:val="standardContextual"/>
        </w:rPr>
      </w:pPr>
      <w:r w:rsidRPr="00225B89">
        <w:rPr>
          <w:rFonts w:ascii="Arial" w:eastAsia="Calibri" w:hAnsi="Arial" w:cs="Arial"/>
          <w:sz w:val="20"/>
          <w:szCs w:val="20"/>
          <w:lang w:eastAsia="en-US"/>
        </w:rPr>
        <w:t xml:space="preserve">Na povećanje rashod od 47% u odnosu na isti period prethodne godine najviše su utjecali troškovi tiskanja kapitalnog djela monografije Vlaho Bukovac (1855-1922) autora Igor Zidića, </w:t>
      </w:r>
      <w:r w:rsidRPr="00225B89">
        <w:rPr>
          <w:rFonts w:ascii="Arial" w:eastAsia="Calibri" w:hAnsi="Arial" w:cs="Arial"/>
          <w:bCs/>
          <w:kern w:val="2"/>
          <w:sz w:val="20"/>
          <w:szCs w:val="20"/>
          <w:lang w:eastAsia="en-US"/>
          <w14:ligatures w14:val="standardContextual"/>
        </w:rPr>
        <w:t xml:space="preserve">zatim </w:t>
      </w:r>
      <w:r w:rsidRPr="00225B89">
        <w:rPr>
          <w:rFonts w:ascii="Arial" w:eastAsia="Calibri" w:hAnsi="Arial" w:cs="Arial"/>
          <w:kern w:val="2"/>
          <w:sz w:val="20"/>
          <w:szCs w:val="20"/>
          <w:lang w:eastAsia="en-US"/>
          <w14:ligatures w14:val="standardContextual"/>
        </w:rPr>
        <w:t>konzervatorsko-restauratorski radovi na Mauzoleju Račić, troškovi cjelovite restauracije  harmonija iz fundusa kuće Bukovac KB-708 te investicijsko održavanje u Zavičajnom muzeju Konavala.</w:t>
      </w:r>
    </w:p>
    <w:p w14:paraId="12B4EC30" w14:textId="77777777" w:rsidR="00BF3FB4" w:rsidRPr="00225B89" w:rsidRDefault="00BF3FB4" w:rsidP="00BF3FB4">
      <w:pPr>
        <w:spacing w:after="0"/>
        <w:ind w:left="720"/>
        <w:contextualSpacing/>
        <w:jc w:val="both"/>
        <w:rPr>
          <w:rFonts w:ascii="Arial" w:eastAsia="Calibri" w:hAnsi="Arial" w:cs="Arial"/>
          <w:bCs/>
          <w:kern w:val="2"/>
          <w:sz w:val="20"/>
          <w:szCs w:val="20"/>
          <w:lang w:eastAsia="en-US"/>
          <w14:ligatures w14:val="standardContextual"/>
        </w:rPr>
      </w:pPr>
    </w:p>
    <w:p w14:paraId="41D5997F" w14:textId="77777777" w:rsidR="00BF3FB4" w:rsidRPr="00225B89" w:rsidRDefault="00BF3FB4">
      <w:pPr>
        <w:numPr>
          <w:ilvl w:val="0"/>
          <w:numId w:val="37"/>
        </w:numPr>
        <w:spacing w:after="0" w:line="259" w:lineRule="auto"/>
        <w:contextualSpacing/>
        <w:jc w:val="both"/>
        <w:rPr>
          <w:rFonts w:ascii="Arial" w:eastAsia="Calibri" w:hAnsi="Arial" w:cs="Arial"/>
          <w:sz w:val="20"/>
          <w:szCs w:val="20"/>
          <w:lang w:eastAsia="en-US"/>
        </w:rPr>
      </w:pPr>
      <w:r w:rsidRPr="00225B89">
        <w:rPr>
          <w:rFonts w:ascii="Arial" w:eastAsia="Calibri" w:hAnsi="Arial" w:cs="Arial"/>
          <w:b/>
          <w:bCs/>
          <w:i/>
          <w:iCs/>
          <w:sz w:val="20"/>
          <w:szCs w:val="20"/>
          <w:lang w:eastAsia="en-US"/>
        </w:rPr>
        <w:t>Financijski rashodi</w:t>
      </w:r>
    </w:p>
    <w:p w14:paraId="3A6E6F7C" w14:textId="6DD06D6D" w:rsidR="00BF3FB4" w:rsidRPr="00225B89" w:rsidRDefault="00BF3FB4" w:rsidP="00BF3FB4">
      <w:pPr>
        <w:spacing w:after="0"/>
        <w:ind w:left="720"/>
        <w:contextualSpacing/>
        <w:jc w:val="both"/>
        <w:rPr>
          <w:rFonts w:ascii="Arial" w:eastAsia="Calibri" w:hAnsi="Arial" w:cs="Arial"/>
          <w:sz w:val="20"/>
          <w:szCs w:val="20"/>
          <w:lang w:eastAsia="en-US"/>
        </w:rPr>
      </w:pPr>
      <w:r w:rsidRPr="00225B89">
        <w:rPr>
          <w:rFonts w:ascii="Arial" w:eastAsia="Calibri" w:hAnsi="Arial" w:cs="Arial"/>
          <w:sz w:val="20"/>
          <w:szCs w:val="20"/>
          <w:lang w:eastAsia="en-US"/>
        </w:rPr>
        <w:t xml:space="preserve">U 2025. godini ostvareni su rashodi u iznosu od 546,91 </w:t>
      </w:r>
      <w:r w:rsidR="008B1ADF" w:rsidRPr="00225B89">
        <w:rPr>
          <w:rFonts w:ascii="Arial" w:eastAsia="Calibri" w:hAnsi="Arial" w:cs="Arial"/>
          <w:sz w:val="20"/>
          <w:szCs w:val="20"/>
          <w:lang w:eastAsia="en-US"/>
        </w:rPr>
        <w:t>€</w:t>
      </w:r>
      <w:r w:rsidRPr="00225B89">
        <w:rPr>
          <w:rFonts w:ascii="Arial" w:eastAsia="Calibri" w:hAnsi="Arial" w:cs="Arial"/>
          <w:sz w:val="20"/>
          <w:szCs w:val="20"/>
          <w:lang w:eastAsia="en-US"/>
        </w:rPr>
        <w:t>, odnose se na bankovne i naknade platnog prometa iz redovnog poslovanja.</w:t>
      </w:r>
    </w:p>
    <w:p w14:paraId="39B7B36D" w14:textId="77777777" w:rsidR="00BF3FB4" w:rsidRPr="00225B89" w:rsidRDefault="00BF3FB4" w:rsidP="00BF3FB4">
      <w:pPr>
        <w:spacing w:after="0"/>
        <w:ind w:left="720"/>
        <w:contextualSpacing/>
        <w:jc w:val="both"/>
        <w:rPr>
          <w:rFonts w:ascii="Arial" w:eastAsia="Calibri" w:hAnsi="Arial" w:cs="Arial"/>
          <w:sz w:val="20"/>
          <w:szCs w:val="20"/>
          <w:lang w:eastAsia="en-US"/>
        </w:rPr>
      </w:pPr>
    </w:p>
    <w:p w14:paraId="576B2C18" w14:textId="77777777" w:rsidR="00BF3FB4" w:rsidRPr="00225B89" w:rsidRDefault="00BF3FB4">
      <w:pPr>
        <w:numPr>
          <w:ilvl w:val="0"/>
          <w:numId w:val="37"/>
        </w:numPr>
        <w:spacing w:after="0" w:line="259" w:lineRule="auto"/>
        <w:contextualSpacing/>
        <w:jc w:val="both"/>
        <w:rPr>
          <w:rFonts w:ascii="Arial" w:eastAsia="Calibri" w:hAnsi="Arial" w:cs="Arial"/>
          <w:sz w:val="20"/>
          <w:szCs w:val="20"/>
          <w:lang w:eastAsia="en-US"/>
        </w:rPr>
      </w:pPr>
      <w:r w:rsidRPr="00225B89">
        <w:rPr>
          <w:rFonts w:ascii="Arial" w:eastAsia="Calibri" w:hAnsi="Arial" w:cs="Arial"/>
          <w:b/>
          <w:bCs/>
          <w:i/>
          <w:iCs/>
          <w:sz w:val="20"/>
          <w:szCs w:val="20"/>
          <w:lang w:eastAsia="en-US"/>
        </w:rPr>
        <w:t>Rashodi za nabavu nefinancijske imovine</w:t>
      </w:r>
    </w:p>
    <w:p w14:paraId="45878A35" w14:textId="7145AF3D" w:rsidR="00BF3FB4" w:rsidRPr="00225B89" w:rsidRDefault="00BF3FB4" w:rsidP="00BF3FB4">
      <w:pPr>
        <w:spacing w:after="0"/>
        <w:ind w:left="720"/>
        <w:contextualSpacing/>
        <w:jc w:val="both"/>
        <w:rPr>
          <w:rFonts w:ascii="Arial" w:eastAsia="Calibri" w:hAnsi="Arial" w:cs="Arial"/>
          <w:sz w:val="20"/>
          <w:szCs w:val="20"/>
          <w:lang w:eastAsia="en-US"/>
        </w:rPr>
      </w:pPr>
      <w:r w:rsidRPr="00225B89">
        <w:rPr>
          <w:rFonts w:ascii="Arial" w:eastAsia="Calibri" w:hAnsi="Arial" w:cs="Arial"/>
          <w:sz w:val="20"/>
          <w:szCs w:val="20"/>
          <w:lang w:eastAsia="en-US"/>
        </w:rPr>
        <w:t xml:space="preserve">U 2025. godini ostvareni su rashodi u iznosu od 34.393,08 </w:t>
      </w:r>
      <w:r w:rsidR="008B1ADF" w:rsidRPr="00225B89">
        <w:rPr>
          <w:rFonts w:ascii="Arial" w:eastAsia="Calibri" w:hAnsi="Arial" w:cs="Arial"/>
          <w:sz w:val="20"/>
          <w:szCs w:val="20"/>
          <w:lang w:eastAsia="en-US"/>
        </w:rPr>
        <w:t>€</w:t>
      </w:r>
      <w:r w:rsidRPr="00225B89">
        <w:rPr>
          <w:rFonts w:ascii="Arial" w:eastAsia="Calibri" w:hAnsi="Arial" w:cs="Arial"/>
          <w:sz w:val="20"/>
          <w:szCs w:val="20"/>
          <w:lang w:eastAsia="en-US"/>
        </w:rPr>
        <w:t xml:space="preserve">, a odnose se na nabavu proizvedene dugotrajne imovine / računalne opreme u iznosu od 1.214,20 </w:t>
      </w:r>
      <w:r w:rsidR="008B1ADF" w:rsidRPr="00225B89">
        <w:rPr>
          <w:rFonts w:ascii="Arial" w:eastAsia="Calibri" w:hAnsi="Arial" w:cs="Arial"/>
          <w:sz w:val="20"/>
          <w:szCs w:val="20"/>
          <w:lang w:eastAsia="en-US"/>
        </w:rPr>
        <w:t>€</w:t>
      </w:r>
      <w:r w:rsidRPr="00225B89">
        <w:rPr>
          <w:rFonts w:ascii="Arial" w:eastAsia="Calibri" w:hAnsi="Arial" w:cs="Arial"/>
          <w:sz w:val="20"/>
          <w:szCs w:val="20"/>
          <w:lang w:eastAsia="en-US"/>
        </w:rPr>
        <w:t xml:space="preserve">; opreme za klimatizaciju za Kuću Bukovac u iznosu od 10.498,88 </w:t>
      </w:r>
      <w:r w:rsidR="008B1ADF" w:rsidRPr="00225B89">
        <w:rPr>
          <w:rFonts w:ascii="Arial" w:eastAsia="Calibri" w:hAnsi="Arial" w:cs="Arial"/>
          <w:sz w:val="20"/>
          <w:szCs w:val="20"/>
          <w:lang w:eastAsia="en-US"/>
        </w:rPr>
        <w:t>€</w:t>
      </w:r>
      <w:r w:rsidRPr="00225B89">
        <w:rPr>
          <w:rFonts w:ascii="Arial" w:eastAsia="Calibri" w:hAnsi="Arial" w:cs="Arial"/>
          <w:sz w:val="20"/>
          <w:szCs w:val="20"/>
          <w:lang w:eastAsia="en-US"/>
        </w:rPr>
        <w:t xml:space="preserve">, na </w:t>
      </w:r>
      <w:r w:rsidRPr="00225B89">
        <w:rPr>
          <w:rFonts w:ascii="Arial" w:eastAsia="Calibri" w:hAnsi="Arial" w:cs="Arial"/>
          <w:bCs/>
          <w:sz w:val="20"/>
          <w:szCs w:val="20"/>
          <w:lang w:eastAsia="en-US"/>
        </w:rPr>
        <w:t xml:space="preserve">otkup muzejske građe/arhivske dokumentacije vezane za život Vlaha Bukovca i etnografskih  predmeta u iznosu od 4.380,00 </w:t>
      </w:r>
      <w:r w:rsidR="008B1ADF" w:rsidRPr="00225B89">
        <w:rPr>
          <w:rFonts w:ascii="Arial" w:eastAsia="Calibri" w:hAnsi="Arial" w:cs="Arial"/>
          <w:bCs/>
          <w:sz w:val="20"/>
          <w:szCs w:val="20"/>
          <w:lang w:eastAsia="en-US"/>
        </w:rPr>
        <w:t>€</w:t>
      </w:r>
      <w:r w:rsidRPr="00225B89">
        <w:rPr>
          <w:rFonts w:ascii="Arial" w:eastAsia="Calibri" w:hAnsi="Arial" w:cs="Arial"/>
          <w:bCs/>
          <w:sz w:val="20"/>
          <w:szCs w:val="20"/>
          <w:lang w:eastAsia="en-US"/>
        </w:rPr>
        <w:t xml:space="preserve">; te na otkup umjetničke slike Vlaha Bukovac </w:t>
      </w:r>
      <w:r w:rsidRPr="00225B89">
        <w:rPr>
          <w:rFonts w:ascii="Arial" w:eastAsia="Calibri" w:hAnsi="Arial" w:cs="Arial"/>
          <w:bCs/>
          <w:i/>
          <w:iCs/>
          <w:sz w:val="20"/>
          <w:szCs w:val="20"/>
          <w:lang w:eastAsia="en-US"/>
        </w:rPr>
        <w:t>Studija figure slikara Alegorija umjetnosti II</w:t>
      </w:r>
      <w:r w:rsidRPr="00225B89">
        <w:rPr>
          <w:rFonts w:ascii="Arial" w:eastAsia="Calibri" w:hAnsi="Arial" w:cs="Arial"/>
          <w:bCs/>
          <w:sz w:val="20"/>
          <w:szCs w:val="20"/>
          <w:lang w:eastAsia="en-US"/>
        </w:rPr>
        <w:t xml:space="preserve"> u iznosu od 18.300 </w:t>
      </w:r>
      <w:r w:rsidR="008B1ADF" w:rsidRPr="00225B89">
        <w:rPr>
          <w:rFonts w:ascii="Arial" w:eastAsia="Calibri" w:hAnsi="Arial" w:cs="Arial"/>
          <w:bCs/>
          <w:sz w:val="20"/>
          <w:szCs w:val="20"/>
          <w:lang w:eastAsia="en-US"/>
        </w:rPr>
        <w:t>€</w:t>
      </w:r>
      <w:r w:rsidRPr="00225B89">
        <w:rPr>
          <w:rFonts w:ascii="Arial" w:eastAsia="Calibri" w:hAnsi="Arial" w:cs="Arial"/>
          <w:bCs/>
          <w:sz w:val="20"/>
          <w:szCs w:val="20"/>
          <w:lang w:eastAsia="en-US"/>
        </w:rPr>
        <w:t>.</w:t>
      </w:r>
    </w:p>
    <w:p w14:paraId="3FC00C79" w14:textId="77777777" w:rsidR="00CF50B8" w:rsidRPr="00225B89" w:rsidRDefault="00CF50B8" w:rsidP="00CF50B8">
      <w:pPr>
        <w:spacing w:after="0"/>
        <w:ind w:left="720"/>
        <w:contextualSpacing/>
        <w:jc w:val="both"/>
        <w:rPr>
          <w:rFonts w:ascii="Arial" w:eastAsia="Calibri" w:hAnsi="Arial" w:cs="Arial"/>
          <w:sz w:val="20"/>
          <w:szCs w:val="20"/>
        </w:rPr>
      </w:pPr>
    </w:p>
    <w:p w14:paraId="2F10D4FA" w14:textId="765EA353" w:rsidR="008B1ADF" w:rsidRPr="00225B89" w:rsidRDefault="008B1ADF" w:rsidP="008B1ADF">
      <w:pPr>
        <w:spacing w:after="0" w:line="240" w:lineRule="auto"/>
        <w:jc w:val="both"/>
        <w:rPr>
          <w:rFonts w:ascii="Arial" w:hAnsi="Arial" w:cs="Arial"/>
          <w:sz w:val="20"/>
          <w:szCs w:val="20"/>
        </w:rPr>
      </w:pPr>
      <w:r w:rsidRPr="00225B89">
        <w:rPr>
          <w:rFonts w:ascii="Arial" w:hAnsi="Arial" w:cs="Arial"/>
          <w:sz w:val="20"/>
          <w:szCs w:val="20"/>
        </w:rPr>
        <w:lastRenderedPageBreak/>
        <w:t>Na razini 2025. godine ostvaren je ukupni višak prihoda od 20.775,36 €. Zajedno sa prenesenim viškom iz 2024. godine u iznosu od 17.208,28 € čini ukupan višak prihoda raspoloživ za sljedeće razdoblje u iznosu od 37.983,64 €.</w:t>
      </w:r>
    </w:p>
    <w:p w14:paraId="1DCDE079" w14:textId="77777777" w:rsidR="00142BE7" w:rsidRPr="008B1ADF" w:rsidRDefault="00142BE7" w:rsidP="008B1ADF">
      <w:pPr>
        <w:spacing w:after="0" w:line="240" w:lineRule="auto"/>
        <w:jc w:val="both"/>
        <w:rPr>
          <w:rFonts w:ascii="Arial" w:eastAsia="Calibri" w:hAnsi="Arial" w:cs="Arial"/>
          <w:sz w:val="20"/>
          <w:szCs w:val="20"/>
        </w:rPr>
      </w:pPr>
    </w:p>
    <w:p w14:paraId="5352E8B0" w14:textId="77777777" w:rsidR="009837C0" w:rsidRPr="003A2F86" w:rsidRDefault="009837C0">
      <w:pPr>
        <w:pStyle w:val="Odlomakpopisa"/>
        <w:numPr>
          <w:ilvl w:val="0"/>
          <w:numId w:val="26"/>
        </w:num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eastAsia="Calibri" w:hAnsi="Arial" w:cs="Arial"/>
          <w:b/>
        </w:rPr>
      </w:pPr>
      <w:r w:rsidRPr="003A2F86">
        <w:rPr>
          <w:rFonts w:ascii="Arial" w:eastAsia="Calibri" w:hAnsi="Arial" w:cs="Arial"/>
          <w:b/>
        </w:rPr>
        <w:t>OBRAZLOŽENJE POSEBNOG DIJELA FINANCIJSKOG PLANA</w:t>
      </w:r>
    </w:p>
    <w:p w14:paraId="2EB58680" w14:textId="77777777" w:rsidR="009837C0" w:rsidRPr="003A2F86" w:rsidRDefault="009837C0" w:rsidP="00A63BE4">
      <w:pPr>
        <w:spacing w:after="0" w:line="240" w:lineRule="auto"/>
        <w:rPr>
          <w:rFonts w:ascii="Arial" w:eastAsia="Calibri" w:hAnsi="Arial" w:cs="Arial"/>
          <w:b/>
        </w:rPr>
      </w:pPr>
    </w:p>
    <w:p w14:paraId="04F598D2" w14:textId="77777777" w:rsidR="009837C0" w:rsidRPr="003A2F86" w:rsidRDefault="009837C0" w:rsidP="00A63BE4">
      <w:pPr>
        <w:pStyle w:val="Tijeloteksta"/>
        <w:ind w:left="212" w:right="543"/>
        <w:rPr>
          <w:rFonts w:ascii="Arial" w:eastAsia="Calibri" w:hAnsi="Arial" w:cs="Arial"/>
          <w:sz w:val="20"/>
          <w:lang w:val="hr-HR"/>
        </w:rPr>
      </w:pPr>
      <w:r w:rsidRPr="003A2F86">
        <w:rPr>
          <w:rFonts w:ascii="Arial" w:eastAsia="Calibri" w:hAnsi="Arial" w:cs="Arial"/>
          <w:sz w:val="20"/>
          <w:lang w:val="hr-HR"/>
        </w:rPr>
        <w:t>Posebni dio financijskog plana iskazuje rashode i izdatke po organizacijskoj klasifikaciji, po ekonomskoj i programskoj klasifikaciji, te izvorima financiranja.</w:t>
      </w:r>
    </w:p>
    <w:p w14:paraId="5CF46C3B" w14:textId="77777777" w:rsidR="009837C0" w:rsidRPr="003A2F86" w:rsidRDefault="009837C0" w:rsidP="00A63BE4">
      <w:pPr>
        <w:spacing w:after="0" w:line="240" w:lineRule="auto"/>
        <w:rPr>
          <w:rFonts w:ascii="Arial" w:eastAsia="Calibri" w:hAnsi="Arial" w:cs="Arial"/>
        </w:rPr>
      </w:pPr>
    </w:p>
    <w:tbl>
      <w:tblPr>
        <w:tblW w:w="963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3"/>
        <w:gridCol w:w="1560"/>
        <w:gridCol w:w="1559"/>
        <w:gridCol w:w="1409"/>
        <w:gridCol w:w="1217"/>
        <w:gridCol w:w="1623"/>
      </w:tblGrid>
      <w:tr w:rsidR="008B1ADF" w:rsidRPr="00FA7932" w14:paraId="32599B9B" w14:textId="414FF5DF" w:rsidTr="008B1ADF">
        <w:trPr>
          <w:trHeight w:val="1073"/>
          <w:jc w:val="center"/>
        </w:trPr>
        <w:tc>
          <w:tcPr>
            <w:tcW w:w="2263" w:type="dxa"/>
            <w:noWrap/>
            <w:vAlign w:val="center"/>
            <w:hideMark/>
          </w:tcPr>
          <w:p w14:paraId="27E8F943" w14:textId="77777777" w:rsidR="008B1ADF" w:rsidRPr="00FA7932" w:rsidRDefault="008B1ADF" w:rsidP="008B1ADF">
            <w:pPr>
              <w:spacing w:after="0" w:line="240" w:lineRule="auto"/>
              <w:jc w:val="center"/>
              <w:rPr>
                <w:rFonts w:ascii="Arial" w:hAnsi="Arial" w:cs="Arial"/>
                <w:b/>
                <w:sz w:val="20"/>
                <w:szCs w:val="20"/>
              </w:rPr>
            </w:pPr>
            <w:r w:rsidRPr="00FA7932">
              <w:rPr>
                <w:rFonts w:ascii="Arial" w:hAnsi="Arial" w:cs="Arial"/>
                <w:b/>
                <w:sz w:val="20"/>
                <w:szCs w:val="20"/>
              </w:rPr>
              <w:t>Naziv programa iz Proračuna</w:t>
            </w:r>
          </w:p>
        </w:tc>
        <w:tc>
          <w:tcPr>
            <w:tcW w:w="1560" w:type="dxa"/>
            <w:noWrap/>
            <w:vAlign w:val="center"/>
          </w:tcPr>
          <w:p w14:paraId="741FB557" w14:textId="46C6A707" w:rsidR="008B1ADF" w:rsidRPr="00CF50B8" w:rsidRDefault="008B1ADF" w:rsidP="008B1ADF">
            <w:pPr>
              <w:spacing w:after="0" w:line="240" w:lineRule="auto"/>
              <w:jc w:val="center"/>
              <w:rPr>
                <w:rFonts w:ascii="Arial" w:hAnsi="Arial" w:cs="Arial"/>
                <w:b/>
                <w:sz w:val="20"/>
                <w:szCs w:val="20"/>
              </w:rPr>
            </w:pPr>
            <w:r w:rsidRPr="0092756E">
              <w:rPr>
                <w:rFonts w:cstheme="minorHAnsi"/>
              </w:rPr>
              <w:t>Izvršenje proračuna za                         202</w:t>
            </w:r>
            <w:r>
              <w:rPr>
                <w:rFonts w:cstheme="minorHAnsi"/>
              </w:rPr>
              <w:t>4</w:t>
            </w:r>
            <w:r w:rsidRPr="0092756E">
              <w:rPr>
                <w:rFonts w:cstheme="minorHAnsi"/>
              </w:rPr>
              <w:t>.</w:t>
            </w:r>
            <w:r>
              <w:rPr>
                <w:rFonts w:cstheme="minorHAnsi"/>
              </w:rPr>
              <w:t xml:space="preserve"> godinu</w:t>
            </w:r>
          </w:p>
        </w:tc>
        <w:tc>
          <w:tcPr>
            <w:tcW w:w="1559" w:type="dxa"/>
            <w:vAlign w:val="center"/>
          </w:tcPr>
          <w:p w14:paraId="29BCD7EB" w14:textId="557E9807" w:rsidR="008B1ADF" w:rsidRPr="00CF50B8" w:rsidRDefault="008B1ADF" w:rsidP="008B1ADF">
            <w:pPr>
              <w:spacing w:after="0" w:line="240" w:lineRule="auto"/>
              <w:jc w:val="center"/>
              <w:rPr>
                <w:rFonts w:ascii="Arial" w:hAnsi="Arial" w:cs="Arial"/>
                <w:bCs/>
                <w:sz w:val="20"/>
                <w:szCs w:val="20"/>
              </w:rPr>
            </w:pPr>
            <w:r w:rsidRPr="0092756E">
              <w:rPr>
                <w:rFonts w:cstheme="minorHAnsi"/>
              </w:rPr>
              <w:t>Izvorni plan za 202</w:t>
            </w:r>
            <w:r>
              <w:rPr>
                <w:rFonts w:cstheme="minorHAnsi"/>
              </w:rPr>
              <w:t>5</w:t>
            </w:r>
            <w:r w:rsidRPr="0092756E">
              <w:rPr>
                <w:rFonts w:cstheme="minorHAnsi"/>
              </w:rPr>
              <w:t>. godinu</w:t>
            </w:r>
          </w:p>
        </w:tc>
        <w:tc>
          <w:tcPr>
            <w:tcW w:w="1409" w:type="dxa"/>
            <w:vAlign w:val="center"/>
          </w:tcPr>
          <w:p w14:paraId="65E993AB" w14:textId="5F74B40E" w:rsidR="008B1ADF" w:rsidRPr="00CF50B8" w:rsidRDefault="008B1ADF" w:rsidP="008B1ADF">
            <w:pPr>
              <w:jc w:val="center"/>
              <w:rPr>
                <w:rFonts w:ascii="Arial" w:hAnsi="Arial" w:cs="Arial"/>
                <w:b/>
                <w:sz w:val="20"/>
                <w:szCs w:val="20"/>
              </w:rPr>
            </w:pPr>
            <w:r w:rsidRPr="0092756E">
              <w:rPr>
                <w:rFonts w:cstheme="minorHAnsi"/>
              </w:rPr>
              <w:t>Izvršenje proračuna za</w:t>
            </w:r>
            <w:r>
              <w:rPr>
                <w:rFonts w:cstheme="minorHAnsi"/>
              </w:rPr>
              <w:t xml:space="preserve"> </w:t>
            </w:r>
            <w:r w:rsidRPr="0092756E">
              <w:rPr>
                <w:rFonts w:cstheme="minorHAnsi"/>
              </w:rPr>
              <w:t>202</w:t>
            </w:r>
            <w:r>
              <w:rPr>
                <w:rFonts w:cstheme="minorHAnsi"/>
              </w:rPr>
              <w:t>5. godinu</w:t>
            </w:r>
          </w:p>
        </w:tc>
        <w:tc>
          <w:tcPr>
            <w:tcW w:w="1217" w:type="dxa"/>
            <w:vAlign w:val="center"/>
          </w:tcPr>
          <w:p w14:paraId="1C085511" w14:textId="7127A6C3" w:rsidR="008B1ADF" w:rsidRPr="00CF50B8" w:rsidRDefault="008B1ADF" w:rsidP="008B1ADF">
            <w:pPr>
              <w:jc w:val="center"/>
              <w:rPr>
                <w:rFonts w:ascii="Arial" w:hAnsi="Arial" w:cs="Arial"/>
                <w:sz w:val="20"/>
                <w:szCs w:val="20"/>
              </w:rPr>
            </w:pPr>
            <w:r w:rsidRPr="0092756E">
              <w:rPr>
                <w:rFonts w:cstheme="minorHAnsi"/>
              </w:rPr>
              <w:t>Indeks</w:t>
            </w:r>
          </w:p>
        </w:tc>
        <w:tc>
          <w:tcPr>
            <w:tcW w:w="1623" w:type="dxa"/>
            <w:vAlign w:val="center"/>
          </w:tcPr>
          <w:p w14:paraId="7DF31BB0" w14:textId="19356B2C" w:rsidR="008B1ADF" w:rsidRPr="00CF50B8" w:rsidRDefault="008B1ADF" w:rsidP="008B1ADF">
            <w:pPr>
              <w:jc w:val="center"/>
              <w:rPr>
                <w:rFonts w:ascii="Arial" w:hAnsi="Arial" w:cs="Arial"/>
                <w:sz w:val="20"/>
                <w:szCs w:val="20"/>
              </w:rPr>
            </w:pPr>
            <w:r w:rsidRPr="0092756E">
              <w:rPr>
                <w:rFonts w:cstheme="minorHAnsi"/>
              </w:rPr>
              <w:t>Indeks</w:t>
            </w:r>
          </w:p>
        </w:tc>
      </w:tr>
      <w:tr w:rsidR="008B1ADF" w:rsidRPr="00CF50B8" w14:paraId="50CDA354" w14:textId="7599B865" w:rsidTr="008B1ADF">
        <w:trPr>
          <w:trHeight w:val="209"/>
          <w:jc w:val="center"/>
        </w:trPr>
        <w:tc>
          <w:tcPr>
            <w:tcW w:w="2263" w:type="dxa"/>
            <w:vAlign w:val="center"/>
          </w:tcPr>
          <w:p w14:paraId="56E46756" w14:textId="77777777" w:rsidR="008B1ADF" w:rsidRPr="00CF50B8" w:rsidRDefault="008B1ADF" w:rsidP="00CF50B8">
            <w:pPr>
              <w:spacing w:after="0" w:line="240" w:lineRule="auto"/>
              <w:jc w:val="center"/>
              <w:rPr>
                <w:rFonts w:ascii="Arial" w:hAnsi="Arial" w:cs="Arial"/>
                <w:sz w:val="14"/>
                <w:szCs w:val="14"/>
              </w:rPr>
            </w:pPr>
          </w:p>
        </w:tc>
        <w:tc>
          <w:tcPr>
            <w:tcW w:w="1560" w:type="dxa"/>
            <w:noWrap/>
            <w:vAlign w:val="center"/>
          </w:tcPr>
          <w:p w14:paraId="135D272F" w14:textId="0AB7359F" w:rsidR="008B1ADF" w:rsidRPr="00CF50B8" w:rsidRDefault="008B1ADF" w:rsidP="00CF50B8">
            <w:pPr>
              <w:spacing w:after="101"/>
              <w:jc w:val="center"/>
              <w:rPr>
                <w:rFonts w:ascii="Arial" w:eastAsia="Arial" w:hAnsi="Arial" w:cs="Arial"/>
                <w:bCs/>
                <w:sz w:val="14"/>
                <w:szCs w:val="14"/>
              </w:rPr>
            </w:pPr>
            <w:r w:rsidRPr="00CF50B8">
              <w:rPr>
                <w:rFonts w:ascii="Arial" w:eastAsia="Arial" w:hAnsi="Arial" w:cs="Arial"/>
                <w:bCs/>
                <w:sz w:val="14"/>
                <w:szCs w:val="14"/>
              </w:rPr>
              <w:t>1</w:t>
            </w:r>
          </w:p>
        </w:tc>
        <w:tc>
          <w:tcPr>
            <w:tcW w:w="1559" w:type="dxa"/>
            <w:noWrap/>
            <w:vAlign w:val="center"/>
          </w:tcPr>
          <w:p w14:paraId="77B500D9" w14:textId="3190C325" w:rsidR="008B1ADF" w:rsidRPr="00CF50B8" w:rsidRDefault="008B1ADF" w:rsidP="00CF50B8">
            <w:pPr>
              <w:spacing w:after="0" w:line="240" w:lineRule="auto"/>
              <w:jc w:val="center"/>
              <w:rPr>
                <w:rFonts w:ascii="Arial" w:hAnsi="Arial" w:cs="Arial"/>
                <w:sz w:val="14"/>
                <w:szCs w:val="14"/>
              </w:rPr>
            </w:pPr>
            <w:r w:rsidRPr="00CF50B8">
              <w:rPr>
                <w:rFonts w:ascii="Arial" w:hAnsi="Arial" w:cs="Arial"/>
                <w:sz w:val="14"/>
                <w:szCs w:val="14"/>
              </w:rPr>
              <w:t>2</w:t>
            </w:r>
          </w:p>
        </w:tc>
        <w:tc>
          <w:tcPr>
            <w:tcW w:w="1409" w:type="dxa"/>
            <w:vAlign w:val="center"/>
          </w:tcPr>
          <w:p w14:paraId="75EE8FAC" w14:textId="199B26A1" w:rsidR="008B1ADF" w:rsidRPr="00CF50B8" w:rsidRDefault="008B1ADF" w:rsidP="00CF50B8">
            <w:pPr>
              <w:spacing w:after="101"/>
              <w:jc w:val="center"/>
              <w:rPr>
                <w:rFonts w:ascii="Arial" w:eastAsia="Arial" w:hAnsi="Arial" w:cs="Arial"/>
                <w:bCs/>
                <w:sz w:val="14"/>
                <w:szCs w:val="14"/>
              </w:rPr>
            </w:pPr>
            <w:r w:rsidRPr="00CF50B8">
              <w:rPr>
                <w:rFonts w:ascii="Arial" w:eastAsia="Arial" w:hAnsi="Arial" w:cs="Arial"/>
                <w:bCs/>
                <w:sz w:val="14"/>
                <w:szCs w:val="14"/>
              </w:rPr>
              <w:t>3</w:t>
            </w:r>
          </w:p>
        </w:tc>
        <w:tc>
          <w:tcPr>
            <w:tcW w:w="1217" w:type="dxa"/>
            <w:vAlign w:val="center"/>
          </w:tcPr>
          <w:p w14:paraId="5C0AA9A7" w14:textId="45A7CCDD" w:rsidR="008B1ADF" w:rsidRPr="00CF50B8" w:rsidRDefault="008B1ADF" w:rsidP="00CF50B8">
            <w:pPr>
              <w:spacing w:after="101"/>
              <w:jc w:val="center"/>
              <w:rPr>
                <w:rFonts w:ascii="Arial" w:eastAsia="Arial" w:hAnsi="Arial" w:cs="Arial"/>
                <w:bCs/>
                <w:sz w:val="14"/>
                <w:szCs w:val="14"/>
              </w:rPr>
            </w:pPr>
            <w:r>
              <w:rPr>
                <w:rFonts w:ascii="Arial" w:eastAsia="Arial" w:hAnsi="Arial" w:cs="Arial"/>
                <w:bCs/>
                <w:sz w:val="14"/>
                <w:szCs w:val="14"/>
              </w:rPr>
              <w:t>5 (</w:t>
            </w:r>
            <w:r w:rsidRPr="00CF50B8">
              <w:rPr>
                <w:rFonts w:ascii="Arial" w:eastAsia="Arial" w:hAnsi="Arial" w:cs="Arial"/>
                <w:bCs/>
                <w:sz w:val="14"/>
                <w:szCs w:val="14"/>
              </w:rPr>
              <w:t>4</w:t>
            </w:r>
            <w:r>
              <w:rPr>
                <w:rFonts w:ascii="Arial" w:eastAsia="Arial" w:hAnsi="Arial" w:cs="Arial"/>
                <w:bCs/>
                <w:sz w:val="14"/>
                <w:szCs w:val="14"/>
              </w:rPr>
              <w:t>/1)</w:t>
            </w:r>
          </w:p>
        </w:tc>
        <w:tc>
          <w:tcPr>
            <w:tcW w:w="1623" w:type="dxa"/>
            <w:vAlign w:val="center"/>
          </w:tcPr>
          <w:p w14:paraId="201B425D" w14:textId="74A2F9FF" w:rsidR="008B1ADF" w:rsidRPr="00CF50B8" w:rsidRDefault="008B1ADF" w:rsidP="00CF50B8">
            <w:pPr>
              <w:spacing w:after="101"/>
              <w:jc w:val="center"/>
              <w:rPr>
                <w:rFonts w:ascii="Arial" w:eastAsia="Arial" w:hAnsi="Arial" w:cs="Arial"/>
                <w:bCs/>
                <w:sz w:val="14"/>
                <w:szCs w:val="14"/>
              </w:rPr>
            </w:pPr>
            <w:r>
              <w:rPr>
                <w:rFonts w:ascii="Arial" w:eastAsia="Arial" w:hAnsi="Arial" w:cs="Arial"/>
                <w:bCs/>
                <w:sz w:val="14"/>
                <w:szCs w:val="14"/>
              </w:rPr>
              <w:t>6(4/2)</w:t>
            </w:r>
          </w:p>
        </w:tc>
      </w:tr>
      <w:tr w:rsidR="008B1ADF" w:rsidRPr="00FA7932" w14:paraId="59A4C422" w14:textId="3CE2EA98" w:rsidTr="008B1ADF">
        <w:trPr>
          <w:trHeight w:val="288"/>
          <w:jc w:val="center"/>
        </w:trPr>
        <w:tc>
          <w:tcPr>
            <w:tcW w:w="2263" w:type="dxa"/>
            <w:vAlign w:val="center"/>
            <w:hideMark/>
          </w:tcPr>
          <w:p w14:paraId="32B36732" w14:textId="77777777" w:rsidR="008B1ADF" w:rsidRPr="00FA7932" w:rsidRDefault="008B1ADF" w:rsidP="008B1ADF">
            <w:pPr>
              <w:spacing w:after="0" w:line="240" w:lineRule="auto"/>
              <w:rPr>
                <w:rFonts w:ascii="Arial" w:hAnsi="Arial" w:cs="Arial"/>
                <w:sz w:val="20"/>
                <w:szCs w:val="20"/>
              </w:rPr>
            </w:pPr>
            <w:r w:rsidRPr="00FA7932">
              <w:rPr>
                <w:rFonts w:ascii="Arial" w:hAnsi="Arial" w:cs="Arial"/>
                <w:sz w:val="20"/>
                <w:szCs w:val="20"/>
              </w:rPr>
              <w:t>Javna ustanova u kulturi</w:t>
            </w:r>
          </w:p>
        </w:tc>
        <w:tc>
          <w:tcPr>
            <w:tcW w:w="1560" w:type="dxa"/>
            <w:noWrap/>
            <w:vAlign w:val="center"/>
          </w:tcPr>
          <w:p w14:paraId="278AB37F" w14:textId="0BBD0187" w:rsidR="008B1ADF" w:rsidRPr="00CF50B8" w:rsidRDefault="008B1ADF" w:rsidP="008B1ADF">
            <w:pPr>
              <w:spacing w:after="101"/>
              <w:jc w:val="right"/>
              <w:rPr>
                <w:rFonts w:ascii="Arial" w:hAnsi="Arial" w:cs="Arial"/>
                <w:sz w:val="20"/>
                <w:szCs w:val="20"/>
              </w:rPr>
            </w:pPr>
            <w:r>
              <w:rPr>
                <w:rFonts w:cstheme="minorHAnsi"/>
              </w:rPr>
              <w:t>454</w:t>
            </w:r>
            <w:r w:rsidRPr="0092756E">
              <w:rPr>
                <w:rFonts w:cstheme="minorHAnsi"/>
              </w:rPr>
              <w:t>.</w:t>
            </w:r>
            <w:r>
              <w:rPr>
                <w:rFonts w:cstheme="minorHAnsi"/>
              </w:rPr>
              <w:t>771</w:t>
            </w:r>
            <w:r w:rsidRPr="0092756E">
              <w:rPr>
                <w:rFonts w:cstheme="minorHAnsi"/>
              </w:rPr>
              <w:t>,</w:t>
            </w:r>
            <w:r>
              <w:rPr>
                <w:rFonts w:cstheme="minorHAnsi"/>
              </w:rPr>
              <w:t>41</w:t>
            </w:r>
          </w:p>
        </w:tc>
        <w:tc>
          <w:tcPr>
            <w:tcW w:w="1559" w:type="dxa"/>
            <w:noWrap/>
            <w:vAlign w:val="center"/>
          </w:tcPr>
          <w:p w14:paraId="2B8EC64B" w14:textId="44FAF820" w:rsidR="008B1ADF" w:rsidRPr="00CF50B8" w:rsidRDefault="008B1ADF" w:rsidP="008B1ADF">
            <w:pPr>
              <w:spacing w:after="101"/>
              <w:rPr>
                <w:rFonts w:ascii="Arial" w:hAnsi="Arial" w:cs="Arial"/>
                <w:sz w:val="20"/>
                <w:szCs w:val="20"/>
              </w:rPr>
            </w:pPr>
            <w:r>
              <w:rPr>
                <w:rFonts w:eastAsia="Arial" w:cstheme="minorHAnsi"/>
              </w:rPr>
              <w:t>838.497</w:t>
            </w:r>
            <w:r w:rsidRPr="0092756E">
              <w:rPr>
                <w:rFonts w:eastAsia="Arial" w:cstheme="minorHAnsi"/>
              </w:rPr>
              <w:t>,00</w:t>
            </w:r>
          </w:p>
        </w:tc>
        <w:tc>
          <w:tcPr>
            <w:tcW w:w="1409" w:type="dxa"/>
            <w:vAlign w:val="center"/>
          </w:tcPr>
          <w:p w14:paraId="539F516C" w14:textId="0290BEC8" w:rsidR="008B1ADF" w:rsidRPr="00CF50B8" w:rsidRDefault="008B1ADF" w:rsidP="008B1ADF">
            <w:pPr>
              <w:spacing w:after="101"/>
              <w:jc w:val="right"/>
              <w:rPr>
                <w:rFonts w:ascii="Arial" w:hAnsi="Arial" w:cs="Arial"/>
                <w:sz w:val="20"/>
                <w:szCs w:val="20"/>
              </w:rPr>
            </w:pPr>
            <w:r>
              <w:rPr>
                <w:rFonts w:cstheme="minorHAnsi"/>
              </w:rPr>
              <w:t>711.184,97</w:t>
            </w:r>
          </w:p>
        </w:tc>
        <w:tc>
          <w:tcPr>
            <w:tcW w:w="1217" w:type="dxa"/>
            <w:vAlign w:val="center"/>
          </w:tcPr>
          <w:p w14:paraId="468F2143" w14:textId="7A9C29C1" w:rsidR="008B1ADF" w:rsidRPr="00CF50B8" w:rsidRDefault="008B1ADF" w:rsidP="008B1ADF">
            <w:pPr>
              <w:spacing w:after="101"/>
              <w:jc w:val="center"/>
              <w:rPr>
                <w:rFonts w:ascii="Arial" w:eastAsia="Arial" w:hAnsi="Arial" w:cs="Arial"/>
                <w:bCs/>
                <w:sz w:val="20"/>
                <w:szCs w:val="20"/>
              </w:rPr>
            </w:pPr>
            <w:r>
              <w:rPr>
                <w:rFonts w:cstheme="minorHAnsi"/>
              </w:rPr>
              <w:t>156</w:t>
            </w:r>
          </w:p>
        </w:tc>
        <w:tc>
          <w:tcPr>
            <w:tcW w:w="1623" w:type="dxa"/>
            <w:vAlign w:val="center"/>
          </w:tcPr>
          <w:p w14:paraId="54DF64DB" w14:textId="724694BC" w:rsidR="008B1ADF" w:rsidRPr="00CF50B8" w:rsidRDefault="008B1ADF" w:rsidP="008B1ADF">
            <w:pPr>
              <w:spacing w:after="101"/>
              <w:jc w:val="center"/>
              <w:rPr>
                <w:rFonts w:ascii="Arial" w:eastAsia="Arial" w:hAnsi="Arial" w:cs="Arial"/>
                <w:bCs/>
                <w:sz w:val="20"/>
                <w:szCs w:val="20"/>
              </w:rPr>
            </w:pPr>
            <w:r>
              <w:rPr>
                <w:rFonts w:cstheme="minorHAnsi"/>
              </w:rPr>
              <w:t>85</w:t>
            </w:r>
          </w:p>
        </w:tc>
      </w:tr>
    </w:tbl>
    <w:p w14:paraId="5C7AB22A" w14:textId="77777777" w:rsidR="00142BE7" w:rsidRDefault="00142BE7" w:rsidP="00A63BE4">
      <w:pPr>
        <w:spacing w:after="0" w:line="240" w:lineRule="auto"/>
        <w:jc w:val="both"/>
        <w:rPr>
          <w:rFonts w:ascii="Arial" w:eastAsia="Calibri" w:hAnsi="Arial" w:cs="Arial"/>
          <w:sz w:val="20"/>
          <w:szCs w:val="20"/>
        </w:rPr>
      </w:pPr>
    </w:p>
    <w:p w14:paraId="7A645D32" w14:textId="77777777" w:rsidR="009837C0" w:rsidRPr="003A2F86" w:rsidRDefault="009837C0">
      <w:pPr>
        <w:pStyle w:val="Odlomakpopisa"/>
        <w:numPr>
          <w:ilvl w:val="0"/>
          <w:numId w:val="33"/>
        </w:numPr>
        <w:pBdr>
          <w:top w:val="single" w:sz="4" w:space="1" w:color="auto"/>
          <w:left w:val="single" w:sz="4" w:space="0" w:color="auto"/>
          <w:bottom w:val="single" w:sz="4" w:space="1" w:color="auto"/>
          <w:right w:val="single" w:sz="4" w:space="4" w:color="auto"/>
        </w:pBdr>
        <w:ind w:right="4783"/>
        <w:rPr>
          <w:rFonts w:ascii="Arial" w:eastAsia="Calibri" w:hAnsi="Arial" w:cs="Arial"/>
          <w:b/>
        </w:rPr>
      </w:pPr>
      <w:r w:rsidRPr="003A2F86">
        <w:rPr>
          <w:rFonts w:ascii="Arial" w:eastAsia="Calibri" w:hAnsi="Arial" w:cs="Arial"/>
          <w:b/>
        </w:rPr>
        <w:t>OBRAZLOŽENJE PROGRAMA</w:t>
      </w:r>
    </w:p>
    <w:p w14:paraId="3B06CA5B" w14:textId="77777777" w:rsidR="00142BE7" w:rsidRPr="003A2F86" w:rsidRDefault="00142BE7" w:rsidP="00A63BE4">
      <w:pPr>
        <w:spacing w:after="0" w:line="240" w:lineRule="auto"/>
        <w:jc w:val="both"/>
        <w:rPr>
          <w:rFonts w:ascii="Arial" w:eastAsia="Calibri"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2500"/>
      </w:tblGrid>
      <w:tr w:rsidR="008B1ADF" w:rsidRPr="003A2F86" w14:paraId="03DAF981" w14:textId="77777777" w:rsidTr="00B223BA">
        <w:tc>
          <w:tcPr>
            <w:tcW w:w="1843" w:type="dxa"/>
            <w:tcBorders>
              <w:top w:val="dotted" w:sz="4" w:space="0" w:color="auto"/>
              <w:left w:val="dotted" w:sz="4" w:space="0" w:color="auto"/>
              <w:bottom w:val="dotted" w:sz="4" w:space="0" w:color="auto"/>
              <w:right w:val="dotted" w:sz="4" w:space="0" w:color="auto"/>
            </w:tcBorders>
          </w:tcPr>
          <w:p w14:paraId="2B3BE046" w14:textId="77777777" w:rsidR="008B1ADF" w:rsidRPr="003A2F86" w:rsidRDefault="008B1ADF" w:rsidP="008B1ADF">
            <w:pPr>
              <w:spacing w:after="0" w:line="240" w:lineRule="auto"/>
              <w:rPr>
                <w:rFonts w:ascii="Arial" w:eastAsia="Calibri" w:hAnsi="Arial" w:cs="Arial"/>
                <w:sz w:val="20"/>
                <w:szCs w:val="20"/>
              </w:rPr>
            </w:pPr>
            <w:bookmarkStart w:id="640" w:name="_Hlk5709061"/>
            <w:r w:rsidRPr="003A2F86">
              <w:rPr>
                <w:rFonts w:ascii="Arial" w:eastAsia="Calibri" w:hAnsi="Arial" w:cs="Arial"/>
                <w:sz w:val="20"/>
                <w:szCs w:val="20"/>
              </w:rPr>
              <w:t>OPIS PROGRAMA:</w:t>
            </w:r>
          </w:p>
        </w:tc>
        <w:tc>
          <w:tcPr>
            <w:tcW w:w="12500" w:type="dxa"/>
            <w:tcBorders>
              <w:top w:val="single" w:sz="4" w:space="0" w:color="auto"/>
              <w:left w:val="single" w:sz="4" w:space="0" w:color="auto"/>
              <w:bottom w:val="single" w:sz="4" w:space="0" w:color="auto"/>
              <w:right w:val="single" w:sz="4" w:space="0" w:color="auto"/>
            </w:tcBorders>
          </w:tcPr>
          <w:p w14:paraId="00CB6574" w14:textId="77777777" w:rsidR="008B1ADF" w:rsidRPr="00225B89" w:rsidRDefault="008B1ADF" w:rsidP="008B1ADF">
            <w:pPr>
              <w:spacing w:after="0" w:line="240" w:lineRule="auto"/>
              <w:jc w:val="both"/>
              <w:rPr>
                <w:rFonts w:ascii="Arial" w:eastAsia="Times New Roman" w:hAnsi="Arial" w:cs="Arial"/>
                <w:color w:val="000000"/>
                <w:sz w:val="20"/>
                <w:szCs w:val="20"/>
              </w:rPr>
            </w:pPr>
            <w:r w:rsidRPr="00225B89">
              <w:rPr>
                <w:rFonts w:ascii="Arial" w:eastAsia="Times New Roman" w:hAnsi="Arial" w:cs="Arial"/>
                <w:color w:val="000000"/>
                <w:sz w:val="20"/>
                <w:szCs w:val="20"/>
              </w:rPr>
              <w:t>Realizacijom ovog programa osiguravaju se uvjeti za redovnu i programsku djelatnost sukladno obvezama Općine Konavle kao osnivača i vlasnika ustanove.</w:t>
            </w:r>
          </w:p>
          <w:p w14:paraId="15FFB6CF" w14:textId="77777777" w:rsidR="008B1ADF" w:rsidRPr="00225B89" w:rsidRDefault="008B1ADF" w:rsidP="008B1ADF">
            <w:pPr>
              <w:spacing w:after="0" w:line="240" w:lineRule="auto"/>
              <w:jc w:val="both"/>
              <w:rPr>
                <w:rFonts w:ascii="Arial" w:hAnsi="Arial" w:cs="Arial"/>
                <w:sz w:val="20"/>
                <w:szCs w:val="20"/>
              </w:rPr>
            </w:pPr>
            <w:r w:rsidRPr="00225B89">
              <w:rPr>
                <w:rFonts w:ascii="Arial" w:eastAsia="Times New Roman" w:hAnsi="Arial" w:cs="Arial"/>
                <w:color w:val="000000"/>
                <w:sz w:val="20"/>
                <w:szCs w:val="20"/>
              </w:rPr>
              <w:t>N</w:t>
            </w:r>
            <w:r w:rsidRPr="00225B89">
              <w:rPr>
                <w:rFonts w:ascii="Arial" w:hAnsi="Arial" w:cs="Arial"/>
                <w:sz w:val="20"/>
                <w:szCs w:val="20"/>
              </w:rPr>
              <w:t>jegovom realizacijom zadovoljavaju se kulturne potrebe stanovnika Općine Konavle, podiže se standard muzejske djelatnosti, sustavno se radi na očuvanju i obradi kulturnih dobara te se provode programi zaštite, prezentacije i prenošenja spoznaja o bogatoj prošlosti Konavala.</w:t>
            </w:r>
          </w:p>
          <w:p w14:paraId="0E14E85D" w14:textId="77777777" w:rsidR="008B1ADF" w:rsidRPr="00225B89" w:rsidRDefault="008B1ADF" w:rsidP="008B1ADF">
            <w:pPr>
              <w:spacing w:after="0" w:line="240" w:lineRule="auto"/>
              <w:jc w:val="both"/>
              <w:rPr>
                <w:rFonts w:ascii="Arial" w:hAnsi="Arial" w:cs="Arial"/>
                <w:sz w:val="20"/>
                <w:szCs w:val="20"/>
              </w:rPr>
            </w:pPr>
            <w:r w:rsidRPr="00225B89">
              <w:rPr>
                <w:rFonts w:ascii="Arial" w:hAnsi="Arial" w:cs="Arial"/>
                <w:sz w:val="20"/>
                <w:szCs w:val="20"/>
              </w:rPr>
              <w:t>Opći cilj ustanove jest uspostaviti muzejske jedinice koje će na suvremen i kvalitetan način prezentirati i stručno obrađivati građu i lokalitete, na korist struke i šire lokalne zajednice.</w:t>
            </w:r>
          </w:p>
          <w:p w14:paraId="5322E980" w14:textId="77777777" w:rsidR="008B1ADF" w:rsidRPr="00225B89" w:rsidRDefault="008B1ADF" w:rsidP="008B1ADF">
            <w:pPr>
              <w:spacing w:after="0" w:line="240" w:lineRule="auto"/>
              <w:jc w:val="both"/>
              <w:rPr>
                <w:rFonts w:ascii="Arial" w:eastAsia="Times New Roman" w:hAnsi="Arial" w:cs="Arial"/>
                <w:color w:val="000000"/>
                <w:sz w:val="20"/>
                <w:szCs w:val="20"/>
              </w:rPr>
            </w:pPr>
          </w:p>
          <w:p w14:paraId="7D64AE0C"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Sustavan razvoj ustanove Muzeja i galerija Konavala temelji se na smjernicama:</w:t>
            </w:r>
          </w:p>
          <w:p w14:paraId="1A760317" w14:textId="77777777" w:rsidR="008B1ADF" w:rsidRPr="00225B89" w:rsidRDefault="008B1ADF">
            <w:pPr>
              <w:pStyle w:val="Odlomakpopisa"/>
              <w:numPr>
                <w:ilvl w:val="0"/>
                <w:numId w:val="57"/>
              </w:numPr>
              <w:contextualSpacing/>
              <w:jc w:val="left"/>
              <w:rPr>
                <w:rFonts w:ascii="Arial" w:hAnsi="Arial" w:cs="Arial"/>
                <w:color w:val="000000"/>
                <w:lang w:eastAsia="hr-HR"/>
              </w:rPr>
            </w:pPr>
            <w:r w:rsidRPr="00225B89">
              <w:rPr>
                <w:rFonts w:ascii="Arial" w:hAnsi="Arial" w:cs="Arial"/>
                <w:color w:val="000000"/>
                <w:lang w:eastAsia="hr-HR"/>
              </w:rPr>
              <w:t>Poboljšanje financiranja rada ustanove povećanjem vlastitih prihoda:</w:t>
            </w:r>
          </w:p>
          <w:p w14:paraId="3C613F3B" w14:textId="77777777" w:rsidR="008B1ADF" w:rsidRPr="00225B89" w:rsidRDefault="008B1ADF">
            <w:pPr>
              <w:pStyle w:val="Odlomakpopisa"/>
              <w:numPr>
                <w:ilvl w:val="0"/>
                <w:numId w:val="57"/>
              </w:numPr>
              <w:contextualSpacing/>
              <w:jc w:val="left"/>
              <w:rPr>
                <w:rFonts w:ascii="Arial" w:hAnsi="Arial" w:cs="Arial"/>
                <w:color w:val="000000"/>
                <w:lang w:eastAsia="hr-HR"/>
              </w:rPr>
            </w:pPr>
          </w:p>
          <w:p w14:paraId="79C384E9" w14:textId="77777777" w:rsidR="008B1ADF" w:rsidRPr="00225B89" w:rsidRDefault="008B1ADF" w:rsidP="008B1ADF">
            <w:pPr>
              <w:spacing w:after="0" w:line="240" w:lineRule="auto"/>
              <w:rPr>
                <w:rFonts w:ascii="Arial" w:hAnsi="Arial" w:cs="Arial"/>
                <w:sz w:val="20"/>
                <w:szCs w:val="20"/>
              </w:rPr>
            </w:pPr>
            <w:r w:rsidRPr="00225B89">
              <w:rPr>
                <w:rFonts w:ascii="Arial" w:eastAsia="Times New Roman" w:hAnsi="Arial" w:cs="Arial"/>
                <w:color w:val="000000"/>
                <w:sz w:val="20"/>
                <w:szCs w:val="20"/>
              </w:rPr>
              <w:t xml:space="preserve">-            Ostvarenje vlastitih prihoda kroz </w:t>
            </w:r>
            <w:r w:rsidRPr="00225B89">
              <w:rPr>
                <w:rFonts w:ascii="Arial" w:hAnsi="Arial" w:cs="Arial"/>
                <w:sz w:val="20"/>
                <w:szCs w:val="20"/>
              </w:rPr>
              <w:t xml:space="preserve">razvoj i plasman novih proizvoda i usluga unutar muzejskih jedinica, </w:t>
            </w:r>
          </w:p>
          <w:p w14:paraId="5CCECD9D" w14:textId="77777777" w:rsidR="008B1ADF" w:rsidRPr="00225B89" w:rsidRDefault="008B1ADF" w:rsidP="008B1ADF">
            <w:pPr>
              <w:spacing w:after="0" w:line="240" w:lineRule="auto"/>
              <w:rPr>
                <w:rFonts w:ascii="Arial" w:hAnsi="Arial" w:cs="Arial"/>
                <w:sz w:val="20"/>
                <w:szCs w:val="20"/>
              </w:rPr>
            </w:pPr>
            <w:r w:rsidRPr="00225B89">
              <w:rPr>
                <w:rFonts w:ascii="Arial" w:hAnsi="Arial" w:cs="Arial"/>
                <w:sz w:val="20"/>
                <w:szCs w:val="20"/>
              </w:rPr>
              <w:t xml:space="preserve">              osobito tijekom turističke sezone, kada postoji pojačana potražnja za kulturnim sadržajima. Aktivnosti </w:t>
            </w:r>
          </w:p>
          <w:p w14:paraId="04B2DA54" w14:textId="77777777" w:rsidR="008B1ADF" w:rsidRPr="00225B89" w:rsidRDefault="008B1ADF" w:rsidP="008B1ADF">
            <w:pPr>
              <w:spacing w:after="0" w:line="240" w:lineRule="auto"/>
              <w:rPr>
                <w:rFonts w:ascii="Arial" w:hAnsi="Arial" w:cs="Arial"/>
                <w:sz w:val="20"/>
                <w:szCs w:val="20"/>
              </w:rPr>
            </w:pPr>
            <w:r w:rsidRPr="00225B89">
              <w:rPr>
                <w:rFonts w:ascii="Arial" w:hAnsi="Arial" w:cs="Arial"/>
                <w:sz w:val="20"/>
                <w:szCs w:val="20"/>
              </w:rPr>
              <w:t xml:space="preserve">              uključuju izradu i prodaju kataloga na stranim jezicima, uspostavu i unaprjeđenje muzejskih </w:t>
            </w:r>
          </w:p>
          <w:p w14:paraId="5C6E7745" w14:textId="77777777" w:rsidR="008B1ADF" w:rsidRPr="00225B89" w:rsidRDefault="008B1ADF" w:rsidP="008B1ADF">
            <w:pPr>
              <w:spacing w:after="0" w:line="240" w:lineRule="auto"/>
              <w:rPr>
                <w:rFonts w:ascii="Arial" w:hAnsi="Arial" w:cs="Arial"/>
                <w:sz w:val="20"/>
                <w:szCs w:val="20"/>
              </w:rPr>
            </w:pPr>
            <w:r w:rsidRPr="00225B89">
              <w:rPr>
                <w:rFonts w:ascii="Arial" w:hAnsi="Arial" w:cs="Arial"/>
                <w:sz w:val="20"/>
                <w:szCs w:val="20"/>
              </w:rPr>
              <w:t xml:space="preserve">              suvenirnica s kvalitetno osmišljenim proizvodima, organizaciju stručnih vodstava i tematskih radionica </w:t>
            </w:r>
          </w:p>
          <w:p w14:paraId="14E27919" w14:textId="77777777" w:rsidR="008B1ADF" w:rsidRPr="00225B89" w:rsidRDefault="008B1ADF" w:rsidP="008B1ADF">
            <w:pPr>
              <w:spacing w:after="0" w:line="240" w:lineRule="auto"/>
              <w:rPr>
                <w:rFonts w:ascii="Arial" w:hAnsi="Arial" w:cs="Arial"/>
                <w:sz w:val="20"/>
                <w:szCs w:val="20"/>
              </w:rPr>
            </w:pPr>
            <w:r w:rsidRPr="00225B89">
              <w:rPr>
                <w:rFonts w:ascii="Arial" w:hAnsi="Arial" w:cs="Arial"/>
                <w:sz w:val="20"/>
                <w:szCs w:val="20"/>
              </w:rPr>
              <w:t xml:space="preserve">              za turiste te prezentacije tradicijskih vještina poput proizvodnje svile, lana i vune. Također, </w:t>
            </w:r>
          </w:p>
          <w:p w14:paraId="4F4C5E31" w14:textId="77777777" w:rsidR="008B1ADF" w:rsidRPr="00225B89" w:rsidRDefault="008B1ADF" w:rsidP="008B1ADF">
            <w:pPr>
              <w:spacing w:after="0" w:line="240" w:lineRule="auto"/>
              <w:rPr>
                <w:rFonts w:ascii="Arial" w:hAnsi="Arial" w:cs="Arial"/>
                <w:sz w:val="20"/>
                <w:szCs w:val="20"/>
              </w:rPr>
            </w:pPr>
            <w:r w:rsidRPr="00225B89">
              <w:rPr>
                <w:rFonts w:ascii="Arial" w:hAnsi="Arial" w:cs="Arial"/>
                <w:sz w:val="20"/>
                <w:szCs w:val="20"/>
              </w:rPr>
              <w:t xml:space="preserve">              suradnjom sa turističkim agencijama i drugim dionicima u turizmu radi kreiranja zajedničkih </w:t>
            </w:r>
          </w:p>
          <w:p w14:paraId="3FC65ACA" w14:textId="77777777" w:rsidR="008B1ADF" w:rsidRPr="00225B89" w:rsidRDefault="008B1ADF" w:rsidP="008B1ADF">
            <w:pPr>
              <w:spacing w:after="0" w:line="240" w:lineRule="auto"/>
              <w:rPr>
                <w:rFonts w:ascii="Arial" w:hAnsi="Arial" w:cs="Arial"/>
                <w:sz w:val="20"/>
                <w:szCs w:val="20"/>
              </w:rPr>
            </w:pPr>
            <w:r w:rsidRPr="00225B89">
              <w:rPr>
                <w:rFonts w:ascii="Arial" w:hAnsi="Arial" w:cs="Arial"/>
                <w:sz w:val="20"/>
                <w:szCs w:val="20"/>
              </w:rPr>
              <w:t xml:space="preserve">              programa i  kulturnih sadržaja dodatno se povećavaju prihodi kako i vidljivost ustanove te se </w:t>
            </w:r>
          </w:p>
          <w:p w14:paraId="3795BAD2" w14:textId="77777777" w:rsidR="008B1ADF" w:rsidRPr="00225B89" w:rsidRDefault="008B1ADF" w:rsidP="008B1ADF">
            <w:pPr>
              <w:spacing w:after="0" w:line="240" w:lineRule="auto"/>
              <w:rPr>
                <w:rFonts w:ascii="Arial" w:hAnsi="Arial" w:cs="Arial"/>
                <w:sz w:val="20"/>
                <w:szCs w:val="20"/>
              </w:rPr>
            </w:pPr>
            <w:r w:rsidRPr="00225B89">
              <w:rPr>
                <w:rFonts w:ascii="Arial" w:hAnsi="Arial" w:cs="Arial"/>
                <w:sz w:val="20"/>
                <w:szCs w:val="20"/>
              </w:rPr>
              <w:t xml:space="preserve">              obogaćuje kulturna ponuda destinacije. </w:t>
            </w:r>
          </w:p>
          <w:p w14:paraId="062CD00D"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w:t>
            </w:r>
            <w:r w:rsidRPr="00225B89">
              <w:rPr>
                <w:rFonts w:ascii="Arial" w:eastAsia="Times New Roman" w:hAnsi="Arial" w:cs="Arial"/>
                <w:color w:val="000000"/>
                <w:sz w:val="20"/>
                <w:szCs w:val="20"/>
              </w:rPr>
              <w:tab/>
              <w:t xml:space="preserve">Aktivnim javljanjem na javne pozive za potrebe u kulturi i europske fondove, kvalitetnim projektima </w:t>
            </w:r>
          </w:p>
          <w:p w14:paraId="00363A53"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 xml:space="preserve">              privući ulaganja. Inzistirati na višerazinskim koristima od projekata.</w:t>
            </w:r>
          </w:p>
          <w:p w14:paraId="3B682D16"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w:t>
            </w:r>
            <w:r w:rsidRPr="00225B89">
              <w:rPr>
                <w:rFonts w:ascii="Arial" w:eastAsia="Times New Roman" w:hAnsi="Arial" w:cs="Arial"/>
                <w:color w:val="000000"/>
                <w:sz w:val="20"/>
                <w:szCs w:val="20"/>
              </w:rPr>
              <w:tab/>
              <w:t xml:space="preserve">Uključivati i informirati lokalnu zajednicu u sustav donacija i članarina te povećati prodaju prihoda od </w:t>
            </w:r>
          </w:p>
          <w:p w14:paraId="269681E8"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 xml:space="preserve">              ulaznica u muzeje.</w:t>
            </w:r>
          </w:p>
          <w:p w14:paraId="77026C22"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lastRenderedPageBreak/>
              <w:t>2. Povećanje prinosa u muzejskoj djelatnosti</w:t>
            </w:r>
          </w:p>
          <w:p w14:paraId="32FB3FCD"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w:t>
            </w:r>
            <w:r w:rsidRPr="00225B89">
              <w:rPr>
                <w:rFonts w:ascii="Arial" w:eastAsia="Times New Roman" w:hAnsi="Arial" w:cs="Arial"/>
                <w:color w:val="000000"/>
                <w:sz w:val="20"/>
                <w:szCs w:val="20"/>
              </w:rPr>
              <w:tab/>
              <w:t>Poticati stručne djelatnike ustanove na projekte od većeg značaja u skladu sa odlukom o osnivanju i</w:t>
            </w:r>
          </w:p>
          <w:p w14:paraId="6BCB613B"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 xml:space="preserve">              statutom</w:t>
            </w:r>
          </w:p>
          <w:p w14:paraId="745DF264"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w:t>
            </w:r>
            <w:r w:rsidRPr="00225B89">
              <w:rPr>
                <w:rFonts w:ascii="Arial" w:eastAsia="Times New Roman" w:hAnsi="Arial" w:cs="Arial"/>
                <w:color w:val="000000"/>
                <w:sz w:val="20"/>
                <w:szCs w:val="20"/>
              </w:rPr>
              <w:tab/>
              <w:t xml:space="preserve">Raditi na evidentiranju dosad neobrađene građe i lokaliteta, poticati lokalnu zajednicu na suradnju. </w:t>
            </w:r>
          </w:p>
          <w:p w14:paraId="5328DE23"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w:t>
            </w:r>
            <w:r w:rsidRPr="00225B89">
              <w:rPr>
                <w:rFonts w:ascii="Arial" w:eastAsia="Times New Roman" w:hAnsi="Arial" w:cs="Arial"/>
                <w:color w:val="000000"/>
                <w:sz w:val="20"/>
                <w:szCs w:val="20"/>
              </w:rPr>
              <w:tab/>
              <w:t>Napraviti digitalnu javnu platformu spomeničke baštine u Konavlima</w:t>
            </w:r>
          </w:p>
          <w:p w14:paraId="61DECFA3"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w:t>
            </w:r>
            <w:r w:rsidRPr="00225B89">
              <w:rPr>
                <w:rFonts w:ascii="Arial" w:eastAsia="Times New Roman" w:hAnsi="Arial" w:cs="Arial"/>
                <w:color w:val="000000"/>
                <w:sz w:val="20"/>
                <w:szCs w:val="20"/>
              </w:rPr>
              <w:tab/>
              <w:t xml:space="preserve">Poticati dizajnere na izradu visoko kvalitetnih predmeta inspiriranih građom zbog popularizacije iste i </w:t>
            </w:r>
          </w:p>
          <w:p w14:paraId="3BD081C6"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 xml:space="preserve">              povećanja vlastitih prihoda</w:t>
            </w:r>
          </w:p>
          <w:p w14:paraId="490F4F70"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w:t>
            </w:r>
            <w:r w:rsidRPr="00225B89">
              <w:rPr>
                <w:rFonts w:ascii="Arial" w:eastAsia="Times New Roman" w:hAnsi="Arial" w:cs="Arial"/>
                <w:color w:val="000000"/>
                <w:sz w:val="20"/>
                <w:szCs w:val="20"/>
              </w:rPr>
              <w:tab/>
              <w:t>Osigurati uvjete za kvalitetne prinose</w:t>
            </w:r>
          </w:p>
          <w:p w14:paraId="6B67529A"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3. Ubrzanje rasta i razvoja</w:t>
            </w:r>
          </w:p>
          <w:p w14:paraId="75D8D2C1"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w:t>
            </w:r>
            <w:r w:rsidRPr="00225B89">
              <w:rPr>
                <w:rFonts w:ascii="Arial" w:eastAsia="Times New Roman" w:hAnsi="Arial" w:cs="Arial"/>
                <w:color w:val="000000"/>
                <w:sz w:val="20"/>
                <w:szCs w:val="20"/>
              </w:rPr>
              <w:tab/>
              <w:t>Poticanje razvojnih projekata koji omogućavaju zapošljavanje</w:t>
            </w:r>
          </w:p>
          <w:p w14:paraId="1A1A3D36"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w:t>
            </w:r>
            <w:r w:rsidRPr="00225B89">
              <w:rPr>
                <w:rFonts w:ascii="Arial" w:eastAsia="Times New Roman" w:hAnsi="Arial" w:cs="Arial"/>
                <w:color w:val="000000"/>
                <w:sz w:val="20"/>
                <w:szCs w:val="20"/>
              </w:rPr>
              <w:tab/>
              <w:t>Primjena novih tehnologija u cilju produktivnosti</w:t>
            </w:r>
          </w:p>
          <w:p w14:paraId="7BAB0745"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w:t>
            </w:r>
            <w:r w:rsidRPr="00225B89">
              <w:rPr>
                <w:rFonts w:ascii="Arial" w:eastAsia="Times New Roman" w:hAnsi="Arial" w:cs="Arial"/>
                <w:color w:val="000000"/>
                <w:sz w:val="20"/>
                <w:szCs w:val="20"/>
              </w:rPr>
              <w:tab/>
              <w:t>Muzejske jedinice kao generatori edukacije sa vrlo aktivnim programima za posjetitelje</w:t>
            </w:r>
          </w:p>
          <w:p w14:paraId="6B42ED48"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w:t>
            </w:r>
            <w:r w:rsidRPr="00225B89">
              <w:rPr>
                <w:rFonts w:ascii="Arial" w:eastAsia="Times New Roman" w:hAnsi="Arial" w:cs="Arial"/>
                <w:color w:val="000000"/>
                <w:sz w:val="20"/>
                <w:szCs w:val="20"/>
              </w:rPr>
              <w:tab/>
              <w:t>Povećanje vlastitih prihoda</w:t>
            </w:r>
          </w:p>
          <w:p w14:paraId="0195CFE2"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4. Obrazovanje i zapošljavanje</w:t>
            </w:r>
          </w:p>
          <w:p w14:paraId="6B54B3CB"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w:t>
            </w:r>
            <w:r w:rsidRPr="00225B89">
              <w:rPr>
                <w:rFonts w:ascii="Arial" w:eastAsia="Times New Roman" w:hAnsi="Arial" w:cs="Arial"/>
                <w:color w:val="000000"/>
                <w:sz w:val="20"/>
                <w:szCs w:val="20"/>
              </w:rPr>
              <w:tab/>
              <w:t>Ulagati u stručno usavršavanje djelatnika</w:t>
            </w:r>
          </w:p>
          <w:p w14:paraId="2B825069"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w:t>
            </w:r>
            <w:r w:rsidRPr="00225B89">
              <w:rPr>
                <w:rFonts w:ascii="Arial" w:eastAsia="Times New Roman" w:hAnsi="Arial" w:cs="Arial"/>
                <w:color w:val="000000"/>
                <w:sz w:val="20"/>
                <w:szCs w:val="20"/>
              </w:rPr>
              <w:tab/>
              <w:t xml:space="preserve">Poticati zapošljavanje mladih stručnjaka te razvijati programe u kojima su nositelji vizije programa </w:t>
            </w:r>
          </w:p>
          <w:p w14:paraId="41538D1C"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 xml:space="preserve">              sukladno užem interesu. Omogućiti im napredovanje u struci i prezentaciju njihova rada.</w:t>
            </w:r>
          </w:p>
          <w:p w14:paraId="3D593128" w14:textId="77777777" w:rsidR="008B1ADF" w:rsidRPr="00225B89" w:rsidRDefault="008B1ADF" w:rsidP="008B1ADF">
            <w:pPr>
              <w:spacing w:after="0" w:line="240" w:lineRule="auto"/>
              <w:rPr>
                <w:rFonts w:ascii="Arial" w:eastAsia="Times New Roman" w:hAnsi="Arial" w:cs="Arial"/>
                <w:color w:val="000000"/>
                <w:sz w:val="20"/>
                <w:szCs w:val="20"/>
              </w:rPr>
            </w:pPr>
            <w:r w:rsidRPr="00225B89">
              <w:rPr>
                <w:rFonts w:ascii="Arial" w:eastAsia="Times New Roman" w:hAnsi="Arial" w:cs="Arial"/>
                <w:color w:val="000000"/>
                <w:sz w:val="20"/>
                <w:szCs w:val="20"/>
              </w:rPr>
              <w:t>Posebni ciljevi:</w:t>
            </w:r>
          </w:p>
          <w:p w14:paraId="21BF9809"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w:t>
            </w:r>
            <w:r w:rsidRPr="00225B89">
              <w:rPr>
                <w:rFonts w:ascii="Arial" w:eastAsia="Calibri" w:hAnsi="Arial" w:cs="Arial"/>
                <w:sz w:val="20"/>
                <w:szCs w:val="20"/>
              </w:rPr>
              <w:tab/>
              <w:t xml:space="preserve">Građevinski sanirati Zavičajni muzej Konavala, omogućiti siguran smještaj i prezentaciju građe te stvoriti </w:t>
            </w:r>
          </w:p>
          <w:p w14:paraId="4E385634"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 xml:space="preserve">              kvalitetne uvjete za rad kustosa, među ostalim riješiti pitanje vlage u Kući Bukovac i Zavičajnom muzeju </w:t>
            </w:r>
          </w:p>
          <w:p w14:paraId="624FE6ED"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 xml:space="preserve">              Konavala. Uvesti sustava regulacije vlage i temperature u Kuću Bukovac.</w:t>
            </w:r>
          </w:p>
          <w:p w14:paraId="2E5AEA5D"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w:t>
            </w:r>
            <w:r w:rsidRPr="00225B89">
              <w:rPr>
                <w:rFonts w:ascii="Arial" w:eastAsia="Calibri" w:hAnsi="Arial" w:cs="Arial"/>
                <w:sz w:val="20"/>
                <w:szCs w:val="20"/>
              </w:rPr>
              <w:tab/>
              <w:t xml:space="preserve">Napraviti vodič po istom te planirati šest izložbi godišnje od kojih bi četiri trebale biti iz obrade </w:t>
            </w:r>
          </w:p>
          <w:p w14:paraId="70DDCA93"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 xml:space="preserve">              muzejskog fundusa</w:t>
            </w:r>
          </w:p>
          <w:p w14:paraId="07B14C9C"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w:t>
            </w:r>
            <w:r w:rsidRPr="00225B89">
              <w:rPr>
                <w:rFonts w:ascii="Arial" w:eastAsia="Calibri" w:hAnsi="Arial" w:cs="Arial"/>
                <w:sz w:val="20"/>
                <w:szCs w:val="20"/>
              </w:rPr>
              <w:tab/>
              <w:t xml:space="preserve">Informatizirati muzejske jedinice </w:t>
            </w:r>
          </w:p>
          <w:p w14:paraId="37D4C308"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w:t>
            </w:r>
            <w:r w:rsidRPr="00225B89">
              <w:rPr>
                <w:rFonts w:ascii="Arial" w:eastAsia="Calibri" w:hAnsi="Arial" w:cs="Arial"/>
                <w:sz w:val="20"/>
                <w:szCs w:val="20"/>
              </w:rPr>
              <w:tab/>
              <w:t>Formirati muzejske prodavaonice sa kvalitetnim dizajnerskim proizvodima</w:t>
            </w:r>
          </w:p>
          <w:p w14:paraId="784AD2E2"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w:t>
            </w:r>
            <w:r w:rsidRPr="00225B89">
              <w:rPr>
                <w:rFonts w:ascii="Arial" w:eastAsia="Calibri" w:hAnsi="Arial" w:cs="Arial"/>
                <w:sz w:val="20"/>
                <w:szCs w:val="20"/>
              </w:rPr>
              <w:tab/>
              <w:t>Razvijati odjel za arheologiju kao centar za povijesna i arheološka istraživanja Konavala</w:t>
            </w:r>
          </w:p>
          <w:p w14:paraId="69892528"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w:t>
            </w:r>
            <w:r w:rsidRPr="00225B89">
              <w:rPr>
                <w:rFonts w:ascii="Arial" w:eastAsia="Calibri" w:hAnsi="Arial" w:cs="Arial"/>
                <w:sz w:val="20"/>
                <w:szCs w:val="20"/>
              </w:rPr>
              <w:tab/>
              <w:t xml:space="preserve">Izraditi projektnu dokumentaciju za prezentaciju i istraživačke radove na lokalitetu Sv.Barbara koja je </w:t>
            </w:r>
          </w:p>
          <w:p w14:paraId="4D634F84"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 xml:space="preserve">              od 2016. pod zaštitom UNESCO-a</w:t>
            </w:r>
          </w:p>
          <w:p w14:paraId="75EE4893"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w:t>
            </w:r>
            <w:r w:rsidRPr="00225B89">
              <w:rPr>
                <w:rFonts w:ascii="Arial" w:eastAsia="Calibri" w:hAnsi="Arial" w:cs="Arial"/>
                <w:sz w:val="20"/>
                <w:szCs w:val="20"/>
              </w:rPr>
              <w:tab/>
              <w:t xml:space="preserve">Prezentirati srednjovjekovno groblje i naseobinski lokalitet na Jagnjilu, Stravča (11. – 15.st) sa jedinom </w:t>
            </w:r>
          </w:p>
          <w:p w14:paraId="5163367F"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 xml:space="preserve">               suhozidnom crkvom u Konavlima</w:t>
            </w:r>
          </w:p>
          <w:p w14:paraId="662E9328"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w:t>
            </w:r>
            <w:r w:rsidRPr="00225B89">
              <w:rPr>
                <w:rFonts w:ascii="Arial" w:eastAsia="Calibri" w:hAnsi="Arial" w:cs="Arial"/>
                <w:sz w:val="20"/>
                <w:szCs w:val="20"/>
              </w:rPr>
              <w:tab/>
              <w:t>Istražiti i prezentirati kamenolom stećaka Voznik na Brotnicama</w:t>
            </w:r>
          </w:p>
          <w:p w14:paraId="23D04A63"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w:t>
            </w:r>
            <w:r w:rsidRPr="00225B89">
              <w:rPr>
                <w:rFonts w:ascii="Arial" w:eastAsia="Calibri" w:hAnsi="Arial" w:cs="Arial"/>
                <w:sz w:val="20"/>
                <w:szCs w:val="20"/>
              </w:rPr>
              <w:tab/>
              <w:t>Pojačati izdavačku djelatnost</w:t>
            </w:r>
          </w:p>
          <w:p w14:paraId="08C27E2D"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w:t>
            </w:r>
            <w:r w:rsidRPr="00225B89">
              <w:rPr>
                <w:rFonts w:ascii="Arial" w:eastAsia="Calibri" w:hAnsi="Arial" w:cs="Arial"/>
                <w:sz w:val="20"/>
                <w:szCs w:val="20"/>
              </w:rPr>
              <w:tab/>
              <w:t>Formirati godišnjak Muzeja i galerija Konavala gdje bi se objavljivali tekstovi novih prinosa obrade građe</w:t>
            </w:r>
          </w:p>
          <w:p w14:paraId="286F3F65" w14:textId="77777777" w:rsidR="008B1ADF" w:rsidRPr="00225B89" w:rsidRDefault="008B1ADF" w:rsidP="008B1ADF">
            <w:pPr>
              <w:spacing w:after="0" w:line="240" w:lineRule="auto"/>
              <w:jc w:val="both"/>
              <w:rPr>
                <w:rFonts w:ascii="Arial" w:eastAsia="Calibri" w:hAnsi="Arial" w:cs="Arial"/>
                <w:sz w:val="20"/>
                <w:szCs w:val="20"/>
              </w:rPr>
            </w:pPr>
            <w:r w:rsidRPr="00225B89">
              <w:rPr>
                <w:rFonts w:ascii="Arial" w:eastAsia="Calibri" w:hAnsi="Arial" w:cs="Arial"/>
                <w:sz w:val="20"/>
                <w:szCs w:val="20"/>
              </w:rPr>
              <w:t>-</w:t>
            </w:r>
            <w:r w:rsidRPr="00225B89">
              <w:rPr>
                <w:rFonts w:ascii="Arial" w:eastAsia="Calibri" w:hAnsi="Arial" w:cs="Arial"/>
                <w:sz w:val="20"/>
                <w:szCs w:val="20"/>
              </w:rPr>
              <w:tab/>
              <w:t xml:space="preserve">Razviti bogatu ponudu radionica za najmlađe (arheološke, likovne, pričanje priča...) kako bi se stvorili </w:t>
            </w:r>
          </w:p>
          <w:p w14:paraId="4F1F6E65" w14:textId="4EDFBE43" w:rsidR="008B1ADF" w:rsidRPr="00225B89" w:rsidRDefault="008B1ADF" w:rsidP="008B1ADF">
            <w:pPr>
              <w:tabs>
                <w:tab w:val="left" w:pos="-1440"/>
              </w:tabs>
              <w:spacing w:after="0" w:line="240" w:lineRule="auto"/>
              <w:jc w:val="both"/>
              <w:rPr>
                <w:rFonts w:ascii="Arial" w:eastAsia="Calibri" w:hAnsi="Arial" w:cs="Arial"/>
                <w:color w:val="C00000"/>
                <w:sz w:val="20"/>
                <w:szCs w:val="20"/>
                <w:lang w:eastAsia="en-US"/>
              </w:rPr>
            </w:pPr>
            <w:r w:rsidRPr="00225B89">
              <w:rPr>
                <w:rFonts w:ascii="Arial" w:eastAsia="Calibri" w:hAnsi="Arial" w:cs="Arial"/>
                <w:sz w:val="20"/>
                <w:szCs w:val="20"/>
              </w:rPr>
              <w:t xml:space="preserve">              budući aktivni posjetitelji muzeja i educirala zajednica u cijelosti.</w:t>
            </w:r>
          </w:p>
        </w:tc>
      </w:tr>
      <w:bookmarkEnd w:id="640"/>
      <w:tr w:rsidR="00736B9D" w:rsidRPr="003A2F86" w14:paraId="46E8E232" w14:textId="77777777" w:rsidTr="00087ADF">
        <w:tc>
          <w:tcPr>
            <w:tcW w:w="1843" w:type="dxa"/>
            <w:tcBorders>
              <w:top w:val="dotted" w:sz="4" w:space="0" w:color="auto"/>
              <w:left w:val="dotted" w:sz="4" w:space="0" w:color="auto"/>
              <w:bottom w:val="dotted" w:sz="4" w:space="0" w:color="auto"/>
              <w:right w:val="dotted" w:sz="4" w:space="0" w:color="auto"/>
            </w:tcBorders>
          </w:tcPr>
          <w:p w14:paraId="1B175C0D" w14:textId="77777777" w:rsidR="00087ADF" w:rsidRPr="003A2F86" w:rsidRDefault="00087ADF" w:rsidP="00087ADF">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lastRenderedPageBreak/>
              <w:t>ZAKONSKA OSNOVA:</w:t>
            </w:r>
          </w:p>
        </w:tc>
        <w:tc>
          <w:tcPr>
            <w:tcW w:w="12500" w:type="dxa"/>
            <w:tcBorders>
              <w:top w:val="dotted" w:sz="4" w:space="0" w:color="auto"/>
              <w:left w:val="dotted" w:sz="4" w:space="0" w:color="auto"/>
              <w:bottom w:val="dotted" w:sz="4" w:space="0" w:color="auto"/>
              <w:right w:val="dotted" w:sz="4" w:space="0" w:color="auto"/>
            </w:tcBorders>
          </w:tcPr>
          <w:p w14:paraId="6A332394" w14:textId="7B5B53B0" w:rsidR="00087ADF" w:rsidRPr="003A2F86" w:rsidRDefault="00087ADF" w:rsidP="00087ADF">
            <w:pPr>
              <w:spacing w:after="0" w:line="240" w:lineRule="auto"/>
              <w:rPr>
                <w:rFonts w:ascii="Arial" w:eastAsia="Times New Roman" w:hAnsi="Arial" w:cs="Arial"/>
                <w:sz w:val="20"/>
                <w:szCs w:val="20"/>
                <w:lang w:eastAsia="en-US"/>
              </w:rPr>
            </w:pPr>
            <w:r w:rsidRPr="003A2F86">
              <w:rPr>
                <w:rFonts w:ascii="Arial" w:eastAsia="Times New Roman" w:hAnsi="Arial" w:cs="Arial"/>
                <w:sz w:val="20"/>
                <w:szCs w:val="20"/>
                <w:lang w:eastAsia="en-US"/>
              </w:rPr>
              <w:t>Zakon o muzejima (NN 61/18, 98/19</w:t>
            </w:r>
            <w:r w:rsidR="009837C0" w:rsidRPr="003A2F86">
              <w:rPr>
                <w:rFonts w:ascii="Arial" w:eastAsia="Times New Roman" w:hAnsi="Arial" w:cs="Arial"/>
                <w:sz w:val="20"/>
                <w:szCs w:val="20"/>
                <w:lang w:eastAsia="en-US"/>
              </w:rPr>
              <w:t>, 114/22</w:t>
            </w:r>
            <w:r w:rsidR="00CA1DCC" w:rsidRPr="003A2F86">
              <w:rPr>
                <w:rFonts w:ascii="Arial" w:eastAsia="Times New Roman" w:hAnsi="Arial" w:cs="Arial"/>
                <w:sz w:val="20"/>
                <w:szCs w:val="20"/>
                <w:lang w:eastAsia="en-US"/>
              </w:rPr>
              <w:t>, 36/24</w:t>
            </w:r>
            <w:r w:rsidRPr="003A2F86">
              <w:rPr>
                <w:rFonts w:ascii="Arial" w:eastAsia="Times New Roman" w:hAnsi="Arial" w:cs="Arial"/>
                <w:sz w:val="20"/>
                <w:szCs w:val="20"/>
                <w:lang w:eastAsia="en-US"/>
              </w:rPr>
              <w:t xml:space="preserve">), </w:t>
            </w:r>
            <w:r w:rsidR="004E1951" w:rsidRPr="003A2F86">
              <w:rPr>
                <w:rFonts w:ascii="Arial" w:eastAsia="Times New Roman" w:hAnsi="Arial" w:cs="Arial"/>
                <w:sz w:val="20"/>
                <w:szCs w:val="20"/>
                <w:lang w:eastAsia="en-US"/>
              </w:rPr>
              <w:t xml:space="preserve">Zakon o kulturnim vijećima i financiranju javnih potreba u kulturi (NN 83/22), </w:t>
            </w:r>
            <w:r w:rsidRPr="003A2F86">
              <w:rPr>
                <w:rFonts w:ascii="Arial" w:eastAsia="Times New Roman" w:hAnsi="Arial" w:cs="Arial"/>
                <w:sz w:val="20"/>
                <w:szCs w:val="20"/>
                <w:lang w:eastAsia="en-US"/>
              </w:rPr>
              <w:t>Zakon o ustanovama (NN 76/93, 29/97, 47/99 – ispravak, 35/08, 127/19</w:t>
            </w:r>
            <w:r w:rsidR="009837C0" w:rsidRPr="003A2F86">
              <w:rPr>
                <w:rFonts w:ascii="Arial" w:eastAsia="Times New Roman" w:hAnsi="Arial" w:cs="Arial"/>
                <w:sz w:val="20"/>
                <w:szCs w:val="20"/>
                <w:lang w:eastAsia="en-US"/>
              </w:rPr>
              <w:t>, 151/22</w:t>
            </w:r>
            <w:r w:rsidRPr="003A2F86">
              <w:rPr>
                <w:rFonts w:ascii="Arial" w:eastAsia="Times New Roman" w:hAnsi="Arial" w:cs="Arial"/>
                <w:sz w:val="20"/>
                <w:szCs w:val="20"/>
                <w:lang w:eastAsia="en-US"/>
              </w:rPr>
              <w:t>), Zakon o zaštiti i očuvanju kulturnih dobara (NN 66/99, 151/03, 157/03, 100/04, 87/09, 88/10, 61/11, 25/12, 136/12, 157/13, 152/14, 98/15, 44/17, 90/18, 32/20, 62/20</w:t>
            </w:r>
            <w:r w:rsidR="00CD1D4E" w:rsidRPr="003A2F86">
              <w:rPr>
                <w:rFonts w:ascii="Arial" w:eastAsia="Times New Roman" w:hAnsi="Arial" w:cs="Arial"/>
                <w:sz w:val="20"/>
                <w:szCs w:val="20"/>
                <w:lang w:eastAsia="en-US"/>
              </w:rPr>
              <w:t>, 117/21</w:t>
            </w:r>
            <w:r w:rsidR="00B7665C" w:rsidRPr="003A2F86">
              <w:rPr>
                <w:rFonts w:ascii="Arial" w:eastAsia="Times New Roman" w:hAnsi="Arial" w:cs="Arial"/>
                <w:sz w:val="20"/>
                <w:szCs w:val="20"/>
                <w:lang w:eastAsia="en-US"/>
              </w:rPr>
              <w:t>, 114/22</w:t>
            </w:r>
            <w:r w:rsidRPr="003A2F86">
              <w:rPr>
                <w:rFonts w:ascii="Arial" w:eastAsia="Times New Roman" w:hAnsi="Arial" w:cs="Arial"/>
                <w:sz w:val="20"/>
                <w:szCs w:val="20"/>
                <w:lang w:eastAsia="en-US"/>
              </w:rPr>
              <w:t xml:space="preserve">), </w:t>
            </w:r>
            <w:r w:rsidR="004D630C">
              <w:rPr>
                <w:rFonts w:ascii="Arial" w:eastAsia="Times New Roman" w:hAnsi="Arial" w:cs="Arial"/>
                <w:sz w:val="20"/>
                <w:szCs w:val="20"/>
                <w:lang w:eastAsia="en-US"/>
              </w:rPr>
              <w:t xml:space="preserve">Zakon o zaštiti i očuvanju kulturnih dobara (Narodne novine 145/24, 151/25 – na snazi od 1.1.2026.), </w:t>
            </w:r>
            <w:r w:rsidRPr="003A2F86">
              <w:rPr>
                <w:rFonts w:ascii="Arial" w:eastAsia="Times New Roman" w:hAnsi="Arial" w:cs="Arial"/>
                <w:sz w:val="20"/>
                <w:szCs w:val="20"/>
                <w:lang w:eastAsia="en-US"/>
              </w:rPr>
              <w:t>Zakon o javnoj nabavi (Narodne novine broj 120/16</w:t>
            </w:r>
            <w:r w:rsidR="00B7665C" w:rsidRPr="003A2F86">
              <w:rPr>
                <w:rFonts w:ascii="Arial" w:eastAsia="Times New Roman" w:hAnsi="Arial" w:cs="Arial"/>
                <w:sz w:val="20"/>
                <w:szCs w:val="20"/>
                <w:lang w:eastAsia="en-US"/>
              </w:rPr>
              <w:t>, 114/22</w:t>
            </w:r>
            <w:r w:rsidRPr="003A2F86">
              <w:rPr>
                <w:rFonts w:ascii="Arial" w:eastAsia="Times New Roman" w:hAnsi="Arial" w:cs="Arial"/>
                <w:sz w:val="20"/>
                <w:szCs w:val="20"/>
                <w:lang w:eastAsia="en-US"/>
              </w:rPr>
              <w:t xml:space="preserve">), Zakonu o audiovizualnim djelatnostima (Narodne novine broj 61/18), Pravilnik o načinu i mjerilima za povezivanje u sustav muzeja Republike Hrvatske (Narodne novine 20/02, 82/06), Pravilnik o uvjetima i načinu stjecanja stručnih zvanja u muzejskoj struci </w:t>
            </w:r>
            <w:r w:rsidRPr="003A2F86">
              <w:rPr>
                <w:rFonts w:ascii="Arial" w:eastAsia="Times New Roman" w:hAnsi="Arial" w:cs="Arial"/>
                <w:sz w:val="20"/>
                <w:szCs w:val="20"/>
                <w:lang w:eastAsia="en-US"/>
              </w:rPr>
              <w:lastRenderedPageBreak/>
              <w:t xml:space="preserve">(Narodne novine 97/10), Pravilnik o očevidniku muzeja, te muzeja, galerija i zbirki unutar ustanova i drugih pravnih osoba (Narodne novine 96/99), Pravilnik o uvjetima i načinu ostvarivanja uvida u muzejsku građu i muzejsku dokumentaciju (Narodne novine 115/01), Pravilnik o sadržaju i načinu vođenja muzejske dokumentacije o muzejskoj građi (Narodne novine 108/02), Pravilnik o stručnim i tehničkim standardima za određivanje vrste muzeja, za njihov rad, te za smještaj muzejske građe i muzejske dokumentacije (Narodne novine 30/06), Konvencija o međunarodnim izložbama (Narodne novine 15/01 i 10/03), Zakon o proračunu (Narodne novine broj </w:t>
            </w:r>
            <w:r w:rsidR="00046F5C" w:rsidRPr="003A2F86">
              <w:rPr>
                <w:rFonts w:ascii="Arial" w:eastAsia="Times New Roman" w:hAnsi="Arial" w:cs="Arial"/>
                <w:sz w:val="20"/>
                <w:szCs w:val="20"/>
                <w:lang w:eastAsia="en-US"/>
              </w:rPr>
              <w:t>144/22</w:t>
            </w:r>
            <w:r w:rsidRPr="003A2F86">
              <w:rPr>
                <w:rFonts w:ascii="Arial" w:eastAsia="Times New Roman" w:hAnsi="Arial" w:cs="Arial"/>
                <w:sz w:val="20"/>
                <w:szCs w:val="20"/>
                <w:lang w:eastAsia="en-US"/>
              </w:rPr>
              <w:t xml:space="preserve">), Pravilnik o proračunskim klasifikacijama (Narodne novine broj 26/10, 120/13, 1/20), Pravilnik o proračunskom računovodstvu i računskom planu (Narodne novine broj </w:t>
            </w:r>
            <w:r w:rsidR="00FA7932">
              <w:rPr>
                <w:rFonts w:ascii="Arial" w:eastAsia="Times New Roman" w:hAnsi="Arial" w:cs="Arial"/>
                <w:sz w:val="20"/>
                <w:szCs w:val="20"/>
                <w:lang w:eastAsia="en-US"/>
              </w:rPr>
              <w:t>158/23</w:t>
            </w:r>
            <w:r w:rsidR="004D630C">
              <w:rPr>
                <w:rFonts w:ascii="Arial" w:eastAsia="Times New Roman" w:hAnsi="Arial" w:cs="Arial"/>
                <w:sz w:val="20"/>
                <w:szCs w:val="20"/>
                <w:lang w:eastAsia="en-US"/>
              </w:rPr>
              <w:t>, 154/24</w:t>
            </w:r>
            <w:r w:rsidRPr="003A2F86">
              <w:rPr>
                <w:rFonts w:ascii="Arial" w:eastAsia="Times New Roman" w:hAnsi="Arial" w:cs="Arial"/>
                <w:sz w:val="20"/>
                <w:szCs w:val="20"/>
                <w:lang w:eastAsia="en-US"/>
              </w:rPr>
              <w:t>), Statut ustanove</w:t>
            </w:r>
          </w:p>
        </w:tc>
      </w:tr>
      <w:tr w:rsidR="004D630C" w:rsidRPr="00500D60" w14:paraId="00D1AABA" w14:textId="77777777" w:rsidTr="00F275EC">
        <w:tc>
          <w:tcPr>
            <w:tcW w:w="1843" w:type="dxa"/>
          </w:tcPr>
          <w:p w14:paraId="38C4ADD6" w14:textId="77777777" w:rsidR="004D630C" w:rsidRPr="00225B89" w:rsidRDefault="004D630C" w:rsidP="004D630C">
            <w:pPr>
              <w:spacing w:after="0" w:line="240" w:lineRule="auto"/>
              <w:rPr>
                <w:rFonts w:ascii="Arial" w:eastAsia="Calibri" w:hAnsi="Arial" w:cs="Arial"/>
                <w:sz w:val="20"/>
                <w:szCs w:val="20"/>
              </w:rPr>
            </w:pPr>
            <w:r w:rsidRPr="00225B89">
              <w:rPr>
                <w:rFonts w:ascii="Arial" w:eastAsia="Calibri" w:hAnsi="Arial" w:cs="Arial"/>
                <w:sz w:val="20"/>
                <w:szCs w:val="20"/>
              </w:rPr>
              <w:lastRenderedPageBreak/>
              <w:t>CILJEVI PROVEDBE PROGRAMA</w:t>
            </w:r>
          </w:p>
          <w:p w14:paraId="23782DF6" w14:textId="58CD054A" w:rsidR="004D630C" w:rsidRPr="00225B89" w:rsidRDefault="004D630C" w:rsidP="004D630C">
            <w:pPr>
              <w:spacing w:after="0" w:line="240" w:lineRule="auto"/>
              <w:jc w:val="both"/>
              <w:rPr>
                <w:rFonts w:ascii="Arial" w:eastAsia="Calibri" w:hAnsi="Arial" w:cs="Arial"/>
                <w:sz w:val="20"/>
                <w:szCs w:val="20"/>
                <w:lang w:eastAsia="en-US"/>
              </w:rPr>
            </w:pPr>
          </w:p>
        </w:tc>
        <w:tc>
          <w:tcPr>
            <w:tcW w:w="12500" w:type="dxa"/>
            <w:tcBorders>
              <w:top w:val="single" w:sz="4" w:space="0" w:color="auto"/>
              <w:left w:val="single" w:sz="4" w:space="0" w:color="auto"/>
              <w:bottom w:val="single" w:sz="4" w:space="0" w:color="auto"/>
              <w:right w:val="single" w:sz="4" w:space="0" w:color="000000"/>
            </w:tcBorders>
          </w:tcPr>
          <w:p w14:paraId="421D460B" w14:textId="77777777" w:rsidR="004D630C" w:rsidRPr="00225B89" w:rsidRDefault="004D630C" w:rsidP="004D630C">
            <w:pPr>
              <w:spacing w:after="0" w:line="240" w:lineRule="auto"/>
              <w:rPr>
                <w:rFonts w:ascii="Arial" w:eastAsia="Times New Roman" w:hAnsi="Arial" w:cs="Arial"/>
                <w:b/>
                <w:sz w:val="20"/>
                <w:szCs w:val="20"/>
              </w:rPr>
            </w:pPr>
          </w:p>
          <w:p w14:paraId="7814E823" w14:textId="77777777" w:rsidR="004D630C" w:rsidRPr="00225B89" w:rsidRDefault="004D630C" w:rsidP="004D630C">
            <w:pPr>
              <w:spacing w:after="0" w:line="240" w:lineRule="auto"/>
              <w:rPr>
                <w:rFonts w:ascii="Arial" w:eastAsia="Times New Roman" w:hAnsi="Arial" w:cs="Arial"/>
                <w:b/>
                <w:sz w:val="20"/>
                <w:szCs w:val="20"/>
              </w:rPr>
            </w:pPr>
            <w:r w:rsidRPr="00225B89">
              <w:rPr>
                <w:rFonts w:ascii="Arial" w:eastAsia="Times New Roman" w:hAnsi="Arial" w:cs="Arial"/>
                <w:b/>
                <w:sz w:val="20"/>
                <w:szCs w:val="20"/>
              </w:rPr>
              <w:t>Provedba programa u razdoblju 2025. godine</w:t>
            </w:r>
          </w:p>
          <w:p w14:paraId="551A863E" w14:textId="77777777" w:rsidR="004D630C" w:rsidRPr="00225B89" w:rsidRDefault="004D630C" w:rsidP="004D630C">
            <w:pPr>
              <w:spacing w:after="0" w:line="240" w:lineRule="auto"/>
              <w:rPr>
                <w:rFonts w:ascii="Arial" w:eastAsia="Times New Roman" w:hAnsi="Arial" w:cs="Arial"/>
                <w:b/>
                <w:sz w:val="20"/>
                <w:szCs w:val="20"/>
              </w:rPr>
            </w:pPr>
          </w:p>
          <w:p w14:paraId="759CD85B" w14:textId="77777777" w:rsidR="004D630C" w:rsidRPr="00225B89" w:rsidRDefault="004D630C">
            <w:pPr>
              <w:numPr>
                <w:ilvl w:val="0"/>
                <w:numId w:val="38"/>
              </w:numPr>
              <w:spacing w:after="0" w:line="240" w:lineRule="auto"/>
              <w:ind w:left="501"/>
              <w:contextualSpacing/>
              <w:jc w:val="both"/>
              <w:rPr>
                <w:rFonts w:ascii="Arial" w:eastAsia="Calibri" w:hAnsi="Arial" w:cs="Arial"/>
                <w:b/>
                <w:bCs/>
                <w:sz w:val="20"/>
                <w:szCs w:val="20"/>
              </w:rPr>
            </w:pPr>
            <w:r w:rsidRPr="00225B89">
              <w:rPr>
                <w:rFonts w:ascii="Arial" w:eastAsia="Calibri" w:hAnsi="Arial" w:cs="Arial"/>
                <w:b/>
                <w:bCs/>
                <w:sz w:val="20"/>
                <w:szCs w:val="20"/>
              </w:rPr>
              <w:t>POVEĆANJE POSJEĆENOSTI MUZEJA U SASTAVU MUZEJA I GALERIJA KONAVALA</w:t>
            </w:r>
          </w:p>
          <w:p w14:paraId="1D25011D" w14:textId="77777777" w:rsidR="004D630C" w:rsidRPr="00225B89" w:rsidRDefault="004D630C" w:rsidP="004D630C">
            <w:pPr>
              <w:spacing w:after="0" w:line="240" w:lineRule="auto"/>
              <w:jc w:val="both"/>
              <w:rPr>
                <w:rFonts w:ascii="Arial" w:eastAsia="Calibri" w:hAnsi="Arial" w:cs="Arial"/>
                <w:sz w:val="20"/>
                <w:szCs w:val="20"/>
              </w:rPr>
            </w:pPr>
            <w:r w:rsidRPr="00225B89">
              <w:rPr>
                <w:rFonts w:ascii="Arial" w:eastAsia="Calibri" w:hAnsi="Arial" w:cs="Arial"/>
                <w:sz w:val="20"/>
                <w:szCs w:val="20"/>
              </w:rPr>
              <w:t xml:space="preserve">Provodi se aktivna marketinška politika prema subjektima u turizmu, organiziraju se aktivnosti u muzejima u cilju promocije i prezentacije programa muzeja kako bi se povećao broj prodanih ulaznica. </w:t>
            </w:r>
          </w:p>
          <w:p w14:paraId="2FA8784C" w14:textId="77777777" w:rsidR="004D630C" w:rsidRPr="00225B89" w:rsidRDefault="004D630C" w:rsidP="004D630C">
            <w:pPr>
              <w:spacing w:after="0" w:line="240" w:lineRule="auto"/>
              <w:jc w:val="both"/>
              <w:rPr>
                <w:rFonts w:ascii="Arial" w:eastAsia="Calibri" w:hAnsi="Arial" w:cs="Arial"/>
                <w:b/>
                <w:bCs/>
                <w:sz w:val="20"/>
                <w:szCs w:val="20"/>
              </w:rPr>
            </w:pPr>
          </w:p>
          <w:p w14:paraId="6D1BCF60" w14:textId="77777777" w:rsidR="004D630C" w:rsidRPr="00225B89" w:rsidRDefault="004D630C">
            <w:pPr>
              <w:numPr>
                <w:ilvl w:val="0"/>
                <w:numId w:val="38"/>
              </w:numPr>
              <w:spacing w:after="0" w:line="240" w:lineRule="auto"/>
              <w:ind w:left="501"/>
              <w:contextualSpacing/>
              <w:jc w:val="both"/>
              <w:rPr>
                <w:rFonts w:ascii="Arial" w:eastAsia="Calibri" w:hAnsi="Arial" w:cs="Arial"/>
                <w:b/>
                <w:bCs/>
                <w:sz w:val="20"/>
                <w:szCs w:val="20"/>
              </w:rPr>
            </w:pPr>
            <w:r w:rsidRPr="00225B89">
              <w:rPr>
                <w:rFonts w:ascii="Arial" w:eastAsia="Calibri" w:hAnsi="Arial" w:cs="Arial"/>
                <w:b/>
                <w:bCs/>
                <w:sz w:val="20"/>
                <w:szCs w:val="20"/>
              </w:rPr>
              <w:t>POVEĆANJE PRIHODA IZ VLASTITE DJELATNOSTI</w:t>
            </w:r>
          </w:p>
          <w:p w14:paraId="5EEF98EC" w14:textId="77777777" w:rsidR="004D630C" w:rsidRPr="00225B89" w:rsidRDefault="004D630C" w:rsidP="004D630C">
            <w:pPr>
              <w:spacing w:after="0" w:line="240" w:lineRule="auto"/>
              <w:jc w:val="both"/>
              <w:rPr>
                <w:rFonts w:ascii="Arial" w:eastAsia="Calibri" w:hAnsi="Arial" w:cs="Arial"/>
                <w:sz w:val="20"/>
                <w:szCs w:val="20"/>
              </w:rPr>
            </w:pPr>
            <w:r w:rsidRPr="00225B89">
              <w:rPr>
                <w:rFonts w:ascii="Arial" w:eastAsia="Calibri" w:hAnsi="Arial" w:cs="Arial"/>
                <w:sz w:val="20"/>
                <w:szCs w:val="20"/>
              </w:rPr>
              <w:t xml:space="preserve">Ustanova razvija bogatu ponudu suvenira i vrijednih predmeta čime stvara vrijedne memorabilije u cilju održanja baštinskih vrijednosti. Cilj je povećanje vlastitih sredstava plasiranjem vlastitog suvenirskog programa u muzejskim prodavaonicama. </w:t>
            </w:r>
          </w:p>
          <w:p w14:paraId="28CA8A1A" w14:textId="77777777" w:rsidR="004D630C" w:rsidRPr="00225B89" w:rsidRDefault="004D630C" w:rsidP="004D630C">
            <w:pPr>
              <w:spacing w:after="0" w:line="240" w:lineRule="auto"/>
              <w:jc w:val="both"/>
              <w:rPr>
                <w:rFonts w:ascii="Arial" w:eastAsia="Calibri" w:hAnsi="Arial" w:cs="Arial"/>
                <w:sz w:val="20"/>
                <w:szCs w:val="20"/>
              </w:rPr>
            </w:pPr>
          </w:p>
          <w:p w14:paraId="7D20BE4A" w14:textId="77777777" w:rsidR="004D630C" w:rsidRPr="00225B89" w:rsidRDefault="004D630C">
            <w:pPr>
              <w:numPr>
                <w:ilvl w:val="0"/>
                <w:numId w:val="38"/>
              </w:numPr>
              <w:spacing w:after="0" w:line="240" w:lineRule="auto"/>
              <w:ind w:left="501"/>
              <w:jc w:val="both"/>
              <w:rPr>
                <w:rFonts w:ascii="Arial" w:eastAsia="Calibri" w:hAnsi="Arial" w:cs="Arial"/>
                <w:b/>
                <w:bCs/>
                <w:sz w:val="20"/>
                <w:szCs w:val="20"/>
              </w:rPr>
            </w:pPr>
            <w:r w:rsidRPr="00225B89">
              <w:rPr>
                <w:rFonts w:ascii="Arial" w:eastAsia="Calibri" w:hAnsi="Arial" w:cs="Arial"/>
                <w:b/>
                <w:bCs/>
                <w:sz w:val="20"/>
                <w:szCs w:val="20"/>
              </w:rPr>
              <w:t>POVEĆANJE PROGRAMA ZA DJECU</w:t>
            </w:r>
          </w:p>
          <w:p w14:paraId="6C311B96" w14:textId="77777777" w:rsidR="004D630C" w:rsidRPr="00225B89" w:rsidRDefault="004D630C" w:rsidP="004D630C">
            <w:pPr>
              <w:spacing w:after="0" w:line="240" w:lineRule="auto"/>
              <w:jc w:val="both"/>
              <w:rPr>
                <w:rFonts w:ascii="Arial" w:eastAsia="Calibri" w:hAnsi="Arial" w:cs="Arial"/>
                <w:sz w:val="20"/>
                <w:szCs w:val="20"/>
              </w:rPr>
            </w:pPr>
            <w:r w:rsidRPr="00225B89">
              <w:rPr>
                <w:rFonts w:ascii="Arial" w:eastAsia="Calibri" w:hAnsi="Arial" w:cs="Arial"/>
                <w:sz w:val="20"/>
                <w:szCs w:val="20"/>
              </w:rPr>
              <w:t>Programi za djecu osmišljavaju se kao redovni i povremeni programi te je broj djece koji sudjeluje u radionicama u stalnom porastu. Cilj programa je održanje nematerijalne kulturne baštine Konavala, senzibiliziranje najmlađih na kulturne teme te nadopuna školskog kurikuluma.</w:t>
            </w:r>
          </w:p>
          <w:p w14:paraId="32FC2954" w14:textId="77777777" w:rsidR="004D630C" w:rsidRPr="00225B89" w:rsidRDefault="004D630C" w:rsidP="004D630C">
            <w:pPr>
              <w:spacing w:after="0" w:line="240" w:lineRule="auto"/>
              <w:ind w:left="720"/>
              <w:contextualSpacing/>
              <w:jc w:val="both"/>
              <w:rPr>
                <w:rFonts w:ascii="Arial" w:eastAsia="Calibri" w:hAnsi="Arial" w:cs="Arial"/>
                <w:sz w:val="20"/>
                <w:szCs w:val="20"/>
              </w:rPr>
            </w:pPr>
          </w:p>
          <w:p w14:paraId="0ECA3B48" w14:textId="77777777" w:rsidR="004D630C" w:rsidRPr="00225B89" w:rsidRDefault="004D630C">
            <w:pPr>
              <w:numPr>
                <w:ilvl w:val="0"/>
                <w:numId w:val="38"/>
              </w:numPr>
              <w:spacing w:after="0" w:line="240" w:lineRule="auto"/>
              <w:ind w:left="501"/>
              <w:contextualSpacing/>
              <w:jc w:val="both"/>
              <w:rPr>
                <w:rFonts w:ascii="Arial" w:eastAsia="Calibri" w:hAnsi="Arial" w:cs="Arial"/>
                <w:b/>
                <w:bCs/>
                <w:sz w:val="20"/>
                <w:szCs w:val="20"/>
              </w:rPr>
            </w:pPr>
            <w:r w:rsidRPr="00225B89">
              <w:rPr>
                <w:rFonts w:ascii="Arial" w:eastAsia="Calibri" w:hAnsi="Arial" w:cs="Arial"/>
                <w:b/>
                <w:bCs/>
                <w:sz w:val="20"/>
                <w:szCs w:val="20"/>
              </w:rPr>
              <w:t>RADIONICE ZA ODRASLE</w:t>
            </w:r>
          </w:p>
          <w:p w14:paraId="7F5102BB" w14:textId="77777777" w:rsidR="004D630C" w:rsidRPr="00225B89" w:rsidRDefault="004D630C" w:rsidP="004D630C">
            <w:pPr>
              <w:spacing w:after="0" w:line="240" w:lineRule="auto"/>
              <w:contextualSpacing/>
              <w:jc w:val="both"/>
              <w:rPr>
                <w:rFonts w:ascii="Arial" w:eastAsia="Calibri" w:hAnsi="Arial" w:cs="Arial"/>
                <w:sz w:val="20"/>
                <w:szCs w:val="20"/>
              </w:rPr>
            </w:pPr>
            <w:r w:rsidRPr="00225B89">
              <w:rPr>
                <w:rFonts w:ascii="Arial" w:eastAsia="Calibri" w:hAnsi="Arial" w:cs="Arial"/>
                <w:sz w:val="20"/>
                <w:szCs w:val="20"/>
              </w:rPr>
              <w:t>Ustanova redovito organizira radionica za odrasle u svim muzejskim jedinicama kako bi se baštinske vrijednosti približile i njegovale u tim dobnim skupinama.</w:t>
            </w:r>
          </w:p>
          <w:p w14:paraId="61E2CE5F" w14:textId="77777777" w:rsidR="004D630C" w:rsidRPr="00225B89" w:rsidRDefault="004D630C" w:rsidP="004D630C">
            <w:pPr>
              <w:spacing w:after="0" w:line="240" w:lineRule="auto"/>
              <w:ind w:left="1080"/>
              <w:contextualSpacing/>
              <w:jc w:val="both"/>
              <w:rPr>
                <w:rFonts w:ascii="Arial" w:eastAsia="Calibri" w:hAnsi="Arial" w:cs="Arial"/>
                <w:sz w:val="20"/>
                <w:szCs w:val="20"/>
              </w:rPr>
            </w:pPr>
          </w:p>
          <w:p w14:paraId="5513F7E4" w14:textId="77777777" w:rsidR="004D630C" w:rsidRPr="00225B89" w:rsidRDefault="004D630C">
            <w:pPr>
              <w:numPr>
                <w:ilvl w:val="0"/>
                <w:numId w:val="38"/>
              </w:numPr>
              <w:spacing w:after="0" w:line="240" w:lineRule="auto"/>
              <w:ind w:left="501"/>
              <w:jc w:val="both"/>
              <w:rPr>
                <w:rFonts w:ascii="Arial" w:eastAsia="Calibri" w:hAnsi="Arial" w:cs="Arial"/>
                <w:b/>
                <w:bCs/>
                <w:sz w:val="20"/>
                <w:szCs w:val="20"/>
              </w:rPr>
            </w:pPr>
            <w:r w:rsidRPr="00225B89">
              <w:rPr>
                <w:rFonts w:ascii="Arial" w:eastAsia="Calibri" w:hAnsi="Arial" w:cs="Arial"/>
                <w:b/>
                <w:bCs/>
                <w:sz w:val="20"/>
                <w:szCs w:val="20"/>
              </w:rPr>
              <w:t>POVEĆANJE PROGRAMA ZA LJUDE STARIJE DOBI</w:t>
            </w:r>
          </w:p>
          <w:p w14:paraId="7A19B673" w14:textId="77777777" w:rsidR="004D630C" w:rsidRPr="00225B89" w:rsidRDefault="004D630C" w:rsidP="004D630C">
            <w:pPr>
              <w:spacing w:after="0" w:line="240" w:lineRule="auto"/>
              <w:jc w:val="both"/>
              <w:rPr>
                <w:rFonts w:ascii="Arial" w:eastAsia="Calibri" w:hAnsi="Arial" w:cs="Arial"/>
                <w:sz w:val="20"/>
                <w:szCs w:val="20"/>
              </w:rPr>
            </w:pPr>
            <w:r w:rsidRPr="00225B89">
              <w:rPr>
                <w:rFonts w:ascii="Arial" w:eastAsia="Calibri" w:hAnsi="Arial" w:cs="Arial"/>
                <w:sz w:val="20"/>
                <w:szCs w:val="20"/>
              </w:rPr>
              <w:t>U suradnji sa Domom za starije i nemoćne osobe organiziraju se posjeti muzejskih pedagoginja, kustosa ostalih stručnih djelatnika. Cilj je kontinuirano održavati programe kroz predavanja ili radionice tijekom cijele godine.</w:t>
            </w:r>
          </w:p>
          <w:p w14:paraId="477944B3" w14:textId="77777777" w:rsidR="004D630C" w:rsidRPr="00225B89" w:rsidRDefault="004D630C" w:rsidP="004D630C">
            <w:pPr>
              <w:spacing w:after="0" w:line="240" w:lineRule="auto"/>
              <w:jc w:val="both"/>
              <w:rPr>
                <w:rFonts w:ascii="Arial" w:eastAsia="Calibri" w:hAnsi="Arial" w:cs="Arial"/>
                <w:sz w:val="20"/>
                <w:szCs w:val="20"/>
              </w:rPr>
            </w:pPr>
          </w:p>
          <w:p w14:paraId="124D68A9" w14:textId="77777777" w:rsidR="004D630C" w:rsidRPr="00225B89" w:rsidRDefault="004D630C">
            <w:pPr>
              <w:numPr>
                <w:ilvl w:val="0"/>
                <w:numId w:val="38"/>
              </w:numPr>
              <w:spacing w:after="0" w:line="240" w:lineRule="auto"/>
              <w:ind w:left="501"/>
              <w:contextualSpacing/>
              <w:jc w:val="both"/>
              <w:rPr>
                <w:rFonts w:ascii="Arial" w:eastAsia="Calibri" w:hAnsi="Arial" w:cs="Arial"/>
                <w:b/>
                <w:bCs/>
                <w:sz w:val="20"/>
                <w:szCs w:val="20"/>
              </w:rPr>
            </w:pPr>
            <w:r w:rsidRPr="00225B89">
              <w:rPr>
                <w:rFonts w:ascii="Arial" w:eastAsia="Calibri" w:hAnsi="Arial" w:cs="Arial"/>
                <w:b/>
                <w:bCs/>
                <w:sz w:val="20"/>
                <w:szCs w:val="20"/>
              </w:rPr>
              <w:t>PROGRAM IZDAVAŠTVA</w:t>
            </w:r>
          </w:p>
          <w:p w14:paraId="3EB4E8DF" w14:textId="77777777" w:rsidR="004D630C" w:rsidRPr="00225B89" w:rsidRDefault="004D630C" w:rsidP="004D630C">
            <w:pPr>
              <w:spacing w:after="0" w:line="240" w:lineRule="auto"/>
              <w:jc w:val="both"/>
              <w:rPr>
                <w:rFonts w:ascii="Arial" w:eastAsia="Calibri" w:hAnsi="Arial" w:cs="Arial"/>
                <w:sz w:val="20"/>
                <w:szCs w:val="20"/>
              </w:rPr>
            </w:pPr>
            <w:r w:rsidRPr="00225B89">
              <w:rPr>
                <w:rFonts w:ascii="Arial" w:eastAsia="Calibri" w:hAnsi="Arial" w:cs="Arial"/>
                <w:sz w:val="20"/>
                <w:szCs w:val="20"/>
              </w:rPr>
              <w:t xml:space="preserve">Ustanova nastavlja sa uobičajenom dinamikom izdavanjem kataloga izložbi i ostalih publikacija, te radom na Blogu  </w:t>
            </w:r>
            <w:r w:rsidRPr="00225B89">
              <w:rPr>
                <w:rFonts w:ascii="Arial" w:eastAsia="Calibri" w:hAnsi="Arial" w:cs="Arial"/>
                <w:i/>
                <w:iCs/>
                <w:color w:val="000000"/>
                <w:sz w:val="20"/>
                <w:szCs w:val="20"/>
              </w:rPr>
              <w:t>Samonikle priče Konavala</w:t>
            </w:r>
            <w:r w:rsidRPr="00225B89">
              <w:rPr>
                <w:rFonts w:ascii="Arial" w:eastAsia="Calibri" w:hAnsi="Arial" w:cs="Arial"/>
                <w:color w:val="000000"/>
                <w:sz w:val="20"/>
                <w:szCs w:val="20"/>
              </w:rPr>
              <w:t xml:space="preserve">  </w:t>
            </w:r>
            <w:r w:rsidRPr="00225B89">
              <w:rPr>
                <w:rFonts w:ascii="Arial" w:eastAsia="Calibri" w:hAnsi="Arial" w:cs="Arial"/>
                <w:sz w:val="20"/>
                <w:szCs w:val="20"/>
              </w:rPr>
              <w:t>gdje se izdaju tekstovi u kratkim formama prilagođeni dnevnom čitanju.</w:t>
            </w:r>
          </w:p>
          <w:p w14:paraId="3D5685CF" w14:textId="77777777" w:rsidR="004D630C" w:rsidRPr="00225B89" w:rsidRDefault="004D630C" w:rsidP="004D630C">
            <w:pPr>
              <w:spacing w:after="0" w:line="240" w:lineRule="auto"/>
              <w:jc w:val="both"/>
              <w:rPr>
                <w:rFonts w:ascii="Arial" w:eastAsia="Calibri" w:hAnsi="Arial" w:cs="Arial"/>
                <w:sz w:val="20"/>
                <w:szCs w:val="20"/>
              </w:rPr>
            </w:pPr>
          </w:p>
          <w:p w14:paraId="3B582506" w14:textId="77777777" w:rsidR="004D630C" w:rsidRPr="00225B89" w:rsidRDefault="004D630C">
            <w:pPr>
              <w:numPr>
                <w:ilvl w:val="0"/>
                <w:numId w:val="38"/>
              </w:numPr>
              <w:spacing w:after="0" w:line="240" w:lineRule="auto"/>
              <w:ind w:left="501"/>
              <w:jc w:val="both"/>
              <w:rPr>
                <w:rFonts w:ascii="Arial" w:eastAsia="Calibri" w:hAnsi="Arial" w:cs="Arial"/>
                <w:b/>
                <w:bCs/>
                <w:sz w:val="20"/>
                <w:szCs w:val="20"/>
              </w:rPr>
            </w:pPr>
            <w:r w:rsidRPr="00225B89">
              <w:rPr>
                <w:rFonts w:ascii="Arial" w:eastAsia="Calibri" w:hAnsi="Arial" w:cs="Arial"/>
                <w:b/>
                <w:bCs/>
                <w:sz w:val="20"/>
                <w:szCs w:val="20"/>
              </w:rPr>
              <w:t>PROGRAMI U KOJIMA UKLJUČUJEMO VOLONTERE</w:t>
            </w:r>
          </w:p>
          <w:p w14:paraId="3F913451" w14:textId="77777777" w:rsidR="004D630C" w:rsidRPr="00225B89" w:rsidRDefault="004D630C" w:rsidP="004D630C">
            <w:pPr>
              <w:spacing w:after="0" w:line="240" w:lineRule="auto"/>
              <w:jc w:val="both"/>
              <w:rPr>
                <w:rFonts w:ascii="Arial" w:eastAsia="Calibri" w:hAnsi="Arial" w:cs="Arial"/>
                <w:sz w:val="20"/>
                <w:szCs w:val="20"/>
              </w:rPr>
            </w:pPr>
            <w:r w:rsidRPr="00225B89">
              <w:rPr>
                <w:rFonts w:ascii="Arial" w:eastAsia="Calibri" w:hAnsi="Arial" w:cs="Arial"/>
                <w:sz w:val="20"/>
                <w:szCs w:val="20"/>
              </w:rPr>
              <w:t xml:space="preserve">Ustanova razvija sustav u kojemu su volonteri poželjni. </w:t>
            </w:r>
          </w:p>
          <w:p w14:paraId="4090D8CC" w14:textId="77777777" w:rsidR="004D630C" w:rsidRPr="00225B89" w:rsidRDefault="004D630C" w:rsidP="004D630C">
            <w:pPr>
              <w:spacing w:after="0" w:line="240" w:lineRule="auto"/>
              <w:jc w:val="both"/>
              <w:rPr>
                <w:rFonts w:ascii="Arial" w:eastAsia="Calibri" w:hAnsi="Arial" w:cs="Arial"/>
                <w:sz w:val="20"/>
                <w:szCs w:val="20"/>
              </w:rPr>
            </w:pPr>
          </w:p>
          <w:p w14:paraId="0FD9EDFE" w14:textId="77777777" w:rsidR="004D630C" w:rsidRPr="00225B89" w:rsidRDefault="004D630C">
            <w:pPr>
              <w:numPr>
                <w:ilvl w:val="0"/>
                <w:numId w:val="38"/>
              </w:numPr>
              <w:spacing w:after="0" w:line="240" w:lineRule="auto"/>
              <w:ind w:left="501"/>
              <w:contextualSpacing/>
              <w:jc w:val="both"/>
              <w:rPr>
                <w:rFonts w:ascii="Arial" w:eastAsia="Calibri" w:hAnsi="Arial" w:cs="Arial"/>
                <w:b/>
                <w:bCs/>
                <w:sz w:val="20"/>
                <w:szCs w:val="20"/>
              </w:rPr>
            </w:pPr>
            <w:r w:rsidRPr="00225B89">
              <w:rPr>
                <w:rFonts w:ascii="Arial" w:eastAsia="Calibri" w:hAnsi="Arial" w:cs="Arial"/>
                <w:b/>
                <w:bCs/>
                <w:sz w:val="20"/>
                <w:szCs w:val="20"/>
              </w:rPr>
              <w:t>IZLOŽBENA DJELATNOST</w:t>
            </w:r>
          </w:p>
          <w:p w14:paraId="368BE19F" w14:textId="77777777" w:rsidR="004D630C" w:rsidRPr="00225B89" w:rsidRDefault="004D630C" w:rsidP="004D630C">
            <w:pPr>
              <w:spacing w:after="0" w:line="240" w:lineRule="auto"/>
              <w:jc w:val="both"/>
              <w:rPr>
                <w:rFonts w:ascii="Arial" w:eastAsia="Calibri" w:hAnsi="Arial" w:cs="Arial"/>
                <w:sz w:val="20"/>
                <w:szCs w:val="20"/>
              </w:rPr>
            </w:pPr>
            <w:r w:rsidRPr="00225B89">
              <w:rPr>
                <w:rFonts w:ascii="Arial" w:eastAsia="Calibri" w:hAnsi="Arial" w:cs="Arial"/>
                <w:sz w:val="20"/>
                <w:szCs w:val="20"/>
              </w:rPr>
              <w:t>Izložbe se realiziraju sukladno planu i financijskim mogućnostima koje velikim dijelom ovise o dodijeljenim sredstvima Ministarstva kulture i medija za odabrane program, a prema podnesenim prijavnicama.</w:t>
            </w:r>
          </w:p>
          <w:p w14:paraId="2F5B5B04" w14:textId="77777777" w:rsidR="004D630C" w:rsidRPr="00225B89" w:rsidRDefault="004D630C" w:rsidP="004D630C">
            <w:pPr>
              <w:spacing w:after="0" w:line="240" w:lineRule="auto"/>
              <w:jc w:val="both"/>
              <w:rPr>
                <w:rFonts w:ascii="Arial" w:eastAsia="Calibri" w:hAnsi="Arial" w:cs="Arial"/>
                <w:sz w:val="20"/>
                <w:szCs w:val="20"/>
              </w:rPr>
            </w:pPr>
          </w:p>
          <w:p w14:paraId="5EBF8284" w14:textId="77777777" w:rsidR="004D630C" w:rsidRPr="00225B89" w:rsidRDefault="004D630C">
            <w:pPr>
              <w:numPr>
                <w:ilvl w:val="0"/>
                <w:numId w:val="38"/>
              </w:numPr>
              <w:spacing w:after="0" w:line="240" w:lineRule="auto"/>
              <w:ind w:left="501"/>
              <w:jc w:val="both"/>
              <w:rPr>
                <w:rFonts w:ascii="Arial" w:eastAsia="Calibri" w:hAnsi="Arial" w:cs="Arial"/>
                <w:b/>
                <w:bCs/>
                <w:sz w:val="20"/>
                <w:szCs w:val="20"/>
              </w:rPr>
            </w:pPr>
            <w:r w:rsidRPr="00225B89">
              <w:rPr>
                <w:rFonts w:ascii="Arial" w:eastAsia="Calibri" w:hAnsi="Arial" w:cs="Arial"/>
                <w:b/>
                <w:bCs/>
                <w:sz w:val="20"/>
                <w:szCs w:val="20"/>
              </w:rPr>
              <w:lastRenderedPageBreak/>
              <w:t>POVEĆANJE PROGRAMA FINANCIRANIH OD STRANE MINSTARSTVA KULTURE I PRIHODA OD SPONZORA I DONATORA</w:t>
            </w:r>
          </w:p>
          <w:p w14:paraId="73FEE887" w14:textId="77777777" w:rsidR="004D630C" w:rsidRPr="00225B89" w:rsidRDefault="004D630C" w:rsidP="004D630C">
            <w:pPr>
              <w:spacing w:after="0" w:line="240" w:lineRule="auto"/>
              <w:contextualSpacing/>
              <w:jc w:val="both"/>
              <w:rPr>
                <w:rFonts w:ascii="Arial" w:eastAsia="Calibri" w:hAnsi="Arial" w:cs="Arial"/>
                <w:sz w:val="20"/>
                <w:szCs w:val="20"/>
              </w:rPr>
            </w:pPr>
            <w:r w:rsidRPr="00225B89">
              <w:rPr>
                <w:rFonts w:ascii="Arial" w:eastAsia="Calibri" w:hAnsi="Arial" w:cs="Arial"/>
                <w:sz w:val="20"/>
                <w:szCs w:val="20"/>
              </w:rPr>
              <w:t>Ustanova redovno prijavljuje svoje projekte Ministarstvu kulture i medija te ostalim pravnim osobama koje  objavljuju javne pozive i natječaje za potrebe u kulturi. Projekti se odnose na kulturno-povijesne lokalitete Konavala za potrebe njihova istraživanja, prezentacije i održavanja, zatim izložbene programe, digitalizaciju, projekte ulaganja u infrastrukturu muzeja (Kuća Bukovac), nakladništvo i druge programe.</w:t>
            </w:r>
            <w:bookmarkStart w:id="641" w:name="_Hlk54938311"/>
            <w:r w:rsidRPr="00225B89">
              <w:rPr>
                <w:rFonts w:ascii="Arial" w:eastAsia="Calibri" w:hAnsi="Arial" w:cs="Arial"/>
                <w:sz w:val="20"/>
                <w:szCs w:val="20"/>
              </w:rPr>
              <w:t xml:space="preserve"> </w:t>
            </w:r>
            <w:bookmarkStart w:id="642" w:name="_Hlk35597722"/>
          </w:p>
          <w:bookmarkEnd w:id="641"/>
          <w:bookmarkEnd w:id="642"/>
          <w:p w14:paraId="152B766F" w14:textId="77777777" w:rsidR="004D630C" w:rsidRPr="00225B89" w:rsidRDefault="004D630C" w:rsidP="004D630C">
            <w:pPr>
              <w:spacing w:after="0" w:line="240" w:lineRule="auto"/>
              <w:ind w:left="360"/>
              <w:jc w:val="both"/>
              <w:rPr>
                <w:rFonts w:ascii="Arial" w:eastAsia="Calibri" w:hAnsi="Arial" w:cs="Arial"/>
                <w:b/>
                <w:bCs/>
                <w:sz w:val="20"/>
                <w:szCs w:val="20"/>
              </w:rPr>
            </w:pPr>
          </w:p>
          <w:p w14:paraId="3F6B4FAC" w14:textId="77777777" w:rsidR="004D630C" w:rsidRPr="00225B89" w:rsidRDefault="004D630C">
            <w:pPr>
              <w:numPr>
                <w:ilvl w:val="0"/>
                <w:numId w:val="38"/>
              </w:numPr>
              <w:spacing w:after="0" w:line="240" w:lineRule="auto"/>
              <w:ind w:left="501"/>
              <w:contextualSpacing/>
              <w:jc w:val="both"/>
              <w:rPr>
                <w:rFonts w:ascii="Arial" w:eastAsia="Calibri" w:hAnsi="Arial" w:cs="Arial"/>
                <w:b/>
                <w:bCs/>
                <w:sz w:val="20"/>
                <w:szCs w:val="20"/>
              </w:rPr>
            </w:pPr>
            <w:r w:rsidRPr="00225B89">
              <w:rPr>
                <w:rFonts w:ascii="Arial" w:eastAsia="Calibri" w:hAnsi="Arial" w:cs="Arial"/>
                <w:b/>
                <w:bCs/>
                <w:sz w:val="20"/>
                <w:szCs w:val="20"/>
              </w:rPr>
              <w:t>POVEĆANJE SUDJELOVANJA U EU PROJEKTIMA</w:t>
            </w:r>
          </w:p>
          <w:p w14:paraId="12DC610A" w14:textId="77777777" w:rsidR="004D630C" w:rsidRPr="00225B89" w:rsidRDefault="004D630C" w:rsidP="004D630C">
            <w:pPr>
              <w:spacing w:after="0" w:line="240" w:lineRule="auto"/>
              <w:jc w:val="both"/>
              <w:rPr>
                <w:rFonts w:ascii="Arial" w:eastAsia="Calibri" w:hAnsi="Arial" w:cs="Arial"/>
                <w:i/>
                <w:sz w:val="20"/>
                <w:szCs w:val="20"/>
              </w:rPr>
            </w:pPr>
            <w:r w:rsidRPr="00225B89">
              <w:rPr>
                <w:rFonts w:ascii="Arial" w:eastAsia="Calibri" w:hAnsi="Arial" w:cs="Arial"/>
                <w:sz w:val="20"/>
                <w:szCs w:val="20"/>
              </w:rPr>
              <w:t>Ustanova je do sada sudjelovala u četiri EU Erasmus+ K2 projekta:</w:t>
            </w:r>
            <w:r w:rsidRPr="00225B89">
              <w:rPr>
                <w:rFonts w:ascii="Arial" w:eastAsia="Calibri" w:hAnsi="Arial" w:cs="Arial"/>
                <w:i/>
                <w:iCs/>
                <w:sz w:val="20"/>
                <w:szCs w:val="20"/>
              </w:rPr>
              <w:t xml:space="preserve"> ProEUverb </w:t>
            </w:r>
            <w:r w:rsidRPr="00225B89">
              <w:rPr>
                <w:rFonts w:ascii="Arial" w:eastAsia="Calibri" w:hAnsi="Arial" w:cs="Arial"/>
                <w:sz w:val="20"/>
                <w:szCs w:val="20"/>
              </w:rPr>
              <w:t>u kojemu je ustanova bila koordinator</w:t>
            </w:r>
            <w:r w:rsidRPr="00225B89">
              <w:rPr>
                <w:rFonts w:ascii="Arial" w:eastAsia="Calibri" w:hAnsi="Arial" w:cs="Arial"/>
                <w:i/>
                <w:iCs/>
                <w:sz w:val="20"/>
                <w:szCs w:val="20"/>
              </w:rPr>
              <w:t xml:space="preserve">, </w:t>
            </w:r>
            <w:r w:rsidRPr="00225B89">
              <w:rPr>
                <w:rFonts w:ascii="Arial" w:eastAsia="Times New Roman" w:hAnsi="Arial" w:cs="Arial"/>
                <w:color w:val="000000"/>
                <w:sz w:val="20"/>
                <w:szCs w:val="20"/>
              </w:rPr>
              <w:t xml:space="preserve">Kreativni pristup recikliranju </w:t>
            </w:r>
            <w:r w:rsidRPr="00225B89">
              <w:rPr>
                <w:rFonts w:ascii="Arial" w:eastAsia="Calibri" w:hAnsi="Arial" w:cs="Arial"/>
                <w:i/>
                <w:sz w:val="20"/>
                <w:szCs w:val="20"/>
              </w:rPr>
              <w:t xml:space="preserve">Unnecessary - useful and aesthetic creative approach to recycling, </w:t>
            </w:r>
            <w:r w:rsidRPr="00225B89">
              <w:rPr>
                <w:rFonts w:ascii="Arial" w:eastAsia="Calibri" w:hAnsi="Arial" w:cs="Arial"/>
                <w:iCs/>
                <w:sz w:val="20"/>
                <w:szCs w:val="20"/>
              </w:rPr>
              <w:t xml:space="preserve">History, </w:t>
            </w:r>
            <w:r w:rsidRPr="00225B89">
              <w:rPr>
                <w:rFonts w:ascii="Arial" w:eastAsia="Calibri" w:hAnsi="Arial" w:cs="Arial"/>
                <w:i/>
                <w:sz w:val="20"/>
                <w:szCs w:val="20"/>
              </w:rPr>
              <w:t xml:space="preserve">KA2,Transnational approaches and multi-perspective methods in history teaching </w:t>
            </w:r>
            <w:r w:rsidRPr="00225B89">
              <w:rPr>
                <w:rFonts w:ascii="Arial" w:eastAsia="Calibri" w:hAnsi="Arial" w:cs="Arial"/>
                <w:iCs/>
                <w:sz w:val="20"/>
                <w:szCs w:val="20"/>
              </w:rPr>
              <w:t>i</w:t>
            </w:r>
            <w:r w:rsidRPr="00225B89">
              <w:rPr>
                <w:rFonts w:ascii="Arial" w:eastAsia="Calibri" w:hAnsi="Arial" w:cs="Arial"/>
                <w:i/>
                <w:sz w:val="20"/>
                <w:szCs w:val="20"/>
              </w:rPr>
              <w:t xml:space="preserve"> </w:t>
            </w:r>
            <w:r w:rsidRPr="00225B89">
              <w:rPr>
                <w:rFonts w:ascii="Arial" w:eastAsia="Calibri" w:hAnsi="Arial" w:cs="Arial"/>
                <w:iCs/>
                <w:sz w:val="20"/>
                <w:szCs w:val="20"/>
              </w:rPr>
              <w:t xml:space="preserve"> </w:t>
            </w:r>
            <w:r w:rsidRPr="00225B89">
              <w:rPr>
                <w:rFonts w:ascii="Arial" w:eastAsia="Calibri" w:hAnsi="Arial" w:cs="Arial"/>
                <w:i/>
                <w:sz w:val="20"/>
                <w:szCs w:val="20"/>
              </w:rPr>
              <w:t>A theatrical museum experience</w:t>
            </w:r>
            <w:r w:rsidRPr="00225B89">
              <w:rPr>
                <w:rFonts w:ascii="Arial" w:eastAsia="Calibri" w:hAnsi="Arial" w:cs="Arial"/>
                <w:iCs/>
                <w:sz w:val="20"/>
                <w:szCs w:val="20"/>
              </w:rPr>
              <w:t>.</w:t>
            </w:r>
            <w:r w:rsidRPr="00225B89">
              <w:rPr>
                <w:rFonts w:ascii="Arial" w:eastAsia="Calibri" w:hAnsi="Arial" w:cs="Arial"/>
                <w:i/>
                <w:sz w:val="20"/>
                <w:szCs w:val="20"/>
              </w:rPr>
              <w:t xml:space="preserve"> </w:t>
            </w:r>
          </w:p>
          <w:p w14:paraId="2B837129" w14:textId="77777777" w:rsidR="004D630C" w:rsidRPr="00225B89" w:rsidRDefault="004D630C" w:rsidP="004D630C">
            <w:pPr>
              <w:spacing w:after="0" w:line="240" w:lineRule="auto"/>
              <w:jc w:val="both"/>
              <w:rPr>
                <w:rFonts w:ascii="Arial" w:eastAsia="Calibri" w:hAnsi="Arial" w:cs="Arial"/>
                <w:sz w:val="20"/>
                <w:szCs w:val="20"/>
              </w:rPr>
            </w:pPr>
          </w:p>
          <w:p w14:paraId="6C98F208" w14:textId="77777777" w:rsidR="004D630C" w:rsidRPr="00225B89" w:rsidRDefault="004D630C">
            <w:pPr>
              <w:numPr>
                <w:ilvl w:val="0"/>
                <w:numId w:val="38"/>
              </w:numPr>
              <w:spacing w:after="0" w:line="240" w:lineRule="auto"/>
              <w:ind w:left="501"/>
              <w:jc w:val="both"/>
              <w:rPr>
                <w:rFonts w:ascii="Arial" w:eastAsia="Calibri" w:hAnsi="Arial" w:cs="Arial"/>
                <w:b/>
                <w:bCs/>
                <w:sz w:val="20"/>
                <w:szCs w:val="20"/>
              </w:rPr>
            </w:pPr>
            <w:r w:rsidRPr="00225B89">
              <w:rPr>
                <w:rFonts w:ascii="Arial" w:eastAsia="Calibri" w:hAnsi="Arial" w:cs="Arial"/>
                <w:b/>
                <w:bCs/>
                <w:sz w:val="20"/>
                <w:szCs w:val="20"/>
              </w:rPr>
              <w:t xml:space="preserve">INTENZIVNA SURADNJA SA ŠKOLAMA I VRTIĆIMA </w:t>
            </w:r>
          </w:p>
          <w:p w14:paraId="5488026B" w14:textId="428A0954" w:rsidR="004D630C" w:rsidRPr="00225B89" w:rsidRDefault="004D630C" w:rsidP="004D630C">
            <w:pPr>
              <w:spacing w:after="0" w:line="240" w:lineRule="auto"/>
              <w:rPr>
                <w:rFonts w:ascii="Arial" w:eastAsia="Times New Roman" w:hAnsi="Arial" w:cs="Arial"/>
                <w:color w:val="FF0000"/>
                <w:sz w:val="20"/>
                <w:szCs w:val="20"/>
                <w:lang w:eastAsia="en-US"/>
              </w:rPr>
            </w:pPr>
            <w:r w:rsidRPr="00225B89">
              <w:rPr>
                <w:rFonts w:ascii="Arial" w:eastAsia="Calibri" w:hAnsi="Arial" w:cs="Arial"/>
                <w:sz w:val="20"/>
                <w:szCs w:val="20"/>
              </w:rPr>
              <w:t>Ustanova kontinuirano surađuje sa školama i vrtićima s područja Konavala, ali i šire kroz organizirane posjete, radionice, predavanja i druge oblike suradnje.</w:t>
            </w:r>
          </w:p>
        </w:tc>
      </w:tr>
    </w:tbl>
    <w:p w14:paraId="0EA3568C" w14:textId="675476E8" w:rsidR="00087ADF" w:rsidRPr="00BA4868" w:rsidRDefault="00087ADF" w:rsidP="003752B9">
      <w:pPr>
        <w:spacing w:after="0" w:line="240" w:lineRule="auto"/>
        <w:jc w:val="both"/>
        <w:rPr>
          <w:rFonts w:ascii="Arial" w:eastAsia="Calibri" w:hAnsi="Arial" w:cs="Arial"/>
          <w:sz w:val="20"/>
          <w:szCs w:val="20"/>
        </w:rPr>
      </w:pPr>
    </w:p>
    <w:p w14:paraId="2B622CA9" w14:textId="77777777" w:rsidR="00B7665C" w:rsidRPr="00BA4868" w:rsidRDefault="00B7665C">
      <w:pPr>
        <w:pStyle w:val="Odlomakpopisa"/>
        <w:numPr>
          <w:ilvl w:val="0"/>
          <w:numId w:val="33"/>
        </w:numPr>
        <w:pBdr>
          <w:top w:val="single" w:sz="4" w:space="1" w:color="auto"/>
          <w:left w:val="single" w:sz="4" w:space="0" w:color="auto"/>
          <w:bottom w:val="single" w:sz="4" w:space="1" w:color="auto"/>
          <w:right w:val="single" w:sz="4" w:space="4" w:color="auto"/>
        </w:pBdr>
        <w:ind w:left="3828" w:right="1948" w:hanging="851"/>
        <w:jc w:val="left"/>
        <w:rPr>
          <w:rFonts w:ascii="Arial" w:eastAsia="Calibri" w:hAnsi="Arial" w:cs="Arial"/>
          <w:lang w:eastAsia="hr-HR"/>
        </w:rPr>
      </w:pPr>
      <w:r w:rsidRPr="00BA4868">
        <w:rPr>
          <w:rFonts w:ascii="Arial" w:eastAsia="Calibri" w:hAnsi="Arial" w:cs="Arial"/>
          <w:b/>
        </w:rPr>
        <w:t>Procjena i ishodište potrebnih sredstava za aktivnosti unutar programa</w:t>
      </w:r>
    </w:p>
    <w:p w14:paraId="70581AD8" w14:textId="77777777" w:rsidR="00B7665C" w:rsidRPr="00EF272E" w:rsidRDefault="00B7665C" w:rsidP="00B7665C">
      <w:pPr>
        <w:spacing w:after="0" w:line="240" w:lineRule="auto"/>
        <w:rPr>
          <w:rFonts w:ascii="Arial" w:eastAsia="Calibri" w:hAnsi="Arial" w:cs="Arial"/>
          <w:sz w:val="20"/>
          <w:szCs w:val="20"/>
        </w:rPr>
      </w:pPr>
    </w:p>
    <w:p w14:paraId="031A8ACD" w14:textId="77777777" w:rsidR="001113E8" w:rsidRDefault="00B7665C" w:rsidP="00B7665C">
      <w:pPr>
        <w:spacing w:after="0" w:line="240" w:lineRule="auto"/>
        <w:rPr>
          <w:rFonts w:ascii="Arial" w:eastAsia="Calibri" w:hAnsi="Arial" w:cs="Arial"/>
          <w:sz w:val="20"/>
          <w:szCs w:val="20"/>
        </w:rPr>
      </w:pPr>
      <w:r w:rsidRPr="00EF272E">
        <w:rPr>
          <w:rFonts w:ascii="Arial" w:eastAsia="Calibri" w:hAnsi="Arial" w:cs="Arial"/>
          <w:sz w:val="20"/>
          <w:szCs w:val="20"/>
        </w:rPr>
        <w:t>Izvršenje aktivnosti sadržanih u ovom programu za 2013.-202</w:t>
      </w:r>
      <w:r w:rsidR="00BD08C9">
        <w:rPr>
          <w:rFonts w:ascii="Arial" w:eastAsia="Calibri" w:hAnsi="Arial" w:cs="Arial"/>
          <w:sz w:val="20"/>
          <w:szCs w:val="20"/>
        </w:rPr>
        <w:t>4</w:t>
      </w:r>
      <w:r w:rsidRPr="00EF272E">
        <w:rPr>
          <w:rFonts w:ascii="Arial" w:eastAsia="Calibri" w:hAnsi="Arial" w:cs="Arial"/>
          <w:sz w:val="20"/>
          <w:szCs w:val="20"/>
        </w:rPr>
        <w:t>., plan za 202</w:t>
      </w:r>
      <w:r w:rsidR="00BD08C9">
        <w:rPr>
          <w:rFonts w:ascii="Arial" w:eastAsia="Calibri" w:hAnsi="Arial" w:cs="Arial"/>
          <w:sz w:val="20"/>
          <w:szCs w:val="20"/>
        </w:rPr>
        <w:t>5</w:t>
      </w:r>
      <w:r w:rsidRPr="00EF272E">
        <w:rPr>
          <w:rFonts w:ascii="Arial" w:eastAsia="Calibri" w:hAnsi="Arial" w:cs="Arial"/>
          <w:sz w:val="20"/>
          <w:szCs w:val="20"/>
        </w:rPr>
        <w:t xml:space="preserve">., izvršenje za </w:t>
      </w:r>
    </w:p>
    <w:p w14:paraId="7F0ACD4C" w14:textId="68398E72" w:rsidR="00B7665C" w:rsidRPr="00EF272E" w:rsidRDefault="00CA1DCC" w:rsidP="00B7665C">
      <w:pPr>
        <w:spacing w:after="0" w:line="240" w:lineRule="auto"/>
        <w:rPr>
          <w:rFonts w:ascii="Arial" w:eastAsia="Calibri" w:hAnsi="Arial" w:cs="Arial"/>
          <w:sz w:val="20"/>
          <w:szCs w:val="20"/>
        </w:rPr>
      </w:pPr>
      <w:r w:rsidRPr="00EF272E">
        <w:rPr>
          <w:rFonts w:ascii="Arial" w:eastAsia="Calibri" w:hAnsi="Arial" w:cs="Arial"/>
          <w:sz w:val="20"/>
          <w:szCs w:val="20"/>
        </w:rPr>
        <w:t>202</w:t>
      </w:r>
      <w:r w:rsidR="00BD08C9">
        <w:rPr>
          <w:rFonts w:ascii="Arial" w:eastAsia="Calibri" w:hAnsi="Arial" w:cs="Arial"/>
          <w:sz w:val="20"/>
          <w:szCs w:val="20"/>
        </w:rPr>
        <w:t>5</w:t>
      </w:r>
      <w:r w:rsidR="00B7665C" w:rsidRPr="00EF272E">
        <w:rPr>
          <w:rFonts w:ascii="Arial" w:eastAsia="Calibri" w:hAnsi="Arial" w:cs="Arial"/>
          <w:sz w:val="20"/>
          <w:szCs w:val="20"/>
        </w:rPr>
        <w:t>. i projekcije za 202</w:t>
      </w:r>
      <w:r w:rsidR="00BD08C9">
        <w:rPr>
          <w:rFonts w:ascii="Arial" w:eastAsia="Calibri" w:hAnsi="Arial" w:cs="Arial"/>
          <w:sz w:val="20"/>
          <w:szCs w:val="20"/>
        </w:rPr>
        <w:t>6</w:t>
      </w:r>
      <w:r w:rsidR="00B7665C" w:rsidRPr="00EF272E">
        <w:rPr>
          <w:rFonts w:ascii="Arial" w:eastAsia="Calibri" w:hAnsi="Arial" w:cs="Arial"/>
          <w:sz w:val="20"/>
          <w:szCs w:val="20"/>
        </w:rPr>
        <w:t>.-202</w:t>
      </w:r>
      <w:r w:rsidR="00BD08C9">
        <w:rPr>
          <w:rFonts w:ascii="Arial" w:eastAsia="Calibri" w:hAnsi="Arial" w:cs="Arial"/>
          <w:sz w:val="20"/>
          <w:szCs w:val="20"/>
        </w:rPr>
        <w:t>7</w:t>
      </w:r>
      <w:r w:rsidR="00B7665C" w:rsidRPr="00EF272E">
        <w:rPr>
          <w:rFonts w:ascii="Arial" w:eastAsia="Calibri" w:hAnsi="Arial" w:cs="Arial"/>
          <w:sz w:val="20"/>
          <w:szCs w:val="20"/>
        </w:rPr>
        <w:t>. iskazuju se u valuti EURO kako slijedi:</w:t>
      </w:r>
    </w:p>
    <w:p w14:paraId="347B7B81" w14:textId="77777777" w:rsidR="00B7665C" w:rsidRPr="00EF272E" w:rsidRDefault="00B7665C" w:rsidP="00B7665C">
      <w:pPr>
        <w:spacing w:after="0" w:line="240" w:lineRule="auto"/>
        <w:jc w:val="both"/>
        <w:rPr>
          <w:rFonts w:ascii="Arial" w:eastAsia="Calibri" w:hAnsi="Arial" w:cs="Arial"/>
          <w:sz w:val="18"/>
          <w:szCs w:val="18"/>
        </w:rPr>
      </w:pPr>
    </w:p>
    <w:p w14:paraId="016C2CA0" w14:textId="77777777" w:rsidR="00C27C82" w:rsidRPr="003A2F86" w:rsidRDefault="00C27C82" w:rsidP="003752B9">
      <w:pPr>
        <w:spacing w:after="0" w:line="240" w:lineRule="auto"/>
        <w:jc w:val="both"/>
        <w:rPr>
          <w:rFonts w:ascii="Arial" w:eastAsia="Calibri" w:hAnsi="Arial" w:cs="Arial"/>
          <w:sz w:val="20"/>
          <w:szCs w:val="20"/>
        </w:rPr>
      </w:pPr>
    </w:p>
    <w:p w14:paraId="011AFA3C" w14:textId="5013F9F9" w:rsidR="00BA4868" w:rsidRPr="003A2F86" w:rsidRDefault="002B0963" w:rsidP="003752B9">
      <w:pPr>
        <w:spacing w:after="0" w:line="240" w:lineRule="auto"/>
        <w:jc w:val="both"/>
        <w:rPr>
          <w:rFonts w:ascii="Arial" w:eastAsia="Calibri" w:hAnsi="Arial" w:cs="Arial"/>
          <w:sz w:val="20"/>
          <w:szCs w:val="20"/>
        </w:rPr>
      </w:pPr>
      <w:r w:rsidRPr="002B0963">
        <w:rPr>
          <w:noProof/>
        </w:rPr>
        <w:lastRenderedPageBreak/>
        <w:drawing>
          <wp:inline distT="0" distB="0" distL="0" distR="0" wp14:anchorId="531D5C8A" wp14:editId="7D253688">
            <wp:extent cx="9251950" cy="4118610"/>
            <wp:effectExtent l="0" t="0" r="6350" b="0"/>
            <wp:docPr id="929259802"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9251950" cy="4118610"/>
                    </a:xfrm>
                    <a:prstGeom prst="rect">
                      <a:avLst/>
                    </a:prstGeom>
                    <a:noFill/>
                    <a:ln>
                      <a:noFill/>
                    </a:ln>
                  </pic:spPr>
                </pic:pic>
              </a:graphicData>
            </a:graphic>
          </wp:inline>
        </w:drawing>
      </w:r>
    </w:p>
    <w:p w14:paraId="21272781" w14:textId="2729B626" w:rsidR="00B7665C" w:rsidRPr="003A2F86" w:rsidRDefault="00B7665C" w:rsidP="003752B9">
      <w:pPr>
        <w:spacing w:after="0" w:line="240" w:lineRule="auto"/>
        <w:jc w:val="both"/>
        <w:rPr>
          <w:rFonts w:ascii="Arial" w:eastAsia="Calibri" w:hAnsi="Arial" w:cs="Arial"/>
          <w:sz w:val="20"/>
          <w:szCs w:val="20"/>
        </w:rPr>
      </w:pPr>
    </w:p>
    <w:p w14:paraId="42474E29" w14:textId="17AA0D66" w:rsidR="00B7665C" w:rsidRDefault="00B7665C" w:rsidP="00EE7F82">
      <w:pPr>
        <w:spacing w:after="0" w:line="240" w:lineRule="auto"/>
        <w:jc w:val="both"/>
        <w:rPr>
          <w:noProof/>
        </w:rPr>
      </w:pPr>
    </w:p>
    <w:p w14:paraId="7007661C" w14:textId="77777777" w:rsidR="002B0963" w:rsidRDefault="002B0963" w:rsidP="00EE7F82">
      <w:pPr>
        <w:spacing w:after="0" w:line="240" w:lineRule="auto"/>
        <w:jc w:val="both"/>
        <w:rPr>
          <w:noProof/>
        </w:rPr>
      </w:pPr>
    </w:p>
    <w:p w14:paraId="12D23C5C" w14:textId="23D4C8BE" w:rsidR="002B0963" w:rsidRDefault="002B0963" w:rsidP="00EE7F82">
      <w:pPr>
        <w:spacing w:after="0" w:line="240" w:lineRule="auto"/>
        <w:jc w:val="both"/>
        <w:rPr>
          <w:noProof/>
        </w:rPr>
      </w:pPr>
      <w:r w:rsidRPr="002B0963">
        <w:rPr>
          <w:noProof/>
        </w:rPr>
        <w:lastRenderedPageBreak/>
        <w:drawing>
          <wp:inline distT="0" distB="0" distL="0" distR="0" wp14:anchorId="6AD80FEE" wp14:editId="44BBDC7A">
            <wp:extent cx="9251950" cy="3592830"/>
            <wp:effectExtent l="0" t="0" r="6350" b="7620"/>
            <wp:docPr id="1212084850"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251950" cy="3592830"/>
                    </a:xfrm>
                    <a:prstGeom prst="rect">
                      <a:avLst/>
                    </a:prstGeom>
                    <a:noFill/>
                    <a:ln>
                      <a:noFill/>
                    </a:ln>
                  </pic:spPr>
                </pic:pic>
              </a:graphicData>
            </a:graphic>
          </wp:inline>
        </w:drawing>
      </w:r>
    </w:p>
    <w:p w14:paraId="29D7767C" w14:textId="77777777" w:rsidR="002B0963" w:rsidRDefault="002B0963" w:rsidP="00EE7F82">
      <w:pPr>
        <w:spacing w:after="0" w:line="240" w:lineRule="auto"/>
        <w:jc w:val="both"/>
        <w:rPr>
          <w:rFonts w:ascii="Arial" w:eastAsia="Calibri" w:hAnsi="Arial" w:cs="Arial"/>
          <w:sz w:val="18"/>
          <w:szCs w:val="18"/>
        </w:rPr>
      </w:pPr>
    </w:p>
    <w:p w14:paraId="23C195A8" w14:textId="13DAFE6A" w:rsidR="00EE7F82" w:rsidRPr="00BA4868" w:rsidRDefault="00EE7F82" w:rsidP="00EE7F82">
      <w:pPr>
        <w:shd w:val="clear" w:color="auto" w:fill="FFFFFF"/>
        <w:spacing w:after="0" w:line="240" w:lineRule="auto"/>
        <w:jc w:val="right"/>
        <w:rPr>
          <w:rFonts w:ascii="Arial" w:hAnsi="Arial" w:cs="Arial"/>
          <w:sz w:val="20"/>
          <w:szCs w:val="20"/>
        </w:rPr>
      </w:pPr>
      <w:r w:rsidRPr="00BA4868">
        <w:rPr>
          <w:rFonts w:ascii="Arial" w:hAnsi="Arial" w:cs="Arial"/>
          <w:b/>
          <w:sz w:val="20"/>
          <w:szCs w:val="20"/>
        </w:rPr>
        <w:t>RAZLOG ODSTUPANJA OD PROŠLOGODIŠNJIH PROJEKCIJA</w:t>
      </w:r>
      <w:r w:rsidRPr="00BA4868">
        <w:rPr>
          <w:rFonts w:ascii="Arial" w:hAnsi="Arial" w:cs="Arial"/>
          <w:sz w:val="20"/>
          <w:szCs w:val="20"/>
        </w:rPr>
        <w:t xml:space="preserve">: </w:t>
      </w:r>
    </w:p>
    <w:p w14:paraId="54970960" w14:textId="77777777" w:rsidR="00EE7F82" w:rsidRPr="00BA4868" w:rsidRDefault="00EE7F82" w:rsidP="00EE7F82">
      <w:pPr>
        <w:shd w:val="clear" w:color="auto" w:fill="FFFFFF"/>
        <w:spacing w:after="0" w:line="240" w:lineRule="auto"/>
        <w:jc w:val="right"/>
        <w:rPr>
          <w:rFonts w:ascii="Arial" w:hAnsi="Arial" w:cs="Arial"/>
          <w:sz w:val="20"/>
          <w:szCs w:val="20"/>
        </w:rPr>
      </w:pPr>
      <w:r w:rsidRPr="00BA4868">
        <w:rPr>
          <w:rFonts w:ascii="Arial" w:hAnsi="Arial" w:cs="Arial"/>
          <w:sz w:val="20"/>
          <w:szCs w:val="20"/>
        </w:rPr>
        <w:t>Po navedenom programu nije bilo značajnih odstupanja.</w:t>
      </w:r>
    </w:p>
    <w:p w14:paraId="414F7C52" w14:textId="2ED999E1" w:rsidR="00EE7F82" w:rsidRPr="00BA4868" w:rsidRDefault="00EE7F82" w:rsidP="00EE7F82">
      <w:pPr>
        <w:spacing w:after="0" w:line="240" w:lineRule="auto"/>
        <w:rPr>
          <w:rFonts w:ascii="Arial" w:eastAsia="Calibri" w:hAnsi="Arial" w:cs="Arial"/>
          <w:b/>
          <w:sz w:val="20"/>
          <w:szCs w:val="20"/>
        </w:rPr>
      </w:pPr>
    </w:p>
    <w:p w14:paraId="21612477" w14:textId="77777777" w:rsidR="00EE7F82" w:rsidRPr="00BA4868" w:rsidRDefault="00EE7F82" w:rsidP="00EE7F82">
      <w:pPr>
        <w:spacing w:after="0" w:line="240" w:lineRule="auto"/>
        <w:rPr>
          <w:rFonts w:ascii="Arial" w:eastAsia="Calibri" w:hAnsi="Arial" w:cs="Arial"/>
          <w:i/>
          <w:sz w:val="20"/>
          <w:szCs w:val="20"/>
        </w:rPr>
      </w:pPr>
      <w:r w:rsidRPr="00BA4868">
        <w:rPr>
          <w:rFonts w:ascii="Arial" w:eastAsia="Calibri" w:hAnsi="Arial" w:cs="Arial"/>
          <w:b/>
          <w:sz w:val="20"/>
          <w:szCs w:val="20"/>
        </w:rPr>
        <w:t>Ishodište i pokazatelji na kojima se zasnivaju izračuni i ocjene potrebnih sredstava za provođenje programa: Planske veličine</w:t>
      </w:r>
      <w:r w:rsidRPr="00BA4868">
        <w:rPr>
          <w:rFonts w:ascii="Arial" w:eastAsia="Calibri" w:hAnsi="Arial" w:cs="Arial"/>
          <w:sz w:val="20"/>
          <w:szCs w:val="20"/>
        </w:rPr>
        <w:t xml:space="preserve"> su određene u predloženim iznosima temeljem ostvarenih ciljeva i postignutih rezultata iz prethodnih godina, te predviđanja promjena u izvršenju ciljeva u narednom razdoblju.</w:t>
      </w:r>
    </w:p>
    <w:p w14:paraId="26C0B86E" w14:textId="3896F002" w:rsidR="00EE7F82" w:rsidRPr="00BA4868" w:rsidRDefault="00EE7F82" w:rsidP="000D7B95">
      <w:pPr>
        <w:spacing w:after="0" w:line="240" w:lineRule="auto"/>
        <w:jc w:val="right"/>
        <w:rPr>
          <w:rFonts w:ascii="Arial" w:eastAsia="Calibri" w:hAnsi="Arial" w:cs="Arial"/>
          <w:sz w:val="20"/>
          <w:szCs w:val="20"/>
        </w:rPr>
      </w:pPr>
      <w:r w:rsidRPr="00BA4868">
        <w:rPr>
          <w:rFonts w:ascii="Arial" w:eastAsia="Calibri" w:hAnsi="Arial" w:cs="Arial"/>
          <w:b/>
          <w:sz w:val="20"/>
          <w:szCs w:val="20"/>
        </w:rPr>
        <w:t>Izvještaj o postignutim ciljevima i rezultatima programa temeljenim na pokazateljima uspješnosti u prethodnoj godini</w:t>
      </w:r>
      <w:r w:rsidRPr="00BA4868">
        <w:rPr>
          <w:rFonts w:ascii="Arial" w:eastAsia="Calibri" w:hAnsi="Arial" w:cs="Arial"/>
          <w:sz w:val="20"/>
          <w:szCs w:val="20"/>
        </w:rPr>
        <w:t>: Izvršenje je najvećim dijelom u skladu s očekivanim.</w:t>
      </w:r>
    </w:p>
    <w:p w14:paraId="4E13BAA8" w14:textId="77777777" w:rsidR="00B7665C" w:rsidRPr="00BA4868" w:rsidRDefault="00B7665C" w:rsidP="003752B9">
      <w:pPr>
        <w:spacing w:after="0" w:line="240" w:lineRule="auto"/>
        <w:jc w:val="both"/>
        <w:rPr>
          <w:rFonts w:ascii="Arial" w:eastAsia="Calibri" w:hAnsi="Arial" w:cs="Arial"/>
          <w:sz w:val="20"/>
          <w:szCs w:val="20"/>
        </w:rPr>
      </w:pPr>
    </w:p>
    <w:p w14:paraId="304320E6" w14:textId="4DC0B511" w:rsidR="00EE7F82" w:rsidRPr="00BA4868" w:rsidRDefault="00EE7F82" w:rsidP="00EE7F82">
      <w:pPr>
        <w:autoSpaceDE w:val="0"/>
        <w:autoSpaceDN w:val="0"/>
        <w:adjustRightInd w:val="0"/>
        <w:spacing w:after="0" w:line="240" w:lineRule="auto"/>
        <w:jc w:val="both"/>
        <w:rPr>
          <w:rFonts w:ascii="Arial" w:eastAsia="Calibri" w:hAnsi="Arial" w:cs="Arial"/>
          <w:sz w:val="20"/>
          <w:szCs w:val="20"/>
        </w:rPr>
      </w:pPr>
      <w:r w:rsidRPr="00BA4868">
        <w:rPr>
          <w:rFonts w:ascii="Arial" w:eastAsia="Calibri" w:hAnsi="Arial" w:cs="Arial"/>
          <w:sz w:val="20"/>
          <w:szCs w:val="20"/>
        </w:rPr>
        <w:t>Ukupno planirana sredstva na razini programa za 202</w:t>
      </w:r>
      <w:r w:rsidR="00BD08C9">
        <w:rPr>
          <w:rFonts w:ascii="Arial" w:eastAsia="Calibri" w:hAnsi="Arial" w:cs="Arial"/>
          <w:sz w:val="20"/>
          <w:szCs w:val="20"/>
        </w:rPr>
        <w:t>5</w:t>
      </w:r>
      <w:r w:rsidRPr="00BA4868">
        <w:rPr>
          <w:rFonts w:ascii="Arial" w:eastAsia="Calibri" w:hAnsi="Arial" w:cs="Arial"/>
          <w:sz w:val="20"/>
          <w:szCs w:val="20"/>
        </w:rPr>
        <w:t xml:space="preserve">. godinu iznose </w:t>
      </w:r>
      <w:r w:rsidR="002B0963">
        <w:rPr>
          <w:rFonts w:ascii="Arial" w:eastAsia="Calibri" w:hAnsi="Arial" w:cs="Arial"/>
          <w:sz w:val="20"/>
          <w:szCs w:val="20"/>
        </w:rPr>
        <w:t xml:space="preserve">803.597 </w:t>
      </w:r>
      <w:r w:rsidRPr="00BA4868">
        <w:rPr>
          <w:rFonts w:ascii="Arial" w:eastAsia="Calibri" w:hAnsi="Arial" w:cs="Arial"/>
          <w:sz w:val="20"/>
          <w:szCs w:val="20"/>
        </w:rPr>
        <w:t xml:space="preserve">€, dok su rashodi izvršeni u iznosu </w:t>
      </w:r>
      <w:r w:rsidR="002B0963">
        <w:rPr>
          <w:rFonts w:ascii="Arial" w:eastAsia="Calibri" w:hAnsi="Arial" w:cs="Arial"/>
          <w:sz w:val="20"/>
          <w:szCs w:val="20"/>
        </w:rPr>
        <w:t>711.184,97</w:t>
      </w:r>
      <w:r w:rsidRPr="00BA4868">
        <w:rPr>
          <w:rFonts w:ascii="Arial" w:eastAsia="Calibri" w:hAnsi="Arial" w:cs="Arial"/>
          <w:sz w:val="20"/>
          <w:szCs w:val="20"/>
        </w:rPr>
        <w:t xml:space="preserve"> € što je </w:t>
      </w:r>
      <w:r w:rsidR="002B0963">
        <w:rPr>
          <w:rFonts w:ascii="Arial" w:eastAsia="Calibri" w:hAnsi="Arial" w:cs="Arial"/>
          <w:sz w:val="20"/>
          <w:szCs w:val="20"/>
        </w:rPr>
        <w:t>88,5</w:t>
      </w:r>
      <w:r w:rsidRPr="00BA4868">
        <w:rPr>
          <w:rFonts w:ascii="Arial" w:eastAsia="Calibri" w:hAnsi="Arial" w:cs="Arial"/>
          <w:sz w:val="20"/>
          <w:szCs w:val="20"/>
        </w:rPr>
        <w:t>% od plana.</w:t>
      </w:r>
    </w:p>
    <w:p w14:paraId="786951AF" w14:textId="77777777" w:rsidR="00EE7F82" w:rsidRPr="00BA4868" w:rsidRDefault="00EE7F82" w:rsidP="00EE7F82">
      <w:pPr>
        <w:autoSpaceDE w:val="0"/>
        <w:autoSpaceDN w:val="0"/>
        <w:adjustRightInd w:val="0"/>
        <w:spacing w:after="0" w:line="240" w:lineRule="auto"/>
        <w:jc w:val="both"/>
        <w:rPr>
          <w:rFonts w:ascii="Arial" w:eastAsia="Calibri" w:hAnsi="Arial" w:cs="Arial"/>
          <w:sz w:val="20"/>
          <w:szCs w:val="20"/>
        </w:rPr>
      </w:pPr>
    </w:p>
    <w:p w14:paraId="7B6FA799" w14:textId="0B4C42A3" w:rsidR="00EE7F82" w:rsidRPr="00FC753C" w:rsidRDefault="00EE7F82" w:rsidP="00EE7F82">
      <w:pPr>
        <w:autoSpaceDE w:val="0"/>
        <w:autoSpaceDN w:val="0"/>
        <w:adjustRightInd w:val="0"/>
        <w:spacing w:after="0" w:line="240" w:lineRule="auto"/>
        <w:jc w:val="both"/>
        <w:rPr>
          <w:rFonts w:ascii="Arial" w:eastAsia="Calibri" w:hAnsi="Arial" w:cs="Arial"/>
          <w:sz w:val="20"/>
          <w:szCs w:val="20"/>
        </w:rPr>
      </w:pPr>
      <w:r w:rsidRPr="00FC753C">
        <w:rPr>
          <w:rFonts w:ascii="Arial" w:eastAsia="Calibri" w:hAnsi="Arial" w:cs="Arial"/>
          <w:sz w:val="20"/>
          <w:szCs w:val="20"/>
        </w:rPr>
        <w:t xml:space="preserve">Ustanova Muzeji i galerije Konavala, kao proračunski korisnik Općine, prema predanim financijskom izvještajima za siječanj – </w:t>
      </w:r>
      <w:r w:rsidR="002B0963">
        <w:rPr>
          <w:rFonts w:ascii="Arial" w:eastAsia="Calibri" w:hAnsi="Arial" w:cs="Arial"/>
          <w:sz w:val="20"/>
          <w:szCs w:val="20"/>
        </w:rPr>
        <w:t>prosinac</w:t>
      </w:r>
      <w:r w:rsidRPr="00FC753C">
        <w:rPr>
          <w:rFonts w:ascii="Arial" w:eastAsia="Calibri" w:hAnsi="Arial" w:cs="Arial"/>
          <w:sz w:val="20"/>
          <w:szCs w:val="20"/>
        </w:rPr>
        <w:t xml:space="preserve"> 202</w:t>
      </w:r>
      <w:r w:rsidR="00BD08C9">
        <w:rPr>
          <w:rFonts w:ascii="Arial" w:eastAsia="Calibri" w:hAnsi="Arial" w:cs="Arial"/>
          <w:sz w:val="20"/>
          <w:szCs w:val="20"/>
        </w:rPr>
        <w:t>5</w:t>
      </w:r>
      <w:r w:rsidRPr="00FC753C">
        <w:rPr>
          <w:rFonts w:ascii="Arial" w:eastAsia="Calibri" w:hAnsi="Arial" w:cs="Arial"/>
          <w:sz w:val="20"/>
          <w:szCs w:val="20"/>
        </w:rPr>
        <w:t xml:space="preserve">. godine ostvarila je rashode u iznosu </w:t>
      </w:r>
      <w:r w:rsidR="002B0963">
        <w:rPr>
          <w:rFonts w:ascii="Arial" w:eastAsia="Calibri" w:hAnsi="Arial" w:cs="Arial"/>
          <w:sz w:val="20"/>
          <w:szCs w:val="20"/>
        </w:rPr>
        <w:t>711.184,97</w:t>
      </w:r>
      <w:r w:rsidR="000D7B95" w:rsidRPr="00FC753C">
        <w:rPr>
          <w:rFonts w:ascii="Arial" w:eastAsia="Calibri" w:hAnsi="Arial" w:cs="Arial"/>
          <w:sz w:val="20"/>
          <w:szCs w:val="20"/>
        </w:rPr>
        <w:t xml:space="preserve"> </w:t>
      </w:r>
      <w:r w:rsidRPr="00FC753C">
        <w:rPr>
          <w:rFonts w:ascii="Arial" w:eastAsia="Calibri" w:hAnsi="Arial" w:cs="Arial"/>
          <w:sz w:val="20"/>
          <w:szCs w:val="20"/>
        </w:rPr>
        <w:t xml:space="preserve">€ i prihode </w:t>
      </w:r>
      <w:r w:rsidR="002B0963">
        <w:rPr>
          <w:rFonts w:ascii="Arial" w:eastAsia="Calibri" w:hAnsi="Arial" w:cs="Arial"/>
          <w:sz w:val="20"/>
          <w:szCs w:val="20"/>
        </w:rPr>
        <w:t>731.960,33</w:t>
      </w:r>
      <w:r w:rsidRPr="00FC753C">
        <w:rPr>
          <w:rFonts w:ascii="Arial" w:eastAsia="Calibri" w:hAnsi="Arial" w:cs="Arial"/>
          <w:sz w:val="20"/>
          <w:szCs w:val="20"/>
        </w:rPr>
        <w:t xml:space="preserve"> €, te je ostvarila tekući </w:t>
      </w:r>
      <w:r w:rsidR="000D7B95" w:rsidRPr="00FC753C">
        <w:rPr>
          <w:rFonts w:ascii="Arial" w:eastAsia="Calibri" w:hAnsi="Arial" w:cs="Arial"/>
          <w:sz w:val="20"/>
          <w:szCs w:val="20"/>
        </w:rPr>
        <w:t xml:space="preserve">višak </w:t>
      </w:r>
      <w:r w:rsidR="002B0963">
        <w:rPr>
          <w:rFonts w:ascii="Arial" w:eastAsia="Calibri" w:hAnsi="Arial" w:cs="Arial"/>
          <w:sz w:val="20"/>
          <w:szCs w:val="20"/>
        </w:rPr>
        <w:t>20.775,36</w:t>
      </w:r>
      <w:r w:rsidRPr="00FC753C">
        <w:rPr>
          <w:rFonts w:ascii="Arial" w:eastAsia="Calibri" w:hAnsi="Arial" w:cs="Arial"/>
          <w:sz w:val="20"/>
          <w:szCs w:val="20"/>
        </w:rPr>
        <w:t xml:space="preserve"> € koji nakon prenesenog viška iz prethodnog razdoblja </w:t>
      </w:r>
      <w:r w:rsidR="00BD08C9">
        <w:rPr>
          <w:rFonts w:ascii="Arial" w:eastAsia="Calibri" w:hAnsi="Arial" w:cs="Arial"/>
          <w:sz w:val="20"/>
          <w:szCs w:val="20"/>
        </w:rPr>
        <w:t>17.208,28</w:t>
      </w:r>
      <w:r w:rsidRPr="00FC753C">
        <w:rPr>
          <w:rFonts w:ascii="Arial" w:eastAsia="Calibri" w:hAnsi="Arial" w:cs="Arial"/>
          <w:sz w:val="20"/>
          <w:szCs w:val="20"/>
        </w:rPr>
        <w:t xml:space="preserve"> € čini </w:t>
      </w:r>
      <w:r w:rsidR="000D7B95" w:rsidRPr="00FC753C">
        <w:rPr>
          <w:rFonts w:ascii="Arial" w:eastAsia="Calibri" w:hAnsi="Arial" w:cs="Arial"/>
          <w:sz w:val="20"/>
          <w:szCs w:val="20"/>
        </w:rPr>
        <w:t>višak</w:t>
      </w:r>
      <w:r w:rsidRPr="00FC753C">
        <w:rPr>
          <w:rFonts w:ascii="Arial" w:eastAsia="Calibri" w:hAnsi="Arial" w:cs="Arial"/>
          <w:sz w:val="20"/>
          <w:szCs w:val="20"/>
        </w:rPr>
        <w:t xml:space="preserve"> prihoda </w:t>
      </w:r>
      <w:r w:rsidR="000D7B95" w:rsidRPr="00FC753C">
        <w:rPr>
          <w:rFonts w:ascii="Arial" w:eastAsia="Calibri" w:hAnsi="Arial" w:cs="Arial"/>
          <w:sz w:val="20"/>
          <w:szCs w:val="20"/>
        </w:rPr>
        <w:t>za korištenje</w:t>
      </w:r>
      <w:r w:rsidRPr="00FC753C">
        <w:rPr>
          <w:rFonts w:ascii="Arial" w:eastAsia="Calibri" w:hAnsi="Arial" w:cs="Arial"/>
          <w:sz w:val="20"/>
          <w:szCs w:val="20"/>
        </w:rPr>
        <w:t xml:space="preserve"> u sljedećem razdoblju </w:t>
      </w:r>
      <w:r w:rsidR="002B0963">
        <w:rPr>
          <w:rFonts w:ascii="Arial" w:eastAsia="Calibri" w:hAnsi="Arial" w:cs="Arial"/>
          <w:sz w:val="20"/>
          <w:szCs w:val="20"/>
        </w:rPr>
        <w:t>37.983,64</w:t>
      </w:r>
      <w:r w:rsidRPr="00FC753C">
        <w:rPr>
          <w:rFonts w:ascii="Arial" w:eastAsia="Calibri" w:hAnsi="Arial" w:cs="Arial"/>
          <w:sz w:val="20"/>
          <w:szCs w:val="20"/>
        </w:rPr>
        <w:t xml:space="preserve"> €. </w:t>
      </w:r>
    </w:p>
    <w:p w14:paraId="057D90B2" w14:textId="77777777" w:rsidR="00EE7F82" w:rsidRPr="00FC753C" w:rsidRDefault="00EE7F82" w:rsidP="00EE7F82">
      <w:pPr>
        <w:autoSpaceDE w:val="0"/>
        <w:autoSpaceDN w:val="0"/>
        <w:adjustRightInd w:val="0"/>
        <w:spacing w:after="0" w:line="240" w:lineRule="auto"/>
        <w:jc w:val="both"/>
        <w:rPr>
          <w:rFonts w:ascii="Arial" w:eastAsia="Calibri" w:hAnsi="Arial" w:cs="Arial"/>
          <w:sz w:val="20"/>
          <w:szCs w:val="20"/>
        </w:rPr>
      </w:pPr>
    </w:p>
    <w:p w14:paraId="3D24B6BC" w14:textId="6581D883" w:rsidR="00EE7F82" w:rsidRPr="00FC753C" w:rsidRDefault="00EE7F82" w:rsidP="00EE7F82">
      <w:pPr>
        <w:autoSpaceDE w:val="0"/>
        <w:autoSpaceDN w:val="0"/>
        <w:adjustRightInd w:val="0"/>
        <w:spacing w:after="0" w:line="240" w:lineRule="auto"/>
        <w:jc w:val="both"/>
        <w:rPr>
          <w:rFonts w:ascii="Arial" w:eastAsia="Calibri" w:hAnsi="Arial" w:cs="Arial"/>
          <w:sz w:val="20"/>
          <w:szCs w:val="20"/>
        </w:rPr>
      </w:pPr>
      <w:r w:rsidRPr="00FC753C">
        <w:rPr>
          <w:rFonts w:ascii="Arial" w:eastAsia="Calibri" w:hAnsi="Arial" w:cs="Arial"/>
          <w:sz w:val="20"/>
          <w:szCs w:val="20"/>
        </w:rPr>
        <w:t>Prosječan broj zaposlenih na osnovi stanja na početku</w:t>
      </w:r>
      <w:r w:rsidR="000D7B95" w:rsidRPr="00FC753C">
        <w:rPr>
          <w:rFonts w:ascii="Arial" w:eastAsia="Calibri" w:hAnsi="Arial" w:cs="Arial"/>
          <w:sz w:val="20"/>
          <w:szCs w:val="20"/>
        </w:rPr>
        <w:t xml:space="preserve"> je 1</w:t>
      </w:r>
      <w:r w:rsidR="002B0963">
        <w:rPr>
          <w:rFonts w:ascii="Arial" w:eastAsia="Calibri" w:hAnsi="Arial" w:cs="Arial"/>
          <w:sz w:val="20"/>
          <w:szCs w:val="20"/>
        </w:rPr>
        <w:t>3</w:t>
      </w:r>
      <w:r w:rsidR="000D7B95" w:rsidRPr="00FC753C">
        <w:rPr>
          <w:rFonts w:ascii="Arial" w:eastAsia="Calibri" w:hAnsi="Arial" w:cs="Arial"/>
          <w:sz w:val="20"/>
          <w:szCs w:val="20"/>
        </w:rPr>
        <w:t>, a na koncu 1</w:t>
      </w:r>
      <w:r w:rsidR="00BD08C9">
        <w:rPr>
          <w:rFonts w:ascii="Arial" w:eastAsia="Calibri" w:hAnsi="Arial" w:cs="Arial"/>
          <w:sz w:val="20"/>
          <w:szCs w:val="20"/>
        </w:rPr>
        <w:t>4</w:t>
      </w:r>
      <w:r w:rsidR="000D7B95" w:rsidRPr="00FC753C">
        <w:rPr>
          <w:rFonts w:ascii="Arial" w:eastAsia="Calibri" w:hAnsi="Arial" w:cs="Arial"/>
          <w:sz w:val="20"/>
          <w:szCs w:val="20"/>
        </w:rPr>
        <w:t xml:space="preserve"> zaposlenih</w:t>
      </w:r>
      <w:r w:rsidRPr="00FC753C">
        <w:rPr>
          <w:rFonts w:ascii="Arial" w:eastAsia="Calibri" w:hAnsi="Arial" w:cs="Arial"/>
          <w:sz w:val="20"/>
          <w:szCs w:val="20"/>
        </w:rPr>
        <w:t>. Prosječan broj zaposlenih na osnovi sati rada iznosi 1</w:t>
      </w:r>
      <w:r w:rsidR="00BD08C9">
        <w:rPr>
          <w:rFonts w:ascii="Arial" w:eastAsia="Calibri" w:hAnsi="Arial" w:cs="Arial"/>
          <w:sz w:val="20"/>
          <w:szCs w:val="20"/>
        </w:rPr>
        <w:t>4</w:t>
      </w:r>
      <w:r w:rsidRPr="00FC753C">
        <w:rPr>
          <w:rFonts w:ascii="Arial" w:eastAsia="Calibri" w:hAnsi="Arial" w:cs="Arial"/>
          <w:sz w:val="20"/>
          <w:szCs w:val="20"/>
        </w:rPr>
        <w:t>.</w:t>
      </w:r>
    </w:p>
    <w:p w14:paraId="44831B5F" w14:textId="77777777" w:rsidR="00EE7F82" w:rsidRPr="00FC753C" w:rsidRDefault="00EE7F82" w:rsidP="00EE7F82">
      <w:pPr>
        <w:autoSpaceDE w:val="0"/>
        <w:autoSpaceDN w:val="0"/>
        <w:adjustRightInd w:val="0"/>
        <w:spacing w:after="0" w:line="240" w:lineRule="auto"/>
        <w:jc w:val="both"/>
        <w:rPr>
          <w:rFonts w:ascii="Arial" w:eastAsia="Calibri" w:hAnsi="Arial" w:cs="Arial"/>
          <w:sz w:val="20"/>
          <w:szCs w:val="20"/>
        </w:rPr>
      </w:pPr>
    </w:p>
    <w:p w14:paraId="74BDD384" w14:textId="279CD0BB" w:rsidR="00EE7F82" w:rsidRPr="00FC753C" w:rsidRDefault="00EE7F82" w:rsidP="00EE7F82">
      <w:pPr>
        <w:autoSpaceDE w:val="0"/>
        <w:autoSpaceDN w:val="0"/>
        <w:adjustRightInd w:val="0"/>
        <w:spacing w:after="0" w:line="240" w:lineRule="auto"/>
        <w:jc w:val="both"/>
        <w:rPr>
          <w:rFonts w:ascii="Arial" w:eastAsia="Calibri" w:hAnsi="Arial" w:cs="Arial"/>
          <w:sz w:val="20"/>
          <w:szCs w:val="20"/>
        </w:rPr>
      </w:pPr>
      <w:r w:rsidRPr="00FC753C">
        <w:rPr>
          <w:rFonts w:ascii="Arial" w:eastAsia="Calibri" w:hAnsi="Arial" w:cs="Arial"/>
          <w:sz w:val="20"/>
          <w:szCs w:val="20"/>
        </w:rPr>
        <w:t>Prihodi ustanove u 202</w:t>
      </w:r>
      <w:r w:rsidR="00BD08C9">
        <w:rPr>
          <w:rFonts w:ascii="Arial" w:eastAsia="Calibri" w:hAnsi="Arial" w:cs="Arial"/>
          <w:sz w:val="20"/>
          <w:szCs w:val="20"/>
        </w:rPr>
        <w:t>5</w:t>
      </w:r>
      <w:r w:rsidRPr="00FC753C">
        <w:rPr>
          <w:rFonts w:ascii="Arial" w:eastAsia="Calibri" w:hAnsi="Arial" w:cs="Arial"/>
          <w:sz w:val="20"/>
          <w:szCs w:val="20"/>
        </w:rPr>
        <w:t xml:space="preserve">. godini u iznosu </w:t>
      </w:r>
      <w:r w:rsidR="002B0963">
        <w:rPr>
          <w:rFonts w:ascii="Arial" w:eastAsia="Calibri" w:hAnsi="Arial" w:cs="Arial"/>
          <w:sz w:val="20"/>
          <w:szCs w:val="20"/>
        </w:rPr>
        <w:t>731.960,33</w:t>
      </w:r>
      <w:r w:rsidR="00996D16" w:rsidRPr="00FC753C">
        <w:rPr>
          <w:rFonts w:ascii="Arial" w:eastAsia="Calibri" w:hAnsi="Arial" w:cs="Arial"/>
          <w:sz w:val="20"/>
          <w:szCs w:val="20"/>
        </w:rPr>
        <w:t xml:space="preserve"> </w:t>
      </w:r>
      <w:r w:rsidRPr="00FC753C">
        <w:rPr>
          <w:rFonts w:ascii="Arial" w:eastAsia="Calibri" w:hAnsi="Arial" w:cs="Arial"/>
          <w:sz w:val="20"/>
          <w:szCs w:val="20"/>
        </w:rPr>
        <w:t xml:space="preserve">€ se sastoje od prihoda od vlastitih sredstava, pomoći i prihoda po posebnim propisima u iznosu </w:t>
      </w:r>
      <w:r w:rsidR="00807CDD">
        <w:rPr>
          <w:rFonts w:ascii="Arial" w:eastAsia="Calibri" w:hAnsi="Arial" w:cs="Arial"/>
          <w:sz w:val="20"/>
          <w:szCs w:val="20"/>
        </w:rPr>
        <w:t>186.010,08</w:t>
      </w:r>
      <w:r w:rsidR="000D7B95" w:rsidRPr="00FC753C">
        <w:rPr>
          <w:rFonts w:ascii="Arial" w:eastAsia="Calibri" w:hAnsi="Arial" w:cs="Arial"/>
          <w:sz w:val="20"/>
          <w:szCs w:val="20"/>
        </w:rPr>
        <w:t xml:space="preserve"> </w:t>
      </w:r>
      <w:r w:rsidRPr="00FC753C">
        <w:rPr>
          <w:rFonts w:ascii="Arial" w:eastAsia="Calibri" w:hAnsi="Arial" w:cs="Arial"/>
          <w:sz w:val="20"/>
          <w:szCs w:val="20"/>
        </w:rPr>
        <w:t xml:space="preserve">€ i sredstava općinskog proračuna u iznosu </w:t>
      </w:r>
      <w:r w:rsidR="00807CDD">
        <w:rPr>
          <w:rFonts w:ascii="Arial" w:eastAsia="Calibri" w:hAnsi="Arial" w:cs="Arial"/>
          <w:sz w:val="20"/>
          <w:szCs w:val="20"/>
        </w:rPr>
        <w:t>545.950,25</w:t>
      </w:r>
      <w:r w:rsidRPr="00FC753C">
        <w:rPr>
          <w:rFonts w:ascii="Arial" w:eastAsia="Calibri" w:hAnsi="Arial" w:cs="Arial"/>
          <w:sz w:val="20"/>
          <w:szCs w:val="20"/>
        </w:rPr>
        <w:t xml:space="preserve"> €.</w:t>
      </w:r>
    </w:p>
    <w:p w14:paraId="31685E26" w14:textId="77777777" w:rsidR="00EE7F82" w:rsidRPr="00FC753C" w:rsidRDefault="00EE7F82" w:rsidP="00EE7F82">
      <w:pPr>
        <w:autoSpaceDE w:val="0"/>
        <w:autoSpaceDN w:val="0"/>
        <w:adjustRightInd w:val="0"/>
        <w:spacing w:after="0" w:line="240" w:lineRule="auto"/>
        <w:jc w:val="both"/>
        <w:rPr>
          <w:rFonts w:ascii="Arial" w:eastAsia="Calibri" w:hAnsi="Arial" w:cs="Arial"/>
          <w:sz w:val="20"/>
          <w:szCs w:val="20"/>
        </w:rPr>
      </w:pPr>
    </w:p>
    <w:p w14:paraId="375A12B3" w14:textId="58B3217B" w:rsidR="00EE7F82" w:rsidRDefault="00EE7F82" w:rsidP="00EE7F82">
      <w:pPr>
        <w:autoSpaceDE w:val="0"/>
        <w:autoSpaceDN w:val="0"/>
        <w:adjustRightInd w:val="0"/>
        <w:spacing w:after="0" w:line="240" w:lineRule="auto"/>
        <w:jc w:val="both"/>
        <w:rPr>
          <w:rFonts w:ascii="Arial" w:eastAsia="Calibri" w:hAnsi="Arial" w:cs="Arial"/>
          <w:sz w:val="20"/>
          <w:szCs w:val="20"/>
        </w:rPr>
      </w:pPr>
      <w:r w:rsidRPr="00FC753C">
        <w:rPr>
          <w:rFonts w:ascii="Arial" w:eastAsia="Calibri" w:hAnsi="Arial" w:cs="Arial"/>
          <w:sz w:val="20"/>
          <w:szCs w:val="20"/>
        </w:rPr>
        <w:t xml:space="preserve">Na računu 16721- potraživanje za prihode proračunskih korisnika na dan </w:t>
      </w:r>
      <w:r w:rsidR="00021BE7">
        <w:rPr>
          <w:rFonts w:ascii="Arial" w:eastAsia="Calibri" w:hAnsi="Arial" w:cs="Arial"/>
          <w:sz w:val="20"/>
          <w:szCs w:val="20"/>
        </w:rPr>
        <w:t>1.1.</w:t>
      </w:r>
      <w:r w:rsidR="004020E1" w:rsidRPr="00FC753C">
        <w:rPr>
          <w:rFonts w:ascii="Arial" w:eastAsia="Calibri" w:hAnsi="Arial" w:cs="Arial"/>
          <w:sz w:val="20"/>
          <w:szCs w:val="20"/>
        </w:rPr>
        <w:t>202</w:t>
      </w:r>
      <w:r w:rsidR="00021BE7">
        <w:rPr>
          <w:rFonts w:ascii="Arial" w:eastAsia="Calibri" w:hAnsi="Arial" w:cs="Arial"/>
          <w:sz w:val="20"/>
          <w:szCs w:val="20"/>
        </w:rPr>
        <w:t>5</w:t>
      </w:r>
      <w:r w:rsidR="004020E1" w:rsidRPr="00FC753C">
        <w:rPr>
          <w:rFonts w:ascii="Arial" w:eastAsia="Calibri" w:hAnsi="Arial" w:cs="Arial"/>
          <w:sz w:val="20"/>
          <w:szCs w:val="20"/>
        </w:rPr>
        <w:t xml:space="preserve">. je bilo iskazano </w:t>
      </w:r>
      <w:r w:rsidRPr="00FC753C">
        <w:rPr>
          <w:rFonts w:ascii="Arial" w:eastAsia="Calibri" w:hAnsi="Arial" w:cs="Arial"/>
          <w:sz w:val="20"/>
          <w:szCs w:val="20"/>
        </w:rPr>
        <w:t xml:space="preserve">stanje </w:t>
      </w:r>
      <w:r w:rsidR="00021BE7" w:rsidRPr="00FC753C">
        <w:rPr>
          <w:rFonts w:ascii="Arial" w:eastAsia="Calibri" w:hAnsi="Arial" w:cs="Arial"/>
          <w:sz w:val="20"/>
          <w:szCs w:val="20"/>
        </w:rPr>
        <w:t xml:space="preserve">54.778,87 </w:t>
      </w:r>
      <w:r w:rsidR="00A264FB" w:rsidRPr="00FC753C">
        <w:rPr>
          <w:rFonts w:ascii="Arial" w:eastAsia="Calibri" w:hAnsi="Arial" w:cs="Arial"/>
          <w:sz w:val="20"/>
          <w:szCs w:val="20"/>
        </w:rPr>
        <w:t>€</w:t>
      </w:r>
      <w:r w:rsidR="004020E1" w:rsidRPr="00FC753C">
        <w:rPr>
          <w:rFonts w:ascii="Arial" w:eastAsia="Calibri" w:hAnsi="Arial" w:cs="Arial"/>
          <w:sz w:val="20"/>
          <w:szCs w:val="20"/>
        </w:rPr>
        <w:t xml:space="preserve">, dok je na dan </w:t>
      </w:r>
      <w:r w:rsidR="00807CDD">
        <w:rPr>
          <w:rFonts w:ascii="Arial" w:eastAsia="Calibri" w:hAnsi="Arial" w:cs="Arial"/>
          <w:sz w:val="20"/>
          <w:szCs w:val="20"/>
        </w:rPr>
        <w:t>31.12</w:t>
      </w:r>
      <w:r w:rsidR="00021BE7">
        <w:rPr>
          <w:rFonts w:ascii="Arial" w:eastAsia="Calibri" w:hAnsi="Arial" w:cs="Arial"/>
          <w:sz w:val="20"/>
          <w:szCs w:val="20"/>
        </w:rPr>
        <w:t>.2025.</w:t>
      </w:r>
      <w:r w:rsidR="004020E1" w:rsidRPr="00FC753C">
        <w:rPr>
          <w:rFonts w:ascii="Arial" w:eastAsia="Calibri" w:hAnsi="Arial" w:cs="Arial"/>
          <w:sz w:val="20"/>
          <w:szCs w:val="20"/>
        </w:rPr>
        <w:t xml:space="preserve"> godine iskazano </w:t>
      </w:r>
      <w:r w:rsidR="00807CDD">
        <w:rPr>
          <w:rFonts w:ascii="Arial" w:eastAsia="Calibri" w:hAnsi="Arial" w:cs="Arial"/>
          <w:sz w:val="20"/>
          <w:szCs w:val="20"/>
        </w:rPr>
        <w:t>83.381,93</w:t>
      </w:r>
      <w:r w:rsidR="009A6D56">
        <w:rPr>
          <w:rFonts w:ascii="Arial" w:eastAsia="Calibri" w:hAnsi="Arial" w:cs="Arial"/>
          <w:sz w:val="20"/>
          <w:szCs w:val="20"/>
        </w:rPr>
        <w:t xml:space="preserve"> </w:t>
      </w:r>
      <w:r w:rsidR="004020E1" w:rsidRPr="00FC753C">
        <w:rPr>
          <w:rFonts w:ascii="Arial" w:eastAsia="Calibri" w:hAnsi="Arial" w:cs="Arial"/>
          <w:sz w:val="20"/>
          <w:szCs w:val="20"/>
        </w:rPr>
        <w:t>€.</w:t>
      </w:r>
      <w:r w:rsidRPr="00FC753C">
        <w:rPr>
          <w:rFonts w:ascii="Arial" w:eastAsia="Calibri" w:hAnsi="Arial" w:cs="Arial"/>
          <w:sz w:val="20"/>
          <w:szCs w:val="20"/>
        </w:rPr>
        <w:t xml:space="preserve"> Vlastitim sredstvima na žiro računu Općine proračunski korisnik raspolaže prema vlastitom financijskom planu uz potrebu najave Upravnom odjelu za proračun i financije, te otvaranje potrebnih aktivnosti i pozicija u proračunu. </w:t>
      </w:r>
    </w:p>
    <w:p w14:paraId="101FC374" w14:textId="77777777" w:rsidR="009A6D56" w:rsidRPr="00FC753C" w:rsidRDefault="009A6D56" w:rsidP="00EE7F82">
      <w:pPr>
        <w:autoSpaceDE w:val="0"/>
        <w:autoSpaceDN w:val="0"/>
        <w:adjustRightInd w:val="0"/>
        <w:spacing w:after="0" w:line="240" w:lineRule="auto"/>
        <w:jc w:val="both"/>
        <w:rPr>
          <w:rFonts w:ascii="Arial" w:eastAsia="Calibri" w:hAnsi="Arial" w:cs="Arial"/>
          <w:sz w:val="20"/>
          <w:szCs w:val="20"/>
        </w:rPr>
      </w:pPr>
    </w:p>
    <w:p w14:paraId="3C6FD35C" w14:textId="445D66B4" w:rsidR="00EE7F82" w:rsidRPr="00FC753C" w:rsidRDefault="00EE7F82" w:rsidP="00EE7F82">
      <w:pPr>
        <w:autoSpaceDE w:val="0"/>
        <w:autoSpaceDN w:val="0"/>
        <w:adjustRightInd w:val="0"/>
        <w:spacing w:after="0" w:line="240" w:lineRule="auto"/>
        <w:jc w:val="both"/>
        <w:rPr>
          <w:rFonts w:ascii="Arial" w:eastAsia="Calibri" w:hAnsi="Arial" w:cs="Arial"/>
          <w:sz w:val="20"/>
          <w:szCs w:val="20"/>
        </w:rPr>
      </w:pPr>
      <w:r w:rsidRPr="00FC753C">
        <w:rPr>
          <w:rFonts w:ascii="Arial" w:eastAsia="Calibri" w:hAnsi="Arial" w:cs="Arial"/>
          <w:sz w:val="20"/>
          <w:szCs w:val="20"/>
        </w:rPr>
        <w:t xml:space="preserve">Stanje nenaplaćenih potraživanja na dan </w:t>
      </w:r>
      <w:r w:rsidR="00807CDD">
        <w:rPr>
          <w:rFonts w:ascii="Arial" w:eastAsia="Calibri" w:hAnsi="Arial" w:cs="Arial"/>
          <w:sz w:val="20"/>
          <w:szCs w:val="20"/>
        </w:rPr>
        <w:t>31.12</w:t>
      </w:r>
      <w:r w:rsidR="009A6D56">
        <w:rPr>
          <w:rFonts w:ascii="Arial" w:eastAsia="Calibri" w:hAnsi="Arial" w:cs="Arial"/>
          <w:sz w:val="20"/>
          <w:szCs w:val="20"/>
        </w:rPr>
        <w:t>.2025</w:t>
      </w:r>
      <w:r w:rsidRPr="00FC753C">
        <w:rPr>
          <w:rFonts w:ascii="Arial" w:eastAsia="Calibri" w:hAnsi="Arial" w:cs="Arial"/>
          <w:sz w:val="20"/>
          <w:szCs w:val="20"/>
        </w:rPr>
        <w:t xml:space="preserve">. godine iznosi </w:t>
      </w:r>
      <w:r w:rsidR="00807CDD">
        <w:rPr>
          <w:rFonts w:ascii="Arial" w:eastAsia="Calibri" w:hAnsi="Arial" w:cs="Arial"/>
          <w:sz w:val="20"/>
          <w:szCs w:val="20"/>
        </w:rPr>
        <w:t>86.875,59</w:t>
      </w:r>
      <w:r w:rsidR="00A264FB" w:rsidRPr="00FC753C">
        <w:rPr>
          <w:rFonts w:ascii="Arial" w:eastAsia="Calibri" w:hAnsi="Arial" w:cs="Arial"/>
          <w:sz w:val="20"/>
          <w:szCs w:val="20"/>
        </w:rPr>
        <w:t xml:space="preserve"> €</w:t>
      </w:r>
      <w:r w:rsidRPr="00FC753C">
        <w:rPr>
          <w:rFonts w:ascii="Arial" w:eastAsia="Calibri" w:hAnsi="Arial" w:cs="Arial"/>
          <w:sz w:val="20"/>
          <w:szCs w:val="20"/>
        </w:rPr>
        <w:t>, a odnosi se na potraživanja za upravne i administrativne pristojbe, pristojbe po posebnim propisima i naknade</w:t>
      </w:r>
      <w:r w:rsidR="00996D16" w:rsidRPr="00FC753C">
        <w:rPr>
          <w:rFonts w:ascii="Arial" w:eastAsia="Calibri" w:hAnsi="Arial" w:cs="Arial"/>
          <w:sz w:val="20"/>
          <w:szCs w:val="20"/>
        </w:rPr>
        <w:t>,</w:t>
      </w:r>
      <w:r w:rsidR="004020E1" w:rsidRPr="00FC753C">
        <w:rPr>
          <w:rFonts w:ascii="Arial" w:eastAsia="Calibri" w:hAnsi="Arial" w:cs="Arial"/>
          <w:sz w:val="20"/>
          <w:szCs w:val="20"/>
        </w:rPr>
        <w:t xml:space="preserve"> </w:t>
      </w:r>
      <w:r w:rsidR="00996D16" w:rsidRPr="00FC753C">
        <w:rPr>
          <w:rFonts w:ascii="Arial" w:eastAsia="Calibri" w:hAnsi="Arial" w:cs="Arial"/>
          <w:sz w:val="20"/>
          <w:szCs w:val="20"/>
        </w:rPr>
        <w:t>te potraživanja za prihode od prodaje</w:t>
      </w:r>
      <w:r w:rsidRPr="00FC753C">
        <w:rPr>
          <w:rFonts w:ascii="Arial" w:eastAsia="Calibri" w:hAnsi="Arial" w:cs="Arial"/>
          <w:sz w:val="20"/>
          <w:szCs w:val="20"/>
        </w:rPr>
        <w:t xml:space="preserve"> (nenaplaćena potraživanja za ulaznice i usluge, te prodane suvenire) u iznosu </w:t>
      </w:r>
      <w:r w:rsidR="00807CDD">
        <w:rPr>
          <w:rFonts w:ascii="Arial" w:eastAsia="Calibri" w:hAnsi="Arial" w:cs="Arial"/>
          <w:sz w:val="20"/>
          <w:szCs w:val="20"/>
        </w:rPr>
        <w:t>3.493,66</w:t>
      </w:r>
      <w:r w:rsidR="009A6D56">
        <w:rPr>
          <w:rFonts w:ascii="Arial" w:eastAsia="Calibri" w:hAnsi="Arial" w:cs="Arial"/>
          <w:sz w:val="20"/>
          <w:szCs w:val="20"/>
        </w:rPr>
        <w:t xml:space="preserve"> </w:t>
      </w:r>
      <w:r w:rsidR="00A264FB" w:rsidRPr="00FC753C">
        <w:rPr>
          <w:rFonts w:ascii="Arial" w:eastAsia="Calibri" w:hAnsi="Arial" w:cs="Arial"/>
          <w:sz w:val="20"/>
          <w:szCs w:val="20"/>
        </w:rPr>
        <w:t>€</w:t>
      </w:r>
      <w:r w:rsidRPr="00FC753C">
        <w:rPr>
          <w:rFonts w:ascii="Arial" w:eastAsia="Calibri" w:hAnsi="Arial" w:cs="Arial"/>
          <w:sz w:val="20"/>
          <w:szCs w:val="20"/>
        </w:rPr>
        <w:t>,</w:t>
      </w:r>
      <w:r w:rsidR="009A6D56">
        <w:rPr>
          <w:rFonts w:ascii="Arial" w:eastAsia="Calibri" w:hAnsi="Arial" w:cs="Arial"/>
          <w:sz w:val="20"/>
          <w:szCs w:val="20"/>
        </w:rPr>
        <w:t xml:space="preserve"> potraživanja za pomoći iz državnog proračuna </w:t>
      </w:r>
      <w:r w:rsidR="00807CDD">
        <w:rPr>
          <w:rFonts w:ascii="Arial" w:eastAsia="Calibri" w:hAnsi="Arial" w:cs="Arial"/>
          <w:sz w:val="20"/>
          <w:szCs w:val="20"/>
        </w:rPr>
        <w:t>0</w:t>
      </w:r>
      <w:r w:rsidR="009A6D56">
        <w:rPr>
          <w:rFonts w:ascii="Arial" w:eastAsia="Calibri" w:hAnsi="Arial" w:cs="Arial"/>
          <w:sz w:val="20"/>
          <w:szCs w:val="20"/>
        </w:rPr>
        <w:t xml:space="preserve"> €,</w:t>
      </w:r>
      <w:r w:rsidRPr="00FC753C">
        <w:rPr>
          <w:rFonts w:ascii="Arial" w:eastAsia="Calibri" w:hAnsi="Arial" w:cs="Arial"/>
          <w:sz w:val="20"/>
          <w:szCs w:val="20"/>
        </w:rPr>
        <w:t xml:space="preserve"> ostala potraživanja (potraživanja prema Hrvatskom zavodu za zdravstveno osiguranje na ime isplaćenih naknada plaća djelatnicima za vrijeme bolovanja</w:t>
      </w:r>
      <w:r w:rsidR="00FC753C" w:rsidRPr="00FC753C">
        <w:rPr>
          <w:rFonts w:ascii="Arial" w:eastAsia="Calibri" w:hAnsi="Arial" w:cs="Arial"/>
          <w:sz w:val="20"/>
          <w:szCs w:val="20"/>
        </w:rPr>
        <w:t>, potraživanja za više plaćene doprinose i poreze</w:t>
      </w:r>
      <w:r w:rsidRPr="00FC753C">
        <w:rPr>
          <w:rFonts w:ascii="Arial" w:eastAsia="Calibri" w:hAnsi="Arial" w:cs="Arial"/>
          <w:sz w:val="20"/>
          <w:szCs w:val="20"/>
        </w:rPr>
        <w:t xml:space="preserve">) u iznosu </w:t>
      </w:r>
      <w:r w:rsidR="009A6D56">
        <w:rPr>
          <w:rFonts w:ascii="Arial" w:eastAsia="Calibri" w:hAnsi="Arial" w:cs="Arial"/>
          <w:sz w:val="20"/>
          <w:szCs w:val="20"/>
        </w:rPr>
        <w:t>0</w:t>
      </w:r>
      <w:r w:rsidR="00A264FB" w:rsidRPr="00FC753C">
        <w:rPr>
          <w:rFonts w:ascii="Arial" w:eastAsia="Calibri" w:hAnsi="Arial" w:cs="Arial"/>
          <w:sz w:val="20"/>
          <w:szCs w:val="20"/>
        </w:rPr>
        <w:t xml:space="preserve"> €</w:t>
      </w:r>
      <w:r w:rsidRPr="00FC753C">
        <w:rPr>
          <w:rFonts w:ascii="Arial" w:eastAsia="Calibri" w:hAnsi="Arial" w:cs="Arial"/>
          <w:sz w:val="20"/>
          <w:szCs w:val="20"/>
        </w:rPr>
        <w:t xml:space="preserve">, te potraživanja za prihode iz proračuna (potraživanja iz proračuna Općine Konavle za uplaćene, a neutrošene vlastite prihode ustanove) u iznosu </w:t>
      </w:r>
      <w:r w:rsidR="00807CDD">
        <w:rPr>
          <w:rFonts w:ascii="Arial" w:eastAsia="Calibri" w:hAnsi="Arial" w:cs="Arial"/>
          <w:sz w:val="20"/>
          <w:szCs w:val="20"/>
        </w:rPr>
        <w:t>83.381,93</w:t>
      </w:r>
      <w:r w:rsidR="009A6D56">
        <w:rPr>
          <w:rFonts w:ascii="Arial" w:eastAsia="Calibri" w:hAnsi="Arial" w:cs="Arial"/>
          <w:sz w:val="20"/>
          <w:szCs w:val="20"/>
        </w:rPr>
        <w:t xml:space="preserve"> </w:t>
      </w:r>
      <w:r w:rsidR="00FC753C" w:rsidRPr="00FC753C">
        <w:rPr>
          <w:rFonts w:ascii="Arial" w:eastAsia="Calibri" w:hAnsi="Arial" w:cs="Arial"/>
          <w:sz w:val="20"/>
          <w:szCs w:val="20"/>
        </w:rPr>
        <w:t>€.</w:t>
      </w:r>
    </w:p>
    <w:p w14:paraId="290C416C" w14:textId="77777777" w:rsidR="00EE7F82" w:rsidRPr="00FC753C" w:rsidRDefault="00EE7F82" w:rsidP="00EE7F82">
      <w:pPr>
        <w:autoSpaceDE w:val="0"/>
        <w:autoSpaceDN w:val="0"/>
        <w:adjustRightInd w:val="0"/>
        <w:spacing w:after="0" w:line="240" w:lineRule="auto"/>
        <w:jc w:val="both"/>
        <w:rPr>
          <w:rFonts w:ascii="Arial" w:eastAsia="Calibri" w:hAnsi="Arial" w:cs="Arial"/>
          <w:sz w:val="20"/>
          <w:szCs w:val="20"/>
        </w:rPr>
      </w:pPr>
    </w:p>
    <w:p w14:paraId="56368D45" w14:textId="59E6297C" w:rsidR="00EE7F82" w:rsidRPr="00FC753C" w:rsidRDefault="00EE7F82" w:rsidP="00EE7F82">
      <w:pPr>
        <w:spacing w:after="0" w:line="240" w:lineRule="auto"/>
        <w:rPr>
          <w:rFonts w:ascii="Arial" w:eastAsia="Calibri" w:hAnsi="Arial" w:cs="Arial"/>
          <w:sz w:val="20"/>
          <w:szCs w:val="20"/>
        </w:rPr>
      </w:pPr>
      <w:r w:rsidRPr="00FC753C">
        <w:rPr>
          <w:rFonts w:ascii="Arial" w:eastAsia="Calibri" w:hAnsi="Arial" w:cs="Arial"/>
          <w:sz w:val="20"/>
          <w:szCs w:val="20"/>
        </w:rPr>
        <w:t xml:space="preserve">Stanje nepodmirenih obveza na dan </w:t>
      </w:r>
      <w:r w:rsidR="00807CDD">
        <w:rPr>
          <w:rFonts w:ascii="Arial" w:eastAsia="Calibri" w:hAnsi="Arial" w:cs="Arial"/>
          <w:sz w:val="20"/>
          <w:szCs w:val="20"/>
        </w:rPr>
        <w:t>31.12</w:t>
      </w:r>
      <w:r w:rsidR="009A6D56">
        <w:rPr>
          <w:rFonts w:ascii="Arial" w:eastAsia="Calibri" w:hAnsi="Arial" w:cs="Arial"/>
          <w:sz w:val="20"/>
          <w:szCs w:val="20"/>
        </w:rPr>
        <w:t>.2025</w:t>
      </w:r>
      <w:r w:rsidRPr="00FC753C">
        <w:rPr>
          <w:rFonts w:ascii="Arial" w:eastAsia="Calibri" w:hAnsi="Arial" w:cs="Arial"/>
          <w:sz w:val="20"/>
          <w:szCs w:val="20"/>
        </w:rPr>
        <w:t xml:space="preserve">. godine iznosi </w:t>
      </w:r>
      <w:r w:rsidR="00807CDD">
        <w:rPr>
          <w:rFonts w:ascii="Arial" w:eastAsia="Calibri" w:hAnsi="Arial" w:cs="Arial"/>
          <w:sz w:val="20"/>
          <w:szCs w:val="20"/>
        </w:rPr>
        <w:t>45.398,29</w:t>
      </w:r>
      <w:r w:rsidR="00A264FB" w:rsidRPr="00FC753C">
        <w:rPr>
          <w:rFonts w:ascii="Arial" w:eastAsia="Calibri" w:hAnsi="Arial" w:cs="Arial"/>
          <w:sz w:val="20"/>
          <w:szCs w:val="20"/>
        </w:rPr>
        <w:t xml:space="preserve"> €</w:t>
      </w:r>
      <w:r w:rsidR="00807CDD">
        <w:rPr>
          <w:rFonts w:ascii="Arial" w:eastAsia="Calibri" w:hAnsi="Arial" w:cs="Arial"/>
          <w:sz w:val="20"/>
          <w:szCs w:val="20"/>
        </w:rPr>
        <w:t xml:space="preserve"> i sve je nedospjelo</w:t>
      </w:r>
      <w:r w:rsidR="00996D16" w:rsidRPr="00FC753C">
        <w:rPr>
          <w:rFonts w:ascii="Arial" w:eastAsia="Calibri" w:hAnsi="Arial" w:cs="Arial"/>
          <w:sz w:val="20"/>
          <w:szCs w:val="20"/>
        </w:rPr>
        <w:t>.</w:t>
      </w:r>
    </w:p>
    <w:p w14:paraId="05D68363" w14:textId="77777777" w:rsidR="00EE7F82" w:rsidRPr="00FC753C" w:rsidRDefault="00EE7F82" w:rsidP="00EE7F82">
      <w:pPr>
        <w:spacing w:after="0" w:line="240" w:lineRule="auto"/>
        <w:rPr>
          <w:rFonts w:ascii="Arial" w:eastAsia="Calibri" w:hAnsi="Arial" w:cs="Arial"/>
          <w:sz w:val="20"/>
          <w:szCs w:val="20"/>
        </w:rPr>
      </w:pPr>
      <w:r w:rsidRPr="00FC753C">
        <w:rPr>
          <w:rFonts w:ascii="Arial" w:eastAsia="Calibri" w:hAnsi="Arial" w:cs="Arial"/>
          <w:sz w:val="20"/>
          <w:szCs w:val="20"/>
        </w:rPr>
        <w:t>Potencijalnih obveza nema.</w:t>
      </w:r>
    </w:p>
    <w:p w14:paraId="5380F8D0" w14:textId="77777777" w:rsidR="00EE7F82" w:rsidRPr="00FC753C" w:rsidRDefault="00EE7F82" w:rsidP="00C720E8">
      <w:pPr>
        <w:autoSpaceDE w:val="0"/>
        <w:autoSpaceDN w:val="0"/>
        <w:adjustRightInd w:val="0"/>
        <w:spacing w:after="0" w:line="240" w:lineRule="auto"/>
        <w:rPr>
          <w:rFonts w:ascii="Arial" w:eastAsia="Calibri" w:hAnsi="Arial" w:cs="Arial"/>
        </w:rPr>
      </w:pPr>
    </w:p>
    <w:p w14:paraId="15D62FFD" w14:textId="77777777" w:rsidR="00EE7F82" w:rsidRPr="00FC753C" w:rsidRDefault="00EE7F82">
      <w:pPr>
        <w:pStyle w:val="Odlomakpopisa"/>
        <w:numPr>
          <w:ilvl w:val="0"/>
          <w:numId w:val="33"/>
        </w:numPr>
        <w:pBdr>
          <w:top w:val="single" w:sz="4" w:space="1" w:color="auto"/>
          <w:left w:val="single" w:sz="4" w:space="0" w:color="auto"/>
          <w:bottom w:val="single" w:sz="4" w:space="1" w:color="auto"/>
          <w:right w:val="single" w:sz="4" w:space="4" w:color="auto"/>
        </w:pBdr>
        <w:ind w:right="3082"/>
        <w:rPr>
          <w:rFonts w:ascii="Arial" w:eastAsia="Calibri" w:hAnsi="Arial" w:cs="Arial"/>
          <w:b/>
        </w:rPr>
      </w:pPr>
      <w:r w:rsidRPr="00FC753C">
        <w:rPr>
          <w:rFonts w:ascii="Arial" w:eastAsia="Calibri" w:hAnsi="Arial" w:cs="Arial"/>
          <w:b/>
        </w:rPr>
        <w:t>Obrazloženje aktivnosti / projekata i pokazatelji uspješnosti</w:t>
      </w:r>
    </w:p>
    <w:p w14:paraId="54FBAA04" w14:textId="77777777" w:rsidR="00EE7F82" w:rsidRPr="00FC753C" w:rsidRDefault="00EE7F82" w:rsidP="00A264FB">
      <w:pPr>
        <w:spacing w:after="0" w:line="240" w:lineRule="auto"/>
        <w:rPr>
          <w:rFonts w:ascii="Arial" w:eastAsia="Calibri" w:hAnsi="Arial" w:cs="Arial"/>
          <w:bCs/>
          <w:sz w:val="20"/>
          <w:szCs w:val="20"/>
        </w:rPr>
      </w:pPr>
    </w:p>
    <w:p w14:paraId="55B642A1" w14:textId="77777777" w:rsidR="00EE7F82" w:rsidRPr="00FC753C" w:rsidRDefault="00EE7F82" w:rsidP="00A264FB">
      <w:pPr>
        <w:spacing w:after="0" w:line="240" w:lineRule="auto"/>
        <w:rPr>
          <w:rFonts w:ascii="Arial" w:eastAsia="Calibri" w:hAnsi="Arial" w:cs="Arial"/>
          <w:sz w:val="20"/>
          <w:szCs w:val="20"/>
        </w:rPr>
      </w:pPr>
      <w:r w:rsidRPr="00FC753C">
        <w:rPr>
          <w:rFonts w:ascii="Arial" w:eastAsia="Calibri" w:hAnsi="Arial" w:cs="Arial"/>
          <w:sz w:val="20"/>
          <w:szCs w:val="20"/>
        </w:rPr>
        <w:t>Unutar programa izvode se slijedeće aktivnosti i projekti:</w:t>
      </w:r>
    </w:p>
    <w:p w14:paraId="6FD6B50E" w14:textId="1AECDE90" w:rsidR="00AE0E1F" w:rsidRPr="00C15731" w:rsidRDefault="00AE0E1F" w:rsidP="00902C5D">
      <w:pPr>
        <w:spacing w:after="0" w:line="240" w:lineRule="auto"/>
        <w:jc w:val="both"/>
        <w:rPr>
          <w:rFonts w:ascii="Arial" w:eastAsia="Calibri" w:hAnsi="Arial" w:cs="Arial"/>
          <w:bCs/>
          <w:sz w:val="20"/>
          <w:szCs w:val="20"/>
        </w:rPr>
      </w:pPr>
    </w:p>
    <w:p w14:paraId="6E6D8FE7" w14:textId="0CEDDBA0" w:rsidR="00D964AC" w:rsidRPr="00C15731" w:rsidRDefault="00B03010" w:rsidP="00D964AC">
      <w:pPr>
        <w:spacing w:after="0" w:line="240" w:lineRule="auto"/>
        <w:jc w:val="both"/>
        <w:rPr>
          <w:rFonts w:ascii="Arial" w:eastAsia="Calibri" w:hAnsi="Arial" w:cs="Arial"/>
          <w:sz w:val="20"/>
          <w:szCs w:val="20"/>
        </w:rPr>
      </w:pPr>
      <w:r w:rsidRPr="00C15731">
        <w:rPr>
          <w:rFonts w:ascii="Arial" w:eastAsia="Calibri" w:hAnsi="Arial" w:cs="Arial"/>
          <w:b/>
          <w:sz w:val="20"/>
          <w:szCs w:val="20"/>
        </w:rPr>
        <w:t>1</w:t>
      </w:r>
      <w:r w:rsidR="00F05A52" w:rsidRPr="00C15731">
        <w:rPr>
          <w:rFonts w:ascii="Arial" w:eastAsia="Calibri" w:hAnsi="Arial" w:cs="Arial"/>
          <w:b/>
          <w:sz w:val="20"/>
          <w:szCs w:val="20"/>
        </w:rPr>
        <w:t>.</w:t>
      </w:r>
      <w:r w:rsidRPr="00C15731">
        <w:rPr>
          <w:rFonts w:ascii="Arial" w:eastAsia="Calibri" w:hAnsi="Arial" w:cs="Arial"/>
          <w:b/>
          <w:sz w:val="20"/>
          <w:szCs w:val="20"/>
        </w:rPr>
        <w:t xml:space="preserve"> </w:t>
      </w:r>
      <w:r w:rsidR="00F05A52" w:rsidRPr="00C15731">
        <w:rPr>
          <w:rFonts w:ascii="Arial" w:eastAsia="Calibri" w:hAnsi="Arial" w:cs="Arial"/>
          <w:b/>
          <w:sz w:val="20"/>
          <w:szCs w:val="20"/>
        </w:rPr>
        <w:t xml:space="preserve">A203101: Redovna djelatnost ustanove u kulturi </w:t>
      </w:r>
      <w:r w:rsidR="00D964AC" w:rsidRPr="00C15731">
        <w:rPr>
          <w:rFonts w:ascii="Arial" w:eastAsia="Calibri" w:hAnsi="Arial" w:cs="Arial"/>
          <w:sz w:val="20"/>
          <w:szCs w:val="20"/>
        </w:rPr>
        <w:t xml:space="preserve">- U sklopu navedene aktivnosti evidentiraju se rashodi za plaće proračunskog korisnika Muzeji i galerije Konavala, s pripadajućim porezima i doprinosima, naknade za prijevoz na posao i s posla u visini mjesečne pokazne karte, uredski i drugi materijal, energija, telefon, intelektualne usluge, usluge tekućeg održavanja objekata i opreme, usluge promidžbe i informiranja, premije osiguranja, bankarske usluge. Planirana sredstva za navedenu aktivnost iznose </w:t>
      </w:r>
      <w:r w:rsidR="00E265C3">
        <w:rPr>
          <w:rFonts w:ascii="Arial" w:eastAsia="Calibri" w:hAnsi="Arial" w:cs="Arial"/>
          <w:sz w:val="20"/>
          <w:szCs w:val="20"/>
        </w:rPr>
        <w:t>511.300</w:t>
      </w:r>
      <w:r w:rsidR="00D964AC" w:rsidRPr="00C15731">
        <w:rPr>
          <w:rFonts w:ascii="Arial" w:eastAsia="Calibri" w:hAnsi="Arial" w:cs="Arial"/>
          <w:sz w:val="20"/>
          <w:szCs w:val="20"/>
        </w:rPr>
        <w:t xml:space="preserve"> €, a ostvareno je </w:t>
      </w:r>
      <w:r w:rsidR="00E265C3">
        <w:rPr>
          <w:rFonts w:ascii="Arial" w:eastAsia="Calibri" w:hAnsi="Arial" w:cs="Arial"/>
          <w:sz w:val="20"/>
          <w:szCs w:val="20"/>
        </w:rPr>
        <w:t>505.889,92</w:t>
      </w:r>
      <w:r w:rsidR="00D964AC" w:rsidRPr="00C15731">
        <w:rPr>
          <w:rFonts w:ascii="Arial" w:eastAsia="Calibri" w:hAnsi="Arial" w:cs="Arial"/>
          <w:sz w:val="20"/>
          <w:szCs w:val="20"/>
        </w:rPr>
        <w:t xml:space="preserve"> € odnosno </w:t>
      </w:r>
      <w:r w:rsidR="00E265C3">
        <w:rPr>
          <w:rFonts w:ascii="Arial" w:eastAsia="Calibri" w:hAnsi="Arial" w:cs="Arial"/>
          <w:sz w:val="20"/>
          <w:szCs w:val="20"/>
        </w:rPr>
        <w:t>98,9</w:t>
      </w:r>
      <w:r w:rsidR="00D964AC" w:rsidRPr="00C15731">
        <w:rPr>
          <w:rFonts w:ascii="Arial" w:eastAsia="Calibri" w:hAnsi="Arial" w:cs="Arial"/>
          <w:sz w:val="20"/>
          <w:szCs w:val="20"/>
        </w:rPr>
        <w:t>% planiranog.</w:t>
      </w:r>
    </w:p>
    <w:p w14:paraId="07110867" w14:textId="77777777" w:rsidR="00D964AC" w:rsidRPr="00C15731" w:rsidRDefault="00D964AC" w:rsidP="00D964AC">
      <w:pPr>
        <w:spacing w:after="0" w:line="240" w:lineRule="auto"/>
        <w:jc w:val="both"/>
        <w:rPr>
          <w:rFonts w:ascii="Arial" w:eastAsia="Calibri" w:hAnsi="Arial" w:cs="Arial"/>
          <w:sz w:val="20"/>
          <w:szCs w:val="20"/>
        </w:rPr>
      </w:pPr>
    </w:p>
    <w:p w14:paraId="7C368A4C" w14:textId="2F8B1E2A" w:rsidR="00D964AC" w:rsidRPr="00C15731" w:rsidRDefault="00D964AC" w:rsidP="00D964AC">
      <w:pPr>
        <w:spacing w:after="0" w:line="240" w:lineRule="auto"/>
        <w:jc w:val="both"/>
        <w:rPr>
          <w:rFonts w:ascii="Arial" w:eastAsia="Calibri" w:hAnsi="Arial" w:cs="Arial"/>
          <w:sz w:val="20"/>
          <w:szCs w:val="20"/>
        </w:rPr>
      </w:pPr>
      <w:r w:rsidRPr="00C15731">
        <w:rPr>
          <w:rFonts w:ascii="Arial" w:eastAsia="Calibri" w:hAnsi="Arial" w:cs="Arial"/>
          <w:sz w:val="20"/>
          <w:szCs w:val="20"/>
        </w:rPr>
        <w:t>Izvori sredstava za ove rashode (A203101) su prihodi iz Općinskog proračuna.</w:t>
      </w:r>
    </w:p>
    <w:p w14:paraId="3A27D471" w14:textId="77777777" w:rsidR="00D964AC" w:rsidRPr="00C15731" w:rsidRDefault="00D964AC" w:rsidP="00D964AC">
      <w:pPr>
        <w:spacing w:after="0" w:line="240" w:lineRule="auto"/>
        <w:jc w:val="both"/>
        <w:rPr>
          <w:rFonts w:ascii="Arial" w:eastAsia="Calibri" w:hAnsi="Arial" w:cs="Arial"/>
          <w:sz w:val="20"/>
          <w:szCs w:val="20"/>
        </w:rPr>
      </w:pPr>
    </w:p>
    <w:p w14:paraId="53648FB4" w14:textId="0128285C" w:rsidR="00D964AC" w:rsidRPr="00C15731" w:rsidRDefault="00D964AC" w:rsidP="00D964AC">
      <w:pPr>
        <w:spacing w:after="0" w:line="240" w:lineRule="auto"/>
        <w:jc w:val="both"/>
        <w:rPr>
          <w:rFonts w:ascii="Arial" w:eastAsia="Calibri" w:hAnsi="Arial" w:cs="Arial"/>
          <w:sz w:val="20"/>
          <w:szCs w:val="20"/>
        </w:rPr>
      </w:pPr>
      <w:r w:rsidRPr="00C15731">
        <w:rPr>
          <w:rFonts w:ascii="Arial" w:eastAsia="Calibri" w:hAnsi="Arial" w:cs="Arial"/>
          <w:sz w:val="20"/>
          <w:szCs w:val="20"/>
        </w:rPr>
        <w:t xml:space="preserve">Na dan </w:t>
      </w:r>
      <w:r w:rsidR="00E265C3">
        <w:rPr>
          <w:rFonts w:ascii="Arial" w:eastAsia="Calibri" w:hAnsi="Arial" w:cs="Arial"/>
          <w:sz w:val="20"/>
          <w:szCs w:val="20"/>
        </w:rPr>
        <w:t>31.12</w:t>
      </w:r>
      <w:r w:rsidR="001E2D9C">
        <w:rPr>
          <w:rFonts w:ascii="Arial" w:eastAsia="Calibri" w:hAnsi="Arial" w:cs="Arial"/>
          <w:sz w:val="20"/>
          <w:szCs w:val="20"/>
        </w:rPr>
        <w:t>.2025</w:t>
      </w:r>
      <w:r w:rsidRPr="00C15731">
        <w:rPr>
          <w:rFonts w:ascii="Arial" w:eastAsia="Calibri" w:hAnsi="Arial" w:cs="Arial"/>
          <w:sz w:val="20"/>
          <w:szCs w:val="20"/>
        </w:rPr>
        <w:t>. ustanov</w:t>
      </w:r>
      <w:r w:rsidR="000E44C6" w:rsidRPr="00C15731">
        <w:rPr>
          <w:rFonts w:ascii="Arial" w:eastAsia="Calibri" w:hAnsi="Arial" w:cs="Arial"/>
          <w:sz w:val="20"/>
          <w:szCs w:val="20"/>
        </w:rPr>
        <w:t>a</w:t>
      </w:r>
      <w:r w:rsidRPr="00C15731">
        <w:rPr>
          <w:rFonts w:ascii="Arial" w:eastAsia="Calibri" w:hAnsi="Arial" w:cs="Arial"/>
          <w:sz w:val="20"/>
          <w:szCs w:val="20"/>
        </w:rPr>
        <w:t xml:space="preserve"> ima 1</w:t>
      </w:r>
      <w:r w:rsidR="00E265C3">
        <w:rPr>
          <w:rFonts w:ascii="Arial" w:eastAsia="Calibri" w:hAnsi="Arial" w:cs="Arial"/>
          <w:sz w:val="20"/>
          <w:szCs w:val="20"/>
        </w:rPr>
        <w:t>4</w:t>
      </w:r>
      <w:r w:rsidRPr="00C15731">
        <w:rPr>
          <w:rFonts w:ascii="Arial" w:eastAsia="Calibri" w:hAnsi="Arial" w:cs="Arial"/>
          <w:sz w:val="20"/>
          <w:szCs w:val="20"/>
        </w:rPr>
        <w:t xml:space="preserve"> zaposlenih.</w:t>
      </w:r>
    </w:p>
    <w:p w14:paraId="19B723D4" w14:textId="77777777" w:rsidR="00D964AC" w:rsidRPr="00C15731" w:rsidRDefault="00D964AC" w:rsidP="00D964AC">
      <w:pPr>
        <w:spacing w:after="0" w:line="240" w:lineRule="auto"/>
        <w:jc w:val="both"/>
        <w:rPr>
          <w:rFonts w:ascii="Arial" w:eastAsia="Calibri" w:hAnsi="Arial" w:cs="Arial"/>
          <w:sz w:val="20"/>
          <w:szCs w:val="20"/>
        </w:rPr>
      </w:pPr>
    </w:p>
    <w:p w14:paraId="53E9BD3D" w14:textId="1468F05A" w:rsidR="00D964AC" w:rsidRPr="00C15731" w:rsidRDefault="00D964AC" w:rsidP="00D964AC">
      <w:pPr>
        <w:spacing w:after="0" w:line="240" w:lineRule="auto"/>
        <w:jc w:val="both"/>
        <w:rPr>
          <w:rFonts w:ascii="Arial" w:eastAsia="Calibri" w:hAnsi="Arial" w:cs="Arial"/>
          <w:sz w:val="20"/>
          <w:szCs w:val="20"/>
        </w:rPr>
      </w:pPr>
      <w:r w:rsidRPr="00C15731">
        <w:rPr>
          <w:rFonts w:ascii="Arial" w:eastAsia="Calibri" w:hAnsi="Arial" w:cs="Arial"/>
          <w:sz w:val="20"/>
          <w:szCs w:val="20"/>
        </w:rPr>
        <w:t xml:space="preserve">Ukupni rashodi za zaposlene (31) ustanove Muzeji i galerije Konavala na svim aktivnostima (A203101 redovna djelatnost i </w:t>
      </w:r>
      <w:r w:rsidR="00BC7294" w:rsidRPr="00C15731">
        <w:rPr>
          <w:rFonts w:ascii="Arial" w:eastAsia="Calibri" w:hAnsi="Arial" w:cs="Arial"/>
          <w:sz w:val="20"/>
          <w:szCs w:val="20"/>
        </w:rPr>
        <w:t>a</w:t>
      </w:r>
      <w:r w:rsidRPr="00C15731">
        <w:rPr>
          <w:rFonts w:ascii="Arial" w:eastAsia="Calibri" w:hAnsi="Arial" w:cs="Arial"/>
          <w:sz w:val="20"/>
          <w:szCs w:val="20"/>
        </w:rPr>
        <w:t xml:space="preserve">ktivnosti financiranoj vlastitim sredstvima A203111) iznose </w:t>
      </w:r>
      <w:r w:rsidR="00E265C3">
        <w:rPr>
          <w:rFonts w:ascii="Arial" w:eastAsia="Calibri" w:hAnsi="Arial" w:cs="Arial"/>
          <w:sz w:val="20"/>
          <w:szCs w:val="20"/>
        </w:rPr>
        <w:t>435.981,71</w:t>
      </w:r>
      <w:r w:rsidRPr="00C15731">
        <w:rPr>
          <w:rFonts w:ascii="Arial" w:eastAsia="Calibri" w:hAnsi="Arial" w:cs="Arial"/>
          <w:sz w:val="20"/>
          <w:szCs w:val="20"/>
        </w:rPr>
        <w:t xml:space="preserve"> € ili </w:t>
      </w:r>
      <w:r w:rsidR="00E265C3">
        <w:rPr>
          <w:rFonts w:ascii="Arial" w:eastAsia="Calibri" w:hAnsi="Arial" w:cs="Arial"/>
          <w:sz w:val="20"/>
          <w:szCs w:val="20"/>
        </w:rPr>
        <w:t>1,7</w:t>
      </w:r>
      <w:r w:rsidRPr="00C15731">
        <w:rPr>
          <w:rFonts w:ascii="Arial" w:eastAsia="Calibri" w:hAnsi="Arial" w:cs="Arial"/>
          <w:sz w:val="20"/>
          <w:szCs w:val="20"/>
        </w:rPr>
        <w:t xml:space="preserve">% ukupnih rashoda Proračuna (rashodi poslovanja „3“ i rashodi za nabavu nefinancijske imovine „4“) odnosno </w:t>
      </w:r>
      <w:r w:rsidR="00E265C3">
        <w:rPr>
          <w:rFonts w:ascii="Arial" w:eastAsia="Calibri" w:hAnsi="Arial" w:cs="Arial"/>
          <w:sz w:val="20"/>
          <w:szCs w:val="20"/>
        </w:rPr>
        <w:t>1,6</w:t>
      </w:r>
      <w:r w:rsidRPr="00C15731">
        <w:rPr>
          <w:rFonts w:ascii="Arial" w:eastAsia="Calibri" w:hAnsi="Arial" w:cs="Arial"/>
          <w:sz w:val="20"/>
          <w:szCs w:val="20"/>
        </w:rPr>
        <w:t>% ukupnih rashod</w:t>
      </w:r>
      <w:r w:rsidR="000E44C6" w:rsidRPr="00C15731">
        <w:rPr>
          <w:rFonts w:ascii="Arial" w:eastAsia="Calibri" w:hAnsi="Arial" w:cs="Arial"/>
          <w:sz w:val="20"/>
          <w:szCs w:val="20"/>
        </w:rPr>
        <w:t>a</w:t>
      </w:r>
      <w:r w:rsidRPr="00C15731">
        <w:rPr>
          <w:rFonts w:ascii="Arial" w:eastAsia="Calibri" w:hAnsi="Arial" w:cs="Arial"/>
          <w:sz w:val="20"/>
          <w:szCs w:val="20"/>
        </w:rPr>
        <w:t xml:space="preserve"> i izdataka Proračuna (rashodi poslovanja „3“ i rashodi za nabavu nefinancijske imovine „4“ uvećani za izdatke za financijsku imovinu i otplate zajmova“5“).</w:t>
      </w:r>
      <w:r w:rsidR="000E44C6" w:rsidRPr="00C15731">
        <w:rPr>
          <w:rFonts w:ascii="Arial" w:eastAsia="Calibri" w:hAnsi="Arial" w:cs="Arial"/>
          <w:sz w:val="20"/>
          <w:szCs w:val="20"/>
        </w:rPr>
        <w:t xml:space="preserve"> </w:t>
      </w:r>
    </w:p>
    <w:p w14:paraId="70DF2A17" w14:textId="77777777" w:rsidR="00B03010" w:rsidRPr="00C15731" w:rsidRDefault="00B03010" w:rsidP="00B03010">
      <w:pPr>
        <w:spacing w:after="0" w:line="240" w:lineRule="auto"/>
        <w:jc w:val="both"/>
        <w:rPr>
          <w:rFonts w:ascii="Arial" w:eastAsia="Calibri" w:hAnsi="Arial" w:cs="Arial"/>
          <w:sz w:val="20"/>
          <w:szCs w:val="20"/>
        </w:rPr>
      </w:pPr>
    </w:p>
    <w:p w14:paraId="4E2984E4" w14:textId="7E1E7B63" w:rsidR="00B03010" w:rsidRPr="0078123D" w:rsidRDefault="00B03010" w:rsidP="00B03010">
      <w:pPr>
        <w:spacing w:after="0" w:line="240" w:lineRule="auto"/>
        <w:jc w:val="both"/>
        <w:rPr>
          <w:rFonts w:ascii="Arial" w:eastAsia="Calibri" w:hAnsi="Arial" w:cs="Arial"/>
          <w:sz w:val="20"/>
          <w:szCs w:val="20"/>
        </w:rPr>
      </w:pPr>
      <w:r w:rsidRPr="00C15731">
        <w:rPr>
          <w:rFonts w:ascii="Arial" w:eastAsia="Calibri" w:hAnsi="Arial" w:cs="Arial"/>
          <w:sz w:val="20"/>
          <w:szCs w:val="20"/>
        </w:rPr>
        <w:t xml:space="preserve">Ukupni rashodi za zaposlene (31) ustanove Muzeji i galerije Konavala na svim aktivnostima (A203101 redovna djelatnost i aktivnosti financiranoj vlastitim sredstvima </w:t>
      </w:r>
      <w:r w:rsidRPr="0078123D">
        <w:rPr>
          <w:rFonts w:ascii="Arial" w:eastAsia="Calibri" w:hAnsi="Arial" w:cs="Arial"/>
          <w:sz w:val="20"/>
          <w:szCs w:val="20"/>
        </w:rPr>
        <w:t xml:space="preserve">A203111) </w:t>
      </w:r>
      <w:r w:rsidR="000E44C6" w:rsidRPr="0078123D">
        <w:rPr>
          <w:rFonts w:ascii="Arial" w:eastAsia="Calibri" w:hAnsi="Arial" w:cs="Arial"/>
          <w:sz w:val="20"/>
          <w:szCs w:val="20"/>
        </w:rPr>
        <w:t xml:space="preserve">u iznosu </w:t>
      </w:r>
      <w:r w:rsidR="00E265C3">
        <w:rPr>
          <w:rFonts w:ascii="Arial" w:eastAsia="Calibri" w:hAnsi="Arial" w:cs="Arial"/>
          <w:sz w:val="20"/>
          <w:szCs w:val="20"/>
        </w:rPr>
        <w:t>435.981,71</w:t>
      </w:r>
      <w:r w:rsidR="0020163C">
        <w:rPr>
          <w:rFonts w:ascii="Arial" w:eastAsia="Calibri" w:hAnsi="Arial" w:cs="Arial"/>
          <w:sz w:val="20"/>
          <w:szCs w:val="20"/>
        </w:rPr>
        <w:t xml:space="preserve"> </w:t>
      </w:r>
      <w:r w:rsidR="000E44C6" w:rsidRPr="0078123D">
        <w:rPr>
          <w:rFonts w:ascii="Arial" w:eastAsia="Calibri" w:hAnsi="Arial" w:cs="Arial"/>
          <w:sz w:val="20"/>
          <w:szCs w:val="20"/>
        </w:rPr>
        <w:t>€ čine</w:t>
      </w:r>
      <w:r w:rsidRPr="0078123D">
        <w:rPr>
          <w:rFonts w:ascii="Arial" w:eastAsia="Calibri" w:hAnsi="Arial" w:cs="Arial"/>
          <w:sz w:val="20"/>
          <w:szCs w:val="20"/>
        </w:rPr>
        <w:t xml:space="preserve"> </w:t>
      </w:r>
      <w:r w:rsidR="00E265C3">
        <w:rPr>
          <w:rFonts w:ascii="Arial" w:eastAsia="Calibri" w:hAnsi="Arial" w:cs="Arial"/>
          <w:sz w:val="20"/>
          <w:szCs w:val="20"/>
        </w:rPr>
        <w:t>61,3</w:t>
      </w:r>
      <w:r w:rsidRPr="0078123D">
        <w:rPr>
          <w:rFonts w:ascii="Arial" w:eastAsia="Calibri" w:hAnsi="Arial" w:cs="Arial"/>
          <w:sz w:val="20"/>
          <w:szCs w:val="20"/>
        </w:rPr>
        <w:t xml:space="preserve">% ukupnih rashoda proračunskog korisnika, </w:t>
      </w:r>
      <w:r w:rsidR="00D964AC" w:rsidRPr="0078123D">
        <w:rPr>
          <w:rFonts w:ascii="Arial" w:eastAsia="Calibri" w:hAnsi="Arial" w:cs="Arial"/>
          <w:sz w:val="20"/>
          <w:szCs w:val="20"/>
        </w:rPr>
        <w:t xml:space="preserve">odnosno uvećano za rashode za prijevoz na posao i s posla čini </w:t>
      </w:r>
      <w:r w:rsidR="00D3715E">
        <w:rPr>
          <w:rFonts w:ascii="Arial" w:eastAsia="Calibri" w:hAnsi="Arial" w:cs="Arial"/>
          <w:sz w:val="20"/>
          <w:szCs w:val="20"/>
        </w:rPr>
        <w:t>63,6</w:t>
      </w:r>
      <w:r w:rsidR="002345D8" w:rsidRPr="0078123D">
        <w:rPr>
          <w:rFonts w:ascii="Arial" w:eastAsia="Calibri" w:hAnsi="Arial" w:cs="Arial"/>
          <w:sz w:val="20"/>
          <w:szCs w:val="20"/>
        </w:rPr>
        <w:t>% ukupnih rashoda ustanove.</w:t>
      </w:r>
    </w:p>
    <w:p w14:paraId="37D15586" w14:textId="77777777" w:rsidR="00B03010" w:rsidRPr="0078123D" w:rsidRDefault="00B03010" w:rsidP="00B03010">
      <w:pPr>
        <w:spacing w:after="0" w:line="240" w:lineRule="auto"/>
        <w:jc w:val="both"/>
        <w:rPr>
          <w:rFonts w:ascii="Arial" w:eastAsia="Calibri" w:hAnsi="Arial" w:cs="Arial"/>
          <w:sz w:val="20"/>
          <w:szCs w:val="20"/>
        </w:rPr>
      </w:pPr>
    </w:p>
    <w:p w14:paraId="758E178A" w14:textId="77777777" w:rsidR="00D3715E" w:rsidRPr="00D3715E" w:rsidRDefault="00D3715E" w:rsidP="00D3715E">
      <w:pPr>
        <w:autoSpaceDE w:val="0"/>
        <w:autoSpaceDN w:val="0"/>
        <w:adjustRightInd w:val="0"/>
        <w:spacing w:after="0" w:line="240" w:lineRule="auto"/>
        <w:jc w:val="both"/>
        <w:rPr>
          <w:rFonts w:ascii="Arial" w:eastAsia="Calibri" w:hAnsi="Arial" w:cs="Arial"/>
          <w:sz w:val="20"/>
          <w:szCs w:val="20"/>
        </w:rPr>
      </w:pPr>
      <w:bookmarkStart w:id="643" w:name="_Hlk64547285"/>
      <w:r w:rsidRPr="00D3715E">
        <w:rPr>
          <w:rFonts w:ascii="Arial" w:eastAsia="Calibri" w:hAnsi="Arial" w:cs="Arial"/>
          <w:sz w:val="20"/>
          <w:szCs w:val="20"/>
        </w:rPr>
        <w:t>Zaposlenicima se obračunava i isplaćuje plaća prema koeficijentima Muzeja i galerija Konavala za pripadajuća radna mjesta, a prema važećem Pravilniku o unutarnjem ustroju i načinu rada Muzeja i galerija Konavala. Uz plaću i pripadajuće doprinose isplaćuje se naknada topli obrok i naknada za prijevoz u visini cijene pokazne karte prema pravilniku Muzeja i galerija Konavala.</w:t>
      </w:r>
    </w:p>
    <w:p w14:paraId="6729F5C7" w14:textId="77777777" w:rsidR="00D3715E" w:rsidRPr="00D3715E" w:rsidRDefault="00D3715E" w:rsidP="00D3715E">
      <w:pPr>
        <w:autoSpaceDE w:val="0"/>
        <w:autoSpaceDN w:val="0"/>
        <w:adjustRightInd w:val="0"/>
        <w:spacing w:after="0" w:line="240" w:lineRule="auto"/>
        <w:jc w:val="both"/>
        <w:rPr>
          <w:rFonts w:ascii="Arial" w:eastAsia="Calibri" w:hAnsi="Arial" w:cs="Arial"/>
          <w:sz w:val="20"/>
          <w:szCs w:val="20"/>
        </w:rPr>
      </w:pPr>
    </w:p>
    <w:p w14:paraId="4FC6BBD1" w14:textId="1782CAEF" w:rsidR="00D3715E" w:rsidRDefault="00D3715E" w:rsidP="00D3715E">
      <w:pPr>
        <w:autoSpaceDE w:val="0"/>
        <w:autoSpaceDN w:val="0"/>
        <w:adjustRightInd w:val="0"/>
        <w:spacing w:after="0" w:line="240" w:lineRule="auto"/>
        <w:jc w:val="both"/>
        <w:rPr>
          <w:rFonts w:ascii="Arial" w:eastAsia="Calibri" w:hAnsi="Arial" w:cs="Arial"/>
          <w:sz w:val="20"/>
          <w:szCs w:val="20"/>
        </w:rPr>
      </w:pPr>
      <w:r w:rsidRPr="00D3715E">
        <w:rPr>
          <w:rFonts w:ascii="Arial" w:eastAsia="Calibri" w:hAnsi="Arial" w:cs="Arial"/>
          <w:sz w:val="20"/>
          <w:szCs w:val="20"/>
        </w:rPr>
        <w:t xml:space="preserve">U okviru aktivnosti A203101 evidentirani su rashodi za plaće (31) u iznosu od 412.539,49 </w:t>
      </w:r>
      <w:r>
        <w:rPr>
          <w:rFonts w:ascii="Arial" w:eastAsia="Calibri" w:hAnsi="Arial" w:cs="Arial"/>
          <w:sz w:val="20"/>
          <w:szCs w:val="20"/>
        </w:rPr>
        <w:t>€</w:t>
      </w:r>
      <w:r w:rsidRPr="00D3715E">
        <w:rPr>
          <w:rFonts w:ascii="Arial" w:eastAsia="Calibri" w:hAnsi="Arial" w:cs="Arial"/>
          <w:sz w:val="20"/>
          <w:szCs w:val="20"/>
        </w:rPr>
        <w:t xml:space="preserve"> (bruto plaće 332.753,05 </w:t>
      </w:r>
      <w:r>
        <w:rPr>
          <w:rFonts w:ascii="Arial" w:eastAsia="Calibri" w:hAnsi="Arial" w:cs="Arial"/>
          <w:sz w:val="20"/>
          <w:szCs w:val="20"/>
        </w:rPr>
        <w:t>€</w:t>
      </w:r>
      <w:r w:rsidRPr="00D3715E">
        <w:rPr>
          <w:rFonts w:ascii="Arial" w:eastAsia="Calibri" w:hAnsi="Arial" w:cs="Arial"/>
          <w:sz w:val="20"/>
          <w:szCs w:val="20"/>
        </w:rPr>
        <w:t xml:space="preserve">, doprinosi na plaće 54.785,44 </w:t>
      </w:r>
      <w:r>
        <w:rPr>
          <w:rFonts w:ascii="Arial" w:eastAsia="Calibri" w:hAnsi="Arial" w:cs="Arial"/>
          <w:sz w:val="20"/>
          <w:szCs w:val="20"/>
        </w:rPr>
        <w:t>€</w:t>
      </w:r>
      <w:r w:rsidRPr="00D3715E">
        <w:rPr>
          <w:rFonts w:ascii="Arial" w:eastAsia="Calibri" w:hAnsi="Arial" w:cs="Arial"/>
          <w:sz w:val="20"/>
          <w:szCs w:val="20"/>
        </w:rPr>
        <w:t xml:space="preserve">), ostali rashodi za zaposlene 25.000,00 </w:t>
      </w:r>
      <w:r>
        <w:rPr>
          <w:rFonts w:ascii="Arial" w:eastAsia="Calibri" w:hAnsi="Arial" w:cs="Arial"/>
          <w:sz w:val="20"/>
          <w:szCs w:val="20"/>
        </w:rPr>
        <w:t>€</w:t>
      </w:r>
      <w:r w:rsidRPr="00D3715E">
        <w:rPr>
          <w:rFonts w:ascii="Arial" w:eastAsia="Calibri" w:hAnsi="Arial" w:cs="Arial"/>
          <w:sz w:val="20"/>
          <w:szCs w:val="20"/>
        </w:rPr>
        <w:t xml:space="preserve"> za isplatu toplog obroka i neoporezive nagrade (uskrsnica, božićnica). Zatim (321) naknade troškova zaposlenima za troškove prijevoza na posao, edukacije i troškova službenih putovanja iznose 12.977,39 </w:t>
      </w:r>
      <w:r>
        <w:rPr>
          <w:rFonts w:ascii="Arial" w:eastAsia="Calibri" w:hAnsi="Arial" w:cs="Arial"/>
          <w:sz w:val="20"/>
          <w:szCs w:val="20"/>
        </w:rPr>
        <w:t>€</w:t>
      </w:r>
      <w:r w:rsidRPr="00D3715E">
        <w:rPr>
          <w:rFonts w:ascii="Arial" w:eastAsia="Calibri" w:hAnsi="Arial" w:cs="Arial"/>
          <w:sz w:val="20"/>
          <w:szCs w:val="20"/>
        </w:rPr>
        <w:t xml:space="preserve">, rashodi za materijal i energiju (322) iznose 16.119,86 </w:t>
      </w:r>
      <w:r>
        <w:rPr>
          <w:rFonts w:ascii="Arial" w:eastAsia="Calibri" w:hAnsi="Arial" w:cs="Arial"/>
          <w:sz w:val="20"/>
          <w:szCs w:val="20"/>
        </w:rPr>
        <w:t>€</w:t>
      </w:r>
      <w:r w:rsidRPr="00D3715E">
        <w:rPr>
          <w:rFonts w:ascii="Arial" w:eastAsia="Calibri" w:hAnsi="Arial" w:cs="Arial"/>
          <w:sz w:val="20"/>
          <w:szCs w:val="20"/>
        </w:rPr>
        <w:t xml:space="preserve"> (troškovi električne energije u Kući Bukovac, Zavičajnom muzeju Konavala i Odjelu arheologije u Pridvorju 11.167,19 </w:t>
      </w:r>
      <w:r>
        <w:rPr>
          <w:rFonts w:ascii="Arial" w:eastAsia="Calibri" w:hAnsi="Arial" w:cs="Arial"/>
          <w:sz w:val="20"/>
          <w:szCs w:val="20"/>
        </w:rPr>
        <w:t>€</w:t>
      </w:r>
      <w:r w:rsidRPr="00D3715E">
        <w:rPr>
          <w:rFonts w:ascii="Arial" w:eastAsia="Calibri" w:hAnsi="Arial" w:cs="Arial"/>
          <w:sz w:val="20"/>
          <w:szCs w:val="20"/>
        </w:rPr>
        <w:t xml:space="preserve">, te uredski materijal i drugi materijalni rashodi 4.794,69 </w:t>
      </w:r>
      <w:r>
        <w:rPr>
          <w:rFonts w:ascii="Arial" w:eastAsia="Calibri" w:hAnsi="Arial" w:cs="Arial"/>
          <w:sz w:val="20"/>
          <w:szCs w:val="20"/>
        </w:rPr>
        <w:t>€</w:t>
      </w:r>
      <w:r w:rsidRPr="00D3715E">
        <w:rPr>
          <w:rFonts w:ascii="Arial" w:eastAsia="Calibri" w:hAnsi="Arial" w:cs="Arial"/>
          <w:sz w:val="20"/>
          <w:szCs w:val="20"/>
        </w:rPr>
        <w:t xml:space="preserve">, sitni inventar 157,98 </w:t>
      </w:r>
      <w:r>
        <w:rPr>
          <w:rFonts w:ascii="Arial" w:eastAsia="Calibri" w:hAnsi="Arial" w:cs="Arial"/>
          <w:sz w:val="20"/>
          <w:szCs w:val="20"/>
        </w:rPr>
        <w:t>€</w:t>
      </w:r>
      <w:r w:rsidRPr="00D3715E">
        <w:rPr>
          <w:rFonts w:ascii="Arial" w:eastAsia="Calibri" w:hAnsi="Arial" w:cs="Arial"/>
          <w:sz w:val="20"/>
          <w:szCs w:val="20"/>
        </w:rPr>
        <w:t xml:space="preserve">. Rashodi za usluge (323)  iznose 47.454,34 </w:t>
      </w:r>
      <w:r>
        <w:rPr>
          <w:rFonts w:ascii="Arial" w:eastAsia="Calibri" w:hAnsi="Arial" w:cs="Arial"/>
          <w:sz w:val="20"/>
          <w:szCs w:val="20"/>
        </w:rPr>
        <w:t>€</w:t>
      </w:r>
      <w:r w:rsidRPr="00D3715E">
        <w:rPr>
          <w:rFonts w:ascii="Arial" w:eastAsia="Calibri" w:hAnsi="Arial" w:cs="Arial"/>
          <w:sz w:val="20"/>
          <w:szCs w:val="20"/>
        </w:rPr>
        <w:t xml:space="preserve"> (zaštitarske usluge 19.272,27 </w:t>
      </w:r>
      <w:r>
        <w:rPr>
          <w:rFonts w:ascii="Arial" w:eastAsia="Calibri" w:hAnsi="Arial" w:cs="Arial"/>
          <w:sz w:val="20"/>
          <w:szCs w:val="20"/>
        </w:rPr>
        <w:t>€</w:t>
      </w:r>
      <w:r w:rsidRPr="00D3715E">
        <w:rPr>
          <w:rFonts w:ascii="Arial" w:eastAsia="Calibri" w:hAnsi="Arial" w:cs="Arial"/>
          <w:sz w:val="20"/>
          <w:szCs w:val="20"/>
        </w:rPr>
        <w:t xml:space="preserve">, usluge pošte, telefona 6.631,99 </w:t>
      </w:r>
      <w:r>
        <w:rPr>
          <w:rFonts w:ascii="Arial" w:eastAsia="Calibri" w:hAnsi="Arial" w:cs="Arial"/>
          <w:sz w:val="20"/>
          <w:szCs w:val="20"/>
        </w:rPr>
        <w:t>€</w:t>
      </w:r>
      <w:r w:rsidRPr="00D3715E">
        <w:rPr>
          <w:rFonts w:ascii="Arial" w:eastAsia="Calibri" w:hAnsi="Arial" w:cs="Arial"/>
          <w:sz w:val="20"/>
          <w:szCs w:val="20"/>
        </w:rPr>
        <w:t xml:space="preserve">, usluge tekućeg i investicijskog održavanja objekata i računalne opreme i programskih rješenja 15.941,82 </w:t>
      </w:r>
      <w:r>
        <w:rPr>
          <w:rFonts w:ascii="Arial" w:eastAsia="Calibri" w:hAnsi="Arial" w:cs="Arial"/>
          <w:sz w:val="20"/>
          <w:szCs w:val="20"/>
        </w:rPr>
        <w:t>€</w:t>
      </w:r>
      <w:r w:rsidRPr="00D3715E">
        <w:rPr>
          <w:rFonts w:ascii="Arial" w:eastAsia="Calibri" w:hAnsi="Arial" w:cs="Arial"/>
          <w:sz w:val="20"/>
          <w:szCs w:val="20"/>
        </w:rPr>
        <w:t xml:space="preserve">, usluge promidžbe i informiranja 2.981,65 </w:t>
      </w:r>
      <w:r>
        <w:rPr>
          <w:rFonts w:ascii="Arial" w:eastAsia="Calibri" w:hAnsi="Arial" w:cs="Arial"/>
          <w:sz w:val="20"/>
          <w:szCs w:val="20"/>
        </w:rPr>
        <w:t>€</w:t>
      </w:r>
      <w:r w:rsidRPr="00D3715E">
        <w:rPr>
          <w:rFonts w:ascii="Arial" w:eastAsia="Calibri" w:hAnsi="Arial" w:cs="Arial"/>
          <w:sz w:val="20"/>
          <w:szCs w:val="20"/>
        </w:rPr>
        <w:t xml:space="preserve">, zaštita na radu 597,24 </w:t>
      </w:r>
      <w:r>
        <w:rPr>
          <w:rFonts w:ascii="Arial" w:eastAsia="Calibri" w:hAnsi="Arial" w:cs="Arial"/>
          <w:sz w:val="20"/>
          <w:szCs w:val="20"/>
        </w:rPr>
        <w:t>€</w:t>
      </w:r>
      <w:r w:rsidRPr="00D3715E">
        <w:rPr>
          <w:rFonts w:ascii="Arial" w:eastAsia="Calibri" w:hAnsi="Arial" w:cs="Arial"/>
          <w:sz w:val="20"/>
          <w:szCs w:val="20"/>
        </w:rPr>
        <w:t xml:space="preserve">, zdravstvene usluge 0, komunalne usluge 1.902,50 </w:t>
      </w:r>
      <w:r>
        <w:rPr>
          <w:rFonts w:ascii="Arial" w:eastAsia="Calibri" w:hAnsi="Arial" w:cs="Arial"/>
          <w:sz w:val="20"/>
          <w:szCs w:val="20"/>
        </w:rPr>
        <w:t>€</w:t>
      </w:r>
      <w:r w:rsidRPr="00D3715E">
        <w:rPr>
          <w:rFonts w:ascii="Arial" w:eastAsia="Calibri" w:hAnsi="Arial" w:cs="Arial"/>
          <w:sz w:val="20"/>
          <w:szCs w:val="20"/>
        </w:rPr>
        <w:t xml:space="preserve">, te druge usluge 126,87 </w:t>
      </w:r>
      <w:r>
        <w:rPr>
          <w:rFonts w:ascii="Arial" w:eastAsia="Calibri" w:hAnsi="Arial" w:cs="Arial"/>
          <w:sz w:val="20"/>
          <w:szCs w:val="20"/>
        </w:rPr>
        <w:t>€</w:t>
      </w:r>
      <w:r w:rsidRPr="00D3715E">
        <w:rPr>
          <w:rFonts w:ascii="Arial" w:eastAsia="Calibri" w:hAnsi="Arial" w:cs="Arial"/>
          <w:sz w:val="20"/>
          <w:szCs w:val="20"/>
        </w:rPr>
        <w:t xml:space="preserve">). Ostali nespomenuti rashodi poslovanja (329) iznose 11.851,01 </w:t>
      </w:r>
      <w:r>
        <w:rPr>
          <w:rFonts w:ascii="Arial" w:eastAsia="Calibri" w:hAnsi="Arial" w:cs="Arial"/>
          <w:sz w:val="20"/>
          <w:szCs w:val="20"/>
        </w:rPr>
        <w:t>€</w:t>
      </w:r>
      <w:r w:rsidRPr="00D3715E">
        <w:rPr>
          <w:rFonts w:ascii="Arial" w:eastAsia="Calibri" w:hAnsi="Arial" w:cs="Arial"/>
          <w:sz w:val="20"/>
          <w:szCs w:val="20"/>
        </w:rPr>
        <w:t xml:space="preserve"> što se odnosi na naknade za članove Upravnog vijeća 7.465,025 </w:t>
      </w:r>
      <w:r>
        <w:rPr>
          <w:rFonts w:ascii="Arial" w:eastAsia="Calibri" w:hAnsi="Arial" w:cs="Arial"/>
          <w:sz w:val="20"/>
          <w:szCs w:val="20"/>
        </w:rPr>
        <w:t>€</w:t>
      </w:r>
      <w:r w:rsidRPr="00D3715E">
        <w:rPr>
          <w:rFonts w:ascii="Arial" w:eastAsia="Calibri" w:hAnsi="Arial" w:cs="Arial"/>
          <w:sz w:val="20"/>
          <w:szCs w:val="20"/>
        </w:rPr>
        <w:t xml:space="preserve">,  premije osiguranja 3274.97 </w:t>
      </w:r>
      <w:r>
        <w:rPr>
          <w:rFonts w:ascii="Arial" w:eastAsia="Calibri" w:hAnsi="Arial" w:cs="Arial"/>
          <w:sz w:val="20"/>
          <w:szCs w:val="20"/>
        </w:rPr>
        <w:t>€</w:t>
      </w:r>
      <w:r w:rsidRPr="00D3715E">
        <w:rPr>
          <w:rFonts w:ascii="Arial" w:eastAsia="Calibri" w:hAnsi="Arial" w:cs="Arial"/>
          <w:sz w:val="20"/>
          <w:szCs w:val="20"/>
        </w:rPr>
        <w:t xml:space="preserve">, reprezentaciju 776,79 </w:t>
      </w:r>
      <w:r>
        <w:rPr>
          <w:rFonts w:ascii="Arial" w:eastAsia="Calibri" w:hAnsi="Arial" w:cs="Arial"/>
          <w:sz w:val="20"/>
          <w:szCs w:val="20"/>
        </w:rPr>
        <w:t>€</w:t>
      </w:r>
      <w:r w:rsidRPr="00D3715E">
        <w:rPr>
          <w:rFonts w:ascii="Arial" w:eastAsia="Calibri" w:hAnsi="Arial" w:cs="Arial"/>
          <w:sz w:val="20"/>
          <w:szCs w:val="20"/>
        </w:rPr>
        <w:t xml:space="preserve"> te financijske rashode (343) 260,79 </w:t>
      </w:r>
      <w:r>
        <w:rPr>
          <w:rFonts w:ascii="Arial" w:eastAsia="Calibri" w:hAnsi="Arial" w:cs="Arial"/>
          <w:sz w:val="20"/>
          <w:szCs w:val="20"/>
        </w:rPr>
        <w:t>€</w:t>
      </w:r>
      <w:r w:rsidRPr="00D3715E">
        <w:rPr>
          <w:rFonts w:ascii="Arial" w:eastAsia="Calibri" w:hAnsi="Arial" w:cs="Arial"/>
          <w:sz w:val="20"/>
          <w:szCs w:val="20"/>
        </w:rPr>
        <w:t xml:space="preserve">. Za nabavu opreme (422) utrošeno je 4.506,58 </w:t>
      </w:r>
      <w:r>
        <w:rPr>
          <w:rFonts w:ascii="Arial" w:eastAsia="Calibri" w:hAnsi="Arial" w:cs="Arial"/>
          <w:sz w:val="20"/>
          <w:szCs w:val="20"/>
        </w:rPr>
        <w:t>€</w:t>
      </w:r>
      <w:r w:rsidRPr="00D3715E">
        <w:rPr>
          <w:rFonts w:ascii="Arial" w:eastAsia="Calibri" w:hAnsi="Arial" w:cs="Arial"/>
          <w:sz w:val="20"/>
          <w:szCs w:val="20"/>
        </w:rPr>
        <w:t xml:space="preserve"> za jedan klimatizacijski uređaj i odvlaživač. </w:t>
      </w:r>
    </w:p>
    <w:p w14:paraId="299539C8" w14:textId="77777777" w:rsidR="00D3715E" w:rsidRPr="00D3715E" w:rsidRDefault="00D3715E" w:rsidP="00D3715E">
      <w:pPr>
        <w:autoSpaceDE w:val="0"/>
        <w:autoSpaceDN w:val="0"/>
        <w:adjustRightInd w:val="0"/>
        <w:spacing w:after="0" w:line="240" w:lineRule="auto"/>
        <w:jc w:val="both"/>
        <w:rPr>
          <w:rFonts w:ascii="Arial" w:eastAsia="Calibri" w:hAnsi="Arial" w:cs="Arial"/>
          <w:sz w:val="20"/>
          <w:szCs w:val="20"/>
        </w:rPr>
      </w:pPr>
    </w:p>
    <w:p w14:paraId="6BD6A0A5" w14:textId="6AEBA923" w:rsidR="0078123D" w:rsidRDefault="00D3715E" w:rsidP="00D3715E">
      <w:pPr>
        <w:autoSpaceDE w:val="0"/>
        <w:autoSpaceDN w:val="0"/>
        <w:adjustRightInd w:val="0"/>
        <w:spacing w:after="0" w:line="240" w:lineRule="auto"/>
        <w:jc w:val="both"/>
        <w:rPr>
          <w:rFonts w:ascii="Arial" w:eastAsia="Calibri" w:hAnsi="Arial" w:cs="Arial"/>
          <w:sz w:val="20"/>
          <w:szCs w:val="20"/>
        </w:rPr>
      </w:pPr>
      <w:r w:rsidRPr="00D3715E">
        <w:rPr>
          <w:rFonts w:ascii="Arial" w:eastAsia="Calibri" w:hAnsi="Arial" w:cs="Arial"/>
          <w:sz w:val="20"/>
          <w:szCs w:val="20"/>
        </w:rPr>
        <w:t>Muzeji i galerije Konavala posluju u svoje četiri jedinice: Zavičajni muzej Konavala, Čilipi; Kuća Bukovac, Cavtat; Odjel za arheologiju i spomeničku baštinu, Pridvorje, Odjel općih poslova, Gruda za koje se iskazuju rashodi za troškove električne energije, tekuće održavanje, komunalne naknade, premije osiguranja, troškovi održavanja sustava video nadzora i vatrodojave, troškove tehničke i integralne zaštite objekata.</w:t>
      </w:r>
    </w:p>
    <w:p w14:paraId="0B9284FB" w14:textId="77777777" w:rsidR="0024743F" w:rsidRPr="00F43FC2" w:rsidRDefault="0024743F" w:rsidP="0024743F">
      <w:pPr>
        <w:autoSpaceDE w:val="0"/>
        <w:autoSpaceDN w:val="0"/>
        <w:adjustRightInd w:val="0"/>
        <w:spacing w:after="0" w:line="240" w:lineRule="auto"/>
        <w:jc w:val="both"/>
        <w:rPr>
          <w:rFonts w:ascii="Arial" w:eastAsia="Calibri" w:hAnsi="Arial" w:cs="Arial"/>
          <w:sz w:val="20"/>
          <w:szCs w:val="20"/>
        </w:rPr>
      </w:pPr>
    </w:p>
    <w:tbl>
      <w:tblPr>
        <w:tblStyle w:val="Reetkatablice536"/>
        <w:tblW w:w="13067" w:type="dxa"/>
        <w:jc w:val="center"/>
        <w:tblLayout w:type="fixed"/>
        <w:tblLook w:val="04A0" w:firstRow="1" w:lastRow="0" w:firstColumn="1" w:lastColumn="0" w:noHBand="0" w:noVBand="1"/>
      </w:tblPr>
      <w:tblGrid>
        <w:gridCol w:w="3403"/>
        <w:gridCol w:w="2727"/>
        <w:gridCol w:w="983"/>
        <w:gridCol w:w="993"/>
        <w:gridCol w:w="992"/>
        <w:gridCol w:w="992"/>
        <w:gridCol w:w="992"/>
        <w:gridCol w:w="992"/>
        <w:gridCol w:w="993"/>
      </w:tblGrid>
      <w:tr w:rsidR="00D3715E" w:rsidRPr="0088195A" w14:paraId="6EDD2EC8" w14:textId="77777777" w:rsidTr="00EA587B">
        <w:trPr>
          <w:jc w:val="center"/>
        </w:trPr>
        <w:tc>
          <w:tcPr>
            <w:tcW w:w="340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3DDD38D" w14:textId="77777777" w:rsidR="00D3715E" w:rsidRPr="0088195A" w:rsidRDefault="00D3715E" w:rsidP="00D3715E">
            <w:pPr>
              <w:rPr>
                <w:rFonts w:ascii="Arial" w:eastAsia="Calibri" w:hAnsi="Arial" w:cs="Arial"/>
                <w:sz w:val="18"/>
                <w:szCs w:val="18"/>
              </w:rPr>
            </w:pPr>
            <w:r w:rsidRPr="0088195A">
              <w:rPr>
                <w:rFonts w:ascii="Arial" w:eastAsia="Calibri" w:hAnsi="Arial" w:cs="Arial"/>
                <w:sz w:val="18"/>
                <w:szCs w:val="18"/>
              </w:rPr>
              <w:t>Pokazatelj uspješnosti</w:t>
            </w:r>
          </w:p>
        </w:tc>
        <w:tc>
          <w:tcPr>
            <w:tcW w:w="2727"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0099A92" w14:textId="77777777" w:rsidR="00D3715E" w:rsidRPr="0088195A" w:rsidRDefault="00D3715E" w:rsidP="00D3715E">
            <w:pPr>
              <w:rPr>
                <w:rFonts w:ascii="Arial" w:eastAsia="Calibri" w:hAnsi="Arial" w:cs="Arial"/>
                <w:sz w:val="18"/>
                <w:szCs w:val="18"/>
              </w:rPr>
            </w:pPr>
            <w:r w:rsidRPr="0088195A">
              <w:rPr>
                <w:rFonts w:ascii="Arial" w:eastAsia="Calibri" w:hAnsi="Arial" w:cs="Arial"/>
                <w:sz w:val="18"/>
                <w:szCs w:val="18"/>
              </w:rPr>
              <w:t>Definicija</w:t>
            </w:r>
          </w:p>
        </w:tc>
        <w:tc>
          <w:tcPr>
            <w:tcW w:w="98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B7B9E6A" w14:textId="77777777" w:rsidR="00D3715E" w:rsidRPr="0088195A" w:rsidRDefault="00D3715E" w:rsidP="00D3715E">
            <w:pPr>
              <w:rPr>
                <w:rFonts w:ascii="Arial" w:eastAsia="Calibri" w:hAnsi="Arial" w:cs="Arial"/>
                <w:sz w:val="18"/>
                <w:szCs w:val="18"/>
              </w:rPr>
            </w:pPr>
            <w:r w:rsidRPr="0088195A">
              <w:rPr>
                <w:rFonts w:ascii="Arial" w:eastAsia="Calibri" w:hAnsi="Arial" w:cs="Arial"/>
                <w:sz w:val="18"/>
                <w:szCs w:val="18"/>
              </w:rPr>
              <w:t>Jedinica</w:t>
            </w:r>
          </w:p>
        </w:tc>
        <w:tc>
          <w:tcPr>
            <w:tcW w:w="9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0793E5F" w14:textId="38D404D6" w:rsidR="00D3715E" w:rsidRPr="0088195A" w:rsidRDefault="00D3715E" w:rsidP="00D3715E">
            <w:pPr>
              <w:rPr>
                <w:rFonts w:ascii="Arial" w:eastAsia="Calibri" w:hAnsi="Arial" w:cs="Arial"/>
                <w:sz w:val="18"/>
                <w:szCs w:val="18"/>
              </w:rPr>
            </w:pPr>
            <w:r w:rsidRPr="0088195A">
              <w:rPr>
                <w:rFonts w:ascii="Arial" w:eastAsia="Calibri" w:hAnsi="Arial" w:cs="Arial"/>
                <w:sz w:val="18"/>
                <w:szCs w:val="18"/>
              </w:rPr>
              <w:t>Polazna vrijednost 202</w:t>
            </w:r>
            <w:r>
              <w:rPr>
                <w:rFonts w:ascii="Arial" w:eastAsia="Calibri" w:hAnsi="Arial" w:cs="Arial"/>
                <w:sz w:val="18"/>
                <w:szCs w:val="18"/>
              </w:rPr>
              <w:t>4</w:t>
            </w:r>
            <w:r w:rsidRPr="0088195A">
              <w:rPr>
                <w:rFonts w:ascii="Arial" w:eastAsia="Calibri" w:hAnsi="Arial" w:cs="Arial"/>
                <w:sz w:val="18"/>
                <w:szCs w:val="18"/>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14:paraId="365A91A3" w14:textId="77777777" w:rsidR="00D3715E" w:rsidRPr="00613003" w:rsidRDefault="00D3715E" w:rsidP="00D3715E">
            <w:pPr>
              <w:rPr>
                <w:rFonts w:ascii="Arial" w:eastAsia="Calibri" w:hAnsi="Arial" w:cs="Arial"/>
                <w:sz w:val="18"/>
                <w:szCs w:val="18"/>
              </w:rPr>
            </w:pPr>
            <w:r w:rsidRPr="00613003">
              <w:rPr>
                <w:rFonts w:ascii="Arial" w:hAnsi="Arial" w:cs="Arial"/>
                <w:sz w:val="18"/>
                <w:szCs w:val="18"/>
              </w:rPr>
              <w:t>Izvor podataka</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B91ECDC" w14:textId="13CE4D1A" w:rsidR="00D3715E" w:rsidRPr="0088195A" w:rsidRDefault="00D3715E" w:rsidP="00D3715E">
            <w:pPr>
              <w:rPr>
                <w:rFonts w:ascii="Arial" w:eastAsia="Calibri" w:hAnsi="Arial" w:cs="Arial"/>
                <w:sz w:val="18"/>
                <w:szCs w:val="18"/>
              </w:rPr>
            </w:pPr>
            <w:r w:rsidRPr="00C765CF">
              <w:rPr>
                <w:rFonts w:asciiTheme="minorHAnsi" w:eastAsia="Calibri" w:hAnsiTheme="minorHAnsi" w:cstheme="minorHAnsi"/>
                <w:sz w:val="18"/>
                <w:szCs w:val="18"/>
              </w:rPr>
              <w:t>Ciljana vrijednost 202</w:t>
            </w:r>
            <w:r>
              <w:rPr>
                <w:rFonts w:asciiTheme="minorHAnsi" w:eastAsia="Calibri" w:hAnsiTheme="minorHAnsi" w:cstheme="minorHAnsi"/>
                <w:sz w:val="18"/>
                <w:szCs w:val="18"/>
              </w:rPr>
              <w:t>5</w:t>
            </w:r>
            <w:r w:rsidRPr="00C765CF">
              <w:rPr>
                <w:rFonts w:asciiTheme="minorHAnsi" w:eastAsia="Calibri" w:hAnsiTheme="minorHAnsi" w:cstheme="minorHAnsi"/>
                <w:sz w:val="18"/>
                <w:szCs w:val="18"/>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C708B2D" w14:textId="77777777" w:rsidR="00D3715E" w:rsidRPr="00C765CF" w:rsidRDefault="00D3715E" w:rsidP="00D3715E">
            <w:pPr>
              <w:rPr>
                <w:rFonts w:asciiTheme="minorHAnsi" w:eastAsia="Calibri" w:hAnsiTheme="minorHAnsi" w:cstheme="minorHAnsi"/>
                <w:sz w:val="18"/>
                <w:szCs w:val="18"/>
              </w:rPr>
            </w:pPr>
            <w:r w:rsidRPr="00C765CF">
              <w:rPr>
                <w:rFonts w:asciiTheme="minorHAnsi" w:eastAsia="Calibri" w:hAnsiTheme="minorHAnsi" w:cstheme="minorHAnsi"/>
                <w:sz w:val="18"/>
                <w:szCs w:val="18"/>
              </w:rPr>
              <w:t xml:space="preserve">Izvršeno       </w:t>
            </w:r>
          </w:p>
          <w:p w14:paraId="3498280C" w14:textId="77777777" w:rsidR="00D3715E" w:rsidRPr="00C765CF" w:rsidRDefault="00D3715E" w:rsidP="00D3715E">
            <w:pPr>
              <w:rPr>
                <w:rFonts w:asciiTheme="minorHAnsi" w:eastAsia="Calibri" w:hAnsiTheme="minorHAnsi" w:cstheme="minorHAnsi"/>
                <w:sz w:val="18"/>
                <w:szCs w:val="18"/>
              </w:rPr>
            </w:pPr>
            <w:r w:rsidRPr="00C765CF">
              <w:rPr>
                <w:rFonts w:asciiTheme="minorHAnsi" w:eastAsia="Calibri" w:hAnsiTheme="minorHAnsi" w:cstheme="minorHAnsi"/>
                <w:sz w:val="18"/>
                <w:szCs w:val="18"/>
              </w:rPr>
              <w:t>202</w:t>
            </w:r>
            <w:r>
              <w:rPr>
                <w:rFonts w:asciiTheme="minorHAnsi" w:eastAsia="Calibri" w:hAnsiTheme="minorHAnsi" w:cstheme="minorHAnsi"/>
                <w:sz w:val="18"/>
                <w:szCs w:val="18"/>
              </w:rPr>
              <w:t>5</w:t>
            </w:r>
            <w:r w:rsidRPr="00C765CF">
              <w:rPr>
                <w:rFonts w:asciiTheme="minorHAnsi" w:eastAsia="Calibri" w:hAnsiTheme="minorHAnsi" w:cstheme="minorHAnsi"/>
                <w:sz w:val="18"/>
                <w:szCs w:val="18"/>
              </w:rPr>
              <w:t xml:space="preserve">. </w:t>
            </w:r>
          </w:p>
          <w:p w14:paraId="699DDC68" w14:textId="77777777" w:rsidR="00D3715E" w:rsidRPr="0088195A" w:rsidRDefault="00D3715E" w:rsidP="00D3715E">
            <w:pPr>
              <w:rPr>
                <w:rFonts w:ascii="Arial" w:eastAsia="Calibri" w:hAnsi="Arial" w:cs="Arial"/>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81D6CB4" w14:textId="131042F7" w:rsidR="00D3715E" w:rsidRPr="0088195A" w:rsidRDefault="00D3715E" w:rsidP="00D3715E">
            <w:pPr>
              <w:rPr>
                <w:rFonts w:ascii="Arial" w:eastAsia="Calibri" w:hAnsi="Arial" w:cs="Arial"/>
                <w:sz w:val="18"/>
                <w:szCs w:val="18"/>
              </w:rPr>
            </w:pPr>
            <w:r w:rsidRPr="00C765CF">
              <w:rPr>
                <w:rFonts w:asciiTheme="minorHAnsi" w:eastAsia="Calibri" w:hAnsiTheme="minorHAnsi" w:cstheme="minorHAnsi"/>
                <w:sz w:val="18"/>
                <w:szCs w:val="18"/>
              </w:rPr>
              <w:t>Ciljana vrijednost 202</w:t>
            </w:r>
            <w:r>
              <w:rPr>
                <w:rFonts w:asciiTheme="minorHAnsi" w:eastAsia="Calibri" w:hAnsiTheme="minorHAnsi" w:cstheme="minorHAnsi"/>
                <w:sz w:val="18"/>
                <w:szCs w:val="18"/>
              </w:rPr>
              <w:t>6</w:t>
            </w:r>
            <w:r w:rsidRPr="00C765CF">
              <w:rPr>
                <w:rFonts w:asciiTheme="minorHAnsi" w:eastAsia="Calibri" w:hAnsiTheme="minorHAnsi" w:cstheme="minorHAnsi"/>
                <w:sz w:val="18"/>
                <w:szCs w:val="18"/>
              </w:rPr>
              <w:t>.</w:t>
            </w:r>
          </w:p>
        </w:tc>
        <w:tc>
          <w:tcPr>
            <w:tcW w:w="9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BE016F2" w14:textId="1330D6EA" w:rsidR="00D3715E" w:rsidRPr="0088195A" w:rsidRDefault="00D3715E" w:rsidP="00D3715E">
            <w:pPr>
              <w:rPr>
                <w:rFonts w:ascii="Arial" w:eastAsia="Calibri" w:hAnsi="Arial" w:cs="Arial"/>
                <w:sz w:val="18"/>
                <w:szCs w:val="18"/>
              </w:rPr>
            </w:pPr>
            <w:r w:rsidRPr="00C765CF">
              <w:rPr>
                <w:rFonts w:asciiTheme="minorHAnsi" w:eastAsia="Calibri" w:hAnsiTheme="minorHAnsi" w:cstheme="minorHAnsi"/>
                <w:sz w:val="18"/>
                <w:szCs w:val="18"/>
              </w:rPr>
              <w:t>Ciljana vrijednost 202</w:t>
            </w:r>
            <w:r>
              <w:rPr>
                <w:rFonts w:asciiTheme="minorHAnsi" w:eastAsia="Calibri" w:hAnsiTheme="minorHAnsi" w:cstheme="minorHAnsi"/>
                <w:sz w:val="18"/>
                <w:szCs w:val="18"/>
              </w:rPr>
              <w:t>7</w:t>
            </w:r>
            <w:r w:rsidRPr="00C765CF">
              <w:rPr>
                <w:rFonts w:asciiTheme="minorHAnsi" w:eastAsia="Calibri" w:hAnsiTheme="minorHAnsi" w:cstheme="minorHAnsi"/>
                <w:sz w:val="18"/>
                <w:szCs w:val="18"/>
              </w:rPr>
              <w:t>.</w:t>
            </w:r>
          </w:p>
        </w:tc>
      </w:tr>
      <w:tr w:rsidR="00D3715E" w:rsidRPr="0088195A" w14:paraId="4C7327FA" w14:textId="77777777" w:rsidTr="00EA587B">
        <w:trPr>
          <w:trHeight w:val="274"/>
          <w:jc w:val="center"/>
        </w:trPr>
        <w:tc>
          <w:tcPr>
            <w:tcW w:w="3403" w:type="dxa"/>
            <w:tcBorders>
              <w:top w:val="single" w:sz="4" w:space="0" w:color="auto"/>
              <w:left w:val="single" w:sz="4" w:space="0" w:color="auto"/>
              <w:bottom w:val="single" w:sz="4" w:space="0" w:color="auto"/>
              <w:right w:val="single" w:sz="4" w:space="0" w:color="auto"/>
            </w:tcBorders>
            <w:hideMark/>
          </w:tcPr>
          <w:p w14:paraId="3658ABF0" w14:textId="77777777" w:rsidR="00D3715E" w:rsidRPr="0088195A" w:rsidRDefault="00D3715E" w:rsidP="00D3715E">
            <w:pPr>
              <w:rPr>
                <w:rFonts w:ascii="Arial" w:eastAsia="Calibri" w:hAnsi="Arial" w:cs="Arial"/>
                <w:sz w:val="18"/>
                <w:szCs w:val="18"/>
              </w:rPr>
            </w:pPr>
            <w:r w:rsidRPr="0088195A">
              <w:rPr>
                <w:rFonts w:ascii="Arial" w:eastAsia="Calibri" w:hAnsi="Arial" w:cs="Arial"/>
                <w:sz w:val="18"/>
                <w:szCs w:val="18"/>
              </w:rPr>
              <w:t>Izvršavanje poslova iz djelokruga rada, redovito podmirivanje obveza prema dobavljačima i zaposlenicima iz sredstava osnivača</w:t>
            </w:r>
          </w:p>
        </w:tc>
        <w:tc>
          <w:tcPr>
            <w:tcW w:w="2727" w:type="dxa"/>
            <w:tcBorders>
              <w:top w:val="single" w:sz="4" w:space="0" w:color="auto"/>
              <w:left w:val="single" w:sz="4" w:space="0" w:color="auto"/>
              <w:bottom w:val="single" w:sz="4" w:space="0" w:color="auto"/>
              <w:right w:val="single" w:sz="4" w:space="0" w:color="auto"/>
            </w:tcBorders>
            <w:hideMark/>
          </w:tcPr>
          <w:p w14:paraId="02C8E4A4" w14:textId="77777777" w:rsidR="00D3715E" w:rsidRPr="0088195A" w:rsidRDefault="00D3715E" w:rsidP="00D3715E">
            <w:pPr>
              <w:autoSpaceDE w:val="0"/>
              <w:autoSpaceDN w:val="0"/>
              <w:adjustRightInd w:val="0"/>
              <w:rPr>
                <w:rFonts w:ascii="Arial" w:eastAsia="Calibri" w:hAnsi="Arial" w:cs="Arial"/>
                <w:sz w:val="18"/>
                <w:szCs w:val="18"/>
              </w:rPr>
            </w:pPr>
            <w:r w:rsidRPr="0088195A">
              <w:rPr>
                <w:rFonts w:ascii="Arial" w:eastAsia="Calibri" w:hAnsi="Arial" w:cs="Arial"/>
                <w:sz w:val="18"/>
                <w:szCs w:val="18"/>
              </w:rPr>
              <w:t>Pravovremeno podmirivanje tekućih troškova poslovanja;</w:t>
            </w:r>
          </w:p>
          <w:p w14:paraId="6FF821DF" w14:textId="77777777" w:rsidR="00D3715E" w:rsidRPr="0088195A" w:rsidRDefault="00D3715E" w:rsidP="00D3715E">
            <w:pPr>
              <w:rPr>
                <w:rFonts w:ascii="Arial" w:eastAsia="Calibri" w:hAnsi="Arial" w:cs="Arial"/>
                <w:sz w:val="18"/>
                <w:szCs w:val="18"/>
              </w:rPr>
            </w:pPr>
            <w:r w:rsidRPr="0088195A">
              <w:rPr>
                <w:rFonts w:ascii="Arial" w:eastAsia="Calibri" w:hAnsi="Arial" w:cs="Arial"/>
                <w:sz w:val="18"/>
                <w:szCs w:val="18"/>
              </w:rPr>
              <w:t>redovita isplata plaća i drugih naknada</w:t>
            </w:r>
          </w:p>
        </w:tc>
        <w:tc>
          <w:tcPr>
            <w:tcW w:w="983" w:type="dxa"/>
            <w:tcBorders>
              <w:top w:val="single" w:sz="4" w:space="0" w:color="auto"/>
              <w:left w:val="single" w:sz="4" w:space="0" w:color="auto"/>
              <w:bottom w:val="single" w:sz="4" w:space="0" w:color="auto"/>
              <w:right w:val="single" w:sz="4" w:space="0" w:color="auto"/>
            </w:tcBorders>
            <w:vAlign w:val="center"/>
            <w:hideMark/>
          </w:tcPr>
          <w:p w14:paraId="1D384DFE" w14:textId="77777777" w:rsidR="00D3715E" w:rsidRPr="0088195A" w:rsidRDefault="00D3715E" w:rsidP="00D3715E">
            <w:pPr>
              <w:jc w:val="center"/>
              <w:rPr>
                <w:rFonts w:ascii="Arial" w:eastAsia="Calibri" w:hAnsi="Arial" w:cs="Arial"/>
                <w:sz w:val="18"/>
                <w:szCs w:val="18"/>
              </w:rPr>
            </w:pPr>
            <w:r w:rsidRPr="0088195A">
              <w:rPr>
                <w:rFonts w:ascii="Arial" w:eastAsia="Calibri" w:hAnsi="Arial" w:cs="Arial"/>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1414DBEC" w14:textId="6775CAFA" w:rsidR="00D3715E" w:rsidRPr="0088195A" w:rsidRDefault="00D3715E" w:rsidP="00D3715E">
            <w:pPr>
              <w:jc w:val="center"/>
              <w:rPr>
                <w:rFonts w:ascii="Arial" w:eastAsia="Calibri" w:hAnsi="Arial" w:cs="Arial"/>
                <w:sz w:val="18"/>
                <w:szCs w:val="18"/>
              </w:rPr>
            </w:pPr>
            <w:r>
              <w:rPr>
                <w:rFonts w:ascii="Arial" w:eastAsia="Calibri" w:hAnsi="Arial" w:cs="Arial"/>
                <w:sz w:val="18"/>
                <w:szCs w:val="18"/>
              </w:rPr>
              <w:t>91,6 %</w:t>
            </w:r>
          </w:p>
        </w:tc>
        <w:tc>
          <w:tcPr>
            <w:tcW w:w="992" w:type="dxa"/>
            <w:tcBorders>
              <w:top w:val="single" w:sz="4" w:space="0" w:color="000000"/>
              <w:left w:val="single" w:sz="4" w:space="0" w:color="000000"/>
              <w:bottom w:val="single" w:sz="4" w:space="0" w:color="000000"/>
              <w:right w:val="single" w:sz="4" w:space="0" w:color="000000"/>
            </w:tcBorders>
          </w:tcPr>
          <w:p w14:paraId="5C4D3FC6" w14:textId="77777777" w:rsidR="00D3715E" w:rsidRPr="00613003" w:rsidRDefault="00D3715E" w:rsidP="00D3715E">
            <w:pPr>
              <w:jc w:val="center"/>
              <w:rPr>
                <w:rFonts w:ascii="Arial" w:eastAsia="Calibri" w:hAnsi="Arial" w:cs="Arial"/>
                <w:sz w:val="18"/>
                <w:szCs w:val="18"/>
              </w:rPr>
            </w:pPr>
            <w:r w:rsidRPr="00613003">
              <w:rPr>
                <w:rFonts w:ascii="Arial" w:hAnsi="Arial" w:cs="Arial"/>
                <w:sz w:val="18"/>
                <w:szCs w:val="18"/>
              </w:rPr>
              <w:t>Muzeji i galerije Konavala</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A9480D3" w14:textId="5AB12EAF" w:rsidR="00D3715E" w:rsidRPr="0088195A" w:rsidRDefault="00D3715E" w:rsidP="00D3715E">
            <w:pPr>
              <w:jc w:val="center"/>
              <w:rPr>
                <w:rFonts w:ascii="Arial" w:eastAsia="Calibri" w:hAnsi="Arial" w:cs="Arial"/>
                <w:sz w:val="18"/>
                <w:szCs w:val="18"/>
              </w:rPr>
            </w:pPr>
            <w:r w:rsidRPr="00C765CF">
              <w:rPr>
                <w:rFonts w:asciiTheme="minorHAnsi" w:eastAsia="Calibri" w:hAnsiTheme="minorHAnsi" w:cstheme="minorHAnsi"/>
                <w:sz w:val="18"/>
                <w:szCs w:val="18"/>
              </w:rPr>
              <w:t>93%</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E1ED5B9" w14:textId="1E97D220" w:rsidR="00D3715E" w:rsidRPr="0088195A" w:rsidRDefault="00D3715E" w:rsidP="00D3715E">
            <w:pPr>
              <w:jc w:val="center"/>
              <w:rPr>
                <w:rFonts w:ascii="Arial" w:eastAsia="Calibri" w:hAnsi="Arial" w:cs="Arial"/>
                <w:sz w:val="18"/>
                <w:szCs w:val="18"/>
              </w:rPr>
            </w:pPr>
            <w:r>
              <w:rPr>
                <w:rFonts w:asciiTheme="minorHAnsi" w:eastAsia="Calibri" w:hAnsiTheme="minorHAnsi" w:cstheme="minorHAnsi"/>
                <w:sz w:val="18"/>
                <w:szCs w:val="18"/>
              </w:rPr>
              <w:t>93,62</w:t>
            </w:r>
            <w:r w:rsidRPr="00C765CF">
              <w:rPr>
                <w:rFonts w:asciiTheme="minorHAnsi" w:eastAsia="Calibri" w:hAnsiTheme="minorHAnsi" w:cstheme="minorHAnsi"/>
                <w:sz w:val="18"/>
                <w:szCs w:val="18"/>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FFA0775" w14:textId="55A897E8" w:rsidR="00D3715E" w:rsidRPr="0088195A" w:rsidRDefault="00D3715E" w:rsidP="00D3715E">
            <w:pPr>
              <w:jc w:val="center"/>
              <w:rPr>
                <w:rFonts w:ascii="Arial" w:eastAsia="Calibri" w:hAnsi="Arial" w:cs="Arial"/>
                <w:sz w:val="18"/>
                <w:szCs w:val="18"/>
              </w:rPr>
            </w:pPr>
            <w:r w:rsidRPr="00C765CF">
              <w:rPr>
                <w:rFonts w:asciiTheme="minorHAnsi" w:eastAsia="Calibri" w:hAnsiTheme="minorHAnsi" w:cstheme="minorHAnsi"/>
                <w:sz w:val="18"/>
                <w:szCs w:val="18"/>
              </w:rPr>
              <w:t>93%</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5FCC08A" w14:textId="6E2731E1" w:rsidR="00D3715E" w:rsidRPr="0088195A" w:rsidRDefault="00D3715E" w:rsidP="00D3715E">
            <w:pPr>
              <w:jc w:val="center"/>
              <w:rPr>
                <w:rFonts w:ascii="Arial" w:eastAsia="Calibri" w:hAnsi="Arial" w:cs="Arial"/>
                <w:sz w:val="18"/>
                <w:szCs w:val="18"/>
              </w:rPr>
            </w:pPr>
            <w:r w:rsidRPr="00C765CF">
              <w:rPr>
                <w:rFonts w:asciiTheme="minorHAnsi" w:eastAsia="Calibri" w:hAnsiTheme="minorHAnsi" w:cstheme="minorHAnsi"/>
                <w:sz w:val="18"/>
                <w:szCs w:val="18"/>
              </w:rPr>
              <w:t>93%</w:t>
            </w:r>
          </w:p>
        </w:tc>
      </w:tr>
    </w:tbl>
    <w:p w14:paraId="6BB34C09" w14:textId="07F825BA" w:rsidR="0078123D" w:rsidRPr="0078123D" w:rsidRDefault="00BC3775" w:rsidP="00D964AC">
      <w:pPr>
        <w:spacing w:after="0" w:line="240" w:lineRule="auto"/>
        <w:jc w:val="both"/>
        <w:rPr>
          <w:rFonts w:ascii="Arial" w:eastAsia="Calibri" w:hAnsi="Arial" w:cs="Arial"/>
          <w:sz w:val="20"/>
          <w:szCs w:val="20"/>
        </w:rPr>
      </w:pPr>
      <w:r w:rsidRPr="00BC3775">
        <w:rPr>
          <w:rFonts w:ascii="Arial" w:eastAsia="Calibri" w:hAnsi="Arial" w:cs="Arial"/>
          <w:bCs/>
          <w:sz w:val="18"/>
          <w:szCs w:val="18"/>
        </w:rPr>
        <w:t>OPIS: Nepodmirene obveze na dan 30. 06. 2025. godine se odnose na troškovi plaće i režijske troškove za  lipanj 2025. godine  koji su podmireni u srpnju 2025. godine.</w:t>
      </w:r>
    </w:p>
    <w:bookmarkEnd w:id="643"/>
    <w:p w14:paraId="11AF7069" w14:textId="77777777" w:rsidR="00BC3775" w:rsidRDefault="00BC3775" w:rsidP="002345D8">
      <w:pPr>
        <w:spacing w:after="0" w:line="240" w:lineRule="auto"/>
        <w:jc w:val="both"/>
        <w:rPr>
          <w:rFonts w:ascii="Arial" w:eastAsia="Calibri" w:hAnsi="Arial" w:cs="Arial"/>
          <w:b/>
          <w:sz w:val="20"/>
          <w:szCs w:val="20"/>
        </w:rPr>
      </w:pPr>
    </w:p>
    <w:p w14:paraId="111C722E" w14:textId="55CC1787" w:rsidR="003D7373" w:rsidRPr="0078123D" w:rsidRDefault="003D7373" w:rsidP="002345D8">
      <w:pPr>
        <w:spacing w:after="0" w:line="240" w:lineRule="auto"/>
        <w:jc w:val="both"/>
        <w:rPr>
          <w:rFonts w:ascii="Arial" w:eastAsia="Times New Roman" w:hAnsi="Arial" w:cs="Arial"/>
          <w:bCs/>
          <w:sz w:val="20"/>
          <w:szCs w:val="20"/>
        </w:rPr>
      </w:pPr>
      <w:r w:rsidRPr="0078123D">
        <w:rPr>
          <w:rFonts w:ascii="Arial" w:eastAsia="Calibri" w:hAnsi="Arial" w:cs="Arial"/>
          <w:b/>
          <w:sz w:val="20"/>
          <w:szCs w:val="20"/>
        </w:rPr>
        <w:t xml:space="preserve">2. K203102: Nabava umjetničkih vrijednosti </w:t>
      </w:r>
      <w:r w:rsidR="002345D8" w:rsidRPr="0078123D">
        <w:rPr>
          <w:rFonts w:ascii="Arial" w:eastAsia="Calibri" w:hAnsi="Arial" w:cs="Arial"/>
          <w:b/>
          <w:sz w:val="20"/>
          <w:szCs w:val="20"/>
        </w:rPr>
        <w:t xml:space="preserve">- </w:t>
      </w:r>
    </w:p>
    <w:p w14:paraId="3BEEA559" w14:textId="77777777" w:rsidR="003D7373" w:rsidRPr="00D3715E" w:rsidRDefault="003D7373" w:rsidP="00D3715E">
      <w:pPr>
        <w:spacing w:after="0" w:line="240" w:lineRule="auto"/>
        <w:jc w:val="both"/>
        <w:rPr>
          <w:rFonts w:ascii="Arial" w:eastAsia="Calibri" w:hAnsi="Arial" w:cs="Arial"/>
          <w:sz w:val="20"/>
          <w:szCs w:val="20"/>
        </w:rPr>
      </w:pPr>
    </w:p>
    <w:p w14:paraId="3D8B664A" w14:textId="40CBEA34" w:rsidR="00D3715E" w:rsidRPr="00054788" w:rsidRDefault="00D3715E" w:rsidP="00D3715E">
      <w:pPr>
        <w:spacing w:after="0" w:line="240" w:lineRule="auto"/>
        <w:jc w:val="both"/>
        <w:rPr>
          <w:rFonts w:ascii="Arial" w:eastAsia="Times New Roman" w:hAnsi="Arial" w:cs="Arial"/>
          <w:sz w:val="20"/>
          <w:szCs w:val="20"/>
        </w:rPr>
      </w:pPr>
      <w:r w:rsidRPr="00054788">
        <w:rPr>
          <w:rFonts w:ascii="Arial" w:eastAsia="Times New Roman" w:hAnsi="Arial" w:cs="Arial"/>
          <w:sz w:val="20"/>
          <w:szCs w:val="20"/>
        </w:rPr>
        <w:t>Prema Zakonu o muzejima, u osnovnu djelatnost muzeja spada prikupljanje, obrada i prezentacija muzejske građe, koju muzej može stjecati otkupom, darovima ili istraživanjima na terenu. U sklopu navedenih aktivnosti planirani su rashodi za otkup muzejskih predmeta u iznosu od 31.797,00 €.</w:t>
      </w:r>
    </w:p>
    <w:p w14:paraId="27DFFA9A" w14:textId="054F8C50" w:rsidR="00D3715E" w:rsidRPr="00054788" w:rsidRDefault="00D3715E" w:rsidP="00D3715E">
      <w:pPr>
        <w:spacing w:after="0" w:line="240" w:lineRule="auto"/>
        <w:jc w:val="both"/>
        <w:rPr>
          <w:rFonts w:ascii="Arial" w:eastAsia="Times New Roman" w:hAnsi="Arial" w:cs="Arial"/>
          <w:sz w:val="20"/>
          <w:szCs w:val="20"/>
        </w:rPr>
      </w:pPr>
      <w:r w:rsidRPr="00054788">
        <w:rPr>
          <w:rFonts w:ascii="Arial" w:eastAsia="Times New Roman" w:hAnsi="Arial" w:cs="Arial"/>
          <w:sz w:val="20"/>
          <w:szCs w:val="20"/>
        </w:rPr>
        <w:t xml:space="preserve">Tijekom 2025. godine utrošeno je ukupno 22.680,00 €, i to za otkup muzejske građe odnosno arhivske dokumentacije vezane za život Vlaha Bukovca u iznosu od 1880 , etnografske građe u iznosu od 2.500 € (mrki vez, čermica zlatovez, zlatača), za otkup umjetničke slike Vlaha Bukovca </w:t>
      </w:r>
      <w:r w:rsidRPr="00054788">
        <w:rPr>
          <w:rFonts w:ascii="Arial" w:eastAsia="Times New Roman" w:hAnsi="Arial" w:cs="Arial"/>
          <w:i/>
          <w:iCs/>
          <w:sz w:val="20"/>
          <w:szCs w:val="20"/>
        </w:rPr>
        <w:t>Studija figure slikara – Alegorija umjetnosti II</w:t>
      </w:r>
      <w:r w:rsidRPr="00054788">
        <w:rPr>
          <w:rFonts w:ascii="Arial" w:eastAsia="Times New Roman" w:hAnsi="Arial" w:cs="Arial"/>
          <w:sz w:val="20"/>
          <w:szCs w:val="20"/>
        </w:rPr>
        <w:t xml:space="preserve"> u iznosu od 18.300,00 €.</w:t>
      </w:r>
    </w:p>
    <w:p w14:paraId="04571153" w14:textId="77777777" w:rsidR="00EF6CFC" w:rsidRPr="00D3715E" w:rsidRDefault="00EF6CFC" w:rsidP="00D3715E">
      <w:pPr>
        <w:spacing w:after="0" w:line="240" w:lineRule="auto"/>
        <w:jc w:val="both"/>
        <w:rPr>
          <w:rFonts w:ascii="Arial" w:eastAsia="Calibri" w:hAnsi="Arial" w:cs="Arial"/>
          <w:sz w:val="20"/>
          <w:szCs w:val="20"/>
        </w:rPr>
      </w:pPr>
    </w:p>
    <w:p w14:paraId="152C741A" w14:textId="40AAD9BF" w:rsidR="0078123D" w:rsidRPr="0078123D" w:rsidRDefault="0078123D" w:rsidP="0078123D">
      <w:pPr>
        <w:spacing w:after="0" w:line="240" w:lineRule="auto"/>
        <w:jc w:val="both"/>
        <w:rPr>
          <w:rFonts w:ascii="Arial" w:eastAsia="Calibri" w:hAnsi="Arial" w:cs="Arial"/>
          <w:sz w:val="20"/>
          <w:szCs w:val="20"/>
        </w:rPr>
      </w:pPr>
      <w:r w:rsidRPr="0078123D">
        <w:rPr>
          <w:rFonts w:ascii="Arial" w:eastAsia="Calibri" w:hAnsi="Arial" w:cs="Arial"/>
          <w:sz w:val="20"/>
          <w:szCs w:val="20"/>
        </w:rPr>
        <w:t xml:space="preserve">Tijekom 2023 je zaprimljeno 91, a u 2024. </w:t>
      </w:r>
      <w:r w:rsidR="00EA587B">
        <w:rPr>
          <w:rFonts w:ascii="Arial" w:eastAsia="Calibri" w:hAnsi="Arial" w:cs="Arial"/>
          <w:sz w:val="20"/>
          <w:szCs w:val="20"/>
        </w:rPr>
        <w:t xml:space="preserve">godini </w:t>
      </w:r>
      <w:r w:rsidRPr="0078123D">
        <w:rPr>
          <w:rFonts w:ascii="Arial" w:eastAsia="Calibri" w:hAnsi="Arial" w:cs="Arial"/>
          <w:sz w:val="20"/>
          <w:szCs w:val="20"/>
        </w:rPr>
        <w:t>20 novih muzejski predmeta što iznosi 0,3% ukupnog fonda muzejskih predmeta.</w:t>
      </w:r>
    </w:p>
    <w:p w14:paraId="17E6C605" w14:textId="77777777" w:rsidR="0078123D" w:rsidRPr="0078123D" w:rsidRDefault="0078123D" w:rsidP="00E63468">
      <w:pPr>
        <w:spacing w:after="0" w:line="240" w:lineRule="auto"/>
        <w:jc w:val="both"/>
        <w:rPr>
          <w:rFonts w:ascii="Arial" w:eastAsia="Calibri" w:hAnsi="Arial" w:cs="Arial"/>
          <w:sz w:val="20"/>
          <w:szCs w:val="20"/>
        </w:rPr>
      </w:pPr>
    </w:p>
    <w:p w14:paraId="679D4523" w14:textId="18D0F4CE" w:rsidR="00D3715E" w:rsidRPr="00D3715E" w:rsidRDefault="00A90FC1" w:rsidP="00D3715E">
      <w:pPr>
        <w:spacing w:after="0" w:line="240" w:lineRule="auto"/>
        <w:jc w:val="both"/>
        <w:rPr>
          <w:rFonts w:ascii="Arial" w:eastAsia="Calibri" w:hAnsi="Arial" w:cs="Arial"/>
        </w:rPr>
      </w:pPr>
      <w:r w:rsidRPr="0078123D">
        <w:rPr>
          <w:rFonts w:ascii="Arial" w:eastAsia="Calibri" w:hAnsi="Arial" w:cs="Arial"/>
          <w:b/>
          <w:sz w:val="20"/>
          <w:szCs w:val="20"/>
        </w:rPr>
        <w:t>3. T203103: Sanacija, obnova i uređenje Kuće Bukovac</w:t>
      </w:r>
      <w:r w:rsidRPr="00D3715E">
        <w:rPr>
          <w:rFonts w:ascii="Arial" w:eastAsia="Calibri" w:hAnsi="Arial" w:cs="Arial"/>
        </w:rPr>
        <w:t xml:space="preserve">– </w:t>
      </w:r>
      <w:r w:rsidR="00D3715E" w:rsidRPr="00D3715E">
        <w:rPr>
          <w:rFonts w:ascii="Arial" w:eastAsia="Calibri" w:hAnsi="Arial" w:cs="Arial"/>
        </w:rPr>
        <w:t xml:space="preserve">Na ovoj aktivnosti planirana su proračunska sredstva za 2025. godinu u iznosu od 21.420,00 </w:t>
      </w:r>
      <w:r w:rsidR="00D3715E">
        <w:rPr>
          <w:rFonts w:ascii="Arial" w:eastAsia="Calibri" w:hAnsi="Arial" w:cs="Arial"/>
        </w:rPr>
        <w:t>€</w:t>
      </w:r>
      <w:r w:rsidR="00D3715E" w:rsidRPr="00D3715E">
        <w:rPr>
          <w:rFonts w:ascii="Arial" w:eastAsia="Calibri" w:hAnsi="Arial" w:cs="Arial"/>
        </w:rPr>
        <w:t xml:space="preserve">, a utrošeno je 8.259,80 </w:t>
      </w:r>
      <w:r w:rsidR="00D3715E">
        <w:rPr>
          <w:rFonts w:ascii="Arial" w:eastAsia="Calibri" w:hAnsi="Arial" w:cs="Arial"/>
        </w:rPr>
        <w:t>€</w:t>
      </w:r>
      <w:r w:rsidR="00D3715E" w:rsidRPr="00D3715E">
        <w:rPr>
          <w:rFonts w:ascii="Arial" w:eastAsia="Calibri" w:hAnsi="Arial" w:cs="Arial"/>
        </w:rPr>
        <w:t xml:space="preserve"> za nabavu klimatizacijskih uređaja za Kuću Bukovac i izvedene klesarske radove na grobnici Vlaha Bukovca.</w:t>
      </w:r>
    </w:p>
    <w:p w14:paraId="073C724A" w14:textId="77777777" w:rsidR="002345D8" w:rsidRPr="00D3715E" w:rsidRDefault="002345D8" w:rsidP="0086266A">
      <w:pPr>
        <w:spacing w:after="0" w:line="240" w:lineRule="auto"/>
        <w:jc w:val="both"/>
        <w:rPr>
          <w:rFonts w:ascii="Arial" w:eastAsia="Calibri" w:hAnsi="Arial" w:cs="Arial"/>
        </w:rPr>
      </w:pPr>
    </w:p>
    <w:p w14:paraId="07E6BCAF" w14:textId="25142474" w:rsidR="0086266A" w:rsidRPr="0078123D" w:rsidRDefault="00815DAD" w:rsidP="0086266A">
      <w:pPr>
        <w:spacing w:after="0" w:line="240" w:lineRule="auto"/>
        <w:jc w:val="both"/>
        <w:rPr>
          <w:rFonts w:ascii="Arial" w:eastAsia="Calibri" w:hAnsi="Arial" w:cs="Arial"/>
          <w:sz w:val="20"/>
          <w:szCs w:val="20"/>
        </w:rPr>
      </w:pPr>
      <w:r w:rsidRPr="0078123D">
        <w:rPr>
          <w:rFonts w:ascii="Arial" w:eastAsia="Calibri" w:hAnsi="Arial" w:cs="Arial"/>
          <w:b/>
          <w:bCs/>
          <w:sz w:val="20"/>
          <w:szCs w:val="20"/>
        </w:rPr>
        <w:t>4.T203104: Zaštita spomenika kulture</w:t>
      </w:r>
      <w:r w:rsidRPr="0078123D">
        <w:rPr>
          <w:rFonts w:ascii="Arial" w:eastAsia="Calibri" w:hAnsi="Arial" w:cs="Arial"/>
          <w:sz w:val="20"/>
          <w:szCs w:val="20"/>
        </w:rPr>
        <w:t xml:space="preserve"> - </w:t>
      </w:r>
      <w:r w:rsidR="0086266A" w:rsidRPr="0078123D">
        <w:rPr>
          <w:rFonts w:ascii="Arial" w:eastAsia="Calibri" w:hAnsi="Arial" w:cs="Arial"/>
          <w:sz w:val="20"/>
          <w:szCs w:val="20"/>
        </w:rPr>
        <w:t>u sklopu navedene aktivnosti nisu planirana sredstava u 202</w:t>
      </w:r>
      <w:r w:rsidR="006A2DBA">
        <w:rPr>
          <w:rFonts w:ascii="Arial" w:eastAsia="Calibri" w:hAnsi="Arial" w:cs="Arial"/>
          <w:sz w:val="20"/>
          <w:szCs w:val="20"/>
        </w:rPr>
        <w:t>5</w:t>
      </w:r>
      <w:r w:rsidR="0086266A" w:rsidRPr="0078123D">
        <w:rPr>
          <w:rFonts w:ascii="Arial" w:eastAsia="Calibri" w:hAnsi="Arial" w:cs="Arial"/>
          <w:sz w:val="20"/>
          <w:szCs w:val="20"/>
        </w:rPr>
        <w:t xml:space="preserve">. godini. </w:t>
      </w:r>
    </w:p>
    <w:p w14:paraId="1068880F" w14:textId="77777777" w:rsidR="00815DAD" w:rsidRPr="0078123D" w:rsidRDefault="00815DAD" w:rsidP="00815DAD">
      <w:pPr>
        <w:spacing w:after="0" w:line="240" w:lineRule="auto"/>
        <w:jc w:val="both"/>
        <w:rPr>
          <w:rFonts w:ascii="Arial" w:eastAsia="Calibri" w:hAnsi="Arial" w:cs="Arial"/>
          <w:sz w:val="20"/>
          <w:szCs w:val="20"/>
        </w:rPr>
      </w:pPr>
    </w:p>
    <w:p w14:paraId="5A94CE7C" w14:textId="624E5D84" w:rsidR="00296F41" w:rsidRPr="00296F41" w:rsidRDefault="00815DAD" w:rsidP="00296F41">
      <w:pPr>
        <w:spacing w:after="0" w:line="240" w:lineRule="auto"/>
        <w:jc w:val="both"/>
        <w:rPr>
          <w:rFonts w:ascii="Arial" w:eastAsia="Calibri" w:hAnsi="Arial" w:cs="Arial"/>
          <w:bCs/>
          <w:sz w:val="20"/>
          <w:szCs w:val="20"/>
        </w:rPr>
      </w:pPr>
      <w:r w:rsidRPr="0078123D">
        <w:rPr>
          <w:rFonts w:ascii="Arial" w:eastAsia="Calibri" w:hAnsi="Arial" w:cs="Arial"/>
          <w:b/>
          <w:sz w:val="20"/>
          <w:szCs w:val="20"/>
        </w:rPr>
        <w:lastRenderedPageBreak/>
        <w:t xml:space="preserve">5. T203106: Arheološka istraživanja – </w:t>
      </w:r>
      <w:r w:rsidR="00296F41" w:rsidRPr="00296F41">
        <w:rPr>
          <w:rFonts w:ascii="Arial" w:eastAsia="Calibri" w:hAnsi="Arial" w:cs="Arial"/>
          <w:bCs/>
          <w:sz w:val="20"/>
          <w:szCs w:val="20"/>
        </w:rPr>
        <w:t xml:space="preserve">U sklopu navedene aktivnosti planirana su sredstva od 13.500 </w:t>
      </w:r>
      <w:r w:rsidR="00296F41">
        <w:rPr>
          <w:rFonts w:ascii="Arial" w:eastAsia="Calibri" w:hAnsi="Arial" w:cs="Arial"/>
          <w:bCs/>
          <w:sz w:val="20"/>
          <w:szCs w:val="20"/>
        </w:rPr>
        <w:t>€</w:t>
      </w:r>
      <w:r w:rsidR="00296F41" w:rsidRPr="00296F41">
        <w:rPr>
          <w:rFonts w:ascii="Arial" w:eastAsia="Calibri" w:hAnsi="Arial" w:cs="Arial"/>
          <w:bCs/>
          <w:sz w:val="20"/>
          <w:szCs w:val="20"/>
        </w:rPr>
        <w:t xml:space="preserve"> za potrebe arheoloških istraživanja, tijekom 2025. godine utrošeno je 8.833,06 </w:t>
      </w:r>
      <w:r w:rsidR="00296F41">
        <w:rPr>
          <w:rFonts w:ascii="Arial" w:eastAsia="Calibri" w:hAnsi="Arial" w:cs="Arial"/>
          <w:bCs/>
          <w:sz w:val="20"/>
          <w:szCs w:val="20"/>
        </w:rPr>
        <w:t>€</w:t>
      </w:r>
      <w:r w:rsidR="00296F41" w:rsidRPr="00296F41">
        <w:rPr>
          <w:rFonts w:ascii="Arial" w:eastAsia="Calibri" w:hAnsi="Arial" w:cs="Arial"/>
          <w:bCs/>
          <w:sz w:val="20"/>
          <w:szCs w:val="20"/>
        </w:rPr>
        <w:t xml:space="preserve"> za arheološka istraživanja na lokalitetu Rat Cavtat temeljem Programa zaštite i očuvanja kopnene arheološke baštine, financiranog od strane Ministarstva kulture i medija. </w:t>
      </w:r>
    </w:p>
    <w:p w14:paraId="69532F26" w14:textId="19C24454" w:rsidR="00283FFF" w:rsidRPr="0078123D" w:rsidRDefault="00296F41" w:rsidP="00296F41">
      <w:pPr>
        <w:spacing w:after="0" w:line="240" w:lineRule="auto"/>
        <w:contextualSpacing/>
        <w:jc w:val="both"/>
        <w:rPr>
          <w:rFonts w:ascii="Arial" w:eastAsia="Calibri" w:hAnsi="Arial" w:cs="Arial"/>
          <w:bCs/>
          <w:sz w:val="20"/>
          <w:szCs w:val="20"/>
        </w:rPr>
      </w:pPr>
      <w:r w:rsidRPr="00296F41">
        <w:rPr>
          <w:rFonts w:ascii="Arial" w:eastAsia="Calibri" w:hAnsi="Arial" w:cs="Arial"/>
          <w:bCs/>
          <w:sz w:val="20"/>
          <w:szCs w:val="20"/>
        </w:rPr>
        <w:t>Ustanova u okviru svoje djelatnosti može obavljati i arheološka istraživanja, a u većini slučajeva arheološki nalazi koji se obrađuju u ustanovi se zaprimaju od drugih pravnih osoba registriranih za provođenje istraživanja.</w:t>
      </w:r>
    </w:p>
    <w:p w14:paraId="57DD53EF" w14:textId="77777777" w:rsidR="002345D8" w:rsidRPr="0078123D" w:rsidRDefault="002345D8" w:rsidP="00A90FC1">
      <w:pPr>
        <w:spacing w:after="0" w:line="240" w:lineRule="auto"/>
        <w:contextualSpacing/>
        <w:jc w:val="both"/>
        <w:rPr>
          <w:rFonts w:ascii="Arial" w:eastAsia="Calibri" w:hAnsi="Arial" w:cs="Arial"/>
          <w:b/>
          <w:sz w:val="20"/>
          <w:szCs w:val="20"/>
        </w:rPr>
      </w:pPr>
    </w:p>
    <w:p w14:paraId="3E324AE6" w14:textId="67D32B4C" w:rsidR="00591C63" w:rsidRDefault="003D7373" w:rsidP="00296F41">
      <w:pPr>
        <w:autoSpaceDE w:val="0"/>
        <w:autoSpaceDN w:val="0"/>
        <w:adjustRightInd w:val="0"/>
        <w:spacing w:after="0" w:line="240" w:lineRule="auto"/>
        <w:jc w:val="both"/>
        <w:rPr>
          <w:rFonts w:ascii="Arial" w:eastAsia="Calibri" w:hAnsi="Arial" w:cs="Arial"/>
          <w:sz w:val="20"/>
          <w:szCs w:val="20"/>
        </w:rPr>
      </w:pPr>
      <w:r w:rsidRPr="0078123D">
        <w:rPr>
          <w:rFonts w:ascii="Arial" w:eastAsia="Calibri" w:hAnsi="Arial" w:cs="Arial"/>
          <w:b/>
          <w:sz w:val="20"/>
          <w:szCs w:val="20"/>
        </w:rPr>
        <w:t xml:space="preserve">6. A203107: Izložbeni program </w:t>
      </w:r>
      <w:r w:rsidRPr="0078123D">
        <w:rPr>
          <w:rFonts w:ascii="Arial" w:eastAsia="Calibri" w:hAnsi="Arial" w:cs="Arial"/>
          <w:sz w:val="20"/>
          <w:szCs w:val="20"/>
        </w:rPr>
        <w:t xml:space="preserve">- u sklopu navedene aktivnosti planirana su proračunska sredstva u iznosu </w:t>
      </w:r>
      <w:r w:rsidR="00296F41">
        <w:rPr>
          <w:rFonts w:ascii="Arial" w:eastAsia="Calibri" w:hAnsi="Arial" w:cs="Arial"/>
          <w:sz w:val="20"/>
          <w:szCs w:val="20"/>
        </w:rPr>
        <w:t>34.800</w:t>
      </w:r>
      <w:r w:rsidR="002345D8" w:rsidRPr="0078123D">
        <w:rPr>
          <w:rFonts w:ascii="Arial" w:eastAsia="Calibri" w:hAnsi="Arial" w:cs="Arial"/>
          <w:sz w:val="20"/>
          <w:szCs w:val="20"/>
        </w:rPr>
        <w:t xml:space="preserve"> €</w:t>
      </w:r>
      <w:r w:rsidRPr="0078123D">
        <w:rPr>
          <w:rFonts w:ascii="Arial" w:eastAsia="Calibri" w:hAnsi="Arial" w:cs="Arial"/>
          <w:sz w:val="20"/>
          <w:szCs w:val="20"/>
        </w:rPr>
        <w:t xml:space="preserve">, a izvršeno je </w:t>
      </w:r>
      <w:r w:rsidR="00296F41">
        <w:rPr>
          <w:rFonts w:ascii="Arial" w:eastAsia="Calibri" w:hAnsi="Arial" w:cs="Arial"/>
          <w:sz w:val="20"/>
          <w:szCs w:val="20"/>
        </w:rPr>
        <w:t>28.318,92</w:t>
      </w:r>
      <w:r w:rsidR="002345D8" w:rsidRPr="0078123D">
        <w:rPr>
          <w:rFonts w:ascii="Arial" w:eastAsia="Calibri" w:hAnsi="Arial" w:cs="Arial"/>
          <w:sz w:val="20"/>
          <w:szCs w:val="20"/>
        </w:rPr>
        <w:t xml:space="preserve"> € </w:t>
      </w:r>
      <w:r w:rsidRPr="0078123D">
        <w:rPr>
          <w:rFonts w:ascii="Arial" w:eastAsia="Calibri" w:hAnsi="Arial" w:cs="Arial"/>
          <w:sz w:val="20"/>
          <w:szCs w:val="20"/>
        </w:rPr>
        <w:t xml:space="preserve">odnosno </w:t>
      </w:r>
      <w:r w:rsidR="00296F41">
        <w:rPr>
          <w:rFonts w:ascii="Arial" w:eastAsia="Calibri" w:hAnsi="Arial" w:cs="Arial"/>
          <w:sz w:val="20"/>
          <w:szCs w:val="20"/>
        </w:rPr>
        <w:t>81,4</w:t>
      </w:r>
      <w:r w:rsidRPr="0078123D">
        <w:rPr>
          <w:rFonts w:ascii="Arial" w:eastAsia="Calibri" w:hAnsi="Arial" w:cs="Arial"/>
          <w:sz w:val="20"/>
          <w:szCs w:val="20"/>
        </w:rPr>
        <w:t>% planiranog</w:t>
      </w:r>
      <w:r w:rsidR="00296F41">
        <w:rPr>
          <w:rFonts w:ascii="Arial" w:eastAsia="Calibri" w:hAnsi="Arial" w:cs="Arial"/>
          <w:sz w:val="20"/>
          <w:szCs w:val="20"/>
        </w:rPr>
        <w:t xml:space="preserve">. </w:t>
      </w:r>
    </w:p>
    <w:p w14:paraId="610CDE68" w14:textId="77777777" w:rsidR="00296F41" w:rsidRPr="00296F41" w:rsidRDefault="00296F41" w:rsidP="00296F41">
      <w:pPr>
        <w:autoSpaceDE w:val="0"/>
        <w:autoSpaceDN w:val="0"/>
        <w:adjustRightInd w:val="0"/>
        <w:spacing w:after="0" w:line="240" w:lineRule="auto"/>
        <w:jc w:val="both"/>
        <w:rPr>
          <w:rFonts w:ascii="Arial" w:eastAsia="Calibri" w:hAnsi="Arial" w:cs="Arial"/>
          <w:sz w:val="20"/>
          <w:szCs w:val="20"/>
        </w:rPr>
      </w:pPr>
      <w:r w:rsidRPr="00296F41">
        <w:rPr>
          <w:rFonts w:ascii="Arial" w:eastAsia="Calibri" w:hAnsi="Arial" w:cs="Arial"/>
          <w:sz w:val="20"/>
          <w:szCs w:val="20"/>
        </w:rPr>
        <w:t xml:space="preserve">Izložbeni program Muzeja i galerija Konavala obuhvaća programe prezentacije građe i lokaliteta u svim muzejskim jedinicama: Odjel arheologije i spomeničke baštine, Kuća Bukovac i Zavičajni muzej Konavala. </w:t>
      </w:r>
    </w:p>
    <w:p w14:paraId="40E5E90C" w14:textId="77777777" w:rsidR="00296F41" w:rsidRDefault="00296F41" w:rsidP="00296F41">
      <w:pPr>
        <w:autoSpaceDE w:val="0"/>
        <w:autoSpaceDN w:val="0"/>
        <w:adjustRightInd w:val="0"/>
        <w:spacing w:after="0" w:line="240" w:lineRule="auto"/>
        <w:jc w:val="both"/>
        <w:rPr>
          <w:rFonts w:ascii="Arial" w:eastAsia="Calibri" w:hAnsi="Arial" w:cs="Arial"/>
          <w:sz w:val="20"/>
          <w:szCs w:val="20"/>
        </w:rPr>
      </w:pPr>
    </w:p>
    <w:p w14:paraId="45BD1A91" w14:textId="3B3D7CB4" w:rsidR="00296F41" w:rsidRPr="00296F41" w:rsidRDefault="00296F41" w:rsidP="00296F41">
      <w:pPr>
        <w:autoSpaceDE w:val="0"/>
        <w:autoSpaceDN w:val="0"/>
        <w:adjustRightInd w:val="0"/>
        <w:spacing w:after="0" w:line="240" w:lineRule="auto"/>
        <w:jc w:val="both"/>
        <w:rPr>
          <w:rFonts w:ascii="Arial" w:eastAsia="Calibri" w:hAnsi="Arial" w:cs="Arial"/>
          <w:sz w:val="20"/>
          <w:szCs w:val="20"/>
        </w:rPr>
      </w:pPr>
      <w:r w:rsidRPr="00296F41">
        <w:rPr>
          <w:rFonts w:ascii="Arial" w:eastAsia="Calibri" w:hAnsi="Arial" w:cs="Arial"/>
          <w:sz w:val="20"/>
          <w:szCs w:val="20"/>
        </w:rPr>
        <w:t>Izdaci za realizaciju izložbi odnose se na opremanje izložbi kroz izradu prezentacijskih panoa (foreksi, folije i sl.), plakata i pozivnica, usluge dizajna izložbi, izradu ili prenamjenu vitrina i izlagačkih postamenata, izradu kataloga (tisak, prijevodi, lektura, grafička priprema i dizajn), police osiguranja za muzejsku građu koja je na posudbi u ustanovi i druge popratne troškove.</w:t>
      </w:r>
    </w:p>
    <w:p w14:paraId="0DB3868D" w14:textId="77777777" w:rsidR="00296F41" w:rsidRDefault="00296F41" w:rsidP="00296F41">
      <w:pPr>
        <w:autoSpaceDE w:val="0"/>
        <w:autoSpaceDN w:val="0"/>
        <w:adjustRightInd w:val="0"/>
        <w:spacing w:after="0" w:line="240" w:lineRule="auto"/>
        <w:jc w:val="both"/>
        <w:rPr>
          <w:rFonts w:ascii="Arial" w:eastAsia="Calibri" w:hAnsi="Arial" w:cs="Arial"/>
          <w:sz w:val="20"/>
          <w:szCs w:val="20"/>
        </w:rPr>
      </w:pPr>
    </w:p>
    <w:p w14:paraId="02B0FDE7" w14:textId="1270D54C" w:rsidR="00296F41" w:rsidRPr="00296F41" w:rsidRDefault="00296F41" w:rsidP="00296F41">
      <w:pPr>
        <w:autoSpaceDE w:val="0"/>
        <w:autoSpaceDN w:val="0"/>
        <w:adjustRightInd w:val="0"/>
        <w:spacing w:after="0" w:line="240" w:lineRule="auto"/>
        <w:jc w:val="both"/>
        <w:rPr>
          <w:rFonts w:ascii="Arial" w:eastAsia="Calibri" w:hAnsi="Arial" w:cs="Arial"/>
          <w:sz w:val="20"/>
          <w:szCs w:val="20"/>
        </w:rPr>
      </w:pPr>
      <w:r w:rsidRPr="00296F41">
        <w:rPr>
          <w:rFonts w:ascii="Arial" w:eastAsia="Calibri" w:hAnsi="Arial" w:cs="Arial"/>
          <w:sz w:val="20"/>
          <w:szCs w:val="20"/>
        </w:rPr>
        <w:t>Tijekom 2025. godine utrošeno je 28.318,92 EUR i to za troškove postavljanja izložbi</w:t>
      </w:r>
      <w:r w:rsidRPr="00296F41">
        <w:rPr>
          <w:rFonts w:ascii="Arial" w:eastAsia="Calibri" w:hAnsi="Arial" w:cs="Arial"/>
          <w:b/>
          <w:bCs/>
          <w:sz w:val="20"/>
          <w:szCs w:val="20"/>
        </w:rPr>
        <w:t xml:space="preserve">: </w:t>
      </w:r>
      <w:r w:rsidRPr="00296F41">
        <w:rPr>
          <w:rFonts w:ascii="Arial" w:eastAsia="Calibri" w:hAnsi="Arial" w:cs="Arial"/>
          <w:b/>
          <w:bCs/>
          <w:i/>
          <w:iCs/>
          <w:sz w:val="20"/>
          <w:szCs w:val="20"/>
        </w:rPr>
        <w:t>Cavtaćanin Niko Miljan – praški</w:t>
      </w:r>
      <w:r w:rsidRPr="00296F41">
        <w:rPr>
          <w:rFonts w:ascii="Arial" w:eastAsia="Calibri" w:hAnsi="Arial" w:cs="Arial"/>
          <w:b/>
          <w:bCs/>
          <w:sz w:val="20"/>
          <w:szCs w:val="20"/>
        </w:rPr>
        <w:t xml:space="preserve"> </w:t>
      </w:r>
      <w:r w:rsidRPr="00296F41">
        <w:rPr>
          <w:rFonts w:ascii="Arial" w:eastAsia="Calibri" w:hAnsi="Arial" w:cs="Arial"/>
          <w:b/>
          <w:bCs/>
          <w:i/>
          <w:iCs/>
          <w:sz w:val="20"/>
          <w:szCs w:val="20"/>
        </w:rPr>
        <w:t xml:space="preserve">učenik </w:t>
      </w:r>
      <w:r w:rsidRPr="00296F41">
        <w:rPr>
          <w:rFonts w:ascii="Arial" w:eastAsia="Calibri" w:hAnsi="Arial" w:cs="Arial"/>
          <w:i/>
          <w:iCs/>
          <w:sz w:val="20"/>
          <w:szCs w:val="20"/>
        </w:rPr>
        <w:t>Vlaha Bukovca</w:t>
      </w:r>
      <w:r w:rsidRPr="00296F41">
        <w:rPr>
          <w:rFonts w:ascii="Arial" w:eastAsia="Calibri" w:hAnsi="Arial" w:cs="Arial"/>
          <w:sz w:val="20"/>
          <w:szCs w:val="20"/>
        </w:rPr>
        <w:t xml:space="preserve">, </w:t>
      </w:r>
      <w:r w:rsidRPr="00296F41">
        <w:rPr>
          <w:rFonts w:ascii="Arial" w:eastAsia="Calibri" w:hAnsi="Arial" w:cs="Arial"/>
          <w:i/>
          <w:iCs/>
          <w:sz w:val="20"/>
          <w:szCs w:val="20"/>
        </w:rPr>
        <w:t>Bukovac i Bogišić, dvije glasovite cavtatske obitelji</w:t>
      </w:r>
      <w:r w:rsidRPr="00296F41">
        <w:rPr>
          <w:rFonts w:ascii="Arial" w:eastAsia="Calibri" w:hAnsi="Arial" w:cs="Arial"/>
          <w:sz w:val="20"/>
          <w:szCs w:val="20"/>
        </w:rPr>
        <w:t xml:space="preserve">, </w:t>
      </w:r>
      <w:r w:rsidRPr="00296F41">
        <w:rPr>
          <w:rFonts w:ascii="Arial" w:eastAsia="Calibri" w:hAnsi="Arial" w:cs="Arial"/>
          <w:i/>
          <w:iCs/>
          <w:sz w:val="20"/>
          <w:szCs w:val="20"/>
        </w:rPr>
        <w:t>Životinjski svijet mladog</w:t>
      </w:r>
      <w:r w:rsidRPr="00296F41">
        <w:rPr>
          <w:rFonts w:ascii="Arial" w:eastAsia="Calibri" w:hAnsi="Arial" w:cs="Arial"/>
          <w:sz w:val="20"/>
          <w:szCs w:val="20"/>
        </w:rPr>
        <w:t xml:space="preserve"> </w:t>
      </w:r>
      <w:r w:rsidRPr="00296F41">
        <w:rPr>
          <w:rFonts w:ascii="Arial" w:eastAsia="Calibri" w:hAnsi="Arial" w:cs="Arial"/>
          <w:i/>
          <w:iCs/>
          <w:sz w:val="20"/>
          <w:szCs w:val="20"/>
        </w:rPr>
        <w:t>Bukovca</w:t>
      </w:r>
      <w:r w:rsidRPr="00296F41">
        <w:rPr>
          <w:rFonts w:ascii="Arial" w:eastAsia="Calibri" w:hAnsi="Arial" w:cs="Arial"/>
          <w:sz w:val="20"/>
          <w:szCs w:val="20"/>
        </w:rPr>
        <w:t xml:space="preserve">, </w:t>
      </w:r>
      <w:r w:rsidRPr="00296F41">
        <w:rPr>
          <w:rFonts w:ascii="Arial" w:eastAsia="Calibri" w:hAnsi="Arial" w:cs="Arial"/>
          <w:i/>
          <w:iCs/>
          <w:sz w:val="20"/>
          <w:szCs w:val="20"/>
        </w:rPr>
        <w:t>Ratko Zvrko, lik i djelo</w:t>
      </w:r>
      <w:r w:rsidRPr="00296F41">
        <w:rPr>
          <w:rFonts w:ascii="Arial" w:eastAsia="Calibri" w:hAnsi="Arial" w:cs="Arial"/>
          <w:sz w:val="20"/>
          <w:szCs w:val="20"/>
        </w:rPr>
        <w:t xml:space="preserve">, </w:t>
      </w:r>
      <w:r w:rsidRPr="00296F41">
        <w:rPr>
          <w:rFonts w:ascii="Arial" w:eastAsia="Calibri" w:hAnsi="Arial" w:cs="Arial"/>
          <w:i/>
          <w:iCs/>
          <w:sz w:val="20"/>
          <w:szCs w:val="20"/>
        </w:rPr>
        <w:t>Arheo pop-up</w:t>
      </w:r>
      <w:r w:rsidRPr="00296F41">
        <w:rPr>
          <w:rFonts w:ascii="Arial" w:eastAsia="Calibri" w:hAnsi="Arial" w:cs="Arial"/>
          <w:sz w:val="20"/>
          <w:szCs w:val="20"/>
        </w:rPr>
        <w:t xml:space="preserve"> , </w:t>
      </w:r>
      <w:r w:rsidRPr="00296F41">
        <w:rPr>
          <w:rFonts w:ascii="Arial" w:eastAsia="Calibri" w:hAnsi="Arial" w:cs="Arial"/>
          <w:i/>
          <w:iCs/>
          <w:sz w:val="20"/>
          <w:szCs w:val="20"/>
        </w:rPr>
        <w:t>Konavoska torba u glini</w:t>
      </w:r>
      <w:r w:rsidRPr="00296F41">
        <w:rPr>
          <w:rFonts w:ascii="Arial" w:eastAsia="Calibri" w:hAnsi="Arial" w:cs="Arial"/>
          <w:sz w:val="20"/>
          <w:szCs w:val="20"/>
        </w:rPr>
        <w:t xml:space="preserve">, </w:t>
      </w:r>
      <w:r w:rsidRPr="00296F41">
        <w:rPr>
          <w:rFonts w:ascii="Arial" w:eastAsia="Calibri" w:hAnsi="Arial" w:cs="Arial"/>
          <w:i/>
          <w:iCs/>
          <w:sz w:val="20"/>
          <w:szCs w:val="20"/>
        </w:rPr>
        <w:t>Vez od početka</w:t>
      </w:r>
      <w:r w:rsidRPr="00296F41">
        <w:rPr>
          <w:rFonts w:ascii="Arial" w:eastAsia="Calibri" w:hAnsi="Arial" w:cs="Arial"/>
          <w:sz w:val="20"/>
          <w:szCs w:val="20"/>
        </w:rPr>
        <w:t xml:space="preserve">, postavljanje postava </w:t>
      </w:r>
      <w:r w:rsidRPr="00296F41">
        <w:rPr>
          <w:rFonts w:ascii="Arial" w:eastAsia="Calibri" w:hAnsi="Arial" w:cs="Arial"/>
          <w:i/>
          <w:iCs/>
          <w:sz w:val="20"/>
          <w:szCs w:val="20"/>
        </w:rPr>
        <w:t xml:space="preserve">Vezilačka udruga Cavtat i drugih izložbenih programa. </w:t>
      </w:r>
      <w:r w:rsidRPr="00296F41">
        <w:rPr>
          <w:rFonts w:ascii="Arial" w:eastAsia="Calibri" w:hAnsi="Arial" w:cs="Arial"/>
          <w:sz w:val="20"/>
          <w:szCs w:val="20"/>
        </w:rPr>
        <w:t>Sredstva su također utrošena na obilježavanje obljetnice rođenja Vlaha Bukovca te na troškove korištenja videogradiva Hrvatska radiotelevizija za snimanje dokumentarnog filma o 50 godina Zavičajni muzej Konavala.</w:t>
      </w:r>
    </w:p>
    <w:p w14:paraId="1CD60C01" w14:textId="77777777" w:rsidR="00296F41" w:rsidRPr="0078123D" w:rsidRDefault="00296F41" w:rsidP="00B3065A">
      <w:pPr>
        <w:autoSpaceDE w:val="0"/>
        <w:autoSpaceDN w:val="0"/>
        <w:adjustRightInd w:val="0"/>
        <w:spacing w:after="0" w:line="240" w:lineRule="auto"/>
        <w:jc w:val="both"/>
        <w:rPr>
          <w:rFonts w:ascii="Arial" w:eastAsia="Calibri" w:hAnsi="Arial" w:cs="Arial"/>
          <w:sz w:val="20"/>
          <w:szCs w:val="20"/>
        </w:rPr>
      </w:pPr>
    </w:p>
    <w:p w14:paraId="1DE94BF7" w14:textId="77777777" w:rsidR="00591C63" w:rsidRPr="0078123D" w:rsidRDefault="00591C63" w:rsidP="00E63468">
      <w:pPr>
        <w:autoSpaceDE w:val="0"/>
        <w:autoSpaceDN w:val="0"/>
        <w:adjustRightInd w:val="0"/>
        <w:spacing w:after="0" w:line="240" w:lineRule="auto"/>
        <w:jc w:val="both"/>
        <w:rPr>
          <w:rFonts w:ascii="Arial" w:eastAsia="Calibri" w:hAnsi="Arial" w:cs="Arial"/>
          <w:sz w:val="20"/>
          <w:szCs w:val="20"/>
        </w:rPr>
      </w:pPr>
    </w:p>
    <w:tbl>
      <w:tblPr>
        <w:tblStyle w:val="Reetkatablice5"/>
        <w:tblW w:w="10490" w:type="dxa"/>
        <w:jc w:val="center"/>
        <w:tblLayout w:type="fixed"/>
        <w:tblLook w:val="04A0" w:firstRow="1" w:lastRow="0" w:firstColumn="1" w:lastColumn="0" w:noHBand="0" w:noVBand="1"/>
      </w:tblPr>
      <w:tblGrid>
        <w:gridCol w:w="1848"/>
        <w:gridCol w:w="1134"/>
        <w:gridCol w:w="992"/>
        <w:gridCol w:w="1109"/>
        <w:gridCol w:w="1134"/>
        <w:gridCol w:w="1012"/>
        <w:gridCol w:w="993"/>
        <w:gridCol w:w="1134"/>
        <w:gridCol w:w="1134"/>
      </w:tblGrid>
      <w:tr w:rsidR="00296F41" w:rsidRPr="0078123D" w14:paraId="1694ACCF" w14:textId="77777777" w:rsidTr="00E8684F">
        <w:trPr>
          <w:jc w:val="center"/>
        </w:trPr>
        <w:tc>
          <w:tcPr>
            <w:tcW w:w="1848" w:type="dxa"/>
            <w:shd w:val="clear" w:color="auto" w:fill="BFBFBF" w:themeFill="background1" w:themeFillShade="BF"/>
            <w:vAlign w:val="center"/>
          </w:tcPr>
          <w:p w14:paraId="2EB3EA38" w14:textId="77777777" w:rsidR="00296F41" w:rsidRPr="0078123D" w:rsidRDefault="00296F41" w:rsidP="00296F41">
            <w:pPr>
              <w:jc w:val="center"/>
              <w:rPr>
                <w:rFonts w:ascii="Arial" w:eastAsia="Calibri" w:hAnsi="Arial" w:cs="Arial"/>
                <w:sz w:val="16"/>
                <w:szCs w:val="16"/>
              </w:rPr>
            </w:pPr>
            <w:r w:rsidRPr="0078123D">
              <w:rPr>
                <w:rFonts w:ascii="Arial" w:eastAsia="Calibri" w:hAnsi="Arial" w:cs="Arial"/>
                <w:sz w:val="16"/>
                <w:szCs w:val="16"/>
              </w:rPr>
              <w:t>Pokazatelj uspješnosti</w:t>
            </w:r>
          </w:p>
        </w:tc>
        <w:tc>
          <w:tcPr>
            <w:tcW w:w="1134" w:type="dxa"/>
            <w:shd w:val="clear" w:color="auto" w:fill="BFBFBF" w:themeFill="background1" w:themeFillShade="BF"/>
            <w:vAlign w:val="center"/>
          </w:tcPr>
          <w:p w14:paraId="472D3BFD" w14:textId="77777777" w:rsidR="00296F41" w:rsidRPr="0078123D" w:rsidRDefault="00296F41" w:rsidP="00296F41">
            <w:pPr>
              <w:jc w:val="center"/>
              <w:rPr>
                <w:rFonts w:ascii="Arial" w:eastAsia="Calibri" w:hAnsi="Arial" w:cs="Arial"/>
                <w:sz w:val="16"/>
                <w:szCs w:val="16"/>
              </w:rPr>
            </w:pPr>
            <w:r w:rsidRPr="0078123D">
              <w:rPr>
                <w:rFonts w:ascii="Arial" w:eastAsia="Calibri" w:hAnsi="Arial" w:cs="Arial"/>
                <w:sz w:val="16"/>
                <w:szCs w:val="16"/>
              </w:rPr>
              <w:t>Definicija</w:t>
            </w:r>
          </w:p>
        </w:tc>
        <w:tc>
          <w:tcPr>
            <w:tcW w:w="992" w:type="dxa"/>
            <w:shd w:val="clear" w:color="auto" w:fill="BFBFBF" w:themeFill="background1" w:themeFillShade="BF"/>
            <w:vAlign w:val="center"/>
          </w:tcPr>
          <w:p w14:paraId="2D6323FD" w14:textId="77777777" w:rsidR="00296F41" w:rsidRPr="0078123D" w:rsidRDefault="00296F41" w:rsidP="00296F41">
            <w:pPr>
              <w:jc w:val="center"/>
              <w:rPr>
                <w:rFonts w:ascii="Arial" w:eastAsia="Calibri" w:hAnsi="Arial" w:cs="Arial"/>
                <w:sz w:val="16"/>
                <w:szCs w:val="16"/>
              </w:rPr>
            </w:pPr>
            <w:r w:rsidRPr="0078123D">
              <w:rPr>
                <w:rFonts w:ascii="Arial" w:eastAsia="Calibri" w:hAnsi="Arial" w:cs="Arial"/>
                <w:sz w:val="16"/>
                <w:szCs w:val="16"/>
              </w:rPr>
              <w:t>Jedinica</w:t>
            </w:r>
          </w:p>
        </w:tc>
        <w:tc>
          <w:tcPr>
            <w:tcW w:w="1109" w:type="dxa"/>
            <w:shd w:val="clear" w:color="auto" w:fill="BFBFBF" w:themeFill="background1" w:themeFillShade="BF"/>
            <w:vAlign w:val="center"/>
          </w:tcPr>
          <w:p w14:paraId="4F687AE6" w14:textId="77777777" w:rsidR="00296F41" w:rsidRPr="0078123D" w:rsidRDefault="00296F41" w:rsidP="00296F41">
            <w:pPr>
              <w:jc w:val="center"/>
              <w:rPr>
                <w:rFonts w:ascii="Arial" w:eastAsia="Calibri" w:hAnsi="Arial" w:cs="Arial"/>
                <w:sz w:val="16"/>
                <w:szCs w:val="16"/>
              </w:rPr>
            </w:pPr>
            <w:r w:rsidRPr="0078123D">
              <w:rPr>
                <w:rFonts w:ascii="Arial" w:eastAsia="Calibri" w:hAnsi="Arial" w:cs="Arial"/>
                <w:sz w:val="16"/>
                <w:szCs w:val="16"/>
              </w:rPr>
              <w:t>Polazna vrijednost</w:t>
            </w:r>
          </w:p>
          <w:p w14:paraId="763FA929" w14:textId="0CECE901" w:rsidR="00296F41" w:rsidRPr="0078123D" w:rsidRDefault="00296F41" w:rsidP="00296F41">
            <w:pPr>
              <w:jc w:val="center"/>
              <w:rPr>
                <w:rFonts w:ascii="Arial" w:eastAsia="Calibri" w:hAnsi="Arial" w:cs="Arial"/>
                <w:sz w:val="16"/>
                <w:szCs w:val="16"/>
              </w:rPr>
            </w:pPr>
            <w:r w:rsidRPr="0078123D">
              <w:rPr>
                <w:rFonts w:ascii="Arial" w:eastAsia="Calibri" w:hAnsi="Arial" w:cs="Arial"/>
                <w:sz w:val="16"/>
                <w:szCs w:val="16"/>
              </w:rPr>
              <w:t>202</w:t>
            </w:r>
            <w:r>
              <w:rPr>
                <w:rFonts w:ascii="Arial" w:eastAsia="Calibri" w:hAnsi="Arial" w:cs="Arial"/>
                <w:sz w:val="16"/>
                <w:szCs w:val="16"/>
              </w:rPr>
              <w:t>4</w:t>
            </w:r>
            <w:r w:rsidRPr="0078123D">
              <w:rPr>
                <w:rFonts w:ascii="Arial" w:eastAsia="Calibri" w:hAnsi="Arial" w:cs="Arial"/>
                <w:sz w:val="16"/>
                <w:szCs w:val="16"/>
              </w:rPr>
              <w:t>.</w:t>
            </w:r>
          </w:p>
        </w:tc>
        <w:tc>
          <w:tcPr>
            <w:tcW w:w="1134" w:type="dxa"/>
            <w:shd w:val="clear" w:color="auto" w:fill="BFBFBF" w:themeFill="background1" w:themeFillShade="BF"/>
            <w:vAlign w:val="center"/>
          </w:tcPr>
          <w:p w14:paraId="03498169" w14:textId="77777777" w:rsidR="00296F41" w:rsidRPr="0078123D" w:rsidRDefault="00296F41" w:rsidP="00296F41">
            <w:pPr>
              <w:jc w:val="center"/>
              <w:rPr>
                <w:rFonts w:ascii="Arial" w:eastAsia="Calibri" w:hAnsi="Arial" w:cs="Arial"/>
                <w:sz w:val="16"/>
                <w:szCs w:val="16"/>
              </w:rPr>
            </w:pPr>
            <w:r w:rsidRPr="0078123D">
              <w:rPr>
                <w:rFonts w:ascii="Arial" w:eastAsia="Calibri" w:hAnsi="Arial" w:cs="Arial"/>
                <w:sz w:val="16"/>
                <w:szCs w:val="16"/>
              </w:rPr>
              <w:t>Izvor podataka</w:t>
            </w:r>
          </w:p>
        </w:tc>
        <w:tc>
          <w:tcPr>
            <w:tcW w:w="1012" w:type="dxa"/>
            <w:shd w:val="clear" w:color="auto" w:fill="BFBFBF"/>
            <w:vAlign w:val="center"/>
          </w:tcPr>
          <w:p w14:paraId="35F641D5" w14:textId="554F525C" w:rsidR="00296F41" w:rsidRPr="0078123D" w:rsidRDefault="00296F41" w:rsidP="00296F41">
            <w:pPr>
              <w:jc w:val="center"/>
              <w:rPr>
                <w:rFonts w:ascii="Arial" w:eastAsia="Calibri" w:hAnsi="Arial" w:cs="Arial"/>
                <w:sz w:val="16"/>
                <w:szCs w:val="16"/>
              </w:rPr>
            </w:pPr>
            <w:r w:rsidRPr="00C765CF">
              <w:rPr>
                <w:rFonts w:asciiTheme="minorHAnsi" w:eastAsia="Calibri" w:hAnsiTheme="minorHAnsi" w:cstheme="minorHAnsi"/>
                <w:sz w:val="18"/>
                <w:szCs w:val="18"/>
              </w:rPr>
              <w:t>Ciljana vrijednost 2025.</w:t>
            </w:r>
          </w:p>
        </w:tc>
        <w:tc>
          <w:tcPr>
            <w:tcW w:w="993" w:type="dxa"/>
            <w:shd w:val="clear" w:color="auto" w:fill="BFBFBF"/>
            <w:vAlign w:val="center"/>
          </w:tcPr>
          <w:p w14:paraId="4348540F" w14:textId="20D2F47F" w:rsidR="00296F41" w:rsidRPr="0078123D" w:rsidRDefault="00296F41" w:rsidP="00296F41">
            <w:pPr>
              <w:jc w:val="center"/>
              <w:rPr>
                <w:rFonts w:ascii="Arial" w:eastAsia="Calibri" w:hAnsi="Arial" w:cs="Arial"/>
                <w:sz w:val="16"/>
                <w:szCs w:val="16"/>
              </w:rPr>
            </w:pPr>
            <w:r w:rsidRPr="00C765CF">
              <w:rPr>
                <w:rFonts w:asciiTheme="minorHAnsi" w:eastAsia="Calibri" w:hAnsiTheme="minorHAnsi" w:cstheme="minorHAnsi"/>
                <w:sz w:val="18"/>
                <w:szCs w:val="18"/>
              </w:rPr>
              <w:t>Izvršeno  2025.</w:t>
            </w:r>
          </w:p>
        </w:tc>
        <w:tc>
          <w:tcPr>
            <w:tcW w:w="1134" w:type="dxa"/>
            <w:shd w:val="clear" w:color="auto" w:fill="BFBFBF"/>
            <w:vAlign w:val="center"/>
          </w:tcPr>
          <w:p w14:paraId="48CD9F76" w14:textId="3E68F6B8" w:rsidR="00296F41" w:rsidRPr="0078123D" w:rsidRDefault="00296F41" w:rsidP="00296F41">
            <w:pPr>
              <w:jc w:val="center"/>
              <w:rPr>
                <w:rFonts w:ascii="Arial" w:eastAsia="Calibri" w:hAnsi="Arial" w:cs="Arial"/>
                <w:sz w:val="16"/>
                <w:szCs w:val="16"/>
              </w:rPr>
            </w:pPr>
            <w:r w:rsidRPr="00C765CF">
              <w:rPr>
                <w:rFonts w:asciiTheme="minorHAnsi" w:eastAsia="Calibri" w:hAnsiTheme="minorHAnsi" w:cstheme="minorHAnsi"/>
                <w:sz w:val="18"/>
                <w:szCs w:val="18"/>
              </w:rPr>
              <w:t>Ciljana vrijednost 2026.</w:t>
            </w:r>
          </w:p>
        </w:tc>
        <w:tc>
          <w:tcPr>
            <w:tcW w:w="1134" w:type="dxa"/>
            <w:shd w:val="clear" w:color="auto" w:fill="BFBFBF"/>
            <w:vAlign w:val="center"/>
          </w:tcPr>
          <w:p w14:paraId="136B4DCF" w14:textId="026C5BA9" w:rsidR="00296F41" w:rsidRPr="0078123D" w:rsidRDefault="00296F41" w:rsidP="00296F41">
            <w:pPr>
              <w:jc w:val="center"/>
              <w:rPr>
                <w:rFonts w:ascii="Arial" w:eastAsia="Calibri" w:hAnsi="Arial" w:cs="Arial"/>
                <w:sz w:val="16"/>
                <w:szCs w:val="16"/>
              </w:rPr>
            </w:pPr>
            <w:r w:rsidRPr="00C765CF">
              <w:rPr>
                <w:rFonts w:asciiTheme="minorHAnsi" w:eastAsia="Calibri" w:hAnsiTheme="minorHAnsi" w:cstheme="minorHAnsi"/>
                <w:sz w:val="18"/>
                <w:szCs w:val="18"/>
              </w:rPr>
              <w:t>Ciljana vrijednost 2027.</w:t>
            </w:r>
          </w:p>
        </w:tc>
      </w:tr>
      <w:tr w:rsidR="00296F41" w:rsidRPr="0078123D" w14:paraId="00969FC4" w14:textId="77777777" w:rsidTr="00B223BA">
        <w:trPr>
          <w:trHeight w:val="530"/>
          <w:jc w:val="center"/>
        </w:trPr>
        <w:tc>
          <w:tcPr>
            <w:tcW w:w="1848" w:type="dxa"/>
            <w:vAlign w:val="center"/>
          </w:tcPr>
          <w:p w14:paraId="60B633ED" w14:textId="77777777" w:rsidR="00296F41" w:rsidRPr="0078123D" w:rsidRDefault="00296F41" w:rsidP="00296F41">
            <w:pPr>
              <w:rPr>
                <w:rFonts w:ascii="Arial" w:hAnsi="Arial" w:cs="Arial"/>
                <w:sz w:val="16"/>
                <w:szCs w:val="16"/>
                <w:lang w:eastAsia="en-US"/>
              </w:rPr>
            </w:pPr>
            <w:r w:rsidRPr="0078123D">
              <w:rPr>
                <w:rFonts w:ascii="Arial" w:hAnsi="Arial" w:cs="Arial"/>
                <w:sz w:val="16"/>
                <w:szCs w:val="16"/>
                <w:lang w:eastAsia="en-US"/>
              </w:rPr>
              <w:t>Broj izložbi</w:t>
            </w:r>
          </w:p>
        </w:tc>
        <w:tc>
          <w:tcPr>
            <w:tcW w:w="1134" w:type="dxa"/>
            <w:vAlign w:val="center"/>
          </w:tcPr>
          <w:p w14:paraId="48F2E3D0" w14:textId="77777777" w:rsidR="00296F41" w:rsidRPr="0078123D" w:rsidRDefault="00296F41" w:rsidP="00296F41">
            <w:pPr>
              <w:rPr>
                <w:rFonts w:ascii="Arial" w:hAnsi="Arial" w:cs="Arial"/>
                <w:sz w:val="16"/>
                <w:szCs w:val="16"/>
                <w:lang w:eastAsia="en-US"/>
              </w:rPr>
            </w:pPr>
            <w:r w:rsidRPr="0078123D">
              <w:rPr>
                <w:rFonts w:ascii="Arial" w:hAnsi="Arial" w:cs="Arial"/>
                <w:sz w:val="16"/>
                <w:szCs w:val="16"/>
                <w:lang w:eastAsia="en-US"/>
              </w:rPr>
              <w:t>Prezentacija građe</w:t>
            </w:r>
          </w:p>
        </w:tc>
        <w:tc>
          <w:tcPr>
            <w:tcW w:w="992" w:type="dxa"/>
            <w:vAlign w:val="center"/>
          </w:tcPr>
          <w:p w14:paraId="291A7ECD" w14:textId="77777777" w:rsidR="00296F41" w:rsidRPr="0078123D" w:rsidRDefault="00296F41" w:rsidP="00296F41">
            <w:pPr>
              <w:jc w:val="center"/>
              <w:rPr>
                <w:rFonts w:ascii="Arial" w:hAnsi="Arial" w:cs="Arial"/>
                <w:sz w:val="16"/>
                <w:szCs w:val="16"/>
                <w:lang w:eastAsia="en-US"/>
              </w:rPr>
            </w:pPr>
            <w:r w:rsidRPr="0078123D">
              <w:rPr>
                <w:rFonts w:ascii="Arial" w:hAnsi="Arial" w:cs="Arial"/>
                <w:sz w:val="16"/>
                <w:szCs w:val="16"/>
                <w:lang w:eastAsia="en-US"/>
              </w:rPr>
              <w:t>izložba</w:t>
            </w:r>
          </w:p>
        </w:tc>
        <w:tc>
          <w:tcPr>
            <w:tcW w:w="1109" w:type="dxa"/>
            <w:vAlign w:val="center"/>
          </w:tcPr>
          <w:p w14:paraId="787F48F3" w14:textId="160B464F" w:rsidR="00296F41" w:rsidRPr="0078123D" w:rsidRDefault="00296F41" w:rsidP="00296F41">
            <w:pPr>
              <w:jc w:val="center"/>
              <w:rPr>
                <w:rFonts w:ascii="Arial" w:hAnsi="Arial" w:cs="Arial"/>
                <w:sz w:val="16"/>
                <w:szCs w:val="16"/>
                <w:lang w:eastAsia="en-US"/>
              </w:rPr>
            </w:pPr>
            <w:r>
              <w:rPr>
                <w:rFonts w:ascii="Arial" w:hAnsi="Arial" w:cs="Arial"/>
                <w:sz w:val="16"/>
                <w:szCs w:val="16"/>
                <w:lang w:eastAsia="en-US"/>
              </w:rPr>
              <w:t>12</w:t>
            </w:r>
          </w:p>
        </w:tc>
        <w:tc>
          <w:tcPr>
            <w:tcW w:w="1134" w:type="dxa"/>
            <w:vAlign w:val="center"/>
          </w:tcPr>
          <w:p w14:paraId="461E813F" w14:textId="77777777" w:rsidR="00296F41" w:rsidRPr="0078123D" w:rsidRDefault="00296F41" w:rsidP="00296F41">
            <w:pPr>
              <w:jc w:val="center"/>
              <w:rPr>
                <w:rFonts w:ascii="Arial" w:hAnsi="Arial" w:cs="Arial"/>
                <w:sz w:val="16"/>
                <w:szCs w:val="16"/>
                <w:lang w:eastAsia="en-US"/>
              </w:rPr>
            </w:pPr>
            <w:r w:rsidRPr="0078123D">
              <w:rPr>
                <w:rFonts w:ascii="Arial" w:hAnsi="Arial" w:cs="Arial"/>
                <w:sz w:val="16"/>
                <w:szCs w:val="16"/>
                <w:lang w:eastAsia="en-US"/>
              </w:rPr>
              <w:t>muzeji</w:t>
            </w:r>
          </w:p>
        </w:tc>
        <w:tc>
          <w:tcPr>
            <w:tcW w:w="1012" w:type="dxa"/>
            <w:vAlign w:val="center"/>
          </w:tcPr>
          <w:p w14:paraId="1B51282E" w14:textId="6A528498" w:rsidR="00296F41" w:rsidRPr="0078123D" w:rsidRDefault="00296F41" w:rsidP="00296F41">
            <w:pPr>
              <w:jc w:val="center"/>
              <w:rPr>
                <w:rFonts w:ascii="Arial" w:hAnsi="Arial" w:cs="Arial"/>
                <w:sz w:val="16"/>
                <w:szCs w:val="16"/>
                <w:lang w:eastAsia="en-US"/>
              </w:rPr>
            </w:pPr>
            <w:r w:rsidRPr="00C765CF">
              <w:rPr>
                <w:rFonts w:asciiTheme="minorHAnsi" w:hAnsiTheme="minorHAnsi" w:cstheme="minorHAnsi"/>
                <w:sz w:val="18"/>
                <w:szCs w:val="18"/>
              </w:rPr>
              <w:t>8</w:t>
            </w:r>
          </w:p>
        </w:tc>
        <w:tc>
          <w:tcPr>
            <w:tcW w:w="993" w:type="dxa"/>
            <w:vAlign w:val="center"/>
          </w:tcPr>
          <w:p w14:paraId="137F1B78" w14:textId="27712097" w:rsidR="00296F41" w:rsidRPr="0078123D" w:rsidRDefault="00296F41" w:rsidP="00296F41">
            <w:pPr>
              <w:jc w:val="center"/>
              <w:rPr>
                <w:rFonts w:ascii="Arial" w:hAnsi="Arial" w:cs="Arial"/>
                <w:sz w:val="16"/>
                <w:szCs w:val="16"/>
                <w:lang w:eastAsia="en-US"/>
              </w:rPr>
            </w:pPr>
            <w:r>
              <w:rPr>
                <w:rFonts w:asciiTheme="minorHAnsi" w:hAnsiTheme="minorHAnsi" w:cstheme="minorHAnsi"/>
                <w:sz w:val="18"/>
                <w:szCs w:val="18"/>
              </w:rPr>
              <w:t>15</w:t>
            </w:r>
          </w:p>
        </w:tc>
        <w:tc>
          <w:tcPr>
            <w:tcW w:w="1134" w:type="dxa"/>
            <w:vAlign w:val="center"/>
          </w:tcPr>
          <w:p w14:paraId="0E4D8B43" w14:textId="16B8BA6D" w:rsidR="00296F41" w:rsidRPr="0078123D" w:rsidRDefault="00296F41" w:rsidP="00296F41">
            <w:pPr>
              <w:jc w:val="center"/>
              <w:rPr>
                <w:rFonts w:ascii="Arial" w:hAnsi="Arial" w:cs="Arial"/>
                <w:sz w:val="16"/>
                <w:szCs w:val="16"/>
                <w:lang w:eastAsia="en-US"/>
              </w:rPr>
            </w:pPr>
            <w:r w:rsidRPr="00C765CF">
              <w:rPr>
                <w:rFonts w:asciiTheme="minorHAnsi" w:hAnsiTheme="minorHAnsi" w:cstheme="minorHAnsi"/>
                <w:sz w:val="18"/>
                <w:szCs w:val="18"/>
              </w:rPr>
              <w:t>8</w:t>
            </w:r>
          </w:p>
        </w:tc>
        <w:tc>
          <w:tcPr>
            <w:tcW w:w="1134" w:type="dxa"/>
            <w:vAlign w:val="center"/>
          </w:tcPr>
          <w:p w14:paraId="4FE43373" w14:textId="446A6143" w:rsidR="00296F41" w:rsidRPr="0078123D" w:rsidRDefault="00296F41" w:rsidP="00296F41">
            <w:pPr>
              <w:jc w:val="center"/>
              <w:rPr>
                <w:rFonts w:ascii="Arial" w:hAnsi="Arial" w:cs="Arial"/>
                <w:sz w:val="16"/>
                <w:szCs w:val="16"/>
                <w:lang w:eastAsia="en-US"/>
              </w:rPr>
            </w:pPr>
            <w:r w:rsidRPr="00C765CF">
              <w:rPr>
                <w:rFonts w:asciiTheme="minorHAnsi" w:hAnsiTheme="minorHAnsi" w:cstheme="minorHAnsi"/>
                <w:sz w:val="18"/>
                <w:szCs w:val="18"/>
              </w:rPr>
              <w:t>8</w:t>
            </w:r>
          </w:p>
        </w:tc>
      </w:tr>
    </w:tbl>
    <w:p w14:paraId="5FDF777F" w14:textId="77777777" w:rsidR="00A90FC1" w:rsidRPr="001113E8" w:rsidRDefault="00A90FC1" w:rsidP="001113E8">
      <w:pPr>
        <w:spacing w:after="0" w:line="240" w:lineRule="auto"/>
        <w:contextualSpacing/>
        <w:jc w:val="both"/>
        <w:rPr>
          <w:rFonts w:ascii="Arial" w:eastAsia="Calibri" w:hAnsi="Arial" w:cs="Arial"/>
          <w:b/>
          <w:sz w:val="20"/>
          <w:szCs w:val="20"/>
        </w:rPr>
      </w:pPr>
    </w:p>
    <w:p w14:paraId="0B737EE2" w14:textId="77777777" w:rsidR="00296F41" w:rsidRPr="001113E8" w:rsidRDefault="00296F41" w:rsidP="001113E8">
      <w:pPr>
        <w:spacing w:after="0" w:line="240" w:lineRule="auto"/>
        <w:rPr>
          <w:rFonts w:ascii="Arial" w:eastAsia="Calibri" w:hAnsi="Arial" w:cs="Arial"/>
          <w:sz w:val="20"/>
          <w:szCs w:val="20"/>
        </w:rPr>
      </w:pPr>
      <w:r w:rsidRPr="001113E8">
        <w:rPr>
          <w:rFonts w:ascii="Arial" w:eastAsia="Calibri" w:hAnsi="Arial" w:cs="Arial"/>
          <w:sz w:val="20"/>
          <w:szCs w:val="20"/>
        </w:rPr>
        <w:t>OPIS: Održane su izložbe iz fundusa muzeja u muzejskim jedinicama, kojima je cilj prezentirati građu na edukativan način i ostaviti bibliografsku jedinicu kao nadopunu u znanstvene svrhe istraživanja građe.</w:t>
      </w:r>
    </w:p>
    <w:p w14:paraId="68D75541" w14:textId="77777777" w:rsidR="00296F41" w:rsidRPr="001113E8" w:rsidRDefault="00296F41" w:rsidP="001113E8">
      <w:pPr>
        <w:spacing w:after="0" w:line="240" w:lineRule="auto"/>
        <w:rPr>
          <w:rFonts w:ascii="Arial" w:eastAsia="Calibri" w:hAnsi="Arial" w:cs="Arial"/>
          <w:sz w:val="20"/>
          <w:szCs w:val="20"/>
        </w:rPr>
      </w:pPr>
    </w:p>
    <w:p w14:paraId="27EE7E73" w14:textId="77777777" w:rsidR="00296F41" w:rsidRPr="001113E8" w:rsidRDefault="00296F41" w:rsidP="001113E8">
      <w:pPr>
        <w:spacing w:after="0" w:line="240" w:lineRule="auto"/>
        <w:rPr>
          <w:rFonts w:ascii="Arial" w:eastAsia="Calibri" w:hAnsi="Arial" w:cs="Arial"/>
          <w:sz w:val="20"/>
          <w:szCs w:val="20"/>
        </w:rPr>
      </w:pPr>
      <w:r w:rsidRPr="001113E8">
        <w:rPr>
          <w:rFonts w:ascii="Arial" w:eastAsia="Calibri" w:hAnsi="Arial" w:cs="Arial"/>
          <w:sz w:val="20"/>
          <w:szCs w:val="20"/>
        </w:rPr>
        <w:t>U okviru ove aktivnosti do 30.6.2025. godine održane su sljedeće izložbe:</w:t>
      </w:r>
    </w:p>
    <w:p w14:paraId="0375C178" w14:textId="77777777" w:rsidR="00296F41" w:rsidRPr="001113E8" w:rsidRDefault="00296F41" w:rsidP="001113E8">
      <w:pPr>
        <w:pStyle w:val="Odlomakpopisa"/>
        <w:numPr>
          <w:ilvl w:val="0"/>
          <w:numId w:val="37"/>
        </w:numPr>
        <w:contextualSpacing/>
        <w:jc w:val="left"/>
        <w:rPr>
          <w:rFonts w:ascii="Arial" w:eastAsia="Calibri" w:hAnsi="Arial" w:cs="Arial"/>
        </w:rPr>
      </w:pPr>
      <w:r w:rsidRPr="001113E8">
        <w:rPr>
          <w:rFonts w:ascii="Arial" w:eastAsia="Calibri" w:hAnsi="Arial" w:cs="Arial"/>
          <w:i/>
          <w:iCs/>
        </w:rPr>
        <w:t xml:space="preserve">Glazba Kuće Bukovac (15.12.2024. – 31.03.2025.), </w:t>
      </w:r>
      <w:r w:rsidRPr="001113E8">
        <w:rPr>
          <w:rFonts w:ascii="Arial" w:eastAsia="Calibri" w:hAnsi="Arial" w:cs="Arial"/>
        </w:rPr>
        <w:t>Kuća Bukovac</w:t>
      </w:r>
    </w:p>
    <w:p w14:paraId="578BDB34" w14:textId="77777777" w:rsidR="00296F41" w:rsidRPr="001113E8" w:rsidRDefault="00296F41" w:rsidP="001113E8">
      <w:pPr>
        <w:pStyle w:val="Odlomakpopisa"/>
        <w:numPr>
          <w:ilvl w:val="0"/>
          <w:numId w:val="37"/>
        </w:numPr>
        <w:contextualSpacing/>
        <w:jc w:val="left"/>
        <w:rPr>
          <w:rFonts w:ascii="Arial" w:eastAsia="Calibri" w:hAnsi="Arial" w:cs="Arial"/>
        </w:rPr>
      </w:pPr>
      <w:bookmarkStart w:id="644" w:name="_Hlk222391228"/>
      <w:r w:rsidRPr="001113E8">
        <w:rPr>
          <w:rFonts w:ascii="Arial" w:eastAsia="Calibri" w:hAnsi="Arial" w:cs="Arial"/>
          <w:i/>
          <w:iCs/>
        </w:rPr>
        <w:t xml:space="preserve">Cavtaćanin Niko Miljan – praški učenik Vlaha Bukovca </w:t>
      </w:r>
      <w:bookmarkEnd w:id="644"/>
      <w:r w:rsidRPr="001113E8">
        <w:rPr>
          <w:rFonts w:ascii="Arial" w:eastAsia="Calibri" w:hAnsi="Arial" w:cs="Arial"/>
          <w:i/>
          <w:iCs/>
        </w:rPr>
        <w:t>(29. 5. 2025. -1. 10.2025.), Kuća Bukovac</w:t>
      </w:r>
    </w:p>
    <w:p w14:paraId="2B654617" w14:textId="77777777" w:rsidR="00296F41" w:rsidRPr="001113E8" w:rsidRDefault="00296F41" w:rsidP="001113E8">
      <w:pPr>
        <w:pStyle w:val="Odlomakpopisa"/>
        <w:numPr>
          <w:ilvl w:val="0"/>
          <w:numId w:val="37"/>
        </w:numPr>
        <w:contextualSpacing/>
        <w:jc w:val="left"/>
        <w:rPr>
          <w:rFonts w:ascii="Arial" w:eastAsia="Calibri" w:hAnsi="Arial" w:cs="Arial"/>
        </w:rPr>
      </w:pPr>
      <w:r w:rsidRPr="001113E8">
        <w:rPr>
          <w:rFonts w:ascii="Arial" w:eastAsia="Calibri" w:hAnsi="Arial" w:cs="Arial"/>
          <w:i/>
          <w:iCs/>
        </w:rPr>
        <w:t>Životinjski svijet mladog Bukovca (14. 8. 2025. – 03.12.2025), Kuća Bukovac</w:t>
      </w:r>
    </w:p>
    <w:p w14:paraId="673E9EEB" w14:textId="77777777" w:rsidR="00296F41" w:rsidRPr="001113E8" w:rsidRDefault="00296F41" w:rsidP="001113E8">
      <w:pPr>
        <w:pStyle w:val="Odlomakpopisa"/>
        <w:numPr>
          <w:ilvl w:val="0"/>
          <w:numId w:val="37"/>
        </w:numPr>
        <w:contextualSpacing/>
        <w:jc w:val="left"/>
        <w:rPr>
          <w:rFonts w:ascii="Arial" w:eastAsia="Calibri" w:hAnsi="Arial" w:cs="Arial"/>
        </w:rPr>
      </w:pPr>
      <w:r w:rsidRPr="001113E8">
        <w:rPr>
          <w:rFonts w:ascii="Arial" w:eastAsia="Calibri" w:hAnsi="Arial" w:cs="Arial"/>
          <w:i/>
          <w:iCs/>
        </w:rPr>
        <w:t xml:space="preserve">Bukovac i Bogišić – Dvije znamenite cavtatske obitelji (17.10.2025.-01.04.2026.) Kuća Bukovac </w:t>
      </w:r>
    </w:p>
    <w:p w14:paraId="686390E9" w14:textId="77777777" w:rsidR="00296F41" w:rsidRPr="001113E8" w:rsidRDefault="00296F41" w:rsidP="001113E8">
      <w:pPr>
        <w:pStyle w:val="Textbody"/>
        <w:widowControl/>
        <w:numPr>
          <w:ilvl w:val="0"/>
          <w:numId w:val="47"/>
        </w:numPr>
        <w:spacing w:after="0"/>
        <w:textAlignment w:val="baseline"/>
        <w:rPr>
          <w:rFonts w:ascii="Arial" w:hAnsi="Arial"/>
          <w:color w:val="000000"/>
          <w:sz w:val="20"/>
          <w:szCs w:val="20"/>
        </w:rPr>
      </w:pPr>
      <w:r w:rsidRPr="001113E8">
        <w:rPr>
          <w:rFonts w:ascii="Arial" w:hAnsi="Arial"/>
          <w:i/>
          <w:iCs/>
          <w:color w:val="000000"/>
          <w:sz w:val="20"/>
          <w:szCs w:val="20"/>
        </w:rPr>
        <w:t>Od početka vez</w:t>
      </w:r>
      <w:r w:rsidRPr="001113E8">
        <w:rPr>
          <w:rFonts w:ascii="Arial" w:hAnsi="Arial"/>
          <w:color w:val="000000"/>
          <w:sz w:val="20"/>
          <w:szCs w:val="20"/>
        </w:rPr>
        <w:t xml:space="preserve"> (18. 10. 2024. - 1. 4. 2025.), Zavičajni muzej Konavala</w:t>
      </w:r>
    </w:p>
    <w:p w14:paraId="4EBB17EE" w14:textId="77777777" w:rsidR="00296F41" w:rsidRPr="001113E8" w:rsidRDefault="00296F41" w:rsidP="001113E8">
      <w:pPr>
        <w:pStyle w:val="Textbody"/>
        <w:widowControl/>
        <w:numPr>
          <w:ilvl w:val="0"/>
          <w:numId w:val="37"/>
        </w:numPr>
        <w:spacing w:after="0"/>
        <w:textAlignment w:val="baseline"/>
        <w:rPr>
          <w:rFonts w:ascii="Arial" w:hAnsi="Arial"/>
          <w:color w:val="000000"/>
          <w:sz w:val="20"/>
          <w:szCs w:val="20"/>
        </w:rPr>
      </w:pPr>
      <w:r w:rsidRPr="001113E8">
        <w:rPr>
          <w:rFonts w:ascii="Arial" w:hAnsi="Arial"/>
          <w:i/>
          <w:color w:val="000000"/>
          <w:sz w:val="20"/>
          <w:szCs w:val="20"/>
        </w:rPr>
        <w:t>Djeca oko nas, to je naše na to smo ponosni – djeca i tradicijska kultura,</w:t>
      </w:r>
      <w:r w:rsidRPr="001113E8">
        <w:rPr>
          <w:rFonts w:ascii="Arial" w:hAnsi="Arial"/>
          <w:color w:val="000000"/>
          <w:sz w:val="20"/>
          <w:szCs w:val="20"/>
        </w:rPr>
        <w:t xml:space="preserve"> (1. 12. 2024. -  1. 3. 2025</w:t>
      </w:r>
      <w:bookmarkStart w:id="645" w:name="_Hlk222309468"/>
      <w:r w:rsidRPr="001113E8">
        <w:rPr>
          <w:rFonts w:ascii="Arial" w:hAnsi="Arial"/>
          <w:color w:val="000000"/>
          <w:sz w:val="20"/>
          <w:szCs w:val="20"/>
        </w:rPr>
        <w:t>.), Zavičajni muzej Konavala</w:t>
      </w:r>
    </w:p>
    <w:bookmarkEnd w:id="645"/>
    <w:p w14:paraId="7A91E4C4" w14:textId="77777777" w:rsidR="00296F41" w:rsidRPr="001113E8" w:rsidRDefault="00296F41" w:rsidP="001113E8">
      <w:pPr>
        <w:pStyle w:val="Textbody"/>
        <w:widowControl/>
        <w:numPr>
          <w:ilvl w:val="0"/>
          <w:numId w:val="47"/>
        </w:numPr>
        <w:spacing w:after="0"/>
        <w:textAlignment w:val="baseline"/>
        <w:rPr>
          <w:rFonts w:ascii="Arial" w:hAnsi="Arial"/>
          <w:color w:val="000000"/>
          <w:sz w:val="20"/>
          <w:szCs w:val="20"/>
        </w:rPr>
      </w:pPr>
      <w:r w:rsidRPr="001113E8">
        <w:rPr>
          <w:rFonts w:ascii="Arial" w:hAnsi="Arial"/>
          <w:i/>
          <w:iCs/>
          <w:color w:val="000000"/>
          <w:sz w:val="20"/>
          <w:szCs w:val="20"/>
        </w:rPr>
        <w:t>Dudov svilac u Konavlima</w:t>
      </w:r>
      <w:r w:rsidRPr="001113E8">
        <w:rPr>
          <w:rFonts w:ascii="Arial" w:hAnsi="Arial"/>
          <w:color w:val="000000"/>
          <w:sz w:val="20"/>
          <w:szCs w:val="20"/>
        </w:rPr>
        <w:t xml:space="preserve"> (21. 10. 2024. - 15 07. 2025.), Prirodoslovni muzej Dubrovnik</w:t>
      </w:r>
    </w:p>
    <w:p w14:paraId="4A023534" w14:textId="77777777" w:rsidR="00296F41" w:rsidRPr="001113E8" w:rsidRDefault="00296F41" w:rsidP="001113E8">
      <w:pPr>
        <w:pStyle w:val="Textbody"/>
        <w:widowControl/>
        <w:numPr>
          <w:ilvl w:val="0"/>
          <w:numId w:val="47"/>
        </w:numPr>
        <w:spacing w:after="0"/>
        <w:textAlignment w:val="baseline"/>
        <w:rPr>
          <w:rFonts w:ascii="Arial" w:hAnsi="Arial"/>
          <w:color w:val="000000"/>
          <w:sz w:val="20"/>
          <w:szCs w:val="20"/>
        </w:rPr>
      </w:pPr>
      <w:r w:rsidRPr="001113E8">
        <w:rPr>
          <w:rFonts w:ascii="Arial" w:hAnsi="Arial"/>
          <w:i/>
          <w:iCs/>
          <w:color w:val="000000"/>
          <w:sz w:val="20"/>
          <w:szCs w:val="20"/>
        </w:rPr>
        <w:t xml:space="preserve">Konavoska torba u glini </w:t>
      </w:r>
      <w:r w:rsidRPr="001113E8">
        <w:rPr>
          <w:rFonts w:ascii="Arial" w:hAnsi="Arial"/>
          <w:color w:val="000000"/>
          <w:sz w:val="20"/>
          <w:szCs w:val="20"/>
        </w:rPr>
        <w:t>(30. 8.2025.- 1. 10.2025.), .), Zavičajni muzej Konavala</w:t>
      </w:r>
    </w:p>
    <w:p w14:paraId="51BFEB6C" w14:textId="77777777" w:rsidR="00296F41" w:rsidRPr="001113E8" w:rsidRDefault="00296F41" w:rsidP="001113E8">
      <w:pPr>
        <w:pStyle w:val="Textbody"/>
        <w:widowControl/>
        <w:numPr>
          <w:ilvl w:val="0"/>
          <w:numId w:val="37"/>
        </w:numPr>
        <w:spacing w:after="0"/>
        <w:textAlignment w:val="baseline"/>
        <w:rPr>
          <w:rFonts w:ascii="Arial" w:hAnsi="Arial"/>
          <w:color w:val="000000"/>
          <w:sz w:val="20"/>
          <w:szCs w:val="20"/>
        </w:rPr>
      </w:pPr>
      <w:r w:rsidRPr="001113E8">
        <w:rPr>
          <w:rFonts w:ascii="Arial" w:hAnsi="Arial"/>
          <w:i/>
          <w:iCs/>
          <w:color w:val="000000"/>
          <w:sz w:val="20"/>
          <w:szCs w:val="20"/>
        </w:rPr>
        <w:t>Vez od početka</w:t>
      </w:r>
      <w:r w:rsidRPr="001113E8">
        <w:rPr>
          <w:rFonts w:ascii="Arial" w:hAnsi="Arial"/>
          <w:color w:val="000000"/>
          <w:sz w:val="20"/>
          <w:szCs w:val="20"/>
        </w:rPr>
        <w:t xml:space="preserve"> (13. 9.-2025- 15.11.2025.), .), Zavičajni muzej Konavala</w:t>
      </w:r>
    </w:p>
    <w:p w14:paraId="4AB77EC7" w14:textId="77777777" w:rsidR="00296F41" w:rsidRPr="001113E8" w:rsidRDefault="00296F41" w:rsidP="001113E8">
      <w:pPr>
        <w:pStyle w:val="Textbody"/>
        <w:widowControl/>
        <w:numPr>
          <w:ilvl w:val="0"/>
          <w:numId w:val="37"/>
        </w:numPr>
        <w:spacing w:after="0"/>
        <w:textAlignment w:val="baseline"/>
        <w:rPr>
          <w:rFonts w:ascii="Arial" w:hAnsi="Arial"/>
          <w:color w:val="000000"/>
          <w:sz w:val="20"/>
          <w:szCs w:val="20"/>
        </w:rPr>
      </w:pPr>
      <w:r w:rsidRPr="001113E8">
        <w:rPr>
          <w:rFonts w:ascii="Arial" w:hAnsi="Arial"/>
          <w:i/>
          <w:iCs/>
          <w:color w:val="000000"/>
          <w:sz w:val="20"/>
          <w:szCs w:val="20"/>
        </w:rPr>
        <w:lastRenderedPageBreak/>
        <w:t>Blago planine, gostujuća izložba</w:t>
      </w:r>
      <w:r w:rsidRPr="001113E8">
        <w:rPr>
          <w:rFonts w:ascii="Arial" w:hAnsi="Arial"/>
          <w:color w:val="000000"/>
          <w:sz w:val="20"/>
          <w:szCs w:val="20"/>
        </w:rPr>
        <w:t xml:space="preserve"> (21.11.2025. - 7.12.2025.), Zavičajni muzej Konavala</w:t>
      </w:r>
    </w:p>
    <w:p w14:paraId="7C876B63" w14:textId="77777777" w:rsidR="00296F41" w:rsidRPr="001113E8" w:rsidRDefault="00296F41" w:rsidP="001113E8">
      <w:pPr>
        <w:pStyle w:val="Textbody"/>
        <w:widowControl/>
        <w:numPr>
          <w:ilvl w:val="0"/>
          <w:numId w:val="47"/>
        </w:numPr>
        <w:spacing w:after="0"/>
        <w:textAlignment w:val="baseline"/>
        <w:rPr>
          <w:rFonts w:ascii="Arial" w:hAnsi="Arial"/>
          <w:color w:val="000000"/>
          <w:sz w:val="20"/>
          <w:szCs w:val="20"/>
        </w:rPr>
      </w:pPr>
      <w:r w:rsidRPr="001113E8">
        <w:rPr>
          <w:rFonts w:ascii="Arial" w:hAnsi="Arial"/>
          <w:i/>
          <w:iCs/>
          <w:color w:val="000000"/>
          <w:sz w:val="20"/>
          <w:szCs w:val="20"/>
        </w:rPr>
        <w:t xml:space="preserve">Ratko Zvrko – između svjetla i sjene </w:t>
      </w:r>
      <w:r w:rsidRPr="001113E8">
        <w:rPr>
          <w:rFonts w:ascii="Arial" w:hAnsi="Arial"/>
          <w:color w:val="000000"/>
          <w:sz w:val="20"/>
          <w:szCs w:val="20"/>
        </w:rPr>
        <w:t>(28.12.2025- 15.06. 2026.) Zavičajni muzej Konavala</w:t>
      </w:r>
    </w:p>
    <w:p w14:paraId="722F9FA9" w14:textId="77777777" w:rsidR="00296F41" w:rsidRPr="001113E8" w:rsidRDefault="00296F41" w:rsidP="001113E8">
      <w:pPr>
        <w:pStyle w:val="Obinitekst"/>
        <w:numPr>
          <w:ilvl w:val="0"/>
          <w:numId w:val="47"/>
        </w:numPr>
        <w:rPr>
          <w:rFonts w:ascii="Arial" w:hAnsi="Arial" w:cs="Arial"/>
          <w:sz w:val="20"/>
          <w:szCs w:val="20"/>
        </w:rPr>
      </w:pPr>
      <w:r w:rsidRPr="001113E8">
        <w:rPr>
          <w:rFonts w:ascii="Arial" w:hAnsi="Arial" w:cs="Arial"/>
          <w:i/>
          <w:iCs/>
          <w:sz w:val="20"/>
          <w:szCs w:val="20"/>
        </w:rPr>
        <w:t>Novootkriveni Epidaur: Amfore sa cavtatskih lokaliteta</w:t>
      </w:r>
      <w:r w:rsidRPr="001113E8">
        <w:rPr>
          <w:rFonts w:ascii="Arial" w:hAnsi="Arial" w:cs="Arial"/>
          <w:sz w:val="20"/>
          <w:szCs w:val="20"/>
        </w:rPr>
        <w:t xml:space="preserve"> ( 27.12.2024. - 31. 12. 2025.)  Odjel za arheologiju i spomeničku baštinu</w:t>
      </w:r>
    </w:p>
    <w:p w14:paraId="280D0969" w14:textId="77777777" w:rsidR="00296F41" w:rsidRPr="001113E8" w:rsidRDefault="00296F41" w:rsidP="001113E8">
      <w:pPr>
        <w:pStyle w:val="Obinitekst"/>
        <w:numPr>
          <w:ilvl w:val="0"/>
          <w:numId w:val="47"/>
        </w:numPr>
        <w:rPr>
          <w:rFonts w:ascii="Arial" w:hAnsi="Arial" w:cs="Arial"/>
          <w:sz w:val="20"/>
          <w:szCs w:val="20"/>
        </w:rPr>
      </w:pPr>
      <w:r w:rsidRPr="001113E8">
        <w:rPr>
          <w:rFonts w:ascii="Arial" w:hAnsi="Arial" w:cs="Arial"/>
          <w:i/>
          <w:iCs/>
          <w:sz w:val="20"/>
          <w:szCs w:val="20"/>
        </w:rPr>
        <w:t xml:space="preserve">Moje Konavle – stare fotografije iz privatnih zbirki / Prikupila Katica Radić </w:t>
      </w:r>
      <w:r w:rsidRPr="001113E8">
        <w:rPr>
          <w:rFonts w:ascii="Arial" w:hAnsi="Arial" w:cs="Arial"/>
          <w:sz w:val="20"/>
          <w:szCs w:val="20"/>
        </w:rPr>
        <w:t>(10. 6. 2025. -30. 9. 2025.) Odjel za arheologiju i spomeničku baštinu</w:t>
      </w:r>
    </w:p>
    <w:p w14:paraId="172ED418" w14:textId="77777777" w:rsidR="00296F41" w:rsidRPr="001113E8" w:rsidRDefault="00296F41" w:rsidP="001113E8">
      <w:pPr>
        <w:pStyle w:val="Obinitekst"/>
        <w:numPr>
          <w:ilvl w:val="0"/>
          <w:numId w:val="47"/>
        </w:numPr>
        <w:rPr>
          <w:rFonts w:ascii="Arial" w:hAnsi="Arial" w:cs="Arial"/>
          <w:sz w:val="20"/>
          <w:szCs w:val="20"/>
        </w:rPr>
      </w:pPr>
      <w:r w:rsidRPr="001113E8">
        <w:rPr>
          <w:rFonts w:ascii="Arial" w:hAnsi="Arial" w:cs="Arial"/>
          <w:i/>
          <w:iCs/>
          <w:sz w:val="20"/>
          <w:szCs w:val="20"/>
        </w:rPr>
        <w:t>Konavoske jaslice (</w:t>
      </w:r>
      <w:r w:rsidRPr="001113E8">
        <w:rPr>
          <w:rFonts w:ascii="Arial" w:hAnsi="Arial" w:cs="Arial"/>
          <w:sz w:val="20"/>
          <w:szCs w:val="20"/>
        </w:rPr>
        <w:t>21.12.2025. – 6.1.2026.) Odjel za arheologiju i spomeničku baštinu</w:t>
      </w:r>
    </w:p>
    <w:p w14:paraId="7A8B531D" w14:textId="77777777" w:rsidR="00296F41" w:rsidRPr="001113E8" w:rsidRDefault="00296F41" w:rsidP="001113E8">
      <w:pPr>
        <w:pStyle w:val="Obinitekst"/>
        <w:numPr>
          <w:ilvl w:val="0"/>
          <w:numId w:val="37"/>
        </w:numPr>
        <w:rPr>
          <w:rFonts w:ascii="Arial" w:hAnsi="Arial" w:cs="Arial"/>
          <w:sz w:val="20"/>
          <w:szCs w:val="20"/>
        </w:rPr>
      </w:pPr>
      <w:r w:rsidRPr="001113E8">
        <w:rPr>
          <w:rFonts w:ascii="Arial" w:hAnsi="Arial" w:cs="Arial"/>
          <w:i/>
          <w:iCs/>
          <w:sz w:val="20"/>
          <w:szCs w:val="20"/>
        </w:rPr>
        <w:t xml:space="preserve">Arheo pop up </w:t>
      </w:r>
      <w:r w:rsidRPr="001113E8">
        <w:rPr>
          <w:rFonts w:ascii="Arial" w:hAnsi="Arial" w:cs="Arial"/>
          <w:sz w:val="20"/>
          <w:szCs w:val="20"/>
        </w:rPr>
        <w:t>(15. 11.  - 29. 11.2025) arheološko lokalitet Rat, Cavtat</w:t>
      </w:r>
    </w:p>
    <w:p w14:paraId="7A2724CD" w14:textId="77777777" w:rsidR="0078123D" w:rsidRPr="001113E8" w:rsidRDefault="0078123D" w:rsidP="001113E8">
      <w:pPr>
        <w:spacing w:after="0" w:line="240" w:lineRule="auto"/>
        <w:contextualSpacing/>
        <w:jc w:val="both"/>
        <w:rPr>
          <w:rFonts w:ascii="Arial" w:eastAsia="Calibri" w:hAnsi="Arial" w:cs="Arial"/>
          <w:b/>
          <w:sz w:val="20"/>
          <w:szCs w:val="20"/>
        </w:rPr>
      </w:pPr>
    </w:p>
    <w:p w14:paraId="0877E483" w14:textId="6265625E" w:rsidR="00F74589" w:rsidRPr="001113E8" w:rsidRDefault="00A90FC1" w:rsidP="001113E8">
      <w:pPr>
        <w:spacing w:after="0" w:line="240" w:lineRule="auto"/>
        <w:jc w:val="both"/>
        <w:rPr>
          <w:rFonts w:ascii="Arial" w:eastAsia="Calibri" w:hAnsi="Arial" w:cs="Arial"/>
          <w:sz w:val="20"/>
          <w:szCs w:val="20"/>
        </w:rPr>
      </w:pPr>
      <w:r w:rsidRPr="001113E8">
        <w:rPr>
          <w:rFonts w:ascii="Arial" w:eastAsia="Calibri" w:hAnsi="Arial" w:cs="Arial"/>
          <w:b/>
          <w:sz w:val="20"/>
          <w:szCs w:val="20"/>
        </w:rPr>
        <w:t xml:space="preserve">7.T203108: Konzervatorsko restauratorski radovi </w:t>
      </w:r>
      <w:r w:rsidRPr="001113E8">
        <w:rPr>
          <w:rFonts w:ascii="Arial" w:eastAsia="Calibri" w:hAnsi="Arial" w:cs="Arial"/>
          <w:sz w:val="20"/>
          <w:szCs w:val="20"/>
        </w:rPr>
        <w:t xml:space="preserve">- u sklopu navedene aktivnosti planirano je </w:t>
      </w:r>
      <w:r w:rsidR="00923EDE" w:rsidRPr="001113E8">
        <w:rPr>
          <w:rFonts w:ascii="Arial" w:eastAsia="Calibri" w:hAnsi="Arial" w:cs="Arial"/>
          <w:sz w:val="20"/>
          <w:szCs w:val="20"/>
        </w:rPr>
        <w:t>2</w:t>
      </w:r>
      <w:r w:rsidR="00296F41" w:rsidRPr="001113E8">
        <w:rPr>
          <w:rFonts w:ascii="Arial" w:eastAsia="Calibri" w:hAnsi="Arial" w:cs="Arial"/>
          <w:sz w:val="20"/>
          <w:szCs w:val="20"/>
        </w:rPr>
        <w:t>6</w:t>
      </w:r>
      <w:r w:rsidR="00923EDE" w:rsidRPr="001113E8">
        <w:rPr>
          <w:rFonts w:ascii="Arial" w:eastAsia="Calibri" w:hAnsi="Arial" w:cs="Arial"/>
          <w:sz w:val="20"/>
          <w:szCs w:val="20"/>
        </w:rPr>
        <w:t>.000</w:t>
      </w:r>
      <w:r w:rsidR="00FD724F" w:rsidRPr="001113E8">
        <w:rPr>
          <w:rFonts w:ascii="Arial" w:eastAsia="Calibri" w:hAnsi="Arial" w:cs="Arial"/>
          <w:sz w:val="20"/>
          <w:szCs w:val="20"/>
        </w:rPr>
        <w:t xml:space="preserve"> €</w:t>
      </w:r>
      <w:r w:rsidRPr="001113E8">
        <w:rPr>
          <w:rFonts w:ascii="Arial" w:eastAsia="Calibri" w:hAnsi="Arial" w:cs="Arial"/>
          <w:sz w:val="20"/>
          <w:szCs w:val="20"/>
        </w:rPr>
        <w:t xml:space="preserve">, </w:t>
      </w:r>
      <w:r w:rsidR="003D7373" w:rsidRPr="001113E8">
        <w:rPr>
          <w:rFonts w:ascii="Arial" w:eastAsia="Calibri" w:hAnsi="Arial" w:cs="Arial"/>
          <w:sz w:val="20"/>
          <w:szCs w:val="20"/>
        </w:rPr>
        <w:t>a</w:t>
      </w:r>
      <w:r w:rsidR="00FD724F" w:rsidRPr="001113E8">
        <w:rPr>
          <w:rFonts w:ascii="Arial" w:eastAsia="Calibri" w:hAnsi="Arial" w:cs="Arial"/>
          <w:sz w:val="20"/>
          <w:szCs w:val="20"/>
        </w:rPr>
        <w:t xml:space="preserve"> </w:t>
      </w:r>
      <w:r w:rsidR="002345D8" w:rsidRPr="001113E8">
        <w:rPr>
          <w:rFonts w:ascii="Arial" w:eastAsia="Calibri" w:hAnsi="Arial" w:cs="Arial"/>
          <w:sz w:val="20"/>
          <w:szCs w:val="20"/>
        </w:rPr>
        <w:t xml:space="preserve">utrošeno </w:t>
      </w:r>
      <w:r w:rsidR="00FD724F" w:rsidRPr="001113E8">
        <w:rPr>
          <w:rFonts w:ascii="Arial" w:eastAsia="Calibri" w:hAnsi="Arial" w:cs="Arial"/>
          <w:sz w:val="20"/>
          <w:szCs w:val="20"/>
        </w:rPr>
        <w:t xml:space="preserve">je </w:t>
      </w:r>
      <w:r w:rsidR="00296F41" w:rsidRPr="001113E8">
        <w:rPr>
          <w:rFonts w:ascii="Arial" w:eastAsia="Calibri" w:hAnsi="Arial" w:cs="Arial"/>
          <w:sz w:val="20"/>
          <w:szCs w:val="20"/>
        </w:rPr>
        <w:t>24.393,76</w:t>
      </w:r>
      <w:r w:rsidR="00FD724F" w:rsidRPr="001113E8">
        <w:rPr>
          <w:rFonts w:ascii="Arial" w:eastAsia="Calibri" w:hAnsi="Arial" w:cs="Arial"/>
          <w:sz w:val="20"/>
          <w:szCs w:val="20"/>
        </w:rPr>
        <w:t xml:space="preserve"> € ili </w:t>
      </w:r>
      <w:r w:rsidR="00296F41" w:rsidRPr="001113E8">
        <w:rPr>
          <w:rFonts w:ascii="Arial" w:eastAsia="Calibri" w:hAnsi="Arial" w:cs="Arial"/>
          <w:sz w:val="20"/>
          <w:szCs w:val="20"/>
        </w:rPr>
        <w:t>93,8</w:t>
      </w:r>
      <w:r w:rsidR="002345D8" w:rsidRPr="001113E8">
        <w:rPr>
          <w:rFonts w:ascii="Arial" w:eastAsia="Calibri" w:hAnsi="Arial" w:cs="Arial"/>
          <w:sz w:val="20"/>
          <w:szCs w:val="20"/>
        </w:rPr>
        <w:t>%</w:t>
      </w:r>
      <w:r w:rsidR="00296F41" w:rsidRPr="001113E8">
        <w:rPr>
          <w:rFonts w:ascii="Arial" w:eastAsia="Calibri" w:hAnsi="Arial" w:cs="Arial"/>
          <w:sz w:val="20"/>
          <w:szCs w:val="20"/>
        </w:rPr>
        <w:t>.</w:t>
      </w:r>
    </w:p>
    <w:p w14:paraId="31BEE327" w14:textId="77777777" w:rsidR="00296F41" w:rsidRPr="001113E8" w:rsidRDefault="00296F41" w:rsidP="001113E8">
      <w:pPr>
        <w:spacing w:after="0" w:line="240" w:lineRule="auto"/>
        <w:jc w:val="both"/>
        <w:rPr>
          <w:rFonts w:ascii="Arial" w:eastAsia="Calibri" w:hAnsi="Arial" w:cs="Arial"/>
          <w:sz w:val="20"/>
          <w:szCs w:val="20"/>
        </w:rPr>
      </w:pPr>
    </w:p>
    <w:p w14:paraId="53C4BBCA" w14:textId="6211870F" w:rsidR="00296F41" w:rsidRPr="001113E8" w:rsidRDefault="00296F41" w:rsidP="001113E8">
      <w:pPr>
        <w:pStyle w:val="StandardWeb"/>
        <w:spacing w:before="0" w:after="0"/>
        <w:jc w:val="both"/>
        <w:rPr>
          <w:rFonts w:ascii="Arial" w:eastAsia="Calibri" w:hAnsi="Arial" w:cs="Arial"/>
          <w:sz w:val="20"/>
          <w:szCs w:val="20"/>
        </w:rPr>
      </w:pPr>
      <w:r w:rsidRPr="001113E8">
        <w:rPr>
          <w:rFonts w:ascii="Arial" w:hAnsi="Arial" w:cs="Arial"/>
          <w:sz w:val="20"/>
          <w:szCs w:val="20"/>
        </w:rPr>
        <w:t xml:space="preserve">Navedena aktivnost obuhvaća rashode za provedbu konzervatorsko-restauratorskih radova na muzejskim predmetima, uključujući troškove stručnih usluga i nabavu materijala potrebnih za njihovu realizaciju. Na ovoj aktivnosti </w:t>
      </w:r>
      <w:r w:rsidRPr="001113E8">
        <w:rPr>
          <w:rFonts w:ascii="Arial" w:eastAsia="Calibri" w:hAnsi="Arial" w:cs="Arial"/>
          <w:sz w:val="20"/>
          <w:szCs w:val="20"/>
        </w:rPr>
        <w:t xml:space="preserve">utrošeno je 24.393,76 €. Iznos od 23.125,200 € odnosi se na </w:t>
      </w:r>
      <w:r w:rsidRPr="001113E8">
        <w:rPr>
          <w:rFonts w:ascii="Arial" w:hAnsi="Arial" w:cs="Arial"/>
          <w:sz w:val="20"/>
          <w:szCs w:val="20"/>
        </w:rPr>
        <w:t>konzervatorsko-restauratorske radove cjelovite obnove Harmonija SILVIUS-a GLASER-a, Accordeon Fabrik Wien,  KB-708  iz fundus Kuće Bukovac dijelom financiran od strane Ministarstva kulture i medija, a većim dijelom vlastitim sredstvima ustanove.</w:t>
      </w:r>
    </w:p>
    <w:p w14:paraId="41343561" w14:textId="77777777" w:rsidR="00652843" w:rsidRPr="001113E8" w:rsidRDefault="00652843" w:rsidP="001113E8">
      <w:pPr>
        <w:spacing w:after="0" w:line="240" w:lineRule="auto"/>
        <w:jc w:val="both"/>
        <w:rPr>
          <w:rFonts w:ascii="Arial" w:eastAsia="Calibri" w:hAnsi="Arial" w:cs="Arial"/>
          <w:b/>
          <w:sz w:val="20"/>
          <w:szCs w:val="20"/>
        </w:rPr>
      </w:pPr>
    </w:p>
    <w:p w14:paraId="7ABF6CFC" w14:textId="4A1044C0" w:rsidR="00283FFF" w:rsidRPr="001113E8" w:rsidRDefault="00A90FC1" w:rsidP="001113E8">
      <w:pPr>
        <w:spacing w:after="0" w:line="240" w:lineRule="auto"/>
        <w:jc w:val="both"/>
        <w:rPr>
          <w:rFonts w:ascii="Arial" w:eastAsia="Calibri" w:hAnsi="Arial" w:cs="Arial"/>
          <w:sz w:val="20"/>
          <w:szCs w:val="20"/>
        </w:rPr>
      </w:pPr>
      <w:r w:rsidRPr="001113E8">
        <w:rPr>
          <w:rFonts w:ascii="Arial" w:eastAsia="Calibri" w:hAnsi="Arial" w:cs="Arial"/>
          <w:b/>
          <w:sz w:val="20"/>
          <w:szCs w:val="20"/>
        </w:rPr>
        <w:t>8</w:t>
      </w:r>
      <w:r w:rsidR="00283FFF" w:rsidRPr="001113E8">
        <w:rPr>
          <w:rFonts w:ascii="Arial" w:eastAsia="Calibri" w:hAnsi="Arial" w:cs="Arial"/>
          <w:b/>
          <w:sz w:val="20"/>
          <w:szCs w:val="20"/>
        </w:rPr>
        <w:t xml:space="preserve">. T203109: Redefiniranje uloge muzeja u turističkoj ponudi </w:t>
      </w:r>
      <w:r w:rsidR="00283FFF" w:rsidRPr="001113E8">
        <w:rPr>
          <w:rFonts w:ascii="Arial" w:eastAsia="Calibri" w:hAnsi="Arial" w:cs="Arial"/>
          <w:sz w:val="20"/>
          <w:szCs w:val="20"/>
        </w:rPr>
        <w:t>– U 202</w:t>
      </w:r>
      <w:r w:rsidR="00652843" w:rsidRPr="001113E8">
        <w:rPr>
          <w:rFonts w:ascii="Arial" w:eastAsia="Calibri" w:hAnsi="Arial" w:cs="Arial"/>
          <w:sz w:val="20"/>
          <w:szCs w:val="20"/>
        </w:rPr>
        <w:t>5</w:t>
      </w:r>
      <w:r w:rsidR="00283FFF" w:rsidRPr="001113E8">
        <w:rPr>
          <w:rFonts w:ascii="Arial" w:eastAsia="Calibri" w:hAnsi="Arial" w:cs="Arial"/>
          <w:sz w:val="20"/>
          <w:szCs w:val="20"/>
        </w:rPr>
        <w:t xml:space="preserve">. godini </w:t>
      </w:r>
      <w:r w:rsidR="00ED5AE5" w:rsidRPr="001113E8">
        <w:rPr>
          <w:rFonts w:ascii="Arial" w:eastAsia="Calibri" w:hAnsi="Arial" w:cs="Arial"/>
          <w:sz w:val="20"/>
          <w:szCs w:val="20"/>
        </w:rPr>
        <w:t>ni</w:t>
      </w:r>
      <w:r w:rsidR="00FD724F" w:rsidRPr="001113E8">
        <w:rPr>
          <w:rFonts w:ascii="Arial" w:eastAsia="Calibri" w:hAnsi="Arial" w:cs="Arial"/>
          <w:sz w:val="20"/>
          <w:szCs w:val="20"/>
        </w:rPr>
        <w:t>su</w:t>
      </w:r>
      <w:r w:rsidR="00283FFF" w:rsidRPr="001113E8">
        <w:rPr>
          <w:rFonts w:ascii="Arial" w:eastAsia="Calibri" w:hAnsi="Arial" w:cs="Arial"/>
          <w:sz w:val="20"/>
          <w:szCs w:val="20"/>
        </w:rPr>
        <w:t xml:space="preserve"> planirana proračunska sredstva</w:t>
      </w:r>
      <w:r w:rsidR="00ED5AE5" w:rsidRPr="001113E8">
        <w:rPr>
          <w:rFonts w:ascii="Arial" w:eastAsia="Calibri" w:hAnsi="Arial" w:cs="Arial"/>
          <w:sz w:val="20"/>
          <w:szCs w:val="20"/>
        </w:rPr>
        <w:t>.</w:t>
      </w:r>
    </w:p>
    <w:p w14:paraId="17409936" w14:textId="77777777" w:rsidR="003D7373" w:rsidRPr="001113E8" w:rsidRDefault="003D7373" w:rsidP="001113E8">
      <w:pPr>
        <w:spacing w:after="0" w:line="240" w:lineRule="auto"/>
        <w:jc w:val="both"/>
        <w:rPr>
          <w:rFonts w:ascii="Arial" w:eastAsia="Calibri" w:hAnsi="Arial" w:cs="Arial"/>
          <w:sz w:val="20"/>
          <w:szCs w:val="20"/>
        </w:rPr>
      </w:pPr>
    </w:p>
    <w:p w14:paraId="66826617" w14:textId="620D585B" w:rsidR="00FD724F" w:rsidRPr="001113E8" w:rsidRDefault="003D7373" w:rsidP="001113E8">
      <w:pPr>
        <w:autoSpaceDE w:val="0"/>
        <w:autoSpaceDN w:val="0"/>
        <w:adjustRightInd w:val="0"/>
        <w:spacing w:after="0" w:line="240" w:lineRule="auto"/>
        <w:jc w:val="both"/>
        <w:rPr>
          <w:rFonts w:ascii="Arial" w:eastAsia="Calibri" w:hAnsi="Arial" w:cs="Arial"/>
          <w:sz w:val="20"/>
          <w:szCs w:val="20"/>
        </w:rPr>
      </w:pPr>
      <w:r w:rsidRPr="001113E8">
        <w:rPr>
          <w:rFonts w:ascii="Arial" w:eastAsia="Calibri" w:hAnsi="Arial" w:cs="Arial"/>
          <w:b/>
          <w:sz w:val="20"/>
          <w:szCs w:val="20"/>
        </w:rPr>
        <w:t>9. A203110: Kulturne aktivnosti u muzejsko galerijskoj djelatnosti i suvenirski program</w:t>
      </w:r>
      <w:r w:rsidRPr="001113E8">
        <w:rPr>
          <w:rFonts w:ascii="Arial" w:eastAsia="Calibri" w:hAnsi="Arial" w:cs="Arial"/>
          <w:sz w:val="20"/>
          <w:szCs w:val="20"/>
        </w:rPr>
        <w:t xml:space="preserve">- u sklopu navedene aktivnosti su planirana proračunska sredstva u iznosu </w:t>
      </w:r>
      <w:r w:rsidR="00652843" w:rsidRPr="001113E8">
        <w:rPr>
          <w:rFonts w:ascii="Arial" w:eastAsia="Calibri" w:hAnsi="Arial" w:cs="Arial"/>
          <w:sz w:val="20"/>
          <w:szCs w:val="20"/>
        </w:rPr>
        <w:t>13.800</w:t>
      </w:r>
      <w:r w:rsidR="00FD724F" w:rsidRPr="001113E8">
        <w:rPr>
          <w:rFonts w:ascii="Arial" w:eastAsia="Calibri" w:hAnsi="Arial" w:cs="Arial"/>
          <w:sz w:val="20"/>
          <w:szCs w:val="20"/>
        </w:rPr>
        <w:t xml:space="preserve"> €</w:t>
      </w:r>
      <w:r w:rsidRPr="001113E8">
        <w:rPr>
          <w:rFonts w:ascii="Arial" w:eastAsia="Calibri" w:hAnsi="Arial" w:cs="Arial"/>
          <w:sz w:val="20"/>
          <w:szCs w:val="20"/>
        </w:rPr>
        <w:t>, a izvrše</w:t>
      </w:r>
      <w:r w:rsidR="0076476F" w:rsidRPr="001113E8">
        <w:rPr>
          <w:rFonts w:ascii="Arial" w:eastAsia="Calibri" w:hAnsi="Arial" w:cs="Arial"/>
          <w:sz w:val="20"/>
          <w:szCs w:val="20"/>
        </w:rPr>
        <w:t>no je 13.074,29</w:t>
      </w:r>
      <w:r w:rsidR="00FD724F" w:rsidRPr="001113E8">
        <w:rPr>
          <w:rFonts w:ascii="Arial" w:eastAsia="Calibri" w:hAnsi="Arial" w:cs="Arial"/>
          <w:sz w:val="20"/>
          <w:szCs w:val="20"/>
        </w:rPr>
        <w:t xml:space="preserve"> €</w:t>
      </w:r>
      <w:r w:rsidRPr="001113E8">
        <w:rPr>
          <w:rFonts w:ascii="Arial" w:eastAsia="Calibri" w:hAnsi="Arial" w:cs="Arial"/>
          <w:sz w:val="20"/>
          <w:szCs w:val="20"/>
        </w:rPr>
        <w:t xml:space="preserve"> odnosno </w:t>
      </w:r>
      <w:r w:rsidR="0076476F" w:rsidRPr="001113E8">
        <w:rPr>
          <w:rFonts w:ascii="Arial" w:eastAsia="Calibri" w:hAnsi="Arial" w:cs="Arial"/>
          <w:sz w:val="20"/>
          <w:szCs w:val="20"/>
        </w:rPr>
        <w:t>94,7</w:t>
      </w:r>
      <w:r w:rsidRPr="001113E8">
        <w:rPr>
          <w:rFonts w:ascii="Arial" w:eastAsia="Calibri" w:hAnsi="Arial" w:cs="Arial"/>
          <w:sz w:val="20"/>
          <w:szCs w:val="20"/>
        </w:rPr>
        <w:t>% planiranog</w:t>
      </w:r>
      <w:r w:rsidR="0076476F" w:rsidRPr="001113E8">
        <w:rPr>
          <w:rFonts w:ascii="Arial" w:eastAsia="Calibri" w:hAnsi="Arial" w:cs="Arial"/>
          <w:sz w:val="20"/>
          <w:szCs w:val="20"/>
        </w:rPr>
        <w:t>. Izvršenje se najvećim dijelom odnosi na troškove nabave suvenira za muzejske prodavaonice</w:t>
      </w:r>
    </w:p>
    <w:p w14:paraId="33936EBA" w14:textId="77777777" w:rsidR="00FD724F" w:rsidRPr="001113E8" w:rsidRDefault="00FD724F" w:rsidP="001113E8">
      <w:pPr>
        <w:autoSpaceDE w:val="0"/>
        <w:autoSpaceDN w:val="0"/>
        <w:adjustRightInd w:val="0"/>
        <w:spacing w:after="0" w:line="240" w:lineRule="auto"/>
        <w:jc w:val="both"/>
        <w:rPr>
          <w:rFonts w:ascii="Arial" w:eastAsia="Calibri" w:hAnsi="Arial" w:cs="Arial"/>
          <w:sz w:val="20"/>
          <w:szCs w:val="20"/>
        </w:rPr>
      </w:pPr>
    </w:p>
    <w:p w14:paraId="0B716B6A" w14:textId="35038708" w:rsidR="0076476F" w:rsidRPr="001113E8" w:rsidRDefault="0076476F" w:rsidP="001113E8">
      <w:pPr>
        <w:autoSpaceDE w:val="0"/>
        <w:autoSpaceDN w:val="0"/>
        <w:adjustRightInd w:val="0"/>
        <w:spacing w:after="0" w:line="240" w:lineRule="auto"/>
        <w:jc w:val="both"/>
        <w:rPr>
          <w:rFonts w:ascii="Arial" w:eastAsia="Calibri" w:hAnsi="Arial" w:cs="Arial"/>
          <w:sz w:val="20"/>
          <w:szCs w:val="20"/>
        </w:rPr>
      </w:pPr>
      <w:r w:rsidRPr="001113E8">
        <w:rPr>
          <w:rFonts w:ascii="Arial" w:eastAsia="Calibri" w:hAnsi="Arial" w:cs="Arial"/>
          <w:sz w:val="20"/>
          <w:szCs w:val="20"/>
        </w:rPr>
        <w:t xml:space="preserve">Kulturne aktivnosti Muzeja i galerija Konavala obuhvaćaju sva organizirana javna okupljanja vezana za prezentaciju, obradu ili istraživanje građe koja u svojem konceptu imaju i zabavni element kojim se privlači nove muzejske publike, riječ je o prigodnim koncertima, predstavama, predavanjima i gostovanjima koja populariziraju dolazak u muzeje. Veliki udio ove aktivnosti se odnosi na suvenirski program kojim se kroz bogatu ponudu replika, memorabilija i izdavaštva ostvaruje značajan prihod ustanove. </w:t>
      </w:r>
    </w:p>
    <w:p w14:paraId="0E388304" w14:textId="77777777" w:rsidR="00CB613A" w:rsidRPr="0076476F" w:rsidRDefault="00CB613A" w:rsidP="003D7373">
      <w:pPr>
        <w:autoSpaceDE w:val="0"/>
        <w:autoSpaceDN w:val="0"/>
        <w:adjustRightInd w:val="0"/>
        <w:spacing w:after="0" w:line="240" w:lineRule="auto"/>
        <w:jc w:val="both"/>
        <w:rPr>
          <w:rFonts w:ascii="Arial" w:eastAsia="Calibri" w:hAnsi="Arial" w:cs="Arial"/>
          <w:sz w:val="20"/>
          <w:szCs w:val="20"/>
        </w:rPr>
      </w:pPr>
    </w:p>
    <w:tbl>
      <w:tblPr>
        <w:tblStyle w:val="Reetkatablice5"/>
        <w:tblW w:w="13478" w:type="dxa"/>
        <w:jc w:val="center"/>
        <w:tblLayout w:type="fixed"/>
        <w:tblLook w:val="04A0" w:firstRow="1" w:lastRow="0" w:firstColumn="1" w:lastColumn="0" w:noHBand="0" w:noVBand="1"/>
      </w:tblPr>
      <w:tblGrid>
        <w:gridCol w:w="2689"/>
        <w:gridCol w:w="3134"/>
        <w:gridCol w:w="992"/>
        <w:gridCol w:w="1134"/>
        <w:gridCol w:w="993"/>
        <w:gridCol w:w="1134"/>
        <w:gridCol w:w="1134"/>
        <w:gridCol w:w="1134"/>
        <w:gridCol w:w="1134"/>
      </w:tblGrid>
      <w:tr w:rsidR="0076476F" w:rsidRPr="001A53BF" w14:paraId="022F9899" w14:textId="77777777" w:rsidTr="00473D9D">
        <w:trPr>
          <w:jc w:val="center"/>
        </w:trPr>
        <w:tc>
          <w:tcPr>
            <w:tcW w:w="2689" w:type="dxa"/>
            <w:tcBorders>
              <w:bottom w:val="single" w:sz="4" w:space="0" w:color="auto"/>
            </w:tcBorders>
            <w:shd w:val="clear" w:color="auto" w:fill="BFBFBF" w:themeFill="background1" w:themeFillShade="BF"/>
            <w:vAlign w:val="center"/>
          </w:tcPr>
          <w:p w14:paraId="376D6FAC" w14:textId="77777777" w:rsidR="0076476F" w:rsidRPr="001A53BF" w:rsidRDefault="0076476F" w:rsidP="0076476F">
            <w:pPr>
              <w:jc w:val="center"/>
              <w:rPr>
                <w:rFonts w:ascii="Arial" w:eastAsia="Calibri" w:hAnsi="Arial" w:cs="Arial"/>
                <w:sz w:val="18"/>
                <w:szCs w:val="18"/>
              </w:rPr>
            </w:pPr>
            <w:r w:rsidRPr="001A53BF">
              <w:rPr>
                <w:rFonts w:ascii="Arial" w:eastAsia="Calibri" w:hAnsi="Arial" w:cs="Arial"/>
                <w:sz w:val="18"/>
                <w:szCs w:val="18"/>
              </w:rPr>
              <w:t>Pokazatelj uspješnosti</w:t>
            </w:r>
          </w:p>
        </w:tc>
        <w:tc>
          <w:tcPr>
            <w:tcW w:w="3134" w:type="dxa"/>
            <w:shd w:val="clear" w:color="auto" w:fill="BFBFBF" w:themeFill="background1" w:themeFillShade="BF"/>
            <w:vAlign w:val="center"/>
          </w:tcPr>
          <w:p w14:paraId="7C61ED8D" w14:textId="77777777" w:rsidR="0076476F" w:rsidRPr="001A53BF" w:rsidRDefault="0076476F" w:rsidP="0076476F">
            <w:pPr>
              <w:jc w:val="center"/>
              <w:rPr>
                <w:rFonts w:ascii="Arial" w:eastAsia="Calibri" w:hAnsi="Arial" w:cs="Arial"/>
                <w:sz w:val="18"/>
                <w:szCs w:val="18"/>
              </w:rPr>
            </w:pPr>
            <w:r w:rsidRPr="001A53BF">
              <w:rPr>
                <w:rFonts w:ascii="Arial" w:eastAsia="Calibri" w:hAnsi="Arial" w:cs="Arial"/>
                <w:sz w:val="18"/>
                <w:szCs w:val="18"/>
              </w:rPr>
              <w:t>Definicija</w:t>
            </w:r>
          </w:p>
        </w:tc>
        <w:tc>
          <w:tcPr>
            <w:tcW w:w="992" w:type="dxa"/>
            <w:shd w:val="clear" w:color="auto" w:fill="BFBFBF" w:themeFill="background1" w:themeFillShade="BF"/>
            <w:vAlign w:val="center"/>
          </w:tcPr>
          <w:p w14:paraId="53E332C8" w14:textId="77777777" w:rsidR="0076476F" w:rsidRPr="001A53BF" w:rsidRDefault="0076476F" w:rsidP="0076476F">
            <w:pPr>
              <w:jc w:val="center"/>
              <w:rPr>
                <w:rFonts w:ascii="Arial" w:eastAsia="Calibri" w:hAnsi="Arial" w:cs="Arial"/>
                <w:sz w:val="18"/>
                <w:szCs w:val="18"/>
              </w:rPr>
            </w:pPr>
            <w:r w:rsidRPr="001A53BF">
              <w:rPr>
                <w:rFonts w:ascii="Arial" w:eastAsia="Calibri" w:hAnsi="Arial" w:cs="Arial"/>
                <w:sz w:val="18"/>
                <w:szCs w:val="18"/>
              </w:rPr>
              <w:t>Jedinica</w:t>
            </w:r>
          </w:p>
        </w:tc>
        <w:tc>
          <w:tcPr>
            <w:tcW w:w="1134" w:type="dxa"/>
            <w:shd w:val="clear" w:color="auto" w:fill="BFBFBF" w:themeFill="background1" w:themeFillShade="BF"/>
            <w:vAlign w:val="center"/>
          </w:tcPr>
          <w:p w14:paraId="4E200689" w14:textId="77777777" w:rsidR="0076476F" w:rsidRPr="001A53BF" w:rsidRDefault="0076476F" w:rsidP="0076476F">
            <w:pPr>
              <w:jc w:val="center"/>
              <w:rPr>
                <w:rFonts w:ascii="Arial" w:eastAsia="Calibri" w:hAnsi="Arial" w:cs="Arial"/>
                <w:sz w:val="18"/>
                <w:szCs w:val="18"/>
              </w:rPr>
            </w:pPr>
            <w:r w:rsidRPr="001A53BF">
              <w:rPr>
                <w:rFonts w:ascii="Arial" w:eastAsia="Calibri" w:hAnsi="Arial" w:cs="Arial"/>
                <w:sz w:val="18"/>
                <w:szCs w:val="18"/>
              </w:rPr>
              <w:t>Polazna vrijednost</w:t>
            </w:r>
          </w:p>
          <w:p w14:paraId="3DA7947B" w14:textId="0B820F2F" w:rsidR="0076476F" w:rsidRPr="001A53BF" w:rsidRDefault="0076476F" w:rsidP="0076476F">
            <w:pPr>
              <w:jc w:val="center"/>
              <w:rPr>
                <w:rFonts w:ascii="Arial" w:eastAsia="Calibri" w:hAnsi="Arial" w:cs="Arial"/>
                <w:sz w:val="18"/>
                <w:szCs w:val="18"/>
              </w:rPr>
            </w:pPr>
            <w:r w:rsidRPr="001A53BF">
              <w:rPr>
                <w:rFonts w:ascii="Arial" w:eastAsia="Calibri" w:hAnsi="Arial" w:cs="Arial"/>
                <w:sz w:val="18"/>
                <w:szCs w:val="18"/>
              </w:rPr>
              <w:t>202</w:t>
            </w:r>
            <w:r>
              <w:rPr>
                <w:rFonts w:ascii="Arial" w:eastAsia="Calibri" w:hAnsi="Arial" w:cs="Arial"/>
                <w:sz w:val="18"/>
                <w:szCs w:val="18"/>
              </w:rPr>
              <w:t>5</w:t>
            </w:r>
            <w:r w:rsidRPr="001A53BF">
              <w:rPr>
                <w:rFonts w:ascii="Arial" w:eastAsia="Calibri" w:hAnsi="Arial" w:cs="Arial"/>
                <w:sz w:val="18"/>
                <w:szCs w:val="18"/>
              </w:rPr>
              <w:t>.</w:t>
            </w:r>
          </w:p>
        </w:tc>
        <w:tc>
          <w:tcPr>
            <w:tcW w:w="993" w:type="dxa"/>
            <w:shd w:val="clear" w:color="auto" w:fill="BFBFBF" w:themeFill="background1" w:themeFillShade="BF"/>
            <w:vAlign w:val="center"/>
          </w:tcPr>
          <w:p w14:paraId="60F7FCF0" w14:textId="77777777" w:rsidR="0076476F" w:rsidRPr="001A53BF" w:rsidRDefault="0076476F" w:rsidP="0076476F">
            <w:pPr>
              <w:jc w:val="center"/>
              <w:rPr>
                <w:rFonts w:ascii="Arial" w:eastAsia="Calibri" w:hAnsi="Arial" w:cs="Arial"/>
                <w:sz w:val="18"/>
                <w:szCs w:val="18"/>
              </w:rPr>
            </w:pPr>
            <w:r w:rsidRPr="001A53BF">
              <w:rPr>
                <w:rFonts w:ascii="Arial" w:eastAsia="Calibri" w:hAnsi="Arial" w:cs="Arial"/>
                <w:sz w:val="18"/>
                <w:szCs w:val="18"/>
              </w:rPr>
              <w:t>Izvor podataka</w:t>
            </w:r>
          </w:p>
        </w:tc>
        <w:tc>
          <w:tcPr>
            <w:tcW w:w="1134" w:type="dxa"/>
            <w:shd w:val="clear" w:color="auto" w:fill="BFBFBF" w:themeFill="background1" w:themeFillShade="BF"/>
            <w:vAlign w:val="center"/>
          </w:tcPr>
          <w:p w14:paraId="24AF5D41" w14:textId="54E14C3B" w:rsidR="0076476F" w:rsidRPr="0076476F" w:rsidRDefault="0076476F" w:rsidP="0076476F">
            <w:pPr>
              <w:jc w:val="center"/>
              <w:rPr>
                <w:rFonts w:ascii="Arial" w:eastAsia="Calibri" w:hAnsi="Arial" w:cs="Arial"/>
                <w:sz w:val="18"/>
                <w:szCs w:val="18"/>
              </w:rPr>
            </w:pPr>
            <w:r w:rsidRPr="0076476F">
              <w:rPr>
                <w:rFonts w:ascii="Arial" w:eastAsia="Calibri" w:hAnsi="Arial" w:cs="Arial"/>
                <w:sz w:val="18"/>
                <w:szCs w:val="18"/>
              </w:rPr>
              <w:t>Ciljana vrijednost 2025.</w:t>
            </w:r>
          </w:p>
        </w:tc>
        <w:tc>
          <w:tcPr>
            <w:tcW w:w="1134" w:type="dxa"/>
            <w:shd w:val="clear" w:color="auto" w:fill="BFBFBF" w:themeFill="background1" w:themeFillShade="BF"/>
            <w:vAlign w:val="center"/>
          </w:tcPr>
          <w:p w14:paraId="57C68D88" w14:textId="77777777" w:rsidR="0076476F" w:rsidRPr="0076476F" w:rsidRDefault="0076476F" w:rsidP="0076476F">
            <w:pPr>
              <w:jc w:val="center"/>
              <w:rPr>
                <w:rFonts w:ascii="Arial" w:eastAsia="Calibri" w:hAnsi="Arial" w:cs="Arial"/>
                <w:sz w:val="18"/>
                <w:szCs w:val="18"/>
              </w:rPr>
            </w:pPr>
            <w:r w:rsidRPr="0076476F">
              <w:rPr>
                <w:rFonts w:ascii="Arial" w:eastAsia="Calibri" w:hAnsi="Arial" w:cs="Arial"/>
                <w:sz w:val="18"/>
                <w:szCs w:val="18"/>
              </w:rPr>
              <w:t xml:space="preserve">Izvršeno  </w:t>
            </w:r>
          </w:p>
          <w:p w14:paraId="769946D3" w14:textId="7730876D" w:rsidR="0076476F" w:rsidRPr="0076476F" w:rsidRDefault="0076476F" w:rsidP="0076476F">
            <w:pPr>
              <w:jc w:val="center"/>
              <w:rPr>
                <w:rFonts w:ascii="Arial" w:eastAsia="Calibri" w:hAnsi="Arial" w:cs="Arial"/>
                <w:sz w:val="18"/>
                <w:szCs w:val="18"/>
              </w:rPr>
            </w:pPr>
            <w:r w:rsidRPr="0076476F">
              <w:rPr>
                <w:rFonts w:ascii="Arial" w:eastAsia="Calibri" w:hAnsi="Arial" w:cs="Arial"/>
                <w:sz w:val="18"/>
                <w:szCs w:val="18"/>
              </w:rPr>
              <w:t>2025</w:t>
            </w:r>
          </w:p>
        </w:tc>
        <w:tc>
          <w:tcPr>
            <w:tcW w:w="1134" w:type="dxa"/>
            <w:shd w:val="clear" w:color="auto" w:fill="BFBFBF" w:themeFill="background1" w:themeFillShade="BF"/>
            <w:vAlign w:val="center"/>
          </w:tcPr>
          <w:p w14:paraId="713F000A" w14:textId="1BC84574" w:rsidR="0076476F" w:rsidRPr="0076476F" w:rsidRDefault="0076476F" w:rsidP="0076476F">
            <w:pPr>
              <w:jc w:val="center"/>
              <w:rPr>
                <w:rFonts w:ascii="Arial" w:eastAsia="Calibri" w:hAnsi="Arial" w:cs="Arial"/>
                <w:sz w:val="18"/>
                <w:szCs w:val="18"/>
              </w:rPr>
            </w:pPr>
            <w:r w:rsidRPr="0076476F">
              <w:rPr>
                <w:rFonts w:ascii="Arial" w:eastAsia="Calibri" w:hAnsi="Arial" w:cs="Arial"/>
                <w:sz w:val="18"/>
                <w:szCs w:val="18"/>
              </w:rPr>
              <w:t>Ciljana vrijednost 2026.</w:t>
            </w:r>
          </w:p>
        </w:tc>
        <w:tc>
          <w:tcPr>
            <w:tcW w:w="1134" w:type="dxa"/>
            <w:shd w:val="clear" w:color="auto" w:fill="BFBFBF" w:themeFill="background1" w:themeFillShade="BF"/>
            <w:vAlign w:val="center"/>
          </w:tcPr>
          <w:p w14:paraId="18F17559" w14:textId="6D1D397F" w:rsidR="0076476F" w:rsidRPr="0076476F" w:rsidRDefault="0076476F" w:rsidP="0076476F">
            <w:pPr>
              <w:jc w:val="center"/>
              <w:rPr>
                <w:rFonts w:ascii="Arial" w:eastAsia="Calibri" w:hAnsi="Arial" w:cs="Arial"/>
                <w:sz w:val="18"/>
                <w:szCs w:val="18"/>
              </w:rPr>
            </w:pPr>
            <w:r w:rsidRPr="0076476F">
              <w:rPr>
                <w:rFonts w:ascii="Arial" w:eastAsia="Calibri" w:hAnsi="Arial" w:cs="Arial"/>
                <w:sz w:val="18"/>
                <w:szCs w:val="18"/>
              </w:rPr>
              <w:t>Ciljana vrijednost 2027.</w:t>
            </w:r>
          </w:p>
        </w:tc>
      </w:tr>
      <w:tr w:rsidR="0076476F" w:rsidRPr="001A53BF" w14:paraId="56C97E73" w14:textId="77777777" w:rsidTr="00473D9D">
        <w:trPr>
          <w:trHeight w:val="806"/>
          <w:jc w:val="center"/>
        </w:trPr>
        <w:tc>
          <w:tcPr>
            <w:tcW w:w="2689" w:type="dxa"/>
            <w:tcBorders>
              <w:top w:val="single" w:sz="4" w:space="0" w:color="auto"/>
              <w:left w:val="single" w:sz="4" w:space="0" w:color="auto"/>
              <w:bottom w:val="nil"/>
              <w:right w:val="single" w:sz="4" w:space="0" w:color="auto"/>
            </w:tcBorders>
            <w:vAlign w:val="center"/>
          </w:tcPr>
          <w:p w14:paraId="7A6B2EE2" w14:textId="77777777" w:rsidR="0076476F" w:rsidRPr="001A53BF" w:rsidRDefault="0076476F" w:rsidP="0076476F">
            <w:pPr>
              <w:rPr>
                <w:rFonts w:ascii="Arial" w:hAnsi="Arial" w:cs="Arial"/>
                <w:sz w:val="18"/>
                <w:szCs w:val="18"/>
                <w:lang w:eastAsia="en-US"/>
              </w:rPr>
            </w:pPr>
            <w:r w:rsidRPr="001A53BF">
              <w:rPr>
                <w:rFonts w:ascii="Arial" w:hAnsi="Arial" w:cs="Arial"/>
                <w:sz w:val="18"/>
                <w:szCs w:val="18"/>
                <w:lang w:eastAsia="en-US"/>
              </w:rPr>
              <w:t xml:space="preserve">Povećanje prihoda od vlastite djelatnosti </w:t>
            </w:r>
          </w:p>
        </w:tc>
        <w:tc>
          <w:tcPr>
            <w:tcW w:w="3134" w:type="dxa"/>
            <w:tcBorders>
              <w:left w:val="single" w:sz="4" w:space="0" w:color="auto"/>
            </w:tcBorders>
            <w:vAlign w:val="center"/>
          </w:tcPr>
          <w:p w14:paraId="7CF28DDC" w14:textId="3C55FDC9" w:rsidR="0076476F" w:rsidRPr="001A53BF" w:rsidRDefault="0076476F" w:rsidP="0076476F">
            <w:pPr>
              <w:rPr>
                <w:rFonts w:ascii="Arial" w:hAnsi="Arial" w:cs="Arial"/>
                <w:sz w:val="18"/>
                <w:szCs w:val="18"/>
                <w:lang w:eastAsia="en-US"/>
              </w:rPr>
            </w:pPr>
            <w:r w:rsidRPr="001A53BF">
              <w:rPr>
                <w:rFonts w:ascii="Arial" w:hAnsi="Arial" w:cs="Arial"/>
                <w:sz w:val="18"/>
                <w:szCs w:val="18"/>
                <w:lang w:eastAsia="en-US"/>
              </w:rPr>
              <w:t xml:space="preserve">Proizvodnja i osmišljavanje suvenira i predmeta za prodaju u muzejskim prodavaonicama </w:t>
            </w:r>
          </w:p>
        </w:tc>
        <w:tc>
          <w:tcPr>
            <w:tcW w:w="992" w:type="dxa"/>
            <w:vAlign w:val="center"/>
          </w:tcPr>
          <w:p w14:paraId="00391CBF" w14:textId="77777777" w:rsidR="0076476F" w:rsidRPr="001A53BF" w:rsidRDefault="0076476F" w:rsidP="0076476F">
            <w:pPr>
              <w:jc w:val="center"/>
              <w:rPr>
                <w:rFonts w:ascii="Arial" w:eastAsia="Calibri" w:hAnsi="Arial" w:cs="Arial"/>
                <w:sz w:val="18"/>
                <w:szCs w:val="18"/>
              </w:rPr>
            </w:pPr>
            <w:r w:rsidRPr="001A53BF">
              <w:rPr>
                <w:rFonts w:ascii="Arial" w:eastAsia="Calibri" w:hAnsi="Arial" w:cs="Arial"/>
                <w:sz w:val="18"/>
                <w:szCs w:val="18"/>
              </w:rPr>
              <w:t>EUR</w:t>
            </w:r>
          </w:p>
        </w:tc>
        <w:tc>
          <w:tcPr>
            <w:tcW w:w="1134" w:type="dxa"/>
            <w:vAlign w:val="center"/>
          </w:tcPr>
          <w:p w14:paraId="2A108D8D" w14:textId="5F0CB52A" w:rsidR="0076476F" w:rsidRPr="001A53BF" w:rsidRDefault="0076476F" w:rsidP="0076476F">
            <w:pPr>
              <w:rPr>
                <w:rFonts w:ascii="Arial" w:hAnsi="Arial" w:cs="Arial"/>
                <w:sz w:val="18"/>
                <w:szCs w:val="18"/>
                <w:lang w:eastAsia="en-US"/>
              </w:rPr>
            </w:pPr>
            <w:r w:rsidRPr="00B93E18">
              <w:rPr>
                <w:rFonts w:asciiTheme="minorHAnsi" w:hAnsiTheme="minorHAnsi" w:cstheme="minorHAnsi"/>
                <w:sz w:val="18"/>
                <w:szCs w:val="18"/>
                <w:lang w:eastAsia="en-US"/>
              </w:rPr>
              <w:t>25.179,97</w:t>
            </w:r>
          </w:p>
        </w:tc>
        <w:tc>
          <w:tcPr>
            <w:tcW w:w="993" w:type="dxa"/>
            <w:vAlign w:val="center"/>
          </w:tcPr>
          <w:p w14:paraId="58131C9C" w14:textId="77777777" w:rsidR="0076476F" w:rsidRPr="00EA587B" w:rsidRDefault="0076476F" w:rsidP="0076476F">
            <w:pPr>
              <w:rPr>
                <w:rFonts w:ascii="Arial" w:hAnsi="Arial" w:cs="Arial"/>
                <w:sz w:val="14"/>
                <w:szCs w:val="14"/>
                <w:lang w:eastAsia="en-US"/>
              </w:rPr>
            </w:pPr>
            <w:r w:rsidRPr="00EA587B">
              <w:rPr>
                <w:rFonts w:ascii="Arial" w:hAnsi="Arial" w:cs="Arial"/>
                <w:sz w:val="14"/>
                <w:szCs w:val="14"/>
                <w:lang w:eastAsia="en-US"/>
              </w:rPr>
              <w:t>Muzeji, Odjel općih poslova</w:t>
            </w:r>
          </w:p>
        </w:tc>
        <w:tc>
          <w:tcPr>
            <w:tcW w:w="1134" w:type="dxa"/>
            <w:vAlign w:val="center"/>
          </w:tcPr>
          <w:p w14:paraId="7A6CC186" w14:textId="77777777" w:rsidR="0076476F" w:rsidRPr="0076476F" w:rsidRDefault="0076476F" w:rsidP="0076476F">
            <w:pPr>
              <w:rPr>
                <w:rFonts w:ascii="Arial" w:hAnsi="Arial" w:cs="Arial"/>
                <w:sz w:val="18"/>
                <w:szCs w:val="18"/>
                <w:lang w:eastAsia="en-US"/>
              </w:rPr>
            </w:pPr>
          </w:p>
          <w:p w14:paraId="39491F86" w14:textId="77777777" w:rsidR="0076476F" w:rsidRPr="0076476F" w:rsidRDefault="0076476F" w:rsidP="0076476F">
            <w:pPr>
              <w:rPr>
                <w:rFonts w:ascii="Arial" w:hAnsi="Arial" w:cs="Arial"/>
                <w:sz w:val="18"/>
                <w:szCs w:val="18"/>
                <w:lang w:eastAsia="en-US"/>
              </w:rPr>
            </w:pPr>
            <w:r w:rsidRPr="0076476F">
              <w:rPr>
                <w:rFonts w:ascii="Arial" w:hAnsi="Arial" w:cs="Arial"/>
                <w:sz w:val="18"/>
                <w:szCs w:val="18"/>
                <w:lang w:eastAsia="en-US"/>
              </w:rPr>
              <w:t>28.000,00</w:t>
            </w:r>
          </w:p>
          <w:p w14:paraId="64EB1B74" w14:textId="1533AC7C" w:rsidR="0076476F" w:rsidRPr="0076476F" w:rsidRDefault="0076476F" w:rsidP="0076476F">
            <w:pPr>
              <w:rPr>
                <w:rFonts w:ascii="Arial" w:hAnsi="Arial" w:cs="Arial"/>
                <w:sz w:val="18"/>
                <w:szCs w:val="18"/>
                <w:lang w:eastAsia="en-US"/>
              </w:rPr>
            </w:pPr>
          </w:p>
        </w:tc>
        <w:tc>
          <w:tcPr>
            <w:tcW w:w="1134" w:type="dxa"/>
            <w:vAlign w:val="center"/>
          </w:tcPr>
          <w:p w14:paraId="2A891433" w14:textId="7260F9D8" w:rsidR="0076476F" w:rsidRPr="0076476F" w:rsidRDefault="0076476F" w:rsidP="0076476F">
            <w:pPr>
              <w:jc w:val="center"/>
              <w:rPr>
                <w:rFonts w:ascii="Arial" w:hAnsi="Arial" w:cs="Arial"/>
                <w:sz w:val="18"/>
                <w:szCs w:val="18"/>
                <w:lang w:eastAsia="en-US"/>
              </w:rPr>
            </w:pPr>
            <w:r w:rsidRPr="0076476F">
              <w:rPr>
                <w:rFonts w:ascii="Arial" w:hAnsi="Arial" w:cs="Arial"/>
                <w:sz w:val="18"/>
                <w:szCs w:val="18"/>
                <w:lang w:eastAsia="en-US"/>
              </w:rPr>
              <w:t>65.968,41</w:t>
            </w:r>
          </w:p>
        </w:tc>
        <w:tc>
          <w:tcPr>
            <w:tcW w:w="1134" w:type="dxa"/>
            <w:vAlign w:val="center"/>
          </w:tcPr>
          <w:p w14:paraId="67D8AF55" w14:textId="64127948" w:rsidR="0076476F" w:rsidRPr="0076476F" w:rsidRDefault="0076476F" w:rsidP="0076476F">
            <w:pPr>
              <w:rPr>
                <w:rFonts w:ascii="Arial" w:hAnsi="Arial" w:cs="Arial"/>
                <w:sz w:val="18"/>
                <w:szCs w:val="18"/>
                <w:lang w:eastAsia="en-US"/>
              </w:rPr>
            </w:pPr>
            <w:r w:rsidRPr="0076476F">
              <w:rPr>
                <w:rFonts w:ascii="Arial" w:hAnsi="Arial" w:cs="Arial"/>
                <w:sz w:val="18"/>
                <w:szCs w:val="18"/>
                <w:lang w:eastAsia="en-US"/>
              </w:rPr>
              <w:t xml:space="preserve"> 30.000,00</w:t>
            </w:r>
          </w:p>
        </w:tc>
        <w:tc>
          <w:tcPr>
            <w:tcW w:w="1134" w:type="dxa"/>
            <w:vAlign w:val="center"/>
          </w:tcPr>
          <w:p w14:paraId="7ECB42AA" w14:textId="33C3A1C3" w:rsidR="0076476F" w:rsidRPr="0076476F" w:rsidRDefault="0076476F" w:rsidP="0076476F">
            <w:pPr>
              <w:rPr>
                <w:rFonts w:ascii="Arial" w:hAnsi="Arial" w:cs="Arial"/>
                <w:sz w:val="18"/>
                <w:szCs w:val="18"/>
                <w:lang w:eastAsia="en-US"/>
              </w:rPr>
            </w:pPr>
            <w:r w:rsidRPr="0076476F">
              <w:rPr>
                <w:rFonts w:ascii="Arial" w:hAnsi="Arial" w:cs="Arial"/>
                <w:sz w:val="18"/>
                <w:szCs w:val="18"/>
                <w:lang w:eastAsia="en-US"/>
              </w:rPr>
              <w:t>30.000,00</w:t>
            </w:r>
          </w:p>
        </w:tc>
      </w:tr>
      <w:tr w:rsidR="0076476F" w:rsidRPr="006E4FC7" w14:paraId="7656D611" w14:textId="77777777" w:rsidTr="00473D9D">
        <w:trPr>
          <w:trHeight w:val="831"/>
          <w:jc w:val="center"/>
        </w:trPr>
        <w:tc>
          <w:tcPr>
            <w:tcW w:w="2689" w:type="dxa"/>
            <w:tcBorders>
              <w:top w:val="nil"/>
              <w:left w:val="single" w:sz="4" w:space="0" w:color="auto"/>
              <w:bottom w:val="single" w:sz="4" w:space="0" w:color="auto"/>
              <w:right w:val="single" w:sz="4" w:space="0" w:color="auto"/>
            </w:tcBorders>
            <w:vAlign w:val="center"/>
          </w:tcPr>
          <w:p w14:paraId="0B04E403" w14:textId="77777777" w:rsidR="0076476F" w:rsidRPr="006E4FC7" w:rsidRDefault="0076476F" w:rsidP="0076476F">
            <w:pPr>
              <w:rPr>
                <w:rFonts w:ascii="Arial" w:hAnsi="Arial" w:cs="Arial"/>
                <w:sz w:val="18"/>
                <w:szCs w:val="18"/>
              </w:rPr>
            </w:pPr>
          </w:p>
        </w:tc>
        <w:tc>
          <w:tcPr>
            <w:tcW w:w="3134" w:type="dxa"/>
            <w:tcBorders>
              <w:left w:val="single" w:sz="4" w:space="0" w:color="auto"/>
            </w:tcBorders>
            <w:vAlign w:val="center"/>
          </w:tcPr>
          <w:p w14:paraId="55ABFF96" w14:textId="77777777" w:rsidR="0076476F" w:rsidRPr="006E4FC7" w:rsidRDefault="0076476F" w:rsidP="0076476F">
            <w:pPr>
              <w:rPr>
                <w:rFonts w:ascii="Arial" w:hAnsi="Arial" w:cs="Arial"/>
                <w:sz w:val="18"/>
                <w:szCs w:val="18"/>
              </w:rPr>
            </w:pPr>
            <w:r w:rsidRPr="006E4FC7">
              <w:rPr>
                <w:rFonts w:ascii="Arial" w:hAnsi="Arial" w:cs="Arial"/>
                <w:sz w:val="18"/>
                <w:szCs w:val="18"/>
              </w:rPr>
              <w:t>Pružanje usluga</w:t>
            </w:r>
          </w:p>
        </w:tc>
        <w:tc>
          <w:tcPr>
            <w:tcW w:w="992" w:type="dxa"/>
            <w:vAlign w:val="center"/>
          </w:tcPr>
          <w:p w14:paraId="4278F5AF" w14:textId="77777777" w:rsidR="0076476F" w:rsidRPr="006E4FC7" w:rsidRDefault="0076476F" w:rsidP="0076476F">
            <w:pPr>
              <w:jc w:val="center"/>
              <w:rPr>
                <w:rFonts w:ascii="Arial" w:eastAsia="Calibri" w:hAnsi="Arial" w:cs="Arial"/>
                <w:sz w:val="18"/>
                <w:szCs w:val="18"/>
              </w:rPr>
            </w:pPr>
            <w:r w:rsidRPr="006E4FC7">
              <w:rPr>
                <w:rFonts w:ascii="Arial" w:eastAsia="Calibri" w:hAnsi="Arial" w:cs="Arial"/>
                <w:sz w:val="18"/>
                <w:szCs w:val="18"/>
              </w:rPr>
              <w:t>EUR</w:t>
            </w:r>
          </w:p>
        </w:tc>
        <w:tc>
          <w:tcPr>
            <w:tcW w:w="1134" w:type="dxa"/>
            <w:vAlign w:val="center"/>
          </w:tcPr>
          <w:p w14:paraId="35760C66" w14:textId="59E3F34D" w:rsidR="0076476F" w:rsidRPr="006E4FC7" w:rsidRDefault="0076476F" w:rsidP="0076476F">
            <w:pPr>
              <w:rPr>
                <w:rFonts w:ascii="Arial" w:hAnsi="Arial" w:cs="Arial"/>
                <w:sz w:val="18"/>
                <w:szCs w:val="18"/>
              </w:rPr>
            </w:pPr>
            <w:r w:rsidRPr="00B93E18">
              <w:rPr>
                <w:rFonts w:asciiTheme="minorHAnsi" w:hAnsiTheme="minorHAnsi" w:cstheme="minorHAnsi"/>
                <w:sz w:val="18"/>
                <w:szCs w:val="18"/>
              </w:rPr>
              <w:t>7.652,82</w:t>
            </w:r>
          </w:p>
        </w:tc>
        <w:tc>
          <w:tcPr>
            <w:tcW w:w="993" w:type="dxa"/>
            <w:vAlign w:val="center"/>
          </w:tcPr>
          <w:p w14:paraId="0CC66605" w14:textId="77777777" w:rsidR="0076476F" w:rsidRPr="00EA587B" w:rsidRDefault="0076476F" w:rsidP="0076476F">
            <w:pPr>
              <w:rPr>
                <w:rFonts w:ascii="Arial" w:hAnsi="Arial" w:cs="Arial"/>
                <w:sz w:val="14"/>
                <w:szCs w:val="14"/>
              </w:rPr>
            </w:pPr>
            <w:r w:rsidRPr="00EA587B">
              <w:rPr>
                <w:rFonts w:ascii="Arial" w:hAnsi="Arial" w:cs="Arial"/>
                <w:sz w:val="14"/>
                <w:szCs w:val="14"/>
                <w:lang w:eastAsia="en-US"/>
              </w:rPr>
              <w:t>Muzeji, Odjel općih poslova</w:t>
            </w:r>
          </w:p>
        </w:tc>
        <w:tc>
          <w:tcPr>
            <w:tcW w:w="1134" w:type="dxa"/>
            <w:vAlign w:val="center"/>
          </w:tcPr>
          <w:p w14:paraId="324493CD" w14:textId="7321912D" w:rsidR="0076476F" w:rsidRPr="0076476F" w:rsidRDefault="0076476F" w:rsidP="0076476F">
            <w:pPr>
              <w:rPr>
                <w:rFonts w:ascii="Arial" w:hAnsi="Arial" w:cs="Arial"/>
                <w:sz w:val="18"/>
                <w:szCs w:val="18"/>
              </w:rPr>
            </w:pPr>
            <w:r w:rsidRPr="0076476F">
              <w:rPr>
                <w:rFonts w:ascii="Arial" w:hAnsi="Arial" w:cs="Arial"/>
                <w:sz w:val="18"/>
                <w:szCs w:val="18"/>
              </w:rPr>
              <w:t xml:space="preserve">  9.000,00</w:t>
            </w:r>
          </w:p>
        </w:tc>
        <w:tc>
          <w:tcPr>
            <w:tcW w:w="1134" w:type="dxa"/>
            <w:vAlign w:val="center"/>
          </w:tcPr>
          <w:p w14:paraId="0BE6EBFA" w14:textId="69CB554B" w:rsidR="0076476F" w:rsidRPr="0076476F" w:rsidRDefault="0076476F" w:rsidP="0076476F">
            <w:pPr>
              <w:jc w:val="center"/>
              <w:rPr>
                <w:rFonts w:ascii="Arial" w:hAnsi="Arial" w:cs="Arial"/>
                <w:sz w:val="18"/>
                <w:szCs w:val="18"/>
              </w:rPr>
            </w:pPr>
            <w:r w:rsidRPr="0076476F">
              <w:rPr>
                <w:rFonts w:ascii="Arial" w:hAnsi="Arial" w:cs="Arial"/>
                <w:sz w:val="18"/>
                <w:szCs w:val="18"/>
              </w:rPr>
              <w:t>8.599,82</w:t>
            </w:r>
          </w:p>
        </w:tc>
        <w:tc>
          <w:tcPr>
            <w:tcW w:w="1134" w:type="dxa"/>
            <w:vAlign w:val="center"/>
          </w:tcPr>
          <w:p w14:paraId="34F79AC1" w14:textId="38941874" w:rsidR="0076476F" w:rsidRPr="0076476F" w:rsidRDefault="0076476F" w:rsidP="0076476F">
            <w:pPr>
              <w:rPr>
                <w:rFonts w:ascii="Arial" w:hAnsi="Arial" w:cs="Arial"/>
                <w:sz w:val="18"/>
                <w:szCs w:val="18"/>
              </w:rPr>
            </w:pPr>
            <w:r w:rsidRPr="0076476F">
              <w:rPr>
                <w:rFonts w:ascii="Arial" w:hAnsi="Arial" w:cs="Arial"/>
                <w:sz w:val="18"/>
                <w:szCs w:val="18"/>
              </w:rPr>
              <w:t xml:space="preserve"> 10.000,00</w:t>
            </w:r>
          </w:p>
        </w:tc>
        <w:tc>
          <w:tcPr>
            <w:tcW w:w="1134" w:type="dxa"/>
            <w:vAlign w:val="center"/>
          </w:tcPr>
          <w:p w14:paraId="19F8BC27" w14:textId="247AFDCC" w:rsidR="0076476F" w:rsidRPr="0076476F" w:rsidRDefault="0076476F" w:rsidP="0076476F">
            <w:pPr>
              <w:rPr>
                <w:rFonts w:ascii="Arial" w:hAnsi="Arial" w:cs="Arial"/>
                <w:sz w:val="18"/>
                <w:szCs w:val="18"/>
              </w:rPr>
            </w:pPr>
            <w:r w:rsidRPr="0076476F">
              <w:rPr>
                <w:rFonts w:ascii="Arial" w:hAnsi="Arial" w:cs="Arial"/>
                <w:sz w:val="18"/>
                <w:szCs w:val="18"/>
              </w:rPr>
              <w:t>10.000,00</w:t>
            </w:r>
          </w:p>
        </w:tc>
      </w:tr>
    </w:tbl>
    <w:p w14:paraId="0F85AA33" w14:textId="1E0CC230" w:rsidR="00CB613A" w:rsidRPr="00CB613A" w:rsidRDefault="0076476F" w:rsidP="00CB613A">
      <w:pPr>
        <w:autoSpaceDE w:val="0"/>
        <w:autoSpaceDN w:val="0"/>
        <w:adjustRightInd w:val="0"/>
        <w:spacing w:after="0" w:line="240" w:lineRule="auto"/>
        <w:jc w:val="both"/>
        <w:rPr>
          <w:rFonts w:ascii="Arial" w:eastAsia="Calibri" w:hAnsi="Arial" w:cs="Arial"/>
          <w:sz w:val="20"/>
          <w:szCs w:val="20"/>
        </w:rPr>
      </w:pPr>
      <w:r w:rsidRPr="0076476F">
        <w:rPr>
          <w:rFonts w:ascii="Arial" w:eastAsia="Calibri" w:hAnsi="Arial" w:cs="Arial"/>
          <w:sz w:val="20"/>
          <w:szCs w:val="20"/>
        </w:rPr>
        <w:t>OPIS: Prihodi od prodaje suvenirskog programa i izdavaštva u 2025. godini, ostvareni u svim muzejskim jedinicama, iznose 65.968,41 EUR, što predstavlja povećanje od 162 % u odnosu na prethodnu godinu. Značajan rast prihoda rezultat je objave monografije Vlaho Bukovac, autora Igor Zidić, koja je izašla iz tiska u travnju 2025. godine. Zbog velikog interesa šire javnosti te sudjelovanja u programu otkupa knjiga za narodne knjižnice, u vrlo kratkom razdoblju plasiran je znatan broj primjeraka, što je izravno utjecalo na značajno povećanje ove vrste prihoda.</w:t>
      </w:r>
    </w:p>
    <w:p w14:paraId="12BA0B0C" w14:textId="77777777" w:rsidR="00FD724F" w:rsidRPr="006E4FC7" w:rsidRDefault="00FD724F" w:rsidP="00FD724F">
      <w:pPr>
        <w:autoSpaceDE w:val="0"/>
        <w:autoSpaceDN w:val="0"/>
        <w:adjustRightInd w:val="0"/>
        <w:spacing w:after="0" w:line="240" w:lineRule="auto"/>
        <w:jc w:val="both"/>
        <w:rPr>
          <w:rFonts w:ascii="Arial" w:eastAsia="Calibri" w:hAnsi="Arial" w:cs="Arial"/>
          <w:b/>
          <w:sz w:val="20"/>
          <w:szCs w:val="20"/>
          <w:highlight w:val="yellow"/>
        </w:rPr>
      </w:pPr>
    </w:p>
    <w:p w14:paraId="54B7E25F" w14:textId="4A7516C9" w:rsidR="00ED5AE5" w:rsidRPr="006E4FC7" w:rsidRDefault="00A90FC1" w:rsidP="00ED5AE5">
      <w:pPr>
        <w:autoSpaceDE w:val="0"/>
        <w:autoSpaceDN w:val="0"/>
        <w:adjustRightInd w:val="0"/>
        <w:spacing w:after="0" w:line="240" w:lineRule="auto"/>
        <w:jc w:val="both"/>
        <w:rPr>
          <w:rFonts w:ascii="Arial" w:eastAsia="Calibri" w:hAnsi="Arial" w:cs="Arial"/>
          <w:sz w:val="20"/>
          <w:szCs w:val="20"/>
        </w:rPr>
      </w:pPr>
      <w:r w:rsidRPr="006E4FC7">
        <w:rPr>
          <w:rFonts w:ascii="Arial" w:eastAsia="Calibri" w:hAnsi="Arial" w:cs="Arial"/>
          <w:b/>
          <w:sz w:val="20"/>
          <w:szCs w:val="20"/>
        </w:rPr>
        <w:t xml:space="preserve">10. </w:t>
      </w:r>
      <w:r w:rsidR="003D7373" w:rsidRPr="006E4FC7">
        <w:rPr>
          <w:rFonts w:ascii="Arial" w:eastAsia="Calibri" w:hAnsi="Arial" w:cs="Arial"/>
          <w:b/>
          <w:sz w:val="20"/>
          <w:szCs w:val="20"/>
        </w:rPr>
        <w:t xml:space="preserve">A203111: Redovna djelatnost ustanove u kulturi – vlastita djelatnost </w:t>
      </w:r>
      <w:r w:rsidR="00B445DF" w:rsidRPr="006E4FC7">
        <w:rPr>
          <w:rFonts w:ascii="Arial" w:eastAsia="Calibri" w:hAnsi="Arial" w:cs="Arial"/>
          <w:sz w:val="20"/>
          <w:szCs w:val="20"/>
        </w:rPr>
        <w:t>–</w:t>
      </w:r>
      <w:r w:rsidR="003D7373" w:rsidRPr="006E4FC7">
        <w:rPr>
          <w:rFonts w:ascii="Arial" w:eastAsia="Calibri" w:hAnsi="Arial" w:cs="Arial"/>
          <w:sz w:val="20"/>
          <w:szCs w:val="20"/>
        </w:rPr>
        <w:t xml:space="preserve"> </w:t>
      </w:r>
      <w:r w:rsidR="00B445DF" w:rsidRPr="006E4FC7">
        <w:rPr>
          <w:rFonts w:ascii="Arial" w:eastAsia="Calibri" w:hAnsi="Arial" w:cs="Arial"/>
          <w:sz w:val="20"/>
          <w:szCs w:val="20"/>
        </w:rPr>
        <w:t xml:space="preserve">u okviru ove aktivnosti planirano je </w:t>
      </w:r>
      <w:r w:rsidR="0076476F">
        <w:rPr>
          <w:rFonts w:ascii="Arial" w:eastAsia="Calibri" w:hAnsi="Arial" w:cs="Arial"/>
          <w:sz w:val="20"/>
          <w:szCs w:val="20"/>
        </w:rPr>
        <w:t>45.180</w:t>
      </w:r>
      <w:r w:rsidR="00FD724F" w:rsidRPr="006E4FC7">
        <w:rPr>
          <w:rFonts w:ascii="Arial" w:eastAsia="Calibri" w:hAnsi="Arial" w:cs="Arial"/>
          <w:sz w:val="20"/>
          <w:szCs w:val="20"/>
          <w:lang w:eastAsia="en-US"/>
        </w:rPr>
        <w:t xml:space="preserve"> €, a utrošeno je </w:t>
      </w:r>
      <w:r w:rsidR="0076476F">
        <w:rPr>
          <w:rFonts w:ascii="Arial" w:eastAsia="Calibri" w:hAnsi="Arial" w:cs="Arial"/>
          <w:sz w:val="20"/>
          <w:szCs w:val="20"/>
          <w:lang w:eastAsia="en-US"/>
        </w:rPr>
        <w:t>35.053,83</w:t>
      </w:r>
      <w:r w:rsidR="00FD724F" w:rsidRPr="006E4FC7">
        <w:rPr>
          <w:rFonts w:ascii="Arial" w:eastAsia="Calibri" w:hAnsi="Arial" w:cs="Arial"/>
          <w:sz w:val="20"/>
          <w:szCs w:val="20"/>
          <w:lang w:eastAsia="en-US"/>
        </w:rPr>
        <w:t xml:space="preserve"> € odnosno </w:t>
      </w:r>
      <w:r w:rsidR="0076476F">
        <w:rPr>
          <w:rFonts w:ascii="Arial" w:eastAsia="Calibri" w:hAnsi="Arial" w:cs="Arial"/>
          <w:sz w:val="20"/>
          <w:szCs w:val="20"/>
          <w:lang w:eastAsia="en-US"/>
        </w:rPr>
        <w:t>77,6</w:t>
      </w:r>
      <w:r w:rsidR="00FD724F" w:rsidRPr="006E4FC7">
        <w:rPr>
          <w:rFonts w:ascii="Arial" w:eastAsia="Calibri" w:hAnsi="Arial" w:cs="Arial"/>
          <w:sz w:val="20"/>
          <w:szCs w:val="20"/>
          <w:lang w:eastAsia="en-US"/>
        </w:rPr>
        <w:t>% što se odnosi na troškove plaće i studentskog servisa</w:t>
      </w:r>
      <w:r w:rsidR="00ED5AE5" w:rsidRPr="006E4FC7">
        <w:rPr>
          <w:rFonts w:ascii="Arial" w:eastAsia="Calibri" w:hAnsi="Arial" w:cs="Arial"/>
          <w:sz w:val="20"/>
          <w:szCs w:val="20"/>
          <w:lang w:eastAsia="en-US"/>
        </w:rPr>
        <w:t xml:space="preserve"> </w:t>
      </w:r>
      <w:r w:rsidR="00ED5AE5" w:rsidRPr="006E4FC7">
        <w:rPr>
          <w:rFonts w:ascii="Arial" w:eastAsia="Calibri" w:hAnsi="Arial" w:cs="Arial"/>
          <w:sz w:val="20"/>
          <w:szCs w:val="20"/>
        </w:rPr>
        <w:t>vezanog za povećane potrebe za radnom snagom tijekom sezone.</w:t>
      </w:r>
    </w:p>
    <w:p w14:paraId="6598564A" w14:textId="2D7443D5" w:rsidR="00FD724F" w:rsidRPr="006E4FC7" w:rsidRDefault="00FD724F" w:rsidP="00FD724F">
      <w:pPr>
        <w:autoSpaceDE w:val="0"/>
        <w:autoSpaceDN w:val="0"/>
        <w:adjustRightInd w:val="0"/>
        <w:spacing w:after="0" w:line="240" w:lineRule="auto"/>
        <w:jc w:val="both"/>
        <w:rPr>
          <w:rFonts w:ascii="Arial" w:eastAsia="Calibri" w:hAnsi="Arial" w:cs="Arial"/>
          <w:sz w:val="20"/>
          <w:szCs w:val="20"/>
          <w:lang w:eastAsia="en-US"/>
        </w:rPr>
      </w:pPr>
    </w:p>
    <w:p w14:paraId="226A75F4" w14:textId="77777777" w:rsidR="0076476F" w:rsidRPr="0076476F" w:rsidRDefault="0076476F" w:rsidP="0076476F">
      <w:pPr>
        <w:autoSpaceDE w:val="0"/>
        <w:autoSpaceDN w:val="0"/>
        <w:adjustRightInd w:val="0"/>
        <w:spacing w:after="0" w:line="240" w:lineRule="auto"/>
        <w:jc w:val="both"/>
        <w:rPr>
          <w:rFonts w:ascii="Arial" w:eastAsia="Calibri" w:hAnsi="Arial" w:cs="Arial"/>
          <w:sz w:val="20"/>
          <w:szCs w:val="20"/>
          <w:lang w:eastAsia="en-US"/>
        </w:rPr>
      </w:pPr>
      <w:r w:rsidRPr="0076476F">
        <w:rPr>
          <w:rFonts w:ascii="Arial" w:eastAsia="Calibri" w:hAnsi="Arial" w:cs="Arial"/>
          <w:sz w:val="20"/>
          <w:szCs w:val="20"/>
          <w:lang w:eastAsia="en-US"/>
        </w:rPr>
        <w:t xml:space="preserve">Redovna djelatnost ustanove se odvija u muzejskim jedinicama: Kuća Bukovac, Zavičajni muzej Konavala i Odjel za arheologiju i spomeničku baštinu u Pridvorju, također i na Mauzoleju Račić. </w:t>
      </w:r>
    </w:p>
    <w:p w14:paraId="5EB8138F" w14:textId="693BD0E1" w:rsidR="006E4FC7" w:rsidRDefault="0076476F" w:rsidP="0076476F">
      <w:pPr>
        <w:autoSpaceDE w:val="0"/>
        <w:autoSpaceDN w:val="0"/>
        <w:adjustRightInd w:val="0"/>
        <w:spacing w:after="0" w:line="240" w:lineRule="auto"/>
        <w:jc w:val="both"/>
        <w:rPr>
          <w:rFonts w:ascii="Arial" w:eastAsia="Calibri" w:hAnsi="Arial" w:cs="Arial"/>
          <w:sz w:val="20"/>
          <w:szCs w:val="20"/>
          <w:lang w:eastAsia="en-US"/>
        </w:rPr>
      </w:pPr>
      <w:r w:rsidRPr="0076476F">
        <w:rPr>
          <w:rFonts w:ascii="Arial" w:eastAsia="Calibri" w:hAnsi="Arial" w:cs="Arial"/>
          <w:sz w:val="20"/>
          <w:szCs w:val="20"/>
          <w:lang w:eastAsia="en-US"/>
        </w:rPr>
        <w:t>Muzejske jedinice najveći opseg aktivnosti ostvaruju u predsezoni i posezoni, kada se zbog povećanog broja posjetitelja zapošljavaju radnici na određeno vrijeme te studenti i učenici putem studentskih i učeničkih servisa te su angažirani na poslovima prodaje ulaznica, čuvanja stalnih postava, vođenja kroz muzeje i drugim pratećim poslovima.</w:t>
      </w:r>
    </w:p>
    <w:p w14:paraId="5EDA6843" w14:textId="77777777" w:rsidR="0076476F" w:rsidRPr="006E4FC7" w:rsidRDefault="0076476F" w:rsidP="0076476F">
      <w:pPr>
        <w:autoSpaceDE w:val="0"/>
        <w:autoSpaceDN w:val="0"/>
        <w:adjustRightInd w:val="0"/>
        <w:spacing w:after="0" w:line="240" w:lineRule="auto"/>
        <w:jc w:val="both"/>
        <w:rPr>
          <w:rFonts w:ascii="Arial" w:eastAsia="Calibri" w:hAnsi="Arial" w:cs="Arial"/>
          <w:sz w:val="20"/>
          <w:szCs w:val="20"/>
          <w:lang w:eastAsia="en-US"/>
        </w:rPr>
      </w:pPr>
    </w:p>
    <w:tbl>
      <w:tblPr>
        <w:tblStyle w:val="Reetkatablice5"/>
        <w:tblW w:w="13756" w:type="dxa"/>
        <w:jc w:val="center"/>
        <w:tblLayout w:type="fixed"/>
        <w:tblLook w:val="04A0" w:firstRow="1" w:lastRow="0" w:firstColumn="1" w:lastColumn="0" w:noHBand="0" w:noVBand="1"/>
      </w:tblPr>
      <w:tblGrid>
        <w:gridCol w:w="2830"/>
        <w:gridCol w:w="3271"/>
        <w:gridCol w:w="1124"/>
        <w:gridCol w:w="1144"/>
        <w:gridCol w:w="1277"/>
        <w:gridCol w:w="992"/>
        <w:gridCol w:w="1134"/>
        <w:gridCol w:w="992"/>
        <w:gridCol w:w="992"/>
      </w:tblGrid>
      <w:tr w:rsidR="0076476F" w:rsidRPr="006E4FC7" w14:paraId="783056CE" w14:textId="77777777" w:rsidTr="009C0A16">
        <w:trPr>
          <w:jc w:val="center"/>
        </w:trPr>
        <w:tc>
          <w:tcPr>
            <w:tcW w:w="2830" w:type="dxa"/>
            <w:shd w:val="clear" w:color="auto" w:fill="BFBFBF" w:themeFill="background1" w:themeFillShade="BF"/>
            <w:vAlign w:val="center"/>
          </w:tcPr>
          <w:p w14:paraId="2712D23F" w14:textId="77777777" w:rsidR="0076476F" w:rsidRPr="006E4FC7" w:rsidRDefault="0076476F" w:rsidP="0076476F">
            <w:pPr>
              <w:jc w:val="center"/>
              <w:rPr>
                <w:rFonts w:ascii="Arial" w:eastAsia="Calibri" w:hAnsi="Arial" w:cs="Arial"/>
                <w:sz w:val="16"/>
                <w:szCs w:val="16"/>
              </w:rPr>
            </w:pPr>
            <w:r w:rsidRPr="006E4FC7">
              <w:rPr>
                <w:rFonts w:ascii="Arial" w:eastAsia="Calibri" w:hAnsi="Arial" w:cs="Arial"/>
                <w:sz w:val="16"/>
                <w:szCs w:val="16"/>
              </w:rPr>
              <w:t>Pokazatelj uspješnosti</w:t>
            </w:r>
          </w:p>
        </w:tc>
        <w:tc>
          <w:tcPr>
            <w:tcW w:w="3271" w:type="dxa"/>
            <w:shd w:val="clear" w:color="auto" w:fill="BFBFBF" w:themeFill="background1" w:themeFillShade="BF"/>
            <w:vAlign w:val="center"/>
          </w:tcPr>
          <w:p w14:paraId="181883F2" w14:textId="77777777" w:rsidR="0076476F" w:rsidRPr="006E4FC7" w:rsidRDefault="0076476F" w:rsidP="0076476F">
            <w:pPr>
              <w:jc w:val="center"/>
              <w:rPr>
                <w:rFonts w:ascii="Arial" w:eastAsia="Calibri" w:hAnsi="Arial" w:cs="Arial"/>
                <w:sz w:val="16"/>
                <w:szCs w:val="16"/>
              </w:rPr>
            </w:pPr>
            <w:r w:rsidRPr="006E4FC7">
              <w:rPr>
                <w:rFonts w:ascii="Arial" w:eastAsia="Calibri" w:hAnsi="Arial" w:cs="Arial"/>
                <w:sz w:val="16"/>
                <w:szCs w:val="16"/>
              </w:rPr>
              <w:t>Definicija</w:t>
            </w:r>
          </w:p>
        </w:tc>
        <w:tc>
          <w:tcPr>
            <w:tcW w:w="1124" w:type="dxa"/>
            <w:shd w:val="clear" w:color="auto" w:fill="BFBFBF" w:themeFill="background1" w:themeFillShade="BF"/>
            <w:vAlign w:val="center"/>
          </w:tcPr>
          <w:p w14:paraId="7F8A9235" w14:textId="77777777" w:rsidR="0076476F" w:rsidRPr="006E4FC7" w:rsidRDefault="0076476F" w:rsidP="0076476F">
            <w:pPr>
              <w:jc w:val="center"/>
              <w:rPr>
                <w:rFonts w:ascii="Arial" w:eastAsia="Calibri" w:hAnsi="Arial" w:cs="Arial"/>
                <w:sz w:val="16"/>
                <w:szCs w:val="16"/>
              </w:rPr>
            </w:pPr>
            <w:r w:rsidRPr="006E4FC7">
              <w:rPr>
                <w:rFonts w:ascii="Arial" w:eastAsia="Calibri" w:hAnsi="Arial" w:cs="Arial"/>
                <w:sz w:val="16"/>
                <w:szCs w:val="16"/>
              </w:rPr>
              <w:t>Jedinica</w:t>
            </w:r>
          </w:p>
        </w:tc>
        <w:tc>
          <w:tcPr>
            <w:tcW w:w="1144" w:type="dxa"/>
            <w:shd w:val="clear" w:color="auto" w:fill="BFBFBF"/>
            <w:vAlign w:val="center"/>
          </w:tcPr>
          <w:p w14:paraId="7DAD47EB" w14:textId="77777777" w:rsidR="0076476F" w:rsidRPr="0076476F" w:rsidRDefault="0076476F" w:rsidP="0076476F">
            <w:pPr>
              <w:jc w:val="center"/>
              <w:rPr>
                <w:rFonts w:ascii="Arial" w:eastAsia="Calibri" w:hAnsi="Arial" w:cs="Arial"/>
                <w:sz w:val="18"/>
                <w:szCs w:val="18"/>
              </w:rPr>
            </w:pPr>
            <w:r w:rsidRPr="0076476F">
              <w:rPr>
                <w:rFonts w:ascii="Arial" w:eastAsia="Calibri" w:hAnsi="Arial" w:cs="Arial"/>
                <w:sz w:val="18"/>
                <w:szCs w:val="18"/>
              </w:rPr>
              <w:t>Polazna vrijednost</w:t>
            </w:r>
          </w:p>
          <w:p w14:paraId="6D6145E3" w14:textId="7BAD1095" w:rsidR="0076476F" w:rsidRPr="0076476F" w:rsidRDefault="0076476F" w:rsidP="0076476F">
            <w:pPr>
              <w:jc w:val="center"/>
              <w:rPr>
                <w:rFonts w:ascii="Arial" w:eastAsia="Calibri" w:hAnsi="Arial" w:cs="Arial"/>
                <w:sz w:val="16"/>
                <w:szCs w:val="16"/>
              </w:rPr>
            </w:pPr>
            <w:r w:rsidRPr="0076476F">
              <w:rPr>
                <w:rFonts w:ascii="Arial" w:eastAsia="Calibri" w:hAnsi="Arial" w:cs="Arial"/>
                <w:sz w:val="18"/>
                <w:szCs w:val="18"/>
              </w:rPr>
              <w:t>2024.</w:t>
            </w:r>
          </w:p>
        </w:tc>
        <w:tc>
          <w:tcPr>
            <w:tcW w:w="1277" w:type="dxa"/>
            <w:shd w:val="clear" w:color="auto" w:fill="BFBFBF"/>
            <w:vAlign w:val="center"/>
          </w:tcPr>
          <w:p w14:paraId="47C2FDC4" w14:textId="03B432AB" w:rsidR="0076476F" w:rsidRPr="0076476F" w:rsidRDefault="0076476F" w:rsidP="0076476F">
            <w:pPr>
              <w:jc w:val="center"/>
              <w:rPr>
                <w:rFonts w:ascii="Arial" w:eastAsia="Calibri" w:hAnsi="Arial" w:cs="Arial"/>
                <w:sz w:val="16"/>
                <w:szCs w:val="16"/>
              </w:rPr>
            </w:pPr>
            <w:r w:rsidRPr="0076476F">
              <w:rPr>
                <w:rFonts w:ascii="Arial" w:eastAsia="Calibri" w:hAnsi="Arial" w:cs="Arial"/>
                <w:sz w:val="18"/>
                <w:szCs w:val="18"/>
              </w:rPr>
              <w:t>Izvor podataka</w:t>
            </w:r>
          </w:p>
        </w:tc>
        <w:tc>
          <w:tcPr>
            <w:tcW w:w="992" w:type="dxa"/>
            <w:shd w:val="clear" w:color="auto" w:fill="BFBFBF"/>
            <w:vAlign w:val="center"/>
          </w:tcPr>
          <w:p w14:paraId="1E8E3321" w14:textId="64D8EA02" w:rsidR="0076476F" w:rsidRPr="0076476F" w:rsidRDefault="0076476F" w:rsidP="0076476F">
            <w:pPr>
              <w:jc w:val="center"/>
              <w:rPr>
                <w:rFonts w:ascii="Arial" w:eastAsia="Calibri" w:hAnsi="Arial" w:cs="Arial"/>
                <w:sz w:val="16"/>
                <w:szCs w:val="16"/>
              </w:rPr>
            </w:pPr>
            <w:r w:rsidRPr="0076476F">
              <w:rPr>
                <w:rFonts w:ascii="Arial" w:eastAsia="Calibri" w:hAnsi="Arial" w:cs="Arial"/>
                <w:sz w:val="18"/>
                <w:szCs w:val="18"/>
              </w:rPr>
              <w:t>Ciljana vrijednost 2025.</w:t>
            </w:r>
          </w:p>
        </w:tc>
        <w:tc>
          <w:tcPr>
            <w:tcW w:w="1134" w:type="dxa"/>
            <w:shd w:val="clear" w:color="auto" w:fill="BFBFBF"/>
            <w:vAlign w:val="center"/>
          </w:tcPr>
          <w:p w14:paraId="504C342E" w14:textId="4BC472AA" w:rsidR="0076476F" w:rsidRPr="0076476F" w:rsidRDefault="0076476F" w:rsidP="0076476F">
            <w:pPr>
              <w:jc w:val="center"/>
              <w:rPr>
                <w:rFonts w:ascii="Arial" w:eastAsia="Calibri" w:hAnsi="Arial" w:cs="Arial"/>
                <w:sz w:val="16"/>
                <w:szCs w:val="16"/>
              </w:rPr>
            </w:pPr>
            <w:r w:rsidRPr="0076476F">
              <w:rPr>
                <w:rFonts w:ascii="Arial" w:eastAsia="Calibri" w:hAnsi="Arial" w:cs="Arial"/>
                <w:sz w:val="18"/>
                <w:szCs w:val="18"/>
              </w:rPr>
              <w:t>Izvršeno      2025.</w:t>
            </w:r>
          </w:p>
        </w:tc>
        <w:tc>
          <w:tcPr>
            <w:tcW w:w="992" w:type="dxa"/>
            <w:shd w:val="clear" w:color="auto" w:fill="BFBFBF"/>
            <w:vAlign w:val="center"/>
          </w:tcPr>
          <w:p w14:paraId="167AB596" w14:textId="3F3340F0" w:rsidR="0076476F" w:rsidRPr="0076476F" w:rsidRDefault="0076476F" w:rsidP="0076476F">
            <w:pPr>
              <w:jc w:val="center"/>
              <w:rPr>
                <w:rFonts w:ascii="Arial" w:eastAsia="Calibri" w:hAnsi="Arial" w:cs="Arial"/>
                <w:sz w:val="16"/>
                <w:szCs w:val="16"/>
              </w:rPr>
            </w:pPr>
            <w:r w:rsidRPr="0076476F">
              <w:rPr>
                <w:rFonts w:ascii="Arial" w:eastAsia="Calibri" w:hAnsi="Arial" w:cs="Arial"/>
                <w:sz w:val="18"/>
                <w:szCs w:val="18"/>
              </w:rPr>
              <w:t>Ciljana vrijednost 2026.</w:t>
            </w:r>
          </w:p>
        </w:tc>
        <w:tc>
          <w:tcPr>
            <w:tcW w:w="992" w:type="dxa"/>
            <w:shd w:val="clear" w:color="auto" w:fill="BFBFBF"/>
            <w:vAlign w:val="center"/>
          </w:tcPr>
          <w:p w14:paraId="7C94EC0B" w14:textId="7235B53A" w:rsidR="0076476F" w:rsidRPr="0076476F" w:rsidRDefault="0076476F" w:rsidP="0076476F">
            <w:pPr>
              <w:jc w:val="center"/>
              <w:rPr>
                <w:rFonts w:ascii="Arial" w:eastAsia="Calibri" w:hAnsi="Arial" w:cs="Arial"/>
                <w:sz w:val="16"/>
                <w:szCs w:val="16"/>
              </w:rPr>
            </w:pPr>
            <w:r w:rsidRPr="0076476F">
              <w:rPr>
                <w:rFonts w:ascii="Arial" w:eastAsia="Calibri" w:hAnsi="Arial" w:cs="Arial"/>
                <w:sz w:val="18"/>
                <w:szCs w:val="18"/>
              </w:rPr>
              <w:t>Ciljana vrijednost 2027.</w:t>
            </w:r>
          </w:p>
        </w:tc>
      </w:tr>
      <w:tr w:rsidR="0076476F" w:rsidRPr="00500D60" w14:paraId="48F360C7" w14:textId="77777777" w:rsidTr="00EA587B">
        <w:trPr>
          <w:trHeight w:val="707"/>
          <w:jc w:val="center"/>
        </w:trPr>
        <w:tc>
          <w:tcPr>
            <w:tcW w:w="2830" w:type="dxa"/>
            <w:vAlign w:val="center"/>
          </w:tcPr>
          <w:p w14:paraId="717F23EE" w14:textId="6BEC460B" w:rsidR="0076476F" w:rsidRPr="00500D60" w:rsidRDefault="0076476F" w:rsidP="0076476F">
            <w:pPr>
              <w:rPr>
                <w:rFonts w:ascii="Arial" w:hAnsi="Arial" w:cs="Arial"/>
                <w:color w:val="FF0000"/>
                <w:sz w:val="16"/>
                <w:szCs w:val="16"/>
                <w:lang w:eastAsia="en-US"/>
              </w:rPr>
            </w:pPr>
            <w:r w:rsidRPr="00E63810">
              <w:rPr>
                <w:rFonts w:ascii="Arial" w:hAnsi="Arial" w:cs="Arial"/>
                <w:sz w:val="18"/>
                <w:szCs w:val="18"/>
                <w:lang w:eastAsia="en-US"/>
              </w:rPr>
              <w:t>Broj svih posjetitelja u muzejskim jedinicama prema broju prodanih karata (bez stanovnika Općine Konavle)</w:t>
            </w:r>
          </w:p>
        </w:tc>
        <w:tc>
          <w:tcPr>
            <w:tcW w:w="3271" w:type="dxa"/>
            <w:vAlign w:val="center"/>
          </w:tcPr>
          <w:p w14:paraId="35924E7C" w14:textId="0161441B" w:rsidR="0076476F" w:rsidRPr="00500D60" w:rsidRDefault="0076476F" w:rsidP="0076476F">
            <w:pPr>
              <w:rPr>
                <w:rFonts w:ascii="Arial" w:hAnsi="Arial" w:cs="Arial"/>
                <w:color w:val="FF0000"/>
                <w:sz w:val="16"/>
                <w:szCs w:val="16"/>
                <w:lang w:eastAsia="en-US"/>
              </w:rPr>
            </w:pPr>
            <w:r w:rsidRPr="00E63810">
              <w:rPr>
                <w:rFonts w:ascii="Arial" w:hAnsi="Arial" w:cs="Arial"/>
                <w:sz w:val="18"/>
                <w:szCs w:val="18"/>
                <w:lang w:eastAsia="en-US"/>
              </w:rPr>
              <w:t>Aktivna marketinška politika prema subjektima u turizmu</w:t>
            </w:r>
          </w:p>
        </w:tc>
        <w:tc>
          <w:tcPr>
            <w:tcW w:w="1124" w:type="dxa"/>
            <w:vAlign w:val="center"/>
          </w:tcPr>
          <w:p w14:paraId="0F051315" w14:textId="77777777" w:rsidR="0076476F" w:rsidRPr="00E63810" w:rsidRDefault="0076476F" w:rsidP="0076476F">
            <w:pPr>
              <w:jc w:val="center"/>
              <w:rPr>
                <w:rFonts w:ascii="Arial" w:eastAsia="Calibri" w:hAnsi="Arial" w:cs="Arial"/>
                <w:sz w:val="18"/>
                <w:szCs w:val="18"/>
              </w:rPr>
            </w:pPr>
            <w:r w:rsidRPr="00E63810">
              <w:rPr>
                <w:rFonts w:ascii="Arial" w:eastAsia="Calibri" w:hAnsi="Arial" w:cs="Arial"/>
                <w:sz w:val="18"/>
                <w:szCs w:val="18"/>
              </w:rPr>
              <w:t>Posjetitelji</w:t>
            </w:r>
          </w:p>
          <w:p w14:paraId="614CB936" w14:textId="0B7E801A" w:rsidR="0076476F" w:rsidRPr="00500D60" w:rsidRDefault="0076476F" w:rsidP="0076476F">
            <w:pPr>
              <w:jc w:val="center"/>
              <w:rPr>
                <w:rFonts w:ascii="Arial" w:eastAsia="Calibri" w:hAnsi="Arial" w:cs="Arial"/>
                <w:color w:val="FF0000"/>
                <w:sz w:val="16"/>
                <w:szCs w:val="16"/>
              </w:rPr>
            </w:pPr>
          </w:p>
        </w:tc>
        <w:tc>
          <w:tcPr>
            <w:tcW w:w="1144" w:type="dxa"/>
            <w:vAlign w:val="center"/>
          </w:tcPr>
          <w:p w14:paraId="576A29E7" w14:textId="06784B49" w:rsidR="0076476F" w:rsidRPr="0076476F" w:rsidRDefault="0076476F" w:rsidP="0076476F">
            <w:pPr>
              <w:jc w:val="center"/>
              <w:rPr>
                <w:rFonts w:ascii="Arial" w:eastAsia="Calibri" w:hAnsi="Arial" w:cs="Arial"/>
                <w:color w:val="FF0000"/>
                <w:sz w:val="16"/>
                <w:szCs w:val="16"/>
              </w:rPr>
            </w:pPr>
            <w:r w:rsidRPr="0076476F">
              <w:rPr>
                <w:rFonts w:ascii="Arial" w:eastAsia="Calibri" w:hAnsi="Arial" w:cs="Arial"/>
                <w:sz w:val="18"/>
                <w:szCs w:val="18"/>
              </w:rPr>
              <w:t>14.744</w:t>
            </w:r>
          </w:p>
        </w:tc>
        <w:tc>
          <w:tcPr>
            <w:tcW w:w="1277" w:type="dxa"/>
            <w:vAlign w:val="center"/>
          </w:tcPr>
          <w:p w14:paraId="1ED6623B" w14:textId="4F00B478"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Muzeji, Odjel općih poslova MGK</w:t>
            </w:r>
          </w:p>
        </w:tc>
        <w:tc>
          <w:tcPr>
            <w:tcW w:w="992" w:type="dxa"/>
            <w:vAlign w:val="center"/>
          </w:tcPr>
          <w:p w14:paraId="218326B6" w14:textId="64376846" w:rsidR="0076476F" w:rsidRPr="0076476F" w:rsidRDefault="0076476F" w:rsidP="0076476F">
            <w:pPr>
              <w:jc w:val="center"/>
              <w:rPr>
                <w:rFonts w:ascii="Arial" w:eastAsia="Calibri" w:hAnsi="Arial" w:cs="Arial"/>
                <w:color w:val="FF0000"/>
                <w:sz w:val="16"/>
                <w:szCs w:val="16"/>
              </w:rPr>
            </w:pPr>
            <w:r w:rsidRPr="0076476F">
              <w:rPr>
                <w:rFonts w:ascii="Arial" w:hAnsi="Arial" w:cs="Arial"/>
                <w:sz w:val="18"/>
                <w:szCs w:val="18"/>
              </w:rPr>
              <w:t>16.000</w:t>
            </w:r>
          </w:p>
        </w:tc>
        <w:tc>
          <w:tcPr>
            <w:tcW w:w="1134" w:type="dxa"/>
            <w:vAlign w:val="center"/>
          </w:tcPr>
          <w:p w14:paraId="3F70CD37" w14:textId="1D6D5612"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15.603</w:t>
            </w:r>
          </w:p>
        </w:tc>
        <w:tc>
          <w:tcPr>
            <w:tcW w:w="992" w:type="dxa"/>
            <w:vAlign w:val="center"/>
          </w:tcPr>
          <w:p w14:paraId="657D7A30" w14:textId="3878C419"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 xml:space="preserve">    17.000</w:t>
            </w:r>
          </w:p>
        </w:tc>
        <w:tc>
          <w:tcPr>
            <w:tcW w:w="992" w:type="dxa"/>
            <w:vAlign w:val="center"/>
          </w:tcPr>
          <w:p w14:paraId="19C58105" w14:textId="1FA40A0F"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 xml:space="preserve">   17.000</w:t>
            </w:r>
          </w:p>
        </w:tc>
      </w:tr>
      <w:tr w:rsidR="0076476F" w:rsidRPr="00500D60" w14:paraId="47DCE6E4" w14:textId="77777777" w:rsidTr="00EA587B">
        <w:trPr>
          <w:trHeight w:val="702"/>
          <w:jc w:val="center"/>
        </w:trPr>
        <w:tc>
          <w:tcPr>
            <w:tcW w:w="2830" w:type="dxa"/>
            <w:vAlign w:val="center"/>
          </w:tcPr>
          <w:p w14:paraId="3BD48278" w14:textId="7AA8F152" w:rsidR="0076476F" w:rsidRPr="00500D60" w:rsidRDefault="0076476F" w:rsidP="0076476F">
            <w:pPr>
              <w:rPr>
                <w:rFonts w:ascii="Arial" w:hAnsi="Arial" w:cs="Arial"/>
                <w:color w:val="FF0000"/>
                <w:sz w:val="16"/>
                <w:szCs w:val="16"/>
                <w:lang w:eastAsia="en-US"/>
              </w:rPr>
            </w:pPr>
            <w:r w:rsidRPr="00E63810">
              <w:rPr>
                <w:rFonts w:ascii="Arial" w:hAnsi="Arial" w:cs="Arial"/>
                <w:sz w:val="18"/>
                <w:szCs w:val="18"/>
                <w:lang w:eastAsia="en-US"/>
              </w:rPr>
              <w:t>Broj posjetitelja muzejskim jedinicama prema broju prodanih karata preko DU CARD</w:t>
            </w:r>
          </w:p>
        </w:tc>
        <w:tc>
          <w:tcPr>
            <w:tcW w:w="3271" w:type="dxa"/>
            <w:vAlign w:val="center"/>
          </w:tcPr>
          <w:p w14:paraId="629DF6B4" w14:textId="09329DD3" w:rsidR="0076476F" w:rsidRPr="00500D60" w:rsidRDefault="0076476F" w:rsidP="0076476F">
            <w:pPr>
              <w:rPr>
                <w:rFonts w:ascii="Arial" w:hAnsi="Arial" w:cs="Arial"/>
                <w:color w:val="FF0000"/>
                <w:sz w:val="16"/>
                <w:szCs w:val="16"/>
                <w:lang w:eastAsia="en-US"/>
              </w:rPr>
            </w:pPr>
            <w:r w:rsidRPr="00E63810">
              <w:rPr>
                <w:rFonts w:ascii="Arial" w:hAnsi="Arial" w:cs="Arial"/>
                <w:sz w:val="18"/>
                <w:szCs w:val="18"/>
                <w:lang w:eastAsia="en-US"/>
              </w:rPr>
              <w:t>Aktivna marketinška politika prema subjektima u turizmu</w:t>
            </w:r>
          </w:p>
        </w:tc>
        <w:tc>
          <w:tcPr>
            <w:tcW w:w="1124" w:type="dxa"/>
            <w:vAlign w:val="center"/>
          </w:tcPr>
          <w:p w14:paraId="46DB7FB9" w14:textId="77777777" w:rsidR="0076476F" w:rsidRPr="00E63810" w:rsidRDefault="0076476F" w:rsidP="0076476F">
            <w:pPr>
              <w:jc w:val="center"/>
              <w:rPr>
                <w:rFonts w:ascii="Arial" w:eastAsia="Calibri" w:hAnsi="Arial" w:cs="Arial"/>
                <w:sz w:val="18"/>
                <w:szCs w:val="18"/>
              </w:rPr>
            </w:pPr>
            <w:r w:rsidRPr="00E63810">
              <w:rPr>
                <w:rFonts w:ascii="Arial" w:eastAsia="Calibri" w:hAnsi="Arial" w:cs="Arial"/>
                <w:sz w:val="18"/>
                <w:szCs w:val="18"/>
              </w:rPr>
              <w:t>Posjetitelji preko</w:t>
            </w:r>
          </w:p>
          <w:p w14:paraId="6DBFAFE6" w14:textId="77777777" w:rsidR="0076476F" w:rsidRPr="00E63810" w:rsidRDefault="0076476F" w:rsidP="0076476F">
            <w:pPr>
              <w:jc w:val="center"/>
              <w:rPr>
                <w:rFonts w:ascii="Arial" w:eastAsia="Calibri" w:hAnsi="Arial" w:cs="Arial"/>
                <w:sz w:val="18"/>
                <w:szCs w:val="18"/>
              </w:rPr>
            </w:pPr>
            <w:r w:rsidRPr="00E63810">
              <w:rPr>
                <w:rFonts w:ascii="Arial" w:eastAsia="Calibri" w:hAnsi="Arial" w:cs="Arial"/>
                <w:sz w:val="18"/>
                <w:szCs w:val="18"/>
              </w:rPr>
              <w:t xml:space="preserve"> DU PASS</w:t>
            </w:r>
          </w:p>
          <w:p w14:paraId="610E51AC" w14:textId="6DCC06A2" w:rsidR="0076476F" w:rsidRPr="00500D60" w:rsidRDefault="0076476F" w:rsidP="0076476F">
            <w:pPr>
              <w:jc w:val="center"/>
              <w:rPr>
                <w:rFonts w:ascii="Arial" w:eastAsia="Calibri" w:hAnsi="Arial" w:cs="Arial"/>
                <w:color w:val="FF0000"/>
                <w:sz w:val="16"/>
                <w:szCs w:val="16"/>
              </w:rPr>
            </w:pPr>
            <w:r w:rsidRPr="00E63810">
              <w:rPr>
                <w:rFonts w:ascii="Arial" w:eastAsia="Calibri" w:hAnsi="Arial" w:cs="Arial"/>
                <w:sz w:val="18"/>
                <w:szCs w:val="18"/>
              </w:rPr>
              <w:t>kartica</w:t>
            </w:r>
          </w:p>
        </w:tc>
        <w:tc>
          <w:tcPr>
            <w:tcW w:w="1144" w:type="dxa"/>
            <w:vAlign w:val="center"/>
          </w:tcPr>
          <w:p w14:paraId="7D601E1B" w14:textId="134A5C28" w:rsidR="0076476F" w:rsidRPr="0076476F" w:rsidRDefault="0076476F" w:rsidP="0076476F">
            <w:pPr>
              <w:jc w:val="center"/>
              <w:rPr>
                <w:rFonts w:ascii="Arial" w:eastAsia="Calibri" w:hAnsi="Arial" w:cs="Arial"/>
                <w:color w:val="FF0000"/>
                <w:sz w:val="16"/>
                <w:szCs w:val="16"/>
              </w:rPr>
            </w:pPr>
            <w:r w:rsidRPr="0076476F">
              <w:rPr>
                <w:rFonts w:ascii="Arial" w:eastAsia="Calibri" w:hAnsi="Arial" w:cs="Arial"/>
                <w:sz w:val="18"/>
                <w:szCs w:val="18"/>
              </w:rPr>
              <w:t>1.214</w:t>
            </w:r>
          </w:p>
        </w:tc>
        <w:tc>
          <w:tcPr>
            <w:tcW w:w="1277" w:type="dxa"/>
            <w:vAlign w:val="center"/>
          </w:tcPr>
          <w:p w14:paraId="6B6FDDDA" w14:textId="68D0EA88"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Odjel općih poslova</w:t>
            </w:r>
          </w:p>
        </w:tc>
        <w:tc>
          <w:tcPr>
            <w:tcW w:w="992" w:type="dxa"/>
            <w:vAlign w:val="center"/>
          </w:tcPr>
          <w:p w14:paraId="3D9EF1B3" w14:textId="069A0A32"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3.500</w:t>
            </w:r>
          </w:p>
        </w:tc>
        <w:tc>
          <w:tcPr>
            <w:tcW w:w="1134" w:type="dxa"/>
            <w:vAlign w:val="center"/>
          </w:tcPr>
          <w:p w14:paraId="15AB4376" w14:textId="50A77A25"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1.475</w:t>
            </w:r>
          </w:p>
        </w:tc>
        <w:tc>
          <w:tcPr>
            <w:tcW w:w="992" w:type="dxa"/>
            <w:vAlign w:val="center"/>
          </w:tcPr>
          <w:p w14:paraId="6647BAC4" w14:textId="2A0A5A31"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 xml:space="preserve">      3.500</w:t>
            </w:r>
          </w:p>
        </w:tc>
        <w:tc>
          <w:tcPr>
            <w:tcW w:w="992" w:type="dxa"/>
            <w:vAlign w:val="center"/>
          </w:tcPr>
          <w:p w14:paraId="68D4D42E" w14:textId="3C11EABC"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 xml:space="preserve">     3.500</w:t>
            </w:r>
          </w:p>
        </w:tc>
      </w:tr>
      <w:tr w:rsidR="0076476F" w:rsidRPr="00500D60" w14:paraId="6D9FBE2D" w14:textId="77777777" w:rsidTr="00EA587B">
        <w:trPr>
          <w:trHeight w:val="684"/>
          <w:jc w:val="center"/>
        </w:trPr>
        <w:tc>
          <w:tcPr>
            <w:tcW w:w="2830" w:type="dxa"/>
            <w:vAlign w:val="center"/>
          </w:tcPr>
          <w:p w14:paraId="00928E2D" w14:textId="299406F2" w:rsidR="0076476F" w:rsidRPr="00500D60" w:rsidRDefault="0076476F" w:rsidP="0076476F">
            <w:pPr>
              <w:rPr>
                <w:rFonts w:ascii="Arial" w:hAnsi="Arial" w:cs="Arial"/>
                <w:color w:val="FF0000"/>
                <w:sz w:val="16"/>
                <w:szCs w:val="16"/>
                <w:lang w:eastAsia="en-US"/>
              </w:rPr>
            </w:pPr>
            <w:r w:rsidRPr="00E63810">
              <w:rPr>
                <w:rFonts w:ascii="Arial" w:hAnsi="Arial" w:cs="Arial"/>
                <w:sz w:val="18"/>
                <w:szCs w:val="18"/>
                <w:lang w:eastAsia="en-US"/>
              </w:rPr>
              <w:t>Broj prijavljenih projekata</w:t>
            </w:r>
          </w:p>
        </w:tc>
        <w:tc>
          <w:tcPr>
            <w:tcW w:w="3271" w:type="dxa"/>
            <w:vAlign w:val="center"/>
          </w:tcPr>
          <w:p w14:paraId="1165038E" w14:textId="2B3E5C15" w:rsidR="0076476F" w:rsidRPr="00500D60" w:rsidRDefault="0076476F" w:rsidP="0076476F">
            <w:pPr>
              <w:rPr>
                <w:rFonts w:ascii="Arial" w:hAnsi="Arial" w:cs="Arial"/>
                <w:color w:val="FF0000"/>
                <w:sz w:val="16"/>
                <w:szCs w:val="16"/>
                <w:lang w:eastAsia="en-US"/>
              </w:rPr>
            </w:pPr>
            <w:r w:rsidRPr="00E63810">
              <w:rPr>
                <w:rFonts w:ascii="Arial" w:hAnsi="Arial" w:cs="Arial"/>
                <w:sz w:val="18"/>
                <w:szCs w:val="18"/>
                <w:lang w:eastAsia="en-US"/>
              </w:rPr>
              <w:t>Traženje izvora financiranja i podrške u projektima zaštite i održanja kulturne baštine i prezentacije</w:t>
            </w:r>
          </w:p>
        </w:tc>
        <w:tc>
          <w:tcPr>
            <w:tcW w:w="1124" w:type="dxa"/>
            <w:vAlign w:val="center"/>
          </w:tcPr>
          <w:p w14:paraId="6B4622B2" w14:textId="7193AD4C" w:rsidR="0076476F" w:rsidRPr="00500D60" w:rsidRDefault="0076476F" w:rsidP="0076476F">
            <w:pPr>
              <w:jc w:val="center"/>
              <w:rPr>
                <w:rFonts w:ascii="Arial" w:hAnsi="Arial" w:cs="Arial"/>
                <w:color w:val="FF0000"/>
                <w:sz w:val="16"/>
                <w:szCs w:val="16"/>
                <w:lang w:eastAsia="en-US"/>
              </w:rPr>
            </w:pPr>
            <w:r w:rsidRPr="00E63810">
              <w:rPr>
                <w:rFonts w:ascii="Arial" w:hAnsi="Arial" w:cs="Arial"/>
                <w:sz w:val="18"/>
                <w:szCs w:val="18"/>
                <w:lang w:eastAsia="en-US"/>
              </w:rPr>
              <w:t>Projekt</w:t>
            </w:r>
          </w:p>
        </w:tc>
        <w:tc>
          <w:tcPr>
            <w:tcW w:w="1144" w:type="dxa"/>
            <w:vAlign w:val="center"/>
          </w:tcPr>
          <w:p w14:paraId="7CADF046" w14:textId="09CCB719"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11</w:t>
            </w:r>
          </w:p>
        </w:tc>
        <w:tc>
          <w:tcPr>
            <w:tcW w:w="1277" w:type="dxa"/>
            <w:vAlign w:val="center"/>
          </w:tcPr>
          <w:p w14:paraId="37E79B5A" w14:textId="3E5FDE50"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Odjel općih poslova</w:t>
            </w:r>
          </w:p>
        </w:tc>
        <w:tc>
          <w:tcPr>
            <w:tcW w:w="992" w:type="dxa"/>
            <w:vAlign w:val="center"/>
          </w:tcPr>
          <w:p w14:paraId="4B3F9127" w14:textId="0380CE7A"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12</w:t>
            </w:r>
          </w:p>
        </w:tc>
        <w:tc>
          <w:tcPr>
            <w:tcW w:w="1134" w:type="dxa"/>
            <w:vAlign w:val="center"/>
          </w:tcPr>
          <w:p w14:paraId="60B06D9E" w14:textId="17036683"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13</w:t>
            </w:r>
          </w:p>
        </w:tc>
        <w:tc>
          <w:tcPr>
            <w:tcW w:w="992" w:type="dxa"/>
            <w:vAlign w:val="center"/>
          </w:tcPr>
          <w:p w14:paraId="6B6A282D" w14:textId="709ED242"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12</w:t>
            </w:r>
          </w:p>
        </w:tc>
        <w:tc>
          <w:tcPr>
            <w:tcW w:w="992" w:type="dxa"/>
            <w:vAlign w:val="center"/>
          </w:tcPr>
          <w:p w14:paraId="6294481F" w14:textId="331376CE" w:rsidR="0076476F" w:rsidRPr="0076476F" w:rsidRDefault="0076476F" w:rsidP="0076476F">
            <w:pPr>
              <w:jc w:val="center"/>
              <w:rPr>
                <w:rFonts w:ascii="Arial" w:hAnsi="Arial" w:cs="Arial"/>
                <w:color w:val="FF0000"/>
                <w:sz w:val="16"/>
                <w:szCs w:val="16"/>
                <w:lang w:eastAsia="en-US"/>
              </w:rPr>
            </w:pPr>
            <w:r w:rsidRPr="0076476F">
              <w:rPr>
                <w:rFonts w:ascii="Arial" w:hAnsi="Arial" w:cs="Arial"/>
                <w:sz w:val="18"/>
                <w:szCs w:val="18"/>
              </w:rPr>
              <w:t>12</w:t>
            </w:r>
          </w:p>
        </w:tc>
      </w:tr>
      <w:tr w:rsidR="0076476F" w:rsidRPr="00500D60" w14:paraId="06AD63FE" w14:textId="77777777" w:rsidTr="00EA587B">
        <w:trPr>
          <w:trHeight w:val="566"/>
          <w:jc w:val="center"/>
        </w:trPr>
        <w:tc>
          <w:tcPr>
            <w:tcW w:w="2830" w:type="dxa"/>
            <w:vAlign w:val="center"/>
          </w:tcPr>
          <w:p w14:paraId="244FBA49" w14:textId="25643755" w:rsidR="0076476F" w:rsidRPr="00500D60" w:rsidRDefault="0076476F" w:rsidP="0076476F">
            <w:pPr>
              <w:rPr>
                <w:rFonts w:ascii="Arial" w:hAnsi="Arial" w:cs="Arial"/>
                <w:color w:val="FF0000"/>
                <w:sz w:val="16"/>
                <w:szCs w:val="16"/>
              </w:rPr>
            </w:pPr>
            <w:r w:rsidRPr="00E63810">
              <w:rPr>
                <w:rFonts w:ascii="Arial" w:hAnsi="Arial" w:cs="Arial"/>
                <w:sz w:val="18"/>
                <w:szCs w:val="18"/>
                <w:lang w:eastAsia="en-US"/>
              </w:rPr>
              <w:t>Broj zahtjeva prema sponzorima</w:t>
            </w:r>
          </w:p>
        </w:tc>
        <w:tc>
          <w:tcPr>
            <w:tcW w:w="3271" w:type="dxa"/>
            <w:vAlign w:val="center"/>
          </w:tcPr>
          <w:p w14:paraId="21AA58C4" w14:textId="1C36A8BE" w:rsidR="0076476F" w:rsidRPr="00500D60" w:rsidRDefault="0076476F" w:rsidP="0076476F">
            <w:pPr>
              <w:rPr>
                <w:rFonts w:ascii="Arial" w:hAnsi="Arial" w:cs="Arial"/>
                <w:color w:val="FF0000"/>
                <w:sz w:val="16"/>
                <w:szCs w:val="16"/>
              </w:rPr>
            </w:pPr>
            <w:r w:rsidRPr="00E63810">
              <w:rPr>
                <w:rFonts w:ascii="Arial" w:hAnsi="Arial" w:cs="Arial"/>
                <w:sz w:val="18"/>
                <w:szCs w:val="18"/>
                <w:lang w:eastAsia="en-US"/>
              </w:rPr>
              <w:t>Pomoć pri realizaciji projekata od velike važnosti za lokalnu zajednicu</w:t>
            </w:r>
          </w:p>
        </w:tc>
        <w:tc>
          <w:tcPr>
            <w:tcW w:w="1124" w:type="dxa"/>
            <w:vAlign w:val="center"/>
          </w:tcPr>
          <w:p w14:paraId="1F1C0D4E" w14:textId="6DBD0D9C" w:rsidR="0076476F" w:rsidRPr="00500D60" w:rsidRDefault="0076476F" w:rsidP="0076476F">
            <w:pPr>
              <w:jc w:val="center"/>
              <w:rPr>
                <w:rFonts w:ascii="Arial" w:hAnsi="Arial" w:cs="Arial"/>
                <w:color w:val="FF0000"/>
                <w:sz w:val="16"/>
                <w:szCs w:val="16"/>
              </w:rPr>
            </w:pPr>
            <w:r w:rsidRPr="00E63810">
              <w:rPr>
                <w:rFonts w:ascii="Arial" w:hAnsi="Arial" w:cs="Arial"/>
                <w:sz w:val="18"/>
                <w:szCs w:val="18"/>
                <w:lang w:eastAsia="en-US"/>
              </w:rPr>
              <w:t>Zahtjev</w:t>
            </w:r>
          </w:p>
        </w:tc>
        <w:tc>
          <w:tcPr>
            <w:tcW w:w="1144" w:type="dxa"/>
            <w:vAlign w:val="center"/>
          </w:tcPr>
          <w:p w14:paraId="1237225C" w14:textId="78626C2A" w:rsidR="0076476F" w:rsidRPr="0076476F" w:rsidRDefault="0076476F" w:rsidP="0076476F">
            <w:pPr>
              <w:jc w:val="center"/>
              <w:rPr>
                <w:rFonts w:ascii="Arial" w:hAnsi="Arial" w:cs="Arial"/>
                <w:color w:val="FF0000"/>
                <w:sz w:val="16"/>
                <w:szCs w:val="16"/>
              </w:rPr>
            </w:pPr>
            <w:r w:rsidRPr="0076476F">
              <w:rPr>
                <w:rFonts w:ascii="Arial" w:hAnsi="Arial" w:cs="Arial"/>
                <w:sz w:val="18"/>
                <w:szCs w:val="18"/>
              </w:rPr>
              <w:t>0</w:t>
            </w:r>
          </w:p>
        </w:tc>
        <w:tc>
          <w:tcPr>
            <w:tcW w:w="1277" w:type="dxa"/>
            <w:vAlign w:val="center"/>
          </w:tcPr>
          <w:p w14:paraId="682DDFA9" w14:textId="11316C73" w:rsidR="0076476F" w:rsidRPr="0076476F" w:rsidRDefault="0076476F" w:rsidP="0076476F">
            <w:pPr>
              <w:jc w:val="center"/>
              <w:rPr>
                <w:rFonts w:ascii="Arial" w:hAnsi="Arial" w:cs="Arial"/>
                <w:color w:val="FF0000"/>
                <w:sz w:val="16"/>
                <w:szCs w:val="16"/>
              </w:rPr>
            </w:pPr>
            <w:r w:rsidRPr="0076476F">
              <w:rPr>
                <w:rFonts w:ascii="Arial" w:hAnsi="Arial" w:cs="Arial"/>
                <w:sz w:val="18"/>
                <w:szCs w:val="18"/>
              </w:rPr>
              <w:t>Odjel općih poslova</w:t>
            </w:r>
          </w:p>
        </w:tc>
        <w:tc>
          <w:tcPr>
            <w:tcW w:w="992" w:type="dxa"/>
            <w:vAlign w:val="center"/>
          </w:tcPr>
          <w:p w14:paraId="42EA5818" w14:textId="757EBF5A" w:rsidR="0076476F" w:rsidRPr="0076476F" w:rsidRDefault="0076476F" w:rsidP="0076476F">
            <w:pPr>
              <w:jc w:val="center"/>
              <w:rPr>
                <w:rFonts w:ascii="Arial" w:hAnsi="Arial" w:cs="Arial"/>
                <w:color w:val="FF0000"/>
                <w:sz w:val="16"/>
                <w:szCs w:val="16"/>
              </w:rPr>
            </w:pPr>
            <w:r w:rsidRPr="0076476F">
              <w:rPr>
                <w:rFonts w:ascii="Arial" w:hAnsi="Arial" w:cs="Arial"/>
                <w:sz w:val="18"/>
                <w:szCs w:val="18"/>
              </w:rPr>
              <w:t>10</w:t>
            </w:r>
          </w:p>
        </w:tc>
        <w:tc>
          <w:tcPr>
            <w:tcW w:w="1134" w:type="dxa"/>
            <w:vAlign w:val="center"/>
          </w:tcPr>
          <w:p w14:paraId="33427AAB" w14:textId="37B4812E" w:rsidR="0076476F" w:rsidRPr="0076476F" w:rsidRDefault="0076476F" w:rsidP="0076476F">
            <w:pPr>
              <w:jc w:val="center"/>
              <w:rPr>
                <w:rFonts w:ascii="Arial" w:hAnsi="Arial" w:cs="Arial"/>
                <w:color w:val="FF0000"/>
                <w:sz w:val="16"/>
                <w:szCs w:val="16"/>
              </w:rPr>
            </w:pPr>
            <w:r w:rsidRPr="0076476F">
              <w:rPr>
                <w:rFonts w:ascii="Arial" w:hAnsi="Arial" w:cs="Arial"/>
                <w:sz w:val="18"/>
                <w:szCs w:val="18"/>
              </w:rPr>
              <w:t>0</w:t>
            </w:r>
          </w:p>
        </w:tc>
        <w:tc>
          <w:tcPr>
            <w:tcW w:w="992" w:type="dxa"/>
            <w:vAlign w:val="center"/>
          </w:tcPr>
          <w:p w14:paraId="1868C5D2" w14:textId="1E13A66C" w:rsidR="0076476F" w:rsidRPr="0076476F" w:rsidRDefault="0076476F" w:rsidP="0076476F">
            <w:pPr>
              <w:jc w:val="center"/>
              <w:rPr>
                <w:rFonts w:ascii="Arial" w:hAnsi="Arial" w:cs="Arial"/>
                <w:color w:val="FF0000"/>
                <w:sz w:val="16"/>
                <w:szCs w:val="16"/>
              </w:rPr>
            </w:pPr>
            <w:r w:rsidRPr="0076476F">
              <w:rPr>
                <w:rFonts w:ascii="Arial" w:hAnsi="Arial" w:cs="Arial"/>
                <w:sz w:val="18"/>
                <w:szCs w:val="18"/>
              </w:rPr>
              <w:t>10</w:t>
            </w:r>
          </w:p>
        </w:tc>
        <w:tc>
          <w:tcPr>
            <w:tcW w:w="992" w:type="dxa"/>
            <w:vAlign w:val="center"/>
          </w:tcPr>
          <w:p w14:paraId="0679B8A6" w14:textId="3B7A7642" w:rsidR="0076476F" w:rsidRPr="0076476F" w:rsidRDefault="0076476F" w:rsidP="0076476F">
            <w:pPr>
              <w:jc w:val="center"/>
              <w:rPr>
                <w:rFonts w:ascii="Arial" w:hAnsi="Arial" w:cs="Arial"/>
                <w:color w:val="FF0000"/>
                <w:sz w:val="16"/>
                <w:szCs w:val="16"/>
              </w:rPr>
            </w:pPr>
            <w:r w:rsidRPr="0076476F">
              <w:rPr>
                <w:rFonts w:ascii="Arial" w:hAnsi="Arial" w:cs="Arial"/>
                <w:sz w:val="18"/>
                <w:szCs w:val="18"/>
              </w:rPr>
              <w:t>10</w:t>
            </w:r>
          </w:p>
        </w:tc>
      </w:tr>
    </w:tbl>
    <w:p w14:paraId="7FB50485" w14:textId="77777777" w:rsidR="00ED5AE5" w:rsidRPr="00EA587B" w:rsidRDefault="00ED5AE5" w:rsidP="00976A36">
      <w:pPr>
        <w:spacing w:after="0" w:line="240" w:lineRule="auto"/>
        <w:jc w:val="both"/>
        <w:rPr>
          <w:rFonts w:ascii="Arial" w:eastAsia="Times New Roman" w:hAnsi="Arial" w:cs="Arial"/>
          <w:sz w:val="18"/>
          <w:szCs w:val="18"/>
          <w:lang w:eastAsia="en-US"/>
        </w:rPr>
      </w:pPr>
    </w:p>
    <w:p w14:paraId="7572900A" w14:textId="77777777" w:rsidR="0076476F" w:rsidRPr="001113E8" w:rsidRDefault="0076476F" w:rsidP="001113E8">
      <w:pPr>
        <w:spacing w:after="0" w:line="240" w:lineRule="auto"/>
        <w:jc w:val="both"/>
        <w:rPr>
          <w:rFonts w:ascii="Arial" w:eastAsia="Times New Roman" w:hAnsi="Arial" w:cs="Arial"/>
          <w:sz w:val="20"/>
          <w:szCs w:val="20"/>
          <w:lang w:eastAsia="en-US"/>
        </w:rPr>
      </w:pPr>
      <w:r w:rsidRPr="001113E8">
        <w:rPr>
          <w:rFonts w:ascii="Arial" w:eastAsia="Times New Roman" w:hAnsi="Arial" w:cs="Arial"/>
          <w:sz w:val="20"/>
          <w:szCs w:val="20"/>
          <w:lang w:eastAsia="en-US"/>
        </w:rPr>
        <w:t xml:space="preserve">Projekti prijavljeni na javnom pozivu za potrebe u kulturi Ministarstva kulture i medija  za realizaciju u 2025. godini su: </w:t>
      </w:r>
    </w:p>
    <w:p w14:paraId="470CD501" w14:textId="77777777" w:rsidR="0076476F" w:rsidRPr="001113E8" w:rsidRDefault="0076476F" w:rsidP="001113E8">
      <w:pPr>
        <w:spacing w:after="0" w:line="240" w:lineRule="auto"/>
        <w:jc w:val="both"/>
        <w:rPr>
          <w:rFonts w:ascii="Arial" w:eastAsia="Times New Roman" w:hAnsi="Arial" w:cs="Arial"/>
          <w:sz w:val="20"/>
          <w:szCs w:val="20"/>
          <w:lang w:eastAsia="en-US"/>
        </w:rPr>
      </w:pPr>
      <w:r w:rsidRPr="001113E8">
        <w:rPr>
          <w:rFonts w:ascii="Arial" w:eastAsia="Times New Roman" w:hAnsi="Arial" w:cs="Arial"/>
          <w:sz w:val="20"/>
          <w:szCs w:val="20"/>
          <w:lang w:eastAsia="en-US"/>
        </w:rPr>
        <w:t>Odobreni projekti:</w:t>
      </w:r>
    </w:p>
    <w:p w14:paraId="52546D7D" w14:textId="77777777" w:rsidR="0076476F" w:rsidRPr="001113E8" w:rsidRDefault="0076476F" w:rsidP="001113E8">
      <w:pPr>
        <w:numPr>
          <w:ilvl w:val="0"/>
          <w:numId w:val="39"/>
        </w:numPr>
        <w:spacing w:after="0" w:line="240" w:lineRule="auto"/>
        <w:contextualSpacing/>
        <w:jc w:val="both"/>
        <w:rPr>
          <w:rFonts w:ascii="Arial" w:eastAsia="Times New Roman" w:hAnsi="Arial" w:cs="Arial"/>
          <w:sz w:val="20"/>
          <w:szCs w:val="20"/>
          <w:lang w:eastAsia="en-US"/>
        </w:rPr>
      </w:pPr>
      <w:r w:rsidRPr="001113E8">
        <w:rPr>
          <w:rFonts w:ascii="Arial" w:eastAsia="Times New Roman" w:hAnsi="Arial" w:cs="Arial"/>
          <w:sz w:val="20"/>
          <w:szCs w:val="20"/>
          <w:lang w:eastAsia="en-US"/>
        </w:rPr>
        <w:t>Program zaštite i očuvanja kopnene arheološke baštine - arheološka istraživanje Rat Cavtat, jugoistočni dio kompleksa</w:t>
      </w:r>
    </w:p>
    <w:p w14:paraId="0BF9445B" w14:textId="77777777" w:rsidR="0076476F" w:rsidRPr="001113E8" w:rsidRDefault="0076476F" w:rsidP="001113E8">
      <w:pPr>
        <w:numPr>
          <w:ilvl w:val="0"/>
          <w:numId w:val="39"/>
        </w:numPr>
        <w:spacing w:after="0" w:line="240" w:lineRule="auto"/>
        <w:contextualSpacing/>
        <w:jc w:val="both"/>
        <w:rPr>
          <w:rFonts w:ascii="Arial" w:eastAsia="Times New Roman" w:hAnsi="Arial" w:cs="Arial"/>
          <w:sz w:val="20"/>
          <w:szCs w:val="20"/>
          <w:lang w:eastAsia="en-US"/>
        </w:rPr>
      </w:pPr>
      <w:r w:rsidRPr="001113E8">
        <w:rPr>
          <w:rFonts w:ascii="Arial" w:eastAsia="Times New Roman" w:hAnsi="Arial" w:cs="Arial"/>
          <w:sz w:val="20"/>
          <w:szCs w:val="20"/>
          <w:lang w:eastAsia="en-US"/>
        </w:rPr>
        <w:t>Muzejska djelatnost - izložbene aktivnosti Muzeja i galerija Konavala za 2025. godinu</w:t>
      </w:r>
    </w:p>
    <w:p w14:paraId="74C018C5" w14:textId="77777777" w:rsidR="0076476F" w:rsidRPr="001113E8" w:rsidRDefault="0076476F" w:rsidP="001113E8">
      <w:pPr>
        <w:numPr>
          <w:ilvl w:val="0"/>
          <w:numId w:val="39"/>
        </w:numPr>
        <w:spacing w:after="0" w:line="240" w:lineRule="auto"/>
        <w:contextualSpacing/>
        <w:jc w:val="both"/>
        <w:rPr>
          <w:rFonts w:ascii="Arial" w:eastAsia="Times New Roman" w:hAnsi="Arial" w:cs="Arial"/>
          <w:sz w:val="20"/>
          <w:szCs w:val="20"/>
          <w:lang w:eastAsia="en-US"/>
        </w:rPr>
      </w:pPr>
      <w:r w:rsidRPr="001113E8">
        <w:rPr>
          <w:rFonts w:ascii="Arial" w:eastAsia="Times New Roman" w:hAnsi="Arial" w:cs="Arial"/>
          <w:sz w:val="20"/>
          <w:szCs w:val="20"/>
          <w:lang w:eastAsia="en-US"/>
        </w:rPr>
        <w:t>Muzejska djelatnost - restauracija harmonija iz Kuće Bukovac, KB-708</w:t>
      </w:r>
    </w:p>
    <w:p w14:paraId="088322E0" w14:textId="77777777" w:rsidR="0076476F" w:rsidRPr="001113E8" w:rsidRDefault="0076476F" w:rsidP="001113E8">
      <w:pPr>
        <w:numPr>
          <w:ilvl w:val="0"/>
          <w:numId w:val="39"/>
        </w:numPr>
        <w:spacing w:after="0" w:line="240" w:lineRule="auto"/>
        <w:contextualSpacing/>
        <w:jc w:val="both"/>
        <w:rPr>
          <w:rFonts w:ascii="Arial" w:eastAsia="Times New Roman" w:hAnsi="Arial" w:cs="Arial"/>
          <w:sz w:val="20"/>
          <w:szCs w:val="20"/>
          <w:lang w:eastAsia="en-US"/>
        </w:rPr>
      </w:pPr>
      <w:r w:rsidRPr="001113E8">
        <w:rPr>
          <w:rFonts w:ascii="Arial" w:eastAsia="Times New Roman" w:hAnsi="Arial" w:cs="Arial"/>
          <w:sz w:val="20"/>
          <w:szCs w:val="20"/>
          <w:lang w:eastAsia="en-US"/>
        </w:rPr>
        <w:t>Muzejska djelatnost- izdavaštvo 2025 Muzeja i galerija Konavala, slikovnica o životu Vlaha Bukovca, 4 dio</w:t>
      </w:r>
    </w:p>
    <w:p w14:paraId="29DD8EAB" w14:textId="77777777" w:rsidR="0076476F" w:rsidRPr="001113E8" w:rsidRDefault="0076476F" w:rsidP="001113E8">
      <w:pPr>
        <w:numPr>
          <w:ilvl w:val="0"/>
          <w:numId w:val="39"/>
        </w:numPr>
        <w:spacing w:after="0" w:line="240" w:lineRule="auto"/>
        <w:contextualSpacing/>
        <w:jc w:val="both"/>
        <w:rPr>
          <w:rFonts w:ascii="Arial" w:eastAsia="Times New Roman" w:hAnsi="Arial" w:cs="Arial"/>
          <w:sz w:val="20"/>
          <w:szCs w:val="20"/>
          <w:lang w:eastAsia="en-US"/>
        </w:rPr>
      </w:pPr>
      <w:r w:rsidRPr="001113E8">
        <w:rPr>
          <w:rFonts w:ascii="Arial" w:eastAsia="Times New Roman" w:hAnsi="Arial" w:cs="Arial"/>
          <w:sz w:val="20"/>
          <w:szCs w:val="20"/>
          <w:lang w:eastAsia="en-US"/>
        </w:rPr>
        <w:t xml:space="preserve">Program digitalizacije kulturne baštine - digitalizacija slika i crteža Vlaha Bukovca iz zbirke Kuće Bukovac </w:t>
      </w:r>
    </w:p>
    <w:p w14:paraId="33B6FECD" w14:textId="77777777" w:rsidR="0076476F" w:rsidRPr="001113E8" w:rsidRDefault="0076476F" w:rsidP="001113E8">
      <w:pPr>
        <w:numPr>
          <w:ilvl w:val="0"/>
          <w:numId w:val="39"/>
        </w:numPr>
        <w:spacing w:after="0" w:line="240" w:lineRule="auto"/>
        <w:contextualSpacing/>
        <w:jc w:val="both"/>
        <w:rPr>
          <w:rFonts w:ascii="Arial" w:eastAsia="Times New Roman" w:hAnsi="Arial" w:cs="Arial"/>
          <w:sz w:val="20"/>
          <w:szCs w:val="20"/>
          <w:lang w:eastAsia="en-US"/>
        </w:rPr>
      </w:pPr>
      <w:r w:rsidRPr="001113E8">
        <w:rPr>
          <w:rFonts w:ascii="Arial" w:eastAsia="Times New Roman" w:hAnsi="Arial" w:cs="Arial"/>
          <w:sz w:val="20"/>
          <w:szCs w:val="20"/>
          <w:lang w:eastAsia="en-US"/>
        </w:rPr>
        <w:t>Program zaštite i očuvanja nepokretnih kulturnih dobara - konzervatorsko-restauratorski radovi na Mauzoleju Račić</w:t>
      </w:r>
    </w:p>
    <w:p w14:paraId="0E59DFA8" w14:textId="77777777" w:rsidR="0076476F" w:rsidRPr="001113E8" w:rsidRDefault="0076476F" w:rsidP="001113E8">
      <w:pPr>
        <w:numPr>
          <w:ilvl w:val="0"/>
          <w:numId w:val="39"/>
        </w:numPr>
        <w:spacing w:after="0" w:line="240" w:lineRule="auto"/>
        <w:contextualSpacing/>
        <w:jc w:val="both"/>
        <w:rPr>
          <w:rFonts w:ascii="Arial" w:eastAsia="Times New Roman" w:hAnsi="Arial" w:cs="Arial"/>
          <w:sz w:val="20"/>
          <w:szCs w:val="20"/>
          <w:lang w:eastAsia="en-US"/>
        </w:rPr>
      </w:pPr>
      <w:r w:rsidRPr="001113E8">
        <w:rPr>
          <w:rFonts w:ascii="Arial" w:eastAsia="Times New Roman" w:hAnsi="Arial" w:cs="Arial"/>
          <w:sz w:val="20"/>
          <w:szCs w:val="20"/>
          <w:lang w:eastAsia="en-US"/>
        </w:rPr>
        <w:t>Prijavnica za nakladnike za otkup narodnim knjižnicama: monografija Vlaho Bukovac</w:t>
      </w:r>
    </w:p>
    <w:p w14:paraId="28E5FA10" w14:textId="77777777" w:rsidR="0076476F" w:rsidRPr="001113E8" w:rsidRDefault="0076476F" w:rsidP="001113E8">
      <w:pPr>
        <w:spacing w:after="0" w:line="240" w:lineRule="auto"/>
        <w:contextualSpacing/>
        <w:jc w:val="both"/>
        <w:rPr>
          <w:rFonts w:ascii="Arial" w:eastAsia="Times New Roman" w:hAnsi="Arial" w:cs="Arial"/>
          <w:sz w:val="20"/>
          <w:szCs w:val="20"/>
          <w:lang w:eastAsia="en-US"/>
        </w:rPr>
      </w:pPr>
      <w:r w:rsidRPr="001113E8">
        <w:rPr>
          <w:rFonts w:ascii="Arial" w:eastAsia="Times New Roman" w:hAnsi="Arial" w:cs="Arial"/>
          <w:sz w:val="20"/>
          <w:szCs w:val="20"/>
          <w:lang w:eastAsia="en-US"/>
        </w:rPr>
        <w:t>Ostali odobreni projekti</w:t>
      </w:r>
    </w:p>
    <w:p w14:paraId="19B6FCF9" w14:textId="38D20CE1" w:rsidR="0076476F" w:rsidRPr="001113E8" w:rsidRDefault="0076476F" w:rsidP="001113E8">
      <w:pPr>
        <w:numPr>
          <w:ilvl w:val="0"/>
          <w:numId w:val="39"/>
        </w:numPr>
        <w:spacing w:after="0" w:line="240" w:lineRule="auto"/>
        <w:contextualSpacing/>
        <w:jc w:val="both"/>
        <w:rPr>
          <w:rFonts w:ascii="Arial" w:eastAsia="Times New Roman" w:hAnsi="Arial" w:cs="Arial"/>
          <w:sz w:val="20"/>
          <w:szCs w:val="20"/>
          <w:lang w:eastAsia="en-US"/>
        </w:rPr>
      </w:pPr>
      <w:r w:rsidRPr="001113E8">
        <w:rPr>
          <w:rFonts w:ascii="Arial" w:eastAsia="Times New Roman" w:hAnsi="Arial" w:cs="Arial"/>
          <w:sz w:val="20"/>
          <w:szCs w:val="20"/>
          <w:lang w:eastAsia="en-US"/>
        </w:rPr>
        <w:t xml:space="preserve">TZ Općina </w:t>
      </w:r>
      <w:r w:rsidR="00D83BB3">
        <w:rPr>
          <w:rFonts w:ascii="Arial" w:eastAsia="Times New Roman" w:hAnsi="Arial" w:cs="Arial"/>
          <w:sz w:val="20"/>
          <w:szCs w:val="20"/>
          <w:lang w:eastAsia="en-US"/>
        </w:rPr>
        <w:t>K</w:t>
      </w:r>
      <w:r w:rsidRPr="001113E8">
        <w:rPr>
          <w:rFonts w:ascii="Arial" w:eastAsia="Times New Roman" w:hAnsi="Arial" w:cs="Arial"/>
          <w:sz w:val="20"/>
          <w:szCs w:val="20"/>
          <w:lang w:eastAsia="en-US"/>
        </w:rPr>
        <w:t>onavle za sufinanciranje izložbe</w:t>
      </w:r>
      <w:r w:rsidRPr="001113E8">
        <w:rPr>
          <w:rFonts w:ascii="Arial" w:eastAsia="Calibri" w:hAnsi="Arial" w:cs="Arial"/>
          <w:i/>
          <w:iCs/>
          <w:sz w:val="20"/>
          <w:szCs w:val="20"/>
          <w:lang w:eastAsia="en-US"/>
        </w:rPr>
        <w:t xml:space="preserve"> Cavtaćanin Niko Miljan – praški učenik Vlaha Bukovca.</w:t>
      </w:r>
      <w:r w:rsidRPr="001113E8">
        <w:rPr>
          <w:rFonts w:ascii="Arial" w:eastAsia="Times New Roman" w:hAnsi="Arial" w:cs="Arial"/>
          <w:sz w:val="20"/>
          <w:szCs w:val="20"/>
          <w:lang w:eastAsia="en-US"/>
        </w:rPr>
        <w:t xml:space="preserve"> </w:t>
      </w:r>
    </w:p>
    <w:p w14:paraId="1C13A909" w14:textId="77777777" w:rsidR="0076476F" w:rsidRPr="001113E8" w:rsidRDefault="0076476F" w:rsidP="001113E8">
      <w:pPr>
        <w:numPr>
          <w:ilvl w:val="0"/>
          <w:numId w:val="39"/>
        </w:numPr>
        <w:spacing w:after="0" w:line="240" w:lineRule="auto"/>
        <w:contextualSpacing/>
        <w:jc w:val="both"/>
        <w:rPr>
          <w:rFonts w:ascii="Arial" w:eastAsia="Times New Roman" w:hAnsi="Arial" w:cs="Arial"/>
          <w:sz w:val="20"/>
          <w:szCs w:val="20"/>
          <w:lang w:eastAsia="en-US"/>
        </w:rPr>
      </w:pPr>
      <w:r w:rsidRPr="001113E8">
        <w:rPr>
          <w:rFonts w:ascii="Arial" w:eastAsia="Times New Roman" w:hAnsi="Arial" w:cs="Arial"/>
          <w:sz w:val="20"/>
          <w:szCs w:val="20"/>
          <w:lang w:eastAsia="en-US"/>
        </w:rPr>
        <w:t xml:space="preserve">DNŽ – sufinanciranje izložbe </w:t>
      </w:r>
      <w:r w:rsidRPr="001113E8">
        <w:rPr>
          <w:rFonts w:ascii="Arial" w:eastAsia="Times New Roman" w:hAnsi="Arial" w:cs="Arial"/>
          <w:i/>
          <w:iCs/>
          <w:sz w:val="20"/>
          <w:szCs w:val="20"/>
          <w:lang w:eastAsia="en-US"/>
        </w:rPr>
        <w:t xml:space="preserve">Ratko Zvrko </w:t>
      </w:r>
      <w:r w:rsidRPr="001113E8">
        <w:rPr>
          <w:rFonts w:ascii="Arial" w:eastAsia="Calibri" w:hAnsi="Arial" w:cs="Arial"/>
          <w:i/>
          <w:iCs/>
          <w:color w:val="000000"/>
          <w:sz w:val="20"/>
          <w:szCs w:val="20"/>
          <w:lang w:eastAsia="en-US"/>
        </w:rPr>
        <w:t>– između svjetala i sjene</w:t>
      </w:r>
    </w:p>
    <w:p w14:paraId="39488A2C" w14:textId="77777777" w:rsidR="0076476F" w:rsidRPr="001113E8" w:rsidRDefault="0076476F" w:rsidP="001113E8">
      <w:pPr>
        <w:spacing w:after="0" w:line="240" w:lineRule="auto"/>
        <w:jc w:val="both"/>
        <w:rPr>
          <w:rFonts w:ascii="Arial" w:eastAsia="Times New Roman" w:hAnsi="Arial" w:cs="Arial"/>
          <w:sz w:val="20"/>
          <w:szCs w:val="20"/>
        </w:rPr>
      </w:pPr>
      <w:r w:rsidRPr="001113E8">
        <w:rPr>
          <w:rFonts w:ascii="Arial" w:eastAsia="Times New Roman" w:hAnsi="Arial" w:cs="Arial"/>
          <w:sz w:val="20"/>
          <w:szCs w:val="20"/>
        </w:rPr>
        <w:t>Ustanova je aplicirala i niz dodatnih projekata koji, nisu odobreni za financiranje. Riječ je o projektu nabave profesionalnih lutaka za Zavičajni muzej Konavala kod Ministarstva kulture i medija; projektu arheoloških istraživanja na lokalitetu Rat prijavljenom kod Dubrovačko-neretvanska županije te projektu izrade bojanke prijavljenom kod TZ DNŽ.</w:t>
      </w:r>
    </w:p>
    <w:p w14:paraId="54F77D98" w14:textId="5013FC48" w:rsidR="00A90FC1" w:rsidRPr="001113E8" w:rsidRDefault="00A90FC1" w:rsidP="00976A36">
      <w:pPr>
        <w:autoSpaceDE w:val="0"/>
        <w:autoSpaceDN w:val="0"/>
        <w:adjustRightInd w:val="0"/>
        <w:spacing w:after="0" w:line="240" w:lineRule="auto"/>
        <w:jc w:val="both"/>
        <w:rPr>
          <w:rFonts w:ascii="Arial" w:eastAsia="Calibri" w:hAnsi="Arial" w:cs="Arial"/>
          <w:b/>
          <w:sz w:val="20"/>
          <w:szCs w:val="20"/>
        </w:rPr>
      </w:pPr>
    </w:p>
    <w:p w14:paraId="375FC0D0" w14:textId="6F74B6F0" w:rsidR="00871887" w:rsidRPr="00871887" w:rsidRDefault="003D7373">
      <w:pPr>
        <w:pStyle w:val="Odlomakpopisa"/>
        <w:numPr>
          <w:ilvl w:val="0"/>
          <w:numId w:val="38"/>
        </w:numPr>
        <w:ind w:left="567" w:hanging="567"/>
        <w:rPr>
          <w:rFonts w:ascii="Arial" w:eastAsia="Calibri" w:hAnsi="Arial" w:cs="Arial"/>
        </w:rPr>
      </w:pPr>
      <w:r w:rsidRPr="00871887">
        <w:rPr>
          <w:rFonts w:ascii="Arial" w:eastAsia="Calibri" w:hAnsi="Arial" w:cs="Arial"/>
          <w:b/>
        </w:rPr>
        <w:t>A203112: Istraživanje, zaštita i čuvanje kulturne baštine</w:t>
      </w:r>
      <w:r w:rsidRPr="00871887">
        <w:rPr>
          <w:rFonts w:ascii="Arial" w:eastAsia="Calibri" w:hAnsi="Arial" w:cs="Arial"/>
        </w:rPr>
        <w:t xml:space="preserve"> – u okviru ove aktivnosti </w:t>
      </w:r>
      <w:r w:rsidR="00871887" w:rsidRPr="00871887">
        <w:rPr>
          <w:rFonts w:ascii="Arial" w:eastAsia="Calibri" w:hAnsi="Arial" w:cs="Arial"/>
        </w:rPr>
        <w:t xml:space="preserve">nisu </w:t>
      </w:r>
      <w:r w:rsidRPr="00871887">
        <w:rPr>
          <w:rFonts w:ascii="Arial" w:eastAsia="Calibri" w:hAnsi="Arial" w:cs="Arial"/>
        </w:rPr>
        <w:t>planirana proračunska sredstva</w:t>
      </w:r>
      <w:r w:rsidR="00871887" w:rsidRPr="00871887">
        <w:rPr>
          <w:rFonts w:ascii="Arial" w:eastAsia="Calibri" w:hAnsi="Arial" w:cs="Arial"/>
        </w:rPr>
        <w:t>.</w:t>
      </w:r>
    </w:p>
    <w:p w14:paraId="7945438C" w14:textId="77777777" w:rsidR="006E4FC7" w:rsidRPr="006E4FC7" w:rsidRDefault="006E4FC7" w:rsidP="006E4FC7">
      <w:pPr>
        <w:spacing w:after="0" w:line="240" w:lineRule="auto"/>
        <w:jc w:val="both"/>
        <w:rPr>
          <w:rFonts w:ascii="Arial" w:eastAsia="Calibri" w:hAnsi="Arial" w:cs="Arial"/>
          <w:b/>
          <w:sz w:val="20"/>
          <w:szCs w:val="20"/>
          <w:highlight w:val="yellow"/>
        </w:rPr>
      </w:pPr>
    </w:p>
    <w:p w14:paraId="4262FFFB" w14:textId="77777777" w:rsidR="00EA587B" w:rsidRPr="006E4FC7" w:rsidRDefault="00EA587B" w:rsidP="00EA587B">
      <w:pPr>
        <w:spacing w:after="0" w:line="240" w:lineRule="auto"/>
        <w:ind w:left="567"/>
        <w:jc w:val="both"/>
        <w:rPr>
          <w:rFonts w:ascii="Arial" w:eastAsia="Calibri" w:hAnsi="Arial" w:cs="Arial"/>
          <w:sz w:val="18"/>
          <w:szCs w:val="18"/>
        </w:rPr>
      </w:pPr>
      <w:r w:rsidRPr="006E4FC7">
        <w:rPr>
          <w:rFonts w:ascii="Arial" w:eastAsia="Calibri" w:hAnsi="Arial" w:cs="Arial"/>
          <w:bCs/>
          <w:sz w:val="18"/>
          <w:szCs w:val="18"/>
        </w:rPr>
        <w:lastRenderedPageBreak/>
        <w:t>U 2022. godini godine bilo je utrošeno</w:t>
      </w:r>
      <w:r w:rsidRPr="006E4FC7">
        <w:rPr>
          <w:rFonts w:ascii="Arial" w:eastAsia="Calibri" w:hAnsi="Arial" w:cs="Arial"/>
          <w:b/>
          <w:sz w:val="18"/>
          <w:szCs w:val="18"/>
        </w:rPr>
        <w:t xml:space="preserve"> </w:t>
      </w:r>
      <w:r w:rsidRPr="006E4FC7">
        <w:rPr>
          <w:rFonts w:ascii="Arial" w:eastAsia="Calibri" w:hAnsi="Arial" w:cs="Arial"/>
          <w:sz w:val="18"/>
          <w:szCs w:val="18"/>
        </w:rPr>
        <w:t>je 2.654,46 € za nabavu virtualne platforma Konavoski govori kojega je financiralo Ministarstvo kulture prema apliciranoj prijavnici u okviru programa digitalizacije u arhivskoj, knjižničnoj i muzejskoj djelatnosti za 2022. godinu.</w:t>
      </w:r>
    </w:p>
    <w:p w14:paraId="51E3EBC8" w14:textId="370CE47A" w:rsidR="00B445DF" w:rsidRDefault="00EA587B" w:rsidP="00EA587B">
      <w:pPr>
        <w:spacing w:after="0" w:line="240" w:lineRule="auto"/>
        <w:ind w:left="567"/>
        <w:jc w:val="both"/>
        <w:rPr>
          <w:sz w:val="20"/>
          <w:szCs w:val="20"/>
        </w:rPr>
      </w:pPr>
      <w:r>
        <w:rPr>
          <w:rFonts w:ascii="Arial" w:eastAsia="Calibri" w:hAnsi="Arial" w:cs="Arial"/>
          <w:sz w:val="18"/>
          <w:szCs w:val="18"/>
        </w:rPr>
        <w:t>U</w:t>
      </w:r>
      <w:r w:rsidR="00ED5AE5" w:rsidRPr="006E4FC7">
        <w:rPr>
          <w:rFonts w:ascii="Arial" w:eastAsia="Calibri" w:hAnsi="Arial" w:cs="Arial"/>
          <w:sz w:val="18"/>
          <w:szCs w:val="18"/>
        </w:rPr>
        <w:t xml:space="preserve"> </w:t>
      </w:r>
      <w:r w:rsidR="00E61250" w:rsidRPr="006E4FC7">
        <w:rPr>
          <w:rFonts w:ascii="Arial" w:eastAsia="Calibri" w:hAnsi="Arial" w:cs="Arial"/>
          <w:sz w:val="18"/>
          <w:szCs w:val="18"/>
        </w:rPr>
        <w:t xml:space="preserve">2023. </w:t>
      </w:r>
      <w:r w:rsidR="00ED5AE5" w:rsidRPr="006E4FC7">
        <w:rPr>
          <w:rFonts w:ascii="Arial" w:eastAsia="Calibri" w:hAnsi="Arial" w:cs="Arial"/>
          <w:sz w:val="18"/>
          <w:szCs w:val="18"/>
        </w:rPr>
        <w:t>godin</w:t>
      </w:r>
      <w:r>
        <w:rPr>
          <w:rFonts w:ascii="Arial" w:eastAsia="Calibri" w:hAnsi="Arial" w:cs="Arial"/>
          <w:sz w:val="18"/>
          <w:szCs w:val="18"/>
        </w:rPr>
        <w:t>i</w:t>
      </w:r>
      <w:r w:rsidR="00ED5AE5" w:rsidRPr="006E4FC7">
        <w:rPr>
          <w:rFonts w:ascii="Arial" w:eastAsia="Calibri" w:hAnsi="Arial" w:cs="Arial"/>
          <w:sz w:val="18"/>
          <w:szCs w:val="18"/>
        </w:rPr>
        <w:t xml:space="preserve"> su</w:t>
      </w:r>
      <w:r>
        <w:rPr>
          <w:rFonts w:ascii="Arial" w:eastAsia="Calibri" w:hAnsi="Arial" w:cs="Arial"/>
          <w:sz w:val="18"/>
          <w:szCs w:val="18"/>
        </w:rPr>
        <w:t xml:space="preserve"> bili</w:t>
      </w:r>
      <w:r w:rsidR="00ED5AE5" w:rsidRPr="006E4FC7">
        <w:rPr>
          <w:rFonts w:ascii="Arial" w:eastAsia="Calibri" w:hAnsi="Arial" w:cs="Arial"/>
          <w:sz w:val="18"/>
          <w:szCs w:val="18"/>
        </w:rPr>
        <w:t xml:space="preserve"> izvršeni r</w:t>
      </w:r>
      <w:r w:rsidR="00B445DF" w:rsidRPr="006E4FC7">
        <w:rPr>
          <w:rFonts w:ascii="Arial" w:eastAsia="Calibri" w:hAnsi="Arial" w:cs="Arial"/>
          <w:sz w:val="18"/>
          <w:szCs w:val="18"/>
        </w:rPr>
        <w:t xml:space="preserve">ashodi </w:t>
      </w:r>
      <w:r w:rsidR="00E61250" w:rsidRPr="006E4FC7">
        <w:rPr>
          <w:rFonts w:ascii="Arial" w:eastAsia="Calibri" w:hAnsi="Arial" w:cs="Arial"/>
          <w:sz w:val="18"/>
          <w:szCs w:val="18"/>
        </w:rPr>
        <w:t xml:space="preserve">u iznosu 2.649,81 € </w:t>
      </w:r>
      <w:r w:rsidR="00B445DF" w:rsidRPr="006E4FC7">
        <w:rPr>
          <w:rFonts w:ascii="Arial" w:eastAsia="Calibri" w:hAnsi="Arial" w:cs="Arial"/>
          <w:sz w:val="18"/>
          <w:szCs w:val="18"/>
        </w:rPr>
        <w:t xml:space="preserve">za snimanje dokumentarnog filma o proizvodnji svile i dudovu svilcu </w:t>
      </w:r>
      <w:r w:rsidR="00B445DF" w:rsidRPr="006E4FC7">
        <w:rPr>
          <w:rFonts w:ascii="Arial" w:eastAsia="Calibri" w:hAnsi="Arial" w:cs="Arial"/>
          <w:i/>
          <w:iCs/>
          <w:sz w:val="18"/>
          <w:szCs w:val="18"/>
        </w:rPr>
        <w:t>Konavoska bubica</w:t>
      </w:r>
      <w:r w:rsidR="00B445DF" w:rsidRPr="006E4FC7">
        <w:rPr>
          <w:rFonts w:ascii="Arial" w:eastAsia="Calibri" w:hAnsi="Arial" w:cs="Arial"/>
          <w:sz w:val="18"/>
          <w:szCs w:val="18"/>
        </w:rPr>
        <w:t>, koje je financiralo Ministarstvo kulture prema prijavljenom programu ustanove.</w:t>
      </w:r>
      <w:r w:rsidR="00ED5AE5" w:rsidRPr="006E4FC7">
        <w:rPr>
          <w:sz w:val="20"/>
          <w:szCs w:val="20"/>
        </w:rPr>
        <w:t xml:space="preserve"> </w:t>
      </w:r>
    </w:p>
    <w:p w14:paraId="149B8EBD" w14:textId="5C0D7373" w:rsidR="00871887" w:rsidRPr="006B62F7" w:rsidRDefault="00871887" w:rsidP="00EA587B">
      <w:pPr>
        <w:spacing w:after="0" w:line="240" w:lineRule="auto"/>
        <w:ind w:left="567"/>
        <w:jc w:val="both"/>
        <w:rPr>
          <w:rFonts w:ascii="Arial" w:eastAsia="Calibri" w:hAnsi="Arial" w:cs="Arial"/>
          <w:b/>
          <w:sz w:val="18"/>
          <w:szCs w:val="18"/>
          <w:highlight w:val="yellow"/>
        </w:rPr>
      </w:pPr>
      <w:r w:rsidRPr="00871887">
        <w:rPr>
          <w:rFonts w:ascii="Arial" w:hAnsi="Arial" w:cs="Arial"/>
          <w:sz w:val="18"/>
          <w:szCs w:val="18"/>
        </w:rPr>
        <w:t>U 2024. godini b</w:t>
      </w:r>
      <w:r w:rsidR="006B62F7">
        <w:rPr>
          <w:rFonts w:ascii="Arial" w:hAnsi="Arial" w:cs="Arial"/>
          <w:sz w:val="18"/>
          <w:szCs w:val="18"/>
        </w:rPr>
        <w:t xml:space="preserve">ili su izvršeni rashodi u iznosu 4.000 € </w:t>
      </w:r>
      <w:r w:rsidR="006B62F7" w:rsidRPr="006B62F7">
        <w:rPr>
          <w:rFonts w:ascii="Arial" w:eastAsia="Calibri" w:hAnsi="Arial" w:cs="Arial"/>
          <w:sz w:val="18"/>
          <w:szCs w:val="18"/>
        </w:rPr>
        <w:t xml:space="preserve">za snimanje dugog dijela dokumentarnog filma o proizvodnji svile i dudovu svilcu </w:t>
      </w:r>
      <w:r w:rsidR="006B62F7" w:rsidRPr="006B62F7">
        <w:rPr>
          <w:rFonts w:ascii="Arial" w:eastAsia="Calibri" w:hAnsi="Arial" w:cs="Arial"/>
          <w:i/>
          <w:iCs/>
          <w:sz w:val="18"/>
          <w:szCs w:val="18"/>
        </w:rPr>
        <w:t>Konavoska bubica</w:t>
      </w:r>
      <w:r w:rsidR="006B62F7" w:rsidRPr="006B62F7">
        <w:rPr>
          <w:rFonts w:ascii="Arial" w:eastAsia="Calibri" w:hAnsi="Arial" w:cs="Arial"/>
          <w:sz w:val="18"/>
          <w:szCs w:val="18"/>
        </w:rPr>
        <w:t>, koje je financiralo Ministarstvo kulture prema prijavljenom programu ustanove za 2024. godinu.</w:t>
      </w:r>
    </w:p>
    <w:p w14:paraId="69CD4737" w14:textId="77777777" w:rsidR="003D7373" w:rsidRPr="006B62F7" w:rsidRDefault="003D7373" w:rsidP="003D7373">
      <w:pPr>
        <w:spacing w:after="0" w:line="240" w:lineRule="auto"/>
        <w:jc w:val="both"/>
        <w:rPr>
          <w:rFonts w:ascii="Arial" w:eastAsia="Calibri" w:hAnsi="Arial" w:cs="Arial"/>
          <w:b/>
          <w:sz w:val="18"/>
          <w:szCs w:val="18"/>
        </w:rPr>
      </w:pPr>
    </w:p>
    <w:p w14:paraId="3235F187" w14:textId="24DC43AE" w:rsidR="00976A36" w:rsidRPr="001409B3" w:rsidRDefault="00A90FC1" w:rsidP="00976A36">
      <w:pPr>
        <w:pStyle w:val="StandardWeb"/>
        <w:spacing w:before="0" w:after="0"/>
        <w:jc w:val="both"/>
        <w:rPr>
          <w:rStyle w:val="Istaknuto"/>
          <w:rFonts w:ascii="Arial" w:hAnsi="Arial" w:cs="Arial"/>
          <w:i w:val="0"/>
          <w:iCs w:val="0"/>
          <w:sz w:val="20"/>
          <w:szCs w:val="20"/>
        </w:rPr>
      </w:pPr>
      <w:r w:rsidRPr="001409B3">
        <w:rPr>
          <w:rFonts w:ascii="Arial" w:eastAsia="Calibri" w:hAnsi="Arial" w:cs="Arial"/>
          <w:b/>
          <w:sz w:val="20"/>
          <w:szCs w:val="20"/>
        </w:rPr>
        <w:t>12. A203113</w:t>
      </w:r>
      <w:r w:rsidR="00E61250" w:rsidRPr="001409B3">
        <w:rPr>
          <w:rFonts w:ascii="Arial" w:eastAsia="Calibri" w:hAnsi="Arial" w:cs="Arial"/>
          <w:b/>
          <w:sz w:val="20"/>
          <w:szCs w:val="20"/>
        </w:rPr>
        <w:t>:</w:t>
      </w:r>
      <w:r w:rsidR="003D7373" w:rsidRPr="001409B3">
        <w:rPr>
          <w:rFonts w:ascii="Arial" w:eastAsia="Calibri" w:hAnsi="Arial" w:cs="Arial"/>
          <w:b/>
          <w:sz w:val="20"/>
          <w:szCs w:val="20"/>
        </w:rPr>
        <w:t xml:space="preserve"> Ulaganja u vlastite proizvode - Izdavaštvo </w:t>
      </w:r>
      <w:r w:rsidR="003D7373" w:rsidRPr="001409B3">
        <w:rPr>
          <w:rFonts w:ascii="Arial" w:eastAsia="Calibri" w:hAnsi="Arial" w:cs="Arial"/>
          <w:sz w:val="20"/>
          <w:szCs w:val="20"/>
        </w:rPr>
        <w:t xml:space="preserve">- </w:t>
      </w:r>
      <w:r w:rsidR="00976A36" w:rsidRPr="001409B3">
        <w:rPr>
          <w:rFonts w:ascii="Arial" w:hAnsi="Arial" w:cs="Arial"/>
          <w:sz w:val="20"/>
          <w:szCs w:val="20"/>
        </w:rPr>
        <w:t xml:space="preserve">U sklopu navedene aktivnosti planirana su proračunska sredstva za 2025. godinu u iznosu od 46.800,00 €, dok je utrošeno 29.547,31 €, od čega se najveći dio od 25.847,50 € odnosi na tiskanje kapitalnog djela iz područja povijesti umjetnosti – monografije </w:t>
      </w:r>
      <w:r w:rsidR="00976A36" w:rsidRPr="001409B3">
        <w:rPr>
          <w:rStyle w:val="Istaknuto"/>
          <w:rFonts w:ascii="Arial" w:hAnsi="Arial" w:cs="Arial"/>
          <w:sz w:val="20"/>
          <w:szCs w:val="20"/>
        </w:rPr>
        <w:t>Vlaho Bukovac (1855.–1922.)</w:t>
      </w:r>
      <w:r w:rsidR="00976A36" w:rsidRPr="001409B3">
        <w:rPr>
          <w:rFonts w:ascii="Arial" w:hAnsi="Arial" w:cs="Arial"/>
          <w:sz w:val="20"/>
          <w:szCs w:val="20"/>
        </w:rPr>
        <w:t xml:space="preserve"> autora Igora Zidića, posvećene životu i stvaralaštvu </w:t>
      </w:r>
      <w:r w:rsidR="00976A36" w:rsidRPr="001409B3">
        <w:rPr>
          <w:rStyle w:val="whitespace-normal"/>
          <w:rFonts w:ascii="Arial" w:hAnsi="Arial" w:cs="Arial"/>
          <w:sz w:val="20"/>
          <w:szCs w:val="20"/>
        </w:rPr>
        <w:t>Vlaha Bukovca</w:t>
      </w:r>
      <w:r w:rsidR="00976A36" w:rsidRPr="001409B3">
        <w:rPr>
          <w:rFonts w:ascii="Arial" w:hAnsi="Arial" w:cs="Arial"/>
          <w:sz w:val="20"/>
          <w:szCs w:val="20"/>
        </w:rPr>
        <w:t xml:space="preserve">. Unutar ove aktivnosti također je tiskana i edukativna bojanka </w:t>
      </w:r>
      <w:r w:rsidR="00976A36" w:rsidRPr="001409B3">
        <w:rPr>
          <w:rStyle w:val="Istaknuto"/>
          <w:rFonts w:ascii="Arial" w:hAnsi="Arial" w:cs="Arial"/>
          <w:sz w:val="20"/>
          <w:szCs w:val="20"/>
        </w:rPr>
        <w:t>Od portreta do maske. Vezano za izdavaštvo ustanove unutra kategorije muzejske djelatnosti i aktivnosti Izložbeni program A203107 tiskana su izdanja: katalog izložbe</w:t>
      </w:r>
      <w:r w:rsidR="00976A36" w:rsidRPr="001409B3">
        <w:rPr>
          <w:rFonts w:ascii="Arial" w:eastAsia="Calibri" w:hAnsi="Arial" w:cs="Arial"/>
          <w:i/>
          <w:iCs/>
          <w:sz w:val="20"/>
          <w:szCs w:val="20"/>
        </w:rPr>
        <w:t xml:space="preserve"> Cavtaćanin Niko Miljan – praški učenik Vlaha Bukovca,</w:t>
      </w:r>
      <w:r w:rsidR="00976A36" w:rsidRPr="001409B3">
        <w:rPr>
          <w:rStyle w:val="Istaknuto"/>
          <w:rFonts w:ascii="Arial" w:hAnsi="Arial" w:cs="Arial"/>
          <w:sz w:val="20"/>
          <w:szCs w:val="20"/>
        </w:rPr>
        <w:t xml:space="preserve"> katalog izložbe </w:t>
      </w:r>
      <w:r w:rsidR="00976A36" w:rsidRPr="001409B3">
        <w:rPr>
          <w:rFonts w:ascii="Arial" w:eastAsia="Calibri" w:hAnsi="Arial" w:cs="Arial"/>
          <w:i/>
          <w:iCs/>
          <w:sz w:val="20"/>
          <w:szCs w:val="20"/>
        </w:rPr>
        <w:t xml:space="preserve">Bukovac i Bogišić – Dvije znamenite cavtatske obitelji </w:t>
      </w:r>
      <w:r w:rsidR="00976A36" w:rsidRPr="001409B3">
        <w:rPr>
          <w:rFonts w:ascii="Arial" w:eastAsia="Calibri" w:hAnsi="Arial" w:cs="Arial"/>
          <w:sz w:val="20"/>
          <w:szCs w:val="20"/>
        </w:rPr>
        <w:t>i katalog izložbe</w:t>
      </w:r>
      <w:r w:rsidR="00976A36" w:rsidRPr="001409B3">
        <w:rPr>
          <w:rFonts w:ascii="Arial" w:hAnsi="Arial" w:cs="Arial"/>
          <w:color w:val="000000"/>
          <w:sz w:val="20"/>
          <w:szCs w:val="20"/>
        </w:rPr>
        <w:t xml:space="preserve"> </w:t>
      </w:r>
      <w:r w:rsidR="00976A36" w:rsidRPr="001409B3">
        <w:rPr>
          <w:rFonts w:ascii="Arial" w:hAnsi="Arial" w:cs="Arial"/>
          <w:i/>
          <w:iCs/>
          <w:color w:val="000000"/>
          <w:sz w:val="20"/>
          <w:szCs w:val="20"/>
        </w:rPr>
        <w:t>Ratko Zvrko – između svjetla i sjene.</w:t>
      </w:r>
    </w:p>
    <w:p w14:paraId="0AE528A4" w14:textId="5A7FA434" w:rsidR="00B445DF" w:rsidRPr="001409B3" w:rsidRDefault="00B445DF" w:rsidP="00976A36">
      <w:pPr>
        <w:spacing w:after="0" w:line="240" w:lineRule="auto"/>
        <w:jc w:val="both"/>
        <w:rPr>
          <w:rFonts w:ascii="Arial" w:eastAsia="Calibri" w:hAnsi="Arial" w:cs="Arial"/>
          <w:sz w:val="20"/>
          <w:szCs w:val="20"/>
        </w:rPr>
      </w:pPr>
    </w:p>
    <w:tbl>
      <w:tblPr>
        <w:tblStyle w:val="Reetkatablice5"/>
        <w:tblW w:w="13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266"/>
        <w:gridCol w:w="850"/>
        <w:gridCol w:w="992"/>
        <w:gridCol w:w="1291"/>
        <w:gridCol w:w="1134"/>
        <w:gridCol w:w="992"/>
        <w:gridCol w:w="993"/>
        <w:gridCol w:w="992"/>
      </w:tblGrid>
      <w:tr w:rsidR="00976A36" w:rsidRPr="006E4FC7" w14:paraId="3EE8F0B0" w14:textId="77777777" w:rsidTr="00B15537">
        <w:trPr>
          <w:jc w:val="center"/>
        </w:trPr>
        <w:tc>
          <w:tcPr>
            <w:tcW w:w="2689" w:type="dxa"/>
            <w:shd w:val="clear" w:color="auto" w:fill="BFBFBF" w:themeFill="background1" w:themeFillShade="BF"/>
            <w:vAlign w:val="center"/>
          </w:tcPr>
          <w:p w14:paraId="7B1CAF0F" w14:textId="77777777" w:rsidR="00976A36" w:rsidRPr="006E4FC7" w:rsidRDefault="00976A36" w:rsidP="00976A36">
            <w:pPr>
              <w:jc w:val="center"/>
              <w:rPr>
                <w:rFonts w:ascii="Arial" w:eastAsia="Calibri" w:hAnsi="Arial" w:cs="Arial"/>
                <w:sz w:val="16"/>
                <w:szCs w:val="16"/>
              </w:rPr>
            </w:pPr>
            <w:r w:rsidRPr="006E4FC7">
              <w:rPr>
                <w:rFonts w:ascii="Arial" w:eastAsia="Calibri" w:hAnsi="Arial" w:cs="Arial"/>
                <w:sz w:val="16"/>
                <w:szCs w:val="16"/>
              </w:rPr>
              <w:t>Pokazatelj uspješnosti</w:t>
            </w:r>
          </w:p>
        </w:tc>
        <w:tc>
          <w:tcPr>
            <w:tcW w:w="3266" w:type="dxa"/>
            <w:shd w:val="clear" w:color="auto" w:fill="BFBFBF" w:themeFill="background1" w:themeFillShade="BF"/>
            <w:vAlign w:val="center"/>
          </w:tcPr>
          <w:p w14:paraId="1674CC10" w14:textId="77777777" w:rsidR="00976A36" w:rsidRPr="006E4FC7" w:rsidRDefault="00976A36" w:rsidP="00976A36">
            <w:pPr>
              <w:jc w:val="center"/>
              <w:rPr>
                <w:rFonts w:ascii="Arial" w:eastAsia="Calibri" w:hAnsi="Arial" w:cs="Arial"/>
                <w:sz w:val="16"/>
                <w:szCs w:val="16"/>
              </w:rPr>
            </w:pPr>
            <w:r w:rsidRPr="006E4FC7">
              <w:rPr>
                <w:rFonts w:ascii="Arial" w:eastAsia="Calibri" w:hAnsi="Arial" w:cs="Arial"/>
                <w:sz w:val="16"/>
                <w:szCs w:val="16"/>
              </w:rPr>
              <w:t>Definicija</w:t>
            </w:r>
          </w:p>
        </w:tc>
        <w:tc>
          <w:tcPr>
            <w:tcW w:w="850" w:type="dxa"/>
            <w:shd w:val="clear" w:color="auto" w:fill="BFBFBF" w:themeFill="background1" w:themeFillShade="BF"/>
            <w:vAlign w:val="center"/>
          </w:tcPr>
          <w:p w14:paraId="19C52DCC" w14:textId="77777777" w:rsidR="00976A36" w:rsidRPr="006E4FC7" w:rsidRDefault="00976A36" w:rsidP="00976A36">
            <w:pPr>
              <w:jc w:val="center"/>
              <w:rPr>
                <w:rFonts w:ascii="Arial" w:eastAsia="Calibri" w:hAnsi="Arial" w:cs="Arial"/>
                <w:sz w:val="16"/>
                <w:szCs w:val="16"/>
              </w:rPr>
            </w:pPr>
            <w:r w:rsidRPr="006E4FC7">
              <w:rPr>
                <w:rFonts w:ascii="Arial" w:eastAsia="Calibri" w:hAnsi="Arial" w:cs="Arial"/>
                <w:sz w:val="16"/>
                <w:szCs w:val="16"/>
              </w:rPr>
              <w:t>Jedinica</w:t>
            </w:r>
          </w:p>
        </w:tc>
        <w:tc>
          <w:tcPr>
            <w:tcW w:w="992" w:type="dxa"/>
            <w:shd w:val="clear" w:color="auto" w:fill="BFBFBF" w:themeFill="background1" w:themeFillShade="BF"/>
            <w:vAlign w:val="center"/>
          </w:tcPr>
          <w:p w14:paraId="3C7AB67D" w14:textId="77777777" w:rsidR="00976A36" w:rsidRPr="006E4FC7" w:rsidRDefault="00976A36" w:rsidP="00976A36">
            <w:pPr>
              <w:jc w:val="center"/>
              <w:rPr>
                <w:rFonts w:ascii="Arial" w:eastAsia="Calibri" w:hAnsi="Arial" w:cs="Arial"/>
                <w:sz w:val="16"/>
                <w:szCs w:val="16"/>
              </w:rPr>
            </w:pPr>
            <w:r w:rsidRPr="006E4FC7">
              <w:rPr>
                <w:rFonts w:ascii="Arial" w:eastAsia="Calibri" w:hAnsi="Arial" w:cs="Arial"/>
                <w:sz w:val="16"/>
                <w:szCs w:val="16"/>
              </w:rPr>
              <w:t>Polazna vrijednost</w:t>
            </w:r>
          </w:p>
          <w:p w14:paraId="4AB7A8E9" w14:textId="2CEB2FE4" w:rsidR="00976A36" w:rsidRPr="006E4FC7" w:rsidRDefault="00976A36" w:rsidP="00976A36">
            <w:pPr>
              <w:jc w:val="center"/>
              <w:rPr>
                <w:rFonts w:ascii="Arial" w:eastAsia="Calibri" w:hAnsi="Arial" w:cs="Arial"/>
                <w:sz w:val="16"/>
                <w:szCs w:val="16"/>
              </w:rPr>
            </w:pPr>
            <w:r w:rsidRPr="006E4FC7">
              <w:rPr>
                <w:rFonts w:ascii="Arial" w:eastAsia="Calibri" w:hAnsi="Arial" w:cs="Arial"/>
                <w:sz w:val="16"/>
                <w:szCs w:val="16"/>
              </w:rPr>
              <w:t>202</w:t>
            </w:r>
            <w:r>
              <w:rPr>
                <w:rFonts w:ascii="Arial" w:eastAsia="Calibri" w:hAnsi="Arial" w:cs="Arial"/>
                <w:sz w:val="16"/>
                <w:szCs w:val="16"/>
              </w:rPr>
              <w:t>4</w:t>
            </w:r>
            <w:r w:rsidRPr="006E4FC7">
              <w:rPr>
                <w:rFonts w:ascii="Arial" w:eastAsia="Calibri" w:hAnsi="Arial" w:cs="Arial"/>
                <w:sz w:val="16"/>
                <w:szCs w:val="16"/>
              </w:rPr>
              <w:t>.</w:t>
            </w:r>
          </w:p>
        </w:tc>
        <w:tc>
          <w:tcPr>
            <w:tcW w:w="1291" w:type="dxa"/>
            <w:shd w:val="clear" w:color="auto" w:fill="BFBFBF" w:themeFill="background1" w:themeFillShade="BF"/>
            <w:vAlign w:val="center"/>
          </w:tcPr>
          <w:p w14:paraId="02D7C1C6" w14:textId="77777777" w:rsidR="00976A36" w:rsidRPr="006E4FC7" w:rsidRDefault="00976A36" w:rsidP="00976A36">
            <w:pPr>
              <w:jc w:val="center"/>
              <w:rPr>
                <w:rFonts w:ascii="Arial" w:eastAsia="Calibri" w:hAnsi="Arial" w:cs="Arial"/>
                <w:sz w:val="16"/>
                <w:szCs w:val="16"/>
              </w:rPr>
            </w:pPr>
            <w:r w:rsidRPr="006E4FC7">
              <w:rPr>
                <w:rFonts w:ascii="Arial" w:eastAsia="Calibri" w:hAnsi="Arial" w:cs="Arial"/>
                <w:sz w:val="16"/>
                <w:szCs w:val="16"/>
              </w:rPr>
              <w:t>Izvor podataka</w:t>
            </w:r>
          </w:p>
        </w:tc>
        <w:tc>
          <w:tcPr>
            <w:tcW w:w="1134" w:type="dxa"/>
            <w:shd w:val="clear" w:color="auto" w:fill="BFBFBF"/>
            <w:vAlign w:val="center"/>
          </w:tcPr>
          <w:p w14:paraId="2A317537" w14:textId="14B0D4FB" w:rsidR="00976A36" w:rsidRPr="00976A36" w:rsidRDefault="00976A36" w:rsidP="00976A36">
            <w:pPr>
              <w:jc w:val="center"/>
              <w:rPr>
                <w:rFonts w:ascii="Arial" w:eastAsia="Calibri" w:hAnsi="Arial" w:cs="Arial"/>
                <w:sz w:val="16"/>
                <w:szCs w:val="16"/>
              </w:rPr>
            </w:pPr>
            <w:r w:rsidRPr="00976A36">
              <w:rPr>
                <w:rFonts w:ascii="Arial" w:eastAsia="Calibri" w:hAnsi="Arial" w:cs="Arial"/>
                <w:sz w:val="18"/>
                <w:szCs w:val="18"/>
              </w:rPr>
              <w:t>Ciljana vrijednost 2025.</w:t>
            </w:r>
          </w:p>
        </w:tc>
        <w:tc>
          <w:tcPr>
            <w:tcW w:w="992" w:type="dxa"/>
            <w:shd w:val="clear" w:color="auto" w:fill="BFBFBF"/>
            <w:vAlign w:val="center"/>
          </w:tcPr>
          <w:p w14:paraId="466A7FDF" w14:textId="6F95BBCD" w:rsidR="00976A36" w:rsidRPr="00976A36" w:rsidRDefault="00976A36" w:rsidP="00976A36">
            <w:pPr>
              <w:jc w:val="center"/>
              <w:rPr>
                <w:rFonts w:ascii="Arial" w:eastAsia="Calibri" w:hAnsi="Arial" w:cs="Arial"/>
                <w:sz w:val="16"/>
                <w:szCs w:val="16"/>
              </w:rPr>
            </w:pPr>
            <w:r w:rsidRPr="00976A36">
              <w:rPr>
                <w:rFonts w:ascii="Arial" w:eastAsia="Calibri" w:hAnsi="Arial" w:cs="Arial"/>
                <w:sz w:val="18"/>
                <w:szCs w:val="18"/>
              </w:rPr>
              <w:t>Izvršeno 2025.</w:t>
            </w:r>
          </w:p>
        </w:tc>
        <w:tc>
          <w:tcPr>
            <w:tcW w:w="993" w:type="dxa"/>
            <w:shd w:val="clear" w:color="auto" w:fill="BFBFBF"/>
            <w:vAlign w:val="center"/>
          </w:tcPr>
          <w:p w14:paraId="7EB86407" w14:textId="207691F2" w:rsidR="00976A36" w:rsidRPr="00976A36" w:rsidRDefault="00976A36" w:rsidP="00976A36">
            <w:pPr>
              <w:jc w:val="center"/>
              <w:rPr>
                <w:rFonts w:ascii="Arial" w:eastAsia="Calibri" w:hAnsi="Arial" w:cs="Arial"/>
                <w:sz w:val="16"/>
                <w:szCs w:val="16"/>
              </w:rPr>
            </w:pPr>
            <w:r w:rsidRPr="00976A36">
              <w:rPr>
                <w:rFonts w:ascii="Arial" w:eastAsia="Calibri" w:hAnsi="Arial" w:cs="Arial"/>
                <w:sz w:val="18"/>
                <w:szCs w:val="18"/>
              </w:rPr>
              <w:t>Ciljana vrijednost 2026.</w:t>
            </w:r>
          </w:p>
        </w:tc>
        <w:tc>
          <w:tcPr>
            <w:tcW w:w="992" w:type="dxa"/>
            <w:shd w:val="clear" w:color="auto" w:fill="BFBFBF"/>
            <w:vAlign w:val="center"/>
          </w:tcPr>
          <w:p w14:paraId="02E24E78" w14:textId="79A5549A" w:rsidR="00976A36" w:rsidRPr="00976A36" w:rsidRDefault="00976A36" w:rsidP="00976A36">
            <w:pPr>
              <w:jc w:val="center"/>
              <w:rPr>
                <w:rFonts w:ascii="Arial" w:eastAsia="Calibri" w:hAnsi="Arial" w:cs="Arial"/>
                <w:sz w:val="16"/>
                <w:szCs w:val="16"/>
              </w:rPr>
            </w:pPr>
            <w:r w:rsidRPr="00976A36">
              <w:rPr>
                <w:rFonts w:ascii="Arial" w:eastAsia="Calibri" w:hAnsi="Arial" w:cs="Arial"/>
                <w:sz w:val="18"/>
                <w:szCs w:val="18"/>
              </w:rPr>
              <w:t>Ciljana vrijednost 2027.</w:t>
            </w:r>
          </w:p>
        </w:tc>
      </w:tr>
      <w:tr w:rsidR="00976A36" w:rsidRPr="006E4FC7" w14:paraId="4B8F777B" w14:textId="77777777" w:rsidTr="00EA587B">
        <w:trPr>
          <w:trHeight w:val="552"/>
          <w:jc w:val="center"/>
        </w:trPr>
        <w:tc>
          <w:tcPr>
            <w:tcW w:w="2689" w:type="dxa"/>
            <w:vAlign w:val="center"/>
          </w:tcPr>
          <w:p w14:paraId="09667865" w14:textId="5A1068B4" w:rsidR="00976A36" w:rsidRPr="006E4FC7" w:rsidRDefault="00976A36" w:rsidP="00976A36">
            <w:pPr>
              <w:rPr>
                <w:rFonts w:ascii="Arial" w:hAnsi="Arial" w:cs="Arial"/>
                <w:sz w:val="16"/>
                <w:szCs w:val="16"/>
                <w:lang w:eastAsia="en-US"/>
              </w:rPr>
            </w:pPr>
            <w:r w:rsidRPr="006E4FC7">
              <w:rPr>
                <w:rFonts w:ascii="Arial" w:hAnsi="Arial" w:cs="Arial"/>
                <w:sz w:val="18"/>
                <w:szCs w:val="18"/>
                <w:lang w:eastAsia="en-US"/>
              </w:rPr>
              <w:t>Broj izdanih publikacija MIGK</w:t>
            </w:r>
          </w:p>
        </w:tc>
        <w:tc>
          <w:tcPr>
            <w:tcW w:w="3266" w:type="dxa"/>
            <w:vAlign w:val="center"/>
          </w:tcPr>
          <w:p w14:paraId="3B2566C0" w14:textId="51BEE79C" w:rsidR="00976A36" w:rsidRPr="006E4FC7" w:rsidRDefault="00976A36" w:rsidP="00976A36">
            <w:pPr>
              <w:rPr>
                <w:rFonts w:ascii="Arial" w:hAnsi="Arial" w:cs="Arial"/>
                <w:sz w:val="16"/>
                <w:szCs w:val="16"/>
                <w:lang w:eastAsia="en-US"/>
              </w:rPr>
            </w:pPr>
            <w:r w:rsidRPr="006E4FC7">
              <w:rPr>
                <w:rFonts w:ascii="Arial" w:hAnsi="Arial" w:cs="Arial"/>
                <w:sz w:val="18"/>
                <w:szCs w:val="18"/>
                <w:lang w:eastAsia="en-US"/>
              </w:rPr>
              <w:t>Izdavanje slikovnica, edukativnog materijala, knjiga, kataloga</w:t>
            </w:r>
          </w:p>
        </w:tc>
        <w:tc>
          <w:tcPr>
            <w:tcW w:w="850" w:type="dxa"/>
            <w:vAlign w:val="center"/>
          </w:tcPr>
          <w:p w14:paraId="24E3A619" w14:textId="4EA1D7CA" w:rsidR="00976A36" w:rsidRPr="006E4FC7" w:rsidRDefault="00976A36" w:rsidP="00976A36">
            <w:pPr>
              <w:jc w:val="center"/>
              <w:rPr>
                <w:rFonts w:ascii="Arial" w:hAnsi="Arial" w:cs="Arial"/>
                <w:sz w:val="16"/>
                <w:szCs w:val="16"/>
                <w:lang w:eastAsia="en-US"/>
              </w:rPr>
            </w:pPr>
            <w:r w:rsidRPr="006E4FC7">
              <w:rPr>
                <w:rFonts w:ascii="Arial" w:hAnsi="Arial" w:cs="Arial"/>
                <w:sz w:val="18"/>
                <w:szCs w:val="18"/>
                <w:lang w:eastAsia="en-US"/>
              </w:rPr>
              <w:t>izdanja</w:t>
            </w:r>
          </w:p>
        </w:tc>
        <w:tc>
          <w:tcPr>
            <w:tcW w:w="992" w:type="dxa"/>
            <w:vAlign w:val="center"/>
          </w:tcPr>
          <w:p w14:paraId="4C67D876" w14:textId="5D8CAF73" w:rsidR="00976A36" w:rsidRPr="006E4FC7" w:rsidRDefault="00976A36" w:rsidP="00976A36">
            <w:pPr>
              <w:jc w:val="center"/>
              <w:rPr>
                <w:rFonts w:ascii="Arial" w:hAnsi="Arial" w:cs="Arial"/>
                <w:sz w:val="16"/>
                <w:szCs w:val="16"/>
                <w:lang w:eastAsia="en-US"/>
              </w:rPr>
            </w:pPr>
            <w:r w:rsidRPr="006E4FC7">
              <w:rPr>
                <w:rFonts w:ascii="Arial" w:hAnsi="Arial" w:cs="Arial"/>
                <w:sz w:val="18"/>
                <w:szCs w:val="18"/>
                <w:lang w:eastAsia="en-US"/>
              </w:rPr>
              <w:t>2</w:t>
            </w:r>
          </w:p>
        </w:tc>
        <w:tc>
          <w:tcPr>
            <w:tcW w:w="1291" w:type="dxa"/>
            <w:vAlign w:val="center"/>
          </w:tcPr>
          <w:p w14:paraId="46E7F65E" w14:textId="06EB6C6A" w:rsidR="00976A36" w:rsidRPr="006E4FC7" w:rsidRDefault="00976A36" w:rsidP="00976A36">
            <w:pPr>
              <w:jc w:val="center"/>
              <w:rPr>
                <w:rFonts w:ascii="Arial" w:hAnsi="Arial" w:cs="Arial"/>
                <w:sz w:val="16"/>
                <w:szCs w:val="16"/>
                <w:lang w:eastAsia="en-US"/>
              </w:rPr>
            </w:pPr>
            <w:r w:rsidRPr="006E4FC7">
              <w:rPr>
                <w:rFonts w:ascii="Arial" w:hAnsi="Arial" w:cs="Arial"/>
                <w:sz w:val="18"/>
                <w:szCs w:val="18"/>
                <w:lang w:eastAsia="en-US"/>
              </w:rPr>
              <w:t>Odjel općih poslova</w:t>
            </w:r>
          </w:p>
        </w:tc>
        <w:tc>
          <w:tcPr>
            <w:tcW w:w="1134" w:type="dxa"/>
            <w:vAlign w:val="center"/>
          </w:tcPr>
          <w:p w14:paraId="4BE34346" w14:textId="119C68AC" w:rsidR="00976A36" w:rsidRPr="00976A36" w:rsidRDefault="00976A36" w:rsidP="00976A36">
            <w:pPr>
              <w:jc w:val="center"/>
              <w:rPr>
                <w:rFonts w:ascii="Arial" w:hAnsi="Arial" w:cs="Arial"/>
                <w:sz w:val="16"/>
                <w:szCs w:val="16"/>
                <w:lang w:eastAsia="en-US"/>
              </w:rPr>
            </w:pPr>
            <w:r w:rsidRPr="00976A36">
              <w:rPr>
                <w:rFonts w:ascii="Arial" w:hAnsi="Arial" w:cs="Arial"/>
                <w:sz w:val="18"/>
                <w:szCs w:val="18"/>
              </w:rPr>
              <w:t>2</w:t>
            </w:r>
          </w:p>
        </w:tc>
        <w:tc>
          <w:tcPr>
            <w:tcW w:w="992" w:type="dxa"/>
            <w:vAlign w:val="center"/>
          </w:tcPr>
          <w:p w14:paraId="6898A713" w14:textId="15830BD7" w:rsidR="00976A36" w:rsidRPr="00976A36" w:rsidRDefault="00976A36" w:rsidP="00976A36">
            <w:pPr>
              <w:jc w:val="center"/>
              <w:rPr>
                <w:rFonts w:ascii="Arial" w:hAnsi="Arial" w:cs="Arial"/>
                <w:sz w:val="16"/>
                <w:szCs w:val="16"/>
                <w:lang w:eastAsia="en-US"/>
              </w:rPr>
            </w:pPr>
            <w:r w:rsidRPr="00976A36">
              <w:rPr>
                <w:rFonts w:ascii="Arial" w:hAnsi="Arial" w:cs="Arial"/>
                <w:sz w:val="18"/>
                <w:szCs w:val="18"/>
              </w:rPr>
              <w:t>5</w:t>
            </w:r>
          </w:p>
        </w:tc>
        <w:tc>
          <w:tcPr>
            <w:tcW w:w="993" w:type="dxa"/>
            <w:vAlign w:val="center"/>
          </w:tcPr>
          <w:p w14:paraId="434E6B27" w14:textId="7EBAB7E4" w:rsidR="00976A36" w:rsidRPr="00976A36" w:rsidRDefault="00976A36" w:rsidP="00976A36">
            <w:pPr>
              <w:jc w:val="center"/>
              <w:rPr>
                <w:rFonts w:ascii="Arial" w:hAnsi="Arial" w:cs="Arial"/>
                <w:sz w:val="16"/>
                <w:szCs w:val="16"/>
                <w:lang w:eastAsia="en-US"/>
              </w:rPr>
            </w:pPr>
            <w:r w:rsidRPr="00976A36">
              <w:rPr>
                <w:rFonts w:ascii="Arial" w:hAnsi="Arial" w:cs="Arial"/>
                <w:sz w:val="18"/>
                <w:szCs w:val="18"/>
              </w:rPr>
              <w:t>2</w:t>
            </w:r>
          </w:p>
        </w:tc>
        <w:tc>
          <w:tcPr>
            <w:tcW w:w="992" w:type="dxa"/>
            <w:vAlign w:val="center"/>
          </w:tcPr>
          <w:p w14:paraId="32719C8C" w14:textId="5CFCC173" w:rsidR="00976A36" w:rsidRPr="00976A36" w:rsidRDefault="00976A36" w:rsidP="00976A36">
            <w:pPr>
              <w:jc w:val="center"/>
              <w:rPr>
                <w:rFonts w:ascii="Arial" w:hAnsi="Arial" w:cs="Arial"/>
                <w:sz w:val="16"/>
                <w:szCs w:val="16"/>
                <w:lang w:eastAsia="en-US"/>
              </w:rPr>
            </w:pPr>
            <w:r w:rsidRPr="00976A36">
              <w:rPr>
                <w:rFonts w:ascii="Arial" w:hAnsi="Arial" w:cs="Arial"/>
                <w:sz w:val="18"/>
                <w:szCs w:val="18"/>
              </w:rPr>
              <w:t>2</w:t>
            </w:r>
          </w:p>
        </w:tc>
      </w:tr>
      <w:tr w:rsidR="00976A36" w:rsidRPr="00500D60" w14:paraId="1B453980" w14:textId="77777777" w:rsidTr="00EA58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74"/>
          <w:jc w:val="center"/>
        </w:trPr>
        <w:tc>
          <w:tcPr>
            <w:tcW w:w="2689" w:type="dxa"/>
            <w:vAlign w:val="center"/>
          </w:tcPr>
          <w:p w14:paraId="59E7949B" w14:textId="19623EE3" w:rsidR="00976A36" w:rsidRPr="00500D60" w:rsidRDefault="00976A36" w:rsidP="00976A36">
            <w:pPr>
              <w:rPr>
                <w:rFonts w:ascii="Arial" w:hAnsi="Arial" w:cs="Arial"/>
                <w:color w:val="FF0000"/>
                <w:sz w:val="16"/>
                <w:szCs w:val="16"/>
                <w:lang w:eastAsia="en-US"/>
              </w:rPr>
            </w:pPr>
            <w:bookmarkStart w:id="646" w:name="_Hlk193465607"/>
            <w:r w:rsidRPr="00663CC2">
              <w:rPr>
                <w:rFonts w:ascii="Arial" w:hAnsi="Arial" w:cs="Arial"/>
                <w:sz w:val="18"/>
                <w:szCs w:val="18"/>
                <w:lang w:eastAsia="en-US"/>
              </w:rPr>
              <w:t>Broj posuđenih knjiga u knjižnici</w:t>
            </w:r>
            <w:bookmarkEnd w:id="646"/>
          </w:p>
        </w:tc>
        <w:tc>
          <w:tcPr>
            <w:tcW w:w="3266" w:type="dxa"/>
            <w:vAlign w:val="center"/>
          </w:tcPr>
          <w:p w14:paraId="243CDFDE" w14:textId="25B17064" w:rsidR="00976A36" w:rsidRPr="00500D60" w:rsidRDefault="00976A36" w:rsidP="00976A36">
            <w:pPr>
              <w:rPr>
                <w:rFonts w:ascii="Arial" w:hAnsi="Arial" w:cs="Arial"/>
                <w:color w:val="FF0000"/>
                <w:sz w:val="16"/>
                <w:szCs w:val="16"/>
                <w:lang w:eastAsia="en-US"/>
              </w:rPr>
            </w:pPr>
            <w:r w:rsidRPr="00663CC2">
              <w:rPr>
                <w:rFonts w:ascii="Arial" w:hAnsi="Arial" w:cs="Arial"/>
                <w:sz w:val="18"/>
                <w:szCs w:val="18"/>
                <w:lang w:eastAsia="en-US"/>
              </w:rPr>
              <w:t xml:space="preserve">Formiranje stručne knjižnice </w:t>
            </w:r>
          </w:p>
        </w:tc>
        <w:tc>
          <w:tcPr>
            <w:tcW w:w="850" w:type="dxa"/>
            <w:vAlign w:val="center"/>
          </w:tcPr>
          <w:p w14:paraId="4E650E28" w14:textId="3D6537C2" w:rsidR="00976A36" w:rsidRPr="00500D60" w:rsidRDefault="00976A36" w:rsidP="00976A36">
            <w:pPr>
              <w:jc w:val="center"/>
              <w:rPr>
                <w:rFonts w:ascii="Arial" w:hAnsi="Arial" w:cs="Arial"/>
                <w:color w:val="FF0000"/>
                <w:sz w:val="16"/>
                <w:szCs w:val="16"/>
                <w:lang w:eastAsia="en-US"/>
              </w:rPr>
            </w:pPr>
            <w:r w:rsidRPr="00663CC2">
              <w:rPr>
                <w:rFonts w:ascii="Arial" w:hAnsi="Arial" w:cs="Arial"/>
                <w:sz w:val="18"/>
                <w:szCs w:val="18"/>
                <w:lang w:eastAsia="en-US"/>
              </w:rPr>
              <w:t>knjiga</w:t>
            </w:r>
          </w:p>
        </w:tc>
        <w:tc>
          <w:tcPr>
            <w:tcW w:w="992" w:type="dxa"/>
            <w:vAlign w:val="center"/>
          </w:tcPr>
          <w:p w14:paraId="15DCEB73" w14:textId="52285569" w:rsidR="00976A36" w:rsidRPr="00500D60" w:rsidRDefault="00976A36" w:rsidP="00976A36">
            <w:pPr>
              <w:jc w:val="center"/>
              <w:rPr>
                <w:rFonts w:ascii="Arial" w:hAnsi="Arial" w:cs="Arial"/>
                <w:color w:val="FF0000"/>
                <w:sz w:val="16"/>
                <w:szCs w:val="16"/>
                <w:lang w:eastAsia="en-US"/>
              </w:rPr>
            </w:pPr>
            <w:r w:rsidRPr="00663CC2">
              <w:rPr>
                <w:rFonts w:ascii="Arial" w:hAnsi="Arial" w:cs="Arial"/>
                <w:sz w:val="18"/>
                <w:szCs w:val="18"/>
                <w:lang w:eastAsia="en-US"/>
              </w:rPr>
              <w:t>20</w:t>
            </w:r>
          </w:p>
        </w:tc>
        <w:tc>
          <w:tcPr>
            <w:tcW w:w="1291" w:type="dxa"/>
            <w:vAlign w:val="center"/>
          </w:tcPr>
          <w:p w14:paraId="5741693A" w14:textId="49036D3B" w:rsidR="00976A36" w:rsidRPr="00500D60" w:rsidRDefault="00976A36" w:rsidP="00976A36">
            <w:pPr>
              <w:jc w:val="center"/>
              <w:rPr>
                <w:rFonts w:ascii="Arial" w:hAnsi="Arial" w:cs="Arial"/>
                <w:color w:val="FF0000"/>
                <w:sz w:val="16"/>
                <w:szCs w:val="16"/>
                <w:lang w:eastAsia="en-US"/>
              </w:rPr>
            </w:pPr>
            <w:r w:rsidRPr="00663CC2">
              <w:rPr>
                <w:rFonts w:ascii="Arial" w:hAnsi="Arial" w:cs="Arial"/>
                <w:sz w:val="18"/>
                <w:szCs w:val="18"/>
                <w:lang w:eastAsia="en-US"/>
              </w:rPr>
              <w:t>Odjel općih poslova</w:t>
            </w:r>
          </w:p>
        </w:tc>
        <w:tc>
          <w:tcPr>
            <w:tcW w:w="1134" w:type="dxa"/>
            <w:vAlign w:val="center"/>
          </w:tcPr>
          <w:p w14:paraId="036EB6BB" w14:textId="0A17B271" w:rsidR="00976A36" w:rsidRPr="00976A36" w:rsidRDefault="00976A36" w:rsidP="00976A36">
            <w:pPr>
              <w:jc w:val="center"/>
              <w:rPr>
                <w:rFonts w:ascii="Arial" w:hAnsi="Arial" w:cs="Arial"/>
                <w:color w:val="FF0000"/>
                <w:sz w:val="16"/>
                <w:szCs w:val="16"/>
                <w:lang w:eastAsia="en-US"/>
              </w:rPr>
            </w:pPr>
            <w:r w:rsidRPr="00976A36">
              <w:rPr>
                <w:rFonts w:ascii="Arial" w:hAnsi="Arial" w:cs="Arial"/>
                <w:sz w:val="18"/>
                <w:szCs w:val="18"/>
              </w:rPr>
              <w:t>150</w:t>
            </w:r>
          </w:p>
        </w:tc>
        <w:tc>
          <w:tcPr>
            <w:tcW w:w="992" w:type="dxa"/>
            <w:vAlign w:val="center"/>
          </w:tcPr>
          <w:p w14:paraId="4964E38C" w14:textId="150C7C2C" w:rsidR="00976A36" w:rsidRPr="00976A36" w:rsidRDefault="00976A36" w:rsidP="00976A36">
            <w:pPr>
              <w:jc w:val="center"/>
              <w:rPr>
                <w:rFonts w:ascii="Arial" w:hAnsi="Arial" w:cs="Arial"/>
                <w:color w:val="FF0000"/>
                <w:sz w:val="16"/>
                <w:szCs w:val="16"/>
                <w:lang w:eastAsia="en-US"/>
              </w:rPr>
            </w:pPr>
            <w:r w:rsidRPr="00976A36">
              <w:rPr>
                <w:rFonts w:ascii="Arial" w:hAnsi="Arial" w:cs="Arial"/>
                <w:sz w:val="18"/>
                <w:szCs w:val="18"/>
              </w:rPr>
              <w:t xml:space="preserve">       24</w:t>
            </w:r>
          </w:p>
        </w:tc>
        <w:tc>
          <w:tcPr>
            <w:tcW w:w="993" w:type="dxa"/>
            <w:vAlign w:val="center"/>
          </w:tcPr>
          <w:p w14:paraId="3E7A53DE" w14:textId="13E095E9" w:rsidR="00976A36" w:rsidRPr="00976A36" w:rsidRDefault="00976A36" w:rsidP="00976A36">
            <w:pPr>
              <w:jc w:val="center"/>
              <w:rPr>
                <w:rFonts w:ascii="Arial" w:hAnsi="Arial" w:cs="Arial"/>
                <w:color w:val="FF0000"/>
                <w:sz w:val="16"/>
                <w:szCs w:val="16"/>
                <w:lang w:eastAsia="en-US"/>
              </w:rPr>
            </w:pPr>
            <w:r w:rsidRPr="00976A36">
              <w:rPr>
                <w:rFonts w:ascii="Arial" w:hAnsi="Arial" w:cs="Arial"/>
                <w:sz w:val="18"/>
                <w:szCs w:val="18"/>
              </w:rPr>
              <w:t>200</w:t>
            </w:r>
          </w:p>
        </w:tc>
        <w:tc>
          <w:tcPr>
            <w:tcW w:w="992" w:type="dxa"/>
            <w:vAlign w:val="center"/>
          </w:tcPr>
          <w:p w14:paraId="75F0359A" w14:textId="1F984BEA" w:rsidR="00976A36" w:rsidRPr="00976A36" w:rsidRDefault="00976A36" w:rsidP="00976A36">
            <w:pPr>
              <w:jc w:val="center"/>
              <w:rPr>
                <w:rFonts w:ascii="Arial" w:hAnsi="Arial" w:cs="Arial"/>
                <w:color w:val="FF0000"/>
                <w:sz w:val="16"/>
                <w:szCs w:val="16"/>
                <w:lang w:eastAsia="en-US"/>
              </w:rPr>
            </w:pPr>
            <w:r w:rsidRPr="00976A36">
              <w:rPr>
                <w:rFonts w:ascii="Arial" w:hAnsi="Arial" w:cs="Arial"/>
                <w:sz w:val="18"/>
                <w:szCs w:val="18"/>
              </w:rPr>
              <w:t>200</w:t>
            </w:r>
          </w:p>
        </w:tc>
      </w:tr>
    </w:tbl>
    <w:p w14:paraId="49BBB459" w14:textId="77777777" w:rsidR="00FD724F" w:rsidRPr="006E4FC7" w:rsidRDefault="00FD724F" w:rsidP="00FD724F">
      <w:pPr>
        <w:spacing w:after="0" w:line="259" w:lineRule="auto"/>
        <w:rPr>
          <w:rFonts w:ascii="Arial" w:eastAsia="Calibri" w:hAnsi="Arial" w:cs="Arial"/>
          <w:sz w:val="16"/>
          <w:szCs w:val="16"/>
        </w:rPr>
      </w:pPr>
    </w:p>
    <w:p w14:paraId="36F224AA" w14:textId="55BF9A85" w:rsidR="00FD724F" w:rsidRPr="006E4FC7" w:rsidRDefault="00FD724F" w:rsidP="00FD724F">
      <w:pPr>
        <w:spacing w:after="0" w:line="240" w:lineRule="auto"/>
        <w:jc w:val="both"/>
        <w:rPr>
          <w:rFonts w:ascii="Arial" w:eastAsia="Calibri" w:hAnsi="Arial" w:cs="Arial"/>
          <w:sz w:val="20"/>
          <w:szCs w:val="20"/>
        </w:rPr>
      </w:pPr>
      <w:r w:rsidRPr="006E4FC7">
        <w:rPr>
          <w:rFonts w:ascii="Arial" w:eastAsia="Calibri" w:hAnsi="Arial" w:cs="Arial"/>
          <w:b/>
          <w:sz w:val="20"/>
          <w:szCs w:val="20"/>
        </w:rPr>
        <w:t>13. A203114: Izrada web stranice.</w:t>
      </w:r>
      <w:r w:rsidRPr="006E4FC7">
        <w:rPr>
          <w:rFonts w:ascii="Arial" w:eastAsia="Calibri" w:hAnsi="Arial" w:cs="Arial"/>
          <w:sz w:val="20"/>
          <w:szCs w:val="20"/>
        </w:rPr>
        <w:t xml:space="preserve"> </w:t>
      </w:r>
    </w:p>
    <w:p w14:paraId="0275594A" w14:textId="77777777" w:rsidR="00FD724F" w:rsidRPr="006E4FC7" w:rsidRDefault="00FD724F" w:rsidP="00FD724F">
      <w:pPr>
        <w:spacing w:after="0" w:line="240" w:lineRule="auto"/>
        <w:jc w:val="both"/>
        <w:rPr>
          <w:rFonts w:ascii="Arial" w:eastAsia="Calibri" w:hAnsi="Arial" w:cs="Arial"/>
          <w:sz w:val="20"/>
          <w:szCs w:val="20"/>
        </w:rPr>
      </w:pPr>
    </w:p>
    <w:p w14:paraId="0028144F" w14:textId="187C21B6" w:rsidR="00A90FC1" w:rsidRPr="006E4FC7" w:rsidRDefault="00FD724F" w:rsidP="00FD724F">
      <w:pPr>
        <w:spacing w:after="0" w:line="240" w:lineRule="auto"/>
        <w:jc w:val="both"/>
        <w:rPr>
          <w:rFonts w:ascii="Arial" w:eastAsia="Calibri" w:hAnsi="Arial" w:cs="Arial"/>
          <w:sz w:val="20"/>
          <w:szCs w:val="20"/>
        </w:rPr>
      </w:pPr>
      <w:r w:rsidRPr="006E4FC7">
        <w:rPr>
          <w:rFonts w:ascii="Arial" w:eastAsia="Calibri" w:hAnsi="Arial" w:cs="Arial"/>
          <w:bCs/>
          <w:sz w:val="20"/>
          <w:szCs w:val="20"/>
        </w:rPr>
        <w:t xml:space="preserve">U okviru </w:t>
      </w:r>
      <w:r w:rsidRPr="006E4FC7">
        <w:rPr>
          <w:rFonts w:ascii="Arial" w:eastAsia="Calibri" w:hAnsi="Arial" w:cs="Arial"/>
          <w:sz w:val="20"/>
          <w:szCs w:val="20"/>
        </w:rPr>
        <w:t>navedene aktivnosti</w:t>
      </w:r>
      <w:r w:rsidR="00E61250" w:rsidRPr="006E4FC7">
        <w:rPr>
          <w:rFonts w:ascii="Arial" w:eastAsia="Calibri" w:hAnsi="Arial" w:cs="Arial"/>
          <w:sz w:val="20"/>
          <w:szCs w:val="20"/>
        </w:rPr>
        <w:t xml:space="preserve"> </w:t>
      </w:r>
      <w:r w:rsidRPr="006E4FC7">
        <w:rPr>
          <w:rFonts w:ascii="Arial" w:eastAsia="Calibri" w:hAnsi="Arial" w:cs="Arial"/>
          <w:sz w:val="20"/>
          <w:szCs w:val="20"/>
        </w:rPr>
        <w:t>nisu planirana proračunska sredstva</w:t>
      </w:r>
    </w:p>
    <w:p w14:paraId="0276FA94" w14:textId="77777777" w:rsidR="00FD724F" w:rsidRPr="006E4FC7" w:rsidRDefault="00FD724F" w:rsidP="006E6E51">
      <w:pPr>
        <w:autoSpaceDE w:val="0"/>
        <w:autoSpaceDN w:val="0"/>
        <w:adjustRightInd w:val="0"/>
        <w:spacing w:after="0" w:line="240" w:lineRule="auto"/>
        <w:jc w:val="both"/>
        <w:rPr>
          <w:rFonts w:ascii="Arial" w:eastAsia="Calibri" w:hAnsi="Arial" w:cs="Arial"/>
          <w:b/>
          <w:sz w:val="20"/>
          <w:szCs w:val="20"/>
        </w:rPr>
      </w:pPr>
    </w:p>
    <w:p w14:paraId="53AA0D3A" w14:textId="6EF58ED7" w:rsidR="006E6E51" w:rsidRPr="006E4FC7" w:rsidRDefault="006E6E51" w:rsidP="006E6E51">
      <w:pPr>
        <w:autoSpaceDE w:val="0"/>
        <w:autoSpaceDN w:val="0"/>
        <w:adjustRightInd w:val="0"/>
        <w:spacing w:after="0" w:line="240" w:lineRule="auto"/>
        <w:jc w:val="both"/>
        <w:rPr>
          <w:rFonts w:ascii="Arial" w:eastAsia="Calibri" w:hAnsi="Arial" w:cs="Arial"/>
          <w:sz w:val="20"/>
          <w:szCs w:val="20"/>
        </w:rPr>
      </w:pPr>
      <w:r w:rsidRPr="006E4FC7">
        <w:rPr>
          <w:rFonts w:ascii="Arial" w:eastAsia="Calibri" w:hAnsi="Arial" w:cs="Arial"/>
          <w:b/>
          <w:sz w:val="20"/>
          <w:szCs w:val="20"/>
        </w:rPr>
        <w:t>1</w:t>
      </w:r>
      <w:r w:rsidR="00976A36">
        <w:rPr>
          <w:rFonts w:ascii="Arial" w:eastAsia="Calibri" w:hAnsi="Arial" w:cs="Arial"/>
          <w:b/>
          <w:sz w:val="20"/>
          <w:szCs w:val="20"/>
        </w:rPr>
        <w:t>4</w:t>
      </w:r>
      <w:r w:rsidRPr="006E4FC7">
        <w:rPr>
          <w:rFonts w:ascii="Arial" w:eastAsia="Calibri" w:hAnsi="Arial" w:cs="Arial"/>
          <w:b/>
          <w:sz w:val="20"/>
          <w:szCs w:val="20"/>
        </w:rPr>
        <w:t xml:space="preserve">. K203115: Informatizacija ustanove u kulturi </w:t>
      </w:r>
      <w:r w:rsidRPr="006E4FC7">
        <w:rPr>
          <w:rFonts w:ascii="Arial" w:eastAsia="Calibri" w:hAnsi="Arial" w:cs="Arial"/>
          <w:sz w:val="20"/>
          <w:szCs w:val="20"/>
        </w:rPr>
        <w:t>- u sklopu navedene aktivnosti nisu planirana sredstva.</w:t>
      </w:r>
    </w:p>
    <w:p w14:paraId="73E3D4EB" w14:textId="77777777" w:rsidR="00A90FC1" w:rsidRPr="00C92189" w:rsidRDefault="00A90FC1" w:rsidP="00D97ADE">
      <w:pPr>
        <w:spacing w:after="0" w:line="240" w:lineRule="auto"/>
        <w:jc w:val="both"/>
        <w:rPr>
          <w:rFonts w:ascii="Arial" w:eastAsia="Calibri" w:hAnsi="Arial" w:cs="Arial"/>
          <w:b/>
          <w:sz w:val="20"/>
          <w:szCs w:val="20"/>
        </w:rPr>
      </w:pPr>
    </w:p>
    <w:p w14:paraId="582ED257" w14:textId="0B32C8F9" w:rsidR="00FD724F" w:rsidRPr="00C92189" w:rsidRDefault="006E6E51" w:rsidP="003D7373">
      <w:pPr>
        <w:autoSpaceDE w:val="0"/>
        <w:autoSpaceDN w:val="0"/>
        <w:adjustRightInd w:val="0"/>
        <w:spacing w:after="0" w:line="240" w:lineRule="auto"/>
        <w:jc w:val="both"/>
        <w:rPr>
          <w:rFonts w:ascii="Arial" w:eastAsia="Calibri" w:hAnsi="Arial" w:cs="Arial"/>
          <w:sz w:val="20"/>
          <w:szCs w:val="20"/>
        </w:rPr>
      </w:pPr>
      <w:r w:rsidRPr="00C92189">
        <w:rPr>
          <w:rFonts w:ascii="Arial" w:eastAsia="Calibri" w:hAnsi="Arial" w:cs="Arial"/>
          <w:b/>
          <w:sz w:val="20"/>
          <w:szCs w:val="20"/>
        </w:rPr>
        <w:t>1</w:t>
      </w:r>
      <w:r w:rsidR="00FD724F" w:rsidRPr="00C92189">
        <w:rPr>
          <w:rFonts w:ascii="Arial" w:eastAsia="Calibri" w:hAnsi="Arial" w:cs="Arial"/>
          <w:b/>
          <w:sz w:val="20"/>
          <w:szCs w:val="20"/>
        </w:rPr>
        <w:t>5</w:t>
      </w:r>
      <w:r w:rsidRPr="00C92189">
        <w:rPr>
          <w:rFonts w:ascii="Arial" w:eastAsia="Calibri" w:hAnsi="Arial" w:cs="Arial"/>
          <w:b/>
          <w:sz w:val="20"/>
          <w:szCs w:val="20"/>
        </w:rPr>
        <w:t xml:space="preserve">. T203116: </w:t>
      </w:r>
      <w:r w:rsidR="003D7373" w:rsidRPr="00C92189">
        <w:rPr>
          <w:rFonts w:ascii="Arial" w:eastAsia="Calibri" w:hAnsi="Arial" w:cs="Arial"/>
          <w:b/>
          <w:sz w:val="20"/>
          <w:szCs w:val="20"/>
        </w:rPr>
        <w:t xml:space="preserve">Zaštita i očuvanje arheološke baštine, Jagnjilo </w:t>
      </w:r>
      <w:r w:rsidR="003D7373" w:rsidRPr="00C92189">
        <w:rPr>
          <w:rFonts w:ascii="Arial" w:eastAsia="Calibri" w:hAnsi="Arial" w:cs="Arial"/>
          <w:sz w:val="20"/>
          <w:szCs w:val="20"/>
        </w:rPr>
        <w:t xml:space="preserve">– u sklopu navedene aktivnosti </w:t>
      </w:r>
      <w:r w:rsidR="008A06D6">
        <w:rPr>
          <w:rFonts w:ascii="Arial" w:eastAsia="Calibri" w:hAnsi="Arial" w:cs="Arial"/>
          <w:sz w:val="20"/>
          <w:szCs w:val="20"/>
        </w:rPr>
        <w:t xml:space="preserve">nisu </w:t>
      </w:r>
      <w:r w:rsidR="003D7373" w:rsidRPr="00C92189">
        <w:rPr>
          <w:rFonts w:ascii="Arial" w:eastAsia="Calibri" w:hAnsi="Arial" w:cs="Arial"/>
          <w:sz w:val="20"/>
          <w:szCs w:val="20"/>
        </w:rPr>
        <w:t>planirana proračunska sredstva</w:t>
      </w:r>
      <w:r w:rsidR="00B445DF" w:rsidRPr="00C92189">
        <w:rPr>
          <w:rFonts w:ascii="Arial" w:eastAsia="Calibri" w:hAnsi="Arial" w:cs="Arial"/>
          <w:sz w:val="20"/>
          <w:szCs w:val="20"/>
        </w:rPr>
        <w:t>.</w:t>
      </w:r>
    </w:p>
    <w:p w14:paraId="226286F2" w14:textId="77777777" w:rsidR="00B445DF" w:rsidRPr="00C92189" w:rsidRDefault="00B445DF" w:rsidP="003D7373">
      <w:pPr>
        <w:autoSpaceDE w:val="0"/>
        <w:autoSpaceDN w:val="0"/>
        <w:adjustRightInd w:val="0"/>
        <w:spacing w:after="0" w:line="240" w:lineRule="auto"/>
        <w:jc w:val="both"/>
        <w:rPr>
          <w:rFonts w:ascii="Arial" w:eastAsia="Calibri" w:hAnsi="Arial" w:cs="Arial"/>
          <w:sz w:val="20"/>
          <w:szCs w:val="20"/>
        </w:rPr>
      </w:pPr>
    </w:p>
    <w:p w14:paraId="69E3204F" w14:textId="77777777" w:rsidR="00976A36" w:rsidRDefault="00976A36" w:rsidP="003D7373">
      <w:pPr>
        <w:autoSpaceDE w:val="0"/>
        <w:autoSpaceDN w:val="0"/>
        <w:adjustRightInd w:val="0"/>
        <w:spacing w:after="0" w:line="240" w:lineRule="auto"/>
        <w:jc w:val="both"/>
        <w:rPr>
          <w:rFonts w:ascii="Arial" w:eastAsia="Calibri" w:hAnsi="Arial" w:cs="Arial"/>
          <w:sz w:val="20"/>
          <w:szCs w:val="20"/>
        </w:rPr>
      </w:pPr>
      <w:r w:rsidRPr="00976A36">
        <w:rPr>
          <w:rFonts w:ascii="Arial" w:eastAsia="Calibri" w:hAnsi="Arial" w:cs="Arial"/>
          <w:sz w:val="20"/>
          <w:szCs w:val="20"/>
        </w:rPr>
        <w:t>Arheološki lokalitet Jagnjilo, smješten je na području Stravče u zaseoku Kolići, prostire se na oko 16.000 četvornih metara. Riječ je o iznimno vrijednom nalazištu koje, uz prapovijesne gomile, obuhvaća i nekropolu iz razdoblja od 10. do 15. stoljeća te ostatke jedine konavoske crkve građene u suhozidu. Lokalitet se planira cjelovito urediti i prezentirati kao izletište s popratnim sadržajima, u skladu s urbanističkom projektnom dokumentacijom uz minimalne intervencije u prostoru i očuvanje prirodnog krajolika. Ujedno se predviđa njegovo povezivanje s kamenolomom stećaka i crkvom sv. Luke u Brotnicama, čime bi konavoska brda dobila vrijednu, sadržajnu i održivu kulturnu cjelinu. Takav pristup pridonio bi dugoročnom očuvanju baštine te razvoju turističke ponude ovoga dijela Konavala po načelu održivosti.</w:t>
      </w:r>
    </w:p>
    <w:p w14:paraId="54BF4FA8" w14:textId="77777777" w:rsidR="00976A36" w:rsidRDefault="00976A36" w:rsidP="003D7373">
      <w:pPr>
        <w:autoSpaceDE w:val="0"/>
        <w:autoSpaceDN w:val="0"/>
        <w:adjustRightInd w:val="0"/>
        <w:spacing w:after="0" w:line="240" w:lineRule="auto"/>
        <w:jc w:val="both"/>
        <w:rPr>
          <w:rFonts w:ascii="Arial" w:eastAsia="Calibri" w:hAnsi="Arial" w:cs="Arial"/>
          <w:sz w:val="20"/>
          <w:szCs w:val="20"/>
        </w:rPr>
      </w:pPr>
    </w:p>
    <w:tbl>
      <w:tblPr>
        <w:tblStyle w:val="Reetkatablice5"/>
        <w:tblW w:w="13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266"/>
        <w:gridCol w:w="850"/>
        <w:gridCol w:w="992"/>
        <w:gridCol w:w="1291"/>
        <w:gridCol w:w="1134"/>
        <w:gridCol w:w="992"/>
        <w:gridCol w:w="993"/>
        <w:gridCol w:w="992"/>
      </w:tblGrid>
      <w:tr w:rsidR="00976A36" w:rsidRPr="006E4FC7" w14:paraId="1F7BC07B" w14:textId="77777777" w:rsidTr="0025506A">
        <w:trPr>
          <w:jc w:val="center"/>
        </w:trPr>
        <w:tc>
          <w:tcPr>
            <w:tcW w:w="2689" w:type="dxa"/>
            <w:shd w:val="clear" w:color="auto" w:fill="BFBFBF" w:themeFill="background1" w:themeFillShade="BF"/>
            <w:vAlign w:val="center"/>
          </w:tcPr>
          <w:p w14:paraId="6AD1CAAE" w14:textId="77777777" w:rsidR="00976A36" w:rsidRPr="006E4FC7" w:rsidRDefault="00976A36" w:rsidP="00976A36">
            <w:pPr>
              <w:jc w:val="center"/>
              <w:rPr>
                <w:rFonts w:ascii="Arial" w:eastAsia="Calibri" w:hAnsi="Arial" w:cs="Arial"/>
                <w:sz w:val="16"/>
                <w:szCs w:val="16"/>
              </w:rPr>
            </w:pPr>
            <w:r w:rsidRPr="006E4FC7">
              <w:rPr>
                <w:rFonts w:ascii="Arial" w:eastAsia="Calibri" w:hAnsi="Arial" w:cs="Arial"/>
                <w:sz w:val="16"/>
                <w:szCs w:val="16"/>
              </w:rPr>
              <w:t>Pokazatelj uspješnosti</w:t>
            </w:r>
          </w:p>
        </w:tc>
        <w:tc>
          <w:tcPr>
            <w:tcW w:w="3266" w:type="dxa"/>
            <w:shd w:val="clear" w:color="auto" w:fill="BFBFBF" w:themeFill="background1" w:themeFillShade="BF"/>
            <w:vAlign w:val="center"/>
          </w:tcPr>
          <w:p w14:paraId="0D596F20" w14:textId="77777777" w:rsidR="00976A36" w:rsidRPr="006E4FC7" w:rsidRDefault="00976A36" w:rsidP="00976A36">
            <w:pPr>
              <w:jc w:val="center"/>
              <w:rPr>
                <w:rFonts w:ascii="Arial" w:eastAsia="Calibri" w:hAnsi="Arial" w:cs="Arial"/>
                <w:sz w:val="16"/>
                <w:szCs w:val="16"/>
              </w:rPr>
            </w:pPr>
            <w:r w:rsidRPr="006E4FC7">
              <w:rPr>
                <w:rFonts w:ascii="Arial" w:eastAsia="Calibri" w:hAnsi="Arial" w:cs="Arial"/>
                <w:sz w:val="16"/>
                <w:szCs w:val="16"/>
              </w:rPr>
              <w:t>Definicija</w:t>
            </w:r>
          </w:p>
        </w:tc>
        <w:tc>
          <w:tcPr>
            <w:tcW w:w="850" w:type="dxa"/>
            <w:shd w:val="clear" w:color="auto" w:fill="BFBFBF" w:themeFill="background1" w:themeFillShade="BF"/>
            <w:vAlign w:val="center"/>
          </w:tcPr>
          <w:p w14:paraId="3B08CE81" w14:textId="77777777" w:rsidR="00976A36" w:rsidRPr="006E4FC7" w:rsidRDefault="00976A36" w:rsidP="00976A36">
            <w:pPr>
              <w:jc w:val="center"/>
              <w:rPr>
                <w:rFonts w:ascii="Arial" w:eastAsia="Calibri" w:hAnsi="Arial" w:cs="Arial"/>
                <w:sz w:val="16"/>
                <w:szCs w:val="16"/>
              </w:rPr>
            </w:pPr>
            <w:r w:rsidRPr="006E4FC7">
              <w:rPr>
                <w:rFonts w:ascii="Arial" w:eastAsia="Calibri" w:hAnsi="Arial" w:cs="Arial"/>
                <w:sz w:val="16"/>
                <w:szCs w:val="16"/>
              </w:rPr>
              <w:t>Jedinica</w:t>
            </w:r>
          </w:p>
        </w:tc>
        <w:tc>
          <w:tcPr>
            <w:tcW w:w="992" w:type="dxa"/>
            <w:shd w:val="clear" w:color="auto" w:fill="BFBFBF" w:themeFill="background1" w:themeFillShade="BF"/>
            <w:vAlign w:val="center"/>
          </w:tcPr>
          <w:p w14:paraId="5BE70753" w14:textId="77777777" w:rsidR="00976A36" w:rsidRPr="006E4FC7" w:rsidRDefault="00976A36" w:rsidP="00976A36">
            <w:pPr>
              <w:jc w:val="center"/>
              <w:rPr>
                <w:rFonts w:ascii="Arial" w:eastAsia="Calibri" w:hAnsi="Arial" w:cs="Arial"/>
                <w:sz w:val="16"/>
                <w:szCs w:val="16"/>
              </w:rPr>
            </w:pPr>
            <w:r w:rsidRPr="006E4FC7">
              <w:rPr>
                <w:rFonts w:ascii="Arial" w:eastAsia="Calibri" w:hAnsi="Arial" w:cs="Arial"/>
                <w:sz w:val="16"/>
                <w:szCs w:val="16"/>
              </w:rPr>
              <w:t>Polazna vrijednost</w:t>
            </w:r>
          </w:p>
          <w:p w14:paraId="4910DA89" w14:textId="77777777" w:rsidR="00976A36" w:rsidRPr="006E4FC7" w:rsidRDefault="00976A36" w:rsidP="00976A36">
            <w:pPr>
              <w:jc w:val="center"/>
              <w:rPr>
                <w:rFonts w:ascii="Arial" w:eastAsia="Calibri" w:hAnsi="Arial" w:cs="Arial"/>
                <w:sz w:val="16"/>
                <w:szCs w:val="16"/>
              </w:rPr>
            </w:pPr>
            <w:r w:rsidRPr="006E4FC7">
              <w:rPr>
                <w:rFonts w:ascii="Arial" w:eastAsia="Calibri" w:hAnsi="Arial" w:cs="Arial"/>
                <w:sz w:val="16"/>
                <w:szCs w:val="16"/>
              </w:rPr>
              <w:t>202</w:t>
            </w:r>
            <w:r>
              <w:rPr>
                <w:rFonts w:ascii="Arial" w:eastAsia="Calibri" w:hAnsi="Arial" w:cs="Arial"/>
                <w:sz w:val="16"/>
                <w:szCs w:val="16"/>
              </w:rPr>
              <w:t>4</w:t>
            </w:r>
            <w:r w:rsidRPr="006E4FC7">
              <w:rPr>
                <w:rFonts w:ascii="Arial" w:eastAsia="Calibri" w:hAnsi="Arial" w:cs="Arial"/>
                <w:sz w:val="16"/>
                <w:szCs w:val="16"/>
              </w:rPr>
              <w:t>.</w:t>
            </w:r>
          </w:p>
        </w:tc>
        <w:tc>
          <w:tcPr>
            <w:tcW w:w="1291" w:type="dxa"/>
            <w:shd w:val="clear" w:color="auto" w:fill="BFBFBF" w:themeFill="background1" w:themeFillShade="BF"/>
            <w:vAlign w:val="center"/>
          </w:tcPr>
          <w:p w14:paraId="269C9C61" w14:textId="77777777" w:rsidR="00976A36" w:rsidRPr="006E4FC7" w:rsidRDefault="00976A36" w:rsidP="00976A36">
            <w:pPr>
              <w:jc w:val="center"/>
              <w:rPr>
                <w:rFonts w:ascii="Arial" w:eastAsia="Calibri" w:hAnsi="Arial" w:cs="Arial"/>
                <w:sz w:val="16"/>
                <w:szCs w:val="16"/>
              </w:rPr>
            </w:pPr>
            <w:r w:rsidRPr="006E4FC7">
              <w:rPr>
                <w:rFonts w:ascii="Arial" w:eastAsia="Calibri" w:hAnsi="Arial" w:cs="Arial"/>
                <w:sz w:val="16"/>
                <w:szCs w:val="16"/>
              </w:rPr>
              <w:t>Izvor podataka</w:t>
            </w:r>
          </w:p>
        </w:tc>
        <w:tc>
          <w:tcPr>
            <w:tcW w:w="1134" w:type="dxa"/>
            <w:shd w:val="clear" w:color="auto" w:fill="BFBFBF" w:themeFill="background1" w:themeFillShade="BF"/>
          </w:tcPr>
          <w:p w14:paraId="6127EA36" w14:textId="5FBE6741" w:rsidR="00976A36" w:rsidRPr="00976A36" w:rsidRDefault="00976A36" w:rsidP="00976A36">
            <w:pPr>
              <w:jc w:val="center"/>
              <w:rPr>
                <w:rFonts w:ascii="Arial" w:eastAsia="Calibri" w:hAnsi="Arial" w:cs="Arial"/>
                <w:sz w:val="18"/>
                <w:szCs w:val="18"/>
              </w:rPr>
            </w:pPr>
            <w:r w:rsidRPr="00976A36">
              <w:rPr>
                <w:rFonts w:ascii="Arial" w:hAnsi="Arial" w:cs="Arial"/>
                <w:sz w:val="18"/>
                <w:szCs w:val="18"/>
              </w:rPr>
              <w:t>Ciljana vrijednost 2025.</w:t>
            </w:r>
          </w:p>
        </w:tc>
        <w:tc>
          <w:tcPr>
            <w:tcW w:w="992" w:type="dxa"/>
            <w:shd w:val="clear" w:color="auto" w:fill="BFBFBF" w:themeFill="background1" w:themeFillShade="BF"/>
          </w:tcPr>
          <w:p w14:paraId="53510391" w14:textId="66A85265" w:rsidR="00976A36" w:rsidRPr="00976A36" w:rsidRDefault="00976A36" w:rsidP="00976A36">
            <w:pPr>
              <w:jc w:val="center"/>
              <w:rPr>
                <w:rFonts w:ascii="Arial" w:eastAsia="Calibri" w:hAnsi="Arial" w:cs="Arial"/>
                <w:sz w:val="18"/>
                <w:szCs w:val="18"/>
              </w:rPr>
            </w:pPr>
            <w:r w:rsidRPr="00976A36">
              <w:rPr>
                <w:rFonts w:ascii="Arial" w:hAnsi="Arial" w:cs="Arial"/>
                <w:sz w:val="18"/>
                <w:szCs w:val="18"/>
              </w:rPr>
              <w:t>Izvršeno 2025.</w:t>
            </w:r>
          </w:p>
        </w:tc>
        <w:tc>
          <w:tcPr>
            <w:tcW w:w="993" w:type="dxa"/>
            <w:shd w:val="clear" w:color="auto" w:fill="BFBFBF" w:themeFill="background1" w:themeFillShade="BF"/>
          </w:tcPr>
          <w:p w14:paraId="6602A55E" w14:textId="29A252DB" w:rsidR="00976A36" w:rsidRPr="00976A36" w:rsidRDefault="00976A36" w:rsidP="00976A36">
            <w:pPr>
              <w:jc w:val="center"/>
              <w:rPr>
                <w:rFonts w:ascii="Arial" w:eastAsia="Calibri" w:hAnsi="Arial" w:cs="Arial"/>
                <w:sz w:val="18"/>
                <w:szCs w:val="18"/>
              </w:rPr>
            </w:pPr>
            <w:r w:rsidRPr="00976A36">
              <w:rPr>
                <w:rFonts w:ascii="Arial" w:hAnsi="Arial" w:cs="Arial"/>
                <w:sz w:val="18"/>
                <w:szCs w:val="18"/>
              </w:rPr>
              <w:t>Ciljana vrijednost 2026.</w:t>
            </w:r>
          </w:p>
        </w:tc>
        <w:tc>
          <w:tcPr>
            <w:tcW w:w="992" w:type="dxa"/>
            <w:shd w:val="clear" w:color="auto" w:fill="BFBFBF" w:themeFill="background1" w:themeFillShade="BF"/>
          </w:tcPr>
          <w:p w14:paraId="0E8F033C" w14:textId="724ED28F" w:rsidR="00976A36" w:rsidRPr="00976A36" w:rsidRDefault="00976A36" w:rsidP="00976A36">
            <w:pPr>
              <w:jc w:val="center"/>
              <w:rPr>
                <w:rFonts w:ascii="Arial" w:eastAsia="Calibri" w:hAnsi="Arial" w:cs="Arial"/>
                <w:sz w:val="18"/>
                <w:szCs w:val="18"/>
              </w:rPr>
            </w:pPr>
            <w:r w:rsidRPr="00976A36">
              <w:rPr>
                <w:rFonts w:ascii="Arial" w:hAnsi="Arial" w:cs="Arial"/>
                <w:sz w:val="18"/>
                <w:szCs w:val="18"/>
              </w:rPr>
              <w:t>Ciljana vrijednost 2027.</w:t>
            </w:r>
          </w:p>
        </w:tc>
      </w:tr>
      <w:tr w:rsidR="00976A36" w:rsidRPr="006E4FC7" w14:paraId="4C3998C7" w14:textId="77777777" w:rsidTr="0025506A">
        <w:trPr>
          <w:trHeight w:val="552"/>
          <w:jc w:val="center"/>
        </w:trPr>
        <w:tc>
          <w:tcPr>
            <w:tcW w:w="2689" w:type="dxa"/>
            <w:vAlign w:val="center"/>
          </w:tcPr>
          <w:p w14:paraId="6994048D" w14:textId="7CA73A93" w:rsidR="00976A36" w:rsidRPr="006E4FC7" w:rsidRDefault="00976A36" w:rsidP="00976A36">
            <w:pPr>
              <w:rPr>
                <w:rFonts w:ascii="Arial" w:hAnsi="Arial" w:cs="Arial"/>
                <w:sz w:val="16"/>
                <w:szCs w:val="16"/>
                <w:lang w:eastAsia="en-US"/>
              </w:rPr>
            </w:pPr>
            <w:r w:rsidRPr="001D59A2">
              <w:rPr>
                <w:rFonts w:asciiTheme="minorHAnsi" w:hAnsiTheme="minorHAnsi" w:cstheme="minorHAnsi"/>
                <w:sz w:val="18"/>
                <w:szCs w:val="18"/>
                <w:lang w:eastAsia="en-US"/>
              </w:rPr>
              <w:t>Održavanje arheološkog lokaliteta Jagnjilo</w:t>
            </w:r>
          </w:p>
        </w:tc>
        <w:tc>
          <w:tcPr>
            <w:tcW w:w="3266" w:type="dxa"/>
            <w:tcBorders>
              <w:top w:val="single" w:sz="4" w:space="0" w:color="auto"/>
              <w:left w:val="single" w:sz="4" w:space="0" w:color="auto"/>
              <w:bottom w:val="single" w:sz="4" w:space="0" w:color="auto"/>
              <w:right w:val="single" w:sz="4" w:space="0" w:color="auto"/>
            </w:tcBorders>
            <w:vAlign w:val="center"/>
          </w:tcPr>
          <w:p w14:paraId="6E7F7534" w14:textId="4387D255" w:rsidR="00976A36" w:rsidRPr="006E4FC7" w:rsidRDefault="00976A36" w:rsidP="00976A36">
            <w:pPr>
              <w:rPr>
                <w:rFonts w:ascii="Arial" w:hAnsi="Arial" w:cs="Arial"/>
                <w:sz w:val="16"/>
                <w:szCs w:val="16"/>
                <w:lang w:eastAsia="en-US"/>
              </w:rPr>
            </w:pPr>
            <w:r w:rsidRPr="001D59A2">
              <w:rPr>
                <w:rFonts w:asciiTheme="minorHAnsi" w:hAnsiTheme="minorHAnsi" w:cstheme="minorHAnsi"/>
                <w:sz w:val="18"/>
                <w:szCs w:val="18"/>
              </w:rPr>
              <w:t>Postotak izvršenih rashoda od planiranih za održavanje lokaliteta</w:t>
            </w:r>
          </w:p>
        </w:tc>
        <w:tc>
          <w:tcPr>
            <w:tcW w:w="850" w:type="dxa"/>
            <w:vAlign w:val="center"/>
          </w:tcPr>
          <w:p w14:paraId="2AC03FE2" w14:textId="3751FC71" w:rsidR="00976A36" w:rsidRPr="006E4FC7" w:rsidRDefault="00976A36" w:rsidP="00976A36">
            <w:pPr>
              <w:jc w:val="center"/>
              <w:rPr>
                <w:rFonts w:ascii="Arial" w:hAnsi="Arial" w:cs="Arial"/>
                <w:sz w:val="16"/>
                <w:szCs w:val="16"/>
                <w:lang w:eastAsia="en-US"/>
              </w:rPr>
            </w:pPr>
            <w:r w:rsidRPr="001D59A2">
              <w:rPr>
                <w:rFonts w:asciiTheme="minorHAnsi" w:hAnsiTheme="minorHAnsi" w:cstheme="minorHAnsi"/>
                <w:sz w:val="18"/>
                <w:szCs w:val="18"/>
                <w:lang w:eastAsia="en-US"/>
              </w:rPr>
              <w:t>%</w:t>
            </w:r>
          </w:p>
        </w:tc>
        <w:tc>
          <w:tcPr>
            <w:tcW w:w="992" w:type="dxa"/>
            <w:vAlign w:val="center"/>
          </w:tcPr>
          <w:p w14:paraId="2C5F7B79" w14:textId="5A4F69AE" w:rsidR="00976A36" w:rsidRPr="006E4FC7" w:rsidRDefault="00976A36" w:rsidP="00976A36">
            <w:pPr>
              <w:jc w:val="center"/>
              <w:rPr>
                <w:rFonts w:ascii="Arial" w:hAnsi="Arial" w:cs="Arial"/>
                <w:sz w:val="16"/>
                <w:szCs w:val="16"/>
                <w:lang w:eastAsia="en-US"/>
              </w:rPr>
            </w:pPr>
            <w:r w:rsidRPr="001D59A2">
              <w:rPr>
                <w:rFonts w:asciiTheme="minorHAnsi" w:hAnsiTheme="minorHAnsi" w:cstheme="minorHAnsi"/>
                <w:sz w:val="18"/>
                <w:szCs w:val="18"/>
                <w:lang w:eastAsia="en-US"/>
              </w:rPr>
              <w:t xml:space="preserve"> 0</w:t>
            </w:r>
          </w:p>
        </w:tc>
        <w:tc>
          <w:tcPr>
            <w:tcW w:w="1291" w:type="dxa"/>
            <w:vAlign w:val="center"/>
          </w:tcPr>
          <w:p w14:paraId="6610978A" w14:textId="22C8C5A9" w:rsidR="00976A36" w:rsidRPr="006E4FC7" w:rsidRDefault="00976A36" w:rsidP="00976A36">
            <w:pPr>
              <w:jc w:val="center"/>
              <w:rPr>
                <w:rFonts w:ascii="Arial" w:hAnsi="Arial" w:cs="Arial"/>
                <w:sz w:val="16"/>
                <w:szCs w:val="16"/>
                <w:lang w:eastAsia="en-US"/>
              </w:rPr>
            </w:pPr>
            <w:r w:rsidRPr="001D59A2">
              <w:rPr>
                <w:rFonts w:asciiTheme="minorHAnsi" w:hAnsiTheme="minorHAnsi" w:cstheme="minorHAnsi"/>
                <w:sz w:val="18"/>
                <w:szCs w:val="18"/>
                <w:lang w:eastAsia="en-US"/>
              </w:rPr>
              <w:t>Muzeji</w:t>
            </w:r>
          </w:p>
        </w:tc>
        <w:tc>
          <w:tcPr>
            <w:tcW w:w="1134" w:type="dxa"/>
          </w:tcPr>
          <w:p w14:paraId="25926705" w14:textId="2F2960B2" w:rsidR="00976A36" w:rsidRPr="00976A36" w:rsidRDefault="00976A36" w:rsidP="00976A36">
            <w:pPr>
              <w:jc w:val="center"/>
              <w:rPr>
                <w:rFonts w:ascii="Arial" w:hAnsi="Arial" w:cs="Arial"/>
                <w:sz w:val="18"/>
                <w:szCs w:val="18"/>
                <w:lang w:eastAsia="en-US"/>
              </w:rPr>
            </w:pPr>
            <w:r w:rsidRPr="00976A36">
              <w:rPr>
                <w:rFonts w:ascii="Arial" w:hAnsi="Arial" w:cs="Arial"/>
                <w:sz w:val="18"/>
                <w:szCs w:val="18"/>
              </w:rPr>
              <w:t>-</w:t>
            </w:r>
          </w:p>
        </w:tc>
        <w:tc>
          <w:tcPr>
            <w:tcW w:w="992" w:type="dxa"/>
          </w:tcPr>
          <w:p w14:paraId="7C86F524" w14:textId="083825FF" w:rsidR="00976A36" w:rsidRPr="00976A36" w:rsidRDefault="00976A36" w:rsidP="00976A36">
            <w:pPr>
              <w:jc w:val="center"/>
              <w:rPr>
                <w:rFonts w:ascii="Arial" w:hAnsi="Arial" w:cs="Arial"/>
                <w:sz w:val="18"/>
                <w:szCs w:val="18"/>
                <w:lang w:eastAsia="en-US"/>
              </w:rPr>
            </w:pPr>
            <w:r w:rsidRPr="00976A36">
              <w:rPr>
                <w:rFonts w:ascii="Arial" w:hAnsi="Arial" w:cs="Arial"/>
                <w:sz w:val="18"/>
                <w:szCs w:val="18"/>
              </w:rPr>
              <w:t>-</w:t>
            </w:r>
          </w:p>
        </w:tc>
        <w:tc>
          <w:tcPr>
            <w:tcW w:w="993" w:type="dxa"/>
          </w:tcPr>
          <w:p w14:paraId="60776D79" w14:textId="1083B8C0" w:rsidR="00976A36" w:rsidRPr="00976A36" w:rsidRDefault="00976A36" w:rsidP="00976A36">
            <w:pPr>
              <w:jc w:val="center"/>
              <w:rPr>
                <w:rFonts w:ascii="Arial" w:hAnsi="Arial" w:cs="Arial"/>
                <w:sz w:val="18"/>
                <w:szCs w:val="18"/>
                <w:lang w:eastAsia="en-US"/>
              </w:rPr>
            </w:pPr>
            <w:r w:rsidRPr="00976A36">
              <w:rPr>
                <w:rFonts w:ascii="Arial" w:hAnsi="Arial" w:cs="Arial"/>
                <w:sz w:val="18"/>
                <w:szCs w:val="18"/>
              </w:rPr>
              <w:t xml:space="preserve">     100%</w:t>
            </w:r>
          </w:p>
        </w:tc>
        <w:tc>
          <w:tcPr>
            <w:tcW w:w="992" w:type="dxa"/>
          </w:tcPr>
          <w:p w14:paraId="60AF9D7C" w14:textId="1F882DEF" w:rsidR="00976A36" w:rsidRPr="00976A36" w:rsidRDefault="00976A36" w:rsidP="00976A36">
            <w:pPr>
              <w:jc w:val="center"/>
              <w:rPr>
                <w:rFonts w:ascii="Arial" w:hAnsi="Arial" w:cs="Arial"/>
                <w:sz w:val="18"/>
                <w:szCs w:val="18"/>
                <w:lang w:eastAsia="en-US"/>
              </w:rPr>
            </w:pPr>
            <w:r w:rsidRPr="00976A36">
              <w:rPr>
                <w:rFonts w:ascii="Arial" w:hAnsi="Arial" w:cs="Arial"/>
                <w:sz w:val="18"/>
                <w:szCs w:val="18"/>
              </w:rPr>
              <w:t xml:space="preserve">     100%</w:t>
            </w:r>
          </w:p>
        </w:tc>
      </w:tr>
    </w:tbl>
    <w:p w14:paraId="3DFB0271" w14:textId="77777777" w:rsidR="0077277F" w:rsidRPr="006E4FC7" w:rsidRDefault="0077277F" w:rsidP="0077277F">
      <w:pPr>
        <w:spacing w:after="0" w:line="259" w:lineRule="auto"/>
        <w:rPr>
          <w:rFonts w:ascii="Arial" w:eastAsia="Calibri" w:hAnsi="Arial" w:cs="Arial"/>
          <w:sz w:val="16"/>
          <w:szCs w:val="16"/>
        </w:rPr>
      </w:pPr>
    </w:p>
    <w:p w14:paraId="60DC2E45" w14:textId="453B8CEF" w:rsidR="003D7373" w:rsidRPr="00C92189" w:rsidRDefault="006E6E51" w:rsidP="00C720E8">
      <w:pPr>
        <w:autoSpaceDE w:val="0"/>
        <w:autoSpaceDN w:val="0"/>
        <w:adjustRightInd w:val="0"/>
        <w:spacing w:after="0" w:line="240" w:lineRule="auto"/>
        <w:jc w:val="both"/>
        <w:rPr>
          <w:rFonts w:ascii="Arial" w:eastAsia="Calibri" w:hAnsi="Arial" w:cs="Arial"/>
          <w:sz w:val="20"/>
          <w:szCs w:val="20"/>
        </w:rPr>
      </w:pPr>
      <w:r w:rsidRPr="00C92189">
        <w:rPr>
          <w:rFonts w:ascii="Arial" w:eastAsia="Calibri" w:hAnsi="Arial" w:cs="Arial"/>
          <w:b/>
          <w:sz w:val="20"/>
          <w:szCs w:val="20"/>
        </w:rPr>
        <w:lastRenderedPageBreak/>
        <w:t>1</w:t>
      </w:r>
      <w:r w:rsidR="00FD724F" w:rsidRPr="00C92189">
        <w:rPr>
          <w:rFonts w:ascii="Arial" w:eastAsia="Calibri" w:hAnsi="Arial" w:cs="Arial"/>
          <w:b/>
          <w:sz w:val="20"/>
          <w:szCs w:val="20"/>
        </w:rPr>
        <w:t>6</w:t>
      </w:r>
      <w:r w:rsidRPr="00C92189">
        <w:rPr>
          <w:rFonts w:ascii="Arial" w:eastAsia="Calibri" w:hAnsi="Arial" w:cs="Arial"/>
          <w:b/>
          <w:sz w:val="20"/>
          <w:szCs w:val="20"/>
        </w:rPr>
        <w:t xml:space="preserve">. </w:t>
      </w:r>
      <w:r w:rsidR="003D7373" w:rsidRPr="00C92189">
        <w:rPr>
          <w:rFonts w:ascii="Arial" w:eastAsia="Calibri" w:hAnsi="Arial" w:cs="Arial"/>
          <w:b/>
          <w:bCs/>
          <w:sz w:val="20"/>
          <w:szCs w:val="20"/>
        </w:rPr>
        <w:t>T203117: Zaštita i očuvanje arheološke baštine – Sv. Barbara</w:t>
      </w:r>
      <w:r w:rsidR="003D7373" w:rsidRPr="00C92189">
        <w:rPr>
          <w:rFonts w:ascii="Arial" w:eastAsia="Calibri" w:hAnsi="Arial" w:cs="Arial"/>
          <w:sz w:val="20"/>
          <w:szCs w:val="20"/>
        </w:rPr>
        <w:t xml:space="preserve"> - </w:t>
      </w:r>
      <w:r w:rsidR="006E4FC7" w:rsidRPr="00C92189">
        <w:rPr>
          <w:rFonts w:ascii="Arial" w:eastAsia="Calibri" w:hAnsi="Arial" w:cs="Arial"/>
          <w:sz w:val="20"/>
          <w:szCs w:val="20"/>
        </w:rPr>
        <w:t xml:space="preserve">u sklopu navedene aktivnosti </w:t>
      </w:r>
      <w:r w:rsidR="008A06D6">
        <w:rPr>
          <w:rFonts w:ascii="Arial" w:eastAsia="Calibri" w:hAnsi="Arial" w:cs="Arial"/>
          <w:sz w:val="20"/>
          <w:szCs w:val="20"/>
        </w:rPr>
        <w:t xml:space="preserve">nisu </w:t>
      </w:r>
      <w:r w:rsidR="006E4FC7" w:rsidRPr="00C92189">
        <w:rPr>
          <w:rFonts w:ascii="Arial" w:eastAsia="Calibri" w:hAnsi="Arial" w:cs="Arial"/>
          <w:sz w:val="20"/>
          <w:szCs w:val="20"/>
        </w:rPr>
        <w:t xml:space="preserve">planirana proračunska </w:t>
      </w:r>
      <w:r w:rsidR="003D7373" w:rsidRPr="00C92189">
        <w:rPr>
          <w:rFonts w:ascii="Arial" w:eastAsia="Calibri" w:hAnsi="Arial" w:cs="Arial"/>
          <w:sz w:val="20"/>
          <w:szCs w:val="20"/>
        </w:rPr>
        <w:t>sredstava</w:t>
      </w:r>
      <w:r w:rsidR="00C92189" w:rsidRPr="00C92189">
        <w:rPr>
          <w:rFonts w:ascii="Arial" w:eastAsia="Calibri" w:hAnsi="Arial" w:cs="Arial"/>
          <w:sz w:val="20"/>
          <w:szCs w:val="20"/>
        </w:rPr>
        <w:t>.</w:t>
      </w:r>
    </w:p>
    <w:p w14:paraId="2FBE249D" w14:textId="77777777" w:rsidR="00E61250" w:rsidRPr="00C92189" w:rsidRDefault="00E61250" w:rsidP="00C720E8">
      <w:pPr>
        <w:autoSpaceDE w:val="0"/>
        <w:autoSpaceDN w:val="0"/>
        <w:adjustRightInd w:val="0"/>
        <w:spacing w:after="0" w:line="240" w:lineRule="auto"/>
        <w:jc w:val="both"/>
        <w:rPr>
          <w:rFonts w:ascii="Arial" w:eastAsia="Calibri" w:hAnsi="Arial" w:cs="Arial"/>
          <w:sz w:val="20"/>
          <w:szCs w:val="20"/>
        </w:rPr>
      </w:pPr>
    </w:p>
    <w:p w14:paraId="79E7FFDA" w14:textId="77777777" w:rsidR="003D7373" w:rsidRPr="00C92189" w:rsidRDefault="003D7373" w:rsidP="003D7373">
      <w:pPr>
        <w:autoSpaceDE w:val="0"/>
        <w:autoSpaceDN w:val="0"/>
        <w:adjustRightInd w:val="0"/>
        <w:spacing w:after="0" w:line="240" w:lineRule="auto"/>
        <w:jc w:val="both"/>
        <w:rPr>
          <w:rFonts w:ascii="Arial" w:eastAsia="Calibri" w:hAnsi="Arial" w:cs="Arial"/>
          <w:sz w:val="20"/>
          <w:szCs w:val="20"/>
        </w:rPr>
      </w:pPr>
      <w:r w:rsidRPr="00C92189">
        <w:rPr>
          <w:rFonts w:ascii="Arial" w:eastAsia="Calibri" w:hAnsi="Arial" w:cs="Arial"/>
          <w:sz w:val="20"/>
          <w:szCs w:val="20"/>
        </w:rPr>
        <w:t xml:space="preserve">Nekropola stećaka Sv. Barbare uvrštena je na listu UNESCO-a 2015. godine. Plan upravljanja UNESCO-vog lokaliteta predviđa izradu studije u zonama prezentacije i popratnih sadržaja na lokalitetu i oko njega. Nakon arheoloških radova, sanacije crkve i održanja cijele nekropole, ideja je uključiti lokalno stanovništvo u održanje i iskorištavanje same vrijednosti lokaliteta za razvoj sredine u kojoj se lokalitet nalazi. </w:t>
      </w:r>
    </w:p>
    <w:p w14:paraId="544F58E3" w14:textId="12B90CF9" w:rsidR="003D7373" w:rsidRPr="00C92189" w:rsidRDefault="003D7373" w:rsidP="00EA587B">
      <w:pPr>
        <w:autoSpaceDE w:val="0"/>
        <w:autoSpaceDN w:val="0"/>
        <w:adjustRightInd w:val="0"/>
        <w:spacing w:after="0" w:line="240" w:lineRule="auto"/>
        <w:ind w:left="567"/>
        <w:jc w:val="both"/>
        <w:rPr>
          <w:rFonts w:ascii="Arial" w:eastAsia="Calibri" w:hAnsi="Arial" w:cs="Arial"/>
          <w:sz w:val="20"/>
          <w:szCs w:val="20"/>
        </w:rPr>
      </w:pPr>
      <w:r w:rsidRPr="00C92189">
        <w:rPr>
          <w:rFonts w:ascii="Arial" w:eastAsia="Calibri" w:hAnsi="Arial" w:cs="Arial"/>
          <w:sz w:val="20"/>
          <w:szCs w:val="20"/>
        </w:rPr>
        <w:t>Ministarstvo kulture je za ovu namjenu u 2017. odobrilo 100.000</w:t>
      </w:r>
      <w:r w:rsidR="00B445DF" w:rsidRPr="00C92189">
        <w:rPr>
          <w:rFonts w:ascii="Arial" w:eastAsia="Calibri" w:hAnsi="Arial" w:cs="Arial"/>
          <w:sz w:val="20"/>
          <w:szCs w:val="20"/>
        </w:rPr>
        <w:t xml:space="preserve"> kn (13.272,28 €)</w:t>
      </w:r>
      <w:r w:rsidRPr="00C92189">
        <w:rPr>
          <w:rFonts w:ascii="Arial" w:eastAsia="Calibri" w:hAnsi="Arial" w:cs="Arial"/>
          <w:sz w:val="20"/>
          <w:szCs w:val="20"/>
        </w:rPr>
        <w:t xml:space="preserve"> koja su utrošena za 3D snimanje stećaka i lokaliteta. U nastavku projekta iz 2018., Ministarstvo kulture je odobrilo 80.000 kn </w:t>
      </w:r>
      <w:r w:rsidR="00544FA7" w:rsidRPr="00C92189">
        <w:rPr>
          <w:rFonts w:ascii="Arial" w:eastAsia="Calibri" w:hAnsi="Arial" w:cs="Arial"/>
          <w:sz w:val="20"/>
          <w:szCs w:val="20"/>
        </w:rPr>
        <w:t xml:space="preserve">(10.617,82 €) </w:t>
      </w:r>
      <w:r w:rsidRPr="00C92189">
        <w:rPr>
          <w:rFonts w:ascii="Arial" w:eastAsia="Calibri" w:hAnsi="Arial" w:cs="Arial"/>
          <w:sz w:val="20"/>
          <w:szCs w:val="20"/>
        </w:rPr>
        <w:t>za nastavak snimanja (lokalitet  Barbara SD) sukladno zahtjevima konzervatora za izradu 3D fotogrametrije crkvice.</w:t>
      </w:r>
    </w:p>
    <w:p w14:paraId="0311DEB3" w14:textId="16890D8D" w:rsidR="003D7373" w:rsidRPr="00C92189" w:rsidRDefault="003D7373" w:rsidP="003D7373">
      <w:pPr>
        <w:autoSpaceDE w:val="0"/>
        <w:autoSpaceDN w:val="0"/>
        <w:adjustRightInd w:val="0"/>
        <w:spacing w:after="0" w:line="240" w:lineRule="auto"/>
        <w:jc w:val="both"/>
        <w:rPr>
          <w:rFonts w:ascii="Arial" w:eastAsia="Calibri" w:hAnsi="Arial" w:cs="Arial"/>
          <w:sz w:val="20"/>
          <w:szCs w:val="20"/>
        </w:rPr>
      </w:pPr>
      <w:r w:rsidRPr="00C92189">
        <w:rPr>
          <w:rFonts w:ascii="Arial" w:eastAsia="Calibri" w:hAnsi="Arial" w:cs="Arial"/>
          <w:sz w:val="20"/>
          <w:szCs w:val="20"/>
        </w:rPr>
        <w:t xml:space="preserve">Pored navedenog, u okviru (Buffer zona Barbara), </w:t>
      </w:r>
      <w:r w:rsidR="00C22587">
        <w:rPr>
          <w:rFonts w:ascii="Arial" w:eastAsia="Calibri" w:hAnsi="Arial" w:cs="Arial"/>
          <w:sz w:val="20"/>
          <w:szCs w:val="20"/>
        </w:rPr>
        <w:t xml:space="preserve">u budućnosti bi trebalo </w:t>
      </w:r>
      <w:r w:rsidRPr="00C92189">
        <w:rPr>
          <w:rFonts w:ascii="Arial" w:eastAsia="Calibri" w:hAnsi="Arial" w:cs="Arial"/>
          <w:sz w:val="20"/>
          <w:szCs w:val="20"/>
        </w:rPr>
        <w:t>obuhvatiti sve potrebe u okolici lokaliteta za infrastrukturom i stavljanjem moguće zone prihodovanja za lokalno stanovništvo. Nadalje, potrebno je definirati parking, okretište, wc i ostale stvari koje posjetitelji trebaju. Planirano je okupiti zainteresirano stanovništvo za pripremu projektnog zadatka.</w:t>
      </w:r>
    </w:p>
    <w:p w14:paraId="40657E69" w14:textId="77777777" w:rsidR="00E61250" w:rsidRPr="00C92189" w:rsidRDefault="00E61250" w:rsidP="006E6E51">
      <w:pPr>
        <w:autoSpaceDE w:val="0"/>
        <w:autoSpaceDN w:val="0"/>
        <w:adjustRightInd w:val="0"/>
        <w:spacing w:after="0" w:line="240" w:lineRule="auto"/>
        <w:jc w:val="both"/>
        <w:rPr>
          <w:rFonts w:ascii="Arial" w:eastAsia="Calibri" w:hAnsi="Arial" w:cs="Arial"/>
          <w:sz w:val="20"/>
          <w:szCs w:val="20"/>
        </w:rPr>
      </w:pPr>
    </w:p>
    <w:p w14:paraId="6C9E7446" w14:textId="77777777" w:rsidR="00C22587" w:rsidRDefault="006E6E51" w:rsidP="00C92189">
      <w:pPr>
        <w:autoSpaceDE w:val="0"/>
        <w:autoSpaceDN w:val="0"/>
        <w:adjustRightInd w:val="0"/>
        <w:spacing w:after="0" w:line="240" w:lineRule="auto"/>
        <w:jc w:val="both"/>
        <w:rPr>
          <w:rFonts w:ascii="Arial" w:eastAsia="Calibri" w:hAnsi="Arial" w:cs="Arial"/>
          <w:sz w:val="20"/>
          <w:szCs w:val="20"/>
        </w:rPr>
      </w:pPr>
      <w:r w:rsidRPr="00C92189">
        <w:rPr>
          <w:rFonts w:ascii="Arial" w:eastAsia="Calibri" w:hAnsi="Arial" w:cs="Arial"/>
          <w:b/>
          <w:sz w:val="20"/>
          <w:szCs w:val="20"/>
        </w:rPr>
        <w:t>1</w:t>
      </w:r>
      <w:r w:rsidR="00FD724F" w:rsidRPr="00C92189">
        <w:rPr>
          <w:rFonts w:ascii="Arial" w:eastAsia="Calibri" w:hAnsi="Arial" w:cs="Arial"/>
          <w:b/>
          <w:sz w:val="20"/>
          <w:szCs w:val="20"/>
        </w:rPr>
        <w:t>7</w:t>
      </w:r>
      <w:r w:rsidRPr="00C92189">
        <w:rPr>
          <w:rFonts w:ascii="Arial" w:eastAsia="Calibri" w:hAnsi="Arial" w:cs="Arial"/>
          <w:b/>
          <w:sz w:val="20"/>
          <w:szCs w:val="20"/>
        </w:rPr>
        <w:t xml:space="preserve">. T203118: Zaštita i očuvanje arheološke baštine, Rat, Cavtat </w:t>
      </w:r>
      <w:r w:rsidRPr="00C92189">
        <w:rPr>
          <w:rFonts w:ascii="Arial" w:eastAsia="Calibri" w:hAnsi="Arial" w:cs="Arial"/>
          <w:sz w:val="20"/>
          <w:szCs w:val="20"/>
        </w:rPr>
        <w:t xml:space="preserve">- u sklopu navedene aktivnosti </w:t>
      </w:r>
      <w:r w:rsidR="00C22587">
        <w:rPr>
          <w:rFonts w:ascii="Arial" w:eastAsia="Calibri" w:hAnsi="Arial" w:cs="Arial"/>
          <w:sz w:val="20"/>
          <w:szCs w:val="20"/>
        </w:rPr>
        <w:t>ni</w:t>
      </w:r>
      <w:r w:rsidRPr="00C92189">
        <w:rPr>
          <w:rFonts w:ascii="Arial" w:eastAsia="Calibri" w:hAnsi="Arial" w:cs="Arial"/>
          <w:sz w:val="20"/>
          <w:szCs w:val="20"/>
        </w:rPr>
        <w:t>su planirana sredstva</w:t>
      </w:r>
      <w:r w:rsidR="00C22587">
        <w:rPr>
          <w:rFonts w:ascii="Arial" w:eastAsia="Calibri" w:hAnsi="Arial" w:cs="Arial"/>
          <w:sz w:val="20"/>
          <w:szCs w:val="20"/>
        </w:rPr>
        <w:t>.</w:t>
      </w:r>
    </w:p>
    <w:p w14:paraId="166B12CC" w14:textId="77777777" w:rsidR="00FC365E" w:rsidRPr="00FC365E" w:rsidRDefault="00FC365E" w:rsidP="00FC365E">
      <w:pPr>
        <w:autoSpaceDE w:val="0"/>
        <w:autoSpaceDN w:val="0"/>
        <w:adjustRightInd w:val="0"/>
        <w:spacing w:after="0" w:line="240" w:lineRule="auto"/>
        <w:jc w:val="both"/>
        <w:rPr>
          <w:rFonts w:ascii="Arial" w:eastAsia="Calibri" w:hAnsi="Arial" w:cs="Arial"/>
          <w:bCs/>
          <w:sz w:val="20"/>
          <w:szCs w:val="20"/>
          <w:highlight w:val="yellow"/>
        </w:rPr>
      </w:pPr>
      <w:r w:rsidRPr="00FC365E">
        <w:rPr>
          <w:rFonts w:ascii="Arial" w:eastAsia="Calibri" w:hAnsi="Arial" w:cs="Arial"/>
          <w:sz w:val="20"/>
          <w:szCs w:val="20"/>
        </w:rPr>
        <w:t>Ubuduće će se za sva arheološka istraživanja, zaštite i održavanja koristiti aktivnost A203106.</w:t>
      </w:r>
    </w:p>
    <w:p w14:paraId="24BCE996" w14:textId="77777777" w:rsidR="00FC365E" w:rsidRPr="00716E2D" w:rsidRDefault="00FC365E" w:rsidP="00FC365E">
      <w:pPr>
        <w:spacing w:after="0" w:line="240" w:lineRule="auto"/>
        <w:jc w:val="both"/>
        <w:rPr>
          <w:rFonts w:eastAsia="Calibri" w:cstheme="minorHAnsi"/>
          <w:b/>
        </w:rPr>
      </w:pPr>
    </w:p>
    <w:p w14:paraId="5B586B61" w14:textId="740B4297" w:rsidR="00C92189" w:rsidRPr="0077277F" w:rsidRDefault="0077277F" w:rsidP="00C92189">
      <w:pPr>
        <w:autoSpaceDE w:val="0"/>
        <w:autoSpaceDN w:val="0"/>
        <w:adjustRightInd w:val="0"/>
        <w:spacing w:after="0" w:line="240" w:lineRule="auto"/>
        <w:jc w:val="both"/>
        <w:rPr>
          <w:rFonts w:ascii="Arial" w:eastAsia="Calibri" w:hAnsi="Arial" w:cs="Arial"/>
          <w:sz w:val="18"/>
          <w:szCs w:val="18"/>
        </w:rPr>
      </w:pPr>
      <w:r w:rsidRPr="0077277F">
        <w:rPr>
          <w:rFonts w:ascii="Arial" w:eastAsia="Calibri" w:hAnsi="Arial" w:cs="Arial"/>
          <w:sz w:val="18"/>
          <w:szCs w:val="18"/>
        </w:rPr>
        <w:t>U 2024. godini su bili izvršeni rashodi</w:t>
      </w:r>
      <w:r w:rsidR="00C92189" w:rsidRPr="0077277F">
        <w:rPr>
          <w:rFonts w:ascii="Arial" w:eastAsia="Calibri" w:hAnsi="Arial" w:cs="Arial"/>
          <w:sz w:val="18"/>
          <w:szCs w:val="18"/>
        </w:rPr>
        <w:t xml:space="preserve"> u iznosu 6.974,56 € za arheološka istraživanja na lokalitetu Rat, Cavtat, Z-1756 u okviru čega su obavljeni konzervatorsko-restauratorski radovi na arheološkom lokalitetu te izrađena nacrtna dokumentacija i zračne fotografije lokaliteta. Ovo istraživanje je financiralo Ministarstvo kulture i medija u iznosu od 72% od ukupno utrošenog iznosa. </w:t>
      </w:r>
    </w:p>
    <w:p w14:paraId="260EADF5" w14:textId="77777777" w:rsidR="00E61250" w:rsidRPr="00C92189" w:rsidRDefault="00E61250" w:rsidP="00E61250">
      <w:pPr>
        <w:spacing w:after="0" w:line="240" w:lineRule="auto"/>
        <w:jc w:val="both"/>
        <w:rPr>
          <w:rFonts w:ascii="Arial" w:eastAsia="Calibri" w:hAnsi="Arial" w:cs="Arial"/>
          <w:sz w:val="20"/>
          <w:szCs w:val="20"/>
        </w:rPr>
      </w:pPr>
    </w:p>
    <w:p w14:paraId="05E6D3DF" w14:textId="77777777" w:rsidR="00E61250" w:rsidRPr="00C92189" w:rsidRDefault="006E6E51" w:rsidP="00572173">
      <w:pPr>
        <w:spacing w:after="0" w:line="240" w:lineRule="auto"/>
        <w:jc w:val="both"/>
        <w:rPr>
          <w:rFonts w:ascii="Arial" w:eastAsia="Calibri" w:hAnsi="Arial" w:cs="Arial"/>
          <w:sz w:val="20"/>
          <w:szCs w:val="20"/>
        </w:rPr>
      </w:pPr>
      <w:r w:rsidRPr="00C92189">
        <w:rPr>
          <w:rFonts w:ascii="Arial" w:eastAsia="Calibri" w:hAnsi="Arial" w:cs="Arial"/>
          <w:b/>
          <w:sz w:val="20"/>
          <w:szCs w:val="20"/>
        </w:rPr>
        <w:t>1</w:t>
      </w:r>
      <w:r w:rsidR="00FD724F" w:rsidRPr="00C92189">
        <w:rPr>
          <w:rFonts w:ascii="Arial" w:eastAsia="Calibri" w:hAnsi="Arial" w:cs="Arial"/>
          <w:b/>
          <w:sz w:val="20"/>
          <w:szCs w:val="20"/>
        </w:rPr>
        <w:t>8</w:t>
      </w:r>
      <w:r w:rsidRPr="00C92189">
        <w:rPr>
          <w:rFonts w:ascii="Arial" w:eastAsia="Calibri" w:hAnsi="Arial" w:cs="Arial"/>
          <w:b/>
          <w:sz w:val="20"/>
          <w:szCs w:val="20"/>
        </w:rPr>
        <w:t xml:space="preserve">. T203119: </w:t>
      </w:r>
      <w:r w:rsidR="00572173" w:rsidRPr="00C92189">
        <w:rPr>
          <w:rFonts w:ascii="Arial" w:eastAsia="Calibri" w:hAnsi="Arial" w:cs="Arial"/>
          <w:b/>
          <w:sz w:val="20"/>
          <w:szCs w:val="20"/>
        </w:rPr>
        <w:t>Zaštita i očuvanje nepokretnih kulturnih dobara, Pridvorje (arheološka zbirka)</w:t>
      </w:r>
      <w:r w:rsidR="00572173" w:rsidRPr="00C92189">
        <w:rPr>
          <w:rFonts w:ascii="Arial" w:eastAsia="Calibri" w:hAnsi="Arial" w:cs="Arial"/>
          <w:sz w:val="20"/>
          <w:szCs w:val="20"/>
        </w:rPr>
        <w:t xml:space="preserve"> - u sklopu navedene aktivnosti planirana su proračunska sredstva u iznosu </w:t>
      </w:r>
      <w:r w:rsidR="0040020F" w:rsidRPr="00C92189">
        <w:rPr>
          <w:rFonts w:ascii="Arial" w:eastAsia="Calibri" w:hAnsi="Arial" w:cs="Arial"/>
          <w:sz w:val="20"/>
          <w:szCs w:val="20"/>
        </w:rPr>
        <w:t>2.600 €</w:t>
      </w:r>
      <w:r w:rsidR="00572173" w:rsidRPr="00C92189">
        <w:rPr>
          <w:rFonts w:ascii="Arial" w:eastAsia="Calibri" w:hAnsi="Arial" w:cs="Arial"/>
          <w:sz w:val="20"/>
          <w:szCs w:val="20"/>
        </w:rPr>
        <w:t xml:space="preserve">, </w:t>
      </w:r>
      <w:r w:rsidR="0040020F" w:rsidRPr="00C92189">
        <w:rPr>
          <w:rFonts w:ascii="Arial" w:eastAsia="Calibri" w:hAnsi="Arial" w:cs="Arial"/>
          <w:sz w:val="20"/>
          <w:szCs w:val="20"/>
        </w:rPr>
        <w:t xml:space="preserve">a rashodi </w:t>
      </w:r>
      <w:r w:rsidR="00E61250" w:rsidRPr="00C92189">
        <w:rPr>
          <w:rFonts w:ascii="Arial" w:eastAsia="Calibri" w:hAnsi="Arial" w:cs="Arial"/>
          <w:sz w:val="20"/>
          <w:szCs w:val="20"/>
        </w:rPr>
        <w:t>ni</w:t>
      </w:r>
      <w:r w:rsidR="0040020F" w:rsidRPr="00C92189">
        <w:rPr>
          <w:rFonts w:ascii="Arial" w:eastAsia="Calibri" w:hAnsi="Arial" w:cs="Arial"/>
          <w:sz w:val="20"/>
          <w:szCs w:val="20"/>
        </w:rPr>
        <w:t>su izvršeni</w:t>
      </w:r>
      <w:r w:rsidR="00E61250" w:rsidRPr="00C92189">
        <w:rPr>
          <w:rFonts w:ascii="Arial" w:eastAsia="Calibri" w:hAnsi="Arial" w:cs="Arial"/>
          <w:sz w:val="20"/>
          <w:szCs w:val="20"/>
        </w:rPr>
        <w:t>.</w:t>
      </w:r>
    </w:p>
    <w:p w14:paraId="6E1A4AA5" w14:textId="77777777" w:rsidR="00E61250" w:rsidRPr="00C92189" w:rsidRDefault="00E61250" w:rsidP="00572173">
      <w:pPr>
        <w:spacing w:after="0" w:line="240" w:lineRule="auto"/>
        <w:jc w:val="both"/>
        <w:rPr>
          <w:rFonts w:ascii="Arial" w:eastAsia="Calibri" w:hAnsi="Arial" w:cs="Arial"/>
          <w:sz w:val="20"/>
          <w:szCs w:val="20"/>
        </w:rPr>
      </w:pPr>
    </w:p>
    <w:p w14:paraId="2DA686A1" w14:textId="35151EA6" w:rsidR="006E6E51" w:rsidRPr="00C92189" w:rsidRDefault="006E6E51" w:rsidP="006E6E51">
      <w:pPr>
        <w:spacing w:after="0" w:line="240" w:lineRule="auto"/>
        <w:jc w:val="both"/>
        <w:rPr>
          <w:rFonts w:ascii="Arial" w:eastAsia="Calibri" w:hAnsi="Arial" w:cs="Arial"/>
          <w:sz w:val="20"/>
          <w:szCs w:val="20"/>
        </w:rPr>
      </w:pPr>
      <w:r w:rsidRPr="00C92189">
        <w:rPr>
          <w:rFonts w:ascii="Arial" w:eastAsia="Calibri" w:hAnsi="Arial" w:cs="Arial"/>
          <w:sz w:val="20"/>
          <w:szCs w:val="20"/>
          <w:lang w:eastAsia="en-US"/>
        </w:rPr>
        <w:t xml:space="preserve">Zapadni dio klaustra Franjevačkog samostana u Pridvorju je prostor Odjela za arheologiju MGK. U prostoru se formirao arheološki depo, prostor stalnog postava i prostor za povremene izložbe. Muzeji i galerije Konavala su dugi niz godina provodili arheološka istraživanja bez prostora za pohranu nalaza. Nalazi bi po pravilu trebali biti pohranjeni u najbliži arheološki depo (Dubrovnik koji nema dovoljno prostora ni za svoje nalaze). Ministarstvo je podržalo projekt depoa i izložbenog prostora. Svi nalazi nađeni u Konavlima (uključujući Sokol) biti će inventirani i čuvani u Odjelu za arheologiju u Pridvorju. </w:t>
      </w:r>
      <w:r w:rsidRPr="00C92189">
        <w:rPr>
          <w:rFonts w:ascii="Arial" w:eastAsia="Calibri" w:hAnsi="Arial" w:cs="Arial"/>
          <w:sz w:val="20"/>
          <w:szCs w:val="20"/>
        </w:rPr>
        <w:t xml:space="preserve">U samostanu u Pridvorju u 2017. godini intenzivno je krenulo osposobljavanje nove muzejske jedinice kao i stjecanje uvjeta za istu. Prema pravilnicima Ministarstva kulture potrebno je zadovoljiti uvjete koji zahtijevaju ulaganje određenih sredstava. </w:t>
      </w:r>
    </w:p>
    <w:p w14:paraId="08A0E229" w14:textId="77777777" w:rsidR="00EA587B" w:rsidRDefault="00EA587B" w:rsidP="006E6E51">
      <w:pPr>
        <w:spacing w:after="0" w:line="240" w:lineRule="auto"/>
        <w:jc w:val="both"/>
        <w:rPr>
          <w:rFonts w:ascii="Arial" w:eastAsia="Calibri" w:hAnsi="Arial" w:cs="Arial"/>
          <w:sz w:val="20"/>
          <w:szCs w:val="20"/>
        </w:rPr>
      </w:pPr>
    </w:p>
    <w:p w14:paraId="6887A328" w14:textId="4CC3A515" w:rsidR="006E6E51" w:rsidRPr="00EA587B" w:rsidRDefault="006E6E51" w:rsidP="00EA587B">
      <w:pPr>
        <w:spacing w:after="0" w:line="240" w:lineRule="auto"/>
        <w:ind w:left="567"/>
        <w:jc w:val="both"/>
        <w:rPr>
          <w:rFonts w:ascii="Arial" w:eastAsia="Calibri" w:hAnsi="Arial" w:cs="Arial"/>
          <w:sz w:val="18"/>
          <w:szCs w:val="18"/>
        </w:rPr>
      </w:pPr>
      <w:r w:rsidRPr="00EA587B">
        <w:rPr>
          <w:rFonts w:ascii="Arial" w:eastAsia="Calibri" w:hAnsi="Arial" w:cs="Arial"/>
          <w:sz w:val="18"/>
          <w:szCs w:val="18"/>
        </w:rPr>
        <w:t xml:space="preserve">U 2017. Ministarstvo kulture je odobrilo 300.000 </w:t>
      </w:r>
      <w:r w:rsidR="00971239" w:rsidRPr="00EA587B">
        <w:rPr>
          <w:rFonts w:ascii="Arial" w:eastAsia="Calibri" w:hAnsi="Arial" w:cs="Arial"/>
          <w:sz w:val="18"/>
          <w:szCs w:val="18"/>
        </w:rPr>
        <w:t>k</w:t>
      </w:r>
      <w:r w:rsidRPr="00EA587B">
        <w:rPr>
          <w:rFonts w:ascii="Arial" w:eastAsia="Calibri" w:hAnsi="Arial" w:cs="Arial"/>
          <w:sz w:val="18"/>
          <w:szCs w:val="18"/>
        </w:rPr>
        <w:t xml:space="preserve">n </w:t>
      </w:r>
      <w:r w:rsidR="0040020F" w:rsidRPr="00EA587B">
        <w:rPr>
          <w:rFonts w:ascii="Arial" w:eastAsia="Calibri" w:hAnsi="Arial" w:cs="Arial"/>
          <w:sz w:val="18"/>
          <w:szCs w:val="18"/>
        </w:rPr>
        <w:t xml:space="preserve">(39.816,84 €) </w:t>
      </w:r>
      <w:r w:rsidRPr="00EA587B">
        <w:rPr>
          <w:rFonts w:ascii="Arial" w:eastAsia="Calibri" w:hAnsi="Arial" w:cs="Arial"/>
          <w:sz w:val="18"/>
          <w:szCs w:val="18"/>
        </w:rPr>
        <w:t>i ova sredstva su utrošena na građevinske radove i opremanje muzeja koji je otvoren 22.10.2017.</w:t>
      </w:r>
    </w:p>
    <w:p w14:paraId="368B191D" w14:textId="0404C868" w:rsidR="006E6E51" w:rsidRPr="00EA587B" w:rsidRDefault="006E6E51" w:rsidP="00EA587B">
      <w:pPr>
        <w:autoSpaceDE w:val="0"/>
        <w:autoSpaceDN w:val="0"/>
        <w:adjustRightInd w:val="0"/>
        <w:spacing w:after="0" w:line="240" w:lineRule="auto"/>
        <w:ind w:left="567"/>
        <w:jc w:val="both"/>
        <w:rPr>
          <w:rFonts w:ascii="Arial" w:eastAsia="Calibri" w:hAnsi="Arial" w:cs="Arial"/>
          <w:sz w:val="18"/>
          <w:szCs w:val="18"/>
        </w:rPr>
      </w:pPr>
      <w:r w:rsidRPr="00EA587B">
        <w:rPr>
          <w:rFonts w:ascii="Arial" w:eastAsia="Calibri" w:hAnsi="Arial" w:cs="Arial"/>
          <w:sz w:val="18"/>
          <w:szCs w:val="18"/>
        </w:rPr>
        <w:t xml:space="preserve">U 2018. je nastavljeno sa opremanjem muzejskog prostora te su izrađene studije uređenja klaustra i postavljanja epigrafskih ploča, sredstva Ministarstva kulture u iznosu 112.338 </w:t>
      </w:r>
      <w:r w:rsidR="00971239" w:rsidRPr="00EA587B">
        <w:rPr>
          <w:rFonts w:ascii="Arial" w:eastAsia="Calibri" w:hAnsi="Arial" w:cs="Arial"/>
          <w:sz w:val="18"/>
          <w:szCs w:val="18"/>
        </w:rPr>
        <w:t>k</w:t>
      </w:r>
      <w:r w:rsidRPr="00EA587B">
        <w:rPr>
          <w:rFonts w:ascii="Arial" w:eastAsia="Calibri" w:hAnsi="Arial" w:cs="Arial"/>
          <w:sz w:val="18"/>
          <w:szCs w:val="18"/>
        </w:rPr>
        <w:t>n</w:t>
      </w:r>
      <w:r w:rsidR="0040020F" w:rsidRPr="00EA587B">
        <w:rPr>
          <w:rFonts w:ascii="Arial" w:eastAsia="Calibri" w:hAnsi="Arial" w:cs="Arial"/>
          <w:sz w:val="18"/>
          <w:szCs w:val="18"/>
        </w:rPr>
        <w:t xml:space="preserve"> (14.909,81 €)</w:t>
      </w:r>
      <w:r w:rsidRPr="00EA587B">
        <w:rPr>
          <w:rFonts w:ascii="Arial" w:eastAsia="Calibri" w:hAnsi="Arial" w:cs="Arial"/>
          <w:sz w:val="18"/>
          <w:szCs w:val="18"/>
        </w:rPr>
        <w:t>.</w:t>
      </w:r>
    </w:p>
    <w:p w14:paraId="114F3060" w14:textId="1EFFF35A" w:rsidR="006E6E51" w:rsidRPr="00EA587B" w:rsidRDefault="006E6E51" w:rsidP="00EA587B">
      <w:pPr>
        <w:autoSpaceDE w:val="0"/>
        <w:autoSpaceDN w:val="0"/>
        <w:adjustRightInd w:val="0"/>
        <w:spacing w:after="0" w:line="240" w:lineRule="auto"/>
        <w:ind w:left="567"/>
        <w:jc w:val="both"/>
        <w:rPr>
          <w:rFonts w:ascii="Arial" w:eastAsia="Calibri" w:hAnsi="Arial" w:cs="Arial"/>
          <w:sz w:val="18"/>
          <w:szCs w:val="18"/>
        </w:rPr>
      </w:pPr>
      <w:r w:rsidRPr="00EA587B">
        <w:rPr>
          <w:rFonts w:ascii="Arial" w:eastAsia="Calibri" w:hAnsi="Arial" w:cs="Arial"/>
          <w:sz w:val="18"/>
          <w:szCs w:val="18"/>
        </w:rPr>
        <w:t xml:space="preserve">U 2019. godini nastavlja se sa provođenjem idejnog projekta uređenja klaustra i postavljanja epigrafskih ploča kao i radovima saniranja vlage i daljnjeg uređenja muzejskog prostora, Ministarstvo kulture je odobrilo 200.000 </w:t>
      </w:r>
      <w:r w:rsidR="00971239" w:rsidRPr="00EA587B">
        <w:rPr>
          <w:rFonts w:ascii="Arial" w:eastAsia="Calibri" w:hAnsi="Arial" w:cs="Arial"/>
          <w:sz w:val="18"/>
          <w:szCs w:val="18"/>
        </w:rPr>
        <w:t>k</w:t>
      </w:r>
      <w:r w:rsidR="0040020F" w:rsidRPr="00EA587B">
        <w:rPr>
          <w:rFonts w:ascii="Arial" w:eastAsia="Calibri" w:hAnsi="Arial" w:cs="Arial"/>
          <w:sz w:val="18"/>
          <w:szCs w:val="18"/>
        </w:rPr>
        <w:t>n (26.544,56 €)</w:t>
      </w:r>
      <w:r w:rsidRPr="00EA587B">
        <w:rPr>
          <w:rFonts w:ascii="Arial" w:eastAsia="Calibri" w:hAnsi="Arial" w:cs="Arial"/>
          <w:sz w:val="18"/>
          <w:szCs w:val="18"/>
        </w:rPr>
        <w:t>.</w:t>
      </w:r>
    </w:p>
    <w:p w14:paraId="5973DBC9" w14:textId="69A0EAF3" w:rsidR="00EA587B" w:rsidRPr="00EA587B" w:rsidRDefault="00EA587B" w:rsidP="00EA587B">
      <w:pPr>
        <w:spacing w:after="0" w:line="240" w:lineRule="auto"/>
        <w:ind w:left="567"/>
        <w:jc w:val="both"/>
        <w:rPr>
          <w:rFonts w:ascii="Arial" w:eastAsia="Calibri" w:hAnsi="Arial" w:cs="Arial"/>
          <w:sz w:val="18"/>
          <w:szCs w:val="18"/>
        </w:rPr>
      </w:pPr>
      <w:r w:rsidRPr="00EA587B">
        <w:rPr>
          <w:rFonts w:ascii="Arial" w:eastAsia="Calibri" w:hAnsi="Arial" w:cs="Arial"/>
          <w:sz w:val="18"/>
          <w:szCs w:val="18"/>
        </w:rPr>
        <w:t>U 2023. godini bili su izvršeni rashodi u iznosu 1.512,50 €</w:t>
      </w:r>
      <w:r>
        <w:rPr>
          <w:rFonts w:ascii="Arial" w:eastAsia="Calibri" w:hAnsi="Arial" w:cs="Arial"/>
          <w:sz w:val="18"/>
          <w:szCs w:val="18"/>
        </w:rPr>
        <w:t>,</w:t>
      </w:r>
      <w:r w:rsidRPr="00EA587B">
        <w:rPr>
          <w:rFonts w:ascii="Arial" w:eastAsia="Calibri" w:hAnsi="Arial" w:cs="Arial"/>
          <w:sz w:val="18"/>
          <w:szCs w:val="18"/>
        </w:rPr>
        <w:t xml:space="preserve"> a za izradu audio vodiča za Odjel za arheologiju i spomeničku baštinu te zamjenu rasvjetnih reflektora u izložbenom prostoru. </w:t>
      </w:r>
    </w:p>
    <w:p w14:paraId="47D2CC45" w14:textId="37C22FDA" w:rsidR="00D97ADE" w:rsidRPr="00C92189" w:rsidRDefault="00D97ADE" w:rsidP="00D97ADE">
      <w:pPr>
        <w:autoSpaceDE w:val="0"/>
        <w:autoSpaceDN w:val="0"/>
        <w:adjustRightInd w:val="0"/>
        <w:spacing w:after="0" w:line="240" w:lineRule="auto"/>
        <w:jc w:val="both"/>
        <w:rPr>
          <w:rFonts w:ascii="Arial" w:eastAsia="Calibri" w:hAnsi="Arial" w:cs="Arial"/>
          <w:sz w:val="20"/>
          <w:szCs w:val="20"/>
          <w:highlight w:val="yellow"/>
        </w:rPr>
      </w:pPr>
    </w:p>
    <w:tbl>
      <w:tblPr>
        <w:tblStyle w:val="Reetkatablice5"/>
        <w:tblW w:w="13365" w:type="dxa"/>
        <w:jc w:val="center"/>
        <w:tblLayout w:type="fixed"/>
        <w:tblLook w:val="04A0" w:firstRow="1" w:lastRow="0" w:firstColumn="1" w:lastColumn="0" w:noHBand="0" w:noVBand="1"/>
      </w:tblPr>
      <w:tblGrid>
        <w:gridCol w:w="2972"/>
        <w:gridCol w:w="2997"/>
        <w:gridCol w:w="992"/>
        <w:gridCol w:w="993"/>
        <w:gridCol w:w="993"/>
        <w:gridCol w:w="1016"/>
        <w:gridCol w:w="1134"/>
        <w:gridCol w:w="1134"/>
        <w:gridCol w:w="1134"/>
      </w:tblGrid>
      <w:tr w:rsidR="00C92189" w:rsidRPr="00C92189" w14:paraId="78A221B4" w14:textId="77777777" w:rsidTr="00EA587B">
        <w:trPr>
          <w:jc w:val="center"/>
        </w:trPr>
        <w:tc>
          <w:tcPr>
            <w:tcW w:w="2972" w:type="dxa"/>
            <w:shd w:val="clear" w:color="auto" w:fill="BFBFBF" w:themeFill="background1" w:themeFillShade="BF"/>
            <w:vAlign w:val="center"/>
          </w:tcPr>
          <w:p w14:paraId="321B1431" w14:textId="77777777" w:rsidR="00C92189" w:rsidRPr="00C92189" w:rsidRDefault="00C92189" w:rsidP="00C83EE8">
            <w:pPr>
              <w:jc w:val="center"/>
              <w:rPr>
                <w:rFonts w:ascii="Arial" w:eastAsia="Calibri" w:hAnsi="Arial" w:cs="Arial"/>
                <w:sz w:val="18"/>
                <w:szCs w:val="18"/>
              </w:rPr>
            </w:pPr>
            <w:r w:rsidRPr="00C92189">
              <w:rPr>
                <w:rFonts w:ascii="Arial" w:eastAsia="Calibri" w:hAnsi="Arial" w:cs="Arial"/>
                <w:sz w:val="18"/>
                <w:szCs w:val="18"/>
              </w:rPr>
              <w:t>Pokazatelj uspješnosti</w:t>
            </w:r>
          </w:p>
        </w:tc>
        <w:tc>
          <w:tcPr>
            <w:tcW w:w="2997" w:type="dxa"/>
            <w:shd w:val="clear" w:color="auto" w:fill="BFBFBF" w:themeFill="background1" w:themeFillShade="BF"/>
            <w:vAlign w:val="center"/>
          </w:tcPr>
          <w:p w14:paraId="53E25C03" w14:textId="77777777" w:rsidR="00C92189" w:rsidRPr="00C92189" w:rsidRDefault="00C92189" w:rsidP="00C83EE8">
            <w:pPr>
              <w:jc w:val="center"/>
              <w:rPr>
                <w:rFonts w:ascii="Arial" w:eastAsia="Calibri" w:hAnsi="Arial" w:cs="Arial"/>
                <w:sz w:val="18"/>
                <w:szCs w:val="18"/>
              </w:rPr>
            </w:pPr>
            <w:r w:rsidRPr="00C92189">
              <w:rPr>
                <w:rFonts w:ascii="Arial" w:eastAsia="Calibri" w:hAnsi="Arial" w:cs="Arial"/>
                <w:sz w:val="18"/>
                <w:szCs w:val="18"/>
              </w:rPr>
              <w:t>Definicija</w:t>
            </w:r>
          </w:p>
        </w:tc>
        <w:tc>
          <w:tcPr>
            <w:tcW w:w="992" w:type="dxa"/>
            <w:shd w:val="clear" w:color="auto" w:fill="BFBFBF" w:themeFill="background1" w:themeFillShade="BF"/>
            <w:vAlign w:val="center"/>
          </w:tcPr>
          <w:p w14:paraId="2DF0D27B" w14:textId="77777777" w:rsidR="00C92189" w:rsidRPr="00C92189" w:rsidRDefault="00C92189" w:rsidP="00C83EE8">
            <w:pPr>
              <w:jc w:val="center"/>
              <w:rPr>
                <w:rFonts w:ascii="Arial" w:eastAsia="Calibri" w:hAnsi="Arial" w:cs="Arial"/>
                <w:sz w:val="18"/>
                <w:szCs w:val="18"/>
              </w:rPr>
            </w:pPr>
            <w:r w:rsidRPr="00C92189">
              <w:rPr>
                <w:rFonts w:ascii="Arial" w:eastAsia="Calibri" w:hAnsi="Arial" w:cs="Arial"/>
                <w:sz w:val="18"/>
                <w:szCs w:val="18"/>
              </w:rPr>
              <w:t>Jedinica</w:t>
            </w:r>
          </w:p>
        </w:tc>
        <w:tc>
          <w:tcPr>
            <w:tcW w:w="993" w:type="dxa"/>
            <w:shd w:val="clear" w:color="auto" w:fill="BFBFBF" w:themeFill="background1" w:themeFillShade="BF"/>
          </w:tcPr>
          <w:p w14:paraId="0AC78809" w14:textId="4D1BA74B" w:rsidR="00C92189" w:rsidRPr="00C92189" w:rsidRDefault="00C92189" w:rsidP="00C83EE8">
            <w:pPr>
              <w:jc w:val="center"/>
              <w:rPr>
                <w:rFonts w:ascii="Arial" w:eastAsia="Calibri" w:hAnsi="Arial" w:cs="Arial"/>
                <w:sz w:val="18"/>
                <w:szCs w:val="18"/>
              </w:rPr>
            </w:pPr>
            <w:r w:rsidRPr="00C92189">
              <w:rPr>
                <w:rFonts w:ascii="Arial" w:eastAsia="Calibri" w:hAnsi="Arial" w:cs="Arial"/>
                <w:sz w:val="18"/>
                <w:szCs w:val="18"/>
              </w:rPr>
              <w:t>Polazna vrijednost 202</w:t>
            </w:r>
            <w:r w:rsidR="00462D0B">
              <w:rPr>
                <w:rFonts w:ascii="Arial" w:eastAsia="Calibri" w:hAnsi="Arial" w:cs="Arial"/>
                <w:sz w:val="18"/>
                <w:szCs w:val="18"/>
              </w:rPr>
              <w:t>4</w:t>
            </w:r>
            <w:r w:rsidRPr="00C92189">
              <w:rPr>
                <w:rFonts w:ascii="Arial" w:eastAsia="Calibri" w:hAnsi="Arial" w:cs="Arial"/>
                <w:sz w:val="18"/>
                <w:szCs w:val="18"/>
              </w:rPr>
              <w:t>.</w:t>
            </w:r>
          </w:p>
        </w:tc>
        <w:tc>
          <w:tcPr>
            <w:tcW w:w="993" w:type="dxa"/>
            <w:shd w:val="clear" w:color="auto" w:fill="BFBFBF" w:themeFill="background1" w:themeFillShade="BF"/>
            <w:vAlign w:val="center"/>
          </w:tcPr>
          <w:p w14:paraId="23BA8276" w14:textId="77777777" w:rsidR="00C92189" w:rsidRPr="00C92189" w:rsidRDefault="00C92189" w:rsidP="00C83EE8">
            <w:pPr>
              <w:jc w:val="center"/>
              <w:rPr>
                <w:rFonts w:ascii="Arial" w:eastAsia="Calibri" w:hAnsi="Arial" w:cs="Arial"/>
                <w:sz w:val="18"/>
                <w:szCs w:val="18"/>
              </w:rPr>
            </w:pPr>
            <w:r w:rsidRPr="00C92189">
              <w:rPr>
                <w:rFonts w:ascii="Arial" w:eastAsia="Calibri" w:hAnsi="Arial" w:cs="Arial"/>
                <w:sz w:val="18"/>
                <w:szCs w:val="18"/>
              </w:rPr>
              <w:t>Izvor podataka</w:t>
            </w:r>
          </w:p>
        </w:tc>
        <w:tc>
          <w:tcPr>
            <w:tcW w:w="1016" w:type="dxa"/>
            <w:shd w:val="clear" w:color="auto" w:fill="BFBFBF" w:themeFill="background1" w:themeFillShade="BF"/>
            <w:vAlign w:val="center"/>
          </w:tcPr>
          <w:p w14:paraId="452B9D64" w14:textId="164F5FBE" w:rsidR="00C92189" w:rsidRPr="00C92189" w:rsidRDefault="00C92189" w:rsidP="00C83EE8">
            <w:pPr>
              <w:jc w:val="center"/>
              <w:rPr>
                <w:rFonts w:ascii="Arial" w:eastAsia="Calibri" w:hAnsi="Arial" w:cs="Arial"/>
                <w:sz w:val="18"/>
                <w:szCs w:val="18"/>
              </w:rPr>
            </w:pPr>
            <w:r w:rsidRPr="00C92189">
              <w:rPr>
                <w:rFonts w:ascii="Arial" w:eastAsia="Calibri" w:hAnsi="Arial" w:cs="Arial"/>
                <w:sz w:val="18"/>
                <w:szCs w:val="18"/>
              </w:rPr>
              <w:t>Ciljana vrijednost 202</w:t>
            </w:r>
            <w:r w:rsidR="00462D0B">
              <w:rPr>
                <w:rFonts w:ascii="Arial" w:eastAsia="Calibri" w:hAnsi="Arial" w:cs="Arial"/>
                <w:sz w:val="18"/>
                <w:szCs w:val="18"/>
              </w:rPr>
              <w:t>5</w:t>
            </w:r>
            <w:r w:rsidRPr="00C92189">
              <w:rPr>
                <w:rFonts w:ascii="Arial" w:eastAsia="Calibri" w:hAnsi="Arial" w:cs="Arial"/>
                <w:sz w:val="18"/>
                <w:szCs w:val="18"/>
              </w:rPr>
              <w:t>.</w:t>
            </w:r>
          </w:p>
        </w:tc>
        <w:tc>
          <w:tcPr>
            <w:tcW w:w="1134" w:type="dxa"/>
            <w:shd w:val="clear" w:color="auto" w:fill="BFBFBF" w:themeFill="background1" w:themeFillShade="BF"/>
            <w:vAlign w:val="center"/>
          </w:tcPr>
          <w:p w14:paraId="3541EBD5" w14:textId="14BB2B8B" w:rsidR="00C92189" w:rsidRPr="00C92189" w:rsidRDefault="00C92189" w:rsidP="00C83EE8">
            <w:pPr>
              <w:jc w:val="center"/>
              <w:rPr>
                <w:rFonts w:ascii="Arial" w:eastAsia="Calibri" w:hAnsi="Arial" w:cs="Arial"/>
                <w:sz w:val="18"/>
                <w:szCs w:val="18"/>
              </w:rPr>
            </w:pPr>
            <w:r w:rsidRPr="00C92189">
              <w:rPr>
                <w:rFonts w:ascii="Arial" w:eastAsia="Calibri" w:hAnsi="Arial" w:cs="Arial"/>
                <w:sz w:val="18"/>
                <w:szCs w:val="18"/>
              </w:rPr>
              <w:t>Izvršeno 202</w:t>
            </w:r>
            <w:r w:rsidR="00462D0B">
              <w:rPr>
                <w:rFonts w:ascii="Arial" w:eastAsia="Calibri" w:hAnsi="Arial" w:cs="Arial"/>
                <w:sz w:val="18"/>
                <w:szCs w:val="18"/>
              </w:rPr>
              <w:t>5</w:t>
            </w:r>
            <w:r w:rsidRPr="00C92189">
              <w:rPr>
                <w:rFonts w:ascii="Arial" w:eastAsia="Calibri" w:hAnsi="Arial" w:cs="Arial"/>
                <w:sz w:val="18"/>
                <w:szCs w:val="18"/>
              </w:rPr>
              <w:t>.</w:t>
            </w:r>
          </w:p>
        </w:tc>
        <w:tc>
          <w:tcPr>
            <w:tcW w:w="1134" w:type="dxa"/>
            <w:shd w:val="clear" w:color="auto" w:fill="BFBFBF" w:themeFill="background1" w:themeFillShade="BF"/>
            <w:vAlign w:val="center"/>
          </w:tcPr>
          <w:p w14:paraId="3D011070" w14:textId="7EDE04EE" w:rsidR="00C92189" w:rsidRPr="00C92189" w:rsidRDefault="00C92189" w:rsidP="00C83EE8">
            <w:pPr>
              <w:jc w:val="center"/>
              <w:rPr>
                <w:rFonts w:ascii="Arial" w:eastAsia="Calibri" w:hAnsi="Arial" w:cs="Arial"/>
                <w:sz w:val="18"/>
                <w:szCs w:val="18"/>
              </w:rPr>
            </w:pPr>
            <w:r w:rsidRPr="00C92189">
              <w:rPr>
                <w:rFonts w:ascii="Arial" w:eastAsia="Calibri" w:hAnsi="Arial" w:cs="Arial"/>
                <w:sz w:val="18"/>
                <w:szCs w:val="18"/>
              </w:rPr>
              <w:t>Ciljana vrijednost 202</w:t>
            </w:r>
            <w:r w:rsidR="00462D0B">
              <w:rPr>
                <w:rFonts w:ascii="Arial" w:eastAsia="Calibri" w:hAnsi="Arial" w:cs="Arial"/>
                <w:sz w:val="18"/>
                <w:szCs w:val="18"/>
              </w:rPr>
              <w:t>6</w:t>
            </w:r>
            <w:r w:rsidRPr="00C92189">
              <w:rPr>
                <w:rFonts w:ascii="Arial" w:eastAsia="Calibri" w:hAnsi="Arial" w:cs="Arial"/>
                <w:sz w:val="18"/>
                <w:szCs w:val="18"/>
              </w:rPr>
              <w:t>.</w:t>
            </w:r>
          </w:p>
        </w:tc>
        <w:tc>
          <w:tcPr>
            <w:tcW w:w="1134" w:type="dxa"/>
            <w:shd w:val="clear" w:color="auto" w:fill="BFBFBF" w:themeFill="background1" w:themeFillShade="BF"/>
          </w:tcPr>
          <w:p w14:paraId="6CE06C28" w14:textId="36F62A43" w:rsidR="00C92189" w:rsidRPr="00C92189" w:rsidRDefault="00C92189" w:rsidP="00C83EE8">
            <w:pPr>
              <w:jc w:val="center"/>
              <w:rPr>
                <w:rFonts w:ascii="Arial" w:eastAsia="Calibri" w:hAnsi="Arial" w:cs="Arial"/>
                <w:sz w:val="18"/>
                <w:szCs w:val="18"/>
              </w:rPr>
            </w:pPr>
            <w:r w:rsidRPr="00C92189">
              <w:rPr>
                <w:rFonts w:ascii="Arial" w:eastAsia="Calibri" w:hAnsi="Arial" w:cs="Arial"/>
                <w:sz w:val="18"/>
                <w:szCs w:val="18"/>
              </w:rPr>
              <w:t>Ciljana vrijednost 202</w:t>
            </w:r>
            <w:r w:rsidR="00462D0B">
              <w:rPr>
                <w:rFonts w:ascii="Arial" w:eastAsia="Calibri" w:hAnsi="Arial" w:cs="Arial"/>
                <w:sz w:val="18"/>
                <w:szCs w:val="18"/>
              </w:rPr>
              <w:t>7</w:t>
            </w:r>
            <w:r w:rsidRPr="00C92189">
              <w:rPr>
                <w:rFonts w:ascii="Arial" w:eastAsia="Calibri" w:hAnsi="Arial" w:cs="Arial"/>
                <w:sz w:val="18"/>
                <w:szCs w:val="18"/>
              </w:rPr>
              <w:t>.</w:t>
            </w:r>
          </w:p>
        </w:tc>
      </w:tr>
      <w:tr w:rsidR="00C92189" w:rsidRPr="00C92189" w14:paraId="1B667C6C" w14:textId="77777777" w:rsidTr="00EA587B">
        <w:trPr>
          <w:trHeight w:val="509"/>
          <w:jc w:val="center"/>
        </w:trPr>
        <w:tc>
          <w:tcPr>
            <w:tcW w:w="2972" w:type="dxa"/>
            <w:vAlign w:val="center"/>
          </w:tcPr>
          <w:p w14:paraId="7EF3FB3C" w14:textId="77777777" w:rsidR="00C92189" w:rsidRPr="00C92189" w:rsidRDefault="00C92189" w:rsidP="00C83EE8">
            <w:pPr>
              <w:rPr>
                <w:rFonts w:ascii="Arial" w:hAnsi="Arial" w:cs="Arial"/>
                <w:sz w:val="18"/>
                <w:szCs w:val="18"/>
                <w:lang w:eastAsia="en-US"/>
              </w:rPr>
            </w:pPr>
            <w:r w:rsidRPr="00C92189">
              <w:rPr>
                <w:rFonts w:ascii="Arial" w:hAnsi="Arial" w:cs="Arial"/>
                <w:sz w:val="18"/>
                <w:szCs w:val="18"/>
                <w:lang w:eastAsia="en-US"/>
              </w:rPr>
              <w:t>Održavanje arheološke zbirke u Pridvorju</w:t>
            </w:r>
          </w:p>
        </w:tc>
        <w:tc>
          <w:tcPr>
            <w:tcW w:w="2997" w:type="dxa"/>
            <w:tcBorders>
              <w:top w:val="single" w:sz="4" w:space="0" w:color="auto"/>
              <w:left w:val="single" w:sz="4" w:space="0" w:color="auto"/>
              <w:bottom w:val="single" w:sz="4" w:space="0" w:color="auto"/>
              <w:right w:val="single" w:sz="4" w:space="0" w:color="auto"/>
            </w:tcBorders>
            <w:vAlign w:val="center"/>
          </w:tcPr>
          <w:p w14:paraId="70FA2EF2" w14:textId="77777777" w:rsidR="00C92189" w:rsidRPr="00C92189" w:rsidRDefault="00C92189" w:rsidP="00C83EE8">
            <w:pPr>
              <w:rPr>
                <w:rFonts w:ascii="Arial" w:hAnsi="Arial" w:cs="Arial"/>
                <w:sz w:val="18"/>
                <w:szCs w:val="18"/>
                <w:lang w:eastAsia="en-US"/>
              </w:rPr>
            </w:pPr>
            <w:r w:rsidRPr="00C92189">
              <w:rPr>
                <w:rFonts w:ascii="Arial" w:hAnsi="Arial" w:cs="Arial"/>
                <w:sz w:val="18"/>
                <w:szCs w:val="18"/>
              </w:rPr>
              <w:t>Postotak izvršenih rashoda planiranih za održavanje prostora</w:t>
            </w:r>
          </w:p>
        </w:tc>
        <w:tc>
          <w:tcPr>
            <w:tcW w:w="992" w:type="dxa"/>
            <w:vAlign w:val="center"/>
          </w:tcPr>
          <w:p w14:paraId="48E7E762" w14:textId="77777777" w:rsidR="00C92189" w:rsidRPr="00C92189" w:rsidRDefault="00C92189" w:rsidP="00C83EE8">
            <w:pPr>
              <w:jc w:val="center"/>
              <w:rPr>
                <w:rFonts w:ascii="Arial" w:hAnsi="Arial" w:cs="Arial"/>
                <w:sz w:val="18"/>
                <w:szCs w:val="18"/>
                <w:lang w:eastAsia="en-US"/>
              </w:rPr>
            </w:pPr>
            <w:r w:rsidRPr="00C92189">
              <w:rPr>
                <w:rFonts w:ascii="Arial" w:hAnsi="Arial" w:cs="Arial"/>
                <w:sz w:val="18"/>
                <w:szCs w:val="18"/>
                <w:lang w:eastAsia="en-US"/>
              </w:rPr>
              <w:t>%</w:t>
            </w:r>
          </w:p>
        </w:tc>
        <w:tc>
          <w:tcPr>
            <w:tcW w:w="993" w:type="dxa"/>
            <w:vAlign w:val="center"/>
          </w:tcPr>
          <w:p w14:paraId="03A482FB" w14:textId="77777777" w:rsidR="00C92189" w:rsidRPr="00C92189" w:rsidRDefault="00C92189" w:rsidP="00C83EE8">
            <w:pPr>
              <w:jc w:val="center"/>
              <w:rPr>
                <w:rFonts w:ascii="Arial" w:hAnsi="Arial" w:cs="Arial"/>
                <w:sz w:val="18"/>
                <w:szCs w:val="18"/>
              </w:rPr>
            </w:pPr>
            <w:r w:rsidRPr="00C92189">
              <w:rPr>
                <w:rFonts w:ascii="Arial" w:hAnsi="Arial" w:cs="Arial"/>
                <w:sz w:val="18"/>
                <w:szCs w:val="18"/>
                <w:lang w:eastAsia="en-US"/>
              </w:rPr>
              <w:t>58,2%</w:t>
            </w:r>
          </w:p>
        </w:tc>
        <w:tc>
          <w:tcPr>
            <w:tcW w:w="993" w:type="dxa"/>
            <w:vAlign w:val="center"/>
          </w:tcPr>
          <w:p w14:paraId="59418BA2" w14:textId="77777777" w:rsidR="00C92189" w:rsidRPr="00C92189" w:rsidRDefault="00C92189" w:rsidP="00C83EE8">
            <w:pPr>
              <w:jc w:val="center"/>
              <w:rPr>
                <w:rFonts w:ascii="Arial" w:hAnsi="Arial" w:cs="Arial"/>
                <w:sz w:val="18"/>
                <w:szCs w:val="18"/>
                <w:lang w:eastAsia="en-US"/>
              </w:rPr>
            </w:pPr>
            <w:r w:rsidRPr="00C92189">
              <w:rPr>
                <w:rFonts w:ascii="Arial" w:hAnsi="Arial" w:cs="Arial"/>
                <w:sz w:val="18"/>
                <w:szCs w:val="18"/>
                <w:lang w:eastAsia="en-US"/>
              </w:rPr>
              <w:t>Muzeji</w:t>
            </w:r>
          </w:p>
        </w:tc>
        <w:tc>
          <w:tcPr>
            <w:tcW w:w="1016" w:type="dxa"/>
            <w:vAlign w:val="center"/>
          </w:tcPr>
          <w:p w14:paraId="4296A563" w14:textId="77777777" w:rsidR="00C92189" w:rsidRPr="00C92189" w:rsidRDefault="00C92189" w:rsidP="00C83EE8">
            <w:pPr>
              <w:jc w:val="center"/>
              <w:rPr>
                <w:rFonts w:ascii="Arial" w:hAnsi="Arial" w:cs="Arial"/>
                <w:sz w:val="18"/>
                <w:szCs w:val="18"/>
                <w:lang w:eastAsia="en-US"/>
              </w:rPr>
            </w:pPr>
            <w:r w:rsidRPr="00C92189">
              <w:rPr>
                <w:rFonts w:ascii="Arial" w:hAnsi="Arial" w:cs="Arial"/>
                <w:sz w:val="18"/>
                <w:szCs w:val="18"/>
                <w:lang w:eastAsia="en-US"/>
              </w:rPr>
              <w:t>100%</w:t>
            </w:r>
          </w:p>
        </w:tc>
        <w:tc>
          <w:tcPr>
            <w:tcW w:w="1134" w:type="dxa"/>
            <w:vAlign w:val="center"/>
          </w:tcPr>
          <w:p w14:paraId="28539125" w14:textId="77777777" w:rsidR="00C92189" w:rsidRPr="00C92189" w:rsidRDefault="00C92189" w:rsidP="00C83EE8">
            <w:pPr>
              <w:jc w:val="center"/>
              <w:rPr>
                <w:rFonts w:ascii="Arial" w:hAnsi="Arial" w:cs="Arial"/>
                <w:sz w:val="18"/>
                <w:szCs w:val="18"/>
                <w:lang w:eastAsia="en-US"/>
              </w:rPr>
            </w:pPr>
            <w:r w:rsidRPr="00C92189">
              <w:rPr>
                <w:rFonts w:ascii="Arial" w:hAnsi="Arial" w:cs="Arial"/>
                <w:sz w:val="18"/>
                <w:szCs w:val="18"/>
                <w:lang w:eastAsia="en-US"/>
              </w:rPr>
              <w:t>0%</w:t>
            </w:r>
          </w:p>
        </w:tc>
        <w:tc>
          <w:tcPr>
            <w:tcW w:w="1134" w:type="dxa"/>
            <w:vAlign w:val="center"/>
          </w:tcPr>
          <w:p w14:paraId="28F40B8A" w14:textId="77777777" w:rsidR="00C92189" w:rsidRPr="00C92189" w:rsidRDefault="00C92189" w:rsidP="00C83EE8">
            <w:pPr>
              <w:rPr>
                <w:rFonts w:ascii="Arial" w:hAnsi="Arial" w:cs="Arial"/>
                <w:sz w:val="18"/>
                <w:szCs w:val="18"/>
                <w:lang w:eastAsia="en-US"/>
              </w:rPr>
            </w:pPr>
            <w:r w:rsidRPr="00C92189">
              <w:rPr>
                <w:rFonts w:ascii="Arial" w:hAnsi="Arial" w:cs="Arial"/>
                <w:sz w:val="18"/>
                <w:szCs w:val="18"/>
                <w:lang w:eastAsia="en-US"/>
              </w:rPr>
              <w:t xml:space="preserve">    100%</w:t>
            </w:r>
          </w:p>
        </w:tc>
        <w:tc>
          <w:tcPr>
            <w:tcW w:w="1134" w:type="dxa"/>
          </w:tcPr>
          <w:p w14:paraId="356B7178" w14:textId="77777777" w:rsidR="00C92189" w:rsidRPr="00C92189" w:rsidRDefault="00C92189" w:rsidP="00C83EE8">
            <w:pPr>
              <w:rPr>
                <w:rFonts w:ascii="Arial" w:hAnsi="Arial" w:cs="Arial"/>
                <w:sz w:val="18"/>
                <w:szCs w:val="18"/>
              </w:rPr>
            </w:pPr>
          </w:p>
          <w:p w14:paraId="19BDA4C3" w14:textId="77777777" w:rsidR="00C92189" w:rsidRPr="00C92189" w:rsidRDefault="00C92189" w:rsidP="00C83EE8">
            <w:pPr>
              <w:rPr>
                <w:rFonts w:ascii="Arial" w:hAnsi="Arial" w:cs="Arial"/>
                <w:sz w:val="18"/>
                <w:szCs w:val="18"/>
              </w:rPr>
            </w:pPr>
            <w:r w:rsidRPr="00C92189">
              <w:rPr>
                <w:rFonts w:ascii="Arial" w:hAnsi="Arial" w:cs="Arial"/>
                <w:sz w:val="18"/>
                <w:szCs w:val="18"/>
              </w:rPr>
              <w:t xml:space="preserve">      100%</w:t>
            </w:r>
          </w:p>
        </w:tc>
      </w:tr>
    </w:tbl>
    <w:p w14:paraId="4935A0C4" w14:textId="77777777" w:rsidR="00C92189" w:rsidRPr="00C92189" w:rsidRDefault="00C92189" w:rsidP="00001DF5">
      <w:pPr>
        <w:autoSpaceDE w:val="0"/>
        <w:autoSpaceDN w:val="0"/>
        <w:adjustRightInd w:val="0"/>
        <w:spacing w:after="0" w:line="240" w:lineRule="auto"/>
        <w:jc w:val="both"/>
        <w:rPr>
          <w:rFonts w:ascii="Arial" w:eastAsia="Calibri" w:hAnsi="Arial" w:cs="Arial"/>
          <w:b/>
          <w:sz w:val="20"/>
          <w:szCs w:val="20"/>
        </w:rPr>
      </w:pPr>
    </w:p>
    <w:p w14:paraId="3ABDBB3A" w14:textId="055FD9DD" w:rsidR="00001DF5" w:rsidRPr="00C92189" w:rsidRDefault="00001DF5" w:rsidP="00001DF5">
      <w:pPr>
        <w:autoSpaceDE w:val="0"/>
        <w:autoSpaceDN w:val="0"/>
        <w:adjustRightInd w:val="0"/>
        <w:spacing w:after="0" w:line="240" w:lineRule="auto"/>
        <w:jc w:val="both"/>
        <w:rPr>
          <w:rFonts w:ascii="Arial" w:eastAsia="Calibri" w:hAnsi="Arial" w:cs="Arial"/>
          <w:sz w:val="20"/>
          <w:szCs w:val="20"/>
        </w:rPr>
      </w:pPr>
      <w:r w:rsidRPr="00C92189">
        <w:rPr>
          <w:rFonts w:ascii="Arial" w:eastAsia="Calibri" w:hAnsi="Arial" w:cs="Arial"/>
          <w:b/>
          <w:sz w:val="20"/>
          <w:szCs w:val="20"/>
        </w:rPr>
        <w:t>1</w:t>
      </w:r>
      <w:r w:rsidR="0040020F" w:rsidRPr="00C92189">
        <w:rPr>
          <w:rFonts w:ascii="Arial" w:eastAsia="Calibri" w:hAnsi="Arial" w:cs="Arial"/>
          <w:b/>
          <w:sz w:val="20"/>
          <w:szCs w:val="20"/>
        </w:rPr>
        <w:t>9</w:t>
      </w:r>
      <w:r w:rsidRPr="00C92189">
        <w:rPr>
          <w:rFonts w:ascii="Arial" w:eastAsia="Calibri" w:hAnsi="Arial" w:cs="Arial"/>
          <w:b/>
          <w:sz w:val="20"/>
          <w:szCs w:val="20"/>
        </w:rPr>
        <w:t>. T203120: Zaštita i očuvanje nepokretnih kulturnih dobara, zidni oslici Kuća Bukovac</w:t>
      </w:r>
      <w:r w:rsidRPr="00C92189">
        <w:rPr>
          <w:rFonts w:ascii="Arial" w:eastAsia="Calibri" w:hAnsi="Arial" w:cs="Arial"/>
          <w:sz w:val="20"/>
          <w:szCs w:val="20"/>
        </w:rPr>
        <w:t xml:space="preserve"> - u sklopu navedene aktivnosti nisu planirana sredstava. </w:t>
      </w:r>
    </w:p>
    <w:p w14:paraId="1BC48154" w14:textId="77777777" w:rsidR="00001DF5" w:rsidRPr="00C92189" w:rsidRDefault="00001DF5" w:rsidP="00001DF5">
      <w:pPr>
        <w:autoSpaceDE w:val="0"/>
        <w:autoSpaceDN w:val="0"/>
        <w:adjustRightInd w:val="0"/>
        <w:spacing w:after="0" w:line="240" w:lineRule="auto"/>
        <w:jc w:val="both"/>
        <w:rPr>
          <w:rFonts w:ascii="Arial" w:eastAsia="Calibri" w:hAnsi="Arial" w:cs="Arial"/>
          <w:sz w:val="20"/>
          <w:szCs w:val="20"/>
        </w:rPr>
      </w:pPr>
    </w:p>
    <w:p w14:paraId="5CA24483" w14:textId="722A8F1D" w:rsidR="00001DF5" w:rsidRPr="00C92189" w:rsidRDefault="0040020F" w:rsidP="00001DF5">
      <w:pPr>
        <w:autoSpaceDE w:val="0"/>
        <w:autoSpaceDN w:val="0"/>
        <w:adjustRightInd w:val="0"/>
        <w:spacing w:after="0" w:line="240" w:lineRule="auto"/>
        <w:jc w:val="both"/>
        <w:rPr>
          <w:rFonts w:ascii="Arial" w:eastAsia="Calibri" w:hAnsi="Arial" w:cs="Arial"/>
          <w:sz w:val="20"/>
          <w:szCs w:val="20"/>
        </w:rPr>
      </w:pPr>
      <w:r w:rsidRPr="00C92189">
        <w:rPr>
          <w:rFonts w:ascii="Arial" w:eastAsia="Calibri" w:hAnsi="Arial" w:cs="Arial"/>
          <w:b/>
          <w:bCs/>
          <w:sz w:val="20"/>
          <w:szCs w:val="20"/>
        </w:rPr>
        <w:t>20</w:t>
      </w:r>
      <w:r w:rsidR="00001DF5" w:rsidRPr="00C92189">
        <w:rPr>
          <w:rFonts w:ascii="Arial" w:eastAsia="Calibri" w:hAnsi="Arial" w:cs="Arial"/>
          <w:b/>
          <w:bCs/>
          <w:sz w:val="20"/>
          <w:szCs w:val="20"/>
        </w:rPr>
        <w:t>.</w:t>
      </w:r>
      <w:r w:rsidR="00001DF5" w:rsidRPr="00C92189">
        <w:rPr>
          <w:rFonts w:ascii="Arial" w:eastAsia="Calibri" w:hAnsi="Arial" w:cs="Arial"/>
          <w:sz w:val="20"/>
          <w:szCs w:val="20"/>
        </w:rPr>
        <w:t xml:space="preserve"> </w:t>
      </w:r>
      <w:r w:rsidR="00001DF5" w:rsidRPr="00C92189">
        <w:rPr>
          <w:rFonts w:ascii="Arial" w:eastAsia="Calibri" w:hAnsi="Arial" w:cs="Arial"/>
          <w:b/>
          <w:bCs/>
          <w:sz w:val="20"/>
          <w:szCs w:val="20"/>
        </w:rPr>
        <w:t>T203121: Zaštita i očuvanje arheološke baštine – sv.Petar, Karasovići</w:t>
      </w:r>
      <w:r w:rsidR="00001DF5" w:rsidRPr="00C92189">
        <w:rPr>
          <w:rFonts w:ascii="Arial" w:eastAsia="Calibri" w:hAnsi="Arial" w:cs="Arial"/>
          <w:sz w:val="20"/>
          <w:szCs w:val="20"/>
        </w:rPr>
        <w:t xml:space="preserve"> – u sklopu navedene aktivnosti nisu planirana sredstva.</w:t>
      </w:r>
    </w:p>
    <w:p w14:paraId="582B3CFD" w14:textId="77777777" w:rsidR="00001DF5" w:rsidRPr="00C92189" w:rsidRDefault="00001DF5" w:rsidP="00001DF5">
      <w:pPr>
        <w:spacing w:after="0" w:line="240" w:lineRule="auto"/>
        <w:jc w:val="both"/>
        <w:rPr>
          <w:rFonts w:ascii="Arial" w:eastAsia="Calibri" w:hAnsi="Arial" w:cs="Arial"/>
          <w:b/>
          <w:sz w:val="20"/>
          <w:szCs w:val="20"/>
        </w:rPr>
      </w:pPr>
    </w:p>
    <w:p w14:paraId="5077F688" w14:textId="77777777" w:rsidR="00E61250" w:rsidRPr="00C92189" w:rsidRDefault="00001DF5" w:rsidP="00001DF5">
      <w:pPr>
        <w:spacing w:after="0" w:line="240" w:lineRule="auto"/>
        <w:jc w:val="both"/>
        <w:rPr>
          <w:rFonts w:ascii="Arial" w:eastAsia="Calibri" w:hAnsi="Arial" w:cs="Arial"/>
          <w:bCs/>
          <w:sz w:val="20"/>
          <w:szCs w:val="20"/>
        </w:rPr>
      </w:pPr>
      <w:r w:rsidRPr="00C92189">
        <w:rPr>
          <w:rFonts w:ascii="Arial" w:eastAsia="Calibri" w:hAnsi="Arial" w:cs="Arial"/>
          <w:b/>
          <w:sz w:val="20"/>
          <w:szCs w:val="20"/>
        </w:rPr>
        <w:t>2</w:t>
      </w:r>
      <w:r w:rsidR="0040020F" w:rsidRPr="00C92189">
        <w:rPr>
          <w:rFonts w:ascii="Arial" w:eastAsia="Calibri" w:hAnsi="Arial" w:cs="Arial"/>
          <w:b/>
          <w:sz w:val="20"/>
          <w:szCs w:val="20"/>
        </w:rPr>
        <w:t>1</w:t>
      </w:r>
      <w:r w:rsidRPr="00C92189">
        <w:rPr>
          <w:rFonts w:ascii="Arial" w:eastAsia="Calibri" w:hAnsi="Arial" w:cs="Arial"/>
          <w:b/>
          <w:sz w:val="20"/>
          <w:szCs w:val="20"/>
        </w:rPr>
        <w:t xml:space="preserve">. A203122 – Izložbeni program i programi očuvanja baštine Zavičajni muzej Konavala - </w:t>
      </w:r>
      <w:r w:rsidRPr="00C92189">
        <w:rPr>
          <w:rFonts w:ascii="Arial" w:eastAsia="Calibri" w:hAnsi="Arial" w:cs="Arial"/>
          <w:sz w:val="20"/>
          <w:szCs w:val="20"/>
        </w:rPr>
        <w:t>u sklopu navedene aktivnosti nisu planirana sredstva</w:t>
      </w:r>
      <w:r w:rsidRPr="00C92189">
        <w:rPr>
          <w:rFonts w:ascii="Arial" w:eastAsia="Calibri" w:hAnsi="Arial" w:cs="Arial"/>
          <w:bCs/>
          <w:sz w:val="20"/>
          <w:szCs w:val="20"/>
        </w:rPr>
        <w:t xml:space="preserve">. </w:t>
      </w:r>
    </w:p>
    <w:p w14:paraId="63B4AFF9" w14:textId="77777777" w:rsidR="00EA587B" w:rsidRDefault="00EA587B" w:rsidP="00001DF5">
      <w:pPr>
        <w:spacing w:after="0" w:line="240" w:lineRule="auto"/>
        <w:jc w:val="both"/>
        <w:rPr>
          <w:rFonts w:ascii="Arial" w:eastAsia="Calibri" w:hAnsi="Arial" w:cs="Arial"/>
          <w:bCs/>
          <w:sz w:val="20"/>
          <w:szCs w:val="20"/>
        </w:rPr>
      </w:pPr>
    </w:p>
    <w:p w14:paraId="0DCFA93A" w14:textId="0887FAFF" w:rsidR="00001DF5" w:rsidRPr="00EA587B" w:rsidRDefault="00001DF5" w:rsidP="00EA587B">
      <w:pPr>
        <w:spacing w:after="0" w:line="240" w:lineRule="auto"/>
        <w:ind w:left="567"/>
        <w:jc w:val="both"/>
        <w:rPr>
          <w:rFonts w:ascii="Arial" w:eastAsia="Calibri" w:hAnsi="Arial" w:cs="Arial"/>
          <w:bCs/>
          <w:sz w:val="18"/>
          <w:szCs w:val="18"/>
        </w:rPr>
      </w:pPr>
      <w:r w:rsidRPr="00EA587B">
        <w:rPr>
          <w:rFonts w:ascii="Arial" w:eastAsia="Calibri" w:hAnsi="Arial" w:cs="Arial"/>
          <w:bCs/>
          <w:sz w:val="18"/>
          <w:szCs w:val="18"/>
        </w:rPr>
        <w:t xml:space="preserve">U 2021. godini je </w:t>
      </w:r>
      <w:r w:rsidR="00E61250" w:rsidRPr="00EA587B">
        <w:rPr>
          <w:rFonts w:ascii="Arial" w:eastAsia="Calibri" w:hAnsi="Arial" w:cs="Arial"/>
          <w:bCs/>
          <w:sz w:val="18"/>
          <w:szCs w:val="18"/>
        </w:rPr>
        <w:t xml:space="preserve">bila </w:t>
      </w:r>
      <w:r w:rsidRPr="00EA587B">
        <w:rPr>
          <w:rFonts w:ascii="Arial" w:eastAsia="Calibri" w:hAnsi="Arial" w:cs="Arial"/>
          <w:bCs/>
          <w:sz w:val="18"/>
          <w:szCs w:val="18"/>
        </w:rPr>
        <w:t xml:space="preserve">izrađena </w:t>
      </w:r>
      <w:r w:rsidRPr="00EA587B">
        <w:rPr>
          <w:rFonts w:ascii="Arial" w:eastAsia="Calibri" w:hAnsi="Arial" w:cs="Arial"/>
          <w:sz w:val="18"/>
          <w:szCs w:val="18"/>
        </w:rPr>
        <w:t xml:space="preserve">animacija za program </w:t>
      </w:r>
      <w:r w:rsidRPr="00EA587B">
        <w:rPr>
          <w:rFonts w:ascii="Arial" w:eastAsia="Calibri" w:hAnsi="Arial" w:cs="Arial"/>
          <w:i/>
          <w:iCs/>
          <w:sz w:val="18"/>
          <w:szCs w:val="18"/>
        </w:rPr>
        <w:t>Konavoski vez-on line.</w:t>
      </w:r>
    </w:p>
    <w:p w14:paraId="725B3127" w14:textId="77777777" w:rsidR="00572173" w:rsidRPr="00C92189" w:rsidRDefault="00572173" w:rsidP="00572173">
      <w:pPr>
        <w:spacing w:after="0" w:line="240" w:lineRule="auto"/>
        <w:jc w:val="both"/>
        <w:rPr>
          <w:rFonts w:ascii="Arial" w:eastAsia="Calibri" w:hAnsi="Arial" w:cs="Arial"/>
          <w:b/>
          <w:bCs/>
          <w:sz w:val="20"/>
          <w:szCs w:val="20"/>
        </w:rPr>
      </w:pPr>
    </w:p>
    <w:p w14:paraId="2E01C1F2" w14:textId="7B2C8C6D" w:rsidR="00572173" w:rsidRPr="00C92189" w:rsidRDefault="00572173" w:rsidP="00572173">
      <w:pPr>
        <w:spacing w:after="0" w:line="240" w:lineRule="auto"/>
        <w:jc w:val="both"/>
        <w:rPr>
          <w:rFonts w:ascii="Arial" w:eastAsia="Calibri" w:hAnsi="Arial" w:cs="Arial"/>
          <w:sz w:val="20"/>
          <w:szCs w:val="20"/>
        </w:rPr>
      </w:pPr>
      <w:r w:rsidRPr="00C92189">
        <w:rPr>
          <w:rFonts w:ascii="Arial" w:eastAsia="Calibri" w:hAnsi="Arial" w:cs="Arial"/>
          <w:b/>
          <w:bCs/>
          <w:sz w:val="20"/>
          <w:szCs w:val="20"/>
        </w:rPr>
        <w:t>2</w:t>
      </w:r>
      <w:r w:rsidR="0040020F" w:rsidRPr="00C92189">
        <w:rPr>
          <w:rFonts w:ascii="Arial" w:eastAsia="Calibri" w:hAnsi="Arial" w:cs="Arial"/>
          <w:b/>
          <w:bCs/>
          <w:sz w:val="20"/>
          <w:szCs w:val="20"/>
        </w:rPr>
        <w:t>2</w:t>
      </w:r>
      <w:r w:rsidRPr="00C92189">
        <w:rPr>
          <w:rFonts w:ascii="Arial" w:eastAsia="Calibri" w:hAnsi="Arial" w:cs="Arial"/>
          <w:b/>
          <w:bCs/>
          <w:sz w:val="20"/>
          <w:szCs w:val="20"/>
        </w:rPr>
        <w:t>. A203123: Izložbeni program i programi očuvanja baštine Kuća Bukovac</w:t>
      </w:r>
      <w:r w:rsidRPr="00C92189">
        <w:rPr>
          <w:rFonts w:ascii="Arial" w:eastAsia="Calibri" w:hAnsi="Arial" w:cs="Arial"/>
          <w:sz w:val="20"/>
          <w:szCs w:val="20"/>
        </w:rPr>
        <w:t xml:space="preserve"> - U sklopu navedene aktivnosti nisu planirana proračunska sredstva.</w:t>
      </w:r>
    </w:p>
    <w:p w14:paraId="729BDE73" w14:textId="3D692403" w:rsidR="00001DF5" w:rsidRPr="00C92189" w:rsidRDefault="00001DF5" w:rsidP="00572173">
      <w:pPr>
        <w:spacing w:after="0" w:line="240" w:lineRule="auto"/>
        <w:jc w:val="both"/>
        <w:rPr>
          <w:rFonts w:ascii="Arial" w:eastAsia="Calibri" w:hAnsi="Arial" w:cs="Arial"/>
          <w:b/>
          <w:sz w:val="20"/>
          <w:szCs w:val="20"/>
        </w:rPr>
      </w:pPr>
    </w:p>
    <w:p w14:paraId="388F35DE" w14:textId="5B7A70DA" w:rsidR="00DE6A04" w:rsidRDefault="00001DF5" w:rsidP="00DE6A04">
      <w:pPr>
        <w:spacing w:after="0" w:line="240" w:lineRule="auto"/>
        <w:jc w:val="both"/>
        <w:rPr>
          <w:rFonts w:ascii="Arial" w:eastAsia="Calibri" w:hAnsi="Arial" w:cs="Arial"/>
          <w:sz w:val="20"/>
          <w:szCs w:val="20"/>
        </w:rPr>
      </w:pPr>
      <w:r w:rsidRPr="00C92189">
        <w:rPr>
          <w:rFonts w:ascii="Arial" w:eastAsia="Calibri" w:hAnsi="Arial" w:cs="Arial"/>
          <w:b/>
          <w:sz w:val="20"/>
          <w:szCs w:val="20"/>
        </w:rPr>
        <w:t>2</w:t>
      </w:r>
      <w:r w:rsidR="0040020F" w:rsidRPr="00C92189">
        <w:rPr>
          <w:rFonts w:ascii="Arial" w:eastAsia="Calibri" w:hAnsi="Arial" w:cs="Arial"/>
          <w:b/>
          <w:sz w:val="20"/>
          <w:szCs w:val="20"/>
        </w:rPr>
        <w:t>3</w:t>
      </w:r>
      <w:r w:rsidRPr="00C92189">
        <w:rPr>
          <w:rFonts w:ascii="Arial" w:eastAsia="Calibri" w:hAnsi="Arial" w:cs="Arial"/>
          <w:b/>
          <w:sz w:val="20"/>
          <w:szCs w:val="20"/>
        </w:rPr>
        <w:t xml:space="preserve">. T203124: </w:t>
      </w:r>
      <w:r w:rsidR="00572173" w:rsidRPr="00C92189">
        <w:rPr>
          <w:rFonts w:ascii="Arial" w:eastAsia="Calibri" w:hAnsi="Arial" w:cs="Arial"/>
          <w:b/>
          <w:sz w:val="20"/>
          <w:szCs w:val="20"/>
        </w:rPr>
        <w:t>Adaptacija Zavičajnog muzeja Konavala</w:t>
      </w:r>
      <w:r w:rsidR="00572173" w:rsidRPr="00C92189">
        <w:rPr>
          <w:rFonts w:ascii="Arial" w:eastAsia="Calibri" w:hAnsi="Arial" w:cs="Arial"/>
          <w:sz w:val="20"/>
          <w:szCs w:val="20"/>
        </w:rPr>
        <w:t xml:space="preserve"> – U sklopu navedene aktivnosti planirana su proračunska sredstva u iznosu </w:t>
      </w:r>
      <w:r w:rsidR="008E096E">
        <w:rPr>
          <w:rFonts w:ascii="Arial" w:eastAsia="Calibri" w:hAnsi="Arial" w:cs="Arial"/>
          <w:sz w:val="20"/>
          <w:szCs w:val="20"/>
        </w:rPr>
        <w:t xml:space="preserve">21.300 €. </w:t>
      </w:r>
    </w:p>
    <w:p w14:paraId="5BAC5716" w14:textId="22436E63" w:rsidR="008E096E" w:rsidRPr="00DE6A04" w:rsidRDefault="008E096E" w:rsidP="00DE6A04">
      <w:pPr>
        <w:spacing w:after="0" w:line="240" w:lineRule="auto"/>
        <w:jc w:val="both"/>
        <w:rPr>
          <w:rFonts w:ascii="Arial" w:eastAsia="Calibri" w:hAnsi="Arial" w:cs="Arial"/>
          <w:sz w:val="20"/>
          <w:szCs w:val="20"/>
        </w:rPr>
      </w:pPr>
      <w:r>
        <w:rPr>
          <w:rFonts w:ascii="Arial" w:eastAsia="Calibri" w:hAnsi="Arial" w:cs="Arial"/>
          <w:sz w:val="20"/>
          <w:szCs w:val="20"/>
        </w:rPr>
        <w:t>T</w:t>
      </w:r>
      <w:r w:rsidRPr="008E096E">
        <w:rPr>
          <w:rFonts w:ascii="Arial" w:eastAsia="Calibri" w:hAnsi="Arial" w:cs="Arial"/>
          <w:sz w:val="20"/>
          <w:szCs w:val="20"/>
        </w:rPr>
        <w:t xml:space="preserve">ijekom godine utrošeno </w:t>
      </w:r>
      <w:r>
        <w:rPr>
          <w:rFonts w:ascii="Arial" w:eastAsia="Calibri" w:hAnsi="Arial" w:cs="Arial"/>
          <w:sz w:val="20"/>
          <w:szCs w:val="20"/>
        </w:rPr>
        <w:t xml:space="preserve">je </w:t>
      </w:r>
      <w:r w:rsidRPr="008E096E">
        <w:rPr>
          <w:rFonts w:ascii="Arial" w:eastAsia="Calibri" w:hAnsi="Arial" w:cs="Arial"/>
          <w:sz w:val="20"/>
          <w:szCs w:val="20"/>
        </w:rPr>
        <w:t xml:space="preserve">10.388,00 </w:t>
      </w:r>
      <w:r>
        <w:rPr>
          <w:rFonts w:ascii="Arial" w:eastAsia="Calibri" w:hAnsi="Arial" w:cs="Arial"/>
          <w:sz w:val="20"/>
          <w:szCs w:val="20"/>
        </w:rPr>
        <w:t>€</w:t>
      </w:r>
      <w:r w:rsidRPr="008E096E">
        <w:rPr>
          <w:rFonts w:ascii="Arial" w:eastAsia="Calibri" w:hAnsi="Arial" w:cs="Arial"/>
          <w:sz w:val="20"/>
          <w:szCs w:val="20"/>
        </w:rPr>
        <w:t>. Sredstva su utrošena za zamjenu drvenih ulaznih vrata na Zavičajnom muzeju Konavala, zatim za klesarske radove postavljanja kamenih igala na ulazu u  novi prostor, koji će nakon rekonstrukcije tvoriti funkcionalnu cjelinu s postojećim muzejskim prostorom. Za potrebe rekonstrukcije novog prostora Zavičajnog muzeja Konavala također je izrađena arhitektonska  snimka postojećeg stanja te geodetska situacija.</w:t>
      </w:r>
    </w:p>
    <w:p w14:paraId="7715EA07" w14:textId="77777777" w:rsidR="00EA587B" w:rsidRDefault="00EA587B" w:rsidP="00A44AEB">
      <w:pPr>
        <w:spacing w:after="0" w:line="240" w:lineRule="auto"/>
        <w:jc w:val="both"/>
        <w:rPr>
          <w:rFonts w:ascii="Arial" w:eastAsia="Calibri" w:hAnsi="Arial" w:cs="Arial"/>
          <w:sz w:val="18"/>
          <w:szCs w:val="18"/>
        </w:rPr>
      </w:pPr>
    </w:p>
    <w:p w14:paraId="4A78ABCB" w14:textId="77777777" w:rsidR="00EA587B" w:rsidRPr="00EA587B" w:rsidRDefault="00EA587B" w:rsidP="00EA587B">
      <w:pPr>
        <w:spacing w:after="0" w:line="240" w:lineRule="auto"/>
        <w:ind w:left="567"/>
        <w:jc w:val="both"/>
        <w:rPr>
          <w:rFonts w:ascii="Arial" w:eastAsia="Calibri" w:hAnsi="Arial" w:cs="Arial"/>
          <w:sz w:val="18"/>
          <w:szCs w:val="18"/>
        </w:rPr>
      </w:pPr>
      <w:r w:rsidRPr="00EA587B">
        <w:rPr>
          <w:rFonts w:ascii="Arial" w:eastAsia="Calibri" w:hAnsi="Arial" w:cs="Arial"/>
          <w:sz w:val="18"/>
          <w:szCs w:val="18"/>
        </w:rPr>
        <w:t>Zavičajni muzej Konavala u Čilipima se u 2017. godini maksimalno uskladio sa zahtjevima struke koliko je to bilo u skladu s mogućnostima. U 2019. godini su izrađeni idejni projekti za rekonstrukciju dijela prostora u Zavičajnom muzeju Konavala.</w:t>
      </w:r>
    </w:p>
    <w:p w14:paraId="09C623CA" w14:textId="77777777" w:rsidR="00EA587B" w:rsidRDefault="00EA587B" w:rsidP="00EA587B">
      <w:pPr>
        <w:spacing w:after="0" w:line="240" w:lineRule="auto"/>
        <w:ind w:left="567"/>
        <w:jc w:val="both"/>
        <w:rPr>
          <w:rFonts w:ascii="Arial" w:eastAsia="Calibri" w:hAnsi="Arial" w:cs="Arial"/>
          <w:sz w:val="18"/>
          <w:szCs w:val="18"/>
        </w:rPr>
      </w:pPr>
    </w:p>
    <w:p w14:paraId="040AF55C" w14:textId="1263627D" w:rsidR="00A44AEB" w:rsidRPr="00A44AEB" w:rsidRDefault="00EA587B" w:rsidP="00EA587B">
      <w:pPr>
        <w:spacing w:after="0" w:line="240" w:lineRule="auto"/>
        <w:ind w:left="567"/>
        <w:jc w:val="both"/>
        <w:rPr>
          <w:rFonts w:ascii="Arial" w:eastAsia="Calibri" w:hAnsi="Arial" w:cs="Arial"/>
          <w:sz w:val="18"/>
          <w:szCs w:val="18"/>
        </w:rPr>
      </w:pPr>
      <w:r>
        <w:rPr>
          <w:rFonts w:ascii="Arial" w:eastAsia="Calibri" w:hAnsi="Arial" w:cs="Arial"/>
          <w:sz w:val="18"/>
          <w:szCs w:val="18"/>
        </w:rPr>
        <w:t>U</w:t>
      </w:r>
      <w:r w:rsidR="00E61250" w:rsidRPr="00731E7F">
        <w:rPr>
          <w:rFonts w:ascii="Arial" w:eastAsia="Calibri" w:hAnsi="Arial" w:cs="Arial"/>
          <w:sz w:val="18"/>
          <w:szCs w:val="18"/>
        </w:rPr>
        <w:t xml:space="preserve"> 2023. godi</w:t>
      </w:r>
      <w:r w:rsidR="00A44AEB" w:rsidRPr="00731E7F">
        <w:rPr>
          <w:rFonts w:ascii="Arial" w:eastAsia="Calibri" w:hAnsi="Arial" w:cs="Arial"/>
          <w:sz w:val="18"/>
          <w:szCs w:val="18"/>
        </w:rPr>
        <w:t>n</w:t>
      </w:r>
      <w:r>
        <w:rPr>
          <w:rFonts w:ascii="Arial" w:eastAsia="Calibri" w:hAnsi="Arial" w:cs="Arial"/>
          <w:sz w:val="18"/>
          <w:szCs w:val="18"/>
        </w:rPr>
        <w:t>i</w:t>
      </w:r>
      <w:r w:rsidR="00A44AEB" w:rsidRPr="00731E7F">
        <w:rPr>
          <w:rFonts w:ascii="Arial" w:eastAsia="Calibri" w:hAnsi="Arial" w:cs="Arial"/>
          <w:sz w:val="18"/>
          <w:szCs w:val="18"/>
        </w:rPr>
        <w:t xml:space="preserve"> bili su izvršeni rashodi 11.232,50 € koji su se odnosili na izradu audio vodiča za Zavičajni muzej Konavala u iznose 1.793,75 € i nabavu protuprovalno-vatrodojavnog sustava za </w:t>
      </w:r>
      <w:r w:rsidR="00A44AEB" w:rsidRPr="00A44AEB">
        <w:rPr>
          <w:rFonts w:ascii="Arial" w:eastAsia="Calibri" w:hAnsi="Arial" w:cs="Arial"/>
          <w:sz w:val="18"/>
          <w:szCs w:val="18"/>
        </w:rPr>
        <w:t>Zavičajni muzej Konavala u iznosu 9.438,75 €.</w:t>
      </w:r>
    </w:p>
    <w:p w14:paraId="2E6077E0" w14:textId="77777777" w:rsidR="003D0155" w:rsidRDefault="003D0155" w:rsidP="00A44AEB">
      <w:pPr>
        <w:spacing w:after="0" w:line="240" w:lineRule="auto"/>
        <w:jc w:val="both"/>
        <w:rPr>
          <w:rFonts w:ascii="Arial" w:eastAsia="Calibri" w:hAnsi="Arial" w:cs="Arial"/>
          <w:b/>
          <w:sz w:val="20"/>
          <w:szCs w:val="20"/>
        </w:rPr>
      </w:pPr>
    </w:p>
    <w:p w14:paraId="67DC52C1" w14:textId="40739D25" w:rsidR="00A44AEB" w:rsidRPr="00A44AEB" w:rsidRDefault="00A44AEB" w:rsidP="00A44AEB">
      <w:pPr>
        <w:spacing w:after="0" w:line="240" w:lineRule="auto"/>
        <w:jc w:val="both"/>
        <w:rPr>
          <w:rFonts w:ascii="Arial" w:eastAsia="Calibri" w:hAnsi="Arial" w:cs="Arial"/>
          <w:sz w:val="20"/>
          <w:szCs w:val="20"/>
        </w:rPr>
      </w:pPr>
      <w:r w:rsidRPr="00A44AEB">
        <w:rPr>
          <w:rFonts w:ascii="Arial" w:eastAsia="Calibri" w:hAnsi="Arial" w:cs="Arial"/>
          <w:b/>
          <w:sz w:val="20"/>
          <w:szCs w:val="20"/>
        </w:rPr>
        <w:t>24. T203125 Digitalna platforma sustava rijeke Ljuta</w:t>
      </w:r>
      <w:r w:rsidRPr="00A44AEB">
        <w:rPr>
          <w:rFonts w:ascii="Arial" w:eastAsia="Calibri" w:hAnsi="Arial" w:cs="Arial"/>
          <w:sz w:val="20"/>
          <w:szCs w:val="20"/>
        </w:rPr>
        <w:t xml:space="preserve"> –  </w:t>
      </w:r>
      <w:bookmarkStart w:id="647" w:name="_Hlk64624163"/>
      <w:r w:rsidRPr="00A44AEB">
        <w:rPr>
          <w:rFonts w:ascii="Arial" w:eastAsia="Calibri" w:hAnsi="Arial" w:cs="Arial"/>
          <w:sz w:val="20"/>
          <w:szCs w:val="20"/>
        </w:rPr>
        <w:t xml:space="preserve">U sklopu navedene aktivnosti nisu planirana proračunska sredstva. </w:t>
      </w:r>
    </w:p>
    <w:bookmarkEnd w:id="647"/>
    <w:p w14:paraId="4A01E704" w14:textId="77777777" w:rsidR="008E096E" w:rsidRDefault="008E096E" w:rsidP="00EA587B">
      <w:pPr>
        <w:autoSpaceDE w:val="0"/>
        <w:autoSpaceDN w:val="0"/>
        <w:adjustRightInd w:val="0"/>
        <w:spacing w:after="0" w:line="240" w:lineRule="auto"/>
        <w:ind w:left="567"/>
        <w:jc w:val="both"/>
        <w:rPr>
          <w:rFonts w:ascii="Arial" w:eastAsia="Calibri" w:hAnsi="Arial" w:cs="Arial"/>
          <w:sz w:val="18"/>
          <w:szCs w:val="18"/>
          <w:lang w:eastAsia="en-US"/>
        </w:rPr>
      </w:pPr>
    </w:p>
    <w:p w14:paraId="12B18C52" w14:textId="7E52CFFC" w:rsidR="00A44AEB" w:rsidRPr="00EA587B" w:rsidRDefault="00A44AEB" w:rsidP="00EA587B">
      <w:pPr>
        <w:autoSpaceDE w:val="0"/>
        <w:autoSpaceDN w:val="0"/>
        <w:adjustRightInd w:val="0"/>
        <w:spacing w:after="0" w:line="240" w:lineRule="auto"/>
        <w:ind w:left="567"/>
        <w:jc w:val="both"/>
        <w:rPr>
          <w:rFonts w:ascii="Arial" w:eastAsia="Calibri" w:hAnsi="Arial" w:cs="Arial"/>
          <w:sz w:val="18"/>
          <w:szCs w:val="18"/>
          <w:lang w:eastAsia="en-US"/>
        </w:rPr>
      </w:pPr>
      <w:r w:rsidRPr="00EA587B">
        <w:rPr>
          <w:rFonts w:ascii="Arial" w:eastAsia="Calibri" w:hAnsi="Arial" w:cs="Arial"/>
          <w:sz w:val="18"/>
          <w:szCs w:val="18"/>
          <w:lang w:eastAsia="en-US"/>
        </w:rPr>
        <w:t xml:space="preserve">Ministarstvo kulture je za ovu namjenu u 2017. odobrilo 160.000 kn (21.235,65 €) a dobivena sredstva su utrošena za radove košnje i održavanja kompleksa, a paralelno s tim realizirao se i digitalni vodič kroz prostor mlinica i stupa koji je besplatan posjetiteljima rijeke. </w:t>
      </w:r>
    </w:p>
    <w:p w14:paraId="314D5215" w14:textId="77777777" w:rsidR="008E096E" w:rsidRDefault="008E096E" w:rsidP="008E096E">
      <w:pPr>
        <w:spacing w:after="0" w:line="240" w:lineRule="auto"/>
        <w:ind w:left="567"/>
        <w:jc w:val="both"/>
        <w:rPr>
          <w:rFonts w:ascii="Arial" w:eastAsia="Calibri" w:hAnsi="Arial" w:cs="Arial"/>
          <w:sz w:val="18"/>
          <w:szCs w:val="18"/>
        </w:rPr>
      </w:pPr>
    </w:p>
    <w:p w14:paraId="5A5FCBD2" w14:textId="281B104E" w:rsidR="008E096E" w:rsidRPr="008E096E" w:rsidRDefault="008E096E" w:rsidP="008E096E">
      <w:pPr>
        <w:spacing w:after="0" w:line="240" w:lineRule="auto"/>
        <w:ind w:left="567"/>
        <w:jc w:val="both"/>
        <w:rPr>
          <w:rFonts w:ascii="Arial" w:eastAsia="Calibri" w:hAnsi="Arial" w:cs="Arial"/>
          <w:sz w:val="18"/>
          <w:szCs w:val="18"/>
        </w:rPr>
      </w:pPr>
      <w:r w:rsidRPr="008E096E">
        <w:rPr>
          <w:rFonts w:ascii="Arial" w:eastAsia="Calibri" w:hAnsi="Arial" w:cs="Arial"/>
          <w:sz w:val="18"/>
          <w:szCs w:val="18"/>
        </w:rPr>
        <w:t>Redovito održavanje kanala i jaži u donjem dijelu rijeke Ljute nužno je za očuvanje gospodarskog kompleksa, što je trenutno onemogućeno sve do rješavanja vlasničkih pitanja na lokalitetu i određivanja skrbnika za upravljanje lokalitetom kojeg će se imenovati nakon postizanja dogovora između Općine Konavle i Ministarstva kulture i medija.</w:t>
      </w:r>
    </w:p>
    <w:p w14:paraId="5E1CFBA4" w14:textId="77777777" w:rsidR="00A44AEB" w:rsidRPr="00A44AEB" w:rsidRDefault="00A44AEB" w:rsidP="00A44AEB">
      <w:pPr>
        <w:spacing w:after="0" w:line="240" w:lineRule="auto"/>
        <w:jc w:val="both"/>
        <w:rPr>
          <w:rFonts w:ascii="Arial" w:eastAsia="Calibri" w:hAnsi="Arial" w:cs="Arial"/>
          <w:b/>
          <w:sz w:val="20"/>
          <w:szCs w:val="20"/>
        </w:rPr>
      </w:pPr>
    </w:p>
    <w:p w14:paraId="18EEB0E0" w14:textId="77777777" w:rsidR="00A44AEB" w:rsidRPr="00A44AEB" w:rsidRDefault="00A44AEB" w:rsidP="00A44AEB">
      <w:pPr>
        <w:autoSpaceDE w:val="0"/>
        <w:autoSpaceDN w:val="0"/>
        <w:adjustRightInd w:val="0"/>
        <w:spacing w:after="0" w:line="240" w:lineRule="auto"/>
        <w:jc w:val="both"/>
        <w:rPr>
          <w:rFonts w:ascii="Arial" w:eastAsia="Calibri" w:hAnsi="Arial" w:cs="Arial"/>
          <w:sz w:val="20"/>
          <w:szCs w:val="20"/>
        </w:rPr>
      </w:pPr>
      <w:r w:rsidRPr="00A44AEB">
        <w:rPr>
          <w:rFonts w:ascii="Arial" w:eastAsia="Calibri" w:hAnsi="Arial" w:cs="Arial"/>
          <w:b/>
          <w:sz w:val="20"/>
          <w:szCs w:val="20"/>
        </w:rPr>
        <w:t xml:space="preserve">25. A203126: Međunarodna suradnja </w:t>
      </w:r>
      <w:r w:rsidRPr="00A44AEB">
        <w:rPr>
          <w:rFonts w:ascii="Arial" w:eastAsia="Calibri" w:hAnsi="Arial" w:cs="Arial"/>
          <w:sz w:val="20"/>
          <w:szCs w:val="20"/>
        </w:rPr>
        <w:t xml:space="preserve">- </w:t>
      </w:r>
      <w:bookmarkStart w:id="648" w:name="_Hlk76711484"/>
      <w:r w:rsidRPr="00A44AEB">
        <w:rPr>
          <w:rFonts w:ascii="Arial" w:eastAsia="Calibri" w:hAnsi="Arial" w:cs="Arial"/>
          <w:sz w:val="20"/>
          <w:szCs w:val="20"/>
        </w:rPr>
        <w:t>u sklopu navedene aktivnosti nisu planirana sredstava</w:t>
      </w:r>
      <w:bookmarkEnd w:id="648"/>
      <w:r w:rsidRPr="00A44AEB">
        <w:rPr>
          <w:rFonts w:ascii="Arial" w:eastAsia="Calibri" w:hAnsi="Arial" w:cs="Arial"/>
          <w:sz w:val="20"/>
          <w:szCs w:val="20"/>
        </w:rPr>
        <w:t xml:space="preserve">. </w:t>
      </w:r>
    </w:p>
    <w:p w14:paraId="76944809" w14:textId="77777777" w:rsidR="00A44AEB" w:rsidRPr="00A44AEB" w:rsidRDefault="00A44AEB" w:rsidP="00A44AEB">
      <w:pPr>
        <w:autoSpaceDE w:val="0"/>
        <w:autoSpaceDN w:val="0"/>
        <w:adjustRightInd w:val="0"/>
        <w:spacing w:after="0" w:line="240" w:lineRule="auto"/>
        <w:jc w:val="both"/>
        <w:rPr>
          <w:rFonts w:ascii="Arial" w:eastAsia="Calibri" w:hAnsi="Arial" w:cs="Arial"/>
          <w:sz w:val="20"/>
          <w:szCs w:val="20"/>
          <w:highlight w:val="yellow"/>
        </w:rPr>
      </w:pPr>
    </w:p>
    <w:p w14:paraId="319C690C" w14:textId="77777777" w:rsidR="00A44AEB" w:rsidRPr="00A44AEB" w:rsidRDefault="00A44AEB" w:rsidP="00A44AEB">
      <w:pPr>
        <w:spacing w:after="0" w:line="240" w:lineRule="auto"/>
        <w:jc w:val="both"/>
        <w:rPr>
          <w:rFonts w:ascii="Arial" w:eastAsia="Calibri" w:hAnsi="Arial" w:cs="Arial"/>
          <w:sz w:val="20"/>
          <w:szCs w:val="20"/>
        </w:rPr>
      </w:pPr>
      <w:r w:rsidRPr="00A44AEB">
        <w:rPr>
          <w:rFonts w:ascii="Arial" w:eastAsia="Calibri" w:hAnsi="Arial" w:cs="Arial"/>
          <w:b/>
          <w:sz w:val="20"/>
          <w:szCs w:val="20"/>
        </w:rPr>
        <w:t>26. T203130: ERASMUS+, ProEUverb -</w:t>
      </w:r>
      <w:r w:rsidRPr="00A44AEB">
        <w:rPr>
          <w:rFonts w:ascii="Arial" w:eastAsia="Calibri" w:hAnsi="Arial" w:cs="Arial"/>
          <w:sz w:val="20"/>
          <w:szCs w:val="20"/>
        </w:rPr>
        <w:t xml:space="preserve"> U sklopu navedene aktivnosti nisu planirana proračunska sredstva.</w:t>
      </w:r>
    </w:p>
    <w:p w14:paraId="76678EA0" w14:textId="77777777" w:rsidR="00EA587B" w:rsidRDefault="00EA587B" w:rsidP="00A44AEB">
      <w:pPr>
        <w:spacing w:after="0" w:line="240" w:lineRule="auto"/>
        <w:jc w:val="both"/>
        <w:rPr>
          <w:rFonts w:ascii="Arial" w:eastAsia="Calibri" w:hAnsi="Arial" w:cs="Arial"/>
          <w:sz w:val="20"/>
          <w:szCs w:val="20"/>
        </w:rPr>
      </w:pPr>
    </w:p>
    <w:p w14:paraId="2F56A730" w14:textId="77777777" w:rsidR="0052580E" w:rsidRPr="0052580E" w:rsidRDefault="0052580E" w:rsidP="0052580E">
      <w:pPr>
        <w:spacing w:after="0" w:line="240" w:lineRule="auto"/>
        <w:ind w:left="709"/>
        <w:jc w:val="both"/>
        <w:rPr>
          <w:rFonts w:ascii="Arial" w:eastAsia="Calibri" w:hAnsi="Arial" w:cs="Arial"/>
          <w:sz w:val="18"/>
          <w:szCs w:val="18"/>
        </w:rPr>
      </w:pPr>
      <w:r w:rsidRPr="0052580E">
        <w:rPr>
          <w:rFonts w:ascii="Arial" w:eastAsia="Calibri" w:hAnsi="Arial" w:cs="Arial"/>
          <w:sz w:val="18"/>
          <w:szCs w:val="18"/>
        </w:rPr>
        <w:t>Proverb je prvi projekt financiran sredstvima EU, Erasmus+, K2 pod nazivom  Proverb presentations and reflections similarities and differences accrosa EU countries. Projekt se realizirao tijekom perioda od 01.09.2018. do 29.02.2020. u suradnji sa partnerima iz Finske i Portugala, koordinator projekta je bila naša ustanova Muzeji i galerije Konavala. Cilj projekta je bio prikupljanje poslovica na određene teme u različitim europskim okruženjima (Hrvatska, Portugal, Finska), te propitivanje njihove sličnosti i različitosti te prezentacija zajedničkih doprinosa kroz razvijenu web prezentacijsku platformu, te izložbene i nakladničke aktivnosti.</w:t>
      </w:r>
    </w:p>
    <w:p w14:paraId="03894034" w14:textId="2A58A006" w:rsidR="0052580E" w:rsidRPr="0052580E" w:rsidRDefault="0052580E" w:rsidP="0052580E">
      <w:pPr>
        <w:spacing w:after="0" w:line="240" w:lineRule="auto"/>
        <w:ind w:left="709"/>
        <w:jc w:val="both"/>
        <w:rPr>
          <w:rFonts w:ascii="Arial" w:eastAsia="Calibri" w:hAnsi="Arial" w:cs="Arial"/>
          <w:sz w:val="18"/>
          <w:szCs w:val="18"/>
        </w:rPr>
      </w:pPr>
      <w:r w:rsidRPr="0052580E">
        <w:rPr>
          <w:rFonts w:ascii="Arial" w:eastAsia="Calibri" w:hAnsi="Arial" w:cs="Arial"/>
          <w:sz w:val="18"/>
          <w:szCs w:val="18"/>
        </w:rPr>
        <w:t>Ukupna vrijednost projekta je bila 43.075 EUR-a, u kojemu je ustanova prihodovala 18.445 EUR-a.</w:t>
      </w:r>
    </w:p>
    <w:p w14:paraId="5DEB9164" w14:textId="77777777" w:rsidR="00A44AEB" w:rsidRPr="00A44AEB" w:rsidRDefault="00A44AEB" w:rsidP="00A44AEB">
      <w:pPr>
        <w:spacing w:after="0" w:line="240" w:lineRule="auto"/>
        <w:jc w:val="both"/>
        <w:rPr>
          <w:rFonts w:ascii="Arial" w:eastAsia="Calibri" w:hAnsi="Arial" w:cs="Arial"/>
          <w:sz w:val="20"/>
          <w:szCs w:val="20"/>
        </w:rPr>
      </w:pPr>
    </w:p>
    <w:p w14:paraId="730F72DA" w14:textId="77777777" w:rsidR="00A87CE0" w:rsidRPr="00A87CE0" w:rsidRDefault="00A44AEB" w:rsidP="00A87CE0">
      <w:pPr>
        <w:spacing w:after="0" w:line="240" w:lineRule="auto"/>
        <w:jc w:val="both"/>
        <w:rPr>
          <w:rFonts w:ascii="Arial" w:eastAsia="Calibri" w:hAnsi="Arial" w:cs="Arial"/>
          <w:sz w:val="20"/>
          <w:szCs w:val="20"/>
        </w:rPr>
      </w:pPr>
      <w:r w:rsidRPr="00A44AEB">
        <w:rPr>
          <w:rFonts w:ascii="Arial" w:eastAsia="Calibri" w:hAnsi="Arial" w:cs="Arial"/>
          <w:b/>
          <w:bCs/>
          <w:sz w:val="20"/>
          <w:szCs w:val="20"/>
        </w:rPr>
        <w:t xml:space="preserve">27. A203131: </w:t>
      </w:r>
      <w:bookmarkStart w:id="649" w:name="_Hlk76711655"/>
      <w:r w:rsidRPr="00A44AEB">
        <w:rPr>
          <w:rFonts w:ascii="Arial" w:eastAsia="Calibri" w:hAnsi="Arial" w:cs="Arial"/>
          <w:b/>
          <w:bCs/>
          <w:sz w:val="20"/>
          <w:szCs w:val="20"/>
        </w:rPr>
        <w:t>Razvijanje edukativnih programa</w:t>
      </w:r>
      <w:r w:rsidRPr="00A44AEB">
        <w:rPr>
          <w:rFonts w:ascii="Arial" w:eastAsia="Calibri" w:hAnsi="Arial" w:cs="Arial"/>
          <w:sz w:val="20"/>
          <w:szCs w:val="20"/>
        </w:rPr>
        <w:t xml:space="preserve"> </w:t>
      </w:r>
      <w:r w:rsidRPr="00A44AEB">
        <w:rPr>
          <w:rFonts w:ascii="Arial" w:eastAsia="Calibri" w:hAnsi="Arial" w:cs="Arial"/>
          <w:b/>
          <w:sz w:val="20"/>
          <w:szCs w:val="20"/>
        </w:rPr>
        <w:t xml:space="preserve">- </w:t>
      </w:r>
      <w:r w:rsidRPr="00A44AEB">
        <w:rPr>
          <w:rFonts w:ascii="Arial" w:eastAsia="Times New Roman" w:hAnsi="Arial" w:cs="Arial"/>
          <w:sz w:val="20"/>
          <w:szCs w:val="20"/>
        </w:rPr>
        <w:t xml:space="preserve"> U sklopu navedene aktivnosti </w:t>
      </w:r>
      <w:r w:rsidRPr="00A44AEB">
        <w:rPr>
          <w:rFonts w:ascii="Arial" w:eastAsia="Calibri" w:hAnsi="Arial" w:cs="Arial"/>
          <w:sz w:val="20"/>
          <w:szCs w:val="20"/>
        </w:rPr>
        <w:t>su planirana proračunska sredstva u iznosu 2.</w:t>
      </w:r>
      <w:r w:rsidR="00A87CE0">
        <w:rPr>
          <w:rFonts w:ascii="Arial" w:eastAsia="Calibri" w:hAnsi="Arial" w:cs="Arial"/>
          <w:sz w:val="20"/>
          <w:szCs w:val="20"/>
        </w:rPr>
        <w:t>7</w:t>
      </w:r>
      <w:r w:rsidRPr="00A44AEB">
        <w:rPr>
          <w:rFonts w:ascii="Arial" w:eastAsia="Calibri" w:hAnsi="Arial" w:cs="Arial"/>
          <w:sz w:val="20"/>
          <w:szCs w:val="20"/>
        </w:rPr>
        <w:t xml:space="preserve">00 €, a izvršeni su rashodi u iznosu </w:t>
      </w:r>
      <w:r w:rsidR="00A87CE0">
        <w:rPr>
          <w:rFonts w:ascii="Arial" w:eastAsia="Calibri" w:hAnsi="Arial" w:cs="Arial"/>
          <w:sz w:val="20"/>
          <w:szCs w:val="20"/>
        </w:rPr>
        <w:t xml:space="preserve">1.567,84 </w:t>
      </w:r>
      <w:r w:rsidRPr="00A44AEB">
        <w:rPr>
          <w:rFonts w:ascii="Arial" w:eastAsia="Calibri" w:hAnsi="Arial" w:cs="Arial"/>
          <w:sz w:val="20"/>
          <w:szCs w:val="20"/>
        </w:rPr>
        <w:t xml:space="preserve">€ odnosno </w:t>
      </w:r>
      <w:r w:rsidR="00A87CE0">
        <w:rPr>
          <w:rFonts w:ascii="Arial" w:eastAsia="Calibri" w:hAnsi="Arial" w:cs="Arial"/>
          <w:sz w:val="20"/>
          <w:szCs w:val="20"/>
        </w:rPr>
        <w:t>58,1</w:t>
      </w:r>
      <w:r w:rsidRPr="00A44AEB">
        <w:rPr>
          <w:rFonts w:ascii="Arial" w:eastAsia="Calibri" w:hAnsi="Arial" w:cs="Arial"/>
          <w:sz w:val="20"/>
          <w:szCs w:val="20"/>
        </w:rPr>
        <w:t xml:space="preserve">% planiranog </w:t>
      </w:r>
      <w:r w:rsidR="00A87CE0" w:rsidRPr="00A87CE0">
        <w:rPr>
          <w:rFonts w:ascii="Arial" w:eastAsia="Calibri" w:hAnsi="Arial" w:cs="Arial"/>
          <w:sz w:val="20"/>
          <w:szCs w:val="20"/>
        </w:rPr>
        <w:t>za autorske honorare voditeljica stalnih radionica veza u Zavičajnom muzeju Konavala i kupnju materijala za održavanje radionica za djecu u svim muzejskim jedinicama.</w:t>
      </w:r>
    </w:p>
    <w:p w14:paraId="5EA8AC75" w14:textId="32B60A62" w:rsidR="00142AAC" w:rsidRDefault="00A87CE0" w:rsidP="00A87CE0">
      <w:pPr>
        <w:spacing w:after="0" w:line="240" w:lineRule="auto"/>
        <w:jc w:val="both"/>
        <w:rPr>
          <w:rFonts w:ascii="Arial" w:eastAsia="Calibri" w:hAnsi="Arial" w:cs="Arial"/>
          <w:sz w:val="20"/>
          <w:szCs w:val="20"/>
        </w:rPr>
      </w:pPr>
      <w:r w:rsidRPr="00A87CE0">
        <w:rPr>
          <w:rFonts w:ascii="Arial" w:eastAsia="Calibri" w:hAnsi="Arial" w:cs="Arial"/>
          <w:sz w:val="20"/>
          <w:szCs w:val="20"/>
        </w:rPr>
        <w:lastRenderedPageBreak/>
        <w:t>Edukativni programi su jedna od važnih djelatnosti ustanove te se kontinuirano radi na osmišljavanju  novih programima za sve životne dobi. Najviše programa se realizira za uzraste školske i predškolske dobi.</w:t>
      </w:r>
    </w:p>
    <w:p w14:paraId="3000BF2F" w14:textId="77777777" w:rsidR="00A87CE0" w:rsidRPr="00142AAC" w:rsidRDefault="00A87CE0" w:rsidP="00A87CE0">
      <w:pPr>
        <w:spacing w:after="0" w:line="240" w:lineRule="auto"/>
        <w:jc w:val="both"/>
        <w:rPr>
          <w:rFonts w:ascii="Arial" w:eastAsia="Calibri" w:hAnsi="Arial" w:cs="Arial"/>
          <w:sz w:val="20"/>
          <w:szCs w:val="20"/>
        </w:rPr>
      </w:pPr>
    </w:p>
    <w:tbl>
      <w:tblPr>
        <w:tblStyle w:val="Reetkatablice5"/>
        <w:tblW w:w="12024" w:type="dxa"/>
        <w:jc w:val="center"/>
        <w:tblLayout w:type="fixed"/>
        <w:tblLook w:val="04A0" w:firstRow="1" w:lastRow="0" w:firstColumn="1" w:lastColumn="0" w:noHBand="0" w:noVBand="1"/>
      </w:tblPr>
      <w:tblGrid>
        <w:gridCol w:w="2122"/>
        <w:gridCol w:w="2541"/>
        <w:gridCol w:w="992"/>
        <w:gridCol w:w="1266"/>
        <w:gridCol w:w="992"/>
        <w:gridCol w:w="992"/>
        <w:gridCol w:w="1155"/>
        <w:gridCol w:w="992"/>
        <w:gridCol w:w="972"/>
      </w:tblGrid>
      <w:tr w:rsidR="00A44AEB" w:rsidRPr="00A44AEB" w14:paraId="77EC352E" w14:textId="77777777" w:rsidTr="00142AAC">
        <w:trPr>
          <w:jc w:val="center"/>
        </w:trPr>
        <w:tc>
          <w:tcPr>
            <w:tcW w:w="2122" w:type="dxa"/>
            <w:shd w:val="clear" w:color="auto" w:fill="BFBFBF" w:themeFill="background1" w:themeFillShade="BF"/>
            <w:vAlign w:val="center"/>
          </w:tcPr>
          <w:p w14:paraId="0BD0BE3F" w14:textId="77777777"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Pokazatelj uspješnosti</w:t>
            </w:r>
          </w:p>
        </w:tc>
        <w:tc>
          <w:tcPr>
            <w:tcW w:w="2541" w:type="dxa"/>
            <w:shd w:val="clear" w:color="auto" w:fill="BFBFBF" w:themeFill="background1" w:themeFillShade="BF"/>
            <w:vAlign w:val="center"/>
          </w:tcPr>
          <w:p w14:paraId="621F37C6" w14:textId="77777777"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Definicija</w:t>
            </w:r>
          </w:p>
        </w:tc>
        <w:tc>
          <w:tcPr>
            <w:tcW w:w="992" w:type="dxa"/>
            <w:shd w:val="clear" w:color="auto" w:fill="BFBFBF" w:themeFill="background1" w:themeFillShade="BF"/>
            <w:vAlign w:val="center"/>
          </w:tcPr>
          <w:p w14:paraId="62AB8C4E" w14:textId="77777777"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Jedinica</w:t>
            </w:r>
          </w:p>
        </w:tc>
        <w:tc>
          <w:tcPr>
            <w:tcW w:w="1266" w:type="dxa"/>
            <w:shd w:val="clear" w:color="auto" w:fill="BFBFBF" w:themeFill="background1" w:themeFillShade="BF"/>
            <w:vAlign w:val="center"/>
          </w:tcPr>
          <w:p w14:paraId="6A328352" w14:textId="77777777"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Polazna vrijednost</w:t>
            </w:r>
          </w:p>
          <w:p w14:paraId="2EE4CBB7" w14:textId="2573C3A2"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202</w:t>
            </w:r>
            <w:r w:rsidR="00142AAC">
              <w:rPr>
                <w:rFonts w:ascii="Arial" w:eastAsia="Calibri" w:hAnsi="Arial" w:cs="Arial"/>
                <w:sz w:val="16"/>
                <w:szCs w:val="16"/>
              </w:rPr>
              <w:t>4</w:t>
            </w:r>
            <w:r w:rsidRPr="00A44AEB">
              <w:rPr>
                <w:rFonts w:ascii="Arial" w:eastAsia="Calibri" w:hAnsi="Arial" w:cs="Arial"/>
                <w:sz w:val="16"/>
                <w:szCs w:val="16"/>
              </w:rPr>
              <w:t>.</w:t>
            </w:r>
          </w:p>
        </w:tc>
        <w:tc>
          <w:tcPr>
            <w:tcW w:w="992" w:type="dxa"/>
            <w:shd w:val="clear" w:color="auto" w:fill="BFBFBF" w:themeFill="background1" w:themeFillShade="BF"/>
            <w:vAlign w:val="center"/>
          </w:tcPr>
          <w:p w14:paraId="1A67E6AD" w14:textId="77777777"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Izvor podataka</w:t>
            </w:r>
          </w:p>
        </w:tc>
        <w:tc>
          <w:tcPr>
            <w:tcW w:w="992" w:type="dxa"/>
            <w:shd w:val="clear" w:color="auto" w:fill="BFBFBF" w:themeFill="background1" w:themeFillShade="BF"/>
            <w:vAlign w:val="center"/>
          </w:tcPr>
          <w:p w14:paraId="1F09415C" w14:textId="5448099B"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Ciljana vrijednost 202</w:t>
            </w:r>
            <w:r w:rsidR="00142AAC">
              <w:rPr>
                <w:rFonts w:ascii="Arial" w:eastAsia="Calibri" w:hAnsi="Arial" w:cs="Arial"/>
                <w:sz w:val="16"/>
                <w:szCs w:val="16"/>
              </w:rPr>
              <w:t>5</w:t>
            </w:r>
            <w:r w:rsidRPr="00A44AEB">
              <w:rPr>
                <w:rFonts w:ascii="Arial" w:eastAsia="Calibri" w:hAnsi="Arial" w:cs="Arial"/>
                <w:sz w:val="16"/>
                <w:szCs w:val="16"/>
              </w:rPr>
              <w:t>.</w:t>
            </w:r>
          </w:p>
        </w:tc>
        <w:tc>
          <w:tcPr>
            <w:tcW w:w="1155" w:type="dxa"/>
            <w:shd w:val="clear" w:color="auto" w:fill="BFBFBF" w:themeFill="background1" w:themeFillShade="BF"/>
            <w:vAlign w:val="center"/>
          </w:tcPr>
          <w:p w14:paraId="411D16FA" w14:textId="63208692"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Izvršeno 202</w:t>
            </w:r>
            <w:r w:rsidR="00142AAC">
              <w:rPr>
                <w:rFonts w:ascii="Arial" w:eastAsia="Calibri" w:hAnsi="Arial" w:cs="Arial"/>
                <w:sz w:val="16"/>
                <w:szCs w:val="16"/>
              </w:rPr>
              <w:t>5</w:t>
            </w:r>
            <w:r w:rsidRPr="00A44AEB">
              <w:rPr>
                <w:rFonts w:ascii="Arial" w:eastAsia="Calibri" w:hAnsi="Arial" w:cs="Arial"/>
                <w:sz w:val="16"/>
                <w:szCs w:val="16"/>
              </w:rPr>
              <w:t>.</w:t>
            </w:r>
          </w:p>
        </w:tc>
        <w:tc>
          <w:tcPr>
            <w:tcW w:w="992" w:type="dxa"/>
            <w:shd w:val="clear" w:color="auto" w:fill="BFBFBF" w:themeFill="background1" w:themeFillShade="BF"/>
            <w:vAlign w:val="center"/>
          </w:tcPr>
          <w:p w14:paraId="14074346" w14:textId="73E1833D"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Ciljana vrijednost 202</w:t>
            </w:r>
            <w:r w:rsidR="00142AAC">
              <w:rPr>
                <w:rFonts w:ascii="Arial" w:eastAsia="Calibri" w:hAnsi="Arial" w:cs="Arial"/>
                <w:sz w:val="16"/>
                <w:szCs w:val="16"/>
              </w:rPr>
              <w:t>6</w:t>
            </w:r>
            <w:r w:rsidRPr="00A44AEB">
              <w:rPr>
                <w:rFonts w:ascii="Arial" w:eastAsia="Calibri" w:hAnsi="Arial" w:cs="Arial"/>
                <w:sz w:val="16"/>
                <w:szCs w:val="16"/>
              </w:rPr>
              <w:t>.</w:t>
            </w:r>
          </w:p>
        </w:tc>
        <w:tc>
          <w:tcPr>
            <w:tcW w:w="972" w:type="dxa"/>
            <w:shd w:val="clear" w:color="auto" w:fill="BFBFBF" w:themeFill="background1" w:themeFillShade="BF"/>
            <w:vAlign w:val="center"/>
          </w:tcPr>
          <w:p w14:paraId="75AC8EB9" w14:textId="7033C853"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Ciljana vrijednost 202</w:t>
            </w:r>
            <w:r w:rsidR="00142AAC">
              <w:rPr>
                <w:rFonts w:ascii="Arial" w:eastAsia="Calibri" w:hAnsi="Arial" w:cs="Arial"/>
                <w:sz w:val="16"/>
                <w:szCs w:val="16"/>
              </w:rPr>
              <w:t>7</w:t>
            </w:r>
            <w:r w:rsidRPr="00A44AEB">
              <w:rPr>
                <w:rFonts w:ascii="Arial" w:eastAsia="Calibri" w:hAnsi="Arial" w:cs="Arial"/>
                <w:sz w:val="16"/>
                <w:szCs w:val="16"/>
              </w:rPr>
              <w:t>.</w:t>
            </w:r>
          </w:p>
        </w:tc>
      </w:tr>
      <w:tr w:rsidR="00142AAC" w:rsidRPr="00A44AEB" w14:paraId="428F38C4" w14:textId="77777777" w:rsidTr="00142AAC">
        <w:trPr>
          <w:trHeight w:val="557"/>
          <w:jc w:val="center"/>
        </w:trPr>
        <w:tc>
          <w:tcPr>
            <w:tcW w:w="2122" w:type="dxa"/>
            <w:vAlign w:val="center"/>
          </w:tcPr>
          <w:p w14:paraId="3BC12E28" w14:textId="77777777" w:rsidR="00142AAC" w:rsidRPr="00A44AEB" w:rsidRDefault="00142AAC" w:rsidP="00142AAC">
            <w:pPr>
              <w:rPr>
                <w:rFonts w:ascii="Arial" w:hAnsi="Arial" w:cs="Arial"/>
                <w:sz w:val="16"/>
                <w:szCs w:val="16"/>
                <w:lang w:eastAsia="en-US"/>
              </w:rPr>
            </w:pPr>
            <w:r w:rsidRPr="00A44AEB">
              <w:rPr>
                <w:rFonts w:ascii="Arial" w:hAnsi="Arial" w:cs="Arial"/>
                <w:sz w:val="18"/>
                <w:szCs w:val="18"/>
                <w:lang w:eastAsia="en-US"/>
              </w:rPr>
              <w:t>Broj djece na radionicama</w:t>
            </w:r>
          </w:p>
        </w:tc>
        <w:tc>
          <w:tcPr>
            <w:tcW w:w="2541" w:type="dxa"/>
            <w:vAlign w:val="center"/>
          </w:tcPr>
          <w:p w14:paraId="7D148586" w14:textId="77777777" w:rsidR="00142AAC" w:rsidRPr="00A44AEB" w:rsidRDefault="00142AAC" w:rsidP="00142AAC">
            <w:pPr>
              <w:rPr>
                <w:rFonts w:ascii="Arial" w:hAnsi="Arial" w:cs="Arial"/>
                <w:sz w:val="16"/>
                <w:szCs w:val="16"/>
                <w:lang w:eastAsia="en-US"/>
              </w:rPr>
            </w:pPr>
            <w:r w:rsidRPr="00A44AEB">
              <w:rPr>
                <w:rFonts w:ascii="Arial" w:hAnsi="Arial" w:cs="Arial"/>
                <w:sz w:val="18"/>
                <w:szCs w:val="18"/>
                <w:lang w:eastAsia="en-US"/>
              </w:rPr>
              <w:t>Formiranje radionica i edukativnih programa</w:t>
            </w:r>
          </w:p>
        </w:tc>
        <w:tc>
          <w:tcPr>
            <w:tcW w:w="992" w:type="dxa"/>
            <w:vAlign w:val="center"/>
          </w:tcPr>
          <w:p w14:paraId="17537372" w14:textId="77777777" w:rsidR="00142AAC" w:rsidRPr="00A44AEB" w:rsidRDefault="00142AAC" w:rsidP="00142AAC">
            <w:pPr>
              <w:jc w:val="center"/>
              <w:rPr>
                <w:rFonts w:ascii="Arial" w:hAnsi="Arial" w:cs="Arial"/>
                <w:sz w:val="16"/>
                <w:szCs w:val="16"/>
                <w:lang w:eastAsia="en-US"/>
              </w:rPr>
            </w:pPr>
            <w:r w:rsidRPr="00A44AEB">
              <w:rPr>
                <w:rFonts w:ascii="Arial" w:hAnsi="Arial" w:cs="Arial"/>
                <w:sz w:val="18"/>
                <w:szCs w:val="18"/>
                <w:lang w:eastAsia="en-US"/>
              </w:rPr>
              <w:t>pax</w:t>
            </w:r>
          </w:p>
        </w:tc>
        <w:tc>
          <w:tcPr>
            <w:tcW w:w="1266" w:type="dxa"/>
            <w:vAlign w:val="center"/>
          </w:tcPr>
          <w:p w14:paraId="7780A95D" w14:textId="3075D65E" w:rsidR="00142AAC" w:rsidRPr="00A44AEB" w:rsidRDefault="00142AAC" w:rsidP="00142AAC">
            <w:pPr>
              <w:jc w:val="center"/>
              <w:rPr>
                <w:rFonts w:ascii="Arial" w:hAnsi="Arial" w:cs="Arial"/>
                <w:sz w:val="16"/>
                <w:szCs w:val="16"/>
                <w:lang w:eastAsia="en-US"/>
              </w:rPr>
            </w:pPr>
            <w:r w:rsidRPr="00A44AEB">
              <w:rPr>
                <w:rFonts w:ascii="Arial" w:hAnsi="Arial" w:cs="Arial"/>
                <w:sz w:val="18"/>
                <w:szCs w:val="18"/>
                <w:lang w:eastAsia="en-US"/>
              </w:rPr>
              <w:t>1.465</w:t>
            </w:r>
          </w:p>
        </w:tc>
        <w:tc>
          <w:tcPr>
            <w:tcW w:w="992" w:type="dxa"/>
            <w:vAlign w:val="center"/>
          </w:tcPr>
          <w:p w14:paraId="1DEE4388" w14:textId="77777777" w:rsidR="00142AAC" w:rsidRPr="00A44AEB" w:rsidRDefault="00142AAC" w:rsidP="00142AAC">
            <w:pPr>
              <w:jc w:val="center"/>
              <w:rPr>
                <w:rFonts w:ascii="Arial" w:hAnsi="Arial" w:cs="Arial"/>
                <w:sz w:val="16"/>
                <w:szCs w:val="16"/>
                <w:lang w:eastAsia="en-US"/>
              </w:rPr>
            </w:pPr>
            <w:r w:rsidRPr="00A44AEB">
              <w:rPr>
                <w:rFonts w:ascii="Arial" w:hAnsi="Arial" w:cs="Arial"/>
                <w:sz w:val="18"/>
                <w:szCs w:val="18"/>
                <w:lang w:eastAsia="en-US"/>
              </w:rPr>
              <w:t>Muzeji</w:t>
            </w:r>
          </w:p>
        </w:tc>
        <w:tc>
          <w:tcPr>
            <w:tcW w:w="992" w:type="dxa"/>
            <w:vAlign w:val="center"/>
          </w:tcPr>
          <w:p w14:paraId="58A17DDD" w14:textId="77777777" w:rsidR="00142AAC" w:rsidRPr="00A44AEB" w:rsidRDefault="00142AAC" w:rsidP="00142AAC">
            <w:pPr>
              <w:jc w:val="center"/>
              <w:rPr>
                <w:rFonts w:ascii="Arial" w:hAnsi="Arial" w:cs="Arial"/>
                <w:sz w:val="16"/>
                <w:szCs w:val="16"/>
                <w:lang w:eastAsia="en-US"/>
              </w:rPr>
            </w:pPr>
            <w:r w:rsidRPr="00A44AEB">
              <w:rPr>
                <w:rFonts w:ascii="Arial" w:hAnsi="Arial" w:cs="Arial"/>
                <w:sz w:val="18"/>
                <w:szCs w:val="18"/>
                <w:lang w:eastAsia="en-US"/>
              </w:rPr>
              <w:t>800</w:t>
            </w:r>
          </w:p>
        </w:tc>
        <w:tc>
          <w:tcPr>
            <w:tcW w:w="1155" w:type="dxa"/>
            <w:vAlign w:val="center"/>
          </w:tcPr>
          <w:p w14:paraId="46666FBC" w14:textId="0366D0AA" w:rsidR="00142AAC" w:rsidRPr="00A44AEB" w:rsidRDefault="00A87CE0" w:rsidP="00142AAC">
            <w:pPr>
              <w:ind w:left="360"/>
              <w:contextualSpacing/>
              <w:rPr>
                <w:rFonts w:ascii="Arial" w:hAnsi="Arial" w:cs="Arial"/>
                <w:sz w:val="16"/>
                <w:szCs w:val="16"/>
                <w:lang w:eastAsia="en-US"/>
              </w:rPr>
            </w:pPr>
            <w:r>
              <w:rPr>
                <w:rFonts w:ascii="Arial" w:hAnsi="Arial" w:cs="Arial"/>
                <w:sz w:val="18"/>
                <w:szCs w:val="18"/>
                <w:lang w:eastAsia="en-US"/>
              </w:rPr>
              <w:t>962</w:t>
            </w:r>
          </w:p>
        </w:tc>
        <w:tc>
          <w:tcPr>
            <w:tcW w:w="992" w:type="dxa"/>
            <w:vAlign w:val="center"/>
          </w:tcPr>
          <w:p w14:paraId="62D96114" w14:textId="4CCC9FB6" w:rsidR="00142AAC" w:rsidRPr="00A44AEB" w:rsidRDefault="00142AAC" w:rsidP="00142AAC">
            <w:pPr>
              <w:jc w:val="center"/>
              <w:rPr>
                <w:rFonts w:ascii="Arial" w:hAnsi="Arial" w:cs="Arial"/>
                <w:sz w:val="16"/>
                <w:szCs w:val="16"/>
                <w:lang w:eastAsia="en-US"/>
              </w:rPr>
            </w:pPr>
            <w:r w:rsidRPr="00A44AEB">
              <w:rPr>
                <w:rFonts w:ascii="Arial" w:hAnsi="Arial" w:cs="Arial"/>
                <w:sz w:val="18"/>
                <w:szCs w:val="18"/>
                <w:lang w:eastAsia="en-US"/>
              </w:rPr>
              <w:t>800</w:t>
            </w:r>
          </w:p>
        </w:tc>
        <w:tc>
          <w:tcPr>
            <w:tcW w:w="972" w:type="dxa"/>
            <w:vAlign w:val="center"/>
          </w:tcPr>
          <w:p w14:paraId="486E17AE" w14:textId="77777777" w:rsidR="00142AAC" w:rsidRPr="00A44AEB" w:rsidRDefault="00142AAC" w:rsidP="00142AAC">
            <w:pPr>
              <w:ind w:left="360"/>
              <w:rPr>
                <w:rFonts w:ascii="Arial" w:hAnsi="Arial" w:cs="Arial"/>
                <w:sz w:val="16"/>
                <w:szCs w:val="16"/>
                <w:lang w:eastAsia="en-US"/>
              </w:rPr>
            </w:pPr>
            <w:r w:rsidRPr="00A44AEB">
              <w:rPr>
                <w:rFonts w:ascii="Arial" w:hAnsi="Arial" w:cs="Arial"/>
                <w:sz w:val="18"/>
                <w:szCs w:val="18"/>
                <w:lang w:eastAsia="en-US"/>
              </w:rPr>
              <w:t>800</w:t>
            </w:r>
          </w:p>
        </w:tc>
      </w:tr>
    </w:tbl>
    <w:p w14:paraId="3101D793" w14:textId="77777777" w:rsidR="007B4373" w:rsidRDefault="007B4373" w:rsidP="007D013F">
      <w:pPr>
        <w:spacing w:after="0" w:line="240" w:lineRule="auto"/>
        <w:jc w:val="both"/>
        <w:rPr>
          <w:rFonts w:ascii="Arial" w:eastAsia="Calibri" w:hAnsi="Arial" w:cs="Arial"/>
          <w:sz w:val="20"/>
          <w:szCs w:val="20"/>
        </w:rPr>
      </w:pPr>
    </w:p>
    <w:p w14:paraId="031C5664" w14:textId="29106921" w:rsidR="00A44AEB" w:rsidRDefault="00A87CE0" w:rsidP="00A44AEB">
      <w:pPr>
        <w:spacing w:after="0" w:line="240" w:lineRule="auto"/>
        <w:jc w:val="both"/>
        <w:rPr>
          <w:rFonts w:ascii="Arial" w:eastAsia="Calibri" w:hAnsi="Arial" w:cs="Arial"/>
          <w:sz w:val="20"/>
          <w:szCs w:val="20"/>
        </w:rPr>
      </w:pPr>
      <w:r w:rsidRPr="00A87CE0">
        <w:rPr>
          <w:rFonts w:ascii="Arial" w:eastAsia="Calibri" w:hAnsi="Arial" w:cs="Arial"/>
          <w:sz w:val="20"/>
          <w:szCs w:val="20"/>
        </w:rPr>
        <w:t>OPIS: Pokazatelj obuhvaća radionice za djecu koje se trajno održavaju u muzejskim jedinicama, Šarenu školicu u Kući Bukovac i radionicu veza za djecu u Zavičajnom muzeju Konavala, te povremene radionice.</w:t>
      </w:r>
    </w:p>
    <w:p w14:paraId="44AEA366" w14:textId="77777777" w:rsidR="00A87CE0" w:rsidRDefault="00A87CE0" w:rsidP="00A44AEB">
      <w:pPr>
        <w:spacing w:after="0" w:line="240" w:lineRule="auto"/>
        <w:jc w:val="both"/>
        <w:rPr>
          <w:rFonts w:ascii="Arial" w:eastAsia="Calibri" w:hAnsi="Arial" w:cs="Arial"/>
          <w:sz w:val="20"/>
          <w:szCs w:val="20"/>
        </w:rPr>
      </w:pPr>
    </w:p>
    <w:tbl>
      <w:tblPr>
        <w:tblStyle w:val="Reetkatablice5"/>
        <w:tblW w:w="13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3274"/>
        <w:gridCol w:w="1274"/>
        <w:gridCol w:w="1134"/>
        <w:gridCol w:w="988"/>
        <w:gridCol w:w="997"/>
        <w:gridCol w:w="992"/>
        <w:gridCol w:w="992"/>
        <w:gridCol w:w="1134"/>
      </w:tblGrid>
      <w:tr w:rsidR="00A44AEB" w:rsidRPr="00A44AEB" w14:paraId="3C99D5F6" w14:textId="77777777" w:rsidTr="00EA587B">
        <w:trPr>
          <w:jc w:val="center"/>
        </w:trPr>
        <w:tc>
          <w:tcPr>
            <w:tcW w:w="2263" w:type="dxa"/>
            <w:shd w:val="clear" w:color="auto" w:fill="BFBFBF" w:themeFill="background1" w:themeFillShade="BF"/>
            <w:vAlign w:val="center"/>
          </w:tcPr>
          <w:p w14:paraId="3AC785DE" w14:textId="77777777"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Pokazatelj uspješnosti</w:t>
            </w:r>
          </w:p>
        </w:tc>
        <w:tc>
          <w:tcPr>
            <w:tcW w:w="3274" w:type="dxa"/>
            <w:shd w:val="clear" w:color="auto" w:fill="BFBFBF" w:themeFill="background1" w:themeFillShade="BF"/>
            <w:vAlign w:val="center"/>
          </w:tcPr>
          <w:p w14:paraId="13677256" w14:textId="77777777"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Definicija</w:t>
            </w:r>
          </w:p>
        </w:tc>
        <w:tc>
          <w:tcPr>
            <w:tcW w:w="1274" w:type="dxa"/>
            <w:shd w:val="clear" w:color="auto" w:fill="BFBFBF" w:themeFill="background1" w:themeFillShade="BF"/>
            <w:vAlign w:val="center"/>
          </w:tcPr>
          <w:p w14:paraId="029A1B2C" w14:textId="77777777"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Jedinica</w:t>
            </w:r>
          </w:p>
        </w:tc>
        <w:tc>
          <w:tcPr>
            <w:tcW w:w="1134" w:type="dxa"/>
            <w:shd w:val="clear" w:color="auto" w:fill="BFBFBF" w:themeFill="background1" w:themeFillShade="BF"/>
            <w:vAlign w:val="center"/>
          </w:tcPr>
          <w:p w14:paraId="6D1116DC" w14:textId="77777777"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Polazna vrijednost</w:t>
            </w:r>
          </w:p>
          <w:p w14:paraId="43A6F8C0" w14:textId="5B5CDB35"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202</w:t>
            </w:r>
            <w:r w:rsidR="007D013F">
              <w:rPr>
                <w:rFonts w:ascii="Arial" w:eastAsia="Calibri" w:hAnsi="Arial" w:cs="Arial"/>
                <w:sz w:val="16"/>
                <w:szCs w:val="16"/>
              </w:rPr>
              <w:t>4</w:t>
            </w:r>
            <w:r w:rsidRPr="00A44AEB">
              <w:rPr>
                <w:rFonts w:ascii="Arial" w:eastAsia="Calibri" w:hAnsi="Arial" w:cs="Arial"/>
                <w:sz w:val="16"/>
                <w:szCs w:val="16"/>
              </w:rPr>
              <w:t>.</w:t>
            </w:r>
          </w:p>
        </w:tc>
        <w:tc>
          <w:tcPr>
            <w:tcW w:w="988" w:type="dxa"/>
            <w:shd w:val="clear" w:color="auto" w:fill="BFBFBF" w:themeFill="background1" w:themeFillShade="BF"/>
            <w:vAlign w:val="center"/>
          </w:tcPr>
          <w:p w14:paraId="77A1ADD8" w14:textId="77777777"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Izvor podataka</w:t>
            </w:r>
          </w:p>
        </w:tc>
        <w:tc>
          <w:tcPr>
            <w:tcW w:w="997" w:type="dxa"/>
            <w:shd w:val="clear" w:color="auto" w:fill="BFBFBF" w:themeFill="background1" w:themeFillShade="BF"/>
            <w:vAlign w:val="center"/>
          </w:tcPr>
          <w:p w14:paraId="10973E58" w14:textId="76113307"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Ciljana vrijednost 202</w:t>
            </w:r>
            <w:r w:rsidR="007D013F">
              <w:rPr>
                <w:rFonts w:ascii="Arial" w:eastAsia="Calibri" w:hAnsi="Arial" w:cs="Arial"/>
                <w:sz w:val="16"/>
                <w:szCs w:val="16"/>
              </w:rPr>
              <w:t>5</w:t>
            </w:r>
            <w:r w:rsidRPr="00A44AEB">
              <w:rPr>
                <w:rFonts w:ascii="Arial" w:eastAsia="Calibri" w:hAnsi="Arial" w:cs="Arial"/>
                <w:sz w:val="16"/>
                <w:szCs w:val="16"/>
              </w:rPr>
              <w:t>.</w:t>
            </w:r>
          </w:p>
        </w:tc>
        <w:tc>
          <w:tcPr>
            <w:tcW w:w="992" w:type="dxa"/>
            <w:shd w:val="clear" w:color="auto" w:fill="BFBFBF" w:themeFill="background1" w:themeFillShade="BF"/>
            <w:vAlign w:val="center"/>
          </w:tcPr>
          <w:p w14:paraId="153F67A6" w14:textId="75B5B4D7"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Izvršeno 202</w:t>
            </w:r>
            <w:r w:rsidR="007D013F">
              <w:rPr>
                <w:rFonts w:ascii="Arial" w:eastAsia="Calibri" w:hAnsi="Arial" w:cs="Arial"/>
                <w:sz w:val="16"/>
                <w:szCs w:val="16"/>
              </w:rPr>
              <w:t>5</w:t>
            </w:r>
            <w:r w:rsidRPr="00A44AEB">
              <w:rPr>
                <w:rFonts w:ascii="Arial" w:eastAsia="Calibri" w:hAnsi="Arial" w:cs="Arial"/>
                <w:sz w:val="16"/>
                <w:szCs w:val="16"/>
              </w:rPr>
              <w:t>.</w:t>
            </w:r>
          </w:p>
        </w:tc>
        <w:tc>
          <w:tcPr>
            <w:tcW w:w="992" w:type="dxa"/>
            <w:shd w:val="clear" w:color="auto" w:fill="BFBFBF" w:themeFill="background1" w:themeFillShade="BF"/>
            <w:vAlign w:val="center"/>
          </w:tcPr>
          <w:p w14:paraId="3C780F31" w14:textId="0E7E3336"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Ciljana vrijednost 202</w:t>
            </w:r>
            <w:r w:rsidR="007D013F">
              <w:rPr>
                <w:rFonts w:ascii="Arial" w:eastAsia="Calibri" w:hAnsi="Arial" w:cs="Arial"/>
                <w:sz w:val="16"/>
                <w:szCs w:val="16"/>
              </w:rPr>
              <w:t>6</w:t>
            </w:r>
            <w:r w:rsidRPr="00A44AEB">
              <w:rPr>
                <w:rFonts w:ascii="Arial" w:eastAsia="Calibri" w:hAnsi="Arial" w:cs="Arial"/>
                <w:sz w:val="16"/>
                <w:szCs w:val="16"/>
              </w:rPr>
              <w:t>.</w:t>
            </w:r>
          </w:p>
        </w:tc>
        <w:tc>
          <w:tcPr>
            <w:tcW w:w="1134" w:type="dxa"/>
            <w:shd w:val="clear" w:color="auto" w:fill="BFBFBF" w:themeFill="background1" w:themeFillShade="BF"/>
            <w:vAlign w:val="center"/>
          </w:tcPr>
          <w:p w14:paraId="64EB9401" w14:textId="219CD2F8" w:rsidR="00A44AEB" w:rsidRPr="00A44AEB" w:rsidRDefault="00A44AEB" w:rsidP="00B06B88">
            <w:pPr>
              <w:jc w:val="center"/>
              <w:rPr>
                <w:rFonts w:ascii="Arial" w:eastAsia="Calibri" w:hAnsi="Arial" w:cs="Arial"/>
                <w:sz w:val="16"/>
                <w:szCs w:val="16"/>
              </w:rPr>
            </w:pPr>
            <w:r w:rsidRPr="00A44AEB">
              <w:rPr>
                <w:rFonts w:ascii="Arial" w:eastAsia="Calibri" w:hAnsi="Arial" w:cs="Arial"/>
                <w:sz w:val="16"/>
                <w:szCs w:val="16"/>
              </w:rPr>
              <w:t>Ciljana vrijednost 202</w:t>
            </w:r>
            <w:r w:rsidR="007D013F">
              <w:rPr>
                <w:rFonts w:ascii="Arial" w:eastAsia="Calibri" w:hAnsi="Arial" w:cs="Arial"/>
                <w:sz w:val="16"/>
                <w:szCs w:val="16"/>
              </w:rPr>
              <w:t>7</w:t>
            </w:r>
            <w:r w:rsidRPr="00A44AEB">
              <w:rPr>
                <w:rFonts w:ascii="Arial" w:eastAsia="Calibri" w:hAnsi="Arial" w:cs="Arial"/>
                <w:sz w:val="16"/>
                <w:szCs w:val="16"/>
              </w:rPr>
              <w:t>.</w:t>
            </w:r>
          </w:p>
        </w:tc>
      </w:tr>
      <w:tr w:rsidR="00A44AEB" w:rsidRPr="00A44AEB" w14:paraId="338FA0C6" w14:textId="77777777" w:rsidTr="00EA587B">
        <w:trPr>
          <w:trHeight w:val="621"/>
          <w:jc w:val="center"/>
        </w:trPr>
        <w:tc>
          <w:tcPr>
            <w:tcW w:w="2263" w:type="dxa"/>
            <w:vAlign w:val="center"/>
          </w:tcPr>
          <w:p w14:paraId="74B211E9" w14:textId="77777777" w:rsidR="00A44AEB" w:rsidRPr="00A44AEB" w:rsidRDefault="00A44AEB" w:rsidP="00B06B88">
            <w:pPr>
              <w:rPr>
                <w:rFonts w:ascii="Arial" w:hAnsi="Arial" w:cs="Arial"/>
                <w:sz w:val="16"/>
                <w:szCs w:val="16"/>
                <w:lang w:eastAsia="en-US"/>
              </w:rPr>
            </w:pPr>
            <w:r w:rsidRPr="00A53DCF">
              <w:rPr>
                <w:rFonts w:ascii="Arial" w:hAnsi="Arial" w:cs="Arial"/>
                <w:sz w:val="18"/>
                <w:szCs w:val="18"/>
                <w:lang w:eastAsia="en-US"/>
              </w:rPr>
              <w:t xml:space="preserve">Broj radionica za odrasle </w:t>
            </w:r>
          </w:p>
        </w:tc>
        <w:tc>
          <w:tcPr>
            <w:tcW w:w="3274" w:type="dxa"/>
            <w:vAlign w:val="center"/>
          </w:tcPr>
          <w:p w14:paraId="6E6605C9" w14:textId="77777777" w:rsidR="00A44AEB" w:rsidRPr="00A44AEB" w:rsidRDefault="00A44AEB" w:rsidP="00B06B88">
            <w:pPr>
              <w:rPr>
                <w:rFonts w:ascii="Arial" w:hAnsi="Arial" w:cs="Arial"/>
                <w:sz w:val="16"/>
                <w:szCs w:val="16"/>
                <w:lang w:eastAsia="en-US"/>
              </w:rPr>
            </w:pPr>
            <w:r w:rsidRPr="00A53DCF">
              <w:rPr>
                <w:rFonts w:ascii="Arial" w:hAnsi="Arial" w:cs="Arial"/>
                <w:sz w:val="18"/>
                <w:szCs w:val="18"/>
                <w:lang w:eastAsia="en-US"/>
              </w:rPr>
              <w:t>Organiziranje radionica za odrasle</w:t>
            </w:r>
          </w:p>
        </w:tc>
        <w:tc>
          <w:tcPr>
            <w:tcW w:w="1274" w:type="dxa"/>
            <w:vAlign w:val="center"/>
          </w:tcPr>
          <w:p w14:paraId="5AF8F0D2" w14:textId="77777777" w:rsidR="00A44AEB" w:rsidRPr="00A44AEB" w:rsidRDefault="00A44AEB" w:rsidP="00B06B88">
            <w:pPr>
              <w:jc w:val="center"/>
              <w:rPr>
                <w:rFonts w:ascii="Arial" w:hAnsi="Arial" w:cs="Arial"/>
                <w:sz w:val="16"/>
                <w:szCs w:val="16"/>
                <w:lang w:eastAsia="en-US"/>
              </w:rPr>
            </w:pPr>
            <w:r w:rsidRPr="00A53DCF">
              <w:rPr>
                <w:rFonts w:ascii="Arial" w:hAnsi="Arial" w:cs="Arial"/>
                <w:sz w:val="18"/>
                <w:szCs w:val="18"/>
                <w:lang w:eastAsia="en-US"/>
              </w:rPr>
              <w:t>program</w:t>
            </w:r>
          </w:p>
        </w:tc>
        <w:tc>
          <w:tcPr>
            <w:tcW w:w="1134" w:type="dxa"/>
            <w:vAlign w:val="center"/>
          </w:tcPr>
          <w:p w14:paraId="1B3B8B6C" w14:textId="2375D580" w:rsidR="00A44AEB" w:rsidRPr="00A44AEB" w:rsidRDefault="007D013F" w:rsidP="00B06B88">
            <w:pPr>
              <w:jc w:val="center"/>
              <w:rPr>
                <w:rFonts w:ascii="Arial" w:hAnsi="Arial" w:cs="Arial"/>
                <w:sz w:val="16"/>
                <w:szCs w:val="16"/>
                <w:lang w:eastAsia="en-US"/>
              </w:rPr>
            </w:pPr>
            <w:r>
              <w:rPr>
                <w:rFonts w:ascii="Arial" w:hAnsi="Arial" w:cs="Arial"/>
                <w:sz w:val="18"/>
                <w:szCs w:val="18"/>
                <w:lang w:eastAsia="en-US"/>
              </w:rPr>
              <w:t>11</w:t>
            </w:r>
          </w:p>
        </w:tc>
        <w:tc>
          <w:tcPr>
            <w:tcW w:w="988" w:type="dxa"/>
            <w:vAlign w:val="center"/>
          </w:tcPr>
          <w:p w14:paraId="56606D9F" w14:textId="77777777" w:rsidR="00A44AEB" w:rsidRPr="00EA587B" w:rsidRDefault="00A44AEB" w:rsidP="00B06B88">
            <w:pPr>
              <w:jc w:val="center"/>
              <w:rPr>
                <w:rFonts w:ascii="Arial" w:hAnsi="Arial" w:cs="Arial"/>
                <w:sz w:val="16"/>
                <w:szCs w:val="16"/>
                <w:lang w:eastAsia="en-US"/>
              </w:rPr>
            </w:pPr>
            <w:r w:rsidRPr="00EA587B">
              <w:rPr>
                <w:rFonts w:ascii="Arial" w:hAnsi="Arial" w:cs="Arial"/>
                <w:sz w:val="16"/>
                <w:szCs w:val="16"/>
                <w:lang w:eastAsia="en-US"/>
              </w:rPr>
              <w:t>Muzejski pedagog</w:t>
            </w:r>
          </w:p>
        </w:tc>
        <w:tc>
          <w:tcPr>
            <w:tcW w:w="997" w:type="dxa"/>
            <w:vAlign w:val="center"/>
          </w:tcPr>
          <w:p w14:paraId="4C5A603A" w14:textId="77777777" w:rsidR="00A44AEB" w:rsidRPr="00A44AEB" w:rsidRDefault="00A44AEB" w:rsidP="00B06B88">
            <w:pPr>
              <w:jc w:val="center"/>
              <w:rPr>
                <w:rFonts w:ascii="Arial" w:hAnsi="Arial" w:cs="Arial"/>
                <w:sz w:val="16"/>
                <w:szCs w:val="16"/>
                <w:lang w:eastAsia="en-US"/>
              </w:rPr>
            </w:pPr>
            <w:r w:rsidRPr="00A53DCF">
              <w:rPr>
                <w:rFonts w:ascii="Arial" w:hAnsi="Arial" w:cs="Arial"/>
                <w:sz w:val="18"/>
                <w:szCs w:val="18"/>
                <w:lang w:eastAsia="en-US"/>
              </w:rPr>
              <w:t>3</w:t>
            </w:r>
          </w:p>
        </w:tc>
        <w:tc>
          <w:tcPr>
            <w:tcW w:w="992" w:type="dxa"/>
            <w:vAlign w:val="center"/>
          </w:tcPr>
          <w:p w14:paraId="422A6763" w14:textId="65280143" w:rsidR="00A44AEB" w:rsidRPr="00A44AEB" w:rsidRDefault="00A87CE0" w:rsidP="00B06B88">
            <w:pPr>
              <w:jc w:val="center"/>
              <w:rPr>
                <w:rFonts w:ascii="Arial" w:hAnsi="Arial" w:cs="Arial"/>
                <w:sz w:val="16"/>
                <w:szCs w:val="16"/>
                <w:lang w:eastAsia="en-US"/>
              </w:rPr>
            </w:pPr>
            <w:r>
              <w:rPr>
                <w:rFonts w:ascii="Arial" w:hAnsi="Arial" w:cs="Arial"/>
                <w:sz w:val="18"/>
                <w:szCs w:val="18"/>
                <w:lang w:eastAsia="en-US"/>
              </w:rPr>
              <w:t>6</w:t>
            </w:r>
          </w:p>
        </w:tc>
        <w:tc>
          <w:tcPr>
            <w:tcW w:w="992" w:type="dxa"/>
            <w:vAlign w:val="center"/>
          </w:tcPr>
          <w:p w14:paraId="6FCD2464" w14:textId="77777777" w:rsidR="00A44AEB" w:rsidRPr="00A44AEB" w:rsidRDefault="00A44AEB" w:rsidP="00B06B88">
            <w:pPr>
              <w:jc w:val="center"/>
              <w:rPr>
                <w:rFonts w:ascii="Arial" w:hAnsi="Arial" w:cs="Arial"/>
                <w:sz w:val="16"/>
                <w:szCs w:val="16"/>
                <w:lang w:eastAsia="en-US"/>
              </w:rPr>
            </w:pPr>
            <w:r w:rsidRPr="00A53DCF">
              <w:rPr>
                <w:rFonts w:ascii="Arial" w:hAnsi="Arial" w:cs="Arial"/>
                <w:sz w:val="18"/>
                <w:szCs w:val="18"/>
                <w:lang w:eastAsia="en-US"/>
              </w:rPr>
              <w:t>3</w:t>
            </w:r>
          </w:p>
        </w:tc>
        <w:tc>
          <w:tcPr>
            <w:tcW w:w="1134" w:type="dxa"/>
            <w:vAlign w:val="center"/>
          </w:tcPr>
          <w:p w14:paraId="2BFA11F5" w14:textId="77777777" w:rsidR="00A44AEB" w:rsidRPr="00A44AEB" w:rsidRDefault="00A44AEB" w:rsidP="00B06B88">
            <w:pPr>
              <w:jc w:val="center"/>
              <w:rPr>
                <w:rFonts w:ascii="Arial" w:hAnsi="Arial" w:cs="Arial"/>
                <w:sz w:val="16"/>
                <w:szCs w:val="16"/>
                <w:lang w:eastAsia="en-US"/>
              </w:rPr>
            </w:pPr>
            <w:r w:rsidRPr="00A53DCF">
              <w:rPr>
                <w:rFonts w:ascii="Arial" w:hAnsi="Arial" w:cs="Arial"/>
                <w:sz w:val="18"/>
                <w:szCs w:val="18"/>
                <w:lang w:eastAsia="en-US"/>
              </w:rPr>
              <w:t>3</w:t>
            </w:r>
          </w:p>
        </w:tc>
      </w:tr>
    </w:tbl>
    <w:p w14:paraId="7D2C5EAF" w14:textId="1D379282" w:rsidR="00A44AEB" w:rsidRPr="00A53DCF" w:rsidRDefault="00A87CE0" w:rsidP="00A44AEB">
      <w:pPr>
        <w:spacing w:after="0" w:line="240" w:lineRule="auto"/>
        <w:rPr>
          <w:rFonts w:ascii="Arial" w:eastAsia="Times New Roman" w:hAnsi="Arial" w:cs="Arial"/>
          <w:kern w:val="2"/>
          <w:sz w:val="20"/>
          <w:szCs w:val="20"/>
          <w:lang w:eastAsia="en-US"/>
          <w14:ligatures w14:val="standardContextual"/>
        </w:rPr>
      </w:pPr>
      <w:bookmarkStart w:id="650" w:name="_Hlk193468808"/>
      <w:r w:rsidRPr="00A87CE0">
        <w:rPr>
          <w:rFonts w:ascii="Arial" w:eastAsia="Calibri" w:hAnsi="Arial" w:cs="Arial"/>
          <w:sz w:val="20"/>
          <w:szCs w:val="20"/>
          <w:lang w:eastAsia="en-US"/>
        </w:rPr>
        <w:t>OPIS: Ustanova redovito organizira i radionice za odrasle u svim muzejskim jedinicama kako bi se baštinske vrijednosti približile i njegovale u tim dobnim skupinama. Održano je 6 radionice za odraslu publiku, od toga četiri u Kući Bukovac i jedna u Odjelu za arheologiju i spomeničku baštinu te ciklus  radionica izrade konavoskog veza u Zavičajnom muzeju Konavala kroz 10 termina.</w:t>
      </w:r>
    </w:p>
    <w:tbl>
      <w:tblPr>
        <w:tblStyle w:val="Reetkatablice5"/>
        <w:tblW w:w="12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701"/>
        <w:gridCol w:w="1274"/>
        <w:gridCol w:w="1134"/>
        <w:gridCol w:w="988"/>
        <w:gridCol w:w="997"/>
        <w:gridCol w:w="992"/>
        <w:gridCol w:w="992"/>
        <w:gridCol w:w="1134"/>
      </w:tblGrid>
      <w:tr w:rsidR="007C53DD" w:rsidRPr="00A44AEB" w14:paraId="0FBAF6F8" w14:textId="77777777" w:rsidTr="00731E7F">
        <w:trPr>
          <w:jc w:val="center"/>
        </w:trPr>
        <w:tc>
          <w:tcPr>
            <w:tcW w:w="2263" w:type="dxa"/>
            <w:shd w:val="clear" w:color="auto" w:fill="BFBFBF" w:themeFill="background1" w:themeFillShade="BF"/>
            <w:vAlign w:val="center"/>
          </w:tcPr>
          <w:bookmarkEnd w:id="650"/>
          <w:p w14:paraId="2A394A0D" w14:textId="77777777"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Pokazatelj uspješnosti</w:t>
            </w:r>
          </w:p>
        </w:tc>
        <w:tc>
          <w:tcPr>
            <w:tcW w:w="2701" w:type="dxa"/>
            <w:shd w:val="clear" w:color="auto" w:fill="BFBFBF" w:themeFill="background1" w:themeFillShade="BF"/>
            <w:vAlign w:val="center"/>
          </w:tcPr>
          <w:p w14:paraId="72DA8C8B" w14:textId="77777777"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Definicija</w:t>
            </w:r>
          </w:p>
        </w:tc>
        <w:tc>
          <w:tcPr>
            <w:tcW w:w="1274" w:type="dxa"/>
            <w:shd w:val="clear" w:color="auto" w:fill="BFBFBF" w:themeFill="background1" w:themeFillShade="BF"/>
            <w:vAlign w:val="center"/>
          </w:tcPr>
          <w:p w14:paraId="454E96B3" w14:textId="77777777"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Jedinica</w:t>
            </w:r>
          </w:p>
        </w:tc>
        <w:tc>
          <w:tcPr>
            <w:tcW w:w="1134" w:type="dxa"/>
            <w:shd w:val="clear" w:color="auto" w:fill="BFBFBF" w:themeFill="background1" w:themeFillShade="BF"/>
            <w:vAlign w:val="center"/>
          </w:tcPr>
          <w:p w14:paraId="45E38983" w14:textId="77777777"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Polazna vrijednost</w:t>
            </w:r>
          </w:p>
          <w:p w14:paraId="342CE85C" w14:textId="451F2F92"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202</w:t>
            </w:r>
            <w:r>
              <w:rPr>
                <w:rFonts w:ascii="Arial" w:eastAsia="Calibri" w:hAnsi="Arial" w:cs="Arial"/>
                <w:sz w:val="16"/>
                <w:szCs w:val="16"/>
              </w:rPr>
              <w:t>4</w:t>
            </w:r>
            <w:r w:rsidRPr="00A44AEB">
              <w:rPr>
                <w:rFonts w:ascii="Arial" w:eastAsia="Calibri" w:hAnsi="Arial" w:cs="Arial"/>
                <w:sz w:val="16"/>
                <w:szCs w:val="16"/>
              </w:rPr>
              <w:t>.</w:t>
            </w:r>
          </w:p>
        </w:tc>
        <w:tc>
          <w:tcPr>
            <w:tcW w:w="988" w:type="dxa"/>
            <w:shd w:val="clear" w:color="auto" w:fill="BFBFBF" w:themeFill="background1" w:themeFillShade="BF"/>
            <w:vAlign w:val="center"/>
          </w:tcPr>
          <w:p w14:paraId="39DAD0E3" w14:textId="7A1E47D7"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Izvor podataka</w:t>
            </w:r>
          </w:p>
        </w:tc>
        <w:tc>
          <w:tcPr>
            <w:tcW w:w="997" w:type="dxa"/>
            <w:shd w:val="clear" w:color="auto" w:fill="BFBFBF" w:themeFill="background1" w:themeFillShade="BF"/>
            <w:vAlign w:val="center"/>
          </w:tcPr>
          <w:p w14:paraId="1A8C6889" w14:textId="6326E08D"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Ciljana vrijednost 202</w:t>
            </w:r>
            <w:r>
              <w:rPr>
                <w:rFonts w:ascii="Arial" w:eastAsia="Calibri" w:hAnsi="Arial" w:cs="Arial"/>
                <w:sz w:val="16"/>
                <w:szCs w:val="16"/>
              </w:rPr>
              <w:t>5</w:t>
            </w:r>
            <w:r w:rsidRPr="00A44AEB">
              <w:rPr>
                <w:rFonts w:ascii="Arial" w:eastAsia="Calibri" w:hAnsi="Arial" w:cs="Arial"/>
                <w:sz w:val="16"/>
                <w:szCs w:val="16"/>
              </w:rPr>
              <w:t>.</w:t>
            </w:r>
          </w:p>
        </w:tc>
        <w:tc>
          <w:tcPr>
            <w:tcW w:w="992" w:type="dxa"/>
            <w:shd w:val="clear" w:color="auto" w:fill="BFBFBF" w:themeFill="background1" w:themeFillShade="BF"/>
            <w:vAlign w:val="center"/>
          </w:tcPr>
          <w:p w14:paraId="179321F8" w14:textId="326C19FF"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Izvršeno 202</w:t>
            </w:r>
            <w:r>
              <w:rPr>
                <w:rFonts w:ascii="Arial" w:eastAsia="Calibri" w:hAnsi="Arial" w:cs="Arial"/>
                <w:sz w:val="16"/>
                <w:szCs w:val="16"/>
              </w:rPr>
              <w:t>5</w:t>
            </w:r>
            <w:r w:rsidRPr="00A44AEB">
              <w:rPr>
                <w:rFonts w:ascii="Arial" w:eastAsia="Calibri" w:hAnsi="Arial" w:cs="Arial"/>
                <w:sz w:val="16"/>
                <w:szCs w:val="16"/>
              </w:rPr>
              <w:t>.</w:t>
            </w:r>
          </w:p>
        </w:tc>
        <w:tc>
          <w:tcPr>
            <w:tcW w:w="992" w:type="dxa"/>
            <w:shd w:val="clear" w:color="auto" w:fill="BFBFBF" w:themeFill="background1" w:themeFillShade="BF"/>
            <w:vAlign w:val="center"/>
          </w:tcPr>
          <w:p w14:paraId="028AE48A" w14:textId="1D9448AB"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Ciljana vrijednost 202</w:t>
            </w:r>
            <w:r>
              <w:rPr>
                <w:rFonts w:ascii="Arial" w:eastAsia="Calibri" w:hAnsi="Arial" w:cs="Arial"/>
                <w:sz w:val="16"/>
                <w:szCs w:val="16"/>
              </w:rPr>
              <w:t>6</w:t>
            </w:r>
            <w:r w:rsidRPr="00A44AEB">
              <w:rPr>
                <w:rFonts w:ascii="Arial" w:eastAsia="Calibri" w:hAnsi="Arial" w:cs="Arial"/>
                <w:sz w:val="16"/>
                <w:szCs w:val="16"/>
              </w:rPr>
              <w:t>.</w:t>
            </w:r>
          </w:p>
        </w:tc>
        <w:tc>
          <w:tcPr>
            <w:tcW w:w="1134" w:type="dxa"/>
            <w:shd w:val="clear" w:color="auto" w:fill="BFBFBF" w:themeFill="background1" w:themeFillShade="BF"/>
            <w:vAlign w:val="center"/>
          </w:tcPr>
          <w:p w14:paraId="256E3383" w14:textId="1346EAA3"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Ciljana vrijednost 202</w:t>
            </w:r>
            <w:r>
              <w:rPr>
                <w:rFonts w:ascii="Arial" w:eastAsia="Calibri" w:hAnsi="Arial" w:cs="Arial"/>
                <w:sz w:val="16"/>
                <w:szCs w:val="16"/>
              </w:rPr>
              <w:t>7</w:t>
            </w:r>
            <w:r w:rsidRPr="00A44AEB">
              <w:rPr>
                <w:rFonts w:ascii="Arial" w:eastAsia="Calibri" w:hAnsi="Arial" w:cs="Arial"/>
                <w:sz w:val="16"/>
                <w:szCs w:val="16"/>
              </w:rPr>
              <w:t>.</w:t>
            </w:r>
          </w:p>
        </w:tc>
      </w:tr>
      <w:tr w:rsidR="00A44AEB" w:rsidRPr="00A44AEB" w14:paraId="79DE97D5" w14:textId="77777777" w:rsidTr="00731E7F">
        <w:trPr>
          <w:trHeight w:val="621"/>
          <w:jc w:val="center"/>
        </w:trPr>
        <w:tc>
          <w:tcPr>
            <w:tcW w:w="2263" w:type="dxa"/>
            <w:vAlign w:val="center"/>
          </w:tcPr>
          <w:p w14:paraId="12A1526D" w14:textId="77777777" w:rsidR="00A44AEB" w:rsidRPr="00A44AEB" w:rsidRDefault="00A44AEB" w:rsidP="00B06B88">
            <w:pPr>
              <w:rPr>
                <w:rFonts w:ascii="Arial" w:hAnsi="Arial" w:cs="Arial"/>
                <w:sz w:val="16"/>
                <w:szCs w:val="16"/>
                <w:lang w:eastAsia="en-US"/>
              </w:rPr>
            </w:pPr>
            <w:r w:rsidRPr="00A53DCF">
              <w:rPr>
                <w:rFonts w:ascii="Arial" w:hAnsi="Arial" w:cs="Arial"/>
                <w:sz w:val="18"/>
                <w:szCs w:val="18"/>
                <w:lang w:eastAsia="en-US"/>
              </w:rPr>
              <w:t>Broj programa za osobe starije dobi</w:t>
            </w:r>
          </w:p>
        </w:tc>
        <w:tc>
          <w:tcPr>
            <w:tcW w:w="2701" w:type="dxa"/>
            <w:vAlign w:val="center"/>
          </w:tcPr>
          <w:p w14:paraId="51E3DA44" w14:textId="77777777" w:rsidR="00A44AEB" w:rsidRPr="00A44AEB" w:rsidRDefault="00A44AEB" w:rsidP="00B06B88">
            <w:pPr>
              <w:rPr>
                <w:rFonts w:ascii="Arial" w:hAnsi="Arial" w:cs="Arial"/>
                <w:sz w:val="16"/>
                <w:szCs w:val="16"/>
                <w:lang w:eastAsia="en-US"/>
              </w:rPr>
            </w:pPr>
            <w:r w:rsidRPr="00A53DCF">
              <w:rPr>
                <w:rFonts w:ascii="Arial" w:hAnsi="Arial" w:cs="Arial"/>
                <w:sz w:val="18"/>
                <w:szCs w:val="18"/>
                <w:lang w:eastAsia="en-US"/>
              </w:rPr>
              <w:t>Organiziranje susreta i posjeta Domu za umirovljenike</w:t>
            </w:r>
          </w:p>
        </w:tc>
        <w:tc>
          <w:tcPr>
            <w:tcW w:w="1274" w:type="dxa"/>
            <w:vAlign w:val="center"/>
          </w:tcPr>
          <w:p w14:paraId="2D394529" w14:textId="77777777" w:rsidR="00A44AEB" w:rsidRPr="00A44AEB" w:rsidRDefault="00A44AEB" w:rsidP="00B06B88">
            <w:pPr>
              <w:jc w:val="center"/>
              <w:rPr>
                <w:rFonts w:ascii="Arial" w:hAnsi="Arial" w:cs="Arial"/>
                <w:sz w:val="16"/>
                <w:szCs w:val="16"/>
                <w:lang w:eastAsia="en-US"/>
              </w:rPr>
            </w:pPr>
            <w:r w:rsidRPr="00A53DCF">
              <w:rPr>
                <w:rFonts w:ascii="Arial" w:hAnsi="Arial" w:cs="Arial"/>
                <w:sz w:val="18"/>
                <w:szCs w:val="18"/>
                <w:lang w:eastAsia="en-US"/>
              </w:rPr>
              <w:t>program</w:t>
            </w:r>
          </w:p>
        </w:tc>
        <w:tc>
          <w:tcPr>
            <w:tcW w:w="1134" w:type="dxa"/>
            <w:vAlign w:val="center"/>
          </w:tcPr>
          <w:p w14:paraId="091F034D" w14:textId="40FFC3E5" w:rsidR="00A44AEB" w:rsidRPr="00A44AEB" w:rsidRDefault="007C53DD" w:rsidP="00B06B88">
            <w:pPr>
              <w:jc w:val="center"/>
              <w:rPr>
                <w:rFonts w:ascii="Arial" w:hAnsi="Arial" w:cs="Arial"/>
                <w:sz w:val="16"/>
                <w:szCs w:val="16"/>
                <w:lang w:eastAsia="en-US"/>
              </w:rPr>
            </w:pPr>
            <w:r>
              <w:rPr>
                <w:rFonts w:ascii="Arial" w:hAnsi="Arial" w:cs="Arial"/>
                <w:sz w:val="18"/>
                <w:szCs w:val="18"/>
                <w:lang w:eastAsia="en-US"/>
              </w:rPr>
              <w:t>0</w:t>
            </w:r>
          </w:p>
        </w:tc>
        <w:tc>
          <w:tcPr>
            <w:tcW w:w="988" w:type="dxa"/>
            <w:vAlign w:val="center"/>
          </w:tcPr>
          <w:p w14:paraId="05CE4671" w14:textId="77777777" w:rsidR="00A44AEB" w:rsidRPr="00A44AEB" w:rsidRDefault="00A44AEB" w:rsidP="00B06B88">
            <w:pPr>
              <w:jc w:val="center"/>
              <w:rPr>
                <w:rFonts w:ascii="Arial" w:hAnsi="Arial" w:cs="Arial"/>
                <w:sz w:val="16"/>
                <w:szCs w:val="16"/>
                <w:lang w:eastAsia="en-US"/>
              </w:rPr>
            </w:pPr>
            <w:r w:rsidRPr="00A53DCF">
              <w:rPr>
                <w:rFonts w:ascii="Arial" w:hAnsi="Arial" w:cs="Arial"/>
                <w:sz w:val="18"/>
                <w:szCs w:val="18"/>
                <w:lang w:eastAsia="en-US"/>
              </w:rPr>
              <w:t>Muzejski pedagog</w:t>
            </w:r>
          </w:p>
        </w:tc>
        <w:tc>
          <w:tcPr>
            <w:tcW w:w="997" w:type="dxa"/>
            <w:vAlign w:val="center"/>
          </w:tcPr>
          <w:p w14:paraId="557109A2" w14:textId="77777777" w:rsidR="00A44AEB" w:rsidRPr="00A44AEB" w:rsidRDefault="00A44AEB" w:rsidP="00B06B88">
            <w:pPr>
              <w:jc w:val="center"/>
              <w:rPr>
                <w:rFonts w:ascii="Arial" w:hAnsi="Arial" w:cs="Arial"/>
                <w:sz w:val="16"/>
                <w:szCs w:val="16"/>
                <w:lang w:eastAsia="en-US"/>
              </w:rPr>
            </w:pPr>
            <w:r w:rsidRPr="00A53DCF">
              <w:rPr>
                <w:rFonts w:ascii="Arial" w:hAnsi="Arial" w:cs="Arial"/>
                <w:sz w:val="18"/>
                <w:szCs w:val="18"/>
                <w:lang w:eastAsia="en-US"/>
              </w:rPr>
              <w:t>12</w:t>
            </w:r>
          </w:p>
        </w:tc>
        <w:tc>
          <w:tcPr>
            <w:tcW w:w="992" w:type="dxa"/>
            <w:vAlign w:val="center"/>
          </w:tcPr>
          <w:p w14:paraId="6C8B689C" w14:textId="18F702BB" w:rsidR="00A44AEB" w:rsidRPr="00A44AEB" w:rsidRDefault="00A87CE0" w:rsidP="00B06B88">
            <w:pPr>
              <w:jc w:val="center"/>
              <w:rPr>
                <w:rFonts w:ascii="Arial" w:hAnsi="Arial" w:cs="Arial"/>
                <w:sz w:val="16"/>
                <w:szCs w:val="16"/>
                <w:lang w:eastAsia="en-US"/>
              </w:rPr>
            </w:pPr>
            <w:r>
              <w:rPr>
                <w:rFonts w:ascii="Arial" w:hAnsi="Arial" w:cs="Arial"/>
                <w:sz w:val="18"/>
                <w:szCs w:val="18"/>
                <w:lang w:eastAsia="en-US"/>
              </w:rPr>
              <w:t>1</w:t>
            </w:r>
          </w:p>
        </w:tc>
        <w:tc>
          <w:tcPr>
            <w:tcW w:w="992" w:type="dxa"/>
            <w:vAlign w:val="center"/>
          </w:tcPr>
          <w:p w14:paraId="3B3923EE" w14:textId="77777777" w:rsidR="00A44AEB" w:rsidRPr="00A44AEB" w:rsidRDefault="00A44AEB" w:rsidP="00B06B88">
            <w:pPr>
              <w:jc w:val="center"/>
              <w:rPr>
                <w:rFonts w:ascii="Arial" w:hAnsi="Arial" w:cs="Arial"/>
                <w:sz w:val="16"/>
                <w:szCs w:val="16"/>
                <w:lang w:eastAsia="en-US"/>
              </w:rPr>
            </w:pPr>
            <w:r w:rsidRPr="00A53DCF">
              <w:rPr>
                <w:rFonts w:ascii="Arial" w:hAnsi="Arial" w:cs="Arial"/>
                <w:sz w:val="18"/>
                <w:szCs w:val="18"/>
                <w:lang w:eastAsia="en-US"/>
              </w:rPr>
              <w:t>12</w:t>
            </w:r>
          </w:p>
        </w:tc>
        <w:tc>
          <w:tcPr>
            <w:tcW w:w="1134" w:type="dxa"/>
            <w:vAlign w:val="center"/>
          </w:tcPr>
          <w:p w14:paraId="1A2433A9" w14:textId="77777777" w:rsidR="00A44AEB" w:rsidRPr="00A44AEB" w:rsidRDefault="00A44AEB" w:rsidP="00B06B88">
            <w:pPr>
              <w:jc w:val="center"/>
              <w:rPr>
                <w:rFonts w:ascii="Arial" w:hAnsi="Arial" w:cs="Arial"/>
                <w:sz w:val="16"/>
                <w:szCs w:val="16"/>
                <w:lang w:eastAsia="en-US"/>
              </w:rPr>
            </w:pPr>
            <w:r w:rsidRPr="00A53DCF">
              <w:rPr>
                <w:rFonts w:ascii="Arial" w:hAnsi="Arial" w:cs="Arial"/>
                <w:sz w:val="18"/>
                <w:szCs w:val="18"/>
                <w:lang w:eastAsia="en-US"/>
              </w:rPr>
              <w:t>12</w:t>
            </w:r>
          </w:p>
        </w:tc>
      </w:tr>
    </w:tbl>
    <w:p w14:paraId="1D540899" w14:textId="63D3AA6D" w:rsidR="00A44AEB" w:rsidRPr="00A44AEB" w:rsidRDefault="00A87CE0" w:rsidP="00A44AEB">
      <w:pPr>
        <w:spacing w:after="0" w:line="259" w:lineRule="auto"/>
        <w:rPr>
          <w:rFonts w:ascii="Arial" w:eastAsia="Calibri" w:hAnsi="Arial" w:cs="Arial"/>
          <w:sz w:val="20"/>
          <w:szCs w:val="20"/>
          <w:highlight w:val="yellow"/>
          <w:lang w:eastAsia="en-US"/>
        </w:rPr>
      </w:pPr>
      <w:r w:rsidRPr="00A87CE0">
        <w:rPr>
          <w:rFonts w:ascii="Arial" w:eastAsia="Calibri" w:hAnsi="Arial" w:cs="Arial"/>
          <w:sz w:val="20"/>
          <w:szCs w:val="20"/>
          <w:lang w:eastAsia="en-US"/>
        </w:rPr>
        <w:t>OPIS: Muzejski pedagozi i kustosi pripremaju programe prilagođene osobama starije dobi u formi predavanja, likovnih i drugih kreativnih radionica, također takve programe organiziraju u suradnji sa Domom za starije i nemoćne osobe Gruda.</w:t>
      </w:r>
    </w:p>
    <w:tbl>
      <w:tblPr>
        <w:tblStyle w:val="Reetkatablice5"/>
        <w:tblW w:w="11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6"/>
        <w:gridCol w:w="2246"/>
        <w:gridCol w:w="1274"/>
        <w:gridCol w:w="1134"/>
        <w:gridCol w:w="988"/>
        <w:gridCol w:w="997"/>
        <w:gridCol w:w="992"/>
        <w:gridCol w:w="992"/>
        <w:gridCol w:w="1134"/>
      </w:tblGrid>
      <w:tr w:rsidR="007C53DD" w:rsidRPr="00A44AEB" w14:paraId="47838E22" w14:textId="77777777" w:rsidTr="00B06B88">
        <w:trPr>
          <w:jc w:val="center"/>
        </w:trPr>
        <w:tc>
          <w:tcPr>
            <w:tcW w:w="2146" w:type="dxa"/>
            <w:shd w:val="clear" w:color="auto" w:fill="BFBFBF" w:themeFill="background1" w:themeFillShade="BF"/>
            <w:vAlign w:val="center"/>
          </w:tcPr>
          <w:p w14:paraId="3BDA8D1B" w14:textId="77777777"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Pokazatelj uspješnosti</w:t>
            </w:r>
          </w:p>
        </w:tc>
        <w:tc>
          <w:tcPr>
            <w:tcW w:w="2246" w:type="dxa"/>
            <w:shd w:val="clear" w:color="auto" w:fill="BFBFBF" w:themeFill="background1" w:themeFillShade="BF"/>
            <w:vAlign w:val="center"/>
          </w:tcPr>
          <w:p w14:paraId="4A640F23" w14:textId="77777777"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Definicija</w:t>
            </w:r>
          </w:p>
        </w:tc>
        <w:tc>
          <w:tcPr>
            <w:tcW w:w="1274" w:type="dxa"/>
            <w:shd w:val="clear" w:color="auto" w:fill="BFBFBF" w:themeFill="background1" w:themeFillShade="BF"/>
            <w:vAlign w:val="center"/>
          </w:tcPr>
          <w:p w14:paraId="7BA592BE" w14:textId="77777777"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Jedinica</w:t>
            </w:r>
          </w:p>
        </w:tc>
        <w:tc>
          <w:tcPr>
            <w:tcW w:w="1134" w:type="dxa"/>
            <w:shd w:val="clear" w:color="auto" w:fill="BFBFBF" w:themeFill="background1" w:themeFillShade="BF"/>
            <w:vAlign w:val="center"/>
          </w:tcPr>
          <w:p w14:paraId="20873FB3" w14:textId="77777777"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Polazna vrijednost</w:t>
            </w:r>
          </w:p>
          <w:p w14:paraId="6230AB05" w14:textId="7FA36B86"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202</w:t>
            </w:r>
            <w:r>
              <w:rPr>
                <w:rFonts w:ascii="Arial" w:eastAsia="Calibri" w:hAnsi="Arial" w:cs="Arial"/>
                <w:sz w:val="16"/>
                <w:szCs w:val="16"/>
              </w:rPr>
              <w:t>4</w:t>
            </w:r>
            <w:r w:rsidRPr="00A44AEB">
              <w:rPr>
                <w:rFonts w:ascii="Arial" w:eastAsia="Calibri" w:hAnsi="Arial" w:cs="Arial"/>
                <w:sz w:val="16"/>
                <w:szCs w:val="16"/>
              </w:rPr>
              <w:t>.</w:t>
            </w:r>
          </w:p>
        </w:tc>
        <w:tc>
          <w:tcPr>
            <w:tcW w:w="988" w:type="dxa"/>
            <w:shd w:val="clear" w:color="auto" w:fill="BFBFBF" w:themeFill="background1" w:themeFillShade="BF"/>
            <w:vAlign w:val="center"/>
          </w:tcPr>
          <w:p w14:paraId="001DB896" w14:textId="0FB2CB49"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Izvor podataka</w:t>
            </w:r>
          </w:p>
        </w:tc>
        <w:tc>
          <w:tcPr>
            <w:tcW w:w="997" w:type="dxa"/>
            <w:shd w:val="clear" w:color="auto" w:fill="BFBFBF" w:themeFill="background1" w:themeFillShade="BF"/>
            <w:vAlign w:val="center"/>
          </w:tcPr>
          <w:p w14:paraId="0F3EF6D6" w14:textId="3E0D78DE"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Ciljana vrijednost 202</w:t>
            </w:r>
            <w:r>
              <w:rPr>
                <w:rFonts w:ascii="Arial" w:eastAsia="Calibri" w:hAnsi="Arial" w:cs="Arial"/>
                <w:sz w:val="16"/>
                <w:szCs w:val="16"/>
              </w:rPr>
              <w:t>5</w:t>
            </w:r>
            <w:r w:rsidRPr="00A44AEB">
              <w:rPr>
                <w:rFonts w:ascii="Arial" w:eastAsia="Calibri" w:hAnsi="Arial" w:cs="Arial"/>
                <w:sz w:val="16"/>
                <w:szCs w:val="16"/>
              </w:rPr>
              <w:t>.</w:t>
            </w:r>
          </w:p>
        </w:tc>
        <w:tc>
          <w:tcPr>
            <w:tcW w:w="992" w:type="dxa"/>
            <w:shd w:val="clear" w:color="auto" w:fill="BFBFBF" w:themeFill="background1" w:themeFillShade="BF"/>
            <w:vAlign w:val="center"/>
          </w:tcPr>
          <w:p w14:paraId="7D9026E3" w14:textId="06574163"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Izvršeno 202</w:t>
            </w:r>
            <w:r>
              <w:rPr>
                <w:rFonts w:ascii="Arial" w:eastAsia="Calibri" w:hAnsi="Arial" w:cs="Arial"/>
                <w:sz w:val="16"/>
                <w:szCs w:val="16"/>
              </w:rPr>
              <w:t>5</w:t>
            </w:r>
            <w:r w:rsidRPr="00A44AEB">
              <w:rPr>
                <w:rFonts w:ascii="Arial" w:eastAsia="Calibri" w:hAnsi="Arial" w:cs="Arial"/>
                <w:sz w:val="16"/>
                <w:szCs w:val="16"/>
              </w:rPr>
              <w:t>.</w:t>
            </w:r>
          </w:p>
        </w:tc>
        <w:tc>
          <w:tcPr>
            <w:tcW w:w="992" w:type="dxa"/>
            <w:shd w:val="clear" w:color="auto" w:fill="BFBFBF" w:themeFill="background1" w:themeFillShade="BF"/>
            <w:vAlign w:val="center"/>
          </w:tcPr>
          <w:p w14:paraId="1E30D50C" w14:textId="6E8EF33F"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Ciljana vrijednost 202</w:t>
            </w:r>
            <w:r>
              <w:rPr>
                <w:rFonts w:ascii="Arial" w:eastAsia="Calibri" w:hAnsi="Arial" w:cs="Arial"/>
                <w:sz w:val="16"/>
                <w:szCs w:val="16"/>
              </w:rPr>
              <w:t>6</w:t>
            </w:r>
            <w:r w:rsidRPr="00A44AEB">
              <w:rPr>
                <w:rFonts w:ascii="Arial" w:eastAsia="Calibri" w:hAnsi="Arial" w:cs="Arial"/>
                <w:sz w:val="16"/>
                <w:szCs w:val="16"/>
              </w:rPr>
              <w:t>.</w:t>
            </w:r>
          </w:p>
        </w:tc>
        <w:tc>
          <w:tcPr>
            <w:tcW w:w="1134" w:type="dxa"/>
            <w:shd w:val="clear" w:color="auto" w:fill="BFBFBF" w:themeFill="background1" w:themeFillShade="BF"/>
            <w:vAlign w:val="center"/>
          </w:tcPr>
          <w:p w14:paraId="5269FFB4" w14:textId="6A2E4CDC"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Ciljana vrijednost 202</w:t>
            </w:r>
            <w:r>
              <w:rPr>
                <w:rFonts w:ascii="Arial" w:eastAsia="Calibri" w:hAnsi="Arial" w:cs="Arial"/>
                <w:sz w:val="16"/>
                <w:szCs w:val="16"/>
              </w:rPr>
              <w:t>7</w:t>
            </w:r>
            <w:r w:rsidRPr="00A44AEB">
              <w:rPr>
                <w:rFonts w:ascii="Arial" w:eastAsia="Calibri" w:hAnsi="Arial" w:cs="Arial"/>
                <w:sz w:val="16"/>
                <w:szCs w:val="16"/>
              </w:rPr>
              <w:t>.</w:t>
            </w:r>
          </w:p>
        </w:tc>
      </w:tr>
      <w:tr w:rsidR="00CA3590" w:rsidRPr="00A44AEB" w14:paraId="33CCB312" w14:textId="77777777" w:rsidTr="00B06B88">
        <w:trPr>
          <w:trHeight w:val="621"/>
          <w:jc w:val="center"/>
        </w:trPr>
        <w:tc>
          <w:tcPr>
            <w:tcW w:w="2146" w:type="dxa"/>
            <w:vAlign w:val="center"/>
          </w:tcPr>
          <w:p w14:paraId="1CF07DDA" w14:textId="77777777" w:rsidR="00CA3590" w:rsidRPr="00A44AEB" w:rsidRDefault="00CA3590" w:rsidP="00CA3590">
            <w:pPr>
              <w:rPr>
                <w:rFonts w:ascii="Arial" w:hAnsi="Arial" w:cs="Arial"/>
                <w:sz w:val="16"/>
                <w:szCs w:val="16"/>
                <w:lang w:eastAsia="en-US"/>
              </w:rPr>
            </w:pPr>
            <w:r w:rsidRPr="00A53DCF">
              <w:rPr>
                <w:rFonts w:ascii="Arial" w:hAnsi="Arial" w:cs="Arial"/>
                <w:sz w:val="18"/>
                <w:szCs w:val="18"/>
                <w:lang w:eastAsia="en-US"/>
              </w:rPr>
              <w:t>Broj posjeta školske  djece</w:t>
            </w:r>
          </w:p>
        </w:tc>
        <w:tc>
          <w:tcPr>
            <w:tcW w:w="2246" w:type="dxa"/>
            <w:vAlign w:val="center"/>
          </w:tcPr>
          <w:p w14:paraId="5118E352" w14:textId="77777777" w:rsidR="00CA3590" w:rsidRPr="00A44AEB" w:rsidRDefault="00CA3590" w:rsidP="00CA3590">
            <w:pPr>
              <w:rPr>
                <w:rFonts w:ascii="Arial" w:hAnsi="Arial" w:cs="Arial"/>
                <w:sz w:val="16"/>
                <w:szCs w:val="16"/>
                <w:lang w:eastAsia="en-US"/>
              </w:rPr>
            </w:pPr>
            <w:r w:rsidRPr="00A53DCF">
              <w:rPr>
                <w:rFonts w:ascii="Arial" w:hAnsi="Arial" w:cs="Arial"/>
                <w:sz w:val="18"/>
                <w:szCs w:val="18"/>
                <w:lang w:eastAsia="en-US"/>
              </w:rPr>
              <w:t>Intenzivna suradnja sa školama</w:t>
            </w:r>
          </w:p>
        </w:tc>
        <w:tc>
          <w:tcPr>
            <w:tcW w:w="1274" w:type="dxa"/>
            <w:vAlign w:val="center"/>
          </w:tcPr>
          <w:p w14:paraId="42D5936F" w14:textId="77777777" w:rsidR="00CA3590" w:rsidRPr="00A44AEB" w:rsidRDefault="00CA3590" w:rsidP="00CA3590">
            <w:pPr>
              <w:jc w:val="center"/>
              <w:rPr>
                <w:rFonts w:ascii="Arial" w:hAnsi="Arial" w:cs="Arial"/>
                <w:sz w:val="16"/>
                <w:szCs w:val="16"/>
                <w:lang w:eastAsia="en-US"/>
              </w:rPr>
            </w:pPr>
            <w:r w:rsidRPr="00A53DCF">
              <w:rPr>
                <w:rFonts w:ascii="Arial" w:hAnsi="Arial" w:cs="Arial"/>
                <w:sz w:val="18"/>
                <w:szCs w:val="18"/>
                <w:lang w:eastAsia="en-US"/>
              </w:rPr>
              <w:t>dijete</w:t>
            </w:r>
          </w:p>
        </w:tc>
        <w:tc>
          <w:tcPr>
            <w:tcW w:w="1134" w:type="dxa"/>
            <w:vAlign w:val="center"/>
          </w:tcPr>
          <w:p w14:paraId="1685F094" w14:textId="4B45B085" w:rsidR="00CA3590" w:rsidRPr="00A44AEB" w:rsidRDefault="00CA3590" w:rsidP="00CA3590">
            <w:pPr>
              <w:jc w:val="center"/>
              <w:rPr>
                <w:rFonts w:ascii="Arial" w:hAnsi="Arial" w:cs="Arial"/>
                <w:sz w:val="16"/>
                <w:szCs w:val="16"/>
                <w:lang w:eastAsia="en-US"/>
              </w:rPr>
            </w:pPr>
            <w:r w:rsidRPr="00A53DCF">
              <w:rPr>
                <w:rFonts w:ascii="Arial" w:hAnsi="Arial" w:cs="Arial"/>
                <w:sz w:val="18"/>
                <w:szCs w:val="18"/>
                <w:lang w:eastAsia="en-US"/>
              </w:rPr>
              <w:t>1942</w:t>
            </w:r>
          </w:p>
        </w:tc>
        <w:tc>
          <w:tcPr>
            <w:tcW w:w="988" w:type="dxa"/>
            <w:vAlign w:val="center"/>
          </w:tcPr>
          <w:p w14:paraId="2B6B1CC8" w14:textId="77777777" w:rsidR="00CA3590" w:rsidRPr="00A44AEB" w:rsidRDefault="00CA3590" w:rsidP="00CA3590">
            <w:pPr>
              <w:jc w:val="center"/>
              <w:rPr>
                <w:rFonts w:ascii="Arial" w:hAnsi="Arial" w:cs="Arial"/>
                <w:sz w:val="16"/>
                <w:szCs w:val="16"/>
                <w:lang w:eastAsia="en-US"/>
              </w:rPr>
            </w:pPr>
            <w:r w:rsidRPr="00A53DCF">
              <w:rPr>
                <w:rFonts w:ascii="Arial" w:hAnsi="Arial" w:cs="Arial"/>
                <w:sz w:val="18"/>
                <w:szCs w:val="18"/>
                <w:lang w:eastAsia="en-US"/>
              </w:rPr>
              <w:t>Odjel općih poslova</w:t>
            </w:r>
          </w:p>
        </w:tc>
        <w:tc>
          <w:tcPr>
            <w:tcW w:w="997" w:type="dxa"/>
            <w:vAlign w:val="center"/>
          </w:tcPr>
          <w:p w14:paraId="473BF547" w14:textId="77777777" w:rsidR="00CA3590" w:rsidRPr="00A44AEB" w:rsidRDefault="00CA3590" w:rsidP="00CA3590">
            <w:pPr>
              <w:jc w:val="center"/>
              <w:rPr>
                <w:rFonts w:ascii="Arial" w:hAnsi="Arial" w:cs="Arial"/>
                <w:sz w:val="16"/>
                <w:szCs w:val="16"/>
                <w:lang w:eastAsia="en-US"/>
              </w:rPr>
            </w:pPr>
            <w:r w:rsidRPr="00A53DCF">
              <w:rPr>
                <w:rFonts w:ascii="Arial" w:hAnsi="Arial" w:cs="Arial"/>
                <w:sz w:val="18"/>
                <w:szCs w:val="18"/>
                <w:lang w:eastAsia="en-US"/>
              </w:rPr>
              <w:t>1.500</w:t>
            </w:r>
          </w:p>
        </w:tc>
        <w:tc>
          <w:tcPr>
            <w:tcW w:w="992" w:type="dxa"/>
            <w:vAlign w:val="center"/>
          </w:tcPr>
          <w:p w14:paraId="623D8FB7" w14:textId="3F35216D" w:rsidR="00CA3590" w:rsidRPr="00A44AEB" w:rsidRDefault="00A87CE0" w:rsidP="00CA3590">
            <w:pPr>
              <w:jc w:val="center"/>
              <w:rPr>
                <w:rFonts w:ascii="Arial" w:hAnsi="Arial" w:cs="Arial"/>
                <w:sz w:val="16"/>
                <w:szCs w:val="16"/>
                <w:lang w:eastAsia="en-US"/>
              </w:rPr>
            </w:pPr>
            <w:r>
              <w:rPr>
                <w:rFonts w:ascii="Arial" w:hAnsi="Arial" w:cs="Arial"/>
                <w:sz w:val="18"/>
                <w:szCs w:val="18"/>
                <w:lang w:eastAsia="en-US"/>
              </w:rPr>
              <w:t>1.610</w:t>
            </w:r>
          </w:p>
        </w:tc>
        <w:tc>
          <w:tcPr>
            <w:tcW w:w="992" w:type="dxa"/>
            <w:vAlign w:val="center"/>
          </w:tcPr>
          <w:p w14:paraId="6EBF4109" w14:textId="77777777" w:rsidR="00CA3590" w:rsidRPr="00A44AEB" w:rsidRDefault="00CA3590" w:rsidP="00CA3590">
            <w:pPr>
              <w:jc w:val="center"/>
              <w:rPr>
                <w:rFonts w:ascii="Arial" w:hAnsi="Arial" w:cs="Arial"/>
                <w:sz w:val="16"/>
                <w:szCs w:val="16"/>
                <w:lang w:eastAsia="en-US"/>
              </w:rPr>
            </w:pPr>
            <w:r w:rsidRPr="00A53DCF">
              <w:rPr>
                <w:rFonts w:ascii="Arial" w:hAnsi="Arial" w:cs="Arial"/>
                <w:sz w:val="18"/>
                <w:szCs w:val="18"/>
                <w:lang w:eastAsia="en-US"/>
              </w:rPr>
              <w:t>1.500</w:t>
            </w:r>
          </w:p>
        </w:tc>
        <w:tc>
          <w:tcPr>
            <w:tcW w:w="1134" w:type="dxa"/>
            <w:vAlign w:val="center"/>
          </w:tcPr>
          <w:p w14:paraId="3A2EE324" w14:textId="77777777" w:rsidR="00CA3590" w:rsidRPr="00A44AEB" w:rsidRDefault="00CA3590" w:rsidP="00CA3590">
            <w:pPr>
              <w:jc w:val="center"/>
              <w:rPr>
                <w:rFonts w:ascii="Arial" w:hAnsi="Arial" w:cs="Arial"/>
                <w:sz w:val="16"/>
                <w:szCs w:val="16"/>
                <w:lang w:eastAsia="en-US"/>
              </w:rPr>
            </w:pPr>
            <w:r w:rsidRPr="00A53DCF">
              <w:rPr>
                <w:rFonts w:ascii="Arial" w:hAnsi="Arial" w:cs="Arial"/>
                <w:sz w:val="18"/>
                <w:szCs w:val="18"/>
                <w:lang w:eastAsia="en-US"/>
              </w:rPr>
              <w:t>1.500</w:t>
            </w:r>
          </w:p>
        </w:tc>
      </w:tr>
    </w:tbl>
    <w:p w14:paraId="06A66889" w14:textId="17E9DC6E" w:rsidR="00A44AEB" w:rsidRDefault="00A87CE0" w:rsidP="00A44AEB">
      <w:pPr>
        <w:spacing w:after="0" w:line="259" w:lineRule="auto"/>
        <w:rPr>
          <w:rFonts w:ascii="Arial" w:eastAsia="Calibri" w:hAnsi="Arial" w:cs="Arial"/>
          <w:sz w:val="20"/>
          <w:szCs w:val="20"/>
          <w:lang w:eastAsia="en-US"/>
        </w:rPr>
      </w:pPr>
      <w:r w:rsidRPr="00A87CE0">
        <w:rPr>
          <w:rFonts w:ascii="Arial" w:eastAsia="Calibri" w:hAnsi="Arial" w:cs="Arial"/>
          <w:sz w:val="20"/>
          <w:szCs w:val="20"/>
          <w:lang w:eastAsia="en-US"/>
        </w:rPr>
        <w:t>OPIS: Ustanova intenzivno surađuje sa obrazovnim ustanovama, najčešće sa osnovnim školama koje svoje posjete organiziraju uglavnom u kasno proljeće.</w:t>
      </w:r>
    </w:p>
    <w:p w14:paraId="5FBABB51" w14:textId="77777777" w:rsidR="00A87CE0" w:rsidRPr="00A44AEB" w:rsidRDefault="00A87CE0" w:rsidP="00A44AEB">
      <w:pPr>
        <w:spacing w:after="0" w:line="259" w:lineRule="auto"/>
        <w:rPr>
          <w:rFonts w:ascii="Arial" w:eastAsia="Calibri" w:hAnsi="Arial" w:cs="Arial"/>
          <w:sz w:val="20"/>
          <w:szCs w:val="20"/>
          <w:highlight w:val="yellow"/>
          <w:lang w:eastAsia="en-US"/>
        </w:rPr>
      </w:pPr>
    </w:p>
    <w:tbl>
      <w:tblPr>
        <w:tblStyle w:val="Reetkatablice5"/>
        <w:tblW w:w="12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0"/>
        <w:gridCol w:w="2246"/>
        <w:gridCol w:w="1274"/>
        <w:gridCol w:w="1134"/>
        <w:gridCol w:w="988"/>
        <w:gridCol w:w="997"/>
        <w:gridCol w:w="992"/>
        <w:gridCol w:w="992"/>
        <w:gridCol w:w="1134"/>
      </w:tblGrid>
      <w:tr w:rsidR="007C53DD" w:rsidRPr="00A44AEB" w14:paraId="4C321DD4" w14:textId="77777777" w:rsidTr="00731E7F">
        <w:trPr>
          <w:jc w:val="center"/>
        </w:trPr>
        <w:tc>
          <w:tcPr>
            <w:tcW w:w="2860" w:type="dxa"/>
            <w:shd w:val="clear" w:color="auto" w:fill="BFBFBF" w:themeFill="background1" w:themeFillShade="BF"/>
            <w:vAlign w:val="center"/>
          </w:tcPr>
          <w:p w14:paraId="3905051F" w14:textId="77777777"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Pokazatelj uspješnosti</w:t>
            </w:r>
          </w:p>
        </w:tc>
        <w:tc>
          <w:tcPr>
            <w:tcW w:w="2246" w:type="dxa"/>
            <w:shd w:val="clear" w:color="auto" w:fill="BFBFBF" w:themeFill="background1" w:themeFillShade="BF"/>
            <w:vAlign w:val="center"/>
          </w:tcPr>
          <w:p w14:paraId="10A23654" w14:textId="77777777"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Definicija</w:t>
            </w:r>
          </w:p>
        </w:tc>
        <w:tc>
          <w:tcPr>
            <w:tcW w:w="1274" w:type="dxa"/>
            <w:shd w:val="clear" w:color="auto" w:fill="BFBFBF" w:themeFill="background1" w:themeFillShade="BF"/>
            <w:vAlign w:val="center"/>
          </w:tcPr>
          <w:p w14:paraId="3A0AF39B" w14:textId="77777777"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Jedinica</w:t>
            </w:r>
          </w:p>
        </w:tc>
        <w:tc>
          <w:tcPr>
            <w:tcW w:w="1134" w:type="dxa"/>
            <w:shd w:val="clear" w:color="auto" w:fill="BFBFBF" w:themeFill="background1" w:themeFillShade="BF"/>
            <w:vAlign w:val="center"/>
          </w:tcPr>
          <w:p w14:paraId="2885F83D" w14:textId="77777777"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Polazna vrijednost</w:t>
            </w:r>
          </w:p>
          <w:p w14:paraId="46CF565B" w14:textId="3690F57B"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202</w:t>
            </w:r>
            <w:r>
              <w:rPr>
                <w:rFonts w:ascii="Arial" w:eastAsia="Calibri" w:hAnsi="Arial" w:cs="Arial"/>
                <w:sz w:val="16"/>
                <w:szCs w:val="16"/>
              </w:rPr>
              <w:t>4</w:t>
            </w:r>
            <w:r w:rsidRPr="00A44AEB">
              <w:rPr>
                <w:rFonts w:ascii="Arial" w:eastAsia="Calibri" w:hAnsi="Arial" w:cs="Arial"/>
                <w:sz w:val="16"/>
                <w:szCs w:val="16"/>
              </w:rPr>
              <w:t>.</w:t>
            </w:r>
          </w:p>
        </w:tc>
        <w:tc>
          <w:tcPr>
            <w:tcW w:w="988" w:type="dxa"/>
            <w:shd w:val="clear" w:color="auto" w:fill="BFBFBF" w:themeFill="background1" w:themeFillShade="BF"/>
            <w:vAlign w:val="center"/>
          </w:tcPr>
          <w:p w14:paraId="1B30C2FE" w14:textId="419D4E54"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Izvor podataka</w:t>
            </w:r>
          </w:p>
        </w:tc>
        <w:tc>
          <w:tcPr>
            <w:tcW w:w="997" w:type="dxa"/>
            <w:shd w:val="clear" w:color="auto" w:fill="BFBFBF" w:themeFill="background1" w:themeFillShade="BF"/>
            <w:vAlign w:val="center"/>
          </w:tcPr>
          <w:p w14:paraId="38B54D43" w14:textId="0FF7066D"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Ciljana vrijednost 202</w:t>
            </w:r>
            <w:r>
              <w:rPr>
                <w:rFonts w:ascii="Arial" w:eastAsia="Calibri" w:hAnsi="Arial" w:cs="Arial"/>
                <w:sz w:val="16"/>
                <w:szCs w:val="16"/>
              </w:rPr>
              <w:t>5</w:t>
            </w:r>
            <w:r w:rsidRPr="00A44AEB">
              <w:rPr>
                <w:rFonts w:ascii="Arial" w:eastAsia="Calibri" w:hAnsi="Arial" w:cs="Arial"/>
                <w:sz w:val="16"/>
                <w:szCs w:val="16"/>
              </w:rPr>
              <w:t>.</w:t>
            </w:r>
          </w:p>
        </w:tc>
        <w:tc>
          <w:tcPr>
            <w:tcW w:w="992" w:type="dxa"/>
            <w:shd w:val="clear" w:color="auto" w:fill="BFBFBF" w:themeFill="background1" w:themeFillShade="BF"/>
            <w:vAlign w:val="center"/>
          </w:tcPr>
          <w:p w14:paraId="1E61C5A7" w14:textId="29FCBB6A"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Izvršeno 202</w:t>
            </w:r>
            <w:r>
              <w:rPr>
                <w:rFonts w:ascii="Arial" w:eastAsia="Calibri" w:hAnsi="Arial" w:cs="Arial"/>
                <w:sz w:val="16"/>
                <w:szCs w:val="16"/>
              </w:rPr>
              <w:t>5</w:t>
            </w:r>
            <w:r w:rsidRPr="00A44AEB">
              <w:rPr>
                <w:rFonts w:ascii="Arial" w:eastAsia="Calibri" w:hAnsi="Arial" w:cs="Arial"/>
                <w:sz w:val="16"/>
                <w:szCs w:val="16"/>
              </w:rPr>
              <w:t>.</w:t>
            </w:r>
          </w:p>
        </w:tc>
        <w:tc>
          <w:tcPr>
            <w:tcW w:w="992" w:type="dxa"/>
            <w:shd w:val="clear" w:color="auto" w:fill="BFBFBF" w:themeFill="background1" w:themeFillShade="BF"/>
            <w:vAlign w:val="center"/>
          </w:tcPr>
          <w:p w14:paraId="27E867FE" w14:textId="4AC24913"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Ciljana vrijednost 202</w:t>
            </w:r>
            <w:r>
              <w:rPr>
                <w:rFonts w:ascii="Arial" w:eastAsia="Calibri" w:hAnsi="Arial" w:cs="Arial"/>
                <w:sz w:val="16"/>
                <w:szCs w:val="16"/>
              </w:rPr>
              <w:t>6</w:t>
            </w:r>
            <w:r w:rsidRPr="00A44AEB">
              <w:rPr>
                <w:rFonts w:ascii="Arial" w:eastAsia="Calibri" w:hAnsi="Arial" w:cs="Arial"/>
                <w:sz w:val="16"/>
                <w:szCs w:val="16"/>
              </w:rPr>
              <w:t>.</w:t>
            </w:r>
          </w:p>
        </w:tc>
        <w:tc>
          <w:tcPr>
            <w:tcW w:w="1134" w:type="dxa"/>
            <w:shd w:val="clear" w:color="auto" w:fill="BFBFBF" w:themeFill="background1" w:themeFillShade="BF"/>
            <w:vAlign w:val="center"/>
          </w:tcPr>
          <w:p w14:paraId="19EA4A53" w14:textId="5C0A1918" w:rsidR="007C53DD" w:rsidRPr="00A44AEB" w:rsidRDefault="007C53DD" w:rsidP="007C53DD">
            <w:pPr>
              <w:jc w:val="center"/>
              <w:rPr>
                <w:rFonts w:ascii="Arial" w:eastAsia="Calibri" w:hAnsi="Arial" w:cs="Arial"/>
                <w:sz w:val="16"/>
                <w:szCs w:val="16"/>
              </w:rPr>
            </w:pPr>
            <w:r w:rsidRPr="00A44AEB">
              <w:rPr>
                <w:rFonts w:ascii="Arial" w:eastAsia="Calibri" w:hAnsi="Arial" w:cs="Arial"/>
                <w:sz w:val="16"/>
                <w:szCs w:val="16"/>
              </w:rPr>
              <w:t>Ciljana vrijednost 202</w:t>
            </w:r>
            <w:r>
              <w:rPr>
                <w:rFonts w:ascii="Arial" w:eastAsia="Calibri" w:hAnsi="Arial" w:cs="Arial"/>
                <w:sz w:val="16"/>
                <w:szCs w:val="16"/>
              </w:rPr>
              <w:t>7</w:t>
            </w:r>
            <w:r w:rsidRPr="00A44AEB">
              <w:rPr>
                <w:rFonts w:ascii="Arial" w:eastAsia="Calibri" w:hAnsi="Arial" w:cs="Arial"/>
                <w:sz w:val="16"/>
                <w:szCs w:val="16"/>
              </w:rPr>
              <w:t>.</w:t>
            </w:r>
          </w:p>
        </w:tc>
      </w:tr>
      <w:tr w:rsidR="00CA3590" w:rsidRPr="00A44AEB" w14:paraId="0381913A" w14:textId="77777777" w:rsidTr="00731E7F">
        <w:trPr>
          <w:trHeight w:val="621"/>
          <w:jc w:val="center"/>
        </w:trPr>
        <w:tc>
          <w:tcPr>
            <w:tcW w:w="2860" w:type="dxa"/>
            <w:vAlign w:val="center"/>
          </w:tcPr>
          <w:p w14:paraId="39AF3963" w14:textId="77777777" w:rsidR="00CA3590" w:rsidRPr="00A44AEB" w:rsidRDefault="00CA3590" w:rsidP="00CA3590">
            <w:pPr>
              <w:rPr>
                <w:rFonts w:ascii="Arial" w:hAnsi="Arial" w:cs="Arial"/>
                <w:sz w:val="16"/>
                <w:szCs w:val="16"/>
                <w:lang w:eastAsia="en-US"/>
              </w:rPr>
            </w:pPr>
            <w:r w:rsidRPr="00A44AEB">
              <w:rPr>
                <w:rFonts w:ascii="Arial" w:hAnsi="Arial" w:cs="Arial"/>
                <w:sz w:val="18"/>
                <w:szCs w:val="18"/>
                <w:lang w:eastAsia="en-US"/>
              </w:rPr>
              <w:t>Broj volontera u knjižnici</w:t>
            </w:r>
          </w:p>
        </w:tc>
        <w:tc>
          <w:tcPr>
            <w:tcW w:w="2246" w:type="dxa"/>
            <w:vAlign w:val="center"/>
          </w:tcPr>
          <w:p w14:paraId="12396FF9" w14:textId="77777777" w:rsidR="00CA3590" w:rsidRPr="00A44AEB" w:rsidRDefault="00CA3590" w:rsidP="00CA3590">
            <w:pPr>
              <w:rPr>
                <w:rFonts w:ascii="Arial" w:hAnsi="Arial" w:cs="Arial"/>
                <w:sz w:val="16"/>
                <w:szCs w:val="16"/>
                <w:lang w:eastAsia="en-US"/>
              </w:rPr>
            </w:pPr>
            <w:r w:rsidRPr="00A44AEB">
              <w:rPr>
                <w:rFonts w:ascii="Arial" w:hAnsi="Arial" w:cs="Arial"/>
                <w:sz w:val="18"/>
                <w:szCs w:val="18"/>
                <w:lang w:eastAsia="en-US"/>
              </w:rPr>
              <w:t>Edukacija i koristan rad volontera</w:t>
            </w:r>
          </w:p>
        </w:tc>
        <w:tc>
          <w:tcPr>
            <w:tcW w:w="1274" w:type="dxa"/>
            <w:vAlign w:val="center"/>
          </w:tcPr>
          <w:p w14:paraId="4089513D" w14:textId="77777777" w:rsidR="00CA3590" w:rsidRPr="00A44AEB" w:rsidRDefault="00CA3590" w:rsidP="00CA3590">
            <w:pPr>
              <w:jc w:val="center"/>
              <w:rPr>
                <w:rFonts w:ascii="Arial" w:hAnsi="Arial" w:cs="Arial"/>
                <w:sz w:val="16"/>
                <w:szCs w:val="16"/>
                <w:lang w:eastAsia="en-US"/>
              </w:rPr>
            </w:pPr>
            <w:r w:rsidRPr="00A44AEB">
              <w:rPr>
                <w:rFonts w:ascii="Arial" w:hAnsi="Arial" w:cs="Arial"/>
                <w:sz w:val="18"/>
                <w:szCs w:val="18"/>
                <w:lang w:eastAsia="en-US"/>
              </w:rPr>
              <w:t>volonter</w:t>
            </w:r>
          </w:p>
        </w:tc>
        <w:tc>
          <w:tcPr>
            <w:tcW w:w="1134" w:type="dxa"/>
            <w:vAlign w:val="center"/>
          </w:tcPr>
          <w:p w14:paraId="6EFE6A53" w14:textId="74357556" w:rsidR="00CA3590" w:rsidRPr="00A44AEB" w:rsidRDefault="00CA3590" w:rsidP="00CA3590">
            <w:pPr>
              <w:jc w:val="center"/>
              <w:rPr>
                <w:rFonts w:ascii="Arial" w:hAnsi="Arial" w:cs="Arial"/>
                <w:sz w:val="16"/>
                <w:szCs w:val="16"/>
                <w:lang w:eastAsia="en-US"/>
              </w:rPr>
            </w:pPr>
            <w:r w:rsidRPr="00A44AEB">
              <w:rPr>
                <w:rFonts w:ascii="Arial" w:hAnsi="Arial" w:cs="Arial"/>
                <w:sz w:val="18"/>
                <w:szCs w:val="18"/>
                <w:lang w:eastAsia="en-US"/>
              </w:rPr>
              <w:t>3</w:t>
            </w:r>
          </w:p>
        </w:tc>
        <w:tc>
          <w:tcPr>
            <w:tcW w:w="988" w:type="dxa"/>
            <w:vAlign w:val="center"/>
          </w:tcPr>
          <w:p w14:paraId="3141D1D6" w14:textId="77777777" w:rsidR="00CA3590" w:rsidRPr="00A44AEB" w:rsidRDefault="00CA3590" w:rsidP="00CA3590">
            <w:pPr>
              <w:jc w:val="center"/>
              <w:rPr>
                <w:rFonts w:ascii="Arial" w:hAnsi="Arial" w:cs="Arial"/>
                <w:sz w:val="16"/>
                <w:szCs w:val="16"/>
                <w:lang w:eastAsia="en-US"/>
              </w:rPr>
            </w:pPr>
            <w:r w:rsidRPr="00A44AEB">
              <w:rPr>
                <w:rFonts w:ascii="Arial" w:hAnsi="Arial" w:cs="Arial"/>
                <w:sz w:val="18"/>
                <w:szCs w:val="18"/>
                <w:lang w:eastAsia="en-US"/>
              </w:rPr>
              <w:t>Odjel općih poslova</w:t>
            </w:r>
          </w:p>
        </w:tc>
        <w:tc>
          <w:tcPr>
            <w:tcW w:w="997" w:type="dxa"/>
            <w:vAlign w:val="center"/>
          </w:tcPr>
          <w:p w14:paraId="451BD6EF" w14:textId="05E1BAF6" w:rsidR="00CA3590" w:rsidRPr="00A44AEB" w:rsidRDefault="00CA3590" w:rsidP="00CA3590">
            <w:pPr>
              <w:jc w:val="center"/>
              <w:rPr>
                <w:rFonts w:ascii="Arial" w:hAnsi="Arial" w:cs="Arial"/>
                <w:sz w:val="16"/>
                <w:szCs w:val="16"/>
                <w:lang w:eastAsia="en-US"/>
              </w:rPr>
            </w:pPr>
            <w:r>
              <w:rPr>
                <w:rFonts w:asciiTheme="minorHAnsi" w:hAnsiTheme="minorHAnsi" w:cstheme="minorHAnsi"/>
                <w:sz w:val="18"/>
                <w:szCs w:val="18"/>
              </w:rPr>
              <w:t>2</w:t>
            </w:r>
          </w:p>
        </w:tc>
        <w:tc>
          <w:tcPr>
            <w:tcW w:w="992" w:type="dxa"/>
            <w:vAlign w:val="center"/>
          </w:tcPr>
          <w:p w14:paraId="581160A5" w14:textId="601EC108" w:rsidR="00CA3590" w:rsidRPr="00A44AEB" w:rsidRDefault="00CA3590" w:rsidP="00CA3590">
            <w:pPr>
              <w:jc w:val="center"/>
              <w:rPr>
                <w:rFonts w:ascii="Arial" w:hAnsi="Arial" w:cs="Arial"/>
                <w:sz w:val="16"/>
                <w:szCs w:val="16"/>
                <w:lang w:eastAsia="en-US"/>
              </w:rPr>
            </w:pPr>
            <w:r w:rsidRPr="0092756E">
              <w:rPr>
                <w:rFonts w:asciiTheme="minorHAnsi" w:hAnsiTheme="minorHAnsi" w:cstheme="minorHAnsi"/>
                <w:sz w:val="18"/>
                <w:szCs w:val="18"/>
              </w:rPr>
              <w:t>0</w:t>
            </w:r>
          </w:p>
        </w:tc>
        <w:tc>
          <w:tcPr>
            <w:tcW w:w="992" w:type="dxa"/>
            <w:vAlign w:val="center"/>
          </w:tcPr>
          <w:p w14:paraId="2DB58145" w14:textId="30B135EE" w:rsidR="00CA3590" w:rsidRPr="00A44AEB" w:rsidRDefault="00CA3590" w:rsidP="00CA3590">
            <w:pPr>
              <w:jc w:val="center"/>
              <w:rPr>
                <w:rFonts w:ascii="Arial" w:hAnsi="Arial" w:cs="Arial"/>
                <w:sz w:val="16"/>
                <w:szCs w:val="16"/>
                <w:lang w:eastAsia="en-US"/>
              </w:rPr>
            </w:pPr>
            <w:r w:rsidRPr="0092756E">
              <w:rPr>
                <w:rFonts w:asciiTheme="minorHAnsi" w:hAnsiTheme="minorHAnsi" w:cstheme="minorHAnsi"/>
                <w:sz w:val="18"/>
                <w:szCs w:val="18"/>
              </w:rPr>
              <w:t>2</w:t>
            </w:r>
          </w:p>
        </w:tc>
        <w:tc>
          <w:tcPr>
            <w:tcW w:w="1134" w:type="dxa"/>
            <w:vAlign w:val="center"/>
          </w:tcPr>
          <w:p w14:paraId="272CFA0D" w14:textId="48E49488" w:rsidR="00CA3590" w:rsidRPr="00A44AEB" w:rsidRDefault="00CA3590" w:rsidP="00CA3590">
            <w:pPr>
              <w:jc w:val="center"/>
              <w:rPr>
                <w:rFonts w:ascii="Arial" w:hAnsi="Arial" w:cs="Arial"/>
                <w:sz w:val="16"/>
                <w:szCs w:val="16"/>
                <w:lang w:eastAsia="en-US"/>
              </w:rPr>
            </w:pPr>
            <w:r w:rsidRPr="0092756E">
              <w:rPr>
                <w:rFonts w:asciiTheme="minorHAnsi" w:hAnsiTheme="minorHAnsi" w:cstheme="minorHAnsi"/>
                <w:sz w:val="18"/>
                <w:szCs w:val="18"/>
              </w:rPr>
              <w:t>2</w:t>
            </w:r>
          </w:p>
        </w:tc>
      </w:tr>
      <w:tr w:rsidR="00CA3590" w:rsidRPr="00A44AEB" w14:paraId="2A1C20CF" w14:textId="77777777" w:rsidTr="00731E7F">
        <w:trPr>
          <w:trHeight w:val="621"/>
          <w:jc w:val="center"/>
        </w:trPr>
        <w:tc>
          <w:tcPr>
            <w:tcW w:w="2860" w:type="dxa"/>
            <w:vAlign w:val="center"/>
          </w:tcPr>
          <w:p w14:paraId="1CAD2302" w14:textId="77777777" w:rsidR="00CA3590" w:rsidRPr="00A44AEB" w:rsidRDefault="00CA3590" w:rsidP="00CA3590">
            <w:pPr>
              <w:rPr>
                <w:rFonts w:ascii="Arial" w:hAnsi="Arial" w:cs="Arial"/>
                <w:sz w:val="18"/>
                <w:szCs w:val="18"/>
                <w:lang w:eastAsia="en-US"/>
              </w:rPr>
            </w:pPr>
            <w:r w:rsidRPr="00A44AEB">
              <w:rPr>
                <w:rFonts w:ascii="Arial" w:hAnsi="Arial" w:cs="Arial"/>
                <w:sz w:val="18"/>
                <w:szCs w:val="18"/>
                <w:lang w:eastAsia="en-US"/>
              </w:rPr>
              <w:lastRenderedPageBreak/>
              <w:t>Broj volontera na lokalitetima</w:t>
            </w:r>
          </w:p>
        </w:tc>
        <w:tc>
          <w:tcPr>
            <w:tcW w:w="2246" w:type="dxa"/>
            <w:vAlign w:val="center"/>
          </w:tcPr>
          <w:p w14:paraId="3924BB66" w14:textId="77777777" w:rsidR="00CA3590" w:rsidRPr="00A44AEB" w:rsidRDefault="00CA3590" w:rsidP="00CA3590">
            <w:pPr>
              <w:rPr>
                <w:rFonts w:ascii="Arial" w:hAnsi="Arial" w:cs="Arial"/>
                <w:sz w:val="18"/>
                <w:szCs w:val="18"/>
                <w:lang w:eastAsia="en-US"/>
              </w:rPr>
            </w:pPr>
            <w:r w:rsidRPr="00A44AEB">
              <w:rPr>
                <w:rFonts w:ascii="Arial" w:hAnsi="Arial" w:cs="Arial"/>
                <w:sz w:val="18"/>
                <w:szCs w:val="18"/>
                <w:lang w:eastAsia="en-US"/>
              </w:rPr>
              <w:t>Edukacija i koristan rad volontera</w:t>
            </w:r>
          </w:p>
        </w:tc>
        <w:tc>
          <w:tcPr>
            <w:tcW w:w="1274" w:type="dxa"/>
            <w:vAlign w:val="center"/>
          </w:tcPr>
          <w:p w14:paraId="51361052" w14:textId="77777777" w:rsidR="00CA3590" w:rsidRPr="00A44AEB" w:rsidRDefault="00CA3590" w:rsidP="00CA3590">
            <w:pPr>
              <w:jc w:val="center"/>
              <w:rPr>
                <w:rFonts w:ascii="Arial" w:hAnsi="Arial" w:cs="Arial"/>
                <w:sz w:val="18"/>
                <w:szCs w:val="18"/>
                <w:lang w:eastAsia="en-US"/>
              </w:rPr>
            </w:pPr>
            <w:r w:rsidRPr="00A44AEB">
              <w:rPr>
                <w:rFonts w:ascii="Arial" w:hAnsi="Arial" w:cs="Arial"/>
                <w:sz w:val="18"/>
                <w:szCs w:val="18"/>
                <w:lang w:eastAsia="en-US"/>
              </w:rPr>
              <w:t>volonter</w:t>
            </w:r>
          </w:p>
        </w:tc>
        <w:tc>
          <w:tcPr>
            <w:tcW w:w="1134" w:type="dxa"/>
            <w:vAlign w:val="center"/>
          </w:tcPr>
          <w:p w14:paraId="221CF295" w14:textId="486C5F5F" w:rsidR="00CA3590" w:rsidRPr="00A44AEB" w:rsidRDefault="00CA3590" w:rsidP="00CA3590">
            <w:pPr>
              <w:jc w:val="center"/>
              <w:rPr>
                <w:rFonts w:ascii="Arial" w:hAnsi="Arial" w:cs="Arial"/>
                <w:sz w:val="18"/>
                <w:szCs w:val="18"/>
                <w:lang w:eastAsia="en-US"/>
              </w:rPr>
            </w:pPr>
            <w:r w:rsidRPr="00A44AEB">
              <w:rPr>
                <w:rFonts w:ascii="Arial" w:hAnsi="Arial" w:cs="Arial"/>
                <w:sz w:val="18"/>
                <w:szCs w:val="18"/>
                <w:lang w:eastAsia="en-US"/>
              </w:rPr>
              <w:t>1</w:t>
            </w:r>
          </w:p>
        </w:tc>
        <w:tc>
          <w:tcPr>
            <w:tcW w:w="988" w:type="dxa"/>
            <w:vAlign w:val="center"/>
          </w:tcPr>
          <w:p w14:paraId="4B92FAF8" w14:textId="77777777" w:rsidR="00CA3590" w:rsidRPr="00A44AEB" w:rsidRDefault="00CA3590" w:rsidP="00CA3590">
            <w:pPr>
              <w:jc w:val="center"/>
              <w:rPr>
                <w:rFonts w:ascii="Arial" w:hAnsi="Arial" w:cs="Arial"/>
                <w:sz w:val="18"/>
                <w:szCs w:val="18"/>
                <w:lang w:eastAsia="en-US"/>
              </w:rPr>
            </w:pPr>
            <w:r w:rsidRPr="00A44AEB">
              <w:rPr>
                <w:rFonts w:ascii="Arial" w:hAnsi="Arial" w:cs="Arial"/>
                <w:sz w:val="18"/>
                <w:szCs w:val="18"/>
                <w:lang w:eastAsia="en-US"/>
              </w:rPr>
              <w:t>Odjel općih poslova</w:t>
            </w:r>
          </w:p>
        </w:tc>
        <w:tc>
          <w:tcPr>
            <w:tcW w:w="997" w:type="dxa"/>
            <w:vAlign w:val="center"/>
          </w:tcPr>
          <w:p w14:paraId="60B2E8D0" w14:textId="50C321BC" w:rsidR="00CA3590" w:rsidRPr="00A44AEB" w:rsidRDefault="00CA3590" w:rsidP="00CA3590">
            <w:pPr>
              <w:jc w:val="center"/>
              <w:rPr>
                <w:rFonts w:ascii="Arial" w:hAnsi="Arial" w:cs="Arial"/>
                <w:sz w:val="18"/>
                <w:szCs w:val="18"/>
                <w:lang w:eastAsia="en-US"/>
              </w:rPr>
            </w:pPr>
            <w:r>
              <w:rPr>
                <w:rFonts w:asciiTheme="minorHAnsi" w:hAnsiTheme="minorHAnsi" w:cstheme="minorHAnsi"/>
                <w:sz w:val="18"/>
                <w:szCs w:val="18"/>
              </w:rPr>
              <w:t>4</w:t>
            </w:r>
          </w:p>
        </w:tc>
        <w:tc>
          <w:tcPr>
            <w:tcW w:w="992" w:type="dxa"/>
            <w:vAlign w:val="center"/>
          </w:tcPr>
          <w:p w14:paraId="4A9A62E8" w14:textId="28C53800" w:rsidR="00CA3590" w:rsidRPr="00A44AEB" w:rsidRDefault="00CA3590" w:rsidP="00CA3590">
            <w:pPr>
              <w:jc w:val="center"/>
              <w:rPr>
                <w:rFonts w:ascii="Arial" w:hAnsi="Arial" w:cs="Arial"/>
                <w:sz w:val="18"/>
                <w:szCs w:val="18"/>
                <w:lang w:eastAsia="en-US"/>
              </w:rPr>
            </w:pPr>
            <w:r w:rsidRPr="0092756E">
              <w:rPr>
                <w:rFonts w:asciiTheme="minorHAnsi" w:hAnsiTheme="minorHAnsi" w:cstheme="minorHAnsi"/>
                <w:sz w:val="18"/>
                <w:szCs w:val="18"/>
              </w:rPr>
              <w:t>0</w:t>
            </w:r>
          </w:p>
        </w:tc>
        <w:tc>
          <w:tcPr>
            <w:tcW w:w="992" w:type="dxa"/>
            <w:vAlign w:val="center"/>
          </w:tcPr>
          <w:p w14:paraId="1FD134FA" w14:textId="37ACEB6A" w:rsidR="00CA3590" w:rsidRPr="00A44AEB" w:rsidRDefault="00CA3590" w:rsidP="00CA3590">
            <w:pPr>
              <w:jc w:val="center"/>
              <w:rPr>
                <w:rFonts w:ascii="Arial" w:hAnsi="Arial" w:cs="Arial"/>
                <w:sz w:val="18"/>
                <w:szCs w:val="18"/>
                <w:lang w:eastAsia="en-US"/>
              </w:rPr>
            </w:pPr>
            <w:r w:rsidRPr="0092756E">
              <w:rPr>
                <w:rFonts w:asciiTheme="minorHAnsi" w:hAnsiTheme="minorHAnsi" w:cstheme="minorHAnsi"/>
                <w:sz w:val="18"/>
                <w:szCs w:val="18"/>
              </w:rPr>
              <w:t>4</w:t>
            </w:r>
          </w:p>
        </w:tc>
        <w:tc>
          <w:tcPr>
            <w:tcW w:w="1134" w:type="dxa"/>
            <w:vAlign w:val="center"/>
          </w:tcPr>
          <w:p w14:paraId="37EA145E" w14:textId="6C09AA45" w:rsidR="00CA3590" w:rsidRPr="00A44AEB" w:rsidRDefault="00CA3590" w:rsidP="00CA3590">
            <w:pPr>
              <w:jc w:val="center"/>
              <w:rPr>
                <w:rFonts w:ascii="Arial" w:hAnsi="Arial" w:cs="Arial"/>
                <w:sz w:val="18"/>
                <w:szCs w:val="18"/>
                <w:lang w:eastAsia="en-US"/>
              </w:rPr>
            </w:pPr>
            <w:r w:rsidRPr="0092756E">
              <w:rPr>
                <w:rFonts w:asciiTheme="minorHAnsi" w:hAnsiTheme="minorHAnsi" w:cstheme="minorHAnsi"/>
                <w:sz w:val="18"/>
                <w:szCs w:val="18"/>
              </w:rPr>
              <w:t>4</w:t>
            </w:r>
          </w:p>
        </w:tc>
      </w:tr>
      <w:bookmarkEnd w:id="649"/>
    </w:tbl>
    <w:p w14:paraId="2593A2D2" w14:textId="77777777" w:rsidR="00A87CE0" w:rsidRPr="00A44AEB" w:rsidRDefault="00A87CE0" w:rsidP="00C873D7">
      <w:pPr>
        <w:spacing w:after="0" w:line="240" w:lineRule="auto"/>
        <w:jc w:val="both"/>
        <w:rPr>
          <w:rFonts w:ascii="Arial" w:eastAsia="Calibri" w:hAnsi="Arial" w:cs="Arial"/>
          <w:b/>
          <w:bCs/>
          <w:sz w:val="20"/>
          <w:szCs w:val="20"/>
        </w:rPr>
      </w:pPr>
    </w:p>
    <w:p w14:paraId="1F5F7CAF" w14:textId="3765BA2A" w:rsidR="00C873D7" w:rsidRPr="00A44AEB" w:rsidRDefault="00C873D7" w:rsidP="00C873D7">
      <w:pPr>
        <w:spacing w:after="0" w:line="240" w:lineRule="auto"/>
        <w:jc w:val="both"/>
        <w:rPr>
          <w:rFonts w:ascii="Arial" w:eastAsia="Calibri" w:hAnsi="Arial" w:cs="Arial"/>
          <w:b/>
          <w:bCs/>
          <w:sz w:val="20"/>
          <w:szCs w:val="20"/>
        </w:rPr>
      </w:pPr>
      <w:r w:rsidRPr="00A44AEB">
        <w:rPr>
          <w:rFonts w:ascii="Arial" w:eastAsia="Calibri" w:hAnsi="Arial" w:cs="Arial"/>
          <w:b/>
          <w:bCs/>
          <w:sz w:val="20"/>
          <w:szCs w:val="20"/>
        </w:rPr>
        <w:t>2</w:t>
      </w:r>
      <w:r w:rsidR="0040020F" w:rsidRPr="00A44AEB">
        <w:rPr>
          <w:rFonts w:ascii="Arial" w:eastAsia="Calibri" w:hAnsi="Arial" w:cs="Arial"/>
          <w:b/>
          <w:bCs/>
          <w:sz w:val="20"/>
          <w:szCs w:val="20"/>
        </w:rPr>
        <w:t>8</w:t>
      </w:r>
      <w:r w:rsidRPr="00A44AEB">
        <w:rPr>
          <w:rFonts w:ascii="Arial" w:eastAsia="Calibri" w:hAnsi="Arial" w:cs="Arial"/>
          <w:b/>
          <w:bCs/>
          <w:sz w:val="20"/>
          <w:szCs w:val="20"/>
        </w:rPr>
        <w:t>. T203132: Program „Oduševiti Barbaru“</w:t>
      </w:r>
      <w:r w:rsidRPr="00A44AEB">
        <w:rPr>
          <w:rFonts w:ascii="Arial" w:eastAsia="Calibri" w:hAnsi="Arial" w:cs="Arial"/>
          <w:sz w:val="20"/>
          <w:szCs w:val="20"/>
        </w:rPr>
        <w:t xml:space="preserve"> – u sklopu navedene aktivnosti nisu planirana sredstava.</w:t>
      </w:r>
    </w:p>
    <w:p w14:paraId="2D3F1107" w14:textId="77777777" w:rsidR="00C873D7" w:rsidRPr="00A44AEB" w:rsidRDefault="00C873D7" w:rsidP="00C873D7">
      <w:pPr>
        <w:spacing w:after="0" w:line="240" w:lineRule="auto"/>
        <w:jc w:val="both"/>
        <w:rPr>
          <w:rFonts w:ascii="Arial" w:eastAsia="Times New Roman" w:hAnsi="Arial" w:cs="Arial"/>
          <w:sz w:val="20"/>
          <w:szCs w:val="20"/>
        </w:rPr>
      </w:pPr>
      <w:r w:rsidRPr="00A44AEB">
        <w:rPr>
          <w:rFonts w:ascii="Arial" w:eastAsia="Times New Roman" w:hAnsi="Arial" w:cs="Arial"/>
          <w:sz w:val="20"/>
          <w:szCs w:val="20"/>
        </w:rPr>
        <w:t xml:space="preserve">Oduševiti Barbaru je program kojim se planira kroz izradu animiranih filmova prilagođenih dječjem uzrastu prezentirati i popularizirati UNESCO-ov lokaliteta Sv. Barbara. </w:t>
      </w:r>
    </w:p>
    <w:p w14:paraId="677D1002" w14:textId="77777777" w:rsidR="00C873D7" w:rsidRPr="00A44AEB" w:rsidRDefault="00C873D7" w:rsidP="00C873D7">
      <w:pPr>
        <w:spacing w:after="0" w:line="240" w:lineRule="auto"/>
        <w:jc w:val="both"/>
        <w:rPr>
          <w:rFonts w:ascii="Arial" w:eastAsia="Calibri" w:hAnsi="Arial" w:cs="Arial"/>
          <w:sz w:val="20"/>
          <w:szCs w:val="20"/>
        </w:rPr>
      </w:pPr>
    </w:p>
    <w:p w14:paraId="7EE97B59" w14:textId="381724C4" w:rsidR="00C873D7" w:rsidRDefault="00C873D7" w:rsidP="00C873D7">
      <w:pPr>
        <w:spacing w:after="0" w:line="240" w:lineRule="auto"/>
        <w:jc w:val="both"/>
        <w:rPr>
          <w:rFonts w:ascii="Arial" w:eastAsia="Calibri" w:hAnsi="Arial" w:cs="Arial"/>
          <w:sz w:val="20"/>
          <w:szCs w:val="20"/>
        </w:rPr>
      </w:pPr>
      <w:r w:rsidRPr="00A44AEB">
        <w:rPr>
          <w:rFonts w:ascii="Arial" w:eastAsia="Calibri" w:hAnsi="Arial" w:cs="Arial"/>
          <w:b/>
          <w:bCs/>
          <w:sz w:val="20"/>
          <w:szCs w:val="20"/>
        </w:rPr>
        <w:t>2</w:t>
      </w:r>
      <w:r w:rsidR="0040020F" w:rsidRPr="00A44AEB">
        <w:rPr>
          <w:rFonts w:ascii="Arial" w:eastAsia="Calibri" w:hAnsi="Arial" w:cs="Arial"/>
          <w:b/>
          <w:bCs/>
          <w:sz w:val="20"/>
          <w:szCs w:val="20"/>
        </w:rPr>
        <w:t>9</w:t>
      </w:r>
      <w:r w:rsidRPr="00A44AEB">
        <w:rPr>
          <w:rFonts w:ascii="Arial" w:eastAsia="Calibri" w:hAnsi="Arial" w:cs="Arial"/>
          <w:b/>
          <w:bCs/>
          <w:sz w:val="20"/>
          <w:szCs w:val="20"/>
        </w:rPr>
        <w:t>. A203133: Digitalizacija Kuće Bukovac</w:t>
      </w:r>
      <w:r w:rsidRPr="00A44AEB">
        <w:rPr>
          <w:rFonts w:ascii="Arial" w:eastAsia="Calibri" w:hAnsi="Arial" w:cs="Arial"/>
          <w:sz w:val="20"/>
          <w:szCs w:val="20"/>
        </w:rPr>
        <w:t xml:space="preserve"> </w:t>
      </w:r>
      <w:r w:rsidR="00A87CE0">
        <w:rPr>
          <w:rFonts w:ascii="Arial" w:eastAsia="Calibri" w:hAnsi="Arial" w:cs="Arial"/>
          <w:sz w:val="20"/>
          <w:szCs w:val="20"/>
        </w:rPr>
        <w:t xml:space="preserve">- </w:t>
      </w:r>
      <w:r w:rsidR="00A87CE0" w:rsidRPr="00A87CE0">
        <w:rPr>
          <w:rFonts w:ascii="Arial" w:eastAsia="Calibri" w:hAnsi="Arial" w:cs="Arial"/>
          <w:sz w:val="20"/>
          <w:szCs w:val="20"/>
        </w:rPr>
        <w:t xml:space="preserve">U okviru navedene aktivnosti za 2025. godinu planirana su sredstva u iznosu od 8.200 </w:t>
      </w:r>
      <w:r w:rsidR="00A87CE0">
        <w:rPr>
          <w:rFonts w:ascii="Arial" w:eastAsia="Calibri" w:hAnsi="Arial" w:cs="Arial"/>
          <w:sz w:val="20"/>
          <w:szCs w:val="20"/>
        </w:rPr>
        <w:t>€</w:t>
      </w:r>
      <w:r w:rsidR="00A87CE0" w:rsidRPr="00A87CE0">
        <w:rPr>
          <w:rFonts w:ascii="Arial" w:eastAsia="Calibri" w:hAnsi="Arial" w:cs="Arial"/>
          <w:sz w:val="20"/>
          <w:szCs w:val="20"/>
        </w:rPr>
        <w:t xml:space="preserve"> od čega je utrošeno 8.190,74 </w:t>
      </w:r>
      <w:r w:rsidR="00A87CE0">
        <w:rPr>
          <w:rFonts w:ascii="Arial" w:eastAsia="Calibri" w:hAnsi="Arial" w:cs="Arial"/>
          <w:sz w:val="20"/>
          <w:szCs w:val="20"/>
        </w:rPr>
        <w:t>€</w:t>
      </w:r>
      <w:r w:rsidR="00A87CE0" w:rsidRPr="00A87CE0">
        <w:rPr>
          <w:rFonts w:ascii="Arial" w:eastAsia="Calibri" w:hAnsi="Arial" w:cs="Arial"/>
          <w:sz w:val="20"/>
          <w:szCs w:val="20"/>
        </w:rPr>
        <w:t xml:space="preserve"> za potrebe digitalizacije slika i crteža Vlaha Bukovca izloženih u stalnom postavu i depou  Kuće Bukovac. Program digitalizacije je u potpunosti realiziran sredstvima Ministarstva kulture i medija.</w:t>
      </w:r>
    </w:p>
    <w:p w14:paraId="29F295AD" w14:textId="77777777" w:rsidR="00A87CE0" w:rsidRPr="00617FCF" w:rsidRDefault="00A87CE0" w:rsidP="00C873D7">
      <w:pPr>
        <w:spacing w:after="0" w:line="240" w:lineRule="auto"/>
        <w:jc w:val="both"/>
        <w:rPr>
          <w:rFonts w:ascii="Arial" w:eastAsia="Calibri" w:hAnsi="Arial" w:cs="Arial"/>
          <w:sz w:val="20"/>
          <w:szCs w:val="20"/>
        </w:rPr>
      </w:pPr>
    </w:p>
    <w:p w14:paraId="0671F187" w14:textId="02789238" w:rsidR="0009256C" w:rsidRDefault="0040020F" w:rsidP="00572173">
      <w:pPr>
        <w:spacing w:after="0" w:line="240" w:lineRule="auto"/>
        <w:jc w:val="both"/>
        <w:rPr>
          <w:rFonts w:ascii="Arial" w:eastAsia="Calibri" w:hAnsi="Arial" w:cs="Arial"/>
          <w:sz w:val="20"/>
          <w:szCs w:val="20"/>
        </w:rPr>
      </w:pPr>
      <w:r w:rsidRPr="00617FCF">
        <w:rPr>
          <w:rFonts w:ascii="Arial" w:eastAsia="Calibri" w:hAnsi="Arial" w:cs="Arial"/>
          <w:b/>
          <w:bCs/>
          <w:sz w:val="20"/>
          <w:szCs w:val="20"/>
        </w:rPr>
        <w:t>30</w:t>
      </w:r>
      <w:r w:rsidR="00C873D7" w:rsidRPr="00617FCF">
        <w:rPr>
          <w:rFonts w:ascii="Arial" w:eastAsia="Calibri" w:hAnsi="Arial" w:cs="Arial"/>
          <w:b/>
          <w:bCs/>
          <w:sz w:val="20"/>
          <w:szCs w:val="20"/>
        </w:rPr>
        <w:t xml:space="preserve">. T203134: Zeleni projekt Kuća Bukovac </w:t>
      </w:r>
      <w:r w:rsidR="00572173" w:rsidRPr="00617FCF">
        <w:rPr>
          <w:rFonts w:ascii="Arial" w:eastAsia="Calibri" w:hAnsi="Arial" w:cs="Arial"/>
          <w:b/>
          <w:bCs/>
          <w:sz w:val="20"/>
          <w:szCs w:val="20"/>
        </w:rPr>
        <w:t>–</w:t>
      </w:r>
      <w:r w:rsidR="00617FCF" w:rsidRPr="00617FCF">
        <w:rPr>
          <w:rFonts w:ascii="Arial" w:eastAsia="Calibri" w:hAnsi="Arial" w:cs="Arial"/>
          <w:sz w:val="20"/>
          <w:szCs w:val="20"/>
        </w:rPr>
        <w:t xml:space="preserve"> </w:t>
      </w:r>
      <w:r w:rsidR="00A87CE0" w:rsidRPr="00A87CE0">
        <w:rPr>
          <w:rFonts w:ascii="Arial" w:eastAsia="Calibri" w:hAnsi="Arial" w:cs="Arial"/>
          <w:sz w:val="20"/>
          <w:szCs w:val="20"/>
        </w:rPr>
        <w:t xml:space="preserve">U 2025. godini planirano je 10.000,00 </w:t>
      </w:r>
      <w:r w:rsidR="00126EAC">
        <w:rPr>
          <w:rFonts w:ascii="Arial" w:eastAsia="Calibri" w:hAnsi="Arial" w:cs="Arial"/>
          <w:sz w:val="20"/>
          <w:szCs w:val="20"/>
        </w:rPr>
        <w:t>€</w:t>
      </w:r>
      <w:r w:rsidR="00A87CE0" w:rsidRPr="00A87CE0">
        <w:rPr>
          <w:rFonts w:ascii="Arial" w:eastAsia="Calibri" w:hAnsi="Arial" w:cs="Arial"/>
          <w:sz w:val="20"/>
          <w:szCs w:val="20"/>
        </w:rPr>
        <w:t>, no sredstva su rebalansom ukinuta jer nije bilo mogućnosti prijave na natječaje za energetsku obnovu te nije bilo trošenja.</w:t>
      </w:r>
    </w:p>
    <w:p w14:paraId="3C76D683" w14:textId="77777777" w:rsidR="00A87CE0" w:rsidRPr="00617FCF" w:rsidRDefault="00A87CE0" w:rsidP="00572173">
      <w:pPr>
        <w:spacing w:after="0" w:line="240" w:lineRule="auto"/>
        <w:jc w:val="both"/>
        <w:rPr>
          <w:rFonts w:ascii="Arial" w:eastAsia="Calibri" w:hAnsi="Arial" w:cs="Arial"/>
          <w:bCs/>
          <w:sz w:val="20"/>
          <w:szCs w:val="20"/>
        </w:rPr>
      </w:pPr>
    </w:p>
    <w:p w14:paraId="2FF603F4" w14:textId="3B7E5737" w:rsidR="008A6CEA" w:rsidRPr="00617FCF" w:rsidRDefault="00034D08" w:rsidP="00EA587B">
      <w:pPr>
        <w:spacing w:after="0" w:line="240" w:lineRule="auto"/>
        <w:ind w:left="567"/>
        <w:jc w:val="both"/>
        <w:rPr>
          <w:rFonts w:ascii="Arial" w:eastAsia="Calibri" w:hAnsi="Arial" w:cs="Arial"/>
          <w:bCs/>
          <w:sz w:val="18"/>
          <w:szCs w:val="18"/>
        </w:rPr>
      </w:pPr>
      <w:r w:rsidRPr="00617FCF">
        <w:rPr>
          <w:rFonts w:ascii="Arial" w:eastAsia="Calibri" w:hAnsi="Arial" w:cs="Arial"/>
          <w:bCs/>
          <w:sz w:val="18"/>
          <w:szCs w:val="18"/>
        </w:rPr>
        <w:t>Od Ministarstva kulture je u 2019</w:t>
      </w:r>
      <w:r w:rsidR="00A61350" w:rsidRPr="00617FCF">
        <w:rPr>
          <w:rFonts w:ascii="Arial" w:eastAsia="Calibri" w:hAnsi="Arial" w:cs="Arial"/>
          <w:bCs/>
          <w:sz w:val="18"/>
          <w:szCs w:val="18"/>
        </w:rPr>
        <w:t>.</w:t>
      </w:r>
      <w:r w:rsidRPr="00617FCF">
        <w:rPr>
          <w:rFonts w:ascii="Arial" w:eastAsia="Calibri" w:hAnsi="Arial" w:cs="Arial"/>
          <w:bCs/>
          <w:sz w:val="18"/>
          <w:szCs w:val="18"/>
        </w:rPr>
        <w:t xml:space="preserve"> odobren iznos 100.000 kn </w:t>
      </w:r>
      <w:r w:rsidR="00A61350" w:rsidRPr="00617FCF">
        <w:rPr>
          <w:rFonts w:ascii="Arial" w:eastAsia="Calibri" w:hAnsi="Arial" w:cs="Arial"/>
          <w:bCs/>
          <w:sz w:val="18"/>
          <w:szCs w:val="18"/>
        </w:rPr>
        <w:t xml:space="preserve">(13.272,28 €) </w:t>
      </w:r>
      <w:r w:rsidRPr="00617FCF">
        <w:rPr>
          <w:rFonts w:ascii="Arial" w:eastAsia="Calibri" w:hAnsi="Arial" w:cs="Arial"/>
          <w:bCs/>
          <w:sz w:val="18"/>
          <w:szCs w:val="18"/>
        </w:rPr>
        <w:t>za izradu projektne dokumentacije. U 2019. rashodi za ovaj projekt su izvršeni u iznosu 115.250 kn</w:t>
      </w:r>
      <w:r w:rsidR="00A61350" w:rsidRPr="00617FCF">
        <w:rPr>
          <w:rFonts w:ascii="Arial" w:eastAsia="Calibri" w:hAnsi="Arial" w:cs="Arial"/>
          <w:bCs/>
          <w:sz w:val="18"/>
          <w:szCs w:val="18"/>
        </w:rPr>
        <w:t xml:space="preserve"> (15.296,30 €)</w:t>
      </w:r>
      <w:r w:rsidRPr="00617FCF">
        <w:rPr>
          <w:rFonts w:ascii="Arial" w:eastAsia="Calibri" w:hAnsi="Arial" w:cs="Arial"/>
          <w:bCs/>
          <w:sz w:val="18"/>
          <w:szCs w:val="18"/>
        </w:rPr>
        <w:t xml:space="preserve">. </w:t>
      </w:r>
      <w:r w:rsidR="00D97ADE" w:rsidRPr="00617FCF">
        <w:rPr>
          <w:rFonts w:ascii="Arial" w:eastAsia="Calibri" w:hAnsi="Arial" w:cs="Arial"/>
          <w:bCs/>
          <w:sz w:val="18"/>
          <w:szCs w:val="18"/>
        </w:rPr>
        <w:t>Kuća Bukovac nema sustav klimatizacije što je gorući problem jer se radi o muzejskom prostoru koji bi trebao imati idealne uvjete, dakle primjeren sustav regulacije temperature i vlage za kvalitetno očuvanje inače osjetljive građe. U 2019. godini izrađena je projektna dokumentacija za klimatizaciju na način da su napravljene snimke postojećeg stanja, geodetska situacija, sam projekt izrade klimatizacije te njegove prilagodbe prema uputama nadležnog Konzervatorskog odjela. Također je izrađena i projektna dokumentacije rasvjete te glavni arhitektonski projekt. Nastavak radova na klimatizaciji objekta planiran je u narednim periodima ovisno o financijskim mogućnostima.</w:t>
      </w:r>
      <w:r w:rsidRPr="00617FCF">
        <w:rPr>
          <w:rFonts w:ascii="Arial" w:hAnsi="Arial" w:cs="Arial"/>
          <w:sz w:val="18"/>
          <w:szCs w:val="18"/>
        </w:rPr>
        <w:t xml:space="preserve"> U 2020. je </w:t>
      </w:r>
      <w:r w:rsidRPr="00617FCF">
        <w:rPr>
          <w:rFonts w:ascii="Arial" w:eastAsia="Calibri" w:hAnsi="Arial" w:cs="Arial"/>
          <w:bCs/>
          <w:sz w:val="18"/>
          <w:szCs w:val="18"/>
        </w:rPr>
        <w:t>46.550 kn</w:t>
      </w:r>
      <w:r w:rsidR="00A61350" w:rsidRPr="00617FCF">
        <w:rPr>
          <w:rFonts w:ascii="Arial" w:eastAsia="Calibri" w:hAnsi="Arial" w:cs="Arial"/>
          <w:bCs/>
          <w:sz w:val="18"/>
          <w:szCs w:val="18"/>
        </w:rPr>
        <w:t xml:space="preserve"> (6.178,25 €)</w:t>
      </w:r>
      <w:r w:rsidRPr="00617FCF">
        <w:rPr>
          <w:rFonts w:ascii="Arial" w:eastAsia="Calibri" w:hAnsi="Arial" w:cs="Arial"/>
          <w:bCs/>
          <w:sz w:val="18"/>
          <w:szCs w:val="18"/>
        </w:rPr>
        <w:t xml:space="preserve"> sredstava Ministarstva kulture za radove termičke izolacije krovišta i popravka gazišta unutarnjeg drvenog stepeništa.</w:t>
      </w:r>
    </w:p>
    <w:p w14:paraId="2099E540" w14:textId="6F390964" w:rsidR="00D97ADE" w:rsidRDefault="00ED657E" w:rsidP="00EA587B">
      <w:pPr>
        <w:spacing w:after="0" w:line="240" w:lineRule="auto"/>
        <w:ind w:left="567"/>
        <w:jc w:val="both"/>
        <w:rPr>
          <w:rFonts w:ascii="Arial" w:eastAsia="Calibri" w:hAnsi="Arial" w:cs="Arial"/>
          <w:bCs/>
          <w:sz w:val="18"/>
          <w:szCs w:val="18"/>
        </w:rPr>
      </w:pPr>
      <w:r w:rsidRPr="00617FCF">
        <w:rPr>
          <w:rFonts w:ascii="Arial" w:eastAsia="Calibri" w:hAnsi="Arial" w:cs="Arial"/>
          <w:bCs/>
          <w:sz w:val="18"/>
          <w:szCs w:val="18"/>
        </w:rPr>
        <w:t xml:space="preserve">Ministarstvo kulture je radove sanacije Kuće Bukovac kao preduvjeta za realizaciju projekta klimatizacije odobrilo 100.000 kn </w:t>
      </w:r>
      <w:r w:rsidR="00A61350" w:rsidRPr="00617FCF">
        <w:rPr>
          <w:rFonts w:ascii="Arial" w:eastAsia="Calibri" w:hAnsi="Arial" w:cs="Arial"/>
          <w:bCs/>
          <w:sz w:val="18"/>
          <w:szCs w:val="18"/>
        </w:rPr>
        <w:t xml:space="preserve">(13.272,28 €) </w:t>
      </w:r>
      <w:r w:rsidRPr="00617FCF">
        <w:rPr>
          <w:rFonts w:ascii="Arial" w:eastAsia="Calibri" w:hAnsi="Arial" w:cs="Arial"/>
          <w:bCs/>
          <w:sz w:val="18"/>
          <w:szCs w:val="18"/>
        </w:rPr>
        <w:t xml:space="preserve">koja su utrošena u siječnju i veljači 2022. godine, budući je rok za realizaciju projekta prolongiran na 15.02.2022. godine. Iznos 9.750 kn </w:t>
      </w:r>
      <w:r w:rsidR="00A61350" w:rsidRPr="00617FCF">
        <w:rPr>
          <w:rFonts w:ascii="Arial" w:eastAsia="Calibri" w:hAnsi="Arial" w:cs="Arial"/>
          <w:bCs/>
          <w:sz w:val="18"/>
          <w:szCs w:val="18"/>
        </w:rPr>
        <w:t xml:space="preserve">(1.294,05 €) </w:t>
      </w:r>
      <w:r w:rsidRPr="00617FCF">
        <w:rPr>
          <w:rFonts w:ascii="Arial" w:eastAsia="Calibri" w:hAnsi="Arial" w:cs="Arial"/>
          <w:bCs/>
          <w:sz w:val="18"/>
          <w:szCs w:val="18"/>
        </w:rPr>
        <w:t>u 2021. godini se odnosi na sanaciju vlage na zidovima u galerijskom prostoru Kuće Bukovac.</w:t>
      </w:r>
      <w:r w:rsidR="00A61350" w:rsidRPr="00617FCF">
        <w:rPr>
          <w:rFonts w:ascii="Arial" w:eastAsia="Calibri" w:hAnsi="Arial" w:cs="Arial"/>
          <w:bCs/>
          <w:sz w:val="18"/>
          <w:szCs w:val="18"/>
        </w:rPr>
        <w:t xml:space="preserve"> </w:t>
      </w:r>
      <w:r w:rsidR="0040020F" w:rsidRPr="00617FCF">
        <w:rPr>
          <w:rFonts w:ascii="Arial" w:eastAsia="Calibri" w:hAnsi="Arial" w:cs="Arial"/>
          <w:bCs/>
          <w:sz w:val="18"/>
          <w:szCs w:val="18"/>
        </w:rPr>
        <w:t xml:space="preserve">U 2022. su izvršeni rashodi u iznosu 114.250 kn </w:t>
      </w:r>
      <w:r w:rsidR="00A61350" w:rsidRPr="00617FCF">
        <w:rPr>
          <w:rFonts w:ascii="Arial" w:eastAsia="Calibri" w:hAnsi="Arial" w:cs="Arial"/>
          <w:bCs/>
          <w:sz w:val="18"/>
          <w:szCs w:val="18"/>
        </w:rPr>
        <w:t xml:space="preserve">(15.163,58 €) </w:t>
      </w:r>
      <w:r w:rsidR="0040020F" w:rsidRPr="00617FCF">
        <w:rPr>
          <w:rFonts w:ascii="Arial" w:eastAsia="Calibri" w:hAnsi="Arial" w:cs="Arial"/>
          <w:bCs/>
          <w:sz w:val="18"/>
          <w:szCs w:val="18"/>
        </w:rPr>
        <w:t xml:space="preserve">za usluge radova u prostorima prizemlja, tinela i ateljea – popravak i ličenje drvenih prozora, persijana, vrata, drvenog mosta, rukohvata. </w:t>
      </w:r>
    </w:p>
    <w:p w14:paraId="626629E4" w14:textId="49DDEB54" w:rsidR="006F0AE0" w:rsidRPr="00617FCF" w:rsidRDefault="006F0AE0" w:rsidP="00EA587B">
      <w:pPr>
        <w:spacing w:after="0" w:line="240" w:lineRule="auto"/>
        <w:ind w:left="567"/>
        <w:jc w:val="both"/>
        <w:rPr>
          <w:rFonts w:ascii="Arial" w:eastAsia="Calibri" w:hAnsi="Arial" w:cs="Arial"/>
          <w:sz w:val="18"/>
          <w:szCs w:val="18"/>
        </w:rPr>
      </w:pPr>
      <w:r>
        <w:rPr>
          <w:rFonts w:ascii="Arial" w:eastAsia="Calibri" w:hAnsi="Arial" w:cs="Arial"/>
          <w:bCs/>
          <w:sz w:val="18"/>
          <w:szCs w:val="18"/>
        </w:rPr>
        <w:t xml:space="preserve">U 2024. godini utrošeno je </w:t>
      </w:r>
      <w:r w:rsidRPr="006F0AE0">
        <w:rPr>
          <w:rFonts w:ascii="Arial" w:eastAsia="Calibri" w:hAnsi="Arial" w:cs="Arial"/>
          <w:bCs/>
          <w:sz w:val="18"/>
          <w:szCs w:val="18"/>
        </w:rPr>
        <w:t>2.125,00 EUR za potrebe pribavljanja Projekta za racionalnu upotrebu energije u Kući Bukovac u svrhu dopune natječajne dokumentacije za prijavu na natječaj EU fonda za potrebe energetske obnove zgrade sa statusom kulturnog dobra čime bi se trajno riješilo pitanje klimatizacije Kuće Bukovac</w:t>
      </w:r>
      <w:r w:rsidR="00551A9E">
        <w:rPr>
          <w:rFonts w:ascii="Arial" w:eastAsia="Calibri" w:hAnsi="Arial" w:cs="Arial"/>
          <w:bCs/>
          <w:sz w:val="18"/>
          <w:szCs w:val="18"/>
        </w:rPr>
        <w:t>.</w:t>
      </w:r>
    </w:p>
    <w:p w14:paraId="18791DFF" w14:textId="2840078C" w:rsidR="00815DAD" w:rsidRPr="00617FCF" w:rsidRDefault="00815DAD" w:rsidP="00572173">
      <w:pPr>
        <w:spacing w:after="0" w:line="240" w:lineRule="auto"/>
        <w:jc w:val="both"/>
        <w:rPr>
          <w:rFonts w:ascii="Arial" w:eastAsia="Times New Roman" w:hAnsi="Arial" w:cs="Arial"/>
          <w:sz w:val="20"/>
          <w:szCs w:val="20"/>
        </w:rPr>
      </w:pPr>
    </w:p>
    <w:p w14:paraId="1B886BD2" w14:textId="77777777" w:rsidR="00126EAC" w:rsidRDefault="0040020F" w:rsidP="00572173">
      <w:pPr>
        <w:spacing w:after="0" w:line="240" w:lineRule="auto"/>
        <w:jc w:val="both"/>
        <w:rPr>
          <w:rFonts w:ascii="Arial" w:eastAsia="Times New Roman" w:hAnsi="Arial" w:cs="Arial"/>
          <w:sz w:val="20"/>
          <w:szCs w:val="20"/>
        </w:rPr>
      </w:pPr>
      <w:r w:rsidRPr="00617FCF">
        <w:rPr>
          <w:rFonts w:ascii="Arial" w:eastAsia="Times New Roman" w:hAnsi="Arial" w:cs="Arial"/>
          <w:b/>
          <w:bCs/>
          <w:sz w:val="20"/>
          <w:szCs w:val="20"/>
        </w:rPr>
        <w:t>31</w:t>
      </w:r>
      <w:r w:rsidR="00C873D7" w:rsidRPr="00617FCF">
        <w:rPr>
          <w:rFonts w:ascii="Arial" w:eastAsia="Times New Roman" w:hAnsi="Arial" w:cs="Arial"/>
          <w:b/>
          <w:bCs/>
          <w:sz w:val="20"/>
          <w:szCs w:val="20"/>
        </w:rPr>
        <w:t xml:space="preserve">. A203135: </w:t>
      </w:r>
      <w:r w:rsidR="00572173" w:rsidRPr="00617FCF">
        <w:rPr>
          <w:rFonts w:ascii="Arial" w:eastAsia="Calibri" w:hAnsi="Arial" w:cs="Arial"/>
          <w:b/>
          <w:sz w:val="20"/>
          <w:szCs w:val="20"/>
        </w:rPr>
        <w:t>Sanacija i održavanje čuvaonice muzejske građe Pločice</w:t>
      </w:r>
      <w:r w:rsidR="00572173" w:rsidRPr="00617FCF">
        <w:rPr>
          <w:rFonts w:ascii="Arial" w:eastAsia="Times New Roman" w:hAnsi="Arial" w:cs="Arial"/>
          <w:sz w:val="20"/>
          <w:szCs w:val="20"/>
        </w:rPr>
        <w:t xml:space="preserve"> – </w:t>
      </w:r>
      <w:r w:rsidR="00126EAC" w:rsidRPr="00126EAC">
        <w:rPr>
          <w:rFonts w:ascii="Arial" w:eastAsia="Times New Roman" w:hAnsi="Arial" w:cs="Arial"/>
          <w:sz w:val="20"/>
          <w:szCs w:val="20"/>
        </w:rPr>
        <w:t xml:space="preserve">U okviru navedene aktivnosti za 2025. godinu su planirana proračunska sredstva u iznosu od 1.100,00 </w:t>
      </w:r>
      <w:r w:rsidR="00126EAC">
        <w:rPr>
          <w:rFonts w:ascii="Arial" w:eastAsia="Times New Roman" w:hAnsi="Arial" w:cs="Arial"/>
          <w:sz w:val="20"/>
          <w:szCs w:val="20"/>
        </w:rPr>
        <w:t>€</w:t>
      </w:r>
      <w:r w:rsidR="00126EAC" w:rsidRPr="00126EAC">
        <w:rPr>
          <w:rFonts w:ascii="Arial" w:eastAsia="Times New Roman" w:hAnsi="Arial" w:cs="Arial"/>
          <w:sz w:val="20"/>
          <w:szCs w:val="20"/>
        </w:rPr>
        <w:t xml:space="preserve">, te tijekom 2025. godine nije bilo ostvarenih troškova. </w:t>
      </w:r>
    </w:p>
    <w:p w14:paraId="682A72C2" w14:textId="0DBDF6E4" w:rsidR="00572173" w:rsidRPr="00EA587B" w:rsidRDefault="00126EAC" w:rsidP="00126EAC">
      <w:pPr>
        <w:spacing w:after="0" w:line="240" w:lineRule="auto"/>
        <w:ind w:firstLine="567"/>
        <w:jc w:val="both"/>
        <w:rPr>
          <w:rFonts w:ascii="Arial" w:eastAsia="Times New Roman" w:hAnsi="Arial" w:cs="Arial"/>
          <w:sz w:val="18"/>
          <w:szCs w:val="18"/>
        </w:rPr>
      </w:pPr>
      <w:r w:rsidRPr="00126EAC">
        <w:rPr>
          <w:rFonts w:ascii="Arial" w:eastAsia="Times New Roman" w:hAnsi="Arial" w:cs="Arial"/>
          <w:sz w:val="20"/>
          <w:szCs w:val="20"/>
        </w:rPr>
        <w:t>Čuvaonica muzejske građe u Pločicama smještena je u prizemlju zgrade Doma u Pločicama</w:t>
      </w:r>
      <w:r w:rsidR="0009256C" w:rsidRPr="00EA587B">
        <w:rPr>
          <w:rFonts w:ascii="Arial" w:eastAsia="Times New Roman" w:hAnsi="Arial" w:cs="Arial"/>
          <w:sz w:val="18"/>
          <w:szCs w:val="18"/>
        </w:rPr>
        <w:t xml:space="preserve"> (</w:t>
      </w:r>
      <w:r w:rsidR="00572173" w:rsidRPr="00EA587B">
        <w:rPr>
          <w:rFonts w:ascii="Arial" w:eastAsia="Times New Roman" w:hAnsi="Arial" w:cs="Arial"/>
          <w:sz w:val="18"/>
          <w:szCs w:val="18"/>
        </w:rPr>
        <w:t>prostor se koristi od 2018. godine</w:t>
      </w:r>
      <w:r w:rsidR="0009256C" w:rsidRPr="00EA587B">
        <w:rPr>
          <w:rFonts w:ascii="Arial" w:eastAsia="Times New Roman" w:hAnsi="Arial" w:cs="Arial"/>
          <w:sz w:val="18"/>
          <w:szCs w:val="18"/>
        </w:rPr>
        <w:t>)</w:t>
      </w:r>
      <w:r w:rsidR="00572173" w:rsidRPr="00EA587B">
        <w:rPr>
          <w:rFonts w:ascii="Arial" w:eastAsia="Times New Roman" w:hAnsi="Arial" w:cs="Arial"/>
          <w:sz w:val="18"/>
          <w:szCs w:val="18"/>
        </w:rPr>
        <w:t xml:space="preserve">. </w:t>
      </w:r>
    </w:p>
    <w:p w14:paraId="37A243D5" w14:textId="3F816CCB" w:rsidR="00C873D7" w:rsidRPr="00EA587B" w:rsidRDefault="00C873D7" w:rsidP="00EA587B">
      <w:pPr>
        <w:spacing w:after="0" w:line="240" w:lineRule="auto"/>
        <w:ind w:left="567"/>
        <w:jc w:val="both"/>
        <w:rPr>
          <w:rFonts w:ascii="Arial" w:eastAsia="Times New Roman" w:hAnsi="Arial" w:cs="Arial"/>
          <w:sz w:val="18"/>
          <w:szCs w:val="18"/>
        </w:rPr>
      </w:pPr>
    </w:p>
    <w:p w14:paraId="6F010C2D" w14:textId="6AAFB099" w:rsidR="00551A9E" w:rsidRPr="00551A9E" w:rsidRDefault="00C873D7" w:rsidP="00551A9E">
      <w:pPr>
        <w:spacing w:after="0" w:line="240" w:lineRule="auto"/>
        <w:ind w:left="567"/>
        <w:jc w:val="both"/>
        <w:rPr>
          <w:rFonts w:ascii="Arial" w:eastAsia="Times New Roman" w:hAnsi="Arial" w:cs="Arial"/>
          <w:sz w:val="18"/>
          <w:szCs w:val="18"/>
        </w:rPr>
      </w:pPr>
      <w:r w:rsidRPr="00EA587B">
        <w:rPr>
          <w:rFonts w:ascii="Arial" w:eastAsia="Times New Roman" w:hAnsi="Arial" w:cs="Arial"/>
          <w:sz w:val="18"/>
          <w:szCs w:val="18"/>
        </w:rPr>
        <w:t xml:space="preserve">Tijekom 2019. utrošeno je </w:t>
      </w:r>
      <w:r w:rsidR="003A54B4" w:rsidRPr="00EA587B">
        <w:rPr>
          <w:rFonts w:ascii="Arial" w:eastAsia="Times New Roman" w:hAnsi="Arial" w:cs="Arial"/>
          <w:sz w:val="18"/>
          <w:szCs w:val="18"/>
        </w:rPr>
        <w:t>3.154,66 €</w:t>
      </w:r>
      <w:r w:rsidRPr="00EA587B">
        <w:rPr>
          <w:rFonts w:ascii="Arial" w:eastAsia="Times New Roman" w:hAnsi="Arial" w:cs="Arial"/>
          <w:sz w:val="18"/>
          <w:szCs w:val="18"/>
        </w:rPr>
        <w:t xml:space="preserve"> za nabavu odvlaživača, za radove saniranja vlage i za radove elektrotehničke radove. U 2021. je utrošeno </w:t>
      </w:r>
      <w:r w:rsidR="003A54B4" w:rsidRPr="00EA587B">
        <w:rPr>
          <w:rFonts w:ascii="Arial" w:eastAsia="Times New Roman" w:hAnsi="Arial" w:cs="Arial"/>
          <w:sz w:val="18"/>
          <w:szCs w:val="18"/>
        </w:rPr>
        <w:t>180,83 €</w:t>
      </w:r>
      <w:r w:rsidRPr="00EA587B">
        <w:rPr>
          <w:rFonts w:ascii="Arial" w:eastAsia="Times New Roman" w:hAnsi="Arial" w:cs="Arial"/>
          <w:sz w:val="18"/>
          <w:szCs w:val="18"/>
        </w:rPr>
        <w:t xml:space="preserve"> za usluge redovnog održavanje video nadzora</w:t>
      </w:r>
      <w:r w:rsidR="003A54B4" w:rsidRPr="00EA587B">
        <w:rPr>
          <w:rFonts w:ascii="Arial" w:eastAsia="Times New Roman" w:hAnsi="Arial" w:cs="Arial"/>
          <w:sz w:val="18"/>
          <w:szCs w:val="18"/>
        </w:rPr>
        <w:t>, dok je u 2022. bilo utrošeno 247,20 € za potrebe usluga redovnog održavanje sustava video nadzora.</w:t>
      </w:r>
      <w:r w:rsidR="00551A9E">
        <w:rPr>
          <w:rFonts w:ascii="Arial" w:eastAsia="Times New Roman" w:hAnsi="Arial" w:cs="Arial"/>
          <w:sz w:val="18"/>
          <w:szCs w:val="18"/>
        </w:rPr>
        <w:t xml:space="preserve"> U 2024. godini je utrošeno </w:t>
      </w:r>
      <w:r w:rsidR="00551A9E" w:rsidRPr="00551A9E">
        <w:rPr>
          <w:rFonts w:ascii="Arial" w:eastAsia="Times New Roman" w:hAnsi="Arial" w:cs="Arial"/>
          <w:sz w:val="18"/>
          <w:szCs w:val="18"/>
        </w:rPr>
        <w:t xml:space="preserve">325 € sredstava za održavanje sustava video nadzora depoa. </w:t>
      </w:r>
    </w:p>
    <w:p w14:paraId="6C670DA5" w14:textId="163D2006" w:rsidR="003A54B4" w:rsidRPr="00EA587B" w:rsidRDefault="003A54B4" w:rsidP="00EA587B">
      <w:pPr>
        <w:spacing w:after="0" w:line="240" w:lineRule="auto"/>
        <w:ind w:left="567"/>
        <w:jc w:val="both"/>
        <w:rPr>
          <w:rFonts w:ascii="Arial" w:eastAsia="Times New Roman" w:hAnsi="Arial" w:cs="Arial"/>
          <w:sz w:val="18"/>
          <w:szCs w:val="18"/>
        </w:rPr>
      </w:pPr>
    </w:p>
    <w:p w14:paraId="3AE242B6" w14:textId="3F2DAC20" w:rsidR="003A7FEB" w:rsidRPr="00617FCF" w:rsidRDefault="00572173" w:rsidP="00815DAD">
      <w:pPr>
        <w:spacing w:after="0" w:line="240" w:lineRule="auto"/>
        <w:jc w:val="both"/>
        <w:rPr>
          <w:rFonts w:ascii="Arial" w:eastAsia="Times New Roman" w:hAnsi="Arial" w:cs="Arial"/>
          <w:sz w:val="20"/>
          <w:szCs w:val="20"/>
        </w:rPr>
      </w:pPr>
      <w:r w:rsidRPr="00617FCF">
        <w:rPr>
          <w:rFonts w:ascii="Arial" w:eastAsia="Times New Roman" w:hAnsi="Arial" w:cs="Arial"/>
          <w:b/>
          <w:bCs/>
          <w:sz w:val="20"/>
          <w:szCs w:val="20"/>
        </w:rPr>
        <w:t>3</w:t>
      </w:r>
      <w:r w:rsidR="0040020F" w:rsidRPr="00617FCF">
        <w:rPr>
          <w:rFonts w:ascii="Arial" w:eastAsia="Times New Roman" w:hAnsi="Arial" w:cs="Arial"/>
          <w:b/>
          <w:bCs/>
          <w:sz w:val="20"/>
          <w:szCs w:val="20"/>
        </w:rPr>
        <w:t>2</w:t>
      </w:r>
      <w:r w:rsidR="0069389B" w:rsidRPr="00617FCF">
        <w:rPr>
          <w:rFonts w:ascii="Arial" w:eastAsia="Times New Roman" w:hAnsi="Arial" w:cs="Arial"/>
          <w:b/>
          <w:bCs/>
          <w:sz w:val="20"/>
          <w:szCs w:val="20"/>
        </w:rPr>
        <w:t>. A203136: Mauzolej Račić, restauratorski radovi</w:t>
      </w:r>
      <w:r w:rsidR="00C13DF1" w:rsidRPr="00617FCF">
        <w:rPr>
          <w:rFonts w:ascii="Arial" w:eastAsia="Times New Roman" w:hAnsi="Arial" w:cs="Arial"/>
          <w:b/>
          <w:bCs/>
          <w:sz w:val="20"/>
          <w:szCs w:val="20"/>
        </w:rPr>
        <w:t xml:space="preserve"> - </w:t>
      </w:r>
      <w:r w:rsidR="001900D7" w:rsidRPr="001900D7">
        <w:rPr>
          <w:rFonts w:ascii="Arial" w:eastAsia="Times New Roman" w:hAnsi="Arial" w:cs="Arial"/>
          <w:sz w:val="20"/>
          <w:szCs w:val="20"/>
        </w:rPr>
        <w:t xml:space="preserve">U okviru navedene aktivnosti za 2025. godinu su planirana proračunska sredstva u iznosu od 138.100,00 </w:t>
      </w:r>
      <w:r w:rsidR="001900D7">
        <w:rPr>
          <w:rFonts w:ascii="Arial" w:eastAsia="Times New Roman" w:hAnsi="Arial" w:cs="Arial"/>
          <w:sz w:val="20"/>
          <w:szCs w:val="20"/>
        </w:rPr>
        <w:t>€</w:t>
      </w:r>
      <w:r w:rsidR="001900D7" w:rsidRPr="001900D7">
        <w:rPr>
          <w:rFonts w:ascii="Arial" w:eastAsia="Times New Roman" w:hAnsi="Arial" w:cs="Arial"/>
          <w:sz w:val="20"/>
          <w:szCs w:val="20"/>
        </w:rPr>
        <w:t xml:space="preserve"> te su rebalansom smanjena na 23.100 </w:t>
      </w:r>
      <w:r w:rsidR="001900D7">
        <w:rPr>
          <w:rFonts w:ascii="Arial" w:eastAsia="Times New Roman" w:hAnsi="Arial" w:cs="Arial"/>
          <w:sz w:val="20"/>
          <w:szCs w:val="20"/>
        </w:rPr>
        <w:t>€</w:t>
      </w:r>
      <w:r w:rsidR="001900D7" w:rsidRPr="001900D7">
        <w:rPr>
          <w:rFonts w:ascii="Arial" w:eastAsia="Times New Roman" w:hAnsi="Arial" w:cs="Arial"/>
          <w:sz w:val="20"/>
          <w:szCs w:val="20"/>
        </w:rPr>
        <w:t xml:space="preserve">. Tijekom 2025. godine izvršeni su konzervatorsko-restauratorski zahvati na koje  je utrošeno 14.987,50 </w:t>
      </w:r>
      <w:r w:rsidR="001900D7">
        <w:rPr>
          <w:rFonts w:ascii="Arial" w:eastAsia="Times New Roman" w:hAnsi="Arial" w:cs="Arial"/>
          <w:sz w:val="20"/>
          <w:szCs w:val="20"/>
        </w:rPr>
        <w:t xml:space="preserve">€ </w:t>
      </w:r>
      <w:r w:rsidR="001900D7" w:rsidRPr="001900D7">
        <w:rPr>
          <w:rFonts w:ascii="Arial" w:eastAsia="Times New Roman" w:hAnsi="Arial" w:cs="Arial"/>
          <w:sz w:val="20"/>
          <w:szCs w:val="20"/>
        </w:rPr>
        <w:t>što je u potpunosti financirano sredstvima Ministarstva kulture i medija.</w:t>
      </w:r>
    </w:p>
    <w:p w14:paraId="79F181BC" w14:textId="77777777" w:rsidR="00DF4DF8" w:rsidRPr="00EA587B" w:rsidRDefault="003A7FEB" w:rsidP="00EA587B">
      <w:pPr>
        <w:spacing w:after="0" w:line="240" w:lineRule="auto"/>
        <w:ind w:left="567"/>
        <w:jc w:val="both"/>
        <w:rPr>
          <w:rFonts w:ascii="Arial" w:eastAsia="Times New Roman" w:hAnsi="Arial" w:cs="Arial"/>
          <w:sz w:val="18"/>
          <w:szCs w:val="18"/>
        </w:rPr>
      </w:pPr>
      <w:r w:rsidRPr="00EA587B">
        <w:rPr>
          <w:rFonts w:ascii="Arial" w:eastAsia="Times New Roman" w:hAnsi="Arial" w:cs="Arial"/>
          <w:sz w:val="18"/>
          <w:szCs w:val="18"/>
        </w:rPr>
        <w:t>U 2020. godini izvršeni su radovi redovnog održavanja Mauzoleja Račić u iznosu 52.500 kn temeljem dodijeljene pomoći od Ministarstva kulture (50.000 kn)</w:t>
      </w:r>
      <w:r w:rsidR="00DF4DF8" w:rsidRPr="00EA587B">
        <w:rPr>
          <w:rFonts w:ascii="Arial" w:eastAsia="Times New Roman" w:hAnsi="Arial" w:cs="Arial"/>
          <w:sz w:val="18"/>
          <w:szCs w:val="18"/>
        </w:rPr>
        <w:t xml:space="preserve"> što je obuhvatilo dio potrebnih konzervatorsko restauratorskih zahvata te poslove čišćenja.</w:t>
      </w:r>
    </w:p>
    <w:p w14:paraId="4E5DEA93" w14:textId="77777777" w:rsidR="00ED657E" w:rsidRPr="00617FCF" w:rsidRDefault="00ED657E" w:rsidP="00C13DF1">
      <w:pPr>
        <w:spacing w:after="0" w:line="240" w:lineRule="auto"/>
        <w:jc w:val="both"/>
        <w:rPr>
          <w:rFonts w:ascii="Arial" w:eastAsia="Times New Roman" w:hAnsi="Arial" w:cs="Arial"/>
          <w:sz w:val="20"/>
          <w:szCs w:val="20"/>
        </w:rPr>
      </w:pPr>
    </w:p>
    <w:p w14:paraId="1D9E72DD" w14:textId="77777777" w:rsidR="00681971" w:rsidRDefault="00572173" w:rsidP="00DF4DF8">
      <w:pPr>
        <w:spacing w:after="0" w:line="240" w:lineRule="auto"/>
        <w:jc w:val="both"/>
        <w:rPr>
          <w:rFonts w:ascii="Arial" w:eastAsia="Times New Roman" w:hAnsi="Arial" w:cs="Arial"/>
          <w:sz w:val="20"/>
          <w:szCs w:val="20"/>
        </w:rPr>
      </w:pPr>
      <w:r w:rsidRPr="00617FCF">
        <w:rPr>
          <w:rFonts w:ascii="Arial" w:eastAsia="Times New Roman" w:hAnsi="Arial" w:cs="Arial"/>
          <w:b/>
          <w:bCs/>
          <w:sz w:val="20"/>
          <w:szCs w:val="20"/>
        </w:rPr>
        <w:lastRenderedPageBreak/>
        <w:t>3</w:t>
      </w:r>
      <w:r w:rsidR="0040020F" w:rsidRPr="00617FCF">
        <w:rPr>
          <w:rFonts w:ascii="Arial" w:eastAsia="Times New Roman" w:hAnsi="Arial" w:cs="Arial"/>
          <w:b/>
          <w:bCs/>
          <w:sz w:val="20"/>
          <w:szCs w:val="20"/>
        </w:rPr>
        <w:t>3</w:t>
      </w:r>
      <w:r w:rsidR="00ED657E" w:rsidRPr="00617FCF">
        <w:rPr>
          <w:rFonts w:ascii="Arial" w:eastAsia="Times New Roman" w:hAnsi="Arial" w:cs="Arial"/>
          <w:b/>
          <w:bCs/>
          <w:sz w:val="20"/>
          <w:szCs w:val="20"/>
        </w:rPr>
        <w:t xml:space="preserve">. T203137 ERASMUS+, </w:t>
      </w:r>
      <w:r w:rsidR="00ED657E" w:rsidRPr="00617FCF">
        <w:rPr>
          <w:rFonts w:ascii="Arial" w:eastAsia="Calibri" w:hAnsi="Arial" w:cs="Arial"/>
          <w:b/>
          <w:bCs/>
          <w:i/>
          <w:sz w:val="20"/>
          <w:szCs w:val="20"/>
        </w:rPr>
        <w:t>Unnecessary - useful and aesthetic creative approach to recycling</w:t>
      </w:r>
      <w:r w:rsidR="00ED657E" w:rsidRPr="00617FCF">
        <w:rPr>
          <w:rFonts w:ascii="Arial" w:eastAsia="Calibri" w:hAnsi="Arial" w:cs="Arial"/>
          <w:iCs/>
          <w:sz w:val="20"/>
          <w:szCs w:val="20"/>
        </w:rPr>
        <w:t xml:space="preserve"> - </w:t>
      </w:r>
      <w:r w:rsidR="00ED657E" w:rsidRPr="00617FCF">
        <w:rPr>
          <w:rFonts w:ascii="Arial" w:eastAsia="Times New Roman" w:hAnsi="Arial" w:cs="Arial"/>
          <w:b/>
          <w:bCs/>
          <w:sz w:val="20"/>
          <w:szCs w:val="20"/>
        </w:rPr>
        <w:t>Kreativni pristup recikliranju (koordinator Poljska, umjetnički centar) –</w:t>
      </w:r>
      <w:r w:rsidR="00C13DF1" w:rsidRPr="00617FCF">
        <w:rPr>
          <w:rFonts w:ascii="Arial" w:eastAsia="Times New Roman" w:hAnsi="Arial" w:cs="Arial"/>
          <w:sz w:val="20"/>
          <w:szCs w:val="20"/>
        </w:rPr>
        <w:t xml:space="preserve"> U okviru navedene aktivnosti </w:t>
      </w:r>
      <w:r w:rsidR="00681971">
        <w:rPr>
          <w:rFonts w:ascii="Arial" w:eastAsia="Times New Roman" w:hAnsi="Arial" w:cs="Arial"/>
          <w:sz w:val="20"/>
          <w:szCs w:val="20"/>
        </w:rPr>
        <w:t>nis</w:t>
      </w:r>
      <w:r w:rsidR="00C13DF1" w:rsidRPr="00617FCF">
        <w:rPr>
          <w:rFonts w:ascii="Arial" w:eastAsia="Times New Roman" w:hAnsi="Arial" w:cs="Arial"/>
          <w:sz w:val="20"/>
          <w:szCs w:val="20"/>
        </w:rPr>
        <w:t>u planirana proračunska sredstva</w:t>
      </w:r>
      <w:r w:rsidR="00681971">
        <w:rPr>
          <w:rFonts w:ascii="Arial" w:eastAsia="Times New Roman" w:hAnsi="Arial" w:cs="Arial"/>
          <w:sz w:val="20"/>
          <w:szCs w:val="20"/>
        </w:rPr>
        <w:t>.</w:t>
      </w:r>
    </w:p>
    <w:p w14:paraId="13C4FE3A" w14:textId="37DEB832" w:rsidR="00681971" w:rsidRDefault="00AE5047" w:rsidP="00AE5047">
      <w:pPr>
        <w:spacing w:after="0" w:line="240" w:lineRule="auto"/>
        <w:jc w:val="both"/>
        <w:rPr>
          <w:rFonts w:ascii="Arial" w:eastAsia="Times New Roman" w:hAnsi="Arial" w:cs="Arial"/>
          <w:sz w:val="20"/>
          <w:szCs w:val="20"/>
        </w:rPr>
      </w:pPr>
      <w:r w:rsidRPr="00AE5047">
        <w:rPr>
          <w:rFonts w:ascii="Arial" w:eastAsia="Times New Roman" w:hAnsi="Arial" w:cs="Arial"/>
          <w:sz w:val="20"/>
          <w:szCs w:val="20"/>
        </w:rPr>
        <w:t xml:space="preserve">Tema ovog projekta je bila pronalaženje oblika kreativne upotrebe otpada u umjetnosti s terapeutskim efektima kao doprinos konceptu održivog razvoja i cjeloživotnog učenja s ciljem uključivanja u programe ranjivih skupina. Ukupna vrijednost projekta je iznosila 156.245,00 </w:t>
      </w:r>
      <w:r>
        <w:rPr>
          <w:rFonts w:ascii="Arial" w:eastAsia="Times New Roman" w:hAnsi="Arial" w:cs="Arial"/>
          <w:sz w:val="20"/>
          <w:szCs w:val="20"/>
        </w:rPr>
        <w:t>€</w:t>
      </w:r>
      <w:r w:rsidRPr="00AE5047">
        <w:rPr>
          <w:rFonts w:ascii="Arial" w:eastAsia="Times New Roman" w:hAnsi="Arial" w:cs="Arial"/>
          <w:sz w:val="20"/>
          <w:szCs w:val="20"/>
        </w:rPr>
        <w:t xml:space="preserve">, Muzejima i galerijama Konavala dodijeljen je iznos od 16.844,00 </w:t>
      </w:r>
      <w:r>
        <w:rPr>
          <w:rFonts w:ascii="Arial" w:eastAsia="Times New Roman" w:hAnsi="Arial" w:cs="Arial"/>
          <w:sz w:val="20"/>
          <w:szCs w:val="20"/>
        </w:rPr>
        <w:t>€</w:t>
      </w:r>
      <w:r w:rsidRPr="00AE5047">
        <w:rPr>
          <w:rFonts w:ascii="Arial" w:eastAsia="Times New Roman" w:hAnsi="Arial" w:cs="Arial"/>
          <w:sz w:val="20"/>
          <w:szCs w:val="20"/>
        </w:rPr>
        <w:t>, projekt je imao 7 sudionika, koordinator je Poleski Ośrodek Sztuki iz Poljske, a partneri su iz Švedske, Italije, Portugala te 2 iz Austrije.</w:t>
      </w:r>
    </w:p>
    <w:p w14:paraId="5C91820C" w14:textId="77777777" w:rsidR="00AE5047" w:rsidRDefault="00AE5047" w:rsidP="00DF4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
          <w:bCs/>
          <w:iCs/>
          <w:sz w:val="20"/>
          <w:szCs w:val="20"/>
        </w:rPr>
      </w:pPr>
    </w:p>
    <w:p w14:paraId="27A2D510" w14:textId="159DAA0D" w:rsidR="00EC60BC" w:rsidRPr="00617FCF" w:rsidRDefault="00EC60BC" w:rsidP="00DF4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iCs/>
          <w:sz w:val="20"/>
          <w:szCs w:val="20"/>
        </w:rPr>
      </w:pPr>
      <w:r w:rsidRPr="00617FCF">
        <w:rPr>
          <w:rFonts w:ascii="Arial" w:eastAsia="Calibri" w:hAnsi="Arial" w:cs="Arial"/>
          <w:b/>
          <w:bCs/>
          <w:iCs/>
          <w:sz w:val="20"/>
          <w:szCs w:val="20"/>
        </w:rPr>
        <w:t>3</w:t>
      </w:r>
      <w:r w:rsidR="0040020F" w:rsidRPr="00617FCF">
        <w:rPr>
          <w:rFonts w:ascii="Arial" w:eastAsia="Calibri" w:hAnsi="Arial" w:cs="Arial"/>
          <w:b/>
          <w:bCs/>
          <w:iCs/>
          <w:sz w:val="20"/>
          <w:szCs w:val="20"/>
        </w:rPr>
        <w:t>4</w:t>
      </w:r>
      <w:r w:rsidRPr="00617FCF">
        <w:rPr>
          <w:rFonts w:ascii="Arial" w:eastAsia="Calibri" w:hAnsi="Arial" w:cs="Arial"/>
          <w:b/>
          <w:bCs/>
          <w:iCs/>
          <w:sz w:val="20"/>
          <w:szCs w:val="20"/>
        </w:rPr>
        <w:t xml:space="preserve">. T203138: ERASMUS+ History, </w:t>
      </w:r>
      <w:r w:rsidRPr="00617FCF">
        <w:rPr>
          <w:rFonts w:ascii="Arial" w:eastAsia="Calibri" w:hAnsi="Arial" w:cs="Arial"/>
          <w:i/>
          <w:sz w:val="20"/>
          <w:szCs w:val="20"/>
        </w:rPr>
        <w:t xml:space="preserve">KA2,Transnational approaches and multi-perspective methods in history teaching </w:t>
      </w:r>
    </w:p>
    <w:p w14:paraId="24BACC5D" w14:textId="77777777" w:rsidR="00EA587B" w:rsidRDefault="00EA587B" w:rsidP="00DF4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iCs/>
          <w:sz w:val="20"/>
          <w:szCs w:val="20"/>
        </w:rPr>
      </w:pPr>
    </w:p>
    <w:p w14:paraId="4706043D" w14:textId="5F0A4C58" w:rsidR="003A54B4" w:rsidRPr="00617FCF" w:rsidRDefault="00AE5047" w:rsidP="00AE5047">
      <w:pPr>
        <w:spacing w:after="0" w:line="240" w:lineRule="auto"/>
        <w:jc w:val="both"/>
        <w:rPr>
          <w:rFonts w:ascii="Arial" w:eastAsia="Calibri" w:hAnsi="Arial" w:cs="Arial"/>
          <w:iCs/>
          <w:sz w:val="20"/>
          <w:szCs w:val="20"/>
        </w:rPr>
      </w:pPr>
      <w:r w:rsidRPr="00AE5047">
        <w:rPr>
          <w:rFonts w:ascii="Arial" w:eastAsia="Calibri" w:hAnsi="Arial" w:cs="Arial"/>
          <w:iCs/>
          <w:sz w:val="20"/>
          <w:szCs w:val="20"/>
        </w:rPr>
        <w:t xml:space="preserve">Planirana sredstva od 8.500 </w:t>
      </w:r>
      <w:r>
        <w:rPr>
          <w:rFonts w:ascii="Arial" w:eastAsia="Calibri" w:hAnsi="Arial" w:cs="Arial"/>
          <w:iCs/>
          <w:sz w:val="20"/>
          <w:szCs w:val="20"/>
        </w:rPr>
        <w:t>€</w:t>
      </w:r>
      <w:r w:rsidRPr="00AE5047">
        <w:rPr>
          <w:rFonts w:ascii="Arial" w:eastAsia="Calibri" w:hAnsi="Arial" w:cs="Arial"/>
          <w:iCs/>
          <w:sz w:val="20"/>
          <w:szCs w:val="20"/>
        </w:rPr>
        <w:t xml:space="preserve"> koja su preostala nakon završetka projekta su prvim rebalansom prenesena na aktivnost A203108 Konzervatorsko restauratorski radovi za potrebe cjelovite restauracije harmonija KB-708 iz fundusa Kuće Bukovac. U ovom projektu ustanova je surađivala sa još sedam sudionika, koordinator je bio Universitate Klagenfurt iz Austrije, dok su ostali partneri bili iz Belgije, Njemačke, Poljske, Austrije, Rumunjske i Švedske. Ukupna vrijednost projekta je iznosila 257.159,00 </w:t>
      </w:r>
      <w:r>
        <w:rPr>
          <w:rFonts w:ascii="Arial" w:eastAsia="Calibri" w:hAnsi="Arial" w:cs="Arial"/>
          <w:iCs/>
          <w:sz w:val="20"/>
          <w:szCs w:val="20"/>
        </w:rPr>
        <w:t>€</w:t>
      </w:r>
      <w:r w:rsidRPr="00AE5047">
        <w:rPr>
          <w:rFonts w:ascii="Arial" w:eastAsia="Calibri" w:hAnsi="Arial" w:cs="Arial"/>
          <w:iCs/>
          <w:sz w:val="20"/>
          <w:szCs w:val="20"/>
        </w:rPr>
        <w:t xml:space="preserve">, Muzejima i galerijama Konavala dodijeljen je iznos od 33.315,00 </w:t>
      </w:r>
      <w:r>
        <w:rPr>
          <w:rFonts w:ascii="Arial" w:eastAsia="Calibri" w:hAnsi="Arial" w:cs="Arial"/>
          <w:iCs/>
          <w:sz w:val="20"/>
          <w:szCs w:val="20"/>
        </w:rPr>
        <w:t>€</w:t>
      </w:r>
      <w:r w:rsidRPr="00AE5047">
        <w:rPr>
          <w:rFonts w:ascii="Arial" w:eastAsia="Calibri" w:hAnsi="Arial" w:cs="Arial"/>
          <w:iCs/>
          <w:sz w:val="20"/>
          <w:szCs w:val="20"/>
        </w:rPr>
        <w:t>. Projektom se kroz proučavanje društveno-političkih događaje iz europske prošlosti ispitivalo kako su potekle različite nacionalne perspektive s ciljem razvoja modela najbolje prakse za podučavanje povijesti u školi i izvan nje.</w:t>
      </w:r>
    </w:p>
    <w:p w14:paraId="400C1CB9" w14:textId="77777777" w:rsidR="00AE5047" w:rsidRDefault="00AE5047" w:rsidP="00DF4DF8">
      <w:pPr>
        <w:spacing w:after="0" w:line="240" w:lineRule="auto"/>
        <w:rPr>
          <w:rFonts w:ascii="Arial" w:eastAsia="Calibri" w:hAnsi="Arial" w:cs="Arial"/>
          <w:b/>
          <w:sz w:val="20"/>
          <w:szCs w:val="20"/>
        </w:rPr>
      </w:pPr>
    </w:p>
    <w:p w14:paraId="23CDB647" w14:textId="35D4CEBE" w:rsidR="000D56FC" w:rsidRPr="00617FCF" w:rsidRDefault="000D56FC" w:rsidP="00DF4DF8">
      <w:pPr>
        <w:spacing w:after="0" w:line="240" w:lineRule="auto"/>
        <w:rPr>
          <w:rFonts w:ascii="Arial" w:eastAsia="Calibri" w:hAnsi="Arial" w:cs="Arial"/>
          <w:b/>
          <w:sz w:val="20"/>
          <w:szCs w:val="20"/>
        </w:rPr>
      </w:pPr>
      <w:r w:rsidRPr="00617FCF">
        <w:rPr>
          <w:rFonts w:ascii="Arial" w:eastAsia="Calibri" w:hAnsi="Arial" w:cs="Arial"/>
          <w:b/>
          <w:sz w:val="20"/>
          <w:szCs w:val="20"/>
        </w:rPr>
        <w:t>35. T203139: ERASMUS+ ATME, A theatrical museum experience</w:t>
      </w:r>
    </w:p>
    <w:p w14:paraId="2CDF4F36" w14:textId="77777777" w:rsidR="00DF4DF8" w:rsidRPr="000631A5" w:rsidRDefault="00DF4DF8" w:rsidP="00AE5047">
      <w:pPr>
        <w:spacing w:after="0" w:line="240" w:lineRule="auto"/>
        <w:jc w:val="both"/>
        <w:rPr>
          <w:rFonts w:ascii="Arial" w:eastAsia="Calibri" w:hAnsi="Arial" w:cs="Arial"/>
          <w:bCs/>
          <w:sz w:val="18"/>
          <w:szCs w:val="18"/>
        </w:rPr>
      </w:pPr>
    </w:p>
    <w:p w14:paraId="41E5FCCE" w14:textId="508A9C0C" w:rsidR="00AE5047" w:rsidRPr="000631A5" w:rsidRDefault="00AE5047" w:rsidP="00AE5047">
      <w:pPr>
        <w:autoSpaceDE w:val="0"/>
        <w:autoSpaceDN w:val="0"/>
        <w:adjustRightInd w:val="0"/>
        <w:spacing w:after="0" w:line="240" w:lineRule="auto"/>
        <w:jc w:val="both"/>
        <w:rPr>
          <w:rFonts w:ascii="Arial" w:eastAsia="Calibri" w:hAnsi="Arial" w:cs="Arial"/>
          <w:iCs/>
          <w:sz w:val="20"/>
          <w:szCs w:val="20"/>
        </w:rPr>
      </w:pPr>
      <w:r w:rsidRPr="000631A5">
        <w:rPr>
          <w:rFonts w:ascii="Arial" w:hAnsi="Arial" w:cs="Arial"/>
          <w:sz w:val="20"/>
          <w:szCs w:val="20"/>
        </w:rPr>
        <w:t>T</w:t>
      </w:r>
      <w:r w:rsidRPr="000631A5">
        <w:rPr>
          <w:rFonts w:ascii="Arial" w:eastAsia="Calibri" w:hAnsi="Arial" w:cs="Arial"/>
          <w:iCs/>
          <w:sz w:val="20"/>
          <w:szCs w:val="20"/>
        </w:rPr>
        <w:t xml:space="preserve">ema projekta je bila poučavanje ciljanih skupina kako na originalan način prezentirati sadržaj muzeja, povijesti umjetnosti i sl. čime muzejski prostori postaju novi edukativni i poticajni prostori otvoreni širim publikama, gdje se učenjem kroz iskustvo postiže individualni rast i razvoj kroz nove načine razmišljanja i razvoja uključivog društva. Projekt je trajao od 01.04.2023. do 30.09.2024. godine, a odobreni budget Muzeja i galerija Konavala je iznosi 16.650 €. U projektu su također sudjelovali  muzej iz Švedske i dramska skupina iz Belgije, koja je bila koordinator projekta.  </w:t>
      </w:r>
    </w:p>
    <w:p w14:paraId="48CE0DB1" w14:textId="77777777" w:rsidR="00DF4DF8" w:rsidRPr="000631A5" w:rsidRDefault="00DF4DF8" w:rsidP="00DF4DF8">
      <w:pPr>
        <w:spacing w:after="0" w:line="240" w:lineRule="auto"/>
        <w:jc w:val="both"/>
        <w:rPr>
          <w:rFonts w:ascii="Arial" w:eastAsia="Calibri" w:hAnsi="Arial" w:cs="Arial"/>
          <w:iCs/>
          <w:sz w:val="18"/>
          <w:szCs w:val="18"/>
        </w:rPr>
      </w:pPr>
    </w:p>
    <w:tbl>
      <w:tblPr>
        <w:tblStyle w:val="Reetkatablice5"/>
        <w:tblW w:w="12826" w:type="dxa"/>
        <w:jc w:val="center"/>
        <w:tblLayout w:type="fixed"/>
        <w:tblLook w:val="04A0" w:firstRow="1" w:lastRow="0" w:firstColumn="1" w:lastColumn="0" w:noHBand="0" w:noVBand="1"/>
      </w:tblPr>
      <w:tblGrid>
        <w:gridCol w:w="2122"/>
        <w:gridCol w:w="2912"/>
        <w:gridCol w:w="1099"/>
        <w:gridCol w:w="1134"/>
        <w:gridCol w:w="1134"/>
        <w:gridCol w:w="1023"/>
        <w:gridCol w:w="992"/>
        <w:gridCol w:w="1134"/>
        <w:gridCol w:w="1276"/>
      </w:tblGrid>
      <w:tr w:rsidR="00617FCF" w:rsidRPr="00617FCF" w14:paraId="3B59E782" w14:textId="77777777" w:rsidTr="00344DB6">
        <w:trPr>
          <w:jc w:val="center"/>
        </w:trPr>
        <w:tc>
          <w:tcPr>
            <w:tcW w:w="2122" w:type="dxa"/>
            <w:shd w:val="clear" w:color="auto" w:fill="BFBFBF" w:themeFill="background1" w:themeFillShade="BF"/>
            <w:vAlign w:val="center"/>
          </w:tcPr>
          <w:p w14:paraId="4CDD73F2" w14:textId="04C5FB91" w:rsidR="00617FCF" w:rsidRPr="00617FCF" w:rsidRDefault="00617FCF" w:rsidP="00617FCF">
            <w:pPr>
              <w:jc w:val="center"/>
              <w:rPr>
                <w:rFonts w:ascii="Arial" w:eastAsia="Calibri" w:hAnsi="Arial" w:cs="Arial"/>
                <w:sz w:val="16"/>
                <w:szCs w:val="16"/>
              </w:rPr>
            </w:pPr>
            <w:r w:rsidRPr="00617FCF">
              <w:rPr>
                <w:rFonts w:ascii="Arial" w:eastAsia="Calibri" w:hAnsi="Arial" w:cs="Arial"/>
                <w:sz w:val="18"/>
                <w:szCs w:val="18"/>
              </w:rPr>
              <w:t>Pokazatelj uspješnosti</w:t>
            </w:r>
          </w:p>
        </w:tc>
        <w:tc>
          <w:tcPr>
            <w:tcW w:w="2912" w:type="dxa"/>
            <w:shd w:val="clear" w:color="auto" w:fill="BFBFBF" w:themeFill="background1" w:themeFillShade="BF"/>
            <w:vAlign w:val="center"/>
          </w:tcPr>
          <w:p w14:paraId="66B5F84F" w14:textId="3F7EEBCD" w:rsidR="00617FCF" w:rsidRPr="00617FCF" w:rsidRDefault="00617FCF" w:rsidP="00617FCF">
            <w:pPr>
              <w:jc w:val="center"/>
              <w:rPr>
                <w:rFonts w:ascii="Arial" w:eastAsia="Calibri" w:hAnsi="Arial" w:cs="Arial"/>
                <w:sz w:val="16"/>
                <w:szCs w:val="16"/>
              </w:rPr>
            </w:pPr>
            <w:r w:rsidRPr="00617FCF">
              <w:rPr>
                <w:rFonts w:ascii="Arial" w:eastAsia="Calibri" w:hAnsi="Arial" w:cs="Arial"/>
                <w:sz w:val="18"/>
                <w:szCs w:val="18"/>
              </w:rPr>
              <w:t>Definicija</w:t>
            </w:r>
          </w:p>
        </w:tc>
        <w:tc>
          <w:tcPr>
            <w:tcW w:w="1099" w:type="dxa"/>
            <w:shd w:val="clear" w:color="auto" w:fill="BFBFBF" w:themeFill="background1" w:themeFillShade="BF"/>
            <w:vAlign w:val="center"/>
          </w:tcPr>
          <w:p w14:paraId="6E03D007" w14:textId="53234E3A" w:rsidR="00617FCF" w:rsidRPr="00617FCF" w:rsidRDefault="00617FCF" w:rsidP="00617FCF">
            <w:pPr>
              <w:jc w:val="center"/>
              <w:rPr>
                <w:rFonts w:ascii="Arial" w:eastAsia="Calibri" w:hAnsi="Arial" w:cs="Arial"/>
                <w:sz w:val="16"/>
                <w:szCs w:val="16"/>
              </w:rPr>
            </w:pPr>
            <w:r w:rsidRPr="00617FCF">
              <w:rPr>
                <w:rFonts w:ascii="Arial" w:eastAsia="Calibri" w:hAnsi="Arial" w:cs="Arial"/>
                <w:sz w:val="18"/>
                <w:szCs w:val="18"/>
              </w:rPr>
              <w:t>Jedinica</w:t>
            </w:r>
          </w:p>
        </w:tc>
        <w:tc>
          <w:tcPr>
            <w:tcW w:w="1134" w:type="dxa"/>
            <w:shd w:val="clear" w:color="auto" w:fill="BFBFBF" w:themeFill="background1" w:themeFillShade="BF"/>
            <w:vAlign w:val="center"/>
          </w:tcPr>
          <w:p w14:paraId="2FCFBC2C" w14:textId="77777777" w:rsidR="00617FCF" w:rsidRPr="00617FCF" w:rsidRDefault="00617FCF" w:rsidP="00617FCF">
            <w:pPr>
              <w:jc w:val="center"/>
              <w:rPr>
                <w:rFonts w:ascii="Arial" w:eastAsia="Calibri" w:hAnsi="Arial" w:cs="Arial"/>
                <w:sz w:val="18"/>
                <w:szCs w:val="18"/>
              </w:rPr>
            </w:pPr>
            <w:r w:rsidRPr="00617FCF">
              <w:rPr>
                <w:rFonts w:ascii="Arial" w:eastAsia="Calibri" w:hAnsi="Arial" w:cs="Arial"/>
                <w:sz w:val="18"/>
                <w:szCs w:val="18"/>
              </w:rPr>
              <w:t>Polazna vrijednost</w:t>
            </w:r>
          </w:p>
          <w:p w14:paraId="66524071" w14:textId="60F076A9" w:rsidR="00617FCF" w:rsidRPr="00617FCF" w:rsidRDefault="00617FCF" w:rsidP="00617FCF">
            <w:pPr>
              <w:jc w:val="center"/>
              <w:rPr>
                <w:rFonts w:ascii="Arial" w:eastAsia="Calibri" w:hAnsi="Arial" w:cs="Arial"/>
                <w:sz w:val="16"/>
                <w:szCs w:val="16"/>
              </w:rPr>
            </w:pPr>
            <w:r w:rsidRPr="00617FCF">
              <w:rPr>
                <w:rFonts w:ascii="Arial" w:eastAsia="Calibri" w:hAnsi="Arial" w:cs="Arial"/>
                <w:sz w:val="18"/>
                <w:szCs w:val="18"/>
              </w:rPr>
              <w:t>202</w:t>
            </w:r>
            <w:r w:rsidR="00695D08">
              <w:rPr>
                <w:rFonts w:ascii="Arial" w:eastAsia="Calibri" w:hAnsi="Arial" w:cs="Arial"/>
                <w:sz w:val="18"/>
                <w:szCs w:val="18"/>
              </w:rPr>
              <w:t>4</w:t>
            </w:r>
            <w:r w:rsidRPr="00617FCF">
              <w:rPr>
                <w:rFonts w:ascii="Arial" w:eastAsia="Calibri" w:hAnsi="Arial" w:cs="Arial"/>
                <w:sz w:val="18"/>
                <w:szCs w:val="18"/>
              </w:rPr>
              <w:t>.</w:t>
            </w:r>
          </w:p>
        </w:tc>
        <w:tc>
          <w:tcPr>
            <w:tcW w:w="1134" w:type="dxa"/>
            <w:shd w:val="clear" w:color="auto" w:fill="BFBFBF" w:themeFill="background1" w:themeFillShade="BF"/>
            <w:vAlign w:val="center"/>
          </w:tcPr>
          <w:p w14:paraId="7C7F0A4F" w14:textId="11607139" w:rsidR="00617FCF" w:rsidRPr="00617FCF" w:rsidRDefault="00617FCF" w:rsidP="00617FCF">
            <w:pPr>
              <w:jc w:val="center"/>
              <w:rPr>
                <w:rFonts w:ascii="Arial" w:eastAsia="Calibri" w:hAnsi="Arial" w:cs="Arial"/>
                <w:sz w:val="16"/>
                <w:szCs w:val="16"/>
              </w:rPr>
            </w:pPr>
            <w:r w:rsidRPr="00617FCF">
              <w:rPr>
                <w:rFonts w:ascii="Arial" w:eastAsia="Calibri" w:hAnsi="Arial" w:cs="Arial"/>
                <w:sz w:val="18"/>
                <w:szCs w:val="18"/>
              </w:rPr>
              <w:t>Izvor podataka</w:t>
            </w:r>
          </w:p>
        </w:tc>
        <w:tc>
          <w:tcPr>
            <w:tcW w:w="1023" w:type="dxa"/>
            <w:shd w:val="clear" w:color="auto" w:fill="BFBFBF" w:themeFill="background1" w:themeFillShade="BF"/>
            <w:vAlign w:val="center"/>
          </w:tcPr>
          <w:p w14:paraId="30BB820B" w14:textId="54302491" w:rsidR="00617FCF" w:rsidRPr="00617FCF" w:rsidRDefault="00617FCF" w:rsidP="00617FCF">
            <w:pPr>
              <w:jc w:val="center"/>
              <w:rPr>
                <w:rFonts w:ascii="Arial" w:eastAsia="Calibri" w:hAnsi="Arial" w:cs="Arial"/>
                <w:sz w:val="16"/>
                <w:szCs w:val="16"/>
              </w:rPr>
            </w:pPr>
            <w:r w:rsidRPr="00617FCF">
              <w:rPr>
                <w:rFonts w:ascii="Arial" w:eastAsia="Calibri" w:hAnsi="Arial" w:cs="Arial"/>
                <w:sz w:val="18"/>
                <w:szCs w:val="18"/>
              </w:rPr>
              <w:t>Ciljana vrijednost 202</w:t>
            </w:r>
            <w:r w:rsidR="00695D08">
              <w:rPr>
                <w:rFonts w:ascii="Arial" w:eastAsia="Calibri" w:hAnsi="Arial" w:cs="Arial"/>
                <w:sz w:val="18"/>
                <w:szCs w:val="18"/>
              </w:rPr>
              <w:t>5</w:t>
            </w:r>
            <w:r w:rsidRPr="00617FCF">
              <w:rPr>
                <w:rFonts w:ascii="Arial" w:eastAsia="Calibri" w:hAnsi="Arial" w:cs="Arial"/>
                <w:sz w:val="18"/>
                <w:szCs w:val="18"/>
              </w:rPr>
              <w:t>.</w:t>
            </w:r>
          </w:p>
        </w:tc>
        <w:tc>
          <w:tcPr>
            <w:tcW w:w="992" w:type="dxa"/>
            <w:shd w:val="clear" w:color="auto" w:fill="BFBFBF" w:themeFill="background1" w:themeFillShade="BF"/>
            <w:vAlign w:val="center"/>
          </w:tcPr>
          <w:p w14:paraId="2478B7E4" w14:textId="1A16D579" w:rsidR="00617FCF" w:rsidRPr="00617FCF" w:rsidRDefault="00617FCF" w:rsidP="00617FCF">
            <w:pPr>
              <w:jc w:val="center"/>
              <w:rPr>
                <w:rFonts w:ascii="Arial" w:eastAsia="Calibri" w:hAnsi="Arial" w:cs="Arial"/>
                <w:sz w:val="16"/>
                <w:szCs w:val="16"/>
              </w:rPr>
            </w:pPr>
            <w:r w:rsidRPr="00617FCF">
              <w:rPr>
                <w:rFonts w:ascii="Arial" w:eastAsia="Calibri" w:hAnsi="Arial" w:cs="Arial"/>
                <w:sz w:val="18"/>
                <w:szCs w:val="18"/>
              </w:rPr>
              <w:t>Izvršeno 202</w:t>
            </w:r>
            <w:r w:rsidR="00695D08">
              <w:rPr>
                <w:rFonts w:ascii="Arial" w:eastAsia="Calibri" w:hAnsi="Arial" w:cs="Arial"/>
                <w:sz w:val="18"/>
                <w:szCs w:val="18"/>
              </w:rPr>
              <w:t>5</w:t>
            </w:r>
            <w:r w:rsidRPr="00617FCF">
              <w:rPr>
                <w:rFonts w:ascii="Arial" w:eastAsia="Calibri" w:hAnsi="Arial" w:cs="Arial"/>
                <w:sz w:val="18"/>
                <w:szCs w:val="18"/>
              </w:rPr>
              <w:t>.</w:t>
            </w:r>
          </w:p>
        </w:tc>
        <w:tc>
          <w:tcPr>
            <w:tcW w:w="1134" w:type="dxa"/>
            <w:shd w:val="clear" w:color="auto" w:fill="BFBFBF" w:themeFill="background1" w:themeFillShade="BF"/>
            <w:vAlign w:val="center"/>
          </w:tcPr>
          <w:p w14:paraId="46335BC7" w14:textId="4A7C193D" w:rsidR="00617FCF" w:rsidRPr="00617FCF" w:rsidRDefault="00617FCF" w:rsidP="00617FCF">
            <w:pPr>
              <w:jc w:val="center"/>
              <w:rPr>
                <w:rFonts w:ascii="Arial" w:eastAsia="Calibri" w:hAnsi="Arial" w:cs="Arial"/>
                <w:sz w:val="16"/>
                <w:szCs w:val="16"/>
              </w:rPr>
            </w:pPr>
            <w:r w:rsidRPr="00617FCF">
              <w:rPr>
                <w:rFonts w:ascii="Arial" w:eastAsia="Calibri" w:hAnsi="Arial" w:cs="Arial"/>
                <w:sz w:val="18"/>
                <w:szCs w:val="18"/>
              </w:rPr>
              <w:t>Ciljana vrijednost 202</w:t>
            </w:r>
            <w:r w:rsidR="00695D08">
              <w:rPr>
                <w:rFonts w:ascii="Arial" w:eastAsia="Calibri" w:hAnsi="Arial" w:cs="Arial"/>
                <w:sz w:val="18"/>
                <w:szCs w:val="18"/>
              </w:rPr>
              <w:t>6</w:t>
            </w:r>
            <w:r w:rsidRPr="00617FCF">
              <w:rPr>
                <w:rFonts w:ascii="Arial" w:eastAsia="Calibri" w:hAnsi="Arial" w:cs="Arial"/>
                <w:sz w:val="18"/>
                <w:szCs w:val="18"/>
              </w:rPr>
              <w:t>.</w:t>
            </w:r>
          </w:p>
        </w:tc>
        <w:tc>
          <w:tcPr>
            <w:tcW w:w="1276" w:type="dxa"/>
            <w:shd w:val="clear" w:color="auto" w:fill="BFBFBF" w:themeFill="background1" w:themeFillShade="BF"/>
            <w:vAlign w:val="center"/>
          </w:tcPr>
          <w:p w14:paraId="3B54B2BE" w14:textId="76AE3827" w:rsidR="00617FCF" w:rsidRPr="00617FCF" w:rsidRDefault="00617FCF" w:rsidP="00617FCF">
            <w:pPr>
              <w:jc w:val="center"/>
              <w:rPr>
                <w:rFonts w:ascii="Arial" w:eastAsia="Calibri" w:hAnsi="Arial" w:cs="Arial"/>
                <w:sz w:val="16"/>
                <w:szCs w:val="16"/>
              </w:rPr>
            </w:pPr>
            <w:r w:rsidRPr="00617FCF">
              <w:rPr>
                <w:rFonts w:ascii="Arial" w:eastAsia="Calibri" w:hAnsi="Arial" w:cs="Arial"/>
                <w:sz w:val="18"/>
                <w:szCs w:val="18"/>
              </w:rPr>
              <w:t>Ciljana vrijednost 202</w:t>
            </w:r>
            <w:r w:rsidR="00695D08">
              <w:rPr>
                <w:rFonts w:ascii="Arial" w:eastAsia="Calibri" w:hAnsi="Arial" w:cs="Arial"/>
                <w:sz w:val="18"/>
                <w:szCs w:val="18"/>
              </w:rPr>
              <w:t>7</w:t>
            </w:r>
            <w:r w:rsidRPr="00617FCF">
              <w:rPr>
                <w:rFonts w:ascii="Arial" w:eastAsia="Calibri" w:hAnsi="Arial" w:cs="Arial"/>
                <w:sz w:val="18"/>
                <w:szCs w:val="18"/>
              </w:rPr>
              <w:t>.</w:t>
            </w:r>
          </w:p>
        </w:tc>
      </w:tr>
      <w:tr w:rsidR="00617FCF" w:rsidRPr="00617FCF" w14:paraId="223E8E44" w14:textId="77777777" w:rsidTr="00344DB6">
        <w:trPr>
          <w:trHeight w:val="602"/>
          <w:jc w:val="center"/>
        </w:trPr>
        <w:tc>
          <w:tcPr>
            <w:tcW w:w="2122" w:type="dxa"/>
            <w:vAlign w:val="center"/>
          </w:tcPr>
          <w:p w14:paraId="031340D2" w14:textId="3F9757A4" w:rsidR="00617FCF" w:rsidRPr="00617FCF" w:rsidRDefault="00617FCF" w:rsidP="00617FCF">
            <w:pPr>
              <w:rPr>
                <w:rFonts w:ascii="Arial" w:hAnsi="Arial" w:cs="Arial"/>
                <w:sz w:val="16"/>
                <w:szCs w:val="16"/>
                <w:lang w:eastAsia="en-US"/>
              </w:rPr>
            </w:pPr>
            <w:r w:rsidRPr="00617FCF">
              <w:rPr>
                <w:rFonts w:ascii="Arial" w:hAnsi="Arial" w:cs="Arial"/>
                <w:sz w:val="18"/>
                <w:szCs w:val="18"/>
                <w:lang w:eastAsia="en-US"/>
              </w:rPr>
              <w:t>Broj EU projekata</w:t>
            </w:r>
          </w:p>
        </w:tc>
        <w:tc>
          <w:tcPr>
            <w:tcW w:w="2912" w:type="dxa"/>
            <w:vAlign w:val="center"/>
          </w:tcPr>
          <w:p w14:paraId="14AA5C8F" w14:textId="193F338B" w:rsidR="00617FCF" w:rsidRPr="00617FCF" w:rsidRDefault="00617FCF" w:rsidP="00617FCF">
            <w:pPr>
              <w:rPr>
                <w:rFonts w:ascii="Arial" w:hAnsi="Arial" w:cs="Arial"/>
                <w:sz w:val="16"/>
                <w:szCs w:val="16"/>
                <w:lang w:eastAsia="en-US"/>
              </w:rPr>
            </w:pPr>
            <w:r w:rsidRPr="00617FCF">
              <w:rPr>
                <w:rFonts w:ascii="Arial" w:hAnsi="Arial" w:cs="Arial"/>
                <w:sz w:val="18"/>
                <w:szCs w:val="18"/>
                <w:lang w:eastAsia="en-US"/>
              </w:rPr>
              <w:t>Sudjelovanje u EU projektima kao partner ili koordinator</w:t>
            </w:r>
          </w:p>
        </w:tc>
        <w:tc>
          <w:tcPr>
            <w:tcW w:w="1099" w:type="dxa"/>
            <w:vAlign w:val="center"/>
          </w:tcPr>
          <w:p w14:paraId="66AD8A21" w14:textId="7BB85535" w:rsidR="00617FCF" w:rsidRPr="00617FCF" w:rsidRDefault="00617FCF" w:rsidP="00617FCF">
            <w:pPr>
              <w:jc w:val="center"/>
              <w:rPr>
                <w:rFonts w:ascii="Arial" w:hAnsi="Arial" w:cs="Arial"/>
                <w:sz w:val="16"/>
                <w:szCs w:val="16"/>
                <w:lang w:eastAsia="en-US"/>
              </w:rPr>
            </w:pPr>
            <w:r w:rsidRPr="00617FCF">
              <w:rPr>
                <w:rFonts w:ascii="Arial" w:hAnsi="Arial" w:cs="Arial"/>
                <w:sz w:val="18"/>
                <w:szCs w:val="18"/>
                <w:lang w:eastAsia="en-US"/>
              </w:rPr>
              <w:t>projekt</w:t>
            </w:r>
          </w:p>
        </w:tc>
        <w:tc>
          <w:tcPr>
            <w:tcW w:w="1134" w:type="dxa"/>
            <w:vAlign w:val="center"/>
          </w:tcPr>
          <w:p w14:paraId="2A98FCF7" w14:textId="3B1CE60B" w:rsidR="00617FCF" w:rsidRPr="00617FCF" w:rsidRDefault="005145ED" w:rsidP="00617FCF">
            <w:pPr>
              <w:jc w:val="center"/>
              <w:rPr>
                <w:rFonts w:ascii="Arial" w:hAnsi="Arial" w:cs="Arial"/>
                <w:sz w:val="16"/>
                <w:szCs w:val="16"/>
                <w:lang w:eastAsia="en-US"/>
              </w:rPr>
            </w:pPr>
            <w:r>
              <w:rPr>
                <w:rFonts w:ascii="Arial" w:hAnsi="Arial" w:cs="Arial"/>
                <w:sz w:val="18"/>
                <w:szCs w:val="18"/>
                <w:lang w:eastAsia="en-US"/>
              </w:rPr>
              <w:t>2</w:t>
            </w:r>
          </w:p>
        </w:tc>
        <w:tc>
          <w:tcPr>
            <w:tcW w:w="1134" w:type="dxa"/>
            <w:vAlign w:val="center"/>
          </w:tcPr>
          <w:p w14:paraId="48385A3E" w14:textId="4498D40D" w:rsidR="00617FCF" w:rsidRPr="00617FCF" w:rsidRDefault="00617FCF" w:rsidP="00344DB6">
            <w:pPr>
              <w:jc w:val="center"/>
              <w:rPr>
                <w:rFonts w:ascii="Arial" w:hAnsi="Arial" w:cs="Arial"/>
                <w:sz w:val="16"/>
                <w:szCs w:val="16"/>
                <w:lang w:eastAsia="en-US"/>
              </w:rPr>
            </w:pPr>
            <w:r w:rsidRPr="00617FCF">
              <w:rPr>
                <w:rFonts w:ascii="Arial" w:hAnsi="Arial" w:cs="Arial"/>
                <w:sz w:val="18"/>
                <w:szCs w:val="18"/>
                <w:lang w:eastAsia="en-US"/>
              </w:rPr>
              <w:t>Odjel općih</w:t>
            </w:r>
            <w:r w:rsidR="00344DB6">
              <w:rPr>
                <w:rFonts w:ascii="Arial" w:hAnsi="Arial" w:cs="Arial"/>
                <w:sz w:val="18"/>
                <w:szCs w:val="18"/>
                <w:lang w:eastAsia="en-US"/>
              </w:rPr>
              <w:t xml:space="preserve"> </w:t>
            </w:r>
            <w:r w:rsidRPr="00617FCF">
              <w:rPr>
                <w:rFonts w:ascii="Arial" w:hAnsi="Arial" w:cs="Arial"/>
                <w:sz w:val="18"/>
                <w:szCs w:val="18"/>
                <w:lang w:eastAsia="en-US"/>
              </w:rPr>
              <w:t>poslova</w:t>
            </w:r>
          </w:p>
        </w:tc>
        <w:tc>
          <w:tcPr>
            <w:tcW w:w="1023" w:type="dxa"/>
            <w:vAlign w:val="center"/>
          </w:tcPr>
          <w:p w14:paraId="34EAC9B3" w14:textId="7AF0E757" w:rsidR="00617FCF" w:rsidRPr="00617FCF" w:rsidRDefault="00617FCF" w:rsidP="00617FCF">
            <w:pPr>
              <w:jc w:val="center"/>
              <w:rPr>
                <w:rFonts w:ascii="Arial" w:hAnsi="Arial" w:cs="Arial"/>
                <w:sz w:val="16"/>
                <w:szCs w:val="16"/>
                <w:lang w:eastAsia="en-US"/>
              </w:rPr>
            </w:pPr>
            <w:r w:rsidRPr="00617FCF">
              <w:rPr>
                <w:rFonts w:ascii="Arial" w:hAnsi="Arial" w:cs="Arial"/>
                <w:sz w:val="18"/>
                <w:szCs w:val="18"/>
                <w:lang w:eastAsia="en-US"/>
              </w:rPr>
              <w:t>3</w:t>
            </w:r>
          </w:p>
        </w:tc>
        <w:tc>
          <w:tcPr>
            <w:tcW w:w="992" w:type="dxa"/>
            <w:vAlign w:val="center"/>
          </w:tcPr>
          <w:p w14:paraId="2E48B551" w14:textId="71508AD3" w:rsidR="00617FCF" w:rsidRPr="00617FCF" w:rsidRDefault="005145ED" w:rsidP="00617FCF">
            <w:pPr>
              <w:jc w:val="center"/>
              <w:rPr>
                <w:rFonts w:ascii="Arial" w:hAnsi="Arial" w:cs="Arial"/>
                <w:sz w:val="16"/>
                <w:szCs w:val="16"/>
                <w:lang w:eastAsia="en-US"/>
              </w:rPr>
            </w:pPr>
            <w:r>
              <w:rPr>
                <w:rFonts w:ascii="Arial" w:hAnsi="Arial" w:cs="Arial"/>
                <w:sz w:val="18"/>
                <w:szCs w:val="18"/>
                <w:lang w:eastAsia="en-US"/>
              </w:rPr>
              <w:t>0</w:t>
            </w:r>
          </w:p>
        </w:tc>
        <w:tc>
          <w:tcPr>
            <w:tcW w:w="1134" w:type="dxa"/>
            <w:vAlign w:val="center"/>
          </w:tcPr>
          <w:p w14:paraId="36609D5F" w14:textId="570F1A24" w:rsidR="00617FCF" w:rsidRPr="00617FCF" w:rsidRDefault="00617FCF" w:rsidP="00617FCF">
            <w:pPr>
              <w:jc w:val="center"/>
              <w:rPr>
                <w:rFonts w:ascii="Arial" w:hAnsi="Arial" w:cs="Arial"/>
                <w:sz w:val="16"/>
                <w:szCs w:val="16"/>
                <w:lang w:eastAsia="en-US"/>
              </w:rPr>
            </w:pPr>
            <w:r w:rsidRPr="00617FCF">
              <w:rPr>
                <w:rFonts w:ascii="Arial" w:hAnsi="Arial" w:cs="Arial"/>
                <w:sz w:val="18"/>
                <w:szCs w:val="18"/>
                <w:lang w:eastAsia="en-US"/>
              </w:rPr>
              <w:t>3</w:t>
            </w:r>
          </w:p>
        </w:tc>
        <w:tc>
          <w:tcPr>
            <w:tcW w:w="1276" w:type="dxa"/>
            <w:vAlign w:val="center"/>
          </w:tcPr>
          <w:p w14:paraId="33822126" w14:textId="0EB88609" w:rsidR="00617FCF" w:rsidRPr="00617FCF" w:rsidRDefault="00617FCF" w:rsidP="00617FCF">
            <w:pPr>
              <w:jc w:val="center"/>
              <w:rPr>
                <w:rFonts w:ascii="Arial" w:hAnsi="Arial" w:cs="Arial"/>
                <w:sz w:val="16"/>
                <w:szCs w:val="16"/>
                <w:lang w:eastAsia="en-US"/>
              </w:rPr>
            </w:pPr>
            <w:r w:rsidRPr="00617FCF">
              <w:rPr>
                <w:rFonts w:ascii="Arial" w:hAnsi="Arial" w:cs="Arial"/>
                <w:sz w:val="18"/>
                <w:szCs w:val="18"/>
                <w:lang w:eastAsia="en-US"/>
              </w:rPr>
              <w:t>3</w:t>
            </w:r>
          </w:p>
        </w:tc>
      </w:tr>
    </w:tbl>
    <w:p w14:paraId="7FE30C77" w14:textId="77777777" w:rsidR="004A648A" w:rsidRPr="00617FCF" w:rsidRDefault="004A648A" w:rsidP="00A11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iCs/>
          <w:sz w:val="20"/>
          <w:szCs w:val="20"/>
        </w:rPr>
      </w:pPr>
    </w:p>
    <w:p w14:paraId="3C8B9184" w14:textId="77777777" w:rsidR="00F51D7C" w:rsidRPr="00617FCF" w:rsidRDefault="003752B9" w:rsidP="003752B9">
      <w:pPr>
        <w:autoSpaceDE w:val="0"/>
        <w:autoSpaceDN w:val="0"/>
        <w:adjustRightInd w:val="0"/>
        <w:spacing w:after="0" w:line="240" w:lineRule="auto"/>
        <w:jc w:val="both"/>
        <w:rPr>
          <w:rFonts w:ascii="Arial" w:eastAsia="Calibri" w:hAnsi="Arial" w:cs="Arial"/>
          <w:sz w:val="20"/>
          <w:szCs w:val="20"/>
        </w:rPr>
      </w:pPr>
      <w:r w:rsidRPr="00617FCF">
        <w:rPr>
          <w:rFonts w:ascii="Arial" w:eastAsia="Calibri" w:hAnsi="Arial" w:cs="Arial"/>
          <w:sz w:val="20"/>
          <w:szCs w:val="20"/>
        </w:rPr>
        <w:t xml:space="preserve">Aktivnosti vezane uz opće ciljeve postignute su sukladno postocima izvršenja i u skladu s očekivanom dinamikom izvršenja rashoda. </w:t>
      </w:r>
    </w:p>
    <w:p w14:paraId="2CE716BC" w14:textId="7D22D67E" w:rsidR="003752B9" w:rsidRPr="00344DB6" w:rsidRDefault="003752B9" w:rsidP="003752B9">
      <w:pPr>
        <w:autoSpaceDE w:val="0"/>
        <w:autoSpaceDN w:val="0"/>
        <w:adjustRightInd w:val="0"/>
        <w:spacing w:after="0" w:line="240" w:lineRule="auto"/>
        <w:jc w:val="both"/>
        <w:rPr>
          <w:rFonts w:ascii="Arial" w:eastAsia="Calibri" w:hAnsi="Arial" w:cs="Arial"/>
          <w:sz w:val="20"/>
          <w:szCs w:val="20"/>
        </w:rPr>
      </w:pPr>
      <w:r w:rsidRPr="00500D60">
        <w:rPr>
          <w:rFonts w:ascii="Arial" w:eastAsia="Calibri" w:hAnsi="Arial" w:cs="Arial"/>
          <w:color w:val="FF0000"/>
          <w:sz w:val="20"/>
          <w:szCs w:val="20"/>
        </w:rPr>
        <w:br w:type="page"/>
      </w:r>
    </w:p>
    <w:p w14:paraId="7EA44BED" w14:textId="77777777" w:rsidR="003752B9" w:rsidRPr="003A2F86" w:rsidRDefault="003752B9" w:rsidP="003752B9">
      <w:pPr>
        <w:spacing w:after="0" w:line="240" w:lineRule="auto"/>
        <w:jc w:val="both"/>
        <w:rPr>
          <w:rFonts w:ascii="Arial" w:eastAsia="Calibri" w:hAnsi="Arial" w:cs="Arial"/>
          <w:sz w:val="20"/>
          <w:szCs w:val="20"/>
        </w:rPr>
      </w:pPr>
    </w:p>
    <w:p w14:paraId="0001CA59" w14:textId="5CDDA8E8" w:rsidR="003752B9" w:rsidRPr="003A2F86" w:rsidRDefault="00795CD9" w:rsidP="0004293C">
      <w:pPr>
        <w:pStyle w:val="Naslov3"/>
        <w:jc w:val="center"/>
        <w:rPr>
          <w:rFonts w:ascii="Arial" w:eastAsia="Calibri" w:hAnsi="Arial" w:cs="Arial"/>
          <w:sz w:val="22"/>
          <w:lang w:val="hr-HR"/>
        </w:rPr>
      </w:pPr>
      <w:bookmarkStart w:id="651" w:name="_3.4.2._GLAVA:_(020"/>
      <w:bookmarkStart w:id="652" w:name="_Toc232981486"/>
      <w:bookmarkEnd w:id="651"/>
      <w:r w:rsidRPr="003A2F86">
        <w:rPr>
          <w:rFonts w:ascii="Arial" w:eastAsia="Calibri" w:hAnsi="Arial" w:cs="Arial"/>
          <w:sz w:val="22"/>
          <w:lang w:val="hr-HR"/>
        </w:rPr>
        <w:t>3</w:t>
      </w:r>
      <w:r w:rsidR="0004293C" w:rsidRPr="003A2F86">
        <w:rPr>
          <w:rFonts w:ascii="Arial" w:eastAsia="Calibri" w:hAnsi="Arial" w:cs="Arial"/>
          <w:sz w:val="22"/>
          <w:lang w:val="hr-HR"/>
        </w:rPr>
        <w:t>.</w:t>
      </w:r>
      <w:r w:rsidR="00375FAF" w:rsidRPr="003A2F86">
        <w:rPr>
          <w:rFonts w:ascii="Arial" w:eastAsia="Calibri" w:hAnsi="Arial" w:cs="Arial"/>
          <w:sz w:val="22"/>
          <w:lang w:val="hr-HR"/>
        </w:rPr>
        <w:t>4</w:t>
      </w:r>
      <w:r w:rsidR="0004293C" w:rsidRPr="003A2F86">
        <w:rPr>
          <w:rFonts w:ascii="Arial" w:eastAsia="Calibri" w:hAnsi="Arial" w:cs="Arial"/>
          <w:sz w:val="22"/>
          <w:lang w:val="hr-HR"/>
        </w:rPr>
        <w:t>.2</w:t>
      </w:r>
      <w:r w:rsidR="003752B9" w:rsidRPr="003A2F86">
        <w:rPr>
          <w:rFonts w:ascii="Arial" w:eastAsia="Calibri" w:hAnsi="Arial" w:cs="Arial"/>
          <w:sz w:val="22"/>
          <w:lang w:val="hr-HR"/>
        </w:rPr>
        <w:t>.</w:t>
      </w:r>
      <w:r w:rsidR="003752B9" w:rsidRPr="003A2F86">
        <w:rPr>
          <w:rFonts w:ascii="Arial" w:eastAsia="Calibri" w:hAnsi="Arial" w:cs="Arial"/>
          <w:sz w:val="22"/>
          <w:lang w:val="hr-HR"/>
        </w:rPr>
        <w:tab/>
        <w:t xml:space="preserve">GLAVA: (020 04) USTANOVA SOCIJALNE SKRBI </w:t>
      </w:r>
      <w:r w:rsidR="00367B37" w:rsidRPr="003A2F86">
        <w:rPr>
          <w:rFonts w:ascii="Arial" w:eastAsia="Calibri" w:hAnsi="Arial" w:cs="Arial"/>
          <w:sz w:val="22"/>
          <w:lang w:val="hr-HR"/>
        </w:rPr>
        <w:t>– DOM ZA STARIJE I NEMOĆNE OSOBE KONAVLE</w:t>
      </w:r>
      <w:bookmarkEnd w:id="652"/>
    </w:p>
    <w:p w14:paraId="5FBC6690" w14:textId="77777777" w:rsidR="003752B9" w:rsidRPr="003A2F86" w:rsidRDefault="003752B9" w:rsidP="00F65E36">
      <w:pPr>
        <w:autoSpaceDE w:val="0"/>
        <w:autoSpaceDN w:val="0"/>
        <w:adjustRightInd w:val="0"/>
        <w:spacing w:after="0" w:line="240" w:lineRule="auto"/>
        <w:jc w:val="both"/>
        <w:rPr>
          <w:rFonts w:ascii="Arial" w:eastAsia="Calibri" w:hAnsi="Arial" w:cs="Arial"/>
          <w:sz w:val="20"/>
          <w:szCs w:val="20"/>
        </w:rPr>
      </w:pPr>
    </w:p>
    <w:p w14:paraId="6F8D1EEA" w14:textId="77777777" w:rsidR="00C16B30" w:rsidRPr="003A2F86" w:rsidRDefault="00C16B30" w:rsidP="00F65E36">
      <w:pPr>
        <w:spacing w:after="0" w:line="240" w:lineRule="auto"/>
        <w:jc w:val="both"/>
        <w:rPr>
          <w:rFonts w:ascii="Arial" w:eastAsia="Calibri" w:hAnsi="Arial" w:cs="Arial"/>
          <w:sz w:val="20"/>
          <w:szCs w:val="20"/>
        </w:rPr>
      </w:pPr>
    </w:p>
    <w:p w14:paraId="6AA53ECC" w14:textId="77777777" w:rsidR="00F65E36" w:rsidRPr="003A2F86" w:rsidRDefault="00F65E36" w:rsidP="00F65E36">
      <w:pPr>
        <w:spacing w:after="0" w:line="240" w:lineRule="auto"/>
        <w:rPr>
          <w:rFonts w:ascii="Arial" w:eastAsia="Calibri" w:hAnsi="Arial" w:cs="Arial"/>
          <w:sz w:val="20"/>
          <w:szCs w:val="20"/>
        </w:rPr>
      </w:pPr>
      <w:r w:rsidRPr="003A2F86">
        <w:rPr>
          <w:rFonts w:ascii="Arial" w:eastAsia="Calibri" w:hAnsi="Arial" w:cs="Arial"/>
          <w:sz w:val="20"/>
          <w:szCs w:val="20"/>
        </w:rPr>
        <w:t xml:space="preserve">U razdjelu 020 UPRAVNI ODJEL ZA OPĆE POSLOVE, MJESNU SAMOUPRAVU I DRUŠTVENE DJELATNOSTI, glava (020 04) Ustanova socijalne skrbi, izvodi se slijedeći Program: </w:t>
      </w:r>
    </w:p>
    <w:p w14:paraId="25029C99" w14:textId="77777777" w:rsidR="00F65E36" w:rsidRPr="003A2F86" w:rsidRDefault="00F65E36" w:rsidP="00F65E36">
      <w:pPr>
        <w:spacing w:after="0" w:line="240" w:lineRule="auto"/>
        <w:rPr>
          <w:rFonts w:ascii="Arial" w:eastAsia="Calibri" w:hAnsi="Arial" w:cs="Arial"/>
          <w:sz w:val="20"/>
          <w:szCs w:val="20"/>
        </w:rPr>
      </w:pPr>
    </w:p>
    <w:p w14:paraId="60670D4C" w14:textId="77777777" w:rsidR="00F65E36" w:rsidRPr="003A2F86" w:rsidRDefault="00F65E36" w:rsidP="00F65E36">
      <w:pPr>
        <w:pStyle w:val="Naslov3"/>
        <w:shd w:val="clear" w:color="auto" w:fill="D9D9D9" w:themeFill="background1" w:themeFillShade="D9"/>
        <w:rPr>
          <w:rFonts w:eastAsia="Calibri"/>
          <w:sz w:val="20"/>
          <w:lang w:val="hr-HR"/>
        </w:rPr>
      </w:pPr>
      <w:bookmarkStart w:id="653" w:name="_Toc121678647"/>
      <w:bookmarkStart w:id="654" w:name="_Toc232981487"/>
      <w:r w:rsidRPr="003A2F86">
        <w:rPr>
          <w:rFonts w:eastAsia="Calibri"/>
          <w:sz w:val="20"/>
          <w:lang w:val="hr-HR"/>
        </w:rPr>
        <w:t>Program (2044): Socijalna skrb – Dom za starije i nemoćne osobe Konavle</w:t>
      </w:r>
      <w:bookmarkEnd w:id="653"/>
      <w:bookmarkEnd w:id="654"/>
    </w:p>
    <w:p w14:paraId="6C75F9BE" w14:textId="77777777" w:rsidR="00F65E36" w:rsidRPr="003A2F86" w:rsidRDefault="00F65E36" w:rsidP="00F65E36">
      <w:pPr>
        <w:spacing w:after="0" w:line="240" w:lineRule="auto"/>
        <w:rPr>
          <w:rFonts w:ascii="Arial" w:eastAsia="Calibri" w:hAnsi="Arial" w:cs="Arial"/>
          <w:sz w:val="20"/>
          <w:szCs w:val="20"/>
        </w:rPr>
      </w:pPr>
    </w:p>
    <w:p w14:paraId="04FAE5C3" w14:textId="77777777" w:rsidR="00F65E36" w:rsidRPr="003A2F86" w:rsidRDefault="00F65E36" w:rsidP="00F65E36">
      <w:pPr>
        <w:spacing w:after="0" w:line="240" w:lineRule="auto"/>
        <w:rPr>
          <w:rFonts w:eastAsia="Calibri" w:cs="Arial"/>
          <w:sz w:val="20"/>
          <w:szCs w:val="20"/>
        </w:rPr>
      </w:pPr>
      <w:r w:rsidRPr="003A2F86">
        <w:rPr>
          <w:rFonts w:eastAsia="Calibri"/>
          <w:noProof/>
          <w:sz w:val="20"/>
          <w:szCs w:val="20"/>
        </w:rPr>
        <w:drawing>
          <wp:inline distT="0" distB="0" distL="0" distR="0" wp14:anchorId="1E5B6E69" wp14:editId="34A77236">
            <wp:extent cx="7134225" cy="200025"/>
            <wp:effectExtent l="0" t="0" r="9525" b="9525"/>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7134225" cy="200025"/>
                    </a:xfrm>
                    <a:prstGeom prst="rect">
                      <a:avLst/>
                    </a:prstGeom>
                    <a:noFill/>
                    <a:ln>
                      <a:noFill/>
                    </a:ln>
                  </pic:spPr>
                </pic:pic>
              </a:graphicData>
            </a:graphic>
          </wp:inline>
        </w:drawing>
      </w:r>
    </w:p>
    <w:p w14:paraId="284D2782" w14:textId="77777777" w:rsidR="00F65E36" w:rsidRPr="003A2F86" w:rsidRDefault="00F65E36" w:rsidP="00F65E36">
      <w:pPr>
        <w:spacing w:after="0" w:line="240" w:lineRule="auto"/>
        <w:rPr>
          <w:rFonts w:eastAsia="Calibri" w:cs="Arial"/>
          <w:sz w:val="20"/>
          <w:szCs w:val="20"/>
        </w:rPr>
      </w:pPr>
    </w:p>
    <w:tbl>
      <w:tblPr>
        <w:tblW w:w="1431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1"/>
        <w:gridCol w:w="12761"/>
      </w:tblGrid>
      <w:tr w:rsidR="00990BB5" w:rsidRPr="003A2F86" w14:paraId="0320F3D1" w14:textId="77777777" w:rsidTr="00B223BA">
        <w:trPr>
          <w:trHeight w:val="711"/>
        </w:trPr>
        <w:tc>
          <w:tcPr>
            <w:tcW w:w="1551" w:type="dxa"/>
          </w:tcPr>
          <w:p w14:paraId="32F16C83" w14:textId="77777777" w:rsidR="00F65E36" w:rsidRPr="003A2F86" w:rsidRDefault="00F65E36" w:rsidP="00F65E36">
            <w:pPr>
              <w:spacing w:after="0" w:line="240" w:lineRule="auto"/>
              <w:rPr>
                <w:rFonts w:ascii="Arial" w:eastAsia="Calibri" w:hAnsi="Arial" w:cs="Arial"/>
                <w:sz w:val="20"/>
                <w:szCs w:val="20"/>
              </w:rPr>
            </w:pPr>
            <w:r w:rsidRPr="003A2F86">
              <w:rPr>
                <w:rFonts w:ascii="Arial" w:eastAsia="Calibri" w:hAnsi="Arial" w:cs="Arial"/>
                <w:sz w:val="20"/>
                <w:szCs w:val="20"/>
              </w:rPr>
              <w:t>DJELOKRUG</w:t>
            </w:r>
          </w:p>
          <w:p w14:paraId="72DC9F99" w14:textId="77777777" w:rsidR="00F65E36" w:rsidRPr="003A2F86" w:rsidRDefault="00F65E36" w:rsidP="00F65E36">
            <w:pPr>
              <w:spacing w:after="0" w:line="240" w:lineRule="auto"/>
              <w:rPr>
                <w:rFonts w:ascii="Arial" w:eastAsia="Calibri" w:hAnsi="Arial" w:cs="Arial"/>
                <w:sz w:val="20"/>
                <w:szCs w:val="20"/>
              </w:rPr>
            </w:pPr>
            <w:r w:rsidRPr="003A2F86">
              <w:rPr>
                <w:rFonts w:ascii="Arial" w:eastAsia="Calibri" w:hAnsi="Arial" w:cs="Arial"/>
                <w:sz w:val="20"/>
                <w:szCs w:val="20"/>
              </w:rPr>
              <w:t>RADA:</w:t>
            </w:r>
          </w:p>
        </w:tc>
        <w:tc>
          <w:tcPr>
            <w:tcW w:w="12761" w:type="dxa"/>
          </w:tcPr>
          <w:p w14:paraId="47682E73" w14:textId="77777777" w:rsidR="00FE41A8" w:rsidRPr="003A2F86" w:rsidRDefault="00FE41A8" w:rsidP="00AD5D4E">
            <w:pPr>
              <w:spacing w:after="0" w:line="240" w:lineRule="auto"/>
              <w:jc w:val="both"/>
              <w:rPr>
                <w:rFonts w:ascii="Arial" w:eastAsia="Calibri" w:hAnsi="Arial" w:cs="Arial"/>
                <w:sz w:val="20"/>
                <w:szCs w:val="20"/>
              </w:rPr>
            </w:pPr>
            <w:r w:rsidRPr="003A2F86">
              <w:rPr>
                <w:rFonts w:ascii="Arial" w:eastAsia="Calibri" w:hAnsi="Arial" w:cs="Arial"/>
                <w:sz w:val="20"/>
                <w:szCs w:val="20"/>
              </w:rPr>
              <w:t>U kolovozu 2013. Općinsko vijeće Općine Konavle donijelo je Odluku o osnivanju Doma Za starije i nemoćne osobe Konavle, na koju je Ministarstvo socijalne politike i mladih izdalo Rješenje o usklađenosti iste sa Zakonom o ustanovama i Zakonom o socijalnoj skrbi u rujnu 2013. (Službeni glasnik Općine Konavle 4/14 i 5/14). Ministarstvo financija dodijelilo je osobni identifikacijski broj poslovnog subjekta (OIB: 95859693632). Rješenjem Trgovačkog suda u Splitu, Stalna služba u Dubrovniku od 1. srpnja 2014., u sudski registar upisano je osnivanje ustanove pod nazivom Dom za starije i nemoćne osobe Konavle.</w:t>
            </w:r>
          </w:p>
          <w:p w14:paraId="02CACF5E" w14:textId="77777777" w:rsidR="00FE41A8" w:rsidRPr="003A2F86" w:rsidRDefault="00FE41A8" w:rsidP="00AD5D4E">
            <w:pPr>
              <w:spacing w:after="0" w:line="240" w:lineRule="auto"/>
              <w:jc w:val="both"/>
              <w:rPr>
                <w:rFonts w:ascii="Arial" w:eastAsia="Calibri" w:hAnsi="Arial" w:cs="Arial"/>
                <w:sz w:val="20"/>
                <w:szCs w:val="20"/>
              </w:rPr>
            </w:pPr>
          </w:p>
          <w:p w14:paraId="3981F79B" w14:textId="77777777" w:rsidR="00FE41A8" w:rsidRPr="003A2F86" w:rsidRDefault="00FE41A8" w:rsidP="00AD5D4E">
            <w:pPr>
              <w:spacing w:after="0" w:line="240" w:lineRule="auto"/>
              <w:jc w:val="both"/>
              <w:rPr>
                <w:rFonts w:ascii="Arial" w:eastAsia="Calibri" w:hAnsi="Arial" w:cs="Arial"/>
                <w:sz w:val="20"/>
                <w:szCs w:val="20"/>
              </w:rPr>
            </w:pPr>
            <w:r w:rsidRPr="003A2F86">
              <w:rPr>
                <w:rFonts w:ascii="Arial" w:eastAsia="Calibri" w:hAnsi="Arial" w:cs="Arial"/>
                <w:sz w:val="20"/>
                <w:szCs w:val="20"/>
              </w:rPr>
              <w:t>Dom za starije i nemoćne osobe Konavle upisan je u registar poslovnih subjekata kod Državnog zavoda za statistiku u srpnju 2014., te je dobilo Obavijest o razvrstavanju poslovnog subjekta prema NKD-u 2007. (pravni oblik: ustanova, Djelatnost: djelatnost socijalne skrbi sa smještajem za starije osobe i osobe s invaliditetom, brojčana oznaka razreda 8730, sa dodijeljenim matičnim brojem 4249020).</w:t>
            </w:r>
          </w:p>
          <w:p w14:paraId="4A04C077" w14:textId="77777777" w:rsidR="00FE41A8" w:rsidRPr="003A2F86" w:rsidRDefault="00FE41A8" w:rsidP="00AD5D4E">
            <w:pPr>
              <w:spacing w:after="0" w:line="240" w:lineRule="auto"/>
              <w:jc w:val="both"/>
              <w:rPr>
                <w:rFonts w:ascii="Arial" w:eastAsia="Calibri" w:hAnsi="Arial" w:cs="Arial"/>
                <w:sz w:val="20"/>
                <w:szCs w:val="20"/>
              </w:rPr>
            </w:pPr>
          </w:p>
          <w:p w14:paraId="335866D4" w14:textId="77777777" w:rsidR="00FE41A8" w:rsidRPr="003A2F86" w:rsidRDefault="00FE41A8" w:rsidP="00AD5D4E">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Dom za starije i nemoćne osobe Konavle je ustanova čiji je osnivač Općina Konavle. Prostori doma izgrađeni su i opremljeni prema visokim standardima, podijeljeni su po vrstama i procesima rada i organizirani su u suterenu, prizemlju, I. katu, II. katu i potkrovlju. U samoj zgradi Doma smješten je restoran s kuhinjom i caffe bar. Dom pruža se privremeni i stalni smještaj, te stacionarni smještaj za osobe s potrebom za povećanom medicinskom skrbi visoke kakvoće za 80-tak korisnika u 51 smještajnih jedinica: od toga 19 jednokrevetnih i 32 dvokrevetne sobe. Zgrada se nalazi u izgrađenom dijelu naselja neposredno uz zdravstvenu ambulantu. </w:t>
            </w:r>
          </w:p>
          <w:p w14:paraId="616DA56F" w14:textId="77777777" w:rsidR="00FE41A8" w:rsidRPr="003A2F86" w:rsidRDefault="00FE41A8" w:rsidP="00AD5D4E">
            <w:pPr>
              <w:spacing w:after="0" w:line="240" w:lineRule="auto"/>
              <w:jc w:val="both"/>
              <w:rPr>
                <w:rFonts w:ascii="Arial" w:eastAsia="Calibri" w:hAnsi="Arial" w:cs="Arial"/>
                <w:sz w:val="20"/>
                <w:szCs w:val="20"/>
              </w:rPr>
            </w:pPr>
          </w:p>
          <w:p w14:paraId="46708C09" w14:textId="77777777" w:rsidR="00FE41A8" w:rsidRPr="003A2F86" w:rsidRDefault="00FE41A8" w:rsidP="00AD5D4E">
            <w:pPr>
              <w:spacing w:after="0" w:line="240" w:lineRule="auto"/>
              <w:jc w:val="both"/>
              <w:rPr>
                <w:rFonts w:ascii="Arial" w:eastAsia="Calibri" w:hAnsi="Arial" w:cs="Arial"/>
                <w:sz w:val="20"/>
                <w:szCs w:val="20"/>
              </w:rPr>
            </w:pPr>
            <w:r w:rsidRPr="003A2F86">
              <w:rPr>
                <w:rFonts w:ascii="Arial" w:eastAsia="Calibri" w:hAnsi="Arial" w:cs="Arial"/>
                <w:sz w:val="20"/>
                <w:szCs w:val="20"/>
              </w:rPr>
              <w:t>Dom je smješten na Grudi, Gruda 152. Skraćeni naziv Doma je: Dom Konavle.</w:t>
            </w:r>
          </w:p>
          <w:p w14:paraId="66B900A5" w14:textId="77777777" w:rsidR="00FE41A8" w:rsidRPr="003A2F86" w:rsidRDefault="00FE41A8" w:rsidP="00AD5D4E">
            <w:pPr>
              <w:spacing w:after="0" w:line="240" w:lineRule="auto"/>
              <w:jc w:val="both"/>
              <w:rPr>
                <w:rFonts w:ascii="Arial" w:eastAsia="Calibri" w:hAnsi="Arial" w:cs="Arial"/>
                <w:sz w:val="20"/>
                <w:szCs w:val="20"/>
              </w:rPr>
            </w:pPr>
            <w:r w:rsidRPr="003A2F86">
              <w:rPr>
                <w:rFonts w:ascii="Arial" w:eastAsia="Calibri" w:hAnsi="Arial" w:cs="Arial"/>
                <w:sz w:val="20"/>
                <w:szCs w:val="20"/>
              </w:rPr>
              <w:t>Zgrada Doma za starije i nemoćne osobe je dobila uporabnu dozvolu 21.1.2016. godine (rješenje Dubrovačko-neretvanske županije, Upravni odjel za prostorno uređenje i gradnju.)</w:t>
            </w:r>
          </w:p>
          <w:p w14:paraId="2348DF49" w14:textId="77777777" w:rsidR="00F65E36" w:rsidRPr="003A2F86" w:rsidRDefault="00F65E36" w:rsidP="00AD5D4E">
            <w:pPr>
              <w:shd w:val="clear" w:color="auto" w:fill="FFFFFF"/>
              <w:spacing w:after="0" w:line="240" w:lineRule="auto"/>
              <w:jc w:val="both"/>
              <w:rPr>
                <w:rFonts w:ascii="Arial" w:hAnsi="Arial" w:cs="Arial"/>
                <w:sz w:val="20"/>
                <w:szCs w:val="20"/>
              </w:rPr>
            </w:pPr>
          </w:p>
          <w:p w14:paraId="3DAAC651" w14:textId="4774BA68" w:rsidR="00F65E36" w:rsidRDefault="00F65E36" w:rsidP="00AD5D4E">
            <w:pPr>
              <w:shd w:val="clear" w:color="auto" w:fill="FFFFFF"/>
              <w:spacing w:after="0" w:line="240" w:lineRule="auto"/>
              <w:jc w:val="both"/>
              <w:rPr>
                <w:rFonts w:ascii="Arial" w:hAnsi="Arial" w:cs="Arial"/>
                <w:sz w:val="20"/>
                <w:szCs w:val="20"/>
              </w:rPr>
            </w:pPr>
            <w:r w:rsidRPr="003A2F86">
              <w:rPr>
                <w:rFonts w:ascii="Arial" w:hAnsi="Arial" w:cs="Arial"/>
                <w:sz w:val="20"/>
                <w:szCs w:val="20"/>
              </w:rPr>
              <w:t>Dubrovačko-neretvanske županija, Upravni odjel za zdravstvo i socijalnu skrb je obavilo utvrđivanje ispunjavanja minimalnih uvjeta za pružanje socijalne usluge starijim i teško bolesnim osobama, te je dana 12.veljače 2016. izdalo rješenje (</w:t>
            </w:r>
            <w:r w:rsidRPr="003A2F86">
              <w:rPr>
                <w:rFonts w:ascii="Arial" w:hAnsi="Arial" w:cs="Arial"/>
                <w:b/>
                <w:sz w:val="20"/>
                <w:szCs w:val="20"/>
              </w:rPr>
              <w:t>licencija</w:t>
            </w:r>
            <w:r w:rsidRPr="003A2F86">
              <w:rPr>
                <w:rFonts w:ascii="Arial" w:hAnsi="Arial" w:cs="Arial"/>
                <w:sz w:val="20"/>
                <w:szCs w:val="20"/>
              </w:rPr>
              <w:t xml:space="preserve">). Navedenim rješenjem je </w:t>
            </w:r>
            <w:r w:rsidR="006F24C5">
              <w:rPr>
                <w:rFonts w:ascii="Arial" w:hAnsi="Arial" w:cs="Arial"/>
                <w:sz w:val="20"/>
                <w:szCs w:val="20"/>
              </w:rPr>
              <w:t xml:space="preserve">bilo </w:t>
            </w:r>
            <w:r w:rsidRPr="003A2F86">
              <w:rPr>
                <w:rFonts w:ascii="Arial" w:hAnsi="Arial" w:cs="Arial"/>
                <w:sz w:val="20"/>
                <w:szCs w:val="20"/>
              </w:rPr>
              <w:t>utvrđeno da Dom za starije i nemoćne osobe Konavle ispunjava minimalne uvjete za pružanje socijalnih usluga – usluga smještaja za 82 korisnika (starije i nemoćne osobe). Prema rješenju usluga smještaja obuhvaća: - brigu o zdravlju, njegu, fizikalnu terapiju, socijalni rad, aktivno provođenje vremena i radne aktivnosti.</w:t>
            </w:r>
          </w:p>
          <w:p w14:paraId="38785EA1" w14:textId="77777777" w:rsidR="006F24C5" w:rsidRDefault="006F24C5" w:rsidP="00AD5D4E">
            <w:pPr>
              <w:shd w:val="clear" w:color="auto" w:fill="FFFFFF"/>
              <w:spacing w:after="0" w:line="240" w:lineRule="auto"/>
              <w:jc w:val="both"/>
              <w:rPr>
                <w:rFonts w:ascii="Arial" w:hAnsi="Arial" w:cs="Arial"/>
                <w:sz w:val="20"/>
                <w:szCs w:val="20"/>
              </w:rPr>
            </w:pPr>
          </w:p>
          <w:p w14:paraId="7DF4EA0E" w14:textId="77777777" w:rsidR="006F24C5" w:rsidRPr="006F24C5" w:rsidRDefault="006F24C5" w:rsidP="006F24C5">
            <w:pPr>
              <w:shd w:val="clear" w:color="auto" w:fill="FFFFFF"/>
              <w:spacing w:after="0" w:line="240" w:lineRule="auto"/>
              <w:jc w:val="both"/>
              <w:rPr>
                <w:rFonts w:ascii="Arial" w:hAnsi="Arial" w:cs="Arial"/>
                <w:sz w:val="20"/>
                <w:szCs w:val="20"/>
              </w:rPr>
            </w:pPr>
            <w:r w:rsidRPr="006F24C5">
              <w:rPr>
                <w:rFonts w:ascii="Arial" w:hAnsi="Arial" w:cs="Arial"/>
                <w:sz w:val="20"/>
                <w:szCs w:val="20"/>
              </w:rPr>
              <w:t xml:space="preserve">Sukladno Pravilniku za pružanje socijalnih usluga </w:t>
            </w:r>
            <w:r w:rsidRPr="006F24C5">
              <w:rPr>
                <w:rFonts w:ascii="Arial" w:hAnsi="Arial" w:cs="Arial"/>
                <w:b/>
                <w:bCs/>
                <w:sz w:val="20"/>
                <w:szCs w:val="20"/>
              </w:rPr>
              <w:t>u srpnju 2025.g.</w:t>
            </w:r>
            <w:r w:rsidRPr="006F24C5">
              <w:rPr>
                <w:rFonts w:ascii="Arial" w:hAnsi="Arial" w:cs="Arial"/>
                <w:sz w:val="20"/>
                <w:szCs w:val="20"/>
              </w:rPr>
              <w:t xml:space="preserve"> podnesen je za zahtjev za donošenje novog rješenja o ispunjavanju mjerila za pružanje usluga (obnova licence). Navedeno Rješenje doneseno je 29. prosinca 2025.g. od strane Dubrovačko-neretvanske županije, Upravnog odjela za zdravstvo, obitelj i branitelje te je postalo izvršno dana 31. prosinca 2025.g. </w:t>
            </w:r>
          </w:p>
          <w:p w14:paraId="47222F81" w14:textId="37C41FA3" w:rsidR="006F24C5" w:rsidRDefault="006F24C5" w:rsidP="006F24C5">
            <w:pPr>
              <w:shd w:val="clear" w:color="auto" w:fill="FFFFFF"/>
              <w:spacing w:after="0" w:line="240" w:lineRule="auto"/>
              <w:jc w:val="both"/>
              <w:rPr>
                <w:rFonts w:ascii="Arial" w:hAnsi="Arial" w:cs="Arial"/>
                <w:sz w:val="20"/>
                <w:szCs w:val="20"/>
              </w:rPr>
            </w:pPr>
            <w:r w:rsidRPr="006F24C5">
              <w:rPr>
                <w:rFonts w:ascii="Arial" w:hAnsi="Arial" w:cs="Arial"/>
                <w:sz w:val="20"/>
                <w:szCs w:val="20"/>
              </w:rPr>
              <w:lastRenderedPageBreak/>
              <w:t>Navedenim rješenjem je utvrđeno da Dom za starije i nemoćne osobe Konavle ispunjava propisana mjerila za pružanje socijalne usluge smještaja starijim osobama za 82 korisnika (I., II. i III. stupnja intenziteta usluge), te propisana mjerila za pružanje socijalne usluge cjelodnevnog i poludnevnog boravka starijim osobama za 12 korisnika (I. stupnja intenziteta usluge).</w:t>
            </w:r>
          </w:p>
          <w:p w14:paraId="6230FF57" w14:textId="77777777" w:rsidR="006F24C5" w:rsidRDefault="006F24C5" w:rsidP="00AD5D4E">
            <w:pPr>
              <w:shd w:val="clear" w:color="auto" w:fill="FFFFFF"/>
              <w:spacing w:after="0" w:line="240" w:lineRule="auto"/>
              <w:jc w:val="both"/>
              <w:rPr>
                <w:rFonts w:ascii="Arial" w:hAnsi="Arial" w:cs="Arial"/>
                <w:sz w:val="20"/>
                <w:szCs w:val="20"/>
              </w:rPr>
            </w:pPr>
          </w:p>
          <w:p w14:paraId="620F107F" w14:textId="77777777" w:rsidR="00F65E36" w:rsidRPr="003A2F86" w:rsidRDefault="00F65E36" w:rsidP="00AD5D4E">
            <w:pPr>
              <w:shd w:val="clear" w:color="auto" w:fill="FFFFFF"/>
              <w:spacing w:after="0" w:line="240" w:lineRule="auto"/>
              <w:jc w:val="both"/>
              <w:rPr>
                <w:rFonts w:ascii="Arial" w:hAnsi="Arial" w:cs="Arial"/>
                <w:sz w:val="20"/>
                <w:szCs w:val="20"/>
              </w:rPr>
            </w:pPr>
            <w:r w:rsidRPr="003A2F86">
              <w:rPr>
                <w:rFonts w:ascii="Arial" w:hAnsi="Arial" w:cs="Arial"/>
                <w:sz w:val="20"/>
                <w:szCs w:val="20"/>
              </w:rPr>
              <w:t xml:space="preserve">Republika Hrvatska, Ministarstvo socijalne politike i mladih, Samostalni sektor za pravne poslove je dana 23. veljače 2016. izdalo UVJERENJE o upisu u Upisnik ustanova socijalne skrbi pod matičnim brojem: </w:t>
            </w:r>
            <w:r w:rsidRPr="003A2F86">
              <w:rPr>
                <w:rFonts w:ascii="Arial" w:hAnsi="Arial" w:cs="Arial"/>
                <w:b/>
                <w:sz w:val="20"/>
                <w:szCs w:val="20"/>
              </w:rPr>
              <w:t>MBU: 0221-0184</w:t>
            </w:r>
            <w:r w:rsidRPr="003A2F86">
              <w:rPr>
                <w:rFonts w:ascii="Arial" w:hAnsi="Arial" w:cs="Arial"/>
                <w:sz w:val="20"/>
                <w:szCs w:val="20"/>
              </w:rPr>
              <w:t>.</w:t>
            </w:r>
          </w:p>
          <w:p w14:paraId="76F8B99E" w14:textId="77777777" w:rsidR="00F65E36" w:rsidRPr="003A2F86" w:rsidRDefault="00F65E36" w:rsidP="00AD5D4E">
            <w:pPr>
              <w:spacing w:after="0" w:line="240" w:lineRule="auto"/>
              <w:jc w:val="both"/>
              <w:rPr>
                <w:rFonts w:ascii="Arial" w:hAnsi="Arial" w:cs="Arial"/>
                <w:sz w:val="20"/>
                <w:szCs w:val="20"/>
              </w:rPr>
            </w:pPr>
            <w:r w:rsidRPr="003A2F86">
              <w:rPr>
                <w:rFonts w:ascii="Arial" w:hAnsi="Arial" w:cs="Arial"/>
                <w:sz w:val="20"/>
                <w:szCs w:val="20"/>
              </w:rPr>
              <w:t xml:space="preserve">Dom je dana 13.07.2016. godine započeo sa radom i primio svoje prve korisnike. </w:t>
            </w:r>
          </w:p>
          <w:p w14:paraId="3EF5C84D" w14:textId="77777777" w:rsidR="00F65E36" w:rsidRPr="003A2F86" w:rsidRDefault="00F65E36" w:rsidP="00AD5D4E">
            <w:pPr>
              <w:spacing w:after="0" w:line="240" w:lineRule="auto"/>
              <w:jc w:val="both"/>
              <w:rPr>
                <w:rFonts w:ascii="Arial" w:hAnsi="Arial" w:cs="Arial"/>
                <w:sz w:val="20"/>
                <w:szCs w:val="20"/>
              </w:rPr>
            </w:pPr>
          </w:p>
          <w:p w14:paraId="76120D02" w14:textId="77777777" w:rsidR="00F65E36" w:rsidRPr="003A2F86" w:rsidRDefault="00F65E36" w:rsidP="00AD5D4E">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Dom za starije i nemoćne osobe Konavle je ustanova socijalne skrbi, namijenjena starijim i nemoćnim osobama koje zbog starosti ili bolesti ne mogu živjeti same. </w:t>
            </w:r>
          </w:p>
          <w:p w14:paraId="2D89FA2B" w14:textId="77777777" w:rsidR="00F65E36" w:rsidRPr="003A2F86" w:rsidRDefault="00F65E36" w:rsidP="00AD5D4E">
            <w:pPr>
              <w:spacing w:after="0" w:line="240" w:lineRule="auto"/>
              <w:jc w:val="both"/>
              <w:rPr>
                <w:rFonts w:ascii="Arial" w:eastAsia="Calibri" w:hAnsi="Arial" w:cs="Arial"/>
                <w:sz w:val="20"/>
                <w:szCs w:val="20"/>
              </w:rPr>
            </w:pPr>
          </w:p>
          <w:p w14:paraId="214F0197" w14:textId="77777777" w:rsidR="00F65E36" w:rsidRPr="003A2F86" w:rsidRDefault="00F65E36" w:rsidP="00AD5D4E">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Djelatnost Doma je pružanje usluge skrbi starijim i nemoćnim osobama izvan vlastite obitelji kojima je zbog trajnih promjena u zdravstvenom stanju i nemoći prijeko potrebna stalna pomoć i njega druge osobe. U okviru smještaja pružaju se usluge stanovanja, prehrane, brige o zdravlju, njege, održavanja osobne higijene, fizikalne terapije, usluge socijalnog rada, radnih aktivnosti i organiziranja slobodnog vremena. </w:t>
            </w:r>
          </w:p>
          <w:p w14:paraId="6EFCB9A5" w14:textId="77777777" w:rsidR="00F65E36" w:rsidRPr="003A2F86" w:rsidRDefault="00F65E36" w:rsidP="00AD5D4E">
            <w:pPr>
              <w:spacing w:after="0" w:line="240" w:lineRule="auto"/>
              <w:jc w:val="both"/>
              <w:rPr>
                <w:rFonts w:ascii="Arial" w:eastAsia="Calibri" w:hAnsi="Arial" w:cs="Arial"/>
                <w:sz w:val="20"/>
                <w:szCs w:val="20"/>
              </w:rPr>
            </w:pPr>
          </w:p>
          <w:p w14:paraId="706AED31" w14:textId="77777777" w:rsidR="00F65E36" w:rsidRPr="003A2F86" w:rsidRDefault="00F65E36" w:rsidP="00AD5D4E">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Isto tako Dom pruža uslugu dnevnog i poludnevnog boravka korisnika kao oblik skrbi izvan vlastite obitelji, a koji je namijenjen starijim osobama koje u Domu borave privremeno, u periodu dok su njihove obitelji na poslu ili imaju druge obveze. </w:t>
            </w:r>
          </w:p>
          <w:p w14:paraId="511A738D" w14:textId="77777777" w:rsidR="00F65E36" w:rsidRPr="003A2F86" w:rsidRDefault="00F65E36" w:rsidP="00AD5D4E">
            <w:pPr>
              <w:spacing w:after="0" w:line="240" w:lineRule="auto"/>
              <w:jc w:val="both"/>
              <w:rPr>
                <w:rFonts w:ascii="Arial" w:eastAsia="Calibri" w:hAnsi="Arial" w:cs="Arial"/>
                <w:sz w:val="20"/>
                <w:szCs w:val="20"/>
              </w:rPr>
            </w:pPr>
          </w:p>
          <w:p w14:paraId="7ECFC0B6" w14:textId="77777777" w:rsidR="00F65E36" w:rsidRPr="003A2F86" w:rsidRDefault="00F65E36" w:rsidP="00AD5D4E">
            <w:pPr>
              <w:spacing w:after="0" w:line="240" w:lineRule="auto"/>
              <w:jc w:val="both"/>
              <w:rPr>
                <w:rFonts w:ascii="Arial" w:eastAsia="Calibri" w:hAnsi="Arial" w:cs="Arial"/>
                <w:sz w:val="20"/>
                <w:szCs w:val="20"/>
              </w:rPr>
            </w:pPr>
            <w:r w:rsidRPr="003A2F86">
              <w:rPr>
                <w:rFonts w:ascii="Arial" w:eastAsia="Calibri" w:hAnsi="Arial" w:cs="Arial"/>
                <w:sz w:val="20"/>
                <w:szCs w:val="20"/>
              </w:rPr>
              <w:t>U okviru tog programa pružaju se usluge stanovanja, prehrane, brige o zdravlju, njege, održavanja osobne higijene, fizikalne terapije, usluge socijalnog rada, radnih aktivnosti i organiziranja slobodnog vremena.</w:t>
            </w:r>
          </w:p>
        </w:tc>
      </w:tr>
    </w:tbl>
    <w:p w14:paraId="22364968" w14:textId="77777777" w:rsidR="00F65E36" w:rsidRPr="003A2F86" w:rsidRDefault="00F65E36" w:rsidP="00F65E36">
      <w:pPr>
        <w:spacing w:after="0" w:line="240" w:lineRule="auto"/>
        <w:rPr>
          <w:rFonts w:ascii="Arial" w:eastAsia="Calibri" w:hAnsi="Arial" w:cs="Arial"/>
        </w:rPr>
      </w:pPr>
    </w:p>
    <w:p w14:paraId="6DB46A57" w14:textId="77777777" w:rsidR="008079A8" w:rsidRPr="003A2F86" w:rsidRDefault="008079A8" w:rsidP="003752B9">
      <w:pPr>
        <w:spacing w:after="0" w:line="240" w:lineRule="auto"/>
        <w:rPr>
          <w:rFonts w:ascii="Arial" w:eastAsia="Calibri" w:hAnsi="Arial" w:cs="Arial"/>
          <w:sz w:val="20"/>
          <w:szCs w:val="20"/>
        </w:rPr>
      </w:pPr>
    </w:p>
    <w:p w14:paraId="21640705" w14:textId="77777777" w:rsidR="00F65E36" w:rsidRPr="003A2F86" w:rsidRDefault="00F65E36" w:rsidP="003752B9">
      <w:pPr>
        <w:spacing w:after="0" w:line="240" w:lineRule="auto"/>
        <w:rPr>
          <w:rFonts w:ascii="Arial" w:eastAsia="Calibri" w:hAnsi="Arial" w:cs="Arial"/>
          <w:sz w:val="20"/>
          <w:szCs w:val="20"/>
        </w:rPr>
      </w:pPr>
    </w:p>
    <w:p w14:paraId="3A22B980" w14:textId="77777777" w:rsidR="00F65E36" w:rsidRPr="003A2F86" w:rsidRDefault="00F65E36" w:rsidP="003752B9">
      <w:pPr>
        <w:spacing w:after="0" w:line="240" w:lineRule="auto"/>
        <w:rPr>
          <w:rFonts w:ascii="Arial" w:eastAsia="Calibri" w:hAnsi="Arial" w:cs="Arial"/>
          <w:sz w:val="20"/>
          <w:szCs w:val="20"/>
        </w:rPr>
      </w:pPr>
    </w:p>
    <w:p w14:paraId="0701360E" w14:textId="77777777" w:rsidR="00F65E36" w:rsidRPr="003A2F86" w:rsidRDefault="00F65E36" w:rsidP="003752B9">
      <w:pPr>
        <w:spacing w:after="0" w:line="240" w:lineRule="auto"/>
        <w:rPr>
          <w:rFonts w:ascii="Arial" w:eastAsia="Calibri" w:hAnsi="Arial" w:cs="Arial"/>
          <w:sz w:val="20"/>
          <w:szCs w:val="20"/>
        </w:rPr>
      </w:pPr>
    </w:p>
    <w:p w14:paraId="63EE1FF4" w14:textId="77777777" w:rsidR="00AD5D4E" w:rsidRPr="003A2F86" w:rsidRDefault="00AD5D4E" w:rsidP="003752B9">
      <w:pPr>
        <w:spacing w:after="0" w:line="240" w:lineRule="auto"/>
        <w:rPr>
          <w:rFonts w:ascii="Arial" w:eastAsia="Calibri" w:hAnsi="Arial" w:cs="Arial"/>
          <w:sz w:val="20"/>
          <w:szCs w:val="20"/>
        </w:rPr>
      </w:pPr>
    </w:p>
    <w:p w14:paraId="3B2E59BA" w14:textId="77777777" w:rsidR="00AD5D4E" w:rsidRPr="003A2F86" w:rsidRDefault="00AD5D4E" w:rsidP="003752B9">
      <w:pPr>
        <w:spacing w:after="0" w:line="240" w:lineRule="auto"/>
        <w:rPr>
          <w:rFonts w:ascii="Arial" w:eastAsia="Calibri" w:hAnsi="Arial" w:cs="Arial"/>
          <w:sz w:val="20"/>
          <w:szCs w:val="20"/>
        </w:rPr>
      </w:pPr>
    </w:p>
    <w:p w14:paraId="1B3FDAC4" w14:textId="77777777" w:rsidR="00AD5D4E" w:rsidRPr="003A2F86" w:rsidRDefault="00AD5D4E" w:rsidP="003752B9">
      <w:pPr>
        <w:spacing w:after="0" w:line="240" w:lineRule="auto"/>
        <w:rPr>
          <w:rFonts w:ascii="Arial" w:eastAsia="Calibri" w:hAnsi="Arial" w:cs="Arial"/>
          <w:sz w:val="20"/>
          <w:szCs w:val="20"/>
        </w:rPr>
      </w:pPr>
    </w:p>
    <w:p w14:paraId="69E179D8" w14:textId="77777777" w:rsidR="00AD5D4E" w:rsidRPr="003A2F86" w:rsidRDefault="00AD5D4E" w:rsidP="003752B9">
      <w:pPr>
        <w:spacing w:after="0" w:line="240" w:lineRule="auto"/>
        <w:rPr>
          <w:rFonts w:ascii="Arial" w:eastAsia="Calibri" w:hAnsi="Arial" w:cs="Arial"/>
          <w:sz w:val="20"/>
          <w:szCs w:val="20"/>
        </w:rPr>
      </w:pPr>
    </w:p>
    <w:p w14:paraId="6FEAE677" w14:textId="77777777" w:rsidR="00870FCA" w:rsidRPr="003A2F86" w:rsidRDefault="00870FCA" w:rsidP="003752B9">
      <w:pPr>
        <w:spacing w:after="0" w:line="240" w:lineRule="auto"/>
        <w:rPr>
          <w:rFonts w:ascii="Arial" w:eastAsia="Calibri" w:hAnsi="Arial" w:cs="Arial"/>
          <w:sz w:val="20"/>
          <w:szCs w:val="20"/>
        </w:rPr>
      </w:pPr>
    </w:p>
    <w:p w14:paraId="6A403847" w14:textId="77777777" w:rsidR="00870FCA" w:rsidRPr="003A2F86" w:rsidRDefault="00870FCA" w:rsidP="003752B9">
      <w:pPr>
        <w:spacing w:after="0" w:line="240" w:lineRule="auto"/>
        <w:rPr>
          <w:rFonts w:ascii="Arial" w:eastAsia="Calibri" w:hAnsi="Arial" w:cs="Arial"/>
          <w:sz w:val="20"/>
          <w:szCs w:val="20"/>
        </w:rPr>
      </w:pPr>
    </w:p>
    <w:p w14:paraId="11D661C9" w14:textId="77777777" w:rsidR="00870FCA" w:rsidRPr="003A2F86" w:rsidRDefault="00870FCA" w:rsidP="003752B9">
      <w:pPr>
        <w:spacing w:after="0" w:line="240" w:lineRule="auto"/>
        <w:rPr>
          <w:rFonts w:ascii="Arial" w:eastAsia="Calibri" w:hAnsi="Arial" w:cs="Arial"/>
          <w:sz w:val="20"/>
          <w:szCs w:val="20"/>
        </w:rPr>
      </w:pPr>
    </w:p>
    <w:p w14:paraId="7EBFFF27" w14:textId="77777777" w:rsidR="00870FCA" w:rsidRPr="003A2F86" w:rsidRDefault="00870FCA" w:rsidP="003752B9">
      <w:pPr>
        <w:spacing w:after="0" w:line="240" w:lineRule="auto"/>
        <w:rPr>
          <w:rFonts w:ascii="Arial" w:eastAsia="Calibri" w:hAnsi="Arial" w:cs="Arial"/>
          <w:sz w:val="20"/>
          <w:szCs w:val="20"/>
        </w:rPr>
      </w:pPr>
    </w:p>
    <w:p w14:paraId="426A58CF" w14:textId="77777777" w:rsidR="00870FCA" w:rsidRPr="003A2F86" w:rsidRDefault="00870FCA" w:rsidP="003752B9">
      <w:pPr>
        <w:spacing w:after="0" w:line="240" w:lineRule="auto"/>
        <w:rPr>
          <w:rFonts w:ascii="Arial" w:eastAsia="Calibri" w:hAnsi="Arial" w:cs="Arial"/>
          <w:sz w:val="20"/>
          <w:szCs w:val="20"/>
        </w:rPr>
      </w:pPr>
    </w:p>
    <w:p w14:paraId="4B36A755" w14:textId="77777777" w:rsidR="00870FCA" w:rsidRPr="003A2F86" w:rsidRDefault="00870FCA" w:rsidP="003752B9">
      <w:pPr>
        <w:spacing w:after="0" w:line="240" w:lineRule="auto"/>
        <w:rPr>
          <w:rFonts w:ascii="Arial" w:eastAsia="Calibri" w:hAnsi="Arial" w:cs="Arial"/>
          <w:sz w:val="20"/>
          <w:szCs w:val="20"/>
        </w:rPr>
      </w:pPr>
    </w:p>
    <w:p w14:paraId="4272C46B" w14:textId="77777777" w:rsidR="00870FCA" w:rsidRPr="003A2F86" w:rsidRDefault="00870FCA" w:rsidP="003752B9">
      <w:pPr>
        <w:spacing w:after="0" w:line="240" w:lineRule="auto"/>
        <w:rPr>
          <w:rFonts w:ascii="Arial" w:eastAsia="Calibri" w:hAnsi="Arial" w:cs="Arial"/>
          <w:sz w:val="20"/>
          <w:szCs w:val="20"/>
        </w:rPr>
      </w:pPr>
    </w:p>
    <w:p w14:paraId="4B9390B7" w14:textId="77777777" w:rsidR="00F65E36" w:rsidRPr="003A2F86" w:rsidRDefault="00F65E36" w:rsidP="003752B9">
      <w:pPr>
        <w:spacing w:after="0" w:line="240" w:lineRule="auto"/>
        <w:rPr>
          <w:rFonts w:ascii="Arial" w:eastAsia="Calibri" w:hAnsi="Arial" w:cs="Arial"/>
          <w:sz w:val="20"/>
          <w:szCs w:val="20"/>
        </w:rPr>
      </w:pPr>
    </w:p>
    <w:p w14:paraId="2BA3B574" w14:textId="77777777" w:rsidR="00F65E36" w:rsidRPr="003A2F86" w:rsidRDefault="00F65E36" w:rsidP="003752B9">
      <w:pPr>
        <w:spacing w:after="0" w:line="240" w:lineRule="auto"/>
        <w:rPr>
          <w:rFonts w:ascii="Arial" w:eastAsia="Calibri" w:hAnsi="Arial" w:cs="Arial"/>
          <w:sz w:val="20"/>
          <w:szCs w:val="20"/>
        </w:rPr>
      </w:pPr>
    </w:p>
    <w:p w14:paraId="1B25D15C" w14:textId="77777777" w:rsidR="00F65E36" w:rsidRPr="003A2F86" w:rsidRDefault="00F65E36" w:rsidP="003752B9">
      <w:pPr>
        <w:spacing w:after="0" w:line="240" w:lineRule="auto"/>
        <w:rPr>
          <w:rFonts w:ascii="Arial" w:eastAsia="Calibri" w:hAnsi="Arial" w:cs="Arial"/>
          <w:sz w:val="20"/>
          <w:szCs w:val="20"/>
        </w:rPr>
      </w:pPr>
    </w:p>
    <w:p w14:paraId="111CC139" w14:textId="77777777" w:rsidR="00F65E36" w:rsidRPr="003A2F86" w:rsidRDefault="00F65E36" w:rsidP="003752B9">
      <w:pPr>
        <w:spacing w:after="0" w:line="240" w:lineRule="auto"/>
        <w:rPr>
          <w:rFonts w:ascii="Arial" w:eastAsia="Calibri" w:hAnsi="Arial" w:cs="Arial"/>
          <w:sz w:val="20"/>
          <w:szCs w:val="20"/>
        </w:rPr>
      </w:pPr>
    </w:p>
    <w:p w14:paraId="1372DA61" w14:textId="77777777" w:rsidR="00F65E36" w:rsidRPr="003A2F86" w:rsidRDefault="00F65E36" w:rsidP="003752B9">
      <w:pPr>
        <w:spacing w:after="0" w:line="240" w:lineRule="auto"/>
        <w:rPr>
          <w:rFonts w:ascii="Arial" w:eastAsia="Calibri" w:hAnsi="Arial" w:cs="Arial"/>
          <w:sz w:val="20"/>
          <w:szCs w:val="20"/>
        </w:rPr>
      </w:pPr>
    </w:p>
    <w:p w14:paraId="3616F404" w14:textId="77777777" w:rsidR="00F65E36" w:rsidRPr="003A2F86" w:rsidRDefault="00F65E36" w:rsidP="003752B9">
      <w:pPr>
        <w:spacing w:after="0" w:line="240" w:lineRule="auto"/>
        <w:rPr>
          <w:rFonts w:ascii="Arial" w:eastAsia="Calibri" w:hAnsi="Arial" w:cs="Arial"/>
          <w:sz w:val="20"/>
          <w:szCs w:val="20"/>
        </w:rPr>
      </w:pPr>
    </w:p>
    <w:p w14:paraId="39BB200B" w14:textId="77777777" w:rsidR="00B656D0" w:rsidRPr="003A2F86" w:rsidRDefault="00B656D0">
      <w:pPr>
        <w:pStyle w:val="Odlomakpopisa"/>
        <w:numPr>
          <w:ilvl w:val="0"/>
          <w:numId w:val="26"/>
        </w:num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eastAsia="Calibri" w:hAnsi="Arial" w:cs="Arial"/>
          <w:b/>
        </w:rPr>
      </w:pPr>
      <w:r w:rsidRPr="003A2F86">
        <w:rPr>
          <w:rFonts w:ascii="Arial" w:eastAsia="Calibri" w:hAnsi="Arial" w:cs="Arial"/>
          <w:b/>
        </w:rPr>
        <w:t>OBRAZLOŽENJE OPĆEG DIJELA FINANCIJSKOG PLANA</w:t>
      </w:r>
    </w:p>
    <w:p w14:paraId="5AC92B00" w14:textId="77777777" w:rsidR="00B656D0" w:rsidRPr="003A2F86" w:rsidRDefault="00B656D0" w:rsidP="007517F5">
      <w:pPr>
        <w:spacing w:after="0" w:line="240" w:lineRule="auto"/>
        <w:rPr>
          <w:rFonts w:ascii="Arial" w:eastAsia="Calibri" w:hAnsi="Arial" w:cs="Arial"/>
          <w:b/>
        </w:rPr>
      </w:pPr>
    </w:p>
    <w:p w14:paraId="53B07C80" w14:textId="451346E3" w:rsidR="00F65E36" w:rsidRPr="003A2F86" w:rsidRDefault="00337F53" w:rsidP="00F65E36">
      <w:pPr>
        <w:spacing w:after="0" w:line="240" w:lineRule="auto"/>
        <w:jc w:val="center"/>
        <w:rPr>
          <w:rFonts w:ascii="Arial" w:eastAsia="Calibri" w:hAnsi="Arial" w:cs="Arial"/>
          <w:b/>
        </w:rPr>
      </w:pPr>
      <w:r w:rsidRPr="00337F53">
        <w:rPr>
          <w:noProof/>
        </w:rPr>
        <w:drawing>
          <wp:inline distT="0" distB="0" distL="0" distR="0" wp14:anchorId="3F91AC0C" wp14:editId="2C2CB229">
            <wp:extent cx="8548549" cy="5231219"/>
            <wp:effectExtent l="0" t="0" r="5080" b="7620"/>
            <wp:docPr id="107570318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8553720" cy="5234383"/>
                    </a:xfrm>
                    <a:prstGeom prst="rect">
                      <a:avLst/>
                    </a:prstGeom>
                    <a:noFill/>
                    <a:ln>
                      <a:noFill/>
                    </a:ln>
                  </pic:spPr>
                </pic:pic>
              </a:graphicData>
            </a:graphic>
          </wp:inline>
        </w:drawing>
      </w:r>
    </w:p>
    <w:p w14:paraId="3C42A8A1" w14:textId="77777777" w:rsidR="00337F53" w:rsidRDefault="00337F53" w:rsidP="00F65E36">
      <w:pPr>
        <w:spacing w:after="0" w:line="240" w:lineRule="auto"/>
        <w:ind w:firstLine="708"/>
        <w:jc w:val="both"/>
        <w:rPr>
          <w:rFonts w:ascii="Arial" w:eastAsia="Calibri" w:hAnsi="Arial" w:cs="Arial"/>
          <w:sz w:val="20"/>
          <w:szCs w:val="20"/>
          <w:lang w:eastAsia="en-US"/>
        </w:rPr>
      </w:pPr>
    </w:p>
    <w:p w14:paraId="5E94FFC3" w14:textId="49BB94A7" w:rsidR="008079A8" w:rsidRDefault="008079A8" w:rsidP="00F65E36">
      <w:pPr>
        <w:spacing w:after="0" w:line="240" w:lineRule="auto"/>
        <w:ind w:firstLine="708"/>
        <w:jc w:val="both"/>
        <w:rPr>
          <w:rFonts w:ascii="Arial" w:eastAsia="Calibri" w:hAnsi="Arial" w:cs="Arial"/>
          <w:sz w:val="20"/>
          <w:szCs w:val="20"/>
          <w:lang w:eastAsia="en-US"/>
        </w:rPr>
      </w:pPr>
      <w:r w:rsidRPr="003A2F86">
        <w:rPr>
          <w:rFonts w:ascii="Arial" w:eastAsia="Calibri" w:hAnsi="Arial" w:cs="Arial"/>
          <w:sz w:val="20"/>
          <w:szCs w:val="20"/>
          <w:lang w:eastAsia="en-US"/>
        </w:rPr>
        <w:lastRenderedPageBreak/>
        <w:t>Opći dio financijskog plana sastoji se od sažetka računa prihoda i rashoda. Prihodi i rashodi su  iskazanih prema izvorima financiranja i ekonomskoj klasifikaciji, a rashodi su iskazani i prema funkcijskoj klasifikaciji.</w:t>
      </w:r>
    </w:p>
    <w:p w14:paraId="63DDAF27" w14:textId="77777777" w:rsidR="00337F53" w:rsidRPr="003A2F86" w:rsidRDefault="00337F53" w:rsidP="00F65E36">
      <w:pPr>
        <w:spacing w:after="0" w:line="240" w:lineRule="auto"/>
        <w:ind w:firstLine="708"/>
        <w:jc w:val="both"/>
        <w:rPr>
          <w:rFonts w:ascii="Arial" w:eastAsia="Calibri" w:hAnsi="Arial" w:cs="Arial"/>
          <w:sz w:val="20"/>
          <w:szCs w:val="20"/>
          <w:lang w:eastAsia="en-US"/>
        </w:rPr>
      </w:pPr>
    </w:p>
    <w:p w14:paraId="2421AC9B" w14:textId="77777777" w:rsidR="00337F53" w:rsidRPr="00337F53" w:rsidRDefault="00337F53" w:rsidP="00337F53">
      <w:pPr>
        <w:spacing w:after="0" w:line="240" w:lineRule="auto"/>
        <w:ind w:firstLine="708"/>
        <w:jc w:val="both"/>
        <w:rPr>
          <w:rFonts w:ascii="Arial" w:eastAsia="Calibri" w:hAnsi="Arial" w:cs="Arial"/>
          <w:sz w:val="20"/>
          <w:szCs w:val="20"/>
          <w:lang w:eastAsia="en-US"/>
        </w:rPr>
      </w:pPr>
      <w:r w:rsidRPr="00337F53">
        <w:rPr>
          <w:rFonts w:ascii="Arial" w:eastAsia="Calibri" w:hAnsi="Arial" w:cs="Arial"/>
          <w:sz w:val="20"/>
          <w:szCs w:val="20"/>
          <w:u w:val="single"/>
          <w:lang w:eastAsia="en-US"/>
        </w:rPr>
        <w:t>Ostvareni prihodi poslovanja</w:t>
      </w:r>
      <w:r w:rsidRPr="00337F53">
        <w:rPr>
          <w:rFonts w:ascii="Arial" w:eastAsia="Calibri" w:hAnsi="Arial" w:cs="Arial"/>
          <w:sz w:val="20"/>
          <w:szCs w:val="20"/>
          <w:lang w:eastAsia="en-US"/>
        </w:rPr>
        <w:t xml:space="preserve"> sastoje se od:</w:t>
      </w:r>
    </w:p>
    <w:p w14:paraId="3AE7770C" w14:textId="77777777" w:rsidR="00337F53" w:rsidRPr="00337F53" w:rsidRDefault="00337F53" w:rsidP="00337F53">
      <w:pPr>
        <w:spacing w:after="0" w:line="240" w:lineRule="auto"/>
        <w:ind w:firstLine="708"/>
        <w:jc w:val="both"/>
        <w:rPr>
          <w:rFonts w:ascii="Arial" w:eastAsia="Calibri" w:hAnsi="Arial" w:cs="Arial"/>
          <w:sz w:val="20"/>
          <w:szCs w:val="20"/>
          <w:lang w:eastAsia="en-US"/>
        </w:rPr>
      </w:pPr>
    </w:p>
    <w:p w14:paraId="5CCEDECD" w14:textId="6FB4E54E" w:rsidR="00337F53" w:rsidRPr="00337F53" w:rsidRDefault="00337F53">
      <w:pPr>
        <w:numPr>
          <w:ilvl w:val="0"/>
          <w:numId w:val="29"/>
        </w:numPr>
        <w:contextualSpacing/>
        <w:rPr>
          <w:rFonts w:ascii="Arial" w:eastAsia="Calibri" w:hAnsi="Arial" w:cs="Arial"/>
          <w:sz w:val="20"/>
          <w:szCs w:val="20"/>
          <w:lang w:eastAsia="en-US"/>
        </w:rPr>
      </w:pPr>
      <w:r w:rsidRPr="00337F53">
        <w:rPr>
          <w:rFonts w:ascii="Arial" w:eastAsia="Calibri" w:hAnsi="Arial" w:cs="Arial"/>
          <w:i/>
          <w:sz w:val="20"/>
          <w:szCs w:val="20"/>
          <w:lang w:eastAsia="en-US"/>
        </w:rPr>
        <w:t>Pomoći iz inozemstva i od subjekata unutar općeg proračuna – Pomoći</w:t>
      </w:r>
      <w:r w:rsidRPr="00337F53">
        <w:rPr>
          <w:rFonts w:ascii="Arial" w:eastAsia="Calibri" w:hAnsi="Arial" w:cs="Arial"/>
          <w:sz w:val="20"/>
          <w:szCs w:val="20"/>
          <w:lang w:eastAsia="en-US"/>
        </w:rPr>
        <w:t xml:space="preserve"> ostvareni su u iznosu 9.020</w:t>
      </w:r>
      <w:r w:rsidR="000631A5">
        <w:rPr>
          <w:rFonts w:ascii="Arial" w:eastAsia="Calibri" w:hAnsi="Arial" w:cs="Arial"/>
          <w:sz w:val="20"/>
          <w:szCs w:val="20"/>
          <w:lang w:eastAsia="en-US"/>
        </w:rPr>
        <w:t xml:space="preserve"> </w:t>
      </w:r>
      <w:r w:rsidRPr="00337F53">
        <w:rPr>
          <w:rFonts w:ascii="Arial" w:eastAsia="Calibri" w:hAnsi="Arial" w:cs="Arial"/>
          <w:sz w:val="20"/>
          <w:szCs w:val="20"/>
          <w:lang w:eastAsia="en-US"/>
        </w:rPr>
        <w:t>€ i odnose se na pomoći proračunskim korisnicima iz proračuna koji im nije nadležan odnosno se na prihode ostvarene kroz financijsku podršku za smanjenje utjecaja porasta cijena energenata za pružatelje socijalnih usluga u Republici Hrvatskoj dobivenu od strane Ministarstva rada, mirovinskog sustava, obitelji i socijalne politike u iznosu 7.020</w:t>
      </w:r>
      <w:r w:rsidR="000631A5">
        <w:rPr>
          <w:rFonts w:ascii="Arial" w:eastAsia="Calibri" w:hAnsi="Arial" w:cs="Arial"/>
          <w:sz w:val="20"/>
          <w:szCs w:val="20"/>
          <w:lang w:eastAsia="en-US"/>
        </w:rPr>
        <w:t xml:space="preserve"> </w:t>
      </w:r>
      <w:r w:rsidRPr="00337F53">
        <w:rPr>
          <w:rFonts w:ascii="Arial" w:eastAsia="Calibri" w:hAnsi="Arial" w:cs="Arial"/>
          <w:sz w:val="20"/>
          <w:szCs w:val="20"/>
          <w:lang w:eastAsia="en-US"/>
        </w:rPr>
        <w:t>€, dok se ostatak od 2.000</w:t>
      </w:r>
      <w:r w:rsidR="000631A5">
        <w:rPr>
          <w:rFonts w:ascii="Arial" w:eastAsia="Calibri" w:hAnsi="Arial" w:cs="Arial"/>
          <w:sz w:val="20"/>
          <w:szCs w:val="20"/>
          <w:lang w:eastAsia="en-US"/>
        </w:rPr>
        <w:t xml:space="preserve"> </w:t>
      </w:r>
      <w:r w:rsidRPr="00337F53">
        <w:rPr>
          <w:rFonts w:ascii="Arial" w:eastAsia="Calibri" w:hAnsi="Arial" w:cs="Arial"/>
          <w:sz w:val="20"/>
          <w:szCs w:val="20"/>
          <w:lang w:eastAsia="en-US"/>
        </w:rPr>
        <w:t>€ odnosi na donaciju primljenu od strane Dubrovačko-neretvanske županije). Ovim prihodima financirani su rashodi za električnu energiju i materijalni rashodi.</w:t>
      </w:r>
    </w:p>
    <w:p w14:paraId="07463757" w14:textId="4F668E38" w:rsidR="00337F53" w:rsidRPr="00337F53" w:rsidRDefault="00337F53">
      <w:pPr>
        <w:numPr>
          <w:ilvl w:val="0"/>
          <w:numId w:val="29"/>
        </w:numPr>
        <w:spacing w:after="0" w:line="240" w:lineRule="auto"/>
        <w:contextualSpacing/>
        <w:jc w:val="both"/>
        <w:rPr>
          <w:rFonts w:ascii="Arial" w:eastAsia="Calibri" w:hAnsi="Arial" w:cs="Arial"/>
          <w:sz w:val="20"/>
          <w:szCs w:val="20"/>
          <w:lang w:eastAsia="en-US"/>
        </w:rPr>
      </w:pPr>
      <w:r w:rsidRPr="00337F53">
        <w:rPr>
          <w:rFonts w:ascii="Arial" w:eastAsia="Calibri" w:hAnsi="Arial" w:cs="Arial"/>
          <w:i/>
          <w:sz w:val="20"/>
          <w:szCs w:val="20"/>
          <w:lang w:eastAsia="en-US"/>
        </w:rPr>
        <w:t>prihodi od upravnih i administrativnih pristojbi, pristojbi po posebnim propisima i naknada</w:t>
      </w:r>
      <w:r w:rsidRPr="00337F53">
        <w:rPr>
          <w:rFonts w:ascii="Arial" w:eastAsia="Calibri" w:hAnsi="Arial" w:cs="Arial"/>
          <w:sz w:val="20"/>
          <w:szCs w:val="20"/>
          <w:lang w:eastAsia="en-US"/>
        </w:rPr>
        <w:t xml:space="preserve"> - </w:t>
      </w:r>
      <w:r w:rsidRPr="00337F53">
        <w:rPr>
          <w:rFonts w:ascii="Arial" w:eastAsia="Calibri" w:hAnsi="Arial" w:cs="Arial"/>
          <w:i/>
          <w:sz w:val="20"/>
          <w:szCs w:val="20"/>
          <w:lang w:eastAsia="en-US"/>
        </w:rPr>
        <w:t>Prihodi za posebne namjene</w:t>
      </w:r>
      <w:r w:rsidRPr="00337F53">
        <w:rPr>
          <w:rFonts w:ascii="Arial" w:eastAsia="Calibri" w:hAnsi="Arial" w:cs="Arial"/>
          <w:sz w:val="20"/>
          <w:szCs w:val="20"/>
          <w:lang w:eastAsia="en-US"/>
        </w:rPr>
        <w:t xml:space="preserve"> ostvareni su u iznosu od 925.442,94€ (odnose se na prihode koji su ostvareni od naplate cijene usluga smještaja korisnika u iznosu 918.809,17</w:t>
      </w:r>
      <w:r w:rsidR="000631A5">
        <w:rPr>
          <w:rFonts w:ascii="Arial" w:eastAsia="Calibri" w:hAnsi="Arial" w:cs="Arial"/>
          <w:sz w:val="20"/>
          <w:szCs w:val="20"/>
          <w:lang w:eastAsia="en-US"/>
        </w:rPr>
        <w:t xml:space="preserve"> </w:t>
      </w:r>
      <w:r w:rsidRPr="00337F53">
        <w:rPr>
          <w:rFonts w:ascii="Arial" w:eastAsia="Calibri" w:hAnsi="Arial" w:cs="Arial"/>
          <w:sz w:val="20"/>
          <w:szCs w:val="20"/>
          <w:lang w:eastAsia="en-US"/>
        </w:rPr>
        <w:t>€ te na prihode od naplate naknada šteta od strane osiguravajućeg društva u iznosu 6.633,77</w:t>
      </w:r>
      <w:r w:rsidR="000631A5">
        <w:rPr>
          <w:rFonts w:ascii="Arial" w:eastAsia="Calibri" w:hAnsi="Arial" w:cs="Arial"/>
          <w:sz w:val="20"/>
          <w:szCs w:val="20"/>
          <w:lang w:eastAsia="en-US"/>
        </w:rPr>
        <w:t xml:space="preserve"> </w:t>
      </w:r>
      <w:r w:rsidRPr="00337F53">
        <w:rPr>
          <w:rFonts w:ascii="Arial" w:eastAsia="Calibri" w:hAnsi="Arial" w:cs="Arial"/>
          <w:sz w:val="20"/>
          <w:szCs w:val="20"/>
          <w:lang w:eastAsia="en-US"/>
        </w:rPr>
        <w:t>€).</w:t>
      </w:r>
    </w:p>
    <w:p w14:paraId="2BC5C86B" w14:textId="77777777" w:rsidR="00337F53" w:rsidRPr="00337F53" w:rsidRDefault="00337F53" w:rsidP="00337F53">
      <w:pPr>
        <w:spacing w:after="0" w:line="240" w:lineRule="auto"/>
        <w:ind w:left="1068"/>
        <w:contextualSpacing/>
        <w:jc w:val="both"/>
        <w:rPr>
          <w:rFonts w:ascii="Arial" w:eastAsia="Calibri" w:hAnsi="Arial" w:cs="Arial"/>
          <w:sz w:val="20"/>
          <w:szCs w:val="20"/>
          <w:lang w:eastAsia="en-US"/>
        </w:rPr>
      </w:pPr>
      <w:r w:rsidRPr="00337F53">
        <w:rPr>
          <w:rFonts w:ascii="Arial" w:eastAsia="Calibri" w:hAnsi="Arial" w:cs="Arial"/>
          <w:sz w:val="20"/>
          <w:szCs w:val="20"/>
          <w:lang w:eastAsia="en-US"/>
        </w:rPr>
        <w:t>Ostvarenim prihodima za posebne namjene financirani su rashodi poslovanja koji obuhvaćaju: rashode za zaposlene, rashode za materijal i energiju, rashode za usluge, ostale rashode poslovanja te rashode za nabavu nefinancijske imovine.</w:t>
      </w:r>
    </w:p>
    <w:p w14:paraId="5DA6731B" w14:textId="116487E7" w:rsidR="00337F53" w:rsidRPr="00337F53" w:rsidRDefault="00337F53">
      <w:pPr>
        <w:numPr>
          <w:ilvl w:val="0"/>
          <w:numId w:val="29"/>
        </w:numPr>
        <w:spacing w:after="0" w:line="240" w:lineRule="auto"/>
        <w:contextualSpacing/>
        <w:jc w:val="both"/>
        <w:rPr>
          <w:rFonts w:ascii="Arial" w:eastAsia="Calibri" w:hAnsi="Arial" w:cs="Arial"/>
          <w:sz w:val="20"/>
          <w:szCs w:val="20"/>
          <w:lang w:eastAsia="en-US"/>
        </w:rPr>
      </w:pPr>
      <w:r w:rsidRPr="00337F53">
        <w:rPr>
          <w:rFonts w:ascii="Arial" w:eastAsia="Calibri" w:hAnsi="Arial" w:cs="Arial"/>
          <w:i/>
          <w:sz w:val="20"/>
          <w:szCs w:val="20"/>
          <w:lang w:eastAsia="en-US"/>
        </w:rPr>
        <w:t>prihodi od prodaje proizvoda i robe te pruženih usluga i prihodi od donacija – Vlastiti prihodi i donacije</w:t>
      </w:r>
      <w:r w:rsidRPr="00337F53">
        <w:rPr>
          <w:rFonts w:ascii="Arial" w:eastAsia="Calibri" w:hAnsi="Arial" w:cs="Arial"/>
          <w:sz w:val="20"/>
          <w:szCs w:val="20"/>
          <w:lang w:eastAsia="en-US"/>
        </w:rPr>
        <w:t xml:space="preserve"> ostvareni su u iznosu 7.791,46</w:t>
      </w:r>
      <w:r w:rsidR="000631A5">
        <w:rPr>
          <w:rFonts w:ascii="Arial" w:eastAsia="Calibri" w:hAnsi="Arial" w:cs="Arial"/>
          <w:sz w:val="20"/>
          <w:szCs w:val="20"/>
          <w:lang w:eastAsia="en-US"/>
        </w:rPr>
        <w:t xml:space="preserve"> </w:t>
      </w:r>
      <w:r w:rsidRPr="00337F53">
        <w:rPr>
          <w:rFonts w:ascii="Arial" w:eastAsia="Calibri" w:hAnsi="Arial" w:cs="Arial"/>
          <w:sz w:val="20"/>
          <w:szCs w:val="20"/>
          <w:lang w:eastAsia="en-US"/>
        </w:rPr>
        <w:t>€, a odnose se na prihode koji su ostvareni od naplate cijene usluga dnevnog i poludnevnog boravka korisnika u iznosu 5.508,20</w:t>
      </w:r>
      <w:r w:rsidR="000631A5">
        <w:rPr>
          <w:rFonts w:ascii="Arial" w:eastAsia="Calibri" w:hAnsi="Arial" w:cs="Arial"/>
          <w:sz w:val="20"/>
          <w:szCs w:val="20"/>
          <w:lang w:eastAsia="en-US"/>
        </w:rPr>
        <w:t xml:space="preserve"> </w:t>
      </w:r>
      <w:r w:rsidRPr="00337F53">
        <w:rPr>
          <w:rFonts w:ascii="Arial" w:eastAsia="Calibri" w:hAnsi="Arial" w:cs="Arial"/>
          <w:sz w:val="20"/>
          <w:szCs w:val="20"/>
          <w:lang w:eastAsia="en-US"/>
        </w:rPr>
        <w:t>€ i donacije u iznosu 2.283,26</w:t>
      </w:r>
      <w:r w:rsidR="0049303D">
        <w:rPr>
          <w:rFonts w:ascii="Arial" w:eastAsia="Calibri" w:hAnsi="Arial" w:cs="Arial"/>
          <w:sz w:val="20"/>
          <w:szCs w:val="20"/>
          <w:lang w:eastAsia="en-US"/>
        </w:rPr>
        <w:t xml:space="preserve"> </w:t>
      </w:r>
      <w:r w:rsidRPr="00337F53">
        <w:rPr>
          <w:rFonts w:ascii="Arial" w:eastAsia="Calibri" w:hAnsi="Arial" w:cs="Arial"/>
          <w:sz w:val="20"/>
          <w:szCs w:val="20"/>
          <w:lang w:eastAsia="en-US"/>
        </w:rPr>
        <w:t>€.</w:t>
      </w:r>
    </w:p>
    <w:p w14:paraId="559AC287" w14:textId="77777777" w:rsidR="00337F53" w:rsidRPr="00337F53" w:rsidRDefault="00337F53" w:rsidP="00337F53">
      <w:pPr>
        <w:spacing w:after="0" w:line="240" w:lineRule="auto"/>
        <w:ind w:left="1068"/>
        <w:contextualSpacing/>
        <w:jc w:val="both"/>
        <w:rPr>
          <w:rFonts w:ascii="Arial" w:eastAsia="Calibri" w:hAnsi="Arial" w:cs="Arial"/>
          <w:sz w:val="20"/>
          <w:szCs w:val="20"/>
          <w:lang w:eastAsia="en-US"/>
        </w:rPr>
      </w:pPr>
      <w:r w:rsidRPr="00337F53">
        <w:rPr>
          <w:rFonts w:ascii="Arial" w:eastAsia="Calibri" w:hAnsi="Arial" w:cs="Arial"/>
          <w:sz w:val="20"/>
          <w:szCs w:val="20"/>
          <w:lang w:eastAsia="en-US"/>
        </w:rPr>
        <w:t>Ostvarenim vlastitim prihodima i donacijama financirani su materijalni rashodi.</w:t>
      </w:r>
    </w:p>
    <w:p w14:paraId="2D258837" w14:textId="2FAAD333" w:rsidR="00337F53" w:rsidRPr="00337F53" w:rsidRDefault="00337F53">
      <w:pPr>
        <w:numPr>
          <w:ilvl w:val="0"/>
          <w:numId w:val="29"/>
        </w:numPr>
        <w:spacing w:after="0" w:line="240" w:lineRule="auto"/>
        <w:contextualSpacing/>
        <w:jc w:val="both"/>
        <w:rPr>
          <w:rFonts w:ascii="Arial" w:eastAsia="Calibri" w:hAnsi="Arial" w:cs="Arial"/>
          <w:sz w:val="20"/>
          <w:szCs w:val="20"/>
          <w:lang w:eastAsia="en-US"/>
        </w:rPr>
      </w:pPr>
      <w:r w:rsidRPr="00337F53">
        <w:rPr>
          <w:rFonts w:ascii="Arial" w:eastAsia="Calibri" w:hAnsi="Arial" w:cs="Arial"/>
          <w:i/>
          <w:sz w:val="20"/>
          <w:szCs w:val="20"/>
          <w:lang w:eastAsia="en-US"/>
        </w:rPr>
        <w:t>prihodi iz nadležnog proračuna i od H</w:t>
      </w:r>
      <w:r w:rsidR="00D6134B">
        <w:rPr>
          <w:rFonts w:ascii="Arial" w:eastAsia="Calibri" w:hAnsi="Arial" w:cs="Arial"/>
          <w:i/>
          <w:sz w:val="20"/>
          <w:szCs w:val="20"/>
          <w:lang w:eastAsia="en-US"/>
        </w:rPr>
        <w:t>ZZO-</w:t>
      </w:r>
      <w:r w:rsidRPr="00337F53">
        <w:rPr>
          <w:rFonts w:ascii="Arial" w:eastAsia="Calibri" w:hAnsi="Arial" w:cs="Arial"/>
          <w:i/>
          <w:sz w:val="20"/>
          <w:szCs w:val="20"/>
          <w:lang w:eastAsia="en-US"/>
        </w:rPr>
        <w:t>a temeljem ugovornih obveza –</w:t>
      </w:r>
      <w:r w:rsidRPr="00337F53">
        <w:rPr>
          <w:rFonts w:ascii="Arial" w:eastAsia="Calibri" w:hAnsi="Arial" w:cs="Arial"/>
          <w:sz w:val="20"/>
          <w:szCs w:val="20"/>
          <w:lang w:eastAsia="en-US"/>
        </w:rPr>
        <w:t xml:space="preserve"> </w:t>
      </w:r>
      <w:r w:rsidRPr="00337F53">
        <w:rPr>
          <w:rFonts w:ascii="Arial" w:eastAsia="Calibri" w:hAnsi="Arial" w:cs="Arial"/>
          <w:i/>
          <w:sz w:val="20"/>
          <w:szCs w:val="20"/>
          <w:lang w:eastAsia="en-US"/>
        </w:rPr>
        <w:t>Opći prihodi i primici</w:t>
      </w:r>
      <w:r w:rsidRPr="00337F53">
        <w:rPr>
          <w:rFonts w:ascii="Arial" w:eastAsia="Calibri" w:hAnsi="Arial" w:cs="Arial"/>
          <w:sz w:val="20"/>
          <w:szCs w:val="20"/>
          <w:lang w:eastAsia="en-US"/>
        </w:rPr>
        <w:t xml:space="preserve">  ostvareni su u iznosu od 470.294,81</w:t>
      </w:r>
      <w:r w:rsidR="000631A5">
        <w:rPr>
          <w:rFonts w:ascii="Arial" w:eastAsia="Calibri" w:hAnsi="Arial" w:cs="Arial"/>
          <w:sz w:val="20"/>
          <w:szCs w:val="20"/>
          <w:lang w:eastAsia="en-US"/>
        </w:rPr>
        <w:t xml:space="preserve"> </w:t>
      </w:r>
      <w:r w:rsidRPr="00337F53">
        <w:rPr>
          <w:rFonts w:ascii="Arial" w:eastAsia="Calibri" w:hAnsi="Arial" w:cs="Arial"/>
          <w:sz w:val="20"/>
          <w:szCs w:val="20"/>
          <w:lang w:eastAsia="en-US"/>
        </w:rPr>
        <w:t>€, a odnose se na prihode koji su ostvareni iz nadležnog proračuna Općine Konavle.</w:t>
      </w:r>
    </w:p>
    <w:p w14:paraId="13E77149" w14:textId="77777777" w:rsidR="00337F53" w:rsidRPr="00337F53" w:rsidRDefault="00337F53" w:rsidP="00337F53">
      <w:pPr>
        <w:spacing w:after="0" w:line="240" w:lineRule="auto"/>
        <w:ind w:left="1068"/>
        <w:contextualSpacing/>
        <w:jc w:val="both"/>
        <w:rPr>
          <w:rFonts w:ascii="Arial" w:eastAsia="Calibri" w:hAnsi="Arial" w:cs="Arial"/>
          <w:sz w:val="20"/>
          <w:szCs w:val="20"/>
          <w:lang w:eastAsia="en-US"/>
        </w:rPr>
      </w:pPr>
      <w:r w:rsidRPr="00337F53">
        <w:rPr>
          <w:rFonts w:ascii="Arial" w:eastAsia="Calibri" w:hAnsi="Arial" w:cs="Arial"/>
          <w:sz w:val="20"/>
          <w:szCs w:val="20"/>
          <w:lang w:eastAsia="en-US"/>
        </w:rPr>
        <w:t>Ostvarenim Opći prihodima i primicima financirani su rashodi za zaposlene.</w:t>
      </w:r>
    </w:p>
    <w:p w14:paraId="30F1C60D" w14:textId="2FBCBB15" w:rsidR="00337F53" w:rsidRPr="00337F53" w:rsidRDefault="00337F53">
      <w:pPr>
        <w:numPr>
          <w:ilvl w:val="0"/>
          <w:numId w:val="29"/>
        </w:numPr>
        <w:spacing w:after="0" w:line="240" w:lineRule="auto"/>
        <w:contextualSpacing/>
        <w:jc w:val="both"/>
        <w:rPr>
          <w:rFonts w:ascii="Arial" w:eastAsia="Calibri" w:hAnsi="Arial" w:cs="Arial"/>
          <w:sz w:val="20"/>
          <w:szCs w:val="20"/>
          <w:lang w:eastAsia="en-US"/>
        </w:rPr>
      </w:pPr>
      <w:r w:rsidRPr="00337F53">
        <w:rPr>
          <w:rFonts w:ascii="Arial" w:eastAsia="Calibri" w:hAnsi="Arial" w:cs="Arial"/>
          <w:i/>
          <w:sz w:val="20"/>
          <w:szCs w:val="20"/>
          <w:lang w:eastAsia="en-US"/>
        </w:rPr>
        <w:t>ostali prihodi</w:t>
      </w:r>
      <w:r w:rsidRPr="00337F53">
        <w:rPr>
          <w:rFonts w:ascii="Arial" w:eastAsia="Calibri" w:hAnsi="Arial" w:cs="Arial"/>
          <w:sz w:val="20"/>
          <w:szCs w:val="20"/>
          <w:lang w:eastAsia="en-US"/>
        </w:rPr>
        <w:t xml:space="preserve"> – </w:t>
      </w:r>
      <w:r w:rsidRPr="00337F53">
        <w:rPr>
          <w:rFonts w:ascii="Arial" w:eastAsia="Calibri" w:hAnsi="Arial" w:cs="Arial"/>
          <w:i/>
          <w:sz w:val="20"/>
          <w:szCs w:val="20"/>
          <w:lang w:eastAsia="en-US"/>
        </w:rPr>
        <w:t xml:space="preserve">Prihodi za posebne namjene </w:t>
      </w:r>
      <w:r w:rsidRPr="00337F53">
        <w:rPr>
          <w:rFonts w:ascii="Arial" w:eastAsia="Calibri" w:hAnsi="Arial" w:cs="Arial"/>
          <w:sz w:val="20"/>
          <w:szCs w:val="20"/>
          <w:lang w:eastAsia="en-US"/>
        </w:rPr>
        <w:t>ostvareni su u iznosu 759,43</w:t>
      </w:r>
      <w:r w:rsidR="000631A5">
        <w:rPr>
          <w:rFonts w:ascii="Arial" w:eastAsia="Calibri" w:hAnsi="Arial" w:cs="Arial"/>
          <w:sz w:val="20"/>
          <w:szCs w:val="20"/>
          <w:lang w:eastAsia="en-US"/>
        </w:rPr>
        <w:t xml:space="preserve"> </w:t>
      </w:r>
      <w:r w:rsidRPr="00337F53">
        <w:rPr>
          <w:rFonts w:ascii="Arial" w:eastAsia="Calibri" w:hAnsi="Arial" w:cs="Arial"/>
          <w:sz w:val="20"/>
          <w:szCs w:val="20"/>
          <w:lang w:eastAsia="en-US"/>
        </w:rPr>
        <w:t>€ i njima su materijalni rashodi.</w:t>
      </w:r>
    </w:p>
    <w:p w14:paraId="4647B3F8" w14:textId="77777777" w:rsidR="00337F53" w:rsidRPr="00337F53" w:rsidRDefault="00337F53" w:rsidP="00337F53">
      <w:pPr>
        <w:spacing w:after="0" w:line="240" w:lineRule="auto"/>
        <w:ind w:left="1068"/>
        <w:contextualSpacing/>
        <w:jc w:val="both"/>
        <w:rPr>
          <w:rFonts w:ascii="Arial" w:eastAsia="Calibri" w:hAnsi="Arial" w:cs="Arial"/>
          <w:sz w:val="20"/>
          <w:szCs w:val="20"/>
          <w:lang w:eastAsia="en-US"/>
        </w:rPr>
      </w:pPr>
    </w:p>
    <w:p w14:paraId="121DF190" w14:textId="77777777" w:rsidR="00337F53" w:rsidRPr="00337F53" w:rsidRDefault="00337F53" w:rsidP="00337F53">
      <w:pPr>
        <w:spacing w:after="0" w:line="240" w:lineRule="auto"/>
        <w:ind w:firstLine="708"/>
        <w:jc w:val="both"/>
        <w:rPr>
          <w:rFonts w:ascii="Arial" w:eastAsia="Calibri" w:hAnsi="Arial" w:cs="Arial"/>
          <w:sz w:val="20"/>
          <w:szCs w:val="20"/>
          <w:lang w:eastAsia="en-US"/>
        </w:rPr>
      </w:pPr>
      <w:r w:rsidRPr="00337F53">
        <w:rPr>
          <w:rFonts w:ascii="Arial" w:eastAsia="Calibri" w:hAnsi="Arial" w:cs="Arial"/>
          <w:sz w:val="20"/>
          <w:szCs w:val="20"/>
          <w:u w:val="single"/>
          <w:lang w:eastAsia="en-US"/>
        </w:rPr>
        <w:t>Ostvareni rashodi poslovanja</w:t>
      </w:r>
      <w:r w:rsidRPr="00337F53">
        <w:rPr>
          <w:rFonts w:ascii="Arial" w:eastAsia="Calibri" w:hAnsi="Arial" w:cs="Arial"/>
          <w:sz w:val="20"/>
          <w:szCs w:val="20"/>
          <w:lang w:eastAsia="en-US"/>
        </w:rPr>
        <w:t xml:space="preserve"> sastoje se od:</w:t>
      </w:r>
    </w:p>
    <w:p w14:paraId="21C8CE92" w14:textId="77777777" w:rsidR="00337F53" w:rsidRPr="00337F53" w:rsidRDefault="00337F53" w:rsidP="00337F53">
      <w:pPr>
        <w:spacing w:after="0" w:line="240" w:lineRule="auto"/>
        <w:ind w:firstLine="708"/>
        <w:jc w:val="both"/>
        <w:rPr>
          <w:rFonts w:ascii="Arial" w:eastAsia="Calibri" w:hAnsi="Arial" w:cs="Arial"/>
          <w:sz w:val="20"/>
          <w:szCs w:val="20"/>
          <w:lang w:eastAsia="en-US"/>
        </w:rPr>
      </w:pPr>
    </w:p>
    <w:p w14:paraId="2FA985CA" w14:textId="77777777" w:rsidR="00337F53" w:rsidRPr="00337F53" w:rsidRDefault="00337F53">
      <w:pPr>
        <w:numPr>
          <w:ilvl w:val="0"/>
          <w:numId w:val="27"/>
        </w:numPr>
        <w:spacing w:after="0" w:line="240" w:lineRule="auto"/>
        <w:contextualSpacing/>
        <w:jc w:val="both"/>
        <w:rPr>
          <w:rFonts w:ascii="Arial" w:eastAsia="Calibri" w:hAnsi="Arial" w:cs="Arial"/>
          <w:sz w:val="20"/>
          <w:szCs w:val="20"/>
          <w:lang w:eastAsia="en-US"/>
        </w:rPr>
      </w:pPr>
      <w:r w:rsidRPr="00337F53">
        <w:rPr>
          <w:rFonts w:ascii="Arial" w:eastAsia="Calibri" w:hAnsi="Arial" w:cs="Arial"/>
          <w:sz w:val="20"/>
          <w:szCs w:val="20"/>
          <w:lang w:eastAsia="en-US"/>
        </w:rPr>
        <w:t>rashoda za zaposlene koji su ostvareni u iznosu 1.067.706,41€, a odnose se na rashode za bruto plaće, doprinose na plaću i ostale rashode za zaposlene</w:t>
      </w:r>
    </w:p>
    <w:p w14:paraId="157E6C8E" w14:textId="77777777" w:rsidR="00337F53" w:rsidRPr="00337F53" w:rsidRDefault="00337F53">
      <w:pPr>
        <w:numPr>
          <w:ilvl w:val="0"/>
          <w:numId w:val="27"/>
        </w:numPr>
        <w:spacing w:after="0" w:line="240" w:lineRule="auto"/>
        <w:contextualSpacing/>
        <w:jc w:val="both"/>
        <w:rPr>
          <w:rFonts w:ascii="Arial" w:eastAsia="Calibri" w:hAnsi="Arial" w:cs="Arial"/>
          <w:sz w:val="20"/>
          <w:szCs w:val="20"/>
          <w:lang w:eastAsia="en-US"/>
        </w:rPr>
      </w:pPr>
      <w:r w:rsidRPr="00337F53">
        <w:rPr>
          <w:rFonts w:ascii="Arial" w:eastAsia="Calibri" w:hAnsi="Arial" w:cs="Arial"/>
          <w:sz w:val="20"/>
          <w:szCs w:val="20"/>
          <w:lang w:eastAsia="en-US"/>
        </w:rPr>
        <w:t>materijalne rashode koji su ostvareni u iznosu 369.737,49€, a odnose se na naknade troškova zaposlenima, rashode za materijal i energiju, rashode za usluge i ostale nespomenute rashode poslovanja</w:t>
      </w:r>
    </w:p>
    <w:p w14:paraId="2E1732B8" w14:textId="77777777" w:rsidR="00337F53" w:rsidRPr="00337F53" w:rsidRDefault="00337F53" w:rsidP="00337F53">
      <w:pPr>
        <w:spacing w:after="0" w:line="240" w:lineRule="auto"/>
        <w:ind w:left="708"/>
        <w:jc w:val="both"/>
        <w:rPr>
          <w:rFonts w:ascii="Arial" w:eastAsia="Calibri" w:hAnsi="Arial" w:cs="Arial"/>
          <w:sz w:val="20"/>
          <w:szCs w:val="20"/>
          <w:lang w:eastAsia="en-US"/>
        </w:rPr>
      </w:pPr>
    </w:p>
    <w:p w14:paraId="12B19AC8" w14:textId="133685BC" w:rsidR="00337F53" w:rsidRPr="00337F53" w:rsidRDefault="00337F53" w:rsidP="00337F53">
      <w:pPr>
        <w:spacing w:after="0" w:line="240" w:lineRule="auto"/>
        <w:ind w:left="708"/>
        <w:jc w:val="both"/>
        <w:rPr>
          <w:rFonts w:ascii="Arial" w:eastAsia="Calibri" w:hAnsi="Arial" w:cs="Arial"/>
          <w:sz w:val="20"/>
          <w:szCs w:val="20"/>
          <w:lang w:eastAsia="en-US"/>
        </w:rPr>
      </w:pPr>
      <w:r w:rsidRPr="00337F53">
        <w:rPr>
          <w:rFonts w:ascii="Arial" w:eastAsia="Calibri" w:hAnsi="Arial" w:cs="Arial"/>
          <w:sz w:val="20"/>
          <w:szCs w:val="20"/>
          <w:u w:val="single"/>
          <w:lang w:eastAsia="en-US"/>
        </w:rPr>
        <w:t xml:space="preserve">Ostvareni rashodi za nabavu nefinancijske imovine </w:t>
      </w:r>
      <w:r w:rsidRPr="00337F53">
        <w:rPr>
          <w:rFonts w:ascii="Arial" w:eastAsia="Calibri" w:hAnsi="Arial" w:cs="Arial"/>
          <w:sz w:val="20"/>
          <w:szCs w:val="20"/>
          <w:lang w:eastAsia="en-US"/>
        </w:rPr>
        <w:t>ostvareni su u iznosu 3.312,32</w:t>
      </w:r>
      <w:r>
        <w:rPr>
          <w:rFonts w:ascii="Arial" w:eastAsia="Calibri" w:hAnsi="Arial" w:cs="Arial"/>
          <w:sz w:val="20"/>
          <w:szCs w:val="20"/>
          <w:lang w:eastAsia="en-US"/>
        </w:rPr>
        <w:t xml:space="preserve"> </w:t>
      </w:r>
      <w:r w:rsidRPr="00337F53">
        <w:rPr>
          <w:rFonts w:ascii="Arial" w:eastAsia="Calibri" w:hAnsi="Arial" w:cs="Arial"/>
          <w:sz w:val="20"/>
          <w:szCs w:val="20"/>
          <w:lang w:eastAsia="en-US"/>
        </w:rPr>
        <w:t>€, a odnose se na rashode ostvarene za nabavu novih televizora i hladnjaka za sobe korisnika te klima uređaja za elektro-sobu.</w:t>
      </w:r>
    </w:p>
    <w:p w14:paraId="17525E43" w14:textId="77777777" w:rsidR="007517F5" w:rsidRPr="003A2F86" w:rsidRDefault="007517F5" w:rsidP="00AD5D4E">
      <w:pPr>
        <w:spacing w:after="0" w:line="240" w:lineRule="auto"/>
        <w:ind w:firstLine="708"/>
        <w:jc w:val="both"/>
        <w:rPr>
          <w:rFonts w:ascii="Arial" w:eastAsia="Calibri" w:hAnsi="Arial" w:cs="Arial"/>
          <w:sz w:val="20"/>
          <w:szCs w:val="20"/>
          <w:lang w:eastAsia="en-US"/>
        </w:rPr>
      </w:pPr>
    </w:p>
    <w:p w14:paraId="546FABE2" w14:textId="29153C03" w:rsidR="00AD5D4E" w:rsidRPr="003A2F86" w:rsidRDefault="00AD5D4E" w:rsidP="00AD5D4E">
      <w:pPr>
        <w:spacing w:after="0" w:line="240" w:lineRule="auto"/>
        <w:ind w:firstLine="709"/>
        <w:jc w:val="both"/>
        <w:rPr>
          <w:rFonts w:ascii="Arial" w:eastAsia="Calibri" w:hAnsi="Arial" w:cs="Arial"/>
          <w:sz w:val="20"/>
          <w:szCs w:val="20"/>
        </w:rPr>
      </w:pPr>
      <w:r w:rsidRPr="003A2F86">
        <w:rPr>
          <w:rFonts w:ascii="Arial" w:eastAsia="Calibri" w:hAnsi="Arial" w:cs="Arial"/>
          <w:sz w:val="20"/>
          <w:szCs w:val="20"/>
        </w:rPr>
        <w:t xml:space="preserve">Ustanova Dom za starije i nemoćne osobe Konavle, kao proračunski korisnik Općine, prema predanim financijskim izvještajima za siječanj – </w:t>
      </w:r>
      <w:r w:rsidR="00337F53">
        <w:rPr>
          <w:rFonts w:ascii="Arial" w:eastAsia="Calibri" w:hAnsi="Arial" w:cs="Arial"/>
          <w:sz w:val="20"/>
          <w:szCs w:val="20"/>
        </w:rPr>
        <w:t>prosinac</w:t>
      </w:r>
      <w:r w:rsidRPr="003A2F86">
        <w:rPr>
          <w:rFonts w:ascii="Arial" w:eastAsia="Calibri" w:hAnsi="Arial" w:cs="Arial"/>
          <w:sz w:val="20"/>
          <w:szCs w:val="20"/>
        </w:rPr>
        <w:t xml:space="preserve"> 202</w:t>
      </w:r>
      <w:r w:rsidR="00E95106">
        <w:rPr>
          <w:rFonts w:ascii="Arial" w:eastAsia="Calibri" w:hAnsi="Arial" w:cs="Arial"/>
          <w:sz w:val="20"/>
          <w:szCs w:val="20"/>
        </w:rPr>
        <w:t>5</w:t>
      </w:r>
      <w:r w:rsidRPr="003A2F86">
        <w:rPr>
          <w:rFonts w:ascii="Arial" w:eastAsia="Calibri" w:hAnsi="Arial" w:cs="Arial"/>
          <w:sz w:val="20"/>
          <w:szCs w:val="20"/>
        </w:rPr>
        <w:t xml:space="preserve">. izvršila je rashode u ukupnom iznosu </w:t>
      </w:r>
      <w:r w:rsidR="00337F53">
        <w:rPr>
          <w:rFonts w:ascii="Arial" w:eastAsia="Calibri" w:hAnsi="Arial" w:cs="Arial"/>
          <w:sz w:val="20"/>
          <w:szCs w:val="20"/>
        </w:rPr>
        <w:t>1.440.757,88</w:t>
      </w:r>
      <w:r w:rsidRPr="003A2F86">
        <w:rPr>
          <w:rFonts w:ascii="Arial" w:eastAsia="Calibri" w:hAnsi="Arial" w:cs="Arial"/>
          <w:sz w:val="20"/>
          <w:szCs w:val="20"/>
        </w:rPr>
        <w:t xml:space="preserve"> €, a prihode u iznosu </w:t>
      </w:r>
      <w:r w:rsidR="00337F53">
        <w:rPr>
          <w:rFonts w:ascii="Arial" w:eastAsia="Calibri" w:hAnsi="Arial" w:cs="Arial"/>
          <w:sz w:val="20"/>
          <w:szCs w:val="20"/>
        </w:rPr>
        <w:t>1.411.308,64</w:t>
      </w:r>
      <w:r w:rsidR="00DD32A5">
        <w:rPr>
          <w:rFonts w:ascii="Arial" w:eastAsia="Calibri" w:hAnsi="Arial" w:cs="Arial"/>
          <w:sz w:val="20"/>
          <w:szCs w:val="20"/>
        </w:rPr>
        <w:t xml:space="preserve"> </w:t>
      </w:r>
      <w:r w:rsidRPr="003A2F86">
        <w:rPr>
          <w:rFonts w:ascii="Arial" w:eastAsia="Calibri" w:hAnsi="Arial" w:cs="Arial"/>
          <w:sz w:val="20"/>
          <w:szCs w:val="20"/>
        </w:rPr>
        <w:t xml:space="preserve">€. Tekući </w:t>
      </w:r>
      <w:r w:rsidR="00337F53">
        <w:rPr>
          <w:rFonts w:ascii="Arial" w:eastAsia="Calibri" w:hAnsi="Arial" w:cs="Arial"/>
          <w:sz w:val="20"/>
          <w:szCs w:val="20"/>
        </w:rPr>
        <w:t>manjak</w:t>
      </w:r>
      <w:r w:rsidRPr="003A2F86">
        <w:rPr>
          <w:rFonts w:ascii="Arial" w:eastAsia="Calibri" w:hAnsi="Arial" w:cs="Arial"/>
          <w:sz w:val="20"/>
          <w:szCs w:val="20"/>
        </w:rPr>
        <w:t xml:space="preserve"> prihoda iznosi </w:t>
      </w:r>
      <w:r w:rsidR="00337F53">
        <w:rPr>
          <w:rFonts w:ascii="Arial" w:eastAsia="Calibri" w:hAnsi="Arial" w:cs="Arial"/>
          <w:sz w:val="20"/>
          <w:szCs w:val="20"/>
        </w:rPr>
        <w:t>29.449,24</w:t>
      </w:r>
      <w:r w:rsidRPr="003A2F86">
        <w:rPr>
          <w:rFonts w:ascii="Arial" w:eastAsia="Calibri" w:hAnsi="Arial" w:cs="Arial"/>
          <w:sz w:val="20"/>
          <w:szCs w:val="20"/>
        </w:rPr>
        <w:t xml:space="preserve"> €, preneseni </w:t>
      </w:r>
      <w:r w:rsidR="00A621C7">
        <w:rPr>
          <w:rFonts w:ascii="Arial" w:eastAsia="Calibri" w:hAnsi="Arial" w:cs="Arial"/>
          <w:sz w:val="20"/>
          <w:szCs w:val="20"/>
        </w:rPr>
        <w:t>manjak</w:t>
      </w:r>
      <w:r w:rsidRPr="003A2F86">
        <w:rPr>
          <w:rFonts w:ascii="Arial" w:eastAsia="Calibri" w:hAnsi="Arial" w:cs="Arial"/>
          <w:sz w:val="20"/>
          <w:szCs w:val="20"/>
        </w:rPr>
        <w:t xml:space="preserve"> prihoda iznosi </w:t>
      </w:r>
      <w:r w:rsidR="00A621C7">
        <w:rPr>
          <w:rFonts w:ascii="Arial" w:eastAsia="Calibri" w:hAnsi="Arial" w:cs="Arial"/>
          <w:sz w:val="20"/>
          <w:szCs w:val="20"/>
        </w:rPr>
        <w:t>-15.393,34</w:t>
      </w:r>
      <w:r w:rsidR="00A25A59" w:rsidRPr="003A2F86">
        <w:rPr>
          <w:rFonts w:ascii="Arial" w:eastAsia="Calibri" w:hAnsi="Arial" w:cs="Arial"/>
          <w:sz w:val="20"/>
          <w:szCs w:val="20"/>
        </w:rPr>
        <w:t xml:space="preserve"> </w:t>
      </w:r>
      <w:r w:rsidRPr="003A2F86">
        <w:rPr>
          <w:rFonts w:ascii="Arial" w:eastAsia="Calibri" w:hAnsi="Arial" w:cs="Arial"/>
          <w:sz w:val="20"/>
          <w:szCs w:val="20"/>
        </w:rPr>
        <w:t xml:space="preserve">€, te </w:t>
      </w:r>
      <w:r w:rsidR="00337F53">
        <w:rPr>
          <w:rFonts w:ascii="Arial" w:eastAsia="Calibri" w:hAnsi="Arial" w:cs="Arial"/>
          <w:sz w:val="20"/>
          <w:szCs w:val="20"/>
        </w:rPr>
        <w:t>manjak</w:t>
      </w:r>
      <w:r w:rsidRPr="003A2F86">
        <w:rPr>
          <w:rFonts w:ascii="Arial" w:eastAsia="Calibri" w:hAnsi="Arial" w:cs="Arial"/>
          <w:sz w:val="20"/>
          <w:szCs w:val="20"/>
        </w:rPr>
        <w:t xml:space="preserve"> prihoda </w:t>
      </w:r>
      <w:r w:rsidR="00337F53">
        <w:rPr>
          <w:rFonts w:ascii="Arial" w:eastAsia="Calibri" w:hAnsi="Arial" w:cs="Arial"/>
          <w:sz w:val="20"/>
          <w:szCs w:val="20"/>
        </w:rPr>
        <w:t xml:space="preserve">koji se prenosi u sljedeće razdoblje </w:t>
      </w:r>
      <w:r w:rsidRPr="003A2F86">
        <w:rPr>
          <w:rFonts w:ascii="Arial" w:eastAsia="Calibri" w:hAnsi="Arial" w:cs="Arial"/>
          <w:sz w:val="20"/>
          <w:szCs w:val="20"/>
        </w:rPr>
        <w:t xml:space="preserve">iznosi </w:t>
      </w:r>
      <w:r w:rsidR="00337F53">
        <w:rPr>
          <w:rFonts w:ascii="Arial" w:eastAsia="Calibri" w:hAnsi="Arial" w:cs="Arial"/>
          <w:sz w:val="20"/>
          <w:szCs w:val="20"/>
        </w:rPr>
        <w:t>44.842,58</w:t>
      </w:r>
      <w:r w:rsidRPr="003A2F86">
        <w:rPr>
          <w:rFonts w:ascii="Arial" w:eastAsia="Calibri" w:hAnsi="Arial" w:cs="Arial"/>
          <w:sz w:val="20"/>
          <w:szCs w:val="20"/>
        </w:rPr>
        <w:t xml:space="preserve"> €. </w:t>
      </w:r>
    </w:p>
    <w:p w14:paraId="4E12A401" w14:textId="77777777" w:rsidR="00F65E36" w:rsidRPr="003A2F86" w:rsidRDefault="00F65E36" w:rsidP="00AD5D4E">
      <w:pPr>
        <w:spacing w:after="0" w:line="240" w:lineRule="auto"/>
        <w:rPr>
          <w:rFonts w:ascii="Arial" w:eastAsia="Calibri" w:hAnsi="Arial" w:cs="Arial"/>
          <w:sz w:val="20"/>
          <w:szCs w:val="20"/>
          <w:lang w:eastAsia="en-US"/>
        </w:rPr>
      </w:pPr>
    </w:p>
    <w:p w14:paraId="143A9766" w14:textId="383F53D5" w:rsidR="008079A8" w:rsidRPr="003A2F86" w:rsidRDefault="008079A8" w:rsidP="00AD5D4E">
      <w:pPr>
        <w:spacing w:after="0" w:line="240" w:lineRule="auto"/>
        <w:rPr>
          <w:rFonts w:ascii="Arial" w:eastAsia="Calibri" w:hAnsi="Arial" w:cs="Arial"/>
          <w:sz w:val="20"/>
          <w:szCs w:val="20"/>
          <w:lang w:eastAsia="en-US"/>
        </w:rPr>
      </w:pPr>
      <w:r w:rsidRPr="003A2F86">
        <w:rPr>
          <w:rFonts w:ascii="Arial" w:eastAsia="Calibri" w:hAnsi="Arial" w:cs="Arial"/>
          <w:sz w:val="20"/>
          <w:szCs w:val="20"/>
          <w:lang w:eastAsia="en-US"/>
        </w:rPr>
        <w:t xml:space="preserve">Dom se nalazi u riznici Općine Konavle i nema vlastiti </w:t>
      </w:r>
      <w:r w:rsidR="00AD5D4E" w:rsidRPr="003A2F86">
        <w:rPr>
          <w:rFonts w:ascii="Arial" w:eastAsia="Calibri" w:hAnsi="Arial" w:cs="Arial"/>
          <w:sz w:val="20"/>
          <w:szCs w:val="20"/>
          <w:lang w:eastAsia="en-US"/>
        </w:rPr>
        <w:t>žiro</w:t>
      </w:r>
      <w:r w:rsidRPr="003A2F86">
        <w:rPr>
          <w:rFonts w:ascii="Arial" w:eastAsia="Calibri" w:hAnsi="Arial" w:cs="Arial"/>
          <w:sz w:val="20"/>
          <w:szCs w:val="20"/>
          <w:lang w:eastAsia="en-US"/>
        </w:rPr>
        <w:t xml:space="preserve"> račun</w:t>
      </w:r>
      <w:r w:rsidR="00AD5D4E" w:rsidRPr="003A2F86">
        <w:rPr>
          <w:rFonts w:ascii="Arial" w:eastAsia="Calibri" w:hAnsi="Arial" w:cs="Arial"/>
          <w:sz w:val="20"/>
          <w:szCs w:val="20"/>
          <w:lang w:eastAsia="en-US"/>
        </w:rPr>
        <w:t>.</w:t>
      </w:r>
    </w:p>
    <w:p w14:paraId="49E6D2E9" w14:textId="77777777" w:rsidR="008079A8" w:rsidRPr="003A2F86" w:rsidRDefault="008079A8" w:rsidP="00AD5D4E">
      <w:pPr>
        <w:spacing w:after="0" w:line="240" w:lineRule="auto"/>
        <w:jc w:val="both"/>
        <w:rPr>
          <w:rFonts w:ascii="Arial" w:eastAsia="Calibri" w:hAnsi="Arial" w:cs="Arial"/>
          <w:b/>
          <w:sz w:val="20"/>
          <w:szCs w:val="20"/>
          <w:lang w:eastAsia="en-US"/>
        </w:rPr>
      </w:pPr>
    </w:p>
    <w:p w14:paraId="7EB997A9" w14:textId="1781C40E" w:rsidR="00E86585" w:rsidRPr="003A2F86" w:rsidRDefault="00E86585" w:rsidP="00E86585">
      <w:pPr>
        <w:spacing w:after="0" w:line="240" w:lineRule="auto"/>
        <w:ind w:firstLine="709"/>
        <w:rPr>
          <w:rFonts w:ascii="Arial" w:eastAsia="Calibri" w:hAnsi="Arial" w:cs="Arial"/>
          <w:sz w:val="20"/>
          <w:szCs w:val="20"/>
        </w:rPr>
      </w:pPr>
      <w:bookmarkStart w:id="655" w:name="_Hlk144390738"/>
      <w:r w:rsidRPr="003A2F86">
        <w:rPr>
          <w:rFonts w:ascii="Arial" w:eastAsia="Calibri" w:hAnsi="Arial" w:cs="Arial"/>
          <w:sz w:val="20"/>
          <w:szCs w:val="20"/>
        </w:rPr>
        <w:t>Prosječan broj zaposlenih kod korisnika na osnovi stanja na početku razdoblja je iznosio 42, a koncem razdoblja iznosi 4</w:t>
      </w:r>
      <w:r w:rsidR="00A621C7">
        <w:rPr>
          <w:rFonts w:ascii="Arial" w:eastAsia="Calibri" w:hAnsi="Arial" w:cs="Arial"/>
          <w:sz w:val="20"/>
          <w:szCs w:val="20"/>
        </w:rPr>
        <w:t>1</w:t>
      </w:r>
      <w:r w:rsidRPr="003A2F86">
        <w:rPr>
          <w:rFonts w:ascii="Arial" w:eastAsia="Calibri" w:hAnsi="Arial" w:cs="Arial"/>
          <w:sz w:val="20"/>
          <w:szCs w:val="20"/>
        </w:rPr>
        <w:t>.</w:t>
      </w:r>
    </w:p>
    <w:p w14:paraId="30FC1DE4" w14:textId="1A306E40" w:rsidR="00E86585" w:rsidRPr="003A2F86" w:rsidRDefault="00E86585" w:rsidP="00E86585">
      <w:pPr>
        <w:spacing w:after="0" w:line="240" w:lineRule="auto"/>
        <w:ind w:firstLine="709"/>
        <w:rPr>
          <w:rFonts w:ascii="Arial" w:eastAsia="Calibri" w:hAnsi="Arial" w:cs="Arial"/>
          <w:sz w:val="20"/>
          <w:szCs w:val="20"/>
        </w:rPr>
      </w:pPr>
      <w:r w:rsidRPr="003A2F86">
        <w:rPr>
          <w:rFonts w:ascii="Arial" w:eastAsia="Calibri" w:hAnsi="Arial" w:cs="Arial"/>
          <w:sz w:val="20"/>
          <w:szCs w:val="20"/>
        </w:rPr>
        <w:t xml:space="preserve">Prosječan broj zaposlenih na osnovi sati rada u prethodnom razdoblju je iznosio </w:t>
      </w:r>
      <w:r w:rsidR="00A25A59" w:rsidRPr="003A2F86">
        <w:rPr>
          <w:rFonts w:ascii="Arial" w:eastAsia="Calibri" w:hAnsi="Arial" w:cs="Arial"/>
          <w:sz w:val="20"/>
          <w:szCs w:val="20"/>
        </w:rPr>
        <w:t>3</w:t>
      </w:r>
      <w:r w:rsidR="00A621C7">
        <w:rPr>
          <w:rFonts w:ascii="Arial" w:eastAsia="Calibri" w:hAnsi="Arial" w:cs="Arial"/>
          <w:sz w:val="20"/>
          <w:szCs w:val="20"/>
        </w:rPr>
        <w:t>5</w:t>
      </w:r>
      <w:r w:rsidRPr="003A2F86">
        <w:rPr>
          <w:rFonts w:ascii="Arial" w:eastAsia="Calibri" w:hAnsi="Arial" w:cs="Arial"/>
          <w:sz w:val="20"/>
          <w:szCs w:val="20"/>
        </w:rPr>
        <w:t>, a koncem</w:t>
      </w:r>
      <w:r w:rsidR="00A25A59" w:rsidRPr="003A2F86">
        <w:rPr>
          <w:rFonts w:ascii="Arial" w:eastAsia="Calibri" w:hAnsi="Arial" w:cs="Arial"/>
          <w:sz w:val="20"/>
          <w:szCs w:val="20"/>
        </w:rPr>
        <w:t xml:space="preserve"> </w:t>
      </w:r>
      <w:r w:rsidRPr="003A2F86">
        <w:rPr>
          <w:rFonts w:ascii="Arial" w:eastAsia="Calibri" w:hAnsi="Arial" w:cs="Arial"/>
          <w:sz w:val="20"/>
          <w:szCs w:val="20"/>
        </w:rPr>
        <w:t>202</w:t>
      </w:r>
      <w:r w:rsidR="00A621C7">
        <w:rPr>
          <w:rFonts w:ascii="Arial" w:eastAsia="Calibri" w:hAnsi="Arial" w:cs="Arial"/>
          <w:sz w:val="20"/>
          <w:szCs w:val="20"/>
        </w:rPr>
        <w:t>5</w:t>
      </w:r>
      <w:r w:rsidRPr="003A2F86">
        <w:rPr>
          <w:rFonts w:ascii="Arial" w:eastAsia="Calibri" w:hAnsi="Arial" w:cs="Arial"/>
          <w:sz w:val="20"/>
          <w:szCs w:val="20"/>
        </w:rPr>
        <w:t>. iznosi 3</w:t>
      </w:r>
      <w:r w:rsidR="00337F53">
        <w:rPr>
          <w:rFonts w:ascii="Arial" w:eastAsia="Calibri" w:hAnsi="Arial" w:cs="Arial"/>
          <w:sz w:val="20"/>
          <w:szCs w:val="20"/>
        </w:rPr>
        <w:t>6</w:t>
      </w:r>
      <w:r w:rsidRPr="003A2F86">
        <w:rPr>
          <w:rFonts w:ascii="Arial" w:eastAsia="Calibri" w:hAnsi="Arial" w:cs="Arial"/>
          <w:sz w:val="20"/>
          <w:szCs w:val="20"/>
        </w:rPr>
        <w:t>.</w:t>
      </w:r>
    </w:p>
    <w:p w14:paraId="53137218" w14:textId="77777777" w:rsidR="00E86585" w:rsidRPr="003A2F86" w:rsidRDefault="00E86585" w:rsidP="00E86585">
      <w:pPr>
        <w:spacing w:after="0" w:line="240" w:lineRule="auto"/>
        <w:ind w:firstLine="709"/>
        <w:rPr>
          <w:rFonts w:ascii="Arial" w:eastAsia="Calibri" w:hAnsi="Arial" w:cs="Arial"/>
          <w:sz w:val="20"/>
          <w:szCs w:val="20"/>
        </w:rPr>
      </w:pPr>
    </w:p>
    <w:p w14:paraId="2C0CDA63" w14:textId="438E3A01" w:rsidR="00E86585" w:rsidRPr="003A2F86" w:rsidRDefault="00E86585" w:rsidP="00E86585">
      <w:pPr>
        <w:spacing w:after="0" w:line="240" w:lineRule="auto"/>
        <w:ind w:firstLine="709"/>
        <w:rPr>
          <w:rFonts w:ascii="Arial" w:eastAsia="Calibri" w:hAnsi="Arial" w:cs="Arial"/>
          <w:sz w:val="20"/>
          <w:szCs w:val="20"/>
        </w:rPr>
      </w:pPr>
      <w:r w:rsidRPr="003A2F86">
        <w:rPr>
          <w:rFonts w:ascii="Arial" w:eastAsia="Calibri" w:hAnsi="Arial" w:cs="Arial"/>
          <w:sz w:val="20"/>
          <w:szCs w:val="20"/>
        </w:rPr>
        <w:t xml:space="preserve">Vlastita sredstva na dan </w:t>
      </w:r>
      <w:r w:rsidR="00DB1C76">
        <w:rPr>
          <w:rFonts w:ascii="Arial" w:eastAsia="Calibri" w:hAnsi="Arial" w:cs="Arial"/>
          <w:sz w:val="20"/>
          <w:szCs w:val="20"/>
        </w:rPr>
        <w:t>31.12.2024</w:t>
      </w:r>
      <w:r w:rsidRPr="003A2F86">
        <w:rPr>
          <w:rFonts w:ascii="Arial" w:eastAsia="Calibri" w:hAnsi="Arial" w:cs="Arial"/>
          <w:sz w:val="20"/>
          <w:szCs w:val="20"/>
        </w:rPr>
        <w:t>. (iskazano na računu računskog plana 16721 – potraživanja za prihode proračunskih korisnika) na žiro računu Općine iznos</w:t>
      </w:r>
      <w:r w:rsidR="00A25A59" w:rsidRPr="003A2F86">
        <w:rPr>
          <w:rFonts w:ascii="Arial" w:eastAsia="Calibri" w:hAnsi="Arial" w:cs="Arial"/>
          <w:sz w:val="20"/>
          <w:szCs w:val="20"/>
        </w:rPr>
        <w:t>io je</w:t>
      </w:r>
      <w:r w:rsidRPr="003A2F86">
        <w:rPr>
          <w:rFonts w:ascii="Arial" w:eastAsia="Calibri" w:hAnsi="Arial" w:cs="Arial"/>
          <w:sz w:val="20"/>
          <w:szCs w:val="20"/>
        </w:rPr>
        <w:t xml:space="preserve"> </w:t>
      </w:r>
      <w:r w:rsidR="00DB1C76" w:rsidRPr="00DB1C76">
        <w:rPr>
          <w:rFonts w:ascii="Arial" w:eastAsia="Calibri" w:hAnsi="Arial" w:cs="Arial"/>
          <w:sz w:val="20"/>
          <w:szCs w:val="20"/>
        </w:rPr>
        <w:t xml:space="preserve">84.899,83 </w:t>
      </w:r>
      <w:r w:rsidRPr="003A2F86">
        <w:rPr>
          <w:rFonts w:ascii="Arial" w:eastAsia="Calibri" w:hAnsi="Arial" w:cs="Arial"/>
          <w:sz w:val="20"/>
          <w:szCs w:val="20"/>
        </w:rPr>
        <w:t>€</w:t>
      </w:r>
      <w:r w:rsidR="00A25A59" w:rsidRPr="003A2F86">
        <w:rPr>
          <w:rFonts w:ascii="Arial" w:eastAsia="Calibri" w:hAnsi="Arial" w:cs="Arial"/>
          <w:sz w:val="20"/>
          <w:szCs w:val="20"/>
        </w:rPr>
        <w:t xml:space="preserve">, a na dan </w:t>
      </w:r>
      <w:r w:rsidR="00337F53">
        <w:rPr>
          <w:rFonts w:ascii="Arial" w:eastAsia="Calibri" w:hAnsi="Arial" w:cs="Arial"/>
          <w:sz w:val="20"/>
          <w:szCs w:val="20"/>
        </w:rPr>
        <w:t>31.12.</w:t>
      </w:r>
      <w:r w:rsidR="00E40C01">
        <w:rPr>
          <w:rFonts w:ascii="Arial" w:eastAsia="Calibri" w:hAnsi="Arial" w:cs="Arial"/>
          <w:sz w:val="20"/>
          <w:szCs w:val="20"/>
        </w:rPr>
        <w:t>2025</w:t>
      </w:r>
      <w:r w:rsidR="00A25A59" w:rsidRPr="003A2F86">
        <w:rPr>
          <w:rFonts w:ascii="Arial" w:eastAsia="Calibri" w:hAnsi="Arial" w:cs="Arial"/>
          <w:sz w:val="20"/>
          <w:szCs w:val="20"/>
        </w:rPr>
        <w:t xml:space="preserve">. godine iznosi </w:t>
      </w:r>
      <w:r w:rsidR="00337F53">
        <w:rPr>
          <w:rFonts w:ascii="Arial" w:eastAsia="Calibri" w:hAnsi="Arial" w:cs="Arial"/>
          <w:sz w:val="20"/>
          <w:szCs w:val="20"/>
        </w:rPr>
        <w:t>60.818,66</w:t>
      </w:r>
      <w:r w:rsidR="00DB1C76" w:rsidRPr="003A2F86">
        <w:rPr>
          <w:rFonts w:ascii="Arial" w:eastAsia="Calibri" w:hAnsi="Arial" w:cs="Arial"/>
          <w:sz w:val="20"/>
          <w:szCs w:val="20"/>
        </w:rPr>
        <w:t xml:space="preserve"> </w:t>
      </w:r>
      <w:r w:rsidR="00A25A59" w:rsidRPr="003A2F86">
        <w:rPr>
          <w:rFonts w:ascii="Arial" w:eastAsia="Calibri" w:hAnsi="Arial" w:cs="Arial"/>
          <w:sz w:val="20"/>
          <w:szCs w:val="20"/>
        </w:rPr>
        <w:t>€</w:t>
      </w:r>
      <w:r w:rsidRPr="003A2F86">
        <w:rPr>
          <w:rFonts w:ascii="Arial" w:eastAsia="Calibri" w:hAnsi="Arial" w:cs="Arial"/>
          <w:sz w:val="20"/>
          <w:szCs w:val="20"/>
        </w:rPr>
        <w:t xml:space="preserve">. Sredstvima proračunski korisnik raspolaže prema vlastitom financijskom planu uz potrebu najave Upravnom odjelu za proračun i financije, te otvaranje potrebnih aktivnosti i pozicija u proračunu. </w:t>
      </w:r>
    </w:p>
    <w:p w14:paraId="0422CF60" w14:textId="77777777" w:rsidR="00E86585" w:rsidRPr="003A2F86" w:rsidRDefault="00E86585" w:rsidP="00E86585">
      <w:pPr>
        <w:spacing w:after="0" w:line="240" w:lineRule="auto"/>
        <w:ind w:firstLine="709"/>
        <w:rPr>
          <w:rFonts w:ascii="Arial" w:eastAsia="Calibri" w:hAnsi="Arial" w:cs="Arial"/>
          <w:sz w:val="20"/>
          <w:szCs w:val="20"/>
        </w:rPr>
      </w:pPr>
    </w:p>
    <w:p w14:paraId="467A4D52" w14:textId="6A6DFABE" w:rsidR="00E86585" w:rsidRPr="003A2F86" w:rsidRDefault="00E86585" w:rsidP="00E86585">
      <w:pPr>
        <w:spacing w:after="0" w:line="240" w:lineRule="auto"/>
        <w:ind w:firstLine="709"/>
        <w:jc w:val="both"/>
        <w:rPr>
          <w:rFonts w:ascii="Arial" w:eastAsia="Calibri" w:hAnsi="Arial" w:cs="Arial"/>
          <w:sz w:val="20"/>
          <w:szCs w:val="20"/>
        </w:rPr>
      </w:pPr>
      <w:r w:rsidRPr="003A2F86">
        <w:rPr>
          <w:rFonts w:ascii="Arial" w:eastAsia="Calibri" w:hAnsi="Arial" w:cs="Arial"/>
          <w:sz w:val="20"/>
          <w:szCs w:val="20"/>
        </w:rPr>
        <w:t>Iz proračuna Općine Konavle ostvareni su prihodi od sufinanciranja cijene osnovnih usluga smještaja Domu za starije i nemoćne (aktivnost u proračunu Općine A204125), a sukladno usvojenoj Odluci o cijenama usluga Doma za starije i nemoćne osobe (Službeni glasnik Općine Konavle 3/2015), tj. članak 3. spomenute Odluke. Navedenim člankom se odobrava stanovnicima s područja općine Konavle s prebivalištem u neprekidnom trajanju od najmanje trideset godina prije podnošenja zahtjeva za prijem u Dom da ostvaruju pravo na sufinanciranje cijene osnovnih usluga smještaja iz proračuna Općine Konavle u iznosu od 20% od osnovne cijene iz članka 2. iste odluke. Općinsko vijeće je u veljači 2020. (Službeni glasnik Općine Konavle broj 1/2020) donijelo zaključak o davanju suglasnosti na prijedlog Odluke o cijenama usluga u Domu za starije i nemoćne osobe. Navedenom suglasnosti odobreno je povećanje cijena od 1.5.2020. Međutim, povećanje cijena se nije provodilo tijekom 2020. radi utjecaja pandemije bolesti COVID 19. U Službenom glasniku Općine Konavle broj 11/2020 objavljena je odluka ravnateljice Doma o izmjenama cijena koje se primjenjuju od 1.1.2021.</w:t>
      </w:r>
      <w:r w:rsidR="000E2ACE" w:rsidRPr="003A2F86">
        <w:rPr>
          <w:rFonts w:ascii="Arial" w:eastAsia="Calibri" w:hAnsi="Arial" w:cs="Arial"/>
          <w:sz w:val="20"/>
          <w:szCs w:val="20"/>
        </w:rPr>
        <w:t xml:space="preserve"> U službenom glasniku Općine Konavle broj 4/24 objavljen je novi cjeniku usluga u Domu.</w:t>
      </w:r>
    </w:p>
    <w:p w14:paraId="5CF52C83" w14:textId="77777777" w:rsidR="00E86585" w:rsidRPr="003A2F86" w:rsidRDefault="00E86585" w:rsidP="00E86585">
      <w:pPr>
        <w:spacing w:after="0" w:line="240" w:lineRule="auto"/>
        <w:ind w:firstLine="709"/>
        <w:jc w:val="both"/>
        <w:rPr>
          <w:rFonts w:ascii="Arial" w:eastAsia="Calibri" w:hAnsi="Arial" w:cs="Arial"/>
          <w:sz w:val="20"/>
          <w:szCs w:val="20"/>
        </w:rPr>
      </w:pPr>
    </w:p>
    <w:p w14:paraId="43AC30E2" w14:textId="1B6917F9" w:rsidR="00E86585" w:rsidRPr="003A2F86" w:rsidRDefault="00E86585" w:rsidP="00AD5D4E">
      <w:pPr>
        <w:spacing w:after="0" w:line="240" w:lineRule="auto"/>
        <w:ind w:firstLine="709"/>
        <w:jc w:val="both"/>
        <w:rPr>
          <w:rFonts w:ascii="Arial" w:eastAsia="Calibri" w:hAnsi="Arial" w:cs="Arial"/>
          <w:sz w:val="20"/>
          <w:szCs w:val="20"/>
        </w:rPr>
      </w:pPr>
      <w:r w:rsidRPr="003A2F86">
        <w:rPr>
          <w:rFonts w:ascii="Arial" w:eastAsia="Calibri" w:hAnsi="Arial" w:cs="Arial"/>
          <w:sz w:val="20"/>
          <w:szCs w:val="20"/>
        </w:rPr>
        <w:t xml:space="preserve">Stanje nenaplaćenih potraživanja na dan </w:t>
      </w:r>
      <w:r w:rsidR="00AD5D4E" w:rsidRPr="003A2F86">
        <w:rPr>
          <w:rFonts w:ascii="Arial" w:eastAsia="Calibri" w:hAnsi="Arial" w:cs="Arial"/>
          <w:sz w:val="20"/>
          <w:szCs w:val="20"/>
        </w:rPr>
        <w:t>31.12</w:t>
      </w:r>
      <w:r w:rsidRPr="003A2F86">
        <w:rPr>
          <w:rFonts w:ascii="Arial" w:eastAsia="Calibri" w:hAnsi="Arial" w:cs="Arial"/>
          <w:sz w:val="20"/>
          <w:szCs w:val="20"/>
        </w:rPr>
        <w:t>.202</w:t>
      </w:r>
      <w:r w:rsidR="00D91261">
        <w:rPr>
          <w:rFonts w:ascii="Arial" w:eastAsia="Calibri" w:hAnsi="Arial" w:cs="Arial"/>
          <w:sz w:val="20"/>
          <w:szCs w:val="20"/>
        </w:rPr>
        <w:t>4</w:t>
      </w:r>
      <w:r w:rsidR="007517F5">
        <w:rPr>
          <w:rFonts w:ascii="Arial" w:eastAsia="Calibri" w:hAnsi="Arial" w:cs="Arial"/>
          <w:sz w:val="20"/>
          <w:szCs w:val="20"/>
        </w:rPr>
        <w:t xml:space="preserve">. </w:t>
      </w:r>
      <w:r w:rsidRPr="003A2F86">
        <w:rPr>
          <w:rFonts w:ascii="Arial" w:eastAsia="Calibri" w:hAnsi="Arial" w:cs="Arial"/>
          <w:sz w:val="20"/>
          <w:szCs w:val="20"/>
        </w:rPr>
        <w:t>godine iznosi</w:t>
      </w:r>
      <w:r w:rsidR="000E2ACE" w:rsidRPr="003A2F86">
        <w:rPr>
          <w:rFonts w:ascii="Arial" w:eastAsia="Calibri" w:hAnsi="Arial" w:cs="Arial"/>
          <w:sz w:val="20"/>
          <w:szCs w:val="20"/>
        </w:rPr>
        <w:t>lo je</w:t>
      </w:r>
      <w:r w:rsidRPr="003A2F86">
        <w:rPr>
          <w:rFonts w:ascii="Arial" w:eastAsia="Calibri" w:hAnsi="Arial" w:cs="Arial"/>
          <w:sz w:val="20"/>
          <w:szCs w:val="20"/>
        </w:rPr>
        <w:t xml:space="preserve"> </w:t>
      </w:r>
      <w:r w:rsidR="00D91261">
        <w:rPr>
          <w:rFonts w:ascii="Arial" w:eastAsia="Calibri" w:hAnsi="Arial" w:cs="Arial"/>
          <w:sz w:val="20"/>
          <w:szCs w:val="20"/>
        </w:rPr>
        <w:t>100.058,36</w:t>
      </w:r>
      <w:r w:rsidR="00D91261" w:rsidRPr="003A2F86">
        <w:rPr>
          <w:rFonts w:ascii="Arial" w:eastAsia="Calibri" w:hAnsi="Arial" w:cs="Arial"/>
          <w:sz w:val="20"/>
          <w:szCs w:val="20"/>
        </w:rPr>
        <w:t xml:space="preserve"> </w:t>
      </w:r>
      <w:r w:rsidRPr="003A2F86">
        <w:rPr>
          <w:rFonts w:ascii="Arial" w:eastAsia="Calibri" w:hAnsi="Arial" w:cs="Arial"/>
          <w:sz w:val="20"/>
          <w:szCs w:val="20"/>
        </w:rPr>
        <w:t>€</w:t>
      </w:r>
      <w:r w:rsidR="000E2ACE" w:rsidRPr="003A2F86">
        <w:rPr>
          <w:rFonts w:ascii="Arial" w:eastAsia="Calibri" w:hAnsi="Arial" w:cs="Arial"/>
          <w:sz w:val="20"/>
          <w:szCs w:val="20"/>
        </w:rPr>
        <w:t>. Koncem 202</w:t>
      </w:r>
      <w:r w:rsidR="00D91261">
        <w:rPr>
          <w:rFonts w:ascii="Arial" w:eastAsia="Calibri" w:hAnsi="Arial" w:cs="Arial"/>
          <w:sz w:val="20"/>
          <w:szCs w:val="20"/>
        </w:rPr>
        <w:t>5</w:t>
      </w:r>
      <w:r w:rsidR="000E2ACE" w:rsidRPr="003A2F86">
        <w:rPr>
          <w:rFonts w:ascii="Arial" w:eastAsia="Calibri" w:hAnsi="Arial" w:cs="Arial"/>
          <w:sz w:val="20"/>
          <w:szCs w:val="20"/>
        </w:rPr>
        <w:t xml:space="preserve">. godine iznosi </w:t>
      </w:r>
      <w:r w:rsidR="00EA56E5">
        <w:rPr>
          <w:rFonts w:ascii="Arial" w:eastAsia="Calibri" w:hAnsi="Arial" w:cs="Arial"/>
          <w:sz w:val="20"/>
          <w:szCs w:val="20"/>
        </w:rPr>
        <w:t>68.886,27</w:t>
      </w:r>
      <w:r w:rsidR="000E2ACE" w:rsidRPr="003A2F86">
        <w:rPr>
          <w:rFonts w:ascii="Arial" w:eastAsia="Calibri" w:hAnsi="Arial" w:cs="Arial"/>
          <w:sz w:val="20"/>
          <w:szCs w:val="20"/>
        </w:rPr>
        <w:t xml:space="preserve"> €</w:t>
      </w:r>
      <w:r w:rsidRPr="003A2F86">
        <w:rPr>
          <w:rFonts w:ascii="Arial" w:eastAsia="Calibri" w:hAnsi="Arial" w:cs="Arial"/>
          <w:sz w:val="20"/>
          <w:szCs w:val="20"/>
        </w:rPr>
        <w:t xml:space="preserve">, a odnosi se na potraživanja za upravne i administrativne pristojbe, pristojbe po posebnim propisima i naknade (nenaplaćena potraživanja od naših korisnika ili njihovih obveznika plaćanja za sredstva kojima se sufinancira usluga smještaja u Domu) u iznosu </w:t>
      </w:r>
      <w:r w:rsidR="00EA56E5">
        <w:rPr>
          <w:rFonts w:ascii="Arial" w:eastAsia="Calibri" w:hAnsi="Arial" w:cs="Arial"/>
          <w:sz w:val="20"/>
          <w:szCs w:val="20"/>
        </w:rPr>
        <w:t>313,70</w:t>
      </w:r>
      <w:r w:rsidRPr="003A2F86">
        <w:rPr>
          <w:rFonts w:ascii="Arial" w:eastAsia="Calibri" w:hAnsi="Arial" w:cs="Arial"/>
          <w:sz w:val="20"/>
          <w:szCs w:val="20"/>
        </w:rPr>
        <w:t xml:space="preserve"> €, potraživanja za usluge poludnevnog boravka 0 €, ostala potraživanja (potraživanja prema Hrvatskom zavodu za zdravstveno osiguranje na ime isplaćenih naknada plaća djelatnicima za vrijeme bolovanja) u iznosu </w:t>
      </w:r>
      <w:r w:rsidR="00EA56E5">
        <w:rPr>
          <w:rFonts w:ascii="Arial" w:eastAsia="Calibri" w:hAnsi="Arial" w:cs="Arial"/>
          <w:sz w:val="20"/>
          <w:szCs w:val="20"/>
        </w:rPr>
        <w:t>4.260,25</w:t>
      </w:r>
      <w:r w:rsidRPr="003A2F86">
        <w:rPr>
          <w:rFonts w:ascii="Arial" w:eastAsia="Calibri" w:hAnsi="Arial" w:cs="Arial"/>
          <w:sz w:val="20"/>
          <w:szCs w:val="20"/>
        </w:rPr>
        <w:t xml:space="preserve"> €,</w:t>
      </w:r>
      <w:r w:rsidR="007517F5">
        <w:rPr>
          <w:rFonts w:ascii="Arial" w:eastAsia="Calibri" w:hAnsi="Arial" w:cs="Arial"/>
          <w:sz w:val="20"/>
          <w:szCs w:val="20"/>
        </w:rPr>
        <w:t xml:space="preserve"> ostala potraživanja za više plaćene dobavljače </w:t>
      </w:r>
      <w:r w:rsidR="003E05BD">
        <w:rPr>
          <w:rFonts w:ascii="Arial" w:eastAsia="Calibri" w:hAnsi="Arial" w:cs="Arial"/>
          <w:sz w:val="20"/>
          <w:szCs w:val="20"/>
        </w:rPr>
        <w:t>0</w:t>
      </w:r>
      <w:r w:rsidR="007517F5">
        <w:rPr>
          <w:rFonts w:ascii="Arial" w:eastAsia="Calibri" w:hAnsi="Arial" w:cs="Arial"/>
          <w:sz w:val="20"/>
          <w:szCs w:val="20"/>
        </w:rPr>
        <w:t xml:space="preserve"> €,</w:t>
      </w:r>
      <w:r w:rsidRPr="003A2F86">
        <w:rPr>
          <w:rFonts w:ascii="Arial" w:eastAsia="Calibri" w:hAnsi="Arial" w:cs="Arial"/>
          <w:sz w:val="20"/>
          <w:szCs w:val="20"/>
        </w:rPr>
        <w:t xml:space="preserve"> te potraživanja za prihode iz proračuna (potraživanja iz proračuna Općine Konavle za uplaćene, a neutrošene vlastite prihode Doma) u iznosu </w:t>
      </w:r>
      <w:r w:rsidR="00EA56E5">
        <w:rPr>
          <w:rFonts w:ascii="Arial" w:eastAsia="Calibri" w:hAnsi="Arial" w:cs="Arial"/>
          <w:sz w:val="20"/>
          <w:szCs w:val="20"/>
        </w:rPr>
        <w:t>60.818,66</w:t>
      </w:r>
      <w:r w:rsidR="003C2C49" w:rsidRPr="003A2F86">
        <w:rPr>
          <w:rFonts w:ascii="Arial" w:eastAsia="Calibri" w:hAnsi="Arial" w:cs="Arial"/>
          <w:sz w:val="20"/>
          <w:szCs w:val="20"/>
        </w:rPr>
        <w:t xml:space="preserve"> €</w:t>
      </w:r>
      <w:r w:rsidRPr="003A2F86">
        <w:rPr>
          <w:rFonts w:ascii="Arial" w:eastAsia="Calibri" w:hAnsi="Arial" w:cs="Arial"/>
          <w:sz w:val="20"/>
          <w:szCs w:val="20"/>
        </w:rPr>
        <w:t>.</w:t>
      </w:r>
    </w:p>
    <w:p w14:paraId="3FDC1728" w14:textId="77777777" w:rsidR="00E86585" w:rsidRPr="003A2F86" w:rsidRDefault="00E86585" w:rsidP="00E86585">
      <w:pPr>
        <w:spacing w:after="0" w:line="240" w:lineRule="auto"/>
        <w:ind w:firstLine="709"/>
        <w:jc w:val="both"/>
        <w:rPr>
          <w:rFonts w:ascii="Arial" w:eastAsia="Calibri" w:hAnsi="Arial" w:cs="Arial"/>
          <w:sz w:val="20"/>
          <w:szCs w:val="20"/>
        </w:rPr>
      </w:pPr>
    </w:p>
    <w:p w14:paraId="79713730" w14:textId="7FD41D67" w:rsidR="00E86585" w:rsidRPr="003A2F86" w:rsidRDefault="00E86585" w:rsidP="00E86585">
      <w:pPr>
        <w:spacing w:after="0" w:line="240" w:lineRule="auto"/>
        <w:ind w:firstLine="709"/>
        <w:jc w:val="both"/>
        <w:rPr>
          <w:rFonts w:ascii="Arial" w:eastAsia="Calibri" w:hAnsi="Arial" w:cs="Arial"/>
          <w:sz w:val="20"/>
          <w:szCs w:val="20"/>
        </w:rPr>
      </w:pPr>
      <w:r w:rsidRPr="003A2F86">
        <w:rPr>
          <w:rFonts w:ascii="Arial" w:eastAsia="Calibri" w:hAnsi="Arial" w:cs="Arial"/>
          <w:sz w:val="20"/>
          <w:szCs w:val="20"/>
        </w:rPr>
        <w:t xml:space="preserve">Stanje nepodmirenih obveza na dan </w:t>
      </w:r>
      <w:r w:rsidR="00AD5D4E" w:rsidRPr="003A2F86">
        <w:rPr>
          <w:rFonts w:ascii="Arial" w:eastAsia="Calibri" w:hAnsi="Arial" w:cs="Arial"/>
          <w:sz w:val="20"/>
          <w:szCs w:val="20"/>
        </w:rPr>
        <w:t>31.12</w:t>
      </w:r>
      <w:r w:rsidR="003C2C49" w:rsidRPr="003A2F86">
        <w:rPr>
          <w:rFonts w:ascii="Arial" w:eastAsia="Calibri" w:hAnsi="Arial" w:cs="Arial"/>
          <w:sz w:val="20"/>
          <w:szCs w:val="20"/>
        </w:rPr>
        <w:t>.202</w:t>
      </w:r>
      <w:r w:rsidR="00E40C01">
        <w:rPr>
          <w:rFonts w:ascii="Arial" w:eastAsia="Calibri" w:hAnsi="Arial" w:cs="Arial"/>
          <w:sz w:val="20"/>
          <w:szCs w:val="20"/>
        </w:rPr>
        <w:t>4</w:t>
      </w:r>
      <w:r w:rsidRPr="003A2F86">
        <w:rPr>
          <w:rFonts w:ascii="Arial" w:eastAsia="Calibri" w:hAnsi="Arial" w:cs="Arial"/>
          <w:sz w:val="20"/>
          <w:szCs w:val="20"/>
        </w:rPr>
        <w:t>. godine iznosi</w:t>
      </w:r>
      <w:r w:rsidR="000E2ACE" w:rsidRPr="003A2F86">
        <w:rPr>
          <w:rFonts w:ascii="Arial" w:eastAsia="Calibri" w:hAnsi="Arial" w:cs="Arial"/>
          <w:sz w:val="20"/>
          <w:szCs w:val="20"/>
        </w:rPr>
        <w:t>lo je</w:t>
      </w:r>
      <w:r w:rsidRPr="003A2F86">
        <w:rPr>
          <w:rFonts w:ascii="Arial" w:eastAsia="Calibri" w:hAnsi="Arial" w:cs="Arial"/>
          <w:sz w:val="20"/>
          <w:szCs w:val="20"/>
        </w:rPr>
        <w:t xml:space="preserve"> </w:t>
      </w:r>
      <w:r w:rsidR="00E40C01">
        <w:rPr>
          <w:rFonts w:ascii="Arial" w:eastAsia="Calibri" w:hAnsi="Arial" w:cs="Arial"/>
          <w:sz w:val="20"/>
          <w:szCs w:val="20"/>
        </w:rPr>
        <w:t>105.825,14</w:t>
      </w:r>
      <w:r w:rsidR="00E40C01" w:rsidRPr="003A2F86">
        <w:rPr>
          <w:rFonts w:ascii="Arial" w:eastAsia="Calibri" w:hAnsi="Arial" w:cs="Arial"/>
          <w:sz w:val="20"/>
          <w:szCs w:val="20"/>
        </w:rPr>
        <w:t xml:space="preserve"> </w:t>
      </w:r>
      <w:r w:rsidR="003C2C49" w:rsidRPr="003A2F86">
        <w:rPr>
          <w:rFonts w:ascii="Arial" w:eastAsia="Calibri" w:hAnsi="Arial" w:cs="Arial"/>
          <w:sz w:val="20"/>
          <w:szCs w:val="20"/>
        </w:rPr>
        <w:t>€</w:t>
      </w:r>
      <w:r w:rsidRPr="003A2F86">
        <w:rPr>
          <w:rFonts w:ascii="Arial" w:eastAsia="Calibri" w:hAnsi="Arial" w:cs="Arial"/>
          <w:sz w:val="20"/>
          <w:szCs w:val="20"/>
        </w:rPr>
        <w:t xml:space="preserve"> (nedospjele obveze)</w:t>
      </w:r>
      <w:r w:rsidR="000E2ACE" w:rsidRPr="003A2F86">
        <w:rPr>
          <w:rFonts w:ascii="Arial" w:eastAsia="Calibri" w:hAnsi="Arial" w:cs="Arial"/>
          <w:sz w:val="20"/>
          <w:szCs w:val="20"/>
        </w:rPr>
        <w:t>. Koncem 202</w:t>
      </w:r>
      <w:r w:rsidR="00E40C01">
        <w:rPr>
          <w:rFonts w:ascii="Arial" w:eastAsia="Calibri" w:hAnsi="Arial" w:cs="Arial"/>
          <w:sz w:val="20"/>
          <w:szCs w:val="20"/>
        </w:rPr>
        <w:t>5</w:t>
      </w:r>
      <w:r w:rsidR="000E2ACE" w:rsidRPr="003A2F86">
        <w:rPr>
          <w:rFonts w:ascii="Arial" w:eastAsia="Calibri" w:hAnsi="Arial" w:cs="Arial"/>
          <w:sz w:val="20"/>
          <w:szCs w:val="20"/>
        </w:rPr>
        <w:t xml:space="preserve">. godine obveze iznose </w:t>
      </w:r>
      <w:r w:rsidR="00EA56E5">
        <w:rPr>
          <w:rFonts w:ascii="Arial" w:eastAsia="Calibri" w:hAnsi="Arial" w:cs="Arial"/>
          <w:sz w:val="20"/>
          <w:szCs w:val="20"/>
        </w:rPr>
        <w:t>109.921,49</w:t>
      </w:r>
      <w:r w:rsidR="000E2ACE" w:rsidRPr="003A2F86">
        <w:rPr>
          <w:rFonts w:ascii="Arial" w:eastAsia="Calibri" w:hAnsi="Arial" w:cs="Arial"/>
          <w:sz w:val="20"/>
          <w:szCs w:val="20"/>
        </w:rPr>
        <w:t xml:space="preserve"> €, a odnose se na </w:t>
      </w:r>
      <w:r w:rsidRPr="003A2F86">
        <w:rPr>
          <w:rFonts w:ascii="Arial" w:eastAsia="Calibri" w:hAnsi="Arial" w:cs="Arial"/>
          <w:sz w:val="20"/>
          <w:szCs w:val="20"/>
        </w:rPr>
        <w:t xml:space="preserve">obveze za zaposlene u iznosu </w:t>
      </w:r>
      <w:r w:rsidR="00EA56E5">
        <w:rPr>
          <w:rFonts w:ascii="Arial" w:eastAsia="Calibri" w:hAnsi="Arial" w:cs="Arial"/>
          <w:sz w:val="20"/>
          <w:szCs w:val="20"/>
        </w:rPr>
        <w:t>87.739,46</w:t>
      </w:r>
      <w:r w:rsidR="007517F5">
        <w:rPr>
          <w:rFonts w:ascii="Arial" w:eastAsia="Calibri" w:hAnsi="Arial" w:cs="Arial"/>
          <w:sz w:val="20"/>
          <w:szCs w:val="20"/>
        </w:rPr>
        <w:t xml:space="preserve"> </w:t>
      </w:r>
      <w:r w:rsidR="003C2C49" w:rsidRPr="003A2F86">
        <w:rPr>
          <w:rFonts w:ascii="Arial" w:eastAsia="Calibri" w:hAnsi="Arial" w:cs="Arial"/>
          <w:sz w:val="20"/>
          <w:szCs w:val="20"/>
        </w:rPr>
        <w:t>€</w:t>
      </w:r>
      <w:r w:rsidRPr="003A2F86">
        <w:rPr>
          <w:rFonts w:ascii="Arial" w:eastAsia="Calibri" w:hAnsi="Arial" w:cs="Arial"/>
          <w:sz w:val="20"/>
          <w:szCs w:val="20"/>
        </w:rPr>
        <w:t xml:space="preserve"> (obveze za plaću za mjesec </w:t>
      </w:r>
      <w:r w:rsidR="00EA56E5">
        <w:rPr>
          <w:rFonts w:ascii="Arial" w:eastAsia="Calibri" w:hAnsi="Arial" w:cs="Arial"/>
          <w:sz w:val="20"/>
          <w:szCs w:val="20"/>
        </w:rPr>
        <w:t>prosinac</w:t>
      </w:r>
      <w:r w:rsidRPr="003A2F86">
        <w:rPr>
          <w:rFonts w:ascii="Arial" w:eastAsia="Calibri" w:hAnsi="Arial" w:cs="Arial"/>
          <w:sz w:val="20"/>
          <w:szCs w:val="20"/>
        </w:rPr>
        <w:t xml:space="preserve"> 202</w:t>
      </w:r>
      <w:r w:rsidR="00E40C01">
        <w:rPr>
          <w:rFonts w:ascii="Arial" w:eastAsia="Calibri" w:hAnsi="Arial" w:cs="Arial"/>
          <w:sz w:val="20"/>
          <w:szCs w:val="20"/>
        </w:rPr>
        <w:t>5</w:t>
      </w:r>
      <w:r w:rsidRPr="003A2F86">
        <w:rPr>
          <w:rFonts w:ascii="Arial" w:eastAsia="Calibri" w:hAnsi="Arial" w:cs="Arial"/>
          <w:sz w:val="20"/>
          <w:szCs w:val="20"/>
        </w:rPr>
        <w:t>.</w:t>
      </w:r>
      <w:r w:rsidR="00E40C01">
        <w:rPr>
          <w:rFonts w:ascii="Arial" w:eastAsia="Calibri" w:hAnsi="Arial" w:cs="Arial"/>
          <w:sz w:val="20"/>
          <w:szCs w:val="20"/>
        </w:rPr>
        <w:t xml:space="preserve"> </w:t>
      </w:r>
      <w:r w:rsidRPr="003A2F86">
        <w:rPr>
          <w:rFonts w:ascii="Arial" w:eastAsia="Calibri" w:hAnsi="Arial" w:cs="Arial"/>
          <w:sz w:val="20"/>
          <w:szCs w:val="20"/>
        </w:rPr>
        <w:t xml:space="preserve">g. koja je isplaćena u </w:t>
      </w:r>
      <w:r w:rsidR="00EA56E5">
        <w:rPr>
          <w:rFonts w:ascii="Arial" w:eastAsia="Calibri" w:hAnsi="Arial" w:cs="Arial"/>
          <w:sz w:val="20"/>
          <w:szCs w:val="20"/>
        </w:rPr>
        <w:t>siječnju</w:t>
      </w:r>
      <w:r w:rsidRPr="003A2F86">
        <w:rPr>
          <w:rFonts w:ascii="Arial" w:eastAsia="Calibri" w:hAnsi="Arial" w:cs="Arial"/>
          <w:sz w:val="20"/>
          <w:szCs w:val="20"/>
        </w:rPr>
        <w:t xml:space="preserve"> 202</w:t>
      </w:r>
      <w:r w:rsidR="00EA56E5">
        <w:rPr>
          <w:rFonts w:ascii="Arial" w:eastAsia="Calibri" w:hAnsi="Arial" w:cs="Arial"/>
          <w:sz w:val="20"/>
          <w:szCs w:val="20"/>
        </w:rPr>
        <w:t>6</w:t>
      </w:r>
      <w:r w:rsidRPr="003A2F86">
        <w:rPr>
          <w:rFonts w:ascii="Arial" w:eastAsia="Calibri" w:hAnsi="Arial" w:cs="Arial"/>
          <w:sz w:val="20"/>
          <w:szCs w:val="20"/>
        </w:rPr>
        <w:t xml:space="preserve">.g.) te na obveze za materijalne rashode u iznosu </w:t>
      </w:r>
      <w:r w:rsidR="00EA56E5">
        <w:rPr>
          <w:rFonts w:ascii="Arial" w:eastAsia="Calibri" w:hAnsi="Arial" w:cs="Arial"/>
          <w:sz w:val="20"/>
          <w:szCs w:val="20"/>
        </w:rPr>
        <w:t>22.182,03</w:t>
      </w:r>
      <w:r w:rsidR="003C2C49" w:rsidRPr="003A2F86">
        <w:rPr>
          <w:rFonts w:ascii="Arial" w:eastAsia="Calibri" w:hAnsi="Arial" w:cs="Arial"/>
          <w:sz w:val="20"/>
          <w:szCs w:val="20"/>
        </w:rPr>
        <w:t xml:space="preserve"> €</w:t>
      </w:r>
      <w:r w:rsidR="00EA56E5">
        <w:rPr>
          <w:rFonts w:ascii="Arial" w:eastAsia="Calibri" w:hAnsi="Arial" w:cs="Arial"/>
          <w:sz w:val="20"/>
          <w:szCs w:val="20"/>
        </w:rPr>
        <w:t xml:space="preserve">, dok nema rashoda </w:t>
      </w:r>
      <w:r w:rsidR="00F236E0">
        <w:rPr>
          <w:rFonts w:ascii="Arial" w:eastAsia="Calibri" w:hAnsi="Arial" w:cs="Arial"/>
          <w:sz w:val="20"/>
          <w:szCs w:val="20"/>
        </w:rPr>
        <w:t>za nabavu proizvedene dugotrajne imovine.</w:t>
      </w:r>
    </w:p>
    <w:p w14:paraId="075F2E97" w14:textId="77777777" w:rsidR="00E86585" w:rsidRPr="003A2F86" w:rsidRDefault="00E86585" w:rsidP="00E86585">
      <w:pPr>
        <w:spacing w:after="0" w:line="240" w:lineRule="auto"/>
        <w:ind w:firstLine="709"/>
        <w:jc w:val="both"/>
        <w:rPr>
          <w:rFonts w:ascii="Arial" w:eastAsia="Calibri" w:hAnsi="Arial" w:cs="Arial"/>
          <w:sz w:val="20"/>
          <w:szCs w:val="20"/>
        </w:rPr>
      </w:pPr>
    </w:p>
    <w:p w14:paraId="36E808E3" w14:textId="241661B5" w:rsidR="00F65E36" w:rsidRPr="003A2F86" w:rsidRDefault="00E86585" w:rsidP="00E86585">
      <w:pPr>
        <w:spacing w:after="0" w:line="240" w:lineRule="auto"/>
        <w:ind w:firstLine="709"/>
        <w:jc w:val="both"/>
        <w:rPr>
          <w:rFonts w:ascii="Arial" w:eastAsia="Calibri" w:hAnsi="Arial" w:cs="Arial"/>
          <w:sz w:val="20"/>
          <w:szCs w:val="20"/>
        </w:rPr>
      </w:pPr>
      <w:r w:rsidRPr="003A2F86">
        <w:rPr>
          <w:rFonts w:ascii="Arial" w:eastAsia="Calibri" w:hAnsi="Arial" w:cs="Arial"/>
          <w:sz w:val="20"/>
          <w:szCs w:val="20"/>
        </w:rPr>
        <w:t xml:space="preserve">Potencijalnih obveza na dan </w:t>
      </w:r>
      <w:r w:rsidR="00EA56E5">
        <w:rPr>
          <w:rFonts w:ascii="Arial" w:eastAsia="Calibri" w:hAnsi="Arial" w:cs="Arial"/>
          <w:sz w:val="20"/>
          <w:szCs w:val="20"/>
        </w:rPr>
        <w:t>31.12</w:t>
      </w:r>
      <w:r w:rsidR="00F236E0">
        <w:rPr>
          <w:rFonts w:ascii="Arial" w:eastAsia="Calibri" w:hAnsi="Arial" w:cs="Arial"/>
          <w:sz w:val="20"/>
          <w:szCs w:val="20"/>
        </w:rPr>
        <w:t>.2025</w:t>
      </w:r>
      <w:r w:rsidRPr="003A2F86">
        <w:rPr>
          <w:rFonts w:ascii="Arial" w:eastAsia="Calibri" w:hAnsi="Arial" w:cs="Arial"/>
          <w:sz w:val="20"/>
          <w:szCs w:val="20"/>
        </w:rPr>
        <w:t>. godine nema.</w:t>
      </w:r>
    </w:p>
    <w:p w14:paraId="6187F229" w14:textId="77777777" w:rsidR="00F65E36" w:rsidRPr="003A2F86" w:rsidRDefault="00F65E36" w:rsidP="00F65E36">
      <w:pPr>
        <w:spacing w:after="0" w:line="240" w:lineRule="auto"/>
        <w:ind w:firstLine="709"/>
        <w:rPr>
          <w:rFonts w:ascii="Arial" w:eastAsia="Calibri" w:hAnsi="Arial" w:cs="Arial"/>
          <w:sz w:val="20"/>
          <w:szCs w:val="20"/>
        </w:rPr>
      </w:pPr>
    </w:p>
    <w:p w14:paraId="4A16CE75" w14:textId="77777777" w:rsidR="00F65E36" w:rsidRPr="003A2F86" w:rsidRDefault="00F65E36">
      <w:pPr>
        <w:pStyle w:val="Odlomakpopisa"/>
        <w:numPr>
          <w:ilvl w:val="0"/>
          <w:numId w:val="26"/>
        </w:num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eastAsia="Calibri" w:hAnsi="Arial" w:cs="Arial"/>
          <w:b/>
        </w:rPr>
      </w:pPr>
      <w:r w:rsidRPr="003A2F86">
        <w:rPr>
          <w:rFonts w:ascii="Arial" w:eastAsia="Calibri" w:hAnsi="Arial" w:cs="Arial"/>
          <w:b/>
        </w:rPr>
        <w:t>OBRAZLOŽENJE POSEBNOG DIJELA FINANCIJSKOG PLANA</w:t>
      </w:r>
    </w:p>
    <w:p w14:paraId="67FB3665" w14:textId="77777777" w:rsidR="00F65E36" w:rsidRPr="003A2F86" w:rsidRDefault="00F65E36" w:rsidP="00F65E36">
      <w:pPr>
        <w:spacing w:after="0" w:line="240" w:lineRule="auto"/>
        <w:rPr>
          <w:rFonts w:ascii="Arial" w:eastAsia="Calibri" w:hAnsi="Arial" w:cs="Arial"/>
          <w:bCs/>
          <w:sz w:val="20"/>
          <w:szCs w:val="20"/>
        </w:rPr>
      </w:pPr>
    </w:p>
    <w:p w14:paraId="2B629D01" w14:textId="77777777" w:rsidR="00F65E36" w:rsidRPr="003A2F86" w:rsidRDefault="00F65E36" w:rsidP="00F65E36">
      <w:pPr>
        <w:pStyle w:val="Tijeloteksta"/>
        <w:ind w:left="212" w:right="543"/>
        <w:rPr>
          <w:rFonts w:ascii="Arial" w:eastAsia="Calibri" w:hAnsi="Arial" w:cs="Arial"/>
          <w:sz w:val="20"/>
          <w:lang w:val="hr-HR"/>
        </w:rPr>
      </w:pPr>
      <w:r w:rsidRPr="003A2F86">
        <w:rPr>
          <w:rFonts w:ascii="Arial" w:eastAsia="Calibri" w:hAnsi="Arial" w:cs="Arial"/>
          <w:sz w:val="20"/>
          <w:lang w:val="hr-HR"/>
        </w:rPr>
        <w:t>Posebni dio financijskog plana iskazuje rashode i izdatke po organizacijskoj klasifikaciji, po ekonomskoj i programskoj klasifikaciji, te izvorima financiranja.</w:t>
      </w:r>
    </w:p>
    <w:p w14:paraId="49EBD758" w14:textId="77777777" w:rsidR="00B50C13" w:rsidRPr="00E0246E" w:rsidRDefault="00B50C13" w:rsidP="00BE41A8">
      <w:pPr>
        <w:spacing w:after="0" w:line="240" w:lineRule="auto"/>
        <w:jc w:val="both"/>
        <w:rPr>
          <w:rFonts w:ascii="Arial" w:eastAsia="Calibri" w:hAnsi="Arial" w:cs="Arial"/>
          <w:sz w:val="20"/>
          <w:szCs w:val="20"/>
        </w:rPr>
      </w:pPr>
    </w:p>
    <w:tbl>
      <w:tblPr>
        <w:tblW w:w="10166" w:type="dxa"/>
        <w:jc w:val="center"/>
        <w:tblLook w:val="04A0" w:firstRow="1" w:lastRow="0" w:firstColumn="1" w:lastColumn="0" w:noHBand="0" w:noVBand="1"/>
      </w:tblPr>
      <w:tblGrid>
        <w:gridCol w:w="4098"/>
        <w:gridCol w:w="1900"/>
        <w:gridCol w:w="1984"/>
        <w:gridCol w:w="2184"/>
      </w:tblGrid>
      <w:tr w:rsidR="00EA56E5" w:rsidRPr="00E0246E" w14:paraId="236EA0EF" w14:textId="77777777" w:rsidTr="00DC63BB">
        <w:trPr>
          <w:trHeight w:val="577"/>
          <w:jc w:val="center"/>
        </w:trPr>
        <w:tc>
          <w:tcPr>
            <w:tcW w:w="4098" w:type="dxa"/>
            <w:tcBorders>
              <w:top w:val="single" w:sz="4" w:space="0" w:color="auto"/>
              <w:left w:val="single" w:sz="4" w:space="0" w:color="auto"/>
              <w:bottom w:val="single" w:sz="4" w:space="0" w:color="auto"/>
              <w:right w:val="single" w:sz="4" w:space="0" w:color="auto"/>
            </w:tcBorders>
            <w:noWrap/>
            <w:vAlign w:val="center"/>
            <w:hideMark/>
          </w:tcPr>
          <w:p w14:paraId="77B134D7" w14:textId="77777777" w:rsidR="00EA56E5" w:rsidRPr="00E0246E" w:rsidRDefault="00EA56E5" w:rsidP="00EA56E5">
            <w:pPr>
              <w:spacing w:after="0" w:line="240" w:lineRule="auto"/>
              <w:jc w:val="center"/>
              <w:rPr>
                <w:rFonts w:ascii="Arial" w:eastAsia="Times New Roman" w:hAnsi="Arial" w:cs="Arial"/>
                <w:b/>
                <w:sz w:val="20"/>
                <w:szCs w:val="20"/>
              </w:rPr>
            </w:pPr>
            <w:r w:rsidRPr="00E0246E">
              <w:rPr>
                <w:rFonts w:ascii="Arial" w:eastAsia="Times New Roman" w:hAnsi="Arial" w:cs="Arial"/>
                <w:b/>
                <w:sz w:val="20"/>
                <w:szCs w:val="20"/>
              </w:rPr>
              <w:t>Naziv programa iz Proračuna</w:t>
            </w:r>
          </w:p>
        </w:tc>
        <w:tc>
          <w:tcPr>
            <w:tcW w:w="1900" w:type="dxa"/>
            <w:tcBorders>
              <w:top w:val="single" w:sz="4" w:space="0" w:color="auto"/>
              <w:left w:val="nil"/>
              <w:bottom w:val="single" w:sz="4" w:space="0" w:color="auto"/>
              <w:right w:val="single" w:sz="4" w:space="0" w:color="auto"/>
            </w:tcBorders>
          </w:tcPr>
          <w:p w14:paraId="56D705D3" w14:textId="77777777" w:rsidR="00EA56E5" w:rsidRDefault="00EA56E5" w:rsidP="00EA56E5">
            <w:pPr>
              <w:spacing w:after="0" w:line="240" w:lineRule="auto"/>
              <w:jc w:val="center"/>
              <w:rPr>
                <w:rFonts w:ascii="Arial" w:eastAsia="Times New Roman" w:hAnsi="Arial" w:cs="Arial"/>
                <w:b/>
                <w:sz w:val="20"/>
                <w:szCs w:val="20"/>
              </w:rPr>
            </w:pPr>
            <w:r>
              <w:rPr>
                <w:rFonts w:ascii="Arial" w:eastAsia="Times New Roman" w:hAnsi="Arial" w:cs="Arial"/>
                <w:b/>
                <w:sz w:val="20"/>
                <w:szCs w:val="20"/>
              </w:rPr>
              <w:t>Izvorni plan</w:t>
            </w:r>
          </w:p>
          <w:p w14:paraId="4864CB01" w14:textId="1207435A" w:rsidR="00EA56E5" w:rsidRPr="00E0246E" w:rsidRDefault="00EA56E5" w:rsidP="00EA56E5">
            <w:pPr>
              <w:spacing w:after="0" w:line="240" w:lineRule="auto"/>
              <w:jc w:val="center"/>
              <w:rPr>
                <w:rFonts w:ascii="Arial" w:eastAsia="Times New Roman" w:hAnsi="Arial" w:cs="Arial"/>
                <w:b/>
                <w:sz w:val="20"/>
                <w:szCs w:val="20"/>
              </w:rPr>
            </w:pPr>
            <w:r>
              <w:rPr>
                <w:rFonts w:ascii="Arial" w:eastAsia="Times New Roman" w:hAnsi="Arial" w:cs="Arial"/>
                <w:b/>
                <w:sz w:val="20"/>
                <w:szCs w:val="20"/>
              </w:rPr>
              <w:t>2025.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BAF830D" w14:textId="77777777" w:rsidR="00EA56E5" w:rsidRPr="00090030" w:rsidRDefault="00EA56E5" w:rsidP="00EA56E5">
            <w:pPr>
              <w:spacing w:after="0" w:line="240" w:lineRule="auto"/>
              <w:jc w:val="center"/>
              <w:rPr>
                <w:rFonts w:ascii="Arial" w:eastAsia="Times New Roman" w:hAnsi="Arial" w:cs="Arial"/>
                <w:b/>
                <w:sz w:val="20"/>
                <w:szCs w:val="20"/>
              </w:rPr>
            </w:pPr>
            <w:r>
              <w:rPr>
                <w:rFonts w:ascii="Arial" w:eastAsia="Times New Roman" w:hAnsi="Arial" w:cs="Arial"/>
                <w:b/>
                <w:sz w:val="20"/>
                <w:szCs w:val="20"/>
              </w:rPr>
              <w:t>Tekući p</w:t>
            </w:r>
            <w:r w:rsidRPr="00090030">
              <w:rPr>
                <w:rFonts w:ascii="Arial" w:eastAsia="Times New Roman" w:hAnsi="Arial" w:cs="Arial"/>
                <w:b/>
                <w:sz w:val="20"/>
                <w:szCs w:val="20"/>
              </w:rPr>
              <w:t>lan</w:t>
            </w:r>
          </w:p>
          <w:p w14:paraId="1196ADAA" w14:textId="57435BC5" w:rsidR="00EA56E5" w:rsidRPr="00E0246E" w:rsidRDefault="00EA56E5" w:rsidP="00EA56E5">
            <w:pPr>
              <w:spacing w:after="0" w:line="240" w:lineRule="auto"/>
              <w:jc w:val="center"/>
              <w:rPr>
                <w:rFonts w:ascii="Arial" w:eastAsia="Times New Roman" w:hAnsi="Arial" w:cs="Arial"/>
                <w:b/>
                <w:sz w:val="20"/>
                <w:szCs w:val="20"/>
              </w:rPr>
            </w:pPr>
            <w:r w:rsidRPr="00090030">
              <w:rPr>
                <w:rFonts w:ascii="Arial" w:eastAsia="Times New Roman" w:hAnsi="Arial" w:cs="Arial"/>
                <w:b/>
                <w:sz w:val="20"/>
                <w:szCs w:val="20"/>
              </w:rPr>
              <w:t>202</w:t>
            </w:r>
            <w:r>
              <w:rPr>
                <w:rFonts w:ascii="Arial" w:eastAsia="Times New Roman" w:hAnsi="Arial" w:cs="Arial"/>
                <w:b/>
                <w:sz w:val="20"/>
                <w:szCs w:val="20"/>
              </w:rPr>
              <w:t>5</w:t>
            </w:r>
            <w:r w:rsidRPr="00090030">
              <w:rPr>
                <w:rFonts w:ascii="Arial" w:eastAsia="Times New Roman" w:hAnsi="Arial" w:cs="Arial"/>
                <w:b/>
                <w:sz w:val="20"/>
                <w:szCs w:val="20"/>
              </w:rPr>
              <w:t>.</w:t>
            </w:r>
          </w:p>
        </w:tc>
        <w:tc>
          <w:tcPr>
            <w:tcW w:w="2184" w:type="dxa"/>
            <w:tcBorders>
              <w:top w:val="single" w:sz="4" w:space="0" w:color="auto"/>
              <w:left w:val="nil"/>
              <w:bottom w:val="single" w:sz="4" w:space="0" w:color="auto"/>
              <w:right w:val="single" w:sz="4" w:space="0" w:color="auto"/>
            </w:tcBorders>
            <w:vAlign w:val="center"/>
            <w:hideMark/>
          </w:tcPr>
          <w:p w14:paraId="4E246A6F" w14:textId="77777777" w:rsidR="00EA56E5" w:rsidRDefault="00EA56E5" w:rsidP="00EA56E5">
            <w:pPr>
              <w:spacing w:after="0" w:line="240" w:lineRule="auto"/>
              <w:jc w:val="center"/>
              <w:rPr>
                <w:rFonts w:ascii="Arial" w:eastAsia="Times New Roman" w:hAnsi="Arial" w:cs="Arial"/>
                <w:b/>
                <w:sz w:val="20"/>
                <w:szCs w:val="20"/>
              </w:rPr>
            </w:pPr>
            <w:r>
              <w:rPr>
                <w:rFonts w:ascii="Arial" w:eastAsia="Times New Roman" w:hAnsi="Arial" w:cs="Arial"/>
                <w:b/>
                <w:sz w:val="20"/>
                <w:szCs w:val="20"/>
              </w:rPr>
              <w:t>Izvršenje</w:t>
            </w:r>
          </w:p>
          <w:p w14:paraId="40EB7184" w14:textId="6614044E" w:rsidR="00EA56E5" w:rsidRPr="00E0246E" w:rsidRDefault="00EA56E5" w:rsidP="00EA56E5">
            <w:pPr>
              <w:spacing w:after="0" w:line="240" w:lineRule="auto"/>
              <w:jc w:val="center"/>
              <w:rPr>
                <w:rFonts w:ascii="Arial" w:eastAsia="Times New Roman" w:hAnsi="Arial" w:cs="Arial"/>
                <w:b/>
                <w:sz w:val="20"/>
                <w:szCs w:val="20"/>
              </w:rPr>
            </w:pPr>
            <w:r>
              <w:rPr>
                <w:rFonts w:ascii="Arial" w:eastAsia="Times New Roman" w:hAnsi="Arial" w:cs="Arial"/>
                <w:b/>
                <w:sz w:val="20"/>
                <w:szCs w:val="20"/>
              </w:rPr>
              <w:t>2025.</w:t>
            </w:r>
          </w:p>
        </w:tc>
      </w:tr>
      <w:tr w:rsidR="00EA56E5" w:rsidRPr="00E0246E" w14:paraId="7A44813E" w14:textId="77777777" w:rsidTr="00DC63BB">
        <w:trPr>
          <w:trHeight w:val="288"/>
          <w:jc w:val="center"/>
        </w:trPr>
        <w:tc>
          <w:tcPr>
            <w:tcW w:w="4098" w:type="dxa"/>
            <w:tcBorders>
              <w:top w:val="single" w:sz="4" w:space="0" w:color="auto"/>
              <w:left w:val="single" w:sz="4" w:space="0" w:color="auto"/>
              <w:bottom w:val="single" w:sz="4" w:space="0" w:color="auto"/>
              <w:right w:val="single" w:sz="4" w:space="0" w:color="auto"/>
            </w:tcBorders>
            <w:hideMark/>
          </w:tcPr>
          <w:p w14:paraId="6620AB57" w14:textId="77777777" w:rsidR="00EA56E5" w:rsidRPr="00E0246E" w:rsidRDefault="00EA56E5" w:rsidP="00EA56E5">
            <w:pPr>
              <w:spacing w:after="0" w:line="240" w:lineRule="auto"/>
              <w:rPr>
                <w:rFonts w:ascii="Arial" w:eastAsia="Times New Roman" w:hAnsi="Arial" w:cs="Arial"/>
                <w:sz w:val="20"/>
                <w:szCs w:val="20"/>
              </w:rPr>
            </w:pPr>
            <w:r w:rsidRPr="00E0246E">
              <w:rPr>
                <w:rFonts w:ascii="Arial" w:eastAsia="Times New Roman" w:hAnsi="Arial" w:cs="Arial"/>
                <w:sz w:val="20"/>
                <w:szCs w:val="20"/>
              </w:rPr>
              <w:t xml:space="preserve">Socijalna skrb </w:t>
            </w:r>
          </w:p>
        </w:tc>
        <w:tc>
          <w:tcPr>
            <w:tcW w:w="1900" w:type="dxa"/>
            <w:tcBorders>
              <w:top w:val="single" w:sz="4" w:space="0" w:color="auto"/>
              <w:left w:val="nil"/>
              <w:bottom w:val="single" w:sz="4" w:space="0" w:color="auto"/>
              <w:right w:val="single" w:sz="4" w:space="0" w:color="auto"/>
            </w:tcBorders>
          </w:tcPr>
          <w:p w14:paraId="0E5A237E" w14:textId="041008E4" w:rsidR="00EA56E5" w:rsidRPr="00745ECF" w:rsidRDefault="00EA56E5" w:rsidP="00EA56E5">
            <w:pPr>
              <w:spacing w:after="0" w:line="240" w:lineRule="auto"/>
              <w:jc w:val="center"/>
              <w:rPr>
                <w:rFonts w:ascii="Arial" w:eastAsia="Times New Roman" w:hAnsi="Arial" w:cs="Arial"/>
                <w:sz w:val="20"/>
                <w:szCs w:val="20"/>
              </w:rPr>
            </w:pPr>
            <w:r w:rsidRPr="00C06E46">
              <w:rPr>
                <w:rFonts w:ascii="Arial" w:eastAsia="Times New Roman" w:hAnsi="Arial" w:cs="Arial"/>
                <w:sz w:val="20"/>
                <w:szCs w:val="20"/>
              </w:rPr>
              <w:t>1.468.000,00</w:t>
            </w:r>
          </w:p>
        </w:tc>
        <w:tc>
          <w:tcPr>
            <w:tcW w:w="1984" w:type="dxa"/>
            <w:tcBorders>
              <w:top w:val="nil"/>
              <w:left w:val="single" w:sz="4" w:space="0" w:color="auto"/>
              <w:bottom w:val="single" w:sz="4" w:space="0" w:color="auto"/>
              <w:right w:val="single" w:sz="4" w:space="0" w:color="auto"/>
            </w:tcBorders>
            <w:noWrap/>
            <w:vAlign w:val="bottom"/>
            <w:hideMark/>
          </w:tcPr>
          <w:p w14:paraId="3310480E" w14:textId="6BAEB13E" w:rsidR="00EA56E5" w:rsidRPr="00745ECF" w:rsidRDefault="00EA56E5" w:rsidP="00EA56E5">
            <w:pPr>
              <w:spacing w:after="0" w:line="240" w:lineRule="auto"/>
              <w:jc w:val="center"/>
              <w:rPr>
                <w:rFonts w:ascii="Arial" w:eastAsia="Times New Roman" w:hAnsi="Arial" w:cs="Arial"/>
                <w:sz w:val="20"/>
                <w:szCs w:val="20"/>
              </w:rPr>
            </w:pPr>
            <w:r>
              <w:rPr>
                <w:rFonts w:ascii="Arial" w:eastAsia="Times New Roman" w:hAnsi="Arial" w:cs="Arial"/>
                <w:sz w:val="20"/>
                <w:szCs w:val="20"/>
              </w:rPr>
              <w:t>1.517</w:t>
            </w:r>
            <w:r w:rsidRPr="002D19CB">
              <w:rPr>
                <w:rFonts w:ascii="Arial" w:eastAsia="Times New Roman" w:hAnsi="Arial" w:cs="Arial"/>
                <w:sz w:val="20"/>
                <w:szCs w:val="20"/>
              </w:rPr>
              <w:t>.</w:t>
            </w:r>
            <w:r>
              <w:rPr>
                <w:rFonts w:ascii="Arial" w:eastAsia="Times New Roman" w:hAnsi="Arial" w:cs="Arial"/>
                <w:sz w:val="20"/>
                <w:szCs w:val="20"/>
              </w:rPr>
              <w:t>76</w:t>
            </w:r>
            <w:r w:rsidRPr="002D19CB">
              <w:rPr>
                <w:rFonts w:ascii="Arial" w:eastAsia="Times New Roman" w:hAnsi="Arial" w:cs="Arial"/>
                <w:sz w:val="20"/>
                <w:szCs w:val="20"/>
              </w:rPr>
              <w:t>0,00</w:t>
            </w:r>
          </w:p>
        </w:tc>
        <w:tc>
          <w:tcPr>
            <w:tcW w:w="2184" w:type="dxa"/>
            <w:tcBorders>
              <w:top w:val="nil"/>
              <w:left w:val="nil"/>
              <w:bottom w:val="single" w:sz="4" w:space="0" w:color="auto"/>
              <w:right w:val="single" w:sz="4" w:space="0" w:color="auto"/>
            </w:tcBorders>
            <w:noWrap/>
            <w:vAlign w:val="bottom"/>
            <w:hideMark/>
          </w:tcPr>
          <w:p w14:paraId="12A90C2B" w14:textId="27D2884B" w:rsidR="00EA56E5" w:rsidRPr="00745ECF" w:rsidRDefault="00EA56E5" w:rsidP="00EA56E5">
            <w:pPr>
              <w:spacing w:after="0" w:line="240" w:lineRule="auto"/>
              <w:jc w:val="center"/>
              <w:rPr>
                <w:rFonts w:ascii="Arial" w:eastAsia="Times New Roman" w:hAnsi="Arial" w:cs="Arial"/>
                <w:sz w:val="20"/>
                <w:szCs w:val="20"/>
              </w:rPr>
            </w:pPr>
            <w:r>
              <w:rPr>
                <w:rFonts w:ascii="Arial" w:eastAsia="Times New Roman" w:hAnsi="Arial" w:cs="Arial"/>
                <w:sz w:val="20"/>
                <w:szCs w:val="20"/>
              </w:rPr>
              <w:t>1.440.756,22</w:t>
            </w:r>
          </w:p>
        </w:tc>
      </w:tr>
    </w:tbl>
    <w:p w14:paraId="311F2D7F" w14:textId="77777777" w:rsidR="00B50C13" w:rsidRDefault="00B50C13" w:rsidP="00F236E0">
      <w:pPr>
        <w:spacing w:after="0" w:line="240" w:lineRule="auto"/>
        <w:rPr>
          <w:rFonts w:ascii="Arial" w:hAnsi="Arial" w:cs="Arial"/>
        </w:rPr>
      </w:pPr>
    </w:p>
    <w:p w14:paraId="148773BF" w14:textId="77777777" w:rsidR="00F65E36" w:rsidRPr="003A2F86" w:rsidRDefault="00F65E36">
      <w:pPr>
        <w:pStyle w:val="Odlomakpopisa"/>
        <w:numPr>
          <w:ilvl w:val="0"/>
          <w:numId w:val="33"/>
        </w:numPr>
        <w:pBdr>
          <w:top w:val="single" w:sz="4" w:space="1" w:color="auto"/>
          <w:left w:val="single" w:sz="4" w:space="0" w:color="auto"/>
          <w:bottom w:val="single" w:sz="4" w:space="1" w:color="auto"/>
          <w:right w:val="single" w:sz="4" w:space="4" w:color="auto"/>
        </w:pBdr>
        <w:ind w:right="4783"/>
        <w:rPr>
          <w:rFonts w:ascii="Arial" w:eastAsia="Calibri" w:hAnsi="Arial" w:cs="Arial"/>
          <w:b/>
        </w:rPr>
      </w:pPr>
      <w:r w:rsidRPr="003A2F86">
        <w:rPr>
          <w:rFonts w:ascii="Arial" w:eastAsia="Calibri" w:hAnsi="Arial" w:cs="Arial"/>
          <w:b/>
        </w:rPr>
        <w:t>OBRAZLOŽENJE PROGRAMA</w:t>
      </w:r>
    </w:p>
    <w:p w14:paraId="1097A351" w14:textId="77777777" w:rsidR="00F65E36" w:rsidRPr="003A2F86" w:rsidRDefault="00F65E36" w:rsidP="00F65E36">
      <w:pPr>
        <w:spacing w:after="0" w:line="240" w:lineRule="auto"/>
        <w:rPr>
          <w:rFonts w:ascii="Arial" w:eastAsia="Calibri" w:hAnsi="Arial" w:cs="Arial"/>
        </w:rPr>
      </w:pPr>
    </w:p>
    <w:tbl>
      <w:tblPr>
        <w:tblW w:w="1428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838"/>
        <w:gridCol w:w="12445"/>
      </w:tblGrid>
      <w:tr w:rsidR="005F33F7" w:rsidRPr="003A2F86" w14:paraId="542ABD9A" w14:textId="77777777" w:rsidTr="00F65E36">
        <w:tc>
          <w:tcPr>
            <w:tcW w:w="1838" w:type="dxa"/>
          </w:tcPr>
          <w:p w14:paraId="24610A3B" w14:textId="77777777" w:rsidR="00F65E36" w:rsidRPr="003A2F86" w:rsidRDefault="00F65E36" w:rsidP="00F65E36">
            <w:pPr>
              <w:spacing w:after="0" w:line="240" w:lineRule="auto"/>
              <w:rPr>
                <w:rFonts w:ascii="Arial" w:eastAsia="Calibri" w:hAnsi="Arial" w:cs="Arial"/>
                <w:sz w:val="20"/>
                <w:szCs w:val="20"/>
              </w:rPr>
            </w:pPr>
            <w:r w:rsidRPr="003A2F86">
              <w:rPr>
                <w:rFonts w:ascii="Arial" w:eastAsia="Calibri" w:hAnsi="Arial" w:cs="Arial"/>
                <w:sz w:val="20"/>
                <w:szCs w:val="20"/>
              </w:rPr>
              <w:lastRenderedPageBreak/>
              <w:t>OPIS PROGRAMA:</w:t>
            </w:r>
          </w:p>
        </w:tc>
        <w:tc>
          <w:tcPr>
            <w:tcW w:w="12445" w:type="dxa"/>
          </w:tcPr>
          <w:p w14:paraId="2D51AA4F" w14:textId="77777777" w:rsidR="00EA56E5" w:rsidRDefault="00F65E36" w:rsidP="00F65E36">
            <w:pPr>
              <w:spacing w:after="0" w:line="240" w:lineRule="auto"/>
              <w:rPr>
                <w:rFonts w:ascii="Arial" w:eastAsia="Calibri" w:hAnsi="Arial" w:cs="Arial"/>
                <w:sz w:val="20"/>
                <w:szCs w:val="20"/>
              </w:rPr>
            </w:pPr>
            <w:r w:rsidRPr="003A2F86">
              <w:rPr>
                <w:rFonts w:ascii="Arial" w:eastAsia="Calibri" w:hAnsi="Arial" w:cs="Arial"/>
                <w:sz w:val="20"/>
                <w:szCs w:val="20"/>
              </w:rPr>
              <w:t>Cjelokupna djelatnost Doma temelji se na osnovnom programu socijalna skrb odnosno pružanje socijalnih usluga smještaja starijim i nemoćnim osobama, a to je i jedini program koji ustanova provodi. U okviru tog programa pružaju se usluge stanovanja, prehrane, brige o zdravlju, njege, održavanja osobne higijene, fizikalne terapije, usluge socijalnog rada, radnih aktivnosti i organiziranja slobodnog vremena.</w:t>
            </w:r>
          </w:p>
          <w:p w14:paraId="506D05BD" w14:textId="77777777" w:rsidR="00EA56E5" w:rsidRDefault="00EA56E5" w:rsidP="00F65E36">
            <w:pPr>
              <w:spacing w:after="0" w:line="240" w:lineRule="auto"/>
              <w:rPr>
                <w:rFonts w:ascii="Arial" w:eastAsia="Calibri" w:hAnsi="Arial" w:cs="Arial"/>
                <w:sz w:val="20"/>
                <w:szCs w:val="20"/>
              </w:rPr>
            </w:pPr>
          </w:p>
          <w:p w14:paraId="39D24EED" w14:textId="018204D9" w:rsidR="00F65E36" w:rsidRPr="003A2F86" w:rsidRDefault="00F65E36" w:rsidP="00F65E36">
            <w:pPr>
              <w:spacing w:after="0" w:line="240" w:lineRule="auto"/>
              <w:rPr>
                <w:rFonts w:ascii="Arial" w:eastAsia="Calibri" w:hAnsi="Arial" w:cs="Arial"/>
                <w:sz w:val="20"/>
                <w:szCs w:val="20"/>
              </w:rPr>
            </w:pPr>
            <w:r w:rsidRPr="003A2F86">
              <w:rPr>
                <w:rFonts w:ascii="Arial" w:eastAsia="Calibri" w:hAnsi="Arial" w:cs="Arial"/>
                <w:sz w:val="20"/>
                <w:szCs w:val="20"/>
              </w:rPr>
              <w:t>Program realiziraju djelatnici ustanove Doma za starije i nemoćne osobe Konavle: ravnateljica, socijalni radnik, voditelj računovodstva, računovodstveni referent, glavna medicinska sestra, medicinske sestre, fizioterapeut, njegovateljice, kućni majstor, kuhari, pomoćni kuhar, servirka, pralje, čistačice u okviru poslova i zadataka radnih mjesta na koje su raspoređeni.</w:t>
            </w:r>
          </w:p>
        </w:tc>
      </w:tr>
      <w:tr w:rsidR="005F33F7" w:rsidRPr="003A2F86" w14:paraId="0FDAA973" w14:textId="77777777" w:rsidTr="00B223BA">
        <w:tc>
          <w:tcPr>
            <w:tcW w:w="1838" w:type="dxa"/>
          </w:tcPr>
          <w:p w14:paraId="06B89F2E" w14:textId="77777777" w:rsidR="00F65E36" w:rsidRPr="003A2F86" w:rsidRDefault="00F65E36" w:rsidP="00F65E36">
            <w:pPr>
              <w:spacing w:after="0" w:line="240" w:lineRule="auto"/>
              <w:rPr>
                <w:rFonts w:ascii="Arial" w:eastAsia="Calibri" w:hAnsi="Arial" w:cs="Arial"/>
                <w:sz w:val="20"/>
                <w:szCs w:val="20"/>
              </w:rPr>
            </w:pPr>
            <w:r w:rsidRPr="003A2F86">
              <w:rPr>
                <w:rFonts w:ascii="Arial" w:eastAsia="Calibri" w:hAnsi="Arial" w:cs="Arial"/>
                <w:sz w:val="20"/>
                <w:szCs w:val="20"/>
              </w:rPr>
              <w:t>ZAKONSKE I DRUGE PRAVNE OSNOVE PROGRAMA:</w:t>
            </w:r>
          </w:p>
        </w:tc>
        <w:tc>
          <w:tcPr>
            <w:tcW w:w="12445" w:type="dxa"/>
            <w:tcBorders>
              <w:top w:val="dotted" w:sz="4" w:space="0" w:color="auto"/>
              <w:left w:val="dotted" w:sz="4" w:space="0" w:color="auto"/>
              <w:bottom w:val="dotted" w:sz="4" w:space="0" w:color="auto"/>
              <w:right w:val="dotted" w:sz="4" w:space="0" w:color="auto"/>
            </w:tcBorders>
          </w:tcPr>
          <w:p w14:paraId="73BF6034" w14:textId="585774B8" w:rsidR="00F65E36" w:rsidRPr="003A2F86" w:rsidRDefault="00F65E36" w:rsidP="00F65E36">
            <w:pPr>
              <w:autoSpaceDE w:val="0"/>
              <w:autoSpaceDN w:val="0"/>
              <w:adjustRightInd w:val="0"/>
              <w:spacing w:after="0" w:line="240" w:lineRule="auto"/>
              <w:rPr>
                <w:rFonts w:ascii="Arial" w:hAnsi="Arial" w:cs="Arial"/>
                <w:sz w:val="20"/>
                <w:szCs w:val="20"/>
              </w:rPr>
            </w:pPr>
            <w:r w:rsidRPr="003A2F86">
              <w:rPr>
                <w:rFonts w:ascii="Arial" w:eastAsia="Times New Roman" w:hAnsi="Arial" w:cs="Arial"/>
                <w:sz w:val="20"/>
                <w:szCs w:val="20"/>
              </w:rPr>
              <w:t>Zakon o lokalnoj i područnoj (regionalnoj) samoupravi (NN 33/01,60/01,129/05, 109/07,125/08, 36/09, 150/11, 144/12, 19/13, 137/15, 123/17, 98/19, 144/20), Zakon o zdravstvenoj zaštiti (NN 100/18, 125/19, 147/20, 119/22, 156/22, 33/23</w:t>
            </w:r>
            <w:r w:rsidR="005F33F7" w:rsidRPr="003A2F86">
              <w:rPr>
                <w:rFonts w:ascii="Arial" w:eastAsia="Times New Roman" w:hAnsi="Arial" w:cs="Arial"/>
                <w:sz w:val="20"/>
                <w:szCs w:val="20"/>
              </w:rPr>
              <w:t>, 36/24</w:t>
            </w:r>
            <w:r w:rsidRPr="003A2F86">
              <w:rPr>
                <w:rFonts w:ascii="Arial" w:eastAsia="Times New Roman" w:hAnsi="Arial" w:cs="Arial"/>
                <w:sz w:val="20"/>
                <w:szCs w:val="20"/>
              </w:rPr>
              <w:t>), Zakon o ustanovama (NN 76/93, 29/97, 47/99, 35/08, 127/19, 151/22), Zakon o socijalnoj skrbi (Narodne novine 18/22, 46/22, 119/22, 71/23</w:t>
            </w:r>
            <w:r w:rsidR="0044099F" w:rsidRPr="003A2F86">
              <w:rPr>
                <w:rFonts w:ascii="Arial" w:eastAsia="Times New Roman" w:hAnsi="Arial" w:cs="Arial"/>
                <w:sz w:val="20"/>
                <w:szCs w:val="20"/>
              </w:rPr>
              <w:t>, 156/23</w:t>
            </w:r>
            <w:r w:rsidR="00B50C13">
              <w:rPr>
                <w:rFonts w:ascii="Arial" w:eastAsia="Times New Roman" w:hAnsi="Arial" w:cs="Arial"/>
                <w:sz w:val="20"/>
                <w:szCs w:val="20"/>
              </w:rPr>
              <w:t>, 61/25</w:t>
            </w:r>
            <w:r w:rsidRPr="003A2F86">
              <w:rPr>
                <w:rFonts w:ascii="Arial" w:eastAsia="Times New Roman" w:hAnsi="Arial" w:cs="Arial"/>
                <w:sz w:val="20"/>
                <w:szCs w:val="20"/>
              </w:rPr>
              <w:t>), Pravilnik o minimalnim uvjetima za pružanje socijalnih usluga, Pravilnik o vođenju evidencije i dokumentacije socijalne skrbi te načinu i rokovima za dostavu izvješća o korisnicima, vrstama usluga i drugim pitanjima, Zakon o kvaliteti zdravstvene zaštite i socijalne skrbi, Statut Ustanove, Statut Općine i drugi akti</w:t>
            </w:r>
          </w:p>
        </w:tc>
      </w:tr>
      <w:tr w:rsidR="0044099F" w:rsidRPr="003A2F86" w14:paraId="4FD0A9A8" w14:textId="77777777" w:rsidTr="00F65E36">
        <w:tc>
          <w:tcPr>
            <w:tcW w:w="1838" w:type="dxa"/>
            <w:vAlign w:val="bottom"/>
          </w:tcPr>
          <w:p w14:paraId="52A34C4F" w14:textId="77777777" w:rsidR="00F65E36" w:rsidRPr="003A2F86" w:rsidRDefault="00F65E36" w:rsidP="00F65E36">
            <w:pPr>
              <w:spacing w:after="0" w:line="240" w:lineRule="auto"/>
              <w:rPr>
                <w:rFonts w:ascii="Arial" w:eastAsia="Calibri" w:hAnsi="Arial" w:cs="Arial"/>
                <w:sz w:val="20"/>
                <w:szCs w:val="20"/>
              </w:rPr>
            </w:pPr>
            <w:r w:rsidRPr="003A2F86">
              <w:rPr>
                <w:rFonts w:ascii="Arial" w:eastAsia="Calibri" w:hAnsi="Arial" w:cs="Arial"/>
                <w:sz w:val="20"/>
                <w:szCs w:val="20"/>
              </w:rPr>
              <w:t>CILJEVI PROVEDBE PROGRAMA:</w:t>
            </w:r>
          </w:p>
        </w:tc>
        <w:tc>
          <w:tcPr>
            <w:tcW w:w="12445" w:type="dxa"/>
            <w:vAlign w:val="bottom"/>
          </w:tcPr>
          <w:p w14:paraId="5DB360FE" w14:textId="77777777" w:rsidR="00F65E36" w:rsidRPr="003A2F86" w:rsidRDefault="00F65E36" w:rsidP="00F65E36">
            <w:pPr>
              <w:spacing w:after="0" w:line="240" w:lineRule="auto"/>
              <w:rPr>
                <w:rFonts w:ascii="Arial" w:eastAsia="Calibri" w:hAnsi="Arial" w:cs="Arial"/>
                <w:sz w:val="20"/>
                <w:szCs w:val="20"/>
              </w:rPr>
            </w:pPr>
            <w:r w:rsidRPr="003A2F86">
              <w:rPr>
                <w:rFonts w:ascii="Arial" w:eastAsia="Calibri" w:hAnsi="Arial" w:cs="Arial"/>
                <w:sz w:val="20"/>
                <w:szCs w:val="20"/>
              </w:rPr>
              <w:t xml:space="preserve">Primarni cilj - 100% popunjenost smještajnog kapaciteta. U ovim trenucima ovaj cilj ostvareni svi smještajni kapaciteti su popunjeni, a cilj je održati tu popunjenost i dalje. </w:t>
            </w:r>
          </w:p>
          <w:p w14:paraId="459CD880" w14:textId="77777777" w:rsidR="00F65E36" w:rsidRPr="003A2F86" w:rsidRDefault="00F65E36" w:rsidP="00F65E36">
            <w:pPr>
              <w:spacing w:after="0" w:line="240" w:lineRule="auto"/>
              <w:rPr>
                <w:rFonts w:ascii="Arial" w:eastAsia="Calibri" w:hAnsi="Arial" w:cs="Arial"/>
                <w:sz w:val="20"/>
                <w:szCs w:val="20"/>
              </w:rPr>
            </w:pPr>
          </w:p>
          <w:p w14:paraId="62D95658" w14:textId="77777777" w:rsidR="003C2C49" w:rsidRPr="003A2F86" w:rsidRDefault="003C2C49" w:rsidP="003C2C49">
            <w:pPr>
              <w:spacing w:after="0" w:line="240" w:lineRule="auto"/>
              <w:rPr>
                <w:rFonts w:ascii="Arial" w:eastAsia="Calibri" w:hAnsi="Arial" w:cs="Arial"/>
                <w:sz w:val="20"/>
                <w:szCs w:val="20"/>
              </w:rPr>
            </w:pPr>
            <w:r w:rsidRPr="003A2F86">
              <w:rPr>
                <w:rFonts w:ascii="Arial" w:eastAsia="Calibri" w:hAnsi="Arial" w:cs="Arial"/>
                <w:sz w:val="20"/>
                <w:szCs w:val="20"/>
              </w:rPr>
              <w:t xml:space="preserve">Cilj je nastaviti na podizanju kvalitete skrbi na višu razinu i to stalnim usavršavanjem osoblja te podizanjem materijalnih i drugih uvjeta prema mogućnostima kako bi stvorili zdravo i ugodno okruženje koje će nuditi vrhunski smještaj, medicinsku njegu i prehranu. </w:t>
            </w:r>
          </w:p>
          <w:p w14:paraId="46D25538" w14:textId="77777777" w:rsidR="003C2C49" w:rsidRPr="003A2F86" w:rsidRDefault="003C2C49" w:rsidP="003C2C49">
            <w:pPr>
              <w:spacing w:after="0" w:line="240" w:lineRule="auto"/>
              <w:rPr>
                <w:rFonts w:ascii="Arial" w:eastAsia="Calibri" w:hAnsi="Arial" w:cs="Arial"/>
                <w:sz w:val="20"/>
                <w:szCs w:val="20"/>
              </w:rPr>
            </w:pPr>
          </w:p>
          <w:p w14:paraId="0E1C2ABA" w14:textId="2BAED074" w:rsidR="003C2C49" w:rsidRPr="003A2F86" w:rsidRDefault="003C2C49" w:rsidP="003C2C49">
            <w:pPr>
              <w:spacing w:after="0" w:line="240" w:lineRule="auto"/>
              <w:rPr>
                <w:rFonts w:ascii="Arial" w:eastAsia="Calibri" w:hAnsi="Arial" w:cs="Arial"/>
                <w:sz w:val="20"/>
                <w:szCs w:val="20"/>
              </w:rPr>
            </w:pPr>
            <w:r w:rsidRPr="003A2F86">
              <w:rPr>
                <w:rFonts w:ascii="Arial" w:eastAsia="Calibri" w:hAnsi="Arial" w:cs="Arial"/>
                <w:sz w:val="20"/>
                <w:szCs w:val="20"/>
              </w:rPr>
              <w:t>Svakodnevnim radi se na poboljšanju kvalitetnog i profesionalnog pružanja socijalnih usluga korisnicima. Aktivnosti kojima će se ovaj cilj ostvariti:</w:t>
            </w:r>
          </w:p>
          <w:p w14:paraId="325B6EF1" w14:textId="77777777" w:rsidR="003C2C49" w:rsidRPr="003A2F86" w:rsidRDefault="003C2C49" w:rsidP="003C2C49">
            <w:pPr>
              <w:spacing w:after="0" w:line="240" w:lineRule="auto"/>
              <w:rPr>
                <w:rFonts w:ascii="Arial" w:eastAsia="Calibri" w:hAnsi="Arial" w:cs="Arial"/>
                <w:sz w:val="20"/>
                <w:szCs w:val="20"/>
              </w:rPr>
            </w:pPr>
            <w:r w:rsidRPr="003A2F86">
              <w:rPr>
                <w:rFonts w:ascii="Arial" w:eastAsia="Calibri" w:hAnsi="Arial" w:cs="Arial"/>
                <w:sz w:val="20"/>
                <w:szCs w:val="20"/>
              </w:rPr>
              <w:t>-</w:t>
            </w:r>
            <w:r w:rsidRPr="003A2F86">
              <w:rPr>
                <w:rFonts w:ascii="Arial" w:eastAsia="Calibri" w:hAnsi="Arial" w:cs="Arial"/>
                <w:sz w:val="20"/>
                <w:szCs w:val="20"/>
              </w:rPr>
              <w:tab/>
              <w:t>podizanje kvalitete i standarda života korisnika u Domu</w:t>
            </w:r>
          </w:p>
          <w:p w14:paraId="78BBCEBE" w14:textId="77777777" w:rsidR="003C2C49" w:rsidRPr="003A2F86" w:rsidRDefault="003C2C49" w:rsidP="003C2C49">
            <w:pPr>
              <w:spacing w:after="0" w:line="240" w:lineRule="auto"/>
              <w:rPr>
                <w:rFonts w:ascii="Arial" w:eastAsia="Calibri" w:hAnsi="Arial" w:cs="Arial"/>
                <w:sz w:val="20"/>
                <w:szCs w:val="20"/>
              </w:rPr>
            </w:pPr>
            <w:r w:rsidRPr="003A2F86">
              <w:rPr>
                <w:rFonts w:ascii="Arial" w:eastAsia="Calibri" w:hAnsi="Arial" w:cs="Arial"/>
                <w:sz w:val="20"/>
                <w:szCs w:val="20"/>
              </w:rPr>
              <w:t>-</w:t>
            </w:r>
            <w:r w:rsidRPr="003A2F86">
              <w:rPr>
                <w:rFonts w:ascii="Arial" w:eastAsia="Calibri" w:hAnsi="Arial" w:cs="Arial"/>
                <w:sz w:val="20"/>
                <w:szCs w:val="20"/>
              </w:rPr>
              <w:tab/>
              <w:t>podizanje kvalitete i standarda pružene zdravstvene usluge i usluge njege</w:t>
            </w:r>
          </w:p>
          <w:p w14:paraId="57F73BE5" w14:textId="77777777" w:rsidR="003C2C49" w:rsidRPr="003A2F86" w:rsidRDefault="003C2C49" w:rsidP="003C2C49">
            <w:pPr>
              <w:spacing w:after="0" w:line="240" w:lineRule="auto"/>
              <w:rPr>
                <w:rFonts w:ascii="Arial" w:eastAsia="Calibri" w:hAnsi="Arial" w:cs="Arial"/>
                <w:sz w:val="20"/>
                <w:szCs w:val="20"/>
              </w:rPr>
            </w:pPr>
            <w:r w:rsidRPr="003A2F86">
              <w:rPr>
                <w:rFonts w:ascii="Arial" w:eastAsia="Calibri" w:hAnsi="Arial" w:cs="Arial"/>
                <w:sz w:val="20"/>
                <w:szCs w:val="20"/>
              </w:rPr>
              <w:t>-</w:t>
            </w:r>
            <w:r w:rsidRPr="003A2F86">
              <w:rPr>
                <w:rFonts w:ascii="Arial" w:eastAsia="Calibri" w:hAnsi="Arial" w:cs="Arial"/>
                <w:sz w:val="20"/>
                <w:szCs w:val="20"/>
              </w:rPr>
              <w:tab/>
              <w:t>podizanje kvalitete usluge socijalnog rada i radne terapije</w:t>
            </w:r>
          </w:p>
          <w:p w14:paraId="42C1972F" w14:textId="77777777" w:rsidR="003C2C49" w:rsidRPr="003A2F86" w:rsidRDefault="003C2C49" w:rsidP="003C2C49">
            <w:pPr>
              <w:spacing w:after="0" w:line="240" w:lineRule="auto"/>
              <w:rPr>
                <w:rFonts w:ascii="Arial" w:eastAsia="Calibri" w:hAnsi="Arial" w:cs="Arial"/>
                <w:sz w:val="20"/>
                <w:szCs w:val="20"/>
              </w:rPr>
            </w:pPr>
            <w:r w:rsidRPr="003A2F86">
              <w:rPr>
                <w:rFonts w:ascii="Arial" w:eastAsia="Calibri" w:hAnsi="Arial" w:cs="Arial"/>
                <w:sz w:val="20"/>
                <w:szCs w:val="20"/>
              </w:rPr>
              <w:t>-</w:t>
            </w:r>
            <w:r w:rsidRPr="003A2F86">
              <w:rPr>
                <w:rFonts w:ascii="Arial" w:eastAsia="Calibri" w:hAnsi="Arial" w:cs="Arial"/>
                <w:sz w:val="20"/>
                <w:szCs w:val="20"/>
              </w:rPr>
              <w:tab/>
              <w:t>poboljšanje organiziranja odvijanja svih poslovnih funkcija u Domu i kontinuirani nadzor nad kvalitetom rada svakog odjela</w:t>
            </w:r>
          </w:p>
          <w:p w14:paraId="17D1BB7F" w14:textId="77777777" w:rsidR="003C2C49" w:rsidRPr="003A2F86" w:rsidRDefault="003C2C49" w:rsidP="003C2C49">
            <w:pPr>
              <w:spacing w:after="0" w:line="240" w:lineRule="auto"/>
              <w:rPr>
                <w:rFonts w:ascii="Arial" w:eastAsia="Calibri" w:hAnsi="Arial" w:cs="Arial"/>
                <w:sz w:val="20"/>
                <w:szCs w:val="20"/>
              </w:rPr>
            </w:pPr>
            <w:r w:rsidRPr="003A2F86">
              <w:rPr>
                <w:rFonts w:ascii="Arial" w:eastAsia="Calibri" w:hAnsi="Arial" w:cs="Arial"/>
                <w:sz w:val="20"/>
                <w:szCs w:val="20"/>
              </w:rPr>
              <w:t>-</w:t>
            </w:r>
            <w:r w:rsidRPr="003A2F86">
              <w:rPr>
                <w:rFonts w:ascii="Arial" w:eastAsia="Calibri" w:hAnsi="Arial" w:cs="Arial"/>
                <w:sz w:val="20"/>
                <w:szCs w:val="20"/>
              </w:rPr>
              <w:tab/>
              <w:t>povećanje stručnih osposobljavanja zaposlenika, omogućavanje zapošljavanja mladim i obrazovanim osobama iz područja ekonomskih znanosti, zdravstvene skrbi, socijalnog rada radi stjecanja iskustva,</w:t>
            </w:r>
          </w:p>
          <w:p w14:paraId="63F1D6F7" w14:textId="6412AD4F" w:rsidR="00F65E36" w:rsidRPr="003A2F86" w:rsidRDefault="003C2C49" w:rsidP="003C2C49">
            <w:pPr>
              <w:autoSpaceDE w:val="0"/>
              <w:autoSpaceDN w:val="0"/>
              <w:adjustRightInd w:val="0"/>
              <w:spacing w:after="0" w:line="240" w:lineRule="auto"/>
              <w:rPr>
                <w:rFonts w:ascii="Arial" w:eastAsia="Calibri" w:hAnsi="Arial" w:cs="Arial"/>
                <w:sz w:val="20"/>
                <w:szCs w:val="20"/>
              </w:rPr>
            </w:pPr>
            <w:r w:rsidRPr="003A2F86">
              <w:rPr>
                <w:rFonts w:ascii="Arial" w:eastAsia="Calibri" w:hAnsi="Arial" w:cs="Arial"/>
                <w:sz w:val="20"/>
                <w:szCs w:val="20"/>
              </w:rPr>
              <w:t>-</w:t>
            </w:r>
            <w:r w:rsidRPr="003A2F86">
              <w:rPr>
                <w:rFonts w:ascii="Arial" w:eastAsia="Calibri" w:hAnsi="Arial" w:cs="Arial"/>
                <w:sz w:val="20"/>
                <w:szCs w:val="20"/>
              </w:rPr>
              <w:tab/>
              <w:t>povećanje broja suradnji s volonterima, suradnji s dječjim vrtićima i osnovnim školama, ustanovom Muzeji i galerije Konavala, kulturno-umjetničkim društvima (zborovima, folklornim društvima, klapama, dramskim grupama), suradnja s drugim domovima.</w:t>
            </w:r>
          </w:p>
        </w:tc>
      </w:tr>
    </w:tbl>
    <w:p w14:paraId="16A7F216" w14:textId="77777777" w:rsidR="00B6707A" w:rsidRPr="003A2F86" w:rsidRDefault="00B6707A" w:rsidP="00F65E36">
      <w:pPr>
        <w:spacing w:after="0" w:line="240" w:lineRule="auto"/>
        <w:rPr>
          <w:rFonts w:ascii="Arial" w:eastAsia="Calibri" w:hAnsi="Arial" w:cs="Arial"/>
        </w:rPr>
      </w:pPr>
    </w:p>
    <w:p w14:paraId="6B1D3FF3" w14:textId="77777777" w:rsidR="00F65E36" w:rsidRPr="003A2F86" w:rsidRDefault="00F65E36">
      <w:pPr>
        <w:pStyle w:val="Odlomakpopisa"/>
        <w:numPr>
          <w:ilvl w:val="0"/>
          <w:numId w:val="33"/>
        </w:numPr>
        <w:pBdr>
          <w:top w:val="single" w:sz="4" w:space="1" w:color="auto"/>
          <w:left w:val="single" w:sz="4" w:space="0" w:color="auto"/>
          <w:bottom w:val="single" w:sz="4" w:space="1" w:color="auto"/>
          <w:right w:val="single" w:sz="4" w:space="4" w:color="auto"/>
        </w:pBdr>
        <w:ind w:left="3828" w:right="1948" w:hanging="851"/>
        <w:jc w:val="left"/>
        <w:rPr>
          <w:rFonts w:ascii="Arial" w:eastAsia="Calibri" w:hAnsi="Arial" w:cs="Arial"/>
          <w:lang w:eastAsia="hr-HR"/>
        </w:rPr>
      </w:pPr>
      <w:r w:rsidRPr="003A2F86">
        <w:rPr>
          <w:rFonts w:ascii="Arial" w:eastAsia="Calibri" w:hAnsi="Arial" w:cs="Arial"/>
          <w:b/>
        </w:rPr>
        <w:t>Procjena i ishodište potrebnih sredstava za aktivnosti unutar programa</w:t>
      </w:r>
    </w:p>
    <w:p w14:paraId="5C2B3B92" w14:textId="77777777" w:rsidR="00F65E36" w:rsidRPr="003A2F86" w:rsidRDefault="00F65E36" w:rsidP="00F65E36">
      <w:pPr>
        <w:spacing w:after="0" w:line="240" w:lineRule="auto"/>
        <w:rPr>
          <w:rFonts w:ascii="Arial" w:eastAsia="Calibri" w:hAnsi="Arial" w:cs="Arial"/>
        </w:rPr>
      </w:pPr>
    </w:p>
    <w:bookmarkEnd w:id="655"/>
    <w:p w14:paraId="75DD221D" w14:textId="701AA5E7" w:rsidR="00522833" w:rsidRPr="003A2F86" w:rsidRDefault="00EF35EC" w:rsidP="00522833">
      <w:pPr>
        <w:spacing w:after="0" w:line="240" w:lineRule="auto"/>
        <w:jc w:val="both"/>
        <w:rPr>
          <w:rFonts w:ascii="Arial" w:eastAsia="Calibri" w:hAnsi="Arial" w:cs="Arial"/>
          <w:sz w:val="20"/>
          <w:szCs w:val="20"/>
        </w:rPr>
      </w:pPr>
      <w:r w:rsidRPr="003A2F86">
        <w:rPr>
          <w:rFonts w:ascii="Arial" w:eastAsia="Calibri" w:hAnsi="Arial" w:cs="Arial"/>
          <w:sz w:val="20"/>
          <w:szCs w:val="20"/>
        </w:rPr>
        <w:t>Izvršenje aktivnosti sadržanih u ovom programu za 201</w:t>
      </w:r>
      <w:r w:rsidR="00AE2EA0">
        <w:rPr>
          <w:rFonts w:ascii="Arial" w:eastAsia="Calibri" w:hAnsi="Arial" w:cs="Arial"/>
          <w:sz w:val="20"/>
          <w:szCs w:val="20"/>
        </w:rPr>
        <w:t>5</w:t>
      </w:r>
      <w:r w:rsidRPr="003A2F86">
        <w:rPr>
          <w:rFonts w:ascii="Arial" w:eastAsia="Calibri" w:hAnsi="Arial" w:cs="Arial"/>
          <w:sz w:val="20"/>
          <w:szCs w:val="20"/>
        </w:rPr>
        <w:t>.-202</w:t>
      </w:r>
      <w:r w:rsidR="005E3586">
        <w:rPr>
          <w:rFonts w:ascii="Arial" w:eastAsia="Calibri" w:hAnsi="Arial" w:cs="Arial"/>
          <w:sz w:val="20"/>
          <w:szCs w:val="20"/>
        </w:rPr>
        <w:t>4</w:t>
      </w:r>
      <w:r w:rsidRPr="003A2F86">
        <w:rPr>
          <w:rFonts w:ascii="Arial" w:eastAsia="Calibri" w:hAnsi="Arial" w:cs="Arial"/>
          <w:sz w:val="20"/>
          <w:szCs w:val="20"/>
        </w:rPr>
        <w:t>., plan za 202</w:t>
      </w:r>
      <w:r w:rsidR="005E3586">
        <w:rPr>
          <w:rFonts w:ascii="Arial" w:eastAsia="Calibri" w:hAnsi="Arial" w:cs="Arial"/>
          <w:sz w:val="20"/>
          <w:szCs w:val="20"/>
        </w:rPr>
        <w:t>5</w:t>
      </w:r>
      <w:r w:rsidRPr="003A2F86">
        <w:rPr>
          <w:rFonts w:ascii="Arial" w:eastAsia="Calibri" w:hAnsi="Arial" w:cs="Arial"/>
          <w:sz w:val="20"/>
          <w:szCs w:val="20"/>
        </w:rPr>
        <w:t>., izvršenje za 202</w:t>
      </w:r>
      <w:r w:rsidR="005E3586">
        <w:rPr>
          <w:rFonts w:ascii="Arial" w:eastAsia="Calibri" w:hAnsi="Arial" w:cs="Arial"/>
          <w:sz w:val="20"/>
          <w:szCs w:val="20"/>
        </w:rPr>
        <w:t>5</w:t>
      </w:r>
      <w:r w:rsidRPr="003A2F86">
        <w:rPr>
          <w:rFonts w:ascii="Arial" w:eastAsia="Calibri" w:hAnsi="Arial" w:cs="Arial"/>
          <w:sz w:val="20"/>
          <w:szCs w:val="20"/>
        </w:rPr>
        <w:t>., projekcije za 202</w:t>
      </w:r>
      <w:r w:rsidR="005E3586">
        <w:rPr>
          <w:rFonts w:ascii="Arial" w:eastAsia="Calibri" w:hAnsi="Arial" w:cs="Arial"/>
          <w:sz w:val="20"/>
          <w:szCs w:val="20"/>
        </w:rPr>
        <w:t>6</w:t>
      </w:r>
      <w:r w:rsidRPr="003A2F86">
        <w:rPr>
          <w:rFonts w:ascii="Arial" w:eastAsia="Calibri" w:hAnsi="Arial" w:cs="Arial"/>
          <w:sz w:val="20"/>
          <w:szCs w:val="20"/>
        </w:rPr>
        <w:t>.-202</w:t>
      </w:r>
      <w:r w:rsidR="005E3586">
        <w:rPr>
          <w:rFonts w:ascii="Arial" w:eastAsia="Calibri" w:hAnsi="Arial" w:cs="Arial"/>
          <w:sz w:val="20"/>
          <w:szCs w:val="20"/>
        </w:rPr>
        <w:t>7</w:t>
      </w:r>
      <w:r w:rsidRPr="003A2F86">
        <w:rPr>
          <w:rFonts w:ascii="Arial" w:eastAsia="Calibri" w:hAnsi="Arial" w:cs="Arial"/>
          <w:sz w:val="20"/>
          <w:szCs w:val="20"/>
        </w:rPr>
        <w:t>. iskazuju se u valuti EURO kako slijedi:</w:t>
      </w:r>
    </w:p>
    <w:p w14:paraId="6C6E44CB" w14:textId="77777777" w:rsidR="00B656D0" w:rsidRPr="003A2F86" w:rsidRDefault="00B656D0" w:rsidP="00522833">
      <w:pPr>
        <w:spacing w:after="0" w:line="240" w:lineRule="auto"/>
        <w:jc w:val="both"/>
        <w:rPr>
          <w:rFonts w:ascii="Arial" w:eastAsia="Calibri" w:hAnsi="Arial" w:cs="Arial"/>
          <w:sz w:val="20"/>
          <w:szCs w:val="20"/>
        </w:rPr>
      </w:pPr>
    </w:p>
    <w:p w14:paraId="7C608DFF" w14:textId="75125627" w:rsidR="005F33F7" w:rsidRDefault="005F33F7" w:rsidP="003752B9">
      <w:pPr>
        <w:spacing w:after="0" w:line="240" w:lineRule="auto"/>
        <w:rPr>
          <w:noProof/>
        </w:rPr>
      </w:pPr>
    </w:p>
    <w:p w14:paraId="5AADBA6E" w14:textId="77777777" w:rsidR="008622B4" w:rsidRDefault="008622B4" w:rsidP="003752B9">
      <w:pPr>
        <w:spacing w:after="0" w:line="240" w:lineRule="auto"/>
        <w:rPr>
          <w:noProof/>
        </w:rPr>
      </w:pPr>
    </w:p>
    <w:p w14:paraId="29D41C94" w14:textId="162BF9A2" w:rsidR="008622B4" w:rsidRPr="003A2F86" w:rsidRDefault="00AE2EA0" w:rsidP="003752B9">
      <w:pPr>
        <w:spacing w:after="0" w:line="240" w:lineRule="auto"/>
        <w:rPr>
          <w:rFonts w:ascii="Arial" w:eastAsia="Calibri" w:hAnsi="Arial" w:cs="Arial"/>
          <w:color w:val="C00000"/>
          <w:sz w:val="20"/>
          <w:szCs w:val="20"/>
        </w:rPr>
      </w:pPr>
      <w:r w:rsidRPr="00AE2EA0">
        <w:rPr>
          <w:noProof/>
        </w:rPr>
        <w:lastRenderedPageBreak/>
        <w:drawing>
          <wp:inline distT="0" distB="0" distL="0" distR="0" wp14:anchorId="1AA5BB65" wp14:editId="4ECDE636">
            <wp:extent cx="9251950" cy="2216150"/>
            <wp:effectExtent l="0" t="0" r="6350" b="0"/>
            <wp:docPr id="703152157"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9251950" cy="2216150"/>
                    </a:xfrm>
                    <a:prstGeom prst="rect">
                      <a:avLst/>
                    </a:prstGeom>
                    <a:noFill/>
                    <a:ln>
                      <a:noFill/>
                    </a:ln>
                  </pic:spPr>
                </pic:pic>
              </a:graphicData>
            </a:graphic>
          </wp:inline>
        </w:drawing>
      </w:r>
    </w:p>
    <w:p w14:paraId="74DAF25A" w14:textId="77777777" w:rsidR="00E86585" w:rsidRPr="003A2F86" w:rsidRDefault="00E86585" w:rsidP="00E86585">
      <w:pPr>
        <w:shd w:val="clear" w:color="auto" w:fill="FFFFFF"/>
        <w:spacing w:after="0" w:line="240" w:lineRule="auto"/>
        <w:jc w:val="right"/>
        <w:rPr>
          <w:rFonts w:ascii="Arial" w:hAnsi="Arial" w:cs="Arial"/>
          <w:sz w:val="20"/>
          <w:szCs w:val="20"/>
        </w:rPr>
      </w:pPr>
      <w:r w:rsidRPr="003A2F86">
        <w:rPr>
          <w:rFonts w:ascii="Arial" w:hAnsi="Arial" w:cs="Arial"/>
          <w:b/>
          <w:sz w:val="20"/>
          <w:szCs w:val="20"/>
        </w:rPr>
        <w:t>RAZLOG ODSTUPANJA OD PROŠLOGODIŠNJIH PROJEKCIJA</w:t>
      </w:r>
      <w:r w:rsidRPr="003A2F86">
        <w:rPr>
          <w:rFonts w:ascii="Arial" w:hAnsi="Arial" w:cs="Arial"/>
          <w:sz w:val="20"/>
          <w:szCs w:val="20"/>
        </w:rPr>
        <w:t xml:space="preserve">: </w:t>
      </w:r>
    </w:p>
    <w:p w14:paraId="0E9064CE" w14:textId="77777777" w:rsidR="00E86585" w:rsidRPr="003A2F86" w:rsidRDefault="00E86585" w:rsidP="00E86585">
      <w:pPr>
        <w:shd w:val="clear" w:color="auto" w:fill="FFFFFF"/>
        <w:spacing w:after="0" w:line="240" w:lineRule="auto"/>
        <w:jc w:val="right"/>
        <w:rPr>
          <w:rFonts w:ascii="Arial" w:hAnsi="Arial" w:cs="Arial"/>
          <w:sz w:val="20"/>
          <w:szCs w:val="20"/>
        </w:rPr>
      </w:pPr>
      <w:r w:rsidRPr="003A2F86">
        <w:rPr>
          <w:rFonts w:ascii="Arial" w:hAnsi="Arial" w:cs="Arial"/>
          <w:sz w:val="20"/>
          <w:szCs w:val="20"/>
        </w:rPr>
        <w:t>Po navedenom programu nije bilo značajnijih odstupanja.</w:t>
      </w:r>
    </w:p>
    <w:p w14:paraId="5477DAEC" w14:textId="77777777" w:rsidR="00E86585" w:rsidRPr="00B50C13" w:rsidRDefault="00E86585" w:rsidP="00E86585">
      <w:pPr>
        <w:spacing w:after="0" w:line="240" w:lineRule="auto"/>
        <w:rPr>
          <w:rFonts w:ascii="Arial" w:eastAsia="Calibri" w:hAnsi="Arial" w:cs="Arial"/>
          <w:sz w:val="20"/>
          <w:szCs w:val="20"/>
        </w:rPr>
      </w:pPr>
    </w:p>
    <w:p w14:paraId="15167065" w14:textId="77777777" w:rsidR="00E86585" w:rsidRPr="00B50C13" w:rsidRDefault="00E86585" w:rsidP="00AE2EA0">
      <w:pPr>
        <w:spacing w:after="0" w:line="240" w:lineRule="auto"/>
        <w:jc w:val="both"/>
        <w:rPr>
          <w:rFonts w:ascii="Arial" w:eastAsia="Calibri" w:hAnsi="Arial" w:cs="Arial"/>
          <w:i/>
          <w:sz w:val="20"/>
          <w:szCs w:val="20"/>
        </w:rPr>
      </w:pPr>
      <w:r w:rsidRPr="00B50C13">
        <w:rPr>
          <w:rFonts w:ascii="Arial" w:eastAsia="Calibri" w:hAnsi="Arial" w:cs="Arial"/>
          <w:b/>
          <w:sz w:val="20"/>
          <w:szCs w:val="20"/>
        </w:rPr>
        <w:t>Ishodište i pokazatelji na kojima se zasnivaju izračuni i ocjene</w:t>
      </w:r>
      <w:r w:rsidRPr="00B50C13">
        <w:rPr>
          <w:rFonts w:ascii="Arial" w:eastAsia="Calibri" w:hAnsi="Arial" w:cs="Arial"/>
          <w:sz w:val="20"/>
          <w:szCs w:val="20"/>
        </w:rPr>
        <w:t xml:space="preserve"> </w:t>
      </w:r>
      <w:r w:rsidRPr="00B50C13">
        <w:rPr>
          <w:rFonts w:ascii="Arial" w:eastAsia="Calibri" w:hAnsi="Arial" w:cs="Arial"/>
          <w:b/>
          <w:sz w:val="20"/>
          <w:szCs w:val="20"/>
        </w:rPr>
        <w:t>potrebnih sredstava za provođenje programa:</w:t>
      </w:r>
      <w:r w:rsidRPr="00B50C13">
        <w:rPr>
          <w:rFonts w:ascii="Arial" w:eastAsia="Calibri" w:hAnsi="Arial" w:cs="Arial"/>
          <w:sz w:val="20"/>
          <w:szCs w:val="20"/>
        </w:rPr>
        <w:t xml:space="preserve"> Planske veličine su određene u predloženim iznosima temeljem ostvarenih ciljeva i postignutih rezultata iz prethodnih godina, te predviđanja promjena u izvršenju ciljeva u narednom razdoblju.</w:t>
      </w:r>
    </w:p>
    <w:p w14:paraId="18E2924F" w14:textId="3B5959AF" w:rsidR="00E86585" w:rsidRPr="00B50C13" w:rsidRDefault="00E86585" w:rsidP="00AE2EA0">
      <w:pPr>
        <w:spacing w:after="0" w:line="240" w:lineRule="auto"/>
        <w:jc w:val="both"/>
        <w:rPr>
          <w:rFonts w:ascii="Arial" w:eastAsia="Calibri" w:hAnsi="Arial" w:cs="Arial"/>
          <w:sz w:val="20"/>
          <w:szCs w:val="20"/>
        </w:rPr>
      </w:pPr>
      <w:r w:rsidRPr="00B50C13">
        <w:rPr>
          <w:rFonts w:ascii="Arial" w:eastAsia="Calibri" w:hAnsi="Arial" w:cs="Arial"/>
          <w:b/>
          <w:sz w:val="20"/>
          <w:szCs w:val="20"/>
        </w:rPr>
        <w:t>Izvještaj o postignutim ciljevima i rezultatima programa temeljenim na pokazateljima uspješnosti u prethodnoj godini</w:t>
      </w:r>
      <w:r w:rsidRPr="00B50C13">
        <w:rPr>
          <w:rFonts w:ascii="Arial" w:eastAsia="Calibri" w:hAnsi="Arial" w:cs="Arial"/>
          <w:sz w:val="20"/>
          <w:szCs w:val="20"/>
        </w:rPr>
        <w:t xml:space="preserve">: Izvršenje tekućeg </w:t>
      </w:r>
      <w:r w:rsidR="000B7311" w:rsidRPr="00B50C13">
        <w:rPr>
          <w:rFonts w:ascii="Arial" w:eastAsia="Calibri" w:hAnsi="Arial" w:cs="Arial"/>
          <w:sz w:val="20"/>
          <w:szCs w:val="20"/>
        </w:rPr>
        <w:t>razdoblja</w:t>
      </w:r>
      <w:r w:rsidRPr="00B50C13">
        <w:rPr>
          <w:rFonts w:ascii="Arial" w:eastAsia="Calibri" w:hAnsi="Arial" w:cs="Arial"/>
          <w:sz w:val="20"/>
          <w:szCs w:val="20"/>
        </w:rPr>
        <w:t xml:space="preserve"> je u skladu s očekivanim.</w:t>
      </w:r>
    </w:p>
    <w:p w14:paraId="4199F3B2" w14:textId="77777777" w:rsidR="006E0132" w:rsidRPr="00B358E3" w:rsidRDefault="006E0132" w:rsidP="006E0132">
      <w:pPr>
        <w:spacing w:after="0" w:line="240" w:lineRule="auto"/>
        <w:jc w:val="both"/>
        <w:rPr>
          <w:rFonts w:ascii="Arial" w:eastAsia="Calibri" w:hAnsi="Arial" w:cs="Arial"/>
          <w:sz w:val="18"/>
          <w:szCs w:val="18"/>
        </w:rPr>
      </w:pPr>
    </w:p>
    <w:p w14:paraId="2E6A8D05" w14:textId="6A3F0BBA" w:rsidR="006E0132" w:rsidRPr="00B358E3" w:rsidRDefault="006E0132" w:rsidP="006E0132">
      <w:pPr>
        <w:spacing w:after="0" w:line="240" w:lineRule="auto"/>
        <w:jc w:val="both"/>
        <w:rPr>
          <w:rFonts w:ascii="Arial" w:eastAsia="Calibri" w:hAnsi="Arial" w:cs="Arial"/>
          <w:sz w:val="20"/>
          <w:szCs w:val="20"/>
        </w:rPr>
      </w:pPr>
      <w:r w:rsidRPr="00B358E3">
        <w:rPr>
          <w:rFonts w:ascii="Arial" w:eastAsia="Calibri" w:hAnsi="Arial" w:cs="Arial"/>
          <w:sz w:val="20"/>
          <w:szCs w:val="20"/>
        </w:rPr>
        <w:t xml:space="preserve">Ukupno planirana sredstva na razini programa iznose </w:t>
      </w:r>
      <w:r w:rsidR="00AE2EA0">
        <w:rPr>
          <w:rFonts w:ascii="Arial" w:eastAsia="Calibri" w:hAnsi="Arial" w:cs="Arial"/>
          <w:sz w:val="20"/>
          <w:szCs w:val="20"/>
        </w:rPr>
        <w:t>1.517.760</w:t>
      </w:r>
      <w:r w:rsidRPr="00B358E3">
        <w:rPr>
          <w:rFonts w:ascii="Arial" w:eastAsia="Calibri" w:hAnsi="Arial" w:cs="Arial"/>
          <w:sz w:val="20"/>
          <w:szCs w:val="20"/>
        </w:rPr>
        <w:t xml:space="preserve"> €. Rashodi su izvršeni u iznosu </w:t>
      </w:r>
      <w:r w:rsidR="00784A09">
        <w:rPr>
          <w:rFonts w:ascii="Arial" w:eastAsia="Calibri" w:hAnsi="Arial" w:cs="Arial"/>
          <w:sz w:val="20"/>
          <w:szCs w:val="20"/>
        </w:rPr>
        <w:t>1.440.757,88</w:t>
      </w:r>
      <w:r w:rsidR="0044099F" w:rsidRPr="00B358E3">
        <w:rPr>
          <w:rFonts w:ascii="Arial" w:eastAsia="Calibri" w:hAnsi="Arial" w:cs="Arial"/>
          <w:sz w:val="20"/>
          <w:szCs w:val="20"/>
        </w:rPr>
        <w:t xml:space="preserve"> </w:t>
      </w:r>
      <w:r w:rsidRPr="00B358E3">
        <w:rPr>
          <w:rFonts w:ascii="Arial" w:eastAsia="Calibri" w:hAnsi="Arial" w:cs="Arial"/>
          <w:sz w:val="20"/>
          <w:szCs w:val="20"/>
        </w:rPr>
        <w:t xml:space="preserve">€ ili </w:t>
      </w:r>
      <w:r w:rsidR="00784A09">
        <w:rPr>
          <w:rFonts w:ascii="Arial" w:eastAsia="Calibri" w:hAnsi="Arial" w:cs="Arial"/>
          <w:sz w:val="20"/>
          <w:szCs w:val="20"/>
        </w:rPr>
        <w:t>94,9%</w:t>
      </w:r>
      <w:r w:rsidRPr="00B358E3">
        <w:rPr>
          <w:rFonts w:ascii="Arial" w:eastAsia="Calibri" w:hAnsi="Arial" w:cs="Arial"/>
          <w:sz w:val="20"/>
          <w:szCs w:val="20"/>
        </w:rPr>
        <w:t xml:space="preserve"> plana. </w:t>
      </w:r>
    </w:p>
    <w:p w14:paraId="47139C58" w14:textId="77777777" w:rsidR="00E86585" w:rsidRPr="00B358E3" w:rsidRDefault="00E86585" w:rsidP="00E86585">
      <w:pPr>
        <w:autoSpaceDE w:val="0"/>
        <w:autoSpaceDN w:val="0"/>
        <w:adjustRightInd w:val="0"/>
        <w:spacing w:after="0" w:line="240" w:lineRule="auto"/>
        <w:rPr>
          <w:rFonts w:ascii="Arial" w:eastAsia="Calibri" w:hAnsi="Arial" w:cs="Arial"/>
          <w:sz w:val="20"/>
          <w:szCs w:val="20"/>
        </w:rPr>
      </w:pPr>
    </w:p>
    <w:p w14:paraId="5661A5EC" w14:textId="77777777" w:rsidR="00E86585" w:rsidRPr="00B358E3" w:rsidRDefault="00E86585">
      <w:pPr>
        <w:pStyle w:val="Odlomakpopisa"/>
        <w:numPr>
          <w:ilvl w:val="0"/>
          <w:numId w:val="33"/>
        </w:numPr>
        <w:pBdr>
          <w:top w:val="single" w:sz="4" w:space="1" w:color="auto"/>
          <w:left w:val="single" w:sz="4" w:space="0" w:color="auto"/>
          <w:bottom w:val="single" w:sz="4" w:space="1" w:color="auto"/>
          <w:right w:val="single" w:sz="4" w:space="0" w:color="auto"/>
        </w:pBdr>
        <w:ind w:left="0"/>
        <w:jc w:val="center"/>
        <w:rPr>
          <w:rFonts w:ascii="Arial" w:eastAsia="Calibri" w:hAnsi="Arial" w:cs="Arial"/>
          <w:b/>
        </w:rPr>
      </w:pPr>
      <w:r w:rsidRPr="00B358E3">
        <w:rPr>
          <w:rFonts w:ascii="Arial" w:eastAsia="Calibri" w:hAnsi="Arial" w:cs="Arial"/>
          <w:b/>
        </w:rPr>
        <w:t>Obrazloženje aktivnosti / projekata i pokazatelji uspješnosti</w:t>
      </w:r>
    </w:p>
    <w:p w14:paraId="1475B34C" w14:textId="026C1E64" w:rsidR="00661073" w:rsidRPr="00B358E3" w:rsidRDefault="00661073" w:rsidP="003752B9">
      <w:pPr>
        <w:spacing w:after="0" w:line="240" w:lineRule="auto"/>
        <w:rPr>
          <w:rFonts w:ascii="Arial" w:eastAsia="Calibri" w:hAnsi="Arial" w:cs="Arial"/>
          <w:sz w:val="20"/>
          <w:szCs w:val="20"/>
        </w:rPr>
      </w:pPr>
    </w:p>
    <w:p w14:paraId="54F33CD5" w14:textId="77777777" w:rsidR="003752B9" w:rsidRPr="00B358E3" w:rsidRDefault="003752B9" w:rsidP="003752B9">
      <w:pPr>
        <w:spacing w:after="0" w:line="240" w:lineRule="auto"/>
        <w:jc w:val="both"/>
        <w:rPr>
          <w:rFonts w:ascii="Arial" w:eastAsia="Calibri" w:hAnsi="Arial" w:cs="Arial"/>
          <w:sz w:val="20"/>
          <w:szCs w:val="20"/>
        </w:rPr>
      </w:pPr>
      <w:r w:rsidRPr="00B358E3">
        <w:rPr>
          <w:rFonts w:ascii="Arial" w:eastAsia="Calibri" w:hAnsi="Arial" w:cs="Arial"/>
          <w:sz w:val="20"/>
          <w:szCs w:val="20"/>
        </w:rPr>
        <w:t>Unutar programa izvode se slijedeće aktivnosti i projekti:</w:t>
      </w:r>
    </w:p>
    <w:p w14:paraId="12719B90" w14:textId="77777777" w:rsidR="00530288" w:rsidRPr="00B358E3" w:rsidRDefault="00530288" w:rsidP="00530288">
      <w:pPr>
        <w:autoSpaceDE w:val="0"/>
        <w:autoSpaceDN w:val="0"/>
        <w:adjustRightInd w:val="0"/>
        <w:spacing w:after="0" w:line="240" w:lineRule="auto"/>
        <w:jc w:val="both"/>
        <w:rPr>
          <w:rFonts w:ascii="Arial" w:eastAsia="Calibri" w:hAnsi="Arial" w:cs="Arial"/>
          <w:sz w:val="20"/>
          <w:szCs w:val="20"/>
        </w:rPr>
      </w:pPr>
    </w:p>
    <w:p w14:paraId="4D40E4CB" w14:textId="136FF320" w:rsidR="004628C7" w:rsidRPr="00B358E3" w:rsidRDefault="00D60635" w:rsidP="004628C7">
      <w:pPr>
        <w:autoSpaceDE w:val="0"/>
        <w:autoSpaceDN w:val="0"/>
        <w:adjustRightInd w:val="0"/>
        <w:spacing w:after="0" w:line="240" w:lineRule="auto"/>
        <w:jc w:val="both"/>
        <w:rPr>
          <w:rFonts w:ascii="Arial" w:eastAsia="Calibri" w:hAnsi="Arial" w:cs="Arial"/>
          <w:sz w:val="20"/>
          <w:szCs w:val="20"/>
        </w:rPr>
      </w:pPr>
      <w:r w:rsidRPr="00B358E3">
        <w:rPr>
          <w:rFonts w:ascii="Arial" w:eastAsia="Calibri" w:hAnsi="Arial" w:cs="Arial"/>
          <w:b/>
          <w:sz w:val="20"/>
          <w:szCs w:val="20"/>
        </w:rPr>
        <w:t>1. A204401: Redovna djelatnost – sufinanciranje djelatnosti Doma za starije i nemoćne osobe</w:t>
      </w:r>
      <w:r w:rsidRPr="00B358E3">
        <w:rPr>
          <w:rFonts w:ascii="Arial" w:eastAsia="Calibri" w:hAnsi="Arial" w:cs="Arial"/>
          <w:sz w:val="20"/>
          <w:szCs w:val="20"/>
        </w:rPr>
        <w:t xml:space="preserve"> - Proračunska sredstva su planirana u iznosu </w:t>
      </w:r>
      <w:r w:rsidR="00515561">
        <w:rPr>
          <w:rFonts w:ascii="Arial" w:eastAsia="Calibri" w:hAnsi="Arial" w:cs="Arial"/>
          <w:sz w:val="20"/>
          <w:szCs w:val="20"/>
        </w:rPr>
        <w:t>5</w:t>
      </w:r>
      <w:r w:rsidR="00784A09">
        <w:rPr>
          <w:rFonts w:ascii="Arial" w:eastAsia="Calibri" w:hAnsi="Arial" w:cs="Arial"/>
          <w:sz w:val="20"/>
          <w:szCs w:val="20"/>
        </w:rPr>
        <w:t>11</w:t>
      </w:r>
      <w:r w:rsidR="00AC4EAF" w:rsidRPr="00B358E3">
        <w:rPr>
          <w:rFonts w:ascii="Arial" w:eastAsia="Calibri" w:hAnsi="Arial" w:cs="Arial"/>
          <w:sz w:val="20"/>
          <w:szCs w:val="20"/>
        </w:rPr>
        <w:t>.000</w:t>
      </w:r>
      <w:r w:rsidR="00B6707A" w:rsidRPr="00B358E3">
        <w:rPr>
          <w:rFonts w:ascii="Arial" w:eastAsia="Calibri" w:hAnsi="Arial" w:cs="Arial"/>
          <w:sz w:val="20"/>
          <w:szCs w:val="20"/>
        </w:rPr>
        <w:t xml:space="preserve"> €</w:t>
      </w:r>
      <w:r w:rsidR="004628C7" w:rsidRPr="00B358E3">
        <w:rPr>
          <w:rFonts w:ascii="Arial" w:eastAsia="Calibri" w:hAnsi="Arial" w:cs="Arial"/>
          <w:sz w:val="20"/>
          <w:szCs w:val="20"/>
        </w:rPr>
        <w:t xml:space="preserve"> </w:t>
      </w:r>
      <w:r w:rsidRPr="00B358E3">
        <w:rPr>
          <w:rFonts w:ascii="Arial" w:eastAsia="Calibri" w:hAnsi="Arial" w:cs="Arial"/>
          <w:sz w:val="20"/>
          <w:szCs w:val="20"/>
        </w:rPr>
        <w:t xml:space="preserve">i odnose se na rashode koji se podmiruju iz općinskog proračuna. </w:t>
      </w:r>
      <w:r w:rsidR="004628C7" w:rsidRPr="00B358E3">
        <w:rPr>
          <w:rFonts w:ascii="Arial" w:eastAsia="Calibri" w:hAnsi="Arial" w:cs="Arial"/>
          <w:sz w:val="20"/>
          <w:szCs w:val="20"/>
        </w:rPr>
        <w:t>Ovi rashodi su izvršeni</w:t>
      </w:r>
      <w:r w:rsidR="00F11D1C" w:rsidRPr="00B358E3">
        <w:rPr>
          <w:rFonts w:ascii="Arial" w:eastAsia="Calibri" w:hAnsi="Arial" w:cs="Arial"/>
          <w:sz w:val="20"/>
          <w:szCs w:val="20"/>
        </w:rPr>
        <w:t xml:space="preserve"> u iznosu </w:t>
      </w:r>
      <w:r w:rsidR="00784A09">
        <w:rPr>
          <w:rFonts w:ascii="Arial" w:eastAsia="Calibri" w:hAnsi="Arial" w:cs="Arial"/>
          <w:sz w:val="20"/>
          <w:szCs w:val="20"/>
        </w:rPr>
        <w:t>471.014,92</w:t>
      </w:r>
      <w:r w:rsidR="00B6707A" w:rsidRPr="00B358E3">
        <w:rPr>
          <w:rFonts w:ascii="Arial" w:eastAsia="Calibri" w:hAnsi="Arial" w:cs="Arial"/>
          <w:sz w:val="20"/>
          <w:szCs w:val="20"/>
        </w:rPr>
        <w:t xml:space="preserve"> €</w:t>
      </w:r>
      <w:r w:rsidR="00F11D1C" w:rsidRPr="00B358E3">
        <w:rPr>
          <w:rFonts w:ascii="Arial" w:eastAsia="Calibri" w:hAnsi="Arial" w:cs="Arial"/>
          <w:sz w:val="20"/>
          <w:szCs w:val="20"/>
        </w:rPr>
        <w:t xml:space="preserve"> ili </w:t>
      </w:r>
      <w:r w:rsidR="00784A09">
        <w:rPr>
          <w:rFonts w:ascii="Arial" w:eastAsia="Calibri" w:hAnsi="Arial" w:cs="Arial"/>
          <w:sz w:val="20"/>
          <w:szCs w:val="20"/>
        </w:rPr>
        <w:t>92,2</w:t>
      </w:r>
      <w:r w:rsidR="00F11D1C" w:rsidRPr="00B358E3">
        <w:rPr>
          <w:rFonts w:ascii="Arial" w:eastAsia="Calibri" w:hAnsi="Arial" w:cs="Arial"/>
          <w:sz w:val="20"/>
          <w:szCs w:val="20"/>
        </w:rPr>
        <w:t>%.</w:t>
      </w:r>
    </w:p>
    <w:p w14:paraId="2BA7EDAF" w14:textId="77777777" w:rsidR="004628C7" w:rsidRPr="00B358E3" w:rsidRDefault="004628C7" w:rsidP="003752B9">
      <w:pPr>
        <w:pStyle w:val="Odlomakpopisa"/>
        <w:autoSpaceDE w:val="0"/>
        <w:autoSpaceDN w:val="0"/>
        <w:adjustRightInd w:val="0"/>
        <w:ind w:left="0"/>
        <w:rPr>
          <w:rFonts w:ascii="Arial" w:eastAsia="Calibri" w:hAnsi="Arial" w:cs="Arial"/>
        </w:rPr>
      </w:pPr>
    </w:p>
    <w:p w14:paraId="3C525342" w14:textId="00F1DB46" w:rsidR="00F11D1C" w:rsidRPr="00B358E3" w:rsidRDefault="00F11D1C" w:rsidP="003752B9">
      <w:pPr>
        <w:pStyle w:val="Odlomakpopisa"/>
        <w:autoSpaceDE w:val="0"/>
        <w:autoSpaceDN w:val="0"/>
        <w:adjustRightInd w:val="0"/>
        <w:ind w:left="0"/>
        <w:rPr>
          <w:rFonts w:ascii="Arial" w:eastAsia="Calibri" w:hAnsi="Arial" w:cs="Arial"/>
        </w:rPr>
      </w:pPr>
      <w:r w:rsidRPr="00B358E3">
        <w:rPr>
          <w:rFonts w:ascii="Arial" w:eastAsia="Calibri" w:hAnsi="Arial" w:cs="Arial"/>
        </w:rPr>
        <w:t>Ovi rashodi odnose se na: rashode za bruto plaće (311), ostale rashode za zaposlene (313), doprinose na plaće (313) i naknade troškova zaposlenima (321, prijevoz na posao i s posla).</w:t>
      </w:r>
    </w:p>
    <w:p w14:paraId="15043959" w14:textId="77777777" w:rsidR="00626756" w:rsidRPr="00B358E3" w:rsidRDefault="00626756" w:rsidP="003752B9">
      <w:pPr>
        <w:pStyle w:val="Odlomakpopisa"/>
        <w:autoSpaceDE w:val="0"/>
        <w:autoSpaceDN w:val="0"/>
        <w:adjustRightInd w:val="0"/>
        <w:ind w:left="0"/>
        <w:rPr>
          <w:rFonts w:ascii="Arial" w:eastAsia="Calibri" w:hAnsi="Arial" w:cs="Arial"/>
        </w:rPr>
      </w:pPr>
    </w:p>
    <w:p w14:paraId="355B8ABC" w14:textId="4719CA6C" w:rsidR="00B6707A" w:rsidRPr="00B358E3" w:rsidRDefault="00174799" w:rsidP="00174799">
      <w:pPr>
        <w:autoSpaceDE w:val="0"/>
        <w:autoSpaceDN w:val="0"/>
        <w:adjustRightInd w:val="0"/>
        <w:spacing w:after="0" w:line="240" w:lineRule="auto"/>
        <w:jc w:val="both"/>
        <w:rPr>
          <w:rFonts w:ascii="Arial" w:eastAsia="Calibri" w:hAnsi="Arial" w:cs="Arial"/>
          <w:sz w:val="20"/>
          <w:szCs w:val="20"/>
        </w:rPr>
      </w:pPr>
      <w:r w:rsidRPr="00B358E3">
        <w:rPr>
          <w:rFonts w:ascii="Arial" w:eastAsia="Calibri" w:hAnsi="Arial" w:cs="Arial"/>
          <w:b/>
          <w:sz w:val="20"/>
          <w:szCs w:val="20"/>
        </w:rPr>
        <w:t>2. A204402: Redovna djelatnost Doma za starije i nemoćne osobe – vlastita djelatnost</w:t>
      </w:r>
      <w:r w:rsidRPr="00B358E3">
        <w:rPr>
          <w:rFonts w:ascii="Arial" w:eastAsia="Calibri" w:hAnsi="Arial" w:cs="Arial"/>
          <w:sz w:val="20"/>
          <w:szCs w:val="20"/>
        </w:rPr>
        <w:t xml:space="preserve"> - Proračunska sredstva su planirana u iznosu </w:t>
      </w:r>
      <w:r w:rsidR="00784A09">
        <w:rPr>
          <w:rFonts w:ascii="Arial" w:eastAsia="Calibri" w:hAnsi="Arial" w:cs="Arial"/>
          <w:sz w:val="20"/>
          <w:szCs w:val="20"/>
        </w:rPr>
        <w:t>1.006.010</w:t>
      </w:r>
      <w:r w:rsidR="00B6707A" w:rsidRPr="00B358E3">
        <w:rPr>
          <w:rFonts w:ascii="Arial" w:eastAsia="Calibri" w:hAnsi="Arial" w:cs="Arial"/>
          <w:sz w:val="20"/>
          <w:szCs w:val="20"/>
        </w:rPr>
        <w:t xml:space="preserve"> €</w:t>
      </w:r>
      <w:r w:rsidRPr="00B358E3">
        <w:rPr>
          <w:rFonts w:ascii="Arial" w:eastAsia="Calibri" w:hAnsi="Arial" w:cs="Arial"/>
          <w:sz w:val="20"/>
          <w:szCs w:val="20"/>
        </w:rPr>
        <w:t xml:space="preserve"> i odnose se na rashode koji bi se trebali podmiriti iz ostvarenih sredstava proračunskog korisnika (ostvareni prihodi od smještaja i prehrane korisnika Doma i prihodi od pružanja dodatnih usluga u Domu). </w:t>
      </w:r>
    </w:p>
    <w:p w14:paraId="5C27DD44" w14:textId="3367BF87" w:rsidR="00174799" w:rsidRPr="00B358E3" w:rsidRDefault="00174799" w:rsidP="00174799">
      <w:pPr>
        <w:autoSpaceDE w:val="0"/>
        <w:autoSpaceDN w:val="0"/>
        <w:adjustRightInd w:val="0"/>
        <w:spacing w:after="0" w:line="240" w:lineRule="auto"/>
        <w:jc w:val="both"/>
        <w:rPr>
          <w:rFonts w:ascii="Arial" w:eastAsia="Calibri" w:hAnsi="Arial" w:cs="Arial"/>
          <w:sz w:val="20"/>
          <w:szCs w:val="20"/>
        </w:rPr>
      </w:pPr>
      <w:r w:rsidRPr="00B358E3">
        <w:rPr>
          <w:rFonts w:ascii="Arial" w:eastAsia="Calibri" w:hAnsi="Arial" w:cs="Arial"/>
          <w:sz w:val="20"/>
          <w:szCs w:val="20"/>
        </w:rPr>
        <w:t xml:space="preserve">Ovi rashodi su izvršeni u iznosu </w:t>
      </w:r>
      <w:r w:rsidR="00784A09">
        <w:rPr>
          <w:rFonts w:ascii="Arial" w:eastAsia="Calibri" w:hAnsi="Arial" w:cs="Arial"/>
          <w:sz w:val="20"/>
          <w:szCs w:val="20"/>
        </w:rPr>
        <w:t>969.227,09</w:t>
      </w:r>
      <w:r w:rsidR="00B6707A" w:rsidRPr="00B358E3">
        <w:rPr>
          <w:rFonts w:ascii="Arial" w:eastAsia="Calibri" w:hAnsi="Arial" w:cs="Arial"/>
          <w:sz w:val="20"/>
          <w:szCs w:val="20"/>
        </w:rPr>
        <w:t xml:space="preserve"> €</w:t>
      </w:r>
      <w:r w:rsidRPr="00B358E3">
        <w:rPr>
          <w:rFonts w:ascii="Arial" w:eastAsia="Calibri" w:hAnsi="Arial" w:cs="Arial"/>
          <w:sz w:val="20"/>
          <w:szCs w:val="20"/>
        </w:rPr>
        <w:t xml:space="preserve"> ili </w:t>
      </w:r>
      <w:r w:rsidR="00784A09">
        <w:rPr>
          <w:rFonts w:ascii="Arial" w:eastAsia="Calibri" w:hAnsi="Arial" w:cs="Arial"/>
          <w:sz w:val="20"/>
          <w:szCs w:val="20"/>
        </w:rPr>
        <w:t>96,3</w:t>
      </w:r>
      <w:r w:rsidRPr="00B358E3">
        <w:rPr>
          <w:rFonts w:ascii="Arial" w:eastAsia="Calibri" w:hAnsi="Arial" w:cs="Arial"/>
          <w:sz w:val="20"/>
          <w:szCs w:val="20"/>
        </w:rPr>
        <w:t>% i odnose se na:</w:t>
      </w:r>
      <w:r w:rsidRPr="00B358E3">
        <w:rPr>
          <w:rFonts w:ascii="Arial" w:eastAsia="Times New Roman" w:hAnsi="Arial" w:cs="Arial"/>
          <w:sz w:val="20"/>
          <w:szCs w:val="20"/>
        </w:rPr>
        <w:t xml:space="preserve"> rashode za </w:t>
      </w:r>
      <w:r w:rsidRPr="00B358E3">
        <w:rPr>
          <w:rFonts w:ascii="Arial" w:eastAsia="Calibri" w:hAnsi="Arial" w:cs="Arial"/>
          <w:sz w:val="20"/>
          <w:szCs w:val="20"/>
        </w:rPr>
        <w:t xml:space="preserve">bruto plaće (311), ostale rashode za zaposlene (312), doprinose na plaće (313) </w:t>
      </w:r>
      <w:r w:rsidR="00AC4EAF" w:rsidRPr="00B358E3">
        <w:rPr>
          <w:rFonts w:ascii="Arial" w:eastAsia="Calibri" w:hAnsi="Arial" w:cs="Arial"/>
          <w:sz w:val="20"/>
          <w:szCs w:val="20"/>
        </w:rPr>
        <w:t xml:space="preserve">u iznosu </w:t>
      </w:r>
      <w:r w:rsidR="00784A09">
        <w:rPr>
          <w:rFonts w:ascii="Arial" w:eastAsia="Calibri" w:hAnsi="Arial" w:cs="Arial"/>
          <w:sz w:val="20"/>
          <w:szCs w:val="20"/>
        </w:rPr>
        <w:t>612.242,29</w:t>
      </w:r>
      <w:r w:rsidR="00AC4EAF" w:rsidRPr="00B358E3">
        <w:rPr>
          <w:rFonts w:ascii="Arial" w:eastAsia="Calibri" w:hAnsi="Arial" w:cs="Arial"/>
          <w:sz w:val="20"/>
          <w:szCs w:val="20"/>
        </w:rPr>
        <w:t xml:space="preserve"> €</w:t>
      </w:r>
      <w:r w:rsidRPr="00B358E3">
        <w:rPr>
          <w:rFonts w:ascii="Arial" w:eastAsia="Calibri" w:hAnsi="Arial" w:cs="Arial"/>
          <w:sz w:val="20"/>
          <w:szCs w:val="20"/>
        </w:rPr>
        <w:t xml:space="preserve">, </w:t>
      </w:r>
      <w:r w:rsidR="00AC4EAF" w:rsidRPr="00B358E3">
        <w:rPr>
          <w:rFonts w:ascii="Arial" w:eastAsia="Calibri" w:hAnsi="Arial" w:cs="Arial"/>
          <w:sz w:val="20"/>
          <w:szCs w:val="20"/>
        </w:rPr>
        <w:t xml:space="preserve">naknade troškova zaposlenima (321, prijevoz na posao i s posla, stručno usavršavanje djelatnika i službena putovanja) u iznosu </w:t>
      </w:r>
      <w:r w:rsidR="00784A09">
        <w:rPr>
          <w:rFonts w:ascii="Arial" w:eastAsia="Calibri" w:hAnsi="Arial" w:cs="Arial"/>
          <w:sz w:val="20"/>
          <w:szCs w:val="20"/>
        </w:rPr>
        <w:t>23.530,73</w:t>
      </w:r>
      <w:r w:rsidR="00AC4EAF" w:rsidRPr="00B358E3">
        <w:rPr>
          <w:rFonts w:ascii="Arial" w:eastAsia="Calibri" w:hAnsi="Arial" w:cs="Arial"/>
          <w:sz w:val="20"/>
          <w:szCs w:val="20"/>
        </w:rPr>
        <w:t xml:space="preserve"> €, </w:t>
      </w:r>
      <w:r w:rsidRPr="00B358E3">
        <w:rPr>
          <w:rFonts w:ascii="Arial" w:eastAsia="Calibri" w:hAnsi="Arial" w:cs="Arial"/>
          <w:sz w:val="20"/>
          <w:szCs w:val="20"/>
        </w:rPr>
        <w:t xml:space="preserve">rashode za materijal i energiju (322) u iznosu </w:t>
      </w:r>
      <w:r w:rsidR="00784A09">
        <w:rPr>
          <w:rFonts w:ascii="Arial" w:eastAsia="Calibri" w:hAnsi="Arial" w:cs="Arial"/>
          <w:sz w:val="20"/>
          <w:szCs w:val="20"/>
        </w:rPr>
        <w:t>216.099,77</w:t>
      </w:r>
      <w:r w:rsidR="00B6707A" w:rsidRPr="00B358E3">
        <w:rPr>
          <w:rFonts w:ascii="Arial" w:eastAsia="Calibri" w:hAnsi="Arial" w:cs="Arial"/>
          <w:sz w:val="20"/>
          <w:szCs w:val="20"/>
        </w:rPr>
        <w:t xml:space="preserve"> €</w:t>
      </w:r>
      <w:r w:rsidRPr="00B358E3">
        <w:rPr>
          <w:rFonts w:ascii="Arial" w:eastAsia="Calibri" w:hAnsi="Arial" w:cs="Arial"/>
          <w:sz w:val="20"/>
          <w:szCs w:val="20"/>
        </w:rPr>
        <w:t xml:space="preserve"> (trošak uredskog materijala i materijala za čišćenje</w:t>
      </w:r>
      <w:r w:rsidR="004C22B6" w:rsidRPr="00B358E3">
        <w:rPr>
          <w:rFonts w:ascii="Arial" w:eastAsia="Calibri" w:hAnsi="Arial" w:cs="Arial"/>
          <w:sz w:val="20"/>
          <w:szCs w:val="20"/>
        </w:rPr>
        <w:t xml:space="preserve">, </w:t>
      </w:r>
      <w:r w:rsidRPr="00B358E3">
        <w:rPr>
          <w:rFonts w:ascii="Arial" w:eastAsia="Calibri" w:hAnsi="Arial" w:cs="Arial"/>
          <w:sz w:val="20"/>
          <w:szCs w:val="20"/>
        </w:rPr>
        <w:t>pranje i održavanje, rashode za materijal-</w:t>
      </w:r>
      <w:r w:rsidR="0046305B" w:rsidRPr="00B358E3">
        <w:rPr>
          <w:rFonts w:ascii="Arial" w:eastAsia="Calibri" w:hAnsi="Arial" w:cs="Arial"/>
          <w:sz w:val="20"/>
          <w:szCs w:val="20"/>
        </w:rPr>
        <w:t>namirnice</w:t>
      </w:r>
      <w:r w:rsidRPr="00B358E3">
        <w:rPr>
          <w:rFonts w:ascii="Arial" w:eastAsia="Calibri" w:hAnsi="Arial" w:cs="Arial"/>
          <w:sz w:val="20"/>
          <w:szCs w:val="20"/>
        </w:rPr>
        <w:t xml:space="preserve"> </w:t>
      </w:r>
      <w:r w:rsidRPr="00B358E3">
        <w:rPr>
          <w:rFonts w:ascii="Arial" w:eastAsia="Calibri" w:hAnsi="Arial" w:cs="Arial"/>
          <w:sz w:val="20"/>
          <w:szCs w:val="20"/>
        </w:rPr>
        <w:lastRenderedPageBreak/>
        <w:t xml:space="preserve">za prehranu korisnika i materijal za zdravstvenu zaštitu i njegu korisnika, trošak energije (električna energije, plin, motorni benzin i lož ulje), materijal za tekuće i investicijsko održavanje, sitni inventar te radna odjeća i obuća zaposlenika), rashode za usluge (323) u iznosu </w:t>
      </w:r>
      <w:r w:rsidR="00784A09">
        <w:rPr>
          <w:rFonts w:ascii="Arial" w:eastAsia="Calibri" w:hAnsi="Arial" w:cs="Arial"/>
          <w:sz w:val="20"/>
          <w:szCs w:val="20"/>
        </w:rPr>
        <w:t>93.719,09</w:t>
      </w:r>
      <w:r w:rsidR="0030256E" w:rsidRPr="00B358E3">
        <w:rPr>
          <w:rFonts w:ascii="Arial" w:eastAsia="Calibri" w:hAnsi="Arial" w:cs="Arial"/>
          <w:sz w:val="20"/>
          <w:szCs w:val="20"/>
        </w:rPr>
        <w:t xml:space="preserve"> €</w:t>
      </w:r>
      <w:r w:rsidRPr="00B358E3">
        <w:rPr>
          <w:rFonts w:ascii="Arial" w:eastAsia="Calibri" w:hAnsi="Arial" w:cs="Arial"/>
          <w:sz w:val="20"/>
          <w:szCs w:val="20"/>
        </w:rPr>
        <w:t xml:space="preserve"> (usluge telefona i poštanske usluge</w:t>
      </w:r>
      <w:r w:rsidR="0030256E" w:rsidRPr="00B358E3">
        <w:rPr>
          <w:rFonts w:ascii="Arial" w:eastAsia="Calibri" w:hAnsi="Arial" w:cs="Arial"/>
          <w:sz w:val="20"/>
          <w:szCs w:val="20"/>
        </w:rPr>
        <w:t xml:space="preserve">, </w:t>
      </w:r>
      <w:r w:rsidRPr="00B358E3">
        <w:rPr>
          <w:rFonts w:ascii="Arial" w:eastAsia="Calibri" w:hAnsi="Arial" w:cs="Arial"/>
          <w:sz w:val="20"/>
          <w:szCs w:val="20"/>
        </w:rPr>
        <w:t>usluge tekućeg i investicijskog održavanj</w:t>
      </w:r>
      <w:r w:rsidR="00AC4EAF" w:rsidRPr="00B358E3">
        <w:rPr>
          <w:rFonts w:ascii="Arial" w:eastAsia="Calibri" w:hAnsi="Arial" w:cs="Arial"/>
          <w:sz w:val="20"/>
          <w:szCs w:val="20"/>
        </w:rPr>
        <w:t>a</w:t>
      </w:r>
      <w:r w:rsidRPr="00B358E3">
        <w:rPr>
          <w:rFonts w:ascii="Arial" w:eastAsia="Calibri" w:hAnsi="Arial" w:cs="Arial"/>
          <w:sz w:val="20"/>
          <w:szCs w:val="20"/>
        </w:rPr>
        <w:t>, usluge promidžbe i informiranja, komunalne usluge (opskrba vodom, odvoz smeća, usluge dimnjačara, deratizacije, dezinsekcije), zdravstvene usluge (usluge sistematskih pregleda radnika i usluge fizioterapeuta</w:t>
      </w:r>
      <w:r w:rsidR="0066762F" w:rsidRPr="00B358E3">
        <w:rPr>
          <w:rFonts w:ascii="Arial" w:eastAsia="Calibri" w:hAnsi="Arial" w:cs="Arial"/>
          <w:sz w:val="20"/>
          <w:szCs w:val="20"/>
        </w:rPr>
        <w:t xml:space="preserve"> za korisnike</w:t>
      </w:r>
      <w:r w:rsidRPr="00B358E3">
        <w:rPr>
          <w:rFonts w:ascii="Arial" w:eastAsia="Calibri" w:hAnsi="Arial" w:cs="Arial"/>
          <w:sz w:val="20"/>
          <w:szCs w:val="20"/>
        </w:rPr>
        <w:t>), intelektualne i osobne usluge te ostale usluge</w:t>
      </w:r>
      <w:r w:rsidR="00252898" w:rsidRPr="00B358E3">
        <w:rPr>
          <w:rFonts w:ascii="Arial" w:eastAsia="Calibri" w:hAnsi="Arial" w:cs="Arial"/>
          <w:sz w:val="20"/>
          <w:szCs w:val="20"/>
        </w:rPr>
        <w:t>)</w:t>
      </w:r>
      <w:r w:rsidRPr="00B358E3">
        <w:rPr>
          <w:rFonts w:ascii="Arial" w:eastAsia="Calibri" w:hAnsi="Arial" w:cs="Arial"/>
          <w:sz w:val="20"/>
          <w:szCs w:val="20"/>
        </w:rPr>
        <w:t xml:space="preserve">, ostale nespomenute rashode poslovanja (329) u iznosu </w:t>
      </w:r>
      <w:r w:rsidR="00784A09">
        <w:rPr>
          <w:rFonts w:ascii="Arial" w:eastAsia="Calibri" w:hAnsi="Arial" w:cs="Arial"/>
          <w:sz w:val="20"/>
          <w:szCs w:val="20"/>
        </w:rPr>
        <w:t>20.322,89</w:t>
      </w:r>
      <w:r w:rsidR="0030256E" w:rsidRPr="00B358E3">
        <w:rPr>
          <w:rFonts w:ascii="Arial" w:eastAsia="Calibri" w:hAnsi="Arial" w:cs="Arial"/>
          <w:sz w:val="20"/>
          <w:szCs w:val="20"/>
        </w:rPr>
        <w:t xml:space="preserve"> €</w:t>
      </w:r>
      <w:r w:rsidRPr="00B358E3">
        <w:rPr>
          <w:rFonts w:ascii="Arial" w:eastAsia="Calibri" w:hAnsi="Arial" w:cs="Arial"/>
          <w:sz w:val="20"/>
          <w:szCs w:val="20"/>
        </w:rPr>
        <w:t xml:space="preserve"> (</w:t>
      </w:r>
      <w:r w:rsidR="0066762F" w:rsidRPr="00B358E3">
        <w:rPr>
          <w:rFonts w:ascii="Arial" w:eastAsia="Calibri" w:hAnsi="Arial" w:cs="Arial"/>
          <w:sz w:val="20"/>
          <w:szCs w:val="20"/>
        </w:rPr>
        <w:t xml:space="preserve">naknade za rad upravnog vijeća </w:t>
      </w:r>
      <w:r w:rsidR="00784A09">
        <w:rPr>
          <w:rFonts w:ascii="Arial" w:eastAsia="Calibri" w:hAnsi="Arial" w:cs="Arial"/>
          <w:sz w:val="20"/>
          <w:szCs w:val="20"/>
        </w:rPr>
        <w:t>12.320,45</w:t>
      </w:r>
      <w:r w:rsidR="0066762F" w:rsidRPr="00B358E3">
        <w:rPr>
          <w:rFonts w:ascii="Arial" w:eastAsia="Calibri" w:hAnsi="Arial" w:cs="Arial"/>
          <w:sz w:val="20"/>
          <w:szCs w:val="20"/>
        </w:rPr>
        <w:t xml:space="preserve"> €, </w:t>
      </w:r>
      <w:r w:rsidRPr="00B358E3">
        <w:rPr>
          <w:rFonts w:ascii="Arial" w:eastAsia="Calibri" w:hAnsi="Arial" w:cs="Arial"/>
          <w:sz w:val="20"/>
          <w:szCs w:val="20"/>
        </w:rPr>
        <w:t xml:space="preserve">premije osiguranja </w:t>
      </w:r>
      <w:r w:rsidR="00784A09">
        <w:rPr>
          <w:rFonts w:ascii="Arial" w:eastAsia="Calibri" w:hAnsi="Arial" w:cs="Arial"/>
          <w:sz w:val="20"/>
          <w:szCs w:val="20"/>
        </w:rPr>
        <w:t>7.275,56</w:t>
      </w:r>
      <w:r w:rsidR="0030256E" w:rsidRPr="00B358E3">
        <w:rPr>
          <w:rFonts w:ascii="Arial" w:eastAsia="Calibri" w:hAnsi="Arial" w:cs="Arial"/>
          <w:sz w:val="20"/>
          <w:szCs w:val="20"/>
        </w:rPr>
        <w:t xml:space="preserve"> €</w:t>
      </w:r>
      <w:r w:rsidRPr="00B358E3">
        <w:rPr>
          <w:rFonts w:ascii="Arial" w:eastAsia="Calibri" w:hAnsi="Arial" w:cs="Arial"/>
          <w:sz w:val="20"/>
          <w:szCs w:val="20"/>
        </w:rPr>
        <w:t>, pristojbe i naknad</w:t>
      </w:r>
      <w:r w:rsidR="00AC4EAF" w:rsidRPr="00B358E3">
        <w:rPr>
          <w:rFonts w:ascii="Arial" w:eastAsia="Calibri" w:hAnsi="Arial" w:cs="Arial"/>
          <w:sz w:val="20"/>
          <w:szCs w:val="20"/>
        </w:rPr>
        <w:t>e</w:t>
      </w:r>
      <w:r w:rsidR="00B358E3" w:rsidRPr="00B358E3">
        <w:rPr>
          <w:rFonts w:ascii="Arial" w:eastAsia="Calibri" w:hAnsi="Arial" w:cs="Arial"/>
          <w:sz w:val="20"/>
          <w:szCs w:val="20"/>
        </w:rPr>
        <w:t xml:space="preserve"> </w:t>
      </w:r>
      <w:r w:rsidR="00784A09">
        <w:rPr>
          <w:rFonts w:ascii="Arial" w:eastAsia="Calibri" w:hAnsi="Arial" w:cs="Arial"/>
          <w:sz w:val="20"/>
          <w:szCs w:val="20"/>
        </w:rPr>
        <w:t>442,26</w:t>
      </w:r>
      <w:r w:rsidR="00B358E3" w:rsidRPr="00B358E3">
        <w:rPr>
          <w:rFonts w:ascii="Arial" w:eastAsia="Calibri" w:hAnsi="Arial" w:cs="Arial"/>
          <w:sz w:val="20"/>
          <w:szCs w:val="20"/>
        </w:rPr>
        <w:t xml:space="preserve"> €</w:t>
      </w:r>
      <w:r w:rsidR="00E56A76" w:rsidRPr="00B358E3">
        <w:rPr>
          <w:rFonts w:ascii="Arial" w:eastAsia="Calibri" w:hAnsi="Arial" w:cs="Arial"/>
          <w:sz w:val="20"/>
          <w:szCs w:val="20"/>
        </w:rPr>
        <w:t xml:space="preserve">, drugo </w:t>
      </w:r>
      <w:r w:rsidR="00784A09">
        <w:rPr>
          <w:rFonts w:ascii="Arial" w:eastAsia="Calibri" w:hAnsi="Arial" w:cs="Arial"/>
          <w:sz w:val="20"/>
          <w:szCs w:val="20"/>
        </w:rPr>
        <w:t>284,62</w:t>
      </w:r>
      <w:r w:rsidR="0066762F" w:rsidRPr="00B358E3">
        <w:rPr>
          <w:rFonts w:ascii="Arial" w:eastAsia="Calibri" w:hAnsi="Arial" w:cs="Arial"/>
          <w:sz w:val="20"/>
          <w:szCs w:val="20"/>
        </w:rPr>
        <w:t xml:space="preserve"> </w:t>
      </w:r>
      <w:r w:rsidR="0030256E" w:rsidRPr="00B358E3">
        <w:rPr>
          <w:rFonts w:ascii="Arial" w:eastAsia="Calibri" w:hAnsi="Arial" w:cs="Arial"/>
          <w:sz w:val="20"/>
          <w:szCs w:val="20"/>
        </w:rPr>
        <w:t>€</w:t>
      </w:r>
      <w:r w:rsidRPr="00B358E3">
        <w:rPr>
          <w:rFonts w:ascii="Arial" w:eastAsia="Calibri" w:hAnsi="Arial" w:cs="Arial"/>
          <w:sz w:val="20"/>
          <w:szCs w:val="20"/>
        </w:rPr>
        <w:t>),</w:t>
      </w:r>
      <w:r w:rsidR="00AC4EAF" w:rsidRPr="00B358E3">
        <w:rPr>
          <w:rFonts w:ascii="Arial" w:eastAsia="Calibri" w:hAnsi="Arial" w:cs="Arial"/>
          <w:sz w:val="20"/>
          <w:szCs w:val="20"/>
        </w:rPr>
        <w:t>dok nije bilo ostalih</w:t>
      </w:r>
      <w:r w:rsidRPr="00B358E3">
        <w:rPr>
          <w:rFonts w:ascii="Arial" w:eastAsia="Calibri" w:hAnsi="Arial" w:cs="Arial"/>
          <w:sz w:val="20"/>
          <w:szCs w:val="20"/>
        </w:rPr>
        <w:t xml:space="preserve"> financijsk</w:t>
      </w:r>
      <w:r w:rsidR="00AC4EAF" w:rsidRPr="00B358E3">
        <w:rPr>
          <w:rFonts w:ascii="Arial" w:eastAsia="Calibri" w:hAnsi="Arial" w:cs="Arial"/>
          <w:sz w:val="20"/>
          <w:szCs w:val="20"/>
        </w:rPr>
        <w:t>ih</w:t>
      </w:r>
      <w:r w:rsidRPr="00B358E3">
        <w:rPr>
          <w:rFonts w:ascii="Arial" w:eastAsia="Calibri" w:hAnsi="Arial" w:cs="Arial"/>
          <w:sz w:val="20"/>
          <w:szCs w:val="20"/>
        </w:rPr>
        <w:t xml:space="preserve"> rashod</w:t>
      </w:r>
      <w:r w:rsidR="00AC4EAF" w:rsidRPr="00B358E3">
        <w:rPr>
          <w:rFonts w:ascii="Arial" w:eastAsia="Calibri" w:hAnsi="Arial" w:cs="Arial"/>
          <w:sz w:val="20"/>
          <w:szCs w:val="20"/>
        </w:rPr>
        <w:t>a</w:t>
      </w:r>
      <w:r w:rsidRPr="00B358E3">
        <w:rPr>
          <w:rFonts w:ascii="Arial" w:eastAsia="Calibri" w:hAnsi="Arial" w:cs="Arial"/>
          <w:sz w:val="20"/>
          <w:szCs w:val="20"/>
        </w:rPr>
        <w:t xml:space="preserve"> (343) </w:t>
      </w:r>
      <w:r w:rsidR="00AC4EAF" w:rsidRPr="00B358E3">
        <w:rPr>
          <w:rFonts w:ascii="Arial" w:eastAsia="Calibri" w:hAnsi="Arial" w:cs="Arial"/>
          <w:sz w:val="20"/>
          <w:szCs w:val="20"/>
        </w:rPr>
        <w:t>(</w:t>
      </w:r>
      <w:r w:rsidRPr="00B358E3">
        <w:rPr>
          <w:rFonts w:ascii="Arial" w:eastAsia="Calibri" w:hAnsi="Arial" w:cs="Arial"/>
          <w:sz w:val="20"/>
          <w:szCs w:val="20"/>
        </w:rPr>
        <w:t>usluge platnog prometa</w:t>
      </w:r>
      <w:r w:rsidR="00AC4EAF" w:rsidRPr="00B358E3">
        <w:rPr>
          <w:rFonts w:ascii="Arial" w:eastAsia="Calibri" w:hAnsi="Arial" w:cs="Arial"/>
          <w:sz w:val="20"/>
          <w:szCs w:val="20"/>
        </w:rPr>
        <w:t>). Rashodi z</w:t>
      </w:r>
      <w:r w:rsidR="00B358E3" w:rsidRPr="00B358E3">
        <w:rPr>
          <w:rFonts w:ascii="Arial" w:eastAsia="Calibri" w:hAnsi="Arial" w:cs="Arial"/>
          <w:sz w:val="20"/>
          <w:szCs w:val="20"/>
        </w:rPr>
        <w:t>a</w:t>
      </w:r>
      <w:r w:rsidR="00AC4EAF" w:rsidRPr="00B358E3">
        <w:rPr>
          <w:rFonts w:ascii="Arial" w:eastAsia="Calibri" w:hAnsi="Arial" w:cs="Arial"/>
          <w:sz w:val="20"/>
          <w:szCs w:val="20"/>
        </w:rPr>
        <w:t xml:space="preserve"> post</w:t>
      </w:r>
      <w:r w:rsidRPr="00B358E3">
        <w:rPr>
          <w:rFonts w:ascii="Arial" w:eastAsia="Calibri" w:hAnsi="Arial" w:cs="Arial"/>
          <w:sz w:val="20"/>
          <w:szCs w:val="20"/>
        </w:rPr>
        <w:t>rojenja i opremu (422)</w:t>
      </w:r>
      <w:r w:rsidR="00AC4EAF" w:rsidRPr="00B358E3">
        <w:rPr>
          <w:rFonts w:ascii="Arial" w:eastAsia="Calibri" w:hAnsi="Arial" w:cs="Arial"/>
          <w:sz w:val="20"/>
          <w:szCs w:val="20"/>
        </w:rPr>
        <w:t xml:space="preserve"> iznose </w:t>
      </w:r>
      <w:r w:rsidR="00784A09">
        <w:rPr>
          <w:rFonts w:ascii="Arial" w:eastAsia="Calibri" w:hAnsi="Arial" w:cs="Arial"/>
          <w:sz w:val="20"/>
          <w:szCs w:val="20"/>
        </w:rPr>
        <w:t>3.312,32</w:t>
      </w:r>
      <w:r w:rsidR="00AC4EAF" w:rsidRPr="00B358E3">
        <w:rPr>
          <w:rFonts w:ascii="Arial" w:eastAsia="Calibri" w:hAnsi="Arial" w:cs="Arial"/>
          <w:sz w:val="20"/>
          <w:szCs w:val="20"/>
        </w:rPr>
        <w:t xml:space="preserve"> €.</w:t>
      </w:r>
    </w:p>
    <w:p w14:paraId="0A36F204" w14:textId="77777777" w:rsidR="00174799" w:rsidRPr="003F7930" w:rsidRDefault="00174799" w:rsidP="007B5B0C">
      <w:pPr>
        <w:autoSpaceDE w:val="0"/>
        <w:autoSpaceDN w:val="0"/>
        <w:adjustRightInd w:val="0"/>
        <w:spacing w:after="0" w:line="240" w:lineRule="auto"/>
        <w:jc w:val="both"/>
        <w:rPr>
          <w:rFonts w:ascii="Arial" w:eastAsia="Calibri" w:hAnsi="Arial" w:cs="Arial"/>
          <w:sz w:val="20"/>
          <w:szCs w:val="20"/>
        </w:rPr>
      </w:pPr>
    </w:p>
    <w:p w14:paraId="1E8E024E" w14:textId="5B46AEB0" w:rsidR="00B6707A" w:rsidRPr="003F7930" w:rsidRDefault="00B6707A" w:rsidP="00B6707A">
      <w:pPr>
        <w:autoSpaceDE w:val="0"/>
        <w:autoSpaceDN w:val="0"/>
        <w:adjustRightInd w:val="0"/>
        <w:spacing w:after="0" w:line="240" w:lineRule="auto"/>
        <w:jc w:val="both"/>
        <w:rPr>
          <w:rFonts w:ascii="Arial" w:eastAsia="Calibri" w:hAnsi="Arial" w:cs="Arial"/>
          <w:sz w:val="20"/>
          <w:szCs w:val="20"/>
        </w:rPr>
      </w:pPr>
      <w:r w:rsidRPr="003F7930">
        <w:rPr>
          <w:rFonts w:ascii="Arial" w:eastAsia="Calibri" w:hAnsi="Arial" w:cs="Arial"/>
          <w:sz w:val="20"/>
          <w:szCs w:val="20"/>
        </w:rPr>
        <w:t xml:space="preserve">Iz proračuna Općine Konavle ostvareni su prihodi od sufinanciranja cijene osnovnih usluga smještaja Domu za starije i nemoćne u iznosu </w:t>
      </w:r>
      <w:r w:rsidR="00784A09">
        <w:rPr>
          <w:rFonts w:ascii="Arial" w:eastAsia="Calibri" w:hAnsi="Arial" w:cs="Arial"/>
          <w:sz w:val="20"/>
          <w:szCs w:val="20"/>
        </w:rPr>
        <w:t>103.245,07</w:t>
      </w:r>
      <w:r w:rsidRPr="003F7930">
        <w:rPr>
          <w:rFonts w:ascii="Arial" w:eastAsia="Calibri" w:hAnsi="Arial" w:cs="Arial"/>
          <w:sz w:val="20"/>
          <w:szCs w:val="20"/>
        </w:rPr>
        <w:t xml:space="preserve"> </w:t>
      </w:r>
      <w:r w:rsidR="00252898" w:rsidRPr="003F7930">
        <w:rPr>
          <w:rFonts w:ascii="Arial" w:eastAsia="Calibri" w:hAnsi="Arial" w:cs="Arial"/>
          <w:sz w:val="20"/>
          <w:szCs w:val="20"/>
        </w:rPr>
        <w:t>€</w:t>
      </w:r>
      <w:r w:rsidRPr="003F7930">
        <w:rPr>
          <w:rFonts w:ascii="Arial" w:eastAsia="Calibri" w:hAnsi="Arial" w:cs="Arial"/>
          <w:sz w:val="20"/>
          <w:szCs w:val="20"/>
        </w:rPr>
        <w:t xml:space="preserve"> (aktivnost u proračunu Općine A204125). Stanovnici Općine Konavle s prebivalištem na području Općine Konavle u neprekidnom trajanju od najmanje trideset ( 30 ) godina prije podnošenja zahtjeva za prijem u Dom ostvaruju pravo na sufinanciranje cijene osnovnih usluga smještaja iz proračuna Općine Konavle u iznosu od 20% od osnovne cijene smještaja.</w:t>
      </w:r>
    </w:p>
    <w:p w14:paraId="5791405F" w14:textId="77777777" w:rsidR="00B6707A" w:rsidRPr="003F7930" w:rsidRDefault="00B6707A" w:rsidP="007B5B0C">
      <w:pPr>
        <w:autoSpaceDE w:val="0"/>
        <w:autoSpaceDN w:val="0"/>
        <w:adjustRightInd w:val="0"/>
        <w:spacing w:after="0" w:line="240" w:lineRule="auto"/>
        <w:jc w:val="both"/>
        <w:rPr>
          <w:rFonts w:ascii="Arial" w:eastAsia="Calibri" w:hAnsi="Arial" w:cs="Arial"/>
          <w:sz w:val="20"/>
          <w:szCs w:val="20"/>
        </w:rPr>
      </w:pPr>
    </w:p>
    <w:p w14:paraId="2558B9F5" w14:textId="737F34A9" w:rsidR="003B5B15" w:rsidRPr="003F7930" w:rsidRDefault="00EA1F52" w:rsidP="007B5B0C">
      <w:pPr>
        <w:autoSpaceDE w:val="0"/>
        <w:autoSpaceDN w:val="0"/>
        <w:adjustRightInd w:val="0"/>
        <w:spacing w:after="0" w:line="240" w:lineRule="auto"/>
        <w:jc w:val="both"/>
        <w:rPr>
          <w:rFonts w:ascii="Arial" w:eastAsia="Calibri" w:hAnsi="Arial" w:cs="Arial"/>
          <w:sz w:val="20"/>
          <w:szCs w:val="20"/>
        </w:rPr>
      </w:pPr>
      <w:r w:rsidRPr="003F7930">
        <w:rPr>
          <w:rFonts w:ascii="Arial" w:eastAsia="Calibri" w:hAnsi="Arial" w:cs="Arial"/>
          <w:sz w:val="20"/>
          <w:szCs w:val="20"/>
        </w:rPr>
        <w:t>Sveukupno izvršeni r</w:t>
      </w:r>
      <w:r w:rsidR="00B91CA1" w:rsidRPr="003F7930">
        <w:rPr>
          <w:rFonts w:ascii="Arial" w:eastAsia="Calibri" w:hAnsi="Arial" w:cs="Arial"/>
          <w:sz w:val="20"/>
          <w:szCs w:val="20"/>
        </w:rPr>
        <w:t xml:space="preserve">ashodi za zaposlene (31) u iznosu </w:t>
      </w:r>
      <w:r w:rsidR="00551327">
        <w:rPr>
          <w:rFonts w:ascii="Arial" w:eastAsia="Calibri" w:hAnsi="Arial" w:cs="Arial"/>
          <w:sz w:val="20"/>
          <w:szCs w:val="20"/>
        </w:rPr>
        <w:t>524.759,47</w:t>
      </w:r>
      <w:r w:rsidR="0030256E" w:rsidRPr="003F7930">
        <w:rPr>
          <w:rFonts w:ascii="Arial" w:eastAsia="Calibri" w:hAnsi="Arial" w:cs="Arial"/>
          <w:sz w:val="20"/>
          <w:szCs w:val="20"/>
        </w:rPr>
        <w:t xml:space="preserve"> €</w:t>
      </w:r>
      <w:r w:rsidR="00B91CA1" w:rsidRPr="003F7930">
        <w:rPr>
          <w:rFonts w:ascii="Arial" w:eastAsia="Calibri" w:hAnsi="Arial" w:cs="Arial"/>
          <w:sz w:val="20"/>
          <w:szCs w:val="20"/>
        </w:rPr>
        <w:t xml:space="preserve"> čine </w:t>
      </w:r>
      <w:r w:rsidR="00551327">
        <w:rPr>
          <w:rFonts w:ascii="Arial" w:eastAsia="Calibri" w:hAnsi="Arial" w:cs="Arial"/>
          <w:sz w:val="20"/>
          <w:szCs w:val="20"/>
        </w:rPr>
        <w:t>75,4</w:t>
      </w:r>
      <w:r w:rsidR="00B91CA1" w:rsidRPr="003F7930">
        <w:rPr>
          <w:rFonts w:ascii="Arial" w:eastAsia="Calibri" w:hAnsi="Arial" w:cs="Arial"/>
          <w:sz w:val="20"/>
          <w:szCs w:val="20"/>
        </w:rPr>
        <w:t>% ukupnih rashoda ovog proračun</w:t>
      </w:r>
      <w:r w:rsidR="00D352C3" w:rsidRPr="003F7930">
        <w:rPr>
          <w:rFonts w:ascii="Arial" w:eastAsia="Calibri" w:hAnsi="Arial" w:cs="Arial"/>
          <w:sz w:val="20"/>
          <w:szCs w:val="20"/>
        </w:rPr>
        <w:t>skog korisnika (program 2044)</w:t>
      </w:r>
      <w:r w:rsidR="0030256E" w:rsidRPr="003F7930">
        <w:rPr>
          <w:rFonts w:ascii="Arial" w:eastAsia="Calibri" w:hAnsi="Arial" w:cs="Arial"/>
          <w:sz w:val="20"/>
          <w:szCs w:val="20"/>
        </w:rPr>
        <w:t xml:space="preserve">, dok zajedno s rashodima za prijevoz na posao i s posla čine </w:t>
      </w:r>
      <w:r w:rsidR="000F2CE5">
        <w:rPr>
          <w:rFonts w:ascii="Arial" w:eastAsia="Calibri" w:hAnsi="Arial" w:cs="Arial"/>
          <w:sz w:val="20"/>
          <w:szCs w:val="20"/>
        </w:rPr>
        <w:t>78,1</w:t>
      </w:r>
      <w:r w:rsidR="004D7B6F" w:rsidRPr="003F7930">
        <w:rPr>
          <w:rFonts w:ascii="Arial" w:eastAsia="Calibri" w:hAnsi="Arial" w:cs="Arial"/>
          <w:sz w:val="20"/>
          <w:szCs w:val="20"/>
        </w:rPr>
        <w:t>% ukupnih rashoda ustanove.</w:t>
      </w:r>
    </w:p>
    <w:p w14:paraId="57E2A46C" w14:textId="3ACAF63C" w:rsidR="00D352C3" w:rsidRPr="003A2F86" w:rsidRDefault="00D352C3" w:rsidP="002031CE">
      <w:pPr>
        <w:autoSpaceDE w:val="0"/>
        <w:autoSpaceDN w:val="0"/>
        <w:adjustRightInd w:val="0"/>
        <w:spacing w:after="0" w:line="240" w:lineRule="auto"/>
        <w:jc w:val="both"/>
        <w:rPr>
          <w:rFonts w:ascii="Arial" w:eastAsia="Calibri" w:hAnsi="Arial" w:cs="Arial"/>
          <w:sz w:val="20"/>
          <w:szCs w:val="20"/>
        </w:rPr>
      </w:pPr>
    </w:p>
    <w:p w14:paraId="2CCABAD2" w14:textId="60297B9B" w:rsidR="002031CE" w:rsidRPr="003A2F86" w:rsidRDefault="002031CE" w:rsidP="002031CE">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Rashodi za zaposlene (31) </w:t>
      </w:r>
      <w:r w:rsidRPr="003A2F86">
        <w:rPr>
          <w:rFonts w:ascii="Arial" w:eastAsia="Times New Roman" w:hAnsi="Arial" w:cs="Arial"/>
          <w:iCs/>
          <w:sz w:val="20"/>
          <w:szCs w:val="20"/>
        </w:rPr>
        <w:t xml:space="preserve">ustanove Dom za starije i nemoćne osobe Konavle </w:t>
      </w:r>
      <w:r w:rsidR="007B5B0C" w:rsidRPr="003A2F86">
        <w:rPr>
          <w:rFonts w:ascii="Arial" w:eastAsia="Calibri" w:hAnsi="Arial" w:cs="Arial"/>
          <w:sz w:val="20"/>
          <w:szCs w:val="20"/>
        </w:rPr>
        <w:t>u iznosu</w:t>
      </w:r>
      <w:r w:rsidRPr="003A2F86">
        <w:rPr>
          <w:rFonts w:ascii="Arial" w:eastAsia="Calibri" w:hAnsi="Arial" w:cs="Arial"/>
          <w:sz w:val="20"/>
          <w:szCs w:val="20"/>
        </w:rPr>
        <w:t xml:space="preserve"> </w:t>
      </w:r>
      <w:r w:rsidR="00784A09">
        <w:rPr>
          <w:rFonts w:ascii="Arial" w:eastAsia="Calibri" w:hAnsi="Arial" w:cs="Arial"/>
          <w:sz w:val="20"/>
          <w:szCs w:val="20"/>
        </w:rPr>
        <w:t>1.067.706,41</w:t>
      </w:r>
      <w:r w:rsidR="004D7B6F" w:rsidRPr="003A2F86">
        <w:rPr>
          <w:rFonts w:ascii="Arial" w:eastAsia="Calibri" w:hAnsi="Arial" w:cs="Arial"/>
          <w:sz w:val="20"/>
          <w:szCs w:val="20"/>
        </w:rPr>
        <w:t xml:space="preserve"> €</w:t>
      </w:r>
      <w:r w:rsidR="007B5B0C" w:rsidRPr="003A2F86">
        <w:rPr>
          <w:rFonts w:ascii="Arial" w:eastAsia="Calibri" w:hAnsi="Arial" w:cs="Arial"/>
          <w:sz w:val="20"/>
          <w:szCs w:val="20"/>
        </w:rPr>
        <w:t xml:space="preserve"> čine </w:t>
      </w:r>
      <w:r w:rsidR="00784A09">
        <w:rPr>
          <w:rFonts w:ascii="Arial" w:eastAsia="Calibri" w:hAnsi="Arial" w:cs="Arial"/>
          <w:sz w:val="20"/>
          <w:szCs w:val="20"/>
        </w:rPr>
        <w:t>4,2</w:t>
      </w:r>
      <w:r w:rsidRPr="003A2F86">
        <w:rPr>
          <w:rFonts w:ascii="Arial" w:eastAsia="Calibri" w:hAnsi="Arial" w:cs="Arial"/>
          <w:sz w:val="20"/>
          <w:szCs w:val="20"/>
        </w:rPr>
        <w:t xml:space="preserve">% ukupnih rashoda Proračuna (rashodi poslovanja „3“ i rashodi na nabavu nefinancijske imovine „4“), odnosno </w:t>
      </w:r>
      <w:r w:rsidR="00E73626">
        <w:rPr>
          <w:rFonts w:ascii="Arial" w:eastAsia="Calibri" w:hAnsi="Arial" w:cs="Arial"/>
          <w:sz w:val="20"/>
          <w:szCs w:val="20"/>
        </w:rPr>
        <w:t>4</w:t>
      </w:r>
      <w:r w:rsidR="0062411F">
        <w:rPr>
          <w:rFonts w:ascii="Arial" w:eastAsia="Calibri" w:hAnsi="Arial" w:cs="Arial"/>
          <w:sz w:val="20"/>
          <w:szCs w:val="20"/>
        </w:rPr>
        <w:t>,2</w:t>
      </w:r>
      <w:r w:rsidRPr="003A2F86">
        <w:rPr>
          <w:rFonts w:ascii="Arial" w:eastAsia="Calibri" w:hAnsi="Arial" w:cs="Arial"/>
          <w:sz w:val="20"/>
          <w:szCs w:val="20"/>
        </w:rPr>
        <w:t>% ukupnih rashoda i izdataka Proračuna (rashodi poslovanja „3“ i rashodi na nabavu nefinancijske imovine „4“ uvećani za izdatke za financijsku imovinu i otplate zajmova „5“).</w:t>
      </w:r>
      <w:r w:rsidR="00D7349C" w:rsidRPr="003A2F86">
        <w:rPr>
          <w:rFonts w:ascii="Arial" w:eastAsia="Calibri" w:hAnsi="Arial" w:cs="Arial"/>
          <w:sz w:val="20"/>
          <w:szCs w:val="20"/>
        </w:rPr>
        <w:t xml:space="preserve"> </w:t>
      </w:r>
    </w:p>
    <w:p w14:paraId="786DE03B" w14:textId="329C18F1" w:rsidR="002031CE" w:rsidRPr="003A2F86" w:rsidRDefault="002031CE" w:rsidP="002031CE">
      <w:pPr>
        <w:autoSpaceDE w:val="0"/>
        <w:autoSpaceDN w:val="0"/>
        <w:adjustRightInd w:val="0"/>
        <w:spacing w:after="0" w:line="240" w:lineRule="auto"/>
        <w:jc w:val="both"/>
        <w:rPr>
          <w:rFonts w:ascii="Arial" w:eastAsia="Calibri" w:hAnsi="Arial" w:cs="Arial"/>
          <w:sz w:val="20"/>
          <w:szCs w:val="20"/>
        </w:rPr>
      </w:pPr>
    </w:p>
    <w:p w14:paraId="2CC92A1F" w14:textId="77777777" w:rsidR="00626756" w:rsidRPr="003A2F86" w:rsidRDefault="00626756" w:rsidP="00626756">
      <w:pPr>
        <w:spacing w:after="0" w:line="240" w:lineRule="auto"/>
        <w:jc w:val="both"/>
        <w:rPr>
          <w:rFonts w:ascii="Arial" w:eastAsia="Calibri" w:hAnsi="Arial" w:cs="Arial"/>
          <w:sz w:val="20"/>
          <w:szCs w:val="20"/>
          <w:u w:val="single"/>
        </w:rPr>
      </w:pPr>
      <w:r w:rsidRPr="003A2F86">
        <w:rPr>
          <w:rFonts w:ascii="Arial" w:eastAsia="Calibri" w:hAnsi="Arial" w:cs="Arial"/>
          <w:b/>
          <w:sz w:val="20"/>
          <w:szCs w:val="20"/>
          <w:u w:val="single"/>
        </w:rPr>
        <w:t>Cilj:</w:t>
      </w:r>
      <w:r w:rsidRPr="003A2F86">
        <w:rPr>
          <w:rFonts w:ascii="Arial" w:eastAsia="Calibri" w:hAnsi="Arial" w:cs="Arial"/>
          <w:sz w:val="20"/>
          <w:szCs w:val="20"/>
          <w:u w:val="single"/>
        </w:rPr>
        <w:t xml:space="preserve"> Potpuna popunjenost smještajnih kapaciteta Doma</w:t>
      </w:r>
    </w:p>
    <w:p w14:paraId="3C61A334" w14:textId="77777777" w:rsidR="00626756" w:rsidRPr="003A2F86" w:rsidRDefault="00626756" w:rsidP="00626756">
      <w:pPr>
        <w:spacing w:after="0" w:line="240" w:lineRule="auto"/>
        <w:jc w:val="both"/>
        <w:rPr>
          <w:rFonts w:ascii="Arial" w:eastAsia="Calibri" w:hAnsi="Arial" w:cs="Arial"/>
          <w:sz w:val="20"/>
          <w:szCs w:val="20"/>
        </w:rPr>
      </w:pPr>
    </w:p>
    <w:tbl>
      <w:tblPr>
        <w:tblStyle w:val="TableGrid24"/>
        <w:tblW w:w="14651" w:type="dxa"/>
        <w:jc w:val="center"/>
        <w:tblLayout w:type="fixed"/>
        <w:tblLook w:val="04A0" w:firstRow="1" w:lastRow="0" w:firstColumn="1" w:lastColumn="0" w:noHBand="0" w:noVBand="1"/>
      </w:tblPr>
      <w:tblGrid>
        <w:gridCol w:w="1980"/>
        <w:gridCol w:w="3544"/>
        <w:gridCol w:w="1094"/>
        <w:gridCol w:w="1174"/>
        <w:gridCol w:w="1134"/>
        <w:gridCol w:w="1395"/>
        <w:gridCol w:w="1440"/>
        <w:gridCol w:w="1394"/>
        <w:gridCol w:w="1496"/>
      </w:tblGrid>
      <w:tr w:rsidR="0066762F" w:rsidRPr="003A2F86" w14:paraId="419D8C85" w14:textId="77777777" w:rsidTr="00923DED">
        <w:trPr>
          <w:jc w:val="center"/>
        </w:trPr>
        <w:tc>
          <w:tcPr>
            <w:tcW w:w="1980" w:type="dxa"/>
            <w:shd w:val="clear" w:color="auto" w:fill="BFBFBF" w:themeFill="background1" w:themeFillShade="BF"/>
            <w:vAlign w:val="center"/>
          </w:tcPr>
          <w:p w14:paraId="08BEE7B9" w14:textId="77777777" w:rsidR="00626756" w:rsidRPr="003A2F86" w:rsidRDefault="00626756" w:rsidP="00B223BA">
            <w:pPr>
              <w:jc w:val="center"/>
              <w:rPr>
                <w:rFonts w:ascii="Arial" w:eastAsia="Calibri" w:hAnsi="Arial" w:cs="Arial"/>
              </w:rPr>
            </w:pPr>
            <w:r w:rsidRPr="003A2F86">
              <w:rPr>
                <w:rFonts w:ascii="Arial" w:eastAsia="Calibri" w:hAnsi="Arial" w:cs="Arial"/>
              </w:rPr>
              <w:t>Pokazatelj uspješnosti</w:t>
            </w:r>
          </w:p>
        </w:tc>
        <w:tc>
          <w:tcPr>
            <w:tcW w:w="3544" w:type="dxa"/>
            <w:shd w:val="clear" w:color="auto" w:fill="BFBFBF" w:themeFill="background1" w:themeFillShade="BF"/>
            <w:vAlign w:val="center"/>
          </w:tcPr>
          <w:p w14:paraId="1ECC51EA" w14:textId="77777777" w:rsidR="00626756" w:rsidRPr="003A2F86" w:rsidRDefault="00626756" w:rsidP="00B223BA">
            <w:pPr>
              <w:jc w:val="center"/>
              <w:rPr>
                <w:rFonts w:ascii="Arial" w:eastAsia="Calibri" w:hAnsi="Arial" w:cs="Arial"/>
              </w:rPr>
            </w:pPr>
            <w:r w:rsidRPr="003A2F86">
              <w:rPr>
                <w:rFonts w:ascii="Arial" w:eastAsia="Calibri" w:hAnsi="Arial" w:cs="Arial"/>
              </w:rPr>
              <w:t>Definicija</w:t>
            </w:r>
          </w:p>
        </w:tc>
        <w:tc>
          <w:tcPr>
            <w:tcW w:w="1094" w:type="dxa"/>
            <w:shd w:val="clear" w:color="auto" w:fill="BFBFBF" w:themeFill="background1" w:themeFillShade="BF"/>
            <w:vAlign w:val="center"/>
          </w:tcPr>
          <w:p w14:paraId="1F6F5035" w14:textId="77777777" w:rsidR="00626756" w:rsidRPr="003A2F86" w:rsidRDefault="00626756" w:rsidP="00B223BA">
            <w:pPr>
              <w:jc w:val="center"/>
              <w:rPr>
                <w:rFonts w:ascii="Arial" w:eastAsia="Calibri" w:hAnsi="Arial" w:cs="Arial"/>
              </w:rPr>
            </w:pPr>
            <w:r w:rsidRPr="003A2F86">
              <w:rPr>
                <w:rFonts w:ascii="Arial" w:eastAsia="Calibri" w:hAnsi="Arial" w:cs="Arial"/>
              </w:rPr>
              <w:t>Jedinica</w:t>
            </w:r>
          </w:p>
        </w:tc>
        <w:tc>
          <w:tcPr>
            <w:tcW w:w="1174" w:type="dxa"/>
            <w:shd w:val="clear" w:color="auto" w:fill="BFBFBF" w:themeFill="background1" w:themeFillShade="BF"/>
            <w:vAlign w:val="center"/>
          </w:tcPr>
          <w:p w14:paraId="0C64BEB3" w14:textId="77777777" w:rsidR="00626756" w:rsidRPr="003A2F86" w:rsidRDefault="00626756" w:rsidP="00B223BA">
            <w:pPr>
              <w:jc w:val="center"/>
              <w:rPr>
                <w:rFonts w:ascii="Arial" w:eastAsia="Calibri" w:hAnsi="Arial" w:cs="Arial"/>
              </w:rPr>
            </w:pPr>
            <w:r w:rsidRPr="003A2F86">
              <w:rPr>
                <w:rFonts w:ascii="Arial" w:eastAsia="Calibri" w:hAnsi="Arial" w:cs="Arial"/>
              </w:rPr>
              <w:t>Polazna vrijednost</w:t>
            </w:r>
          </w:p>
          <w:p w14:paraId="0FF48A69" w14:textId="15E1BDB8" w:rsidR="00626756" w:rsidRPr="003A2F86" w:rsidRDefault="00626756" w:rsidP="00087502">
            <w:pPr>
              <w:jc w:val="center"/>
              <w:rPr>
                <w:rFonts w:ascii="Arial" w:eastAsia="Calibri" w:hAnsi="Arial" w:cs="Arial"/>
              </w:rPr>
            </w:pPr>
            <w:r w:rsidRPr="003A2F86">
              <w:rPr>
                <w:rFonts w:ascii="Arial" w:eastAsia="Calibri" w:hAnsi="Arial" w:cs="Arial"/>
              </w:rPr>
              <w:t>202</w:t>
            </w:r>
            <w:r w:rsidR="0062411F">
              <w:rPr>
                <w:rFonts w:ascii="Arial" w:eastAsia="Calibri" w:hAnsi="Arial" w:cs="Arial"/>
              </w:rPr>
              <w:t>4</w:t>
            </w:r>
            <w:r w:rsidRPr="003A2F86">
              <w:rPr>
                <w:rFonts w:ascii="Arial" w:eastAsia="Calibri" w:hAnsi="Arial" w:cs="Arial"/>
              </w:rPr>
              <w:t>.</w:t>
            </w:r>
          </w:p>
        </w:tc>
        <w:tc>
          <w:tcPr>
            <w:tcW w:w="1134" w:type="dxa"/>
            <w:shd w:val="clear" w:color="auto" w:fill="BFBFBF" w:themeFill="background1" w:themeFillShade="BF"/>
            <w:vAlign w:val="center"/>
          </w:tcPr>
          <w:p w14:paraId="336E8628" w14:textId="77777777" w:rsidR="00626756" w:rsidRPr="003A2F86" w:rsidRDefault="00626756" w:rsidP="00B223BA">
            <w:pPr>
              <w:jc w:val="center"/>
              <w:rPr>
                <w:rFonts w:ascii="Arial" w:eastAsia="Calibri" w:hAnsi="Arial" w:cs="Arial"/>
              </w:rPr>
            </w:pPr>
            <w:r w:rsidRPr="003A2F86">
              <w:rPr>
                <w:rFonts w:ascii="Arial" w:eastAsia="Calibri" w:hAnsi="Arial" w:cs="Arial"/>
              </w:rPr>
              <w:t>Izvor podataka</w:t>
            </w:r>
          </w:p>
        </w:tc>
        <w:tc>
          <w:tcPr>
            <w:tcW w:w="1395" w:type="dxa"/>
            <w:shd w:val="clear" w:color="auto" w:fill="BFBFBF" w:themeFill="background1" w:themeFillShade="BF"/>
            <w:vAlign w:val="center"/>
          </w:tcPr>
          <w:p w14:paraId="321D8639" w14:textId="4BDF5A3B" w:rsidR="00626756" w:rsidRPr="003A2F86" w:rsidRDefault="00626756" w:rsidP="00B223BA">
            <w:pPr>
              <w:jc w:val="center"/>
              <w:rPr>
                <w:rFonts w:ascii="Arial" w:eastAsia="Calibri" w:hAnsi="Arial" w:cs="Arial"/>
              </w:rPr>
            </w:pPr>
            <w:r w:rsidRPr="003A2F86">
              <w:rPr>
                <w:rFonts w:ascii="Arial" w:eastAsia="Calibri" w:hAnsi="Arial" w:cs="Arial"/>
              </w:rPr>
              <w:t>Ciljana vrijed. 202</w:t>
            </w:r>
            <w:r w:rsidR="0062411F">
              <w:rPr>
                <w:rFonts w:ascii="Arial" w:eastAsia="Calibri" w:hAnsi="Arial" w:cs="Arial"/>
              </w:rPr>
              <w:t>5</w:t>
            </w:r>
            <w:r w:rsidRPr="003A2F86">
              <w:rPr>
                <w:rFonts w:ascii="Arial" w:eastAsia="Calibri" w:hAnsi="Arial" w:cs="Arial"/>
              </w:rPr>
              <w:t>.</w:t>
            </w:r>
          </w:p>
        </w:tc>
        <w:tc>
          <w:tcPr>
            <w:tcW w:w="1440" w:type="dxa"/>
            <w:shd w:val="clear" w:color="auto" w:fill="BFBFBF" w:themeFill="background1" w:themeFillShade="BF"/>
            <w:vAlign w:val="center"/>
          </w:tcPr>
          <w:p w14:paraId="31B2FC72" w14:textId="77777777" w:rsidR="00626756" w:rsidRPr="003A2F86" w:rsidRDefault="00626756" w:rsidP="00B223BA">
            <w:pPr>
              <w:jc w:val="center"/>
              <w:rPr>
                <w:rFonts w:ascii="Arial" w:eastAsia="Calibri" w:hAnsi="Arial" w:cs="Arial"/>
              </w:rPr>
            </w:pPr>
            <w:r w:rsidRPr="003A2F86">
              <w:rPr>
                <w:rFonts w:ascii="Arial" w:eastAsia="Calibri" w:hAnsi="Arial" w:cs="Arial"/>
              </w:rPr>
              <w:t>Ostvareno u izvještajnom razdoblju</w:t>
            </w:r>
          </w:p>
        </w:tc>
        <w:tc>
          <w:tcPr>
            <w:tcW w:w="1394" w:type="dxa"/>
            <w:shd w:val="clear" w:color="auto" w:fill="BFBFBF" w:themeFill="background1" w:themeFillShade="BF"/>
            <w:vAlign w:val="center"/>
          </w:tcPr>
          <w:p w14:paraId="3A8B5CAF" w14:textId="46B275C0" w:rsidR="00626756" w:rsidRPr="003A2F86" w:rsidRDefault="00626756" w:rsidP="00B223BA">
            <w:pPr>
              <w:jc w:val="center"/>
              <w:rPr>
                <w:rFonts w:ascii="Arial" w:eastAsia="Calibri" w:hAnsi="Arial" w:cs="Arial"/>
              </w:rPr>
            </w:pPr>
            <w:r w:rsidRPr="003A2F86">
              <w:rPr>
                <w:rFonts w:ascii="Arial" w:eastAsia="Calibri" w:hAnsi="Arial" w:cs="Arial"/>
              </w:rPr>
              <w:t>Ciljana vrijed. 202</w:t>
            </w:r>
            <w:r w:rsidR="0062411F">
              <w:rPr>
                <w:rFonts w:ascii="Arial" w:eastAsia="Calibri" w:hAnsi="Arial" w:cs="Arial"/>
              </w:rPr>
              <w:t>6</w:t>
            </w:r>
            <w:r w:rsidRPr="003A2F86">
              <w:rPr>
                <w:rFonts w:ascii="Arial" w:eastAsia="Calibri" w:hAnsi="Arial" w:cs="Arial"/>
              </w:rPr>
              <w:t>.</w:t>
            </w:r>
          </w:p>
        </w:tc>
        <w:tc>
          <w:tcPr>
            <w:tcW w:w="1496" w:type="dxa"/>
            <w:shd w:val="clear" w:color="auto" w:fill="BFBFBF" w:themeFill="background1" w:themeFillShade="BF"/>
            <w:vAlign w:val="center"/>
          </w:tcPr>
          <w:p w14:paraId="0F6F730E" w14:textId="3446F36F" w:rsidR="00626756" w:rsidRPr="003A2F86" w:rsidRDefault="00626756" w:rsidP="00B223BA">
            <w:pPr>
              <w:jc w:val="center"/>
              <w:rPr>
                <w:rFonts w:ascii="Arial" w:eastAsia="Calibri" w:hAnsi="Arial" w:cs="Arial"/>
              </w:rPr>
            </w:pPr>
            <w:r w:rsidRPr="003A2F86">
              <w:rPr>
                <w:rFonts w:ascii="Arial" w:eastAsia="Calibri" w:hAnsi="Arial" w:cs="Arial"/>
              </w:rPr>
              <w:t>Ciljana vrijed. 202</w:t>
            </w:r>
            <w:r w:rsidR="0062411F">
              <w:rPr>
                <w:rFonts w:ascii="Arial" w:eastAsia="Calibri" w:hAnsi="Arial" w:cs="Arial"/>
              </w:rPr>
              <w:t>7</w:t>
            </w:r>
            <w:r w:rsidRPr="003A2F86">
              <w:rPr>
                <w:rFonts w:ascii="Arial" w:eastAsia="Calibri" w:hAnsi="Arial" w:cs="Arial"/>
              </w:rPr>
              <w:t>.</w:t>
            </w:r>
          </w:p>
        </w:tc>
      </w:tr>
      <w:tr w:rsidR="00626756" w:rsidRPr="003A2F86" w14:paraId="5748937F" w14:textId="77777777" w:rsidTr="00923DED">
        <w:trPr>
          <w:trHeight w:val="821"/>
          <w:jc w:val="center"/>
        </w:trPr>
        <w:tc>
          <w:tcPr>
            <w:tcW w:w="1980" w:type="dxa"/>
            <w:vAlign w:val="center"/>
          </w:tcPr>
          <w:p w14:paraId="1B13D737" w14:textId="77777777" w:rsidR="00626756" w:rsidRPr="003A2F86" w:rsidRDefault="00626756" w:rsidP="00B223BA">
            <w:pPr>
              <w:rPr>
                <w:rFonts w:ascii="Arial" w:eastAsia="Calibri" w:hAnsi="Arial" w:cs="Arial"/>
              </w:rPr>
            </w:pPr>
            <w:r w:rsidRPr="003A2F86">
              <w:rPr>
                <w:rFonts w:ascii="Arial" w:eastAsia="Calibri" w:hAnsi="Arial" w:cs="Arial"/>
              </w:rPr>
              <w:t>Realizirani zahtjevi za smještaj u Dom</w:t>
            </w:r>
          </w:p>
        </w:tc>
        <w:tc>
          <w:tcPr>
            <w:tcW w:w="3544" w:type="dxa"/>
            <w:vAlign w:val="center"/>
          </w:tcPr>
          <w:p w14:paraId="6349A293" w14:textId="382E2695" w:rsidR="00626756" w:rsidRPr="003A2F86" w:rsidRDefault="00626756" w:rsidP="007A6BE2">
            <w:pPr>
              <w:rPr>
                <w:rFonts w:ascii="Arial" w:eastAsia="Calibri" w:hAnsi="Arial" w:cs="Arial"/>
              </w:rPr>
            </w:pPr>
            <w:r w:rsidRPr="003A2F86">
              <w:rPr>
                <w:rFonts w:ascii="Arial" w:eastAsia="Calibri" w:hAnsi="Arial" w:cs="Arial"/>
                <w:lang w:eastAsia="en-US"/>
              </w:rPr>
              <w:t>Povećanjem broja realiziranih zahtjeva za smještaj ostvarit će se osnovni cilj 100% popunjenosti Doma</w:t>
            </w:r>
          </w:p>
        </w:tc>
        <w:tc>
          <w:tcPr>
            <w:tcW w:w="1094" w:type="dxa"/>
            <w:vAlign w:val="center"/>
          </w:tcPr>
          <w:p w14:paraId="1AEEC01D" w14:textId="77777777" w:rsidR="00626756" w:rsidRPr="003A2F86" w:rsidRDefault="00626756" w:rsidP="00B223BA">
            <w:pPr>
              <w:jc w:val="center"/>
              <w:rPr>
                <w:rFonts w:ascii="Arial" w:eastAsia="Calibri" w:hAnsi="Arial" w:cs="Arial"/>
              </w:rPr>
            </w:pPr>
            <w:r w:rsidRPr="003A2F86">
              <w:rPr>
                <w:rFonts w:ascii="Arial" w:eastAsia="Calibri" w:hAnsi="Arial" w:cs="Arial"/>
              </w:rPr>
              <w:t>Broj korisnika</w:t>
            </w:r>
          </w:p>
        </w:tc>
        <w:tc>
          <w:tcPr>
            <w:tcW w:w="1174" w:type="dxa"/>
            <w:vAlign w:val="center"/>
          </w:tcPr>
          <w:p w14:paraId="544CE2CA" w14:textId="4AFAAC25" w:rsidR="00626756" w:rsidRPr="003A2F86" w:rsidRDefault="0066762F" w:rsidP="00B223BA">
            <w:pPr>
              <w:jc w:val="center"/>
              <w:rPr>
                <w:rFonts w:ascii="Arial" w:eastAsia="Calibri" w:hAnsi="Arial" w:cs="Arial"/>
              </w:rPr>
            </w:pPr>
            <w:r w:rsidRPr="003A2F86">
              <w:rPr>
                <w:rFonts w:ascii="Arial" w:eastAsia="Calibri" w:hAnsi="Arial" w:cs="Arial"/>
              </w:rPr>
              <w:t>8</w:t>
            </w:r>
            <w:r w:rsidR="00087502" w:rsidRPr="003A2F86">
              <w:rPr>
                <w:rFonts w:ascii="Arial" w:eastAsia="Calibri" w:hAnsi="Arial" w:cs="Arial"/>
              </w:rPr>
              <w:t>2</w:t>
            </w:r>
          </w:p>
        </w:tc>
        <w:tc>
          <w:tcPr>
            <w:tcW w:w="1134" w:type="dxa"/>
            <w:vAlign w:val="center"/>
          </w:tcPr>
          <w:p w14:paraId="24A53973" w14:textId="77777777" w:rsidR="00626756" w:rsidRPr="003A2F86" w:rsidRDefault="00626756" w:rsidP="00B223BA">
            <w:pPr>
              <w:jc w:val="center"/>
              <w:rPr>
                <w:rFonts w:ascii="Arial" w:eastAsia="Calibri" w:hAnsi="Arial" w:cs="Arial"/>
              </w:rPr>
            </w:pPr>
            <w:r w:rsidRPr="003A2F86">
              <w:rPr>
                <w:rFonts w:ascii="Arial" w:eastAsia="Calibri" w:hAnsi="Arial" w:cs="Arial"/>
              </w:rPr>
              <w:t>Dom</w:t>
            </w:r>
          </w:p>
        </w:tc>
        <w:tc>
          <w:tcPr>
            <w:tcW w:w="1395" w:type="dxa"/>
            <w:vAlign w:val="center"/>
          </w:tcPr>
          <w:p w14:paraId="7199B0FD" w14:textId="77777777" w:rsidR="00626756" w:rsidRPr="003A2F86" w:rsidRDefault="00626756" w:rsidP="00B223BA">
            <w:pPr>
              <w:jc w:val="center"/>
              <w:rPr>
                <w:rFonts w:ascii="Arial" w:eastAsia="Calibri" w:hAnsi="Arial" w:cs="Arial"/>
              </w:rPr>
            </w:pPr>
            <w:r w:rsidRPr="003A2F86">
              <w:rPr>
                <w:rFonts w:ascii="Arial" w:eastAsia="Calibri" w:hAnsi="Arial" w:cs="Arial"/>
              </w:rPr>
              <w:t>82</w:t>
            </w:r>
          </w:p>
        </w:tc>
        <w:tc>
          <w:tcPr>
            <w:tcW w:w="1440" w:type="dxa"/>
            <w:vAlign w:val="center"/>
          </w:tcPr>
          <w:p w14:paraId="3027CD4D" w14:textId="378F2512" w:rsidR="00626756" w:rsidRPr="003A2F86" w:rsidRDefault="00E73626" w:rsidP="00B223BA">
            <w:pPr>
              <w:jc w:val="center"/>
              <w:rPr>
                <w:rFonts w:ascii="Arial" w:eastAsia="Calibri" w:hAnsi="Arial" w:cs="Arial"/>
              </w:rPr>
            </w:pPr>
            <w:r>
              <w:rPr>
                <w:rFonts w:ascii="Arial" w:eastAsia="Calibri" w:hAnsi="Arial" w:cs="Arial"/>
              </w:rPr>
              <w:t>79</w:t>
            </w:r>
          </w:p>
        </w:tc>
        <w:tc>
          <w:tcPr>
            <w:tcW w:w="1394" w:type="dxa"/>
            <w:vAlign w:val="center"/>
          </w:tcPr>
          <w:p w14:paraId="01FBD253" w14:textId="77777777" w:rsidR="00626756" w:rsidRPr="003A2F86" w:rsidRDefault="00626756" w:rsidP="00B223BA">
            <w:pPr>
              <w:jc w:val="center"/>
              <w:rPr>
                <w:rFonts w:ascii="Arial" w:eastAsia="Calibri" w:hAnsi="Arial" w:cs="Arial"/>
              </w:rPr>
            </w:pPr>
            <w:r w:rsidRPr="003A2F86">
              <w:rPr>
                <w:rFonts w:ascii="Arial" w:eastAsia="Calibri" w:hAnsi="Arial" w:cs="Arial"/>
              </w:rPr>
              <w:t>82</w:t>
            </w:r>
          </w:p>
        </w:tc>
        <w:tc>
          <w:tcPr>
            <w:tcW w:w="1496" w:type="dxa"/>
            <w:vAlign w:val="center"/>
          </w:tcPr>
          <w:p w14:paraId="34C07B57" w14:textId="77777777" w:rsidR="00626756" w:rsidRPr="003A2F86" w:rsidRDefault="00626756" w:rsidP="00B223BA">
            <w:pPr>
              <w:jc w:val="center"/>
              <w:rPr>
                <w:rFonts w:ascii="Arial" w:eastAsia="Calibri" w:hAnsi="Arial" w:cs="Arial"/>
              </w:rPr>
            </w:pPr>
            <w:r w:rsidRPr="003A2F86">
              <w:rPr>
                <w:rFonts w:ascii="Arial" w:eastAsia="Calibri" w:hAnsi="Arial" w:cs="Arial"/>
              </w:rPr>
              <w:t>82</w:t>
            </w:r>
          </w:p>
        </w:tc>
      </w:tr>
    </w:tbl>
    <w:p w14:paraId="164F4648" w14:textId="77777777" w:rsidR="00626756" w:rsidRPr="003A2F86" w:rsidRDefault="00626756" w:rsidP="00626756">
      <w:pPr>
        <w:spacing w:after="0" w:line="240" w:lineRule="auto"/>
        <w:jc w:val="both"/>
        <w:rPr>
          <w:rFonts w:ascii="Arial" w:eastAsia="Calibri" w:hAnsi="Arial" w:cs="Arial"/>
          <w:sz w:val="20"/>
          <w:szCs w:val="20"/>
        </w:rPr>
      </w:pPr>
    </w:p>
    <w:p w14:paraId="115BE846" w14:textId="2EF4D3DF" w:rsidR="00923DED" w:rsidRDefault="00E73626" w:rsidP="00626756">
      <w:pPr>
        <w:spacing w:after="0" w:line="240" w:lineRule="auto"/>
        <w:jc w:val="both"/>
        <w:rPr>
          <w:rFonts w:ascii="Arial" w:eastAsia="Calibri" w:hAnsi="Arial" w:cs="Arial"/>
          <w:sz w:val="20"/>
          <w:szCs w:val="20"/>
        </w:rPr>
      </w:pPr>
      <w:r w:rsidRPr="00E73626">
        <w:rPr>
          <w:rFonts w:ascii="Arial" w:eastAsia="Calibri" w:hAnsi="Arial" w:cs="Arial"/>
          <w:sz w:val="20"/>
          <w:szCs w:val="20"/>
        </w:rPr>
        <w:t>Broj smještenih korisnika na dan 31. prosinca 2025.g. je 79. Useljenja korisnika na ispražnjena mjesta su planirana u siječnju 2026.g.</w:t>
      </w:r>
    </w:p>
    <w:p w14:paraId="64D57333" w14:textId="77777777" w:rsidR="00E73626" w:rsidRPr="003A2F86" w:rsidRDefault="00E73626" w:rsidP="00626756">
      <w:pPr>
        <w:spacing w:after="0" w:line="240" w:lineRule="auto"/>
        <w:jc w:val="both"/>
        <w:rPr>
          <w:rFonts w:ascii="Arial" w:eastAsia="Calibri" w:hAnsi="Arial" w:cs="Arial"/>
          <w:sz w:val="20"/>
          <w:szCs w:val="20"/>
          <w:lang w:eastAsia="en-US"/>
        </w:rPr>
      </w:pPr>
    </w:p>
    <w:tbl>
      <w:tblPr>
        <w:tblStyle w:val="TableGrid24"/>
        <w:tblW w:w="14651" w:type="dxa"/>
        <w:jc w:val="center"/>
        <w:tblLayout w:type="fixed"/>
        <w:tblLook w:val="04A0" w:firstRow="1" w:lastRow="0" w:firstColumn="1" w:lastColumn="0" w:noHBand="0" w:noVBand="1"/>
      </w:tblPr>
      <w:tblGrid>
        <w:gridCol w:w="3114"/>
        <w:gridCol w:w="2387"/>
        <w:gridCol w:w="1117"/>
        <w:gridCol w:w="1134"/>
        <w:gridCol w:w="1134"/>
        <w:gridCol w:w="1435"/>
        <w:gridCol w:w="1417"/>
        <w:gridCol w:w="1417"/>
        <w:gridCol w:w="1496"/>
      </w:tblGrid>
      <w:tr w:rsidR="0062411F" w:rsidRPr="003A2F86" w14:paraId="2494227F" w14:textId="77777777" w:rsidTr="00923DED">
        <w:trPr>
          <w:jc w:val="center"/>
        </w:trPr>
        <w:tc>
          <w:tcPr>
            <w:tcW w:w="3114" w:type="dxa"/>
            <w:shd w:val="clear" w:color="auto" w:fill="BFBFBF" w:themeFill="background1" w:themeFillShade="BF"/>
            <w:vAlign w:val="center"/>
          </w:tcPr>
          <w:p w14:paraId="233CE915" w14:textId="77777777" w:rsidR="0062411F" w:rsidRPr="003A2F86" w:rsidRDefault="0062411F" w:rsidP="0062411F">
            <w:pPr>
              <w:jc w:val="center"/>
              <w:rPr>
                <w:rFonts w:ascii="Arial" w:eastAsia="Calibri" w:hAnsi="Arial" w:cs="Arial"/>
              </w:rPr>
            </w:pPr>
            <w:r w:rsidRPr="003A2F86">
              <w:rPr>
                <w:rFonts w:ascii="Arial" w:eastAsia="Calibri" w:hAnsi="Arial" w:cs="Arial"/>
              </w:rPr>
              <w:t>Pokazatelj uspješnosti</w:t>
            </w:r>
          </w:p>
        </w:tc>
        <w:tc>
          <w:tcPr>
            <w:tcW w:w="2387" w:type="dxa"/>
            <w:shd w:val="clear" w:color="auto" w:fill="BFBFBF" w:themeFill="background1" w:themeFillShade="BF"/>
            <w:vAlign w:val="center"/>
          </w:tcPr>
          <w:p w14:paraId="72C69D1F" w14:textId="77777777" w:rsidR="0062411F" w:rsidRPr="003A2F86" w:rsidRDefault="0062411F" w:rsidP="0062411F">
            <w:pPr>
              <w:jc w:val="center"/>
              <w:rPr>
                <w:rFonts w:ascii="Arial" w:eastAsia="Calibri" w:hAnsi="Arial" w:cs="Arial"/>
              </w:rPr>
            </w:pPr>
            <w:r w:rsidRPr="003A2F86">
              <w:rPr>
                <w:rFonts w:ascii="Arial" w:eastAsia="Calibri" w:hAnsi="Arial" w:cs="Arial"/>
              </w:rPr>
              <w:t>Definicija</w:t>
            </w:r>
          </w:p>
        </w:tc>
        <w:tc>
          <w:tcPr>
            <w:tcW w:w="1117" w:type="dxa"/>
            <w:shd w:val="clear" w:color="auto" w:fill="BFBFBF" w:themeFill="background1" w:themeFillShade="BF"/>
            <w:vAlign w:val="center"/>
          </w:tcPr>
          <w:p w14:paraId="4886ADF0" w14:textId="77777777" w:rsidR="0062411F" w:rsidRPr="003A2F86" w:rsidRDefault="0062411F" w:rsidP="0062411F">
            <w:pPr>
              <w:jc w:val="center"/>
              <w:rPr>
                <w:rFonts w:ascii="Arial" w:eastAsia="Calibri" w:hAnsi="Arial" w:cs="Arial"/>
              </w:rPr>
            </w:pPr>
            <w:r w:rsidRPr="003A2F86">
              <w:rPr>
                <w:rFonts w:ascii="Arial" w:eastAsia="Calibri" w:hAnsi="Arial" w:cs="Arial"/>
              </w:rPr>
              <w:t>Jedinica</w:t>
            </w:r>
          </w:p>
        </w:tc>
        <w:tc>
          <w:tcPr>
            <w:tcW w:w="1134" w:type="dxa"/>
            <w:shd w:val="clear" w:color="auto" w:fill="BFBFBF" w:themeFill="background1" w:themeFillShade="BF"/>
            <w:vAlign w:val="center"/>
          </w:tcPr>
          <w:p w14:paraId="6216E721" w14:textId="77777777" w:rsidR="0062411F" w:rsidRPr="003A2F86" w:rsidRDefault="0062411F" w:rsidP="0062411F">
            <w:pPr>
              <w:jc w:val="center"/>
              <w:rPr>
                <w:rFonts w:ascii="Arial" w:eastAsia="Calibri" w:hAnsi="Arial" w:cs="Arial"/>
              </w:rPr>
            </w:pPr>
            <w:r w:rsidRPr="003A2F86">
              <w:rPr>
                <w:rFonts w:ascii="Arial" w:eastAsia="Calibri" w:hAnsi="Arial" w:cs="Arial"/>
              </w:rPr>
              <w:t>Polazna vrijednost</w:t>
            </w:r>
          </w:p>
          <w:p w14:paraId="303D7E13" w14:textId="23ADD3AD" w:rsidR="0062411F" w:rsidRPr="003A2F86" w:rsidRDefault="0062411F" w:rsidP="0062411F">
            <w:pPr>
              <w:jc w:val="center"/>
              <w:rPr>
                <w:rFonts w:ascii="Arial" w:eastAsia="Calibri" w:hAnsi="Arial" w:cs="Arial"/>
              </w:rPr>
            </w:pPr>
            <w:r w:rsidRPr="003A2F86">
              <w:rPr>
                <w:rFonts w:ascii="Arial" w:eastAsia="Calibri" w:hAnsi="Arial" w:cs="Arial"/>
              </w:rPr>
              <w:t>202</w:t>
            </w:r>
            <w:r>
              <w:rPr>
                <w:rFonts w:ascii="Arial" w:eastAsia="Calibri" w:hAnsi="Arial" w:cs="Arial"/>
              </w:rPr>
              <w:t>4</w:t>
            </w:r>
            <w:r w:rsidRPr="003A2F86">
              <w:rPr>
                <w:rFonts w:ascii="Arial" w:eastAsia="Calibri" w:hAnsi="Arial" w:cs="Arial"/>
              </w:rPr>
              <w:t>.</w:t>
            </w:r>
          </w:p>
        </w:tc>
        <w:tc>
          <w:tcPr>
            <w:tcW w:w="1134" w:type="dxa"/>
            <w:shd w:val="clear" w:color="auto" w:fill="BFBFBF" w:themeFill="background1" w:themeFillShade="BF"/>
            <w:vAlign w:val="center"/>
          </w:tcPr>
          <w:p w14:paraId="421A6AA8" w14:textId="7D44DD3B" w:rsidR="0062411F" w:rsidRPr="003A2F86" w:rsidRDefault="0062411F" w:rsidP="0062411F">
            <w:pPr>
              <w:jc w:val="center"/>
              <w:rPr>
                <w:rFonts w:ascii="Arial" w:eastAsia="Calibri" w:hAnsi="Arial" w:cs="Arial"/>
              </w:rPr>
            </w:pPr>
            <w:r w:rsidRPr="003A2F86">
              <w:rPr>
                <w:rFonts w:ascii="Arial" w:eastAsia="Calibri" w:hAnsi="Arial" w:cs="Arial"/>
              </w:rPr>
              <w:t>Izvor podataka</w:t>
            </w:r>
          </w:p>
        </w:tc>
        <w:tc>
          <w:tcPr>
            <w:tcW w:w="1435" w:type="dxa"/>
            <w:shd w:val="clear" w:color="auto" w:fill="BFBFBF" w:themeFill="background1" w:themeFillShade="BF"/>
            <w:vAlign w:val="center"/>
          </w:tcPr>
          <w:p w14:paraId="0A7A7B03" w14:textId="4219C2EA" w:rsidR="0062411F" w:rsidRPr="003A2F86" w:rsidRDefault="0062411F" w:rsidP="0062411F">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5</w:t>
            </w:r>
            <w:r w:rsidRPr="003A2F86">
              <w:rPr>
                <w:rFonts w:ascii="Arial" w:eastAsia="Calibri" w:hAnsi="Arial" w:cs="Arial"/>
              </w:rPr>
              <w:t>.</w:t>
            </w:r>
          </w:p>
        </w:tc>
        <w:tc>
          <w:tcPr>
            <w:tcW w:w="1417" w:type="dxa"/>
            <w:shd w:val="clear" w:color="auto" w:fill="BFBFBF" w:themeFill="background1" w:themeFillShade="BF"/>
            <w:vAlign w:val="center"/>
          </w:tcPr>
          <w:p w14:paraId="17CDDC9D" w14:textId="40F5884E" w:rsidR="0062411F" w:rsidRPr="003A2F86" w:rsidRDefault="0062411F" w:rsidP="0062411F">
            <w:pPr>
              <w:jc w:val="center"/>
              <w:rPr>
                <w:rFonts w:ascii="Arial" w:eastAsia="Calibri" w:hAnsi="Arial" w:cs="Arial"/>
              </w:rPr>
            </w:pPr>
            <w:r w:rsidRPr="003A2F86">
              <w:rPr>
                <w:rFonts w:ascii="Arial" w:eastAsia="Calibri" w:hAnsi="Arial" w:cs="Arial"/>
              </w:rPr>
              <w:t>Ostvareno u izvještajnom razdoblju</w:t>
            </w:r>
          </w:p>
        </w:tc>
        <w:tc>
          <w:tcPr>
            <w:tcW w:w="1417" w:type="dxa"/>
            <w:shd w:val="clear" w:color="auto" w:fill="BFBFBF" w:themeFill="background1" w:themeFillShade="BF"/>
            <w:vAlign w:val="center"/>
          </w:tcPr>
          <w:p w14:paraId="4F952131" w14:textId="569AEF28" w:rsidR="0062411F" w:rsidRPr="003A2F86" w:rsidRDefault="0062411F" w:rsidP="0062411F">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6</w:t>
            </w:r>
            <w:r w:rsidRPr="003A2F86">
              <w:rPr>
                <w:rFonts w:ascii="Arial" w:eastAsia="Calibri" w:hAnsi="Arial" w:cs="Arial"/>
              </w:rPr>
              <w:t>.</w:t>
            </w:r>
          </w:p>
        </w:tc>
        <w:tc>
          <w:tcPr>
            <w:tcW w:w="1496" w:type="dxa"/>
            <w:shd w:val="clear" w:color="auto" w:fill="BFBFBF" w:themeFill="background1" w:themeFillShade="BF"/>
            <w:vAlign w:val="center"/>
          </w:tcPr>
          <w:p w14:paraId="27272A72" w14:textId="6FE86F82" w:rsidR="0062411F" w:rsidRPr="003A2F86" w:rsidRDefault="0062411F" w:rsidP="0062411F">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7</w:t>
            </w:r>
            <w:r w:rsidRPr="003A2F86">
              <w:rPr>
                <w:rFonts w:ascii="Arial" w:eastAsia="Calibri" w:hAnsi="Arial" w:cs="Arial"/>
              </w:rPr>
              <w:t>.</w:t>
            </w:r>
          </w:p>
        </w:tc>
      </w:tr>
      <w:tr w:rsidR="00626756" w:rsidRPr="003A2F86" w14:paraId="240D391A" w14:textId="77777777" w:rsidTr="00923DED">
        <w:trPr>
          <w:trHeight w:val="695"/>
          <w:jc w:val="center"/>
        </w:trPr>
        <w:tc>
          <w:tcPr>
            <w:tcW w:w="3114" w:type="dxa"/>
            <w:vAlign w:val="center"/>
          </w:tcPr>
          <w:p w14:paraId="61FC15C3" w14:textId="77777777" w:rsidR="00626756" w:rsidRPr="003A2F86" w:rsidRDefault="00626756" w:rsidP="00B223BA">
            <w:pPr>
              <w:rPr>
                <w:rFonts w:ascii="Arial" w:eastAsia="Calibri" w:hAnsi="Arial" w:cs="Arial"/>
              </w:rPr>
            </w:pPr>
            <w:r w:rsidRPr="003A2F86">
              <w:rPr>
                <w:rFonts w:ascii="Arial" w:eastAsia="Calibri" w:hAnsi="Arial" w:cs="Arial"/>
              </w:rPr>
              <w:t>Povećanje broja korisnika dnevnog/ poludnevnog boravka</w:t>
            </w:r>
          </w:p>
        </w:tc>
        <w:tc>
          <w:tcPr>
            <w:tcW w:w="2387" w:type="dxa"/>
            <w:vAlign w:val="center"/>
          </w:tcPr>
          <w:p w14:paraId="1EDBB973" w14:textId="77777777" w:rsidR="00626756" w:rsidRPr="003A2F86" w:rsidRDefault="00626756" w:rsidP="00B223BA">
            <w:pPr>
              <w:rPr>
                <w:rFonts w:ascii="Arial" w:eastAsia="Calibri" w:hAnsi="Arial" w:cs="Arial"/>
              </w:rPr>
            </w:pPr>
            <w:r w:rsidRPr="003A2F86">
              <w:rPr>
                <w:rFonts w:ascii="Arial" w:eastAsia="Calibri" w:hAnsi="Arial" w:cs="Arial"/>
              </w:rPr>
              <w:t xml:space="preserve">Ostvarenje kapaciteta ustanove </w:t>
            </w:r>
          </w:p>
        </w:tc>
        <w:tc>
          <w:tcPr>
            <w:tcW w:w="1117" w:type="dxa"/>
            <w:vAlign w:val="center"/>
          </w:tcPr>
          <w:p w14:paraId="6E6641EC" w14:textId="77777777" w:rsidR="00626756" w:rsidRPr="003A2F86" w:rsidRDefault="00626756" w:rsidP="00B223BA">
            <w:pPr>
              <w:rPr>
                <w:rFonts w:ascii="Arial" w:eastAsia="Calibri" w:hAnsi="Arial" w:cs="Arial"/>
              </w:rPr>
            </w:pPr>
            <w:r w:rsidRPr="003A2F86">
              <w:rPr>
                <w:rFonts w:ascii="Arial" w:eastAsia="Calibri" w:hAnsi="Arial" w:cs="Arial"/>
              </w:rPr>
              <w:t>Broj korisnika</w:t>
            </w:r>
          </w:p>
        </w:tc>
        <w:tc>
          <w:tcPr>
            <w:tcW w:w="1134" w:type="dxa"/>
            <w:vAlign w:val="center"/>
          </w:tcPr>
          <w:p w14:paraId="63FBF012" w14:textId="430ACB6F" w:rsidR="00626756" w:rsidRPr="003A2F86" w:rsidRDefault="00087502" w:rsidP="00B223BA">
            <w:pPr>
              <w:jc w:val="center"/>
              <w:rPr>
                <w:rFonts w:ascii="Arial" w:eastAsia="Calibri" w:hAnsi="Arial" w:cs="Arial"/>
              </w:rPr>
            </w:pPr>
            <w:r w:rsidRPr="003A2F86">
              <w:rPr>
                <w:rFonts w:ascii="Arial" w:eastAsia="Calibri" w:hAnsi="Arial" w:cs="Arial"/>
              </w:rPr>
              <w:t>3</w:t>
            </w:r>
            <w:r w:rsidR="0062411F">
              <w:rPr>
                <w:rFonts w:ascii="Arial" w:eastAsia="Calibri" w:hAnsi="Arial" w:cs="Arial"/>
              </w:rPr>
              <w:t>2</w:t>
            </w:r>
          </w:p>
        </w:tc>
        <w:tc>
          <w:tcPr>
            <w:tcW w:w="1134" w:type="dxa"/>
            <w:vAlign w:val="center"/>
          </w:tcPr>
          <w:p w14:paraId="5335CDC3" w14:textId="77777777" w:rsidR="00626756" w:rsidRPr="003A2F86" w:rsidRDefault="00626756" w:rsidP="00B223BA">
            <w:pPr>
              <w:jc w:val="center"/>
              <w:rPr>
                <w:rFonts w:ascii="Arial" w:eastAsia="Calibri" w:hAnsi="Arial" w:cs="Arial"/>
              </w:rPr>
            </w:pPr>
            <w:r w:rsidRPr="003A2F86">
              <w:rPr>
                <w:rFonts w:ascii="Arial" w:eastAsia="Calibri" w:hAnsi="Arial" w:cs="Arial"/>
              </w:rPr>
              <w:t>Dom</w:t>
            </w:r>
          </w:p>
        </w:tc>
        <w:tc>
          <w:tcPr>
            <w:tcW w:w="1435" w:type="dxa"/>
            <w:vAlign w:val="center"/>
          </w:tcPr>
          <w:p w14:paraId="522388E8" w14:textId="1445EAE9" w:rsidR="00626756" w:rsidRPr="003A2F86" w:rsidRDefault="00BF7B75" w:rsidP="00B223BA">
            <w:pPr>
              <w:jc w:val="center"/>
              <w:rPr>
                <w:rFonts w:ascii="Arial" w:eastAsia="Calibri" w:hAnsi="Arial" w:cs="Arial"/>
              </w:rPr>
            </w:pPr>
            <w:r>
              <w:rPr>
                <w:rFonts w:ascii="Arial" w:eastAsia="Calibri" w:hAnsi="Arial" w:cs="Arial"/>
              </w:rPr>
              <w:t>3</w:t>
            </w:r>
          </w:p>
        </w:tc>
        <w:tc>
          <w:tcPr>
            <w:tcW w:w="1417" w:type="dxa"/>
            <w:vAlign w:val="center"/>
          </w:tcPr>
          <w:p w14:paraId="384808AB" w14:textId="2A9667D6" w:rsidR="00626756" w:rsidRPr="003A2F86" w:rsidRDefault="0066762F" w:rsidP="00B223BA">
            <w:pPr>
              <w:jc w:val="center"/>
              <w:rPr>
                <w:rFonts w:ascii="Arial" w:eastAsia="Calibri" w:hAnsi="Arial" w:cs="Arial"/>
              </w:rPr>
            </w:pPr>
            <w:r w:rsidRPr="003A2F86">
              <w:rPr>
                <w:rFonts w:ascii="Arial" w:eastAsia="Calibri" w:hAnsi="Arial" w:cs="Arial"/>
              </w:rPr>
              <w:t>2</w:t>
            </w:r>
          </w:p>
        </w:tc>
        <w:tc>
          <w:tcPr>
            <w:tcW w:w="1417" w:type="dxa"/>
            <w:vAlign w:val="center"/>
          </w:tcPr>
          <w:p w14:paraId="3E816089" w14:textId="3D83A8BC" w:rsidR="00626756" w:rsidRPr="003A2F86" w:rsidRDefault="00EB2DCA" w:rsidP="00B223BA">
            <w:pPr>
              <w:jc w:val="center"/>
              <w:rPr>
                <w:rFonts w:ascii="Arial" w:eastAsia="Calibri" w:hAnsi="Arial" w:cs="Arial"/>
              </w:rPr>
            </w:pPr>
            <w:r>
              <w:rPr>
                <w:rFonts w:ascii="Arial" w:eastAsia="Calibri" w:hAnsi="Arial" w:cs="Arial"/>
              </w:rPr>
              <w:t>3</w:t>
            </w:r>
          </w:p>
        </w:tc>
        <w:tc>
          <w:tcPr>
            <w:tcW w:w="1496" w:type="dxa"/>
            <w:vAlign w:val="center"/>
          </w:tcPr>
          <w:p w14:paraId="04614E80" w14:textId="48D61036" w:rsidR="00626756" w:rsidRPr="003A2F86" w:rsidRDefault="00087502" w:rsidP="00B223BA">
            <w:pPr>
              <w:jc w:val="center"/>
              <w:rPr>
                <w:rFonts w:ascii="Arial" w:eastAsia="Calibri" w:hAnsi="Arial" w:cs="Arial"/>
              </w:rPr>
            </w:pPr>
            <w:r w:rsidRPr="003A2F86">
              <w:rPr>
                <w:rFonts w:ascii="Arial" w:eastAsia="Calibri" w:hAnsi="Arial" w:cs="Arial"/>
              </w:rPr>
              <w:t>4</w:t>
            </w:r>
          </w:p>
        </w:tc>
      </w:tr>
    </w:tbl>
    <w:p w14:paraId="2A54618E" w14:textId="77777777" w:rsidR="00626756" w:rsidRPr="003A2F86" w:rsidRDefault="00626756" w:rsidP="00626756">
      <w:pPr>
        <w:spacing w:after="0" w:line="240" w:lineRule="auto"/>
        <w:jc w:val="both"/>
        <w:rPr>
          <w:rFonts w:ascii="Arial" w:eastAsia="Calibri" w:hAnsi="Arial" w:cs="Arial"/>
          <w:b/>
          <w:sz w:val="20"/>
          <w:szCs w:val="20"/>
        </w:rPr>
      </w:pPr>
    </w:p>
    <w:p w14:paraId="022F4687" w14:textId="11029C3B" w:rsidR="00626756" w:rsidRPr="003A2F86" w:rsidRDefault="00626756" w:rsidP="00626756">
      <w:pPr>
        <w:spacing w:after="0" w:line="240" w:lineRule="auto"/>
        <w:jc w:val="both"/>
        <w:rPr>
          <w:rFonts w:ascii="Arial" w:eastAsia="Calibri" w:hAnsi="Arial" w:cs="Arial"/>
          <w:sz w:val="20"/>
          <w:szCs w:val="20"/>
          <w:lang w:eastAsia="en-US"/>
        </w:rPr>
      </w:pPr>
      <w:r w:rsidRPr="003A2F86">
        <w:rPr>
          <w:rFonts w:ascii="Arial" w:eastAsia="Calibri" w:hAnsi="Arial" w:cs="Arial"/>
          <w:sz w:val="20"/>
          <w:szCs w:val="20"/>
          <w:lang w:eastAsia="en-US"/>
        </w:rPr>
        <w:t xml:space="preserve">Na dan pripreme ovog obrazloženja </w:t>
      </w:r>
      <w:r w:rsidR="0066762F" w:rsidRPr="003A2F86">
        <w:rPr>
          <w:rFonts w:ascii="Arial" w:eastAsia="Calibri" w:hAnsi="Arial" w:cs="Arial"/>
          <w:sz w:val="20"/>
          <w:szCs w:val="20"/>
          <w:lang w:eastAsia="en-US"/>
        </w:rPr>
        <w:t>dvoje</w:t>
      </w:r>
      <w:r w:rsidRPr="003A2F86">
        <w:rPr>
          <w:rFonts w:ascii="Arial" w:eastAsia="Calibri" w:hAnsi="Arial" w:cs="Arial"/>
          <w:sz w:val="20"/>
          <w:szCs w:val="20"/>
          <w:lang w:eastAsia="en-US"/>
        </w:rPr>
        <w:t xml:space="preserve"> je korisnika usluge dnevnog/ poludnevnog boravka.</w:t>
      </w:r>
    </w:p>
    <w:p w14:paraId="197E9ECD" w14:textId="77777777" w:rsidR="00626756" w:rsidRPr="003A2F86" w:rsidRDefault="00626756" w:rsidP="00626756">
      <w:pPr>
        <w:spacing w:after="0" w:line="240" w:lineRule="auto"/>
        <w:jc w:val="both"/>
        <w:rPr>
          <w:rFonts w:ascii="Arial" w:eastAsia="Calibri" w:hAnsi="Arial" w:cs="Arial"/>
          <w:b/>
          <w:sz w:val="20"/>
          <w:szCs w:val="20"/>
          <w:u w:val="single"/>
        </w:rPr>
      </w:pPr>
    </w:p>
    <w:p w14:paraId="299ECD74" w14:textId="77777777" w:rsidR="00626756" w:rsidRPr="003A2F86" w:rsidRDefault="00626756" w:rsidP="00626756">
      <w:pPr>
        <w:spacing w:after="0" w:line="240" w:lineRule="auto"/>
        <w:jc w:val="both"/>
        <w:rPr>
          <w:rFonts w:ascii="Arial" w:eastAsia="Calibri" w:hAnsi="Arial" w:cs="Arial"/>
          <w:sz w:val="20"/>
          <w:szCs w:val="20"/>
          <w:u w:val="single"/>
        </w:rPr>
      </w:pPr>
      <w:r w:rsidRPr="003A2F86">
        <w:rPr>
          <w:rFonts w:ascii="Arial" w:eastAsia="Calibri" w:hAnsi="Arial" w:cs="Arial"/>
          <w:b/>
          <w:sz w:val="20"/>
          <w:szCs w:val="20"/>
          <w:u w:val="single"/>
        </w:rPr>
        <w:t>Cilj:</w:t>
      </w:r>
      <w:r w:rsidRPr="003A2F86">
        <w:rPr>
          <w:rFonts w:ascii="Arial" w:eastAsia="Calibri" w:hAnsi="Arial" w:cs="Arial"/>
          <w:sz w:val="20"/>
          <w:szCs w:val="20"/>
          <w:u w:val="single"/>
        </w:rPr>
        <w:t xml:space="preserve"> Poboljšanje kvalitete rada ustanove</w:t>
      </w:r>
    </w:p>
    <w:p w14:paraId="4C3CB0B5" w14:textId="77777777" w:rsidR="00626756" w:rsidRPr="003A2F86" w:rsidRDefault="00626756" w:rsidP="00626756">
      <w:pPr>
        <w:spacing w:after="0" w:line="240" w:lineRule="auto"/>
        <w:jc w:val="both"/>
        <w:rPr>
          <w:rFonts w:ascii="Arial" w:eastAsia="Calibri" w:hAnsi="Arial" w:cs="Arial"/>
          <w:sz w:val="20"/>
          <w:szCs w:val="20"/>
        </w:rPr>
      </w:pPr>
    </w:p>
    <w:p w14:paraId="4F53FA3A" w14:textId="77777777" w:rsidR="00626756" w:rsidRPr="003A2F86" w:rsidRDefault="00626756" w:rsidP="00626756">
      <w:pPr>
        <w:spacing w:after="0" w:line="240" w:lineRule="auto"/>
        <w:jc w:val="both"/>
        <w:rPr>
          <w:rFonts w:ascii="Arial" w:eastAsia="Calibri" w:hAnsi="Arial" w:cs="Arial"/>
          <w:sz w:val="20"/>
          <w:szCs w:val="20"/>
        </w:rPr>
      </w:pPr>
      <w:r w:rsidRPr="003A2F86">
        <w:rPr>
          <w:rFonts w:ascii="Arial" w:eastAsia="Calibri" w:hAnsi="Arial" w:cs="Arial"/>
          <w:sz w:val="20"/>
          <w:szCs w:val="20"/>
        </w:rPr>
        <w:t>Ovaj cilj se nastoji postići kontinuiranim stručnim usavršavanjem djelatnika radi stjecanja i održavanja znanja, vještina i sposobnosti potrebnih u radu</w:t>
      </w:r>
    </w:p>
    <w:p w14:paraId="63B3612E" w14:textId="77777777" w:rsidR="00626756" w:rsidRPr="003A2F86" w:rsidRDefault="00626756" w:rsidP="00626756">
      <w:pPr>
        <w:spacing w:after="0" w:line="240" w:lineRule="auto"/>
        <w:jc w:val="both"/>
        <w:rPr>
          <w:rFonts w:ascii="Arial" w:eastAsia="Calibri" w:hAnsi="Arial" w:cs="Arial"/>
          <w:sz w:val="20"/>
          <w:szCs w:val="20"/>
        </w:rPr>
      </w:pPr>
    </w:p>
    <w:tbl>
      <w:tblPr>
        <w:tblStyle w:val="TableGrid24"/>
        <w:tblW w:w="14651" w:type="dxa"/>
        <w:jc w:val="center"/>
        <w:tblLayout w:type="fixed"/>
        <w:tblLook w:val="04A0" w:firstRow="1" w:lastRow="0" w:firstColumn="1" w:lastColumn="0" w:noHBand="0" w:noVBand="1"/>
      </w:tblPr>
      <w:tblGrid>
        <w:gridCol w:w="2547"/>
        <w:gridCol w:w="2671"/>
        <w:gridCol w:w="1400"/>
        <w:gridCol w:w="1134"/>
        <w:gridCol w:w="1134"/>
        <w:gridCol w:w="1435"/>
        <w:gridCol w:w="1417"/>
        <w:gridCol w:w="1417"/>
        <w:gridCol w:w="1496"/>
      </w:tblGrid>
      <w:tr w:rsidR="00BF7B75" w:rsidRPr="003A2F86" w14:paraId="09E547E9" w14:textId="77777777" w:rsidTr="00923DED">
        <w:trPr>
          <w:jc w:val="center"/>
        </w:trPr>
        <w:tc>
          <w:tcPr>
            <w:tcW w:w="2547" w:type="dxa"/>
            <w:shd w:val="clear" w:color="auto" w:fill="BFBFBF" w:themeFill="background1" w:themeFillShade="BF"/>
            <w:vAlign w:val="center"/>
          </w:tcPr>
          <w:p w14:paraId="73A400F1" w14:textId="77777777" w:rsidR="00BF7B75" w:rsidRPr="003A2F86" w:rsidRDefault="00BF7B75" w:rsidP="00BF7B75">
            <w:pPr>
              <w:jc w:val="center"/>
              <w:rPr>
                <w:rFonts w:ascii="Arial" w:eastAsia="Calibri" w:hAnsi="Arial" w:cs="Arial"/>
              </w:rPr>
            </w:pPr>
            <w:r w:rsidRPr="003A2F86">
              <w:rPr>
                <w:rFonts w:ascii="Arial" w:eastAsia="Calibri" w:hAnsi="Arial" w:cs="Arial"/>
              </w:rPr>
              <w:t>Pokazatelj uspješnosti</w:t>
            </w:r>
          </w:p>
        </w:tc>
        <w:tc>
          <w:tcPr>
            <w:tcW w:w="2671" w:type="dxa"/>
            <w:shd w:val="clear" w:color="auto" w:fill="BFBFBF" w:themeFill="background1" w:themeFillShade="BF"/>
            <w:vAlign w:val="center"/>
          </w:tcPr>
          <w:p w14:paraId="75C51895" w14:textId="77777777" w:rsidR="00BF7B75" w:rsidRPr="003A2F86" w:rsidRDefault="00BF7B75" w:rsidP="00BF7B75">
            <w:pPr>
              <w:jc w:val="center"/>
              <w:rPr>
                <w:rFonts w:ascii="Arial" w:eastAsia="Calibri" w:hAnsi="Arial" w:cs="Arial"/>
              </w:rPr>
            </w:pPr>
            <w:r w:rsidRPr="003A2F86">
              <w:rPr>
                <w:rFonts w:ascii="Arial" w:eastAsia="Calibri" w:hAnsi="Arial" w:cs="Arial"/>
              </w:rPr>
              <w:t>Definicija</w:t>
            </w:r>
          </w:p>
        </w:tc>
        <w:tc>
          <w:tcPr>
            <w:tcW w:w="1400" w:type="dxa"/>
            <w:shd w:val="clear" w:color="auto" w:fill="BFBFBF" w:themeFill="background1" w:themeFillShade="BF"/>
            <w:vAlign w:val="center"/>
          </w:tcPr>
          <w:p w14:paraId="254CEFDC" w14:textId="77777777" w:rsidR="00BF7B75" w:rsidRPr="003A2F86" w:rsidRDefault="00BF7B75" w:rsidP="00BF7B75">
            <w:pPr>
              <w:jc w:val="center"/>
              <w:rPr>
                <w:rFonts w:ascii="Arial" w:eastAsia="Calibri" w:hAnsi="Arial" w:cs="Arial"/>
              </w:rPr>
            </w:pPr>
            <w:r w:rsidRPr="003A2F86">
              <w:rPr>
                <w:rFonts w:ascii="Arial" w:eastAsia="Calibri" w:hAnsi="Arial" w:cs="Arial"/>
              </w:rPr>
              <w:t>Jedinica</w:t>
            </w:r>
          </w:p>
        </w:tc>
        <w:tc>
          <w:tcPr>
            <w:tcW w:w="1134" w:type="dxa"/>
            <w:shd w:val="clear" w:color="auto" w:fill="BFBFBF" w:themeFill="background1" w:themeFillShade="BF"/>
            <w:vAlign w:val="center"/>
          </w:tcPr>
          <w:p w14:paraId="4A4D3DBC" w14:textId="77777777" w:rsidR="00BF7B75" w:rsidRPr="003A2F86" w:rsidRDefault="00BF7B75" w:rsidP="00BF7B75">
            <w:pPr>
              <w:jc w:val="center"/>
              <w:rPr>
                <w:rFonts w:ascii="Arial" w:eastAsia="Calibri" w:hAnsi="Arial" w:cs="Arial"/>
              </w:rPr>
            </w:pPr>
            <w:r w:rsidRPr="003A2F86">
              <w:rPr>
                <w:rFonts w:ascii="Arial" w:eastAsia="Calibri" w:hAnsi="Arial" w:cs="Arial"/>
              </w:rPr>
              <w:t>Polazna vrijednost</w:t>
            </w:r>
          </w:p>
          <w:p w14:paraId="2D56AE08" w14:textId="10463BF4" w:rsidR="00BF7B75" w:rsidRPr="003A2F86" w:rsidRDefault="00BF7B75" w:rsidP="00BF7B75">
            <w:pPr>
              <w:jc w:val="center"/>
              <w:rPr>
                <w:rFonts w:ascii="Arial" w:eastAsia="Calibri" w:hAnsi="Arial" w:cs="Arial"/>
              </w:rPr>
            </w:pPr>
            <w:r w:rsidRPr="003A2F86">
              <w:rPr>
                <w:rFonts w:ascii="Arial" w:eastAsia="Calibri" w:hAnsi="Arial" w:cs="Arial"/>
              </w:rPr>
              <w:t>202</w:t>
            </w:r>
            <w:r>
              <w:rPr>
                <w:rFonts w:ascii="Arial" w:eastAsia="Calibri" w:hAnsi="Arial" w:cs="Arial"/>
              </w:rPr>
              <w:t>4</w:t>
            </w:r>
            <w:r w:rsidRPr="003A2F86">
              <w:rPr>
                <w:rFonts w:ascii="Arial" w:eastAsia="Calibri" w:hAnsi="Arial" w:cs="Arial"/>
              </w:rPr>
              <w:t>.</w:t>
            </w:r>
          </w:p>
        </w:tc>
        <w:tc>
          <w:tcPr>
            <w:tcW w:w="1134" w:type="dxa"/>
            <w:shd w:val="clear" w:color="auto" w:fill="BFBFBF" w:themeFill="background1" w:themeFillShade="BF"/>
            <w:vAlign w:val="center"/>
          </w:tcPr>
          <w:p w14:paraId="715F3E19" w14:textId="70E221A8" w:rsidR="00BF7B75" w:rsidRPr="003A2F86" w:rsidRDefault="00BF7B75" w:rsidP="00BF7B75">
            <w:pPr>
              <w:jc w:val="center"/>
              <w:rPr>
                <w:rFonts w:ascii="Arial" w:eastAsia="Calibri" w:hAnsi="Arial" w:cs="Arial"/>
              </w:rPr>
            </w:pPr>
            <w:r w:rsidRPr="003A2F86">
              <w:rPr>
                <w:rFonts w:ascii="Arial" w:eastAsia="Calibri" w:hAnsi="Arial" w:cs="Arial"/>
              </w:rPr>
              <w:t>Izvor podataka</w:t>
            </w:r>
          </w:p>
        </w:tc>
        <w:tc>
          <w:tcPr>
            <w:tcW w:w="1435" w:type="dxa"/>
            <w:shd w:val="clear" w:color="auto" w:fill="BFBFBF" w:themeFill="background1" w:themeFillShade="BF"/>
            <w:vAlign w:val="center"/>
          </w:tcPr>
          <w:p w14:paraId="6DDE3313" w14:textId="51E7BB72" w:rsidR="00BF7B75" w:rsidRPr="003A2F86" w:rsidRDefault="00BF7B75" w:rsidP="00BF7B75">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5</w:t>
            </w:r>
            <w:r w:rsidRPr="003A2F86">
              <w:rPr>
                <w:rFonts w:ascii="Arial" w:eastAsia="Calibri" w:hAnsi="Arial" w:cs="Arial"/>
              </w:rPr>
              <w:t>.</w:t>
            </w:r>
          </w:p>
        </w:tc>
        <w:tc>
          <w:tcPr>
            <w:tcW w:w="1417" w:type="dxa"/>
            <w:shd w:val="clear" w:color="auto" w:fill="BFBFBF" w:themeFill="background1" w:themeFillShade="BF"/>
            <w:vAlign w:val="center"/>
          </w:tcPr>
          <w:p w14:paraId="005A529F" w14:textId="4F4BD6F7" w:rsidR="00BF7B75" w:rsidRPr="003A2F86" w:rsidRDefault="00BF7B75" w:rsidP="00BF7B75">
            <w:pPr>
              <w:jc w:val="center"/>
              <w:rPr>
                <w:rFonts w:ascii="Arial" w:eastAsia="Calibri" w:hAnsi="Arial" w:cs="Arial"/>
              </w:rPr>
            </w:pPr>
            <w:r w:rsidRPr="003A2F86">
              <w:rPr>
                <w:rFonts w:ascii="Arial" w:eastAsia="Calibri" w:hAnsi="Arial" w:cs="Arial"/>
              </w:rPr>
              <w:t>Ostvareno u izvještajnom razdoblju</w:t>
            </w:r>
          </w:p>
        </w:tc>
        <w:tc>
          <w:tcPr>
            <w:tcW w:w="1417" w:type="dxa"/>
            <w:shd w:val="clear" w:color="auto" w:fill="BFBFBF" w:themeFill="background1" w:themeFillShade="BF"/>
            <w:vAlign w:val="center"/>
          </w:tcPr>
          <w:p w14:paraId="242054D6" w14:textId="4ECD483C" w:rsidR="00BF7B75" w:rsidRPr="003A2F86" w:rsidRDefault="00BF7B75" w:rsidP="00BF7B75">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6</w:t>
            </w:r>
            <w:r w:rsidRPr="003A2F86">
              <w:rPr>
                <w:rFonts w:ascii="Arial" w:eastAsia="Calibri" w:hAnsi="Arial" w:cs="Arial"/>
              </w:rPr>
              <w:t>.</w:t>
            </w:r>
          </w:p>
        </w:tc>
        <w:tc>
          <w:tcPr>
            <w:tcW w:w="1496" w:type="dxa"/>
            <w:shd w:val="clear" w:color="auto" w:fill="BFBFBF" w:themeFill="background1" w:themeFillShade="BF"/>
            <w:vAlign w:val="center"/>
          </w:tcPr>
          <w:p w14:paraId="07635CA1" w14:textId="54540D65" w:rsidR="00BF7B75" w:rsidRPr="003A2F86" w:rsidRDefault="00BF7B75" w:rsidP="00BF7B75">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7</w:t>
            </w:r>
            <w:r w:rsidRPr="003A2F86">
              <w:rPr>
                <w:rFonts w:ascii="Arial" w:eastAsia="Calibri" w:hAnsi="Arial" w:cs="Arial"/>
              </w:rPr>
              <w:t>.</w:t>
            </w:r>
          </w:p>
        </w:tc>
      </w:tr>
      <w:tr w:rsidR="0066762F" w:rsidRPr="00F12DCA" w14:paraId="2AD9AA94" w14:textId="77777777" w:rsidTr="00F12DCA">
        <w:trPr>
          <w:trHeight w:val="1249"/>
          <w:jc w:val="center"/>
        </w:trPr>
        <w:tc>
          <w:tcPr>
            <w:tcW w:w="2547" w:type="dxa"/>
            <w:vAlign w:val="center"/>
          </w:tcPr>
          <w:p w14:paraId="3C046AB2" w14:textId="77777777" w:rsidR="00626756" w:rsidRPr="00F12DCA" w:rsidRDefault="00626756" w:rsidP="00B223BA">
            <w:pPr>
              <w:rPr>
                <w:rFonts w:ascii="Arial" w:eastAsia="Calibri" w:hAnsi="Arial" w:cs="Arial"/>
                <w:sz w:val="18"/>
                <w:szCs w:val="18"/>
              </w:rPr>
            </w:pPr>
            <w:r w:rsidRPr="00F12DCA">
              <w:rPr>
                <w:rFonts w:ascii="Arial" w:eastAsia="Calibri" w:hAnsi="Arial" w:cs="Arial"/>
                <w:sz w:val="18"/>
                <w:szCs w:val="18"/>
              </w:rPr>
              <w:t>Povećanje broja sudjelovanja djelatnika na seminarima, tečajevima, kongresima, stručnim predavanjima i sl.</w:t>
            </w:r>
          </w:p>
        </w:tc>
        <w:tc>
          <w:tcPr>
            <w:tcW w:w="2671" w:type="dxa"/>
            <w:vAlign w:val="center"/>
          </w:tcPr>
          <w:p w14:paraId="107DF939" w14:textId="77777777" w:rsidR="00626756" w:rsidRPr="00F12DCA" w:rsidRDefault="00626756" w:rsidP="00B223BA">
            <w:pPr>
              <w:rPr>
                <w:rFonts w:ascii="Arial" w:eastAsia="Calibri" w:hAnsi="Arial" w:cs="Arial"/>
                <w:sz w:val="18"/>
                <w:szCs w:val="18"/>
              </w:rPr>
            </w:pPr>
            <w:r w:rsidRPr="00F12DCA">
              <w:rPr>
                <w:rFonts w:ascii="Arial" w:eastAsia="Calibri" w:hAnsi="Arial" w:cs="Arial"/>
                <w:sz w:val="18"/>
                <w:szCs w:val="18"/>
              </w:rPr>
              <w:t>Prilagođavanjem i nadopunom postojećih znanja, vještina i sposobnosti unapređuje se stručnost djelatnika, a time i kvaliteta pružene usluge</w:t>
            </w:r>
          </w:p>
        </w:tc>
        <w:tc>
          <w:tcPr>
            <w:tcW w:w="1400" w:type="dxa"/>
            <w:vAlign w:val="center"/>
          </w:tcPr>
          <w:p w14:paraId="4BCEA8EB" w14:textId="77777777" w:rsidR="00626756" w:rsidRPr="00F12DCA" w:rsidRDefault="00626756" w:rsidP="00B223BA">
            <w:pPr>
              <w:jc w:val="center"/>
              <w:rPr>
                <w:rFonts w:ascii="Arial" w:eastAsia="Calibri" w:hAnsi="Arial" w:cs="Arial"/>
                <w:sz w:val="18"/>
                <w:szCs w:val="18"/>
              </w:rPr>
            </w:pPr>
            <w:r w:rsidRPr="00F12DCA">
              <w:rPr>
                <w:rFonts w:ascii="Arial" w:eastAsia="Calibri" w:hAnsi="Arial" w:cs="Arial"/>
                <w:sz w:val="18"/>
                <w:szCs w:val="18"/>
              </w:rPr>
              <w:t>Broj stručnih usavršavanja djelatnika</w:t>
            </w:r>
          </w:p>
        </w:tc>
        <w:tc>
          <w:tcPr>
            <w:tcW w:w="1134" w:type="dxa"/>
            <w:vAlign w:val="center"/>
          </w:tcPr>
          <w:p w14:paraId="52331577" w14:textId="1572AFBE" w:rsidR="00626756" w:rsidRPr="00F12DCA" w:rsidRDefault="00BF7B75" w:rsidP="00B223BA">
            <w:pPr>
              <w:jc w:val="center"/>
              <w:rPr>
                <w:rFonts w:ascii="Arial" w:eastAsia="Calibri" w:hAnsi="Arial" w:cs="Arial"/>
                <w:sz w:val="18"/>
                <w:szCs w:val="18"/>
              </w:rPr>
            </w:pPr>
            <w:r>
              <w:rPr>
                <w:rFonts w:ascii="Arial" w:eastAsia="Calibri" w:hAnsi="Arial" w:cs="Arial"/>
                <w:sz w:val="18"/>
                <w:szCs w:val="18"/>
              </w:rPr>
              <w:t>7</w:t>
            </w:r>
          </w:p>
        </w:tc>
        <w:tc>
          <w:tcPr>
            <w:tcW w:w="1134" w:type="dxa"/>
            <w:vAlign w:val="center"/>
          </w:tcPr>
          <w:p w14:paraId="0CCB44C2" w14:textId="77777777" w:rsidR="00626756" w:rsidRPr="00F12DCA" w:rsidRDefault="00626756" w:rsidP="00B223BA">
            <w:pPr>
              <w:jc w:val="center"/>
              <w:rPr>
                <w:rFonts w:ascii="Arial" w:eastAsia="Calibri" w:hAnsi="Arial" w:cs="Arial"/>
                <w:sz w:val="18"/>
                <w:szCs w:val="18"/>
              </w:rPr>
            </w:pPr>
            <w:r w:rsidRPr="00F12DCA">
              <w:rPr>
                <w:rFonts w:ascii="Arial" w:eastAsia="Calibri" w:hAnsi="Arial" w:cs="Arial"/>
                <w:sz w:val="18"/>
                <w:szCs w:val="18"/>
              </w:rPr>
              <w:t>Dom</w:t>
            </w:r>
          </w:p>
        </w:tc>
        <w:tc>
          <w:tcPr>
            <w:tcW w:w="1435" w:type="dxa"/>
            <w:vAlign w:val="center"/>
          </w:tcPr>
          <w:p w14:paraId="6D1987BD" w14:textId="55A02DC0" w:rsidR="00626756" w:rsidRPr="00F12DCA" w:rsidRDefault="00F70946" w:rsidP="00B223BA">
            <w:pPr>
              <w:jc w:val="center"/>
              <w:rPr>
                <w:rFonts w:ascii="Arial" w:eastAsia="Calibri" w:hAnsi="Arial" w:cs="Arial"/>
                <w:sz w:val="18"/>
                <w:szCs w:val="18"/>
              </w:rPr>
            </w:pPr>
            <w:r w:rsidRPr="00F12DCA">
              <w:rPr>
                <w:rFonts w:ascii="Arial" w:eastAsia="Calibri" w:hAnsi="Arial" w:cs="Arial"/>
                <w:sz w:val="18"/>
                <w:szCs w:val="18"/>
              </w:rPr>
              <w:t>6</w:t>
            </w:r>
          </w:p>
        </w:tc>
        <w:tc>
          <w:tcPr>
            <w:tcW w:w="1417" w:type="dxa"/>
            <w:vAlign w:val="center"/>
          </w:tcPr>
          <w:p w14:paraId="07793F85" w14:textId="0F4B2FE9" w:rsidR="00626756" w:rsidRPr="00F12DCA" w:rsidRDefault="00E73626" w:rsidP="00B223BA">
            <w:pPr>
              <w:jc w:val="center"/>
              <w:rPr>
                <w:rFonts w:ascii="Arial" w:eastAsia="Calibri" w:hAnsi="Arial" w:cs="Arial"/>
                <w:sz w:val="18"/>
                <w:szCs w:val="18"/>
              </w:rPr>
            </w:pPr>
            <w:r>
              <w:rPr>
                <w:rFonts w:ascii="Arial" w:eastAsia="Calibri" w:hAnsi="Arial" w:cs="Arial"/>
                <w:sz w:val="18"/>
                <w:szCs w:val="18"/>
              </w:rPr>
              <w:t>6</w:t>
            </w:r>
          </w:p>
        </w:tc>
        <w:tc>
          <w:tcPr>
            <w:tcW w:w="1417" w:type="dxa"/>
            <w:vAlign w:val="center"/>
          </w:tcPr>
          <w:p w14:paraId="51868D7C" w14:textId="231F31D4" w:rsidR="00626756" w:rsidRPr="00F12DCA" w:rsidRDefault="00E73626" w:rsidP="00B223BA">
            <w:pPr>
              <w:jc w:val="center"/>
              <w:rPr>
                <w:rFonts w:ascii="Arial" w:eastAsia="Calibri" w:hAnsi="Arial" w:cs="Arial"/>
                <w:sz w:val="18"/>
                <w:szCs w:val="18"/>
              </w:rPr>
            </w:pPr>
            <w:r>
              <w:rPr>
                <w:rFonts w:ascii="Arial" w:eastAsia="Calibri" w:hAnsi="Arial" w:cs="Arial"/>
                <w:sz w:val="18"/>
                <w:szCs w:val="18"/>
              </w:rPr>
              <w:t>6</w:t>
            </w:r>
          </w:p>
        </w:tc>
        <w:tc>
          <w:tcPr>
            <w:tcW w:w="1496" w:type="dxa"/>
            <w:vAlign w:val="center"/>
          </w:tcPr>
          <w:p w14:paraId="31EEA26B" w14:textId="1A8E12A2" w:rsidR="00626756" w:rsidRPr="00F12DCA" w:rsidRDefault="00087502" w:rsidP="00B223BA">
            <w:pPr>
              <w:jc w:val="center"/>
              <w:rPr>
                <w:rFonts w:ascii="Arial" w:eastAsia="Calibri" w:hAnsi="Arial" w:cs="Arial"/>
                <w:sz w:val="18"/>
                <w:szCs w:val="18"/>
              </w:rPr>
            </w:pPr>
            <w:r w:rsidRPr="00F12DCA">
              <w:rPr>
                <w:rFonts w:ascii="Arial" w:eastAsia="Calibri" w:hAnsi="Arial" w:cs="Arial"/>
                <w:sz w:val="18"/>
                <w:szCs w:val="18"/>
              </w:rPr>
              <w:t>5</w:t>
            </w:r>
          </w:p>
        </w:tc>
      </w:tr>
    </w:tbl>
    <w:p w14:paraId="7B71C315" w14:textId="77777777" w:rsidR="00626756" w:rsidRPr="003A2F86" w:rsidRDefault="00626756" w:rsidP="00626756">
      <w:pPr>
        <w:autoSpaceDE w:val="0"/>
        <w:autoSpaceDN w:val="0"/>
        <w:adjustRightInd w:val="0"/>
        <w:spacing w:after="0" w:line="240" w:lineRule="auto"/>
        <w:jc w:val="both"/>
        <w:rPr>
          <w:rFonts w:ascii="Arial" w:eastAsia="Calibri" w:hAnsi="Arial" w:cs="Arial"/>
          <w:sz w:val="20"/>
          <w:szCs w:val="20"/>
        </w:rPr>
      </w:pPr>
    </w:p>
    <w:p w14:paraId="73E36DD5" w14:textId="77777777" w:rsidR="00E73626" w:rsidRPr="00E73626" w:rsidRDefault="00E73626" w:rsidP="00E73626">
      <w:pPr>
        <w:spacing w:after="0" w:line="240" w:lineRule="auto"/>
        <w:jc w:val="both"/>
        <w:rPr>
          <w:rFonts w:ascii="Arial" w:eastAsia="Calibri" w:hAnsi="Arial" w:cs="Arial"/>
          <w:sz w:val="20"/>
          <w:szCs w:val="20"/>
          <w:lang w:eastAsia="en-US"/>
        </w:rPr>
      </w:pPr>
      <w:r w:rsidRPr="00E73626">
        <w:rPr>
          <w:rFonts w:ascii="Arial" w:eastAsia="Calibri" w:hAnsi="Arial" w:cs="Arial"/>
          <w:sz w:val="20"/>
          <w:szCs w:val="20"/>
          <w:lang w:eastAsia="en-US"/>
        </w:rPr>
        <w:t>Stručna usavršavanja djelatnika Doma u izvještajnom razdoblju su:</w:t>
      </w:r>
    </w:p>
    <w:p w14:paraId="76F9718C" w14:textId="77777777" w:rsidR="00E73626" w:rsidRPr="00E73626" w:rsidRDefault="00E73626" w:rsidP="00E73626">
      <w:pPr>
        <w:spacing w:after="0" w:line="240" w:lineRule="auto"/>
        <w:jc w:val="both"/>
        <w:rPr>
          <w:rFonts w:ascii="Arial" w:eastAsia="Calibri" w:hAnsi="Arial" w:cs="Arial"/>
          <w:sz w:val="20"/>
          <w:szCs w:val="20"/>
          <w:lang w:eastAsia="en-US"/>
        </w:rPr>
      </w:pPr>
    </w:p>
    <w:p w14:paraId="5A85FAB9" w14:textId="77777777" w:rsidR="00E73626" w:rsidRPr="00E73626" w:rsidRDefault="00E73626">
      <w:pPr>
        <w:numPr>
          <w:ilvl w:val="0"/>
          <w:numId w:val="13"/>
        </w:numPr>
        <w:shd w:val="clear" w:color="auto" w:fill="FFFFFF"/>
        <w:spacing w:after="0" w:line="240" w:lineRule="auto"/>
        <w:contextualSpacing/>
        <w:jc w:val="both"/>
        <w:rPr>
          <w:rFonts w:ascii="Arial" w:eastAsia="Times New Roman" w:hAnsi="Arial" w:cs="Arial"/>
          <w:sz w:val="20"/>
          <w:szCs w:val="20"/>
          <w:bdr w:val="none" w:sz="0" w:space="0" w:color="auto" w:frame="1"/>
          <w:lang w:eastAsia="en-US"/>
        </w:rPr>
      </w:pPr>
      <w:r w:rsidRPr="00E73626">
        <w:rPr>
          <w:rFonts w:ascii="Arial" w:eastAsia="Times New Roman" w:hAnsi="Arial" w:cs="Arial"/>
          <w:sz w:val="20"/>
          <w:szCs w:val="20"/>
          <w:bdr w:val="none" w:sz="0" w:space="0" w:color="auto" w:frame="1"/>
          <w:lang w:eastAsia="en-US"/>
        </w:rPr>
        <w:t>On-line radionica „Pripreme za davanje izjave o fiskalnoj odgovornosti“ dana 14.02.2025.g.- ravnateljica</w:t>
      </w:r>
    </w:p>
    <w:p w14:paraId="60F07694" w14:textId="77777777" w:rsidR="00E73626" w:rsidRPr="00E73626" w:rsidRDefault="00E73626">
      <w:pPr>
        <w:numPr>
          <w:ilvl w:val="0"/>
          <w:numId w:val="13"/>
        </w:numPr>
        <w:shd w:val="clear" w:color="auto" w:fill="FFFFFF"/>
        <w:spacing w:after="0" w:line="240" w:lineRule="auto"/>
        <w:contextualSpacing/>
        <w:jc w:val="both"/>
        <w:rPr>
          <w:rFonts w:ascii="Arial" w:eastAsia="Times New Roman" w:hAnsi="Arial" w:cs="Arial"/>
          <w:sz w:val="20"/>
          <w:szCs w:val="20"/>
          <w:bdr w:val="none" w:sz="0" w:space="0" w:color="auto" w:frame="1"/>
          <w:lang w:eastAsia="en-US"/>
        </w:rPr>
      </w:pPr>
      <w:r w:rsidRPr="00E73626">
        <w:rPr>
          <w:rFonts w:ascii="Arial" w:eastAsia="Times New Roman" w:hAnsi="Arial" w:cs="Arial"/>
          <w:sz w:val="20"/>
          <w:szCs w:val="20"/>
          <w:bdr w:val="none" w:sz="0" w:space="0" w:color="auto" w:frame="1"/>
          <w:lang w:eastAsia="en-US"/>
        </w:rPr>
        <w:t>Konferencija „Kompleksni pacijenti u sustavu zdravstvene i socijalne skrbi“, Dubrovnik,  28.02. do 01.03.2025.g. – ravnateljica, socijalna radnica, radni terapeut, glavna sestra i medicinske sestre</w:t>
      </w:r>
    </w:p>
    <w:p w14:paraId="0401F0C6" w14:textId="77777777" w:rsidR="00E73626" w:rsidRPr="00E73626" w:rsidRDefault="00E73626">
      <w:pPr>
        <w:numPr>
          <w:ilvl w:val="0"/>
          <w:numId w:val="13"/>
        </w:numPr>
        <w:shd w:val="clear" w:color="auto" w:fill="FFFFFF"/>
        <w:spacing w:after="0" w:line="240" w:lineRule="auto"/>
        <w:contextualSpacing/>
        <w:jc w:val="both"/>
        <w:rPr>
          <w:rFonts w:ascii="Arial" w:eastAsia="Times New Roman" w:hAnsi="Arial" w:cs="Arial"/>
          <w:sz w:val="20"/>
          <w:szCs w:val="20"/>
          <w:bdr w:val="none" w:sz="0" w:space="0" w:color="auto" w:frame="1"/>
          <w:lang w:eastAsia="en-US"/>
        </w:rPr>
      </w:pPr>
      <w:r w:rsidRPr="00E73626">
        <w:rPr>
          <w:rFonts w:ascii="Arial" w:eastAsia="Times New Roman" w:hAnsi="Arial" w:cs="Arial"/>
          <w:sz w:val="20"/>
          <w:szCs w:val="20"/>
          <w:bdr w:val="none" w:sz="0" w:space="0" w:color="auto" w:frame="1"/>
          <w:lang w:eastAsia="en-US"/>
        </w:rPr>
        <w:t>Seminar „Arhivsko poslovanje-zakonske izmjene propisa“ Dubrovnik dana 24.03.2025.g. – računovodstveni referent</w:t>
      </w:r>
    </w:p>
    <w:p w14:paraId="597E89B6" w14:textId="77777777" w:rsidR="00E73626" w:rsidRPr="00E73626" w:rsidRDefault="00E73626">
      <w:pPr>
        <w:numPr>
          <w:ilvl w:val="0"/>
          <w:numId w:val="13"/>
        </w:numPr>
        <w:shd w:val="clear" w:color="auto" w:fill="FFFFFF"/>
        <w:spacing w:after="0" w:line="240" w:lineRule="auto"/>
        <w:contextualSpacing/>
        <w:jc w:val="both"/>
        <w:rPr>
          <w:rFonts w:ascii="Arial" w:eastAsia="Times New Roman" w:hAnsi="Arial" w:cs="Arial"/>
          <w:sz w:val="20"/>
          <w:szCs w:val="20"/>
          <w:bdr w:val="none" w:sz="0" w:space="0" w:color="auto" w:frame="1"/>
          <w:lang w:eastAsia="en-US"/>
        </w:rPr>
      </w:pPr>
      <w:r w:rsidRPr="00E73626">
        <w:rPr>
          <w:rFonts w:ascii="Arial" w:eastAsia="Times New Roman" w:hAnsi="Arial" w:cs="Arial"/>
          <w:sz w:val="20"/>
          <w:szCs w:val="20"/>
          <w:bdr w:val="none" w:sz="0" w:space="0" w:color="auto" w:frame="1"/>
          <w:lang w:eastAsia="en-US"/>
        </w:rPr>
        <w:t>On-line predavanje „Kako pomoći sebi prilikom pomaganja drugima“ dana 27.03.2025.g.- radni terapeut</w:t>
      </w:r>
    </w:p>
    <w:p w14:paraId="6675E448" w14:textId="77777777" w:rsidR="00E73626" w:rsidRPr="00E73626" w:rsidRDefault="00E73626">
      <w:pPr>
        <w:numPr>
          <w:ilvl w:val="0"/>
          <w:numId w:val="13"/>
        </w:numPr>
        <w:shd w:val="clear" w:color="auto" w:fill="FFFFFF"/>
        <w:spacing w:after="0" w:line="240" w:lineRule="auto"/>
        <w:contextualSpacing/>
        <w:jc w:val="both"/>
        <w:rPr>
          <w:rFonts w:ascii="Arial" w:eastAsia="Times New Roman" w:hAnsi="Arial" w:cs="Arial"/>
          <w:sz w:val="20"/>
          <w:szCs w:val="20"/>
          <w:bdr w:val="none" w:sz="0" w:space="0" w:color="auto" w:frame="1"/>
          <w:lang w:eastAsia="en-US"/>
        </w:rPr>
      </w:pPr>
      <w:r w:rsidRPr="00E73626">
        <w:rPr>
          <w:rFonts w:ascii="Arial" w:hAnsi="Arial" w:cs="Arial"/>
          <w:sz w:val="20"/>
          <w:szCs w:val="20"/>
          <w:bdr w:val="none" w:sz="0" w:space="0" w:color="auto" w:frame="1"/>
          <w:lang w:eastAsia="en-US"/>
        </w:rPr>
        <w:t>Konferencija socijalnih radnika „Socijalni rad i mentalno zdravlje“, Vodice, 15.-17.09.2025.g. – socijalna radnica i radni terapeut</w:t>
      </w:r>
    </w:p>
    <w:p w14:paraId="53C37DD7" w14:textId="77777777" w:rsidR="00E73626" w:rsidRPr="00E73626" w:rsidRDefault="00E73626">
      <w:pPr>
        <w:numPr>
          <w:ilvl w:val="0"/>
          <w:numId w:val="13"/>
        </w:numPr>
        <w:shd w:val="clear" w:color="auto" w:fill="FFFFFF"/>
        <w:spacing w:after="0" w:line="240" w:lineRule="auto"/>
        <w:contextualSpacing/>
        <w:jc w:val="both"/>
        <w:rPr>
          <w:rFonts w:ascii="Arial" w:eastAsia="Times New Roman" w:hAnsi="Arial" w:cs="Arial"/>
          <w:sz w:val="20"/>
          <w:szCs w:val="20"/>
          <w:bdr w:val="none" w:sz="0" w:space="0" w:color="auto" w:frame="1"/>
          <w:lang w:eastAsia="en-US"/>
        </w:rPr>
      </w:pPr>
      <w:r w:rsidRPr="00E73626">
        <w:rPr>
          <w:rFonts w:ascii="Arial" w:eastAsia="Times New Roman" w:hAnsi="Arial" w:cs="Arial"/>
          <w:sz w:val="20"/>
          <w:szCs w:val="20"/>
          <w:bdr w:val="none" w:sz="0" w:space="0" w:color="auto" w:frame="1"/>
          <w:lang w:eastAsia="en-US"/>
        </w:rPr>
        <w:t xml:space="preserve">Konferencija Akademije socijalne skrbi “Otvoreno društvo – snažni pojedinci“, Dubrovnik, 25.-27.11.2025.g. - </w:t>
      </w:r>
      <w:r w:rsidRPr="00E73626">
        <w:rPr>
          <w:rFonts w:ascii="Arial" w:hAnsi="Arial" w:cs="Arial"/>
          <w:sz w:val="20"/>
          <w:szCs w:val="20"/>
          <w:bdr w:val="none" w:sz="0" w:space="0" w:color="auto" w:frame="1"/>
          <w:lang w:eastAsia="en-US"/>
        </w:rPr>
        <w:t>socijalna radnica i radni terapeut</w:t>
      </w:r>
    </w:p>
    <w:p w14:paraId="1818F5AA" w14:textId="77777777" w:rsidR="00F70946" w:rsidRDefault="00F70946" w:rsidP="003752B9">
      <w:pPr>
        <w:autoSpaceDE w:val="0"/>
        <w:autoSpaceDN w:val="0"/>
        <w:adjustRightInd w:val="0"/>
        <w:spacing w:after="0" w:line="240" w:lineRule="auto"/>
        <w:jc w:val="both"/>
        <w:rPr>
          <w:rFonts w:ascii="Arial" w:eastAsia="Calibri" w:hAnsi="Arial" w:cs="Arial"/>
          <w:b/>
          <w:sz w:val="20"/>
          <w:szCs w:val="20"/>
        </w:rPr>
      </w:pPr>
    </w:p>
    <w:p w14:paraId="4B1653B3" w14:textId="2828AFD7" w:rsidR="00D60635" w:rsidRPr="003A2F86" w:rsidRDefault="00791FA6" w:rsidP="003752B9">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b/>
          <w:sz w:val="20"/>
          <w:szCs w:val="20"/>
        </w:rPr>
        <w:t>3.</w:t>
      </w:r>
      <w:r w:rsidRPr="003A2F86">
        <w:rPr>
          <w:rFonts w:ascii="Arial" w:eastAsia="Calibri" w:hAnsi="Arial" w:cs="Arial"/>
          <w:sz w:val="20"/>
          <w:szCs w:val="20"/>
        </w:rPr>
        <w:t xml:space="preserve"> </w:t>
      </w:r>
      <w:r w:rsidRPr="003A2F86">
        <w:rPr>
          <w:rFonts w:ascii="Arial" w:eastAsia="Calibri" w:hAnsi="Arial" w:cs="Arial"/>
          <w:b/>
          <w:sz w:val="20"/>
          <w:szCs w:val="20"/>
        </w:rPr>
        <w:t>A204403:</w:t>
      </w:r>
      <w:r w:rsidRPr="003A2F86">
        <w:rPr>
          <w:rFonts w:ascii="Arial" w:eastAsia="Calibri" w:hAnsi="Arial" w:cs="Arial"/>
          <w:sz w:val="20"/>
          <w:szCs w:val="20"/>
        </w:rPr>
        <w:t xml:space="preserve"> </w:t>
      </w:r>
      <w:r w:rsidRPr="003A2F86">
        <w:rPr>
          <w:rFonts w:ascii="Arial" w:eastAsia="Calibri" w:hAnsi="Arial" w:cs="Arial"/>
          <w:b/>
          <w:sz w:val="20"/>
          <w:szCs w:val="20"/>
        </w:rPr>
        <w:t xml:space="preserve">Radne aktivnosti i organiziranje slobodnog vremena korisnika Doma </w:t>
      </w:r>
      <w:r w:rsidRPr="003A2F86">
        <w:rPr>
          <w:rFonts w:ascii="Arial" w:eastAsia="Calibri" w:hAnsi="Arial" w:cs="Arial"/>
          <w:sz w:val="20"/>
          <w:szCs w:val="20"/>
        </w:rPr>
        <w:t xml:space="preserve">- Proračunska sredstva su planirana u iznosu </w:t>
      </w:r>
      <w:r w:rsidR="00E73626">
        <w:rPr>
          <w:rFonts w:ascii="Arial" w:eastAsia="Calibri" w:hAnsi="Arial" w:cs="Arial"/>
          <w:sz w:val="20"/>
          <w:szCs w:val="20"/>
        </w:rPr>
        <w:t>750</w:t>
      </w:r>
      <w:r w:rsidR="004D7B6F" w:rsidRPr="003A2F86">
        <w:rPr>
          <w:rFonts w:ascii="Arial" w:eastAsia="Calibri" w:hAnsi="Arial" w:cs="Arial"/>
          <w:sz w:val="20"/>
          <w:szCs w:val="20"/>
        </w:rPr>
        <w:t xml:space="preserve"> €</w:t>
      </w:r>
      <w:r w:rsidRPr="003A2F86">
        <w:rPr>
          <w:rFonts w:ascii="Arial" w:eastAsia="Calibri" w:hAnsi="Arial" w:cs="Arial"/>
          <w:sz w:val="20"/>
          <w:szCs w:val="20"/>
        </w:rPr>
        <w:t xml:space="preserve"> i odnose se na rashode koji bi se trebali podmiriti iz ostvarenih sredstava proračunskog korisnika, a odnose se na nabavu materijala za radnu okupaciju korisnika, dodatne usluge korisnicima u Domu, organiziranje izleta, glazbene radionice za korisnike, predavanja namijenjena korisnicima, poklone korisnicima povodom proslave rođendana i sl. Ovi rashodi su izvršeni u iznosu </w:t>
      </w:r>
      <w:r w:rsidR="00E73626">
        <w:rPr>
          <w:rFonts w:ascii="Arial" w:eastAsia="Calibri" w:hAnsi="Arial" w:cs="Arial"/>
          <w:sz w:val="20"/>
          <w:szCs w:val="20"/>
        </w:rPr>
        <w:t>515,87</w:t>
      </w:r>
      <w:r w:rsidR="004D7B6F" w:rsidRPr="003A2F86">
        <w:rPr>
          <w:rFonts w:ascii="Arial" w:eastAsia="Calibri" w:hAnsi="Arial" w:cs="Arial"/>
          <w:sz w:val="20"/>
          <w:szCs w:val="20"/>
        </w:rPr>
        <w:t xml:space="preserve"> €</w:t>
      </w:r>
      <w:r w:rsidRPr="003A2F86">
        <w:rPr>
          <w:rFonts w:ascii="Arial" w:eastAsia="Calibri" w:hAnsi="Arial" w:cs="Arial"/>
          <w:sz w:val="20"/>
          <w:szCs w:val="20"/>
        </w:rPr>
        <w:t>.</w:t>
      </w:r>
      <w:r w:rsidR="00626756" w:rsidRPr="003A2F86">
        <w:rPr>
          <w:rFonts w:ascii="Arial" w:eastAsia="Calibri" w:hAnsi="Arial" w:cs="Arial"/>
          <w:sz w:val="20"/>
          <w:szCs w:val="20"/>
        </w:rPr>
        <w:t xml:space="preserve"> Ostvarena proračunska sredstva nisu velika jer zahvaljujući dobroj suradnji sa drugim ustanovama i pojedincima razna predavanja ili radionice organiziraju se bez naknade.</w:t>
      </w:r>
    </w:p>
    <w:p w14:paraId="3EB55B4F" w14:textId="77777777" w:rsidR="00626756" w:rsidRPr="003A2F86" w:rsidRDefault="00626756" w:rsidP="003752B9">
      <w:pPr>
        <w:autoSpaceDE w:val="0"/>
        <w:autoSpaceDN w:val="0"/>
        <w:adjustRightInd w:val="0"/>
        <w:spacing w:after="0" w:line="240" w:lineRule="auto"/>
        <w:jc w:val="both"/>
        <w:rPr>
          <w:rFonts w:ascii="Arial" w:eastAsia="Calibri" w:hAnsi="Arial" w:cs="Arial"/>
          <w:sz w:val="20"/>
          <w:szCs w:val="20"/>
        </w:rPr>
      </w:pPr>
    </w:p>
    <w:p w14:paraId="095A34B1" w14:textId="77777777" w:rsidR="00626756" w:rsidRPr="003A2F86" w:rsidRDefault="00626756" w:rsidP="00626756">
      <w:pPr>
        <w:spacing w:after="0" w:line="240" w:lineRule="auto"/>
        <w:jc w:val="both"/>
        <w:rPr>
          <w:rFonts w:ascii="Arial" w:eastAsia="Calibri" w:hAnsi="Arial" w:cs="Arial"/>
          <w:sz w:val="20"/>
          <w:szCs w:val="20"/>
          <w:u w:val="single"/>
        </w:rPr>
      </w:pPr>
      <w:r w:rsidRPr="003A2F86">
        <w:rPr>
          <w:rFonts w:ascii="Arial" w:eastAsia="Calibri" w:hAnsi="Arial" w:cs="Arial"/>
          <w:b/>
          <w:sz w:val="20"/>
          <w:szCs w:val="20"/>
          <w:u w:val="single"/>
        </w:rPr>
        <w:t>Cilj</w:t>
      </w:r>
      <w:r w:rsidRPr="003A2F86">
        <w:rPr>
          <w:rFonts w:ascii="Arial" w:eastAsia="Calibri" w:hAnsi="Arial" w:cs="Arial"/>
          <w:sz w:val="20"/>
          <w:szCs w:val="20"/>
          <w:u w:val="single"/>
        </w:rPr>
        <w:t>: Podizanje kvalitete života osoba smještenih u Domu, održavanje njihovih preostalih senzomotoričkih, kognitivnih i psihosocijalnih sposobnosti te eliminacija negativnih učinaka institucionalizacije.</w:t>
      </w:r>
    </w:p>
    <w:p w14:paraId="64A426D7" w14:textId="77777777" w:rsidR="00626756" w:rsidRPr="003A2F86" w:rsidRDefault="00626756" w:rsidP="00626756">
      <w:pPr>
        <w:spacing w:after="0" w:line="240" w:lineRule="auto"/>
        <w:jc w:val="both"/>
        <w:rPr>
          <w:rFonts w:ascii="Arial" w:eastAsia="Calibri" w:hAnsi="Arial" w:cs="Arial"/>
          <w:sz w:val="20"/>
          <w:szCs w:val="20"/>
          <w:u w:val="single"/>
        </w:rPr>
      </w:pPr>
    </w:p>
    <w:p w14:paraId="0872FD52" w14:textId="77777777" w:rsidR="00626756" w:rsidRPr="003A2F86" w:rsidRDefault="00626756" w:rsidP="00626756">
      <w:pPr>
        <w:spacing w:after="0" w:line="240" w:lineRule="auto"/>
        <w:jc w:val="both"/>
        <w:rPr>
          <w:rFonts w:ascii="Arial" w:eastAsia="Calibri" w:hAnsi="Arial" w:cs="Arial"/>
          <w:sz w:val="20"/>
          <w:szCs w:val="20"/>
        </w:rPr>
      </w:pPr>
      <w:r w:rsidRPr="003A2F86">
        <w:rPr>
          <w:rFonts w:ascii="Arial" w:eastAsia="Calibri" w:hAnsi="Arial" w:cs="Arial"/>
          <w:sz w:val="20"/>
          <w:szCs w:val="20"/>
        </w:rPr>
        <w:t>Jedna od aktivnosti kojom se planira postići ovaj cilj je organiziranje raznih kreativno-glazbenih radionica uz međusobna druženja i komunikaciju čime se upotpunjuje svakodnevnica korisnika i podiže samopouzdanje.</w:t>
      </w:r>
    </w:p>
    <w:p w14:paraId="509EBB5E" w14:textId="77777777" w:rsidR="00087502" w:rsidRDefault="00087502" w:rsidP="00626756">
      <w:pPr>
        <w:spacing w:after="0" w:line="240" w:lineRule="auto"/>
        <w:jc w:val="both"/>
        <w:rPr>
          <w:rFonts w:ascii="Arial" w:eastAsia="Calibri" w:hAnsi="Arial" w:cs="Arial"/>
          <w:sz w:val="20"/>
          <w:szCs w:val="20"/>
        </w:rPr>
      </w:pPr>
    </w:p>
    <w:p w14:paraId="49FECED5" w14:textId="77777777" w:rsidR="00E73626" w:rsidRDefault="00E73626" w:rsidP="00626756">
      <w:pPr>
        <w:spacing w:after="0" w:line="240" w:lineRule="auto"/>
        <w:jc w:val="both"/>
        <w:rPr>
          <w:rFonts w:ascii="Arial" w:eastAsia="Calibri" w:hAnsi="Arial" w:cs="Arial"/>
          <w:sz w:val="20"/>
          <w:szCs w:val="20"/>
        </w:rPr>
      </w:pPr>
    </w:p>
    <w:p w14:paraId="084F49EF" w14:textId="77777777" w:rsidR="00E73626" w:rsidRDefault="00E73626" w:rsidP="00626756">
      <w:pPr>
        <w:spacing w:after="0" w:line="240" w:lineRule="auto"/>
        <w:jc w:val="both"/>
        <w:rPr>
          <w:rFonts w:ascii="Arial" w:eastAsia="Calibri" w:hAnsi="Arial" w:cs="Arial"/>
          <w:sz w:val="20"/>
          <w:szCs w:val="20"/>
        </w:rPr>
      </w:pPr>
    </w:p>
    <w:p w14:paraId="35DD1BFD" w14:textId="77777777" w:rsidR="00E73626" w:rsidRDefault="00E73626" w:rsidP="00626756">
      <w:pPr>
        <w:spacing w:after="0" w:line="240" w:lineRule="auto"/>
        <w:jc w:val="both"/>
        <w:rPr>
          <w:rFonts w:ascii="Arial" w:eastAsia="Calibri" w:hAnsi="Arial" w:cs="Arial"/>
          <w:sz w:val="20"/>
          <w:szCs w:val="20"/>
        </w:rPr>
      </w:pPr>
    </w:p>
    <w:p w14:paraId="32C7D968" w14:textId="77777777" w:rsidR="00E73626" w:rsidRPr="003A2F86" w:rsidRDefault="00E73626" w:rsidP="00626756">
      <w:pPr>
        <w:spacing w:after="0" w:line="240" w:lineRule="auto"/>
        <w:jc w:val="both"/>
        <w:rPr>
          <w:rFonts w:ascii="Arial" w:eastAsia="Calibri" w:hAnsi="Arial" w:cs="Arial"/>
          <w:sz w:val="20"/>
          <w:szCs w:val="20"/>
        </w:rPr>
      </w:pPr>
    </w:p>
    <w:tbl>
      <w:tblPr>
        <w:tblStyle w:val="TableGrid24"/>
        <w:tblW w:w="14431" w:type="dxa"/>
        <w:jc w:val="center"/>
        <w:tblLayout w:type="fixed"/>
        <w:tblLook w:val="04A0" w:firstRow="1" w:lastRow="0" w:firstColumn="1" w:lastColumn="0" w:noHBand="0" w:noVBand="1"/>
      </w:tblPr>
      <w:tblGrid>
        <w:gridCol w:w="1838"/>
        <w:gridCol w:w="3544"/>
        <w:gridCol w:w="1276"/>
        <w:gridCol w:w="1276"/>
        <w:gridCol w:w="1094"/>
        <w:gridCol w:w="1134"/>
        <w:gridCol w:w="1435"/>
        <w:gridCol w:w="1417"/>
        <w:gridCol w:w="1417"/>
      </w:tblGrid>
      <w:tr w:rsidR="002935FB" w:rsidRPr="003A2F86" w14:paraId="7D3B369F" w14:textId="77777777" w:rsidTr="002935FB">
        <w:trPr>
          <w:jc w:val="center"/>
        </w:trPr>
        <w:tc>
          <w:tcPr>
            <w:tcW w:w="1838" w:type="dxa"/>
            <w:shd w:val="clear" w:color="auto" w:fill="BFBFBF" w:themeFill="background1" w:themeFillShade="BF"/>
            <w:vAlign w:val="center"/>
          </w:tcPr>
          <w:p w14:paraId="7D7FC36C" w14:textId="77777777" w:rsidR="002935FB" w:rsidRPr="003A2F86" w:rsidRDefault="002935FB" w:rsidP="00853A35">
            <w:pPr>
              <w:jc w:val="center"/>
              <w:rPr>
                <w:rFonts w:ascii="Arial" w:eastAsia="Calibri" w:hAnsi="Arial" w:cs="Arial"/>
              </w:rPr>
            </w:pPr>
            <w:r w:rsidRPr="003A2F86">
              <w:rPr>
                <w:rFonts w:ascii="Arial" w:eastAsia="Calibri" w:hAnsi="Arial" w:cs="Arial"/>
              </w:rPr>
              <w:lastRenderedPageBreak/>
              <w:t>Pokazatelj uspješnosti</w:t>
            </w:r>
          </w:p>
        </w:tc>
        <w:tc>
          <w:tcPr>
            <w:tcW w:w="3544" w:type="dxa"/>
            <w:shd w:val="clear" w:color="auto" w:fill="BFBFBF" w:themeFill="background1" w:themeFillShade="BF"/>
            <w:vAlign w:val="center"/>
          </w:tcPr>
          <w:p w14:paraId="2979041E" w14:textId="77777777" w:rsidR="002935FB" w:rsidRPr="003A2F86" w:rsidRDefault="002935FB" w:rsidP="00853A35">
            <w:pPr>
              <w:jc w:val="center"/>
              <w:rPr>
                <w:rFonts w:ascii="Arial" w:eastAsia="Calibri" w:hAnsi="Arial" w:cs="Arial"/>
              </w:rPr>
            </w:pPr>
            <w:r w:rsidRPr="003A2F86">
              <w:rPr>
                <w:rFonts w:ascii="Arial" w:eastAsia="Calibri" w:hAnsi="Arial" w:cs="Arial"/>
              </w:rPr>
              <w:t>Definicija</w:t>
            </w:r>
          </w:p>
        </w:tc>
        <w:tc>
          <w:tcPr>
            <w:tcW w:w="1276" w:type="dxa"/>
            <w:shd w:val="clear" w:color="auto" w:fill="BFBFBF" w:themeFill="background1" w:themeFillShade="BF"/>
            <w:vAlign w:val="center"/>
          </w:tcPr>
          <w:p w14:paraId="25F02142" w14:textId="23A3991D" w:rsidR="002935FB" w:rsidRPr="003A2F86" w:rsidRDefault="002935FB" w:rsidP="00853A35">
            <w:pPr>
              <w:jc w:val="center"/>
              <w:rPr>
                <w:rFonts w:ascii="Arial" w:eastAsia="Calibri" w:hAnsi="Arial" w:cs="Arial"/>
              </w:rPr>
            </w:pPr>
            <w:r w:rsidRPr="003A2F86">
              <w:rPr>
                <w:rFonts w:ascii="Arial" w:eastAsia="Calibri" w:hAnsi="Arial" w:cs="Arial"/>
              </w:rPr>
              <w:t>Jedinica</w:t>
            </w:r>
          </w:p>
        </w:tc>
        <w:tc>
          <w:tcPr>
            <w:tcW w:w="1276" w:type="dxa"/>
            <w:shd w:val="clear" w:color="auto" w:fill="BFBFBF" w:themeFill="background1" w:themeFillShade="BF"/>
            <w:vAlign w:val="center"/>
          </w:tcPr>
          <w:p w14:paraId="690AA557" w14:textId="6D886DFB" w:rsidR="002935FB" w:rsidRPr="003A2F86" w:rsidRDefault="002935FB" w:rsidP="00853A35">
            <w:pPr>
              <w:jc w:val="center"/>
              <w:rPr>
                <w:rFonts w:ascii="Arial" w:eastAsia="Calibri" w:hAnsi="Arial" w:cs="Arial"/>
              </w:rPr>
            </w:pPr>
            <w:r w:rsidRPr="003A2F86">
              <w:rPr>
                <w:rFonts w:ascii="Arial" w:eastAsia="Calibri" w:hAnsi="Arial" w:cs="Arial"/>
              </w:rPr>
              <w:t>Polazna vrijednost</w:t>
            </w:r>
          </w:p>
          <w:p w14:paraId="229FAC5F" w14:textId="5875EC0C" w:rsidR="002935FB" w:rsidRPr="003A2F86" w:rsidRDefault="002935FB" w:rsidP="00853A35">
            <w:pPr>
              <w:jc w:val="center"/>
              <w:rPr>
                <w:rFonts w:ascii="Arial" w:eastAsia="Calibri" w:hAnsi="Arial" w:cs="Arial"/>
              </w:rPr>
            </w:pPr>
            <w:r w:rsidRPr="003A2F86">
              <w:rPr>
                <w:rFonts w:ascii="Arial" w:eastAsia="Calibri" w:hAnsi="Arial" w:cs="Arial"/>
              </w:rPr>
              <w:t>202</w:t>
            </w:r>
            <w:r>
              <w:rPr>
                <w:rFonts w:ascii="Arial" w:eastAsia="Calibri" w:hAnsi="Arial" w:cs="Arial"/>
              </w:rPr>
              <w:t>4</w:t>
            </w:r>
            <w:r w:rsidRPr="003A2F86">
              <w:rPr>
                <w:rFonts w:ascii="Arial" w:eastAsia="Calibri" w:hAnsi="Arial" w:cs="Arial"/>
              </w:rPr>
              <w:t>.</w:t>
            </w:r>
          </w:p>
        </w:tc>
        <w:tc>
          <w:tcPr>
            <w:tcW w:w="1094" w:type="dxa"/>
            <w:shd w:val="clear" w:color="auto" w:fill="BFBFBF" w:themeFill="background1" w:themeFillShade="BF"/>
            <w:vAlign w:val="center"/>
          </w:tcPr>
          <w:p w14:paraId="5AA42580" w14:textId="33E2CFF1" w:rsidR="002935FB" w:rsidRPr="003A2F86" w:rsidRDefault="002935FB" w:rsidP="00853A35">
            <w:pPr>
              <w:jc w:val="center"/>
              <w:rPr>
                <w:rFonts w:ascii="Arial" w:eastAsia="Calibri" w:hAnsi="Arial" w:cs="Arial"/>
              </w:rPr>
            </w:pPr>
            <w:r w:rsidRPr="003A2F86">
              <w:rPr>
                <w:rFonts w:ascii="Arial" w:eastAsia="Calibri" w:hAnsi="Arial" w:cs="Arial"/>
              </w:rPr>
              <w:t>Izvor podataka</w:t>
            </w:r>
          </w:p>
        </w:tc>
        <w:tc>
          <w:tcPr>
            <w:tcW w:w="1134" w:type="dxa"/>
            <w:shd w:val="clear" w:color="auto" w:fill="BFBFBF" w:themeFill="background1" w:themeFillShade="BF"/>
            <w:vAlign w:val="center"/>
          </w:tcPr>
          <w:p w14:paraId="663F8BB2" w14:textId="60299F00" w:rsidR="002935FB" w:rsidRPr="003A2F86" w:rsidRDefault="002935FB" w:rsidP="00853A35">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5</w:t>
            </w:r>
            <w:r w:rsidRPr="003A2F86">
              <w:rPr>
                <w:rFonts w:ascii="Arial" w:eastAsia="Calibri" w:hAnsi="Arial" w:cs="Arial"/>
              </w:rPr>
              <w:t>.</w:t>
            </w:r>
          </w:p>
        </w:tc>
        <w:tc>
          <w:tcPr>
            <w:tcW w:w="1435" w:type="dxa"/>
            <w:shd w:val="clear" w:color="auto" w:fill="BFBFBF" w:themeFill="background1" w:themeFillShade="BF"/>
            <w:vAlign w:val="center"/>
          </w:tcPr>
          <w:p w14:paraId="2EDF1098" w14:textId="35B3D809" w:rsidR="002935FB" w:rsidRPr="003A2F86" w:rsidRDefault="002935FB" w:rsidP="00853A35">
            <w:pPr>
              <w:jc w:val="center"/>
              <w:rPr>
                <w:rFonts w:ascii="Arial" w:eastAsia="Calibri" w:hAnsi="Arial" w:cs="Arial"/>
              </w:rPr>
            </w:pPr>
            <w:r w:rsidRPr="003A2F86">
              <w:rPr>
                <w:rFonts w:ascii="Arial" w:eastAsia="Calibri" w:hAnsi="Arial" w:cs="Arial"/>
              </w:rPr>
              <w:t>Ostvareno u izvještajnom razdoblju</w:t>
            </w:r>
          </w:p>
        </w:tc>
        <w:tc>
          <w:tcPr>
            <w:tcW w:w="1417" w:type="dxa"/>
            <w:shd w:val="clear" w:color="auto" w:fill="BFBFBF" w:themeFill="background1" w:themeFillShade="BF"/>
            <w:vAlign w:val="center"/>
          </w:tcPr>
          <w:p w14:paraId="3E8C6465" w14:textId="1F565270" w:rsidR="002935FB" w:rsidRPr="003A2F86" w:rsidRDefault="002935FB" w:rsidP="00853A35">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6</w:t>
            </w:r>
            <w:r w:rsidRPr="003A2F86">
              <w:rPr>
                <w:rFonts w:ascii="Arial" w:eastAsia="Calibri" w:hAnsi="Arial" w:cs="Arial"/>
              </w:rPr>
              <w:t>.</w:t>
            </w:r>
          </w:p>
        </w:tc>
        <w:tc>
          <w:tcPr>
            <w:tcW w:w="1417" w:type="dxa"/>
            <w:shd w:val="clear" w:color="auto" w:fill="BFBFBF" w:themeFill="background1" w:themeFillShade="BF"/>
            <w:vAlign w:val="center"/>
          </w:tcPr>
          <w:p w14:paraId="2AF453FB" w14:textId="5B7E2887" w:rsidR="002935FB" w:rsidRPr="003A2F86" w:rsidRDefault="002935FB" w:rsidP="00853A35">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7</w:t>
            </w:r>
            <w:r w:rsidRPr="003A2F86">
              <w:rPr>
                <w:rFonts w:ascii="Arial" w:eastAsia="Calibri" w:hAnsi="Arial" w:cs="Arial"/>
              </w:rPr>
              <w:t>.</w:t>
            </w:r>
          </w:p>
        </w:tc>
      </w:tr>
      <w:tr w:rsidR="002935FB" w:rsidRPr="003A2F86" w14:paraId="3FFA3C36" w14:textId="77777777" w:rsidTr="002935FB">
        <w:trPr>
          <w:trHeight w:val="1309"/>
          <w:jc w:val="center"/>
        </w:trPr>
        <w:tc>
          <w:tcPr>
            <w:tcW w:w="1838" w:type="dxa"/>
            <w:vAlign w:val="center"/>
          </w:tcPr>
          <w:p w14:paraId="63AB77A8" w14:textId="77777777" w:rsidR="002935FB" w:rsidRPr="003A2F86" w:rsidRDefault="002935FB" w:rsidP="00853A35">
            <w:pPr>
              <w:rPr>
                <w:rFonts w:ascii="Arial" w:eastAsia="Calibri" w:hAnsi="Arial" w:cs="Arial"/>
                <w:sz w:val="18"/>
                <w:szCs w:val="18"/>
              </w:rPr>
            </w:pPr>
            <w:r w:rsidRPr="003A2F86">
              <w:rPr>
                <w:rFonts w:ascii="Arial" w:eastAsia="Calibri" w:hAnsi="Arial" w:cs="Arial"/>
                <w:sz w:val="18"/>
                <w:szCs w:val="18"/>
              </w:rPr>
              <w:t xml:space="preserve">Povećanje broja organiziranih radionica (kreativne, glazbene, dramske i sl.) unutar Doma  </w:t>
            </w:r>
          </w:p>
        </w:tc>
        <w:tc>
          <w:tcPr>
            <w:tcW w:w="3544" w:type="dxa"/>
            <w:vAlign w:val="center"/>
          </w:tcPr>
          <w:p w14:paraId="441A58A6" w14:textId="77777777" w:rsidR="002935FB" w:rsidRPr="003A2F86" w:rsidRDefault="002935FB" w:rsidP="00853A35">
            <w:pPr>
              <w:rPr>
                <w:rFonts w:ascii="Arial" w:eastAsia="Calibri" w:hAnsi="Arial" w:cs="Arial"/>
                <w:sz w:val="18"/>
                <w:szCs w:val="18"/>
              </w:rPr>
            </w:pPr>
            <w:r w:rsidRPr="003A2F86">
              <w:rPr>
                <w:rFonts w:ascii="Arial" w:eastAsia="Calibri" w:hAnsi="Arial" w:cs="Arial"/>
                <w:sz w:val="18"/>
                <w:szCs w:val="18"/>
              </w:rPr>
              <w:t>Organiziranjem radionica omogućava se korisnicima međusobno druženje, razvoj njihove kreativnosti, samoizražavanje, podizanje razine fine i grube motorike, te cjeloživotno učenje</w:t>
            </w:r>
          </w:p>
        </w:tc>
        <w:tc>
          <w:tcPr>
            <w:tcW w:w="1276" w:type="dxa"/>
            <w:vAlign w:val="center"/>
          </w:tcPr>
          <w:p w14:paraId="00E59250" w14:textId="015F9158" w:rsidR="002935FB" w:rsidRPr="003A2F86" w:rsidRDefault="002935FB" w:rsidP="00853A35">
            <w:pPr>
              <w:rPr>
                <w:rFonts w:ascii="Arial" w:eastAsia="Calibri" w:hAnsi="Arial" w:cs="Arial"/>
                <w:sz w:val="18"/>
                <w:szCs w:val="18"/>
              </w:rPr>
            </w:pPr>
            <w:r w:rsidRPr="003A2F86">
              <w:rPr>
                <w:rFonts w:ascii="Arial" w:eastAsia="Calibri" w:hAnsi="Arial" w:cs="Arial"/>
                <w:sz w:val="18"/>
                <w:szCs w:val="18"/>
              </w:rPr>
              <w:t>Broj organiziranih radionica</w:t>
            </w:r>
          </w:p>
        </w:tc>
        <w:tc>
          <w:tcPr>
            <w:tcW w:w="1276" w:type="dxa"/>
            <w:vAlign w:val="center"/>
          </w:tcPr>
          <w:p w14:paraId="41C7B25E" w14:textId="0EB7864E" w:rsidR="002935FB" w:rsidRPr="003A2F86" w:rsidRDefault="002935FB" w:rsidP="002935FB">
            <w:pPr>
              <w:jc w:val="center"/>
              <w:rPr>
                <w:rFonts w:ascii="Arial" w:eastAsia="Calibri" w:hAnsi="Arial" w:cs="Arial"/>
                <w:sz w:val="18"/>
                <w:szCs w:val="18"/>
              </w:rPr>
            </w:pPr>
            <w:r>
              <w:rPr>
                <w:rFonts w:ascii="Arial" w:eastAsia="Calibri" w:hAnsi="Arial" w:cs="Arial"/>
                <w:sz w:val="18"/>
                <w:szCs w:val="18"/>
              </w:rPr>
              <w:t>18</w:t>
            </w:r>
          </w:p>
        </w:tc>
        <w:tc>
          <w:tcPr>
            <w:tcW w:w="1094" w:type="dxa"/>
            <w:vAlign w:val="center"/>
          </w:tcPr>
          <w:p w14:paraId="2512A6BA" w14:textId="695F18B7" w:rsidR="002935FB" w:rsidRPr="003A2F86" w:rsidRDefault="002935FB" w:rsidP="00853A35">
            <w:pPr>
              <w:jc w:val="center"/>
              <w:rPr>
                <w:rFonts w:ascii="Arial" w:eastAsia="Calibri" w:hAnsi="Arial" w:cs="Arial"/>
                <w:sz w:val="18"/>
                <w:szCs w:val="18"/>
              </w:rPr>
            </w:pPr>
            <w:r w:rsidRPr="003A2F86">
              <w:rPr>
                <w:rFonts w:ascii="Arial" w:eastAsia="Calibri" w:hAnsi="Arial" w:cs="Arial"/>
                <w:sz w:val="18"/>
                <w:szCs w:val="18"/>
              </w:rPr>
              <w:t>Dom</w:t>
            </w:r>
          </w:p>
        </w:tc>
        <w:tc>
          <w:tcPr>
            <w:tcW w:w="1134" w:type="dxa"/>
            <w:vAlign w:val="center"/>
          </w:tcPr>
          <w:p w14:paraId="5792FA98" w14:textId="0C725960" w:rsidR="002935FB" w:rsidRPr="003A2F86" w:rsidRDefault="002935FB" w:rsidP="00853A35">
            <w:pPr>
              <w:jc w:val="center"/>
              <w:rPr>
                <w:rFonts w:ascii="Arial" w:eastAsia="Calibri" w:hAnsi="Arial" w:cs="Arial"/>
                <w:sz w:val="18"/>
                <w:szCs w:val="18"/>
              </w:rPr>
            </w:pPr>
            <w:r>
              <w:rPr>
                <w:rFonts w:ascii="Arial" w:eastAsia="Calibri" w:hAnsi="Arial" w:cs="Arial"/>
                <w:sz w:val="18"/>
                <w:szCs w:val="18"/>
              </w:rPr>
              <w:t>15</w:t>
            </w:r>
          </w:p>
        </w:tc>
        <w:tc>
          <w:tcPr>
            <w:tcW w:w="1435" w:type="dxa"/>
            <w:vAlign w:val="center"/>
          </w:tcPr>
          <w:p w14:paraId="3CA48EEE" w14:textId="4C028653" w:rsidR="002935FB" w:rsidRPr="003A2F86" w:rsidRDefault="00E73626" w:rsidP="00853A35">
            <w:pPr>
              <w:jc w:val="center"/>
              <w:rPr>
                <w:rFonts w:ascii="Arial" w:eastAsia="Calibri" w:hAnsi="Arial" w:cs="Arial"/>
                <w:sz w:val="18"/>
                <w:szCs w:val="18"/>
              </w:rPr>
            </w:pPr>
            <w:r>
              <w:rPr>
                <w:rFonts w:ascii="Arial" w:eastAsia="Calibri" w:hAnsi="Arial" w:cs="Arial"/>
                <w:sz w:val="18"/>
                <w:szCs w:val="18"/>
              </w:rPr>
              <w:t>18</w:t>
            </w:r>
          </w:p>
        </w:tc>
        <w:tc>
          <w:tcPr>
            <w:tcW w:w="1417" w:type="dxa"/>
            <w:vAlign w:val="center"/>
          </w:tcPr>
          <w:p w14:paraId="100C2804" w14:textId="4D6AC247" w:rsidR="002935FB" w:rsidRPr="003A2F86" w:rsidRDefault="00E73626" w:rsidP="00853A35">
            <w:pPr>
              <w:jc w:val="center"/>
              <w:rPr>
                <w:rFonts w:ascii="Arial" w:eastAsia="Calibri" w:hAnsi="Arial" w:cs="Arial"/>
                <w:sz w:val="18"/>
                <w:szCs w:val="18"/>
              </w:rPr>
            </w:pPr>
            <w:r>
              <w:rPr>
                <w:rFonts w:ascii="Arial" w:eastAsia="Calibri" w:hAnsi="Arial" w:cs="Arial"/>
                <w:sz w:val="18"/>
                <w:szCs w:val="18"/>
              </w:rPr>
              <w:t>18</w:t>
            </w:r>
          </w:p>
        </w:tc>
        <w:tc>
          <w:tcPr>
            <w:tcW w:w="1417" w:type="dxa"/>
            <w:vAlign w:val="center"/>
          </w:tcPr>
          <w:p w14:paraId="3D67D5FA" w14:textId="16BFC4F7" w:rsidR="002935FB" w:rsidRPr="003A2F86" w:rsidRDefault="002935FB" w:rsidP="00853A35">
            <w:pPr>
              <w:jc w:val="center"/>
              <w:rPr>
                <w:rFonts w:ascii="Arial" w:eastAsia="Calibri" w:hAnsi="Arial" w:cs="Arial"/>
                <w:sz w:val="18"/>
                <w:szCs w:val="18"/>
              </w:rPr>
            </w:pPr>
            <w:r w:rsidRPr="003A2F86">
              <w:rPr>
                <w:rFonts w:ascii="Arial" w:eastAsia="Calibri" w:hAnsi="Arial" w:cs="Arial"/>
                <w:sz w:val="18"/>
                <w:szCs w:val="18"/>
              </w:rPr>
              <w:t>15</w:t>
            </w:r>
          </w:p>
        </w:tc>
      </w:tr>
    </w:tbl>
    <w:p w14:paraId="2E6576AD" w14:textId="77777777" w:rsidR="00087502" w:rsidRPr="003A2F86" w:rsidRDefault="00087502" w:rsidP="00087502">
      <w:pPr>
        <w:spacing w:after="0" w:line="240" w:lineRule="auto"/>
        <w:jc w:val="both"/>
        <w:rPr>
          <w:rFonts w:ascii="Arial" w:eastAsia="Calibri" w:hAnsi="Arial" w:cs="Arial"/>
          <w:sz w:val="20"/>
          <w:szCs w:val="20"/>
        </w:rPr>
      </w:pPr>
    </w:p>
    <w:p w14:paraId="2EC2F3F1" w14:textId="77777777" w:rsidR="00E73626" w:rsidRPr="006074CC" w:rsidRDefault="00E73626" w:rsidP="00E73626">
      <w:pPr>
        <w:spacing w:after="0" w:line="240" w:lineRule="auto"/>
        <w:jc w:val="both"/>
        <w:rPr>
          <w:rFonts w:ascii="Arial" w:eastAsia="Calibri" w:hAnsi="Arial" w:cs="Arial"/>
          <w:sz w:val="20"/>
          <w:szCs w:val="20"/>
        </w:rPr>
      </w:pPr>
      <w:r w:rsidRPr="006074CC">
        <w:rPr>
          <w:rFonts w:ascii="Arial" w:eastAsia="Calibri" w:hAnsi="Arial" w:cs="Arial"/>
          <w:sz w:val="20"/>
          <w:szCs w:val="20"/>
        </w:rPr>
        <w:t>Organizirane kreativno-glazbene radionice u izvještajnom razdoblju su:</w:t>
      </w:r>
    </w:p>
    <w:p w14:paraId="08153FF8" w14:textId="77777777" w:rsidR="00E73626" w:rsidRPr="0080428A" w:rsidRDefault="00E73626">
      <w:pPr>
        <w:numPr>
          <w:ilvl w:val="0"/>
          <w:numId w:val="31"/>
        </w:numPr>
        <w:spacing w:after="0" w:line="240" w:lineRule="auto"/>
        <w:ind w:left="720"/>
        <w:jc w:val="both"/>
        <w:rPr>
          <w:rFonts w:ascii="Arial" w:eastAsia="Calibri" w:hAnsi="Arial" w:cs="Arial"/>
          <w:sz w:val="20"/>
          <w:szCs w:val="20"/>
        </w:rPr>
      </w:pPr>
      <w:r w:rsidRPr="0080428A">
        <w:rPr>
          <w:rFonts w:ascii="Arial" w:eastAsia="Calibri" w:hAnsi="Arial" w:cs="Arial"/>
          <w:sz w:val="20"/>
          <w:szCs w:val="20"/>
        </w:rPr>
        <w:t>Likovna radionica - izrada srca</w:t>
      </w:r>
      <w:r>
        <w:rPr>
          <w:rFonts w:ascii="Arial" w:eastAsia="Calibri" w:hAnsi="Arial" w:cs="Arial"/>
          <w:sz w:val="20"/>
          <w:szCs w:val="20"/>
        </w:rPr>
        <w:t xml:space="preserve"> i oblaka</w:t>
      </w:r>
      <w:r w:rsidRPr="0080428A">
        <w:rPr>
          <w:rFonts w:ascii="Arial" w:eastAsia="Calibri" w:hAnsi="Arial" w:cs="Arial"/>
          <w:sz w:val="20"/>
          <w:szCs w:val="20"/>
        </w:rPr>
        <w:t xml:space="preserve"> za Valentinovo u periodu 22.01.-12.02.2025.g.</w:t>
      </w:r>
    </w:p>
    <w:p w14:paraId="3243B149" w14:textId="77777777" w:rsidR="00E73626" w:rsidRPr="0080428A" w:rsidRDefault="00E73626">
      <w:pPr>
        <w:numPr>
          <w:ilvl w:val="0"/>
          <w:numId w:val="31"/>
        </w:numPr>
        <w:spacing w:after="0" w:line="240" w:lineRule="auto"/>
        <w:ind w:left="720"/>
        <w:jc w:val="both"/>
        <w:rPr>
          <w:rFonts w:ascii="Arial" w:eastAsia="Calibri" w:hAnsi="Arial" w:cs="Arial"/>
          <w:sz w:val="20"/>
          <w:szCs w:val="20"/>
        </w:rPr>
      </w:pPr>
      <w:r w:rsidRPr="0080428A">
        <w:rPr>
          <w:rFonts w:ascii="Arial" w:eastAsia="Calibri" w:hAnsi="Arial" w:cs="Arial"/>
          <w:sz w:val="20"/>
          <w:szCs w:val="20"/>
        </w:rPr>
        <w:t>Likovna radionica - izrada ukrasa za maškare u peiodu 18.02.-20.02.2025.g.</w:t>
      </w:r>
    </w:p>
    <w:p w14:paraId="69F50D17" w14:textId="77777777" w:rsidR="00E73626" w:rsidRPr="00746EE3" w:rsidRDefault="00E73626">
      <w:pPr>
        <w:numPr>
          <w:ilvl w:val="0"/>
          <w:numId w:val="31"/>
        </w:numPr>
        <w:spacing w:after="0" w:line="240" w:lineRule="auto"/>
        <w:ind w:left="720"/>
        <w:jc w:val="both"/>
        <w:rPr>
          <w:rFonts w:ascii="Arial" w:eastAsia="Calibri" w:hAnsi="Arial" w:cs="Arial"/>
          <w:sz w:val="20"/>
          <w:szCs w:val="20"/>
        </w:rPr>
      </w:pPr>
      <w:r w:rsidRPr="00746EE3">
        <w:rPr>
          <w:rFonts w:ascii="Arial" w:eastAsia="Calibri" w:hAnsi="Arial" w:cs="Arial"/>
          <w:sz w:val="20"/>
          <w:szCs w:val="20"/>
        </w:rPr>
        <w:t>Likovna radonica – izrada cvjetića povodom Dana žena u periodu 25.02.-27.02.2025.g.</w:t>
      </w:r>
    </w:p>
    <w:p w14:paraId="790427CF" w14:textId="77777777" w:rsidR="00E73626" w:rsidRPr="00746EE3" w:rsidRDefault="00E73626">
      <w:pPr>
        <w:numPr>
          <w:ilvl w:val="0"/>
          <w:numId w:val="31"/>
        </w:numPr>
        <w:spacing w:after="0" w:line="240" w:lineRule="auto"/>
        <w:ind w:left="720"/>
        <w:jc w:val="both"/>
        <w:rPr>
          <w:rFonts w:ascii="Arial" w:eastAsia="Calibri" w:hAnsi="Arial" w:cs="Arial"/>
          <w:sz w:val="20"/>
          <w:szCs w:val="20"/>
        </w:rPr>
      </w:pPr>
      <w:r w:rsidRPr="00746EE3">
        <w:rPr>
          <w:rFonts w:ascii="Arial" w:eastAsia="Calibri" w:hAnsi="Arial" w:cs="Arial"/>
          <w:sz w:val="20"/>
          <w:szCs w:val="20"/>
        </w:rPr>
        <w:t>Likovna radionica – izrada panoa za Korizmu dana 19.03.2025.g.</w:t>
      </w:r>
    </w:p>
    <w:p w14:paraId="2F782517" w14:textId="77777777" w:rsidR="00E73626" w:rsidRPr="0080428A" w:rsidRDefault="00E73626">
      <w:pPr>
        <w:numPr>
          <w:ilvl w:val="0"/>
          <w:numId w:val="31"/>
        </w:numPr>
        <w:spacing w:after="0" w:line="240" w:lineRule="auto"/>
        <w:ind w:left="720"/>
        <w:jc w:val="both"/>
        <w:rPr>
          <w:rFonts w:ascii="Arial" w:eastAsia="Calibri" w:hAnsi="Arial" w:cs="Arial"/>
          <w:sz w:val="20"/>
          <w:szCs w:val="20"/>
        </w:rPr>
      </w:pPr>
      <w:r w:rsidRPr="0080428A">
        <w:rPr>
          <w:rFonts w:ascii="Arial" w:eastAsia="Calibri" w:hAnsi="Arial" w:cs="Arial"/>
          <w:sz w:val="20"/>
          <w:szCs w:val="20"/>
        </w:rPr>
        <w:t xml:space="preserve">Kreativna radionica pletenja križeva </w:t>
      </w:r>
      <w:r>
        <w:rPr>
          <w:rFonts w:ascii="Arial" w:eastAsia="Calibri" w:hAnsi="Arial" w:cs="Arial"/>
          <w:sz w:val="20"/>
          <w:szCs w:val="20"/>
        </w:rPr>
        <w:t xml:space="preserve">od palmi </w:t>
      </w:r>
      <w:r w:rsidRPr="0080428A">
        <w:rPr>
          <w:rFonts w:ascii="Arial" w:eastAsia="Calibri" w:hAnsi="Arial" w:cs="Arial"/>
          <w:sz w:val="20"/>
          <w:szCs w:val="20"/>
        </w:rPr>
        <w:t>za Uskrs dana 09.04.2025.g.</w:t>
      </w:r>
    </w:p>
    <w:p w14:paraId="2F33A49F" w14:textId="77777777" w:rsidR="00E73626" w:rsidRPr="000871C0" w:rsidRDefault="00E73626">
      <w:pPr>
        <w:numPr>
          <w:ilvl w:val="0"/>
          <w:numId w:val="31"/>
        </w:numPr>
        <w:spacing w:after="0" w:line="240" w:lineRule="auto"/>
        <w:ind w:left="720"/>
        <w:jc w:val="both"/>
        <w:rPr>
          <w:rFonts w:ascii="Arial" w:eastAsia="Calibri" w:hAnsi="Arial" w:cs="Arial"/>
          <w:sz w:val="20"/>
          <w:szCs w:val="20"/>
        </w:rPr>
      </w:pPr>
      <w:r w:rsidRPr="000871C0">
        <w:rPr>
          <w:rFonts w:ascii="Arial" w:eastAsia="Calibri" w:hAnsi="Arial" w:cs="Arial"/>
          <w:sz w:val="20"/>
          <w:szCs w:val="20"/>
        </w:rPr>
        <w:t>Radionica penganja jaja dana 18.04.2025.g.</w:t>
      </w:r>
    </w:p>
    <w:p w14:paraId="6B3F2341" w14:textId="77777777" w:rsidR="00E73626" w:rsidRPr="000871C0" w:rsidRDefault="00E73626">
      <w:pPr>
        <w:numPr>
          <w:ilvl w:val="0"/>
          <w:numId w:val="31"/>
        </w:numPr>
        <w:spacing w:after="0" w:line="240" w:lineRule="auto"/>
        <w:ind w:left="720"/>
        <w:jc w:val="both"/>
        <w:rPr>
          <w:rFonts w:ascii="Arial" w:eastAsia="Calibri" w:hAnsi="Arial" w:cs="Arial"/>
          <w:sz w:val="20"/>
          <w:szCs w:val="20"/>
        </w:rPr>
      </w:pPr>
      <w:r w:rsidRPr="000871C0">
        <w:rPr>
          <w:rFonts w:ascii="Arial" w:eastAsia="Calibri" w:hAnsi="Arial" w:cs="Arial"/>
          <w:sz w:val="20"/>
          <w:szCs w:val="20"/>
        </w:rPr>
        <w:t>Likovna radionica – izrada palmi za ljetni pano u periodu 18.06.-20.06.2025.g.</w:t>
      </w:r>
    </w:p>
    <w:p w14:paraId="703856FE" w14:textId="77777777" w:rsidR="00E73626" w:rsidRDefault="00E73626">
      <w:pPr>
        <w:numPr>
          <w:ilvl w:val="0"/>
          <w:numId w:val="31"/>
        </w:numPr>
        <w:spacing w:after="0" w:line="240" w:lineRule="auto"/>
        <w:ind w:left="720"/>
        <w:jc w:val="both"/>
        <w:rPr>
          <w:rFonts w:ascii="Arial" w:eastAsia="Calibri" w:hAnsi="Arial" w:cs="Arial"/>
          <w:sz w:val="20"/>
          <w:szCs w:val="20"/>
        </w:rPr>
      </w:pPr>
      <w:r w:rsidRPr="000871C0">
        <w:rPr>
          <w:rFonts w:ascii="Arial" w:eastAsia="Calibri" w:hAnsi="Arial" w:cs="Arial"/>
          <w:sz w:val="20"/>
          <w:szCs w:val="20"/>
        </w:rPr>
        <w:t>Likovna radionica – izrada palmi i morskih zvijezda dana 24.06.2025.g.</w:t>
      </w:r>
    </w:p>
    <w:p w14:paraId="3C6E3B25" w14:textId="77777777" w:rsidR="00E73626" w:rsidRDefault="00E73626">
      <w:pPr>
        <w:numPr>
          <w:ilvl w:val="0"/>
          <w:numId w:val="31"/>
        </w:numPr>
        <w:spacing w:after="0" w:line="240" w:lineRule="auto"/>
        <w:ind w:left="720"/>
        <w:jc w:val="both"/>
        <w:rPr>
          <w:rFonts w:ascii="Arial" w:eastAsia="Calibri" w:hAnsi="Arial" w:cs="Arial"/>
          <w:sz w:val="20"/>
          <w:szCs w:val="20"/>
        </w:rPr>
      </w:pPr>
      <w:r>
        <w:rPr>
          <w:rFonts w:ascii="Arial" w:eastAsia="Calibri" w:hAnsi="Arial" w:cs="Arial"/>
          <w:sz w:val="20"/>
          <w:szCs w:val="20"/>
        </w:rPr>
        <w:t>Radionica sadnje cvijeća i sukulenata dana 03.09.2025.g.</w:t>
      </w:r>
    </w:p>
    <w:p w14:paraId="6BDFD16E" w14:textId="77777777" w:rsidR="00E73626" w:rsidRDefault="00E73626">
      <w:pPr>
        <w:numPr>
          <w:ilvl w:val="0"/>
          <w:numId w:val="31"/>
        </w:numPr>
        <w:spacing w:after="0" w:line="240" w:lineRule="auto"/>
        <w:ind w:left="720"/>
        <w:jc w:val="both"/>
        <w:rPr>
          <w:rFonts w:ascii="Arial" w:eastAsia="Calibri" w:hAnsi="Arial" w:cs="Arial"/>
          <w:sz w:val="20"/>
          <w:szCs w:val="20"/>
        </w:rPr>
      </w:pPr>
      <w:r>
        <w:rPr>
          <w:rFonts w:ascii="Arial" w:eastAsia="Calibri" w:hAnsi="Arial" w:cs="Arial"/>
          <w:sz w:val="20"/>
          <w:szCs w:val="20"/>
        </w:rPr>
        <w:t>Likovna radionica izrade jesenskih motiva u periodu 03.09.-02.10.2025.g.</w:t>
      </w:r>
    </w:p>
    <w:p w14:paraId="047264BF" w14:textId="77777777" w:rsidR="00E73626" w:rsidRDefault="00E73626">
      <w:pPr>
        <w:numPr>
          <w:ilvl w:val="0"/>
          <w:numId w:val="31"/>
        </w:numPr>
        <w:spacing w:after="0" w:line="240" w:lineRule="auto"/>
        <w:ind w:left="720"/>
        <w:jc w:val="both"/>
        <w:rPr>
          <w:rFonts w:ascii="Arial" w:eastAsia="Calibri" w:hAnsi="Arial" w:cs="Arial"/>
          <w:sz w:val="20"/>
          <w:szCs w:val="20"/>
        </w:rPr>
      </w:pPr>
      <w:r>
        <w:rPr>
          <w:rFonts w:ascii="Arial" w:eastAsia="Calibri" w:hAnsi="Arial" w:cs="Arial"/>
          <w:sz w:val="20"/>
          <w:szCs w:val="20"/>
        </w:rPr>
        <w:t>Kulinarska radionica - priprema štrudli dana 16.10.2025.g.</w:t>
      </w:r>
    </w:p>
    <w:p w14:paraId="338FA990" w14:textId="77777777" w:rsidR="00E73626" w:rsidRDefault="00E73626">
      <w:pPr>
        <w:numPr>
          <w:ilvl w:val="0"/>
          <w:numId w:val="31"/>
        </w:numPr>
        <w:spacing w:after="0" w:line="240" w:lineRule="auto"/>
        <w:ind w:left="720"/>
        <w:jc w:val="both"/>
        <w:rPr>
          <w:rFonts w:ascii="Arial" w:eastAsia="Calibri" w:hAnsi="Arial" w:cs="Arial"/>
          <w:sz w:val="20"/>
          <w:szCs w:val="20"/>
        </w:rPr>
      </w:pPr>
      <w:r w:rsidRPr="006074CC">
        <w:rPr>
          <w:rFonts w:ascii="Arial" w:eastAsia="Calibri" w:hAnsi="Arial" w:cs="Arial"/>
          <w:sz w:val="20"/>
          <w:szCs w:val="20"/>
        </w:rPr>
        <w:t>Likovna radionica – izrada poklona povodom Dana muškaraca u periodu 04.-11.11.2025.g.</w:t>
      </w:r>
    </w:p>
    <w:p w14:paraId="2968B94E" w14:textId="77777777" w:rsidR="00E73626" w:rsidRDefault="00E73626">
      <w:pPr>
        <w:numPr>
          <w:ilvl w:val="0"/>
          <w:numId w:val="31"/>
        </w:numPr>
        <w:spacing w:after="0" w:line="240" w:lineRule="auto"/>
        <w:ind w:left="720"/>
        <w:jc w:val="both"/>
        <w:rPr>
          <w:rFonts w:ascii="Arial" w:eastAsia="Calibri" w:hAnsi="Arial" w:cs="Arial"/>
          <w:sz w:val="20"/>
          <w:szCs w:val="20"/>
        </w:rPr>
      </w:pPr>
      <w:r w:rsidRPr="006074CC">
        <w:rPr>
          <w:rFonts w:ascii="Arial" w:eastAsia="Calibri" w:hAnsi="Arial" w:cs="Arial"/>
          <w:sz w:val="20"/>
          <w:szCs w:val="20"/>
        </w:rPr>
        <w:t>Likovna radionica – izrada</w:t>
      </w:r>
      <w:r>
        <w:rPr>
          <w:rFonts w:ascii="Arial" w:eastAsia="Calibri" w:hAnsi="Arial" w:cs="Arial"/>
          <w:sz w:val="20"/>
          <w:szCs w:val="20"/>
        </w:rPr>
        <w:t xml:space="preserve"> panoa „Zid ljubaznosti“ dana 13.11.2025.g.</w:t>
      </w:r>
    </w:p>
    <w:p w14:paraId="31999D75" w14:textId="77777777" w:rsidR="00E73626" w:rsidRPr="006074CC" w:rsidRDefault="00E73626">
      <w:pPr>
        <w:numPr>
          <w:ilvl w:val="0"/>
          <w:numId w:val="31"/>
        </w:numPr>
        <w:spacing w:after="0" w:line="240" w:lineRule="auto"/>
        <w:ind w:left="720"/>
        <w:jc w:val="both"/>
        <w:rPr>
          <w:rFonts w:ascii="Arial" w:eastAsia="Calibri" w:hAnsi="Arial" w:cs="Arial"/>
          <w:sz w:val="20"/>
          <w:szCs w:val="20"/>
        </w:rPr>
      </w:pPr>
      <w:r w:rsidRPr="006074CC">
        <w:rPr>
          <w:rFonts w:ascii="Arial" w:eastAsia="Calibri" w:hAnsi="Arial" w:cs="Arial"/>
          <w:sz w:val="20"/>
          <w:szCs w:val="20"/>
        </w:rPr>
        <w:t>Likovna radionica - izrada božićnih čestitiki u periodu 21.11.</w:t>
      </w:r>
      <w:r>
        <w:rPr>
          <w:rFonts w:ascii="Arial" w:eastAsia="Calibri" w:hAnsi="Arial" w:cs="Arial"/>
          <w:sz w:val="20"/>
          <w:szCs w:val="20"/>
        </w:rPr>
        <w:t>-10.12.2025.g.</w:t>
      </w:r>
    </w:p>
    <w:p w14:paraId="6D3A6D37" w14:textId="77777777" w:rsidR="00E73626" w:rsidRDefault="00E73626">
      <w:pPr>
        <w:numPr>
          <w:ilvl w:val="0"/>
          <w:numId w:val="31"/>
        </w:numPr>
        <w:spacing w:after="0" w:line="240" w:lineRule="auto"/>
        <w:ind w:left="720"/>
        <w:jc w:val="both"/>
        <w:rPr>
          <w:rFonts w:ascii="Arial" w:eastAsia="Calibri" w:hAnsi="Arial" w:cs="Arial"/>
          <w:sz w:val="20"/>
          <w:szCs w:val="20"/>
        </w:rPr>
      </w:pPr>
      <w:r>
        <w:rPr>
          <w:rFonts w:ascii="Arial" w:eastAsia="Calibri" w:hAnsi="Arial" w:cs="Arial"/>
          <w:sz w:val="20"/>
          <w:szCs w:val="20"/>
        </w:rPr>
        <w:t>Likovna radionica – izrada božićnih ukrasa od gline dana u suradnji sa Muzejima i galerijama Konavala dana 24.11.2025.g.</w:t>
      </w:r>
    </w:p>
    <w:p w14:paraId="757CBD68" w14:textId="77777777" w:rsidR="00E73626" w:rsidRPr="000871C0" w:rsidRDefault="00E73626">
      <w:pPr>
        <w:numPr>
          <w:ilvl w:val="0"/>
          <w:numId w:val="31"/>
        </w:numPr>
        <w:spacing w:after="0" w:line="240" w:lineRule="auto"/>
        <w:ind w:left="720"/>
        <w:jc w:val="both"/>
        <w:rPr>
          <w:rFonts w:ascii="Arial" w:eastAsia="Calibri" w:hAnsi="Arial" w:cs="Arial"/>
          <w:sz w:val="20"/>
          <w:szCs w:val="20"/>
        </w:rPr>
      </w:pPr>
      <w:r>
        <w:rPr>
          <w:rFonts w:ascii="Arial" w:eastAsia="Calibri" w:hAnsi="Arial" w:cs="Arial"/>
          <w:sz w:val="20"/>
          <w:szCs w:val="20"/>
        </w:rPr>
        <w:t>Radionica uz sadnju božićne pšenice dana 12.12.2025.g.</w:t>
      </w:r>
    </w:p>
    <w:p w14:paraId="4D7B244F" w14:textId="77777777" w:rsidR="00E73626" w:rsidRDefault="00E73626">
      <w:pPr>
        <w:numPr>
          <w:ilvl w:val="0"/>
          <w:numId w:val="31"/>
        </w:numPr>
        <w:spacing w:after="0" w:line="240" w:lineRule="auto"/>
        <w:ind w:left="720"/>
        <w:jc w:val="both"/>
        <w:rPr>
          <w:rFonts w:ascii="Arial" w:eastAsia="Calibri" w:hAnsi="Arial" w:cs="Arial"/>
          <w:sz w:val="20"/>
          <w:szCs w:val="20"/>
        </w:rPr>
      </w:pPr>
      <w:r w:rsidRPr="00B4156E">
        <w:rPr>
          <w:rFonts w:ascii="Arial" w:eastAsia="Calibri" w:hAnsi="Arial" w:cs="Arial"/>
          <w:sz w:val="20"/>
          <w:szCs w:val="20"/>
        </w:rPr>
        <w:t>Glazbena radionica „J</w:t>
      </w:r>
      <w:r>
        <w:rPr>
          <w:rFonts w:ascii="Arial" w:eastAsia="Calibri" w:hAnsi="Arial" w:cs="Arial"/>
          <w:sz w:val="20"/>
          <w:szCs w:val="20"/>
        </w:rPr>
        <w:t>ubox“ – održavanje jednom tjedno</w:t>
      </w:r>
    </w:p>
    <w:p w14:paraId="082CC956" w14:textId="77777777" w:rsidR="00E73626" w:rsidRPr="00344C70" w:rsidRDefault="00E73626">
      <w:pPr>
        <w:numPr>
          <w:ilvl w:val="0"/>
          <w:numId w:val="31"/>
        </w:numPr>
        <w:spacing w:after="0" w:line="240" w:lineRule="auto"/>
        <w:ind w:left="720"/>
        <w:jc w:val="both"/>
        <w:rPr>
          <w:rFonts w:ascii="Arial" w:eastAsia="Calibri" w:hAnsi="Arial" w:cs="Arial"/>
          <w:sz w:val="20"/>
          <w:szCs w:val="20"/>
        </w:rPr>
      </w:pPr>
      <w:r w:rsidRPr="00344C70">
        <w:rPr>
          <w:rFonts w:ascii="Arial" w:eastAsia="Calibri" w:hAnsi="Arial" w:cs="Arial"/>
          <w:sz w:val="20"/>
          <w:szCs w:val="20"/>
        </w:rPr>
        <w:t>Igranje tombole, igre „Gradova i sela“ i kviz – održavanje 1x tjedno</w:t>
      </w:r>
    </w:p>
    <w:p w14:paraId="14951D14" w14:textId="77777777" w:rsidR="00626756" w:rsidRPr="003A2F86" w:rsidRDefault="00626756" w:rsidP="00626756">
      <w:pPr>
        <w:spacing w:after="0" w:line="240" w:lineRule="auto"/>
        <w:ind w:left="360"/>
        <w:jc w:val="both"/>
        <w:rPr>
          <w:rFonts w:ascii="Arial" w:eastAsia="Calibri" w:hAnsi="Arial" w:cs="Arial"/>
          <w:sz w:val="20"/>
          <w:szCs w:val="20"/>
          <w:lang w:eastAsia="en-US"/>
        </w:rPr>
      </w:pPr>
    </w:p>
    <w:p w14:paraId="29665B6F" w14:textId="77777777" w:rsidR="00626756" w:rsidRPr="003A2F86" w:rsidRDefault="00626756" w:rsidP="00626756">
      <w:pPr>
        <w:spacing w:after="0" w:line="240" w:lineRule="auto"/>
        <w:jc w:val="both"/>
        <w:rPr>
          <w:rFonts w:ascii="Arial" w:eastAsia="Calibri" w:hAnsi="Arial" w:cs="Arial"/>
          <w:sz w:val="20"/>
          <w:szCs w:val="20"/>
        </w:rPr>
      </w:pPr>
      <w:r w:rsidRPr="003A2F86">
        <w:rPr>
          <w:rFonts w:ascii="Arial" w:eastAsia="Calibri" w:hAnsi="Arial" w:cs="Arial"/>
          <w:sz w:val="20"/>
          <w:szCs w:val="20"/>
        </w:rPr>
        <w:t>Druga aktivnosti kojom se planira postići ovaj cilj je organiziranje raznih kulturnih događanja unutar prostorija Doma radi što kvalitetnijeg korištenja slobodnog vremena korisnika.</w:t>
      </w:r>
    </w:p>
    <w:p w14:paraId="54CFB9DD" w14:textId="77777777" w:rsidR="00F70946" w:rsidRDefault="00F70946" w:rsidP="00626756">
      <w:pPr>
        <w:spacing w:after="0" w:line="240" w:lineRule="auto"/>
        <w:jc w:val="both"/>
        <w:rPr>
          <w:rFonts w:ascii="Arial" w:eastAsia="Calibri" w:hAnsi="Arial" w:cs="Arial"/>
          <w:sz w:val="20"/>
          <w:szCs w:val="20"/>
        </w:rPr>
      </w:pPr>
    </w:p>
    <w:tbl>
      <w:tblPr>
        <w:tblStyle w:val="TableGrid24"/>
        <w:tblW w:w="14651" w:type="dxa"/>
        <w:jc w:val="center"/>
        <w:tblLayout w:type="fixed"/>
        <w:tblLook w:val="04A0" w:firstRow="1" w:lastRow="0" w:firstColumn="1" w:lastColumn="0" w:noHBand="0" w:noVBand="1"/>
      </w:tblPr>
      <w:tblGrid>
        <w:gridCol w:w="2547"/>
        <w:gridCol w:w="2813"/>
        <w:gridCol w:w="1258"/>
        <w:gridCol w:w="1134"/>
        <w:gridCol w:w="1134"/>
        <w:gridCol w:w="1435"/>
        <w:gridCol w:w="1417"/>
        <w:gridCol w:w="1417"/>
        <w:gridCol w:w="1496"/>
      </w:tblGrid>
      <w:tr w:rsidR="002935FB" w:rsidRPr="003A2F86" w14:paraId="64634A4F" w14:textId="77777777" w:rsidTr="00923DED">
        <w:trPr>
          <w:jc w:val="center"/>
        </w:trPr>
        <w:tc>
          <w:tcPr>
            <w:tcW w:w="2547" w:type="dxa"/>
            <w:shd w:val="clear" w:color="auto" w:fill="BFBFBF" w:themeFill="background1" w:themeFillShade="BF"/>
            <w:vAlign w:val="center"/>
          </w:tcPr>
          <w:p w14:paraId="4BE325C2" w14:textId="77777777" w:rsidR="002935FB" w:rsidRPr="003A2F86" w:rsidRDefault="002935FB" w:rsidP="002935FB">
            <w:pPr>
              <w:jc w:val="center"/>
              <w:rPr>
                <w:rFonts w:ascii="Arial" w:eastAsia="Calibri" w:hAnsi="Arial" w:cs="Arial"/>
              </w:rPr>
            </w:pPr>
            <w:r w:rsidRPr="003A2F86">
              <w:rPr>
                <w:rFonts w:ascii="Arial" w:eastAsia="Calibri" w:hAnsi="Arial" w:cs="Arial"/>
              </w:rPr>
              <w:t>Pokazatelj uspješnosti</w:t>
            </w:r>
          </w:p>
        </w:tc>
        <w:tc>
          <w:tcPr>
            <w:tcW w:w="2813" w:type="dxa"/>
            <w:shd w:val="clear" w:color="auto" w:fill="BFBFBF" w:themeFill="background1" w:themeFillShade="BF"/>
            <w:vAlign w:val="center"/>
          </w:tcPr>
          <w:p w14:paraId="642C6328" w14:textId="77777777" w:rsidR="002935FB" w:rsidRPr="003A2F86" w:rsidRDefault="002935FB" w:rsidP="002935FB">
            <w:pPr>
              <w:jc w:val="center"/>
              <w:rPr>
                <w:rFonts w:ascii="Arial" w:eastAsia="Calibri" w:hAnsi="Arial" w:cs="Arial"/>
              </w:rPr>
            </w:pPr>
            <w:r w:rsidRPr="003A2F86">
              <w:rPr>
                <w:rFonts w:ascii="Arial" w:eastAsia="Calibri" w:hAnsi="Arial" w:cs="Arial"/>
              </w:rPr>
              <w:t>Definicija</w:t>
            </w:r>
          </w:p>
        </w:tc>
        <w:tc>
          <w:tcPr>
            <w:tcW w:w="1258" w:type="dxa"/>
            <w:shd w:val="clear" w:color="auto" w:fill="BFBFBF" w:themeFill="background1" w:themeFillShade="BF"/>
            <w:vAlign w:val="center"/>
          </w:tcPr>
          <w:p w14:paraId="15E4F403" w14:textId="77777777" w:rsidR="002935FB" w:rsidRPr="003A2F86" w:rsidRDefault="002935FB" w:rsidP="002935FB">
            <w:pPr>
              <w:jc w:val="center"/>
              <w:rPr>
                <w:rFonts w:ascii="Arial" w:eastAsia="Calibri" w:hAnsi="Arial" w:cs="Arial"/>
              </w:rPr>
            </w:pPr>
            <w:r w:rsidRPr="003A2F86">
              <w:rPr>
                <w:rFonts w:ascii="Arial" w:eastAsia="Calibri" w:hAnsi="Arial" w:cs="Arial"/>
              </w:rPr>
              <w:t>Jedinica</w:t>
            </w:r>
          </w:p>
        </w:tc>
        <w:tc>
          <w:tcPr>
            <w:tcW w:w="1134" w:type="dxa"/>
            <w:shd w:val="clear" w:color="auto" w:fill="BFBFBF" w:themeFill="background1" w:themeFillShade="BF"/>
            <w:vAlign w:val="center"/>
          </w:tcPr>
          <w:p w14:paraId="33BFDA81" w14:textId="77777777" w:rsidR="002935FB" w:rsidRPr="003A2F86" w:rsidRDefault="002935FB" w:rsidP="002935FB">
            <w:pPr>
              <w:jc w:val="center"/>
              <w:rPr>
                <w:rFonts w:ascii="Arial" w:eastAsia="Calibri" w:hAnsi="Arial" w:cs="Arial"/>
              </w:rPr>
            </w:pPr>
            <w:r w:rsidRPr="003A2F86">
              <w:rPr>
                <w:rFonts w:ascii="Arial" w:eastAsia="Calibri" w:hAnsi="Arial" w:cs="Arial"/>
              </w:rPr>
              <w:t>Polazna vrijednost</w:t>
            </w:r>
          </w:p>
          <w:p w14:paraId="2AF5C600" w14:textId="622E4C52" w:rsidR="002935FB" w:rsidRPr="003A2F86" w:rsidRDefault="002935FB" w:rsidP="002935FB">
            <w:pPr>
              <w:jc w:val="center"/>
              <w:rPr>
                <w:rFonts w:ascii="Arial" w:eastAsia="Calibri" w:hAnsi="Arial" w:cs="Arial"/>
              </w:rPr>
            </w:pPr>
            <w:r w:rsidRPr="003A2F86">
              <w:rPr>
                <w:rFonts w:ascii="Arial" w:eastAsia="Calibri" w:hAnsi="Arial" w:cs="Arial"/>
              </w:rPr>
              <w:t>202</w:t>
            </w:r>
            <w:r>
              <w:rPr>
                <w:rFonts w:ascii="Arial" w:eastAsia="Calibri" w:hAnsi="Arial" w:cs="Arial"/>
              </w:rPr>
              <w:t>4</w:t>
            </w:r>
            <w:r w:rsidRPr="003A2F86">
              <w:rPr>
                <w:rFonts w:ascii="Arial" w:eastAsia="Calibri" w:hAnsi="Arial" w:cs="Arial"/>
              </w:rPr>
              <w:t>.</w:t>
            </w:r>
          </w:p>
        </w:tc>
        <w:tc>
          <w:tcPr>
            <w:tcW w:w="1134" w:type="dxa"/>
            <w:shd w:val="clear" w:color="auto" w:fill="BFBFBF" w:themeFill="background1" w:themeFillShade="BF"/>
            <w:vAlign w:val="center"/>
          </w:tcPr>
          <w:p w14:paraId="31B9B39C" w14:textId="291EDBF1" w:rsidR="002935FB" w:rsidRPr="003A2F86" w:rsidRDefault="002935FB" w:rsidP="002935FB">
            <w:pPr>
              <w:jc w:val="center"/>
              <w:rPr>
                <w:rFonts w:ascii="Arial" w:eastAsia="Calibri" w:hAnsi="Arial" w:cs="Arial"/>
              </w:rPr>
            </w:pPr>
            <w:r w:rsidRPr="003A2F86">
              <w:rPr>
                <w:rFonts w:ascii="Arial" w:eastAsia="Calibri" w:hAnsi="Arial" w:cs="Arial"/>
              </w:rPr>
              <w:t>Izvor podataka</w:t>
            </w:r>
          </w:p>
        </w:tc>
        <w:tc>
          <w:tcPr>
            <w:tcW w:w="1435" w:type="dxa"/>
            <w:shd w:val="clear" w:color="auto" w:fill="BFBFBF" w:themeFill="background1" w:themeFillShade="BF"/>
            <w:vAlign w:val="center"/>
          </w:tcPr>
          <w:p w14:paraId="3C2C37B2" w14:textId="36B4D949" w:rsidR="002935FB" w:rsidRPr="003A2F86" w:rsidRDefault="002935FB" w:rsidP="002935FB">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5</w:t>
            </w:r>
            <w:r w:rsidRPr="003A2F86">
              <w:rPr>
                <w:rFonts w:ascii="Arial" w:eastAsia="Calibri" w:hAnsi="Arial" w:cs="Arial"/>
              </w:rPr>
              <w:t>.</w:t>
            </w:r>
          </w:p>
        </w:tc>
        <w:tc>
          <w:tcPr>
            <w:tcW w:w="1417" w:type="dxa"/>
            <w:shd w:val="clear" w:color="auto" w:fill="BFBFBF" w:themeFill="background1" w:themeFillShade="BF"/>
            <w:vAlign w:val="center"/>
          </w:tcPr>
          <w:p w14:paraId="07618135" w14:textId="58648FCF" w:rsidR="002935FB" w:rsidRPr="003A2F86" w:rsidRDefault="002935FB" w:rsidP="002935FB">
            <w:pPr>
              <w:jc w:val="center"/>
              <w:rPr>
                <w:rFonts w:ascii="Arial" w:eastAsia="Calibri" w:hAnsi="Arial" w:cs="Arial"/>
              </w:rPr>
            </w:pPr>
            <w:r w:rsidRPr="003A2F86">
              <w:rPr>
                <w:rFonts w:ascii="Arial" w:eastAsia="Calibri" w:hAnsi="Arial" w:cs="Arial"/>
              </w:rPr>
              <w:t>Ostvareno u izvještajnom razdoblju</w:t>
            </w:r>
          </w:p>
        </w:tc>
        <w:tc>
          <w:tcPr>
            <w:tcW w:w="1417" w:type="dxa"/>
            <w:shd w:val="clear" w:color="auto" w:fill="BFBFBF" w:themeFill="background1" w:themeFillShade="BF"/>
            <w:vAlign w:val="center"/>
          </w:tcPr>
          <w:p w14:paraId="42A6840D" w14:textId="56AD4C9E" w:rsidR="002935FB" w:rsidRPr="003A2F86" w:rsidRDefault="002935FB" w:rsidP="002935FB">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6</w:t>
            </w:r>
            <w:r w:rsidRPr="003A2F86">
              <w:rPr>
                <w:rFonts w:ascii="Arial" w:eastAsia="Calibri" w:hAnsi="Arial" w:cs="Arial"/>
              </w:rPr>
              <w:t>.</w:t>
            </w:r>
          </w:p>
        </w:tc>
        <w:tc>
          <w:tcPr>
            <w:tcW w:w="1496" w:type="dxa"/>
            <w:shd w:val="clear" w:color="auto" w:fill="BFBFBF" w:themeFill="background1" w:themeFillShade="BF"/>
            <w:vAlign w:val="center"/>
          </w:tcPr>
          <w:p w14:paraId="0924D09A" w14:textId="17C53EFF" w:rsidR="002935FB" w:rsidRPr="003A2F86" w:rsidRDefault="002935FB" w:rsidP="002935FB">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7</w:t>
            </w:r>
            <w:r w:rsidRPr="003A2F86">
              <w:rPr>
                <w:rFonts w:ascii="Arial" w:eastAsia="Calibri" w:hAnsi="Arial" w:cs="Arial"/>
              </w:rPr>
              <w:t>.</w:t>
            </w:r>
          </w:p>
        </w:tc>
      </w:tr>
      <w:tr w:rsidR="00626756" w:rsidRPr="003A2F86" w14:paraId="7D0845DD" w14:textId="77777777" w:rsidTr="00923DED">
        <w:trPr>
          <w:trHeight w:val="1120"/>
          <w:jc w:val="center"/>
        </w:trPr>
        <w:tc>
          <w:tcPr>
            <w:tcW w:w="2547" w:type="dxa"/>
            <w:vAlign w:val="center"/>
          </w:tcPr>
          <w:p w14:paraId="5026928A" w14:textId="77777777" w:rsidR="00626756" w:rsidRPr="003A2F86" w:rsidRDefault="00626756" w:rsidP="00B223BA">
            <w:pPr>
              <w:rPr>
                <w:rFonts w:ascii="Arial" w:eastAsia="Calibri" w:hAnsi="Arial" w:cs="Arial"/>
                <w:sz w:val="18"/>
                <w:szCs w:val="18"/>
              </w:rPr>
            </w:pPr>
            <w:r w:rsidRPr="003A2F86">
              <w:rPr>
                <w:rFonts w:ascii="Arial" w:eastAsia="Calibri" w:hAnsi="Arial" w:cs="Arial"/>
                <w:sz w:val="18"/>
                <w:szCs w:val="18"/>
              </w:rPr>
              <w:t>Povećanje broja organiziranih kulturnih događanja u Domu (izložbe, književni susreti, nastupi..)</w:t>
            </w:r>
          </w:p>
        </w:tc>
        <w:tc>
          <w:tcPr>
            <w:tcW w:w="2813" w:type="dxa"/>
            <w:vAlign w:val="center"/>
          </w:tcPr>
          <w:p w14:paraId="72D089CD" w14:textId="77777777" w:rsidR="00626756" w:rsidRPr="003A2F86" w:rsidRDefault="00626756" w:rsidP="00B223BA">
            <w:pPr>
              <w:rPr>
                <w:rFonts w:ascii="Arial" w:eastAsia="Calibri" w:hAnsi="Arial" w:cs="Arial"/>
                <w:sz w:val="18"/>
                <w:szCs w:val="18"/>
              </w:rPr>
            </w:pPr>
            <w:r w:rsidRPr="003A2F86">
              <w:rPr>
                <w:rFonts w:ascii="Arial" w:eastAsia="Calibri" w:hAnsi="Arial" w:cs="Arial"/>
                <w:sz w:val="18"/>
                <w:szCs w:val="18"/>
              </w:rPr>
              <w:t>Organiziranjem kulturnih događanja pozitivno usmjeravamo razvoj cjelokupne osobnosti starije osobe te potičemo mentalnu aktivnost</w:t>
            </w:r>
          </w:p>
        </w:tc>
        <w:tc>
          <w:tcPr>
            <w:tcW w:w="1258" w:type="dxa"/>
            <w:vAlign w:val="center"/>
          </w:tcPr>
          <w:p w14:paraId="45437D3A" w14:textId="77777777" w:rsidR="00626756" w:rsidRPr="003A2F86" w:rsidRDefault="00626756" w:rsidP="00B223BA">
            <w:pPr>
              <w:jc w:val="center"/>
              <w:rPr>
                <w:rFonts w:ascii="Arial" w:eastAsia="Calibri" w:hAnsi="Arial" w:cs="Arial"/>
                <w:sz w:val="18"/>
                <w:szCs w:val="18"/>
              </w:rPr>
            </w:pPr>
            <w:r w:rsidRPr="003A2F86">
              <w:rPr>
                <w:rFonts w:ascii="Arial" w:eastAsia="Calibri" w:hAnsi="Arial" w:cs="Arial"/>
                <w:sz w:val="18"/>
                <w:szCs w:val="18"/>
              </w:rPr>
              <w:t>Broj organiziranih kulturnih događanja godišnje</w:t>
            </w:r>
          </w:p>
        </w:tc>
        <w:tc>
          <w:tcPr>
            <w:tcW w:w="1134" w:type="dxa"/>
            <w:vAlign w:val="center"/>
          </w:tcPr>
          <w:p w14:paraId="4927E85F" w14:textId="33D3B707" w:rsidR="00626756" w:rsidRPr="003A2F86" w:rsidRDefault="00CC1EEB" w:rsidP="00B223BA">
            <w:pPr>
              <w:jc w:val="center"/>
              <w:rPr>
                <w:rFonts w:ascii="Arial" w:eastAsia="Calibri" w:hAnsi="Arial" w:cs="Arial"/>
                <w:sz w:val="18"/>
                <w:szCs w:val="18"/>
              </w:rPr>
            </w:pPr>
            <w:r>
              <w:rPr>
                <w:rFonts w:ascii="Arial" w:eastAsia="Calibri" w:hAnsi="Arial" w:cs="Arial"/>
                <w:sz w:val="18"/>
                <w:szCs w:val="18"/>
              </w:rPr>
              <w:t>8</w:t>
            </w:r>
          </w:p>
        </w:tc>
        <w:tc>
          <w:tcPr>
            <w:tcW w:w="1134" w:type="dxa"/>
            <w:vAlign w:val="center"/>
          </w:tcPr>
          <w:p w14:paraId="1B0A573C" w14:textId="77777777" w:rsidR="00626756" w:rsidRPr="003A2F86" w:rsidRDefault="00626756" w:rsidP="00B223BA">
            <w:pPr>
              <w:jc w:val="center"/>
              <w:rPr>
                <w:rFonts w:ascii="Arial" w:eastAsia="Calibri" w:hAnsi="Arial" w:cs="Arial"/>
                <w:sz w:val="18"/>
                <w:szCs w:val="18"/>
              </w:rPr>
            </w:pPr>
            <w:r w:rsidRPr="003A2F86">
              <w:rPr>
                <w:rFonts w:ascii="Arial" w:eastAsia="Calibri" w:hAnsi="Arial" w:cs="Arial"/>
                <w:sz w:val="18"/>
                <w:szCs w:val="18"/>
              </w:rPr>
              <w:t>Dom</w:t>
            </w:r>
          </w:p>
        </w:tc>
        <w:tc>
          <w:tcPr>
            <w:tcW w:w="1435" w:type="dxa"/>
            <w:vAlign w:val="center"/>
          </w:tcPr>
          <w:p w14:paraId="76C160A6" w14:textId="11CF8F20" w:rsidR="00626756" w:rsidRPr="003A2F86" w:rsidRDefault="00F70946" w:rsidP="00B223BA">
            <w:pPr>
              <w:jc w:val="center"/>
              <w:rPr>
                <w:rFonts w:ascii="Arial" w:eastAsia="Calibri" w:hAnsi="Arial" w:cs="Arial"/>
                <w:sz w:val="18"/>
                <w:szCs w:val="18"/>
              </w:rPr>
            </w:pPr>
            <w:r>
              <w:rPr>
                <w:rFonts w:ascii="Arial" w:eastAsia="Calibri" w:hAnsi="Arial" w:cs="Arial"/>
                <w:sz w:val="18"/>
                <w:szCs w:val="18"/>
              </w:rPr>
              <w:t>4</w:t>
            </w:r>
          </w:p>
        </w:tc>
        <w:tc>
          <w:tcPr>
            <w:tcW w:w="1417" w:type="dxa"/>
            <w:vAlign w:val="center"/>
          </w:tcPr>
          <w:p w14:paraId="73A5C7EC" w14:textId="38C59C04" w:rsidR="00626756" w:rsidRPr="003A2F86" w:rsidRDefault="00E73626" w:rsidP="00B223BA">
            <w:pPr>
              <w:jc w:val="center"/>
              <w:rPr>
                <w:rFonts w:ascii="Arial" w:eastAsia="Calibri" w:hAnsi="Arial" w:cs="Arial"/>
                <w:sz w:val="18"/>
                <w:szCs w:val="18"/>
              </w:rPr>
            </w:pPr>
            <w:r>
              <w:rPr>
                <w:rFonts w:ascii="Arial" w:eastAsia="Calibri" w:hAnsi="Arial" w:cs="Arial"/>
                <w:sz w:val="18"/>
                <w:szCs w:val="18"/>
              </w:rPr>
              <w:t>7</w:t>
            </w:r>
          </w:p>
        </w:tc>
        <w:tc>
          <w:tcPr>
            <w:tcW w:w="1417" w:type="dxa"/>
            <w:vAlign w:val="center"/>
          </w:tcPr>
          <w:p w14:paraId="39F3A03F" w14:textId="45D9BA87" w:rsidR="00626756" w:rsidRPr="003A2F86" w:rsidRDefault="00E73626" w:rsidP="00B223BA">
            <w:pPr>
              <w:jc w:val="center"/>
              <w:rPr>
                <w:rFonts w:ascii="Arial" w:eastAsia="Calibri" w:hAnsi="Arial" w:cs="Arial"/>
                <w:sz w:val="18"/>
                <w:szCs w:val="18"/>
              </w:rPr>
            </w:pPr>
            <w:r>
              <w:rPr>
                <w:rFonts w:ascii="Arial" w:eastAsia="Calibri" w:hAnsi="Arial" w:cs="Arial"/>
                <w:sz w:val="18"/>
                <w:szCs w:val="18"/>
              </w:rPr>
              <w:t>5</w:t>
            </w:r>
          </w:p>
        </w:tc>
        <w:tc>
          <w:tcPr>
            <w:tcW w:w="1496" w:type="dxa"/>
            <w:vAlign w:val="center"/>
          </w:tcPr>
          <w:p w14:paraId="52575FEF" w14:textId="7E96A914" w:rsidR="00626756" w:rsidRPr="003A2F86" w:rsidRDefault="00087502" w:rsidP="00B223BA">
            <w:pPr>
              <w:jc w:val="center"/>
              <w:rPr>
                <w:rFonts w:ascii="Arial" w:eastAsia="Calibri" w:hAnsi="Arial" w:cs="Arial"/>
                <w:sz w:val="18"/>
                <w:szCs w:val="18"/>
              </w:rPr>
            </w:pPr>
            <w:r w:rsidRPr="003A2F86">
              <w:rPr>
                <w:rFonts w:ascii="Arial" w:eastAsia="Calibri" w:hAnsi="Arial" w:cs="Arial"/>
                <w:sz w:val="18"/>
                <w:szCs w:val="18"/>
              </w:rPr>
              <w:t>4</w:t>
            </w:r>
          </w:p>
        </w:tc>
      </w:tr>
    </w:tbl>
    <w:p w14:paraId="416D1AA8" w14:textId="77777777" w:rsidR="00626756" w:rsidRPr="003A2F86" w:rsidRDefault="00626756" w:rsidP="00626756">
      <w:pPr>
        <w:spacing w:after="0" w:line="240" w:lineRule="auto"/>
        <w:contextualSpacing/>
        <w:jc w:val="both"/>
        <w:rPr>
          <w:rFonts w:ascii="Arial" w:eastAsia="Calibri" w:hAnsi="Arial" w:cs="Arial"/>
          <w:sz w:val="20"/>
          <w:szCs w:val="20"/>
          <w:lang w:eastAsia="en-US"/>
        </w:rPr>
      </w:pPr>
    </w:p>
    <w:p w14:paraId="4847913C" w14:textId="77777777" w:rsidR="00E73626" w:rsidRPr="005F2A2D" w:rsidRDefault="00E73626" w:rsidP="00E73626">
      <w:pPr>
        <w:spacing w:after="0" w:line="240" w:lineRule="auto"/>
        <w:contextualSpacing/>
        <w:jc w:val="both"/>
        <w:rPr>
          <w:rFonts w:ascii="Arial" w:eastAsia="Calibri" w:hAnsi="Arial" w:cs="Arial"/>
          <w:sz w:val="20"/>
          <w:szCs w:val="20"/>
        </w:rPr>
      </w:pPr>
      <w:r w:rsidRPr="005F2A2D">
        <w:rPr>
          <w:rFonts w:ascii="Arial" w:eastAsia="Calibri" w:hAnsi="Arial" w:cs="Arial"/>
          <w:sz w:val="20"/>
          <w:szCs w:val="20"/>
        </w:rPr>
        <w:t>Organizirana kulturna događanja u izvještajnom razdoblju su:</w:t>
      </w:r>
    </w:p>
    <w:p w14:paraId="7C9B9903" w14:textId="77777777" w:rsidR="00E73626" w:rsidRPr="005F2A2D" w:rsidRDefault="00E73626" w:rsidP="00E73626">
      <w:pPr>
        <w:spacing w:after="0" w:line="240" w:lineRule="auto"/>
        <w:contextualSpacing/>
        <w:jc w:val="both"/>
        <w:rPr>
          <w:rFonts w:ascii="Arial" w:eastAsia="Calibri" w:hAnsi="Arial" w:cs="Arial"/>
          <w:sz w:val="20"/>
          <w:szCs w:val="20"/>
        </w:rPr>
      </w:pPr>
    </w:p>
    <w:p w14:paraId="784A0FB5" w14:textId="77777777" w:rsidR="00E73626" w:rsidRDefault="00E73626" w:rsidP="00E73626">
      <w:pPr>
        <w:spacing w:after="0" w:line="240" w:lineRule="auto"/>
        <w:jc w:val="both"/>
        <w:rPr>
          <w:rFonts w:ascii="Arial" w:eastAsia="Calibri" w:hAnsi="Arial" w:cs="Arial"/>
          <w:sz w:val="20"/>
          <w:szCs w:val="20"/>
        </w:rPr>
      </w:pPr>
      <w:r>
        <w:rPr>
          <w:rFonts w:ascii="Arial" w:eastAsia="Calibri" w:hAnsi="Arial" w:cs="Arial"/>
          <w:sz w:val="20"/>
          <w:szCs w:val="20"/>
        </w:rPr>
        <w:t xml:space="preserve">    1. </w:t>
      </w:r>
      <w:r w:rsidRPr="00344C70">
        <w:rPr>
          <w:rFonts w:ascii="Arial" w:eastAsia="Calibri" w:hAnsi="Arial" w:cs="Arial"/>
          <w:sz w:val="20"/>
          <w:szCs w:val="20"/>
        </w:rPr>
        <w:t>Gledanje dokumentarnog filma „Konavoska svila“ dana 26.03.2025.g.</w:t>
      </w:r>
    </w:p>
    <w:p w14:paraId="4C498A44" w14:textId="77777777" w:rsidR="00E73626" w:rsidRDefault="00E73626" w:rsidP="00E73626">
      <w:pPr>
        <w:spacing w:after="0" w:line="240" w:lineRule="auto"/>
        <w:jc w:val="both"/>
        <w:rPr>
          <w:rFonts w:ascii="Arial" w:eastAsia="Calibri" w:hAnsi="Arial" w:cs="Arial"/>
          <w:sz w:val="20"/>
          <w:szCs w:val="20"/>
        </w:rPr>
      </w:pPr>
      <w:r>
        <w:rPr>
          <w:rFonts w:ascii="Arial" w:eastAsia="Calibri" w:hAnsi="Arial" w:cs="Arial"/>
          <w:sz w:val="20"/>
          <w:szCs w:val="20"/>
        </w:rPr>
        <w:t xml:space="preserve">    2. Glazbeni nastup i p</w:t>
      </w:r>
      <w:r w:rsidRPr="005F2A2D">
        <w:rPr>
          <w:rFonts w:ascii="Arial" w:eastAsia="Calibri" w:hAnsi="Arial" w:cs="Arial"/>
          <w:sz w:val="20"/>
          <w:szCs w:val="20"/>
        </w:rPr>
        <w:t>redstava djece iz područn</w:t>
      </w:r>
      <w:r>
        <w:rPr>
          <w:rFonts w:ascii="Arial" w:eastAsia="Calibri" w:hAnsi="Arial" w:cs="Arial"/>
          <w:sz w:val="20"/>
          <w:szCs w:val="20"/>
        </w:rPr>
        <w:t>e škole Čilipi dana 14.04.2025.g.</w:t>
      </w:r>
    </w:p>
    <w:p w14:paraId="3C4A21C1" w14:textId="77777777" w:rsidR="00E73626" w:rsidRDefault="00E73626" w:rsidP="00E73626">
      <w:pPr>
        <w:spacing w:after="0" w:line="240" w:lineRule="auto"/>
        <w:jc w:val="both"/>
        <w:rPr>
          <w:rFonts w:ascii="Arial" w:eastAsia="Calibri" w:hAnsi="Arial" w:cs="Arial"/>
          <w:sz w:val="20"/>
          <w:szCs w:val="20"/>
        </w:rPr>
      </w:pPr>
      <w:r>
        <w:rPr>
          <w:rFonts w:ascii="Arial" w:eastAsia="Calibri" w:hAnsi="Arial" w:cs="Arial"/>
          <w:sz w:val="20"/>
          <w:szCs w:val="20"/>
        </w:rPr>
        <w:t xml:space="preserve">    3. Čitanje knjige „Konavoski rječnik“ dana 07.11.2025.g. </w:t>
      </w:r>
      <w:r>
        <w:rPr>
          <w:rFonts w:ascii="Arial" w:eastAsia="Calibri" w:hAnsi="Arial" w:cs="Arial"/>
          <w:sz w:val="20"/>
          <w:szCs w:val="20"/>
        </w:rPr>
        <w:tab/>
      </w:r>
    </w:p>
    <w:p w14:paraId="02FDB4CB" w14:textId="77777777" w:rsidR="00E73626" w:rsidRDefault="00E73626" w:rsidP="00E73626">
      <w:pPr>
        <w:spacing w:after="0" w:line="240" w:lineRule="auto"/>
        <w:jc w:val="both"/>
        <w:rPr>
          <w:rFonts w:ascii="Arial" w:eastAsia="Calibri" w:hAnsi="Arial" w:cs="Arial"/>
          <w:sz w:val="20"/>
          <w:szCs w:val="20"/>
        </w:rPr>
      </w:pPr>
      <w:r>
        <w:rPr>
          <w:rFonts w:ascii="Arial" w:eastAsia="Calibri" w:hAnsi="Arial" w:cs="Arial"/>
          <w:sz w:val="20"/>
          <w:szCs w:val="20"/>
        </w:rPr>
        <w:t xml:space="preserve">    4. Posjeta Motomrazova dana 15.12.2025.g.</w:t>
      </w:r>
    </w:p>
    <w:p w14:paraId="5A0D94C1" w14:textId="77777777" w:rsidR="00E73626" w:rsidRDefault="00E73626" w:rsidP="00E73626">
      <w:pPr>
        <w:spacing w:after="0" w:line="240" w:lineRule="auto"/>
        <w:jc w:val="both"/>
        <w:rPr>
          <w:rFonts w:ascii="Arial" w:eastAsia="Calibri" w:hAnsi="Arial" w:cs="Arial"/>
          <w:sz w:val="20"/>
          <w:szCs w:val="20"/>
        </w:rPr>
      </w:pPr>
      <w:r>
        <w:rPr>
          <w:rFonts w:ascii="Arial" w:eastAsia="Calibri" w:hAnsi="Arial" w:cs="Arial"/>
          <w:sz w:val="20"/>
          <w:szCs w:val="20"/>
        </w:rPr>
        <w:t xml:space="preserve">    5. Nastup glazbenog dua mladeži hdz-a dana 19.12.2025.g.</w:t>
      </w:r>
    </w:p>
    <w:p w14:paraId="5610951E" w14:textId="77777777" w:rsidR="00E73626" w:rsidRDefault="00E73626" w:rsidP="00E73626">
      <w:pPr>
        <w:spacing w:after="0" w:line="240" w:lineRule="auto"/>
        <w:jc w:val="both"/>
        <w:rPr>
          <w:rFonts w:ascii="Arial" w:eastAsia="Calibri" w:hAnsi="Arial" w:cs="Arial"/>
          <w:sz w:val="20"/>
          <w:szCs w:val="20"/>
        </w:rPr>
      </w:pPr>
      <w:r>
        <w:rPr>
          <w:rFonts w:ascii="Arial" w:eastAsia="Calibri" w:hAnsi="Arial" w:cs="Arial"/>
          <w:sz w:val="20"/>
          <w:szCs w:val="20"/>
        </w:rPr>
        <w:t xml:space="preserve">    6. Glazbeni nastup zbora osnovne škole Gruda dana 23.12.2025.g.</w:t>
      </w:r>
    </w:p>
    <w:p w14:paraId="55358B0C" w14:textId="77777777" w:rsidR="00E73626" w:rsidRDefault="00E73626" w:rsidP="00E73626">
      <w:pPr>
        <w:spacing w:after="0" w:line="240" w:lineRule="auto"/>
        <w:jc w:val="both"/>
        <w:rPr>
          <w:rFonts w:ascii="Arial" w:eastAsia="Calibri" w:hAnsi="Arial" w:cs="Arial"/>
          <w:sz w:val="20"/>
          <w:szCs w:val="20"/>
        </w:rPr>
      </w:pPr>
      <w:r>
        <w:rPr>
          <w:rFonts w:ascii="Arial" w:eastAsia="Calibri" w:hAnsi="Arial" w:cs="Arial"/>
          <w:sz w:val="20"/>
          <w:szCs w:val="20"/>
        </w:rPr>
        <w:t xml:space="preserve">    7. Nastup limene glazbe Cavtat uz posjet načelnika Općine Konavle dana 24.12.2025.g. </w:t>
      </w:r>
    </w:p>
    <w:p w14:paraId="02241B76" w14:textId="77777777" w:rsidR="00E73626" w:rsidRDefault="00E73626" w:rsidP="00E73626">
      <w:pPr>
        <w:spacing w:after="0" w:line="240" w:lineRule="auto"/>
        <w:jc w:val="both"/>
        <w:rPr>
          <w:rFonts w:ascii="Arial" w:eastAsia="Calibri" w:hAnsi="Arial" w:cs="Arial"/>
          <w:sz w:val="20"/>
          <w:szCs w:val="20"/>
        </w:rPr>
      </w:pPr>
    </w:p>
    <w:p w14:paraId="360B1289" w14:textId="32BA1C2F" w:rsidR="00626756" w:rsidRPr="003A2F86" w:rsidRDefault="00626756" w:rsidP="00626756">
      <w:pPr>
        <w:spacing w:after="0" w:line="240" w:lineRule="auto"/>
        <w:jc w:val="both"/>
        <w:rPr>
          <w:rFonts w:ascii="Arial" w:eastAsia="Calibri" w:hAnsi="Arial" w:cs="Arial"/>
          <w:sz w:val="20"/>
          <w:szCs w:val="20"/>
        </w:rPr>
      </w:pPr>
      <w:r w:rsidRPr="003A2F86">
        <w:rPr>
          <w:rFonts w:ascii="Arial" w:eastAsia="Calibri" w:hAnsi="Arial" w:cs="Arial"/>
          <w:sz w:val="20"/>
          <w:szCs w:val="20"/>
        </w:rPr>
        <w:t>Treća aktivnost kojom se planira postići ovaj cilj je što veće uključivanje korisnika u programe obilježavanja svjetskih i međunarodnih dana, blagdana, praznika i proslava rođendana tijekom godine a time i razvijanje osjećaja zadovoljstva i pripadnosti.</w:t>
      </w:r>
    </w:p>
    <w:p w14:paraId="35DC8373" w14:textId="77777777" w:rsidR="007A6BE2" w:rsidRPr="003A2F86" w:rsidRDefault="007A6BE2" w:rsidP="00626756">
      <w:pPr>
        <w:spacing w:after="0" w:line="240" w:lineRule="auto"/>
        <w:jc w:val="both"/>
        <w:rPr>
          <w:rFonts w:ascii="Arial" w:eastAsia="Calibri" w:hAnsi="Arial" w:cs="Arial"/>
          <w:sz w:val="20"/>
          <w:szCs w:val="20"/>
        </w:rPr>
      </w:pPr>
    </w:p>
    <w:tbl>
      <w:tblPr>
        <w:tblStyle w:val="TableGrid24"/>
        <w:tblW w:w="14651" w:type="dxa"/>
        <w:jc w:val="center"/>
        <w:tblLayout w:type="fixed"/>
        <w:tblLook w:val="04A0" w:firstRow="1" w:lastRow="0" w:firstColumn="1" w:lastColumn="0" w:noHBand="0" w:noVBand="1"/>
      </w:tblPr>
      <w:tblGrid>
        <w:gridCol w:w="2547"/>
        <w:gridCol w:w="2954"/>
        <w:gridCol w:w="1117"/>
        <w:gridCol w:w="1134"/>
        <w:gridCol w:w="1134"/>
        <w:gridCol w:w="1435"/>
        <w:gridCol w:w="1417"/>
        <w:gridCol w:w="1417"/>
        <w:gridCol w:w="1496"/>
      </w:tblGrid>
      <w:tr w:rsidR="00CC1EEB" w:rsidRPr="003A2F86" w14:paraId="12B2761A" w14:textId="77777777" w:rsidTr="00923DED">
        <w:trPr>
          <w:jc w:val="center"/>
        </w:trPr>
        <w:tc>
          <w:tcPr>
            <w:tcW w:w="2547" w:type="dxa"/>
            <w:shd w:val="clear" w:color="auto" w:fill="BFBFBF" w:themeFill="background1" w:themeFillShade="BF"/>
            <w:vAlign w:val="center"/>
          </w:tcPr>
          <w:p w14:paraId="70E55107" w14:textId="77777777" w:rsidR="00CC1EEB" w:rsidRPr="003A2F86" w:rsidRDefault="00CC1EEB" w:rsidP="00CC1EEB">
            <w:pPr>
              <w:jc w:val="center"/>
              <w:rPr>
                <w:rFonts w:ascii="Arial" w:eastAsia="Calibri" w:hAnsi="Arial" w:cs="Arial"/>
              </w:rPr>
            </w:pPr>
            <w:r w:rsidRPr="003A2F86">
              <w:rPr>
                <w:rFonts w:ascii="Arial" w:eastAsia="Calibri" w:hAnsi="Arial" w:cs="Arial"/>
              </w:rPr>
              <w:t>Pokazatelj uspješnosti</w:t>
            </w:r>
          </w:p>
        </w:tc>
        <w:tc>
          <w:tcPr>
            <w:tcW w:w="2954" w:type="dxa"/>
            <w:shd w:val="clear" w:color="auto" w:fill="BFBFBF" w:themeFill="background1" w:themeFillShade="BF"/>
            <w:vAlign w:val="center"/>
          </w:tcPr>
          <w:p w14:paraId="28625F26" w14:textId="77777777" w:rsidR="00CC1EEB" w:rsidRPr="003A2F86" w:rsidRDefault="00CC1EEB" w:rsidP="00CC1EEB">
            <w:pPr>
              <w:jc w:val="center"/>
              <w:rPr>
                <w:rFonts w:ascii="Arial" w:eastAsia="Calibri" w:hAnsi="Arial" w:cs="Arial"/>
              </w:rPr>
            </w:pPr>
            <w:r w:rsidRPr="003A2F86">
              <w:rPr>
                <w:rFonts w:ascii="Arial" w:eastAsia="Calibri" w:hAnsi="Arial" w:cs="Arial"/>
              </w:rPr>
              <w:t>Definicija</w:t>
            </w:r>
          </w:p>
        </w:tc>
        <w:tc>
          <w:tcPr>
            <w:tcW w:w="1117" w:type="dxa"/>
            <w:shd w:val="clear" w:color="auto" w:fill="BFBFBF" w:themeFill="background1" w:themeFillShade="BF"/>
            <w:vAlign w:val="center"/>
          </w:tcPr>
          <w:p w14:paraId="60E8F3F8" w14:textId="77777777" w:rsidR="00CC1EEB" w:rsidRPr="003A2F86" w:rsidRDefault="00CC1EEB" w:rsidP="00CC1EEB">
            <w:pPr>
              <w:jc w:val="center"/>
              <w:rPr>
                <w:rFonts w:ascii="Arial" w:eastAsia="Calibri" w:hAnsi="Arial" w:cs="Arial"/>
              </w:rPr>
            </w:pPr>
            <w:r w:rsidRPr="003A2F86">
              <w:rPr>
                <w:rFonts w:ascii="Arial" w:eastAsia="Calibri" w:hAnsi="Arial" w:cs="Arial"/>
              </w:rPr>
              <w:t>Jedinica</w:t>
            </w:r>
          </w:p>
        </w:tc>
        <w:tc>
          <w:tcPr>
            <w:tcW w:w="1134" w:type="dxa"/>
            <w:shd w:val="clear" w:color="auto" w:fill="BFBFBF" w:themeFill="background1" w:themeFillShade="BF"/>
            <w:vAlign w:val="center"/>
          </w:tcPr>
          <w:p w14:paraId="06B0CB12" w14:textId="77777777" w:rsidR="00CC1EEB" w:rsidRPr="003A2F86" w:rsidRDefault="00CC1EEB" w:rsidP="00CC1EEB">
            <w:pPr>
              <w:jc w:val="center"/>
              <w:rPr>
                <w:rFonts w:ascii="Arial" w:eastAsia="Calibri" w:hAnsi="Arial" w:cs="Arial"/>
              </w:rPr>
            </w:pPr>
            <w:r w:rsidRPr="003A2F86">
              <w:rPr>
                <w:rFonts w:ascii="Arial" w:eastAsia="Calibri" w:hAnsi="Arial" w:cs="Arial"/>
              </w:rPr>
              <w:t>Polazna vrijednost</w:t>
            </w:r>
          </w:p>
          <w:p w14:paraId="48D09C59" w14:textId="476B20AB" w:rsidR="00CC1EEB" w:rsidRPr="003A2F86" w:rsidRDefault="00CC1EEB" w:rsidP="00CC1EEB">
            <w:pPr>
              <w:jc w:val="center"/>
              <w:rPr>
                <w:rFonts w:ascii="Arial" w:eastAsia="Calibri" w:hAnsi="Arial" w:cs="Arial"/>
              </w:rPr>
            </w:pPr>
            <w:r w:rsidRPr="003A2F86">
              <w:rPr>
                <w:rFonts w:ascii="Arial" w:eastAsia="Calibri" w:hAnsi="Arial" w:cs="Arial"/>
              </w:rPr>
              <w:t>202</w:t>
            </w:r>
            <w:r>
              <w:rPr>
                <w:rFonts w:ascii="Arial" w:eastAsia="Calibri" w:hAnsi="Arial" w:cs="Arial"/>
              </w:rPr>
              <w:t>4</w:t>
            </w:r>
            <w:r w:rsidRPr="003A2F86">
              <w:rPr>
                <w:rFonts w:ascii="Arial" w:eastAsia="Calibri" w:hAnsi="Arial" w:cs="Arial"/>
              </w:rPr>
              <w:t>.</w:t>
            </w:r>
          </w:p>
        </w:tc>
        <w:tc>
          <w:tcPr>
            <w:tcW w:w="1134" w:type="dxa"/>
            <w:shd w:val="clear" w:color="auto" w:fill="BFBFBF" w:themeFill="background1" w:themeFillShade="BF"/>
            <w:vAlign w:val="center"/>
          </w:tcPr>
          <w:p w14:paraId="060AE4A4" w14:textId="3950935B" w:rsidR="00CC1EEB" w:rsidRPr="003A2F86" w:rsidRDefault="00CC1EEB" w:rsidP="00CC1EEB">
            <w:pPr>
              <w:jc w:val="center"/>
              <w:rPr>
                <w:rFonts w:ascii="Arial" w:eastAsia="Calibri" w:hAnsi="Arial" w:cs="Arial"/>
              </w:rPr>
            </w:pPr>
            <w:r w:rsidRPr="003A2F86">
              <w:rPr>
                <w:rFonts w:ascii="Arial" w:eastAsia="Calibri" w:hAnsi="Arial" w:cs="Arial"/>
              </w:rPr>
              <w:t>Izvor podataka</w:t>
            </w:r>
          </w:p>
        </w:tc>
        <w:tc>
          <w:tcPr>
            <w:tcW w:w="1435" w:type="dxa"/>
            <w:shd w:val="clear" w:color="auto" w:fill="BFBFBF" w:themeFill="background1" w:themeFillShade="BF"/>
            <w:vAlign w:val="center"/>
          </w:tcPr>
          <w:p w14:paraId="6AF2270A" w14:textId="0CC43770" w:rsidR="00CC1EEB" w:rsidRPr="003A2F86" w:rsidRDefault="00CC1EEB" w:rsidP="00CC1EEB">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5</w:t>
            </w:r>
            <w:r w:rsidRPr="003A2F86">
              <w:rPr>
                <w:rFonts w:ascii="Arial" w:eastAsia="Calibri" w:hAnsi="Arial" w:cs="Arial"/>
              </w:rPr>
              <w:t>.</w:t>
            </w:r>
          </w:p>
        </w:tc>
        <w:tc>
          <w:tcPr>
            <w:tcW w:w="1417" w:type="dxa"/>
            <w:shd w:val="clear" w:color="auto" w:fill="BFBFBF" w:themeFill="background1" w:themeFillShade="BF"/>
            <w:vAlign w:val="center"/>
          </w:tcPr>
          <w:p w14:paraId="66D0A510" w14:textId="3F09ACE1" w:rsidR="00CC1EEB" w:rsidRPr="003A2F86" w:rsidRDefault="00CC1EEB" w:rsidP="00CC1EEB">
            <w:pPr>
              <w:jc w:val="center"/>
              <w:rPr>
                <w:rFonts w:ascii="Arial" w:eastAsia="Calibri" w:hAnsi="Arial" w:cs="Arial"/>
              </w:rPr>
            </w:pPr>
            <w:r w:rsidRPr="003A2F86">
              <w:rPr>
                <w:rFonts w:ascii="Arial" w:eastAsia="Calibri" w:hAnsi="Arial" w:cs="Arial"/>
              </w:rPr>
              <w:t>Ostvareno u izvještajnom razdoblju</w:t>
            </w:r>
          </w:p>
        </w:tc>
        <w:tc>
          <w:tcPr>
            <w:tcW w:w="1417" w:type="dxa"/>
            <w:shd w:val="clear" w:color="auto" w:fill="BFBFBF" w:themeFill="background1" w:themeFillShade="BF"/>
            <w:vAlign w:val="center"/>
          </w:tcPr>
          <w:p w14:paraId="6D594F85" w14:textId="5D669E92" w:rsidR="00CC1EEB" w:rsidRPr="003A2F86" w:rsidRDefault="00CC1EEB" w:rsidP="00CC1EEB">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6</w:t>
            </w:r>
            <w:r w:rsidRPr="003A2F86">
              <w:rPr>
                <w:rFonts w:ascii="Arial" w:eastAsia="Calibri" w:hAnsi="Arial" w:cs="Arial"/>
              </w:rPr>
              <w:t>.</w:t>
            </w:r>
          </w:p>
        </w:tc>
        <w:tc>
          <w:tcPr>
            <w:tcW w:w="1496" w:type="dxa"/>
            <w:shd w:val="clear" w:color="auto" w:fill="BFBFBF" w:themeFill="background1" w:themeFillShade="BF"/>
            <w:vAlign w:val="center"/>
          </w:tcPr>
          <w:p w14:paraId="164C930F" w14:textId="1B8B87CA" w:rsidR="00CC1EEB" w:rsidRPr="003A2F86" w:rsidRDefault="00CC1EEB" w:rsidP="00CC1EEB">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7</w:t>
            </w:r>
            <w:r w:rsidRPr="003A2F86">
              <w:rPr>
                <w:rFonts w:ascii="Arial" w:eastAsia="Calibri" w:hAnsi="Arial" w:cs="Arial"/>
              </w:rPr>
              <w:t>.</w:t>
            </w:r>
          </w:p>
        </w:tc>
      </w:tr>
      <w:tr w:rsidR="00626756" w:rsidRPr="003A2F86" w14:paraId="3648DE81" w14:textId="77777777" w:rsidTr="00B1733A">
        <w:trPr>
          <w:trHeight w:val="1285"/>
          <w:jc w:val="center"/>
        </w:trPr>
        <w:tc>
          <w:tcPr>
            <w:tcW w:w="2547" w:type="dxa"/>
            <w:vAlign w:val="center"/>
          </w:tcPr>
          <w:p w14:paraId="63697A24" w14:textId="77777777" w:rsidR="00626756" w:rsidRPr="003A2F86" w:rsidRDefault="00626756" w:rsidP="00B223BA">
            <w:pPr>
              <w:rPr>
                <w:rFonts w:ascii="Arial" w:eastAsia="Calibri" w:hAnsi="Arial" w:cs="Arial"/>
                <w:sz w:val="18"/>
                <w:szCs w:val="18"/>
              </w:rPr>
            </w:pPr>
            <w:r w:rsidRPr="003A2F86">
              <w:rPr>
                <w:rFonts w:ascii="Arial" w:eastAsia="Calibri" w:hAnsi="Arial" w:cs="Arial"/>
                <w:sz w:val="18"/>
                <w:szCs w:val="18"/>
              </w:rPr>
              <w:t>Povećanje broja organiziranih priredbi i proslava za sve prigode i blagdane</w:t>
            </w:r>
          </w:p>
        </w:tc>
        <w:tc>
          <w:tcPr>
            <w:tcW w:w="2954" w:type="dxa"/>
            <w:vAlign w:val="center"/>
          </w:tcPr>
          <w:p w14:paraId="607FA7D8" w14:textId="77777777" w:rsidR="00626756" w:rsidRPr="003A2F86" w:rsidRDefault="00626756" w:rsidP="00B223BA">
            <w:pPr>
              <w:rPr>
                <w:rFonts w:ascii="Arial" w:eastAsia="Calibri" w:hAnsi="Arial" w:cs="Arial"/>
                <w:sz w:val="16"/>
                <w:szCs w:val="16"/>
              </w:rPr>
            </w:pPr>
            <w:r w:rsidRPr="003A2F86">
              <w:rPr>
                <w:rFonts w:ascii="Arial" w:eastAsia="Calibri" w:hAnsi="Arial" w:cs="Arial"/>
                <w:sz w:val="16"/>
                <w:szCs w:val="16"/>
              </w:rPr>
              <w:t>Organiziranjem proslava rođendana te prigodnih programa uoči blagdana, praznika i međunarodnih dana potičemo društvenost starije osobe, stvaranje novih prijateljstva, te opće zadovoljstvo</w:t>
            </w:r>
          </w:p>
        </w:tc>
        <w:tc>
          <w:tcPr>
            <w:tcW w:w="1117" w:type="dxa"/>
            <w:vAlign w:val="center"/>
          </w:tcPr>
          <w:p w14:paraId="1C56F179" w14:textId="77777777" w:rsidR="00626756" w:rsidRPr="003A2F86" w:rsidRDefault="00626756" w:rsidP="00B223BA">
            <w:pPr>
              <w:jc w:val="center"/>
              <w:rPr>
                <w:rFonts w:ascii="Arial" w:eastAsia="Calibri" w:hAnsi="Arial" w:cs="Arial"/>
                <w:sz w:val="18"/>
                <w:szCs w:val="18"/>
              </w:rPr>
            </w:pPr>
            <w:r w:rsidRPr="003A2F86">
              <w:rPr>
                <w:rFonts w:ascii="Arial" w:eastAsia="Calibri" w:hAnsi="Arial" w:cs="Arial"/>
                <w:sz w:val="18"/>
                <w:szCs w:val="18"/>
              </w:rPr>
              <w:t>Broj priredbi i proslava godišnje</w:t>
            </w:r>
          </w:p>
        </w:tc>
        <w:tc>
          <w:tcPr>
            <w:tcW w:w="1134" w:type="dxa"/>
            <w:vAlign w:val="center"/>
          </w:tcPr>
          <w:p w14:paraId="4E7A66EE" w14:textId="18E26955" w:rsidR="00626756" w:rsidRPr="003A2F86" w:rsidRDefault="00CC1EEB" w:rsidP="00B223BA">
            <w:pPr>
              <w:jc w:val="center"/>
              <w:rPr>
                <w:rFonts w:ascii="Arial" w:eastAsia="Calibri" w:hAnsi="Arial" w:cs="Arial"/>
                <w:sz w:val="18"/>
                <w:szCs w:val="18"/>
              </w:rPr>
            </w:pPr>
            <w:r>
              <w:rPr>
                <w:rFonts w:ascii="Arial" w:eastAsia="Calibri" w:hAnsi="Arial" w:cs="Arial"/>
                <w:sz w:val="18"/>
                <w:szCs w:val="18"/>
              </w:rPr>
              <w:t>35</w:t>
            </w:r>
          </w:p>
        </w:tc>
        <w:tc>
          <w:tcPr>
            <w:tcW w:w="1134" w:type="dxa"/>
            <w:vAlign w:val="center"/>
          </w:tcPr>
          <w:p w14:paraId="48CB863C" w14:textId="77777777" w:rsidR="00626756" w:rsidRPr="003A2F86" w:rsidRDefault="00626756" w:rsidP="00B223BA">
            <w:pPr>
              <w:jc w:val="center"/>
              <w:rPr>
                <w:rFonts w:ascii="Arial" w:eastAsia="Calibri" w:hAnsi="Arial" w:cs="Arial"/>
                <w:sz w:val="18"/>
                <w:szCs w:val="18"/>
              </w:rPr>
            </w:pPr>
            <w:r w:rsidRPr="003A2F86">
              <w:rPr>
                <w:rFonts w:ascii="Arial" w:eastAsia="Calibri" w:hAnsi="Arial" w:cs="Arial"/>
                <w:sz w:val="18"/>
                <w:szCs w:val="18"/>
              </w:rPr>
              <w:t>Dom</w:t>
            </w:r>
          </w:p>
        </w:tc>
        <w:tc>
          <w:tcPr>
            <w:tcW w:w="1435" w:type="dxa"/>
            <w:vAlign w:val="center"/>
          </w:tcPr>
          <w:p w14:paraId="42E99A77" w14:textId="41B9EEDF" w:rsidR="00626756" w:rsidRPr="003A2F86" w:rsidRDefault="00CC1EEB" w:rsidP="00B223BA">
            <w:pPr>
              <w:jc w:val="center"/>
              <w:rPr>
                <w:rFonts w:ascii="Arial" w:eastAsia="Calibri" w:hAnsi="Arial" w:cs="Arial"/>
                <w:sz w:val="18"/>
                <w:szCs w:val="18"/>
              </w:rPr>
            </w:pPr>
            <w:r>
              <w:rPr>
                <w:rFonts w:ascii="Arial" w:eastAsia="Calibri" w:hAnsi="Arial" w:cs="Arial"/>
                <w:sz w:val="18"/>
                <w:szCs w:val="18"/>
              </w:rPr>
              <w:t>32</w:t>
            </w:r>
          </w:p>
        </w:tc>
        <w:tc>
          <w:tcPr>
            <w:tcW w:w="1417" w:type="dxa"/>
            <w:vAlign w:val="center"/>
          </w:tcPr>
          <w:p w14:paraId="16D7ABF0" w14:textId="77EF5EFF" w:rsidR="00626756" w:rsidRPr="003A2F86" w:rsidRDefault="00E73626" w:rsidP="00B223BA">
            <w:pPr>
              <w:jc w:val="center"/>
              <w:rPr>
                <w:rFonts w:ascii="Arial" w:eastAsia="Calibri" w:hAnsi="Arial" w:cs="Arial"/>
                <w:sz w:val="18"/>
                <w:szCs w:val="18"/>
              </w:rPr>
            </w:pPr>
            <w:r>
              <w:rPr>
                <w:rFonts w:ascii="Arial" w:eastAsia="Calibri" w:hAnsi="Arial" w:cs="Arial"/>
                <w:sz w:val="18"/>
                <w:szCs w:val="18"/>
              </w:rPr>
              <w:t>32</w:t>
            </w:r>
          </w:p>
        </w:tc>
        <w:tc>
          <w:tcPr>
            <w:tcW w:w="1417" w:type="dxa"/>
            <w:vAlign w:val="center"/>
          </w:tcPr>
          <w:p w14:paraId="6AEBCE75" w14:textId="794765AC" w:rsidR="00626756" w:rsidRPr="003A2F86" w:rsidRDefault="00F70946" w:rsidP="00B223BA">
            <w:pPr>
              <w:jc w:val="center"/>
              <w:rPr>
                <w:rFonts w:ascii="Arial" w:eastAsia="Calibri" w:hAnsi="Arial" w:cs="Arial"/>
                <w:sz w:val="18"/>
                <w:szCs w:val="18"/>
              </w:rPr>
            </w:pPr>
            <w:r>
              <w:rPr>
                <w:rFonts w:ascii="Arial" w:eastAsia="Calibri" w:hAnsi="Arial" w:cs="Arial"/>
                <w:sz w:val="18"/>
                <w:szCs w:val="18"/>
              </w:rPr>
              <w:t>32</w:t>
            </w:r>
          </w:p>
        </w:tc>
        <w:tc>
          <w:tcPr>
            <w:tcW w:w="1496" w:type="dxa"/>
            <w:vAlign w:val="center"/>
          </w:tcPr>
          <w:p w14:paraId="735C4826" w14:textId="59F0CD61" w:rsidR="00626756" w:rsidRPr="003A2F86" w:rsidRDefault="00F70946" w:rsidP="00B223BA">
            <w:pPr>
              <w:jc w:val="center"/>
              <w:rPr>
                <w:rFonts w:ascii="Arial" w:eastAsia="Calibri" w:hAnsi="Arial" w:cs="Arial"/>
                <w:sz w:val="18"/>
                <w:szCs w:val="18"/>
              </w:rPr>
            </w:pPr>
            <w:r>
              <w:rPr>
                <w:rFonts w:ascii="Arial" w:eastAsia="Calibri" w:hAnsi="Arial" w:cs="Arial"/>
                <w:sz w:val="18"/>
                <w:szCs w:val="18"/>
              </w:rPr>
              <w:t>32</w:t>
            </w:r>
          </w:p>
        </w:tc>
      </w:tr>
    </w:tbl>
    <w:p w14:paraId="4F742CF3" w14:textId="77777777" w:rsidR="00E73626" w:rsidRDefault="00E73626" w:rsidP="00E73626">
      <w:pPr>
        <w:spacing w:after="0" w:line="240" w:lineRule="auto"/>
        <w:jc w:val="both"/>
        <w:rPr>
          <w:rFonts w:ascii="Arial" w:eastAsia="Calibri" w:hAnsi="Arial" w:cs="Arial"/>
          <w:sz w:val="20"/>
          <w:szCs w:val="20"/>
        </w:rPr>
      </w:pPr>
      <w:r w:rsidRPr="00090030">
        <w:rPr>
          <w:rFonts w:ascii="Arial" w:eastAsia="Calibri" w:hAnsi="Arial" w:cs="Arial"/>
          <w:sz w:val="20"/>
          <w:szCs w:val="20"/>
        </w:rPr>
        <w:t>Organizirane priredbe i proslave u izvještajnom razdoblju su:</w:t>
      </w:r>
    </w:p>
    <w:p w14:paraId="36ED36E7" w14:textId="77777777" w:rsidR="00E73626" w:rsidRPr="00090030" w:rsidRDefault="00E73626" w:rsidP="00E73626">
      <w:pPr>
        <w:spacing w:after="0" w:line="240" w:lineRule="auto"/>
        <w:jc w:val="both"/>
        <w:rPr>
          <w:rFonts w:ascii="Arial" w:eastAsia="Calibri" w:hAnsi="Arial" w:cs="Arial"/>
          <w:sz w:val="20"/>
          <w:szCs w:val="20"/>
        </w:rPr>
      </w:pPr>
    </w:p>
    <w:p w14:paraId="4560007A" w14:textId="77777777" w:rsidR="00E73626" w:rsidRDefault="00E73626" w:rsidP="00E73626">
      <w:pPr>
        <w:numPr>
          <w:ilvl w:val="0"/>
          <w:numId w:val="1"/>
        </w:numPr>
        <w:spacing w:after="0" w:line="240" w:lineRule="auto"/>
        <w:contextualSpacing/>
        <w:jc w:val="both"/>
        <w:rPr>
          <w:rFonts w:ascii="Arial" w:eastAsia="Calibri" w:hAnsi="Arial" w:cs="Arial"/>
          <w:sz w:val="20"/>
          <w:szCs w:val="20"/>
        </w:rPr>
      </w:pPr>
      <w:r>
        <w:rPr>
          <w:rFonts w:ascii="Arial" w:eastAsia="Calibri" w:hAnsi="Arial" w:cs="Arial"/>
          <w:sz w:val="20"/>
          <w:szCs w:val="20"/>
        </w:rPr>
        <w:t>Proslava Feste Sv.Vlaha uz misno slavlje i grličanje dana 30.01.2025.g.</w:t>
      </w:r>
    </w:p>
    <w:p w14:paraId="0EFF29E1" w14:textId="77777777" w:rsidR="00E73626" w:rsidRPr="000871C0" w:rsidRDefault="00E73626" w:rsidP="00E73626">
      <w:pPr>
        <w:numPr>
          <w:ilvl w:val="0"/>
          <w:numId w:val="1"/>
        </w:numPr>
        <w:spacing w:after="0" w:line="240" w:lineRule="auto"/>
        <w:contextualSpacing/>
        <w:jc w:val="both"/>
        <w:rPr>
          <w:rFonts w:ascii="Arial" w:eastAsia="Calibri" w:hAnsi="Arial" w:cs="Arial"/>
          <w:sz w:val="20"/>
          <w:szCs w:val="20"/>
        </w:rPr>
      </w:pPr>
      <w:r w:rsidRPr="000871C0">
        <w:rPr>
          <w:rFonts w:ascii="Arial" w:eastAsia="Calibri" w:hAnsi="Arial" w:cs="Arial"/>
          <w:sz w:val="20"/>
          <w:szCs w:val="20"/>
        </w:rPr>
        <w:t>Obilježavanja Valentinova dana 14.02.2025. godine</w:t>
      </w:r>
    </w:p>
    <w:p w14:paraId="6DF6633E" w14:textId="77777777" w:rsidR="00E73626" w:rsidRPr="000871C0" w:rsidRDefault="00E73626" w:rsidP="00E73626">
      <w:pPr>
        <w:numPr>
          <w:ilvl w:val="0"/>
          <w:numId w:val="1"/>
        </w:numPr>
        <w:spacing w:after="0" w:line="240" w:lineRule="auto"/>
        <w:contextualSpacing/>
        <w:jc w:val="both"/>
        <w:rPr>
          <w:rFonts w:ascii="Arial" w:eastAsia="Calibri" w:hAnsi="Arial" w:cs="Arial"/>
          <w:sz w:val="20"/>
          <w:szCs w:val="20"/>
        </w:rPr>
      </w:pPr>
      <w:r w:rsidRPr="000871C0">
        <w:rPr>
          <w:rFonts w:ascii="Arial" w:eastAsia="Calibri" w:hAnsi="Arial" w:cs="Arial"/>
          <w:sz w:val="20"/>
          <w:szCs w:val="20"/>
        </w:rPr>
        <w:t>Maškarana zabava dana 04.03.2025.g.</w:t>
      </w:r>
    </w:p>
    <w:p w14:paraId="204A3ECE" w14:textId="77777777" w:rsidR="00E73626" w:rsidRPr="000871C0" w:rsidRDefault="00E73626" w:rsidP="00E73626">
      <w:pPr>
        <w:numPr>
          <w:ilvl w:val="0"/>
          <w:numId w:val="1"/>
        </w:numPr>
        <w:spacing w:after="0" w:line="240" w:lineRule="auto"/>
        <w:contextualSpacing/>
        <w:jc w:val="both"/>
        <w:rPr>
          <w:rFonts w:ascii="Arial" w:eastAsia="Calibri" w:hAnsi="Arial" w:cs="Arial"/>
          <w:sz w:val="20"/>
          <w:szCs w:val="20"/>
        </w:rPr>
      </w:pPr>
      <w:r w:rsidRPr="000871C0">
        <w:rPr>
          <w:rFonts w:ascii="Arial" w:eastAsia="Calibri" w:hAnsi="Arial" w:cs="Arial"/>
          <w:sz w:val="20"/>
          <w:szCs w:val="20"/>
        </w:rPr>
        <w:t>Proslava Dana žena dana 07.03.2025.g.</w:t>
      </w:r>
      <w:r>
        <w:rPr>
          <w:rFonts w:ascii="Arial" w:eastAsia="Calibri" w:hAnsi="Arial" w:cs="Arial"/>
          <w:sz w:val="20"/>
          <w:szCs w:val="20"/>
        </w:rPr>
        <w:t xml:space="preserve"> uz lutriju i poklone</w:t>
      </w:r>
    </w:p>
    <w:p w14:paraId="5B583349" w14:textId="77777777" w:rsidR="00E73626" w:rsidRDefault="00E73626" w:rsidP="00E73626">
      <w:pPr>
        <w:numPr>
          <w:ilvl w:val="0"/>
          <w:numId w:val="1"/>
        </w:numPr>
        <w:spacing w:after="0" w:line="240" w:lineRule="auto"/>
        <w:contextualSpacing/>
        <w:jc w:val="both"/>
        <w:rPr>
          <w:rFonts w:ascii="Arial" w:eastAsia="Calibri" w:hAnsi="Arial" w:cs="Arial"/>
          <w:sz w:val="20"/>
          <w:szCs w:val="20"/>
        </w:rPr>
      </w:pPr>
      <w:r w:rsidRPr="000871C0">
        <w:rPr>
          <w:rFonts w:ascii="Arial" w:eastAsia="Calibri" w:hAnsi="Arial" w:cs="Arial"/>
          <w:sz w:val="20"/>
          <w:szCs w:val="20"/>
        </w:rPr>
        <w:t>Obilježavanje početka korizme uz sv.misu i pepeljenje dana 11.03.2025.</w:t>
      </w:r>
      <w:r>
        <w:rPr>
          <w:rFonts w:ascii="Arial" w:eastAsia="Calibri" w:hAnsi="Arial" w:cs="Arial"/>
          <w:sz w:val="20"/>
          <w:szCs w:val="20"/>
        </w:rPr>
        <w:t>g.</w:t>
      </w:r>
    </w:p>
    <w:p w14:paraId="61B4582D" w14:textId="77777777" w:rsidR="00E73626" w:rsidRPr="000871C0" w:rsidRDefault="00E73626" w:rsidP="00E73626">
      <w:pPr>
        <w:numPr>
          <w:ilvl w:val="0"/>
          <w:numId w:val="1"/>
        </w:numPr>
        <w:spacing w:after="0" w:line="240" w:lineRule="auto"/>
        <w:contextualSpacing/>
        <w:jc w:val="both"/>
        <w:rPr>
          <w:rFonts w:ascii="Arial" w:eastAsia="Calibri" w:hAnsi="Arial" w:cs="Arial"/>
          <w:sz w:val="20"/>
          <w:szCs w:val="20"/>
        </w:rPr>
      </w:pPr>
      <w:r>
        <w:rPr>
          <w:rFonts w:ascii="Arial" w:eastAsia="Calibri" w:hAnsi="Arial" w:cs="Arial"/>
          <w:sz w:val="20"/>
          <w:szCs w:val="20"/>
        </w:rPr>
        <w:t>Obilježavanje Mjeseca hrvatskog jezika uz kviz dana 14.03.2025.g.</w:t>
      </w:r>
    </w:p>
    <w:p w14:paraId="5EA79C53" w14:textId="77777777" w:rsidR="00E73626" w:rsidRPr="000871C0" w:rsidRDefault="00E73626" w:rsidP="00E73626">
      <w:pPr>
        <w:numPr>
          <w:ilvl w:val="0"/>
          <w:numId w:val="1"/>
        </w:numPr>
        <w:spacing w:after="0" w:line="240" w:lineRule="auto"/>
        <w:contextualSpacing/>
        <w:jc w:val="both"/>
        <w:rPr>
          <w:rFonts w:ascii="Arial" w:eastAsia="Calibri" w:hAnsi="Arial" w:cs="Arial"/>
          <w:sz w:val="20"/>
          <w:szCs w:val="20"/>
        </w:rPr>
      </w:pPr>
      <w:r w:rsidRPr="000871C0">
        <w:rPr>
          <w:rFonts w:ascii="Arial" w:eastAsia="Calibri" w:hAnsi="Arial" w:cs="Arial"/>
          <w:sz w:val="20"/>
          <w:szCs w:val="20"/>
        </w:rPr>
        <w:t>Obilježavanje Svjetskog dana socijalnog rada uz predavanje dana 18.03.2025.g.</w:t>
      </w:r>
    </w:p>
    <w:p w14:paraId="5F24FE28" w14:textId="77777777" w:rsidR="00E73626" w:rsidRPr="000871C0" w:rsidRDefault="00E73626" w:rsidP="00E73626">
      <w:pPr>
        <w:numPr>
          <w:ilvl w:val="0"/>
          <w:numId w:val="1"/>
        </w:numPr>
        <w:spacing w:after="0" w:line="240" w:lineRule="auto"/>
        <w:contextualSpacing/>
        <w:jc w:val="both"/>
        <w:rPr>
          <w:rFonts w:ascii="Arial" w:eastAsia="Calibri" w:hAnsi="Arial" w:cs="Arial"/>
          <w:sz w:val="20"/>
          <w:szCs w:val="20"/>
        </w:rPr>
      </w:pPr>
      <w:r w:rsidRPr="000871C0">
        <w:rPr>
          <w:rFonts w:ascii="Arial" w:eastAsia="Calibri" w:hAnsi="Arial" w:cs="Arial"/>
          <w:sz w:val="20"/>
          <w:szCs w:val="20"/>
        </w:rPr>
        <w:t>Obilježavanje Svjetskog dana pripovjedanja uz čitanje romana „Rječnik zaljubljenika u Konavle“ dana 21.03.2025.g.</w:t>
      </w:r>
    </w:p>
    <w:p w14:paraId="293734DA" w14:textId="77777777" w:rsidR="00E73626" w:rsidRPr="000871C0" w:rsidRDefault="00E73626" w:rsidP="00E73626">
      <w:pPr>
        <w:numPr>
          <w:ilvl w:val="0"/>
          <w:numId w:val="1"/>
        </w:numPr>
        <w:spacing w:after="0" w:line="240" w:lineRule="auto"/>
        <w:contextualSpacing/>
        <w:jc w:val="both"/>
        <w:rPr>
          <w:rFonts w:ascii="Arial" w:eastAsia="Calibri" w:hAnsi="Arial" w:cs="Arial"/>
          <w:sz w:val="20"/>
          <w:szCs w:val="20"/>
        </w:rPr>
      </w:pPr>
      <w:r w:rsidRPr="000871C0">
        <w:rPr>
          <w:rFonts w:ascii="Arial" w:eastAsia="Calibri" w:hAnsi="Arial" w:cs="Arial"/>
          <w:sz w:val="20"/>
          <w:szCs w:val="20"/>
        </w:rPr>
        <w:t xml:space="preserve">Proslava Uskrsa uz sv.misu, ispovijed korisnika i blagoslov palmi dana 15.-20.04.2025.g. </w:t>
      </w:r>
    </w:p>
    <w:p w14:paraId="45F34D63" w14:textId="77777777" w:rsidR="00E73626" w:rsidRPr="000871C0" w:rsidRDefault="00E73626" w:rsidP="00E73626">
      <w:pPr>
        <w:numPr>
          <w:ilvl w:val="0"/>
          <w:numId w:val="1"/>
        </w:numPr>
        <w:spacing w:after="0" w:line="240" w:lineRule="auto"/>
        <w:contextualSpacing/>
        <w:jc w:val="both"/>
        <w:rPr>
          <w:rFonts w:ascii="Arial" w:eastAsia="Calibri" w:hAnsi="Arial" w:cs="Arial"/>
          <w:sz w:val="20"/>
          <w:szCs w:val="20"/>
        </w:rPr>
      </w:pPr>
      <w:r w:rsidRPr="000871C0">
        <w:rPr>
          <w:rFonts w:ascii="Arial" w:eastAsia="Calibri" w:hAnsi="Arial" w:cs="Arial"/>
          <w:sz w:val="20"/>
          <w:szCs w:val="20"/>
        </w:rPr>
        <w:t>Obilježavanje Dana planeta zemlje uz predavanje dana 25.04.2025.g.</w:t>
      </w:r>
    </w:p>
    <w:p w14:paraId="21EC9FAA" w14:textId="77777777" w:rsidR="00E73626" w:rsidRPr="000871C0" w:rsidRDefault="00E73626" w:rsidP="00E73626">
      <w:pPr>
        <w:numPr>
          <w:ilvl w:val="0"/>
          <w:numId w:val="1"/>
        </w:numPr>
        <w:spacing w:after="0" w:line="240" w:lineRule="auto"/>
        <w:contextualSpacing/>
        <w:jc w:val="both"/>
        <w:rPr>
          <w:rFonts w:ascii="Arial" w:eastAsia="Calibri" w:hAnsi="Arial" w:cs="Arial"/>
          <w:sz w:val="20"/>
          <w:szCs w:val="20"/>
        </w:rPr>
      </w:pPr>
      <w:r w:rsidRPr="000871C0">
        <w:rPr>
          <w:rFonts w:ascii="Arial" w:eastAsia="Calibri" w:hAnsi="Arial" w:cs="Arial"/>
          <w:sz w:val="20"/>
          <w:szCs w:val="20"/>
        </w:rPr>
        <w:t>Obilježavanje Međunarodnog dana sporta uz sportske igre dana 23.05.2025.g.</w:t>
      </w:r>
    </w:p>
    <w:p w14:paraId="0DB6084A" w14:textId="77777777" w:rsidR="00E73626" w:rsidRPr="000871C0" w:rsidRDefault="00E73626" w:rsidP="00E73626">
      <w:pPr>
        <w:numPr>
          <w:ilvl w:val="0"/>
          <w:numId w:val="1"/>
        </w:numPr>
        <w:spacing w:after="0" w:line="240" w:lineRule="auto"/>
        <w:contextualSpacing/>
        <w:jc w:val="both"/>
        <w:rPr>
          <w:rFonts w:ascii="Arial" w:eastAsia="Calibri" w:hAnsi="Arial" w:cs="Arial"/>
          <w:sz w:val="20"/>
          <w:szCs w:val="20"/>
        </w:rPr>
      </w:pPr>
      <w:r w:rsidRPr="000871C0">
        <w:rPr>
          <w:rFonts w:ascii="Arial" w:eastAsia="Calibri" w:hAnsi="Arial" w:cs="Arial"/>
          <w:sz w:val="20"/>
          <w:szCs w:val="20"/>
        </w:rPr>
        <w:t>Obilježavanje Svjetskog dana okoliša uz sadnju cvijeća u vrtu dana 06.06.2025.g.</w:t>
      </w:r>
    </w:p>
    <w:p w14:paraId="1B68B5F5" w14:textId="77777777" w:rsidR="00E73626" w:rsidRDefault="00E73626" w:rsidP="00E73626">
      <w:pPr>
        <w:numPr>
          <w:ilvl w:val="0"/>
          <w:numId w:val="1"/>
        </w:numPr>
        <w:spacing w:after="0" w:line="240" w:lineRule="auto"/>
        <w:contextualSpacing/>
        <w:jc w:val="both"/>
        <w:rPr>
          <w:rFonts w:ascii="Arial" w:eastAsia="Calibri" w:hAnsi="Arial" w:cs="Arial"/>
          <w:sz w:val="20"/>
          <w:szCs w:val="20"/>
        </w:rPr>
      </w:pPr>
      <w:r w:rsidRPr="000871C0">
        <w:rPr>
          <w:rFonts w:ascii="Arial" w:eastAsia="Calibri" w:hAnsi="Arial" w:cs="Arial"/>
          <w:sz w:val="20"/>
          <w:szCs w:val="20"/>
        </w:rPr>
        <w:t>Proslava blagdana Sv.Antuna – odlazak u Pridvorje na sv.misu dana 13.06.2025.g.</w:t>
      </w:r>
    </w:p>
    <w:p w14:paraId="1B193EE3" w14:textId="77777777" w:rsidR="00E73626" w:rsidRDefault="00E73626" w:rsidP="00E73626">
      <w:pPr>
        <w:numPr>
          <w:ilvl w:val="0"/>
          <w:numId w:val="1"/>
        </w:numPr>
        <w:spacing w:after="0" w:line="240" w:lineRule="auto"/>
        <w:contextualSpacing/>
        <w:jc w:val="both"/>
        <w:rPr>
          <w:rFonts w:ascii="Arial" w:eastAsia="Calibri" w:hAnsi="Arial" w:cs="Arial"/>
          <w:sz w:val="20"/>
          <w:szCs w:val="20"/>
        </w:rPr>
      </w:pPr>
      <w:r>
        <w:rPr>
          <w:rFonts w:ascii="Arial" w:eastAsia="Calibri" w:hAnsi="Arial" w:cs="Arial"/>
          <w:sz w:val="20"/>
          <w:szCs w:val="20"/>
        </w:rPr>
        <w:t>Proslava 9.-te godišnjice rada Doma dana 11.07.2025.g.</w:t>
      </w:r>
    </w:p>
    <w:p w14:paraId="328E5DDC" w14:textId="77777777" w:rsidR="00E73626" w:rsidRDefault="00E73626" w:rsidP="00E73626">
      <w:pPr>
        <w:numPr>
          <w:ilvl w:val="0"/>
          <w:numId w:val="1"/>
        </w:numPr>
        <w:spacing w:after="0" w:line="240" w:lineRule="auto"/>
        <w:contextualSpacing/>
        <w:jc w:val="both"/>
        <w:rPr>
          <w:rFonts w:ascii="Arial" w:eastAsia="Calibri" w:hAnsi="Arial" w:cs="Arial"/>
          <w:sz w:val="20"/>
          <w:szCs w:val="20"/>
        </w:rPr>
      </w:pPr>
      <w:r>
        <w:rPr>
          <w:rFonts w:ascii="Arial" w:eastAsia="Calibri" w:hAnsi="Arial" w:cs="Arial"/>
          <w:sz w:val="20"/>
          <w:szCs w:val="20"/>
        </w:rPr>
        <w:t>Proslava blagdana Velike gospe uz misno slavlje dana 13.08.2025.g.</w:t>
      </w:r>
    </w:p>
    <w:p w14:paraId="1AB3A122" w14:textId="77777777" w:rsidR="00E73626" w:rsidRDefault="00E73626" w:rsidP="00E73626">
      <w:pPr>
        <w:numPr>
          <w:ilvl w:val="0"/>
          <w:numId w:val="1"/>
        </w:numPr>
        <w:spacing w:after="0" w:line="240" w:lineRule="auto"/>
        <w:contextualSpacing/>
        <w:jc w:val="both"/>
        <w:rPr>
          <w:rFonts w:ascii="Arial" w:eastAsia="Calibri" w:hAnsi="Arial" w:cs="Arial"/>
          <w:sz w:val="20"/>
          <w:szCs w:val="20"/>
        </w:rPr>
      </w:pPr>
      <w:r>
        <w:rPr>
          <w:rFonts w:ascii="Arial" w:eastAsia="Calibri" w:hAnsi="Arial" w:cs="Arial"/>
          <w:sz w:val="20"/>
          <w:szCs w:val="20"/>
        </w:rPr>
        <w:t>Obilježavanje dana starijih osoba dana 01.10.2025.g.</w:t>
      </w:r>
    </w:p>
    <w:p w14:paraId="78395184" w14:textId="77777777" w:rsidR="00E73626" w:rsidRDefault="00E73626" w:rsidP="00E73626">
      <w:pPr>
        <w:numPr>
          <w:ilvl w:val="0"/>
          <w:numId w:val="1"/>
        </w:numPr>
        <w:spacing w:after="0" w:line="240" w:lineRule="auto"/>
        <w:contextualSpacing/>
        <w:jc w:val="both"/>
        <w:rPr>
          <w:rFonts w:ascii="Arial" w:eastAsia="Calibri" w:hAnsi="Arial" w:cs="Arial"/>
          <w:sz w:val="20"/>
          <w:szCs w:val="20"/>
        </w:rPr>
      </w:pPr>
      <w:r>
        <w:rPr>
          <w:rFonts w:ascii="Arial" w:eastAsia="Calibri" w:hAnsi="Arial" w:cs="Arial"/>
          <w:sz w:val="20"/>
          <w:szCs w:val="20"/>
        </w:rPr>
        <w:lastRenderedPageBreak/>
        <w:t>Obilježavanje mjeseca starijih osoba uz izlet dana 10.10.2025.g.</w:t>
      </w:r>
    </w:p>
    <w:p w14:paraId="49F92FAF" w14:textId="77777777" w:rsidR="00E73626" w:rsidRDefault="00E73626" w:rsidP="00E73626">
      <w:pPr>
        <w:numPr>
          <w:ilvl w:val="0"/>
          <w:numId w:val="1"/>
        </w:numPr>
        <w:spacing w:after="0" w:line="240" w:lineRule="auto"/>
        <w:contextualSpacing/>
        <w:jc w:val="both"/>
        <w:rPr>
          <w:rFonts w:ascii="Arial" w:eastAsia="Calibri" w:hAnsi="Arial" w:cs="Arial"/>
          <w:sz w:val="20"/>
          <w:szCs w:val="20"/>
        </w:rPr>
      </w:pPr>
      <w:r>
        <w:rPr>
          <w:rFonts w:ascii="Arial" w:eastAsia="Calibri" w:hAnsi="Arial" w:cs="Arial"/>
          <w:sz w:val="20"/>
          <w:szCs w:val="20"/>
        </w:rPr>
        <w:t>Obilježavanje Svjetskog dana hrane uz kulinarsku radionicu dana 16.10.2025.g.</w:t>
      </w:r>
    </w:p>
    <w:p w14:paraId="77A73ACA" w14:textId="77777777" w:rsidR="00E73626" w:rsidRDefault="00E73626" w:rsidP="00E73626">
      <w:pPr>
        <w:numPr>
          <w:ilvl w:val="0"/>
          <w:numId w:val="1"/>
        </w:numPr>
        <w:spacing w:after="0" w:line="240" w:lineRule="auto"/>
        <w:contextualSpacing/>
        <w:jc w:val="both"/>
        <w:rPr>
          <w:rFonts w:ascii="Arial" w:eastAsia="Calibri" w:hAnsi="Arial" w:cs="Arial"/>
          <w:sz w:val="20"/>
          <w:szCs w:val="20"/>
        </w:rPr>
      </w:pPr>
      <w:r>
        <w:rPr>
          <w:rFonts w:ascii="Arial" w:eastAsia="Calibri" w:hAnsi="Arial" w:cs="Arial"/>
          <w:sz w:val="20"/>
          <w:szCs w:val="20"/>
        </w:rPr>
        <w:t>Proslava dana kruha i blagdana Svi sveti uz misno slavlje dana 29.10.2025.g.</w:t>
      </w:r>
    </w:p>
    <w:p w14:paraId="65875F00" w14:textId="77777777" w:rsidR="00E73626" w:rsidRDefault="00E73626" w:rsidP="00E73626">
      <w:pPr>
        <w:numPr>
          <w:ilvl w:val="0"/>
          <w:numId w:val="1"/>
        </w:numPr>
        <w:spacing w:after="0" w:line="240" w:lineRule="auto"/>
        <w:contextualSpacing/>
        <w:jc w:val="both"/>
        <w:rPr>
          <w:rFonts w:ascii="Arial" w:eastAsia="Calibri" w:hAnsi="Arial" w:cs="Arial"/>
          <w:sz w:val="20"/>
          <w:szCs w:val="20"/>
        </w:rPr>
      </w:pPr>
      <w:r>
        <w:rPr>
          <w:rFonts w:ascii="Arial" w:eastAsia="Calibri" w:hAnsi="Arial" w:cs="Arial"/>
          <w:sz w:val="20"/>
          <w:szCs w:val="20"/>
        </w:rPr>
        <w:t>Obilježavanje Mjeseca hrvatske knjige uz čitanje knjige dana 07.11.2025.g.</w:t>
      </w:r>
    </w:p>
    <w:p w14:paraId="15547A83" w14:textId="77777777" w:rsidR="00E73626" w:rsidRDefault="00E73626" w:rsidP="00E73626">
      <w:pPr>
        <w:numPr>
          <w:ilvl w:val="0"/>
          <w:numId w:val="1"/>
        </w:numPr>
        <w:spacing w:after="0" w:line="240" w:lineRule="auto"/>
        <w:contextualSpacing/>
        <w:jc w:val="both"/>
        <w:rPr>
          <w:rFonts w:ascii="Arial" w:eastAsia="Calibri" w:hAnsi="Arial" w:cs="Arial"/>
          <w:sz w:val="20"/>
          <w:szCs w:val="20"/>
        </w:rPr>
      </w:pPr>
      <w:r>
        <w:rPr>
          <w:rFonts w:ascii="Arial" w:eastAsia="Calibri" w:hAnsi="Arial" w:cs="Arial"/>
          <w:sz w:val="20"/>
          <w:szCs w:val="20"/>
        </w:rPr>
        <w:t>Obilježavanje Svjetskog dana ljubaznosti uz radionicu „Zid ljubaznosti“ dana 13.11.2025.g.</w:t>
      </w:r>
    </w:p>
    <w:p w14:paraId="64ECC290" w14:textId="77777777" w:rsidR="00E73626" w:rsidRDefault="00E73626" w:rsidP="00E73626">
      <w:pPr>
        <w:numPr>
          <w:ilvl w:val="0"/>
          <w:numId w:val="1"/>
        </w:numPr>
        <w:spacing w:after="0" w:line="240" w:lineRule="auto"/>
        <w:contextualSpacing/>
        <w:jc w:val="both"/>
        <w:rPr>
          <w:rFonts w:ascii="Arial" w:eastAsia="Calibri" w:hAnsi="Arial" w:cs="Arial"/>
          <w:sz w:val="20"/>
          <w:szCs w:val="20"/>
        </w:rPr>
      </w:pPr>
      <w:r>
        <w:rPr>
          <w:rFonts w:ascii="Arial" w:eastAsia="Calibri" w:hAnsi="Arial" w:cs="Arial"/>
          <w:sz w:val="20"/>
          <w:szCs w:val="20"/>
        </w:rPr>
        <w:t xml:space="preserve">Obilježavanje Svjetskog dana dijabetesa uz mjerenje Guk-a u sauradnji sa patronažnim sestrama Doma zdravlja dana 14.11.2025.g. </w:t>
      </w:r>
    </w:p>
    <w:p w14:paraId="69F0F962" w14:textId="77777777" w:rsidR="00E73626" w:rsidRDefault="00E73626" w:rsidP="00E73626">
      <w:pPr>
        <w:numPr>
          <w:ilvl w:val="0"/>
          <w:numId w:val="1"/>
        </w:numPr>
        <w:spacing w:after="0" w:line="240" w:lineRule="auto"/>
        <w:contextualSpacing/>
        <w:jc w:val="both"/>
        <w:rPr>
          <w:rFonts w:ascii="Arial" w:eastAsia="Calibri" w:hAnsi="Arial" w:cs="Arial"/>
          <w:sz w:val="20"/>
          <w:szCs w:val="20"/>
        </w:rPr>
      </w:pPr>
      <w:r>
        <w:rPr>
          <w:rFonts w:ascii="Arial" w:eastAsia="Calibri" w:hAnsi="Arial" w:cs="Arial"/>
          <w:sz w:val="20"/>
          <w:szCs w:val="20"/>
        </w:rPr>
        <w:t>Obilježavanje Međunarodnog dana muškaraca dana 19.11.2025.g.</w:t>
      </w:r>
    </w:p>
    <w:p w14:paraId="5C9C1418" w14:textId="77777777" w:rsidR="00E73626" w:rsidRDefault="00E73626" w:rsidP="00E73626">
      <w:pPr>
        <w:numPr>
          <w:ilvl w:val="0"/>
          <w:numId w:val="1"/>
        </w:numPr>
        <w:spacing w:after="0" w:line="240" w:lineRule="auto"/>
        <w:contextualSpacing/>
        <w:jc w:val="both"/>
        <w:rPr>
          <w:rFonts w:ascii="Arial" w:eastAsia="Calibri" w:hAnsi="Arial" w:cs="Arial"/>
          <w:sz w:val="20"/>
          <w:szCs w:val="20"/>
        </w:rPr>
      </w:pPr>
      <w:r>
        <w:rPr>
          <w:rFonts w:ascii="Arial" w:eastAsia="Calibri" w:hAnsi="Arial" w:cs="Arial"/>
          <w:sz w:val="20"/>
          <w:szCs w:val="20"/>
        </w:rPr>
        <w:t>Proslava Badnjeg dana uz kolendu dana 24.12.2025.g.</w:t>
      </w:r>
    </w:p>
    <w:p w14:paraId="6ABBC158" w14:textId="77777777" w:rsidR="00E73626" w:rsidRPr="000871C0" w:rsidRDefault="00E73626" w:rsidP="00E73626">
      <w:pPr>
        <w:numPr>
          <w:ilvl w:val="0"/>
          <w:numId w:val="1"/>
        </w:numPr>
        <w:spacing w:after="0" w:line="240" w:lineRule="auto"/>
        <w:contextualSpacing/>
        <w:jc w:val="both"/>
        <w:rPr>
          <w:rFonts w:ascii="Arial" w:eastAsia="Calibri" w:hAnsi="Arial" w:cs="Arial"/>
          <w:sz w:val="20"/>
          <w:szCs w:val="20"/>
        </w:rPr>
      </w:pPr>
      <w:r>
        <w:rPr>
          <w:rFonts w:ascii="Arial" w:eastAsia="Calibri" w:hAnsi="Arial" w:cs="Arial"/>
          <w:sz w:val="20"/>
          <w:szCs w:val="20"/>
        </w:rPr>
        <w:t>Proslava Nove godine uz čašćenje dana 31.12.2025.g.</w:t>
      </w:r>
    </w:p>
    <w:p w14:paraId="3FF54B00" w14:textId="77777777" w:rsidR="00E73626" w:rsidRPr="000871C0" w:rsidRDefault="00E73626" w:rsidP="00E73626">
      <w:pPr>
        <w:numPr>
          <w:ilvl w:val="0"/>
          <w:numId w:val="1"/>
        </w:numPr>
        <w:spacing w:after="0" w:line="240" w:lineRule="auto"/>
        <w:contextualSpacing/>
        <w:jc w:val="both"/>
        <w:rPr>
          <w:rFonts w:ascii="Arial" w:eastAsia="Calibri" w:hAnsi="Arial" w:cs="Arial"/>
          <w:sz w:val="20"/>
          <w:szCs w:val="20"/>
        </w:rPr>
      </w:pPr>
      <w:r w:rsidRPr="000871C0">
        <w:rPr>
          <w:rFonts w:ascii="Arial" w:eastAsia="Calibri" w:hAnsi="Arial" w:cs="Arial"/>
          <w:sz w:val="20"/>
          <w:szCs w:val="20"/>
        </w:rPr>
        <w:t>Proslava rođendana korisnika dana: 06.02.2025.g., 27.03.2025.g., 03.06.2025.g</w:t>
      </w:r>
      <w:r>
        <w:rPr>
          <w:rFonts w:ascii="Arial" w:eastAsia="Calibri" w:hAnsi="Arial" w:cs="Arial"/>
          <w:sz w:val="20"/>
          <w:szCs w:val="20"/>
        </w:rPr>
        <w:t xml:space="preserve">, 11.07.2025.g., 27.08.2025.g., 01.10.2025.g., 05.12.2025.g. </w:t>
      </w:r>
      <w:r w:rsidRPr="000871C0">
        <w:rPr>
          <w:rFonts w:ascii="Arial" w:eastAsia="Calibri" w:hAnsi="Arial" w:cs="Arial"/>
          <w:sz w:val="20"/>
          <w:szCs w:val="20"/>
        </w:rPr>
        <w:t xml:space="preserve">– </w:t>
      </w:r>
      <w:r>
        <w:rPr>
          <w:rFonts w:ascii="Arial" w:eastAsia="Calibri" w:hAnsi="Arial" w:cs="Arial"/>
          <w:b/>
          <w:sz w:val="20"/>
          <w:szCs w:val="20"/>
        </w:rPr>
        <w:t>ukupno 7 proslava</w:t>
      </w:r>
    </w:p>
    <w:p w14:paraId="341EB39B" w14:textId="77777777" w:rsidR="00E73626" w:rsidRDefault="00E73626" w:rsidP="00626756">
      <w:pPr>
        <w:spacing w:after="0" w:line="240" w:lineRule="auto"/>
        <w:jc w:val="both"/>
        <w:rPr>
          <w:rFonts w:ascii="Arial" w:eastAsia="Calibri" w:hAnsi="Arial" w:cs="Arial"/>
          <w:sz w:val="20"/>
          <w:szCs w:val="20"/>
        </w:rPr>
      </w:pPr>
    </w:p>
    <w:p w14:paraId="3BCFC014" w14:textId="3C235FCB" w:rsidR="00626756" w:rsidRPr="003A2F86" w:rsidRDefault="00626756" w:rsidP="00626756">
      <w:pPr>
        <w:spacing w:after="0" w:line="240" w:lineRule="auto"/>
        <w:jc w:val="both"/>
        <w:rPr>
          <w:rFonts w:ascii="Arial" w:eastAsia="Calibri" w:hAnsi="Arial" w:cs="Arial"/>
          <w:sz w:val="20"/>
          <w:szCs w:val="20"/>
        </w:rPr>
      </w:pPr>
      <w:r w:rsidRPr="003A2F86">
        <w:rPr>
          <w:rFonts w:ascii="Arial" w:eastAsia="Calibri" w:hAnsi="Arial" w:cs="Arial"/>
          <w:sz w:val="20"/>
          <w:szCs w:val="20"/>
        </w:rPr>
        <w:t>Četvrta aktivnost kojom se ovaj cilj nastoji postići je povećanjem broja edukativnih predavanja namijenjenih korisnicima Doma. Predavanja su organizirana iz područja zdravstva, socijalne skrbi, prava i drugih interesantnih tema primijenjenih starijoj populaciji</w:t>
      </w:r>
    </w:p>
    <w:p w14:paraId="3AD96CA9" w14:textId="77777777" w:rsidR="007A6BE2" w:rsidRPr="003A2F86" w:rsidRDefault="007A6BE2" w:rsidP="00626756">
      <w:pPr>
        <w:spacing w:after="0" w:line="240" w:lineRule="auto"/>
        <w:jc w:val="both"/>
        <w:rPr>
          <w:rFonts w:ascii="Arial" w:eastAsia="Calibri" w:hAnsi="Arial" w:cs="Arial"/>
          <w:sz w:val="20"/>
          <w:szCs w:val="20"/>
        </w:rPr>
      </w:pPr>
    </w:p>
    <w:tbl>
      <w:tblPr>
        <w:tblStyle w:val="TableGrid24"/>
        <w:tblW w:w="14651" w:type="dxa"/>
        <w:jc w:val="center"/>
        <w:tblLayout w:type="fixed"/>
        <w:tblLook w:val="04A0" w:firstRow="1" w:lastRow="0" w:firstColumn="1" w:lastColumn="0" w:noHBand="0" w:noVBand="1"/>
      </w:tblPr>
      <w:tblGrid>
        <w:gridCol w:w="2547"/>
        <w:gridCol w:w="2954"/>
        <w:gridCol w:w="1117"/>
        <w:gridCol w:w="1134"/>
        <w:gridCol w:w="1134"/>
        <w:gridCol w:w="1435"/>
        <w:gridCol w:w="1417"/>
        <w:gridCol w:w="1417"/>
        <w:gridCol w:w="1496"/>
      </w:tblGrid>
      <w:tr w:rsidR="00CC1EEB" w:rsidRPr="003A2F86" w14:paraId="56997ACC" w14:textId="77777777" w:rsidTr="00923DED">
        <w:trPr>
          <w:jc w:val="center"/>
        </w:trPr>
        <w:tc>
          <w:tcPr>
            <w:tcW w:w="2547" w:type="dxa"/>
            <w:shd w:val="clear" w:color="auto" w:fill="BFBFBF" w:themeFill="background1" w:themeFillShade="BF"/>
            <w:vAlign w:val="center"/>
          </w:tcPr>
          <w:p w14:paraId="5F2BC665" w14:textId="77777777" w:rsidR="00CC1EEB" w:rsidRPr="003A2F86" w:rsidRDefault="00CC1EEB" w:rsidP="00CC1EEB">
            <w:pPr>
              <w:jc w:val="center"/>
              <w:rPr>
                <w:rFonts w:ascii="Arial" w:eastAsia="Calibri" w:hAnsi="Arial" w:cs="Arial"/>
              </w:rPr>
            </w:pPr>
            <w:r w:rsidRPr="003A2F86">
              <w:rPr>
                <w:rFonts w:ascii="Arial" w:eastAsia="Calibri" w:hAnsi="Arial" w:cs="Arial"/>
              </w:rPr>
              <w:t>Pokazatelj uspješnosti</w:t>
            </w:r>
          </w:p>
        </w:tc>
        <w:tc>
          <w:tcPr>
            <w:tcW w:w="2954" w:type="dxa"/>
            <w:shd w:val="clear" w:color="auto" w:fill="BFBFBF" w:themeFill="background1" w:themeFillShade="BF"/>
            <w:vAlign w:val="center"/>
          </w:tcPr>
          <w:p w14:paraId="2D66FEEA" w14:textId="77777777" w:rsidR="00CC1EEB" w:rsidRPr="003A2F86" w:rsidRDefault="00CC1EEB" w:rsidP="00CC1EEB">
            <w:pPr>
              <w:jc w:val="center"/>
              <w:rPr>
                <w:rFonts w:ascii="Arial" w:eastAsia="Calibri" w:hAnsi="Arial" w:cs="Arial"/>
              </w:rPr>
            </w:pPr>
            <w:r w:rsidRPr="003A2F86">
              <w:rPr>
                <w:rFonts w:ascii="Arial" w:eastAsia="Calibri" w:hAnsi="Arial" w:cs="Arial"/>
              </w:rPr>
              <w:t>Definicija</w:t>
            </w:r>
          </w:p>
        </w:tc>
        <w:tc>
          <w:tcPr>
            <w:tcW w:w="1117" w:type="dxa"/>
            <w:shd w:val="clear" w:color="auto" w:fill="BFBFBF" w:themeFill="background1" w:themeFillShade="BF"/>
            <w:vAlign w:val="center"/>
          </w:tcPr>
          <w:p w14:paraId="634E11E6" w14:textId="77777777" w:rsidR="00CC1EEB" w:rsidRPr="003A2F86" w:rsidRDefault="00CC1EEB" w:rsidP="00CC1EEB">
            <w:pPr>
              <w:jc w:val="center"/>
              <w:rPr>
                <w:rFonts w:ascii="Arial" w:eastAsia="Calibri" w:hAnsi="Arial" w:cs="Arial"/>
              </w:rPr>
            </w:pPr>
            <w:r w:rsidRPr="003A2F86">
              <w:rPr>
                <w:rFonts w:ascii="Arial" w:eastAsia="Calibri" w:hAnsi="Arial" w:cs="Arial"/>
              </w:rPr>
              <w:t>Jedinica</w:t>
            </w:r>
          </w:p>
        </w:tc>
        <w:tc>
          <w:tcPr>
            <w:tcW w:w="1134" w:type="dxa"/>
            <w:shd w:val="clear" w:color="auto" w:fill="BFBFBF" w:themeFill="background1" w:themeFillShade="BF"/>
            <w:vAlign w:val="center"/>
          </w:tcPr>
          <w:p w14:paraId="5FFCD6A7" w14:textId="77777777" w:rsidR="00CC1EEB" w:rsidRPr="003A2F86" w:rsidRDefault="00CC1EEB" w:rsidP="00CC1EEB">
            <w:pPr>
              <w:jc w:val="center"/>
              <w:rPr>
                <w:rFonts w:ascii="Arial" w:eastAsia="Calibri" w:hAnsi="Arial" w:cs="Arial"/>
              </w:rPr>
            </w:pPr>
            <w:r w:rsidRPr="003A2F86">
              <w:rPr>
                <w:rFonts w:ascii="Arial" w:eastAsia="Calibri" w:hAnsi="Arial" w:cs="Arial"/>
              </w:rPr>
              <w:t>Polazna vrijednost</w:t>
            </w:r>
          </w:p>
          <w:p w14:paraId="4F974769" w14:textId="01C3A7BA" w:rsidR="00CC1EEB" w:rsidRPr="003A2F86" w:rsidRDefault="00CC1EEB" w:rsidP="00CC1EEB">
            <w:pPr>
              <w:jc w:val="center"/>
              <w:rPr>
                <w:rFonts w:ascii="Arial" w:eastAsia="Calibri" w:hAnsi="Arial" w:cs="Arial"/>
              </w:rPr>
            </w:pPr>
            <w:r w:rsidRPr="003A2F86">
              <w:rPr>
                <w:rFonts w:ascii="Arial" w:eastAsia="Calibri" w:hAnsi="Arial" w:cs="Arial"/>
              </w:rPr>
              <w:t>202</w:t>
            </w:r>
            <w:r>
              <w:rPr>
                <w:rFonts w:ascii="Arial" w:eastAsia="Calibri" w:hAnsi="Arial" w:cs="Arial"/>
              </w:rPr>
              <w:t>4</w:t>
            </w:r>
            <w:r w:rsidRPr="003A2F86">
              <w:rPr>
                <w:rFonts w:ascii="Arial" w:eastAsia="Calibri" w:hAnsi="Arial" w:cs="Arial"/>
              </w:rPr>
              <w:t>.</w:t>
            </w:r>
          </w:p>
        </w:tc>
        <w:tc>
          <w:tcPr>
            <w:tcW w:w="1134" w:type="dxa"/>
            <w:shd w:val="clear" w:color="auto" w:fill="BFBFBF" w:themeFill="background1" w:themeFillShade="BF"/>
            <w:vAlign w:val="center"/>
          </w:tcPr>
          <w:p w14:paraId="799B5418" w14:textId="6D44DB7F" w:rsidR="00CC1EEB" w:rsidRPr="003A2F86" w:rsidRDefault="00CC1EEB" w:rsidP="00CC1EEB">
            <w:pPr>
              <w:jc w:val="center"/>
              <w:rPr>
                <w:rFonts w:ascii="Arial" w:eastAsia="Calibri" w:hAnsi="Arial" w:cs="Arial"/>
              </w:rPr>
            </w:pPr>
            <w:r w:rsidRPr="003A2F86">
              <w:rPr>
                <w:rFonts w:ascii="Arial" w:eastAsia="Calibri" w:hAnsi="Arial" w:cs="Arial"/>
              </w:rPr>
              <w:t>Izvor podataka</w:t>
            </w:r>
          </w:p>
        </w:tc>
        <w:tc>
          <w:tcPr>
            <w:tcW w:w="1435" w:type="dxa"/>
            <w:shd w:val="clear" w:color="auto" w:fill="BFBFBF" w:themeFill="background1" w:themeFillShade="BF"/>
            <w:vAlign w:val="center"/>
          </w:tcPr>
          <w:p w14:paraId="56F60B76" w14:textId="39C8F7AA" w:rsidR="00CC1EEB" w:rsidRPr="003A2F86" w:rsidRDefault="00CC1EEB" w:rsidP="00CC1EEB">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5</w:t>
            </w:r>
            <w:r w:rsidRPr="003A2F86">
              <w:rPr>
                <w:rFonts w:ascii="Arial" w:eastAsia="Calibri" w:hAnsi="Arial" w:cs="Arial"/>
              </w:rPr>
              <w:t>.</w:t>
            </w:r>
          </w:p>
        </w:tc>
        <w:tc>
          <w:tcPr>
            <w:tcW w:w="1417" w:type="dxa"/>
            <w:shd w:val="clear" w:color="auto" w:fill="BFBFBF" w:themeFill="background1" w:themeFillShade="BF"/>
            <w:vAlign w:val="center"/>
          </w:tcPr>
          <w:p w14:paraId="382299B1" w14:textId="2E4A77F9" w:rsidR="00CC1EEB" w:rsidRPr="003A2F86" w:rsidRDefault="00CC1EEB" w:rsidP="00CC1EEB">
            <w:pPr>
              <w:jc w:val="center"/>
              <w:rPr>
                <w:rFonts w:ascii="Arial" w:eastAsia="Calibri" w:hAnsi="Arial" w:cs="Arial"/>
              </w:rPr>
            </w:pPr>
            <w:r w:rsidRPr="003A2F86">
              <w:rPr>
                <w:rFonts w:ascii="Arial" w:eastAsia="Calibri" w:hAnsi="Arial" w:cs="Arial"/>
              </w:rPr>
              <w:t>Ostvareno u izvještajnom razdoblju</w:t>
            </w:r>
          </w:p>
        </w:tc>
        <w:tc>
          <w:tcPr>
            <w:tcW w:w="1417" w:type="dxa"/>
            <w:shd w:val="clear" w:color="auto" w:fill="BFBFBF" w:themeFill="background1" w:themeFillShade="BF"/>
            <w:vAlign w:val="center"/>
          </w:tcPr>
          <w:p w14:paraId="226EDD64" w14:textId="058A5834" w:rsidR="00CC1EEB" w:rsidRPr="003A2F86" w:rsidRDefault="00CC1EEB" w:rsidP="00CC1EEB">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6</w:t>
            </w:r>
            <w:r w:rsidRPr="003A2F86">
              <w:rPr>
                <w:rFonts w:ascii="Arial" w:eastAsia="Calibri" w:hAnsi="Arial" w:cs="Arial"/>
              </w:rPr>
              <w:t>.</w:t>
            </w:r>
          </w:p>
        </w:tc>
        <w:tc>
          <w:tcPr>
            <w:tcW w:w="1496" w:type="dxa"/>
            <w:shd w:val="clear" w:color="auto" w:fill="BFBFBF" w:themeFill="background1" w:themeFillShade="BF"/>
            <w:vAlign w:val="center"/>
          </w:tcPr>
          <w:p w14:paraId="123000C0" w14:textId="2372A7D2" w:rsidR="00CC1EEB" w:rsidRPr="003A2F86" w:rsidRDefault="00CC1EEB" w:rsidP="00CC1EEB">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7</w:t>
            </w:r>
            <w:r w:rsidRPr="003A2F86">
              <w:rPr>
                <w:rFonts w:ascii="Arial" w:eastAsia="Calibri" w:hAnsi="Arial" w:cs="Arial"/>
              </w:rPr>
              <w:t>.</w:t>
            </w:r>
          </w:p>
        </w:tc>
      </w:tr>
      <w:tr w:rsidR="00626756" w:rsidRPr="003A2F86" w14:paraId="374E5EC1" w14:textId="77777777" w:rsidTr="00923DED">
        <w:trPr>
          <w:trHeight w:val="274"/>
          <w:jc w:val="center"/>
        </w:trPr>
        <w:tc>
          <w:tcPr>
            <w:tcW w:w="2547" w:type="dxa"/>
            <w:vAlign w:val="center"/>
          </w:tcPr>
          <w:p w14:paraId="5908D506" w14:textId="77777777" w:rsidR="00626756" w:rsidRPr="003A2F86" w:rsidRDefault="00626756" w:rsidP="00B223BA">
            <w:pPr>
              <w:rPr>
                <w:rFonts w:ascii="Arial" w:eastAsia="Calibri" w:hAnsi="Arial" w:cs="Arial"/>
                <w:sz w:val="18"/>
                <w:szCs w:val="18"/>
              </w:rPr>
            </w:pPr>
            <w:r w:rsidRPr="003A2F86">
              <w:rPr>
                <w:rFonts w:ascii="Arial" w:eastAsia="Calibri" w:hAnsi="Arial" w:cs="Arial"/>
                <w:sz w:val="18"/>
                <w:szCs w:val="18"/>
              </w:rPr>
              <w:t>Povećanje broja edukativnih predavanja - od strane vanjskih predavača i osoblja Doma (vlastita predavanja)</w:t>
            </w:r>
          </w:p>
        </w:tc>
        <w:tc>
          <w:tcPr>
            <w:tcW w:w="2954" w:type="dxa"/>
            <w:vAlign w:val="center"/>
          </w:tcPr>
          <w:p w14:paraId="42E13D1E" w14:textId="77777777" w:rsidR="00626756" w:rsidRPr="003A2F86" w:rsidRDefault="00626756" w:rsidP="00B223BA">
            <w:pPr>
              <w:rPr>
                <w:rFonts w:ascii="Arial" w:eastAsia="Calibri" w:hAnsi="Arial" w:cs="Arial"/>
                <w:sz w:val="18"/>
                <w:szCs w:val="18"/>
              </w:rPr>
            </w:pPr>
            <w:r w:rsidRPr="003A2F86">
              <w:rPr>
                <w:rFonts w:ascii="Arial" w:eastAsia="Calibri" w:hAnsi="Arial" w:cs="Arial"/>
                <w:sz w:val="18"/>
                <w:szCs w:val="18"/>
              </w:rPr>
              <w:t>Organiziranjem edukativnih predavanja prilagođenih osobama starije životne dobi korisnici Doma se educiraju i informiraju o njima interesantnim temama</w:t>
            </w:r>
          </w:p>
        </w:tc>
        <w:tc>
          <w:tcPr>
            <w:tcW w:w="1117" w:type="dxa"/>
            <w:vAlign w:val="center"/>
          </w:tcPr>
          <w:p w14:paraId="55F27DFD" w14:textId="77777777" w:rsidR="00626756" w:rsidRPr="003A2F86" w:rsidRDefault="00626756" w:rsidP="00B223BA">
            <w:pPr>
              <w:jc w:val="center"/>
              <w:rPr>
                <w:rFonts w:ascii="Arial" w:eastAsia="Calibri" w:hAnsi="Arial" w:cs="Arial"/>
                <w:sz w:val="18"/>
                <w:szCs w:val="18"/>
              </w:rPr>
            </w:pPr>
            <w:r w:rsidRPr="003A2F86">
              <w:rPr>
                <w:rFonts w:ascii="Arial" w:eastAsia="Calibri" w:hAnsi="Arial" w:cs="Arial"/>
                <w:sz w:val="18"/>
                <w:szCs w:val="18"/>
              </w:rPr>
              <w:t>Broj predavanja godišnje</w:t>
            </w:r>
          </w:p>
        </w:tc>
        <w:tc>
          <w:tcPr>
            <w:tcW w:w="1134" w:type="dxa"/>
            <w:vAlign w:val="center"/>
          </w:tcPr>
          <w:p w14:paraId="52D847CC" w14:textId="511DF10C" w:rsidR="00626756" w:rsidRPr="003A2F86" w:rsidRDefault="00CC1EEB" w:rsidP="00B223BA">
            <w:pPr>
              <w:jc w:val="center"/>
              <w:rPr>
                <w:rFonts w:ascii="Arial" w:eastAsia="Calibri" w:hAnsi="Arial" w:cs="Arial"/>
                <w:sz w:val="18"/>
                <w:szCs w:val="18"/>
              </w:rPr>
            </w:pPr>
            <w:r>
              <w:rPr>
                <w:rFonts w:ascii="Arial" w:eastAsia="Calibri" w:hAnsi="Arial" w:cs="Arial"/>
                <w:sz w:val="18"/>
                <w:szCs w:val="18"/>
              </w:rPr>
              <w:t>13</w:t>
            </w:r>
          </w:p>
        </w:tc>
        <w:tc>
          <w:tcPr>
            <w:tcW w:w="1134" w:type="dxa"/>
            <w:vAlign w:val="center"/>
          </w:tcPr>
          <w:p w14:paraId="4E4744BC" w14:textId="77777777" w:rsidR="00626756" w:rsidRPr="003A2F86" w:rsidRDefault="00626756" w:rsidP="00B223BA">
            <w:pPr>
              <w:jc w:val="center"/>
              <w:rPr>
                <w:rFonts w:ascii="Arial" w:eastAsia="Calibri" w:hAnsi="Arial" w:cs="Arial"/>
                <w:sz w:val="18"/>
                <w:szCs w:val="18"/>
              </w:rPr>
            </w:pPr>
            <w:r w:rsidRPr="003A2F86">
              <w:rPr>
                <w:rFonts w:ascii="Arial" w:eastAsia="Calibri" w:hAnsi="Arial" w:cs="Arial"/>
                <w:sz w:val="18"/>
                <w:szCs w:val="18"/>
              </w:rPr>
              <w:t>Dom</w:t>
            </w:r>
          </w:p>
        </w:tc>
        <w:tc>
          <w:tcPr>
            <w:tcW w:w="1435" w:type="dxa"/>
            <w:vAlign w:val="center"/>
          </w:tcPr>
          <w:p w14:paraId="1F24C228" w14:textId="164AA990" w:rsidR="00626756" w:rsidRPr="003A2F86" w:rsidRDefault="00CC1EEB" w:rsidP="00B223BA">
            <w:pPr>
              <w:jc w:val="center"/>
              <w:rPr>
                <w:rFonts w:ascii="Arial" w:eastAsia="Calibri" w:hAnsi="Arial" w:cs="Arial"/>
                <w:sz w:val="18"/>
                <w:szCs w:val="18"/>
              </w:rPr>
            </w:pPr>
            <w:r>
              <w:rPr>
                <w:rFonts w:ascii="Arial" w:eastAsia="Calibri" w:hAnsi="Arial" w:cs="Arial"/>
                <w:sz w:val="18"/>
                <w:szCs w:val="18"/>
              </w:rPr>
              <w:t>11</w:t>
            </w:r>
          </w:p>
        </w:tc>
        <w:tc>
          <w:tcPr>
            <w:tcW w:w="1417" w:type="dxa"/>
            <w:vAlign w:val="center"/>
          </w:tcPr>
          <w:p w14:paraId="6039348C" w14:textId="27A69DC2" w:rsidR="00626756" w:rsidRPr="003A2F86" w:rsidRDefault="00E73626" w:rsidP="00B223BA">
            <w:pPr>
              <w:jc w:val="center"/>
              <w:rPr>
                <w:rFonts w:ascii="Arial" w:eastAsia="Calibri" w:hAnsi="Arial" w:cs="Arial"/>
                <w:sz w:val="18"/>
                <w:szCs w:val="18"/>
              </w:rPr>
            </w:pPr>
            <w:r>
              <w:rPr>
                <w:rFonts w:ascii="Arial" w:eastAsia="Calibri" w:hAnsi="Arial" w:cs="Arial"/>
                <w:sz w:val="18"/>
                <w:szCs w:val="18"/>
              </w:rPr>
              <w:t>11</w:t>
            </w:r>
          </w:p>
        </w:tc>
        <w:tc>
          <w:tcPr>
            <w:tcW w:w="1417" w:type="dxa"/>
            <w:vAlign w:val="center"/>
          </w:tcPr>
          <w:p w14:paraId="0DA1CBA9" w14:textId="5080FA7D" w:rsidR="00626756" w:rsidRPr="003A2F86" w:rsidRDefault="00F70946" w:rsidP="00B223BA">
            <w:pPr>
              <w:jc w:val="center"/>
              <w:rPr>
                <w:rFonts w:ascii="Arial" w:eastAsia="Calibri" w:hAnsi="Arial" w:cs="Arial"/>
                <w:sz w:val="18"/>
                <w:szCs w:val="18"/>
              </w:rPr>
            </w:pPr>
            <w:r>
              <w:rPr>
                <w:rFonts w:ascii="Arial" w:eastAsia="Calibri" w:hAnsi="Arial" w:cs="Arial"/>
                <w:sz w:val="18"/>
                <w:szCs w:val="18"/>
              </w:rPr>
              <w:t>11</w:t>
            </w:r>
          </w:p>
        </w:tc>
        <w:tc>
          <w:tcPr>
            <w:tcW w:w="1496" w:type="dxa"/>
            <w:vAlign w:val="center"/>
          </w:tcPr>
          <w:p w14:paraId="130EBBFC" w14:textId="2C6669E7" w:rsidR="00626756" w:rsidRPr="003A2F86" w:rsidRDefault="00F70946" w:rsidP="00B223BA">
            <w:pPr>
              <w:jc w:val="center"/>
              <w:rPr>
                <w:rFonts w:ascii="Arial" w:eastAsia="Calibri" w:hAnsi="Arial" w:cs="Arial"/>
                <w:sz w:val="18"/>
                <w:szCs w:val="18"/>
              </w:rPr>
            </w:pPr>
            <w:r>
              <w:rPr>
                <w:rFonts w:ascii="Arial" w:eastAsia="Calibri" w:hAnsi="Arial" w:cs="Arial"/>
                <w:sz w:val="18"/>
                <w:szCs w:val="18"/>
              </w:rPr>
              <w:t>11</w:t>
            </w:r>
          </w:p>
        </w:tc>
      </w:tr>
    </w:tbl>
    <w:p w14:paraId="5495F265" w14:textId="77777777" w:rsidR="00626756" w:rsidRPr="003A2F86" w:rsidRDefault="00626756" w:rsidP="00626756">
      <w:pPr>
        <w:spacing w:after="0" w:line="240" w:lineRule="auto"/>
        <w:jc w:val="both"/>
        <w:rPr>
          <w:rFonts w:ascii="Arial" w:eastAsia="Calibri" w:hAnsi="Arial" w:cs="Arial"/>
          <w:sz w:val="20"/>
          <w:szCs w:val="20"/>
        </w:rPr>
      </w:pPr>
    </w:p>
    <w:p w14:paraId="71747D95" w14:textId="77777777" w:rsidR="00E73626" w:rsidRPr="00E73626" w:rsidRDefault="00E73626" w:rsidP="00E73626">
      <w:pPr>
        <w:spacing w:after="0" w:line="240" w:lineRule="auto"/>
        <w:jc w:val="both"/>
        <w:rPr>
          <w:rFonts w:ascii="Arial" w:eastAsia="Calibri" w:hAnsi="Arial" w:cs="Arial"/>
          <w:sz w:val="20"/>
          <w:szCs w:val="20"/>
          <w:lang w:eastAsia="en-US"/>
        </w:rPr>
      </w:pPr>
      <w:r w:rsidRPr="00E73626">
        <w:rPr>
          <w:rFonts w:ascii="Arial" w:eastAsia="Calibri" w:hAnsi="Arial" w:cs="Arial"/>
          <w:sz w:val="20"/>
          <w:szCs w:val="20"/>
          <w:lang w:eastAsia="en-US"/>
        </w:rPr>
        <w:t>Organizirana edukativna predavanja u izvještajnom razdoblju su:</w:t>
      </w:r>
    </w:p>
    <w:p w14:paraId="1D02A44F" w14:textId="77777777" w:rsidR="00E73626" w:rsidRPr="00E73626" w:rsidRDefault="00E73626" w:rsidP="00E73626">
      <w:pPr>
        <w:spacing w:after="0" w:line="240" w:lineRule="auto"/>
        <w:jc w:val="both"/>
        <w:rPr>
          <w:rFonts w:ascii="Arial" w:eastAsia="Calibri" w:hAnsi="Arial" w:cs="Arial"/>
          <w:sz w:val="20"/>
          <w:szCs w:val="20"/>
          <w:lang w:eastAsia="en-US"/>
        </w:rPr>
      </w:pPr>
    </w:p>
    <w:p w14:paraId="096622D3" w14:textId="77777777" w:rsidR="00E73626" w:rsidRPr="00E73626" w:rsidRDefault="00E73626">
      <w:pPr>
        <w:numPr>
          <w:ilvl w:val="0"/>
          <w:numId w:val="32"/>
        </w:numPr>
        <w:spacing w:after="0" w:line="240" w:lineRule="auto"/>
        <w:contextualSpacing/>
        <w:jc w:val="both"/>
        <w:rPr>
          <w:rFonts w:ascii="Arial" w:eastAsia="Calibri" w:hAnsi="Arial" w:cs="Arial"/>
          <w:sz w:val="20"/>
          <w:szCs w:val="20"/>
          <w:lang w:eastAsia="en-US"/>
        </w:rPr>
      </w:pPr>
      <w:r w:rsidRPr="00E73626">
        <w:rPr>
          <w:rFonts w:ascii="Arial" w:eastAsia="Calibri" w:hAnsi="Arial" w:cs="Arial"/>
          <w:sz w:val="20"/>
          <w:szCs w:val="20"/>
          <w:lang w:eastAsia="en-US"/>
        </w:rPr>
        <w:t>Predavanje djelatnica Dubrovačkih muzeja „Moje Konavle“ dana 26.02.2025.g.</w:t>
      </w:r>
    </w:p>
    <w:p w14:paraId="2E52AE01" w14:textId="77777777" w:rsidR="00E73626" w:rsidRPr="00E73626" w:rsidRDefault="00E73626">
      <w:pPr>
        <w:numPr>
          <w:ilvl w:val="0"/>
          <w:numId w:val="32"/>
        </w:numPr>
        <w:spacing w:after="0" w:line="240" w:lineRule="auto"/>
        <w:contextualSpacing/>
        <w:jc w:val="both"/>
        <w:rPr>
          <w:rFonts w:ascii="Arial" w:eastAsia="Calibri" w:hAnsi="Arial" w:cs="Arial"/>
          <w:sz w:val="20"/>
          <w:szCs w:val="20"/>
          <w:lang w:eastAsia="en-US"/>
        </w:rPr>
      </w:pPr>
      <w:r w:rsidRPr="00E73626">
        <w:rPr>
          <w:rFonts w:ascii="Arial" w:eastAsia="Calibri" w:hAnsi="Arial" w:cs="Arial"/>
          <w:sz w:val="20"/>
          <w:szCs w:val="20"/>
          <w:lang w:eastAsia="en-US"/>
        </w:rPr>
        <w:t>Predavanje djelatnica Obiteljskog centra Dubrovnik „Prilagodba na život u domu“ dana 18.03.2025.g.</w:t>
      </w:r>
    </w:p>
    <w:p w14:paraId="34EA1C6E" w14:textId="77777777" w:rsidR="00E73626" w:rsidRPr="00E73626" w:rsidRDefault="00E73626">
      <w:pPr>
        <w:numPr>
          <w:ilvl w:val="0"/>
          <w:numId w:val="32"/>
        </w:numPr>
        <w:spacing w:after="0" w:line="240" w:lineRule="auto"/>
        <w:contextualSpacing/>
        <w:jc w:val="both"/>
        <w:rPr>
          <w:rFonts w:ascii="Arial" w:eastAsia="Calibri" w:hAnsi="Arial" w:cs="Arial"/>
          <w:sz w:val="20"/>
          <w:szCs w:val="20"/>
          <w:lang w:eastAsia="en-US"/>
        </w:rPr>
      </w:pPr>
      <w:r w:rsidRPr="00E73626">
        <w:rPr>
          <w:rFonts w:ascii="Arial" w:eastAsia="Calibri" w:hAnsi="Arial" w:cs="Arial"/>
          <w:sz w:val="20"/>
          <w:szCs w:val="20"/>
          <w:lang w:eastAsia="en-US"/>
        </w:rPr>
        <w:t>Predavanje djelatnice Hrvatskog zavoda za javno zdravstvo „Sol: izvor u hrani i važnost smanjenja unosa“ dana 20.03.2025.g.</w:t>
      </w:r>
    </w:p>
    <w:p w14:paraId="1451670E" w14:textId="77777777" w:rsidR="00E73626" w:rsidRPr="00E73626" w:rsidRDefault="00E73626">
      <w:pPr>
        <w:numPr>
          <w:ilvl w:val="0"/>
          <w:numId w:val="32"/>
        </w:numPr>
        <w:spacing w:after="0" w:line="240" w:lineRule="auto"/>
        <w:contextualSpacing/>
        <w:jc w:val="both"/>
        <w:rPr>
          <w:rFonts w:ascii="Arial" w:eastAsia="Calibri" w:hAnsi="Arial" w:cs="Arial"/>
          <w:sz w:val="20"/>
          <w:szCs w:val="20"/>
          <w:lang w:eastAsia="en-US"/>
        </w:rPr>
      </w:pPr>
      <w:r w:rsidRPr="00E73626">
        <w:rPr>
          <w:rFonts w:ascii="Arial" w:eastAsia="Calibri" w:hAnsi="Arial" w:cs="Arial"/>
          <w:sz w:val="20"/>
          <w:szCs w:val="20"/>
          <w:lang w:eastAsia="en-US"/>
        </w:rPr>
        <w:t>Predavanje djelatnice Hrvatskog zavoda za javno zdravstvo „Sarkopenija“ dana 10.04.2025.g.</w:t>
      </w:r>
    </w:p>
    <w:p w14:paraId="11EB3551" w14:textId="77777777" w:rsidR="00E73626" w:rsidRPr="00E73626" w:rsidRDefault="00E73626">
      <w:pPr>
        <w:numPr>
          <w:ilvl w:val="0"/>
          <w:numId w:val="32"/>
        </w:numPr>
        <w:spacing w:after="0" w:line="240" w:lineRule="auto"/>
        <w:contextualSpacing/>
        <w:jc w:val="both"/>
        <w:rPr>
          <w:rFonts w:ascii="Arial" w:eastAsia="Calibri" w:hAnsi="Arial" w:cs="Arial"/>
          <w:sz w:val="20"/>
          <w:szCs w:val="20"/>
          <w:lang w:eastAsia="en-US"/>
        </w:rPr>
      </w:pPr>
      <w:r w:rsidRPr="00E73626">
        <w:rPr>
          <w:rFonts w:ascii="Arial" w:eastAsia="Calibri" w:hAnsi="Arial" w:cs="Arial"/>
          <w:sz w:val="20"/>
          <w:szCs w:val="20"/>
          <w:lang w:eastAsia="en-US"/>
        </w:rPr>
        <w:t>Predavanje „Riječna kornjača i život na lokvama“ – udruga Hydra dana 25.04.2025.g.</w:t>
      </w:r>
    </w:p>
    <w:p w14:paraId="076924DE" w14:textId="77777777" w:rsidR="00E73626" w:rsidRPr="00E73626" w:rsidRDefault="00E73626">
      <w:pPr>
        <w:numPr>
          <w:ilvl w:val="0"/>
          <w:numId w:val="32"/>
        </w:numPr>
        <w:spacing w:after="0" w:line="240" w:lineRule="auto"/>
        <w:contextualSpacing/>
        <w:jc w:val="both"/>
        <w:rPr>
          <w:rFonts w:ascii="Arial" w:eastAsia="Calibri" w:hAnsi="Arial" w:cs="Arial"/>
          <w:sz w:val="20"/>
          <w:szCs w:val="20"/>
          <w:lang w:eastAsia="en-US"/>
        </w:rPr>
      </w:pPr>
      <w:r w:rsidRPr="00E73626">
        <w:rPr>
          <w:rFonts w:ascii="Arial" w:eastAsia="Calibri" w:hAnsi="Arial" w:cs="Arial"/>
          <w:sz w:val="20"/>
          <w:szCs w:val="20"/>
          <w:lang w:eastAsia="en-US"/>
        </w:rPr>
        <w:t>Predavanje djelatnice Hrvatskog zavoda za javno zdravstvo „Socijalna participacija“ dana 08.05.2025.g.</w:t>
      </w:r>
    </w:p>
    <w:p w14:paraId="67B81437" w14:textId="77777777" w:rsidR="00E73626" w:rsidRPr="00E73626" w:rsidRDefault="00E73626">
      <w:pPr>
        <w:numPr>
          <w:ilvl w:val="0"/>
          <w:numId w:val="32"/>
        </w:numPr>
        <w:spacing w:after="0" w:line="240" w:lineRule="auto"/>
        <w:contextualSpacing/>
        <w:jc w:val="both"/>
        <w:rPr>
          <w:rFonts w:ascii="Arial" w:eastAsia="Calibri" w:hAnsi="Arial" w:cs="Arial"/>
          <w:sz w:val="20"/>
          <w:szCs w:val="20"/>
          <w:lang w:eastAsia="en-US"/>
        </w:rPr>
      </w:pPr>
      <w:r w:rsidRPr="00E73626">
        <w:rPr>
          <w:rFonts w:ascii="Arial" w:eastAsia="Calibri" w:hAnsi="Arial" w:cs="Arial"/>
          <w:sz w:val="20"/>
          <w:szCs w:val="20"/>
          <w:lang w:eastAsia="en-US"/>
        </w:rPr>
        <w:t>Predavanje djelatnice Hrvatskog zavoda za javno zdravstvo „Voda i hrana za zlatne godine“ dana 28.05.2025.g.</w:t>
      </w:r>
    </w:p>
    <w:p w14:paraId="1BEC6B55" w14:textId="77777777" w:rsidR="00E73626" w:rsidRPr="00E73626" w:rsidRDefault="00E73626">
      <w:pPr>
        <w:numPr>
          <w:ilvl w:val="0"/>
          <w:numId w:val="32"/>
        </w:numPr>
        <w:spacing w:after="0" w:line="240" w:lineRule="auto"/>
        <w:contextualSpacing/>
        <w:jc w:val="both"/>
        <w:rPr>
          <w:rFonts w:ascii="Arial" w:eastAsia="Calibri" w:hAnsi="Arial" w:cs="Arial"/>
          <w:sz w:val="20"/>
          <w:szCs w:val="20"/>
          <w:lang w:eastAsia="en-US"/>
        </w:rPr>
      </w:pPr>
      <w:r w:rsidRPr="00E73626">
        <w:rPr>
          <w:rFonts w:ascii="Arial" w:eastAsia="Calibri" w:hAnsi="Arial" w:cs="Arial"/>
          <w:sz w:val="20"/>
          <w:szCs w:val="20"/>
          <w:lang w:eastAsia="en-US"/>
        </w:rPr>
        <w:t>Predavanje djelatnice Hrvatskog zavoda za javno zdravstvo „Stres, izvori i načini rješavanja“ dana 17.07.2025.g.</w:t>
      </w:r>
    </w:p>
    <w:p w14:paraId="57DE5E30" w14:textId="77777777" w:rsidR="00E73626" w:rsidRPr="00E73626" w:rsidRDefault="00E73626">
      <w:pPr>
        <w:numPr>
          <w:ilvl w:val="0"/>
          <w:numId w:val="32"/>
        </w:numPr>
        <w:spacing w:after="0" w:line="240" w:lineRule="auto"/>
        <w:contextualSpacing/>
        <w:jc w:val="both"/>
        <w:rPr>
          <w:rFonts w:ascii="Arial" w:eastAsia="Calibri" w:hAnsi="Arial" w:cs="Arial"/>
          <w:sz w:val="20"/>
          <w:szCs w:val="20"/>
          <w:lang w:eastAsia="en-US"/>
        </w:rPr>
      </w:pPr>
      <w:r w:rsidRPr="00E73626">
        <w:rPr>
          <w:rFonts w:ascii="Arial" w:eastAsia="Calibri" w:hAnsi="Arial" w:cs="Arial"/>
          <w:sz w:val="20"/>
          <w:szCs w:val="20"/>
          <w:lang w:eastAsia="en-US"/>
        </w:rPr>
        <w:t>Predavanje djelatnice Hrvatskog zavoda za javno zdravstvo „Osteoporoza“ dana 17.07.2025.g.</w:t>
      </w:r>
    </w:p>
    <w:p w14:paraId="08D04E21" w14:textId="77777777" w:rsidR="00E73626" w:rsidRPr="00E73626" w:rsidRDefault="00E73626">
      <w:pPr>
        <w:numPr>
          <w:ilvl w:val="0"/>
          <w:numId w:val="32"/>
        </w:numPr>
        <w:spacing w:after="0" w:line="240" w:lineRule="auto"/>
        <w:contextualSpacing/>
        <w:jc w:val="both"/>
        <w:rPr>
          <w:rFonts w:ascii="Arial" w:eastAsia="Calibri" w:hAnsi="Arial" w:cs="Arial"/>
          <w:sz w:val="20"/>
          <w:szCs w:val="20"/>
          <w:lang w:eastAsia="en-US"/>
        </w:rPr>
      </w:pPr>
      <w:r w:rsidRPr="00E73626">
        <w:rPr>
          <w:rFonts w:ascii="Arial" w:eastAsia="Calibri" w:hAnsi="Arial" w:cs="Arial"/>
          <w:sz w:val="20"/>
          <w:szCs w:val="20"/>
          <w:lang w:eastAsia="en-US"/>
        </w:rPr>
        <w:t>Motoričke vježbe „Brzi i spretni u zlatnim godinama“ sa djelatnicama Hrvatskog zavoda za javno zdravstvo dana 11.09.2025.g.</w:t>
      </w:r>
    </w:p>
    <w:p w14:paraId="3A51F0AD" w14:textId="77777777" w:rsidR="00E73626" w:rsidRPr="00E73626" w:rsidRDefault="00E73626">
      <w:pPr>
        <w:numPr>
          <w:ilvl w:val="0"/>
          <w:numId w:val="32"/>
        </w:numPr>
        <w:spacing w:after="0" w:line="240" w:lineRule="auto"/>
        <w:contextualSpacing/>
        <w:jc w:val="both"/>
        <w:rPr>
          <w:rFonts w:ascii="Arial" w:eastAsia="Calibri" w:hAnsi="Arial" w:cs="Arial"/>
          <w:sz w:val="20"/>
          <w:szCs w:val="20"/>
          <w:lang w:eastAsia="en-US"/>
        </w:rPr>
      </w:pPr>
      <w:r w:rsidRPr="00E73626">
        <w:rPr>
          <w:rFonts w:ascii="Arial" w:eastAsia="Calibri" w:hAnsi="Arial" w:cs="Arial"/>
          <w:sz w:val="20"/>
          <w:szCs w:val="20"/>
          <w:lang w:eastAsia="en-US"/>
        </w:rPr>
        <w:t>Predavanje djelatnice Hrvatskog zavoda za javno zdravstvo „O čemu ovisi zadovoljstvo životom u trećoj životnoj dobi“ dana 30.10.2025.g.</w:t>
      </w:r>
    </w:p>
    <w:p w14:paraId="6E3A2226" w14:textId="77777777" w:rsidR="00F70946" w:rsidRPr="003A2F86" w:rsidRDefault="00F70946" w:rsidP="00F70946">
      <w:pPr>
        <w:spacing w:after="0" w:line="240" w:lineRule="auto"/>
        <w:contextualSpacing/>
        <w:jc w:val="both"/>
        <w:rPr>
          <w:rFonts w:ascii="Arial" w:eastAsia="Calibri" w:hAnsi="Arial" w:cs="Arial"/>
          <w:sz w:val="20"/>
          <w:szCs w:val="20"/>
          <w:lang w:eastAsia="en-US"/>
        </w:rPr>
      </w:pPr>
    </w:p>
    <w:p w14:paraId="7BA17244" w14:textId="77777777" w:rsidR="00626756" w:rsidRPr="003A2F86" w:rsidRDefault="00626756" w:rsidP="00626756">
      <w:pPr>
        <w:spacing w:after="0" w:line="240" w:lineRule="auto"/>
        <w:jc w:val="both"/>
        <w:rPr>
          <w:rFonts w:ascii="Arial" w:eastAsia="Calibri" w:hAnsi="Arial" w:cs="Arial"/>
          <w:sz w:val="20"/>
          <w:szCs w:val="20"/>
        </w:rPr>
      </w:pPr>
      <w:r w:rsidRPr="003A2F86">
        <w:rPr>
          <w:rFonts w:ascii="Arial" w:eastAsia="Calibri" w:hAnsi="Arial" w:cs="Arial"/>
          <w:sz w:val="20"/>
          <w:szCs w:val="20"/>
        </w:rPr>
        <w:t>Peta aktivnost kojom se planira postići cilj je organiziranje poludnevnih i dnevnih izleta, šetnji, posjeta drugim institucijama te kulturno-umjetničkim i drugim događanjima van Doma</w:t>
      </w:r>
    </w:p>
    <w:p w14:paraId="7BA9A338" w14:textId="77777777" w:rsidR="00626756" w:rsidRPr="003A2F86" w:rsidRDefault="00626756" w:rsidP="00626756">
      <w:pPr>
        <w:spacing w:after="0" w:line="240" w:lineRule="auto"/>
        <w:jc w:val="both"/>
        <w:rPr>
          <w:rFonts w:ascii="Arial" w:eastAsia="Calibri" w:hAnsi="Arial" w:cs="Arial"/>
          <w:sz w:val="20"/>
          <w:szCs w:val="20"/>
        </w:rPr>
      </w:pPr>
    </w:p>
    <w:tbl>
      <w:tblPr>
        <w:tblStyle w:val="TableGrid24"/>
        <w:tblW w:w="14651" w:type="dxa"/>
        <w:jc w:val="center"/>
        <w:tblLayout w:type="fixed"/>
        <w:tblLook w:val="04A0" w:firstRow="1" w:lastRow="0" w:firstColumn="1" w:lastColumn="0" w:noHBand="0" w:noVBand="1"/>
      </w:tblPr>
      <w:tblGrid>
        <w:gridCol w:w="2122"/>
        <w:gridCol w:w="3260"/>
        <w:gridCol w:w="1236"/>
        <w:gridCol w:w="1134"/>
        <w:gridCol w:w="1134"/>
        <w:gridCol w:w="1435"/>
        <w:gridCol w:w="1417"/>
        <w:gridCol w:w="1417"/>
        <w:gridCol w:w="1496"/>
      </w:tblGrid>
      <w:tr w:rsidR="00E32306" w:rsidRPr="003A2F86" w14:paraId="37736F96" w14:textId="77777777" w:rsidTr="008F1970">
        <w:trPr>
          <w:jc w:val="center"/>
        </w:trPr>
        <w:tc>
          <w:tcPr>
            <w:tcW w:w="2122" w:type="dxa"/>
            <w:shd w:val="clear" w:color="auto" w:fill="BFBFBF" w:themeFill="background1" w:themeFillShade="BF"/>
            <w:vAlign w:val="center"/>
          </w:tcPr>
          <w:p w14:paraId="35E799C0" w14:textId="77777777" w:rsidR="00E32306" w:rsidRPr="003A2F86" w:rsidRDefault="00E32306" w:rsidP="00E32306">
            <w:pPr>
              <w:jc w:val="center"/>
              <w:rPr>
                <w:rFonts w:ascii="Arial" w:eastAsia="Calibri" w:hAnsi="Arial" w:cs="Arial"/>
              </w:rPr>
            </w:pPr>
            <w:r w:rsidRPr="003A2F86">
              <w:rPr>
                <w:rFonts w:ascii="Arial" w:eastAsia="Calibri" w:hAnsi="Arial" w:cs="Arial"/>
              </w:rPr>
              <w:lastRenderedPageBreak/>
              <w:t>Pokazatelj uspješnosti</w:t>
            </w:r>
          </w:p>
        </w:tc>
        <w:tc>
          <w:tcPr>
            <w:tcW w:w="3260" w:type="dxa"/>
            <w:shd w:val="clear" w:color="auto" w:fill="BFBFBF" w:themeFill="background1" w:themeFillShade="BF"/>
            <w:vAlign w:val="center"/>
          </w:tcPr>
          <w:p w14:paraId="11021EB7" w14:textId="77777777" w:rsidR="00E32306" w:rsidRPr="003A2F86" w:rsidRDefault="00E32306" w:rsidP="00E32306">
            <w:pPr>
              <w:jc w:val="center"/>
              <w:rPr>
                <w:rFonts w:ascii="Arial" w:eastAsia="Calibri" w:hAnsi="Arial" w:cs="Arial"/>
              </w:rPr>
            </w:pPr>
            <w:r w:rsidRPr="003A2F86">
              <w:rPr>
                <w:rFonts w:ascii="Arial" w:eastAsia="Calibri" w:hAnsi="Arial" w:cs="Arial"/>
              </w:rPr>
              <w:t>Definicija</w:t>
            </w:r>
          </w:p>
        </w:tc>
        <w:tc>
          <w:tcPr>
            <w:tcW w:w="1236" w:type="dxa"/>
            <w:shd w:val="clear" w:color="auto" w:fill="BFBFBF" w:themeFill="background1" w:themeFillShade="BF"/>
            <w:vAlign w:val="center"/>
          </w:tcPr>
          <w:p w14:paraId="1960FC4B" w14:textId="77777777" w:rsidR="00E32306" w:rsidRPr="003A2F86" w:rsidRDefault="00E32306" w:rsidP="00E32306">
            <w:pPr>
              <w:jc w:val="center"/>
              <w:rPr>
                <w:rFonts w:ascii="Arial" w:eastAsia="Calibri" w:hAnsi="Arial" w:cs="Arial"/>
              </w:rPr>
            </w:pPr>
            <w:r w:rsidRPr="003A2F86">
              <w:rPr>
                <w:rFonts w:ascii="Arial" w:eastAsia="Calibri" w:hAnsi="Arial" w:cs="Arial"/>
              </w:rPr>
              <w:t>Jedinica</w:t>
            </w:r>
          </w:p>
        </w:tc>
        <w:tc>
          <w:tcPr>
            <w:tcW w:w="1134" w:type="dxa"/>
            <w:shd w:val="clear" w:color="auto" w:fill="BFBFBF" w:themeFill="background1" w:themeFillShade="BF"/>
            <w:vAlign w:val="center"/>
          </w:tcPr>
          <w:p w14:paraId="21FE599F" w14:textId="77777777" w:rsidR="00E32306" w:rsidRPr="003A2F86" w:rsidRDefault="00E32306" w:rsidP="00E32306">
            <w:pPr>
              <w:jc w:val="center"/>
              <w:rPr>
                <w:rFonts w:ascii="Arial" w:eastAsia="Calibri" w:hAnsi="Arial" w:cs="Arial"/>
              </w:rPr>
            </w:pPr>
            <w:r w:rsidRPr="003A2F86">
              <w:rPr>
                <w:rFonts w:ascii="Arial" w:eastAsia="Calibri" w:hAnsi="Arial" w:cs="Arial"/>
              </w:rPr>
              <w:t>Polazna vrijednost</w:t>
            </w:r>
          </w:p>
          <w:p w14:paraId="0DB7BF58" w14:textId="35C0F437" w:rsidR="00E32306" w:rsidRPr="003A2F86" w:rsidRDefault="00E32306" w:rsidP="00E32306">
            <w:pPr>
              <w:jc w:val="center"/>
              <w:rPr>
                <w:rFonts w:ascii="Arial" w:eastAsia="Calibri" w:hAnsi="Arial" w:cs="Arial"/>
              </w:rPr>
            </w:pPr>
            <w:r w:rsidRPr="003A2F86">
              <w:rPr>
                <w:rFonts w:ascii="Arial" w:eastAsia="Calibri" w:hAnsi="Arial" w:cs="Arial"/>
              </w:rPr>
              <w:t>202</w:t>
            </w:r>
            <w:r>
              <w:rPr>
                <w:rFonts w:ascii="Arial" w:eastAsia="Calibri" w:hAnsi="Arial" w:cs="Arial"/>
              </w:rPr>
              <w:t>4</w:t>
            </w:r>
            <w:r w:rsidRPr="003A2F86">
              <w:rPr>
                <w:rFonts w:ascii="Arial" w:eastAsia="Calibri" w:hAnsi="Arial" w:cs="Arial"/>
              </w:rPr>
              <w:t>.</w:t>
            </w:r>
          </w:p>
        </w:tc>
        <w:tc>
          <w:tcPr>
            <w:tcW w:w="1134" w:type="dxa"/>
            <w:shd w:val="clear" w:color="auto" w:fill="BFBFBF" w:themeFill="background1" w:themeFillShade="BF"/>
            <w:vAlign w:val="center"/>
          </w:tcPr>
          <w:p w14:paraId="5D34573A" w14:textId="4761DEC8" w:rsidR="00E32306" w:rsidRPr="003A2F86" w:rsidRDefault="00E32306" w:rsidP="00E32306">
            <w:pPr>
              <w:jc w:val="center"/>
              <w:rPr>
                <w:rFonts w:ascii="Arial" w:eastAsia="Calibri" w:hAnsi="Arial" w:cs="Arial"/>
              </w:rPr>
            </w:pPr>
            <w:r w:rsidRPr="003A2F86">
              <w:rPr>
                <w:rFonts w:ascii="Arial" w:eastAsia="Calibri" w:hAnsi="Arial" w:cs="Arial"/>
              </w:rPr>
              <w:t>Izvor podataka</w:t>
            </w:r>
          </w:p>
        </w:tc>
        <w:tc>
          <w:tcPr>
            <w:tcW w:w="1435" w:type="dxa"/>
            <w:shd w:val="clear" w:color="auto" w:fill="BFBFBF" w:themeFill="background1" w:themeFillShade="BF"/>
            <w:vAlign w:val="center"/>
          </w:tcPr>
          <w:p w14:paraId="3C03381E" w14:textId="4291DD94" w:rsidR="00E32306" w:rsidRPr="003A2F86" w:rsidRDefault="00E32306" w:rsidP="00E32306">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5</w:t>
            </w:r>
            <w:r w:rsidRPr="003A2F86">
              <w:rPr>
                <w:rFonts w:ascii="Arial" w:eastAsia="Calibri" w:hAnsi="Arial" w:cs="Arial"/>
              </w:rPr>
              <w:t>.</w:t>
            </w:r>
          </w:p>
        </w:tc>
        <w:tc>
          <w:tcPr>
            <w:tcW w:w="1417" w:type="dxa"/>
            <w:shd w:val="clear" w:color="auto" w:fill="BFBFBF" w:themeFill="background1" w:themeFillShade="BF"/>
            <w:vAlign w:val="center"/>
          </w:tcPr>
          <w:p w14:paraId="628CADE3" w14:textId="003B4BA2" w:rsidR="00E32306" w:rsidRPr="003A2F86" w:rsidRDefault="00E32306" w:rsidP="00E32306">
            <w:pPr>
              <w:jc w:val="center"/>
              <w:rPr>
                <w:rFonts w:ascii="Arial" w:eastAsia="Calibri" w:hAnsi="Arial" w:cs="Arial"/>
              </w:rPr>
            </w:pPr>
            <w:r w:rsidRPr="003A2F86">
              <w:rPr>
                <w:rFonts w:ascii="Arial" w:eastAsia="Calibri" w:hAnsi="Arial" w:cs="Arial"/>
              </w:rPr>
              <w:t>Ostvareno u izvještajnom razdoblju</w:t>
            </w:r>
          </w:p>
        </w:tc>
        <w:tc>
          <w:tcPr>
            <w:tcW w:w="1417" w:type="dxa"/>
            <w:shd w:val="clear" w:color="auto" w:fill="BFBFBF" w:themeFill="background1" w:themeFillShade="BF"/>
            <w:vAlign w:val="center"/>
          </w:tcPr>
          <w:p w14:paraId="49F7D93F" w14:textId="5E7FDDF7" w:rsidR="00E32306" w:rsidRPr="003A2F86" w:rsidRDefault="00E32306" w:rsidP="00E32306">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6</w:t>
            </w:r>
            <w:r w:rsidRPr="003A2F86">
              <w:rPr>
                <w:rFonts w:ascii="Arial" w:eastAsia="Calibri" w:hAnsi="Arial" w:cs="Arial"/>
              </w:rPr>
              <w:t>.</w:t>
            </w:r>
          </w:p>
        </w:tc>
        <w:tc>
          <w:tcPr>
            <w:tcW w:w="1496" w:type="dxa"/>
            <w:shd w:val="clear" w:color="auto" w:fill="BFBFBF" w:themeFill="background1" w:themeFillShade="BF"/>
            <w:vAlign w:val="center"/>
          </w:tcPr>
          <w:p w14:paraId="4456226C" w14:textId="5EA70031" w:rsidR="00E32306" w:rsidRPr="003A2F86" w:rsidRDefault="00E32306" w:rsidP="00E32306">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7</w:t>
            </w:r>
            <w:r w:rsidRPr="003A2F86">
              <w:rPr>
                <w:rFonts w:ascii="Arial" w:eastAsia="Calibri" w:hAnsi="Arial" w:cs="Arial"/>
              </w:rPr>
              <w:t>.</w:t>
            </w:r>
          </w:p>
        </w:tc>
      </w:tr>
      <w:tr w:rsidR="00626756" w:rsidRPr="003A2F86" w14:paraId="1CC906A8" w14:textId="77777777" w:rsidTr="008F1970">
        <w:trPr>
          <w:trHeight w:val="274"/>
          <w:jc w:val="center"/>
        </w:trPr>
        <w:tc>
          <w:tcPr>
            <w:tcW w:w="2122" w:type="dxa"/>
            <w:vAlign w:val="center"/>
          </w:tcPr>
          <w:p w14:paraId="628CABFA" w14:textId="77777777" w:rsidR="00626756" w:rsidRPr="003A2F86" w:rsidRDefault="00626756" w:rsidP="00B223BA">
            <w:pPr>
              <w:rPr>
                <w:rFonts w:ascii="Arial" w:eastAsia="Calibri" w:hAnsi="Arial" w:cs="Arial"/>
                <w:sz w:val="18"/>
                <w:szCs w:val="18"/>
              </w:rPr>
            </w:pPr>
            <w:r w:rsidRPr="003A2F86">
              <w:rPr>
                <w:rFonts w:ascii="Arial" w:eastAsia="Calibri" w:hAnsi="Arial" w:cs="Arial"/>
                <w:sz w:val="18"/>
                <w:szCs w:val="18"/>
              </w:rPr>
              <w:t>Povećanje broja izleta i posjeta van Doma</w:t>
            </w:r>
          </w:p>
        </w:tc>
        <w:tc>
          <w:tcPr>
            <w:tcW w:w="3260" w:type="dxa"/>
            <w:vAlign w:val="center"/>
          </w:tcPr>
          <w:p w14:paraId="49AE7188" w14:textId="77777777" w:rsidR="00626756" w:rsidRPr="003A2F86" w:rsidRDefault="00626756" w:rsidP="00B223BA">
            <w:pPr>
              <w:rPr>
                <w:rFonts w:ascii="Arial" w:eastAsia="Calibri" w:hAnsi="Arial" w:cs="Arial"/>
                <w:sz w:val="18"/>
                <w:szCs w:val="18"/>
              </w:rPr>
            </w:pPr>
            <w:r w:rsidRPr="003A2F86">
              <w:rPr>
                <w:rFonts w:ascii="Arial" w:eastAsia="Calibri" w:hAnsi="Arial" w:cs="Arial"/>
                <w:sz w:val="18"/>
                <w:szCs w:val="18"/>
              </w:rPr>
              <w:t>Organiziranjem izleta i posjeta van Doma potiče se međusobno druženje, zadovoljstvo, promicanje aktivnog starenja te smanjenje osjećaja osamljenosti i izoliranosti</w:t>
            </w:r>
          </w:p>
        </w:tc>
        <w:tc>
          <w:tcPr>
            <w:tcW w:w="1236" w:type="dxa"/>
            <w:vAlign w:val="center"/>
          </w:tcPr>
          <w:p w14:paraId="444654D5" w14:textId="77777777" w:rsidR="00626756" w:rsidRPr="003A2F86" w:rsidRDefault="00626756" w:rsidP="00B223BA">
            <w:pPr>
              <w:jc w:val="center"/>
              <w:rPr>
                <w:rFonts w:ascii="Arial" w:eastAsia="Calibri" w:hAnsi="Arial" w:cs="Arial"/>
                <w:sz w:val="16"/>
                <w:szCs w:val="16"/>
              </w:rPr>
            </w:pPr>
            <w:r w:rsidRPr="003A2F86">
              <w:rPr>
                <w:rFonts w:ascii="Arial" w:eastAsia="Calibri" w:hAnsi="Arial" w:cs="Arial"/>
                <w:sz w:val="16"/>
                <w:szCs w:val="16"/>
              </w:rPr>
              <w:t>Broj organiziranih izleta i posjeta van Doma</w:t>
            </w:r>
          </w:p>
        </w:tc>
        <w:tc>
          <w:tcPr>
            <w:tcW w:w="1134" w:type="dxa"/>
            <w:vAlign w:val="center"/>
          </w:tcPr>
          <w:p w14:paraId="593154D5" w14:textId="10164D44" w:rsidR="00626756" w:rsidRPr="003A2F86" w:rsidRDefault="00E32306" w:rsidP="00B223BA">
            <w:pPr>
              <w:jc w:val="center"/>
              <w:rPr>
                <w:rFonts w:ascii="Arial" w:eastAsia="Calibri" w:hAnsi="Arial" w:cs="Arial"/>
                <w:sz w:val="18"/>
                <w:szCs w:val="18"/>
              </w:rPr>
            </w:pPr>
            <w:r>
              <w:rPr>
                <w:rFonts w:ascii="Arial" w:eastAsia="Calibri" w:hAnsi="Arial" w:cs="Arial"/>
                <w:sz w:val="18"/>
                <w:szCs w:val="18"/>
              </w:rPr>
              <w:t>7</w:t>
            </w:r>
          </w:p>
        </w:tc>
        <w:tc>
          <w:tcPr>
            <w:tcW w:w="1134" w:type="dxa"/>
            <w:vAlign w:val="center"/>
          </w:tcPr>
          <w:p w14:paraId="549046F8" w14:textId="77777777" w:rsidR="00626756" w:rsidRPr="003A2F86" w:rsidRDefault="00626756" w:rsidP="00B223BA">
            <w:pPr>
              <w:jc w:val="center"/>
              <w:rPr>
                <w:rFonts w:ascii="Arial" w:eastAsia="Calibri" w:hAnsi="Arial" w:cs="Arial"/>
                <w:sz w:val="18"/>
                <w:szCs w:val="18"/>
              </w:rPr>
            </w:pPr>
            <w:r w:rsidRPr="003A2F86">
              <w:rPr>
                <w:rFonts w:ascii="Arial" w:eastAsia="Calibri" w:hAnsi="Arial" w:cs="Arial"/>
                <w:sz w:val="18"/>
                <w:szCs w:val="18"/>
              </w:rPr>
              <w:t>Dom</w:t>
            </w:r>
          </w:p>
        </w:tc>
        <w:tc>
          <w:tcPr>
            <w:tcW w:w="1435" w:type="dxa"/>
            <w:vAlign w:val="center"/>
          </w:tcPr>
          <w:p w14:paraId="3DFF7EE5" w14:textId="651EEDCB" w:rsidR="00626756" w:rsidRPr="003A2F86" w:rsidRDefault="00E32306" w:rsidP="00B223BA">
            <w:pPr>
              <w:jc w:val="center"/>
              <w:rPr>
                <w:rFonts w:ascii="Arial" w:eastAsia="Calibri" w:hAnsi="Arial" w:cs="Arial"/>
                <w:sz w:val="18"/>
                <w:szCs w:val="18"/>
              </w:rPr>
            </w:pPr>
            <w:r>
              <w:rPr>
                <w:rFonts w:ascii="Arial" w:eastAsia="Calibri" w:hAnsi="Arial" w:cs="Arial"/>
                <w:sz w:val="18"/>
                <w:szCs w:val="18"/>
              </w:rPr>
              <w:t>7</w:t>
            </w:r>
          </w:p>
        </w:tc>
        <w:tc>
          <w:tcPr>
            <w:tcW w:w="1417" w:type="dxa"/>
            <w:vAlign w:val="center"/>
          </w:tcPr>
          <w:p w14:paraId="0DB3F920" w14:textId="2CB7FECC" w:rsidR="00626756" w:rsidRPr="003A2F86" w:rsidRDefault="00E73626" w:rsidP="00B223BA">
            <w:pPr>
              <w:jc w:val="center"/>
              <w:rPr>
                <w:rFonts w:ascii="Arial" w:eastAsia="Calibri" w:hAnsi="Arial" w:cs="Arial"/>
                <w:sz w:val="18"/>
                <w:szCs w:val="18"/>
              </w:rPr>
            </w:pPr>
            <w:r>
              <w:rPr>
                <w:rFonts w:ascii="Arial" w:eastAsia="Calibri" w:hAnsi="Arial" w:cs="Arial"/>
                <w:sz w:val="18"/>
                <w:szCs w:val="18"/>
              </w:rPr>
              <w:t>7</w:t>
            </w:r>
          </w:p>
        </w:tc>
        <w:tc>
          <w:tcPr>
            <w:tcW w:w="1417" w:type="dxa"/>
            <w:vAlign w:val="center"/>
          </w:tcPr>
          <w:p w14:paraId="4C69039C" w14:textId="009F077B" w:rsidR="00626756" w:rsidRPr="003A2F86" w:rsidRDefault="00F70946" w:rsidP="00B223BA">
            <w:pPr>
              <w:jc w:val="center"/>
              <w:rPr>
                <w:rFonts w:ascii="Arial" w:eastAsia="Calibri" w:hAnsi="Arial" w:cs="Arial"/>
                <w:sz w:val="18"/>
                <w:szCs w:val="18"/>
              </w:rPr>
            </w:pPr>
            <w:r>
              <w:rPr>
                <w:rFonts w:ascii="Arial" w:eastAsia="Calibri" w:hAnsi="Arial" w:cs="Arial"/>
                <w:sz w:val="18"/>
                <w:szCs w:val="18"/>
              </w:rPr>
              <w:t>7</w:t>
            </w:r>
          </w:p>
        </w:tc>
        <w:tc>
          <w:tcPr>
            <w:tcW w:w="1496" w:type="dxa"/>
            <w:vAlign w:val="center"/>
          </w:tcPr>
          <w:p w14:paraId="73BC6058" w14:textId="30C6A2F8" w:rsidR="00626756" w:rsidRPr="003A2F86" w:rsidRDefault="00F70946" w:rsidP="00B223BA">
            <w:pPr>
              <w:jc w:val="center"/>
              <w:rPr>
                <w:rFonts w:ascii="Arial" w:eastAsia="Calibri" w:hAnsi="Arial" w:cs="Arial"/>
                <w:sz w:val="18"/>
                <w:szCs w:val="18"/>
              </w:rPr>
            </w:pPr>
            <w:r>
              <w:rPr>
                <w:rFonts w:ascii="Arial" w:eastAsia="Calibri" w:hAnsi="Arial" w:cs="Arial"/>
                <w:sz w:val="18"/>
                <w:szCs w:val="18"/>
              </w:rPr>
              <w:t>7</w:t>
            </w:r>
          </w:p>
        </w:tc>
      </w:tr>
    </w:tbl>
    <w:p w14:paraId="73427F4B" w14:textId="77777777" w:rsidR="008F1970" w:rsidRPr="003A2F86" w:rsidRDefault="008F1970" w:rsidP="00626756">
      <w:pPr>
        <w:spacing w:after="0" w:line="240" w:lineRule="auto"/>
        <w:jc w:val="both"/>
        <w:rPr>
          <w:rFonts w:ascii="Arial" w:eastAsia="Calibri" w:hAnsi="Arial" w:cs="Arial"/>
          <w:sz w:val="20"/>
          <w:szCs w:val="20"/>
          <w:lang w:eastAsia="en-US"/>
        </w:rPr>
      </w:pPr>
    </w:p>
    <w:p w14:paraId="2F5584FA" w14:textId="77777777" w:rsidR="00E73626" w:rsidRPr="006074CC" w:rsidRDefault="00E73626" w:rsidP="00E73626">
      <w:pPr>
        <w:spacing w:after="0" w:line="240" w:lineRule="auto"/>
        <w:jc w:val="both"/>
        <w:rPr>
          <w:rFonts w:ascii="Arial" w:eastAsia="Calibri" w:hAnsi="Arial" w:cs="Arial"/>
          <w:sz w:val="20"/>
          <w:szCs w:val="20"/>
        </w:rPr>
      </w:pPr>
      <w:r w:rsidRPr="006074CC">
        <w:rPr>
          <w:rFonts w:ascii="Arial" w:eastAsia="Calibri" w:hAnsi="Arial" w:cs="Arial"/>
          <w:sz w:val="20"/>
          <w:szCs w:val="20"/>
        </w:rPr>
        <w:t>Organizirani izleti i posjete van Doma u izvještajnom razdoblju su:</w:t>
      </w:r>
    </w:p>
    <w:p w14:paraId="7EDB2DBA" w14:textId="77777777" w:rsidR="00E73626" w:rsidRPr="000A4A1A" w:rsidRDefault="00E73626" w:rsidP="00E73626">
      <w:pPr>
        <w:spacing w:after="0" w:line="240" w:lineRule="auto"/>
        <w:jc w:val="both"/>
        <w:rPr>
          <w:rFonts w:ascii="Arial" w:eastAsia="Calibri" w:hAnsi="Arial" w:cs="Arial"/>
          <w:sz w:val="20"/>
          <w:szCs w:val="20"/>
        </w:rPr>
      </w:pPr>
    </w:p>
    <w:p w14:paraId="397640A4" w14:textId="77777777" w:rsidR="00E73626" w:rsidRPr="005F2A2D" w:rsidRDefault="00E73626" w:rsidP="00E73626">
      <w:pPr>
        <w:numPr>
          <w:ilvl w:val="0"/>
          <w:numId w:val="2"/>
        </w:numPr>
        <w:spacing w:after="0" w:line="240" w:lineRule="auto"/>
        <w:contextualSpacing/>
        <w:jc w:val="both"/>
        <w:rPr>
          <w:rFonts w:ascii="Arial" w:eastAsia="Calibri" w:hAnsi="Arial" w:cs="Arial"/>
          <w:sz w:val="20"/>
          <w:szCs w:val="20"/>
        </w:rPr>
      </w:pPr>
      <w:r w:rsidRPr="005F2A2D">
        <w:rPr>
          <w:rFonts w:ascii="Arial" w:eastAsia="Calibri" w:hAnsi="Arial" w:cs="Arial"/>
          <w:sz w:val="20"/>
          <w:szCs w:val="20"/>
        </w:rPr>
        <w:t>Izlet i roštiljada na Prevlaci dana 05.06.2025.g.</w:t>
      </w:r>
    </w:p>
    <w:p w14:paraId="089AA807" w14:textId="77777777" w:rsidR="00E73626" w:rsidRDefault="00E73626" w:rsidP="00E73626">
      <w:pPr>
        <w:numPr>
          <w:ilvl w:val="0"/>
          <w:numId w:val="2"/>
        </w:numPr>
        <w:spacing w:after="0" w:line="240" w:lineRule="auto"/>
        <w:contextualSpacing/>
        <w:jc w:val="both"/>
        <w:rPr>
          <w:rFonts w:ascii="Arial" w:eastAsia="Calibri" w:hAnsi="Arial" w:cs="Arial"/>
          <w:sz w:val="20"/>
          <w:szCs w:val="20"/>
        </w:rPr>
      </w:pPr>
      <w:r w:rsidRPr="005F2A2D">
        <w:rPr>
          <w:rFonts w:ascii="Arial" w:eastAsia="Calibri" w:hAnsi="Arial" w:cs="Arial"/>
          <w:sz w:val="20"/>
          <w:szCs w:val="20"/>
        </w:rPr>
        <w:t>Prisustvovanje misnom slavlju i proce</w:t>
      </w:r>
      <w:r>
        <w:rPr>
          <w:rFonts w:ascii="Arial" w:eastAsia="Calibri" w:hAnsi="Arial" w:cs="Arial"/>
          <w:sz w:val="20"/>
          <w:szCs w:val="20"/>
        </w:rPr>
        <w:t>siji u Pridvorju dana 13.06.2025</w:t>
      </w:r>
      <w:r w:rsidRPr="005F2A2D">
        <w:rPr>
          <w:rFonts w:ascii="Arial" w:eastAsia="Calibri" w:hAnsi="Arial" w:cs="Arial"/>
          <w:sz w:val="20"/>
          <w:szCs w:val="20"/>
        </w:rPr>
        <w:t>.g.</w:t>
      </w:r>
    </w:p>
    <w:p w14:paraId="302CBCDB" w14:textId="77777777" w:rsidR="00E73626" w:rsidRDefault="00E73626" w:rsidP="00E73626">
      <w:pPr>
        <w:numPr>
          <w:ilvl w:val="0"/>
          <w:numId w:val="2"/>
        </w:numPr>
        <w:spacing w:after="0" w:line="240" w:lineRule="auto"/>
        <w:contextualSpacing/>
        <w:jc w:val="both"/>
        <w:rPr>
          <w:rFonts w:ascii="Arial" w:eastAsia="Calibri" w:hAnsi="Arial" w:cs="Arial"/>
          <w:sz w:val="20"/>
          <w:szCs w:val="20"/>
        </w:rPr>
      </w:pPr>
      <w:r>
        <w:rPr>
          <w:rFonts w:ascii="Arial" w:eastAsia="Calibri" w:hAnsi="Arial" w:cs="Arial"/>
          <w:sz w:val="20"/>
          <w:szCs w:val="20"/>
        </w:rPr>
        <w:t>Izlet na Prevlaku dana 10.10.2025.g.</w:t>
      </w:r>
    </w:p>
    <w:p w14:paraId="3F55ECC2" w14:textId="77777777" w:rsidR="00E73626" w:rsidRDefault="00E73626" w:rsidP="00E73626">
      <w:pPr>
        <w:numPr>
          <w:ilvl w:val="0"/>
          <w:numId w:val="2"/>
        </w:numPr>
        <w:spacing w:after="0" w:line="240" w:lineRule="auto"/>
        <w:contextualSpacing/>
        <w:jc w:val="both"/>
        <w:rPr>
          <w:rFonts w:ascii="Arial" w:eastAsia="Calibri" w:hAnsi="Arial" w:cs="Arial"/>
          <w:sz w:val="20"/>
          <w:szCs w:val="20"/>
        </w:rPr>
      </w:pPr>
      <w:r>
        <w:rPr>
          <w:rFonts w:ascii="Arial" w:eastAsia="Calibri" w:hAnsi="Arial" w:cs="Arial"/>
          <w:sz w:val="20"/>
          <w:szCs w:val="20"/>
        </w:rPr>
        <w:t xml:space="preserve">Prisustvovanje sportskom natjecanju „Zdravo stari, za godine ne mari“ u Dubrovniku dana 23.10.2025.g. </w:t>
      </w:r>
    </w:p>
    <w:p w14:paraId="5E68A817" w14:textId="77777777" w:rsidR="00E73626" w:rsidRPr="005F2A2D" w:rsidRDefault="00E73626" w:rsidP="00E73626">
      <w:pPr>
        <w:numPr>
          <w:ilvl w:val="0"/>
          <w:numId w:val="2"/>
        </w:numPr>
        <w:spacing w:after="0" w:line="240" w:lineRule="auto"/>
        <w:contextualSpacing/>
        <w:jc w:val="both"/>
        <w:rPr>
          <w:rFonts w:ascii="Arial" w:eastAsia="Calibri" w:hAnsi="Arial" w:cs="Arial"/>
          <w:sz w:val="20"/>
          <w:szCs w:val="20"/>
        </w:rPr>
      </w:pPr>
      <w:r>
        <w:rPr>
          <w:rFonts w:ascii="Arial" w:eastAsia="Calibri" w:hAnsi="Arial" w:cs="Arial"/>
          <w:sz w:val="20"/>
          <w:szCs w:val="20"/>
        </w:rPr>
        <w:t>Novogodišnji ručak u obiteljskoj konobi Glavić dana 30.12.2025.g.</w:t>
      </w:r>
    </w:p>
    <w:p w14:paraId="1B019DC0" w14:textId="77777777" w:rsidR="00F70946" w:rsidRPr="003A2F86" w:rsidRDefault="00F70946" w:rsidP="00626756">
      <w:pPr>
        <w:spacing w:after="0" w:line="240" w:lineRule="auto"/>
        <w:jc w:val="both"/>
        <w:rPr>
          <w:rFonts w:ascii="Arial" w:eastAsia="Calibri" w:hAnsi="Arial" w:cs="Arial"/>
          <w:sz w:val="20"/>
          <w:szCs w:val="20"/>
        </w:rPr>
      </w:pPr>
    </w:p>
    <w:p w14:paraId="402A0900" w14:textId="77777777" w:rsidR="00626756" w:rsidRPr="003A2F86" w:rsidRDefault="00626756" w:rsidP="00626756">
      <w:pPr>
        <w:spacing w:after="0" w:line="240" w:lineRule="auto"/>
        <w:jc w:val="both"/>
        <w:rPr>
          <w:rFonts w:ascii="Arial" w:eastAsia="Calibri" w:hAnsi="Arial" w:cs="Arial"/>
          <w:sz w:val="20"/>
          <w:szCs w:val="20"/>
          <w:u w:val="single"/>
        </w:rPr>
      </w:pPr>
      <w:r w:rsidRPr="003A2F86">
        <w:rPr>
          <w:rFonts w:ascii="Arial" w:eastAsia="Calibri" w:hAnsi="Arial" w:cs="Arial"/>
          <w:b/>
          <w:sz w:val="20"/>
          <w:szCs w:val="20"/>
          <w:u w:val="single"/>
        </w:rPr>
        <w:t>Cilj:</w:t>
      </w:r>
      <w:r w:rsidRPr="003A2F86">
        <w:rPr>
          <w:rFonts w:ascii="Arial" w:eastAsia="Calibri" w:hAnsi="Arial" w:cs="Arial"/>
          <w:sz w:val="20"/>
          <w:szCs w:val="20"/>
          <w:u w:val="single"/>
        </w:rPr>
        <w:t xml:space="preserve"> Senzibilizacija javnosti za potrebe starijih osoba</w:t>
      </w:r>
    </w:p>
    <w:p w14:paraId="27A82BA7" w14:textId="77777777" w:rsidR="00626756" w:rsidRPr="003A2F86" w:rsidRDefault="00626756" w:rsidP="00626756">
      <w:pPr>
        <w:spacing w:after="0" w:line="240" w:lineRule="auto"/>
        <w:jc w:val="both"/>
        <w:rPr>
          <w:rFonts w:ascii="Arial" w:eastAsia="Calibri" w:hAnsi="Arial" w:cs="Arial"/>
          <w:sz w:val="20"/>
          <w:szCs w:val="20"/>
        </w:rPr>
      </w:pPr>
    </w:p>
    <w:p w14:paraId="799F79A9" w14:textId="77777777" w:rsidR="00626756" w:rsidRPr="003A2F86" w:rsidRDefault="00626756" w:rsidP="00626756">
      <w:pPr>
        <w:spacing w:after="0" w:line="240" w:lineRule="auto"/>
        <w:jc w:val="both"/>
        <w:rPr>
          <w:rFonts w:ascii="Arial" w:eastAsia="Calibri" w:hAnsi="Arial" w:cs="Arial"/>
          <w:sz w:val="20"/>
          <w:szCs w:val="20"/>
        </w:rPr>
      </w:pPr>
      <w:r w:rsidRPr="003A2F86">
        <w:rPr>
          <w:rFonts w:ascii="Arial" w:eastAsia="Calibri" w:hAnsi="Arial" w:cs="Arial"/>
          <w:sz w:val="20"/>
          <w:szCs w:val="20"/>
        </w:rPr>
        <w:t>Jedna od aktivnosti kojom želimo ostvariti ovaj cilj je organiziranje posjeta vrtića i škola kroz zajednička druženja s korisnicima Doma kako bi razbili stereotipe i predrasude mlađih uzrasta prema starijim osobama koji vode diskriminaciji starijih i nemoćnih osoba</w:t>
      </w:r>
    </w:p>
    <w:p w14:paraId="760B39FC" w14:textId="77777777" w:rsidR="00626756" w:rsidRPr="003A2F86" w:rsidRDefault="00626756" w:rsidP="00626756">
      <w:pPr>
        <w:spacing w:after="0" w:line="240" w:lineRule="auto"/>
        <w:jc w:val="both"/>
        <w:rPr>
          <w:rFonts w:ascii="Arial" w:eastAsia="Calibri" w:hAnsi="Arial" w:cs="Arial"/>
          <w:sz w:val="20"/>
          <w:szCs w:val="20"/>
        </w:rPr>
      </w:pPr>
    </w:p>
    <w:tbl>
      <w:tblPr>
        <w:tblStyle w:val="TableGrid24"/>
        <w:tblW w:w="14651" w:type="dxa"/>
        <w:jc w:val="center"/>
        <w:tblLayout w:type="fixed"/>
        <w:tblLook w:val="04A0" w:firstRow="1" w:lastRow="0" w:firstColumn="1" w:lastColumn="0" w:noHBand="0" w:noVBand="1"/>
      </w:tblPr>
      <w:tblGrid>
        <w:gridCol w:w="2122"/>
        <w:gridCol w:w="3238"/>
        <w:gridCol w:w="1258"/>
        <w:gridCol w:w="1134"/>
        <w:gridCol w:w="1134"/>
        <w:gridCol w:w="1435"/>
        <w:gridCol w:w="1417"/>
        <w:gridCol w:w="1417"/>
        <w:gridCol w:w="1496"/>
      </w:tblGrid>
      <w:tr w:rsidR="00E32306" w:rsidRPr="003A2F86" w14:paraId="1B403EC1" w14:textId="77777777" w:rsidTr="00923DED">
        <w:trPr>
          <w:jc w:val="center"/>
        </w:trPr>
        <w:tc>
          <w:tcPr>
            <w:tcW w:w="2122" w:type="dxa"/>
            <w:shd w:val="clear" w:color="auto" w:fill="BFBFBF" w:themeFill="background1" w:themeFillShade="BF"/>
            <w:vAlign w:val="center"/>
          </w:tcPr>
          <w:p w14:paraId="27BC6079" w14:textId="77777777" w:rsidR="00E32306" w:rsidRPr="003A2F86" w:rsidRDefault="00E32306" w:rsidP="00E32306">
            <w:pPr>
              <w:jc w:val="center"/>
              <w:rPr>
                <w:rFonts w:ascii="Arial" w:eastAsia="Calibri" w:hAnsi="Arial" w:cs="Arial"/>
              </w:rPr>
            </w:pPr>
            <w:r w:rsidRPr="003A2F86">
              <w:rPr>
                <w:rFonts w:ascii="Arial" w:eastAsia="Calibri" w:hAnsi="Arial" w:cs="Arial"/>
              </w:rPr>
              <w:t>Pokazatelj uspješnosti</w:t>
            </w:r>
          </w:p>
        </w:tc>
        <w:tc>
          <w:tcPr>
            <w:tcW w:w="3238" w:type="dxa"/>
            <w:shd w:val="clear" w:color="auto" w:fill="BFBFBF" w:themeFill="background1" w:themeFillShade="BF"/>
            <w:vAlign w:val="center"/>
          </w:tcPr>
          <w:p w14:paraId="00CDD967" w14:textId="77777777" w:rsidR="00E32306" w:rsidRPr="003A2F86" w:rsidRDefault="00E32306" w:rsidP="00E32306">
            <w:pPr>
              <w:jc w:val="center"/>
              <w:rPr>
                <w:rFonts w:ascii="Arial" w:eastAsia="Calibri" w:hAnsi="Arial" w:cs="Arial"/>
              </w:rPr>
            </w:pPr>
            <w:r w:rsidRPr="003A2F86">
              <w:rPr>
                <w:rFonts w:ascii="Arial" w:eastAsia="Calibri" w:hAnsi="Arial" w:cs="Arial"/>
              </w:rPr>
              <w:t>Definicija</w:t>
            </w:r>
          </w:p>
        </w:tc>
        <w:tc>
          <w:tcPr>
            <w:tcW w:w="1258" w:type="dxa"/>
            <w:shd w:val="clear" w:color="auto" w:fill="BFBFBF" w:themeFill="background1" w:themeFillShade="BF"/>
            <w:vAlign w:val="center"/>
          </w:tcPr>
          <w:p w14:paraId="7419F6EB" w14:textId="77777777" w:rsidR="00E32306" w:rsidRPr="003A2F86" w:rsidRDefault="00E32306" w:rsidP="00E32306">
            <w:pPr>
              <w:jc w:val="center"/>
              <w:rPr>
                <w:rFonts w:ascii="Arial" w:eastAsia="Calibri" w:hAnsi="Arial" w:cs="Arial"/>
              </w:rPr>
            </w:pPr>
            <w:r w:rsidRPr="003A2F86">
              <w:rPr>
                <w:rFonts w:ascii="Arial" w:eastAsia="Calibri" w:hAnsi="Arial" w:cs="Arial"/>
              </w:rPr>
              <w:t>Jedinica</w:t>
            </w:r>
          </w:p>
        </w:tc>
        <w:tc>
          <w:tcPr>
            <w:tcW w:w="1134" w:type="dxa"/>
            <w:shd w:val="clear" w:color="auto" w:fill="BFBFBF" w:themeFill="background1" w:themeFillShade="BF"/>
            <w:vAlign w:val="center"/>
          </w:tcPr>
          <w:p w14:paraId="5BFA6FF6" w14:textId="77777777" w:rsidR="00E32306" w:rsidRPr="003A2F86" w:rsidRDefault="00E32306" w:rsidP="00E32306">
            <w:pPr>
              <w:jc w:val="center"/>
              <w:rPr>
                <w:rFonts w:ascii="Arial" w:eastAsia="Calibri" w:hAnsi="Arial" w:cs="Arial"/>
              </w:rPr>
            </w:pPr>
            <w:r w:rsidRPr="003A2F86">
              <w:rPr>
                <w:rFonts w:ascii="Arial" w:eastAsia="Calibri" w:hAnsi="Arial" w:cs="Arial"/>
              </w:rPr>
              <w:t>Polazna vrijednost</w:t>
            </w:r>
          </w:p>
          <w:p w14:paraId="7D83EBB5" w14:textId="31A613F3" w:rsidR="00E32306" w:rsidRPr="003A2F86" w:rsidRDefault="00E32306" w:rsidP="00E32306">
            <w:pPr>
              <w:jc w:val="center"/>
              <w:rPr>
                <w:rFonts w:ascii="Arial" w:eastAsia="Calibri" w:hAnsi="Arial" w:cs="Arial"/>
              </w:rPr>
            </w:pPr>
            <w:r w:rsidRPr="003A2F86">
              <w:rPr>
                <w:rFonts w:ascii="Arial" w:eastAsia="Calibri" w:hAnsi="Arial" w:cs="Arial"/>
              </w:rPr>
              <w:t>202</w:t>
            </w:r>
            <w:r>
              <w:rPr>
                <w:rFonts w:ascii="Arial" w:eastAsia="Calibri" w:hAnsi="Arial" w:cs="Arial"/>
              </w:rPr>
              <w:t>4</w:t>
            </w:r>
            <w:r w:rsidRPr="003A2F86">
              <w:rPr>
                <w:rFonts w:ascii="Arial" w:eastAsia="Calibri" w:hAnsi="Arial" w:cs="Arial"/>
              </w:rPr>
              <w:t>.</w:t>
            </w:r>
          </w:p>
        </w:tc>
        <w:tc>
          <w:tcPr>
            <w:tcW w:w="1134" w:type="dxa"/>
            <w:shd w:val="clear" w:color="auto" w:fill="BFBFBF" w:themeFill="background1" w:themeFillShade="BF"/>
            <w:vAlign w:val="center"/>
          </w:tcPr>
          <w:p w14:paraId="48F67464" w14:textId="0D087747" w:rsidR="00E32306" w:rsidRPr="003A2F86" w:rsidRDefault="00E32306" w:rsidP="00E32306">
            <w:pPr>
              <w:jc w:val="center"/>
              <w:rPr>
                <w:rFonts w:ascii="Arial" w:eastAsia="Calibri" w:hAnsi="Arial" w:cs="Arial"/>
              </w:rPr>
            </w:pPr>
            <w:r w:rsidRPr="003A2F86">
              <w:rPr>
                <w:rFonts w:ascii="Arial" w:eastAsia="Calibri" w:hAnsi="Arial" w:cs="Arial"/>
              </w:rPr>
              <w:t>Izvor podataka</w:t>
            </w:r>
          </w:p>
        </w:tc>
        <w:tc>
          <w:tcPr>
            <w:tcW w:w="1435" w:type="dxa"/>
            <w:shd w:val="clear" w:color="auto" w:fill="BFBFBF" w:themeFill="background1" w:themeFillShade="BF"/>
            <w:vAlign w:val="center"/>
          </w:tcPr>
          <w:p w14:paraId="31DC0110" w14:textId="2DCB54F0" w:rsidR="00E32306" w:rsidRPr="003A2F86" w:rsidRDefault="00E32306" w:rsidP="00E32306">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5</w:t>
            </w:r>
            <w:r w:rsidRPr="003A2F86">
              <w:rPr>
                <w:rFonts w:ascii="Arial" w:eastAsia="Calibri" w:hAnsi="Arial" w:cs="Arial"/>
              </w:rPr>
              <w:t>.</w:t>
            </w:r>
          </w:p>
        </w:tc>
        <w:tc>
          <w:tcPr>
            <w:tcW w:w="1417" w:type="dxa"/>
            <w:shd w:val="clear" w:color="auto" w:fill="BFBFBF" w:themeFill="background1" w:themeFillShade="BF"/>
            <w:vAlign w:val="center"/>
          </w:tcPr>
          <w:p w14:paraId="60218965" w14:textId="7767AB7F" w:rsidR="00E32306" w:rsidRPr="003A2F86" w:rsidRDefault="00E32306" w:rsidP="00E32306">
            <w:pPr>
              <w:jc w:val="center"/>
              <w:rPr>
                <w:rFonts w:ascii="Arial" w:eastAsia="Calibri" w:hAnsi="Arial" w:cs="Arial"/>
              </w:rPr>
            </w:pPr>
            <w:r w:rsidRPr="003A2F86">
              <w:rPr>
                <w:rFonts w:ascii="Arial" w:eastAsia="Calibri" w:hAnsi="Arial" w:cs="Arial"/>
              </w:rPr>
              <w:t>Ostvareno u izvještajnom razdoblju</w:t>
            </w:r>
          </w:p>
        </w:tc>
        <w:tc>
          <w:tcPr>
            <w:tcW w:w="1417" w:type="dxa"/>
            <w:shd w:val="clear" w:color="auto" w:fill="BFBFBF" w:themeFill="background1" w:themeFillShade="BF"/>
            <w:vAlign w:val="center"/>
          </w:tcPr>
          <w:p w14:paraId="01A0C595" w14:textId="16B0796C" w:rsidR="00E32306" w:rsidRPr="003A2F86" w:rsidRDefault="00E32306" w:rsidP="00E32306">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6</w:t>
            </w:r>
            <w:r w:rsidRPr="003A2F86">
              <w:rPr>
                <w:rFonts w:ascii="Arial" w:eastAsia="Calibri" w:hAnsi="Arial" w:cs="Arial"/>
              </w:rPr>
              <w:t>.</w:t>
            </w:r>
          </w:p>
        </w:tc>
        <w:tc>
          <w:tcPr>
            <w:tcW w:w="1496" w:type="dxa"/>
            <w:shd w:val="clear" w:color="auto" w:fill="BFBFBF" w:themeFill="background1" w:themeFillShade="BF"/>
            <w:vAlign w:val="center"/>
          </w:tcPr>
          <w:p w14:paraId="0FC88919" w14:textId="218BB678" w:rsidR="00E32306" w:rsidRPr="003A2F86" w:rsidRDefault="00E32306" w:rsidP="00E32306">
            <w:pPr>
              <w:jc w:val="center"/>
              <w:rPr>
                <w:rFonts w:ascii="Arial" w:eastAsia="Calibri" w:hAnsi="Arial" w:cs="Arial"/>
              </w:rPr>
            </w:pPr>
            <w:r w:rsidRPr="003A2F86">
              <w:rPr>
                <w:rFonts w:ascii="Arial" w:eastAsia="Calibri" w:hAnsi="Arial" w:cs="Arial"/>
              </w:rPr>
              <w:t>Ciljana vrijed. 202</w:t>
            </w:r>
            <w:r>
              <w:rPr>
                <w:rFonts w:ascii="Arial" w:eastAsia="Calibri" w:hAnsi="Arial" w:cs="Arial"/>
              </w:rPr>
              <w:t>7</w:t>
            </w:r>
            <w:r w:rsidRPr="003A2F86">
              <w:rPr>
                <w:rFonts w:ascii="Arial" w:eastAsia="Calibri" w:hAnsi="Arial" w:cs="Arial"/>
              </w:rPr>
              <w:t>.</w:t>
            </w:r>
          </w:p>
        </w:tc>
      </w:tr>
      <w:tr w:rsidR="00626756" w:rsidRPr="003A2F86" w14:paraId="6AA0ECF9" w14:textId="77777777" w:rsidTr="00923DED">
        <w:trPr>
          <w:trHeight w:val="1023"/>
          <w:jc w:val="center"/>
        </w:trPr>
        <w:tc>
          <w:tcPr>
            <w:tcW w:w="2122" w:type="dxa"/>
            <w:vAlign w:val="center"/>
          </w:tcPr>
          <w:p w14:paraId="0AB439B6" w14:textId="77777777" w:rsidR="00626756" w:rsidRPr="003A2F86" w:rsidRDefault="00626756" w:rsidP="00B223BA">
            <w:pPr>
              <w:rPr>
                <w:rFonts w:ascii="Arial" w:eastAsia="Calibri" w:hAnsi="Arial" w:cs="Arial"/>
                <w:sz w:val="18"/>
                <w:szCs w:val="18"/>
              </w:rPr>
            </w:pPr>
            <w:r w:rsidRPr="003A2F86">
              <w:rPr>
                <w:rFonts w:ascii="Arial" w:eastAsia="Calibri" w:hAnsi="Arial" w:cs="Arial"/>
                <w:sz w:val="18"/>
                <w:szCs w:val="18"/>
              </w:rPr>
              <w:t>Povećanje broja posjeta djece školskog i predškolskog uzrasta</w:t>
            </w:r>
          </w:p>
        </w:tc>
        <w:tc>
          <w:tcPr>
            <w:tcW w:w="3238" w:type="dxa"/>
            <w:vAlign w:val="center"/>
          </w:tcPr>
          <w:p w14:paraId="3F16B0CE" w14:textId="77777777" w:rsidR="00626756" w:rsidRPr="003A2F86" w:rsidRDefault="00626756" w:rsidP="00B223BA">
            <w:pPr>
              <w:rPr>
                <w:rFonts w:ascii="Arial" w:eastAsia="Calibri" w:hAnsi="Arial" w:cs="Arial"/>
                <w:sz w:val="18"/>
                <w:szCs w:val="18"/>
              </w:rPr>
            </w:pPr>
            <w:r w:rsidRPr="003A2F86">
              <w:rPr>
                <w:rFonts w:ascii="Arial" w:eastAsia="Calibri" w:hAnsi="Arial" w:cs="Arial"/>
                <w:sz w:val="18"/>
                <w:szCs w:val="18"/>
              </w:rPr>
              <w:t>Organiziranjem posjeta dječjih vrtića i škola i međugeneracijskom interakcijom djeca se senzibiliziraju na kontakt sa starijim osobama</w:t>
            </w:r>
          </w:p>
        </w:tc>
        <w:tc>
          <w:tcPr>
            <w:tcW w:w="1258" w:type="dxa"/>
            <w:vAlign w:val="center"/>
          </w:tcPr>
          <w:p w14:paraId="64899B13" w14:textId="77777777" w:rsidR="00626756" w:rsidRPr="003A2F86" w:rsidRDefault="00626756" w:rsidP="00B223BA">
            <w:pPr>
              <w:jc w:val="center"/>
              <w:rPr>
                <w:rFonts w:ascii="Arial" w:eastAsia="Calibri" w:hAnsi="Arial" w:cs="Arial"/>
                <w:sz w:val="18"/>
                <w:szCs w:val="18"/>
              </w:rPr>
            </w:pPr>
            <w:r w:rsidRPr="003A2F86">
              <w:rPr>
                <w:rFonts w:ascii="Arial" w:eastAsia="Calibri" w:hAnsi="Arial" w:cs="Arial"/>
                <w:sz w:val="18"/>
                <w:szCs w:val="18"/>
              </w:rPr>
              <w:t>Broj organiziranih posjeta</w:t>
            </w:r>
          </w:p>
        </w:tc>
        <w:tc>
          <w:tcPr>
            <w:tcW w:w="1134" w:type="dxa"/>
            <w:vAlign w:val="center"/>
          </w:tcPr>
          <w:p w14:paraId="0E0F0DF5" w14:textId="4BE83E8F" w:rsidR="00626756" w:rsidRPr="003A2F86" w:rsidRDefault="00E32306" w:rsidP="00B223BA">
            <w:pPr>
              <w:jc w:val="center"/>
              <w:rPr>
                <w:rFonts w:ascii="Arial" w:eastAsia="Calibri" w:hAnsi="Arial" w:cs="Arial"/>
                <w:sz w:val="18"/>
                <w:szCs w:val="18"/>
              </w:rPr>
            </w:pPr>
            <w:r>
              <w:rPr>
                <w:rFonts w:ascii="Arial" w:eastAsia="Calibri" w:hAnsi="Arial" w:cs="Arial"/>
                <w:sz w:val="18"/>
                <w:szCs w:val="18"/>
              </w:rPr>
              <w:t>3</w:t>
            </w:r>
          </w:p>
        </w:tc>
        <w:tc>
          <w:tcPr>
            <w:tcW w:w="1134" w:type="dxa"/>
            <w:vAlign w:val="center"/>
          </w:tcPr>
          <w:p w14:paraId="7297329D" w14:textId="77777777" w:rsidR="00626756" w:rsidRPr="003A2F86" w:rsidRDefault="00626756" w:rsidP="00B223BA">
            <w:pPr>
              <w:jc w:val="center"/>
              <w:rPr>
                <w:rFonts w:ascii="Arial" w:eastAsia="Calibri" w:hAnsi="Arial" w:cs="Arial"/>
                <w:sz w:val="18"/>
                <w:szCs w:val="18"/>
              </w:rPr>
            </w:pPr>
            <w:r w:rsidRPr="003A2F86">
              <w:rPr>
                <w:rFonts w:ascii="Arial" w:eastAsia="Calibri" w:hAnsi="Arial" w:cs="Arial"/>
                <w:sz w:val="18"/>
                <w:szCs w:val="18"/>
              </w:rPr>
              <w:t>Dom</w:t>
            </w:r>
          </w:p>
        </w:tc>
        <w:tc>
          <w:tcPr>
            <w:tcW w:w="1435" w:type="dxa"/>
            <w:vAlign w:val="center"/>
          </w:tcPr>
          <w:p w14:paraId="2D7D9D3C" w14:textId="61528D01" w:rsidR="00626756" w:rsidRPr="003A2F86" w:rsidRDefault="00E32306" w:rsidP="00B223BA">
            <w:pPr>
              <w:jc w:val="center"/>
              <w:rPr>
                <w:rFonts w:ascii="Arial" w:eastAsia="Calibri" w:hAnsi="Arial" w:cs="Arial"/>
                <w:sz w:val="18"/>
                <w:szCs w:val="18"/>
              </w:rPr>
            </w:pPr>
            <w:r>
              <w:rPr>
                <w:rFonts w:ascii="Arial" w:eastAsia="Calibri" w:hAnsi="Arial" w:cs="Arial"/>
                <w:sz w:val="18"/>
                <w:szCs w:val="18"/>
              </w:rPr>
              <w:t>3</w:t>
            </w:r>
          </w:p>
        </w:tc>
        <w:tc>
          <w:tcPr>
            <w:tcW w:w="1417" w:type="dxa"/>
            <w:vAlign w:val="center"/>
          </w:tcPr>
          <w:p w14:paraId="4705C55D" w14:textId="4B5FCE17" w:rsidR="00626756" w:rsidRPr="003A2F86" w:rsidRDefault="009B6404" w:rsidP="00B223BA">
            <w:pPr>
              <w:jc w:val="center"/>
              <w:rPr>
                <w:rFonts w:ascii="Arial" w:eastAsia="Calibri" w:hAnsi="Arial" w:cs="Arial"/>
                <w:sz w:val="18"/>
                <w:szCs w:val="18"/>
              </w:rPr>
            </w:pPr>
            <w:r>
              <w:rPr>
                <w:rFonts w:ascii="Arial" w:eastAsia="Calibri" w:hAnsi="Arial" w:cs="Arial"/>
                <w:sz w:val="18"/>
                <w:szCs w:val="18"/>
              </w:rPr>
              <w:t>2</w:t>
            </w:r>
          </w:p>
        </w:tc>
        <w:tc>
          <w:tcPr>
            <w:tcW w:w="1417" w:type="dxa"/>
            <w:vAlign w:val="center"/>
          </w:tcPr>
          <w:p w14:paraId="43714DF6" w14:textId="7F2AFF8D" w:rsidR="00626756" w:rsidRPr="003A2F86" w:rsidRDefault="003A4B46" w:rsidP="00B223BA">
            <w:pPr>
              <w:jc w:val="center"/>
              <w:rPr>
                <w:rFonts w:ascii="Arial" w:eastAsia="Calibri" w:hAnsi="Arial" w:cs="Arial"/>
                <w:sz w:val="18"/>
                <w:szCs w:val="18"/>
              </w:rPr>
            </w:pPr>
            <w:r w:rsidRPr="003A2F86">
              <w:rPr>
                <w:rFonts w:ascii="Arial" w:eastAsia="Calibri" w:hAnsi="Arial" w:cs="Arial"/>
                <w:sz w:val="18"/>
                <w:szCs w:val="18"/>
              </w:rPr>
              <w:t>2</w:t>
            </w:r>
          </w:p>
        </w:tc>
        <w:tc>
          <w:tcPr>
            <w:tcW w:w="1496" w:type="dxa"/>
            <w:vAlign w:val="center"/>
          </w:tcPr>
          <w:p w14:paraId="6CC8B3A7" w14:textId="06279308" w:rsidR="00626756" w:rsidRPr="003A2F86" w:rsidRDefault="00B1733A" w:rsidP="00B223BA">
            <w:pPr>
              <w:jc w:val="center"/>
              <w:rPr>
                <w:rFonts w:ascii="Arial" w:eastAsia="Calibri" w:hAnsi="Arial" w:cs="Arial"/>
                <w:sz w:val="18"/>
                <w:szCs w:val="18"/>
              </w:rPr>
            </w:pPr>
            <w:r w:rsidRPr="003A2F86">
              <w:rPr>
                <w:rFonts w:ascii="Arial" w:eastAsia="Calibri" w:hAnsi="Arial" w:cs="Arial"/>
                <w:sz w:val="18"/>
                <w:szCs w:val="18"/>
              </w:rPr>
              <w:t>2</w:t>
            </w:r>
          </w:p>
        </w:tc>
      </w:tr>
    </w:tbl>
    <w:p w14:paraId="7C3E1B0F" w14:textId="77777777" w:rsidR="00E1279C" w:rsidRDefault="00E1279C" w:rsidP="00A7223A">
      <w:pPr>
        <w:spacing w:after="0" w:line="240" w:lineRule="auto"/>
        <w:jc w:val="both"/>
        <w:rPr>
          <w:rFonts w:ascii="Arial" w:eastAsia="Calibri" w:hAnsi="Arial" w:cs="Arial"/>
          <w:sz w:val="20"/>
          <w:szCs w:val="20"/>
        </w:rPr>
      </w:pPr>
    </w:p>
    <w:p w14:paraId="6FDFB6D7" w14:textId="200BE140" w:rsidR="003A4B46" w:rsidRPr="003A2F86" w:rsidRDefault="003A4B46" w:rsidP="00A7223A">
      <w:pPr>
        <w:spacing w:after="0" w:line="240" w:lineRule="auto"/>
        <w:rPr>
          <w:rFonts w:ascii="Arial" w:eastAsia="Calibri" w:hAnsi="Arial" w:cs="Arial"/>
          <w:sz w:val="20"/>
          <w:szCs w:val="20"/>
          <w:lang w:eastAsia="en-US"/>
        </w:rPr>
      </w:pPr>
      <w:r w:rsidRPr="003A2F86">
        <w:rPr>
          <w:rFonts w:ascii="Arial" w:eastAsia="Calibri" w:hAnsi="Arial" w:cs="Arial"/>
          <w:sz w:val="20"/>
          <w:szCs w:val="20"/>
          <w:lang w:eastAsia="en-US"/>
        </w:rPr>
        <w:t>U 202</w:t>
      </w:r>
      <w:r w:rsidR="00E32306">
        <w:rPr>
          <w:rFonts w:ascii="Arial" w:eastAsia="Calibri" w:hAnsi="Arial" w:cs="Arial"/>
          <w:sz w:val="20"/>
          <w:szCs w:val="20"/>
          <w:lang w:eastAsia="en-US"/>
        </w:rPr>
        <w:t>5</w:t>
      </w:r>
      <w:r w:rsidRPr="003A2F86">
        <w:rPr>
          <w:rFonts w:ascii="Arial" w:eastAsia="Calibri" w:hAnsi="Arial" w:cs="Arial"/>
          <w:sz w:val="20"/>
          <w:szCs w:val="20"/>
          <w:lang w:eastAsia="en-US"/>
        </w:rPr>
        <w:t>. godini je realiziran</w:t>
      </w:r>
      <w:r w:rsidR="00B1733A" w:rsidRPr="003A2F86">
        <w:rPr>
          <w:rFonts w:ascii="Arial" w:eastAsia="Calibri" w:hAnsi="Arial" w:cs="Arial"/>
          <w:sz w:val="20"/>
          <w:szCs w:val="20"/>
          <w:lang w:eastAsia="en-US"/>
        </w:rPr>
        <w:t>o:</w:t>
      </w:r>
    </w:p>
    <w:p w14:paraId="10693EB5" w14:textId="77777777" w:rsidR="009B6404" w:rsidRPr="009B6404" w:rsidRDefault="009B6404">
      <w:pPr>
        <w:numPr>
          <w:ilvl w:val="0"/>
          <w:numId w:val="44"/>
        </w:numPr>
        <w:contextualSpacing/>
        <w:rPr>
          <w:rFonts w:ascii="Arial" w:eastAsia="Calibri" w:hAnsi="Arial" w:cs="Arial"/>
          <w:sz w:val="20"/>
          <w:szCs w:val="20"/>
          <w:lang w:eastAsia="en-US"/>
        </w:rPr>
      </w:pPr>
      <w:r w:rsidRPr="009B6404">
        <w:rPr>
          <w:rFonts w:ascii="Arial" w:eastAsia="Calibri" w:hAnsi="Arial" w:cs="Arial"/>
          <w:sz w:val="20"/>
          <w:szCs w:val="20"/>
          <w:lang w:eastAsia="en-US"/>
        </w:rPr>
        <w:t>Posjeta djece iz područne škole Čilipi dana 14.04.2025.g.</w:t>
      </w:r>
    </w:p>
    <w:p w14:paraId="30975C74" w14:textId="77777777" w:rsidR="009B6404" w:rsidRPr="009B6404" w:rsidRDefault="009B6404">
      <w:pPr>
        <w:numPr>
          <w:ilvl w:val="0"/>
          <w:numId w:val="44"/>
        </w:numPr>
        <w:contextualSpacing/>
        <w:rPr>
          <w:rFonts w:ascii="Arial" w:eastAsia="Calibri" w:hAnsi="Arial" w:cs="Arial"/>
          <w:sz w:val="20"/>
          <w:szCs w:val="20"/>
          <w:lang w:eastAsia="en-US"/>
        </w:rPr>
      </w:pPr>
      <w:r w:rsidRPr="009B6404">
        <w:rPr>
          <w:rFonts w:ascii="Arial" w:eastAsia="Calibri" w:hAnsi="Arial" w:cs="Arial"/>
          <w:sz w:val="20"/>
          <w:szCs w:val="20"/>
          <w:lang w:eastAsia="en-US"/>
        </w:rPr>
        <w:t>Posjeta učenika osnovne škole Gruda dana 23.12.2025.g.</w:t>
      </w:r>
    </w:p>
    <w:p w14:paraId="52D6166B" w14:textId="77777777" w:rsidR="00EA73E1" w:rsidRDefault="00EA73E1" w:rsidP="00A7223A">
      <w:pPr>
        <w:autoSpaceDE w:val="0"/>
        <w:autoSpaceDN w:val="0"/>
        <w:adjustRightInd w:val="0"/>
        <w:spacing w:after="0" w:line="240" w:lineRule="auto"/>
        <w:jc w:val="both"/>
        <w:rPr>
          <w:rFonts w:ascii="Arial" w:eastAsia="Calibri" w:hAnsi="Arial" w:cs="Arial"/>
          <w:b/>
          <w:sz w:val="20"/>
          <w:szCs w:val="20"/>
        </w:rPr>
      </w:pPr>
    </w:p>
    <w:p w14:paraId="7244ED70" w14:textId="39217018" w:rsidR="003752B9" w:rsidRPr="003A2F86" w:rsidRDefault="003752B9" w:rsidP="00A7223A">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b/>
          <w:sz w:val="20"/>
          <w:szCs w:val="20"/>
        </w:rPr>
        <w:t xml:space="preserve">4. A204405: Program nabave </w:t>
      </w:r>
      <w:r w:rsidR="00A8623C" w:rsidRPr="003A2F86">
        <w:rPr>
          <w:rFonts w:ascii="Arial" w:eastAsia="Calibri" w:hAnsi="Arial" w:cs="Arial"/>
          <w:b/>
          <w:sz w:val="20"/>
          <w:szCs w:val="20"/>
        </w:rPr>
        <w:t>kn</w:t>
      </w:r>
      <w:r w:rsidRPr="003A2F86">
        <w:rPr>
          <w:rFonts w:ascii="Arial" w:eastAsia="Calibri" w:hAnsi="Arial" w:cs="Arial"/>
          <w:b/>
          <w:sz w:val="20"/>
          <w:szCs w:val="20"/>
        </w:rPr>
        <w:t>jižne i ne</w:t>
      </w:r>
      <w:r w:rsidR="00A8623C" w:rsidRPr="003A2F86">
        <w:rPr>
          <w:rFonts w:ascii="Arial" w:eastAsia="Calibri" w:hAnsi="Arial" w:cs="Arial"/>
          <w:b/>
          <w:sz w:val="20"/>
          <w:szCs w:val="20"/>
        </w:rPr>
        <w:t>kn</w:t>
      </w:r>
      <w:r w:rsidRPr="003A2F86">
        <w:rPr>
          <w:rFonts w:ascii="Arial" w:eastAsia="Calibri" w:hAnsi="Arial" w:cs="Arial"/>
          <w:b/>
          <w:sz w:val="20"/>
          <w:szCs w:val="20"/>
        </w:rPr>
        <w:t>jižne građe</w:t>
      </w:r>
      <w:r w:rsidRPr="003A2F86">
        <w:rPr>
          <w:rFonts w:ascii="Arial" w:eastAsia="Calibri" w:hAnsi="Arial" w:cs="Arial"/>
          <w:sz w:val="20"/>
          <w:szCs w:val="20"/>
        </w:rPr>
        <w:t xml:space="preserve"> - Proračunska sredstva nisu planirana.</w:t>
      </w:r>
    </w:p>
    <w:p w14:paraId="5955E962" w14:textId="77777777" w:rsidR="005566F3" w:rsidRPr="003A2F86" w:rsidRDefault="005566F3" w:rsidP="00A7223A">
      <w:pPr>
        <w:spacing w:after="0" w:line="240" w:lineRule="auto"/>
        <w:rPr>
          <w:rFonts w:ascii="Arial" w:eastAsia="Calibri" w:hAnsi="Arial" w:cs="Arial"/>
          <w:sz w:val="20"/>
          <w:szCs w:val="20"/>
        </w:rPr>
      </w:pPr>
    </w:p>
    <w:p w14:paraId="4FE72CA4" w14:textId="77777777" w:rsidR="00AE23F9" w:rsidRPr="003A2F86" w:rsidRDefault="00AE23F9" w:rsidP="00A7223A">
      <w:pPr>
        <w:spacing w:after="0" w:line="240" w:lineRule="auto"/>
        <w:rPr>
          <w:rFonts w:ascii="Arial" w:eastAsia="Calibri" w:hAnsi="Arial" w:cs="Arial"/>
          <w:sz w:val="20"/>
          <w:szCs w:val="20"/>
        </w:rPr>
      </w:pPr>
      <w:r w:rsidRPr="003A2F86">
        <w:rPr>
          <w:rFonts w:ascii="Arial" w:eastAsia="Calibri" w:hAnsi="Arial" w:cs="Arial"/>
          <w:b/>
          <w:sz w:val="20"/>
          <w:szCs w:val="20"/>
        </w:rPr>
        <w:t>5. A204406: Nabava gospodarskog kombi vozila</w:t>
      </w:r>
      <w:r w:rsidRPr="003A2F86">
        <w:rPr>
          <w:rFonts w:ascii="Arial" w:eastAsia="Calibri" w:hAnsi="Arial" w:cs="Arial"/>
          <w:sz w:val="20"/>
          <w:szCs w:val="20"/>
        </w:rPr>
        <w:t xml:space="preserve"> - Pror</w:t>
      </w:r>
      <w:r w:rsidR="005566F3" w:rsidRPr="003A2F86">
        <w:rPr>
          <w:rFonts w:ascii="Arial" w:eastAsia="Calibri" w:hAnsi="Arial" w:cs="Arial"/>
          <w:sz w:val="20"/>
          <w:szCs w:val="20"/>
        </w:rPr>
        <w:t>ačunska sredstva nisu planirana</w:t>
      </w:r>
      <w:r w:rsidRPr="003A2F86">
        <w:rPr>
          <w:rFonts w:ascii="Arial" w:eastAsia="Calibri" w:hAnsi="Arial" w:cs="Arial"/>
          <w:sz w:val="20"/>
          <w:szCs w:val="20"/>
        </w:rPr>
        <w:t>.</w:t>
      </w:r>
    </w:p>
    <w:p w14:paraId="72A879D3" w14:textId="77777777" w:rsidR="003752B9" w:rsidRPr="003A2F86" w:rsidRDefault="003752B9" w:rsidP="00A7223A">
      <w:pPr>
        <w:spacing w:after="0" w:line="240" w:lineRule="auto"/>
        <w:jc w:val="both"/>
        <w:rPr>
          <w:rFonts w:ascii="Arial" w:eastAsia="Calibri" w:hAnsi="Arial" w:cs="Arial"/>
          <w:sz w:val="20"/>
          <w:szCs w:val="20"/>
        </w:rPr>
      </w:pPr>
    </w:p>
    <w:p w14:paraId="5F45C458" w14:textId="77777777" w:rsidR="009A3132" w:rsidRPr="003A2F86" w:rsidRDefault="003752B9" w:rsidP="00A7223A">
      <w:pPr>
        <w:spacing w:after="0" w:line="240" w:lineRule="auto"/>
        <w:rPr>
          <w:rFonts w:ascii="Arial" w:eastAsia="Calibri" w:hAnsi="Arial" w:cs="Arial"/>
          <w:sz w:val="20"/>
          <w:szCs w:val="20"/>
        </w:rPr>
      </w:pPr>
      <w:r w:rsidRPr="003A2F86">
        <w:rPr>
          <w:rFonts w:ascii="Arial" w:eastAsia="Calibri" w:hAnsi="Arial" w:cs="Arial"/>
          <w:sz w:val="20"/>
          <w:szCs w:val="20"/>
        </w:rPr>
        <w:t>Sredstvima planiranim i utrošenim u okviru ovog programa ostvaruje se zadani Cilj programa.</w:t>
      </w:r>
    </w:p>
    <w:p w14:paraId="6B8FCA85" w14:textId="77777777" w:rsidR="00B50BBC" w:rsidRDefault="00B50BBC" w:rsidP="00A7223A">
      <w:pPr>
        <w:autoSpaceDE w:val="0"/>
        <w:autoSpaceDN w:val="0"/>
        <w:adjustRightInd w:val="0"/>
        <w:spacing w:after="0" w:line="240" w:lineRule="auto"/>
        <w:rPr>
          <w:rFonts w:ascii="Arial" w:eastAsia="Calibri" w:hAnsi="Arial" w:cs="Arial"/>
        </w:rPr>
      </w:pPr>
    </w:p>
    <w:p w14:paraId="7DE64DB9" w14:textId="77777777" w:rsidR="00BE41A8" w:rsidRPr="003A2F86" w:rsidRDefault="00BE41A8" w:rsidP="00A7223A">
      <w:pPr>
        <w:autoSpaceDE w:val="0"/>
        <w:autoSpaceDN w:val="0"/>
        <w:adjustRightInd w:val="0"/>
        <w:spacing w:after="0" w:line="240" w:lineRule="auto"/>
        <w:rPr>
          <w:rFonts w:ascii="Arial" w:eastAsia="Calibri" w:hAnsi="Arial" w:cs="Arial"/>
        </w:rPr>
      </w:pPr>
    </w:p>
    <w:p w14:paraId="04C1AAE2" w14:textId="77777777" w:rsidR="00923DED" w:rsidRPr="003A2F86" w:rsidRDefault="00923DED" w:rsidP="00A7223A">
      <w:pPr>
        <w:autoSpaceDE w:val="0"/>
        <w:autoSpaceDN w:val="0"/>
        <w:adjustRightInd w:val="0"/>
        <w:spacing w:after="0" w:line="240" w:lineRule="auto"/>
        <w:rPr>
          <w:rFonts w:ascii="Arial" w:eastAsia="Calibri" w:hAnsi="Arial" w:cs="Arial"/>
        </w:rPr>
      </w:pPr>
    </w:p>
    <w:p w14:paraId="0659516C" w14:textId="7CC3A1AD" w:rsidR="00B50BBC" w:rsidRPr="003A2F86" w:rsidRDefault="00B50BBC">
      <w:pPr>
        <w:pStyle w:val="Odlomakpopisa"/>
        <w:numPr>
          <w:ilvl w:val="0"/>
          <w:numId w:val="33"/>
        </w:numPr>
        <w:pBdr>
          <w:top w:val="single" w:sz="4" w:space="1" w:color="auto"/>
          <w:left w:val="single" w:sz="4" w:space="0" w:color="auto"/>
          <w:bottom w:val="single" w:sz="4" w:space="1" w:color="auto"/>
          <w:right w:val="single" w:sz="4" w:space="1" w:color="auto"/>
        </w:pBdr>
        <w:ind w:left="0"/>
        <w:jc w:val="center"/>
        <w:rPr>
          <w:rFonts w:ascii="Arial" w:eastAsia="Calibri" w:hAnsi="Arial" w:cs="Arial"/>
          <w:b/>
        </w:rPr>
      </w:pPr>
      <w:r w:rsidRPr="003A2F86">
        <w:rPr>
          <w:rFonts w:ascii="Arial" w:eastAsia="Calibri" w:hAnsi="Arial" w:cs="Arial"/>
          <w:b/>
        </w:rPr>
        <w:t>Posebni izvještaj u godišnjem izvještaju o izvršenju financijskog planu</w:t>
      </w:r>
    </w:p>
    <w:p w14:paraId="2B954E83" w14:textId="77777777" w:rsidR="00B50BBC" w:rsidRPr="003A2F86" w:rsidRDefault="00B50BBC" w:rsidP="00F63556">
      <w:pPr>
        <w:spacing w:after="0" w:line="240" w:lineRule="auto"/>
        <w:rPr>
          <w:rFonts w:ascii="Arial" w:eastAsia="Calibri" w:hAnsi="Arial" w:cs="Arial"/>
          <w:sz w:val="20"/>
          <w:szCs w:val="20"/>
        </w:rPr>
      </w:pPr>
    </w:p>
    <w:p w14:paraId="1847E01B" w14:textId="77777777" w:rsidR="009B6404" w:rsidRPr="009B6404" w:rsidRDefault="009B6404">
      <w:pPr>
        <w:numPr>
          <w:ilvl w:val="0"/>
          <w:numId w:val="30"/>
        </w:numPr>
        <w:contextualSpacing/>
        <w:jc w:val="both"/>
        <w:rPr>
          <w:rFonts w:ascii="Arial" w:eastAsia="Calibri" w:hAnsi="Arial" w:cs="Arial"/>
          <w:sz w:val="20"/>
          <w:szCs w:val="20"/>
          <w:lang w:eastAsia="en-US"/>
        </w:rPr>
      </w:pPr>
      <w:r w:rsidRPr="009B6404">
        <w:rPr>
          <w:rFonts w:ascii="Arial" w:eastAsia="Calibri" w:hAnsi="Arial" w:cs="Arial"/>
          <w:sz w:val="20"/>
          <w:szCs w:val="20"/>
          <w:lang w:eastAsia="en-US"/>
        </w:rPr>
        <w:t>Dom za starije i nemoćne osobe Konavle, tijekom 2025.g., nije koristio sredstva fondova Europske unije</w:t>
      </w:r>
    </w:p>
    <w:p w14:paraId="186D3637" w14:textId="77777777" w:rsidR="009B6404" w:rsidRPr="009B6404" w:rsidRDefault="009B6404">
      <w:pPr>
        <w:numPr>
          <w:ilvl w:val="0"/>
          <w:numId w:val="30"/>
        </w:numPr>
        <w:contextualSpacing/>
        <w:jc w:val="both"/>
        <w:rPr>
          <w:rFonts w:ascii="Arial" w:eastAsia="Calibri" w:hAnsi="Arial" w:cs="Arial"/>
          <w:sz w:val="20"/>
          <w:szCs w:val="20"/>
          <w:lang w:eastAsia="en-US"/>
        </w:rPr>
      </w:pPr>
      <w:r w:rsidRPr="009B6404">
        <w:rPr>
          <w:rFonts w:ascii="Arial" w:eastAsia="Calibri" w:hAnsi="Arial" w:cs="Arial"/>
          <w:sz w:val="20"/>
          <w:szCs w:val="20"/>
          <w:lang w:eastAsia="en-US"/>
        </w:rPr>
        <w:t>Dom za starije i nemoćne osobe Konavle se, tijekom 2025.g., nije zaduživao na domaćem i stranom tržištu novca i kapitala</w:t>
      </w:r>
    </w:p>
    <w:p w14:paraId="30C59D9E" w14:textId="77777777" w:rsidR="009B6404" w:rsidRPr="009B6404" w:rsidRDefault="009B6404">
      <w:pPr>
        <w:numPr>
          <w:ilvl w:val="0"/>
          <w:numId w:val="30"/>
        </w:numPr>
        <w:contextualSpacing/>
        <w:jc w:val="both"/>
        <w:rPr>
          <w:rFonts w:ascii="Arial" w:eastAsia="Calibri" w:hAnsi="Arial" w:cs="Arial"/>
          <w:sz w:val="20"/>
          <w:szCs w:val="20"/>
          <w:lang w:eastAsia="en-US"/>
        </w:rPr>
      </w:pPr>
      <w:r w:rsidRPr="009B6404">
        <w:rPr>
          <w:rFonts w:ascii="Arial" w:eastAsia="Calibri" w:hAnsi="Arial" w:cs="Arial"/>
          <w:sz w:val="20"/>
          <w:szCs w:val="20"/>
          <w:lang w:eastAsia="en-US"/>
        </w:rPr>
        <w:t>Dom za starije i nemoćne osobe Konavle, tijekom 2025.g., nije davao zajmove niti ima potraživanja po danim zajmovima</w:t>
      </w:r>
    </w:p>
    <w:p w14:paraId="283C94BC" w14:textId="28482343" w:rsidR="009B6404" w:rsidRPr="009B6404" w:rsidRDefault="009B6404">
      <w:pPr>
        <w:numPr>
          <w:ilvl w:val="0"/>
          <w:numId w:val="30"/>
        </w:numPr>
        <w:contextualSpacing/>
        <w:jc w:val="both"/>
        <w:rPr>
          <w:rFonts w:ascii="Arial" w:eastAsia="Calibri" w:hAnsi="Arial" w:cs="Arial"/>
          <w:sz w:val="20"/>
          <w:szCs w:val="20"/>
          <w:lang w:eastAsia="en-US"/>
        </w:rPr>
      </w:pPr>
      <w:r w:rsidRPr="009B6404">
        <w:rPr>
          <w:rFonts w:ascii="Arial" w:eastAsia="Calibri" w:hAnsi="Arial" w:cs="Arial"/>
          <w:sz w:val="20"/>
          <w:szCs w:val="20"/>
          <w:lang w:eastAsia="en-US"/>
        </w:rPr>
        <w:t>stanje potraživanja na dan 31. prosinca 2025.g. iznosi 65.392,61</w:t>
      </w:r>
      <w:r w:rsidR="00C570DD">
        <w:rPr>
          <w:rFonts w:ascii="Arial" w:eastAsia="Calibri" w:hAnsi="Arial" w:cs="Arial"/>
          <w:sz w:val="20"/>
          <w:szCs w:val="20"/>
          <w:lang w:eastAsia="en-US"/>
        </w:rPr>
        <w:t xml:space="preserve"> </w:t>
      </w:r>
      <w:r w:rsidRPr="009B6404">
        <w:rPr>
          <w:rFonts w:ascii="Arial" w:eastAsia="Calibri" w:hAnsi="Arial" w:cs="Arial"/>
          <w:sz w:val="20"/>
          <w:szCs w:val="20"/>
          <w:lang w:eastAsia="en-US"/>
        </w:rPr>
        <w:t>€, a odnosi se na potraživanja za upravne i administrativne pristojbe, pristojbe po posebnim propisima i naknade (nenaplaćena potraživanja od naših korisnika ili njihovih obveznika plaćanja za sredstva kojima se sufinancira usluga smještaja u Domu) u iznosu 313,70</w:t>
      </w:r>
      <w:r w:rsidR="00C570DD">
        <w:rPr>
          <w:rFonts w:ascii="Arial" w:eastAsia="Calibri" w:hAnsi="Arial" w:cs="Arial"/>
          <w:sz w:val="20"/>
          <w:szCs w:val="20"/>
          <w:lang w:eastAsia="en-US"/>
        </w:rPr>
        <w:t xml:space="preserve"> </w:t>
      </w:r>
      <w:r w:rsidRPr="009B6404">
        <w:rPr>
          <w:rFonts w:ascii="Arial" w:eastAsia="Calibri" w:hAnsi="Arial" w:cs="Arial"/>
          <w:sz w:val="20"/>
          <w:szCs w:val="20"/>
          <w:lang w:eastAsia="en-US"/>
        </w:rPr>
        <w:t>€, ostala potraživanja (potraživanja prema Hrvatskom zavodu za zdravstveno osiguranje na ime isplaćenih naknada plaća djelatnicima za vrijeme bolovanja) u iznosu 4.260,25</w:t>
      </w:r>
      <w:r w:rsidR="00C570DD">
        <w:rPr>
          <w:rFonts w:ascii="Arial" w:eastAsia="Calibri" w:hAnsi="Arial" w:cs="Arial"/>
          <w:sz w:val="20"/>
          <w:szCs w:val="20"/>
          <w:lang w:eastAsia="en-US"/>
        </w:rPr>
        <w:t xml:space="preserve"> </w:t>
      </w:r>
      <w:r w:rsidRPr="009B6404">
        <w:rPr>
          <w:rFonts w:ascii="Arial" w:eastAsia="Calibri" w:hAnsi="Arial" w:cs="Arial"/>
          <w:sz w:val="20"/>
          <w:szCs w:val="20"/>
          <w:lang w:eastAsia="en-US"/>
        </w:rPr>
        <w:t>€, te potraživanja za prihode iz proračuna (potraživanja iz proračuna Općine Konavle za uplaćene, a neutrošene vlastite prihode Doma) u iznosu 60.818,66</w:t>
      </w:r>
      <w:r w:rsidR="00C570DD">
        <w:rPr>
          <w:rFonts w:ascii="Arial" w:eastAsia="Calibri" w:hAnsi="Arial" w:cs="Arial"/>
          <w:sz w:val="20"/>
          <w:szCs w:val="20"/>
          <w:lang w:eastAsia="en-US"/>
        </w:rPr>
        <w:t xml:space="preserve"> </w:t>
      </w:r>
      <w:r w:rsidRPr="009B6404">
        <w:rPr>
          <w:rFonts w:ascii="Arial" w:eastAsia="Calibri" w:hAnsi="Arial" w:cs="Arial"/>
          <w:sz w:val="20"/>
          <w:szCs w:val="20"/>
          <w:lang w:eastAsia="en-US"/>
        </w:rPr>
        <w:t>€.</w:t>
      </w:r>
    </w:p>
    <w:p w14:paraId="3722BE13" w14:textId="77777777" w:rsidR="009B6404" w:rsidRPr="009B6404" w:rsidRDefault="009B6404">
      <w:pPr>
        <w:numPr>
          <w:ilvl w:val="0"/>
          <w:numId w:val="30"/>
        </w:numPr>
        <w:contextualSpacing/>
        <w:jc w:val="both"/>
        <w:rPr>
          <w:rFonts w:ascii="Arial" w:eastAsia="Calibri" w:hAnsi="Arial" w:cs="Arial"/>
          <w:sz w:val="20"/>
          <w:szCs w:val="20"/>
          <w:lang w:eastAsia="en-US"/>
        </w:rPr>
      </w:pPr>
      <w:r w:rsidRPr="009B6404">
        <w:rPr>
          <w:rFonts w:ascii="Arial" w:eastAsia="Calibri" w:hAnsi="Arial" w:cs="Arial"/>
          <w:sz w:val="20"/>
          <w:szCs w:val="20"/>
          <w:lang w:eastAsia="en-US"/>
        </w:rPr>
        <w:t xml:space="preserve">dospjelih obveza na dan 31. prosinca 2025.g. nema </w:t>
      </w:r>
    </w:p>
    <w:p w14:paraId="4AE2A735" w14:textId="77777777" w:rsidR="009B6404" w:rsidRPr="009B6404" w:rsidRDefault="009B6404">
      <w:pPr>
        <w:numPr>
          <w:ilvl w:val="0"/>
          <w:numId w:val="30"/>
        </w:numPr>
        <w:contextualSpacing/>
        <w:jc w:val="both"/>
        <w:rPr>
          <w:rFonts w:ascii="Arial" w:eastAsia="Calibri" w:hAnsi="Arial" w:cs="Arial"/>
          <w:sz w:val="20"/>
          <w:szCs w:val="20"/>
          <w:lang w:eastAsia="en-US"/>
        </w:rPr>
      </w:pPr>
      <w:r w:rsidRPr="009B6404">
        <w:rPr>
          <w:rFonts w:ascii="Arial" w:eastAsia="Calibri" w:hAnsi="Arial" w:cs="Arial"/>
          <w:sz w:val="20"/>
          <w:szCs w:val="20"/>
          <w:lang w:eastAsia="en-US"/>
        </w:rPr>
        <w:t>potencijalnih obveza po osnovi sudskih sporova na dan 31. prosinca 2025.godine nema</w:t>
      </w:r>
    </w:p>
    <w:p w14:paraId="743580F4" w14:textId="77777777" w:rsidR="009B6404" w:rsidRPr="009B6404" w:rsidRDefault="009B6404">
      <w:pPr>
        <w:numPr>
          <w:ilvl w:val="0"/>
          <w:numId w:val="30"/>
        </w:numPr>
        <w:contextualSpacing/>
        <w:jc w:val="both"/>
        <w:rPr>
          <w:rFonts w:ascii="Arial" w:eastAsia="Calibri" w:hAnsi="Arial" w:cs="Arial"/>
          <w:sz w:val="20"/>
          <w:szCs w:val="20"/>
          <w:lang w:eastAsia="en-US"/>
        </w:rPr>
      </w:pPr>
      <w:r w:rsidRPr="009B6404">
        <w:rPr>
          <w:rFonts w:ascii="Arial" w:eastAsia="Calibri" w:hAnsi="Arial" w:cs="Arial"/>
          <w:sz w:val="20"/>
          <w:szCs w:val="20"/>
          <w:lang w:eastAsia="en-US"/>
        </w:rPr>
        <w:t>na dan 31. prosinca 2025.g. u Domu je zaposlen 41 djelatnik</w:t>
      </w:r>
    </w:p>
    <w:p w14:paraId="43A115A3" w14:textId="77777777" w:rsidR="009B6404" w:rsidRPr="009B6404" w:rsidRDefault="009B6404" w:rsidP="009B6404">
      <w:pPr>
        <w:ind w:left="720"/>
        <w:contextualSpacing/>
        <w:jc w:val="both"/>
        <w:rPr>
          <w:rFonts w:ascii="Arial" w:eastAsia="Calibri" w:hAnsi="Arial" w:cs="Arial"/>
          <w:sz w:val="20"/>
          <w:szCs w:val="20"/>
          <w:lang w:eastAsia="en-US"/>
        </w:rPr>
      </w:pPr>
    </w:p>
    <w:p w14:paraId="18A879B1" w14:textId="77777777" w:rsidR="00C831A5" w:rsidRPr="00C831A5" w:rsidRDefault="00C831A5" w:rsidP="00731E7F">
      <w:pPr>
        <w:spacing w:after="0" w:line="240" w:lineRule="auto"/>
        <w:ind w:left="720"/>
        <w:contextualSpacing/>
        <w:jc w:val="both"/>
        <w:rPr>
          <w:rFonts w:ascii="Arial" w:eastAsia="Calibri" w:hAnsi="Arial" w:cs="Arial"/>
          <w:sz w:val="20"/>
          <w:szCs w:val="20"/>
          <w:lang w:eastAsia="en-US"/>
        </w:rPr>
      </w:pPr>
    </w:p>
    <w:p w14:paraId="44568338" w14:textId="591A4A6B" w:rsidR="003752B9" w:rsidRPr="003A2F86" w:rsidRDefault="003752B9" w:rsidP="00731E7F">
      <w:pPr>
        <w:spacing w:after="0" w:line="240" w:lineRule="auto"/>
        <w:contextualSpacing/>
        <w:rPr>
          <w:rFonts w:ascii="Arial" w:eastAsia="Calibri" w:hAnsi="Arial" w:cs="Arial"/>
        </w:rPr>
      </w:pPr>
      <w:r w:rsidRPr="003A2F86">
        <w:rPr>
          <w:rFonts w:ascii="Arial" w:eastAsia="Calibri" w:hAnsi="Arial" w:cs="Arial"/>
        </w:rPr>
        <w:br w:type="page"/>
      </w:r>
    </w:p>
    <w:p w14:paraId="534F89C4" w14:textId="23597735" w:rsidR="003752B9" w:rsidRPr="003A2F86" w:rsidRDefault="00795CD9" w:rsidP="0004293C">
      <w:pPr>
        <w:pStyle w:val="Naslov3"/>
        <w:jc w:val="center"/>
        <w:rPr>
          <w:rFonts w:ascii="Arial" w:eastAsia="Calibri" w:hAnsi="Arial" w:cs="Arial"/>
          <w:sz w:val="22"/>
          <w:lang w:val="hr-HR"/>
        </w:rPr>
      </w:pPr>
      <w:bookmarkStart w:id="656" w:name="_3.4.3._GLAVA:_(020"/>
      <w:bookmarkStart w:id="657" w:name="_Toc232981488"/>
      <w:bookmarkEnd w:id="656"/>
      <w:r w:rsidRPr="003A2F86">
        <w:rPr>
          <w:rFonts w:ascii="Arial" w:eastAsia="Calibri" w:hAnsi="Arial" w:cs="Arial"/>
          <w:sz w:val="22"/>
          <w:lang w:val="hr-HR"/>
        </w:rPr>
        <w:lastRenderedPageBreak/>
        <w:t>3</w:t>
      </w:r>
      <w:r w:rsidR="0004293C" w:rsidRPr="003A2F86">
        <w:rPr>
          <w:rFonts w:ascii="Arial" w:eastAsia="Calibri" w:hAnsi="Arial" w:cs="Arial"/>
          <w:sz w:val="22"/>
          <w:lang w:val="hr-HR"/>
        </w:rPr>
        <w:t>.</w:t>
      </w:r>
      <w:r w:rsidR="00375FAF" w:rsidRPr="003A2F86">
        <w:rPr>
          <w:rFonts w:ascii="Arial" w:eastAsia="Calibri" w:hAnsi="Arial" w:cs="Arial"/>
          <w:sz w:val="22"/>
          <w:lang w:val="hr-HR"/>
        </w:rPr>
        <w:t>4</w:t>
      </w:r>
      <w:r w:rsidR="003752B9" w:rsidRPr="003A2F86">
        <w:rPr>
          <w:rFonts w:ascii="Arial" w:eastAsia="Calibri" w:hAnsi="Arial" w:cs="Arial"/>
          <w:sz w:val="22"/>
          <w:lang w:val="hr-HR"/>
        </w:rPr>
        <w:t>.</w:t>
      </w:r>
      <w:r w:rsidR="002B6F08" w:rsidRPr="003A2F86">
        <w:rPr>
          <w:rFonts w:ascii="Arial" w:eastAsia="Calibri" w:hAnsi="Arial" w:cs="Arial"/>
          <w:sz w:val="22"/>
          <w:lang w:val="hr-HR"/>
        </w:rPr>
        <w:t>3.</w:t>
      </w:r>
      <w:r w:rsidR="003752B9" w:rsidRPr="003A2F86">
        <w:rPr>
          <w:rFonts w:ascii="Arial" w:eastAsia="Calibri" w:hAnsi="Arial" w:cs="Arial"/>
          <w:sz w:val="22"/>
          <w:lang w:val="hr-HR"/>
        </w:rPr>
        <w:tab/>
        <w:t>GLAVA: (020 05) USTANOVA PREDŠKOLSKOG ODGOJA</w:t>
      </w:r>
      <w:r w:rsidR="001F07A0" w:rsidRPr="003A2F86">
        <w:rPr>
          <w:rFonts w:ascii="Arial" w:eastAsia="Calibri" w:hAnsi="Arial" w:cs="Arial"/>
          <w:sz w:val="22"/>
          <w:lang w:val="hr-HR"/>
        </w:rPr>
        <w:t xml:space="preserve"> – DJEČJI VRTIĆ KONAVLE</w:t>
      </w:r>
      <w:bookmarkEnd w:id="657"/>
    </w:p>
    <w:p w14:paraId="2D65083C" w14:textId="77777777" w:rsidR="003752B9" w:rsidRPr="003A2F86" w:rsidRDefault="003752B9" w:rsidP="003752B9">
      <w:pPr>
        <w:autoSpaceDE w:val="0"/>
        <w:autoSpaceDN w:val="0"/>
        <w:adjustRightInd w:val="0"/>
        <w:spacing w:after="0" w:line="240" w:lineRule="auto"/>
        <w:jc w:val="both"/>
        <w:rPr>
          <w:rFonts w:ascii="Arial" w:eastAsia="Calibri" w:hAnsi="Arial" w:cs="Arial"/>
          <w:sz w:val="20"/>
          <w:szCs w:val="20"/>
        </w:rPr>
      </w:pPr>
    </w:p>
    <w:p w14:paraId="17F9AC15" w14:textId="77777777" w:rsidR="00F26861" w:rsidRPr="003A2F86" w:rsidRDefault="00F26861" w:rsidP="00F26861">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U razdjelu 020 UPRAVNI ODJEL ZA OPĆE POSLOVE, MJESNU SAMOUPRAVU I DRUŠTVENE DJELATNOSTI, glava 020 05 Ustanova predškolskog odgoja, izvodi se jedan program. </w:t>
      </w:r>
    </w:p>
    <w:p w14:paraId="604B63A4" w14:textId="77777777" w:rsidR="00F26861" w:rsidRPr="003A2F86" w:rsidRDefault="00F26861" w:rsidP="00F26861">
      <w:pPr>
        <w:spacing w:after="0" w:line="240" w:lineRule="auto"/>
        <w:jc w:val="both"/>
        <w:rPr>
          <w:rFonts w:ascii="Arial" w:eastAsia="Calibri" w:hAnsi="Arial" w:cs="Arial"/>
          <w:sz w:val="20"/>
          <w:szCs w:val="20"/>
        </w:rPr>
      </w:pPr>
    </w:p>
    <w:p w14:paraId="3DABA968" w14:textId="652DA12E" w:rsidR="00EA79CE" w:rsidRPr="003A2F86" w:rsidRDefault="00F26861" w:rsidP="003D18D4">
      <w:pPr>
        <w:pStyle w:val="Naslov3"/>
        <w:rPr>
          <w:rFonts w:eastAsia="Calibri"/>
          <w:lang w:val="hr-HR"/>
        </w:rPr>
      </w:pPr>
      <w:bookmarkStart w:id="658" w:name="_Toc36842172"/>
      <w:bookmarkStart w:id="659" w:name="_Toc232981489"/>
      <w:r w:rsidRPr="003A2F86">
        <w:rPr>
          <w:rFonts w:eastAsia="Calibri"/>
          <w:lang w:val="hr-HR"/>
        </w:rPr>
        <w:t>Program (2051): Odgoj, naobrazba i skrb o predškolskoj djeci</w:t>
      </w:r>
      <w:bookmarkEnd w:id="658"/>
      <w:bookmarkEnd w:id="659"/>
    </w:p>
    <w:p w14:paraId="1FE499E1" w14:textId="77777777" w:rsidR="003D18D4" w:rsidRPr="003A2F86" w:rsidRDefault="003D18D4" w:rsidP="003D18D4">
      <w:pPr>
        <w:spacing w:after="0" w:line="240" w:lineRule="auto"/>
        <w:rPr>
          <w:lang w:eastAsia="en-US"/>
        </w:rPr>
      </w:pPr>
    </w:p>
    <w:p w14:paraId="3008F298" w14:textId="77777777" w:rsidR="00F26861" w:rsidRPr="003A2F86" w:rsidRDefault="00F26861" w:rsidP="00F26861">
      <w:pPr>
        <w:spacing w:after="0" w:line="240" w:lineRule="auto"/>
        <w:jc w:val="both"/>
        <w:rPr>
          <w:rFonts w:ascii="Arial" w:eastAsia="Calibri" w:hAnsi="Arial" w:cs="Arial"/>
          <w:sz w:val="20"/>
          <w:szCs w:val="20"/>
        </w:rPr>
      </w:pPr>
      <w:r w:rsidRPr="003A2F86">
        <w:rPr>
          <w:rFonts w:ascii="Arial" w:eastAsia="Calibri" w:hAnsi="Arial" w:cs="Arial"/>
          <w:noProof/>
          <w:sz w:val="20"/>
          <w:szCs w:val="20"/>
        </w:rPr>
        <w:drawing>
          <wp:inline distT="0" distB="0" distL="0" distR="0" wp14:anchorId="15E32968" wp14:editId="46B84A21">
            <wp:extent cx="6115050" cy="190500"/>
            <wp:effectExtent l="0" t="0" r="0" b="0"/>
            <wp:docPr id="763"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115050" cy="190500"/>
                    </a:xfrm>
                    <a:prstGeom prst="rect">
                      <a:avLst/>
                    </a:prstGeom>
                    <a:noFill/>
                    <a:ln>
                      <a:noFill/>
                    </a:ln>
                  </pic:spPr>
                </pic:pic>
              </a:graphicData>
            </a:graphic>
          </wp:inline>
        </w:drawing>
      </w:r>
    </w:p>
    <w:p w14:paraId="624F8762" w14:textId="77777777" w:rsidR="00F26861" w:rsidRPr="003A2F86" w:rsidRDefault="00F26861" w:rsidP="00F26861">
      <w:pPr>
        <w:spacing w:after="0" w:line="240" w:lineRule="auto"/>
        <w:jc w:val="both"/>
        <w:rPr>
          <w:rFonts w:ascii="Arial" w:eastAsia="Calibri" w:hAnsi="Arial" w:cs="Arial"/>
          <w:sz w:val="20"/>
          <w:szCs w:val="20"/>
        </w:rPr>
      </w:pPr>
    </w:p>
    <w:p w14:paraId="36B5127D" w14:textId="77777777" w:rsidR="00E5761E" w:rsidRPr="003A2F86" w:rsidRDefault="00E5761E" w:rsidP="00E5761E">
      <w:pPr>
        <w:spacing w:after="0" w:line="240" w:lineRule="auto"/>
        <w:jc w:val="both"/>
        <w:rPr>
          <w:rFonts w:ascii="Arial" w:eastAsia="Calibri" w:hAnsi="Arial" w:cs="Arial"/>
          <w:sz w:val="20"/>
          <w:szCs w:val="20"/>
        </w:rPr>
      </w:pPr>
      <w:r w:rsidRPr="003A2F86">
        <w:rPr>
          <w:rFonts w:ascii="Arial" w:eastAsia="Calibri" w:hAnsi="Arial" w:cs="Arial"/>
          <w:sz w:val="20"/>
          <w:szCs w:val="20"/>
        </w:rPr>
        <w:t>Dječji vrtić Konavle osnovan je kao javna ustanova koja će u okviru djelatnosti ranog i predškolskog odgoja i obrazovanja ostvarivati programe kojima će se poticati cjeloviti razvoj i integrirano učenje djece rane i predškolske dobi, razvoj dječjih kompetencija, poštivanje različitosti te osigurati njegu i skrb za djecu predškolskog uzrasta.</w:t>
      </w:r>
    </w:p>
    <w:p w14:paraId="5B931E0D" w14:textId="77777777" w:rsidR="00E5761E" w:rsidRPr="003A2F86" w:rsidRDefault="00E5761E" w:rsidP="00E5761E">
      <w:pPr>
        <w:spacing w:after="0" w:line="240" w:lineRule="auto"/>
        <w:jc w:val="both"/>
        <w:rPr>
          <w:rFonts w:ascii="Arial" w:eastAsia="Calibri" w:hAnsi="Arial" w:cs="Arial"/>
          <w:sz w:val="20"/>
          <w:szCs w:val="20"/>
        </w:rPr>
      </w:pPr>
    </w:p>
    <w:p w14:paraId="35F4ADFE" w14:textId="77777777" w:rsidR="00E5761E" w:rsidRPr="003A2F86" w:rsidRDefault="00E5761E" w:rsidP="00E5761E">
      <w:pPr>
        <w:spacing w:after="0" w:line="240" w:lineRule="auto"/>
        <w:jc w:val="both"/>
        <w:rPr>
          <w:rFonts w:ascii="Arial" w:eastAsia="Calibri" w:hAnsi="Arial" w:cs="Arial"/>
          <w:sz w:val="20"/>
          <w:szCs w:val="20"/>
        </w:rPr>
      </w:pPr>
      <w:r w:rsidRPr="003A2F86">
        <w:rPr>
          <w:rFonts w:ascii="Arial" w:eastAsia="Calibri" w:hAnsi="Arial" w:cs="Arial"/>
          <w:sz w:val="20"/>
          <w:szCs w:val="20"/>
        </w:rPr>
        <w:t>Utemeljena je 1998. godine, nakon razdruživanja od Dječjih vrtića Dubrovnik u sastavu kojih je bila od 1980. g. Ustanova je upisana u Trgovački sud u Splitu pod registarskim brojem (MBS) 060100807 -  2. veljače 1998. godine. Osnivač ustanove je Općina Konavle.</w:t>
      </w:r>
    </w:p>
    <w:p w14:paraId="4D1B4EA8" w14:textId="77777777" w:rsidR="003752B9" w:rsidRPr="003A2F86" w:rsidRDefault="003752B9" w:rsidP="003752B9">
      <w:pPr>
        <w:spacing w:after="0" w:line="240" w:lineRule="auto"/>
        <w:rPr>
          <w:rFonts w:ascii="Times New Roman" w:eastAsia="Times New Roman" w:hAnsi="Times New Roman" w:cs="Arial"/>
          <w:sz w:val="20"/>
          <w:szCs w:val="20"/>
          <w:lang w:eastAsia="en-US"/>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12422"/>
      </w:tblGrid>
      <w:tr w:rsidR="007B04D0" w:rsidRPr="007B04D0" w14:paraId="05965ACA" w14:textId="77777777" w:rsidTr="00E5761E">
        <w:tc>
          <w:tcPr>
            <w:tcW w:w="1683" w:type="dxa"/>
            <w:tcBorders>
              <w:top w:val="dotted" w:sz="4" w:space="0" w:color="auto"/>
              <w:left w:val="dotted" w:sz="4" w:space="0" w:color="auto"/>
              <w:bottom w:val="dotted" w:sz="4" w:space="0" w:color="auto"/>
              <w:right w:val="dotted" w:sz="4" w:space="0" w:color="auto"/>
            </w:tcBorders>
          </w:tcPr>
          <w:p w14:paraId="2BA54FE9" w14:textId="77777777" w:rsidR="003752B9" w:rsidRPr="00731E7F" w:rsidRDefault="003752B9" w:rsidP="003752B9">
            <w:pPr>
              <w:spacing w:after="0" w:line="240" w:lineRule="auto"/>
              <w:rPr>
                <w:rFonts w:ascii="Arial" w:eastAsia="Calibri" w:hAnsi="Arial" w:cs="Arial"/>
                <w:sz w:val="20"/>
                <w:szCs w:val="20"/>
              </w:rPr>
            </w:pPr>
            <w:r w:rsidRPr="00731E7F">
              <w:rPr>
                <w:rFonts w:ascii="Arial" w:eastAsia="Calibri" w:hAnsi="Arial" w:cs="Arial"/>
                <w:sz w:val="20"/>
                <w:szCs w:val="20"/>
              </w:rPr>
              <w:t>OPIS PROGRAMA:</w:t>
            </w:r>
          </w:p>
          <w:p w14:paraId="7FF75F0E" w14:textId="77777777" w:rsidR="003752B9" w:rsidRPr="00731E7F" w:rsidRDefault="003752B9" w:rsidP="003752B9">
            <w:pPr>
              <w:spacing w:after="0" w:line="240" w:lineRule="auto"/>
              <w:rPr>
                <w:rFonts w:ascii="Arial" w:eastAsia="Calibri" w:hAnsi="Arial" w:cs="Arial"/>
                <w:sz w:val="20"/>
                <w:szCs w:val="20"/>
              </w:rPr>
            </w:pPr>
          </w:p>
          <w:p w14:paraId="50068BE1" w14:textId="77777777" w:rsidR="003752B9" w:rsidRPr="00731E7F" w:rsidRDefault="003752B9" w:rsidP="003752B9">
            <w:pPr>
              <w:spacing w:after="0" w:line="240" w:lineRule="auto"/>
              <w:rPr>
                <w:rFonts w:ascii="Arial" w:eastAsia="Calibri" w:hAnsi="Arial" w:cs="Arial"/>
                <w:sz w:val="20"/>
                <w:szCs w:val="20"/>
              </w:rPr>
            </w:pPr>
            <w:r w:rsidRPr="00731E7F">
              <w:rPr>
                <w:rFonts w:ascii="Arial" w:eastAsia="Calibri" w:hAnsi="Arial" w:cs="Arial"/>
                <w:sz w:val="20"/>
                <w:szCs w:val="20"/>
              </w:rPr>
              <w:t>- kako će se nastojati realizirati program, tko je korisnik usluge</w:t>
            </w:r>
          </w:p>
          <w:p w14:paraId="263110E1" w14:textId="77777777" w:rsidR="003752B9" w:rsidRPr="00731E7F" w:rsidRDefault="003752B9" w:rsidP="003752B9">
            <w:pPr>
              <w:spacing w:after="0" w:line="240" w:lineRule="auto"/>
              <w:rPr>
                <w:rFonts w:ascii="Arial" w:eastAsia="Calibri" w:hAnsi="Arial" w:cs="Arial"/>
                <w:sz w:val="20"/>
                <w:szCs w:val="20"/>
              </w:rPr>
            </w:pPr>
            <w:r w:rsidRPr="00731E7F">
              <w:rPr>
                <w:rFonts w:ascii="Arial" w:eastAsia="Calibri" w:hAnsi="Arial" w:cs="Arial"/>
                <w:sz w:val="20"/>
                <w:szCs w:val="20"/>
              </w:rPr>
              <w:t xml:space="preserve">(tj. način ostvarenja cilja programa) </w:t>
            </w:r>
          </w:p>
          <w:p w14:paraId="43614EEC" w14:textId="77777777" w:rsidR="003752B9" w:rsidRPr="00731E7F" w:rsidRDefault="003752B9" w:rsidP="003752B9">
            <w:pPr>
              <w:spacing w:after="0" w:line="240" w:lineRule="auto"/>
              <w:rPr>
                <w:rFonts w:ascii="Arial" w:eastAsia="Calibri" w:hAnsi="Arial" w:cs="Arial"/>
                <w:sz w:val="20"/>
                <w:szCs w:val="20"/>
              </w:rPr>
            </w:pPr>
          </w:p>
        </w:tc>
        <w:tc>
          <w:tcPr>
            <w:tcW w:w="12600" w:type="dxa"/>
            <w:tcBorders>
              <w:top w:val="dotted" w:sz="4" w:space="0" w:color="auto"/>
              <w:left w:val="dotted" w:sz="4" w:space="0" w:color="auto"/>
              <w:bottom w:val="dotted" w:sz="4" w:space="0" w:color="auto"/>
              <w:right w:val="dotted" w:sz="4" w:space="0" w:color="auto"/>
            </w:tcBorders>
          </w:tcPr>
          <w:p w14:paraId="6311C100" w14:textId="77777777" w:rsidR="003752B9" w:rsidRPr="00FC4236" w:rsidRDefault="003752B9" w:rsidP="00DE7911">
            <w:pPr>
              <w:spacing w:after="0" w:line="240" w:lineRule="auto"/>
              <w:rPr>
                <w:rFonts w:ascii="Arial" w:hAnsi="Arial" w:cs="Arial"/>
                <w:sz w:val="20"/>
                <w:szCs w:val="20"/>
                <w:lang w:eastAsia="en-US"/>
              </w:rPr>
            </w:pPr>
            <w:r w:rsidRPr="00FC4236">
              <w:rPr>
                <w:rFonts w:ascii="Arial" w:hAnsi="Arial" w:cs="Arial"/>
                <w:sz w:val="20"/>
                <w:szCs w:val="20"/>
                <w:lang w:eastAsia="en-US"/>
              </w:rPr>
              <w:t>Programom se omogućuje svakom djetetu prvo na razvoj usklađen s njegovim individualnim mogućnostima i sposobnostima. Osiguravaju se institucionalni i izvaninstitucionalni oblici predškolskog odgoja, pomaže se zaposlenim roditeljima u odgoju i skrbi o djeci te se na taj način unapređuje obiteljski odgoj. Stvaraju se uvjeti za očuvanje zdravlja djece i razvoj emocionalne stabilnosti i stabilizacije. Osigurava se ostvarivanje redovitih programa odgoja, naobrazbe, njege, zdravstvene zaštite, prehrane i socijalne skrbi djece koji su prilagođeni razvojnim potrebama djece, te njihovim mogućnostima i sposobnostima.</w:t>
            </w:r>
          </w:p>
          <w:p w14:paraId="3B2609A6" w14:textId="77777777" w:rsidR="003752B9" w:rsidRPr="00FC4236" w:rsidRDefault="003752B9" w:rsidP="00DE7911">
            <w:pPr>
              <w:spacing w:after="0" w:line="240" w:lineRule="auto"/>
              <w:rPr>
                <w:rFonts w:ascii="Arial" w:hAnsi="Arial" w:cs="Arial"/>
                <w:sz w:val="20"/>
                <w:szCs w:val="20"/>
                <w:lang w:eastAsia="en-US"/>
              </w:rPr>
            </w:pPr>
            <w:r w:rsidRPr="00FC4236">
              <w:rPr>
                <w:rFonts w:ascii="Arial" w:hAnsi="Arial" w:cs="Arial"/>
                <w:sz w:val="20"/>
                <w:szCs w:val="20"/>
                <w:lang w:eastAsia="en-US"/>
              </w:rPr>
              <w:t xml:space="preserve">Ova aktivnost uključuje redovnu djelatnost vrtića: odgojno obrazovni rad, naobrazbu i usavršavanje odgojitelja, njegu i skrb za tjelesni rast i zdravlje djece, suradnju s roditeljima i drugo. </w:t>
            </w:r>
          </w:p>
          <w:p w14:paraId="3D4CE751" w14:textId="77777777" w:rsidR="003752B9" w:rsidRPr="00FC4236" w:rsidRDefault="003752B9" w:rsidP="00DE7911">
            <w:pPr>
              <w:spacing w:after="0" w:line="240" w:lineRule="auto"/>
              <w:rPr>
                <w:rFonts w:ascii="Arial" w:hAnsi="Arial" w:cs="Arial"/>
                <w:sz w:val="20"/>
                <w:szCs w:val="20"/>
                <w:lang w:eastAsia="en-US"/>
              </w:rPr>
            </w:pPr>
          </w:p>
          <w:p w14:paraId="4A52E93D" w14:textId="77777777" w:rsidR="003752B9" w:rsidRPr="00FC4236" w:rsidRDefault="003752B9" w:rsidP="00DE7911">
            <w:pPr>
              <w:spacing w:after="0" w:line="240" w:lineRule="auto"/>
              <w:rPr>
                <w:rFonts w:ascii="Arial" w:hAnsi="Arial" w:cs="Arial"/>
                <w:sz w:val="20"/>
                <w:szCs w:val="20"/>
                <w:lang w:eastAsia="en-US"/>
              </w:rPr>
            </w:pPr>
            <w:r w:rsidRPr="00FC4236">
              <w:rPr>
                <w:rFonts w:ascii="Arial" w:hAnsi="Arial" w:cs="Arial"/>
                <w:sz w:val="20"/>
                <w:szCs w:val="20"/>
                <w:lang w:eastAsia="en-US"/>
              </w:rPr>
              <w:t xml:space="preserve">Program se realizira na temelju saznanja u primjeni suvremenih znanstvenih dostignuća o ranom razvoju djece, metodama rada s djecom i njihovim roditeljima. </w:t>
            </w:r>
          </w:p>
          <w:p w14:paraId="69CAA8B1" w14:textId="77777777" w:rsidR="003752B9" w:rsidRPr="00FC4236" w:rsidRDefault="003752B9" w:rsidP="00DE7911">
            <w:pPr>
              <w:spacing w:after="0" w:line="240" w:lineRule="auto"/>
              <w:rPr>
                <w:rFonts w:ascii="Arial" w:hAnsi="Arial" w:cs="Arial"/>
                <w:sz w:val="20"/>
                <w:szCs w:val="20"/>
                <w:lang w:eastAsia="en-US"/>
              </w:rPr>
            </w:pPr>
          </w:p>
          <w:p w14:paraId="0362666A" w14:textId="77777777" w:rsidR="00C072ED" w:rsidRPr="00FC4236" w:rsidRDefault="003752B9" w:rsidP="00DE7911">
            <w:pPr>
              <w:spacing w:after="0" w:line="240" w:lineRule="auto"/>
              <w:rPr>
                <w:rFonts w:ascii="Arial" w:hAnsi="Arial" w:cs="Arial"/>
                <w:sz w:val="20"/>
                <w:szCs w:val="20"/>
                <w:lang w:eastAsia="en-US"/>
              </w:rPr>
            </w:pPr>
            <w:r w:rsidRPr="00FC4236">
              <w:rPr>
                <w:rFonts w:ascii="Arial" w:hAnsi="Arial" w:cs="Arial"/>
                <w:sz w:val="20"/>
                <w:szCs w:val="20"/>
                <w:lang w:eastAsia="en-US"/>
              </w:rPr>
              <w:t>Korisnici usluga - djeca koja imaju boravište ili prebivalište na području opć</w:t>
            </w:r>
            <w:r w:rsidR="00AC079F" w:rsidRPr="00FC4236">
              <w:rPr>
                <w:rFonts w:ascii="Arial" w:hAnsi="Arial" w:cs="Arial"/>
                <w:sz w:val="20"/>
                <w:szCs w:val="20"/>
                <w:lang w:eastAsia="en-US"/>
              </w:rPr>
              <w:t>ine Konavle i njihovi roditelji.</w:t>
            </w:r>
            <w:r w:rsidRPr="00FC4236">
              <w:rPr>
                <w:rFonts w:ascii="Arial" w:hAnsi="Arial" w:cs="Arial"/>
                <w:sz w:val="20"/>
                <w:szCs w:val="20"/>
                <w:lang w:eastAsia="en-US"/>
              </w:rPr>
              <w:t xml:space="preserve"> </w:t>
            </w:r>
          </w:p>
          <w:p w14:paraId="5AA20E41" w14:textId="57641042" w:rsidR="00C072ED" w:rsidRPr="00FC4236" w:rsidRDefault="00C072ED" w:rsidP="00DE7911">
            <w:pPr>
              <w:spacing w:after="0" w:line="240" w:lineRule="auto"/>
              <w:rPr>
                <w:rFonts w:ascii="Arial" w:hAnsi="Arial" w:cs="Arial"/>
                <w:sz w:val="20"/>
                <w:szCs w:val="20"/>
              </w:rPr>
            </w:pPr>
          </w:p>
          <w:p w14:paraId="056B6395" w14:textId="77777777" w:rsidR="003441FB" w:rsidRPr="003441FB" w:rsidRDefault="003441FB" w:rsidP="003441FB">
            <w:pPr>
              <w:spacing w:after="0" w:line="240" w:lineRule="auto"/>
              <w:rPr>
                <w:rFonts w:ascii="Arial" w:hAnsi="Arial" w:cs="Arial"/>
                <w:sz w:val="20"/>
                <w:szCs w:val="20"/>
              </w:rPr>
            </w:pPr>
            <w:r w:rsidRPr="003441FB">
              <w:rPr>
                <w:rFonts w:ascii="Arial" w:hAnsi="Arial" w:cs="Arial"/>
                <w:sz w:val="20"/>
                <w:szCs w:val="20"/>
              </w:rPr>
              <w:t>Pedagoška godina 2023/2024 započinje 01.9.2023. g. i traje do 31.08.2024. g. sa sveukupno upisano 448-ero djece i 95-ero zaposlenih radnika.</w:t>
            </w:r>
          </w:p>
          <w:p w14:paraId="03D80906" w14:textId="77777777" w:rsidR="003441FB" w:rsidRPr="003441FB" w:rsidRDefault="003441FB" w:rsidP="003441FB">
            <w:pPr>
              <w:spacing w:after="0" w:line="240" w:lineRule="auto"/>
              <w:rPr>
                <w:rFonts w:ascii="Arial" w:hAnsi="Arial" w:cs="Arial"/>
                <w:sz w:val="20"/>
                <w:szCs w:val="20"/>
              </w:rPr>
            </w:pPr>
            <w:r w:rsidRPr="003441FB">
              <w:rPr>
                <w:rFonts w:ascii="Arial" w:hAnsi="Arial" w:cs="Arial"/>
                <w:sz w:val="20"/>
                <w:szCs w:val="20"/>
              </w:rPr>
              <w:t>Pedagoška godina 2024/2025 započinje 01.9.2024. g. i traje do 31.08.2025. g. sa sveukupno upisano 455-ero djece i 104 zaposlena radnika.</w:t>
            </w:r>
          </w:p>
          <w:p w14:paraId="11DEE002" w14:textId="77777777" w:rsidR="003441FB" w:rsidRPr="003441FB" w:rsidRDefault="003441FB" w:rsidP="003441FB">
            <w:pPr>
              <w:spacing w:after="0" w:line="240" w:lineRule="auto"/>
              <w:rPr>
                <w:rFonts w:ascii="Arial" w:hAnsi="Arial" w:cs="Arial"/>
                <w:sz w:val="20"/>
                <w:szCs w:val="20"/>
              </w:rPr>
            </w:pPr>
          </w:p>
          <w:p w14:paraId="2E446260" w14:textId="77777777" w:rsidR="003441FB" w:rsidRPr="003441FB" w:rsidRDefault="003441FB" w:rsidP="003441FB">
            <w:pPr>
              <w:spacing w:after="0" w:line="240" w:lineRule="auto"/>
              <w:rPr>
                <w:rFonts w:ascii="Arial" w:hAnsi="Arial" w:cs="Arial"/>
                <w:sz w:val="20"/>
                <w:szCs w:val="20"/>
              </w:rPr>
            </w:pPr>
            <w:r w:rsidRPr="003441FB">
              <w:rPr>
                <w:rFonts w:ascii="Arial" w:hAnsi="Arial" w:cs="Arial"/>
                <w:sz w:val="20"/>
                <w:szCs w:val="20"/>
              </w:rPr>
              <w:t>Pedagoška godina je započela 1.9.2025. g. i traje do 31.08.2026 g. sa sveukupno upisano 446-ero djece i 113 zaposlenih radnika..</w:t>
            </w:r>
          </w:p>
          <w:p w14:paraId="665D2F86" w14:textId="107ED8D1" w:rsidR="005C0F8F" w:rsidRDefault="003441FB" w:rsidP="003441FB">
            <w:pPr>
              <w:spacing w:after="0" w:line="240" w:lineRule="auto"/>
              <w:rPr>
                <w:rFonts w:ascii="Arial" w:hAnsi="Arial" w:cs="Arial"/>
                <w:sz w:val="20"/>
                <w:szCs w:val="20"/>
              </w:rPr>
            </w:pPr>
            <w:r w:rsidRPr="003441FB">
              <w:rPr>
                <w:rFonts w:ascii="Arial" w:hAnsi="Arial" w:cs="Arial"/>
                <w:sz w:val="20"/>
                <w:szCs w:val="20"/>
              </w:rPr>
              <w:t>Broj upisane djece 31.12.2025. godine iznosio je 453.</w:t>
            </w:r>
          </w:p>
          <w:p w14:paraId="432CD27F" w14:textId="77777777" w:rsidR="003441FB" w:rsidRPr="00FC4236" w:rsidRDefault="003441FB" w:rsidP="003441FB">
            <w:pPr>
              <w:spacing w:after="0" w:line="240" w:lineRule="auto"/>
              <w:rPr>
                <w:rFonts w:ascii="Arial" w:hAnsi="Arial" w:cs="Arial"/>
                <w:sz w:val="20"/>
                <w:szCs w:val="20"/>
              </w:rPr>
            </w:pPr>
          </w:p>
          <w:p w14:paraId="59865B71" w14:textId="33FF6E04" w:rsidR="005E6F0D" w:rsidRPr="00FC4236" w:rsidRDefault="005E6F0D" w:rsidP="00DE7911">
            <w:pPr>
              <w:spacing w:after="0" w:line="240" w:lineRule="auto"/>
              <w:rPr>
                <w:rFonts w:ascii="Arial" w:hAnsi="Arial" w:cs="Arial"/>
                <w:sz w:val="20"/>
                <w:szCs w:val="20"/>
              </w:rPr>
            </w:pPr>
            <w:r w:rsidRPr="00FC4236">
              <w:rPr>
                <w:rFonts w:ascii="Arial" w:hAnsi="Arial" w:cs="Arial"/>
                <w:sz w:val="20"/>
                <w:szCs w:val="20"/>
              </w:rPr>
              <w:t>Ustanovom upravlja Upravno vijeće koje broji pet članova:</w:t>
            </w:r>
            <w:r w:rsidR="00F12DCA">
              <w:rPr>
                <w:rFonts w:ascii="Arial" w:hAnsi="Arial" w:cs="Arial"/>
                <w:sz w:val="20"/>
                <w:szCs w:val="20"/>
              </w:rPr>
              <w:t xml:space="preserve"> </w:t>
            </w:r>
            <w:r w:rsidRPr="00FC4236">
              <w:rPr>
                <w:rFonts w:ascii="Arial" w:hAnsi="Arial" w:cs="Arial"/>
                <w:sz w:val="20"/>
                <w:szCs w:val="20"/>
              </w:rPr>
              <w:t>predstavnici Osnivača (3 člana)</w:t>
            </w:r>
            <w:r w:rsidR="00F12DCA">
              <w:rPr>
                <w:rFonts w:ascii="Arial" w:hAnsi="Arial" w:cs="Arial"/>
                <w:sz w:val="20"/>
                <w:szCs w:val="20"/>
              </w:rPr>
              <w:t xml:space="preserve">, </w:t>
            </w:r>
            <w:r w:rsidRPr="00FC4236">
              <w:rPr>
                <w:rFonts w:ascii="Arial" w:hAnsi="Arial" w:cs="Arial"/>
                <w:sz w:val="20"/>
                <w:szCs w:val="20"/>
              </w:rPr>
              <w:t>predstavnik iz redova odgojiteljskog vijeća (1 član)</w:t>
            </w:r>
            <w:r w:rsidR="00F12DCA">
              <w:rPr>
                <w:rFonts w:ascii="Arial" w:hAnsi="Arial" w:cs="Arial"/>
                <w:sz w:val="20"/>
                <w:szCs w:val="20"/>
              </w:rPr>
              <w:t xml:space="preserve">, </w:t>
            </w:r>
            <w:r w:rsidRPr="00FC4236">
              <w:rPr>
                <w:rFonts w:ascii="Arial" w:hAnsi="Arial" w:cs="Arial"/>
                <w:sz w:val="20"/>
                <w:szCs w:val="20"/>
              </w:rPr>
              <w:t>predstavnik roditelja (1 član)</w:t>
            </w:r>
          </w:p>
          <w:p w14:paraId="7D501DF9" w14:textId="77777777" w:rsidR="00A63B44" w:rsidRPr="00FC4236" w:rsidRDefault="00A63B44" w:rsidP="003A4B46">
            <w:pPr>
              <w:spacing w:after="0" w:line="240" w:lineRule="auto"/>
              <w:rPr>
                <w:rFonts w:ascii="Arial" w:hAnsi="Arial" w:cs="Arial"/>
                <w:sz w:val="20"/>
                <w:szCs w:val="20"/>
              </w:rPr>
            </w:pPr>
          </w:p>
          <w:p w14:paraId="41011BA3" w14:textId="77777777" w:rsidR="005E6F0D" w:rsidRPr="00FC4236" w:rsidRDefault="005E6F0D" w:rsidP="003A4B46">
            <w:pPr>
              <w:spacing w:after="0" w:line="240" w:lineRule="auto"/>
              <w:rPr>
                <w:rFonts w:ascii="Arial" w:hAnsi="Arial" w:cs="Arial"/>
                <w:sz w:val="20"/>
                <w:szCs w:val="20"/>
              </w:rPr>
            </w:pPr>
          </w:p>
          <w:p w14:paraId="682D7278" w14:textId="77777777" w:rsidR="003441FB" w:rsidRPr="00572868" w:rsidRDefault="003441FB" w:rsidP="003441FB">
            <w:pPr>
              <w:spacing w:after="0" w:line="240" w:lineRule="auto"/>
              <w:rPr>
                <w:rFonts w:ascii="Arial" w:hAnsi="Arial" w:cs="Arial"/>
                <w:b/>
                <w:sz w:val="20"/>
                <w:szCs w:val="20"/>
              </w:rPr>
            </w:pPr>
            <w:r w:rsidRPr="00572868">
              <w:rPr>
                <w:rFonts w:ascii="Arial" w:hAnsi="Arial" w:cs="Arial"/>
                <w:b/>
                <w:sz w:val="20"/>
                <w:szCs w:val="20"/>
              </w:rPr>
              <w:t>Programi odgoja i obrazovanja koji će se provoditi u Dječjem vrtiću Konavle:</w:t>
            </w:r>
          </w:p>
          <w:p w14:paraId="328D6187" w14:textId="77777777" w:rsidR="003441FB" w:rsidRPr="00572868" w:rsidRDefault="003441FB">
            <w:pPr>
              <w:numPr>
                <w:ilvl w:val="0"/>
                <w:numId w:val="58"/>
              </w:numPr>
              <w:spacing w:after="0" w:line="240" w:lineRule="auto"/>
              <w:rPr>
                <w:rFonts w:ascii="Arial" w:hAnsi="Arial" w:cs="Arial"/>
                <w:sz w:val="20"/>
                <w:szCs w:val="20"/>
              </w:rPr>
            </w:pPr>
            <w:r>
              <w:rPr>
                <w:rFonts w:ascii="Arial" w:hAnsi="Arial" w:cs="Arial"/>
                <w:sz w:val="20"/>
                <w:szCs w:val="20"/>
              </w:rPr>
              <w:t>Jutarnji cjelodnevni program</w:t>
            </w:r>
          </w:p>
          <w:p w14:paraId="74E33C26" w14:textId="77777777" w:rsidR="003441FB" w:rsidRPr="00572868" w:rsidRDefault="003441FB">
            <w:pPr>
              <w:numPr>
                <w:ilvl w:val="0"/>
                <w:numId w:val="58"/>
              </w:numPr>
              <w:spacing w:after="0" w:line="240" w:lineRule="auto"/>
              <w:rPr>
                <w:rFonts w:ascii="Arial" w:hAnsi="Arial" w:cs="Arial"/>
                <w:sz w:val="20"/>
                <w:szCs w:val="20"/>
              </w:rPr>
            </w:pPr>
            <w:r>
              <w:rPr>
                <w:rFonts w:ascii="Arial" w:hAnsi="Arial" w:cs="Arial"/>
                <w:sz w:val="20"/>
                <w:szCs w:val="20"/>
              </w:rPr>
              <w:t>Jutarnji skraćeni program</w:t>
            </w:r>
          </w:p>
          <w:p w14:paraId="4C878247" w14:textId="77777777" w:rsidR="003441FB" w:rsidRPr="00572868" w:rsidRDefault="003441FB">
            <w:pPr>
              <w:numPr>
                <w:ilvl w:val="0"/>
                <w:numId w:val="58"/>
              </w:numPr>
              <w:spacing w:after="0" w:line="240" w:lineRule="auto"/>
              <w:rPr>
                <w:rFonts w:ascii="Arial" w:hAnsi="Arial" w:cs="Arial"/>
                <w:sz w:val="20"/>
                <w:szCs w:val="20"/>
              </w:rPr>
            </w:pPr>
            <w:r w:rsidRPr="00572868">
              <w:rPr>
                <w:rFonts w:ascii="Arial" w:hAnsi="Arial" w:cs="Arial"/>
                <w:sz w:val="20"/>
                <w:szCs w:val="20"/>
              </w:rPr>
              <w:t xml:space="preserve">Program predškole </w:t>
            </w:r>
          </w:p>
          <w:p w14:paraId="059DBD08" w14:textId="77777777" w:rsidR="003441FB" w:rsidRDefault="003441FB">
            <w:pPr>
              <w:numPr>
                <w:ilvl w:val="0"/>
                <w:numId w:val="58"/>
              </w:numPr>
              <w:spacing w:after="0" w:line="240" w:lineRule="auto"/>
              <w:rPr>
                <w:rFonts w:ascii="Arial" w:hAnsi="Arial" w:cs="Arial"/>
                <w:sz w:val="20"/>
                <w:szCs w:val="20"/>
              </w:rPr>
            </w:pPr>
            <w:r w:rsidRPr="00572868">
              <w:rPr>
                <w:rFonts w:ascii="Arial" w:hAnsi="Arial" w:cs="Arial"/>
                <w:sz w:val="20"/>
                <w:szCs w:val="20"/>
              </w:rPr>
              <w:t xml:space="preserve">Posebni glazbeni program integriran u redovni program </w:t>
            </w:r>
          </w:p>
          <w:p w14:paraId="0F698A37" w14:textId="77777777" w:rsidR="003441FB" w:rsidRDefault="003441FB">
            <w:pPr>
              <w:numPr>
                <w:ilvl w:val="0"/>
                <w:numId w:val="58"/>
              </w:numPr>
              <w:spacing w:after="0" w:line="240" w:lineRule="auto"/>
              <w:rPr>
                <w:rFonts w:ascii="Arial" w:hAnsi="Arial" w:cs="Arial"/>
                <w:sz w:val="20"/>
                <w:szCs w:val="20"/>
              </w:rPr>
            </w:pPr>
            <w:r w:rsidRPr="00572868">
              <w:rPr>
                <w:rFonts w:ascii="Arial" w:hAnsi="Arial" w:cs="Arial"/>
                <w:sz w:val="20"/>
                <w:szCs w:val="20"/>
              </w:rPr>
              <w:t xml:space="preserve">Posebni program upoznavanja i očuvanja tradicijske baštine „Igrom do baštine” </w:t>
            </w:r>
          </w:p>
          <w:p w14:paraId="5EE81D32" w14:textId="77777777" w:rsidR="003441FB" w:rsidRPr="00572868" w:rsidRDefault="003441FB" w:rsidP="003441FB">
            <w:pPr>
              <w:spacing w:after="0" w:line="240" w:lineRule="auto"/>
              <w:ind w:left="720"/>
              <w:rPr>
                <w:rFonts w:ascii="Arial" w:hAnsi="Arial" w:cs="Arial"/>
                <w:sz w:val="20"/>
                <w:szCs w:val="20"/>
              </w:rPr>
            </w:pPr>
            <w:r>
              <w:rPr>
                <w:rFonts w:ascii="Arial" w:hAnsi="Arial" w:cs="Arial"/>
                <w:sz w:val="20"/>
                <w:szCs w:val="20"/>
              </w:rPr>
              <w:t>u sklopu cjelodnevnog programa vrtića</w:t>
            </w:r>
            <w:r w:rsidRPr="00572868">
              <w:rPr>
                <w:rFonts w:ascii="Arial" w:hAnsi="Arial" w:cs="Arial"/>
                <w:sz w:val="20"/>
                <w:szCs w:val="20"/>
              </w:rPr>
              <w:t xml:space="preserve"> </w:t>
            </w:r>
          </w:p>
          <w:p w14:paraId="09B4F05E" w14:textId="77777777" w:rsidR="003441FB" w:rsidRPr="00572868" w:rsidRDefault="003441FB">
            <w:pPr>
              <w:numPr>
                <w:ilvl w:val="0"/>
                <w:numId w:val="58"/>
              </w:numPr>
              <w:spacing w:after="0" w:line="240" w:lineRule="auto"/>
              <w:rPr>
                <w:rFonts w:ascii="Arial" w:hAnsi="Arial" w:cs="Arial"/>
                <w:sz w:val="20"/>
                <w:szCs w:val="20"/>
              </w:rPr>
            </w:pPr>
            <w:r w:rsidRPr="00572868">
              <w:rPr>
                <w:rFonts w:ascii="Arial" w:hAnsi="Arial" w:cs="Arial"/>
                <w:sz w:val="20"/>
                <w:szCs w:val="20"/>
              </w:rPr>
              <w:t>Program radionica za roditelje najmlađe djece „Rastimo zajedno“</w:t>
            </w:r>
          </w:p>
          <w:p w14:paraId="44CC2374" w14:textId="77777777" w:rsidR="003441FB" w:rsidRDefault="003441FB" w:rsidP="003441FB">
            <w:pPr>
              <w:ind w:left="708"/>
              <w:contextualSpacing/>
              <w:rPr>
                <w:rFonts w:ascii="Arial" w:hAnsi="Arial" w:cs="Arial"/>
                <w:bCs/>
                <w:iCs/>
                <w:sz w:val="20"/>
                <w:szCs w:val="20"/>
              </w:rPr>
            </w:pPr>
          </w:p>
          <w:p w14:paraId="7D75FA85" w14:textId="6198FA6D" w:rsidR="003441FB" w:rsidRDefault="003441FB" w:rsidP="003441FB">
            <w:pPr>
              <w:ind w:left="708"/>
              <w:contextualSpacing/>
              <w:rPr>
                <w:rFonts w:ascii="Arial" w:hAnsi="Arial" w:cs="Arial"/>
                <w:sz w:val="20"/>
                <w:szCs w:val="20"/>
              </w:rPr>
            </w:pPr>
            <w:r w:rsidRPr="00774F5B">
              <w:rPr>
                <w:rFonts w:ascii="Arial" w:hAnsi="Arial" w:cs="Arial"/>
                <w:bCs/>
                <w:iCs/>
                <w:sz w:val="20"/>
                <w:szCs w:val="20"/>
              </w:rPr>
              <w:t xml:space="preserve">Radno vrijeme Dječjeg vrtića Konavle je od 6.30-16.30 sati. U mjesecu travnju 2024. godine uvedeno je dežurstvo </w:t>
            </w:r>
            <w:r w:rsidRPr="00774F5B">
              <w:rPr>
                <w:rFonts w:ascii="Arial" w:hAnsi="Arial" w:cs="Arial"/>
                <w:kern w:val="2"/>
                <w:sz w:val="20"/>
                <w:szCs w:val="20"/>
                <w14:ligatures w14:val="standardContextual"/>
              </w:rPr>
              <w:t xml:space="preserve">u vremenu od 16.30 h do 17.00 h koje je organizirano za: </w:t>
            </w:r>
            <w:r w:rsidRPr="00774F5B">
              <w:rPr>
                <w:rFonts w:ascii="Arial" w:hAnsi="Arial" w:cs="Arial"/>
                <w:sz w:val="20"/>
                <w:szCs w:val="20"/>
              </w:rPr>
              <w:t xml:space="preserve">dijete oba zaposlena roditelja izvan Općine Konavle,  dijete iz obitelji oba zaposlena roditelja, jedan roditelj zaposlen izvan Općine Konavle, drugi radi smjenski rad ( uključuje i djecu pomoraca ), dijete samohranog roditelja. Roditelji potrebu za dežurstvom  dokazuju  potvrdom o radnom vremenu.   </w:t>
            </w:r>
          </w:p>
          <w:p w14:paraId="367312A3" w14:textId="77777777" w:rsidR="003441FB" w:rsidRPr="00774F5B" w:rsidRDefault="003441FB" w:rsidP="003441FB">
            <w:pPr>
              <w:ind w:left="708"/>
              <w:contextualSpacing/>
              <w:rPr>
                <w:rFonts w:ascii="Arial" w:hAnsi="Arial" w:cs="Arial"/>
                <w:b/>
                <w:bCs/>
                <w:iCs/>
                <w:sz w:val="20"/>
                <w:szCs w:val="20"/>
                <w:u w:val="single"/>
              </w:rPr>
            </w:pPr>
          </w:p>
          <w:p w14:paraId="66752430" w14:textId="74B50262" w:rsidR="003441FB" w:rsidRPr="00FC4236" w:rsidRDefault="003441FB" w:rsidP="003441FB">
            <w:pPr>
              <w:spacing w:after="0" w:line="240" w:lineRule="auto"/>
              <w:rPr>
                <w:rFonts w:ascii="Arial" w:hAnsi="Arial" w:cs="Arial"/>
                <w:sz w:val="20"/>
                <w:szCs w:val="20"/>
              </w:rPr>
            </w:pPr>
            <w:r w:rsidRPr="00FC4236">
              <w:rPr>
                <w:rFonts w:ascii="Arial" w:hAnsi="Arial" w:cs="Arial"/>
                <w:sz w:val="20"/>
                <w:szCs w:val="20"/>
              </w:rPr>
              <w:t xml:space="preserve">Rad u pedagoškoj godini se odvijao u osam objekata na području općine Konavle u rasponu od 15 km (3 ustrojbene jedinice s još 5 izdvojenih objekata). </w:t>
            </w:r>
          </w:p>
          <w:p w14:paraId="073099AE" w14:textId="77777777" w:rsidR="003613E2" w:rsidRPr="00FC4236" w:rsidRDefault="003613E2" w:rsidP="00E5761E">
            <w:pPr>
              <w:spacing w:after="0" w:line="240" w:lineRule="auto"/>
              <w:rPr>
                <w:rFonts w:ascii="Arial" w:hAnsi="Arial" w:cs="Arial"/>
                <w:bCs/>
                <w:sz w:val="20"/>
                <w:szCs w:val="20"/>
              </w:rPr>
            </w:pPr>
          </w:p>
          <w:p w14:paraId="40CA4474" w14:textId="77777777" w:rsidR="00E5761E" w:rsidRPr="00FC4236" w:rsidRDefault="00E5761E" w:rsidP="00E5761E">
            <w:pPr>
              <w:spacing w:after="0" w:line="240" w:lineRule="auto"/>
              <w:rPr>
                <w:rFonts w:ascii="Arial" w:hAnsi="Arial" w:cs="Arial"/>
                <w:b/>
                <w:bCs/>
                <w:iCs/>
                <w:sz w:val="20"/>
                <w:szCs w:val="20"/>
                <w:u w:val="single"/>
              </w:rPr>
            </w:pPr>
            <w:bookmarkStart w:id="660" w:name="_Toc52355498"/>
            <w:r w:rsidRPr="00FC4236">
              <w:rPr>
                <w:rFonts w:ascii="Arial" w:hAnsi="Arial" w:cs="Arial"/>
                <w:b/>
                <w:bCs/>
                <w:sz w:val="20"/>
                <w:szCs w:val="20"/>
                <w:u w:val="single"/>
              </w:rPr>
              <w:t>Popis dječjih vrtića i jaslica:</w:t>
            </w:r>
            <w:bookmarkEnd w:id="660"/>
            <w:r w:rsidRPr="00FC4236">
              <w:rPr>
                <w:rFonts w:ascii="Arial" w:hAnsi="Arial" w:cs="Arial"/>
                <w:b/>
                <w:bCs/>
                <w:iCs/>
                <w:sz w:val="20"/>
                <w:szCs w:val="20"/>
                <w:u w:val="single"/>
              </w:rPr>
              <w:t xml:space="preserve"> </w:t>
            </w:r>
          </w:p>
          <w:p w14:paraId="2AB0DD40" w14:textId="77777777" w:rsidR="00E5761E" w:rsidRPr="00FC4236" w:rsidRDefault="00E5761E" w:rsidP="00E5761E">
            <w:pPr>
              <w:spacing w:after="0" w:line="240" w:lineRule="auto"/>
              <w:rPr>
                <w:rFonts w:ascii="Arial" w:hAnsi="Arial" w:cs="Arial"/>
                <w:bCs/>
                <w:sz w:val="20"/>
                <w:szCs w:val="20"/>
              </w:rPr>
            </w:pPr>
            <w:r w:rsidRPr="00FC4236">
              <w:rPr>
                <w:rFonts w:ascii="Arial" w:hAnsi="Arial" w:cs="Arial"/>
                <w:bCs/>
                <w:sz w:val="20"/>
                <w:szCs w:val="20"/>
              </w:rPr>
              <w:t>- Dječji vrtić i jaslice Cavtat, Put od Cavtata bb, 20210 Cavtat</w:t>
            </w:r>
          </w:p>
          <w:p w14:paraId="5E24A22F" w14:textId="42383AA7" w:rsidR="00E5761E" w:rsidRPr="00FC4236" w:rsidRDefault="00E5761E" w:rsidP="00E5761E">
            <w:pPr>
              <w:spacing w:after="0" w:line="240" w:lineRule="auto"/>
              <w:rPr>
                <w:rFonts w:ascii="Arial" w:hAnsi="Arial" w:cs="Arial"/>
                <w:bCs/>
                <w:iCs/>
                <w:sz w:val="20"/>
                <w:szCs w:val="20"/>
              </w:rPr>
            </w:pPr>
            <w:r w:rsidRPr="00FC4236">
              <w:rPr>
                <w:rFonts w:ascii="Arial" w:hAnsi="Arial" w:cs="Arial"/>
                <w:bCs/>
                <w:iCs/>
                <w:sz w:val="20"/>
                <w:szCs w:val="20"/>
              </w:rPr>
              <w:t xml:space="preserve">-Izdvojeni objekt u </w:t>
            </w:r>
            <w:r w:rsidR="00FC4236" w:rsidRPr="00FC4236">
              <w:rPr>
                <w:rFonts w:ascii="Arial" w:hAnsi="Arial" w:cs="Arial"/>
                <w:bCs/>
                <w:iCs/>
                <w:sz w:val="20"/>
                <w:szCs w:val="20"/>
              </w:rPr>
              <w:t>objektu Marijin dom</w:t>
            </w:r>
            <w:r w:rsidRPr="00FC4236">
              <w:rPr>
                <w:rFonts w:ascii="Arial" w:hAnsi="Arial" w:cs="Arial"/>
                <w:bCs/>
                <w:iCs/>
                <w:sz w:val="20"/>
                <w:szCs w:val="20"/>
              </w:rPr>
              <w:t>, Obala Stjepana Radića, 20210 Cavtat</w:t>
            </w:r>
          </w:p>
          <w:p w14:paraId="3E6EDF48" w14:textId="77777777" w:rsidR="00E5761E" w:rsidRPr="00FC4236" w:rsidRDefault="00E5761E" w:rsidP="00E5761E">
            <w:pPr>
              <w:spacing w:after="0" w:line="240" w:lineRule="auto"/>
              <w:rPr>
                <w:rFonts w:ascii="Arial" w:hAnsi="Arial" w:cs="Arial"/>
                <w:bCs/>
                <w:iCs/>
                <w:sz w:val="20"/>
                <w:szCs w:val="20"/>
              </w:rPr>
            </w:pPr>
            <w:r w:rsidRPr="00FC4236">
              <w:rPr>
                <w:rFonts w:ascii="Arial" w:hAnsi="Arial" w:cs="Arial"/>
                <w:bCs/>
                <w:iCs/>
                <w:sz w:val="20"/>
                <w:szCs w:val="20"/>
              </w:rPr>
              <w:t>- Dječji vrtić „Katićan“, Beroje bb, 20 213 Čilipi</w:t>
            </w:r>
          </w:p>
          <w:p w14:paraId="3E78B0D0" w14:textId="5DD2B655" w:rsidR="00E5761E" w:rsidRPr="00FC4236" w:rsidRDefault="00E5761E" w:rsidP="00E5761E">
            <w:pPr>
              <w:spacing w:after="0" w:line="240" w:lineRule="auto"/>
              <w:rPr>
                <w:rFonts w:ascii="Arial" w:hAnsi="Arial" w:cs="Arial"/>
                <w:bCs/>
                <w:iCs/>
                <w:sz w:val="20"/>
                <w:szCs w:val="20"/>
              </w:rPr>
            </w:pPr>
            <w:r w:rsidRPr="00FC4236">
              <w:rPr>
                <w:rFonts w:ascii="Arial" w:hAnsi="Arial" w:cs="Arial"/>
                <w:bCs/>
                <w:iCs/>
                <w:sz w:val="20"/>
                <w:szCs w:val="20"/>
              </w:rPr>
              <w:t>- Dječje jaslice u zgradi polj</w:t>
            </w:r>
            <w:r w:rsidR="00FC4236" w:rsidRPr="00FC4236">
              <w:rPr>
                <w:rFonts w:ascii="Arial" w:hAnsi="Arial" w:cs="Arial"/>
                <w:bCs/>
                <w:iCs/>
                <w:sz w:val="20"/>
                <w:szCs w:val="20"/>
              </w:rPr>
              <w:t xml:space="preserve">oprivredne </w:t>
            </w:r>
            <w:r w:rsidRPr="00FC4236">
              <w:rPr>
                <w:rFonts w:ascii="Arial" w:hAnsi="Arial" w:cs="Arial"/>
                <w:bCs/>
                <w:iCs/>
                <w:sz w:val="20"/>
                <w:szCs w:val="20"/>
              </w:rPr>
              <w:t>zadruge F</w:t>
            </w:r>
            <w:r w:rsidR="00FC4236" w:rsidRPr="00FC4236">
              <w:rPr>
                <w:rFonts w:ascii="Arial" w:hAnsi="Arial" w:cs="Arial"/>
                <w:bCs/>
                <w:iCs/>
                <w:sz w:val="20"/>
                <w:szCs w:val="20"/>
              </w:rPr>
              <w:t>rano</w:t>
            </w:r>
            <w:r w:rsidRPr="00FC4236">
              <w:rPr>
                <w:rFonts w:ascii="Arial" w:hAnsi="Arial" w:cs="Arial"/>
                <w:bCs/>
                <w:iCs/>
                <w:sz w:val="20"/>
                <w:szCs w:val="20"/>
              </w:rPr>
              <w:t xml:space="preserve"> Supilo, Bistroće bb, 20 213 Čilipi</w:t>
            </w:r>
          </w:p>
          <w:p w14:paraId="3723E55E" w14:textId="32E23C38" w:rsidR="00E5761E" w:rsidRPr="00FC4236" w:rsidRDefault="00E5761E" w:rsidP="00E5761E">
            <w:pPr>
              <w:spacing w:after="0" w:line="240" w:lineRule="auto"/>
              <w:rPr>
                <w:rFonts w:ascii="Arial" w:hAnsi="Arial" w:cs="Arial"/>
                <w:bCs/>
                <w:iCs/>
                <w:sz w:val="20"/>
                <w:szCs w:val="20"/>
              </w:rPr>
            </w:pPr>
            <w:r w:rsidRPr="00FC4236">
              <w:rPr>
                <w:rFonts w:ascii="Arial" w:hAnsi="Arial" w:cs="Arial"/>
                <w:bCs/>
                <w:iCs/>
                <w:sz w:val="20"/>
                <w:szCs w:val="20"/>
              </w:rPr>
              <w:t>- Dječji vrtić i jaslice „Gruda“,</w:t>
            </w:r>
            <w:r w:rsidR="004C2BF4">
              <w:rPr>
                <w:rFonts w:ascii="Arial" w:hAnsi="Arial" w:cs="Arial"/>
                <w:bCs/>
                <w:iCs/>
                <w:sz w:val="20"/>
                <w:szCs w:val="20"/>
              </w:rPr>
              <w:t xml:space="preserve"> (Gruda 1)</w:t>
            </w:r>
            <w:r w:rsidRPr="00FC4236">
              <w:rPr>
                <w:rFonts w:ascii="Arial" w:hAnsi="Arial" w:cs="Arial"/>
                <w:bCs/>
                <w:iCs/>
                <w:sz w:val="20"/>
                <w:szCs w:val="20"/>
              </w:rPr>
              <w:t xml:space="preserve"> Gruda bb, 20 215 Gruda </w:t>
            </w:r>
          </w:p>
          <w:p w14:paraId="77231DC3" w14:textId="0E84AF13" w:rsidR="00E5761E" w:rsidRPr="00FC4236" w:rsidRDefault="00E5761E" w:rsidP="00E5761E">
            <w:pPr>
              <w:spacing w:after="0" w:line="240" w:lineRule="auto"/>
              <w:rPr>
                <w:rFonts w:ascii="Arial" w:hAnsi="Arial" w:cs="Arial"/>
                <w:bCs/>
                <w:iCs/>
                <w:sz w:val="20"/>
                <w:szCs w:val="20"/>
              </w:rPr>
            </w:pPr>
            <w:r w:rsidRPr="00FC4236">
              <w:rPr>
                <w:rFonts w:ascii="Arial" w:hAnsi="Arial" w:cs="Arial"/>
                <w:bCs/>
                <w:iCs/>
                <w:sz w:val="20"/>
                <w:szCs w:val="20"/>
              </w:rPr>
              <w:t xml:space="preserve">-Izdvojeni objekt u </w:t>
            </w:r>
            <w:r w:rsidR="005C0F8F" w:rsidRPr="00FC4236">
              <w:rPr>
                <w:rFonts w:ascii="Arial" w:hAnsi="Arial" w:cs="Arial"/>
                <w:bCs/>
                <w:iCs/>
                <w:sz w:val="20"/>
                <w:szCs w:val="20"/>
              </w:rPr>
              <w:t>Domu kulture</w:t>
            </w:r>
            <w:r w:rsidRPr="00FC4236">
              <w:rPr>
                <w:rFonts w:ascii="Arial" w:hAnsi="Arial" w:cs="Arial"/>
                <w:bCs/>
                <w:iCs/>
                <w:sz w:val="20"/>
                <w:szCs w:val="20"/>
              </w:rPr>
              <w:t>, Gruda, 20 215 Gruda</w:t>
            </w:r>
          </w:p>
          <w:p w14:paraId="1939C125" w14:textId="77777777" w:rsidR="00E5761E" w:rsidRPr="00FC4236" w:rsidRDefault="00E5761E" w:rsidP="00E5761E">
            <w:pPr>
              <w:spacing w:after="0" w:line="240" w:lineRule="auto"/>
              <w:rPr>
                <w:rFonts w:ascii="Arial" w:hAnsi="Arial" w:cs="Arial"/>
                <w:bCs/>
                <w:iCs/>
                <w:sz w:val="20"/>
                <w:szCs w:val="20"/>
              </w:rPr>
            </w:pPr>
            <w:r w:rsidRPr="00FC4236">
              <w:rPr>
                <w:rFonts w:ascii="Arial" w:hAnsi="Arial" w:cs="Arial"/>
                <w:bCs/>
                <w:iCs/>
                <w:sz w:val="20"/>
                <w:szCs w:val="20"/>
              </w:rPr>
              <w:t>-Izdvojeni objekt u Domu za starije i nemoćne „Konavle“, Gruda 152, 20 215 Gruda</w:t>
            </w:r>
          </w:p>
          <w:p w14:paraId="4A81282C" w14:textId="77777777" w:rsidR="005C0F8F" w:rsidRDefault="00E5761E" w:rsidP="00344DB6">
            <w:pPr>
              <w:spacing w:after="0" w:line="240" w:lineRule="auto"/>
              <w:rPr>
                <w:rFonts w:ascii="Arial" w:hAnsi="Arial" w:cs="Arial"/>
                <w:bCs/>
                <w:iCs/>
                <w:sz w:val="20"/>
                <w:szCs w:val="20"/>
              </w:rPr>
            </w:pPr>
            <w:r w:rsidRPr="00FC4236">
              <w:rPr>
                <w:rFonts w:ascii="Arial" w:hAnsi="Arial" w:cs="Arial"/>
                <w:bCs/>
                <w:iCs/>
                <w:sz w:val="20"/>
                <w:szCs w:val="20"/>
              </w:rPr>
              <w:t>-Izdvojeni objekt u Područnoj školi Pridvorje, 20 215 Gruda</w:t>
            </w:r>
          </w:p>
          <w:p w14:paraId="5F456DE9" w14:textId="0E7B3488" w:rsidR="003441FB" w:rsidRPr="00FC4236" w:rsidRDefault="003441FB" w:rsidP="00344DB6">
            <w:pPr>
              <w:spacing w:after="0" w:line="240" w:lineRule="auto"/>
              <w:rPr>
                <w:rFonts w:ascii="Arial" w:hAnsi="Arial" w:cs="Arial"/>
                <w:sz w:val="20"/>
                <w:szCs w:val="20"/>
              </w:rPr>
            </w:pPr>
          </w:p>
        </w:tc>
      </w:tr>
      <w:tr w:rsidR="003613E2" w:rsidRPr="003A2F86" w14:paraId="568C4AD2" w14:textId="77777777" w:rsidTr="00E5761E">
        <w:tc>
          <w:tcPr>
            <w:tcW w:w="1683" w:type="dxa"/>
            <w:tcBorders>
              <w:top w:val="dotted" w:sz="4" w:space="0" w:color="auto"/>
              <w:left w:val="dotted" w:sz="4" w:space="0" w:color="auto"/>
              <w:bottom w:val="dotted" w:sz="4" w:space="0" w:color="auto"/>
              <w:right w:val="dotted" w:sz="4" w:space="0" w:color="auto"/>
            </w:tcBorders>
          </w:tcPr>
          <w:p w14:paraId="7425B45F" w14:textId="77777777" w:rsidR="003752B9" w:rsidRPr="003A2F86" w:rsidRDefault="003752B9" w:rsidP="003752B9">
            <w:pPr>
              <w:spacing w:after="0" w:line="240" w:lineRule="auto"/>
              <w:rPr>
                <w:rFonts w:ascii="Arial" w:eastAsia="Calibri" w:hAnsi="Arial" w:cs="Arial"/>
                <w:sz w:val="20"/>
                <w:szCs w:val="20"/>
              </w:rPr>
            </w:pPr>
            <w:r w:rsidRPr="003A2F86">
              <w:rPr>
                <w:rFonts w:ascii="Arial" w:eastAsia="Calibri" w:hAnsi="Arial" w:cs="Arial"/>
                <w:sz w:val="20"/>
                <w:szCs w:val="20"/>
              </w:rPr>
              <w:lastRenderedPageBreak/>
              <w:t>ZAKONSKE I DRUGE PODLOGE NA KOJIMA SE ZASNIVA PROGRAM</w:t>
            </w:r>
          </w:p>
        </w:tc>
        <w:tc>
          <w:tcPr>
            <w:tcW w:w="12600" w:type="dxa"/>
            <w:tcBorders>
              <w:top w:val="dotted" w:sz="4" w:space="0" w:color="auto"/>
              <w:left w:val="dotted" w:sz="4" w:space="0" w:color="auto"/>
              <w:bottom w:val="dotted" w:sz="4" w:space="0" w:color="auto"/>
              <w:right w:val="dotted" w:sz="4" w:space="0" w:color="auto"/>
            </w:tcBorders>
          </w:tcPr>
          <w:p w14:paraId="65859B2B" w14:textId="78D92C9B" w:rsidR="00814421" w:rsidRPr="003A2F86" w:rsidRDefault="00911AF5" w:rsidP="00814421">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Zakon o lokalnoj i područnoj (regionalnoj) samoupravi (NN 33/01,60/01,129/05, 109/07,125/08, 36/09, 150/11, 144/12, 19/13, 137/15, 123/17, 98/19, 144/20)</w:t>
            </w:r>
            <w:r w:rsidR="00814421" w:rsidRPr="003A2F86">
              <w:rPr>
                <w:rFonts w:ascii="Arial" w:eastAsia="Times New Roman" w:hAnsi="Arial" w:cs="Arial"/>
                <w:sz w:val="20"/>
                <w:szCs w:val="20"/>
              </w:rPr>
              <w:t>, Zakon o predškolskom odgoju i obrazovanju (NN 10/97, 107/07, 94/13, 98/19</w:t>
            </w:r>
            <w:r w:rsidR="00561E3B" w:rsidRPr="003A2F86">
              <w:rPr>
                <w:rFonts w:ascii="Arial" w:eastAsia="Times New Roman" w:hAnsi="Arial" w:cs="Arial"/>
                <w:sz w:val="20"/>
                <w:szCs w:val="20"/>
              </w:rPr>
              <w:t>, 57/22</w:t>
            </w:r>
            <w:r w:rsidR="00814421" w:rsidRPr="003A2F86">
              <w:rPr>
                <w:rFonts w:ascii="Arial" w:eastAsia="Times New Roman" w:hAnsi="Arial" w:cs="Arial"/>
                <w:sz w:val="20"/>
                <w:szCs w:val="20"/>
              </w:rPr>
              <w:t>), Zakon o radu (NN 93/14, 127/17, 98/19</w:t>
            </w:r>
            <w:r w:rsidR="00E5761E" w:rsidRPr="003A2F86">
              <w:rPr>
                <w:rFonts w:ascii="Arial" w:eastAsia="Times New Roman" w:hAnsi="Arial" w:cs="Arial"/>
                <w:sz w:val="20"/>
                <w:szCs w:val="20"/>
              </w:rPr>
              <w:t>,151/22, 64/23</w:t>
            </w:r>
            <w:r w:rsidR="00814421" w:rsidRPr="003A2F86">
              <w:rPr>
                <w:rFonts w:ascii="Arial" w:eastAsia="Times New Roman" w:hAnsi="Arial" w:cs="Arial"/>
                <w:sz w:val="20"/>
                <w:szCs w:val="20"/>
              </w:rPr>
              <w:t>) i drugi podzakonski akti:</w:t>
            </w:r>
          </w:p>
          <w:p w14:paraId="519EA7CC" w14:textId="77777777" w:rsidR="00814421" w:rsidRPr="003A2F86" w:rsidRDefault="00814421" w:rsidP="00814421">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1. Pravilnik o načinu i uvjetima napredovanja u struci i promicanju u položajna zvanja odgojitelja i stručnih suradnika u dječjim vrtićima (NN 133/97, 20/05)</w:t>
            </w:r>
          </w:p>
          <w:p w14:paraId="4E981B85" w14:textId="77777777" w:rsidR="00814421" w:rsidRPr="003A2F86" w:rsidRDefault="00814421" w:rsidP="00814421">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2. Pravilnik o načinu i uvjetima polaganja stručnog ispita odgojitelja i stručnih suradnika u dječjem vrtiću (NN 133/97, 04/98)</w:t>
            </w:r>
          </w:p>
          <w:p w14:paraId="3C649210" w14:textId="77777777" w:rsidR="00814421" w:rsidRPr="003A2F86" w:rsidRDefault="00814421" w:rsidP="00814421">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3. Pravilnik o posebnim uvjetima i mjerilima ostvarivanja programa predškolskog odgoja (NN 133/97)</w:t>
            </w:r>
          </w:p>
          <w:p w14:paraId="794433FE" w14:textId="77777777" w:rsidR="00814421" w:rsidRPr="003A2F86" w:rsidRDefault="00814421" w:rsidP="00814421">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4. Pravilnik o vrsti stručne spreme stručnih djelatnika te vrsti i stupnju stručne spreme ostalih djelatnika u dječjem vrtiću (NN 133/97)</w:t>
            </w:r>
          </w:p>
          <w:p w14:paraId="488BA2B7" w14:textId="77777777" w:rsidR="00814421" w:rsidRPr="003A2F86" w:rsidRDefault="00814421" w:rsidP="00814421">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5. Pravilnik o načinu raspolaganja sredstvima državnog proračuna i mjerilima sufinanciranja programa predškolskog odgoja (NN 134/97)</w:t>
            </w:r>
          </w:p>
          <w:p w14:paraId="2FEE21AB" w14:textId="77777777" w:rsidR="00814421" w:rsidRPr="003A2F86" w:rsidRDefault="00814421" w:rsidP="00814421">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6. Pravilnik o obrascima i sadržaju pedagoške dokumentacije i evidencije o djeci u dječjem vrtiću (NN 83/01)</w:t>
            </w:r>
          </w:p>
          <w:p w14:paraId="5D8E7922" w14:textId="77777777" w:rsidR="00814421" w:rsidRPr="003A2F86" w:rsidRDefault="00814421" w:rsidP="00814421">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7. Program zdravstvene zaštite djece, higijene i pravilne prehrane djece u dječjim vrtićima (NN 105/02, 55/06, 121/07)</w:t>
            </w:r>
          </w:p>
          <w:p w14:paraId="3DC9E94A" w14:textId="77777777" w:rsidR="00814421" w:rsidRPr="003A2F86" w:rsidRDefault="00814421" w:rsidP="00814421">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8. Pravilnik o obrascima zdravstvene dokumentacije djece predškolske dobi i evidencije u dječjem vrtiću (NN 114/02)</w:t>
            </w:r>
          </w:p>
          <w:p w14:paraId="060790DB" w14:textId="77777777" w:rsidR="00814421" w:rsidRPr="003A2F86" w:rsidRDefault="00814421" w:rsidP="00814421">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lastRenderedPageBreak/>
              <w:t>9. Pravilnik o vježbaonicama i pokusnim programima u dječjim vrtićima te o dječjim vrtićima kao stručno-razvojnim centrima (NN 46/04)</w:t>
            </w:r>
          </w:p>
          <w:p w14:paraId="6B4CD448" w14:textId="77777777" w:rsidR="00814421" w:rsidRPr="003A2F86" w:rsidRDefault="00814421" w:rsidP="00814421">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10. Pravilnik o vježbaonicama i pokusnim programima u dječjim vrtićima te u dječjim vrtićima kao stručno-razvojnim centrima (NN 49/04)</w:t>
            </w:r>
          </w:p>
          <w:p w14:paraId="7D78CD3B" w14:textId="77777777" w:rsidR="00814421" w:rsidRPr="003A2F86" w:rsidRDefault="00814421" w:rsidP="00814421">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11. Državni pedagoški standard predškolskog odgoja i naobrazbe (NN 63/08, 90/10)</w:t>
            </w:r>
          </w:p>
          <w:p w14:paraId="2A0986B7" w14:textId="77777777" w:rsidR="003752B9" w:rsidRPr="003A2F86" w:rsidRDefault="00814421" w:rsidP="00814421">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 xml:space="preserve">12. Pravilnik o sadržaju i trajanju programa predškole (NN 107/14) i </w:t>
            </w:r>
            <w:r w:rsidR="003752B9" w:rsidRPr="003A2F86">
              <w:rPr>
                <w:rFonts w:ascii="Arial" w:eastAsia="Times New Roman" w:hAnsi="Arial" w:cs="Arial"/>
                <w:sz w:val="20"/>
                <w:szCs w:val="20"/>
              </w:rPr>
              <w:t>drugo</w:t>
            </w:r>
          </w:p>
          <w:p w14:paraId="60447EC4" w14:textId="77777777" w:rsidR="00E5761E" w:rsidRPr="003A2F86" w:rsidRDefault="00E5761E" w:rsidP="00814421">
            <w:pPr>
              <w:autoSpaceDE w:val="0"/>
              <w:autoSpaceDN w:val="0"/>
              <w:adjustRightInd w:val="0"/>
              <w:spacing w:after="0" w:line="240" w:lineRule="auto"/>
              <w:jc w:val="both"/>
              <w:rPr>
                <w:rFonts w:ascii="Arial" w:eastAsia="Times New Roman" w:hAnsi="Arial" w:cs="Arial"/>
                <w:sz w:val="20"/>
                <w:szCs w:val="20"/>
              </w:rPr>
            </w:pPr>
          </w:p>
          <w:p w14:paraId="286C99EF" w14:textId="4C694056" w:rsidR="00E5761E" w:rsidRPr="003A2F86" w:rsidRDefault="00E5761E" w:rsidP="00E5761E">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Godišnjim planom i programom rada za pedagošku 20</w:t>
            </w:r>
            <w:r w:rsidR="005C0F8F" w:rsidRPr="003A2F86">
              <w:rPr>
                <w:rFonts w:ascii="Arial" w:eastAsia="Times New Roman" w:hAnsi="Arial" w:cs="Arial"/>
                <w:sz w:val="20"/>
                <w:szCs w:val="20"/>
              </w:rPr>
              <w:t>23</w:t>
            </w:r>
            <w:r w:rsidRPr="003A2F86">
              <w:rPr>
                <w:rFonts w:ascii="Arial" w:eastAsia="Times New Roman" w:hAnsi="Arial" w:cs="Arial"/>
                <w:sz w:val="20"/>
                <w:szCs w:val="20"/>
              </w:rPr>
              <w:t>./202</w:t>
            </w:r>
            <w:r w:rsidR="005C0F8F" w:rsidRPr="003A2F86">
              <w:rPr>
                <w:rFonts w:ascii="Arial" w:eastAsia="Times New Roman" w:hAnsi="Arial" w:cs="Arial"/>
                <w:sz w:val="20"/>
                <w:szCs w:val="20"/>
              </w:rPr>
              <w:t>4</w:t>
            </w:r>
            <w:r w:rsidRPr="003A2F86">
              <w:rPr>
                <w:rFonts w:ascii="Arial" w:eastAsia="Times New Roman" w:hAnsi="Arial" w:cs="Arial"/>
                <w:sz w:val="20"/>
                <w:szCs w:val="20"/>
              </w:rPr>
              <w:t>. godinu kojim su utvrđeni:</w:t>
            </w:r>
          </w:p>
          <w:p w14:paraId="1E665309" w14:textId="7CD60731" w:rsidR="00683DF3" w:rsidRPr="003A2F86" w:rsidRDefault="00E5761E" w:rsidP="005C0F8F">
            <w:pPr>
              <w:autoSpaceDE w:val="0"/>
              <w:autoSpaceDN w:val="0"/>
              <w:adjustRightInd w:val="0"/>
              <w:spacing w:after="0" w:line="240" w:lineRule="auto"/>
              <w:jc w:val="both"/>
              <w:rPr>
                <w:rFonts w:ascii="Arial" w:eastAsia="Calibri" w:hAnsi="Arial" w:cs="Arial"/>
                <w:sz w:val="20"/>
                <w:szCs w:val="20"/>
              </w:rPr>
            </w:pPr>
            <w:r w:rsidRPr="003A2F86">
              <w:rPr>
                <w:rFonts w:ascii="Arial" w:eastAsia="Times New Roman" w:hAnsi="Arial" w:cs="Arial"/>
                <w:sz w:val="20"/>
                <w:szCs w:val="20"/>
              </w:rPr>
              <w:t>ustrojstvo rada, materijalni uvjeti rada, njega i skrb za rast i razvoj djece u vrtiću, odgojno – obrazovni rad, stručno usavršavanje, suradnja s roditeljima, suradnja s društvenim čimbenicima, vrednovanje.</w:t>
            </w:r>
          </w:p>
        </w:tc>
      </w:tr>
      <w:tr w:rsidR="003613E2" w:rsidRPr="003A2F86" w14:paraId="6A7F8448" w14:textId="77777777" w:rsidTr="00E5761E">
        <w:tc>
          <w:tcPr>
            <w:tcW w:w="1683" w:type="dxa"/>
            <w:tcBorders>
              <w:top w:val="dotted" w:sz="4" w:space="0" w:color="auto"/>
              <w:left w:val="dotted" w:sz="4" w:space="0" w:color="auto"/>
              <w:bottom w:val="dotted" w:sz="4" w:space="0" w:color="auto"/>
              <w:right w:val="dotted" w:sz="4" w:space="0" w:color="auto"/>
            </w:tcBorders>
          </w:tcPr>
          <w:p w14:paraId="5F1F503A" w14:textId="77777777" w:rsidR="003752B9" w:rsidRPr="003A2F86" w:rsidRDefault="003752B9" w:rsidP="003752B9">
            <w:pPr>
              <w:spacing w:after="0" w:line="240" w:lineRule="auto"/>
              <w:rPr>
                <w:rFonts w:ascii="Arial" w:eastAsia="Calibri" w:hAnsi="Arial" w:cs="Arial"/>
                <w:sz w:val="20"/>
                <w:szCs w:val="20"/>
              </w:rPr>
            </w:pPr>
            <w:r w:rsidRPr="003A2F86">
              <w:rPr>
                <w:rFonts w:ascii="Arial" w:eastAsia="Calibri" w:hAnsi="Arial" w:cs="Arial"/>
                <w:sz w:val="20"/>
                <w:szCs w:val="20"/>
              </w:rPr>
              <w:lastRenderedPageBreak/>
              <w:t>OPĆI CILJ:</w:t>
            </w:r>
          </w:p>
        </w:tc>
        <w:tc>
          <w:tcPr>
            <w:tcW w:w="12600" w:type="dxa"/>
            <w:tcBorders>
              <w:top w:val="dotted" w:sz="4" w:space="0" w:color="auto"/>
              <w:left w:val="dotted" w:sz="4" w:space="0" w:color="auto"/>
              <w:bottom w:val="dotted" w:sz="4" w:space="0" w:color="auto"/>
              <w:right w:val="dotted" w:sz="4" w:space="0" w:color="auto"/>
            </w:tcBorders>
          </w:tcPr>
          <w:p w14:paraId="4F55972A" w14:textId="77777777" w:rsidR="003752B9" w:rsidRPr="003A2F86" w:rsidRDefault="003752B9" w:rsidP="003752B9">
            <w:pPr>
              <w:autoSpaceDE w:val="0"/>
              <w:autoSpaceDN w:val="0"/>
              <w:adjustRightInd w:val="0"/>
              <w:spacing w:after="0" w:line="240" w:lineRule="auto"/>
              <w:rPr>
                <w:rFonts w:ascii="Arial" w:hAnsi="Arial" w:cs="Arial"/>
                <w:sz w:val="20"/>
                <w:szCs w:val="20"/>
              </w:rPr>
            </w:pPr>
            <w:r w:rsidRPr="003A2F86">
              <w:rPr>
                <w:rFonts w:ascii="Arial" w:hAnsi="Arial" w:cs="Arial"/>
                <w:sz w:val="20"/>
                <w:szCs w:val="20"/>
              </w:rPr>
              <w:t>Osiguravanje redovnog rada dječjeg vrtića i redovna isplata plaća i drugih obveza u skladu s raspoloživim kapacitetom vrtića.</w:t>
            </w:r>
          </w:p>
          <w:p w14:paraId="2194F4C9" w14:textId="7CF4550A" w:rsidR="00034DBF" w:rsidRPr="003A2F86" w:rsidRDefault="003752B9" w:rsidP="00034DBF">
            <w:pPr>
              <w:autoSpaceDE w:val="0"/>
              <w:autoSpaceDN w:val="0"/>
              <w:adjustRightInd w:val="0"/>
              <w:spacing w:after="0" w:line="240" w:lineRule="auto"/>
              <w:rPr>
                <w:rFonts w:ascii="Arial" w:hAnsi="Arial" w:cs="Arial"/>
                <w:sz w:val="20"/>
                <w:szCs w:val="20"/>
              </w:rPr>
            </w:pPr>
            <w:r w:rsidRPr="003A2F86">
              <w:rPr>
                <w:rFonts w:ascii="Arial" w:hAnsi="Arial" w:cs="Arial"/>
                <w:sz w:val="20"/>
                <w:szCs w:val="20"/>
              </w:rPr>
              <w:t>Zadovoljavanje potreba stanovništva vezanih uz predškolski odgoj i obrazovanje.</w:t>
            </w:r>
          </w:p>
        </w:tc>
      </w:tr>
      <w:tr w:rsidR="003613E2" w:rsidRPr="003A2F86" w14:paraId="190F66ED" w14:textId="77777777" w:rsidTr="00E5761E">
        <w:tc>
          <w:tcPr>
            <w:tcW w:w="1683" w:type="dxa"/>
            <w:tcBorders>
              <w:top w:val="dotted" w:sz="4" w:space="0" w:color="auto"/>
              <w:left w:val="dotted" w:sz="4" w:space="0" w:color="auto"/>
              <w:bottom w:val="dotted" w:sz="4" w:space="0" w:color="auto"/>
              <w:right w:val="dotted" w:sz="4" w:space="0" w:color="auto"/>
            </w:tcBorders>
            <w:vAlign w:val="bottom"/>
          </w:tcPr>
          <w:p w14:paraId="22FC9A82" w14:textId="3B4BFDBF"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POSEBNI CILJEVI (što se programom želi postići):</w:t>
            </w:r>
          </w:p>
        </w:tc>
        <w:tc>
          <w:tcPr>
            <w:tcW w:w="12600" w:type="dxa"/>
            <w:tcBorders>
              <w:top w:val="dotted" w:sz="4" w:space="0" w:color="auto"/>
              <w:left w:val="dotted" w:sz="4" w:space="0" w:color="auto"/>
              <w:bottom w:val="dotted" w:sz="4" w:space="0" w:color="auto"/>
              <w:right w:val="dotted" w:sz="4" w:space="0" w:color="auto"/>
            </w:tcBorders>
            <w:vAlign w:val="bottom"/>
          </w:tcPr>
          <w:p w14:paraId="6D525FE7"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xml:space="preserve">Dječji vrtić Konavle je predškolska ustanova u kojoj se provode organizirani oblici izvan obiteljskog odgojno-obrazovnog rada s djecom rane i predškolske dobi. Predškolski odgoj ostvaruje se u skladu s razvojnim osobinama i potrebama djece te socijalnim, kulturnim, vjerskim i drugim potrebama obitelji. </w:t>
            </w:r>
          </w:p>
          <w:p w14:paraId="0EC7ABE1"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Programom se organizirano provodio predškolski odgoj i obrazovanje te skrb o djeci u dobi od navršene jedne godine do polaska u osnovnu školu te se pridonosilo  cjelovitom razvoju osobnosti djeteta i kvaliteti njegova života u uvjetima koji su zadovoljavali njegove potrebe i oživotvorivali prava.</w:t>
            </w:r>
          </w:p>
          <w:p w14:paraId="7B282B7F"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Redovnim radom omogućuje se normalno funkcioniranje dječjeg vrtića i zadovoljavanje potreba korisnika usluga dječjeg vrtića.</w:t>
            </w:r>
          </w:p>
          <w:p w14:paraId="4F19B2CD"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xml:space="preserve">Posebnim programima omogućuje se djeci da izraze svoje sklonosti i talente za određena područja. </w:t>
            </w:r>
          </w:p>
          <w:p w14:paraId="27ED527E" w14:textId="77777777" w:rsidR="00E5761E" w:rsidRPr="003A2F86" w:rsidRDefault="00E5761E" w:rsidP="00E5761E">
            <w:pPr>
              <w:autoSpaceDE w:val="0"/>
              <w:autoSpaceDN w:val="0"/>
              <w:adjustRightInd w:val="0"/>
              <w:spacing w:after="0" w:line="240" w:lineRule="auto"/>
              <w:rPr>
                <w:rFonts w:ascii="Arial" w:hAnsi="Arial" w:cs="Arial"/>
                <w:b/>
                <w:bCs/>
                <w:sz w:val="20"/>
                <w:szCs w:val="20"/>
              </w:rPr>
            </w:pPr>
          </w:p>
          <w:p w14:paraId="56827474" w14:textId="77777777" w:rsidR="00E5761E" w:rsidRPr="003A2F86" w:rsidRDefault="00E5761E" w:rsidP="00E5761E">
            <w:pPr>
              <w:spacing w:after="0" w:line="240" w:lineRule="auto"/>
              <w:rPr>
                <w:rFonts w:ascii="Arial" w:eastAsia="Calibri" w:hAnsi="Arial" w:cs="Arial"/>
                <w:sz w:val="20"/>
                <w:szCs w:val="20"/>
              </w:rPr>
            </w:pPr>
            <w:r w:rsidRPr="003A2F86">
              <w:rPr>
                <w:rFonts w:ascii="Arial" w:hAnsi="Arial" w:cs="Arial"/>
                <w:b/>
                <w:bCs/>
                <w:sz w:val="20"/>
                <w:szCs w:val="20"/>
              </w:rPr>
              <w:t>CILJ:</w:t>
            </w:r>
            <w:r w:rsidRPr="003A2F86">
              <w:rPr>
                <w:rFonts w:ascii="Arial" w:hAnsi="Arial" w:cs="Arial"/>
                <w:sz w:val="20"/>
                <w:szCs w:val="20"/>
              </w:rPr>
              <w:t xml:space="preserve"> Kvalitetan predškolski odgoj i obrazovanje</w:t>
            </w:r>
          </w:p>
          <w:p w14:paraId="65BA6752" w14:textId="77777777" w:rsidR="00E5761E" w:rsidRPr="003A2F86" w:rsidRDefault="00E5761E" w:rsidP="00E5761E">
            <w:pPr>
              <w:spacing w:after="0" w:line="240" w:lineRule="auto"/>
              <w:rPr>
                <w:rFonts w:ascii="Arial" w:eastAsia="Calibri" w:hAnsi="Arial" w:cs="Arial"/>
                <w:sz w:val="20"/>
                <w:szCs w:val="20"/>
              </w:rPr>
            </w:pPr>
          </w:p>
          <w:p w14:paraId="3B1AA52F"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xml:space="preserve">Programom se želi pridonijeti: - cjelovitom razvoju osobnosti djeteta i kvaliteti njegova života u uvjetima koji će zadovoljiti njegove potrebe i oživotvorivati prava; - odgovoriti na realne potrebe roditelja u svezi s ciljem omogućavanja bolje ravnoteže poslovnog i obiteljskog života obitelji s uzdržavanim članovima uključenima u programe. </w:t>
            </w:r>
          </w:p>
          <w:p w14:paraId="083FC13D" w14:textId="77777777" w:rsidR="00E5761E" w:rsidRPr="003A2F86" w:rsidRDefault="00E5761E" w:rsidP="00E5761E">
            <w:pPr>
              <w:spacing w:after="0" w:line="240" w:lineRule="auto"/>
              <w:rPr>
                <w:rFonts w:ascii="Arial" w:eastAsia="Calibri" w:hAnsi="Arial" w:cs="Arial"/>
                <w:b/>
                <w:bCs/>
                <w:sz w:val="20"/>
                <w:szCs w:val="20"/>
              </w:rPr>
            </w:pPr>
          </w:p>
          <w:p w14:paraId="10E4E760" w14:textId="77777777" w:rsidR="00E5761E" w:rsidRPr="003A2F86" w:rsidRDefault="00E5761E" w:rsidP="00E5761E">
            <w:pPr>
              <w:spacing w:after="0" w:line="240" w:lineRule="auto"/>
              <w:rPr>
                <w:rFonts w:ascii="Arial" w:eastAsia="Calibri" w:hAnsi="Arial" w:cs="Arial"/>
                <w:b/>
                <w:bCs/>
                <w:sz w:val="20"/>
                <w:szCs w:val="20"/>
              </w:rPr>
            </w:pPr>
            <w:r w:rsidRPr="003A2F86">
              <w:rPr>
                <w:rFonts w:ascii="Arial" w:eastAsia="Calibri" w:hAnsi="Arial" w:cs="Arial"/>
                <w:b/>
                <w:bCs/>
                <w:sz w:val="20"/>
                <w:szCs w:val="20"/>
              </w:rPr>
              <w:t>POSEBNI CILJEVI:</w:t>
            </w:r>
          </w:p>
          <w:p w14:paraId="388D19C7"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razvoj i unaprjeđenje djelatnosti predškolskog odgoja</w:t>
            </w:r>
          </w:p>
          <w:p w14:paraId="1822C136"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provođenje programa sukladno indikacijama u Nacionalnom kurikulumu za rani i predškolski odgoj i obrazovanje i Pedagoškim standardima</w:t>
            </w:r>
          </w:p>
          <w:p w14:paraId="085AE6E6"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poticanje djece na poštivanje i njegovanje vlastite kulture i povijesne baštine</w:t>
            </w:r>
          </w:p>
          <w:p w14:paraId="2258B476"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socijalizacija i integracija djece s teškoćama u razvoju u redoviti program odgoja i obrazovanja (Usvajanje osnovnih kulturno –higijenskih navika, razvijati samozbrinjavanje, osigurati podršku u komunikaciji i razvoju odnosa s vršnjacima)</w:t>
            </w:r>
          </w:p>
          <w:p w14:paraId="400FE178"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omogućiti pohađanje bilo redovitog programa ili skraćenog programa svoj djeci u godini pred polazak u školu (Razvijanje socijalnih kompetencija osiguravanjem kontekstualnih uvjeta koji omogućuju privikavanje na izvan obiteljski i institucijski kontekst).</w:t>
            </w:r>
          </w:p>
          <w:p w14:paraId="3C4980D3"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osposobiti buduće odgajatelje i stručne suradnike za polaganje stručnog ispita i samostalno obavljanje zadataka (Omogućiti mladim odgojiteljima praksu i mogućnost pristupanja stručnom državnom ispitu i na taj način upoznati njihov rad)</w:t>
            </w:r>
          </w:p>
          <w:p w14:paraId="6ADFFC63"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stvoriti organizacijske uvjete za podizanje kvalitete usluge.</w:t>
            </w:r>
          </w:p>
          <w:p w14:paraId="2DE244B9" w14:textId="77777777" w:rsidR="00E5761E" w:rsidRPr="003A2F86" w:rsidRDefault="00E5761E" w:rsidP="00E5761E">
            <w:pPr>
              <w:spacing w:after="0" w:line="240" w:lineRule="auto"/>
              <w:rPr>
                <w:rFonts w:ascii="Arial" w:eastAsia="Calibri" w:hAnsi="Arial" w:cs="Arial"/>
                <w:sz w:val="20"/>
                <w:szCs w:val="20"/>
              </w:rPr>
            </w:pPr>
          </w:p>
          <w:p w14:paraId="5C733044"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xml:space="preserve">Cilj se ostvaruje kroz: </w:t>
            </w:r>
          </w:p>
          <w:p w14:paraId="4A0F9059" w14:textId="77777777" w:rsidR="00E5761E" w:rsidRPr="003A2F86" w:rsidRDefault="00E5761E" w:rsidP="00E5761E">
            <w:pPr>
              <w:spacing w:after="0" w:line="240" w:lineRule="auto"/>
              <w:rPr>
                <w:rFonts w:ascii="Arial" w:eastAsia="Calibri" w:hAnsi="Arial" w:cs="Arial"/>
                <w:sz w:val="20"/>
                <w:szCs w:val="20"/>
              </w:rPr>
            </w:pPr>
          </w:p>
          <w:p w14:paraId="52217289" w14:textId="77777777" w:rsidR="00E5761E" w:rsidRPr="003A2F86" w:rsidRDefault="00E5761E" w:rsidP="00E5761E">
            <w:pPr>
              <w:spacing w:after="0" w:line="240" w:lineRule="auto"/>
              <w:rPr>
                <w:rFonts w:ascii="Arial" w:eastAsia="Calibri" w:hAnsi="Arial" w:cs="Arial"/>
                <w:b/>
                <w:sz w:val="20"/>
                <w:szCs w:val="20"/>
              </w:rPr>
            </w:pPr>
            <w:r w:rsidRPr="003A2F86">
              <w:rPr>
                <w:rFonts w:ascii="Arial" w:eastAsia="Calibri" w:hAnsi="Arial" w:cs="Arial"/>
                <w:b/>
                <w:sz w:val="20"/>
                <w:szCs w:val="20"/>
              </w:rPr>
              <w:t>1. Mrežu dječjih vrtića</w:t>
            </w:r>
          </w:p>
          <w:p w14:paraId="6833C131"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lastRenderedPageBreak/>
              <w:t xml:space="preserve">Na području Općine Konavle se u proteklom razdoblju nije mijenjala i podrazumijeva sve objekte na svom području u kojima se provode programi ranog i predškolskog odgoja i obrazovanja. </w:t>
            </w:r>
          </w:p>
          <w:p w14:paraId="24876352" w14:textId="77777777" w:rsidR="00E5761E" w:rsidRPr="003A2F86" w:rsidRDefault="00E5761E" w:rsidP="00E5761E">
            <w:pPr>
              <w:spacing w:after="0" w:line="240" w:lineRule="auto"/>
              <w:rPr>
                <w:rFonts w:ascii="Arial" w:eastAsia="Calibri" w:hAnsi="Arial" w:cs="Arial"/>
                <w:b/>
                <w:sz w:val="20"/>
                <w:szCs w:val="20"/>
              </w:rPr>
            </w:pPr>
          </w:p>
          <w:p w14:paraId="78FA178E"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b/>
                <w:sz w:val="20"/>
                <w:szCs w:val="20"/>
              </w:rPr>
              <w:t>2.Razvoj sustava osiguranja kvalitete</w:t>
            </w:r>
            <w:r w:rsidRPr="003A2F86">
              <w:rPr>
                <w:rFonts w:ascii="Arial" w:eastAsia="Calibri" w:hAnsi="Arial" w:cs="Arial"/>
                <w:sz w:val="20"/>
                <w:szCs w:val="20"/>
              </w:rPr>
              <w:t xml:space="preserve"> </w:t>
            </w:r>
          </w:p>
          <w:p w14:paraId="2D668977"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Kontinuiranim istraživanjem, refleksijom i samo-refleksijom unapređivati kvalitetu odgojno-obrazovnog procesa koji doprinosi djetetovoj osobnoj (emocionalnoj i tjelesnoj), obrazovnoj i socijalnoj dobrobiti te njegovom cjelovitom razvoju, odgoju i učenju, razvoju njegovih kompetencija.</w:t>
            </w:r>
          </w:p>
          <w:p w14:paraId="51B45CD7" w14:textId="77777777" w:rsidR="00E5761E" w:rsidRPr="003A2F86" w:rsidRDefault="00E5761E" w:rsidP="00E5761E">
            <w:pPr>
              <w:spacing w:after="0" w:line="240" w:lineRule="auto"/>
              <w:rPr>
                <w:rFonts w:ascii="Arial" w:eastAsia="Calibri" w:hAnsi="Arial" w:cs="Arial"/>
                <w:b/>
                <w:sz w:val="20"/>
                <w:szCs w:val="20"/>
              </w:rPr>
            </w:pPr>
          </w:p>
          <w:p w14:paraId="0F5A904E" w14:textId="77777777" w:rsidR="00E5761E" w:rsidRPr="003A2F86" w:rsidRDefault="00E5761E" w:rsidP="00E5761E">
            <w:pPr>
              <w:spacing w:after="0" w:line="240" w:lineRule="auto"/>
              <w:rPr>
                <w:rFonts w:ascii="Arial" w:eastAsia="Calibri" w:hAnsi="Arial" w:cs="Arial"/>
                <w:b/>
                <w:sz w:val="20"/>
                <w:szCs w:val="20"/>
              </w:rPr>
            </w:pPr>
            <w:r w:rsidRPr="003A2F86">
              <w:rPr>
                <w:rFonts w:ascii="Arial" w:eastAsia="Calibri" w:hAnsi="Arial" w:cs="Arial"/>
                <w:b/>
                <w:sz w:val="20"/>
                <w:szCs w:val="20"/>
              </w:rPr>
              <w:t xml:space="preserve">3.Inkluzija djece s posebnim potrebama </w:t>
            </w:r>
          </w:p>
          <w:p w14:paraId="4FC02319" w14:textId="205EBEE7" w:rsidR="00E5761E" w:rsidRPr="003A2F86" w:rsidRDefault="00E5761E" w:rsidP="00E5761E">
            <w:pPr>
              <w:autoSpaceDE w:val="0"/>
              <w:autoSpaceDN w:val="0"/>
              <w:adjustRightInd w:val="0"/>
              <w:spacing w:after="0" w:line="240" w:lineRule="auto"/>
              <w:rPr>
                <w:rFonts w:ascii="Arial" w:hAnsi="Arial" w:cs="Arial"/>
                <w:sz w:val="20"/>
                <w:szCs w:val="20"/>
              </w:rPr>
            </w:pPr>
            <w:r w:rsidRPr="003A2F86">
              <w:rPr>
                <w:rFonts w:ascii="Arial" w:eastAsia="Calibri" w:hAnsi="Arial" w:cs="Arial"/>
                <w:b/>
                <w:sz w:val="20"/>
                <w:szCs w:val="20"/>
              </w:rPr>
              <w:t>Inkluzija za cilj ima uključivanje</w:t>
            </w:r>
            <w:r w:rsidRPr="003A2F86">
              <w:rPr>
                <w:rFonts w:ascii="Arial" w:eastAsia="Calibri" w:hAnsi="Arial" w:cs="Arial"/>
                <w:sz w:val="20"/>
                <w:szCs w:val="20"/>
              </w:rPr>
              <w:t xml:space="preserve"> djece s posebnim potrebama u redovite skupine naše Ustanove kako bi se osigurali jednaki uvjeti ranog i predškolskog odgoja i obrazovanja svoj djeci. Uključivanjem djece s poteškoćama u razvoju u redovite skupine zadovoljavaju se temeljna dječja prava i potrebe sve djece. </w:t>
            </w:r>
          </w:p>
        </w:tc>
      </w:tr>
      <w:tr w:rsidR="003613E2" w:rsidRPr="003A2F86" w14:paraId="31901285" w14:textId="77777777" w:rsidTr="00E5761E">
        <w:tc>
          <w:tcPr>
            <w:tcW w:w="1683" w:type="dxa"/>
            <w:tcBorders>
              <w:top w:val="dotted" w:sz="4" w:space="0" w:color="auto"/>
              <w:left w:val="dotted" w:sz="4" w:space="0" w:color="auto"/>
              <w:bottom w:val="dotted" w:sz="4" w:space="0" w:color="auto"/>
              <w:right w:val="dotted" w:sz="4" w:space="0" w:color="auto"/>
            </w:tcBorders>
            <w:vAlign w:val="bottom"/>
          </w:tcPr>
          <w:p w14:paraId="57C3AEFC" w14:textId="6734FCB2" w:rsidR="00E5761E" w:rsidRPr="003A2F86" w:rsidRDefault="00E5761E" w:rsidP="00E5761E">
            <w:pPr>
              <w:spacing w:after="0" w:line="240" w:lineRule="auto"/>
              <w:rPr>
                <w:rFonts w:ascii="Arial" w:eastAsia="Calibri" w:hAnsi="Arial" w:cs="Arial"/>
                <w:sz w:val="20"/>
                <w:szCs w:val="20"/>
              </w:rPr>
            </w:pPr>
            <w:r w:rsidRPr="003A2F86">
              <w:rPr>
                <w:rFonts w:ascii="Arial" w:hAnsi="Arial" w:cs="Arial"/>
                <w:sz w:val="20"/>
                <w:szCs w:val="20"/>
              </w:rPr>
              <w:lastRenderedPageBreak/>
              <w:t>NAČIN OSTVARENJA CILJA kako će se nastojati realizirati program, tko je korisnik usluge</w:t>
            </w:r>
          </w:p>
        </w:tc>
        <w:tc>
          <w:tcPr>
            <w:tcW w:w="12600" w:type="dxa"/>
            <w:tcBorders>
              <w:top w:val="dotted" w:sz="4" w:space="0" w:color="auto"/>
              <w:left w:val="dotted" w:sz="4" w:space="0" w:color="auto"/>
              <w:bottom w:val="dotted" w:sz="4" w:space="0" w:color="auto"/>
              <w:right w:val="dotted" w:sz="4" w:space="0" w:color="auto"/>
            </w:tcBorders>
            <w:vAlign w:val="bottom"/>
          </w:tcPr>
          <w:p w14:paraId="13E705B7" w14:textId="77777777" w:rsidR="003441FB" w:rsidRPr="00C570DD" w:rsidRDefault="003441FB" w:rsidP="003441FB">
            <w:pPr>
              <w:spacing w:after="0" w:line="240" w:lineRule="auto"/>
              <w:rPr>
                <w:rFonts w:ascii="Arial" w:hAnsi="Arial" w:cs="Arial"/>
                <w:sz w:val="20"/>
                <w:szCs w:val="20"/>
              </w:rPr>
            </w:pPr>
            <w:r w:rsidRPr="00C570DD">
              <w:rPr>
                <w:rFonts w:ascii="Arial" w:hAnsi="Arial" w:cs="Arial"/>
                <w:sz w:val="20"/>
                <w:szCs w:val="20"/>
              </w:rPr>
              <w:t>Ciljevi se ostvaruju kroz provedbu programa, a u njih je uključeno prosječno 450</w:t>
            </w:r>
            <w:r w:rsidRPr="00C570DD">
              <w:rPr>
                <w:rFonts w:ascii="Arial" w:hAnsi="Arial" w:cs="Arial"/>
                <w:color w:val="FF0000"/>
                <w:sz w:val="20"/>
                <w:szCs w:val="20"/>
              </w:rPr>
              <w:t xml:space="preserve"> </w:t>
            </w:r>
            <w:r w:rsidRPr="00C570DD">
              <w:rPr>
                <w:rFonts w:ascii="Arial" w:hAnsi="Arial" w:cs="Arial"/>
                <w:sz w:val="20"/>
                <w:szCs w:val="20"/>
              </w:rPr>
              <w:t xml:space="preserve">djece rane i predškolske dobi koja imaju boravište ili prebivalište na području općine Konavle. Programi su se realizirali u pozitivnom socijalnom okruženju sukladno vrijednostima i načelima koje nosi Nacionalni kurikulum ranog i predškolskog odgoja. </w:t>
            </w:r>
          </w:p>
          <w:p w14:paraId="20D30A5C" w14:textId="77777777" w:rsidR="003441FB" w:rsidRPr="00C570DD" w:rsidRDefault="003441FB" w:rsidP="003441FB">
            <w:pPr>
              <w:spacing w:after="0" w:line="240" w:lineRule="auto"/>
              <w:rPr>
                <w:rFonts w:ascii="Arial" w:hAnsi="Arial" w:cs="Arial"/>
                <w:sz w:val="20"/>
                <w:szCs w:val="20"/>
              </w:rPr>
            </w:pPr>
          </w:p>
          <w:p w14:paraId="5B412CD5" w14:textId="77777777" w:rsidR="003441FB" w:rsidRPr="00C570DD" w:rsidRDefault="003441FB" w:rsidP="003441FB">
            <w:pPr>
              <w:spacing w:after="0" w:line="240" w:lineRule="auto"/>
              <w:rPr>
                <w:rFonts w:ascii="Arial" w:hAnsi="Arial" w:cs="Arial"/>
                <w:sz w:val="20"/>
                <w:szCs w:val="20"/>
              </w:rPr>
            </w:pPr>
            <w:r w:rsidRPr="00C570DD">
              <w:rPr>
                <w:rFonts w:ascii="Arial" w:hAnsi="Arial" w:cs="Arial"/>
                <w:sz w:val="20"/>
                <w:szCs w:val="20"/>
              </w:rPr>
              <w:t>Korisnici usluga Dječjeg vrtića Konavle u pedagoškoj godini 2025./2026. (stanje 1.10.2025.g.) – 446-ero djece rane i predškolske dobi koja imaju boravište ili prebivalište na području Općine Konavle.</w:t>
            </w:r>
          </w:p>
          <w:p w14:paraId="39697EFA" w14:textId="77777777" w:rsidR="00E5761E" w:rsidRPr="00C570DD" w:rsidRDefault="00E5761E" w:rsidP="00E5761E">
            <w:pPr>
              <w:spacing w:after="0" w:line="240" w:lineRule="auto"/>
              <w:rPr>
                <w:rFonts w:ascii="Arial" w:hAnsi="Arial" w:cs="Arial"/>
                <w:sz w:val="20"/>
                <w:szCs w:val="20"/>
              </w:rPr>
            </w:pPr>
          </w:p>
          <w:p w14:paraId="1F391D68" w14:textId="77777777" w:rsidR="00E5761E" w:rsidRPr="00C570DD" w:rsidRDefault="00E5761E" w:rsidP="00E5761E">
            <w:pPr>
              <w:spacing w:after="0" w:line="240" w:lineRule="auto"/>
              <w:rPr>
                <w:rFonts w:ascii="Arial" w:hAnsi="Arial" w:cs="Arial"/>
                <w:sz w:val="20"/>
                <w:szCs w:val="20"/>
              </w:rPr>
            </w:pPr>
            <w:r w:rsidRPr="00C570DD">
              <w:rPr>
                <w:rFonts w:ascii="Arial" w:hAnsi="Arial" w:cs="Arial"/>
                <w:sz w:val="20"/>
                <w:szCs w:val="20"/>
              </w:rPr>
              <w:t>Programi koji se provode:</w:t>
            </w:r>
          </w:p>
          <w:p w14:paraId="6D29D76D" w14:textId="77777777" w:rsidR="00E5761E" w:rsidRPr="00C570DD" w:rsidRDefault="00E5761E">
            <w:pPr>
              <w:numPr>
                <w:ilvl w:val="0"/>
                <w:numId w:val="25"/>
              </w:numPr>
              <w:spacing w:after="0" w:line="240" w:lineRule="auto"/>
              <w:rPr>
                <w:rFonts w:ascii="Arial" w:hAnsi="Arial" w:cs="Arial"/>
                <w:sz w:val="20"/>
                <w:szCs w:val="20"/>
              </w:rPr>
            </w:pPr>
            <w:r w:rsidRPr="00C570DD">
              <w:rPr>
                <w:rFonts w:ascii="Arial" w:hAnsi="Arial" w:cs="Arial"/>
                <w:sz w:val="20"/>
                <w:szCs w:val="20"/>
              </w:rPr>
              <w:t>Redoviti cjelodnevni (u trajanju od 10 sati dnevno) i poludnevni jutarnji (u trajanju od 5 sati dnevno)</w:t>
            </w:r>
          </w:p>
          <w:p w14:paraId="793A56B9" w14:textId="77777777" w:rsidR="00E5761E" w:rsidRPr="00C570DD" w:rsidRDefault="00E5761E">
            <w:pPr>
              <w:numPr>
                <w:ilvl w:val="0"/>
                <w:numId w:val="25"/>
              </w:numPr>
              <w:spacing w:after="0" w:line="240" w:lineRule="auto"/>
              <w:rPr>
                <w:rFonts w:ascii="Arial" w:hAnsi="Arial" w:cs="Arial"/>
                <w:sz w:val="20"/>
                <w:szCs w:val="20"/>
              </w:rPr>
            </w:pPr>
            <w:r w:rsidRPr="00C570DD">
              <w:rPr>
                <w:rFonts w:ascii="Arial" w:hAnsi="Arial" w:cs="Arial"/>
                <w:sz w:val="20"/>
                <w:szCs w:val="20"/>
              </w:rPr>
              <w:t xml:space="preserve">Programi javnih potreba: Program za djecu s teškoćama u razvoju integriranih u redovite skupine. </w:t>
            </w:r>
          </w:p>
          <w:p w14:paraId="4E1DE739" w14:textId="77777777" w:rsidR="00E5761E" w:rsidRPr="00C570DD" w:rsidRDefault="00E5761E">
            <w:pPr>
              <w:numPr>
                <w:ilvl w:val="0"/>
                <w:numId w:val="25"/>
              </w:numPr>
              <w:spacing w:after="0" w:line="240" w:lineRule="auto"/>
              <w:rPr>
                <w:rFonts w:ascii="Arial" w:hAnsi="Arial" w:cs="Arial"/>
                <w:sz w:val="20"/>
                <w:szCs w:val="20"/>
              </w:rPr>
            </w:pPr>
            <w:r w:rsidRPr="00C570DD">
              <w:rPr>
                <w:rFonts w:ascii="Arial" w:hAnsi="Arial" w:cs="Arial"/>
                <w:sz w:val="20"/>
                <w:szCs w:val="20"/>
              </w:rPr>
              <w:t xml:space="preserve">Program predškole </w:t>
            </w:r>
          </w:p>
          <w:p w14:paraId="6C3C64D3" w14:textId="77777777" w:rsidR="00E5761E" w:rsidRPr="00C570DD" w:rsidRDefault="00E5761E">
            <w:pPr>
              <w:numPr>
                <w:ilvl w:val="0"/>
                <w:numId w:val="25"/>
              </w:numPr>
              <w:spacing w:after="0" w:line="240" w:lineRule="auto"/>
              <w:rPr>
                <w:rFonts w:ascii="Arial" w:hAnsi="Arial" w:cs="Arial"/>
                <w:sz w:val="20"/>
                <w:szCs w:val="20"/>
              </w:rPr>
            </w:pPr>
            <w:r w:rsidRPr="00C570DD">
              <w:rPr>
                <w:rFonts w:ascii="Arial" w:hAnsi="Arial" w:cs="Arial"/>
                <w:sz w:val="20"/>
                <w:szCs w:val="20"/>
              </w:rPr>
              <w:t xml:space="preserve">Posebni program upoznavanja i očuvanja tradicijske baštine „Igrom do baštine” integriran u redovni program </w:t>
            </w:r>
          </w:p>
          <w:p w14:paraId="63F4DACD" w14:textId="77777777" w:rsidR="00E5761E" w:rsidRPr="00C570DD" w:rsidRDefault="00E5761E">
            <w:pPr>
              <w:numPr>
                <w:ilvl w:val="0"/>
                <w:numId w:val="25"/>
              </w:numPr>
              <w:spacing w:after="0" w:line="240" w:lineRule="auto"/>
              <w:rPr>
                <w:rFonts w:ascii="Arial" w:hAnsi="Arial" w:cs="Arial"/>
                <w:sz w:val="20"/>
                <w:szCs w:val="20"/>
              </w:rPr>
            </w:pPr>
            <w:r w:rsidRPr="00C570DD">
              <w:rPr>
                <w:rFonts w:ascii="Arial" w:hAnsi="Arial" w:cs="Arial"/>
                <w:sz w:val="20"/>
                <w:szCs w:val="20"/>
              </w:rPr>
              <w:t>Posebni glazbeni program integriran u redovni program</w:t>
            </w:r>
          </w:p>
          <w:p w14:paraId="437AD6E5" w14:textId="77777777" w:rsidR="00E5761E" w:rsidRPr="00C570DD" w:rsidRDefault="00E5761E">
            <w:pPr>
              <w:numPr>
                <w:ilvl w:val="0"/>
                <w:numId w:val="25"/>
              </w:numPr>
              <w:spacing w:after="0" w:line="240" w:lineRule="auto"/>
              <w:rPr>
                <w:rFonts w:ascii="Arial" w:hAnsi="Arial" w:cs="Arial"/>
                <w:sz w:val="20"/>
                <w:szCs w:val="20"/>
              </w:rPr>
            </w:pPr>
            <w:r w:rsidRPr="00C570DD">
              <w:rPr>
                <w:rFonts w:ascii="Arial" w:hAnsi="Arial" w:cs="Arial"/>
                <w:sz w:val="20"/>
                <w:szCs w:val="20"/>
              </w:rPr>
              <w:t>Program radionica za roditelje najmlađe djece „Rastimo zajedno“</w:t>
            </w:r>
          </w:p>
          <w:p w14:paraId="5A92E2A9" w14:textId="77777777" w:rsidR="00E5761E" w:rsidRPr="00C570DD" w:rsidRDefault="00E5761E" w:rsidP="00E5761E">
            <w:pPr>
              <w:spacing w:after="0" w:line="240" w:lineRule="auto"/>
              <w:rPr>
                <w:rFonts w:ascii="Arial" w:hAnsi="Arial" w:cs="Arial"/>
                <w:sz w:val="20"/>
                <w:szCs w:val="20"/>
              </w:rPr>
            </w:pPr>
          </w:p>
          <w:p w14:paraId="091CD124" w14:textId="16B1EDB6" w:rsidR="00E5761E" w:rsidRPr="00C570DD" w:rsidRDefault="00E5761E" w:rsidP="008F1970">
            <w:pPr>
              <w:spacing w:after="0" w:line="240" w:lineRule="auto"/>
              <w:rPr>
                <w:rFonts w:ascii="Arial" w:eastAsia="Calibri" w:hAnsi="Arial" w:cs="Arial"/>
                <w:sz w:val="20"/>
                <w:szCs w:val="20"/>
              </w:rPr>
            </w:pPr>
            <w:r w:rsidRPr="00C570DD">
              <w:rPr>
                <w:rFonts w:ascii="Arial" w:hAnsi="Arial" w:cs="Arial"/>
                <w:sz w:val="20"/>
                <w:szCs w:val="20"/>
              </w:rPr>
              <w:t xml:space="preserve">Programi </w:t>
            </w:r>
            <w:r w:rsidR="00FC4236" w:rsidRPr="00C570DD">
              <w:rPr>
                <w:rFonts w:ascii="Arial" w:hAnsi="Arial" w:cs="Arial"/>
                <w:sz w:val="20"/>
                <w:szCs w:val="20"/>
              </w:rPr>
              <w:t>se</w:t>
            </w:r>
            <w:r w:rsidRPr="00C570DD">
              <w:rPr>
                <w:rFonts w:ascii="Arial" w:hAnsi="Arial" w:cs="Arial"/>
                <w:sz w:val="20"/>
                <w:szCs w:val="20"/>
              </w:rPr>
              <w:t xml:space="preserve"> realizira</w:t>
            </w:r>
            <w:r w:rsidR="00FC4236" w:rsidRPr="00C570DD">
              <w:rPr>
                <w:rFonts w:ascii="Arial" w:hAnsi="Arial" w:cs="Arial"/>
                <w:sz w:val="20"/>
                <w:szCs w:val="20"/>
              </w:rPr>
              <w:t>ju</w:t>
            </w:r>
            <w:r w:rsidRPr="00C570DD">
              <w:rPr>
                <w:rFonts w:ascii="Arial" w:hAnsi="Arial" w:cs="Arial"/>
                <w:sz w:val="20"/>
                <w:szCs w:val="20"/>
              </w:rPr>
              <w:t xml:space="preserve"> u pozitivnom socijalnom okruženju sukladno vrijednostima i načelima koje donosi Nacionalni kurikulum ranog i predškolskog odgoja.</w:t>
            </w:r>
          </w:p>
        </w:tc>
      </w:tr>
      <w:tr w:rsidR="003613E2" w:rsidRPr="003A2F86" w14:paraId="6E364FDE" w14:textId="77777777" w:rsidTr="00E5761E">
        <w:tc>
          <w:tcPr>
            <w:tcW w:w="1683" w:type="dxa"/>
            <w:tcBorders>
              <w:top w:val="dotted" w:sz="4" w:space="0" w:color="auto"/>
              <w:left w:val="dotted" w:sz="4" w:space="0" w:color="auto"/>
              <w:bottom w:val="dotted" w:sz="4" w:space="0" w:color="auto"/>
              <w:right w:val="dotted" w:sz="4" w:space="0" w:color="auto"/>
            </w:tcBorders>
            <w:vAlign w:val="bottom"/>
          </w:tcPr>
          <w:p w14:paraId="5D50240D" w14:textId="2548A92A" w:rsidR="00E5761E" w:rsidRPr="003A2F86" w:rsidRDefault="00E5761E" w:rsidP="00E5761E">
            <w:pPr>
              <w:spacing w:after="0" w:line="240" w:lineRule="auto"/>
              <w:rPr>
                <w:rFonts w:ascii="Arial" w:hAnsi="Arial" w:cs="Arial"/>
                <w:sz w:val="20"/>
                <w:szCs w:val="20"/>
              </w:rPr>
            </w:pPr>
            <w:r w:rsidRPr="003A2F86">
              <w:rPr>
                <w:rFonts w:ascii="Arial" w:eastAsia="Calibri" w:hAnsi="Arial" w:cs="Arial"/>
                <w:sz w:val="20"/>
                <w:szCs w:val="20"/>
              </w:rPr>
              <w:t>Pokazatelji rezultata na kojima se zasnivaju izračuni i ocjene potrebnih sredstava:</w:t>
            </w:r>
          </w:p>
        </w:tc>
        <w:tc>
          <w:tcPr>
            <w:tcW w:w="12600" w:type="dxa"/>
            <w:tcBorders>
              <w:top w:val="dotted" w:sz="4" w:space="0" w:color="auto"/>
              <w:left w:val="dotted" w:sz="4" w:space="0" w:color="auto"/>
              <w:bottom w:val="dotted" w:sz="4" w:space="0" w:color="auto"/>
              <w:right w:val="dotted" w:sz="4" w:space="0" w:color="auto"/>
            </w:tcBorders>
            <w:vAlign w:val="bottom"/>
          </w:tcPr>
          <w:p w14:paraId="6F8E84A0"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xml:space="preserve">Kontinuirano praćenje i analiza potreba za održavanjem kvalitete: </w:t>
            </w:r>
          </w:p>
          <w:p w14:paraId="4982E9D5"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xml:space="preserve">- materijalnog okruženja u odgojnim skupinama </w:t>
            </w:r>
          </w:p>
          <w:p w14:paraId="3E516606"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prehrane djece (sukladno Prehrambenom standardu za planiranje prehrane djece u dječjem vrtiću – jelovnici i normativi, Zagreb,2007.g.)</w:t>
            </w:r>
          </w:p>
          <w:p w14:paraId="6683ED5F" w14:textId="44DB38B8"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održavanje objekata (najnužniji radovi)</w:t>
            </w:r>
          </w:p>
        </w:tc>
      </w:tr>
      <w:tr w:rsidR="003613E2" w:rsidRPr="003A2F86" w14:paraId="76D550B8" w14:textId="77777777" w:rsidTr="00E5761E">
        <w:tc>
          <w:tcPr>
            <w:tcW w:w="1683" w:type="dxa"/>
            <w:tcBorders>
              <w:top w:val="dotted" w:sz="4" w:space="0" w:color="auto"/>
              <w:left w:val="dotted" w:sz="4" w:space="0" w:color="auto"/>
              <w:bottom w:val="dotted" w:sz="4" w:space="0" w:color="auto"/>
              <w:right w:val="dotted" w:sz="4" w:space="0" w:color="auto"/>
            </w:tcBorders>
            <w:vAlign w:val="bottom"/>
          </w:tcPr>
          <w:p w14:paraId="28C8705C" w14:textId="1C368357" w:rsidR="00E5761E" w:rsidRPr="003A2F86" w:rsidRDefault="00E5761E" w:rsidP="00E5761E">
            <w:pPr>
              <w:spacing w:after="0" w:line="240" w:lineRule="auto"/>
              <w:rPr>
                <w:rFonts w:ascii="Arial" w:hAnsi="Arial" w:cs="Arial"/>
                <w:sz w:val="18"/>
                <w:szCs w:val="18"/>
              </w:rPr>
            </w:pPr>
            <w:r w:rsidRPr="003A2F86">
              <w:rPr>
                <w:rFonts w:ascii="Arial" w:eastAsia="Calibri" w:hAnsi="Arial" w:cs="Arial"/>
                <w:sz w:val="18"/>
                <w:szCs w:val="18"/>
              </w:rPr>
              <w:t>INSTITUCIJE, DRUŠTVA I STRUČNE OSOBE U PROVEDBI PROGRAMA:</w:t>
            </w:r>
          </w:p>
        </w:tc>
        <w:tc>
          <w:tcPr>
            <w:tcW w:w="12600" w:type="dxa"/>
            <w:tcBorders>
              <w:top w:val="dotted" w:sz="4" w:space="0" w:color="auto"/>
              <w:left w:val="dotted" w:sz="4" w:space="0" w:color="auto"/>
              <w:bottom w:val="dotted" w:sz="4" w:space="0" w:color="auto"/>
              <w:right w:val="dotted" w:sz="4" w:space="0" w:color="auto"/>
            </w:tcBorders>
          </w:tcPr>
          <w:p w14:paraId="725971C0"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Program su realizirali djelatnici Dječjeg vrtića: odgojno-obrazovni radnici (odgojitelji i stručni suradnici) te administrativno i tehničko osoblje (svi ostali radnici).</w:t>
            </w:r>
          </w:p>
          <w:p w14:paraId="2C8B4B52" w14:textId="6C6DC816" w:rsidR="00E5761E" w:rsidRPr="003A2F86" w:rsidRDefault="00E5761E" w:rsidP="00E5761E">
            <w:pPr>
              <w:spacing w:after="0" w:line="240" w:lineRule="auto"/>
              <w:rPr>
                <w:rFonts w:ascii="Arial" w:hAnsi="Arial" w:cs="Arial"/>
                <w:sz w:val="20"/>
                <w:szCs w:val="20"/>
              </w:rPr>
            </w:pPr>
            <w:r w:rsidRPr="003A2F86">
              <w:rPr>
                <w:rFonts w:ascii="Arial" w:eastAsia="Calibri" w:hAnsi="Arial" w:cs="Arial"/>
                <w:sz w:val="20"/>
                <w:szCs w:val="20"/>
              </w:rPr>
              <w:t>Ostvarivanje ciljeva postizalo se i u suradnji sa Općinom Konavle, ZZJZ DN županije, Ministarstvom znanosti i obrazovanja, Agencija za odgoj i obrazovanje, drugi dječji vrtići DNŽ te mnogim drugim.</w:t>
            </w:r>
          </w:p>
        </w:tc>
      </w:tr>
      <w:tr w:rsidR="003613E2" w:rsidRPr="003A2F86" w14:paraId="59E1A361" w14:textId="77777777" w:rsidTr="00E5761E">
        <w:tc>
          <w:tcPr>
            <w:tcW w:w="1683" w:type="dxa"/>
            <w:tcBorders>
              <w:top w:val="dotted" w:sz="4" w:space="0" w:color="auto"/>
              <w:left w:val="dotted" w:sz="4" w:space="0" w:color="auto"/>
              <w:bottom w:val="dotted" w:sz="4" w:space="0" w:color="auto"/>
              <w:right w:val="dotted" w:sz="4" w:space="0" w:color="auto"/>
            </w:tcBorders>
            <w:vAlign w:val="bottom"/>
          </w:tcPr>
          <w:p w14:paraId="1FDCF03B" w14:textId="4AA1DF37" w:rsidR="00E5761E" w:rsidRPr="003A2F86" w:rsidRDefault="00E5761E" w:rsidP="00E5761E">
            <w:pPr>
              <w:spacing w:after="0" w:line="240" w:lineRule="auto"/>
              <w:rPr>
                <w:rFonts w:ascii="Arial" w:hAnsi="Arial" w:cs="Arial"/>
                <w:sz w:val="20"/>
                <w:szCs w:val="20"/>
              </w:rPr>
            </w:pPr>
            <w:r w:rsidRPr="003A2F86">
              <w:rPr>
                <w:rFonts w:ascii="Arial" w:eastAsia="Calibri" w:hAnsi="Arial" w:cs="Arial"/>
                <w:sz w:val="20"/>
                <w:szCs w:val="20"/>
              </w:rPr>
              <w:lastRenderedPageBreak/>
              <w:t>POKAZATELJI USPJEŠNOSTI:</w:t>
            </w:r>
          </w:p>
        </w:tc>
        <w:tc>
          <w:tcPr>
            <w:tcW w:w="12600" w:type="dxa"/>
            <w:tcBorders>
              <w:top w:val="dotted" w:sz="4" w:space="0" w:color="auto"/>
              <w:left w:val="dotted" w:sz="4" w:space="0" w:color="auto"/>
              <w:bottom w:val="dotted" w:sz="4" w:space="0" w:color="auto"/>
              <w:right w:val="dotted" w:sz="4" w:space="0" w:color="auto"/>
            </w:tcBorders>
            <w:vAlign w:val="bottom"/>
          </w:tcPr>
          <w:p w14:paraId="3EFD181F"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Postignuća u odgojno-obrazovnom procesu vide se u svakodnevnim aktivnostima djece, suradnji s roditeljima i društvenom zajednicom, dokumentiranju i valorizaciji procesa, prezentiranju rada odgojitelja na razini općine, županije i šire.</w:t>
            </w:r>
          </w:p>
          <w:p w14:paraId="0E93409F"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Kao pokazatelj uspješnosti je i:</w:t>
            </w:r>
          </w:p>
          <w:p w14:paraId="4222C1B1"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 xml:space="preserve">- djeca s teškoćama u razvoju postižu vidljive rezultate u socijalizaciji i njihovom razvoju unatoč poteškoći koju posjeduju </w:t>
            </w:r>
          </w:p>
          <w:p w14:paraId="79F8D3C8" w14:textId="4A6D8A67" w:rsidR="00E5761E" w:rsidRPr="003A2F86" w:rsidRDefault="00E5761E" w:rsidP="00E5761E">
            <w:pPr>
              <w:spacing w:after="0" w:line="240" w:lineRule="auto"/>
              <w:rPr>
                <w:rFonts w:ascii="Arial" w:hAnsi="Arial" w:cs="Arial"/>
                <w:sz w:val="20"/>
                <w:szCs w:val="20"/>
              </w:rPr>
            </w:pPr>
            <w:r w:rsidRPr="003A2F86">
              <w:rPr>
                <w:rFonts w:ascii="Arial" w:eastAsia="Calibri" w:hAnsi="Arial" w:cs="Arial"/>
                <w:sz w:val="20"/>
                <w:szCs w:val="20"/>
              </w:rPr>
              <w:t>- uspješno odrađen pripravnički staž te položen stručni ispit svih pripravnika u ustanovi.</w:t>
            </w:r>
          </w:p>
        </w:tc>
      </w:tr>
      <w:tr w:rsidR="003613E2" w:rsidRPr="003A2F86" w14:paraId="4A90C4B2" w14:textId="77777777" w:rsidTr="00E5761E">
        <w:tc>
          <w:tcPr>
            <w:tcW w:w="1683" w:type="dxa"/>
            <w:tcBorders>
              <w:top w:val="dotted" w:sz="4" w:space="0" w:color="auto"/>
              <w:left w:val="dotted" w:sz="4" w:space="0" w:color="auto"/>
              <w:bottom w:val="dotted" w:sz="4" w:space="0" w:color="auto"/>
              <w:right w:val="dotted" w:sz="4" w:space="0" w:color="auto"/>
            </w:tcBorders>
            <w:vAlign w:val="bottom"/>
          </w:tcPr>
          <w:p w14:paraId="4A31DFC8" w14:textId="0EB4F4BC"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PROCJENA NEPREDVIĐENIH RASHODA:</w:t>
            </w:r>
          </w:p>
        </w:tc>
        <w:tc>
          <w:tcPr>
            <w:tcW w:w="12600" w:type="dxa"/>
            <w:tcBorders>
              <w:top w:val="dotted" w:sz="4" w:space="0" w:color="auto"/>
              <w:left w:val="dotted" w:sz="4" w:space="0" w:color="auto"/>
              <w:bottom w:val="dotted" w:sz="4" w:space="0" w:color="auto"/>
              <w:right w:val="dotted" w:sz="4" w:space="0" w:color="auto"/>
            </w:tcBorders>
            <w:vAlign w:val="bottom"/>
          </w:tcPr>
          <w:p w14:paraId="4F1D9874"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U ovoj djelatnosti kao nepredviđeni rashodi procjenjuju se eventualno veći kvarovi na opremi, te dodatna ulaganja /popravci na objektima vrtića.</w:t>
            </w:r>
          </w:p>
          <w:p w14:paraId="3D6E70E8" w14:textId="77777777"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Nepredviđeni rizici su poremećaji u ostvarenju prihoda proračuna planiranih za ovu namjenu.</w:t>
            </w:r>
          </w:p>
          <w:p w14:paraId="7662E24E" w14:textId="50EE5B28" w:rsidR="00E5761E" w:rsidRPr="003A2F86" w:rsidRDefault="00E5761E" w:rsidP="00E5761E">
            <w:pPr>
              <w:spacing w:after="0" w:line="240" w:lineRule="auto"/>
              <w:rPr>
                <w:rFonts w:ascii="Arial" w:eastAsia="Calibri" w:hAnsi="Arial" w:cs="Arial"/>
                <w:sz w:val="20"/>
                <w:szCs w:val="20"/>
              </w:rPr>
            </w:pPr>
            <w:r w:rsidRPr="003A2F86">
              <w:rPr>
                <w:rFonts w:ascii="Arial" w:eastAsia="Calibri" w:hAnsi="Arial" w:cs="Arial"/>
                <w:sz w:val="20"/>
                <w:szCs w:val="20"/>
              </w:rPr>
              <w:t>Nadalje, mogući rizik je i duža odsutnost zaposlenika vrtića i mogućnost njihove zamjene, te neplanirana poskupljenja materijala, sirovina i energije.</w:t>
            </w:r>
          </w:p>
        </w:tc>
      </w:tr>
    </w:tbl>
    <w:p w14:paraId="3902A003" w14:textId="77777777" w:rsidR="003752B9" w:rsidRPr="003A2F86" w:rsidRDefault="003752B9" w:rsidP="003752B9">
      <w:pPr>
        <w:spacing w:after="0" w:line="240" w:lineRule="auto"/>
        <w:jc w:val="both"/>
        <w:rPr>
          <w:rFonts w:ascii="Arial" w:eastAsia="Calibri" w:hAnsi="Arial" w:cs="Arial"/>
          <w:sz w:val="20"/>
          <w:szCs w:val="20"/>
        </w:rPr>
      </w:pPr>
    </w:p>
    <w:p w14:paraId="4D302558" w14:textId="77777777" w:rsidR="00636182" w:rsidRPr="003A2F86" w:rsidRDefault="00636182" w:rsidP="003752B9">
      <w:pPr>
        <w:spacing w:after="0" w:line="240" w:lineRule="auto"/>
        <w:jc w:val="both"/>
        <w:rPr>
          <w:rFonts w:ascii="Arial" w:eastAsia="Calibri" w:hAnsi="Arial" w:cs="Arial"/>
          <w:sz w:val="20"/>
          <w:szCs w:val="20"/>
        </w:rPr>
      </w:pPr>
    </w:p>
    <w:p w14:paraId="153FC467" w14:textId="77777777" w:rsidR="00636182" w:rsidRPr="003A2F86" w:rsidRDefault="00636182" w:rsidP="003752B9">
      <w:pPr>
        <w:spacing w:after="0" w:line="240" w:lineRule="auto"/>
        <w:jc w:val="both"/>
        <w:rPr>
          <w:rFonts w:ascii="Arial" w:eastAsia="Calibri" w:hAnsi="Arial" w:cs="Arial"/>
          <w:sz w:val="20"/>
          <w:szCs w:val="20"/>
        </w:rPr>
      </w:pPr>
    </w:p>
    <w:p w14:paraId="2437B2D3" w14:textId="77777777" w:rsidR="00636182" w:rsidRPr="003A2F86" w:rsidRDefault="00636182" w:rsidP="003752B9">
      <w:pPr>
        <w:spacing w:after="0" w:line="240" w:lineRule="auto"/>
        <w:jc w:val="both"/>
        <w:rPr>
          <w:rFonts w:ascii="Arial" w:eastAsia="Calibri" w:hAnsi="Arial" w:cs="Arial"/>
          <w:sz w:val="20"/>
          <w:szCs w:val="20"/>
        </w:rPr>
      </w:pPr>
    </w:p>
    <w:p w14:paraId="6EC65E41" w14:textId="77777777" w:rsidR="00636182" w:rsidRPr="003A2F86" w:rsidRDefault="00636182" w:rsidP="003752B9">
      <w:pPr>
        <w:spacing w:after="0" w:line="240" w:lineRule="auto"/>
        <w:jc w:val="both"/>
        <w:rPr>
          <w:rFonts w:ascii="Arial" w:eastAsia="Calibri" w:hAnsi="Arial" w:cs="Arial"/>
          <w:sz w:val="20"/>
          <w:szCs w:val="20"/>
        </w:rPr>
      </w:pPr>
    </w:p>
    <w:p w14:paraId="615D9DC6" w14:textId="77777777" w:rsidR="00636182" w:rsidRPr="003A2F86" w:rsidRDefault="00636182" w:rsidP="003752B9">
      <w:pPr>
        <w:spacing w:after="0" w:line="240" w:lineRule="auto"/>
        <w:jc w:val="both"/>
        <w:rPr>
          <w:rFonts w:ascii="Arial" w:eastAsia="Calibri" w:hAnsi="Arial" w:cs="Arial"/>
          <w:sz w:val="20"/>
          <w:szCs w:val="20"/>
        </w:rPr>
      </w:pPr>
    </w:p>
    <w:p w14:paraId="0010DBB6" w14:textId="77777777" w:rsidR="00636182" w:rsidRPr="003A2F86" w:rsidRDefault="00636182" w:rsidP="003752B9">
      <w:pPr>
        <w:spacing w:after="0" w:line="240" w:lineRule="auto"/>
        <w:jc w:val="both"/>
        <w:rPr>
          <w:rFonts w:ascii="Arial" w:eastAsia="Calibri" w:hAnsi="Arial" w:cs="Arial"/>
          <w:sz w:val="20"/>
          <w:szCs w:val="20"/>
        </w:rPr>
      </w:pPr>
    </w:p>
    <w:p w14:paraId="4AA6EB1C" w14:textId="77777777" w:rsidR="00636182" w:rsidRPr="003A2F86" w:rsidRDefault="00636182" w:rsidP="003752B9">
      <w:pPr>
        <w:spacing w:after="0" w:line="240" w:lineRule="auto"/>
        <w:jc w:val="both"/>
        <w:rPr>
          <w:rFonts w:ascii="Arial" w:eastAsia="Calibri" w:hAnsi="Arial" w:cs="Arial"/>
          <w:sz w:val="20"/>
          <w:szCs w:val="20"/>
        </w:rPr>
      </w:pPr>
    </w:p>
    <w:p w14:paraId="249A0F04" w14:textId="77777777" w:rsidR="00636182" w:rsidRPr="003A2F86" w:rsidRDefault="00636182" w:rsidP="003752B9">
      <w:pPr>
        <w:spacing w:after="0" w:line="240" w:lineRule="auto"/>
        <w:jc w:val="both"/>
        <w:rPr>
          <w:rFonts w:ascii="Arial" w:eastAsia="Calibri" w:hAnsi="Arial" w:cs="Arial"/>
          <w:sz w:val="20"/>
          <w:szCs w:val="20"/>
        </w:rPr>
      </w:pPr>
    </w:p>
    <w:p w14:paraId="15417486" w14:textId="77777777" w:rsidR="00636182" w:rsidRPr="003A2F86" w:rsidRDefault="00636182" w:rsidP="003752B9">
      <w:pPr>
        <w:spacing w:after="0" w:line="240" w:lineRule="auto"/>
        <w:jc w:val="both"/>
        <w:rPr>
          <w:rFonts w:ascii="Arial" w:eastAsia="Calibri" w:hAnsi="Arial" w:cs="Arial"/>
          <w:sz w:val="20"/>
          <w:szCs w:val="20"/>
        </w:rPr>
      </w:pPr>
    </w:p>
    <w:p w14:paraId="0EED38F2" w14:textId="77777777" w:rsidR="00636182" w:rsidRPr="003A2F86" w:rsidRDefault="00636182" w:rsidP="003752B9">
      <w:pPr>
        <w:spacing w:after="0" w:line="240" w:lineRule="auto"/>
        <w:jc w:val="both"/>
        <w:rPr>
          <w:rFonts w:ascii="Arial" w:eastAsia="Calibri" w:hAnsi="Arial" w:cs="Arial"/>
          <w:sz w:val="20"/>
          <w:szCs w:val="20"/>
        </w:rPr>
      </w:pPr>
    </w:p>
    <w:p w14:paraId="6481717B" w14:textId="77777777" w:rsidR="00636182" w:rsidRPr="003A2F86" w:rsidRDefault="00636182" w:rsidP="003752B9">
      <w:pPr>
        <w:spacing w:after="0" w:line="240" w:lineRule="auto"/>
        <w:jc w:val="both"/>
        <w:rPr>
          <w:rFonts w:ascii="Arial" w:eastAsia="Calibri" w:hAnsi="Arial" w:cs="Arial"/>
          <w:sz w:val="20"/>
          <w:szCs w:val="20"/>
        </w:rPr>
      </w:pPr>
    </w:p>
    <w:p w14:paraId="63CC80E2" w14:textId="77777777" w:rsidR="00636182" w:rsidRPr="003A2F86" w:rsidRDefault="00636182" w:rsidP="003752B9">
      <w:pPr>
        <w:spacing w:after="0" w:line="240" w:lineRule="auto"/>
        <w:jc w:val="both"/>
        <w:rPr>
          <w:rFonts w:ascii="Arial" w:eastAsia="Calibri" w:hAnsi="Arial" w:cs="Arial"/>
          <w:sz w:val="20"/>
          <w:szCs w:val="20"/>
        </w:rPr>
      </w:pPr>
    </w:p>
    <w:p w14:paraId="7C14790B" w14:textId="77777777" w:rsidR="008F1970" w:rsidRPr="003A2F86" w:rsidRDefault="008F1970" w:rsidP="003752B9">
      <w:pPr>
        <w:spacing w:after="0" w:line="240" w:lineRule="auto"/>
        <w:jc w:val="both"/>
        <w:rPr>
          <w:rFonts w:ascii="Arial" w:eastAsia="Calibri" w:hAnsi="Arial" w:cs="Arial"/>
          <w:sz w:val="20"/>
          <w:szCs w:val="20"/>
        </w:rPr>
      </w:pPr>
    </w:p>
    <w:p w14:paraId="6CA3A300" w14:textId="77777777" w:rsidR="008F1970" w:rsidRPr="003A2F86" w:rsidRDefault="008F1970" w:rsidP="003752B9">
      <w:pPr>
        <w:spacing w:after="0" w:line="240" w:lineRule="auto"/>
        <w:jc w:val="both"/>
        <w:rPr>
          <w:rFonts w:ascii="Arial" w:eastAsia="Calibri" w:hAnsi="Arial" w:cs="Arial"/>
          <w:sz w:val="20"/>
          <w:szCs w:val="20"/>
        </w:rPr>
      </w:pPr>
    </w:p>
    <w:p w14:paraId="10CE6F32" w14:textId="77777777" w:rsidR="008F1970" w:rsidRPr="003A2F86" w:rsidRDefault="008F1970" w:rsidP="003752B9">
      <w:pPr>
        <w:spacing w:after="0" w:line="240" w:lineRule="auto"/>
        <w:jc w:val="both"/>
        <w:rPr>
          <w:rFonts w:ascii="Arial" w:eastAsia="Calibri" w:hAnsi="Arial" w:cs="Arial"/>
          <w:sz w:val="20"/>
          <w:szCs w:val="20"/>
        </w:rPr>
      </w:pPr>
    </w:p>
    <w:p w14:paraId="5E4A5C69" w14:textId="77777777" w:rsidR="008F1970" w:rsidRPr="003A2F86" w:rsidRDefault="008F1970" w:rsidP="003752B9">
      <w:pPr>
        <w:spacing w:after="0" w:line="240" w:lineRule="auto"/>
        <w:jc w:val="both"/>
        <w:rPr>
          <w:rFonts w:ascii="Arial" w:eastAsia="Calibri" w:hAnsi="Arial" w:cs="Arial"/>
          <w:sz w:val="20"/>
          <w:szCs w:val="20"/>
        </w:rPr>
      </w:pPr>
    </w:p>
    <w:p w14:paraId="43F0415B" w14:textId="77777777" w:rsidR="00636182" w:rsidRPr="003A2F86" w:rsidRDefault="00636182" w:rsidP="003752B9">
      <w:pPr>
        <w:spacing w:after="0" w:line="240" w:lineRule="auto"/>
        <w:jc w:val="both"/>
        <w:rPr>
          <w:rFonts w:ascii="Arial" w:eastAsia="Calibri" w:hAnsi="Arial" w:cs="Arial"/>
          <w:sz w:val="20"/>
          <w:szCs w:val="20"/>
        </w:rPr>
      </w:pPr>
    </w:p>
    <w:p w14:paraId="19159B62" w14:textId="77777777" w:rsidR="00636182" w:rsidRDefault="00636182" w:rsidP="003752B9">
      <w:pPr>
        <w:spacing w:after="0" w:line="240" w:lineRule="auto"/>
        <w:jc w:val="both"/>
        <w:rPr>
          <w:rFonts w:ascii="Arial" w:eastAsia="Calibri" w:hAnsi="Arial" w:cs="Arial"/>
          <w:sz w:val="20"/>
          <w:szCs w:val="20"/>
        </w:rPr>
      </w:pPr>
    </w:p>
    <w:p w14:paraId="1A453035" w14:textId="77777777" w:rsidR="00331BDC" w:rsidRDefault="00331BDC" w:rsidP="003752B9">
      <w:pPr>
        <w:spacing w:after="0" w:line="240" w:lineRule="auto"/>
        <w:jc w:val="both"/>
        <w:rPr>
          <w:rFonts w:ascii="Arial" w:eastAsia="Calibri" w:hAnsi="Arial" w:cs="Arial"/>
          <w:sz w:val="20"/>
          <w:szCs w:val="20"/>
        </w:rPr>
      </w:pPr>
    </w:p>
    <w:p w14:paraId="07C49596" w14:textId="77777777" w:rsidR="00331BDC" w:rsidRPr="003A2F86" w:rsidRDefault="00331BDC" w:rsidP="003752B9">
      <w:pPr>
        <w:spacing w:after="0" w:line="240" w:lineRule="auto"/>
        <w:jc w:val="both"/>
        <w:rPr>
          <w:rFonts w:ascii="Arial" w:eastAsia="Calibri" w:hAnsi="Arial" w:cs="Arial"/>
          <w:sz w:val="20"/>
          <w:szCs w:val="20"/>
        </w:rPr>
      </w:pPr>
    </w:p>
    <w:p w14:paraId="0C89C3FE" w14:textId="77777777" w:rsidR="00636182" w:rsidRPr="003A2F86" w:rsidRDefault="00636182" w:rsidP="003752B9">
      <w:pPr>
        <w:spacing w:after="0" w:line="240" w:lineRule="auto"/>
        <w:jc w:val="both"/>
        <w:rPr>
          <w:rFonts w:ascii="Arial" w:eastAsia="Calibri" w:hAnsi="Arial" w:cs="Arial"/>
          <w:sz w:val="20"/>
          <w:szCs w:val="20"/>
        </w:rPr>
      </w:pPr>
    </w:p>
    <w:p w14:paraId="274F5E79" w14:textId="77777777" w:rsidR="00A63BE4" w:rsidRDefault="00A63BE4" w:rsidP="003752B9">
      <w:pPr>
        <w:spacing w:after="0" w:line="240" w:lineRule="auto"/>
        <w:jc w:val="both"/>
        <w:rPr>
          <w:rFonts w:ascii="Arial" w:eastAsia="Calibri" w:hAnsi="Arial" w:cs="Arial"/>
          <w:sz w:val="20"/>
          <w:szCs w:val="20"/>
        </w:rPr>
      </w:pPr>
    </w:p>
    <w:p w14:paraId="7C1B6A47" w14:textId="77777777" w:rsidR="00E1279C" w:rsidRDefault="00E1279C" w:rsidP="003752B9">
      <w:pPr>
        <w:spacing w:after="0" w:line="240" w:lineRule="auto"/>
        <w:jc w:val="both"/>
        <w:rPr>
          <w:rFonts w:ascii="Arial" w:eastAsia="Calibri" w:hAnsi="Arial" w:cs="Arial"/>
          <w:sz w:val="20"/>
          <w:szCs w:val="20"/>
        </w:rPr>
      </w:pPr>
    </w:p>
    <w:p w14:paraId="37C6B05A" w14:textId="77777777" w:rsidR="00E1279C" w:rsidRPr="003A2F86" w:rsidRDefault="00E1279C" w:rsidP="003752B9">
      <w:pPr>
        <w:spacing w:after="0" w:line="240" w:lineRule="auto"/>
        <w:jc w:val="both"/>
        <w:rPr>
          <w:rFonts w:ascii="Arial" w:eastAsia="Calibri" w:hAnsi="Arial" w:cs="Arial"/>
          <w:sz w:val="20"/>
          <w:szCs w:val="20"/>
        </w:rPr>
      </w:pPr>
    </w:p>
    <w:p w14:paraId="24C1B3AA" w14:textId="77777777" w:rsidR="00A63BE4" w:rsidRPr="003A2F86" w:rsidRDefault="00A63BE4" w:rsidP="003752B9">
      <w:pPr>
        <w:spacing w:after="0" w:line="240" w:lineRule="auto"/>
        <w:jc w:val="both"/>
        <w:rPr>
          <w:rFonts w:ascii="Arial" w:eastAsia="Calibri" w:hAnsi="Arial" w:cs="Arial"/>
          <w:sz w:val="20"/>
          <w:szCs w:val="20"/>
        </w:rPr>
      </w:pPr>
    </w:p>
    <w:p w14:paraId="0D85A241" w14:textId="77777777" w:rsidR="00636182" w:rsidRPr="003A2F86" w:rsidRDefault="00636182" w:rsidP="003752B9">
      <w:pPr>
        <w:spacing w:after="0" w:line="240" w:lineRule="auto"/>
        <w:jc w:val="both"/>
        <w:rPr>
          <w:rFonts w:ascii="Arial" w:eastAsia="Calibri" w:hAnsi="Arial" w:cs="Arial"/>
          <w:sz w:val="20"/>
          <w:szCs w:val="20"/>
        </w:rPr>
      </w:pPr>
    </w:p>
    <w:p w14:paraId="6F0A1A6B" w14:textId="77777777" w:rsidR="00636182" w:rsidRPr="003A2F86" w:rsidRDefault="00636182" w:rsidP="003752B9">
      <w:pPr>
        <w:spacing w:after="0" w:line="240" w:lineRule="auto"/>
        <w:jc w:val="both"/>
        <w:rPr>
          <w:rFonts w:ascii="Arial" w:eastAsia="Calibri" w:hAnsi="Arial" w:cs="Arial"/>
          <w:sz w:val="20"/>
          <w:szCs w:val="20"/>
        </w:rPr>
      </w:pPr>
    </w:p>
    <w:p w14:paraId="49CE0ACB" w14:textId="77777777" w:rsidR="00636182" w:rsidRDefault="00636182" w:rsidP="003752B9">
      <w:pPr>
        <w:spacing w:after="0" w:line="240" w:lineRule="auto"/>
        <w:jc w:val="both"/>
        <w:rPr>
          <w:rFonts w:ascii="Arial" w:eastAsia="Calibri" w:hAnsi="Arial" w:cs="Arial"/>
          <w:sz w:val="20"/>
          <w:szCs w:val="20"/>
        </w:rPr>
      </w:pPr>
    </w:p>
    <w:p w14:paraId="773F349B" w14:textId="77777777" w:rsidR="00F12DCA" w:rsidRDefault="00F12DCA" w:rsidP="003752B9">
      <w:pPr>
        <w:spacing w:after="0" w:line="240" w:lineRule="auto"/>
        <w:jc w:val="both"/>
        <w:rPr>
          <w:rFonts w:ascii="Arial" w:eastAsia="Calibri" w:hAnsi="Arial" w:cs="Arial"/>
          <w:sz w:val="20"/>
          <w:szCs w:val="20"/>
        </w:rPr>
      </w:pPr>
    </w:p>
    <w:p w14:paraId="1DD2C490" w14:textId="77777777" w:rsidR="00E5761E" w:rsidRPr="003A2F86" w:rsidRDefault="00E5761E" w:rsidP="003752B9">
      <w:pPr>
        <w:spacing w:after="0" w:line="240" w:lineRule="auto"/>
        <w:jc w:val="both"/>
        <w:rPr>
          <w:rFonts w:ascii="Arial" w:eastAsia="Calibri" w:hAnsi="Arial" w:cs="Arial"/>
          <w:sz w:val="20"/>
          <w:szCs w:val="20"/>
        </w:rPr>
      </w:pPr>
    </w:p>
    <w:p w14:paraId="44C9BE24" w14:textId="77777777" w:rsidR="00636182" w:rsidRPr="003A2F86" w:rsidRDefault="00636182">
      <w:pPr>
        <w:pStyle w:val="Odlomakpopisa"/>
        <w:numPr>
          <w:ilvl w:val="0"/>
          <w:numId w:val="26"/>
        </w:num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eastAsia="Calibri" w:hAnsi="Arial" w:cs="Arial"/>
          <w:b/>
        </w:rPr>
      </w:pPr>
      <w:r w:rsidRPr="003A2F86">
        <w:rPr>
          <w:rFonts w:ascii="Arial" w:eastAsia="Calibri" w:hAnsi="Arial" w:cs="Arial"/>
          <w:b/>
        </w:rPr>
        <w:lastRenderedPageBreak/>
        <w:t>OBRAZLOŽENJE OPĆEG DIJELA FINANCIJSKOG PLANA</w:t>
      </w:r>
    </w:p>
    <w:p w14:paraId="6F2F0F0B" w14:textId="6868E33B" w:rsidR="00133E09" w:rsidRPr="003A2F86" w:rsidRDefault="00331BDC" w:rsidP="00190B6C">
      <w:pPr>
        <w:spacing w:after="0" w:line="240" w:lineRule="auto"/>
        <w:jc w:val="center"/>
        <w:rPr>
          <w:rFonts w:ascii="Arial" w:eastAsia="Calibri" w:hAnsi="Arial" w:cs="Arial"/>
          <w:sz w:val="20"/>
          <w:szCs w:val="20"/>
        </w:rPr>
      </w:pPr>
      <w:r w:rsidRPr="00331BDC">
        <w:rPr>
          <w:noProof/>
        </w:rPr>
        <w:drawing>
          <wp:inline distT="0" distB="0" distL="0" distR="0" wp14:anchorId="0E3FB94B" wp14:editId="7A300BD5">
            <wp:extent cx="8591107" cy="5547956"/>
            <wp:effectExtent l="0" t="0" r="635" b="0"/>
            <wp:docPr id="878281126"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8592828" cy="5549067"/>
                    </a:xfrm>
                    <a:prstGeom prst="rect">
                      <a:avLst/>
                    </a:prstGeom>
                    <a:noFill/>
                    <a:ln>
                      <a:noFill/>
                    </a:ln>
                  </pic:spPr>
                </pic:pic>
              </a:graphicData>
            </a:graphic>
          </wp:inline>
        </w:drawing>
      </w:r>
    </w:p>
    <w:p w14:paraId="40E6769E" w14:textId="77777777" w:rsidR="00331BDC" w:rsidRDefault="00331BDC" w:rsidP="003613E2">
      <w:pPr>
        <w:spacing w:after="0" w:line="240" w:lineRule="auto"/>
        <w:jc w:val="both"/>
        <w:rPr>
          <w:rFonts w:ascii="Arial" w:eastAsia="Calibri" w:hAnsi="Arial" w:cs="Arial"/>
          <w:sz w:val="20"/>
          <w:szCs w:val="20"/>
        </w:rPr>
      </w:pPr>
    </w:p>
    <w:p w14:paraId="55D44CC8" w14:textId="77777777" w:rsidR="00331BDC" w:rsidRPr="004B4FB1" w:rsidRDefault="00331BDC" w:rsidP="00331BDC">
      <w:pPr>
        <w:spacing w:after="0" w:line="240" w:lineRule="auto"/>
        <w:jc w:val="both"/>
        <w:rPr>
          <w:rFonts w:ascii="Arial" w:eastAsia="Calibri" w:hAnsi="Arial" w:cs="Arial"/>
          <w:sz w:val="20"/>
          <w:szCs w:val="20"/>
        </w:rPr>
      </w:pPr>
      <w:r w:rsidRPr="004B4FB1">
        <w:rPr>
          <w:rFonts w:ascii="Arial" w:eastAsia="Calibri" w:hAnsi="Arial" w:cs="Arial"/>
          <w:b/>
          <w:bCs/>
          <w:sz w:val="20"/>
          <w:szCs w:val="20"/>
        </w:rPr>
        <w:lastRenderedPageBreak/>
        <w:t>Opći dio financijskog plana</w:t>
      </w:r>
      <w:r w:rsidRPr="004B4FB1">
        <w:rPr>
          <w:rFonts w:ascii="Arial" w:eastAsia="Calibri" w:hAnsi="Arial" w:cs="Arial"/>
          <w:sz w:val="20"/>
          <w:szCs w:val="20"/>
        </w:rPr>
        <w:t xml:space="preserve"> sastoji se od sažetka računa prihoda i rashoda. Sveukupni prihodi i rashodi iskazani su prema izvorima financiranja i ekonomskoj klasifikaciji, dok su rashodi iskazani i prema funkcijskoj klasifikaciji.</w:t>
      </w:r>
    </w:p>
    <w:p w14:paraId="4C9284AC" w14:textId="77777777" w:rsidR="00331BDC" w:rsidRPr="004B4FB1" w:rsidRDefault="00331BDC" w:rsidP="00331BDC">
      <w:pPr>
        <w:spacing w:after="0" w:line="240" w:lineRule="auto"/>
        <w:jc w:val="both"/>
        <w:rPr>
          <w:rFonts w:ascii="Arial" w:eastAsia="Calibri" w:hAnsi="Arial" w:cs="Arial"/>
          <w:sz w:val="20"/>
          <w:szCs w:val="20"/>
        </w:rPr>
      </w:pPr>
    </w:p>
    <w:p w14:paraId="2BF8A988" w14:textId="77777777" w:rsidR="00331BDC" w:rsidRPr="004B4FB1" w:rsidRDefault="00331BDC" w:rsidP="00331BDC">
      <w:pPr>
        <w:spacing w:after="0" w:line="240" w:lineRule="auto"/>
        <w:jc w:val="both"/>
        <w:rPr>
          <w:rFonts w:ascii="Arial" w:eastAsia="Calibri" w:hAnsi="Arial" w:cs="Arial"/>
          <w:sz w:val="20"/>
          <w:szCs w:val="20"/>
        </w:rPr>
      </w:pPr>
      <w:r w:rsidRPr="004B4FB1">
        <w:rPr>
          <w:rFonts w:ascii="Arial" w:eastAsia="Calibri" w:hAnsi="Arial" w:cs="Arial"/>
          <w:sz w:val="20"/>
          <w:szCs w:val="20"/>
        </w:rPr>
        <w:t>Ostvareni prihodi poslovanja sastoje se od:</w:t>
      </w:r>
    </w:p>
    <w:p w14:paraId="7D8C8139" w14:textId="77777777" w:rsidR="00331BDC" w:rsidRPr="004B4FB1" w:rsidRDefault="00331BDC" w:rsidP="00331BDC">
      <w:pPr>
        <w:spacing w:after="0" w:line="240" w:lineRule="auto"/>
        <w:jc w:val="both"/>
        <w:rPr>
          <w:rFonts w:ascii="Arial" w:eastAsia="Calibri" w:hAnsi="Arial" w:cs="Arial"/>
          <w:sz w:val="20"/>
          <w:szCs w:val="20"/>
        </w:rPr>
      </w:pPr>
    </w:p>
    <w:p w14:paraId="1246581A" w14:textId="77777777" w:rsidR="00331BDC" w:rsidRPr="00A534D1" w:rsidRDefault="00331BDC">
      <w:pPr>
        <w:pStyle w:val="Odlomakpopisa"/>
        <w:numPr>
          <w:ilvl w:val="0"/>
          <w:numId w:val="34"/>
        </w:numPr>
        <w:rPr>
          <w:rFonts w:ascii="Arial" w:eastAsia="Calibri" w:hAnsi="Arial" w:cs="Arial"/>
          <w:lang w:eastAsia="hr-HR"/>
        </w:rPr>
      </w:pPr>
      <w:r w:rsidRPr="00A534D1">
        <w:rPr>
          <w:rFonts w:ascii="Arial" w:eastAsia="Calibri" w:hAnsi="Arial" w:cs="Arial"/>
          <w:lang w:eastAsia="hr-HR"/>
        </w:rPr>
        <w:t>pomoći iz inozemstva i od subjekata unutar općeg Proračuna- Prihodi od pomoći proračunskim korisnicima iz proračuna koji im nije nadležan, sufinanciranje predškolskog odgoja ( ministarstvo ). Prihodi za pomoć djeci sa teškoćama u razvoju i za program Predškole u 202</w:t>
      </w:r>
      <w:r>
        <w:rPr>
          <w:rFonts w:ascii="Arial" w:eastAsia="Calibri" w:hAnsi="Arial" w:cs="Arial"/>
          <w:lang w:eastAsia="hr-HR"/>
        </w:rPr>
        <w:t>5</w:t>
      </w:r>
      <w:r w:rsidRPr="00A534D1">
        <w:rPr>
          <w:rFonts w:ascii="Arial" w:eastAsia="Calibri" w:hAnsi="Arial" w:cs="Arial"/>
          <w:lang w:eastAsia="hr-HR"/>
        </w:rPr>
        <w:t xml:space="preserve">.godinu ostvareni su u iznosu </w:t>
      </w:r>
      <w:r>
        <w:rPr>
          <w:rFonts w:ascii="Arial" w:eastAsia="Calibri" w:hAnsi="Arial" w:cs="Arial"/>
          <w:lang w:eastAsia="hr-HR"/>
        </w:rPr>
        <w:t>7.649</w:t>
      </w:r>
      <w:r w:rsidRPr="00A534D1">
        <w:rPr>
          <w:rFonts w:ascii="Arial" w:eastAsia="Calibri" w:hAnsi="Arial" w:cs="Arial"/>
          <w:lang w:eastAsia="hr-HR"/>
        </w:rPr>
        <w:t>,00€. Prihodi iz Ministarstva namijenjeni su za financiranje rashoda za potrebe rada sa djecom, za koje se temeljem Odluke ministarstva odobravaju određena sredstva po obrocima ,a rashodi su prikazani  kroz likovni i didaktički materijal i opremanje didaktikom po skupinama gdje borave navedena djeca.</w:t>
      </w:r>
    </w:p>
    <w:p w14:paraId="2FAEA29B" w14:textId="77777777" w:rsidR="00331BDC" w:rsidRPr="00A534D1" w:rsidRDefault="00331BDC">
      <w:pPr>
        <w:pStyle w:val="Odlomakpopisa"/>
        <w:numPr>
          <w:ilvl w:val="0"/>
          <w:numId w:val="34"/>
        </w:numPr>
        <w:rPr>
          <w:rFonts w:ascii="Arial" w:eastAsia="Calibri" w:hAnsi="Arial" w:cs="Arial"/>
          <w:lang w:eastAsia="hr-HR"/>
        </w:rPr>
      </w:pPr>
      <w:r w:rsidRPr="00A534D1">
        <w:rPr>
          <w:rFonts w:ascii="Arial" w:eastAsia="Calibri" w:hAnsi="Arial" w:cs="Arial"/>
          <w:lang w:eastAsia="hr-HR"/>
        </w:rPr>
        <w:t>prihoda od upravnih i administrativnih pristojbi, pristojbi po posebnim propisima i naknada- Prihodi za posebne namjene za 202</w:t>
      </w:r>
      <w:r>
        <w:rPr>
          <w:rFonts w:ascii="Arial" w:eastAsia="Calibri" w:hAnsi="Arial" w:cs="Arial"/>
          <w:lang w:eastAsia="hr-HR"/>
        </w:rPr>
        <w:t>5</w:t>
      </w:r>
      <w:r w:rsidRPr="00A534D1">
        <w:rPr>
          <w:rFonts w:ascii="Arial" w:eastAsia="Calibri" w:hAnsi="Arial" w:cs="Arial"/>
          <w:lang w:eastAsia="hr-HR"/>
        </w:rPr>
        <w:t>.godinu ostvareni su u iznosu od 48</w:t>
      </w:r>
      <w:r>
        <w:rPr>
          <w:rFonts w:ascii="Arial" w:eastAsia="Calibri" w:hAnsi="Arial" w:cs="Arial"/>
          <w:lang w:eastAsia="hr-HR"/>
        </w:rPr>
        <w:t>5</w:t>
      </w:r>
      <w:r w:rsidRPr="00A534D1">
        <w:rPr>
          <w:rFonts w:ascii="Arial" w:eastAsia="Calibri" w:hAnsi="Arial" w:cs="Arial"/>
          <w:lang w:eastAsia="hr-HR"/>
        </w:rPr>
        <w:t>.</w:t>
      </w:r>
      <w:r>
        <w:rPr>
          <w:rFonts w:ascii="Arial" w:eastAsia="Calibri" w:hAnsi="Arial" w:cs="Arial"/>
          <w:lang w:eastAsia="hr-HR"/>
        </w:rPr>
        <w:t>685,57</w:t>
      </w:r>
      <w:r w:rsidRPr="00A534D1">
        <w:rPr>
          <w:rFonts w:ascii="Arial" w:eastAsia="Calibri" w:hAnsi="Arial" w:cs="Arial"/>
          <w:lang w:eastAsia="hr-HR"/>
        </w:rPr>
        <w:t xml:space="preserve"> € (odnose se na prihode koji su ostvareni od naplate roditelja sufinanciranjem cijene usluga ).</w:t>
      </w:r>
    </w:p>
    <w:p w14:paraId="59A0E0E2" w14:textId="77777777" w:rsidR="00331BDC" w:rsidRPr="00A534D1" w:rsidRDefault="00331BDC" w:rsidP="00331BDC">
      <w:pPr>
        <w:pStyle w:val="Odlomakpopisa"/>
        <w:ind w:left="720"/>
        <w:rPr>
          <w:rFonts w:ascii="Arial" w:eastAsia="Calibri" w:hAnsi="Arial" w:cs="Arial"/>
          <w:lang w:eastAsia="hr-HR"/>
        </w:rPr>
      </w:pPr>
      <w:r w:rsidRPr="00A534D1">
        <w:rPr>
          <w:rFonts w:ascii="Arial" w:eastAsia="Calibri" w:hAnsi="Arial" w:cs="Arial"/>
          <w:lang w:eastAsia="hr-HR"/>
        </w:rPr>
        <w:t>Planirani Prihodi za posebne namjene namijenjeni su za financiranje rashoda poslovanja koji obuhvaćaju materijalne rashode, rashode za zaposlene i rashode za nabavu dugotrajne imovine.</w:t>
      </w:r>
    </w:p>
    <w:p w14:paraId="0BE0305F" w14:textId="77777777" w:rsidR="00331BDC" w:rsidRPr="00A534D1" w:rsidRDefault="00331BDC">
      <w:pPr>
        <w:pStyle w:val="Odlomakpopisa"/>
        <w:numPr>
          <w:ilvl w:val="0"/>
          <w:numId w:val="34"/>
        </w:numPr>
        <w:rPr>
          <w:rFonts w:ascii="Arial" w:eastAsia="Calibri" w:hAnsi="Arial" w:cs="Arial"/>
          <w:lang w:eastAsia="hr-HR"/>
        </w:rPr>
      </w:pPr>
      <w:r w:rsidRPr="00A534D1">
        <w:rPr>
          <w:rFonts w:ascii="Arial" w:eastAsia="Calibri" w:hAnsi="Arial" w:cs="Arial"/>
          <w:lang w:eastAsia="hr-HR"/>
        </w:rPr>
        <w:t>prihoda od prodaje proizvoda i robe te pruženih usluga- Vlastiti prihodi, obroci za produženi boravak  za 202</w:t>
      </w:r>
      <w:r>
        <w:rPr>
          <w:rFonts w:ascii="Arial" w:eastAsia="Calibri" w:hAnsi="Arial" w:cs="Arial"/>
          <w:lang w:eastAsia="hr-HR"/>
        </w:rPr>
        <w:t>5</w:t>
      </w:r>
      <w:r w:rsidRPr="00A534D1">
        <w:rPr>
          <w:rFonts w:ascii="Arial" w:eastAsia="Calibri" w:hAnsi="Arial" w:cs="Arial"/>
          <w:lang w:eastAsia="hr-HR"/>
        </w:rPr>
        <w:t>. godinu ostvareni su u iznosu 3</w:t>
      </w:r>
      <w:r>
        <w:rPr>
          <w:rFonts w:ascii="Arial" w:eastAsia="Calibri" w:hAnsi="Arial" w:cs="Arial"/>
          <w:lang w:eastAsia="hr-HR"/>
        </w:rPr>
        <w:t>5.815,00</w:t>
      </w:r>
      <w:r w:rsidRPr="00A534D1">
        <w:rPr>
          <w:rFonts w:ascii="Arial" w:eastAsia="Calibri" w:hAnsi="Arial" w:cs="Arial"/>
          <w:lang w:eastAsia="hr-HR"/>
        </w:rPr>
        <w:t xml:space="preserve"> € (odnose se na prihode koji su ostvareni od naplate za troškove prehrane, produženi boravak djece u O.Š. Gruda ,P.Š. Popovići i P.Š. Čilipi ) , i prihoda  od Zračne luke za godišnju zakupninu  smještaja NMT opreme u DV i jaslicama Cavtat u iznosu od 955,60 € ). Ovi prihodi su namijenjeni za financiranje materijalnih rashoda. </w:t>
      </w:r>
      <w:r>
        <w:rPr>
          <w:rFonts w:ascii="Arial" w:eastAsia="Calibri" w:hAnsi="Arial" w:cs="Arial"/>
          <w:lang w:eastAsia="hr-HR"/>
        </w:rPr>
        <w:t>Prihodi od donacija nisu ostvareni.</w:t>
      </w:r>
    </w:p>
    <w:p w14:paraId="32AC6010" w14:textId="77777777" w:rsidR="00331BDC" w:rsidRPr="003514F8" w:rsidRDefault="00331BDC">
      <w:pPr>
        <w:pStyle w:val="Odlomakpopisa"/>
        <w:numPr>
          <w:ilvl w:val="0"/>
          <w:numId w:val="34"/>
        </w:numPr>
        <w:rPr>
          <w:rFonts w:ascii="Arial" w:eastAsia="Calibri" w:hAnsi="Arial" w:cs="Arial"/>
          <w:lang w:eastAsia="hr-HR"/>
        </w:rPr>
      </w:pPr>
      <w:r w:rsidRPr="003514F8">
        <w:rPr>
          <w:rFonts w:ascii="Arial" w:eastAsia="Calibri" w:hAnsi="Arial" w:cs="Arial"/>
          <w:lang w:eastAsia="hr-HR"/>
        </w:rPr>
        <w:t>prihoda iz nadležnog proračuna ostvareni su sveukupno u iznosu 2.</w:t>
      </w:r>
      <w:r>
        <w:rPr>
          <w:rFonts w:ascii="Arial" w:eastAsia="Calibri" w:hAnsi="Arial" w:cs="Arial"/>
          <w:lang w:eastAsia="hr-HR"/>
        </w:rPr>
        <w:t>829.114,14</w:t>
      </w:r>
      <w:r w:rsidRPr="003514F8">
        <w:rPr>
          <w:rFonts w:ascii="Arial" w:eastAsia="Calibri" w:hAnsi="Arial" w:cs="Arial"/>
          <w:lang w:eastAsia="hr-HR"/>
        </w:rPr>
        <w:t xml:space="preserve"> € , od čega izvor općinski proračun, opći prihodi i primici, za 2025.godinu ostvareni su u iznosu 2.</w:t>
      </w:r>
      <w:r>
        <w:rPr>
          <w:rFonts w:ascii="Arial" w:eastAsia="Calibri" w:hAnsi="Arial" w:cs="Arial"/>
          <w:lang w:eastAsia="hr-HR"/>
        </w:rPr>
        <w:t>815.42</w:t>
      </w:r>
      <w:r w:rsidRPr="003514F8">
        <w:rPr>
          <w:rFonts w:ascii="Arial" w:eastAsia="Calibri" w:hAnsi="Arial" w:cs="Arial"/>
          <w:lang w:eastAsia="hr-HR"/>
        </w:rPr>
        <w:t xml:space="preserve">2,18 € za financiranje rashoda za zaposlene i materijalnih rashoda,  te 13.691,96 za financiranje rashoda za nabavu nefinancijske imovine. </w:t>
      </w:r>
      <w:r>
        <w:rPr>
          <w:rFonts w:ascii="Arial" w:eastAsia="Calibri" w:hAnsi="Arial" w:cs="Arial"/>
          <w:lang w:eastAsia="hr-HR"/>
        </w:rPr>
        <w:t xml:space="preserve"> </w:t>
      </w:r>
    </w:p>
    <w:p w14:paraId="3B39CAB0" w14:textId="77777777" w:rsidR="007833DB" w:rsidRDefault="007833DB" w:rsidP="00E5761E">
      <w:pPr>
        <w:spacing w:after="0" w:line="240" w:lineRule="auto"/>
        <w:jc w:val="both"/>
        <w:rPr>
          <w:rFonts w:ascii="Arial" w:eastAsia="Calibri" w:hAnsi="Arial" w:cs="Arial"/>
          <w:sz w:val="20"/>
          <w:szCs w:val="20"/>
        </w:rPr>
      </w:pPr>
    </w:p>
    <w:p w14:paraId="07E9937C" w14:textId="77777777" w:rsidR="007833DB" w:rsidRPr="003A2F86" w:rsidRDefault="007833DB" w:rsidP="007833DB">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sz w:val="20"/>
          <w:szCs w:val="20"/>
        </w:rPr>
        <w:t>Osnovni vlastiti prihodi Ustanove se odnose na sufinanciranje cijene usluge smještaja djece u vrtiću, te prihodi od pružanja usluga prehrane djeci u produženom boravku.</w:t>
      </w:r>
    </w:p>
    <w:p w14:paraId="4848F791" w14:textId="77777777" w:rsidR="007833DB" w:rsidRPr="003A2F86" w:rsidRDefault="007833DB" w:rsidP="007833DB">
      <w:pPr>
        <w:autoSpaceDE w:val="0"/>
        <w:autoSpaceDN w:val="0"/>
        <w:adjustRightInd w:val="0"/>
        <w:spacing w:after="0" w:line="240" w:lineRule="auto"/>
        <w:jc w:val="both"/>
        <w:rPr>
          <w:rFonts w:ascii="Arial" w:eastAsia="Calibri" w:hAnsi="Arial" w:cs="Arial"/>
          <w:sz w:val="20"/>
          <w:szCs w:val="20"/>
        </w:rPr>
      </w:pPr>
    </w:p>
    <w:p w14:paraId="324E5F67" w14:textId="67E3E44F" w:rsidR="007833DB" w:rsidRPr="003A2F86" w:rsidRDefault="007833DB" w:rsidP="007833DB">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Prihodi proračunskog korisnika se odnose na vlastite prihode u iznosu </w:t>
      </w:r>
      <w:r w:rsidR="00331BDC">
        <w:rPr>
          <w:rFonts w:ascii="Arial" w:eastAsia="Calibri" w:hAnsi="Arial" w:cs="Arial"/>
          <w:sz w:val="20"/>
          <w:szCs w:val="20"/>
        </w:rPr>
        <w:t>530.105,17</w:t>
      </w:r>
      <w:r w:rsidRPr="003A2F86">
        <w:rPr>
          <w:rFonts w:ascii="Arial" w:eastAsia="Calibri" w:hAnsi="Arial" w:cs="Arial"/>
          <w:sz w:val="20"/>
          <w:szCs w:val="20"/>
        </w:rPr>
        <w:t xml:space="preserve"> € i prihode iz općinskog proračuna </w:t>
      </w:r>
      <w:r w:rsidR="00331BDC">
        <w:rPr>
          <w:rFonts w:ascii="Arial" w:eastAsia="Calibri" w:hAnsi="Arial" w:cs="Arial"/>
          <w:sz w:val="20"/>
          <w:szCs w:val="20"/>
        </w:rPr>
        <w:t>2.829.114,14</w:t>
      </w:r>
      <w:r w:rsidRPr="003A2F86">
        <w:rPr>
          <w:rFonts w:ascii="Arial" w:eastAsia="Calibri" w:hAnsi="Arial" w:cs="Arial"/>
          <w:sz w:val="20"/>
          <w:szCs w:val="20"/>
        </w:rPr>
        <w:t xml:space="preserve"> € ili sveukupno </w:t>
      </w:r>
      <w:r w:rsidR="00331BDC">
        <w:rPr>
          <w:rFonts w:ascii="Arial" w:eastAsia="Calibri" w:hAnsi="Arial" w:cs="Arial"/>
          <w:sz w:val="20"/>
          <w:szCs w:val="20"/>
        </w:rPr>
        <w:t>3.359.219,31</w:t>
      </w:r>
      <w:r w:rsidR="00486845">
        <w:rPr>
          <w:rFonts w:ascii="Arial" w:eastAsia="Calibri" w:hAnsi="Arial" w:cs="Arial"/>
          <w:sz w:val="20"/>
          <w:szCs w:val="20"/>
        </w:rPr>
        <w:t xml:space="preserve"> </w:t>
      </w:r>
      <w:r w:rsidRPr="003A2F86">
        <w:rPr>
          <w:rFonts w:ascii="Arial" w:eastAsia="Calibri" w:hAnsi="Arial" w:cs="Arial"/>
          <w:sz w:val="20"/>
          <w:szCs w:val="20"/>
        </w:rPr>
        <w:t>€.</w:t>
      </w:r>
    </w:p>
    <w:p w14:paraId="03AEB136" w14:textId="77777777" w:rsidR="007833DB" w:rsidRPr="003A2F86" w:rsidRDefault="007833DB" w:rsidP="007833DB">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sz w:val="20"/>
          <w:szCs w:val="20"/>
        </w:rPr>
        <w:t>Vlastiti prihodi proračunskog korisnika se odnose na:</w:t>
      </w:r>
    </w:p>
    <w:p w14:paraId="5FD12055" w14:textId="062F77A0" w:rsidR="007833DB" w:rsidRDefault="007833DB">
      <w:pPr>
        <w:pStyle w:val="Odlomakpopisa"/>
        <w:numPr>
          <w:ilvl w:val="0"/>
          <w:numId w:val="5"/>
        </w:numPr>
        <w:autoSpaceDE w:val="0"/>
        <w:autoSpaceDN w:val="0"/>
        <w:adjustRightInd w:val="0"/>
        <w:rPr>
          <w:rFonts w:ascii="Arial" w:eastAsia="Calibri" w:hAnsi="Arial" w:cs="Arial"/>
        </w:rPr>
      </w:pPr>
      <w:r w:rsidRPr="003A2F86">
        <w:rPr>
          <w:rFonts w:ascii="Arial" w:eastAsia="Calibri" w:hAnsi="Arial" w:cs="Arial"/>
        </w:rPr>
        <w:t xml:space="preserve">prihode od obavljanja djelatnosti odnosno od sufinanciranja cijene usluge smještaja djece u vrtiću </w:t>
      </w:r>
      <w:r w:rsidR="00331BDC">
        <w:rPr>
          <w:rFonts w:ascii="Arial" w:eastAsia="Calibri" w:hAnsi="Arial" w:cs="Arial"/>
        </w:rPr>
        <w:t>484.471,98</w:t>
      </w:r>
      <w:r w:rsidRPr="003A2F86">
        <w:rPr>
          <w:rFonts w:ascii="Arial" w:eastAsia="Calibri" w:hAnsi="Arial" w:cs="Arial"/>
        </w:rPr>
        <w:t xml:space="preserve"> € (u okviru kojih su iskazani i prihodi u iznosu </w:t>
      </w:r>
      <w:r w:rsidR="00331BDC">
        <w:rPr>
          <w:rFonts w:ascii="Arial" w:eastAsia="Calibri" w:hAnsi="Arial" w:cs="Arial"/>
        </w:rPr>
        <w:t>69.595,75</w:t>
      </w:r>
      <w:r w:rsidRPr="003A2F86">
        <w:rPr>
          <w:rFonts w:ascii="Arial" w:eastAsia="Calibri" w:hAnsi="Arial" w:cs="Arial"/>
        </w:rPr>
        <w:t xml:space="preserve"> € koje je sufinancirala općina kroz demografski i socijalni program)</w:t>
      </w:r>
    </w:p>
    <w:p w14:paraId="572DBA09" w14:textId="16286A9D" w:rsidR="00805864" w:rsidRPr="003A2F86" w:rsidRDefault="00805864">
      <w:pPr>
        <w:pStyle w:val="Odlomakpopisa"/>
        <w:numPr>
          <w:ilvl w:val="0"/>
          <w:numId w:val="5"/>
        </w:numPr>
        <w:autoSpaceDE w:val="0"/>
        <w:autoSpaceDN w:val="0"/>
        <w:adjustRightInd w:val="0"/>
        <w:rPr>
          <w:rFonts w:ascii="Arial" w:eastAsia="Calibri" w:hAnsi="Arial" w:cs="Arial"/>
        </w:rPr>
      </w:pPr>
      <w:r>
        <w:rPr>
          <w:rFonts w:ascii="Arial" w:eastAsia="Calibri" w:hAnsi="Arial" w:cs="Arial"/>
        </w:rPr>
        <w:t>prihodi od naknade štete osiguranja imovine 1.213,59 €,</w:t>
      </w:r>
    </w:p>
    <w:p w14:paraId="74D25429" w14:textId="36ED1290" w:rsidR="007833DB" w:rsidRPr="003A2F86" w:rsidRDefault="007833DB">
      <w:pPr>
        <w:pStyle w:val="Odlomakpopisa"/>
        <w:numPr>
          <w:ilvl w:val="0"/>
          <w:numId w:val="5"/>
        </w:numPr>
        <w:autoSpaceDE w:val="0"/>
        <w:autoSpaceDN w:val="0"/>
        <w:adjustRightInd w:val="0"/>
        <w:rPr>
          <w:rFonts w:ascii="Arial" w:eastAsia="Calibri" w:hAnsi="Arial" w:cs="Arial"/>
        </w:rPr>
      </w:pPr>
      <w:r w:rsidRPr="003A2F86">
        <w:rPr>
          <w:rFonts w:ascii="Arial" w:eastAsia="Calibri" w:hAnsi="Arial" w:cs="Arial"/>
        </w:rPr>
        <w:t xml:space="preserve">prihodi od nadležnog ministarstva u iznosu </w:t>
      </w:r>
      <w:r w:rsidR="00331BDC">
        <w:rPr>
          <w:rFonts w:ascii="Arial" w:eastAsia="Calibri" w:hAnsi="Arial" w:cs="Arial"/>
        </w:rPr>
        <w:t>7.649</w:t>
      </w:r>
      <w:r w:rsidR="00FA2D2A">
        <w:rPr>
          <w:rFonts w:ascii="Arial" w:eastAsia="Calibri" w:hAnsi="Arial" w:cs="Arial"/>
        </w:rPr>
        <w:t xml:space="preserve"> </w:t>
      </w:r>
      <w:r w:rsidRPr="003A2F86">
        <w:rPr>
          <w:rFonts w:ascii="Arial" w:eastAsia="Calibri" w:hAnsi="Arial" w:cs="Arial"/>
        </w:rPr>
        <w:t>€ (Ministarstvo znanosti, obrazovanja i sporta) za programe predškolskog odgoja i djecu s teškoćama razvoju),</w:t>
      </w:r>
    </w:p>
    <w:p w14:paraId="43F3AFB1" w14:textId="19C98561" w:rsidR="007833DB" w:rsidRPr="003A2F86" w:rsidRDefault="007833DB">
      <w:pPr>
        <w:pStyle w:val="Odlomakpopisa"/>
        <w:numPr>
          <w:ilvl w:val="0"/>
          <w:numId w:val="5"/>
        </w:numPr>
        <w:autoSpaceDE w:val="0"/>
        <w:autoSpaceDN w:val="0"/>
        <w:adjustRightInd w:val="0"/>
        <w:rPr>
          <w:rFonts w:ascii="Arial" w:eastAsia="Calibri" w:hAnsi="Arial" w:cs="Arial"/>
        </w:rPr>
      </w:pPr>
      <w:r w:rsidRPr="003A2F86">
        <w:rPr>
          <w:rFonts w:ascii="Arial" w:eastAsia="Calibri" w:hAnsi="Arial" w:cs="Arial"/>
        </w:rPr>
        <w:t xml:space="preserve">prihode od pružanja usluga prehrane djeci u produženom boravku osnovnih škola za učenike u iznosu </w:t>
      </w:r>
      <w:r w:rsidR="00331BDC">
        <w:rPr>
          <w:rFonts w:ascii="Arial" w:eastAsia="Calibri" w:hAnsi="Arial" w:cs="Arial"/>
        </w:rPr>
        <w:t>38.815</w:t>
      </w:r>
      <w:r w:rsidRPr="003A2F86">
        <w:rPr>
          <w:rFonts w:ascii="Arial" w:eastAsia="Calibri" w:hAnsi="Arial" w:cs="Arial"/>
        </w:rPr>
        <w:t xml:space="preserve"> €</w:t>
      </w:r>
      <w:r w:rsidRPr="003A2F86">
        <w:rPr>
          <w:rFonts w:ascii="Arial" w:eastAsia="Calibri" w:hAnsi="Arial" w:cs="Arial"/>
          <w:color w:val="FF0000"/>
        </w:rPr>
        <w:t xml:space="preserve"> </w:t>
      </w:r>
      <w:r w:rsidRPr="003A2F86">
        <w:rPr>
          <w:rFonts w:ascii="Arial" w:eastAsia="Calibri" w:hAnsi="Arial" w:cs="Arial"/>
        </w:rPr>
        <w:t xml:space="preserve">(primjerice </w:t>
      </w:r>
      <w:r w:rsidR="00D8624D">
        <w:rPr>
          <w:rFonts w:ascii="Arial" w:eastAsia="Calibri" w:hAnsi="Arial" w:cs="Arial"/>
        </w:rPr>
        <w:t>15</w:t>
      </w:r>
      <w:r w:rsidRPr="003A2F86">
        <w:rPr>
          <w:rFonts w:ascii="Arial" w:eastAsia="Calibri" w:hAnsi="Arial" w:cs="Arial"/>
        </w:rPr>
        <w:t xml:space="preserve"> djece je bilo uključeno u produženi boravak u OŠ Gruda i </w:t>
      </w:r>
      <w:r w:rsidR="00D8624D">
        <w:rPr>
          <w:rFonts w:ascii="Arial" w:eastAsia="Calibri" w:hAnsi="Arial" w:cs="Arial"/>
        </w:rPr>
        <w:t>14</w:t>
      </w:r>
      <w:r w:rsidRPr="003A2F86">
        <w:rPr>
          <w:rFonts w:ascii="Arial" w:eastAsia="Calibri" w:hAnsi="Arial" w:cs="Arial"/>
        </w:rPr>
        <w:t xml:space="preserve"> djece u P</w:t>
      </w:r>
      <w:r w:rsidR="00F766FB">
        <w:rPr>
          <w:rFonts w:ascii="Arial" w:eastAsia="Calibri" w:hAnsi="Arial" w:cs="Arial"/>
        </w:rPr>
        <w:t>S</w:t>
      </w:r>
      <w:r w:rsidRPr="003A2F86">
        <w:rPr>
          <w:rFonts w:ascii="Arial" w:eastAsia="Calibri" w:hAnsi="Arial" w:cs="Arial"/>
        </w:rPr>
        <w:t xml:space="preserve"> Čilip</w:t>
      </w:r>
      <w:r w:rsidR="00F766FB">
        <w:rPr>
          <w:rFonts w:ascii="Arial" w:eastAsia="Calibri" w:hAnsi="Arial" w:cs="Arial"/>
        </w:rPr>
        <w:t>i</w:t>
      </w:r>
      <w:r w:rsidR="000A6332">
        <w:rPr>
          <w:rFonts w:ascii="Arial" w:eastAsia="Calibri" w:hAnsi="Arial" w:cs="Arial"/>
        </w:rPr>
        <w:t xml:space="preserve"> </w:t>
      </w:r>
      <w:r w:rsidR="00D8624D">
        <w:rPr>
          <w:rFonts w:ascii="Arial" w:eastAsia="Calibri" w:hAnsi="Arial" w:cs="Arial"/>
        </w:rPr>
        <w:t xml:space="preserve"> koncem </w:t>
      </w:r>
      <w:r w:rsidRPr="003A2F86">
        <w:rPr>
          <w:rFonts w:ascii="Arial" w:eastAsia="Calibri" w:hAnsi="Arial" w:cs="Arial"/>
        </w:rPr>
        <w:t>202</w:t>
      </w:r>
      <w:r w:rsidR="000A6332">
        <w:rPr>
          <w:rFonts w:ascii="Arial" w:eastAsia="Calibri" w:hAnsi="Arial" w:cs="Arial"/>
        </w:rPr>
        <w:t>5</w:t>
      </w:r>
      <w:r w:rsidRPr="003A2F86">
        <w:rPr>
          <w:rFonts w:ascii="Arial" w:eastAsia="Calibri" w:hAnsi="Arial" w:cs="Arial"/>
        </w:rPr>
        <w:t>.),</w:t>
      </w:r>
      <w:r w:rsidR="008750D8">
        <w:rPr>
          <w:rFonts w:ascii="Arial" w:eastAsia="Calibri" w:hAnsi="Arial" w:cs="Arial"/>
        </w:rPr>
        <w:t xml:space="preserve"> </w:t>
      </w:r>
    </w:p>
    <w:p w14:paraId="76A7EA72" w14:textId="07CF8909" w:rsidR="007833DB" w:rsidRPr="003A2F86" w:rsidRDefault="008750D8">
      <w:pPr>
        <w:pStyle w:val="Odlomakpopisa"/>
        <w:numPr>
          <w:ilvl w:val="0"/>
          <w:numId w:val="5"/>
        </w:numPr>
        <w:autoSpaceDE w:val="0"/>
        <w:autoSpaceDN w:val="0"/>
        <w:adjustRightInd w:val="0"/>
        <w:rPr>
          <w:rFonts w:ascii="Arial" w:eastAsia="Calibri" w:hAnsi="Arial" w:cs="Arial"/>
        </w:rPr>
      </w:pPr>
      <w:r>
        <w:rPr>
          <w:rFonts w:ascii="Arial" w:eastAsia="Calibri" w:hAnsi="Arial" w:cs="Arial"/>
        </w:rPr>
        <w:t xml:space="preserve">prihodi od najma 955,60 €, prihodi od donacija fizičke osobe </w:t>
      </w:r>
      <w:r w:rsidR="00C42DED">
        <w:rPr>
          <w:rFonts w:ascii="Arial" w:eastAsia="Calibri" w:hAnsi="Arial" w:cs="Arial"/>
        </w:rPr>
        <w:t>0</w:t>
      </w:r>
      <w:r w:rsidR="007833DB" w:rsidRPr="003A2F86">
        <w:rPr>
          <w:rFonts w:ascii="Arial" w:eastAsia="Calibri" w:hAnsi="Arial" w:cs="Arial"/>
        </w:rPr>
        <w:t xml:space="preserve"> €.</w:t>
      </w:r>
    </w:p>
    <w:p w14:paraId="1E4C4B3E" w14:textId="77777777" w:rsidR="007833DB" w:rsidRDefault="007833DB" w:rsidP="00E5761E">
      <w:pPr>
        <w:spacing w:after="0" w:line="240" w:lineRule="auto"/>
        <w:jc w:val="both"/>
        <w:rPr>
          <w:rFonts w:ascii="Arial" w:eastAsia="Calibri" w:hAnsi="Arial" w:cs="Arial"/>
          <w:sz w:val="20"/>
          <w:szCs w:val="20"/>
        </w:rPr>
      </w:pPr>
    </w:p>
    <w:p w14:paraId="334FF056" w14:textId="77777777" w:rsidR="00D8624D" w:rsidRPr="00D007C0" w:rsidRDefault="00D8624D" w:rsidP="00D8624D">
      <w:pPr>
        <w:spacing w:after="0" w:line="240" w:lineRule="auto"/>
        <w:jc w:val="both"/>
        <w:rPr>
          <w:rFonts w:ascii="Arial" w:eastAsia="Calibri" w:hAnsi="Arial" w:cs="Arial"/>
          <w:sz w:val="20"/>
          <w:szCs w:val="20"/>
        </w:rPr>
      </w:pPr>
      <w:r w:rsidRPr="00D007C0">
        <w:rPr>
          <w:rFonts w:ascii="Arial" w:eastAsia="Calibri" w:hAnsi="Arial" w:cs="Arial"/>
          <w:sz w:val="20"/>
          <w:szCs w:val="20"/>
        </w:rPr>
        <w:t>Izvršeni rashodi poslovanja sastoje se od:</w:t>
      </w:r>
    </w:p>
    <w:p w14:paraId="1EED4409" w14:textId="77777777" w:rsidR="00D8624D" w:rsidRPr="00A534D1" w:rsidRDefault="00D8624D">
      <w:pPr>
        <w:pStyle w:val="Odlomakpopisa"/>
        <w:numPr>
          <w:ilvl w:val="0"/>
          <w:numId w:val="35"/>
        </w:numPr>
        <w:rPr>
          <w:rFonts w:ascii="Arial" w:eastAsia="Calibri" w:hAnsi="Arial" w:cs="Arial"/>
          <w:lang w:eastAsia="hr-HR"/>
        </w:rPr>
      </w:pPr>
      <w:r w:rsidRPr="00A534D1">
        <w:rPr>
          <w:rFonts w:ascii="Arial" w:eastAsia="Calibri" w:hAnsi="Arial" w:cs="Arial"/>
          <w:lang w:eastAsia="hr-HR"/>
        </w:rPr>
        <w:t>rashoda za zaposlene u iznosu 2.</w:t>
      </w:r>
      <w:r>
        <w:rPr>
          <w:rFonts w:ascii="Arial" w:eastAsia="Calibri" w:hAnsi="Arial" w:cs="Arial"/>
          <w:lang w:eastAsia="hr-HR"/>
        </w:rPr>
        <w:t>686.946,31</w:t>
      </w:r>
      <w:r w:rsidRPr="00A534D1">
        <w:rPr>
          <w:rFonts w:ascii="Arial" w:eastAsia="Calibri" w:hAnsi="Arial" w:cs="Arial"/>
          <w:lang w:eastAsia="hr-HR"/>
        </w:rPr>
        <w:t xml:space="preserve"> € (odnose se na rashode za bruto plaće, doprinose na plaću i ostale rashode za zaposlene)</w:t>
      </w:r>
    </w:p>
    <w:p w14:paraId="0F57BF1A" w14:textId="77777777" w:rsidR="00D8624D" w:rsidRPr="00A534D1" w:rsidRDefault="00D8624D">
      <w:pPr>
        <w:pStyle w:val="Odlomakpopisa"/>
        <w:numPr>
          <w:ilvl w:val="0"/>
          <w:numId w:val="35"/>
        </w:numPr>
        <w:rPr>
          <w:rFonts w:ascii="Arial" w:eastAsia="Calibri" w:hAnsi="Arial" w:cs="Arial"/>
          <w:lang w:eastAsia="hr-HR"/>
        </w:rPr>
      </w:pPr>
      <w:r w:rsidRPr="00A534D1">
        <w:rPr>
          <w:rFonts w:ascii="Arial" w:eastAsia="Calibri" w:hAnsi="Arial" w:cs="Arial"/>
          <w:lang w:eastAsia="hr-HR"/>
        </w:rPr>
        <w:t xml:space="preserve">materijalne rashode u iznosu </w:t>
      </w:r>
      <w:r>
        <w:rPr>
          <w:rFonts w:ascii="Arial" w:eastAsia="Calibri" w:hAnsi="Arial" w:cs="Arial"/>
          <w:lang w:eastAsia="hr-HR"/>
        </w:rPr>
        <w:t>627.976,24</w:t>
      </w:r>
      <w:r w:rsidRPr="00A534D1">
        <w:rPr>
          <w:rFonts w:ascii="Arial" w:eastAsia="Calibri" w:hAnsi="Arial" w:cs="Arial"/>
          <w:lang w:eastAsia="hr-HR"/>
        </w:rPr>
        <w:t xml:space="preserve"> € (odnose se na naknade za prijevoz zaposlenih, rashode za materijal i energiju, te rashode za usluge</w:t>
      </w:r>
    </w:p>
    <w:p w14:paraId="344AF3E8" w14:textId="77777777" w:rsidR="00D8624D" w:rsidRPr="00A534D1" w:rsidRDefault="00D8624D">
      <w:pPr>
        <w:pStyle w:val="Odlomakpopisa"/>
        <w:numPr>
          <w:ilvl w:val="0"/>
          <w:numId w:val="35"/>
        </w:numPr>
        <w:rPr>
          <w:rFonts w:ascii="Arial" w:eastAsia="Calibri" w:hAnsi="Arial" w:cs="Arial"/>
          <w:lang w:eastAsia="hr-HR"/>
        </w:rPr>
      </w:pPr>
      <w:r w:rsidRPr="00A534D1">
        <w:rPr>
          <w:rFonts w:ascii="Arial" w:eastAsia="Calibri" w:hAnsi="Arial" w:cs="Arial"/>
          <w:lang w:eastAsia="hr-HR"/>
        </w:rPr>
        <w:t xml:space="preserve">rashodi za nabavu proizvedene dugotrajne imovine u iznosu </w:t>
      </w:r>
      <w:r>
        <w:rPr>
          <w:rFonts w:ascii="Arial" w:eastAsia="Calibri" w:hAnsi="Arial" w:cs="Arial"/>
          <w:lang w:eastAsia="hr-HR"/>
        </w:rPr>
        <w:t>24.117,35</w:t>
      </w:r>
      <w:r w:rsidRPr="00A534D1">
        <w:rPr>
          <w:rFonts w:ascii="Arial" w:eastAsia="Calibri" w:hAnsi="Arial" w:cs="Arial"/>
          <w:lang w:eastAsia="hr-HR"/>
        </w:rPr>
        <w:t xml:space="preserve"> (odnose se na rashode za nabavu uredskog namještaja, garderobnih ormara i </w:t>
      </w:r>
      <w:r>
        <w:rPr>
          <w:rFonts w:ascii="Arial" w:eastAsia="Calibri" w:hAnsi="Arial" w:cs="Arial"/>
          <w:lang w:eastAsia="hr-HR"/>
        </w:rPr>
        <w:t>opreme za skupine</w:t>
      </w:r>
      <w:r w:rsidRPr="00A534D1">
        <w:rPr>
          <w:rFonts w:ascii="Arial" w:eastAsia="Calibri" w:hAnsi="Arial" w:cs="Arial"/>
          <w:lang w:eastAsia="hr-HR"/>
        </w:rPr>
        <w:t>)</w:t>
      </w:r>
    </w:p>
    <w:p w14:paraId="1C8A3098" w14:textId="77777777" w:rsidR="001158F1" w:rsidRPr="003A2F86" w:rsidRDefault="001158F1" w:rsidP="00E5761E">
      <w:pPr>
        <w:spacing w:after="0" w:line="240" w:lineRule="auto"/>
        <w:jc w:val="both"/>
        <w:rPr>
          <w:rFonts w:ascii="Arial" w:eastAsia="Calibri" w:hAnsi="Arial" w:cs="Arial"/>
        </w:rPr>
      </w:pPr>
    </w:p>
    <w:p w14:paraId="0DB3E16A" w14:textId="5F92FF73" w:rsidR="00F8394B" w:rsidRPr="003A2F86" w:rsidRDefault="00F8394B">
      <w:pPr>
        <w:pStyle w:val="Odlomakpopisa"/>
        <w:numPr>
          <w:ilvl w:val="0"/>
          <w:numId w:val="45"/>
        </w:numPr>
        <w:rPr>
          <w:rFonts w:ascii="Arial" w:eastAsia="Calibri" w:hAnsi="Arial" w:cs="Arial"/>
          <w:color w:val="FF0000"/>
        </w:rPr>
      </w:pPr>
      <w:r w:rsidRPr="003A2F86">
        <w:rPr>
          <w:rFonts w:ascii="Arial" w:eastAsia="Calibri" w:hAnsi="Arial" w:cs="Arial"/>
        </w:rPr>
        <w:lastRenderedPageBreak/>
        <w:t>Manjak prihoda iz 202</w:t>
      </w:r>
      <w:r w:rsidR="001B6B0A">
        <w:rPr>
          <w:rFonts w:ascii="Arial" w:eastAsia="Calibri" w:hAnsi="Arial" w:cs="Arial"/>
        </w:rPr>
        <w:t>4</w:t>
      </w:r>
      <w:r w:rsidRPr="003A2F86">
        <w:rPr>
          <w:rFonts w:ascii="Arial" w:eastAsia="Calibri" w:hAnsi="Arial" w:cs="Arial"/>
        </w:rPr>
        <w:t>.</w:t>
      </w:r>
      <w:r w:rsidR="00BA73AF">
        <w:rPr>
          <w:rFonts w:ascii="Arial" w:eastAsia="Calibri" w:hAnsi="Arial" w:cs="Arial"/>
        </w:rPr>
        <w:t xml:space="preserve"> </w:t>
      </w:r>
      <w:r w:rsidRPr="003A2F86">
        <w:rPr>
          <w:rFonts w:ascii="Arial" w:eastAsia="Calibri" w:hAnsi="Arial" w:cs="Arial"/>
        </w:rPr>
        <w:t xml:space="preserve">godine je iznosio </w:t>
      </w:r>
      <w:r w:rsidR="00EE5BF4">
        <w:rPr>
          <w:rFonts w:ascii="Arial" w:eastAsia="Calibri" w:hAnsi="Arial" w:cs="Arial"/>
        </w:rPr>
        <w:t>193.337,89</w:t>
      </w:r>
      <w:r w:rsidRPr="003A2F86">
        <w:rPr>
          <w:rFonts w:ascii="Arial" w:eastAsia="Calibri" w:hAnsi="Arial" w:cs="Arial"/>
        </w:rPr>
        <w:t xml:space="preserve"> € i odnosio se najvećim dijelom na obveze za neisplaćenu plaću za mjesec prosinac 202</w:t>
      </w:r>
      <w:r w:rsidR="009E5521">
        <w:rPr>
          <w:rFonts w:ascii="Arial" w:eastAsia="Calibri" w:hAnsi="Arial" w:cs="Arial"/>
        </w:rPr>
        <w:t>4</w:t>
      </w:r>
      <w:r w:rsidRPr="003A2F86">
        <w:rPr>
          <w:rFonts w:ascii="Arial" w:eastAsia="Calibri" w:hAnsi="Arial" w:cs="Arial"/>
        </w:rPr>
        <w:t>. godine</w:t>
      </w:r>
      <w:r w:rsidR="009E5521">
        <w:rPr>
          <w:rFonts w:ascii="Arial" w:eastAsia="Calibri" w:hAnsi="Arial" w:cs="Arial"/>
        </w:rPr>
        <w:t>. Ispravak manjka je izvršen u iznosu 2.125,96 €, te preneseni manjak iz prethodne godine iznosi 191.211,93 €.</w:t>
      </w:r>
    </w:p>
    <w:p w14:paraId="48DB5FE0" w14:textId="7D55D7CF" w:rsidR="00F8394B" w:rsidRPr="003A2F86" w:rsidRDefault="00F8394B">
      <w:pPr>
        <w:pStyle w:val="Odlomakpopisa"/>
        <w:numPr>
          <w:ilvl w:val="0"/>
          <w:numId w:val="45"/>
        </w:numPr>
        <w:rPr>
          <w:rFonts w:ascii="Arial" w:eastAsia="Calibri" w:hAnsi="Arial" w:cs="Arial"/>
        </w:rPr>
      </w:pPr>
      <w:r w:rsidRPr="003A2F86">
        <w:rPr>
          <w:rFonts w:ascii="Arial" w:eastAsia="Calibri" w:hAnsi="Arial" w:cs="Arial"/>
        </w:rPr>
        <w:t xml:space="preserve">Koncem prethodne godine manjak prihoda iz općinskog proračuna iznosio </w:t>
      </w:r>
      <w:r w:rsidRPr="003A2F86">
        <w:rPr>
          <w:rFonts w:ascii="Arial" w:eastAsia="Calibri" w:hAnsi="Arial" w:cs="Arial"/>
          <w:color w:val="000000" w:themeColor="text1"/>
        </w:rPr>
        <w:t xml:space="preserve">je </w:t>
      </w:r>
      <w:r w:rsidR="00BA73AF">
        <w:rPr>
          <w:rFonts w:ascii="Arial" w:eastAsia="Calibri" w:hAnsi="Arial" w:cs="Arial"/>
          <w:color w:val="000000" w:themeColor="text1"/>
        </w:rPr>
        <w:t>216.109,37</w:t>
      </w:r>
      <w:r w:rsidRPr="003A2F86">
        <w:rPr>
          <w:rFonts w:ascii="Arial" w:eastAsia="Calibri" w:hAnsi="Arial" w:cs="Arial"/>
          <w:color w:val="000000" w:themeColor="text1"/>
        </w:rPr>
        <w:t xml:space="preserve"> € (spomenute nepodmirene obveze), dok </w:t>
      </w:r>
      <w:r w:rsidRPr="003A2F86">
        <w:rPr>
          <w:rFonts w:ascii="Arial" w:eastAsia="Calibri" w:hAnsi="Arial" w:cs="Arial"/>
        </w:rPr>
        <w:t>je višak vlastitih sredstava iznosio</w:t>
      </w:r>
      <w:r w:rsidRPr="003A2F86">
        <w:rPr>
          <w:rFonts w:ascii="Arial" w:eastAsia="Calibri" w:hAnsi="Arial" w:cs="Arial"/>
          <w:color w:val="FF0000"/>
        </w:rPr>
        <w:t xml:space="preserve"> </w:t>
      </w:r>
      <w:r w:rsidR="00BA73AF">
        <w:rPr>
          <w:rFonts w:ascii="Arial" w:eastAsia="Calibri" w:hAnsi="Arial" w:cs="Arial"/>
          <w:color w:val="000000" w:themeColor="text1"/>
        </w:rPr>
        <w:t>24.</w:t>
      </w:r>
      <w:r w:rsidR="00280AA8">
        <w:rPr>
          <w:rFonts w:ascii="Arial" w:eastAsia="Calibri" w:hAnsi="Arial" w:cs="Arial"/>
          <w:color w:val="000000" w:themeColor="text1"/>
        </w:rPr>
        <w:t>897,44</w:t>
      </w:r>
      <w:r w:rsidRPr="003A2F86">
        <w:rPr>
          <w:rFonts w:ascii="Arial" w:eastAsia="Calibri" w:hAnsi="Arial" w:cs="Arial"/>
          <w:color w:val="000000" w:themeColor="text1"/>
        </w:rPr>
        <w:t xml:space="preserve"> €, </w:t>
      </w:r>
      <w:r w:rsidRPr="003A2F86">
        <w:rPr>
          <w:rFonts w:ascii="Arial" w:eastAsia="Calibri" w:hAnsi="Arial" w:cs="Arial"/>
        </w:rPr>
        <w:t xml:space="preserve">odnosno sveukupno manjak </w:t>
      </w:r>
      <w:r w:rsidR="00280AA8">
        <w:rPr>
          <w:rFonts w:ascii="Arial" w:eastAsia="Calibri" w:hAnsi="Arial" w:cs="Arial"/>
        </w:rPr>
        <w:t>191.211,93</w:t>
      </w:r>
      <w:r w:rsidRPr="003A2F86">
        <w:rPr>
          <w:rFonts w:ascii="Arial" w:eastAsia="Calibri" w:hAnsi="Arial" w:cs="Arial"/>
        </w:rPr>
        <w:t xml:space="preserve"> €.</w:t>
      </w:r>
    </w:p>
    <w:p w14:paraId="22F9DFFB" w14:textId="77777777" w:rsidR="00F8394B" w:rsidRPr="003A2F86" w:rsidRDefault="00F8394B" w:rsidP="00F8394B">
      <w:pPr>
        <w:spacing w:after="0" w:line="240" w:lineRule="auto"/>
        <w:jc w:val="both"/>
        <w:rPr>
          <w:rFonts w:ascii="Arial" w:eastAsia="Calibri" w:hAnsi="Arial" w:cs="Arial"/>
          <w:sz w:val="20"/>
          <w:szCs w:val="20"/>
        </w:rPr>
      </w:pPr>
    </w:p>
    <w:p w14:paraId="67125E39" w14:textId="1E127D93" w:rsidR="00F8394B" w:rsidRPr="003A2F86" w:rsidRDefault="00F8394B">
      <w:pPr>
        <w:pStyle w:val="Odlomakpopisa"/>
        <w:numPr>
          <w:ilvl w:val="0"/>
          <w:numId w:val="45"/>
        </w:numPr>
        <w:rPr>
          <w:rFonts w:ascii="Arial" w:eastAsia="Calibri" w:hAnsi="Arial" w:cs="Arial"/>
        </w:rPr>
      </w:pPr>
      <w:r w:rsidRPr="003A2F86">
        <w:rPr>
          <w:rFonts w:ascii="Arial" w:eastAsia="Calibri" w:hAnsi="Arial" w:cs="Arial"/>
        </w:rPr>
        <w:t>Ostvareni tekući višak prihoda koncem 202</w:t>
      </w:r>
      <w:r w:rsidR="00280AA8">
        <w:rPr>
          <w:rFonts w:ascii="Arial" w:eastAsia="Calibri" w:hAnsi="Arial" w:cs="Arial"/>
        </w:rPr>
        <w:t>5</w:t>
      </w:r>
      <w:r w:rsidRPr="003A2F86">
        <w:rPr>
          <w:rFonts w:ascii="Arial" w:eastAsia="Calibri" w:hAnsi="Arial" w:cs="Arial"/>
        </w:rPr>
        <w:t xml:space="preserve">. iznosi </w:t>
      </w:r>
      <w:r w:rsidR="00D8624D">
        <w:rPr>
          <w:rFonts w:ascii="Arial" w:eastAsia="Calibri" w:hAnsi="Arial" w:cs="Arial"/>
        </w:rPr>
        <w:t>20.179,41</w:t>
      </w:r>
      <w:r w:rsidRPr="003A2F86">
        <w:rPr>
          <w:rFonts w:ascii="Arial" w:eastAsia="Calibri" w:hAnsi="Arial" w:cs="Arial"/>
        </w:rPr>
        <w:t xml:space="preserve"> €, a s prenesenim manjkom iz prethodne godine u iznosu </w:t>
      </w:r>
      <w:r w:rsidR="00280AA8">
        <w:rPr>
          <w:rFonts w:ascii="Arial" w:eastAsia="Calibri" w:hAnsi="Arial" w:cs="Arial"/>
        </w:rPr>
        <w:t>191.211,93</w:t>
      </w:r>
      <w:r w:rsidRPr="003A2F86">
        <w:rPr>
          <w:rFonts w:ascii="Arial" w:eastAsia="Calibri" w:hAnsi="Arial" w:cs="Arial"/>
        </w:rPr>
        <w:t xml:space="preserve"> € čini manjak prihoda u iznosu </w:t>
      </w:r>
      <w:r w:rsidR="00280AA8">
        <w:rPr>
          <w:rFonts w:ascii="Arial" w:eastAsia="Calibri" w:hAnsi="Arial" w:cs="Arial"/>
        </w:rPr>
        <w:t>-</w:t>
      </w:r>
      <w:r w:rsidR="00D8624D">
        <w:rPr>
          <w:rFonts w:ascii="Arial" w:eastAsia="Calibri" w:hAnsi="Arial" w:cs="Arial"/>
        </w:rPr>
        <w:t>171.032,52</w:t>
      </w:r>
      <w:r w:rsidR="00280AA8">
        <w:rPr>
          <w:rFonts w:ascii="Arial" w:eastAsia="Calibri" w:hAnsi="Arial" w:cs="Arial"/>
        </w:rPr>
        <w:t xml:space="preserve"> </w:t>
      </w:r>
      <w:r w:rsidRPr="003A2F86">
        <w:rPr>
          <w:rFonts w:ascii="Arial" w:eastAsia="Calibri" w:hAnsi="Arial" w:cs="Arial"/>
        </w:rPr>
        <w:t xml:space="preserve">€. U okviru ovog manjka su obveze za plaće za mjesec </w:t>
      </w:r>
      <w:r w:rsidR="00D8624D">
        <w:rPr>
          <w:rFonts w:ascii="Arial" w:eastAsia="Calibri" w:hAnsi="Arial" w:cs="Arial"/>
        </w:rPr>
        <w:t>prosinca</w:t>
      </w:r>
      <w:r w:rsidRPr="003A2F86">
        <w:rPr>
          <w:rFonts w:ascii="Arial" w:eastAsia="Calibri" w:hAnsi="Arial" w:cs="Arial"/>
        </w:rPr>
        <w:t xml:space="preserve"> 202</w:t>
      </w:r>
      <w:r w:rsidR="005E3586">
        <w:rPr>
          <w:rFonts w:ascii="Arial" w:eastAsia="Calibri" w:hAnsi="Arial" w:cs="Arial"/>
        </w:rPr>
        <w:t>5</w:t>
      </w:r>
      <w:r w:rsidRPr="003A2F86">
        <w:rPr>
          <w:rFonts w:ascii="Arial" w:eastAsia="Calibri" w:hAnsi="Arial" w:cs="Arial"/>
        </w:rPr>
        <w:t xml:space="preserve">. za koje se prihodi ostvaruju u mjesecu </w:t>
      </w:r>
      <w:r w:rsidR="00D8624D">
        <w:rPr>
          <w:rFonts w:ascii="Arial" w:eastAsia="Calibri" w:hAnsi="Arial" w:cs="Arial"/>
        </w:rPr>
        <w:t>siječnju</w:t>
      </w:r>
      <w:r w:rsidR="005E3586">
        <w:rPr>
          <w:rFonts w:ascii="Arial" w:eastAsia="Calibri" w:hAnsi="Arial" w:cs="Arial"/>
        </w:rPr>
        <w:t xml:space="preserve"> </w:t>
      </w:r>
      <w:r w:rsidRPr="003A2F86">
        <w:rPr>
          <w:rFonts w:ascii="Arial" w:eastAsia="Calibri" w:hAnsi="Arial" w:cs="Arial"/>
        </w:rPr>
        <w:t>202</w:t>
      </w:r>
      <w:r w:rsidR="00D8624D">
        <w:rPr>
          <w:rFonts w:ascii="Arial" w:eastAsia="Calibri" w:hAnsi="Arial" w:cs="Arial"/>
        </w:rPr>
        <w:t>6</w:t>
      </w:r>
      <w:r w:rsidRPr="003A2F86">
        <w:rPr>
          <w:rFonts w:ascii="Arial" w:eastAsia="Calibri" w:hAnsi="Arial" w:cs="Arial"/>
        </w:rPr>
        <w:t>.</w:t>
      </w:r>
    </w:p>
    <w:p w14:paraId="4BC4964E" w14:textId="77777777" w:rsidR="00E5761E" w:rsidRPr="003A2F86" w:rsidRDefault="00E5761E" w:rsidP="00E5761E">
      <w:pPr>
        <w:spacing w:after="0" w:line="240" w:lineRule="auto"/>
        <w:jc w:val="both"/>
        <w:rPr>
          <w:rFonts w:ascii="Arial" w:eastAsia="Calibri" w:hAnsi="Arial" w:cs="Arial"/>
        </w:rPr>
      </w:pPr>
    </w:p>
    <w:p w14:paraId="04BD8BA7" w14:textId="77777777" w:rsidR="00BE6256" w:rsidRPr="003A2F86" w:rsidRDefault="00BE6256">
      <w:pPr>
        <w:pStyle w:val="Odlomakpopisa"/>
        <w:numPr>
          <w:ilvl w:val="0"/>
          <w:numId w:val="33"/>
        </w:numPr>
        <w:pBdr>
          <w:top w:val="single" w:sz="4" w:space="1" w:color="auto"/>
          <w:left w:val="single" w:sz="4" w:space="0" w:color="auto"/>
          <w:bottom w:val="single" w:sz="4" w:space="1" w:color="auto"/>
          <w:right w:val="single" w:sz="4" w:space="4" w:color="auto"/>
        </w:pBdr>
        <w:ind w:left="3828" w:right="1948" w:hanging="851"/>
        <w:jc w:val="left"/>
        <w:rPr>
          <w:rFonts w:ascii="Arial" w:eastAsia="Calibri" w:hAnsi="Arial" w:cs="Arial"/>
          <w:lang w:eastAsia="hr-HR"/>
        </w:rPr>
      </w:pPr>
      <w:r w:rsidRPr="003A2F86">
        <w:rPr>
          <w:rFonts w:ascii="Arial" w:eastAsia="Calibri" w:hAnsi="Arial" w:cs="Arial"/>
          <w:b/>
        </w:rPr>
        <w:t>Procjena i ishodište potrebnih sredstava za aktivnosti unutar programa</w:t>
      </w:r>
    </w:p>
    <w:p w14:paraId="76A33671" w14:textId="77777777" w:rsidR="00BE6256" w:rsidRPr="003A2F86" w:rsidRDefault="00BE6256" w:rsidP="00BE6256">
      <w:pPr>
        <w:spacing w:after="0" w:line="240" w:lineRule="auto"/>
        <w:rPr>
          <w:rFonts w:ascii="Arial" w:eastAsia="Calibri" w:hAnsi="Arial" w:cs="Arial"/>
        </w:rPr>
      </w:pPr>
    </w:p>
    <w:p w14:paraId="6E6C96C4" w14:textId="5838ABAB" w:rsidR="00BE6256" w:rsidRPr="003A2F86" w:rsidRDefault="00BE6256" w:rsidP="00BE6256">
      <w:pPr>
        <w:spacing w:after="0" w:line="240" w:lineRule="auto"/>
        <w:rPr>
          <w:rFonts w:ascii="Arial" w:eastAsia="Calibri" w:hAnsi="Arial" w:cs="Arial"/>
          <w:sz w:val="20"/>
          <w:szCs w:val="20"/>
        </w:rPr>
      </w:pPr>
      <w:r w:rsidRPr="003A2F86">
        <w:rPr>
          <w:rFonts w:ascii="Arial" w:eastAsia="Calibri" w:hAnsi="Arial" w:cs="Arial"/>
          <w:sz w:val="20"/>
          <w:szCs w:val="20"/>
        </w:rPr>
        <w:t>Izvršenje aktivnosti sadržanih u ovom programu za 2013.-202</w:t>
      </w:r>
      <w:r w:rsidR="005E3586">
        <w:rPr>
          <w:rFonts w:ascii="Arial" w:eastAsia="Calibri" w:hAnsi="Arial" w:cs="Arial"/>
          <w:sz w:val="20"/>
          <w:szCs w:val="20"/>
        </w:rPr>
        <w:t>4</w:t>
      </w:r>
      <w:r w:rsidRPr="003A2F86">
        <w:rPr>
          <w:rFonts w:ascii="Arial" w:eastAsia="Calibri" w:hAnsi="Arial" w:cs="Arial"/>
          <w:sz w:val="20"/>
          <w:szCs w:val="20"/>
        </w:rPr>
        <w:t>., plan za 202</w:t>
      </w:r>
      <w:r w:rsidR="005E3586">
        <w:rPr>
          <w:rFonts w:ascii="Arial" w:eastAsia="Calibri" w:hAnsi="Arial" w:cs="Arial"/>
          <w:sz w:val="20"/>
          <w:szCs w:val="20"/>
        </w:rPr>
        <w:t>5</w:t>
      </w:r>
      <w:r w:rsidRPr="003A2F86">
        <w:rPr>
          <w:rFonts w:ascii="Arial" w:eastAsia="Calibri" w:hAnsi="Arial" w:cs="Arial"/>
          <w:sz w:val="20"/>
          <w:szCs w:val="20"/>
        </w:rPr>
        <w:t>., izvršenje za 202</w:t>
      </w:r>
      <w:r w:rsidR="005E3586">
        <w:rPr>
          <w:rFonts w:ascii="Arial" w:eastAsia="Calibri" w:hAnsi="Arial" w:cs="Arial"/>
          <w:sz w:val="20"/>
          <w:szCs w:val="20"/>
        </w:rPr>
        <w:t>5</w:t>
      </w:r>
      <w:r w:rsidRPr="003A2F86">
        <w:rPr>
          <w:rFonts w:ascii="Arial" w:eastAsia="Calibri" w:hAnsi="Arial" w:cs="Arial"/>
          <w:sz w:val="20"/>
          <w:szCs w:val="20"/>
        </w:rPr>
        <w:t>. i projekcije za 202</w:t>
      </w:r>
      <w:r w:rsidR="005E3586">
        <w:rPr>
          <w:rFonts w:ascii="Arial" w:eastAsia="Calibri" w:hAnsi="Arial" w:cs="Arial"/>
          <w:sz w:val="20"/>
          <w:szCs w:val="20"/>
        </w:rPr>
        <w:t>6</w:t>
      </w:r>
      <w:r w:rsidRPr="003A2F86">
        <w:rPr>
          <w:rFonts w:ascii="Arial" w:eastAsia="Calibri" w:hAnsi="Arial" w:cs="Arial"/>
          <w:sz w:val="20"/>
          <w:szCs w:val="20"/>
        </w:rPr>
        <w:t>.-202</w:t>
      </w:r>
      <w:r w:rsidR="005E3586">
        <w:rPr>
          <w:rFonts w:ascii="Arial" w:eastAsia="Calibri" w:hAnsi="Arial" w:cs="Arial"/>
          <w:sz w:val="20"/>
          <w:szCs w:val="20"/>
        </w:rPr>
        <w:t>7</w:t>
      </w:r>
      <w:r w:rsidRPr="003A2F86">
        <w:rPr>
          <w:rFonts w:ascii="Arial" w:eastAsia="Calibri" w:hAnsi="Arial" w:cs="Arial"/>
          <w:sz w:val="20"/>
          <w:szCs w:val="20"/>
        </w:rPr>
        <w:t xml:space="preserve">. iskazuju se u valuti </w:t>
      </w:r>
      <w:r w:rsidR="00E41537" w:rsidRPr="003A2F86">
        <w:rPr>
          <w:rFonts w:ascii="Arial" w:eastAsia="Calibri" w:hAnsi="Arial" w:cs="Arial"/>
          <w:sz w:val="20"/>
          <w:szCs w:val="20"/>
        </w:rPr>
        <w:t>euro</w:t>
      </w:r>
      <w:r w:rsidRPr="003A2F86">
        <w:rPr>
          <w:rFonts w:ascii="Arial" w:eastAsia="Calibri" w:hAnsi="Arial" w:cs="Arial"/>
          <w:sz w:val="20"/>
          <w:szCs w:val="20"/>
        </w:rPr>
        <w:t xml:space="preserve"> kako slijedi:</w:t>
      </w:r>
    </w:p>
    <w:p w14:paraId="4E35B4C9" w14:textId="77777777" w:rsidR="00E5761E" w:rsidRPr="003A2F86" w:rsidRDefault="00E5761E" w:rsidP="00E5761E">
      <w:pPr>
        <w:spacing w:after="0" w:line="240" w:lineRule="auto"/>
        <w:jc w:val="both"/>
        <w:rPr>
          <w:rFonts w:ascii="Arial" w:eastAsia="Calibri" w:hAnsi="Arial" w:cs="Arial"/>
          <w:sz w:val="20"/>
          <w:szCs w:val="20"/>
        </w:rPr>
      </w:pPr>
    </w:p>
    <w:p w14:paraId="384B8BB1" w14:textId="36CA2299" w:rsidR="00E5761E" w:rsidRPr="003A2F86" w:rsidRDefault="00D8624D" w:rsidP="004C1333">
      <w:pPr>
        <w:spacing w:after="0" w:line="240" w:lineRule="auto"/>
        <w:jc w:val="center"/>
        <w:rPr>
          <w:rFonts w:ascii="Arial" w:eastAsia="Calibri" w:hAnsi="Arial" w:cs="Arial"/>
          <w:sz w:val="20"/>
          <w:szCs w:val="20"/>
        </w:rPr>
      </w:pPr>
      <w:r w:rsidRPr="00D8624D">
        <w:rPr>
          <w:noProof/>
        </w:rPr>
        <w:drawing>
          <wp:inline distT="0" distB="0" distL="0" distR="0" wp14:anchorId="2725D610" wp14:editId="2CA498AD">
            <wp:extent cx="8408644" cy="4167963"/>
            <wp:effectExtent l="0" t="0" r="0" b="4445"/>
            <wp:docPr id="893734606"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8417280" cy="4172243"/>
                    </a:xfrm>
                    <a:prstGeom prst="rect">
                      <a:avLst/>
                    </a:prstGeom>
                    <a:noFill/>
                    <a:ln>
                      <a:noFill/>
                    </a:ln>
                  </pic:spPr>
                </pic:pic>
              </a:graphicData>
            </a:graphic>
          </wp:inline>
        </w:drawing>
      </w:r>
    </w:p>
    <w:p w14:paraId="4E277B18" w14:textId="77777777" w:rsidR="00BE6256" w:rsidRPr="003A2F86" w:rsidRDefault="00BE6256" w:rsidP="00BE6256">
      <w:pPr>
        <w:shd w:val="clear" w:color="auto" w:fill="FFFFFF"/>
        <w:spacing w:after="0" w:line="240" w:lineRule="auto"/>
        <w:jc w:val="right"/>
        <w:rPr>
          <w:rFonts w:ascii="Arial" w:hAnsi="Arial" w:cs="Arial"/>
          <w:sz w:val="20"/>
          <w:szCs w:val="20"/>
        </w:rPr>
      </w:pPr>
      <w:r w:rsidRPr="003A2F86">
        <w:rPr>
          <w:rFonts w:ascii="Arial" w:hAnsi="Arial" w:cs="Arial"/>
          <w:b/>
          <w:sz w:val="20"/>
          <w:szCs w:val="20"/>
        </w:rPr>
        <w:lastRenderedPageBreak/>
        <w:t>RAZLOG ODSTUPANJA OD PROŠLOGODIŠNJIH PROJEKCIJA</w:t>
      </w:r>
      <w:r w:rsidRPr="003A2F86">
        <w:rPr>
          <w:rFonts w:ascii="Arial" w:hAnsi="Arial" w:cs="Arial"/>
          <w:sz w:val="20"/>
          <w:szCs w:val="20"/>
        </w:rPr>
        <w:t xml:space="preserve">: </w:t>
      </w:r>
    </w:p>
    <w:p w14:paraId="5BAA29B9" w14:textId="77777777" w:rsidR="00BE6256" w:rsidRPr="003A2F86" w:rsidRDefault="00BE6256" w:rsidP="00BE6256">
      <w:pPr>
        <w:shd w:val="clear" w:color="auto" w:fill="FFFFFF"/>
        <w:spacing w:after="0" w:line="240" w:lineRule="auto"/>
        <w:jc w:val="right"/>
        <w:rPr>
          <w:rFonts w:ascii="Arial" w:hAnsi="Arial" w:cs="Arial"/>
          <w:sz w:val="20"/>
          <w:szCs w:val="20"/>
        </w:rPr>
      </w:pPr>
      <w:r w:rsidRPr="003A2F86">
        <w:rPr>
          <w:rFonts w:ascii="Arial" w:hAnsi="Arial" w:cs="Arial"/>
          <w:sz w:val="20"/>
          <w:szCs w:val="20"/>
        </w:rPr>
        <w:t>Po navedenom programu nije bilo značajnih odstupanja.</w:t>
      </w:r>
    </w:p>
    <w:p w14:paraId="143DB9BD" w14:textId="77777777" w:rsidR="00E41537" w:rsidRPr="003A2F86" w:rsidRDefault="00E41537" w:rsidP="00BE6256">
      <w:pPr>
        <w:spacing w:after="0" w:line="240" w:lineRule="auto"/>
        <w:rPr>
          <w:rFonts w:ascii="Arial" w:eastAsia="Calibri" w:hAnsi="Arial" w:cs="Arial"/>
          <w:b/>
          <w:sz w:val="20"/>
          <w:szCs w:val="20"/>
        </w:rPr>
      </w:pPr>
    </w:p>
    <w:p w14:paraId="31DB8F3C" w14:textId="7D17C717" w:rsidR="00BE6256" w:rsidRPr="003A2F86" w:rsidRDefault="00BE6256" w:rsidP="00BE6256">
      <w:pPr>
        <w:spacing w:after="0" w:line="240" w:lineRule="auto"/>
        <w:rPr>
          <w:rFonts w:ascii="Arial" w:eastAsia="Calibri" w:hAnsi="Arial" w:cs="Arial"/>
          <w:i/>
          <w:sz w:val="20"/>
          <w:szCs w:val="20"/>
        </w:rPr>
      </w:pPr>
      <w:r w:rsidRPr="003A2F86">
        <w:rPr>
          <w:rFonts w:ascii="Arial" w:eastAsia="Calibri" w:hAnsi="Arial" w:cs="Arial"/>
          <w:b/>
          <w:sz w:val="20"/>
          <w:szCs w:val="20"/>
        </w:rPr>
        <w:t>Ishodište i pokazatelji na kojima se zasnivaju izračuni i ocjene</w:t>
      </w:r>
      <w:r w:rsidRPr="003A2F86">
        <w:rPr>
          <w:rFonts w:ascii="Arial" w:eastAsia="Calibri" w:hAnsi="Arial" w:cs="Arial"/>
          <w:sz w:val="20"/>
          <w:szCs w:val="20"/>
        </w:rPr>
        <w:t xml:space="preserve"> </w:t>
      </w:r>
      <w:r w:rsidRPr="003A2F86">
        <w:rPr>
          <w:rFonts w:ascii="Arial" w:eastAsia="Calibri" w:hAnsi="Arial" w:cs="Arial"/>
          <w:b/>
          <w:sz w:val="20"/>
          <w:szCs w:val="20"/>
        </w:rPr>
        <w:t>potrebnih sredstava za provođenje programa:</w:t>
      </w:r>
      <w:r w:rsidRPr="003A2F86">
        <w:rPr>
          <w:rFonts w:ascii="Arial" w:eastAsia="Calibri" w:hAnsi="Arial" w:cs="Arial"/>
          <w:sz w:val="20"/>
          <w:szCs w:val="20"/>
        </w:rPr>
        <w:t xml:space="preserve"> Planske veličine su određene u predloženim iznosima temeljem ostvarenih ciljeva i postignutih rezultata iz prethodnih godina, te predviđanja promjena u izvršenju ciljeva u narednom razdoblju.</w:t>
      </w:r>
    </w:p>
    <w:p w14:paraId="5C810B95" w14:textId="77777777" w:rsidR="00BE6256" w:rsidRPr="003A2F86" w:rsidRDefault="00BE6256" w:rsidP="00BE6256">
      <w:pPr>
        <w:spacing w:after="0" w:line="240" w:lineRule="auto"/>
        <w:jc w:val="both"/>
        <w:rPr>
          <w:rFonts w:ascii="Arial" w:eastAsia="Calibri" w:hAnsi="Arial" w:cs="Arial"/>
          <w:sz w:val="20"/>
          <w:szCs w:val="20"/>
        </w:rPr>
      </w:pPr>
      <w:r w:rsidRPr="003A2F86">
        <w:rPr>
          <w:rFonts w:ascii="Arial" w:eastAsia="Calibri" w:hAnsi="Arial" w:cs="Arial"/>
          <w:b/>
          <w:sz w:val="20"/>
          <w:szCs w:val="20"/>
        </w:rPr>
        <w:t>Izvještaj o postignutim ciljevima i rezultatima programa temeljenim na pokazateljima uspješnosti u prethodnoj godini</w:t>
      </w:r>
      <w:r w:rsidRPr="003A2F86">
        <w:rPr>
          <w:rFonts w:ascii="Arial" w:eastAsia="Calibri" w:hAnsi="Arial" w:cs="Arial"/>
          <w:sz w:val="20"/>
          <w:szCs w:val="20"/>
        </w:rPr>
        <w:t>: Izvršenje je u okviru očekivanih vrijednosti.</w:t>
      </w:r>
    </w:p>
    <w:p w14:paraId="7CDD422F" w14:textId="77777777" w:rsidR="00BE6256" w:rsidRPr="003A2F86" w:rsidRDefault="00BE6256" w:rsidP="00E5761E">
      <w:pPr>
        <w:autoSpaceDE w:val="0"/>
        <w:autoSpaceDN w:val="0"/>
        <w:adjustRightInd w:val="0"/>
        <w:spacing w:after="0" w:line="240" w:lineRule="auto"/>
        <w:jc w:val="both"/>
        <w:rPr>
          <w:rFonts w:ascii="Arial" w:eastAsia="Calibri" w:hAnsi="Arial" w:cs="Arial"/>
          <w:sz w:val="20"/>
          <w:szCs w:val="20"/>
        </w:rPr>
      </w:pPr>
    </w:p>
    <w:p w14:paraId="20BA2CB6" w14:textId="27FFC843" w:rsidR="00E41537" w:rsidRPr="003A2F86" w:rsidRDefault="00E41537" w:rsidP="00E41537">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Ustanova Dječji vrtići Konavle, kao proračunski korisnik Općine, prema predanim financijskim izvještajima za siječanj – </w:t>
      </w:r>
      <w:r w:rsidR="00D8624D">
        <w:rPr>
          <w:rFonts w:ascii="Arial" w:eastAsia="Calibri" w:hAnsi="Arial" w:cs="Arial"/>
          <w:sz w:val="20"/>
          <w:szCs w:val="20"/>
        </w:rPr>
        <w:t>prosinac</w:t>
      </w:r>
      <w:r w:rsidRPr="003A2F86">
        <w:rPr>
          <w:rFonts w:ascii="Arial" w:eastAsia="Calibri" w:hAnsi="Arial" w:cs="Arial"/>
          <w:sz w:val="20"/>
          <w:szCs w:val="20"/>
        </w:rPr>
        <w:t xml:space="preserve"> 202</w:t>
      </w:r>
      <w:r w:rsidR="0094447A">
        <w:rPr>
          <w:rFonts w:ascii="Arial" w:eastAsia="Calibri" w:hAnsi="Arial" w:cs="Arial"/>
          <w:sz w:val="20"/>
          <w:szCs w:val="20"/>
        </w:rPr>
        <w:t>5</w:t>
      </w:r>
      <w:r w:rsidRPr="003A2F86">
        <w:rPr>
          <w:rFonts w:ascii="Arial" w:eastAsia="Calibri" w:hAnsi="Arial" w:cs="Arial"/>
          <w:sz w:val="20"/>
          <w:szCs w:val="20"/>
        </w:rPr>
        <w:t xml:space="preserve">. izvršila je rashode u ukupnom iznosu </w:t>
      </w:r>
      <w:r w:rsidR="00D8624D">
        <w:rPr>
          <w:rFonts w:ascii="Arial" w:eastAsia="Calibri" w:hAnsi="Arial" w:cs="Arial"/>
          <w:sz w:val="20"/>
          <w:szCs w:val="20"/>
        </w:rPr>
        <w:t>3.339.039,90</w:t>
      </w:r>
      <w:r w:rsidRPr="003A2F86">
        <w:rPr>
          <w:rFonts w:ascii="Arial" w:eastAsia="Calibri" w:hAnsi="Arial" w:cs="Arial"/>
          <w:sz w:val="20"/>
          <w:szCs w:val="20"/>
        </w:rPr>
        <w:t xml:space="preserve"> €, a prihode u iznosu </w:t>
      </w:r>
      <w:r w:rsidR="00975968">
        <w:rPr>
          <w:rFonts w:ascii="Arial" w:eastAsia="Calibri" w:hAnsi="Arial" w:cs="Arial"/>
          <w:sz w:val="20"/>
          <w:szCs w:val="20"/>
        </w:rPr>
        <w:t>3.359.219,31</w:t>
      </w:r>
      <w:r w:rsidRPr="003A2F86">
        <w:rPr>
          <w:rFonts w:ascii="Arial" w:eastAsia="Calibri" w:hAnsi="Arial" w:cs="Arial"/>
          <w:sz w:val="20"/>
          <w:szCs w:val="20"/>
        </w:rPr>
        <w:t xml:space="preserve"> €. Tekući </w:t>
      </w:r>
      <w:r w:rsidR="00507DAA">
        <w:rPr>
          <w:rFonts w:ascii="Arial" w:eastAsia="Calibri" w:hAnsi="Arial" w:cs="Arial"/>
          <w:sz w:val="20"/>
          <w:szCs w:val="20"/>
        </w:rPr>
        <w:t>višak</w:t>
      </w:r>
      <w:r w:rsidRPr="003A2F86">
        <w:rPr>
          <w:rFonts w:ascii="Arial" w:eastAsia="Calibri" w:hAnsi="Arial" w:cs="Arial"/>
          <w:sz w:val="20"/>
          <w:szCs w:val="20"/>
        </w:rPr>
        <w:t xml:space="preserve"> prihoda iznosi </w:t>
      </w:r>
      <w:r w:rsidR="00975968">
        <w:rPr>
          <w:rFonts w:ascii="Arial" w:eastAsia="Calibri" w:hAnsi="Arial" w:cs="Arial"/>
          <w:sz w:val="20"/>
          <w:szCs w:val="20"/>
        </w:rPr>
        <w:t>20.179,41</w:t>
      </w:r>
      <w:r w:rsidRPr="003A2F86">
        <w:rPr>
          <w:rFonts w:ascii="Arial" w:eastAsia="Calibri" w:hAnsi="Arial" w:cs="Arial"/>
          <w:sz w:val="20"/>
          <w:szCs w:val="20"/>
        </w:rPr>
        <w:t xml:space="preserve"> €. Preneseni manjak iznosi -</w:t>
      </w:r>
      <w:r w:rsidR="00905468">
        <w:rPr>
          <w:rFonts w:ascii="Arial" w:eastAsia="Calibri" w:hAnsi="Arial" w:cs="Arial"/>
          <w:sz w:val="20"/>
          <w:szCs w:val="20"/>
        </w:rPr>
        <w:t>191.211,93</w:t>
      </w:r>
      <w:r w:rsidRPr="003A2F86">
        <w:rPr>
          <w:rFonts w:ascii="Arial" w:eastAsia="Calibri" w:hAnsi="Arial" w:cs="Arial"/>
          <w:sz w:val="20"/>
          <w:szCs w:val="20"/>
        </w:rPr>
        <w:t xml:space="preserve"> €. Manjak prihoda i primitaka za pokriće u slijedećem razdoblju iznosi -</w:t>
      </w:r>
      <w:r w:rsidR="00975968">
        <w:rPr>
          <w:rFonts w:ascii="Arial" w:eastAsia="Calibri" w:hAnsi="Arial" w:cs="Arial"/>
          <w:sz w:val="20"/>
          <w:szCs w:val="20"/>
        </w:rPr>
        <w:t>171.032,52</w:t>
      </w:r>
      <w:r w:rsidRPr="003A2F86">
        <w:rPr>
          <w:rFonts w:ascii="Arial" w:eastAsia="Calibri" w:hAnsi="Arial" w:cs="Arial"/>
          <w:sz w:val="20"/>
          <w:szCs w:val="20"/>
        </w:rPr>
        <w:t xml:space="preserve"> €.</w:t>
      </w:r>
    </w:p>
    <w:p w14:paraId="54D24EAB" w14:textId="77777777" w:rsidR="00E41537" w:rsidRPr="003A2F86" w:rsidRDefault="00E41537" w:rsidP="00E41537">
      <w:pPr>
        <w:autoSpaceDE w:val="0"/>
        <w:autoSpaceDN w:val="0"/>
        <w:adjustRightInd w:val="0"/>
        <w:spacing w:after="0" w:line="240" w:lineRule="auto"/>
        <w:jc w:val="both"/>
        <w:rPr>
          <w:rFonts w:ascii="Arial" w:eastAsia="Calibri" w:hAnsi="Arial" w:cs="Arial"/>
          <w:sz w:val="20"/>
          <w:szCs w:val="20"/>
        </w:rPr>
      </w:pPr>
    </w:p>
    <w:p w14:paraId="6B86F623" w14:textId="11248095" w:rsidR="000257B5" w:rsidRPr="000257B5" w:rsidRDefault="000257B5" w:rsidP="000257B5">
      <w:pPr>
        <w:spacing w:after="0" w:line="240" w:lineRule="auto"/>
        <w:jc w:val="both"/>
        <w:rPr>
          <w:rFonts w:ascii="Arial" w:eastAsia="Calibri" w:hAnsi="Arial" w:cs="Arial"/>
          <w:sz w:val="20"/>
          <w:szCs w:val="20"/>
        </w:rPr>
      </w:pPr>
      <w:r w:rsidRPr="000257B5">
        <w:rPr>
          <w:rFonts w:ascii="Arial" w:eastAsia="Calibri" w:hAnsi="Arial" w:cs="Arial"/>
          <w:b/>
          <w:bCs/>
          <w:sz w:val="20"/>
          <w:szCs w:val="20"/>
        </w:rPr>
        <w:t>Stanje nenaplaćenih potraživanja</w:t>
      </w:r>
      <w:r w:rsidRPr="000257B5">
        <w:rPr>
          <w:rFonts w:ascii="Arial" w:eastAsia="Calibri" w:hAnsi="Arial" w:cs="Arial"/>
          <w:sz w:val="20"/>
          <w:szCs w:val="20"/>
        </w:rPr>
        <w:t xml:space="preserve"> na dan </w:t>
      </w:r>
      <w:r w:rsidR="00975968">
        <w:rPr>
          <w:rFonts w:ascii="Arial" w:eastAsia="Calibri" w:hAnsi="Arial" w:cs="Arial"/>
          <w:sz w:val="20"/>
          <w:szCs w:val="20"/>
        </w:rPr>
        <w:t>31.12.2025</w:t>
      </w:r>
      <w:r w:rsidRPr="000257B5">
        <w:rPr>
          <w:rFonts w:ascii="Arial" w:eastAsia="Calibri" w:hAnsi="Arial" w:cs="Arial"/>
          <w:sz w:val="20"/>
          <w:szCs w:val="20"/>
        </w:rPr>
        <w:t xml:space="preserve">. godine ukupno iznose </w:t>
      </w:r>
      <w:r w:rsidR="00975968">
        <w:rPr>
          <w:rFonts w:ascii="Arial" w:eastAsia="Calibri" w:hAnsi="Arial" w:cs="Arial"/>
          <w:sz w:val="20"/>
          <w:szCs w:val="20"/>
        </w:rPr>
        <w:t>141.721,83</w:t>
      </w:r>
      <w:r w:rsidRPr="000257B5">
        <w:rPr>
          <w:rFonts w:ascii="Arial" w:eastAsia="Calibri" w:hAnsi="Arial" w:cs="Arial"/>
          <w:sz w:val="20"/>
          <w:szCs w:val="20"/>
        </w:rPr>
        <w:t xml:space="preserve"> € od čega se </w:t>
      </w:r>
      <w:r w:rsidR="00975968">
        <w:rPr>
          <w:rFonts w:ascii="Arial" w:eastAsia="Calibri" w:hAnsi="Arial" w:cs="Arial"/>
          <w:sz w:val="20"/>
          <w:szCs w:val="20"/>
        </w:rPr>
        <w:t>85.165</w:t>
      </w:r>
      <w:r w:rsidRPr="000257B5">
        <w:rPr>
          <w:rFonts w:ascii="Arial" w:eastAsia="Calibri" w:hAnsi="Arial" w:cs="Arial"/>
          <w:sz w:val="20"/>
          <w:szCs w:val="20"/>
        </w:rPr>
        <w:t xml:space="preserve"> € odnosi na potraživanja od Općine za naplaćene proračunske prihode. Potraživanje za naknade bolovanja koje se refundiraju preko HZZO-a iznosi </w:t>
      </w:r>
      <w:r w:rsidR="00975968">
        <w:rPr>
          <w:rFonts w:ascii="Arial" w:eastAsia="Calibri" w:hAnsi="Arial" w:cs="Arial"/>
          <w:sz w:val="20"/>
          <w:szCs w:val="20"/>
        </w:rPr>
        <w:t>18.078,08</w:t>
      </w:r>
      <w:r w:rsidRPr="000257B5">
        <w:rPr>
          <w:rFonts w:ascii="Arial" w:eastAsia="Calibri" w:hAnsi="Arial" w:cs="Arial"/>
          <w:sz w:val="20"/>
          <w:szCs w:val="20"/>
        </w:rPr>
        <w:t xml:space="preserve"> €, potraživanja za više plaćene poreze i doprinose </w:t>
      </w:r>
      <w:r w:rsidR="005F4F74">
        <w:rPr>
          <w:rFonts w:ascii="Arial" w:eastAsia="Calibri" w:hAnsi="Arial" w:cs="Arial"/>
          <w:sz w:val="20"/>
          <w:szCs w:val="20"/>
        </w:rPr>
        <w:t>0</w:t>
      </w:r>
      <w:r w:rsidRPr="000257B5">
        <w:rPr>
          <w:rFonts w:ascii="Arial" w:eastAsia="Calibri" w:hAnsi="Arial" w:cs="Arial"/>
          <w:sz w:val="20"/>
          <w:szCs w:val="20"/>
        </w:rPr>
        <w:t xml:space="preserve"> €, a potraživanja od uplate roditelja za sufinanciranje cijene programa iznosi </w:t>
      </w:r>
      <w:r w:rsidR="00975968">
        <w:rPr>
          <w:rFonts w:ascii="Arial" w:eastAsia="Calibri" w:hAnsi="Arial" w:cs="Arial"/>
          <w:sz w:val="20"/>
          <w:szCs w:val="20"/>
        </w:rPr>
        <w:t>35.462,75</w:t>
      </w:r>
      <w:r w:rsidRPr="000257B5">
        <w:rPr>
          <w:rFonts w:ascii="Arial" w:eastAsia="Calibri" w:hAnsi="Arial" w:cs="Arial"/>
          <w:sz w:val="20"/>
          <w:szCs w:val="20"/>
        </w:rPr>
        <w:t xml:space="preserve"> €, potraživanja za pružene usluge prehrane iznose </w:t>
      </w:r>
      <w:r w:rsidR="00975968">
        <w:rPr>
          <w:rFonts w:ascii="Arial" w:eastAsia="Calibri" w:hAnsi="Arial" w:cs="Arial"/>
          <w:sz w:val="20"/>
          <w:szCs w:val="20"/>
        </w:rPr>
        <w:t>3.016</w:t>
      </w:r>
      <w:r w:rsidRPr="000257B5">
        <w:rPr>
          <w:rFonts w:ascii="Arial" w:eastAsia="Calibri" w:hAnsi="Arial" w:cs="Arial"/>
          <w:sz w:val="20"/>
          <w:szCs w:val="20"/>
        </w:rPr>
        <w:t xml:space="preserve"> €. </w:t>
      </w:r>
    </w:p>
    <w:p w14:paraId="339D8ADC" w14:textId="77777777" w:rsidR="000257B5" w:rsidRPr="000257B5" w:rsidRDefault="000257B5" w:rsidP="000257B5">
      <w:pPr>
        <w:spacing w:after="0" w:line="240" w:lineRule="auto"/>
        <w:jc w:val="both"/>
        <w:rPr>
          <w:rFonts w:ascii="Arial" w:eastAsia="Calibri" w:hAnsi="Arial" w:cs="Arial"/>
          <w:sz w:val="20"/>
          <w:szCs w:val="20"/>
        </w:rPr>
      </w:pPr>
    </w:p>
    <w:p w14:paraId="3DE4F45C" w14:textId="0EB567CC" w:rsidR="000257B5" w:rsidRPr="000257B5" w:rsidRDefault="000257B5" w:rsidP="000257B5">
      <w:pPr>
        <w:spacing w:after="0" w:line="240" w:lineRule="auto"/>
        <w:jc w:val="both"/>
        <w:rPr>
          <w:rFonts w:ascii="Arial" w:eastAsia="Calibri" w:hAnsi="Arial" w:cs="Arial"/>
          <w:sz w:val="20"/>
          <w:szCs w:val="20"/>
        </w:rPr>
      </w:pPr>
      <w:r w:rsidRPr="000257B5">
        <w:rPr>
          <w:rFonts w:ascii="Arial" w:eastAsia="Calibri" w:hAnsi="Arial" w:cs="Arial"/>
          <w:b/>
          <w:bCs/>
          <w:sz w:val="20"/>
          <w:szCs w:val="20"/>
        </w:rPr>
        <w:t>Stanje nepodmirenih obveza</w:t>
      </w:r>
      <w:r w:rsidRPr="000257B5">
        <w:rPr>
          <w:rFonts w:ascii="Arial" w:eastAsia="Calibri" w:hAnsi="Arial" w:cs="Arial"/>
          <w:sz w:val="20"/>
          <w:szCs w:val="20"/>
        </w:rPr>
        <w:t xml:space="preserve"> na dan </w:t>
      </w:r>
      <w:r w:rsidR="00975968">
        <w:rPr>
          <w:rFonts w:ascii="Arial" w:eastAsia="Calibri" w:hAnsi="Arial" w:cs="Arial"/>
          <w:sz w:val="20"/>
          <w:szCs w:val="20"/>
        </w:rPr>
        <w:t>31.12.2025</w:t>
      </w:r>
      <w:r w:rsidRPr="000257B5">
        <w:rPr>
          <w:rFonts w:ascii="Arial" w:eastAsia="Calibri" w:hAnsi="Arial" w:cs="Arial"/>
          <w:sz w:val="20"/>
          <w:szCs w:val="20"/>
        </w:rPr>
        <w:t xml:space="preserve">. iznosi </w:t>
      </w:r>
      <w:r w:rsidR="00975968">
        <w:rPr>
          <w:rFonts w:ascii="Arial" w:eastAsia="Calibri" w:hAnsi="Arial" w:cs="Arial"/>
          <w:sz w:val="20"/>
          <w:szCs w:val="20"/>
        </w:rPr>
        <w:t>274.275</w:t>
      </w:r>
      <w:r w:rsidRPr="000257B5">
        <w:rPr>
          <w:rFonts w:ascii="Arial" w:eastAsia="Calibri" w:hAnsi="Arial" w:cs="Arial"/>
          <w:sz w:val="20"/>
          <w:szCs w:val="20"/>
        </w:rPr>
        <w:t xml:space="preserve"> € i odnosi se na nedospjele obveze koje će se podmiriti sa datumima dospijeća računa. Vrijednosno najznačajnije obveze se odnose na plaće za zaposlene za </w:t>
      </w:r>
      <w:r w:rsidR="00975968">
        <w:rPr>
          <w:rFonts w:ascii="Arial" w:eastAsia="Calibri" w:hAnsi="Arial" w:cs="Arial"/>
          <w:sz w:val="20"/>
          <w:szCs w:val="20"/>
        </w:rPr>
        <w:t>prosinac</w:t>
      </w:r>
      <w:r w:rsidRPr="000257B5">
        <w:rPr>
          <w:rFonts w:ascii="Arial" w:eastAsia="Calibri" w:hAnsi="Arial" w:cs="Arial"/>
          <w:sz w:val="20"/>
          <w:szCs w:val="20"/>
        </w:rPr>
        <w:t xml:space="preserve"> 202</w:t>
      </w:r>
      <w:r w:rsidR="00A45EC9">
        <w:rPr>
          <w:rFonts w:ascii="Arial" w:eastAsia="Calibri" w:hAnsi="Arial" w:cs="Arial"/>
          <w:sz w:val="20"/>
          <w:szCs w:val="20"/>
        </w:rPr>
        <w:t>5</w:t>
      </w:r>
      <w:r w:rsidRPr="000257B5">
        <w:rPr>
          <w:rFonts w:ascii="Arial" w:eastAsia="Calibri" w:hAnsi="Arial" w:cs="Arial"/>
          <w:sz w:val="20"/>
          <w:szCs w:val="20"/>
        </w:rPr>
        <w:t xml:space="preserve">. u iznosu </w:t>
      </w:r>
      <w:r w:rsidR="00975968">
        <w:rPr>
          <w:rFonts w:ascii="Arial" w:eastAsia="Calibri" w:hAnsi="Arial" w:cs="Arial"/>
          <w:sz w:val="20"/>
          <w:szCs w:val="20"/>
        </w:rPr>
        <w:t>230.280,24</w:t>
      </w:r>
      <w:r w:rsidRPr="000257B5">
        <w:rPr>
          <w:rFonts w:ascii="Arial" w:eastAsia="Calibri" w:hAnsi="Arial" w:cs="Arial"/>
          <w:sz w:val="20"/>
          <w:szCs w:val="20"/>
        </w:rPr>
        <w:t xml:space="preserve"> €. Obveze za materijalne rashode iznose </w:t>
      </w:r>
      <w:r w:rsidR="00975968">
        <w:rPr>
          <w:rFonts w:ascii="Arial" w:eastAsia="Calibri" w:hAnsi="Arial" w:cs="Arial"/>
          <w:sz w:val="20"/>
          <w:szCs w:val="20"/>
        </w:rPr>
        <w:t>36.523,61</w:t>
      </w:r>
      <w:r w:rsidRPr="000257B5">
        <w:rPr>
          <w:rFonts w:ascii="Arial" w:eastAsia="Calibri" w:hAnsi="Arial" w:cs="Arial"/>
          <w:sz w:val="20"/>
          <w:szCs w:val="20"/>
        </w:rPr>
        <w:t xml:space="preserve"> €, od čega naknade za prijevoz zaposlenih </w:t>
      </w:r>
      <w:r w:rsidR="00975968">
        <w:rPr>
          <w:rFonts w:ascii="Arial" w:eastAsia="Calibri" w:hAnsi="Arial" w:cs="Arial"/>
          <w:sz w:val="20"/>
          <w:szCs w:val="20"/>
        </w:rPr>
        <w:t>9.019,75</w:t>
      </w:r>
      <w:r w:rsidRPr="000257B5">
        <w:rPr>
          <w:rFonts w:ascii="Arial" w:eastAsia="Calibri" w:hAnsi="Arial" w:cs="Arial"/>
          <w:sz w:val="20"/>
          <w:szCs w:val="20"/>
        </w:rPr>
        <w:t xml:space="preserve"> €.</w:t>
      </w:r>
    </w:p>
    <w:p w14:paraId="137F507B" w14:textId="77777777" w:rsidR="000257B5" w:rsidRPr="000257B5" w:rsidRDefault="000257B5" w:rsidP="000257B5">
      <w:pPr>
        <w:spacing w:after="0" w:line="240" w:lineRule="auto"/>
        <w:jc w:val="both"/>
        <w:rPr>
          <w:rFonts w:ascii="Arial" w:eastAsia="Calibri" w:hAnsi="Arial" w:cs="Arial"/>
          <w:sz w:val="20"/>
          <w:szCs w:val="20"/>
        </w:rPr>
      </w:pPr>
    </w:p>
    <w:p w14:paraId="163F371C" w14:textId="77777777" w:rsidR="000257B5" w:rsidRPr="000257B5" w:rsidRDefault="000257B5" w:rsidP="000257B5">
      <w:pPr>
        <w:autoSpaceDE w:val="0"/>
        <w:autoSpaceDN w:val="0"/>
        <w:adjustRightInd w:val="0"/>
        <w:spacing w:after="0" w:line="240" w:lineRule="auto"/>
        <w:jc w:val="both"/>
        <w:rPr>
          <w:rFonts w:ascii="Arial" w:eastAsia="Calibri" w:hAnsi="Arial" w:cs="Arial"/>
          <w:sz w:val="20"/>
          <w:szCs w:val="20"/>
        </w:rPr>
      </w:pPr>
      <w:r w:rsidRPr="000257B5">
        <w:rPr>
          <w:rFonts w:ascii="Arial" w:eastAsia="Calibri" w:hAnsi="Arial" w:cs="Arial"/>
          <w:sz w:val="20"/>
          <w:szCs w:val="20"/>
        </w:rPr>
        <w:t>Dječji vrtić Konavle nema danih niti primljenih zajmova (kredita).</w:t>
      </w:r>
    </w:p>
    <w:p w14:paraId="1231D809" w14:textId="77777777" w:rsidR="000257B5" w:rsidRPr="000257B5" w:rsidRDefault="000257B5" w:rsidP="000257B5">
      <w:pPr>
        <w:spacing w:after="0" w:line="240" w:lineRule="auto"/>
        <w:jc w:val="both"/>
        <w:rPr>
          <w:rFonts w:ascii="Arial" w:eastAsia="Calibri" w:hAnsi="Arial" w:cs="Arial"/>
          <w:sz w:val="20"/>
          <w:szCs w:val="20"/>
        </w:rPr>
      </w:pPr>
    </w:p>
    <w:p w14:paraId="1D3980DA" w14:textId="77777777" w:rsidR="000257B5" w:rsidRPr="000257B5" w:rsidRDefault="000257B5" w:rsidP="000257B5">
      <w:pPr>
        <w:spacing w:after="0" w:line="240" w:lineRule="auto"/>
        <w:jc w:val="both"/>
        <w:rPr>
          <w:rFonts w:ascii="Arial" w:eastAsia="Calibri" w:hAnsi="Arial" w:cs="Arial"/>
          <w:sz w:val="20"/>
          <w:szCs w:val="20"/>
        </w:rPr>
      </w:pPr>
      <w:r w:rsidRPr="000257B5">
        <w:rPr>
          <w:rFonts w:ascii="Arial" w:eastAsia="Calibri" w:hAnsi="Arial" w:cs="Arial"/>
          <w:sz w:val="20"/>
          <w:szCs w:val="20"/>
        </w:rPr>
        <w:t>Ustanova Dječji vrtić Konavle nema poznatih rizika niti potencijalnih obveza na osnovi sudskih ili bilo kakvih drugih sporova i odnosa sa dobavljačima i korisnicima usluga.</w:t>
      </w:r>
    </w:p>
    <w:p w14:paraId="4210EBC9" w14:textId="77777777" w:rsidR="000257B5" w:rsidRPr="000257B5" w:rsidRDefault="000257B5" w:rsidP="000257B5">
      <w:pPr>
        <w:spacing w:after="0" w:line="240" w:lineRule="auto"/>
        <w:jc w:val="both"/>
        <w:rPr>
          <w:rFonts w:ascii="Arial" w:eastAsia="Calibri" w:hAnsi="Arial" w:cs="Arial"/>
          <w:sz w:val="20"/>
          <w:szCs w:val="20"/>
        </w:rPr>
      </w:pPr>
    </w:p>
    <w:p w14:paraId="1C874953" w14:textId="7B2AC0F3" w:rsidR="000257B5" w:rsidRPr="003A2F86" w:rsidRDefault="00E41537" w:rsidP="000257B5">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b/>
          <w:bCs/>
          <w:sz w:val="20"/>
          <w:szCs w:val="20"/>
        </w:rPr>
        <w:t>Stanje novčanih sredstava na računu Dječjeg vrtića Konavle</w:t>
      </w:r>
      <w:r w:rsidRPr="003A2F86">
        <w:rPr>
          <w:rFonts w:ascii="Arial" w:eastAsia="Calibri" w:hAnsi="Arial" w:cs="Arial"/>
          <w:sz w:val="20"/>
          <w:szCs w:val="20"/>
        </w:rPr>
        <w:t xml:space="preserve"> – Dječji vrtić Konavle nema žiro račun, u sustavu je riznice</w:t>
      </w:r>
      <w:r w:rsidR="000257B5">
        <w:rPr>
          <w:rFonts w:ascii="Arial" w:eastAsia="Calibri" w:hAnsi="Arial" w:cs="Arial"/>
          <w:sz w:val="20"/>
          <w:szCs w:val="20"/>
        </w:rPr>
        <w:t xml:space="preserve">. </w:t>
      </w:r>
      <w:r w:rsidR="000257B5" w:rsidRPr="003A2F86">
        <w:rPr>
          <w:rFonts w:ascii="Arial" w:eastAsia="Calibri" w:hAnsi="Arial" w:cs="Arial"/>
          <w:sz w:val="20"/>
          <w:szCs w:val="20"/>
        </w:rPr>
        <w:t xml:space="preserve">Vlastita sredstva na dan </w:t>
      </w:r>
      <w:r w:rsidR="00975968">
        <w:rPr>
          <w:rFonts w:ascii="Arial" w:eastAsia="Calibri" w:hAnsi="Arial" w:cs="Arial"/>
          <w:sz w:val="20"/>
          <w:szCs w:val="20"/>
        </w:rPr>
        <w:t>31.12</w:t>
      </w:r>
      <w:r w:rsidR="001C65F4">
        <w:rPr>
          <w:rFonts w:ascii="Arial" w:eastAsia="Calibri" w:hAnsi="Arial" w:cs="Arial"/>
          <w:sz w:val="20"/>
          <w:szCs w:val="20"/>
        </w:rPr>
        <w:t>.2025</w:t>
      </w:r>
      <w:r w:rsidR="000257B5" w:rsidRPr="003A2F86">
        <w:rPr>
          <w:rFonts w:ascii="Arial" w:eastAsia="Calibri" w:hAnsi="Arial" w:cs="Arial"/>
          <w:sz w:val="20"/>
          <w:szCs w:val="20"/>
        </w:rPr>
        <w:t xml:space="preserve">. (iskazano na računu računskog plana 16721 – potraživanja za prihode proračunskih korisnika) na žiro računu Općine iznose </w:t>
      </w:r>
      <w:r w:rsidR="00975968">
        <w:rPr>
          <w:rFonts w:ascii="Arial" w:eastAsia="Calibri" w:hAnsi="Arial" w:cs="Arial"/>
          <w:bCs/>
          <w:sz w:val="20"/>
          <w:szCs w:val="20"/>
        </w:rPr>
        <w:t>85.165</w:t>
      </w:r>
      <w:r w:rsidR="000257B5" w:rsidRPr="003A2F86">
        <w:rPr>
          <w:rFonts w:ascii="Arial" w:eastAsia="Calibri" w:hAnsi="Arial" w:cs="Arial"/>
          <w:bCs/>
          <w:sz w:val="20"/>
          <w:szCs w:val="20"/>
        </w:rPr>
        <w:t xml:space="preserve"> €.</w:t>
      </w:r>
      <w:r w:rsidR="000257B5" w:rsidRPr="003A2F86">
        <w:rPr>
          <w:rFonts w:ascii="Arial" w:eastAsia="Calibri" w:hAnsi="Arial" w:cs="Arial"/>
          <w:sz w:val="20"/>
          <w:szCs w:val="20"/>
        </w:rPr>
        <w:t xml:space="preserve"> Navedenim sredstvima proračunski korisnik raspolaže prema vlastitom financijskom planu uz potrebu najave Upravnom odjelu za proračun i financije, te otvaranje potrebnih aktivnosti i pozicija u proračunu. </w:t>
      </w:r>
    </w:p>
    <w:p w14:paraId="04D11BFF" w14:textId="77777777" w:rsidR="00E41537" w:rsidRPr="003A2F86" w:rsidRDefault="00E41537" w:rsidP="00E41537">
      <w:pPr>
        <w:spacing w:after="0" w:line="240" w:lineRule="auto"/>
        <w:jc w:val="both"/>
        <w:rPr>
          <w:rFonts w:ascii="Arial" w:eastAsia="Calibri" w:hAnsi="Arial" w:cs="Arial"/>
          <w:sz w:val="20"/>
          <w:szCs w:val="20"/>
        </w:rPr>
      </w:pPr>
    </w:p>
    <w:p w14:paraId="652BAA89" w14:textId="5DB4AFC6" w:rsidR="00E41537" w:rsidRPr="003A2F86" w:rsidRDefault="00E41537" w:rsidP="00E41537">
      <w:pPr>
        <w:spacing w:after="0" w:line="240" w:lineRule="auto"/>
        <w:jc w:val="both"/>
        <w:rPr>
          <w:rFonts w:ascii="Arial" w:eastAsia="Calibri" w:hAnsi="Arial" w:cs="Arial"/>
          <w:sz w:val="20"/>
          <w:szCs w:val="20"/>
        </w:rPr>
      </w:pPr>
      <w:r w:rsidRPr="003A2F86">
        <w:rPr>
          <w:rFonts w:ascii="Arial" w:eastAsia="Calibri" w:hAnsi="Arial" w:cs="Arial"/>
          <w:b/>
          <w:bCs/>
          <w:sz w:val="20"/>
          <w:szCs w:val="20"/>
        </w:rPr>
        <w:t xml:space="preserve">Izvještaj o zaduživanju na domaćem i stranom tržištu novca i kapitala – </w:t>
      </w:r>
      <w:r w:rsidRPr="003A2F86">
        <w:rPr>
          <w:rFonts w:ascii="Arial" w:eastAsia="Calibri" w:hAnsi="Arial" w:cs="Arial"/>
          <w:sz w:val="20"/>
          <w:szCs w:val="20"/>
        </w:rPr>
        <w:t xml:space="preserve">Dječji vrtić Konavle nema </w:t>
      </w:r>
      <w:r w:rsidR="000257B5" w:rsidRPr="000257B5">
        <w:rPr>
          <w:rFonts w:ascii="Arial" w:eastAsia="Calibri" w:hAnsi="Arial" w:cs="Arial"/>
          <w:sz w:val="20"/>
          <w:szCs w:val="20"/>
        </w:rPr>
        <w:t>danih niti primljenih zajmova (kredita).</w:t>
      </w:r>
    </w:p>
    <w:p w14:paraId="233F7E8C" w14:textId="77777777" w:rsidR="00E41537" w:rsidRPr="003A2F86" w:rsidRDefault="00E41537" w:rsidP="00E5761E">
      <w:pPr>
        <w:spacing w:after="0" w:line="240" w:lineRule="auto"/>
        <w:jc w:val="both"/>
        <w:rPr>
          <w:rFonts w:ascii="Arial" w:eastAsia="Calibri" w:hAnsi="Arial" w:cs="Arial"/>
          <w:sz w:val="20"/>
          <w:szCs w:val="20"/>
        </w:rPr>
      </w:pPr>
    </w:p>
    <w:p w14:paraId="44CB208A" w14:textId="53202BE2" w:rsidR="00BB68FB" w:rsidRPr="000257B5" w:rsidRDefault="00BB68FB" w:rsidP="00BB68FB">
      <w:pPr>
        <w:autoSpaceDE w:val="0"/>
        <w:autoSpaceDN w:val="0"/>
        <w:adjustRightInd w:val="0"/>
        <w:spacing w:after="0" w:line="240" w:lineRule="auto"/>
        <w:rPr>
          <w:rFonts w:ascii="Arial" w:eastAsia="Calibri" w:hAnsi="Arial" w:cs="Arial"/>
          <w:sz w:val="20"/>
          <w:szCs w:val="20"/>
        </w:rPr>
      </w:pPr>
      <w:r w:rsidRPr="000257B5">
        <w:rPr>
          <w:rFonts w:ascii="Arial" w:eastAsia="Calibri" w:hAnsi="Arial" w:cs="Arial"/>
          <w:sz w:val="20"/>
          <w:szCs w:val="20"/>
        </w:rPr>
        <w:t xml:space="preserve">Planirana sredstva za ostvarenje programa 2051 iznose </w:t>
      </w:r>
      <w:r w:rsidR="00BA776B">
        <w:rPr>
          <w:rFonts w:ascii="Arial" w:eastAsia="Calibri" w:hAnsi="Arial" w:cs="Arial"/>
          <w:sz w:val="20"/>
          <w:szCs w:val="20"/>
        </w:rPr>
        <w:t xml:space="preserve">3.447.000 </w:t>
      </w:r>
      <w:r w:rsidRPr="000257B5">
        <w:rPr>
          <w:rFonts w:ascii="Arial" w:eastAsia="Calibri" w:hAnsi="Arial" w:cs="Arial"/>
          <w:sz w:val="20"/>
          <w:szCs w:val="20"/>
        </w:rPr>
        <w:t xml:space="preserve">€, a izvršeno je </w:t>
      </w:r>
      <w:r w:rsidR="00BA776B">
        <w:rPr>
          <w:rFonts w:ascii="Arial" w:eastAsia="Calibri" w:hAnsi="Arial" w:cs="Arial"/>
          <w:sz w:val="20"/>
          <w:szCs w:val="20"/>
        </w:rPr>
        <w:t>3.339.039,90</w:t>
      </w:r>
      <w:r w:rsidRPr="000257B5">
        <w:rPr>
          <w:rFonts w:ascii="Arial" w:eastAsia="Calibri" w:hAnsi="Arial" w:cs="Arial"/>
          <w:sz w:val="20"/>
          <w:szCs w:val="20"/>
        </w:rPr>
        <w:t xml:space="preserve"> € ili </w:t>
      </w:r>
      <w:r w:rsidR="00BA776B">
        <w:rPr>
          <w:rFonts w:ascii="Arial" w:eastAsia="Calibri" w:hAnsi="Arial" w:cs="Arial"/>
          <w:sz w:val="20"/>
          <w:szCs w:val="20"/>
        </w:rPr>
        <w:t>96,9</w:t>
      </w:r>
      <w:r w:rsidRPr="000257B5">
        <w:rPr>
          <w:rFonts w:ascii="Arial" w:eastAsia="Calibri" w:hAnsi="Arial" w:cs="Arial"/>
          <w:sz w:val="20"/>
          <w:szCs w:val="20"/>
        </w:rPr>
        <w:t xml:space="preserve"> %.</w:t>
      </w:r>
    </w:p>
    <w:p w14:paraId="1059C4D6" w14:textId="77777777" w:rsidR="00E41537" w:rsidRPr="003A2F86" w:rsidRDefault="00E41537" w:rsidP="00D66E2E">
      <w:pPr>
        <w:spacing w:after="0" w:line="240" w:lineRule="auto"/>
        <w:rPr>
          <w:sz w:val="20"/>
          <w:szCs w:val="20"/>
        </w:rPr>
      </w:pPr>
    </w:p>
    <w:p w14:paraId="1D6AC0D3" w14:textId="77777777" w:rsidR="00D66E2E" w:rsidRPr="003A2F86" w:rsidRDefault="00D66E2E">
      <w:pPr>
        <w:pStyle w:val="Odlomakpopisa"/>
        <w:numPr>
          <w:ilvl w:val="0"/>
          <w:numId w:val="26"/>
        </w:num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eastAsia="Calibri" w:hAnsi="Arial" w:cs="Arial"/>
          <w:b/>
        </w:rPr>
      </w:pPr>
      <w:r w:rsidRPr="003A2F86">
        <w:rPr>
          <w:rFonts w:ascii="Arial" w:eastAsia="Calibri" w:hAnsi="Arial" w:cs="Arial"/>
          <w:b/>
        </w:rPr>
        <w:t>OBRAZLOŽENJE POSEBNOG DIJELA FINANCIJSKOG PLANA</w:t>
      </w:r>
    </w:p>
    <w:p w14:paraId="237424A3" w14:textId="77777777" w:rsidR="00D66E2E" w:rsidRPr="003A2F86" w:rsidRDefault="00D66E2E" w:rsidP="00D66E2E">
      <w:pPr>
        <w:spacing w:after="0" w:line="240" w:lineRule="auto"/>
        <w:rPr>
          <w:rFonts w:ascii="Arial" w:eastAsia="Calibri" w:hAnsi="Arial" w:cs="Arial"/>
          <w:b/>
          <w:sz w:val="20"/>
          <w:szCs w:val="20"/>
        </w:rPr>
      </w:pPr>
    </w:p>
    <w:p w14:paraId="39AE4DB8" w14:textId="77777777" w:rsidR="00D66E2E" w:rsidRPr="003A2F86" w:rsidRDefault="00D66E2E" w:rsidP="00D66E2E">
      <w:pPr>
        <w:spacing w:after="0" w:line="240" w:lineRule="auto"/>
        <w:rPr>
          <w:rFonts w:ascii="Arial" w:eastAsia="Calibri" w:hAnsi="Arial" w:cs="Arial"/>
          <w:sz w:val="20"/>
          <w:szCs w:val="20"/>
        </w:rPr>
      </w:pPr>
      <w:r w:rsidRPr="003A2F86">
        <w:rPr>
          <w:rFonts w:ascii="Arial" w:eastAsia="Calibri" w:hAnsi="Arial" w:cs="Arial"/>
          <w:sz w:val="20"/>
          <w:szCs w:val="20"/>
        </w:rPr>
        <w:t>Posebni dio financijskog plana iskazuje rashode i izdatke po organizacijskoj klasifikaciji, po ekonomskoj, programskoj i funkcijskoj klasifikaciji, te izvorima financiranja.</w:t>
      </w:r>
    </w:p>
    <w:p w14:paraId="78D7EAFF" w14:textId="77777777" w:rsidR="00F6697E" w:rsidRDefault="00F6697E" w:rsidP="00D66E2E">
      <w:pPr>
        <w:spacing w:after="0" w:line="240" w:lineRule="auto"/>
        <w:rPr>
          <w:rFonts w:ascii="Arial" w:eastAsia="Calibri" w:hAnsi="Arial" w:cs="Arial"/>
          <w:sz w:val="20"/>
          <w:szCs w:val="20"/>
        </w:rPr>
      </w:pPr>
    </w:p>
    <w:p w14:paraId="2FD34E3A" w14:textId="77777777" w:rsidR="007932F6" w:rsidRDefault="007932F6" w:rsidP="00D66E2E">
      <w:pPr>
        <w:spacing w:after="0" w:line="240" w:lineRule="auto"/>
        <w:rPr>
          <w:rFonts w:ascii="Arial" w:eastAsia="Calibri" w:hAnsi="Arial" w:cs="Arial"/>
          <w:sz w:val="20"/>
          <w:szCs w:val="20"/>
        </w:rPr>
      </w:pPr>
    </w:p>
    <w:p w14:paraId="61457B9D" w14:textId="77777777" w:rsidR="007932F6" w:rsidRPr="003A2F86" w:rsidRDefault="007932F6" w:rsidP="00D66E2E">
      <w:pPr>
        <w:spacing w:after="0" w:line="240" w:lineRule="auto"/>
        <w:rPr>
          <w:rFonts w:ascii="Arial" w:eastAsia="Calibri" w:hAnsi="Arial" w:cs="Arial"/>
          <w:sz w:val="20"/>
          <w:szCs w:val="20"/>
        </w:rPr>
      </w:pPr>
    </w:p>
    <w:tbl>
      <w:tblPr>
        <w:tblStyle w:val="Reetkatablice"/>
        <w:tblW w:w="0" w:type="auto"/>
        <w:tblLook w:val="04A0" w:firstRow="1" w:lastRow="0" w:firstColumn="1" w:lastColumn="0" w:noHBand="0" w:noVBand="1"/>
      </w:tblPr>
      <w:tblGrid>
        <w:gridCol w:w="3850"/>
        <w:gridCol w:w="2187"/>
        <w:gridCol w:w="2032"/>
        <w:gridCol w:w="2238"/>
        <w:gridCol w:w="2294"/>
        <w:gridCol w:w="1959"/>
      </w:tblGrid>
      <w:tr w:rsidR="00E41537" w:rsidRPr="003A2F86" w14:paraId="7E14727A" w14:textId="77777777" w:rsidTr="000B7CFF">
        <w:tc>
          <w:tcPr>
            <w:tcW w:w="3850" w:type="dxa"/>
            <w:vAlign w:val="center"/>
          </w:tcPr>
          <w:p w14:paraId="616FC054" w14:textId="77777777" w:rsidR="00E41537" w:rsidRPr="003A2F86" w:rsidRDefault="00E41537" w:rsidP="00E41537">
            <w:pPr>
              <w:jc w:val="center"/>
              <w:rPr>
                <w:rFonts w:ascii="Arial" w:eastAsia="Calibri" w:hAnsi="Arial" w:cs="Arial"/>
                <w:b/>
                <w:bCs/>
              </w:rPr>
            </w:pPr>
            <w:r w:rsidRPr="003A2F86">
              <w:rPr>
                <w:rFonts w:ascii="Arial" w:eastAsia="Calibri" w:hAnsi="Arial" w:cs="Arial"/>
                <w:b/>
                <w:bCs/>
              </w:rPr>
              <w:lastRenderedPageBreak/>
              <w:t>Naziv programa iz Proračuna</w:t>
            </w:r>
          </w:p>
        </w:tc>
        <w:tc>
          <w:tcPr>
            <w:tcW w:w="2187" w:type="dxa"/>
            <w:vAlign w:val="center"/>
          </w:tcPr>
          <w:p w14:paraId="17322EDC" w14:textId="4AC58A49" w:rsidR="00E41537" w:rsidRPr="003A2F86" w:rsidRDefault="000257B5" w:rsidP="00E41537">
            <w:pPr>
              <w:jc w:val="center"/>
              <w:rPr>
                <w:rFonts w:ascii="Arial" w:eastAsia="Calibri" w:hAnsi="Arial" w:cs="Arial"/>
                <w:b/>
                <w:bCs/>
              </w:rPr>
            </w:pPr>
            <w:r>
              <w:rPr>
                <w:rFonts w:ascii="Arial" w:eastAsia="Calibri" w:hAnsi="Arial" w:cs="Arial"/>
                <w:b/>
                <w:bCs/>
              </w:rPr>
              <w:t>Izvršenje</w:t>
            </w:r>
            <w:r w:rsidR="00E41537" w:rsidRPr="003A2F86">
              <w:rPr>
                <w:rFonts w:ascii="Arial" w:eastAsia="Calibri" w:hAnsi="Arial" w:cs="Arial"/>
                <w:b/>
                <w:bCs/>
              </w:rPr>
              <w:t xml:space="preserve"> 202</w:t>
            </w:r>
            <w:r w:rsidR="00BB68FB">
              <w:rPr>
                <w:rFonts w:ascii="Arial" w:eastAsia="Calibri" w:hAnsi="Arial" w:cs="Arial"/>
                <w:b/>
                <w:bCs/>
              </w:rPr>
              <w:t>4</w:t>
            </w:r>
            <w:r w:rsidR="00E41537" w:rsidRPr="003A2F86">
              <w:rPr>
                <w:rFonts w:ascii="Arial" w:eastAsia="Calibri" w:hAnsi="Arial" w:cs="Arial"/>
                <w:b/>
                <w:bCs/>
              </w:rPr>
              <w:t>.</w:t>
            </w:r>
          </w:p>
        </w:tc>
        <w:tc>
          <w:tcPr>
            <w:tcW w:w="2032" w:type="dxa"/>
            <w:vAlign w:val="center"/>
          </w:tcPr>
          <w:p w14:paraId="7B3C6750" w14:textId="04B5B542" w:rsidR="00E41537" w:rsidRPr="003A2F86" w:rsidRDefault="00E41537" w:rsidP="00E41537">
            <w:pPr>
              <w:jc w:val="center"/>
              <w:rPr>
                <w:rFonts w:ascii="Arial" w:eastAsia="Calibri" w:hAnsi="Arial" w:cs="Arial"/>
                <w:b/>
                <w:bCs/>
              </w:rPr>
            </w:pPr>
            <w:r w:rsidRPr="003A2F86">
              <w:rPr>
                <w:rFonts w:ascii="Arial" w:eastAsia="Calibri" w:hAnsi="Arial" w:cs="Arial"/>
                <w:b/>
                <w:bCs/>
              </w:rPr>
              <w:t>Plan 202</w:t>
            </w:r>
            <w:r w:rsidR="00BB68FB">
              <w:rPr>
                <w:rFonts w:ascii="Arial" w:eastAsia="Calibri" w:hAnsi="Arial" w:cs="Arial"/>
                <w:b/>
                <w:bCs/>
              </w:rPr>
              <w:t>5</w:t>
            </w:r>
            <w:r w:rsidRPr="003A2F86">
              <w:rPr>
                <w:rFonts w:ascii="Arial" w:eastAsia="Calibri" w:hAnsi="Arial" w:cs="Arial"/>
                <w:b/>
                <w:bCs/>
              </w:rPr>
              <w:t>.</w:t>
            </w:r>
          </w:p>
        </w:tc>
        <w:tc>
          <w:tcPr>
            <w:tcW w:w="2238" w:type="dxa"/>
            <w:vAlign w:val="center"/>
          </w:tcPr>
          <w:p w14:paraId="3E12AB7D" w14:textId="2899F313" w:rsidR="00E41537" w:rsidRPr="003A2F86" w:rsidRDefault="00E41537" w:rsidP="00E41537">
            <w:pPr>
              <w:jc w:val="center"/>
              <w:rPr>
                <w:rFonts w:ascii="Arial" w:eastAsia="Calibri" w:hAnsi="Arial" w:cs="Arial"/>
                <w:b/>
                <w:bCs/>
              </w:rPr>
            </w:pPr>
            <w:r w:rsidRPr="003A2F86">
              <w:rPr>
                <w:rFonts w:ascii="Arial" w:eastAsia="Calibri" w:hAnsi="Arial" w:cs="Arial"/>
                <w:b/>
                <w:bCs/>
              </w:rPr>
              <w:t>Izvršenje 202</w:t>
            </w:r>
            <w:r w:rsidR="00BB68FB">
              <w:rPr>
                <w:rFonts w:ascii="Arial" w:eastAsia="Calibri" w:hAnsi="Arial" w:cs="Arial"/>
                <w:b/>
                <w:bCs/>
              </w:rPr>
              <w:t>5</w:t>
            </w:r>
            <w:r w:rsidRPr="003A2F86">
              <w:rPr>
                <w:rFonts w:ascii="Arial" w:eastAsia="Calibri" w:hAnsi="Arial" w:cs="Arial"/>
                <w:b/>
                <w:bCs/>
              </w:rPr>
              <w:t>.</w:t>
            </w:r>
          </w:p>
        </w:tc>
        <w:tc>
          <w:tcPr>
            <w:tcW w:w="2294" w:type="dxa"/>
            <w:vAlign w:val="center"/>
          </w:tcPr>
          <w:p w14:paraId="57546D82" w14:textId="11ADB46E" w:rsidR="00E41537" w:rsidRPr="003A2F86" w:rsidRDefault="00E41537" w:rsidP="00E41537">
            <w:pPr>
              <w:jc w:val="center"/>
              <w:rPr>
                <w:rFonts w:ascii="Arial" w:eastAsia="Calibri" w:hAnsi="Arial" w:cs="Arial"/>
                <w:b/>
                <w:bCs/>
              </w:rPr>
            </w:pPr>
            <w:r w:rsidRPr="003A2F86">
              <w:rPr>
                <w:rFonts w:ascii="Arial" w:eastAsia="Calibri" w:hAnsi="Arial" w:cs="Arial"/>
                <w:b/>
                <w:bCs/>
              </w:rPr>
              <w:t>Projekcija 202</w:t>
            </w:r>
            <w:r w:rsidR="00BB68FB">
              <w:rPr>
                <w:rFonts w:ascii="Arial" w:eastAsia="Calibri" w:hAnsi="Arial" w:cs="Arial"/>
                <w:b/>
                <w:bCs/>
              </w:rPr>
              <w:t>6</w:t>
            </w:r>
            <w:r w:rsidRPr="003A2F86">
              <w:rPr>
                <w:rFonts w:ascii="Arial" w:eastAsia="Calibri" w:hAnsi="Arial" w:cs="Arial"/>
                <w:b/>
                <w:bCs/>
              </w:rPr>
              <w:t>.</w:t>
            </w:r>
          </w:p>
        </w:tc>
        <w:tc>
          <w:tcPr>
            <w:tcW w:w="1959" w:type="dxa"/>
            <w:vAlign w:val="center"/>
          </w:tcPr>
          <w:p w14:paraId="5CFA0165" w14:textId="35E0D6E3" w:rsidR="00E41537" w:rsidRPr="003A2F86" w:rsidRDefault="00E41537" w:rsidP="00E41537">
            <w:pPr>
              <w:jc w:val="center"/>
              <w:rPr>
                <w:rFonts w:ascii="Arial" w:eastAsia="Calibri" w:hAnsi="Arial" w:cs="Arial"/>
                <w:b/>
                <w:bCs/>
              </w:rPr>
            </w:pPr>
            <w:r w:rsidRPr="003A2F86">
              <w:rPr>
                <w:rFonts w:ascii="Arial" w:eastAsia="Calibri" w:hAnsi="Arial" w:cs="Arial"/>
                <w:b/>
                <w:bCs/>
              </w:rPr>
              <w:t>Projekcija 202</w:t>
            </w:r>
            <w:r w:rsidR="00BB68FB">
              <w:rPr>
                <w:rFonts w:ascii="Arial" w:eastAsia="Calibri" w:hAnsi="Arial" w:cs="Arial"/>
                <w:b/>
                <w:bCs/>
              </w:rPr>
              <w:t>7</w:t>
            </w:r>
            <w:r w:rsidRPr="003A2F86">
              <w:rPr>
                <w:rFonts w:ascii="Arial" w:eastAsia="Calibri" w:hAnsi="Arial" w:cs="Arial"/>
                <w:b/>
                <w:bCs/>
              </w:rPr>
              <w:t>.</w:t>
            </w:r>
          </w:p>
        </w:tc>
      </w:tr>
      <w:tr w:rsidR="00BB68FB" w:rsidRPr="003A2F86" w14:paraId="0C21618A" w14:textId="77777777" w:rsidTr="000B7CFF">
        <w:tc>
          <w:tcPr>
            <w:tcW w:w="3850" w:type="dxa"/>
            <w:vAlign w:val="center"/>
          </w:tcPr>
          <w:p w14:paraId="7178BD03" w14:textId="77777777" w:rsidR="00BB68FB" w:rsidRPr="003A2F86" w:rsidRDefault="00BB68FB" w:rsidP="00BB68FB">
            <w:pPr>
              <w:jc w:val="center"/>
              <w:rPr>
                <w:rFonts w:ascii="Arial" w:eastAsia="Calibri" w:hAnsi="Arial" w:cs="Arial"/>
              </w:rPr>
            </w:pPr>
            <w:r w:rsidRPr="003A2F86">
              <w:rPr>
                <w:rFonts w:ascii="Arial" w:eastAsia="Calibri" w:hAnsi="Arial" w:cs="Arial"/>
              </w:rPr>
              <w:t>Odgoj, naobrazba i skrb o predškolskoj djeci</w:t>
            </w:r>
          </w:p>
        </w:tc>
        <w:tc>
          <w:tcPr>
            <w:tcW w:w="2187" w:type="dxa"/>
            <w:vAlign w:val="center"/>
          </w:tcPr>
          <w:p w14:paraId="3FF7FE52" w14:textId="530DAA02" w:rsidR="00BB68FB" w:rsidRPr="003A2F86" w:rsidRDefault="00BB68FB" w:rsidP="00BB68FB">
            <w:pPr>
              <w:jc w:val="center"/>
              <w:rPr>
                <w:rFonts w:ascii="Arial" w:eastAsia="Calibri" w:hAnsi="Arial" w:cs="Arial"/>
              </w:rPr>
            </w:pPr>
            <w:r>
              <w:rPr>
                <w:rFonts w:ascii="Arial" w:eastAsia="Calibri" w:hAnsi="Arial" w:cs="Arial"/>
              </w:rPr>
              <w:t>2.767.561,72</w:t>
            </w:r>
          </w:p>
        </w:tc>
        <w:tc>
          <w:tcPr>
            <w:tcW w:w="2032" w:type="dxa"/>
            <w:vAlign w:val="center"/>
          </w:tcPr>
          <w:p w14:paraId="27E46EBA" w14:textId="5C8A1620" w:rsidR="00BB68FB" w:rsidRPr="003A2F86" w:rsidRDefault="00BA776B" w:rsidP="00BB68FB">
            <w:pPr>
              <w:jc w:val="center"/>
              <w:rPr>
                <w:rFonts w:ascii="Arial" w:eastAsia="Calibri" w:hAnsi="Arial" w:cs="Arial"/>
              </w:rPr>
            </w:pPr>
            <w:r>
              <w:rPr>
                <w:rFonts w:ascii="Arial" w:eastAsia="Calibri" w:hAnsi="Arial" w:cs="Arial"/>
              </w:rPr>
              <w:t>3.447.000</w:t>
            </w:r>
          </w:p>
        </w:tc>
        <w:tc>
          <w:tcPr>
            <w:tcW w:w="2238" w:type="dxa"/>
            <w:vAlign w:val="center"/>
          </w:tcPr>
          <w:p w14:paraId="3ED9F554" w14:textId="27718700" w:rsidR="00BB68FB" w:rsidRPr="003A2F86" w:rsidRDefault="00BB68FB" w:rsidP="00BB68FB">
            <w:pPr>
              <w:jc w:val="center"/>
              <w:rPr>
                <w:rFonts w:ascii="Arial" w:eastAsia="Calibri" w:hAnsi="Arial" w:cs="Arial"/>
              </w:rPr>
            </w:pPr>
            <w:r>
              <w:rPr>
                <w:rFonts w:ascii="Arial" w:eastAsia="Calibri" w:hAnsi="Arial" w:cs="Arial"/>
              </w:rPr>
              <w:t>1.613.636,14</w:t>
            </w:r>
          </w:p>
        </w:tc>
        <w:tc>
          <w:tcPr>
            <w:tcW w:w="2294" w:type="dxa"/>
            <w:vAlign w:val="center"/>
          </w:tcPr>
          <w:p w14:paraId="01788E5F" w14:textId="49291547" w:rsidR="00BB68FB" w:rsidRPr="003A2F86" w:rsidRDefault="00A302D6" w:rsidP="00BB68FB">
            <w:pPr>
              <w:jc w:val="center"/>
              <w:rPr>
                <w:rFonts w:ascii="Arial" w:eastAsia="Calibri" w:hAnsi="Arial" w:cs="Arial"/>
              </w:rPr>
            </w:pPr>
            <w:r>
              <w:rPr>
                <w:rFonts w:ascii="Arial" w:eastAsia="Calibri" w:hAnsi="Arial" w:cs="Arial"/>
              </w:rPr>
              <w:t>3.335.600</w:t>
            </w:r>
            <w:r w:rsidR="00BB68FB" w:rsidRPr="003A2F86">
              <w:rPr>
                <w:rFonts w:ascii="Arial" w:eastAsia="Calibri" w:hAnsi="Arial" w:cs="Arial"/>
              </w:rPr>
              <w:t xml:space="preserve"> €</w:t>
            </w:r>
          </w:p>
        </w:tc>
        <w:tc>
          <w:tcPr>
            <w:tcW w:w="1959" w:type="dxa"/>
            <w:vAlign w:val="center"/>
          </w:tcPr>
          <w:p w14:paraId="08FA79DA" w14:textId="32BF7604" w:rsidR="00BB68FB" w:rsidRPr="003A2F86" w:rsidRDefault="00A302D6" w:rsidP="00BB68FB">
            <w:pPr>
              <w:jc w:val="center"/>
              <w:rPr>
                <w:rFonts w:ascii="Arial" w:eastAsia="Calibri" w:hAnsi="Arial" w:cs="Arial"/>
              </w:rPr>
            </w:pPr>
            <w:r>
              <w:rPr>
                <w:rFonts w:ascii="Arial" w:eastAsia="Calibri" w:hAnsi="Arial" w:cs="Arial"/>
              </w:rPr>
              <w:t>3.538.900</w:t>
            </w:r>
            <w:r w:rsidR="00BB68FB" w:rsidRPr="003A2F86">
              <w:rPr>
                <w:rFonts w:ascii="Arial" w:eastAsia="Calibri" w:hAnsi="Arial" w:cs="Arial"/>
              </w:rPr>
              <w:t xml:space="preserve"> €</w:t>
            </w:r>
          </w:p>
        </w:tc>
      </w:tr>
    </w:tbl>
    <w:p w14:paraId="77A792BB" w14:textId="77777777" w:rsidR="00D66E2E" w:rsidRPr="003A2F86" w:rsidRDefault="00D66E2E" w:rsidP="00D66E2E">
      <w:pPr>
        <w:spacing w:after="0" w:line="240" w:lineRule="auto"/>
        <w:rPr>
          <w:rFonts w:ascii="Arial" w:eastAsia="Calibri" w:hAnsi="Arial" w:cs="Arial"/>
        </w:rPr>
      </w:pPr>
    </w:p>
    <w:p w14:paraId="72B4FCD7" w14:textId="77777777" w:rsidR="00D66E2E" w:rsidRPr="003A2F86" w:rsidRDefault="00D66E2E">
      <w:pPr>
        <w:pStyle w:val="Odlomakpopisa"/>
        <w:numPr>
          <w:ilvl w:val="0"/>
          <w:numId w:val="33"/>
        </w:numPr>
        <w:pBdr>
          <w:top w:val="single" w:sz="4" w:space="1" w:color="auto"/>
          <w:left w:val="single" w:sz="4" w:space="0" w:color="auto"/>
          <w:bottom w:val="single" w:sz="4" w:space="1" w:color="auto"/>
          <w:right w:val="single" w:sz="4" w:space="4" w:color="auto"/>
        </w:pBdr>
        <w:ind w:right="3082"/>
        <w:rPr>
          <w:rFonts w:ascii="Arial" w:eastAsia="Calibri" w:hAnsi="Arial" w:cs="Arial"/>
          <w:b/>
        </w:rPr>
      </w:pPr>
      <w:r w:rsidRPr="003A2F86">
        <w:rPr>
          <w:rFonts w:ascii="Arial" w:eastAsia="Calibri" w:hAnsi="Arial" w:cs="Arial"/>
          <w:b/>
        </w:rPr>
        <w:t>Obrazloženje aktivnosti / projekata i pokazatelji uspješnosti</w:t>
      </w:r>
    </w:p>
    <w:p w14:paraId="2454B1BA" w14:textId="77777777" w:rsidR="00D66E2E" w:rsidRPr="003A2F86" w:rsidRDefault="00D66E2E" w:rsidP="00D66E2E">
      <w:pPr>
        <w:spacing w:after="0" w:line="240" w:lineRule="auto"/>
        <w:rPr>
          <w:rFonts w:ascii="Arial" w:eastAsia="Calibri" w:hAnsi="Arial" w:cs="Arial"/>
          <w:sz w:val="20"/>
          <w:szCs w:val="20"/>
        </w:rPr>
      </w:pPr>
    </w:p>
    <w:p w14:paraId="6032FC84" w14:textId="77777777" w:rsidR="00D66E2E" w:rsidRPr="003A2F86" w:rsidRDefault="00D66E2E" w:rsidP="00D66E2E">
      <w:pPr>
        <w:spacing w:after="0" w:line="240" w:lineRule="auto"/>
        <w:rPr>
          <w:rFonts w:ascii="Arial" w:eastAsia="Calibri" w:hAnsi="Arial" w:cs="Arial"/>
          <w:sz w:val="20"/>
          <w:szCs w:val="20"/>
        </w:rPr>
      </w:pPr>
      <w:r w:rsidRPr="003A2F86">
        <w:rPr>
          <w:rFonts w:ascii="Arial" w:eastAsia="Calibri" w:hAnsi="Arial" w:cs="Arial"/>
          <w:sz w:val="20"/>
          <w:szCs w:val="20"/>
        </w:rPr>
        <w:t>Unutar programa izvode se slijedeće aktivnosti i projekti:</w:t>
      </w:r>
    </w:p>
    <w:p w14:paraId="7EB3C44B" w14:textId="77777777" w:rsidR="003752B9" w:rsidRPr="003A2F86" w:rsidRDefault="003752B9" w:rsidP="003752B9">
      <w:pPr>
        <w:spacing w:after="0" w:line="240" w:lineRule="auto"/>
        <w:jc w:val="both"/>
        <w:rPr>
          <w:rFonts w:ascii="Arial" w:eastAsia="Calibri" w:hAnsi="Arial" w:cs="Arial"/>
          <w:sz w:val="20"/>
          <w:szCs w:val="20"/>
        </w:rPr>
      </w:pPr>
    </w:p>
    <w:p w14:paraId="09D8F448" w14:textId="39F8ECAD" w:rsidR="00805864" w:rsidRPr="00A534D1" w:rsidRDefault="00E41537" w:rsidP="00805864">
      <w:pPr>
        <w:spacing w:after="0" w:line="240" w:lineRule="auto"/>
        <w:jc w:val="both"/>
        <w:rPr>
          <w:rFonts w:ascii="Arial" w:eastAsia="Calibri" w:hAnsi="Arial" w:cs="Arial"/>
          <w:sz w:val="20"/>
          <w:szCs w:val="20"/>
        </w:rPr>
      </w:pPr>
      <w:r w:rsidRPr="003A2F86">
        <w:rPr>
          <w:rFonts w:ascii="Arial" w:eastAsia="Calibri" w:hAnsi="Arial" w:cs="Arial"/>
          <w:b/>
          <w:sz w:val="20"/>
          <w:szCs w:val="20"/>
        </w:rPr>
        <w:t>1. A205101: Osnovne aktivnosti dječjeg vrtića</w:t>
      </w:r>
      <w:r w:rsidRPr="003A2F86">
        <w:rPr>
          <w:rFonts w:ascii="Arial" w:eastAsia="Calibri" w:hAnsi="Arial" w:cs="Arial"/>
          <w:sz w:val="20"/>
          <w:szCs w:val="20"/>
        </w:rPr>
        <w:t xml:space="preserve"> - </w:t>
      </w:r>
      <w:r w:rsidR="00805864" w:rsidRPr="00A534D1">
        <w:rPr>
          <w:rFonts w:ascii="Arial" w:eastAsia="Calibri" w:hAnsi="Arial" w:cs="Arial"/>
          <w:sz w:val="20"/>
          <w:szCs w:val="20"/>
        </w:rPr>
        <w:t>u sklopu navedene aktivnosti su rashodi za plaće djelatnika dječjeg vrtića s pripadajućim porezima i doprinosima, naknade za prijevoz na posao i s posla, usluge održavanja objekata, te naknade za rad upravnog vijeća. Planirana sredstva za provođenje navedene aktivnosti iznose 2.</w:t>
      </w:r>
      <w:r w:rsidR="00805864">
        <w:rPr>
          <w:rFonts w:ascii="Arial" w:eastAsia="Calibri" w:hAnsi="Arial" w:cs="Arial"/>
          <w:sz w:val="20"/>
          <w:szCs w:val="20"/>
        </w:rPr>
        <w:t>859.600</w:t>
      </w:r>
      <w:r w:rsidR="00805864" w:rsidRPr="00A534D1">
        <w:rPr>
          <w:rFonts w:ascii="Arial" w:eastAsia="Calibri" w:hAnsi="Arial" w:cs="Arial"/>
          <w:sz w:val="20"/>
          <w:szCs w:val="20"/>
        </w:rPr>
        <w:t>,00 €, a rashodi su izvršeni u iznosu 2.</w:t>
      </w:r>
      <w:r w:rsidR="00805864">
        <w:rPr>
          <w:rFonts w:ascii="Arial" w:eastAsia="Calibri" w:hAnsi="Arial" w:cs="Arial"/>
          <w:sz w:val="20"/>
          <w:szCs w:val="20"/>
        </w:rPr>
        <w:t>755.179,95</w:t>
      </w:r>
      <w:r w:rsidR="000C06FD">
        <w:rPr>
          <w:rFonts w:ascii="Arial" w:eastAsia="Calibri" w:hAnsi="Arial" w:cs="Arial"/>
          <w:sz w:val="20"/>
          <w:szCs w:val="20"/>
        </w:rPr>
        <w:t xml:space="preserve"> </w:t>
      </w:r>
      <w:r w:rsidR="00805864" w:rsidRPr="00A534D1">
        <w:rPr>
          <w:rFonts w:ascii="Arial" w:eastAsia="Calibri" w:hAnsi="Arial" w:cs="Arial"/>
          <w:sz w:val="20"/>
          <w:szCs w:val="20"/>
        </w:rPr>
        <w:t>€ ili 9</w:t>
      </w:r>
      <w:r w:rsidR="00805864">
        <w:rPr>
          <w:rFonts w:ascii="Arial" w:eastAsia="Calibri" w:hAnsi="Arial" w:cs="Arial"/>
          <w:sz w:val="20"/>
          <w:szCs w:val="20"/>
        </w:rPr>
        <w:t>6</w:t>
      </w:r>
      <w:r w:rsidR="00805864" w:rsidRPr="00A534D1">
        <w:rPr>
          <w:rFonts w:ascii="Arial" w:eastAsia="Calibri" w:hAnsi="Arial" w:cs="Arial"/>
          <w:sz w:val="20"/>
          <w:szCs w:val="20"/>
        </w:rPr>
        <w:t>,</w:t>
      </w:r>
      <w:r w:rsidR="00805864">
        <w:rPr>
          <w:rFonts w:ascii="Arial" w:eastAsia="Calibri" w:hAnsi="Arial" w:cs="Arial"/>
          <w:sz w:val="20"/>
          <w:szCs w:val="20"/>
        </w:rPr>
        <w:t>3</w:t>
      </w:r>
      <w:r w:rsidR="00805864" w:rsidRPr="00A534D1">
        <w:rPr>
          <w:rFonts w:ascii="Arial" w:eastAsia="Calibri" w:hAnsi="Arial" w:cs="Arial"/>
          <w:sz w:val="20"/>
          <w:szCs w:val="20"/>
        </w:rPr>
        <w:t xml:space="preserve">% plana. </w:t>
      </w:r>
    </w:p>
    <w:p w14:paraId="63201B90" w14:textId="77777777" w:rsidR="00805864" w:rsidRPr="00A534D1" w:rsidRDefault="00805864" w:rsidP="00805864">
      <w:pPr>
        <w:spacing w:after="0" w:line="240" w:lineRule="auto"/>
        <w:jc w:val="both"/>
        <w:rPr>
          <w:rFonts w:ascii="Arial" w:eastAsia="Calibri" w:hAnsi="Arial" w:cs="Arial"/>
          <w:sz w:val="20"/>
          <w:szCs w:val="20"/>
        </w:rPr>
      </w:pPr>
    </w:p>
    <w:p w14:paraId="61CE3FFF" w14:textId="0CC2FCDB" w:rsidR="00805864" w:rsidRPr="00A534D1" w:rsidRDefault="00805864" w:rsidP="00805864">
      <w:pPr>
        <w:spacing w:after="0" w:line="240" w:lineRule="auto"/>
        <w:jc w:val="both"/>
        <w:rPr>
          <w:rFonts w:ascii="Arial" w:eastAsia="Calibri" w:hAnsi="Arial" w:cs="Arial"/>
          <w:sz w:val="20"/>
          <w:szCs w:val="20"/>
          <w:lang w:eastAsia="en-US"/>
        </w:rPr>
      </w:pPr>
      <w:r w:rsidRPr="00A534D1">
        <w:rPr>
          <w:rFonts w:ascii="Arial" w:eastAsia="Calibri" w:hAnsi="Arial" w:cs="Arial"/>
          <w:sz w:val="20"/>
          <w:szCs w:val="20"/>
          <w:lang w:eastAsia="en-US"/>
        </w:rPr>
        <w:t>Izvršeni rashodi se odnose na rashode za zaposlene (31) u iznosu 2.</w:t>
      </w:r>
      <w:r>
        <w:rPr>
          <w:rFonts w:ascii="Arial" w:eastAsia="Calibri" w:hAnsi="Arial" w:cs="Arial"/>
          <w:sz w:val="20"/>
          <w:szCs w:val="20"/>
          <w:lang w:eastAsia="en-US"/>
        </w:rPr>
        <w:t>640.694,13</w:t>
      </w:r>
      <w:r w:rsidRPr="00A534D1">
        <w:rPr>
          <w:rFonts w:ascii="Arial" w:eastAsia="Calibri" w:hAnsi="Arial" w:cs="Arial"/>
          <w:sz w:val="20"/>
          <w:szCs w:val="20"/>
          <w:lang w:eastAsia="en-US"/>
        </w:rPr>
        <w:t xml:space="preserve"> € (bruto plaće u iznosu </w:t>
      </w:r>
      <w:r>
        <w:rPr>
          <w:rFonts w:ascii="Arial" w:eastAsia="Calibri" w:hAnsi="Arial" w:cs="Arial"/>
          <w:sz w:val="20"/>
          <w:szCs w:val="20"/>
          <w:lang w:eastAsia="en-US"/>
        </w:rPr>
        <w:t>2.081.038,12</w:t>
      </w:r>
      <w:r w:rsidRPr="00A534D1">
        <w:rPr>
          <w:rFonts w:ascii="Arial" w:eastAsia="Calibri" w:hAnsi="Arial" w:cs="Arial"/>
          <w:sz w:val="20"/>
          <w:szCs w:val="20"/>
          <w:lang w:eastAsia="en-US"/>
        </w:rPr>
        <w:t xml:space="preserve"> €, doprinosi na plaće (313) u iznosu </w:t>
      </w:r>
      <w:r>
        <w:rPr>
          <w:rFonts w:ascii="Arial" w:eastAsia="Calibri" w:hAnsi="Arial" w:cs="Arial"/>
          <w:sz w:val="20"/>
          <w:szCs w:val="20"/>
          <w:lang w:eastAsia="en-US"/>
        </w:rPr>
        <w:t xml:space="preserve">349.476,01 </w:t>
      </w:r>
      <w:r w:rsidRPr="00A534D1">
        <w:rPr>
          <w:rFonts w:ascii="Arial" w:eastAsia="Calibri" w:hAnsi="Arial" w:cs="Arial"/>
          <w:sz w:val="20"/>
          <w:szCs w:val="20"/>
          <w:lang w:eastAsia="en-US"/>
        </w:rPr>
        <w:t xml:space="preserve">€, ostali rashodi za zaposlene (312) u iznosu </w:t>
      </w:r>
      <w:r>
        <w:rPr>
          <w:rFonts w:ascii="Arial" w:eastAsia="Calibri" w:hAnsi="Arial" w:cs="Arial"/>
          <w:sz w:val="20"/>
          <w:szCs w:val="20"/>
          <w:lang w:eastAsia="en-US"/>
        </w:rPr>
        <w:t>210.180,00</w:t>
      </w:r>
      <w:r w:rsidRPr="00A534D1">
        <w:rPr>
          <w:rFonts w:ascii="Arial" w:eastAsia="Calibri" w:hAnsi="Arial" w:cs="Arial"/>
          <w:sz w:val="20"/>
          <w:szCs w:val="20"/>
          <w:lang w:eastAsia="en-US"/>
        </w:rPr>
        <w:t xml:space="preserve"> € (potpore zbog bolovanja, potpore za smrtni slučaj), naknade troškova zaposlenima (321) izvršene su u iznosu </w:t>
      </w:r>
      <w:r>
        <w:rPr>
          <w:rFonts w:ascii="Arial" w:eastAsia="Calibri" w:hAnsi="Arial" w:cs="Arial"/>
          <w:sz w:val="20"/>
          <w:szCs w:val="20"/>
          <w:lang w:eastAsia="en-US"/>
        </w:rPr>
        <w:t>103.634,15</w:t>
      </w:r>
      <w:r w:rsidRPr="00A534D1">
        <w:rPr>
          <w:rFonts w:ascii="Arial" w:eastAsia="Calibri" w:hAnsi="Arial" w:cs="Arial"/>
          <w:sz w:val="20"/>
          <w:szCs w:val="20"/>
          <w:lang w:eastAsia="en-US"/>
        </w:rPr>
        <w:t xml:space="preserve"> € (naknade za prijevoz na posao i s posla),  ostali nespomenuti rashodi poslovanja (329) (naknade za članove upravnog vijeća u iznosu </w:t>
      </w:r>
      <w:r>
        <w:rPr>
          <w:rFonts w:ascii="Arial" w:eastAsia="Calibri" w:hAnsi="Arial" w:cs="Arial"/>
          <w:sz w:val="20"/>
          <w:szCs w:val="20"/>
          <w:lang w:eastAsia="en-US"/>
        </w:rPr>
        <w:t>10.851,67</w:t>
      </w:r>
      <w:r w:rsidRPr="00A534D1">
        <w:rPr>
          <w:rFonts w:ascii="Arial" w:eastAsia="Calibri" w:hAnsi="Arial" w:cs="Arial"/>
          <w:sz w:val="20"/>
          <w:szCs w:val="20"/>
          <w:lang w:eastAsia="en-US"/>
        </w:rPr>
        <w:t xml:space="preserve"> € - dio podmiren iz sredstava općinskog proračuna, dok je dio podmiren iz sredstava dječjeg vrtića kroz aktivnost A205112). U ožujku 2020. godine je bila obustavljena isplata naknade članovima upravnog vijeća radi utjecaja smanjenih proračunskih prohoda uzrokovanih pandemijom bolesti COVID 19. Isplata je ponovno započeta u 2023. godini i nastavila se isplaćivati tijekom 2024.</w:t>
      </w:r>
      <w:r>
        <w:rPr>
          <w:rFonts w:ascii="Arial" w:eastAsia="Calibri" w:hAnsi="Arial" w:cs="Arial"/>
          <w:sz w:val="20"/>
          <w:szCs w:val="20"/>
          <w:lang w:eastAsia="en-US"/>
        </w:rPr>
        <w:t>i 2025. godine.</w:t>
      </w:r>
    </w:p>
    <w:p w14:paraId="407A0DED" w14:textId="77777777" w:rsidR="00805864" w:rsidRPr="00A534D1" w:rsidRDefault="00805864" w:rsidP="00805864">
      <w:pPr>
        <w:spacing w:after="0" w:line="240" w:lineRule="auto"/>
        <w:jc w:val="both"/>
        <w:rPr>
          <w:rFonts w:ascii="Arial" w:eastAsia="Calibri" w:hAnsi="Arial" w:cs="Arial"/>
          <w:sz w:val="20"/>
          <w:szCs w:val="20"/>
          <w:lang w:eastAsia="en-US"/>
        </w:rPr>
      </w:pPr>
    </w:p>
    <w:p w14:paraId="25751358" w14:textId="77777777" w:rsidR="00805864" w:rsidRPr="00A534D1" w:rsidRDefault="00805864" w:rsidP="00805864">
      <w:pPr>
        <w:spacing w:after="0" w:line="240" w:lineRule="auto"/>
        <w:jc w:val="both"/>
        <w:rPr>
          <w:rFonts w:ascii="Arial" w:eastAsia="Calibri" w:hAnsi="Arial" w:cs="Arial"/>
          <w:sz w:val="20"/>
          <w:szCs w:val="20"/>
        </w:rPr>
      </w:pPr>
      <w:r w:rsidRPr="00A534D1">
        <w:rPr>
          <w:rFonts w:ascii="Arial" w:eastAsia="Calibri" w:hAnsi="Arial" w:cs="Arial"/>
          <w:sz w:val="20"/>
          <w:szCs w:val="20"/>
          <w:lang w:eastAsia="en-US"/>
        </w:rPr>
        <w:t xml:space="preserve">Rashodi za plaće (31) izvršavanju se iz sredstava Općinskog proračuna, program 2051, </w:t>
      </w:r>
      <w:r w:rsidRPr="00A534D1">
        <w:rPr>
          <w:rFonts w:ascii="Arial" w:eastAsia="Calibri" w:hAnsi="Arial" w:cs="Arial"/>
          <w:sz w:val="20"/>
          <w:szCs w:val="20"/>
        </w:rPr>
        <w:t>uglavnom putem jedne aktivnosti i to iz sredstava Općinskog proračuna aktivnost A205101. Dio rashoda se može podmiriti iz viška prihoda, što se iskazuje kroz aktivnost A205112.</w:t>
      </w:r>
    </w:p>
    <w:p w14:paraId="714CC182" w14:textId="77777777" w:rsidR="009D0841" w:rsidRDefault="009D0841" w:rsidP="009D0841">
      <w:pPr>
        <w:autoSpaceDE w:val="0"/>
        <w:autoSpaceDN w:val="0"/>
        <w:adjustRightInd w:val="0"/>
        <w:spacing w:after="0" w:line="240" w:lineRule="auto"/>
        <w:jc w:val="both"/>
        <w:rPr>
          <w:rFonts w:ascii="Arial" w:eastAsia="Calibri" w:hAnsi="Arial" w:cs="Arial"/>
          <w:sz w:val="20"/>
          <w:szCs w:val="20"/>
          <w:lang w:eastAsia="en-US"/>
        </w:rPr>
      </w:pPr>
    </w:p>
    <w:p w14:paraId="4BF60069" w14:textId="3A309CBC" w:rsidR="009D0841" w:rsidRDefault="009D0841" w:rsidP="009D0841">
      <w:pPr>
        <w:autoSpaceDE w:val="0"/>
        <w:autoSpaceDN w:val="0"/>
        <w:adjustRightInd w:val="0"/>
        <w:spacing w:after="0" w:line="240" w:lineRule="auto"/>
        <w:jc w:val="both"/>
        <w:rPr>
          <w:rFonts w:ascii="Arial" w:eastAsia="Calibri" w:hAnsi="Arial" w:cs="Arial"/>
          <w:sz w:val="20"/>
          <w:szCs w:val="20"/>
          <w:lang w:eastAsia="en-US"/>
        </w:rPr>
      </w:pPr>
      <w:r w:rsidRPr="000257B5">
        <w:rPr>
          <w:rFonts w:ascii="Arial" w:eastAsia="Calibri" w:hAnsi="Arial" w:cs="Arial"/>
          <w:sz w:val="20"/>
          <w:szCs w:val="20"/>
          <w:lang w:eastAsia="en-US"/>
        </w:rPr>
        <w:t>Sveukupno rashodi za zaposlene proračunskog korisnika (31)</w:t>
      </w:r>
      <w:r>
        <w:rPr>
          <w:rFonts w:ascii="Arial" w:eastAsia="Calibri" w:hAnsi="Arial" w:cs="Arial"/>
          <w:sz w:val="20"/>
          <w:szCs w:val="20"/>
          <w:lang w:eastAsia="en-US"/>
        </w:rPr>
        <w:t xml:space="preserve"> (iskazano kroz aktivnost A205101 i A205112)</w:t>
      </w:r>
      <w:r w:rsidRPr="000257B5">
        <w:rPr>
          <w:rFonts w:ascii="Arial" w:eastAsia="Calibri" w:hAnsi="Arial" w:cs="Arial"/>
          <w:sz w:val="20"/>
          <w:szCs w:val="20"/>
          <w:lang w:eastAsia="en-US"/>
        </w:rPr>
        <w:t xml:space="preserve"> iznose </w:t>
      </w:r>
      <w:r>
        <w:rPr>
          <w:rFonts w:ascii="Arial" w:eastAsia="Calibri" w:hAnsi="Arial" w:cs="Arial"/>
          <w:sz w:val="20"/>
          <w:szCs w:val="20"/>
          <w:lang w:eastAsia="en-US"/>
        </w:rPr>
        <w:t>2.686.946,31</w:t>
      </w:r>
      <w:r w:rsidRPr="000257B5">
        <w:rPr>
          <w:rFonts w:ascii="Arial" w:eastAsia="Calibri" w:hAnsi="Arial" w:cs="Arial"/>
          <w:sz w:val="20"/>
          <w:szCs w:val="20"/>
          <w:lang w:eastAsia="en-US"/>
        </w:rPr>
        <w:t xml:space="preserve"> € (</w:t>
      </w:r>
      <w:r>
        <w:rPr>
          <w:rFonts w:ascii="Arial" w:eastAsia="Calibri" w:hAnsi="Arial" w:cs="Arial"/>
          <w:sz w:val="20"/>
          <w:szCs w:val="20"/>
          <w:lang w:eastAsia="en-US"/>
        </w:rPr>
        <w:t>od čega iz viška prihoda – vlastitih sredstava 46.252,18 €)</w:t>
      </w:r>
      <w:r w:rsidRPr="000257B5">
        <w:rPr>
          <w:rFonts w:ascii="Arial" w:eastAsia="Calibri" w:hAnsi="Arial" w:cs="Arial"/>
          <w:sz w:val="20"/>
          <w:szCs w:val="20"/>
          <w:lang w:eastAsia="en-US"/>
        </w:rPr>
        <w:t>.</w:t>
      </w:r>
    </w:p>
    <w:p w14:paraId="0564EF36" w14:textId="3DD8F8A8" w:rsidR="009D0841" w:rsidRPr="000257B5" w:rsidRDefault="009D0841" w:rsidP="009D0841">
      <w:pPr>
        <w:autoSpaceDE w:val="0"/>
        <w:autoSpaceDN w:val="0"/>
        <w:adjustRightInd w:val="0"/>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Rashodi za plaće (31) proračunskog korisnika imaju udjel 10,56% ukupnih rashoda poslovanja i rashoda za nabavu nefinancijske imovine konsolidiranog proračuna (3+4), dok u sveukupno izvršenim rashodima i izdacima proračuna za 2025. godinu (3+4+5) iznose 10,16%.</w:t>
      </w:r>
    </w:p>
    <w:p w14:paraId="09F4AD43" w14:textId="77777777" w:rsidR="000C06FD" w:rsidRPr="00A534D1" w:rsidRDefault="000C06FD" w:rsidP="00805864">
      <w:pPr>
        <w:spacing w:after="0" w:line="240" w:lineRule="auto"/>
        <w:jc w:val="both"/>
        <w:rPr>
          <w:rFonts w:ascii="Arial" w:eastAsia="Calibri" w:hAnsi="Arial" w:cs="Arial"/>
          <w:sz w:val="20"/>
          <w:szCs w:val="20"/>
        </w:rPr>
      </w:pPr>
    </w:p>
    <w:p w14:paraId="508EE48F" w14:textId="326F9988" w:rsidR="00805864" w:rsidRPr="009D0841" w:rsidRDefault="00805864" w:rsidP="00805864">
      <w:pPr>
        <w:pStyle w:val="Odlomakpopisa"/>
        <w:autoSpaceDE w:val="0"/>
        <w:autoSpaceDN w:val="0"/>
        <w:adjustRightInd w:val="0"/>
        <w:ind w:left="0"/>
        <w:rPr>
          <w:rFonts w:ascii="Arial" w:eastAsia="Calibri" w:hAnsi="Arial" w:cs="Arial"/>
        </w:rPr>
      </w:pPr>
      <w:r w:rsidRPr="00A534D1">
        <w:rPr>
          <w:rFonts w:ascii="Arial" w:eastAsia="Calibri" w:hAnsi="Arial" w:cs="Arial"/>
        </w:rPr>
        <w:t xml:space="preserve">Sveukupno rashodi za zaposlene proračunskog korisnika (31) iznose </w:t>
      </w:r>
      <w:r w:rsidR="000C06FD">
        <w:rPr>
          <w:rFonts w:ascii="Arial" w:eastAsia="Calibri" w:hAnsi="Arial" w:cs="Arial"/>
        </w:rPr>
        <w:t>2.686.946,31</w:t>
      </w:r>
      <w:r w:rsidRPr="00A534D1">
        <w:rPr>
          <w:rFonts w:ascii="Arial" w:eastAsia="Calibri" w:hAnsi="Arial" w:cs="Arial"/>
        </w:rPr>
        <w:t xml:space="preserve"> € (iz sredstava proračuna u cijelosti </w:t>
      </w:r>
      <w:r w:rsidR="000C06FD">
        <w:rPr>
          <w:rFonts w:ascii="Arial" w:eastAsia="Calibri" w:hAnsi="Arial" w:cs="Arial"/>
        </w:rPr>
        <w:t>i iz</w:t>
      </w:r>
      <w:r w:rsidRPr="00A534D1">
        <w:rPr>
          <w:rFonts w:ascii="Arial" w:eastAsia="Calibri" w:hAnsi="Arial" w:cs="Arial"/>
        </w:rPr>
        <w:t xml:space="preserve"> sredstva ustanove). Rashodi za zaposlene (31) čine </w:t>
      </w:r>
      <w:r w:rsidR="000C06FD">
        <w:rPr>
          <w:rFonts w:ascii="Arial" w:eastAsia="Calibri" w:hAnsi="Arial" w:cs="Arial"/>
        </w:rPr>
        <w:t>80,5</w:t>
      </w:r>
      <w:r w:rsidRPr="00A534D1">
        <w:rPr>
          <w:rFonts w:ascii="Arial" w:eastAsia="Calibri" w:hAnsi="Arial" w:cs="Arial"/>
        </w:rPr>
        <w:t xml:space="preserve">% ukupnih rashoda ovog proračunskog korisnika (program 2051), a dodatno s naknadama za prijevoz na posao i s posla čine </w:t>
      </w:r>
      <w:r w:rsidR="000C06FD">
        <w:rPr>
          <w:rFonts w:ascii="Arial" w:eastAsia="Calibri" w:hAnsi="Arial" w:cs="Arial"/>
        </w:rPr>
        <w:t>84,2</w:t>
      </w:r>
      <w:r w:rsidRPr="00A534D1">
        <w:rPr>
          <w:rFonts w:ascii="Arial" w:eastAsia="Calibri" w:hAnsi="Arial" w:cs="Arial"/>
        </w:rPr>
        <w:t xml:space="preserve"> % ukupnih rashoda </w:t>
      </w:r>
      <w:r w:rsidRPr="009D0841">
        <w:rPr>
          <w:rFonts w:ascii="Arial" w:eastAsia="Calibri" w:hAnsi="Arial" w:cs="Arial"/>
        </w:rPr>
        <w:t>dječjeg vrtića.</w:t>
      </w:r>
    </w:p>
    <w:p w14:paraId="14E3248F" w14:textId="77777777" w:rsidR="00805864" w:rsidRPr="009D0841" w:rsidRDefault="00805864" w:rsidP="00805864">
      <w:pPr>
        <w:spacing w:after="0" w:line="240" w:lineRule="auto"/>
        <w:jc w:val="both"/>
        <w:rPr>
          <w:rFonts w:ascii="Arial" w:eastAsia="Calibri" w:hAnsi="Arial" w:cs="Arial"/>
          <w:sz w:val="20"/>
          <w:szCs w:val="20"/>
        </w:rPr>
      </w:pPr>
    </w:p>
    <w:p w14:paraId="68FE36EC" w14:textId="77777777" w:rsidR="00805864" w:rsidRPr="009D0841" w:rsidRDefault="00805864" w:rsidP="00805864">
      <w:pPr>
        <w:spacing w:after="0" w:line="240" w:lineRule="auto"/>
        <w:jc w:val="both"/>
        <w:rPr>
          <w:rFonts w:ascii="Arial" w:eastAsia="Calibri" w:hAnsi="Arial" w:cs="Arial"/>
          <w:sz w:val="20"/>
          <w:szCs w:val="20"/>
        </w:rPr>
      </w:pPr>
      <w:r w:rsidRPr="009D0841">
        <w:rPr>
          <w:rFonts w:ascii="Arial" w:eastAsia="Calibri" w:hAnsi="Arial" w:cs="Arial"/>
          <w:sz w:val="20"/>
          <w:szCs w:val="20"/>
        </w:rPr>
        <w:t>Na kraju 2025.godine Ustanova je imala 113 zaposlenih djelatnika: ravnateljica, 2 pedagoga, edukacijski rehabilitator, zdravstvena voditeljica, 69 odgojitelja, 10 pomoćnika za njegu i skrb, tajnica, voditelj računovodstva, administrator, stručnjak zaštite na radu, ekonom domar, domar-rukovatelj postrojenja, domar – vozač, 3 kuharice i 19 spremačica .</w:t>
      </w:r>
    </w:p>
    <w:p w14:paraId="7B8DE5AE" w14:textId="77777777" w:rsidR="00805864" w:rsidRPr="009D0841" w:rsidRDefault="00805864" w:rsidP="00805864">
      <w:pPr>
        <w:spacing w:after="0" w:line="240" w:lineRule="auto"/>
        <w:jc w:val="both"/>
        <w:rPr>
          <w:rFonts w:ascii="Arial" w:eastAsia="Calibri" w:hAnsi="Arial" w:cs="Arial"/>
          <w:sz w:val="20"/>
          <w:szCs w:val="20"/>
        </w:rPr>
      </w:pPr>
    </w:p>
    <w:p w14:paraId="0DB13E46" w14:textId="77777777" w:rsidR="00805864" w:rsidRPr="00774F5B" w:rsidRDefault="00805864" w:rsidP="00805864">
      <w:pPr>
        <w:spacing w:after="0" w:line="240" w:lineRule="auto"/>
        <w:jc w:val="both"/>
        <w:rPr>
          <w:rFonts w:ascii="Arial" w:eastAsia="Calibri" w:hAnsi="Arial" w:cs="Arial"/>
          <w:sz w:val="20"/>
          <w:szCs w:val="20"/>
        </w:rPr>
      </w:pPr>
      <w:r w:rsidRPr="00A534D1">
        <w:rPr>
          <w:rFonts w:ascii="Arial" w:eastAsia="Calibri" w:hAnsi="Arial" w:cs="Arial"/>
          <w:sz w:val="20"/>
          <w:szCs w:val="20"/>
        </w:rPr>
        <w:t>Koncem 202</w:t>
      </w:r>
      <w:r>
        <w:rPr>
          <w:rFonts w:ascii="Arial" w:eastAsia="Calibri" w:hAnsi="Arial" w:cs="Arial"/>
          <w:sz w:val="20"/>
          <w:szCs w:val="20"/>
        </w:rPr>
        <w:t>5</w:t>
      </w:r>
      <w:r w:rsidRPr="00A534D1">
        <w:rPr>
          <w:rFonts w:ascii="Arial" w:eastAsia="Calibri" w:hAnsi="Arial" w:cs="Arial"/>
          <w:sz w:val="20"/>
          <w:szCs w:val="20"/>
        </w:rPr>
        <w:t>. na osnovi stvarnog stanja bilo je 1</w:t>
      </w:r>
      <w:r>
        <w:rPr>
          <w:rFonts w:ascii="Arial" w:eastAsia="Calibri" w:hAnsi="Arial" w:cs="Arial"/>
          <w:sz w:val="20"/>
          <w:szCs w:val="20"/>
        </w:rPr>
        <w:t>13</w:t>
      </w:r>
      <w:r w:rsidRPr="00A534D1">
        <w:rPr>
          <w:rFonts w:ascii="Arial" w:eastAsia="Calibri" w:hAnsi="Arial" w:cs="Arial"/>
          <w:sz w:val="20"/>
          <w:szCs w:val="20"/>
        </w:rPr>
        <w:t xml:space="preserve"> zaposlenika, a na osnovi sati rada 1</w:t>
      </w:r>
      <w:r>
        <w:rPr>
          <w:rFonts w:ascii="Arial" w:eastAsia="Calibri" w:hAnsi="Arial" w:cs="Arial"/>
          <w:sz w:val="20"/>
          <w:szCs w:val="20"/>
        </w:rPr>
        <w:t>10</w:t>
      </w:r>
      <w:r w:rsidRPr="00A534D1">
        <w:rPr>
          <w:rFonts w:ascii="Arial" w:eastAsia="Calibri" w:hAnsi="Arial" w:cs="Arial"/>
          <w:color w:val="C00000"/>
          <w:sz w:val="20"/>
          <w:szCs w:val="20"/>
        </w:rPr>
        <w:t xml:space="preserve"> </w:t>
      </w:r>
      <w:r w:rsidRPr="00A534D1">
        <w:rPr>
          <w:rFonts w:ascii="Arial" w:eastAsia="Calibri" w:hAnsi="Arial" w:cs="Arial"/>
          <w:sz w:val="20"/>
          <w:szCs w:val="20"/>
        </w:rPr>
        <w:t>zaposlenika.</w:t>
      </w:r>
    </w:p>
    <w:p w14:paraId="63AEB2DC" w14:textId="6109485D" w:rsidR="00805864" w:rsidRPr="00A534D1" w:rsidRDefault="00805864" w:rsidP="00805864">
      <w:pPr>
        <w:spacing w:after="0" w:line="240" w:lineRule="auto"/>
        <w:jc w:val="both"/>
        <w:rPr>
          <w:rFonts w:ascii="Arial" w:eastAsia="Calibri" w:hAnsi="Arial" w:cs="Arial"/>
          <w:sz w:val="20"/>
          <w:szCs w:val="20"/>
        </w:rPr>
      </w:pPr>
      <w:r w:rsidRPr="00A534D1">
        <w:rPr>
          <w:rFonts w:ascii="Arial" w:eastAsia="Calibri" w:hAnsi="Arial" w:cs="Arial"/>
          <w:sz w:val="20"/>
          <w:szCs w:val="20"/>
        </w:rPr>
        <w:t>Kroz programe dječjeg vrtića do kraja 202</w:t>
      </w:r>
      <w:r>
        <w:rPr>
          <w:rFonts w:ascii="Arial" w:eastAsia="Calibri" w:hAnsi="Arial" w:cs="Arial"/>
          <w:sz w:val="20"/>
          <w:szCs w:val="20"/>
        </w:rPr>
        <w:t>5</w:t>
      </w:r>
      <w:r w:rsidRPr="00A534D1">
        <w:rPr>
          <w:rFonts w:ascii="Arial" w:eastAsia="Calibri" w:hAnsi="Arial" w:cs="Arial"/>
          <w:sz w:val="20"/>
          <w:szCs w:val="20"/>
        </w:rPr>
        <w:t xml:space="preserve">. je prosječno uključeno </w:t>
      </w:r>
      <w:r w:rsidRPr="004B0302">
        <w:rPr>
          <w:rFonts w:ascii="Arial" w:eastAsia="Calibri" w:hAnsi="Arial" w:cs="Arial"/>
          <w:sz w:val="20"/>
          <w:szCs w:val="20"/>
        </w:rPr>
        <w:t>4</w:t>
      </w:r>
      <w:r>
        <w:rPr>
          <w:rFonts w:ascii="Arial" w:eastAsia="Calibri" w:hAnsi="Arial" w:cs="Arial"/>
          <w:sz w:val="20"/>
          <w:szCs w:val="20"/>
        </w:rPr>
        <w:t>53 djeteta</w:t>
      </w:r>
      <w:r w:rsidRPr="00A534D1">
        <w:rPr>
          <w:rFonts w:ascii="Arial" w:eastAsia="Calibri" w:hAnsi="Arial" w:cs="Arial"/>
          <w:sz w:val="20"/>
          <w:szCs w:val="20"/>
        </w:rPr>
        <w:t xml:space="preserve"> u dobi od prve do sedme godine života.</w:t>
      </w:r>
    </w:p>
    <w:p w14:paraId="6C18D18B" w14:textId="40107AF0" w:rsidR="00E41537" w:rsidRPr="003A2F86" w:rsidRDefault="00E41537" w:rsidP="00805864">
      <w:pPr>
        <w:spacing w:after="0" w:line="240" w:lineRule="auto"/>
        <w:jc w:val="both"/>
        <w:rPr>
          <w:rFonts w:ascii="Arial" w:eastAsia="Calibri" w:hAnsi="Arial" w:cs="Arial"/>
          <w:b/>
          <w:sz w:val="20"/>
          <w:szCs w:val="20"/>
        </w:rPr>
      </w:pPr>
    </w:p>
    <w:p w14:paraId="216010DE" w14:textId="77777777" w:rsidR="009D0841" w:rsidRPr="009D0841" w:rsidRDefault="003752B9" w:rsidP="009D0841">
      <w:pPr>
        <w:spacing w:after="0" w:line="240" w:lineRule="auto"/>
        <w:jc w:val="both"/>
        <w:rPr>
          <w:rFonts w:ascii="Arial" w:eastAsia="Calibri" w:hAnsi="Arial" w:cs="Arial"/>
          <w:sz w:val="20"/>
          <w:szCs w:val="20"/>
        </w:rPr>
      </w:pPr>
      <w:r w:rsidRPr="003A2F86">
        <w:rPr>
          <w:rFonts w:ascii="Arial" w:eastAsia="Calibri" w:hAnsi="Arial" w:cs="Arial"/>
          <w:b/>
          <w:sz w:val="20"/>
          <w:szCs w:val="20"/>
        </w:rPr>
        <w:t xml:space="preserve">2. A205102: Opremanje dječjeg vrtića (skupine, igrališta) i sufinanciranje programa predškolskog odgoja </w:t>
      </w:r>
      <w:r w:rsidRPr="003A2F86">
        <w:rPr>
          <w:rFonts w:ascii="Arial" w:eastAsia="Calibri" w:hAnsi="Arial" w:cs="Arial"/>
          <w:sz w:val="20"/>
          <w:szCs w:val="20"/>
        </w:rPr>
        <w:t xml:space="preserve">– </w:t>
      </w:r>
      <w:r w:rsidR="009D0841" w:rsidRPr="009D0841">
        <w:rPr>
          <w:rFonts w:ascii="Arial" w:eastAsia="Calibri" w:hAnsi="Arial" w:cs="Arial"/>
          <w:sz w:val="20"/>
          <w:szCs w:val="20"/>
        </w:rPr>
        <w:t xml:space="preserve">planirana sredstva u iznosu 39.000,00 €. Rashodi su izvršeni u iznosu 23.214,13 € ili 59,5% plana. U okviru ove aktivnosti se iskazuje utrošak sredstava od Ministarstva znanosti i obrazovanja. </w:t>
      </w:r>
    </w:p>
    <w:p w14:paraId="7D73EA83" w14:textId="6CB2C6A4" w:rsidR="009D0841" w:rsidRPr="009D0841" w:rsidRDefault="009D0841" w:rsidP="009D0841">
      <w:pPr>
        <w:spacing w:after="0" w:line="240" w:lineRule="auto"/>
        <w:jc w:val="both"/>
        <w:rPr>
          <w:rFonts w:ascii="Arial" w:eastAsia="Calibri" w:hAnsi="Arial" w:cs="Arial"/>
          <w:sz w:val="20"/>
          <w:szCs w:val="20"/>
        </w:rPr>
      </w:pPr>
      <w:r w:rsidRPr="009D0841">
        <w:rPr>
          <w:rFonts w:ascii="Arial" w:eastAsia="Calibri" w:hAnsi="Arial" w:cs="Arial"/>
          <w:sz w:val="20"/>
          <w:szCs w:val="20"/>
        </w:rPr>
        <w:lastRenderedPageBreak/>
        <w:t>Prema odlukama Ministarstva, vrtić je u 2025.g. ostvario pravo na dva ciklusa za 19 djece iz programa za djecu s teškoćama koja su integrirana u redovite odgojno-obrazovne skupine (106.00 €  mjesečno  za 7-ero djece, 80.00 € mjesečno za 4-ero djece  i 53.00 € mjesečno  za 8-ero djece), te pravo  na  isplatu za 85 djece iz programa Predškole (iznos obroka 3,60 € po djetetu, ukupno mjesečno 306,00 €).</w:t>
      </w:r>
    </w:p>
    <w:p w14:paraId="62F8A9EF" w14:textId="77777777" w:rsidR="009D0841" w:rsidRPr="009D0841" w:rsidRDefault="009D0841" w:rsidP="009D0841">
      <w:pPr>
        <w:spacing w:after="0" w:line="240" w:lineRule="auto"/>
        <w:jc w:val="both"/>
        <w:rPr>
          <w:rFonts w:ascii="Arial" w:eastAsia="Calibri" w:hAnsi="Arial" w:cs="Arial"/>
          <w:sz w:val="20"/>
          <w:szCs w:val="20"/>
        </w:rPr>
      </w:pPr>
      <w:r w:rsidRPr="009D0841">
        <w:rPr>
          <w:rFonts w:ascii="Arial" w:eastAsia="Calibri" w:hAnsi="Arial" w:cs="Arial"/>
          <w:sz w:val="20"/>
          <w:szCs w:val="20"/>
        </w:rPr>
        <w:t xml:space="preserve">Ukupno ostvarena sredstva ministarstva u 2025. g. iznose 7.649,00 €. </w:t>
      </w:r>
    </w:p>
    <w:p w14:paraId="789C29E3" w14:textId="77777777" w:rsidR="009D0841" w:rsidRPr="009D0841" w:rsidRDefault="009D0841" w:rsidP="009D0841">
      <w:pPr>
        <w:spacing w:after="0" w:line="240" w:lineRule="auto"/>
        <w:jc w:val="both"/>
        <w:rPr>
          <w:rFonts w:ascii="Arial" w:eastAsia="Calibri" w:hAnsi="Arial" w:cs="Arial"/>
          <w:sz w:val="20"/>
          <w:szCs w:val="20"/>
        </w:rPr>
      </w:pPr>
    </w:p>
    <w:p w14:paraId="19FFD12B" w14:textId="77777777" w:rsidR="009D0841" w:rsidRPr="009D0841" w:rsidRDefault="009D0841" w:rsidP="009D0841">
      <w:pPr>
        <w:spacing w:after="0" w:line="240" w:lineRule="auto"/>
        <w:jc w:val="both"/>
        <w:rPr>
          <w:rFonts w:ascii="Arial" w:eastAsia="Calibri" w:hAnsi="Arial" w:cs="Arial"/>
          <w:sz w:val="20"/>
          <w:szCs w:val="20"/>
        </w:rPr>
      </w:pPr>
      <w:r w:rsidRPr="009D0841">
        <w:rPr>
          <w:rFonts w:ascii="Arial" w:eastAsia="Calibri" w:hAnsi="Arial" w:cs="Arial"/>
          <w:sz w:val="20"/>
          <w:szCs w:val="20"/>
        </w:rPr>
        <w:t xml:space="preserve">Izvršeni rashodi odnose se na didaktički i likovni materijal za potrebe djece po skupinama, opremu  i didaktiku po dječjim skupinama i radne listovi za program Predškole. </w:t>
      </w:r>
    </w:p>
    <w:p w14:paraId="5228F199" w14:textId="06082116" w:rsidR="00FA7F82" w:rsidRDefault="009D0841" w:rsidP="009D0841">
      <w:pPr>
        <w:spacing w:after="0" w:line="240" w:lineRule="auto"/>
        <w:jc w:val="both"/>
        <w:rPr>
          <w:rFonts w:ascii="Arial" w:eastAsia="Calibri" w:hAnsi="Arial" w:cs="Arial"/>
          <w:sz w:val="20"/>
          <w:szCs w:val="20"/>
        </w:rPr>
      </w:pPr>
      <w:r w:rsidRPr="009D0841">
        <w:rPr>
          <w:rFonts w:ascii="Arial" w:eastAsia="Calibri" w:hAnsi="Arial" w:cs="Arial"/>
          <w:sz w:val="20"/>
          <w:szCs w:val="20"/>
        </w:rPr>
        <w:t>Od opreme su nabavljene dječje garderobe i ormari sa policama i kutijama, kao i razna didaktika za razvoj i igru djece po skupinama i vanjskim prostorima . Napravljena je montaža dijela ograde U DV Cavtat i popravak ograde u DV Marijin dom.</w:t>
      </w:r>
    </w:p>
    <w:p w14:paraId="2C30F1A3" w14:textId="77777777" w:rsidR="009D0841" w:rsidRDefault="009D0841" w:rsidP="009D0841">
      <w:pPr>
        <w:spacing w:after="0" w:line="240" w:lineRule="auto"/>
        <w:jc w:val="both"/>
        <w:rPr>
          <w:rFonts w:ascii="Arial" w:eastAsia="Calibri" w:hAnsi="Arial" w:cs="Arial"/>
          <w:b/>
          <w:sz w:val="20"/>
          <w:szCs w:val="20"/>
        </w:rPr>
      </w:pPr>
    </w:p>
    <w:p w14:paraId="0E682CC0" w14:textId="3D00A216" w:rsidR="009D0841" w:rsidRPr="009D0841" w:rsidRDefault="00647FA8" w:rsidP="009D0841">
      <w:pPr>
        <w:spacing w:after="0" w:line="240" w:lineRule="auto"/>
        <w:jc w:val="both"/>
        <w:rPr>
          <w:rFonts w:ascii="Arial" w:eastAsia="Calibri" w:hAnsi="Arial" w:cs="Arial"/>
          <w:sz w:val="20"/>
          <w:szCs w:val="20"/>
        </w:rPr>
      </w:pPr>
      <w:r w:rsidRPr="003A2F86">
        <w:rPr>
          <w:rFonts w:ascii="Arial" w:eastAsia="Calibri" w:hAnsi="Arial" w:cs="Arial"/>
          <w:b/>
          <w:sz w:val="20"/>
          <w:szCs w:val="20"/>
        </w:rPr>
        <w:t>3. K205103: Rekonstrukcija i investicijsko održavanje kuhinje, otvora, sanitarnih čvorova i krova u jaslicama Cavtat</w:t>
      </w:r>
      <w:r w:rsidRPr="003A2F86">
        <w:rPr>
          <w:rFonts w:ascii="Arial" w:eastAsia="Calibri" w:hAnsi="Arial" w:cs="Arial"/>
          <w:sz w:val="20"/>
          <w:szCs w:val="20"/>
        </w:rPr>
        <w:t xml:space="preserve">– </w:t>
      </w:r>
      <w:r w:rsidR="009D0841" w:rsidRPr="009D0841">
        <w:rPr>
          <w:rFonts w:ascii="Arial" w:eastAsia="Calibri" w:hAnsi="Arial" w:cs="Arial"/>
          <w:sz w:val="20"/>
          <w:szCs w:val="20"/>
        </w:rPr>
        <w:t>Proračunska sredstva planirana su u iznosu 59.800</w:t>
      </w:r>
      <w:r w:rsidR="009D0841">
        <w:rPr>
          <w:rFonts w:ascii="Arial" w:eastAsia="Calibri" w:hAnsi="Arial" w:cs="Arial"/>
          <w:sz w:val="20"/>
          <w:szCs w:val="20"/>
        </w:rPr>
        <w:t xml:space="preserve"> </w:t>
      </w:r>
      <w:r w:rsidR="009D0841" w:rsidRPr="009D0841">
        <w:rPr>
          <w:rFonts w:ascii="Arial" w:eastAsia="Calibri" w:hAnsi="Arial" w:cs="Arial"/>
          <w:sz w:val="20"/>
          <w:szCs w:val="20"/>
        </w:rPr>
        <w:t>€. Planirano je investicijsko održavanje skupina, krovišta, igrališta, otvora i sanitarnih čvorova u Dječjem vrtiću i jaslicama Cavtat. Rashodi su izvršeni u iznosu 49.518,57 €. Napravljena je ugradnja portafona uz izvođenje radova po Ugovoru, radovi pri proširenju vrtićne skupine, sanacija krova, izrada i montaža ograde oko objekta DV Cavtat, nabava i montaža laminata i vinila sa letvicama. Obavljena su ispitivanja plinskih instalacija i cijevi, troškovnik te izdavanje dokumentacije o ispravnosti.</w:t>
      </w:r>
    </w:p>
    <w:p w14:paraId="166F91E4" w14:textId="4D897334" w:rsidR="00906D3D" w:rsidRPr="00452C16" w:rsidRDefault="00906D3D" w:rsidP="009D0841">
      <w:pPr>
        <w:autoSpaceDE w:val="0"/>
        <w:autoSpaceDN w:val="0"/>
        <w:adjustRightInd w:val="0"/>
        <w:spacing w:after="0" w:line="240" w:lineRule="auto"/>
        <w:jc w:val="both"/>
        <w:rPr>
          <w:rFonts w:ascii="Arial" w:eastAsia="Calibri" w:hAnsi="Arial" w:cs="Arial"/>
          <w:sz w:val="20"/>
          <w:szCs w:val="20"/>
        </w:rPr>
      </w:pPr>
    </w:p>
    <w:p w14:paraId="37807469" w14:textId="482FEC79" w:rsidR="003D4B1B" w:rsidRDefault="003D4B1B" w:rsidP="003D4B1B">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b/>
          <w:sz w:val="20"/>
          <w:szCs w:val="20"/>
        </w:rPr>
        <w:t xml:space="preserve">4. K205104: Izmjena grijanja, te tekuće i investicijsko održavanje u dječjem vrtiću u vrtiću Katićan, Čilipi </w:t>
      </w:r>
      <w:r w:rsidRPr="003A2F86">
        <w:rPr>
          <w:rFonts w:ascii="Arial" w:eastAsia="Calibri" w:hAnsi="Arial" w:cs="Arial"/>
          <w:sz w:val="20"/>
          <w:szCs w:val="20"/>
        </w:rPr>
        <w:t xml:space="preserve">– </w:t>
      </w:r>
      <w:r w:rsidR="009D0841" w:rsidRPr="009D0841">
        <w:rPr>
          <w:rFonts w:ascii="Arial" w:eastAsia="Calibri" w:hAnsi="Arial" w:cs="Arial"/>
          <w:sz w:val="20"/>
          <w:szCs w:val="20"/>
        </w:rPr>
        <w:t>Proračunska sredstva su planirana u iznosu 8.600,00 € i odnose se na održavanje objekta. Rashodi su izvršeni u iznosu 5.932,40 €. Rashodi se odnose na postavljanje i izradu vrata u DV Katićan, popravak grilja na prozorima, nabavu i ugradnju aluminijskog profila, demontažu starog klima uređaja te postavljanje na novu poziciju i puštanje u rad, kao i održavanje videonadzornog sustava u DV Katićan.</w:t>
      </w:r>
    </w:p>
    <w:p w14:paraId="2F041BE2" w14:textId="77777777" w:rsidR="009D0841" w:rsidRPr="003A2F86" w:rsidRDefault="009D0841" w:rsidP="003D4B1B">
      <w:pPr>
        <w:autoSpaceDE w:val="0"/>
        <w:autoSpaceDN w:val="0"/>
        <w:adjustRightInd w:val="0"/>
        <w:spacing w:after="0" w:line="240" w:lineRule="auto"/>
        <w:jc w:val="both"/>
        <w:rPr>
          <w:rFonts w:ascii="Arial" w:eastAsia="Calibri" w:hAnsi="Arial" w:cs="Arial"/>
          <w:sz w:val="20"/>
          <w:szCs w:val="20"/>
        </w:rPr>
      </w:pPr>
    </w:p>
    <w:p w14:paraId="5A876316" w14:textId="77777777" w:rsidR="009D0841" w:rsidRPr="009D0841" w:rsidRDefault="003D4B1B" w:rsidP="009D0841">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b/>
          <w:sz w:val="20"/>
          <w:szCs w:val="20"/>
        </w:rPr>
        <w:t xml:space="preserve">5. K205106: Prenamjena objekta za potrebe dječjeg vrtića s tekućim i investicijskim održavanjem, Gruda </w:t>
      </w:r>
      <w:r w:rsidRPr="003A2F86">
        <w:rPr>
          <w:rFonts w:ascii="Arial" w:eastAsia="Calibri" w:hAnsi="Arial" w:cs="Arial"/>
          <w:sz w:val="20"/>
          <w:szCs w:val="20"/>
        </w:rPr>
        <w:t>-</w:t>
      </w:r>
      <w:r w:rsidR="00307649" w:rsidRPr="003A2F86">
        <w:rPr>
          <w:rFonts w:ascii="Arial" w:eastAsia="Calibri" w:hAnsi="Arial" w:cs="Arial"/>
          <w:sz w:val="20"/>
          <w:szCs w:val="20"/>
        </w:rPr>
        <w:t xml:space="preserve"> </w:t>
      </w:r>
      <w:r w:rsidR="009D0841" w:rsidRPr="009D0841">
        <w:rPr>
          <w:rFonts w:ascii="Arial" w:eastAsia="Calibri" w:hAnsi="Arial" w:cs="Arial"/>
          <w:sz w:val="20"/>
          <w:szCs w:val="20"/>
        </w:rPr>
        <w:t>Proračunska sredstva unutar ove aktivnosti su planirana u iznosu 24.500,00€. Rashodi se odnose na  nabavu i postavljanje laminata po skupinama, radove u kotlovnici i održavanju radijatora, nabava i montaža klima uređaja. Od opreme nabavljen je omekšivač vode za nadopunu opremanja kuhinje, profesionalni stolni robot i hladnjak zamrzivač sa ladicama.</w:t>
      </w:r>
    </w:p>
    <w:p w14:paraId="3C25FC14" w14:textId="767F1B89" w:rsidR="00307649" w:rsidRDefault="009D0841" w:rsidP="009D0841">
      <w:pPr>
        <w:autoSpaceDE w:val="0"/>
        <w:autoSpaceDN w:val="0"/>
        <w:adjustRightInd w:val="0"/>
        <w:spacing w:after="0" w:line="240" w:lineRule="auto"/>
        <w:jc w:val="both"/>
        <w:rPr>
          <w:rFonts w:ascii="Arial" w:eastAsia="Calibri" w:hAnsi="Arial" w:cs="Arial"/>
          <w:sz w:val="20"/>
          <w:szCs w:val="20"/>
        </w:rPr>
      </w:pPr>
      <w:r w:rsidRPr="009D0841">
        <w:rPr>
          <w:rFonts w:ascii="Arial" w:eastAsia="Calibri" w:hAnsi="Arial" w:cs="Arial"/>
          <w:sz w:val="20"/>
          <w:szCs w:val="20"/>
        </w:rPr>
        <w:t xml:space="preserve">Rashodi su izvršeni u iznosu 20.394,52 €. </w:t>
      </w:r>
    </w:p>
    <w:p w14:paraId="04B6DE69" w14:textId="77777777" w:rsidR="009D0841" w:rsidRPr="003A2F86" w:rsidRDefault="009D0841" w:rsidP="009D0841">
      <w:pPr>
        <w:autoSpaceDE w:val="0"/>
        <w:autoSpaceDN w:val="0"/>
        <w:adjustRightInd w:val="0"/>
        <w:spacing w:after="0" w:line="240" w:lineRule="auto"/>
        <w:jc w:val="both"/>
        <w:rPr>
          <w:rFonts w:ascii="Arial" w:eastAsia="Calibri" w:hAnsi="Arial" w:cs="Arial"/>
          <w:sz w:val="18"/>
          <w:szCs w:val="18"/>
        </w:rPr>
      </w:pPr>
    </w:p>
    <w:p w14:paraId="134F7B95" w14:textId="77777777" w:rsidR="00AC7B34" w:rsidRPr="00A534D1" w:rsidRDefault="00D004DD" w:rsidP="00AC7B34">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b/>
          <w:sz w:val="20"/>
          <w:szCs w:val="20"/>
        </w:rPr>
        <w:t xml:space="preserve">6. K205107: Prenamjena objekta za potrebe dječjeg vrtića s tekućim i investicijskim održavanjem, Pridvorje </w:t>
      </w:r>
      <w:r w:rsidRPr="003A2F86">
        <w:rPr>
          <w:rFonts w:ascii="Arial" w:eastAsia="Calibri" w:hAnsi="Arial" w:cs="Arial"/>
          <w:sz w:val="20"/>
          <w:szCs w:val="20"/>
        </w:rPr>
        <w:t xml:space="preserve">- </w:t>
      </w:r>
      <w:r w:rsidR="00AC7B34" w:rsidRPr="00A534D1">
        <w:rPr>
          <w:rFonts w:ascii="Arial" w:eastAsia="Calibri" w:hAnsi="Arial" w:cs="Arial"/>
          <w:sz w:val="20"/>
          <w:szCs w:val="20"/>
        </w:rPr>
        <w:t>Proračunska sredstva planira</w:t>
      </w:r>
      <w:r w:rsidR="00AC7B34">
        <w:rPr>
          <w:rFonts w:ascii="Arial" w:eastAsia="Calibri" w:hAnsi="Arial" w:cs="Arial"/>
          <w:sz w:val="20"/>
          <w:szCs w:val="20"/>
        </w:rPr>
        <w:t>na su</w:t>
      </w:r>
      <w:r w:rsidR="00AC7B34" w:rsidRPr="00A534D1">
        <w:rPr>
          <w:rFonts w:ascii="Arial" w:eastAsia="Calibri" w:hAnsi="Arial" w:cs="Arial"/>
          <w:sz w:val="20"/>
          <w:szCs w:val="20"/>
        </w:rPr>
        <w:t xml:space="preserve">  putem ove aktivnosti</w:t>
      </w:r>
      <w:r w:rsidR="00AC7B34">
        <w:rPr>
          <w:rFonts w:ascii="Arial" w:eastAsia="Calibri" w:hAnsi="Arial" w:cs="Arial"/>
          <w:sz w:val="20"/>
          <w:szCs w:val="20"/>
        </w:rPr>
        <w:t xml:space="preserve"> u iznosu od 3.900,00 €, a izvršeno je 1.450,00 €, nabavljen je i montiran novi klima uređaj.</w:t>
      </w:r>
    </w:p>
    <w:p w14:paraId="5A611AD1" w14:textId="6B44AE5C" w:rsidR="00D004DD" w:rsidRPr="003A2F86" w:rsidRDefault="00D004DD" w:rsidP="00AC7B34">
      <w:pPr>
        <w:autoSpaceDE w:val="0"/>
        <w:autoSpaceDN w:val="0"/>
        <w:adjustRightInd w:val="0"/>
        <w:spacing w:after="0" w:line="240" w:lineRule="auto"/>
        <w:jc w:val="both"/>
        <w:rPr>
          <w:rFonts w:ascii="Arial" w:eastAsia="Calibri" w:hAnsi="Arial" w:cs="Arial"/>
          <w:sz w:val="20"/>
          <w:szCs w:val="20"/>
        </w:rPr>
      </w:pPr>
    </w:p>
    <w:p w14:paraId="5A4EA7A7" w14:textId="5EEEC320" w:rsidR="00D004DD" w:rsidRPr="003A2F86" w:rsidRDefault="00D004DD" w:rsidP="00D004DD">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b/>
          <w:sz w:val="20"/>
          <w:szCs w:val="20"/>
        </w:rPr>
        <w:t xml:space="preserve">7. A205110: Prenamjena objekta za potrebe dječjeg vrtića s tekućim i investicijskim održavanjem, Cavtat </w:t>
      </w:r>
      <w:r w:rsidRPr="003A2F86">
        <w:rPr>
          <w:rFonts w:ascii="Arial" w:eastAsia="Calibri" w:hAnsi="Arial" w:cs="Arial"/>
          <w:sz w:val="20"/>
          <w:szCs w:val="20"/>
        </w:rPr>
        <w:t xml:space="preserve">– Proračunska sredstva </w:t>
      </w:r>
      <w:r w:rsidR="002505EA" w:rsidRPr="003A2F86">
        <w:rPr>
          <w:rFonts w:ascii="Arial" w:eastAsia="Calibri" w:hAnsi="Arial" w:cs="Arial"/>
          <w:sz w:val="20"/>
          <w:szCs w:val="20"/>
        </w:rPr>
        <w:t xml:space="preserve">nisu </w:t>
      </w:r>
      <w:r w:rsidRPr="003A2F86">
        <w:rPr>
          <w:rFonts w:ascii="Arial" w:eastAsia="Calibri" w:hAnsi="Arial" w:cs="Arial"/>
          <w:sz w:val="20"/>
          <w:szCs w:val="20"/>
        </w:rPr>
        <w:t xml:space="preserve">planirana. </w:t>
      </w:r>
    </w:p>
    <w:p w14:paraId="1682A8CF" w14:textId="77777777" w:rsidR="00D004DD" w:rsidRPr="003A2F86" w:rsidRDefault="00D004DD" w:rsidP="00D004DD">
      <w:pPr>
        <w:spacing w:after="0" w:line="240" w:lineRule="auto"/>
        <w:jc w:val="both"/>
        <w:rPr>
          <w:rFonts w:ascii="Arial" w:eastAsia="Calibri" w:hAnsi="Arial" w:cs="Arial"/>
          <w:sz w:val="18"/>
          <w:szCs w:val="18"/>
        </w:rPr>
      </w:pPr>
    </w:p>
    <w:p w14:paraId="7C91ED3C" w14:textId="77777777" w:rsidR="00AC7B34" w:rsidRPr="00A534D1" w:rsidRDefault="00D004DD" w:rsidP="00AC7B34">
      <w:pPr>
        <w:spacing w:after="0" w:line="240" w:lineRule="auto"/>
        <w:jc w:val="both"/>
        <w:rPr>
          <w:rFonts w:ascii="Arial" w:eastAsia="Calibri" w:hAnsi="Arial" w:cs="Arial"/>
          <w:sz w:val="20"/>
          <w:szCs w:val="20"/>
        </w:rPr>
      </w:pPr>
      <w:r w:rsidRPr="003A2F86">
        <w:rPr>
          <w:rFonts w:ascii="Arial" w:eastAsia="Calibri" w:hAnsi="Arial" w:cs="Arial"/>
          <w:b/>
          <w:sz w:val="20"/>
          <w:szCs w:val="20"/>
        </w:rPr>
        <w:t xml:space="preserve">8. A205112: Osnovne aktivnosti dječjeg vrtića – vlastita djelatnost </w:t>
      </w:r>
      <w:r w:rsidRPr="003A2F86">
        <w:rPr>
          <w:rFonts w:ascii="Arial" w:eastAsia="Calibri" w:hAnsi="Arial" w:cs="Arial"/>
          <w:sz w:val="20"/>
          <w:szCs w:val="20"/>
        </w:rPr>
        <w:t xml:space="preserve">- </w:t>
      </w:r>
      <w:r w:rsidR="00AC7B34" w:rsidRPr="00A534D1">
        <w:rPr>
          <w:rFonts w:ascii="Arial" w:eastAsia="Calibri" w:hAnsi="Arial" w:cs="Arial"/>
          <w:sz w:val="20"/>
          <w:szCs w:val="20"/>
        </w:rPr>
        <w:t xml:space="preserve">u sklopu navedene aktivnosti planiraju se rashodi koje proračunski korisnik podmiruje iz vlastitih sredstava (višak iz prethodne godine, prihodi od sufinanciranja cijene vrtića iz tekuće godine, te sredstva od pružene usluge prehrane djeci u produženom boravku u osnovnoj školi Gruda, područnim školama Popovići i Čilipi) u iznosu </w:t>
      </w:r>
      <w:r w:rsidR="00AC7B34">
        <w:rPr>
          <w:rFonts w:ascii="Arial" w:eastAsia="Calibri" w:hAnsi="Arial" w:cs="Arial"/>
          <w:sz w:val="20"/>
          <w:szCs w:val="20"/>
        </w:rPr>
        <w:t>551.600,00</w:t>
      </w:r>
      <w:r w:rsidR="00AC7B34" w:rsidRPr="00A534D1">
        <w:rPr>
          <w:rFonts w:ascii="Arial" w:eastAsia="Calibri" w:hAnsi="Arial" w:cs="Arial"/>
          <w:sz w:val="20"/>
          <w:szCs w:val="20"/>
        </w:rPr>
        <w:t xml:space="preserve"> €.</w:t>
      </w:r>
    </w:p>
    <w:p w14:paraId="05470D6A" w14:textId="77777777" w:rsidR="00AC7B34" w:rsidRPr="00A534D1" w:rsidRDefault="00AC7B34" w:rsidP="00AC7B34">
      <w:pPr>
        <w:spacing w:after="0" w:line="240" w:lineRule="auto"/>
        <w:jc w:val="both"/>
        <w:rPr>
          <w:rFonts w:ascii="Arial" w:eastAsia="Calibri" w:hAnsi="Arial" w:cs="Arial"/>
          <w:sz w:val="20"/>
          <w:szCs w:val="20"/>
        </w:rPr>
      </w:pPr>
    </w:p>
    <w:p w14:paraId="11DA3D4E" w14:textId="77777777" w:rsidR="00AC7B34" w:rsidRPr="00A534D1" w:rsidRDefault="00AC7B34" w:rsidP="00AC7B34">
      <w:pPr>
        <w:spacing w:after="0" w:line="240" w:lineRule="auto"/>
        <w:jc w:val="both"/>
        <w:rPr>
          <w:rFonts w:ascii="Arial" w:eastAsia="Calibri" w:hAnsi="Arial" w:cs="Arial"/>
          <w:sz w:val="20"/>
          <w:szCs w:val="20"/>
        </w:rPr>
      </w:pPr>
      <w:r w:rsidRPr="00A534D1">
        <w:rPr>
          <w:rFonts w:ascii="Arial" w:eastAsia="Calibri" w:hAnsi="Arial" w:cs="Arial"/>
          <w:sz w:val="20"/>
          <w:szCs w:val="20"/>
        </w:rPr>
        <w:t>. Rashodi su izvršeni u iznosu 4</w:t>
      </w:r>
      <w:r>
        <w:rPr>
          <w:rFonts w:ascii="Arial" w:eastAsia="Calibri" w:hAnsi="Arial" w:cs="Arial"/>
          <w:sz w:val="20"/>
          <w:szCs w:val="20"/>
        </w:rPr>
        <w:t>83.350,33</w:t>
      </w:r>
      <w:r w:rsidRPr="00A534D1">
        <w:rPr>
          <w:rFonts w:ascii="Arial" w:eastAsia="Calibri" w:hAnsi="Arial" w:cs="Arial"/>
          <w:sz w:val="20"/>
          <w:szCs w:val="20"/>
        </w:rPr>
        <w:t xml:space="preserve"> € ili </w:t>
      </w:r>
      <w:r>
        <w:rPr>
          <w:rFonts w:ascii="Arial" w:eastAsia="Calibri" w:hAnsi="Arial" w:cs="Arial"/>
          <w:sz w:val="20"/>
          <w:szCs w:val="20"/>
        </w:rPr>
        <w:t>87,60</w:t>
      </w:r>
      <w:r w:rsidRPr="00A534D1">
        <w:rPr>
          <w:rFonts w:ascii="Arial" w:eastAsia="Calibri" w:hAnsi="Arial" w:cs="Arial"/>
          <w:sz w:val="20"/>
          <w:szCs w:val="20"/>
        </w:rPr>
        <w:t>% plana, a odnose se na:</w:t>
      </w:r>
    </w:p>
    <w:p w14:paraId="7C6E89BC" w14:textId="77777777" w:rsidR="00AC7B34" w:rsidRPr="00A534D1" w:rsidRDefault="00AC7B34" w:rsidP="00AC7B34">
      <w:pPr>
        <w:spacing w:after="0" w:line="240" w:lineRule="auto"/>
        <w:jc w:val="both"/>
        <w:rPr>
          <w:rFonts w:ascii="Arial" w:eastAsia="Calibri" w:hAnsi="Arial" w:cs="Arial"/>
          <w:sz w:val="20"/>
          <w:szCs w:val="20"/>
        </w:rPr>
      </w:pPr>
      <w:r w:rsidRPr="00A534D1">
        <w:rPr>
          <w:rFonts w:ascii="Arial" w:eastAsia="Calibri" w:hAnsi="Arial" w:cs="Arial"/>
          <w:sz w:val="20"/>
          <w:szCs w:val="20"/>
        </w:rPr>
        <w:t xml:space="preserve">- rashodi za zaposlene (31) u iznosu </w:t>
      </w:r>
      <w:r>
        <w:rPr>
          <w:rFonts w:ascii="Arial" w:eastAsia="Calibri" w:hAnsi="Arial" w:cs="Arial"/>
          <w:sz w:val="20"/>
          <w:szCs w:val="20"/>
        </w:rPr>
        <w:t>46.252,18</w:t>
      </w:r>
      <w:r w:rsidRPr="00A534D1">
        <w:rPr>
          <w:rFonts w:ascii="Arial" w:eastAsia="Calibri" w:hAnsi="Arial" w:cs="Arial"/>
          <w:sz w:val="20"/>
          <w:szCs w:val="20"/>
        </w:rPr>
        <w:t xml:space="preserve"> € (plaće, doprinosi i ostali rashodi za zaposlene),</w:t>
      </w:r>
    </w:p>
    <w:p w14:paraId="37A6FE8A" w14:textId="77777777" w:rsidR="00AC7B34" w:rsidRPr="00A534D1" w:rsidRDefault="00AC7B34" w:rsidP="00AC7B34">
      <w:pPr>
        <w:spacing w:after="0" w:line="240" w:lineRule="auto"/>
        <w:jc w:val="both"/>
        <w:rPr>
          <w:rFonts w:ascii="Arial" w:eastAsia="Calibri" w:hAnsi="Arial" w:cs="Arial"/>
          <w:sz w:val="20"/>
          <w:szCs w:val="20"/>
        </w:rPr>
      </w:pPr>
      <w:r w:rsidRPr="00A534D1">
        <w:rPr>
          <w:rFonts w:ascii="Arial" w:eastAsia="Calibri" w:hAnsi="Arial" w:cs="Arial"/>
          <w:sz w:val="20"/>
          <w:szCs w:val="20"/>
        </w:rPr>
        <w:t>- naknade troškova zaposlenih (321) u iznosu 1</w:t>
      </w:r>
      <w:r>
        <w:rPr>
          <w:rFonts w:ascii="Arial" w:eastAsia="Calibri" w:hAnsi="Arial" w:cs="Arial"/>
          <w:sz w:val="20"/>
          <w:szCs w:val="20"/>
        </w:rPr>
        <w:t>9.922,34</w:t>
      </w:r>
      <w:r w:rsidRPr="00A534D1">
        <w:rPr>
          <w:rFonts w:ascii="Arial" w:eastAsia="Calibri" w:hAnsi="Arial" w:cs="Arial"/>
          <w:sz w:val="20"/>
          <w:szCs w:val="20"/>
        </w:rPr>
        <w:t xml:space="preserve"> ( službena putovanja i stručno usavršavanje zaposlenih),</w:t>
      </w:r>
    </w:p>
    <w:p w14:paraId="1C7FB6BF" w14:textId="77777777" w:rsidR="00AC7B34" w:rsidRPr="00A534D1" w:rsidRDefault="00AC7B34" w:rsidP="00AC7B34">
      <w:pPr>
        <w:spacing w:after="0" w:line="240" w:lineRule="auto"/>
        <w:jc w:val="both"/>
        <w:rPr>
          <w:rFonts w:ascii="Arial" w:eastAsia="Calibri" w:hAnsi="Arial" w:cs="Arial"/>
          <w:sz w:val="20"/>
          <w:szCs w:val="20"/>
        </w:rPr>
      </w:pPr>
      <w:r w:rsidRPr="00A534D1">
        <w:rPr>
          <w:rFonts w:ascii="Arial" w:eastAsia="Calibri" w:hAnsi="Arial" w:cs="Arial"/>
          <w:sz w:val="20"/>
          <w:szCs w:val="20"/>
        </w:rPr>
        <w:t>- rashodi za materijal i energiju (322) u iznosu 2</w:t>
      </w:r>
      <w:r>
        <w:rPr>
          <w:rFonts w:ascii="Arial" w:eastAsia="Calibri" w:hAnsi="Arial" w:cs="Arial"/>
          <w:sz w:val="20"/>
          <w:szCs w:val="20"/>
        </w:rPr>
        <w:t>93.547,83</w:t>
      </w:r>
      <w:r w:rsidRPr="00A534D1">
        <w:rPr>
          <w:rFonts w:ascii="Arial" w:eastAsia="Calibri" w:hAnsi="Arial" w:cs="Arial"/>
          <w:sz w:val="20"/>
          <w:szCs w:val="20"/>
        </w:rPr>
        <w:t xml:space="preserve"> € (u okviru ovih rashoda vrijednosno najznačajniji rashodi odnose se na troškove namirnica 1</w:t>
      </w:r>
      <w:r>
        <w:rPr>
          <w:rFonts w:ascii="Arial" w:eastAsia="Calibri" w:hAnsi="Arial" w:cs="Arial"/>
          <w:sz w:val="20"/>
          <w:szCs w:val="20"/>
        </w:rPr>
        <w:t>83.854,94</w:t>
      </w:r>
      <w:r w:rsidRPr="00A534D1">
        <w:rPr>
          <w:rFonts w:ascii="Arial" w:eastAsia="Calibri" w:hAnsi="Arial" w:cs="Arial"/>
          <w:sz w:val="20"/>
          <w:szCs w:val="20"/>
        </w:rPr>
        <w:t xml:space="preserve">€, uredski materijal i drugi materijalni rashodi </w:t>
      </w:r>
      <w:r>
        <w:rPr>
          <w:rFonts w:ascii="Arial" w:eastAsia="Calibri" w:hAnsi="Arial" w:cs="Arial"/>
          <w:sz w:val="20"/>
          <w:szCs w:val="20"/>
        </w:rPr>
        <w:t>41.543,87</w:t>
      </w:r>
      <w:r w:rsidRPr="00A534D1">
        <w:rPr>
          <w:rFonts w:ascii="Arial" w:eastAsia="Calibri" w:hAnsi="Arial" w:cs="Arial"/>
          <w:sz w:val="20"/>
          <w:szCs w:val="20"/>
        </w:rPr>
        <w:t xml:space="preserve"> €, energija, gorivo i plin 4</w:t>
      </w:r>
      <w:r>
        <w:rPr>
          <w:rFonts w:ascii="Arial" w:eastAsia="Calibri" w:hAnsi="Arial" w:cs="Arial"/>
          <w:sz w:val="20"/>
          <w:szCs w:val="20"/>
        </w:rPr>
        <w:t>6.482,13</w:t>
      </w:r>
      <w:r w:rsidRPr="00A534D1">
        <w:rPr>
          <w:rFonts w:ascii="Arial" w:eastAsia="Calibri" w:hAnsi="Arial" w:cs="Arial"/>
          <w:sz w:val="20"/>
          <w:szCs w:val="20"/>
        </w:rPr>
        <w:t xml:space="preserve"> €, materijal za tekuće i investicijsko održavanje 1</w:t>
      </w:r>
      <w:r>
        <w:rPr>
          <w:rFonts w:ascii="Arial" w:eastAsia="Calibri" w:hAnsi="Arial" w:cs="Arial"/>
          <w:sz w:val="20"/>
          <w:szCs w:val="20"/>
        </w:rPr>
        <w:t>8.616,08</w:t>
      </w:r>
      <w:r w:rsidRPr="00A534D1">
        <w:rPr>
          <w:rFonts w:ascii="Arial" w:eastAsia="Calibri" w:hAnsi="Arial" w:cs="Arial"/>
          <w:sz w:val="20"/>
          <w:szCs w:val="20"/>
        </w:rPr>
        <w:t xml:space="preserve"> €, sitan inventar 1</w:t>
      </w:r>
      <w:r>
        <w:rPr>
          <w:rFonts w:ascii="Arial" w:eastAsia="Calibri" w:hAnsi="Arial" w:cs="Arial"/>
          <w:sz w:val="20"/>
          <w:szCs w:val="20"/>
        </w:rPr>
        <w:t>.668,82</w:t>
      </w:r>
      <w:r w:rsidRPr="00A534D1">
        <w:rPr>
          <w:rFonts w:ascii="Arial" w:eastAsia="Calibri" w:hAnsi="Arial" w:cs="Arial"/>
          <w:sz w:val="20"/>
          <w:szCs w:val="20"/>
        </w:rPr>
        <w:t xml:space="preserve"> € ( </w:t>
      </w:r>
      <w:r>
        <w:rPr>
          <w:rFonts w:ascii="Arial" w:eastAsia="Calibri" w:hAnsi="Arial" w:cs="Arial"/>
          <w:sz w:val="20"/>
          <w:szCs w:val="20"/>
        </w:rPr>
        <w:t xml:space="preserve">2 mala hladnjaka, garderoba dječja u Marijin dom, kuhinjski sitni inventar), </w:t>
      </w:r>
      <w:r w:rsidRPr="00A534D1">
        <w:rPr>
          <w:rFonts w:ascii="Arial" w:eastAsia="Calibri" w:hAnsi="Arial" w:cs="Arial"/>
          <w:sz w:val="20"/>
          <w:szCs w:val="20"/>
        </w:rPr>
        <w:t>kupljena je  i radna odjeća i obuća u iznosu od 1</w:t>
      </w:r>
      <w:r>
        <w:rPr>
          <w:rFonts w:ascii="Arial" w:eastAsia="Calibri" w:hAnsi="Arial" w:cs="Arial"/>
          <w:sz w:val="20"/>
          <w:szCs w:val="20"/>
        </w:rPr>
        <w:t>.381,99</w:t>
      </w:r>
      <w:r w:rsidRPr="00A534D1">
        <w:rPr>
          <w:rFonts w:ascii="Arial" w:eastAsia="Calibri" w:hAnsi="Arial" w:cs="Arial"/>
          <w:sz w:val="20"/>
          <w:szCs w:val="20"/>
        </w:rPr>
        <w:t xml:space="preserve"> €),</w:t>
      </w:r>
    </w:p>
    <w:p w14:paraId="6A928338" w14:textId="5F06D643" w:rsidR="00AC7B34" w:rsidRPr="00A534D1" w:rsidRDefault="00AC7B34" w:rsidP="00AC7B34">
      <w:pPr>
        <w:spacing w:after="0" w:line="240" w:lineRule="auto"/>
        <w:jc w:val="both"/>
        <w:rPr>
          <w:rFonts w:ascii="Arial" w:eastAsia="Calibri" w:hAnsi="Arial" w:cs="Arial"/>
          <w:sz w:val="20"/>
          <w:szCs w:val="20"/>
        </w:rPr>
      </w:pPr>
      <w:r w:rsidRPr="00A534D1">
        <w:rPr>
          <w:rFonts w:ascii="Arial" w:eastAsia="Calibri" w:hAnsi="Arial" w:cs="Arial"/>
          <w:sz w:val="20"/>
          <w:szCs w:val="20"/>
        </w:rPr>
        <w:lastRenderedPageBreak/>
        <w:t xml:space="preserve">- rashodi za usluge (323) u iznosu od </w:t>
      </w:r>
      <w:r>
        <w:rPr>
          <w:rFonts w:ascii="Arial" w:eastAsia="Calibri" w:hAnsi="Arial" w:cs="Arial"/>
          <w:sz w:val="20"/>
          <w:szCs w:val="20"/>
        </w:rPr>
        <w:t>103.410,38</w:t>
      </w:r>
      <w:r w:rsidRPr="00A534D1">
        <w:rPr>
          <w:rFonts w:ascii="Arial" w:eastAsia="Calibri" w:hAnsi="Arial" w:cs="Arial"/>
          <w:sz w:val="20"/>
          <w:szCs w:val="20"/>
        </w:rPr>
        <w:t xml:space="preserve"> € odnose se na tekuće troškove komunikacije, održavanje objekata i opreme (od čega održavanje objekata, postrojenja , opreme i prijevoznih sredstava </w:t>
      </w:r>
      <w:r>
        <w:rPr>
          <w:rFonts w:ascii="Arial" w:eastAsia="Calibri" w:hAnsi="Arial" w:cs="Arial"/>
          <w:sz w:val="20"/>
          <w:szCs w:val="20"/>
        </w:rPr>
        <w:t>50.390,59</w:t>
      </w:r>
      <w:r w:rsidRPr="00A534D1">
        <w:rPr>
          <w:rFonts w:ascii="Arial" w:eastAsia="Calibri" w:hAnsi="Arial" w:cs="Arial"/>
          <w:color w:val="FF0000"/>
          <w:sz w:val="20"/>
          <w:szCs w:val="20"/>
        </w:rPr>
        <w:t xml:space="preserve"> </w:t>
      </w:r>
      <w:r w:rsidRPr="00A534D1">
        <w:rPr>
          <w:rFonts w:ascii="Arial" w:eastAsia="Calibri" w:hAnsi="Arial" w:cs="Arial"/>
          <w:sz w:val="20"/>
          <w:szCs w:val="20"/>
        </w:rPr>
        <w:t xml:space="preserve">€ ( popravci perilica rublja i posuđa, sušilice rublja, konvektomata, kuhinjskog kotla, popravak i održavanje klima uređaja, ugradnja led svjetiljki, </w:t>
      </w:r>
      <w:r>
        <w:rPr>
          <w:rFonts w:ascii="Arial" w:eastAsia="Calibri" w:hAnsi="Arial" w:cs="Arial"/>
          <w:sz w:val="20"/>
          <w:szCs w:val="20"/>
        </w:rPr>
        <w:t xml:space="preserve">odčepljivanje odvoda,, pranje tepiha, izmjera prostorija za izradu Plana evakuacije, </w:t>
      </w:r>
      <w:r w:rsidRPr="00A534D1">
        <w:rPr>
          <w:rFonts w:ascii="Arial" w:eastAsia="Calibri" w:hAnsi="Arial" w:cs="Arial"/>
          <w:sz w:val="20"/>
          <w:szCs w:val="20"/>
        </w:rPr>
        <w:t>servis video nadzornog sustava, ispitivanje elektroinstalacija, uređaja i opreme po objektima</w:t>
      </w:r>
      <w:r>
        <w:rPr>
          <w:rFonts w:ascii="Arial" w:eastAsia="Calibri" w:hAnsi="Arial" w:cs="Arial"/>
          <w:sz w:val="20"/>
          <w:szCs w:val="20"/>
        </w:rPr>
        <w:t xml:space="preserve">, popravak salamoreznice i štapnog miksera, popravak vatrodojavnog sustava, </w:t>
      </w:r>
      <w:r w:rsidRPr="003831B9">
        <w:rPr>
          <w:rFonts w:ascii="Arial" w:eastAsia="Calibri" w:hAnsi="Arial" w:cs="Arial"/>
          <w:sz w:val="20"/>
          <w:szCs w:val="20"/>
        </w:rPr>
        <w:t>ugradnja portafona po objektima</w:t>
      </w:r>
      <w:r>
        <w:rPr>
          <w:rFonts w:ascii="Arial" w:eastAsia="Calibri" w:hAnsi="Arial" w:cs="Arial"/>
          <w:sz w:val="20"/>
          <w:szCs w:val="20"/>
        </w:rPr>
        <w:t xml:space="preserve">, te nabava i montaža laminata </w:t>
      </w:r>
      <w:r w:rsidRPr="00A534D1">
        <w:rPr>
          <w:rFonts w:ascii="Arial" w:eastAsia="Calibri" w:hAnsi="Arial" w:cs="Arial"/>
          <w:sz w:val="20"/>
          <w:szCs w:val="20"/>
        </w:rPr>
        <w:t>) ,</w:t>
      </w:r>
      <w:r w:rsidRPr="00A534D1">
        <w:rPr>
          <w:rFonts w:ascii="Arial" w:eastAsia="Calibri" w:hAnsi="Arial" w:cs="Arial"/>
          <w:color w:val="FF0000"/>
          <w:sz w:val="20"/>
          <w:szCs w:val="20"/>
        </w:rPr>
        <w:t xml:space="preserve"> </w:t>
      </w:r>
      <w:r w:rsidRPr="00A534D1">
        <w:rPr>
          <w:rFonts w:ascii="Arial" w:eastAsia="Calibri" w:hAnsi="Arial" w:cs="Arial"/>
          <w:sz w:val="20"/>
          <w:szCs w:val="20"/>
        </w:rPr>
        <w:t xml:space="preserve">komunalne usluge </w:t>
      </w:r>
      <w:r>
        <w:rPr>
          <w:rFonts w:ascii="Arial" w:eastAsia="Calibri" w:hAnsi="Arial" w:cs="Arial"/>
          <w:sz w:val="20"/>
          <w:szCs w:val="20"/>
        </w:rPr>
        <w:t>23.508,50</w:t>
      </w:r>
      <w:r w:rsidRPr="00A534D1">
        <w:rPr>
          <w:rFonts w:ascii="Arial" w:eastAsia="Calibri" w:hAnsi="Arial" w:cs="Arial"/>
          <w:sz w:val="20"/>
          <w:szCs w:val="20"/>
        </w:rPr>
        <w:t xml:space="preserve"> € (opskrba vodom, odvoz smeća, deratizacija i ostalo), zdravstvene usluge </w:t>
      </w:r>
      <w:r>
        <w:rPr>
          <w:rFonts w:ascii="Arial" w:eastAsia="Calibri" w:hAnsi="Arial" w:cs="Arial"/>
          <w:sz w:val="20"/>
          <w:szCs w:val="20"/>
        </w:rPr>
        <w:t>15.729,13</w:t>
      </w:r>
      <w:r w:rsidRPr="00A534D1">
        <w:rPr>
          <w:rFonts w:ascii="Arial" w:eastAsia="Calibri" w:hAnsi="Arial" w:cs="Arial"/>
          <w:sz w:val="20"/>
          <w:szCs w:val="20"/>
        </w:rPr>
        <w:t xml:space="preserve"> €, računalne usluge te ostale usluge,</w:t>
      </w:r>
    </w:p>
    <w:p w14:paraId="11C0E046" w14:textId="77777777" w:rsidR="00AC7B34" w:rsidRPr="00A534D1" w:rsidRDefault="00AC7B34" w:rsidP="00AC7B34">
      <w:pPr>
        <w:spacing w:after="0" w:line="240" w:lineRule="auto"/>
        <w:jc w:val="both"/>
        <w:rPr>
          <w:rFonts w:ascii="Arial" w:eastAsia="Calibri" w:hAnsi="Arial" w:cs="Arial"/>
          <w:sz w:val="20"/>
          <w:szCs w:val="20"/>
        </w:rPr>
      </w:pPr>
      <w:r w:rsidRPr="00A534D1">
        <w:rPr>
          <w:rFonts w:ascii="Arial" w:eastAsia="Calibri" w:hAnsi="Arial" w:cs="Arial"/>
          <w:sz w:val="20"/>
          <w:szCs w:val="20"/>
        </w:rPr>
        <w:t>- ostali rashodi poslovanja (329) u iznosu 9.</w:t>
      </w:r>
      <w:r>
        <w:rPr>
          <w:rFonts w:ascii="Arial" w:eastAsia="Calibri" w:hAnsi="Arial" w:cs="Arial"/>
          <w:sz w:val="20"/>
          <w:szCs w:val="20"/>
        </w:rPr>
        <w:t>537,22</w:t>
      </w:r>
      <w:r w:rsidRPr="00A534D1">
        <w:rPr>
          <w:rFonts w:ascii="Arial" w:eastAsia="Calibri" w:hAnsi="Arial" w:cs="Arial"/>
          <w:sz w:val="20"/>
          <w:szCs w:val="20"/>
        </w:rPr>
        <w:t xml:space="preserve"> € ( premije osiguranja, reprezentacija, ostali rashodi poslovanja),</w:t>
      </w:r>
    </w:p>
    <w:p w14:paraId="2F68AA9B" w14:textId="77777777" w:rsidR="00AC7B34" w:rsidRPr="00A534D1" w:rsidRDefault="00AC7B34" w:rsidP="00AC7B34">
      <w:pPr>
        <w:spacing w:after="0" w:line="240" w:lineRule="auto"/>
        <w:jc w:val="both"/>
        <w:rPr>
          <w:rFonts w:ascii="Arial" w:eastAsia="Calibri" w:hAnsi="Arial" w:cs="Arial"/>
          <w:sz w:val="20"/>
          <w:szCs w:val="20"/>
        </w:rPr>
      </w:pPr>
      <w:r w:rsidRPr="00A534D1">
        <w:rPr>
          <w:rFonts w:ascii="Arial" w:eastAsia="Calibri" w:hAnsi="Arial" w:cs="Arial"/>
          <w:sz w:val="20"/>
          <w:szCs w:val="20"/>
        </w:rPr>
        <w:t xml:space="preserve">- oprema (422) u iznosu </w:t>
      </w:r>
      <w:r>
        <w:rPr>
          <w:rFonts w:ascii="Arial" w:eastAsia="Calibri" w:hAnsi="Arial" w:cs="Arial"/>
          <w:sz w:val="20"/>
          <w:szCs w:val="20"/>
        </w:rPr>
        <w:t>7.953,64</w:t>
      </w:r>
      <w:r w:rsidRPr="00A534D1">
        <w:rPr>
          <w:rFonts w:ascii="Arial" w:eastAsia="Calibri" w:hAnsi="Arial" w:cs="Arial"/>
          <w:sz w:val="20"/>
          <w:szCs w:val="20"/>
        </w:rPr>
        <w:t xml:space="preserve"> € ( </w:t>
      </w:r>
      <w:r>
        <w:rPr>
          <w:rFonts w:ascii="Arial" w:eastAsia="Calibri" w:hAnsi="Arial" w:cs="Arial"/>
          <w:sz w:val="20"/>
          <w:szCs w:val="20"/>
        </w:rPr>
        <w:t>2</w:t>
      </w:r>
      <w:r w:rsidRPr="00A534D1">
        <w:rPr>
          <w:rFonts w:ascii="Arial" w:eastAsia="Calibri" w:hAnsi="Arial" w:cs="Arial"/>
          <w:sz w:val="20"/>
          <w:szCs w:val="20"/>
        </w:rPr>
        <w:t xml:space="preserve"> računala, </w:t>
      </w:r>
      <w:r>
        <w:rPr>
          <w:rFonts w:ascii="Arial" w:eastAsia="Calibri" w:hAnsi="Arial" w:cs="Arial"/>
          <w:sz w:val="20"/>
          <w:szCs w:val="20"/>
        </w:rPr>
        <w:t>2 laptopa, 2 metalna ormara</w:t>
      </w:r>
      <w:r w:rsidRPr="00A534D1">
        <w:rPr>
          <w:rFonts w:ascii="Arial" w:eastAsia="Calibri" w:hAnsi="Arial" w:cs="Arial"/>
          <w:sz w:val="20"/>
          <w:szCs w:val="20"/>
        </w:rPr>
        <w:t xml:space="preserve">, garderobni ormar, </w:t>
      </w:r>
      <w:r>
        <w:rPr>
          <w:rFonts w:ascii="Arial" w:eastAsia="Calibri" w:hAnsi="Arial" w:cs="Arial"/>
          <w:sz w:val="20"/>
          <w:szCs w:val="20"/>
        </w:rPr>
        <w:t>drobilica kuhinjskog otpada</w:t>
      </w:r>
      <w:r w:rsidRPr="00A534D1">
        <w:rPr>
          <w:rFonts w:ascii="Arial" w:eastAsia="Calibri" w:hAnsi="Arial" w:cs="Arial"/>
          <w:sz w:val="20"/>
          <w:szCs w:val="20"/>
        </w:rPr>
        <w:t xml:space="preserve">). </w:t>
      </w:r>
    </w:p>
    <w:p w14:paraId="44C5B8E3" w14:textId="5D65D998" w:rsidR="00DD41C8" w:rsidRDefault="00DD41C8" w:rsidP="00AC7B34">
      <w:pPr>
        <w:spacing w:after="0" w:line="240" w:lineRule="auto"/>
        <w:jc w:val="both"/>
        <w:rPr>
          <w:rFonts w:ascii="Arial" w:eastAsia="Calibri" w:hAnsi="Arial" w:cs="Arial"/>
          <w:sz w:val="20"/>
          <w:szCs w:val="20"/>
        </w:rPr>
      </w:pPr>
    </w:p>
    <w:p w14:paraId="682903E1" w14:textId="77777777" w:rsidR="00AC7B34" w:rsidRDefault="002C5474" w:rsidP="002C5474">
      <w:pPr>
        <w:spacing w:after="0" w:line="240" w:lineRule="auto"/>
        <w:jc w:val="both"/>
        <w:rPr>
          <w:rFonts w:ascii="Arial" w:eastAsia="Calibri" w:hAnsi="Arial" w:cs="Arial"/>
          <w:sz w:val="20"/>
          <w:szCs w:val="20"/>
        </w:rPr>
      </w:pPr>
      <w:r w:rsidRPr="00A534D1">
        <w:rPr>
          <w:rFonts w:ascii="Arial" w:eastAsia="Calibri" w:hAnsi="Arial" w:cs="Arial"/>
          <w:b/>
          <w:bCs/>
          <w:sz w:val="20"/>
          <w:szCs w:val="20"/>
        </w:rPr>
        <w:t xml:space="preserve">9. A205119: Nabava dostavnog vozila </w:t>
      </w:r>
      <w:r w:rsidRPr="00A534D1">
        <w:rPr>
          <w:rFonts w:ascii="Arial" w:eastAsia="Calibri" w:hAnsi="Arial" w:cs="Arial"/>
          <w:sz w:val="20"/>
          <w:szCs w:val="20"/>
        </w:rPr>
        <w:t>–</w:t>
      </w:r>
      <w:r w:rsidRPr="00A534D1">
        <w:rPr>
          <w:rFonts w:ascii="Arial" w:eastAsia="Calibri" w:hAnsi="Arial" w:cs="Arial"/>
          <w:b/>
          <w:bCs/>
          <w:sz w:val="20"/>
          <w:szCs w:val="20"/>
        </w:rPr>
        <w:t xml:space="preserve"> </w:t>
      </w:r>
      <w:r w:rsidRPr="00A534D1">
        <w:rPr>
          <w:rFonts w:ascii="Arial" w:eastAsia="Calibri" w:hAnsi="Arial" w:cs="Arial"/>
          <w:sz w:val="20"/>
          <w:szCs w:val="20"/>
        </w:rPr>
        <w:t xml:space="preserve">Proračunska sredstva </w:t>
      </w:r>
      <w:r w:rsidR="00967BA5">
        <w:rPr>
          <w:rFonts w:ascii="Arial" w:eastAsia="Calibri" w:hAnsi="Arial" w:cs="Arial"/>
          <w:sz w:val="20"/>
          <w:szCs w:val="20"/>
        </w:rPr>
        <w:t xml:space="preserve">nisu </w:t>
      </w:r>
      <w:r w:rsidRPr="00A534D1">
        <w:rPr>
          <w:rFonts w:ascii="Arial" w:eastAsia="Calibri" w:hAnsi="Arial" w:cs="Arial"/>
          <w:sz w:val="20"/>
          <w:szCs w:val="20"/>
        </w:rPr>
        <w:t>planirana</w:t>
      </w:r>
      <w:r w:rsidR="00AC7B34">
        <w:rPr>
          <w:rFonts w:ascii="Arial" w:eastAsia="Calibri" w:hAnsi="Arial" w:cs="Arial"/>
          <w:sz w:val="20"/>
          <w:szCs w:val="20"/>
        </w:rPr>
        <w:t>.</w:t>
      </w:r>
    </w:p>
    <w:p w14:paraId="5A8B70B9" w14:textId="0886BE9C" w:rsidR="002C5474" w:rsidRPr="00A534D1" w:rsidRDefault="00967BA5" w:rsidP="002C5474">
      <w:pPr>
        <w:spacing w:after="0" w:line="240" w:lineRule="auto"/>
        <w:jc w:val="both"/>
        <w:rPr>
          <w:rFonts w:ascii="Arial" w:eastAsia="Calibri" w:hAnsi="Arial" w:cs="Arial"/>
          <w:b/>
          <w:bCs/>
          <w:sz w:val="20"/>
          <w:szCs w:val="20"/>
        </w:rPr>
      </w:pPr>
      <w:r>
        <w:rPr>
          <w:rFonts w:ascii="Arial" w:eastAsia="Calibri" w:hAnsi="Arial" w:cs="Arial"/>
          <w:sz w:val="20"/>
          <w:szCs w:val="20"/>
        </w:rPr>
        <w:t xml:space="preserve">U 2024. je nabavljeno vozilo u </w:t>
      </w:r>
      <w:r w:rsidR="002C5474" w:rsidRPr="00A534D1">
        <w:rPr>
          <w:rFonts w:ascii="Arial" w:eastAsia="Calibri" w:hAnsi="Arial" w:cs="Arial"/>
          <w:sz w:val="20"/>
          <w:szCs w:val="20"/>
        </w:rPr>
        <w:t>iznosu 24.500</w:t>
      </w:r>
      <w:r w:rsidR="002C5474">
        <w:rPr>
          <w:rFonts w:ascii="Arial" w:eastAsia="Calibri" w:hAnsi="Arial" w:cs="Arial"/>
          <w:sz w:val="20"/>
          <w:szCs w:val="20"/>
        </w:rPr>
        <w:t xml:space="preserve"> </w:t>
      </w:r>
      <w:r w:rsidR="002C5474" w:rsidRPr="00A534D1">
        <w:rPr>
          <w:rFonts w:ascii="Arial" w:eastAsia="Calibri" w:hAnsi="Arial" w:cs="Arial"/>
          <w:sz w:val="20"/>
          <w:szCs w:val="20"/>
        </w:rPr>
        <w:t xml:space="preserve">€, </w:t>
      </w:r>
      <w:r>
        <w:rPr>
          <w:rFonts w:ascii="Arial" w:eastAsia="Calibri" w:hAnsi="Arial" w:cs="Arial"/>
          <w:sz w:val="20"/>
          <w:szCs w:val="20"/>
        </w:rPr>
        <w:t>d</w:t>
      </w:r>
      <w:r w:rsidR="002C5474" w:rsidRPr="00A534D1">
        <w:rPr>
          <w:rFonts w:ascii="Arial" w:eastAsia="Calibri" w:hAnsi="Arial" w:cs="Arial"/>
          <w:sz w:val="20"/>
          <w:szCs w:val="20"/>
        </w:rPr>
        <w:t>ostavno vozilo za dostavu hrane po objektima.</w:t>
      </w:r>
    </w:p>
    <w:p w14:paraId="32705BD9" w14:textId="77777777" w:rsidR="002C5474" w:rsidRPr="00A534D1" w:rsidRDefault="002C5474" w:rsidP="002C5474">
      <w:pPr>
        <w:spacing w:after="0" w:line="240" w:lineRule="auto"/>
        <w:jc w:val="both"/>
        <w:rPr>
          <w:rFonts w:ascii="Arial" w:eastAsia="Calibri" w:hAnsi="Arial" w:cs="Arial"/>
          <w:sz w:val="20"/>
          <w:szCs w:val="20"/>
        </w:rPr>
      </w:pPr>
    </w:p>
    <w:p w14:paraId="65CEA172" w14:textId="50AD244B" w:rsidR="003752B9" w:rsidRPr="00D12A0C" w:rsidRDefault="003752B9" w:rsidP="003752B9">
      <w:pPr>
        <w:autoSpaceDE w:val="0"/>
        <w:autoSpaceDN w:val="0"/>
        <w:adjustRightInd w:val="0"/>
        <w:spacing w:after="0" w:line="240" w:lineRule="auto"/>
        <w:jc w:val="both"/>
        <w:rPr>
          <w:rFonts w:ascii="Arial" w:eastAsia="Calibri" w:hAnsi="Arial" w:cs="Arial"/>
          <w:sz w:val="20"/>
          <w:szCs w:val="20"/>
        </w:rPr>
      </w:pPr>
      <w:r w:rsidRPr="00D12A0C">
        <w:rPr>
          <w:rFonts w:ascii="Arial" w:eastAsia="Calibri" w:hAnsi="Arial" w:cs="Arial"/>
          <w:sz w:val="20"/>
          <w:szCs w:val="20"/>
        </w:rPr>
        <w:t xml:space="preserve">Aktivnosti vezane uz opće ciljeve postignute su sukladno postocima izvršenja i u skladu s očekivanom dinamikom izvršenja rashoda. </w:t>
      </w:r>
      <w:r w:rsidRPr="00D12A0C">
        <w:rPr>
          <w:rFonts w:ascii="Arial" w:eastAsia="Calibri" w:hAnsi="Arial" w:cs="Arial"/>
          <w:sz w:val="20"/>
          <w:szCs w:val="20"/>
        </w:rPr>
        <w:br w:type="page"/>
      </w:r>
    </w:p>
    <w:p w14:paraId="43148A26" w14:textId="77777777" w:rsidR="003752B9" w:rsidRPr="00D12A0C" w:rsidRDefault="003752B9" w:rsidP="003752B9">
      <w:pPr>
        <w:spacing w:after="0" w:line="240" w:lineRule="auto"/>
        <w:rPr>
          <w:rFonts w:ascii="Arial" w:eastAsia="Calibri" w:hAnsi="Arial" w:cs="Arial"/>
          <w:b/>
          <w:sz w:val="20"/>
          <w:szCs w:val="20"/>
          <w:u w:val="single"/>
        </w:rPr>
      </w:pPr>
      <w:r w:rsidRPr="00D12A0C">
        <w:rPr>
          <w:rFonts w:ascii="Arial" w:eastAsia="Calibri" w:hAnsi="Arial" w:cs="Arial"/>
          <w:b/>
          <w:sz w:val="20"/>
          <w:szCs w:val="20"/>
          <w:u w:val="single"/>
        </w:rPr>
        <w:lastRenderedPageBreak/>
        <w:t xml:space="preserve">POKAZATELJI USPJEŠNOSTI </w:t>
      </w:r>
    </w:p>
    <w:p w14:paraId="0604B7B0" w14:textId="77777777" w:rsidR="003752B9" w:rsidRPr="00D12A0C" w:rsidRDefault="003752B9" w:rsidP="003752B9">
      <w:pPr>
        <w:spacing w:after="0" w:line="240" w:lineRule="auto"/>
        <w:rPr>
          <w:rFonts w:ascii="Arial" w:eastAsia="Calibri" w:hAnsi="Arial" w:cs="Arial"/>
          <w:sz w:val="20"/>
          <w:szCs w:val="20"/>
        </w:rPr>
      </w:pPr>
    </w:p>
    <w:p w14:paraId="7E079348" w14:textId="77777777" w:rsidR="003752B9" w:rsidRPr="00D12A0C" w:rsidRDefault="003752B9" w:rsidP="003752B9">
      <w:pPr>
        <w:spacing w:after="0" w:line="240" w:lineRule="auto"/>
        <w:jc w:val="both"/>
        <w:rPr>
          <w:rFonts w:ascii="Arial" w:eastAsia="Calibri" w:hAnsi="Arial" w:cs="Arial"/>
          <w:sz w:val="20"/>
          <w:szCs w:val="20"/>
        </w:rPr>
      </w:pPr>
      <w:r w:rsidRPr="00D12A0C">
        <w:rPr>
          <w:rFonts w:ascii="Arial" w:eastAsia="Calibri" w:hAnsi="Arial" w:cs="Arial"/>
          <w:sz w:val="20"/>
          <w:szCs w:val="20"/>
        </w:rPr>
        <w:t>Dječji vrtić Konavle je predškolska ustanova u kojoj se provode organizirani oblici izvanobiteljskog odgojno-obrazovnog rada s djecom rane i predškolske dobi. Predškolski odgoj ostvaruje se u skladu s razvojnim osobinama i potrebama djece te socijalnim, kulturnim, vjerskim i drugim potrebama obitelji.</w:t>
      </w:r>
    </w:p>
    <w:p w14:paraId="03AA21C7" w14:textId="77777777" w:rsidR="003752B9" w:rsidRPr="00D12A0C" w:rsidRDefault="003752B9" w:rsidP="003752B9">
      <w:pPr>
        <w:spacing w:after="0" w:line="240" w:lineRule="auto"/>
        <w:rPr>
          <w:rFonts w:ascii="Arial" w:eastAsia="Calibri" w:hAnsi="Arial" w:cs="Arial"/>
          <w:b/>
          <w:sz w:val="20"/>
          <w:szCs w:val="20"/>
          <w:lang w:eastAsia="en-US"/>
        </w:rPr>
      </w:pPr>
    </w:p>
    <w:p w14:paraId="30DE8312" w14:textId="77777777" w:rsidR="003752B9" w:rsidRPr="00D12A0C" w:rsidRDefault="003752B9" w:rsidP="003752B9">
      <w:pPr>
        <w:spacing w:after="0" w:line="240" w:lineRule="auto"/>
        <w:rPr>
          <w:rFonts w:ascii="Arial" w:eastAsia="Calibri" w:hAnsi="Arial" w:cs="Arial"/>
          <w:b/>
          <w:sz w:val="20"/>
          <w:szCs w:val="20"/>
          <w:u w:val="single"/>
          <w:lang w:eastAsia="en-US"/>
        </w:rPr>
      </w:pPr>
      <w:r w:rsidRPr="00D12A0C">
        <w:rPr>
          <w:rFonts w:ascii="Arial" w:eastAsia="Calibri" w:hAnsi="Arial" w:cs="Arial"/>
          <w:b/>
          <w:sz w:val="20"/>
          <w:szCs w:val="20"/>
          <w:u w:val="single"/>
          <w:lang w:eastAsia="en-US"/>
        </w:rPr>
        <w:t>CILJ: Obogaćivanje redovitog vrtićkog programa novim sadržajima</w:t>
      </w:r>
    </w:p>
    <w:p w14:paraId="635710B8" w14:textId="77777777" w:rsidR="003752B9" w:rsidRPr="00D12A0C" w:rsidRDefault="003752B9" w:rsidP="003752B9">
      <w:pPr>
        <w:spacing w:after="0" w:line="240" w:lineRule="auto"/>
        <w:rPr>
          <w:rFonts w:ascii="Arial" w:eastAsia="Calibri" w:hAnsi="Arial" w:cs="Arial"/>
          <w:sz w:val="20"/>
          <w:szCs w:val="20"/>
          <w:lang w:eastAsia="en-US"/>
        </w:rPr>
      </w:pPr>
    </w:p>
    <w:p w14:paraId="4E793FAC" w14:textId="77777777" w:rsidR="002D348D" w:rsidRPr="00D12A0C" w:rsidRDefault="002D348D" w:rsidP="002D348D">
      <w:pPr>
        <w:spacing w:after="0" w:line="240" w:lineRule="auto"/>
        <w:rPr>
          <w:rFonts w:ascii="Arial" w:eastAsia="Calibri" w:hAnsi="Arial" w:cs="Arial"/>
          <w:sz w:val="20"/>
          <w:szCs w:val="20"/>
        </w:rPr>
      </w:pPr>
      <w:r w:rsidRPr="00D12A0C">
        <w:rPr>
          <w:rFonts w:ascii="Arial" w:eastAsia="Calibri" w:hAnsi="Arial" w:cs="Arial"/>
          <w:sz w:val="20"/>
          <w:szCs w:val="20"/>
        </w:rPr>
        <w:t>Posebni programi integrirani u redoviti program omogućavaju djeci dodatni razvoj kreativnosti i pripadnosti svome okruženju:</w:t>
      </w:r>
    </w:p>
    <w:p w14:paraId="1C8C99F4" w14:textId="23185BC5" w:rsidR="002D348D" w:rsidRPr="00D12A0C" w:rsidRDefault="002D348D">
      <w:pPr>
        <w:numPr>
          <w:ilvl w:val="0"/>
          <w:numId w:val="14"/>
        </w:numPr>
        <w:spacing w:after="0" w:line="240" w:lineRule="auto"/>
        <w:jc w:val="both"/>
        <w:rPr>
          <w:rFonts w:ascii="Arial" w:eastAsia="Calibri" w:hAnsi="Arial" w:cs="Arial"/>
          <w:bCs/>
          <w:sz w:val="20"/>
          <w:szCs w:val="20"/>
        </w:rPr>
      </w:pPr>
      <w:r w:rsidRPr="00D12A0C">
        <w:rPr>
          <w:rFonts w:ascii="Arial" w:eastAsia="Calibri" w:hAnsi="Arial" w:cs="Arial"/>
          <w:bCs/>
          <w:sz w:val="20"/>
          <w:szCs w:val="20"/>
        </w:rPr>
        <w:t>Posebni program upoznavanja i očuvanja tradicijske baštine „Igrom do baštine” u sklopu cjelodnevnog programa vrtića (suglasnost Ministarstva znanosti, obrazovanja i sporta KLASA:601-02/15-3/01370, URBROJ:533-25-16-0009 od 30. svibnja 2016.g) koristila je jedna skupina djece u Dječjem vrtiću i jaslicama Cavtat</w:t>
      </w:r>
    </w:p>
    <w:p w14:paraId="484F3271" w14:textId="1D30A400" w:rsidR="002D348D" w:rsidRPr="00D12A0C" w:rsidRDefault="002D348D">
      <w:pPr>
        <w:numPr>
          <w:ilvl w:val="0"/>
          <w:numId w:val="14"/>
        </w:numPr>
        <w:spacing w:after="0" w:line="240" w:lineRule="auto"/>
        <w:jc w:val="both"/>
        <w:rPr>
          <w:rFonts w:ascii="Arial" w:eastAsia="Calibri" w:hAnsi="Arial" w:cs="Arial"/>
          <w:bCs/>
          <w:sz w:val="20"/>
          <w:szCs w:val="20"/>
        </w:rPr>
      </w:pPr>
      <w:r w:rsidRPr="00D12A0C">
        <w:rPr>
          <w:rFonts w:ascii="Arial" w:eastAsia="Calibri" w:hAnsi="Arial" w:cs="Arial"/>
          <w:sz w:val="20"/>
          <w:szCs w:val="20"/>
        </w:rPr>
        <w:t>Posebni glazbeni program integriran u redovni program (suglasnost Ministarstva znanosti, obrazovanja i sporta KLASA:601-02/16-3/00170, URBROJ:533-25-16-0004 od 14. travnja 2016.g) koristile su dvije skupine djece u izdvojenom prostoru Marijin dom u Cavtatu</w:t>
      </w:r>
    </w:p>
    <w:p w14:paraId="4E312585" w14:textId="77777777" w:rsidR="002D348D" w:rsidRPr="00D12A0C" w:rsidRDefault="002D348D" w:rsidP="003752B9">
      <w:pPr>
        <w:spacing w:after="0" w:line="240" w:lineRule="auto"/>
        <w:rPr>
          <w:rFonts w:ascii="Arial" w:eastAsia="Calibri" w:hAnsi="Arial" w:cs="Arial"/>
          <w:sz w:val="20"/>
          <w:szCs w:val="20"/>
        </w:rPr>
      </w:pPr>
    </w:p>
    <w:tbl>
      <w:tblPr>
        <w:tblStyle w:val="Reetkatablice2"/>
        <w:tblW w:w="14130" w:type="dxa"/>
        <w:jc w:val="center"/>
        <w:tblLayout w:type="fixed"/>
        <w:tblLook w:val="04A0" w:firstRow="1" w:lastRow="0" w:firstColumn="1" w:lastColumn="0" w:noHBand="0" w:noVBand="1"/>
      </w:tblPr>
      <w:tblGrid>
        <w:gridCol w:w="1413"/>
        <w:gridCol w:w="3827"/>
        <w:gridCol w:w="1985"/>
        <w:gridCol w:w="1139"/>
        <w:gridCol w:w="1134"/>
        <w:gridCol w:w="992"/>
        <w:gridCol w:w="1134"/>
        <w:gridCol w:w="1276"/>
        <w:gridCol w:w="1230"/>
      </w:tblGrid>
      <w:tr w:rsidR="00D12A0C" w:rsidRPr="00D12A0C" w14:paraId="7CA19A80" w14:textId="77777777" w:rsidTr="00F6697E">
        <w:trPr>
          <w:jc w:val="center"/>
        </w:trPr>
        <w:tc>
          <w:tcPr>
            <w:tcW w:w="1413" w:type="dxa"/>
            <w:shd w:val="clear" w:color="auto" w:fill="BFBFBF" w:themeFill="background1" w:themeFillShade="BF"/>
            <w:vAlign w:val="center"/>
          </w:tcPr>
          <w:p w14:paraId="224A6643" w14:textId="77777777" w:rsidR="003752B9" w:rsidRPr="00D12A0C" w:rsidRDefault="003752B9" w:rsidP="003752B9">
            <w:pPr>
              <w:jc w:val="center"/>
              <w:rPr>
                <w:rFonts w:ascii="Arial" w:eastAsia="Calibri" w:hAnsi="Arial" w:cs="Arial"/>
              </w:rPr>
            </w:pPr>
            <w:r w:rsidRPr="00D12A0C">
              <w:rPr>
                <w:rFonts w:ascii="Arial" w:eastAsia="Calibri" w:hAnsi="Arial" w:cs="Arial"/>
              </w:rPr>
              <w:t>Pokazatelj uspješnosti</w:t>
            </w:r>
          </w:p>
        </w:tc>
        <w:tc>
          <w:tcPr>
            <w:tcW w:w="3827" w:type="dxa"/>
            <w:shd w:val="clear" w:color="auto" w:fill="BFBFBF" w:themeFill="background1" w:themeFillShade="BF"/>
            <w:vAlign w:val="center"/>
          </w:tcPr>
          <w:p w14:paraId="1B41D183" w14:textId="77777777" w:rsidR="003752B9" w:rsidRPr="00D12A0C" w:rsidRDefault="003752B9" w:rsidP="003752B9">
            <w:pPr>
              <w:jc w:val="center"/>
              <w:rPr>
                <w:rFonts w:ascii="Arial" w:eastAsia="Calibri" w:hAnsi="Arial" w:cs="Arial"/>
              </w:rPr>
            </w:pPr>
            <w:r w:rsidRPr="00D12A0C">
              <w:rPr>
                <w:rFonts w:ascii="Arial" w:eastAsia="Calibri" w:hAnsi="Arial" w:cs="Arial"/>
              </w:rPr>
              <w:t>Definicija</w:t>
            </w:r>
          </w:p>
        </w:tc>
        <w:tc>
          <w:tcPr>
            <w:tcW w:w="1985" w:type="dxa"/>
            <w:shd w:val="clear" w:color="auto" w:fill="BFBFBF" w:themeFill="background1" w:themeFillShade="BF"/>
            <w:vAlign w:val="center"/>
          </w:tcPr>
          <w:p w14:paraId="470F58C5" w14:textId="77777777" w:rsidR="003752B9" w:rsidRPr="00D12A0C" w:rsidRDefault="003752B9" w:rsidP="003752B9">
            <w:pPr>
              <w:jc w:val="center"/>
              <w:rPr>
                <w:rFonts w:ascii="Arial" w:eastAsia="Calibri" w:hAnsi="Arial" w:cs="Arial"/>
              </w:rPr>
            </w:pPr>
            <w:r w:rsidRPr="00D12A0C">
              <w:rPr>
                <w:rFonts w:ascii="Arial" w:eastAsia="Calibri" w:hAnsi="Arial" w:cs="Arial"/>
              </w:rPr>
              <w:t>Jedinica</w:t>
            </w:r>
          </w:p>
        </w:tc>
        <w:tc>
          <w:tcPr>
            <w:tcW w:w="1139" w:type="dxa"/>
            <w:shd w:val="clear" w:color="auto" w:fill="BFBFBF" w:themeFill="background1" w:themeFillShade="BF"/>
            <w:vAlign w:val="center"/>
          </w:tcPr>
          <w:p w14:paraId="79C26BC7" w14:textId="77777777" w:rsidR="003752B9" w:rsidRPr="00D12A0C" w:rsidRDefault="003752B9" w:rsidP="003752B9">
            <w:pPr>
              <w:jc w:val="center"/>
              <w:rPr>
                <w:rFonts w:ascii="Arial" w:eastAsia="Calibri" w:hAnsi="Arial" w:cs="Arial"/>
              </w:rPr>
            </w:pPr>
            <w:r w:rsidRPr="00D12A0C">
              <w:rPr>
                <w:rFonts w:ascii="Arial" w:eastAsia="Calibri" w:hAnsi="Arial" w:cs="Arial"/>
              </w:rPr>
              <w:t>Polazna vrijednost</w:t>
            </w:r>
          </w:p>
          <w:p w14:paraId="32CD50AA" w14:textId="42174BDD" w:rsidR="002C5474" w:rsidRPr="00D12A0C" w:rsidRDefault="002C5474" w:rsidP="003752B9">
            <w:pPr>
              <w:jc w:val="center"/>
              <w:rPr>
                <w:rFonts w:ascii="Arial" w:eastAsia="Calibri" w:hAnsi="Arial" w:cs="Arial"/>
              </w:rPr>
            </w:pPr>
            <w:r w:rsidRPr="00D12A0C">
              <w:rPr>
                <w:rFonts w:ascii="Arial" w:eastAsia="Calibri" w:hAnsi="Arial" w:cs="Arial"/>
              </w:rPr>
              <w:t>202</w:t>
            </w:r>
            <w:r w:rsidR="00105F5B">
              <w:rPr>
                <w:rFonts w:ascii="Arial" w:eastAsia="Calibri" w:hAnsi="Arial" w:cs="Arial"/>
              </w:rPr>
              <w:t>4</w:t>
            </w:r>
            <w:r w:rsidRPr="00D12A0C">
              <w:rPr>
                <w:rFonts w:ascii="Arial" w:eastAsia="Calibri" w:hAnsi="Arial" w:cs="Arial"/>
              </w:rPr>
              <w:t>.</w:t>
            </w:r>
          </w:p>
        </w:tc>
        <w:tc>
          <w:tcPr>
            <w:tcW w:w="1134" w:type="dxa"/>
            <w:shd w:val="clear" w:color="auto" w:fill="BFBFBF" w:themeFill="background1" w:themeFillShade="BF"/>
            <w:vAlign w:val="center"/>
          </w:tcPr>
          <w:p w14:paraId="099C4E19" w14:textId="77777777" w:rsidR="003752B9" w:rsidRPr="00D12A0C" w:rsidRDefault="003752B9" w:rsidP="003752B9">
            <w:pPr>
              <w:jc w:val="center"/>
              <w:rPr>
                <w:rFonts w:ascii="Arial" w:eastAsia="Calibri" w:hAnsi="Arial" w:cs="Arial"/>
              </w:rPr>
            </w:pPr>
            <w:r w:rsidRPr="00D12A0C">
              <w:rPr>
                <w:rFonts w:ascii="Arial" w:eastAsia="Calibri" w:hAnsi="Arial" w:cs="Arial"/>
              </w:rPr>
              <w:t>Izvor podataka</w:t>
            </w:r>
          </w:p>
        </w:tc>
        <w:tc>
          <w:tcPr>
            <w:tcW w:w="992" w:type="dxa"/>
            <w:shd w:val="clear" w:color="auto" w:fill="BFBFBF" w:themeFill="background1" w:themeFillShade="BF"/>
            <w:vAlign w:val="center"/>
          </w:tcPr>
          <w:p w14:paraId="4C6CBB5F" w14:textId="5B48C0C2" w:rsidR="003752B9" w:rsidRPr="00D12A0C" w:rsidRDefault="003752B9" w:rsidP="000121D5">
            <w:pPr>
              <w:jc w:val="center"/>
              <w:rPr>
                <w:rFonts w:ascii="Arial" w:eastAsia="Calibri" w:hAnsi="Arial" w:cs="Arial"/>
              </w:rPr>
            </w:pPr>
            <w:r w:rsidRPr="00D12A0C">
              <w:rPr>
                <w:rFonts w:ascii="Arial" w:eastAsia="Calibri" w:hAnsi="Arial" w:cs="Arial"/>
              </w:rPr>
              <w:t>Ciljana vrijed. 20</w:t>
            </w:r>
            <w:r w:rsidR="000121D5" w:rsidRPr="00D12A0C">
              <w:rPr>
                <w:rFonts w:ascii="Arial" w:eastAsia="Calibri" w:hAnsi="Arial" w:cs="Arial"/>
              </w:rPr>
              <w:t>2</w:t>
            </w:r>
            <w:r w:rsidR="00105F5B">
              <w:rPr>
                <w:rFonts w:ascii="Arial" w:eastAsia="Calibri" w:hAnsi="Arial" w:cs="Arial"/>
              </w:rPr>
              <w:t>5</w:t>
            </w:r>
          </w:p>
        </w:tc>
        <w:tc>
          <w:tcPr>
            <w:tcW w:w="1134" w:type="dxa"/>
            <w:shd w:val="clear" w:color="auto" w:fill="BFBFBF" w:themeFill="background1" w:themeFillShade="BF"/>
            <w:vAlign w:val="center"/>
          </w:tcPr>
          <w:p w14:paraId="025CFE63" w14:textId="77777777" w:rsidR="003752B9" w:rsidRPr="00D12A0C" w:rsidRDefault="003752B9" w:rsidP="003752B9">
            <w:pPr>
              <w:jc w:val="center"/>
              <w:rPr>
                <w:rFonts w:ascii="Arial" w:eastAsia="Calibri" w:hAnsi="Arial" w:cs="Arial"/>
              </w:rPr>
            </w:pPr>
            <w:r w:rsidRPr="00D12A0C">
              <w:rPr>
                <w:rFonts w:ascii="Arial" w:eastAsia="Calibri" w:hAnsi="Arial" w:cs="Arial"/>
              </w:rPr>
              <w:t>Izvršeno</w:t>
            </w:r>
          </w:p>
        </w:tc>
        <w:tc>
          <w:tcPr>
            <w:tcW w:w="1276" w:type="dxa"/>
            <w:shd w:val="clear" w:color="auto" w:fill="BFBFBF" w:themeFill="background1" w:themeFillShade="BF"/>
            <w:vAlign w:val="center"/>
          </w:tcPr>
          <w:p w14:paraId="4497CB65" w14:textId="56BE5421" w:rsidR="003752B9" w:rsidRPr="00D12A0C" w:rsidRDefault="003752B9" w:rsidP="000121D5">
            <w:pPr>
              <w:jc w:val="center"/>
              <w:rPr>
                <w:rFonts w:ascii="Arial" w:eastAsia="Calibri" w:hAnsi="Arial" w:cs="Arial"/>
              </w:rPr>
            </w:pPr>
            <w:r w:rsidRPr="00D12A0C">
              <w:rPr>
                <w:rFonts w:ascii="Arial" w:eastAsia="Calibri" w:hAnsi="Arial" w:cs="Arial"/>
              </w:rPr>
              <w:t>Ciljana vrijed. 20</w:t>
            </w:r>
            <w:r w:rsidR="00FF5384" w:rsidRPr="00D12A0C">
              <w:rPr>
                <w:rFonts w:ascii="Arial" w:eastAsia="Calibri" w:hAnsi="Arial" w:cs="Arial"/>
              </w:rPr>
              <w:t>2</w:t>
            </w:r>
            <w:r w:rsidR="00105F5B">
              <w:rPr>
                <w:rFonts w:ascii="Arial" w:eastAsia="Calibri" w:hAnsi="Arial" w:cs="Arial"/>
              </w:rPr>
              <w:t>6</w:t>
            </w:r>
          </w:p>
        </w:tc>
        <w:tc>
          <w:tcPr>
            <w:tcW w:w="1230" w:type="dxa"/>
            <w:shd w:val="clear" w:color="auto" w:fill="BFBFBF" w:themeFill="background1" w:themeFillShade="BF"/>
            <w:vAlign w:val="center"/>
          </w:tcPr>
          <w:p w14:paraId="0E62BAB6" w14:textId="5FCC0E9A" w:rsidR="003752B9" w:rsidRPr="00D12A0C" w:rsidRDefault="003752B9" w:rsidP="000121D5">
            <w:pPr>
              <w:jc w:val="center"/>
              <w:rPr>
                <w:rFonts w:ascii="Arial" w:eastAsia="Calibri" w:hAnsi="Arial" w:cs="Arial"/>
              </w:rPr>
            </w:pPr>
            <w:r w:rsidRPr="00D12A0C">
              <w:rPr>
                <w:rFonts w:ascii="Arial" w:eastAsia="Calibri" w:hAnsi="Arial" w:cs="Arial"/>
              </w:rPr>
              <w:t>Ciljana vrijed. 202</w:t>
            </w:r>
            <w:r w:rsidR="00105F5B">
              <w:rPr>
                <w:rFonts w:ascii="Arial" w:eastAsia="Calibri" w:hAnsi="Arial" w:cs="Arial"/>
              </w:rPr>
              <w:t>7</w:t>
            </w:r>
          </w:p>
        </w:tc>
      </w:tr>
      <w:tr w:rsidR="00D12A0C" w:rsidRPr="00D12A0C" w14:paraId="0CCFE4A3" w14:textId="77777777" w:rsidTr="00F81F68">
        <w:trPr>
          <w:trHeight w:val="708"/>
          <w:jc w:val="center"/>
        </w:trPr>
        <w:tc>
          <w:tcPr>
            <w:tcW w:w="1413" w:type="dxa"/>
            <w:vAlign w:val="center"/>
          </w:tcPr>
          <w:p w14:paraId="5EB11E27" w14:textId="32424CE6" w:rsidR="002C5474" w:rsidRPr="00D12A0C" w:rsidRDefault="002C5474" w:rsidP="002C5474">
            <w:pPr>
              <w:rPr>
                <w:rFonts w:ascii="Arial" w:eastAsia="Calibri" w:hAnsi="Arial" w:cs="Arial"/>
                <w:sz w:val="18"/>
                <w:szCs w:val="18"/>
              </w:rPr>
            </w:pPr>
            <w:r w:rsidRPr="00D12A0C">
              <w:rPr>
                <w:rFonts w:ascii="Arial" w:eastAsia="Calibri" w:hAnsi="Arial" w:cs="Arial"/>
                <w:sz w:val="18"/>
                <w:szCs w:val="18"/>
              </w:rPr>
              <w:t>Broj djece obuhvaćen posebnim programima</w:t>
            </w:r>
          </w:p>
        </w:tc>
        <w:tc>
          <w:tcPr>
            <w:tcW w:w="3827" w:type="dxa"/>
            <w:vAlign w:val="center"/>
          </w:tcPr>
          <w:p w14:paraId="4BDEAF89" w14:textId="138CC8D1" w:rsidR="002C5474" w:rsidRPr="00D12A0C" w:rsidRDefault="002C5474" w:rsidP="002C5474">
            <w:pPr>
              <w:rPr>
                <w:rFonts w:ascii="Arial" w:eastAsia="Calibri" w:hAnsi="Arial" w:cs="Arial"/>
                <w:sz w:val="18"/>
                <w:szCs w:val="18"/>
              </w:rPr>
            </w:pPr>
            <w:r w:rsidRPr="00D12A0C">
              <w:rPr>
                <w:rFonts w:ascii="Arial" w:eastAsia="Calibri" w:hAnsi="Arial" w:cs="Arial"/>
                <w:sz w:val="18"/>
                <w:szCs w:val="18"/>
              </w:rPr>
              <w:t>Obuhvaćanjem posebnim programima pruža se prilika da djeca svoje doživljaje o tradicijskoj baštini i glazbi osvješćuju (različitim) kreativnim izražavanjem i razvijaju stvaralački potencijal</w:t>
            </w:r>
          </w:p>
        </w:tc>
        <w:tc>
          <w:tcPr>
            <w:tcW w:w="1985" w:type="dxa"/>
            <w:vAlign w:val="center"/>
          </w:tcPr>
          <w:p w14:paraId="3900EDCA" w14:textId="77777777" w:rsidR="002C5474" w:rsidRPr="00D12A0C" w:rsidRDefault="002C5474" w:rsidP="002C5474">
            <w:pPr>
              <w:jc w:val="center"/>
              <w:rPr>
                <w:rFonts w:ascii="Arial" w:eastAsia="Calibri" w:hAnsi="Arial" w:cs="Arial"/>
                <w:sz w:val="18"/>
                <w:szCs w:val="18"/>
              </w:rPr>
            </w:pPr>
            <w:r w:rsidRPr="00D12A0C">
              <w:rPr>
                <w:rFonts w:ascii="Arial" w:eastAsia="Calibri" w:hAnsi="Arial" w:cs="Arial"/>
                <w:sz w:val="18"/>
                <w:szCs w:val="18"/>
              </w:rPr>
              <w:t>Udio djece obuhvaćen posebnim programima u ukupnom broju djece</w:t>
            </w:r>
          </w:p>
        </w:tc>
        <w:tc>
          <w:tcPr>
            <w:tcW w:w="1139" w:type="dxa"/>
            <w:vAlign w:val="center"/>
          </w:tcPr>
          <w:p w14:paraId="73AF421C" w14:textId="05544D56" w:rsidR="002C5474" w:rsidRPr="00D12A0C" w:rsidRDefault="002C5474" w:rsidP="002C5474">
            <w:pPr>
              <w:jc w:val="center"/>
              <w:rPr>
                <w:rFonts w:ascii="Arial" w:eastAsia="Calibri" w:hAnsi="Arial" w:cs="Arial"/>
                <w:sz w:val="18"/>
                <w:szCs w:val="18"/>
              </w:rPr>
            </w:pPr>
            <w:r w:rsidRPr="00D12A0C">
              <w:rPr>
                <w:rFonts w:ascii="Arial" w:eastAsia="Calibri" w:hAnsi="Arial" w:cs="Arial"/>
                <w:sz w:val="18"/>
                <w:szCs w:val="18"/>
              </w:rPr>
              <w:t>(</w:t>
            </w:r>
            <w:r w:rsidR="00DE7459">
              <w:rPr>
                <w:rFonts w:ascii="Arial" w:eastAsia="Calibri" w:hAnsi="Arial" w:cs="Arial"/>
                <w:sz w:val="18"/>
                <w:szCs w:val="18"/>
              </w:rPr>
              <w:t>3</w:t>
            </w:r>
            <w:r w:rsidRPr="00D12A0C">
              <w:rPr>
                <w:rFonts w:ascii="Arial" w:eastAsia="Calibri" w:hAnsi="Arial" w:cs="Arial"/>
                <w:sz w:val="18"/>
                <w:szCs w:val="18"/>
              </w:rPr>
              <w:t>0 djece)</w:t>
            </w:r>
          </w:p>
        </w:tc>
        <w:tc>
          <w:tcPr>
            <w:tcW w:w="1134" w:type="dxa"/>
            <w:vAlign w:val="center"/>
          </w:tcPr>
          <w:p w14:paraId="2588234F" w14:textId="77777777" w:rsidR="002C5474" w:rsidRPr="00D12A0C" w:rsidRDefault="002C5474" w:rsidP="002C5474">
            <w:pPr>
              <w:jc w:val="center"/>
              <w:rPr>
                <w:rFonts w:ascii="Arial" w:eastAsia="Calibri" w:hAnsi="Arial" w:cs="Arial"/>
                <w:sz w:val="18"/>
                <w:szCs w:val="18"/>
              </w:rPr>
            </w:pPr>
            <w:r w:rsidRPr="00D12A0C">
              <w:rPr>
                <w:rFonts w:ascii="Arial" w:eastAsia="Calibri" w:hAnsi="Arial" w:cs="Arial"/>
                <w:sz w:val="18"/>
                <w:szCs w:val="18"/>
              </w:rPr>
              <w:t>Dječji vrtić Konavle</w:t>
            </w:r>
          </w:p>
        </w:tc>
        <w:tc>
          <w:tcPr>
            <w:tcW w:w="992" w:type="dxa"/>
            <w:vAlign w:val="center"/>
          </w:tcPr>
          <w:p w14:paraId="72BF6058" w14:textId="77777777" w:rsidR="002C5474" w:rsidRPr="00D12A0C" w:rsidRDefault="002C5474" w:rsidP="002C5474">
            <w:pPr>
              <w:jc w:val="center"/>
              <w:rPr>
                <w:rFonts w:ascii="Arial" w:eastAsia="Calibri" w:hAnsi="Arial" w:cs="Arial"/>
                <w:sz w:val="18"/>
                <w:szCs w:val="18"/>
              </w:rPr>
            </w:pPr>
          </w:p>
          <w:p w14:paraId="32DFF739" w14:textId="6A03F147" w:rsidR="002C5474" w:rsidRPr="00D12A0C" w:rsidRDefault="002C5474" w:rsidP="002C5474">
            <w:pPr>
              <w:jc w:val="center"/>
              <w:rPr>
                <w:rFonts w:ascii="Arial" w:eastAsia="Calibri" w:hAnsi="Arial" w:cs="Arial"/>
                <w:sz w:val="18"/>
                <w:szCs w:val="18"/>
              </w:rPr>
            </w:pPr>
            <w:r w:rsidRPr="00D12A0C">
              <w:rPr>
                <w:rFonts w:ascii="Arial" w:eastAsia="Calibri" w:hAnsi="Arial" w:cs="Arial"/>
                <w:sz w:val="18"/>
                <w:szCs w:val="18"/>
              </w:rPr>
              <w:t>(</w:t>
            </w:r>
            <w:r w:rsidR="00DE7459">
              <w:rPr>
                <w:rFonts w:ascii="Arial" w:eastAsia="Calibri" w:hAnsi="Arial" w:cs="Arial"/>
                <w:sz w:val="18"/>
                <w:szCs w:val="18"/>
              </w:rPr>
              <w:t>30</w:t>
            </w:r>
            <w:r w:rsidRPr="00D12A0C">
              <w:rPr>
                <w:rFonts w:ascii="Arial" w:eastAsia="Calibri" w:hAnsi="Arial" w:cs="Arial"/>
                <w:sz w:val="18"/>
                <w:szCs w:val="18"/>
              </w:rPr>
              <w:t xml:space="preserve"> djece)</w:t>
            </w:r>
          </w:p>
        </w:tc>
        <w:tc>
          <w:tcPr>
            <w:tcW w:w="1134" w:type="dxa"/>
            <w:vAlign w:val="center"/>
          </w:tcPr>
          <w:p w14:paraId="551C04DF" w14:textId="6022421A" w:rsidR="002C5474" w:rsidRPr="00D12A0C" w:rsidRDefault="00AC7B34" w:rsidP="002C5474">
            <w:pPr>
              <w:jc w:val="center"/>
              <w:rPr>
                <w:rFonts w:ascii="Arial" w:eastAsia="Calibri" w:hAnsi="Arial" w:cs="Arial"/>
                <w:sz w:val="18"/>
                <w:szCs w:val="18"/>
              </w:rPr>
            </w:pPr>
            <w:r>
              <w:rPr>
                <w:rFonts w:ascii="Arial" w:eastAsia="Calibri" w:hAnsi="Arial" w:cs="Arial"/>
                <w:sz w:val="18"/>
                <w:szCs w:val="18"/>
              </w:rPr>
              <w:t>30</w:t>
            </w:r>
            <w:r w:rsidR="002C5474" w:rsidRPr="00D12A0C">
              <w:rPr>
                <w:rFonts w:ascii="Arial" w:eastAsia="Calibri" w:hAnsi="Arial" w:cs="Arial"/>
                <w:sz w:val="18"/>
                <w:szCs w:val="18"/>
              </w:rPr>
              <w:t xml:space="preserve"> djece</w:t>
            </w:r>
          </w:p>
        </w:tc>
        <w:tc>
          <w:tcPr>
            <w:tcW w:w="1276" w:type="dxa"/>
            <w:tcBorders>
              <w:top w:val="single" w:sz="4" w:space="0" w:color="auto"/>
              <w:left w:val="single" w:sz="4" w:space="0" w:color="auto"/>
              <w:bottom w:val="single" w:sz="4" w:space="0" w:color="auto"/>
              <w:right w:val="single" w:sz="4" w:space="0" w:color="auto"/>
            </w:tcBorders>
            <w:vAlign w:val="center"/>
          </w:tcPr>
          <w:p w14:paraId="2EF3BD93" w14:textId="7DAB6AA2" w:rsidR="002C5474" w:rsidRPr="00D12A0C" w:rsidRDefault="00DE7459" w:rsidP="002C5474">
            <w:pPr>
              <w:jc w:val="center"/>
              <w:rPr>
                <w:rFonts w:ascii="Arial" w:eastAsia="Calibri" w:hAnsi="Arial" w:cs="Arial"/>
                <w:sz w:val="18"/>
                <w:szCs w:val="18"/>
              </w:rPr>
            </w:pPr>
            <w:r>
              <w:rPr>
                <w:rFonts w:ascii="Arial" w:hAnsi="Arial" w:cs="Arial"/>
                <w:sz w:val="18"/>
                <w:szCs w:val="18"/>
              </w:rPr>
              <w:t>30</w:t>
            </w:r>
            <w:r w:rsidR="002C5474" w:rsidRPr="00D12A0C">
              <w:rPr>
                <w:rFonts w:ascii="Arial" w:hAnsi="Arial" w:cs="Arial"/>
                <w:sz w:val="18"/>
                <w:szCs w:val="18"/>
              </w:rPr>
              <w:t xml:space="preserve"> djece</w:t>
            </w:r>
          </w:p>
        </w:tc>
        <w:tc>
          <w:tcPr>
            <w:tcW w:w="1230" w:type="dxa"/>
            <w:tcBorders>
              <w:top w:val="single" w:sz="4" w:space="0" w:color="auto"/>
              <w:left w:val="single" w:sz="4" w:space="0" w:color="auto"/>
              <w:bottom w:val="single" w:sz="4" w:space="0" w:color="auto"/>
              <w:right w:val="single" w:sz="4" w:space="0" w:color="auto"/>
            </w:tcBorders>
            <w:vAlign w:val="center"/>
          </w:tcPr>
          <w:p w14:paraId="72A3B126" w14:textId="22F57E3A" w:rsidR="002C5474" w:rsidRPr="00D12A0C" w:rsidRDefault="00DE7459" w:rsidP="002C5474">
            <w:pPr>
              <w:jc w:val="center"/>
              <w:rPr>
                <w:rFonts w:ascii="Arial" w:eastAsia="Calibri" w:hAnsi="Arial" w:cs="Arial"/>
                <w:sz w:val="18"/>
                <w:szCs w:val="18"/>
              </w:rPr>
            </w:pPr>
            <w:r>
              <w:rPr>
                <w:rFonts w:ascii="Arial" w:hAnsi="Arial" w:cs="Arial"/>
                <w:sz w:val="18"/>
                <w:szCs w:val="18"/>
              </w:rPr>
              <w:t>30</w:t>
            </w:r>
            <w:r w:rsidR="002C5474" w:rsidRPr="00D12A0C">
              <w:rPr>
                <w:rFonts w:ascii="Arial" w:hAnsi="Arial" w:cs="Arial"/>
                <w:sz w:val="18"/>
                <w:szCs w:val="18"/>
              </w:rPr>
              <w:t xml:space="preserve"> djece</w:t>
            </w:r>
          </w:p>
        </w:tc>
      </w:tr>
    </w:tbl>
    <w:p w14:paraId="303111DF" w14:textId="77777777" w:rsidR="002144A7" w:rsidRPr="00D12A0C" w:rsidRDefault="002144A7" w:rsidP="002144A7">
      <w:pPr>
        <w:spacing w:after="0" w:line="240" w:lineRule="auto"/>
        <w:rPr>
          <w:rFonts w:ascii="Arial" w:eastAsia="Calibri" w:hAnsi="Arial" w:cs="Arial"/>
          <w:b/>
          <w:sz w:val="20"/>
          <w:szCs w:val="20"/>
        </w:rPr>
      </w:pPr>
    </w:p>
    <w:p w14:paraId="251EBF4F" w14:textId="0A05C29B" w:rsidR="002144A7" w:rsidRPr="00D12A0C" w:rsidRDefault="002144A7" w:rsidP="002144A7">
      <w:pPr>
        <w:spacing w:after="0" w:line="240" w:lineRule="auto"/>
        <w:rPr>
          <w:rFonts w:ascii="Arial" w:eastAsia="Calibri" w:hAnsi="Arial" w:cs="Arial"/>
          <w:sz w:val="20"/>
          <w:szCs w:val="20"/>
        </w:rPr>
      </w:pPr>
      <w:r w:rsidRPr="00D12A0C">
        <w:rPr>
          <w:rFonts w:ascii="Arial" w:eastAsia="Calibri" w:hAnsi="Arial" w:cs="Arial"/>
          <w:b/>
          <w:sz w:val="20"/>
          <w:szCs w:val="20"/>
        </w:rPr>
        <w:t>Obrazloženje:</w:t>
      </w:r>
      <w:r w:rsidRPr="00D12A0C">
        <w:rPr>
          <w:rFonts w:ascii="Arial" w:eastAsia="Calibri" w:hAnsi="Arial" w:cs="Arial"/>
          <w:sz w:val="20"/>
          <w:szCs w:val="20"/>
        </w:rPr>
        <w:t xml:space="preserve"> Ova dva posebna programa su se provodila u dva objekta (izdvojeni objekt u staroj jezgri Cavtata „Marijin dom“ i Dječji vrtić i jaslice Cavtat jer su se u tim objektima radile voditeljice Programa), a bilo je obuhvaćeno </w:t>
      </w:r>
      <w:r w:rsidR="00AC7B34">
        <w:rPr>
          <w:rFonts w:ascii="Arial" w:eastAsia="Calibri" w:hAnsi="Arial" w:cs="Arial"/>
          <w:sz w:val="20"/>
          <w:szCs w:val="20"/>
        </w:rPr>
        <w:t>3</w:t>
      </w:r>
      <w:r w:rsidRPr="00D12A0C">
        <w:rPr>
          <w:rFonts w:ascii="Arial" w:eastAsia="Calibri" w:hAnsi="Arial" w:cs="Arial"/>
          <w:sz w:val="20"/>
          <w:szCs w:val="20"/>
        </w:rPr>
        <w:t>0-ero djece čime je ostvarena ciljana vrijednost</w:t>
      </w:r>
    </w:p>
    <w:p w14:paraId="01997D41" w14:textId="77777777" w:rsidR="00707EF5" w:rsidRPr="00D12A0C" w:rsidRDefault="00707EF5" w:rsidP="003752B9">
      <w:pPr>
        <w:spacing w:after="0" w:line="240" w:lineRule="auto"/>
        <w:rPr>
          <w:rFonts w:ascii="Arial" w:eastAsia="Calibri" w:hAnsi="Arial" w:cs="Arial"/>
          <w:sz w:val="20"/>
          <w:szCs w:val="20"/>
        </w:rPr>
      </w:pPr>
    </w:p>
    <w:p w14:paraId="7866E420" w14:textId="0D762B2C" w:rsidR="003752B9" w:rsidRPr="00D12A0C" w:rsidRDefault="003752B9" w:rsidP="003752B9">
      <w:pPr>
        <w:spacing w:after="0" w:line="240" w:lineRule="auto"/>
        <w:rPr>
          <w:rFonts w:ascii="Arial" w:eastAsia="Calibri" w:hAnsi="Arial" w:cs="Arial"/>
          <w:b/>
          <w:sz w:val="20"/>
          <w:szCs w:val="20"/>
          <w:u w:val="single"/>
        </w:rPr>
      </w:pPr>
      <w:r w:rsidRPr="00D12A0C">
        <w:rPr>
          <w:rFonts w:ascii="Arial" w:eastAsia="Calibri" w:hAnsi="Arial" w:cs="Arial"/>
          <w:b/>
          <w:sz w:val="20"/>
          <w:szCs w:val="20"/>
          <w:u w:val="single"/>
        </w:rPr>
        <w:t xml:space="preserve">CILJ: Razvoj </w:t>
      </w:r>
      <w:r w:rsidR="006736AE" w:rsidRPr="00D12A0C">
        <w:rPr>
          <w:rFonts w:ascii="Arial" w:eastAsia="Calibri" w:hAnsi="Arial" w:cs="Arial"/>
          <w:b/>
          <w:sz w:val="20"/>
          <w:szCs w:val="20"/>
          <w:u w:val="single"/>
        </w:rPr>
        <w:t>suradnje</w:t>
      </w:r>
      <w:r w:rsidRPr="00D12A0C">
        <w:rPr>
          <w:rFonts w:ascii="Arial" w:eastAsia="Calibri" w:hAnsi="Arial" w:cs="Arial"/>
          <w:b/>
          <w:sz w:val="20"/>
          <w:szCs w:val="20"/>
          <w:u w:val="single"/>
        </w:rPr>
        <w:t xml:space="preserve"> s roditeljima</w:t>
      </w:r>
    </w:p>
    <w:p w14:paraId="1E4AA4B4" w14:textId="77777777" w:rsidR="003752B9" w:rsidRPr="00D12A0C" w:rsidRDefault="003752B9" w:rsidP="003752B9">
      <w:pPr>
        <w:spacing w:after="0" w:line="240" w:lineRule="auto"/>
        <w:rPr>
          <w:rFonts w:ascii="Arial" w:eastAsia="Calibri" w:hAnsi="Arial" w:cs="Arial"/>
          <w:sz w:val="20"/>
          <w:szCs w:val="20"/>
        </w:rPr>
      </w:pPr>
    </w:p>
    <w:p w14:paraId="309D3CD2" w14:textId="77777777" w:rsidR="003752B9" w:rsidRPr="00D12A0C" w:rsidRDefault="003752B9" w:rsidP="003752B9">
      <w:pPr>
        <w:spacing w:after="0" w:line="240" w:lineRule="auto"/>
        <w:jc w:val="both"/>
        <w:rPr>
          <w:rFonts w:ascii="Arial" w:eastAsia="Calibri" w:hAnsi="Arial" w:cs="Arial"/>
          <w:sz w:val="20"/>
          <w:szCs w:val="20"/>
        </w:rPr>
      </w:pPr>
      <w:r w:rsidRPr="00D12A0C">
        <w:rPr>
          <w:rFonts w:ascii="Arial" w:eastAsia="Calibri" w:hAnsi="Arial" w:cs="Arial"/>
          <w:sz w:val="20"/>
          <w:szCs w:val="20"/>
        </w:rPr>
        <w:t xml:space="preserve">Partnerstvo s roditeljima je važan i neizostavan čimbenik u procesu rada vrtića, a zadaće mu je primjereno odgovoriti na individualne i razvojne potrebe djeteta i osigurati potporu njegovu cjelovitom razvoju. </w:t>
      </w:r>
    </w:p>
    <w:p w14:paraId="12F80B16" w14:textId="5FDE4F62" w:rsidR="003752B9" w:rsidRPr="00D12A0C" w:rsidRDefault="003752B9" w:rsidP="003752B9">
      <w:pPr>
        <w:spacing w:after="0" w:line="240" w:lineRule="auto"/>
        <w:rPr>
          <w:rFonts w:ascii="Arial" w:eastAsia="Calibri" w:hAnsi="Arial" w:cs="Arial"/>
          <w:sz w:val="20"/>
          <w:szCs w:val="20"/>
        </w:rPr>
      </w:pPr>
      <w:r w:rsidRPr="00D12A0C">
        <w:rPr>
          <w:rFonts w:ascii="Arial" w:eastAsia="Calibri" w:hAnsi="Arial" w:cs="Arial"/>
          <w:sz w:val="20"/>
          <w:szCs w:val="20"/>
        </w:rPr>
        <w:tab/>
      </w:r>
      <w:r w:rsidR="00A50328" w:rsidRPr="00D12A0C">
        <w:rPr>
          <w:rFonts w:ascii="Arial" w:eastAsia="Calibri" w:hAnsi="Arial" w:cs="Arial"/>
          <w:sz w:val="20"/>
          <w:szCs w:val="20"/>
        </w:rPr>
        <w:t>1</w:t>
      </w:r>
      <w:r w:rsidRPr="00D12A0C">
        <w:rPr>
          <w:rFonts w:ascii="Arial" w:eastAsia="Calibri" w:hAnsi="Arial" w:cs="Arial"/>
          <w:sz w:val="20"/>
          <w:szCs w:val="20"/>
        </w:rPr>
        <w:t xml:space="preserve">. </w:t>
      </w:r>
      <w:r w:rsidRPr="00D12A0C">
        <w:rPr>
          <w:rFonts w:ascii="Arial" w:eastAsia="Calibri" w:hAnsi="Arial" w:cs="Arial"/>
          <w:sz w:val="20"/>
          <w:szCs w:val="20"/>
        </w:rPr>
        <w:tab/>
        <w:t>Roditeljski sastanci</w:t>
      </w:r>
    </w:p>
    <w:p w14:paraId="50CE04FC" w14:textId="628CEA17" w:rsidR="003752B9" w:rsidRPr="00D12A0C" w:rsidRDefault="003752B9" w:rsidP="003752B9">
      <w:pPr>
        <w:spacing w:after="0" w:line="240" w:lineRule="auto"/>
        <w:rPr>
          <w:rFonts w:ascii="Arial" w:eastAsia="Calibri" w:hAnsi="Arial" w:cs="Arial"/>
          <w:sz w:val="20"/>
          <w:szCs w:val="20"/>
        </w:rPr>
      </w:pPr>
      <w:r w:rsidRPr="00D12A0C">
        <w:rPr>
          <w:rFonts w:ascii="Arial" w:eastAsia="Calibri" w:hAnsi="Arial" w:cs="Arial"/>
          <w:sz w:val="20"/>
          <w:szCs w:val="20"/>
        </w:rPr>
        <w:tab/>
      </w:r>
      <w:r w:rsidR="00A50328" w:rsidRPr="00D12A0C">
        <w:rPr>
          <w:rFonts w:ascii="Arial" w:eastAsia="Calibri" w:hAnsi="Arial" w:cs="Arial"/>
          <w:sz w:val="20"/>
          <w:szCs w:val="20"/>
        </w:rPr>
        <w:t>2</w:t>
      </w:r>
      <w:r w:rsidRPr="00D12A0C">
        <w:rPr>
          <w:rFonts w:ascii="Arial" w:eastAsia="Calibri" w:hAnsi="Arial" w:cs="Arial"/>
          <w:sz w:val="20"/>
          <w:szCs w:val="20"/>
        </w:rPr>
        <w:t>.</w:t>
      </w:r>
      <w:r w:rsidRPr="00D12A0C">
        <w:rPr>
          <w:rFonts w:ascii="Arial" w:eastAsia="Calibri" w:hAnsi="Arial" w:cs="Arial"/>
          <w:sz w:val="20"/>
          <w:szCs w:val="20"/>
        </w:rPr>
        <w:tab/>
        <w:t>Program „Rastimo zajedno“</w:t>
      </w:r>
    </w:p>
    <w:p w14:paraId="48940C47" w14:textId="2C644B9C" w:rsidR="003752B9" w:rsidRPr="00C43EF1" w:rsidRDefault="003752B9" w:rsidP="003752B9">
      <w:pPr>
        <w:spacing w:after="0" w:line="240" w:lineRule="auto"/>
        <w:contextualSpacing/>
        <w:jc w:val="center"/>
        <w:rPr>
          <w:rFonts w:ascii="Arial" w:eastAsia="Calibri" w:hAnsi="Arial" w:cs="Arial"/>
          <w:b/>
          <w:sz w:val="20"/>
          <w:szCs w:val="20"/>
          <w:u w:val="dotted"/>
        </w:rPr>
      </w:pPr>
      <w:r w:rsidRPr="00C43EF1">
        <w:rPr>
          <w:rFonts w:ascii="Arial" w:eastAsia="Calibri" w:hAnsi="Arial" w:cs="Arial"/>
          <w:b/>
          <w:sz w:val="20"/>
          <w:szCs w:val="20"/>
          <w:u w:val="dotted"/>
        </w:rPr>
        <w:t>Roditeljski sastanci</w:t>
      </w:r>
    </w:p>
    <w:p w14:paraId="72A7CAB8" w14:textId="77777777" w:rsidR="003752B9" w:rsidRPr="00C43EF1" w:rsidRDefault="003752B9" w:rsidP="003752B9">
      <w:pPr>
        <w:spacing w:after="0" w:line="240" w:lineRule="auto"/>
        <w:rPr>
          <w:rFonts w:ascii="Arial" w:eastAsia="Calibri" w:hAnsi="Arial" w:cs="Arial"/>
          <w:sz w:val="20"/>
          <w:szCs w:val="20"/>
        </w:rPr>
      </w:pPr>
    </w:p>
    <w:tbl>
      <w:tblPr>
        <w:tblStyle w:val="Reetkatablice22"/>
        <w:tblW w:w="13967" w:type="dxa"/>
        <w:jc w:val="center"/>
        <w:tblLayout w:type="fixed"/>
        <w:tblLook w:val="04A0" w:firstRow="1" w:lastRow="0" w:firstColumn="1" w:lastColumn="0" w:noHBand="0" w:noVBand="1"/>
      </w:tblPr>
      <w:tblGrid>
        <w:gridCol w:w="1838"/>
        <w:gridCol w:w="3522"/>
        <w:gridCol w:w="1258"/>
        <w:gridCol w:w="1134"/>
        <w:gridCol w:w="1134"/>
        <w:gridCol w:w="1232"/>
        <w:gridCol w:w="1276"/>
        <w:gridCol w:w="1276"/>
        <w:gridCol w:w="1297"/>
      </w:tblGrid>
      <w:tr w:rsidR="00C43EF1" w:rsidRPr="00C43EF1" w14:paraId="5CB309DB" w14:textId="77777777" w:rsidTr="003D6583">
        <w:trPr>
          <w:jc w:val="center"/>
        </w:trPr>
        <w:tc>
          <w:tcPr>
            <w:tcW w:w="1838" w:type="dxa"/>
            <w:shd w:val="clear" w:color="auto" w:fill="BFBFBF" w:themeFill="background1" w:themeFillShade="BF"/>
            <w:vAlign w:val="center"/>
          </w:tcPr>
          <w:p w14:paraId="2A18E743" w14:textId="77777777" w:rsidR="003752B9" w:rsidRPr="00C43EF1" w:rsidRDefault="003752B9" w:rsidP="003752B9">
            <w:pPr>
              <w:jc w:val="center"/>
              <w:rPr>
                <w:rFonts w:ascii="Arial" w:eastAsia="Calibri" w:hAnsi="Arial" w:cs="Arial"/>
              </w:rPr>
            </w:pPr>
            <w:r w:rsidRPr="00C43EF1">
              <w:rPr>
                <w:rFonts w:ascii="Arial" w:eastAsia="Calibri" w:hAnsi="Arial" w:cs="Arial"/>
              </w:rPr>
              <w:t>Pokazatelj uspješnosti</w:t>
            </w:r>
          </w:p>
        </w:tc>
        <w:tc>
          <w:tcPr>
            <w:tcW w:w="3522" w:type="dxa"/>
            <w:shd w:val="clear" w:color="auto" w:fill="BFBFBF" w:themeFill="background1" w:themeFillShade="BF"/>
            <w:vAlign w:val="center"/>
          </w:tcPr>
          <w:p w14:paraId="186CB6E8" w14:textId="77777777" w:rsidR="003752B9" w:rsidRPr="00C43EF1" w:rsidRDefault="003752B9" w:rsidP="003752B9">
            <w:pPr>
              <w:jc w:val="center"/>
              <w:rPr>
                <w:rFonts w:ascii="Arial" w:eastAsia="Calibri" w:hAnsi="Arial" w:cs="Arial"/>
              </w:rPr>
            </w:pPr>
            <w:r w:rsidRPr="00C43EF1">
              <w:rPr>
                <w:rFonts w:ascii="Arial" w:eastAsia="Calibri" w:hAnsi="Arial" w:cs="Arial"/>
              </w:rPr>
              <w:t>Definicija</w:t>
            </w:r>
          </w:p>
        </w:tc>
        <w:tc>
          <w:tcPr>
            <w:tcW w:w="1258" w:type="dxa"/>
            <w:shd w:val="clear" w:color="auto" w:fill="BFBFBF" w:themeFill="background1" w:themeFillShade="BF"/>
            <w:vAlign w:val="center"/>
          </w:tcPr>
          <w:p w14:paraId="1DB19349" w14:textId="77777777" w:rsidR="003752B9" w:rsidRPr="00C43EF1" w:rsidRDefault="003752B9" w:rsidP="003752B9">
            <w:pPr>
              <w:jc w:val="center"/>
              <w:rPr>
                <w:rFonts w:ascii="Arial" w:eastAsia="Calibri" w:hAnsi="Arial" w:cs="Arial"/>
              </w:rPr>
            </w:pPr>
            <w:r w:rsidRPr="00C43EF1">
              <w:rPr>
                <w:rFonts w:ascii="Arial" w:eastAsia="Calibri" w:hAnsi="Arial" w:cs="Arial"/>
              </w:rPr>
              <w:t>Jedinica</w:t>
            </w:r>
          </w:p>
        </w:tc>
        <w:tc>
          <w:tcPr>
            <w:tcW w:w="1134" w:type="dxa"/>
            <w:shd w:val="clear" w:color="auto" w:fill="BFBFBF" w:themeFill="background1" w:themeFillShade="BF"/>
            <w:vAlign w:val="center"/>
          </w:tcPr>
          <w:p w14:paraId="758071D4" w14:textId="77777777" w:rsidR="003752B9" w:rsidRPr="00C43EF1" w:rsidRDefault="003752B9" w:rsidP="003752B9">
            <w:pPr>
              <w:jc w:val="center"/>
              <w:rPr>
                <w:rFonts w:ascii="Arial" w:eastAsia="Calibri" w:hAnsi="Arial" w:cs="Arial"/>
              </w:rPr>
            </w:pPr>
            <w:r w:rsidRPr="00C43EF1">
              <w:rPr>
                <w:rFonts w:ascii="Arial" w:eastAsia="Calibri" w:hAnsi="Arial" w:cs="Arial"/>
              </w:rPr>
              <w:t>Polazna vrijednost</w:t>
            </w:r>
          </w:p>
          <w:p w14:paraId="406C296B" w14:textId="679C33DA" w:rsidR="002C5474" w:rsidRPr="00C43EF1" w:rsidRDefault="002C5474" w:rsidP="003752B9">
            <w:pPr>
              <w:jc w:val="center"/>
              <w:rPr>
                <w:rFonts w:ascii="Arial" w:eastAsia="Calibri" w:hAnsi="Arial" w:cs="Arial"/>
              </w:rPr>
            </w:pPr>
            <w:r w:rsidRPr="00C43EF1">
              <w:rPr>
                <w:rFonts w:ascii="Arial" w:eastAsia="Calibri" w:hAnsi="Arial" w:cs="Arial"/>
              </w:rPr>
              <w:t>202</w:t>
            </w:r>
            <w:r w:rsidR="00DE7459" w:rsidRPr="00C43EF1">
              <w:rPr>
                <w:rFonts w:ascii="Arial" w:eastAsia="Calibri" w:hAnsi="Arial" w:cs="Arial"/>
              </w:rPr>
              <w:t>4</w:t>
            </w:r>
            <w:r w:rsidRPr="00C43EF1">
              <w:rPr>
                <w:rFonts w:ascii="Arial" w:eastAsia="Calibri" w:hAnsi="Arial" w:cs="Arial"/>
              </w:rPr>
              <w:t>.</w:t>
            </w:r>
          </w:p>
        </w:tc>
        <w:tc>
          <w:tcPr>
            <w:tcW w:w="1134" w:type="dxa"/>
            <w:shd w:val="clear" w:color="auto" w:fill="BFBFBF" w:themeFill="background1" w:themeFillShade="BF"/>
            <w:vAlign w:val="center"/>
          </w:tcPr>
          <w:p w14:paraId="107DB5CE" w14:textId="77777777" w:rsidR="003752B9" w:rsidRPr="00C43EF1" w:rsidRDefault="003752B9" w:rsidP="003752B9">
            <w:pPr>
              <w:jc w:val="center"/>
              <w:rPr>
                <w:rFonts w:ascii="Arial" w:eastAsia="Calibri" w:hAnsi="Arial" w:cs="Arial"/>
              </w:rPr>
            </w:pPr>
            <w:r w:rsidRPr="00C43EF1">
              <w:rPr>
                <w:rFonts w:ascii="Arial" w:eastAsia="Calibri" w:hAnsi="Arial" w:cs="Arial"/>
              </w:rPr>
              <w:t>Izvor podataka</w:t>
            </w:r>
          </w:p>
        </w:tc>
        <w:tc>
          <w:tcPr>
            <w:tcW w:w="1232" w:type="dxa"/>
            <w:shd w:val="clear" w:color="auto" w:fill="BFBFBF" w:themeFill="background1" w:themeFillShade="BF"/>
            <w:vAlign w:val="center"/>
          </w:tcPr>
          <w:p w14:paraId="41B461B3" w14:textId="799FAD63" w:rsidR="003752B9" w:rsidRPr="00C43EF1" w:rsidRDefault="003752B9" w:rsidP="00E37C5F">
            <w:pPr>
              <w:jc w:val="center"/>
              <w:rPr>
                <w:rFonts w:ascii="Arial" w:eastAsia="Calibri" w:hAnsi="Arial" w:cs="Arial"/>
              </w:rPr>
            </w:pPr>
            <w:r w:rsidRPr="00C43EF1">
              <w:rPr>
                <w:rFonts w:ascii="Arial" w:eastAsia="Calibri" w:hAnsi="Arial" w:cs="Arial"/>
              </w:rPr>
              <w:t>Ciljana vrijednost 20</w:t>
            </w:r>
            <w:r w:rsidR="00E37C5F" w:rsidRPr="00C43EF1">
              <w:rPr>
                <w:rFonts w:ascii="Arial" w:eastAsia="Calibri" w:hAnsi="Arial" w:cs="Arial"/>
              </w:rPr>
              <w:t>2</w:t>
            </w:r>
            <w:r w:rsidR="00DE7459" w:rsidRPr="00C43EF1">
              <w:rPr>
                <w:rFonts w:ascii="Arial" w:eastAsia="Calibri" w:hAnsi="Arial" w:cs="Arial"/>
              </w:rPr>
              <w:t>5</w:t>
            </w:r>
            <w:r w:rsidRPr="00C43EF1">
              <w:rPr>
                <w:rFonts w:ascii="Arial" w:eastAsia="Calibri" w:hAnsi="Arial" w:cs="Arial"/>
              </w:rPr>
              <w:t>.</w:t>
            </w:r>
          </w:p>
        </w:tc>
        <w:tc>
          <w:tcPr>
            <w:tcW w:w="1276" w:type="dxa"/>
            <w:shd w:val="clear" w:color="auto" w:fill="BFBFBF" w:themeFill="background1" w:themeFillShade="BF"/>
            <w:vAlign w:val="center"/>
          </w:tcPr>
          <w:p w14:paraId="4014DCE7" w14:textId="0B1FC9F5" w:rsidR="003752B9" w:rsidRPr="00C43EF1" w:rsidRDefault="003752B9" w:rsidP="00E37C5F">
            <w:pPr>
              <w:jc w:val="center"/>
              <w:rPr>
                <w:rFonts w:ascii="Arial" w:eastAsia="Calibri" w:hAnsi="Arial" w:cs="Arial"/>
              </w:rPr>
            </w:pPr>
            <w:r w:rsidRPr="00C43EF1">
              <w:rPr>
                <w:rFonts w:ascii="Arial" w:eastAsia="Calibri" w:hAnsi="Arial" w:cs="Arial"/>
              </w:rPr>
              <w:t xml:space="preserve">Izvršeno </w:t>
            </w:r>
            <w:r w:rsidR="002C5474" w:rsidRPr="00C43EF1">
              <w:rPr>
                <w:rFonts w:ascii="Arial" w:eastAsia="Calibri" w:hAnsi="Arial" w:cs="Arial"/>
              </w:rPr>
              <w:t>202</w:t>
            </w:r>
            <w:r w:rsidR="00DE7459" w:rsidRPr="00C43EF1">
              <w:rPr>
                <w:rFonts w:ascii="Arial" w:eastAsia="Calibri" w:hAnsi="Arial" w:cs="Arial"/>
              </w:rPr>
              <w:t>5</w:t>
            </w:r>
            <w:r w:rsidR="002C5474" w:rsidRPr="00C43EF1">
              <w:rPr>
                <w:rFonts w:ascii="Arial" w:eastAsia="Calibri" w:hAnsi="Arial" w:cs="Arial"/>
              </w:rPr>
              <w:t>.</w:t>
            </w:r>
          </w:p>
        </w:tc>
        <w:tc>
          <w:tcPr>
            <w:tcW w:w="1276" w:type="dxa"/>
            <w:shd w:val="clear" w:color="auto" w:fill="BFBFBF" w:themeFill="background1" w:themeFillShade="BF"/>
            <w:vAlign w:val="center"/>
          </w:tcPr>
          <w:p w14:paraId="7B6B71B1" w14:textId="7B599CAA" w:rsidR="003752B9" w:rsidRPr="00C43EF1" w:rsidRDefault="003752B9" w:rsidP="00E37C5F">
            <w:pPr>
              <w:jc w:val="center"/>
              <w:rPr>
                <w:rFonts w:ascii="Arial" w:eastAsia="Calibri" w:hAnsi="Arial" w:cs="Arial"/>
              </w:rPr>
            </w:pPr>
            <w:r w:rsidRPr="00C43EF1">
              <w:rPr>
                <w:rFonts w:ascii="Arial" w:eastAsia="Calibri" w:hAnsi="Arial" w:cs="Arial"/>
              </w:rPr>
              <w:t>Ciljana vrijednost 202</w:t>
            </w:r>
            <w:r w:rsidR="00DE7459" w:rsidRPr="00C43EF1">
              <w:rPr>
                <w:rFonts w:ascii="Arial" w:eastAsia="Calibri" w:hAnsi="Arial" w:cs="Arial"/>
              </w:rPr>
              <w:t>6</w:t>
            </w:r>
          </w:p>
        </w:tc>
        <w:tc>
          <w:tcPr>
            <w:tcW w:w="1297" w:type="dxa"/>
            <w:shd w:val="clear" w:color="auto" w:fill="BFBFBF" w:themeFill="background1" w:themeFillShade="BF"/>
            <w:vAlign w:val="center"/>
          </w:tcPr>
          <w:p w14:paraId="63F58318" w14:textId="1210F27B" w:rsidR="003752B9" w:rsidRPr="00C43EF1" w:rsidRDefault="003752B9" w:rsidP="00E37C5F">
            <w:pPr>
              <w:jc w:val="center"/>
              <w:rPr>
                <w:rFonts w:ascii="Arial" w:eastAsia="Calibri" w:hAnsi="Arial" w:cs="Arial"/>
              </w:rPr>
            </w:pPr>
            <w:r w:rsidRPr="00C43EF1">
              <w:rPr>
                <w:rFonts w:ascii="Arial" w:eastAsia="Calibri" w:hAnsi="Arial" w:cs="Arial"/>
              </w:rPr>
              <w:t>Ciljana vrijednost 202</w:t>
            </w:r>
            <w:r w:rsidR="00DE7459" w:rsidRPr="00C43EF1">
              <w:rPr>
                <w:rFonts w:ascii="Arial" w:eastAsia="Calibri" w:hAnsi="Arial" w:cs="Arial"/>
              </w:rPr>
              <w:t>7</w:t>
            </w:r>
          </w:p>
        </w:tc>
      </w:tr>
      <w:tr w:rsidR="00C43EF1" w:rsidRPr="00C43EF1" w14:paraId="56DA5783" w14:textId="77777777" w:rsidTr="003D6583">
        <w:trPr>
          <w:trHeight w:val="70"/>
          <w:jc w:val="center"/>
        </w:trPr>
        <w:tc>
          <w:tcPr>
            <w:tcW w:w="1838" w:type="dxa"/>
            <w:vAlign w:val="center"/>
          </w:tcPr>
          <w:p w14:paraId="5B8E041A" w14:textId="3C614B00" w:rsidR="003752B9" w:rsidRPr="00C43EF1" w:rsidRDefault="006736AE" w:rsidP="003752B9">
            <w:pPr>
              <w:rPr>
                <w:rFonts w:ascii="Arial" w:eastAsia="Calibri" w:hAnsi="Arial" w:cs="Arial"/>
                <w:sz w:val="18"/>
                <w:szCs w:val="18"/>
              </w:rPr>
            </w:pPr>
            <w:r w:rsidRPr="00C43EF1">
              <w:rPr>
                <w:rFonts w:ascii="Arial" w:eastAsia="Calibri" w:hAnsi="Arial" w:cs="Arial"/>
                <w:sz w:val="18"/>
                <w:szCs w:val="18"/>
              </w:rPr>
              <w:t>Broj</w:t>
            </w:r>
            <w:r w:rsidR="003752B9" w:rsidRPr="00C43EF1">
              <w:rPr>
                <w:rFonts w:ascii="Arial" w:eastAsia="Calibri" w:hAnsi="Arial" w:cs="Arial"/>
                <w:sz w:val="18"/>
                <w:szCs w:val="18"/>
              </w:rPr>
              <w:t xml:space="preserve"> roditeljskih sastanaka godišnje</w:t>
            </w:r>
          </w:p>
        </w:tc>
        <w:tc>
          <w:tcPr>
            <w:tcW w:w="3522" w:type="dxa"/>
            <w:vAlign w:val="center"/>
          </w:tcPr>
          <w:p w14:paraId="724048B6" w14:textId="7EF90828" w:rsidR="003752B9" w:rsidRPr="00C43EF1" w:rsidRDefault="006736AE" w:rsidP="003752B9">
            <w:pPr>
              <w:rPr>
                <w:rFonts w:ascii="Arial" w:eastAsia="Calibri" w:hAnsi="Arial" w:cs="Arial"/>
                <w:sz w:val="18"/>
                <w:szCs w:val="18"/>
              </w:rPr>
            </w:pPr>
            <w:r w:rsidRPr="00C43EF1">
              <w:rPr>
                <w:rFonts w:ascii="Arial" w:eastAsia="Calibri" w:hAnsi="Arial" w:cs="Arial"/>
                <w:sz w:val="18"/>
                <w:szCs w:val="18"/>
              </w:rPr>
              <w:t>Sudjelovanjem roditelja na roditeljskim sastancima</w:t>
            </w:r>
            <w:r w:rsidR="003752B9" w:rsidRPr="00C43EF1">
              <w:rPr>
                <w:rFonts w:ascii="Arial" w:eastAsia="Calibri" w:hAnsi="Arial" w:cs="Arial"/>
                <w:sz w:val="18"/>
                <w:szCs w:val="18"/>
              </w:rPr>
              <w:t xml:space="preserve"> omogućava </w:t>
            </w:r>
            <w:r w:rsidRPr="00C43EF1">
              <w:rPr>
                <w:rFonts w:ascii="Arial" w:eastAsia="Calibri" w:hAnsi="Arial" w:cs="Arial"/>
                <w:sz w:val="18"/>
                <w:szCs w:val="18"/>
              </w:rPr>
              <w:t xml:space="preserve">se </w:t>
            </w:r>
            <w:r w:rsidR="003752B9" w:rsidRPr="00C43EF1">
              <w:rPr>
                <w:rFonts w:ascii="Arial" w:eastAsia="Calibri" w:hAnsi="Arial" w:cs="Arial"/>
                <w:sz w:val="18"/>
                <w:szCs w:val="18"/>
              </w:rPr>
              <w:t>obostrano djelovanje u smislu približavanja obiteljskog i vrtićkog okruženja</w:t>
            </w:r>
          </w:p>
        </w:tc>
        <w:tc>
          <w:tcPr>
            <w:tcW w:w="1258" w:type="dxa"/>
            <w:vAlign w:val="center"/>
          </w:tcPr>
          <w:p w14:paraId="27326435" w14:textId="77777777" w:rsidR="003752B9" w:rsidRPr="00C43EF1" w:rsidRDefault="003752B9" w:rsidP="003752B9">
            <w:pPr>
              <w:rPr>
                <w:rFonts w:ascii="Arial" w:eastAsia="Calibri" w:hAnsi="Arial" w:cs="Arial"/>
                <w:sz w:val="18"/>
                <w:szCs w:val="18"/>
              </w:rPr>
            </w:pPr>
            <w:r w:rsidRPr="00C43EF1">
              <w:rPr>
                <w:rFonts w:ascii="Arial" w:eastAsia="Calibri" w:hAnsi="Arial" w:cs="Arial"/>
                <w:sz w:val="18"/>
                <w:szCs w:val="18"/>
              </w:rPr>
              <w:t>Broj roditeljskih sastanaka godišnje</w:t>
            </w:r>
          </w:p>
        </w:tc>
        <w:tc>
          <w:tcPr>
            <w:tcW w:w="1134" w:type="dxa"/>
            <w:vAlign w:val="center"/>
          </w:tcPr>
          <w:p w14:paraId="533B02EB" w14:textId="556ACDC4" w:rsidR="003752B9" w:rsidRPr="00C43EF1" w:rsidRDefault="00C43EF1" w:rsidP="003752B9">
            <w:pPr>
              <w:jc w:val="center"/>
              <w:rPr>
                <w:rFonts w:ascii="Arial" w:eastAsia="Calibri" w:hAnsi="Arial" w:cs="Arial"/>
                <w:sz w:val="18"/>
                <w:szCs w:val="18"/>
              </w:rPr>
            </w:pPr>
            <w:r w:rsidRPr="00C43EF1">
              <w:rPr>
                <w:rFonts w:ascii="Arial" w:eastAsia="Calibri" w:hAnsi="Arial" w:cs="Arial"/>
                <w:sz w:val="18"/>
                <w:szCs w:val="18"/>
              </w:rPr>
              <w:t xml:space="preserve">34 </w:t>
            </w:r>
            <w:r w:rsidR="003752B9" w:rsidRPr="00C43EF1">
              <w:rPr>
                <w:rFonts w:ascii="Arial" w:eastAsia="Calibri" w:hAnsi="Arial" w:cs="Arial"/>
                <w:sz w:val="18"/>
                <w:szCs w:val="18"/>
              </w:rPr>
              <w:t>sastanka</w:t>
            </w:r>
          </w:p>
        </w:tc>
        <w:tc>
          <w:tcPr>
            <w:tcW w:w="1134" w:type="dxa"/>
            <w:vAlign w:val="center"/>
          </w:tcPr>
          <w:p w14:paraId="19EBDE05" w14:textId="77777777" w:rsidR="003752B9" w:rsidRPr="00C43EF1" w:rsidRDefault="003752B9" w:rsidP="003752B9">
            <w:pPr>
              <w:rPr>
                <w:rFonts w:ascii="Arial" w:eastAsia="Calibri" w:hAnsi="Arial" w:cs="Arial"/>
                <w:sz w:val="18"/>
                <w:szCs w:val="18"/>
              </w:rPr>
            </w:pPr>
            <w:r w:rsidRPr="00C43EF1">
              <w:rPr>
                <w:rFonts w:ascii="Arial" w:eastAsia="Calibri" w:hAnsi="Arial" w:cs="Arial"/>
                <w:sz w:val="18"/>
                <w:szCs w:val="18"/>
              </w:rPr>
              <w:t>Dječji vrtić Konavle</w:t>
            </w:r>
          </w:p>
        </w:tc>
        <w:tc>
          <w:tcPr>
            <w:tcW w:w="1232" w:type="dxa"/>
            <w:vAlign w:val="center"/>
          </w:tcPr>
          <w:p w14:paraId="08B127D5" w14:textId="7831DA7B" w:rsidR="003752B9" w:rsidRPr="00C43EF1" w:rsidRDefault="00C43EF1" w:rsidP="003752B9">
            <w:pPr>
              <w:jc w:val="center"/>
              <w:rPr>
                <w:rFonts w:ascii="Arial" w:eastAsia="Calibri" w:hAnsi="Arial" w:cs="Arial"/>
                <w:sz w:val="18"/>
                <w:szCs w:val="18"/>
              </w:rPr>
            </w:pPr>
            <w:r w:rsidRPr="00C43EF1">
              <w:rPr>
                <w:rFonts w:ascii="Arial" w:eastAsia="Calibri" w:hAnsi="Arial" w:cs="Arial"/>
                <w:sz w:val="18"/>
                <w:szCs w:val="18"/>
              </w:rPr>
              <w:t>35</w:t>
            </w:r>
            <w:r w:rsidR="003752B9" w:rsidRPr="00C43EF1">
              <w:rPr>
                <w:rFonts w:ascii="Arial" w:eastAsia="Calibri" w:hAnsi="Arial" w:cs="Arial"/>
                <w:sz w:val="18"/>
                <w:szCs w:val="18"/>
              </w:rPr>
              <w:t xml:space="preserve"> sastanka</w:t>
            </w:r>
          </w:p>
        </w:tc>
        <w:tc>
          <w:tcPr>
            <w:tcW w:w="1276" w:type="dxa"/>
            <w:vAlign w:val="center"/>
          </w:tcPr>
          <w:p w14:paraId="0F51CAD5" w14:textId="28B0C96B" w:rsidR="003752B9" w:rsidRPr="00C43EF1" w:rsidRDefault="00AC7B34" w:rsidP="00E37C5F">
            <w:pPr>
              <w:jc w:val="center"/>
              <w:rPr>
                <w:rFonts w:ascii="Arial" w:eastAsia="Calibri" w:hAnsi="Arial" w:cs="Arial"/>
                <w:sz w:val="18"/>
                <w:szCs w:val="18"/>
              </w:rPr>
            </w:pPr>
            <w:r>
              <w:rPr>
                <w:rFonts w:ascii="Arial" w:eastAsia="Calibri" w:hAnsi="Arial" w:cs="Arial"/>
                <w:sz w:val="18"/>
                <w:szCs w:val="18"/>
              </w:rPr>
              <w:t>37</w:t>
            </w:r>
            <w:r w:rsidR="003752B9" w:rsidRPr="00C43EF1">
              <w:rPr>
                <w:rFonts w:ascii="Arial" w:eastAsia="Calibri" w:hAnsi="Arial" w:cs="Arial"/>
                <w:sz w:val="18"/>
                <w:szCs w:val="18"/>
              </w:rPr>
              <w:t xml:space="preserve"> sastanka</w:t>
            </w:r>
          </w:p>
        </w:tc>
        <w:tc>
          <w:tcPr>
            <w:tcW w:w="1276" w:type="dxa"/>
            <w:vAlign w:val="center"/>
          </w:tcPr>
          <w:p w14:paraId="4FDF068C" w14:textId="284E92B9" w:rsidR="003752B9" w:rsidRPr="00C43EF1" w:rsidRDefault="001403E1" w:rsidP="003752B9">
            <w:pPr>
              <w:jc w:val="center"/>
              <w:rPr>
                <w:rFonts w:ascii="Arial" w:eastAsia="Calibri" w:hAnsi="Arial" w:cs="Arial"/>
                <w:sz w:val="18"/>
                <w:szCs w:val="18"/>
              </w:rPr>
            </w:pPr>
            <w:r w:rsidRPr="00C43EF1">
              <w:rPr>
                <w:rFonts w:ascii="Arial" w:eastAsia="Calibri" w:hAnsi="Arial" w:cs="Arial"/>
                <w:sz w:val="18"/>
                <w:szCs w:val="18"/>
              </w:rPr>
              <w:t>40</w:t>
            </w:r>
            <w:r w:rsidR="003752B9" w:rsidRPr="00C43EF1">
              <w:rPr>
                <w:rFonts w:ascii="Arial" w:eastAsia="Calibri" w:hAnsi="Arial" w:cs="Arial"/>
                <w:sz w:val="18"/>
                <w:szCs w:val="18"/>
              </w:rPr>
              <w:t xml:space="preserve"> sastanaka</w:t>
            </w:r>
          </w:p>
        </w:tc>
        <w:tc>
          <w:tcPr>
            <w:tcW w:w="1297" w:type="dxa"/>
            <w:vAlign w:val="center"/>
          </w:tcPr>
          <w:p w14:paraId="3A0B1967" w14:textId="18277E17" w:rsidR="003752B9" w:rsidRPr="00C43EF1" w:rsidRDefault="00DD4272" w:rsidP="003752B9">
            <w:pPr>
              <w:jc w:val="center"/>
              <w:rPr>
                <w:rFonts w:ascii="Arial" w:eastAsia="Calibri" w:hAnsi="Arial" w:cs="Arial"/>
                <w:sz w:val="18"/>
                <w:szCs w:val="18"/>
              </w:rPr>
            </w:pPr>
            <w:r w:rsidRPr="00C43EF1">
              <w:rPr>
                <w:rFonts w:ascii="Arial" w:eastAsia="Calibri" w:hAnsi="Arial" w:cs="Arial"/>
                <w:sz w:val="18"/>
                <w:szCs w:val="18"/>
              </w:rPr>
              <w:t>40</w:t>
            </w:r>
            <w:r w:rsidR="003752B9" w:rsidRPr="00C43EF1">
              <w:rPr>
                <w:rFonts w:ascii="Arial" w:eastAsia="Calibri" w:hAnsi="Arial" w:cs="Arial"/>
                <w:sz w:val="18"/>
                <w:szCs w:val="18"/>
              </w:rPr>
              <w:t xml:space="preserve"> sastanaka</w:t>
            </w:r>
          </w:p>
        </w:tc>
      </w:tr>
    </w:tbl>
    <w:p w14:paraId="69CB98E0" w14:textId="024431F6" w:rsidR="008A4B00" w:rsidRPr="002C5474" w:rsidRDefault="008A4B00" w:rsidP="008A4B00">
      <w:pPr>
        <w:overflowPunct w:val="0"/>
        <w:autoSpaceDE w:val="0"/>
        <w:autoSpaceDN w:val="0"/>
        <w:adjustRightInd w:val="0"/>
        <w:spacing w:after="0" w:line="240" w:lineRule="auto"/>
        <w:jc w:val="both"/>
        <w:rPr>
          <w:rFonts w:ascii="Arial" w:eastAsia="Times New Roman" w:hAnsi="Arial" w:cs="Arial"/>
          <w:sz w:val="20"/>
          <w:szCs w:val="20"/>
        </w:rPr>
      </w:pPr>
      <w:r w:rsidRPr="002C5474">
        <w:rPr>
          <w:rFonts w:ascii="Arial" w:eastAsia="Times New Roman" w:hAnsi="Arial" w:cs="Arial"/>
          <w:b/>
          <w:bCs/>
          <w:sz w:val="20"/>
          <w:szCs w:val="20"/>
        </w:rPr>
        <w:t>Obrazloženje:</w:t>
      </w:r>
      <w:r w:rsidRPr="002C5474">
        <w:rPr>
          <w:rFonts w:ascii="Arial" w:eastAsia="Times New Roman" w:hAnsi="Arial" w:cs="Arial"/>
          <w:sz w:val="20"/>
          <w:szCs w:val="20"/>
        </w:rPr>
        <w:t xml:space="preserve"> </w:t>
      </w:r>
      <w:r w:rsidR="00AC7B34">
        <w:rPr>
          <w:rFonts w:ascii="Arial" w:eastAsia="Times New Roman" w:hAnsi="Arial" w:cs="Arial"/>
          <w:sz w:val="20"/>
          <w:szCs w:val="20"/>
        </w:rPr>
        <w:t>Tijekom godine</w:t>
      </w:r>
      <w:r w:rsidRPr="002C5474">
        <w:rPr>
          <w:rFonts w:ascii="Arial" w:eastAsia="Times New Roman" w:hAnsi="Arial" w:cs="Arial"/>
          <w:sz w:val="20"/>
          <w:szCs w:val="20"/>
        </w:rPr>
        <w:t xml:space="preserve"> održan</w:t>
      </w:r>
      <w:r w:rsidR="00AC7B34">
        <w:rPr>
          <w:rFonts w:ascii="Arial" w:eastAsia="Times New Roman" w:hAnsi="Arial" w:cs="Arial"/>
          <w:sz w:val="20"/>
          <w:szCs w:val="20"/>
        </w:rPr>
        <w:t>o je 37</w:t>
      </w:r>
      <w:r w:rsidRPr="002C5474">
        <w:rPr>
          <w:rFonts w:ascii="Arial" w:eastAsia="Times New Roman" w:hAnsi="Arial" w:cs="Arial"/>
          <w:sz w:val="20"/>
          <w:szCs w:val="20"/>
        </w:rPr>
        <w:t xml:space="preserve"> roditeljsk</w:t>
      </w:r>
      <w:r w:rsidR="00C43EF1">
        <w:rPr>
          <w:rFonts w:ascii="Arial" w:eastAsia="Times New Roman" w:hAnsi="Arial" w:cs="Arial"/>
          <w:sz w:val="20"/>
          <w:szCs w:val="20"/>
        </w:rPr>
        <w:t>ih</w:t>
      </w:r>
      <w:r w:rsidRPr="002C5474">
        <w:rPr>
          <w:rFonts w:ascii="Arial" w:eastAsia="Times New Roman" w:hAnsi="Arial" w:cs="Arial"/>
          <w:sz w:val="20"/>
          <w:szCs w:val="20"/>
        </w:rPr>
        <w:t xml:space="preserve"> sastan</w:t>
      </w:r>
      <w:r w:rsidR="00C43EF1">
        <w:rPr>
          <w:rFonts w:ascii="Arial" w:eastAsia="Times New Roman" w:hAnsi="Arial" w:cs="Arial"/>
          <w:sz w:val="20"/>
          <w:szCs w:val="20"/>
        </w:rPr>
        <w:t>a</w:t>
      </w:r>
      <w:r w:rsidRPr="002C5474">
        <w:rPr>
          <w:rFonts w:ascii="Arial" w:eastAsia="Times New Roman" w:hAnsi="Arial" w:cs="Arial"/>
          <w:sz w:val="20"/>
          <w:szCs w:val="20"/>
        </w:rPr>
        <w:t>ka od strane stručnih suradnika i odgojitelja.</w:t>
      </w:r>
    </w:p>
    <w:p w14:paraId="194EF0C0" w14:textId="77777777" w:rsidR="00962DD2" w:rsidRPr="00D12A0C" w:rsidRDefault="00962DD2" w:rsidP="003752B9">
      <w:pPr>
        <w:spacing w:after="0" w:line="240" w:lineRule="auto"/>
        <w:rPr>
          <w:rFonts w:ascii="Arial" w:eastAsia="Calibri" w:hAnsi="Arial" w:cs="Arial"/>
          <w:sz w:val="20"/>
          <w:szCs w:val="20"/>
        </w:rPr>
      </w:pPr>
    </w:p>
    <w:p w14:paraId="2C6D7BBE" w14:textId="77777777" w:rsidR="003752B9" w:rsidRPr="00D12A0C" w:rsidRDefault="003752B9" w:rsidP="003752B9">
      <w:pPr>
        <w:spacing w:after="0" w:line="240" w:lineRule="auto"/>
        <w:contextualSpacing/>
        <w:jc w:val="center"/>
        <w:rPr>
          <w:rFonts w:ascii="Arial" w:eastAsia="Calibri" w:hAnsi="Arial" w:cs="Arial"/>
          <w:b/>
          <w:sz w:val="20"/>
          <w:u w:val="dotted"/>
          <w:lang w:eastAsia="en-US"/>
        </w:rPr>
      </w:pPr>
      <w:r w:rsidRPr="00D12A0C">
        <w:rPr>
          <w:rFonts w:ascii="Arial" w:eastAsia="Calibri" w:hAnsi="Arial" w:cs="Arial"/>
          <w:b/>
          <w:sz w:val="20"/>
          <w:u w:val="dotted"/>
          <w:lang w:eastAsia="en-US"/>
        </w:rPr>
        <w:t>3.</w:t>
      </w:r>
      <w:r w:rsidRPr="00D12A0C">
        <w:rPr>
          <w:rFonts w:ascii="Arial" w:eastAsia="Calibri" w:hAnsi="Arial" w:cs="Arial"/>
          <w:b/>
          <w:sz w:val="20"/>
          <w:u w:val="dotted"/>
          <w:lang w:eastAsia="en-US"/>
        </w:rPr>
        <w:tab/>
        <w:t>Program „Rastimo zajedno“</w:t>
      </w:r>
    </w:p>
    <w:p w14:paraId="7F30FD97" w14:textId="77777777" w:rsidR="003752B9" w:rsidRPr="00D12A0C" w:rsidRDefault="003752B9" w:rsidP="003752B9">
      <w:pPr>
        <w:spacing w:after="0" w:line="240" w:lineRule="auto"/>
        <w:rPr>
          <w:rFonts w:ascii="Arial" w:eastAsia="Calibri" w:hAnsi="Arial" w:cs="Arial"/>
          <w:sz w:val="20"/>
          <w:szCs w:val="20"/>
        </w:rPr>
      </w:pPr>
    </w:p>
    <w:tbl>
      <w:tblPr>
        <w:tblStyle w:val="Reetkatablice22"/>
        <w:tblW w:w="13967" w:type="dxa"/>
        <w:jc w:val="center"/>
        <w:tblLayout w:type="fixed"/>
        <w:tblLook w:val="04A0" w:firstRow="1" w:lastRow="0" w:firstColumn="1" w:lastColumn="0" w:noHBand="0" w:noVBand="1"/>
      </w:tblPr>
      <w:tblGrid>
        <w:gridCol w:w="2122"/>
        <w:gridCol w:w="2693"/>
        <w:gridCol w:w="1803"/>
        <w:gridCol w:w="1134"/>
        <w:gridCol w:w="1134"/>
        <w:gridCol w:w="1232"/>
        <w:gridCol w:w="1276"/>
        <w:gridCol w:w="1276"/>
        <w:gridCol w:w="1297"/>
      </w:tblGrid>
      <w:tr w:rsidR="00D12A0C" w:rsidRPr="00D12A0C" w14:paraId="00A7E9EF" w14:textId="77777777" w:rsidTr="002E0731">
        <w:trPr>
          <w:jc w:val="center"/>
        </w:trPr>
        <w:tc>
          <w:tcPr>
            <w:tcW w:w="2122" w:type="dxa"/>
            <w:shd w:val="clear" w:color="auto" w:fill="BFBFBF" w:themeFill="background1" w:themeFillShade="BF"/>
            <w:vAlign w:val="center"/>
          </w:tcPr>
          <w:p w14:paraId="157D7455" w14:textId="77777777" w:rsidR="003752B9" w:rsidRPr="00D12A0C" w:rsidRDefault="003752B9" w:rsidP="003752B9">
            <w:pPr>
              <w:jc w:val="center"/>
              <w:rPr>
                <w:rFonts w:ascii="Arial" w:eastAsia="Calibri" w:hAnsi="Arial" w:cs="Arial"/>
              </w:rPr>
            </w:pPr>
            <w:r w:rsidRPr="00D12A0C">
              <w:rPr>
                <w:rFonts w:ascii="Arial" w:eastAsia="Calibri" w:hAnsi="Arial" w:cs="Arial"/>
              </w:rPr>
              <w:t>Pokazatelj uspješnosti</w:t>
            </w:r>
          </w:p>
        </w:tc>
        <w:tc>
          <w:tcPr>
            <w:tcW w:w="2693" w:type="dxa"/>
            <w:shd w:val="clear" w:color="auto" w:fill="BFBFBF" w:themeFill="background1" w:themeFillShade="BF"/>
            <w:vAlign w:val="center"/>
          </w:tcPr>
          <w:p w14:paraId="08E498B4" w14:textId="77777777" w:rsidR="003752B9" w:rsidRPr="00D12A0C" w:rsidRDefault="003752B9" w:rsidP="003752B9">
            <w:pPr>
              <w:jc w:val="center"/>
              <w:rPr>
                <w:rFonts w:ascii="Arial" w:eastAsia="Calibri" w:hAnsi="Arial" w:cs="Arial"/>
              </w:rPr>
            </w:pPr>
            <w:r w:rsidRPr="00D12A0C">
              <w:rPr>
                <w:rFonts w:ascii="Arial" w:eastAsia="Calibri" w:hAnsi="Arial" w:cs="Arial"/>
              </w:rPr>
              <w:t>Definicija</w:t>
            </w:r>
          </w:p>
        </w:tc>
        <w:tc>
          <w:tcPr>
            <w:tcW w:w="1803" w:type="dxa"/>
            <w:shd w:val="clear" w:color="auto" w:fill="BFBFBF" w:themeFill="background1" w:themeFillShade="BF"/>
            <w:vAlign w:val="center"/>
          </w:tcPr>
          <w:p w14:paraId="44C2F13B" w14:textId="77777777" w:rsidR="003752B9" w:rsidRPr="00D12A0C" w:rsidRDefault="003752B9" w:rsidP="003752B9">
            <w:pPr>
              <w:jc w:val="center"/>
              <w:rPr>
                <w:rFonts w:ascii="Arial" w:eastAsia="Calibri" w:hAnsi="Arial" w:cs="Arial"/>
              </w:rPr>
            </w:pPr>
            <w:r w:rsidRPr="00D12A0C">
              <w:rPr>
                <w:rFonts w:ascii="Arial" w:eastAsia="Calibri" w:hAnsi="Arial" w:cs="Arial"/>
              </w:rPr>
              <w:t>Jedinica</w:t>
            </w:r>
          </w:p>
        </w:tc>
        <w:tc>
          <w:tcPr>
            <w:tcW w:w="1134" w:type="dxa"/>
            <w:shd w:val="clear" w:color="auto" w:fill="BFBFBF" w:themeFill="background1" w:themeFillShade="BF"/>
            <w:vAlign w:val="center"/>
          </w:tcPr>
          <w:p w14:paraId="05AD34FC" w14:textId="2DA26BCA" w:rsidR="003752B9" w:rsidRPr="00D12A0C" w:rsidRDefault="003752B9" w:rsidP="003752B9">
            <w:pPr>
              <w:jc w:val="center"/>
              <w:rPr>
                <w:rFonts w:ascii="Arial" w:eastAsia="Calibri" w:hAnsi="Arial" w:cs="Arial"/>
              </w:rPr>
            </w:pPr>
            <w:r w:rsidRPr="00D12A0C">
              <w:rPr>
                <w:rFonts w:ascii="Arial" w:eastAsia="Calibri" w:hAnsi="Arial" w:cs="Arial"/>
              </w:rPr>
              <w:t>Polazna vrijednost</w:t>
            </w:r>
            <w:r w:rsidR="008A4B00" w:rsidRPr="00D12A0C">
              <w:rPr>
                <w:rFonts w:ascii="Arial" w:eastAsia="Calibri" w:hAnsi="Arial" w:cs="Arial"/>
              </w:rPr>
              <w:t xml:space="preserve"> 202</w:t>
            </w:r>
            <w:r w:rsidR="007F65BB">
              <w:rPr>
                <w:rFonts w:ascii="Arial" w:eastAsia="Calibri" w:hAnsi="Arial" w:cs="Arial"/>
              </w:rPr>
              <w:t>4</w:t>
            </w:r>
            <w:r w:rsidR="008A4B00" w:rsidRPr="00D12A0C">
              <w:rPr>
                <w:rFonts w:ascii="Arial" w:eastAsia="Calibri" w:hAnsi="Arial" w:cs="Arial"/>
              </w:rPr>
              <w:t>.</w:t>
            </w:r>
          </w:p>
        </w:tc>
        <w:tc>
          <w:tcPr>
            <w:tcW w:w="1134" w:type="dxa"/>
            <w:shd w:val="clear" w:color="auto" w:fill="BFBFBF" w:themeFill="background1" w:themeFillShade="BF"/>
            <w:vAlign w:val="center"/>
          </w:tcPr>
          <w:p w14:paraId="60D66523" w14:textId="77777777" w:rsidR="003752B9" w:rsidRPr="00D12A0C" w:rsidRDefault="003752B9" w:rsidP="003752B9">
            <w:pPr>
              <w:jc w:val="center"/>
              <w:rPr>
                <w:rFonts w:ascii="Arial" w:eastAsia="Calibri" w:hAnsi="Arial" w:cs="Arial"/>
              </w:rPr>
            </w:pPr>
            <w:r w:rsidRPr="00D12A0C">
              <w:rPr>
                <w:rFonts w:ascii="Arial" w:eastAsia="Calibri" w:hAnsi="Arial" w:cs="Arial"/>
              </w:rPr>
              <w:t>Izvor podataka</w:t>
            </w:r>
          </w:p>
        </w:tc>
        <w:tc>
          <w:tcPr>
            <w:tcW w:w="1232" w:type="dxa"/>
            <w:shd w:val="clear" w:color="auto" w:fill="BFBFBF" w:themeFill="background1" w:themeFillShade="BF"/>
            <w:vAlign w:val="center"/>
          </w:tcPr>
          <w:p w14:paraId="1BF2D565" w14:textId="70F5F85D" w:rsidR="003752B9" w:rsidRPr="00D12A0C" w:rsidRDefault="003752B9" w:rsidP="00CB07CA">
            <w:pPr>
              <w:jc w:val="center"/>
              <w:rPr>
                <w:rFonts w:ascii="Arial" w:eastAsia="Calibri" w:hAnsi="Arial" w:cs="Arial"/>
              </w:rPr>
            </w:pPr>
            <w:r w:rsidRPr="00D12A0C">
              <w:rPr>
                <w:rFonts w:ascii="Arial" w:eastAsia="Calibri" w:hAnsi="Arial" w:cs="Arial"/>
              </w:rPr>
              <w:t>Ciljana vrijednost 20</w:t>
            </w:r>
            <w:r w:rsidR="00CB07CA" w:rsidRPr="00D12A0C">
              <w:rPr>
                <w:rFonts w:ascii="Arial" w:eastAsia="Calibri" w:hAnsi="Arial" w:cs="Arial"/>
              </w:rPr>
              <w:t>2</w:t>
            </w:r>
            <w:r w:rsidR="007F65BB">
              <w:rPr>
                <w:rFonts w:ascii="Arial" w:eastAsia="Calibri" w:hAnsi="Arial" w:cs="Arial"/>
              </w:rPr>
              <w:t>5</w:t>
            </w:r>
          </w:p>
        </w:tc>
        <w:tc>
          <w:tcPr>
            <w:tcW w:w="1276" w:type="dxa"/>
            <w:shd w:val="clear" w:color="auto" w:fill="BFBFBF" w:themeFill="background1" w:themeFillShade="BF"/>
            <w:vAlign w:val="center"/>
          </w:tcPr>
          <w:p w14:paraId="4DF149D3" w14:textId="405D7852" w:rsidR="003752B9" w:rsidRPr="00D12A0C" w:rsidRDefault="003752B9" w:rsidP="003752B9">
            <w:pPr>
              <w:jc w:val="center"/>
              <w:rPr>
                <w:rFonts w:ascii="Arial" w:eastAsia="Calibri" w:hAnsi="Arial" w:cs="Arial"/>
              </w:rPr>
            </w:pPr>
            <w:r w:rsidRPr="00D12A0C">
              <w:rPr>
                <w:rFonts w:ascii="Arial" w:eastAsia="Calibri" w:hAnsi="Arial" w:cs="Arial"/>
              </w:rPr>
              <w:t>Izvršeno</w:t>
            </w:r>
            <w:r w:rsidR="008A4B00" w:rsidRPr="00D12A0C">
              <w:rPr>
                <w:rFonts w:ascii="Arial" w:eastAsia="Calibri" w:hAnsi="Arial" w:cs="Arial"/>
              </w:rPr>
              <w:t xml:space="preserve"> 202</w:t>
            </w:r>
            <w:r w:rsidR="007F65BB">
              <w:rPr>
                <w:rFonts w:ascii="Arial" w:eastAsia="Calibri" w:hAnsi="Arial" w:cs="Arial"/>
              </w:rPr>
              <w:t>5</w:t>
            </w:r>
            <w:r w:rsidR="008A4B00" w:rsidRPr="00D12A0C">
              <w:rPr>
                <w:rFonts w:ascii="Arial" w:eastAsia="Calibri" w:hAnsi="Arial" w:cs="Arial"/>
              </w:rPr>
              <w:t>.</w:t>
            </w:r>
          </w:p>
        </w:tc>
        <w:tc>
          <w:tcPr>
            <w:tcW w:w="1276" w:type="dxa"/>
            <w:shd w:val="clear" w:color="auto" w:fill="BFBFBF" w:themeFill="background1" w:themeFillShade="BF"/>
            <w:vAlign w:val="center"/>
          </w:tcPr>
          <w:p w14:paraId="3CA9FE17" w14:textId="3E1E2792" w:rsidR="003752B9" w:rsidRPr="00D12A0C" w:rsidRDefault="003752B9" w:rsidP="00CB07CA">
            <w:pPr>
              <w:jc w:val="center"/>
              <w:rPr>
                <w:rFonts w:ascii="Arial" w:eastAsia="Calibri" w:hAnsi="Arial" w:cs="Arial"/>
              </w:rPr>
            </w:pPr>
            <w:r w:rsidRPr="00D12A0C">
              <w:rPr>
                <w:rFonts w:ascii="Arial" w:eastAsia="Calibri" w:hAnsi="Arial" w:cs="Arial"/>
              </w:rPr>
              <w:t>Ciljana vrijednost 20</w:t>
            </w:r>
            <w:r w:rsidR="00CB07CA" w:rsidRPr="00D12A0C">
              <w:rPr>
                <w:rFonts w:ascii="Arial" w:eastAsia="Calibri" w:hAnsi="Arial" w:cs="Arial"/>
              </w:rPr>
              <w:t>2</w:t>
            </w:r>
            <w:r w:rsidR="007F65BB">
              <w:rPr>
                <w:rFonts w:ascii="Arial" w:eastAsia="Calibri" w:hAnsi="Arial" w:cs="Arial"/>
              </w:rPr>
              <w:t>6</w:t>
            </w:r>
            <w:r w:rsidRPr="00D12A0C">
              <w:rPr>
                <w:rFonts w:ascii="Arial" w:eastAsia="Calibri" w:hAnsi="Arial" w:cs="Arial"/>
              </w:rPr>
              <w:t>.</w:t>
            </w:r>
          </w:p>
        </w:tc>
        <w:tc>
          <w:tcPr>
            <w:tcW w:w="1297" w:type="dxa"/>
            <w:shd w:val="clear" w:color="auto" w:fill="BFBFBF" w:themeFill="background1" w:themeFillShade="BF"/>
            <w:vAlign w:val="center"/>
          </w:tcPr>
          <w:p w14:paraId="60859B69" w14:textId="53DE678C" w:rsidR="003752B9" w:rsidRPr="00D12A0C" w:rsidRDefault="003752B9" w:rsidP="00CB07CA">
            <w:pPr>
              <w:jc w:val="center"/>
              <w:rPr>
                <w:rFonts w:ascii="Arial" w:eastAsia="Calibri" w:hAnsi="Arial" w:cs="Arial"/>
              </w:rPr>
            </w:pPr>
            <w:r w:rsidRPr="00D12A0C">
              <w:rPr>
                <w:rFonts w:ascii="Arial" w:eastAsia="Calibri" w:hAnsi="Arial" w:cs="Arial"/>
              </w:rPr>
              <w:t>Ciljana vrijednost 202</w:t>
            </w:r>
            <w:r w:rsidR="007F65BB">
              <w:rPr>
                <w:rFonts w:ascii="Arial" w:eastAsia="Calibri" w:hAnsi="Arial" w:cs="Arial"/>
              </w:rPr>
              <w:t>7.</w:t>
            </w:r>
          </w:p>
        </w:tc>
      </w:tr>
      <w:tr w:rsidR="00D12A0C" w:rsidRPr="00D12A0C" w14:paraId="00FB3214" w14:textId="77777777" w:rsidTr="00F12DCA">
        <w:trPr>
          <w:trHeight w:val="1015"/>
          <w:jc w:val="center"/>
        </w:trPr>
        <w:tc>
          <w:tcPr>
            <w:tcW w:w="2122" w:type="dxa"/>
            <w:vAlign w:val="center"/>
          </w:tcPr>
          <w:p w14:paraId="44C620AF" w14:textId="065552FB" w:rsidR="008A4B00" w:rsidRPr="00D12A0C" w:rsidRDefault="008A4B00" w:rsidP="008A4B00">
            <w:pPr>
              <w:rPr>
                <w:rFonts w:ascii="Arial" w:eastAsia="Calibri" w:hAnsi="Arial" w:cs="Arial"/>
              </w:rPr>
            </w:pPr>
            <w:r w:rsidRPr="00D12A0C">
              <w:rPr>
                <w:rFonts w:ascii="Arial" w:eastAsia="Calibri" w:hAnsi="Arial" w:cs="Arial"/>
              </w:rPr>
              <w:t>broj ciklusa radionica „Rastimo zajedno“</w:t>
            </w:r>
          </w:p>
        </w:tc>
        <w:tc>
          <w:tcPr>
            <w:tcW w:w="2693" w:type="dxa"/>
            <w:vAlign w:val="center"/>
          </w:tcPr>
          <w:p w14:paraId="3530F977" w14:textId="77777777" w:rsidR="008A4B00" w:rsidRPr="00D12A0C" w:rsidRDefault="008A4B00" w:rsidP="008A4B00">
            <w:pPr>
              <w:rPr>
                <w:rFonts w:ascii="Arial" w:eastAsia="Calibri" w:hAnsi="Arial" w:cs="Arial"/>
              </w:rPr>
            </w:pPr>
            <w:r w:rsidRPr="00D12A0C">
              <w:rPr>
                <w:rFonts w:ascii="Arial" w:eastAsia="Calibri" w:hAnsi="Arial" w:cs="Arial"/>
              </w:rPr>
              <w:t>Jačanje roditeljskih kompetencija</w:t>
            </w:r>
          </w:p>
          <w:p w14:paraId="7FE0AF84" w14:textId="08145F94" w:rsidR="008A4B00" w:rsidRPr="00D12A0C" w:rsidRDefault="008A4B00" w:rsidP="008A4B00">
            <w:pPr>
              <w:rPr>
                <w:rFonts w:ascii="Arial" w:eastAsia="Calibri" w:hAnsi="Arial" w:cs="Arial"/>
              </w:rPr>
            </w:pPr>
          </w:p>
        </w:tc>
        <w:tc>
          <w:tcPr>
            <w:tcW w:w="1803" w:type="dxa"/>
            <w:vAlign w:val="center"/>
          </w:tcPr>
          <w:p w14:paraId="2B36F713" w14:textId="19B6BE4D" w:rsidR="008A4B00" w:rsidRPr="00D12A0C" w:rsidRDefault="008A4B00" w:rsidP="008A4B00">
            <w:pPr>
              <w:jc w:val="center"/>
              <w:rPr>
                <w:rFonts w:ascii="Arial" w:eastAsia="Calibri" w:hAnsi="Arial" w:cs="Arial"/>
                <w:sz w:val="18"/>
              </w:rPr>
            </w:pPr>
            <w:r w:rsidRPr="00D12A0C">
              <w:rPr>
                <w:rFonts w:ascii="Arial" w:eastAsia="Calibri" w:hAnsi="Arial" w:cs="Arial"/>
                <w:sz w:val="18"/>
              </w:rPr>
              <w:t xml:space="preserve">1 ciklus Rastimo zajedno za roditelje </w:t>
            </w:r>
            <w:r w:rsidRPr="00F12DCA">
              <w:rPr>
                <w:rFonts w:ascii="Arial" w:eastAsia="Calibri" w:hAnsi="Arial" w:cs="Arial"/>
                <w:sz w:val="18"/>
                <w:szCs w:val="18"/>
              </w:rPr>
              <w:t>(11 susreta , jednom tjedno po dva sata)</w:t>
            </w:r>
            <w:r w:rsidRPr="00F12DCA">
              <w:rPr>
                <w:rFonts w:ascii="Arial" w:eastAsia="Calibri" w:hAnsi="Arial" w:cs="Arial"/>
                <w:sz w:val="16"/>
                <w:szCs w:val="18"/>
              </w:rPr>
              <w:t xml:space="preserve"> </w:t>
            </w:r>
          </w:p>
        </w:tc>
        <w:tc>
          <w:tcPr>
            <w:tcW w:w="1134" w:type="dxa"/>
            <w:vAlign w:val="center"/>
          </w:tcPr>
          <w:p w14:paraId="76B16B44" w14:textId="697BFBC8" w:rsidR="008A4B00" w:rsidRPr="00D12A0C" w:rsidRDefault="008A4B00" w:rsidP="008A4B00">
            <w:pPr>
              <w:jc w:val="center"/>
              <w:rPr>
                <w:rFonts w:ascii="Arial" w:eastAsia="Calibri" w:hAnsi="Arial" w:cs="Arial"/>
              </w:rPr>
            </w:pPr>
            <w:r w:rsidRPr="00D12A0C">
              <w:rPr>
                <w:rFonts w:ascii="Arial" w:eastAsia="Calibri" w:hAnsi="Arial" w:cs="Arial"/>
              </w:rPr>
              <w:t>1 ciklusa</w:t>
            </w:r>
          </w:p>
        </w:tc>
        <w:tc>
          <w:tcPr>
            <w:tcW w:w="1134" w:type="dxa"/>
            <w:vAlign w:val="center"/>
          </w:tcPr>
          <w:p w14:paraId="0F6D07F7" w14:textId="77777777" w:rsidR="008A4B00" w:rsidRPr="00D12A0C" w:rsidRDefault="008A4B00" w:rsidP="008A4B00">
            <w:pPr>
              <w:jc w:val="center"/>
              <w:rPr>
                <w:rFonts w:ascii="Arial" w:eastAsia="Calibri" w:hAnsi="Arial" w:cs="Arial"/>
              </w:rPr>
            </w:pPr>
            <w:r w:rsidRPr="00D12A0C">
              <w:rPr>
                <w:rFonts w:ascii="Arial" w:eastAsia="Calibri" w:hAnsi="Arial" w:cs="Arial"/>
              </w:rPr>
              <w:t>Dječji vrtić Konavle</w:t>
            </w:r>
          </w:p>
        </w:tc>
        <w:tc>
          <w:tcPr>
            <w:tcW w:w="1232" w:type="dxa"/>
            <w:vAlign w:val="center"/>
          </w:tcPr>
          <w:p w14:paraId="64D756BC" w14:textId="54FE1DD0" w:rsidR="008A4B00" w:rsidRPr="00D12A0C" w:rsidRDefault="008A4B00" w:rsidP="008A4B00">
            <w:pPr>
              <w:jc w:val="center"/>
              <w:rPr>
                <w:rFonts w:ascii="Arial" w:eastAsia="Calibri" w:hAnsi="Arial" w:cs="Arial"/>
              </w:rPr>
            </w:pPr>
            <w:r w:rsidRPr="00D12A0C">
              <w:rPr>
                <w:rFonts w:ascii="Arial" w:eastAsia="Calibri" w:hAnsi="Arial" w:cs="Arial"/>
              </w:rPr>
              <w:t>1 ciklusa</w:t>
            </w:r>
          </w:p>
        </w:tc>
        <w:tc>
          <w:tcPr>
            <w:tcW w:w="1276" w:type="dxa"/>
            <w:vAlign w:val="center"/>
          </w:tcPr>
          <w:p w14:paraId="3427597E" w14:textId="6A88CB9C" w:rsidR="008A4B00" w:rsidRPr="00D12A0C" w:rsidRDefault="008A4B00" w:rsidP="008A4B00">
            <w:pPr>
              <w:jc w:val="center"/>
              <w:rPr>
                <w:rFonts w:ascii="Arial" w:eastAsia="Calibri" w:hAnsi="Arial" w:cs="Arial"/>
              </w:rPr>
            </w:pPr>
            <w:r w:rsidRPr="00D12A0C">
              <w:rPr>
                <w:rFonts w:ascii="Arial" w:eastAsia="Calibri" w:hAnsi="Arial" w:cs="Arial"/>
              </w:rPr>
              <w:t>1 ciklus</w:t>
            </w:r>
          </w:p>
        </w:tc>
        <w:tc>
          <w:tcPr>
            <w:tcW w:w="1276" w:type="dxa"/>
            <w:vAlign w:val="center"/>
          </w:tcPr>
          <w:p w14:paraId="64A0FF87" w14:textId="1CF817C9" w:rsidR="008A4B00" w:rsidRPr="00D12A0C" w:rsidRDefault="008A4B00" w:rsidP="008A4B00">
            <w:pPr>
              <w:jc w:val="center"/>
              <w:rPr>
                <w:rFonts w:ascii="Arial" w:eastAsia="Calibri" w:hAnsi="Arial" w:cs="Arial"/>
              </w:rPr>
            </w:pPr>
            <w:r w:rsidRPr="00D12A0C">
              <w:rPr>
                <w:rFonts w:ascii="Arial" w:eastAsia="Calibri" w:hAnsi="Arial" w:cs="Arial"/>
              </w:rPr>
              <w:t>1 ciklus</w:t>
            </w:r>
          </w:p>
        </w:tc>
        <w:tc>
          <w:tcPr>
            <w:tcW w:w="1297" w:type="dxa"/>
            <w:vAlign w:val="center"/>
          </w:tcPr>
          <w:p w14:paraId="0F77C632" w14:textId="74B53403" w:rsidR="008A4B00" w:rsidRPr="00D12A0C" w:rsidRDefault="008A4B00" w:rsidP="008A4B00">
            <w:pPr>
              <w:jc w:val="center"/>
              <w:rPr>
                <w:rFonts w:ascii="Arial" w:eastAsia="Calibri" w:hAnsi="Arial" w:cs="Arial"/>
              </w:rPr>
            </w:pPr>
            <w:r w:rsidRPr="00D12A0C">
              <w:rPr>
                <w:rFonts w:ascii="Arial" w:eastAsia="Calibri" w:hAnsi="Arial" w:cs="Arial"/>
              </w:rPr>
              <w:t>1 ciklus</w:t>
            </w:r>
          </w:p>
        </w:tc>
      </w:tr>
    </w:tbl>
    <w:p w14:paraId="35ADD102" w14:textId="77777777" w:rsidR="008F1970" w:rsidRPr="00D12A0C" w:rsidRDefault="008F1970" w:rsidP="008A5ACD">
      <w:pPr>
        <w:spacing w:after="0" w:line="240" w:lineRule="auto"/>
        <w:rPr>
          <w:rFonts w:ascii="Arial" w:eastAsia="Calibri" w:hAnsi="Arial" w:cs="Arial"/>
          <w:sz w:val="20"/>
          <w:szCs w:val="20"/>
        </w:rPr>
      </w:pPr>
    </w:p>
    <w:p w14:paraId="09E8166B" w14:textId="738E505C" w:rsidR="008A5ACD" w:rsidRPr="00C43EF1" w:rsidRDefault="008A5ACD" w:rsidP="008A5ACD">
      <w:pPr>
        <w:spacing w:after="0" w:line="240" w:lineRule="auto"/>
        <w:rPr>
          <w:rFonts w:ascii="Arial" w:eastAsia="Calibri" w:hAnsi="Arial" w:cs="Arial"/>
          <w:sz w:val="20"/>
          <w:szCs w:val="20"/>
        </w:rPr>
      </w:pPr>
      <w:r w:rsidRPr="00D12A0C">
        <w:rPr>
          <w:rFonts w:ascii="Arial" w:eastAsia="Calibri" w:hAnsi="Arial" w:cs="Arial"/>
          <w:sz w:val="20"/>
          <w:szCs w:val="20"/>
        </w:rPr>
        <w:t xml:space="preserve">Kontinuiranim održavanjem ciklusa radionica za roditelje djece najmlađe dobi „Rastimo zajedno” koji se sastoji od 11 susreta (jednom tjedno po dva sata) povećava </w:t>
      </w:r>
      <w:r w:rsidRPr="00C43EF1">
        <w:rPr>
          <w:rFonts w:ascii="Arial" w:eastAsia="Calibri" w:hAnsi="Arial" w:cs="Arial"/>
          <w:sz w:val="20"/>
          <w:szCs w:val="20"/>
        </w:rPr>
        <w:t>se broj roditelja uključenih u radionice.</w:t>
      </w:r>
    </w:p>
    <w:p w14:paraId="3FBCC870" w14:textId="77777777" w:rsidR="003752B9" w:rsidRPr="00C43EF1" w:rsidRDefault="003752B9" w:rsidP="003752B9">
      <w:pPr>
        <w:spacing w:after="0" w:line="240" w:lineRule="auto"/>
        <w:rPr>
          <w:rFonts w:ascii="Arial" w:eastAsia="Calibri" w:hAnsi="Arial" w:cs="Arial"/>
          <w:sz w:val="20"/>
          <w:szCs w:val="20"/>
        </w:rPr>
      </w:pPr>
    </w:p>
    <w:p w14:paraId="0A564D8E" w14:textId="1617A991" w:rsidR="008A4B00" w:rsidRPr="00C43EF1" w:rsidRDefault="008A4B00" w:rsidP="008A4B00">
      <w:pPr>
        <w:spacing w:after="0" w:line="240" w:lineRule="auto"/>
        <w:rPr>
          <w:rFonts w:ascii="Arial" w:eastAsia="Times New Roman" w:hAnsi="Arial" w:cs="Arial"/>
          <w:sz w:val="20"/>
          <w:szCs w:val="20"/>
        </w:rPr>
      </w:pPr>
      <w:r w:rsidRPr="00C43EF1">
        <w:rPr>
          <w:rFonts w:ascii="Arial" w:eastAsia="Times New Roman" w:hAnsi="Arial" w:cs="Arial"/>
          <w:b/>
          <w:sz w:val="20"/>
          <w:szCs w:val="20"/>
        </w:rPr>
        <w:t>Obrazloženje:</w:t>
      </w:r>
      <w:r w:rsidRPr="00C43EF1">
        <w:rPr>
          <w:rFonts w:ascii="Arial" w:eastAsia="Times New Roman" w:hAnsi="Arial" w:cs="Arial"/>
          <w:sz w:val="20"/>
          <w:szCs w:val="20"/>
        </w:rPr>
        <w:t xml:space="preserve"> </w:t>
      </w:r>
      <w:r w:rsidR="00AC7B34">
        <w:rPr>
          <w:rFonts w:ascii="Arial" w:eastAsia="Times New Roman" w:hAnsi="Arial" w:cs="Arial"/>
          <w:sz w:val="20"/>
          <w:szCs w:val="20"/>
        </w:rPr>
        <w:t>Tijekom godine</w:t>
      </w:r>
      <w:r w:rsidRPr="00C43EF1">
        <w:rPr>
          <w:rFonts w:ascii="Arial" w:eastAsia="Times New Roman" w:hAnsi="Arial" w:cs="Arial"/>
          <w:sz w:val="20"/>
          <w:szCs w:val="20"/>
        </w:rPr>
        <w:t xml:space="preserve"> održan je 1 ciklus od 11 radionica za roditelje „Rastimo zajedno“.</w:t>
      </w:r>
    </w:p>
    <w:p w14:paraId="399C4D81" w14:textId="77777777" w:rsidR="00656BF1" w:rsidRPr="00D12A0C" w:rsidRDefault="00656BF1" w:rsidP="003752B9">
      <w:pPr>
        <w:spacing w:after="0" w:line="240" w:lineRule="auto"/>
        <w:jc w:val="both"/>
        <w:rPr>
          <w:rFonts w:ascii="Arial" w:eastAsia="Times New Roman" w:hAnsi="Arial" w:cs="Arial"/>
          <w:sz w:val="20"/>
          <w:szCs w:val="20"/>
          <w:lang w:eastAsia="en-US"/>
        </w:rPr>
      </w:pPr>
    </w:p>
    <w:p w14:paraId="50E6443D" w14:textId="77777777" w:rsidR="003752B9" w:rsidRPr="00D12A0C" w:rsidRDefault="003752B9" w:rsidP="003752B9">
      <w:pPr>
        <w:spacing w:after="0" w:line="240" w:lineRule="auto"/>
        <w:rPr>
          <w:rFonts w:ascii="Arial" w:eastAsia="Calibri" w:hAnsi="Arial" w:cs="Arial"/>
          <w:b/>
          <w:sz w:val="20"/>
          <w:szCs w:val="20"/>
          <w:u w:val="single"/>
        </w:rPr>
      </w:pPr>
      <w:r w:rsidRPr="00D12A0C">
        <w:rPr>
          <w:rFonts w:ascii="Arial" w:eastAsia="Calibri" w:hAnsi="Arial" w:cs="Arial"/>
          <w:b/>
          <w:sz w:val="20"/>
          <w:szCs w:val="20"/>
          <w:u w:val="single"/>
        </w:rPr>
        <w:t>CILJ: Održavanje kvalitete zaposlenog kadra</w:t>
      </w:r>
    </w:p>
    <w:p w14:paraId="2CD4B419" w14:textId="77777777" w:rsidR="003752B9" w:rsidRPr="00D12A0C" w:rsidRDefault="003752B9" w:rsidP="003752B9">
      <w:pPr>
        <w:spacing w:after="0" w:line="240" w:lineRule="auto"/>
        <w:rPr>
          <w:rFonts w:ascii="Arial" w:eastAsia="Calibri" w:hAnsi="Arial" w:cs="Arial"/>
          <w:sz w:val="20"/>
          <w:szCs w:val="20"/>
        </w:rPr>
      </w:pPr>
    </w:p>
    <w:p w14:paraId="427B3DCA" w14:textId="77777777" w:rsidR="00167AC4" w:rsidRPr="00D12A0C" w:rsidRDefault="00167AC4" w:rsidP="003752B9">
      <w:pPr>
        <w:spacing w:after="0" w:line="240" w:lineRule="auto"/>
        <w:rPr>
          <w:rFonts w:ascii="Arial" w:eastAsia="Calibri" w:hAnsi="Arial" w:cs="Arial"/>
          <w:sz w:val="20"/>
          <w:szCs w:val="20"/>
        </w:rPr>
      </w:pPr>
      <w:r w:rsidRPr="00D12A0C">
        <w:rPr>
          <w:rFonts w:ascii="Arial" w:eastAsia="Calibri" w:hAnsi="Arial" w:cs="Arial"/>
          <w:sz w:val="20"/>
          <w:szCs w:val="20"/>
        </w:rPr>
        <w:t>Stručno usavršavanje svih struktura zaposlenih je Zakonom o predškolskom odgoju i obrazovanju obvezno, direktno utječe na razinu kvalitete odgojno-obrazovnog procesa, te vrtića u cjelini. Ovaj cilj održavanja kvalitete nastoji se postići povećanjem broja sudjelovanja na stručnim edukacijama.</w:t>
      </w:r>
    </w:p>
    <w:p w14:paraId="6DF1E3CF" w14:textId="77777777" w:rsidR="003752B9" w:rsidRPr="00D12A0C" w:rsidRDefault="003752B9" w:rsidP="003752B9">
      <w:pPr>
        <w:spacing w:after="0" w:line="240" w:lineRule="auto"/>
        <w:rPr>
          <w:rFonts w:ascii="Arial" w:eastAsia="Calibri" w:hAnsi="Arial" w:cs="Arial"/>
          <w:sz w:val="20"/>
          <w:szCs w:val="20"/>
        </w:rPr>
      </w:pPr>
    </w:p>
    <w:tbl>
      <w:tblPr>
        <w:tblStyle w:val="Reetkatablice22"/>
        <w:tblW w:w="14213" w:type="dxa"/>
        <w:jc w:val="center"/>
        <w:tblLayout w:type="fixed"/>
        <w:tblLook w:val="04A0" w:firstRow="1" w:lastRow="0" w:firstColumn="1" w:lastColumn="0" w:noHBand="0" w:noVBand="1"/>
      </w:tblPr>
      <w:tblGrid>
        <w:gridCol w:w="2263"/>
        <w:gridCol w:w="2552"/>
        <w:gridCol w:w="1559"/>
        <w:gridCol w:w="1418"/>
        <w:gridCol w:w="1094"/>
        <w:gridCol w:w="1232"/>
        <w:gridCol w:w="1451"/>
        <w:gridCol w:w="1276"/>
        <w:gridCol w:w="1368"/>
      </w:tblGrid>
      <w:tr w:rsidR="00D12A0C" w:rsidRPr="00D12A0C" w14:paraId="23DC08ED" w14:textId="77777777" w:rsidTr="00F6697E">
        <w:trPr>
          <w:jc w:val="center"/>
        </w:trPr>
        <w:tc>
          <w:tcPr>
            <w:tcW w:w="2263" w:type="dxa"/>
            <w:shd w:val="clear" w:color="auto" w:fill="BFBFBF" w:themeFill="background1" w:themeFillShade="BF"/>
            <w:vAlign w:val="center"/>
          </w:tcPr>
          <w:p w14:paraId="73BD7B5A" w14:textId="77777777" w:rsidR="003752B9" w:rsidRPr="00D12A0C" w:rsidRDefault="003752B9" w:rsidP="003752B9">
            <w:pPr>
              <w:jc w:val="center"/>
              <w:rPr>
                <w:rFonts w:ascii="Arial" w:eastAsia="Calibri" w:hAnsi="Arial" w:cs="Arial"/>
              </w:rPr>
            </w:pPr>
            <w:r w:rsidRPr="00D12A0C">
              <w:rPr>
                <w:rFonts w:ascii="Arial" w:eastAsia="Calibri" w:hAnsi="Arial" w:cs="Arial"/>
              </w:rPr>
              <w:t>Pokazatelj uspješnosti</w:t>
            </w:r>
          </w:p>
        </w:tc>
        <w:tc>
          <w:tcPr>
            <w:tcW w:w="2552" w:type="dxa"/>
            <w:shd w:val="clear" w:color="auto" w:fill="BFBFBF" w:themeFill="background1" w:themeFillShade="BF"/>
            <w:vAlign w:val="center"/>
          </w:tcPr>
          <w:p w14:paraId="47320EFA" w14:textId="77777777" w:rsidR="003752B9" w:rsidRPr="00D12A0C" w:rsidRDefault="003752B9" w:rsidP="003752B9">
            <w:pPr>
              <w:jc w:val="center"/>
              <w:rPr>
                <w:rFonts w:ascii="Arial" w:eastAsia="Calibri" w:hAnsi="Arial" w:cs="Arial"/>
              </w:rPr>
            </w:pPr>
            <w:r w:rsidRPr="00D12A0C">
              <w:rPr>
                <w:rFonts w:ascii="Arial" w:eastAsia="Calibri" w:hAnsi="Arial" w:cs="Arial"/>
              </w:rPr>
              <w:t>Definicija</w:t>
            </w:r>
          </w:p>
        </w:tc>
        <w:tc>
          <w:tcPr>
            <w:tcW w:w="1559" w:type="dxa"/>
            <w:shd w:val="clear" w:color="auto" w:fill="BFBFBF" w:themeFill="background1" w:themeFillShade="BF"/>
            <w:vAlign w:val="center"/>
          </w:tcPr>
          <w:p w14:paraId="66755A38" w14:textId="77777777" w:rsidR="003752B9" w:rsidRPr="00D12A0C" w:rsidRDefault="003752B9" w:rsidP="003752B9">
            <w:pPr>
              <w:jc w:val="center"/>
              <w:rPr>
                <w:rFonts w:ascii="Arial" w:eastAsia="Calibri" w:hAnsi="Arial" w:cs="Arial"/>
              </w:rPr>
            </w:pPr>
            <w:r w:rsidRPr="00D12A0C">
              <w:rPr>
                <w:rFonts w:ascii="Arial" w:eastAsia="Calibri" w:hAnsi="Arial" w:cs="Arial"/>
              </w:rPr>
              <w:t>Jedinica</w:t>
            </w:r>
          </w:p>
        </w:tc>
        <w:tc>
          <w:tcPr>
            <w:tcW w:w="1418" w:type="dxa"/>
            <w:shd w:val="clear" w:color="auto" w:fill="BFBFBF" w:themeFill="background1" w:themeFillShade="BF"/>
            <w:vAlign w:val="center"/>
          </w:tcPr>
          <w:p w14:paraId="3F130889" w14:textId="4D6E1797" w:rsidR="003752B9" w:rsidRPr="00D12A0C" w:rsidRDefault="003752B9" w:rsidP="003752B9">
            <w:pPr>
              <w:jc w:val="center"/>
              <w:rPr>
                <w:rFonts w:ascii="Arial" w:eastAsia="Calibri" w:hAnsi="Arial" w:cs="Arial"/>
              </w:rPr>
            </w:pPr>
            <w:r w:rsidRPr="00D12A0C">
              <w:rPr>
                <w:rFonts w:ascii="Arial" w:eastAsia="Calibri" w:hAnsi="Arial" w:cs="Arial"/>
              </w:rPr>
              <w:t>Polazna vrijednost</w:t>
            </w:r>
            <w:r w:rsidR="008A4B00" w:rsidRPr="00D12A0C">
              <w:rPr>
                <w:rFonts w:ascii="Arial" w:eastAsia="Calibri" w:hAnsi="Arial" w:cs="Arial"/>
              </w:rPr>
              <w:t xml:space="preserve"> 202</w:t>
            </w:r>
            <w:r w:rsidR="003C009B">
              <w:rPr>
                <w:rFonts w:ascii="Arial" w:eastAsia="Calibri" w:hAnsi="Arial" w:cs="Arial"/>
              </w:rPr>
              <w:t>4</w:t>
            </w:r>
            <w:r w:rsidR="008A4B00" w:rsidRPr="00D12A0C">
              <w:rPr>
                <w:rFonts w:ascii="Arial" w:eastAsia="Calibri" w:hAnsi="Arial" w:cs="Arial"/>
              </w:rPr>
              <w:t>.</w:t>
            </w:r>
          </w:p>
        </w:tc>
        <w:tc>
          <w:tcPr>
            <w:tcW w:w="1094" w:type="dxa"/>
            <w:shd w:val="clear" w:color="auto" w:fill="BFBFBF" w:themeFill="background1" w:themeFillShade="BF"/>
            <w:vAlign w:val="center"/>
          </w:tcPr>
          <w:p w14:paraId="583B42B7" w14:textId="77777777" w:rsidR="003752B9" w:rsidRPr="00D12A0C" w:rsidRDefault="003752B9" w:rsidP="003752B9">
            <w:pPr>
              <w:jc w:val="center"/>
              <w:rPr>
                <w:rFonts w:ascii="Arial" w:eastAsia="Calibri" w:hAnsi="Arial" w:cs="Arial"/>
              </w:rPr>
            </w:pPr>
            <w:r w:rsidRPr="00D12A0C">
              <w:rPr>
                <w:rFonts w:ascii="Arial" w:eastAsia="Calibri" w:hAnsi="Arial" w:cs="Arial"/>
              </w:rPr>
              <w:t>Izvor podataka</w:t>
            </w:r>
          </w:p>
        </w:tc>
        <w:tc>
          <w:tcPr>
            <w:tcW w:w="1232" w:type="dxa"/>
            <w:shd w:val="clear" w:color="auto" w:fill="BFBFBF" w:themeFill="background1" w:themeFillShade="BF"/>
            <w:vAlign w:val="center"/>
          </w:tcPr>
          <w:p w14:paraId="747B433D" w14:textId="456384C3" w:rsidR="003752B9" w:rsidRPr="00D12A0C" w:rsidRDefault="003752B9" w:rsidP="0036426F">
            <w:pPr>
              <w:jc w:val="center"/>
              <w:rPr>
                <w:rFonts w:ascii="Arial" w:eastAsia="Calibri" w:hAnsi="Arial" w:cs="Arial"/>
              </w:rPr>
            </w:pPr>
            <w:r w:rsidRPr="00D12A0C">
              <w:rPr>
                <w:rFonts w:ascii="Arial" w:eastAsia="Calibri" w:hAnsi="Arial" w:cs="Arial"/>
              </w:rPr>
              <w:t>Ciljana vrijednost 20</w:t>
            </w:r>
            <w:r w:rsidR="0036426F" w:rsidRPr="00D12A0C">
              <w:rPr>
                <w:rFonts w:ascii="Arial" w:eastAsia="Calibri" w:hAnsi="Arial" w:cs="Arial"/>
              </w:rPr>
              <w:t>2</w:t>
            </w:r>
            <w:r w:rsidR="003C009B">
              <w:rPr>
                <w:rFonts w:ascii="Arial" w:eastAsia="Calibri" w:hAnsi="Arial" w:cs="Arial"/>
              </w:rPr>
              <w:t>5</w:t>
            </w:r>
          </w:p>
        </w:tc>
        <w:tc>
          <w:tcPr>
            <w:tcW w:w="1451" w:type="dxa"/>
            <w:shd w:val="clear" w:color="auto" w:fill="BFBFBF" w:themeFill="background1" w:themeFillShade="BF"/>
            <w:vAlign w:val="center"/>
          </w:tcPr>
          <w:p w14:paraId="37CF766B" w14:textId="295E5F9D" w:rsidR="003752B9" w:rsidRPr="00D12A0C" w:rsidRDefault="003752B9" w:rsidP="003752B9">
            <w:pPr>
              <w:jc w:val="center"/>
              <w:rPr>
                <w:rFonts w:ascii="Arial" w:eastAsia="Calibri" w:hAnsi="Arial" w:cs="Arial"/>
              </w:rPr>
            </w:pPr>
            <w:r w:rsidRPr="00D12A0C">
              <w:rPr>
                <w:rFonts w:ascii="Arial" w:eastAsia="Calibri" w:hAnsi="Arial" w:cs="Arial"/>
              </w:rPr>
              <w:t>Izvršeno</w:t>
            </w:r>
            <w:r w:rsidR="008A4B00" w:rsidRPr="00D12A0C">
              <w:rPr>
                <w:rFonts w:ascii="Arial" w:eastAsia="Calibri" w:hAnsi="Arial" w:cs="Arial"/>
              </w:rPr>
              <w:t xml:space="preserve"> 202</w:t>
            </w:r>
            <w:r w:rsidR="003C009B">
              <w:rPr>
                <w:rFonts w:ascii="Arial" w:eastAsia="Calibri" w:hAnsi="Arial" w:cs="Arial"/>
              </w:rPr>
              <w:t>5</w:t>
            </w:r>
            <w:r w:rsidR="008A4B00" w:rsidRPr="00D12A0C">
              <w:rPr>
                <w:rFonts w:ascii="Arial" w:eastAsia="Calibri" w:hAnsi="Arial" w:cs="Arial"/>
              </w:rPr>
              <w:t>.</w:t>
            </w:r>
          </w:p>
        </w:tc>
        <w:tc>
          <w:tcPr>
            <w:tcW w:w="1276" w:type="dxa"/>
            <w:shd w:val="clear" w:color="auto" w:fill="BFBFBF" w:themeFill="background1" w:themeFillShade="BF"/>
            <w:vAlign w:val="center"/>
          </w:tcPr>
          <w:p w14:paraId="2CFEB912" w14:textId="65C6FB35" w:rsidR="003752B9" w:rsidRPr="00D12A0C" w:rsidRDefault="003752B9" w:rsidP="0036426F">
            <w:pPr>
              <w:jc w:val="center"/>
              <w:rPr>
                <w:rFonts w:ascii="Arial" w:eastAsia="Calibri" w:hAnsi="Arial" w:cs="Arial"/>
              </w:rPr>
            </w:pPr>
            <w:r w:rsidRPr="00D12A0C">
              <w:rPr>
                <w:rFonts w:ascii="Arial" w:eastAsia="Calibri" w:hAnsi="Arial" w:cs="Arial"/>
              </w:rPr>
              <w:t>Ciljana vrijednost 202</w:t>
            </w:r>
            <w:r w:rsidR="003C009B">
              <w:rPr>
                <w:rFonts w:ascii="Arial" w:eastAsia="Calibri" w:hAnsi="Arial" w:cs="Arial"/>
              </w:rPr>
              <w:t>6</w:t>
            </w:r>
            <w:r w:rsidRPr="00D12A0C">
              <w:rPr>
                <w:rFonts w:ascii="Arial" w:eastAsia="Calibri" w:hAnsi="Arial" w:cs="Arial"/>
              </w:rPr>
              <w:t>.</w:t>
            </w:r>
          </w:p>
        </w:tc>
        <w:tc>
          <w:tcPr>
            <w:tcW w:w="1368" w:type="dxa"/>
            <w:shd w:val="clear" w:color="auto" w:fill="BFBFBF" w:themeFill="background1" w:themeFillShade="BF"/>
            <w:vAlign w:val="center"/>
          </w:tcPr>
          <w:p w14:paraId="430EA4FB" w14:textId="687BE640" w:rsidR="003752B9" w:rsidRPr="00D12A0C" w:rsidRDefault="003752B9" w:rsidP="0036426F">
            <w:pPr>
              <w:jc w:val="center"/>
              <w:rPr>
                <w:rFonts w:ascii="Arial" w:eastAsia="Calibri" w:hAnsi="Arial" w:cs="Arial"/>
              </w:rPr>
            </w:pPr>
            <w:r w:rsidRPr="00D12A0C">
              <w:rPr>
                <w:rFonts w:ascii="Arial" w:eastAsia="Calibri" w:hAnsi="Arial" w:cs="Arial"/>
              </w:rPr>
              <w:t>Ciljana vrijednost 20</w:t>
            </w:r>
            <w:r w:rsidR="003C009B">
              <w:rPr>
                <w:rFonts w:ascii="Arial" w:eastAsia="Calibri" w:hAnsi="Arial" w:cs="Arial"/>
              </w:rPr>
              <w:t>27</w:t>
            </w:r>
            <w:r w:rsidRPr="00D12A0C">
              <w:rPr>
                <w:rFonts w:ascii="Arial" w:eastAsia="Calibri" w:hAnsi="Arial" w:cs="Arial"/>
              </w:rPr>
              <w:t>.</w:t>
            </w:r>
          </w:p>
        </w:tc>
      </w:tr>
      <w:tr w:rsidR="00D12A0C" w:rsidRPr="00D12A0C" w14:paraId="466AD53F" w14:textId="77777777" w:rsidTr="00F12DCA">
        <w:trPr>
          <w:trHeight w:val="1120"/>
          <w:jc w:val="center"/>
        </w:trPr>
        <w:tc>
          <w:tcPr>
            <w:tcW w:w="2263" w:type="dxa"/>
            <w:vAlign w:val="center"/>
          </w:tcPr>
          <w:p w14:paraId="4B4F3A79" w14:textId="77777777" w:rsidR="008A4B00" w:rsidRPr="00D12A0C" w:rsidRDefault="008A4B00" w:rsidP="008A4B00">
            <w:pPr>
              <w:rPr>
                <w:rFonts w:ascii="Arial" w:eastAsia="Calibri" w:hAnsi="Arial" w:cs="Arial"/>
              </w:rPr>
            </w:pPr>
            <w:r w:rsidRPr="00D12A0C">
              <w:rPr>
                <w:rFonts w:ascii="Arial" w:eastAsia="Calibri" w:hAnsi="Arial" w:cs="Arial"/>
              </w:rPr>
              <w:t>Broj postojećih stručnih seminara</w:t>
            </w:r>
          </w:p>
        </w:tc>
        <w:tc>
          <w:tcPr>
            <w:tcW w:w="2552" w:type="dxa"/>
            <w:vAlign w:val="center"/>
          </w:tcPr>
          <w:p w14:paraId="39830DA6" w14:textId="77777777" w:rsidR="008A4B00" w:rsidRPr="00D12A0C" w:rsidRDefault="008A4B00" w:rsidP="008A4B00">
            <w:pPr>
              <w:rPr>
                <w:rFonts w:ascii="Arial" w:eastAsia="Calibri" w:hAnsi="Arial" w:cs="Arial"/>
              </w:rPr>
            </w:pPr>
            <w:r w:rsidRPr="00D12A0C">
              <w:rPr>
                <w:rFonts w:ascii="Arial" w:eastAsia="Calibri" w:hAnsi="Arial" w:cs="Arial"/>
              </w:rPr>
              <w:t>Sudjelovanjem stručnih radnika na različitim usavršavanjima povećava se njihova kvaliteta</w:t>
            </w:r>
          </w:p>
        </w:tc>
        <w:tc>
          <w:tcPr>
            <w:tcW w:w="1559" w:type="dxa"/>
            <w:vAlign w:val="center"/>
          </w:tcPr>
          <w:p w14:paraId="73AF5D09" w14:textId="77777777" w:rsidR="008A4B00" w:rsidRPr="00F12DCA" w:rsidRDefault="008A4B00" w:rsidP="008A4B00">
            <w:pPr>
              <w:rPr>
                <w:rFonts w:ascii="Arial" w:eastAsia="Calibri" w:hAnsi="Arial" w:cs="Arial"/>
                <w:sz w:val="18"/>
                <w:szCs w:val="18"/>
              </w:rPr>
            </w:pPr>
            <w:r w:rsidRPr="00F12DCA">
              <w:rPr>
                <w:rFonts w:ascii="Arial" w:eastAsia="Calibri" w:hAnsi="Arial" w:cs="Arial"/>
                <w:sz w:val="18"/>
                <w:szCs w:val="18"/>
              </w:rPr>
              <w:t>Broj stručnih seminara unutar i van Ustanove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912A44" w14:textId="743D1138" w:rsidR="008A4B00" w:rsidRPr="00D12A0C" w:rsidRDefault="003C009B" w:rsidP="008A4B00">
            <w:pPr>
              <w:jc w:val="center"/>
              <w:rPr>
                <w:rFonts w:ascii="Arial" w:eastAsia="Calibri" w:hAnsi="Arial" w:cs="Arial"/>
                <w:sz w:val="18"/>
                <w:szCs w:val="18"/>
              </w:rPr>
            </w:pPr>
            <w:r>
              <w:rPr>
                <w:rFonts w:ascii="Arial" w:eastAsia="Calibri" w:hAnsi="Arial" w:cs="Arial"/>
              </w:rPr>
              <w:t xml:space="preserve">43 </w:t>
            </w:r>
            <w:r w:rsidR="008A4B00" w:rsidRPr="00D12A0C">
              <w:rPr>
                <w:rFonts w:ascii="Arial" w:eastAsia="Calibri" w:hAnsi="Arial" w:cs="Arial"/>
              </w:rPr>
              <w:t>edukacije (ciklusa ili pojedinačnih)</w:t>
            </w:r>
          </w:p>
        </w:tc>
        <w:tc>
          <w:tcPr>
            <w:tcW w:w="1094" w:type="dxa"/>
            <w:vAlign w:val="center"/>
          </w:tcPr>
          <w:p w14:paraId="410F4041" w14:textId="77777777" w:rsidR="008A4B00" w:rsidRPr="00D12A0C" w:rsidRDefault="008A4B00" w:rsidP="008A4B00">
            <w:pPr>
              <w:jc w:val="center"/>
              <w:rPr>
                <w:rFonts w:ascii="Arial" w:eastAsia="Calibri" w:hAnsi="Arial" w:cs="Arial"/>
              </w:rPr>
            </w:pPr>
            <w:r w:rsidRPr="00D12A0C">
              <w:rPr>
                <w:rFonts w:ascii="Arial" w:eastAsia="Calibri" w:hAnsi="Arial" w:cs="Arial"/>
              </w:rPr>
              <w:t>Dječji vrtić Konavle</w:t>
            </w:r>
          </w:p>
        </w:tc>
        <w:tc>
          <w:tcPr>
            <w:tcW w:w="1232" w:type="dxa"/>
            <w:vAlign w:val="center"/>
          </w:tcPr>
          <w:p w14:paraId="0120D762" w14:textId="66A19400" w:rsidR="008A4B00" w:rsidRPr="00D12A0C" w:rsidRDefault="00572D92" w:rsidP="008A4B00">
            <w:pPr>
              <w:jc w:val="center"/>
              <w:rPr>
                <w:rFonts w:ascii="Arial" w:eastAsia="Calibri" w:hAnsi="Arial" w:cs="Arial"/>
              </w:rPr>
            </w:pPr>
            <w:r>
              <w:rPr>
                <w:rFonts w:ascii="Arial" w:eastAsia="Calibri" w:hAnsi="Arial" w:cs="Arial"/>
              </w:rPr>
              <w:t>25</w:t>
            </w:r>
            <w:r w:rsidR="008A4B00" w:rsidRPr="00D12A0C">
              <w:rPr>
                <w:rFonts w:ascii="Arial" w:eastAsia="Calibri" w:hAnsi="Arial" w:cs="Arial"/>
              </w:rPr>
              <w:t xml:space="preserve"> edukacija</w:t>
            </w:r>
          </w:p>
        </w:tc>
        <w:tc>
          <w:tcPr>
            <w:tcW w:w="1451" w:type="dxa"/>
            <w:vAlign w:val="center"/>
          </w:tcPr>
          <w:p w14:paraId="63F36EF1" w14:textId="3850AE3D" w:rsidR="008A4B00" w:rsidRPr="00D12A0C" w:rsidRDefault="00AC7B34" w:rsidP="008A4B00">
            <w:pPr>
              <w:jc w:val="center"/>
              <w:rPr>
                <w:rFonts w:ascii="Arial" w:eastAsia="Calibri" w:hAnsi="Arial" w:cs="Arial"/>
              </w:rPr>
            </w:pPr>
            <w:r>
              <w:rPr>
                <w:rFonts w:ascii="Arial" w:eastAsia="Calibri" w:hAnsi="Arial" w:cs="Arial"/>
              </w:rPr>
              <w:t>35</w:t>
            </w:r>
            <w:r w:rsidR="008A4B00" w:rsidRPr="00D12A0C">
              <w:rPr>
                <w:rFonts w:ascii="Arial" w:eastAsia="Calibri" w:hAnsi="Arial" w:cs="Arial"/>
              </w:rPr>
              <w:t xml:space="preserve"> edukacija</w:t>
            </w:r>
          </w:p>
        </w:tc>
        <w:tc>
          <w:tcPr>
            <w:tcW w:w="1276" w:type="dxa"/>
            <w:vAlign w:val="center"/>
          </w:tcPr>
          <w:p w14:paraId="0CF3F111" w14:textId="0FD0F011" w:rsidR="008A4B00" w:rsidRPr="00D12A0C" w:rsidRDefault="00572D92" w:rsidP="008A4B00">
            <w:pPr>
              <w:jc w:val="center"/>
              <w:rPr>
                <w:rFonts w:ascii="Arial" w:eastAsia="Calibri" w:hAnsi="Arial" w:cs="Arial"/>
              </w:rPr>
            </w:pPr>
            <w:r>
              <w:rPr>
                <w:rFonts w:ascii="Arial" w:eastAsia="Calibri" w:hAnsi="Arial" w:cs="Arial"/>
              </w:rPr>
              <w:t xml:space="preserve">30 </w:t>
            </w:r>
            <w:r w:rsidR="008A4B00" w:rsidRPr="00D12A0C">
              <w:rPr>
                <w:rFonts w:ascii="Arial" w:eastAsia="Calibri" w:hAnsi="Arial" w:cs="Arial"/>
              </w:rPr>
              <w:t>edukacija</w:t>
            </w:r>
          </w:p>
        </w:tc>
        <w:tc>
          <w:tcPr>
            <w:tcW w:w="1368" w:type="dxa"/>
            <w:vAlign w:val="center"/>
          </w:tcPr>
          <w:p w14:paraId="0573CC22" w14:textId="5FA45A59" w:rsidR="008A4B00" w:rsidRPr="00D12A0C" w:rsidRDefault="00572D92" w:rsidP="008A4B00">
            <w:pPr>
              <w:jc w:val="center"/>
              <w:rPr>
                <w:rFonts w:ascii="Arial" w:eastAsia="Calibri" w:hAnsi="Arial" w:cs="Arial"/>
              </w:rPr>
            </w:pPr>
            <w:r>
              <w:rPr>
                <w:rFonts w:ascii="Arial" w:eastAsia="Calibri" w:hAnsi="Arial" w:cs="Arial"/>
              </w:rPr>
              <w:t>32</w:t>
            </w:r>
            <w:r w:rsidR="008A4B00" w:rsidRPr="00D12A0C">
              <w:rPr>
                <w:rFonts w:ascii="Arial" w:eastAsia="Calibri" w:hAnsi="Arial" w:cs="Arial"/>
              </w:rPr>
              <w:t xml:space="preserve"> edukacija</w:t>
            </w:r>
          </w:p>
        </w:tc>
      </w:tr>
    </w:tbl>
    <w:p w14:paraId="06E2225C" w14:textId="53EB1961" w:rsidR="0011021F" w:rsidRPr="00D12A0C" w:rsidRDefault="0011021F" w:rsidP="008A4B00">
      <w:pPr>
        <w:spacing w:after="0" w:line="240" w:lineRule="auto"/>
        <w:rPr>
          <w:rFonts w:ascii="Arial" w:hAnsi="Arial" w:cs="Arial"/>
          <w:sz w:val="20"/>
          <w:szCs w:val="20"/>
        </w:rPr>
      </w:pPr>
    </w:p>
    <w:p w14:paraId="7FFE99A4" w14:textId="784FBEA4" w:rsidR="008A4B00" w:rsidRDefault="008A4B00" w:rsidP="008A4B00">
      <w:pPr>
        <w:autoSpaceDE w:val="0"/>
        <w:autoSpaceDN w:val="0"/>
        <w:adjustRightInd w:val="0"/>
        <w:spacing w:after="0" w:line="240" w:lineRule="auto"/>
        <w:rPr>
          <w:rFonts w:ascii="Arial" w:eastAsia="Calibri" w:hAnsi="Arial" w:cs="Arial"/>
          <w:sz w:val="20"/>
          <w:szCs w:val="20"/>
        </w:rPr>
      </w:pPr>
      <w:r w:rsidRPr="008A4B00">
        <w:rPr>
          <w:rFonts w:ascii="Arial" w:eastAsia="Calibri" w:hAnsi="Arial" w:cs="Arial"/>
          <w:b/>
          <w:sz w:val="20"/>
          <w:szCs w:val="20"/>
        </w:rPr>
        <w:t xml:space="preserve">Obrazloženje: </w:t>
      </w:r>
      <w:r w:rsidRPr="008A4B00">
        <w:rPr>
          <w:rFonts w:ascii="Arial" w:eastAsia="Calibri" w:hAnsi="Arial" w:cs="Arial"/>
          <w:sz w:val="20"/>
          <w:szCs w:val="20"/>
        </w:rPr>
        <w:t>Stručno usavršavanje se odvijalo unutar Ustanove, izvan Ustanove te individualno</w:t>
      </w:r>
      <w:r w:rsidR="00D12A0C" w:rsidRPr="00D12A0C">
        <w:rPr>
          <w:rFonts w:ascii="Arial" w:eastAsia="Calibri" w:hAnsi="Arial" w:cs="Arial"/>
          <w:sz w:val="20"/>
          <w:szCs w:val="20"/>
        </w:rPr>
        <w:t>.</w:t>
      </w:r>
    </w:p>
    <w:p w14:paraId="3C1B6C39" w14:textId="76873EF8" w:rsidR="00C43EF1" w:rsidRPr="008A4B00" w:rsidRDefault="00AC7B34" w:rsidP="008A4B00">
      <w:pPr>
        <w:autoSpaceDE w:val="0"/>
        <w:autoSpaceDN w:val="0"/>
        <w:adjustRightInd w:val="0"/>
        <w:spacing w:after="0" w:line="240" w:lineRule="auto"/>
        <w:rPr>
          <w:rFonts w:ascii="Arial" w:eastAsia="Calibri" w:hAnsi="Arial" w:cs="Arial"/>
          <w:b/>
          <w:sz w:val="20"/>
          <w:szCs w:val="20"/>
        </w:rPr>
      </w:pPr>
      <w:r>
        <w:rPr>
          <w:rFonts w:ascii="Arial" w:eastAsia="Calibri" w:hAnsi="Arial" w:cs="Arial"/>
          <w:sz w:val="20"/>
          <w:szCs w:val="20"/>
        </w:rPr>
        <w:t>Tijekom</w:t>
      </w:r>
      <w:r w:rsidR="00C43EF1">
        <w:rPr>
          <w:rFonts w:ascii="Arial" w:eastAsia="Calibri" w:hAnsi="Arial" w:cs="Arial"/>
          <w:sz w:val="20"/>
          <w:szCs w:val="20"/>
        </w:rPr>
        <w:t xml:space="preserve"> godine odgojno-obrazovne djelatnice su sudjelovale na </w:t>
      </w:r>
      <w:r>
        <w:rPr>
          <w:rFonts w:ascii="Arial" w:eastAsia="Calibri" w:hAnsi="Arial" w:cs="Arial"/>
          <w:sz w:val="20"/>
          <w:szCs w:val="20"/>
        </w:rPr>
        <w:t xml:space="preserve">35 </w:t>
      </w:r>
      <w:r w:rsidR="00C43EF1">
        <w:rPr>
          <w:rFonts w:ascii="Arial" w:eastAsia="Calibri" w:hAnsi="Arial" w:cs="Arial"/>
          <w:sz w:val="20"/>
          <w:szCs w:val="20"/>
        </w:rPr>
        <w:t>edukacija.</w:t>
      </w:r>
    </w:p>
    <w:p w14:paraId="598CB8AA" w14:textId="77777777" w:rsidR="0011021F" w:rsidRPr="003D6583" w:rsidRDefault="0011021F" w:rsidP="008A4B00">
      <w:pPr>
        <w:spacing w:after="0" w:line="240" w:lineRule="auto"/>
        <w:jc w:val="both"/>
        <w:rPr>
          <w:rFonts w:ascii="Arial" w:eastAsia="Calibri" w:hAnsi="Arial" w:cs="Arial"/>
          <w:sz w:val="20"/>
          <w:szCs w:val="24"/>
        </w:rPr>
      </w:pPr>
    </w:p>
    <w:p w14:paraId="2C497A53" w14:textId="77777777" w:rsidR="00684552" w:rsidRPr="003A2F86" w:rsidRDefault="00684552" w:rsidP="00684552">
      <w:pPr>
        <w:spacing w:after="0" w:line="240" w:lineRule="auto"/>
        <w:jc w:val="both"/>
        <w:rPr>
          <w:rFonts w:ascii="Arial" w:eastAsia="Calibri" w:hAnsi="Arial" w:cs="Arial"/>
          <w:sz w:val="20"/>
          <w:szCs w:val="24"/>
        </w:rPr>
      </w:pPr>
      <w:r w:rsidRPr="003A2F86">
        <w:rPr>
          <w:rFonts w:ascii="Arial" w:eastAsia="Calibri" w:hAnsi="Arial" w:cs="Arial"/>
          <w:sz w:val="20"/>
          <w:szCs w:val="20"/>
        </w:rPr>
        <w:br w:type="page"/>
      </w:r>
    </w:p>
    <w:p w14:paraId="19E6982C" w14:textId="77777777" w:rsidR="0004293C" w:rsidRPr="003A2F86" w:rsidRDefault="0004293C" w:rsidP="0004293C">
      <w:pPr>
        <w:spacing w:after="0" w:line="240" w:lineRule="auto"/>
        <w:rPr>
          <w:rFonts w:ascii="Arial" w:eastAsia="Calibri" w:hAnsi="Arial" w:cs="Arial"/>
          <w:sz w:val="20"/>
          <w:szCs w:val="20"/>
        </w:rPr>
      </w:pPr>
    </w:p>
    <w:p w14:paraId="3E68978B" w14:textId="032B4BD9" w:rsidR="0004293C" w:rsidRPr="003A2F86" w:rsidRDefault="00795CD9" w:rsidP="00792D46">
      <w:pPr>
        <w:pStyle w:val="Naslov3"/>
        <w:jc w:val="center"/>
        <w:rPr>
          <w:rFonts w:ascii="Arial" w:eastAsia="Calibri" w:hAnsi="Arial" w:cs="Arial"/>
          <w:sz w:val="22"/>
          <w:lang w:val="hr-HR"/>
        </w:rPr>
      </w:pPr>
      <w:bookmarkStart w:id="661" w:name="_3.4.4._GLAVA:_(030"/>
      <w:bookmarkStart w:id="662" w:name="_Toc435014691"/>
      <w:bookmarkStart w:id="663" w:name="_Toc232981490"/>
      <w:bookmarkEnd w:id="661"/>
      <w:r w:rsidRPr="003A2F86">
        <w:rPr>
          <w:rFonts w:ascii="Arial" w:eastAsia="Calibri" w:hAnsi="Arial" w:cs="Arial"/>
          <w:sz w:val="22"/>
          <w:lang w:val="hr-HR"/>
        </w:rPr>
        <w:t>3</w:t>
      </w:r>
      <w:r w:rsidR="0004293C" w:rsidRPr="003A2F86">
        <w:rPr>
          <w:rFonts w:ascii="Arial" w:eastAsia="Calibri" w:hAnsi="Arial" w:cs="Arial"/>
          <w:sz w:val="22"/>
          <w:lang w:val="hr-HR"/>
        </w:rPr>
        <w:t>.</w:t>
      </w:r>
      <w:r w:rsidR="00375FAF" w:rsidRPr="003A2F86">
        <w:rPr>
          <w:rFonts w:ascii="Arial" w:eastAsia="Calibri" w:hAnsi="Arial" w:cs="Arial"/>
          <w:sz w:val="22"/>
          <w:lang w:val="hr-HR"/>
        </w:rPr>
        <w:t>4</w:t>
      </w:r>
      <w:r w:rsidR="002B6F08" w:rsidRPr="003A2F86">
        <w:rPr>
          <w:rFonts w:ascii="Arial" w:eastAsia="Calibri" w:hAnsi="Arial" w:cs="Arial"/>
          <w:sz w:val="22"/>
          <w:lang w:val="hr-HR"/>
        </w:rPr>
        <w:t>.</w:t>
      </w:r>
      <w:r w:rsidR="0004293C" w:rsidRPr="003A2F86">
        <w:rPr>
          <w:rFonts w:ascii="Arial" w:eastAsia="Calibri" w:hAnsi="Arial" w:cs="Arial"/>
          <w:sz w:val="22"/>
          <w:lang w:val="hr-HR"/>
        </w:rPr>
        <w:t>4.</w:t>
      </w:r>
      <w:r w:rsidR="0004293C" w:rsidRPr="003A2F86">
        <w:rPr>
          <w:rFonts w:ascii="Arial" w:eastAsia="Calibri" w:hAnsi="Arial" w:cs="Arial"/>
          <w:sz w:val="22"/>
          <w:lang w:val="hr-HR"/>
        </w:rPr>
        <w:tab/>
        <w:t>GLAVA: (030 02) USTANOVA ZA VATROGASNU DJELATNOST</w:t>
      </w:r>
      <w:bookmarkEnd w:id="662"/>
      <w:r w:rsidR="007F68B8" w:rsidRPr="003A2F86">
        <w:rPr>
          <w:rFonts w:ascii="Arial" w:eastAsia="Calibri" w:hAnsi="Arial" w:cs="Arial"/>
          <w:sz w:val="22"/>
          <w:lang w:val="hr-HR"/>
        </w:rPr>
        <w:t xml:space="preserve"> – JAVNA VATROGASNA POSTROJBA KONAVLE</w:t>
      </w:r>
      <w:bookmarkEnd w:id="663"/>
    </w:p>
    <w:p w14:paraId="4D8A74E1" w14:textId="77777777" w:rsidR="0004293C" w:rsidRPr="003A2F86" w:rsidRDefault="0004293C" w:rsidP="0004293C">
      <w:pPr>
        <w:autoSpaceDE w:val="0"/>
        <w:autoSpaceDN w:val="0"/>
        <w:adjustRightInd w:val="0"/>
        <w:spacing w:after="0" w:line="240" w:lineRule="auto"/>
        <w:jc w:val="both"/>
        <w:rPr>
          <w:rFonts w:ascii="Arial" w:eastAsia="Calibri" w:hAnsi="Arial" w:cs="Arial"/>
          <w:sz w:val="20"/>
          <w:szCs w:val="20"/>
        </w:rPr>
      </w:pPr>
    </w:p>
    <w:p w14:paraId="53B2BD38" w14:textId="77777777" w:rsidR="007F68B8" w:rsidRPr="003A2F86" w:rsidRDefault="007F68B8" w:rsidP="007F68B8">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U razdjelu 030 UPRAVNI ODJEL ZA KOMUNALNI SUSTAV I </w:t>
      </w:r>
      <w:r w:rsidR="00FD0F8C" w:rsidRPr="003A2F86">
        <w:rPr>
          <w:rFonts w:ascii="Arial" w:eastAsia="Calibri" w:hAnsi="Arial" w:cs="Arial"/>
          <w:sz w:val="20"/>
          <w:szCs w:val="20"/>
        </w:rPr>
        <w:t>GOSPODARENJE</w:t>
      </w:r>
      <w:r w:rsidRPr="003A2F86">
        <w:rPr>
          <w:rFonts w:ascii="Arial" w:eastAsia="Calibri" w:hAnsi="Arial" w:cs="Arial"/>
          <w:sz w:val="20"/>
          <w:szCs w:val="20"/>
        </w:rPr>
        <w:t xml:space="preserve"> NEKRETNINAMA, glava (030 02) Ustanova za vatrogasnu djelatnost, izvodi se od jedan program koji se provodi kroz aktivnosti redovne djelatnosti vatrogastva (minimalni standard za decentraliziranu funkciju i redovnu djelatnost izvan minimalnog standarda. </w:t>
      </w:r>
    </w:p>
    <w:p w14:paraId="0B11F340" w14:textId="77777777" w:rsidR="007F68B8" w:rsidRPr="003A2F86" w:rsidRDefault="007F68B8" w:rsidP="0004293C">
      <w:pPr>
        <w:autoSpaceDE w:val="0"/>
        <w:autoSpaceDN w:val="0"/>
        <w:adjustRightInd w:val="0"/>
        <w:spacing w:after="0" w:line="240" w:lineRule="auto"/>
        <w:jc w:val="both"/>
        <w:rPr>
          <w:rFonts w:ascii="Arial" w:eastAsia="Calibri" w:hAnsi="Arial" w:cs="Arial"/>
          <w:sz w:val="20"/>
          <w:szCs w:val="20"/>
        </w:rPr>
      </w:pPr>
    </w:p>
    <w:p w14:paraId="4AAD92ED" w14:textId="77777777" w:rsidR="0004293C" w:rsidRPr="003A2F86" w:rsidRDefault="0004293C" w:rsidP="003D18D4">
      <w:pPr>
        <w:pStyle w:val="Naslov3"/>
        <w:rPr>
          <w:rFonts w:eastAsia="Calibri"/>
          <w:lang w:val="hr-HR"/>
        </w:rPr>
      </w:pPr>
      <w:bookmarkStart w:id="664" w:name="_Toc435014692"/>
      <w:bookmarkStart w:id="665" w:name="_Toc232981491"/>
      <w:r w:rsidRPr="003A2F86">
        <w:rPr>
          <w:rFonts w:eastAsia="Calibri"/>
          <w:lang w:val="hr-HR"/>
        </w:rPr>
        <w:t>Program (2071): Redovna djelatnost javne vatrogasne postrojbe</w:t>
      </w:r>
      <w:bookmarkEnd w:id="664"/>
      <w:bookmarkEnd w:id="665"/>
    </w:p>
    <w:p w14:paraId="094FED46" w14:textId="77777777" w:rsidR="003D18D4" w:rsidRPr="003A2F86" w:rsidRDefault="003D18D4" w:rsidP="003D18D4">
      <w:pPr>
        <w:spacing w:after="0" w:line="240" w:lineRule="auto"/>
        <w:rPr>
          <w:lang w:eastAsia="en-US"/>
        </w:rPr>
      </w:pPr>
    </w:p>
    <w:p w14:paraId="1F67B616" w14:textId="77777777" w:rsidR="0004293C" w:rsidRPr="003A2F86" w:rsidRDefault="0004293C" w:rsidP="0004293C">
      <w:pPr>
        <w:spacing w:after="0" w:line="240" w:lineRule="auto"/>
        <w:rPr>
          <w:rFonts w:ascii="Times New Roman" w:eastAsia="Times New Roman" w:hAnsi="Times New Roman" w:cs="Arial"/>
          <w:sz w:val="20"/>
          <w:szCs w:val="20"/>
          <w:lang w:eastAsia="en-US"/>
        </w:rPr>
      </w:pPr>
      <w:r w:rsidRPr="003A2F86">
        <w:rPr>
          <w:rFonts w:ascii="Times New Roman" w:eastAsia="Times New Roman" w:hAnsi="Times New Roman" w:cs="Arial"/>
          <w:noProof/>
          <w:sz w:val="20"/>
          <w:szCs w:val="20"/>
        </w:rPr>
        <w:drawing>
          <wp:inline distT="0" distB="0" distL="0" distR="0" wp14:anchorId="2700BB8B" wp14:editId="62277805">
            <wp:extent cx="6383655" cy="163830"/>
            <wp:effectExtent l="19050" t="0" r="0" b="0"/>
            <wp:docPr id="7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3" cstate="print"/>
                    <a:srcRect/>
                    <a:stretch>
                      <a:fillRect/>
                    </a:stretch>
                  </pic:blipFill>
                  <pic:spPr bwMode="auto">
                    <a:xfrm>
                      <a:off x="0" y="0"/>
                      <a:ext cx="6383655" cy="163830"/>
                    </a:xfrm>
                    <a:prstGeom prst="rect">
                      <a:avLst/>
                    </a:prstGeom>
                    <a:noFill/>
                    <a:ln w="9525">
                      <a:noFill/>
                      <a:miter lim="800000"/>
                      <a:headEnd/>
                      <a:tailEnd/>
                    </a:ln>
                  </pic:spPr>
                </pic:pic>
              </a:graphicData>
            </a:graphic>
          </wp:inline>
        </w:drawing>
      </w:r>
    </w:p>
    <w:p w14:paraId="68C12DCD" w14:textId="77777777" w:rsidR="0004293C" w:rsidRPr="003A2F86" w:rsidRDefault="0004293C" w:rsidP="0004293C">
      <w:pPr>
        <w:spacing w:after="0" w:line="240" w:lineRule="auto"/>
        <w:rPr>
          <w:rFonts w:ascii="Arial" w:eastAsia="Calibri" w:hAnsi="Arial" w:cs="Arial"/>
          <w:sz w:val="20"/>
          <w:szCs w:val="2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61"/>
        <w:gridCol w:w="12123"/>
      </w:tblGrid>
      <w:tr w:rsidR="00F63556" w:rsidRPr="003A2F86" w14:paraId="672FCAAE" w14:textId="77777777" w:rsidTr="003D18D4">
        <w:tc>
          <w:tcPr>
            <w:tcW w:w="1561" w:type="dxa"/>
          </w:tcPr>
          <w:p w14:paraId="4211AD10"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DJELOKRUG RADA:</w:t>
            </w:r>
          </w:p>
        </w:tc>
        <w:tc>
          <w:tcPr>
            <w:tcW w:w="12123" w:type="dxa"/>
            <w:tcBorders>
              <w:top w:val="dotted" w:sz="4" w:space="0" w:color="auto"/>
              <w:left w:val="dotted" w:sz="4" w:space="0" w:color="auto"/>
              <w:bottom w:val="dotted" w:sz="4" w:space="0" w:color="auto"/>
              <w:right w:val="dotted" w:sz="4" w:space="0" w:color="auto"/>
            </w:tcBorders>
          </w:tcPr>
          <w:p w14:paraId="3B292132"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Javna vatrogasna postrojba Konavle ustrojena je temeljem Zakona o vatrogastvu. Osnivač ustanove je Općina Konavle. Javna vatrogasna postrojba sudjeluje u provedbi preventivnih mjera zaštite od požara i eksplozija, gašenja požara i spašavanja ljudi i imovine ugroženih požarom i eksplozijom, pružanju tehničke pomoći u nezgodama i opasnim situacijama, te obavljanju drugih poslova u ekološkim i drugim nesrećama. Vatrogasna djelatnost je stručna i humanitarna djelatnost od interesa za Republiku Hrvatsku.</w:t>
            </w:r>
          </w:p>
          <w:p w14:paraId="33EB4199" w14:textId="77777777" w:rsidR="00F63556" w:rsidRPr="003A2F86" w:rsidRDefault="00F63556" w:rsidP="00F63556">
            <w:pPr>
              <w:spacing w:after="0" w:line="240" w:lineRule="auto"/>
              <w:rPr>
                <w:rFonts w:ascii="Arial" w:eastAsia="Calibri" w:hAnsi="Arial" w:cs="Arial"/>
                <w:sz w:val="20"/>
                <w:szCs w:val="20"/>
              </w:rPr>
            </w:pPr>
          </w:p>
          <w:p w14:paraId="63405A87"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Djelatnosti Vatrogasne postrojbe su:</w:t>
            </w:r>
          </w:p>
          <w:p w14:paraId="36DDE5FA"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xml:space="preserve">- sudjelovanje u provedbi preventivnih mjera zaštite od požara i eksplozija, gašenje požara i spašavanje ljudi i imovine ugroženih požarom i eksplozijom, pružanje tehničke pomoći u nezgodama i opasnim situacijama, obavljanje i drugih poslova u nesrećama, ekološkim i inim nesrećama, </w:t>
            </w:r>
          </w:p>
          <w:p w14:paraId="79CC881A"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obavljanje poslova održavanja vatrogasnih aparata,</w:t>
            </w:r>
          </w:p>
          <w:p w14:paraId="368E36F2"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osposobljavanje i usavršavanja vatrogasnih kadrova</w:t>
            </w:r>
          </w:p>
          <w:p w14:paraId="08DEB22A"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osposobljavanje pučanstva za provedbu preventivnih mjera zaštite od požara, gašenje požara i spašavanje ljudi i imovine ugroženih požarom,</w:t>
            </w:r>
          </w:p>
          <w:p w14:paraId="6265BD56"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provođenje preventivnih mjera zaštite od požara te vršenje osiguranja na mjestima u kojim zbog povećanog prometa ili broja ljudi postoji velika opasnost od pojave nesreća sa većim materijalnim posljedicama,</w:t>
            </w:r>
          </w:p>
          <w:p w14:paraId="741D8267"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poslovi održavanja javnih cesta,</w:t>
            </w:r>
          </w:p>
          <w:p w14:paraId="2B20946B"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pružanje usluge vatrogasnog dežurstva drugim tijelima,</w:t>
            </w:r>
          </w:p>
          <w:p w14:paraId="1BEA8F09"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pružanje usluge prijevoza vode.</w:t>
            </w:r>
          </w:p>
          <w:p w14:paraId="107E0EA9" w14:textId="77777777" w:rsidR="00F63556" w:rsidRPr="003A2F86" w:rsidRDefault="00F63556" w:rsidP="00F63556">
            <w:pPr>
              <w:spacing w:after="0" w:line="240" w:lineRule="auto"/>
              <w:rPr>
                <w:rFonts w:ascii="Arial" w:eastAsia="Calibri" w:hAnsi="Arial" w:cs="Arial"/>
                <w:sz w:val="20"/>
                <w:szCs w:val="20"/>
              </w:rPr>
            </w:pPr>
          </w:p>
          <w:p w14:paraId="4F051A52"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xml:space="preserve">Pored prethodno spomenutih djelatnosti, Vatrogasna postrojba može obavljati i druge djelatnosti, ako se one u manjem opsegu ili uobičajeno obavljaju uz upisanu djelatnost. </w:t>
            </w:r>
          </w:p>
          <w:p w14:paraId="11CFAD15"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Djelatnosti koje se ne smatraju vatrogasnom djelatnošću, Vatrogasna postrojba može obavljati sukladno posebnim propisima, ako se time ne umanjuje intervencijska spremnost Vatrogasne postrojbe.</w:t>
            </w:r>
          </w:p>
        </w:tc>
      </w:tr>
      <w:tr w:rsidR="00F63556" w:rsidRPr="003A2F86" w14:paraId="1565AD67" w14:textId="77777777" w:rsidTr="003D18D4">
        <w:tc>
          <w:tcPr>
            <w:tcW w:w="1561" w:type="dxa"/>
          </w:tcPr>
          <w:p w14:paraId="2F7F5D10"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OPIS PROGRAMA:</w:t>
            </w:r>
          </w:p>
        </w:tc>
        <w:tc>
          <w:tcPr>
            <w:tcW w:w="12123" w:type="dxa"/>
            <w:tcBorders>
              <w:top w:val="dotted" w:sz="4" w:space="0" w:color="auto"/>
              <w:left w:val="dotted" w:sz="4" w:space="0" w:color="auto"/>
              <w:bottom w:val="dotted" w:sz="4" w:space="0" w:color="auto"/>
              <w:right w:val="dotted" w:sz="4" w:space="0" w:color="auto"/>
            </w:tcBorders>
          </w:tcPr>
          <w:p w14:paraId="4421FF36" w14:textId="77777777" w:rsidR="00F63556" w:rsidRPr="003A2F86" w:rsidRDefault="00F63556" w:rsidP="00F63556">
            <w:pPr>
              <w:autoSpaceDE w:val="0"/>
              <w:autoSpaceDN w:val="0"/>
              <w:adjustRightInd w:val="0"/>
              <w:spacing w:after="0" w:line="240" w:lineRule="auto"/>
              <w:rPr>
                <w:rFonts w:ascii="Arial" w:hAnsi="Arial" w:cs="Arial"/>
                <w:sz w:val="20"/>
                <w:szCs w:val="20"/>
              </w:rPr>
            </w:pPr>
            <w:r w:rsidRPr="003A2F86">
              <w:rPr>
                <w:rFonts w:ascii="Arial" w:hAnsi="Arial" w:cs="Arial"/>
                <w:sz w:val="20"/>
                <w:szCs w:val="20"/>
              </w:rPr>
              <w:t>Program obuhvaća aktivnosti kojima se osiguravaju sredstva za nesmetano funkcioniranje i koordinaciju vatrogasne službe, obuku operativnih djelatnika putem praktične i teorijske nastave, održavanje mobilnosti voznog parka i vatrogasne opreme, gašenje požara, spašavanje ljudi i imovine, pomoć kod elementarnih nepogoda, pružanje tehničke pomoći u nezgodama i opasnim situacijama i drugi poslovi u nesrećama, ekološkim i inim nesrećama.</w:t>
            </w:r>
          </w:p>
          <w:p w14:paraId="674890A2" w14:textId="77777777" w:rsidR="00F63556" w:rsidRPr="003A2F86" w:rsidRDefault="00F63556" w:rsidP="00F63556">
            <w:pPr>
              <w:autoSpaceDE w:val="0"/>
              <w:autoSpaceDN w:val="0"/>
              <w:adjustRightInd w:val="0"/>
              <w:spacing w:after="0" w:line="240" w:lineRule="auto"/>
              <w:rPr>
                <w:rFonts w:ascii="Arial" w:hAnsi="Arial" w:cs="Arial"/>
                <w:sz w:val="20"/>
                <w:szCs w:val="20"/>
              </w:rPr>
            </w:pPr>
          </w:p>
          <w:p w14:paraId="65E184C5" w14:textId="77777777" w:rsidR="00F63556" w:rsidRPr="003A2F86" w:rsidRDefault="00F63556" w:rsidP="00F63556">
            <w:pPr>
              <w:autoSpaceDE w:val="0"/>
              <w:autoSpaceDN w:val="0"/>
              <w:adjustRightInd w:val="0"/>
              <w:spacing w:after="0" w:line="240" w:lineRule="auto"/>
              <w:rPr>
                <w:rFonts w:ascii="Arial" w:hAnsi="Arial" w:cs="Arial"/>
                <w:sz w:val="20"/>
                <w:szCs w:val="20"/>
              </w:rPr>
            </w:pPr>
            <w:r w:rsidRPr="003A2F86">
              <w:rPr>
                <w:rFonts w:ascii="Arial" w:hAnsi="Arial" w:cs="Arial"/>
                <w:sz w:val="20"/>
                <w:szCs w:val="20"/>
              </w:rPr>
              <w:lastRenderedPageBreak/>
              <w:t>Dosadašnjom kontinuiranom nabavkom kvalitetne osobne i zajedničke zaštitne opreme pridonosi se povećanju sigurnosti vatrogasaca, a samim time manjem broju povreda i manjem korištenju bolovanja. Nabavkom nove i modernije vatrogasna opreme i vozila povećava se učinkovitost i brzina dolaska na mjesto intervencije čime bi se umanjili materijalni troškovi, a povećala sigurnost stanovništva i gostiju na našem području.</w:t>
            </w:r>
          </w:p>
          <w:p w14:paraId="4F5F6C98" w14:textId="77777777" w:rsidR="009747AB" w:rsidRPr="003A2F86" w:rsidRDefault="009747AB" w:rsidP="00F63556">
            <w:pPr>
              <w:autoSpaceDE w:val="0"/>
              <w:autoSpaceDN w:val="0"/>
              <w:adjustRightInd w:val="0"/>
              <w:spacing w:after="0" w:line="240" w:lineRule="auto"/>
              <w:rPr>
                <w:rFonts w:ascii="Arial" w:hAnsi="Arial" w:cs="Arial"/>
                <w:sz w:val="20"/>
                <w:szCs w:val="20"/>
              </w:rPr>
            </w:pPr>
          </w:p>
          <w:p w14:paraId="17AF6551" w14:textId="77777777" w:rsidR="00F63556" w:rsidRPr="003A2F86" w:rsidRDefault="00F63556" w:rsidP="00F63556">
            <w:pPr>
              <w:autoSpaceDE w:val="0"/>
              <w:autoSpaceDN w:val="0"/>
              <w:adjustRightInd w:val="0"/>
              <w:spacing w:after="0" w:line="240" w:lineRule="auto"/>
              <w:rPr>
                <w:rFonts w:ascii="Arial" w:hAnsi="Arial" w:cs="Arial"/>
                <w:sz w:val="20"/>
                <w:szCs w:val="20"/>
              </w:rPr>
            </w:pPr>
            <w:r w:rsidRPr="003A2F86">
              <w:rPr>
                <w:rFonts w:ascii="Arial" w:hAnsi="Arial" w:cs="Arial"/>
                <w:sz w:val="20"/>
                <w:szCs w:val="20"/>
              </w:rPr>
              <w:t>Protupožarna preventiva, kao bitan čimbenik zaštite od požara, smanjuje mogućnost nastanka štetnih događaja. Preventivom se građanstvo osposobljava za samozaštitu od požara, kako za poduzimanje mjera da do štetnog događaja ne dođe, tako i za otklanjanje opasnosti na najučinkovitiji način sa što manjim štetnim posljedicama, ako do štetnog događaja ipak dođe.</w:t>
            </w:r>
          </w:p>
          <w:p w14:paraId="1E3F21AB" w14:textId="77777777" w:rsidR="00C1328D" w:rsidRPr="003A2F86" w:rsidRDefault="00C1328D" w:rsidP="00F63556">
            <w:pPr>
              <w:autoSpaceDE w:val="0"/>
              <w:autoSpaceDN w:val="0"/>
              <w:adjustRightInd w:val="0"/>
              <w:spacing w:after="0" w:line="240" w:lineRule="auto"/>
              <w:rPr>
                <w:rFonts w:ascii="Arial" w:hAnsi="Arial" w:cs="Arial"/>
                <w:sz w:val="20"/>
                <w:szCs w:val="20"/>
              </w:rPr>
            </w:pPr>
          </w:p>
          <w:p w14:paraId="23B45639" w14:textId="77777777" w:rsidR="00F63556" w:rsidRPr="003A2F86" w:rsidRDefault="00F63556" w:rsidP="00F63556">
            <w:pPr>
              <w:spacing w:after="0" w:line="240" w:lineRule="auto"/>
              <w:rPr>
                <w:rFonts w:ascii="Arial" w:hAnsi="Arial" w:cs="Arial"/>
                <w:sz w:val="20"/>
                <w:szCs w:val="20"/>
              </w:rPr>
            </w:pPr>
            <w:r w:rsidRPr="003A2F86">
              <w:rPr>
                <w:rFonts w:ascii="Arial" w:hAnsi="Arial" w:cs="Arial"/>
                <w:sz w:val="20"/>
                <w:szCs w:val="20"/>
              </w:rPr>
              <w:t>Javna vatrogasna postrojba ostvaruje sredstva iz proračuna Općine Konavle, te iz državnog proračuna (putem Općine) sukladno odlukama Vlade Republike Hrvatske o minimalnim decentraliziranim standardima za decentralizirano financiranje redovite djelatnosti javne vatrogasne postrojbe.</w:t>
            </w:r>
          </w:p>
          <w:p w14:paraId="71930C08" w14:textId="77777777" w:rsidR="00C1328D" w:rsidRPr="003A2F86" w:rsidRDefault="00C1328D" w:rsidP="00F63556">
            <w:pPr>
              <w:spacing w:after="0" w:line="240" w:lineRule="auto"/>
              <w:rPr>
                <w:rFonts w:ascii="Arial" w:hAnsi="Arial" w:cs="Arial"/>
                <w:sz w:val="20"/>
                <w:szCs w:val="20"/>
              </w:rPr>
            </w:pPr>
          </w:p>
          <w:p w14:paraId="5229E49B" w14:textId="6773B77B" w:rsidR="00C1328D" w:rsidRPr="003A2F86" w:rsidRDefault="00C1328D" w:rsidP="00F63556">
            <w:pPr>
              <w:spacing w:after="0" w:line="240" w:lineRule="auto"/>
              <w:rPr>
                <w:rFonts w:ascii="Arial" w:hAnsi="Arial" w:cs="Arial"/>
                <w:sz w:val="20"/>
                <w:szCs w:val="20"/>
              </w:rPr>
            </w:pPr>
            <w:r w:rsidRPr="003A2F86">
              <w:rPr>
                <w:rFonts w:ascii="Arial" w:hAnsi="Arial" w:cs="Arial"/>
                <w:sz w:val="20"/>
                <w:szCs w:val="20"/>
              </w:rPr>
              <w:t xml:space="preserve">Javnom vatrogasnom postrojbom upravlja Vatrogasno vijeće koje broji tri člana vijeća (član osnivača / Općine Konavle, član Vatrogasne zajednice Dubrovačko neretvanske županije i </w:t>
            </w:r>
            <w:r w:rsidR="009747AB" w:rsidRPr="003A2F86">
              <w:rPr>
                <w:rFonts w:ascii="Arial" w:hAnsi="Arial" w:cs="Arial"/>
                <w:sz w:val="20"/>
                <w:szCs w:val="20"/>
              </w:rPr>
              <w:t>č</w:t>
            </w:r>
            <w:r w:rsidRPr="003A2F86">
              <w:rPr>
                <w:rFonts w:ascii="Arial" w:hAnsi="Arial" w:cs="Arial"/>
                <w:sz w:val="20"/>
                <w:szCs w:val="20"/>
              </w:rPr>
              <w:t>lan djelatnika JVP Konavle).</w:t>
            </w:r>
          </w:p>
          <w:p w14:paraId="60661411" w14:textId="77777777" w:rsidR="00C1328D" w:rsidRPr="003A2F86" w:rsidRDefault="00C1328D" w:rsidP="00F63556">
            <w:pPr>
              <w:spacing w:after="0" w:line="240" w:lineRule="auto"/>
              <w:rPr>
                <w:rFonts w:ascii="Arial" w:eastAsia="Calibri" w:hAnsi="Arial" w:cs="Arial"/>
                <w:sz w:val="20"/>
                <w:szCs w:val="20"/>
              </w:rPr>
            </w:pPr>
          </w:p>
          <w:p w14:paraId="3ECE8F8B" w14:textId="20924E0D" w:rsidR="00C1328D" w:rsidRPr="003A2F86" w:rsidRDefault="00C1328D" w:rsidP="00F63556">
            <w:pPr>
              <w:spacing w:after="0" w:line="240" w:lineRule="auto"/>
              <w:rPr>
                <w:rFonts w:ascii="Arial" w:eastAsia="Calibri" w:hAnsi="Arial" w:cs="Arial"/>
                <w:sz w:val="20"/>
                <w:szCs w:val="20"/>
              </w:rPr>
            </w:pPr>
            <w:r w:rsidRPr="003A2F86">
              <w:rPr>
                <w:rFonts w:ascii="Arial" w:eastAsia="Calibri" w:hAnsi="Arial" w:cs="Arial"/>
                <w:sz w:val="20"/>
                <w:szCs w:val="20"/>
              </w:rPr>
              <w:t>Od 2015. godine JVP Konavle posluje u sustavu riznice Općine Konavle i nema svoj žiro račun.</w:t>
            </w:r>
          </w:p>
        </w:tc>
      </w:tr>
      <w:tr w:rsidR="00F63556" w:rsidRPr="003A2F86" w14:paraId="323E6157" w14:textId="77777777" w:rsidTr="003D18D4">
        <w:tc>
          <w:tcPr>
            <w:tcW w:w="1561" w:type="dxa"/>
          </w:tcPr>
          <w:p w14:paraId="78B9FD17"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lastRenderedPageBreak/>
              <w:t>ZAKONSKE I DRUGE PRAVNE OSNOVE PROGRAMA:</w:t>
            </w:r>
          </w:p>
        </w:tc>
        <w:tc>
          <w:tcPr>
            <w:tcW w:w="12123" w:type="dxa"/>
            <w:tcBorders>
              <w:top w:val="dotted" w:sz="4" w:space="0" w:color="auto"/>
              <w:left w:val="dotted" w:sz="4" w:space="0" w:color="auto"/>
              <w:bottom w:val="dotted" w:sz="4" w:space="0" w:color="auto"/>
              <w:right w:val="dotted" w:sz="4" w:space="0" w:color="auto"/>
            </w:tcBorders>
          </w:tcPr>
          <w:p w14:paraId="122F4FCC" w14:textId="77777777" w:rsidR="00F63556" w:rsidRPr="003A2F86" w:rsidRDefault="00F63556" w:rsidP="00F63556">
            <w:pPr>
              <w:autoSpaceDE w:val="0"/>
              <w:autoSpaceDN w:val="0"/>
              <w:adjustRightInd w:val="0"/>
              <w:spacing w:after="0" w:line="240" w:lineRule="auto"/>
              <w:rPr>
                <w:rFonts w:ascii="Arial" w:hAnsi="Arial" w:cs="Arial"/>
                <w:sz w:val="20"/>
                <w:szCs w:val="20"/>
              </w:rPr>
            </w:pPr>
            <w:r w:rsidRPr="003A2F86">
              <w:rPr>
                <w:rFonts w:ascii="Arial" w:hAnsi="Arial" w:cs="Arial"/>
                <w:sz w:val="20"/>
                <w:szCs w:val="20"/>
              </w:rPr>
              <w:t>Zakon o lokalnoj i područnoj (regionalnoj) samoupravi (NN 33/01,60/01,129/05, 109/07,125/08, 36/09, 150/11, 144/12, 19/13, 137/15, 123/17, 98/19, 144/20), Zakon o vatrogastvu (NN 125/19), Odluka o minimalnim financijskim standardima za decentralizirano financiranje redovite djelatnosti javnih vatrogasnih postrojbi (za tekuću godinu, objava u NN), Zakon o proračunu (NN 144/21), Statut Javne vatrogasne postrojbe i drugi akti</w:t>
            </w:r>
          </w:p>
          <w:p w14:paraId="3C150313" w14:textId="77777777" w:rsidR="00F63556" w:rsidRPr="003A2F86" w:rsidRDefault="00F63556" w:rsidP="00F63556">
            <w:pPr>
              <w:autoSpaceDE w:val="0"/>
              <w:autoSpaceDN w:val="0"/>
              <w:adjustRightInd w:val="0"/>
              <w:spacing w:after="0" w:line="240" w:lineRule="auto"/>
              <w:rPr>
                <w:rFonts w:ascii="Arial" w:hAnsi="Arial" w:cs="Arial"/>
                <w:sz w:val="20"/>
                <w:szCs w:val="20"/>
              </w:rPr>
            </w:pPr>
          </w:p>
          <w:p w14:paraId="0D23D210" w14:textId="77777777" w:rsidR="00F63556" w:rsidRPr="003A2F86" w:rsidRDefault="00F63556" w:rsidP="00F63556">
            <w:pPr>
              <w:autoSpaceDE w:val="0"/>
              <w:autoSpaceDN w:val="0"/>
              <w:adjustRightInd w:val="0"/>
              <w:spacing w:after="0" w:line="240" w:lineRule="auto"/>
              <w:rPr>
                <w:rFonts w:ascii="Arial" w:hAnsi="Arial" w:cs="Arial"/>
                <w:sz w:val="20"/>
                <w:szCs w:val="20"/>
              </w:rPr>
            </w:pPr>
            <w:r w:rsidRPr="003A2F86">
              <w:rPr>
                <w:rFonts w:ascii="Arial" w:hAnsi="Arial" w:cs="Arial"/>
                <w:sz w:val="20"/>
                <w:szCs w:val="20"/>
              </w:rPr>
              <w:t xml:space="preserve">Općinsko vijeće je 8.3.2021. donijelo </w:t>
            </w:r>
            <w:r w:rsidRPr="003A2F86">
              <w:rPr>
                <w:rFonts w:ascii="Arial" w:hAnsi="Arial" w:cs="Arial"/>
                <w:b/>
                <w:bCs/>
                <w:sz w:val="20"/>
                <w:szCs w:val="20"/>
              </w:rPr>
              <w:t>Odluku o osnivanju Javne vatrogasne postrojbe Konavle</w:t>
            </w:r>
            <w:r w:rsidRPr="003A2F86">
              <w:rPr>
                <w:rFonts w:ascii="Arial" w:hAnsi="Arial" w:cs="Arial"/>
                <w:sz w:val="20"/>
                <w:szCs w:val="20"/>
              </w:rPr>
              <w:t xml:space="preserve"> (Službeni glasnik Općine Konavle 2/2021. Ovom odlukom obavljeno je usklađenje u skladu s odredbama članka 122.st.1. Zakona o vatrogastvu (NN 125/19). Naime, JVP Konavle je osnovana odlukom općinskog vijeća od 25.1.2005.g.</w:t>
            </w:r>
          </w:p>
        </w:tc>
      </w:tr>
      <w:tr w:rsidR="00F63556" w:rsidRPr="003A2F86" w14:paraId="51ED5675" w14:textId="77777777" w:rsidTr="003D18D4">
        <w:tc>
          <w:tcPr>
            <w:tcW w:w="1561" w:type="dxa"/>
          </w:tcPr>
          <w:p w14:paraId="1E2922EB"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OPĆI CILJ:</w:t>
            </w:r>
          </w:p>
        </w:tc>
        <w:tc>
          <w:tcPr>
            <w:tcW w:w="12123" w:type="dxa"/>
            <w:tcBorders>
              <w:top w:val="dotted" w:sz="4" w:space="0" w:color="auto"/>
              <w:left w:val="dotted" w:sz="4" w:space="0" w:color="auto"/>
              <w:bottom w:val="dotted" w:sz="4" w:space="0" w:color="auto"/>
              <w:right w:val="dotted" w:sz="4" w:space="0" w:color="auto"/>
            </w:tcBorders>
          </w:tcPr>
          <w:p w14:paraId="2B2D62D2" w14:textId="77777777" w:rsidR="00F63556" w:rsidRPr="003A2F86" w:rsidRDefault="00F63556" w:rsidP="00F63556">
            <w:pPr>
              <w:autoSpaceDE w:val="0"/>
              <w:autoSpaceDN w:val="0"/>
              <w:adjustRightInd w:val="0"/>
              <w:spacing w:after="0" w:line="240" w:lineRule="auto"/>
              <w:rPr>
                <w:rFonts w:ascii="Arial" w:eastAsia="Calibri" w:hAnsi="Arial" w:cs="Arial"/>
                <w:sz w:val="20"/>
                <w:szCs w:val="20"/>
              </w:rPr>
            </w:pPr>
            <w:r w:rsidRPr="003A2F86">
              <w:rPr>
                <w:rFonts w:ascii="Arial" w:eastAsia="Calibri" w:hAnsi="Arial" w:cs="Arial"/>
                <w:sz w:val="20"/>
                <w:szCs w:val="20"/>
              </w:rPr>
              <w:t xml:space="preserve">Cilj programa je učinkovito funkcioniranje protupožarne zaštite. </w:t>
            </w:r>
          </w:p>
          <w:p w14:paraId="0734D6C7" w14:textId="77777777" w:rsidR="00F63556" w:rsidRPr="003A2F86" w:rsidRDefault="00F63556" w:rsidP="00F63556">
            <w:pPr>
              <w:autoSpaceDE w:val="0"/>
              <w:autoSpaceDN w:val="0"/>
              <w:adjustRightInd w:val="0"/>
              <w:spacing w:after="0" w:line="240" w:lineRule="auto"/>
              <w:rPr>
                <w:rFonts w:ascii="Arial" w:hAnsi="Arial" w:cs="Arial"/>
                <w:sz w:val="20"/>
                <w:szCs w:val="20"/>
              </w:rPr>
            </w:pPr>
            <w:r w:rsidRPr="003A2F86">
              <w:rPr>
                <w:rFonts w:ascii="Arial" w:hAnsi="Arial" w:cs="Arial"/>
                <w:sz w:val="20"/>
                <w:szCs w:val="20"/>
              </w:rPr>
              <w:t>Opći cilj je prevencija požara, podizanje kvalitete rada, stručno usavršavanje djelatnika, podizanje materijalnih i drugih uvjeta rada.</w:t>
            </w:r>
          </w:p>
          <w:p w14:paraId="11204485" w14:textId="77777777" w:rsidR="00F63556" w:rsidRPr="003A2F86" w:rsidRDefault="00F63556" w:rsidP="00F63556">
            <w:pPr>
              <w:autoSpaceDE w:val="0"/>
              <w:autoSpaceDN w:val="0"/>
              <w:adjustRightInd w:val="0"/>
              <w:spacing w:after="0" w:line="240" w:lineRule="auto"/>
              <w:rPr>
                <w:rFonts w:ascii="Arial" w:hAnsi="Arial" w:cs="Arial"/>
                <w:sz w:val="20"/>
                <w:szCs w:val="20"/>
              </w:rPr>
            </w:pPr>
            <w:r w:rsidRPr="003A2F86">
              <w:rPr>
                <w:rFonts w:ascii="Arial" w:hAnsi="Arial" w:cs="Arial"/>
                <w:sz w:val="20"/>
                <w:szCs w:val="20"/>
              </w:rPr>
              <w:t xml:space="preserve">- priprema operativnih vatrogasaca na nove tehnologije i upotrebu nove vatrogasne opreme sa ciljem podizanja spremnosti vatrogasne službe u djelovanju na intervencijama, smanjenju materijalnih troškova i povećavanju sigurnosti stanovništva, </w:t>
            </w:r>
          </w:p>
          <w:p w14:paraId="1DF16CF3" w14:textId="77777777" w:rsidR="00F63556" w:rsidRPr="003A2F86" w:rsidRDefault="00F63556" w:rsidP="00F63556">
            <w:pPr>
              <w:autoSpaceDE w:val="0"/>
              <w:autoSpaceDN w:val="0"/>
              <w:adjustRightInd w:val="0"/>
              <w:spacing w:after="0" w:line="240" w:lineRule="auto"/>
              <w:rPr>
                <w:rFonts w:ascii="Arial" w:hAnsi="Arial" w:cs="Arial"/>
                <w:sz w:val="20"/>
                <w:szCs w:val="20"/>
              </w:rPr>
            </w:pPr>
            <w:r w:rsidRPr="003A2F86">
              <w:rPr>
                <w:rFonts w:ascii="Arial" w:hAnsi="Arial" w:cs="Arial"/>
                <w:sz w:val="20"/>
                <w:szCs w:val="20"/>
              </w:rPr>
              <w:t>-rad na protupožarnoj preventivi sa ciljem umanjenja nastanka štetnih događaja.</w:t>
            </w:r>
          </w:p>
        </w:tc>
      </w:tr>
      <w:tr w:rsidR="00F63556" w:rsidRPr="003A2F86" w14:paraId="6FDEB538" w14:textId="77777777" w:rsidTr="003D18D4">
        <w:tc>
          <w:tcPr>
            <w:tcW w:w="1561" w:type="dxa"/>
            <w:vAlign w:val="bottom"/>
          </w:tcPr>
          <w:p w14:paraId="191A987A"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POSEBNI CILJEVI</w:t>
            </w:r>
          </w:p>
        </w:tc>
        <w:tc>
          <w:tcPr>
            <w:tcW w:w="12123" w:type="dxa"/>
            <w:tcBorders>
              <w:top w:val="dotted" w:sz="4" w:space="0" w:color="auto"/>
              <w:left w:val="dotted" w:sz="4" w:space="0" w:color="auto"/>
              <w:bottom w:val="dotted" w:sz="4" w:space="0" w:color="auto"/>
              <w:right w:val="dotted" w:sz="4" w:space="0" w:color="auto"/>
            </w:tcBorders>
            <w:vAlign w:val="bottom"/>
          </w:tcPr>
          <w:p w14:paraId="2C584F39"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xml:space="preserve">POSEBNI CILJ je učinkovito funkcioniranje protupožarne zaštite. </w:t>
            </w:r>
          </w:p>
          <w:p w14:paraId="52E3FB72"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Naime, svrha programa je:</w:t>
            </w:r>
          </w:p>
          <w:p w14:paraId="0F323808"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xml:space="preserve">- zadovoljavanje potreba stanovništva za provedbom dobrih preventivnih mjera protupožarne zaštite radi što bolje zaštite ljudi i materijalnih dobara, gašenje požara i spašavanja ljudi i imovine ugroženih požarom, pružanje tehničke pomoći u nezgodama i opasnim situacijama, obavljanje i drugih poslova u nesrećama, ekološkim i drugim nesrećama, </w:t>
            </w:r>
          </w:p>
          <w:p w14:paraId="149C48CD"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xml:space="preserve">- omogućiti redovnu djelatnost vatrogasnih službi, razvijanje dobrovoljstva i humanitarnog djelovanja, </w:t>
            </w:r>
          </w:p>
          <w:p w14:paraId="4AA1954C"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xml:space="preserve">- priprema operativnih vatrogasaca na nove tehnologije i upotrebu nove vatrogasne opreme s ciljem podizanja spremnosti vatrogasne službe u djelovanju na intervencijama, smanjenju materijalnih troškova i povećavanju sigurnosti stanovništva, </w:t>
            </w:r>
          </w:p>
          <w:p w14:paraId="33E9609F"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-rad na protupožarnoj preventivi sa ciljem umanjenja nastanka štetnih događaja.</w:t>
            </w:r>
          </w:p>
          <w:p w14:paraId="1B2C8FB4" w14:textId="77777777" w:rsidR="00F63556" w:rsidRPr="003A2F86" w:rsidRDefault="00F63556" w:rsidP="00F63556">
            <w:pPr>
              <w:spacing w:after="0" w:line="240" w:lineRule="auto"/>
              <w:rPr>
                <w:rFonts w:ascii="Arial" w:eastAsia="Calibri" w:hAnsi="Arial" w:cs="Arial"/>
                <w:sz w:val="20"/>
                <w:szCs w:val="20"/>
              </w:rPr>
            </w:pPr>
          </w:p>
          <w:p w14:paraId="61FB7782" w14:textId="4A3171B2" w:rsidR="009747AB"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lastRenderedPageBreak/>
              <w:t xml:space="preserve">Strategija razvoja JVP Konavle </w:t>
            </w:r>
            <w:r w:rsidR="00D12A0C">
              <w:rPr>
                <w:rFonts w:ascii="Arial" w:eastAsia="Calibri" w:hAnsi="Arial" w:cs="Arial"/>
                <w:sz w:val="20"/>
                <w:szCs w:val="20"/>
              </w:rPr>
              <w:t xml:space="preserve">zacrtana za </w:t>
            </w:r>
            <w:r w:rsidR="00E4253B">
              <w:rPr>
                <w:rFonts w:ascii="Arial" w:eastAsia="Calibri" w:hAnsi="Arial" w:cs="Arial"/>
                <w:sz w:val="20"/>
                <w:szCs w:val="20"/>
              </w:rPr>
              <w:t>prethodno proračunsko</w:t>
            </w:r>
            <w:r w:rsidR="00D12A0C">
              <w:rPr>
                <w:rFonts w:ascii="Arial" w:eastAsia="Calibri" w:hAnsi="Arial" w:cs="Arial"/>
                <w:sz w:val="20"/>
                <w:szCs w:val="20"/>
              </w:rPr>
              <w:t xml:space="preserve"> razdoblje koje se odnosila na </w:t>
            </w:r>
            <w:r w:rsidRPr="003A2F86">
              <w:rPr>
                <w:rFonts w:ascii="Arial" w:eastAsia="Calibri" w:hAnsi="Arial" w:cs="Arial"/>
                <w:sz w:val="20"/>
                <w:szCs w:val="20"/>
              </w:rPr>
              <w:t>nabavu vatrogasnog vozila – rab</w:t>
            </w:r>
            <w:r w:rsidR="003D6583">
              <w:rPr>
                <w:rFonts w:ascii="Arial" w:eastAsia="Calibri" w:hAnsi="Arial" w:cs="Arial"/>
                <w:sz w:val="20"/>
                <w:szCs w:val="20"/>
              </w:rPr>
              <w:t>l</w:t>
            </w:r>
            <w:r w:rsidRPr="003A2F86">
              <w:rPr>
                <w:rFonts w:ascii="Arial" w:eastAsia="Calibri" w:hAnsi="Arial" w:cs="Arial"/>
                <w:sz w:val="20"/>
                <w:szCs w:val="20"/>
              </w:rPr>
              <w:t>jenih autoljestvi ljestvenika</w:t>
            </w:r>
            <w:r w:rsidR="00D12A0C">
              <w:rPr>
                <w:rFonts w:ascii="Arial" w:eastAsia="Calibri" w:hAnsi="Arial" w:cs="Arial"/>
                <w:sz w:val="20"/>
                <w:szCs w:val="20"/>
              </w:rPr>
              <w:t xml:space="preserve"> je ostvarena</w:t>
            </w:r>
            <w:r w:rsidRPr="003A2F86">
              <w:rPr>
                <w:rFonts w:ascii="Arial" w:eastAsia="Calibri" w:hAnsi="Arial" w:cs="Arial"/>
                <w:sz w:val="20"/>
                <w:szCs w:val="20"/>
              </w:rPr>
              <w:t xml:space="preserve">. </w:t>
            </w:r>
            <w:r w:rsidR="00D12A0C">
              <w:rPr>
                <w:rFonts w:ascii="Arial" w:eastAsia="Calibri" w:hAnsi="Arial" w:cs="Arial"/>
                <w:sz w:val="20"/>
                <w:szCs w:val="20"/>
              </w:rPr>
              <w:t>N</w:t>
            </w:r>
            <w:r w:rsidRPr="003A2F86">
              <w:rPr>
                <w:rFonts w:ascii="Arial" w:eastAsia="Calibri" w:hAnsi="Arial" w:cs="Arial"/>
                <w:sz w:val="20"/>
                <w:szCs w:val="20"/>
              </w:rPr>
              <w:t>abavkom istog maksimalno</w:t>
            </w:r>
            <w:r w:rsidR="00D12A0C">
              <w:rPr>
                <w:rFonts w:ascii="Arial" w:eastAsia="Calibri" w:hAnsi="Arial" w:cs="Arial"/>
                <w:sz w:val="20"/>
                <w:szCs w:val="20"/>
              </w:rPr>
              <w:t xml:space="preserve"> se</w:t>
            </w:r>
            <w:r w:rsidRPr="003A2F86">
              <w:rPr>
                <w:rFonts w:ascii="Arial" w:eastAsia="Calibri" w:hAnsi="Arial" w:cs="Arial"/>
                <w:sz w:val="20"/>
                <w:szCs w:val="20"/>
              </w:rPr>
              <w:t xml:space="preserve"> podigla operativna spremnost i učinkovitost postrojbe u gašenju više</w:t>
            </w:r>
            <w:r w:rsidR="003D6583">
              <w:rPr>
                <w:rFonts w:ascii="Arial" w:eastAsia="Calibri" w:hAnsi="Arial" w:cs="Arial"/>
                <w:sz w:val="20"/>
                <w:szCs w:val="20"/>
              </w:rPr>
              <w:t>-</w:t>
            </w:r>
            <w:r w:rsidRPr="003A2F86">
              <w:rPr>
                <w:rFonts w:ascii="Arial" w:eastAsia="Calibri" w:hAnsi="Arial" w:cs="Arial"/>
                <w:sz w:val="20"/>
                <w:szCs w:val="20"/>
              </w:rPr>
              <w:t xml:space="preserve">etažnih objekata na području Općine Konavle. </w:t>
            </w:r>
          </w:p>
          <w:p w14:paraId="17919B00" w14:textId="041F3189"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Na području Konavala postoji niz visoko etažnih objekata zbog kojih je potrebno vršiti gašenje. Navedeno vozilo je</w:t>
            </w:r>
            <w:r w:rsidR="00D12A0C">
              <w:rPr>
                <w:rFonts w:ascii="Arial" w:eastAsia="Calibri" w:hAnsi="Arial" w:cs="Arial"/>
                <w:sz w:val="20"/>
                <w:szCs w:val="20"/>
              </w:rPr>
              <w:t xml:space="preserve">, između ostalog, bilo </w:t>
            </w:r>
            <w:r w:rsidRPr="003A2F86">
              <w:rPr>
                <w:rFonts w:ascii="Arial" w:eastAsia="Calibri" w:hAnsi="Arial" w:cs="Arial"/>
                <w:sz w:val="20"/>
                <w:szCs w:val="20"/>
              </w:rPr>
              <w:t>potrebno nabaviti zbog Plana i procjene ugroženosti od požara i tehnoloških eksplozija za Općinu Konavle koje je propisano člankom 5. Pravilnika o minimumu tehničke opreme i sredstava vatrogasnih postrojbi.</w:t>
            </w:r>
          </w:p>
          <w:p w14:paraId="47F401BA" w14:textId="77777777" w:rsidR="00F63556" w:rsidRPr="003A2F86" w:rsidRDefault="00F63556" w:rsidP="00F63556">
            <w:pPr>
              <w:spacing w:after="0" w:line="240" w:lineRule="auto"/>
              <w:rPr>
                <w:rFonts w:ascii="Arial" w:eastAsia="Calibri" w:hAnsi="Arial" w:cs="Arial"/>
                <w:sz w:val="20"/>
                <w:szCs w:val="20"/>
              </w:rPr>
            </w:pPr>
          </w:p>
          <w:p w14:paraId="76F31548" w14:textId="42F49201"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xml:space="preserve">JVP Konavle redovno održava vozila i opremu. Svi manji kvarovi </w:t>
            </w:r>
            <w:r w:rsidR="00D12A0C">
              <w:rPr>
                <w:rFonts w:ascii="Arial" w:eastAsia="Calibri" w:hAnsi="Arial" w:cs="Arial"/>
                <w:sz w:val="20"/>
                <w:szCs w:val="20"/>
              </w:rPr>
              <w:t>se</w:t>
            </w:r>
            <w:r w:rsidRPr="003A2F86">
              <w:rPr>
                <w:rFonts w:ascii="Arial" w:eastAsia="Calibri" w:hAnsi="Arial" w:cs="Arial"/>
                <w:sz w:val="20"/>
                <w:szCs w:val="20"/>
              </w:rPr>
              <w:t xml:space="preserve"> otklanja</w:t>
            </w:r>
            <w:r w:rsidR="00D12A0C">
              <w:rPr>
                <w:rFonts w:ascii="Arial" w:eastAsia="Calibri" w:hAnsi="Arial" w:cs="Arial"/>
                <w:sz w:val="20"/>
                <w:szCs w:val="20"/>
              </w:rPr>
              <w:t>ju</w:t>
            </w:r>
            <w:r w:rsidRPr="003A2F86">
              <w:rPr>
                <w:rFonts w:ascii="Arial" w:eastAsia="Calibri" w:hAnsi="Arial" w:cs="Arial"/>
                <w:sz w:val="20"/>
                <w:szCs w:val="20"/>
              </w:rPr>
              <w:t xml:space="preserve"> u samoj postrojbi da bi se maksimalno smanjili troškovi održavanja i popravaka vozila. Sve nabavke opreme, robe, tehnike i usluga </w:t>
            </w:r>
            <w:r w:rsidR="00D12A0C">
              <w:rPr>
                <w:rFonts w:ascii="Arial" w:eastAsia="Calibri" w:hAnsi="Arial" w:cs="Arial"/>
                <w:sz w:val="20"/>
                <w:szCs w:val="20"/>
              </w:rPr>
              <w:t>se</w:t>
            </w:r>
            <w:r w:rsidRPr="003A2F86">
              <w:rPr>
                <w:rFonts w:ascii="Arial" w:eastAsia="Calibri" w:hAnsi="Arial" w:cs="Arial"/>
                <w:sz w:val="20"/>
                <w:szCs w:val="20"/>
              </w:rPr>
              <w:t xml:space="preserve"> </w:t>
            </w:r>
            <w:r w:rsidR="00D12A0C">
              <w:rPr>
                <w:rFonts w:ascii="Arial" w:eastAsia="Calibri" w:hAnsi="Arial" w:cs="Arial"/>
                <w:sz w:val="20"/>
                <w:szCs w:val="20"/>
              </w:rPr>
              <w:t>obavljaju</w:t>
            </w:r>
            <w:r w:rsidRPr="003A2F86">
              <w:rPr>
                <w:rFonts w:ascii="Arial" w:eastAsia="Calibri" w:hAnsi="Arial" w:cs="Arial"/>
                <w:sz w:val="20"/>
                <w:szCs w:val="20"/>
              </w:rPr>
              <w:t xml:space="preserve"> ukoliko </w:t>
            </w:r>
            <w:r w:rsidR="00D12A0C">
              <w:rPr>
                <w:rFonts w:ascii="Arial" w:eastAsia="Calibri" w:hAnsi="Arial" w:cs="Arial"/>
                <w:sz w:val="20"/>
                <w:szCs w:val="20"/>
              </w:rPr>
              <w:t xml:space="preserve">su </w:t>
            </w:r>
            <w:r w:rsidRPr="003A2F86">
              <w:rPr>
                <w:rFonts w:ascii="Arial" w:eastAsia="Calibri" w:hAnsi="Arial" w:cs="Arial"/>
                <w:sz w:val="20"/>
                <w:szCs w:val="20"/>
              </w:rPr>
              <w:t>nužne</w:t>
            </w:r>
            <w:r w:rsidR="00D12A0C">
              <w:rPr>
                <w:rFonts w:ascii="Arial" w:eastAsia="Calibri" w:hAnsi="Arial" w:cs="Arial"/>
                <w:sz w:val="20"/>
                <w:szCs w:val="20"/>
              </w:rPr>
              <w:t>.</w:t>
            </w:r>
          </w:p>
          <w:p w14:paraId="66846DC1" w14:textId="77777777" w:rsidR="00F63556" w:rsidRPr="003A2F86" w:rsidRDefault="00F63556" w:rsidP="00F63556">
            <w:pPr>
              <w:spacing w:after="0" w:line="240" w:lineRule="auto"/>
              <w:rPr>
                <w:rFonts w:ascii="Arial" w:eastAsia="Calibri" w:hAnsi="Arial" w:cs="Arial"/>
                <w:sz w:val="20"/>
                <w:szCs w:val="20"/>
              </w:rPr>
            </w:pPr>
          </w:p>
          <w:p w14:paraId="4583E07B" w14:textId="5AC46481"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 xml:space="preserve">Putem EU projekta Flood </w:t>
            </w:r>
            <w:r w:rsidR="003D6583">
              <w:rPr>
                <w:rFonts w:ascii="Arial" w:eastAsia="Calibri" w:hAnsi="Arial" w:cs="Arial"/>
                <w:sz w:val="20"/>
                <w:szCs w:val="20"/>
              </w:rPr>
              <w:t xml:space="preserve">&amp; </w:t>
            </w:r>
            <w:r w:rsidRPr="003A2F86">
              <w:rPr>
                <w:rFonts w:ascii="Arial" w:eastAsia="Calibri" w:hAnsi="Arial" w:cs="Arial"/>
                <w:sz w:val="20"/>
                <w:szCs w:val="20"/>
              </w:rPr>
              <w:t xml:space="preserve">Fire </w:t>
            </w:r>
            <w:r w:rsidR="003D6583">
              <w:rPr>
                <w:rFonts w:ascii="Arial" w:eastAsia="Calibri" w:hAnsi="Arial" w:cs="Arial"/>
                <w:sz w:val="20"/>
                <w:szCs w:val="20"/>
              </w:rPr>
              <w:t xml:space="preserve">za </w:t>
            </w:r>
            <w:r w:rsidRPr="003A2F86">
              <w:rPr>
                <w:rFonts w:ascii="Arial" w:eastAsia="Calibri" w:hAnsi="Arial" w:cs="Arial"/>
                <w:sz w:val="20"/>
                <w:szCs w:val="20"/>
              </w:rPr>
              <w:t xml:space="preserve">JVP Konavle je </w:t>
            </w:r>
            <w:r w:rsidR="00B30C6F" w:rsidRPr="003A2F86">
              <w:rPr>
                <w:rFonts w:ascii="Arial" w:eastAsia="Calibri" w:hAnsi="Arial" w:cs="Arial"/>
                <w:sz w:val="20"/>
                <w:szCs w:val="20"/>
              </w:rPr>
              <w:t>tijekom</w:t>
            </w:r>
            <w:r w:rsidRPr="003A2F86">
              <w:rPr>
                <w:rFonts w:ascii="Arial" w:eastAsia="Calibri" w:hAnsi="Arial" w:cs="Arial"/>
                <w:sz w:val="20"/>
                <w:szCs w:val="20"/>
              </w:rPr>
              <w:t xml:space="preserve"> 2022.</w:t>
            </w:r>
            <w:r w:rsidR="00B30C6F" w:rsidRPr="003A2F86">
              <w:rPr>
                <w:rFonts w:ascii="Arial" w:eastAsia="Calibri" w:hAnsi="Arial" w:cs="Arial"/>
                <w:sz w:val="20"/>
                <w:szCs w:val="20"/>
              </w:rPr>
              <w:t xml:space="preserve"> </w:t>
            </w:r>
            <w:r w:rsidRPr="003A2F86">
              <w:rPr>
                <w:rFonts w:ascii="Arial" w:eastAsia="Calibri" w:hAnsi="Arial" w:cs="Arial"/>
                <w:sz w:val="20"/>
                <w:szCs w:val="20"/>
              </w:rPr>
              <w:t>god</w:t>
            </w:r>
            <w:r w:rsidR="00B30C6F" w:rsidRPr="003A2F86">
              <w:rPr>
                <w:rFonts w:ascii="Arial" w:eastAsia="Calibri" w:hAnsi="Arial" w:cs="Arial"/>
                <w:sz w:val="20"/>
                <w:szCs w:val="20"/>
              </w:rPr>
              <w:t>ine</w:t>
            </w:r>
            <w:r w:rsidRPr="003A2F86">
              <w:rPr>
                <w:rFonts w:ascii="Arial" w:eastAsia="Calibri" w:hAnsi="Arial" w:cs="Arial"/>
                <w:sz w:val="20"/>
                <w:szCs w:val="20"/>
              </w:rPr>
              <w:t xml:space="preserve"> </w:t>
            </w:r>
            <w:r w:rsidR="003D6583">
              <w:rPr>
                <w:rFonts w:ascii="Arial" w:eastAsia="Calibri" w:hAnsi="Arial" w:cs="Arial"/>
                <w:sz w:val="20"/>
                <w:szCs w:val="20"/>
              </w:rPr>
              <w:t>nabavljeno</w:t>
            </w:r>
            <w:r w:rsidRPr="003A2F86">
              <w:rPr>
                <w:rFonts w:ascii="Arial" w:eastAsia="Calibri" w:hAnsi="Arial" w:cs="Arial"/>
                <w:sz w:val="20"/>
                <w:szCs w:val="20"/>
              </w:rPr>
              <w:t>:</w:t>
            </w:r>
            <w:r w:rsidR="00F12DCA">
              <w:rPr>
                <w:rFonts w:ascii="Arial" w:eastAsia="Calibri" w:hAnsi="Arial" w:cs="Arial"/>
                <w:sz w:val="20"/>
                <w:szCs w:val="20"/>
              </w:rPr>
              <w:t xml:space="preserve"> </w:t>
            </w:r>
            <w:r w:rsidR="00B30C6F" w:rsidRPr="003A2F86">
              <w:rPr>
                <w:rFonts w:ascii="Arial" w:eastAsia="Calibri" w:hAnsi="Arial" w:cs="Arial"/>
                <w:sz w:val="20"/>
                <w:szCs w:val="20"/>
              </w:rPr>
              <w:t>m</w:t>
            </w:r>
            <w:r w:rsidRPr="003A2F86">
              <w:rPr>
                <w:rFonts w:ascii="Arial" w:eastAsia="Calibri" w:hAnsi="Arial" w:cs="Arial"/>
                <w:sz w:val="20"/>
                <w:szCs w:val="20"/>
              </w:rPr>
              <w:t xml:space="preserve">alo terensko vozilo sa visokotlačnim modulom za gašenje požara, </w:t>
            </w:r>
            <w:r w:rsidR="00B30C6F" w:rsidRPr="003A2F86">
              <w:rPr>
                <w:rFonts w:ascii="Arial" w:eastAsia="Calibri" w:hAnsi="Arial" w:cs="Arial"/>
                <w:sz w:val="20"/>
                <w:szCs w:val="20"/>
              </w:rPr>
              <w:t>n</w:t>
            </w:r>
            <w:r w:rsidRPr="003A2F86">
              <w:rPr>
                <w:rFonts w:ascii="Arial" w:eastAsia="Calibri" w:hAnsi="Arial" w:cs="Arial"/>
                <w:sz w:val="20"/>
                <w:szCs w:val="20"/>
              </w:rPr>
              <w:t xml:space="preserve">avalno vozilo s duplom kabinom, bespilotnu letjelicu s termo kamerom, 10 radio stanica te 25 kompleta zaštitne </w:t>
            </w:r>
            <w:r w:rsidR="00B30C6F" w:rsidRPr="003A2F86">
              <w:rPr>
                <w:rFonts w:ascii="Arial" w:eastAsia="Calibri" w:hAnsi="Arial" w:cs="Arial"/>
                <w:sz w:val="20"/>
                <w:szCs w:val="20"/>
              </w:rPr>
              <w:t>vatrogasne</w:t>
            </w:r>
            <w:r w:rsidRPr="003A2F86">
              <w:rPr>
                <w:rFonts w:ascii="Arial" w:eastAsia="Calibri" w:hAnsi="Arial" w:cs="Arial"/>
                <w:sz w:val="20"/>
                <w:szCs w:val="20"/>
              </w:rPr>
              <w:t xml:space="preserve"> opreme.</w:t>
            </w:r>
          </w:p>
          <w:p w14:paraId="2A894049" w14:textId="3E96833E" w:rsidR="00F63556" w:rsidRPr="003A2F86" w:rsidRDefault="00F63556" w:rsidP="00F63556">
            <w:pPr>
              <w:spacing w:after="0" w:line="240" w:lineRule="auto"/>
              <w:rPr>
                <w:rFonts w:ascii="Arial" w:eastAsia="Calibri" w:hAnsi="Arial" w:cs="Arial"/>
                <w:sz w:val="20"/>
                <w:szCs w:val="20"/>
              </w:rPr>
            </w:pPr>
          </w:p>
          <w:p w14:paraId="399B84E4" w14:textId="77777777" w:rsidR="008A524D"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Javna vatrogasna postrojba Konavle kao postrojba Vrste II. iz Plana i procjene ugroženosti od požara i tehnoloških eksplozija Općine Konavle bi trebala dodatno zaposliti dva vatrogasca, od kojih će jedan biti vozač vatrogasnog vozila, a drugi voditelj vatrogasne grupe, čime bi se udovoljio uvjet za postrojbu Vrste II, te omogućilo brže i kvalitetnije djelovanje na dvije intervencije istodobno, a posebice u ljetnoj sezoni kada JVP Konavle vrši vatrogasno dežurstvo na dislokaciji u Cavtatu.</w:t>
            </w:r>
            <w:r w:rsidR="008A524D" w:rsidRPr="003A2F86">
              <w:rPr>
                <w:rFonts w:ascii="Arial" w:eastAsia="Calibri" w:hAnsi="Arial" w:cs="Arial"/>
                <w:sz w:val="20"/>
                <w:szCs w:val="20"/>
              </w:rPr>
              <w:t xml:space="preserve"> </w:t>
            </w:r>
          </w:p>
          <w:p w14:paraId="6E73E9D6" w14:textId="1E45F72C" w:rsidR="00F63556" w:rsidRPr="003A2F86" w:rsidRDefault="008A524D" w:rsidP="00F63556">
            <w:pPr>
              <w:spacing w:after="0" w:line="240" w:lineRule="auto"/>
              <w:rPr>
                <w:rFonts w:ascii="Arial" w:eastAsia="Calibri" w:hAnsi="Arial" w:cs="Arial"/>
                <w:sz w:val="20"/>
                <w:szCs w:val="20"/>
              </w:rPr>
            </w:pPr>
            <w:r w:rsidRPr="003A2F86">
              <w:rPr>
                <w:rFonts w:ascii="Arial" w:eastAsia="Calibri" w:hAnsi="Arial" w:cs="Arial"/>
                <w:sz w:val="20"/>
                <w:szCs w:val="20"/>
              </w:rPr>
              <w:t>JVP je preselila u novi vatrogasni dom na Grudi.</w:t>
            </w:r>
          </w:p>
        </w:tc>
      </w:tr>
      <w:tr w:rsidR="00F63556" w:rsidRPr="003A2F86" w14:paraId="5A118988" w14:textId="77777777" w:rsidTr="003D18D4">
        <w:tc>
          <w:tcPr>
            <w:tcW w:w="1561" w:type="dxa"/>
            <w:vAlign w:val="bottom"/>
          </w:tcPr>
          <w:p w14:paraId="4DDB168F" w14:textId="77777777" w:rsidR="00F63556" w:rsidRPr="003A2F86" w:rsidRDefault="00F63556" w:rsidP="00F63556">
            <w:pPr>
              <w:spacing w:after="0" w:line="240" w:lineRule="auto"/>
              <w:rPr>
                <w:rFonts w:ascii="Arial" w:eastAsia="Calibri" w:hAnsi="Arial" w:cs="Arial"/>
              </w:rPr>
            </w:pPr>
            <w:r w:rsidRPr="003A2F86">
              <w:rPr>
                <w:rFonts w:ascii="Arial" w:eastAsia="Calibri" w:hAnsi="Arial" w:cs="Arial"/>
                <w:sz w:val="14"/>
              </w:rPr>
              <w:lastRenderedPageBreak/>
              <w:t>INSTITUCIJE, DRUŠTVA I STRUČNE OSOBE U PROVEDBI PROGRAMA:</w:t>
            </w:r>
          </w:p>
        </w:tc>
        <w:tc>
          <w:tcPr>
            <w:tcW w:w="12123" w:type="dxa"/>
            <w:tcBorders>
              <w:top w:val="dotted" w:sz="4" w:space="0" w:color="auto"/>
              <w:left w:val="dotted" w:sz="4" w:space="0" w:color="auto"/>
              <w:bottom w:val="dotted" w:sz="4" w:space="0" w:color="auto"/>
              <w:right w:val="dotted" w:sz="4" w:space="0" w:color="auto"/>
            </w:tcBorders>
          </w:tcPr>
          <w:p w14:paraId="68FD5778" w14:textId="77777777" w:rsidR="00F63556" w:rsidRPr="003A2F86" w:rsidRDefault="00F63556" w:rsidP="00F63556">
            <w:pPr>
              <w:spacing w:after="0" w:line="240" w:lineRule="auto"/>
              <w:rPr>
                <w:rFonts w:ascii="Arial" w:eastAsia="Calibri" w:hAnsi="Arial" w:cs="Arial"/>
                <w:sz w:val="20"/>
                <w:szCs w:val="20"/>
              </w:rPr>
            </w:pPr>
            <w:r w:rsidRPr="003A2F86">
              <w:rPr>
                <w:rFonts w:ascii="Arial" w:eastAsia="Calibri" w:hAnsi="Arial" w:cs="Arial"/>
                <w:sz w:val="20"/>
                <w:szCs w:val="20"/>
              </w:rPr>
              <w:t>Program realiziraju djelatnici Javne vatrogasne postrojbe, u suradnji s službenicima i namještenicima Općine u okviru poslova i zadataka radnih mjesta na koje su raspoređeni, Ministarstvo unutarnjih poslova, Državna uprava za zaštitu i spašavanje, Hrvatska vatrogasna zajednica, Vatrogasna zajednica županije Dubrovačko-neretvanske, Vatrogasna zajednica Općine Konavle</w:t>
            </w:r>
          </w:p>
        </w:tc>
      </w:tr>
    </w:tbl>
    <w:p w14:paraId="046FC454" w14:textId="77777777" w:rsidR="008A524D" w:rsidRPr="003A2F86" w:rsidRDefault="008A524D" w:rsidP="00F63556">
      <w:pPr>
        <w:spacing w:after="0" w:line="240" w:lineRule="auto"/>
        <w:rPr>
          <w:rFonts w:ascii="Arial" w:eastAsia="Calibri" w:hAnsi="Arial" w:cs="Arial"/>
        </w:rPr>
      </w:pPr>
    </w:p>
    <w:p w14:paraId="497D5866" w14:textId="77777777" w:rsidR="00F63556" w:rsidRPr="003A2F86" w:rsidRDefault="00F63556">
      <w:pPr>
        <w:pStyle w:val="Odlomakpopisa"/>
        <w:numPr>
          <w:ilvl w:val="0"/>
          <w:numId w:val="26"/>
        </w:num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eastAsia="Calibri" w:hAnsi="Arial" w:cs="Arial"/>
          <w:b/>
        </w:rPr>
      </w:pPr>
      <w:r w:rsidRPr="003A2F86">
        <w:rPr>
          <w:rFonts w:ascii="Arial" w:eastAsia="Calibri" w:hAnsi="Arial" w:cs="Arial"/>
          <w:b/>
        </w:rPr>
        <w:t>OBRAZLOŽENJE OPĆEG DIJELA FINANCIJSKOG PLANA</w:t>
      </w:r>
    </w:p>
    <w:p w14:paraId="101CE50C" w14:textId="77777777" w:rsidR="00F6697E" w:rsidRPr="003A2F86" w:rsidRDefault="00F6697E" w:rsidP="00F63556">
      <w:pPr>
        <w:spacing w:after="0" w:line="240" w:lineRule="auto"/>
        <w:ind w:firstLine="708"/>
        <w:rPr>
          <w:rFonts w:ascii="Arial" w:eastAsia="Calibri" w:hAnsi="Arial" w:cs="Arial"/>
          <w:sz w:val="20"/>
          <w:szCs w:val="20"/>
        </w:rPr>
      </w:pPr>
    </w:p>
    <w:p w14:paraId="06A796F0" w14:textId="54605EAD" w:rsidR="00F63556" w:rsidRPr="003A2F86" w:rsidRDefault="00F63556" w:rsidP="00F63556">
      <w:pPr>
        <w:spacing w:after="0" w:line="240" w:lineRule="auto"/>
        <w:ind w:firstLine="708"/>
        <w:rPr>
          <w:rFonts w:ascii="Arial" w:eastAsia="Calibri" w:hAnsi="Arial" w:cs="Arial"/>
          <w:sz w:val="20"/>
          <w:szCs w:val="20"/>
        </w:rPr>
      </w:pPr>
      <w:r w:rsidRPr="003A2F86">
        <w:rPr>
          <w:rFonts w:ascii="Arial" w:eastAsia="Calibri" w:hAnsi="Arial" w:cs="Arial"/>
          <w:sz w:val="20"/>
          <w:szCs w:val="20"/>
        </w:rPr>
        <w:t>Opći dio financijskog plana sastoji se od sažetka računa prihoda i rashoda. Prihodi i rashodi su  iskazanih prema izvorima financiranja i ekonomskoj klasifikaciji, te izvorima financiranja.</w:t>
      </w:r>
    </w:p>
    <w:p w14:paraId="44E90C66" w14:textId="0B776755" w:rsidR="00F63556" w:rsidRPr="003A2F86" w:rsidRDefault="00C552B3" w:rsidP="00F63556">
      <w:pPr>
        <w:spacing w:after="0" w:line="240" w:lineRule="auto"/>
        <w:jc w:val="center"/>
        <w:rPr>
          <w:rFonts w:ascii="Arial" w:eastAsia="Calibri" w:hAnsi="Arial" w:cs="Arial"/>
          <w:sz w:val="20"/>
          <w:szCs w:val="20"/>
        </w:rPr>
      </w:pPr>
      <w:r w:rsidRPr="00C552B3">
        <w:rPr>
          <w:noProof/>
        </w:rPr>
        <w:lastRenderedPageBreak/>
        <w:drawing>
          <wp:inline distT="0" distB="0" distL="0" distR="0" wp14:anchorId="5F3A0D5A" wp14:editId="56DCFBBB">
            <wp:extent cx="7538863" cy="5635256"/>
            <wp:effectExtent l="0" t="0" r="5080" b="3810"/>
            <wp:docPr id="119812721"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7551306" cy="5644557"/>
                    </a:xfrm>
                    <a:prstGeom prst="rect">
                      <a:avLst/>
                    </a:prstGeom>
                    <a:noFill/>
                    <a:ln>
                      <a:noFill/>
                    </a:ln>
                  </pic:spPr>
                </pic:pic>
              </a:graphicData>
            </a:graphic>
          </wp:inline>
        </w:drawing>
      </w:r>
    </w:p>
    <w:p w14:paraId="706CF72E" w14:textId="77777777" w:rsidR="008F1970" w:rsidRDefault="008F1970" w:rsidP="00F63556">
      <w:pPr>
        <w:spacing w:after="0" w:line="240" w:lineRule="auto"/>
        <w:ind w:firstLine="708"/>
      </w:pPr>
    </w:p>
    <w:p w14:paraId="28ED6818" w14:textId="77777777" w:rsidR="00C552B3" w:rsidRPr="003A2F86" w:rsidRDefault="00C552B3" w:rsidP="00F63556">
      <w:pPr>
        <w:spacing w:after="0" w:line="240" w:lineRule="auto"/>
        <w:ind w:firstLine="708"/>
      </w:pPr>
    </w:p>
    <w:p w14:paraId="32AE4F9C" w14:textId="717D3D48" w:rsidR="00F63556" w:rsidRPr="003A2F86" w:rsidRDefault="00F63556" w:rsidP="008F1970">
      <w:pPr>
        <w:spacing w:after="0" w:line="240" w:lineRule="auto"/>
        <w:ind w:firstLine="567"/>
        <w:rPr>
          <w:rFonts w:ascii="Arial" w:eastAsia="Calibri" w:hAnsi="Arial" w:cs="Arial"/>
          <w:sz w:val="20"/>
          <w:szCs w:val="20"/>
        </w:rPr>
      </w:pPr>
      <w:r w:rsidRPr="003A2F86">
        <w:rPr>
          <w:rFonts w:ascii="Arial" w:eastAsia="Calibri" w:hAnsi="Arial" w:cs="Arial"/>
          <w:sz w:val="20"/>
          <w:szCs w:val="20"/>
          <w:u w:val="single"/>
        </w:rPr>
        <w:lastRenderedPageBreak/>
        <w:t>Ostvareni prihodi poslovanja</w:t>
      </w:r>
      <w:r w:rsidRPr="003A2F86">
        <w:rPr>
          <w:rFonts w:ascii="Arial" w:eastAsia="Calibri" w:hAnsi="Arial" w:cs="Arial"/>
          <w:sz w:val="20"/>
          <w:szCs w:val="20"/>
        </w:rPr>
        <w:t xml:space="preserve"> sastoje se od:</w:t>
      </w:r>
    </w:p>
    <w:p w14:paraId="7A6CF576" w14:textId="53CA2E16" w:rsidR="005022AA" w:rsidRPr="003A2F86" w:rsidRDefault="005022AA" w:rsidP="008F1970">
      <w:pPr>
        <w:spacing w:after="0" w:line="240" w:lineRule="auto"/>
        <w:ind w:left="708" w:firstLine="567"/>
        <w:rPr>
          <w:rFonts w:ascii="Arial" w:eastAsia="Calibri" w:hAnsi="Arial" w:cs="Arial"/>
          <w:sz w:val="20"/>
          <w:szCs w:val="20"/>
        </w:rPr>
      </w:pPr>
      <w:r w:rsidRPr="003A2F86">
        <w:rPr>
          <w:rFonts w:ascii="Arial" w:eastAsia="Calibri" w:hAnsi="Arial" w:cs="Arial"/>
          <w:sz w:val="20"/>
          <w:szCs w:val="20"/>
        </w:rPr>
        <w:t>a)</w:t>
      </w:r>
      <w:r w:rsidRPr="003A2F86">
        <w:rPr>
          <w:rFonts w:ascii="Arial" w:eastAsia="Calibri" w:hAnsi="Arial" w:cs="Arial"/>
          <w:sz w:val="20"/>
          <w:szCs w:val="20"/>
        </w:rPr>
        <w:tab/>
        <w:t xml:space="preserve">Tekuće pomoći proračunskim korisnicima iz proračuna koji im nije nadležan. Ostvareni su prihodi u iznosu </w:t>
      </w:r>
      <w:r w:rsidR="009747AB" w:rsidRPr="003A2F86">
        <w:rPr>
          <w:rFonts w:ascii="Arial" w:eastAsia="Calibri" w:hAnsi="Arial" w:cs="Arial"/>
          <w:sz w:val="20"/>
          <w:szCs w:val="20"/>
        </w:rPr>
        <w:t>0</w:t>
      </w:r>
      <w:r w:rsidRPr="003A2F86">
        <w:rPr>
          <w:rFonts w:ascii="Arial" w:eastAsia="Calibri" w:hAnsi="Arial" w:cs="Arial"/>
          <w:sz w:val="20"/>
          <w:szCs w:val="20"/>
        </w:rPr>
        <w:t xml:space="preserve"> € </w:t>
      </w:r>
      <w:r w:rsidR="009747AB" w:rsidRPr="003A2F86">
        <w:rPr>
          <w:rFonts w:ascii="Arial" w:eastAsia="Calibri" w:hAnsi="Arial" w:cs="Arial"/>
          <w:sz w:val="20"/>
          <w:szCs w:val="20"/>
        </w:rPr>
        <w:t xml:space="preserve">(ranijih godina prihodi </w:t>
      </w:r>
      <w:r w:rsidRPr="003A2F86">
        <w:rPr>
          <w:rFonts w:ascii="Arial" w:eastAsia="Calibri" w:hAnsi="Arial" w:cs="Arial"/>
          <w:sz w:val="20"/>
          <w:szCs w:val="20"/>
        </w:rPr>
        <w:t>od Hrvatske vatrogasne zajednice</w:t>
      </w:r>
      <w:r w:rsidR="009747AB" w:rsidRPr="003A2F86">
        <w:rPr>
          <w:rFonts w:ascii="Arial" w:eastAsia="Calibri" w:hAnsi="Arial" w:cs="Arial"/>
          <w:sz w:val="20"/>
          <w:szCs w:val="20"/>
        </w:rPr>
        <w:t>)</w:t>
      </w:r>
      <w:r w:rsidRPr="003A2F86">
        <w:rPr>
          <w:rFonts w:ascii="Arial" w:eastAsia="Calibri" w:hAnsi="Arial" w:cs="Arial"/>
          <w:sz w:val="20"/>
          <w:szCs w:val="20"/>
        </w:rPr>
        <w:t>.</w:t>
      </w:r>
    </w:p>
    <w:p w14:paraId="5D0446A6" w14:textId="3305F76B" w:rsidR="005022AA" w:rsidRPr="003A2F86" w:rsidRDefault="005022AA" w:rsidP="008F1970">
      <w:pPr>
        <w:spacing w:after="0" w:line="240" w:lineRule="auto"/>
        <w:ind w:left="708" w:firstLine="567"/>
        <w:jc w:val="both"/>
        <w:rPr>
          <w:rFonts w:ascii="Arial" w:eastAsia="Calibri" w:hAnsi="Arial" w:cs="Arial"/>
          <w:sz w:val="20"/>
          <w:szCs w:val="20"/>
        </w:rPr>
      </w:pPr>
      <w:r w:rsidRPr="003A2F86">
        <w:rPr>
          <w:rFonts w:ascii="Arial" w:eastAsia="Calibri" w:hAnsi="Arial" w:cs="Arial"/>
          <w:sz w:val="20"/>
          <w:szCs w:val="20"/>
        </w:rPr>
        <w:t xml:space="preserve">b) </w:t>
      </w:r>
      <w:r w:rsidRPr="003A2F86">
        <w:rPr>
          <w:rFonts w:ascii="Arial" w:eastAsia="Calibri" w:hAnsi="Arial" w:cs="Arial"/>
          <w:sz w:val="20"/>
          <w:szCs w:val="20"/>
        </w:rPr>
        <w:tab/>
        <w:t xml:space="preserve">Prihodi od prodaje proizvoda i robe te pruženih usluga i prihodi od donacija. </w:t>
      </w:r>
      <w:r w:rsidR="009747AB" w:rsidRPr="003A2F86">
        <w:rPr>
          <w:rFonts w:ascii="Arial" w:eastAsia="Calibri" w:hAnsi="Arial" w:cs="Arial"/>
          <w:sz w:val="20"/>
          <w:szCs w:val="20"/>
        </w:rPr>
        <w:t>Nisu o</w:t>
      </w:r>
      <w:r w:rsidRPr="003A2F86">
        <w:rPr>
          <w:rFonts w:ascii="Arial" w:eastAsia="Calibri" w:hAnsi="Arial" w:cs="Arial"/>
          <w:sz w:val="20"/>
          <w:szCs w:val="20"/>
        </w:rPr>
        <w:t xml:space="preserve">stvareni prihodi — tekuće donacije </w:t>
      </w:r>
      <w:r w:rsidR="009747AB" w:rsidRPr="003A2F86">
        <w:rPr>
          <w:rFonts w:ascii="Arial" w:eastAsia="Calibri" w:hAnsi="Arial" w:cs="Arial"/>
          <w:sz w:val="20"/>
          <w:szCs w:val="20"/>
        </w:rPr>
        <w:t xml:space="preserve">(ranijih godina prihodi od </w:t>
      </w:r>
      <w:r w:rsidRPr="003A2F86">
        <w:rPr>
          <w:rFonts w:ascii="Arial" w:eastAsia="Calibri" w:hAnsi="Arial" w:cs="Arial"/>
          <w:sz w:val="20"/>
          <w:szCs w:val="20"/>
        </w:rPr>
        <w:t>Vatrogasne zajednice Županije dubrovačko neretvanske</w:t>
      </w:r>
      <w:r w:rsidR="009747AB" w:rsidRPr="003A2F86">
        <w:rPr>
          <w:rFonts w:ascii="Arial" w:eastAsia="Calibri" w:hAnsi="Arial" w:cs="Arial"/>
          <w:sz w:val="20"/>
          <w:szCs w:val="20"/>
        </w:rPr>
        <w:t>)</w:t>
      </w:r>
      <w:r w:rsidRPr="003A2F86">
        <w:rPr>
          <w:rFonts w:ascii="Arial" w:eastAsia="Calibri" w:hAnsi="Arial" w:cs="Arial"/>
          <w:sz w:val="20"/>
          <w:szCs w:val="20"/>
        </w:rPr>
        <w:t>.</w:t>
      </w:r>
    </w:p>
    <w:p w14:paraId="3CB075AA" w14:textId="314AD17B" w:rsidR="005022AA" w:rsidRPr="003A2F86" w:rsidRDefault="00D5398C" w:rsidP="008F1970">
      <w:pPr>
        <w:spacing w:after="0" w:line="240" w:lineRule="auto"/>
        <w:ind w:left="708" w:firstLine="567"/>
        <w:jc w:val="both"/>
        <w:rPr>
          <w:rFonts w:ascii="Arial" w:eastAsia="Calibri" w:hAnsi="Arial" w:cs="Arial"/>
          <w:sz w:val="20"/>
          <w:szCs w:val="20"/>
        </w:rPr>
      </w:pPr>
      <w:r w:rsidRPr="003A2F86">
        <w:rPr>
          <w:rFonts w:ascii="Arial" w:eastAsia="Calibri" w:hAnsi="Arial" w:cs="Arial"/>
          <w:sz w:val="20"/>
          <w:szCs w:val="20"/>
        </w:rPr>
        <w:t>c)</w:t>
      </w:r>
      <w:r w:rsidRPr="003A2F86">
        <w:rPr>
          <w:rFonts w:ascii="Arial" w:eastAsia="Calibri" w:hAnsi="Arial" w:cs="Arial"/>
          <w:sz w:val="20"/>
          <w:szCs w:val="20"/>
        </w:rPr>
        <w:tab/>
      </w:r>
      <w:r w:rsidR="005022AA" w:rsidRPr="003A2F86">
        <w:rPr>
          <w:rFonts w:ascii="Arial" w:eastAsia="Calibri" w:hAnsi="Arial" w:cs="Arial"/>
          <w:sz w:val="20"/>
          <w:szCs w:val="20"/>
        </w:rPr>
        <w:t>Prihodi iz nadležnog proračuna za financiranje redovne djelatnosti proračunskih korisnika ostvareni su</w:t>
      </w:r>
      <w:r w:rsidRPr="003A2F86">
        <w:rPr>
          <w:rFonts w:ascii="Arial" w:eastAsia="Calibri" w:hAnsi="Arial" w:cs="Arial"/>
          <w:sz w:val="20"/>
          <w:szCs w:val="20"/>
        </w:rPr>
        <w:t xml:space="preserve"> </w:t>
      </w:r>
      <w:r w:rsidR="005022AA" w:rsidRPr="003A2F86">
        <w:rPr>
          <w:rFonts w:ascii="Arial" w:eastAsia="Calibri" w:hAnsi="Arial" w:cs="Arial"/>
          <w:sz w:val="20"/>
          <w:szCs w:val="20"/>
        </w:rPr>
        <w:t xml:space="preserve">sveukupno u iznosu </w:t>
      </w:r>
      <w:r w:rsidR="00C552B3">
        <w:rPr>
          <w:rFonts w:ascii="Arial" w:eastAsia="Calibri" w:hAnsi="Arial" w:cs="Arial"/>
          <w:sz w:val="20"/>
          <w:szCs w:val="20"/>
        </w:rPr>
        <w:t>748.445,68</w:t>
      </w:r>
      <w:r w:rsidR="005022AA" w:rsidRPr="003A2F86">
        <w:rPr>
          <w:rFonts w:ascii="Arial" w:eastAsia="Calibri" w:hAnsi="Arial" w:cs="Arial"/>
          <w:sz w:val="20"/>
          <w:szCs w:val="20"/>
        </w:rPr>
        <w:t xml:space="preserve"> </w:t>
      </w:r>
      <w:r w:rsidRPr="003A2F86">
        <w:rPr>
          <w:rFonts w:ascii="Arial" w:eastAsia="Calibri" w:hAnsi="Arial" w:cs="Arial"/>
          <w:sz w:val="20"/>
          <w:szCs w:val="20"/>
        </w:rPr>
        <w:t>€</w:t>
      </w:r>
      <w:r w:rsidR="005022AA" w:rsidRPr="003A2F86">
        <w:rPr>
          <w:rFonts w:ascii="Arial" w:eastAsia="Calibri" w:hAnsi="Arial" w:cs="Arial"/>
          <w:sz w:val="20"/>
          <w:szCs w:val="20"/>
        </w:rPr>
        <w:t xml:space="preserve">. </w:t>
      </w:r>
    </w:p>
    <w:p w14:paraId="4FEA912B" w14:textId="77777777" w:rsidR="00F63556" w:rsidRPr="003A2F86" w:rsidRDefault="00F63556" w:rsidP="008F1970">
      <w:pPr>
        <w:spacing w:after="0" w:line="240" w:lineRule="auto"/>
        <w:ind w:firstLine="567"/>
        <w:rPr>
          <w:rFonts w:ascii="Arial" w:eastAsia="Calibri" w:hAnsi="Arial" w:cs="Arial"/>
          <w:sz w:val="20"/>
          <w:szCs w:val="20"/>
        </w:rPr>
      </w:pPr>
    </w:p>
    <w:p w14:paraId="74D00A37" w14:textId="4C5C6A83" w:rsidR="00F63556" w:rsidRPr="003A2F86" w:rsidRDefault="00F63556" w:rsidP="00F63556">
      <w:pPr>
        <w:spacing w:after="0" w:line="240" w:lineRule="auto"/>
        <w:ind w:firstLine="708"/>
        <w:rPr>
          <w:rFonts w:ascii="Arial" w:eastAsia="Calibri" w:hAnsi="Arial" w:cs="Arial"/>
          <w:sz w:val="20"/>
          <w:szCs w:val="20"/>
        </w:rPr>
      </w:pPr>
      <w:r w:rsidRPr="003A2F86">
        <w:rPr>
          <w:rFonts w:ascii="Arial" w:eastAsia="Calibri" w:hAnsi="Arial" w:cs="Arial"/>
          <w:sz w:val="20"/>
          <w:szCs w:val="20"/>
          <w:u w:val="single"/>
        </w:rPr>
        <w:t>Izvršeni rashodi poslovanja</w:t>
      </w:r>
      <w:r w:rsidRPr="003A2F86">
        <w:rPr>
          <w:rFonts w:ascii="Arial" w:eastAsia="Calibri" w:hAnsi="Arial" w:cs="Arial"/>
          <w:sz w:val="20"/>
          <w:szCs w:val="20"/>
        </w:rPr>
        <w:t xml:space="preserve"> sastoje se od:</w:t>
      </w:r>
    </w:p>
    <w:p w14:paraId="6C24D9E3" w14:textId="77777777" w:rsidR="00F63556" w:rsidRPr="003A2F86" w:rsidRDefault="00F63556" w:rsidP="00F63556">
      <w:pPr>
        <w:spacing w:after="0" w:line="240" w:lineRule="auto"/>
        <w:ind w:firstLine="708"/>
        <w:rPr>
          <w:rFonts w:ascii="Arial" w:eastAsia="Calibri" w:hAnsi="Arial" w:cs="Arial"/>
          <w:sz w:val="20"/>
          <w:szCs w:val="20"/>
        </w:rPr>
      </w:pPr>
    </w:p>
    <w:p w14:paraId="5CC7C7AF" w14:textId="155B2387" w:rsidR="00F63556" w:rsidRPr="003A2F86" w:rsidRDefault="00F63556">
      <w:pPr>
        <w:pStyle w:val="Odlomakpopisa"/>
        <w:numPr>
          <w:ilvl w:val="0"/>
          <w:numId w:val="40"/>
        </w:numPr>
        <w:contextualSpacing/>
        <w:rPr>
          <w:rFonts w:ascii="Arial" w:eastAsia="Calibri" w:hAnsi="Arial" w:cs="Arial"/>
        </w:rPr>
      </w:pPr>
      <w:r w:rsidRPr="003A2F86">
        <w:rPr>
          <w:rFonts w:ascii="Arial" w:eastAsia="Calibri" w:hAnsi="Arial" w:cs="Arial"/>
        </w:rPr>
        <w:t xml:space="preserve">rashoda za zaposlene koji su izvršeni u iznosu </w:t>
      </w:r>
      <w:r w:rsidR="00C552B3">
        <w:rPr>
          <w:rFonts w:ascii="Arial" w:eastAsia="Calibri" w:hAnsi="Arial" w:cs="Arial"/>
        </w:rPr>
        <w:t>688.917,75</w:t>
      </w:r>
      <w:r w:rsidRPr="003A2F86">
        <w:rPr>
          <w:rFonts w:ascii="Arial" w:eastAsia="Calibri" w:hAnsi="Arial" w:cs="Arial"/>
        </w:rPr>
        <w:t xml:space="preserve"> € (odnose se na rashode za bruto plaće, doprinose na plaću i ostale rashode za zaposlene)</w:t>
      </w:r>
    </w:p>
    <w:p w14:paraId="774465E7" w14:textId="7630B452" w:rsidR="00F63556" w:rsidRPr="003A2F86" w:rsidRDefault="00F63556">
      <w:pPr>
        <w:pStyle w:val="Odlomakpopisa"/>
        <w:numPr>
          <w:ilvl w:val="0"/>
          <w:numId w:val="40"/>
        </w:numPr>
        <w:contextualSpacing/>
        <w:rPr>
          <w:rFonts w:ascii="Arial" w:eastAsia="Calibri" w:hAnsi="Arial" w:cs="Arial"/>
        </w:rPr>
      </w:pPr>
      <w:r w:rsidRPr="003A2F86">
        <w:rPr>
          <w:rFonts w:ascii="Arial" w:eastAsia="Calibri" w:hAnsi="Arial" w:cs="Arial"/>
        </w:rPr>
        <w:t xml:space="preserve">materijalne rashode koji su izvršeni u iznosu </w:t>
      </w:r>
      <w:r w:rsidR="00C552B3">
        <w:rPr>
          <w:rFonts w:ascii="Arial" w:eastAsia="Calibri" w:hAnsi="Arial" w:cs="Arial"/>
        </w:rPr>
        <w:t>63.958,11</w:t>
      </w:r>
      <w:r w:rsidRPr="003A2F86">
        <w:rPr>
          <w:rFonts w:ascii="Arial" w:eastAsia="Calibri" w:hAnsi="Arial" w:cs="Arial"/>
        </w:rPr>
        <w:t xml:space="preserve"> € (odnose se na naknade za prijevoz zaposlenika, rashode za materijal i energiju te rashode za usluge)</w:t>
      </w:r>
      <w:r w:rsidR="00EB45A7" w:rsidRPr="003A2F86">
        <w:rPr>
          <w:rFonts w:ascii="Arial" w:eastAsia="Calibri" w:hAnsi="Arial" w:cs="Arial"/>
        </w:rPr>
        <w:t>.</w:t>
      </w:r>
    </w:p>
    <w:p w14:paraId="0ACE4D52" w14:textId="77777777" w:rsidR="00F63556" w:rsidRPr="003A2F86" w:rsidRDefault="00F63556" w:rsidP="00F63556">
      <w:pPr>
        <w:spacing w:after="0" w:line="240" w:lineRule="auto"/>
        <w:ind w:left="708"/>
        <w:rPr>
          <w:rFonts w:ascii="Arial" w:eastAsia="Calibri" w:hAnsi="Arial" w:cs="Arial"/>
          <w:sz w:val="20"/>
          <w:szCs w:val="20"/>
        </w:rPr>
      </w:pPr>
    </w:p>
    <w:p w14:paraId="66C2FDEA" w14:textId="6F106B18" w:rsidR="00F63556" w:rsidRPr="003A2F86" w:rsidRDefault="009747AB" w:rsidP="00EB45A7">
      <w:pPr>
        <w:spacing w:after="0" w:line="240" w:lineRule="auto"/>
        <w:ind w:left="708"/>
        <w:rPr>
          <w:rFonts w:ascii="Arial" w:eastAsia="Calibri" w:hAnsi="Arial" w:cs="Arial"/>
          <w:sz w:val="20"/>
          <w:szCs w:val="20"/>
        </w:rPr>
      </w:pPr>
      <w:r w:rsidRPr="003A2F86">
        <w:rPr>
          <w:rFonts w:ascii="Arial" w:eastAsia="Calibri" w:hAnsi="Arial" w:cs="Arial"/>
          <w:sz w:val="20"/>
          <w:szCs w:val="20"/>
          <w:u w:val="single"/>
        </w:rPr>
        <w:t>R</w:t>
      </w:r>
      <w:r w:rsidR="00F63556" w:rsidRPr="003A2F86">
        <w:rPr>
          <w:rFonts w:ascii="Arial" w:eastAsia="Calibri" w:hAnsi="Arial" w:cs="Arial"/>
          <w:sz w:val="20"/>
          <w:szCs w:val="20"/>
          <w:u w:val="single"/>
        </w:rPr>
        <w:t>ashodi za nabavu nefinancijske imovine</w:t>
      </w:r>
      <w:r w:rsidR="00F63556" w:rsidRPr="003A2F86">
        <w:rPr>
          <w:rFonts w:ascii="Arial" w:eastAsia="Calibri" w:hAnsi="Arial" w:cs="Arial"/>
          <w:sz w:val="20"/>
          <w:szCs w:val="20"/>
        </w:rPr>
        <w:t xml:space="preserve"> </w:t>
      </w:r>
      <w:r w:rsidRPr="003A2F86">
        <w:rPr>
          <w:rFonts w:ascii="Arial" w:eastAsia="Calibri" w:hAnsi="Arial" w:cs="Arial"/>
          <w:sz w:val="20"/>
          <w:szCs w:val="20"/>
        </w:rPr>
        <w:t xml:space="preserve">su izvršeni </w:t>
      </w:r>
      <w:r w:rsidR="004D7C41">
        <w:rPr>
          <w:rFonts w:ascii="Arial" w:eastAsia="Calibri" w:hAnsi="Arial" w:cs="Arial"/>
          <w:sz w:val="20"/>
          <w:szCs w:val="20"/>
        </w:rPr>
        <w:t xml:space="preserve">u iznosu </w:t>
      </w:r>
      <w:r w:rsidR="00C552B3">
        <w:rPr>
          <w:rFonts w:ascii="Arial" w:eastAsia="Calibri" w:hAnsi="Arial" w:cs="Arial"/>
          <w:sz w:val="20"/>
          <w:szCs w:val="20"/>
        </w:rPr>
        <w:t>5.166,25</w:t>
      </w:r>
      <w:r w:rsidR="004D7C41">
        <w:rPr>
          <w:rFonts w:ascii="Arial" w:eastAsia="Calibri" w:hAnsi="Arial" w:cs="Arial"/>
          <w:sz w:val="20"/>
          <w:szCs w:val="20"/>
        </w:rPr>
        <w:t xml:space="preserve"> €</w:t>
      </w:r>
      <w:r w:rsidR="00EB45A7" w:rsidRPr="003A2F86">
        <w:rPr>
          <w:rFonts w:ascii="Arial" w:eastAsia="Calibri" w:hAnsi="Arial" w:cs="Arial"/>
          <w:sz w:val="20"/>
          <w:szCs w:val="20"/>
        </w:rPr>
        <w:t>.</w:t>
      </w:r>
    </w:p>
    <w:p w14:paraId="79ED2F0B" w14:textId="77777777" w:rsidR="007469A9" w:rsidRPr="003A2F86" w:rsidRDefault="007469A9" w:rsidP="00F63556">
      <w:pPr>
        <w:spacing w:after="0" w:line="240" w:lineRule="auto"/>
        <w:ind w:firstLine="708"/>
        <w:rPr>
          <w:rFonts w:ascii="Arial" w:eastAsia="Calibri" w:hAnsi="Arial" w:cs="Arial"/>
        </w:rPr>
      </w:pPr>
    </w:p>
    <w:p w14:paraId="4D9AB439" w14:textId="77777777" w:rsidR="00F63556" w:rsidRPr="003A2F86" w:rsidRDefault="00F63556" w:rsidP="00F63556">
      <w:pPr>
        <w:pBdr>
          <w:top w:val="single" w:sz="4" w:space="1" w:color="auto"/>
          <w:left w:val="single" w:sz="4" w:space="4" w:color="auto"/>
          <w:bottom w:val="single" w:sz="4" w:space="0" w:color="auto"/>
          <w:right w:val="single" w:sz="4" w:space="4" w:color="auto"/>
        </w:pBdr>
        <w:spacing w:after="0" w:line="240" w:lineRule="auto"/>
        <w:rPr>
          <w:rFonts w:ascii="Arial" w:eastAsia="Calibri" w:hAnsi="Arial" w:cs="Arial"/>
          <w:b/>
        </w:rPr>
      </w:pPr>
      <w:r w:rsidRPr="003A2F86">
        <w:rPr>
          <w:rFonts w:ascii="Arial" w:eastAsia="Calibri" w:hAnsi="Arial" w:cs="Arial"/>
          <w:b/>
        </w:rPr>
        <w:t>OBRAZLOŽENJE POSEBNOG DIJELA FINANCIJSKOG PLANA</w:t>
      </w:r>
    </w:p>
    <w:p w14:paraId="4300D92E" w14:textId="77777777" w:rsidR="00F63556" w:rsidRPr="003A2F86" w:rsidRDefault="00F63556" w:rsidP="00F63556">
      <w:pPr>
        <w:spacing w:after="0" w:line="240" w:lineRule="auto"/>
        <w:rPr>
          <w:rFonts w:ascii="Arial" w:eastAsia="Calibri" w:hAnsi="Arial" w:cs="Arial"/>
        </w:rPr>
      </w:pPr>
    </w:p>
    <w:p w14:paraId="129897D3" w14:textId="77777777" w:rsidR="00F63556" w:rsidRPr="003A2F86" w:rsidRDefault="00F63556" w:rsidP="00F63556">
      <w:pPr>
        <w:pStyle w:val="Tijeloteksta"/>
        <w:ind w:left="212" w:right="543"/>
        <w:rPr>
          <w:rFonts w:ascii="Arial" w:eastAsia="Calibri" w:hAnsi="Arial" w:cs="Arial"/>
          <w:sz w:val="20"/>
          <w:lang w:val="hr-HR"/>
        </w:rPr>
      </w:pPr>
      <w:r w:rsidRPr="003A2F86">
        <w:rPr>
          <w:rFonts w:ascii="Arial" w:eastAsia="Calibri" w:hAnsi="Arial" w:cs="Arial"/>
          <w:sz w:val="20"/>
          <w:lang w:val="hr-HR"/>
        </w:rPr>
        <w:t>Posebni dio financijskog plana iskazuje rashode i izdatke po organizacijskoj klasifikaciji, po ekonomskoj, programskoj i funkcijskoj klasifikaciji, te izvorima financiranja.</w:t>
      </w:r>
    </w:p>
    <w:p w14:paraId="03053287" w14:textId="77777777" w:rsidR="00F63556" w:rsidRPr="003A2F86" w:rsidRDefault="00F63556" w:rsidP="00F63556">
      <w:pPr>
        <w:spacing w:after="0" w:line="240" w:lineRule="auto"/>
        <w:rPr>
          <w:rFonts w:ascii="Arial" w:eastAsia="Calibri" w:hAnsi="Arial" w:cs="Arial"/>
        </w:rPr>
      </w:pPr>
    </w:p>
    <w:tbl>
      <w:tblPr>
        <w:tblW w:w="12982" w:type="dxa"/>
        <w:jc w:val="center"/>
        <w:tblLook w:val="04A0" w:firstRow="1" w:lastRow="0" w:firstColumn="1" w:lastColumn="0" w:noHBand="0" w:noVBand="1"/>
      </w:tblPr>
      <w:tblGrid>
        <w:gridCol w:w="5379"/>
        <w:gridCol w:w="1569"/>
        <w:gridCol w:w="1531"/>
        <w:gridCol w:w="1642"/>
        <w:gridCol w:w="1418"/>
        <w:gridCol w:w="1443"/>
      </w:tblGrid>
      <w:tr w:rsidR="00000787" w:rsidRPr="00F12DCA" w14:paraId="0E9BDBFA" w14:textId="77777777" w:rsidTr="00000787">
        <w:trPr>
          <w:trHeight w:val="577"/>
          <w:jc w:val="center"/>
        </w:trPr>
        <w:tc>
          <w:tcPr>
            <w:tcW w:w="5379" w:type="dxa"/>
            <w:tcBorders>
              <w:top w:val="single" w:sz="4" w:space="0" w:color="auto"/>
              <w:left w:val="single" w:sz="4" w:space="0" w:color="auto"/>
              <w:bottom w:val="single" w:sz="4" w:space="0" w:color="auto"/>
              <w:right w:val="single" w:sz="4" w:space="0" w:color="auto"/>
            </w:tcBorders>
            <w:noWrap/>
            <w:vAlign w:val="center"/>
            <w:hideMark/>
          </w:tcPr>
          <w:p w14:paraId="79701358" w14:textId="77777777" w:rsidR="00000787" w:rsidRPr="00F12DCA" w:rsidRDefault="00000787" w:rsidP="00000787">
            <w:pPr>
              <w:spacing w:after="0" w:line="240" w:lineRule="auto"/>
              <w:jc w:val="center"/>
              <w:rPr>
                <w:rFonts w:ascii="Arial" w:hAnsi="Arial" w:cs="Arial"/>
                <w:b/>
                <w:color w:val="000000"/>
                <w:sz w:val="20"/>
                <w:szCs w:val="20"/>
              </w:rPr>
            </w:pPr>
            <w:r w:rsidRPr="00F12DCA">
              <w:rPr>
                <w:rFonts w:ascii="Arial" w:hAnsi="Arial" w:cs="Arial"/>
                <w:b/>
                <w:color w:val="000000"/>
                <w:sz w:val="20"/>
                <w:szCs w:val="20"/>
              </w:rPr>
              <w:t>Naziv programa iz Proračuna</w:t>
            </w:r>
          </w:p>
        </w:tc>
        <w:tc>
          <w:tcPr>
            <w:tcW w:w="1569" w:type="dxa"/>
            <w:tcBorders>
              <w:top w:val="single" w:sz="4" w:space="0" w:color="auto"/>
              <w:left w:val="nil"/>
              <w:bottom w:val="single" w:sz="4" w:space="0" w:color="auto"/>
              <w:right w:val="single" w:sz="4" w:space="0" w:color="auto"/>
            </w:tcBorders>
            <w:noWrap/>
            <w:vAlign w:val="center"/>
            <w:hideMark/>
          </w:tcPr>
          <w:p w14:paraId="5BA320EA" w14:textId="2C843E24" w:rsidR="00000787" w:rsidRPr="00F12DCA" w:rsidRDefault="00000787" w:rsidP="00000787">
            <w:pPr>
              <w:spacing w:after="0" w:line="240" w:lineRule="auto"/>
              <w:jc w:val="center"/>
              <w:rPr>
                <w:rFonts w:ascii="Arial" w:hAnsi="Arial" w:cs="Arial"/>
                <w:b/>
                <w:color w:val="000000"/>
                <w:sz w:val="20"/>
                <w:szCs w:val="20"/>
              </w:rPr>
            </w:pPr>
            <w:r w:rsidRPr="00F12DCA">
              <w:rPr>
                <w:rFonts w:ascii="Arial" w:hAnsi="Arial" w:cs="Arial"/>
                <w:b/>
                <w:color w:val="000000"/>
                <w:sz w:val="20"/>
                <w:szCs w:val="20"/>
              </w:rPr>
              <w:t xml:space="preserve">Izvršeno proračun </w:t>
            </w:r>
          </w:p>
          <w:p w14:paraId="1C328AD9" w14:textId="715A8ACD" w:rsidR="00000787" w:rsidRPr="00F12DCA" w:rsidRDefault="000E554E" w:rsidP="00000787">
            <w:pPr>
              <w:spacing w:after="0" w:line="240" w:lineRule="auto"/>
              <w:jc w:val="center"/>
              <w:rPr>
                <w:rFonts w:ascii="Arial" w:hAnsi="Arial" w:cs="Arial"/>
                <w:b/>
                <w:color w:val="000000"/>
                <w:sz w:val="20"/>
                <w:szCs w:val="20"/>
              </w:rPr>
            </w:pPr>
            <w:r>
              <w:rPr>
                <w:rFonts w:ascii="Arial" w:hAnsi="Arial" w:cs="Arial"/>
                <w:b/>
                <w:color w:val="000000"/>
                <w:sz w:val="20"/>
                <w:szCs w:val="20"/>
              </w:rPr>
              <w:t>2024.</w:t>
            </w:r>
          </w:p>
        </w:tc>
        <w:tc>
          <w:tcPr>
            <w:tcW w:w="1531" w:type="dxa"/>
            <w:tcBorders>
              <w:top w:val="single" w:sz="4" w:space="0" w:color="auto"/>
              <w:left w:val="nil"/>
              <w:bottom w:val="single" w:sz="4" w:space="0" w:color="auto"/>
              <w:right w:val="single" w:sz="4" w:space="0" w:color="auto"/>
            </w:tcBorders>
            <w:vAlign w:val="center"/>
            <w:hideMark/>
          </w:tcPr>
          <w:p w14:paraId="5A057881" w14:textId="05D8433D" w:rsidR="00000787" w:rsidRPr="00F12DCA" w:rsidRDefault="000E554E" w:rsidP="00000787">
            <w:pPr>
              <w:spacing w:after="0" w:line="240" w:lineRule="auto"/>
              <w:jc w:val="center"/>
              <w:rPr>
                <w:rFonts w:ascii="Arial" w:hAnsi="Arial" w:cs="Arial"/>
                <w:b/>
                <w:color w:val="000000"/>
                <w:sz w:val="20"/>
                <w:szCs w:val="20"/>
              </w:rPr>
            </w:pPr>
            <w:r>
              <w:rPr>
                <w:rFonts w:ascii="Arial" w:hAnsi="Arial" w:cs="Arial"/>
                <w:b/>
                <w:color w:val="000000"/>
                <w:sz w:val="20"/>
                <w:szCs w:val="20"/>
              </w:rPr>
              <w:t>plan</w:t>
            </w:r>
          </w:p>
          <w:p w14:paraId="1EECC641" w14:textId="6E41C960" w:rsidR="00000787" w:rsidRPr="00F12DCA" w:rsidRDefault="00000787" w:rsidP="00000787">
            <w:pPr>
              <w:spacing w:after="0" w:line="240" w:lineRule="auto"/>
              <w:jc w:val="center"/>
              <w:rPr>
                <w:rFonts w:ascii="Arial" w:hAnsi="Arial" w:cs="Arial"/>
                <w:b/>
                <w:color w:val="000000"/>
                <w:sz w:val="20"/>
                <w:szCs w:val="20"/>
              </w:rPr>
            </w:pPr>
            <w:r w:rsidRPr="00F12DCA">
              <w:rPr>
                <w:rFonts w:ascii="Arial" w:hAnsi="Arial" w:cs="Arial"/>
                <w:b/>
                <w:color w:val="000000"/>
                <w:sz w:val="20"/>
                <w:szCs w:val="20"/>
              </w:rPr>
              <w:t>202</w:t>
            </w:r>
            <w:r w:rsidR="000E554E">
              <w:rPr>
                <w:rFonts w:ascii="Arial" w:hAnsi="Arial" w:cs="Arial"/>
                <w:b/>
                <w:color w:val="000000"/>
                <w:sz w:val="20"/>
                <w:szCs w:val="20"/>
              </w:rPr>
              <w:t>5</w:t>
            </w:r>
            <w:r w:rsidRPr="00F12DCA">
              <w:rPr>
                <w:rFonts w:ascii="Arial" w:hAnsi="Arial" w:cs="Arial"/>
                <w:b/>
                <w:color w:val="000000"/>
                <w:sz w:val="20"/>
                <w:szCs w:val="20"/>
              </w:rPr>
              <w:t>.</w:t>
            </w:r>
          </w:p>
        </w:tc>
        <w:tc>
          <w:tcPr>
            <w:tcW w:w="1642" w:type="dxa"/>
            <w:tcBorders>
              <w:top w:val="single" w:sz="4" w:space="0" w:color="auto"/>
              <w:left w:val="nil"/>
              <w:bottom w:val="single" w:sz="4" w:space="0" w:color="auto"/>
              <w:right w:val="single" w:sz="4" w:space="0" w:color="auto"/>
            </w:tcBorders>
            <w:vAlign w:val="center"/>
          </w:tcPr>
          <w:p w14:paraId="0C72027D" w14:textId="77777777" w:rsidR="00000787" w:rsidRPr="00F12DCA" w:rsidRDefault="00000787" w:rsidP="00000787">
            <w:pPr>
              <w:spacing w:after="0" w:line="240" w:lineRule="auto"/>
              <w:jc w:val="center"/>
              <w:rPr>
                <w:rFonts w:ascii="Arial" w:hAnsi="Arial" w:cs="Arial"/>
                <w:b/>
                <w:color w:val="000000"/>
                <w:sz w:val="20"/>
                <w:szCs w:val="20"/>
              </w:rPr>
            </w:pPr>
            <w:r w:rsidRPr="00F12DCA">
              <w:rPr>
                <w:rFonts w:ascii="Arial" w:hAnsi="Arial" w:cs="Arial"/>
                <w:b/>
                <w:color w:val="000000"/>
                <w:sz w:val="20"/>
                <w:szCs w:val="20"/>
              </w:rPr>
              <w:t xml:space="preserve">Izvršeno proračun </w:t>
            </w:r>
          </w:p>
          <w:p w14:paraId="20D591A1" w14:textId="1B765EFB" w:rsidR="00000787" w:rsidRPr="00F12DCA" w:rsidRDefault="00000787" w:rsidP="00000787">
            <w:pPr>
              <w:spacing w:after="0" w:line="240" w:lineRule="auto"/>
              <w:jc w:val="center"/>
              <w:rPr>
                <w:rFonts w:ascii="Arial" w:hAnsi="Arial" w:cs="Arial"/>
                <w:b/>
                <w:color w:val="000000"/>
                <w:sz w:val="20"/>
                <w:szCs w:val="20"/>
              </w:rPr>
            </w:pPr>
            <w:r w:rsidRPr="00F12DCA">
              <w:rPr>
                <w:rFonts w:ascii="Arial" w:hAnsi="Arial" w:cs="Arial"/>
                <w:b/>
                <w:color w:val="000000"/>
                <w:sz w:val="20"/>
                <w:szCs w:val="20"/>
              </w:rPr>
              <w:t>202</w:t>
            </w:r>
            <w:r w:rsidR="000E554E">
              <w:rPr>
                <w:rFonts w:ascii="Arial" w:hAnsi="Arial" w:cs="Arial"/>
                <w:b/>
                <w:color w:val="000000"/>
                <w:sz w:val="20"/>
                <w:szCs w:val="20"/>
              </w:rPr>
              <w:t>5</w:t>
            </w:r>
            <w:r w:rsidRPr="00F12DCA">
              <w:rPr>
                <w:rFonts w:ascii="Arial" w:hAnsi="Arial" w:cs="Arial"/>
                <w:b/>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7E79D6" w14:textId="0E65CC3C" w:rsidR="00000787" w:rsidRPr="00F12DCA" w:rsidRDefault="00000787" w:rsidP="00000787">
            <w:pPr>
              <w:spacing w:after="0" w:line="240" w:lineRule="auto"/>
              <w:jc w:val="center"/>
              <w:rPr>
                <w:rFonts w:ascii="Arial" w:hAnsi="Arial" w:cs="Arial"/>
                <w:b/>
                <w:color w:val="000000"/>
                <w:sz w:val="20"/>
                <w:szCs w:val="20"/>
              </w:rPr>
            </w:pPr>
            <w:r w:rsidRPr="00F12DCA">
              <w:rPr>
                <w:rFonts w:ascii="Arial" w:hAnsi="Arial" w:cs="Arial"/>
                <w:b/>
                <w:color w:val="000000"/>
                <w:sz w:val="20"/>
                <w:szCs w:val="20"/>
              </w:rPr>
              <w:t>Projekcija 202</w:t>
            </w:r>
            <w:r w:rsidR="000E554E">
              <w:rPr>
                <w:rFonts w:ascii="Arial" w:hAnsi="Arial" w:cs="Arial"/>
                <w:b/>
                <w:color w:val="000000"/>
                <w:sz w:val="20"/>
                <w:szCs w:val="20"/>
              </w:rPr>
              <w:t>6</w:t>
            </w:r>
            <w:r w:rsidRPr="00F12DCA">
              <w:rPr>
                <w:rFonts w:ascii="Arial" w:hAnsi="Arial" w:cs="Arial"/>
                <w:b/>
                <w:color w:val="000000"/>
                <w:sz w:val="20"/>
                <w:szCs w:val="20"/>
              </w:rPr>
              <w:t>.</w:t>
            </w:r>
          </w:p>
        </w:tc>
        <w:tc>
          <w:tcPr>
            <w:tcW w:w="1443" w:type="dxa"/>
            <w:tcBorders>
              <w:top w:val="single" w:sz="4" w:space="0" w:color="auto"/>
              <w:left w:val="nil"/>
              <w:bottom w:val="single" w:sz="4" w:space="0" w:color="auto"/>
              <w:right w:val="single" w:sz="4" w:space="0" w:color="auto"/>
            </w:tcBorders>
            <w:vAlign w:val="center"/>
          </w:tcPr>
          <w:p w14:paraId="1B14F8DC" w14:textId="56516ADF" w:rsidR="00000787" w:rsidRPr="00F12DCA" w:rsidRDefault="00000787" w:rsidP="00000787">
            <w:pPr>
              <w:spacing w:after="0" w:line="240" w:lineRule="auto"/>
              <w:jc w:val="center"/>
              <w:rPr>
                <w:rFonts w:ascii="Arial" w:hAnsi="Arial" w:cs="Arial"/>
                <w:b/>
                <w:color w:val="000000"/>
                <w:sz w:val="20"/>
                <w:szCs w:val="20"/>
              </w:rPr>
            </w:pPr>
            <w:r w:rsidRPr="00F12DCA">
              <w:rPr>
                <w:rFonts w:ascii="Arial" w:hAnsi="Arial" w:cs="Arial"/>
                <w:b/>
                <w:color w:val="000000"/>
                <w:sz w:val="20"/>
                <w:szCs w:val="20"/>
              </w:rPr>
              <w:t>Projekcija 202</w:t>
            </w:r>
            <w:r w:rsidR="000E554E">
              <w:rPr>
                <w:rFonts w:ascii="Arial" w:hAnsi="Arial" w:cs="Arial"/>
                <w:b/>
                <w:color w:val="000000"/>
                <w:sz w:val="20"/>
                <w:szCs w:val="20"/>
              </w:rPr>
              <w:t>7</w:t>
            </w:r>
            <w:r w:rsidRPr="00F12DCA">
              <w:rPr>
                <w:rFonts w:ascii="Arial" w:hAnsi="Arial" w:cs="Arial"/>
                <w:b/>
                <w:color w:val="000000"/>
                <w:sz w:val="20"/>
                <w:szCs w:val="20"/>
              </w:rPr>
              <w:t>.</w:t>
            </w:r>
          </w:p>
        </w:tc>
      </w:tr>
      <w:tr w:rsidR="000E554E" w:rsidRPr="00F12DCA" w14:paraId="26602FDF" w14:textId="77777777" w:rsidTr="00734D80">
        <w:trPr>
          <w:trHeight w:val="288"/>
          <w:jc w:val="center"/>
        </w:trPr>
        <w:tc>
          <w:tcPr>
            <w:tcW w:w="5379" w:type="dxa"/>
            <w:tcBorders>
              <w:top w:val="single" w:sz="4" w:space="0" w:color="auto"/>
              <w:left w:val="single" w:sz="4" w:space="0" w:color="auto"/>
              <w:bottom w:val="single" w:sz="4" w:space="0" w:color="auto"/>
              <w:right w:val="single" w:sz="4" w:space="0" w:color="auto"/>
            </w:tcBorders>
            <w:hideMark/>
          </w:tcPr>
          <w:p w14:paraId="0C52C750" w14:textId="77777777" w:rsidR="000E554E" w:rsidRPr="00F12DCA" w:rsidRDefault="000E554E" w:rsidP="000E554E">
            <w:pPr>
              <w:spacing w:after="0" w:line="240" w:lineRule="auto"/>
              <w:rPr>
                <w:rFonts w:ascii="Arial" w:hAnsi="Arial" w:cs="Arial"/>
                <w:color w:val="000000"/>
                <w:sz w:val="20"/>
                <w:szCs w:val="20"/>
              </w:rPr>
            </w:pPr>
            <w:r w:rsidRPr="00F12DCA">
              <w:rPr>
                <w:rFonts w:ascii="Arial" w:hAnsi="Arial" w:cs="Arial"/>
                <w:color w:val="000000"/>
                <w:sz w:val="20"/>
                <w:szCs w:val="20"/>
              </w:rPr>
              <w:t xml:space="preserve">Redovna djelatnost javne vatrogasne postrojbe </w:t>
            </w:r>
          </w:p>
        </w:tc>
        <w:tc>
          <w:tcPr>
            <w:tcW w:w="1569" w:type="dxa"/>
            <w:tcBorders>
              <w:top w:val="nil"/>
              <w:left w:val="nil"/>
              <w:bottom w:val="single" w:sz="4" w:space="0" w:color="auto"/>
              <w:right w:val="single" w:sz="4" w:space="0" w:color="auto"/>
            </w:tcBorders>
            <w:noWrap/>
            <w:vAlign w:val="center"/>
            <w:hideMark/>
          </w:tcPr>
          <w:p w14:paraId="5EB4F219" w14:textId="214F0B59" w:rsidR="000E554E" w:rsidRPr="00F12DCA" w:rsidRDefault="000E554E" w:rsidP="000E554E">
            <w:pPr>
              <w:spacing w:after="0" w:line="240" w:lineRule="auto"/>
              <w:jc w:val="center"/>
              <w:rPr>
                <w:rFonts w:ascii="Arial" w:hAnsi="Arial" w:cs="Arial"/>
                <w:color w:val="000000"/>
                <w:sz w:val="20"/>
                <w:szCs w:val="20"/>
              </w:rPr>
            </w:pPr>
            <w:r w:rsidRPr="00F12DCA">
              <w:rPr>
                <w:rFonts w:ascii="Arial" w:hAnsi="Arial" w:cs="Arial"/>
                <w:color w:val="000000"/>
                <w:sz w:val="20"/>
                <w:szCs w:val="20"/>
              </w:rPr>
              <w:t>634.283,24</w:t>
            </w:r>
          </w:p>
        </w:tc>
        <w:tc>
          <w:tcPr>
            <w:tcW w:w="1531" w:type="dxa"/>
            <w:tcBorders>
              <w:top w:val="nil"/>
              <w:left w:val="nil"/>
              <w:bottom w:val="single" w:sz="4" w:space="0" w:color="auto"/>
              <w:right w:val="single" w:sz="4" w:space="0" w:color="auto"/>
            </w:tcBorders>
            <w:noWrap/>
            <w:vAlign w:val="bottom"/>
            <w:hideMark/>
          </w:tcPr>
          <w:p w14:paraId="5EB87F19" w14:textId="6C574B39" w:rsidR="000E554E" w:rsidRPr="00F12DCA" w:rsidRDefault="00C552B3" w:rsidP="000E554E">
            <w:pPr>
              <w:spacing w:after="0" w:line="240" w:lineRule="auto"/>
              <w:jc w:val="center"/>
              <w:rPr>
                <w:rFonts w:ascii="Arial" w:hAnsi="Arial" w:cs="Arial"/>
                <w:color w:val="000000"/>
                <w:sz w:val="20"/>
                <w:szCs w:val="20"/>
              </w:rPr>
            </w:pPr>
            <w:r>
              <w:rPr>
                <w:rFonts w:ascii="Arial" w:hAnsi="Arial" w:cs="Arial"/>
                <w:color w:val="000000"/>
                <w:sz w:val="20"/>
                <w:szCs w:val="20"/>
              </w:rPr>
              <w:t>852.000</w:t>
            </w:r>
          </w:p>
        </w:tc>
        <w:tc>
          <w:tcPr>
            <w:tcW w:w="1642" w:type="dxa"/>
            <w:tcBorders>
              <w:top w:val="single" w:sz="4" w:space="0" w:color="auto"/>
              <w:left w:val="nil"/>
              <w:bottom w:val="single" w:sz="4" w:space="0" w:color="auto"/>
              <w:right w:val="single" w:sz="4" w:space="0" w:color="auto"/>
            </w:tcBorders>
            <w:vAlign w:val="center"/>
          </w:tcPr>
          <w:p w14:paraId="15A846FA" w14:textId="2A1B35C8" w:rsidR="000E554E" w:rsidRPr="00F12DCA" w:rsidRDefault="00C552B3" w:rsidP="000E554E">
            <w:pPr>
              <w:spacing w:after="0" w:line="240" w:lineRule="auto"/>
              <w:jc w:val="center"/>
              <w:rPr>
                <w:rFonts w:ascii="Arial" w:hAnsi="Arial" w:cs="Arial"/>
                <w:color w:val="000000"/>
                <w:sz w:val="20"/>
                <w:szCs w:val="20"/>
              </w:rPr>
            </w:pPr>
            <w:r>
              <w:rPr>
                <w:rFonts w:ascii="Arial" w:hAnsi="Arial" w:cs="Arial"/>
                <w:color w:val="000000"/>
                <w:sz w:val="20"/>
                <w:szCs w:val="20"/>
              </w:rPr>
              <w:t>758.068,84</w:t>
            </w:r>
          </w:p>
        </w:tc>
        <w:tc>
          <w:tcPr>
            <w:tcW w:w="1418" w:type="dxa"/>
            <w:tcBorders>
              <w:top w:val="nil"/>
              <w:left w:val="single" w:sz="4" w:space="0" w:color="auto"/>
              <w:bottom w:val="single" w:sz="4" w:space="0" w:color="auto"/>
              <w:right w:val="single" w:sz="4" w:space="0" w:color="auto"/>
            </w:tcBorders>
            <w:noWrap/>
            <w:vAlign w:val="bottom"/>
            <w:hideMark/>
          </w:tcPr>
          <w:p w14:paraId="66F0D000" w14:textId="4FF97C71" w:rsidR="000E554E" w:rsidRPr="00F12DCA" w:rsidRDefault="0060063E" w:rsidP="000E554E">
            <w:pPr>
              <w:spacing w:after="0" w:line="240" w:lineRule="auto"/>
              <w:jc w:val="center"/>
              <w:rPr>
                <w:rFonts w:ascii="Arial" w:hAnsi="Arial" w:cs="Arial"/>
                <w:color w:val="000000"/>
                <w:sz w:val="20"/>
                <w:szCs w:val="20"/>
              </w:rPr>
            </w:pPr>
            <w:r>
              <w:rPr>
                <w:rFonts w:ascii="Arial" w:hAnsi="Arial" w:cs="Arial"/>
                <w:color w:val="000000"/>
                <w:sz w:val="20"/>
                <w:szCs w:val="20"/>
              </w:rPr>
              <w:t>951.614</w:t>
            </w:r>
          </w:p>
        </w:tc>
        <w:tc>
          <w:tcPr>
            <w:tcW w:w="1443" w:type="dxa"/>
            <w:tcBorders>
              <w:top w:val="nil"/>
              <w:left w:val="nil"/>
              <w:bottom w:val="single" w:sz="4" w:space="0" w:color="auto"/>
              <w:right w:val="single" w:sz="4" w:space="0" w:color="auto"/>
            </w:tcBorders>
            <w:vAlign w:val="bottom"/>
          </w:tcPr>
          <w:p w14:paraId="3F687BBF" w14:textId="1B79A2B9" w:rsidR="000E554E" w:rsidRPr="00F12DCA" w:rsidRDefault="00C1294A" w:rsidP="000E554E">
            <w:pPr>
              <w:spacing w:after="0" w:line="240" w:lineRule="auto"/>
              <w:jc w:val="center"/>
              <w:rPr>
                <w:rFonts w:ascii="Arial" w:hAnsi="Arial" w:cs="Arial"/>
                <w:color w:val="000000"/>
                <w:sz w:val="20"/>
                <w:szCs w:val="20"/>
              </w:rPr>
            </w:pPr>
            <w:r>
              <w:rPr>
                <w:rFonts w:ascii="Arial" w:hAnsi="Arial" w:cs="Arial"/>
                <w:color w:val="000000"/>
                <w:sz w:val="20"/>
                <w:szCs w:val="20"/>
              </w:rPr>
              <w:t>1.013.014</w:t>
            </w:r>
          </w:p>
        </w:tc>
      </w:tr>
    </w:tbl>
    <w:p w14:paraId="53193D8D" w14:textId="77777777" w:rsidR="00F63556" w:rsidRPr="003A2F86" w:rsidRDefault="00F63556" w:rsidP="00F63556">
      <w:pPr>
        <w:spacing w:after="0" w:line="240" w:lineRule="auto"/>
        <w:rPr>
          <w:rFonts w:ascii="Arial" w:hAnsi="Arial" w:cs="Arial"/>
        </w:rPr>
      </w:pPr>
    </w:p>
    <w:p w14:paraId="0A5B2544" w14:textId="77777777" w:rsidR="00F63556" w:rsidRPr="003A2F86" w:rsidRDefault="00F63556" w:rsidP="003D6583">
      <w:pPr>
        <w:pBdr>
          <w:top w:val="single" w:sz="4" w:space="1" w:color="auto"/>
          <w:left w:val="single" w:sz="4" w:space="4" w:color="auto"/>
          <w:bottom w:val="single" w:sz="4" w:space="0" w:color="auto"/>
          <w:right w:val="single" w:sz="4" w:space="4" w:color="auto"/>
        </w:pBdr>
        <w:spacing w:after="0" w:line="240" w:lineRule="auto"/>
        <w:jc w:val="center"/>
        <w:rPr>
          <w:rFonts w:ascii="Arial" w:eastAsia="Calibri" w:hAnsi="Arial" w:cs="Arial"/>
          <w:b/>
        </w:rPr>
      </w:pPr>
      <w:r w:rsidRPr="003A2F86">
        <w:rPr>
          <w:rFonts w:ascii="Arial" w:eastAsia="Calibri" w:hAnsi="Arial" w:cs="Arial"/>
          <w:b/>
        </w:rPr>
        <w:t>OBRAZLOŽENJE PROGRAMA</w:t>
      </w:r>
    </w:p>
    <w:p w14:paraId="69A57026" w14:textId="77777777" w:rsidR="00F63556" w:rsidRPr="003A2F86" w:rsidRDefault="00F63556" w:rsidP="00F63556">
      <w:pPr>
        <w:spacing w:after="0" w:line="240" w:lineRule="auto"/>
        <w:rPr>
          <w:rFonts w:ascii="Arial" w:eastAsia="Calibri" w:hAnsi="Arial" w:cs="Arial"/>
        </w:rPr>
      </w:pPr>
    </w:p>
    <w:p w14:paraId="0ACC4B88" w14:textId="77777777" w:rsidR="00F63556" w:rsidRPr="003A2F86" w:rsidRDefault="00F63556">
      <w:pPr>
        <w:pStyle w:val="Odlomakpopisa"/>
        <w:numPr>
          <w:ilvl w:val="0"/>
          <w:numId w:val="33"/>
        </w:numPr>
        <w:pBdr>
          <w:top w:val="single" w:sz="4" w:space="1" w:color="auto"/>
          <w:left w:val="single" w:sz="4" w:space="0" w:color="auto"/>
          <w:bottom w:val="single" w:sz="4" w:space="1" w:color="auto"/>
          <w:right w:val="single" w:sz="4" w:space="4" w:color="auto"/>
        </w:pBdr>
        <w:ind w:left="3828" w:right="1948" w:hanging="851"/>
        <w:jc w:val="left"/>
        <w:rPr>
          <w:rFonts w:ascii="Arial" w:eastAsia="Calibri" w:hAnsi="Arial" w:cs="Arial"/>
          <w:lang w:eastAsia="hr-HR"/>
        </w:rPr>
      </w:pPr>
      <w:r w:rsidRPr="003A2F86">
        <w:rPr>
          <w:rFonts w:ascii="Arial" w:eastAsia="Calibri" w:hAnsi="Arial" w:cs="Arial"/>
          <w:b/>
        </w:rPr>
        <w:t>Procjena i ishodište potrebnih sredstava za aktivnosti unutar programa</w:t>
      </w:r>
    </w:p>
    <w:p w14:paraId="5A7A5F32" w14:textId="77777777" w:rsidR="00F63556" w:rsidRPr="003A2F86" w:rsidRDefault="00F63556" w:rsidP="00F63556">
      <w:pPr>
        <w:spacing w:after="0" w:line="240" w:lineRule="auto"/>
        <w:rPr>
          <w:rFonts w:ascii="Arial" w:eastAsia="Calibri" w:hAnsi="Arial" w:cs="Arial"/>
          <w:sz w:val="20"/>
          <w:szCs w:val="20"/>
        </w:rPr>
      </w:pPr>
    </w:p>
    <w:p w14:paraId="23A2E33F" w14:textId="17B68664" w:rsidR="00F63556" w:rsidRPr="003A2F86" w:rsidRDefault="00EF35EC" w:rsidP="00F63556">
      <w:pPr>
        <w:spacing w:after="0" w:line="240" w:lineRule="auto"/>
        <w:rPr>
          <w:rFonts w:ascii="Arial" w:eastAsia="Calibri" w:hAnsi="Arial" w:cs="Arial"/>
          <w:sz w:val="20"/>
          <w:szCs w:val="20"/>
        </w:rPr>
      </w:pPr>
      <w:r w:rsidRPr="003A2F86">
        <w:rPr>
          <w:rFonts w:ascii="Arial" w:eastAsia="Calibri" w:hAnsi="Arial" w:cs="Arial"/>
          <w:sz w:val="20"/>
          <w:szCs w:val="20"/>
        </w:rPr>
        <w:t>Izvršenje aktivnosti sadržanih u ovom programu za 2013.-202</w:t>
      </w:r>
      <w:r w:rsidR="00C1294A">
        <w:rPr>
          <w:rFonts w:ascii="Arial" w:eastAsia="Calibri" w:hAnsi="Arial" w:cs="Arial"/>
          <w:sz w:val="20"/>
          <w:szCs w:val="20"/>
        </w:rPr>
        <w:t>4</w:t>
      </w:r>
      <w:r w:rsidRPr="003A2F86">
        <w:rPr>
          <w:rFonts w:ascii="Arial" w:eastAsia="Calibri" w:hAnsi="Arial" w:cs="Arial"/>
          <w:sz w:val="20"/>
          <w:szCs w:val="20"/>
        </w:rPr>
        <w:t>., plan za 202</w:t>
      </w:r>
      <w:r w:rsidR="00C1294A">
        <w:rPr>
          <w:rFonts w:ascii="Arial" w:eastAsia="Calibri" w:hAnsi="Arial" w:cs="Arial"/>
          <w:sz w:val="20"/>
          <w:szCs w:val="20"/>
        </w:rPr>
        <w:t>5</w:t>
      </w:r>
      <w:r w:rsidRPr="003A2F86">
        <w:rPr>
          <w:rFonts w:ascii="Arial" w:eastAsia="Calibri" w:hAnsi="Arial" w:cs="Arial"/>
          <w:sz w:val="20"/>
          <w:szCs w:val="20"/>
        </w:rPr>
        <w:t>., izvršenje za 202</w:t>
      </w:r>
      <w:r w:rsidR="00C1294A">
        <w:rPr>
          <w:rFonts w:ascii="Arial" w:eastAsia="Calibri" w:hAnsi="Arial" w:cs="Arial"/>
          <w:sz w:val="20"/>
          <w:szCs w:val="20"/>
        </w:rPr>
        <w:t>5</w:t>
      </w:r>
      <w:r w:rsidRPr="003A2F86">
        <w:rPr>
          <w:rFonts w:ascii="Arial" w:eastAsia="Calibri" w:hAnsi="Arial" w:cs="Arial"/>
          <w:sz w:val="20"/>
          <w:szCs w:val="20"/>
        </w:rPr>
        <w:t>., projekcije za 202</w:t>
      </w:r>
      <w:r w:rsidR="00C1294A">
        <w:rPr>
          <w:rFonts w:ascii="Arial" w:eastAsia="Calibri" w:hAnsi="Arial" w:cs="Arial"/>
          <w:sz w:val="20"/>
          <w:szCs w:val="20"/>
        </w:rPr>
        <w:t>6</w:t>
      </w:r>
      <w:r w:rsidRPr="003A2F86">
        <w:rPr>
          <w:rFonts w:ascii="Arial" w:eastAsia="Calibri" w:hAnsi="Arial" w:cs="Arial"/>
          <w:sz w:val="20"/>
          <w:szCs w:val="20"/>
        </w:rPr>
        <w:t>.-202</w:t>
      </w:r>
      <w:r w:rsidR="00C1294A">
        <w:rPr>
          <w:rFonts w:ascii="Arial" w:eastAsia="Calibri" w:hAnsi="Arial" w:cs="Arial"/>
          <w:sz w:val="20"/>
          <w:szCs w:val="20"/>
        </w:rPr>
        <w:t>7</w:t>
      </w:r>
      <w:r w:rsidRPr="003A2F86">
        <w:rPr>
          <w:rFonts w:ascii="Arial" w:eastAsia="Calibri" w:hAnsi="Arial" w:cs="Arial"/>
          <w:sz w:val="20"/>
          <w:szCs w:val="20"/>
        </w:rPr>
        <w:t>. iskazuju se u valuti EURO kako slijedi:</w:t>
      </w:r>
    </w:p>
    <w:p w14:paraId="3AF4B8CF" w14:textId="77777777" w:rsidR="00F63556" w:rsidRPr="003A2F86" w:rsidRDefault="00F63556" w:rsidP="00F63556">
      <w:pPr>
        <w:spacing w:after="0" w:line="240" w:lineRule="auto"/>
        <w:rPr>
          <w:rFonts w:ascii="Arial" w:hAnsi="Arial" w:cs="Arial"/>
          <w:sz w:val="20"/>
          <w:szCs w:val="20"/>
        </w:rPr>
      </w:pPr>
    </w:p>
    <w:p w14:paraId="3E556859" w14:textId="05732255" w:rsidR="00F63556" w:rsidRPr="003A2F86" w:rsidRDefault="00F63556" w:rsidP="00F63556">
      <w:pPr>
        <w:spacing w:after="0" w:line="240" w:lineRule="auto"/>
        <w:rPr>
          <w:rFonts w:ascii="Arial" w:eastAsia="Calibri" w:hAnsi="Arial" w:cs="Arial"/>
          <w:sz w:val="20"/>
          <w:szCs w:val="20"/>
        </w:rPr>
      </w:pPr>
    </w:p>
    <w:p w14:paraId="400E42AA" w14:textId="6FE3419B" w:rsidR="00217044" w:rsidRPr="003A2F86" w:rsidRDefault="00C552B3" w:rsidP="00217044">
      <w:pPr>
        <w:shd w:val="clear" w:color="auto" w:fill="FFFFFF"/>
        <w:spacing w:after="0" w:line="240" w:lineRule="auto"/>
        <w:jc w:val="center"/>
        <w:rPr>
          <w:rFonts w:ascii="Arial" w:hAnsi="Arial" w:cs="Arial"/>
          <w:b/>
          <w:sz w:val="20"/>
          <w:szCs w:val="20"/>
        </w:rPr>
      </w:pPr>
      <w:r w:rsidRPr="00C552B3">
        <w:rPr>
          <w:noProof/>
        </w:rPr>
        <w:lastRenderedPageBreak/>
        <w:drawing>
          <wp:inline distT="0" distB="0" distL="0" distR="0" wp14:anchorId="229E4C75" wp14:editId="5FE2B9AE">
            <wp:extent cx="9251950" cy="1823085"/>
            <wp:effectExtent l="0" t="0" r="6350" b="5715"/>
            <wp:docPr id="783213765"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9251950" cy="1823085"/>
                    </a:xfrm>
                    <a:prstGeom prst="rect">
                      <a:avLst/>
                    </a:prstGeom>
                    <a:noFill/>
                    <a:ln>
                      <a:noFill/>
                    </a:ln>
                  </pic:spPr>
                </pic:pic>
              </a:graphicData>
            </a:graphic>
          </wp:inline>
        </w:drawing>
      </w:r>
    </w:p>
    <w:p w14:paraId="395ECBF8" w14:textId="77777777" w:rsidR="00217044" w:rsidRPr="003A2F86" w:rsidRDefault="00217044" w:rsidP="00000787">
      <w:pPr>
        <w:shd w:val="clear" w:color="auto" w:fill="FFFFFF"/>
        <w:spacing w:after="0" w:line="240" w:lineRule="auto"/>
        <w:jc w:val="right"/>
        <w:rPr>
          <w:rFonts w:ascii="Arial" w:hAnsi="Arial" w:cs="Arial"/>
          <w:b/>
          <w:sz w:val="20"/>
          <w:szCs w:val="20"/>
        </w:rPr>
      </w:pPr>
    </w:p>
    <w:p w14:paraId="55D3326C" w14:textId="7E2054B6" w:rsidR="00000787" w:rsidRPr="003A2F86" w:rsidRDefault="00000787" w:rsidP="00000787">
      <w:pPr>
        <w:shd w:val="clear" w:color="auto" w:fill="FFFFFF"/>
        <w:spacing w:after="0" w:line="240" w:lineRule="auto"/>
        <w:jc w:val="right"/>
        <w:rPr>
          <w:rFonts w:ascii="Arial" w:hAnsi="Arial" w:cs="Arial"/>
          <w:sz w:val="20"/>
          <w:szCs w:val="20"/>
        </w:rPr>
      </w:pPr>
      <w:r w:rsidRPr="003A2F86">
        <w:rPr>
          <w:rFonts w:ascii="Arial" w:hAnsi="Arial" w:cs="Arial"/>
          <w:b/>
          <w:sz w:val="20"/>
          <w:szCs w:val="20"/>
        </w:rPr>
        <w:t>RAZLOG ODSTUPANJA OD PROŠLOGODIŠNJIH PROJEKCIJA</w:t>
      </w:r>
      <w:r w:rsidRPr="003A2F86">
        <w:rPr>
          <w:rFonts w:ascii="Arial" w:hAnsi="Arial" w:cs="Arial"/>
          <w:sz w:val="20"/>
          <w:szCs w:val="20"/>
        </w:rPr>
        <w:t xml:space="preserve">: </w:t>
      </w:r>
    </w:p>
    <w:p w14:paraId="22423014" w14:textId="1F334D56" w:rsidR="00000787" w:rsidRPr="003A2F86" w:rsidRDefault="00000787" w:rsidP="00000787">
      <w:pPr>
        <w:shd w:val="clear" w:color="auto" w:fill="FFFFFF"/>
        <w:spacing w:after="0" w:line="240" w:lineRule="auto"/>
        <w:jc w:val="right"/>
        <w:rPr>
          <w:rFonts w:ascii="Arial" w:hAnsi="Arial" w:cs="Arial"/>
          <w:sz w:val="20"/>
          <w:szCs w:val="20"/>
        </w:rPr>
      </w:pPr>
      <w:r w:rsidRPr="003A2F86">
        <w:rPr>
          <w:rFonts w:ascii="Arial" w:hAnsi="Arial" w:cs="Arial"/>
          <w:sz w:val="20"/>
          <w:szCs w:val="20"/>
        </w:rPr>
        <w:t>Po navedenom programu nije bilo značajnijih odstupanja.</w:t>
      </w:r>
    </w:p>
    <w:p w14:paraId="603B36BF" w14:textId="77777777" w:rsidR="00000787" w:rsidRPr="003A2F86" w:rsidRDefault="00000787" w:rsidP="00000787">
      <w:pPr>
        <w:spacing w:after="0" w:line="240" w:lineRule="auto"/>
        <w:rPr>
          <w:rFonts w:ascii="Arial" w:eastAsia="Calibri" w:hAnsi="Arial" w:cs="Arial"/>
          <w:i/>
          <w:sz w:val="20"/>
          <w:szCs w:val="20"/>
        </w:rPr>
      </w:pPr>
      <w:r w:rsidRPr="003A2F86">
        <w:rPr>
          <w:rFonts w:ascii="Arial" w:eastAsia="Calibri" w:hAnsi="Arial" w:cs="Arial"/>
          <w:b/>
          <w:sz w:val="20"/>
          <w:szCs w:val="20"/>
        </w:rPr>
        <w:t>Ishodište i pokazatelji na kojima se zasnivaju izračuni i ocjene</w:t>
      </w:r>
      <w:r w:rsidRPr="003A2F86">
        <w:rPr>
          <w:rFonts w:ascii="Arial" w:eastAsia="Calibri" w:hAnsi="Arial" w:cs="Arial"/>
          <w:sz w:val="20"/>
          <w:szCs w:val="20"/>
        </w:rPr>
        <w:t xml:space="preserve"> </w:t>
      </w:r>
      <w:r w:rsidRPr="003A2F86">
        <w:rPr>
          <w:rFonts w:ascii="Arial" w:eastAsia="Calibri" w:hAnsi="Arial" w:cs="Arial"/>
          <w:b/>
          <w:sz w:val="20"/>
          <w:szCs w:val="20"/>
        </w:rPr>
        <w:t>potrebnih sredstava za provođenje programa:</w:t>
      </w:r>
      <w:r w:rsidRPr="003A2F86">
        <w:rPr>
          <w:rFonts w:ascii="Arial" w:eastAsia="Calibri" w:hAnsi="Arial" w:cs="Arial"/>
          <w:sz w:val="20"/>
          <w:szCs w:val="20"/>
        </w:rPr>
        <w:t xml:space="preserve"> Planske veličine su određene u predloženim iznosima temeljem ostvarenih ciljeva i postignutih rezultata iz prethodnih godina, te predviđanja promjena u izvršenju ciljeva u narednom razdoblju.</w:t>
      </w:r>
    </w:p>
    <w:p w14:paraId="5AB0222A" w14:textId="7286645E" w:rsidR="00000787" w:rsidRPr="003A2F86" w:rsidRDefault="00000787" w:rsidP="00000787">
      <w:pPr>
        <w:spacing w:after="0" w:line="240" w:lineRule="auto"/>
        <w:rPr>
          <w:rFonts w:ascii="Arial" w:eastAsia="Calibri" w:hAnsi="Arial" w:cs="Arial"/>
          <w:sz w:val="20"/>
          <w:szCs w:val="20"/>
        </w:rPr>
      </w:pPr>
      <w:r w:rsidRPr="003A2F86">
        <w:rPr>
          <w:rFonts w:ascii="Arial" w:eastAsia="Calibri" w:hAnsi="Arial" w:cs="Arial"/>
          <w:b/>
          <w:sz w:val="20"/>
          <w:szCs w:val="20"/>
        </w:rPr>
        <w:t>Izvještaj o postignutim ciljevima i rezultatima programa temeljenim na pokazateljima uspješnosti u prethodnoj godini</w:t>
      </w:r>
      <w:r w:rsidRPr="003A2F86">
        <w:rPr>
          <w:rFonts w:ascii="Arial" w:eastAsia="Calibri" w:hAnsi="Arial" w:cs="Arial"/>
          <w:sz w:val="20"/>
          <w:szCs w:val="20"/>
        </w:rPr>
        <w:t>: Izvršenje je u okviru očekivanih vrijednosti.</w:t>
      </w:r>
    </w:p>
    <w:p w14:paraId="65AAFF73" w14:textId="77777777" w:rsidR="00000787" w:rsidRPr="003A2F86" w:rsidRDefault="00000787" w:rsidP="00000787">
      <w:pPr>
        <w:autoSpaceDE w:val="0"/>
        <w:autoSpaceDN w:val="0"/>
        <w:adjustRightInd w:val="0"/>
        <w:spacing w:after="0" w:line="240" w:lineRule="auto"/>
        <w:rPr>
          <w:rFonts w:ascii="Arial" w:eastAsia="Calibri" w:hAnsi="Arial" w:cs="Arial"/>
          <w:sz w:val="20"/>
          <w:szCs w:val="20"/>
        </w:rPr>
      </w:pPr>
    </w:p>
    <w:p w14:paraId="6C16BD56" w14:textId="77777777" w:rsidR="00000787" w:rsidRPr="003A2F86" w:rsidRDefault="00000787">
      <w:pPr>
        <w:pStyle w:val="Odlomakpopisa"/>
        <w:numPr>
          <w:ilvl w:val="0"/>
          <w:numId w:val="33"/>
        </w:numPr>
        <w:pBdr>
          <w:top w:val="single" w:sz="4" w:space="1" w:color="auto"/>
          <w:left w:val="single" w:sz="4" w:space="0" w:color="auto"/>
          <w:bottom w:val="single" w:sz="4" w:space="1" w:color="auto"/>
          <w:right w:val="single" w:sz="4" w:space="4" w:color="auto"/>
        </w:pBdr>
        <w:ind w:right="3082"/>
        <w:rPr>
          <w:rFonts w:ascii="Arial" w:eastAsia="Calibri" w:hAnsi="Arial" w:cs="Arial"/>
          <w:b/>
        </w:rPr>
      </w:pPr>
      <w:r w:rsidRPr="003A2F86">
        <w:rPr>
          <w:rFonts w:ascii="Arial" w:eastAsia="Calibri" w:hAnsi="Arial" w:cs="Arial"/>
          <w:b/>
        </w:rPr>
        <w:t>Obrazloženje aktivnosti / projekata i pokazatelji uspješnosti</w:t>
      </w:r>
    </w:p>
    <w:p w14:paraId="08BD0D9D" w14:textId="77777777" w:rsidR="00F63556" w:rsidRPr="003A2F86" w:rsidRDefault="00F63556" w:rsidP="0004293C">
      <w:pPr>
        <w:spacing w:after="0" w:line="240" w:lineRule="auto"/>
        <w:rPr>
          <w:rFonts w:ascii="Arial" w:eastAsia="Calibri" w:hAnsi="Arial" w:cs="Arial"/>
          <w:sz w:val="20"/>
          <w:szCs w:val="20"/>
        </w:rPr>
      </w:pPr>
    </w:p>
    <w:p w14:paraId="0D23637F" w14:textId="718D5B5A" w:rsidR="0004293C" w:rsidRPr="003A2F86" w:rsidRDefault="0004293C" w:rsidP="0004293C">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sz w:val="20"/>
          <w:szCs w:val="20"/>
        </w:rPr>
        <w:t>Planirana sredstva za ostvarenje programa</w:t>
      </w:r>
      <w:r w:rsidR="00DD36C6" w:rsidRPr="003A2F86">
        <w:rPr>
          <w:rFonts w:ascii="Arial" w:eastAsia="Calibri" w:hAnsi="Arial" w:cs="Arial"/>
          <w:sz w:val="20"/>
          <w:szCs w:val="20"/>
        </w:rPr>
        <w:t xml:space="preserve"> 2071 </w:t>
      </w:r>
      <w:r w:rsidRPr="003A2F86">
        <w:rPr>
          <w:rFonts w:ascii="Arial" w:eastAsia="Calibri" w:hAnsi="Arial" w:cs="Arial"/>
          <w:sz w:val="20"/>
          <w:szCs w:val="20"/>
        </w:rPr>
        <w:t xml:space="preserve">iznose </w:t>
      </w:r>
      <w:r w:rsidR="00C552B3">
        <w:rPr>
          <w:rFonts w:ascii="Arial" w:eastAsia="Calibri" w:hAnsi="Arial" w:cs="Arial"/>
          <w:sz w:val="20"/>
          <w:szCs w:val="20"/>
        </w:rPr>
        <w:t>852.000</w:t>
      </w:r>
      <w:r w:rsidR="00000787" w:rsidRPr="003A2F86">
        <w:rPr>
          <w:rFonts w:ascii="Arial" w:eastAsia="Calibri" w:hAnsi="Arial" w:cs="Arial"/>
          <w:sz w:val="20"/>
          <w:szCs w:val="20"/>
        </w:rPr>
        <w:t xml:space="preserve"> €</w:t>
      </w:r>
      <w:r w:rsidRPr="003A2F86">
        <w:rPr>
          <w:rFonts w:ascii="Arial" w:eastAsia="Calibri" w:hAnsi="Arial" w:cs="Arial"/>
          <w:sz w:val="20"/>
          <w:szCs w:val="20"/>
        </w:rPr>
        <w:t xml:space="preserve">. Izvršeno je </w:t>
      </w:r>
      <w:r w:rsidR="00C552B3">
        <w:rPr>
          <w:rFonts w:ascii="Arial" w:eastAsia="Calibri" w:hAnsi="Arial" w:cs="Arial"/>
          <w:sz w:val="20"/>
          <w:szCs w:val="20"/>
        </w:rPr>
        <w:t>758.068,84</w:t>
      </w:r>
      <w:r w:rsidR="00217044" w:rsidRPr="003A2F86">
        <w:rPr>
          <w:rFonts w:ascii="Arial" w:eastAsia="Calibri" w:hAnsi="Arial" w:cs="Arial"/>
          <w:sz w:val="20"/>
          <w:szCs w:val="20"/>
        </w:rPr>
        <w:t xml:space="preserve"> </w:t>
      </w:r>
      <w:r w:rsidR="00000787" w:rsidRPr="003A2F86">
        <w:rPr>
          <w:rFonts w:ascii="Arial" w:eastAsia="Calibri" w:hAnsi="Arial" w:cs="Arial"/>
          <w:sz w:val="20"/>
          <w:szCs w:val="20"/>
        </w:rPr>
        <w:t>€</w:t>
      </w:r>
      <w:r w:rsidRPr="003A2F86">
        <w:rPr>
          <w:rFonts w:ascii="Arial" w:eastAsia="Calibri" w:hAnsi="Arial" w:cs="Arial"/>
          <w:sz w:val="20"/>
          <w:szCs w:val="20"/>
        </w:rPr>
        <w:t xml:space="preserve"> ili </w:t>
      </w:r>
      <w:r w:rsidR="00C552B3">
        <w:rPr>
          <w:rFonts w:ascii="Arial" w:eastAsia="Calibri" w:hAnsi="Arial" w:cs="Arial"/>
          <w:sz w:val="20"/>
          <w:szCs w:val="20"/>
        </w:rPr>
        <w:t>89</w:t>
      </w:r>
      <w:r w:rsidRPr="003A2F86">
        <w:rPr>
          <w:rFonts w:ascii="Arial" w:eastAsia="Calibri" w:hAnsi="Arial" w:cs="Arial"/>
          <w:sz w:val="20"/>
          <w:szCs w:val="20"/>
        </w:rPr>
        <w:t xml:space="preserve">%. </w:t>
      </w:r>
    </w:p>
    <w:p w14:paraId="21ACC3FF" w14:textId="77777777" w:rsidR="0004293C" w:rsidRPr="003A2F86" w:rsidRDefault="0004293C" w:rsidP="0004293C">
      <w:pPr>
        <w:autoSpaceDE w:val="0"/>
        <w:autoSpaceDN w:val="0"/>
        <w:adjustRightInd w:val="0"/>
        <w:spacing w:after="0" w:line="240" w:lineRule="auto"/>
        <w:jc w:val="both"/>
        <w:rPr>
          <w:rFonts w:ascii="Arial" w:eastAsia="Calibri" w:hAnsi="Arial" w:cs="Arial"/>
          <w:sz w:val="20"/>
          <w:szCs w:val="20"/>
        </w:rPr>
      </w:pPr>
    </w:p>
    <w:p w14:paraId="7BE7E4B3" w14:textId="609137E3" w:rsidR="0004293C" w:rsidRPr="003A2F86" w:rsidRDefault="0004293C" w:rsidP="0004293C">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Ustanova Javna vatrogasna postrojba, kao proračunski korisnik Općine, prema predanim financijskim izvještajima za siječanj – </w:t>
      </w:r>
      <w:r w:rsidR="00C552B3">
        <w:rPr>
          <w:rFonts w:ascii="Arial" w:eastAsia="Calibri" w:hAnsi="Arial" w:cs="Arial"/>
          <w:sz w:val="20"/>
          <w:szCs w:val="20"/>
        </w:rPr>
        <w:t>prosinac</w:t>
      </w:r>
      <w:r w:rsidRPr="003A2F86">
        <w:rPr>
          <w:rFonts w:ascii="Arial" w:eastAsia="Calibri" w:hAnsi="Arial" w:cs="Arial"/>
          <w:sz w:val="20"/>
          <w:szCs w:val="20"/>
        </w:rPr>
        <w:t xml:space="preserve"> 20</w:t>
      </w:r>
      <w:r w:rsidR="008217C8" w:rsidRPr="003A2F86">
        <w:rPr>
          <w:rFonts w:ascii="Arial" w:eastAsia="Calibri" w:hAnsi="Arial" w:cs="Arial"/>
          <w:sz w:val="20"/>
          <w:szCs w:val="20"/>
        </w:rPr>
        <w:t>2</w:t>
      </w:r>
      <w:r w:rsidR="00BD6AC6">
        <w:rPr>
          <w:rFonts w:ascii="Arial" w:eastAsia="Calibri" w:hAnsi="Arial" w:cs="Arial"/>
          <w:sz w:val="20"/>
          <w:szCs w:val="20"/>
        </w:rPr>
        <w:t>5</w:t>
      </w:r>
      <w:r w:rsidRPr="003A2F86">
        <w:rPr>
          <w:rFonts w:ascii="Arial" w:eastAsia="Calibri" w:hAnsi="Arial" w:cs="Arial"/>
          <w:sz w:val="20"/>
          <w:szCs w:val="20"/>
        </w:rPr>
        <w:t xml:space="preserve">. izvršila je rashode u ukupnom iznosu </w:t>
      </w:r>
      <w:r w:rsidR="00C552B3">
        <w:rPr>
          <w:rFonts w:ascii="Arial" w:eastAsia="Calibri" w:hAnsi="Arial" w:cs="Arial"/>
          <w:sz w:val="20"/>
          <w:szCs w:val="20"/>
        </w:rPr>
        <w:t>758.068,84</w:t>
      </w:r>
      <w:r w:rsidR="00B928D5" w:rsidRPr="003A2F86">
        <w:rPr>
          <w:rFonts w:ascii="Arial" w:eastAsia="Calibri" w:hAnsi="Arial" w:cs="Arial"/>
          <w:sz w:val="20"/>
          <w:szCs w:val="20"/>
        </w:rPr>
        <w:t xml:space="preserve"> €</w:t>
      </w:r>
      <w:r w:rsidRPr="003A2F86">
        <w:rPr>
          <w:rFonts w:ascii="Arial" w:eastAsia="Calibri" w:hAnsi="Arial" w:cs="Arial"/>
          <w:sz w:val="20"/>
          <w:szCs w:val="20"/>
        </w:rPr>
        <w:t xml:space="preserve">, a prihode u iznosu </w:t>
      </w:r>
      <w:r w:rsidR="00C552B3">
        <w:rPr>
          <w:rFonts w:ascii="Arial" w:eastAsia="Calibri" w:hAnsi="Arial" w:cs="Arial"/>
          <w:sz w:val="20"/>
          <w:szCs w:val="20"/>
        </w:rPr>
        <w:t>748.445,68</w:t>
      </w:r>
      <w:r w:rsidR="00000787" w:rsidRPr="003A2F86">
        <w:rPr>
          <w:rFonts w:ascii="Arial" w:eastAsia="Calibri" w:hAnsi="Arial" w:cs="Arial"/>
          <w:sz w:val="20"/>
          <w:szCs w:val="20"/>
        </w:rPr>
        <w:t xml:space="preserve"> €</w:t>
      </w:r>
      <w:r w:rsidRPr="003A2F86">
        <w:rPr>
          <w:rFonts w:ascii="Arial" w:eastAsia="Calibri" w:hAnsi="Arial" w:cs="Arial"/>
          <w:sz w:val="20"/>
          <w:szCs w:val="20"/>
        </w:rPr>
        <w:t xml:space="preserve">, te je ostvaren </w:t>
      </w:r>
      <w:r w:rsidR="00DD36C6" w:rsidRPr="003A2F86">
        <w:rPr>
          <w:rFonts w:ascii="Arial" w:eastAsia="Calibri" w:hAnsi="Arial" w:cs="Arial"/>
          <w:sz w:val="20"/>
          <w:szCs w:val="20"/>
        </w:rPr>
        <w:t xml:space="preserve">tekući </w:t>
      </w:r>
      <w:r w:rsidR="00C0677D" w:rsidRPr="003A2F86">
        <w:rPr>
          <w:rFonts w:ascii="Arial" w:eastAsia="Calibri" w:hAnsi="Arial" w:cs="Arial"/>
          <w:sz w:val="20"/>
          <w:szCs w:val="20"/>
        </w:rPr>
        <w:t>manjak</w:t>
      </w:r>
      <w:r w:rsidRPr="003A2F86">
        <w:rPr>
          <w:rFonts w:ascii="Arial" w:eastAsia="Calibri" w:hAnsi="Arial" w:cs="Arial"/>
          <w:sz w:val="20"/>
          <w:szCs w:val="20"/>
        </w:rPr>
        <w:t xml:space="preserve"> prihoda u iznosu </w:t>
      </w:r>
      <w:r w:rsidR="00C552B3">
        <w:rPr>
          <w:rFonts w:ascii="Arial" w:eastAsia="Calibri" w:hAnsi="Arial" w:cs="Arial"/>
          <w:sz w:val="20"/>
          <w:szCs w:val="20"/>
        </w:rPr>
        <w:t>9.623,16</w:t>
      </w:r>
      <w:r w:rsidR="00000787" w:rsidRPr="003A2F86">
        <w:rPr>
          <w:rFonts w:ascii="Arial" w:eastAsia="Calibri" w:hAnsi="Arial" w:cs="Arial"/>
          <w:sz w:val="20"/>
          <w:szCs w:val="20"/>
        </w:rPr>
        <w:t xml:space="preserve"> €</w:t>
      </w:r>
      <w:r w:rsidRPr="003A2F86">
        <w:rPr>
          <w:rFonts w:ascii="Arial" w:eastAsia="Calibri" w:hAnsi="Arial" w:cs="Arial"/>
          <w:sz w:val="20"/>
          <w:szCs w:val="20"/>
        </w:rPr>
        <w:t xml:space="preserve">. Iz prethodne godine prenesen je manjak prihoda u iznosu </w:t>
      </w:r>
      <w:r w:rsidR="00875337" w:rsidRPr="003A2F86">
        <w:rPr>
          <w:rFonts w:ascii="Arial" w:eastAsia="Calibri" w:hAnsi="Arial" w:cs="Arial"/>
          <w:sz w:val="20"/>
          <w:szCs w:val="20"/>
        </w:rPr>
        <w:t>-</w:t>
      </w:r>
      <w:r w:rsidR="00153DE2">
        <w:rPr>
          <w:rFonts w:ascii="Arial" w:eastAsia="Calibri" w:hAnsi="Arial" w:cs="Arial"/>
          <w:sz w:val="20"/>
          <w:szCs w:val="20"/>
        </w:rPr>
        <w:t>54.320,36</w:t>
      </w:r>
      <w:r w:rsidR="00000787" w:rsidRPr="003A2F86">
        <w:rPr>
          <w:rFonts w:ascii="Arial" w:eastAsia="Calibri" w:hAnsi="Arial" w:cs="Arial"/>
          <w:sz w:val="20"/>
          <w:szCs w:val="20"/>
        </w:rPr>
        <w:t xml:space="preserve"> €</w:t>
      </w:r>
      <w:r w:rsidRPr="003A2F86">
        <w:rPr>
          <w:rFonts w:ascii="Arial" w:eastAsia="Calibri" w:hAnsi="Arial" w:cs="Arial"/>
          <w:sz w:val="20"/>
          <w:szCs w:val="20"/>
        </w:rPr>
        <w:t xml:space="preserve">. </w:t>
      </w:r>
      <w:r w:rsidR="00000787" w:rsidRPr="003A2F86">
        <w:rPr>
          <w:rFonts w:ascii="Arial" w:eastAsia="Calibri" w:hAnsi="Arial" w:cs="Arial"/>
          <w:sz w:val="20"/>
          <w:szCs w:val="20"/>
        </w:rPr>
        <w:t xml:space="preserve">Za sljedeće razdoblje </w:t>
      </w:r>
      <w:r w:rsidR="00C0677D" w:rsidRPr="003A2F86">
        <w:rPr>
          <w:rFonts w:ascii="Arial" w:eastAsia="Calibri" w:hAnsi="Arial" w:cs="Arial"/>
          <w:sz w:val="20"/>
          <w:szCs w:val="20"/>
        </w:rPr>
        <w:t xml:space="preserve">manjak za pokriće iznosi </w:t>
      </w:r>
      <w:r w:rsidR="00C552B3">
        <w:rPr>
          <w:rFonts w:ascii="Arial" w:eastAsia="Calibri" w:hAnsi="Arial" w:cs="Arial"/>
          <w:sz w:val="20"/>
          <w:szCs w:val="20"/>
        </w:rPr>
        <w:t>-63.943,52</w:t>
      </w:r>
      <w:r w:rsidR="00C0677D" w:rsidRPr="003A2F86">
        <w:rPr>
          <w:rFonts w:ascii="Arial" w:eastAsia="Calibri" w:hAnsi="Arial" w:cs="Arial"/>
          <w:sz w:val="20"/>
          <w:szCs w:val="20"/>
        </w:rPr>
        <w:t xml:space="preserve"> €</w:t>
      </w:r>
      <w:r w:rsidRPr="003A2F86">
        <w:rPr>
          <w:rFonts w:ascii="Arial" w:eastAsia="Calibri" w:hAnsi="Arial" w:cs="Arial"/>
          <w:sz w:val="20"/>
          <w:szCs w:val="20"/>
        </w:rPr>
        <w:t xml:space="preserve">. </w:t>
      </w:r>
    </w:p>
    <w:p w14:paraId="0A3DA9C8" w14:textId="77777777" w:rsidR="0004293C" w:rsidRPr="003A2F86" w:rsidRDefault="0004293C" w:rsidP="0004293C">
      <w:pPr>
        <w:autoSpaceDE w:val="0"/>
        <w:autoSpaceDN w:val="0"/>
        <w:adjustRightInd w:val="0"/>
        <w:spacing w:after="0" w:line="240" w:lineRule="auto"/>
        <w:jc w:val="both"/>
        <w:rPr>
          <w:rFonts w:ascii="Arial" w:eastAsia="Calibri" w:hAnsi="Arial" w:cs="Arial"/>
          <w:sz w:val="20"/>
          <w:szCs w:val="20"/>
        </w:rPr>
      </w:pPr>
    </w:p>
    <w:p w14:paraId="7AA70FC8" w14:textId="4F32DF1E" w:rsidR="0004293C" w:rsidRPr="003A2F86" w:rsidRDefault="0004293C" w:rsidP="0004293C">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Na računu računskog plana 16721 – potraživanja za prihode proračunskih korisnika, na dan </w:t>
      </w:r>
      <w:r w:rsidR="00C0677D" w:rsidRPr="003A2F86">
        <w:rPr>
          <w:rFonts w:ascii="Arial" w:eastAsia="Calibri" w:hAnsi="Arial" w:cs="Arial"/>
          <w:sz w:val="20"/>
          <w:szCs w:val="20"/>
        </w:rPr>
        <w:t>31.12</w:t>
      </w:r>
      <w:r w:rsidR="00000787" w:rsidRPr="003A2F86">
        <w:rPr>
          <w:rFonts w:ascii="Arial" w:eastAsia="Calibri" w:hAnsi="Arial" w:cs="Arial"/>
          <w:sz w:val="20"/>
          <w:szCs w:val="20"/>
        </w:rPr>
        <w:t>.202</w:t>
      </w:r>
      <w:r w:rsidR="00153DE2">
        <w:rPr>
          <w:rFonts w:ascii="Arial" w:eastAsia="Calibri" w:hAnsi="Arial" w:cs="Arial"/>
          <w:sz w:val="20"/>
          <w:szCs w:val="20"/>
        </w:rPr>
        <w:t>4</w:t>
      </w:r>
      <w:r w:rsidR="00000787" w:rsidRPr="003A2F86">
        <w:rPr>
          <w:rFonts w:ascii="Arial" w:eastAsia="Calibri" w:hAnsi="Arial" w:cs="Arial"/>
          <w:sz w:val="20"/>
          <w:szCs w:val="20"/>
        </w:rPr>
        <w:t>.</w:t>
      </w:r>
      <w:r w:rsidRPr="003A2F86">
        <w:rPr>
          <w:rFonts w:ascii="Arial" w:eastAsia="Calibri" w:hAnsi="Arial" w:cs="Arial"/>
          <w:sz w:val="20"/>
          <w:szCs w:val="20"/>
        </w:rPr>
        <w:t xml:space="preserve"> proračunski korisnik </w:t>
      </w:r>
      <w:r w:rsidR="00930CD2" w:rsidRPr="003A2F86">
        <w:rPr>
          <w:rFonts w:ascii="Arial" w:eastAsia="Calibri" w:hAnsi="Arial" w:cs="Arial"/>
          <w:sz w:val="20"/>
          <w:szCs w:val="20"/>
        </w:rPr>
        <w:t>n</w:t>
      </w:r>
      <w:r w:rsidR="00875337" w:rsidRPr="003A2F86">
        <w:rPr>
          <w:rFonts w:ascii="Arial" w:eastAsia="Calibri" w:hAnsi="Arial" w:cs="Arial"/>
          <w:sz w:val="20"/>
          <w:szCs w:val="20"/>
        </w:rPr>
        <w:t>e</w:t>
      </w:r>
      <w:r w:rsidR="00930CD2" w:rsidRPr="003A2F86">
        <w:rPr>
          <w:rFonts w:ascii="Arial" w:eastAsia="Calibri" w:hAnsi="Arial" w:cs="Arial"/>
          <w:sz w:val="20"/>
          <w:szCs w:val="20"/>
        </w:rPr>
        <w:t>ma</w:t>
      </w:r>
      <w:r w:rsidRPr="003A2F86">
        <w:rPr>
          <w:rFonts w:ascii="Arial" w:eastAsia="Calibri" w:hAnsi="Arial" w:cs="Arial"/>
          <w:sz w:val="20"/>
          <w:szCs w:val="20"/>
        </w:rPr>
        <w:t xml:space="preserve"> vlastita</w:t>
      </w:r>
      <w:r w:rsidR="00875337" w:rsidRPr="003A2F86">
        <w:rPr>
          <w:rFonts w:ascii="Arial" w:eastAsia="Calibri" w:hAnsi="Arial" w:cs="Arial"/>
          <w:sz w:val="20"/>
          <w:szCs w:val="20"/>
        </w:rPr>
        <w:t xml:space="preserve"> sredstv</w:t>
      </w:r>
      <w:r w:rsidR="00217044" w:rsidRPr="003A2F86">
        <w:rPr>
          <w:rFonts w:ascii="Arial" w:eastAsia="Calibri" w:hAnsi="Arial" w:cs="Arial"/>
          <w:sz w:val="20"/>
          <w:szCs w:val="20"/>
        </w:rPr>
        <w:t xml:space="preserve">a, kao niti na dan </w:t>
      </w:r>
      <w:r w:rsidR="00C552B3">
        <w:rPr>
          <w:rFonts w:ascii="Arial" w:eastAsia="Calibri" w:hAnsi="Arial" w:cs="Arial"/>
          <w:sz w:val="20"/>
          <w:szCs w:val="20"/>
        </w:rPr>
        <w:t>31.12</w:t>
      </w:r>
      <w:r w:rsidR="00153DE2">
        <w:rPr>
          <w:rFonts w:ascii="Arial" w:eastAsia="Calibri" w:hAnsi="Arial" w:cs="Arial"/>
          <w:sz w:val="20"/>
          <w:szCs w:val="20"/>
        </w:rPr>
        <w:t>.2025</w:t>
      </w:r>
      <w:r w:rsidR="00217044" w:rsidRPr="003A2F86">
        <w:rPr>
          <w:rFonts w:ascii="Arial" w:eastAsia="Calibri" w:hAnsi="Arial" w:cs="Arial"/>
          <w:sz w:val="20"/>
          <w:szCs w:val="20"/>
        </w:rPr>
        <w:t>.</w:t>
      </w:r>
      <w:r w:rsidRPr="003A2F86">
        <w:rPr>
          <w:rFonts w:ascii="Arial" w:eastAsia="Calibri" w:hAnsi="Arial" w:cs="Arial"/>
          <w:sz w:val="20"/>
          <w:szCs w:val="20"/>
        </w:rPr>
        <w:t xml:space="preserve"> </w:t>
      </w:r>
    </w:p>
    <w:p w14:paraId="22DF4CC3" w14:textId="77777777" w:rsidR="00217044" w:rsidRPr="003A2F86" w:rsidRDefault="00217044" w:rsidP="00E97FF5">
      <w:pPr>
        <w:spacing w:after="0" w:line="240" w:lineRule="auto"/>
        <w:jc w:val="both"/>
        <w:rPr>
          <w:rFonts w:ascii="Arial" w:eastAsia="Calibri" w:hAnsi="Arial" w:cs="Arial"/>
          <w:sz w:val="18"/>
          <w:szCs w:val="18"/>
        </w:rPr>
      </w:pPr>
    </w:p>
    <w:p w14:paraId="2C41555B" w14:textId="75626C46" w:rsidR="0004293C" w:rsidRPr="003A2F86" w:rsidRDefault="0004293C" w:rsidP="0004293C">
      <w:pPr>
        <w:spacing w:after="0" w:line="240" w:lineRule="auto"/>
        <w:jc w:val="both"/>
        <w:rPr>
          <w:rFonts w:ascii="Arial" w:eastAsia="Calibri" w:hAnsi="Arial" w:cs="Arial"/>
          <w:sz w:val="20"/>
          <w:szCs w:val="20"/>
        </w:rPr>
      </w:pPr>
      <w:r w:rsidRPr="003A2F86">
        <w:rPr>
          <w:rFonts w:ascii="Arial" w:eastAsia="Calibri" w:hAnsi="Arial" w:cs="Arial"/>
          <w:sz w:val="20"/>
          <w:szCs w:val="20"/>
        </w:rPr>
        <w:t>Unutar programa izvode se slijedeće aktivnosti i projekti:</w:t>
      </w:r>
    </w:p>
    <w:p w14:paraId="617441DF" w14:textId="77777777" w:rsidR="0004293C" w:rsidRPr="003A2F86" w:rsidRDefault="0004293C" w:rsidP="0004293C">
      <w:pPr>
        <w:spacing w:after="0" w:line="240" w:lineRule="auto"/>
        <w:jc w:val="both"/>
        <w:rPr>
          <w:rFonts w:ascii="Arial" w:eastAsia="Calibri" w:hAnsi="Arial" w:cs="Arial"/>
          <w:sz w:val="20"/>
          <w:szCs w:val="20"/>
        </w:rPr>
      </w:pPr>
    </w:p>
    <w:p w14:paraId="336E8299" w14:textId="19E93F0B" w:rsidR="004D7C41" w:rsidRDefault="0004293C" w:rsidP="0004293C">
      <w:pPr>
        <w:spacing w:after="0" w:line="240" w:lineRule="auto"/>
        <w:jc w:val="both"/>
        <w:rPr>
          <w:rFonts w:ascii="Arial" w:eastAsia="Calibri" w:hAnsi="Arial" w:cs="Arial"/>
          <w:sz w:val="20"/>
          <w:szCs w:val="20"/>
        </w:rPr>
      </w:pPr>
      <w:r w:rsidRPr="003A2F86">
        <w:rPr>
          <w:rFonts w:ascii="Arial" w:eastAsia="Calibri" w:hAnsi="Arial" w:cs="Arial"/>
          <w:b/>
          <w:sz w:val="20"/>
          <w:szCs w:val="20"/>
        </w:rPr>
        <w:t>1. A207101: Redovna djelatnost JVP - minimalni financijski standard</w:t>
      </w:r>
      <w:r w:rsidRPr="003A2F86">
        <w:rPr>
          <w:rFonts w:ascii="Arial" w:eastAsia="Calibri" w:hAnsi="Arial" w:cs="Arial"/>
          <w:sz w:val="20"/>
          <w:szCs w:val="20"/>
        </w:rPr>
        <w:t xml:space="preserve"> - u sklopu navedene aktivnosti planiraju se rashodi za plaće djelatnika javne vatrogasne postrojbe s pripadajućim porezima i doprinosima, na</w:t>
      </w:r>
      <w:r w:rsidR="00A8623C" w:rsidRPr="003A2F86">
        <w:rPr>
          <w:rFonts w:ascii="Arial" w:eastAsia="Calibri" w:hAnsi="Arial" w:cs="Arial"/>
          <w:sz w:val="20"/>
          <w:szCs w:val="20"/>
        </w:rPr>
        <w:t>kn</w:t>
      </w:r>
      <w:r w:rsidRPr="003A2F86">
        <w:rPr>
          <w:rFonts w:ascii="Arial" w:eastAsia="Calibri" w:hAnsi="Arial" w:cs="Arial"/>
          <w:sz w:val="20"/>
          <w:szCs w:val="20"/>
        </w:rPr>
        <w:t xml:space="preserve">ade za prijevoz na posao i s posla, energiju, gorivo, uredski materijal, druge materijalne rashode, materijal i usluge za tekuće i investicijsko održavanje, usluge telefona, komunalne usluge. Planirana sredstva za provođenje navedene aktivnosti iznose </w:t>
      </w:r>
      <w:r w:rsidR="00C552B3">
        <w:rPr>
          <w:rFonts w:ascii="Arial" w:eastAsia="Calibri" w:hAnsi="Arial" w:cs="Arial"/>
          <w:sz w:val="20"/>
          <w:szCs w:val="20"/>
        </w:rPr>
        <w:t>312.246</w:t>
      </w:r>
      <w:r w:rsidR="00000787" w:rsidRPr="003A2F86">
        <w:rPr>
          <w:rFonts w:ascii="Arial" w:eastAsia="Calibri" w:hAnsi="Arial" w:cs="Arial"/>
          <w:sz w:val="20"/>
          <w:szCs w:val="20"/>
        </w:rPr>
        <w:t xml:space="preserve"> €</w:t>
      </w:r>
      <w:r w:rsidRPr="003A2F86">
        <w:rPr>
          <w:rFonts w:ascii="Arial" w:eastAsia="Calibri" w:hAnsi="Arial" w:cs="Arial"/>
          <w:sz w:val="20"/>
          <w:szCs w:val="20"/>
        </w:rPr>
        <w:t xml:space="preserve"> a rashodi su izvršeni u </w:t>
      </w:r>
      <w:r w:rsidR="00334FC7" w:rsidRPr="003A2F86">
        <w:rPr>
          <w:rFonts w:ascii="Arial" w:eastAsia="Calibri" w:hAnsi="Arial" w:cs="Arial"/>
          <w:sz w:val="20"/>
          <w:szCs w:val="20"/>
        </w:rPr>
        <w:t>iznosu</w:t>
      </w:r>
      <w:r w:rsidR="002F1818" w:rsidRPr="003A2F86">
        <w:rPr>
          <w:rFonts w:ascii="Arial" w:eastAsia="Calibri" w:hAnsi="Arial" w:cs="Arial"/>
          <w:sz w:val="20"/>
          <w:szCs w:val="20"/>
        </w:rPr>
        <w:t xml:space="preserve"> </w:t>
      </w:r>
      <w:r w:rsidR="00C552B3">
        <w:rPr>
          <w:rFonts w:ascii="Arial" w:eastAsia="Calibri" w:hAnsi="Arial" w:cs="Arial"/>
          <w:sz w:val="20"/>
          <w:szCs w:val="20"/>
        </w:rPr>
        <w:t>312.246</w:t>
      </w:r>
      <w:r w:rsidR="00000787" w:rsidRPr="003A2F86">
        <w:rPr>
          <w:rFonts w:ascii="Arial" w:eastAsia="Calibri" w:hAnsi="Arial" w:cs="Arial"/>
          <w:sz w:val="20"/>
          <w:szCs w:val="20"/>
        </w:rPr>
        <w:t xml:space="preserve"> €</w:t>
      </w:r>
      <w:r w:rsidRPr="003A2F86">
        <w:rPr>
          <w:rFonts w:ascii="Arial" w:eastAsia="Calibri" w:hAnsi="Arial" w:cs="Arial"/>
          <w:sz w:val="20"/>
          <w:szCs w:val="20"/>
        </w:rPr>
        <w:t xml:space="preserve">. Sredstva za financiranje decentralizirane funkcije vatrogastva se doznačuju iz državnog proračuna. </w:t>
      </w:r>
    </w:p>
    <w:p w14:paraId="44100298" w14:textId="1472BD71" w:rsidR="0004293C" w:rsidRPr="003A2F86" w:rsidRDefault="0004293C" w:rsidP="0004293C">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Rashodi za plaće (31) iz minimalnog financijskog standarda izvršeni su u iznosu </w:t>
      </w:r>
      <w:r w:rsidR="00AD4859">
        <w:rPr>
          <w:rFonts w:ascii="Arial" w:eastAsia="Calibri" w:hAnsi="Arial" w:cs="Arial"/>
          <w:sz w:val="20"/>
          <w:szCs w:val="20"/>
        </w:rPr>
        <w:t>304.246</w:t>
      </w:r>
      <w:r w:rsidR="00000787" w:rsidRPr="003A2F86">
        <w:rPr>
          <w:rFonts w:ascii="Arial" w:eastAsia="Calibri" w:hAnsi="Arial" w:cs="Arial"/>
          <w:sz w:val="20"/>
          <w:szCs w:val="20"/>
        </w:rPr>
        <w:t xml:space="preserve"> €</w:t>
      </w:r>
      <w:r w:rsidRPr="003A2F86">
        <w:rPr>
          <w:rFonts w:ascii="Arial" w:eastAsia="Calibri" w:hAnsi="Arial" w:cs="Arial"/>
          <w:sz w:val="20"/>
          <w:szCs w:val="20"/>
        </w:rPr>
        <w:t xml:space="preserve"> i to bruto plaće (311), doprinosi na plaće (313)</w:t>
      </w:r>
      <w:r w:rsidR="00217044" w:rsidRPr="003A2F86">
        <w:rPr>
          <w:rFonts w:ascii="Arial" w:eastAsia="Calibri" w:hAnsi="Arial" w:cs="Arial"/>
          <w:sz w:val="20"/>
          <w:szCs w:val="20"/>
        </w:rPr>
        <w:t xml:space="preserve">, </w:t>
      </w:r>
      <w:r w:rsidR="004D7C41">
        <w:rPr>
          <w:rFonts w:ascii="Arial" w:eastAsia="Calibri" w:hAnsi="Arial" w:cs="Arial"/>
          <w:sz w:val="20"/>
          <w:szCs w:val="20"/>
        </w:rPr>
        <w:t xml:space="preserve">te </w:t>
      </w:r>
      <w:r w:rsidRPr="003A2F86">
        <w:rPr>
          <w:rFonts w:ascii="Arial" w:eastAsia="Calibri" w:hAnsi="Arial" w:cs="Arial"/>
          <w:sz w:val="20"/>
          <w:szCs w:val="20"/>
        </w:rPr>
        <w:t xml:space="preserve">ostali rashodi za zaposlene (312). </w:t>
      </w:r>
    </w:p>
    <w:p w14:paraId="3540615A" w14:textId="77777777" w:rsidR="00A30B1C" w:rsidRPr="003A2F86" w:rsidRDefault="00A30B1C" w:rsidP="0004293C">
      <w:pPr>
        <w:spacing w:after="0" w:line="240" w:lineRule="auto"/>
        <w:jc w:val="both"/>
        <w:rPr>
          <w:rFonts w:ascii="Arial" w:eastAsia="Times New Roman" w:hAnsi="Arial" w:cs="Arial"/>
          <w:sz w:val="20"/>
          <w:szCs w:val="20"/>
        </w:rPr>
      </w:pPr>
    </w:p>
    <w:p w14:paraId="2684C481" w14:textId="74056A88" w:rsidR="00D25E97" w:rsidRPr="003A2F86" w:rsidRDefault="00D25E97" w:rsidP="0004293C">
      <w:pPr>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lastRenderedPageBreak/>
        <w:t xml:space="preserve">Rashodi za naknade troškova zaposlenim (321) se odnose na prijevoz zaposlenika na posao i s posla i izvršeni su u iznosu </w:t>
      </w:r>
      <w:r w:rsidR="00AD4859">
        <w:rPr>
          <w:rFonts w:ascii="Arial" w:eastAsia="Times New Roman" w:hAnsi="Arial" w:cs="Arial"/>
          <w:sz w:val="20"/>
          <w:szCs w:val="20"/>
        </w:rPr>
        <w:t>8.000</w:t>
      </w:r>
      <w:r w:rsidR="004D7C41">
        <w:rPr>
          <w:rFonts w:ascii="Arial" w:eastAsia="Times New Roman" w:hAnsi="Arial" w:cs="Arial"/>
          <w:sz w:val="20"/>
          <w:szCs w:val="20"/>
        </w:rPr>
        <w:t xml:space="preserve"> </w:t>
      </w:r>
      <w:r w:rsidRPr="003A2F86">
        <w:rPr>
          <w:rFonts w:ascii="Arial" w:eastAsia="Times New Roman" w:hAnsi="Arial" w:cs="Arial"/>
          <w:sz w:val="20"/>
          <w:szCs w:val="20"/>
        </w:rPr>
        <w:t>€.</w:t>
      </w:r>
    </w:p>
    <w:p w14:paraId="75AAE975" w14:textId="77777777" w:rsidR="00D25E97" w:rsidRPr="003A2F86" w:rsidRDefault="00D25E97" w:rsidP="0004293C">
      <w:pPr>
        <w:spacing w:after="0" w:line="240" w:lineRule="auto"/>
        <w:jc w:val="both"/>
        <w:rPr>
          <w:rFonts w:ascii="Arial" w:eastAsia="Times New Roman" w:hAnsi="Arial" w:cs="Arial"/>
          <w:sz w:val="20"/>
          <w:szCs w:val="20"/>
        </w:rPr>
      </w:pPr>
    </w:p>
    <w:p w14:paraId="01E39543" w14:textId="77B98D5A" w:rsidR="0004293C" w:rsidRPr="003A2F86" w:rsidRDefault="0004293C" w:rsidP="0004293C">
      <w:pPr>
        <w:spacing w:after="0" w:line="240" w:lineRule="auto"/>
        <w:jc w:val="both"/>
        <w:rPr>
          <w:rFonts w:ascii="Arial" w:eastAsia="Calibri" w:hAnsi="Arial" w:cs="Arial"/>
          <w:sz w:val="20"/>
          <w:szCs w:val="20"/>
        </w:rPr>
      </w:pPr>
      <w:r w:rsidRPr="003A2F86">
        <w:rPr>
          <w:rFonts w:ascii="Arial" w:eastAsia="Times New Roman" w:hAnsi="Arial" w:cs="Arial"/>
          <w:sz w:val="20"/>
          <w:szCs w:val="20"/>
        </w:rPr>
        <w:t>Odluka o minimalnim financijskim standardima za obavljanje djelatnosti javnih vatrogasnih postrojbi u 20</w:t>
      </w:r>
      <w:r w:rsidR="00F67580" w:rsidRPr="003A2F86">
        <w:rPr>
          <w:rFonts w:ascii="Arial" w:eastAsia="Times New Roman" w:hAnsi="Arial" w:cs="Arial"/>
          <w:sz w:val="20"/>
          <w:szCs w:val="20"/>
        </w:rPr>
        <w:t>2</w:t>
      </w:r>
      <w:r w:rsidR="00096AE7">
        <w:rPr>
          <w:rFonts w:ascii="Arial" w:eastAsia="Times New Roman" w:hAnsi="Arial" w:cs="Arial"/>
          <w:sz w:val="20"/>
          <w:szCs w:val="20"/>
        </w:rPr>
        <w:t>5</w:t>
      </w:r>
      <w:r w:rsidRPr="003A2F86">
        <w:rPr>
          <w:rFonts w:ascii="Arial" w:eastAsia="Times New Roman" w:hAnsi="Arial" w:cs="Arial"/>
          <w:sz w:val="20"/>
          <w:szCs w:val="20"/>
        </w:rPr>
        <w:t xml:space="preserve">. iz </w:t>
      </w:r>
      <w:r w:rsidR="00A41B7E" w:rsidRPr="003A2F86">
        <w:rPr>
          <w:rFonts w:ascii="Arial" w:eastAsia="Times New Roman" w:hAnsi="Arial" w:cs="Arial"/>
          <w:sz w:val="20"/>
          <w:szCs w:val="20"/>
        </w:rPr>
        <w:t>siječnja</w:t>
      </w:r>
      <w:r w:rsidRPr="003A2F86">
        <w:rPr>
          <w:rFonts w:ascii="Arial" w:eastAsia="Times New Roman" w:hAnsi="Arial" w:cs="Arial"/>
          <w:sz w:val="20"/>
          <w:szCs w:val="20"/>
        </w:rPr>
        <w:t xml:space="preserve"> 20</w:t>
      </w:r>
      <w:r w:rsidR="00FE0073" w:rsidRPr="003A2F86">
        <w:rPr>
          <w:rFonts w:ascii="Arial" w:eastAsia="Times New Roman" w:hAnsi="Arial" w:cs="Arial"/>
          <w:sz w:val="20"/>
          <w:szCs w:val="20"/>
        </w:rPr>
        <w:t>2</w:t>
      </w:r>
      <w:r w:rsidR="00096AE7">
        <w:rPr>
          <w:rFonts w:ascii="Arial" w:eastAsia="Times New Roman" w:hAnsi="Arial" w:cs="Arial"/>
          <w:sz w:val="20"/>
          <w:szCs w:val="20"/>
        </w:rPr>
        <w:t>5</w:t>
      </w:r>
      <w:r w:rsidRPr="003A2F86">
        <w:rPr>
          <w:rFonts w:ascii="Arial" w:eastAsia="Times New Roman" w:hAnsi="Arial" w:cs="Arial"/>
          <w:sz w:val="20"/>
          <w:szCs w:val="20"/>
        </w:rPr>
        <w:t>. objavlje</w:t>
      </w:r>
      <w:r w:rsidR="003E5D67" w:rsidRPr="003A2F86">
        <w:rPr>
          <w:rFonts w:ascii="Arial" w:eastAsia="Times New Roman" w:hAnsi="Arial" w:cs="Arial"/>
          <w:sz w:val="20"/>
          <w:szCs w:val="20"/>
        </w:rPr>
        <w:t xml:space="preserve">na je u Narodnim novinama broj </w:t>
      </w:r>
      <w:r w:rsidR="0034205F">
        <w:rPr>
          <w:rFonts w:ascii="Arial" w:eastAsia="Times New Roman" w:hAnsi="Arial" w:cs="Arial"/>
          <w:sz w:val="20"/>
          <w:szCs w:val="20"/>
        </w:rPr>
        <w:t>16</w:t>
      </w:r>
      <w:r w:rsidR="002C503D">
        <w:rPr>
          <w:rFonts w:ascii="Arial" w:eastAsia="Times New Roman" w:hAnsi="Arial" w:cs="Arial"/>
          <w:sz w:val="20"/>
          <w:szCs w:val="20"/>
        </w:rPr>
        <w:t>/</w:t>
      </w:r>
      <w:r w:rsidR="00D25E97" w:rsidRPr="003A2F86">
        <w:rPr>
          <w:rFonts w:ascii="Arial" w:eastAsia="Times New Roman" w:hAnsi="Arial" w:cs="Arial"/>
          <w:sz w:val="20"/>
          <w:szCs w:val="20"/>
        </w:rPr>
        <w:t>202</w:t>
      </w:r>
      <w:r w:rsidR="0034205F">
        <w:rPr>
          <w:rFonts w:ascii="Arial" w:eastAsia="Times New Roman" w:hAnsi="Arial" w:cs="Arial"/>
          <w:sz w:val="20"/>
          <w:szCs w:val="20"/>
        </w:rPr>
        <w:t>5</w:t>
      </w:r>
      <w:r w:rsidRPr="003A2F86">
        <w:rPr>
          <w:rFonts w:ascii="Arial" w:eastAsia="Times New Roman" w:hAnsi="Arial" w:cs="Arial"/>
          <w:sz w:val="20"/>
          <w:szCs w:val="20"/>
        </w:rPr>
        <w:t xml:space="preserve"> i spomenutom odlukom utvrđeni su minimalni standardi za Javnu vatrogasnu postrojbu Konavle u iznosu </w:t>
      </w:r>
      <w:r w:rsidR="0034205F">
        <w:rPr>
          <w:rFonts w:ascii="Arial" w:hAnsi="Arial" w:cs="Arial"/>
          <w:b/>
          <w:sz w:val="20"/>
          <w:szCs w:val="20"/>
        </w:rPr>
        <w:t>312.246</w:t>
      </w:r>
      <w:r w:rsidR="00A41B7E" w:rsidRPr="003A2F86">
        <w:rPr>
          <w:rFonts w:ascii="Arial" w:hAnsi="Arial" w:cs="Arial"/>
          <w:b/>
          <w:sz w:val="20"/>
          <w:szCs w:val="20"/>
        </w:rPr>
        <w:t xml:space="preserve"> €</w:t>
      </w:r>
      <w:r w:rsidR="00A41B7E" w:rsidRPr="003A2F86">
        <w:rPr>
          <w:rFonts w:ascii="Arial" w:eastAsia="Calibri" w:hAnsi="Arial" w:cs="Arial"/>
          <w:sz w:val="20"/>
          <w:szCs w:val="20"/>
        </w:rPr>
        <w:t xml:space="preserve">. </w:t>
      </w:r>
    </w:p>
    <w:p w14:paraId="12E1DD78" w14:textId="77777777" w:rsidR="0004293C" w:rsidRPr="003A2F86" w:rsidRDefault="0004293C" w:rsidP="0004293C">
      <w:pPr>
        <w:spacing w:after="0" w:line="240" w:lineRule="auto"/>
        <w:jc w:val="both"/>
        <w:rPr>
          <w:rFonts w:ascii="Arial" w:eastAsia="Calibri" w:hAnsi="Arial" w:cs="Arial"/>
          <w:sz w:val="20"/>
          <w:szCs w:val="20"/>
        </w:rPr>
      </w:pPr>
    </w:p>
    <w:p w14:paraId="7DFA0BED" w14:textId="4F531DC4" w:rsidR="0004293C" w:rsidRPr="003A2F86" w:rsidRDefault="0004293C" w:rsidP="0004293C">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U Službenom glasniku Općine Konavle </w:t>
      </w:r>
      <w:r w:rsidR="00AD4859">
        <w:rPr>
          <w:rFonts w:ascii="Arial" w:eastAsia="Calibri" w:hAnsi="Arial" w:cs="Arial"/>
          <w:sz w:val="20"/>
          <w:szCs w:val="20"/>
        </w:rPr>
        <w:t>7/2025 je</w:t>
      </w:r>
      <w:r w:rsidRPr="003A2F86">
        <w:rPr>
          <w:rFonts w:ascii="Arial" w:eastAsia="Calibri" w:hAnsi="Arial" w:cs="Arial"/>
          <w:sz w:val="20"/>
          <w:szCs w:val="20"/>
        </w:rPr>
        <w:t xml:space="preserve"> objavljena Odluka o kriterijima za financiranje Javne vatrogasne postrojbe Konavle u 20</w:t>
      </w:r>
      <w:r w:rsidR="002E2FE4" w:rsidRPr="003A2F86">
        <w:rPr>
          <w:rFonts w:ascii="Arial" w:eastAsia="Calibri" w:hAnsi="Arial" w:cs="Arial"/>
          <w:sz w:val="20"/>
          <w:szCs w:val="20"/>
        </w:rPr>
        <w:t>2</w:t>
      </w:r>
      <w:r w:rsidR="00D87CA8">
        <w:rPr>
          <w:rFonts w:ascii="Arial" w:eastAsia="Calibri" w:hAnsi="Arial" w:cs="Arial"/>
          <w:sz w:val="20"/>
          <w:szCs w:val="20"/>
        </w:rPr>
        <w:t>5</w:t>
      </w:r>
      <w:r w:rsidRPr="003A2F86">
        <w:rPr>
          <w:rFonts w:ascii="Arial" w:eastAsia="Calibri" w:hAnsi="Arial" w:cs="Arial"/>
          <w:sz w:val="20"/>
          <w:szCs w:val="20"/>
        </w:rPr>
        <w:t>. godini</w:t>
      </w:r>
      <w:r w:rsidR="00FD1162" w:rsidRPr="003A2F86">
        <w:rPr>
          <w:rFonts w:ascii="Arial" w:eastAsia="Calibri" w:hAnsi="Arial" w:cs="Arial"/>
          <w:sz w:val="20"/>
          <w:szCs w:val="20"/>
        </w:rPr>
        <w:t>.</w:t>
      </w:r>
    </w:p>
    <w:p w14:paraId="7CA870F0" w14:textId="77777777" w:rsidR="0004293C" w:rsidRPr="003A2F86" w:rsidRDefault="0004293C" w:rsidP="0004293C">
      <w:pPr>
        <w:spacing w:after="0" w:line="240" w:lineRule="auto"/>
        <w:jc w:val="both"/>
        <w:rPr>
          <w:rFonts w:ascii="Arial" w:eastAsia="Calibri" w:hAnsi="Arial" w:cs="Arial"/>
          <w:sz w:val="20"/>
          <w:szCs w:val="20"/>
        </w:rPr>
      </w:pPr>
    </w:p>
    <w:p w14:paraId="45824503" w14:textId="47991321" w:rsidR="006B2821" w:rsidRPr="003A2F86" w:rsidRDefault="0004293C" w:rsidP="0004293C">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Rashodi za plaće (31) izvršavaju se putem dvije aktivnosti i to iz sredstava decentralizirane funkcije - aktivnost A207101 i sredstava općinskog proračuna - aktivnost A207102. Sveukupno rashodi za zaposlene proračunskog korisnika (31) iznose </w:t>
      </w:r>
      <w:r w:rsidR="00AD4859">
        <w:rPr>
          <w:rFonts w:ascii="Arial" w:eastAsia="Calibri" w:hAnsi="Arial" w:cs="Arial"/>
          <w:sz w:val="20"/>
          <w:szCs w:val="20"/>
        </w:rPr>
        <w:t>688.917,75</w:t>
      </w:r>
      <w:r w:rsidR="006B2821" w:rsidRPr="003A2F86">
        <w:rPr>
          <w:rFonts w:ascii="Arial" w:eastAsia="Calibri" w:hAnsi="Arial" w:cs="Arial"/>
          <w:sz w:val="20"/>
          <w:szCs w:val="20"/>
        </w:rPr>
        <w:t xml:space="preserve"> €</w:t>
      </w:r>
      <w:r w:rsidRPr="003A2F86">
        <w:rPr>
          <w:rFonts w:ascii="Arial" w:eastAsia="Calibri" w:hAnsi="Arial" w:cs="Arial"/>
          <w:sz w:val="20"/>
          <w:szCs w:val="20"/>
        </w:rPr>
        <w:t xml:space="preserve"> od čega iz sredstava decentralizacije </w:t>
      </w:r>
      <w:r w:rsidR="00AD4859">
        <w:rPr>
          <w:rFonts w:ascii="Arial" w:eastAsia="Calibri" w:hAnsi="Arial" w:cs="Arial"/>
          <w:sz w:val="20"/>
          <w:szCs w:val="20"/>
        </w:rPr>
        <w:t>304.246</w:t>
      </w:r>
      <w:r w:rsidR="006B2821" w:rsidRPr="003A2F86">
        <w:rPr>
          <w:rFonts w:ascii="Arial" w:eastAsia="Calibri" w:hAnsi="Arial" w:cs="Arial"/>
          <w:sz w:val="20"/>
          <w:szCs w:val="20"/>
        </w:rPr>
        <w:t xml:space="preserve"> €</w:t>
      </w:r>
      <w:r w:rsidRPr="003A2F86">
        <w:rPr>
          <w:rFonts w:ascii="Arial" w:eastAsia="Calibri" w:hAnsi="Arial" w:cs="Arial"/>
          <w:sz w:val="20"/>
          <w:szCs w:val="20"/>
        </w:rPr>
        <w:t xml:space="preserve"> (A207101) i sredstava proračuna </w:t>
      </w:r>
      <w:r w:rsidR="00AD4859">
        <w:rPr>
          <w:rFonts w:ascii="Arial" w:eastAsia="Calibri" w:hAnsi="Arial" w:cs="Arial"/>
          <w:sz w:val="20"/>
          <w:szCs w:val="20"/>
        </w:rPr>
        <w:t>384.671,25</w:t>
      </w:r>
      <w:r w:rsidR="006B2821" w:rsidRPr="003A2F86">
        <w:rPr>
          <w:rFonts w:ascii="Arial" w:eastAsia="Calibri" w:hAnsi="Arial" w:cs="Arial"/>
          <w:sz w:val="20"/>
          <w:szCs w:val="20"/>
        </w:rPr>
        <w:t xml:space="preserve"> €</w:t>
      </w:r>
      <w:r w:rsidRPr="003A2F86">
        <w:rPr>
          <w:rFonts w:ascii="Arial" w:eastAsia="Calibri" w:hAnsi="Arial" w:cs="Arial"/>
          <w:sz w:val="20"/>
          <w:szCs w:val="20"/>
        </w:rPr>
        <w:t xml:space="preserve"> (A207102). Rashodi za zaposlene (31) čine </w:t>
      </w:r>
      <w:r w:rsidR="00555E26">
        <w:rPr>
          <w:rFonts w:ascii="Arial" w:eastAsia="Calibri" w:hAnsi="Arial" w:cs="Arial"/>
          <w:sz w:val="20"/>
          <w:szCs w:val="20"/>
        </w:rPr>
        <w:t>90,</w:t>
      </w:r>
      <w:r w:rsidR="00AD4859">
        <w:rPr>
          <w:rFonts w:ascii="Arial" w:eastAsia="Calibri" w:hAnsi="Arial" w:cs="Arial"/>
          <w:sz w:val="20"/>
          <w:szCs w:val="20"/>
        </w:rPr>
        <w:t>9</w:t>
      </w:r>
      <w:r w:rsidRPr="003A2F86">
        <w:rPr>
          <w:rFonts w:ascii="Arial" w:eastAsia="Calibri" w:hAnsi="Arial" w:cs="Arial"/>
          <w:sz w:val="20"/>
          <w:szCs w:val="20"/>
        </w:rPr>
        <w:t>% ukupnih rashoda ovog proračunskog korisnika (program 2071)</w:t>
      </w:r>
      <w:r w:rsidR="006B2821" w:rsidRPr="003A2F86">
        <w:rPr>
          <w:rFonts w:ascii="Arial" w:eastAsia="Calibri" w:hAnsi="Arial" w:cs="Arial"/>
          <w:sz w:val="20"/>
          <w:szCs w:val="20"/>
        </w:rPr>
        <w:t xml:space="preserve">, odnosno </w:t>
      </w:r>
      <w:r w:rsidR="00555E26">
        <w:rPr>
          <w:rFonts w:ascii="Arial" w:eastAsia="Calibri" w:hAnsi="Arial" w:cs="Arial"/>
          <w:sz w:val="20"/>
          <w:szCs w:val="20"/>
        </w:rPr>
        <w:t>92</w:t>
      </w:r>
      <w:r w:rsidR="00AD4859">
        <w:rPr>
          <w:rFonts w:ascii="Arial" w:eastAsia="Calibri" w:hAnsi="Arial" w:cs="Arial"/>
          <w:sz w:val="20"/>
          <w:szCs w:val="20"/>
        </w:rPr>
        <w:t>,1</w:t>
      </w:r>
      <w:r w:rsidR="006B2821" w:rsidRPr="003A2F86">
        <w:rPr>
          <w:rFonts w:ascii="Arial" w:eastAsia="Calibri" w:hAnsi="Arial" w:cs="Arial"/>
          <w:sz w:val="20"/>
          <w:szCs w:val="20"/>
        </w:rPr>
        <w:t>% ukupnih rashoda proračunskog korisnika s uključenim rashodima za prijevoz na posao i s posla.</w:t>
      </w:r>
    </w:p>
    <w:p w14:paraId="224A135C" w14:textId="77777777" w:rsidR="006B2821" w:rsidRPr="003A2F86" w:rsidRDefault="006B2821" w:rsidP="0004293C">
      <w:pPr>
        <w:spacing w:after="0" w:line="240" w:lineRule="auto"/>
        <w:jc w:val="both"/>
        <w:rPr>
          <w:rFonts w:ascii="Arial" w:eastAsia="Calibri" w:hAnsi="Arial" w:cs="Arial"/>
          <w:sz w:val="20"/>
          <w:szCs w:val="20"/>
        </w:rPr>
      </w:pPr>
    </w:p>
    <w:p w14:paraId="5CBF5311" w14:textId="0199FDCD" w:rsidR="0006110D" w:rsidRPr="00555E26" w:rsidRDefault="00555E26" w:rsidP="0004293C">
      <w:pPr>
        <w:spacing w:after="0" w:line="240" w:lineRule="auto"/>
        <w:jc w:val="both"/>
        <w:rPr>
          <w:rFonts w:ascii="Arial" w:eastAsia="Calibri" w:hAnsi="Arial" w:cs="Arial"/>
          <w:sz w:val="20"/>
          <w:szCs w:val="20"/>
        </w:rPr>
      </w:pPr>
      <w:r w:rsidRPr="00555E26">
        <w:rPr>
          <w:rFonts w:ascii="Arial" w:eastAsia="Calibri" w:hAnsi="Arial" w:cs="Arial"/>
          <w:sz w:val="20"/>
          <w:szCs w:val="20"/>
        </w:rPr>
        <w:t>Krajem lipnja 2025. zaposleno je 17 vatrogasaca i jedan računovodstveni referent.</w:t>
      </w:r>
    </w:p>
    <w:p w14:paraId="1F9E0A8F" w14:textId="77777777" w:rsidR="00555E26" w:rsidRPr="003A2F86" w:rsidRDefault="00555E26" w:rsidP="0004293C">
      <w:pPr>
        <w:spacing w:after="0" w:line="240" w:lineRule="auto"/>
        <w:jc w:val="both"/>
        <w:rPr>
          <w:rFonts w:ascii="Arial" w:eastAsia="Times New Roman" w:hAnsi="Arial" w:cs="Arial"/>
          <w:sz w:val="20"/>
          <w:szCs w:val="20"/>
        </w:rPr>
      </w:pPr>
    </w:p>
    <w:p w14:paraId="17D0063B" w14:textId="52C97E89" w:rsidR="0004293C" w:rsidRPr="003A2F86" w:rsidRDefault="0004293C" w:rsidP="0004293C">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Rashodi za zaposlene (31) </w:t>
      </w:r>
      <w:r w:rsidRPr="003A2F86">
        <w:rPr>
          <w:rFonts w:ascii="Arial" w:eastAsia="Times New Roman" w:hAnsi="Arial" w:cs="Arial"/>
          <w:iCs/>
          <w:sz w:val="20"/>
          <w:szCs w:val="20"/>
        </w:rPr>
        <w:t xml:space="preserve">ustanove Javna vatrogasna postrojba Konavle </w:t>
      </w:r>
      <w:r w:rsidR="00D25E97" w:rsidRPr="003A2F86">
        <w:rPr>
          <w:rFonts w:ascii="Arial" w:eastAsia="Calibri" w:hAnsi="Arial" w:cs="Arial"/>
          <w:sz w:val="20"/>
          <w:szCs w:val="20"/>
        </w:rPr>
        <w:t xml:space="preserve">u iznosu </w:t>
      </w:r>
      <w:r w:rsidR="00AD4859">
        <w:rPr>
          <w:rFonts w:ascii="Arial" w:eastAsia="Calibri" w:hAnsi="Arial" w:cs="Arial"/>
          <w:sz w:val="20"/>
          <w:szCs w:val="20"/>
        </w:rPr>
        <w:t>688.917,75</w:t>
      </w:r>
      <w:r w:rsidR="00D25E97" w:rsidRPr="003A2F86">
        <w:rPr>
          <w:rFonts w:ascii="Arial" w:eastAsia="Calibri" w:hAnsi="Arial" w:cs="Arial"/>
          <w:sz w:val="20"/>
          <w:szCs w:val="20"/>
        </w:rPr>
        <w:t xml:space="preserve"> € čine</w:t>
      </w:r>
      <w:r w:rsidRPr="003A2F86">
        <w:rPr>
          <w:rFonts w:ascii="Arial" w:eastAsia="Calibri" w:hAnsi="Arial" w:cs="Arial"/>
          <w:sz w:val="20"/>
          <w:szCs w:val="20"/>
        </w:rPr>
        <w:t xml:space="preserve"> </w:t>
      </w:r>
      <w:r w:rsidR="00AD4859">
        <w:rPr>
          <w:rFonts w:ascii="Arial" w:eastAsia="Calibri" w:hAnsi="Arial" w:cs="Arial"/>
          <w:sz w:val="20"/>
          <w:szCs w:val="20"/>
        </w:rPr>
        <w:t>2,7</w:t>
      </w:r>
      <w:r w:rsidRPr="003A2F86">
        <w:rPr>
          <w:rFonts w:ascii="Arial" w:eastAsia="Calibri" w:hAnsi="Arial" w:cs="Arial"/>
          <w:sz w:val="20"/>
          <w:szCs w:val="20"/>
        </w:rPr>
        <w:t xml:space="preserve">% ukupnih rashoda Proračuna (rashodi poslovanja „3“ i rashodi na nabavu nefinancijske imovine „4“), odnosno </w:t>
      </w:r>
      <w:r w:rsidR="00AD4859">
        <w:rPr>
          <w:rFonts w:ascii="Arial" w:eastAsia="Calibri" w:hAnsi="Arial" w:cs="Arial"/>
          <w:sz w:val="20"/>
          <w:szCs w:val="20"/>
        </w:rPr>
        <w:t>2,64</w:t>
      </w:r>
      <w:r w:rsidRPr="003A2F86">
        <w:rPr>
          <w:rFonts w:ascii="Arial" w:eastAsia="Calibri" w:hAnsi="Arial" w:cs="Arial"/>
          <w:sz w:val="20"/>
          <w:szCs w:val="20"/>
        </w:rPr>
        <w:t>% ukupnih rashoda i izdataka Proračuna (rashodi poslovanja „3“ i rashodi na nabavu nefinancijske imovine „4“ uvećani za izdatke za financijsku imovinu i otplate zajmova „5“).</w:t>
      </w:r>
    </w:p>
    <w:p w14:paraId="228BC1FA" w14:textId="77777777" w:rsidR="003B5B15" w:rsidRPr="003A2F86" w:rsidRDefault="003B5B15" w:rsidP="003B5B15">
      <w:pPr>
        <w:pStyle w:val="Odlomakpopisa"/>
        <w:autoSpaceDE w:val="0"/>
        <w:autoSpaceDN w:val="0"/>
        <w:adjustRightInd w:val="0"/>
        <w:ind w:left="0"/>
        <w:rPr>
          <w:rFonts w:ascii="Arial" w:eastAsia="Calibri" w:hAnsi="Arial" w:cs="Arial"/>
        </w:rPr>
      </w:pPr>
    </w:p>
    <w:p w14:paraId="669D64AA" w14:textId="70E55C7A" w:rsidR="0004293C" w:rsidRPr="003A2F86" w:rsidRDefault="0004293C" w:rsidP="0004293C">
      <w:pPr>
        <w:spacing w:after="0" w:line="240" w:lineRule="auto"/>
        <w:jc w:val="both"/>
        <w:rPr>
          <w:rFonts w:ascii="Arial" w:eastAsia="Calibri" w:hAnsi="Arial" w:cs="Arial"/>
          <w:sz w:val="20"/>
          <w:szCs w:val="20"/>
        </w:rPr>
      </w:pPr>
      <w:r w:rsidRPr="003A2F86">
        <w:rPr>
          <w:rFonts w:ascii="Arial" w:eastAsia="Calibri" w:hAnsi="Arial" w:cs="Arial"/>
          <w:b/>
          <w:sz w:val="20"/>
          <w:szCs w:val="20"/>
        </w:rPr>
        <w:t>2. A207102: Redovna djelatnost JVP - iznad minimalnog standarda</w:t>
      </w:r>
      <w:r w:rsidRPr="003A2F86">
        <w:rPr>
          <w:rFonts w:ascii="Arial" w:eastAsia="Calibri" w:hAnsi="Arial" w:cs="Arial"/>
          <w:sz w:val="20"/>
          <w:szCs w:val="20"/>
        </w:rPr>
        <w:t xml:space="preserve"> - u sklopu navedene aktivnosti planiraju se rashodi za razliku do visine plaća djelatnika javne vatrogasne postrojbe s pripadajućim porezima i doprinosima (iznad minimalnog standarda), na</w:t>
      </w:r>
      <w:r w:rsidR="00A8623C" w:rsidRPr="003A2F86">
        <w:rPr>
          <w:rFonts w:ascii="Arial" w:eastAsia="Calibri" w:hAnsi="Arial" w:cs="Arial"/>
          <w:sz w:val="20"/>
          <w:szCs w:val="20"/>
        </w:rPr>
        <w:t>kn</w:t>
      </w:r>
      <w:r w:rsidRPr="003A2F86">
        <w:rPr>
          <w:rFonts w:ascii="Arial" w:eastAsia="Calibri" w:hAnsi="Arial" w:cs="Arial"/>
          <w:sz w:val="20"/>
          <w:szCs w:val="20"/>
        </w:rPr>
        <w:t>ade za prijevoz na posao i s posla, službena putovanja, energiju, materijal i usluge za tekuće i investicijsko održavanje opreme, prijevoznih sredstava i građevina, intelektualne usluge, na</w:t>
      </w:r>
      <w:r w:rsidR="00A8623C" w:rsidRPr="003A2F86">
        <w:rPr>
          <w:rFonts w:ascii="Arial" w:eastAsia="Calibri" w:hAnsi="Arial" w:cs="Arial"/>
          <w:sz w:val="20"/>
          <w:szCs w:val="20"/>
        </w:rPr>
        <w:t>kn</w:t>
      </w:r>
      <w:r w:rsidRPr="003A2F86">
        <w:rPr>
          <w:rFonts w:ascii="Arial" w:eastAsia="Calibri" w:hAnsi="Arial" w:cs="Arial"/>
          <w:sz w:val="20"/>
          <w:szCs w:val="20"/>
        </w:rPr>
        <w:t xml:space="preserve">ade za rad upravnog vijeća i financijske rashode. Planirana sredstva za provođenje navedene aktivnosti iznose </w:t>
      </w:r>
      <w:r w:rsidR="00AD4859">
        <w:rPr>
          <w:rFonts w:ascii="Arial" w:eastAsia="Calibri" w:hAnsi="Arial" w:cs="Arial"/>
          <w:sz w:val="20"/>
          <w:szCs w:val="20"/>
        </w:rPr>
        <w:t>528.154</w:t>
      </w:r>
      <w:r w:rsidR="006B2821" w:rsidRPr="003A2F86">
        <w:rPr>
          <w:rFonts w:ascii="Arial" w:eastAsia="Calibri" w:hAnsi="Arial" w:cs="Arial"/>
          <w:sz w:val="20"/>
          <w:szCs w:val="20"/>
        </w:rPr>
        <w:t xml:space="preserve"> €</w:t>
      </w:r>
      <w:r w:rsidRPr="003A2F86">
        <w:rPr>
          <w:rFonts w:ascii="Arial" w:eastAsia="Calibri" w:hAnsi="Arial" w:cs="Arial"/>
          <w:sz w:val="20"/>
          <w:szCs w:val="20"/>
        </w:rPr>
        <w:t xml:space="preserve">. Rashodi su izvršeni u iznosu </w:t>
      </w:r>
      <w:r w:rsidR="00AD4859">
        <w:rPr>
          <w:rFonts w:ascii="Arial" w:eastAsia="Calibri" w:hAnsi="Arial" w:cs="Arial"/>
          <w:sz w:val="20"/>
          <w:szCs w:val="20"/>
        </w:rPr>
        <w:t>440.656,59</w:t>
      </w:r>
      <w:r w:rsidR="006B2821" w:rsidRPr="003A2F86">
        <w:rPr>
          <w:rFonts w:ascii="Arial" w:eastAsia="Calibri" w:hAnsi="Arial" w:cs="Arial"/>
          <w:sz w:val="20"/>
          <w:szCs w:val="20"/>
        </w:rPr>
        <w:t xml:space="preserve"> €</w:t>
      </w:r>
      <w:r w:rsidRPr="003A2F86">
        <w:rPr>
          <w:rFonts w:ascii="Arial" w:eastAsia="Calibri" w:hAnsi="Arial" w:cs="Arial"/>
          <w:sz w:val="20"/>
          <w:szCs w:val="20"/>
        </w:rPr>
        <w:t xml:space="preserve"> ili </w:t>
      </w:r>
      <w:r w:rsidR="00AD4859">
        <w:rPr>
          <w:rFonts w:ascii="Arial" w:eastAsia="Calibri" w:hAnsi="Arial" w:cs="Arial"/>
          <w:sz w:val="20"/>
          <w:szCs w:val="20"/>
        </w:rPr>
        <w:t>83,4</w:t>
      </w:r>
      <w:r w:rsidRPr="003A2F86">
        <w:rPr>
          <w:rFonts w:ascii="Arial" w:eastAsia="Calibri" w:hAnsi="Arial" w:cs="Arial"/>
          <w:sz w:val="20"/>
          <w:szCs w:val="20"/>
        </w:rPr>
        <w:t xml:space="preserve">% plana. </w:t>
      </w:r>
    </w:p>
    <w:p w14:paraId="1B08A6DE" w14:textId="64F0FA7F" w:rsidR="00F20B7C" w:rsidRPr="003A2F86" w:rsidRDefault="00013151" w:rsidP="00F20B7C">
      <w:pPr>
        <w:spacing w:after="0" w:line="240" w:lineRule="auto"/>
        <w:jc w:val="both"/>
        <w:rPr>
          <w:rFonts w:ascii="Arial" w:eastAsia="Calibri" w:hAnsi="Arial" w:cs="Arial"/>
          <w:sz w:val="20"/>
          <w:szCs w:val="20"/>
        </w:rPr>
      </w:pPr>
      <w:r w:rsidRPr="003A2F86">
        <w:rPr>
          <w:rFonts w:ascii="Arial" w:eastAsia="Calibri" w:hAnsi="Arial" w:cs="Arial"/>
          <w:sz w:val="20"/>
          <w:szCs w:val="20"/>
        </w:rPr>
        <w:t>Plaće se obračunavaju po osnovici utvrđenoj za državne službenike i namještenike.</w:t>
      </w:r>
    </w:p>
    <w:p w14:paraId="4F626DF0" w14:textId="1600D3C2" w:rsidR="00F20B7C" w:rsidRPr="003A2F86" w:rsidRDefault="00F20B7C" w:rsidP="00F20B7C">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U JVP je zaposleno </w:t>
      </w:r>
      <w:r w:rsidR="00160CA2" w:rsidRPr="003A2F86">
        <w:rPr>
          <w:rFonts w:ascii="Arial" w:eastAsia="Calibri" w:hAnsi="Arial" w:cs="Arial"/>
          <w:sz w:val="20"/>
          <w:szCs w:val="20"/>
        </w:rPr>
        <w:t>17</w:t>
      </w:r>
      <w:r w:rsidRPr="003A2F86">
        <w:rPr>
          <w:rFonts w:ascii="Arial" w:eastAsia="Calibri" w:hAnsi="Arial" w:cs="Arial"/>
          <w:sz w:val="20"/>
          <w:szCs w:val="20"/>
        </w:rPr>
        <w:t xml:space="preserve"> profesionalnih vatrogasaca i administrativni referent</w:t>
      </w:r>
      <w:r w:rsidR="00190D1F" w:rsidRPr="003A2F86">
        <w:rPr>
          <w:rFonts w:ascii="Arial" w:eastAsia="Calibri" w:hAnsi="Arial" w:cs="Arial"/>
          <w:sz w:val="20"/>
          <w:szCs w:val="20"/>
        </w:rPr>
        <w:t>.</w:t>
      </w:r>
    </w:p>
    <w:p w14:paraId="10AA17C5" w14:textId="685E9457" w:rsidR="00F20B7C" w:rsidRPr="003A2F86" w:rsidRDefault="00F20B7C" w:rsidP="0004293C">
      <w:pPr>
        <w:spacing w:after="0" w:line="240" w:lineRule="auto"/>
        <w:jc w:val="both"/>
        <w:rPr>
          <w:rFonts w:ascii="Arial" w:eastAsia="Calibri" w:hAnsi="Arial" w:cs="Arial"/>
          <w:sz w:val="20"/>
          <w:szCs w:val="20"/>
        </w:rPr>
      </w:pPr>
    </w:p>
    <w:p w14:paraId="0E7AC8B0" w14:textId="5352B5C5" w:rsidR="0004293C" w:rsidRPr="003A2F86" w:rsidRDefault="0004293C" w:rsidP="0004293C">
      <w:pPr>
        <w:spacing w:after="0" w:line="240" w:lineRule="auto"/>
        <w:jc w:val="both"/>
        <w:rPr>
          <w:rFonts w:ascii="Arial" w:eastAsia="Calibri" w:hAnsi="Arial" w:cs="Arial"/>
          <w:sz w:val="20"/>
          <w:szCs w:val="20"/>
        </w:rPr>
      </w:pPr>
      <w:r w:rsidRPr="003A2F86">
        <w:rPr>
          <w:rFonts w:ascii="Arial" w:eastAsia="Calibri" w:hAnsi="Arial" w:cs="Arial"/>
          <w:sz w:val="20"/>
          <w:szCs w:val="20"/>
        </w:rPr>
        <w:t xml:space="preserve">Izvan minimalnog standarda izvršeni su rashodi za plaće (31) u iznosu </w:t>
      </w:r>
      <w:r w:rsidR="00AD4859">
        <w:rPr>
          <w:rFonts w:ascii="Arial" w:eastAsia="Calibri" w:hAnsi="Arial" w:cs="Arial"/>
          <w:sz w:val="20"/>
          <w:szCs w:val="20"/>
        </w:rPr>
        <w:t>384.671,75</w:t>
      </w:r>
      <w:r w:rsidR="006B2821" w:rsidRPr="003A2F86">
        <w:rPr>
          <w:rFonts w:ascii="Arial" w:eastAsia="Calibri" w:hAnsi="Arial" w:cs="Arial"/>
          <w:sz w:val="20"/>
          <w:szCs w:val="20"/>
        </w:rPr>
        <w:t xml:space="preserve"> €</w:t>
      </w:r>
      <w:r w:rsidRPr="003A2F86">
        <w:rPr>
          <w:rFonts w:ascii="Arial" w:eastAsia="Calibri" w:hAnsi="Arial" w:cs="Arial"/>
          <w:sz w:val="20"/>
          <w:szCs w:val="20"/>
        </w:rPr>
        <w:t>, rashodi za na</w:t>
      </w:r>
      <w:r w:rsidR="00A8623C" w:rsidRPr="003A2F86">
        <w:rPr>
          <w:rFonts w:ascii="Arial" w:eastAsia="Calibri" w:hAnsi="Arial" w:cs="Arial"/>
          <w:sz w:val="20"/>
          <w:szCs w:val="20"/>
        </w:rPr>
        <w:t>kn</w:t>
      </w:r>
      <w:r w:rsidRPr="003A2F86">
        <w:rPr>
          <w:rFonts w:ascii="Arial" w:eastAsia="Calibri" w:hAnsi="Arial" w:cs="Arial"/>
          <w:sz w:val="20"/>
          <w:szCs w:val="20"/>
        </w:rPr>
        <w:t xml:space="preserve">ade troškova (321) u iznosu </w:t>
      </w:r>
      <w:r w:rsidR="00AD4859">
        <w:rPr>
          <w:rFonts w:ascii="Arial" w:eastAsia="Calibri" w:hAnsi="Arial" w:cs="Arial"/>
          <w:sz w:val="20"/>
          <w:szCs w:val="20"/>
        </w:rPr>
        <w:t>1.602,85</w:t>
      </w:r>
      <w:r w:rsidR="006B2821" w:rsidRPr="003A2F86">
        <w:rPr>
          <w:rFonts w:ascii="Arial" w:eastAsia="Calibri" w:hAnsi="Arial" w:cs="Arial"/>
          <w:sz w:val="20"/>
          <w:szCs w:val="20"/>
        </w:rPr>
        <w:t xml:space="preserve"> €</w:t>
      </w:r>
      <w:r w:rsidRPr="003A2F86">
        <w:rPr>
          <w:rFonts w:ascii="Arial" w:eastAsia="Calibri" w:hAnsi="Arial" w:cs="Arial"/>
          <w:sz w:val="20"/>
          <w:szCs w:val="20"/>
        </w:rPr>
        <w:t xml:space="preserve"> (na</w:t>
      </w:r>
      <w:r w:rsidR="00A8623C" w:rsidRPr="003A2F86">
        <w:rPr>
          <w:rFonts w:ascii="Arial" w:eastAsia="Calibri" w:hAnsi="Arial" w:cs="Arial"/>
          <w:sz w:val="20"/>
          <w:szCs w:val="20"/>
        </w:rPr>
        <w:t>kn</w:t>
      </w:r>
      <w:r w:rsidRPr="003A2F86">
        <w:rPr>
          <w:rFonts w:ascii="Arial" w:eastAsia="Calibri" w:hAnsi="Arial" w:cs="Arial"/>
          <w:sz w:val="20"/>
          <w:szCs w:val="20"/>
        </w:rPr>
        <w:t>ade za prijevoz na posao i s posla</w:t>
      </w:r>
      <w:r w:rsidR="00160CA2" w:rsidRPr="003A2F86">
        <w:rPr>
          <w:rFonts w:ascii="Arial" w:eastAsia="Calibri" w:hAnsi="Arial" w:cs="Arial"/>
          <w:sz w:val="20"/>
          <w:szCs w:val="20"/>
        </w:rPr>
        <w:t>, službena putovanja</w:t>
      </w:r>
      <w:r w:rsidRPr="003A2F86">
        <w:rPr>
          <w:rFonts w:ascii="Arial" w:eastAsia="Calibri" w:hAnsi="Arial" w:cs="Arial"/>
          <w:sz w:val="20"/>
          <w:szCs w:val="20"/>
        </w:rPr>
        <w:t xml:space="preserve">), rashodi za materijal i energiju (322) u iznosu </w:t>
      </w:r>
      <w:r w:rsidR="00C24B02">
        <w:rPr>
          <w:rFonts w:ascii="Arial" w:eastAsia="Calibri" w:hAnsi="Arial" w:cs="Arial"/>
          <w:sz w:val="20"/>
          <w:szCs w:val="20"/>
        </w:rPr>
        <w:t>26.111,88</w:t>
      </w:r>
      <w:r w:rsidR="006B2821" w:rsidRPr="003A2F86">
        <w:rPr>
          <w:rFonts w:ascii="Arial" w:eastAsia="Calibri" w:hAnsi="Arial" w:cs="Arial"/>
          <w:sz w:val="20"/>
          <w:szCs w:val="20"/>
        </w:rPr>
        <w:t xml:space="preserve"> €</w:t>
      </w:r>
      <w:r w:rsidRPr="003A2F86">
        <w:rPr>
          <w:rFonts w:ascii="Arial" w:eastAsia="Calibri" w:hAnsi="Arial" w:cs="Arial"/>
          <w:sz w:val="20"/>
          <w:szCs w:val="20"/>
        </w:rPr>
        <w:t xml:space="preserve"> (službena i radna vatrogasna odjeća i obuća</w:t>
      </w:r>
      <w:r w:rsidR="00475F00" w:rsidRPr="003A2F86">
        <w:rPr>
          <w:rFonts w:ascii="Arial" w:eastAsia="Calibri" w:hAnsi="Arial" w:cs="Arial"/>
          <w:sz w:val="20"/>
          <w:szCs w:val="20"/>
        </w:rPr>
        <w:t xml:space="preserve">, </w:t>
      </w:r>
      <w:r w:rsidR="001F5B3D" w:rsidRPr="003A2F86">
        <w:rPr>
          <w:rFonts w:ascii="Arial" w:eastAsia="Calibri" w:hAnsi="Arial" w:cs="Arial"/>
          <w:sz w:val="20"/>
          <w:szCs w:val="20"/>
        </w:rPr>
        <w:t>auto gume</w:t>
      </w:r>
      <w:r w:rsidR="008F1175" w:rsidRPr="003A2F86">
        <w:rPr>
          <w:rFonts w:ascii="Arial" w:eastAsia="Calibri" w:hAnsi="Arial" w:cs="Arial"/>
          <w:sz w:val="20"/>
          <w:szCs w:val="20"/>
        </w:rPr>
        <w:t xml:space="preserve">, </w:t>
      </w:r>
      <w:r w:rsidR="001F5B3D" w:rsidRPr="003A2F86">
        <w:rPr>
          <w:rFonts w:ascii="Arial" w:eastAsia="Calibri" w:hAnsi="Arial" w:cs="Arial"/>
          <w:sz w:val="20"/>
          <w:szCs w:val="20"/>
        </w:rPr>
        <w:t>električna energija</w:t>
      </w:r>
      <w:r w:rsidR="008F1175" w:rsidRPr="003A2F86">
        <w:rPr>
          <w:rFonts w:ascii="Arial" w:eastAsia="Calibri" w:hAnsi="Arial" w:cs="Arial"/>
          <w:sz w:val="20"/>
          <w:szCs w:val="20"/>
        </w:rPr>
        <w:t>,</w:t>
      </w:r>
      <w:r w:rsidR="00657130" w:rsidRPr="003A2F86">
        <w:rPr>
          <w:rFonts w:ascii="Arial" w:eastAsia="Calibri" w:hAnsi="Arial" w:cs="Arial"/>
          <w:sz w:val="20"/>
          <w:szCs w:val="20"/>
        </w:rPr>
        <w:t xml:space="preserve"> drugi materijal</w:t>
      </w:r>
      <w:r w:rsidR="00475F00" w:rsidRPr="003A2F86">
        <w:rPr>
          <w:rFonts w:ascii="Arial" w:eastAsia="Calibri" w:hAnsi="Arial" w:cs="Arial"/>
          <w:sz w:val="20"/>
          <w:szCs w:val="20"/>
        </w:rPr>
        <w:t>)</w:t>
      </w:r>
      <w:r w:rsidRPr="003A2F86">
        <w:rPr>
          <w:rFonts w:ascii="Arial" w:eastAsia="Calibri" w:hAnsi="Arial" w:cs="Arial"/>
          <w:sz w:val="20"/>
          <w:szCs w:val="20"/>
        </w:rPr>
        <w:t xml:space="preserve"> i rashodi za usluge (323) u iznosu </w:t>
      </w:r>
      <w:r w:rsidR="00C24B02">
        <w:rPr>
          <w:rFonts w:ascii="Arial" w:eastAsia="Calibri" w:hAnsi="Arial" w:cs="Arial"/>
          <w:sz w:val="20"/>
          <w:szCs w:val="20"/>
        </w:rPr>
        <w:t>26.234,50</w:t>
      </w:r>
      <w:r w:rsidR="006B2821" w:rsidRPr="003A2F86">
        <w:rPr>
          <w:rFonts w:ascii="Arial" w:eastAsia="Calibri" w:hAnsi="Arial" w:cs="Arial"/>
          <w:sz w:val="20"/>
          <w:szCs w:val="20"/>
        </w:rPr>
        <w:t xml:space="preserve"> €</w:t>
      </w:r>
      <w:r w:rsidRPr="003A2F86">
        <w:rPr>
          <w:rFonts w:ascii="Arial" w:eastAsia="Calibri" w:hAnsi="Arial" w:cs="Arial"/>
          <w:sz w:val="20"/>
          <w:szCs w:val="20"/>
        </w:rPr>
        <w:t xml:space="preserve"> (</w:t>
      </w:r>
      <w:r w:rsidR="000D752C" w:rsidRPr="003A2F86">
        <w:rPr>
          <w:rFonts w:ascii="Arial" w:eastAsia="Calibri" w:hAnsi="Arial" w:cs="Arial"/>
          <w:sz w:val="20"/>
          <w:szCs w:val="20"/>
        </w:rPr>
        <w:t xml:space="preserve">usluge telefona, </w:t>
      </w:r>
      <w:r w:rsidRPr="003A2F86">
        <w:rPr>
          <w:rFonts w:ascii="Arial" w:eastAsia="Calibri" w:hAnsi="Arial" w:cs="Arial"/>
          <w:sz w:val="20"/>
          <w:szCs w:val="20"/>
        </w:rPr>
        <w:t>usluge tekućeg i investicijskog održavanja prijevoznih sredstava, održavanje objekta i opreme, komunalne usluge - voda, usluge tehničkog pregleda vozila</w:t>
      </w:r>
      <w:r w:rsidR="00E95217" w:rsidRPr="003A2F86">
        <w:rPr>
          <w:rFonts w:ascii="Arial" w:eastAsia="Calibri" w:hAnsi="Arial" w:cs="Arial"/>
          <w:sz w:val="20"/>
          <w:szCs w:val="20"/>
        </w:rPr>
        <w:t xml:space="preserve">, </w:t>
      </w:r>
      <w:r w:rsidR="00572437" w:rsidRPr="003A2F86">
        <w:rPr>
          <w:rFonts w:ascii="Arial" w:eastAsia="Calibri" w:hAnsi="Arial" w:cs="Arial"/>
          <w:sz w:val="20"/>
          <w:szCs w:val="20"/>
        </w:rPr>
        <w:t xml:space="preserve">zdravstveni pregledi djelatnika, </w:t>
      </w:r>
      <w:r w:rsidR="00E95217" w:rsidRPr="003A2F86">
        <w:rPr>
          <w:rFonts w:ascii="Arial" w:eastAsia="Calibri" w:hAnsi="Arial" w:cs="Arial"/>
          <w:sz w:val="20"/>
          <w:szCs w:val="20"/>
        </w:rPr>
        <w:t>ostale usluge certifikati i drugo</w:t>
      </w:r>
      <w:r w:rsidRPr="003A2F86">
        <w:rPr>
          <w:rFonts w:ascii="Arial" w:eastAsia="Calibri" w:hAnsi="Arial" w:cs="Arial"/>
          <w:sz w:val="20"/>
          <w:szCs w:val="20"/>
        </w:rPr>
        <w:t xml:space="preserve">), ostali nespomenuti rashodi poslovanja (329) u iznosu </w:t>
      </w:r>
      <w:r w:rsidR="00C24B02">
        <w:rPr>
          <w:rFonts w:ascii="Arial" w:eastAsia="Calibri" w:hAnsi="Arial" w:cs="Arial"/>
          <w:sz w:val="20"/>
          <w:szCs w:val="20"/>
        </w:rPr>
        <w:t>2.008,88</w:t>
      </w:r>
      <w:r w:rsidR="006B2821" w:rsidRPr="003A2F86">
        <w:rPr>
          <w:rFonts w:ascii="Arial" w:eastAsia="Calibri" w:hAnsi="Arial" w:cs="Arial"/>
          <w:sz w:val="20"/>
          <w:szCs w:val="20"/>
        </w:rPr>
        <w:t xml:space="preserve"> €</w:t>
      </w:r>
      <w:r w:rsidRPr="003A2F86">
        <w:rPr>
          <w:rFonts w:ascii="Arial" w:eastAsia="Calibri" w:hAnsi="Arial" w:cs="Arial"/>
          <w:sz w:val="20"/>
          <w:szCs w:val="20"/>
        </w:rPr>
        <w:t xml:space="preserve"> (ostali nespomenuti rashodi </w:t>
      </w:r>
      <w:r w:rsidR="00F711A8" w:rsidRPr="003A2F86">
        <w:rPr>
          <w:rFonts w:ascii="Arial" w:eastAsia="Calibri" w:hAnsi="Arial" w:cs="Arial"/>
          <w:sz w:val="20"/>
          <w:szCs w:val="20"/>
        </w:rPr>
        <w:t>- HRT pristojba</w:t>
      </w:r>
      <w:r w:rsidR="00B97DD7" w:rsidRPr="003A2F86">
        <w:rPr>
          <w:rFonts w:ascii="Arial" w:eastAsia="Calibri" w:hAnsi="Arial" w:cs="Arial"/>
          <w:sz w:val="20"/>
          <w:szCs w:val="20"/>
        </w:rPr>
        <w:t xml:space="preserve">, </w:t>
      </w:r>
      <w:r w:rsidR="00623793" w:rsidRPr="003A2F86">
        <w:rPr>
          <w:rFonts w:ascii="Arial" w:eastAsia="Calibri" w:hAnsi="Arial" w:cs="Arial"/>
          <w:sz w:val="20"/>
          <w:szCs w:val="20"/>
        </w:rPr>
        <w:t>drugo</w:t>
      </w:r>
      <w:r w:rsidR="00757D8B" w:rsidRPr="003A2F86">
        <w:rPr>
          <w:rFonts w:ascii="Arial" w:eastAsia="Calibri" w:hAnsi="Arial" w:cs="Arial"/>
          <w:sz w:val="20"/>
          <w:szCs w:val="20"/>
        </w:rPr>
        <w:t>)</w:t>
      </w:r>
      <w:r w:rsidR="0055358B" w:rsidRPr="003A2F86">
        <w:rPr>
          <w:rFonts w:ascii="Arial" w:eastAsia="Calibri" w:hAnsi="Arial" w:cs="Arial"/>
          <w:sz w:val="20"/>
          <w:szCs w:val="20"/>
        </w:rPr>
        <w:t>,</w:t>
      </w:r>
      <w:r w:rsidR="00160CA2" w:rsidRPr="003A2F86">
        <w:rPr>
          <w:rFonts w:ascii="Arial" w:eastAsia="Calibri" w:hAnsi="Arial" w:cs="Arial"/>
          <w:sz w:val="20"/>
          <w:szCs w:val="20"/>
        </w:rPr>
        <w:t xml:space="preserve"> </w:t>
      </w:r>
      <w:r w:rsidR="00C24B02">
        <w:rPr>
          <w:rFonts w:ascii="Arial" w:eastAsia="Calibri" w:hAnsi="Arial" w:cs="Arial"/>
          <w:sz w:val="20"/>
          <w:szCs w:val="20"/>
        </w:rPr>
        <w:t xml:space="preserve">te financijski rashodi 26,73 €. </w:t>
      </w:r>
    </w:p>
    <w:p w14:paraId="43CC3E44" w14:textId="77777777" w:rsidR="00FD5B0B" w:rsidRPr="003A2F86" w:rsidRDefault="00FD5B0B" w:rsidP="00FD5B0B">
      <w:pPr>
        <w:spacing w:after="0" w:line="240" w:lineRule="auto"/>
        <w:rPr>
          <w:rFonts w:ascii="Arial" w:eastAsia="Calibri" w:hAnsi="Arial" w:cs="Arial"/>
          <w:sz w:val="20"/>
          <w:szCs w:val="20"/>
        </w:rPr>
      </w:pPr>
    </w:p>
    <w:p w14:paraId="4BD899D1" w14:textId="1F2BC9CC" w:rsidR="00970591" w:rsidRDefault="00FD5B0B" w:rsidP="00970591">
      <w:pPr>
        <w:autoSpaceDE w:val="0"/>
        <w:autoSpaceDN w:val="0"/>
        <w:adjustRightInd w:val="0"/>
        <w:spacing w:after="0" w:line="240" w:lineRule="auto"/>
        <w:jc w:val="both"/>
        <w:rPr>
          <w:rFonts w:ascii="Arial" w:eastAsia="Calibri" w:hAnsi="Arial" w:cs="Arial"/>
          <w:sz w:val="20"/>
          <w:szCs w:val="20"/>
        </w:rPr>
      </w:pPr>
      <w:r w:rsidRPr="003A2F86">
        <w:rPr>
          <w:rFonts w:ascii="Arial" w:eastAsia="Calibri" w:hAnsi="Arial" w:cs="Arial"/>
          <w:b/>
          <w:sz w:val="20"/>
          <w:szCs w:val="20"/>
        </w:rPr>
        <w:t xml:space="preserve">3. </w:t>
      </w:r>
      <w:r w:rsidR="0004293C" w:rsidRPr="003A2F86">
        <w:rPr>
          <w:rFonts w:ascii="Arial" w:eastAsia="Calibri" w:hAnsi="Arial" w:cs="Arial"/>
          <w:b/>
          <w:sz w:val="20"/>
          <w:szCs w:val="20"/>
        </w:rPr>
        <w:t>K207103: Nabava opreme za vatrogasnu postrojbu</w:t>
      </w:r>
      <w:r w:rsidR="0004293C" w:rsidRPr="003A2F86">
        <w:rPr>
          <w:rFonts w:ascii="Arial" w:eastAsia="Calibri" w:hAnsi="Arial" w:cs="Arial"/>
          <w:sz w:val="20"/>
          <w:szCs w:val="20"/>
        </w:rPr>
        <w:t xml:space="preserve"> - u sklopu projekta planiraju se rashodi za nabavu vatrogasne opreme u iznosu </w:t>
      </w:r>
      <w:r w:rsidR="00C24B02">
        <w:rPr>
          <w:rFonts w:ascii="Arial" w:eastAsia="Calibri" w:hAnsi="Arial" w:cs="Arial"/>
          <w:sz w:val="20"/>
          <w:szCs w:val="20"/>
        </w:rPr>
        <w:t>11.600</w:t>
      </w:r>
      <w:r w:rsidR="006B2821" w:rsidRPr="003A2F86">
        <w:rPr>
          <w:rFonts w:ascii="Arial" w:eastAsia="Calibri" w:hAnsi="Arial" w:cs="Arial"/>
          <w:sz w:val="20"/>
          <w:szCs w:val="20"/>
        </w:rPr>
        <w:t xml:space="preserve"> €</w:t>
      </w:r>
      <w:r w:rsidR="0004293C" w:rsidRPr="003A2F86">
        <w:rPr>
          <w:rFonts w:ascii="Arial" w:eastAsia="Calibri" w:hAnsi="Arial" w:cs="Arial"/>
          <w:sz w:val="20"/>
          <w:szCs w:val="20"/>
        </w:rPr>
        <w:t xml:space="preserve">. </w:t>
      </w:r>
      <w:r w:rsidR="006B2821" w:rsidRPr="003A2F86">
        <w:rPr>
          <w:rFonts w:ascii="Arial" w:eastAsia="Calibri" w:hAnsi="Arial" w:cs="Arial"/>
          <w:sz w:val="20"/>
          <w:szCs w:val="20"/>
        </w:rPr>
        <w:t>Planira</w:t>
      </w:r>
      <w:r w:rsidR="00970591">
        <w:rPr>
          <w:rFonts w:ascii="Arial" w:eastAsia="Calibri" w:hAnsi="Arial" w:cs="Arial"/>
          <w:sz w:val="20"/>
          <w:szCs w:val="20"/>
        </w:rPr>
        <w:t xml:space="preserve">na je </w:t>
      </w:r>
      <w:r w:rsidR="006B2821" w:rsidRPr="003A2F86">
        <w:rPr>
          <w:rFonts w:ascii="Arial" w:eastAsia="Calibri" w:hAnsi="Arial" w:cs="Arial"/>
          <w:sz w:val="20"/>
          <w:szCs w:val="20"/>
        </w:rPr>
        <w:t>nabavka vatrogasne opreme i opreme za zaštitu požara zatvorenog prostora, te nabava nedostajuće vatrogasne armature. Rashodi su izvršeni</w:t>
      </w:r>
      <w:r w:rsidR="00970591">
        <w:rPr>
          <w:rFonts w:ascii="Arial" w:eastAsia="Calibri" w:hAnsi="Arial" w:cs="Arial"/>
          <w:sz w:val="20"/>
          <w:szCs w:val="20"/>
        </w:rPr>
        <w:t xml:space="preserve"> </w:t>
      </w:r>
      <w:r w:rsidR="00970591" w:rsidRPr="00970591">
        <w:rPr>
          <w:rFonts w:ascii="Arial" w:eastAsia="Calibri" w:hAnsi="Arial" w:cs="Arial"/>
          <w:sz w:val="20"/>
          <w:szCs w:val="20"/>
        </w:rPr>
        <w:t xml:space="preserve">u iznosu od </w:t>
      </w:r>
      <w:r w:rsidR="00C24B02">
        <w:rPr>
          <w:rFonts w:ascii="Arial" w:eastAsia="Calibri" w:hAnsi="Arial" w:cs="Arial"/>
          <w:sz w:val="20"/>
          <w:szCs w:val="20"/>
        </w:rPr>
        <w:t>5.166,25</w:t>
      </w:r>
      <w:r w:rsidR="00970591" w:rsidRPr="00970591">
        <w:rPr>
          <w:rFonts w:ascii="Arial" w:eastAsia="Calibri" w:hAnsi="Arial" w:cs="Arial"/>
          <w:sz w:val="20"/>
          <w:szCs w:val="20"/>
        </w:rPr>
        <w:t xml:space="preserve"> eura.</w:t>
      </w:r>
      <w:r w:rsidR="00970591">
        <w:rPr>
          <w:rFonts w:ascii="Arial" w:eastAsia="Calibri" w:hAnsi="Arial" w:cs="Arial"/>
          <w:sz w:val="20"/>
          <w:szCs w:val="20"/>
        </w:rPr>
        <w:t xml:space="preserve"> </w:t>
      </w:r>
      <w:r w:rsidR="00C24B02" w:rsidRPr="00C24B02">
        <w:rPr>
          <w:rFonts w:ascii="Arial" w:eastAsia="Calibri" w:hAnsi="Arial" w:cs="Arial"/>
          <w:sz w:val="20"/>
          <w:szCs w:val="20"/>
        </w:rPr>
        <w:t>Nabavljena su dva kompleta dišnih aparata kao i ostala nedostajućavatrogasna armatura ; naprtnjače,cijevi i ostalo.</w:t>
      </w:r>
    </w:p>
    <w:p w14:paraId="2B913AA3" w14:textId="77777777" w:rsidR="00C24B02" w:rsidRPr="00970591" w:rsidRDefault="00C24B02" w:rsidP="00970591">
      <w:pPr>
        <w:autoSpaceDE w:val="0"/>
        <w:autoSpaceDN w:val="0"/>
        <w:adjustRightInd w:val="0"/>
        <w:spacing w:after="0" w:line="240" w:lineRule="auto"/>
        <w:jc w:val="both"/>
        <w:rPr>
          <w:rFonts w:ascii="Arial" w:eastAsia="Calibri" w:hAnsi="Arial" w:cs="Arial"/>
          <w:sz w:val="20"/>
          <w:szCs w:val="20"/>
        </w:rPr>
      </w:pPr>
    </w:p>
    <w:p w14:paraId="2233FFA2" w14:textId="684EFF63" w:rsidR="00757D8B" w:rsidRPr="003D6583" w:rsidRDefault="00160CA2" w:rsidP="003D6583">
      <w:pPr>
        <w:spacing w:after="0" w:line="240" w:lineRule="auto"/>
        <w:ind w:left="567"/>
        <w:jc w:val="both"/>
        <w:rPr>
          <w:rFonts w:ascii="Arial" w:eastAsia="Calibri" w:hAnsi="Arial" w:cs="Arial"/>
          <w:bCs/>
          <w:sz w:val="18"/>
          <w:szCs w:val="18"/>
        </w:rPr>
      </w:pPr>
      <w:r w:rsidRPr="003D6583">
        <w:rPr>
          <w:rFonts w:ascii="Arial" w:eastAsia="Calibri" w:hAnsi="Arial" w:cs="Arial"/>
          <w:sz w:val="18"/>
          <w:szCs w:val="18"/>
        </w:rPr>
        <w:t>U 2022.</w:t>
      </w:r>
      <w:r w:rsidR="006B2821" w:rsidRPr="003D6583">
        <w:rPr>
          <w:rFonts w:ascii="Arial" w:eastAsia="Calibri" w:hAnsi="Arial" w:cs="Arial"/>
          <w:sz w:val="18"/>
          <w:szCs w:val="18"/>
        </w:rPr>
        <w:t xml:space="preserve"> godin</w:t>
      </w:r>
      <w:r w:rsidRPr="003D6583">
        <w:rPr>
          <w:rFonts w:ascii="Arial" w:eastAsia="Calibri" w:hAnsi="Arial" w:cs="Arial"/>
          <w:sz w:val="18"/>
          <w:szCs w:val="18"/>
        </w:rPr>
        <w:t>i</w:t>
      </w:r>
      <w:r w:rsidR="006B2821" w:rsidRPr="003D6583">
        <w:rPr>
          <w:rFonts w:ascii="Arial" w:eastAsia="Calibri" w:hAnsi="Arial" w:cs="Arial"/>
          <w:sz w:val="18"/>
          <w:szCs w:val="18"/>
        </w:rPr>
        <w:t xml:space="preserve"> n</w:t>
      </w:r>
      <w:r w:rsidR="00244A75" w:rsidRPr="003D6583">
        <w:rPr>
          <w:rFonts w:ascii="Arial" w:eastAsia="Calibri" w:hAnsi="Arial" w:cs="Arial"/>
          <w:sz w:val="18"/>
          <w:szCs w:val="18"/>
        </w:rPr>
        <w:t>abavljena je komunikacijska oprema (radio stanica) za navalno vozilo s duplom kabinom marke Man, kao i oprema za održavanje i zaštitu – nedostajuća vatrogasna armatura iz sredstava Hrvatske vatrogasne zajednice i Vatrogasne zajednice Dubrovačko neretvanske županije, te sredstava Općine</w:t>
      </w:r>
      <w:r w:rsidR="006B2821" w:rsidRPr="003D6583">
        <w:rPr>
          <w:rFonts w:ascii="Arial" w:eastAsia="Calibri" w:hAnsi="Arial" w:cs="Arial"/>
          <w:sz w:val="18"/>
          <w:szCs w:val="18"/>
        </w:rPr>
        <w:t xml:space="preserve"> (sveukupno u iznosu 3.096,66 €)</w:t>
      </w:r>
      <w:r w:rsidRPr="003D6583">
        <w:rPr>
          <w:rFonts w:ascii="Arial" w:eastAsia="Calibri" w:hAnsi="Arial" w:cs="Arial"/>
          <w:sz w:val="18"/>
          <w:szCs w:val="18"/>
        </w:rPr>
        <w:t xml:space="preserve">. U 2023. godini je nabavljena oprema u vrijednosti </w:t>
      </w:r>
      <w:r w:rsidRPr="003D6583">
        <w:rPr>
          <w:rFonts w:ascii="Arial" w:eastAsia="Calibri" w:hAnsi="Arial" w:cs="Arial"/>
          <w:bCs/>
          <w:sz w:val="18"/>
          <w:szCs w:val="18"/>
        </w:rPr>
        <w:t>13.018,44 € (komunikacijska oprema za vozila te vatrogasna oprema za održavanje i zaštitu).</w:t>
      </w:r>
    </w:p>
    <w:p w14:paraId="0C2C7B9A" w14:textId="77777777" w:rsidR="00160CA2" w:rsidRPr="003A2F86" w:rsidRDefault="00160CA2" w:rsidP="0004293C">
      <w:pPr>
        <w:spacing w:after="0" w:line="240" w:lineRule="auto"/>
        <w:jc w:val="both"/>
        <w:rPr>
          <w:rFonts w:ascii="Arial" w:eastAsia="Calibri" w:hAnsi="Arial" w:cs="Arial"/>
          <w:bCs/>
          <w:sz w:val="20"/>
          <w:szCs w:val="20"/>
        </w:rPr>
      </w:pPr>
    </w:p>
    <w:p w14:paraId="76CB7BD6" w14:textId="48B6A710" w:rsidR="0004293C" w:rsidRPr="003A2F86" w:rsidRDefault="0004293C" w:rsidP="0004293C">
      <w:pPr>
        <w:spacing w:after="0" w:line="240" w:lineRule="auto"/>
        <w:jc w:val="both"/>
        <w:rPr>
          <w:rFonts w:ascii="Arial" w:eastAsia="Calibri" w:hAnsi="Arial" w:cs="Arial"/>
          <w:sz w:val="20"/>
          <w:szCs w:val="20"/>
        </w:rPr>
      </w:pPr>
      <w:r w:rsidRPr="003A2F86">
        <w:rPr>
          <w:rFonts w:ascii="Arial" w:eastAsia="Calibri" w:hAnsi="Arial" w:cs="Arial"/>
          <w:b/>
          <w:sz w:val="20"/>
          <w:szCs w:val="20"/>
        </w:rPr>
        <w:t>4. A207104: Nabava zapovjednog vozila</w:t>
      </w:r>
      <w:r w:rsidRPr="003A2F86">
        <w:rPr>
          <w:rFonts w:ascii="Arial" w:eastAsia="Calibri" w:hAnsi="Arial" w:cs="Arial"/>
          <w:sz w:val="20"/>
          <w:szCs w:val="20"/>
        </w:rPr>
        <w:t xml:space="preserve"> - Proračunska sredstva ne planiraju se putem ove aktivnosti. </w:t>
      </w:r>
    </w:p>
    <w:p w14:paraId="54FD0522" w14:textId="5FAF7100" w:rsidR="00C47FD4" w:rsidRPr="003A2F86" w:rsidRDefault="00C47FD4" w:rsidP="00C47FD4">
      <w:pPr>
        <w:spacing w:after="0" w:line="240" w:lineRule="auto"/>
        <w:rPr>
          <w:rFonts w:ascii="Arial" w:eastAsia="Calibri" w:hAnsi="Arial" w:cs="Arial"/>
          <w:i/>
          <w:sz w:val="20"/>
          <w:szCs w:val="20"/>
        </w:rPr>
      </w:pPr>
      <w:r w:rsidRPr="003A2F86">
        <w:rPr>
          <w:rFonts w:ascii="Arial" w:eastAsia="Calibri" w:hAnsi="Arial" w:cs="Arial"/>
          <w:i/>
          <w:sz w:val="20"/>
          <w:szCs w:val="20"/>
        </w:rPr>
        <w:t xml:space="preserve">U 2017. nabavljeno je osobno zapovjedno vozio u iznosu 86.825,00 kn / 11.523,66 </w:t>
      </w:r>
      <w:r w:rsidR="0094285B" w:rsidRPr="003A2F86">
        <w:rPr>
          <w:rFonts w:ascii="Arial" w:eastAsia="Calibri" w:hAnsi="Arial" w:cs="Arial"/>
          <w:i/>
          <w:sz w:val="20"/>
          <w:szCs w:val="20"/>
        </w:rPr>
        <w:t>€</w:t>
      </w:r>
      <w:r w:rsidRPr="003A2F86">
        <w:rPr>
          <w:rFonts w:ascii="Arial" w:eastAsia="Calibri" w:hAnsi="Arial" w:cs="Arial"/>
          <w:i/>
          <w:sz w:val="20"/>
          <w:szCs w:val="20"/>
        </w:rPr>
        <w:t>.</w:t>
      </w:r>
    </w:p>
    <w:p w14:paraId="70DF47B1" w14:textId="77777777" w:rsidR="0004293C" w:rsidRPr="003A2F86" w:rsidRDefault="0004293C" w:rsidP="00C47FD4">
      <w:pPr>
        <w:spacing w:after="0" w:line="240" w:lineRule="auto"/>
        <w:jc w:val="both"/>
        <w:rPr>
          <w:rFonts w:ascii="Arial" w:eastAsia="Calibri" w:hAnsi="Arial" w:cs="Arial"/>
          <w:sz w:val="20"/>
          <w:szCs w:val="20"/>
        </w:rPr>
      </w:pPr>
    </w:p>
    <w:p w14:paraId="40CE4105" w14:textId="77777777" w:rsidR="0004293C" w:rsidRPr="00DA693C" w:rsidRDefault="0004293C" w:rsidP="0004293C">
      <w:pPr>
        <w:spacing w:after="0" w:line="240" w:lineRule="auto"/>
        <w:jc w:val="both"/>
        <w:rPr>
          <w:rFonts w:ascii="Arial" w:eastAsia="Calibri" w:hAnsi="Arial" w:cs="Arial"/>
          <w:sz w:val="20"/>
          <w:szCs w:val="20"/>
        </w:rPr>
      </w:pPr>
      <w:r w:rsidRPr="00DA693C">
        <w:rPr>
          <w:rFonts w:ascii="Arial" w:eastAsia="Calibri" w:hAnsi="Arial" w:cs="Arial"/>
          <w:b/>
          <w:sz w:val="20"/>
          <w:szCs w:val="20"/>
        </w:rPr>
        <w:t>5. T207107: Nabava vatrogasnog vozila</w:t>
      </w:r>
      <w:r w:rsidRPr="00DA693C">
        <w:rPr>
          <w:rFonts w:ascii="Arial" w:eastAsia="Calibri" w:hAnsi="Arial" w:cs="Arial"/>
          <w:sz w:val="20"/>
          <w:szCs w:val="20"/>
        </w:rPr>
        <w:t xml:space="preserve"> </w:t>
      </w:r>
      <w:r w:rsidRPr="00DA693C">
        <w:rPr>
          <w:rFonts w:ascii="Arial" w:eastAsia="Calibri" w:hAnsi="Arial" w:cs="Arial"/>
          <w:b/>
          <w:sz w:val="20"/>
          <w:szCs w:val="20"/>
        </w:rPr>
        <w:t>– autocisterna</w:t>
      </w:r>
      <w:r w:rsidRPr="00DA693C">
        <w:rPr>
          <w:rFonts w:ascii="Arial" w:eastAsia="Calibri" w:hAnsi="Arial" w:cs="Arial"/>
          <w:sz w:val="20"/>
          <w:szCs w:val="20"/>
        </w:rPr>
        <w:t xml:space="preserve"> - u sklopu aktivnosti ne planiraju se rashodi. </w:t>
      </w:r>
    </w:p>
    <w:p w14:paraId="43A13010" w14:textId="77777777" w:rsidR="00815E54" w:rsidRPr="00DA693C" w:rsidRDefault="00815E54" w:rsidP="0004293C">
      <w:pPr>
        <w:spacing w:after="0" w:line="240" w:lineRule="auto"/>
        <w:jc w:val="both"/>
        <w:rPr>
          <w:rFonts w:ascii="Arial" w:eastAsia="Calibri" w:hAnsi="Arial" w:cs="Arial"/>
          <w:sz w:val="20"/>
          <w:szCs w:val="20"/>
        </w:rPr>
      </w:pPr>
    </w:p>
    <w:p w14:paraId="793D38F9" w14:textId="77777777" w:rsidR="00C47FD4" w:rsidRPr="003D6583" w:rsidRDefault="00C47FD4" w:rsidP="003D6583">
      <w:pPr>
        <w:spacing w:after="0" w:line="240" w:lineRule="auto"/>
        <w:ind w:left="567"/>
        <w:rPr>
          <w:rFonts w:ascii="Arial" w:eastAsia="Calibri" w:hAnsi="Arial" w:cs="Arial"/>
          <w:i/>
          <w:sz w:val="18"/>
          <w:szCs w:val="18"/>
        </w:rPr>
      </w:pPr>
      <w:r w:rsidRPr="003D6583">
        <w:rPr>
          <w:rFonts w:ascii="Arial" w:eastAsia="Calibri" w:hAnsi="Arial" w:cs="Arial"/>
          <w:i/>
          <w:sz w:val="18"/>
          <w:szCs w:val="18"/>
        </w:rPr>
        <w:t>U prosincu 2019. dobivena je od Ministarstva gospodarstva, poduzetništva i obrta vatrogasna cisterna na privremeno korištenje na temelju Ugovora o smještaju, čuvanju i održavanju opreme (rok četiri godine).</w:t>
      </w:r>
    </w:p>
    <w:p w14:paraId="3CBF9554" w14:textId="77777777" w:rsidR="00C47FD4" w:rsidRPr="003D6583" w:rsidRDefault="00C47FD4" w:rsidP="003D6583">
      <w:pPr>
        <w:spacing w:after="0" w:line="240" w:lineRule="auto"/>
        <w:ind w:left="567"/>
        <w:rPr>
          <w:rFonts w:ascii="Arial" w:eastAsia="Calibri" w:hAnsi="Arial" w:cs="Arial"/>
          <w:sz w:val="18"/>
          <w:szCs w:val="18"/>
        </w:rPr>
      </w:pPr>
    </w:p>
    <w:p w14:paraId="1CD08E83" w14:textId="092BB74E" w:rsidR="00C47FD4" w:rsidRPr="003D6583" w:rsidRDefault="00C47FD4" w:rsidP="003D6583">
      <w:pPr>
        <w:spacing w:after="0" w:line="240" w:lineRule="auto"/>
        <w:ind w:left="567"/>
        <w:rPr>
          <w:rFonts w:ascii="Arial" w:eastAsia="Calibri" w:hAnsi="Arial" w:cs="Arial"/>
          <w:sz w:val="18"/>
          <w:szCs w:val="18"/>
        </w:rPr>
      </w:pPr>
      <w:r w:rsidRPr="003D6583">
        <w:rPr>
          <w:rFonts w:ascii="Arial" w:eastAsia="Calibri" w:hAnsi="Arial" w:cs="Arial"/>
          <w:sz w:val="18"/>
          <w:szCs w:val="18"/>
        </w:rPr>
        <w:t xml:space="preserve">(U 2017. i 2018. nabava novog vatrogasnog vozila (cisterna s nadogradnjom ukupne vrijednosti 708.855,31 kn / 94.081,27 </w:t>
      </w:r>
      <w:r w:rsidR="0094285B" w:rsidRPr="003D6583">
        <w:rPr>
          <w:rFonts w:ascii="Arial" w:eastAsia="Calibri" w:hAnsi="Arial" w:cs="Arial"/>
          <w:sz w:val="18"/>
          <w:szCs w:val="18"/>
        </w:rPr>
        <w:t>€</w:t>
      </w:r>
      <w:r w:rsidRPr="003D6583">
        <w:rPr>
          <w:rFonts w:ascii="Arial" w:eastAsia="Calibri" w:hAnsi="Arial" w:cs="Arial"/>
          <w:sz w:val="18"/>
          <w:szCs w:val="18"/>
        </w:rPr>
        <w:t>).</w:t>
      </w:r>
    </w:p>
    <w:p w14:paraId="07F7E6A6" w14:textId="151078C3" w:rsidR="00C47FD4" w:rsidRPr="003D6583" w:rsidRDefault="00C47FD4" w:rsidP="003D6583">
      <w:pPr>
        <w:spacing w:after="0" w:line="240" w:lineRule="auto"/>
        <w:ind w:left="567"/>
        <w:rPr>
          <w:rFonts w:ascii="Arial" w:eastAsia="Calibri" w:hAnsi="Arial" w:cs="Arial"/>
          <w:i/>
          <w:sz w:val="18"/>
          <w:szCs w:val="18"/>
        </w:rPr>
      </w:pPr>
      <w:r w:rsidRPr="003D6583">
        <w:rPr>
          <w:rFonts w:ascii="Arial" w:eastAsia="Calibri" w:hAnsi="Arial" w:cs="Arial"/>
          <w:i/>
          <w:sz w:val="18"/>
          <w:szCs w:val="18"/>
        </w:rPr>
        <w:t xml:space="preserve">*U 2017. nabavljeno je novo vatrogasno vozilo (cisterna) u iznosu 248.125 kn / 32.931,85 </w:t>
      </w:r>
      <w:r w:rsidR="0094285B" w:rsidRPr="003D6583">
        <w:rPr>
          <w:rFonts w:ascii="Arial" w:eastAsia="Calibri" w:hAnsi="Arial" w:cs="Arial"/>
          <w:i/>
          <w:sz w:val="18"/>
          <w:szCs w:val="18"/>
        </w:rPr>
        <w:t>€</w:t>
      </w:r>
      <w:r w:rsidRPr="003D6583">
        <w:rPr>
          <w:rFonts w:ascii="Arial" w:eastAsia="Calibri" w:hAnsi="Arial" w:cs="Arial"/>
          <w:i/>
          <w:sz w:val="18"/>
          <w:szCs w:val="18"/>
        </w:rPr>
        <w:t>, odnosno nabavljeno je podvozje za vozilo autocisternu.</w:t>
      </w:r>
    </w:p>
    <w:p w14:paraId="4C58247A" w14:textId="0E48E7FC" w:rsidR="00C47FD4" w:rsidRPr="003D6583" w:rsidRDefault="00C47FD4" w:rsidP="003D6583">
      <w:pPr>
        <w:spacing w:after="0" w:line="240" w:lineRule="auto"/>
        <w:ind w:left="567"/>
        <w:rPr>
          <w:rFonts w:ascii="Arial" w:eastAsia="Calibri" w:hAnsi="Arial" w:cs="Arial"/>
          <w:i/>
          <w:sz w:val="18"/>
          <w:szCs w:val="18"/>
        </w:rPr>
      </w:pPr>
      <w:r w:rsidRPr="003D6583">
        <w:rPr>
          <w:rFonts w:ascii="Arial" w:eastAsia="Calibri" w:hAnsi="Arial" w:cs="Arial"/>
          <w:i/>
          <w:sz w:val="18"/>
          <w:szCs w:val="18"/>
        </w:rPr>
        <w:t xml:space="preserve">*U 2018. je nabavljeno vatrogasno vozilo koje je nadograđeno u skladu s vatrogasnim standardima (vozila 247.858,75 kn / 32.896,51 </w:t>
      </w:r>
      <w:r w:rsidR="0094285B" w:rsidRPr="003D6583">
        <w:rPr>
          <w:rFonts w:ascii="Arial" w:eastAsia="Calibri" w:hAnsi="Arial" w:cs="Arial"/>
          <w:i/>
          <w:sz w:val="18"/>
          <w:szCs w:val="18"/>
        </w:rPr>
        <w:t>€</w:t>
      </w:r>
      <w:r w:rsidRPr="003D6583">
        <w:rPr>
          <w:rFonts w:ascii="Arial" w:eastAsia="Calibri" w:hAnsi="Arial" w:cs="Arial"/>
          <w:i/>
          <w:sz w:val="18"/>
          <w:szCs w:val="18"/>
        </w:rPr>
        <w:t xml:space="preserve">, nadogradnja vatrogasne pumpe, crijeva i krovnog topa 133.149,06 kn / 17.601,83 </w:t>
      </w:r>
      <w:r w:rsidR="0094285B" w:rsidRPr="003D6583">
        <w:rPr>
          <w:rFonts w:ascii="Arial" w:eastAsia="Calibri" w:hAnsi="Arial" w:cs="Arial"/>
          <w:i/>
          <w:sz w:val="18"/>
          <w:szCs w:val="18"/>
        </w:rPr>
        <w:t>€</w:t>
      </w:r>
      <w:r w:rsidRPr="003D6583">
        <w:rPr>
          <w:rFonts w:ascii="Arial" w:eastAsia="Calibri" w:hAnsi="Arial" w:cs="Arial"/>
          <w:i/>
          <w:sz w:val="18"/>
          <w:szCs w:val="18"/>
        </w:rPr>
        <w:t xml:space="preserve">, prilagodba pogona kardana i vozila za nadogradnju 79.722,50 kn / 10.580,99 </w:t>
      </w:r>
      <w:r w:rsidR="0094285B" w:rsidRPr="003D6583">
        <w:rPr>
          <w:rFonts w:ascii="Arial" w:eastAsia="Calibri" w:hAnsi="Arial" w:cs="Arial"/>
          <w:i/>
          <w:sz w:val="18"/>
          <w:szCs w:val="18"/>
        </w:rPr>
        <w:t>€</w:t>
      </w:r>
      <w:r w:rsidRPr="003D6583">
        <w:rPr>
          <w:rFonts w:ascii="Arial" w:eastAsia="Calibri" w:hAnsi="Arial" w:cs="Arial"/>
          <w:i/>
          <w:sz w:val="18"/>
          <w:szCs w:val="18"/>
        </w:rPr>
        <w:t>).</w:t>
      </w:r>
    </w:p>
    <w:p w14:paraId="391FD10F" w14:textId="77777777" w:rsidR="0004293C" w:rsidRPr="00DA693C" w:rsidRDefault="0004293C" w:rsidP="00C47FD4">
      <w:pPr>
        <w:spacing w:after="0" w:line="240" w:lineRule="auto"/>
        <w:jc w:val="both"/>
        <w:rPr>
          <w:rFonts w:ascii="Arial" w:eastAsia="Calibri" w:hAnsi="Arial" w:cs="Arial"/>
          <w:sz w:val="20"/>
          <w:szCs w:val="20"/>
        </w:rPr>
      </w:pPr>
    </w:p>
    <w:p w14:paraId="14A40FF5" w14:textId="77777777" w:rsidR="0004293C" w:rsidRPr="00DA693C" w:rsidRDefault="0004293C" w:rsidP="0004293C">
      <w:pPr>
        <w:spacing w:after="0" w:line="240" w:lineRule="auto"/>
        <w:jc w:val="both"/>
        <w:rPr>
          <w:rFonts w:ascii="Arial" w:eastAsia="Calibri" w:hAnsi="Arial" w:cs="Arial"/>
          <w:sz w:val="20"/>
          <w:szCs w:val="20"/>
        </w:rPr>
      </w:pPr>
      <w:r w:rsidRPr="00DA693C">
        <w:rPr>
          <w:rFonts w:ascii="Arial" w:eastAsia="Calibri" w:hAnsi="Arial" w:cs="Arial"/>
          <w:b/>
          <w:sz w:val="20"/>
          <w:szCs w:val="20"/>
        </w:rPr>
        <w:t>6. T207108: Nabava vatrogasnog vozila</w:t>
      </w:r>
      <w:r w:rsidRPr="00DA693C">
        <w:rPr>
          <w:rFonts w:ascii="Arial" w:eastAsia="Calibri" w:hAnsi="Arial" w:cs="Arial"/>
          <w:sz w:val="20"/>
          <w:szCs w:val="20"/>
        </w:rPr>
        <w:t xml:space="preserve"> </w:t>
      </w:r>
      <w:r w:rsidRPr="00DA693C">
        <w:rPr>
          <w:rFonts w:ascii="Arial" w:eastAsia="Calibri" w:hAnsi="Arial" w:cs="Arial"/>
          <w:b/>
          <w:sz w:val="20"/>
          <w:szCs w:val="20"/>
        </w:rPr>
        <w:t>– kombinirano vozilo (voda, pjena, prah) s duplom kabinom</w:t>
      </w:r>
      <w:r w:rsidRPr="00DA693C">
        <w:rPr>
          <w:rFonts w:ascii="Arial" w:eastAsia="Calibri" w:hAnsi="Arial" w:cs="Arial"/>
          <w:sz w:val="20"/>
          <w:szCs w:val="20"/>
        </w:rPr>
        <w:t xml:space="preserve"> - </w:t>
      </w:r>
      <w:r w:rsidR="00E45952" w:rsidRPr="00DA693C">
        <w:rPr>
          <w:rFonts w:ascii="Arial" w:eastAsia="Calibri" w:hAnsi="Arial" w:cs="Arial"/>
          <w:sz w:val="20"/>
          <w:szCs w:val="20"/>
        </w:rPr>
        <w:t xml:space="preserve">u sklopu aktivnosti ne planiraju se rashodi. </w:t>
      </w:r>
    </w:p>
    <w:p w14:paraId="7504E5DE" w14:textId="77777777" w:rsidR="00E45952" w:rsidRPr="00DA693C" w:rsidRDefault="00E45952" w:rsidP="0004293C">
      <w:pPr>
        <w:spacing w:after="0" w:line="240" w:lineRule="auto"/>
        <w:jc w:val="both"/>
        <w:rPr>
          <w:rFonts w:ascii="Arial" w:eastAsia="Calibri" w:hAnsi="Arial" w:cs="Arial"/>
          <w:sz w:val="20"/>
          <w:szCs w:val="20"/>
        </w:rPr>
      </w:pPr>
    </w:p>
    <w:p w14:paraId="57F37ADF" w14:textId="270296C8" w:rsidR="0004293C" w:rsidRPr="00DA693C" w:rsidRDefault="0004293C" w:rsidP="0004293C">
      <w:pPr>
        <w:spacing w:after="0" w:line="240" w:lineRule="auto"/>
        <w:rPr>
          <w:rFonts w:ascii="Arial" w:eastAsia="Calibri" w:hAnsi="Arial" w:cs="Arial"/>
          <w:sz w:val="20"/>
          <w:szCs w:val="20"/>
        </w:rPr>
      </w:pPr>
      <w:r w:rsidRPr="00DA693C">
        <w:rPr>
          <w:rFonts w:ascii="Arial" w:eastAsia="Calibri" w:hAnsi="Arial" w:cs="Arial"/>
          <w:b/>
          <w:sz w:val="20"/>
          <w:szCs w:val="20"/>
        </w:rPr>
        <w:t>7. T207109: Nabava šumskog radnog vozila</w:t>
      </w:r>
      <w:r w:rsidRPr="00DA693C">
        <w:rPr>
          <w:rFonts w:ascii="Arial" w:eastAsia="Calibri" w:hAnsi="Arial" w:cs="Arial"/>
          <w:sz w:val="20"/>
          <w:szCs w:val="20"/>
        </w:rPr>
        <w:t xml:space="preserve"> - </w:t>
      </w:r>
      <w:r w:rsidR="00FD5B0B" w:rsidRPr="00DA693C">
        <w:rPr>
          <w:rFonts w:ascii="Arial" w:eastAsia="Calibri" w:hAnsi="Arial" w:cs="Arial"/>
          <w:sz w:val="20"/>
          <w:szCs w:val="20"/>
        </w:rPr>
        <w:t xml:space="preserve">Proračunska sredstva ne planiraju se putem ove aktivnosti. </w:t>
      </w:r>
    </w:p>
    <w:p w14:paraId="7AFC9D7C" w14:textId="77777777" w:rsidR="003D6583" w:rsidRDefault="003D6583" w:rsidP="00C47FD4">
      <w:pPr>
        <w:spacing w:after="0" w:line="240" w:lineRule="auto"/>
        <w:jc w:val="both"/>
        <w:rPr>
          <w:rFonts w:ascii="Arial" w:eastAsia="Calibri" w:hAnsi="Arial" w:cs="Arial"/>
          <w:i/>
          <w:sz w:val="20"/>
          <w:szCs w:val="20"/>
          <w:lang w:eastAsia="en-US"/>
        </w:rPr>
      </w:pPr>
    </w:p>
    <w:p w14:paraId="698A004C" w14:textId="59ADC8C9" w:rsidR="00C47FD4" w:rsidRPr="003D6583" w:rsidRDefault="00C47FD4" w:rsidP="003D6583">
      <w:pPr>
        <w:spacing w:after="0" w:line="240" w:lineRule="auto"/>
        <w:ind w:left="567"/>
        <w:jc w:val="both"/>
        <w:rPr>
          <w:rFonts w:ascii="Arial" w:eastAsia="Calibri" w:hAnsi="Arial" w:cs="Arial"/>
          <w:i/>
          <w:sz w:val="18"/>
          <w:szCs w:val="18"/>
          <w:lang w:eastAsia="en-US"/>
        </w:rPr>
      </w:pPr>
      <w:r w:rsidRPr="003D6583">
        <w:rPr>
          <w:rFonts w:ascii="Arial" w:eastAsia="Calibri" w:hAnsi="Arial" w:cs="Arial"/>
          <w:i/>
          <w:sz w:val="18"/>
          <w:szCs w:val="18"/>
          <w:lang w:eastAsia="en-US"/>
        </w:rPr>
        <w:t>(Vozilo nabavljeno putem Općine u 2018.</w:t>
      </w:r>
      <w:r w:rsidRPr="003D6583">
        <w:rPr>
          <w:rFonts w:ascii="Times New Roman" w:eastAsia="Times New Roman" w:hAnsi="Times New Roman" w:cs="Times New Roman"/>
          <w:i/>
          <w:sz w:val="18"/>
          <w:szCs w:val="18"/>
          <w:lang w:eastAsia="en-US"/>
        </w:rPr>
        <w:t xml:space="preserve"> u vrijednosti </w:t>
      </w:r>
      <w:r w:rsidRPr="003D6583">
        <w:rPr>
          <w:rFonts w:ascii="Arial" w:eastAsia="Calibri" w:hAnsi="Arial" w:cs="Arial"/>
          <w:i/>
          <w:sz w:val="18"/>
          <w:szCs w:val="18"/>
          <w:lang w:eastAsia="en-US"/>
        </w:rPr>
        <w:t xml:space="preserve">335.187,50 kn / 44.487,03 </w:t>
      </w:r>
      <w:r w:rsidR="0094285B" w:rsidRPr="003D6583">
        <w:rPr>
          <w:rFonts w:ascii="Arial" w:eastAsia="Calibri" w:hAnsi="Arial" w:cs="Arial"/>
          <w:i/>
          <w:sz w:val="18"/>
          <w:szCs w:val="18"/>
          <w:lang w:eastAsia="en-US"/>
        </w:rPr>
        <w:t>€</w:t>
      </w:r>
      <w:r w:rsidRPr="003D6583">
        <w:rPr>
          <w:rFonts w:ascii="Arial" w:eastAsia="Calibri" w:hAnsi="Arial" w:cs="Arial"/>
          <w:i/>
          <w:sz w:val="18"/>
          <w:szCs w:val="18"/>
          <w:lang w:eastAsia="en-US"/>
        </w:rPr>
        <w:t xml:space="preserve">. U lipnju 2018. je ugovorena nabava vozila UNIMOG U300 (vozilo za zimsku službu i košenje) u iznosu 249.000 kn / 33.047,98 </w:t>
      </w:r>
      <w:r w:rsidR="0094285B" w:rsidRPr="003D6583">
        <w:rPr>
          <w:rFonts w:ascii="Arial" w:eastAsia="Calibri" w:hAnsi="Arial" w:cs="Arial"/>
          <w:i/>
          <w:sz w:val="18"/>
          <w:szCs w:val="18"/>
          <w:lang w:eastAsia="en-US"/>
        </w:rPr>
        <w:t>€</w:t>
      </w:r>
      <w:r w:rsidRPr="003D6583">
        <w:rPr>
          <w:rFonts w:ascii="Arial" w:eastAsia="Calibri" w:hAnsi="Arial" w:cs="Arial"/>
          <w:i/>
          <w:sz w:val="18"/>
          <w:szCs w:val="18"/>
          <w:lang w:eastAsia="en-US"/>
        </w:rPr>
        <w:t xml:space="preserve"> nakon čega je obavljena nadogradnja vozila u iznosu 86.187,50 kn / 11.439,05 </w:t>
      </w:r>
      <w:r w:rsidR="0094285B" w:rsidRPr="003D6583">
        <w:rPr>
          <w:rFonts w:ascii="Arial" w:eastAsia="Calibri" w:hAnsi="Arial" w:cs="Arial"/>
          <w:i/>
          <w:sz w:val="18"/>
          <w:szCs w:val="18"/>
          <w:lang w:eastAsia="en-US"/>
        </w:rPr>
        <w:t>€</w:t>
      </w:r>
      <w:r w:rsidRPr="003D6583">
        <w:rPr>
          <w:rFonts w:ascii="Arial" w:eastAsia="Calibri" w:hAnsi="Arial" w:cs="Arial"/>
          <w:i/>
          <w:sz w:val="18"/>
          <w:szCs w:val="18"/>
          <w:lang w:eastAsia="en-US"/>
        </w:rPr>
        <w:t>. Vozilo je ustupljeno vatrogasnoj postrojbi bez naknade.)</w:t>
      </w:r>
    </w:p>
    <w:p w14:paraId="6E3A5C04" w14:textId="77777777" w:rsidR="00C47FD4" w:rsidRPr="00DA693C" w:rsidRDefault="00C47FD4" w:rsidP="00C47FD4">
      <w:pPr>
        <w:spacing w:after="0" w:line="240" w:lineRule="auto"/>
        <w:jc w:val="both"/>
        <w:rPr>
          <w:rFonts w:ascii="Arial" w:eastAsia="Calibri" w:hAnsi="Arial" w:cs="Arial"/>
          <w:sz w:val="20"/>
          <w:szCs w:val="20"/>
          <w:lang w:eastAsia="en-US"/>
        </w:rPr>
      </w:pPr>
    </w:p>
    <w:p w14:paraId="087D594C" w14:textId="77777777" w:rsidR="00B75C9E" w:rsidRPr="00DA693C" w:rsidRDefault="00B75C9E" w:rsidP="00B75C9E">
      <w:pPr>
        <w:spacing w:after="0" w:line="240" w:lineRule="auto"/>
        <w:jc w:val="both"/>
        <w:rPr>
          <w:rFonts w:ascii="Arial" w:eastAsia="Calibri" w:hAnsi="Arial" w:cs="Arial"/>
          <w:sz w:val="20"/>
          <w:szCs w:val="20"/>
        </w:rPr>
      </w:pPr>
      <w:r w:rsidRPr="00DA693C">
        <w:rPr>
          <w:rFonts w:ascii="Arial" w:eastAsia="Calibri" w:hAnsi="Arial" w:cs="Arial"/>
          <w:b/>
          <w:sz w:val="20"/>
          <w:szCs w:val="20"/>
        </w:rPr>
        <w:t>8. T207110: Nabava vozila za prijevoz vatrogasaca</w:t>
      </w:r>
      <w:r w:rsidRPr="00DA693C">
        <w:rPr>
          <w:rFonts w:ascii="Arial" w:eastAsia="Calibri" w:hAnsi="Arial" w:cs="Arial"/>
          <w:sz w:val="20"/>
          <w:szCs w:val="20"/>
        </w:rPr>
        <w:t xml:space="preserve"> - u sklopu aktivnosti ne planiraju se rashodi.</w:t>
      </w:r>
    </w:p>
    <w:p w14:paraId="10E62D7E" w14:textId="77777777" w:rsidR="003D6583" w:rsidRPr="00F12DCA" w:rsidRDefault="003D6583" w:rsidP="00C47FD4">
      <w:pPr>
        <w:spacing w:after="0" w:line="240" w:lineRule="auto"/>
        <w:jc w:val="both"/>
        <w:rPr>
          <w:rFonts w:ascii="Arial" w:eastAsia="Calibri" w:hAnsi="Arial" w:cs="Arial"/>
          <w:iCs/>
          <w:sz w:val="18"/>
          <w:szCs w:val="18"/>
          <w:lang w:eastAsia="en-US"/>
        </w:rPr>
      </w:pPr>
    </w:p>
    <w:p w14:paraId="1BBD9ED1" w14:textId="66456FFD" w:rsidR="00C47FD4" w:rsidRPr="003D6583" w:rsidRDefault="00C47FD4" w:rsidP="003D6583">
      <w:pPr>
        <w:spacing w:after="0" w:line="240" w:lineRule="auto"/>
        <w:ind w:left="567"/>
        <w:jc w:val="both"/>
        <w:rPr>
          <w:rFonts w:ascii="Arial" w:eastAsia="Calibri" w:hAnsi="Arial" w:cs="Arial"/>
          <w:i/>
          <w:sz w:val="18"/>
          <w:szCs w:val="18"/>
          <w:lang w:eastAsia="en-US"/>
        </w:rPr>
      </w:pPr>
      <w:r w:rsidRPr="003D6583">
        <w:rPr>
          <w:rFonts w:ascii="Arial" w:eastAsia="Calibri" w:hAnsi="Arial" w:cs="Arial"/>
          <w:i/>
          <w:sz w:val="18"/>
          <w:szCs w:val="18"/>
          <w:lang w:eastAsia="en-US"/>
        </w:rPr>
        <w:t xml:space="preserve">U rujnu 2019., na temelju zaključenog ugovora, dobiveno je na korištenje vozilo za prijevoz vatrogasaca – transporter kombi (marka VW Transporter 2.0) od Hrvatske vatrogasne zajednice na neodređeno vrijeme (vrijednost vozila 243.936,73 kn / 32.375,97 </w:t>
      </w:r>
      <w:r w:rsidR="0094285B" w:rsidRPr="003D6583">
        <w:rPr>
          <w:rFonts w:ascii="Arial" w:eastAsia="Calibri" w:hAnsi="Arial" w:cs="Arial"/>
          <w:i/>
          <w:sz w:val="18"/>
          <w:szCs w:val="18"/>
          <w:lang w:eastAsia="en-US"/>
        </w:rPr>
        <w:t>€</w:t>
      </w:r>
      <w:r w:rsidRPr="003D6583">
        <w:rPr>
          <w:rFonts w:ascii="Arial" w:eastAsia="Calibri" w:hAnsi="Arial" w:cs="Arial"/>
          <w:i/>
          <w:sz w:val="18"/>
          <w:szCs w:val="18"/>
          <w:lang w:eastAsia="en-US"/>
        </w:rPr>
        <w:t xml:space="preserve">). Ministarstvo poljoprivrede je nabavilo vozila i prenijelo u vlasništvo Hrvatskoj vatrogasnoj zajednici za potrebe vatrogasnih organizacija u RH. </w:t>
      </w:r>
    </w:p>
    <w:p w14:paraId="248AE073" w14:textId="77777777" w:rsidR="00815E54" w:rsidRPr="00DA693C" w:rsidRDefault="00815E54" w:rsidP="00C47FD4">
      <w:pPr>
        <w:spacing w:after="0" w:line="240" w:lineRule="auto"/>
        <w:jc w:val="both"/>
        <w:rPr>
          <w:rFonts w:ascii="Arial" w:eastAsia="Calibri" w:hAnsi="Arial" w:cs="Arial"/>
          <w:sz w:val="20"/>
          <w:szCs w:val="20"/>
        </w:rPr>
      </w:pPr>
    </w:p>
    <w:p w14:paraId="7ED150D3" w14:textId="545C9810" w:rsidR="0008074D" w:rsidRPr="00DA693C" w:rsidRDefault="0008074D" w:rsidP="00C47FD4">
      <w:pPr>
        <w:spacing w:after="0" w:line="240" w:lineRule="auto"/>
        <w:jc w:val="both"/>
        <w:rPr>
          <w:rFonts w:ascii="Arial" w:eastAsia="Calibri" w:hAnsi="Arial" w:cs="Arial"/>
          <w:sz w:val="20"/>
          <w:szCs w:val="20"/>
          <w:lang w:eastAsia="en-US"/>
        </w:rPr>
      </w:pPr>
      <w:r w:rsidRPr="00DA693C">
        <w:rPr>
          <w:rFonts w:ascii="Arial" w:eastAsia="Calibri" w:hAnsi="Arial" w:cs="Arial"/>
          <w:b/>
          <w:sz w:val="20"/>
          <w:szCs w:val="20"/>
        </w:rPr>
        <w:t>9. T207111: Nabava vatrogasnog vozila - autoljestve</w:t>
      </w:r>
      <w:r w:rsidRPr="00DA693C">
        <w:rPr>
          <w:rFonts w:ascii="Arial" w:eastAsia="Calibri" w:hAnsi="Arial" w:cs="Arial"/>
          <w:sz w:val="20"/>
          <w:szCs w:val="20"/>
        </w:rPr>
        <w:t xml:space="preserve"> - </w:t>
      </w:r>
      <w:r w:rsidR="00970591" w:rsidRPr="00DA693C">
        <w:rPr>
          <w:rFonts w:ascii="Arial" w:eastAsia="Calibri" w:hAnsi="Arial" w:cs="Arial"/>
          <w:sz w:val="20"/>
          <w:szCs w:val="20"/>
          <w:lang w:eastAsia="en-US"/>
        </w:rPr>
        <w:t>Sukladno obvezama propisanim za vrstu II vatrogasnih postrojbi nabavljeno je vatrogasno vozilo – autoljestve iz sredstava općinskog proračuna.</w:t>
      </w:r>
    </w:p>
    <w:p w14:paraId="64670538" w14:textId="77777777" w:rsidR="00057F77" w:rsidRPr="00DA693C" w:rsidRDefault="00057F77" w:rsidP="00C47FD4">
      <w:pPr>
        <w:spacing w:after="0" w:line="240" w:lineRule="auto"/>
        <w:rPr>
          <w:rFonts w:ascii="Arial" w:eastAsia="Calibri" w:hAnsi="Arial" w:cs="Arial"/>
          <w:sz w:val="20"/>
          <w:szCs w:val="20"/>
        </w:rPr>
      </w:pPr>
    </w:p>
    <w:p w14:paraId="2C1858F8" w14:textId="7C854579" w:rsidR="00970591" w:rsidRPr="00DA693C" w:rsidRDefault="00970591" w:rsidP="00C47FD4">
      <w:pPr>
        <w:spacing w:after="0" w:line="240" w:lineRule="auto"/>
        <w:rPr>
          <w:rFonts w:ascii="Arial" w:eastAsia="Calibri" w:hAnsi="Arial" w:cs="Arial"/>
          <w:i/>
          <w:iCs/>
          <w:sz w:val="20"/>
          <w:szCs w:val="20"/>
        </w:rPr>
      </w:pPr>
      <w:r w:rsidRPr="00DA693C">
        <w:rPr>
          <w:rFonts w:ascii="Arial" w:eastAsia="Calibri" w:hAnsi="Arial" w:cs="Arial"/>
          <w:i/>
          <w:iCs/>
          <w:sz w:val="20"/>
          <w:szCs w:val="20"/>
        </w:rPr>
        <w:t>Općina je nabavila rabljeno vozilo autoljestve u vrijednosti 19</w:t>
      </w:r>
      <w:r w:rsidR="00DE58FE" w:rsidRPr="00DA693C">
        <w:rPr>
          <w:rFonts w:ascii="Arial" w:eastAsia="Calibri" w:hAnsi="Arial" w:cs="Arial"/>
          <w:i/>
          <w:iCs/>
          <w:sz w:val="20"/>
          <w:szCs w:val="20"/>
        </w:rPr>
        <w:t>3.125 €. Nefinancijska imovina je prenesena u vlasništvo Javne vatrogasne postrojbe bez naknade.</w:t>
      </w:r>
    </w:p>
    <w:p w14:paraId="25F5A305" w14:textId="77777777" w:rsidR="00160CA2" w:rsidRPr="00DA693C" w:rsidRDefault="00160CA2" w:rsidP="00C47FD4">
      <w:pPr>
        <w:spacing w:after="0" w:line="240" w:lineRule="auto"/>
        <w:rPr>
          <w:rFonts w:ascii="Arial" w:eastAsia="Calibri" w:hAnsi="Arial" w:cs="Arial"/>
          <w:sz w:val="20"/>
          <w:szCs w:val="20"/>
        </w:rPr>
      </w:pPr>
    </w:p>
    <w:p w14:paraId="0D2F1D07" w14:textId="77777777" w:rsidR="00C47FD4" w:rsidRPr="00DA693C" w:rsidRDefault="00057F77" w:rsidP="00C47FD4">
      <w:pPr>
        <w:spacing w:after="0" w:line="240" w:lineRule="auto"/>
        <w:rPr>
          <w:rFonts w:ascii="Arial" w:eastAsia="Calibri" w:hAnsi="Arial" w:cs="Arial"/>
        </w:rPr>
      </w:pPr>
      <w:r w:rsidRPr="00DA693C">
        <w:rPr>
          <w:rFonts w:ascii="Arial" w:eastAsia="Calibri" w:hAnsi="Arial" w:cs="Arial"/>
          <w:b/>
          <w:sz w:val="20"/>
          <w:szCs w:val="20"/>
        </w:rPr>
        <w:t>10. T207112: Nabava navalnog vozila</w:t>
      </w:r>
      <w:r w:rsidRPr="00DA693C">
        <w:rPr>
          <w:rFonts w:ascii="Arial" w:eastAsia="Calibri" w:hAnsi="Arial" w:cs="Arial"/>
          <w:sz w:val="20"/>
          <w:szCs w:val="20"/>
        </w:rPr>
        <w:t xml:space="preserve"> </w:t>
      </w:r>
      <w:r w:rsidR="00C47FD4" w:rsidRPr="00DA693C">
        <w:rPr>
          <w:rFonts w:ascii="Arial" w:eastAsia="Calibri" w:hAnsi="Arial" w:cs="Arial"/>
          <w:sz w:val="20"/>
          <w:szCs w:val="20"/>
        </w:rPr>
        <w:t>–</w:t>
      </w:r>
      <w:r w:rsidRPr="00DA693C">
        <w:rPr>
          <w:rFonts w:ascii="Arial" w:eastAsia="Calibri" w:hAnsi="Arial" w:cs="Arial"/>
          <w:sz w:val="20"/>
          <w:szCs w:val="20"/>
        </w:rPr>
        <w:t xml:space="preserve"> </w:t>
      </w:r>
      <w:r w:rsidR="00C47FD4" w:rsidRPr="00DA693C">
        <w:rPr>
          <w:rFonts w:ascii="Arial" w:eastAsia="Calibri" w:hAnsi="Arial" w:cs="Arial"/>
        </w:rPr>
        <w:t>- u sklopu aktivnosti ne planiraju se rashodi.</w:t>
      </w:r>
    </w:p>
    <w:p w14:paraId="7D1D326E" w14:textId="77777777" w:rsidR="00C47FD4" w:rsidRPr="00F12DCA" w:rsidRDefault="00C47FD4" w:rsidP="00244A75">
      <w:pPr>
        <w:spacing w:after="0" w:line="240" w:lineRule="auto"/>
        <w:jc w:val="both"/>
        <w:rPr>
          <w:rFonts w:ascii="Arial" w:eastAsia="Calibri" w:hAnsi="Arial" w:cs="Arial"/>
          <w:sz w:val="18"/>
          <w:szCs w:val="18"/>
        </w:rPr>
      </w:pPr>
    </w:p>
    <w:p w14:paraId="4275E4FC" w14:textId="1BF6DB00" w:rsidR="00C47FD4" w:rsidRPr="003D6583" w:rsidRDefault="00C47FD4" w:rsidP="003D6583">
      <w:pPr>
        <w:spacing w:after="0" w:line="240" w:lineRule="auto"/>
        <w:ind w:left="567"/>
        <w:jc w:val="both"/>
        <w:rPr>
          <w:rFonts w:ascii="Arial" w:eastAsia="Calibri" w:hAnsi="Arial" w:cs="Arial"/>
          <w:i/>
          <w:iCs/>
          <w:sz w:val="18"/>
          <w:szCs w:val="18"/>
          <w:lang w:eastAsia="en-US"/>
        </w:rPr>
      </w:pPr>
      <w:r w:rsidRPr="003D6583">
        <w:rPr>
          <w:rFonts w:ascii="Arial" w:eastAsia="Calibri" w:hAnsi="Arial" w:cs="Arial"/>
          <w:i/>
          <w:iCs/>
          <w:sz w:val="18"/>
          <w:szCs w:val="18"/>
        </w:rPr>
        <w:t xml:space="preserve">Vozilo je nabavljeno sredinom 2022. godine putem projekta Flood and Fire, odnosno sufinanciranjem iz EU sredstava. Radi se o navalnom vozilu s duplom kabinom marke Man ukupne vrijednosti 1.498.375,00 kn / 198.868,54 </w:t>
      </w:r>
      <w:r w:rsidR="0094285B" w:rsidRPr="003D6583">
        <w:rPr>
          <w:rFonts w:ascii="Arial" w:eastAsia="Calibri" w:hAnsi="Arial" w:cs="Arial"/>
          <w:i/>
          <w:iCs/>
          <w:sz w:val="18"/>
          <w:szCs w:val="18"/>
        </w:rPr>
        <w:t>€</w:t>
      </w:r>
      <w:r w:rsidRPr="003D6583">
        <w:rPr>
          <w:rFonts w:ascii="Arial" w:eastAsia="Calibri" w:hAnsi="Arial" w:cs="Arial"/>
          <w:i/>
          <w:iCs/>
          <w:sz w:val="18"/>
          <w:szCs w:val="18"/>
        </w:rPr>
        <w:t>.</w:t>
      </w:r>
    </w:p>
    <w:p w14:paraId="3A259222" w14:textId="77777777" w:rsidR="00057F77" w:rsidRPr="00DA693C" w:rsidRDefault="00057F77" w:rsidP="00057F77">
      <w:pPr>
        <w:spacing w:after="0" w:line="240" w:lineRule="auto"/>
        <w:rPr>
          <w:rFonts w:ascii="Arial" w:eastAsia="Calibri" w:hAnsi="Arial" w:cs="Arial"/>
          <w:sz w:val="20"/>
          <w:szCs w:val="20"/>
        </w:rPr>
      </w:pPr>
    </w:p>
    <w:p w14:paraId="4E63E4BD" w14:textId="261D3974" w:rsidR="00057F77" w:rsidRPr="00DA693C" w:rsidRDefault="00057F77" w:rsidP="00057F77">
      <w:pPr>
        <w:spacing w:after="0" w:line="240" w:lineRule="auto"/>
        <w:rPr>
          <w:rFonts w:ascii="Arial" w:eastAsia="Calibri" w:hAnsi="Arial" w:cs="Arial"/>
          <w:sz w:val="20"/>
          <w:szCs w:val="20"/>
        </w:rPr>
      </w:pPr>
      <w:r w:rsidRPr="00DA693C">
        <w:rPr>
          <w:rFonts w:ascii="Arial" w:eastAsia="Calibri" w:hAnsi="Arial" w:cs="Arial"/>
          <w:b/>
          <w:sz w:val="20"/>
          <w:szCs w:val="20"/>
        </w:rPr>
        <w:t>11. T207114: Nabava malog vozila za tehničke intervencije</w:t>
      </w:r>
      <w:r w:rsidRPr="00DA693C">
        <w:rPr>
          <w:rFonts w:ascii="Arial" w:eastAsia="Calibri" w:hAnsi="Arial" w:cs="Arial"/>
          <w:sz w:val="20"/>
          <w:szCs w:val="20"/>
        </w:rPr>
        <w:t xml:space="preserve"> - u sklopu aktivnosti ne planiraju se rashodi.</w:t>
      </w:r>
    </w:p>
    <w:p w14:paraId="694AFDF3" w14:textId="77777777" w:rsidR="00057F77" w:rsidRPr="00DA693C" w:rsidRDefault="00057F77" w:rsidP="00057F77">
      <w:pPr>
        <w:spacing w:after="0" w:line="240" w:lineRule="auto"/>
        <w:rPr>
          <w:rFonts w:ascii="Arial" w:eastAsia="Calibri" w:hAnsi="Arial" w:cs="Arial"/>
          <w:sz w:val="20"/>
          <w:szCs w:val="20"/>
        </w:rPr>
      </w:pPr>
    </w:p>
    <w:p w14:paraId="56845F68" w14:textId="77777777" w:rsidR="00160CA2" w:rsidRPr="00DA693C" w:rsidRDefault="00160CA2" w:rsidP="0004293C">
      <w:pPr>
        <w:spacing w:after="0" w:line="240" w:lineRule="auto"/>
        <w:jc w:val="both"/>
        <w:rPr>
          <w:rFonts w:ascii="Arial" w:eastAsia="Calibri" w:hAnsi="Arial" w:cs="Arial"/>
          <w:sz w:val="20"/>
          <w:szCs w:val="20"/>
        </w:rPr>
      </w:pPr>
    </w:p>
    <w:p w14:paraId="410978CB" w14:textId="77777777" w:rsidR="0004293C" w:rsidRDefault="0004293C" w:rsidP="0004293C">
      <w:pPr>
        <w:autoSpaceDE w:val="0"/>
        <w:autoSpaceDN w:val="0"/>
        <w:adjustRightInd w:val="0"/>
        <w:spacing w:after="0" w:line="240" w:lineRule="auto"/>
        <w:jc w:val="both"/>
        <w:rPr>
          <w:rFonts w:ascii="Arial" w:eastAsia="Calibri" w:hAnsi="Arial" w:cs="Arial"/>
          <w:sz w:val="20"/>
          <w:szCs w:val="20"/>
        </w:rPr>
      </w:pPr>
      <w:r w:rsidRPr="00DA693C">
        <w:rPr>
          <w:rFonts w:ascii="Arial" w:eastAsia="Calibri" w:hAnsi="Arial" w:cs="Arial"/>
          <w:sz w:val="20"/>
          <w:szCs w:val="20"/>
        </w:rPr>
        <w:t xml:space="preserve">Aktivnosti vezane uz opće ciljeve postignute su sukladno postocima izvršenja i u skladu s očekivanom dinamikom izvršenja rashoda. </w:t>
      </w:r>
    </w:p>
    <w:p w14:paraId="4DEAD715" w14:textId="77777777" w:rsidR="007932F6" w:rsidRPr="00DA693C" w:rsidRDefault="007932F6" w:rsidP="0004293C">
      <w:pPr>
        <w:autoSpaceDE w:val="0"/>
        <w:autoSpaceDN w:val="0"/>
        <w:adjustRightInd w:val="0"/>
        <w:spacing w:after="0" w:line="240" w:lineRule="auto"/>
        <w:jc w:val="both"/>
        <w:rPr>
          <w:rFonts w:ascii="Arial" w:eastAsia="Calibri" w:hAnsi="Arial" w:cs="Arial"/>
          <w:sz w:val="20"/>
          <w:szCs w:val="20"/>
        </w:rPr>
      </w:pPr>
    </w:p>
    <w:p w14:paraId="4565ADE9" w14:textId="77777777" w:rsidR="00163183" w:rsidRPr="00DA693C" w:rsidRDefault="00163183" w:rsidP="0004293C">
      <w:pPr>
        <w:spacing w:after="0" w:line="240" w:lineRule="auto"/>
        <w:rPr>
          <w:rFonts w:ascii="Arial" w:eastAsia="Calibri" w:hAnsi="Arial" w:cs="Arial"/>
          <w:sz w:val="20"/>
          <w:szCs w:val="20"/>
        </w:rPr>
      </w:pPr>
    </w:p>
    <w:p w14:paraId="362FAD7F" w14:textId="6F525402" w:rsidR="00160CA2" w:rsidRPr="00DA693C" w:rsidRDefault="00160CA2" w:rsidP="00160CA2">
      <w:pPr>
        <w:autoSpaceDE w:val="0"/>
        <w:autoSpaceDN w:val="0"/>
        <w:adjustRightInd w:val="0"/>
        <w:spacing w:after="0" w:line="240" w:lineRule="auto"/>
        <w:jc w:val="center"/>
        <w:rPr>
          <w:rFonts w:ascii="Arial" w:eastAsia="Calibri" w:hAnsi="Arial" w:cs="Arial"/>
          <w:b/>
          <w:bCs/>
          <w:i/>
          <w:iCs/>
          <w:sz w:val="20"/>
          <w:szCs w:val="20"/>
        </w:rPr>
      </w:pPr>
      <w:r w:rsidRPr="00DA693C">
        <w:rPr>
          <w:rFonts w:ascii="Arial" w:eastAsia="Calibri" w:hAnsi="Arial" w:cs="Arial"/>
          <w:b/>
          <w:bCs/>
          <w:i/>
          <w:iCs/>
          <w:sz w:val="20"/>
          <w:szCs w:val="20"/>
        </w:rPr>
        <w:t>POSEBNI IZVJEŠTAJI O IZVRŠENJU GODIŠNJEG PRORAČUNA ZA 2024.god.</w:t>
      </w:r>
    </w:p>
    <w:p w14:paraId="5E1FA312" w14:textId="77777777" w:rsidR="00160CA2" w:rsidRPr="00DA693C" w:rsidRDefault="00160CA2" w:rsidP="00160CA2">
      <w:pPr>
        <w:rPr>
          <w:sz w:val="20"/>
          <w:szCs w:val="20"/>
        </w:rPr>
      </w:pPr>
    </w:p>
    <w:p w14:paraId="47392AD8" w14:textId="77777777" w:rsidR="00C24B02" w:rsidRPr="00C24B02" w:rsidRDefault="00C24B02" w:rsidP="00C24B02">
      <w:pPr>
        <w:spacing w:after="0" w:line="240" w:lineRule="auto"/>
        <w:jc w:val="both"/>
        <w:rPr>
          <w:rFonts w:ascii="Arial" w:eastAsia="Calibri" w:hAnsi="Arial" w:cs="Arial"/>
          <w:sz w:val="20"/>
          <w:szCs w:val="20"/>
        </w:rPr>
      </w:pPr>
      <w:r w:rsidRPr="00C24B02">
        <w:rPr>
          <w:rFonts w:ascii="Arial" w:eastAsia="Calibri" w:hAnsi="Arial" w:cs="Arial"/>
          <w:sz w:val="20"/>
          <w:szCs w:val="20"/>
        </w:rPr>
        <w:lastRenderedPageBreak/>
        <w:t>Javna vatrogasna postroja Konavle nema korištenih proračunskih zaliha</w:t>
      </w:r>
    </w:p>
    <w:p w14:paraId="772D8851" w14:textId="77777777" w:rsidR="00C24B02" w:rsidRPr="00C24B02" w:rsidRDefault="00C24B02" w:rsidP="00C24B02">
      <w:pPr>
        <w:spacing w:after="0" w:line="240" w:lineRule="auto"/>
        <w:jc w:val="both"/>
        <w:rPr>
          <w:rFonts w:ascii="Arial" w:eastAsia="Calibri" w:hAnsi="Arial" w:cs="Arial"/>
          <w:sz w:val="20"/>
          <w:szCs w:val="20"/>
        </w:rPr>
      </w:pPr>
      <w:r w:rsidRPr="00C24B02">
        <w:rPr>
          <w:rFonts w:ascii="Arial" w:eastAsia="Calibri" w:hAnsi="Arial" w:cs="Arial"/>
          <w:sz w:val="20"/>
          <w:szCs w:val="20"/>
        </w:rPr>
        <w:t>Javna vatrogasna postrojba Konavle nema korištenih sredstva iz fondova Europske unije</w:t>
      </w:r>
    </w:p>
    <w:p w14:paraId="28D38230" w14:textId="77777777" w:rsidR="00C24B02" w:rsidRPr="00C24B02" w:rsidRDefault="00C24B02" w:rsidP="00C24B02">
      <w:pPr>
        <w:spacing w:after="0" w:line="240" w:lineRule="auto"/>
        <w:jc w:val="both"/>
        <w:rPr>
          <w:rFonts w:ascii="Arial" w:eastAsia="Calibri" w:hAnsi="Arial" w:cs="Arial"/>
          <w:sz w:val="20"/>
          <w:szCs w:val="20"/>
        </w:rPr>
      </w:pPr>
      <w:r w:rsidRPr="00C24B02">
        <w:rPr>
          <w:rFonts w:ascii="Arial" w:eastAsia="Calibri" w:hAnsi="Arial" w:cs="Arial"/>
          <w:sz w:val="20"/>
          <w:szCs w:val="20"/>
        </w:rPr>
        <w:t>Javna vatrogasna postrojba Konavle nema zaduživanja na domaćem  i stranom tržištu novca i kapitala.</w:t>
      </w:r>
    </w:p>
    <w:p w14:paraId="55364187" w14:textId="77777777" w:rsidR="00C24B02" w:rsidRPr="00C24B02" w:rsidRDefault="00C24B02" w:rsidP="00C24B02">
      <w:pPr>
        <w:spacing w:after="0" w:line="240" w:lineRule="auto"/>
        <w:jc w:val="both"/>
        <w:rPr>
          <w:rFonts w:ascii="Arial" w:eastAsia="Calibri" w:hAnsi="Arial" w:cs="Arial"/>
          <w:sz w:val="20"/>
          <w:szCs w:val="20"/>
        </w:rPr>
      </w:pPr>
      <w:r w:rsidRPr="00C24B02">
        <w:rPr>
          <w:rFonts w:ascii="Arial" w:eastAsia="Calibri" w:hAnsi="Arial" w:cs="Arial"/>
          <w:sz w:val="20"/>
          <w:szCs w:val="20"/>
        </w:rPr>
        <w:t>Javna vatrogasna postrojba Konavle nema dane zajmove ni potraživanja po danim zajmovima.</w:t>
      </w:r>
    </w:p>
    <w:p w14:paraId="1D7CCCEF" w14:textId="7034FF13" w:rsidR="00C24B02" w:rsidRPr="00C24B02" w:rsidRDefault="00C24B02" w:rsidP="00C24B02">
      <w:pPr>
        <w:spacing w:after="0" w:line="240" w:lineRule="auto"/>
        <w:jc w:val="both"/>
        <w:rPr>
          <w:rFonts w:ascii="Arial" w:eastAsia="Calibri" w:hAnsi="Arial" w:cs="Arial"/>
          <w:sz w:val="20"/>
          <w:szCs w:val="20"/>
        </w:rPr>
      </w:pPr>
      <w:r w:rsidRPr="00C24B02">
        <w:rPr>
          <w:rFonts w:ascii="Arial" w:eastAsia="Calibri" w:hAnsi="Arial" w:cs="Arial"/>
          <w:sz w:val="20"/>
          <w:szCs w:val="20"/>
        </w:rPr>
        <w:t>Javna vatrogasna postrojba Konavle nema danih jamstava i plaćanja protestiranim jamstvima.</w:t>
      </w:r>
    </w:p>
    <w:p w14:paraId="68F6DE2F" w14:textId="14C32A6B" w:rsidR="00160CA2" w:rsidRDefault="00C24B02" w:rsidP="00C24B02">
      <w:pPr>
        <w:spacing w:after="0" w:line="240" w:lineRule="auto"/>
        <w:jc w:val="both"/>
        <w:rPr>
          <w:rFonts w:ascii="Arial" w:eastAsia="Calibri" w:hAnsi="Arial" w:cs="Arial"/>
          <w:sz w:val="20"/>
          <w:szCs w:val="20"/>
        </w:rPr>
      </w:pPr>
      <w:r w:rsidRPr="00C24B02">
        <w:rPr>
          <w:rFonts w:ascii="Arial" w:eastAsia="Calibri" w:hAnsi="Arial" w:cs="Arial"/>
          <w:sz w:val="20"/>
          <w:szCs w:val="20"/>
        </w:rPr>
        <w:t>Javna vatrogasna postrojba Konavle nema potraživanja i dospjelih obveza te potencijalnih obveza po osnovi sudskih sporova.</w:t>
      </w:r>
    </w:p>
    <w:p w14:paraId="30785E37" w14:textId="77777777" w:rsidR="00C24B02" w:rsidRPr="00DA693C" w:rsidRDefault="00C24B02" w:rsidP="00C24B02">
      <w:pPr>
        <w:spacing w:after="0" w:line="240" w:lineRule="auto"/>
        <w:jc w:val="both"/>
        <w:rPr>
          <w:rFonts w:ascii="Arial" w:eastAsia="Calibri" w:hAnsi="Arial" w:cs="Arial"/>
        </w:rPr>
      </w:pPr>
    </w:p>
    <w:p w14:paraId="058363E2" w14:textId="463D7C53" w:rsidR="00DE58FE" w:rsidRPr="00DA693C" w:rsidRDefault="00DE58FE" w:rsidP="00DE58FE">
      <w:pPr>
        <w:autoSpaceDE w:val="0"/>
        <w:autoSpaceDN w:val="0"/>
        <w:adjustRightInd w:val="0"/>
        <w:spacing w:after="0" w:line="240" w:lineRule="auto"/>
        <w:jc w:val="both"/>
        <w:rPr>
          <w:rFonts w:ascii="Arial" w:eastAsia="Calibri" w:hAnsi="Arial" w:cs="Arial"/>
          <w:sz w:val="20"/>
          <w:szCs w:val="20"/>
        </w:rPr>
      </w:pPr>
      <w:r w:rsidRPr="00DA693C">
        <w:rPr>
          <w:rFonts w:ascii="Arial" w:eastAsia="Calibri" w:hAnsi="Arial" w:cs="Arial"/>
          <w:sz w:val="20"/>
          <w:szCs w:val="20"/>
        </w:rPr>
        <w:t xml:space="preserve">Stanje nepodmirenih obaveza na dan </w:t>
      </w:r>
      <w:r w:rsidR="00C24B02">
        <w:rPr>
          <w:rFonts w:ascii="Arial" w:eastAsia="Calibri" w:hAnsi="Arial" w:cs="Arial"/>
          <w:sz w:val="20"/>
          <w:szCs w:val="20"/>
        </w:rPr>
        <w:t>31.12</w:t>
      </w:r>
      <w:r w:rsidR="008C2DB6">
        <w:rPr>
          <w:rFonts w:ascii="Arial" w:eastAsia="Calibri" w:hAnsi="Arial" w:cs="Arial"/>
          <w:sz w:val="20"/>
          <w:szCs w:val="20"/>
        </w:rPr>
        <w:t>.2025</w:t>
      </w:r>
      <w:r w:rsidRPr="00DA693C">
        <w:rPr>
          <w:rFonts w:ascii="Arial" w:eastAsia="Calibri" w:hAnsi="Arial" w:cs="Arial"/>
          <w:sz w:val="20"/>
          <w:szCs w:val="20"/>
        </w:rPr>
        <w:t xml:space="preserve">. godine iznose sveukupno </w:t>
      </w:r>
      <w:r w:rsidR="00C24B02">
        <w:rPr>
          <w:rFonts w:ascii="Arial" w:eastAsia="Calibri" w:hAnsi="Arial" w:cs="Arial"/>
          <w:sz w:val="20"/>
          <w:szCs w:val="20"/>
        </w:rPr>
        <w:t>63.943,52</w:t>
      </w:r>
      <w:r w:rsidRPr="00DA693C">
        <w:rPr>
          <w:rFonts w:ascii="Arial" w:eastAsia="Calibri" w:hAnsi="Arial" w:cs="Arial"/>
          <w:sz w:val="20"/>
          <w:szCs w:val="20"/>
        </w:rPr>
        <w:t xml:space="preserve"> </w:t>
      </w:r>
      <w:r w:rsidR="00E0704C">
        <w:rPr>
          <w:rFonts w:ascii="Arial" w:eastAsia="Calibri" w:hAnsi="Arial" w:cs="Arial"/>
          <w:sz w:val="20"/>
          <w:szCs w:val="20"/>
        </w:rPr>
        <w:t>€</w:t>
      </w:r>
      <w:r w:rsidRPr="00DA693C">
        <w:rPr>
          <w:rFonts w:ascii="Arial" w:eastAsia="Calibri" w:hAnsi="Arial" w:cs="Arial"/>
          <w:sz w:val="20"/>
          <w:szCs w:val="20"/>
        </w:rPr>
        <w:t xml:space="preserve">  i odnosi se na nedospjele obaveze za račune iz mjeseca </w:t>
      </w:r>
      <w:r w:rsidR="00C24B02">
        <w:rPr>
          <w:rFonts w:ascii="Arial" w:eastAsia="Calibri" w:hAnsi="Arial" w:cs="Arial"/>
          <w:sz w:val="20"/>
          <w:szCs w:val="20"/>
        </w:rPr>
        <w:t>prosinca</w:t>
      </w:r>
      <w:r w:rsidRPr="00DA693C">
        <w:rPr>
          <w:rFonts w:ascii="Arial" w:eastAsia="Calibri" w:hAnsi="Arial" w:cs="Arial"/>
          <w:sz w:val="20"/>
          <w:szCs w:val="20"/>
        </w:rPr>
        <w:t xml:space="preserve"> 202</w:t>
      </w:r>
      <w:r w:rsidR="008C2DB6">
        <w:rPr>
          <w:rFonts w:ascii="Arial" w:eastAsia="Calibri" w:hAnsi="Arial" w:cs="Arial"/>
          <w:sz w:val="20"/>
          <w:szCs w:val="20"/>
        </w:rPr>
        <w:t>5</w:t>
      </w:r>
      <w:r w:rsidRPr="00DA693C">
        <w:rPr>
          <w:rFonts w:ascii="Arial" w:eastAsia="Calibri" w:hAnsi="Arial" w:cs="Arial"/>
          <w:sz w:val="20"/>
          <w:szCs w:val="20"/>
        </w:rPr>
        <w:t xml:space="preserve">.god., a koji dospijevaju u </w:t>
      </w:r>
      <w:r w:rsidR="00C24B02">
        <w:rPr>
          <w:rFonts w:ascii="Arial" w:eastAsia="Calibri" w:hAnsi="Arial" w:cs="Arial"/>
          <w:sz w:val="20"/>
          <w:szCs w:val="20"/>
        </w:rPr>
        <w:t>siječnju</w:t>
      </w:r>
      <w:r w:rsidRPr="00DA693C">
        <w:rPr>
          <w:rFonts w:ascii="Arial" w:eastAsia="Calibri" w:hAnsi="Arial" w:cs="Arial"/>
          <w:sz w:val="20"/>
          <w:szCs w:val="20"/>
        </w:rPr>
        <w:t xml:space="preserve"> 202</w:t>
      </w:r>
      <w:r w:rsidR="00C24B02">
        <w:rPr>
          <w:rFonts w:ascii="Arial" w:eastAsia="Calibri" w:hAnsi="Arial" w:cs="Arial"/>
          <w:sz w:val="20"/>
          <w:szCs w:val="20"/>
        </w:rPr>
        <w:t>6</w:t>
      </w:r>
      <w:r w:rsidRPr="00DA693C">
        <w:rPr>
          <w:rFonts w:ascii="Arial" w:eastAsia="Calibri" w:hAnsi="Arial" w:cs="Arial"/>
          <w:sz w:val="20"/>
          <w:szCs w:val="20"/>
        </w:rPr>
        <w:t xml:space="preserve">.godine te na plaću za mjesec </w:t>
      </w:r>
      <w:r w:rsidR="00C24B02">
        <w:rPr>
          <w:rFonts w:ascii="Arial" w:eastAsia="Calibri" w:hAnsi="Arial" w:cs="Arial"/>
          <w:sz w:val="20"/>
          <w:szCs w:val="20"/>
        </w:rPr>
        <w:t>prosinac</w:t>
      </w:r>
      <w:r w:rsidRPr="00DA693C">
        <w:rPr>
          <w:rFonts w:ascii="Arial" w:eastAsia="Calibri" w:hAnsi="Arial" w:cs="Arial"/>
          <w:sz w:val="20"/>
          <w:szCs w:val="20"/>
        </w:rPr>
        <w:t xml:space="preserve"> 202</w:t>
      </w:r>
      <w:r w:rsidR="008C2DB6">
        <w:rPr>
          <w:rFonts w:ascii="Arial" w:eastAsia="Calibri" w:hAnsi="Arial" w:cs="Arial"/>
          <w:sz w:val="20"/>
          <w:szCs w:val="20"/>
        </w:rPr>
        <w:t>5</w:t>
      </w:r>
      <w:r w:rsidRPr="00DA693C">
        <w:rPr>
          <w:rFonts w:ascii="Arial" w:eastAsia="Calibri" w:hAnsi="Arial" w:cs="Arial"/>
          <w:sz w:val="20"/>
          <w:szCs w:val="20"/>
        </w:rPr>
        <w:t xml:space="preserve">.godine koja </w:t>
      </w:r>
      <w:r w:rsidR="003D6583">
        <w:rPr>
          <w:rFonts w:ascii="Arial" w:eastAsia="Calibri" w:hAnsi="Arial" w:cs="Arial"/>
          <w:sz w:val="20"/>
          <w:szCs w:val="20"/>
        </w:rPr>
        <w:t xml:space="preserve">se isplaćuje </w:t>
      </w:r>
      <w:r w:rsidRPr="00DA693C">
        <w:rPr>
          <w:rFonts w:ascii="Arial" w:eastAsia="Calibri" w:hAnsi="Arial" w:cs="Arial"/>
          <w:sz w:val="20"/>
          <w:szCs w:val="20"/>
        </w:rPr>
        <w:t xml:space="preserve">u </w:t>
      </w:r>
      <w:r w:rsidR="00C24B02">
        <w:rPr>
          <w:rFonts w:ascii="Arial" w:eastAsia="Calibri" w:hAnsi="Arial" w:cs="Arial"/>
          <w:sz w:val="20"/>
          <w:szCs w:val="20"/>
        </w:rPr>
        <w:t>siječnju</w:t>
      </w:r>
      <w:r w:rsidRPr="00DA693C">
        <w:rPr>
          <w:rFonts w:ascii="Arial" w:eastAsia="Calibri" w:hAnsi="Arial" w:cs="Arial"/>
          <w:sz w:val="20"/>
          <w:szCs w:val="20"/>
        </w:rPr>
        <w:t xml:space="preserve"> 202</w:t>
      </w:r>
      <w:r w:rsidR="00C24B02">
        <w:rPr>
          <w:rFonts w:ascii="Arial" w:eastAsia="Calibri" w:hAnsi="Arial" w:cs="Arial"/>
          <w:sz w:val="20"/>
          <w:szCs w:val="20"/>
        </w:rPr>
        <w:t>6</w:t>
      </w:r>
      <w:r w:rsidRPr="00DA693C">
        <w:rPr>
          <w:rFonts w:ascii="Arial" w:eastAsia="Calibri" w:hAnsi="Arial" w:cs="Arial"/>
          <w:sz w:val="20"/>
          <w:szCs w:val="20"/>
        </w:rPr>
        <w:t>.godine.</w:t>
      </w:r>
    </w:p>
    <w:p w14:paraId="1C9B8CED" w14:textId="2BE94745" w:rsidR="00DE58FE" w:rsidRPr="00DA693C" w:rsidRDefault="00DE58FE" w:rsidP="00DE58FE">
      <w:pPr>
        <w:autoSpaceDE w:val="0"/>
        <w:autoSpaceDN w:val="0"/>
        <w:adjustRightInd w:val="0"/>
        <w:spacing w:after="0" w:line="240" w:lineRule="auto"/>
        <w:jc w:val="both"/>
        <w:rPr>
          <w:rFonts w:ascii="Arial" w:eastAsia="Calibri" w:hAnsi="Arial" w:cs="Arial"/>
          <w:sz w:val="20"/>
          <w:szCs w:val="20"/>
        </w:rPr>
      </w:pPr>
      <w:r w:rsidRPr="00DA693C">
        <w:rPr>
          <w:rFonts w:ascii="Arial" w:eastAsia="Calibri" w:hAnsi="Arial" w:cs="Arial"/>
          <w:sz w:val="20"/>
          <w:szCs w:val="20"/>
        </w:rPr>
        <w:t xml:space="preserve">Plaće za zaposlene za mjesec </w:t>
      </w:r>
      <w:r w:rsidR="00C24B02">
        <w:rPr>
          <w:rFonts w:ascii="Arial" w:eastAsia="Calibri" w:hAnsi="Arial" w:cs="Arial"/>
          <w:sz w:val="20"/>
          <w:szCs w:val="20"/>
        </w:rPr>
        <w:t>prosinac</w:t>
      </w:r>
      <w:r w:rsidRPr="00DA693C">
        <w:rPr>
          <w:rFonts w:ascii="Arial" w:eastAsia="Calibri" w:hAnsi="Arial" w:cs="Arial"/>
          <w:sz w:val="20"/>
          <w:szCs w:val="20"/>
        </w:rPr>
        <w:t xml:space="preserve"> 202</w:t>
      </w:r>
      <w:r w:rsidR="008C2DB6">
        <w:rPr>
          <w:rFonts w:ascii="Arial" w:eastAsia="Calibri" w:hAnsi="Arial" w:cs="Arial"/>
          <w:sz w:val="20"/>
          <w:szCs w:val="20"/>
        </w:rPr>
        <w:t>5</w:t>
      </w:r>
      <w:r w:rsidRPr="00DA693C">
        <w:rPr>
          <w:rFonts w:ascii="Arial" w:eastAsia="Calibri" w:hAnsi="Arial" w:cs="Arial"/>
          <w:sz w:val="20"/>
          <w:szCs w:val="20"/>
        </w:rPr>
        <w:t>.</w:t>
      </w:r>
      <w:r w:rsidR="008C2DB6">
        <w:rPr>
          <w:rFonts w:ascii="Arial" w:eastAsia="Calibri" w:hAnsi="Arial" w:cs="Arial"/>
          <w:sz w:val="20"/>
          <w:szCs w:val="20"/>
        </w:rPr>
        <w:t xml:space="preserve"> </w:t>
      </w:r>
      <w:r w:rsidRPr="00DA693C">
        <w:rPr>
          <w:rFonts w:ascii="Arial" w:eastAsia="Calibri" w:hAnsi="Arial" w:cs="Arial"/>
          <w:sz w:val="20"/>
          <w:szCs w:val="20"/>
        </w:rPr>
        <w:t xml:space="preserve">godine iznose </w:t>
      </w:r>
      <w:r w:rsidR="00C24B02">
        <w:rPr>
          <w:rFonts w:ascii="Arial" w:hAnsi="Arial" w:cs="Arial"/>
          <w:sz w:val="20"/>
          <w:szCs w:val="20"/>
        </w:rPr>
        <w:t>61.144,35</w:t>
      </w:r>
      <w:r w:rsidRPr="00DA693C">
        <w:rPr>
          <w:b/>
          <w:bCs/>
          <w:sz w:val="18"/>
          <w:szCs w:val="18"/>
        </w:rPr>
        <w:t xml:space="preserve"> </w:t>
      </w:r>
      <w:r w:rsidR="003B6C70">
        <w:rPr>
          <w:rFonts w:ascii="Arial" w:eastAsia="Calibri" w:hAnsi="Arial" w:cs="Arial"/>
          <w:sz w:val="20"/>
          <w:szCs w:val="20"/>
        </w:rPr>
        <w:t>€</w:t>
      </w:r>
      <w:r w:rsidRPr="00DA693C">
        <w:rPr>
          <w:rFonts w:ascii="Arial" w:eastAsia="Calibri" w:hAnsi="Arial" w:cs="Arial"/>
          <w:sz w:val="20"/>
          <w:szCs w:val="20"/>
        </w:rPr>
        <w:t xml:space="preserve">, dok obaveze za materijalne rashode iznose </w:t>
      </w:r>
      <w:r w:rsidR="00C24B02">
        <w:rPr>
          <w:rFonts w:ascii="Arial" w:eastAsia="Calibri" w:hAnsi="Arial" w:cs="Arial"/>
          <w:sz w:val="20"/>
          <w:szCs w:val="20"/>
        </w:rPr>
        <w:t>2.799,17</w:t>
      </w:r>
      <w:r w:rsidRPr="00DA693C">
        <w:rPr>
          <w:rFonts w:ascii="Arial" w:eastAsia="Calibri" w:hAnsi="Arial" w:cs="Arial"/>
          <w:sz w:val="20"/>
          <w:szCs w:val="20"/>
        </w:rPr>
        <w:t xml:space="preserve"> </w:t>
      </w:r>
      <w:r w:rsidR="003B6C70">
        <w:rPr>
          <w:rFonts w:ascii="Arial" w:eastAsia="Calibri" w:hAnsi="Arial" w:cs="Arial"/>
          <w:sz w:val="20"/>
          <w:szCs w:val="20"/>
        </w:rPr>
        <w:t>€</w:t>
      </w:r>
      <w:r w:rsidR="00C24B02">
        <w:rPr>
          <w:rFonts w:ascii="Arial" w:eastAsia="Calibri" w:hAnsi="Arial" w:cs="Arial"/>
          <w:sz w:val="20"/>
          <w:szCs w:val="20"/>
        </w:rPr>
        <w:t xml:space="preserve"> u okviru koji su naknade za prijevoz 885,20 €</w:t>
      </w:r>
      <w:r w:rsidRPr="00DA693C">
        <w:rPr>
          <w:rFonts w:ascii="Arial" w:eastAsia="Calibri" w:hAnsi="Arial" w:cs="Arial"/>
          <w:sz w:val="20"/>
          <w:szCs w:val="20"/>
        </w:rPr>
        <w:t>.</w:t>
      </w:r>
    </w:p>
    <w:p w14:paraId="4C26B6B2" w14:textId="77777777" w:rsidR="00160CA2" w:rsidRPr="00DA693C" w:rsidRDefault="00160CA2" w:rsidP="00160CA2">
      <w:pPr>
        <w:spacing w:after="0" w:line="240" w:lineRule="auto"/>
        <w:jc w:val="both"/>
        <w:rPr>
          <w:rFonts w:ascii="Arial" w:eastAsia="Calibri" w:hAnsi="Arial" w:cs="Arial"/>
          <w:sz w:val="18"/>
          <w:szCs w:val="18"/>
        </w:rPr>
      </w:pPr>
    </w:p>
    <w:p w14:paraId="043BAD20" w14:textId="79501775" w:rsidR="00160CA2" w:rsidRPr="00DA693C" w:rsidRDefault="00160CA2" w:rsidP="00160CA2">
      <w:pPr>
        <w:spacing w:after="0" w:line="240" w:lineRule="auto"/>
        <w:jc w:val="both"/>
        <w:rPr>
          <w:rFonts w:ascii="Arial" w:eastAsia="Calibri" w:hAnsi="Arial" w:cs="Arial"/>
          <w:sz w:val="20"/>
          <w:szCs w:val="20"/>
        </w:rPr>
      </w:pPr>
      <w:r w:rsidRPr="00DA693C">
        <w:rPr>
          <w:rFonts w:ascii="Arial" w:eastAsia="Calibri" w:hAnsi="Arial" w:cs="Arial"/>
          <w:sz w:val="20"/>
          <w:szCs w:val="20"/>
        </w:rPr>
        <w:t xml:space="preserve">Stanje potraživanja na dan </w:t>
      </w:r>
      <w:r w:rsidR="00DE58FE" w:rsidRPr="00DA693C">
        <w:rPr>
          <w:rFonts w:ascii="Arial" w:eastAsia="Calibri" w:hAnsi="Arial" w:cs="Arial"/>
          <w:sz w:val="20"/>
          <w:szCs w:val="20"/>
        </w:rPr>
        <w:t>31.12</w:t>
      </w:r>
      <w:r w:rsidRPr="00DA693C">
        <w:rPr>
          <w:rFonts w:ascii="Arial" w:eastAsia="Calibri" w:hAnsi="Arial" w:cs="Arial"/>
          <w:sz w:val="20"/>
          <w:szCs w:val="20"/>
        </w:rPr>
        <w:t xml:space="preserve">.2024. iznosi </w:t>
      </w:r>
      <w:r w:rsidR="00DE58FE" w:rsidRPr="00DA693C">
        <w:rPr>
          <w:rFonts w:ascii="Arial" w:eastAsia="Calibri" w:hAnsi="Arial" w:cs="Arial"/>
          <w:sz w:val="20"/>
          <w:szCs w:val="20"/>
        </w:rPr>
        <w:t>1.736,12</w:t>
      </w:r>
      <w:r w:rsidRPr="00DA693C">
        <w:rPr>
          <w:rFonts w:ascii="Arial" w:eastAsia="Calibri" w:hAnsi="Arial" w:cs="Arial"/>
          <w:sz w:val="20"/>
          <w:szCs w:val="20"/>
        </w:rPr>
        <w:t xml:space="preserve"> € i odnosi se na potraživanja za </w:t>
      </w:r>
      <w:r w:rsidR="00DE58FE" w:rsidRPr="00DA693C">
        <w:rPr>
          <w:rFonts w:ascii="Arial" w:eastAsia="Calibri" w:hAnsi="Arial" w:cs="Arial"/>
          <w:sz w:val="20"/>
          <w:szCs w:val="20"/>
        </w:rPr>
        <w:t>više plaćeni porez</w:t>
      </w:r>
      <w:r w:rsidRPr="00DA693C">
        <w:rPr>
          <w:rFonts w:ascii="Arial" w:eastAsia="Calibri" w:hAnsi="Arial" w:cs="Arial"/>
          <w:sz w:val="20"/>
          <w:szCs w:val="20"/>
        </w:rPr>
        <w:t>.</w:t>
      </w:r>
      <w:r w:rsidR="008C2DB6">
        <w:rPr>
          <w:rFonts w:ascii="Arial" w:eastAsia="Calibri" w:hAnsi="Arial" w:cs="Arial"/>
          <w:sz w:val="20"/>
          <w:szCs w:val="20"/>
        </w:rPr>
        <w:t xml:space="preserve"> Na dan </w:t>
      </w:r>
      <w:r w:rsidR="00C24B02">
        <w:rPr>
          <w:rFonts w:ascii="Arial" w:eastAsia="Calibri" w:hAnsi="Arial" w:cs="Arial"/>
          <w:sz w:val="20"/>
          <w:szCs w:val="20"/>
        </w:rPr>
        <w:t>31.12</w:t>
      </w:r>
      <w:r w:rsidR="008C2DB6">
        <w:rPr>
          <w:rFonts w:ascii="Arial" w:eastAsia="Calibri" w:hAnsi="Arial" w:cs="Arial"/>
          <w:sz w:val="20"/>
          <w:szCs w:val="20"/>
        </w:rPr>
        <w:t>.2025. nema potraživanja.</w:t>
      </w:r>
    </w:p>
    <w:p w14:paraId="79627E88" w14:textId="77777777" w:rsidR="00A63BE4" w:rsidRPr="00DA693C" w:rsidRDefault="00A63BE4" w:rsidP="0004293C">
      <w:pPr>
        <w:spacing w:after="0" w:line="240" w:lineRule="auto"/>
        <w:rPr>
          <w:rFonts w:ascii="Arial" w:eastAsia="Calibri" w:hAnsi="Arial" w:cs="Arial"/>
          <w:sz w:val="20"/>
          <w:szCs w:val="20"/>
        </w:rPr>
      </w:pPr>
    </w:p>
    <w:p w14:paraId="236BC84F" w14:textId="5DD81784" w:rsidR="0004293C" w:rsidRPr="00DA693C" w:rsidRDefault="0004293C" w:rsidP="0004293C">
      <w:pPr>
        <w:spacing w:after="0" w:line="240" w:lineRule="auto"/>
        <w:rPr>
          <w:rFonts w:ascii="Arial" w:eastAsia="Calibri" w:hAnsi="Arial" w:cs="Arial"/>
          <w:sz w:val="20"/>
          <w:szCs w:val="20"/>
        </w:rPr>
      </w:pPr>
      <w:r w:rsidRPr="00DA693C">
        <w:rPr>
          <w:rFonts w:ascii="Arial" w:eastAsia="Calibri" w:hAnsi="Arial" w:cs="Arial"/>
          <w:sz w:val="20"/>
          <w:szCs w:val="20"/>
        </w:rPr>
        <w:br w:type="page"/>
      </w:r>
    </w:p>
    <w:p w14:paraId="78F039E4" w14:textId="77777777" w:rsidR="00C351C6" w:rsidRPr="00DA693C" w:rsidRDefault="00C351C6" w:rsidP="00C351C6">
      <w:pPr>
        <w:spacing w:after="0" w:line="240" w:lineRule="auto"/>
        <w:jc w:val="both"/>
        <w:rPr>
          <w:rFonts w:ascii="Arial" w:eastAsia="Calibri" w:hAnsi="Arial" w:cs="Arial"/>
          <w:b/>
          <w:sz w:val="20"/>
          <w:szCs w:val="20"/>
          <w:u w:val="single"/>
          <w:lang w:eastAsia="en-US"/>
        </w:rPr>
      </w:pPr>
      <w:r w:rsidRPr="00DA693C">
        <w:rPr>
          <w:rFonts w:ascii="Arial" w:eastAsia="Calibri" w:hAnsi="Arial" w:cs="Arial"/>
          <w:b/>
          <w:sz w:val="20"/>
          <w:szCs w:val="20"/>
          <w:u w:val="single"/>
          <w:lang w:eastAsia="en-US"/>
        </w:rPr>
        <w:lastRenderedPageBreak/>
        <w:t>POKAZATELJI USPJEŠNOSTI</w:t>
      </w:r>
    </w:p>
    <w:p w14:paraId="32E9CCB3" w14:textId="77777777" w:rsidR="00C351C6" w:rsidRPr="00DA693C" w:rsidRDefault="00C351C6" w:rsidP="00C351C6">
      <w:pPr>
        <w:spacing w:after="0" w:line="240" w:lineRule="auto"/>
        <w:jc w:val="both"/>
        <w:rPr>
          <w:rFonts w:ascii="Arial" w:eastAsia="Calibri" w:hAnsi="Arial" w:cs="Arial"/>
          <w:b/>
          <w:sz w:val="20"/>
          <w:szCs w:val="20"/>
          <w:u w:val="single"/>
          <w:lang w:eastAsia="en-US"/>
        </w:rPr>
      </w:pPr>
    </w:p>
    <w:p w14:paraId="4E5EC605" w14:textId="77777777" w:rsidR="00C351C6" w:rsidRPr="00DA693C" w:rsidRDefault="00C351C6" w:rsidP="00C351C6">
      <w:pPr>
        <w:spacing w:after="0" w:line="240" w:lineRule="auto"/>
        <w:jc w:val="both"/>
        <w:rPr>
          <w:rFonts w:ascii="Arial" w:eastAsia="Calibri" w:hAnsi="Arial" w:cs="Arial"/>
          <w:sz w:val="20"/>
          <w:szCs w:val="20"/>
          <w:lang w:eastAsia="en-US"/>
        </w:rPr>
      </w:pPr>
      <w:r w:rsidRPr="00DA693C">
        <w:rPr>
          <w:rFonts w:ascii="Arial" w:eastAsia="Calibri" w:hAnsi="Arial" w:cs="Arial"/>
          <w:sz w:val="20"/>
          <w:szCs w:val="20"/>
          <w:lang w:eastAsia="en-US"/>
        </w:rPr>
        <w:t>Javna vatrogasna postrojba Konavle obavlja vatrogasnu djelatnost koja obuhvaća sudjelovanje u provedbi preventivnih mjera zaštite od požara i eksplozija, gašenje požara i spašavanje ljudi i imovine ugroženih požarom i eksplozijom, pružanje tehničke pomoći u nezgodama i opasnim situacijama te obavljanje i drugih poslova u nesrećama.</w:t>
      </w:r>
    </w:p>
    <w:p w14:paraId="24DF833D" w14:textId="77777777" w:rsidR="00C351C6" w:rsidRPr="00DA693C" w:rsidRDefault="00C351C6" w:rsidP="00C351C6">
      <w:pPr>
        <w:spacing w:after="0" w:line="240" w:lineRule="auto"/>
        <w:jc w:val="both"/>
        <w:rPr>
          <w:rFonts w:ascii="Arial" w:eastAsia="Calibri" w:hAnsi="Arial" w:cs="Arial"/>
          <w:sz w:val="20"/>
          <w:szCs w:val="20"/>
          <w:lang w:eastAsia="en-US"/>
        </w:rPr>
      </w:pPr>
    </w:p>
    <w:p w14:paraId="2DBA7156" w14:textId="77777777" w:rsidR="00C351C6" w:rsidRPr="00DA693C" w:rsidRDefault="00C351C6" w:rsidP="00C351C6">
      <w:pPr>
        <w:spacing w:after="0" w:line="240" w:lineRule="auto"/>
        <w:jc w:val="both"/>
        <w:rPr>
          <w:rFonts w:ascii="Arial" w:eastAsia="Calibri" w:hAnsi="Arial" w:cs="Arial"/>
          <w:b/>
          <w:sz w:val="20"/>
          <w:szCs w:val="20"/>
          <w:u w:val="single"/>
          <w:lang w:eastAsia="en-US"/>
        </w:rPr>
      </w:pPr>
      <w:r w:rsidRPr="00DA693C">
        <w:rPr>
          <w:rFonts w:ascii="Arial" w:eastAsia="Calibri" w:hAnsi="Arial" w:cs="Arial"/>
          <w:b/>
          <w:sz w:val="20"/>
          <w:szCs w:val="20"/>
          <w:u w:val="single"/>
          <w:lang w:eastAsia="en-US"/>
        </w:rPr>
        <w:t>CILJ: Povećanje svijesti u mladih o preventivnoj zaštiti od požara i mogućim ugrozama</w:t>
      </w:r>
    </w:p>
    <w:p w14:paraId="649AB03B" w14:textId="77777777" w:rsidR="00C351C6" w:rsidRPr="00DA693C" w:rsidRDefault="00C351C6" w:rsidP="00C351C6">
      <w:pPr>
        <w:spacing w:after="0" w:line="240" w:lineRule="auto"/>
        <w:jc w:val="both"/>
        <w:rPr>
          <w:rFonts w:ascii="Arial" w:eastAsia="Calibri" w:hAnsi="Arial" w:cs="Arial"/>
          <w:sz w:val="20"/>
          <w:szCs w:val="20"/>
          <w:lang w:eastAsia="en-US"/>
        </w:rPr>
      </w:pPr>
    </w:p>
    <w:p w14:paraId="1D67A5EC" w14:textId="77777777" w:rsidR="00C351C6" w:rsidRPr="00DA693C" w:rsidRDefault="00C351C6" w:rsidP="00C351C6">
      <w:pPr>
        <w:spacing w:after="0" w:line="240" w:lineRule="auto"/>
        <w:jc w:val="both"/>
        <w:rPr>
          <w:rFonts w:ascii="Arial" w:eastAsia="Calibri" w:hAnsi="Arial" w:cs="Arial"/>
          <w:sz w:val="20"/>
          <w:szCs w:val="20"/>
          <w:lang w:eastAsia="en-US"/>
        </w:rPr>
      </w:pPr>
      <w:r w:rsidRPr="00DA693C">
        <w:rPr>
          <w:rFonts w:ascii="Arial" w:eastAsia="Calibri" w:hAnsi="Arial" w:cs="Arial"/>
          <w:sz w:val="20"/>
          <w:szCs w:val="20"/>
          <w:lang w:eastAsia="en-US"/>
        </w:rPr>
        <w:t>Cilj ove radionice i edukacije je upoznavanje mladih s opasnostima koje nastaju uslijed izbijanja požara, njihovi pravilni postupci prilikom nastanka istih, te upoznavanje s načinom rada vatrogasne postrojbe, opremom i tehnikom, a sve u svrhu povećanja svijesti o preventivnoj zaštiti od požara, te u skladu s tim i smanjenju broja potrebnih intervencija JVP Konavle.</w:t>
      </w:r>
    </w:p>
    <w:p w14:paraId="75C78D31" w14:textId="77777777" w:rsidR="00F04ABA" w:rsidRPr="00DA693C" w:rsidRDefault="00F04ABA" w:rsidP="00F04ABA">
      <w:pPr>
        <w:spacing w:after="0" w:line="259" w:lineRule="auto"/>
        <w:jc w:val="both"/>
        <w:rPr>
          <w:rFonts w:ascii="Arial" w:eastAsia="Calibri" w:hAnsi="Arial" w:cs="Arial"/>
          <w:sz w:val="20"/>
          <w:szCs w:val="20"/>
          <w:lang w:eastAsia="en-US"/>
        </w:rPr>
      </w:pPr>
      <w:bookmarkStart w:id="666" w:name="_Hlk496173019"/>
    </w:p>
    <w:tbl>
      <w:tblPr>
        <w:tblStyle w:val="Reetkatablice51"/>
        <w:tblW w:w="14230" w:type="dxa"/>
        <w:jc w:val="center"/>
        <w:tblLayout w:type="fixed"/>
        <w:tblLook w:val="04A0" w:firstRow="1" w:lastRow="0" w:firstColumn="1" w:lastColumn="0" w:noHBand="0" w:noVBand="1"/>
      </w:tblPr>
      <w:tblGrid>
        <w:gridCol w:w="1423"/>
        <w:gridCol w:w="2544"/>
        <w:gridCol w:w="1566"/>
        <w:gridCol w:w="1134"/>
        <w:gridCol w:w="1286"/>
        <w:gridCol w:w="1276"/>
        <w:gridCol w:w="1667"/>
        <w:gridCol w:w="1667"/>
        <w:gridCol w:w="1667"/>
      </w:tblGrid>
      <w:tr w:rsidR="00DA693C" w:rsidRPr="00DA693C" w14:paraId="5CF041BE" w14:textId="77777777" w:rsidTr="00617716">
        <w:trPr>
          <w:trHeight w:val="1029"/>
          <w:jc w:val="center"/>
        </w:trPr>
        <w:tc>
          <w:tcPr>
            <w:tcW w:w="1423" w:type="dxa"/>
            <w:shd w:val="clear" w:color="auto" w:fill="BFBFBF"/>
            <w:vAlign w:val="center"/>
          </w:tcPr>
          <w:p w14:paraId="03808372" w14:textId="77777777" w:rsidR="00F04ABA" w:rsidRPr="00DA693C" w:rsidRDefault="00F04ABA" w:rsidP="00F04ABA">
            <w:pPr>
              <w:jc w:val="center"/>
              <w:rPr>
                <w:rFonts w:ascii="Arial" w:eastAsia="Calibri" w:hAnsi="Arial" w:cs="Arial"/>
                <w:lang w:eastAsia="en-US"/>
              </w:rPr>
            </w:pPr>
            <w:r w:rsidRPr="00DA693C">
              <w:rPr>
                <w:rFonts w:ascii="Arial" w:eastAsia="Calibri" w:hAnsi="Arial" w:cs="Arial"/>
                <w:lang w:eastAsia="en-US"/>
              </w:rPr>
              <w:t>Pokazatelj uspješnosti</w:t>
            </w:r>
          </w:p>
        </w:tc>
        <w:tc>
          <w:tcPr>
            <w:tcW w:w="2544" w:type="dxa"/>
            <w:shd w:val="clear" w:color="auto" w:fill="BFBFBF"/>
            <w:vAlign w:val="center"/>
          </w:tcPr>
          <w:p w14:paraId="743F5C97" w14:textId="77777777" w:rsidR="00F04ABA" w:rsidRPr="00DA693C" w:rsidRDefault="00F04ABA" w:rsidP="00F04ABA">
            <w:pPr>
              <w:jc w:val="center"/>
              <w:rPr>
                <w:rFonts w:ascii="Arial" w:eastAsia="Calibri" w:hAnsi="Arial" w:cs="Arial"/>
                <w:lang w:eastAsia="en-US"/>
              </w:rPr>
            </w:pPr>
            <w:r w:rsidRPr="00DA693C">
              <w:rPr>
                <w:rFonts w:ascii="Arial" w:eastAsia="Calibri" w:hAnsi="Arial" w:cs="Arial"/>
                <w:lang w:eastAsia="en-US"/>
              </w:rPr>
              <w:t>Definicija</w:t>
            </w:r>
          </w:p>
        </w:tc>
        <w:tc>
          <w:tcPr>
            <w:tcW w:w="1566" w:type="dxa"/>
            <w:shd w:val="clear" w:color="auto" w:fill="BFBFBF"/>
            <w:vAlign w:val="center"/>
          </w:tcPr>
          <w:p w14:paraId="3DD00531" w14:textId="77777777" w:rsidR="00F04ABA" w:rsidRPr="00DA693C" w:rsidRDefault="00F04ABA" w:rsidP="00F04ABA">
            <w:pPr>
              <w:jc w:val="center"/>
              <w:rPr>
                <w:rFonts w:ascii="Arial" w:eastAsia="Calibri" w:hAnsi="Arial" w:cs="Arial"/>
                <w:lang w:eastAsia="en-US"/>
              </w:rPr>
            </w:pPr>
            <w:r w:rsidRPr="00DA693C">
              <w:rPr>
                <w:rFonts w:ascii="Arial" w:eastAsia="Calibri" w:hAnsi="Arial" w:cs="Arial"/>
                <w:lang w:eastAsia="en-US"/>
              </w:rPr>
              <w:t>Jedinica</w:t>
            </w:r>
          </w:p>
        </w:tc>
        <w:tc>
          <w:tcPr>
            <w:tcW w:w="1134" w:type="dxa"/>
            <w:shd w:val="clear" w:color="auto" w:fill="BFBFBF"/>
            <w:vAlign w:val="center"/>
          </w:tcPr>
          <w:p w14:paraId="6BEAE933" w14:textId="77777777" w:rsidR="00F04ABA" w:rsidRPr="00DA693C" w:rsidRDefault="00F04ABA" w:rsidP="00F04ABA">
            <w:pPr>
              <w:jc w:val="center"/>
              <w:rPr>
                <w:rFonts w:ascii="Arial" w:eastAsia="Calibri" w:hAnsi="Arial" w:cs="Arial"/>
                <w:lang w:eastAsia="en-US"/>
              </w:rPr>
            </w:pPr>
            <w:r w:rsidRPr="00DA693C">
              <w:rPr>
                <w:rFonts w:ascii="Arial" w:eastAsia="Calibri" w:hAnsi="Arial" w:cs="Arial"/>
                <w:lang w:eastAsia="en-US"/>
              </w:rPr>
              <w:t>Polazna vrijednost</w:t>
            </w:r>
          </w:p>
          <w:p w14:paraId="7063F7D9" w14:textId="4455D3B2" w:rsidR="009E4591" w:rsidRPr="00DA693C" w:rsidRDefault="009E4591" w:rsidP="00F04ABA">
            <w:pPr>
              <w:jc w:val="center"/>
              <w:rPr>
                <w:rFonts w:ascii="Arial" w:eastAsia="Calibri" w:hAnsi="Arial" w:cs="Arial"/>
                <w:lang w:eastAsia="en-US"/>
              </w:rPr>
            </w:pPr>
            <w:r w:rsidRPr="00DA693C">
              <w:rPr>
                <w:rFonts w:ascii="Arial" w:eastAsia="Calibri" w:hAnsi="Arial" w:cs="Arial"/>
                <w:lang w:eastAsia="en-US"/>
              </w:rPr>
              <w:t>202</w:t>
            </w:r>
            <w:r w:rsidR="0022553E">
              <w:rPr>
                <w:rFonts w:ascii="Arial" w:eastAsia="Calibri" w:hAnsi="Arial" w:cs="Arial"/>
                <w:lang w:eastAsia="en-US"/>
              </w:rPr>
              <w:t>4</w:t>
            </w:r>
            <w:r w:rsidRPr="00DA693C">
              <w:rPr>
                <w:rFonts w:ascii="Arial" w:eastAsia="Calibri" w:hAnsi="Arial" w:cs="Arial"/>
                <w:lang w:eastAsia="en-US"/>
              </w:rPr>
              <w:t>.</w:t>
            </w:r>
          </w:p>
        </w:tc>
        <w:tc>
          <w:tcPr>
            <w:tcW w:w="1286" w:type="dxa"/>
            <w:shd w:val="clear" w:color="auto" w:fill="BFBFBF"/>
            <w:vAlign w:val="center"/>
          </w:tcPr>
          <w:p w14:paraId="462831DF" w14:textId="77777777" w:rsidR="00F04ABA" w:rsidRPr="00DA693C" w:rsidRDefault="00F04ABA" w:rsidP="00F04ABA">
            <w:pPr>
              <w:jc w:val="center"/>
              <w:rPr>
                <w:rFonts w:ascii="Arial" w:eastAsia="Calibri" w:hAnsi="Arial" w:cs="Arial"/>
                <w:lang w:eastAsia="en-US"/>
              </w:rPr>
            </w:pPr>
            <w:r w:rsidRPr="00DA693C">
              <w:rPr>
                <w:rFonts w:ascii="Arial" w:eastAsia="Calibri" w:hAnsi="Arial" w:cs="Arial"/>
                <w:lang w:eastAsia="en-US"/>
              </w:rPr>
              <w:t>Izvor podataka</w:t>
            </w:r>
          </w:p>
        </w:tc>
        <w:tc>
          <w:tcPr>
            <w:tcW w:w="1276" w:type="dxa"/>
            <w:shd w:val="clear" w:color="auto" w:fill="BFBFBF"/>
            <w:vAlign w:val="center"/>
          </w:tcPr>
          <w:p w14:paraId="0F0E238A" w14:textId="471F2FC9" w:rsidR="00F04ABA" w:rsidRPr="00DA693C" w:rsidRDefault="00F04ABA" w:rsidP="00F04ABA">
            <w:pPr>
              <w:jc w:val="center"/>
              <w:rPr>
                <w:rFonts w:ascii="Arial" w:eastAsia="Calibri" w:hAnsi="Arial" w:cs="Arial"/>
                <w:lang w:eastAsia="en-US"/>
              </w:rPr>
            </w:pPr>
            <w:r w:rsidRPr="00DA693C">
              <w:rPr>
                <w:rFonts w:ascii="Arial" w:eastAsia="Calibri" w:hAnsi="Arial" w:cs="Arial"/>
                <w:lang w:eastAsia="en-US"/>
              </w:rPr>
              <w:t>Ciljana vrijednost 202</w:t>
            </w:r>
            <w:r w:rsidR="0022553E">
              <w:rPr>
                <w:rFonts w:ascii="Arial" w:eastAsia="Calibri" w:hAnsi="Arial" w:cs="Arial"/>
                <w:lang w:eastAsia="en-US"/>
              </w:rPr>
              <w:t>5</w:t>
            </w:r>
            <w:r w:rsidRPr="00DA693C">
              <w:rPr>
                <w:rFonts w:ascii="Arial" w:eastAsia="Calibri" w:hAnsi="Arial" w:cs="Arial"/>
                <w:lang w:eastAsia="en-US"/>
              </w:rPr>
              <w:t>.</w:t>
            </w:r>
          </w:p>
        </w:tc>
        <w:tc>
          <w:tcPr>
            <w:tcW w:w="1667" w:type="dxa"/>
            <w:shd w:val="clear" w:color="auto" w:fill="BFBFBF"/>
            <w:vAlign w:val="center"/>
          </w:tcPr>
          <w:p w14:paraId="2C760B59" w14:textId="131C2A63" w:rsidR="00F04ABA" w:rsidRPr="00DA693C" w:rsidRDefault="00F04ABA" w:rsidP="00F04ABA">
            <w:pPr>
              <w:jc w:val="center"/>
              <w:rPr>
                <w:rFonts w:ascii="Arial" w:eastAsia="Calibri" w:hAnsi="Arial" w:cs="Arial"/>
                <w:lang w:eastAsia="en-US"/>
              </w:rPr>
            </w:pPr>
            <w:r w:rsidRPr="00DA693C">
              <w:rPr>
                <w:rFonts w:ascii="Arial" w:eastAsia="Calibri" w:hAnsi="Arial" w:cs="Arial"/>
                <w:lang w:eastAsia="en-US"/>
              </w:rPr>
              <w:t>Izvršeno 20</w:t>
            </w:r>
            <w:r w:rsidR="0022553E">
              <w:rPr>
                <w:rFonts w:ascii="Arial" w:eastAsia="Calibri" w:hAnsi="Arial" w:cs="Arial"/>
                <w:lang w:eastAsia="en-US"/>
              </w:rPr>
              <w:t>25</w:t>
            </w:r>
            <w:r w:rsidRPr="00DA693C">
              <w:rPr>
                <w:rFonts w:ascii="Arial" w:eastAsia="Calibri" w:hAnsi="Arial" w:cs="Arial"/>
                <w:lang w:eastAsia="en-US"/>
              </w:rPr>
              <w:t>.</w:t>
            </w:r>
          </w:p>
        </w:tc>
        <w:tc>
          <w:tcPr>
            <w:tcW w:w="1667" w:type="dxa"/>
            <w:shd w:val="clear" w:color="auto" w:fill="BFBFBF"/>
            <w:vAlign w:val="center"/>
          </w:tcPr>
          <w:p w14:paraId="479E213C" w14:textId="2F4280D1" w:rsidR="00F04ABA" w:rsidRPr="00DA693C" w:rsidRDefault="00F04ABA" w:rsidP="00F04ABA">
            <w:pPr>
              <w:jc w:val="center"/>
              <w:rPr>
                <w:rFonts w:ascii="Arial" w:eastAsia="Calibri" w:hAnsi="Arial" w:cs="Arial"/>
                <w:lang w:eastAsia="en-US"/>
              </w:rPr>
            </w:pPr>
            <w:r w:rsidRPr="00DA693C">
              <w:rPr>
                <w:rFonts w:ascii="Arial" w:eastAsia="Calibri" w:hAnsi="Arial" w:cs="Arial"/>
                <w:lang w:eastAsia="en-US"/>
              </w:rPr>
              <w:t>Ciljana vrijednost 20</w:t>
            </w:r>
            <w:r w:rsidR="001D7C75" w:rsidRPr="00DA693C">
              <w:rPr>
                <w:rFonts w:ascii="Arial" w:eastAsia="Calibri" w:hAnsi="Arial" w:cs="Arial"/>
                <w:lang w:eastAsia="en-US"/>
              </w:rPr>
              <w:t>2</w:t>
            </w:r>
            <w:r w:rsidR="0022553E">
              <w:rPr>
                <w:rFonts w:ascii="Arial" w:eastAsia="Calibri" w:hAnsi="Arial" w:cs="Arial"/>
                <w:lang w:eastAsia="en-US"/>
              </w:rPr>
              <w:t>6</w:t>
            </w:r>
            <w:r w:rsidRPr="00DA693C">
              <w:rPr>
                <w:rFonts w:ascii="Arial" w:eastAsia="Calibri" w:hAnsi="Arial" w:cs="Arial"/>
                <w:lang w:eastAsia="en-US"/>
              </w:rPr>
              <w:t>.</w:t>
            </w:r>
          </w:p>
        </w:tc>
        <w:tc>
          <w:tcPr>
            <w:tcW w:w="1667" w:type="dxa"/>
            <w:shd w:val="clear" w:color="auto" w:fill="BFBFBF"/>
          </w:tcPr>
          <w:p w14:paraId="186DD4B7" w14:textId="77777777" w:rsidR="00F04ABA" w:rsidRPr="00DA693C" w:rsidRDefault="00F04ABA" w:rsidP="00F04ABA">
            <w:pPr>
              <w:jc w:val="center"/>
              <w:rPr>
                <w:rFonts w:ascii="Arial" w:eastAsia="Calibri" w:hAnsi="Arial" w:cs="Arial"/>
                <w:lang w:eastAsia="en-US"/>
              </w:rPr>
            </w:pPr>
          </w:p>
          <w:p w14:paraId="488622C2" w14:textId="385D5D45" w:rsidR="00F04ABA" w:rsidRPr="00DA693C" w:rsidRDefault="00F04ABA" w:rsidP="00F04ABA">
            <w:pPr>
              <w:jc w:val="center"/>
              <w:rPr>
                <w:rFonts w:ascii="Arial" w:eastAsia="Calibri" w:hAnsi="Arial" w:cs="Arial"/>
                <w:lang w:eastAsia="en-US"/>
              </w:rPr>
            </w:pPr>
            <w:r w:rsidRPr="00DA693C">
              <w:rPr>
                <w:rFonts w:ascii="Arial" w:eastAsia="Calibri" w:hAnsi="Arial" w:cs="Arial"/>
                <w:lang w:eastAsia="en-US"/>
              </w:rPr>
              <w:t>Ciljana vrijednost 202</w:t>
            </w:r>
            <w:r w:rsidR="0022553E">
              <w:rPr>
                <w:rFonts w:ascii="Arial" w:eastAsia="Calibri" w:hAnsi="Arial" w:cs="Arial"/>
                <w:lang w:eastAsia="en-US"/>
              </w:rPr>
              <w:t>7</w:t>
            </w:r>
            <w:r w:rsidRPr="00DA693C">
              <w:rPr>
                <w:rFonts w:ascii="Arial" w:eastAsia="Calibri" w:hAnsi="Arial" w:cs="Arial"/>
                <w:lang w:eastAsia="en-US"/>
              </w:rPr>
              <w:t xml:space="preserve">. </w:t>
            </w:r>
          </w:p>
        </w:tc>
      </w:tr>
      <w:tr w:rsidR="004E3E83" w:rsidRPr="00DA693C" w14:paraId="748F4AD1" w14:textId="77777777" w:rsidTr="00977A67">
        <w:trPr>
          <w:trHeight w:val="1031"/>
          <w:jc w:val="center"/>
        </w:trPr>
        <w:tc>
          <w:tcPr>
            <w:tcW w:w="1423" w:type="dxa"/>
            <w:vAlign w:val="center"/>
          </w:tcPr>
          <w:p w14:paraId="08170AFE" w14:textId="77777777" w:rsidR="004E3E83" w:rsidRPr="00DA693C" w:rsidRDefault="004E3E83" w:rsidP="004E3E83">
            <w:pPr>
              <w:rPr>
                <w:rFonts w:ascii="Arial" w:eastAsia="Calibri" w:hAnsi="Arial" w:cs="Arial"/>
                <w:sz w:val="18"/>
                <w:lang w:eastAsia="en-US"/>
              </w:rPr>
            </w:pPr>
            <w:r w:rsidRPr="00DA693C">
              <w:rPr>
                <w:rFonts w:ascii="Arial" w:eastAsia="Calibri" w:hAnsi="Arial" w:cs="Arial"/>
                <w:sz w:val="18"/>
                <w:lang w:eastAsia="en-US"/>
              </w:rPr>
              <w:t>Provođenje edukacije za osnovne škole i vrtiće</w:t>
            </w:r>
          </w:p>
        </w:tc>
        <w:tc>
          <w:tcPr>
            <w:tcW w:w="2544" w:type="dxa"/>
            <w:vAlign w:val="center"/>
          </w:tcPr>
          <w:p w14:paraId="770D5423" w14:textId="77777777" w:rsidR="004E3E83" w:rsidRPr="00DA693C" w:rsidRDefault="004E3E83" w:rsidP="004E3E83">
            <w:pPr>
              <w:rPr>
                <w:rFonts w:ascii="Arial" w:eastAsia="Calibri" w:hAnsi="Arial" w:cs="Arial"/>
                <w:sz w:val="18"/>
                <w:lang w:eastAsia="en-US"/>
              </w:rPr>
            </w:pPr>
            <w:r w:rsidRPr="00DA693C">
              <w:rPr>
                <w:rFonts w:ascii="Arial" w:eastAsia="Calibri" w:hAnsi="Arial" w:cs="Arial"/>
                <w:sz w:val="18"/>
                <w:lang w:eastAsia="en-US"/>
              </w:rPr>
              <w:t>Uspješno provođenje edukacije kod djece pomaže u preventivnim mjerama opasnosti od požara</w:t>
            </w:r>
          </w:p>
        </w:tc>
        <w:tc>
          <w:tcPr>
            <w:tcW w:w="1566" w:type="dxa"/>
            <w:vAlign w:val="center"/>
          </w:tcPr>
          <w:p w14:paraId="5561C6D0" w14:textId="77777777" w:rsidR="004E3E83" w:rsidRPr="00DA693C" w:rsidRDefault="004E3E83" w:rsidP="004E3E83">
            <w:pPr>
              <w:jc w:val="center"/>
              <w:rPr>
                <w:rFonts w:ascii="Arial" w:eastAsia="Calibri" w:hAnsi="Arial" w:cs="Arial"/>
                <w:sz w:val="18"/>
                <w:lang w:eastAsia="en-US"/>
              </w:rPr>
            </w:pPr>
            <w:r w:rsidRPr="00DA693C">
              <w:rPr>
                <w:rFonts w:ascii="Arial" w:eastAsia="Calibri" w:hAnsi="Arial" w:cs="Arial"/>
                <w:sz w:val="18"/>
                <w:lang w:eastAsia="en-US"/>
              </w:rPr>
              <w:t>Broj održanih edukacija kroz godinu</w:t>
            </w:r>
          </w:p>
        </w:tc>
        <w:tc>
          <w:tcPr>
            <w:tcW w:w="1134" w:type="dxa"/>
            <w:vAlign w:val="center"/>
          </w:tcPr>
          <w:p w14:paraId="2314FC65" w14:textId="77777777" w:rsidR="004E3E83" w:rsidRPr="00DA693C" w:rsidRDefault="004E3E83" w:rsidP="004E3E83">
            <w:pPr>
              <w:jc w:val="center"/>
              <w:rPr>
                <w:rFonts w:ascii="Arial" w:eastAsia="Calibri" w:hAnsi="Arial" w:cs="Arial"/>
                <w:sz w:val="18"/>
                <w:lang w:eastAsia="en-US"/>
              </w:rPr>
            </w:pPr>
            <w:r w:rsidRPr="00DA693C">
              <w:rPr>
                <w:rFonts w:ascii="Arial" w:eastAsia="Calibri" w:hAnsi="Arial" w:cs="Arial"/>
                <w:sz w:val="18"/>
                <w:lang w:eastAsia="en-US"/>
              </w:rPr>
              <w:t>3</w:t>
            </w:r>
          </w:p>
          <w:p w14:paraId="77237891" w14:textId="77777777" w:rsidR="004E3E83" w:rsidRPr="00DA693C" w:rsidRDefault="004E3E83" w:rsidP="004E3E83">
            <w:pPr>
              <w:jc w:val="center"/>
              <w:rPr>
                <w:rFonts w:ascii="Arial" w:eastAsia="Calibri" w:hAnsi="Arial" w:cs="Arial"/>
                <w:sz w:val="18"/>
                <w:lang w:eastAsia="en-US"/>
              </w:rPr>
            </w:pPr>
            <w:r w:rsidRPr="00DA693C">
              <w:rPr>
                <w:rFonts w:ascii="Arial" w:eastAsia="Calibri" w:hAnsi="Arial" w:cs="Arial"/>
                <w:sz w:val="18"/>
                <w:lang w:eastAsia="en-US"/>
              </w:rPr>
              <w:t>(tri puta godišnje u osnovnim školama)</w:t>
            </w:r>
          </w:p>
        </w:tc>
        <w:tc>
          <w:tcPr>
            <w:tcW w:w="1286" w:type="dxa"/>
            <w:vAlign w:val="center"/>
          </w:tcPr>
          <w:p w14:paraId="26D556A0" w14:textId="77777777" w:rsidR="004E3E83" w:rsidRPr="00DA693C" w:rsidRDefault="004E3E83" w:rsidP="004E3E83">
            <w:pPr>
              <w:jc w:val="center"/>
              <w:rPr>
                <w:rFonts w:ascii="Arial" w:eastAsia="Calibri" w:hAnsi="Arial" w:cs="Arial"/>
                <w:sz w:val="18"/>
                <w:lang w:eastAsia="en-US"/>
              </w:rPr>
            </w:pPr>
            <w:r w:rsidRPr="00DA693C">
              <w:rPr>
                <w:rFonts w:ascii="Arial" w:eastAsia="Calibri" w:hAnsi="Arial" w:cs="Arial"/>
                <w:sz w:val="18"/>
                <w:lang w:eastAsia="en-US"/>
              </w:rPr>
              <w:t xml:space="preserve">Javna vatrogasna postrojba Konavle </w:t>
            </w:r>
          </w:p>
        </w:tc>
        <w:tc>
          <w:tcPr>
            <w:tcW w:w="1276" w:type="dxa"/>
            <w:vAlign w:val="center"/>
          </w:tcPr>
          <w:p w14:paraId="61690D04" w14:textId="0DC43FDA" w:rsidR="004E3E83" w:rsidRPr="00DA693C" w:rsidRDefault="004E3E83" w:rsidP="004E3E83">
            <w:pPr>
              <w:jc w:val="center"/>
              <w:rPr>
                <w:rFonts w:ascii="Arial" w:eastAsia="Calibri" w:hAnsi="Arial" w:cs="Arial"/>
                <w:sz w:val="18"/>
                <w:lang w:eastAsia="en-US"/>
              </w:rPr>
            </w:pPr>
            <w:r w:rsidRPr="00DA693C">
              <w:rPr>
                <w:rFonts w:ascii="Arial" w:eastAsia="Calibri" w:hAnsi="Arial" w:cs="Arial"/>
                <w:sz w:val="18"/>
                <w:lang w:eastAsia="en-US"/>
              </w:rPr>
              <w:t>16</w:t>
            </w:r>
          </w:p>
          <w:p w14:paraId="16254AF1" w14:textId="4DF36706" w:rsidR="004E3E83" w:rsidRPr="00DA693C" w:rsidRDefault="004E3E83" w:rsidP="004E3E83">
            <w:pPr>
              <w:jc w:val="center"/>
              <w:rPr>
                <w:rFonts w:ascii="Arial" w:eastAsia="Calibri" w:hAnsi="Arial" w:cs="Arial"/>
                <w:sz w:val="18"/>
                <w:lang w:eastAsia="en-US"/>
              </w:rPr>
            </w:pPr>
            <w:r w:rsidRPr="00DA693C">
              <w:rPr>
                <w:rFonts w:ascii="Arial" w:eastAsia="Calibri" w:hAnsi="Arial" w:cs="Arial"/>
                <w:sz w:val="18"/>
                <w:lang w:eastAsia="en-US"/>
              </w:rPr>
              <w:t>(šesnaest puta godišnje u osnovnim školama)</w:t>
            </w:r>
          </w:p>
        </w:tc>
        <w:tc>
          <w:tcPr>
            <w:tcW w:w="1667" w:type="dxa"/>
            <w:vAlign w:val="center"/>
          </w:tcPr>
          <w:p w14:paraId="2FB8B606" w14:textId="79F75A48" w:rsidR="004E3E83" w:rsidRPr="00DA693C" w:rsidRDefault="00C24B02" w:rsidP="004E3E83">
            <w:pPr>
              <w:jc w:val="center"/>
              <w:rPr>
                <w:rFonts w:ascii="Arial" w:eastAsia="Calibri" w:hAnsi="Arial" w:cs="Arial"/>
                <w:sz w:val="18"/>
                <w:lang w:eastAsia="en-US"/>
              </w:rPr>
            </w:pPr>
            <w:r>
              <w:rPr>
                <w:rFonts w:ascii="Arial" w:eastAsia="Calibri" w:hAnsi="Arial" w:cs="Arial"/>
                <w:sz w:val="18"/>
                <w:lang w:eastAsia="en-US"/>
              </w:rPr>
              <w:t xml:space="preserve">8 </w:t>
            </w:r>
            <w:r w:rsidR="004E3E83" w:rsidRPr="00DA693C">
              <w:rPr>
                <w:rFonts w:ascii="Arial" w:eastAsia="Calibri" w:hAnsi="Arial" w:cs="Arial"/>
                <w:sz w:val="18"/>
                <w:lang w:eastAsia="en-US"/>
              </w:rPr>
              <w:t>(</w:t>
            </w:r>
            <w:r w:rsidR="00E94E51">
              <w:rPr>
                <w:rFonts w:ascii="Arial" w:eastAsia="Calibri" w:hAnsi="Arial" w:cs="Arial"/>
                <w:sz w:val="18"/>
                <w:lang w:eastAsia="en-US"/>
              </w:rPr>
              <w:t>četiri</w:t>
            </w:r>
            <w:r w:rsidR="004E3E83" w:rsidRPr="00DA693C">
              <w:rPr>
                <w:rFonts w:ascii="Arial" w:eastAsia="Calibri" w:hAnsi="Arial" w:cs="Arial"/>
                <w:sz w:val="18"/>
                <w:lang w:eastAsia="en-US"/>
              </w:rPr>
              <w:t xml:space="preserve"> puta godišnje u osnovnim školama i dječjim vrtićima)</w:t>
            </w:r>
          </w:p>
        </w:tc>
        <w:tc>
          <w:tcPr>
            <w:tcW w:w="1667" w:type="dxa"/>
          </w:tcPr>
          <w:p w14:paraId="055AA5B6" w14:textId="77777777" w:rsidR="004E3E83" w:rsidRPr="00DA693C" w:rsidRDefault="004E3E83" w:rsidP="004E3E83">
            <w:pPr>
              <w:jc w:val="center"/>
              <w:rPr>
                <w:rFonts w:ascii="Arial" w:eastAsia="Calibri" w:hAnsi="Arial" w:cs="Arial"/>
                <w:sz w:val="18"/>
                <w:lang w:eastAsia="en-US"/>
              </w:rPr>
            </w:pPr>
            <w:r w:rsidRPr="00DA693C">
              <w:rPr>
                <w:rFonts w:ascii="Arial" w:eastAsia="Calibri" w:hAnsi="Arial" w:cs="Arial"/>
                <w:sz w:val="18"/>
                <w:lang w:eastAsia="en-US"/>
              </w:rPr>
              <w:t>16</w:t>
            </w:r>
          </w:p>
          <w:p w14:paraId="1A3ED400" w14:textId="0193F16A" w:rsidR="004E3E83" w:rsidRPr="00DA693C" w:rsidRDefault="004E3E83" w:rsidP="004E3E83">
            <w:pPr>
              <w:jc w:val="center"/>
              <w:rPr>
                <w:rFonts w:ascii="Arial" w:eastAsia="Calibri" w:hAnsi="Arial" w:cs="Arial"/>
                <w:sz w:val="18"/>
                <w:lang w:eastAsia="en-US"/>
              </w:rPr>
            </w:pPr>
            <w:r w:rsidRPr="00DA693C">
              <w:rPr>
                <w:rFonts w:ascii="Arial" w:eastAsia="Calibri" w:hAnsi="Arial" w:cs="Arial"/>
                <w:sz w:val="18"/>
                <w:lang w:eastAsia="en-US"/>
              </w:rPr>
              <w:t>(šesnaest puta godišnje u osnovnim školama i vrtićima)</w:t>
            </w:r>
          </w:p>
        </w:tc>
        <w:tc>
          <w:tcPr>
            <w:tcW w:w="1667" w:type="dxa"/>
          </w:tcPr>
          <w:p w14:paraId="7757BAD8" w14:textId="14C01E86" w:rsidR="004E3E83" w:rsidRPr="00DA693C" w:rsidRDefault="004E3E83" w:rsidP="004E3E83">
            <w:pPr>
              <w:jc w:val="center"/>
              <w:rPr>
                <w:rFonts w:ascii="Arial" w:eastAsia="Calibri" w:hAnsi="Arial" w:cs="Arial"/>
                <w:sz w:val="18"/>
                <w:lang w:eastAsia="en-US"/>
              </w:rPr>
            </w:pPr>
            <w:r>
              <w:rPr>
                <w:rFonts w:ascii="Arial" w:eastAsia="Calibri" w:hAnsi="Arial" w:cs="Arial"/>
                <w:sz w:val="18"/>
                <w:lang w:eastAsia="en-US"/>
              </w:rPr>
              <w:t>17</w:t>
            </w:r>
          </w:p>
          <w:p w14:paraId="7BA7EF2B" w14:textId="02BBD17A" w:rsidR="004E3E83" w:rsidRPr="00DA693C" w:rsidRDefault="004E3E83" w:rsidP="004E3E83">
            <w:pPr>
              <w:jc w:val="center"/>
              <w:rPr>
                <w:rFonts w:ascii="Arial" w:eastAsia="Calibri" w:hAnsi="Arial" w:cs="Arial"/>
                <w:sz w:val="18"/>
                <w:lang w:eastAsia="en-US"/>
              </w:rPr>
            </w:pPr>
            <w:r w:rsidRPr="00DA693C">
              <w:rPr>
                <w:rFonts w:ascii="Arial" w:eastAsia="Calibri" w:hAnsi="Arial" w:cs="Arial"/>
                <w:sz w:val="18"/>
                <w:lang w:eastAsia="en-US"/>
              </w:rPr>
              <w:t>(</w:t>
            </w:r>
            <w:r>
              <w:rPr>
                <w:rFonts w:ascii="Arial" w:eastAsia="Calibri" w:hAnsi="Arial" w:cs="Arial"/>
                <w:sz w:val="18"/>
                <w:lang w:eastAsia="en-US"/>
              </w:rPr>
              <w:t xml:space="preserve">sedamnaest </w:t>
            </w:r>
            <w:r w:rsidRPr="00DA693C">
              <w:rPr>
                <w:rFonts w:ascii="Arial" w:eastAsia="Calibri" w:hAnsi="Arial" w:cs="Arial"/>
                <w:sz w:val="18"/>
                <w:lang w:eastAsia="en-US"/>
              </w:rPr>
              <w:t>puta godišnje u osnovnim školama i vrtićima)</w:t>
            </w:r>
          </w:p>
        </w:tc>
      </w:tr>
    </w:tbl>
    <w:p w14:paraId="0E9254BE" w14:textId="77777777" w:rsidR="00F04ABA" w:rsidRPr="00DA693C" w:rsidRDefault="00F04ABA" w:rsidP="00F04ABA">
      <w:pPr>
        <w:spacing w:after="0" w:line="240" w:lineRule="auto"/>
        <w:jc w:val="both"/>
        <w:rPr>
          <w:rFonts w:ascii="Arial" w:eastAsia="Calibri" w:hAnsi="Arial" w:cs="Arial"/>
          <w:sz w:val="20"/>
          <w:szCs w:val="20"/>
          <w:lang w:eastAsia="en-US"/>
        </w:rPr>
      </w:pPr>
    </w:p>
    <w:p w14:paraId="3CDCEA41" w14:textId="77777777" w:rsidR="00C24B02" w:rsidRPr="00C24B02" w:rsidRDefault="00C24B02" w:rsidP="00C24B02">
      <w:pPr>
        <w:spacing w:after="0" w:line="240" w:lineRule="auto"/>
        <w:jc w:val="both"/>
        <w:rPr>
          <w:rFonts w:ascii="Arial" w:eastAsia="Calibri" w:hAnsi="Arial" w:cs="Arial"/>
          <w:bCs/>
          <w:sz w:val="20"/>
          <w:szCs w:val="20"/>
          <w:lang w:eastAsia="en-US"/>
        </w:rPr>
      </w:pPr>
      <w:r w:rsidRPr="00C24B02">
        <w:rPr>
          <w:rFonts w:ascii="Arial" w:eastAsia="Calibri" w:hAnsi="Arial" w:cs="Arial"/>
          <w:bCs/>
          <w:sz w:val="20"/>
          <w:szCs w:val="20"/>
          <w:lang w:eastAsia="en-US"/>
        </w:rPr>
        <w:t>Tokom mjeseca travanja 2025 godine djelatnici JVP Konavle su u novom vatrogasnom domu proveli prezentaciju osnova sigurnosti u slučaju požara te ih upoznali sa vatrogasnom opremom i vatrogasnim vozilima za djecu od prvog do četvrtog razreda Osnovne škole Cavtat i Područne škole Čilipi.</w:t>
      </w:r>
    </w:p>
    <w:p w14:paraId="02138F57" w14:textId="77777777" w:rsidR="00C24B02" w:rsidRPr="00C24B02" w:rsidRDefault="00C24B02" w:rsidP="00C24B02">
      <w:pPr>
        <w:spacing w:after="0" w:line="240" w:lineRule="auto"/>
        <w:jc w:val="both"/>
        <w:rPr>
          <w:rFonts w:ascii="Arial" w:eastAsia="Calibri" w:hAnsi="Arial" w:cs="Arial"/>
          <w:bCs/>
          <w:sz w:val="20"/>
          <w:szCs w:val="20"/>
          <w:lang w:eastAsia="en-US"/>
        </w:rPr>
      </w:pPr>
    </w:p>
    <w:p w14:paraId="436EBA46" w14:textId="77777777" w:rsidR="00C24B02" w:rsidRPr="00C24B02" w:rsidRDefault="00C24B02" w:rsidP="00C24B02">
      <w:pPr>
        <w:spacing w:after="0" w:line="240" w:lineRule="auto"/>
        <w:jc w:val="both"/>
        <w:rPr>
          <w:rFonts w:ascii="Arial" w:eastAsia="Calibri" w:hAnsi="Arial" w:cs="Arial"/>
          <w:bCs/>
          <w:sz w:val="20"/>
          <w:szCs w:val="20"/>
          <w:lang w:eastAsia="en-US"/>
        </w:rPr>
      </w:pPr>
      <w:r w:rsidRPr="00C24B02">
        <w:rPr>
          <w:rFonts w:ascii="Arial" w:eastAsia="Calibri" w:hAnsi="Arial" w:cs="Arial"/>
          <w:bCs/>
          <w:sz w:val="20"/>
          <w:szCs w:val="20"/>
          <w:lang w:eastAsia="en-US"/>
        </w:rPr>
        <w:t>Tokom mjeseca svibnja 2025. godine djelatnici JVP Konavle u suradnji sa Civilnom zaštitom Dubrovnik i Hrvatskom gorskom službom spašavanja su proveli edukaciju djece u području smanjenja rizika od katastrofa u Područnoj školi Stravča.</w:t>
      </w:r>
    </w:p>
    <w:p w14:paraId="09ECD5B8" w14:textId="77777777" w:rsidR="00C24B02" w:rsidRPr="00C24B02" w:rsidRDefault="00C24B02" w:rsidP="00C24B02">
      <w:pPr>
        <w:spacing w:after="0" w:line="240" w:lineRule="auto"/>
        <w:jc w:val="both"/>
        <w:rPr>
          <w:rFonts w:ascii="Arial" w:eastAsia="Calibri" w:hAnsi="Arial" w:cs="Arial"/>
          <w:bCs/>
          <w:sz w:val="20"/>
          <w:szCs w:val="20"/>
          <w:lang w:eastAsia="en-US"/>
        </w:rPr>
      </w:pPr>
    </w:p>
    <w:p w14:paraId="3642C1C1" w14:textId="5DCFA67E" w:rsidR="009E4591" w:rsidRPr="00DA693C" w:rsidRDefault="00C24B02" w:rsidP="00C24B02">
      <w:pPr>
        <w:spacing w:after="0" w:line="240" w:lineRule="auto"/>
        <w:jc w:val="both"/>
        <w:rPr>
          <w:rFonts w:ascii="Arial" w:eastAsia="Calibri" w:hAnsi="Arial" w:cs="Arial"/>
          <w:b/>
          <w:sz w:val="20"/>
          <w:szCs w:val="20"/>
          <w:u w:val="single"/>
          <w:lang w:eastAsia="en-US"/>
        </w:rPr>
      </w:pPr>
      <w:r w:rsidRPr="00C24B02">
        <w:rPr>
          <w:rFonts w:ascii="Arial" w:eastAsia="Calibri" w:hAnsi="Arial" w:cs="Arial"/>
          <w:bCs/>
          <w:sz w:val="20"/>
          <w:szCs w:val="20"/>
          <w:lang w:eastAsia="en-US"/>
        </w:rPr>
        <w:t>U mjesecu prosincu djelatnici JVP Konavle su u prostorijama vatrogasnog doma proveli edukaciju o svjesnosti opasnosti upotrebe pirotehnike za srednje uzraste djece Osnovne Škola Gruda.</w:t>
      </w:r>
    </w:p>
    <w:p w14:paraId="0A8BC9F8" w14:textId="77777777" w:rsidR="009E4591" w:rsidRPr="00DA693C" w:rsidRDefault="009E4591" w:rsidP="0004293C">
      <w:pPr>
        <w:spacing w:after="0" w:line="240" w:lineRule="auto"/>
        <w:jc w:val="both"/>
        <w:rPr>
          <w:rFonts w:ascii="Arial" w:eastAsia="Calibri" w:hAnsi="Arial" w:cs="Arial"/>
          <w:b/>
          <w:sz w:val="20"/>
          <w:szCs w:val="20"/>
          <w:u w:val="single"/>
          <w:lang w:eastAsia="en-US"/>
        </w:rPr>
      </w:pPr>
    </w:p>
    <w:p w14:paraId="69912716" w14:textId="61D72725" w:rsidR="0004293C" w:rsidRPr="00DA693C" w:rsidRDefault="0004293C" w:rsidP="0004293C">
      <w:pPr>
        <w:spacing w:after="0" w:line="240" w:lineRule="auto"/>
        <w:jc w:val="both"/>
        <w:rPr>
          <w:rFonts w:ascii="Arial" w:eastAsia="Calibri" w:hAnsi="Arial" w:cs="Arial"/>
          <w:b/>
          <w:sz w:val="20"/>
          <w:szCs w:val="20"/>
          <w:u w:val="single"/>
          <w:lang w:eastAsia="en-US"/>
        </w:rPr>
      </w:pPr>
      <w:r w:rsidRPr="00DA693C">
        <w:rPr>
          <w:rFonts w:ascii="Arial" w:eastAsia="Calibri" w:hAnsi="Arial" w:cs="Arial"/>
          <w:b/>
          <w:sz w:val="20"/>
          <w:szCs w:val="20"/>
          <w:u w:val="single"/>
          <w:lang w:eastAsia="en-US"/>
        </w:rPr>
        <w:t>CILJ: Efikasnija iskorištenost kapaciteta Javne vatrogasne postrojbe na teritoriju RH</w:t>
      </w:r>
    </w:p>
    <w:p w14:paraId="0095630B" w14:textId="77777777" w:rsidR="0004293C" w:rsidRPr="00DA693C" w:rsidRDefault="0004293C" w:rsidP="0004293C">
      <w:pPr>
        <w:spacing w:after="0" w:line="240" w:lineRule="auto"/>
        <w:jc w:val="both"/>
        <w:rPr>
          <w:rFonts w:ascii="Arial" w:eastAsia="Calibri" w:hAnsi="Arial" w:cs="Arial"/>
          <w:sz w:val="20"/>
          <w:szCs w:val="20"/>
          <w:lang w:eastAsia="en-US"/>
        </w:rPr>
      </w:pPr>
    </w:p>
    <w:p w14:paraId="7E054D9F" w14:textId="77777777" w:rsidR="0004293C" w:rsidRPr="00DA693C" w:rsidRDefault="0004293C" w:rsidP="0004293C">
      <w:pPr>
        <w:spacing w:after="0" w:line="240" w:lineRule="auto"/>
        <w:jc w:val="both"/>
        <w:rPr>
          <w:rFonts w:ascii="Arial" w:eastAsia="Calibri" w:hAnsi="Arial" w:cs="Arial"/>
          <w:sz w:val="20"/>
          <w:szCs w:val="20"/>
          <w:lang w:eastAsia="en-US"/>
        </w:rPr>
      </w:pPr>
      <w:r w:rsidRPr="00DA693C">
        <w:rPr>
          <w:rFonts w:ascii="Arial" w:eastAsia="Calibri" w:hAnsi="Arial" w:cs="Arial"/>
          <w:sz w:val="20"/>
          <w:szCs w:val="20"/>
          <w:lang w:eastAsia="en-US"/>
        </w:rPr>
        <w:t>Ovim ciljem se postiže dodatna obučenost određenog broja interventnih vatrogasaca u JVP Konavle, koji se osposobljavaju za ispomoć prilikom velikih i zahtjevnih vatrogasnih intervencija na drugim područjima, tj kvalitetnoj pomoći drugim sredinama ugroženih katastrofom.</w:t>
      </w:r>
    </w:p>
    <w:p w14:paraId="5702FB00" w14:textId="77777777" w:rsidR="00617716" w:rsidRDefault="00617716" w:rsidP="00617716">
      <w:pPr>
        <w:spacing w:after="0" w:line="240" w:lineRule="auto"/>
        <w:jc w:val="both"/>
        <w:rPr>
          <w:rFonts w:ascii="Arial" w:eastAsia="Calibri" w:hAnsi="Arial" w:cs="Arial"/>
          <w:b/>
          <w:sz w:val="20"/>
          <w:szCs w:val="20"/>
          <w:lang w:eastAsia="en-US"/>
        </w:rPr>
      </w:pPr>
    </w:p>
    <w:p w14:paraId="53927AF3" w14:textId="77777777" w:rsidR="003042D5" w:rsidRDefault="003042D5" w:rsidP="00617716">
      <w:pPr>
        <w:spacing w:after="0" w:line="240" w:lineRule="auto"/>
        <w:jc w:val="both"/>
        <w:rPr>
          <w:rFonts w:ascii="Arial" w:eastAsia="Calibri" w:hAnsi="Arial" w:cs="Arial"/>
          <w:b/>
          <w:sz w:val="20"/>
          <w:szCs w:val="20"/>
          <w:lang w:eastAsia="en-US"/>
        </w:rPr>
      </w:pPr>
    </w:p>
    <w:p w14:paraId="1522A310" w14:textId="77777777" w:rsidR="003042D5" w:rsidRPr="00DA693C" w:rsidRDefault="003042D5" w:rsidP="00617716">
      <w:pPr>
        <w:spacing w:after="0" w:line="240" w:lineRule="auto"/>
        <w:jc w:val="both"/>
        <w:rPr>
          <w:rFonts w:ascii="Arial" w:eastAsia="Calibri" w:hAnsi="Arial" w:cs="Arial"/>
          <w:b/>
          <w:sz w:val="20"/>
          <w:szCs w:val="20"/>
          <w:lang w:eastAsia="en-US"/>
        </w:rPr>
      </w:pPr>
    </w:p>
    <w:tbl>
      <w:tblPr>
        <w:tblStyle w:val="Reetkatablice51"/>
        <w:tblW w:w="14739" w:type="dxa"/>
        <w:tblInd w:w="137" w:type="dxa"/>
        <w:tblLayout w:type="fixed"/>
        <w:tblLook w:val="04A0" w:firstRow="1" w:lastRow="0" w:firstColumn="1" w:lastColumn="0" w:noHBand="0" w:noVBand="1"/>
      </w:tblPr>
      <w:tblGrid>
        <w:gridCol w:w="1840"/>
        <w:gridCol w:w="2551"/>
        <w:gridCol w:w="1418"/>
        <w:gridCol w:w="1276"/>
        <w:gridCol w:w="1275"/>
        <w:gridCol w:w="1418"/>
        <w:gridCol w:w="1418"/>
        <w:gridCol w:w="1418"/>
        <w:gridCol w:w="2125"/>
      </w:tblGrid>
      <w:tr w:rsidR="00DA693C" w:rsidRPr="00DA693C" w14:paraId="2272D2B9" w14:textId="77777777" w:rsidTr="00992310">
        <w:tc>
          <w:tcPr>
            <w:tcW w:w="184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8641966" w14:textId="7777777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lastRenderedPageBreak/>
              <w:t>Pokazatelj uspješnosti</w:t>
            </w:r>
          </w:p>
        </w:tc>
        <w:tc>
          <w:tcPr>
            <w:tcW w:w="25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32F3533" w14:textId="7777777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Definicija</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518A284" w14:textId="7777777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Jedinica</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06C3A527" w14:textId="7777777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Polazna vrijednost</w:t>
            </w:r>
          </w:p>
          <w:p w14:paraId="7D1F9C9B" w14:textId="698079BA" w:rsidR="009E4591" w:rsidRPr="00DA693C" w:rsidRDefault="009E4591" w:rsidP="0014454D">
            <w:pPr>
              <w:jc w:val="center"/>
              <w:rPr>
                <w:rFonts w:ascii="Arial" w:eastAsia="Calibri" w:hAnsi="Arial" w:cs="Arial"/>
                <w:lang w:eastAsia="en-US"/>
              </w:rPr>
            </w:pPr>
            <w:r w:rsidRPr="00DA693C">
              <w:rPr>
                <w:rFonts w:ascii="Arial" w:eastAsia="Calibri" w:hAnsi="Arial" w:cs="Arial"/>
                <w:lang w:eastAsia="en-US"/>
              </w:rPr>
              <w:t>202</w:t>
            </w:r>
            <w:r w:rsidR="00E94E51">
              <w:rPr>
                <w:rFonts w:ascii="Arial" w:eastAsia="Calibri" w:hAnsi="Arial" w:cs="Arial"/>
                <w:lang w:eastAsia="en-US"/>
              </w:rPr>
              <w:t>4</w:t>
            </w:r>
            <w:r w:rsidRPr="00DA693C">
              <w:rPr>
                <w:rFonts w:ascii="Arial" w:eastAsia="Calibri" w:hAnsi="Arial" w:cs="Arial"/>
                <w:lang w:eastAsia="en-US"/>
              </w:rPr>
              <w:t>.</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0C7F3C6" w14:textId="7777777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Izvor podataka</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51DFCA5F" w14:textId="7C18B23A"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Ciljana vrijednost 20</w:t>
            </w:r>
            <w:r w:rsidR="009E4591" w:rsidRPr="00DA693C">
              <w:rPr>
                <w:rFonts w:ascii="Arial" w:eastAsia="Calibri" w:hAnsi="Arial" w:cs="Arial"/>
                <w:lang w:eastAsia="en-US"/>
              </w:rPr>
              <w:t>2</w:t>
            </w:r>
            <w:r w:rsidR="00E94E51">
              <w:rPr>
                <w:rFonts w:ascii="Arial" w:eastAsia="Calibri" w:hAnsi="Arial" w:cs="Arial"/>
                <w:lang w:eastAsia="en-US"/>
              </w:rPr>
              <w:t>5</w:t>
            </w:r>
            <w:r w:rsidRPr="00DA693C">
              <w:rPr>
                <w:rFonts w:ascii="Arial" w:eastAsia="Calibri" w:hAnsi="Arial" w:cs="Arial"/>
                <w:lang w:eastAsia="en-US"/>
              </w:rPr>
              <w:t>.</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1637761" w14:textId="380FDFAD"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Izvršeno 202</w:t>
            </w:r>
            <w:r w:rsidR="00E94E51">
              <w:rPr>
                <w:rFonts w:ascii="Arial" w:eastAsia="Calibri" w:hAnsi="Arial" w:cs="Arial"/>
                <w:lang w:eastAsia="en-US"/>
              </w:rPr>
              <w:t>5</w:t>
            </w:r>
            <w:r w:rsidRPr="00DA693C">
              <w:rPr>
                <w:rFonts w:ascii="Arial" w:eastAsia="Calibri" w:hAnsi="Arial" w:cs="Arial"/>
                <w:lang w:eastAsia="en-US"/>
              </w:rPr>
              <w:t>.</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FE7880D" w14:textId="32C8E78F"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Ciljana vrijednost 202</w:t>
            </w:r>
            <w:r w:rsidR="00E94E51">
              <w:rPr>
                <w:rFonts w:ascii="Arial" w:eastAsia="Calibri" w:hAnsi="Arial" w:cs="Arial"/>
                <w:lang w:eastAsia="en-US"/>
              </w:rPr>
              <w:t>6</w:t>
            </w:r>
            <w:r w:rsidRPr="00DA693C">
              <w:rPr>
                <w:rFonts w:ascii="Arial" w:eastAsia="Calibri" w:hAnsi="Arial" w:cs="Arial"/>
                <w:lang w:eastAsia="en-US"/>
              </w:rPr>
              <w:t>.</w:t>
            </w:r>
          </w:p>
        </w:tc>
        <w:tc>
          <w:tcPr>
            <w:tcW w:w="2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05B1CF5" w14:textId="181B04F0"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Ciljana vrijednost 202</w:t>
            </w:r>
            <w:r w:rsidR="00E94E51">
              <w:rPr>
                <w:rFonts w:ascii="Arial" w:eastAsia="Calibri" w:hAnsi="Arial" w:cs="Arial"/>
                <w:lang w:eastAsia="en-US"/>
              </w:rPr>
              <w:t>7</w:t>
            </w:r>
            <w:r w:rsidRPr="00DA693C">
              <w:rPr>
                <w:rFonts w:ascii="Arial" w:eastAsia="Calibri" w:hAnsi="Arial" w:cs="Arial"/>
                <w:lang w:eastAsia="en-US"/>
              </w:rPr>
              <w:t>.</w:t>
            </w:r>
          </w:p>
        </w:tc>
      </w:tr>
      <w:tr w:rsidR="00617716" w:rsidRPr="00DA693C" w14:paraId="4F214033" w14:textId="77777777" w:rsidTr="00992310">
        <w:trPr>
          <w:trHeight w:val="745"/>
        </w:trPr>
        <w:tc>
          <w:tcPr>
            <w:tcW w:w="1840" w:type="dxa"/>
            <w:tcBorders>
              <w:top w:val="single" w:sz="4" w:space="0" w:color="000000"/>
              <w:left w:val="single" w:sz="4" w:space="0" w:color="000000"/>
              <w:bottom w:val="single" w:sz="4" w:space="0" w:color="000000"/>
              <w:right w:val="single" w:sz="4" w:space="0" w:color="000000"/>
            </w:tcBorders>
            <w:vAlign w:val="center"/>
          </w:tcPr>
          <w:p w14:paraId="2A0AD661" w14:textId="77777777" w:rsidR="00617716" w:rsidRPr="00DA693C" w:rsidRDefault="00617716" w:rsidP="00617716">
            <w:pPr>
              <w:rPr>
                <w:rFonts w:ascii="Arial" w:eastAsia="Calibri" w:hAnsi="Arial" w:cs="Arial"/>
                <w:sz w:val="18"/>
                <w:lang w:eastAsia="en-US"/>
              </w:rPr>
            </w:pPr>
            <w:r w:rsidRPr="00DA693C">
              <w:rPr>
                <w:rFonts w:ascii="Arial" w:eastAsia="Calibri" w:hAnsi="Arial" w:cs="Arial"/>
                <w:sz w:val="18"/>
                <w:lang w:eastAsia="en-US"/>
              </w:rPr>
              <w:t>Veći broj vatrogasaca obučen za slučaj dislokacije na priobalje</w:t>
            </w:r>
          </w:p>
        </w:tc>
        <w:tc>
          <w:tcPr>
            <w:tcW w:w="2551" w:type="dxa"/>
            <w:tcBorders>
              <w:top w:val="single" w:sz="4" w:space="0" w:color="000000"/>
              <w:left w:val="single" w:sz="4" w:space="0" w:color="000000"/>
              <w:bottom w:val="single" w:sz="4" w:space="0" w:color="000000"/>
              <w:right w:val="single" w:sz="4" w:space="0" w:color="000000"/>
            </w:tcBorders>
            <w:vAlign w:val="center"/>
          </w:tcPr>
          <w:p w14:paraId="7CCF128A" w14:textId="77777777" w:rsidR="00617716" w:rsidRPr="00DA693C" w:rsidRDefault="00617716" w:rsidP="00617716">
            <w:pPr>
              <w:rPr>
                <w:rFonts w:ascii="Arial" w:eastAsia="Calibri" w:hAnsi="Arial" w:cs="Arial"/>
                <w:sz w:val="18"/>
                <w:lang w:eastAsia="en-US"/>
              </w:rPr>
            </w:pPr>
            <w:r w:rsidRPr="00DA693C">
              <w:rPr>
                <w:rFonts w:ascii="Arial" w:eastAsia="Calibri" w:hAnsi="Arial" w:cs="Arial"/>
                <w:sz w:val="18"/>
                <w:lang w:eastAsia="en-US"/>
              </w:rPr>
              <w:t>Obučiti i opremiti veći broj vatrogasaca za slučaj dislokacije na priobalje.</w:t>
            </w:r>
          </w:p>
        </w:tc>
        <w:tc>
          <w:tcPr>
            <w:tcW w:w="1418" w:type="dxa"/>
            <w:tcBorders>
              <w:top w:val="single" w:sz="4" w:space="0" w:color="000000"/>
              <w:left w:val="single" w:sz="4" w:space="0" w:color="000000"/>
              <w:bottom w:val="single" w:sz="4" w:space="0" w:color="000000"/>
              <w:right w:val="single" w:sz="4" w:space="0" w:color="000000"/>
            </w:tcBorders>
            <w:vAlign w:val="center"/>
          </w:tcPr>
          <w:p w14:paraId="2F072707" w14:textId="77777777"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 ukupnog broja zaposlenih</w:t>
            </w:r>
          </w:p>
        </w:tc>
        <w:tc>
          <w:tcPr>
            <w:tcW w:w="1276" w:type="dxa"/>
            <w:tcBorders>
              <w:top w:val="single" w:sz="4" w:space="0" w:color="000000"/>
              <w:left w:val="single" w:sz="4" w:space="0" w:color="000000"/>
              <w:bottom w:val="single" w:sz="4" w:space="0" w:color="000000"/>
              <w:right w:val="single" w:sz="4" w:space="0" w:color="000000"/>
            </w:tcBorders>
            <w:vAlign w:val="center"/>
          </w:tcPr>
          <w:p w14:paraId="40710ACA" w14:textId="77777777"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10 %</w:t>
            </w:r>
          </w:p>
          <w:p w14:paraId="4BB7B9A7" w14:textId="77777777"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(2 zaposlenika)</w:t>
            </w:r>
          </w:p>
        </w:tc>
        <w:tc>
          <w:tcPr>
            <w:tcW w:w="1275" w:type="dxa"/>
            <w:tcBorders>
              <w:top w:val="single" w:sz="4" w:space="0" w:color="000000"/>
              <w:left w:val="single" w:sz="4" w:space="0" w:color="000000"/>
              <w:bottom w:val="single" w:sz="4" w:space="0" w:color="000000"/>
              <w:right w:val="single" w:sz="4" w:space="0" w:color="000000"/>
            </w:tcBorders>
            <w:vAlign w:val="center"/>
          </w:tcPr>
          <w:p w14:paraId="625A2670" w14:textId="77777777"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Javna vatrogasna postrojba Konavle</w:t>
            </w:r>
          </w:p>
        </w:tc>
        <w:tc>
          <w:tcPr>
            <w:tcW w:w="1418" w:type="dxa"/>
            <w:tcBorders>
              <w:top w:val="single" w:sz="4" w:space="0" w:color="000000"/>
              <w:left w:val="single" w:sz="4" w:space="0" w:color="000000"/>
              <w:bottom w:val="single" w:sz="4" w:space="0" w:color="000000"/>
              <w:right w:val="single" w:sz="4" w:space="0" w:color="000000"/>
            </w:tcBorders>
            <w:vAlign w:val="center"/>
          </w:tcPr>
          <w:p w14:paraId="378190AC" w14:textId="77777777"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70 %</w:t>
            </w:r>
          </w:p>
          <w:p w14:paraId="0097E53D" w14:textId="77777777"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(14 zaposlenika)</w:t>
            </w:r>
          </w:p>
        </w:tc>
        <w:tc>
          <w:tcPr>
            <w:tcW w:w="1418" w:type="dxa"/>
            <w:tcBorders>
              <w:top w:val="single" w:sz="4" w:space="0" w:color="000000"/>
              <w:left w:val="single" w:sz="4" w:space="0" w:color="000000"/>
              <w:bottom w:val="single" w:sz="4" w:space="0" w:color="000000"/>
              <w:right w:val="single" w:sz="4" w:space="0" w:color="000000"/>
            </w:tcBorders>
            <w:vAlign w:val="center"/>
          </w:tcPr>
          <w:p w14:paraId="5E4204F6" w14:textId="0F9ADDB5" w:rsidR="00617716" w:rsidRPr="00DA693C" w:rsidRDefault="004B1FB8" w:rsidP="0014454D">
            <w:pPr>
              <w:jc w:val="center"/>
              <w:rPr>
                <w:rFonts w:ascii="Arial" w:eastAsia="Calibri" w:hAnsi="Arial" w:cs="Arial"/>
                <w:sz w:val="18"/>
                <w:lang w:eastAsia="en-US"/>
              </w:rPr>
            </w:pPr>
            <w:r w:rsidRPr="00DA693C">
              <w:rPr>
                <w:rFonts w:ascii="Arial" w:eastAsia="Calibri" w:hAnsi="Arial" w:cs="Arial"/>
                <w:sz w:val="18"/>
                <w:lang w:eastAsia="en-US"/>
              </w:rPr>
              <w:t>0</w:t>
            </w:r>
            <w:r w:rsidR="00617716" w:rsidRPr="00DA693C">
              <w:rPr>
                <w:rFonts w:ascii="Arial" w:eastAsia="Calibri" w:hAnsi="Arial" w:cs="Arial"/>
                <w:sz w:val="18"/>
                <w:lang w:eastAsia="en-US"/>
              </w:rPr>
              <w:t>%</w:t>
            </w:r>
          </w:p>
          <w:p w14:paraId="25C54D3A" w14:textId="5D2F379E"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w:t>
            </w:r>
            <w:r w:rsidR="004B1FB8" w:rsidRPr="00DA693C">
              <w:rPr>
                <w:rFonts w:ascii="Arial" w:eastAsia="Calibri" w:hAnsi="Arial" w:cs="Arial"/>
                <w:sz w:val="18"/>
                <w:lang w:eastAsia="en-US"/>
              </w:rPr>
              <w:t>0</w:t>
            </w:r>
            <w:r w:rsidRPr="00DA693C">
              <w:rPr>
                <w:rFonts w:ascii="Arial" w:eastAsia="Calibri" w:hAnsi="Arial" w:cs="Arial"/>
                <w:sz w:val="18"/>
                <w:lang w:eastAsia="en-US"/>
              </w:rPr>
              <w:t xml:space="preserve"> zaposlenika)</w:t>
            </w:r>
          </w:p>
        </w:tc>
        <w:tc>
          <w:tcPr>
            <w:tcW w:w="1418" w:type="dxa"/>
            <w:tcBorders>
              <w:top w:val="single" w:sz="4" w:space="0" w:color="000000"/>
              <w:left w:val="single" w:sz="4" w:space="0" w:color="000000"/>
              <w:bottom w:val="single" w:sz="4" w:space="0" w:color="000000"/>
              <w:right w:val="single" w:sz="4" w:space="0" w:color="000000"/>
            </w:tcBorders>
            <w:vAlign w:val="center"/>
          </w:tcPr>
          <w:p w14:paraId="1D3072AE" w14:textId="3222A605" w:rsidR="00617716" w:rsidRPr="00DA693C" w:rsidRDefault="00FF77D6" w:rsidP="0014454D">
            <w:pPr>
              <w:jc w:val="center"/>
              <w:rPr>
                <w:rFonts w:ascii="Arial" w:eastAsia="Calibri" w:hAnsi="Arial" w:cs="Arial"/>
                <w:sz w:val="18"/>
                <w:lang w:eastAsia="en-US"/>
              </w:rPr>
            </w:pPr>
            <w:r>
              <w:rPr>
                <w:rFonts w:ascii="Arial" w:eastAsia="Calibri" w:hAnsi="Arial" w:cs="Arial"/>
                <w:sz w:val="18"/>
                <w:lang w:eastAsia="en-US"/>
              </w:rPr>
              <w:t>80</w:t>
            </w:r>
            <w:r w:rsidR="00617716" w:rsidRPr="00DA693C">
              <w:rPr>
                <w:rFonts w:ascii="Arial" w:eastAsia="Calibri" w:hAnsi="Arial" w:cs="Arial"/>
                <w:sz w:val="18"/>
                <w:lang w:eastAsia="en-US"/>
              </w:rPr>
              <w:t xml:space="preserve"> %</w:t>
            </w:r>
          </w:p>
          <w:p w14:paraId="66AC310F" w14:textId="3D500392"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(1</w:t>
            </w:r>
            <w:r w:rsidR="00FF77D6">
              <w:rPr>
                <w:rFonts w:ascii="Arial" w:eastAsia="Calibri" w:hAnsi="Arial" w:cs="Arial"/>
                <w:sz w:val="18"/>
                <w:lang w:eastAsia="en-US"/>
              </w:rPr>
              <w:t>6</w:t>
            </w:r>
            <w:r w:rsidRPr="00DA693C">
              <w:rPr>
                <w:rFonts w:ascii="Arial" w:eastAsia="Calibri" w:hAnsi="Arial" w:cs="Arial"/>
                <w:sz w:val="18"/>
                <w:lang w:eastAsia="en-US"/>
              </w:rPr>
              <w:t xml:space="preserve"> zaposlenika)</w:t>
            </w:r>
          </w:p>
        </w:tc>
        <w:tc>
          <w:tcPr>
            <w:tcW w:w="2125" w:type="dxa"/>
            <w:tcBorders>
              <w:top w:val="single" w:sz="4" w:space="0" w:color="000000"/>
              <w:left w:val="single" w:sz="4" w:space="0" w:color="000000"/>
              <w:bottom w:val="single" w:sz="4" w:space="0" w:color="000000"/>
              <w:right w:val="single" w:sz="4" w:space="0" w:color="000000"/>
            </w:tcBorders>
            <w:vAlign w:val="center"/>
          </w:tcPr>
          <w:p w14:paraId="76E300F6" w14:textId="77777777"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80 %</w:t>
            </w:r>
          </w:p>
          <w:p w14:paraId="7DA8C883" w14:textId="77777777"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(16 zaposlenika)</w:t>
            </w:r>
          </w:p>
        </w:tc>
      </w:tr>
    </w:tbl>
    <w:p w14:paraId="49A8D30C" w14:textId="77777777" w:rsidR="00617716" w:rsidRPr="00DA693C" w:rsidRDefault="00617716" w:rsidP="00617716">
      <w:pPr>
        <w:spacing w:after="0" w:line="240" w:lineRule="auto"/>
        <w:jc w:val="both"/>
        <w:rPr>
          <w:rFonts w:ascii="Arial" w:eastAsia="Calibri" w:hAnsi="Arial" w:cs="Arial"/>
          <w:sz w:val="20"/>
          <w:szCs w:val="20"/>
          <w:lang w:eastAsia="en-US"/>
        </w:rPr>
      </w:pPr>
    </w:p>
    <w:p w14:paraId="6CB54A20" w14:textId="0E6F1913" w:rsidR="00617716" w:rsidRPr="00DA693C" w:rsidRDefault="009E4591" w:rsidP="00617716">
      <w:pPr>
        <w:spacing w:after="0" w:line="240" w:lineRule="auto"/>
        <w:jc w:val="both"/>
        <w:rPr>
          <w:rFonts w:ascii="Arial" w:eastAsia="Calibri" w:hAnsi="Arial" w:cs="Arial"/>
          <w:sz w:val="20"/>
          <w:szCs w:val="20"/>
          <w:lang w:eastAsia="en-US"/>
        </w:rPr>
      </w:pPr>
      <w:r w:rsidRPr="00DA693C">
        <w:rPr>
          <w:rFonts w:ascii="Arial" w:eastAsia="Calibri" w:hAnsi="Arial" w:cs="Arial"/>
          <w:sz w:val="20"/>
          <w:szCs w:val="20"/>
          <w:lang w:eastAsia="en-US"/>
        </w:rPr>
        <w:t>Planirana obuka desantiranja vatrogasaca u 202</w:t>
      </w:r>
      <w:r w:rsidR="00FF77D6">
        <w:rPr>
          <w:rFonts w:ascii="Arial" w:eastAsia="Calibri" w:hAnsi="Arial" w:cs="Arial"/>
          <w:sz w:val="20"/>
          <w:szCs w:val="20"/>
          <w:lang w:eastAsia="en-US"/>
        </w:rPr>
        <w:t>5</w:t>
      </w:r>
      <w:r w:rsidRPr="00DA693C">
        <w:rPr>
          <w:rFonts w:ascii="Arial" w:eastAsia="Calibri" w:hAnsi="Arial" w:cs="Arial"/>
          <w:sz w:val="20"/>
          <w:szCs w:val="20"/>
          <w:lang w:eastAsia="en-US"/>
        </w:rPr>
        <w:t>. godine nije održana.</w:t>
      </w:r>
    </w:p>
    <w:p w14:paraId="78F2DB79" w14:textId="77777777" w:rsidR="00617716" w:rsidRPr="00DA693C" w:rsidRDefault="00617716" w:rsidP="00617716">
      <w:pPr>
        <w:spacing w:after="0" w:line="240" w:lineRule="auto"/>
        <w:jc w:val="both"/>
        <w:rPr>
          <w:rFonts w:ascii="Arial" w:eastAsia="Calibri" w:hAnsi="Arial" w:cs="Arial"/>
          <w:sz w:val="20"/>
          <w:szCs w:val="20"/>
          <w:lang w:eastAsia="en-US"/>
        </w:rPr>
      </w:pPr>
    </w:p>
    <w:tbl>
      <w:tblPr>
        <w:tblStyle w:val="Reetkatablice51"/>
        <w:tblW w:w="14370" w:type="dxa"/>
        <w:jc w:val="center"/>
        <w:tblLayout w:type="fixed"/>
        <w:tblLook w:val="04A0" w:firstRow="1" w:lastRow="0" w:firstColumn="1" w:lastColumn="0" w:noHBand="0" w:noVBand="1"/>
      </w:tblPr>
      <w:tblGrid>
        <w:gridCol w:w="1471"/>
        <w:gridCol w:w="2919"/>
        <w:gridCol w:w="1134"/>
        <w:gridCol w:w="1192"/>
        <w:gridCol w:w="1501"/>
        <w:gridCol w:w="1192"/>
        <w:gridCol w:w="1418"/>
        <w:gridCol w:w="1418"/>
        <w:gridCol w:w="2125"/>
      </w:tblGrid>
      <w:tr w:rsidR="00DA693C" w:rsidRPr="00DA693C" w14:paraId="5C2C462D" w14:textId="77777777" w:rsidTr="00992310">
        <w:trPr>
          <w:jc w:val="center"/>
        </w:trPr>
        <w:tc>
          <w:tcPr>
            <w:tcW w:w="14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880A1BA" w14:textId="7777777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Pokazatelj uspješnosti</w:t>
            </w:r>
          </w:p>
        </w:tc>
        <w:tc>
          <w:tcPr>
            <w:tcW w:w="291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09C94027" w14:textId="7777777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Definicija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08AEDB02" w14:textId="7777777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Jedinica</w:t>
            </w:r>
          </w:p>
        </w:tc>
        <w:tc>
          <w:tcPr>
            <w:tcW w:w="11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714901A" w14:textId="3EF126A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Polazna vrijednost</w:t>
            </w:r>
            <w:r w:rsidR="009E4591" w:rsidRPr="00DA693C">
              <w:rPr>
                <w:rFonts w:ascii="Arial" w:eastAsia="Calibri" w:hAnsi="Arial" w:cs="Arial"/>
                <w:lang w:eastAsia="en-US"/>
              </w:rPr>
              <w:t xml:space="preserve"> 202</w:t>
            </w:r>
            <w:r w:rsidR="00FF77D6">
              <w:rPr>
                <w:rFonts w:ascii="Arial" w:eastAsia="Calibri" w:hAnsi="Arial" w:cs="Arial"/>
                <w:lang w:eastAsia="en-US"/>
              </w:rPr>
              <w:t>4</w:t>
            </w:r>
            <w:r w:rsidR="009E4591" w:rsidRPr="00DA693C">
              <w:rPr>
                <w:rFonts w:ascii="Arial" w:eastAsia="Calibri" w:hAnsi="Arial" w:cs="Arial"/>
                <w:lang w:eastAsia="en-US"/>
              </w:rPr>
              <w:t>.</w:t>
            </w:r>
          </w:p>
        </w:tc>
        <w:tc>
          <w:tcPr>
            <w:tcW w:w="15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AE90E03" w14:textId="7777777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Izvor podataka</w:t>
            </w:r>
          </w:p>
        </w:tc>
        <w:tc>
          <w:tcPr>
            <w:tcW w:w="11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9CB5764" w14:textId="66E07361"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Ciljana vrijednost 20</w:t>
            </w:r>
            <w:r w:rsidR="00A86FE3" w:rsidRPr="00DA693C">
              <w:rPr>
                <w:rFonts w:ascii="Arial" w:eastAsia="Calibri" w:hAnsi="Arial" w:cs="Arial"/>
                <w:lang w:eastAsia="en-US"/>
              </w:rPr>
              <w:t>2</w:t>
            </w:r>
            <w:r w:rsidR="00FF77D6">
              <w:rPr>
                <w:rFonts w:ascii="Arial" w:eastAsia="Calibri" w:hAnsi="Arial" w:cs="Arial"/>
                <w:lang w:eastAsia="en-US"/>
              </w:rPr>
              <w:t>5</w:t>
            </w:r>
            <w:r w:rsidRPr="00DA693C">
              <w:rPr>
                <w:rFonts w:ascii="Arial" w:eastAsia="Calibri" w:hAnsi="Arial" w:cs="Arial"/>
                <w:lang w:eastAsia="en-US"/>
              </w:rPr>
              <w:t>.</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8E46A0D" w14:textId="4D65CC78"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Izvršeno 20</w:t>
            </w:r>
            <w:r w:rsidR="009E4591" w:rsidRPr="00DA693C">
              <w:rPr>
                <w:rFonts w:ascii="Arial" w:eastAsia="Calibri" w:hAnsi="Arial" w:cs="Arial"/>
                <w:lang w:eastAsia="en-US"/>
              </w:rPr>
              <w:t>2</w:t>
            </w:r>
            <w:r w:rsidR="00FF77D6">
              <w:rPr>
                <w:rFonts w:ascii="Arial" w:eastAsia="Calibri" w:hAnsi="Arial" w:cs="Arial"/>
                <w:lang w:eastAsia="en-US"/>
              </w:rPr>
              <w:t>5</w:t>
            </w:r>
            <w:r w:rsidRPr="00DA693C">
              <w:rPr>
                <w:rFonts w:ascii="Arial" w:eastAsia="Calibri" w:hAnsi="Arial" w:cs="Arial"/>
                <w:lang w:eastAsia="en-US"/>
              </w:rPr>
              <w:t>.</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0DC53C95" w14:textId="2D045821"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Ciljana vrijednost 20</w:t>
            </w:r>
            <w:r w:rsidR="00A86FE3" w:rsidRPr="00DA693C">
              <w:rPr>
                <w:rFonts w:ascii="Arial" w:eastAsia="Calibri" w:hAnsi="Arial" w:cs="Arial"/>
                <w:lang w:eastAsia="en-US"/>
              </w:rPr>
              <w:t>2</w:t>
            </w:r>
            <w:r w:rsidR="00FF77D6">
              <w:rPr>
                <w:rFonts w:ascii="Arial" w:eastAsia="Calibri" w:hAnsi="Arial" w:cs="Arial"/>
                <w:lang w:eastAsia="en-US"/>
              </w:rPr>
              <w:t>6</w:t>
            </w:r>
            <w:r w:rsidRPr="00DA693C">
              <w:rPr>
                <w:rFonts w:ascii="Arial" w:eastAsia="Calibri" w:hAnsi="Arial" w:cs="Arial"/>
                <w:lang w:eastAsia="en-US"/>
              </w:rPr>
              <w:t>.</w:t>
            </w:r>
          </w:p>
        </w:tc>
        <w:tc>
          <w:tcPr>
            <w:tcW w:w="2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2B1DB05" w14:textId="4A65AAD8"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Ciljana vrijednost 20</w:t>
            </w:r>
            <w:r w:rsidR="00A86FE3" w:rsidRPr="00DA693C">
              <w:rPr>
                <w:rFonts w:ascii="Arial" w:eastAsia="Calibri" w:hAnsi="Arial" w:cs="Arial"/>
                <w:lang w:eastAsia="en-US"/>
              </w:rPr>
              <w:t>2</w:t>
            </w:r>
            <w:r w:rsidR="00FF77D6">
              <w:rPr>
                <w:rFonts w:ascii="Arial" w:eastAsia="Calibri" w:hAnsi="Arial" w:cs="Arial"/>
                <w:lang w:eastAsia="en-US"/>
              </w:rPr>
              <w:t>7</w:t>
            </w:r>
            <w:r w:rsidRPr="00DA693C">
              <w:rPr>
                <w:rFonts w:ascii="Arial" w:eastAsia="Calibri" w:hAnsi="Arial" w:cs="Arial"/>
                <w:lang w:eastAsia="en-US"/>
              </w:rPr>
              <w:t>.</w:t>
            </w:r>
          </w:p>
        </w:tc>
      </w:tr>
      <w:tr w:rsidR="00617716" w:rsidRPr="00DA693C" w14:paraId="0D00C514" w14:textId="77777777" w:rsidTr="00992310">
        <w:trPr>
          <w:trHeight w:val="1031"/>
          <w:jc w:val="center"/>
        </w:trPr>
        <w:tc>
          <w:tcPr>
            <w:tcW w:w="1471" w:type="dxa"/>
            <w:tcBorders>
              <w:top w:val="single" w:sz="4" w:space="0" w:color="000000"/>
              <w:left w:val="single" w:sz="4" w:space="0" w:color="000000"/>
              <w:bottom w:val="single" w:sz="4" w:space="0" w:color="000000"/>
              <w:right w:val="single" w:sz="4" w:space="0" w:color="000000"/>
            </w:tcBorders>
            <w:vAlign w:val="center"/>
          </w:tcPr>
          <w:p w14:paraId="298D13C0" w14:textId="77777777" w:rsidR="00617716" w:rsidRPr="00DA693C" w:rsidRDefault="00617716" w:rsidP="00992310">
            <w:pPr>
              <w:rPr>
                <w:rFonts w:ascii="Arial" w:eastAsia="Calibri" w:hAnsi="Arial" w:cs="Arial"/>
                <w:sz w:val="18"/>
                <w:lang w:eastAsia="en-US"/>
              </w:rPr>
            </w:pPr>
            <w:r w:rsidRPr="00DA693C">
              <w:rPr>
                <w:rFonts w:ascii="Arial" w:eastAsia="Calibri" w:hAnsi="Arial" w:cs="Arial"/>
                <w:sz w:val="18"/>
                <w:lang w:eastAsia="en-US"/>
              </w:rPr>
              <w:t>Edukacija zaposlenih u postrojbi</w:t>
            </w:r>
          </w:p>
        </w:tc>
        <w:tc>
          <w:tcPr>
            <w:tcW w:w="2919" w:type="dxa"/>
            <w:tcBorders>
              <w:top w:val="single" w:sz="4" w:space="0" w:color="000000"/>
              <w:left w:val="single" w:sz="4" w:space="0" w:color="000000"/>
              <w:bottom w:val="single" w:sz="4" w:space="0" w:color="000000"/>
              <w:right w:val="single" w:sz="4" w:space="0" w:color="000000"/>
            </w:tcBorders>
            <w:vAlign w:val="center"/>
          </w:tcPr>
          <w:p w14:paraId="243B79B4" w14:textId="77777777" w:rsidR="00617716" w:rsidRPr="00DA693C" w:rsidRDefault="00617716" w:rsidP="00992310">
            <w:pPr>
              <w:rPr>
                <w:rFonts w:ascii="Arial" w:eastAsia="Calibri" w:hAnsi="Arial" w:cs="Arial"/>
                <w:sz w:val="18"/>
                <w:lang w:eastAsia="en-US"/>
              </w:rPr>
            </w:pPr>
            <w:r w:rsidRPr="00DA693C">
              <w:rPr>
                <w:rFonts w:ascii="Arial" w:eastAsia="Calibri" w:hAnsi="Arial" w:cs="Arial"/>
                <w:sz w:val="18"/>
                <w:lang w:eastAsia="en-US"/>
              </w:rPr>
              <w:t>Uspješno provođenje specijalističkih vježbi zaposlenika pomaže u uspješnijem i boljem djelovanju u zahtjevnijim vatrogasnim intervencijama.</w:t>
            </w:r>
          </w:p>
        </w:tc>
        <w:tc>
          <w:tcPr>
            <w:tcW w:w="1134" w:type="dxa"/>
            <w:tcBorders>
              <w:top w:val="single" w:sz="4" w:space="0" w:color="000000"/>
              <w:left w:val="single" w:sz="4" w:space="0" w:color="000000"/>
              <w:bottom w:val="single" w:sz="4" w:space="0" w:color="000000"/>
              <w:right w:val="single" w:sz="4" w:space="0" w:color="000000"/>
            </w:tcBorders>
            <w:vAlign w:val="center"/>
          </w:tcPr>
          <w:p w14:paraId="18B8B6C6" w14:textId="77777777"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Broj održanih vježbi tijekom godine</w:t>
            </w:r>
          </w:p>
        </w:tc>
        <w:tc>
          <w:tcPr>
            <w:tcW w:w="1192" w:type="dxa"/>
            <w:tcBorders>
              <w:top w:val="single" w:sz="4" w:space="0" w:color="000000"/>
              <w:left w:val="single" w:sz="4" w:space="0" w:color="000000"/>
              <w:bottom w:val="single" w:sz="4" w:space="0" w:color="000000"/>
              <w:right w:val="single" w:sz="4" w:space="0" w:color="000000"/>
            </w:tcBorders>
            <w:vAlign w:val="center"/>
          </w:tcPr>
          <w:p w14:paraId="01488F3E" w14:textId="77777777"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7</w:t>
            </w:r>
          </w:p>
        </w:tc>
        <w:tc>
          <w:tcPr>
            <w:tcW w:w="1501" w:type="dxa"/>
            <w:tcBorders>
              <w:top w:val="single" w:sz="4" w:space="0" w:color="000000"/>
              <w:left w:val="single" w:sz="4" w:space="0" w:color="000000"/>
              <w:bottom w:val="single" w:sz="4" w:space="0" w:color="000000"/>
              <w:right w:val="single" w:sz="4" w:space="0" w:color="000000"/>
            </w:tcBorders>
            <w:vAlign w:val="center"/>
          </w:tcPr>
          <w:p w14:paraId="57ABF1AC" w14:textId="77777777"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Javna vatrogasna postrojba Konavle</w:t>
            </w:r>
          </w:p>
        </w:tc>
        <w:tc>
          <w:tcPr>
            <w:tcW w:w="1192" w:type="dxa"/>
            <w:tcBorders>
              <w:top w:val="single" w:sz="4" w:space="0" w:color="000000"/>
              <w:left w:val="single" w:sz="4" w:space="0" w:color="000000"/>
              <w:bottom w:val="single" w:sz="4" w:space="0" w:color="000000"/>
              <w:right w:val="single" w:sz="4" w:space="0" w:color="000000"/>
            </w:tcBorders>
            <w:vAlign w:val="center"/>
          </w:tcPr>
          <w:p w14:paraId="7A633D81" w14:textId="3EE2B813" w:rsidR="00617716" w:rsidRPr="00DA693C" w:rsidRDefault="008B176C" w:rsidP="0014454D">
            <w:pPr>
              <w:jc w:val="center"/>
              <w:rPr>
                <w:rFonts w:ascii="Arial" w:eastAsia="Calibri" w:hAnsi="Arial" w:cs="Arial"/>
                <w:sz w:val="18"/>
                <w:lang w:eastAsia="en-US"/>
              </w:rPr>
            </w:pPr>
            <w:r>
              <w:rPr>
                <w:rFonts w:ascii="Arial" w:eastAsia="Calibri" w:hAnsi="Arial" w:cs="Arial"/>
                <w:sz w:val="18"/>
                <w:lang w:eastAsia="en-US"/>
              </w:rPr>
              <w:t>13</w:t>
            </w:r>
          </w:p>
        </w:tc>
        <w:tc>
          <w:tcPr>
            <w:tcW w:w="1418" w:type="dxa"/>
            <w:tcBorders>
              <w:top w:val="single" w:sz="4" w:space="0" w:color="000000"/>
              <w:left w:val="single" w:sz="4" w:space="0" w:color="000000"/>
              <w:bottom w:val="single" w:sz="4" w:space="0" w:color="000000"/>
              <w:right w:val="single" w:sz="4" w:space="0" w:color="000000"/>
            </w:tcBorders>
            <w:vAlign w:val="center"/>
          </w:tcPr>
          <w:p w14:paraId="4C3B8A5A" w14:textId="4B0CF042" w:rsidR="00617716" w:rsidRPr="00DA693C" w:rsidRDefault="008B176C" w:rsidP="0014454D">
            <w:pPr>
              <w:jc w:val="center"/>
              <w:rPr>
                <w:rFonts w:ascii="Arial" w:eastAsia="Calibri" w:hAnsi="Arial" w:cs="Arial"/>
                <w:sz w:val="18"/>
                <w:lang w:eastAsia="en-US"/>
              </w:rPr>
            </w:pPr>
            <w:r>
              <w:rPr>
                <w:rFonts w:ascii="Arial" w:eastAsia="Calibri" w:hAnsi="Arial" w:cs="Arial"/>
                <w:sz w:val="18"/>
                <w:lang w:eastAsia="en-US"/>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23378EB7" w14:textId="380CAB58" w:rsidR="00617716" w:rsidRPr="00DA693C" w:rsidRDefault="008B176C" w:rsidP="0014454D">
            <w:pPr>
              <w:jc w:val="center"/>
              <w:rPr>
                <w:rFonts w:ascii="Arial" w:eastAsia="Calibri" w:hAnsi="Arial" w:cs="Arial"/>
                <w:sz w:val="18"/>
                <w:lang w:eastAsia="en-US"/>
              </w:rPr>
            </w:pPr>
            <w:r>
              <w:rPr>
                <w:rFonts w:ascii="Arial" w:eastAsia="Calibri" w:hAnsi="Arial" w:cs="Arial"/>
                <w:sz w:val="18"/>
                <w:lang w:eastAsia="en-US"/>
              </w:rPr>
              <w:t>14</w:t>
            </w:r>
          </w:p>
        </w:tc>
        <w:tc>
          <w:tcPr>
            <w:tcW w:w="2125" w:type="dxa"/>
            <w:tcBorders>
              <w:top w:val="single" w:sz="4" w:space="0" w:color="000000"/>
              <w:left w:val="single" w:sz="4" w:space="0" w:color="000000"/>
              <w:bottom w:val="single" w:sz="4" w:space="0" w:color="000000"/>
              <w:right w:val="single" w:sz="4" w:space="0" w:color="000000"/>
            </w:tcBorders>
            <w:vAlign w:val="center"/>
          </w:tcPr>
          <w:p w14:paraId="256ACB2A" w14:textId="3E628A53"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1</w:t>
            </w:r>
            <w:r w:rsidR="008B176C">
              <w:rPr>
                <w:rFonts w:ascii="Arial" w:eastAsia="Calibri" w:hAnsi="Arial" w:cs="Arial"/>
                <w:sz w:val="18"/>
                <w:lang w:eastAsia="en-US"/>
              </w:rPr>
              <w:t>6</w:t>
            </w:r>
          </w:p>
        </w:tc>
      </w:tr>
    </w:tbl>
    <w:p w14:paraId="71955A4B" w14:textId="77777777" w:rsidR="00617716" w:rsidRPr="00DA693C" w:rsidRDefault="00617716" w:rsidP="00617716">
      <w:pPr>
        <w:spacing w:after="0" w:line="240" w:lineRule="auto"/>
        <w:jc w:val="both"/>
        <w:rPr>
          <w:rFonts w:ascii="Arial" w:eastAsia="Calibri" w:hAnsi="Arial" w:cs="Arial"/>
          <w:sz w:val="20"/>
          <w:szCs w:val="20"/>
          <w:lang w:eastAsia="en-US"/>
        </w:rPr>
      </w:pPr>
    </w:p>
    <w:p w14:paraId="1513953D" w14:textId="77777777" w:rsidR="003042D5" w:rsidRPr="003042D5" w:rsidRDefault="003042D5" w:rsidP="003042D5">
      <w:pPr>
        <w:spacing w:after="0" w:line="240" w:lineRule="auto"/>
        <w:jc w:val="both"/>
        <w:rPr>
          <w:rFonts w:ascii="Arial" w:eastAsia="Calibri" w:hAnsi="Arial" w:cs="Arial"/>
          <w:bCs/>
          <w:sz w:val="20"/>
          <w:szCs w:val="20"/>
          <w:lang w:eastAsia="en-US"/>
        </w:rPr>
      </w:pPr>
      <w:r w:rsidRPr="003042D5">
        <w:rPr>
          <w:rFonts w:ascii="Arial" w:eastAsia="Calibri" w:hAnsi="Arial" w:cs="Arial"/>
          <w:bCs/>
          <w:sz w:val="20"/>
          <w:szCs w:val="20"/>
          <w:lang w:eastAsia="en-US"/>
        </w:rPr>
        <w:t>U mjesecu ožujku 2025. godine djelatnici JVP Konavle su sudjelovali  na vježbi požara u skladištu na razini -1 C zgrade terminala Zračne luke Ruđer Bošković gdje se proveo taktički nastup i provedba djelomične evakuacije s terminala.</w:t>
      </w:r>
    </w:p>
    <w:p w14:paraId="2B50F018" w14:textId="77777777" w:rsidR="003042D5" w:rsidRPr="003042D5" w:rsidRDefault="003042D5" w:rsidP="003042D5">
      <w:pPr>
        <w:spacing w:after="0" w:line="240" w:lineRule="auto"/>
        <w:jc w:val="both"/>
        <w:rPr>
          <w:rFonts w:ascii="Arial" w:eastAsia="Calibri" w:hAnsi="Arial" w:cs="Arial"/>
          <w:bCs/>
          <w:sz w:val="20"/>
          <w:szCs w:val="20"/>
          <w:lang w:eastAsia="en-US"/>
        </w:rPr>
      </w:pPr>
      <w:r w:rsidRPr="003042D5">
        <w:rPr>
          <w:rFonts w:ascii="Arial" w:eastAsia="Calibri" w:hAnsi="Arial" w:cs="Arial"/>
          <w:bCs/>
          <w:sz w:val="20"/>
          <w:szCs w:val="20"/>
          <w:lang w:eastAsia="en-US"/>
        </w:rPr>
        <w:t>U mjesecu kolovozu 2025.godine u suradnji s vatrogascim DVD-a Mladost održana je prezentacija i obuka weber alata koji se koristi pri spašavanju u prometnim nesrećama. Na prezentaciji je sudjelovalo osam vatrogasaca JVP Konavle i dva vatrogasca VZ Konavle.</w:t>
      </w:r>
    </w:p>
    <w:p w14:paraId="3C602DFF" w14:textId="77777777" w:rsidR="008B176C" w:rsidRPr="00DA693C" w:rsidRDefault="008B176C" w:rsidP="00C83B75">
      <w:pPr>
        <w:spacing w:after="0" w:line="240" w:lineRule="auto"/>
        <w:jc w:val="both"/>
        <w:rPr>
          <w:rFonts w:ascii="Arial" w:eastAsia="Calibri" w:hAnsi="Arial" w:cs="Arial"/>
          <w:bCs/>
          <w:sz w:val="20"/>
          <w:szCs w:val="20"/>
          <w:lang w:eastAsia="en-US"/>
        </w:rPr>
      </w:pPr>
    </w:p>
    <w:p w14:paraId="5D4930ED" w14:textId="77777777" w:rsidR="0004293C" w:rsidRPr="00DA693C" w:rsidRDefault="0004293C" w:rsidP="0004293C">
      <w:pPr>
        <w:spacing w:after="0" w:line="240" w:lineRule="auto"/>
        <w:jc w:val="both"/>
        <w:rPr>
          <w:rFonts w:ascii="Arial" w:eastAsia="Calibri" w:hAnsi="Arial" w:cs="Arial"/>
          <w:b/>
          <w:sz w:val="20"/>
          <w:szCs w:val="20"/>
          <w:u w:val="single"/>
        </w:rPr>
      </w:pPr>
      <w:r w:rsidRPr="00DA693C">
        <w:rPr>
          <w:rFonts w:ascii="Arial" w:eastAsia="Calibri" w:hAnsi="Arial" w:cs="Arial"/>
          <w:b/>
          <w:sz w:val="20"/>
          <w:szCs w:val="20"/>
          <w:u w:val="single"/>
        </w:rPr>
        <w:t>CILJ: Povećanje kvalitete vatrogasne djelatnosti</w:t>
      </w:r>
    </w:p>
    <w:p w14:paraId="5BE6ECBB" w14:textId="77777777" w:rsidR="0004293C" w:rsidRPr="00DA693C" w:rsidRDefault="0004293C" w:rsidP="0004293C">
      <w:pPr>
        <w:spacing w:after="0" w:line="240" w:lineRule="auto"/>
        <w:jc w:val="both"/>
        <w:rPr>
          <w:rFonts w:ascii="Arial" w:eastAsia="Calibri" w:hAnsi="Arial" w:cs="Arial"/>
          <w:sz w:val="20"/>
          <w:szCs w:val="20"/>
        </w:rPr>
      </w:pPr>
    </w:p>
    <w:p w14:paraId="4514ACB5" w14:textId="77777777" w:rsidR="0004293C" w:rsidRPr="00DA693C" w:rsidRDefault="0004293C" w:rsidP="0004293C">
      <w:pPr>
        <w:spacing w:after="0" w:line="240" w:lineRule="auto"/>
        <w:jc w:val="both"/>
        <w:rPr>
          <w:rFonts w:ascii="Arial" w:eastAsia="Calibri" w:hAnsi="Arial" w:cs="Arial"/>
          <w:sz w:val="20"/>
          <w:szCs w:val="20"/>
        </w:rPr>
      </w:pPr>
      <w:r w:rsidRPr="00DA693C">
        <w:rPr>
          <w:rFonts w:ascii="Arial" w:eastAsia="Calibri" w:hAnsi="Arial" w:cs="Arial"/>
          <w:sz w:val="20"/>
          <w:szCs w:val="20"/>
        </w:rPr>
        <w:t xml:space="preserve">Ovim ciljem postižemo veću kvalitetu provođenja vatrogasnih intervencija na svom području djelovanja, te se konstantnim provođenjem vatrogasnih obuka i vježbi podiže operativna spremnost Javne vatrogasne postrojbe Konavle. </w:t>
      </w:r>
    </w:p>
    <w:p w14:paraId="052AEEDD" w14:textId="77777777" w:rsidR="00617716" w:rsidRPr="00DA693C" w:rsidRDefault="00617716" w:rsidP="00617716">
      <w:pPr>
        <w:spacing w:after="0" w:line="256" w:lineRule="auto"/>
        <w:jc w:val="both"/>
        <w:rPr>
          <w:rFonts w:ascii="Arial" w:eastAsia="Calibri" w:hAnsi="Arial" w:cs="Arial"/>
          <w:sz w:val="20"/>
          <w:szCs w:val="20"/>
          <w:lang w:eastAsia="en-US"/>
        </w:rPr>
      </w:pPr>
    </w:p>
    <w:tbl>
      <w:tblPr>
        <w:tblStyle w:val="Reetkatablice51"/>
        <w:tblW w:w="14201" w:type="dxa"/>
        <w:jc w:val="center"/>
        <w:tblLayout w:type="fixed"/>
        <w:tblLook w:val="04A0" w:firstRow="1" w:lastRow="0" w:firstColumn="1" w:lastColumn="0" w:noHBand="0" w:noVBand="1"/>
      </w:tblPr>
      <w:tblGrid>
        <w:gridCol w:w="2405"/>
        <w:gridCol w:w="3152"/>
        <w:gridCol w:w="1258"/>
        <w:gridCol w:w="1133"/>
        <w:gridCol w:w="1328"/>
        <w:gridCol w:w="1134"/>
        <w:gridCol w:w="1275"/>
        <w:gridCol w:w="1275"/>
        <w:gridCol w:w="1241"/>
      </w:tblGrid>
      <w:tr w:rsidR="00DA693C" w:rsidRPr="00DA693C" w14:paraId="45F4B47B" w14:textId="77777777" w:rsidTr="00992310">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5B1A4A88" w14:textId="7777777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Pokazatelj uspješnosti</w:t>
            </w:r>
          </w:p>
        </w:tc>
        <w:tc>
          <w:tcPr>
            <w:tcW w:w="31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AAA30BB" w14:textId="7777777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Definicija</w:t>
            </w:r>
          </w:p>
        </w:tc>
        <w:tc>
          <w:tcPr>
            <w:tcW w:w="125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0E1C29F0" w14:textId="7777777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Jedinica</w:t>
            </w:r>
          </w:p>
        </w:tc>
        <w:tc>
          <w:tcPr>
            <w:tcW w:w="113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98191E9" w14:textId="0C5B03E9"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Polazna vrijednost</w:t>
            </w:r>
            <w:r w:rsidR="009E4591" w:rsidRPr="00DA693C">
              <w:rPr>
                <w:rFonts w:ascii="Arial" w:eastAsia="Calibri" w:hAnsi="Arial" w:cs="Arial"/>
                <w:lang w:eastAsia="en-US"/>
              </w:rPr>
              <w:t xml:space="preserve"> 202</w:t>
            </w:r>
            <w:r w:rsidR="008B176C">
              <w:rPr>
                <w:rFonts w:ascii="Arial" w:eastAsia="Calibri" w:hAnsi="Arial" w:cs="Arial"/>
                <w:lang w:eastAsia="en-US"/>
              </w:rPr>
              <w:t>4</w:t>
            </w:r>
            <w:r w:rsidR="009E4591" w:rsidRPr="00DA693C">
              <w:rPr>
                <w:rFonts w:ascii="Arial" w:eastAsia="Calibri" w:hAnsi="Arial" w:cs="Arial"/>
                <w:lang w:eastAsia="en-US"/>
              </w:rPr>
              <w:t>.</w:t>
            </w:r>
          </w:p>
        </w:tc>
        <w:tc>
          <w:tcPr>
            <w:tcW w:w="132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AC77A8D" w14:textId="7777777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Izvor podataka</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1B54412" w14:textId="2EE5B347"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Ciljana vrijednost 20</w:t>
            </w:r>
            <w:r w:rsidR="00AD1852" w:rsidRPr="00DA693C">
              <w:rPr>
                <w:rFonts w:ascii="Arial" w:eastAsia="Calibri" w:hAnsi="Arial" w:cs="Arial"/>
                <w:lang w:eastAsia="en-US"/>
              </w:rPr>
              <w:t>2</w:t>
            </w:r>
            <w:r w:rsidR="008B176C">
              <w:rPr>
                <w:rFonts w:ascii="Arial" w:eastAsia="Calibri" w:hAnsi="Arial" w:cs="Arial"/>
                <w:lang w:eastAsia="en-US"/>
              </w:rPr>
              <w:t>5</w:t>
            </w:r>
            <w:r w:rsidRPr="00DA693C">
              <w:rPr>
                <w:rFonts w:ascii="Arial" w:eastAsia="Calibri" w:hAnsi="Arial" w:cs="Arial"/>
                <w:lang w:eastAsia="en-US"/>
              </w:rPr>
              <w:t>.</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2014000" w14:textId="646E4481"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Izvršeno 202</w:t>
            </w:r>
            <w:r w:rsidR="008B176C">
              <w:rPr>
                <w:rFonts w:ascii="Arial" w:eastAsia="Calibri" w:hAnsi="Arial" w:cs="Arial"/>
                <w:lang w:eastAsia="en-US"/>
              </w:rPr>
              <w:t>5</w:t>
            </w:r>
            <w:r w:rsidRPr="00DA693C">
              <w:rPr>
                <w:rFonts w:ascii="Arial" w:eastAsia="Calibri" w:hAnsi="Arial" w:cs="Arial"/>
                <w:lang w:eastAsia="en-US"/>
              </w:rPr>
              <w:t>.</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5013B8E" w14:textId="465CEDFC"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Ciljana vrijednost 20</w:t>
            </w:r>
            <w:r w:rsidR="008B176C">
              <w:rPr>
                <w:rFonts w:ascii="Arial" w:eastAsia="Calibri" w:hAnsi="Arial" w:cs="Arial"/>
                <w:lang w:eastAsia="en-US"/>
              </w:rPr>
              <w:t>26</w:t>
            </w:r>
            <w:r w:rsidRPr="00DA693C">
              <w:rPr>
                <w:rFonts w:ascii="Arial" w:eastAsia="Calibri" w:hAnsi="Arial" w:cs="Arial"/>
                <w:lang w:eastAsia="en-US"/>
              </w:rPr>
              <w:t>.</w:t>
            </w:r>
          </w:p>
        </w:tc>
        <w:tc>
          <w:tcPr>
            <w:tcW w:w="124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B56A494" w14:textId="2B03F96D" w:rsidR="00617716" w:rsidRPr="00DA693C" w:rsidRDefault="00617716" w:rsidP="0014454D">
            <w:pPr>
              <w:jc w:val="center"/>
              <w:rPr>
                <w:rFonts w:ascii="Arial" w:eastAsia="Calibri" w:hAnsi="Arial" w:cs="Arial"/>
                <w:lang w:eastAsia="en-US"/>
              </w:rPr>
            </w:pPr>
            <w:r w:rsidRPr="00DA693C">
              <w:rPr>
                <w:rFonts w:ascii="Arial" w:eastAsia="Calibri" w:hAnsi="Arial" w:cs="Arial"/>
                <w:lang w:eastAsia="en-US"/>
              </w:rPr>
              <w:t>Ciljana vrijednost 202</w:t>
            </w:r>
            <w:r w:rsidR="008B176C">
              <w:rPr>
                <w:rFonts w:ascii="Arial" w:eastAsia="Calibri" w:hAnsi="Arial" w:cs="Arial"/>
                <w:lang w:eastAsia="en-US"/>
              </w:rPr>
              <w:t>7</w:t>
            </w:r>
            <w:r w:rsidRPr="00DA693C">
              <w:rPr>
                <w:rFonts w:ascii="Arial" w:eastAsia="Calibri" w:hAnsi="Arial" w:cs="Arial"/>
                <w:lang w:eastAsia="en-US"/>
              </w:rPr>
              <w:t>.</w:t>
            </w:r>
          </w:p>
        </w:tc>
      </w:tr>
      <w:tr w:rsidR="00617716" w:rsidRPr="00DA693C" w14:paraId="40C80CDC" w14:textId="77777777" w:rsidTr="00992310">
        <w:trPr>
          <w:trHeight w:val="273"/>
          <w:jc w:val="center"/>
        </w:trPr>
        <w:tc>
          <w:tcPr>
            <w:tcW w:w="2405" w:type="dxa"/>
            <w:tcBorders>
              <w:top w:val="single" w:sz="4" w:space="0" w:color="000000"/>
              <w:left w:val="single" w:sz="4" w:space="0" w:color="000000"/>
              <w:bottom w:val="single" w:sz="4" w:space="0" w:color="000000"/>
              <w:right w:val="single" w:sz="4" w:space="0" w:color="000000"/>
            </w:tcBorders>
            <w:vAlign w:val="center"/>
          </w:tcPr>
          <w:p w14:paraId="57BCB01E" w14:textId="77777777" w:rsidR="00617716" w:rsidRPr="00DA693C" w:rsidRDefault="00617716" w:rsidP="00992310">
            <w:pPr>
              <w:rPr>
                <w:rFonts w:ascii="Arial" w:eastAsia="Calibri" w:hAnsi="Arial" w:cs="Arial"/>
                <w:sz w:val="18"/>
                <w:lang w:eastAsia="en-US"/>
              </w:rPr>
            </w:pPr>
            <w:r w:rsidRPr="00DA693C">
              <w:rPr>
                <w:rFonts w:ascii="Arial" w:eastAsia="Calibri" w:hAnsi="Arial" w:cs="Arial"/>
                <w:sz w:val="18"/>
                <w:lang w:eastAsia="en-US"/>
              </w:rPr>
              <w:t>Kontinuirano provođenje teorijske i praktične nastave u JVP</w:t>
            </w:r>
          </w:p>
        </w:tc>
        <w:tc>
          <w:tcPr>
            <w:tcW w:w="3152" w:type="dxa"/>
            <w:tcBorders>
              <w:top w:val="single" w:sz="4" w:space="0" w:color="000000"/>
              <w:left w:val="single" w:sz="4" w:space="0" w:color="000000"/>
              <w:bottom w:val="single" w:sz="4" w:space="0" w:color="000000"/>
              <w:right w:val="single" w:sz="4" w:space="0" w:color="000000"/>
            </w:tcBorders>
            <w:vAlign w:val="center"/>
          </w:tcPr>
          <w:p w14:paraId="7CBD5C24" w14:textId="77777777" w:rsidR="00617716" w:rsidRPr="00DA693C" w:rsidRDefault="00617716" w:rsidP="0014454D">
            <w:pPr>
              <w:jc w:val="both"/>
              <w:rPr>
                <w:rFonts w:ascii="Arial" w:eastAsia="Calibri" w:hAnsi="Arial" w:cs="Arial"/>
                <w:sz w:val="18"/>
                <w:lang w:eastAsia="en-US"/>
              </w:rPr>
            </w:pPr>
            <w:r w:rsidRPr="00DA693C">
              <w:rPr>
                <w:rFonts w:ascii="Arial" w:eastAsia="Calibri" w:hAnsi="Arial" w:cs="Arial"/>
                <w:sz w:val="18"/>
                <w:lang w:eastAsia="en-US"/>
              </w:rPr>
              <w:t>Edukacija djelatnika radi postizanja određenih vještina u rukovanju različitom opremom i tehnikom (organizator JVP, HVZ i drugi)</w:t>
            </w:r>
          </w:p>
        </w:tc>
        <w:tc>
          <w:tcPr>
            <w:tcW w:w="1258" w:type="dxa"/>
            <w:tcBorders>
              <w:top w:val="single" w:sz="4" w:space="0" w:color="000000"/>
              <w:left w:val="single" w:sz="4" w:space="0" w:color="000000"/>
              <w:bottom w:val="single" w:sz="4" w:space="0" w:color="000000"/>
              <w:right w:val="single" w:sz="4" w:space="0" w:color="000000"/>
            </w:tcBorders>
            <w:vAlign w:val="center"/>
          </w:tcPr>
          <w:p w14:paraId="0784CAD7" w14:textId="77777777"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Broj edukacija godišnje</w:t>
            </w:r>
          </w:p>
        </w:tc>
        <w:tc>
          <w:tcPr>
            <w:tcW w:w="1133" w:type="dxa"/>
            <w:tcBorders>
              <w:top w:val="single" w:sz="4" w:space="0" w:color="000000"/>
              <w:left w:val="single" w:sz="4" w:space="0" w:color="000000"/>
              <w:bottom w:val="single" w:sz="4" w:space="0" w:color="000000"/>
              <w:right w:val="single" w:sz="4" w:space="0" w:color="000000"/>
            </w:tcBorders>
            <w:vAlign w:val="center"/>
          </w:tcPr>
          <w:p w14:paraId="0C665407" w14:textId="77777777"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12</w:t>
            </w:r>
          </w:p>
        </w:tc>
        <w:tc>
          <w:tcPr>
            <w:tcW w:w="1328" w:type="dxa"/>
            <w:tcBorders>
              <w:top w:val="single" w:sz="4" w:space="0" w:color="000000"/>
              <w:left w:val="single" w:sz="4" w:space="0" w:color="000000"/>
              <w:bottom w:val="single" w:sz="4" w:space="0" w:color="000000"/>
              <w:right w:val="single" w:sz="4" w:space="0" w:color="000000"/>
            </w:tcBorders>
            <w:vAlign w:val="center"/>
          </w:tcPr>
          <w:p w14:paraId="4CB253AE" w14:textId="77777777" w:rsidR="00617716" w:rsidRPr="00DA693C" w:rsidRDefault="00617716" w:rsidP="0014454D">
            <w:pPr>
              <w:jc w:val="center"/>
              <w:rPr>
                <w:rFonts w:ascii="Arial" w:eastAsia="Calibri" w:hAnsi="Arial" w:cs="Arial"/>
                <w:sz w:val="18"/>
                <w:lang w:eastAsia="en-US"/>
              </w:rPr>
            </w:pPr>
            <w:r w:rsidRPr="00DA693C">
              <w:rPr>
                <w:rFonts w:ascii="Arial" w:eastAsia="Calibri" w:hAnsi="Arial" w:cs="Arial"/>
                <w:sz w:val="18"/>
                <w:lang w:eastAsia="en-US"/>
              </w:rPr>
              <w:t>Javna vatrogasna postrojba Konavle</w:t>
            </w:r>
          </w:p>
        </w:tc>
        <w:tc>
          <w:tcPr>
            <w:tcW w:w="1134" w:type="dxa"/>
            <w:tcBorders>
              <w:top w:val="single" w:sz="4" w:space="0" w:color="000000"/>
              <w:left w:val="single" w:sz="4" w:space="0" w:color="000000"/>
              <w:bottom w:val="single" w:sz="4" w:space="0" w:color="000000"/>
              <w:right w:val="single" w:sz="4" w:space="0" w:color="000000"/>
            </w:tcBorders>
            <w:vAlign w:val="center"/>
          </w:tcPr>
          <w:p w14:paraId="70410A75" w14:textId="4812BCF5" w:rsidR="00617716" w:rsidRPr="00DA693C" w:rsidRDefault="008B176C" w:rsidP="0014454D">
            <w:pPr>
              <w:jc w:val="center"/>
              <w:rPr>
                <w:rFonts w:ascii="Arial" w:eastAsia="Calibri" w:hAnsi="Arial" w:cs="Arial"/>
                <w:sz w:val="18"/>
                <w:lang w:eastAsia="en-US"/>
              </w:rPr>
            </w:pPr>
            <w:r>
              <w:rPr>
                <w:rFonts w:ascii="Arial" w:eastAsia="Calibri" w:hAnsi="Arial" w:cs="Arial"/>
                <w:sz w:val="18"/>
                <w:lang w:eastAsia="en-US"/>
              </w:rPr>
              <w:t>40</w:t>
            </w:r>
          </w:p>
        </w:tc>
        <w:tc>
          <w:tcPr>
            <w:tcW w:w="1275" w:type="dxa"/>
            <w:tcBorders>
              <w:top w:val="single" w:sz="4" w:space="0" w:color="000000"/>
              <w:left w:val="single" w:sz="4" w:space="0" w:color="000000"/>
              <w:bottom w:val="single" w:sz="4" w:space="0" w:color="000000"/>
              <w:right w:val="single" w:sz="4" w:space="0" w:color="000000"/>
            </w:tcBorders>
            <w:vAlign w:val="center"/>
          </w:tcPr>
          <w:p w14:paraId="0A3B18F4" w14:textId="0B5EB7AC" w:rsidR="00617716" w:rsidRPr="00DA693C" w:rsidRDefault="003042D5" w:rsidP="0014454D">
            <w:pPr>
              <w:jc w:val="center"/>
              <w:rPr>
                <w:rFonts w:ascii="Arial" w:eastAsia="Calibri" w:hAnsi="Arial" w:cs="Arial"/>
                <w:sz w:val="18"/>
                <w:lang w:eastAsia="en-US"/>
              </w:rPr>
            </w:pPr>
            <w:r>
              <w:rPr>
                <w:rFonts w:ascii="Arial" w:eastAsia="Calibri" w:hAnsi="Arial" w:cs="Arial"/>
                <w:sz w:val="18"/>
                <w:lang w:eastAsia="en-US"/>
              </w:rPr>
              <w:t>22</w:t>
            </w:r>
          </w:p>
        </w:tc>
        <w:tc>
          <w:tcPr>
            <w:tcW w:w="1275" w:type="dxa"/>
            <w:tcBorders>
              <w:top w:val="single" w:sz="4" w:space="0" w:color="000000"/>
              <w:left w:val="single" w:sz="4" w:space="0" w:color="000000"/>
              <w:bottom w:val="single" w:sz="4" w:space="0" w:color="000000"/>
              <w:right w:val="single" w:sz="4" w:space="0" w:color="000000"/>
            </w:tcBorders>
            <w:vAlign w:val="center"/>
          </w:tcPr>
          <w:p w14:paraId="1838F23B" w14:textId="7E74C64C" w:rsidR="00617716" w:rsidRPr="00DA693C" w:rsidRDefault="008B176C" w:rsidP="0014454D">
            <w:pPr>
              <w:jc w:val="center"/>
              <w:rPr>
                <w:rFonts w:ascii="Arial" w:eastAsia="Calibri" w:hAnsi="Arial" w:cs="Arial"/>
                <w:sz w:val="18"/>
                <w:lang w:eastAsia="en-US"/>
              </w:rPr>
            </w:pPr>
            <w:r>
              <w:rPr>
                <w:rFonts w:ascii="Arial" w:eastAsia="Calibri" w:hAnsi="Arial" w:cs="Arial"/>
                <w:sz w:val="18"/>
                <w:lang w:eastAsia="en-US"/>
              </w:rPr>
              <w:t>42</w:t>
            </w:r>
          </w:p>
        </w:tc>
        <w:tc>
          <w:tcPr>
            <w:tcW w:w="1241" w:type="dxa"/>
            <w:tcBorders>
              <w:top w:val="single" w:sz="4" w:space="0" w:color="000000"/>
              <w:left w:val="single" w:sz="4" w:space="0" w:color="000000"/>
              <w:bottom w:val="single" w:sz="4" w:space="0" w:color="000000"/>
              <w:right w:val="single" w:sz="4" w:space="0" w:color="000000"/>
            </w:tcBorders>
            <w:vAlign w:val="center"/>
          </w:tcPr>
          <w:p w14:paraId="5BB16DA4" w14:textId="4BB9B058" w:rsidR="00617716" w:rsidRPr="00DA693C" w:rsidRDefault="008B176C" w:rsidP="0014454D">
            <w:pPr>
              <w:jc w:val="center"/>
              <w:rPr>
                <w:rFonts w:ascii="Arial" w:eastAsia="Calibri" w:hAnsi="Arial" w:cs="Arial"/>
                <w:sz w:val="18"/>
                <w:lang w:eastAsia="en-US"/>
              </w:rPr>
            </w:pPr>
            <w:r>
              <w:rPr>
                <w:rFonts w:ascii="Arial" w:eastAsia="Calibri" w:hAnsi="Arial" w:cs="Arial"/>
                <w:sz w:val="18"/>
                <w:lang w:eastAsia="en-US"/>
              </w:rPr>
              <w:t>42</w:t>
            </w:r>
          </w:p>
        </w:tc>
      </w:tr>
    </w:tbl>
    <w:p w14:paraId="55A23D6B" w14:textId="77777777" w:rsidR="00617716" w:rsidRPr="00DA693C" w:rsidRDefault="00617716" w:rsidP="00617716">
      <w:pPr>
        <w:spacing w:after="0" w:line="240" w:lineRule="auto"/>
        <w:jc w:val="both"/>
        <w:rPr>
          <w:rFonts w:ascii="Arial" w:eastAsia="Calibri" w:hAnsi="Arial" w:cs="Arial"/>
          <w:sz w:val="20"/>
          <w:szCs w:val="20"/>
          <w:lang w:eastAsia="en-US"/>
        </w:rPr>
      </w:pPr>
    </w:p>
    <w:p w14:paraId="0C1A90FC" w14:textId="4BB8F8B5" w:rsidR="00617716" w:rsidRPr="00DA693C" w:rsidRDefault="00617716" w:rsidP="00617716">
      <w:pPr>
        <w:spacing w:after="0" w:line="240" w:lineRule="auto"/>
        <w:jc w:val="both"/>
        <w:rPr>
          <w:rFonts w:ascii="Arial" w:eastAsia="Calibri" w:hAnsi="Arial" w:cs="Arial"/>
          <w:bCs/>
          <w:sz w:val="20"/>
          <w:szCs w:val="20"/>
          <w:lang w:eastAsia="en-US"/>
        </w:rPr>
      </w:pPr>
      <w:r w:rsidRPr="00DA693C">
        <w:rPr>
          <w:rFonts w:ascii="Arial" w:eastAsia="Calibri" w:hAnsi="Arial" w:cs="Arial"/>
          <w:bCs/>
          <w:sz w:val="20"/>
          <w:szCs w:val="20"/>
          <w:lang w:eastAsia="en-US"/>
        </w:rPr>
        <w:t>Sukladno Planu vježbi u JVP Konavle u 202</w:t>
      </w:r>
      <w:r w:rsidR="008B176C">
        <w:rPr>
          <w:rFonts w:ascii="Arial" w:eastAsia="Calibri" w:hAnsi="Arial" w:cs="Arial"/>
          <w:bCs/>
          <w:sz w:val="20"/>
          <w:szCs w:val="20"/>
          <w:lang w:eastAsia="en-US"/>
        </w:rPr>
        <w:t>5</w:t>
      </w:r>
      <w:r w:rsidRPr="00DA693C">
        <w:rPr>
          <w:rFonts w:ascii="Arial" w:eastAsia="Calibri" w:hAnsi="Arial" w:cs="Arial"/>
          <w:bCs/>
          <w:sz w:val="20"/>
          <w:szCs w:val="20"/>
          <w:lang w:eastAsia="en-US"/>
        </w:rPr>
        <w:t xml:space="preserve">. godine izvršeno je </w:t>
      </w:r>
      <w:r w:rsidR="008B176C">
        <w:rPr>
          <w:rFonts w:ascii="Arial" w:eastAsia="Calibri" w:hAnsi="Arial" w:cs="Arial"/>
          <w:bCs/>
          <w:sz w:val="20"/>
          <w:szCs w:val="20"/>
          <w:lang w:eastAsia="en-US"/>
        </w:rPr>
        <w:t>2</w:t>
      </w:r>
      <w:r w:rsidR="008C00EB" w:rsidRPr="00DA693C">
        <w:rPr>
          <w:rFonts w:ascii="Arial" w:eastAsia="Calibri" w:hAnsi="Arial" w:cs="Arial"/>
          <w:bCs/>
          <w:sz w:val="20"/>
          <w:szCs w:val="20"/>
          <w:lang w:eastAsia="en-US"/>
        </w:rPr>
        <w:t>0</w:t>
      </w:r>
      <w:r w:rsidRPr="00DA693C">
        <w:rPr>
          <w:rFonts w:ascii="Arial" w:eastAsia="Calibri" w:hAnsi="Arial" w:cs="Arial"/>
          <w:bCs/>
          <w:sz w:val="20"/>
          <w:szCs w:val="20"/>
          <w:lang w:eastAsia="en-US"/>
        </w:rPr>
        <w:t xml:space="preserve"> teorijskih i praktičnih vježbi vatrogasaca.</w:t>
      </w:r>
    </w:p>
    <w:p w14:paraId="24EADAD2" w14:textId="77777777" w:rsidR="00DA693C" w:rsidRPr="00DA693C" w:rsidRDefault="00DA693C" w:rsidP="00DA693C">
      <w:pPr>
        <w:spacing w:after="0" w:line="240" w:lineRule="auto"/>
        <w:jc w:val="both"/>
        <w:rPr>
          <w:rFonts w:ascii="Arial" w:eastAsia="Calibri" w:hAnsi="Arial" w:cs="Arial"/>
          <w:bCs/>
          <w:sz w:val="20"/>
          <w:szCs w:val="20"/>
          <w:lang w:eastAsia="en-US"/>
        </w:rPr>
      </w:pPr>
    </w:p>
    <w:p w14:paraId="4AEE768E" w14:textId="77777777" w:rsidR="00FC06B5" w:rsidRPr="00FC06B5" w:rsidRDefault="00FC06B5" w:rsidP="00FC06B5">
      <w:pPr>
        <w:spacing w:after="0" w:line="240" w:lineRule="auto"/>
        <w:jc w:val="both"/>
        <w:rPr>
          <w:rFonts w:ascii="Arial" w:eastAsia="Calibri" w:hAnsi="Arial" w:cs="Arial"/>
          <w:sz w:val="20"/>
          <w:szCs w:val="20"/>
          <w:lang w:eastAsia="en-US"/>
        </w:rPr>
      </w:pPr>
      <w:r w:rsidRPr="00FC06B5">
        <w:rPr>
          <w:rFonts w:ascii="Arial" w:eastAsia="Calibri" w:hAnsi="Arial" w:cs="Arial"/>
          <w:sz w:val="20"/>
          <w:szCs w:val="20"/>
          <w:lang w:eastAsia="en-US"/>
        </w:rPr>
        <w:t>U prostorijama JVP Konavle izvršeno je osposobljavanje i obuka za dva dobrovoljna vatrogasca koji će u narednoj sezoni biti zaposleni kao sezonski vatrogasci.</w:t>
      </w:r>
    </w:p>
    <w:p w14:paraId="3946FA08" w14:textId="77777777" w:rsidR="00FC06B5" w:rsidRPr="00FC06B5" w:rsidRDefault="00FC06B5" w:rsidP="00FC06B5">
      <w:pPr>
        <w:spacing w:after="0" w:line="240" w:lineRule="auto"/>
        <w:jc w:val="both"/>
        <w:rPr>
          <w:rFonts w:ascii="Arial" w:eastAsia="Calibri" w:hAnsi="Arial" w:cs="Arial"/>
          <w:sz w:val="20"/>
          <w:szCs w:val="20"/>
          <w:lang w:eastAsia="en-US"/>
        </w:rPr>
      </w:pPr>
    </w:p>
    <w:p w14:paraId="72F2D394" w14:textId="77777777" w:rsidR="00FC06B5" w:rsidRPr="00FC06B5" w:rsidRDefault="00FC06B5" w:rsidP="00FC06B5">
      <w:pPr>
        <w:spacing w:after="0" w:line="240" w:lineRule="auto"/>
        <w:jc w:val="both"/>
        <w:rPr>
          <w:rFonts w:ascii="Arial" w:eastAsia="Calibri" w:hAnsi="Arial" w:cs="Arial"/>
          <w:sz w:val="20"/>
          <w:szCs w:val="20"/>
          <w:lang w:eastAsia="en-US"/>
        </w:rPr>
      </w:pPr>
    </w:p>
    <w:p w14:paraId="68ABCA53" w14:textId="009309E6" w:rsidR="00FC06B5" w:rsidRPr="00FC06B5" w:rsidRDefault="00FC06B5" w:rsidP="00FC06B5">
      <w:pPr>
        <w:spacing w:after="0" w:line="240" w:lineRule="auto"/>
        <w:jc w:val="both"/>
        <w:rPr>
          <w:rFonts w:ascii="Arial" w:eastAsia="Calibri" w:hAnsi="Arial" w:cs="Arial"/>
          <w:sz w:val="20"/>
          <w:szCs w:val="20"/>
          <w:lang w:eastAsia="en-US"/>
        </w:rPr>
      </w:pPr>
      <w:r w:rsidRPr="00FC06B5">
        <w:rPr>
          <w:rFonts w:ascii="Arial" w:eastAsia="Calibri" w:hAnsi="Arial" w:cs="Arial"/>
          <w:sz w:val="20"/>
          <w:szCs w:val="20"/>
          <w:lang w:eastAsia="en-US"/>
        </w:rPr>
        <w:lastRenderedPageBreak/>
        <w:t>U periodu od mjeseca veljače pa sve do sredine mjeseca lipnja 2025. godine djelatnici su tokom smjenskoga rada odradili niz  vježbi i obuka  na terenu, kao i u krugu vatroga</w:t>
      </w:r>
      <w:r>
        <w:rPr>
          <w:rFonts w:ascii="Arial" w:eastAsia="Calibri" w:hAnsi="Arial" w:cs="Arial"/>
          <w:sz w:val="20"/>
          <w:szCs w:val="20"/>
          <w:lang w:eastAsia="en-US"/>
        </w:rPr>
        <w:t>s</w:t>
      </w:r>
      <w:r w:rsidRPr="00FC06B5">
        <w:rPr>
          <w:rFonts w:ascii="Arial" w:eastAsia="Calibri" w:hAnsi="Arial" w:cs="Arial"/>
          <w:sz w:val="20"/>
          <w:szCs w:val="20"/>
          <w:lang w:eastAsia="en-US"/>
        </w:rPr>
        <w:t>ne postrojbe na Grudi. Korištene su auto ljestve i vatrogasni toranj kao poligon za simulaciju vježba spašavanja iz dubina i visina.</w:t>
      </w:r>
    </w:p>
    <w:p w14:paraId="217DD235" w14:textId="77777777" w:rsidR="00FC06B5" w:rsidRPr="00FC06B5" w:rsidRDefault="00FC06B5" w:rsidP="00FC06B5">
      <w:pPr>
        <w:spacing w:after="0" w:line="240" w:lineRule="auto"/>
        <w:jc w:val="both"/>
        <w:rPr>
          <w:rFonts w:ascii="Arial" w:eastAsia="Calibri" w:hAnsi="Arial" w:cs="Arial"/>
          <w:sz w:val="20"/>
          <w:szCs w:val="20"/>
          <w:lang w:eastAsia="en-US"/>
        </w:rPr>
      </w:pPr>
    </w:p>
    <w:p w14:paraId="72F5FEFC" w14:textId="77777777" w:rsidR="00FC06B5" w:rsidRPr="00FC06B5" w:rsidRDefault="00FC06B5" w:rsidP="00FC06B5">
      <w:pPr>
        <w:spacing w:after="0" w:line="240" w:lineRule="auto"/>
        <w:jc w:val="both"/>
        <w:rPr>
          <w:rFonts w:ascii="Arial" w:eastAsia="Calibri" w:hAnsi="Arial" w:cs="Arial"/>
          <w:sz w:val="20"/>
          <w:szCs w:val="20"/>
          <w:lang w:eastAsia="en-US"/>
        </w:rPr>
      </w:pPr>
    </w:p>
    <w:p w14:paraId="6244118A" w14:textId="23EF604C" w:rsidR="00FC06B5" w:rsidRPr="00FC06B5" w:rsidRDefault="00FC06B5" w:rsidP="00FC06B5">
      <w:pPr>
        <w:spacing w:after="0" w:line="240" w:lineRule="auto"/>
        <w:jc w:val="both"/>
        <w:rPr>
          <w:rFonts w:ascii="Arial" w:eastAsia="Calibri" w:hAnsi="Arial" w:cs="Arial"/>
          <w:sz w:val="20"/>
          <w:szCs w:val="20"/>
          <w:lang w:eastAsia="en-US"/>
        </w:rPr>
      </w:pPr>
      <w:r w:rsidRPr="00FC06B5">
        <w:rPr>
          <w:rFonts w:ascii="Arial" w:eastAsia="Calibri" w:hAnsi="Arial" w:cs="Arial"/>
          <w:sz w:val="20"/>
          <w:szCs w:val="20"/>
          <w:lang w:eastAsia="en-US"/>
        </w:rPr>
        <w:t>Tokom mjeseca svibnja i lipnja 2025.</w:t>
      </w:r>
      <w:r>
        <w:rPr>
          <w:rFonts w:ascii="Arial" w:eastAsia="Calibri" w:hAnsi="Arial" w:cs="Arial"/>
          <w:sz w:val="20"/>
          <w:szCs w:val="20"/>
          <w:lang w:eastAsia="en-US"/>
        </w:rPr>
        <w:t xml:space="preserve"> </w:t>
      </w:r>
      <w:r w:rsidRPr="00FC06B5">
        <w:rPr>
          <w:rFonts w:ascii="Arial" w:eastAsia="Calibri" w:hAnsi="Arial" w:cs="Arial"/>
          <w:sz w:val="20"/>
          <w:szCs w:val="20"/>
          <w:lang w:eastAsia="en-US"/>
        </w:rPr>
        <w:t>godine djelatnici JVP Konavle su kontinuirano provodili pripremu i osposobljavanje za protupožarnu sezonu sa sezoncima VZ Općine Konavle.</w:t>
      </w:r>
    </w:p>
    <w:p w14:paraId="6793C76C" w14:textId="77777777" w:rsidR="003042D5" w:rsidRDefault="003042D5" w:rsidP="00617716">
      <w:pPr>
        <w:spacing w:after="0" w:line="240" w:lineRule="auto"/>
        <w:jc w:val="both"/>
        <w:rPr>
          <w:rFonts w:ascii="Arial" w:eastAsia="Calibri" w:hAnsi="Arial" w:cs="Arial"/>
          <w:sz w:val="20"/>
          <w:szCs w:val="20"/>
          <w:lang w:eastAsia="en-US"/>
        </w:rPr>
      </w:pPr>
    </w:p>
    <w:p w14:paraId="5DD0A158" w14:textId="62B3F2CB" w:rsidR="00DA693C" w:rsidRDefault="003042D5" w:rsidP="00617716">
      <w:pPr>
        <w:spacing w:after="0" w:line="240" w:lineRule="auto"/>
        <w:jc w:val="both"/>
        <w:rPr>
          <w:rFonts w:ascii="Arial" w:eastAsia="Calibri" w:hAnsi="Arial" w:cs="Arial"/>
          <w:sz w:val="20"/>
          <w:szCs w:val="20"/>
          <w:lang w:eastAsia="en-US"/>
        </w:rPr>
      </w:pPr>
      <w:r w:rsidRPr="003042D5">
        <w:rPr>
          <w:rFonts w:ascii="Arial" w:eastAsia="Calibri" w:hAnsi="Arial" w:cs="Arial"/>
          <w:sz w:val="20"/>
          <w:szCs w:val="20"/>
          <w:lang w:eastAsia="en-US"/>
        </w:rPr>
        <w:t xml:space="preserve">Tokom mjeseca listopada i studenoga </w:t>
      </w:r>
      <w:r>
        <w:rPr>
          <w:rFonts w:ascii="Arial" w:eastAsia="Calibri" w:hAnsi="Arial" w:cs="Arial"/>
          <w:sz w:val="20"/>
          <w:szCs w:val="20"/>
          <w:lang w:eastAsia="en-US"/>
        </w:rPr>
        <w:t xml:space="preserve">2025. </w:t>
      </w:r>
      <w:r w:rsidRPr="003042D5">
        <w:rPr>
          <w:rFonts w:ascii="Arial" w:eastAsia="Calibri" w:hAnsi="Arial" w:cs="Arial"/>
          <w:sz w:val="20"/>
          <w:szCs w:val="20"/>
          <w:lang w:eastAsia="en-US"/>
        </w:rPr>
        <w:t>kroz smjenski rad su se vršile vježbe spašavanja iz dubina i visina koristeći vatrogasni toranj kao poligon.</w:t>
      </w:r>
    </w:p>
    <w:p w14:paraId="4E42D132" w14:textId="77777777" w:rsidR="003042D5" w:rsidRPr="00DA693C" w:rsidRDefault="003042D5" w:rsidP="00617716">
      <w:pPr>
        <w:spacing w:after="0" w:line="240" w:lineRule="auto"/>
        <w:jc w:val="both"/>
        <w:rPr>
          <w:rFonts w:ascii="Arial" w:eastAsia="Calibri" w:hAnsi="Arial" w:cs="Arial"/>
          <w:sz w:val="20"/>
          <w:szCs w:val="20"/>
          <w:lang w:eastAsia="en-US"/>
        </w:rPr>
      </w:pPr>
    </w:p>
    <w:p w14:paraId="4AC7B80C" w14:textId="4699C47F" w:rsidR="001927DB" w:rsidRPr="001927DB" w:rsidRDefault="001927DB" w:rsidP="001927DB">
      <w:pPr>
        <w:spacing w:after="0" w:line="240" w:lineRule="auto"/>
        <w:jc w:val="both"/>
        <w:rPr>
          <w:rFonts w:ascii="Arial" w:eastAsia="Calibri" w:hAnsi="Arial" w:cs="Arial"/>
          <w:sz w:val="20"/>
          <w:szCs w:val="20"/>
          <w:lang w:eastAsia="en-US"/>
        </w:rPr>
      </w:pPr>
      <w:r w:rsidRPr="001927DB">
        <w:rPr>
          <w:rFonts w:ascii="Arial" w:eastAsia="Calibri" w:hAnsi="Arial" w:cs="Arial"/>
          <w:sz w:val="20"/>
          <w:szCs w:val="20"/>
          <w:lang w:eastAsia="en-US"/>
        </w:rPr>
        <w:t>Javna vatrogasna postrojba Konavle (u daljnjem tekstu JVP) je u periodu od 01.</w:t>
      </w:r>
      <w:r>
        <w:rPr>
          <w:rFonts w:ascii="Arial" w:eastAsia="Calibri" w:hAnsi="Arial" w:cs="Arial"/>
          <w:sz w:val="20"/>
          <w:szCs w:val="20"/>
          <w:lang w:eastAsia="en-US"/>
        </w:rPr>
        <w:t xml:space="preserve"> </w:t>
      </w:r>
      <w:r w:rsidRPr="001927DB">
        <w:rPr>
          <w:rFonts w:ascii="Arial" w:eastAsia="Calibri" w:hAnsi="Arial" w:cs="Arial"/>
          <w:sz w:val="20"/>
          <w:szCs w:val="20"/>
          <w:lang w:eastAsia="en-US"/>
        </w:rPr>
        <w:t>siječnja</w:t>
      </w:r>
      <w:r>
        <w:rPr>
          <w:rFonts w:ascii="Arial" w:eastAsia="Calibri" w:hAnsi="Arial" w:cs="Arial"/>
          <w:sz w:val="20"/>
          <w:szCs w:val="20"/>
          <w:lang w:eastAsia="en-US"/>
        </w:rPr>
        <w:t xml:space="preserve"> </w:t>
      </w:r>
      <w:r w:rsidRPr="001927DB">
        <w:rPr>
          <w:rFonts w:ascii="Arial" w:eastAsia="Calibri" w:hAnsi="Arial" w:cs="Arial"/>
          <w:sz w:val="20"/>
          <w:szCs w:val="20"/>
          <w:lang w:eastAsia="en-US"/>
        </w:rPr>
        <w:t xml:space="preserve">2025. do </w:t>
      </w:r>
      <w:r w:rsidR="003042D5">
        <w:rPr>
          <w:rFonts w:ascii="Arial" w:eastAsia="Calibri" w:hAnsi="Arial" w:cs="Arial"/>
          <w:sz w:val="20"/>
          <w:szCs w:val="20"/>
          <w:lang w:eastAsia="en-US"/>
        </w:rPr>
        <w:t xml:space="preserve">31. prosinca </w:t>
      </w:r>
      <w:r w:rsidRPr="001927DB">
        <w:rPr>
          <w:rFonts w:ascii="Arial" w:eastAsia="Calibri" w:hAnsi="Arial" w:cs="Arial"/>
          <w:sz w:val="20"/>
          <w:szCs w:val="20"/>
          <w:lang w:eastAsia="en-US"/>
        </w:rPr>
        <w:t xml:space="preserve">2025. godine odradila ukupno </w:t>
      </w:r>
      <w:r w:rsidR="003042D5">
        <w:rPr>
          <w:rFonts w:ascii="Arial" w:eastAsia="Calibri" w:hAnsi="Arial" w:cs="Arial"/>
          <w:sz w:val="20"/>
          <w:szCs w:val="20"/>
          <w:lang w:eastAsia="en-US"/>
        </w:rPr>
        <w:t>92</w:t>
      </w:r>
      <w:r w:rsidRPr="001927DB">
        <w:rPr>
          <w:rFonts w:ascii="Arial" w:eastAsia="Calibri" w:hAnsi="Arial" w:cs="Arial"/>
          <w:sz w:val="20"/>
          <w:szCs w:val="20"/>
          <w:lang w:eastAsia="en-US"/>
        </w:rPr>
        <w:t xml:space="preserve"> vatrogasn</w:t>
      </w:r>
      <w:r w:rsidR="003042D5">
        <w:rPr>
          <w:rFonts w:ascii="Arial" w:eastAsia="Calibri" w:hAnsi="Arial" w:cs="Arial"/>
          <w:sz w:val="20"/>
          <w:szCs w:val="20"/>
          <w:lang w:eastAsia="en-US"/>
        </w:rPr>
        <w:t xml:space="preserve">e </w:t>
      </w:r>
      <w:r w:rsidRPr="001927DB">
        <w:rPr>
          <w:rFonts w:ascii="Arial" w:eastAsia="Calibri" w:hAnsi="Arial" w:cs="Arial"/>
          <w:sz w:val="20"/>
          <w:szCs w:val="20"/>
          <w:lang w:eastAsia="en-US"/>
        </w:rPr>
        <w:t>intervencij</w:t>
      </w:r>
      <w:r w:rsidR="003042D5">
        <w:rPr>
          <w:rFonts w:ascii="Arial" w:eastAsia="Calibri" w:hAnsi="Arial" w:cs="Arial"/>
          <w:sz w:val="20"/>
          <w:szCs w:val="20"/>
          <w:lang w:eastAsia="en-US"/>
        </w:rPr>
        <w:t>e</w:t>
      </w:r>
      <w:r w:rsidRPr="001927DB">
        <w:rPr>
          <w:rFonts w:ascii="Arial" w:eastAsia="Calibri" w:hAnsi="Arial" w:cs="Arial"/>
          <w:sz w:val="20"/>
          <w:szCs w:val="20"/>
          <w:lang w:eastAsia="en-US"/>
        </w:rPr>
        <w:t>.</w:t>
      </w:r>
    </w:p>
    <w:p w14:paraId="68D8D64E" w14:textId="77777777" w:rsidR="00BD1EAD" w:rsidRPr="00DA693C" w:rsidRDefault="00BD1EAD" w:rsidP="00617716">
      <w:pPr>
        <w:spacing w:after="0" w:line="240" w:lineRule="auto"/>
        <w:jc w:val="both"/>
        <w:rPr>
          <w:rFonts w:ascii="Arial" w:eastAsia="Calibri" w:hAnsi="Arial" w:cs="Arial"/>
          <w:sz w:val="20"/>
          <w:szCs w:val="20"/>
          <w:lang w:eastAsia="en-US"/>
        </w:rPr>
      </w:pPr>
    </w:p>
    <w:p w14:paraId="53DF3D70" w14:textId="77777777" w:rsidR="00BD1EAD" w:rsidRPr="00DA693C" w:rsidRDefault="00BD1EAD" w:rsidP="00BD1EAD">
      <w:pPr>
        <w:spacing w:after="0" w:line="240" w:lineRule="auto"/>
        <w:jc w:val="both"/>
        <w:rPr>
          <w:rFonts w:ascii="Arial" w:eastAsia="Calibri" w:hAnsi="Arial" w:cs="Arial"/>
          <w:sz w:val="20"/>
          <w:szCs w:val="20"/>
          <w:lang w:eastAsia="en-US"/>
        </w:rPr>
      </w:pPr>
      <w:r w:rsidRPr="00DA693C">
        <w:rPr>
          <w:rFonts w:ascii="Arial" w:eastAsia="Calibri" w:hAnsi="Arial" w:cs="Arial"/>
          <w:sz w:val="20"/>
          <w:szCs w:val="20"/>
          <w:lang w:eastAsia="en-US"/>
        </w:rPr>
        <w:t>Zabilježeno je ukupno.</w:t>
      </w:r>
    </w:p>
    <w:p w14:paraId="0B430E10" w14:textId="3F1E587A" w:rsidR="00BD1EAD" w:rsidRPr="00DA693C" w:rsidRDefault="006A72F8">
      <w:pPr>
        <w:pStyle w:val="Odlomakpopisa"/>
        <w:numPr>
          <w:ilvl w:val="0"/>
          <w:numId w:val="14"/>
        </w:numPr>
        <w:rPr>
          <w:rFonts w:ascii="Arial" w:eastAsia="Calibri" w:hAnsi="Arial" w:cs="Arial"/>
        </w:rPr>
      </w:pPr>
      <w:r>
        <w:rPr>
          <w:rFonts w:ascii="Arial" w:eastAsia="Calibri" w:hAnsi="Arial" w:cs="Arial"/>
        </w:rPr>
        <w:t>1</w:t>
      </w:r>
      <w:r w:rsidR="003042D5">
        <w:rPr>
          <w:rFonts w:ascii="Arial" w:eastAsia="Calibri" w:hAnsi="Arial" w:cs="Arial"/>
        </w:rPr>
        <w:t>9</w:t>
      </w:r>
      <w:r w:rsidR="00BD1EAD" w:rsidRPr="00DA693C">
        <w:rPr>
          <w:rFonts w:ascii="Arial" w:eastAsia="Calibri" w:hAnsi="Arial" w:cs="Arial"/>
        </w:rPr>
        <w:t xml:space="preserve"> požara od toga </w:t>
      </w:r>
      <w:r w:rsidR="003042D5">
        <w:rPr>
          <w:rFonts w:ascii="Arial" w:eastAsia="Calibri" w:hAnsi="Arial" w:cs="Arial"/>
        </w:rPr>
        <w:t xml:space="preserve">3 </w:t>
      </w:r>
      <w:r w:rsidR="00BD1EAD" w:rsidRPr="00DA693C">
        <w:rPr>
          <w:rFonts w:ascii="Arial" w:eastAsia="Calibri" w:hAnsi="Arial" w:cs="Arial"/>
        </w:rPr>
        <w:t xml:space="preserve">požara na građevinama, </w:t>
      </w:r>
      <w:r w:rsidR="003042D5">
        <w:rPr>
          <w:rFonts w:ascii="Arial" w:eastAsia="Calibri" w:hAnsi="Arial" w:cs="Arial"/>
        </w:rPr>
        <w:t xml:space="preserve">14 </w:t>
      </w:r>
      <w:r w:rsidR="00BD1EAD" w:rsidRPr="00DA693C">
        <w:rPr>
          <w:rFonts w:ascii="Arial" w:eastAsia="Calibri" w:hAnsi="Arial" w:cs="Arial"/>
        </w:rPr>
        <w:t>požara otvorenog prostora</w:t>
      </w:r>
      <w:r w:rsidR="003042D5">
        <w:rPr>
          <w:rFonts w:ascii="Arial" w:eastAsia="Calibri" w:hAnsi="Arial" w:cs="Arial"/>
        </w:rPr>
        <w:t>, te 2 požara u prometu,</w:t>
      </w:r>
    </w:p>
    <w:p w14:paraId="28E3CBED" w14:textId="502F5FE2" w:rsidR="006A72F8" w:rsidRDefault="003042D5">
      <w:pPr>
        <w:pStyle w:val="Odlomakpopisa"/>
        <w:numPr>
          <w:ilvl w:val="0"/>
          <w:numId w:val="14"/>
        </w:numPr>
        <w:rPr>
          <w:rFonts w:ascii="Arial" w:eastAsia="Calibri" w:hAnsi="Arial" w:cs="Arial"/>
        </w:rPr>
      </w:pPr>
      <w:r>
        <w:rPr>
          <w:rFonts w:ascii="Arial" w:eastAsia="Calibri" w:hAnsi="Arial" w:cs="Arial"/>
        </w:rPr>
        <w:t>64</w:t>
      </w:r>
      <w:r w:rsidR="00BD1EAD" w:rsidRPr="00DA693C">
        <w:rPr>
          <w:rFonts w:ascii="Arial" w:eastAsia="Calibri" w:hAnsi="Arial" w:cs="Arial"/>
        </w:rPr>
        <w:t xml:space="preserve"> tehničk</w:t>
      </w:r>
      <w:r>
        <w:rPr>
          <w:rFonts w:ascii="Arial" w:eastAsia="Calibri" w:hAnsi="Arial" w:cs="Arial"/>
        </w:rPr>
        <w:t>e</w:t>
      </w:r>
      <w:r w:rsidR="00BD1EAD" w:rsidRPr="00DA693C">
        <w:rPr>
          <w:rFonts w:ascii="Arial" w:eastAsia="Calibri" w:hAnsi="Arial" w:cs="Arial"/>
        </w:rPr>
        <w:t xml:space="preserve"> intervencij</w:t>
      </w:r>
      <w:r>
        <w:rPr>
          <w:rFonts w:ascii="Arial" w:eastAsia="Calibri" w:hAnsi="Arial" w:cs="Arial"/>
        </w:rPr>
        <w:t>e (18 u objektima, 25 tehničkih intervencija na otvorenom prostoru koje su se najviše odnosile na uklanjanje prepreka, te 21 intervencija u prometu)</w:t>
      </w:r>
      <w:r w:rsidR="006A72F8">
        <w:rPr>
          <w:rFonts w:ascii="Arial" w:eastAsia="Calibri" w:hAnsi="Arial" w:cs="Arial"/>
        </w:rPr>
        <w:t>,</w:t>
      </w:r>
    </w:p>
    <w:p w14:paraId="4F6557DE" w14:textId="7FA0C3E9" w:rsidR="00BD1EAD" w:rsidRPr="00DA693C" w:rsidRDefault="007842CF">
      <w:pPr>
        <w:pStyle w:val="Odlomakpopisa"/>
        <w:numPr>
          <w:ilvl w:val="0"/>
          <w:numId w:val="14"/>
        </w:numPr>
        <w:rPr>
          <w:rFonts w:ascii="Arial" w:eastAsia="Calibri" w:hAnsi="Arial" w:cs="Arial"/>
        </w:rPr>
      </w:pPr>
      <w:r>
        <w:rPr>
          <w:rFonts w:ascii="Arial" w:eastAsia="Calibri" w:hAnsi="Arial" w:cs="Arial"/>
        </w:rPr>
        <w:t>75</w:t>
      </w:r>
      <w:r w:rsidR="00A405C5">
        <w:rPr>
          <w:rFonts w:ascii="Arial" w:eastAsia="Calibri" w:hAnsi="Arial" w:cs="Arial"/>
        </w:rPr>
        <w:t xml:space="preserve"> </w:t>
      </w:r>
      <w:r w:rsidR="00BD1EAD" w:rsidRPr="00DA693C">
        <w:rPr>
          <w:rFonts w:ascii="Arial" w:eastAsia="Calibri" w:hAnsi="Arial" w:cs="Arial"/>
        </w:rPr>
        <w:t>ostal</w:t>
      </w:r>
      <w:r>
        <w:rPr>
          <w:rFonts w:ascii="Arial" w:eastAsia="Calibri" w:hAnsi="Arial" w:cs="Arial"/>
        </w:rPr>
        <w:t>ih</w:t>
      </w:r>
      <w:r w:rsidR="00BD1EAD" w:rsidRPr="00DA693C">
        <w:rPr>
          <w:rFonts w:ascii="Arial" w:eastAsia="Calibri" w:hAnsi="Arial" w:cs="Arial"/>
        </w:rPr>
        <w:t xml:space="preserve"> operativn</w:t>
      </w:r>
      <w:r>
        <w:rPr>
          <w:rFonts w:ascii="Arial" w:eastAsia="Calibri" w:hAnsi="Arial" w:cs="Arial"/>
        </w:rPr>
        <w:t>ih</w:t>
      </w:r>
      <w:r w:rsidR="00BD1EAD" w:rsidRPr="00DA693C">
        <w:rPr>
          <w:rFonts w:ascii="Arial" w:eastAsia="Calibri" w:hAnsi="Arial" w:cs="Arial"/>
        </w:rPr>
        <w:t xml:space="preserve"> aktivnosti (intervencije ispiranja ceste i javnih površina, vatrogasnih osiguranja, prijevoza vode i drugo).</w:t>
      </w:r>
    </w:p>
    <w:p w14:paraId="2442EBE6" w14:textId="77777777" w:rsidR="00BD1EAD" w:rsidRPr="00DA693C" w:rsidRDefault="00BD1EAD" w:rsidP="00617716">
      <w:pPr>
        <w:spacing w:after="0" w:line="240" w:lineRule="auto"/>
        <w:jc w:val="both"/>
        <w:rPr>
          <w:rFonts w:ascii="Arial" w:eastAsia="Calibri" w:hAnsi="Arial" w:cs="Arial"/>
          <w:sz w:val="20"/>
          <w:szCs w:val="20"/>
          <w:lang w:eastAsia="en-US"/>
        </w:rPr>
      </w:pPr>
    </w:p>
    <w:p w14:paraId="6B64009B" w14:textId="262E1B43" w:rsidR="00617716" w:rsidRPr="00DA693C" w:rsidRDefault="00617716" w:rsidP="00617716">
      <w:pPr>
        <w:spacing w:after="0" w:line="240" w:lineRule="auto"/>
        <w:ind w:firstLine="720"/>
        <w:jc w:val="both"/>
        <w:rPr>
          <w:rFonts w:ascii="Arial" w:eastAsia="Calibri" w:hAnsi="Arial" w:cs="Arial"/>
          <w:sz w:val="20"/>
          <w:szCs w:val="20"/>
          <w:lang w:eastAsia="en-US"/>
        </w:rPr>
      </w:pPr>
      <w:r w:rsidRPr="00DA693C">
        <w:rPr>
          <w:rFonts w:ascii="Arial" w:eastAsia="Calibri" w:hAnsi="Arial" w:cs="Arial"/>
          <w:sz w:val="20"/>
          <w:szCs w:val="20"/>
          <w:lang w:eastAsia="en-US"/>
        </w:rPr>
        <w:t xml:space="preserve">Provođenjem svih ovih zadanih ciljeva i ostvarenjem kroz naredne godine uvelike </w:t>
      </w:r>
      <w:r w:rsidR="00DA693C" w:rsidRPr="00DA693C">
        <w:rPr>
          <w:rFonts w:ascii="Arial" w:eastAsia="Calibri" w:hAnsi="Arial" w:cs="Arial"/>
          <w:sz w:val="20"/>
          <w:szCs w:val="20"/>
          <w:lang w:eastAsia="en-US"/>
        </w:rPr>
        <w:t>se postiže</w:t>
      </w:r>
      <w:r w:rsidRPr="00DA693C">
        <w:rPr>
          <w:rFonts w:ascii="Arial" w:eastAsia="Calibri" w:hAnsi="Arial" w:cs="Arial"/>
          <w:sz w:val="20"/>
          <w:szCs w:val="20"/>
          <w:lang w:eastAsia="en-US"/>
        </w:rPr>
        <w:t xml:space="preserve"> operativna spremnost svih vatrogasaca u vatrogasnoj postrojbi, a posebno je za istaći da se edukacijom o preventivnim mjerama zaštite od požara kod najmlađih u osnovnim školama i vrtićima želi postići smanjenje broja vatrogasnih intervencija, ali i zainteresirati mlade za vatrogasnu djelatnost, te pri tome možda dobiti i nove buduće naraštaje vatrogasaca, ali i odraslih ljudi s većom sviješću opasnosti od požara. </w:t>
      </w:r>
    </w:p>
    <w:p w14:paraId="76783B09" w14:textId="77777777" w:rsidR="00617716" w:rsidRPr="00DA693C" w:rsidRDefault="00617716" w:rsidP="00617716">
      <w:pPr>
        <w:spacing w:after="0" w:line="240" w:lineRule="auto"/>
        <w:jc w:val="both"/>
        <w:rPr>
          <w:rFonts w:ascii="Arial" w:eastAsia="Times New Roman" w:hAnsi="Arial" w:cs="Arial"/>
          <w:sz w:val="20"/>
          <w:szCs w:val="20"/>
          <w:lang w:eastAsia="en-US"/>
        </w:rPr>
      </w:pPr>
    </w:p>
    <w:p w14:paraId="7D7DAFE4" w14:textId="77777777" w:rsidR="00617716" w:rsidRPr="00DA693C" w:rsidRDefault="00617716" w:rsidP="00617716">
      <w:pPr>
        <w:spacing w:after="0" w:line="240" w:lineRule="auto"/>
        <w:ind w:firstLine="567"/>
        <w:jc w:val="both"/>
        <w:rPr>
          <w:rFonts w:ascii="Arial" w:eastAsia="Times New Roman" w:hAnsi="Arial" w:cs="Arial"/>
          <w:sz w:val="20"/>
          <w:szCs w:val="20"/>
          <w:lang w:eastAsia="en-US"/>
        </w:rPr>
      </w:pPr>
      <w:r w:rsidRPr="00DA693C">
        <w:rPr>
          <w:rFonts w:ascii="Arial" w:eastAsia="Times New Roman" w:hAnsi="Arial" w:cs="Arial"/>
          <w:sz w:val="20"/>
          <w:szCs w:val="20"/>
          <w:lang w:eastAsia="en-US"/>
        </w:rPr>
        <w:t>Ovakvim pristupom JVP će se u narednom razdoblju maksimalno angažirati u provedbi preventivnih mjera zaštite od požara, te se s takvim radom planira smanjiti broj požara, te prvenstveno šteta koju požari naprave u svakoj protupožarnoj sezoni.</w:t>
      </w:r>
    </w:p>
    <w:p w14:paraId="08EE9210" w14:textId="77777777" w:rsidR="00D54AFC" w:rsidRPr="00DA693C" w:rsidRDefault="00D54AFC" w:rsidP="00D54AFC">
      <w:pPr>
        <w:spacing w:after="0" w:line="240" w:lineRule="auto"/>
        <w:jc w:val="both"/>
        <w:rPr>
          <w:rFonts w:ascii="Arial" w:eastAsia="Times New Roman" w:hAnsi="Arial" w:cs="Arial"/>
          <w:sz w:val="20"/>
          <w:szCs w:val="20"/>
          <w:lang w:eastAsia="en-US"/>
        </w:rPr>
      </w:pPr>
    </w:p>
    <w:p w14:paraId="43661B1F" w14:textId="77777777" w:rsidR="00D54AFC" w:rsidRPr="00DA693C" w:rsidRDefault="00D54AFC" w:rsidP="00D54AFC">
      <w:pPr>
        <w:spacing w:after="0" w:line="240" w:lineRule="auto"/>
        <w:ind w:firstLine="567"/>
        <w:jc w:val="both"/>
        <w:rPr>
          <w:rFonts w:ascii="Arial" w:eastAsia="Times New Roman" w:hAnsi="Arial" w:cs="Arial"/>
          <w:sz w:val="20"/>
          <w:szCs w:val="20"/>
          <w:lang w:eastAsia="en-US"/>
        </w:rPr>
      </w:pPr>
      <w:r w:rsidRPr="00DA693C">
        <w:rPr>
          <w:rFonts w:ascii="Arial" w:eastAsia="Times New Roman" w:hAnsi="Arial" w:cs="Arial"/>
          <w:sz w:val="20"/>
          <w:szCs w:val="20"/>
          <w:lang w:eastAsia="en-US"/>
        </w:rPr>
        <w:t>Svi ostali ciljevi i indikatori za razvoj JVP-a se očekuju od nadležnih institucija, prvenstveno Ministarstva unutarnjih poslova RH, Ureda za vatrogastvo RH, kao i od jedinice lokalne uprave i samouprave.</w:t>
      </w:r>
    </w:p>
    <w:p w14:paraId="3F2B4DA7" w14:textId="77777777" w:rsidR="00D54AFC" w:rsidRPr="00DA693C" w:rsidRDefault="00D54AFC" w:rsidP="00D54AFC">
      <w:pPr>
        <w:spacing w:after="0" w:line="240" w:lineRule="auto"/>
        <w:jc w:val="both"/>
        <w:rPr>
          <w:rFonts w:ascii="Arial" w:eastAsia="Times New Roman" w:hAnsi="Arial" w:cs="Arial"/>
          <w:sz w:val="20"/>
          <w:szCs w:val="20"/>
          <w:lang w:eastAsia="en-US"/>
        </w:rPr>
      </w:pPr>
    </w:p>
    <w:p w14:paraId="4B818E37" w14:textId="7E0C9EE5" w:rsidR="009F2B41" w:rsidRPr="003A2F86" w:rsidRDefault="00D54AFC" w:rsidP="00D54AFC">
      <w:pPr>
        <w:spacing w:after="0" w:line="240" w:lineRule="auto"/>
        <w:jc w:val="both"/>
        <w:rPr>
          <w:rFonts w:ascii="Arial" w:eastAsia="Calibri" w:hAnsi="Arial" w:cs="Arial"/>
          <w:color w:val="FF0000"/>
          <w:sz w:val="20"/>
          <w:szCs w:val="20"/>
          <w:lang w:eastAsia="en-US"/>
        </w:rPr>
      </w:pPr>
      <w:r w:rsidRPr="00DA693C">
        <w:rPr>
          <w:rFonts w:ascii="Arial" w:eastAsia="Times New Roman" w:hAnsi="Arial" w:cs="Arial"/>
          <w:sz w:val="20"/>
          <w:szCs w:val="20"/>
          <w:lang w:eastAsia="en-US"/>
        </w:rPr>
        <w:t xml:space="preserve"> </w:t>
      </w:r>
      <w:bookmarkEnd w:id="666"/>
      <w:r w:rsidR="009F2B41" w:rsidRPr="003A2F86">
        <w:rPr>
          <w:rFonts w:ascii="Arial" w:eastAsia="Calibri" w:hAnsi="Arial" w:cs="Arial"/>
          <w:color w:val="FF0000"/>
          <w:sz w:val="20"/>
          <w:szCs w:val="20"/>
          <w:lang w:eastAsia="en-US"/>
        </w:rPr>
        <w:br w:type="page"/>
      </w:r>
    </w:p>
    <w:p w14:paraId="0948F883" w14:textId="1CE4A889" w:rsidR="002B6F08" w:rsidRPr="00731E7F" w:rsidRDefault="00375FAF" w:rsidP="00375FAF">
      <w:pPr>
        <w:pStyle w:val="Naslov1"/>
        <w:rPr>
          <w:rFonts w:ascii="Arial" w:eastAsia="Calibri" w:hAnsi="Arial" w:cs="Arial"/>
          <w:sz w:val="22"/>
          <w:szCs w:val="22"/>
          <w:lang w:val="hr-HR"/>
        </w:rPr>
      </w:pPr>
      <w:bookmarkStart w:id="667" w:name="_Toc232981492"/>
      <w:r w:rsidRPr="00731E7F">
        <w:rPr>
          <w:rFonts w:ascii="Arial" w:eastAsia="Calibri" w:hAnsi="Arial" w:cs="Arial"/>
          <w:sz w:val="22"/>
          <w:szCs w:val="22"/>
          <w:lang w:val="hr-HR"/>
        </w:rPr>
        <w:lastRenderedPageBreak/>
        <w:t>4</w:t>
      </w:r>
      <w:r w:rsidR="002B6F08" w:rsidRPr="00731E7F">
        <w:rPr>
          <w:rFonts w:ascii="Arial" w:eastAsia="Calibri" w:hAnsi="Arial" w:cs="Arial"/>
          <w:sz w:val="22"/>
          <w:szCs w:val="22"/>
          <w:lang w:val="hr-HR"/>
        </w:rPr>
        <w:t>. POSEBNI IZVJEŠTAJI U IZVJEŠTAJU O IZVRŠENJU PRORAČUNA</w:t>
      </w:r>
      <w:bookmarkEnd w:id="667"/>
    </w:p>
    <w:p w14:paraId="73E8E12F" w14:textId="77777777" w:rsidR="002B6F08" w:rsidRPr="00731E7F" w:rsidRDefault="002B6F08" w:rsidP="00D54AFC">
      <w:pPr>
        <w:spacing w:after="0" w:line="240" w:lineRule="auto"/>
        <w:jc w:val="both"/>
        <w:rPr>
          <w:rFonts w:ascii="Arial" w:eastAsia="Calibri" w:hAnsi="Arial" w:cs="Arial"/>
          <w:sz w:val="20"/>
          <w:szCs w:val="20"/>
          <w:lang w:eastAsia="en-US"/>
        </w:rPr>
      </w:pPr>
    </w:p>
    <w:p w14:paraId="1784F8B1" w14:textId="3F37FA01" w:rsidR="00F2348E" w:rsidRPr="00731E7F" w:rsidRDefault="00375FAF" w:rsidP="00375FAF">
      <w:pPr>
        <w:pStyle w:val="Naslov2"/>
        <w:jc w:val="center"/>
        <w:rPr>
          <w:rFonts w:ascii="Arial" w:eastAsia="Calibri" w:hAnsi="Arial" w:cs="Arial"/>
          <w:sz w:val="22"/>
          <w:szCs w:val="22"/>
          <w:lang w:val="hr-HR"/>
        </w:rPr>
      </w:pPr>
      <w:bookmarkStart w:id="668" w:name="_4.1.__IZVJEŠTAJ"/>
      <w:bookmarkStart w:id="669" w:name="_Toc232981493"/>
      <w:bookmarkEnd w:id="668"/>
      <w:r w:rsidRPr="00731E7F">
        <w:rPr>
          <w:rFonts w:ascii="Arial" w:eastAsia="Calibri" w:hAnsi="Arial" w:cs="Arial"/>
          <w:sz w:val="22"/>
          <w:szCs w:val="22"/>
          <w:lang w:val="hr-HR"/>
        </w:rPr>
        <w:t>4</w:t>
      </w:r>
      <w:r w:rsidR="00F2348E" w:rsidRPr="00731E7F">
        <w:rPr>
          <w:rFonts w:ascii="Arial" w:eastAsia="Calibri" w:hAnsi="Arial" w:cs="Arial"/>
          <w:sz w:val="22"/>
          <w:szCs w:val="22"/>
          <w:lang w:val="hr-HR"/>
        </w:rPr>
        <w:t xml:space="preserve">.1. </w:t>
      </w:r>
      <w:r w:rsidR="00F2348E" w:rsidRPr="00731E7F">
        <w:rPr>
          <w:rFonts w:ascii="Arial" w:eastAsia="Calibri" w:hAnsi="Arial" w:cs="Arial"/>
          <w:sz w:val="22"/>
          <w:szCs w:val="22"/>
          <w:lang w:val="hr-HR"/>
        </w:rPr>
        <w:tab/>
        <w:t>IZVJEŠTAJ O KORIŠTENJU PRORAČUNSKE ZALIHE</w:t>
      </w:r>
      <w:bookmarkEnd w:id="669"/>
    </w:p>
    <w:p w14:paraId="63455719" w14:textId="77777777" w:rsidR="00F2348E" w:rsidRPr="00731E7F" w:rsidRDefault="00F2348E" w:rsidP="00F2348E">
      <w:pPr>
        <w:spacing w:after="0" w:line="240" w:lineRule="auto"/>
        <w:rPr>
          <w:rFonts w:ascii="Arial" w:eastAsia="Times New Roman" w:hAnsi="Arial" w:cs="Arial"/>
          <w:iCs/>
          <w:lang w:eastAsia="en-US"/>
        </w:rPr>
      </w:pPr>
      <w:bookmarkStart w:id="670" w:name="Izvjestaj_proračunska_zaliha"/>
      <w:bookmarkEnd w:id="670"/>
    </w:p>
    <w:p w14:paraId="762B3EC8" w14:textId="7CF33646" w:rsidR="00F2348E" w:rsidRPr="00F12DCA" w:rsidRDefault="00F2348E" w:rsidP="00F2348E">
      <w:pPr>
        <w:autoSpaceDE w:val="0"/>
        <w:autoSpaceDN w:val="0"/>
        <w:adjustRightInd w:val="0"/>
        <w:spacing w:after="0" w:line="240" w:lineRule="auto"/>
        <w:jc w:val="both"/>
        <w:rPr>
          <w:rFonts w:ascii="Arial" w:eastAsia="Times New Roman" w:hAnsi="Arial" w:cs="Arial"/>
          <w:i/>
          <w:iCs/>
          <w:sz w:val="20"/>
          <w:szCs w:val="20"/>
          <w:lang w:eastAsia="en-US"/>
        </w:rPr>
      </w:pPr>
      <w:r w:rsidRPr="00F12DCA">
        <w:rPr>
          <w:rFonts w:ascii="Arial" w:eastAsia="Times New Roman" w:hAnsi="Arial" w:cs="Arial"/>
          <w:sz w:val="20"/>
          <w:szCs w:val="20"/>
        </w:rPr>
        <w:t xml:space="preserve">Odredbom članka 65. Zakona o proračunu (Narodne novine broj 144/21) utvrđena je namjena sredstava za proračunsku zalihu, dok je u članku 66. istog Zakona utvrđena obveza osobe odgovorne za izvršavanje proračuna da izvještava nadležno tijelo o korištenju proračunske zalihe. </w:t>
      </w:r>
      <w:r w:rsidRPr="00F12DCA">
        <w:rPr>
          <w:rFonts w:ascii="Arial" w:eastAsia="Times New Roman" w:hAnsi="Arial" w:cs="Arial"/>
          <w:sz w:val="20"/>
          <w:szCs w:val="20"/>
          <w:lang w:eastAsia="en-US"/>
        </w:rPr>
        <w:t>Člankom 26. Odluke o izvršenju proračuna Općine Konavle za 202</w:t>
      </w:r>
      <w:r w:rsidR="00731E7F" w:rsidRPr="00F12DCA">
        <w:rPr>
          <w:rFonts w:ascii="Arial" w:eastAsia="Times New Roman" w:hAnsi="Arial" w:cs="Arial"/>
          <w:sz w:val="20"/>
          <w:szCs w:val="20"/>
          <w:lang w:eastAsia="en-US"/>
        </w:rPr>
        <w:t>4</w:t>
      </w:r>
      <w:r w:rsidRPr="00F12DCA">
        <w:rPr>
          <w:rFonts w:ascii="Arial" w:eastAsia="Times New Roman" w:hAnsi="Arial" w:cs="Arial"/>
          <w:sz w:val="20"/>
          <w:szCs w:val="20"/>
          <w:lang w:eastAsia="en-US"/>
        </w:rPr>
        <w:t>. godinu (Službeni glasnik Općine Konavle broj 8/2</w:t>
      </w:r>
      <w:r w:rsidR="006F738A" w:rsidRPr="00F12DCA">
        <w:rPr>
          <w:rFonts w:ascii="Arial" w:eastAsia="Times New Roman" w:hAnsi="Arial" w:cs="Arial"/>
          <w:sz w:val="20"/>
          <w:szCs w:val="20"/>
          <w:lang w:eastAsia="en-US"/>
        </w:rPr>
        <w:t>3</w:t>
      </w:r>
      <w:r w:rsidRPr="00F12DCA">
        <w:rPr>
          <w:rFonts w:ascii="Arial" w:eastAsia="Times New Roman" w:hAnsi="Arial" w:cs="Arial"/>
          <w:sz w:val="20"/>
          <w:szCs w:val="20"/>
          <w:lang w:eastAsia="en-US"/>
        </w:rPr>
        <w:t xml:space="preserve">) propisano je: „U Proračunu su planirana sredstva proračunske zalihe u iznosu 30.000 </w:t>
      </w:r>
      <w:r w:rsidR="0044214E" w:rsidRPr="00F12DCA">
        <w:rPr>
          <w:rFonts w:ascii="Arial" w:eastAsia="Times New Roman" w:hAnsi="Arial" w:cs="Arial"/>
          <w:sz w:val="20"/>
          <w:szCs w:val="20"/>
          <w:lang w:eastAsia="en-US"/>
        </w:rPr>
        <w:t>€</w:t>
      </w:r>
      <w:r w:rsidRPr="00F12DCA">
        <w:rPr>
          <w:rFonts w:ascii="Arial" w:eastAsia="Times New Roman" w:hAnsi="Arial" w:cs="Arial"/>
          <w:sz w:val="20"/>
          <w:szCs w:val="20"/>
          <w:lang w:eastAsia="en-US"/>
        </w:rPr>
        <w:t xml:space="preserve">.“ „O korištenju sredstava proračunske zalihe odlučuje Općinski načelnik. </w:t>
      </w:r>
      <w:r w:rsidRPr="00F12DCA">
        <w:rPr>
          <w:rFonts w:ascii="Arial" w:eastAsia="Times New Roman" w:hAnsi="Arial" w:cs="Arial"/>
          <w:i/>
          <w:sz w:val="20"/>
          <w:szCs w:val="20"/>
          <w:lang w:eastAsia="en-US"/>
        </w:rPr>
        <w:t>Općinski načelnik obvezan je izvijestiti Općinsko vijeće o korištenju proračunske zalihe uz polugodišnji i godišnji Izvještaj o izvršenju proračuna</w:t>
      </w:r>
      <w:r w:rsidRPr="00F12DCA">
        <w:rPr>
          <w:rFonts w:ascii="Arial" w:eastAsia="Times New Roman" w:hAnsi="Arial" w:cs="Arial"/>
          <w:i/>
          <w:iCs/>
          <w:sz w:val="20"/>
          <w:szCs w:val="20"/>
          <w:lang w:eastAsia="en-US"/>
        </w:rPr>
        <w:t xml:space="preserve">“. </w:t>
      </w:r>
    </w:p>
    <w:p w14:paraId="741483A7" w14:textId="77777777" w:rsidR="00F2348E" w:rsidRPr="00731E7F" w:rsidRDefault="00F2348E" w:rsidP="00F2348E">
      <w:pPr>
        <w:autoSpaceDE w:val="0"/>
        <w:autoSpaceDN w:val="0"/>
        <w:adjustRightInd w:val="0"/>
        <w:spacing w:after="0" w:line="240" w:lineRule="auto"/>
        <w:jc w:val="both"/>
        <w:rPr>
          <w:rFonts w:ascii="Arial" w:eastAsia="Times New Roman" w:hAnsi="Arial" w:cs="Arial"/>
        </w:rPr>
      </w:pPr>
    </w:p>
    <w:p w14:paraId="520B8764" w14:textId="1AB948CE" w:rsidR="00F2348E" w:rsidRPr="00731E7F" w:rsidRDefault="00F2348E" w:rsidP="00F2348E">
      <w:pPr>
        <w:autoSpaceDE w:val="0"/>
        <w:autoSpaceDN w:val="0"/>
        <w:adjustRightInd w:val="0"/>
        <w:spacing w:after="0" w:line="240" w:lineRule="auto"/>
        <w:jc w:val="both"/>
        <w:rPr>
          <w:rFonts w:ascii="Arial" w:eastAsia="Times New Roman" w:hAnsi="Arial" w:cs="Arial"/>
        </w:rPr>
      </w:pPr>
      <w:r w:rsidRPr="00731E7F">
        <w:rPr>
          <w:rFonts w:ascii="Arial" w:eastAsia="Times New Roman" w:hAnsi="Arial" w:cs="Arial"/>
          <w:b/>
          <w:bCs/>
        </w:rPr>
        <w:t>U razdoblju</w:t>
      </w:r>
      <w:r w:rsidRPr="00731E7F">
        <w:rPr>
          <w:rFonts w:ascii="Arial" w:eastAsia="Times New Roman" w:hAnsi="Arial" w:cs="Arial"/>
        </w:rPr>
        <w:t xml:space="preserve"> </w:t>
      </w:r>
      <w:r w:rsidRPr="00731E7F">
        <w:rPr>
          <w:rFonts w:ascii="Arial" w:eastAsia="Times New Roman" w:hAnsi="Arial" w:cs="Arial"/>
          <w:b/>
        </w:rPr>
        <w:t xml:space="preserve">siječanj – </w:t>
      </w:r>
      <w:r w:rsidR="00A66330">
        <w:rPr>
          <w:rFonts w:ascii="Arial" w:eastAsia="Times New Roman" w:hAnsi="Arial" w:cs="Arial"/>
          <w:b/>
        </w:rPr>
        <w:t>prosinac</w:t>
      </w:r>
      <w:r w:rsidRPr="00731E7F">
        <w:rPr>
          <w:rFonts w:ascii="Arial" w:eastAsia="Times New Roman" w:hAnsi="Arial" w:cs="Arial"/>
          <w:b/>
        </w:rPr>
        <w:t xml:space="preserve"> 202</w:t>
      </w:r>
      <w:r w:rsidR="009B388C">
        <w:rPr>
          <w:rFonts w:ascii="Arial" w:eastAsia="Times New Roman" w:hAnsi="Arial" w:cs="Arial"/>
          <w:b/>
        </w:rPr>
        <w:t>5</w:t>
      </w:r>
      <w:r w:rsidRPr="00731E7F">
        <w:rPr>
          <w:rFonts w:ascii="Arial" w:eastAsia="Times New Roman" w:hAnsi="Arial" w:cs="Arial"/>
          <w:b/>
        </w:rPr>
        <w:t>.</w:t>
      </w:r>
      <w:r w:rsidRPr="00731E7F">
        <w:rPr>
          <w:rFonts w:ascii="Arial" w:eastAsia="Times New Roman" w:hAnsi="Arial" w:cs="Arial"/>
        </w:rPr>
        <w:t xml:space="preserve"> </w:t>
      </w:r>
      <w:r w:rsidRPr="00731E7F">
        <w:rPr>
          <w:rFonts w:ascii="Arial" w:eastAsia="Times New Roman" w:hAnsi="Arial" w:cs="Arial"/>
          <w:b/>
          <w:lang w:eastAsia="en-US"/>
        </w:rPr>
        <w:t>proračunska zaliha nije korištena</w:t>
      </w:r>
      <w:r w:rsidR="00856469" w:rsidRPr="00731E7F">
        <w:rPr>
          <w:rFonts w:ascii="Arial" w:eastAsia="Times New Roman" w:hAnsi="Arial" w:cs="Arial"/>
          <w:b/>
          <w:lang w:eastAsia="en-US"/>
        </w:rPr>
        <w:t>.</w:t>
      </w:r>
    </w:p>
    <w:p w14:paraId="1F55EC8F" w14:textId="77777777" w:rsidR="00F2348E" w:rsidRPr="00731E7F" w:rsidRDefault="00F2348E" w:rsidP="00F2348E">
      <w:pPr>
        <w:autoSpaceDE w:val="0"/>
        <w:autoSpaceDN w:val="0"/>
        <w:adjustRightInd w:val="0"/>
        <w:spacing w:after="0" w:line="240" w:lineRule="auto"/>
        <w:jc w:val="both"/>
        <w:rPr>
          <w:rFonts w:ascii="Arial" w:eastAsia="Times New Roman" w:hAnsi="Arial" w:cs="Arial"/>
        </w:rPr>
      </w:pPr>
    </w:p>
    <w:p w14:paraId="3E60ECA3" w14:textId="6BD4D2CD" w:rsidR="00F2348E" w:rsidRPr="00F12DCA" w:rsidRDefault="00F2348E" w:rsidP="00F2348E">
      <w:pPr>
        <w:autoSpaceDE w:val="0"/>
        <w:autoSpaceDN w:val="0"/>
        <w:adjustRightInd w:val="0"/>
        <w:spacing w:after="0" w:line="240" w:lineRule="auto"/>
        <w:jc w:val="both"/>
        <w:rPr>
          <w:rFonts w:ascii="Arial" w:eastAsia="Times New Roman" w:hAnsi="Arial" w:cs="Arial"/>
          <w:sz w:val="20"/>
          <w:szCs w:val="20"/>
        </w:rPr>
      </w:pPr>
      <w:r w:rsidRPr="00F12DCA">
        <w:rPr>
          <w:rFonts w:ascii="Arial" w:eastAsia="Times New Roman" w:hAnsi="Arial" w:cs="Arial"/>
          <w:sz w:val="20"/>
          <w:szCs w:val="20"/>
        </w:rPr>
        <w:t xml:space="preserve">Dakle, u privitku nema prikaza korištenja sredstava proračunske zalihe za razdoblje 01.01. – </w:t>
      </w:r>
      <w:r w:rsidR="00A66330">
        <w:rPr>
          <w:rFonts w:ascii="Arial" w:eastAsia="Times New Roman" w:hAnsi="Arial" w:cs="Arial"/>
          <w:sz w:val="20"/>
          <w:szCs w:val="20"/>
        </w:rPr>
        <w:t>31.12.</w:t>
      </w:r>
      <w:r w:rsidR="00AE0F83">
        <w:rPr>
          <w:rFonts w:ascii="Arial" w:eastAsia="Times New Roman" w:hAnsi="Arial" w:cs="Arial"/>
          <w:sz w:val="20"/>
          <w:szCs w:val="20"/>
        </w:rPr>
        <w:t>2025</w:t>
      </w:r>
      <w:r w:rsidRPr="00F12DCA">
        <w:rPr>
          <w:rFonts w:ascii="Arial" w:eastAsia="Times New Roman" w:hAnsi="Arial" w:cs="Arial"/>
          <w:sz w:val="20"/>
          <w:szCs w:val="20"/>
        </w:rPr>
        <w:t>. godine.</w:t>
      </w:r>
    </w:p>
    <w:p w14:paraId="2762F605" w14:textId="77777777" w:rsidR="00F2348E" w:rsidRPr="00731E7F" w:rsidRDefault="00F2348E" w:rsidP="00F2348E">
      <w:pPr>
        <w:spacing w:after="0" w:line="240" w:lineRule="auto"/>
        <w:jc w:val="center"/>
        <w:rPr>
          <w:rFonts w:ascii="Arial" w:eastAsia="Times New Roman" w:hAnsi="Arial" w:cs="Arial"/>
          <w:iCs/>
          <w:lang w:eastAsia="en-US"/>
        </w:rPr>
      </w:pPr>
      <w:r w:rsidRPr="00731E7F">
        <w:rPr>
          <w:rFonts w:ascii="Arial" w:eastAsia="Times New Roman" w:hAnsi="Arial" w:cs="Arial"/>
          <w:iCs/>
          <w:lang w:eastAsia="en-US"/>
        </w:rPr>
        <w:br w:type="page"/>
      </w:r>
    </w:p>
    <w:p w14:paraId="5174FE2C" w14:textId="2DDB4189" w:rsidR="00094BFA" w:rsidRPr="00416BEE" w:rsidRDefault="00F978D1" w:rsidP="00ED60D0">
      <w:pPr>
        <w:pStyle w:val="Naslov2"/>
        <w:jc w:val="center"/>
        <w:rPr>
          <w:rFonts w:ascii="Arial" w:hAnsi="Arial" w:cs="Arial"/>
          <w:sz w:val="22"/>
          <w:lang w:val="hr-HR"/>
        </w:rPr>
      </w:pPr>
      <w:bookmarkStart w:id="671" w:name="_4.2._IZVJEŠTAJ_O"/>
      <w:bookmarkStart w:id="672" w:name="_Toc232981494"/>
      <w:bookmarkEnd w:id="671"/>
      <w:r w:rsidRPr="00416BEE">
        <w:rPr>
          <w:rFonts w:ascii="Arial" w:hAnsi="Arial" w:cs="Arial"/>
          <w:sz w:val="22"/>
          <w:lang w:val="hr-HR"/>
        </w:rPr>
        <w:lastRenderedPageBreak/>
        <w:t>4</w:t>
      </w:r>
      <w:r w:rsidR="0065579C" w:rsidRPr="00416BEE">
        <w:rPr>
          <w:rFonts w:ascii="Arial" w:hAnsi="Arial" w:cs="Arial"/>
          <w:sz w:val="22"/>
          <w:lang w:val="hr-HR"/>
        </w:rPr>
        <w:t>.</w:t>
      </w:r>
      <w:r w:rsidRPr="00416BEE">
        <w:rPr>
          <w:rFonts w:ascii="Arial" w:hAnsi="Arial" w:cs="Arial"/>
          <w:sz w:val="22"/>
          <w:lang w:val="hr-HR"/>
        </w:rPr>
        <w:t>2</w:t>
      </w:r>
      <w:r w:rsidR="0065579C" w:rsidRPr="00416BEE">
        <w:rPr>
          <w:rFonts w:ascii="Arial" w:hAnsi="Arial" w:cs="Arial"/>
          <w:sz w:val="22"/>
          <w:lang w:val="hr-HR"/>
        </w:rPr>
        <w:t>.</w:t>
      </w:r>
      <w:r w:rsidR="0065579C" w:rsidRPr="00416BEE">
        <w:rPr>
          <w:rFonts w:ascii="Arial" w:hAnsi="Arial" w:cs="Arial"/>
          <w:sz w:val="22"/>
          <w:lang w:val="hr-HR"/>
        </w:rPr>
        <w:tab/>
      </w:r>
      <w:r w:rsidRPr="00416BEE">
        <w:rPr>
          <w:rFonts w:ascii="Arial" w:hAnsi="Arial" w:cs="Arial"/>
          <w:sz w:val="22"/>
          <w:lang w:val="hr-HR"/>
        </w:rPr>
        <w:t>IZVJEŠTAJ O ZADUŽIVANJU NA DOMA</w:t>
      </w:r>
      <w:r w:rsidR="00003B5B" w:rsidRPr="00416BEE">
        <w:rPr>
          <w:rFonts w:ascii="Arial" w:hAnsi="Arial" w:cs="Arial"/>
          <w:sz w:val="22"/>
          <w:lang w:val="hr-HR"/>
        </w:rPr>
        <w:t>Ć</w:t>
      </w:r>
      <w:r w:rsidRPr="00416BEE">
        <w:rPr>
          <w:rFonts w:ascii="Arial" w:hAnsi="Arial" w:cs="Arial"/>
          <w:sz w:val="22"/>
          <w:lang w:val="hr-HR"/>
        </w:rPr>
        <w:t>EM I STRANOM TRŽIŠTU NOVCA I KAPITALA</w:t>
      </w:r>
      <w:bookmarkEnd w:id="672"/>
    </w:p>
    <w:p w14:paraId="77F28184" w14:textId="77777777" w:rsidR="00F978D1" w:rsidRPr="00416BEE" w:rsidRDefault="00F978D1" w:rsidP="00F978D1">
      <w:pPr>
        <w:rPr>
          <w:lang w:eastAsia="en-US"/>
        </w:rPr>
      </w:pPr>
    </w:p>
    <w:p w14:paraId="1047C9A9" w14:textId="54A5D157" w:rsidR="00094BFA" w:rsidRPr="00416BEE" w:rsidRDefault="00094BFA" w:rsidP="00891119">
      <w:pPr>
        <w:autoSpaceDE w:val="0"/>
        <w:autoSpaceDN w:val="0"/>
        <w:adjustRightInd w:val="0"/>
        <w:spacing w:after="0" w:line="240" w:lineRule="auto"/>
        <w:jc w:val="both"/>
        <w:rPr>
          <w:rFonts w:ascii="Arial" w:eastAsia="Times New Roman" w:hAnsi="Arial" w:cs="Arial"/>
          <w:sz w:val="12"/>
        </w:rPr>
      </w:pPr>
      <w:bookmarkStart w:id="673" w:name="_Hlk146004249"/>
    </w:p>
    <w:p w14:paraId="21C860E1" w14:textId="56C0FE87" w:rsidR="00F978D1" w:rsidRPr="00416BEE" w:rsidRDefault="00F978D1" w:rsidP="00F978D1">
      <w:pPr>
        <w:pStyle w:val="Naslov3"/>
        <w:jc w:val="center"/>
        <w:rPr>
          <w:rFonts w:ascii="Arial" w:hAnsi="Arial" w:cs="Arial"/>
          <w:sz w:val="22"/>
          <w:szCs w:val="22"/>
          <w:lang w:val="hr-HR"/>
        </w:rPr>
      </w:pPr>
      <w:bookmarkStart w:id="674" w:name="_Toc232981495"/>
      <w:r w:rsidRPr="00416BEE">
        <w:rPr>
          <w:rFonts w:ascii="Arial" w:hAnsi="Arial" w:cs="Arial"/>
          <w:sz w:val="22"/>
          <w:szCs w:val="22"/>
          <w:lang w:val="hr-HR"/>
        </w:rPr>
        <w:t>4.2.1.</w:t>
      </w:r>
      <w:r w:rsidRPr="00416BEE">
        <w:rPr>
          <w:rFonts w:ascii="Arial" w:hAnsi="Arial" w:cs="Arial"/>
          <w:sz w:val="22"/>
          <w:szCs w:val="22"/>
          <w:lang w:val="hr-HR"/>
        </w:rPr>
        <w:tab/>
        <w:t>PREGLED PRI</w:t>
      </w:r>
      <w:bookmarkStart w:id="675" w:name="Primljeni_krediti"/>
      <w:bookmarkEnd w:id="675"/>
      <w:r w:rsidRPr="00416BEE">
        <w:rPr>
          <w:rFonts w:ascii="Arial" w:hAnsi="Arial" w:cs="Arial"/>
          <w:sz w:val="22"/>
          <w:szCs w:val="22"/>
          <w:lang w:val="hr-HR"/>
        </w:rPr>
        <w:t>MLJENIH KREDITA I OBVEZA PO KREDITIMA - OPĆINA</w:t>
      </w:r>
      <w:bookmarkEnd w:id="674"/>
    </w:p>
    <w:p w14:paraId="785CC859" w14:textId="1A7F050E" w:rsidR="00532D30" w:rsidRPr="00416BEE" w:rsidRDefault="00532D30" w:rsidP="00891119">
      <w:pPr>
        <w:autoSpaceDE w:val="0"/>
        <w:autoSpaceDN w:val="0"/>
        <w:adjustRightInd w:val="0"/>
        <w:spacing w:after="0" w:line="240" w:lineRule="auto"/>
        <w:jc w:val="both"/>
        <w:rPr>
          <w:rFonts w:ascii="Arial" w:eastAsia="Times New Roman" w:hAnsi="Arial" w:cs="Arial"/>
          <w:sz w:val="12"/>
        </w:rPr>
      </w:pPr>
    </w:p>
    <w:p w14:paraId="0241C4F5" w14:textId="77777777" w:rsidR="00992310" w:rsidRPr="00416BEE" w:rsidRDefault="00992310" w:rsidP="00891119">
      <w:pPr>
        <w:autoSpaceDE w:val="0"/>
        <w:autoSpaceDN w:val="0"/>
        <w:adjustRightInd w:val="0"/>
        <w:spacing w:after="0" w:line="240" w:lineRule="auto"/>
        <w:jc w:val="both"/>
        <w:rPr>
          <w:rFonts w:ascii="Arial" w:eastAsia="Times New Roman" w:hAnsi="Arial" w:cs="Arial"/>
          <w:sz w:val="12"/>
        </w:rPr>
      </w:pPr>
    </w:p>
    <w:p w14:paraId="0DBB482E" w14:textId="005957DF" w:rsidR="00F524FD" w:rsidRPr="00F12DCA" w:rsidRDefault="00891119" w:rsidP="00266CFE">
      <w:pPr>
        <w:spacing w:after="0" w:line="240" w:lineRule="auto"/>
        <w:jc w:val="both"/>
        <w:rPr>
          <w:rFonts w:ascii="Arial" w:hAnsi="Arial" w:cs="Arial"/>
          <w:sz w:val="20"/>
          <w:szCs w:val="20"/>
        </w:rPr>
      </w:pPr>
      <w:r w:rsidRPr="00F12DCA">
        <w:rPr>
          <w:rFonts w:ascii="Arial" w:hAnsi="Arial" w:cs="Arial"/>
          <w:sz w:val="20"/>
          <w:szCs w:val="20"/>
        </w:rPr>
        <w:t xml:space="preserve">Općina Konavle </w:t>
      </w:r>
      <w:r w:rsidR="00D54D6F" w:rsidRPr="00F12DCA">
        <w:rPr>
          <w:rFonts w:ascii="Arial" w:hAnsi="Arial" w:cs="Arial"/>
          <w:sz w:val="20"/>
          <w:szCs w:val="20"/>
        </w:rPr>
        <w:t>koncem</w:t>
      </w:r>
      <w:r w:rsidR="00CE2900" w:rsidRPr="00F12DCA">
        <w:rPr>
          <w:rFonts w:ascii="Arial" w:hAnsi="Arial" w:cs="Arial"/>
          <w:sz w:val="20"/>
          <w:szCs w:val="20"/>
        </w:rPr>
        <w:t xml:space="preserve"> </w:t>
      </w:r>
      <w:r w:rsidR="00D54D6F" w:rsidRPr="00F12DCA">
        <w:rPr>
          <w:rFonts w:ascii="Arial" w:hAnsi="Arial" w:cs="Arial"/>
          <w:sz w:val="20"/>
          <w:szCs w:val="20"/>
        </w:rPr>
        <w:t>20</w:t>
      </w:r>
      <w:r w:rsidR="00CE2900" w:rsidRPr="00F12DCA">
        <w:rPr>
          <w:rFonts w:ascii="Arial" w:hAnsi="Arial" w:cs="Arial"/>
          <w:sz w:val="20"/>
          <w:szCs w:val="20"/>
        </w:rPr>
        <w:t>2</w:t>
      </w:r>
      <w:r w:rsidR="00AE0F83">
        <w:rPr>
          <w:rFonts w:ascii="Arial" w:hAnsi="Arial" w:cs="Arial"/>
          <w:sz w:val="20"/>
          <w:szCs w:val="20"/>
        </w:rPr>
        <w:t>4</w:t>
      </w:r>
      <w:r w:rsidR="00D54D6F" w:rsidRPr="00F12DCA">
        <w:rPr>
          <w:rFonts w:ascii="Arial" w:hAnsi="Arial" w:cs="Arial"/>
          <w:sz w:val="20"/>
          <w:szCs w:val="20"/>
        </w:rPr>
        <w:t>. godine</w:t>
      </w:r>
      <w:r w:rsidR="006F738A" w:rsidRPr="00F12DCA">
        <w:rPr>
          <w:rFonts w:ascii="Arial" w:hAnsi="Arial" w:cs="Arial"/>
          <w:sz w:val="20"/>
          <w:szCs w:val="20"/>
        </w:rPr>
        <w:t xml:space="preserve"> imala je</w:t>
      </w:r>
      <w:r w:rsidR="00D54D6F" w:rsidRPr="00F12DCA">
        <w:rPr>
          <w:rFonts w:ascii="Arial" w:hAnsi="Arial" w:cs="Arial"/>
          <w:sz w:val="20"/>
          <w:szCs w:val="20"/>
        </w:rPr>
        <w:t xml:space="preserve"> ima </w:t>
      </w:r>
      <w:r w:rsidR="00F524FD" w:rsidRPr="00F12DCA">
        <w:rPr>
          <w:rFonts w:ascii="Arial" w:hAnsi="Arial" w:cs="Arial"/>
          <w:sz w:val="20"/>
          <w:szCs w:val="20"/>
        </w:rPr>
        <w:t xml:space="preserve">obveze za kredite i zajmove u ukupnom iznosu </w:t>
      </w:r>
      <w:r w:rsidR="00AE0F83" w:rsidRPr="00AE0F83">
        <w:rPr>
          <w:rFonts w:ascii="Arial" w:hAnsi="Arial" w:cs="Arial"/>
          <w:sz w:val="20"/>
          <w:szCs w:val="20"/>
        </w:rPr>
        <w:t xml:space="preserve">3.264.279,68 </w:t>
      </w:r>
      <w:r w:rsidR="00FB5F08" w:rsidRPr="00F12DCA">
        <w:rPr>
          <w:rFonts w:ascii="Arial" w:hAnsi="Arial" w:cs="Arial"/>
          <w:sz w:val="20"/>
          <w:szCs w:val="20"/>
        </w:rPr>
        <w:t>€</w:t>
      </w:r>
      <w:r w:rsidR="006F738A" w:rsidRPr="00F12DCA">
        <w:rPr>
          <w:rFonts w:ascii="Arial" w:hAnsi="Arial" w:cs="Arial"/>
          <w:sz w:val="20"/>
          <w:szCs w:val="20"/>
        </w:rPr>
        <w:t>, a koncem 202</w:t>
      </w:r>
      <w:r w:rsidR="00AE0F83">
        <w:rPr>
          <w:rFonts w:ascii="Arial" w:hAnsi="Arial" w:cs="Arial"/>
          <w:sz w:val="20"/>
          <w:szCs w:val="20"/>
        </w:rPr>
        <w:t>5</w:t>
      </w:r>
      <w:r w:rsidR="006F738A" w:rsidRPr="00F12DCA">
        <w:rPr>
          <w:rFonts w:ascii="Arial" w:hAnsi="Arial" w:cs="Arial"/>
          <w:sz w:val="20"/>
          <w:szCs w:val="20"/>
        </w:rPr>
        <w:t xml:space="preserve">. godine iznose </w:t>
      </w:r>
      <w:bookmarkStart w:id="676" w:name="_Hlk230354402"/>
      <w:r w:rsidR="006744F0">
        <w:rPr>
          <w:rFonts w:ascii="Arial" w:hAnsi="Arial" w:cs="Arial"/>
          <w:sz w:val="20"/>
          <w:szCs w:val="20"/>
        </w:rPr>
        <w:t>5.349.824,46</w:t>
      </w:r>
      <w:r w:rsidR="006F738A" w:rsidRPr="00F12DCA">
        <w:rPr>
          <w:rFonts w:ascii="Arial" w:hAnsi="Arial" w:cs="Arial"/>
          <w:sz w:val="20"/>
          <w:szCs w:val="20"/>
        </w:rPr>
        <w:t xml:space="preserve"> </w:t>
      </w:r>
      <w:bookmarkEnd w:id="676"/>
      <w:r w:rsidR="006F738A" w:rsidRPr="00F12DCA">
        <w:rPr>
          <w:rFonts w:ascii="Arial" w:hAnsi="Arial" w:cs="Arial"/>
          <w:sz w:val="20"/>
          <w:szCs w:val="20"/>
        </w:rPr>
        <w:t>€</w:t>
      </w:r>
      <w:r w:rsidR="007E1DD5">
        <w:rPr>
          <w:rFonts w:ascii="Arial" w:hAnsi="Arial" w:cs="Arial"/>
          <w:sz w:val="20"/>
          <w:szCs w:val="20"/>
        </w:rPr>
        <w:t xml:space="preserve"> i odnose se n</w:t>
      </w:r>
      <w:r w:rsidR="00F524FD" w:rsidRPr="00F12DCA">
        <w:rPr>
          <w:rFonts w:ascii="Arial" w:hAnsi="Arial" w:cs="Arial"/>
          <w:sz w:val="20"/>
          <w:szCs w:val="20"/>
        </w:rPr>
        <w:t>a:</w:t>
      </w:r>
    </w:p>
    <w:p w14:paraId="151D8F87" w14:textId="303B46AE" w:rsidR="00121610" w:rsidRPr="00F12DCA" w:rsidRDefault="00121610" w:rsidP="00C07EC4">
      <w:pPr>
        <w:spacing w:after="0" w:line="240" w:lineRule="auto"/>
        <w:ind w:left="709"/>
        <w:rPr>
          <w:rFonts w:ascii="Arial" w:hAnsi="Arial" w:cs="Arial"/>
          <w:sz w:val="20"/>
          <w:szCs w:val="20"/>
        </w:rPr>
      </w:pPr>
      <w:r w:rsidRPr="00F12DCA">
        <w:rPr>
          <w:rFonts w:ascii="Arial" w:hAnsi="Arial" w:cs="Arial"/>
          <w:sz w:val="20"/>
          <w:szCs w:val="20"/>
        </w:rPr>
        <w:t xml:space="preserve">- </w:t>
      </w:r>
      <w:r w:rsidRPr="00F12DCA">
        <w:rPr>
          <w:rFonts w:ascii="Arial" w:hAnsi="Arial" w:cs="Arial"/>
          <w:sz w:val="20"/>
          <w:szCs w:val="20"/>
        </w:rPr>
        <w:tab/>
        <w:t xml:space="preserve">obveze za </w:t>
      </w:r>
      <w:r w:rsidR="00EE6E36" w:rsidRPr="00F12DCA">
        <w:rPr>
          <w:rFonts w:ascii="Arial" w:hAnsi="Arial" w:cs="Arial"/>
          <w:sz w:val="20"/>
          <w:szCs w:val="20"/>
        </w:rPr>
        <w:t xml:space="preserve">primljene dugoročne zajmove od HBOR-a u iznosu </w:t>
      </w:r>
      <w:bookmarkStart w:id="677" w:name="_Hlk230354389"/>
      <w:r w:rsidR="002A7E42">
        <w:rPr>
          <w:rFonts w:ascii="Arial" w:hAnsi="Arial" w:cs="Arial"/>
          <w:sz w:val="20"/>
          <w:szCs w:val="20"/>
        </w:rPr>
        <w:t>4.017.744,93</w:t>
      </w:r>
      <w:r w:rsidR="00FB5F08" w:rsidRPr="00F12DCA">
        <w:rPr>
          <w:rFonts w:ascii="Arial" w:hAnsi="Arial" w:cs="Arial"/>
          <w:sz w:val="20"/>
          <w:szCs w:val="20"/>
        </w:rPr>
        <w:t xml:space="preserve"> </w:t>
      </w:r>
      <w:bookmarkEnd w:id="677"/>
      <w:r w:rsidR="00FB5F08" w:rsidRPr="00F12DCA">
        <w:rPr>
          <w:rFonts w:ascii="Arial" w:hAnsi="Arial" w:cs="Arial"/>
          <w:sz w:val="20"/>
          <w:szCs w:val="20"/>
        </w:rPr>
        <w:t>€</w:t>
      </w:r>
    </w:p>
    <w:p w14:paraId="4FCED23A" w14:textId="09586CCE" w:rsidR="00C07EC4" w:rsidRPr="00F12DCA" w:rsidRDefault="00C07EC4" w:rsidP="00C07EC4">
      <w:pPr>
        <w:spacing w:after="0" w:line="240" w:lineRule="auto"/>
        <w:ind w:left="709"/>
        <w:rPr>
          <w:rFonts w:ascii="Arial" w:hAnsi="Arial" w:cs="Arial"/>
          <w:sz w:val="20"/>
          <w:szCs w:val="20"/>
        </w:rPr>
      </w:pPr>
      <w:r w:rsidRPr="00F12DCA">
        <w:rPr>
          <w:rFonts w:ascii="Arial" w:hAnsi="Arial" w:cs="Arial"/>
          <w:sz w:val="20"/>
          <w:szCs w:val="20"/>
        </w:rPr>
        <w:t>-</w:t>
      </w:r>
      <w:r w:rsidRPr="00F12DCA">
        <w:rPr>
          <w:rFonts w:ascii="Arial" w:hAnsi="Arial" w:cs="Arial"/>
          <w:sz w:val="20"/>
          <w:szCs w:val="20"/>
        </w:rPr>
        <w:tab/>
        <w:t>o</w:t>
      </w:r>
      <w:r w:rsidR="00F524FD" w:rsidRPr="00F12DCA">
        <w:rPr>
          <w:rFonts w:ascii="Arial" w:hAnsi="Arial" w:cs="Arial"/>
          <w:sz w:val="20"/>
          <w:szCs w:val="20"/>
        </w:rPr>
        <w:t>bveze za zajmove od državno</w:t>
      </w:r>
      <w:r w:rsidRPr="00F12DCA">
        <w:rPr>
          <w:rFonts w:ascii="Arial" w:hAnsi="Arial" w:cs="Arial"/>
          <w:sz w:val="20"/>
          <w:szCs w:val="20"/>
        </w:rPr>
        <w:t>g</w:t>
      </w:r>
      <w:r w:rsidR="00F524FD" w:rsidRPr="00F12DCA">
        <w:rPr>
          <w:rFonts w:ascii="Arial" w:hAnsi="Arial" w:cs="Arial"/>
          <w:sz w:val="20"/>
          <w:szCs w:val="20"/>
        </w:rPr>
        <w:t xml:space="preserve"> proračuna u iznosu </w:t>
      </w:r>
      <w:r w:rsidR="000F22E8" w:rsidRPr="00F12DCA">
        <w:rPr>
          <w:rFonts w:ascii="Arial" w:hAnsi="Arial" w:cs="Arial"/>
          <w:sz w:val="20"/>
          <w:szCs w:val="20"/>
        </w:rPr>
        <w:t>1.332.079,53</w:t>
      </w:r>
      <w:r w:rsidR="00FB5F08" w:rsidRPr="00F12DCA">
        <w:rPr>
          <w:rFonts w:ascii="Arial" w:hAnsi="Arial" w:cs="Arial"/>
          <w:sz w:val="20"/>
          <w:szCs w:val="20"/>
        </w:rPr>
        <w:t xml:space="preserve"> €</w:t>
      </w:r>
      <w:r w:rsidR="00FD2D62" w:rsidRPr="00F12DCA">
        <w:rPr>
          <w:rFonts w:ascii="Arial" w:hAnsi="Arial" w:cs="Arial"/>
          <w:sz w:val="20"/>
          <w:szCs w:val="20"/>
        </w:rPr>
        <w:t>.</w:t>
      </w:r>
    </w:p>
    <w:p w14:paraId="67808AFF" w14:textId="77777777" w:rsidR="00ED7A4C" w:rsidRPr="00605733" w:rsidRDefault="00ED7A4C" w:rsidP="00ED7A4C">
      <w:pPr>
        <w:autoSpaceDE w:val="0"/>
        <w:autoSpaceDN w:val="0"/>
        <w:adjustRightInd w:val="0"/>
        <w:spacing w:after="0" w:line="240" w:lineRule="auto"/>
        <w:jc w:val="both"/>
        <w:rPr>
          <w:rFonts w:ascii="Arial" w:eastAsia="Calibri" w:hAnsi="Arial" w:cs="Arial"/>
          <w:lang w:eastAsia="en-US"/>
        </w:rPr>
      </w:pPr>
    </w:p>
    <w:p w14:paraId="262C85D3" w14:textId="77777777" w:rsidR="00FD2D62" w:rsidRPr="00605733" w:rsidRDefault="00FD2D62" w:rsidP="00ED7A4C">
      <w:pPr>
        <w:autoSpaceDE w:val="0"/>
        <w:autoSpaceDN w:val="0"/>
        <w:adjustRightInd w:val="0"/>
        <w:spacing w:after="0" w:line="240" w:lineRule="auto"/>
        <w:jc w:val="both"/>
        <w:rPr>
          <w:rFonts w:ascii="Arial" w:eastAsia="Calibri" w:hAnsi="Arial" w:cs="Arial"/>
          <w:lang w:eastAsia="en-US"/>
        </w:rPr>
      </w:pPr>
    </w:p>
    <w:p w14:paraId="49614967" w14:textId="61595BDF" w:rsidR="00ED7A4C" w:rsidRPr="00605733" w:rsidRDefault="006A1FD7" w:rsidP="0052045C">
      <w:pPr>
        <w:pStyle w:val="Naslov4"/>
        <w:rPr>
          <w:rFonts w:eastAsia="Calibri"/>
          <w:lang w:val="hr-HR"/>
        </w:rPr>
      </w:pPr>
      <w:bookmarkStart w:id="678" w:name="_Toc232981496"/>
      <w:r w:rsidRPr="00605733">
        <w:rPr>
          <w:rFonts w:eastAsia="Calibri"/>
          <w:lang w:val="hr-HR"/>
        </w:rPr>
        <w:t>4</w:t>
      </w:r>
      <w:r w:rsidR="00ED7A4C" w:rsidRPr="00605733">
        <w:rPr>
          <w:rFonts w:eastAsia="Calibri"/>
          <w:lang w:val="hr-HR"/>
        </w:rPr>
        <w:t>.</w:t>
      </w:r>
      <w:r w:rsidR="00003B5B" w:rsidRPr="00605733">
        <w:rPr>
          <w:rFonts w:eastAsia="Calibri"/>
          <w:lang w:val="hr-HR"/>
        </w:rPr>
        <w:t>2</w:t>
      </w:r>
      <w:r w:rsidR="00ED7A4C" w:rsidRPr="00605733">
        <w:rPr>
          <w:rFonts w:eastAsia="Calibri"/>
          <w:lang w:val="hr-HR"/>
        </w:rPr>
        <w:t>.1.</w:t>
      </w:r>
      <w:r w:rsidR="00003B5B" w:rsidRPr="00605733">
        <w:rPr>
          <w:rFonts w:eastAsia="Calibri"/>
          <w:lang w:val="hr-HR"/>
        </w:rPr>
        <w:t>1.</w:t>
      </w:r>
      <w:r w:rsidR="00ED7A4C" w:rsidRPr="00605733">
        <w:rPr>
          <w:rFonts w:eastAsia="Calibri"/>
          <w:lang w:val="hr-HR"/>
        </w:rPr>
        <w:tab/>
        <w:t>PREGLED PRIMLJENIH KREDITA</w:t>
      </w:r>
      <w:r w:rsidR="00C40770" w:rsidRPr="00605733">
        <w:rPr>
          <w:rFonts w:eastAsia="Calibri"/>
          <w:lang w:val="hr-HR"/>
        </w:rPr>
        <w:t xml:space="preserve"> </w:t>
      </w:r>
      <w:r w:rsidR="00EE6E36" w:rsidRPr="00605733">
        <w:rPr>
          <w:rFonts w:eastAsia="Calibri"/>
          <w:lang w:val="hr-HR"/>
        </w:rPr>
        <w:t>/</w:t>
      </w:r>
      <w:r w:rsidR="00C40770" w:rsidRPr="00605733">
        <w:rPr>
          <w:rFonts w:eastAsia="Calibri"/>
          <w:lang w:val="hr-HR"/>
        </w:rPr>
        <w:t xml:space="preserve"> </w:t>
      </w:r>
      <w:r w:rsidR="00EE6E36" w:rsidRPr="00605733">
        <w:rPr>
          <w:rFonts w:eastAsia="Calibri"/>
          <w:lang w:val="hr-HR"/>
        </w:rPr>
        <w:t>ZAJMOVA</w:t>
      </w:r>
      <w:r w:rsidR="00ED7A4C" w:rsidRPr="00605733">
        <w:rPr>
          <w:rFonts w:eastAsia="Calibri"/>
          <w:lang w:val="hr-HR"/>
        </w:rPr>
        <w:t xml:space="preserve"> I OBVEZA PO KREDITIMA</w:t>
      </w:r>
      <w:r w:rsidR="00C40770" w:rsidRPr="00605733">
        <w:rPr>
          <w:rFonts w:eastAsia="Calibri"/>
          <w:lang w:val="hr-HR"/>
        </w:rPr>
        <w:t xml:space="preserve"> </w:t>
      </w:r>
      <w:r w:rsidR="00EE6E36" w:rsidRPr="00605733">
        <w:rPr>
          <w:rFonts w:eastAsia="Calibri"/>
          <w:lang w:val="hr-HR"/>
        </w:rPr>
        <w:t>/</w:t>
      </w:r>
      <w:r w:rsidR="00C40770" w:rsidRPr="00605733">
        <w:rPr>
          <w:rFonts w:eastAsia="Calibri"/>
          <w:lang w:val="hr-HR"/>
        </w:rPr>
        <w:t xml:space="preserve"> </w:t>
      </w:r>
      <w:r w:rsidR="00EE6E36" w:rsidRPr="00605733">
        <w:rPr>
          <w:rFonts w:eastAsia="Calibri"/>
          <w:lang w:val="hr-HR"/>
        </w:rPr>
        <w:t>ZAJMOVI</w:t>
      </w:r>
      <w:r w:rsidR="00BE6CDF" w:rsidRPr="00605733">
        <w:rPr>
          <w:rFonts w:eastAsia="Calibri"/>
          <w:lang w:val="hr-HR"/>
        </w:rPr>
        <w:t>M</w:t>
      </w:r>
      <w:r w:rsidR="00EE6E36" w:rsidRPr="00605733">
        <w:rPr>
          <w:rFonts w:eastAsia="Calibri"/>
          <w:lang w:val="hr-HR"/>
        </w:rPr>
        <w:t>A</w:t>
      </w:r>
      <w:r w:rsidR="00ED7A4C" w:rsidRPr="00605733">
        <w:rPr>
          <w:rFonts w:eastAsia="Calibri"/>
          <w:lang w:val="hr-HR"/>
        </w:rPr>
        <w:t xml:space="preserve"> OD FINANCIJSKIH INST</w:t>
      </w:r>
      <w:r w:rsidR="00A10E1F" w:rsidRPr="00605733">
        <w:rPr>
          <w:rFonts w:eastAsia="Calibri"/>
          <w:lang w:val="hr-HR"/>
        </w:rPr>
        <w:t>ITUCIJA</w:t>
      </w:r>
      <w:bookmarkEnd w:id="678"/>
    </w:p>
    <w:p w14:paraId="3449DC6B" w14:textId="77777777" w:rsidR="00ED7A4C" w:rsidRPr="00605733" w:rsidRDefault="00ED7A4C" w:rsidP="00ED7A4C">
      <w:pPr>
        <w:spacing w:after="0" w:line="240" w:lineRule="auto"/>
        <w:jc w:val="both"/>
        <w:rPr>
          <w:rFonts w:ascii="Arial" w:eastAsia="Calibri" w:hAnsi="Arial" w:cs="Arial"/>
          <w:lang w:eastAsia="en-US"/>
        </w:rPr>
      </w:pPr>
    </w:p>
    <w:p w14:paraId="55F13301" w14:textId="2AA95F35" w:rsidR="00A10E1F" w:rsidRPr="00EB650B" w:rsidRDefault="00A10E1F" w:rsidP="00A10E1F">
      <w:pPr>
        <w:spacing w:after="0" w:line="240" w:lineRule="auto"/>
        <w:ind w:firstLine="708"/>
        <w:jc w:val="both"/>
        <w:rPr>
          <w:rFonts w:ascii="Arial" w:eastAsia="Times New Roman" w:hAnsi="Arial" w:cs="Arial"/>
          <w:sz w:val="20"/>
          <w:szCs w:val="20"/>
          <w:lang w:eastAsia="en-US"/>
        </w:rPr>
      </w:pPr>
      <w:r w:rsidRPr="00EB650B">
        <w:rPr>
          <w:rFonts w:ascii="Arial" w:eastAsia="Times New Roman" w:hAnsi="Arial" w:cs="Arial"/>
          <w:sz w:val="20"/>
          <w:szCs w:val="20"/>
          <w:lang w:eastAsia="en-US"/>
        </w:rPr>
        <w:t>Obveze za dugoročne kredite od kreditnih institucija</w:t>
      </w:r>
      <w:r w:rsidR="00AE0F83">
        <w:rPr>
          <w:rFonts w:ascii="Arial" w:eastAsia="Times New Roman" w:hAnsi="Arial" w:cs="Arial"/>
          <w:sz w:val="20"/>
          <w:szCs w:val="20"/>
          <w:lang w:eastAsia="en-US"/>
        </w:rPr>
        <w:t xml:space="preserve"> izvan javnog sektora</w:t>
      </w:r>
      <w:r w:rsidRPr="00EB650B">
        <w:rPr>
          <w:rFonts w:ascii="Arial" w:eastAsia="Times New Roman" w:hAnsi="Arial" w:cs="Arial"/>
          <w:sz w:val="20"/>
          <w:szCs w:val="20"/>
          <w:lang w:eastAsia="en-US"/>
        </w:rPr>
        <w:t xml:space="preserve"> </w:t>
      </w:r>
      <w:r w:rsidR="00AE0F83">
        <w:rPr>
          <w:rFonts w:ascii="Arial" w:eastAsia="Times New Roman" w:hAnsi="Arial" w:cs="Arial"/>
          <w:sz w:val="20"/>
          <w:szCs w:val="20"/>
          <w:lang w:eastAsia="en-US"/>
        </w:rPr>
        <w:t xml:space="preserve">početkom 2025. su iznosile 219.229,24 </w:t>
      </w:r>
      <w:r w:rsidR="00FB5F08" w:rsidRPr="00EB650B">
        <w:rPr>
          <w:rFonts w:ascii="Arial" w:hAnsi="Arial" w:cs="Arial"/>
          <w:sz w:val="20"/>
          <w:szCs w:val="20"/>
        </w:rPr>
        <w:t>€</w:t>
      </w:r>
      <w:r w:rsidR="00AE0F83">
        <w:rPr>
          <w:rFonts w:ascii="Arial" w:eastAsia="Times New Roman" w:hAnsi="Arial" w:cs="Arial"/>
          <w:sz w:val="20"/>
          <w:szCs w:val="20"/>
          <w:lang w:eastAsia="en-US"/>
        </w:rPr>
        <w:t xml:space="preserve">, a </w:t>
      </w:r>
      <w:r w:rsidRPr="00EB650B">
        <w:rPr>
          <w:rFonts w:ascii="Arial" w:eastAsia="Times New Roman" w:hAnsi="Arial" w:cs="Arial"/>
          <w:sz w:val="20"/>
          <w:szCs w:val="20"/>
          <w:lang w:eastAsia="en-US"/>
        </w:rPr>
        <w:t>odnos</w:t>
      </w:r>
      <w:r w:rsidR="00AE0F83">
        <w:rPr>
          <w:rFonts w:ascii="Arial" w:eastAsia="Times New Roman" w:hAnsi="Arial" w:cs="Arial"/>
          <w:sz w:val="20"/>
          <w:szCs w:val="20"/>
          <w:lang w:eastAsia="en-US"/>
        </w:rPr>
        <w:t xml:space="preserve">ile su se </w:t>
      </w:r>
      <w:r w:rsidRPr="00EB650B">
        <w:rPr>
          <w:rFonts w:ascii="Arial" w:eastAsia="Times New Roman" w:hAnsi="Arial" w:cs="Arial"/>
          <w:sz w:val="20"/>
          <w:szCs w:val="20"/>
          <w:lang w:eastAsia="en-US"/>
        </w:rPr>
        <w:t>na ugovor o dugoročnom kreditu iz 2013. godine koji je iskorišten za izgradnju doma za starije i nemoćne osobe.</w:t>
      </w:r>
      <w:r w:rsidR="00AE0F83">
        <w:rPr>
          <w:rFonts w:ascii="Arial" w:eastAsia="Times New Roman" w:hAnsi="Arial" w:cs="Arial"/>
          <w:sz w:val="20"/>
          <w:szCs w:val="20"/>
          <w:lang w:eastAsia="en-US"/>
        </w:rPr>
        <w:t xml:space="preserve"> Ovaj kredit je u cijelosti otplaćen u travnju 2025.</w:t>
      </w:r>
    </w:p>
    <w:p w14:paraId="213EA3E7" w14:textId="40231F77" w:rsidR="00A10E1F" w:rsidRPr="00EB650B" w:rsidRDefault="00A10E1F" w:rsidP="00A10E1F">
      <w:pPr>
        <w:spacing w:after="0" w:line="240" w:lineRule="auto"/>
        <w:jc w:val="both"/>
        <w:rPr>
          <w:rFonts w:ascii="Arial" w:eastAsia="Times New Roman" w:hAnsi="Arial" w:cs="Arial"/>
          <w:sz w:val="20"/>
          <w:szCs w:val="20"/>
          <w:lang w:eastAsia="en-US"/>
        </w:rPr>
      </w:pPr>
    </w:p>
    <w:p w14:paraId="546B1CD7" w14:textId="77777777" w:rsidR="001128ED" w:rsidRDefault="00AE0F83" w:rsidP="000F22E8">
      <w:pPr>
        <w:spacing w:after="0" w:line="240" w:lineRule="auto"/>
        <w:ind w:firstLine="708"/>
        <w:jc w:val="both"/>
        <w:rPr>
          <w:rFonts w:ascii="Arial" w:eastAsia="Times New Roman" w:hAnsi="Arial" w:cs="Arial"/>
          <w:sz w:val="20"/>
          <w:szCs w:val="20"/>
          <w:lang w:eastAsia="en-US"/>
        </w:rPr>
      </w:pPr>
      <w:r>
        <w:rPr>
          <w:rFonts w:ascii="Arial" w:eastAsia="Times New Roman" w:hAnsi="Arial" w:cs="Arial"/>
          <w:sz w:val="20"/>
          <w:szCs w:val="20"/>
          <w:lang w:eastAsia="en-US"/>
        </w:rPr>
        <w:t>Pored navedenog, Općina</w:t>
      </w:r>
      <w:r w:rsidR="001128ED">
        <w:rPr>
          <w:rFonts w:ascii="Arial" w:eastAsia="Times New Roman" w:hAnsi="Arial" w:cs="Arial"/>
          <w:sz w:val="20"/>
          <w:szCs w:val="20"/>
          <w:lang w:eastAsia="en-US"/>
        </w:rPr>
        <w:t xml:space="preserve"> ima kreditno zaduživanje na temelju dvije suglasnosti za zaduživanje kod Hrvatske banke za obnovu i razvitak (HBOR), a to su:</w:t>
      </w:r>
    </w:p>
    <w:p w14:paraId="71A34BA5" w14:textId="6D135BCC" w:rsidR="000F22E8" w:rsidRDefault="001128ED" w:rsidP="001128ED">
      <w:pPr>
        <w:spacing w:after="0" w:line="240" w:lineRule="auto"/>
        <w:ind w:left="709" w:hanging="709"/>
        <w:jc w:val="both"/>
        <w:rPr>
          <w:rFonts w:ascii="Arial" w:eastAsia="Times New Roman" w:hAnsi="Arial" w:cs="Arial"/>
          <w:sz w:val="20"/>
          <w:szCs w:val="20"/>
          <w:lang w:eastAsia="en-US"/>
        </w:rPr>
      </w:pPr>
      <w:r>
        <w:rPr>
          <w:rFonts w:ascii="Arial" w:eastAsia="Times New Roman" w:hAnsi="Arial" w:cs="Arial"/>
          <w:sz w:val="20"/>
          <w:szCs w:val="20"/>
          <w:lang w:eastAsia="en-US"/>
        </w:rPr>
        <w:t>a)</w:t>
      </w:r>
      <w:r>
        <w:rPr>
          <w:rFonts w:ascii="Arial" w:eastAsia="Times New Roman" w:hAnsi="Arial" w:cs="Arial"/>
          <w:sz w:val="20"/>
          <w:szCs w:val="20"/>
          <w:lang w:eastAsia="en-US"/>
        </w:rPr>
        <w:tab/>
      </w:r>
      <w:r w:rsidR="000F22E8" w:rsidRPr="00EB650B">
        <w:rPr>
          <w:rFonts w:ascii="Arial" w:eastAsia="Times New Roman" w:hAnsi="Arial" w:cs="Arial"/>
          <w:sz w:val="20"/>
          <w:szCs w:val="20"/>
          <w:lang w:eastAsia="en-US"/>
        </w:rPr>
        <w:t>U prosincu 2021. ministar financija je da suglasnost za zaduživanje za izgradnju vatrogasnog doma i nabavu vatrogasnog vozila i opreme do 8.400.000 kn odnosno 1.114.871,59 €. Ugovor o kreditu je zaključen u ožujku 2022. Do konca 2022. iskorištena su sredstva ovog kredita (HBOR) u cijelosti</w:t>
      </w:r>
      <w:r>
        <w:rPr>
          <w:rFonts w:ascii="Arial" w:eastAsia="Times New Roman" w:hAnsi="Arial" w:cs="Arial"/>
          <w:sz w:val="20"/>
          <w:szCs w:val="20"/>
          <w:lang w:eastAsia="en-US"/>
        </w:rPr>
        <w:t>.</w:t>
      </w:r>
    </w:p>
    <w:p w14:paraId="0F0A3289" w14:textId="66AAB9CF" w:rsidR="003D18D4" w:rsidRDefault="001128ED" w:rsidP="001128ED">
      <w:pPr>
        <w:spacing w:after="0" w:line="240" w:lineRule="auto"/>
        <w:ind w:left="709" w:hanging="709"/>
        <w:jc w:val="both"/>
        <w:rPr>
          <w:rFonts w:ascii="Arial" w:eastAsia="Times New Roman" w:hAnsi="Arial" w:cs="Arial"/>
          <w:sz w:val="20"/>
          <w:szCs w:val="20"/>
          <w:lang w:eastAsia="en-US"/>
        </w:rPr>
      </w:pPr>
      <w:r>
        <w:rPr>
          <w:rFonts w:ascii="Arial" w:eastAsia="Times New Roman" w:hAnsi="Arial" w:cs="Arial"/>
          <w:sz w:val="20"/>
          <w:szCs w:val="20"/>
          <w:lang w:eastAsia="en-US"/>
        </w:rPr>
        <w:t>b)</w:t>
      </w:r>
      <w:r>
        <w:rPr>
          <w:rFonts w:ascii="Arial" w:eastAsia="Times New Roman" w:hAnsi="Arial" w:cs="Arial"/>
          <w:sz w:val="20"/>
          <w:szCs w:val="20"/>
          <w:lang w:eastAsia="en-US"/>
        </w:rPr>
        <w:tab/>
      </w:r>
      <w:r w:rsidR="00D04BFF" w:rsidRPr="00EB650B">
        <w:rPr>
          <w:rFonts w:ascii="Arial" w:eastAsia="Times New Roman" w:hAnsi="Arial" w:cs="Arial"/>
          <w:sz w:val="20"/>
          <w:szCs w:val="20"/>
          <w:lang w:eastAsia="en-US"/>
        </w:rPr>
        <w:t xml:space="preserve">Vlada Republike Hrvatske je 25. kolovoza 2022. godine dala suglasnost Općini Konavale za zaduživanje za </w:t>
      </w:r>
      <w:r w:rsidR="00D039EE" w:rsidRPr="00EB650B">
        <w:rPr>
          <w:rFonts w:ascii="Arial" w:eastAsia="Times New Roman" w:hAnsi="Arial" w:cs="Arial"/>
          <w:sz w:val="20"/>
          <w:szCs w:val="20"/>
          <w:lang w:eastAsia="en-US"/>
        </w:rPr>
        <w:t>projekt modernizacije javne rasvjete – unapređenje energetske učinkovitosti</w:t>
      </w:r>
      <w:r w:rsidR="00941216" w:rsidRPr="00EB650B">
        <w:rPr>
          <w:rFonts w:ascii="Arial" w:eastAsia="Times New Roman" w:hAnsi="Arial" w:cs="Arial"/>
          <w:sz w:val="20"/>
          <w:szCs w:val="20"/>
          <w:lang w:eastAsia="en-US"/>
        </w:rPr>
        <w:t xml:space="preserve"> u iznosu 8.900.000 kn kod HBOR s rokom otplate kredita od sedam i</w:t>
      </w:r>
      <w:r w:rsidR="006F738A" w:rsidRPr="00EB650B">
        <w:rPr>
          <w:rFonts w:ascii="Arial" w:eastAsia="Times New Roman" w:hAnsi="Arial" w:cs="Arial"/>
          <w:sz w:val="20"/>
          <w:szCs w:val="20"/>
          <w:lang w:eastAsia="en-US"/>
        </w:rPr>
        <w:t xml:space="preserve"> </w:t>
      </w:r>
      <w:r w:rsidR="00941216" w:rsidRPr="00EB650B">
        <w:rPr>
          <w:rFonts w:ascii="Arial" w:eastAsia="Times New Roman" w:hAnsi="Arial" w:cs="Arial"/>
          <w:sz w:val="20"/>
          <w:szCs w:val="20"/>
          <w:lang w:eastAsia="en-US"/>
        </w:rPr>
        <w:t>pol godina uključujući poček od pola godine u jednakim tromjesečnim ratama, uz fiksnu kamatnu stopu 0,5% godišnje (nema naknade za odobravanje kredita)</w:t>
      </w:r>
      <w:r w:rsidR="00410E09">
        <w:rPr>
          <w:rFonts w:ascii="Arial" w:eastAsia="Times New Roman" w:hAnsi="Arial" w:cs="Arial"/>
          <w:sz w:val="20"/>
          <w:szCs w:val="20"/>
          <w:lang w:eastAsia="en-US"/>
        </w:rPr>
        <w:t>.</w:t>
      </w:r>
      <w:r w:rsidR="002A7E42">
        <w:rPr>
          <w:rFonts w:ascii="Arial" w:eastAsia="Times New Roman" w:hAnsi="Arial" w:cs="Arial"/>
          <w:sz w:val="20"/>
          <w:szCs w:val="20"/>
          <w:lang w:eastAsia="en-US"/>
        </w:rPr>
        <w:t xml:space="preserve"> O</w:t>
      </w:r>
      <w:r w:rsidR="00941216" w:rsidRPr="00EB650B">
        <w:rPr>
          <w:rFonts w:ascii="Arial" w:eastAsia="Times New Roman" w:hAnsi="Arial" w:cs="Arial"/>
          <w:sz w:val="20"/>
          <w:szCs w:val="20"/>
          <w:lang w:eastAsia="en-US"/>
        </w:rPr>
        <w:t>pćinsko vijeće je odobrilo zaduživanje u lipnju 2022. Ugovor o kreditu je</w:t>
      </w:r>
      <w:r w:rsidR="00A61B27" w:rsidRPr="00EB650B">
        <w:rPr>
          <w:rFonts w:ascii="Arial" w:eastAsia="Times New Roman" w:hAnsi="Arial" w:cs="Arial"/>
          <w:sz w:val="20"/>
          <w:szCs w:val="20"/>
          <w:lang w:eastAsia="en-US"/>
        </w:rPr>
        <w:t xml:space="preserve"> zaključen u prosincu 2022. </w:t>
      </w:r>
      <w:r w:rsidR="00D039EE" w:rsidRPr="00EB650B">
        <w:rPr>
          <w:rFonts w:ascii="Arial" w:eastAsia="Times New Roman" w:hAnsi="Arial" w:cs="Arial"/>
          <w:sz w:val="20"/>
          <w:szCs w:val="20"/>
          <w:lang w:eastAsia="en-US"/>
        </w:rPr>
        <w:t>(kredit ne ulazi u stupanj zaduženosti jer spada u kategoriju povećanja energetske učinkovitosti)</w:t>
      </w:r>
      <w:r w:rsidR="00A61B27" w:rsidRPr="00EB650B">
        <w:rPr>
          <w:rFonts w:ascii="Arial" w:eastAsia="Times New Roman" w:hAnsi="Arial" w:cs="Arial"/>
          <w:sz w:val="20"/>
          <w:szCs w:val="20"/>
          <w:lang w:eastAsia="en-US"/>
        </w:rPr>
        <w:t>. Predujam za kredit u iznosu 850.000 € je iskorišten u prosincu 2023. godine.</w:t>
      </w:r>
    </w:p>
    <w:p w14:paraId="5266B074" w14:textId="1D5338CE" w:rsidR="007E493D" w:rsidRDefault="002A7E42" w:rsidP="007E493D">
      <w:pPr>
        <w:spacing w:after="0" w:line="240" w:lineRule="auto"/>
        <w:ind w:left="709" w:hanging="709"/>
        <w:jc w:val="both"/>
        <w:rPr>
          <w:rFonts w:ascii="Arial" w:eastAsia="Times New Roman" w:hAnsi="Arial" w:cs="Arial"/>
          <w:sz w:val="20"/>
          <w:szCs w:val="20"/>
          <w:lang w:eastAsia="en-US"/>
        </w:rPr>
      </w:pPr>
      <w:r>
        <w:rPr>
          <w:rFonts w:ascii="Arial" w:eastAsia="Times New Roman" w:hAnsi="Arial" w:cs="Arial"/>
          <w:sz w:val="20"/>
          <w:szCs w:val="20"/>
          <w:lang w:eastAsia="en-US"/>
        </w:rPr>
        <w:t>c)</w:t>
      </w:r>
      <w:r>
        <w:rPr>
          <w:rFonts w:ascii="Arial" w:eastAsia="Times New Roman" w:hAnsi="Arial" w:cs="Arial"/>
          <w:sz w:val="20"/>
          <w:szCs w:val="20"/>
          <w:lang w:eastAsia="en-US"/>
        </w:rPr>
        <w:tab/>
      </w:r>
      <w:r w:rsidR="007E493D" w:rsidRPr="00EB650B">
        <w:rPr>
          <w:rFonts w:ascii="Arial" w:eastAsia="Times New Roman" w:hAnsi="Arial" w:cs="Arial"/>
          <w:sz w:val="20"/>
          <w:szCs w:val="20"/>
          <w:lang w:eastAsia="en-US"/>
        </w:rPr>
        <w:t>Vlada Republike Hrvatske je 2</w:t>
      </w:r>
      <w:r w:rsidR="007E493D">
        <w:rPr>
          <w:rFonts w:ascii="Arial" w:eastAsia="Times New Roman" w:hAnsi="Arial" w:cs="Arial"/>
          <w:sz w:val="20"/>
          <w:szCs w:val="20"/>
          <w:lang w:eastAsia="en-US"/>
        </w:rPr>
        <w:t>1</w:t>
      </w:r>
      <w:r w:rsidR="007E493D" w:rsidRPr="00EB650B">
        <w:rPr>
          <w:rFonts w:ascii="Arial" w:eastAsia="Times New Roman" w:hAnsi="Arial" w:cs="Arial"/>
          <w:sz w:val="20"/>
          <w:szCs w:val="20"/>
          <w:lang w:eastAsia="en-US"/>
        </w:rPr>
        <w:t>. kolovoza 202</w:t>
      </w:r>
      <w:r w:rsidR="007E493D">
        <w:rPr>
          <w:rFonts w:ascii="Arial" w:eastAsia="Times New Roman" w:hAnsi="Arial" w:cs="Arial"/>
          <w:sz w:val="20"/>
          <w:szCs w:val="20"/>
          <w:lang w:eastAsia="en-US"/>
        </w:rPr>
        <w:t>5</w:t>
      </w:r>
      <w:r w:rsidR="007E493D" w:rsidRPr="00EB650B">
        <w:rPr>
          <w:rFonts w:ascii="Arial" w:eastAsia="Times New Roman" w:hAnsi="Arial" w:cs="Arial"/>
          <w:sz w:val="20"/>
          <w:szCs w:val="20"/>
          <w:lang w:eastAsia="en-US"/>
        </w:rPr>
        <w:t xml:space="preserve">. godine dala suglasnost Općini Konavale za zaduživanje za projekt </w:t>
      </w:r>
      <w:r w:rsidR="007E493D">
        <w:rPr>
          <w:rFonts w:ascii="Arial" w:eastAsia="Times New Roman" w:hAnsi="Arial" w:cs="Arial"/>
          <w:sz w:val="20"/>
          <w:szCs w:val="20"/>
          <w:lang w:eastAsia="en-US"/>
        </w:rPr>
        <w:t>izgradnje nove osnovne škole u Cavtatu  trodijelnom dvoranom i cestom u okviru škole</w:t>
      </w:r>
      <w:r w:rsidR="007E493D" w:rsidRPr="00EB650B">
        <w:rPr>
          <w:rFonts w:ascii="Arial" w:eastAsia="Times New Roman" w:hAnsi="Arial" w:cs="Arial"/>
          <w:sz w:val="20"/>
          <w:szCs w:val="20"/>
          <w:lang w:eastAsia="en-US"/>
        </w:rPr>
        <w:t xml:space="preserve"> u iznosu </w:t>
      </w:r>
      <w:r w:rsidR="007E493D">
        <w:rPr>
          <w:rFonts w:ascii="Arial" w:eastAsia="Times New Roman" w:hAnsi="Arial" w:cs="Arial"/>
          <w:sz w:val="20"/>
          <w:szCs w:val="20"/>
          <w:lang w:eastAsia="en-US"/>
        </w:rPr>
        <w:t>16.000.000 €</w:t>
      </w:r>
      <w:r w:rsidR="007E493D" w:rsidRPr="00EB650B">
        <w:rPr>
          <w:rFonts w:ascii="Arial" w:eastAsia="Times New Roman" w:hAnsi="Arial" w:cs="Arial"/>
          <w:sz w:val="20"/>
          <w:szCs w:val="20"/>
          <w:lang w:eastAsia="en-US"/>
        </w:rPr>
        <w:t xml:space="preserve"> kod HBOR s rokom otplate kredita od </w:t>
      </w:r>
      <w:r w:rsidR="007E493D">
        <w:rPr>
          <w:rFonts w:ascii="Arial" w:eastAsia="Times New Roman" w:hAnsi="Arial" w:cs="Arial"/>
          <w:sz w:val="20"/>
          <w:szCs w:val="20"/>
          <w:lang w:eastAsia="en-US"/>
        </w:rPr>
        <w:t>12</w:t>
      </w:r>
      <w:r w:rsidR="007E493D" w:rsidRPr="00EB650B">
        <w:rPr>
          <w:rFonts w:ascii="Arial" w:eastAsia="Times New Roman" w:hAnsi="Arial" w:cs="Arial"/>
          <w:sz w:val="20"/>
          <w:szCs w:val="20"/>
          <w:lang w:eastAsia="en-US"/>
        </w:rPr>
        <w:t xml:space="preserve"> godina uključujući poček od </w:t>
      </w:r>
      <w:r w:rsidR="007E493D">
        <w:rPr>
          <w:rFonts w:ascii="Arial" w:eastAsia="Times New Roman" w:hAnsi="Arial" w:cs="Arial"/>
          <w:sz w:val="20"/>
          <w:szCs w:val="20"/>
          <w:lang w:eastAsia="en-US"/>
        </w:rPr>
        <w:t>dvije</w:t>
      </w:r>
      <w:r w:rsidR="007E493D" w:rsidRPr="00EB650B">
        <w:rPr>
          <w:rFonts w:ascii="Arial" w:eastAsia="Times New Roman" w:hAnsi="Arial" w:cs="Arial"/>
          <w:sz w:val="20"/>
          <w:szCs w:val="20"/>
          <w:lang w:eastAsia="en-US"/>
        </w:rPr>
        <w:t xml:space="preserve"> godine u jednakim tromjesečnim ratama, uz fiksnu kamatnu stopu </w:t>
      </w:r>
      <w:r w:rsidR="007E493D">
        <w:rPr>
          <w:rFonts w:ascii="Arial" w:eastAsia="Times New Roman" w:hAnsi="Arial" w:cs="Arial"/>
          <w:sz w:val="20"/>
          <w:szCs w:val="20"/>
          <w:lang w:eastAsia="en-US"/>
        </w:rPr>
        <w:t>3,14</w:t>
      </w:r>
      <w:r w:rsidR="007E493D" w:rsidRPr="00EB650B">
        <w:rPr>
          <w:rFonts w:ascii="Arial" w:eastAsia="Times New Roman" w:hAnsi="Arial" w:cs="Arial"/>
          <w:sz w:val="20"/>
          <w:szCs w:val="20"/>
          <w:lang w:eastAsia="en-US"/>
        </w:rPr>
        <w:t xml:space="preserve">% godišnje </w:t>
      </w:r>
      <w:r w:rsidR="00410E09">
        <w:rPr>
          <w:rFonts w:ascii="Arial" w:eastAsia="Times New Roman" w:hAnsi="Arial" w:cs="Arial"/>
          <w:sz w:val="20"/>
          <w:szCs w:val="20"/>
          <w:lang w:eastAsia="en-US"/>
        </w:rPr>
        <w:t>i jednokratnu naknadu za obradu zahtjeva 0,20% od odobrenog iznosa kredita.</w:t>
      </w:r>
      <w:r w:rsidR="007E493D">
        <w:rPr>
          <w:rFonts w:ascii="Arial" w:eastAsia="Times New Roman" w:hAnsi="Arial" w:cs="Arial"/>
          <w:sz w:val="20"/>
          <w:szCs w:val="20"/>
          <w:lang w:eastAsia="en-US"/>
        </w:rPr>
        <w:t xml:space="preserve"> O</w:t>
      </w:r>
      <w:r w:rsidR="007E493D" w:rsidRPr="00EB650B">
        <w:rPr>
          <w:rFonts w:ascii="Arial" w:eastAsia="Times New Roman" w:hAnsi="Arial" w:cs="Arial"/>
          <w:sz w:val="20"/>
          <w:szCs w:val="20"/>
          <w:lang w:eastAsia="en-US"/>
        </w:rPr>
        <w:t xml:space="preserve">pćinsko vijeće je odobrilo zaduživanje u </w:t>
      </w:r>
      <w:r w:rsidR="00410E09">
        <w:rPr>
          <w:rFonts w:ascii="Arial" w:eastAsia="Times New Roman" w:hAnsi="Arial" w:cs="Arial"/>
          <w:sz w:val="20"/>
          <w:szCs w:val="20"/>
          <w:lang w:eastAsia="en-US"/>
        </w:rPr>
        <w:t>ožujku</w:t>
      </w:r>
      <w:r w:rsidR="007E493D" w:rsidRPr="00EB650B">
        <w:rPr>
          <w:rFonts w:ascii="Arial" w:eastAsia="Times New Roman" w:hAnsi="Arial" w:cs="Arial"/>
          <w:sz w:val="20"/>
          <w:szCs w:val="20"/>
          <w:lang w:eastAsia="en-US"/>
        </w:rPr>
        <w:t xml:space="preserve"> 202</w:t>
      </w:r>
      <w:r w:rsidR="00410E09">
        <w:rPr>
          <w:rFonts w:ascii="Arial" w:eastAsia="Times New Roman" w:hAnsi="Arial" w:cs="Arial"/>
          <w:sz w:val="20"/>
          <w:szCs w:val="20"/>
          <w:lang w:eastAsia="en-US"/>
        </w:rPr>
        <w:t>5</w:t>
      </w:r>
      <w:r w:rsidR="007E493D" w:rsidRPr="00EB650B">
        <w:rPr>
          <w:rFonts w:ascii="Arial" w:eastAsia="Times New Roman" w:hAnsi="Arial" w:cs="Arial"/>
          <w:sz w:val="20"/>
          <w:szCs w:val="20"/>
          <w:lang w:eastAsia="en-US"/>
        </w:rPr>
        <w:t xml:space="preserve">. Ugovor o kreditu je zaključen u </w:t>
      </w:r>
      <w:r w:rsidR="00410E09">
        <w:rPr>
          <w:rFonts w:ascii="Arial" w:eastAsia="Times New Roman" w:hAnsi="Arial" w:cs="Arial"/>
          <w:sz w:val="20"/>
          <w:szCs w:val="20"/>
          <w:lang w:eastAsia="en-US"/>
        </w:rPr>
        <w:t>rujnu</w:t>
      </w:r>
      <w:r w:rsidR="007E493D" w:rsidRPr="00EB650B">
        <w:rPr>
          <w:rFonts w:ascii="Arial" w:eastAsia="Times New Roman" w:hAnsi="Arial" w:cs="Arial"/>
          <w:sz w:val="20"/>
          <w:szCs w:val="20"/>
          <w:lang w:eastAsia="en-US"/>
        </w:rPr>
        <w:t xml:space="preserve"> 202</w:t>
      </w:r>
      <w:r w:rsidR="00410E09">
        <w:rPr>
          <w:rFonts w:ascii="Arial" w:eastAsia="Times New Roman" w:hAnsi="Arial" w:cs="Arial"/>
          <w:sz w:val="20"/>
          <w:szCs w:val="20"/>
          <w:lang w:eastAsia="en-US"/>
        </w:rPr>
        <w:t>5</w:t>
      </w:r>
      <w:r w:rsidR="007E493D" w:rsidRPr="00EB650B">
        <w:rPr>
          <w:rFonts w:ascii="Arial" w:eastAsia="Times New Roman" w:hAnsi="Arial" w:cs="Arial"/>
          <w:sz w:val="20"/>
          <w:szCs w:val="20"/>
          <w:lang w:eastAsia="en-US"/>
        </w:rPr>
        <w:t xml:space="preserve">. </w:t>
      </w:r>
      <w:r w:rsidR="00410E09">
        <w:rPr>
          <w:rFonts w:ascii="Arial" w:eastAsia="Times New Roman" w:hAnsi="Arial" w:cs="Arial"/>
          <w:sz w:val="20"/>
          <w:szCs w:val="20"/>
          <w:lang w:eastAsia="en-US"/>
        </w:rPr>
        <w:t xml:space="preserve">Do konca 2025. godine kredit je iskorišten </w:t>
      </w:r>
      <w:r w:rsidR="007E493D" w:rsidRPr="00EB650B">
        <w:rPr>
          <w:rFonts w:ascii="Arial" w:eastAsia="Times New Roman" w:hAnsi="Arial" w:cs="Arial"/>
          <w:sz w:val="20"/>
          <w:szCs w:val="20"/>
          <w:lang w:eastAsia="en-US"/>
        </w:rPr>
        <w:t xml:space="preserve">u </w:t>
      </w:r>
      <w:r w:rsidR="00410E09">
        <w:rPr>
          <w:rFonts w:ascii="Arial" w:eastAsia="Times New Roman" w:hAnsi="Arial" w:cs="Arial"/>
          <w:sz w:val="20"/>
          <w:szCs w:val="20"/>
          <w:lang w:eastAsia="en-US"/>
        </w:rPr>
        <w:t xml:space="preserve">iznosu 3.079.325,13 €. </w:t>
      </w:r>
    </w:p>
    <w:p w14:paraId="1B09D07B" w14:textId="488C296F" w:rsidR="002A7E42" w:rsidRPr="00EB650B" w:rsidRDefault="002A7E42" w:rsidP="001128ED">
      <w:pPr>
        <w:spacing w:after="0" w:line="240" w:lineRule="auto"/>
        <w:ind w:left="709" w:hanging="709"/>
        <w:jc w:val="both"/>
        <w:rPr>
          <w:rFonts w:ascii="Arial" w:eastAsia="Times New Roman" w:hAnsi="Arial" w:cs="Arial"/>
          <w:sz w:val="20"/>
          <w:szCs w:val="20"/>
          <w:lang w:eastAsia="en-US"/>
        </w:rPr>
      </w:pPr>
    </w:p>
    <w:p w14:paraId="3FBADDA6" w14:textId="77777777" w:rsidR="003D18D4" w:rsidRPr="00605733" w:rsidRDefault="003D18D4" w:rsidP="00A10E1F">
      <w:pPr>
        <w:spacing w:after="0" w:line="240" w:lineRule="auto"/>
        <w:jc w:val="both"/>
        <w:rPr>
          <w:rFonts w:ascii="Arial" w:eastAsia="Times New Roman" w:hAnsi="Arial" w:cs="Arial"/>
          <w:lang w:eastAsia="en-US"/>
        </w:rPr>
      </w:pPr>
    </w:p>
    <w:p w14:paraId="46AA619A" w14:textId="77777777" w:rsidR="003D18D4" w:rsidRPr="00605733" w:rsidRDefault="003D18D4" w:rsidP="00A10E1F">
      <w:pPr>
        <w:spacing w:after="0" w:line="240" w:lineRule="auto"/>
        <w:jc w:val="both"/>
        <w:rPr>
          <w:rFonts w:ascii="Arial" w:eastAsia="Times New Roman" w:hAnsi="Arial" w:cs="Arial"/>
          <w:lang w:eastAsia="en-US"/>
        </w:rPr>
      </w:pPr>
    </w:p>
    <w:p w14:paraId="30A3E9B1" w14:textId="77777777" w:rsidR="003D18D4" w:rsidRPr="00605733" w:rsidRDefault="003D18D4" w:rsidP="00A10E1F">
      <w:pPr>
        <w:spacing w:after="0" w:line="240" w:lineRule="auto"/>
        <w:jc w:val="both"/>
        <w:rPr>
          <w:rFonts w:ascii="Arial" w:eastAsia="Times New Roman" w:hAnsi="Arial" w:cs="Arial"/>
          <w:lang w:eastAsia="en-US"/>
        </w:rPr>
      </w:pPr>
    </w:p>
    <w:p w14:paraId="2325A9F8" w14:textId="77777777" w:rsidR="003D18D4" w:rsidRPr="00605733" w:rsidRDefault="003D18D4" w:rsidP="00A10E1F">
      <w:pPr>
        <w:spacing w:after="0" w:line="240" w:lineRule="auto"/>
        <w:jc w:val="both"/>
        <w:rPr>
          <w:rFonts w:ascii="Arial" w:eastAsia="Times New Roman" w:hAnsi="Arial" w:cs="Arial"/>
          <w:lang w:eastAsia="en-US"/>
        </w:rPr>
      </w:pPr>
    </w:p>
    <w:bookmarkEnd w:id="673"/>
    <w:p w14:paraId="7CF02B52" w14:textId="77777777" w:rsidR="003D18D4" w:rsidRPr="00605733" w:rsidRDefault="003D18D4" w:rsidP="00A10E1F">
      <w:pPr>
        <w:spacing w:after="0" w:line="240" w:lineRule="auto"/>
        <w:jc w:val="both"/>
        <w:rPr>
          <w:rFonts w:ascii="Arial" w:eastAsia="Times New Roman" w:hAnsi="Arial" w:cs="Arial"/>
          <w:lang w:eastAsia="en-US"/>
        </w:rPr>
      </w:pPr>
    </w:p>
    <w:p w14:paraId="0E0D9E7B" w14:textId="77777777" w:rsidR="004A3A42" w:rsidRDefault="004A3A42" w:rsidP="00A10E1F">
      <w:pPr>
        <w:spacing w:after="0" w:line="240" w:lineRule="auto"/>
        <w:jc w:val="both"/>
        <w:rPr>
          <w:rFonts w:ascii="Arial" w:eastAsia="Times New Roman" w:hAnsi="Arial" w:cs="Arial"/>
          <w:lang w:eastAsia="en-US"/>
        </w:rPr>
      </w:pPr>
    </w:p>
    <w:p w14:paraId="50DE8EB7" w14:textId="77777777" w:rsidR="0012128A" w:rsidRDefault="0012128A" w:rsidP="00A10E1F">
      <w:pPr>
        <w:spacing w:after="0" w:line="240" w:lineRule="auto"/>
        <w:jc w:val="both"/>
        <w:rPr>
          <w:rFonts w:ascii="Arial" w:eastAsia="Times New Roman" w:hAnsi="Arial" w:cs="Arial"/>
          <w:lang w:eastAsia="en-US"/>
        </w:rPr>
      </w:pPr>
    </w:p>
    <w:p w14:paraId="361060AA" w14:textId="77777777" w:rsidR="0012128A" w:rsidRPr="00605733" w:rsidRDefault="0012128A" w:rsidP="00A10E1F">
      <w:pPr>
        <w:spacing w:after="0" w:line="240" w:lineRule="auto"/>
        <w:jc w:val="both"/>
        <w:rPr>
          <w:rFonts w:ascii="Arial" w:eastAsia="Times New Roman" w:hAnsi="Arial" w:cs="Arial"/>
          <w:lang w:eastAsia="en-US"/>
        </w:rPr>
      </w:pPr>
    </w:p>
    <w:p w14:paraId="270C3AFB" w14:textId="2D91B94D" w:rsidR="00D843C5" w:rsidRPr="006D647D" w:rsidRDefault="00892B2C" w:rsidP="00892B2C">
      <w:pPr>
        <w:pStyle w:val="Opisslike"/>
        <w:keepNext/>
        <w:jc w:val="both"/>
        <w:rPr>
          <w:rFonts w:ascii="Arial" w:hAnsi="Arial" w:cs="Arial"/>
          <w:bCs w:val="0"/>
          <w:iCs/>
        </w:rPr>
      </w:pPr>
      <w:bookmarkStart w:id="679" w:name="_Toc232981545"/>
      <w:r w:rsidRPr="00731E7F">
        <w:rPr>
          <w:color w:val="C00000"/>
        </w:rPr>
        <w:lastRenderedPageBreak/>
        <w:t xml:space="preserve">Tablica </w:t>
      </w:r>
      <w:r w:rsidR="002A3DE2" w:rsidRPr="00731E7F">
        <w:rPr>
          <w:color w:val="C00000"/>
        </w:rPr>
        <w:fldChar w:fldCharType="begin"/>
      </w:r>
      <w:r w:rsidR="002A3DE2" w:rsidRPr="00731E7F">
        <w:rPr>
          <w:color w:val="C00000"/>
        </w:rPr>
        <w:instrText xml:space="preserve"> SEQ Tablica \* ARABIC </w:instrText>
      </w:r>
      <w:r w:rsidR="002A3DE2" w:rsidRPr="00731E7F">
        <w:rPr>
          <w:color w:val="C00000"/>
        </w:rPr>
        <w:fldChar w:fldCharType="separate"/>
      </w:r>
      <w:r w:rsidR="00A821D8">
        <w:rPr>
          <w:noProof/>
          <w:color w:val="C00000"/>
        </w:rPr>
        <w:t>26</w:t>
      </w:r>
      <w:r w:rsidR="002A3DE2" w:rsidRPr="00731E7F">
        <w:rPr>
          <w:color w:val="C00000"/>
        </w:rPr>
        <w:fldChar w:fldCharType="end"/>
      </w:r>
      <w:r w:rsidRPr="00731E7F">
        <w:rPr>
          <w:color w:val="C00000"/>
        </w:rPr>
        <w:t xml:space="preserve">.: </w:t>
      </w:r>
      <w:r w:rsidR="00B50BA4" w:rsidRPr="006D647D">
        <w:rPr>
          <w:rFonts w:ascii="Arial" w:hAnsi="Arial" w:cs="Arial"/>
          <w:bCs w:val="0"/>
          <w:iCs/>
        </w:rPr>
        <w:t xml:space="preserve">Pregled primljenih </w:t>
      </w:r>
      <w:r w:rsidR="00C17EE5" w:rsidRPr="006D647D">
        <w:rPr>
          <w:rFonts w:ascii="Arial" w:hAnsi="Arial" w:cs="Arial"/>
          <w:bCs w:val="0"/>
          <w:iCs/>
        </w:rPr>
        <w:t xml:space="preserve">dugoročnih </w:t>
      </w:r>
      <w:r w:rsidR="00B50BA4" w:rsidRPr="006D647D">
        <w:rPr>
          <w:rFonts w:ascii="Arial" w:hAnsi="Arial" w:cs="Arial"/>
          <w:bCs w:val="0"/>
          <w:iCs/>
        </w:rPr>
        <w:t>kredita</w:t>
      </w:r>
      <w:r w:rsidR="005F082E" w:rsidRPr="006D647D">
        <w:rPr>
          <w:rFonts w:ascii="Arial" w:hAnsi="Arial" w:cs="Arial"/>
          <w:bCs w:val="0"/>
          <w:iCs/>
        </w:rPr>
        <w:t xml:space="preserve"> od kreditnih institucija</w:t>
      </w:r>
      <w:bookmarkEnd w:id="679"/>
    </w:p>
    <w:p w14:paraId="5DAB6C0D" w14:textId="77777777" w:rsidR="00CB10A5" w:rsidRPr="00CB10A5" w:rsidRDefault="00CB10A5" w:rsidP="00CB10A5">
      <w:pPr>
        <w:spacing w:after="0" w:line="240" w:lineRule="auto"/>
        <w:jc w:val="center"/>
        <w:rPr>
          <w:lang w:eastAsia="en-US"/>
        </w:rPr>
      </w:pPr>
    </w:p>
    <w:p w14:paraId="6E4C0F95" w14:textId="7A65E4E9" w:rsidR="001128ED" w:rsidRDefault="00410E09" w:rsidP="005F082E">
      <w:pPr>
        <w:jc w:val="center"/>
        <w:rPr>
          <w:color w:val="C00000"/>
          <w:lang w:eastAsia="en-US"/>
        </w:rPr>
      </w:pPr>
      <w:r w:rsidRPr="00410E09">
        <w:rPr>
          <w:noProof/>
        </w:rPr>
        <w:drawing>
          <wp:inline distT="0" distB="0" distL="0" distR="0" wp14:anchorId="05C26ACF" wp14:editId="3FE20B89">
            <wp:extent cx="9251950" cy="5159375"/>
            <wp:effectExtent l="0" t="0" r="6350" b="3175"/>
            <wp:docPr id="1757708782"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9251950" cy="5159375"/>
                    </a:xfrm>
                    <a:prstGeom prst="rect">
                      <a:avLst/>
                    </a:prstGeom>
                    <a:noFill/>
                    <a:ln>
                      <a:noFill/>
                    </a:ln>
                  </pic:spPr>
                </pic:pic>
              </a:graphicData>
            </a:graphic>
          </wp:inline>
        </w:drawing>
      </w:r>
    </w:p>
    <w:p w14:paraId="2841897F" w14:textId="77777777" w:rsidR="00410E09" w:rsidRDefault="00410E09" w:rsidP="00891119">
      <w:pPr>
        <w:spacing w:after="0" w:line="240" w:lineRule="auto"/>
        <w:jc w:val="both"/>
        <w:rPr>
          <w:rFonts w:ascii="Arial" w:eastAsia="Times New Roman" w:hAnsi="Arial" w:cs="Arial"/>
          <w:b/>
          <w:iCs/>
          <w:lang w:eastAsia="en-US"/>
        </w:rPr>
      </w:pPr>
    </w:p>
    <w:p w14:paraId="12B2ACF0" w14:textId="77777777" w:rsidR="004F0FC8" w:rsidRPr="006D647D" w:rsidRDefault="004F0FC8" w:rsidP="00891119">
      <w:pPr>
        <w:spacing w:after="0" w:line="240" w:lineRule="auto"/>
        <w:jc w:val="both"/>
        <w:rPr>
          <w:rFonts w:ascii="Arial" w:eastAsia="Times New Roman" w:hAnsi="Arial" w:cs="Arial"/>
          <w:b/>
          <w:iCs/>
          <w:lang w:eastAsia="en-US"/>
        </w:rPr>
      </w:pPr>
    </w:p>
    <w:p w14:paraId="6E3C4B13" w14:textId="034614FE" w:rsidR="00891119" w:rsidRPr="006D647D" w:rsidRDefault="00891119">
      <w:pPr>
        <w:pStyle w:val="Odlomakpopisa"/>
        <w:numPr>
          <w:ilvl w:val="0"/>
          <w:numId w:val="20"/>
        </w:numPr>
        <w:rPr>
          <w:rFonts w:ascii="Arial" w:hAnsi="Arial" w:cs="Arial"/>
          <w:b/>
          <w:iCs/>
        </w:rPr>
      </w:pPr>
      <w:r w:rsidRPr="006D647D">
        <w:rPr>
          <w:rFonts w:ascii="Arial" w:hAnsi="Arial" w:cs="Arial"/>
          <w:b/>
          <w:iCs/>
        </w:rPr>
        <w:lastRenderedPageBreak/>
        <w:t>Ugovor o dugoročnom kreditu od 23. kolovoza 2013. – Izgradnja doma za starije i nemoćne osobe na Grudi</w:t>
      </w:r>
    </w:p>
    <w:p w14:paraId="1A19109D" w14:textId="77777777" w:rsidR="00891119" w:rsidRPr="006D647D" w:rsidRDefault="00891119" w:rsidP="00891119">
      <w:pPr>
        <w:spacing w:after="0" w:line="240" w:lineRule="auto"/>
        <w:jc w:val="both"/>
        <w:rPr>
          <w:rFonts w:ascii="Arial" w:eastAsia="Times New Roman" w:hAnsi="Arial" w:cs="Arial"/>
          <w:iCs/>
          <w:lang w:eastAsia="en-US"/>
        </w:rPr>
      </w:pPr>
    </w:p>
    <w:p w14:paraId="4E9F227D" w14:textId="6923E3BF" w:rsidR="00891119" w:rsidRPr="00EB650B" w:rsidRDefault="00891119" w:rsidP="00891119">
      <w:pPr>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Općina Konavle se u 2013. zadužila dugoročno na domaćem tržištu novca i kapitala za izgradnju Doma za starije i nemoćne osobe</w:t>
      </w:r>
      <w:r w:rsidR="009E608D" w:rsidRPr="00EB650B">
        <w:rPr>
          <w:rFonts w:ascii="Arial" w:eastAsia="Times New Roman" w:hAnsi="Arial" w:cs="Arial"/>
          <w:iCs/>
          <w:sz w:val="20"/>
          <w:szCs w:val="20"/>
          <w:lang w:eastAsia="en-US"/>
        </w:rPr>
        <w:t xml:space="preserve"> na Grudi</w:t>
      </w:r>
      <w:r w:rsidRPr="00EB650B">
        <w:rPr>
          <w:rFonts w:ascii="Arial" w:eastAsia="Times New Roman" w:hAnsi="Arial" w:cs="Arial"/>
          <w:iCs/>
          <w:sz w:val="20"/>
          <w:szCs w:val="20"/>
          <w:lang w:eastAsia="en-US"/>
        </w:rPr>
        <w:t xml:space="preserve">. </w:t>
      </w:r>
      <w:r w:rsidR="001A45D0" w:rsidRPr="00EB650B">
        <w:rPr>
          <w:rFonts w:ascii="Arial" w:eastAsia="Times New Roman" w:hAnsi="Arial" w:cs="Arial"/>
          <w:iCs/>
          <w:sz w:val="20"/>
          <w:szCs w:val="20"/>
          <w:lang w:eastAsia="en-US"/>
        </w:rPr>
        <w:t>U</w:t>
      </w:r>
      <w:r w:rsidRPr="00EB650B">
        <w:rPr>
          <w:rFonts w:ascii="Arial" w:eastAsia="Times New Roman" w:hAnsi="Arial" w:cs="Arial"/>
          <w:iCs/>
          <w:sz w:val="20"/>
          <w:szCs w:val="20"/>
          <w:lang w:eastAsia="en-US"/>
        </w:rPr>
        <w:t xml:space="preserve"> kolovozu 2013. </w:t>
      </w:r>
      <w:r w:rsidR="009E608D" w:rsidRPr="00EB650B">
        <w:rPr>
          <w:rFonts w:ascii="Arial" w:eastAsia="Times New Roman" w:hAnsi="Arial" w:cs="Arial"/>
          <w:iCs/>
          <w:sz w:val="20"/>
          <w:szCs w:val="20"/>
          <w:lang w:eastAsia="en-US"/>
        </w:rPr>
        <w:t xml:space="preserve">je zaključen </w:t>
      </w:r>
      <w:r w:rsidRPr="00EB650B">
        <w:rPr>
          <w:rFonts w:ascii="Arial" w:eastAsia="Times New Roman" w:hAnsi="Arial" w:cs="Arial"/>
          <w:iCs/>
          <w:sz w:val="20"/>
          <w:szCs w:val="20"/>
          <w:lang w:eastAsia="en-US"/>
        </w:rPr>
        <w:t xml:space="preserve">ugovor o dugoročnom kreditu s poslovnom bankom (OTP banka Hrvatska d.d. Zadar) u iznosu 20.000.000 </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 odnosno 2.630.750,95 EUR po srednjem tečaju HNB-a za 1 EUR na dan 26.4.2013.</w:t>
      </w:r>
      <w:r w:rsidR="0026356B" w:rsidRPr="00EB650B">
        <w:rPr>
          <w:rFonts w:ascii="Arial" w:eastAsia="Times New Roman" w:hAnsi="Arial" w:cs="Arial"/>
          <w:iCs/>
          <w:sz w:val="20"/>
          <w:szCs w:val="20"/>
          <w:lang w:eastAsia="en-US"/>
        </w:rPr>
        <w:t xml:space="preserve"> </w:t>
      </w:r>
      <w:r w:rsidRPr="00EB650B">
        <w:rPr>
          <w:rFonts w:ascii="Arial" w:eastAsia="Times New Roman" w:hAnsi="Arial" w:cs="Arial"/>
          <w:iCs/>
          <w:sz w:val="20"/>
          <w:szCs w:val="20"/>
          <w:lang w:eastAsia="en-US"/>
        </w:rPr>
        <w:t>Općinsko vijeće Općine Konavle je dana 21. ožujka 2013. donijelo odluku o zaduživanju kojom je odobrilo zaduživanje, uzimanjem dugoročnog novčanog kredita u kunama s valutnom klauzulom uz EUR po srednjem tečaju HNB-a u iznosu 20.000.000</w:t>
      </w:r>
      <w:r w:rsidR="001A45D0" w:rsidRPr="00EB650B">
        <w:rPr>
          <w:rFonts w:ascii="Arial" w:eastAsia="Times New Roman" w:hAnsi="Arial" w:cs="Arial"/>
          <w:iCs/>
          <w:sz w:val="20"/>
          <w:szCs w:val="20"/>
          <w:lang w:eastAsia="en-US"/>
        </w:rPr>
        <w:t xml:space="preserve"> </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 xml:space="preserve">. Vlada Republike Hrvatske je na sjednici održanoj 26. lipnja 2013. donijela odluku o davanju suglasnosti Općini Konavle za zaduživanje u iznosu 20.000.000 </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 na rok otplate kredita od 10 godina, uz poček od godinu dana po okončanju investicije, s otplatom u 36 jednakih tromjesečnih rata, uz promjenljivu kamatnu stopu vezanu za tromjesečni EURIBOR uvećan za kamatnu maržu od 1,48% te jednokratnu na</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 xml:space="preserve">adu za troškove odobravanja kredita od 0,4% iznosa odobrenog kredita. </w:t>
      </w:r>
      <w:r w:rsidR="00374836" w:rsidRPr="00EB650B">
        <w:rPr>
          <w:rFonts w:ascii="Arial" w:eastAsia="Times New Roman" w:hAnsi="Arial" w:cs="Arial"/>
          <w:iCs/>
          <w:sz w:val="20"/>
          <w:szCs w:val="20"/>
          <w:lang w:eastAsia="en-US"/>
        </w:rPr>
        <w:t>Kamata se obračunava i naplaćuje tromjesečno u protuvrijednosti kuna po srednjem tečaju HNB za EUR u razdoblju otplate kredita.</w:t>
      </w:r>
    </w:p>
    <w:p w14:paraId="49FAEBE1" w14:textId="77777777" w:rsidR="00891119" w:rsidRPr="00EB650B" w:rsidRDefault="00891119" w:rsidP="00891119">
      <w:pPr>
        <w:spacing w:after="0" w:line="240" w:lineRule="auto"/>
        <w:jc w:val="both"/>
        <w:rPr>
          <w:rFonts w:ascii="Arial" w:eastAsia="Times New Roman" w:hAnsi="Arial" w:cs="Arial"/>
          <w:iCs/>
          <w:sz w:val="20"/>
          <w:szCs w:val="20"/>
          <w:lang w:eastAsia="en-US"/>
        </w:rPr>
      </w:pPr>
    </w:p>
    <w:p w14:paraId="3A37E1BE" w14:textId="17478F1C" w:rsidR="00891119" w:rsidRPr="00EB650B" w:rsidRDefault="00891119" w:rsidP="00891119">
      <w:pPr>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Ugovor s poslovnom bankom je zaključen 23. kolovoza 2013. (ovjeren kod javnog bilježnika). Ugovor je odobren po uvjetima odobravanja i osiguranja dugoročnog kredita iz sredstava Hrvatske banke za obnovu i razvitak Zagreb po Programu kreditiranja infrastrukture. Iznos danog kredita u kunama, obračunat po srednjem tečaju HNB za 1 EUR, na dan 26. travnja 2013., je protuvrijednost od 2.630.750,95 EUR. Iznos kredita utvrđen i obračunat u EUR predstavlja obvezu Općine, korisnika kredita. Kredit je ugovoren uz valutnu klauzulu vezanu za EUR. Sve isplate iz kredita su se obavljale u kunama uz primjenu srednjeg tečaja HNB za 1 EUR na dan isplate. Kredit se mogao koristiti do 30. prosinca 2014. za izgradnju objekta (17.849.073,21 </w:t>
      </w:r>
      <w:r w:rsidR="00A8623C" w:rsidRPr="00EB650B">
        <w:rPr>
          <w:rFonts w:ascii="Arial" w:eastAsia="Times New Roman" w:hAnsi="Arial" w:cs="Arial"/>
          <w:iCs/>
          <w:sz w:val="20"/>
          <w:szCs w:val="20"/>
          <w:lang w:eastAsia="en-US"/>
        </w:rPr>
        <w:t>kn</w:t>
      </w:r>
      <w:r w:rsidR="009C3EFD" w:rsidRPr="00EB650B">
        <w:rPr>
          <w:rFonts w:ascii="Arial" w:eastAsia="Times New Roman" w:hAnsi="Arial" w:cs="Arial"/>
          <w:iCs/>
          <w:sz w:val="20"/>
          <w:szCs w:val="20"/>
          <w:lang w:eastAsia="en-US"/>
        </w:rPr>
        <w:t>)</w:t>
      </w:r>
      <w:r w:rsidRPr="00EB650B">
        <w:rPr>
          <w:rFonts w:ascii="Arial" w:eastAsia="Times New Roman" w:hAnsi="Arial" w:cs="Arial"/>
          <w:iCs/>
          <w:sz w:val="20"/>
          <w:szCs w:val="20"/>
          <w:lang w:eastAsia="en-US"/>
        </w:rPr>
        <w:t xml:space="preserve"> i za opremu i uređaje </w:t>
      </w:r>
      <w:r w:rsidR="009C3EFD" w:rsidRPr="00EB650B">
        <w:rPr>
          <w:rFonts w:ascii="Arial" w:eastAsia="Times New Roman" w:hAnsi="Arial" w:cs="Arial"/>
          <w:iCs/>
          <w:sz w:val="20"/>
          <w:szCs w:val="20"/>
          <w:lang w:eastAsia="en-US"/>
        </w:rPr>
        <w:t>(</w:t>
      </w:r>
      <w:r w:rsidRPr="00EB650B">
        <w:rPr>
          <w:rFonts w:ascii="Arial" w:eastAsia="Times New Roman" w:hAnsi="Arial" w:cs="Arial"/>
          <w:iCs/>
          <w:sz w:val="20"/>
          <w:szCs w:val="20"/>
          <w:lang w:eastAsia="en-US"/>
        </w:rPr>
        <w:t xml:space="preserve">2.150.926,79 </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 xml:space="preserve">) uz odstupanje do 10% od iznosa predviđenih namjena unutar ukupnog iznosa kredita. Banka je doznačavala sredstva u korist računa izvođača radova na temelju ovjerenih građevinskih situacija. </w:t>
      </w:r>
    </w:p>
    <w:p w14:paraId="0CDC090C" w14:textId="77777777" w:rsidR="00891119" w:rsidRPr="00EB650B" w:rsidRDefault="00891119" w:rsidP="00891119">
      <w:pPr>
        <w:spacing w:after="0" w:line="240" w:lineRule="auto"/>
        <w:jc w:val="both"/>
        <w:rPr>
          <w:rFonts w:ascii="Arial" w:eastAsia="Times New Roman" w:hAnsi="Arial" w:cs="Arial"/>
          <w:iCs/>
          <w:sz w:val="20"/>
          <w:szCs w:val="20"/>
          <w:lang w:eastAsia="en-US"/>
        </w:rPr>
      </w:pPr>
    </w:p>
    <w:p w14:paraId="45E4B09D" w14:textId="659691EB" w:rsidR="00891119" w:rsidRPr="00EB650B" w:rsidRDefault="00891119" w:rsidP="00891119">
      <w:pPr>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Kredit je stavljen u otplatu 31. prosinca 2014., a poček je tekao od dana stavljanja kredita u otplatu do 29. rujna 2015. </w:t>
      </w:r>
      <w:r w:rsidRPr="00EB650B">
        <w:rPr>
          <w:rFonts w:ascii="Arial" w:eastAsia="Times New Roman" w:hAnsi="Arial" w:cs="Arial"/>
          <w:b/>
          <w:iCs/>
          <w:sz w:val="20"/>
          <w:szCs w:val="20"/>
          <w:u w:val="single"/>
          <w:lang w:eastAsia="en-US"/>
        </w:rPr>
        <w:t xml:space="preserve">Krajnji rok povrata kredita </w:t>
      </w:r>
      <w:r w:rsidRPr="00EB650B">
        <w:rPr>
          <w:rFonts w:ascii="Arial" w:eastAsia="Times New Roman" w:hAnsi="Arial" w:cs="Arial"/>
          <w:bCs/>
          <w:iCs/>
          <w:sz w:val="20"/>
          <w:szCs w:val="20"/>
          <w:lang w:eastAsia="en-US"/>
        </w:rPr>
        <w:t xml:space="preserve">je </w:t>
      </w:r>
      <w:r w:rsidR="00EC5CE0" w:rsidRPr="00EB650B">
        <w:rPr>
          <w:rFonts w:ascii="Arial" w:eastAsia="Times New Roman" w:hAnsi="Arial" w:cs="Arial"/>
          <w:bCs/>
          <w:iCs/>
          <w:sz w:val="20"/>
          <w:szCs w:val="20"/>
          <w:lang w:eastAsia="en-US"/>
        </w:rPr>
        <w:t xml:space="preserve">bio </w:t>
      </w:r>
      <w:r w:rsidRPr="00EB650B">
        <w:rPr>
          <w:rFonts w:ascii="Arial" w:eastAsia="Times New Roman" w:hAnsi="Arial" w:cs="Arial"/>
          <w:bCs/>
          <w:iCs/>
          <w:sz w:val="20"/>
          <w:szCs w:val="20"/>
          <w:lang w:eastAsia="en-US"/>
        </w:rPr>
        <w:t>30. rujna 2024.</w:t>
      </w:r>
      <w:r w:rsidR="00EC5CE0" w:rsidRPr="00EB650B">
        <w:rPr>
          <w:rFonts w:ascii="Arial" w:eastAsia="Times New Roman" w:hAnsi="Arial" w:cs="Arial"/>
          <w:bCs/>
          <w:iCs/>
          <w:sz w:val="20"/>
          <w:szCs w:val="20"/>
          <w:lang w:eastAsia="en-US"/>
        </w:rPr>
        <w:t xml:space="preserve">, ali je </w:t>
      </w:r>
      <w:r w:rsidR="007C5858" w:rsidRPr="00EB650B">
        <w:rPr>
          <w:rFonts w:ascii="Arial" w:eastAsia="Times New Roman" w:hAnsi="Arial" w:cs="Arial"/>
          <w:iCs/>
          <w:sz w:val="20"/>
          <w:szCs w:val="20"/>
          <w:lang w:eastAsia="en-US"/>
        </w:rPr>
        <w:t xml:space="preserve">dodatkom ugovora iz lipnja 2020. produžen </w:t>
      </w:r>
      <w:r w:rsidR="00EC5CE0" w:rsidRPr="00EB650B">
        <w:rPr>
          <w:rFonts w:ascii="Arial" w:eastAsia="Times New Roman" w:hAnsi="Arial" w:cs="Arial"/>
          <w:iCs/>
          <w:sz w:val="20"/>
          <w:szCs w:val="20"/>
          <w:lang w:eastAsia="en-US"/>
        </w:rPr>
        <w:t>do</w:t>
      </w:r>
      <w:r w:rsidR="007C5858" w:rsidRPr="00EB650B">
        <w:rPr>
          <w:rFonts w:ascii="Arial" w:eastAsia="Times New Roman" w:hAnsi="Arial" w:cs="Arial"/>
          <w:iCs/>
          <w:sz w:val="20"/>
          <w:szCs w:val="20"/>
          <w:lang w:eastAsia="en-US"/>
        </w:rPr>
        <w:t xml:space="preserve"> </w:t>
      </w:r>
      <w:r w:rsidR="007C5858" w:rsidRPr="00EB650B">
        <w:rPr>
          <w:rFonts w:ascii="Arial" w:eastAsia="Times New Roman" w:hAnsi="Arial" w:cs="Arial"/>
          <w:b/>
          <w:iCs/>
          <w:sz w:val="20"/>
          <w:szCs w:val="20"/>
          <w:u w:val="single"/>
          <w:lang w:eastAsia="en-US"/>
        </w:rPr>
        <w:t>30.9.2025.</w:t>
      </w:r>
      <w:r w:rsidR="007C5858" w:rsidRPr="00EB650B">
        <w:rPr>
          <w:rFonts w:ascii="Arial" w:eastAsia="Times New Roman" w:hAnsi="Arial" w:cs="Arial"/>
          <w:iCs/>
          <w:sz w:val="20"/>
          <w:szCs w:val="20"/>
          <w:lang w:eastAsia="en-US"/>
        </w:rPr>
        <w:t xml:space="preserve"> </w:t>
      </w:r>
      <w:r w:rsidRPr="00EB650B">
        <w:rPr>
          <w:rFonts w:ascii="Arial" w:eastAsia="Times New Roman" w:hAnsi="Arial" w:cs="Arial"/>
          <w:iCs/>
          <w:sz w:val="20"/>
          <w:szCs w:val="20"/>
          <w:lang w:eastAsia="en-US"/>
        </w:rPr>
        <w:t xml:space="preserve">Otplata se obavlja u 36 jednakih tromjesečnih obroka od kojih je prvi obrok dospio na naplatu 31. prosinca 2015. Utvrđeni obrok obračunava se u EUR i naplaćuje u kunskoj protuvrijednosti po </w:t>
      </w:r>
      <w:r w:rsidRPr="00EB650B">
        <w:rPr>
          <w:rFonts w:ascii="Arial" w:eastAsia="Times New Roman" w:hAnsi="Arial" w:cs="Arial"/>
          <w:b/>
          <w:iCs/>
          <w:sz w:val="20"/>
          <w:szCs w:val="20"/>
          <w:lang w:eastAsia="en-US"/>
        </w:rPr>
        <w:t>srednjem</w:t>
      </w:r>
      <w:r w:rsidRPr="00EB650B">
        <w:rPr>
          <w:rFonts w:ascii="Arial" w:eastAsia="Times New Roman" w:hAnsi="Arial" w:cs="Arial"/>
          <w:iCs/>
          <w:sz w:val="20"/>
          <w:szCs w:val="20"/>
          <w:lang w:eastAsia="en-US"/>
        </w:rPr>
        <w:t xml:space="preserve"> tečaju HNB na dan uplate. Interkalarna kamata se obračunavala i naplaćivala u razdoblju korištenja kredita od prijenosa kredita u otplatu na iskorišteni iznos kredita, kvartalno, u visini redovne kamate. Zatezna kamata se obračunava i naplaćuje sukladno Odluci o kamatama poslovne banke, koja je u vrijeme zaključivanja Ugovora iznosila 15,0%. Radi osiguravanja redovne otplate kredita banci su dostavljene dvije bjanko vlastite akceptirane mjenice s klauzulom „bez protesta“, uz mjenično očitovanje, jedna zadužnica potvrđena od javnog bilježnika. </w:t>
      </w:r>
    </w:p>
    <w:p w14:paraId="71585E49" w14:textId="77777777" w:rsidR="00891119" w:rsidRPr="00EB650B" w:rsidRDefault="00891119" w:rsidP="00891119">
      <w:pPr>
        <w:spacing w:after="0" w:line="240" w:lineRule="auto"/>
        <w:jc w:val="both"/>
        <w:rPr>
          <w:rFonts w:ascii="Arial" w:eastAsia="Times New Roman" w:hAnsi="Arial" w:cs="Arial"/>
          <w:iCs/>
          <w:sz w:val="20"/>
          <w:szCs w:val="20"/>
          <w:lang w:eastAsia="en-US"/>
        </w:rPr>
      </w:pPr>
    </w:p>
    <w:p w14:paraId="5A3D7740" w14:textId="0E4091D0" w:rsidR="00891119" w:rsidRPr="00EB650B" w:rsidRDefault="00891119" w:rsidP="00891119">
      <w:pPr>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U 2013.</w:t>
      </w:r>
      <w:r w:rsidR="00374836" w:rsidRPr="00EB650B">
        <w:rPr>
          <w:rFonts w:ascii="Arial" w:eastAsia="Times New Roman" w:hAnsi="Arial" w:cs="Arial"/>
          <w:iCs/>
          <w:sz w:val="20"/>
          <w:szCs w:val="20"/>
          <w:lang w:eastAsia="en-US"/>
        </w:rPr>
        <w:t xml:space="preserve"> i 2014.</w:t>
      </w:r>
      <w:r w:rsidRPr="00EB650B">
        <w:rPr>
          <w:rFonts w:ascii="Arial" w:eastAsia="Times New Roman" w:hAnsi="Arial" w:cs="Arial"/>
          <w:iCs/>
          <w:sz w:val="20"/>
          <w:szCs w:val="20"/>
          <w:lang w:eastAsia="en-US"/>
        </w:rPr>
        <w:t xml:space="preserve"> iskorištena su kreditna sredstva (8443) za plaćanje situacija za izvedene građevinske radove sveukupno 20.047.974,40 </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 xml:space="preserve"> (protuvrijednost 2.630.750,95 EUR).</w:t>
      </w:r>
      <w:r w:rsidR="00374836" w:rsidRPr="00EB650B">
        <w:rPr>
          <w:rFonts w:ascii="Arial" w:eastAsia="Times New Roman" w:hAnsi="Arial" w:cs="Arial"/>
          <w:iCs/>
          <w:sz w:val="20"/>
          <w:szCs w:val="20"/>
          <w:lang w:eastAsia="en-US"/>
        </w:rPr>
        <w:t xml:space="preserve"> </w:t>
      </w:r>
      <w:r w:rsidRPr="00EB650B">
        <w:rPr>
          <w:rFonts w:ascii="Arial" w:eastAsia="Times New Roman" w:hAnsi="Arial" w:cs="Arial"/>
          <w:iCs/>
          <w:sz w:val="20"/>
          <w:szCs w:val="20"/>
          <w:lang w:eastAsia="en-US"/>
        </w:rPr>
        <w:t xml:space="preserve">Tijekom cijelog vremena otplate tromjesečni obrok za glavnicu kredita </w:t>
      </w:r>
      <w:r w:rsidR="004F0FC8">
        <w:rPr>
          <w:rFonts w:ascii="Arial" w:eastAsia="Times New Roman" w:hAnsi="Arial" w:cs="Arial"/>
          <w:iCs/>
          <w:sz w:val="20"/>
          <w:szCs w:val="20"/>
          <w:lang w:eastAsia="en-US"/>
        </w:rPr>
        <w:t>je iznosio</w:t>
      </w:r>
      <w:r w:rsidRPr="00EB650B">
        <w:rPr>
          <w:rFonts w:ascii="Arial" w:eastAsia="Times New Roman" w:hAnsi="Arial" w:cs="Arial"/>
          <w:iCs/>
          <w:sz w:val="20"/>
          <w:szCs w:val="20"/>
          <w:lang w:eastAsia="en-US"/>
        </w:rPr>
        <w:t xml:space="preserve"> 73.076,42 EUR, dakle godišnje dospijeva glavnica kredita u iznosu 292.305,68 EUR (četiri obroka). </w:t>
      </w:r>
    </w:p>
    <w:p w14:paraId="0314C425" w14:textId="77777777" w:rsidR="003276CA" w:rsidRPr="00EB650B" w:rsidRDefault="003276CA" w:rsidP="003276CA">
      <w:pPr>
        <w:spacing w:after="0" w:line="240" w:lineRule="auto"/>
        <w:jc w:val="both"/>
        <w:rPr>
          <w:rFonts w:ascii="Arial" w:eastAsia="Times New Roman" w:hAnsi="Arial" w:cs="Arial"/>
          <w:iCs/>
          <w:sz w:val="20"/>
          <w:szCs w:val="20"/>
          <w:lang w:eastAsia="en-US"/>
        </w:rPr>
      </w:pPr>
    </w:p>
    <w:p w14:paraId="4EB57683" w14:textId="1433B156" w:rsidR="003276CA" w:rsidRPr="00EB650B" w:rsidRDefault="002205D1" w:rsidP="003276CA">
      <w:pPr>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Zbog nedostatka proračunskih sredstava uvjetovanih pandemijom </w:t>
      </w:r>
      <w:r w:rsidR="00FD5C81" w:rsidRPr="00EB650B">
        <w:rPr>
          <w:rFonts w:ascii="Arial" w:eastAsia="Times New Roman" w:hAnsi="Arial" w:cs="Arial"/>
          <w:iCs/>
          <w:sz w:val="20"/>
          <w:szCs w:val="20"/>
          <w:lang w:eastAsia="en-US"/>
        </w:rPr>
        <w:t>bolesti COVID 19</w:t>
      </w:r>
      <w:r w:rsidRPr="00EB650B">
        <w:rPr>
          <w:rFonts w:ascii="Arial" w:eastAsia="Times New Roman" w:hAnsi="Arial" w:cs="Arial"/>
          <w:iCs/>
          <w:sz w:val="20"/>
          <w:szCs w:val="20"/>
          <w:lang w:eastAsia="en-US"/>
        </w:rPr>
        <w:t>, Općina je s poslovnom bankom dana 19. lipnja 2020</w:t>
      </w:r>
      <w:r w:rsidR="004C4ECD" w:rsidRPr="00EB650B">
        <w:rPr>
          <w:rFonts w:ascii="Arial" w:eastAsia="Times New Roman" w:hAnsi="Arial" w:cs="Arial"/>
          <w:iCs/>
          <w:sz w:val="20"/>
          <w:szCs w:val="20"/>
          <w:lang w:eastAsia="en-US"/>
        </w:rPr>
        <w:t xml:space="preserve">. </w:t>
      </w:r>
      <w:r w:rsidR="00E6359C" w:rsidRPr="00EB650B">
        <w:rPr>
          <w:rFonts w:ascii="Arial" w:eastAsia="Times New Roman" w:hAnsi="Arial" w:cs="Arial"/>
          <w:iCs/>
          <w:sz w:val="20"/>
          <w:szCs w:val="20"/>
          <w:lang w:eastAsia="en-US"/>
        </w:rPr>
        <w:t>z</w:t>
      </w:r>
      <w:r w:rsidRPr="00EB650B">
        <w:rPr>
          <w:rFonts w:ascii="Arial" w:eastAsia="Times New Roman" w:hAnsi="Arial" w:cs="Arial"/>
          <w:iCs/>
          <w:sz w:val="20"/>
          <w:szCs w:val="20"/>
          <w:lang w:eastAsia="en-US"/>
        </w:rPr>
        <w:t xml:space="preserve">aključila </w:t>
      </w:r>
      <w:r w:rsidR="004C4ECD" w:rsidRPr="00EB650B">
        <w:rPr>
          <w:rFonts w:ascii="Arial" w:eastAsia="Times New Roman" w:hAnsi="Arial" w:cs="Arial"/>
          <w:iCs/>
          <w:sz w:val="20"/>
          <w:szCs w:val="20"/>
          <w:lang w:eastAsia="en-US"/>
        </w:rPr>
        <w:t xml:space="preserve">dodatak ugovoru kojim je utvrđena odgoda plaćanja rata glavnice kredita do </w:t>
      </w:r>
      <w:r w:rsidR="006B1388" w:rsidRPr="00EB650B">
        <w:rPr>
          <w:rFonts w:ascii="Arial" w:eastAsia="Times New Roman" w:hAnsi="Arial" w:cs="Arial"/>
          <w:iCs/>
          <w:sz w:val="20"/>
          <w:szCs w:val="20"/>
          <w:lang w:eastAsia="en-US"/>
        </w:rPr>
        <w:t>31.12.2020</w:t>
      </w:r>
      <w:r w:rsidR="00AC6893" w:rsidRPr="00EB650B">
        <w:rPr>
          <w:rFonts w:ascii="Arial" w:eastAsia="Times New Roman" w:hAnsi="Arial" w:cs="Arial"/>
          <w:iCs/>
          <w:sz w:val="20"/>
          <w:szCs w:val="20"/>
          <w:lang w:eastAsia="en-US"/>
        </w:rPr>
        <w:t>. te se obračun kamata i prvi obrok plaća</w:t>
      </w:r>
      <w:r w:rsidR="006B1388" w:rsidRPr="00EB650B">
        <w:rPr>
          <w:rFonts w:ascii="Arial" w:eastAsia="Times New Roman" w:hAnsi="Arial" w:cs="Arial"/>
          <w:iCs/>
          <w:sz w:val="20"/>
          <w:szCs w:val="20"/>
          <w:lang w:eastAsia="en-US"/>
        </w:rPr>
        <w:t xml:space="preserve"> 31.03.2021</w:t>
      </w:r>
      <w:r w:rsidR="004C4ECD" w:rsidRPr="00EB650B">
        <w:rPr>
          <w:rFonts w:ascii="Arial" w:eastAsia="Times New Roman" w:hAnsi="Arial" w:cs="Arial"/>
          <w:iCs/>
          <w:sz w:val="20"/>
          <w:szCs w:val="20"/>
          <w:lang w:eastAsia="en-US"/>
        </w:rPr>
        <w:t xml:space="preserve">. Kamatna stopa u razdoblju odgode plaćanja utvrđena je u visini redovne kamatne stope, ali se naplata kamate </w:t>
      </w:r>
      <w:r w:rsidR="00C17EE5" w:rsidRPr="00EB650B">
        <w:rPr>
          <w:rFonts w:ascii="Arial" w:eastAsia="Times New Roman" w:hAnsi="Arial" w:cs="Arial"/>
          <w:iCs/>
          <w:sz w:val="20"/>
          <w:szCs w:val="20"/>
          <w:lang w:eastAsia="en-US"/>
        </w:rPr>
        <w:t>izvršava</w:t>
      </w:r>
      <w:r w:rsidR="004C4ECD" w:rsidRPr="00EB650B">
        <w:rPr>
          <w:rFonts w:ascii="Arial" w:eastAsia="Times New Roman" w:hAnsi="Arial" w:cs="Arial"/>
          <w:iCs/>
          <w:sz w:val="20"/>
          <w:szCs w:val="20"/>
          <w:lang w:eastAsia="en-US"/>
        </w:rPr>
        <w:t xml:space="preserve"> na dan utvrđene ponovne otplate glavnice kredita.</w:t>
      </w:r>
      <w:r w:rsidRPr="00EB650B">
        <w:rPr>
          <w:rFonts w:ascii="Arial" w:eastAsia="Times New Roman" w:hAnsi="Arial" w:cs="Arial"/>
          <w:iCs/>
          <w:sz w:val="20"/>
          <w:szCs w:val="20"/>
          <w:lang w:eastAsia="en-US"/>
        </w:rPr>
        <w:t xml:space="preserve"> </w:t>
      </w:r>
      <w:r w:rsidRPr="00EB650B">
        <w:rPr>
          <w:rFonts w:ascii="Arial" w:eastAsia="Times New Roman" w:hAnsi="Arial" w:cs="Arial"/>
          <w:b/>
          <w:iCs/>
          <w:sz w:val="20"/>
          <w:szCs w:val="20"/>
          <w:u w:val="single"/>
          <w:lang w:eastAsia="en-US"/>
        </w:rPr>
        <w:t>Posljednji obrok glavnice kredita dospijeva 30. rujna 2025.</w:t>
      </w:r>
      <w:r w:rsidR="003276CA" w:rsidRPr="00EB650B">
        <w:rPr>
          <w:rFonts w:ascii="Arial" w:eastAsia="Times New Roman" w:hAnsi="Arial" w:cs="Arial"/>
          <w:b/>
          <w:iCs/>
          <w:sz w:val="20"/>
          <w:szCs w:val="20"/>
          <w:u w:val="single"/>
          <w:lang w:eastAsia="en-US"/>
        </w:rPr>
        <w:t xml:space="preserve"> </w:t>
      </w:r>
      <w:r w:rsidR="003276CA" w:rsidRPr="00EB650B">
        <w:rPr>
          <w:rFonts w:ascii="Arial" w:eastAsia="Times New Roman" w:hAnsi="Arial" w:cs="Arial"/>
          <w:iCs/>
          <w:sz w:val="20"/>
          <w:szCs w:val="20"/>
          <w:lang w:eastAsia="en-US"/>
        </w:rPr>
        <w:t xml:space="preserve">Sveukupno iznos redovne kamate obračunat tijekom odgode kredita jednu godinu iznosi oko 15.930 EUR i (cca 120.400,00 </w:t>
      </w:r>
      <w:r w:rsidR="00A8623C" w:rsidRPr="00EB650B">
        <w:rPr>
          <w:rFonts w:ascii="Arial" w:eastAsia="Times New Roman" w:hAnsi="Arial" w:cs="Arial"/>
          <w:iCs/>
          <w:sz w:val="20"/>
          <w:szCs w:val="20"/>
          <w:lang w:eastAsia="en-US"/>
        </w:rPr>
        <w:t>kn</w:t>
      </w:r>
      <w:r w:rsidR="003276CA" w:rsidRPr="00EB650B">
        <w:rPr>
          <w:rFonts w:ascii="Arial" w:eastAsia="Times New Roman" w:hAnsi="Arial" w:cs="Arial"/>
          <w:iCs/>
          <w:sz w:val="20"/>
          <w:szCs w:val="20"/>
          <w:lang w:eastAsia="en-US"/>
        </w:rPr>
        <w:t xml:space="preserve">) </w:t>
      </w:r>
      <w:r w:rsidR="00C17EE5" w:rsidRPr="00EB650B">
        <w:rPr>
          <w:rFonts w:ascii="Arial" w:eastAsia="Times New Roman" w:hAnsi="Arial" w:cs="Arial"/>
          <w:iCs/>
          <w:sz w:val="20"/>
          <w:szCs w:val="20"/>
          <w:lang w:eastAsia="en-US"/>
        </w:rPr>
        <w:t>plaćen je</w:t>
      </w:r>
      <w:r w:rsidR="003276CA" w:rsidRPr="00EB650B">
        <w:rPr>
          <w:rFonts w:ascii="Arial" w:eastAsia="Times New Roman" w:hAnsi="Arial" w:cs="Arial"/>
          <w:iCs/>
          <w:sz w:val="20"/>
          <w:szCs w:val="20"/>
          <w:lang w:eastAsia="en-US"/>
        </w:rPr>
        <w:t xml:space="preserve"> 15.4.2021. zajedno s redovnim kamatama u prvom tromjesečju 2021.</w:t>
      </w:r>
      <w:r w:rsidR="00DB2C0A" w:rsidRPr="00EB650B">
        <w:rPr>
          <w:rFonts w:ascii="Arial" w:eastAsia="Times New Roman" w:hAnsi="Arial" w:cs="Arial"/>
          <w:iCs/>
          <w:sz w:val="20"/>
          <w:szCs w:val="20"/>
          <w:lang w:eastAsia="en-US"/>
        </w:rPr>
        <w:t xml:space="preserve"> </w:t>
      </w:r>
      <w:r w:rsidR="003276CA" w:rsidRPr="00EB650B">
        <w:rPr>
          <w:rFonts w:ascii="Arial" w:eastAsia="Times New Roman" w:hAnsi="Arial" w:cs="Arial"/>
          <w:iCs/>
          <w:sz w:val="20"/>
          <w:szCs w:val="20"/>
          <w:lang w:eastAsia="en-US"/>
        </w:rPr>
        <w:t xml:space="preserve">godine. </w:t>
      </w:r>
    </w:p>
    <w:p w14:paraId="7EF29437" w14:textId="22E1F358" w:rsidR="007C5858" w:rsidRPr="00EB650B" w:rsidRDefault="00F4631C" w:rsidP="00525B4C">
      <w:pPr>
        <w:spacing w:after="0" w:line="240" w:lineRule="auto"/>
        <w:ind w:firstLine="708"/>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Kamatna stopa koncem svakog tromjesečja </w:t>
      </w:r>
      <w:r w:rsidR="00525B4C" w:rsidRPr="00EB650B">
        <w:rPr>
          <w:rFonts w:ascii="Arial" w:eastAsia="Times New Roman" w:hAnsi="Arial" w:cs="Arial"/>
          <w:iCs/>
          <w:sz w:val="20"/>
          <w:szCs w:val="20"/>
          <w:lang w:eastAsia="en-US"/>
        </w:rPr>
        <w:t xml:space="preserve">2019. godine </w:t>
      </w:r>
      <w:r w:rsidR="003A07A0" w:rsidRPr="00EB650B">
        <w:rPr>
          <w:rFonts w:ascii="Arial" w:eastAsia="Times New Roman" w:hAnsi="Arial" w:cs="Arial"/>
          <w:iCs/>
          <w:sz w:val="20"/>
          <w:szCs w:val="20"/>
          <w:lang w:eastAsia="en-US"/>
        </w:rPr>
        <w:t xml:space="preserve">iznosila je od 1,17% do 1,07%. </w:t>
      </w:r>
      <w:r w:rsidR="007C5858" w:rsidRPr="00EB650B">
        <w:rPr>
          <w:rFonts w:ascii="Arial" w:eastAsia="Times New Roman" w:hAnsi="Arial" w:cs="Arial"/>
          <w:iCs/>
          <w:sz w:val="20"/>
          <w:szCs w:val="20"/>
          <w:lang w:eastAsia="en-US"/>
        </w:rPr>
        <w:t>Tijekom 2020. nije bilo plaćanja glavnice niti kamate kredita.</w:t>
      </w:r>
      <w:r w:rsidR="00E66927" w:rsidRPr="00EB650B">
        <w:rPr>
          <w:rFonts w:ascii="Arial" w:eastAsia="Times New Roman" w:hAnsi="Arial" w:cs="Arial"/>
          <w:iCs/>
          <w:sz w:val="20"/>
          <w:szCs w:val="20"/>
          <w:lang w:eastAsia="en-US"/>
        </w:rPr>
        <w:t xml:space="preserve"> Kamatna stopa koncem </w:t>
      </w:r>
      <w:r w:rsidR="00785D29" w:rsidRPr="00EB650B">
        <w:rPr>
          <w:rFonts w:ascii="Arial" w:eastAsia="Times New Roman" w:hAnsi="Arial" w:cs="Arial"/>
          <w:iCs/>
          <w:sz w:val="20"/>
          <w:szCs w:val="20"/>
          <w:lang w:eastAsia="en-US"/>
        </w:rPr>
        <w:t>pojedinog</w:t>
      </w:r>
      <w:r w:rsidR="00E66927" w:rsidRPr="00EB650B">
        <w:rPr>
          <w:rFonts w:ascii="Arial" w:eastAsia="Times New Roman" w:hAnsi="Arial" w:cs="Arial"/>
          <w:iCs/>
          <w:sz w:val="20"/>
          <w:szCs w:val="20"/>
          <w:lang w:eastAsia="en-US"/>
        </w:rPr>
        <w:t xml:space="preserve"> tromjesečja u 2020. iznosila je od 1,09% do 1,13%, a koncem prosinca 0,987%.</w:t>
      </w:r>
      <w:r w:rsidR="006B4792" w:rsidRPr="00EB650B">
        <w:rPr>
          <w:rFonts w:ascii="Arial" w:eastAsia="Times New Roman" w:hAnsi="Arial" w:cs="Arial"/>
          <w:iCs/>
          <w:sz w:val="20"/>
          <w:szCs w:val="20"/>
          <w:lang w:eastAsia="en-US"/>
        </w:rPr>
        <w:t xml:space="preserve"> Kamatna stopa koncem prvog, drugog, trećeg i četvrtog tromjesečja 2021. godine iznosila je 0,942 odnosno 0,944, odnosno 0,937, te 0,909%.</w:t>
      </w:r>
    </w:p>
    <w:p w14:paraId="58E8D967" w14:textId="51324B72" w:rsidR="00DE73EE" w:rsidRPr="00EB650B" w:rsidRDefault="00E91935" w:rsidP="00E91935">
      <w:pPr>
        <w:spacing w:after="0" w:line="240" w:lineRule="auto"/>
        <w:ind w:firstLine="708"/>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Kamatna stopa koncem prvog</w:t>
      </w:r>
      <w:r w:rsidR="006B4792" w:rsidRPr="00EB650B">
        <w:rPr>
          <w:rFonts w:ascii="Arial" w:eastAsia="Times New Roman" w:hAnsi="Arial" w:cs="Arial"/>
          <w:iCs/>
          <w:sz w:val="20"/>
          <w:szCs w:val="20"/>
          <w:lang w:eastAsia="en-US"/>
        </w:rPr>
        <w:t xml:space="preserve"> i</w:t>
      </w:r>
      <w:r w:rsidRPr="00EB650B">
        <w:rPr>
          <w:rFonts w:ascii="Arial" w:eastAsia="Times New Roman" w:hAnsi="Arial" w:cs="Arial"/>
          <w:iCs/>
          <w:sz w:val="20"/>
          <w:szCs w:val="20"/>
          <w:lang w:eastAsia="en-US"/>
        </w:rPr>
        <w:t xml:space="preserve"> drugog tromjesečja iznosila je 0,9</w:t>
      </w:r>
      <w:r w:rsidR="000536E1" w:rsidRPr="00EB650B">
        <w:rPr>
          <w:rFonts w:ascii="Arial" w:eastAsia="Times New Roman" w:hAnsi="Arial" w:cs="Arial"/>
          <w:iCs/>
          <w:sz w:val="20"/>
          <w:szCs w:val="20"/>
          <w:lang w:eastAsia="en-US"/>
        </w:rPr>
        <w:t>09</w:t>
      </w:r>
      <w:r w:rsidR="00C81AFC" w:rsidRPr="00EB650B">
        <w:rPr>
          <w:rFonts w:ascii="Arial" w:eastAsia="Times New Roman" w:hAnsi="Arial" w:cs="Arial"/>
          <w:iCs/>
          <w:sz w:val="20"/>
          <w:szCs w:val="20"/>
          <w:lang w:eastAsia="en-US"/>
        </w:rPr>
        <w:t>%</w:t>
      </w:r>
      <w:r w:rsidRPr="00EB650B">
        <w:rPr>
          <w:rFonts w:ascii="Arial" w:eastAsia="Times New Roman" w:hAnsi="Arial" w:cs="Arial"/>
          <w:iCs/>
          <w:sz w:val="20"/>
          <w:szCs w:val="20"/>
          <w:lang w:eastAsia="en-US"/>
        </w:rPr>
        <w:t xml:space="preserve"> odnosno </w:t>
      </w:r>
      <w:r w:rsidR="000536E1" w:rsidRPr="00EB650B">
        <w:rPr>
          <w:rFonts w:ascii="Arial" w:eastAsia="Times New Roman" w:hAnsi="Arial" w:cs="Arial"/>
          <w:iCs/>
          <w:sz w:val="20"/>
          <w:szCs w:val="20"/>
          <w:lang w:eastAsia="en-US"/>
        </w:rPr>
        <w:t>1,016</w:t>
      </w:r>
      <w:r w:rsidRPr="00EB650B">
        <w:rPr>
          <w:rFonts w:ascii="Arial" w:eastAsia="Times New Roman" w:hAnsi="Arial" w:cs="Arial"/>
          <w:iCs/>
          <w:sz w:val="20"/>
          <w:szCs w:val="20"/>
          <w:lang w:eastAsia="en-US"/>
        </w:rPr>
        <w:t>%.</w:t>
      </w:r>
      <w:r w:rsidR="00C81AFC" w:rsidRPr="00EB650B">
        <w:rPr>
          <w:rFonts w:ascii="Arial" w:eastAsia="Times New Roman" w:hAnsi="Arial" w:cs="Arial"/>
          <w:iCs/>
          <w:sz w:val="20"/>
          <w:szCs w:val="20"/>
          <w:lang w:eastAsia="en-US"/>
        </w:rPr>
        <w:t>, dok je koncem treće</w:t>
      </w:r>
      <w:r w:rsidR="00DE73EE" w:rsidRPr="00EB650B">
        <w:rPr>
          <w:rFonts w:ascii="Arial" w:eastAsia="Times New Roman" w:hAnsi="Arial" w:cs="Arial"/>
          <w:iCs/>
          <w:sz w:val="20"/>
          <w:szCs w:val="20"/>
          <w:lang w:eastAsia="en-US"/>
        </w:rPr>
        <w:t>g</w:t>
      </w:r>
      <w:r w:rsidR="00C81AFC" w:rsidRPr="00EB650B">
        <w:rPr>
          <w:rFonts w:ascii="Arial" w:eastAsia="Times New Roman" w:hAnsi="Arial" w:cs="Arial"/>
          <w:iCs/>
          <w:sz w:val="20"/>
          <w:szCs w:val="20"/>
          <w:lang w:eastAsia="en-US"/>
        </w:rPr>
        <w:t xml:space="preserve"> tromjesečja iznosila </w:t>
      </w:r>
      <w:r w:rsidR="00DE73EE" w:rsidRPr="00EB650B">
        <w:rPr>
          <w:rFonts w:ascii="Arial" w:eastAsia="Times New Roman" w:hAnsi="Arial" w:cs="Arial"/>
          <w:iCs/>
          <w:sz w:val="20"/>
          <w:szCs w:val="20"/>
          <w:lang w:eastAsia="en-US"/>
        </w:rPr>
        <w:t>1,289</w:t>
      </w:r>
      <w:r w:rsidR="00C81AFC" w:rsidRPr="00EB650B">
        <w:rPr>
          <w:rFonts w:ascii="Arial" w:eastAsia="Times New Roman" w:hAnsi="Arial" w:cs="Arial"/>
          <w:iCs/>
          <w:sz w:val="20"/>
          <w:szCs w:val="20"/>
          <w:lang w:eastAsia="en-US"/>
        </w:rPr>
        <w:t xml:space="preserve">%, a koncem prosinca 2022. </w:t>
      </w:r>
      <w:r w:rsidR="00DE73EE" w:rsidRPr="00EB650B">
        <w:rPr>
          <w:rFonts w:ascii="Arial" w:eastAsia="Times New Roman" w:hAnsi="Arial" w:cs="Arial"/>
          <w:iCs/>
          <w:sz w:val="20"/>
          <w:szCs w:val="20"/>
          <w:lang w:eastAsia="en-US"/>
        </w:rPr>
        <w:t xml:space="preserve">je iznosila 2,673%. </w:t>
      </w:r>
    </w:p>
    <w:p w14:paraId="76D74F3C" w14:textId="200E7E53" w:rsidR="00E91935" w:rsidRPr="00EB650B" w:rsidRDefault="00DE73EE" w:rsidP="00E91935">
      <w:pPr>
        <w:spacing w:after="0" w:line="240" w:lineRule="auto"/>
        <w:ind w:firstLine="708"/>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lastRenderedPageBreak/>
        <w:t xml:space="preserve">Tromjesečni </w:t>
      </w:r>
      <w:r w:rsidR="00294EB9">
        <w:rPr>
          <w:rFonts w:ascii="Arial" w:eastAsia="Times New Roman" w:hAnsi="Arial" w:cs="Arial"/>
          <w:iCs/>
          <w:sz w:val="20"/>
          <w:szCs w:val="20"/>
          <w:lang w:eastAsia="en-US"/>
        </w:rPr>
        <w:t>EURIBOR</w:t>
      </w:r>
      <w:r w:rsidRPr="00EB650B">
        <w:rPr>
          <w:rFonts w:ascii="Arial" w:eastAsia="Times New Roman" w:hAnsi="Arial" w:cs="Arial"/>
          <w:iCs/>
          <w:sz w:val="20"/>
          <w:szCs w:val="20"/>
          <w:lang w:eastAsia="en-US"/>
        </w:rPr>
        <w:t xml:space="preserve"> 31.12.2022. godine iznosi 2,202%, te je prvi obrok u 2023. godini plaćen po kamati u iznosu 3,682%</w:t>
      </w:r>
      <w:r w:rsidR="00827A01" w:rsidRPr="00EB650B">
        <w:rPr>
          <w:rFonts w:ascii="Arial" w:eastAsia="Times New Roman" w:hAnsi="Arial" w:cs="Arial"/>
          <w:iCs/>
          <w:sz w:val="20"/>
          <w:szCs w:val="20"/>
          <w:lang w:eastAsia="en-US"/>
        </w:rPr>
        <w:t>, dok je obrok 30.6.2023. plaćen po kamati u iznosu 4,495%</w:t>
      </w:r>
      <w:r w:rsidR="00595F3D" w:rsidRPr="00EB650B">
        <w:rPr>
          <w:rFonts w:ascii="Arial" w:eastAsia="Times New Roman" w:hAnsi="Arial" w:cs="Arial"/>
          <w:iCs/>
          <w:sz w:val="20"/>
          <w:szCs w:val="20"/>
          <w:lang w:eastAsia="en-US"/>
        </w:rPr>
        <w:t xml:space="preserve">, obrok u rujnu je plaćen po kamati u iznosu </w:t>
      </w:r>
      <w:r w:rsidR="007336BD" w:rsidRPr="00EB650B">
        <w:rPr>
          <w:rFonts w:ascii="Arial" w:eastAsia="Times New Roman" w:hAnsi="Arial" w:cs="Arial"/>
          <w:iCs/>
          <w:sz w:val="20"/>
          <w:szCs w:val="20"/>
          <w:lang w:eastAsia="en-US"/>
        </w:rPr>
        <w:t>5,078%</w:t>
      </w:r>
      <w:r w:rsidR="00595F3D" w:rsidRPr="00EB650B">
        <w:rPr>
          <w:rFonts w:ascii="Arial" w:eastAsia="Times New Roman" w:hAnsi="Arial" w:cs="Arial"/>
          <w:iCs/>
          <w:sz w:val="20"/>
          <w:szCs w:val="20"/>
          <w:lang w:eastAsia="en-US"/>
        </w:rPr>
        <w:t>, a u prosincu 2023. po kamati u iznosu 5,452%.</w:t>
      </w:r>
    </w:p>
    <w:p w14:paraId="39A35E0D" w14:textId="11852DE2" w:rsidR="00DE2CF6" w:rsidRPr="00EB650B" w:rsidRDefault="00DE2CF6" w:rsidP="00DE2CF6">
      <w:pPr>
        <w:spacing w:after="0" w:line="240" w:lineRule="auto"/>
        <w:ind w:firstLine="708"/>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Prvi obrok u ožujku 2024. godini plaćen po kamati u iznosu 5,373%, obrok u lipnju 2024. plaćen </w:t>
      </w:r>
      <w:r w:rsidR="006D647D" w:rsidRPr="00EB650B">
        <w:rPr>
          <w:rFonts w:ascii="Arial" w:eastAsia="Times New Roman" w:hAnsi="Arial" w:cs="Arial"/>
          <w:iCs/>
          <w:sz w:val="20"/>
          <w:szCs w:val="20"/>
          <w:lang w:eastAsia="en-US"/>
        </w:rPr>
        <w:t xml:space="preserve">je </w:t>
      </w:r>
      <w:r w:rsidRPr="00EB650B">
        <w:rPr>
          <w:rFonts w:ascii="Arial" w:eastAsia="Times New Roman" w:hAnsi="Arial" w:cs="Arial"/>
          <w:iCs/>
          <w:sz w:val="20"/>
          <w:szCs w:val="20"/>
          <w:lang w:eastAsia="en-US"/>
        </w:rPr>
        <w:t>po kamati u iznosu 5,382%.</w:t>
      </w:r>
      <w:r w:rsidR="006D647D" w:rsidRPr="00EB650B">
        <w:rPr>
          <w:rFonts w:ascii="Arial" w:eastAsia="Times New Roman" w:hAnsi="Arial" w:cs="Arial"/>
          <w:iCs/>
          <w:sz w:val="20"/>
          <w:szCs w:val="20"/>
          <w:lang w:eastAsia="en-US"/>
        </w:rPr>
        <w:t xml:space="preserve"> Obrok u rujnu</w:t>
      </w:r>
      <w:r w:rsidR="00B47DC8" w:rsidRPr="00EB650B">
        <w:rPr>
          <w:rFonts w:ascii="Arial" w:eastAsia="Times New Roman" w:hAnsi="Arial" w:cs="Arial"/>
          <w:iCs/>
          <w:sz w:val="20"/>
          <w:szCs w:val="20"/>
          <w:lang w:eastAsia="en-US"/>
        </w:rPr>
        <w:t xml:space="preserve"> 2024.</w:t>
      </w:r>
      <w:r w:rsidR="006D647D" w:rsidRPr="00EB650B">
        <w:rPr>
          <w:rFonts w:ascii="Arial" w:eastAsia="Times New Roman" w:hAnsi="Arial" w:cs="Arial"/>
          <w:iCs/>
          <w:sz w:val="20"/>
          <w:szCs w:val="20"/>
          <w:lang w:eastAsia="en-US"/>
        </w:rPr>
        <w:t xml:space="preserve"> je plaćen po kamati u iznosu </w:t>
      </w:r>
      <w:r w:rsidR="00B47DC8" w:rsidRPr="00EB650B">
        <w:rPr>
          <w:rFonts w:ascii="Arial" w:eastAsia="Times New Roman" w:hAnsi="Arial" w:cs="Arial"/>
          <w:iCs/>
          <w:sz w:val="20"/>
          <w:szCs w:val="20"/>
          <w:lang w:eastAsia="en-US"/>
        </w:rPr>
        <w:t>5,175</w:t>
      </w:r>
      <w:r w:rsidR="006D647D" w:rsidRPr="00EB650B">
        <w:rPr>
          <w:rFonts w:ascii="Arial" w:eastAsia="Times New Roman" w:hAnsi="Arial" w:cs="Arial"/>
          <w:iCs/>
          <w:sz w:val="20"/>
          <w:szCs w:val="20"/>
          <w:lang w:eastAsia="en-US"/>
        </w:rPr>
        <w:t>%, a u prosincu 202</w:t>
      </w:r>
      <w:r w:rsidR="00B47DC8" w:rsidRPr="00EB650B">
        <w:rPr>
          <w:rFonts w:ascii="Arial" w:eastAsia="Times New Roman" w:hAnsi="Arial" w:cs="Arial"/>
          <w:iCs/>
          <w:sz w:val="20"/>
          <w:szCs w:val="20"/>
          <w:lang w:eastAsia="en-US"/>
        </w:rPr>
        <w:t>4</w:t>
      </w:r>
      <w:r w:rsidR="006D647D" w:rsidRPr="00EB650B">
        <w:rPr>
          <w:rFonts w:ascii="Arial" w:eastAsia="Times New Roman" w:hAnsi="Arial" w:cs="Arial"/>
          <w:iCs/>
          <w:sz w:val="20"/>
          <w:szCs w:val="20"/>
          <w:lang w:eastAsia="en-US"/>
        </w:rPr>
        <w:t xml:space="preserve">. po kamati u iznosu </w:t>
      </w:r>
      <w:r w:rsidR="00B47DC8" w:rsidRPr="00EB650B">
        <w:rPr>
          <w:rFonts w:ascii="Arial" w:eastAsia="Times New Roman" w:hAnsi="Arial" w:cs="Arial"/>
          <w:iCs/>
          <w:sz w:val="20"/>
          <w:szCs w:val="20"/>
          <w:lang w:eastAsia="en-US"/>
        </w:rPr>
        <w:t>4,806</w:t>
      </w:r>
      <w:r w:rsidR="006D647D" w:rsidRPr="00EB650B">
        <w:rPr>
          <w:rFonts w:ascii="Arial" w:eastAsia="Times New Roman" w:hAnsi="Arial" w:cs="Arial"/>
          <w:iCs/>
          <w:sz w:val="20"/>
          <w:szCs w:val="20"/>
          <w:lang w:eastAsia="en-US"/>
        </w:rPr>
        <w:t>%.</w:t>
      </w:r>
    </w:p>
    <w:p w14:paraId="0FF7AEA4" w14:textId="20C55AD7" w:rsidR="00B47DC8" w:rsidRPr="00EB650B" w:rsidRDefault="00B47DC8" w:rsidP="00B47DC8">
      <w:pPr>
        <w:spacing w:after="0" w:line="240" w:lineRule="auto"/>
        <w:ind w:firstLine="708"/>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U </w:t>
      </w:r>
      <w:r w:rsidR="00465D4F" w:rsidRPr="00EB650B">
        <w:rPr>
          <w:rFonts w:ascii="Arial" w:eastAsia="Times New Roman" w:hAnsi="Arial" w:cs="Arial"/>
          <w:iCs/>
          <w:sz w:val="20"/>
          <w:szCs w:val="20"/>
          <w:lang w:eastAsia="en-US"/>
        </w:rPr>
        <w:t xml:space="preserve">travnju </w:t>
      </w:r>
      <w:r w:rsidRPr="00EB650B">
        <w:rPr>
          <w:rFonts w:ascii="Arial" w:eastAsia="Times New Roman" w:hAnsi="Arial" w:cs="Arial"/>
          <w:iCs/>
          <w:sz w:val="20"/>
          <w:szCs w:val="20"/>
          <w:lang w:eastAsia="en-US"/>
        </w:rPr>
        <w:t xml:space="preserve">2025. su otplaćen je kredit u cijelosti (obrok u ožujku 2025. i prijevremena otplata kredita u travnju 2025. (glavnica kredita 219.229,24 €, kamata 2.498,06 € i naknada za prijevremenu otplatu 1.461,53 €). Krajnji rok otplate je bio 30.9.2025. Obrok u ožujku 2025. godini plaćen po kamati u iznosu 4,163%, obrok u </w:t>
      </w:r>
      <w:r w:rsidR="00465D4F" w:rsidRPr="00EB650B">
        <w:rPr>
          <w:rFonts w:ascii="Arial" w:eastAsia="Times New Roman" w:hAnsi="Arial" w:cs="Arial"/>
          <w:iCs/>
          <w:sz w:val="20"/>
          <w:szCs w:val="20"/>
          <w:lang w:eastAsia="en-US"/>
        </w:rPr>
        <w:t>travnju</w:t>
      </w:r>
      <w:r w:rsidRPr="00EB650B">
        <w:rPr>
          <w:rFonts w:ascii="Arial" w:eastAsia="Times New Roman" w:hAnsi="Arial" w:cs="Arial"/>
          <w:iCs/>
          <w:sz w:val="20"/>
          <w:szCs w:val="20"/>
          <w:lang w:eastAsia="en-US"/>
        </w:rPr>
        <w:t xml:space="preserve"> 202</w:t>
      </w:r>
      <w:r w:rsidR="00465D4F" w:rsidRPr="00EB650B">
        <w:rPr>
          <w:rFonts w:ascii="Arial" w:eastAsia="Times New Roman" w:hAnsi="Arial" w:cs="Arial"/>
          <w:iCs/>
          <w:sz w:val="20"/>
          <w:szCs w:val="20"/>
          <w:lang w:eastAsia="en-US"/>
        </w:rPr>
        <w:t>5</w:t>
      </w:r>
      <w:r w:rsidRPr="00EB650B">
        <w:rPr>
          <w:rFonts w:ascii="Arial" w:eastAsia="Times New Roman" w:hAnsi="Arial" w:cs="Arial"/>
          <w:iCs/>
          <w:sz w:val="20"/>
          <w:szCs w:val="20"/>
          <w:lang w:eastAsia="en-US"/>
        </w:rPr>
        <w:t xml:space="preserve">. plaćen je po kamati u iznosu </w:t>
      </w:r>
      <w:r w:rsidR="00465D4F" w:rsidRPr="00EB650B">
        <w:rPr>
          <w:rFonts w:ascii="Arial" w:eastAsia="Times New Roman" w:hAnsi="Arial" w:cs="Arial"/>
          <w:iCs/>
          <w:sz w:val="20"/>
          <w:szCs w:val="20"/>
          <w:lang w:eastAsia="en-US"/>
        </w:rPr>
        <w:t>3,808</w:t>
      </w:r>
      <w:r w:rsidRPr="00EB650B">
        <w:rPr>
          <w:rFonts w:ascii="Arial" w:eastAsia="Times New Roman" w:hAnsi="Arial" w:cs="Arial"/>
          <w:iCs/>
          <w:sz w:val="20"/>
          <w:szCs w:val="20"/>
          <w:lang w:eastAsia="en-US"/>
        </w:rPr>
        <w:t>%.</w:t>
      </w:r>
    </w:p>
    <w:p w14:paraId="4A26A679" w14:textId="5AF97DF0" w:rsidR="00891119" w:rsidRPr="00CB4F90" w:rsidRDefault="00891119" w:rsidP="00DE2CF6">
      <w:pPr>
        <w:spacing w:after="0" w:line="240" w:lineRule="auto"/>
        <w:ind w:left="2836" w:firstLine="709"/>
        <w:jc w:val="both"/>
        <w:rPr>
          <w:rFonts w:ascii="Arial" w:eastAsia="Times New Roman" w:hAnsi="Arial" w:cs="Arial"/>
          <w:i/>
          <w:iCs/>
          <w:sz w:val="20"/>
          <w:lang w:eastAsia="en-US"/>
        </w:rPr>
      </w:pPr>
      <w:r w:rsidRPr="00CB4F90">
        <w:rPr>
          <w:rFonts w:ascii="Arial" w:eastAsia="Times New Roman" w:hAnsi="Arial" w:cs="Arial"/>
          <w:i/>
          <w:iCs/>
          <w:sz w:val="20"/>
          <w:lang w:eastAsia="en-US"/>
        </w:rPr>
        <w:t>*Rekapitulacija:</w:t>
      </w:r>
      <w:r w:rsidR="00F057D2" w:rsidRPr="00CB4F90">
        <w:rPr>
          <w:rFonts w:ascii="Arial" w:eastAsia="Times New Roman" w:hAnsi="Arial" w:cs="Arial"/>
          <w:i/>
          <w:iCs/>
          <w:sz w:val="20"/>
          <w:lang w:eastAsia="en-US"/>
        </w:rPr>
        <w:t xml:space="preserve"> </w:t>
      </w:r>
    </w:p>
    <w:p w14:paraId="54889707" w14:textId="4646D95F" w:rsidR="00DB2C0A" w:rsidRPr="003A2F86" w:rsidRDefault="001128ED" w:rsidP="00DB2C0A">
      <w:pPr>
        <w:spacing w:after="0" w:line="240" w:lineRule="auto"/>
        <w:jc w:val="center"/>
        <w:rPr>
          <w:rFonts w:ascii="Arial" w:eastAsia="Times New Roman" w:hAnsi="Arial" w:cs="Arial"/>
          <w:b/>
          <w:iCs/>
          <w:lang w:eastAsia="en-US"/>
        </w:rPr>
      </w:pPr>
      <w:r w:rsidRPr="001128ED">
        <w:rPr>
          <w:noProof/>
        </w:rPr>
        <w:drawing>
          <wp:inline distT="0" distB="0" distL="0" distR="0" wp14:anchorId="4D5D753D" wp14:editId="555D15D1">
            <wp:extent cx="6353298" cy="4147973"/>
            <wp:effectExtent l="0" t="0" r="0" b="5080"/>
            <wp:docPr id="38784461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6355562" cy="4149451"/>
                    </a:xfrm>
                    <a:prstGeom prst="rect">
                      <a:avLst/>
                    </a:prstGeom>
                    <a:noFill/>
                    <a:ln>
                      <a:noFill/>
                    </a:ln>
                  </pic:spPr>
                </pic:pic>
              </a:graphicData>
            </a:graphic>
          </wp:inline>
        </w:drawing>
      </w:r>
    </w:p>
    <w:p w14:paraId="60E0A976" w14:textId="77777777" w:rsidR="00992310" w:rsidRDefault="00992310" w:rsidP="00CB10A5">
      <w:pPr>
        <w:spacing w:after="0" w:line="240" w:lineRule="auto"/>
        <w:jc w:val="both"/>
        <w:rPr>
          <w:rFonts w:ascii="Arial" w:eastAsia="Times New Roman" w:hAnsi="Arial" w:cs="Arial"/>
          <w:bCs/>
          <w:iCs/>
          <w:lang w:eastAsia="en-US"/>
        </w:rPr>
      </w:pPr>
    </w:p>
    <w:p w14:paraId="0AAAC976" w14:textId="77777777" w:rsidR="004F0FC8" w:rsidRDefault="004F0FC8" w:rsidP="00CB10A5">
      <w:pPr>
        <w:spacing w:after="0" w:line="240" w:lineRule="auto"/>
        <w:jc w:val="both"/>
        <w:rPr>
          <w:rFonts w:ascii="Arial" w:eastAsia="Times New Roman" w:hAnsi="Arial" w:cs="Arial"/>
          <w:bCs/>
          <w:iCs/>
          <w:lang w:eastAsia="en-US"/>
        </w:rPr>
      </w:pPr>
    </w:p>
    <w:p w14:paraId="632703EB" w14:textId="77777777" w:rsidR="004F0FC8" w:rsidRDefault="004F0FC8" w:rsidP="00CB10A5">
      <w:pPr>
        <w:spacing w:after="0" w:line="240" w:lineRule="auto"/>
        <w:jc w:val="both"/>
        <w:rPr>
          <w:rFonts w:ascii="Arial" w:eastAsia="Times New Roman" w:hAnsi="Arial" w:cs="Arial"/>
          <w:bCs/>
          <w:iCs/>
          <w:lang w:eastAsia="en-US"/>
        </w:rPr>
      </w:pPr>
    </w:p>
    <w:p w14:paraId="03C69BD3" w14:textId="77777777" w:rsidR="004F0FC8" w:rsidRPr="00CB10A5" w:rsidRDefault="004F0FC8" w:rsidP="00CB10A5">
      <w:pPr>
        <w:spacing w:after="0" w:line="240" w:lineRule="auto"/>
        <w:jc w:val="both"/>
        <w:rPr>
          <w:rFonts w:ascii="Arial" w:eastAsia="Times New Roman" w:hAnsi="Arial" w:cs="Arial"/>
          <w:bCs/>
          <w:iCs/>
          <w:lang w:eastAsia="en-US"/>
        </w:rPr>
      </w:pPr>
    </w:p>
    <w:p w14:paraId="30CC6051" w14:textId="16826FE4" w:rsidR="00664410" w:rsidRPr="00CB4F90" w:rsidRDefault="00664410">
      <w:pPr>
        <w:pStyle w:val="Odlomakpopisa"/>
        <w:numPr>
          <w:ilvl w:val="0"/>
          <w:numId w:val="21"/>
        </w:numPr>
        <w:rPr>
          <w:rFonts w:ascii="Arial" w:hAnsi="Arial" w:cs="Arial"/>
          <w:b/>
          <w:iCs/>
        </w:rPr>
      </w:pPr>
      <w:r w:rsidRPr="00CB4F90">
        <w:rPr>
          <w:rFonts w:ascii="Arial" w:hAnsi="Arial" w:cs="Arial"/>
          <w:b/>
          <w:iCs/>
        </w:rPr>
        <w:lastRenderedPageBreak/>
        <w:t>Ugovor o dugoročnom kreditu – Izgradnja zajedničkog vatrogasnog doma i spremišta Vatrogasni dom Gruda i nabava vatrogasnih vozila i opreme</w:t>
      </w:r>
    </w:p>
    <w:p w14:paraId="35C7DE30" w14:textId="7299568A" w:rsidR="00664410" w:rsidRPr="00CB4F90" w:rsidRDefault="00664410" w:rsidP="00664410">
      <w:pPr>
        <w:spacing w:after="0" w:line="240" w:lineRule="auto"/>
        <w:jc w:val="both"/>
        <w:rPr>
          <w:rFonts w:ascii="Arial" w:eastAsia="Times New Roman" w:hAnsi="Arial" w:cs="Arial"/>
          <w:iCs/>
          <w:lang w:eastAsia="en-US"/>
        </w:rPr>
      </w:pPr>
    </w:p>
    <w:p w14:paraId="7E01A29C" w14:textId="4F8EC148" w:rsidR="00664410" w:rsidRPr="00EB650B" w:rsidRDefault="00664410" w:rsidP="008140AE">
      <w:pPr>
        <w:spacing w:after="0" w:line="240" w:lineRule="auto"/>
        <w:ind w:firstLine="709"/>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Općina Konavle je ishodila građevinsku dozvolu za izgradnju vatrogasnog doma u rujnu 2017. godine, a produženje važenja građevinske dozvole u rujnu 2020. godine.</w:t>
      </w:r>
      <w:r w:rsidR="008140AE" w:rsidRPr="00EB650B">
        <w:rPr>
          <w:rFonts w:ascii="Arial" w:eastAsia="Times New Roman" w:hAnsi="Arial" w:cs="Arial"/>
          <w:iCs/>
          <w:sz w:val="20"/>
          <w:szCs w:val="20"/>
          <w:lang w:eastAsia="en-US"/>
        </w:rPr>
        <w:t xml:space="preserve"> </w:t>
      </w:r>
      <w:r w:rsidRPr="00EB650B">
        <w:rPr>
          <w:rFonts w:ascii="Arial" w:eastAsia="Times New Roman" w:hAnsi="Arial" w:cs="Arial"/>
          <w:iCs/>
          <w:sz w:val="20"/>
          <w:szCs w:val="20"/>
          <w:lang w:eastAsia="en-US"/>
        </w:rPr>
        <w:t>Ugovor o dodjeli potpore za projekt Izgradnje zajedničkog vatrogasnog doma i spremišta - Vatrogasni dom Gruda je zaključen u travnju 2019. godine s Agencijom za plaćanja u poljoprivredi, ribarstvu i ruralnom razvoju. Ovim ugovorom je određena potpora u vrijednosti 80% ukupno prihvatljivih troškova projekta određenog planom nabave, odnosno procijenjeni iznos potpore 9.109.402,70 kn</w:t>
      </w:r>
      <w:r w:rsidR="00510165" w:rsidRPr="00EB650B">
        <w:rPr>
          <w:rFonts w:ascii="Arial" w:eastAsia="Times New Roman" w:hAnsi="Arial" w:cs="Arial"/>
          <w:iCs/>
          <w:sz w:val="20"/>
          <w:szCs w:val="20"/>
          <w:lang w:eastAsia="en-US"/>
        </w:rPr>
        <w:t xml:space="preserve"> (1.209.025,51 €)</w:t>
      </w:r>
      <w:r w:rsidRPr="00EB650B">
        <w:rPr>
          <w:rFonts w:ascii="Arial" w:eastAsia="Times New Roman" w:hAnsi="Arial" w:cs="Arial"/>
          <w:iCs/>
          <w:sz w:val="20"/>
          <w:szCs w:val="20"/>
          <w:lang w:eastAsia="en-US"/>
        </w:rPr>
        <w:t>. Planom nabave uz osnovni ugovor je bila utvrđena procijenjena vrijednost troškova građenja 11.169.753,38 kn (s PDV-om)</w:t>
      </w:r>
      <w:r w:rsidR="00510165" w:rsidRPr="00EB650B">
        <w:rPr>
          <w:rFonts w:ascii="Arial" w:eastAsia="Times New Roman" w:hAnsi="Arial" w:cs="Arial"/>
          <w:iCs/>
          <w:sz w:val="20"/>
          <w:szCs w:val="20"/>
          <w:lang w:eastAsia="en-US"/>
        </w:rPr>
        <w:t xml:space="preserve"> (1.482.481,04 €)</w:t>
      </w:r>
      <w:r w:rsidRPr="00EB650B">
        <w:rPr>
          <w:rFonts w:ascii="Arial" w:eastAsia="Times New Roman" w:hAnsi="Arial" w:cs="Arial"/>
          <w:iCs/>
          <w:sz w:val="20"/>
          <w:szCs w:val="20"/>
          <w:lang w:eastAsia="en-US"/>
        </w:rPr>
        <w:t>. Međutim, nakon provedenog postupka nabave (prosinac 2020. godine) radovi izgradnje su iznosili 11.320.642,60 kn</w:t>
      </w:r>
      <w:r w:rsidR="00510165" w:rsidRPr="00EB650B">
        <w:rPr>
          <w:rFonts w:ascii="Arial" w:eastAsia="Times New Roman" w:hAnsi="Arial" w:cs="Arial"/>
          <w:iCs/>
          <w:sz w:val="20"/>
          <w:szCs w:val="20"/>
          <w:lang w:eastAsia="en-US"/>
        </w:rPr>
        <w:t xml:space="preserve"> (1.502.507,48 €)</w:t>
      </w:r>
      <w:r w:rsidRPr="00EB650B">
        <w:rPr>
          <w:rFonts w:ascii="Arial" w:eastAsia="Times New Roman" w:hAnsi="Arial" w:cs="Arial"/>
          <w:iCs/>
          <w:sz w:val="20"/>
          <w:szCs w:val="20"/>
          <w:lang w:eastAsia="en-US"/>
        </w:rPr>
        <w:t>, odnosno 14.150.803,25 kn s porezom na dodanu vrijednost</w:t>
      </w:r>
      <w:r w:rsidR="00510165" w:rsidRPr="00EB650B">
        <w:rPr>
          <w:rFonts w:ascii="Arial" w:eastAsia="Times New Roman" w:hAnsi="Arial" w:cs="Arial"/>
          <w:iCs/>
          <w:sz w:val="20"/>
          <w:szCs w:val="20"/>
          <w:lang w:eastAsia="en-US"/>
        </w:rPr>
        <w:t xml:space="preserve"> (1.878.134,35 €)</w:t>
      </w:r>
      <w:r w:rsidRPr="00EB650B">
        <w:rPr>
          <w:rFonts w:ascii="Arial" w:eastAsia="Times New Roman" w:hAnsi="Arial" w:cs="Arial"/>
          <w:iCs/>
          <w:sz w:val="20"/>
          <w:szCs w:val="20"/>
          <w:lang w:eastAsia="en-US"/>
        </w:rPr>
        <w:t>. Ugovor s odabranim izvoditeljem Općina je zaključila 4.3.2021.</w:t>
      </w:r>
      <w:r w:rsidR="00CB4F90" w:rsidRPr="00EB650B">
        <w:rPr>
          <w:rFonts w:ascii="Arial" w:eastAsia="Times New Roman" w:hAnsi="Arial" w:cs="Arial"/>
          <w:iCs/>
          <w:sz w:val="20"/>
          <w:szCs w:val="20"/>
          <w:lang w:eastAsia="en-US"/>
        </w:rPr>
        <w:t xml:space="preserve"> </w:t>
      </w:r>
    </w:p>
    <w:p w14:paraId="3111662D" w14:textId="77777777" w:rsidR="00CB4F90" w:rsidRPr="00EB650B" w:rsidRDefault="00CB4F90" w:rsidP="008140AE">
      <w:pPr>
        <w:spacing w:after="0" w:line="240" w:lineRule="auto"/>
        <w:ind w:firstLine="709"/>
        <w:jc w:val="both"/>
        <w:rPr>
          <w:rFonts w:ascii="Arial" w:eastAsia="Times New Roman" w:hAnsi="Arial" w:cs="Arial"/>
          <w:iCs/>
          <w:sz w:val="20"/>
          <w:szCs w:val="20"/>
          <w:lang w:eastAsia="en-US"/>
        </w:rPr>
      </w:pPr>
    </w:p>
    <w:p w14:paraId="33EC55A0" w14:textId="28778974" w:rsidR="00F40720" w:rsidRPr="00EB650B" w:rsidRDefault="00664410" w:rsidP="00664410">
      <w:pPr>
        <w:spacing w:after="0" w:line="240" w:lineRule="auto"/>
        <w:ind w:firstLine="708"/>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Usporedo s provedbom ovog projekta, </w:t>
      </w:r>
      <w:r w:rsidR="00441F7A" w:rsidRPr="00EB650B">
        <w:rPr>
          <w:rFonts w:ascii="Arial" w:eastAsia="Times New Roman" w:hAnsi="Arial" w:cs="Arial"/>
          <w:iCs/>
          <w:sz w:val="20"/>
          <w:szCs w:val="20"/>
          <w:lang w:eastAsia="en-US"/>
        </w:rPr>
        <w:t xml:space="preserve">putem </w:t>
      </w:r>
      <w:r w:rsidRPr="00EB650B">
        <w:rPr>
          <w:rFonts w:ascii="Arial" w:eastAsia="Times New Roman" w:hAnsi="Arial" w:cs="Arial"/>
          <w:iCs/>
          <w:sz w:val="20"/>
          <w:szCs w:val="20"/>
          <w:lang w:eastAsia="en-US"/>
        </w:rPr>
        <w:t xml:space="preserve">prekogranične suradnje </w:t>
      </w:r>
      <w:r w:rsidR="00441F7A" w:rsidRPr="00EB650B">
        <w:rPr>
          <w:rFonts w:ascii="Arial" w:eastAsia="Times New Roman" w:hAnsi="Arial" w:cs="Arial"/>
          <w:iCs/>
          <w:sz w:val="20"/>
          <w:szCs w:val="20"/>
          <w:lang w:eastAsia="en-US"/>
        </w:rPr>
        <w:t>osigurana je nabava</w:t>
      </w:r>
      <w:r w:rsidRPr="00EB650B">
        <w:rPr>
          <w:rFonts w:ascii="Arial" w:eastAsia="Times New Roman" w:hAnsi="Arial" w:cs="Arial"/>
          <w:iCs/>
          <w:sz w:val="20"/>
          <w:szCs w:val="20"/>
          <w:lang w:eastAsia="en-US"/>
        </w:rPr>
        <w:t xml:space="preserve"> druge opreme za vatrogastvo (dron, specijalizirana oprema za vozila i ljude – prevencija od poplava i požara), te nabav</w:t>
      </w:r>
      <w:r w:rsidR="00441F7A" w:rsidRPr="00EB650B">
        <w:rPr>
          <w:rFonts w:ascii="Arial" w:eastAsia="Times New Roman" w:hAnsi="Arial" w:cs="Arial"/>
          <w:iCs/>
          <w:sz w:val="20"/>
          <w:szCs w:val="20"/>
          <w:lang w:eastAsia="en-US"/>
        </w:rPr>
        <w:t>a</w:t>
      </w:r>
      <w:r w:rsidRPr="00EB650B">
        <w:rPr>
          <w:rFonts w:ascii="Arial" w:eastAsia="Times New Roman" w:hAnsi="Arial" w:cs="Arial"/>
          <w:iCs/>
          <w:sz w:val="20"/>
          <w:szCs w:val="20"/>
          <w:lang w:eastAsia="en-US"/>
        </w:rPr>
        <w:t xml:space="preserve"> vatrogasnog vozila iz projekta FLOOD &amp; FIRE; unutar kojeg su i drugi troškovi povezani uz tehničku pomoć, trošak zajedničkih vježbi i slično </w:t>
      </w:r>
      <w:r w:rsidR="00441F7A" w:rsidRPr="00EB650B">
        <w:rPr>
          <w:rFonts w:ascii="Arial" w:eastAsia="Times New Roman" w:hAnsi="Arial" w:cs="Arial"/>
          <w:iCs/>
          <w:sz w:val="20"/>
          <w:szCs w:val="20"/>
          <w:lang w:eastAsia="en-US"/>
        </w:rPr>
        <w:t>se</w:t>
      </w:r>
      <w:r w:rsidRPr="00EB650B">
        <w:rPr>
          <w:rFonts w:ascii="Arial" w:eastAsia="Times New Roman" w:hAnsi="Arial" w:cs="Arial"/>
          <w:iCs/>
          <w:sz w:val="20"/>
          <w:szCs w:val="20"/>
          <w:lang w:eastAsia="en-US"/>
        </w:rPr>
        <w:t xml:space="preserve"> osigurava već</w:t>
      </w:r>
      <w:r w:rsidR="00441F7A" w:rsidRPr="00EB650B">
        <w:rPr>
          <w:rFonts w:ascii="Arial" w:eastAsia="Times New Roman" w:hAnsi="Arial" w:cs="Arial"/>
          <w:iCs/>
          <w:sz w:val="20"/>
          <w:szCs w:val="20"/>
          <w:lang w:eastAsia="en-US"/>
        </w:rPr>
        <w:t>a</w:t>
      </w:r>
      <w:r w:rsidRPr="00EB650B">
        <w:rPr>
          <w:rFonts w:ascii="Arial" w:eastAsia="Times New Roman" w:hAnsi="Arial" w:cs="Arial"/>
          <w:iCs/>
          <w:sz w:val="20"/>
          <w:szCs w:val="20"/>
          <w:lang w:eastAsia="en-US"/>
        </w:rPr>
        <w:t xml:space="preserve"> razin</w:t>
      </w:r>
      <w:r w:rsidR="00441F7A" w:rsidRPr="00EB650B">
        <w:rPr>
          <w:rFonts w:ascii="Arial" w:eastAsia="Times New Roman" w:hAnsi="Arial" w:cs="Arial"/>
          <w:iCs/>
          <w:sz w:val="20"/>
          <w:szCs w:val="20"/>
          <w:lang w:eastAsia="en-US"/>
        </w:rPr>
        <w:t>a</w:t>
      </w:r>
      <w:r w:rsidRPr="00EB650B">
        <w:rPr>
          <w:rFonts w:ascii="Arial" w:eastAsia="Times New Roman" w:hAnsi="Arial" w:cs="Arial"/>
          <w:iCs/>
          <w:sz w:val="20"/>
          <w:szCs w:val="20"/>
          <w:lang w:eastAsia="en-US"/>
        </w:rPr>
        <w:t xml:space="preserve"> opremljenosti.</w:t>
      </w:r>
      <w:r w:rsidR="00F40720" w:rsidRPr="00EB650B">
        <w:rPr>
          <w:rFonts w:ascii="Arial" w:eastAsia="Times New Roman" w:hAnsi="Arial" w:cs="Arial"/>
          <w:iCs/>
          <w:sz w:val="20"/>
          <w:szCs w:val="20"/>
          <w:lang w:eastAsia="en-US"/>
        </w:rPr>
        <w:t xml:space="preserve"> Općina Konavle kao jedan od projektnih partnera u projektu Flood&amp;Fire uključena je u sve projektne aktivnosti s ciljem povećavanja zaštite vlastitog teritorija (209,5 km2) od prirodnih nepogoda poplava i požara. U sklopu projekta Općina Konavle će provesti nabavu specijalizirane opreme kako bi se povećala tehnička spremnost nadležnih službi za reakciju u slučaju prirodnih nepogoda poput poplava i požara. Ovaj projekt će se sufinancirati iz INTERREG programa HR-BIH-MNE. Zaduživanje </w:t>
      </w:r>
      <w:r w:rsidR="008140AE" w:rsidRPr="00EB650B">
        <w:rPr>
          <w:rFonts w:ascii="Arial" w:eastAsia="Times New Roman" w:hAnsi="Arial" w:cs="Arial"/>
          <w:iCs/>
          <w:sz w:val="20"/>
          <w:szCs w:val="20"/>
          <w:lang w:eastAsia="en-US"/>
        </w:rPr>
        <w:t xml:space="preserve">je planirano </w:t>
      </w:r>
      <w:r w:rsidR="00F40720" w:rsidRPr="00EB650B">
        <w:rPr>
          <w:rFonts w:ascii="Arial" w:eastAsia="Times New Roman" w:hAnsi="Arial" w:cs="Arial"/>
          <w:iCs/>
          <w:sz w:val="20"/>
          <w:szCs w:val="20"/>
          <w:lang w:eastAsia="en-US"/>
        </w:rPr>
        <w:t>za potrebe nabave vatrogasnog vozila (cisterne) s pripadajućom opremom procijenjene vrijednosti 292.000 EUR.</w:t>
      </w:r>
    </w:p>
    <w:p w14:paraId="0CE10208" w14:textId="77777777" w:rsidR="008140AE" w:rsidRPr="00EB650B" w:rsidRDefault="008140AE" w:rsidP="00664410">
      <w:pPr>
        <w:spacing w:after="0" w:line="240" w:lineRule="auto"/>
        <w:ind w:firstLine="708"/>
        <w:jc w:val="both"/>
        <w:rPr>
          <w:rFonts w:ascii="Arial" w:eastAsia="Times New Roman" w:hAnsi="Arial" w:cs="Arial"/>
          <w:iCs/>
          <w:sz w:val="20"/>
          <w:szCs w:val="20"/>
          <w:lang w:eastAsia="en-US"/>
        </w:rPr>
      </w:pPr>
    </w:p>
    <w:p w14:paraId="4195E4A4" w14:textId="7A2E20F8" w:rsidR="002F0FA6" w:rsidRPr="00EB650B" w:rsidRDefault="00664410" w:rsidP="008140AE">
      <w:pPr>
        <w:spacing w:after="0" w:line="240" w:lineRule="auto"/>
        <w:ind w:firstLine="708"/>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Općinsko vijeće Općine Konavle je </w:t>
      </w:r>
      <w:r w:rsidR="002F0FA6" w:rsidRPr="00EB650B">
        <w:rPr>
          <w:rFonts w:ascii="Arial" w:eastAsia="Times New Roman" w:hAnsi="Arial" w:cs="Arial"/>
          <w:iCs/>
          <w:sz w:val="20"/>
          <w:szCs w:val="20"/>
          <w:lang w:eastAsia="en-US"/>
        </w:rPr>
        <w:t>5</w:t>
      </w:r>
      <w:r w:rsidRPr="00EB650B">
        <w:rPr>
          <w:rFonts w:ascii="Arial" w:eastAsia="Times New Roman" w:hAnsi="Arial" w:cs="Arial"/>
          <w:iCs/>
          <w:sz w:val="20"/>
          <w:szCs w:val="20"/>
          <w:lang w:eastAsia="en-US"/>
        </w:rPr>
        <w:t>. studenoga 20</w:t>
      </w:r>
      <w:r w:rsidR="002F0FA6" w:rsidRPr="00EB650B">
        <w:rPr>
          <w:rFonts w:ascii="Arial" w:eastAsia="Times New Roman" w:hAnsi="Arial" w:cs="Arial"/>
          <w:iCs/>
          <w:sz w:val="20"/>
          <w:szCs w:val="20"/>
          <w:lang w:eastAsia="en-US"/>
        </w:rPr>
        <w:t>21</w:t>
      </w:r>
      <w:r w:rsidRPr="00EB650B">
        <w:rPr>
          <w:rFonts w:ascii="Arial" w:eastAsia="Times New Roman" w:hAnsi="Arial" w:cs="Arial"/>
          <w:iCs/>
          <w:sz w:val="20"/>
          <w:szCs w:val="20"/>
          <w:lang w:eastAsia="en-US"/>
        </w:rPr>
        <w:t xml:space="preserve">. donijelo odluku o zaduživanju kojom je odobrilo zaduživanje kod </w:t>
      </w:r>
      <w:r w:rsidR="00B06653" w:rsidRPr="00EB650B">
        <w:rPr>
          <w:rFonts w:ascii="Arial" w:eastAsia="Times New Roman" w:hAnsi="Arial" w:cs="Arial"/>
          <w:iCs/>
          <w:sz w:val="20"/>
          <w:szCs w:val="20"/>
          <w:lang w:eastAsia="en-US"/>
        </w:rPr>
        <w:t xml:space="preserve">Hrvatske </w:t>
      </w:r>
      <w:r w:rsidRPr="00EB650B">
        <w:rPr>
          <w:rFonts w:ascii="Arial" w:eastAsia="Times New Roman" w:hAnsi="Arial" w:cs="Arial"/>
          <w:iCs/>
          <w:sz w:val="20"/>
          <w:szCs w:val="20"/>
          <w:lang w:eastAsia="en-US"/>
        </w:rPr>
        <w:t xml:space="preserve">banke </w:t>
      </w:r>
      <w:r w:rsidR="00B06653" w:rsidRPr="00EB650B">
        <w:rPr>
          <w:rFonts w:ascii="Arial" w:eastAsia="Times New Roman" w:hAnsi="Arial" w:cs="Arial"/>
          <w:iCs/>
          <w:sz w:val="20"/>
          <w:szCs w:val="20"/>
          <w:lang w:eastAsia="en-US"/>
        </w:rPr>
        <w:t xml:space="preserve">za obnovu i razvitak </w:t>
      </w:r>
      <w:r w:rsidRPr="00EB650B">
        <w:rPr>
          <w:rFonts w:ascii="Arial" w:eastAsia="Times New Roman" w:hAnsi="Arial" w:cs="Arial"/>
          <w:iCs/>
          <w:sz w:val="20"/>
          <w:szCs w:val="20"/>
          <w:lang w:eastAsia="en-US"/>
        </w:rPr>
        <w:t xml:space="preserve">za potrebe predfinanciranja kapitalnog projekta </w:t>
      </w:r>
      <w:r w:rsidR="002F0FA6" w:rsidRPr="00EB650B">
        <w:rPr>
          <w:rFonts w:ascii="Arial" w:eastAsia="Times New Roman" w:hAnsi="Arial" w:cs="Arial"/>
          <w:iCs/>
          <w:sz w:val="20"/>
          <w:szCs w:val="20"/>
          <w:lang w:eastAsia="en-US"/>
        </w:rPr>
        <w:t>zajedničkog vatrogasnog doma i spremišta Vatrogasni dom Gruda, te nabavu vatrogasnog vozila i opreme</w:t>
      </w:r>
      <w:r w:rsidRPr="00EB650B">
        <w:rPr>
          <w:rFonts w:ascii="Arial" w:eastAsia="Times New Roman" w:hAnsi="Arial" w:cs="Arial"/>
          <w:iCs/>
          <w:sz w:val="20"/>
          <w:szCs w:val="20"/>
          <w:lang w:eastAsia="en-US"/>
        </w:rPr>
        <w:t xml:space="preserve"> uzimanjem dugoročnog kredita u kunama u iznosu </w:t>
      </w:r>
      <w:r w:rsidR="002F0FA6" w:rsidRPr="00EB650B">
        <w:rPr>
          <w:rFonts w:ascii="Arial" w:eastAsia="Times New Roman" w:hAnsi="Arial" w:cs="Arial"/>
          <w:iCs/>
          <w:sz w:val="20"/>
          <w:szCs w:val="20"/>
          <w:lang w:eastAsia="en-US"/>
        </w:rPr>
        <w:t>8.400.000</w:t>
      </w:r>
      <w:r w:rsidRPr="00EB650B">
        <w:rPr>
          <w:rFonts w:ascii="Arial" w:eastAsia="Times New Roman" w:hAnsi="Arial" w:cs="Arial"/>
          <w:iCs/>
          <w:sz w:val="20"/>
          <w:szCs w:val="20"/>
          <w:lang w:eastAsia="en-US"/>
        </w:rPr>
        <w:t xml:space="preserve"> kn </w:t>
      </w:r>
      <w:r w:rsidR="00510165" w:rsidRPr="00EB650B">
        <w:rPr>
          <w:rFonts w:ascii="Arial" w:eastAsia="Times New Roman" w:hAnsi="Arial" w:cs="Arial"/>
          <w:iCs/>
          <w:sz w:val="20"/>
          <w:szCs w:val="20"/>
          <w:lang w:eastAsia="en-US"/>
        </w:rPr>
        <w:t>(1.114.871,6 €)</w:t>
      </w:r>
      <w:r w:rsidR="00084D81" w:rsidRPr="00EB650B">
        <w:rPr>
          <w:rFonts w:ascii="Arial" w:eastAsia="Times New Roman" w:hAnsi="Arial" w:cs="Arial"/>
          <w:iCs/>
          <w:sz w:val="20"/>
          <w:szCs w:val="20"/>
          <w:lang w:eastAsia="en-US"/>
        </w:rPr>
        <w:t xml:space="preserve"> </w:t>
      </w:r>
      <w:r w:rsidRPr="00EB650B">
        <w:rPr>
          <w:rFonts w:ascii="Arial" w:eastAsia="Times New Roman" w:hAnsi="Arial" w:cs="Arial"/>
          <w:iCs/>
          <w:sz w:val="20"/>
          <w:szCs w:val="20"/>
          <w:lang w:eastAsia="en-US"/>
        </w:rPr>
        <w:t xml:space="preserve">uz redovnu fiksnu kamatnu stopu </w:t>
      </w:r>
      <w:r w:rsidR="002F0FA6" w:rsidRPr="00EB650B">
        <w:rPr>
          <w:rFonts w:ascii="Arial" w:eastAsia="Times New Roman" w:hAnsi="Arial" w:cs="Arial"/>
          <w:iCs/>
          <w:sz w:val="20"/>
          <w:szCs w:val="20"/>
          <w:lang w:eastAsia="en-US"/>
        </w:rPr>
        <w:t>1,2</w:t>
      </w:r>
      <w:r w:rsidRPr="00EB650B">
        <w:rPr>
          <w:rFonts w:ascii="Arial" w:eastAsia="Times New Roman" w:hAnsi="Arial" w:cs="Arial"/>
          <w:iCs/>
          <w:sz w:val="20"/>
          <w:szCs w:val="20"/>
          <w:lang w:eastAsia="en-US"/>
        </w:rPr>
        <w:t xml:space="preserve">% godišnje, s rokom otplate od </w:t>
      </w:r>
      <w:r w:rsidR="002F0FA6" w:rsidRPr="00EB650B">
        <w:rPr>
          <w:rFonts w:ascii="Arial" w:eastAsia="Times New Roman" w:hAnsi="Arial" w:cs="Arial"/>
          <w:iCs/>
          <w:sz w:val="20"/>
          <w:szCs w:val="20"/>
          <w:lang w:eastAsia="en-US"/>
        </w:rPr>
        <w:t>7</w:t>
      </w:r>
      <w:r w:rsidRPr="00EB650B">
        <w:rPr>
          <w:rFonts w:ascii="Arial" w:eastAsia="Times New Roman" w:hAnsi="Arial" w:cs="Arial"/>
          <w:iCs/>
          <w:sz w:val="20"/>
          <w:szCs w:val="20"/>
          <w:lang w:eastAsia="en-US"/>
        </w:rPr>
        <w:t xml:space="preserve"> godin</w:t>
      </w:r>
      <w:r w:rsidR="002F0FA6" w:rsidRPr="00EB650B">
        <w:rPr>
          <w:rFonts w:ascii="Arial" w:eastAsia="Times New Roman" w:hAnsi="Arial" w:cs="Arial"/>
          <w:iCs/>
          <w:sz w:val="20"/>
          <w:szCs w:val="20"/>
          <w:lang w:eastAsia="en-US"/>
        </w:rPr>
        <w:t>a</w:t>
      </w:r>
      <w:r w:rsidRPr="00EB650B">
        <w:rPr>
          <w:rFonts w:ascii="Arial" w:eastAsia="Times New Roman" w:hAnsi="Arial" w:cs="Arial"/>
          <w:iCs/>
          <w:sz w:val="20"/>
          <w:szCs w:val="20"/>
          <w:lang w:eastAsia="en-US"/>
        </w:rPr>
        <w:t xml:space="preserve"> </w:t>
      </w:r>
      <w:r w:rsidR="00437B4A" w:rsidRPr="00EB650B">
        <w:rPr>
          <w:rFonts w:ascii="Arial" w:eastAsia="Times New Roman" w:hAnsi="Arial" w:cs="Arial"/>
          <w:iCs/>
          <w:sz w:val="20"/>
          <w:szCs w:val="20"/>
          <w:lang w:eastAsia="en-US"/>
        </w:rPr>
        <w:t>uključujući</w:t>
      </w:r>
      <w:r w:rsidR="002F0FA6" w:rsidRPr="00EB650B">
        <w:rPr>
          <w:rFonts w:ascii="Arial" w:eastAsia="Times New Roman" w:hAnsi="Arial" w:cs="Arial"/>
          <w:iCs/>
          <w:sz w:val="20"/>
          <w:szCs w:val="20"/>
          <w:lang w:eastAsia="en-US"/>
        </w:rPr>
        <w:t xml:space="preserve"> 2 godine počeka </w:t>
      </w:r>
      <w:r w:rsidRPr="00EB650B">
        <w:rPr>
          <w:rFonts w:ascii="Arial" w:eastAsia="Times New Roman" w:hAnsi="Arial" w:cs="Arial"/>
          <w:iCs/>
          <w:sz w:val="20"/>
          <w:szCs w:val="20"/>
          <w:lang w:eastAsia="en-US"/>
        </w:rPr>
        <w:t xml:space="preserve">u </w:t>
      </w:r>
      <w:r w:rsidR="002F0FA6" w:rsidRPr="00EB650B">
        <w:rPr>
          <w:rFonts w:ascii="Arial" w:eastAsia="Times New Roman" w:hAnsi="Arial" w:cs="Arial"/>
          <w:iCs/>
          <w:sz w:val="20"/>
          <w:szCs w:val="20"/>
          <w:lang w:eastAsia="en-US"/>
        </w:rPr>
        <w:t>20</w:t>
      </w:r>
      <w:r w:rsidRPr="00EB650B">
        <w:rPr>
          <w:rFonts w:ascii="Arial" w:eastAsia="Times New Roman" w:hAnsi="Arial" w:cs="Arial"/>
          <w:iCs/>
          <w:sz w:val="20"/>
          <w:szCs w:val="20"/>
          <w:lang w:eastAsia="en-US"/>
        </w:rPr>
        <w:t xml:space="preserve"> jednakih tromjesečnih obroka. </w:t>
      </w:r>
      <w:r w:rsidR="002F0FA6" w:rsidRPr="00EB650B">
        <w:rPr>
          <w:rFonts w:ascii="Arial" w:eastAsia="Times New Roman" w:hAnsi="Arial" w:cs="Arial"/>
          <w:iCs/>
          <w:sz w:val="20"/>
          <w:szCs w:val="20"/>
          <w:lang w:eastAsia="en-US"/>
        </w:rPr>
        <w:t>Naknada za obradu kredita iznosi 0,2% i plaća se jednokratno prije prvog korištenja kredita. Naknade za rezervaciju sredstava nema, a naknada za prijevremenu otplatu kredita (dio koji se ne odnosi na primljena sredstva EU fondova) iznosi 1%. Za izgradnju vatrogasnog doma odobren je kredit u iznosu 6.600.000 kn</w:t>
      </w:r>
      <w:r w:rsidR="00510165" w:rsidRPr="00EB650B">
        <w:rPr>
          <w:rFonts w:ascii="Arial" w:eastAsia="Times New Roman" w:hAnsi="Arial" w:cs="Arial"/>
          <w:iCs/>
          <w:sz w:val="20"/>
          <w:szCs w:val="20"/>
          <w:lang w:eastAsia="en-US"/>
        </w:rPr>
        <w:t xml:space="preserve"> (875.970,55 €)</w:t>
      </w:r>
      <w:r w:rsidR="002F0FA6" w:rsidRPr="00EB650B">
        <w:rPr>
          <w:rFonts w:ascii="Arial" w:eastAsia="Times New Roman" w:hAnsi="Arial" w:cs="Arial"/>
          <w:iCs/>
          <w:sz w:val="20"/>
          <w:szCs w:val="20"/>
          <w:lang w:eastAsia="en-US"/>
        </w:rPr>
        <w:t>, a za nabavu vatrogasnog vozila i opreme 1.800.000 kn</w:t>
      </w:r>
      <w:r w:rsidR="00510165" w:rsidRPr="00EB650B">
        <w:rPr>
          <w:rFonts w:ascii="Arial" w:eastAsia="Times New Roman" w:hAnsi="Arial" w:cs="Arial"/>
          <w:iCs/>
          <w:sz w:val="20"/>
          <w:szCs w:val="20"/>
          <w:lang w:eastAsia="en-US"/>
        </w:rPr>
        <w:t xml:space="preserve"> (238.901,06 €)</w:t>
      </w:r>
      <w:r w:rsidR="002F0FA6" w:rsidRPr="00EB650B">
        <w:rPr>
          <w:rFonts w:ascii="Arial" w:eastAsia="Times New Roman" w:hAnsi="Arial" w:cs="Arial"/>
          <w:iCs/>
          <w:sz w:val="20"/>
          <w:szCs w:val="20"/>
          <w:lang w:eastAsia="en-US"/>
        </w:rPr>
        <w:t>.</w:t>
      </w:r>
    </w:p>
    <w:p w14:paraId="2D16DFC9" w14:textId="77777777" w:rsidR="008140AE" w:rsidRPr="00EB650B" w:rsidRDefault="008140AE" w:rsidP="00664410">
      <w:pPr>
        <w:spacing w:after="0" w:line="240" w:lineRule="auto"/>
        <w:jc w:val="both"/>
        <w:rPr>
          <w:rFonts w:ascii="Arial" w:eastAsia="Times New Roman" w:hAnsi="Arial" w:cs="Arial"/>
          <w:iCs/>
          <w:sz w:val="20"/>
          <w:szCs w:val="20"/>
          <w:lang w:eastAsia="en-US"/>
        </w:rPr>
      </w:pPr>
    </w:p>
    <w:p w14:paraId="5190739C" w14:textId="2063BB58" w:rsidR="00664410" w:rsidRPr="00EB650B" w:rsidRDefault="00664410" w:rsidP="008140AE">
      <w:pPr>
        <w:spacing w:after="0" w:line="240" w:lineRule="auto"/>
        <w:ind w:firstLine="708"/>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S obzirom da se radi o predfinanciranju projekta koji se sufinancira EU sredstvima i da je Općina osigurala financiranje preostalog dijela projekta iz vlastitih sredstava, </w:t>
      </w:r>
      <w:r w:rsidRPr="00EB650B">
        <w:rPr>
          <w:rFonts w:ascii="Arial" w:eastAsia="Times New Roman" w:hAnsi="Arial" w:cs="Arial"/>
          <w:b/>
          <w:bCs/>
          <w:iCs/>
          <w:sz w:val="20"/>
          <w:szCs w:val="20"/>
          <w:lang w:eastAsia="en-US"/>
        </w:rPr>
        <w:t xml:space="preserve">ministar financija je </w:t>
      </w:r>
      <w:r w:rsidR="002F0FA6" w:rsidRPr="00EB650B">
        <w:rPr>
          <w:rFonts w:ascii="Arial" w:eastAsia="Times New Roman" w:hAnsi="Arial" w:cs="Arial"/>
          <w:b/>
          <w:bCs/>
          <w:iCs/>
          <w:sz w:val="20"/>
          <w:szCs w:val="20"/>
          <w:lang w:eastAsia="en-US"/>
        </w:rPr>
        <w:t>2</w:t>
      </w:r>
      <w:r w:rsidRPr="00EB650B">
        <w:rPr>
          <w:rFonts w:ascii="Arial" w:eastAsia="Times New Roman" w:hAnsi="Arial" w:cs="Arial"/>
          <w:b/>
          <w:bCs/>
          <w:iCs/>
          <w:sz w:val="20"/>
          <w:szCs w:val="20"/>
          <w:lang w:eastAsia="en-US"/>
        </w:rPr>
        <w:t xml:space="preserve">. </w:t>
      </w:r>
      <w:r w:rsidR="002F0FA6" w:rsidRPr="00EB650B">
        <w:rPr>
          <w:rFonts w:ascii="Arial" w:eastAsia="Times New Roman" w:hAnsi="Arial" w:cs="Arial"/>
          <w:b/>
          <w:bCs/>
          <w:iCs/>
          <w:sz w:val="20"/>
          <w:szCs w:val="20"/>
          <w:lang w:eastAsia="en-US"/>
        </w:rPr>
        <w:t>prosinca</w:t>
      </w:r>
      <w:r w:rsidRPr="00EB650B">
        <w:rPr>
          <w:rFonts w:ascii="Arial" w:eastAsia="Times New Roman" w:hAnsi="Arial" w:cs="Arial"/>
          <w:b/>
          <w:bCs/>
          <w:iCs/>
          <w:sz w:val="20"/>
          <w:szCs w:val="20"/>
          <w:lang w:eastAsia="en-US"/>
        </w:rPr>
        <w:t xml:space="preserve"> 20</w:t>
      </w:r>
      <w:r w:rsidR="002F0FA6" w:rsidRPr="00EB650B">
        <w:rPr>
          <w:rFonts w:ascii="Arial" w:eastAsia="Times New Roman" w:hAnsi="Arial" w:cs="Arial"/>
          <w:b/>
          <w:bCs/>
          <w:iCs/>
          <w:sz w:val="20"/>
          <w:szCs w:val="20"/>
          <w:lang w:eastAsia="en-US"/>
        </w:rPr>
        <w:t>21</w:t>
      </w:r>
      <w:r w:rsidRPr="00EB650B">
        <w:rPr>
          <w:rFonts w:ascii="Arial" w:eastAsia="Times New Roman" w:hAnsi="Arial" w:cs="Arial"/>
          <w:b/>
          <w:bCs/>
          <w:iCs/>
          <w:sz w:val="20"/>
          <w:szCs w:val="20"/>
          <w:lang w:eastAsia="en-US"/>
        </w:rPr>
        <w:t>. dao suglasnost za zaduživanje</w:t>
      </w:r>
      <w:r w:rsidRPr="00EB650B">
        <w:rPr>
          <w:rFonts w:ascii="Arial" w:eastAsia="Times New Roman" w:hAnsi="Arial" w:cs="Arial"/>
          <w:iCs/>
          <w:sz w:val="20"/>
          <w:szCs w:val="20"/>
          <w:lang w:eastAsia="en-US"/>
        </w:rPr>
        <w:t xml:space="preserve">. </w:t>
      </w:r>
    </w:p>
    <w:p w14:paraId="2DAFFA2B" w14:textId="77777777" w:rsidR="00664410" w:rsidRPr="00EB650B" w:rsidRDefault="00664410" w:rsidP="00664410">
      <w:pPr>
        <w:spacing w:after="0" w:line="240" w:lineRule="auto"/>
        <w:jc w:val="both"/>
        <w:rPr>
          <w:rFonts w:ascii="Arial" w:eastAsia="Times New Roman" w:hAnsi="Arial" w:cs="Arial"/>
          <w:iCs/>
          <w:sz w:val="20"/>
          <w:szCs w:val="20"/>
          <w:lang w:eastAsia="en-US"/>
        </w:rPr>
      </w:pPr>
    </w:p>
    <w:p w14:paraId="531D1CEF" w14:textId="4C269E9D" w:rsidR="00664410" w:rsidRPr="00EB650B" w:rsidRDefault="00664410" w:rsidP="008140AE">
      <w:pPr>
        <w:spacing w:after="0" w:line="240" w:lineRule="auto"/>
        <w:ind w:firstLine="708"/>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Općina Konavle je </w:t>
      </w:r>
      <w:r w:rsidR="002F0FA6" w:rsidRPr="00EB650B">
        <w:rPr>
          <w:rFonts w:ascii="Arial" w:eastAsia="Times New Roman" w:hAnsi="Arial" w:cs="Arial"/>
          <w:iCs/>
          <w:sz w:val="20"/>
          <w:szCs w:val="20"/>
          <w:lang w:eastAsia="en-US"/>
        </w:rPr>
        <w:t>10</w:t>
      </w:r>
      <w:r w:rsidRPr="00EB650B">
        <w:rPr>
          <w:rFonts w:ascii="Arial" w:eastAsia="Times New Roman" w:hAnsi="Arial" w:cs="Arial"/>
          <w:iCs/>
          <w:sz w:val="20"/>
          <w:szCs w:val="20"/>
          <w:lang w:eastAsia="en-US"/>
        </w:rPr>
        <w:t xml:space="preserve">. </w:t>
      </w:r>
      <w:r w:rsidR="002F0FA6" w:rsidRPr="00EB650B">
        <w:rPr>
          <w:rFonts w:ascii="Arial" w:eastAsia="Times New Roman" w:hAnsi="Arial" w:cs="Arial"/>
          <w:iCs/>
          <w:sz w:val="20"/>
          <w:szCs w:val="20"/>
          <w:lang w:eastAsia="en-US"/>
        </w:rPr>
        <w:t>ožujka</w:t>
      </w:r>
      <w:r w:rsidRPr="00EB650B">
        <w:rPr>
          <w:rFonts w:ascii="Arial" w:eastAsia="Times New Roman" w:hAnsi="Arial" w:cs="Arial"/>
          <w:iCs/>
          <w:sz w:val="20"/>
          <w:szCs w:val="20"/>
          <w:lang w:eastAsia="en-US"/>
        </w:rPr>
        <w:t xml:space="preserve"> 20</w:t>
      </w:r>
      <w:r w:rsidR="002F0FA6" w:rsidRPr="00EB650B">
        <w:rPr>
          <w:rFonts w:ascii="Arial" w:eastAsia="Times New Roman" w:hAnsi="Arial" w:cs="Arial"/>
          <w:iCs/>
          <w:sz w:val="20"/>
          <w:szCs w:val="20"/>
          <w:lang w:eastAsia="en-US"/>
        </w:rPr>
        <w:t>22</w:t>
      </w:r>
      <w:r w:rsidRPr="00EB650B">
        <w:rPr>
          <w:rFonts w:ascii="Arial" w:eastAsia="Times New Roman" w:hAnsi="Arial" w:cs="Arial"/>
          <w:iCs/>
          <w:sz w:val="20"/>
          <w:szCs w:val="20"/>
          <w:lang w:eastAsia="en-US"/>
        </w:rPr>
        <w:t>. zaključila ugovor o kreditu s bankom (</w:t>
      </w:r>
      <w:r w:rsidR="002F0FA6" w:rsidRPr="00EB650B">
        <w:rPr>
          <w:rFonts w:ascii="Arial" w:eastAsia="Times New Roman" w:hAnsi="Arial" w:cs="Arial"/>
          <w:iCs/>
          <w:sz w:val="20"/>
          <w:szCs w:val="20"/>
          <w:lang w:eastAsia="en-US"/>
        </w:rPr>
        <w:t>HBOR</w:t>
      </w:r>
      <w:r w:rsidRPr="00EB650B">
        <w:rPr>
          <w:rFonts w:ascii="Arial" w:eastAsia="Times New Roman" w:hAnsi="Arial" w:cs="Arial"/>
          <w:iCs/>
          <w:sz w:val="20"/>
          <w:szCs w:val="20"/>
          <w:lang w:eastAsia="en-US"/>
        </w:rPr>
        <w:t xml:space="preserve">) u iznosu </w:t>
      </w:r>
      <w:r w:rsidR="00B06653" w:rsidRPr="00EB650B">
        <w:rPr>
          <w:rFonts w:ascii="Arial" w:eastAsia="Times New Roman" w:hAnsi="Arial" w:cs="Arial"/>
          <w:iCs/>
          <w:sz w:val="20"/>
          <w:szCs w:val="20"/>
          <w:lang w:eastAsia="en-US"/>
        </w:rPr>
        <w:t>8.400</w:t>
      </w:r>
      <w:r w:rsidRPr="00EB650B">
        <w:rPr>
          <w:rFonts w:ascii="Arial" w:eastAsia="Times New Roman" w:hAnsi="Arial" w:cs="Arial"/>
          <w:iCs/>
          <w:sz w:val="20"/>
          <w:szCs w:val="20"/>
          <w:lang w:eastAsia="en-US"/>
        </w:rPr>
        <w:t>.000 kn</w:t>
      </w:r>
      <w:r w:rsidR="00B06653" w:rsidRPr="00EB650B">
        <w:rPr>
          <w:rFonts w:ascii="Arial" w:eastAsia="Times New Roman" w:hAnsi="Arial" w:cs="Arial"/>
          <w:iCs/>
          <w:sz w:val="20"/>
          <w:szCs w:val="20"/>
          <w:lang w:eastAsia="en-US"/>
        </w:rPr>
        <w:t>, od čega za izgradnju vatrogasnog doma 6.600.000 kn, a za nabavu vatrogasnog vozila i opreme 1.800.000 kn</w:t>
      </w:r>
      <w:r w:rsidRPr="00EB650B">
        <w:rPr>
          <w:rFonts w:ascii="Arial" w:eastAsia="Times New Roman" w:hAnsi="Arial" w:cs="Arial"/>
          <w:iCs/>
          <w:sz w:val="20"/>
          <w:szCs w:val="20"/>
          <w:lang w:eastAsia="en-US"/>
        </w:rPr>
        <w:t xml:space="preserve">. </w:t>
      </w:r>
      <w:r w:rsidR="00B06653" w:rsidRPr="00EB650B">
        <w:rPr>
          <w:rFonts w:ascii="Arial" w:eastAsia="Times New Roman" w:hAnsi="Arial" w:cs="Arial"/>
          <w:iCs/>
          <w:sz w:val="20"/>
          <w:szCs w:val="20"/>
          <w:lang w:eastAsia="en-US"/>
        </w:rPr>
        <w:t xml:space="preserve">Kredit se može koristiti do 31.12.2022. </w:t>
      </w:r>
      <w:r w:rsidRPr="00EB650B">
        <w:rPr>
          <w:rFonts w:ascii="Arial" w:eastAsia="Times New Roman" w:hAnsi="Arial" w:cs="Arial"/>
          <w:iCs/>
          <w:sz w:val="20"/>
          <w:szCs w:val="20"/>
          <w:lang w:eastAsia="en-US"/>
        </w:rPr>
        <w:t xml:space="preserve">Prvi obrok dospijeva </w:t>
      </w:r>
      <w:r w:rsidR="00B06653" w:rsidRPr="00EB650B">
        <w:rPr>
          <w:rFonts w:ascii="Arial" w:eastAsia="Times New Roman" w:hAnsi="Arial" w:cs="Arial"/>
          <w:b/>
          <w:iCs/>
          <w:sz w:val="20"/>
          <w:szCs w:val="20"/>
          <w:lang w:eastAsia="en-US"/>
        </w:rPr>
        <w:t>31</w:t>
      </w:r>
      <w:r w:rsidRPr="00EB650B">
        <w:rPr>
          <w:rFonts w:ascii="Arial" w:eastAsia="Times New Roman" w:hAnsi="Arial" w:cs="Arial"/>
          <w:b/>
          <w:iCs/>
          <w:sz w:val="20"/>
          <w:szCs w:val="20"/>
          <w:lang w:eastAsia="en-US"/>
        </w:rPr>
        <w:t xml:space="preserve">. </w:t>
      </w:r>
      <w:r w:rsidR="00B06653" w:rsidRPr="00EB650B">
        <w:rPr>
          <w:rFonts w:ascii="Arial" w:eastAsia="Times New Roman" w:hAnsi="Arial" w:cs="Arial"/>
          <w:b/>
          <w:iCs/>
          <w:sz w:val="20"/>
          <w:szCs w:val="20"/>
          <w:lang w:eastAsia="en-US"/>
        </w:rPr>
        <w:t>ožujka</w:t>
      </w:r>
      <w:r w:rsidRPr="00EB650B">
        <w:rPr>
          <w:rFonts w:ascii="Arial" w:eastAsia="Times New Roman" w:hAnsi="Arial" w:cs="Arial"/>
          <w:b/>
          <w:iCs/>
          <w:sz w:val="20"/>
          <w:szCs w:val="20"/>
          <w:lang w:eastAsia="en-US"/>
        </w:rPr>
        <w:t xml:space="preserve"> 202</w:t>
      </w:r>
      <w:r w:rsidR="00B06653" w:rsidRPr="00EB650B">
        <w:rPr>
          <w:rFonts w:ascii="Arial" w:eastAsia="Times New Roman" w:hAnsi="Arial" w:cs="Arial"/>
          <w:b/>
          <w:iCs/>
          <w:sz w:val="20"/>
          <w:szCs w:val="20"/>
          <w:lang w:eastAsia="en-US"/>
        </w:rPr>
        <w:t>5</w:t>
      </w:r>
      <w:r w:rsidRPr="00EB650B">
        <w:rPr>
          <w:rFonts w:ascii="Arial" w:eastAsia="Times New Roman" w:hAnsi="Arial" w:cs="Arial"/>
          <w:b/>
          <w:iCs/>
          <w:sz w:val="20"/>
          <w:szCs w:val="20"/>
          <w:lang w:eastAsia="en-US"/>
        </w:rPr>
        <w:t>.</w:t>
      </w:r>
      <w:r w:rsidRPr="00EB650B">
        <w:rPr>
          <w:rFonts w:ascii="Arial" w:eastAsia="Times New Roman" w:hAnsi="Arial" w:cs="Arial"/>
          <w:iCs/>
          <w:sz w:val="20"/>
          <w:szCs w:val="20"/>
          <w:lang w:eastAsia="en-US"/>
        </w:rPr>
        <w:t xml:space="preserve">, a posljednji </w:t>
      </w:r>
      <w:r w:rsidRPr="00EB650B">
        <w:rPr>
          <w:rFonts w:ascii="Arial" w:eastAsia="Times New Roman" w:hAnsi="Arial" w:cs="Arial"/>
          <w:b/>
          <w:iCs/>
          <w:sz w:val="20"/>
          <w:szCs w:val="20"/>
          <w:lang w:eastAsia="en-US"/>
        </w:rPr>
        <w:t>15. listopada 2022.</w:t>
      </w:r>
      <w:r w:rsidRPr="00EB650B">
        <w:rPr>
          <w:rFonts w:ascii="Arial" w:eastAsia="Times New Roman" w:hAnsi="Arial" w:cs="Arial"/>
          <w:iCs/>
          <w:sz w:val="20"/>
          <w:szCs w:val="20"/>
          <w:lang w:eastAsia="en-US"/>
        </w:rPr>
        <w:t xml:space="preserve"> godine Ugovorena je otplata u 12 jednakih tromjesečnih obroka glavnice i fiksnu kamatu 0,75% godišnje. Instrument osiguranja kredita je bjanko zadužnica. Zbog nedostatka proračunskih sredstava uvjetovanih pandemijom bolesti COVID 19, Općina je s poslovnom bankom dana 9. lipnja 2020. zaključila dodatak ugovoru kojim je utvrđena odgoda plaćanja rata glavnice kredita do 15.1.2021. te se obračun kamata i prvi obrok plaća</w:t>
      </w:r>
      <w:r w:rsidR="00DB2C0A" w:rsidRPr="00EB650B">
        <w:rPr>
          <w:rFonts w:ascii="Arial" w:eastAsia="Times New Roman" w:hAnsi="Arial" w:cs="Arial"/>
          <w:iCs/>
          <w:sz w:val="20"/>
          <w:szCs w:val="20"/>
          <w:lang w:eastAsia="en-US"/>
        </w:rPr>
        <w:t xml:space="preserve"> </w:t>
      </w:r>
      <w:r w:rsidRPr="00EB650B">
        <w:rPr>
          <w:rFonts w:ascii="Arial" w:eastAsia="Times New Roman" w:hAnsi="Arial" w:cs="Arial"/>
          <w:iCs/>
          <w:sz w:val="20"/>
          <w:szCs w:val="20"/>
          <w:lang w:eastAsia="en-US"/>
        </w:rPr>
        <w:t xml:space="preserve">15.4.2021. Kamatna stopa u razdoblju odgode plaćanja utvrđena je u visini redovne kamatne stope, ali će se naplata kamate izvršiti na dan utvrđene ponovne otplate glavnice kredita. </w:t>
      </w:r>
      <w:r w:rsidRPr="00EB650B">
        <w:rPr>
          <w:rFonts w:ascii="Arial" w:eastAsia="Times New Roman" w:hAnsi="Arial" w:cs="Arial"/>
          <w:b/>
          <w:iCs/>
          <w:sz w:val="20"/>
          <w:szCs w:val="20"/>
          <w:u w:val="single"/>
          <w:lang w:eastAsia="en-US"/>
        </w:rPr>
        <w:t xml:space="preserve">Posljednji obrok glavnice kredita dospijeva </w:t>
      </w:r>
      <w:r w:rsidR="00F40720" w:rsidRPr="00EB650B">
        <w:rPr>
          <w:rFonts w:ascii="Arial" w:eastAsia="Times New Roman" w:hAnsi="Arial" w:cs="Arial"/>
          <w:b/>
          <w:iCs/>
          <w:sz w:val="20"/>
          <w:szCs w:val="20"/>
          <w:u w:val="single"/>
          <w:lang w:eastAsia="en-US"/>
        </w:rPr>
        <w:t>31.12.</w:t>
      </w:r>
      <w:r w:rsidRPr="00EB650B">
        <w:rPr>
          <w:rFonts w:ascii="Arial" w:eastAsia="Times New Roman" w:hAnsi="Arial" w:cs="Arial"/>
          <w:b/>
          <w:iCs/>
          <w:sz w:val="20"/>
          <w:szCs w:val="20"/>
          <w:u w:val="single"/>
          <w:lang w:eastAsia="en-US"/>
        </w:rPr>
        <w:t>202</w:t>
      </w:r>
      <w:r w:rsidR="00F40720" w:rsidRPr="00EB650B">
        <w:rPr>
          <w:rFonts w:ascii="Arial" w:eastAsia="Times New Roman" w:hAnsi="Arial" w:cs="Arial"/>
          <w:b/>
          <w:iCs/>
          <w:sz w:val="20"/>
          <w:szCs w:val="20"/>
          <w:u w:val="single"/>
          <w:lang w:eastAsia="en-US"/>
        </w:rPr>
        <w:t>9</w:t>
      </w:r>
      <w:r w:rsidRPr="00EB650B">
        <w:rPr>
          <w:rFonts w:ascii="Arial" w:eastAsia="Times New Roman" w:hAnsi="Arial" w:cs="Arial"/>
          <w:b/>
          <w:iCs/>
          <w:sz w:val="20"/>
          <w:szCs w:val="20"/>
          <w:u w:val="single"/>
          <w:lang w:eastAsia="en-US"/>
        </w:rPr>
        <w:t>.</w:t>
      </w:r>
      <w:r w:rsidRPr="00EB650B">
        <w:rPr>
          <w:rFonts w:ascii="Arial" w:eastAsia="Times New Roman" w:hAnsi="Arial" w:cs="Arial"/>
          <w:iCs/>
          <w:sz w:val="20"/>
          <w:szCs w:val="20"/>
          <w:lang w:eastAsia="en-US"/>
        </w:rPr>
        <w:t xml:space="preserve"> </w:t>
      </w:r>
    </w:p>
    <w:p w14:paraId="3D97E141" w14:textId="77777777" w:rsidR="00F057D2" w:rsidRPr="00EB650B" w:rsidRDefault="00F057D2" w:rsidP="00F057D2">
      <w:pPr>
        <w:spacing w:after="0" w:line="240" w:lineRule="auto"/>
        <w:jc w:val="both"/>
        <w:rPr>
          <w:rFonts w:ascii="Arial" w:eastAsia="Times New Roman" w:hAnsi="Arial" w:cs="Arial"/>
          <w:iCs/>
          <w:sz w:val="20"/>
          <w:szCs w:val="20"/>
          <w:lang w:eastAsia="en-US"/>
        </w:rPr>
      </w:pPr>
    </w:p>
    <w:p w14:paraId="5A6EFB57" w14:textId="06F85E59" w:rsidR="00F057D2" w:rsidRPr="00EB650B" w:rsidRDefault="00F057D2" w:rsidP="00F057D2">
      <w:pPr>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U 20</w:t>
      </w:r>
      <w:r w:rsidR="00827FDF" w:rsidRPr="00EB650B">
        <w:rPr>
          <w:rFonts w:ascii="Arial" w:eastAsia="Times New Roman" w:hAnsi="Arial" w:cs="Arial"/>
          <w:iCs/>
          <w:sz w:val="20"/>
          <w:szCs w:val="20"/>
          <w:lang w:eastAsia="en-US"/>
        </w:rPr>
        <w:t>22</w:t>
      </w:r>
      <w:r w:rsidRPr="00EB650B">
        <w:rPr>
          <w:rFonts w:ascii="Arial" w:eastAsia="Times New Roman" w:hAnsi="Arial" w:cs="Arial"/>
          <w:iCs/>
          <w:sz w:val="20"/>
          <w:szCs w:val="20"/>
          <w:lang w:eastAsia="en-US"/>
        </w:rPr>
        <w:t xml:space="preserve">. je plaćena </w:t>
      </w:r>
      <w:r w:rsidR="00827FDF" w:rsidRPr="00EB650B">
        <w:rPr>
          <w:rFonts w:ascii="Arial" w:eastAsia="Times New Roman" w:hAnsi="Arial" w:cs="Arial"/>
          <w:iCs/>
          <w:sz w:val="20"/>
          <w:szCs w:val="20"/>
          <w:lang w:eastAsia="en-US"/>
        </w:rPr>
        <w:t xml:space="preserve">naknada za </w:t>
      </w:r>
      <w:r w:rsidR="007F07A8" w:rsidRPr="00EB650B">
        <w:rPr>
          <w:rFonts w:ascii="Arial" w:eastAsia="Times New Roman" w:hAnsi="Arial" w:cs="Arial"/>
          <w:iCs/>
          <w:sz w:val="20"/>
          <w:szCs w:val="20"/>
          <w:lang w:eastAsia="en-US"/>
        </w:rPr>
        <w:t>obradu</w:t>
      </w:r>
      <w:r w:rsidR="00827FDF" w:rsidRPr="00EB650B">
        <w:rPr>
          <w:rFonts w:ascii="Arial" w:eastAsia="Times New Roman" w:hAnsi="Arial" w:cs="Arial"/>
          <w:iCs/>
          <w:sz w:val="20"/>
          <w:szCs w:val="20"/>
          <w:lang w:eastAsia="en-US"/>
        </w:rPr>
        <w:t xml:space="preserve"> kredita u iznosu</w:t>
      </w:r>
      <w:r w:rsidR="007F07A8" w:rsidRPr="00EB650B">
        <w:rPr>
          <w:rFonts w:ascii="Arial" w:eastAsia="Times New Roman" w:hAnsi="Arial" w:cs="Arial"/>
          <w:iCs/>
          <w:sz w:val="20"/>
          <w:szCs w:val="20"/>
          <w:lang w:eastAsia="en-US"/>
        </w:rPr>
        <w:t xml:space="preserve"> 16.800</w:t>
      </w:r>
      <w:r w:rsidR="009902E6" w:rsidRPr="00EB650B">
        <w:rPr>
          <w:rFonts w:ascii="Arial" w:eastAsia="Times New Roman" w:hAnsi="Arial" w:cs="Arial"/>
          <w:iCs/>
          <w:sz w:val="20"/>
          <w:szCs w:val="20"/>
          <w:lang w:eastAsia="en-US"/>
        </w:rPr>
        <w:t xml:space="preserve"> </w:t>
      </w:r>
      <w:r w:rsidRPr="00EB650B">
        <w:rPr>
          <w:rFonts w:ascii="Arial" w:eastAsia="Times New Roman" w:hAnsi="Arial" w:cs="Arial"/>
          <w:iCs/>
          <w:sz w:val="20"/>
          <w:szCs w:val="20"/>
          <w:lang w:eastAsia="en-US"/>
        </w:rPr>
        <w:t>kn</w:t>
      </w:r>
      <w:r w:rsidR="007F07A8" w:rsidRPr="00EB650B">
        <w:rPr>
          <w:rFonts w:ascii="Arial" w:eastAsia="Times New Roman" w:hAnsi="Arial" w:cs="Arial"/>
          <w:iCs/>
          <w:sz w:val="20"/>
          <w:szCs w:val="20"/>
          <w:lang w:eastAsia="en-US"/>
        </w:rPr>
        <w:t xml:space="preserve"> </w:t>
      </w:r>
      <w:r w:rsidR="00992310" w:rsidRPr="00EB650B">
        <w:rPr>
          <w:rFonts w:ascii="Arial" w:eastAsia="Times New Roman" w:hAnsi="Arial" w:cs="Arial"/>
          <w:iCs/>
          <w:sz w:val="20"/>
          <w:szCs w:val="20"/>
          <w:lang w:eastAsia="en-US"/>
        </w:rPr>
        <w:t xml:space="preserve">/ 2.229,74 € </w:t>
      </w:r>
      <w:r w:rsidR="007F07A8" w:rsidRPr="00EB650B">
        <w:rPr>
          <w:rFonts w:ascii="Arial" w:eastAsia="Times New Roman" w:hAnsi="Arial" w:cs="Arial"/>
          <w:iCs/>
          <w:sz w:val="20"/>
          <w:szCs w:val="20"/>
          <w:lang w:eastAsia="en-US"/>
        </w:rPr>
        <w:t>(0,2% jednokratno)</w:t>
      </w:r>
      <w:r w:rsidR="00DE73EE" w:rsidRPr="00EB650B">
        <w:rPr>
          <w:rFonts w:ascii="Arial" w:eastAsia="Times New Roman" w:hAnsi="Arial" w:cs="Arial"/>
          <w:iCs/>
          <w:sz w:val="20"/>
          <w:szCs w:val="20"/>
          <w:lang w:eastAsia="en-US"/>
        </w:rPr>
        <w:t>, te interkalarna kamata 35.926,75 kn</w:t>
      </w:r>
      <w:r w:rsidR="00992310" w:rsidRPr="00EB650B">
        <w:rPr>
          <w:rFonts w:ascii="Arial" w:eastAsia="Times New Roman" w:hAnsi="Arial" w:cs="Arial"/>
          <w:iCs/>
          <w:sz w:val="20"/>
          <w:szCs w:val="20"/>
          <w:lang w:eastAsia="en-US"/>
        </w:rPr>
        <w:t xml:space="preserve"> / 4.768,30 €</w:t>
      </w:r>
      <w:r w:rsidR="007F07A8" w:rsidRPr="00EB650B">
        <w:rPr>
          <w:rFonts w:ascii="Arial" w:eastAsia="Times New Roman" w:hAnsi="Arial" w:cs="Arial"/>
          <w:iCs/>
          <w:sz w:val="20"/>
          <w:szCs w:val="20"/>
          <w:lang w:eastAsia="en-US"/>
        </w:rPr>
        <w:t>.</w:t>
      </w:r>
      <w:r w:rsidR="005F28FE" w:rsidRPr="00EB650B">
        <w:rPr>
          <w:rFonts w:ascii="Arial" w:eastAsia="Times New Roman" w:hAnsi="Arial" w:cs="Arial"/>
          <w:iCs/>
          <w:sz w:val="20"/>
          <w:szCs w:val="20"/>
          <w:lang w:eastAsia="en-US"/>
        </w:rPr>
        <w:t xml:space="preserve"> </w:t>
      </w:r>
      <w:r w:rsidR="007F07A8" w:rsidRPr="00EB650B">
        <w:rPr>
          <w:rFonts w:ascii="Arial" w:eastAsia="Times New Roman" w:hAnsi="Arial" w:cs="Arial"/>
          <w:iCs/>
          <w:sz w:val="20"/>
          <w:szCs w:val="20"/>
          <w:lang w:eastAsia="en-US"/>
        </w:rPr>
        <w:t xml:space="preserve">Do konca 2022. iskorišten je kredit u </w:t>
      </w:r>
      <w:r w:rsidR="00DE73EE" w:rsidRPr="00EB650B">
        <w:rPr>
          <w:rFonts w:ascii="Arial" w:eastAsia="Times New Roman" w:hAnsi="Arial" w:cs="Arial"/>
          <w:iCs/>
          <w:sz w:val="20"/>
          <w:szCs w:val="20"/>
          <w:lang w:eastAsia="en-US"/>
        </w:rPr>
        <w:t>cijelosti</w:t>
      </w:r>
      <w:r w:rsidRPr="00EB650B">
        <w:rPr>
          <w:rFonts w:ascii="Arial" w:eastAsia="Times New Roman" w:hAnsi="Arial" w:cs="Arial"/>
          <w:iCs/>
          <w:sz w:val="20"/>
          <w:szCs w:val="20"/>
          <w:lang w:eastAsia="en-US"/>
        </w:rPr>
        <w:t xml:space="preserve">. </w:t>
      </w:r>
    </w:p>
    <w:p w14:paraId="5333FE47" w14:textId="77777777" w:rsidR="004A0779" w:rsidRPr="00EB650B" w:rsidRDefault="004A0779" w:rsidP="00F057D2">
      <w:pPr>
        <w:spacing w:after="0" w:line="240" w:lineRule="auto"/>
        <w:jc w:val="both"/>
        <w:rPr>
          <w:rFonts w:ascii="Arial" w:eastAsia="Times New Roman" w:hAnsi="Arial" w:cs="Arial"/>
          <w:iCs/>
          <w:sz w:val="20"/>
          <w:szCs w:val="20"/>
          <w:lang w:eastAsia="en-US"/>
        </w:rPr>
      </w:pPr>
    </w:p>
    <w:p w14:paraId="059CAF72" w14:textId="3299D959" w:rsidR="00510165" w:rsidRPr="00EB650B" w:rsidRDefault="00510165" w:rsidP="00F057D2">
      <w:pPr>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U 2023. je plaćena redovna kamata u iznosu </w:t>
      </w:r>
      <w:r w:rsidR="009E3E72" w:rsidRPr="00EB650B">
        <w:rPr>
          <w:rFonts w:ascii="Arial" w:eastAsia="Times New Roman" w:hAnsi="Arial" w:cs="Arial"/>
          <w:iCs/>
          <w:sz w:val="20"/>
          <w:szCs w:val="20"/>
          <w:lang w:eastAsia="en-US"/>
        </w:rPr>
        <w:t>13.378,45</w:t>
      </w:r>
      <w:r w:rsidRPr="00EB650B">
        <w:rPr>
          <w:rFonts w:ascii="Arial" w:eastAsia="Times New Roman" w:hAnsi="Arial" w:cs="Arial"/>
          <w:iCs/>
          <w:sz w:val="20"/>
          <w:szCs w:val="20"/>
          <w:lang w:eastAsia="en-US"/>
        </w:rPr>
        <w:t xml:space="preserve"> €.</w:t>
      </w:r>
      <w:r w:rsidR="00DE2CF6" w:rsidRPr="00EB650B">
        <w:rPr>
          <w:rFonts w:ascii="Arial" w:eastAsia="Times New Roman" w:hAnsi="Arial" w:cs="Arial"/>
          <w:iCs/>
          <w:sz w:val="20"/>
          <w:szCs w:val="20"/>
          <w:lang w:eastAsia="en-US"/>
        </w:rPr>
        <w:t xml:space="preserve"> U 2024. je plaćena redovna kamata u iznosu </w:t>
      </w:r>
      <w:r w:rsidR="00CB4F90" w:rsidRPr="00EB650B">
        <w:rPr>
          <w:rFonts w:ascii="Arial" w:eastAsia="Times New Roman" w:hAnsi="Arial" w:cs="Arial"/>
          <w:iCs/>
          <w:sz w:val="20"/>
          <w:szCs w:val="20"/>
          <w:lang w:eastAsia="en-US"/>
        </w:rPr>
        <w:t>13.378,46</w:t>
      </w:r>
      <w:r w:rsidR="00DE2CF6" w:rsidRPr="00EB650B">
        <w:rPr>
          <w:rFonts w:ascii="Arial" w:eastAsia="Times New Roman" w:hAnsi="Arial" w:cs="Arial"/>
          <w:iCs/>
          <w:sz w:val="20"/>
          <w:szCs w:val="20"/>
          <w:lang w:eastAsia="en-US"/>
        </w:rPr>
        <w:t xml:space="preserve"> €.</w:t>
      </w:r>
    </w:p>
    <w:p w14:paraId="7593D5AB" w14:textId="77777777" w:rsidR="004A0779" w:rsidRPr="00EB650B" w:rsidRDefault="004A0779" w:rsidP="004A0779">
      <w:pPr>
        <w:spacing w:after="0" w:line="240" w:lineRule="auto"/>
        <w:jc w:val="both"/>
        <w:rPr>
          <w:rFonts w:ascii="Arial" w:hAnsi="Arial" w:cs="Arial"/>
          <w:noProof/>
          <w:sz w:val="20"/>
          <w:szCs w:val="20"/>
        </w:rPr>
      </w:pPr>
    </w:p>
    <w:p w14:paraId="2C0E80C4" w14:textId="4599DBD4" w:rsidR="004A0779" w:rsidRPr="00EB650B" w:rsidRDefault="004A0779" w:rsidP="004A0779">
      <w:pPr>
        <w:spacing w:after="0" w:line="240" w:lineRule="auto"/>
        <w:jc w:val="both"/>
        <w:rPr>
          <w:rFonts w:ascii="Arial" w:eastAsia="Times New Roman" w:hAnsi="Arial" w:cs="Arial"/>
          <w:iCs/>
          <w:sz w:val="20"/>
          <w:szCs w:val="20"/>
          <w:lang w:eastAsia="en-US"/>
        </w:rPr>
      </w:pPr>
      <w:r w:rsidRPr="00EB650B">
        <w:rPr>
          <w:rFonts w:ascii="Arial" w:hAnsi="Arial" w:cs="Arial"/>
          <w:noProof/>
          <w:sz w:val="20"/>
          <w:szCs w:val="20"/>
        </w:rPr>
        <w:lastRenderedPageBreak/>
        <w:t xml:space="preserve">Obveze za glavnicu kredita koncem 2024. godine </w:t>
      </w:r>
      <w:r w:rsidR="001128ED">
        <w:rPr>
          <w:rFonts w:ascii="Arial" w:hAnsi="Arial" w:cs="Arial"/>
          <w:noProof/>
          <w:sz w:val="20"/>
          <w:szCs w:val="20"/>
        </w:rPr>
        <w:t>su iznosile</w:t>
      </w:r>
      <w:r w:rsidRPr="00EB650B">
        <w:rPr>
          <w:rFonts w:ascii="Arial" w:hAnsi="Arial" w:cs="Arial"/>
          <w:noProof/>
          <w:sz w:val="20"/>
          <w:szCs w:val="20"/>
        </w:rPr>
        <w:t xml:space="preserve"> 1.114.871,59 €.</w:t>
      </w:r>
      <w:r w:rsidR="001128ED">
        <w:rPr>
          <w:rFonts w:ascii="Arial" w:hAnsi="Arial" w:cs="Arial"/>
          <w:noProof/>
          <w:sz w:val="20"/>
          <w:szCs w:val="20"/>
        </w:rPr>
        <w:t xml:space="preserve"> </w:t>
      </w:r>
      <w:bookmarkStart w:id="680" w:name="_Hlk230354460"/>
      <w:r w:rsidR="001128ED">
        <w:rPr>
          <w:rFonts w:ascii="Arial" w:hAnsi="Arial" w:cs="Arial"/>
          <w:noProof/>
          <w:sz w:val="20"/>
          <w:szCs w:val="20"/>
        </w:rPr>
        <w:t xml:space="preserve">U 2025. je plaćena glavnica kredita u iznosu </w:t>
      </w:r>
      <w:r w:rsidR="004F0FC8">
        <w:rPr>
          <w:rFonts w:ascii="Arial" w:hAnsi="Arial" w:cs="Arial"/>
          <w:noProof/>
          <w:sz w:val="20"/>
          <w:szCs w:val="20"/>
        </w:rPr>
        <w:t>674.867,91</w:t>
      </w:r>
      <w:r w:rsidR="001128ED">
        <w:rPr>
          <w:rFonts w:ascii="Arial" w:hAnsi="Arial" w:cs="Arial"/>
          <w:noProof/>
          <w:sz w:val="20"/>
          <w:szCs w:val="20"/>
        </w:rPr>
        <w:t xml:space="preserve"> € </w:t>
      </w:r>
      <w:r w:rsidR="004F0FC8">
        <w:rPr>
          <w:rFonts w:ascii="Arial" w:hAnsi="Arial" w:cs="Arial"/>
          <w:noProof/>
          <w:sz w:val="20"/>
          <w:szCs w:val="20"/>
        </w:rPr>
        <w:t>(od čega 508.</w:t>
      </w:r>
      <w:r w:rsidR="00B63A66">
        <w:rPr>
          <w:rFonts w:ascii="Arial" w:hAnsi="Arial" w:cs="Arial"/>
          <w:noProof/>
          <w:sz w:val="20"/>
          <w:szCs w:val="20"/>
        </w:rPr>
        <w:t>380,29 € od refundacije EU sredstava</w:t>
      </w:r>
      <w:r w:rsidR="003C4DB1">
        <w:rPr>
          <w:rFonts w:ascii="Arial" w:hAnsi="Arial" w:cs="Arial"/>
          <w:noProof/>
          <w:sz w:val="20"/>
          <w:szCs w:val="20"/>
        </w:rPr>
        <w:t xml:space="preserve"> i to za nabavu vatrogasnog vozila i opreme 203.065,90 € i za izgradnju vatrogasnog doma 305.314,39 €</w:t>
      </w:r>
      <w:r w:rsidR="00B63A66">
        <w:rPr>
          <w:rFonts w:ascii="Arial" w:hAnsi="Arial" w:cs="Arial"/>
          <w:noProof/>
          <w:sz w:val="20"/>
          <w:szCs w:val="20"/>
        </w:rPr>
        <w:t xml:space="preserve">) </w:t>
      </w:r>
      <w:r w:rsidR="001128ED">
        <w:rPr>
          <w:rFonts w:ascii="Arial" w:hAnsi="Arial" w:cs="Arial"/>
          <w:noProof/>
          <w:sz w:val="20"/>
          <w:szCs w:val="20"/>
        </w:rPr>
        <w:t xml:space="preserve">i kamate u iznosu </w:t>
      </w:r>
      <w:r w:rsidR="004F0FC8">
        <w:rPr>
          <w:rFonts w:ascii="Arial" w:hAnsi="Arial" w:cs="Arial"/>
          <w:noProof/>
          <w:sz w:val="20"/>
          <w:szCs w:val="20"/>
        </w:rPr>
        <w:t>9.779,87</w:t>
      </w:r>
      <w:r w:rsidR="001128ED">
        <w:rPr>
          <w:rFonts w:ascii="Arial" w:hAnsi="Arial" w:cs="Arial"/>
          <w:noProof/>
          <w:sz w:val="20"/>
          <w:szCs w:val="20"/>
        </w:rPr>
        <w:t xml:space="preserve"> €, te obveze ga glavnicu kredita koncem 2025. iznose </w:t>
      </w:r>
      <w:r w:rsidR="004F0FC8">
        <w:rPr>
          <w:rFonts w:ascii="Arial" w:hAnsi="Arial" w:cs="Arial"/>
          <w:noProof/>
          <w:sz w:val="20"/>
          <w:szCs w:val="20"/>
        </w:rPr>
        <w:t>440.003,68</w:t>
      </w:r>
      <w:r w:rsidR="001128ED">
        <w:rPr>
          <w:rFonts w:ascii="Arial" w:hAnsi="Arial" w:cs="Arial"/>
          <w:noProof/>
          <w:sz w:val="20"/>
          <w:szCs w:val="20"/>
        </w:rPr>
        <w:t xml:space="preserve"> €.</w:t>
      </w:r>
    </w:p>
    <w:bookmarkEnd w:id="680"/>
    <w:p w14:paraId="436EA45D" w14:textId="77777777" w:rsidR="004A0779" w:rsidRPr="00F55637" w:rsidRDefault="004A0779" w:rsidP="004A0779">
      <w:pPr>
        <w:spacing w:after="0" w:line="240" w:lineRule="auto"/>
        <w:jc w:val="both"/>
        <w:rPr>
          <w:rFonts w:ascii="Arial" w:eastAsia="Times New Roman" w:hAnsi="Arial" w:cs="Arial"/>
          <w:iCs/>
          <w:sz w:val="14"/>
          <w:szCs w:val="14"/>
          <w:lang w:eastAsia="en-US"/>
        </w:rPr>
      </w:pPr>
    </w:p>
    <w:p w14:paraId="7D9D6A2A" w14:textId="2883AF56" w:rsidR="009E425F" w:rsidRDefault="00316DE6" w:rsidP="009E425F">
      <w:pPr>
        <w:spacing w:after="0" w:line="240" w:lineRule="auto"/>
        <w:jc w:val="center"/>
        <w:rPr>
          <w:rFonts w:ascii="Arial" w:eastAsia="Times New Roman" w:hAnsi="Arial" w:cs="Arial"/>
          <w:b/>
          <w:iCs/>
          <w:lang w:eastAsia="en-US"/>
        </w:rPr>
      </w:pPr>
      <w:r w:rsidRPr="00316DE6">
        <w:rPr>
          <w:noProof/>
        </w:rPr>
        <w:drawing>
          <wp:inline distT="0" distB="0" distL="0" distR="0" wp14:anchorId="7D22498D" wp14:editId="239BBBE3">
            <wp:extent cx="7517130" cy="2374900"/>
            <wp:effectExtent l="0" t="0" r="7620" b="6350"/>
            <wp:docPr id="190439033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7517130" cy="2374900"/>
                    </a:xfrm>
                    <a:prstGeom prst="rect">
                      <a:avLst/>
                    </a:prstGeom>
                    <a:noFill/>
                    <a:ln>
                      <a:noFill/>
                    </a:ln>
                  </pic:spPr>
                </pic:pic>
              </a:graphicData>
            </a:graphic>
          </wp:inline>
        </w:drawing>
      </w:r>
    </w:p>
    <w:p w14:paraId="589765DC" w14:textId="77777777" w:rsidR="003C4DB1" w:rsidRPr="00CB10A5" w:rsidRDefault="003C4DB1" w:rsidP="009E425F">
      <w:pPr>
        <w:spacing w:after="0" w:line="240" w:lineRule="auto"/>
        <w:jc w:val="center"/>
        <w:rPr>
          <w:rFonts w:ascii="Arial" w:eastAsia="Times New Roman" w:hAnsi="Arial" w:cs="Arial"/>
          <w:b/>
          <w:iCs/>
          <w:lang w:eastAsia="en-US"/>
        </w:rPr>
      </w:pPr>
    </w:p>
    <w:p w14:paraId="61FD5161" w14:textId="77777777" w:rsidR="00CB4F90" w:rsidRPr="00F55637" w:rsidRDefault="00CB4F90" w:rsidP="009E425F">
      <w:pPr>
        <w:spacing w:after="0" w:line="240" w:lineRule="auto"/>
        <w:jc w:val="center"/>
        <w:rPr>
          <w:rFonts w:ascii="Arial" w:eastAsia="Times New Roman" w:hAnsi="Arial" w:cs="Arial"/>
          <w:b/>
          <w:iCs/>
          <w:sz w:val="14"/>
          <w:szCs w:val="14"/>
          <w:lang w:eastAsia="en-US"/>
        </w:rPr>
      </w:pPr>
    </w:p>
    <w:p w14:paraId="55C408CF" w14:textId="77777777" w:rsidR="009A57D3" w:rsidRPr="00AE65FB" w:rsidRDefault="009A57D3">
      <w:pPr>
        <w:pStyle w:val="Odlomakpopisa"/>
        <w:numPr>
          <w:ilvl w:val="0"/>
          <w:numId w:val="21"/>
        </w:numPr>
        <w:rPr>
          <w:rFonts w:ascii="Arial" w:hAnsi="Arial" w:cs="Arial"/>
          <w:b/>
          <w:iCs/>
        </w:rPr>
      </w:pPr>
      <w:r w:rsidRPr="00AE65FB">
        <w:rPr>
          <w:rFonts w:ascii="Arial" w:hAnsi="Arial" w:cs="Arial"/>
          <w:b/>
          <w:iCs/>
        </w:rPr>
        <w:t>Ugovor o dugoročnom kreditu – Povećanje učinkovitosti sustava javne rasvjete</w:t>
      </w:r>
    </w:p>
    <w:p w14:paraId="5C92D8A5" w14:textId="77777777" w:rsidR="009A57D3" w:rsidRPr="00AE65FB" w:rsidRDefault="009A57D3" w:rsidP="009A57D3">
      <w:pPr>
        <w:autoSpaceDE w:val="0"/>
        <w:autoSpaceDN w:val="0"/>
        <w:adjustRightInd w:val="0"/>
        <w:spacing w:after="0" w:line="240" w:lineRule="auto"/>
        <w:rPr>
          <w:noProof/>
        </w:rPr>
      </w:pPr>
    </w:p>
    <w:p w14:paraId="088E1DEB" w14:textId="1C608FB4" w:rsidR="009A57D3" w:rsidRPr="00EB650B" w:rsidRDefault="009A57D3" w:rsidP="009A57D3">
      <w:pPr>
        <w:spacing w:after="0" w:line="240" w:lineRule="auto"/>
        <w:ind w:firstLine="708"/>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Općinsko vijeće Općine Konavle je 6. lipnja 2022. donijelo odluku o zaduživanju kojom je odobrilo zaduživanje kod Hrvatske banke za obnovu i razvitak za potrebe predfinanciranja kapitalnog projekta modernizacije javne rasvjete – unapređenje energetske učinkovitosti sustava javne rasvjete na području Općine Konavle uzimanjem dugoročnog kredita u kunama u iznosu 8.900.000 kn (1.181.232,99 €)</w:t>
      </w:r>
      <w:r w:rsidR="003B7535" w:rsidRPr="00EB650B">
        <w:rPr>
          <w:rFonts w:ascii="Arial" w:eastAsia="Times New Roman" w:hAnsi="Arial" w:cs="Arial"/>
          <w:iCs/>
          <w:sz w:val="20"/>
          <w:szCs w:val="20"/>
          <w:lang w:eastAsia="en-US"/>
        </w:rPr>
        <w:t xml:space="preserve"> </w:t>
      </w:r>
      <w:r w:rsidRPr="00EB650B">
        <w:rPr>
          <w:rFonts w:ascii="Arial" w:eastAsia="Times New Roman" w:hAnsi="Arial" w:cs="Arial"/>
          <w:iCs/>
          <w:sz w:val="20"/>
          <w:szCs w:val="20"/>
          <w:lang w:eastAsia="en-US"/>
        </w:rPr>
        <w:t xml:space="preserve">uz redovnu fiksnu kamatnu stopu 0,5% godišnje, s rokom otplate od 7 godina uključujući pola godine počeka u tromjesečnim obrocima. Naknade za obradu kredita nema. Naknade za rezervaciju sredstava nema, a naknada za prijevremenu otplatu kredita (dio koji se ne odnosi na primljena sredstva EU fondova) se ne obračunava </w:t>
      </w:r>
    </w:p>
    <w:p w14:paraId="4F1E6A08" w14:textId="77777777" w:rsidR="009A57D3" w:rsidRPr="00EB650B" w:rsidRDefault="009A57D3" w:rsidP="009A57D3">
      <w:pPr>
        <w:spacing w:after="0" w:line="240" w:lineRule="auto"/>
        <w:jc w:val="both"/>
        <w:rPr>
          <w:rFonts w:ascii="Arial" w:eastAsia="Times New Roman" w:hAnsi="Arial" w:cs="Arial"/>
          <w:iCs/>
          <w:sz w:val="20"/>
          <w:szCs w:val="20"/>
          <w:lang w:eastAsia="en-US"/>
        </w:rPr>
      </w:pPr>
    </w:p>
    <w:p w14:paraId="5CD68E72" w14:textId="77777777" w:rsidR="009A57D3" w:rsidRPr="00EB650B" w:rsidRDefault="009A57D3" w:rsidP="009A57D3">
      <w:pPr>
        <w:spacing w:after="0" w:line="240" w:lineRule="auto"/>
        <w:ind w:firstLine="708"/>
        <w:jc w:val="both"/>
        <w:rPr>
          <w:rFonts w:ascii="Arial" w:eastAsia="Times New Roman" w:hAnsi="Arial" w:cs="Arial"/>
          <w:b/>
          <w:bCs/>
          <w:iCs/>
          <w:sz w:val="20"/>
          <w:szCs w:val="20"/>
          <w:lang w:eastAsia="en-US"/>
        </w:rPr>
      </w:pPr>
      <w:r w:rsidRPr="00EB650B">
        <w:rPr>
          <w:rFonts w:ascii="Arial" w:eastAsia="Times New Roman" w:hAnsi="Arial" w:cs="Arial"/>
          <w:iCs/>
          <w:sz w:val="20"/>
          <w:szCs w:val="20"/>
          <w:lang w:eastAsia="en-US"/>
        </w:rPr>
        <w:t xml:space="preserve">S obzirom da se radi o projektu povećanja energetske učinkovitosti zaduživanje ne povećava stupanj zaduženosti. </w:t>
      </w:r>
      <w:r w:rsidRPr="00EB650B">
        <w:rPr>
          <w:rFonts w:ascii="Arial" w:eastAsia="Times New Roman" w:hAnsi="Arial" w:cs="Arial"/>
          <w:b/>
          <w:bCs/>
          <w:iCs/>
          <w:sz w:val="20"/>
          <w:szCs w:val="20"/>
          <w:lang w:eastAsia="en-US"/>
        </w:rPr>
        <w:t xml:space="preserve">Vlada Republike Hrvatske je dana 25. kolovoza 2022. godine dala suglasnost za zaduživanje. </w:t>
      </w:r>
    </w:p>
    <w:p w14:paraId="2E238794" w14:textId="77777777" w:rsidR="009A57D3" w:rsidRPr="00EB650B" w:rsidRDefault="009A57D3" w:rsidP="009A57D3">
      <w:pPr>
        <w:spacing w:after="0" w:line="240" w:lineRule="auto"/>
        <w:jc w:val="both"/>
        <w:rPr>
          <w:rFonts w:ascii="Arial" w:eastAsia="Times New Roman" w:hAnsi="Arial" w:cs="Arial"/>
          <w:iCs/>
          <w:sz w:val="20"/>
          <w:szCs w:val="20"/>
          <w:lang w:eastAsia="en-US"/>
        </w:rPr>
      </w:pPr>
    </w:p>
    <w:p w14:paraId="43CA5428" w14:textId="39E1649C" w:rsidR="009A57D3" w:rsidRPr="00EB650B" w:rsidRDefault="009A57D3" w:rsidP="00DE2CF6">
      <w:pPr>
        <w:spacing w:after="0" w:line="240" w:lineRule="auto"/>
        <w:ind w:firstLine="708"/>
        <w:jc w:val="both"/>
        <w:rPr>
          <w:rFonts w:ascii="Arial" w:hAnsi="Arial" w:cs="Arial"/>
          <w:noProof/>
          <w:sz w:val="20"/>
          <w:szCs w:val="20"/>
        </w:rPr>
      </w:pPr>
      <w:r w:rsidRPr="00EB650B">
        <w:rPr>
          <w:rFonts w:ascii="Arial" w:eastAsia="Times New Roman" w:hAnsi="Arial" w:cs="Arial"/>
          <w:iCs/>
          <w:sz w:val="20"/>
          <w:szCs w:val="20"/>
          <w:lang w:eastAsia="en-US"/>
        </w:rPr>
        <w:t>Općina Konavle je 19.</w:t>
      </w:r>
      <w:r w:rsidR="00442443" w:rsidRPr="00EB650B">
        <w:rPr>
          <w:rFonts w:ascii="Arial" w:eastAsia="Times New Roman" w:hAnsi="Arial" w:cs="Arial"/>
          <w:iCs/>
          <w:sz w:val="20"/>
          <w:szCs w:val="20"/>
          <w:lang w:eastAsia="en-US"/>
        </w:rPr>
        <w:t>1</w:t>
      </w:r>
      <w:r w:rsidRPr="00EB650B">
        <w:rPr>
          <w:rFonts w:ascii="Arial" w:eastAsia="Times New Roman" w:hAnsi="Arial" w:cs="Arial"/>
          <w:iCs/>
          <w:sz w:val="20"/>
          <w:szCs w:val="20"/>
          <w:lang w:eastAsia="en-US"/>
        </w:rPr>
        <w:t>2.2022</w:t>
      </w:r>
      <w:r w:rsidR="00103D2E" w:rsidRPr="00EB650B">
        <w:rPr>
          <w:rFonts w:ascii="Arial" w:eastAsia="Times New Roman" w:hAnsi="Arial" w:cs="Arial"/>
          <w:iCs/>
          <w:sz w:val="20"/>
          <w:szCs w:val="20"/>
          <w:lang w:eastAsia="en-US"/>
        </w:rPr>
        <w:t>.</w:t>
      </w:r>
      <w:r w:rsidRPr="00EB650B">
        <w:rPr>
          <w:rFonts w:ascii="Arial" w:eastAsia="Times New Roman" w:hAnsi="Arial" w:cs="Arial"/>
          <w:iCs/>
          <w:sz w:val="20"/>
          <w:szCs w:val="20"/>
          <w:lang w:eastAsia="en-US"/>
        </w:rPr>
        <w:t xml:space="preserve"> zaključila ugovor o kreditu s bankom (HBOR) u iznosu 8.900.000 kn. </w:t>
      </w:r>
      <w:r w:rsidR="00DE2CF6" w:rsidRPr="00EB650B">
        <w:rPr>
          <w:rFonts w:ascii="Arial" w:eastAsia="Times New Roman" w:hAnsi="Arial" w:cs="Arial"/>
          <w:iCs/>
          <w:sz w:val="20"/>
          <w:szCs w:val="20"/>
          <w:lang w:eastAsia="en-US"/>
        </w:rPr>
        <w:t xml:space="preserve">Prema osnovnom ugovoru kredit se mogao </w:t>
      </w:r>
      <w:r w:rsidRPr="00EB650B">
        <w:rPr>
          <w:rFonts w:ascii="Arial" w:eastAsia="Times New Roman" w:hAnsi="Arial" w:cs="Arial"/>
          <w:iCs/>
          <w:sz w:val="20"/>
          <w:szCs w:val="20"/>
          <w:lang w:eastAsia="en-US"/>
        </w:rPr>
        <w:t>koristiti do 31.12.2023.</w:t>
      </w:r>
      <w:r w:rsidR="00DE2CF6" w:rsidRPr="00EB650B">
        <w:rPr>
          <w:rFonts w:ascii="Arial" w:eastAsia="Times New Roman" w:hAnsi="Arial" w:cs="Arial"/>
          <w:iCs/>
          <w:sz w:val="20"/>
          <w:szCs w:val="20"/>
          <w:lang w:eastAsia="en-US"/>
        </w:rPr>
        <w:t xml:space="preserve"> U prosincu 2023. godine je zaključen dodatak ugovoru kojim je utvrđeno korištenje predujma kredita. Naime, z</w:t>
      </w:r>
      <w:r w:rsidR="00445C79" w:rsidRPr="00EB650B">
        <w:rPr>
          <w:rFonts w:ascii="Arial" w:hAnsi="Arial" w:cs="Arial"/>
          <w:noProof/>
          <w:sz w:val="20"/>
          <w:szCs w:val="20"/>
        </w:rPr>
        <w:t>bog duljeg postupka javne nabave (</w:t>
      </w:r>
      <w:r w:rsidRPr="00EB650B">
        <w:rPr>
          <w:rFonts w:ascii="Arial" w:hAnsi="Arial" w:cs="Arial"/>
          <w:noProof/>
          <w:sz w:val="20"/>
          <w:szCs w:val="20"/>
        </w:rPr>
        <w:t>žalba odabranih ponuditelja i postup</w:t>
      </w:r>
      <w:r w:rsidR="00445C79" w:rsidRPr="00EB650B">
        <w:rPr>
          <w:rFonts w:ascii="Arial" w:hAnsi="Arial" w:cs="Arial"/>
          <w:noProof/>
          <w:sz w:val="20"/>
          <w:szCs w:val="20"/>
        </w:rPr>
        <w:t>a</w:t>
      </w:r>
      <w:r w:rsidRPr="00EB650B">
        <w:rPr>
          <w:rFonts w:ascii="Arial" w:hAnsi="Arial" w:cs="Arial"/>
          <w:noProof/>
          <w:sz w:val="20"/>
          <w:szCs w:val="20"/>
        </w:rPr>
        <w:t>k rješava</w:t>
      </w:r>
      <w:r w:rsidR="00445C79" w:rsidRPr="00EB650B">
        <w:rPr>
          <w:rFonts w:ascii="Arial" w:hAnsi="Arial" w:cs="Arial"/>
          <w:noProof/>
          <w:sz w:val="20"/>
          <w:szCs w:val="20"/>
        </w:rPr>
        <w:t>la</w:t>
      </w:r>
      <w:r w:rsidRPr="00EB650B">
        <w:rPr>
          <w:rFonts w:ascii="Arial" w:hAnsi="Arial" w:cs="Arial"/>
          <w:noProof/>
          <w:sz w:val="20"/>
          <w:szCs w:val="20"/>
        </w:rPr>
        <w:t xml:space="preserve"> Komisija za kontrolu postupaka javne nabave), </w:t>
      </w:r>
      <w:r w:rsidR="00445C79" w:rsidRPr="00EB650B">
        <w:rPr>
          <w:rFonts w:ascii="Arial" w:hAnsi="Arial" w:cs="Arial"/>
          <w:noProof/>
          <w:sz w:val="20"/>
          <w:szCs w:val="20"/>
        </w:rPr>
        <w:t xml:space="preserve">koncem godine </w:t>
      </w:r>
      <w:r w:rsidR="00D537C9" w:rsidRPr="00EB650B">
        <w:rPr>
          <w:rFonts w:ascii="Arial" w:hAnsi="Arial" w:cs="Arial"/>
          <w:noProof/>
          <w:sz w:val="20"/>
          <w:szCs w:val="20"/>
        </w:rPr>
        <w:t>isplaćen je predujam kredita u iznosu 850.000 €</w:t>
      </w:r>
      <w:r w:rsidRPr="00EB650B">
        <w:rPr>
          <w:rFonts w:ascii="Arial" w:hAnsi="Arial" w:cs="Arial"/>
          <w:noProof/>
          <w:sz w:val="20"/>
          <w:szCs w:val="20"/>
        </w:rPr>
        <w:t>.</w:t>
      </w:r>
      <w:r w:rsidR="00D537C9" w:rsidRPr="00EB650B">
        <w:rPr>
          <w:rFonts w:ascii="Arial" w:hAnsi="Arial" w:cs="Arial"/>
          <w:noProof/>
          <w:sz w:val="20"/>
          <w:szCs w:val="20"/>
        </w:rPr>
        <w:t xml:space="preserve"> </w:t>
      </w:r>
    </w:p>
    <w:p w14:paraId="27E6915B" w14:textId="77777777" w:rsidR="00AC7A4D" w:rsidRPr="00EB650B" w:rsidRDefault="00AC7A4D" w:rsidP="00DE2CF6">
      <w:pPr>
        <w:spacing w:after="0" w:line="240" w:lineRule="auto"/>
        <w:ind w:firstLine="708"/>
        <w:jc w:val="both"/>
        <w:rPr>
          <w:rFonts w:ascii="Arial" w:hAnsi="Arial" w:cs="Arial"/>
          <w:noProof/>
          <w:sz w:val="20"/>
          <w:szCs w:val="20"/>
        </w:rPr>
      </w:pPr>
    </w:p>
    <w:p w14:paraId="6DE6DF89" w14:textId="3D9044C3" w:rsidR="009A57D3" w:rsidRDefault="00AC7A4D" w:rsidP="00AC7A4D">
      <w:pPr>
        <w:spacing w:after="0" w:line="240" w:lineRule="auto"/>
        <w:ind w:firstLine="708"/>
        <w:jc w:val="both"/>
        <w:rPr>
          <w:rFonts w:ascii="Arial" w:hAnsi="Arial" w:cs="Arial"/>
          <w:noProof/>
          <w:sz w:val="20"/>
          <w:szCs w:val="20"/>
        </w:rPr>
      </w:pPr>
      <w:r w:rsidRPr="00EB650B">
        <w:rPr>
          <w:rFonts w:ascii="Arial" w:hAnsi="Arial" w:cs="Arial"/>
          <w:noProof/>
          <w:sz w:val="20"/>
          <w:szCs w:val="20"/>
        </w:rPr>
        <w:t xml:space="preserve">U 2024. godine iskorišten je i opravdan predujam u iznosu 647.940,92 €, a u srpnju 2024. je vraćen dio neiskorištenog kredita u iznosu 202.059,08 €. </w:t>
      </w:r>
      <w:r w:rsidRPr="00EB650B">
        <w:rPr>
          <w:rFonts w:ascii="Arial" w:eastAsia="Times New Roman" w:hAnsi="Arial" w:cs="Arial"/>
          <w:iCs/>
          <w:sz w:val="20"/>
          <w:szCs w:val="20"/>
          <w:lang w:eastAsia="en-US"/>
        </w:rPr>
        <w:t xml:space="preserve">U 2024. godine su plaćene redovne kamate u iznosu </w:t>
      </w:r>
      <w:r w:rsidR="004A0779" w:rsidRPr="00EB650B">
        <w:rPr>
          <w:rFonts w:ascii="Arial" w:eastAsia="Times New Roman" w:hAnsi="Arial" w:cs="Arial"/>
          <w:iCs/>
          <w:sz w:val="20"/>
          <w:szCs w:val="20"/>
          <w:lang w:eastAsia="en-US"/>
        </w:rPr>
        <w:t>3.777,01</w:t>
      </w:r>
      <w:r w:rsidRPr="00EB650B">
        <w:rPr>
          <w:rFonts w:ascii="Arial" w:eastAsia="Times New Roman" w:hAnsi="Arial" w:cs="Arial"/>
          <w:iCs/>
          <w:sz w:val="20"/>
          <w:szCs w:val="20"/>
          <w:lang w:eastAsia="en-US"/>
        </w:rPr>
        <w:t xml:space="preserve"> €.</w:t>
      </w:r>
      <w:r w:rsidR="00190CB5" w:rsidRPr="00EB650B">
        <w:rPr>
          <w:rFonts w:ascii="Arial" w:hAnsi="Arial" w:cs="Arial"/>
          <w:noProof/>
          <w:sz w:val="20"/>
          <w:szCs w:val="20"/>
        </w:rPr>
        <w:t xml:space="preserve"> </w:t>
      </w:r>
      <w:r w:rsidR="004A0779" w:rsidRPr="00EB650B">
        <w:rPr>
          <w:rFonts w:ascii="Arial" w:hAnsi="Arial" w:cs="Arial"/>
          <w:noProof/>
          <w:sz w:val="20"/>
          <w:szCs w:val="20"/>
        </w:rPr>
        <w:t xml:space="preserve">Do konca godine plaćena je glavnica kredita u iznosu 17.744,61 €, odnosno sveukupno s neiskorištenim predujmom vraćena je glavnica u iznosu 251.900,68 €. Obveze za glavnicu kredita koncem 2024. godine </w:t>
      </w:r>
      <w:r w:rsidR="000C21B3">
        <w:rPr>
          <w:rFonts w:ascii="Arial" w:hAnsi="Arial" w:cs="Arial"/>
          <w:noProof/>
          <w:sz w:val="20"/>
          <w:szCs w:val="20"/>
        </w:rPr>
        <w:t>su iznosile</w:t>
      </w:r>
      <w:r w:rsidR="004A0779" w:rsidRPr="00EB650B">
        <w:rPr>
          <w:rFonts w:ascii="Arial" w:hAnsi="Arial" w:cs="Arial"/>
          <w:noProof/>
          <w:sz w:val="20"/>
          <w:szCs w:val="20"/>
        </w:rPr>
        <w:t xml:space="preserve"> 598.099,32 €.</w:t>
      </w:r>
    </w:p>
    <w:p w14:paraId="3B0B3B4C" w14:textId="77777777" w:rsidR="000C21B3" w:rsidRDefault="000C21B3" w:rsidP="000C21B3">
      <w:pPr>
        <w:spacing w:after="0" w:line="240" w:lineRule="auto"/>
        <w:jc w:val="both"/>
        <w:rPr>
          <w:rFonts w:ascii="Arial" w:hAnsi="Arial" w:cs="Arial"/>
          <w:noProof/>
          <w:sz w:val="20"/>
          <w:szCs w:val="20"/>
        </w:rPr>
      </w:pPr>
    </w:p>
    <w:p w14:paraId="1028CA9E" w14:textId="7000EB12" w:rsidR="000C21B3" w:rsidRPr="00EB650B" w:rsidRDefault="000C21B3" w:rsidP="000C21B3">
      <w:pPr>
        <w:spacing w:after="0" w:line="240" w:lineRule="auto"/>
        <w:ind w:firstLine="708"/>
        <w:jc w:val="both"/>
        <w:rPr>
          <w:rFonts w:ascii="Arial" w:eastAsia="Times New Roman" w:hAnsi="Arial" w:cs="Arial"/>
          <w:iCs/>
          <w:sz w:val="20"/>
          <w:szCs w:val="20"/>
          <w:lang w:eastAsia="en-US"/>
        </w:rPr>
      </w:pPr>
      <w:bookmarkStart w:id="681" w:name="_Hlk230354519"/>
      <w:r>
        <w:rPr>
          <w:rFonts w:ascii="Arial" w:hAnsi="Arial" w:cs="Arial"/>
          <w:noProof/>
          <w:sz w:val="20"/>
          <w:szCs w:val="20"/>
        </w:rPr>
        <w:lastRenderedPageBreak/>
        <w:t xml:space="preserve">U 2025. je plaćena glavnica kredita u iznosu </w:t>
      </w:r>
      <w:r w:rsidR="00316DE6">
        <w:rPr>
          <w:rFonts w:ascii="Arial" w:hAnsi="Arial" w:cs="Arial"/>
          <w:noProof/>
          <w:sz w:val="20"/>
          <w:szCs w:val="20"/>
        </w:rPr>
        <w:t>99.683,20</w:t>
      </w:r>
      <w:r>
        <w:rPr>
          <w:rFonts w:ascii="Arial" w:hAnsi="Arial" w:cs="Arial"/>
          <w:noProof/>
          <w:sz w:val="20"/>
          <w:szCs w:val="20"/>
        </w:rPr>
        <w:t xml:space="preserve"> € i kamate u iznosu </w:t>
      </w:r>
      <w:r w:rsidR="00316DE6">
        <w:rPr>
          <w:rFonts w:ascii="Arial" w:hAnsi="Arial" w:cs="Arial"/>
          <w:noProof/>
          <w:sz w:val="20"/>
          <w:szCs w:val="20"/>
        </w:rPr>
        <w:t>2.802,39</w:t>
      </w:r>
      <w:r>
        <w:rPr>
          <w:rFonts w:ascii="Arial" w:hAnsi="Arial" w:cs="Arial"/>
          <w:noProof/>
          <w:sz w:val="20"/>
          <w:szCs w:val="20"/>
        </w:rPr>
        <w:t xml:space="preserve"> €, te obveze </w:t>
      </w:r>
      <w:r w:rsidR="00CB10A5">
        <w:rPr>
          <w:rFonts w:ascii="Arial" w:hAnsi="Arial" w:cs="Arial"/>
          <w:noProof/>
          <w:sz w:val="20"/>
          <w:szCs w:val="20"/>
        </w:rPr>
        <w:t>z</w:t>
      </w:r>
      <w:r>
        <w:rPr>
          <w:rFonts w:ascii="Arial" w:hAnsi="Arial" w:cs="Arial"/>
          <w:noProof/>
          <w:sz w:val="20"/>
          <w:szCs w:val="20"/>
        </w:rPr>
        <w:t xml:space="preserve">a glavnicu kredita koncem 2025. iznose </w:t>
      </w:r>
      <w:r w:rsidR="00441A28">
        <w:rPr>
          <w:rFonts w:ascii="Arial" w:hAnsi="Arial" w:cs="Arial"/>
          <w:noProof/>
          <w:sz w:val="20"/>
          <w:szCs w:val="20"/>
        </w:rPr>
        <w:t>498.416,12</w:t>
      </w:r>
      <w:r>
        <w:rPr>
          <w:rFonts w:ascii="Arial" w:hAnsi="Arial" w:cs="Arial"/>
          <w:noProof/>
          <w:sz w:val="20"/>
          <w:szCs w:val="20"/>
        </w:rPr>
        <w:t xml:space="preserve"> €.</w:t>
      </w:r>
    </w:p>
    <w:bookmarkEnd w:id="681"/>
    <w:p w14:paraId="07F1DA1B" w14:textId="77777777" w:rsidR="000C21B3" w:rsidRPr="00F55637" w:rsidRDefault="000C21B3" w:rsidP="000C21B3">
      <w:pPr>
        <w:spacing w:after="0" w:line="240" w:lineRule="auto"/>
        <w:jc w:val="both"/>
        <w:rPr>
          <w:rFonts w:ascii="Arial" w:eastAsia="Times New Roman" w:hAnsi="Arial" w:cs="Arial"/>
          <w:iCs/>
          <w:sz w:val="14"/>
          <w:szCs w:val="14"/>
          <w:lang w:eastAsia="en-US"/>
        </w:rPr>
      </w:pPr>
    </w:p>
    <w:p w14:paraId="6D19C1B2" w14:textId="26443060" w:rsidR="000C21B3" w:rsidRDefault="00316DE6" w:rsidP="00316DE6">
      <w:pPr>
        <w:spacing w:after="0" w:line="240" w:lineRule="auto"/>
        <w:ind w:firstLine="708"/>
        <w:jc w:val="center"/>
        <w:rPr>
          <w:rFonts w:ascii="Arial" w:hAnsi="Arial" w:cs="Arial"/>
          <w:noProof/>
          <w:sz w:val="20"/>
          <w:szCs w:val="20"/>
        </w:rPr>
      </w:pPr>
      <w:r w:rsidRPr="00316DE6">
        <w:rPr>
          <w:noProof/>
        </w:rPr>
        <w:drawing>
          <wp:inline distT="0" distB="0" distL="0" distR="0" wp14:anchorId="461614BD" wp14:editId="6CF8F7B8">
            <wp:extent cx="7042150" cy="1983105"/>
            <wp:effectExtent l="0" t="0" r="6350" b="0"/>
            <wp:docPr id="1733892500"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7042150" cy="1983105"/>
                    </a:xfrm>
                    <a:prstGeom prst="rect">
                      <a:avLst/>
                    </a:prstGeom>
                    <a:noFill/>
                    <a:ln>
                      <a:noFill/>
                    </a:ln>
                  </pic:spPr>
                </pic:pic>
              </a:graphicData>
            </a:graphic>
          </wp:inline>
        </w:drawing>
      </w:r>
    </w:p>
    <w:p w14:paraId="5FF5E2DF" w14:textId="77777777" w:rsidR="00F55637" w:rsidRPr="00F55637" w:rsidRDefault="00F55637" w:rsidP="00AC7A4D">
      <w:pPr>
        <w:spacing w:after="0" w:line="240" w:lineRule="auto"/>
        <w:ind w:firstLine="708"/>
        <w:jc w:val="both"/>
        <w:rPr>
          <w:rFonts w:ascii="Arial" w:eastAsia="Times New Roman" w:hAnsi="Arial" w:cs="Arial"/>
          <w:iCs/>
          <w:sz w:val="14"/>
          <w:szCs w:val="14"/>
          <w:lang w:eastAsia="en-US"/>
        </w:rPr>
      </w:pPr>
    </w:p>
    <w:p w14:paraId="5A60BBCF" w14:textId="77777777" w:rsidR="00F55637" w:rsidRDefault="00F55637" w:rsidP="00441A28">
      <w:pPr>
        <w:spacing w:after="0" w:line="240" w:lineRule="auto"/>
        <w:jc w:val="both"/>
        <w:rPr>
          <w:rFonts w:ascii="Arial" w:eastAsia="Times New Roman" w:hAnsi="Arial" w:cs="Arial"/>
          <w:iCs/>
          <w:lang w:eastAsia="en-US"/>
        </w:rPr>
      </w:pPr>
    </w:p>
    <w:p w14:paraId="451BA61C" w14:textId="77777777" w:rsidR="00441A28" w:rsidRPr="00AE65FB" w:rsidRDefault="00441A28">
      <w:pPr>
        <w:pStyle w:val="Odlomakpopisa"/>
        <w:numPr>
          <w:ilvl w:val="0"/>
          <w:numId w:val="21"/>
        </w:numPr>
        <w:rPr>
          <w:rFonts w:ascii="Arial" w:hAnsi="Arial" w:cs="Arial"/>
          <w:b/>
          <w:iCs/>
        </w:rPr>
      </w:pPr>
      <w:r w:rsidRPr="00AE65FB">
        <w:rPr>
          <w:rFonts w:ascii="Arial" w:hAnsi="Arial" w:cs="Arial"/>
          <w:b/>
          <w:iCs/>
        </w:rPr>
        <w:t>Ugovor o dugoročnom kreditu – Povećanje učinkovitosti sustava javne rasvjete</w:t>
      </w:r>
    </w:p>
    <w:p w14:paraId="50C06B05" w14:textId="77777777" w:rsidR="00441A28" w:rsidRPr="00AE65FB" w:rsidRDefault="00441A28" w:rsidP="00441A28">
      <w:pPr>
        <w:autoSpaceDE w:val="0"/>
        <w:autoSpaceDN w:val="0"/>
        <w:adjustRightInd w:val="0"/>
        <w:spacing w:after="0" w:line="240" w:lineRule="auto"/>
        <w:rPr>
          <w:noProof/>
        </w:rPr>
      </w:pPr>
    </w:p>
    <w:p w14:paraId="00D67969" w14:textId="1BF93592" w:rsidR="00441A28" w:rsidRPr="00EB650B" w:rsidRDefault="00441A28" w:rsidP="00441A28">
      <w:pPr>
        <w:spacing w:after="0" w:line="240" w:lineRule="auto"/>
        <w:ind w:firstLine="708"/>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Općinsko vijeće Općine Konavle je </w:t>
      </w:r>
      <w:r>
        <w:rPr>
          <w:rFonts w:ascii="Arial" w:eastAsia="Times New Roman" w:hAnsi="Arial" w:cs="Arial"/>
          <w:iCs/>
          <w:sz w:val="20"/>
          <w:szCs w:val="20"/>
          <w:lang w:eastAsia="en-US"/>
        </w:rPr>
        <w:t>31. ožujka 2025.</w:t>
      </w:r>
      <w:r w:rsidRPr="00EB650B">
        <w:rPr>
          <w:rFonts w:ascii="Arial" w:eastAsia="Times New Roman" w:hAnsi="Arial" w:cs="Arial"/>
          <w:iCs/>
          <w:sz w:val="20"/>
          <w:szCs w:val="20"/>
          <w:lang w:eastAsia="en-US"/>
        </w:rPr>
        <w:t xml:space="preserve"> donijelo odluku o zaduživanju kojom je odobrilo zaduživanje kod Hrvatske banke za obnovu i razvitak za potrebe predfinanciranja </w:t>
      </w:r>
      <w:r>
        <w:rPr>
          <w:rFonts w:ascii="Arial" w:eastAsia="Times New Roman" w:hAnsi="Arial" w:cs="Arial"/>
          <w:iCs/>
          <w:sz w:val="20"/>
          <w:szCs w:val="20"/>
          <w:lang w:eastAsia="en-US"/>
        </w:rPr>
        <w:t xml:space="preserve">i financiranja </w:t>
      </w:r>
      <w:r w:rsidRPr="00EB650B">
        <w:rPr>
          <w:rFonts w:ascii="Arial" w:eastAsia="Times New Roman" w:hAnsi="Arial" w:cs="Arial"/>
          <w:iCs/>
          <w:sz w:val="20"/>
          <w:szCs w:val="20"/>
          <w:lang w:eastAsia="en-US"/>
        </w:rPr>
        <w:t xml:space="preserve">kapitalnog projekta </w:t>
      </w:r>
      <w:r>
        <w:rPr>
          <w:rFonts w:ascii="Arial" w:eastAsia="Times New Roman" w:hAnsi="Arial" w:cs="Arial"/>
          <w:iCs/>
          <w:sz w:val="20"/>
          <w:szCs w:val="20"/>
          <w:lang w:eastAsia="en-US"/>
        </w:rPr>
        <w:t xml:space="preserve">izgradnje nove osnovne škole u Cavtatu s trodijelnom dvoranom i cestom u okviru škole </w:t>
      </w:r>
      <w:r w:rsidRPr="00EB650B">
        <w:rPr>
          <w:rFonts w:ascii="Arial" w:eastAsia="Times New Roman" w:hAnsi="Arial" w:cs="Arial"/>
          <w:iCs/>
          <w:sz w:val="20"/>
          <w:szCs w:val="20"/>
          <w:lang w:eastAsia="en-US"/>
        </w:rPr>
        <w:t xml:space="preserve">uzimanjem dugoročnog kredita u iznosu </w:t>
      </w:r>
      <w:r>
        <w:rPr>
          <w:rFonts w:ascii="Arial" w:eastAsia="Times New Roman" w:hAnsi="Arial" w:cs="Arial"/>
          <w:iCs/>
          <w:sz w:val="20"/>
          <w:szCs w:val="20"/>
          <w:lang w:eastAsia="en-US"/>
        </w:rPr>
        <w:t>16.000.000 €</w:t>
      </w:r>
      <w:r w:rsidRPr="00EB650B">
        <w:rPr>
          <w:rFonts w:ascii="Arial" w:eastAsia="Times New Roman" w:hAnsi="Arial" w:cs="Arial"/>
          <w:iCs/>
          <w:sz w:val="20"/>
          <w:szCs w:val="20"/>
          <w:lang w:eastAsia="en-US"/>
        </w:rPr>
        <w:t xml:space="preserve"> uz redovnu fiksnu kamatnu stopu </w:t>
      </w:r>
      <w:r>
        <w:rPr>
          <w:rFonts w:ascii="Arial" w:eastAsia="Times New Roman" w:hAnsi="Arial" w:cs="Arial"/>
          <w:iCs/>
          <w:sz w:val="20"/>
          <w:szCs w:val="20"/>
          <w:lang w:eastAsia="en-US"/>
        </w:rPr>
        <w:t>3,14</w:t>
      </w:r>
      <w:r w:rsidRPr="00EB650B">
        <w:rPr>
          <w:rFonts w:ascii="Arial" w:eastAsia="Times New Roman" w:hAnsi="Arial" w:cs="Arial"/>
          <w:iCs/>
          <w:sz w:val="20"/>
          <w:szCs w:val="20"/>
          <w:lang w:eastAsia="en-US"/>
        </w:rPr>
        <w:t xml:space="preserve">% godišnje, s rokom otplate od </w:t>
      </w:r>
      <w:r>
        <w:rPr>
          <w:rFonts w:ascii="Arial" w:eastAsia="Times New Roman" w:hAnsi="Arial" w:cs="Arial"/>
          <w:iCs/>
          <w:sz w:val="20"/>
          <w:szCs w:val="20"/>
          <w:lang w:eastAsia="en-US"/>
        </w:rPr>
        <w:t>12</w:t>
      </w:r>
      <w:r w:rsidRPr="00EB650B">
        <w:rPr>
          <w:rFonts w:ascii="Arial" w:eastAsia="Times New Roman" w:hAnsi="Arial" w:cs="Arial"/>
          <w:iCs/>
          <w:sz w:val="20"/>
          <w:szCs w:val="20"/>
          <w:lang w:eastAsia="en-US"/>
        </w:rPr>
        <w:t xml:space="preserve"> godina uključujući </w:t>
      </w:r>
      <w:r>
        <w:rPr>
          <w:rFonts w:ascii="Arial" w:eastAsia="Times New Roman" w:hAnsi="Arial" w:cs="Arial"/>
          <w:iCs/>
          <w:sz w:val="20"/>
          <w:szCs w:val="20"/>
          <w:lang w:eastAsia="en-US"/>
        </w:rPr>
        <w:t>dvije godine</w:t>
      </w:r>
      <w:r w:rsidRPr="00EB650B">
        <w:rPr>
          <w:rFonts w:ascii="Arial" w:eastAsia="Times New Roman" w:hAnsi="Arial" w:cs="Arial"/>
          <w:iCs/>
          <w:sz w:val="20"/>
          <w:szCs w:val="20"/>
          <w:lang w:eastAsia="en-US"/>
        </w:rPr>
        <w:t xml:space="preserve"> počeka u tromjesečnim obrocima. Naknade za obradu kredita </w:t>
      </w:r>
      <w:r>
        <w:rPr>
          <w:rFonts w:ascii="Arial" w:eastAsia="Times New Roman" w:hAnsi="Arial" w:cs="Arial"/>
          <w:iCs/>
          <w:sz w:val="20"/>
          <w:szCs w:val="20"/>
          <w:lang w:eastAsia="en-US"/>
        </w:rPr>
        <w:t>iznosi jednokratno 0,2% ukupno odobrenog kredita</w:t>
      </w:r>
      <w:r w:rsidRPr="00EB650B">
        <w:rPr>
          <w:rFonts w:ascii="Arial" w:eastAsia="Times New Roman" w:hAnsi="Arial" w:cs="Arial"/>
          <w:iCs/>
          <w:sz w:val="20"/>
          <w:szCs w:val="20"/>
          <w:lang w:eastAsia="en-US"/>
        </w:rPr>
        <w:t xml:space="preserve">. Naknade za rezervaciju sredstava nema, a naknada za prijevremenu otplatu kredita (dio koji se ne odnosi na primljena sredstva EU fondova) se ne obračunava </w:t>
      </w:r>
    </w:p>
    <w:p w14:paraId="3EFC5569" w14:textId="77777777" w:rsidR="00441A28" w:rsidRPr="00EB650B" w:rsidRDefault="00441A28" w:rsidP="00441A28">
      <w:pPr>
        <w:spacing w:after="0" w:line="240" w:lineRule="auto"/>
        <w:jc w:val="both"/>
        <w:rPr>
          <w:rFonts w:ascii="Arial" w:eastAsia="Times New Roman" w:hAnsi="Arial" w:cs="Arial"/>
          <w:iCs/>
          <w:sz w:val="20"/>
          <w:szCs w:val="20"/>
          <w:lang w:eastAsia="en-US"/>
        </w:rPr>
      </w:pPr>
    </w:p>
    <w:p w14:paraId="716573AF" w14:textId="0A75B59A" w:rsidR="00441A28" w:rsidRPr="00EB650B" w:rsidRDefault="00441A28" w:rsidP="00441A28">
      <w:pPr>
        <w:spacing w:after="0" w:line="240" w:lineRule="auto"/>
        <w:ind w:firstLine="708"/>
        <w:jc w:val="both"/>
        <w:rPr>
          <w:rFonts w:ascii="Arial" w:eastAsia="Times New Roman" w:hAnsi="Arial" w:cs="Arial"/>
          <w:b/>
          <w:bCs/>
          <w:iCs/>
          <w:sz w:val="20"/>
          <w:szCs w:val="20"/>
          <w:lang w:eastAsia="en-US"/>
        </w:rPr>
      </w:pPr>
      <w:r w:rsidRPr="00EB650B">
        <w:rPr>
          <w:rFonts w:ascii="Arial" w:eastAsia="Times New Roman" w:hAnsi="Arial" w:cs="Arial"/>
          <w:b/>
          <w:bCs/>
          <w:iCs/>
          <w:sz w:val="20"/>
          <w:szCs w:val="20"/>
          <w:lang w:eastAsia="en-US"/>
        </w:rPr>
        <w:t>Vlada Republike Hrvatske je dana 2</w:t>
      </w:r>
      <w:r>
        <w:rPr>
          <w:rFonts w:ascii="Arial" w:eastAsia="Times New Roman" w:hAnsi="Arial" w:cs="Arial"/>
          <w:b/>
          <w:bCs/>
          <w:iCs/>
          <w:sz w:val="20"/>
          <w:szCs w:val="20"/>
          <w:lang w:eastAsia="en-US"/>
        </w:rPr>
        <w:t>1</w:t>
      </w:r>
      <w:r w:rsidRPr="00EB650B">
        <w:rPr>
          <w:rFonts w:ascii="Arial" w:eastAsia="Times New Roman" w:hAnsi="Arial" w:cs="Arial"/>
          <w:b/>
          <w:bCs/>
          <w:iCs/>
          <w:sz w:val="20"/>
          <w:szCs w:val="20"/>
          <w:lang w:eastAsia="en-US"/>
        </w:rPr>
        <w:t>. kolovoza 202</w:t>
      </w:r>
      <w:r>
        <w:rPr>
          <w:rFonts w:ascii="Arial" w:eastAsia="Times New Roman" w:hAnsi="Arial" w:cs="Arial"/>
          <w:b/>
          <w:bCs/>
          <w:iCs/>
          <w:sz w:val="20"/>
          <w:szCs w:val="20"/>
          <w:lang w:eastAsia="en-US"/>
        </w:rPr>
        <w:t>5</w:t>
      </w:r>
      <w:r w:rsidRPr="00EB650B">
        <w:rPr>
          <w:rFonts w:ascii="Arial" w:eastAsia="Times New Roman" w:hAnsi="Arial" w:cs="Arial"/>
          <w:b/>
          <w:bCs/>
          <w:iCs/>
          <w:sz w:val="20"/>
          <w:szCs w:val="20"/>
          <w:lang w:eastAsia="en-US"/>
        </w:rPr>
        <w:t xml:space="preserve">. godine dala suglasnost za zaduživanje. </w:t>
      </w:r>
    </w:p>
    <w:p w14:paraId="5C14045F" w14:textId="77777777" w:rsidR="00441A28" w:rsidRPr="00EB650B" w:rsidRDefault="00441A28" w:rsidP="00441A28">
      <w:pPr>
        <w:spacing w:after="0" w:line="240" w:lineRule="auto"/>
        <w:jc w:val="both"/>
        <w:rPr>
          <w:rFonts w:ascii="Arial" w:eastAsia="Times New Roman" w:hAnsi="Arial" w:cs="Arial"/>
          <w:iCs/>
          <w:sz w:val="20"/>
          <w:szCs w:val="20"/>
          <w:lang w:eastAsia="en-US"/>
        </w:rPr>
      </w:pPr>
    </w:p>
    <w:p w14:paraId="06F89DD6" w14:textId="3D0390A5" w:rsidR="00441A28" w:rsidRPr="00EB650B" w:rsidRDefault="00441A28" w:rsidP="00441A28">
      <w:pPr>
        <w:spacing w:after="0" w:line="240" w:lineRule="auto"/>
        <w:ind w:firstLine="708"/>
        <w:jc w:val="both"/>
        <w:rPr>
          <w:rFonts w:ascii="Arial" w:hAnsi="Arial" w:cs="Arial"/>
          <w:noProof/>
          <w:sz w:val="20"/>
          <w:szCs w:val="20"/>
        </w:rPr>
      </w:pPr>
      <w:r w:rsidRPr="00EB650B">
        <w:rPr>
          <w:rFonts w:ascii="Arial" w:eastAsia="Times New Roman" w:hAnsi="Arial" w:cs="Arial"/>
          <w:iCs/>
          <w:sz w:val="20"/>
          <w:szCs w:val="20"/>
          <w:lang w:eastAsia="en-US"/>
        </w:rPr>
        <w:t xml:space="preserve">Općina Konavle je </w:t>
      </w:r>
      <w:r w:rsidR="00CB740F">
        <w:rPr>
          <w:rFonts w:ascii="Arial" w:eastAsia="Times New Roman" w:hAnsi="Arial" w:cs="Arial"/>
          <w:iCs/>
          <w:sz w:val="20"/>
          <w:szCs w:val="20"/>
          <w:lang w:eastAsia="en-US"/>
        </w:rPr>
        <w:t>u rujnu / listopadu 2025 .godine</w:t>
      </w:r>
      <w:r w:rsidRPr="00EB650B">
        <w:rPr>
          <w:rFonts w:ascii="Arial" w:eastAsia="Times New Roman" w:hAnsi="Arial" w:cs="Arial"/>
          <w:iCs/>
          <w:sz w:val="20"/>
          <w:szCs w:val="20"/>
          <w:lang w:eastAsia="en-US"/>
        </w:rPr>
        <w:t xml:space="preserve"> zaključila ugovor o kreditu s bankom (HBOR) u iznosu </w:t>
      </w:r>
      <w:r w:rsidR="00CB740F">
        <w:rPr>
          <w:rFonts w:ascii="Arial" w:eastAsia="Times New Roman" w:hAnsi="Arial" w:cs="Arial"/>
          <w:iCs/>
          <w:sz w:val="20"/>
          <w:szCs w:val="20"/>
          <w:lang w:eastAsia="en-US"/>
        </w:rPr>
        <w:t>16.000.000 €</w:t>
      </w:r>
      <w:r w:rsidRPr="00EB650B">
        <w:rPr>
          <w:rFonts w:ascii="Arial" w:eastAsia="Times New Roman" w:hAnsi="Arial" w:cs="Arial"/>
          <w:iCs/>
          <w:sz w:val="20"/>
          <w:szCs w:val="20"/>
          <w:lang w:eastAsia="en-US"/>
        </w:rPr>
        <w:t xml:space="preserve">. Prema osnovnom ugovoru kredit se </w:t>
      </w:r>
      <w:r w:rsidR="00CB740F">
        <w:rPr>
          <w:rFonts w:ascii="Arial" w:eastAsia="Times New Roman" w:hAnsi="Arial" w:cs="Arial"/>
          <w:iCs/>
          <w:sz w:val="20"/>
          <w:szCs w:val="20"/>
          <w:lang w:eastAsia="en-US"/>
        </w:rPr>
        <w:t>može</w:t>
      </w:r>
      <w:r w:rsidRPr="00EB650B">
        <w:rPr>
          <w:rFonts w:ascii="Arial" w:eastAsia="Times New Roman" w:hAnsi="Arial" w:cs="Arial"/>
          <w:iCs/>
          <w:sz w:val="20"/>
          <w:szCs w:val="20"/>
          <w:lang w:eastAsia="en-US"/>
        </w:rPr>
        <w:t xml:space="preserve"> koristiti do </w:t>
      </w:r>
      <w:r w:rsidR="00CB740F">
        <w:rPr>
          <w:rFonts w:ascii="Arial" w:eastAsia="Times New Roman" w:hAnsi="Arial" w:cs="Arial"/>
          <w:iCs/>
          <w:sz w:val="20"/>
          <w:szCs w:val="20"/>
          <w:lang w:eastAsia="en-US"/>
        </w:rPr>
        <w:t>30.6.2027</w:t>
      </w:r>
      <w:r w:rsidRPr="00EB650B">
        <w:rPr>
          <w:rFonts w:ascii="Arial" w:eastAsia="Times New Roman" w:hAnsi="Arial" w:cs="Arial"/>
          <w:iCs/>
          <w:sz w:val="20"/>
          <w:szCs w:val="20"/>
          <w:lang w:eastAsia="en-US"/>
        </w:rPr>
        <w:t xml:space="preserve">. </w:t>
      </w:r>
    </w:p>
    <w:p w14:paraId="0ACBCEBF" w14:textId="77777777" w:rsidR="00441A28" w:rsidRPr="00EB650B" w:rsidRDefault="00441A28" w:rsidP="00441A28">
      <w:pPr>
        <w:spacing w:after="0" w:line="240" w:lineRule="auto"/>
        <w:ind w:firstLine="708"/>
        <w:jc w:val="both"/>
        <w:rPr>
          <w:rFonts w:ascii="Arial" w:hAnsi="Arial" w:cs="Arial"/>
          <w:noProof/>
          <w:sz w:val="20"/>
          <w:szCs w:val="20"/>
        </w:rPr>
      </w:pPr>
    </w:p>
    <w:p w14:paraId="47C72B1C" w14:textId="75348DE0" w:rsidR="00441A28" w:rsidRDefault="00441A28" w:rsidP="00441A28">
      <w:pPr>
        <w:spacing w:after="0" w:line="240" w:lineRule="auto"/>
        <w:ind w:firstLine="708"/>
        <w:jc w:val="both"/>
        <w:rPr>
          <w:rFonts w:ascii="Arial" w:hAnsi="Arial" w:cs="Arial"/>
          <w:noProof/>
          <w:sz w:val="20"/>
          <w:szCs w:val="20"/>
        </w:rPr>
      </w:pPr>
      <w:r w:rsidRPr="00EB650B">
        <w:rPr>
          <w:rFonts w:ascii="Arial" w:hAnsi="Arial" w:cs="Arial"/>
          <w:noProof/>
          <w:sz w:val="20"/>
          <w:szCs w:val="20"/>
        </w:rPr>
        <w:t>U 202</w:t>
      </w:r>
      <w:r w:rsidR="00CB740F">
        <w:rPr>
          <w:rFonts w:ascii="Arial" w:hAnsi="Arial" w:cs="Arial"/>
          <w:noProof/>
          <w:sz w:val="20"/>
          <w:szCs w:val="20"/>
        </w:rPr>
        <w:t>5</w:t>
      </w:r>
      <w:r w:rsidRPr="00EB650B">
        <w:rPr>
          <w:rFonts w:ascii="Arial" w:hAnsi="Arial" w:cs="Arial"/>
          <w:noProof/>
          <w:sz w:val="20"/>
          <w:szCs w:val="20"/>
        </w:rPr>
        <w:t xml:space="preserve">. godine iskorišten je </w:t>
      </w:r>
      <w:r w:rsidR="00CB740F">
        <w:rPr>
          <w:rFonts w:ascii="Arial" w:hAnsi="Arial" w:cs="Arial"/>
          <w:noProof/>
          <w:sz w:val="20"/>
          <w:szCs w:val="20"/>
        </w:rPr>
        <w:t>kredit u iznosu 3.079.325,13 €</w:t>
      </w:r>
      <w:r w:rsidRPr="00EB650B">
        <w:rPr>
          <w:rFonts w:ascii="Arial" w:hAnsi="Arial" w:cs="Arial"/>
          <w:noProof/>
          <w:sz w:val="20"/>
          <w:szCs w:val="20"/>
        </w:rPr>
        <w:t xml:space="preserve"> </w:t>
      </w:r>
      <w:r w:rsidR="00CB740F">
        <w:rPr>
          <w:rFonts w:ascii="Arial" w:hAnsi="Arial" w:cs="Arial"/>
          <w:noProof/>
          <w:sz w:val="20"/>
          <w:szCs w:val="20"/>
        </w:rPr>
        <w:t>a interkalarne kamate za 2025. godinu iznose 7.89,60 €</w:t>
      </w:r>
      <w:r w:rsidRPr="00EB650B">
        <w:rPr>
          <w:rFonts w:ascii="Arial" w:hAnsi="Arial" w:cs="Arial"/>
          <w:noProof/>
          <w:sz w:val="20"/>
          <w:szCs w:val="20"/>
        </w:rPr>
        <w:t>.</w:t>
      </w:r>
      <w:r w:rsidR="00DC002D">
        <w:rPr>
          <w:rFonts w:ascii="Arial" w:hAnsi="Arial" w:cs="Arial"/>
          <w:noProof/>
          <w:sz w:val="20"/>
          <w:szCs w:val="20"/>
        </w:rPr>
        <w:t xml:space="preserve"> Naknada za obradu kredita plaćena je u iznosu 32.000 €.</w:t>
      </w:r>
    </w:p>
    <w:p w14:paraId="3ECDB414" w14:textId="77777777" w:rsidR="00441A28" w:rsidRDefault="00441A28" w:rsidP="00441A28">
      <w:pPr>
        <w:spacing w:after="0" w:line="240" w:lineRule="auto"/>
        <w:jc w:val="both"/>
        <w:rPr>
          <w:rFonts w:ascii="Arial" w:hAnsi="Arial" w:cs="Arial"/>
          <w:noProof/>
          <w:sz w:val="20"/>
          <w:szCs w:val="20"/>
        </w:rPr>
      </w:pPr>
    </w:p>
    <w:p w14:paraId="67B23025" w14:textId="77777777" w:rsidR="00441A28" w:rsidRDefault="00441A28" w:rsidP="00441A28">
      <w:pPr>
        <w:spacing w:after="0" w:line="240" w:lineRule="auto"/>
        <w:jc w:val="both"/>
        <w:rPr>
          <w:rFonts w:ascii="Arial" w:eastAsia="Times New Roman" w:hAnsi="Arial" w:cs="Arial"/>
          <w:iCs/>
          <w:lang w:eastAsia="en-US"/>
        </w:rPr>
      </w:pPr>
    </w:p>
    <w:p w14:paraId="5A6C6E0D" w14:textId="77777777" w:rsidR="00CB740F" w:rsidRDefault="00CB740F" w:rsidP="00441A28">
      <w:pPr>
        <w:spacing w:after="0" w:line="240" w:lineRule="auto"/>
        <w:jc w:val="both"/>
        <w:rPr>
          <w:rFonts w:ascii="Arial" w:eastAsia="Times New Roman" w:hAnsi="Arial" w:cs="Arial"/>
          <w:iCs/>
          <w:lang w:eastAsia="en-US"/>
        </w:rPr>
      </w:pPr>
    </w:p>
    <w:p w14:paraId="43339CAE" w14:textId="77777777" w:rsidR="00CB740F" w:rsidRDefault="00CB740F" w:rsidP="00441A28">
      <w:pPr>
        <w:spacing w:after="0" w:line="240" w:lineRule="auto"/>
        <w:jc w:val="both"/>
        <w:rPr>
          <w:rFonts w:ascii="Arial" w:eastAsia="Times New Roman" w:hAnsi="Arial" w:cs="Arial"/>
          <w:iCs/>
          <w:lang w:eastAsia="en-US"/>
        </w:rPr>
      </w:pPr>
    </w:p>
    <w:p w14:paraId="78D5BF61" w14:textId="77777777" w:rsidR="00441A28" w:rsidRDefault="00441A28" w:rsidP="00441A28">
      <w:pPr>
        <w:spacing w:after="0" w:line="240" w:lineRule="auto"/>
        <w:jc w:val="both"/>
        <w:rPr>
          <w:rFonts w:ascii="Arial" w:eastAsia="Times New Roman" w:hAnsi="Arial" w:cs="Arial"/>
          <w:iCs/>
          <w:lang w:eastAsia="en-US"/>
        </w:rPr>
      </w:pPr>
    </w:p>
    <w:p w14:paraId="0E9C2510" w14:textId="77777777" w:rsidR="00441A28" w:rsidRDefault="00441A28" w:rsidP="00441A28">
      <w:pPr>
        <w:spacing w:after="0" w:line="240" w:lineRule="auto"/>
        <w:jc w:val="both"/>
        <w:rPr>
          <w:rFonts w:ascii="Arial" w:eastAsia="Times New Roman" w:hAnsi="Arial" w:cs="Arial"/>
          <w:iCs/>
          <w:lang w:eastAsia="en-US"/>
        </w:rPr>
      </w:pPr>
    </w:p>
    <w:p w14:paraId="124FB89C" w14:textId="77777777" w:rsidR="00441A28" w:rsidRDefault="00441A28" w:rsidP="00441A28">
      <w:pPr>
        <w:spacing w:after="0" w:line="240" w:lineRule="auto"/>
        <w:jc w:val="both"/>
        <w:rPr>
          <w:rFonts w:ascii="Arial" w:eastAsia="Times New Roman" w:hAnsi="Arial" w:cs="Arial"/>
          <w:iCs/>
          <w:lang w:eastAsia="en-US"/>
        </w:rPr>
      </w:pPr>
    </w:p>
    <w:p w14:paraId="6BE3B7C1" w14:textId="77777777" w:rsidR="00441A28" w:rsidRDefault="00441A28" w:rsidP="004A0779">
      <w:pPr>
        <w:spacing w:after="0" w:line="240" w:lineRule="auto"/>
        <w:jc w:val="center"/>
        <w:rPr>
          <w:rFonts w:ascii="Arial" w:eastAsia="Times New Roman" w:hAnsi="Arial" w:cs="Arial"/>
          <w:iCs/>
          <w:lang w:eastAsia="en-US"/>
        </w:rPr>
      </w:pPr>
    </w:p>
    <w:p w14:paraId="57103387" w14:textId="4E3E5954" w:rsidR="00D843C5" w:rsidRPr="003A2F86" w:rsidRDefault="00892B2C" w:rsidP="004C330F">
      <w:pPr>
        <w:pStyle w:val="Opisslike"/>
        <w:keepNext/>
        <w:jc w:val="both"/>
        <w:rPr>
          <w:rFonts w:ascii="Arial" w:hAnsi="Arial" w:cs="Arial"/>
          <w:bCs w:val="0"/>
          <w:iCs/>
        </w:rPr>
      </w:pPr>
      <w:bookmarkStart w:id="682" w:name="_Toc232981546"/>
      <w:r w:rsidRPr="003A2F86">
        <w:rPr>
          <w:color w:val="FF0000"/>
        </w:rPr>
        <w:lastRenderedPageBreak/>
        <w:t xml:space="preserve">Tablica </w:t>
      </w:r>
      <w:r w:rsidR="002A3DE2" w:rsidRPr="003A2F86">
        <w:rPr>
          <w:color w:val="FF0000"/>
        </w:rPr>
        <w:fldChar w:fldCharType="begin"/>
      </w:r>
      <w:r w:rsidR="002A3DE2" w:rsidRPr="003A2F86">
        <w:rPr>
          <w:color w:val="FF0000"/>
        </w:rPr>
        <w:instrText xml:space="preserve"> SEQ Tablica \* ARABIC </w:instrText>
      </w:r>
      <w:r w:rsidR="002A3DE2" w:rsidRPr="003A2F86">
        <w:rPr>
          <w:color w:val="FF0000"/>
        </w:rPr>
        <w:fldChar w:fldCharType="separate"/>
      </w:r>
      <w:r w:rsidR="00A821D8">
        <w:rPr>
          <w:noProof/>
          <w:color w:val="FF0000"/>
        </w:rPr>
        <w:t>27</w:t>
      </w:r>
      <w:r w:rsidR="002A3DE2" w:rsidRPr="003A2F86">
        <w:rPr>
          <w:color w:val="FF0000"/>
        </w:rPr>
        <w:fldChar w:fldCharType="end"/>
      </w:r>
      <w:r w:rsidR="004C330F" w:rsidRPr="003A2F86">
        <w:rPr>
          <w:color w:val="FF0000"/>
        </w:rPr>
        <w:t>.</w:t>
      </w:r>
      <w:r w:rsidR="004C330F" w:rsidRPr="003A2F86">
        <w:rPr>
          <w:color w:val="7030A0"/>
        </w:rPr>
        <w:t>:</w:t>
      </w:r>
      <w:r w:rsidR="00D843C5" w:rsidRPr="003A2F86">
        <w:rPr>
          <w:rFonts w:ascii="Arial" w:hAnsi="Arial" w:cs="Arial"/>
          <w:b w:val="0"/>
          <w:bCs w:val="0"/>
          <w:iCs/>
          <w:color w:val="7030A0"/>
        </w:rPr>
        <w:t xml:space="preserve"> </w:t>
      </w:r>
      <w:r w:rsidR="00D843C5" w:rsidRPr="003A2F86">
        <w:rPr>
          <w:rFonts w:ascii="Arial" w:hAnsi="Arial" w:cs="Arial"/>
          <w:bCs w:val="0"/>
          <w:iCs/>
        </w:rPr>
        <w:t>Pregled obveza</w:t>
      </w:r>
      <w:r w:rsidR="00FE08E6" w:rsidRPr="003A2F86">
        <w:rPr>
          <w:rFonts w:ascii="Arial" w:hAnsi="Arial" w:cs="Arial"/>
          <w:bCs w:val="0"/>
          <w:iCs/>
        </w:rPr>
        <w:t xml:space="preserve"> po primljenim kreditima</w:t>
      </w:r>
      <w:r w:rsidR="006C5137" w:rsidRPr="003A2F86">
        <w:rPr>
          <w:rFonts w:ascii="Arial" w:hAnsi="Arial" w:cs="Arial"/>
          <w:bCs w:val="0"/>
          <w:iCs/>
        </w:rPr>
        <w:t xml:space="preserve"> od financijskih institucija</w:t>
      </w:r>
      <w:bookmarkEnd w:id="682"/>
    </w:p>
    <w:p w14:paraId="07D1948F" w14:textId="0AF24FB5" w:rsidR="00F21318" w:rsidRDefault="003109D4" w:rsidP="000827C9">
      <w:pPr>
        <w:autoSpaceDE w:val="0"/>
        <w:autoSpaceDN w:val="0"/>
        <w:adjustRightInd w:val="0"/>
        <w:spacing w:after="0" w:line="240" w:lineRule="auto"/>
        <w:jc w:val="center"/>
      </w:pPr>
      <w:r w:rsidRPr="003109D4">
        <w:rPr>
          <w:noProof/>
        </w:rPr>
        <w:drawing>
          <wp:inline distT="0" distB="0" distL="0" distR="0" wp14:anchorId="68DE0D80" wp14:editId="4B5159E4">
            <wp:extent cx="6923405" cy="4084955"/>
            <wp:effectExtent l="0" t="0" r="0" b="0"/>
            <wp:docPr id="1565447366"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6923405" cy="4084955"/>
                    </a:xfrm>
                    <a:prstGeom prst="rect">
                      <a:avLst/>
                    </a:prstGeom>
                    <a:noFill/>
                    <a:ln>
                      <a:noFill/>
                    </a:ln>
                  </pic:spPr>
                </pic:pic>
              </a:graphicData>
            </a:graphic>
          </wp:inline>
        </w:drawing>
      </w:r>
    </w:p>
    <w:p w14:paraId="1971CA2C" w14:textId="3A4DFD93" w:rsidR="003D18D4" w:rsidRPr="003A2F86" w:rsidRDefault="003D18D4" w:rsidP="000827C9">
      <w:pPr>
        <w:autoSpaceDE w:val="0"/>
        <w:autoSpaceDN w:val="0"/>
        <w:adjustRightInd w:val="0"/>
        <w:spacing w:after="0" w:line="240" w:lineRule="auto"/>
        <w:jc w:val="center"/>
        <w:rPr>
          <w:rFonts w:ascii="Arial" w:eastAsia="Times New Roman" w:hAnsi="Arial" w:cs="Arial"/>
        </w:rPr>
      </w:pPr>
    </w:p>
    <w:p w14:paraId="51D10BB8" w14:textId="77777777" w:rsidR="003D18D4" w:rsidRDefault="003D18D4" w:rsidP="00D843C5">
      <w:pPr>
        <w:autoSpaceDE w:val="0"/>
        <w:autoSpaceDN w:val="0"/>
        <w:adjustRightInd w:val="0"/>
        <w:spacing w:after="0" w:line="240" w:lineRule="auto"/>
        <w:jc w:val="both"/>
        <w:rPr>
          <w:rFonts w:ascii="Arial" w:eastAsia="Times New Roman" w:hAnsi="Arial" w:cs="Arial"/>
        </w:rPr>
      </w:pPr>
    </w:p>
    <w:p w14:paraId="4D502FAD" w14:textId="77777777" w:rsidR="003109D4" w:rsidRDefault="003109D4" w:rsidP="00D843C5">
      <w:pPr>
        <w:autoSpaceDE w:val="0"/>
        <w:autoSpaceDN w:val="0"/>
        <w:adjustRightInd w:val="0"/>
        <w:spacing w:after="0" w:line="240" w:lineRule="auto"/>
        <w:jc w:val="both"/>
        <w:rPr>
          <w:rFonts w:ascii="Arial" w:eastAsia="Times New Roman" w:hAnsi="Arial" w:cs="Arial"/>
        </w:rPr>
      </w:pPr>
    </w:p>
    <w:p w14:paraId="02022529" w14:textId="77777777" w:rsidR="003109D4" w:rsidRDefault="003109D4" w:rsidP="00D843C5">
      <w:pPr>
        <w:autoSpaceDE w:val="0"/>
        <w:autoSpaceDN w:val="0"/>
        <w:adjustRightInd w:val="0"/>
        <w:spacing w:after="0" w:line="240" w:lineRule="auto"/>
        <w:jc w:val="both"/>
        <w:rPr>
          <w:rFonts w:ascii="Arial" w:eastAsia="Times New Roman" w:hAnsi="Arial" w:cs="Arial"/>
        </w:rPr>
      </w:pPr>
    </w:p>
    <w:p w14:paraId="6C4D241D" w14:textId="77777777" w:rsidR="003109D4" w:rsidRDefault="003109D4" w:rsidP="00D843C5">
      <w:pPr>
        <w:autoSpaceDE w:val="0"/>
        <w:autoSpaceDN w:val="0"/>
        <w:adjustRightInd w:val="0"/>
        <w:spacing w:after="0" w:line="240" w:lineRule="auto"/>
        <w:jc w:val="both"/>
        <w:rPr>
          <w:rFonts w:ascii="Arial" w:eastAsia="Times New Roman" w:hAnsi="Arial" w:cs="Arial"/>
        </w:rPr>
      </w:pPr>
    </w:p>
    <w:p w14:paraId="668AD724" w14:textId="77777777" w:rsidR="003109D4" w:rsidRDefault="003109D4" w:rsidP="00D843C5">
      <w:pPr>
        <w:autoSpaceDE w:val="0"/>
        <w:autoSpaceDN w:val="0"/>
        <w:adjustRightInd w:val="0"/>
        <w:spacing w:after="0" w:line="240" w:lineRule="auto"/>
        <w:jc w:val="both"/>
        <w:rPr>
          <w:rFonts w:ascii="Arial" w:eastAsia="Times New Roman" w:hAnsi="Arial" w:cs="Arial"/>
        </w:rPr>
      </w:pPr>
    </w:p>
    <w:p w14:paraId="11B3576F" w14:textId="77777777" w:rsidR="003109D4" w:rsidRDefault="003109D4" w:rsidP="00D843C5">
      <w:pPr>
        <w:autoSpaceDE w:val="0"/>
        <w:autoSpaceDN w:val="0"/>
        <w:adjustRightInd w:val="0"/>
        <w:spacing w:after="0" w:line="240" w:lineRule="auto"/>
        <w:jc w:val="both"/>
        <w:rPr>
          <w:rFonts w:ascii="Arial" w:eastAsia="Times New Roman" w:hAnsi="Arial" w:cs="Arial"/>
        </w:rPr>
      </w:pPr>
    </w:p>
    <w:p w14:paraId="5E3B66C4" w14:textId="77777777" w:rsidR="003109D4" w:rsidRDefault="003109D4" w:rsidP="00D843C5">
      <w:pPr>
        <w:autoSpaceDE w:val="0"/>
        <w:autoSpaceDN w:val="0"/>
        <w:adjustRightInd w:val="0"/>
        <w:spacing w:after="0" w:line="240" w:lineRule="auto"/>
        <w:jc w:val="both"/>
        <w:rPr>
          <w:rFonts w:ascii="Arial" w:eastAsia="Times New Roman" w:hAnsi="Arial" w:cs="Arial"/>
        </w:rPr>
      </w:pPr>
    </w:p>
    <w:p w14:paraId="5944F6A9" w14:textId="77777777" w:rsidR="003109D4" w:rsidRDefault="003109D4" w:rsidP="00D843C5">
      <w:pPr>
        <w:autoSpaceDE w:val="0"/>
        <w:autoSpaceDN w:val="0"/>
        <w:adjustRightInd w:val="0"/>
        <w:spacing w:after="0" w:line="240" w:lineRule="auto"/>
        <w:jc w:val="both"/>
        <w:rPr>
          <w:rFonts w:ascii="Arial" w:eastAsia="Times New Roman" w:hAnsi="Arial" w:cs="Arial"/>
        </w:rPr>
      </w:pPr>
    </w:p>
    <w:p w14:paraId="5C2A87CA" w14:textId="77777777" w:rsidR="003109D4" w:rsidRDefault="003109D4" w:rsidP="00D843C5">
      <w:pPr>
        <w:autoSpaceDE w:val="0"/>
        <w:autoSpaceDN w:val="0"/>
        <w:adjustRightInd w:val="0"/>
        <w:spacing w:after="0" w:line="240" w:lineRule="auto"/>
        <w:jc w:val="both"/>
        <w:rPr>
          <w:rFonts w:ascii="Arial" w:eastAsia="Times New Roman" w:hAnsi="Arial" w:cs="Arial"/>
        </w:rPr>
      </w:pPr>
    </w:p>
    <w:p w14:paraId="5AAC5BB4" w14:textId="77777777" w:rsidR="003109D4" w:rsidRPr="003A2F86" w:rsidRDefault="003109D4" w:rsidP="00D843C5">
      <w:pPr>
        <w:autoSpaceDE w:val="0"/>
        <w:autoSpaceDN w:val="0"/>
        <w:adjustRightInd w:val="0"/>
        <w:spacing w:after="0" w:line="240" w:lineRule="auto"/>
        <w:jc w:val="both"/>
        <w:rPr>
          <w:rFonts w:ascii="Arial" w:eastAsia="Times New Roman" w:hAnsi="Arial" w:cs="Arial"/>
        </w:rPr>
      </w:pPr>
    </w:p>
    <w:p w14:paraId="6E42C504" w14:textId="1A1A6DF1" w:rsidR="00FE08E6" w:rsidRPr="003A2F86" w:rsidRDefault="004C330F" w:rsidP="004C330F">
      <w:pPr>
        <w:pStyle w:val="Opisslike"/>
        <w:keepNext/>
        <w:jc w:val="both"/>
      </w:pPr>
      <w:bookmarkStart w:id="683" w:name="_Toc232981547"/>
      <w:r w:rsidRPr="003A2F86">
        <w:rPr>
          <w:color w:val="FF0000"/>
        </w:rPr>
        <w:lastRenderedPageBreak/>
        <w:t xml:space="preserve">Tablica </w:t>
      </w:r>
      <w:r w:rsidR="002A3DE2" w:rsidRPr="003A2F86">
        <w:rPr>
          <w:color w:val="FF0000"/>
        </w:rPr>
        <w:fldChar w:fldCharType="begin"/>
      </w:r>
      <w:r w:rsidR="002A3DE2" w:rsidRPr="003A2F86">
        <w:rPr>
          <w:color w:val="FF0000"/>
        </w:rPr>
        <w:instrText xml:space="preserve"> SEQ Tablica \* ARABIC </w:instrText>
      </w:r>
      <w:r w:rsidR="002A3DE2" w:rsidRPr="003A2F86">
        <w:rPr>
          <w:color w:val="FF0000"/>
        </w:rPr>
        <w:fldChar w:fldCharType="separate"/>
      </w:r>
      <w:r w:rsidR="00A821D8">
        <w:rPr>
          <w:noProof/>
          <w:color w:val="FF0000"/>
        </w:rPr>
        <w:t>28</w:t>
      </w:r>
      <w:r w:rsidR="002A3DE2" w:rsidRPr="003A2F86">
        <w:rPr>
          <w:color w:val="FF0000"/>
        </w:rPr>
        <w:fldChar w:fldCharType="end"/>
      </w:r>
      <w:r w:rsidRPr="003A2F86">
        <w:rPr>
          <w:color w:val="FF0000"/>
        </w:rPr>
        <w:t>.</w:t>
      </w:r>
      <w:r w:rsidRPr="003A2F86">
        <w:t xml:space="preserve">: </w:t>
      </w:r>
      <w:bookmarkStart w:id="684" w:name="_Hlk146004608"/>
      <w:r w:rsidR="00266CFE" w:rsidRPr="003A2F86">
        <w:rPr>
          <w:rFonts w:ascii="Arial" w:hAnsi="Arial" w:cs="Arial"/>
          <w:bCs w:val="0"/>
          <w:iCs/>
        </w:rPr>
        <w:t>Pregled stanja obveza za kredite od financijskih institucija i iznosa otplata kredita u tekućoj i narednim godinama</w:t>
      </w:r>
      <w:bookmarkEnd w:id="683"/>
    </w:p>
    <w:p w14:paraId="128D2484" w14:textId="6CCECD06" w:rsidR="003E7689" w:rsidRPr="003A2F86" w:rsidRDefault="003E7689" w:rsidP="00D3373C">
      <w:pPr>
        <w:spacing w:after="0" w:line="240" w:lineRule="auto"/>
        <w:jc w:val="center"/>
        <w:rPr>
          <w:rFonts w:ascii="Arial" w:eastAsia="Times New Roman" w:hAnsi="Arial" w:cs="Arial"/>
          <w:bCs/>
          <w:iCs/>
          <w:sz w:val="10"/>
          <w:szCs w:val="10"/>
          <w:lang w:eastAsia="en-US"/>
        </w:rPr>
      </w:pPr>
    </w:p>
    <w:p w14:paraId="3F3A9EA4" w14:textId="14EA8B8C" w:rsidR="00401B71" w:rsidRPr="003A2F86" w:rsidRDefault="00401B71" w:rsidP="00D523A8">
      <w:pPr>
        <w:autoSpaceDE w:val="0"/>
        <w:autoSpaceDN w:val="0"/>
        <w:adjustRightInd w:val="0"/>
        <w:spacing w:after="0" w:line="240" w:lineRule="auto"/>
        <w:jc w:val="center"/>
        <w:rPr>
          <w:noProof/>
        </w:rPr>
      </w:pPr>
    </w:p>
    <w:p w14:paraId="6D173EE9" w14:textId="4D63C3FC" w:rsidR="00D523A8" w:rsidRDefault="00CF1531" w:rsidP="00F21318">
      <w:pPr>
        <w:autoSpaceDE w:val="0"/>
        <w:autoSpaceDN w:val="0"/>
        <w:adjustRightInd w:val="0"/>
        <w:spacing w:after="0" w:line="240" w:lineRule="auto"/>
        <w:jc w:val="center"/>
        <w:rPr>
          <w:noProof/>
        </w:rPr>
      </w:pPr>
      <w:r w:rsidRPr="00CF1531">
        <w:rPr>
          <w:noProof/>
        </w:rPr>
        <w:drawing>
          <wp:inline distT="0" distB="0" distL="0" distR="0" wp14:anchorId="57BA4543" wp14:editId="2A7E6134">
            <wp:extent cx="6258560" cy="5046980"/>
            <wp:effectExtent l="0" t="0" r="8890" b="1270"/>
            <wp:docPr id="1638511311"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6258560" cy="5046980"/>
                    </a:xfrm>
                    <a:prstGeom prst="rect">
                      <a:avLst/>
                    </a:prstGeom>
                    <a:noFill/>
                    <a:ln>
                      <a:noFill/>
                    </a:ln>
                  </pic:spPr>
                </pic:pic>
              </a:graphicData>
            </a:graphic>
          </wp:inline>
        </w:drawing>
      </w:r>
    </w:p>
    <w:p w14:paraId="597A6263" w14:textId="77777777" w:rsidR="00CF1531" w:rsidRDefault="00CF1531" w:rsidP="00F21318">
      <w:pPr>
        <w:autoSpaceDE w:val="0"/>
        <w:autoSpaceDN w:val="0"/>
        <w:adjustRightInd w:val="0"/>
        <w:spacing w:after="0" w:line="240" w:lineRule="auto"/>
        <w:jc w:val="center"/>
        <w:rPr>
          <w:noProof/>
        </w:rPr>
      </w:pPr>
    </w:p>
    <w:p w14:paraId="7BF4C19E" w14:textId="27D0EB95" w:rsidR="00CF1531" w:rsidRDefault="00CF1531" w:rsidP="00F21318">
      <w:pPr>
        <w:autoSpaceDE w:val="0"/>
        <w:autoSpaceDN w:val="0"/>
        <w:adjustRightInd w:val="0"/>
        <w:spacing w:after="0" w:line="240" w:lineRule="auto"/>
        <w:jc w:val="center"/>
        <w:rPr>
          <w:noProof/>
        </w:rPr>
      </w:pPr>
      <w:r w:rsidRPr="00CF1531">
        <w:rPr>
          <w:noProof/>
        </w:rPr>
        <w:lastRenderedPageBreak/>
        <w:drawing>
          <wp:inline distT="0" distB="0" distL="0" distR="0" wp14:anchorId="1044A703" wp14:editId="09B2B4DB">
            <wp:extent cx="7208520" cy="4595495"/>
            <wp:effectExtent l="0" t="0" r="0" b="0"/>
            <wp:docPr id="2114690047"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7208520" cy="4595495"/>
                    </a:xfrm>
                    <a:prstGeom prst="rect">
                      <a:avLst/>
                    </a:prstGeom>
                    <a:noFill/>
                    <a:ln>
                      <a:noFill/>
                    </a:ln>
                  </pic:spPr>
                </pic:pic>
              </a:graphicData>
            </a:graphic>
          </wp:inline>
        </w:drawing>
      </w:r>
    </w:p>
    <w:p w14:paraId="01061E0A" w14:textId="74675EDD" w:rsidR="00CF1531" w:rsidRPr="00BD4C70" w:rsidRDefault="00A062AA" w:rsidP="00A062AA">
      <w:pPr>
        <w:pStyle w:val="Odlomakpopisa"/>
        <w:numPr>
          <w:ilvl w:val="0"/>
          <w:numId w:val="21"/>
        </w:numPr>
        <w:autoSpaceDE w:val="0"/>
        <w:autoSpaceDN w:val="0"/>
        <w:adjustRightInd w:val="0"/>
        <w:jc w:val="center"/>
        <w:rPr>
          <w:noProof/>
          <w:color w:val="007BB8"/>
        </w:rPr>
      </w:pPr>
      <w:bookmarkStart w:id="685" w:name="_Hlk230354579"/>
      <w:r w:rsidRPr="00BD4C70">
        <w:rPr>
          <w:noProof/>
          <w:color w:val="007BB8"/>
        </w:rPr>
        <w:t xml:space="preserve">Iznos glavnice i kamata po kreditu za izgradnju nove osnovne škole je projiciran (iz plana </w:t>
      </w:r>
      <w:r w:rsidR="00F35C1D" w:rsidRPr="00BD4C70">
        <w:rPr>
          <w:noProof/>
          <w:color w:val="007BB8"/>
        </w:rPr>
        <w:t xml:space="preserve">otplate po ponudi) </w:t>
      </w:r>
      <w:r w:rsidRPr="00BD4C70">
        <w:rPr>
          <w:noProof/>
          <w:color w:val="007BB8"/>
        </w:rPr>
        <w:t xml:space="preserve">jer je kredit još </w:t>
      </w:r>
      <w:r w:rsidR="00F35C1D" w:rsidRPr="00BD4C70">
        <w:rPr>
          <w:noProof/>
          <w:color w:val="007BB8"/>
        </w:rPr>
        <w:t>u korištenju i nije poznat konačan iznos glavnice</w:t>
      </w:r>
    </w:p>
    <w:bookmarkEnd w:id="685"/>
    <w:p w14:paraId="7694CDCE" w14:textId="77777777" w:rsidR="00A062AA" w:rsidRDefault="00A062AA" w:rsidP="00F21318">
      <w:pPr>
        <w:autoSpaceDE w:val="0"/>
        <w:autoSpaceDN w:val="0"/>
        <w:adjustRightInd w:val="0"/>
        <w:spacing w:after="0" w:line="240" w:lineRule="auto"/>
        <w:jc w:val="center"/>
        <w:rPr>
          <w:noProof/>
        </w:rPr>
      </w:pPr>
    </w:p>
    <w:p w14:paraId="7C2E7A61" w14:textId="77777777" w:rsidR="00A062AA" w:rsidRPr="003A2F86" w:rsidRDefault="00A062AA" w:rsidP="00F21318">
      <w:pPr>
        <w:autoSpaceDE w:val="0"/>
        <w:autoSpaceDN w:val="0"/>
        <w:adjustRightInd w:val="0"/>
        <w:spacing w:after="0" w:line="240" w:lineRule="auto"/>
        <w:jc w:val="center"/>
        <w:rPr>
          <w:noProof/>
        </w:rPr>
      </w:pPr>
    </w:p>
    <w:bookmarkEnd w:id="684"/>
    <w:p w14:paraId="31ED786E" w14:textId="0E70E4D0" w:rsidR="0013697E" w:rsidRDefault="008F6454" w:rsidP="00D3373C">
      <w:pPr>
        <w:autoSpaceDE w:val="0"/>
        <w:autoSpaceDN w:val="0"/>
        <w:adjustRightInd w:val="0"/>
        <w:spacing w:after="0" w:line="240" w:lineRule="auto"/>
        <w:rPr>
          <w:rFonts w:ascii="Arial" w:eastAsia="Calibri" w:hAnsi="Arial" w:cs="Arial"/>
          <w:lang w:eastAsia="en-US"/>
        </w:rPr>
      </w:pPr>
      <w:r w:rsidRPr="003A2F86">
        <w:rPr>
          <w:noProof/>
        </w:rPr>
        <w:t xml:space="preserve">      </w:t>
      </w:r>
      <w:r w:rsidR="0013697E" w:rsidRPr="003A2F86">
        <w:rPr>
          <w:rFonts w:ascii="Arial" w:eastAsia="Calibri" w:hAnsi="Arial" w:cs="Arial"/>
          <w:lang w:eastAsia="en-US"/>
        </w:rPr>
        <w:br w:type="page"/>
      </w:r>
    </w:p>
    <w:p w14:paraId="5678D0BD" w14:textId="77777777" w:rsidR="006078D4" w:rsidRPr="00F63581" w:rsidRDefault="006078D4" w:rsidP="00A10E1F">
      <w:pPr>
        <w:autoSpaceDE w:val="0"/>
        <w:autoSpaceDN w:val="0"/>
        <w:adjustRightInd w:val="0"/>
        <w:spacing w:after="0" w:line="240" w:lineRule="auto"/>
        <w:jc w:val="both"/>
        <w:rPr>
          <w:rFonts w:ascii="Arial" w:eastAsia="Calibri" w:hAnsi="Arial" w:cs="Arial"/>
          <w:lang w:eastAsia="en-US"/>
        </w:rPr>
      </w:pPr>
    </w:p>
    <w:p w14:paraId="06757F09" w14:textId="573998AD" w:rsidR="00A10E1F" w:rsidRPr="00F63581" w:rsidRDefault="006A1FD7" w:rsidP="00B02ED8">
      <w:pPr>
        <w:pStyle w:val="Naslov4"/>
        <w:rPr>
          <w:rFonts w:eastAsia="Calibri"/>
          <w:lang w:val="hr-HR"/>
        </w:rPr>
      </w:pPr>
      <w:bookmarkStart w:id="686" w:name="_Toc232981497"/>
      <w:r w:rsidRPr="00F63581">
        <w:rPr>
          <w:rFonts w:eastAsia="Calibri"/>
          <w:lang w:val="hr-HR"/>
        </w:rPr>
        <w:t>4</w:t>
      </w:r>
      <w:r w:rsidR="00A10E1F" w:rsidRPr="00F63581">
        <w:rPr>
          <w:rFonts w:eastAsia="Calibri"/>
          <w:lang w:val="hr-HR"/>
        </w:rPr>
        <w:t>.</w:t>
      </w:r>
      <w:r w:rsidR="00003B5B" w:rsidRPr="00F63581">
        <w:rPr>
          <w:rFonts w:eastAsia="Calibri"/>
          <w:lang w:val="hr-HR"/>
        </w:rPr>
        <w:t>2.</w:t>
      </w:r>
      <w:r w:rsidR="00A10E1F" w:rsidRPr="00F63581">
        <w:rPr>
          <w:rFonts w:eastAsia="Calibri"/>
          <w:lang w:val="hr-HR"/>
        </w:rPr>
        <w:t>1.</w:t>
      </w:r>
      <w:r w:rsidR="00B02ED8" w:rsidRPr="00F63581">
        <w:rPr>
          <w:rFonts w:eastAsia="Calibri"/>
          <w:lang w:val="hr-HR"/>
        </w:rPr>
        <w:t>2</w:t>
      </w:r>
      <w:r w:rsidR="00A10E1F" w:rsidRPr="00F63581">
        <w:rPr>
          <w:rFonts w:eastAsia="Calibri"/>
          <w:lang w:val="hr-HR"/>
        </w:rPr>
        <w:t>.</w:t>
      </w:r>
      <w:r w:rsidR="00A10E1F" w:rsidRPr="00F63581">
        <w:rPr>
          <w:rFonts w:eastAsia="Calibri"/>
          <w:lang w:val="hr-HR"/>
        </w:rPr>
        <w:tab/>
      </w:r>
      <w:bookmarkStart w:id="687" w:name="_Hlk146004643"/>
      <w:r w:rsidR="00A10E1F" w:rsidRPr="00F63581">
        <w:rPr>
          <w:rFonts w:eastAsia="Calibri"/>
          <w:lang w:val="hr-HR"/>
        </w:rPr>
        <w:t>PREGLED PRIMLJENIH KREDITA I OBVEZA PO BESKAMATNIM ZAJMOVIMA IZ DRŽAVNOG PRORAČUNA</w:t>
      </w:r>
      <w:bookmarkEnd w:id="686"/>
      <w:bookmarkEnd w:id="687"/>
    </w:p>
    <w:p w14:paraId="5F0B6929" w14:textId="77777777" w:rsidR="00373623" w:rsidRPr="00F63581" w:rsidRDefault="00373623" w:rsidP="00C23137">
      <w:pPr>
        <w:autoSpaceDE w:val="0"/>
        <w:autoSpaceDN w:val="0"/>
        <w:adjustRightInd w:val="0"/>
        <w:spacing w:after="0" w:line="240" w:lineRule="auto"/>
        <w:jc w:val="both"/>
        <w:rPr>
          <w:rFonts w:ascii="Arial" w:eastAsia="Times New Roman" w:hAnsi="Arial" w:cs="Arial"/>
        </w:rPr>
      </w:pPr>
    </w:p>
    <w:p w14:paraId="2AC84773" w14:textId="52DBE6FC" w:rsidR="00C23137" w:rsidRPr="00EB650B" w:rsidRDefault="00C23137" w:rsidP="00C23137">
      <w:pPr>
        <w:autoSpaceDE w:val="0"/>
        <w:autoSpaceDN w:val="0"/>
        <w:adjustRightInd w:val="0"/>
        <w:spacing w:after="0" w:line="240" w:lineRule="auto"/>
        <w:jc w:val="both"/>
        <w:rPr>
          <w:rFonts w:ascii="Arial" w:eastAsia="Times New Roman" w:hAnsi="Arial" w:cs="Arial"/>
          <w:sz w:val="20"/>
          <w:szCs w:val="20"/>
        </w:rPr>
      </w:pPr>
      <w:bookmarkStart w:id="688" w:name="_Hlk146004712"/>
      <w:r w:rsidRPr="00EB650B">
        <w:rPr>
          <w:rFonts w:ascii="Arial" w:eastAsia="Times New Roman" w:hAnsi="Arial" w:cs="Arial"/>
          <w:sz w:val="20"/>
          <w:szCs w:val="20"/>
        </w:rPr>
        <w:t xml:space="preserve">Zbog ekonomskih posljedica uzrokovanih pandemijom </w:t>
      </w:r>
      <w:r w:rsidR="00D65641" w:rsidRPr="00EB650B">
        <w:rPr>
          <w:rFonts w:ascii="Arial" w:eastAsia="Times New Roman" w:hAnsi="Arial" w:cs="Arial"/>
          <w:sz w:val="20"/>
          <w:szCs w:val="20"/>
        </w:rPr>
        <w:t>bolesti</w:t>
      </w:r>
      <w:r w:rsidRPr="00EB650B">
        <w:rPr>
          <w:rFonts w:ascii="Arial" w:eastAsia="Times New Roman" w:hAnsi="Arial" w:cs="Arial"/>
          <w:sz w:val="20"/>
          <w:szCs w:val="20"/>
        </w:rPr>
        <w:t xml:space="preserve"> COVID-19, Vlada Republike Hrvatske je ekonomskim mjerama usmjerenim u zadržavanje radnih mjesta i rješavanje problema nelikvidnosti onima čija je poslovna aktivnost smanjena uslijed epidemije, uključujući i jedinice lokalne i područne (regionalne) samouprave koje su se suočile s nesrazmjerom između dinamike priljeva sredstava i dospijeća obveza, omogućila mjere pomoći usmjerene na poboljšanje likvidnosti i učinkovitije upravljanje proračunskim sredstvima. </w:t>
      </w:r>
    </w:p>
    <w:bookmarkEnd w:id="688"/>
    <w:p w14:paraId="6069C0C5" w14:textId="77777777" w:rsidR="00C23137" w:rsidRPr="00EB650B" w:rsidRDefault="00C23137" w:rsidP="00C23137">
      <w:pPr>
        <w:autoSpaceDE w:val="0"/>
        <w:autoSpaceDN w:val="0"/>
        <w:adjustRightInd w:val="0"/>
        <w:spacing w:after="0" w:line="240" w:lineRule="auto"/>
        <w:jc w:val="both"/>
        <w:rPr>
          <w:rFonts w:ascii="Arial" w:eastAsia="Times New Roman" w:hAnsi="Arial" w:cs="Arial"/>
          <w:sz w:val="20"/>
          <w:szCs w:val="20"/>
        </w:rPr>
      </w:pPr>
    </w:p>
    <w:p w14:paraId="54153608" w14:textId="2F56DAD7" w:rsidR="00C23137" w:rsidRPr="00EB650B" w:rsidRDefault="00C23137" w:rsidP="00C23137">
      <w:pPr>
        <w:autoSpaceDE w:val="0"/>
        <w:autoSpaceDN w:val="0"/>
        <w:adjustRightInd w:val="0"/>
        <w:spacing w:after="0" w:line="240" w:lineRule="auto"/>
        <w:jc w:val="both"/>
        <w:rPr>
          <w:rFonts w:ascii="Arial" w:eastAsia="Times New Roman" w:hAnsi="Arial" w:cs="Arial"/>
          <w:sz w:val="20"/>
          <w:szCs w:val="20"/>
        </w:rPr>
      </w:pPr>
      <w:r w:rsidRPr="00EB650B">
        <w:rPr>
          <w:rFonts w:ascii="Arial" w:eastAsia="Times New Roman" w:hAnsi="Arial" w:cs="Arial"/>
          <w:sz w:val="20"/>
          <w:szCs w:val="20"/>
        </w:rPr>
        <w:t>Dakle, Općini su odobreni beskamatni zajmovi</w:t>
      </w:r>
      <w:r w:rsidR="00864A67" w:rsidRPr="00EB650B">
        <w:rPr>
          <w:rFonts w:ascii="Arial" w:eastAsia="Times New Roman" w:hAnsi="Arial" w:cs="Arial"/>
          <w:sz w:val="20"/>
          <w:szCs w:val="20"/>
        </w:rPr>
        <w:t xml:space="preserve"> u razdoblju 2020. do 202</w:t>
      </w:r>
      <w:r w:rsidR="00F21318">
        <w:rPr>
          <w:rFonts w:ascii="Arial" w:eastAsia="Times New Roman" w:hAnsi="Arial" w:cs="Arial"/>
          <w:sz w:val="20"/>
          <w:szCs w:val="20"/>
        </w:rPr>
        <w:t>1</w:t>
      </w:r>
      <w:r w:rsidR="00864A67" w:rsidRPr="00EB650B">
        <w:rPr>
          <w:rFonts w:ascii="Arial" w:eastAsia="Times New Roman" w:hAnsi="Arial" w:cs="Arial"/>
          <w:sz w:val="20"/>
          <w:szCs w:val="20"/>
        </w:rPr>
        <w:t>. godine i to</w:t>
      </w:r>
      <w:r w:rsidRPr="00EB650B">
        <w:rPr>
          <w:rFonts w:ascii="Arial" w:eastAsia="Times New Roman" w:hAnsi="Arial" w:cs="Arial"/>
          <w:sz w:val="20"/>
          <w:szCs w:val="20"/>
        </w:rPr>
        <w:t>:</w:t>
      </w:r>
    </w:p>
    <w:p w14:paraId="17BADB11" w14:textId="77777777" w:rsidR="00B824DF" w:rsidRPr="00EB650B" w:rsidRDefault="00B824DF" w:rsidP="00C23137">
      <w:pPr>
        <w:autoSpaceDE w:val="0"/>
        <w:autoSpaceDN w:val="0"/>
        <w:adjustRightInd w:val="0"/>
        <w:spacing w:after="0" w:line="240" w:lineRule="auto"/>
        <w:jc w:val="both"/>
        <w:rPr>
          <w:rFonts w:ascii="Arial" w:eastAsia="Times New Roman" w:hAnsi="Arial" w:cs="Arial"/>
          <w:sz w:val="20"/>
          <w:szCs w:val="20"/>
          <w:u w:val="single"/>
        </w:rPr>
      </w:pPr>
    </w:p>
    <w:p w14:paraId="4CC6C365" w14:textId="6FCFF36F" w:rsidR="00C23137" w:rsidRPr="00EB650B" w:rsidRDefault="00C23137" w:rsidP="00C23137">
      <w:pPr>
        <w:autoSpaceDE w:val="0"/>
        <w:autoSpaceDN w:val="0"/>
        <w:adjustRightInd w:val="0"/>
        <w:spacing w:after="0" w:line="240" w:lineRule="auto"/>
        <w:jc w:val="both"/>
        <w:rPr>
          <w:rFonts w:ascii="Arial" w:eastAsia="Times New Roman" w:hAnsi="Arial" w:cs="Arial"/>
          <w:sz w:val="20"/>
          <w:szCs w:val="20"/>
          <w:u w:val="single"/>
        </w:rPr>
      </w:pPr>
      <w:r w:rsidRPr="00EB650B">
        <w:rPr>
          <w:rFonts w:ascii="Arial" w:eastAsia="Times New Roman" w:hAnsi="Arial" w:cs="Arial"/>
          <w:sz w:val="20"/>
          <w:szCs w:val="20"/>
          <w:u w:val="single"/>
        </w:rPr>
        <w:t>1.</w:t>
      </w:r>
      <w:r w:rsidRPr="00EB650B">
        <w:rPr>
          <w:rFonts w:ascii="Arial" w:eastAsia="Times New Roman" w:hAnsi="Arial" w:cs="Arial"/>
          <w:sz w:val="20"/>
          <w:szCs w:val="20"/>
          <w:u w:val="single"/>
        </w:rPr>
        <w:tab/>
      </w:r>
      <w:r w:rsidRPr="00EB650B">
        <w:rPr>
          <w:rFonts w:ascii="Arial" w:eastAsia="Times New Roman" w:hAnsi="Arial" w:cs="Arial"/>
          <w:b/>
          <w:bCs/>
          <w:sz w:val="20"/>
          <w:szCs w:val="20"/>
          <w:u w:val="single"/>
        </w:rPr>
        <w:t>u 2020. godini</w:t>
      </w:r>
      <w:r w:rsidRPr="00EB650B">
        <w:rPr>
          <w:rFonts w:ascii="Arial" w:eastAsia="Times New Roman" w:hAnsi="Arial" w:cs="Arial"/>
          <w:sz w:val="20"/>
          <w:szCs w:val="20"/>
          <w:u w:val="single"/>
        </w:rPr>
        <w:t xml:space="preserve"> na temelju:</w:t>
      </w:r>
    </w:p>
    <w:p w14:paraId="1C868603" w14:textId="77777777" w:rsidR="00B824DF" w:rsidRPr="00EB650B" w:rsidRDefault="00B824DF" w:rsidP="0065325D">
      <w:pPr>
        <w:autoSpaceDE w:val="0"/>
        <w:autoSpaceDN w:val="0"/>
        <w:adjustRightInd w:val="0"/>
        <w:spacing w:after="0" w:line="240" w:lineRule="auto"/>
        <w:ind w:firstLine="284"/>
        <w:jc w:val="both"/>
        <w:rPr>
          <w:rFonts w:ascii="Arial" w:eastAsia="Times New Roman" w:hAnsi="Arial" w:cs="Arial"/>
          <w:sz w:val="20"/>
          <w:szCs w:val="20"/>
        </w:rPr>
      </w:pPr>
    </w:p>
    <w:p w14:paraId="31581E4C" w14:textId="7FE558A4" w:rsidR="00DE772E" w:rsidRPr="00EB650B" w:rsidRDefault="00C23137" w:rsidP="0065325D">
      <w:pPr>
        <w:autoSpaceDE w:val="0"/>
        <w:autoSpaceDN w:val="0"/>
        <w:adjustRightInd w:val="0"/>
        <w:spacing w:after="0" w:line="240" w:lineRule="auto"/>
        <w:ind w:firstLine="284"/>
        <w:jc w:val="both"/>
        <w:rPr>
          <w:rFonts w:ascii="Arial" w:eastAsia="Times New Roman" w:hAnsi="Arial" w:cs="Arial"/>
          <w:bCs/>
          <w:iCs/>
          <w:sz w:val="20"/>
          <w:szCs w:val="20"/>
        </w:rPr>
      </w:pPr>
      <w:r w:rsidRPr="00EB650B">
        <w:rPr>
          <w:rFonts w:ascii="Arial" w:eastAsia="Times New Roman" w:hAnsi="Arial" w:cs="Arial"/>
          <w:sz w:val="20"/>
          <w:szCs w:val="20"/>
        </w:rPr>
        <w:t>1.1. Naputka o načinu isplate beskamatnog zajma jedinicama lokalne i područne (regionalne) samouprave, HZMO-u i HZZO-u (Narodne novine 46/20, 5/21</w:t>
      </w:r>
      <w:r w:rsidR="005B521F" w:rsidRPr="00EB650B">
        <w:rPr>
          <w:rFonts w:ascii="Arial" w:eastAsia="Times New Roman" w:hAnsi="Arial" w:cs="Arial"/>
          <w:sz w:val="20"/>
          <w:szCs w:val="20"/>
        </w:rPr>
        <w:t>, 73/21</w:t>
      </w:r>
      <w:r w:rsidRPr="00EB650B">
        <w:rPr>
          <w:rFonts w:ascii="Arial" w:eastAsia="Times New Roman" w:hAnsi="Arial" w:cs="Arial"/>
          <w:sz w:val="20"/>
          <w:szCs w:val="20"/>
        </w:rPr>
        <w:t xml:space="preserve">): </w:t>
      </w:r>
      <w:r w:rsidRPr="00EB650B">
        <w:rPr>
          <w:rFonts w:ascii="Arial" w:eastAsia="Times New Roman" w:hAnsi="Arial" w:cs="Arial"/>
          <w:bCs/>
          <w:iCs/>
          <w:sz w:val="20"/>
          <w:szCs w:val="20"/>
        </w:rPr>
        <w:t>u visini odgođenog plaćanja poreza i prireza na dohodak, a stanje 31.12.202</w:t>
      </w:r>
      <w:r w:rsidR="00864A67" w:rsidRPr="00EB650B">
        <w:rPr>
          <w:rFonts w:ascii="Arial" w:eastAsia="Times New Roman" w:hAnsi="Arial" w:cs="Arial"/>
          <w:bCs/>
          <w:iCs/>
          <w:sz w:val="20"/>
          <w:szCs w:val="20"/>
        </w:rPr>
        <w:t>2</w:t>
      </w:r>
      <w:r w:rsidRPr="00EB650B">
        <w:rPr>
          <w:rFonts w:ascii="Arial" w:eastAsia="Times New Roman" w:hAnsi="Arial" w:cs="Arial"/>
          <w:bCs/>
          <w:iCs/>
          <w:sz w:val="20"/>
          <w:szCs w:val="20"/>
        </w:rPr>
        <w:t xml:space="preserve">. </w:t>
      </w:r>
      <w:r w:rsidR="00DA7B45" w:rsidRPr="00EB650B">
        <w:rPr>
          <w:rFonts w:ascii="Arial" w:eastAsia="Times New Roman" w:hAnsi="Arial" w:cs="Arial"/>
          <w:bCs/>
          <w:iCs/>
          <w:sz w:val="20"/>
          <w:szCs w:val="20"/>
        </w:rPr>
        <w:t xml:space="preserve">je iznosilo </w:t>
      </w:r>
      <w:r w:rsidR="00864A67" w:rsidRPr="00EB650B">
        <w:rPr>
          <w:rFonts w:ascii="Arial" w:eastAsia="Times New Roman" w:hAnsi="Arial" w:cs="Arial"/>
          <w:bCs/>
          <w:iCs/>
          <w:sz w:val="20"/>
          <w:szCs w:val="20"/>
        </w:rPr>
        <w:t>737.151,87</w:t>
      </w:r>
      <w:r w:rsidRPr="00EB650B">
        <w:rPr>
          <w:rFonts w:ascii="Arial" w:eastAsia="Times New Roman" w:hAnsi="Arial" w:cs="Arial"/>
          <w:bCs/>
          <w:iCs/>
          <w:sz w:val="20"/>
          <w:szCs w:val="20"/>
        </w:rPr>
        <w:t xml:space="preserve"> kn</w:t>
      </w:r>
      <w:r w:rsidR="00DA7B45" w:rsidRPr="00EB650B">
        <w:rPr>
          <w:rFonts w:ascii="Arial" w:eastAsia="Times New Roman" w:hAnsi="Arial" w:cs="Arial"/>
          <w:bCs/>
          <w:iCs/>
          <w:sz w:val="20"/>
          <w:szCs w:val="20"/>
        </w:rPr>
        <w:t xml:space="preserve">, odnosno </w:t>
      </w:r>
      <w:r w:rsidR="0064780B" w:rsidRPr="00EB650B">
        <w:rPr>
          <w:rFonts w:ascii="Arial" w:eastAsia="Times New Roman" w:hAnsi="Arial" w:cs="Arial"/>
          <w:bCs/>
          <w:iCs/>
          <w:sz w:val="20"/>
          <w:szCs w:val="20"/>
        </w:rPr>
        <w:t>31.12</w:t>
      </w:r>
      <w:r w:rsidR="00DA7B45" w:rsidRPr="00EB650B">
        <w:rPr>
          <w:rFonts w:ascii="Arial" w:eastAsia="Times New Roman" w:hAnsi="Arial" w:cs="Arial"/>
          <w:bCs/>
          <w:iCs/>
          <w:sz w:val="20"/>
          <w:szCs w:val="20"/>
        </w:rPr>
        <w:t xml:space="preserve">.2023. iznosi </w:t>
      </w:r>
      <w:r w:rsidR="0064780B" w:rsidRPr="00EB650B">
        <w:rPr>
          <w:rFonts w:ascii="Arial" w:eastAsia="Times New Roman" w:hAnsi="Arial" w:cs="Arial"/>
          <w:b/>
          <w:iCs/>
          <w:sz w:val="20"/>
          <w:szCs w:val="20"/>
        </w:rPr>
        <w:t>97.757,41</w:t>
      </w:r>
      <w:r w:rsidR="00C41527" w:rsidRPr="00EB650B">
        <w:rPr>
          <w:rFonts w:ascii="Arial" w:eastAsia="Times New Roman" w:hAnsi="Arial" w:cs="Arial"/>
          <w:b/>
          <w:iCs/>
          <w:sz w:val="20"/>
          <w:szCs w:val="20"/>
        </w:rPr>
        <w:t xml:space="preserve"> €</w:t>
      </w:r>
      <w:r w:rsidR="00DE772E" w:rsidRPr="00EB650B">
        <w:rPr>
          <w:rFonts w:ascii="Arial" w:eastAsia="Times New Roman" w:hAnsi="Arial" w:cs="Arial"/>
          <w:b/>
          <w:iCs/>
          <w:sz w:val="20"/>
          <w:szCs w:val="20"/>
        </w:rPr>
        <w:t>.</w:t>
      </w:r>
      <w:r w:rsidR="00DE772E" w:rsidRPr="00EB650B">
        <w:rPr>
          <w:rFonts w:ascii="Arial" w:eastAsia="Times New Roman" w:hAnsi="Arial" w:cs="Arial"/>
          <w:bCs/>
          <w:iCs/>
          <w:sz w:val="20"/>
          <w:szCs w:val="20"/>
        </w:rPr>
        <w:t xml:space="preserve"> Sukladno obavijesti Ministarstva financija iz travnja 2024., a prema podacima Porezne uprave, više nema aktivnih mjera obročne otplate poreza na dohodak i prireza porezu na dohodak iz 2020. godine te se naplata dijela zajma isplaćenog u skladu s Naputkom više ne provodi sukcesivno od poreznih obveznika u visini naplate odgođenog i/ili obročnom otplatom danog poreza na dohodak.</w:t>
      </w:r>
      <w:r w:rsidR="005B521F" w:rsidRPr="00EB650B">
        <w:rPr>
          <w:rFonts w:ascii="Arial" w:eastAsia="Times New Roman" w:hAnsi="Arial" w:cs="Arial"/>
          <w:bCs/>
          <w:iCs/>
          <w:sz w:val="20"/>
          <w:szCs w:val="20"/>
        </w:rPr>
        <w:t xml:space="preserve"> </w:t>
      </w:r>
      <w:r w:rsidR="00DE772E" w:rsidRPr="00EB650B">
        <w:rPr>
          <w:rFonts w:ascii="Arial" w:eastAsia="Times New Roman" w:hAnsi="Arial" w:cs="Arial"/>
          <w:bCs/>
          <w:iCs/>
          <w:sz w:val="20"/>
          <w:szCs w:val="20"/>
        </w:rPr>
        <w:t xml:space="preserve">Preostali iznos duga po osnovi odgode/obročne otplate poreza na dohodak te oslobođenja od plaćanja poreza na dohodak i prireza porezu na dohodak jedinice lokalne i područne (regionalne) samouprave vraćaju samostalno na jedinstveni račun državnog proračuna prema dinamici koju same odrede, a najkasnije </w:t>
      </w:r>
      <w:r w:rsidR="00DE772E" w:rsidRPr="00EB650B">
        <w:rPr>
          <w:rFonts w:ascii="Arial" w:eastAsia="Times New Roman" w:hAnsi="Arial" w:cs="Arial"/>
          <w:b/>
          <w:i/>
          <w:sz w:val="20"/>
          <w:szCs w:val="20"/>
          <w:u w:val="single"/>
        </w:rPr>
        <w:t>do kraja 2027.</w:t>
      </w:r>
      <w:r w:rsidR="00DE772E" w:rsidRPr="00EB650B">
        <w:rPr>
          <w:rFonts w:ascii="Arial" w:eastAsia="Times New Roman" w:hAnsi="Arial" w:cs="Arial"/>
          <w:bCs/>
          <w:iCs/>
          <w:sz w:val="20"/>
          <w:szCs w:val="20"/>
        </w:rPr>
        <w:t xml:space="preserve"> godine.</w:t>
      </w:r>
      <w:r w:rsidR="0049657F" w:rsidRPr="00EB650B">
        <w:rPr>
          <w:rFonts w:ascii="Arial" w:eastAsia="Times New Roman" w:hAnsi="Arial" w:cs="Arial"/>
          <w:bCs/>
          <w:iCs/>
          <w:sz w:val="20"/>
          <w:szCs w:val="20"/>
        </w:rPr>
        <w:t xml:space="preserve"> </w:t>
      </w:r>
      <w:r w:rsidR="00DE772E" w:rsidRPr="00EB650B">
        <w:rPr>
          <w:rFonts w:ascii="Arial" w:eastAsia="Times New Roman" w:hAnsi="Arial" w:cs="Arial"/>
          <w:bCs/>
          <w:iCs/>
          <w:sz w:val="20"/>
          <w:szCs w:val="20"/>
        </w:rPr>
        <w:t>Preostali iznos duga po ovoj osnovi ulazi u ukupnu godišnju obvezu jedinice lokalne i područne (regionalne) samouprave iz članka 121. Zakona o proračunu (Narodne novine, br. 144/21) u visini prosječnog godišnjeg anuiteta beskamatnog zajma.</w:t>
      </w:r>
    </w:p>
    <w:p w14:paraId="3B2A3A9F" w14:textId="77777777" w:rsidR="00DE772E" w:rsidRPr="00EB650B" w:rsidRDefault="00DE772E" w:rsidP="00C23137">
      <w:pPr>
        <w:autoSpaceDE w:val="0"/>
        <w:autoSpaceDN w:val="0"/>
        <w:adjustRightInd w:val="0"/>
        <w:spacing w:after="0" w:line="240" w:lineRule="auto"/>
        <w:ind w:firstLine="567"/>
        <w:jc w:val="both"/>
        <w:rPr>
          <w:rFonts w:ascii="Arial" w:eastAsia="Times New Roman" w:hAnsi="Arial" w:cs="Arial"/>
          <w:bCs/>
          <w:iCs/>
          <w:sz w:val="20"/>
          <w:szCs w:val="20"/>
        </w:rPr>
      </w:pPr>
    </w:p>
    <w:p w14:paraId="614D646A" w14:textId="71D58D99" w:rsidR="00C23137" w:rsidRPr="00EB650B" w:rsidRDefault="00C23137" w:rsidP="002D064D">
      <w:pPr>
        <w:autoSpaceDE w:val="0"/>
        <w:autoSpaceDN w:val="0"/>
        <w:adjustRightInd w:val="0"/>
        <w:spacing w:after="0" w:line="240" w:lineRule="auto"/>
        <w:ind w:left="993" w:hanging="709"/>
        <w:jc w:val="both"/>
        <w:rPr>
          <w:rFonts w:ascii="Arial" w:eastAsia="Times New Roman" w:hAnsi="Arial" w:cs="Arial"/>
          <w:sz w:val="20"/>
          <w:szCs w:val="20"/>
        </w:rPr>
      </w:pPr>
      <w:r w:rsidRPr="00EB650B">
        <w:rPr>
          <w:rFonts w:ascii="Arial" w:eastAsia="Times New Roman" w:hAnsi="Arial" w:cs="Arial"/>
          <w:sz w:val="20"/>
          <w:szCs w:val="20"/>
        </w:rPr>
        <w:t>1.2. Naputka o isplati sredstava beskamatnog zajma jedinicama lokalne i područne (regionalne) samouprave uslijed pada prihoda (Narodne novine 130/20) (beskamatni zajam s rokom povrata tri godine od dana uplate – uplata 24.12.2020.), stanje 31.12.202</w:t>
      </w:r>
      <w:r w:rsidR="00864A67" w:rsidRPr="00EB650B">
        <w:rPr>
          <w:rFonts w:ascii="Arial" w:eastAsia="Times New Roman" w:hAnsi="Arial" w:cs="Arial"/>
          <w:sz w:val="20"/>
          <w:szCs w:val="20"/>
        </w:rPr>
        <w:t>2</w:t>
      </w:r>
      <w:r w:rsidRPr="00EB650B">
        <w:rPr>
          <w:rFonts w:ascii="Arial" w:eastAsia="Times New Roman" w:hAnsi="Arial" w:cs="Arial"/>
          <w:sz w:val="20"/>
          <w:szCs w:val="20"/>
        </w:rPr>
        <w:t xml:space="preserve">. </w:t>
      </w:r>
      <w:r w:rsidR="00C41527" w:rsidRPr="00EB650B">
        <w:rPr>
          <w:rFonts w:ascii="Arial" w:eastAsia="Times New Roman" w:hAnsi="Arial" w:cs="Arial"/>
          <w:sz w:val="20"/>
          <w:szCs w:val="20"/>
        </w:rPr>
        <w:t>je iznosilo</w:t>
      </w:r>
      <w:r w:rsidRPr="00EB650B">
        <w:rPr>
          <w:rFonts w:ascii="Arial" w:eastAsia="Times New Roman" w:hAnsi="Arial" w:cs="Arial"/>
          <w:sz w:val="20"/>
          <w:szCs w:val="20"/>
        </w:rPr>
        <w:t xml:space="preserve"> 3.400.000 kn</w:t>
      </w:r>
      <w:r w:rsidR="00C41527" w:rsidRPr="00EB650B">
        <w:rPr>
          <w:rFonts w:ascii="Arial" w:eastAsia="Times New Roman" w:hAnsi="Arial" w:cs="Arial"/>
          <w:sz w:val="20"/>
          <w:szCs w:val="20"/>
        </w:rPr>
        <w:t xml:space="preserve">, a koncem 2023. iznosi </w:t>
      </w:r>
      <w:r w:rsidR="00C41527" w:rsidRPr="00EB650B">
        <w:rPr>
          <w:rFonts w:ascii="Arial" w:eastAsia="Times New Roman" w:hAnsi="Arial" w:cs="Arial"/>
          <w:b/>
          <w:bCs/>
          <w:sz w:val="20"/>
          <w:szCs w:val="20"/>
        </w:rPr>
        <w:t>451.257,55 €</w:t>
      </w:r>
      <w:r w:rsidR="00121AE8" w:rsidRPr="00EB650B">
        <w:rPr>
          <w:rFonts w:ascii="Arial" w:eastAsia="Times New Roman" w:hAnsi="Arial" w:cs="Arial"/>
          <w:b/>
          <w:bCs/>
          <w:sz w:val="20"/>
          <w:szCs w:val="20"/>
        </w:rPr>
        <w:t>.</w:t>
      </w:r>
      <w:r w:rsidR="00121AE8" w:rsidRPr="00EB650B">
        <w:rPr>
          <w:rFonts w:ascii="Arial" w:eastAsia="Times New Roman" w:hAnsi="Arial" w:cs="Arial"/>
          <w:sz w:val="20"/>
          <w:szCs w:val="20"/>
        </w:rPr>
        <w:t xml:space="preserve"> Sukladno Zakonu o izmjenama i dopunama Zakona o izvršavanju Državnog proračuna Republike Hrvatske za 2023. godinu</w:t>
      </w:r>
      <w:r w:rsidR="002A73BE" w:rsidRPr="00EB650B">
        <w:rPr>
          <w:rFonts w:ascii="Arial" w:eastAsia="Times New Roman" w:hAnsi="Arial" w:cs="Arial"/>
          <w:sz w:val="20"/>
          <w:szCs w:val="20"/>
        </w:rPr>
        <w:t xml:space="preserve">, produljen je krajnji rok za povrat zajma </w:t>
      </w:r>
      <w:r w:rsidR="002A73BE" w:rsidRPr="00EB650B">
        <w:rPr>
          <w:rFonts w:ascii="Arial" w:eastAsia="Times New Roman" w:hAnsi="Arial" w:cs="Arial"/>
          <w:b/>
          <w:bCs/>
          <w:i/>
          <w:iCs/>
          <w:sz w:val="20"/>
          <w:szCs w:val="20"/>
          <w:u w:val="single"/>
        </w:rPr>
        <w:t>do konca 2027. godine</w:t>
      </w:r>
      <w:r w:rsidR="002A73BE" w:rsidRPr="00EB650B">
        <w:rPr>
          <w:rFonts w:ascii="Arial" w:eastAsia="Times New Roman" w:hAnsi="Arial" w:cs="Arial"/>
          <w:sz w:val="20"/>
          <w:szCs w:val="20"/>
        </w:rPr>
        <w:t>.</w:t>
      </w:r>
    </w:p>
    <w:p w14:paraId="31A77DB7" w14:textId="77777777" w:rsidR="00B824DF" w:rsidRPr="00EB650B" w:rsidRDefault="00B824DF" w:rsidP="00C23137">
      <w:pPr>
        <w:autoSpaceDE w:val="0"/>
        <w:autoSpaceDN w:val="0"/>
        <w:adjustRightInd w:val="0"/>
        <w:spacing w:after="0" w:line="240" w:lineRule="auto"/>
        <w:jc w:val="both"/>
        <w:rPr>
          <w:rFonts w:ascii="Arial" w:eastAsia="Times New Roman" w:hAnsi="Arial" w:cs="Arial"/>
          <w:bCs/>
          <w:iCs/>
          <w:sz w:val="20"/>
          <w:szCs w:val="20"/>
          <w:u w:val="single"/>
        </w:rPr>
      </w:pPr>
    </w:p>
    <w:p w14:paraId="71122F37" w14:textId="7672EAD2" w:rsidR="00C23137" w:rsidRPr="00EB650B" w:rsidRDefault="00C23137" w:rsidP="00C23137">
      <w:pPr>
        <w:autoSpaceDE w:val="0"/>
        <w:autoSpaceDN w:val="0"/>
        <w:adjustRightInd w:val="0"/>
        <w:spacing w:after="0" w:line="240" w:lineRule="auto"/>
        <w:jc w:val="both"/>
        <w:rPr>
          <w:rFonts w:ascii="Arial" w:eastAsia="Times New Roman" w:hAnsi="Arial" w:cs="Arial"/>
          <w:bCs/>
          <w:iCs/>
          <w:sz w:val="20"/>
          <w:szCs w:val="20"/>
          <w:u w:val="single"/>
        </w:rPr>
      </w:pPr>
      <w:r w:rsidRPr="00EB650B">
        <w:rPr>
          <w:rFonts w:ascii="Arial" w:eastAsia="Times New Roman" w:hAnsi="Arial" w:cs="Arial"/>
          <w:bCs/>
          <w:iCs/>
          <w:sz w:val="20"/>
          <w:szCs w:val="20"/>
          <w:u w:val="single"/>
        </w:rPr>
        <w:t>2.</w:t>
      </w:r>
      <w:r w:rsidRPr="00EB650B">
        <w:rPr>
          <w:rFonts w:ascii="Arial" w:eastAsia="Times New Roman" w:hAnsi="Arial" w:cs="Arial"/>
          <w:bCs/>
          <w:iCs/>
          <w:sz w:val="20"/>
          <w:szCs w:val="20"/>
          <w:u w:val="single"/>
        </w:rPr>
        <w:tab/>
      </w:r>
      <w:r w:rsidRPr="00EB650B">
        <w:rPr>
          <w:rFonts w:ascii="Arial" w:eastAsia="Times New Roman" w:hAnsi="Arial" w:cs="Arial"/>
          <w:b/>
          <w:iCs/>
          <w:sz w:val="20"/>
          <w:szCs w:val="20"/>
          <w:u w:val="single"/>
        </w:rPr>
        <w:t>u 2021. godini</w:t>
      </w:r>
      <w:r w:rsidRPr="00EB650B">
        <w:rPr>
          <w:rFonts w:ascii="Arial" w:eastAsia="Times New Roman" w:hAnsi="Arial" w:cs="Arial"/>
          <w:bCs/>
          <w:iCs/>
          <w:sz w:val="20"/>
          <w:szCs w:val="20"/>
          <w:u w:val="single"/>
        </w:rPr>
        <w:t xml:space="preserve"> na temelju:</w:t>
      </w:r>
    </w:p>
    <w:p w14:paraId="5BCE82DB" w14:textId="0938EECA" w:rsidR="00C23137" w:rsidRPr="00EB650B" w:rsidRDefault="00C23137" w:rsidP="00C23137">
      <w:pPr>
        <w:pStyle w:val="Tijeloteksta2"/>
        <w:ind w:left="1066" w:hanging="709"/>
        <w:rPr>
          <w:rFonts w:ascii="Arial" w:hAnsi="Arial" w:cs="Arial"/>
          <w:b/>
          <w:iCs/>
          <w:sz w:val="20"/>
          <w:lang w:val="hr-HR"/>
        </w:rPr>
      </w:pPr>
      <w:r w:rsidRPr="00EB650B">
        <w:rPr>
          <w:rFonts w:ascii="Arial" w:hAnsi="Arial" w:cs="Arial"/>
          <w:bCs/>
          <w:iCs/>
          <w:sz w:val="20"/>
          <w:lang w:val="hr-HR"/>
        </w:rPr>
        <w:t>2.</w:t>
      </w:r>
      <w:r w:rsidR="00864A67" w:rsidRPr="00EB650B">
        <w:rPr>
          <w:rFonts w:ascii="Arial" w:hAnsi="Arial" w:cs="Arial"/>
          <w:bCs/>
          <w:iCs/>
          <w:sz w:val="20"/>
          <w:lang w:val="hr-HR"/>
        </w:rPr>
        <w:t>1</w:t>
      </w:r>
      <w:r w:rsidRPr="00EB650B">
        <w:rPr>
          <w:rFonts w:ascii="Arial" w:hAnsi="Arial" w:cs="Arial"/>
          <w:bCs/>
          <w:iCs/>
          <w:sz w:val="20"/>
          <w:lang w:val="hr-HR"/>
        </w:rPr>
        <w:t xml:space="preserve">. </w:t>
      </w:r>
      <w:r w:rsidRPr="00EB650B">
        <w:rPr>
          <w:rFonts w:ascii="Arial" w:hAnsi="Arial" w:cs="Arial"/>
          <w:bCs/>
          <w:iCs/>
          <w:sz w:val="20"/>
          <w:lang w:val="hr-HR"/>
        </w:rPr>
        <w:tab/>
        <w:t>Odluke o dodjeli beskamatnog zajma jedinicama lokalne i područne (regionalne) samouprave uslijed pada prihoda (Narodne novine 136/21) u iznosu 5.900.000 kn (uplata 16.12.2021., rok povrata 3 godine)</w:t>
      </w:r>
      <w:r w:rsidR="00C41527" w:rsidRPr="00EB650B">
        <w:rPr>
          <w:rFonts w:ascii="Arial" w:hAnsi="Arial" w:cs="Arial"/>
          <w:bCs/>
          <w:iCs/>
          <w:sz w:val="20"/>
          <w:lang w:val="hr-HR"/>
        </w:rPr>
        <w:t xml:space="preserve">, stanje </w:t>
      </w:r>
      <w:r w:rsidR="0064780B" w:rsidRPr="00EB650B">
        <w:rPr>
          <w:rFonts w:ascii="Arial" w:hAnsi="Arial" w:cs="Arial"/>
          <w:bCs/>
          <w:iCs/>
          <w:sz w:val="20"/>
          <w:lang w:val="hr-HR"/>
        </w:rPr>
        <w:t>31.12.</w:t>
      </w:r>
      <w:r w:rsidR="00C41527" w:rsidRPr="00EB650B">
        <w:rPr>
          <w:rFonts w:ascii="Arial" w:hAnsi="Arial" w:cs="Arial"/>
          <w:bCs/>
          <w:iCs/>
          <w:sz w:val="20"/>
          <w:lang w:val="hr-HR"/>
        </w:rPr>
        <w:t xml:space="preserve">2023. iznosi </w:t>
      </w:r>
      <w:r w:rsidR="00C41527" w:rsidRPr="00EB650B">
        <w:rPr>
          <w:rFonts w:ascii="Arial" w:hAnsi="Arial" w:cs="Arial"/>
          <w:b/>
          <w:iCs/>
          <w:sz w:val="20"/>
          <w:lang w:val="hr-HR"/>
        </w:rPr>
        <w:t>783.064,57 €</w:t>
      </w:r>
      <w:r w:rsidRPr="00EB650B">
        <w:rPr>
          <w:rFonts w:ascii="Arial" w:hAnsi="Arial" w:cs="Arial"/>
          <w:b/>
          <w:iCs/>
          <w:sz w:val="20"/>
          <w:lang w:val="hr-HR"/>
        </w:rPr>
        <w:t>.</w:t>
      </w:r>
      <w:r w:rsidR="00AA33D1" w:rsidRPr="00EB650B">
        <w:rPr>
          <w:rFonts w:ascii="Arial" w:hAnsi="Arial" w:cs="Arial"/>
          <w:bCs/>
          <w:iCs/>
          <w:sz w:val="20"/>
          <w:lang w:val="hr-HR"/>
        </w:rPr>
        <w:t xml:space="preserve"> Sukladno Zakonu o izvršavanju Državnog proračuna Republike Hrvatske za 2024. godinu, produljen je krajnji rok za povrat zajma </w:t>
      </w:r>
      <w:r w:rsidR="00AA33D1" w:rsidRPr="00EB650B">
        <w:rPr>
          <w:rFonts w:ascii="Arial" w:hAnsi="Arial" w:cs="Arial"/>
          <w:b/>
          <w:i/>
          <w:sz w:val="20"/>
          <w:u w:val="single"/>
          <w:lang w:val="hr-HR"/>
        </w:rPr>
        <w:t>do konca 2027. godine</w:t>
      </w:r>
      <w:r w:rsidR="00AA33D1" w:rsidRPr="00EB650B">
        <w:rPr>
          <w:rFonts w:ascii="Arial" w:hAnsi="Arial" w:cs="Arial"/>
          <w:b/>
          <w:iCs/>
          <w:sz w:val="20"/>
          <w:lang w:val="hr-HR"/>
        </w:rPr>
        <w:t>.</w:t>
      </w:r>
    </w:p>
    <w:p w14:paraId="579E48D8" w14:textId="77777777" w:rsidR="00B824DF" w:rsidRPr="00EB650B" w:rsidRDefault="00B824DF" w:rsidP="0000514C">
      <w:pPr>
        <w:autoSpaceDE w:val="0"/>
        <w:autoSpaceDN w:val="0"/>
        <w:adjustRightInd w:val="0"/>
        <w:spacing w:after="0" w:line="240" w:lineRule="auto"/>
        <w:jc w:val="both"/>
        <w:rPr>
          <w:rFonts w:ascii="Arial" w:eastAsia="Times New Roman" w:hAnsi="Arial" w:cs="Arial"/>
          <w:bCs/>
          <w:sz w:val="20"/>
          <w:szCs w:val="20"/>
        </w:rPr>
      </w:pPr>
    </w:p>
    <w:p w14:paraId="46C998CE" w14:textId="75AF1109" w:rsidR="00F63581" w:rsidRPr="00EB650B" w:rsidRDefault="00ED7EE6" w:rsidP="00B824DF">
      <w:pPr>
        <w:autoSpaceDE w:val="0"/>
        <w:autoSpaceDN w:val="0"/>
        <w:adjustRightInd w:val="0"/>
        <w:spacing w:after="0" w:line="240" w:lineRule="auto"/>
        <w:jc w:val="both"/>
        <w:rPr>
          <w:rFonts w:ascii="Arial" w:eastAsia="Times New Roman" w:hAnsi="Arial" w:cs="Arial"/>
          <w:sz w:val="20"/>
          <w:szCs w:val="20"/>
        </w:rPr>
      </w:pPr>
      <w:bookmarkStart w:id="689" w:name="_Hlk101953244"/>
      <w:r w:rsidRPr="00EB650B">
        <w:rPr>
          <w:rFonts w:ascii="Arial" w:eastAsia="Times New Roman" w:hAnsi="Arial" w:cs="Arial"/>
          <w:b/>
          <w:bCs/>
          <w:sz w:val="20"/>
          <w:szCs w:val="20"/>
        </w:rPr>
        <w:t>U</w:t>
      </w:r>
      <w:r w:rsidR="00B824DF" w:rsidRPr="00EB650B">
        <w:rPr>
          <w:rFonts w:ascii="Arial" w:eastAsia="Times New Roman" w:hAnsi="Arial" w:cs="Arial"/>
          <w:b/>
          <w:bCs/>
          <w:sz w:val="20"/>
          <w:szCs w:val="20"/>
        </w:rPr>
        <w:t xml:space="preserve"> 202</w:t>
      </w:r>
      <w:r w:rsidR="00F21318">
        <w:rPr>
          <w:rFonts w:ascii="Arial" w:eastAsia="Times New Roman" w:hAnsi="Arial" w:cs="Arial"/>
          <w:b/>
          <w:bCs/>
          <w:sz w:val="20"/>
          <w:szCs w:val="20"/>
        </w:rPr>
        <w:t>5</w:t>
      </w:r>
      <w:r w:rsidR="00B824DF" w:rsidRPr="00EB650B">
        <w:rPr>
          <w:rFonts w:ascii="Arial" w:eastAsia="Times New Roman" w:hAnsi="Arial" w:cs="Arial"/>
          <w:b/>
          <w:bCs/>
          <w:sz w:val="20"/>
          <w:szCs w:val="20"/>
        </w:rPr>
        <w:t>. godini</w:t>
      </w:r>
      <w:r w:rsidR="00B824DF" w:rsidRPr="00EB650B">
        <w:rPr>
          <w:rFonts w:ascii="Arial" w:eastAsia="Times New Roman" w:hAnsi="Arial" w:cs="Arial"/>
          <w:sz w:val="20"/>
          <w:szCs w:val="20"/>
        </w:rPr>
        <w:t xml:space="preserve"> </w:t>
      </w:r>
      <w:r w:rsidR="009127BD" w:rsidRPr="00EB650B">
        <w:rPr>
          <w:rFonts w:ascii="Arial" w:eastAsia="Times New Roman" w:hAnsi="Arial" w:cs="Arial"/>
          <w:sz w:val="20"/>
          <w:szCs w:val="20"/>
        </w:rPr>
        <w:t>nije bilo odobravanja beskamatnog zajma</w:t>
      </w:r>
      <w:r w:rsidR="00F63581" w:rsidRPr="00EB650B">
        <w:rPr>
          <w:rFonts w:ascii="Arial" w:eastAsia="Times New Roman" w:hAnsi="Arial" w:cs="Arial"/>
          <w:sz w:val="20"/>
          <w:szCs w:val="20"/>
        </w:rPr>
        <w:t>, a nije bilo niti povrata beskamatnih zajmova.</w:t>
      </w:r>
    </w:p>
    <w:p w14:paraId="1A539E57" w14:textId="77777777" w:rsidR="00F63581" w:rsidRPr="00EB650B" w:rsidRDefault="00F63581" w:rsidP="00B824DF">
      <w:pPr>
        <w:autoSpaceDE w:val="0"/>
        <w:autoSpaceDN w:val="0"/>
        <w:adjustRightInd w:val="0"/>
        <w:spacing w:after="0" w:line="240" w:lineRule="auto"/>
        <w:jc w:val="both"/>
        <w:rPr>
          <w:rFonts w:ascii="Arial" w:eastAsia="Times New Roman" w:hAnsi="Arial" w:cs="Arial"/>
          <w:sz w:val="20"/>
          <w:szCs w:val="20"/>
        </w:rPr>
      </w:pPr>
    </w:p>
    <w:p w14:paraId="0FEDEC4C" w14:textId="4685E94A" w:rsidR="00B824DF" w:rsidRPr="00EB650B" w:rsidRDefault="00F63581" w:rsidP="00B824DF">
      <w:pPr>
        <w:autoSpaceDE w:val="0"/>
        <w:autoSpaceDN w:val="0"/>
        <w:adjustRightInd w:val="0"/>
        <w:spacing w:after="0" w:line="240" w:lineRule="auto"/>
        <w:jc w:val="both"/>
        <w:rPr>
          <w:rFonts w:ascii="Arial" w:eastAsia="Times New Roman" w:hAnsi="Arial" w:cs="Arial"/>
          <w:bCs/>
          <w:iCs/>
          <w:sz w:val="20"/>
          <w:szCs w:val="20"/>
        </w:rPr>
      </w:pPr>
      <w:r w:rsidRPr="00EB650B">
        <w:rPr>
          <w:rFonts w:ascii="Arial" w:eastAsia="Times New Roman" w:hAnsi="Arial" w:cs="Arial"/>
          <w:sz w:val="20"/>
          <w:szCs w:val="20"/>
        </w:rPr>
        <w:t>P</w:t>
      </w:r>
      <w:r w:rsidR="009127BD" w:rsidRPr="00EB650B">
        <w:rPr>
          <w:rFonts w:ascii="Arial" w:eastAsia="Times New Roman" w:hAnsi="Arial" w:cs="Arial"/>
          <w:sz w:val="20"/>
          <w:szCs w:val="20"/>
        </w:rPr>
        <w:t xml:space="preserve">ovrat </w:t>
      </w:r>
      <w:r w:rsidR="009127BD" w:rsidRPr="00EB650B">
        <w:rPr>
          <w:rFonts w:ascii="Arial" w:hAnsi="Arial" w:cs="Arial"/>
          <w:bCs/>
          <w:iCs/>
          <w:sz w:val="20"/>
          <w:szCs w:val="20"/>
        </w:rPr>
        <w:t>poreza na dohodak po godišnjoj prijavi za 2023. godinu temeljem Naputka o načinu uplaćivanja prihoda proračuna, obveznih doprinosa te prihoda za financiranje drugih javnih potreba u 2024. godini (Narodne novine, br. 15/24) isplaćivao se na teret računa državnog proračuna, a povrati su se izvršavali iz raspoloživih sredstava sljedećeg dana</w:t>
      </w:r>
      <w:r w:rsidR="00ED7EE6" w:rsidRPr="00EB650B">
        <w:rPr>
          <w:rFonts w:ascii="Arial" w:hAnsi="Arial" w:cs="Arial"/>
          <w:bCs/>
          <w:iCs/>
          <w:sz w:val="20"/>
          <w:szCs w:val="20"/>
        </w:rPr>
        <w:t>.</w:t>
      </w:r>
    </w:p>
    <w:p w14:paraId="626A9219" w14:textId="77777777" w:rsidR="009127BD" w:rsidRPr="00EB650B" w:rsidRDefault="009127BD" w:rsidP="005E0D1A">
      <w:pPr>
        <w:spacing w:after="0" w:line="240" w:lineRule="auto"/>
        <w:ind w:firstLine="567"/>
        <w:jc w:val="both"/>
        <w:rPr>
          <w:rFonts w:ascii="Arial" w:hAnsi="Arial" w:cs="Arial"/>
          <w:sz w:val="20"/>
          <w:szCs w:val="20"/>
        </w:rPr>
      </w:pPr>
    </w:p>
    <w:p w14:paraId="76816E0A" w14:textId="40A98FFE" w:rsidR="005E0D1A" w:rsidRPr="00EB2587" w:rsidRDefault="00373623" w:rsidP="005E0D1A">
      <w:pPr>
        <w:spacing w:after="0" w:line="240" w:lineRule="auto"/>
        <w:ind w:firstLine="567"/>
        <w:jc w:val="both"/>
        <w:rPr>
          <w:rFonts w:ascii="Arial" w:eastAsia="Times New Roman" w:hAnsi="Arial" w:cs="Arial"/>
          <w:b/>
          <w:bCs/>
          <w:sz w:val="20"/>
          <w:szCs w:val="20"/>
        </w:rPr>
      </w:pPr>
      <w:r w:rsidRPr="00EB650B">
        <w:rPr>
          <w:rFonts w:ascii="Arial" w:hAnsi="Arial" w:cs="Arial"/>
          <w:sz w:val="20"/>
          <w:szCs w:val="20"/>
        </w:rPr>
        <w:t xml:space="preserve">Obveze za </w:t>
      </w:r>
      <w:r w:rsidRPr="00EB650B">
        <w:rPr>
          <w:rFonts w:ascii="Arial" w:hAnsi="Arial" w:cs="Arial"/>
          <w:b/>
          <w:bCs/>
          <w:i/>
          <w:iCs/>
          <w:sz w:val="20"/>
          <w:szCs w:val="20"/>
        </w:rPr>
        <w:t>beskamatne zajmove od državnog proračuna</w:t>
      </w:r>
      <w:r w:rsidRPr="00EB650B">
        <w:rPr>
          <w:rFonts w:ascii="Arial" w:hAnsi="Arial" w:cs="Arial"/>
          <w:sz w:val="20"/>
          <w:szCs w:val="20"/>
        </w:rPr>
        <w:t xml:space="preserve"> koncem</w:t>
      </w:r>
      <w:r w:rsidR="00C41527" w:rsidRPr="00EB650B">
        <w:rPr>
          <w:rFonts w:ascii="Arial" w:hAnsi="Arial" w:cs="Arial"/>
          <w:sz w:val="20"/>
          <w:szCs w:val="20"/>
        </w:rPr>
        <w:t xml:space="preserve"> </w:t>
      </w:r>
      <w:r w:rsidR="00F21318">
        <w:rPr>
          <w:rFonts w:ascii="Arial" w:hAnsi="Arial" w:cs="Arial"/>
          <w:sz w:val="20"/>
          <w:szCs w:val="20"/>
        </w:rPr>
        <w:t xml:space="preserve">lipnja </w:t>
      </w:r>
      <w:r w:rsidR="00ED7EE6" w:rsidRPr="00EB650B">
        <w:rPr>
          <w:rFonts w:ascii="Arial" w:hAnsi="Arial" w:cs="Arial"/>
          <w:sz w:val="20"/>
          <w:szCs w:val="20"/>
        </w:rPr>
        <w:t>202</w:t>
      </w:r>
      <w:r w:rsidR="00F21318">
        <w:rPr>
          <w:rFonts w:ascii="Arial" w:hAnsi="Arial" w:cs="Arial"/>
          <w:sz w:val="20"/>
          <w:szCs w:val="20"/>
        </w:rPr>
        <w:t>5</w:t>
      </w:r>
      <w:r w:rsidR="00ED7EE6" w:rsidRPr="00EB650B">
        <w:rPr>
          <w:rFonts w:ascii="Arial" w:hAnsi="Arial" w:cs="Arial"/>
          <w:sz w:val="20"/>
          <w:szCs w:val="20"/>
        </w:rPr>
        <w:t xml:space="preserve">. su iste kao i koncem </w:t>
      </w:r>
      <w:r w:rsidRPr="00EB650B">
        <w:rPr>
          <w:rFonts w:ascii="Arial" w:hAnsi="Arial" w:cs="Arial"/>
          <w:sz w:val="20"/>
          <w:szCs w:val="20"/>
        </w:rPr>
        <w:t>20</w:t>
      </w:r>
      <w:r w:rsidR="00F21318">
        <w:rPr>
          <w:rFonts w:ascii="Arial" w:hAnsi="Arial" w:cs="Arial"/>
          <w:sz w:val="20"/>
          <w:szCs w:val="20"/>
        </w:rPr>
        <w:t>24</w:t>
      </w:r>
      <w:r w:rsidRPr="00EB650B">
        <w:rPr>
          <w:rFonts w:ascii="Arial" w:hAnsi="Arial" w:cs="Arial"/>
          <w:sz w:val="20"/>
          <w:szCs w:val="20"/>
        </w:rPr>
        <w:t xml:space="preserve"> godine</w:t>
      </w:r>
      <w:r w:rsidR="00ED7EE6" w:rsidRPr="00EB650B">
        <w:rPr>
          <w:rFonts w:ascii="Arial" w:hAnsi="Arial" w:cs="Arial"/>
          <w:sz w:val="20"/>
          <w:szCs w:val="20"/>
        </w:rPr>
        <w:t xml:space="preserve">, a iznose </w:t>
      </w:r>
      <w:r w:rsidR="00CD6C7F" w:rsidRPr="00EB2587">
        <w:rPr>
          <w:rFonts w:ascii="Arial" w:hAnsi="Arial" w:cs="Arial"/>
          <w:b/>
          <w:bCs/>
          <w:sz w:val="20"/>
          <w:szCs w:val="20"/>
        </w:rPr>
        <w:t>1.332.079,53</w:t>
      </w:r>
      <w:r w:rsidR="00C41527" w:rsidRPr="00EB2587">
        <w:rPr>
          <w:rFonts w:ascii="Arial" w:hAnsi="Arial" w:cs="Arial"/>
          <w:b/>
          <w:bCs/>
          <w:sz w:val="20"/>
          <w:szCs w:val="20"/>
        </w:rPr>
        <w:t xml:space="preserve"> €</w:t>
      </w:r>
      <w:r w:rsidRPr="00EB2587">
        <w:rPr>
          <w:rFonts w:ascii="Arial" w:hAnsi="Arial" w:cs="Arial"/>
          <w:b/>
          <w:bCs/>
          <w:sz w:val="20"/>
          <w:szCs w:val="20"/>
        </w:rPr>
        <w:t>.</w:t>
      </w:r>
      <w:r w:rsidR="00C41527" w:rsidRPr="00EB2587">
        <w:rPr>
          <w:rFonts w:ascii="Arial" w:hAnsi="Arial" w:cs="Arial"/>
          <w:b/>
          <w:bCs/>
          <w:sz w:val="20"/>
          <w:szCs w:val="20"/>
        </w:rPr>
        <w:t xml:space="preserve"> </w:t>
      </w:r>
      <w:bookmarkEnd w:id="689"/>
      <w:r w:rsidR="005E0D1A" w:rsidRPr="00EB2587">
        <w:rPr>
          <w:rFonts w:ascii="Arial" w:hAnsi="Arial" w:cs="Arial"/>
          <w:b/>
          <w:bCs/>
          <w:sz w:val="20"/>
          <w:szCs w:val="20"/>
          <w:lang w:eastAsia="en-US"/>
        </w:rPr>
        <w:t>K</w:t>
      </w:r>
      <w:r w:rsidR="005E0D1A" w:rsidRPr="00EB2587">
        <w:rPr>
          <w:rFonts w:ascii="Arial" w:eastAsia="Times New Roman" w:hAnsi="Arial" w:cs="Arial"/>
          <w:b/>
          <w:bCs/>
          <w:sz w:val="20"/>
          <w:szCs w:val="20"/>
        </w:rPr>
        <w:t xml:space="preserve">oncem </w:t>
      </w:r>
      <w:r w:rsidR="00F21318">
        <w:rPr>
          <w:rFonts w:ascii="Arial" w:eastAsia="Times New Roman" w:hAnsi="Arial" w:cs="Arial"/>
          <w:b/>
          <w:bCs/>
          <w:sz w:val="20"/>
          <w:szCs w:val="20"/>
        </w:rPr>
        <w:t xml:space="preserve">lipnja </w:t>
      </w:r>
      <w:r w:rsidR="005E0D1A" w:rsidRPr="00EB2587">
        <w:rPr>
          <w:rFonts w:ascii="Arial" w:eastAsia="Times New Roman" w:hAnsi="Arial" w:cs="Arial"/>
          <w:b/>
          <w:bCs/>
          <w:sz w:val="20"/>
          <w:szCs w:val="20"/>
        </w:rPr>
        <w:t>202</w:t>
      </w:r>
      <w:r w:rsidR="00F21318">
        <w:rPr>
          <w:rFonts w:ascii="Arial" w:eastAsia="Times New Roman" w:hAnsi="Arial" w:cs="Arial"/>
          <w:b/>
          <w:bCs/>
          <w:sz w:val="20"/>
          <w:szCs w:val="20"/>
        </w:rPr>
        <w:t>5</w:t>
      </w:r>
      <w:r w:rsidR="005E0D1A" w:rsidRPr="00EB2587">
        <w:rPr>
          <w:rFonts w:ascii="Arial" w:eastAsia="Times New Roman" w:hAnsi="Arial" w:cs="Arial"/>
          <w:b/>
          <w:bCs/>
          <w:sz w:val="20"/>
          <w:szCs w:val="20"/>
        </w:rPr>
        <w:t>. nema nedospjelih obveza.</w:t>
      </w:r>
    </w:p>
    <w:p w14:paraId="2AC577C1" w14:textId="77777777" w:rsidR="00C41527" w:rsidRPr="00EB650B" w:rsidRDefault="00C41527" w:rsidP="00C41527">
      <w:pPr>
        <w:autoSpaceDE w:val="0"/>
        <w:autoSpaceDN w:val="0"/>
        <w:adjustRightInd w:val="0"/>
        <w:spacing w:after="0" w:line="240" w:lineRule="auto"/>
        <w:jc w:val="both"/>
        <w:rPr>
          <w:rFonts w:ascii="Arial" w:eastAsia="Times New Roman" w:hAnsi="Arial" w:cs="Arial"/>
          <w:sz w:val="20"/>
          <w:szCs w:val="20"/>
        </w:rPr>
      </w:pPr>
    </w:p>
    <w:p w14:paraId="2992B154" w14:textId="510FF8DE" w:rsidR="005E0D1A" w:rsidRPr="00EB650B" w:rsidRDefault="00C41527" w:rsidP="00C41527">
      <w:pPr>
        <w:spacing w:after="0" w:line="240" w:lineRule="auto"/>
        <w:ind w:firstLine="567"/>
        <w:jc w:val="both"/>
        <w:rPr>
          <w:rFonts w:ascii="Arial" w:hAnsi="Arial" w:cs="Arial"/>
          <w:sz w:val="20"/>
          <w:szCs w:val="20"/>
          <w:lang w:eastAsia="en-US"/>
        </w:rPr>
      </w:pPr>
      <w:r w:rsidRPr="00EB650B">
        <w:rPr>
          <w:rFonts w:ascii="Arial" w:hAnsi="Arial" w:cs="Arial"/>
          <w:sz w:val="20"/>
          <w:szCs w:val="20"/>
          <w:lang w:eastAsia="en-US"/>
        </w:rPr>
        <w:lastRenderedPageBreak/>
        <w:t xml:space="preserve">U tablici u nastavku iskazan je pregled obveza za beskamatne zajmove Općini iz državnog proračuna. </w:t>
      </w:r>
      <w:r w:rsidRPr="00EB650B">
        <w:rPr>
          <w:rFonts w:ascii="Arial" w:eastAsia="Times New Roman" w:hAnsi="Arial" w:cs="Arial"/>
          <w:sz w:val="20"/>
          <w:szCs w:val="20"/>
        </w:rPr>
        <w:t xml:space="preserve">Ministarstvo financija je </w:t>
      </w:r>
      <w:r w:rsidRPr="00EB650B">
        <w:rPr>
          <w:rFonts w:ascii="Arial" w:hAnsi="Arial" w:cs="Arial"/>
          <w:sz w:val="20"/>
          <w:szCs w:val="20"/>
          <w:lang w:eastAsia="en-US"/>
        </w:rPr>
        <w:t>ranije utvrdilo da će sve dospjele obveze koje ne budu podmirene u roku dospijeća podijeliti u četiri mjesečna obroka, te poslovnim bankama poslati naloge za izvršenje.</w:t>
      </w:r>
    </w:p>
    <w:p w14:paraId="51749B48" w14:textId="77777777" w:rsidR="005E0D1A" w:rsidRPr="003A2F86" w:rsidRDefault="005E0D1A" w:rsidP="006C228F">
      <w:pPr>
        <w:spacing w:after="0" w:line="240" w:lineRule="auto"/>
        <w:rPr>
          <w:lang w:eastAsia="en-US"/>
        </w:rPr>
      </w:pPr>
    </w:p>
    <w:p w14:paraId="7FB6DAD5" w14:textId="70A5DB0B" w:rsidR="0083004A" w:rsidRPr="003A2F86" w:rsidRDefault="0083004A" w:rsidP="0083004A">
      <w:pPr>
        <w:pStyle w:val="Opisslike"/>
      </w:pPr>
      <w:bookmarkStart w:id="690" w:name="_Toc232981548"/>
      <w:r w:rsidRPr="003A2F86">
        <w:rPr>
          <w:color w:val="FF0000"/>
        </w:rPr>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29</w:t>
      </w:r>
      <w:r w:rsidRPr="003A2F86">
        <w:rPr>
          <w:color w:val="FF0000"/>
        </w:rPr>
        <w:fldChar w:fldCharType="end"/>
      </w:r>
      <w:r w:rsidRPr="003A2F86">
        <w:rPr>
          <w:color w:val="FF0000"/>
        </w:rPr>
        <w:t>:</w:t>
      </w:r>
      <w:r w:rsidRPr="003A2F86">
        <w:rPr>
          <w:color w:val="7030A0"/>
        </w:rPr>
        <w:t xml:space="preserve"> </w:t>
      </w:r>
      <w:r w:rsidRPr="003A2F86">
        <w:rPr>
          <w:rFonts w:ascii="Arial" w:hAnsi="Arial" w:cs="Arial"/>
          <w:bCs w:val="0"/>
          <w:iCs/>
        </w:rPr>
        <w:t xml:space="preserve">Pregled obveza za beskamatne zajmove Općini iz državnog proračuna na dan </w:t>
      </w:r>
      <w:r w:rsidR="00A462D4">
        <w:rPr>
          <w:rFonts w:ascii="Arial" w:hAnsi="Arial" w:cs="Arial"/>
          <w:bCs w:val="0"/>
          <w:iCs/>
        </w:rPr>
        <w:t>31.12</w:t>
      </w:r>
      <w:r w:rsidR="00F21318">
        <w:rPr>
          <w:rFonts w:ascii="Arial" w:hAnsi="Arial" w:cs="Arial"/>
          <w:bCs w:val="0"/>
          <w:iCs/>
        </w:rPr>
        <w:t>.2025</w:t>
      </w:r>
      <w:r w:rsidRPr="003A2F86">
        <w:rPr>
          <w:rFonts w:ascii="Arial" w:hAnsi="Arial" w:cs="Arial"/>
          <w:bCs w:val="0"/>
          <w:iCs/>
        </w:rPr>
        <w:t>.</w:t>
      </w:r>
      <w:bookmarkEnd w:id="690"/>
      <w:r w:rsidRPr="003A2F86">
        <w:rPr>
          <w:rFonts w:ascii="Arial" w:hAnsi="Arial" w:cs="Arial"/>
          <w:bCs w:val="0"/>
          <w:iCs/>
        </w:rPr>
        <w:t xml:space="preserve"> </w:t>
      </w:r>
    </w:p>
    <w:p w14:paraId="24F60D40" w14:textId="77777777" w:rsidR="0083004A" w:rsidRPr="003A2F86" w:rsidRDefault="0083004A" w:rsidP="0083004A">
      <w:pPr>
        <w:autoSpaceDE w:val="0"/>
        <w:autoSpaceDN w:val="0"/>
        <w:adjustRightInd w:val="0"/>
        <w:spacing w:after="0" w:line="240" w:lineRule="auto"/>
        <w:jc w:val="both"/>
        <w:rPr>
          <w:rFonts w:ascii="Arial" w:eastAsia="Times New Roman" w:hAnsi="Arial" w:cs="Arial"/>
          <w:sz w:val="14"/>
          <w:szCs w:val="14"/>
        </w:rPr>
      </w:pPr>
    </w:p>
    <w:p w14:paraId="7122A70D" w14:textId="25AB93D7" w:rsidR="00B56C60" w:rsidRPr="003A2F86" w:rsidRDefault="00A462D4" w:rsidP="006C228F">
      <w:pPr>
        <w:autoSpaceDE w:val="0"/>
        <w:autoSpaceDN w:val="0"/>
        <w:adjustRightInd w:val="0"/>
        <w:spacing w:after="0" w:line="240" w:lineRule="auto"/>
        <w:jc w:val="center"/>
        <w:rPr>
          <w:rFonts w:ascii="Arial" w:eastAsia="Times New Roman" w:hAnsi="Arial" w:cs="Arial"/>
          <w:sz w:val="20"/>
          <w:szCs w:val="20"/>
        </w:rPr>
      </w:pPr>
      <w:r w:rsidRPr="00A462D4">
        <w:rPr>
          <w:noProof/>
        </w:rPr>
        <w:drawing>
          <wp:inline distT="0" distB="0" distL="0" distR="0" wp14:anchorId="62A7C328" wp14:editId="7EB3265B">
            <wp:extent cx="4112598" cy="2523744"/>
            <wp:effectExtent l="0" t="0" r="2540" b="0"/>
            <wp:docPr id="1296822394"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122673" cy="2529927"/>
                    </a:xfrm>
                    <a:prstGeom prst="rect">
                      <a:avLst/>
                    </a:prstGeom>
                    <a:noFill/>
                    <a:ln>
                      <a:noFill/>
                    </a:ln>
                  </pic:spPr>
                </pic:pic>
              </a:graphicData>
            </a:graphic>
          </wp:inline>
        </w:drawing>
      </w:r>
    </w:p>
    <w:p w14:paraId="534509E6" w14:textId="77777777" w:rsidR="00B54FEA" w:rsidRPr="00C00955" w:rsidRDefault="00B54FEA" w:rsidP="0083004A">
      <w:pPr>
        <w:autoSpaceDE w:val="0"/>
        <w:autoSpaceDN w:val="0"/>
        <w:adjustRightInd w:val="0"/>
        <w:spacing w:after="0" w:line="240" w:lineRule="auto"/>
        <w:jc w:val="both"/>
        <w:rPr>
          <w:rFonts w:ascii="Arial" w:hAnsi="Arial" w:cs="Arial"/>
          <w:bCs/>
          <w:iCs/>
        </w:rPr>
      </w:pPr>
      <w:bookmarkStart w:id="691" w:name="_Hlk146004861"/>
    </w:p>
    <w:p w14:paraId="53315532" w14:textId="39D37AB4" w:rsidR="0083004A" w:rsidRPr="00EB650B" w:rsidRDefault="0083004A" w:rsidP="0083004A">
      <w:pPr>
        <w:autoSpaceDE w:val="0"/>
        <w:autoSpaceDN w:val="0"/>
        <w:adjustRightInd w:val="0"/>
        <w:spacing w:after="0" w:line="240" w:lineRule="auto"/>
        <w:jc w:val="both"/>
        <w:rPr>
          <w:rFonts w:ascii="Arial" w:eastAsia="Times New Roman" w:hAnsi="Arial" w:cs="Arial"/>
          <w:sz w:val="20"/>
          <w:szCs w:val="20"/>
        </w:rPr>
      </w:pPr>
      <w:bookmarkStart w:id="692" w:name="_Hlk176506597"/>
      <w:r w:rsidRPr="00EB650B">
        <w:rPr>
          <w:rFonts w:ascii="Arial" w:hAnsi="Arial" w:cs="Arial"/>
          <w:bCs/>
          <w:iCs/>
          <w:sz w:val="20"/>
          <w:szCs w:val="20"/>
        </w:rPr>
        <w:t>Obaveze za zajmove iz državnog proračuna (267) su početkom 202</w:t>
      </w:r>
      <w:r w:rsidR="0042261F">
        <w:rPr>
          <w:rFonts w:ascii="Arial" w:hAnsi="Arial" w:cs="Arial"/>
          <w:bCs/>
          <w:iCs/>
          <w:sz w:val="20"/>
          <w:szCs w:val="20"/>
        </w:rPr>
        <w:t>5</w:t>
      </w:r>
      <w:r w:rsidRPr="00EB650B">
        <w:rPr>
          <w:rFonts w:ascii="Arial" w:hAnsi="Arial" w:cs="Arial"/>
          <w:bCs/>
          <w:iCs/>
          <w:sz w:val="20"/>
          <w:szCs w:val="20"/>
        </w:rPr>
        <w:t xml:space="preserve">. godine iznosile </w:t>
      </w:r>
      <w:r w:rsidR="00B56C60" w:rsidRPr="00EB650B">
        <w:rPr>
          <w:rFonts w:ascii="Arial" w:hAnsi="Arial" w:cs="Arial"/>
          <w:bCs/>
          <w:iCs/>
          <w:sz w:val="20"/>
          <w:szCs w:val="20"/>
        </w:rPr>
        <w:t>1.332.</w:t>
      </w:r>
      <w:r w:rsidR="00ED7EE6" w:rsidRPr="00EB650B">
        <w:rPr>
          <w:rFonts w:ascii="Arial" w:hAnsi="Arial" w:cs="Arial"/>
          <w:bCs/>
          <w:iCs/>
          <w:sz w:val="20"/>
          <w:szCs w:val="20"/>
        </w:rPr>
        <w:t>079,53</w:t>
      </w:r>
      <w:r w:rsidR="00B56C60" w:rsidRPr="00EB650B">
        <w:rPr>
          <w:rFonts w:ascii="Arial" w:hAnsi="Arial" w:cs="Arial"/>
          <w:bCs/>
          <w:iCs/>
          <w:sz w:val="20"/>
          <w:szCs w:val="20"/>
        </w:rPr>
        <w:t xml:space="preserve"> €</w:t>
      </w:r>
      <w:r w:rsidRPr="00EB650B">
        <w:rPr>
          <w:rFonts w:ascii="Arial" w:hAnsi="Arial" w:cs="Arial"/>
          <w:bCs/>
          <w:iCs/>
          <w:sz w:val="20"/>
          <w:szCs w:val="20"/>
        </w:rPr>
        <w:t xml:space="preserve">, </w:t>
      </w:r>
      <w:r w:rsidR="00ED7EE6" w:rsidRPr="00EB650B">
        <w:rPr>
          <w:rFonts w:ascii="Arial" w:hAnsi="Arial" w:cs="Arial"/>
          <w:bCs/>
          <w:iCs/>
          <w:sz w:val="20"/>
          <w:szCs w:val="20"/>
        </w:rPr>
        <w:t>kao i koncem</w:t>
      </w:r>
      <w:r w:rsidR="0042261F">
        <w:rPr>
          <w:rFonts w:ascii="Arial" w:hAnsi="Arial" w:cs="Arial"/>
          <w:bCs/>
          <w:iCs/>
          <w:sz w:val="20"/>
          <w:szCs w:val="20"/>
        </w:rPr>
        <w:t xml:space="preserve"> </w:t>
      </w:r>
      <w:r w:rsidR="00ED7EE6" w:rsidRPr="00EB650B">
        <w:rPr>
          <w:rFonts w:ascii="Arial" w:hAnsi="Arial" w:cs="Arial"/>
          <w:bCs/>
          <w:iCs/>
          <w:sz w:val="20"/>
          <w:szCs w:val="20"/>
        </w:rPr>
        <w:t>202</w:t>
      </w:r>
      <w:r w:rsidR="0042261F">
        <w:rPr>
          <w:rFonts w:ascii="Arial" w:hAnsi="Arial" w:cs="Arial"/>
          <w:bCs/>
          <w:iCs/>
          <w:sz w:val="20"/>
          <w:szCs w:val="20"/>
        </w:rPr>
        <w:t>5</w:t>
      </w:r>
      <w:r w:rsidR="00ED7EE6" w:rsidRPr="00EB650B">
        <w:rPr>
          <w:rFonts w:ascii="Arial" w:hAnsi="Arial" w:cs="Arial"/>
          <w:bCs/>
          <w:iCs/>
          <w:sz w:val="20"/>
          <w:szCs w:val="20"/>
        </w:rPr>
        <w:t>.</w:t>
      </w:r>
      <w:r w:rsidRPr="00EB650B">
        <w:rPr>
          <w:rFonts w:ascii="Arial" w:hAnsi="Arial" w:cs="Arial"/>
          <w:bCs/>
          <w:iCs/>
          <w:sz w:val="20"/>
          <w:szCs w:val="20"/>
        </w:rPr>
        <w:t xml:space="preserve"> </w:t>
      </w:r>
      <w:r w:rsidR="0094439F" w:rsidRPr="00EB650B">
        <w:rPr>
          <w:rFonts w:ascii="Arial" w:hAnsi="Arial" w:cs="Arial"/>
          <w:bCs/>
          <w:iCs/>
          <w:sz w:val="20"/>
          <w:szCs w:val="20"/>
        </w:rPr>
        <w:t xml:space="preserve">Nema dospjelih obveza. </w:t>
      </w:r>
    </w:p>
    <w:bookmarkEnd w:id="692"/>
    <w:p w14:paraId="269E521B" w14:textId="77777777" w:rsidR="0083004A" w:rsidRPr="00C00955" w:rsidRDefault="0083004A" w:rsidP="0083004A">
      <w:pPr>
        <w:autoSpaceDE w:val="0"/>
        <w:autoSpaceDN w:val="0"/>
        <w:adjustRightInd w:val="0"/>
        <w:spacing w:after="0" w:line="240" w:lineRule="auto"/>
        <w:jc w:val="both"/>
        <w:rPr>
          <w:rFonts w:ascii="Arial" w:eastAsia="Times New Roman" w:hAnsi="Arial" w:cs="Arial"/>
        </w:rPr>
      </w:pPr>
    </w:p>
    <w:p w14:paraId="7E6B6512" w14:textId="3A854C33" w:rsidR="00651105" w:rsidRPr="003A2F86" w:rsidRDefault="00651105" w:rsidP="00651105">
      <w:pPr>
        <w:pStyle w:val="Opisslike"/>
        <w:keepNext/>
        <w:jc w:val="both"/>
      </w:pPr>
      <w:bookmarkStart w:id="693" w:name="_Toc232981549"/>
      <w:r w:rsidRPr="003A2F86">
        <w:rPr>
          <w:color w:val="FF0000"/>
        </w:rPr>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30</w:t>
      </w:r>
      <w:r w:rsidRPr="003A2F86">
        <w:rPr>
          <w:color w:val="FF0000"/>
        </w:rPr>
        <w:fldChar w:fldCharType="end"/>
      </w:r>
      <w:r w:rsidRPr="003A2F86">
        <w:rPr>
          <w:color w:val="FF0000"/>
        </w:rPr>
        <w:t>.</w:t>
      </w:r>
      <w:r w:rsidRPr="003A2F86">
        <w:t xml:space="preserve">: </w:t>
      </w:r>
      <w:r w:rsidRPr="003A2F86">
        <w:rPr>
          <w:rFonts w:ascii="Arial" w:hAnsi="Arial" w:cs="Arial"/>
          <w:bCs w:val="0"/>
          <w:iCs/>
        </w:rPr>
        <w:t>Pregled obveza za beskamatne zajmove i iznos otplata zajmova u narednim godinama</w:t>
      </w:r>
      <w:bookmarkEnd w:id="693"/>
      <w:r w:rsidRPr="003A2F86">
        <w:t xml:space="preserve"> </w:t>
      </w:r>
    </w:p>
    <w:p w14:paraId="49F4C6BB" w14:textId="77777777" w:rsidR="00651105" w:rsidRPr="003A2F86" w:rsidRDefault="00651105" w:rsidP="00651105">
      <w:pPr>
        <w:spacing w:after="0" w:line="240" w:lineRule="auto"/>
        <w:rPr>
          <w:lang w:eastAsia="en-US"/>
        </w:rPr>
      </w:pPr>
    </w:p>
    <w:bookmarkEnd w:id="691"/>
    <w:p w14:paraId="07D6A696" w14:textId="4BA40DFE" w:rsidR="007A09E5" w:rsidRPr="003A2F86" w:rsidRDefault="00A462D4" w:rsidP="00F55637">
      <w:pPr>
        <w:autoSpaceDE w:val="0"/>
        <w:autoSpaceDN w:val="0"/>
        <w:adjustRightInd w:val="0"/>
        <w:spacing w:after="0" w:line="240" w:lineRule="auto"/>
        <w:jc w:val="center"/>
        <w:rPr>
          <w:rFonts w:ascii="Arial" w:eastAsia="Times New Roman" w:hAnsi="Arial" w:cs="Arial"/>
        </w:rPr>
      </w:pPr>
      <w:r w:rsidRPr="00A462D4">
        <w:rPr>
          <w:noProof/>
        </w:rPr>
        <w:drawing>
          <wp:inline distT="0" distB="0" distL="0" distR="0" wp14:anchorId="12A4834D" wp14:editId="1051808C">
            <wp:extent cx="5076749" cy="1716909"/>
            <wp:effectExtent l="0" t="0" r="0" b="0"/>
            <wp:docPr id="170063562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081325" cy="1718456"/>
                    </a:xfrm>
                    <a:prstGeom prst="rect">
                      <a:avLst/>
                    </a:prstGeom>
                    <a:noFill/>
                    <a:ln>
                      <a:noFill/>
                    </a:ln>
                  </pic:spPr>
                </pic:pic>
              </a:graphicData>
            </a:graphic>
          </wp:inline>
        </w:drawing>
      </w:r>
    </w:p>
    <w:p w14:paraId="5FE5C62F" w14:textId="77777777" w:rsidR="00B02ED8" w:rsidRPr="003A2F86" w:rsidRDefault="00B02ED8" w:rsidP="00B02ED8">
      <w:pPr>
        <w:autoSpaceDE w:val="0"/>
        <w:autoSpaceDN w:val="0"/>
        <w:adjustRightInd w:val="0"/>
        <w:spacing w:after="0" w:line="240" w:lineRule="auto"/>
        <w:jc w:val="both"/>
        <w:rPr>
          <w:rFonts w:ascii="Arial" w:eastAsia="Times New Roman" w:hAnsi="Arial" w:cs="Arial"/>
          <w:sz w:val="12"/>
        </w:rPr>
      </w:pPr>
    </w:p>
    <w:p w14:paraId="205D056A" w14:textId="77777777" w:rsidR="006A400F" w:rsidRPr="003A2F86" w:rsidRDefault="006A400F" w:rsidP="00B02ED8">
      <w:pPr>
        <w:autoSpaceDE w:val="0"/>
        <w:autoSpaceDN w:val="0"/>
        <w:adjustRightInd w:val="0"/>
        <w:spacing w:after="0" w:line="240" w:lineRule="auto"/>
        <w:jc w:val="both"/>
        <w:rPr>
          <w:rFonts w:ascii="Arial" w:eastAsia="Times New Roman" w:hAnsi="Arial" w:cs="Arial"/>
          <w:sz w:val="12"/>
        </w:rPr>
      </w:pPr>
    </w:p>
    <w:p w14:paraId="0CF0E32D" w14:textId="116C560E" w:rsidR="00B02ED8" w:rsidRPr="00C00955" w:rsidRDefault="00B02ED8" w:rsidP="00B02ED8">
      <w:pPr>
        <w:pStyle w:val="Naslov3"/>
        <w:jc w:val="center"/>
        <w:rPr>
          <w:rFonts w:ascii="Arial" w:hAnsi="Arial" w:cs="Arial"/>
          <w:sz w:val="22"/>
          <w:szCs w:val="22"/>
          <w:lang w:val="hr-HR"/>
        </w:rPr>
      </w:pPr>
      <w:bookmarkStart w:id="694" w:name="_Toc232981498"/>
      <w:r w:rsidRPr="00C00955">
        <w:rPr>
          <w:rFonts w:ascii="Arial" w:hAnsi="Arial" w:cs="Arial"/>
          <w:sz w:val="22"/>
          <w:szCs w:val="22"/>
          <w:lang w:val="hr-HR"/>
        </w:rPr>
        <w:lastRenderedPageBreak/>
        <w:t>4.2.2.</w:t>
      </w:r>
      <w:r w:rsidRPr="00C00955">
        <w:rPr>
          <w:rFonts w:ascii="Arial" w:hAnsi="Arial" w:cs="Arial"/>
          <w:sz w:val="22"/>
          <w:szCs w:val="22"/>
          <w:lang w:val="hr-HR"/>
        </w:rPr>
        <w:tab/>
        <w:t>PREGLED PRIMLJENIH KREDITA I OBVEZA PO KREDITIMA – PRORAČUNSKI KORISNICI</w:t>
      </w:r>
      <w:bookmarkEnd w:id="694"/>
    </w:p>
    <w:p w14:paraId="1047F09F" w14:textId="77777777" w:rsidR="00B02ED8" w:rsidRPr="00C00955" w:rsidRDefault="00B02ED8" w:rsidP="00B02ED8">
      <w:pPr>
        <w:autoSpaceDE w:val="0"/>
        <w:autoSpaceDN w:val="0"/>
        <w:adjustRightInd w:val="0"/>
        <w:spacing w:after="0" w:line="240" w:lineRule="auto"/>
        <w:jc w:val="both"/>
        <w:rPr>
          <w:rFonts w:ascii="Arial" w:eastAsia="Times New Roman" w:hAnsi="Arial" w:cs="Arial"/>
          <w:sz w:val="12"/>
        </w:rPr>
      </w:pPr>
    </w:p>
    <w:p w14:paraId="32E6AAE0" w14:textId="77777777" w:rsidR="00B02ED8" w:rsidRPr="00C00955" w:rsidRDefault="00B02ED8" w:rsidP="00B02ED8">
      <w:pPr>
        <w:autoSpaceDE w:val="0"/>
        <w:autoSpaceDN w:val="0"/>
        <w:adjustRightInd w:val="0"/>
        <w:spacing w:after="0" w:line="240" w:lineRule="auto"/>
        <w:jc w:val="both"/>
        <w:rPr>
          <w:rFonts w:ascii="Arial" w:eastAsia="Times New Roman" w:hAnsi="Arial" w:cs="Arial"/>
          <w:sz w:val="12"/>
        </w:rPr>
      </w:pPr>
    </w:p>
    <w:p w14:paraId="0D4BBE7A" w14:textId="5947E8DC" w:rsidR="00AB5F4A" w:rsidRPr="00EB650B" w:rsidRDefault="00AB5F4A" w:rsidP="00AB5F4A">
      <w:pPr>
        <w:autoSpaceDE w:val="0"/>
        <w:autoSpaceDN w:val="0"/>
        <w:adjustRightInd w:val="0"/>
        <w:spacing w:after="0" w:line="240" w:lineRule="auto"/>
        <w:jc w:val="both"/>
        <w:rPr>
          <w:rFonts w:ascii="Arial" w:eastAsia="Times New Roman" w:hAnsi="Arial" w:cs="Arial"/>
          <w:sz w:val="20"/>
          <w:szCs w:val="20"/>
        </w:rPr>
      </w:pPr>
      <w:r w:rsidRPr="00EB650B">
        <w:rPr>
          <w:rFonts w:ascii="Arial" w:eastAsia="Times New Roman" w:hAnsi="Arial" w:cs="Arial"/>
          <w:sz w:val="20"/>
          <w:szCs w:val="20"/>
        </w:rPr>
        <w:t xml:space="preserve">Proračunski korisnici Općine Konavle (Dječji vrtić Konavle, Muzeji i galerije Konavala, Javna vatrogasna postrojba Konavle, Dom za starije i nemoćne osobe Konavle) nisu se zaduživali i nemaju primljenih kredita niti zajmova, te nemaju niti obveza po kreditima i zajmovima. </w:t>
      </w:r>
    </w:p>
    <w:p w14:paraId="6DC58A97" w14:textId="77777777" w:rsidR="00F2348E" w:rsidRPr="00C00955" w:rsidRDefault="00F2348E" w:rsidP="00891119">
      <w:pPr>
        <w:spacing w:after="0" w:line="240" w:lineRule="auto"/>
        <w:jc w:val="both"/>
        <w:rPr>
          <w:rFonts w:ascii="Arial" w:eastAsia="Calibri" w:hAnsi="Arial" w:cs="Arial"/>
          <w:lang w:eastAsia="en-US"/>
        </w:rPr>
      </w:pPr>
    </w:p>
    <w:p w14:paraId="5C079C21" w14:textId="65256FCB" w:rsidR="00891119" w:rsidRPr="00C00955" w:rsidRDefault="0052045C" w:rsidP="0052045C">
      <w:pPr>
        <w:pStyle w:val="Naslov2"/>
        <w:jc w:val="center"/>
        <w:rPr>
          <w:rFonts w:ascii="Arial" w:eastAsia="Calibri" w:hAnsi="Arial" w:cs="Arial"/>
          <w:sz w:val="22"/>
          <w:szCs w:val="22"/>
          <w:lang w:val="hr-HR"/>
        </w:rPr>
      </w:pPr>
      <w:bookmarkStart w:id="695" w:name="_4.3.__IZVJEŠTAJ"/>
      <w:bookmarkStart w:id="696" w:name="_Toc232981499"/>
      <w:bookmarkEnd w:id="695"/>
      <w:r w:rsidRPr="00C00955">
        <w:rPr>
          <w:rFonts w:ascii="Arial" w:eastAsia="Calibri" w:hAnsi="Arial" w:cs="Arial"/>
          <w:sz w:val="22"/>
          <w:szCs w:val="22"/>
          <w:lang w:val="hr-HR"/>
        </w:rPr>
        <w:t>4.3</w:t>
      </w:r>
      <w:r w:rsidR="00891119" w:rsidRPr="00C00955">
        <w:rPr>
          <w:rFonts w:ascii="Arial" w:eastAsia="Calibri" w:hAnsi="Arial" w:cs="Arial"/>
          <w:sz w:val="22"/>
          <w:szCs w:val="22"/>
          <w:lang w:val="hr-HR"/>
        </w:rPr>
        <w:t xml:space="preserve">. </w:t>
      </w:r>
      <w:r w:rsidR="00891119" w:rsidRPr="00C00955">
        <w:rPr>
          <w:rFonts w:ascii="Arial" w:eastAsia="Calibri" w:hAnsi="Arial" w:cs="Arial"/>
          <w:sz w:val="22"/>
          <w:szCs w:val="22"/>
          <w:lang w:val="hr-HR"/>
        </w:rPr>
        <w:tab/>
      </w:r>
      <w:r w:rsidR="00F02C0B" w:rsidRPr="00C00955">
        <w:rPr>
          <w:rFonts w:ascii="Arial" w:eastAsia="Calibri" w:hAnsi="Arial" w:cs="Arial"/>
          <w:sz w:val="22"/>
          <w:szCs w:val="22"/>
          <w:lang w:val="hr-HR"/>
        </w:rPr>
        <w:t>IZVJEŠTAJ O D</w:t>
      </w:r>
      <w:bookmarkStart w:id="697" w:name="Dana_jamstva"/>
      <w:bookmarkEnd w:id="697"/>
      <w:r w:rsidR="00F02C0B" w:rsidRPr="00C00955">
        <w:rPr>
          <w:rFonts w:ascii="Arial" w:eastAsia="Calibri" w:hAnsi="Arial" w:cs="Arial"/>
          <w:sz w:val="22"/>
          <w:szCs w:val="22"/>
          <w:lang w:val="hr-HR"/>
        </w:rPr>
        <w:t xml:space="preserve">ANIM JAMSTVIMA I </w:t>
      </w:r>
      <w:r w:rsidR="00D10F06" w:rsidRPr="00C00955">
        <w:rPr>
          <w:rFonts w:ascii="Arial" w:eastAsia="Calibri" w:hAnsi="Arial" w:cs="Arial"/>
          <w:sz w:val="22"/>
          <w:szCs w:val="22"/>
          <w:lang w:val="hr-HR"/>
        </w:rPr>
        <w:t>PLAĆANJIMA</w:t>
      </w:r>
      <w:r w:rsidR="00F02C0B" w:rsidRPr="00C00955">
        <w:rPr>
          <w:rFonts w:ascii="Arial" w:eastAsia="Calibri" w:hAnsi="Arial" w:cs="Arial"/>
          <w:sz w:val="22"/>
          <w:szCs w:val="22"/>
          <w:lang w:val="hr-HR"/>
        </w:rPr>
        <w:t xml:space="preserve"> PO </w:t>
      </w:r>
      <w:r w:rsidR="00D10F06" w:rsidRPr="00C00955">
        <w:rPr>
          <w:rFonts w:ascii="Arial" w:eastAsia="Calibri" w:hAnsi="Arial" w:cs="Arial"/>
          <w:sz w:val="22"/>
          <w:szCs w:val="22"/>
          <w:lang w:val="hr-HR"/>
        </w:rPr>
        <w:t>PROTESTIRANIM</w:t>
      </w:r>
      <w:r w:rsidR="00F02C0B" w:rsidRPr="00C00955">
        <w:rPr>
          <w:rFonts w:ascii="Arial" w:eastAsia="Calibri" w:hAnsi="Arial" w:cs="Arial"/>
          <w:sz w:val="22"/>
          <w:szCs w:val="22"/>
          <w:lang w:val="hr-HR"/>
        </w:rPr>
        <w:t xml:space="preserve"> JAMSTVIMA</w:t>
      </w:r>
      <w:bookmarkEnd w:id="696"/>
    </w:p>
    <w:p w14:paraId="2AFD938D" w14:textId="77777777" w:rsidR="004811A1" w:rsidRPr="00C00955" w:rsidRDefault="004811A1" w:rsidP="00891119">
      <w:pPr>
        <w:spacing w:after="0" w:line="240" w:lineRule="auto"/>
        <w:jc w:val="both"/>
        <w:rPr>
          <w:rFonts w:ascii="Arial" w:eastAsia="Calibri" w:hAnsi="Arial" w:cs="Arial"/>
          <w:lang w:eastAsia="en-US"/>
        </w:rPr>
      </w:pPr>
    </w:p>
    <w:p w14:paraId="5D1261D6" w14:textId="5A95024A" w:rsidR="00891119" w:rsidRPr="00EB650B" w:rsidRDefault="00891119" w:rsidP="00891119">
      <w:pPr>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Općina Konavle u razdoblju od 1. siječnja do </w:t>
      </w:r>
      <w:r w:rsidR="00A462D4">
        <w:rPr>
          <w:rFonts w:ascii="Arial" w:eastAsia="Times New Roman" w:hAnsi="Arial" w:cs="Arial"/>
          <w:iCs/>
          <w:sz w:val="20"/>
          <w:szCs w:val="20"/>
          <w:lang w:eastAsia="en-US"/>
        </w:rPr>
        <w:t>31.12</w:t>
      </w:r>
      <w:r w:rsidR="0042261F">
        <w:rPr>
          <w:rFonts w:ascii="Arial" w:eastAsia="Times New Roman" w:hAnsi="Arial" w:cs="Arial"/>
          <w:iCs/>
          <w:sz w:val="20"/>
          <w:szCs w:val="20"/>
          <w:lang w:eastAsia="en-US"/>
        </w:rPr>
        <w:t>.2025</w:t>
      </w:r>
      <w:r w:rsidRPr="00EB650B">
        <w:rPr>
          <w:rFonts w:ascii="Arial" w:eastAsia="Times New Roman" w:hAnsi="Arial" w:cs="Arial"/>
          <w:iCs/>
          <w:sz w:val="20"/>
          <w:szCs w:val="20"/>
          <w:lang w:eastAsia="en-US"/>
        </w:rPr>
        <w:t xml:space="preserve">. </w:t>
      </w:r>
      <w:r w:rsidRPr="00EB650B">
        <w:rPr>
          <w:rFonts w:ascii="Arial" w:eastAsia="Times New Roman" w:hAnsi="Arial" w:cs="Arial"/>
          <w:b/>
          <w:iCs/>
          <w:sz w:val="20"/>
          <w:szCs w:val="20"/>
          <w:lang w:eastAsia="en-US"/>
        </w:rPr>
        <w:t>nije izdavala jamstva</w:t>
      </w:r>
      <w:r w:rsidRPr="00EB650B">
        <w:rPr>
          <w:rFonts w:ascii="Arial" w:eastAsia="Times New Roman" w:hAnsi="Arial" w:cs="Arial"/>
          <w:iCs/>
          <w:sz w:val="20"/>
          <w:szCs w:val="20"/>
          <w:lang w:eastAsia="en-US"/>
        </w:rPr>
        <w:t xml:space="preserve"> (tablica u nastavku). </w:t>
      </w:r>
    </w:p>
    <w:p w14:paraId="254031E0" w14:textId="77777777" w:rsidR="00891119" w:rsidRPr="00C00955" w:rsidRDefault="00891119" w:rsidP="00891119">
      <w:pPr>
        <w:spacing w:after="0" w:line="240" w:lineRule="auto"/>
        <w:jc w:val="both"/>
        <w:rPr>
          <w:rFonts w:ascii="Arial" w:eastAsia="Times New Roman" w:hAnsi="Arial" w:cs="Arial"/>
          <w:bCs/>
          <w:iCs/>
          <w:lang w:eastAsia="en-US"/>
        </w:rPr>
      </w:pPr>
    </w:p>
    <w:p w14:paraId="2AC61DC4" w14:textId="768A2968" w:rsidR="00891119" w:rsidRPr="003A2F86" w:rsidRDefault="004C330F" w:rsidP="004C330F">
      <w:pPr>
        <w:pStyle w:val="Opisslike"/>
        <w:keepNext/>
        <w:jc w:val="both"/>
      </w:pPr>
      <w:bookmarkStart w:id="698" w:name="_Toc232981550"/>
      <w:r w:rsidRPr="003A2F86">
        <w:rPr>
          <w:color w:val="FF0000"/>
        </w:rPr>
        <w:t xml:space="preserve">Tablica </w:t>
      </w:r>
      <w:r w:rsidR="002A3DE2" w:rsidRPr="003A2F86">
        <w:rPr>
          <w:color w:val="FF0000"/>
        </w:rPr>
        <w:fldChar w:fldCharType="begin"/>
      </w:r>
      <w:r w:rsidR="002A3DE2" w:rsidRPr="003A2F86">
        <w:rPr>
          <w:color w:val="FF0000"/>
        </w:rPr>
        <w:instrText xml:space="preserve"> SEQ Tablica \* ARABIC </w:instrText>
      </w:r>
      <w:r w:rsidR="002A3DE2" w:rsidRPr="003A2F86">
        <w:rPr>
          <w:color w:val="FF0000"/>
        </w:rPr>
        <w:fldChar w:fldCharType="separate"/>
      </w:r>
      <w:r w:rsidR="00A821D8">
        <w:rPr>
          <w:noProof/>
          <w:color w:val="FF0000"/>
        </w:rPr>
        <w:t>31</w:t>
      </w:r>
      <w:r w:rsidR="002A3DE2" w:rsidRPr="003A2F86">
        <w:rPr>
          <w:color w:val="FF0000"/>
        </w:rPr>
        <w:fldChar w:fldCharType="end"/>
      </w:r>
      <w:r w:rsidRPr="003A2F86">
        <w:rPr>
          <w:color w:val="FF0000"/>
        </w:rPr>
        <w:t>.</w:t>
      </w:r>
      <w:r w:rsidRPr="003A2F86">
        <w:t xml:space="preserve">: </w:t>
      </w:r>
      <w:r w:rsidR="00891119" w:rsidRPr="003A2F86">
        <w:rPr>
          <w:rFonts w:ascii="Arial" w:hAnsi="Arial" w:cs="Arial"/>
          <w:bCs w:val="0"/>
          <w:iCs/>
        </w:rPr>
        <w:t>Pregled izdanih jamstava u 20</w:t>
      </w:r>
      <w:r w:rsidR="00CC1602" w:rsidRPr="003A2F86">
        <w:rPr>
          <w:rFonts w:ascii="Arial" w:hAnsi="Arial" w:cs="Arial"/>
          <w:bCs w:val="0"/>
          <w:iCs/>
        </w:rPr>
        <w:t>2</w:t>
      </w:r>
      <w:r w:rsidR="0042261F">
        <w:rPr>
          <w:rFonts w:ascii="Arial" w:hAnsi="Arial" w:cs="Arial"/>
          <w:bCs w:val="0"/>
          <w:iCs/>
        </w:rPr>
        <w:t>5</w:t>
      </w:r>
      <w:r w:rsidR="00891119" w:rsidRPr="003A2F86">
        <w:rPr>
          <w:rFonts w:ascii="Arial" w:hAnsi="Arial" w:cs="Arial"/>
          <w:bCs w:val="0"/>
          <w:iCs/>
        </w:rPr>
        <w:t>.</w:t>
      </w:r>
      <w:bookmarkEnd w:id="698"/>
    </w:p>
    <w:p w14:paraId="0D70B54F" w14:textId="77777777" w:rsidR="00891119" w:rsidRPr="003A2F86" w:rsidRDefault="00891119" w:rsidP="00891119">
      <w:pPr>
        <w:spacing w:after="0" w:line="240" w:lineRule="auto"/>
        <w:rPr>
          <w:rFonts w:ascii="Arial" w:eastAsia="Times New Roman" w:hAnsi="Arial" w:cs="Arial"/>
          <w:iCs/>
          <w:lang w:eastAsia="en-US"/>
        </w:rPr>
      </w:pPr>
    </w:p>
    <w:tbl>
      <w:tblPr>
        <w:tblW w:w="133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213"/>
        <w:gridCol w:w="1134"/>
        <w:gridCol w:w="2050"/>
        <w:gridCol w:w="1559"/>
        <w:gridCol w:w="992"/>
        <w:gridCol w:w="1199"/>
        <w:gridCol w:w="1418"/>
        <w:gridCol w:w="1185"/>
      </w:tblGrid>
      <w:tr w:rsidR="00605E28" w:rsidRPr="003A2F86" w14:paraId="2A2EE41A" w14:textId="77777777" w:rsidTr="000B4A24">
        <w:trPr>
          <w:jc w:val="center"/>
        </w:trPr>
        <w:tc>
          <w:tcPr>
            <w:tcW w:w="567" w:type="dxa"/>
            <w:vAlign w:val="center"/>
          </w:tcPr>
          <w:p w14:paraId="37E847A7"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8"/>
                <w:szCs w:val="16"/>
              </w:rPr>
            </w:pPr>
            <w:r w:rsidRPr="003A2F86">
              <w:rPr>
                <w:rFonts w:ascii="Arial" w:eastAsia="Times New Roman" w:hAnsi="Arial" w:cs="Arial"/>
                <w:sz w:val="18"/>
                <w:szCs w:val="16"/>
              </w:rPr>
              <w:t>R. br.</w:t>
            </w:r>
          </w:p>
        </w:tc>
        <w:tc>
          <w:tcPr>
            <w:tcW w:w="3213" w:type="dxa"/>
            <w:vAlign w:val="center"/>
          </w:tcPr>
          <w:p w14:paraId="6511B519"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8"/>
                <w:szCs w:val="16"/>
              </w:rPr>
            </w:pPr>
            <w:r w:rsidRPr="003A2F86">
              <w:rPr>
                <w:rFonts w:ascii="Arial" w:eastAsia="Times New Roman" w:hAnsi="Arial" w:cs="Arial"/>
                <w:sz w:val="18"/>
                <w:szCs w:val="16"/>
              </w:rPr>
              <w:t>Datum odluke Općine Konavle o davanju jamstva</w:t>
            </w:r>
          </w:p>
        </w:tc>
        <w:tc>
          <w:tcPr>
            <w:tcW w:w="1134" w:type="dxa"/>
            <w:vAlign w:val="center"/>
          </w:tcPr>
          <w:p w14:paraId="735D5B58"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8"/>
                <w:szCs w:val="16"/>
              </w:rPr>
            </w:pPr>
            <w:r w:rsidRPr="003A2F86">
              <w:rPr>
                <w:rFonts w:ascii="Arial" w:eastAsia="Times New Roman" w:hAnsi="Arial" w:cs="Arial"/>
                <w:sz w:val="18"/>
                <w:szCs w:val="16"/>
              </w:rPr>
              <w:t>Datum sklapanja ugovora o jamstvu s korisnikom kredita</w:t>
            </w:r>
          </w:p>
        </w:tc>
        <w:tc>
          <w:tcPr>
            <w:tcW w:w="2050" w:type="dxa"/>
            <w:vAlign w:val="center"/>
          </w:tcPr>
          <w:p w14:paraId="5F8621F3"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8"/>
                <w:szCs w:val="16"/>
              </w:rPr>
            </w:pPr>
            <w:r w:rsidRPr="003A2F86">
              <w:rPr>
                <w:rFonts w:ascii="Arial" w:eastAsia="Times New Roman" w:hAnsi="Arial" w:cs="Arial"/>
                <w:sz w:val="18"/>
                <w:szCs w:val="16"/>
              </w:rPr>
              <w:t>Naziv financijske institucije u čiju korist se daje jamstvo</w:t>
            </w:r>
          </w:p>
        </w:tc>
        <w:tc>
          <w:tcPr>
            <w:tcW w:w="1559" w:type="dxa"/>
            <w:vAlign w:val="center"/>
          </w:tcPr>
          <w:p w14:paraId="37D13F2B"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8"/>
                <w:szCs w:val="16"/>
              </w:rPr>
            </w:pPr>
            <w:r w:rsidRPr="003A2F86">
              <w:rPr>
                <w:rFonts w:ascii="Arial" w:eastAsia="Times New Roman" w:hAnsi="Arial" w:cs="Arial"/>
                <w:sz w:val="18"/>
                <w:szCs w:val="16"/>
              </w:rPr>
              <w:t>Naziv korisnika kredita odnosno dužnika i namjena kredita</w:t>
            </w:r>
          </w:p>
        </w:tc>
        <w:tc>
          <w:tcPr>
            <w:tcW w:w="992" w:type="dxa"/>
            <w:vAlign w:val="center"/>
          </w:tcPr>
          <w:p w14:paraId="717130EE"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8"/>
                <w:szCs w:val="16"/>
              </w:rPr>
            </w:pPr>
            <w:r w:rsidRPr="003A2F86">
              <w:rPr>
                <w:rFonts w:ascii="Arial" w:eastAsia="Times New Roman" w:hAnsi="Arial" w:cs="Arial"/>
                <w:sz w:val="18"/>
                <w:szCs w:val="16"/>
              </w:rPr>
              <w:t>Valutna jedinica</w:t>
            </w:r>
          </w:p>
        </w:tc>
        <w:tc>
          <w:tcPr>
            <w:tcW w:w="1199" w:type="dxa"/>
            <w:vAlign w:val="center"/>
          </w:tcPr>
          <w:p w14:paraId="1E6F1246"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8"/>
                <w:szCs w:val="16"/>
              </w:rPr>
            </w:pPr>
            <w:r w:rsidRPr="003A2F86">
              <w:rPr>
                <w:rFonts w:ascii="Arial" w:eastAsia="Times New Roman" w:hAnsi="Arial" w:cs="Arial"/>
                <w:sz w:val="18"/>
                <w:szCs w:val="16"/>
              </w:rPr>
              <w:t>Iznos jamstva u valuti</w:t>
            </w:r>
          </w:p>
        </w:tc>
        <w:tc>
          <w:tcPr>
            <w:tcW w:w="1418" w:type="dxa"/>
            <w:vAlign w:val="center"/>
          </w:tcPr>
          <w:p w14:paraId="261CCBFE"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8"/>
                <w:szCs w:val="16"/>
              </w:rPr>
            </w:pPr>
            <w:r w:rsidRPr="003A2F86">
              <w:rPr>
                <w:rFonts w:ascii="Arial" w:eastAsia="Times New Roman" w:hAnsi="Arial" w:cs="Arial"/>
                <w:sz w:val="18"/>
                <w:szCs w:val="16"/>
              </w:rPr>
              <w:t>Iznos jamstva u kunama</w:t>
            </w:r>
          </w:p>
        </w:tc>
        <w:tc>
          <w:tcPr>
            <w:tcW w:w="1185" w:type="dxa"/>
            <w:vAlign w:val="center"/>
          </w:tcPr>
          <w:p w14:paraId="39CA8A78"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8"/>
                <w:szCs w:val="16"/>
              </w:rPr>
            </w:pPr>
            <w:r w:rsidRPr="003A2F86">
              <w:rPr>
                <w:rFonts w:ascii="Arial" w:eastAsia="Times New Roman" w:hAnsi="Arial" w:cs="Arial"/>
                <w:sz w:val="18"/>
                <w:szCs w:val="16"/>
              </w:rPr>
              <w:t xml:space="preserve">Posljednja godina dospijeća </w:t>
            </w:r>
          </w:p>
        </w:tc>
      </w:tr>
      <w:tr w:rsidR="00605E28" w:rsidRPr="003A2F86" w14:paraId="7FED70C7" w14:textId="77777777" w:rsidTr="000B4A24">
        <w:trPr>
          <w:jc w:val="center"/>
        </w:trPr>
        <w:tc>
          <w:tcPr>
            <w:tcW w:w="567" w:type="dxa"/>
            <w:vAlign w:val="center"/>
          </w:tcPr>
          <w:p w14:paraId="63F1905C"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1</w:t>
            </w:r>
          </w:p>
        </w:tc>
        <w:tc>
          <w:tcPr>
            <w:tcW w:w="3213" w:type="dxa"/>
            <w:vAlign w:val="center"/>
          </w:tcPr>
          <w:p w14:paraId="453C0E3C"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2</w:t>
            </w:r>
          </w:p>
        </w:tc>
        <w:tc>
          <w:tcPr>
            <w:tcW w:w="1134" w:type="dxa"/>
            <w:vAlign w:val="center"/>
          </w:tcPr>
          <w:p w14:paraId="2BFAF475"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3</w:t>
            </w:r>
          </w:p>
        </w:tc>
        <w:tc>
          <w:tcPr>
            <w:tcW w:w="2050" w:type="dxa"/>
            <w:vAlign w:val="center"/>
          </w:tcPr>
          <w:p w14:paraId="5580EC1E"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4</w:t>
            </w:r>
          </w:p>
        </w:tc>
        <w:tc>
          <w:tcPr>
            <w:tcW w:w="1559" w:type="dxa"/>
            <w:vAlign w:val="center"/>
          </w:tcPr>
          <w:p w14:paraId="4DEF1CE7"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5</w:t>
            </w:r>
          </w:p>
        </w:tc>
        <w:tc>
          <w:tcPr>
            <w:tcW w:w="992" w:type="dxa"/>
            <w:vAlign w:val="center"/>
          </w:tcPr>
          <w:p w14:paraId="6934BA3C"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6</w:t>
            </w:r>
          </w:p>
        </w:tc>
        <w:tc>
          <w:tcPr>
            <w:tcW w:w="1199" w:type="dxa"/>
            <w:vAlign w:val="center"/>
          </w:tcPr>
          <w:p w14:paraId="26D9745A"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7</w:t>
            </w:r>
          </w:p>
        </w:tc>
        <w:tc>
          <w:tcPr>
            <w:tcW w:w="1418" w:type="dxa"/>
            <w:vAlign w:val="center"/>
          </w:tcPr>
          <w:p w14:paraId="7F517164"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8</w:t>
            </w:r>
          </w:p>
        </w:tc>
        <w:tc>
          <w:tcPr>
            <w:tcW w:w="1185" w:type="dxa"/>
            <w:vAlign w:val="center"/>
          </w:tcPr>
          <w:p w14:paraId="7277FB37"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9</w:t>
            </w:r>
          </w:p>
        </w:tc>
      </w:tr>
      <w:tr w:rsidR="00891119" w:rsidRPr="003A2F86" w14:paraId="366A12AF" w14:textId="77777777" w:rsidTr="000B4A24">
        <w:trPr>
          <w:jc w:val="center"/>
        </w:trPr>
        <w:tc>
          <w:tcPr>
            <w:tcW w:w="567" w:type="dxa"/>
            <w:vAlign w:val="center"/>
          </w:tcPr>
          <w:p w14:paraId="530C6F9D"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1.</w:t>
            </w:r>
          </w:p>
        </w:tc>
        <w:tc>
          <w:tcPr>
            <w:tcW w:w="3213" w:type="dxa"/>
            <w:vAlign w:val="center"/>
          </w:tcPr>
          <w:p w14:paraId="1F22B47A"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w:t>
            </w:r>
          </w:p>
        </w:tc>
        <w:tc>
          <w:tcPr>
            <w:tcW w:w="1134" w:type="dxa"/>
            <w:vAlign w:val="center"/>
          </w:tcPr>
          <w:p w14:paraId="11726904"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w:t>
            </w:r>
          </w:p>
        </w:tc>
        <w:tc>
          <w:tcPr>
            <w:tcW w:w="2050" w:type="dxa"/>
            <w:vAlign w:val="center"/>
          </w:tcPr>
          <w:p w14:paraId="6D3376DF"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4"/>
                <w:szCs w:val="14"/>
              </w:rPr>
            </w:pPr>
            <w:r w:rsidRPr="003A2F86">
              <w:rPr>
                <w:rFonts w:ascii="Arial" w:eastAsia="Times New Roman" w:hAnsi="Arial" w:cs="Arial"/>
                <w:sz w:val="14"/>
                <w:szCs w:val="14"/>
              </w:rPr>
              <w:t>-</w:t>
            </w:r>
          </w:p>
        </w:tc>
        <w:tc>
          <w:tcPr>
            <w:tcW w:w="1559" w:type="dxa"/>
            <w:vAlign w:val="center"/>
          </w:tcPr>
          <w:p w14:paraId="6A644098"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w:t>
            </w:r>
          </w:p>
        </w:tc>
        <w:tc>
          <w:tcPr>
            <w:tcW w:w="992" w:type="dxa"/>
            <w:vAlign w:val="center"/>
          </w:tcPr>
          <w:p w14:paraId="230F0387"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w:t>
            </w:r>
          </w:p>
        </w:tc>
        <w:tc>
          <w:tcPr>
            <w:tcW w:w="1199" w:type="dxa"/>
            <w:vAlign w:val="center"/>
          </w:tcPr>
          <w:p w14:paraId="120712A2"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w:t>
            </w:r>
          </w:p>
        </w:tc>
        <w:tc>
          <w:tcPr>
            <w:tcW w:w="1418" w:type="dxa"/>
            <w:vAlign w:val="center"/>
          </w:tcPr>
          <w:p w14:paraId="34629A5B"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w:t>
            </w:r>
          </w:p>
        </w:tc>
        <w:tc>
          <w:tcPr>
            <w:tcW w:w="1185" w:type="dxa"/>
            <w:vAlign w:val="center"/>
          </w:tcPr>
          <w:p w14:paraId="45C8762A" w14:textId="77777777" w:rsidR="00891119" w:rsidRPr="003A2F86" w:rsidRDefault="00891119" w:rsidP="0089111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w:t>
            </w:r>
          </w:p>
        </w:tc>
      </w:tr>
    </w:tbl>
    <w:p w14:paraId="1E5B8CDB" w14:textId="77777777" w:rsidR="00891119" w:rsidRPr="003A2F86" w:rsidRDefault="00891119" w:rsidP="00891119">
      <w:pPr>
        <w:spacing w:after="0" w:line="240" w:lineRule="auto"/>
        <w:jc w:val="both"/>
        <w:rPr>
          <w:rFonts w:ascii="Arial" w:eastAsia="Times New Roman" w:hAnsi="Arial" w:cs="Arial"/>
          <w:iCs/>
          <w:lang w:eastAsia="en-US"/>
        </w:rPr>
      </w:pPr>
    </w:p>
    <w:p w14:paraId="393779C3" w14:textId="77777777" w:rsidR="00891119" w:rsidRPr="00EB650B" w:rsidRDefault="00891119" w:rsidP="00891119">
      <w:pPr>
        <w:spacing w:after="0" w:line="240" w:lineRule="auto"/>
        <w:jc w:val="both"/>
        <w:rPr>
          <w:rFonts w:ascii="Arial" w:eastAsia="Times New Roman" w:hAnsi="Arial" w:cs="Arial"/>
          <w:bCs/>
          <w:iCs/>
          <w:sz w:val="20"/>
          <w:szCs w:val="20"/>
          <w:lang w:eastAsia="en-US"/>
        </w:rPr>
      </w:pPr>
      <w:r w:rsidRPr="00EB650B">
        <w:rPr>
          <w:rFonts w:ascii="Arial" w:eastAsia="Times New Roman" w:hAnsi="Arial" w:cs="Arial"/>
          <w:iCs/>
          <w:sz w:val="20"/>
          <w:szCs w:val="20"/>
          <w:lang w:eastAsia="en-US"/>
        </w:rPr>
        <w:t>Ranijih godina Općina je dala jamstvo društvu u vlasništvu, Konavosko komunalno društvo d.o.o., za izgradnju kanalizacijskog sustava, a u 2014. godini jamstvo za kredit za izgradnju objekata vodoopskrbnog sustava Đurinići, Vitaljina i dijela kanalizacijskog sustava Cavtat. U</w:t>
      </w:r>
      <w:r w:rsidRPr="00EB650B">
        <w:rPr>
          <w:rFonts w:ascii="Arial" w:eastAsia="Times New Roman" w:hAnsi="Arial" w:cs="Arial"/>
          <w:bCs/>
          <w:iCs/>
          <w:sz w:val="20"/>
          <w:szCs w:val="20"/>
          <w:lang w:eastAsia="en-US"/>
        </w:rPr>
        <w:t xml:space="preserve"> tablici u nastavku daje se </w:t>
      </w:r>
      <w:r w:rsidRPr="00EB650B">
        <w:rPr>
          <w:rFonts w:ascii="Arial" w:eastAsia="Times New Roman" w:hAnsi="Arial" w:cs="Arial"/>
          <w:b/>
          <w:bCs/>
          <w:iCs/>
          <w:sz w:val="20"/>
          <w:szCs w:val="20"/>
          <w:lang w:eastAsia="en-US"/>
        </w:rPr>
        <w:t>pregled aktivnih danih jamstava</w:t>
      </w:r>
      <w:r w:rsidRPr="00EB650B">
        <w:rPr>
          <w:rFonts w:ascii="Arial" w:eastAsia="Times New Roman" w:hAnsi="Arial" w:cs="Arial"/>
          <w:bCs/>
          <w:iCs/>
          <w:sz w:val="20"/>
          <w:szCs w:val="20"/>
          <w:lang w:eastAsia="en-US"/>
        </w:rPr>
        <w:t xml:space="preserve"> ranijih godina.</w:t>
      </w:r>
    </w:p>
    <w:p w14:paraId="2046FD44" w14:textId="77777777" w:rsidR="00891119" w:rsidRPr="00EB650B" w:rsidRDefault="00891119" w:rsidP="00891119">
      <w:pPr>
        <w:spacing w:after="0" w:line="240" w:lineRule="auto"/>
        <w:jc w:val="both"/>
        <w:rPr>
          <w:rFonts w:ascii="Arial" w:eastAsia="Times New Roman" w:hAnsi="Arial" w:cs="Arial"/>
          <w:iCs/>
          <w:sz w:val="20"/>
          <w:szCs w:val="20"/>
          <w:lang w:eastAsia="en-US"/>
        </w:rPr>
      </w:pPr>
    </w:p>
    <w:p w14:paraId="5E6EE1DC" w14:textId="69260F7F" w:rsidR="00891119" w:rsidRPr="003A2F86" w:rsidRDefault="004C330F" w:rsidP="004C330F">
      <w:pPr>
        <w:pStyle w:val="Opisslike"/>
        <w:keepNext/>
        <w:jc w:val="both"/>
      </w:pPr>
      <w:bookmarkStart w:id="699" w:name="_Toc232981551"/>
      <w:r w:rsidRPr="003A2F86">
        <w:rPr>
          <w:color w:val="FF0000"/>
        </w:rPr>
        <w:t xml:space="preserve">Tablica </w:t>
      </w:r>
      <w:r w:rsidR="002A3DE2" w:rsidRPr="003A2F86">
        <w:rPr>
          <w:color w:val="FF0000"/>
        </w:rPr>
        <w:fldChar w:fldCharType="begin"/>
      </w:r>
      <w:r w:rsidR="002A3DE2" w:rsidRPr="003A2F86">
        <w:rPr>
          <w:color w:val="FF0000"/>
        </w:rPr>
        <w:instrText xml:space="preserve"> SEQ Tablica \* ARABIC </w:instrText>
      </w:r>
      <w:r w:rsidR="002A3DE2" w:rsidRPr="003A2F86">
        <w:rPr>
          <w:color w:val="FF0000"/>
        </w:rPr>
        <w:fldChar w:fldCharType="separate"/>
      </w:r>
      <w:r w:rsidR="00A821D8">
        <w:rPr>
          <w:noProof/>
          <w:color w:val="FF0000"/>
        </w:rPr>
        <w:t>32</w:t>
      </w:r>
      <w:r w:rsidR="002A3DE2" w:rsidRPr="003A2F86">
        <w:rPr>
          <w:color w:val="FF0000"/>
        </w:rPr>
        <w:fldChar w:fldCharType="end"/>
      </w:r>
      <w:r w:rsidRPr="003A2F86">
        <w:rPr>
          <w:color w:val="FF0000"/>
        </w:rPr>
        <w:t>.</w:t>
      </w:r>
      <w:r w:rsidRPr="003A2F86">
        <w:t xml:space="preserve">: </w:t>
      </w:r>
      <w:r w:rsidR="00891119" w:rsidRPr="003A2F86">
        <w:rPr>
          <w:rFonts w:ascii="Arial" w:hAnsi="Arial" w:cs="Arial"/>
          <w:bCs w:val="0"/>
          <w:iCs/>
        </w:rPr>
        <w:t>Pregled aktivnih jamstava</w:t>
      </w:r>
      <w:bookmarkEnd w:id="699"/>
    </w:p>
    <w:p w14:paraId="5EDB8BB0" w14:textId="77777777" w:rsidR="00891119" w:rsidRPr="003A2F86" w:rsidRDefault="00891119" w:rsidP="00891119">
      <w:pPr>
        <w:spacing w:after="0" w:line="240" w:lineRule="auto"/>
        <w:rPr>
          <w:rFonts w:ascii="Arial" w:eastAsia="Times New Roman" w:hAnsi="Arial" w:cs="Arial"/>
          <w:iCs/>
          <w:lang w:eastAsia="en-US"/>
        </w:rPr>
      </w:pPr>
    </w:p>
    <w:tbl>
      <w:tblPr>
        <w:tblW w:w="144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0"/>
        <w:gridCol w:w="4040"/>
        <w:gridCol w:w="1374"/>
        <w:gridCol w:w="1276"/>
        <w:gridCol w:w="1984"/>
        <w:gridCol w:w="1560"/>
        <w:gridCol w:w="980"/>
        <w:gridCol w:w="1275"/>
        <w:gridCol w:w="1220"/>
      </w:tblGrid>
      <w:tr w:rsidR="00DA03FB" w:rsidRPr="003A2F86" w14:paraId="1F8F3661" w14:textId="355CBD23" w:rsidTr="00DA03FB">
        <w:trPr>
          <w:jc w:val="center"/>
        </w:trPr>
        <w:tc>
          <w:tcPr>
            <w:tcW w:w="700" w:type="dxa"/>
            <w:vAlign w:val="center"/>
          </w:tcPr>
          <w:p w14:paraId="278AC5D1" w14:textId="77777777" w:rsidR="00DA03FB" w:rsidRPr="003A2F86" w:rsidRDefault="00DA03FB" w:rsidP="00891119">
            <w:pPr>
              <w:autoSpaceDE w:val="0"/>
              <w:autoSpaceDN w:val="0"/>
              <w:adjustRightInd w:val="0"/>
              <w:spacing w:after="0" w:line="240" w:lineRule="auto"/>
              <w:jc w:val="center"/>
              <w:rPr>
                <w:rFonts w:ascii="Arial" w:eastAsia="Times New Roman" w:hAnsi="Arial" w:cs="Arial"/>
                <w:sz w:val="18"/>
                <w:szCs w:val="18"/>
              </w:rPr>
            </w:pPr>
            <w:bookmarkStart w:id="700" w:name="_Hlk176506941"/>
            <w:r w:rsidRPr="003A2F86">
              <w:rPr>
                <w:rFonts w:ascii="Arial" w:eastAsia="Times New Roman" w:hAnsi="Arial" w:cs="Arial"/>
                <w:sz w:val="18"/>
                <w:szCs w:val="18"/>
              </w:rPr>
              <w:t>R. br.</w:t>
            </w:r>
          </w:p>
        </w:tc>
        <w:tc>
          <w:tcPr>
            <w:tcW w:w="4040" w:type="dxa"/>
            <w:vAlign w:val="center"/>
          </w:tcPr>
          <w:p w14:paraId="11D3A577" w14:textId="77777777" w:rsidR="00DA03FB" w:rsidRPr="003A2F86" w:rsidRDefault="00DA03FB" w:rsidP="00891119">
            <w:pPr>
              <w:autoSpaceDE w:val="0"/>
              <w:autoSpaceDN w:val="0"/>
              <w:adjustRightInd w:val="0"/>
              <w:spacing w:after="0" w:line="240" w:lineRule="auto"/>
              <w:jc w:val="center"/>
              <w:rPr>
                <w:rFonts w:ascii="Arial" w:eastAsia="Times New Roman" w:hAnsi="Arial" w:cs="Arial"/>
                <w:sz w:val="18"/>
                <w:szCs w:val="18"/>
              </w:rPr>
            </w:pPr>
            <w:r w:rsidRPr="003A2F86">
              <w:rPr>
                <w:rFonts w:ascii="Arial" w:eastAsia="Times New Roman" w:hAnsi="Arial" w:cs="Arial"/>
                <w:sz w:val="18"/>
                <w:szCs w:val="18"/>
              </w:rPr>
              <w:t>Datum odluke Općine Konavle o davanju jamstva</w:t>
            </w:r>
          </w:p>
        </w:tc>
        <w:tc>
          <w:tcPr>
            <w:tcW w:w="1374" w:type="dxa"/>
            <w:vAlign w:val="center"/>
          </w:tcPr>
          <w:p w14:paraId="4C82B353" w14:textId="5E51F592" w:rsidR="00DA03FB" w:rsidRPr="003A2F86" w:rsidRDefault="00DA03FB" w:rsidP="00891119">
            <w:pPr>
              <w:autoSpaceDE w:val="0"/>
              <w:autoSpaceDN w:val="0"/>
              <w:adjustRightInd w:val="0"/>
              <w:spacing w:after="0" w:line="240" w:lineRule="auto"/>
              <w:jc w:val="center"/>
              <w:rPr>
                <w:rFonts w:ascii="Arial" w:eastAsia="Times New Roman" w:hAnsi="Arial" w:cs="Arial"/>
                <w:sz w:val="18"/>
                <w:szCs w:val="18"/>
              </w:rPr>
            </w:pPr>
            <w:r w:rsidRPr="003A2F86">
              <w:rPr>
                <w:rFonts w:ascii="Arial" w:eastAsia="Times New Roman" w:hAnsi="Arial" w:cs="Arial"/>
                <w:sz w:val="18"/>
                <w:szCs w:val="18"/>
              </w:rPr>
              <w:t>Namjena jamstva</w:t>
            </w:r>
          </w:p>
        </w:tc>
        <w:tc>
          <w:tcPr>
            <w:tcW w:w="1276" w:type="dxa"/>
            <w:vAlign w:val="center"/>
          </w:tcPr>
          <w:p w14:paraId="7F7F8517" w14:textId="272EE137" w:rsidR="00DA03FB" w:rsidRPr="003A2F86" w:rsidRDefault="00DA03FB" w:rsidP="00891119">
            <w:pPr>
              <w:autoSpaceDE w:val="0"/>
              <w:autoSpaceDN w:val="0"/>
              <w:adjustRightInd w:val="0"/>
              <w:spacing w:after="0" w:line="240" w:lineRule="auto"/>
              <w:jc w:val="center"/>
              <w:rPr>
                <w:rFonts w:ascii="Arial" w:eastAsia="Times New Roman" w:hAnsi="Arial" w:cs="Arial"/>
                <w:sz w:val="18"/>
                <w:szCs w:val="18"/>
              </w:rPr>
            </w:pPr>
            <w:r w:rsidRPr="003A2F86">
              <w:rPr>
                <w:rFonts w:ascii="Arial" w:eastAsia="Times New Roman" w:hAnsi="Arial" w:cs="Arial"/>
                <w:sz w:val="18"/>
                <w:szCs w:val="18"/>
              </w:rPr>
              <w:t>Datum sklapanja ugovora o jamstvu s korisnikom kredita</w:t>
            </w:r>
          </w:p>
        </w:tc>
        <w:tc>
          <w:tcPr>
            <w:tcW w:w="1984" w:type="dxa"/>
            <w:vAlign w:val="center"/>
          </w:tcPr>
          <w:p w14:paraId="5A21D2C4" w14:textId="77777777" w:rsidR="00DA03FB" w:rsidRPr="003A2F86" w:rsidRDefault="00DA03FB" w:rsidP="00891119">
            <w:pPr>
              <w:autoSpaceDE w:val="0"/>
              <w:autoSpaceDN w:val="0"/>
              <w:adjustRightInd w:val="0"/>
              <w:spacing w:after="0" w:line="240" w:lineRule="auto"/>
              <w:jc w:val="center"/>
              <w:rPr>
                <w:rFonts w:ascii="Arial" w:eastAsia="Times New Roman" w:hAnsi="Arial" w:cs="Arial"/>
                <w:sz w:val="18"/>
                <w:szCs w:val="18"/>
              </w:rPr>
            </w:pPr>
            <w:r w:rsidRPr="003A2F86">
              <w:rPr>
                <w:rFonts w:ascii="Arial" w:eastAsia="Times New Roman" w:hAnsi="Arial" w:cs="Arial"/>
                <w:sz w:val="18"/>
                <w:szCs w:val="18"/>
              </w:rPr>
              <w:t>Naziv financijske institucije u čiju korist se daje jamstvo</w:t>
            </w:r>
          </w:p>
        </w:tc>
        <w:tc>
          <w:tcPr>
            <w:tcW w:w="1560" w:type="dxa"/>
            <w:vAlign w:val="center"/>
          </w:tcPr>
          <w:p w14:paraId="5E9F9C84" w14:textId="77777777" w:rsidR="00DA03FB" w:rsidRPr="003A2F86" w:rsidRDefault="00DA03FB" w:rsidP="00891119">
            <w:pPr>
              <w:autoSpaceDE w:val="0"/>
              <w:autoSpaceDN w:val="0"/>
              <w:adjustRightInd w:val="0"/>
              <w:spacing w:after="0" w:line="240" w:lineRule="auto"/>
              <w:jc w:val="center"/>
              <w:rPr>
                <w:rFonts w:ascii="Arial" w:eastAsia="Times New Roman" w:hAnsi="Arial" w:cs="Arial"/>
                <w:sz w:val="18"/>
                <w:szCs w:val="18"/>
              </w:rPr>
            </w:pPr>
            <w:r w:rsidRPr="003A2F86">
              <w:rPr>
                <w:rFonts w:ascii="Arial" w:eastAsia="Times New Roman" w:hAnsi="Arial" w:cs="Arial"/>
                <w:sz w:val="18"/>
                <w:szCs w:val="18"/>
              </w:rPr>
              <w:t>Naziv korisnika kredita odnosno dužnika i namjena kredita</w:t>
            </w:r>
          </w:p>
        </w:tc>
        <w:tc>
          <w:tcPr>
            <w:tcW w:w="980" w:type="dxa"/>
            <w:vAlign w:val="center"/>
          </w:tcPr>
          <w:p w14:paraId="2C4462B3" w14:textId="77777777" w:rsidR="00DA03FB" w:rsidRPr="003A2F86" w:rsidRDefault="00DA03FB" w:rsidP="00891119">
            <w:pPr>
              <w:autoSpaceDE w:val="0"/>
              <w:autoSpaceDN w:val="0"/>
              <w:adjustRightInd w:val="0"/>
              <w:spacing w:after="0" w:line="240" w:lineRule="auto"/>
              <w:jc w:val="center"/>
              <w:rPr>
                <w:rFonts w:ascii="Arial" w:eastAsia="Times New Roman" w:hAnsi="Arial" w:cs="Arial"/>
                <w:sz w:val="18"/>
                <w:szCs w:val="18"/>
              </w:rPr>
            </w:pPr>
            <w:r w:rsidRPr="003A2F86">
              <w:rPr>
                <w:rFonts w:ascii="Arial" w:eastAsia="Times New Roman" w:hAnsi="Arial" w:cs="Arial"/>
                <w:sz w:val="18"/>
                <w:szCs w:val="18"/>
              </w:rPr>
              <w:t>Valutna jedinica</w:t>
            </w:r>
          </w:p>
        </w:tc>
        <w:tc>
          <w:tcPr>
            <w:tcW w:w="1275" w:type="dxa"/>
            <w:vAlign w:val="center"/>
          </w:tcPr>
          <w:p w14:paraId="568B3256" w14:textId="77777777" w:rsidR="00DA03FB" w:rsidRPr="003A2F86" w:rsidRDefault="00DA03FB" w:rsidP="00891119">
            <w:pPr>
              <w:autoSpaceDE w:val="0"/>
              <w:autoSpaceDN w:val="0"/>
              <w:adjustRightInd w:val="0"/>
              <w:spacing w:after="0" w:line="240" w:lineRule="auto"/>
              <w:jc w:val="center"/>
              <w:rPr>
                <w:rFonts w:ascii="Arial" w:eastAsia="Times New Roman" w:hAnsi="Arial" w:cs="Arial"/>
                <w:sz w:val="18"/>
                <w:szCs w:val="18"/>
              </w:rPr>
            </w:pPr>
            <w:r w:rsidRPr="003A2F86">
              <w:rPr>
                <w:rFonts w:ascii="Arial" w:eastAsia="Times New Roman" w:hAnsi="Arial" w:cs="Arial"/>
                <w:sz w:val="18"/>
                <w:szCs w:val="18"/>
              </w:rPr>
              <w:t>Iznos jamstva u valuti</w:t>
            </w:r>
          </w:p>
        </w:tc>
        <w:tc>
          <w:tcPr>
            <w:tcW w:w="1220" w:type="dxa"/>
            <w:vAlign w:val="center"/>
          </w:tcPr>
          <w:p w14:paraId="4AC5C123" w14:textId="77777777" w:rsidR="00DA03FB" w:rsidRPr="003A2F86" w:rsidRDefault="00DA03FB" w:rsidP="00891119">
            <w:pPr>
              <w:autoSpaceDE w:val="0"/>
              <w:autoSpaceDN w:val="0"/>
              <w:adjustRightInd w:val="0"/>
              <w:spacing w:after="0" w:line="240" w:lineRule="auto"/>
              <w:jc w:val="center"/>
              <w:rPr>
                <w:rFonts w:ascii="Arial" w:eastAsia="Times New Roman" w:hAnsi="Arial" w:cs="Arial"/>
                <w:sz w:val="18"/>
                <w:szCs w:val="18"/>
              </w:rPr>
            </w:pPr>
            <w:r w:rsidRPr="003A2F86">
              <w:rPr>
                <w:rFonts w:ascii="Arial" w:eastAsia="Times New Roman" w:hAnsi="Arial" w:cs="Arial"/>
                <w:sz w:val="18"/>
                <w:szCs w:val="18"/>
              </w:rPr>
              <w:t xml:space="preserve">Posljednja godina dospijeća </w:t>
            </w:r>
          </w:p>
        </w:tc>
      </w:tr>
      <w:tr w:rsidR="00DA03FB" w:rsidRPr="003A2F86" w14:paraId="3BBADF39" w14:textId="7EE38A2C" w:rsidTr="00DA03FB">
        <w:trPr>
          <w:jc w:val="center"/>
        </w:trPr>
        <w:tc>
          <w:tcPr>
            <w:tcW w:w="700" w:type="dxa"/>
            <w:vAlign w:val="center"/>
          </w:tcPr>
          <w:p w14:paraId="5425F8D6" w14:textId="77777777" w:rsidR="00DA03FB" w:rsidRPr="003A2F86" w:rsidRDefault="00DA03FB" w:rsidP="00DA03FB">
            <w:pPr>
              <w:autoSpaceDE w:val="0"/>
              <w:autoSpaceDN w:val="0"/>
              <w:adjustRightInd w:val="0"/>
              <w:spacing w:after="0" w:line="240" w:lineRule="auto"/>
              <w:jc w:val="center"/>
              <w:rPr>
                <w:rFonts w:ascii="Arial" w:eastAsia="Times New Roman" w:hAnsi="Arial" w:cs="Arial"/>
                <w:sz w:val="16"/>
                <w:szCs w:val="18"/>
              </w:rPr>
            </w:pPr>
            <w:r w:rsidRPr="003A2F86">
              <w:rPr>
                <w:rFonts w:ascii="Arial" w:eastAsia="Times New Roman" w:hAnsi="Arial" w:cs="Arial"/>
                <w:sz w:val="16"/>
                <w:szCs w:val="18"/>
              </w:rPr>
              <w:t>1</w:t>
            </w:r>
          </w:p>
        </w:tc>
        <w:tc>
          <w:tcPr>
            <w:tcW w:w="4040" w:type="dxa"/>
            <w:vAlign w:val="center"/>
          </w:tcPr>
          <w:p w14:paraId="4FC7FC2A" w14:textId="77777777" w:rsidR="00DA03FB" w:rsidRPr="003A2F86" w:rsidRDefault="00DA03FB" w:rsidP="00DA03FB">
            <w:pPr>
              <w:autoSpaceDE w:val="0"/>
              <w:autoSpaceDN w:val="0"/>
              <w:adjustRightInd w:val="0"/>
              <w:spacing w:after="0" w:line="240" w:lineRule="auto"/>
              <w:jc w:val="center"/>
              <w:rPr>
                <w:rFonts w:ascii="Arial" w:eastAsia="Times New Roman" w:hAnsi="Arial" w:cs="Arial"/>
                <w:sz w:val="16"/>
                <w:szCs w:val="18"/>
              </w:rPr>
            </w:pPr>
            <w:r w:rsidRPr="003A2F86">
              <w:rPr>
                <w:rFonts w:ascii="Arial" w:eastAsia="Times New Roman" w:hAnsi="Arial" w:cs="Arial"/>
                <w:sz w:val="16"/>
                <w:szCs w:val="18"/>
              </w:rPr>
              <w:t>2</w:t>
            </w:r>
          </w:p>
        </w:tc>
        <w:tc>
          <w:tcPr>
            <w:tcW w:w="1374" w:type="dxa"/>
            <w:vAlign w:val="center"/>
          </w:tcPr>
          <w:p w14:paraId="5567CAA1" w14:textId="6066DD50" w:rsidR="00DA03FB" w:rsidRPr="003A2F86" w:rsidRDefault="00DA03FB" w:rsidP="00DA03FB">
            <w:pPr>
              <w:autoSpaceDE w:val="0"/>
              <w:autoSpaceDN w:val="0"/>
              <w:adjustRightInd w:val="0"/>
              <w:spacing w:after="0" w:line="240" w:lineRule="auto"/>
              <w:jc w:val="center"/>
              <w:rPr>
                <w:rFonts w:ascii="Arial" w:eastAsia="Times New Roman" w:hAnsi="Arial" w:cs="Arial"/>
                <w:sz w:val="16"/>
                <w:szCs w:val="18"/>
              </w:rPr>
            </w:pPr>
            <w:r w:rsidRPr="003A2F86">
              <w:rPr>
                <w:rFonts w:ascii="Arial" w:eastAsia="Times New Roman" w:hAnsi="Arial" w:cs="Arial"/>
                <w:sz w:val="16"/>
                <w:szCs w:val="18"/>
              </w:rPr>
              <w:t>3</w:t>
            </w:r>
          </w:p>
        </w:tc>
        <w:tc>
          <w:tcPr>
            <w:tcW w:w="1276" w:type="dxa"/>
            <w:vAlign w:val="center"/>
          </w:tcPr>
          <w:p w14:paraId="4621A99B" w14:textId="6545364E" w:rsidR="00DA03FB" w:rsidRPr="003A2F86" w:rsidRDefault="00DA03FB" w:rsidP="00DA03FB">
            <w:pPr>
              <w:autoSpaceDE w:val="0"/>
              <w:autoSpaceDN w:val="0"/>
              <w:adjustRightInd w:val="0"/>
              <w:spacing w:after="0" w:line="240" w:lineRule="auto"/>
              <w:jc w:val="center"/>
              <w:rPr>
                <w:rFonts w:ascii="Arial" w:eastAsia="Times New Roman" w:hAnsi="Arial" w:cs="Arial"/>
                <w:sz w:val="16"/>
                <w:szCs w:val="18"/>
              </w:rPr>
            </w:pPr>
            <w:r w:rsidRPr="003A2F86">
              <w:rPr>
                <w:rFonts w:ascii="Arial" w:eastAsia="Times New Roman" w:hAnsi="Arial" w:cs="Arial"/>
                <w:sz w:val="16"/>
                <w:szCs w:val="18"/>
              </w:rPr>
              <w:t>4</w:t>
            </w:r>
          </w:p>
        </w:tc>
        <w:tc>
          <w:tcPr>
            <w:tcW w:w="1984" w:type="dxa"/>
            <w:vAlign w:val="center"/>
          </w:tcPr>
          <w:p w14:paraId="14746AB0" w14:textId="2B412BEC" w:rsidR="00DA03FB" w:rsidRPr="003A2F86" w:rsidRDefault="00DA03FB" w:rsidP="00DA03FB">
            <w:pPr>
              <w:autoSpaceDE w:val="0"/>
              <w:autoSpaceDN w:val="0"/>
              <w:adjustRightInd w:val="0"/>
              <w:spacing w:after="0" w:line="240" w:lineRule="auto"/>
              <w:jc w:val="center"/>
              <w:rPr>
                <w:rFonts w:ascii="Arial" w:eastAsia="Times New Roman" w:hAnsi="Arial" w:cs="Arial"/>
                <w:sz w:val="16"/>
                <w:szCs w:val="18"/>
              </w:rPr>
            </w:pPr>
            <w:r w:rsidRPr="003A2F86">
              <w:rPr>
                <w:rFonts w:ascii="Arial" w:eastAsia="Times New Roman" w:hAnsi="Arial" w:cs="Arial"/>
                <w:sz w:val="16"/>
                <w:szCs w:val="18"/>
              </w:rPr>
              <w:t>5</w:t>
            </w:r>
          </w:p>
        </w:tc>
        <w:tc>
          <w:tcPr>
            <w:tcW w:w="1560" w:type="dxa"/>
            <w:vAlign w:val="center"/>
          </w:tcPr>
          <w:p w14:paraId="512DB170" w14:textId="7E3ED18D" w:rsidR="00DA03FB" w:rsidRPr="003A2F86" w:rsidRDefault="00DA03FB" w:rsidP="00DA03FB">
            <w:pPr>
              <w:autoSpaceDE w:val="0"/>
              <w:autoSpaceDN w:val="0"/>
              <w:adjustRightInd w:val="0"/>
              <w:spacing w:after="0" w:line="240" w:lineRule="auto"/>
              <w:jc w:val="center"/>
              <w:rPr>
                <w:rFonts w:ascii="Arial" w:eastAsia="Times New Roman" w:hAnsi="Arial" w:cs="Arial"/>
                <w:sz w:val="16"/>
                <w:szCs w:val="18"/>
              </w:rPr>
            </w:pPr>
            <w:r w:rsidRPr="003A2F86">
              <w:rPr>
                <w:rFonts w:ascii="Arial" w:eastAsia="Times New Roman" w:hAnsi="Arial" w:cs="Arial"/>
                <w:sz w:val="16"/>
                <w:szCs w:val="18"/>
              </w:rPr>
              <w:t>6</w:t>
            </w:r>
          </w:p>
        </w:tc>
        <w:tc>
          <w:tcPr>
            <w:tcW w:w="980" w:type="dxa"/>
            <w:vAlign w:val="center"/>
          </w:tcPr>
          <w:p w14:paraId="60FCE4CF" w14:textId="4AF9FFBD" w:rsidR="00DA03FB" w:rsidRPr="003A2F86" w:rsidRDefault="00DA03FB" w:rsidP="00DA03FB">
            <w:pPr>
              <w:autoSpaceDE w:val="0"/>
              <w:autoSpaceDN w:val="0"/>
              <w:adjustRightInd w:val="0"/>
              <w:spacing w:after="0" w:line="240" w:lineRule="auto"/>
              <w:jc w:val="center"/>
              <w:rPr>
                <w:rFonts w:ascii="Arial" w:eastAsia="Times New Roman" w:hAnsi="Arial" w:cs="Arial"/>
                <w:sz w:val="16"/>
                <w:szCs w:val="18"/>
              </w:rPr>
            </w:pPr>
            <w:r w:rsidRPr="003A2F86">
              <w:rPr>
                <w:rFonts w:ascii="Arial" w:eastAsia="Times New Roman" w:hAnsi="Arial" w:cs="Arial"/>
                <w:sz w:val="16"/>
                <w:szCs w:val="18"/>
              </w:rPr>
              <w:t>7</w:t>
            </w:r>
          </w:p>
        </w:tc>
        <w:tc>
          <w:tcPr>
            <w:tcW w:w="1275" w:type="dxa"/>
            <w:vAlign w:val="center"/>
          </w:tcPr>
          <w:p w14:paraId="60E2D235" w14:textId="73D4D6B1" w:rsidR="00DA03FB" w:rsidRPr="003A2F86" w:rsidRDefault="00DA03FB" w:rsidP="00DA03FB">
            <w:pPr>
              <w:autoSpaceDE w:val="0"/>
              <w:autoSpaceDN w:val="0"/>
              <w:adjustRightInd w:val="0"/>
              <w:spacing w:after="0" w:line="240" w:lineRule="auto"/>
              <w:jc w:val="center"/>
              <w:rPr>
                <w:rFonts w:ascii="Arial" w:eastAsia="Times New Roman" w:hAnsi="Arial" w:cs="Arial"/>
                <w:sz w:val="16"/>
                <w:szCs w:val="18"/>
              </w:rPr>
            </w:pPr>
            <w:r w:rsidRPr="003A2F86">
              <w:rPr>
                <w:rFonts w:ascii="Arial" w:eastAsia="Times New Roman" w:hAnsi="Arial" w:cs="Arial"/>
                <w:sz w:val="16"/>
                <w:szCs w:val="18"/>
              </w:rPr>
              <w:t>8</w:t>
            </w:r>
          </w:p>
        </w:tc>
        <w:tc>
          <w:tcPr>
            <w:tcW w:w="1220" w:type="dxa"/>
            <w:vAlign w:val="center"/>
          </w:tcPr>
          <w:p w14:paraId="3EE3943E" w14:textId="473D26C2" w:rsidR="00DA03FB" w:rsidRPr="003A2F86" w:rsidRDefault="00DA03FB" w:rsidP="00DA03FB">
            <w:pPr>
              <w:autoSpaceDE w:val="0"/>
              <w:autoSpaceDN w:val="0"/>
              <w:adjustRightInd w:val="0"/>
              <w:spacing w:after="0" w:line="240" w:lineRule="auto"/>
              <w:jc w:val="center"/>
              <w:rPr>
                <w:rFonts w:ascii="Arial" w:eastAsia="Times New Roman" w:hAnsi="Arial" w:cs="Arial"/>
                <w:sz w:val="16"/>
                <w:szCs w:val="18"/>
              </w:rPr>
            </w:pPr>
            <w:r w:rsidRPr="003A2F86">
              <w:rPr>
                <w:rFonts w:ascii="Arial" w:eastAsia="Times New Roman" w:hAnsi="Arial" w:cs="Arial"/>
                <w:sz w:val="16"/>
                <w:szCs w:val="18"/>
              </w:rPr>
              <w:t>9</w:t>
            </w:r>
          </w:p>
        </w:tc>
      </w:tr>
      <w:tr w:rsidR="0030139E" w:rsidRPr="0030139E" w14:paraId="0DE8C570" w14:textId="6A99B438" w:rsidTr="00DA03FB">
        <w:trPr>
          <w:jc w:val="center"/>
        </w:trPr>
        <w:tc>
          <w:tcPr>
            <w:tcW w:w="700" w:type="dxa"/>
            <w:vAlign w:val="center"/>
          </w:tcPr>
          <w:p w14:paraId="0B12593D" w14:textId="77777777" w:rsidR="00DA03FB" w:rsidRPr="0030139E" w:rsidRDefault="00DA03FB" w:rsidP="00DA03FB">
            <w:pPr>
              <w:autoSpaceDE w:val="0"/>
              <w:autoSpaceDN w:val="0"/>
              <w:adjustRightInd w:val="0"/>
              <w:spacing w:after="0" w:line="240" w:lineRule="auto"/>
              <w:jc w:val="center"/>
              <w:rPr>
                <w:rFonts w:ascii="Arial" w:eastAsia="Times New Roman" w:hAnsi="Arial" w:cs="Arial"/>
                <w:sz w:val="18"/>
                <w:szCs w:val="18"/>
              </w:rPr>
            </w:pPr>
            <w:r w:rsidRPr="0030139E">
              <w:rPr>
                <w:rFonts w:ascii="Arial" w:eastAsia="Times New Roman" w:hAnsi="Arial" w:cs="Arial"/>
                <w:sz w:val="18"/>
                <w:szCs w:val="18"/>
              </w:rPr>
              <w:t>1.</w:t>
            </w:r>
          </w:p>
        </w:tc>
        <w:tc>
          <w:tcPr>
            <w:tcW w:w="4040" w:type="dxa"/>
            <w:vAlign w:val="center"/>
          </w:tcPr>
          <w:p w14:paraId="59F6303B" w14:textId="542F96CA" w:rsidR="00DA03FB" w:rsidRPr="0030139E" w:rsidRDefault="00DA03FB" w:rsidP="00DA03FB">
            <w:pPr>
              <w:autoSpaceDE w:val="0"/>
              <w:autoSpaceDN w:val="0"/>
              <w:adjustRightInd w:val="0"/>
              <w:spacing w:after="0" w:line="240" w:lineRule="auto"/>
              <w:jc w:val="center"/>
              <w:rPr>
                <w:rFonts w:ascii="Arial" w:eastAsia="Times New Roman" w:hAnsi="Arial" w:cs="Arial"/>
                <w:sz w:val="18"/>
                <w:szCs w:val="18"/>
              </w:rPr>
            </w:pPr>
            <w:r w:rsidRPr="0030139E">
              <w:rPr>
                <w:rFonts w:ascii="Arial" w:eastAsia="Times New Roman" w:hAnsi="Arial" w:cs="Arial"/>
                <w:sz w:val="18"/>
                <w:szCs w:val="18"/>
              </w:rPr>
              <w:t>3.10.2014., Odluka Općinskog vijeća (</w:t>
            </w:r>
            <w:r w:rsidR="00970797" w:rsidRPr="0030139E">
              <w:rPr>
                <w:rFonts w:ascii="Arial" w:eastAsia="Times New Roman" w:hAnsi="Arial" w:cs="Arial"/>
                <w:sz w:val="18"/>
                <w:szCs w:val="18"/>
              </w:rPr>
              <w:t>S</w:t>
            </w:r>
            <w:r w:rsidRPr="0030139E">
              <w:rPr>
                <w:rFonts w:ascii="Arial" w:eastAsia="Times New Roman" w:hAnsi="Arial" w:cs="Arial"/>
                <w:sz w:val="18"/>
                <w:szCs w:val="18"/>
              </w:rPr>
              <w:t>l.gl.Općine Konavle 8/14), suglasnost Ministarstva financija, KLASA: 403-01/14-01/05, URBROJ: 513-05-01-14-3, 3.11.2014.</w:t>
            </w:r>
          </w:p>
        </w:tc>
        <w:tc>
          <w:tcPr>
            <w:tcW w:w="1374" w:type="dxa"/>
            <w:vAlign w:val="center"/>
          </w:tcPr>
          <w:p w14:paraId="5B2C7E33" w14:textId="0901A2C4" w:rsidR="00DA03FB" w:rsidRPr="0030139E" w:rsidRDefault="00DA03FB" w:rsidP="00DA03FB">
            <w:pPr>
              <w:autoSpaceDE w:val="0"/>
              <w:autoSpaceDN w:val="0"/>
              <w:adjustRightInd w:val="0"/>
              <w:spacing w:after="0" w:line="240" w:lineRule="auto"/>
              <w:jc w:val="center"/>
              <w:rPr>
                <w:rFonts w:ascii="Arial" w:eastAsia="Times New Roman" w:hAnsi="Arial" w:cs="Arial"/>
                <w:sz w:val="16"/>
                <w:szCs w:val="16"/>
              </w:rPr>
            </w:pPr>
            <w:r w:rsidRPr="0030139E">
              <w:rPr>
                <w:rFonts w:ascii="Arial" w:eastAsia="Times New Roman" w:hAnsi="Arial" w:cs="Arial"/>
                <w:sz w:val="16"/>
                <w:szCs w:val="16"/>
              </w:rPr>
              <w:t>Izgradnja kanalizacijskog i vodoopskrbnog sustava</w:t>
            </w:r>
          </w:p>
        </w:tc>
        <w:tc>
          <w:tcPr>
            <w:tcW w:w="1276" w:type="dxa"/>
            <w:vAlign w:val="center"/>
          </w:tcPr>
          <w:p w14:paraId="54A534AE" w14:textId="09D56912" w:rsidR="00DA03FB" w:rsidRPr="0030139E" w:rsidRDefault="00DA03FB" w:rsidP="00DA03FB">
            <w:pPr>
              <w:autoSpaceDE w:val="0"/>
              <w:autoSpaceDN w:val="0"/>
              <w:adjustRightInd w:val="0"/>
              <w:spacing w:after="0" w:line="240" w:lineRule="auto"/>
              <w:jc w:val="center"/>
              <w:rPr>
                <w:rFonts w:ascii="Arial" w:eastAsia="Times New Roman" w:hAnsi="Arial" w:cs="Arial"/>
                <w:sz w:val="18"/>
                <w:szCs w:val="18"/>
              </w:rPr>
            </w:pPr>
            <w:r w:rsidRPr="0030139E">
              <w:rPr>
                <w:rFonts w:ascii="Arial" w:eastAsia="Times New Roman" w:hAnsi="Arial" w:cs="Arial"/>
                <w:sz w:val="18"/>
                <w:szCs w:val="18"/>
              </w:rPr>
              <w:t>25.11.2014.</w:t>
            </w:r>
          </w:p>
        </w:tc>
        <w:tc>
          <w:tcPr>
            <w:tcW w:w="1984" w:type="dxa"/>
            <w:vAlign w:val="center"/>
          </w:tcPr>
          <w:p w14:paraId="60E2CA9B" w14:textId="77777777" w:rsidR="00DA03FB" w:rsidRPr="0030139E" w:rsidRDefault="00DA03FB" w:rsidP="00DA03FB">
            <w:pPr>
              <w:autoSpaceDE w:val="0"/>
              <w:autoSpaceDN w:val="0"/>
              <w:adjustRightInd w:val="0"/>
              <w:spacing w:after="0" w:line="240" w:lineRule="auto"/>
              <w:jc w:val="center"/>
              <w:rPr>
                <w:rFonts w:ascii="Arial" w:eastAsia="Times New Roman" w:hAnsi="Arial" w:cs="Arial"/>
                <w:sz w:val="18"/>
                <w:szCs w:val="18"/>
              </w:rPr>
            </w:pPr>
            <w:r w:rsidRPr="0030139E">
              <w:rPr>
                <w:rFonts w:ascii="Arial" w:eastAsia="Times New Roman" w:hAnsi="Arial" w:cs="Arial"/>
                <w:sz w:val="18"/>
                <w:szCs w:val="18"/>
              </w:rPr>
              <w:t>Erste &amp; Steiermärkische Bank d.d. Rijeka</w:t>
            </w:r>
          </w:p>
        </w:tc>
        <w:tc>
          <w:tcPr>
            <w:tcW w:w="1560" w:type="dxa"/>
            <w:vAlign w:val="center"/>
          </w:tcPr>
          <w:p w14:paraId="77837C83" w14:textId="77777777" w:rsidR="00DA03FB" w:rsidRPr="0030139E" w:rsidRDefault="00DA03FB" w:rsidP="00DA03FB">
            <w:pPr>
              <w:autoSpaceDE w:val="0"/>
              <w:autoSpaceDN w:val="0"/>
              <w:adjustRightInd w:val="0"/>
              <w:spacing w:after="0" w:line="240" w:lineRule="auto"/>
              <w:jc w:val="center"/>
              <w:rPr>
                <w:rFonts w:ascii="Arial" w:eastAsia="Times New Roman" w:hAnsi="Arial" w:cs="Arial"/>
                <w:sz w:val="18"/>
                <w:szCs w:val="18"/>
              </w:rPr>
            </w:pPr>
            <w:r w:rsidRPr="0030139E">
              <w:rPr>
                <w:rFonts w:ascii="Arial" w:eastAsia="Times New Roman" w:hAnsi="Arial" w:cs="Arial"/>
                <w:sz w:val="18"/>
                <w:szCs w:val="18"/>
              </w:rPr>
              <w:t>Konavosko komunalno društvo d.o.o. Čilipi</w:t>
            </w:r>
          </w:p>
        </w:tc>
        <w:tc>
          <w:tcPr>
            <w:tcW w:w="980" w:type="dxa"/>
            <w:vAlign w:val="center"/>
          </w:tcPr>
          <w:p w14:paraId="0A4CB67D" w14:textId="77777777" w:rsidR="00DA03FB" w:rsidRPr="0030139E" w:rsidRDefault="00DA03FB" w:rsidP="00DA03FB">
            <w:pPr>
              <w:autoSpaceDE w:val="0"/>
              <w:autoSpaceDN w:val="0"/>
              <w:adjustRightInd w:val="0"/>
              <w:spacing w:after="0" w:line="240" w:lineRule="auto"/>
              <w:jc w:val="center"/>
              <w:rPr>
                <w:rFonts w:ascii="Arial" w:eastAsia="Times New Roman" w:hAnsi="Arial" w:cs="Arial"/>
                <w:sz w:val="18"/>
                <w:szCs w:val="18"/>
              </w:rPr>
            </w:pPr>
            <w:r w:rsidRPr="0030139E">
              <w:rPr>
                <w:rFonts w:ascii="Arial" w:eastAsia="Times New Roman" w:hAnsi="Arial" w:cs="Arial"/>
                <w:sz w:val="18"/>
                <w:szCs w:val="18"/>
              </w:rPr>
              <w:t>EUR</w:t>
            </w:r>
          </w:p>
        </w:tc>
        <w:tc>
          <w:tcPr>
            <w:tcW w:w="1275" w:type="dxa"/>
            <w:vAlign w:val="center"/>
          </w:tcPr>
          <w:p w14:paraId="3C01877E" w14:textId="1999DCA8" w:rsidR="00DA03FB" w:rsidRPr="0030139E" w:rsidRDefault="00FF008E" w:rsidP="00DA03FB">
            <w:pPr>
              <w:autoSpaceDE w:val="0"/>
              <w:autoSpaceDN w:val="0"/>
              <w:adjustRightInd w:val="0"/>
              <w:spacing w:after="0" w:line="240" w:lineRule="auto"/>
              <w:jc w:val="right"/>
              <w:rPr>
                <w:rFonts w:ascii="Arial" w:eastAsia="Times New Roman" w:hAnsi="Arial" w:cs="Arial"/>
                <w:sz w:val="18"/>
                <w:szCs w:val="18"/>
              </w:rPr>
            </w:pPr>
            <w:r>
              <w:rPr>
                <w:rFonts w:ascii="Arial" w:eastAsia="Times New Roman" w:hAnsi="Arial" w:cs="Arial"/>
                <w:sz w:val="18"/>
                <w:szCs w:val="18"/>
              </w:rPr>
              <w:t>276.737,24</w:t>
            </w:r>
          </w:p>
        </w:tc>
        <w:tc>
          <w:tcPr>
            <w:tcW w:w="1220" w:type="dxa"/>
            <w:vAlign w:val="center"/>
          </w:tcPr>
          <w:p w14:paraId="209EF9FB" w14:textId="77777777" w:rsidR="00DA03FB" w:rsidRPr="0030139E" w:rsidRDefault="00DA03FB" w:rsidP="00DA03FB">
            <w:pPr>
              <w:autoSpaceDE w:val="0"/>
              <w:autoSpaceDN w:val="0"/>
              <w:adjustRightInd w:val="0"/>
              <w:spacing w:after="0" w:line="240" w:lineRule="auto"/>
              <w:jc w:val="center"/>
              <w:rPr>
                <w:rFonts w:ascii="Arial" w:eastAsia="Times New Roman" w:hAnsi="Arial" w:cs="Arial"/>
                <w:sz w:val="18"/>
                <w:szCs w:val="18"/>
              </w:rPr>
            </w:pPr>
            <w:r w:rsidRPr="0030139E">
              <w:rPr>
                <w:rFonts w:ascii="Arial" w:eastAsia="Times New Roman" w:hAnsi="Arial" w:cs="Arial"/>
                <w:sz w:val="18"/>
                <w:szCs w:val="18"/>
              </w:rPr>
              <w:t>2029.</w:t>
            </w:r>
          </w:p>
        </w:tc>
      </w:tr>
      <w:bookmarkEnd w:id="700"/>
    </w:tbl>
    <w:p w14:paraId="35EB1675" w14:textId="77777777" w:rsidR="00891119" w:rsidRPr="003A2F86" w:rsidRDefault="00891119" w:rsidP="00891119">
      <w:pPr>
        <w:autoSpaceDE w:val="0"/>
        <w:autoSpaceDN w:val="0"/>
        <w:adjustRightInd w:val="0"/>
        <w:spacing w:after="0" w:line="240" w:lineRule="auto"/>
        <w:jc w:val="both"/>
        <w:rPr>
          <w:rFonts w:ascii="Arial" w:eastAsia="Times New Roman" w:hAnsi="Arial" w:cs="Arial"/>
        </w:rPr>
      </w:pPr>
    </w:p>
    <w:p w14:paraId="16C945E5" w14:textId="77777777" w:rsidR="00891119" w:rsidRPr="00EB650B" w:rsidRDefault="00891119" w:rsidP="00891119">
      <w:pPr>
        <w:spacing w:after="0" w:line="240" w:lineRule="auto"/>
        <w:jc w:val="both"/>
        <w:rPr>
          <w:rFonts w:ascii="Arial" w:eastAsia="Times New Roman" w:hAnsi="Arial" w:cs="Arial"/>
          <w:b/>
          <w:iCs/>
          <w:sz w:val="20"/>
          <w:szCs w:val="20"/>
          <w:lang w:eastAsia="en-US"/>
        </w:rPr>
      </w:pPr>
      <w:r w:rsidRPr="00EB650B">
        <w:rPr>
          <w:rFonts w:ascii="Arial" w:eastAsia="Times New Roman" w:hAnsi="Arial" w:cs="Arial"/>
          <w:b/>
          <w:iCs/>
          <w:sz w:val="20"/>
          <w:szCs w:val="20"/>
          <w:lang w:eastAsia="en-US"/>
        </w:rPr>
        <w:t>Obrazloženje:</w:t>
      </w:r>
    </w:p>
    <w:p w14:paraId="428B2F4B" w14:textId="54BF9AA5" w:rsidR="00891119" w:rsidRPr="00EB650B" w:rsidRDefault="00891119" w:rsidP="00891119">
      <w:pPr>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U 2014. Općina je izdala jedno jamstvo društvu u vlasništvu, Konavoskom komunalnom društvu d.o.o. u iznosu 6.006.671,46 </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 Konavosko komunalno društvo je provelo postupak javne nabave investicijskog kredita (za izgradnju objekata vodoopskrbnog sustava Đurinići, Vitaljina i dijela kanalizacijskog sustava Cavtat) odabralo najpovoljnijeg ponuditelja (Erste&amp;Steiermärkische Bank d.d. Rijeka. Kredit je odobren u iznosu 4.500.000</w:t>
      </w:r>
      <w:r w:rsidR="001A45D0" w:rsidRPr="00EB650B">
        <w:rPr>
          <w:rFonts w:ascii="Arial" w:eastAsia="Times New Roman" w:hAnsi="Arial" w:cs="Arial"/>
          <w:iCs/>
          <w:sz w:val="20"/>
          <w:szCs w:val="20"/>
          <w:lang w:eastAsia="en-US"/>
        </w:rPr>
        <w:t xml:space="preserve"> </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 xml:space="preserve"> (dugoročni kunski kredit s valutnom klauzulom u EUR) </w:t>
      </w:r>
      <w:r w:rsidRPr="00EB650B">
        <w:rPr>
          <w:rFonts w:ascii="Arial" w:eastAsia="Times New Roman" w:hAnsi="Arial" w:cs="Arial"/>
          <w:iCs/>
          <w:sz w:val="20"/>
          <w:szCs w:val="20"/>
          <w:lang w:eastAsia="en-US"/>
        </w:rPr>
        <w:lastRenderedPageBreak/>
        <w:t xml:space="preserve">uz poček od tri godine (nakon iskorištenja kredita) i rok povrata kredita od 10 godina (120 mjeseci) nakon isteka počeka. Kamatna stopa je promjenjiva u visini tromjesečnog EURIBOR-a uvećana za kamatnu maržu od 3,91%. Način povrata je u 20 polugodišnjih obroka, dospijeće prvog obroka 31.12.2019. Utvrđen je </w:t>
      </w:r>
      <w:r w:rsidRPr="00EB650B">
        <w:rPr>
          <w:rFonts w:ascii="Arial" w:eastAsia="Times New Roman" w:hAnsi="Arial" w:cs="Arial"/>
          <w:sz w:val="20"/>
          <w:szCs w:val="20"/>
        </w:rPr>
        <w:t xml:space="preserve">povrat kredita u kunama uz primjenu </w:t>
      </w:r>
      <w:r w:rsidRPr="00EB650B">
        <w:rPr>
          <w:rFonts w:ascii="Arial" w:eastAsia="Times New Roman" w:hAnsi="Arial" w:cs="Arial"/>
          <w:b/>
          <w:sz w:val="20"/>
          <w:szCs w:val="20"/>
        </w:rPr>
        <w:t>prodajnog</w:t>
      </w:r>
      <w:r w:rsidRPr="00EB650B">
        <w:rPr>
          <w:rFonts w:ascii="Arial" w:eastAsia="Times New Roman" w:hAnsi="Arial" w:cs="Arial"/>
          <w:sz w:val="20"/>
          <w:szCs w:val="20"/>
        </w:rPr>
        <w:t xml:space="preserve"> tečaja HNB za 1 EUR na dan uplate. </w:t>
      </w:r>
      <w:r w:rsidRPr="00EB650B">
        <w:rPr>
          <w:rFonts w:ascii="Arial" w:eastAsia="Times New Roman" w:hAnsi="Arial" w:cs="Arial"/>
          <w:iCs/>
          <w:sz w:val="20"/>
          <w:szCs w:val="20"/>
          <w:lang w:eastAsia="en-US"/>
        </w:rPr>
        <w:t>Ukupni iznos jamstva (</w:t>
      </w:r>
      <w:r w:rsidRPr="00EB650B">
        <w:rPr>
          <w:rFonts w:ascii="Arial" w:eastAsia="Times New Roman" w:hAnsi="Arial" w:cs="Arial"/>
          <w:sz w:val="20"/>
          <w:szCs w:val="20"/>
        </w:rPr>
        <w:t xml:space="preserve">6.006.671,46 </w:t>
      </w:r>
      <w:r w:rsidR="00A8623C" w:rsidRPr="00EB650B">
        <w:rPr>
          <w:rFonts w:ascii="Arial" w:eastAsia="Times New Roman" w:hAnsi="Arial" w:cs="Arial"/>
          <w:sz w:val="20"/>
          <w:szCs w:val="20"/>
        </w:rPr>
        <w:t>kn</w:t>
      </w:r>
      <w:r w:rsidRPr="00EB650B">
        <w:rPr>
          <w:rFonts w:ascii="Arial" w:eastAsia="Times New Roman" w:hAnsi="Arial" w:cs="Arial"/>
          <w:sz w:val="20"/>
          <w:szCs w:val="20"/>
        </w:rPr>
        <w:t>)</w:t>
      </w:r>
      <w:r w:rsidRPr="00EB650B">
        <w:rPr>
          <w:rFonts w:ascii="Arial" w:eastAsia="Times New Roman" w:hAnsi="Arial" w:cs="Arial"/>
          <w:iCs/>
          <w:sz w:val="20"/>
          <w:szCs w:val="20"/>
          <w:lang w:eastAsia="en-US"/>
        </w:rPr>
        <w:t xml:space="preserve"> je utvrđen na način da je glavnica kredita (4.500.000</w:t>
      </w:r>
      <w:r w:rsidR="001A45D0" w:rsidRPr="00EB650B">
        <w:rPr>
          <w:rFonts w:ascii="Arial" w:eastAsia="Times New Roman" w:hAnsi="Arial" w:cs="Arial"/>
          <w:iCs/>
          <w:sz w:val="20"/>
          <w:szCs w:val="20"/>
          <w:lang w:eastAsia="en-US"/>
        </w:rPr>
        <w:t xml:space="preserve"> </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 xml:space="preserve">) uvećana za kamate (1.472.921,46 </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 i druge na</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ade (na</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 xml:space="preserve">ada za obradu kredita 0,75% jednokratno, 33.750 </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 xml:space="preserve">). </w:t>
      </w:r>
    </w:p>
    <w:p w14:paraId="70A22690" w14:textId="77777777" w:rsidR="00891119" w:rsidRPr="00EB650B" w:rsidRDefault="00891119" w:rsidP="00891119">
      <w:pPr>
        <w:spacing w:after="0" w:line="240" w:lineRule="auto"/>
        <w:jc w:val="both"/>
        <w:rPr>
          <w:rFonts w:ascii="Arial" w:eastAsia="Times New Roman" w:hAnsi="Arial" w:cs="Arial"/>
          <w:iCs/>
          <w:sz w:val="20"/>
          <w:szCs w:val="20"/>
          <w:lang w:eastAsia="en-US"/>
        </w:rPr>
      </w:pPr>
    </w:p>
    <w:p w14:paraId="17AE45BF" w14:textId="0EFD204D" w:rsidR="00891119" w:rsidRPr="00EB650B" w:rsidRDefault="00891119" w:rsidP="00891119">
      <w:pPr>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Općinsko vijeće je na sjednici održanoj 3. listopada 2014. donijelo Odluku o davanju jamstva za ispunjenje novčanih obveza na način da je odobrilo upis založnog prava (hipoteke) u zemljišnim </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jigama na čestici zemljišta u vlasništvu Općine, a u korist poslovne banke. Ministarstvo financija je 3. studenoga 2014. dalo suglasnost Općini za davanje jamstva za kredit Konavoskog komunalnog društva kod poslovne banke Erste&amp;Steiermärkische Bank d.d. Rijeka. Ugovor o kreditu između korisnika kredita (Konavosko komunalno društvo d.o.o.) i poslovne banke, kao i Sporazum o osiguranju novčane tražbine zasnivanjem založnog prava (hipoteke) na nekretnini između Općine, poslovne banke i korisnika kredita (Konavoskog komunalnog društva) zaključen je 25. studenoga 2014. Dana 7.7.2016. godine korisnik kredita (Konavosko komunalno društvo) i poslovna banka zaključili su dodatak ugovoru o dugoročnom kreditu, a njime je utvrđeno produženje roka korištenja kredita do 31.12.2016. uz plaćanje na</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ade za izmjenu ugovora u visini 0,1% iznosa kredita.</w:t>
      </w:r>
    </w:p>
    <w:p w14:paraId="13B6655D" w14:textId="77777777" w:rsidR="00891119" w:rsidRPr="00EB650B" w:rsidRDefault="00891119" w:rsidP="00891119">
      <w:pPr>
        <w:spacing w:after="0" w:line="240" w:lineRule="auto"/>
        <w:jc w:val="both"/>
        <w:rPr>
          <w:rFonts w:ascii="Arial" w:eastAsia="Times New Roman" w:hAnsi="Arial" w:cs="Arial"/>
          <w:iCs/>
          <w:sz w:val="20"/>
          <w:szCs w:val="20"/>
          <w:lang w:eastAsia="en-US"/>
        </w:rPr>
      </w:pPr>
    </w:p>
    <w:p w14:paraId="663E6BF7" w14:textId="7CEF1C88" w:rsidR="002D205C" w:rsidRPr="00EB650B" w:rsidRDefault="00891119" w:rsidP="00891119">
      <w:pPr>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Kredit je iskorišten </w:t>
      </w:r>
      <w:r w:rsidR="001A45D0" w:rsidRPr="00EB650B">
        <w:rPr>
          <w:rFonts w:ascii="Arial" w:eastAsia="Times New Roman" w:hAnsi="Arial" w:cs="Arial"/>
          <w:iCs/>
          <w:sz w:val="20"/>
          <w:szCs w:val="20"/>
          <w:lang w:eastAsia="en-US"/>
        </w:rPr>
        <w:t xml:space="preserve">tijekom 2015. i 2016. </w:t>
      </w:r>
      <w:r w:rsidRPr="00EB650B">
        <w:rPr>
          <w:rFonts w:ascii="Arial" w:eastAsia="Times New Roman" w:hAnsi="Arial" w:cs="Arial"/>
          <w:iCs/>
          <w:sz w:val="20"/>
          <w:szCs w:val="20"/>
          <w:lang w:eastAsia="en-US"/>
        </w:rPr>
        <w:t xml:space="preserve">u iznosu 4.518.819,52 </w:t>
      </w:r>
      <w:r w:rsidR="00A8623C" w:rsidRPr="00EB650B">
        <w:rPr>
          <w:rFonts w:ascii="Arial" w:eastAsia="Times New Roman" w:hAnsi="Arial" w:cs="Arial"/>
          <w:iCs/>
          <w:sz w:val="20"/>
          <w:szCs w:val="20"/>
          <w:lang w:eastAsia="en-US"/>
        </w:rPr>
        <w:t>kn</w:t>
      </w:r>
      <w:r w:rsidRPr="00EB650B">
        <w:rPr>
          <w:rFonts w:ascii="Arial" w:eastAsia="Times New Roman" w:hAnsi="Arial" w:cs="Arial"/>
          <w:iCs/>
          <w:sz w:val="20"/>
          <w:szCs w:val="20"/>
          <w:lang w:eastAsia="en-US"/>
        </w:rPr>
        <w:t xml:space="preserve"> (593.907,07 EUR). Do</w:t>
      </w:r>
      <w:r w:rsidR="001A45D0" w:rsidRPr="00EB650B">
        <w:rPr>
          <w:rFonts w:ascii="Arial" w:eastAsia="Times New Roman" w:hAnsi="Arial" w:cs="Arial"/>
          <w:iCs/>
          <w:sz w:val="20"/>
          <w:szCs w:val="20"/>
          <w:lang w:eastAsia="en-US"/>
        </w:rPr>
        <w:t xml:space="preserve"> dospijeća </w:t>
      </w:r>
      <w:r w:rsidRPr="00EB650B">
        <w:rPr>
          <w:rFonts w:ascii="Arial" w:eastAsia="Times New Roman" w:hAnsi="Arial" w:cs="Arial"/>
          <w:iCs/>
          <w:sz w:val="20"/>
          <w:szCs w:val="20"/>
          <w:lang w:eastAsia="en-US"/>
        </w:rPr>
        <w:t xml:space="preserve">prvog polugodišnjeg obroka </w:t>
      </w:r>
      <w:r w:rsidR="001A45D0" w:rsidRPr="00EB650B">
        <w:rPr>
          <w:rFonts w:ascii="Arial" w:eastAsia="Times New Roman" w:hAnsi="Arial" w:cs="Arial"/>
          <w:iCs/>
          <w:sz w:val="20"/>
          <w:szCs w:val="20"/>
          <w:lang w:eastAsia="en-US"/>
        </w:rPr>
        <w:t>(31</w:t>
      </w:r>
      <w:r w:rsidRPr="00EB650B">
        <w:rPr>
          <w:rFonts w:ascii="Arial" w:eastAsia="Times New Roman" w:hAnsi="Arial" w:cs="Arial"/>
          <w:iCs/>
          <w:sz w:val="20"/>
          <w:szCs w:val="20"/>
          <w:lang w:eastAsia="en-US"/>
        </w:rPr>
        <w:t>.12.2019.</w:t>
      </w:r>
      <w:r w:rsidR="001A45D0" w:rsidRPr="00EB650B">
        <w:rPr>
          <w:rFonts w:ascii="Arial" w:eastAsia="Times New Roman" w:hAnsi="Arial" w:cs="Arial"/>
          <w:iCs/>
          <w:sz w:val="20"/>
          <w:szCs w:val="20"/>
          <w:lang w:eastAsia="en-US"/>
        </w:rPr>
        <w:t xml:space="preserve">) plaćaju se </w:t>
      </w:r>
      <w:r w:rsidRPr="00EB650B">
        <w:rPr>
          <w:rFonts w:ascii="Arial" w:eastAsia="Times New Roman" w:hAnsi="Arial" w:cs="Arial"/>
          <w:iCs/>
          <w:sz w:val="20"/>
          <w:szCs w:val="20"/>
          <w:lang w:eastAsia="en-US"/>
        </w:rPr>
        <w:t>kamate u počeku čiji obroci godišnje iznose približno 21.000 EUR, odnosno polugodišnji obrok cca 10.500 EUR)</w:t>
      </w:r>
      <w:r w:rsidR="001A45D0" w:rsidRPr="00EB650B">
        <w:rPr>
          <w:rFonts w:ascii="Arial" w:eastAsia="Times New Roman" w:hAnsi="Arial" w:cs="Arial"/>
          <w:iCs/>
          <w:sz w:val="20"/>
          <w:szCs w:val="20"/>
          <w:lang w:eastAsia="en-US"/>
        </w:rPr>
        <w:t>.</w:t>
      </w:r>
    </w:p>
    <w:p w14:paraId="1C75E5C8" w14:textId="604228B3" w:rsidR="002D205C" w:rsidRPr="00EB650B" w:rsidRDefault="009C4750" w:rsidP="00891119">
      <w:pPr>
        <w:spacing w:after="0" w:line="240" w:lineRule="auto"/>
        <w:jc w:val="both"/>
        <w:rPr>
          <w:rFonts w:ascii="Arial" w:eastAsia="Times New Roman" w:hAnsi="Arial" w:cs="Arial"/>
          <w:iCs/>
          <w:sz w:val="20"/>
          <w:szCs w:val="20"/>
          <w:lang w:eastAsia="en-US"/>
        </w:rPr>
      </w:pPr>
      <w:r w:rsidRPr="00EB650B">
        <w:rPr>
          <w:rFonts w:ascii="Arial" w:eastAsia="Times New Roman" w:hAnsi="Arial" w:cs="Arial"/>
          <w:sz w:val="20"/>
          <w:szCs w:val="20"/>
        </w:rPr>
        <w:t>Uslijed</w:t>
      </w:r>
      <w:r w:rsidR="002D205C" w:rsidRPr="00EB650B">
        <w:rPr>
          <w:rFonts w:ascii="Arial" w:eastAsia="Times New Roman" w:hAnsi="Arial" w:cs="Arial"/>
          <w:sz w:val="20"/>
          <w:szCs w:val="20"/>
        </w:rPr>
        <w:t xml:space="preserve"> pada prihoda uzrokovanih posljedicama bolesti COVID-19, poslovna banka je društvu odobrila odgodu otplate kredita do 30.6.2021., te je utvrđen i novi otplatni plan s izmjenama plaćanja visine glavnice kredita i kamata. Krajnji rok otplate kredita je ostao </w:t>
      </w:r>
      <w:r w:rsidR="00891119" w:rsidRPr="00EB650B">
        <w:rPr>
          <w:rFonts w:ascii="Arial" w:eastAsia="Times New Roman" w:hAnsi="Arial" w:cs="Arial"/>
          <w:b/>
          <w:iCs/>
          <w:sz w:val="20"/>
          <w:szCs w:val="20"/>
          <w:lang w:eastAsia="en-US"/>
        </w:rPr>
        <w:t>30.06.2029.</w:t>
      </w:r>
      <w:r w:rsidR="00891119" w:rsidRPr="00EB650B">
        <w:rPr>
          <w:rFonts w:ascii="Arial" w:eastAsia="Times New Roman" w:hAnsi="Arial" w:cs="Arial"/>
          <w:iCs/>
          <w:sz w:val="20"/>
          <w:szCs w:val="20"/>
          <w:lang w:eastAsia="en-US"/>
        </w:rPr>
        <w:t xml:space="preserve"> </w:t>
      </w:r>
      <w:r w:rsidR="00FF43B2" w:rsidRPr="00EB650B">
        <w:rPr>
          <w:rFonts w:ascii="Arial" w:eastAsia="Times New Roman" w:hAnsi="Arial" w:cs="Arial"/>
          <w:iCs/>
          <w:sz w:val="20"/>
          <w:szCs w:val="20"/>
          <w:lang w:eastAsia="en-US"/>
        </w:rPr>
        <w:t>Prema dodatku ugovoru iz veljače 2020. godine, kamate se plaćaju u visini tromjesečnog EURIBOR-a uvećana za kamatnu maržu od 1,50% godišnje</w:t>
      </w:r>
      <w:r w:rsidR="00AF0770" w:rsidRPr="00EB650B">
        <w:rPr>
          <w:rFonts w:ascii="Arial" w:eastAsia="Times New Roman" w:hAnsi="Arial" w:cs="Arial"/>
          <w:iCs/>
          <w:sz w:val="20"/>
          <w:szCs w:val="20"/>
          <w:lang w:eastAsia="en-US"/>
        </w:rPr>
        <w:t>. Kamatna stopa je vezana uz promjenu tromjesečnog EURIBOR-a. U slučaju da je vrijednost tromjesečnog EURIBOR-a niža od nule, ugovoreno je da će se primjenjivati EURIBOR u iznosu nula.</w:t>
      </w:r>
    </w:p>
    <w:p w14:paraId="575B645F" w14:textId="5CCABCB4" w:rsidR="00891119" w:rsidRPr="00EB650B" w:rsidRDefault="009C4750" w:rsidP="00891119">
      <w:pPr>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P</w:t>
      </w:r>
      <w:r w:rsidR="00891119" w:rsidRPr="00EB650B">
        <w:rPr>
          <w:rFonts w:ascii="Arial" w:eastAsia="Times New Roman" w:hAnsi="Arial" w:cs="Arial"/>
          <w:iCs/>
          <w:sz w:val="20"/>
          <w:szCs w:val="20"/>
          <w:lang w:eastAsia="en-US"/>
        </w:rPr>
        <w:t xml:space="preserve">olugodišnji obrok glavnice kredita iznosi </w:t>
      </w:r>
      <w:r w:rsidR="002D205C" w:rsidRPr="00EB650B">
        <w:rPr>
          <w:rFonts w:ascii="Arial" w:eastAsia="Times New Roman" w:hAnsi="Arial" w:cs="Arial"/>
          <w:iCs/>
          <w:sz w:val="20"/>
          <w:szCs w:val="20"/>
          <w:lang w:eastAsia="en-US"/>
        </w:rPr>
        <w:t>29.695,35</w:t>
      </w:r>
      <w:r w:rsidR="00891119" w:rsidRPr="00EB650B">
        <w:rPr>
          <w:rFonts w:ascii="Arial" w:eastAsia="Times New Roman" w:hAnsi="Arial" w:cs="Arial"/>
          <w:iCs/>
          <w:sz w:val="20"/>
          <w:szCs w:val="20"/>
          <w:lang w:eastAsia="en-US"/>
        </w:rPr>
        <w:t xml:space="preserve"> EUR, odnosno </w:t>
      </w:r>
      <w:r w:rsidR="00891119" w:rsidRPr="00EB650B">
        <w:rPr>
          <w:rFonts w:ascii="Arial" w:eastAsia="Times New Roman" w:hAnsi="Arial" w:cs="Arial"/>
          <w:b/>
          <w:iCs/>
          <w:sz w:val="20"/>
          <w:szCs w:val="20"/>
          <w:lang w:eastAsia="en-US"/>
        </w:rPr>
        <w:t>godišnja</w:t>
      </w:r>
      <w:r w:rsidR="00891119" w:rsidRPr="00EB650B">
        <w:rPr>
          <w:rFonts w:ascii="Arial" w:eastAsia="Times New Roman" w:hAnsi="Arial" w:cs="Arial"/>
          <w:iCs/>
          <w:sz w:val="20"/>
          <w:szCs w:val="20"/>
          <w:lang w:eastAsia="en-US"/>
        </w:rPr>
        <w:t xml:space="preserve"> obveza za glavnicu kredita iznosi </w:t>
      </w:r>
      <w:r w:rsidR="002D205C" w:rsidRPr="00EB650B">
        <w:rPr>
          <w:rFonts w:ascii="Arial" w:eastAsia="Times New Roman" w:hAnsi="Arial" w:cs="Arial"/>
          <w:iCs/>
          <w:sz w:val="20"/>
          <w:szCs w:val="20"/>
          <w:lang w:eastAsia="en-US"/>
        </w:rPr>
        <w:t>59.390,70</w:t>
      </w:r>
      <w:r w:rsidR="00891119" w:rsidRPr="00EB650B">
        <w:rPr>
          <w:rFonts w:ascii="Arial" w:eastAsia="Times New Roman" w:hAnsi="Arial" w:cs="Arial"/>
          <w:iCs/>
          <w:sz w:val="20"/>
          <w:szCs w:val="20"/>
          <w:lang w:eastAsia="en-US"/>
        </w:rPr>
        <w:t xml:space="preserve"> EUR. Pored toga, </w:t>
      </w:r>
      <w:r w:rsidR="00891119" w:rsidRPr="00EB650B">
        <w:rPr>
          <w:rFonts w:ascii="Arial" w:eastAsia="Times New Roman" w:hAnsi="Arial" w:cs="Arial"/>
          <w:b/>
          <w:iCs/>
          <w:sz w:val="20"/>
          <w:szCs w:val="20"/>
          <w:lang w:eastAsia="en-US"/>
        </w:rPr>
        <w:t>godišnja</w:t>
      </w:r>
      <w:r w:rsidR="00891119" w:rsidRPr="00EB650B">
        <w:rPr>
          <w:rFonts w:ascii="Arial" w:eastAsia="Times New Roman" w:hAnsi="Arial" w:cs="Arial"/>
          <w:iCs/>
          <w:sz w:val="20"/>
          <w:szCs w:val="20"/>
          <w:lang w:eastAsia="en-US"/>
        </w:rPr>
        <w:t xml:space="preserve"> obveza za kamate iznosi približno od </w:t>
      </w:r>
      <w:r w:rsidR="002D205C" w:rsidRPr="00EB650B">
        <w:rPr>
          <w:rFonts w:ascii="Arial" w:eastAsia="Times New Roman" w:hAnsi="Arial" w:cs="Arial"/>
          <w:iCs/>
          <w:sz w:val="20"/>
          <w:szCs w:val="20"/>
          <w:lang w:eastAsia="en-US"/>
        </w:rPr>
        <w:t>16.670</w:t>
      </w:r>
      <w:r w:rsidR="00891119" w:rsidRPr="00EB650B">
        <w:rPr>
          <w:rFonts w:ascii="Arial" w:eastAsia="Times New Roman" w:hAnsi="Arial" w:cs="Arial"/>
          <w:iCs/>
          <w:sz w:val="20"/>
          <w:szCs w:val="20"/>
          <w:lang w:eastAsia="en-US"/>
        </w:rPr>
        <w:t xml:space="preserve"> EUR na početku otplatnog razdoblja do približno 1.</w:t>
      </w:r>
      <w:r w:rsidR="002D205C" w:rsidRPr="00EB650B">
        <w:rPr>
          <w:rFonts w:ascii="Arial" w:eastAsia="Times New Roman" w:hAnsi="Arial" w:cs="Arial"/>
          <w:iCs/>
          <w:sz w:val="20"/>
          <w:szCs w:val="20"/>
          <w:lang w:eastAsia="en-US"/>
        </w:rPr>
        <w:t>60</w:t>
      </w:r>
      <w:r w:rsidR="00891119" w:rsidRPr="00EB650B">
        <w:rPr>
          <w:rFonts w:ascii="Arial" w:eastAsia="Times New Roman" w:hAnsi="Arial" w:cs="Arial"/>
          <w:iCs/>
          <w:sz w:val="20"/>
          <w:szCs w:val="20"/>
          <w:lang w:eastAsia="en-US"/>
        </w:rPr>
        <w:t xml:space="preserve">0 EUR na kraju otplatnog razdoblja. </w:t>
      </w:r>
    </w:p>
    <w:p w14:paraId="5FCDE604" w14:textId="77777777" w:rsidR="00B66515" w:rsidRPr="00EB650B" w:rsidRDefault="00B66515" w:rsidP="00B66515">
      <w:pPr>
        <w:autoSpaceDE w:val="0"/>
        <w:autoSpaceDN w:val="0"/>
        <w:adjustRightInd w:val="0"/>
        <w:spacing w:after="0" w:line="240" w:lineRule="auto"/>
        <w:jc w:val="both"/>
        <w:rPr>
          <w:rFonts w:ascii="Arial" w:eastAsia="Times New Roman" w:hAnsi="Arial" w:cs="Arial"/>
          <w:iCs/>
          <w:sz w:val="20"/>
          <w:szCs w:val="20"/>
          <w:lang w:eastAsia="en-US"/>
        </w:rPr>
      </w:pPr>
    </w:p>
    <w:p w14:paraId="0248AAA0" w14:textId="30F6FE9D" w:rsidR="009C4750" w:rsidRPr="00EB650B" w:rsidRDefault="00B66515" w:rsidP="009C4750">
      <w:pPr>
        <w:autoSpaceDE w:val="0"/>
        <w:autoSpaceDN w:val="0"/>
        <w:adjustRightInd w:val="0"/>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U 2017. iz općinskog proračuna za ovo jamstvo doznačena su sredstva (kamata po kreditu Erste&amp;Steiermärkische Bank d.d. Rijeka) komunalnom društvu u iznosu 159.201,88 kn, u 2018. u iznosu 160.241,13 kn, a u 2019. u iznosu 160.393,98 kn. U 2020. nisu doznačavana sredstva komunalnom društvu za otplatu kredita</w:t>
      </w:r>
      <w:r w:rsidR="002F3AC2" w:rsidRPr="00EB650B">
        <w:rPr>
          <w:rFonts w:ascii="Arial" w:eastAsia="Times New Roman" w:hAnsi="Arial" w:cs="Arial"/>
          <w:iCs/>
          <w:sz w:val="20"/>
          <w:szCs w:val="20"/>
          <w:lang w:eastAsia="en-US"/>
        </w:rPr>
        <w:t>.</w:t>
      </w:r>
      <w:r w:rsidR="009C4750" w:rsidRPr="00EB650B">
        <w:rPr>
          <w:rFonts w:ascii="Arial" w:eastAsia="Times New Roman" w:hAnsi="Arial" w:cs="Arial"/>
          <w:iCs/>
          <w:sz w:val="20"/>
          <w:szCs w:val="20"/>
          <w:lang w:eastAsia="en-US"/>
        </w:rPr>
        <w:t xml:space="preserve"> Komunalnom društvu su u 2021. doznačena sredstva u iznosu 540.585,01 kn u obliku kapitalne pomoći.</w:t>
      </w:r>
    </w:p>
    <w:p w14:paraId="5868F975" w14:textId="68241A84" w:rsidR="009C4750" w:rsidRPr="00EB650B" w:rsidRDefault="00891119" w:rsidP="009C4750">
      <w:pPr>
        <w:autoSpaceDE w:val="0"/>
        <w:autoSpaceDN w:val="0"/>
        <w:adjustRightInd w:val="0"/>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 xml:space="preserve">Stanje aktivnih jamstava (danog društvu u vlasništvu 2014. godine) </w:t>
      </w:r>
      <w:r w:rsidR="00A711F3" w:rsidRPr="00EB650B">
        <w:rPr>
          <w:rFonts w:ascii="Arial" w:eastAsia="Times New Roman" w:hAnsi="Arial" w:cs="Arial"/>
          <w:iCs/>
          <w:sz w:val="20"/>
          <w:szCs w:val="20"/>
          <w:lang w:eastAsia="en-US"/>
        </w:rPr>
        <w:t>koncem</w:t>
      </w:r>
      <w:r w:rsidRPr="00EB650B">
        <w:rPr>
          <w:rFonts w:ascii="Arial" w:eastAsia="Times New Roman" w:hAnsi="Arial" w:cs="Arial"/>
          <w:iCs/>
          <w:sz w:val="20"/>
          <w:szCs w:val="20"/>
          <w:lang w:eastAsia="en-US"/>
        </w:rPr>
        <w:t xml:space="preserve"> 20</w:t>
      </w:r>
      <w:r w:rsidR="00B66515" w:rsidRPr="00EB650B">
        <w:rPr>
          <w:rFonts w:ascii="Arial" w:eastAsia="Times New Roman" w:hAnsi="Arial" w:cs="Arial"/>
          <w:iCs/>
          <w:sz w:val="20"/>
          <w:szCs w:val="20"/>
          <w:lang w:eastAsia="en-US"/>
        </w:rPr>
        <w:t>2</w:t>
      </w:r>
      <w:r w:rsidR="00BE15EE" w:rsidRPr="00EB650B">
        <w:rPr>
          <w:rFonts w:ascii="Arial" w:eastAsia="Times New Roman" w:hAnsi="Arial" w:cs="Arial"/>
          <w:iCs/>
          <w:sz w:val="20"/>
          <w:szCs w:val="20"/>
          <w:lang w:eastAsia="en-US"/>
        </w:rPr>
        <w:t>2</w:t>
      </w:r>
      <w:r w:rsidRPr="00EB650B">
        <w:rPr>
          <w:rFonts w:ascii="Arial" w:eastAsia="Times New Roman" w:hAnsi="Arial" w:cs="Arial"/>
          <w:iCs/>
          <w:sz w:val="20"/>
          <w:szCs w:val="20"/>
          <w:lang w:eastAsia="en-US"/>
        </w:rPr>
        <w:t>. po spomenutom jamstvu</w:t>
      </w:r>
      <w:r w:rsidR="00A22BA5" w:rsidRPr="00EB650B">
        <w:rPr>
          <w:rFonts w:ascii="Arial" w:eastAsia="Times New Roman" w:hAnsi="Arial" w:cs="Arial"/>
          <w:iCs/>
          <w:sz w:val="20"/>
          <w:szCs w:val="20"/>
          <w:lang w:eastAsia="en-US"/>
        </w:rPr>
        <w:t xml:space="preserve"> je iznosilo</w:t>
      </w:r>
      <w:r w:rsidRPr="00EB650B">
        <w:rPr>
          <w:rFonts w:ascii="Arial" w:eastAsia="Times New Roman" w:hAnsi="Arial" w:cs="Arial"/>
          <w:iCs/>
          <w:sz w:val="20"/>
          <w:szCs w:val="20"/>
          <w:lang w:eastAsia="en-US"/>
        </w:rPr>
        <w:t xml:space="preserve"> </w:t>
      </w:r>
      <w:r w:rsidR="00BE15EE" w:rsidRPr="00EB650B">
        <w:rPr>
          <w:rFonts w:ascii="Arial" w:eastAsia="Times New Roman" w:hAnsi="Arial" w:cs="Arial"/>
          <w:iCs/>
          <w:sz w:val="20"/>
          <w:szCs w:val="20"/>
          <w:lang w:eastAsia="en-US"/>
        </w:rPr>
        <w:t xml:space="preserve">3.565.861,01 kn (473.271,09 €, </w:t>
      </w:r>
      <w:r w:rsidR="00C37D13" w:rsidRPr="00EB650B">
        <w:rPr>
          <w:rFonts w:ascii="Arial" w:eastAsia="Times New Roman" w:hAnsi="Arial" w:cs="Arial"/>
          <w:iCs/>
          <w:sz w:val="20"/>
          <w:szCs w:val="20"/>
          <w:lang w:eastAsia="en-US"/>
        </w:rPr>
        <w:t>evidentirano u izvanbilančnoj evidenciji).</w:t>
      </w:r>
      <w:r w:rsidR="0043415A" w:rsidRPr="00EB650B">
        <w:rPr>
          <w:rFonts w:ascii="Arial" w:eastAsia="Times New Roman" w:hAnsi="Arial" w:cs="Arial"/>
          <w:iCs/>
          <w:sz w:val="20"/>
          <w:szCs w:val="20"/>
          <w:lang w:eastAsia="en-US"/>
        </w:rPr>
        <w:t xml:space="preserve"> </w:t>
      </w:r>
      <w:r w:rsidR="009C4750" w:rsidRPr="00EB650B">
        <w:rPr>
          <w:rFonts w:ascii="Arial" w:eastAsia="Times New Roman" w:hAnsi="Arial" w:cs="Arial"/>
          <w:iCs/>
          <w:sz w:val="20"/>
          <w:szCs w:val="20"/>
          <w:lang w:eastAsia="en-US"/>
        </w:rPr>
        <w:t xml:space="preserve">Komunalno društvo je </w:t>
      </w:r>
      <w:r w:rsidR="007509BA" w:rsidRPr="00EB650B">
        <w:rPr>
          <w:rFonts w:ascii="Arial" w:eastAsia="Times New Roman" w:hAnsi="Arial" w:cs="Arial"/>
          <w:iCs/>
          <w:sz w:val="20"/>
          <w:szCs w:val="20"/>
          <w:lang w:eastAsia="en-US"/>
        </w:rPr>
        <w:t>za</w:t>
      </w:r>
      <w:r w:rsidR="009C4750" w:rsidRPr="00EB650B">
        <w:rPr>
          <w:rFonts w:ascii="Arial" w:eastAsia="Times New Roman" w:hAnsi="Arial" w:cs="Arial"/>
          <w:iCs/>
          <w:sz w:val="20"/>
          <w:szCs w:val="20"/>
          <w:lang w:eastAsia="en-US"/>
        </w:rPr>
        <w:t xml:space="preserve"> 2022. otplatilo obrok</w:t>
      </w:r>
      <w:r w:rsidR="007509BA" w:rsidRPr="00EB650B">
        <w:rPr>
          <w:rFonts w:ascii="Arial" w:eastAsia="Times New Roman" w:hAnsi="Arial" w:cs="Arial"/>
          <w:iCs/>
          <w:sz w:val="20"/>
          <w:szCs w:val="20"/>
          <w:lang w:eastAsia="en-US"/>
        </w:rPr>
        <w:t>e</w:t>
      </w:r>
      <w:r w:rsidR="009C4750" w:rsidRPr="00EB650B">
        <w:rPr>
          <w:rFonts w:ascii="Arial" w:eastAsia="Times New Roman" w:hAnsi="Arial" w:cs="Arial"/>
          <w:iCs/>
          <w:sz w:val="20"/>
          <w:szCs w:val="20"/>
          <w:lang w:eastAsia="en-US"/>
        </w:rPr>
        <w:t xml:space="preserve"> u visini </w:t>
      </w:r>
      <w:r w:rsidR="007509BA" w:rsidRPr="00EB650B">
        <w:rPr>
          <w:rFonts w:ascii="Arial" w:eastAsia="Times New Roman" w:hAnsi="Arial" w:cs="Arial"/>
          <w:iCs/>
          <w:sz w:val="20"/>
          <w:szCs w:val="20"/>
          <w:lang w:eastAsia="en-US"/>
        </w:rPr>
        <w:t>59.390,70</w:t>
      </w:r>
      <w:r w:rsidR="009C4750" w:rsidRPr="00EB650B">
        <w:rPr>
          <w:rFonts w:ascii="Arial" w:eastAsia="Times New Roman" w:hAnsi="Arial" w:cs="Arial"/>
          <w:iCs/>
          <w:sz w:val="20"/>
          <w:szCs w:val="20"/>
          <w:lang w:eastAsia="en-US"/>
        </w:rPr>
        <w:t xml:space="preserve"> EUR, te redovne kamate u iznosu </w:t>
      </w:r>
      <w:r w:rsidR="007509BA" w:rsidRPr="00EB650B">
        <w:rPr>
          <w:rFonts w:ascii="Arial" w:eastAsia="Times New Roman" w:hAnsi="Arial" w:cs="Arial"/>
          <w:iCs/>
          <w:sz w:val="20"/>
          <w:szCs w:val="20"/>
          <w:lang w:eastAsia="en-US"/>
        </w:rPr>
        <w:t>7.449,82</w:t>
      </w:r>
      <w:r w:rsidR="009C4750" w:rsidRPr="00EB650B">
        <w:rPr>
          <w:rFonts w:ascii="Arial" w:eastAsia="Times New Roman" w:hAnsi="Arial" w:cs="Arial"/>
          <w:iCs/>
          <w:sz w:val="20"/>
          <w:szCs w:val="20"/>
          <w:lang w:eastAsia="en-US"/>
        </w:rPr>
        <w:t xml:space="preserve"> EUR, te </w:t>
      </w:r>
      <w:r w:rsidR="009C4750" w:rsidRPr="00EB650B">
        <w:rPr>
          <w:rFonts w:ascii="Arial" w:eastAsia="Times New Roman" w:hAnsi="Arial" w:cs="Arial"/>
          <w:b/>
          <w:bCs/>
          <w:iCs/>
          <w:sz w:val="20"/>
          <w:szCs w:val="20"/>
          <w:lang w:eastAsia="en-US"/>
        </w:rPr>
        <w:t xml:space="preserve">dug </w:t>
      </w:r>
      <w:r w:rsidR="007509BA" w:rsidRPr="00EB650B">
        <w:rPr>
          <w:rFonts w:ascii="Arial" w:eastAsia="Times New Roman" w:hAnsi="Arial" w:cs="Arial"/>
          <w:b/>
          <w:bCs/>
          <w:iCs/>
          <w:sz w:val="20"/>
          <w:szCs w:val="20"/>
          <w:lang w:eastAsia="en-US"/>
        </w:rPr>
        <w:t>31.12</w:t>
      </w:r>
      <w:r w:rsidR="009C4750" w:rsidRPr="00EB650B">
        <w:rPr>
          <w:rFonts w:ascii="Arial" w:eastAsia="Times New Roman" w:hAnsi="Arial" w:cs="Arial"/>
          <w:b/>
          <w:bCs/>
          <w:iCs/>
          <w:sz w:val="20"/>
          <w:szCs w:val="20"/>
          <w:lang w:eastAsia="en-US"/>
        </w:rPr>
        <w:t>.22.</w:t>
      </w:r>
      <w:r w:rsidR="007509BA" w:rsidRPr="00EB650B">
        <w:rPr>
          <w:rFonts w:ascii="Arial" w:eastAsia="Times New Roman" w:hAnsi="Arial" w:cs="Arial"/>
          <w:iCs/>
          <w:sz w:val="20"/>
          <w:szCs w:val="20"/>
          <w:lang w:eastAsia="en-US"/>
        </w:rPr>
        <w:t xml:space="preserve"> (nakon usklađenja duga po tečaju HNB na dan bilance)</w:t>
      </w:r>
      <w:r w:rsidR="009C4750" w:rsidRPr="00EB650B">
        <w:rPr>
          <w:rFonts w:ascii="Arial" w:eastAsia="Times New Roman" w:hAnsi="Arial" w:cs="Arial"/>
          <w:iCs/>
          <w:sz w:val="20"/>
          <w:szCs w:val="20"/>
          <w:lang w:eastAsia="en-US"/>
        </w:rPr>
        <w:t xml:space="preserve"> iznosi </w:t>
      </w:r>
      <w:r w:rsidR="007509BA" w:rsidRPr="00EB650B">
        <w:rPr>
          <w:rFonts w:ascii="Arial" w:eastAsia="Times New Roman" w:hAnsi="Arial" w:cs="Arial"/>
          <w:iCs/>
          <w:sz w:val="20"/>
          <w:szCs w:val="20"/>
          <w:lang w:eastAsia="en-US"/>
        </w:rPr>
        <w:t>471.855,49</w:t>
      </w:r>
      <w:r w:rsidR="009C4750" w:rsidRPr="00EB650B">
        <w:rPr>
          <w:rFonts w:ascii="Arial" w:eastAsia="Times New Roman" w:hAnsi="Arial" w:cs="Arial"/>
          <w:iCs/>
          <w:sz w:val="20"/>
          <w:szCs w:val="20"/>
          <w:lang w:eastAsia="en-US"/>
        </w:rPr>
        <w:t xml:space="preserve"> EUR (glavnica </w:t>
      </w:r>
      <w:r w:rsidR="007509BA" w:rsidRPr="00EB650B">
        <w:rPr>
          <w:rFonts w:ascii="Arial" w:eastAsia="Times New Roman" w:hAnsi="Arial" w:cs="Arial"/>
          <w:iCs/>
          <w:sz w:val="20"/>
          <w:szCs w:val="20"/>
          <w:lang w:eastAsia="en-US"/>
        </w:rPr>
        <w:t>445.430,32</w:t>
      </w:r>
      <w:r w:rsidR="009C4750" w:rsidRPr="00EB650B">
        <w:rPr>
          <w:rFonts w:ascii="Arial" w:eastAsia="Times New Roman" w:hAnsi="Arial" w:cs="Arial"/>
          <w:iCs/>
          <w:sz w:val="20"/>
          <w:szCs w:val="20"/>
          <w:lang w:eastAsia="en-US"/>
        </w:rPr>
        <w:t xml:space="preserve"> EUR i kamate </w:t>
      </w:r>
      <w:r w:rsidR="007509BA" w:rsidRPr="00EB650B">
        <w:rPr>
          <w:rFonts w:ascii="Arial" w:eastAsia="Times New Roman" w:hAnsi="Arial" w:cs="Arial"/>
          <w:iCs/>
          <w:sz w:val="20"/>
          <w:szCs w:val="20"/>
          <w:lang w:eastAsia="en-US"/>
        </w:rPr>
        <w:t>26.425,17</w:t>
      </w:r>
      <w:r w:rsidR="009C4750" w:rsidRPr="00EB650B">
        <w:rPr>
          <w:rFonts w:ascii="Arial" w:eastAsia="Times New Roman" w:hAnsi="Arial" w:cs="Arial"/>
          <w:iCs/>
          <w:sz w:val="20"/>
          <w:szCs w:val="20"/>
          <w:lang w:eastAsia="en-US"/>
        </w:rPr>
        <w:t xml:space="preserve"> EUR). Prodajni tečaj 1 EUR na dan </w:t>
      </w:r>
      <w:r w:rsidR="007509BA" w:rsidRPr="00EB650B">
        <w:rPr>
          <w:rFonts w:ascii="Arial" w:eastAsia="Times New Roman" w:hAnsi="Arial" w:cs="Arial"/>
          <w:iCs/>
          <w:sz w:val="20"/>
          <w:szCs w:val="20"/>
          <w:lang w:eastAsia="en-US"/>
        </w:rPr>
        <w:t>31.12</w:t>
      </w:r>
      <w:r w:rsidR="009C4750" w:rsidRPr="00EB650B">
        <w:rPr>
          <w:rFonts w:ascii="Arial" w:eastAsia="Times New Roman" w:hAnsi="Arial" w:cs="Arial"/>
          <w:iCs/>
          <w:sz w:val="20"/>
          <w:szCs w:val="20"/>
          <w:lang w:eastAsia="en-US"/>
        </w:rPr>
        <w:t>.22. iznosi 7,</w:t>
      </w:r>
      <w:r w:rsidR="007509BA" w:rsidRPr="00EB650B">
        <w:rPr>
          <w:rFonts w:ascii="Arial" w:eastAsia="Times New Roman" w:hAnsi="Arial" w:cs="Arial"/>
          <w:iCs/>
          <w:sz w:val="20"/>
          <w:szCs w:val="20"/>
          <w:lang w:eastAsia="en-US"/>
        </w:rPr>
        <w:t>557104</w:t>
      </w:r>
      <w:r w:rsidR="009C4750" w:rsidRPr="00EB650B">
        <w:rPr>
          <w:rFonts w:ascii="Arial" w:eastAsia="Times New Roman" w:hAnsi="Arial" w:cs="Arial"/>
          <w:iCs/>
          <w:sz w:val="20"/>
          <w:szCs w:val="20"/>
          <w:lang w:eastAsia="en-US"/>
        </w:rPr>
        <w:t xml:space="preserve"> kn. Komunalnom društvu su u 2022. doznačena sredstva u iznosu </w:t>
      </w:r>
      <w:r w:rsidR="007509BA" w:rsidRPr="00EB650B">
        <w:rPr>
          <w:rFonts w:ascii="Arial" w:eastAsia="Times New Roman" w:hAnsi="Arial" w:cs="Arial"/>
          <w:iCs/>
          <w:sz w:val="20"/>
          <w:szCs w:val="20"/>
          <w:lang w:eastAsia="en-US"/>
        </w:rPr>
        <w:t>505.001,67</w:t>
      </w:r>
      <w:r w:rsidR="009C4750" w:rsidRPr="00EB650B">
        <w:rPr>
          <w:rFonts w:ascii="Arial" w:eastAsia="Times New Roman" w:hAnsi="Arial" w:cs="Arial"/>
          <w:iCs/>
          <w:sz w:val="20"/>
          <w:szCs w:val="20"/>
          <w:lang w:eastAsia="en-US"/>
        </w:rPr>
        <w:t xml:space="preserve"> kn u obliku kapitalne pomoći.</w:t>
      </w:r>
    </w:p>
    <w:p w14:paraId="7DA287C0" w14:textId="4C271186" w:rsidR="00AF4385" w:rsidRPr="00EB650B" w:rsidRDefault="00AF4385" w:rsidP="009C4750">
      <w:pPr>
        <w:autoSpaceDE w:val="0"/>
        <w:autoSpaceDN w:val="0"/>
        <w:adjustRightInd w:val="0"/>
        <w:spacing w:after="0" w:line="240" w:lineRule="auto"/>
        <w:jc w:val="both"/>
        <w:rPr>
          <w:rFonts w:ascii="Arial" w:eastAsia="Times New Roman" w:hAnsi="Arial" w:cs="Arial"/>
          <w:iCs/>
          <w:sz w:val="20"/>
          <w:szCs w:val="20"/>
          <w:lang w:eastAsia="en-US"/>
        </w:rPr>
      </w:pPr>
      <w:r w:rsidRPr="00EB650B">
        <w:rPr>
          <w:rFonts w:ascii="Arial" w:eastAsia="Times New Roman" w:hAnsi="Arial" w:cs="Arial"/>
          <w:iCs/>
          <w:sz w:val="20"/>
          <w:szCs w:val="20"/>
          <w:lang w:eastAsia="en-US"/>
        </w:rPr>
        <w:t>U 2023. godini iz općinskog proračuna za ovo jamstvo Komunalnom društvu su doznačena sredstva 65.937,29 € u obliku kapitalne pomoći za otplatu dva obroka kredita (kamata i glavnica).</w:t>
      </w:r>
      <w:r w:rsidR="00FF43B2" w:rsidRPr="00EB650B">
        <w:rPr>
          <w:rFonts w:ascii="Arial" w:eastAsia="Times New Roman" w:hAnsi="Arial" w:cs="Arial"/>
          <w:b/>
          <w:bCs/>
          <w:iCs/>
          <w:sz w:val="20"/>
          <w:szCs w:val="20"/>
          <w:lang w:eastAsia="en-US"/>
        </w:rPr>
        <w:t xml:space="preserve"> Dug 31.12.2023.</w:t>
      </w:r>
      <w:r w:rsidR="00FF43B2" w:rsidRPr="00EB650B">
        <w:rPr>
          <w:rFonts w:ascii="Arial" w:eastAsia="Times New Roman" w:hAnsi="Arial" w:cs="Arial"/>
          <w:iCs/>
          <w:sz w:val="20"/>
          <w:szCs w:val="20"/>
          <w:lang w:eastAsia="en-US"/>
        </w:rPr>
        <w:t xml:space="preserve"> je iznosio 407.333,80 € (glavnica 386.039,62 € i kamate).</w:t>
      </w:r>
    </w:p>
    <w:p w14:paraId="06C9C64B" w14:textId="77777777" w:rsidR="00CE6FE0" w:rsidRPr="00EB650B" w:rsidRDefault="00CE6FE0" w:rsidP="00DA03FB">
      <w:pPr>
        <w:autoSpaceDE w:val="0"/>
        <w:autoSpaceDN w:val="0"/>
        <w:adjustRightInd w:val="0"/>
        <w:spacing w:after="0" w:line="240" w:lineRule="auto"/>
        <w:jc w:val="both"/>
        <w:rPr>
          <w:rFonts w:ascii="Arial" w:eastAsia="Times New Roman" w:hAnsi="Arial" w:cs="Arial"/>
          <w:iCs/>
          <w:sz w:val="20"/>
          <w:szCs w:val="20"/>
          <w:lang w:eastAsia="en-US"/>
        </w:rPr>
      </w:pPr>
    </w:p>
    <w:p w14:paraId="24BEA47A" w14:textId="49AE05C0" w:rsidR="00641BA9" w:rsidRPr="00EB650B" w:rsidRDefault="00DA03FB" w:rsidP="00DA03FB">
      <w:pPr>
        <w:autoSpaceDE w:val="0"/>
        <w:autoSpaceDN w:val="0"/>
        <w:adjustRightInd w:val="0"/>
        <w:spacing w:after="0" w:line="240" w:lineRule="auto"/>
        <w:jc w:val="both"/>
        <w:rPr>
          <w:rFonts w:ascii="Arial" w:eastAsia="Times New Roman" w:hAnsi="Arial" w:cs="Arial"/>
          <w:iCs/>
          <w:sz w:val="20"/>
          <w:szCs w:val="20"/>
          <w:lang w:eastAsia="en-US"/>
        </w:rPr>
      </w:pPr>
      <w:bookmarkStart w:id="701" w:name="_Hlk176507018"/>
      <w:bookmarkStart w:id="702" w:name="_Hlk207639808"/>
      <w:r w:rsidRPr="00EB650B">
        <w:rPr>
          <w:rFonts w:ascii="Arial" w:eastAsia="Times New Roman" w:hAnsi="Arial" w:cs="Arial"/>
          <w:iCs/>
          <w:sz w:val="20"/>
          <w:szCs w:val="20"/>
          <w:lang w:eastAsia="en-US"/>
        </w:rPr>
        <w:t>Komunalno društvo je za 202</w:t>
      </w:r>
      <w:r w:rsidR="00AF4385" w:rsidRPr="00EB650B">
        <w:rPr>
          <w:rFonts w:ascii="Arial" w:eastAsia="Times New Roman" w:hAnsi="Arial" w:cs="Arial"/>
          <w:iCs/>
          <w:sz w:val="20"/>
          <w:szCs w:val="20"/>
          <w:lang w:eastAsia="en-US"/>
        </w:rPr>
        <w:t>4</w:t>
      </w:r>
      <w:r w:rsidRPr="00EB650B">
        <w:rPr>
          <w:rFonts w:ascii="Arial" w:eastAsia="Times New Roman" w:hAnsi="Arial" w:cs="Arial"/>
          <w:iCs/>
          <w:sz w:val="20"/>
          <w:szCs w:val="20"/>
          <w:lang w:eastAsia="en-US"/>
        </w:rPr>
        <w:t xml:space="preserve">. otplatilo </w:t>
      </w:r>
      <w:r w:rsidR="00AF4385" w:rsidRPr="00EB650B">
        <w:rPr>
          <w:rFonts w:ascii="Arial" w:eastAsia="Times New Roman" w:hAnsi="Arial" w:cs="Arial"/>
          <w:iCs/>
          <w:sz w:val="20"/>
          <w:szCs w:val="20"/>
          <w:lang w:eastAsia="en-US"/>
        </w:rPr>
        <w:t>glavnicu</w:t>
      </w:r>
      <w:r w:rsidRPr="00EB650B">
        <w:rPr>
          <w:rFonts w:ascii="Arial" w:eastAsia="Times New Roman" w:hAnsi="Arial" w:cs="Arial"/>
          <w:iCs/>
          <w:sz w:val="20"/>
          <w:szCs w:val="20"/>
          <w:lang w:eastAsia="en-US"/>
        </w:rPr>
        <w:t xml:space="preserve"> </w:t>
      </w:r>
      <w:r w:rsidR="0030139E" w:rsidRPr="00EB650B">
        <w:rPr>
          <w:rFonts w:ascii="Arial" w:eastAsia="Times New Roman" w:hAnsi="Arial" w:cs="Arial"/>
          <w:iCs/>
          <w:sz w:val="20"/>
          <w:szCs w:val="20"/>
          <w:lang w:eastAsia="en-US"/>
        </w:rPr>
        <w:t>59.390,70</w:t>
      </w:r>
      <w:r w:rsidRPr="00EB650B">
        <w:rPr>
          <w:rFonts w:ascii="Arial" w:eastAsia="Times New Roman" w:hAnsi="Arial" w:cs="Arial"/>
          <w:iCs/>
          <w:sz w:val="20"/>
          <w:szCs w:val="20"/>
          <w:lang w:eastAsia="en-US"/>
        </w:rPr>
        <w:t xml:space="preserve"> € i kamate </w:t>
      </w:r>
      <w:r w:rsidR="0030139E" w:rsidRPr="00EB650B">
        <w:rPr>
          <w:rFonts w:ascii="Arial" w:eastAsia="Times New Roman" w:hAnsi="Arial" w:cs="Arial"/>
          <w:iCs/>
          <w:sz w:val="20"/>
          <w:szCs w:val="20"/>
          <w:lang w:eastAsia="en-US"/>
        </w:rPr>
        <w:t>21.259,34</w:t>
      </w:r>
      <w:r w:rsidRPr="00EB650B">
        <w:rPr>
          <w:rFonts w:ascii="Arial" w:eastAsia="Times New Roman" w:hAnsi="Arial" w:cs="Arial"/>
          <w:iCs/>
          <w:sz w:val="20"/>
          <w:szCs w:val="20"/>
          <w:lang w:eastAsia="en-US"/>
        </w:rPr>
        <w:t xml:space="preserve"> €</w:t>
      </w:r>
      <w:r w:rsidR="001B52D5" w:rsidRPr="00EB650B">
        <w:rPr>
          <w:rFonts w:ascii="Arial" w:eastAsia="Times New Roman" w:hAnsi="Arial" w:cs="Arial"/>
          <w:iCs/>
          <w:sz w:val="20"/>
          <w:szCs w:val="20"/>
          <w:lang w:eastAsia="en-US"/>
        </w:rPr>
        <w:t xml:space="preserve">. </w:t>
      </w:r>
      <w:r w:rsidR="001B52D5" w:rsidRPr="00EB650B">
        <w:rPr>
          <w:rFonts w:ascii="Arial" w:eastAsia="Times New Roman" w:hAnsi="Arial" w:cs="Arial"/>
          <w:b/>
          <w:bCs/>
          <w:iCs/>
          <w:sz w:val="20"/>
          <w:szCs w:val="20"/>
          <w:lang w:eastAsia="en-US"/>
        </w:rPr>
        <w:t>D</w:t>
      </w:r>
      <w:r w:rsidRPr="00EB650B">
        <w:rPr>
          <w:rFonts w:ascii="Arial" w:eastAsia="Times New Roman" w:hAnsi="Arial" w:cs="Arial"/>
          <w:b/>
          <w:bCs/>
          <w:iCs/>
          <w:sz w:val="20"/>
          <w:szCs w:val="20"/>
          <w:lang w:eastAsia="en-US"/>
        </w:rPr>
        <w:t xml:space="preserve">ug </w:t>
      </w:r>
      <w:r w:rsidR="0030139E" w:rsidRPr="00EB650B">
        <w:rPr>
          <w:rFonts w:ascii="Arial" w:eastAsia="Times New Roman" w:hAnsi="Arial" w:cs="Arial"/>
          <w:b/>
          <w:bCs/>
          <w:iCs/>
          <w:sz w:val="20"/>
          <w:szCs w:val="20"/>
          <w:lang w:eastAsia="en-US"/>
        </w:rPr>
        <w:t>31.12</w:t>
      </w:r>
      <w:r w:rsidR="00AF4385" w:rsidRPr="00EB650B">
        <w:rPr>
          <w:rFonts w:ascii="Arial" w:eastAsia="Times New Roman" w:hAnsi="Arial" w:cs="Arial"/>
          <w:b/>
          <w:bCs/>
          <w:iCs/>
          <w:sz w:val="20"/>
          <w:szCs w:val="20"/>
          <w:lang w:eastAsia="en-US"/>
        </w:rPr>
        <w:t>.2024</w:t>
      </w:r>
      <w:r w:rsidRPr="00EB650B">
        <w:rPr>
          <w:rFonts w:ascii="Arial" w:eastAsia="Times New Roman" w:hAnsi="Arial" w:cs="Arial"/>
          <w:b/>
          <w:bCs/>
          <w:iCs/>
          <w:sz w:val="20"/>
          <w:szCs w:val="20"/>
          <w:lang w:eastAsia="en-US"/>
        </w:rPr>
        <w:t>.</w:t>
      </w:r>
      <w:r w:rsidRPr="00EB650B">
        <w:rPr>
          <w:rFonts w:ascii="Arial" w:eastAsia="Times New Roman" w:hAnsi="Arial" w:cs="Arial"/>
          <w:iCs/>
          <w:sz w:val="20"/>
          <w:szCs w:val="20"/>
          <w:lang w:eastAsia="en-US"/>
        </w:rPr>
        <w:t xml:space="preserve"> iznosi </w:t>
      </w:r>
      <w:r w:rsidR="0030139E" w:rsidRPr="00EB650B">
        <w:rPr>
          <w:rFonts w:ascii="Arial" w:eastAsia="Times New Roman" w:hAnsi="Arial" w:cs="Arial"/>
          <w:iCs/>
          <w:sz w:val="20"/>
          <w:szCs w:val="20"/>
          <w:lang w:eastAsia="en-US"/>
        </w:rPr>
        <w:t>340.868,06</w:t>
      </w:r>
      <w:r w:rsidR="00E94095" w:rsidRPr="00EB650B">
        <w:rPr>
          <w:rFonts w:ascii="Arial" w:eastAsia="Times New Roman" w:hAnsi="Arial" w:cs="Arial"/>
          <w:iCs/>
          <w:sz w:val="20"/>
          <w:szCs w:val="20"/>
          <w:lang w:eastAsia="en-US"/>
        </w:rPr>
        <w:t xml:space="preserve"> € (</w:t>
      </w:r>
      <w:r w:rsidR="0030139E" w:rsidRPr="00EB650B">
        <w:rPr>
          <w:rFonts w:ascii="Arial" w:eastAsia="Times New Roman" w:hAnsi="Arial" w:cs="Arial"/>
          <w:iCs/>
          <w:sz w:val="20"/>
          <w:szCs w:val="20"/>
          <w:lang w:eastAsia="en-US"/>
        </w:rPr>
        <w:t xml:space="preserve">od čega </w:t>
      </w:r>
      <w:r w:rsidR="00E94095" w:rsidRPr="00EB650B">
        <w:rPr>
          <w:rFonts w:ascii="Arial" w:eastAsia="Times New Roman" w:hAnsi="Arial" w:cs="Arial"/>
          <w:iCs/>
          <w:sz w:val="20"/>
          <w:szCs w:val="20"/>
          <w:lang w:eastAsia="en-US"/>
        </w:rPr>
        <w:t xml:space="preserve">glavnica </w:t>
      </w:r>
      <w:r w:rsidR="0030139E" w:rsidRPr="00EB650B">
        <w:rPr>
          <w:rFonts w:ascii="Arial" w:eastAsia="Times New Roman" w:hAnsi="Arial" w:cs="Arial"/>
          <w:iCs/>
          <w:sz w:val="20"/>
          <w:szCs w:val="20"/>
          <w:lang w:eastAsia="en-US"/>
        </w:rPr>
        <w:t>326.648,92</w:t>
      </w:r>
      <w:r w:rsidR="00E94095" w:rsidRPr="00EB650B">
        <w:rPr>
          <w:rFonts w:ascii="Arial" w:eastAsia="Times New Roman" w:hAnsi="Arial" w:cs="Arial"/>
          <w:iCs/>
          <w:sz w:val="20"/>
          <w:szCs w:val="20"/>
          <w:lang w:eastAsia="en-US"/>
        </w:rPr>
        <w:t xml:space="preserve"> €).</w:t>
      </w:r>
      <w:r w:rsidR="001B52D5" w:rsidRPr="00EB650B">
        <w:rPr>
          <w:rFonts w:ascii="Arial" w:eastAsia="Times New Roman" w:hAnsi="Arial" w:cs="Arial"/>
          <w:iCs/>
          <w:sz w:val="20"/>
          <w:szCs w:val="20"/>
          <w:lang w:eastAsia="en-US"/>
        </w:rPr>
        <w:t xml:space="preserve"> </w:t>
      </w:r>
    </w:p>
    <w:p w14:paraId="1F001DC8" w14:textId="3BCC2F4F" w:rsidR="00DA03FB" w:rsidRPr="00EB650B" w:rsidRDefault="00BE15EE" w:rsidP="00DA03FB">
      <w:pPr>
        <w:autoSpaceDE w:val="0"/>
        <w:autoSpaceDN w:val="0"/>
        <w:adjustRightInd w:val="0"/>
        <w:spacing w:after="0" w:line="240" w:lineRule="auto"/>
        <w:jc w:val="both"/>
        <w:rPr>
          <w:rFonts w:ascii="Arial" w:eastAsia="Times New Roman" w:hAnsi="Arial" w:cs="Arial"/>
          <w:iCs/>
          <w:sz w:val="20"/>
          <w:szCs w:val="20"/>
          <w:lang w:eastAsia="en-US"/>
        </w:rPr>
      </w:pPr>
      <w:bookmarkStart w:id="703" w:name="_Hlk176507218"/>
      <w:bookmarkEnd w:id="701"/>
      <w:r w:rsidRPr="00EB650B">
        <w:rPr>
          <w:rFonts w:ascii="Arial" w:eastAsia="Times New Roman" w:hAnsi="Arial" w:cs="Arial"/>
          <w:iCs/>
          <w:sz w:val="20"/>
          <w:szCs w:val="20"/>
          <w:lang w:eastAsia="en-US"/>
        </w:rPr>
        <w:t xml:space="preserve">Komunalnom društvu su </w:t>
      </w:r>
      <w:r w:rsidR="00347FE1" w:rsidRPr="00EB650B">
        <w:rPr>
          <w:rFonts w:ascii="Arial" w:eastAsia="Times New Roman" w:hAnsi="Arial" w:cs="Arial"/>
          <w:iCs/>
          <w:sz w:val="20"/>
          <w:szCs w:val="20"/>
          <w:lang w:eastAsia="en-US"/>
        </w:rPr>
        <w:t xml:space="preserve">u </w:t>
      </w:r>
      <w:r w:rsidRPr="00EB650B">
        <w:rPr>
          <w:rFonts w:ascii="Arial" w:eastAsia="Times New Roman" w:hAnsi="Arial" w:cs="Arial"/>
          <w:iCs/>
          <w:sz w:val="20"/>
          <w:szCs w:val="20"/>
          <w:lang w:eastAsia="en-US"/>
        </w:rPr>
        <w:t>202</w:t>
      </w:r>
      <w:r w:rsidR="00FF43B2" w:rsidRPr="00EB650B">
        <w:rPr>
          <w:rFonts w:ascii="Arial" w:eastAsia="Times New Roman" w:hAnsi="Arial" w:cs="Arial"/>
          <w:iCs/>
          <w:sz w:val="20"/>
          <w:szCs w:val="20"/>
          <w:lang w:eastAsia="en-US"/>
        </w:rPr>
        <w:t>4</w:t>
      </w:r>
      <w:r w:rsidRPr="00EB650B">
        <w:rPr>
          <w:rFonts w:ascii="Arial" w:eastAsia="Times New Roman" w:hAnsi="Arial" w:cs="Arial"/>
          <w:iCs/>
          <w:sz w:val="20"/>
          <w:szCs w:val="20"/>
          <w:lang w:eastAsia="en-US"/>
        </w:rPr>
        <w:t xml:space="preserve">. doznačena sredstva u iznosu </w:t>
      </w:r>
      <w:r w:rsidR="0030139E" w:rsidRPr="00EB650B">
        <w:rPr>
          <w:rFonts w:ascii="Arial" w:eastAsia="Times New Roman" w:hAnsi="Arial" w:cs="Arial"/>
          <w:iCs/>
          <w:sz w:val="20"/>
          <w:szCs w:val="20"/>
          <w:lang w:eastAsia="en-US"/>
        </w:rPr>
        <w:t>80.650,04</w:t>
      </w:r>
      <w:r w:rsidRPr="00EB650B">
        <w:rPr>
          <w:rFonts w:ascii="Arial" w:eastAsia="Times New Roman" w:hAnsi="Arial" w:cs="Arial"/>
          <w:iCs/>
          <w:sz w:val="20"/>
          <w:szCs w:val="20"/>
          <w:lang w:eastAsia="en-US"/>
        </w:rPr>
        <w:t xml:space="preserve"> € u obliku kapitalne pomoći</w:t>
      </w:r>
      <w:r w:rsidR="00DA03FB" w:rsidRPr="00EB650B">
        <w:rPr>
          <w:rFonts w:ascii="Arial" w:eastAsia="Times New Roman" w:hAnsi="Arial" w:cs="Arial"/>
          <w:iCs/>
          <w:sz w:val="20"/>
          <w:szCs w:val="20"/>
          <w:lang w:eastAsia="en-US"/>
        </w:rPr>
        <w:t xml:space="preserve"> za otplatu</w:t>
      </w:r>
      <w:r w:rsidR="0030139E" w:rsidRPr="00EB650B">
        <w:rPr>
          <w:rFonts w:ascii="Arial" w:eastAsia="Times New Roman" w:hAnsi="Arial" w:cs="Arial"/>
          <w:iCs/>
          <w:sz w:val="20"/>
          <w:szCs w:val="20"/>
          <w:lang w:eastAsia="en-US"/>
        </w:rPr>
        <w:t xml:space="preserve"> dva</w:t>
      </w:r>
      <w:r w:rsidR="00DA03FB" w:rsidRPr="00EB650B">
        <w:rPr>
          <w:rFonts w:ascii="Arial" w:eastAsia="Times New Roman" w:hAnsi="Arial" w:cs="Arial"/>
          <w:iCs/>
          <w:sz w:val="20"/>
          <w:szCs w:val="20"/>
          <w:lang w:eastAsia="en-US"/>
        </w:rPr>
        <w:t xml:space="preserve"> obroka kredita (Erste&amp;Steiermärkische Bank d.d. Rijeka)</w:t>
      </w:r>
      <w:r w:rsidR="004F57C9" w:rsidRPr="00EB650B">
        <w:rPr>
          <w:rFonts w:ascii="Arial" w:eastAsia="Times New Roman" w:hAnsi="Arial" w:cs="Arial"/>
          <w:iCs/>
          <w:sz w:val="20"/>
          <w:szCs w:val="20"/>
          <w:lang w:eastAsia="en-US"/>
        </w:rPr>
        <w:t xml:space="preserve"> u iznosu </w:t>
      </w:r>
      <w:r w:rsidR="0030139E" w:rsidRPr="00EB650B">
        <w:rPr>
          <w:rFonts w:ascii="Arial" w:eastAsia="Times New Roman" w:hAnsi="Arial" w:cs="Arial"/>
          <w:iCs/>
          <w:sz w:val="20"/>
          <w:szCs w:val="20"/>
          <w:lang w:eastAsia="en-US"/>
        </w:rPr>
        <w:t>65.050,14</w:t>
      </w:r>
      <w:r w:rsidR="004F57C9" w:rsidRPr="00EB650B">
        <w:rPr>
          <w:rFonts w:ascii="Arial" w:eastAsia="Times New Roman" w:hAnsi="Arial" w:cs="Arial"/>
          <w:iCs/>
          <w:sz w:val="20"/>
          <w:szCs w:val="20"/>
          <w:lang w:eastAsia="en-US"/>
        </w:rPr>
        <w:t xml:space="preserve"> €,</w:t>
      </w:r>
      <w:r w:rsidR="001B52D5" w:rsidRPr="00EB650B">
        <w:rPr>
          <w:rFonts w:ascii="Arial" w:eastAsia="Times New Roman" w:hAnsi="Arial" w:cs="Arial"/>
          <w:iCs/>
          <w:sz w:val="20"/>
          <w:szCs w:val="20"/>
          <w:lang w:eastAsia="en-US"/>
        </w:rPr>
        <w:t xml:space="preserve"> razlike kamata za 2023. </w:t>
      </w:r>
      <w:r w:rsidR="0030139E" w:rsidRPr="00EB650B">
        <w:rPr>
          <w:rFonts w:ascii="Arial" w:eastAsia="Times New Roman" w:hAnsi="Arial" w:cs="Arial"/>
          <w:iCs/>
          <w:sz w:val="20"/>
          <w:szCs w:val="20"/>
          <w:lang w:eastAsia="en-US"/>
        </w:rPr>
        <w:t xml:space="preserve">i 2024. </w:t>
      </w:r>
      <w:r w:rsidR="001B52D5" w:rsidRPr="00EB650B">
        <w:rPr>
          <w:rFonts w:ascii="Arial" w:eastAsia="Times New Roman" w:hAnsi="Arial" w:cs="Arial"/>
          <w:iCs/>
          <w:sz w:val="20"/>
          <w:szCs w:val="20"/>
          <w:lang w:eastAsia="en-US"/>
        </w:rPr>
        <w:t>godinu</w:t>
      </w:r>
      <w:r w:rsidR="004F57C9" w:rsidRPr="00EB650B">
        <w:rPr>
          <w:rFonts w:ascii="Arial" w:eastAsia="Times New Roman" w:hAnsi="Arial" w:cs="Arial"/>
          <w:iCs/>
          <w:sz w:val="20"/>
          <w:szCs w:val="20"/>
          <w:lang w:eastAsia="en-US"/>
        </w:rPr>
        <w:t xml:space="preserve"> u iznosu </w:t>
      </w:r>
      <w:r w:rsidR="0030139E" w:rsidRPr="00EB650B">
        <w:rPr>
          <w:rFonts w:ascii="Arial" w:eastAsia="Times New Roman" w:hAnsi="Arial" w:cs="Arial"/>
          <w:iCs/>
          <w:sz w:val="20"/>
          <w:szCs w:val="20"/>
          <w:lang w:eastAsia="en-US"/>
        </w:rPr>
        <w:t>15.599,90</w:t>
      </w:r>
      <w:r w:rsidR="004F57C9" w:rsidRPr="00EB650B">
        <w:rPr>
          <w:rFonts w:ascii="Arial" w:eastAsia="Times New Roman" w:hAnsi="Arial" w:cs="Arial"/>
          <w:iCs/>
          <w:sz w:val="20"/>
          <w:szCs w:val="20"/>
          <w:lang w:eastAsia="en-US"/>
        </w:rPr>
        <w:t xml:space="preserve"> €</w:t>
      </w:r>
      <w:r w:rsidR="00DA03FB" w:rsidRPr="00EB650B">
        <w:rPr>
          <w:rFonts w:ascii="Arial" w:eastAsia="Times New Roman" w:hAnsi="Arial" w:cs="Arial"/>
          <w:iCs/>
          <w:sz w:val="20"/>
          <w:szCs w:val="20"/>
          <w:lang w:eastAsia="en-US"/>
        </w:rPr>
        <w:t>.</w:t>
      </w:r>
    </w:p>
    <w:p w14:paraId="26CDFFB2" w14:textId="7C8ACF1C" w:rsidR="00B66515" w:rsidRPr="00EB650B" w:rsidRDefault="009C4750" w:rsidP="00B66515">
      <w:pPr>
        <w:autoSpaceDE w:val="0"/>
        <w:autoSpaceDN w:val="0"/>
        <w:adjustRightInd w:val="0"/>
        <w:spacing w:after="0" w:line="240" w:lineRule="auto"/>
        <w:jc w:val="both"/>
        <w:rPr>
          <w:rFonts w:ascii="Arial" w:eastAsia="Times New Roman" w:hAnsi="Arial" w:cs="Arial"/>
          <w:iCs/>
          <w:sz w:val="20"/>
          <w:szCs w:val="20"/>
          <w:lang w:eastAsia="en-US"/>
        </w:rPr>
      </w:pPr>
      <w:bookmarkStart w:id="704" w:name="_Hlk176507229"/>
      <w:bookmarkEnd w:id="703"/>
      <w:r w:rsidRPr="00EB650B">
        <w:rPr>
          <w:rFonts w:ascii="Arial" w:eastAsia="Times New Roman" w:hAnsi="Arial" w:cs="Arial"/>
          <w:iCs/>
          <w:sz w:val="20"/>
          <w:szCs w:val="20"/>
          <w:lang w:eastAsia="en-US"/>
        </w:rPr>
        <w:t>S</w:t>
      </w:r>
      <w:r w:rsidR="00B66515" w:rsidRPr="00EB650B">
        <w:rPr>
          <w:rFonts w:ascii="Arial" w:eastAsia="Times New Roman" w:hAnsi="Arial" w:cs="Arial"/>
          <w:iCs/>
          <w:sz w:val="20"/>
          <w:szCs w:val="20"/>
          <w:lang w:eastAsia="en-US"/>
        </w:rPr>
        <w:t>tanje aktivnih jamstava koncem 202</w:t>
      </w:r>
      <w:r w:rsidR="00FF43B2" w:rsidRPr="00EB650B">
        <w:rPr>
          <w:rFonts w:ascii="Arial" w:eastAsia="Times New Roman" w:hAnsi="Arial" w:cs="Arial"/>
          <w:iCs/>
          <w:sz w:val="20"/>
          <w:szCs w:val="20"/>
          <w:lang w:eastAsia="en-US"/>
        </w:rPr>
        <w:t>4</w:t>
      </w:r>
      <w:r w:rsidR="00B66515" w:rsidRPr="00EB650B">
        <w:rPr>
          <w:rFonts w:ascii="Arial" w:eastAsia="Times New Roman" w:hAnsi="Arial" w:cs="Arial"/>
          <w:iCs/>
          <w:sz w:val="20"/>
          <w:szCs w:val="20"/>
          <w:lang w:eastAsia="en-US"/>
        </w:rPr>
        <w:t xml:space="preserve">. po spomenutom jamstvu iznosi </w:t>
      </w:r>
      <w:r w:rsidR="001C45E9" w:rsidRPr="00EB650B">
        <w:rPr>
          <w:rFonts w:ascii="Arial" w:eastAsia="Times New Roman" w:hAnsi="Arial" w:cs="Arial"/>
          <w:iCs/>
          <w:sz w:val="20"/>
          <w:szCs w:val="20"/>
          <w:lang w:eastAsia="en-US"/>
        </w:rPr>
        <w:t>340.868,06</w:t>
      </w:r>
      <w:r w:rsidR="00BE15EE" w:rsidRPr="00EB650B">
        <w:rPr>
          <w:rFonts w:ascii="Arial" w:eastAsia="Times New Roman" w:hAnsi="Arial" w:cs="Arial"/>
          <w:iCs/>
          <w:sz w:val="20"/>
          <w:szCs w:val="20"/>
          <w:lang w:eastAsia="en-US"/>
        </w:rPr>
        <w:t xml:space="preserve"> </w:t>
      </w:r>
      <w:r w:rsidR="00DA03FB" w:rsidRPr="00EB650B">
        <w:rPr>
          <w:rFonts w:ascii="Arial" w:eastAsia="Times New Roman" w:hAnsi="Arial" w:cs="Arial"/>
          <w:iCs/>
          <w:sz w:val="20"/>
          <w:szCs w:val="20"/>
          <w:lang w:eastAsia="en-US"/>
        </w:rPr>
        <w:t>€</w:t>
      </w:r>
      <w:r w:rsidR="00B66515" w:rsidRPr="00EB650B">
        <w:rPr>
          <w:rFonts w:ascii="Arial" w:eastAsia="Times New Roman" w:hAnsi="Arial" w:cs="Arial"/>
          <w:iCs/>
          <w:sz w:val="20"/>
          <w:szCs w:val="20"/>
          <w:lang w:eastAsia="en-US"/>
        </w:rPr>
        <w:t xml:space="preserve"> (bilanca, evidentirano u izvanbilančnoj evidenciji).</w:t>
      </w:r>
    </w:p>
    <w:bookmarkEnd w:id="704"/>
    <w:p w14:paraId="7AD0B4C3" w14:textId="77777777" w:rsidR="0030139E" w:rsidRDefault="0030139E" w:rsidP="00891119">
      <w:pPr>
        <w:spacing w:after="0" w:line="240" w:lineRule="auto"/>
        <w:jc w:val="both"/>
        <w:rPr>
          <w:rFonts w:ascii="Arial" w:eastAsia="Times New Roman" w:hAnsi="Arial" w:cs="Arial"/>
          <w:bCs/>
          <w:iCs/>
          <w:sz w:val="20"/>
          <w:szCs w:val="20"/>
          <w:lang w:eastAsia="en-US"/>
        </w:rPr>
      </w:pPr>
    </w:p>
    <w:p w14:paraId="0AC19660" w14:textId="411FF72F" w:rsidR="00E55F97" w:rsidRPr="00E55F97" w:rsidRDefault="00E55F97" w:rsidP="00E55F97">
      <w:pPr>
        <w:spacing w:after="0" w:line="240" w:lineRule="auto"/>
        <w:jc w:val="both"/>
        <w:rPr>
          <w:rFonts w:ascii="Arial" w:eastAsia="Times New Roman" w:hAnsi="Arial" w:cs="Arial"/>
          <w:bCs/>
          <w:iCs/>
          <w:sz w:val="20"/>
          <w:szCs w:val="20"/>
          <w:lang w:eastAsia="en-US"/>
        </w:rPr>
      </w:pPr>
      <w:bookmarkStart w:id="705" w:name="_Hlk207639848"/>
      <w:r w:rsidRPr="00E55F97">
        <w:rPr>
          <w:rFonts w:ascii="Arial" w:eastAsia="Times New Roman" w:hAnsi="Arial" w:cs="Arial"/>
          <w:bCs/>
          <w:iCs/>
          <w:sz w:val="20"/>
          <w:szCs w:val="20"/>
          <w:lang w:eastAsia="en-US"/>
        </w:rPr>
        <w:t>Komunalno društvo je za 202</w:t>
      </w:r>
      <w:r>
        <w:rPr>
          <w:rFonts w:ascii="Arial" w:eastAsia="Times New Roman" w:hAnsi="Arial" w:cs="Arial"/>
          <w:bCs/>
          <w:iCs/>
          <w:sz w:val="20"/>
          <w:szCs w:val="20"/>
          <w:lang w:eastAsia="en-US"/>
        </w:rPr>
        <w:t>5</w:t>
      </w:r>
      <w:r w:rsidRPr="00E55F97">
        <w:rPr>
          <w:rFonts w:ascii="Arial" w:eastAsia="Times New Roman" w:hAnsi="Arial" w:cs="Arial"/>
          <w:bCs/>
          <w:iCs/>
          <w:sz w:val="20"/>
          <w:szCs w:val="20"/>
          <w:lang w:eastAsia="en-US"/>
        </w:rPr>
        <w:t xml:space="preserve">. otplatilo glavnicu u visini </w:t>
      </w:r>
      <w:r w:rsidR="0028488F">
        <w:rPr>
          <w:rFonts w:ascii="Arial" w:eastAsia="Times New Roman" w:hAnsi="Arial" w:cs="Arial"/>
          <w:bCs/>
          <w:iCs/>
          <w:sz w:val="20"/>
          <w:szCs w:val="20"/>
          <w:lang w:eastAsia="en-US"/>
        </w:rPr>
        <w:t>53.390,70</w:t>
      </w:r>
      <w:r w:rsidRPr="00E55F97">
        <w:rPr>
          <w:rFonts w:ascii="Arial" w:eastAsia="Times New Roman" w:hAnsi="Arial" w:cs="Arial"/>
          <w:bCs/>
          <w:iCs/>
          <w:sz w:val="20"/>
          <w:szCs w:val="20"/>
          <w:lang w:eastAsia="en-US"/>
        </w:rPr>
        <w:t xml:space="preserve"> € i kamate u iznosu </w:t>
      </w:r>
      <w:r w:rsidR="0028488F">
        <w:rPr>
          <w:rFonts w:ascii="Arial" w:eastAsia="Times New Roman" w:hAnsi="Arial" w:cs="Arial"/>
          <w:bCs/>
          <w:iCs/>
          <w:sz w:val="20"/>
          <w:szCs w:val="20"/>
          <w:lang w:eastAsia="en-US"/>
        </w:rPr>
        <w:t>15.257,64</w:t>
      </w:r>
      <w:r w:rsidRPr="00E55F97">
        <w:rPr>
          <w:rFonts w:ascii="Arial" w:eastAsia="Times New Roman" w:hAnsi="Arial" w:cs="Arial"/>
          <w:bCs/>
          <w:iCs/>
          <w:sz w:val="20"/>
          <w:szCs w:val="20"/>
          <w:lang w:eastAsia="en-US"/>
        </w:rPr>
        <w:t xml:space="preserve"> €. </w:t>
      </w:r>
      <w:r w:rsidRPr="00E55F97">
        <w:rPr>
          <w:rFonts w:ascii="Arial" w:eastAsia="Times New Roman" w:hAnsi="Arial" w:cs="Arial"/>
          <w:b/>
          <w:bCs/>
          <w:iCs/>
          <w:sz w:val="20"/>
          <w:szCs w:val="20"/>
          <w:lang w:eastAsia="en-US"/>
        </w:rPr>
        <w:t xml:space="preserve">Dug </w:t>
      </w:r>
      <w:r w:rsidR="0028488F">
        <w:rPr>
          <w:rFonts w:ascii="Arial" w:eastAsia="Times New Roman" w:hAnsi="Arial" w:cs="Arial"/>
          <w:b/>
          <w:bCs/>
          <w:iCs/>
          <w:sz w:val="20"/>
          <w:szCs w:val="20"/>
          <w:lang w:eastAsia="en-US"/>
        </w:rPr>
        <w:t>31.12</w:t>
      </w:r>
      <w:r>
        <w:rPr>
          <w:rFonts w:ascii="Arial" w:eastAsia="Times New Roman" w:hAnsi="Arial" w:cs="Arial"/>
          <w:b/>
          <w:bCs/>
          <w:iCs/>
          <w:sz w:val="20"/>
          <w:szCs w:val="20"/>
          <w:lang w:eastAsia="en-US"/>
        </w:rPr>
        <w:t>.2025</w:t>
      </w:r>
      <w:r w:rsidRPr="00E55F97">
        <w:rPr>
          <w:rFonts w:ascii="Arial" w:eastAsia="Times New Roman" w:hAnsi="Arial" w:cs="Arial"/>
          <w:b/>
          <w:bCs/>
          <w:iCs/>
          <w:sz w:val="20"/>
          <w:szCs w:val="20"/>
          <w:lang w:eastAsia="en-US"/>
        </w:rPr>
        <w:t>.</w:t>
      </w:r>
      <w:r w:rsidRPr="00E55F97">
        <w:rPr>
          <w:rFonts w:ascii="Arial" w:eastAsia="Times New Roman" w:hAnsi="Arial" w:cs="Arial"/>
          <w:bCs/>
          <w:iCs/>
          <w:sz w:val="20"/>
          <w:szCs w:val="20"/>
          <w:lang w:eastAsia="en-US"/>
        </w:rPr>
        <w:t xml:space="preserve"> iznosi </w:t>
      </w:r>
      <w:bookmarkStart w:id="706" w:name="_Hlk230355142"/>
      <w:r w:rsidR="0028488F">
        <w:rPr>
          <w:rFonts w:ascii="Arial" w:eastAsia="Times New Roman" w:hAnsi="Arial" w:cs="Arial"/>
          <w:bCs/>
          <w:iCs/>
          <w:sz w:val="20"/>
          <w:szCs w:val="20"/>
          <w:lang w:eastAsia="en-US"/>
        </w:rPr>
        <w:t>276.737,24</w:t>
      </w:r>
      <w:r w:rsidRPr="00E55F97">
        <w:rPr>
          <w:rFonts w:ascii="Arial" w:eastAsia="Times New Roman" w:hAnsi="Arial" w:cs="Arial"/>
          <w:bCs/>
          <w:iCs/>
          <w:sz w:val="20"/>
          <w:szCs w:val="20"/>
          <w:lang w:eastAsia="en-US"/>
        </w:rPr>
        <w:t xml:space="preserve"> € (od čega glavnica </w:t>
      </w:r>
      <w:r>
        <w:rPr>
          <w:rFonts w:ascii="Arial" w:eastAsia="Times New Roman" w:hAnsi="Arial" w:cs="Arial"/>
          <w:bCs/>
          <w:iCs/>
          <w:sz w:val="20"/>
          <w:szCs w:val="20"/>
          <w:lang w:eastAsia="en-US"/>
        </w:rPr>
        <w:t xml:space="preserve">267.258,22 </w:t>
      </w:r>
      <w:r w:rsidRPr="00E55F97">
        <w:rPr>
          <w:rFonts w:ascii="Arial" w:eastAsia="Times New Roman" w:hAnsi="Arial" w:cs="Arial"/>
          <w:bCs/>
          <w:iCs/>
          <w:sz w:val="20"/>
          <w:szCs w:val="20"/>
          <w:lang w:eastAsia="en-US"/>
        </w:rPr>
        <w:t xml:space="preserve">€). </w:t>
      </w:r>
      <w:bookmarkEnd w:id="706"/>
      <w:r w:rsidRPr="00E55F97">
        <w:rPr>
          <w:rFonts w:ascii="Arial" w:eastAsia="Times New Roman" w:hAnsi="Arial" w:cs="Arial"/>
          <w:bCs/>
          <w:iCs/>
          <w:sz w:val="20"/>
          <w:szCs w:val="20"/>
          <w:lang w:eastAsia="en-US"/>
        </w:rPr>
        <w:t xml:space="preserve">Redovna kamata prema osnovnom ugovoru iznosi </w:t>
      </w:r>
      <w:bookmarkStart w:id="707" w:name="_Hlk230355158"/>
      <w:r w:rsidR="0028488F">
        <w:rPr>
          <w:rFonts w:ascii="Arial" w:eastAsia="Times New Roman" w:hAnsi="Arial" w:cs="Arial"/>
          <w:bCs/>
          <w:iCs/>
          <w:sz w:val="20"/>
          <w:szCs w:val="20"/>
          <w:lang w:eastAsia="en-US"/>
        </w:rPr>
        <w:t>9.479,02</w:t>
      </w:r>
      <w:r w:rsidRPr="00E55F97">
        <w:rPr>
          <w:rFonts w:ascii="Arial" w:eastAsia="Times New Roman" w:hAnsi="Arial" w:cs="Arial"/>
          <w:bCs/>
          <w:iCs/>
          <w:sz w:val="20"/>
          <w:szCs w:val="20"/>
          <w:lang w:eastAsia="en-US"/>
        </w:rPr>
        <w:t xml:space="preserve"> </w:t>
      </w:r>
      <w:bookmarkEnd w:id="707"/>
      <w:r w:rsidRPr="00E55F97">
        <w:rPr>
          <w:rFonts w:ascii="Arial" w:eastAsia="Times New Roman" w:hAnsi="Arial" w:cs="Arial"/>
          <w:bCs/>
          <w:iCs/>
          <w:sz w:val="20"/>
          <w:szCs w:val="20"/>
          <w:lang w:eastAsia="en-US"/>
        </w:rPr>
        <w:t>€. Kako se kamata obračunava prema tromjesečnom EURIBOR-u iznos kamata je već</w:t>
      </w:r>
      <w:r w:rsidR="006E3E05">
        <w:rPr>
          <w:rFonts w:ascii="Arial" w:eastAsia="Times New Roman" w:hAnsi="Arial" w:cs="Arial"/>
          <w:bCs/>
          <w:iCs/>
          <w:sz w:val="20"/>
          <w:szCs w:val="20"/>
          <w:lang w:eastAsia="en-US"/>
        </w:rPr>
        <w:t>i</w:t>
      </w:r>
      <w:r w:rsidRPr="00E55F97">
        <w:rPr>
          <w:rFonts w:ascii="Arial" w:eastAsia="Times New Roman" w:hAnsi="Arial" w:cs="Arial"/>
          <w:bCs/>
          <w:iCs/>
          <w:sz w:val="20"/>
          <w:szCs w:val="20"/>
          <w:lang w:eastAsia="en-US"/>
        </w:rPr>
        <w:t xml:space="preserve"> (zbog rasta EURIBOR-a). </w:t>
      </w:r>
    </w:p>
    <w:p w14:paraId="3FB29866" w14:textId="47C911C1" w:rsidR="00E55F97" w:rsidRPr="00E55F97" w:rsidRDefault="00E55F97" w:rsidP="00E55F97">
      <w:pPr>
        <w:spacing w:after="0" w:line="240" w:lineRule="auto"/>
        <w:jc w:val="both"/>
        <w:rPr>
          <w:rFonts w:ascii="Arial" w:eastAsia="Times New Roman" w:hAnsi="Arial" w:cs="Arial"/>
          <w:bCs/>
          <w:iCs/>
          <w:sz w:val="20"/>
          <w:szCs w:val="20"/>
          <w:lang w:eastAsia="en-US"/>
        </w:rPr>
      </w:pPr>
      <w:bookmarkStart w:id="708" w:name="_Hlk230355215"/>
      <w:r w:rsidRPr="00E55F97">
        <w:rPr>
          <w:rFonts w:ascii="Arial" w:eastAsia="Times New Roman" w:hAnsi="Arial" w:cs="Arial"/>
          <w:bCs/>
          <w:iCs/>
          <w:sz w:val="20"/>
          <w:szCs w:val="20"/>
          <w:lang w:eastAsia="en-US"/>
        </w:rPr>
        <w:lastRenderedPageBreak/>
        <w:t>Komunalnom društvu su u 202</w:t>
      </w:r>
      <w:r w:rsidR="00CB10A5">
        <w:rPr>
          <w:rFonts w:ascii="Arial" w:eastAsia="Times New Roman" w:hAnsi="Arial" w:cs="Arial"/>
          <w:bCs/>
          <w:iCs/>
          <w:sz w:val="20"/>
          <w:szCs w:val="20"/>
          <w:lang w:eastAsia="en-US"/>
        </w:rPr>
        <w:t>5</w:t>
      </w:r>
      <w:r w:rsidRPr="00E55F97">
        <w:rPr>
          <w:rFonts w:ascii="Arial" w:eastAsia="Times New Roman" w:hAnsi="Arial" w:cs="Arial"/>
          <w:bCs/>
          <w:iCs/>
          <w:sz w:val="20"/>
          <w:szCs w:val="20"/>
          <w:lang w:eastAsia="en-US"/>
        </w:rPr>
        <w:t xml:space="preserve">. doznačena sredstva u iznosu </w:t>
      </w:r>
      <w:r w:rsidR="0028488F">
        <w:rPr>
          <w:rFonts w:ascii="Arial" w:eastAsia="Times New Roman" w:hAnsi="Arial" w:cs="Arial"/>
          <w:bCs/>
          <w:iCs/>
          <w:sz w:val="20"/>
          <w:szCs w:val="20"/>
          <w:lang w:eastAsia="en-US"/>
        </w:rPr>
        <w:t>74.648,34</w:t>
      </w:r>
      <w:r w:rsidRPr="00E55F97">
        <w:rPr>
          <w:rFonts w:ascii="Arial" w:eastAsia="Times New Roman" w:hAnsi="Arial" w:cs="Arial"/>
          <w:bCs/>
          <w:iCs/>
          <w:sz w:val="20"/>
          <w:szCs w:val="20"/>
          <w:lang w:eastAsia="en-US"/>
        </w:rPr>
        <w:t xml:space="preserve"> € u obliku kapitalne pomoći za otplatu obroka kredita (Erste&amp;Steiermärkische Bank d.d. Rijeka) </w:t>
      </w:r>
      <w:r w:rsidR="0028488F">
        <w:rPr>
          <w:rFonts w:ascii="Arial" w:eastAsia="Times New Roman" w:hAnsi="Arial" w:cs="Arial"/>
          <w:bCs/>
          <w:iCs/>
          <w:sz w:val="20"/>
          <w:szCs w:val="20"/>
          <w:lang w:eastAsia="en-US"/>
        </w:rPr>
        <w:t>(od čega za povrat glavnice 53.390,70 € i za kamate 15.257,64 €)</w:t>
      </w:r>
      <w:r w:rsidRPr="00E55F97">
        <w:rPr>
          <w:rFonts w:ascii="Arial" w:eastAsia="Times New Roman" w:hAnsi="Arial" w:cs="Arial"/>
          <w:bCs/>
          <w:iCs/>
          <w:sz w:val="20"/>
          <w:szCs w:val="20"/>
          <w:lang w:eastAsia="en-US"/>
        </w:rPr>
        <w:t>.</w:t>
      </w:r>
    </w:p>
    <w:p w14:paraId="418D4B62" w14:textId="625868DF" w:rsidR="00E55F97" w:rsidRPr="00E55F97" w:rsidRDefault="00E55F97" w:rsidP="00E55F97">
      <w:pPr>
        <w:spacing w:after="0" w:line="240" w:lineRule="auto"/>
        <w:jc w:val="both"/>
        <w:rPr>
          <w:rFonts w:ascii="Arial" w:eastAsia="Times New Roman" w:hAnsi="Arial" w:cs="Arial"/>
          <w:bCs/>
          <w:iCs/>
          <w:sz w:val="20"/>
          <w:szCs w:val="20"/>
          <w:lang w:eastAsia="en-US"/>
        </w:rPr>
      </w:pPr>
      <w:r w:rsidRPr="00E55F97">
        <w:rPr>
          <w:rFonts w:ascii="Arial" w:eastAsia="Times New Roman" w:hAnsi="Arial" w:cs="Arial"/>
          <w:bCs/>
          <w:iCs/>
          <w:sz w:val="20"/>
          <w:szCs w:val="20"/>
          <w:lang w:eastAsia="en-US"/>
        </w:rPr>
        <w:t>Stanje aktivnih jamstava koncem</w:t>
      </w:r>
      <w:r>
        <w:rPr>
          <w:rFonts w:ascii="Arial" w:eastAsia="Times New Roman" w:hAnsi="Arial" w:cs="Arial"/>
          <w:bCs/>
          <w:iCs/>
          <w:sz w:val="20"/>
          <w:szCs w:val="20"/>
          <w:lang w:eastAsia="en-US"/>
        </w:rPr>
        <w:t xml:space="preserve"> </w:t>
      </w:r>
      <w:r w:rsidRPr="00E55F97">
        <w:rPr>
          <w:rFonts w:ascii="Arial" w:eastAsia="Times New Roman" w:hAnsi="Arial" w:cs="Arial"/>
          <w:bCs/>
          <w:iCs/>
          <w:sz w:val="20"/>
          <w:szCs w:val="20"/>
          <w:lang w:eastAsia="en-US"/>
        </w:rPr>
        <w:t>202</w:t>
      </w:r>
      <w:r>
        <w:rPr>
          <w:rFonts w:ascii="Arial" w:eastAsia="Times New Roman" w:hAnsi="Arial" w:cs="Arial"/>
          <w:bCs/>
          <w:iCs/>
          <w:sz w:val="20"/>
          <w:szCs w:val="20"/>
          <w:lang w:eastAsia="en-US"/>
        </w:rPr>
        <w:t>5</w:t>
      </w:r>
      <w:r w:rsidRPr="00E55F97">
        <w:rPr>
          <w:rFonts w:ascii="Arial" w:eastAsia="Times New Roman" w:hAnsi="Arial" w:cs="Arial"/>
          <w:bCs/>
          <w:iCs/>
          <w:sz w:val="20"/>
          <w:szCs w:val="20"/>
          <w:lang w:eastAsia="en-US"/>
        </w:rPr>
        <w:t xml:space="preserve">. po spomenutom jamstvu iznosi </w:t>
      </w:r>
      <w:r w:rsidR="0028488F">
        <w:rPr>
          <w:rFonts w:ascii="Arial" w:eastAsia="Times New Roman" w:hAnsi="Arial" w:cs="Arial"/>
          <w:bCs/>
          <w:iCs/>
          <w:sz w:val="20"/>
          <w:szCs w:val="20"/>
          <w:lang w:eastAsia="en-US"/>
        </w:rPr>
        <w:t>276.737,24</w:t>
      </w:r>
      <w:r w:rsidRPr="00E55F97">
        <w:rPr>
          <w:rFonts w:ascii="Arial" w:eastAsia="Times New Roman" w:hAnsi="Arial" w:cs="Arial"/>
          <w:bCs/>
          <w:iCs/>
          <w:sz w:val="20"/>
          <w:szCs w:val="20"/>
          <w:lang w:eastAsia="en-US"/>
        </w:rPr>
        <w:t xml:space="preserve"> € (bilanca, evidentirano u izvanbilančnoj evidenciji</w:t>
      </w:r>
      <w:bookmarkEnd w:id="708"/>
      <w:r w:rsidRPr="00E55F97">
        <w:rPr>
          <w:rFonts w:ascii="Arial" w:eastAsia="Times New Roman" w:hAnsi="Arial" w:cs="Arial"/>
          <w:bCs/>
          <w:iCs/>
          <w:sz w:val="20"/>
          <w:szCs w:val="20"/>
          <w:lang w:eastAsia="en-US"/>
        </w:rPr>
        <w:t>).</w:t>
      </w:r>
    </w:p>
    <w:bookmarkEnd w:id="702"/>
    <w:bookmarkEnd w:id="705"/>
    <w:p w14:paraId="7ACC4D62" w14:textId="77777777" w:rsidR="00E55F97" w:rsidRPr="00EB650B" w:rsidRDefault="00E55F97" w:rsidP="00891119">
      <w:pPr>
        <w:spacing w:after="0" w:line="240" w:lineRule="auto"/>
        <w:jc w:val="both"/>
        <w:rPr>
          <w:rFonts w:ascii="Arial" w:eastAsia="Times New Roman" w:hAnsi="Arial" w:cs="Arial"/>
          <w:bCs/>
          <w:iCs/>
          <w:sz w:val="20"/>
          <w:szCs w:val="20"/>
          <w:lang w:eastAsia="en-US"/>
        </w:rPr>
      </w:pPr>
    </w:p>
    <w:p w14:paraId="16838BB7" w14:textId="2032D5D8" w:rsidR="00891119" w:rsidRPr="00EB650B" w:rsidRDefault="00891119" w:rsidP="00891119">
      <w:pPr>
        <w:spacing w:after="0" w:line="240" w:lineRule="auto"/>
        <w:jc w:val="both"/>
        <w:rPr>
          <w:rFonts w:ascii="Arial" w:eastAsia="Times New Roman" w:hAnsi="Arial" w:cs="Arial"/>
          <w:bCs/>
          <w:iCs/>
          <w:sz w:val="20"/>
          <w:szCs w:val="20"/>
          <w:lang w:eastAsia="en-US"/>
        </w:rPr>
      </w:pPr>
      <w:r w:rsidRPr="00EB650B">
        <w:rPr>
          <w:rFonts w:ascii="Arial" w:eastAsia="Times New Roman" w:hAnsi="Arial" w:cs="Arial"/>
          <w:bCs/>
          <w:iCs/>
          <w:sz w:val="20"/>
          <w:szCs w:val="20"/>
          <w:lang w:eastAsia="en-US"/>
        </w:rPr>
        <w:t xml:space="preserve">U tablici u nastavku daje se </w:t>
      </w:r>
      <w:r w:rsidRPr="00EB650B">
        <w:rPr>
          <w:rFonts w:ascii="Arial" w:eastAsia="Times New Roman" w:hAnsi="Arial" w:cs="Arial"/>
          <w:b/>
          <w:bCs/>
          <w:iCs/>
          <w:sz w:val="20"/>
          <w:szCs w:val="20"/>
          <w:lang w:eastAsia="en-US"/>
        </w:rPr>
        <w:t>pregled protestiranih jamstava</w:t>
      </w:r>
      <w:r w:rsidRPr="00EB650B">
        <w:rPr>
          <w:rFonts w:ascii="Arial" w:eastAsia="Times New Roman" w:hAnsi="Arial" w:cs="Arial"/>
          <w:bCs/>
          <w:iCs/>
          <w:sz w:val="20"/>
          <w:szCs w:val="20"/>
          <w:lang w:eastAsia="en-US"/>
        </w:rPr>
        <w:t xml:space="preserve"> jedinice lokalne samouprave.</w:t>
      </w:r>
    </w:p>
    <w:p w14:paraId="6E14E55D" w14:textId="09520B4B" w:rsidR="00FB332B" w:rsidRPr="00EB650B" w:rsidRDefault="00FB332B" w:rsidP="00891119">
      <w:pPr>
        <w:spacing w:after="0" w:line="240" w:lineRule="auto"/>
        <w:jc w:val="both"/>
        <w:rPr>
          <w:rFonts w:ascii="Arial" w:eastAsia="Times New Roman" w:hAnsi="Arial" w:cs="Arial"/>
          <w:bCs/>
          <w:iCs/>
          <w:sz w:val="20"/>
          <w:szCs w:val="20"/>
          <w:lang w:eastAsia="en-US"/>
        </w:rPr>
      </w:pPr>
      <w:bookmarkStart w:id="709" w:name="_Hlk17992341"/>
    </w:p>
    <w:p w14:paraId="32B0045E" w14:textId="42280961" w:rsidR="00891119" w:rsidRPr="003A2F86" w:rsidRDefault="004C330F" w:rsidP="004C330F">
      <w:pPr>
        <w:pStyle w:val="Opisslike"/>
        <w:keepNext/>
        <w:jc w:val="both"/>
      </w:pPr>
      <w:bookmarkStart w:id="710" w:name="_Toc232981552"/>
      <w:r w:rsidRPr="003A2F86">
        <w:rPr>
          <w:color w:val="FF0000"/>
        </w:rPr>
        <w:t xml:space="preserve">Tablica </w:t>
      </w:r>
      <w:r w:rsidR="002A3DE2" w:rsidRPr="003A2F86">
        <w:rPr>
          <w:color w:val="FF0000"/>
        </w:rPr>
        <w:fldChar w:fldCharType="begin"/>
      </w:r>
      <w:r w:rsidR="002A3DE2" w:rsidRPr="003A2F86">
        <w:rPr>
          <w:color w:val="FF0000"/>
        </w:rPr>
        <w:instrText xml:space="preserve"> SEQ Tablica \* ARABIC </w:instrText>
      </w:r>
      <w:r w:rsidR="002A3DE2" w:rsidRPr="003A2F86">
        <w:rPr>
          <w:color w:val="FF0000"/>
        </w:rPr>
        <w:fldChar w:fldCharType="separate"/>
      </w:r>
      <w:r w:rsidR="00A821D8">
        <w:rPr>
          <w:noProof/>
          <w:color w:val="FF0000"/>
        </w:rPr>
        <w:t>33</w:t>
      </w:r>
      <w:r w:rsidR="002A3DE2" w:rsidRPr="003A2F86">
        <w:rPr>
          <w:color w:val="FF0000"/>
        </w:rPr>
        <w:fldChar w:fldCharType="end"/>
      </w:r>
      <w:r w:rsidRPr="003A2F86">
        <w:rPr>
          <w:color w:val="FF0000"/>
        </w:rPr>
        <w:t>.</w:t>
      </w:r>
      <w:r w:rsidRPr="003A2F86">
        <w:t xml:space="preserve">: </w:t>
      </w:r>
      <w:r w:rsidR="00891119" w:rsidRPr="003A2F86">
        <w:rPr>
          <w:rFonts w:ascii="Arial" w:hAnsi="Arial" w:cs="Arial"/>
          <w:bCs w:val="0"/>
          <w:iCs/>
        </w:rPr>
        <w:t>Pregled protestiranih jamstava u 20</w:t>
      </w:r>
      <w:r w:rsidR="00C5619F" w:rsidRPr="003A2F86">
        <w:rPr>
          <w:rFonts w:ascii="Arial" w:hAnsi="Arial" w:cs="Arial"/>
          <w:bCs w:val="0"/>
          <w:iCs/>
        </w:rPr>
        <w:t>2</w:t>
      </w:r>
      <w:r w:rsidR="00CB10A5">
        <w:rPr>
          <w:rFonts w:ascii="Arial" w:hAnsi="Arial" w:cs="Arial"/>
          <w:bCs w:val="0"/>
          <w:iCs/>
        </w:rPr>
        <w:t>5</w:t>
      </w:r>
      <w:r w:rsidR="00891119" w:rsidRPr="003A2F86">
        <w:rPr>
          <w:rFonts w:ascii="Arial" w:hAnsi="Arial" w:cs="Arial"/>
          <w:bCs w:val="0"/>
          <w:iCs/>
        </w:rPr>
        <w:t>.</w:t>
      </w:r>
      <w:bookmarkEnd w:id="710"/>
    </w:p>
    <w:bookmarkEnd w:id="709"/>
    <w:p w14:paraId="25A44D10" w14:textId="77777777" w:rsidR="00891119" w:rsidRPr="003A2F86" w:rsidRDefault="00891119" w:rsidP="00891119">
      <w:pPr>
        <w:spacing w:after="0" w:line="240" w:lineRule="auto"/>
        <w:rPr>
          <w:rFonts w:ascii="Arial" w:eastAsia="Times New Roman" w:hAnsi="Arial" w:cs="Arial"/>
          <w:iCs/>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7"/>
        <w:gridCol w:w="1783"/>
        <w:gridCol w:w="2568"/>
        <w:gridCol w:w="2047"/>
        <w:gridCol w:w="827"/>
        <w:gridCol w:w="1217"/>
        <w:gridCol w:w="1316"/>
        <w:gridCol w:w="887"/>
        <w:gridCol w:w="1397"/>
      </w:tblGrid>
      <w:tr w:rsidR="00DA03FB" w:rsidRPr="003A2F86" w14:paraId="4295CBE6" w14:textId="77777777" w:rsidTr="00453A52">
        <w:trPr>
          <w:trHeight w:val="838"/>
          <w:jc w:val="center"/>
        </w:trPr>
        <w:tc>
          <w:tcPr>
            <w:tcW w:w="607" w:type="dxa"/>
            <w:vAlign w:val="center"/>
          </w:tcPr>
          <w:p w14:paraId="2B2D1A28" w14:textId="77777777" w:rsidR="00DA03FB" w:rsidRPr="003A2F86" w:rsidRDefault="00DA03FB" w:rsidP="00891119">
            <w:pPr>
              <w:autoSpaceDE w:val="0"/>
              <w:autoSpaceDN w:val="0"/>
              <w:adjustRightInd w:val="0"/>
              <w:spacing w:after="0" w:line="240" w:lineRule="auto"/>
              <w:jc w:val="center"/>
              <w:rPr>
                <w:rFonts w:ascii="Arial" w:eastAsia="Times New Roman" w:hAnsi="Arial" w:cs="Arial"/>
                <w:sz w:val="18"/>
                <w:szCs w:val="18"/>
              </w:rPr>
            </w:pPr>
            <w:r w:rsidRPr="003A2F86">
              <w:rPr>
                <w:rFonts w:ascii="Arial" w:eastAsia="Times New Roman" w:hAnsi="Arial" w:cs="Arial"/>
                <w:sz w:val="18"/>
                <w:szCs w:val="18"/>
              </w:rPr>
              <w:t>R. br.</w:t>
            </w:r>
          </w:p>
        </w:tc>
        <w:tc>
          <w:tcPr>
            <w:tcW w:w="1783" w:type="dxa"/>
            <w:vAlign w:val="center"/>
          </w:tcPr>
          <w:p w14:paraId="7C5144F9" w14:textId="77777777" w:rsidR="00DA03FB" w:rsidRPr="003A2F86" w:rsidRDefault="00DA03FB" w:rsidP="00891119">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iCs/>
                <w:sz w:val="18"/>
                <w:szCs w:val="18"/>
                <w:lang w:eastAsia="en-US"/>
              </w:rPr>
              <w:t>Datum plaćanja po protestiranom jamstvu</w:t>
            </w:r>
          </w:p>
        </w:tc>
        <w:tc>
          <w:tcPr>
            <w:tcW w:w="2568" w:type="dxa"/>
            <w:vAlign w:val="center"/>
          </w:tcPr>
          <w:p w14:paraId="54CFF97E" w14:textId="77777777" w:rsidR="00DA03FB" w:rsidRPr="003A2F86" w:rsidRDefault="00DA03FB" w:rsidP="00891119">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iCs/>
                <w:sz w:val="18"/>
                <w:szCs w:val="18"/>
                <w:lang w:eastAsia="en-US"/>
              </w:rPr>
              <w:t>Naziv korisnika kredita, odnosno dužnika</w:t>
            </w:r>
          </w:p>
        </w:tc>
        <w:tc>
          <w:tcPr>
            <w:tcW w:w="2047" w:type="dxa"/>
            <w:vAlign w:val="center"/>
          </w:tcPr>
          <w:p w14:paraId="49A34C7C" w14:textId="77777777" w:rsidR="00DA03FB" w:rsidRPr="003A2F86" w:rsidRDefault="00DA03FB" w:rsidP="00891119">
            <w:pPr>
              <w:autoSpaceDE w:val="0"/>
              <w:autoSpaceDN w:val="0"/>
              <w:adjustRightInd w:val="0"/>
              <w:spacing w:after="0" w:line="240" w:lineRule="auto"/>
              <w:jc w:val="center"/>
              <w:rPr>
                <w:rFonts w:ascii="Arial" w:eastAsia="Times New Roman" w:hAnsi="Arial" w:cs="Arial"/>
                <w:sz w:val="18"/>
                <w:szCs w:val="18"/>
              </w:rPr>
            </w:pPr>
            <w:r w:rsidRPr="003A2F86">
              <w:rPr>
                <w:rFonts w:ascii="Arial" w:eastAsia="Times New Roman" w:hAnsi="Arial" w:cs="Arial"/>
                <w:sz w:val="18"/>
                <w:szCs w:val="18"/>
              </w:rPr>
              <w:t>Naziv financijske institucije u čiju korist je protestirano jamstvo</w:t>
            </w:r>
          </w:p>
        </w:tc>
        <w:tc>
          <w:tcPr>
            <w:tcW w:w="827" w:type="dxa"/>
            <w:vAlign w:val="center"/>
          </w:tcPr>
          <w:p w14:paraId="18BA189A" w14:textId="77777777" w:rsidR="00DA03FB" w:rsidRPr="003A2F86" w:rsidRDefault="00DA03FB" w:rsidP="00891119">
            <w:pPr>
              <w:autoSpaceDE w:val="0"/>
              <w:autoSpaceDN w:val="0"/>
              <w:adjustRightInd w:val="0"/>
              <w:spacing w:after="0" w:line="240" w:lineRule="auto"/>
              <w:jc w:val="center"/>
              <w:rPr>
                <w:rFonts w:ascii="Arial" w:eastAsia="Times New Roman" w:hAnsi="Arial" w:cs="Arial"/>
                <w:sz w:val="18"/>
                <w:szCs w:val="18"/>
              </w:rPr>
            </w:pPr>
            <w:r w:rsidRPr="003A2F86">
              <w:rPr>
                <w:rFonts w:ascii="Arial" w:eastAsia="Times New Roman" w:hAnsi="Arial" w:cs="Arial"/>
                <w:sz w:val="18"/>
                <w:szCs w:val="18"/>
              </w:rPr>
              <w:t>Valutna jedinica</w:t>
            </w:r>
          </w:p>
        </w:tc>
        <w:tc>
          <w:tcPr>
            <w:tcW w:w="1217" w:type="dxa"/>
            <w:vAlign w:val="center"/>
          </w:tcPr>
          <w:p w14:paraId="364E8079" w14:textId="77777777" w:rsidR="00DA03FB" w:rsidRPr="003A2F86" w:rsidRDefault="00DA03FB" w:rsidP="00891119">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iCs/>
                <w:sz w:val="18"/>
                <w:szCs w:val="18"/>
                <w:lang w:eastAsia="en-US"/>
              </w:rPr>
              <w:t>Iznos plaćene glavnice u valuti</w:t>
            </w:r>
          </w:p>
        </w:tc>
        <w:tc>
          <w:tcPr>
            <w:tcW w:w="1316" w:type="dxa"/>
            <w:vAlign w:val="center"/>
          </w:tcPr>
          <w:p w14:paraId="7CA36218" w14:textId="77777777" w:rsidR="00DA03FB" w:rsidRPr="003A2F86" w:rsidRDefault="00DA03FB" w:rsidP="00891119">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iCs/>
                <w:sz w:val="18"/>
                <w:szCs w:val="18"/>
                <w:lang w:eastAsia="en-US"/>
              </w:rPr>
              <w:t>Iznos plaćenih kamata u valuti</w:t>
            </w:r>
          </w:p>
        </w:tc>
        <w:tc>
          <w:tcPr>
            <w:tcW w:w="887" w:type="dxa"/>
            <w:vAlign w:val="center"/>
          </w:tcPr>
          <w:p w14:paraId="22F71F24" w14:textId="77777777" w:rsidR="00DA03FB" w:rsidRPr="003A2F86" w:rsidRDefault="00DA03FB" w:rsidP="00891119">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iCs/>
                <w:sz w:val="18"/>
                <w:szCs w:val="18"/>
                <w:lang w:eastAsia="en-US"/>
              </w:rPr>
              <w:t>Ostala plaćanja u valuti</w:t>
            </w:r>
          </w:p>
        </w:tc>
        <w:tc>
          <w:tcPr>
            <w:tcW w:w="1397" w:type="dxa"/>
            <w:vAlign w:val="center"/>
          </w:tcPr>
          <w:p w14:paraId="7D727B9F" w14:textId="77777777" w:rsidR="00DA03FB" w:rsidRPr="003A2F86" w:rsidRDefault="00DA03FB" w:rsidP="00891119">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Ukupan iznos izvršenih plaćanja u valuti</w:t>
            </w:r>
          </w:p>
          <w:p w14:paraId="2BFD70E8" w14:textId="77777777" w:rsidR="00DA03FB" w:rsidRPr="003A2F86" w:rsidRDefault="00DA03FB" w:rsidP="00891119">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(EUR)</w:t>
            </w:r>
          </w:p>
        </w:tc>
      </w:tr>
      <w:tr w:rsidR="00DA03FB" w:rsidRPr="003A2F86" w14:paraId="3025C000" w14:textId="77777777" w:rsidTr="00453A52">
        <w:trPr>
          <w:jc w:val="center"/>
        </w:trPr>
        <w:tc>
          <w:tcPr>
            <w:tcW w:w="607" w:type="dxa"/>
            <w:vAlign w:val="center"/>
          </w:tcPr>
          <w:p w14:paraId="07BC1558" w14:textId="77777777" w:rsidR="00DA03FB" w:rsidRPr="003A2F86" w:rsidRDefault="00DA03FB" w:rsidP="00891119">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1</w:t>
            </w:r>
          </w:p>
        </w:tc>
        <w:tc>
          <w:tcPr>
            <w:tcW w:w="1783" w:type="dxa"/>
            <w:vAlign w:val="center"/>
          </w:tcPr>
          <w:p w14:paraId="558B7BD4" w14:textId="77777777" w:rsidR="00DA03FB" w:rsidRPr="003A2F86" w:rsidRDefault="00DA03FB" w:rsidP="00891119">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2</w:t>
            </w:r>
          </w:p>
        </w:tc>
        <w:tc>
          <w:tcPr>
            <w:tcW w:w="2568" w:type="dxa"/>
            <w:vAlign w:val="center"/>
          </w:tcPr>
          <w:p w14:paraId="631A49F5" w14:textId="77777777" w:rsidR="00DA03FB" w:rsidRPr="003A2F86" w:rsidRDefault="00DA03FB" w:rsidP="00891119">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3</w:t>
            </w:r>
          </w:p>
        </w:tc>
        <w:tc>
          <w:tcPr>
            <w:tcW w:w="2047" w:type="dxa"/>
            <w:vAlign w:val="center"/>
          </w:tcPr>
          <w:p w14:paraId="029422F6" w14:textId="77777777" w:rsidR="00DA03FB" w:rsidRPr="003A2F86" w:rsidRDefault="00DA03FB" w:rsidP="00891119">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4</w:t>
            </w:r>
          </w:p>
        </w:tc>
        <w:tc>
          <w:tcPr>
            <w:tcW w:w="827" w:type="dxa"/>
            <w:vAlign w:val="center"/>
          </w:tcPr>
          <w:p w14:paraId="080DDA83" w14:textId="77777777" w:rsidR="00DA03FB" w:rsidRPr="003A2F86" w:rsidRDefault="00DA03FB" w:rsidP="00891119">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5</w:t>
            </w:r>
          </w:p>
        </w:tc>
        <w:tc>
          <w:tcPr>
            <w:tcW w:w="1217" w:type="dxa"/>
            <w:vAlign w:val="center"/>
          </w:tcPr>
          <w:p w14:paraId="16848E57" w14:textId="77777777" w:rsidR="00DA03FB" w:rsidRPr="003A2F86" w:rsidRDefault="00DA03FB" w:rsidP="00891119">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6</w:t>
            </w:r>
          </w:p>
        </w:tc>
        <w:tc>
          <w:tcPr>
            <w:tcW w:w="1316" w:type="dxa"/>
            <w:vAlign w:val="center"/>
          </w:tcPr>
          <w:p w14:paraId="7655534B" w14:textId="2BCB1EB5" w:rsidR="00DA03FB" w:rsidRPr="003A2F86" w:rsidRDefault="00DA03FB" w:rsidP="00891119">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7.</w:t>
            </w:r>
          </w:p>
        </w:tc>
        <w:tc>
          <w:tcPr>
            <w:tcW w:w="887" w:type="dxa"/>
            <w:vAlign w:val="center"/>
          </w:tcPr>
          <w:p w14:paraId="426961F0" w14:textId="77777777" w:rsidR="00DA03FB" w:rsidRPr="003A2F86" w:rsidRDefault="00DA03FB" w:rsidP="00891119">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8</w:t>
            </w:r>
          </w:p>
        </w:tc>
        <w:tc>
          <w:tcPr>
            <w:tcW w:w="1397" w:type="dxa"/>
            <w:vAlign w:val="center"/>
          </w:tcPr>
          <w:p w14:paraId="5FDF15D1" w14:textId="77777777" w:rsidR="00DA03FB" w:rsidRPr="003A2F86" w:rsidRDefault="00DA03FB" w:rsidP="00891119">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9</w:t>
            </w:r>
          </w:p>
        </w:tc>
      </w:tr>
      <w:tr w:rsidR="00DA03FB" w:rsidRPr="003A2F86" w14:paraId="14905D1F" w14:textId="77777777" w:rsidTr="00453A52">
        <w:trPr>
          <w:trHeight w:val="58"/>
          <w:jc w:val="center"/>
        </w:trPr>
        <w:tc>
          <w:tcPr>
            <w:tcW w:w="607" w:type="dxa"/>
            <w:vAlign w:val="center"/>
          </w:tcPr>
          <w:p w14:paraId="33438ED3" w14:textId="77777777" w:rsidR="00DA03FB" w:rsidRPr="003A2F86" w:rsidRDefault="00DA03FB" w:rsidP="00891119">
            <w:pPr>
              <w:spacing w:after="0" w:line="240" w:lineRule="auto"/>
              <w:jc w:val="center"/>
              <w:rPr>
                <w:rFonts w:ascii="Arial" w:eastAsia="Times New Roman" w:hAnsi="Arial" w:cs="Arial"/>
                <w:iCs/>
                <w:sz w:val="2"/>
                <w:szCs w:val="18"/>
                <w:lang w:eastAsia="en-US"/>
              </w:rPr>
            </w:pPr>
          </w:p>
        </w:tc>
        <w:tc>
          <w:tcPr>
            <w:tcW w:w="1783" w:type="dxa"/>
            <w:vAlign w:val="center"/>
          </w:tcPr>
          <w:p w14:paraId="41CB11CA" w14:textId="77777777" w:rsidR="00DA03FB" w:rsidRPr="003A2F86" w:rsidRDefault="00DA03FB" w:rsidP="00C5619F">
            <w:pPr>
              <w:spacing w:after="0" w:line="240" w:lineRule="auto"/>
              <w:jc w:val="center"/>
              <w:rPr>
                <w:rFonts w:ascii="Arial" w:eastAsia="Times New Roman" w:hAnsi="Arial" w:cs="Arial"/>
                <w:iCs/>
                <w:sz w:val="2"/>
                <w:szCs w:val="18"/>
                <w:lang w:eastAsia="en-US"/>
              </w:rPr>
            </w:pPr>
          </w:p>
        </w:tc>
        <w:tc>
          <w:tcPr>
            <w:tcW w:w="2568" w:type="dxa"/>
            <w:vAlign w:val="center"/>
          </w:tcPr>
          <w:p w14:paraId="267643C2" w14:textId="77777777" w:rsidR="00DA03FB" w:rsidRPr="003A2F86" w:rsidRDefault="00DA03FB" w:rsidP="00C5619F">
            <w:pPr>
              <w:autoSpaceDE w:val="0"/>
              <w:autoSpaceDN w:val="0"/>
              <w:adjustRightInd w:val="0"/>
              <w:spacing w:after="0" w:line="240" w:lineRule="auto"/>
              <w:jc w:val="center"/>
              <w:rPr>
                <w:rFonts w:ascii="Arial" w:eastAsia="Times New Roman" w:hAnsi="Arial" w:cs="Arial"/>
                <w:sz w:val="2"/>
                <w:szCs w:val="18"/>
              </w:rPr>
            </w:pPr>
          </w:p>
        </w:tc>
        <w:tc>
          <w:tcPr>
            <w:tcW w:w="2047" w:type="dxa"/>
            <w:vAlign w:val="center"/>
          </w:tcPr>
          <w:p w14:paraId="221226FF" w14:textId="77777777" w:rsidR="00DA03FB" w:rsidRPr="003A2F86" w:rsidRDefault="00DA03FB" w:rsidP="00C5619F">
            <w:pPr>
              <w:autoSpaceDE w:val="0"/>
              <w:autoSpaceDN w:val="0"/>
              <w:adjustRightInd w:val="0"/>
              <w:spacing w:after="0" w:line="240" w:lineRule="auto"/>
              <w:jc w:val="center"/>
              <w:rPr>
                <w:rFonts w:ascii="Arial" w:eastAsia="Times New Roman" w:hAnsi="Arial" w:cs="Arial"/>
                <w:sz w:val="2"/>
                <w:szCs w:val="18"/>
              </w:rPr>
            </w:pPr>
          </w:p>
        </w:tc>
        <w:tc>
          <w:tcPr>
            <w:tcW w:w="827" w:type="dxa"/>
            <w:vAlign w:val="center"/>
          </w:tcPr>
          <w:p w14:paraId="2D6EBCFC" w14:textId="77777777" w:rsidR="00DA03FB" w:rsidRPr="003A2F86" w:rsidRDefault="00DA03FB" w:rsidP="00C5619F">
            <w:pPr>
              <w:autoSpaceDE w:val="0"/>
              <w:autoSpaceDN w:val="0"/>
              <w:adjustRightInd w:val="0"/>
              <w:spacing w:after="0" w:line="240" w:lineRule="auto"/>
              <w:jc w:val="center"/>
              <w:rPr>
                <w:rFonts w:ascii="Arial" w:eastAsia="Times New Roman" w:hAnsi="Arial" w:cs="Arial"/>
                <w:sz w:val="2"/>
                <w:szCs w:val="18"/>
              </w:rPr>
            </w:pPr>
          </w:p>
        </w:tc>
        <w:tc>
          <w:tcPr>
            <w:tcW w:w="1217" w:type="dxa"/>
            <w:vAlign w:val="center"/>
          </w:tcPr>
          <w:p w14:paraId="0C54D9CE" w14:textId="77777777" w:rsidR="00DA03FB" w:rsidRPr="003A2F86" w:rsidRDefault="00DA03FB" w:rsidP="00C5619F">
            <w:pPr>
              <w:spacing w:after="0" w:line="240" w:lineRule="auto"/>
              <w:jc w:val="center"/>
              <w:rPr>
                <w:rFonts w:ascii="Arial" w:eastAsia="Times New Roman" w:hAnsi="Arial" w:cs="Arial"/>
                <w:iCs/>
                <w:sz w:val="2"/>
                <w:szCs w:val="18"/>
                <w:lang w:eastAsia="en-US"/>
              </w:rPr>
            </w:pPr>
          </w:p>
        </w:tc>
        <w:tc>
          <w:tcPr>
            <w:tcW w:w="1316" w:type="dxa"/>
            <w:vAlign w:val="center"/>
          </w:tcPr>
          <w:p w14:paraId="2E34678A" w14:textId="77777777" w:rsidR="00DA03FB" w:rsidRPr="003A2F86" w:rsidRDefault="00DA03FB" w:rsidP="00C5619F">
            <w:pPr>
              <w:spacing w:after="0" w:line="240" w:lineRule="auto"/>
              <w:jc w:val="center"/>
              <w:rPr>
                <w:rFonts w:ascii="Arial" w:eastAsia="Times New Roman" w:hAnsi="Arial" w:cs="Arial"/>
                <w:iCs/>
                <w:sz w:val="2"/>
                <w:szCs w:val="18"/>
                <w:lang w:eastAsia="en-US"/>
              </w:rPr>
            </w:pPr>
          </w:p>
        </w:tc>
        <w:tc>
          <w:tcPr>
            <w:tcW w:w="887" w:type="dxa"/>
            <w:vAlign w:val="center"/>
          </w:tcPr>
          <w:p w14:paraId="2B74D959" w14:textId="77777777" w:rsidR="00DA03FB" w:rsidRPr="003A2F86" w:rsidRDefault="00DA03FB" w:rsidP="00C5619F">
            <w:pPr>
              <w:spacing w:after="0" w:line="240" w:lineRule="auto"/>
              <w:jc w:val="center"/>
              <w:rPr>
                <w:rFonts w:ascii="Arial" w:eastAsia="Times New Roman" w:hAnsi="Arial" w:cs="Arial"/>
                <w:iCs/>
                <w:sz w:val="2"/>
                <w:szCs w:val="18"/>
                <w:lang w:eastAsia="en-US"/>
              </w:rPr>
            </w:pPr>
          </w:p>
        </w:tc>
        <w:tc>
          <w:tcPr>
            <w:tcW w:w="1397" w:type="dxa"/>
            <w:vAlign w:val="center"/>
          </w:tcPr>
          <w:p w14:paraId="3CC2F85C" w14:textId="77777777" w:rsidR="00DA03FB" w:rsidRPr="003A2F86" w:rsidRDefault="00DA03FB" w:rsidP="00C5619F">
            <w:pPr>
              <w:spacing w:after="0" w:line="240" w:lineRule="auto"/>
              <w:jc w:val="center"/>
              <w:rPr>
                <w:rFonts w:ascii="Arial" w:eastAsia="Times New Roman" w:hAnsi="Arial" w:cs="Arial"/>
                <w:iCs/>
                <w:sz w:val="2"/>
                <w:szCs w:val="18"/>
                <w:lang w:eastAsia="en-US"/>
              </w:rPr>
            </w:pPr>
          </w:p>
        </w:tc>
      </w:tr>
      <w:tr w:rsidR="001C45E9" w:rsidRPr="003A2F86" w14:paraId="3CBA6132" w14:textId="77777777" w:rsidTr="00453A52">
        <w:trPr>
          <w:jc w:val="center"/>
        </w:trPr>
        <w:tc>
          <w:tcPr>
            <w:tcW w:w="607" w:type="dxa"/>
            <w:vAlign w:val="center"/>
          </w:tcPr>
          <w:p w14:paraId="015122CA" w14:textId="77777777" w:rsidR="001C45E9" w:rsidRPr="003A2F86" w:rsidRDefault="001C45E9" w:rsidP="001C45E9">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1.</w:t>
            </w:r>
          </w:p>
        </w:tc>
        <w:tc>
          <w:tcPr>
            <w:tcW w:w="1783" w:type="dxa"/>
            <w:vAlign w:val="center"/>
          </w:tcPr>
          <w:p w14:paraId="20B05F86" w14:textId="2C5B23DB" w:rsidR="001C45E9" w:rsidRPr="003A2F86" w:rsidRDefault="00CC628A" w:rsidP="001C45E9">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11.06.2025.</w:t>
            </w:r>
          </w:p>
        </w:tc>
        <w:tc>
          <w:tcPr>
            <w:tcW w:w="2568" w:type="dxa"/>
            <w:vAlign w:val="center"/>
          </w:tcPr>
          <w:p w14:paraId="294D5DBE" w14:textId="3628231E" w:rsidR="001C45E9" w:rsidRPr="003A2F86" w:rsidRDefault="001C45E9" w:rsidP="001C45E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Konavosko komunalno društvo d.o.o. Čilipi</w:t>
            </w:r>
          </w:p>
        </w:tc>
        <w:tc>
          <w:tcPr>
            <w:tcW w:w="2047" w:type="dxa"/>
            <w:vAlign w:val="center"/>
          </w:tcPr>
          <w:p w14:paraId="1811FAA2" w14:textId="3CD801F4" w:rsidR="001C45E9" w:rsidRPr="003A2F86" w:rsidRDefault="001C45E9" w:rsidP="001C45E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Erste&amp;Steiermärkische Bank d.d. Rijeka</w:t>
            </w:r>
          </w:p>
        </w:tc>
        <w:tc>
          <w:tcPr>
            <w:tcW w:w="827" w:type="dxa"/>
            <w:vAlign w:val="center"/>
          </w:tcPr>
          <w:p w14:paraId="04C8E851" w14:textId="45CFAF21" w:rsidR="001C45E9" w:rsidRPr="003A2F86" w:rsidRDefault="001C45E9" w:rsidP="001C45E9">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EUR</w:t>
            </w:r>
          </w:p>
        </w:tc>
        <w:tc>
          <w:tcPr>
            <w:tcW w:w="1217" w:type="dxa"/>
            <w:vAlign w:val="center"/>
          </w:tcPr>
          <w:p w14:paraId="2A8523E3" w14:textId="4B7E5563" w:rsidR="001C45E9" w:rsidRPr="003A2F86" w:rsidRDefault="001C45E9" w:rsidP="001C45E9">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0</w:t>
            </w:r>
          </w:p>
        </w:tc>
        <w:tc>
          <w:tcPr>
            <w:tcW w:w="1316" w:type="dxa"/>
            <w:vAlign w:val="center"/>
          </w:tcPr>
          <w:p w14:paraId="50BE7CFD" w14:textId="751A2D65" w:rsidR="001C45E9" w:rsidRPr="003A2F86" w:rsidRDefault="00CC628A" w:rsidP="001C45E9">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6.399,33</w:t>
            </w:r>
          </w:p>
        </w:tc>
        <w:tc>
          <w:tcPr>
            <w:tcW w:w="887" w:type="dxa"/>
            <w:vAlign w:val="center"/>
          </w:tcPr>
          <w:p w14:paraId="36CDDCFA" w14:textId="26B9987A" w:rsidR="001C45E9" w:rsidRPr="003A2F86" w:rsidRDefault="001C45E9" w:rsidP="001C45E9">
            <w:pPr>
              <w:spacing w:after="0" w:line="240" w:lineRule="auto"/>
              <w:jc w:val="center"/>
              <w:rPr>
                <w:rFonts w:ascii="Arial" w:eastAsia="Times New Roman" w:hAnsi="Arial" w:cs="Arial"/>
                <w:iCs/>
                <w:sz w:val="16"/>
                <w:szCs w:val="16"/>
                <w:lang w:eastAsia="en-US"/>
              </w:rPr>
            </w:pPr>
          </w:p>
        </w:tc>
        <w:tc>
          <w:tcPr>
            <w:tcW w:w="1397" w:type="dxa"/>
            <w:vAlign w:val="center"/>
          </w:tcPr>
          <w:p w14:paraId="12A32390" w14:textId="41AE07FB" w:rsidR="001C45E9" w:rsidRPr="003A2F86" w:rsidRDefault="00CC628A" w:rsidP="001C45E9">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6.399,33</w:t>
            </w:r>
          </w:p>
        </w:tc>
      </w:tr>
      <w:tr w:rsidR="00453A52" w:rsidRPr="003A2F86" w14:paraId="2AEB5510" w14:textId="77777777" w:rsidTr="00453A52">
        <w:trPr>
          <w:jc w:val="center"/>
        </w:trPr>
        <w:tc>
          <w:tcPr>
            <w:tcW w:w="607" w:type="dxa"/>
            <w:vAlign w:val="center"/>
          </w:tcPr>
          <w:p w14:paraId="47348D40" w14:textId="46EF0E63" w:rsidR="00453A52" w:rsidRPr="003A2F86" w:rsidRDefault="00453A52" w:rsidP="00453A52">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2.</w:t>
            </w:r>
          </w:p>
        </w:tc>
        <w:tc>
          <w:tcPr>
            <w:tcW w:w="1783" w:type="dxa"/>
            <w:vAlign w:val="center"/>
          </w:tcPr>
          <w:p w14:paraId="461BA418" w14:textId="5C07BCF6" w:rsidR="00453A52" w:rsidRDefault="00453A52" w:rsidP="00453A52">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30</w:t>
            </w:r>
            <w:r w:rsidRPr="003A2F86">
              <w:rPr>
                <w:rFonts w:ascii="Arial" w:eastAsia="Times New Roman" w:hAnsi="Arial" w:cs="Arial"/>
                <w:iCs/>
                <w:sz w:val="16"/>
                <w:szCs w:val="16"/>
                <w:lang w:eastAsia="en-US"/>
              </w:rPr>
              <w:t>.06.202</w:t>
            </w:r>
            <w:r>
              <w:rPr>
                <w:rFonts w:ascii="Arial" w:eastAsia="Times New Roman" w:hAnsi="Arial" w:cs="Arial"/>
                <w:iCs/>
                <w:sz w:val="16"/>
                <w:szCs w:val="16"/>
                <w:lang w:eastAsia="en-US"/>
              </w:rPr>
              <w:t>5</w:t>
            </w:r>
            <w:r w:rsidRPr="003A2F86">
              <w:rPr>
                <w:rFonts w:ascii="Arial" w:eastAsia="Times New Roman" w:hAnsi="Arial" w:cs="Arial"/>
                <w:iCs/>
                <w:sz w:val="16"/>
                <w:szCs w:val="16"/>
                <w:lang w:eastAsia="en-US"/>
              </w:rPr>
              <w:t>.</w:t>
            </w:r>
            <w:r>
              <w:rPr>
                <w:rFonts w:ascii="Arial" w:eastAsia="Times New Roman" w:hAnsi="Arial" w:cs="Arial"/>
                <w:iCs/>
                <w:sz w:val="16"/>
                <w:szCs w:val="16"/>
                <w:lang w:eastAsia="en-US"/>
              </w:rPr>
              <w:t>.</w:t>
            </w:r>
          </w:p>
        </w:tc>
        <w:tc>
          <w:tcPr>
            <w:tcW w:w="2568" w:type="dxa"/>
            <w:vAlign w:val="center"/>
          </w:tcPr>
          <w:p w14:paraId="2D731060" w14:textId="2FE910C5" w:rsidR="00453A52" w:rsidRPr="003A2F86" w:rsidRDefault="00453A52" w:rsidP="00453A52">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Konavosko komunalno društvo d.o.o. Čilipi</w:t>
            </w:r>
          </w:p>
        </w:tc>
        <w:tc>
          <w:tcPr>
            <w:tcW w:w="2047" w:type="dxa"/>
            <w:vAlign w:val="center"/>
          </w:tcPr>
          <w:p w14:paraId="3247FCAE" w14:textId="1B352285" w:rsidR="00453A52" w:rsidRPr="003A2F86" w:rsidRDefault="00453A52" w:rsidP="00453A52">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Erste&amp;Steiermärkische Bank d.d. Rijeka</w:t>
            </w:r>
          </w:p>
        </w:tc>
        <w:tc>
          <w:tcPr>
            <w:tcW w:w="827" w:type="dxa"/>
            <w:vAlign w:val="center"/>
          </w:tcPr>
          <w:p w14:paraId="0EB575D5" w14:textId="607A10B2" w:rsidR="00453A52" w:rsidRPr="003A2F86" w:rsidRDefault="00453A52" w:rsidP="00453A52">
            <w:pPr>
              <w:autoSpaceDE w:val="0"/>
              <w:autoSpaceDN w:val="0"/>
              <w:adjustRightInd w:val="0"/>
              <w:spacing w:after="0" w:line="240" w:lineRule="auto"/>
              <w:jc w:val="center"/>
              <w:rPr>
                <w:rFonts w:ascii="Arial" w:eastAsia="Times New Roman" w:hAnsi="Arial" w:cs="Arial"/>
                <w:sz w:val="16"/>
                <w:szCs w:val="16"/>
              </w:rPr>
            </w:pPr>
            <w:r w:rsidRPr="003A2F86">
              <w:rPr>
                <w:rFonts w:ascii="Arial" w:eastAsia="Times New Roman" w:hAnsi="Arial" w:cs="Arial"/>
                <w:sz w:val="16"/>
                <w:szCs w:val="16"/>
              </w:rPr>
              <w:t>EUR</w:t>
            </w:r>
          </w:p>
        </w:tc>
        <w:tc>
          <w:tcPr>
            <w:tcW w:w="1217" w:type="dxa"/>
            <w:vAlign w:val="center"/>
          </w:tcPr>
          <w:p w14:paraId="62761EF4" w14:textId="45DF6856" w:rsidR="00453A52" w:rsidRDefault="00453A52" w:rsidP="00453A52">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29.695,35</w:t>
            </w:r>
          </w:p>
        </w:tc>
        <w:tc>
          <w:tcPr>
            <w:tcW w:w="1316" w:type="dxa"/>
            <w:vAlign w:val="center"/>
          </w:tcPr>
          <w:p w14:paraId="688E67C8" w14:textId="26B285C2" w:rsidR="00453A52" w:rsidRDefault="00453A52" w:rsidP="00453A52">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2.463,48</w:t>
            </w:r>
          </w:p>
        </w:tc>
        <w:tc>
          <w:tcPr>
            <w:tcW w:w="887" w:type="dxa"/>
            <w:vAlign w:val="center"/>
          </w:tcPr>
          <w:p w14:paraId="3A304823" w14:textId="29C22723" w:rsidR="00453A52" w:rsidRPr="003A2F86" w:rsidRDefault="00453A52" w:rsidP="00453A52">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w:t>
            </w:r>
          </w:p>
        </w:tc>
        <w:tc>
          <w:tcPr>
            <w:tcW w:w="1397" w:type="dxa"/>
            <w:vAlign w:val="center"/>
          </w:tcPr>
          <w:p w14:paraId="694C3071" w14:textId="18644461" w:rsidR="00453A52" w:rsidRDefault="00453A52" w:rsidP="00453A52">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32.158,83</w:t>
            </w:r>
          </w:p>
        </w:tc>
      </w:tr>
      <w:tr w:rsidR="00453A52" w:rsidRPr="003A2F86" w14:paraId="25A99BBD" w14:textId="77777777" w:rsidTr="00453A52">
        <w:trPr>
          <w:jc w:val="center"/>
        </w:trPr>
        <w:tc>
          <w:tcPr>
            <w:tcW w:w="607" w:type="dxa"/>
            <w:vAlign w:val="center"/>
          </w:tcPr>
          <w:p w14:paraId="552F7EF9" w14:textId="7798C595" w:rsidR="00453A52" w:rsidRPr="003A2F86" w:rsidRDefault="00453A52" w:rsidP="00453A52">
            <w:pPr>
              <w:spacing w:after="0" w:line="240" w:lineRule="auto"/>
              <w:jc w:val="center"/>
              <w:rPr>
                <w:rFonts w:ascii="Arial" w:eastAsia="Times New Roman" w:hAnsi="Arial" w:cs="Arial"/>
                <w:iCs/>
                <w:sz w:val="16"/>
                <w:szCs w:val="16"/>
                <w:lang w:eastAsia="en-US"/>
              </w:rPr>
            </w:pPr>
          </w:p>
        </w:tc>
        <w:tc>
          <w:tcPr>
            <w:tcW w:w="1783" w:type="dxa"/>
            <w:vAlign w:val="center"/>
          </w:tcPr>
          <w:p w14:paraId="1A26FF0F" w14:textId="327608B2" w:rsidR="00453A52" w:rsidRPr="003A2F86" w:rsidRDefault="00453A52" w:rsidP="00453A52">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08.10.2025.</w:t>
            </w:r>
          </w:p>
        </w:tc>
        <w:tc>
          <w:tcPr>
            <w:tcW w:w="2568" w:type="dxa"/>
            <w:vAlign w:val="center"/>
          </w:tcPr>
          <w:p w14:paraId="6513ABCD" w14:textId="66273CB1" w:rsidR="00453A52" w:rsidRPr="003A2F86" w:rsidRDefault="00453A52" w:rsidP="00453A52">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sz w:val="16"/>
                <w:szCs w:val="16"/>
              </w:rPr>
              <w:t>Konavosko komunalno društvo d.o.o. Čilipi</w:t>
            </w:r>
          </w:p>
        </w:tc>
        <w:tc>
          <w:tcPr>
            <w:tcW w:w="2047" w:type="dxa"/>
            <w:vAlign w:val="center"/>
          </w:tcPr>
          <w:p w14:paraId="3EB2D102" w14:textId="0A503150" w:rsidR="00453A52" w:rsidRPr="003A2F86" w:rsidRDefault="00453A52" w:rsidP="00453A52">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sz w:val="16"/>
                <w:szCs w:val="16"/>
              </w:rPr>
              <w:t>Erste&amp;Steiermärkische Bank d.d. Rijeka</w:t>
            </w:r>
          </w:p>
        </w:tc>
        <w:tc>
          <w:tcPr>
            <w:tcW w:w="827" w:type="dxa"/>
            <w:vAlign w:val="center"/>
          </w:tcPr>
          <w:p w14:paraId="6D090507" w14:textId="418089D4" w:rsidR="00453A52" w:rsidRPr="003A2F86" w:rsidRDefault="00453A52" w:rsidP="00453A52">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sz w:val="16"/>
                <w:szCs w:val="16"/>
              </w:rPr>
              <w:t>EUR</w:t>
            </w:r>
          </w:p>
        </w:tc>
        <w:tc>
          <w:tcPr>
            <w:tcW w:w="1217" w:type="dxa"/>
            <w:vAlign w:val="center"/>
          </w:tcPr>
          <w:p w14:paraId="0E12CC71" w14:textId="7B345398" w:rsidR="00453A52" w:rsidRPr="003A2F86" w:rsidRDefault="00453A52" w:rsidP="00453A52">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0</w:t>
            </w:r>
          </w:p>
        </w:tc>
        <w:tc>
          <w:tcPr>
            <w:tcW w:w="1316" w:type="dxa"/>
            <w:vAlign w:val="center"/>
          </w:tcPr>
          <w:p w14:paraId="0239B7F0" w14:textId="32039F62" w:rsidR="00453A52" w:rsidRPr="003A2F86" w:rsidRDefault="00453A52" w:rsidP="00453A52">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4.118,19</w:t>
            </w:r>
          </w:p>
        </w:tc>
        <w:tc>
          <w:tcPr>
            <w:tcW w:w="887" w:type="dxa"/>
            <w:vAlign w:val="center"/>
          </w:tcPr>
          <w:p w14:paraId="7B521E18" w14:textId="50064FBD" w:rsidR="00453A52" w:rsidRPr="003A2F86" w:rsidRDefault="00453A52" w:rsidP="00453A52">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w:t>
            </w:r>
          </w:p>
        </w:tc>
        <w:tc>
          <w:tcPr>
            <w:tcW w:w="1397" w:type="dxa"/>
            <w:vAlign w:val="center"/>
          </w:tcPr>
          <w:p w14:paraId="1859697F" w14:textId="7AFE18FD" w:rsidR="00453A52" w:rsidRPr="003A2F86" w:rsidRDefault="00453A52" w:rsidP="00453A52">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4.118,19</w:t>
            </w:r>
          </w:p>
        </w:tc>
      </w:tr>
      <w:tr w:rsidR="00453A52" w:rsidRPr="003A2F86" w14:paraId="2255EA65" w14:textId="77777777" w:rsidTr="00453A52">
        <w:trPr>
          <w:jc w:val="center"/>
        </w:trPr>
        <w:tc>
          <w:tcPr>
            <w:tcW w:w="607" w:type="dxa"/>
            <w:vAlign w:val="center"/>
          </w:tcPr>
          <w:p w14:paraId="527C5D4D" w14:textId="77777777" w:rsidR="00453A52" w:rsidRPr="003A2F86" w:rsidRDefault="00453A52" w:rsidP="00453A52">
            <w:pPr>
              <w:spacing w:after="0" w:line="240" w:lineRule="auto"/>
              <w:jc w:val="center"/>
              <w:rPr>
                <w:rFonts w:ascii="Arial" w:eastAsia="Times New Roman" w:hAnsi="Arial" w:cs="Arial"/>
                <w:iCs/>
                <w:sz w:val="16"/>
                <w:szCs w:val="16"/>
                <w:lang w:eastAsia="en-US"/>
              </w:rPr>
            </w:pPr>
          </w:p>
        </w:tc>
        <w:tc>
          <w:tcPr>
            <w:tcW w:w="1783" w:type="dxa"/>
            <w:vAlign w:val="center"/>
          </w:tcPr>
          <w:p w14:paraId="08142C4A" w14:textId="59FDF7DC" w:rsidR="00453A52" w:rsidRPr="003A2F86" w:rsidRDefault="00453A52" w:rsidP="00453A52">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31.12.2025.</w:t>
            </w:r>
          </w:p>
        </w:tc>
        <w:tc>
          <w:tcPr>
            <w:tcW w:w="2568" w:type="dxa"/>
            <w:vAlign w:val="center"/>
          </w:tcPr>
          <w:p w14:paraId="08F3DA25" w14:textId="26DC961F" w:rsidR="00453A52" w:rsidRPr="003A2F86" w:rsidRDefault="00453A52" w:rsidP="00453A52">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sz w:val="16"/>
                <w:szCs w:val="16"/>
              </w:rPr>
              <w:t>Konavosko komunalno društvo d.o.o. Čilipi</w:t>
            </w:r>
          </w:p>
        </w:tc>
        <w:tc>
          <w:tcPr>
            <w:tcW w:w="2047" w:type="dxa"/>
            <w:vAlign w:val="center"/>
          </w:tcPr>
          <w:p w14:paraId="0E0466F4" w14:textId="7777E4E5" w:rsidR="00453A52" w:rsidRPr="003A2F86" w:rsidRDefault="00453A52" w:rsidP="00453A52">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sz w:val="16"/>
                <w:szCs w:val="16"/>
              </w:rPr>
              <w:t>Erste&amp;Steiermärkische Bank d.d. Rijeka</w:t>
            </w:r>
          </w:p>
        </w:tc>
        <w:tc>
          <w:tcPr>
            <w:tcW w:w="827" w:type="dxa"/>
            <w:vAlign w:val="center"/>
          </w:tcPr>
          <w:p w14:paraId="59EE6A3E" w14:textId="4D9529E4" w:rsidR="00453A52" w:rsidRPr="003A2F86" w:rsidRDefault="00453A52" w:rsidP="00453A52">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sz w:val="16"/>
                <w:szCs w:val="16"/>
              </w:rPr>
              <w:t>EUR</w:t>
            </w:r>
          </w:p>
        </w:tc>
        <w:tc>
          <w:tcPr>
            <w:tcW w:w="1217" w:type="dxa"/>
            <w:vAlign w:val="center"/>
          </w:tcPr>
          <w:p w14:paraId="2A6EB0EE" w14:textId="6E74DDAD" w:rsidR="00453A52" w:rsidRPr="003A2F86" w:rsidRDefault="00453A52" w:rsidP="00453A52">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29.695,35</w:t>
            </w:r>
          </w:p>
        </w:tc>
        <w:tc>
          <w:tcPr>
            <w:tcW w:w="1316" w:type="dxa"/>
            <w:vAlign w:val="center"/>
          </w:tcPr>
          <w:p w14:paraId="73865D38" w14:textId="3849C17F" w:rsidR="00453A52" w:rsidRPr="003A2F86" w:rsidRDefault="00453A52" w:rsidP="00453A52">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2.276,64</w:t>
            </w:r>
          </w:p>
        </w:tc>
        <w:tc>
          <w:tcPr>
            <w:tcW w:w="887" w:type="dxa"/>
            <w:vAlign w:val="center"/>
          </w:tcPr>
          <w:p w14:paraId="04B3277B" w14:textId="77777777" w:rsidR="00453A52" w:rsidRPr="003A2F86" w:rsidRDefault="00453A52" w:rsidP="00453A52">
            <w:pPr>
              <w:spacing w:after="0" w:line="240" w:lineRule="auto"/>
              <w:jc w:val="center"/>
              <w:rPr>
                <w:rFonts w:ascii="Arial" w:eastAsia="Times New Roman" w:hAnsi="Arial" w:cs="Arial"/>
                <w:iCs/>
                <w:sz w:val="16"/>
                <w:szCs w:val="16"/>
                <w:lang w:eastAsia="en-US"/>
              </w:rPr>
            </w:pPr>
          </w:p>
        </w:tc>
        <w:tc>
          <w:tcPr>
            <w:tcW w:w="1397" w:type="dxa"/>
            <w:vAlign w:val="center"/>
          </w:tcPr>
          <w:p w14:paraId="67FE5028" w14:textId="36DB3B27" w:rsidR="00453A52" w:rsidRPr="003A2F86" w:rsidRDefault="00453A52" w:rsidP="00453A52">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31.371,99</w:t>
            </w:r>
          </w:p>
        </w:tc>
      </w:tr>
      <w:tr w:rsidR="00453A52" w:rsidRPr="003A2F86" w14:paraId="122B23D5" w14:textId="77777777" w:rsidTr="00453A52">
        <w:trPr>
          <w:jc w:val="center"/>
        </w:trPr>
        <w:tc>
          <w:tcPr>
            <w:tcW w:w="607" w:type="dxa"/>
            <w:vAlign w:val="center"/>
          </w:tcPr>
          <w:p w14:paraId="76C878A6" w14:textId="77777777" w:rsidR="00453A52" w:rsidRPr="003A2F86" w:rsidRDefault="00453A52" w:rsidP="00453A52">
            <w:pPr>
              <w:spacing w:after="0" w:line="240" w:lineRule="auto"/>
              <w:jc w:val="center"/>
              <w:rPr>
                <w:rFonts w:ascii="Arial" w:eastAsia="Times New Roman" w:hAnsi="Arial" w:cs="Arial"/>
                <w:b/>
                <w:iCs/>
                <w:sz w:val="18"/>
                <w:szCs w:val="16"/>
                <w:lang w:eastAsia="en-US"/>
              </w:rPr>
            </w:pPr>
          </w:p>
        </w:tc>
        <w:tc>
          <w:tcPr>
            <w:tcW w:w="7225" w:type="dxa"/>
            <w:gridSpan w:val="4"/>
            <w:vAlign w:val="center"/>
          </w:tcPr>
          <w:p w14:paraId="03C97417" w14:textId="70F8BC0A" w:rsidR="00453A52" w:rsidRPr="003A2F86" w:rsidRDefault="00453A52" w:rsidP="00453A52">
            <w:pPr>
              <w:spacing w:after="0" w:line="240" w:lineRule="auto"/>
              <w:rPr>
                <w:rFonts w:ascii="Arial" w:eastAsia="Times New Roman" w:hAnsi="Arial" w:cs="Arial"/>
                <w:b/>
                <w:iCs/>
                <w:sz w:val="18"/>
                <w:szCs w:val="16"/>
                <w:lang w:eastAsia="en-US"/>
              </w:rPr>
            </w:pPr>
            <w:r w:rsidRPr="003A2F86">
              <w:rPr>
                <w:rFonts w:ascii="Arial" w:eastAsia="Times New Roman" w:hAnsi="Arial" w:cs="Arial"/>
                <w:b/>
                <w:iCs/>
                <w:sz w:val="18"/>
                <w:szCs w:val="16"/>
                <w:lang w:eastAsia="en-US"/>
              </w:rPr>
              <w:t xml:space="preserve">SVEUKUPNO </w:t>
            </w:r>
          </w:p>
        </w:tc>
        <w:tc>
          <w:tcPr>
            <w:tcW w:w="1217" w:type="dxa"/>
            <w:vAlign w:val="center"/>
          </w:tcPr>
          <w:p w14:paraId="62774C87" w14:textId="19142286" w:rsidR="00453A52" w:rsidRPr="003A2F86" w:rsidRDefault="00453A52" w:rsidP="00453A52">
            <w:pPr>
              <w:spacing w:after="0" w:line="240" w:lineRule="auto"/>
              <w:jc w:val="center"/>
              <w:rPr>
                <w:rFonts w:ascii="Arial" w:eastAsia="Times New Roman" w:hAnsi="Arial" w:cs="Arial"/>
                <w:b/>
                <w:iCs/>
                <w:sz w:val="18"/>
                <w:szCs w:val="16"/>
                <w:lang w:eastAsia="en-US"/>
              </w:rPr>
            </w:pPr>
            <w:r w:rsidRPr="003A2F86">
              <w:rPr>
                <w:rFonts w:ascii="Arial" w:eastAsia="Times New Roman" w:hAnsi="Arial" w:cs="Arial"/>
                <w:b/>
                <w:iCs/>
                <w:sz w:val="18"/>
                <w:szCs w:val="16"/>
                <w:lang w:eastAsia="en-US"/>
              </w:rPr>
              <w:fldChar w:fldCharType="begin"/>
            </w:r>
            <w:r w:rsidRPr="003A2F86">
              <w:rPr>
                <w:rFonts w:ascii="Arial" w:eastAsia="Times New Roman" w:hAnsi="Arial" w:cs="Arial"/>
                <w:b/>
                <w:iCs/>
                <w:sz w:val="18"/>
                <w:szCs w:val="16"/>
                <w:lang w:eastAsia="en-US"/>
              </w:rPr>
              <w:instrText xml:space="preserve"> =SUM(ABOVE) </w:instrText>
            </w:r>
            <w:r w:rsidRPr="003A2F86">
              <w:rPr>
                <w:rFonts w:ascii="Arial" w:eastAsia="Times New Roman" w:hAnsi="Arial" w:cs="Arial"/>
                <w:b/>
                <w:iCs/>
                <w:sz w:val="18"/>
                <w:szCs w:val="16"/>
                <w:lang w:eastAsia="en-US"/>
              </w:rPr>
              <w:fldChar w:fldCharType="separate"/>
            </w:r>
            <w:r>
              <w:rPr>
                <w:rFonts w:ascii="Arial" w:eastAsia="Times New Roman" w:hAnsi="Arial" w:cs="Arial"/>
                <w:b/>
                <w:iCs/>
                <w:noProof/>
                <w:sz w:val="18"/>
                <w:szCs w:val="16"/>
                <w:lang w:eastAsia="en-US"/>
              </w:rPr>
              <w:t>59.390,7</w:t>
            </w:r>
            <w:r w:rsidRPr="003A2F86">
              <w:rPr>
                <w:rFonts w:ascii="Arial" w:eastAsia="Times New Roman" w:hAnsi="Arial" w:cs="Arial"/>
                <w:b/>
                <w:iCs/>
                <w:sz w:val="18"/>
                <w:szCs w:val="16"/>
                <w:lang w:eastAsia="en-US"/>
              </w:rPr>
              <w:fldChar w:fldCharType="end"/>
            </w:r>
            <w:r>
              <w:rPr>
                <w:rFonts w:ascii="Arial" w:eastAsia="Times New Roman" w:hAnsi="Arial" w:cs="Arial"/>
                <w:b/>
                <w:iCs/>
                <w:sz w:val="18"/>
                <w:szCs w:val="16"/>
                <w:lang w:eastAsia="en-US"/>
              </w:rPr>
              <w:t>0</w:t>
            </w:r>
          </w:p>
        </w:tc>
        <w:tc>
          <w:tcPr>
            <w:tcW w:w="1316" w:type="dxa"/>
            <w:vAlign w:val="center"/>
          </w:tcPr>
          <w:p w14:paraId="15BFBD66" w14:textId="3D10A20F" w:rsidR="00453A52" w:rsidRPr="003A2F86" w:rsidRDefault="00453A52" w:rsidP="00453A52">
            <w:pPr>
              <w:spacing w:after="0" w:line="240" w:lineRule="auto"/>
              <w:jc w:val="center"/>
              <w:rPr>
                <w:rFonts w:ascii="Arial" w:eastAsia="Times New Roman" w:hAnsi="Arial" w:cs="Arial"/>
                <w:b/>
                <w:iCs/>
                <w:sz w:val="18"/>
                <w:szCs w:val="16"/>
                <w:lang w:eastAsia="en-US"/>
              </w:rPr>
            </w:pPr>
            <w:r w:rsidRPr="003A2F86">
              <w:rPr>
                <w:rFonts w:ascii="Arial" w:eastAsia="Times New Roman" w:hAnsi="Arial" w:cs="Arial"/>
                <w:b/>
                <w:iCs/>
                <w:sz w:val="18"/>
                <w:szCs w:val="16"/>
                <w:lang w:eastAsia="en-US"/>
              </w:rPr>
              <w:fldChar w:fldCharType="begin"/>
            </w:r>
            <w:r w:rsidRPr="003A2F86">
              <w:rPr>
                <w:rFonts w:ascii="Arial" w:eastAsia="Times New Roman" w:hAnsi="Arial" w:cs="Arial"/>
                <w:b/>
                <w:iCs/>
                <w:sz w:val="18"/>
                <w:szCs w:val="16"/>
                <w:lang w:eastAsia="en-US"/>
              </w:rPr>
              <w:instrText xml:space="preserve"> =SUM(above) </w:instrText>
            </w:r>
            <w:r w:rsidRPr="003A2F86">
              <w:rPr>
                <w:rFonts w:ascii="Arial" w:eastAsia="Times New Roman" w:hAnsi="Arial" w:cs="Arial"/>
                <w:b/>
                <w:iCs/>
                <w:sz w:val="18"/>
                <w:szCs w:val="16"/>
                <w:lang w:eastAsia="en-US"/>
              </w:rPr>
              <w:fldChar w:fldCharType="separate"/>
            </w:r>
            <w:r>
              <w:rPr>
                <w:rFonts w:ascii="Arial" w:eastAsia="Times New Roman" w:hAnsi="Arial" w:cs="Arial"/>
                <w:b/>
                <w:iCs/>
                <w:noProof/>
                <w:sz w:val="18"/>
                <w:szCs w:val="16"/>
                <w:lang w:eastAsia="en-US"/>
              </w:rPr>
              <w:t>15.257,64</w:t>
            </w:r>
            <w:r w:rsidRPr="003A2F86">
              <w:rPr>
                <w:rFonts w:ascii="Arial" w:eastAsia="Times New Roman" w:hAnsi="Arial" w:cs="Arial"/>
                <w:b/>
                <w:iCs/>
                <w:sz w:val="18"/>
                <w:szCs w:val="16"/>
                <w:lang w:eastAsia="en-US"/>
              </w:rPr>
              <w:fldChar w:fldCharType="end"/>
            </w:r>
          </w:p>
        </w:tc>
        <w:tc>
          <w:tcPr>
            <w:tcW w:w="887" w:type="dxa"/>
            <w:vAlign w:val="center"/>
          </w:tcPr>
          <w:p w14:paraId="77D1AA2C" w14:textId="4801EF68" w:rsidR="00453A52" w:rsidRPr="003A2F86" w:rsidRDefault="00453A52" w:rsidP="00453A52">
            <w:pPr>
              <w:spacing w:after="0" w:line="240" w:lineRule="auto"/>
              <w:jc w:val="center"/>
              <w:rPr>
                <w:rFonts w:ascii="Arial" w:eastAsia="Times New Roman" w:hAnsi="Arial" w:cs="Arial"/>
                <w:b/>
                <w:iCs/>
                <w:sz w:val="18"/>
                <w:szCs w:val="16"/>
                <w:lang w:eastAsia="en-US"/>
              </w:rPr>
            </w:pPr>
          </w:p>
        </w:tc>
        <w:tc>
          <w:tcPr>
            <w:tcW w:w="1397" w:type="dxa"/>
            <w:vAlign w:val="center"/>
          </w:tcPr>
          <w:p w14:paraId="417A5C0F" w14:textId="29083A7F" w:rsidR="00453A52" w:rsidRPr="003A2F86" w:rsidRDefault="00453A52" w:rsidP="00453A52">
            <w:pPr>
              <w:spacing w:after="0" w:line="240" w:lineRule="auto"/>
              <w:jc w:val="center"/>
              <w:rPr>
                <w:rFonts w:ascii="Arial" w:eastAsia="Times New Roman" w:hAnsi="Arial" w:cs="Arial"/>
                <w:b/>
                <w:iCs/>
                <w:sz w:val="18"/>
                <w:szCs w:val="16"/>
                <w:lang w:eastAsia="en-US"/>
              </w:rPr>
            </w:pPr>
            <w:r w:rsidRPr="003A2F86">
              <w:rPr>
                <w:rFonts w:ascii="Arial" w:eastAsia="Times New Roman" w:hAnsi="Arial" w:cs="Arial"/>
                <w:b/>
                <w:iCs/>
                <w:sz w:val="18"/>
                <w:szCs w:val="16"/>
                <w:lang w:eastAsia="en-US"/>
              </w:rPr>
              <w:fldChar w:fldCharType="begin"/>
            </w:r>
            <w:r w:rsidRPr="003A2F86">
              <w:rPr>
                <w:rFonts w:ascii="Arial" w:eastAsia="Times New Roman" w:hAnsi="Arial" w:cs="Arial"/>
                <w:b/>
                <w:iCs/>
                <w:sz w:val="18"/>
                <w:szCs w:val="16"/>
                <w:lang w:eastAsia="en-US"/>
              </w:rPr>
              <w:instrText xml:space="preserve"> =SUM(above) </w:instrText>
            </w:r>
            <w:r w:rsidRPr="003A2F86">
              <w:rPr>
                <w:rFonts w:ascii="Arial" w:eastAsia="Times New Roman" w:hAnsi="Arial" w:cs="Arial"/>
                <w:b/>
                <w:iCs/>
                <w:sz w:val="18"/>
                <w:szCs w:val="16"/>
                <w:lang w:eastAsia="en-US"/>
              </w:rPr>
              <w:fldChar w:fldCharType="separate"/>
            </w:r>
            <w:r>
              <w:rPr>
                <w:rFonts w:ascii="Arial" w:eastAsia="Times New Roman" w:hAnsi="Arial" w:cs="Arial"/>
                <w:b/>
                <w:iCs/>
                <w:noProof/>
                <w:sz w:val="18"/>
                <w:szCs w:val="16"/>
                <w:lang w:eastAsia="en-US"/>
              </w:rPr>
              <w:t>74.048,34</w:t>
            </w:r>
            <w:r w:rsidRPr="003A2F86">
              <w:rPr>
                <w:rFonts w:ascii="Arial" w:eastAsia="Times New Roman" w:hAnsi="Arial" w:cs="Arial"/>
                <w:b/>
                <w:iCs/>
                <w:sz w:val="18"/>
                <w:szCs w:val="16"/>
                <w:lang w:eastAsia="en-US"/>
              </w:rPr>
              <w:fldChar w:fldCharType="end"/>
            </w:r>
          </w:p>
        </w:tc>
      </w:tr>
    </w:tbl>
    <w:p w14:paraId="35E3ABA7" w14:textId="77777777" w:rsidR="00642202" w:rsidRPr="003A2F86" w:rsidRDefault="00642202" w:rsidP="00C37D13">
      <w:pPr>
        <w:spacing w:after="0" w:line="240" w:lineRule="auto"/>
        <w:jc w:val="both"/>
        <w:rPr>
          <w:rFonts w:ascii="Arial" w:eastAsia="Times New Roman" w:hAnsi="Arial" w:cs="Arial"/>
          <w:iCs/>
          <w:sz w:val="18"/>
          <w:szCs w:val="18"/>
          <w:lang w:eastAsia="en-US"/>
        </w:rPr>
      </w:pPr>
    </w:p>
    <w:p w14:paraId="7F29D602" w14:textId="77777777" w:rsidR="0097437D" w:rsidRPr="00EB650B" w:rsidRDefault="00101923" w:rsidP="00C37D13">
      <w:pPr>
        <w:spacing w:after="0" w:line="240" w:lineRule="auto"/>
        <w:jc w:val="both"/>
        <w:rPr>
          <w:rFonts w:ascii="Arial" w:eastAsia="Times New Roman" w:hAnsi="Arial" w:cs="Arial"/>
          <w:iCs/>
          <w:sz w:val="20"/>
          <w:szCs w:val="20"/>
          <w:lang w:eastAsia="en-US"/>
        </w:rPr>
      </w:pPr>
      <w:r w:rsidRPr="00EB650B">
        <w:rPr>
          <w:rFonts w:ascii="Arial" w:eastAsia="Times New Roman" w:hAnsi="Arial" w:cs="Arial"/>
          <w:b/>
          <w:bCs/>
          <w:iCs/>
          <w:sz w:val="20"/>
          <w:szCs w:val="20"/>
          <w:lang w:eastAsia="en-US"/>
        </w:rPr>
        <w:t>U poslovnim knjigama se ne evidentiraju potraživanja po protestiranim jamstvima već se izdvajanja evidentiraju na temelju ugovora kao kapitalna pomoć s obzirom da se radi o ulaganjima u imovinu</w:t>
      </w:r>
      <w:r w:rsidR="00BE15EE" w:rsidRPr="00EB650B">
        <w:rPr>
          <w:rFonts w:ascii="Arial" w:eastAsia="Times New Roman" w:hAnsi="Arial" w:cs="Arial"/>
          <w:b/>
          <w:bCs/>
          <w:iCs/>
          <w:sz w:val="20"/>
          <w:szCs w:val="20"/>
          <w:lang w:eastAsia="en-US"/>
        </w:rPr>
        <w:t xml:space="preserve"> od značajnog interesa za stanovništvo Općine</w:t>
      </w:r>
      <w:r w:rsidRPr="00EB650B">
        <w:rPr>
          <w:rFonts w:ascii="Arial" w:eastAsia="Times New Roman" w:hAnsi="Arial" w:cs="Arial"/>
          <w:iCs/>
          <w:sz w:val="20"/>
          <w:szCs w:val="20"/>
          <w:lang w:eastAsia="en-US"/>
        </w:rPr>
        <w:t>.</w:t>
      </w:r>
    </w:p>
    <w:p w14:paraId="63D86D8E" w14:textId="02D28C2E" w:rsidR="00C37D13" w:rsidRPr="003A2F86" w:rsidRDefault="0097437D" w:rsidP="00C37D13">
      <w:pPr>
        <w:spacing w:after="0" w:line="240" w:lineRule="auto"/>
        <w:jc w:val="both"/>
        <w:rPr>
          <w:rFonts w:ascii="Arial" w:eastAsia="Times New Roman" w:hAnsi="Arial" w:cs="Arial"/>
          <w:iCs/>
          <w:lang w:eastAsia="en-US"/>
        </w:rPr>
      </w:pPr>
      <w:r w:rsidRPr="00EB650B">
        <w:rPr>
          <w:rFonts w:ascii="Arial" w:eastAsia="Times New Roman" w:hAnsi="Arial" w:cs="Arial"/>
          <w:iCs/>
          <w:sz w:val="20"/>
          <w:szCs w:val="20"/>
          <w:lang w:eastAsia="en-US"/>
        </w:rPr>
        <w:t>Koncem 202</w:t>
      </w:r>
      <w:r w:rsidR="001A49BF">
        <w:rPr>
          <w:rFonts w:ascii="Arial" w:eastAsia="Times New Roman" w:hAnsi="Arial" w:cs="Arial"/>
          <w:iCs/>
          <w:sz w:val="20"/>
          <w:szCs w:val="20"/>
          <w:lang w:eastAsia="en-US"/>
        </w:rPr>
        <w:t>5</w:t>
      </w:r>
      <w:r w:rsidRPr="00EB650B">
        <w:rPr>
          <w:rFonts w:ascii="Arial" w:eastAsia="Times New Roman" w:hAnsi="Arial" w:cs="Arial"/>
          <w:iCs/>
          <w:sz w:val="20"/>
          <w:szCs w:val="20"/>
          <w:lang w:eastAsia="en-US"/>
        </w:rPr>
        <w:t xml:space="preserve">. godine </w:t>
      </w:r>
      <w:r w:rsidR="00083BF2">
        <w:rPr>
          <w:rFonts w:ascii="Arial" w:eastAsia="Times New Roman" w:hAnsi="Arial" w:cs="Arial"/>
          <w:iCs/>
          <w:sz w:val="20"/>
          <w:szCs w:val="20"/>
          <w:lang w:eastAsia="en-US"/>
        </w:rPr>
        <w:t xml:space="preserve">nema </w:t>
      </w:r>
      <w:r w:rsidRPr="00EB650B">
        <w:rPr>
          <w:rFonts w:ascii="Arial" w:eastAsia="Times New Roman" w:hAnsi="Arial" w:cs="Arial"/>
          <w:iCs/>
          <w:sz w:val="20"/>
          <w:szCs w:val="20"/>
          <w:lang w:eastAsia="en-US"/>
        </w:rPr>
        <w:t>evidentiran</w:t>
      </w:r>
      <w:r w:rsidR="00083BF2">
        <w:rPr>
          <w:rFonts w:ascii="Arial" w:eastAsia="Times New Roman" w:hAnsi="Arial" w:cs="Arial"/>
          <w:iCs/>
          <w:sz w:val="20"/>
          <w:szCs w:val="20"/>
          <w:lang w:eastAsia="en-US"/>
        </w:rPr>
        <w:t>ih</w:t>
      </w:r>
      <w:r w:rsidRPr="00EB650B">
        <w:rPr>
          <w:rFonts w:ascii="Arial" w:eastAsia="Times New Roman" w:hAnsi="Arial" w:cs="Arial"/>
          <w:iCs/>
          <w:sz w:val="20"/>
          <w:szCs w:val="20"/>
          <w:lang w:eastAsia="en-US"/>
        </w:rPr>
        <w:t xml:space="preserve"> obvez</w:t>
      </w:r>
      <w:r w:rsidR="00083BF2">
        <w:rPr>
          <w:rFonts w:ascii="Arial" w:eastAsia="Times New Roman" w:hAnsi="Arial" w:cs="Arial"/>
          <w:iCs/>
          <w:sz w:val="20"/>
          <w:szCs w:val="20"/>
          <w:lang w:eastAsia="en-US"/>
        </w:rPr>
        <w:t>a</w:t>
      </w:r>
      <w:r w:rsidRPr="00EB650B">
        <w:rPr>
          <w:rFonts w:ascii="Arial" w:eastAsia="Times New Roman" w:hAnsi="Arial" w:cs="Arial"/>
          <w:iCs/>
          <w:sz w:val="20"/>
          <w:szCs w:val="20"/>
          <w:lang w:eastAsia="en-US"/>
        </w:rPr>
        <w:t xml:space="preserve"> za prijenos sredstava komunalnom društvu za povrat obroka kredita.</w:t>
      </w:r>
      <w:r w:rsidR="00101923" w:rsidRPr="003A2F86">
        <w:rPr>
          <w:rFonts w:ascii="Arial" w:eastAsia="Times New Roman" w:hAnsi="Arial" w:cs="Arial"/>
          <w:iCs/>
          <w:lang w:eastAsia="en-US"/>
        </w:rPr>
        <w:t xml:space="preserve"> </w:t>
      </w:r>
      <w:r w:rsidR="00101923" w:rsidRPr="003A2F86">
        <w:rPr>
          <w:rFonts w:ascii="Arial" w:eastAsia="Times New Roman" w:hAnsi="Arial" w:cs="Arial"/>
          <w:iCs/>
          <w:lang w:eastAsia="en-US"/>
        </w:rPr>
        <w:br w:type="page"/>
      </w:r>
    </w:p>
    <w:p w14:paraId="7D51A8B0" w14:textId="77777777" w:rsidR="0052045C" w:rsidRPr="0097437D" w:rsidRDefault="0052045C" w:rsidP="00C37D13">
      <w:pPr>
        <w:spacing w:after="0" w:line="240" w:lineRule="auto"/>
        <w:jc w:val="both"/>
        <w:rPr>
          <w:rFonts w:ascii="Arial" w:eastAsia="Times New Roman" w:hAnsi="Arial" w:cs="Arial"/>
          <w:iCs/>
          <w:lang w:eastAsia="en-US"/>
        </w:rPr>
      </w:pPr>
    </w:p>
    <w:p w14:paraId="58DA55E9" w14:textId="15AD7725" w:rsidR="001B0DED" w:rsidRPr="0097437D" w:rsidRDefault="001B0DED" w:rsidP="001B0DED">
      <w:pPr>
        <w:pStyle w:val="Naslov2"/>
        <w:jc w:val="center"/>
        <w:rPr>
          <w:rFonts w:ascii="Arial" w:eastAsia="Calibri" w:hAnsi="Arial" w:cs="Arial"/>
          <w:sz w:val="22"/>
          <w:szCs w:val="22"/>
          <w:lang w:val="hr-HR"/>
        </w:rPr>
      </w:pPr>
      <w:bookmarkStart w:id="711" w:name="_4.4.__IZVJEŠTAJ"/>
      <w:bookmarkStart w:id="712" w:name="_Toc232981500"/>
      <w:bookmarkEnd w:id="711"/>
      <w:r w:rsidRPr="0097437D">
        <w:rPr>
          <w:rFonts w:ascii="Arial" w:eastAsia="Calibri" w:hAnsi="Arial" w:cs="Arial"/>
          <w:sz w:val="22"/>
          <w:szCs w:val="22"/>
          <w:lang w:val="hr-HR"/>
        </w:rPr>
        <w:t xml:space="preserve">4.4. </w:t>
      </w:r>
      <w:r w:rsidRPr="0097437D">
        <w:rPr>
          <w:rFonts w:ascii="Arial" w:eastAsia="Calibri" w:hAnsi="Arial" w:cs="Arial"/>
          <w:sz w:val="22"/>
          <w:szCs w:val="22"/>
          <w:lang w:val="hr-HR"/>
        </w:rPr>
        <w:tab/>
      </w:r>
      <w:bookmarkStart w:id="713" w:name="Korištenje_EU_sredstava"/>
      <w:bookmarkEnd w:id="713"/>
      <w:r w:rsidRPr="0097437D">
        <w:rPr>
          <w:rFonts w:ascii="Arial" w:eastAsia="Calibri" w:hAnsi="Arial" w:cs="Arial"/>
          <w:sz w:val="22"/>
          <w:szCs w:val="22"/>
          <w:lang w:val="hr-HR"/>
        </w:rPr>
        <w:t>IZVJEŠTAJ O KORIŠTENJU SREDSTAVA FONDOVA EUROPSKE UNIJE</w:t>
      </w:r>
      <w:bookmarkEnd w:id="712"/>
    </w:p>
    <w:p w14:paraId="0A343448" w14:textId="77777777" w:rsidR="0052045C" w:rsidRPr="0097437D" w:rsidRDefault="0052045C" w:rsidP="00C37D13">
      <w:pPr>
        <w:spacing w:after="0" w:line="240" w:lineRule="auto"/>
        <w:jc w:val="both"/>
        <w:rPr>
          <w:rFonts w:ascii="Arial" w:eastAsia="Times New Roman" w:hAnsi="Arial" w:cs="Arial"/>
          <w:iCs/>
          <w:lang w:eastAsia="en-US"/>
        </w:rPr>
      </w:pPr>
    </w:p>
    <w:p w14:paraId="686E8664" w14:textId="2112B984" w:rsidR="0052045C" w:rsidRPr="0097437D" w:rsidRDefault="0052045C" w:rsidP="0052045C">
      <w:pPr>
        <w:autoSpaceDE w:val="0"/>
        <w:autoSpaceDN w:val="0"/>
        <w:adjustRightInd w:val="0"/>
        <w:spacing w:after="0" w:line="240" w:lineRule="auto"/>
        <w:jc w:val="both"/>
        <w:rPr>
          <w:rFonts w:ascii="Arial" w:eastAsia="Calibri" w:hAnsi="Arial" w:cs="Arial"/>
          <w:sz w:val="20"/>
        </w:rPr>
      </w:pPr>
      <w:r w:rsidRPr="0097437D">
        <w:rPr>
          <w:rFonts w:ascii="Arial" w:eastAsia="Calibri" w:hAnsi="Arial" w:cs="Arial"/>
          <w:sz w:val="20"/>
        </w:rPr>
        <w:t>Sukladno odredbama članka 23. i članka 27. Pravilnika o polugodišnjem i godišnjem izvještaju o izvršenju proračuna i financijskog plana</w:t>
      </w:r>
      <w:r w:rsidR="00C543AF" w:rsidRPr="0097437D">
        <w:rPr>
          <w:rFonts w:ascii="Arial" w:eastAsia="Calibri" w:hAnsi="Arial" w:cs="Arial"/>
          <w:sz w:val="20"/>
        </w:rPr>
        <w:t xml:space="preserve"> (NN 85/23)</w:t>
      </w:r>
      <w:r w:rsidRPr="0097437D">
        <w:rPr>
          <w:rFonts w:ascii="Arial" w:eastAsia="Calibri" w:hAnsi="Arial" w:cs="Arial"/>
          <w:sz w:val="20"/>
        </w:rPr>
        <w:t xml:space="preserve">, sastavni dio posebnih izvještaja u godišnjem izvještaju o izvršenju proračuna je </w:t>
      </w:r>
      <w:r w:rsidRPr="0097437D">
        <w:rPr>
          <w:rFonts w:ascii="Arial" w:eastAsia="Calibri" w:hAnsi="Arial" w:cs="Arial"/>
          <w:b/>
          <w:bCs/>
          <w:sz w:val="20"/>
        </w:rPr>
        <w:t>Izvještaj o korištenju sredstava fondova Europske unije</w:t>
      </w:r>
      <w:r w:rsidRPr="0097437D">
        <w:rPr>
          <w:rFonts w:ascii="Arial" w:eastAsia="Calibri" w:hAnsi="Arial" w:cs="Arial"/>
          <w:sz w:val="20"/>
        </w:rPr>
        <w:t xml:space="preserve">. Ovaj izvještaj nije obvezni izvještaj u Polugodišnjem izvještaju o izvršenju proračuna. </w:t>
      </w:r>
    </w:p>
    <w:p w14:paraId="2AFF0E42" w14:textId="77777777" w:rsidR="00AB5F4A" w:rsidRPr="0097437D" w:rsidRDefault="00AB5F4A" w:rsidP="0052045C">
      <w:pPr>
        <w:autoSpaceDE w:val="0"/>
        <w:autoSpaceDN w:val="0"/>
        <w:adjustRightInd w:val="0"/>
        <w:spacing w:after="0" w:line="240" w:lineRule="auto"/>
        <w:jc w:val="both"/>
        <w:rPr>
          <w:rFonts w:ascii="Arial" w:eastAsia="Calibri" w:hAnsi="Arial" w:cs="Arial"/>
          <w:sz w:val="20"/>
        </w:rPr>
      </w:pPr>
    </w:p>
    <w:p w14:paraId="7C8A8CB0" w14:textId="2E1FE41A" w:rsidR="004B52F8" w:rsidRPr="0097437D" w:rsidRDefault="00C24DEB" w:rsidP="0052045C">
      <w:pPr>
        <w:autoSpaceDE w:val="0"/>
        <w:autoSpaceDN w:val="0"/>
        <w:adjustRightInd w:val="0"/>
        <w:spacing w:after="0" w:line="240" w:lineRule="auto"/>
        <w:jc w:val="both"/>
        <w:rPr>
          <w:rFonts w:ascii="Arial" w:eastAsia="Calibri" w:hAnsi="Arial" w:cs="Arial"/>
          <w:b/>
          <w:bCs/>
          <w:sz w:val="20"/>
        </w:rPr>
      </w:pPr>
      <w:bookmarkStart w:id="714" w:name="_Hlk166665601"/>
      <w:r w:rsidRPr="0097437D">
        <w:rPr>
          <w:rFonts w:ascii="Arial" w:eastAsia="Calibri" w:hAnsi="Arial" w:cs="Arial"/>
          <w:b/>
          <w:bCs/>
          <w:i/>
          <w:iCs/>
          <w:sz w:val="20"/>
        </w:rPr>
        <w:t>MODIFICIRANO OBRAČUNSKO NAČELO:</w:t>
      </w:r>
      <w:r w:rsidRPr="0097437D">
        <w:rPr>
          <w:rFonts w:ascii="Arial" w:eastAsia="Calibri" w:hAnsi="Arial" w:cs="Arial"/>
          <w:b/>
          <w:bCs/>
          <w:i/>
          <w:iCs/>
          <w:sz w:val="20"/>
          <w:u w:val="single"/>
        </w:rPr>
        <w:t xml:space="preserve"> </w:t>
      </w:r>
      <w:r w:rsidR="00CB40B8" w:rsidRPr="0097437D">
        <w:rPr>
          <w:rFonts w:ascii="Arial" w:eastAsia="Calibri" w:hAnsi="Arial" w:cs="Arial"/>
          <w:b/>
          <w:bCs/>
          <w:i/>
          <w:iCs/>
          <w:sz w:val="20"/>
          <w:u w:val="single"/>
        </w:rPr>
        <w:t>Prihodi</w:t>
      </w:r>
      <w:r w:rsidR="00CB40B8" w:rsidRPr="0097437D">
        <w:rPr>
          <w:rFonts w:ascii="Arial" w:eastAsia="Calibri" w:hAnsi="Arial" w:cs="Arial"/>
          <w:b/>
          <w:bCs/>
          <w:sz w:val="20"/>
        </w:rPr>
        <w:t xml:space="preserve"> </w:t>
      </w:r>
      <w:r w:rsidRPr="0097437D">
        <w:rPr>
          <w:rFonts w:ascii="Arial" w:eastAsia="Calibri" w:hAnsi="Arial" w:cs="Arial"/>
          <w:b/>
          <w:bCs/>
          <w:sz w:val="20"/>
        </w:rPr>
        <w:t xml:space="preserve">i primici </w:t>
      </w:r>
      <w:r w:rsidR="00CB40B8" w:rsidRPr="0097437D">
        <w:rPr>
          <w:rFonts w:ascii="Arial" w:eastAsia="Calibri" w:hAnsi="Arial" w:cs="Arial"/>
          <w:b/>
          <w:bCs/>
          <w:sz w:val="20"/>
        </w:rPr>
        <w:t>se u poslovnim knjigama</w:t>
      </w:r>
      <w:r w:rsidRPr="0097437D">
        <w:rPr>
          <w:rFonts w:ascii="Arial" w:eastAsia="Calibri" w:hAnsi="Arial" w:cs="Arial"/>
          <w:b/>
          <w:bCs/>
          <w:sz w:val="20"/>
        </w:rPr>
        <w:t xml:space="preserve"> Općine</w:t>
      </w:r>
      <w:r w:rsidR="00CB40B8" w:rsidRPr="0097437D">
        <w:rPr>
          <w:rFonts w:ascii="Arial" w:eastAsia="Calibri" w:hAnsi="Arial" w:cs="Arial"/>
          <w:b/>
          <w:bCs/>
          <w:sz w:val="20"/>
        </w:rPr>
        <w:t xml:space="preserve"> </w:t>
      </w:r>
      <w:r w:rsidR="004B52F8" w:rsidRPr="0097437D">
        <w:rPr>
          <w:rFonts w:ascii="Arial" w:eastAsia="Calibri" w:hAnsi="Arial" w:cs="Arial"/>
          <w:b/>
          <w:bCs/>
          <w:sz w:val="20"/>
        </w:rPr>
        <w:t>iskazuju u izvještajnom razdoblju u kojem su ostvareni</w:t>
      </w:r>
      <w:r w:rsidRPr="0097437D">
        <w:rPr>
          <w:rFonts w:ascii="Arial" w:eastAsia="Calibri" w:hAnsi="Arial" w:cs="Arial"/>
          <w:b/>
          <w:bCs/>
          <w:sz w:val="20"/>
        </w:rPr>
        <w:t xml:space="preserve"> / naplaćeni</w:t>
      </w:r>
      <w:r w:rsidR="004B52F8" w:rsidRPr="0097437D">
        <w:rPr>
          <w:rFonts w:ascii="Arial" w:eastAsia="Calibri" w:hAnsi="Arial" w:cs="Arial"/>
          <w:b/>
          <w:bCs/>
          <w:sz w:val="20"/>
        </w:rPr>
        <w:t xml:space="preserve">, a </w:t>
      </w:r>
      <w:r w:rsidR="004B52F8" w:rsidRPr="0097437D">
        <w:rPr>
          <w:rFonts w:ascii="Arial" w:eastAsia="Calibri" w:hAnsi="Arial" w:cs="Arial"/>
          <w:b/>
          <w:bCs/>
          <w:i/>
          <w:iCs/>
          <w:sz w:val="20"/>
          <w:u w:val="single"/>
        </w:rPr>
        <w:t>rashod</w:t>
      </w:r>
      <w:r w:rsidRPr="0097437D">
        <w:rPr>
          <w:rFonts w:ascii="Arial" w:eastAsia="Calibri" w:hAnsi="Arial" w:cs="Arial"/>
          <w:b/>
          <w:bCs/>
          <w:i/>
          <w:iCs/>
          <w:sz w:val="20"/>
          <w:u w:val="single"/>
        </w:rPr>
        <w:t>i</w:t>
      </w:r>
      <w:r w:rsidR="004B52F8" w:rsidRPr="0097437D">
        <w:rPr>
          <w:rFonts w:ascii="Arial" w:eastAsia="Calibri" w:hAnsi="Arial" w:cs="Arial"/>
          <w:b/>
          <w:bCs/>
          <w:sz w:val="20"/>
        </w:rPr>
        <w:t xml:space="preserve"> se iskazuju u izvještajnom razdoblju u kojem su nastali, neovisno o plaćanju (po modelu nastanka događaja)</w:t>
      </w:r>
      <w:r w:rsidRPr="0097437D">
        <w:rPr>
          <w:rFonts w:ascii="Arial" w:eastAsia="Calibri" w:hAnsi="Arial" w:cs="Arial"/>
          <w:b/>
          <w:bCs/>
          <w:sz w:val="20"/>
        </w:rPr>
        <w:t>, dok se izdaci iskazuju u izvještajnom razdoblju u kojem su plaćeni</w:t>
      </w:r>
      <w:r w:rsidR="004B52F8" w:rsidRPr="0097437D">
        <w:rPr>
          <w:rFonts w:ascii="Arial" w:eastAsia="Calibri" w:hAnsi="Arial" w:cs="Arial"/>
          <w:b/>
          <w:bCs/>
          <w:sz w:val="20"/>
        </w:rPr>
        <w:t>.</w:t>
      </w:r>
    </w:p>
    <w:bookmarkEnd w:id="714"/>
    <w:p w14:paraId="0796F833" w14:textId="6A0C9458" w:rsidR="00CB40B8" w:rsidRPr="0097437D" w:rsidRDefault="00CB40B8" w:rsidP="0052045C">
      <w:pPr>
        <w:autoSpaceDE w:val="0"/>
        <w:autoSpaceDN w:val="0"/>
        <w:adjustRightInd w:val="0"/>
        <w:spacing w:after="0" w:line="240" w:lineRule="auto"/>
        <w:jc w:val="both"/>
        <w:rPr>
          <w:rFonts w:ascii="Arial" w:eastAsia="Calibri" w:hAnsi="Arial" w:cs="Arial"/>
          <w:sz w:val="20"/>
        </w:rPr>
      </w:pPr>
    </w:p>
    <w:p w14:paraId="7326A56F" w14:textId="52DABF4A" w:rsidR="0052045C" w:rsidRPr="0097437D" w:rsidRDefault="0052045C" w:rsidP="0052045C">
      <w:pPr>
        <w:autoSpaceDE w:val="0"/>
        <w:autoSpaceDN w:val="0"/>
        <w:adjustRightInd w:val="0"/>
        <w:spacing w:after="0" w:line="240" w:lineRule="auto"/>
        <w:jc w:val="both"/>
        <w:rPr>
          <w:rFonts w:ascii="Arial" w:eastAsia="Calibri" w:hAnsi="Arial" w:cs="Arial"/>
          <w:sz w:val="20"/>
          <w:szCs w:val="20"/>
        </w:rPr>
      </w:pPr>
      <w:r w:rsidRPr="0097437D">
        <w:rPr>
          <w:rFonts w:ascii="Arial" w:eastAsia="Calibri" w:hAnsi="Arial" w:cs="Arial"/>
          <w:sz w:val="20"/>
        </w:rPr>
        <w:t xml:space="preserve">U nastavku se daju informacije o ostvarenim sredstvima pomoći temeljem prijenosa EU sredstava, o načinu iskazivanja prihoda i rashoda u vezi s pomoćima EU, odnosno njihovom evidentiranju i stanju </w:t>
      </w:r>
      <w:r w:rsidRPr="0097437D">
        <w:rPr>
          <w:rFonts w:ascii="Arial" w:eastAsia="Calibri" w:hAnsi="Arial" w:cs="Arial"/>
          <w:sz w:val="20"/>
          <w:szCs w:val="20"/>
        </w:rPr>
        <w:t>predujmova. Tijekom 202</w:t>
      </w:r>
      <w:r w:rsidR="009A2438" w:rsidRPr="0097437D">
        <w:rPr>
          <w:rFonts w:ascii="Arial" w:eastAsia="Calibri" w:hAnsi="Arial" w:cs="Arial"/>
          <w:sz w:val="20"/>
          <w:szCs w:val="20"/>
        </w:rPr>
        <w:t>4</w:t>
      </w:r>
      <w:r w:rsidRPr="0097437D">
        <w:rPr>
          <w:rFonts w:ascii="Arial" w:eastAsia="Calibri" w:hAnsi="Arial" w:cs="Arial"/>
          <w:sz w:val="20"/>
          <w:szCs w:val="20"/>
        </w:rPr>
        <w:t>. ostvarena su sredstva od pomoći temeljem prijenosa EU sredstava kako slijedi:</w:t>
      </w:r>
      <w:r w:rsidRPr="0097437D">
        <w:rPr>
          <w:sz w:val="20"/>
          <w:szCs w:val="20"/>
        </w:rPr>
        <w:t xml:space="preserve"> </w:t>
      </w:r>
    </w:p>
    <w:p w14:paraId="2CA57DE0" w14:textId="77777777" w:rsidR="0052045C" w:rsidRPr="001D1CC8" w:rsidRDefault="0052045C" w:rsidP="0052045C">
      <w:pPr>
        <w:autoSpaceDE w:val="0"/>
        <w:autoSpaceDN w:val="0"/>
        <w:adjustRightInd w:val="0"/>
        <w:spacing w:after="0" w:line="240" w:lineRule="auto"/>
        <w:jc w:val="both"/>
        <w:rPr>
          <w:rFonts w:ascii="Arial" w:eastAsia="Calibri" w:hAnsi="Arial" w:cs="Arial"/>
          <w:sz w:val="20"/>
          <w:szCs w:val="20"/>
        </w:rPr>
      </w:pPr>
      <w:bookmarkStart w:id="715" w:name="_Hlk166665670"/>
    </w:p>
    <w:p w14:paraId="10ED76CA" w14:textId="36D9A3DE" w:rsidR="004E241C" w:rsidRPr="004E241C" w:rsidRDefault="004E241C">
      <w:pPr>
        <w:numPr>
          <w:ilvl w:val="0"/>
          <w:numId w:val="11"/>
        </w:numPr>
        <w:autoSpaceDE w:val="0"/>
        <w:autoSpaceDN w:val="0"/>
        <w:adjustRightInd w:val="0"/>
        <w:spacing w:after="0" w:line="240" w:lineRule="auto"/>
        <w:jc w:val="both"/>
        <w:rPr>
          <w:rFonts w:ascii="Arial" w:eastAsia="Calibri" w:hAnsi="Arial" w:cs="Arial"/>
          <w:sz w:val="20"/>
          <w:szCs w:val="20"/>
          <w:u w:val="single"/>
          <w:lang w:eastAsia="en-US"/>
        </w:rPr>
      </w:pPr>
      <w:r w:rsidRPr="004E241C">
        <w:rPr>
          <w:rFonts w:ascii="Arial" w:eastAsia="Calibri" w:hAnsi="Arial" w:cs="Arial"/>
          <w:b/>
          <w:sz w:val="20"/>
          <w:szCs w:val="20"/>
          <w:u w:val="single"/>
          <w:lang w:eastAsia="en-US"/>
        </w:rPr>
        <w:t xml:space="preserve">Pomoći od </w:t>
      </w:r>
      <w:r w:rsidR="005A516D" w:rsidRPr="001D1CC8">
        <w:rPr>
          <w:rFonts w:ascii="Arial" w:eastAsia="Calibri" w:hAnsi="Arial" w:cs="Arial"/>
          <w:b/>
          <w:sz w:val="20"/>
          <w:szCs w:val="20"/>
          <w:u w:val="single"/>
          <w:lang w:eastAsia="en-US"/>
        </w:rPr>
        <w:t>inozemnih vlada</w:t>
      </w:r>
      <w:r w:rsidRPr="004E241C">
        <w:rPr>
          <w:rFonts w:ascii="Arial" w:eastAsia="Calibri" w:hAnsi="Arial" w:cs="Arial"/>
          <w:b/>
          <w:sz w:val="20"/>
          <w:szCs w:val="20"/>
          <w:u w:val="single"/>
          <w:lang w:eastAsia="en-US"/>
        </w:rPr>
        <w:t xml:space="preserve"> (</w:t>
      </w:r>
      <w:r w:rsidRPr="004E241C">
        <w:rPr>
          <w:rFonts w:ascii="Arial" w:eastAsia="Calibri" w:hAnsi="Arial" w:cs="Arial"/>
          <w:b/>
          <w:sz w:val="20"/>
          <w:szCs w:val="20"/>
          <w:highlight w:val="yellow"/>
          <w:u w:val="single"/>
          <w:lang w:eastAsia="en-US"/>
        </w:rPr>
        <w:t>63</w:t>
      </w:r>
      <w:r w:rsidR="005A516D" w:rsidRPr="001D1CC8">
        <w:rPr>
          <w:rFonts w:ascii="Arial" w:eastAsia="Calibri" w:hAnsi="Arial" w:cs="Arial"/>
          <w:b/>
          <w:sz w:val="20"/>
          <w:szCs w:val="20"/>
          <w:u w:val="single"/>
          <w:lang w:eastAsia="en-US"/>
        </w:rPr>
        <w:t>1</w:t>
      </w:r>
      <w:r w:rsidRPr="004E241C">
        <w:rPr>
          <w:rFonts w:ascii="Arial" w:eastAsia="Calibri" w:hAnsi="Arial" w:cs="Arial"/>
          <w:b/>
          <w:sz w:val="20"/>
          <w:szCs w:val="20"/>
          <w:u w:val="single"/>
          <w:lang w:eastAsia="en-US"/>
        </w:rPr>
        <w:t xml:space="preserve">), Tekuće pomoći od </w:t>
      </w:r>
      <w:r w:rsidR="005A516D" w:rsidRPr="001D1CC8">
        <w:rPr>
          <w:rFonts w:ascii="Arial" w:eastAsia="Calibri" w:hAnsi="Arial" w:cs="Arial"/>
          <w:b/>
          <w:sz w:val="20"/>
          <w:szCs w:val="20"/>
          <w:u w:val="single"/>
          <w:lang w:eastAsia="en-US"/>
        </w:rPr>
        <w:t>inozemnih vlada</w:t>
      </w:r>
      <w:r w:rsidRPr="004E241C">
        <w:rPr>
          <w:rFonts w:ascii="Arial" w:eastAsia="Calibri" w:hAnsi="Arial" w:cs="Arial"/>
          <w:b/>
          <w:sz w:val="20"/>
          <w:szCs w:val="20"/>
          <w:u w:val="single"/>
          <w:lang w:eastAsia="en-US"/>
        </w:rPr>
        <w:t xml:space="preserve"> (63</w:t>
      </w:r>
      <w:r w:rsidR="005A516D" w:rsidRPr="001D1CC8">
        <w:rPr>
          <w:rFonts w:ascii="Arial" w:eastAsia="Calibri" w:hAnsi="Arial" w:cs="Arial"/>
          <w:b/>
          <w:sz w:val="20"/>
          <w:szCs w:val="20"/>
          <w:u w:val="single"/>
          <w:lang w:eastAsia="en-US"/>
        </w:rPr>
        <w:t>11</w:t>
      </w:r>
      <w:r w:rsidRPr="004E241C">
        <w:rPr>
          <w:rFonts w:ascii="Arial" w:eastAsia="Calibri" w:hAnsi="Arial" w:cs="Arial"/>
          <w:b/>
          <w:sz w:val="20"/>
          <w:szCs w:val="20"/>
          <w:u w:val="single"/>
          <w:lang w:eastAsia="en-US"/>
        </w:rPr>
        <w:t xml:space="preserve">) </w:t>
      </w:r>
      <w:r w:rsidR="005A516D" w:rsidRPr="001D1CC8">
        <w:rPr>
          <w:rFonts w:ascii="Arial" w:eastAsia="Calibri" w:hAnsi="Arial" w:cs="Arial"/>
          <w:b/>
          <w:sz w:val="20"/>
          <w:szCs w:val="20"/>
          <w:u w:val="single"/>
          <w:lang w:eastAsia="en-US"/>
        </w:rPr>
        <w:t>i Kapitalne pomoći od inozemnih vlada (6312)</w:t>
      </w:r>
    </w:p>
    <w:p w14:paraId="00F2D3B7" w14:textId="77777777" w:rsidR="004E241C" w:rsidRPr="004E241C" w:rsidRDefault="004E241C" w:rsidP="004E241C">
      <w:pPr>
        <w:autoSpaceDE w:val="0"/>
        <w:autoSpaceDN w:val="0"/>
        <w:adjustRightInd w:val="0"/>
        <w:spacing w:after="0" w:line="240" w:lineRule="auto"/>
        <w:rPr>
          <w:rFonts w:ascii="Arial" w:eastAsia="Calibri" w:hAnsi="Arial" w:cs="Arial"/>
          <w:sz w:val="20"/>
          <w:szCs w:val="20"/>
        </w:rPr>
      </w:pPr>
    </w:p>
    <w:p w14:paraId="110DA2FA" w14:textId="1CA96DF3" w:rsidR="001D1CC8" w:rsidRPr="00F141A2" w:rsidRDefault="002D3961" w:rsidP="004E241C">
      <w:pPr>
        <w:autoSpaceDE w:val="0"/>
        <w:autoSpaceDN w:val="0"/>
        <w:adjustRightInd w:val="0"/>
        <w:spacing w:after="0" w:line="240" w:lineRule="auto"/>
        <w:jc w:val="both"/>
        <w:rPr>
          <w:rFonts w:ascii="Arial" w:eastAsia="Calibri" w:hAnsi="Arial" w:cs="Arial"/>
          <w:b/>
          <w:sz w:val="16"/>
          <w:szCs w:val="16"/>
        </w:rPr>
      </w:pPr>
      <w:r w:rsidRPr="00F141A2">
        <w:rPr>
          <w:rFonts w:ascii="Arial" w:eastAsia="Calibri" w:hAnsi="Arial" w:cs="Arial"/>
          <w:b/>
          <w:bCs/>
          <w:sz w:val="16"/>
          <w:szCs w:val="16"/>
          <w:u w:val="single"/>
        </w:rPr>
        <w:t>2024</w:t>
      </w:r>
      <w:r w:rsidRPr="00F141A2">
        <w:rPr>
          <w:rFonts w:ascii="Arial" w:eastAsia="Calibri" w:hAnsi="Arial" w:cs="Arial"/>
          <w:sz w:val="16"/>
          <w:szCs w:val="16"/>
        </w:rPr>
        <w:t>. godine u</w:t>
      </w:r>
      <w:r w:rsidR="004E241C" w:rsidRPr="00F141A2">
        <w:rPr>
          <w:rFonts w:ascii="Arial" w:eastAsia="Calibri" w:hAnsi="Arial" w:cs="Arial"/>
          <w:sz w:val="16"/>
          <w:szCs w:val="16"/>
        </w:rPr>
        <w:t xml:space="preserve"> okviru ovih prihoda Općina </w:t>
      </w:r>
      <w:r w:rsidRPr="00F141A2">
        <w:rPr>
          <w:rFonts w:ascii="Arial" w:eastAsia="Calibri" w:hAnsi="Arial" w:cs="Arial"/>
          <w:sz w:val="16"/>
          <w:szCs w:val="16"/>
        </w:rPr>
        <w:t xml:space="preserve">su bili iskazani </w:t>
      </w:r>
      <w:r w:rsidR="004E241C" w:rsidRPr="00F141A2">
        <w:rPr>
          <w:rFonts w:ascii="Arial" w:eastAsia="Calibri" w:hAnsi="Arial" w:cs="Arial"/>
          <w:sz w:val="16"/>
          <w:szCs w:val="16"/>
        </w:rPr>
        <w:t>prihod</w:t>
      </w:r>
      <w:r w:rsidRPr="00F141A2">
        <w:rPr>
          <w:rFonts w:ascii="Arial" w:eastAsia="Calibri" w:hAnsi="Arial" w:cs="Arial"/>
          <w:sz w:val="16"/>
          <w:szCs w:val="16"/>
        </w:rPr>
        <w:t>i</w:t>
      </w:r>
      <w:r w:rsidR="004E241C" w:rsidRPr="00F141A2">
        <w:rPr>
          <w:rFonts w:ascii="Arial" w:eastAsia="Calibri" w:hAnsi="Arial" w:cs="Arial"/>
          <w:sz w:val="16"/>
          <w:szCs w:val="16"/>
        </w:rPr>
        <w:t xml:space="preserve"> u iznosu </w:t>
      </w:r>
      <w:r w:rsidR="005A516D" w:rsidRPr="00F141A2">
        <w:rPr>
          <w:rFonts w:ascii="Arial" w:eastAsia="Calibri" w:hAnsi="Arial" w:cs="Arial"/>
          <w:b/>
          <w:bCs/>
          <w:sz w:val="16"/>
          <w:szCs w:val="16"/>
        </w:rPr>
        <w:t>288.576,59</w:t>
      </w:r>
      <w:r w:rsidR="004E241C" w:rsidRPr="00F141A2">
        <w:rPr>
          <w:rFonts w:ascii="Arial" w:eastAsia="Calibri" w:hAnsi="Arial" w:cs="Arial"/>
          <w:b/>
          <w:bCs/>
          <w:sz w:val="16"/>
          <w:szCs w:val="16"/>
        </w:rPr>
        <w:t xml:space="preserve"> € (A.1, A.2</w:t>
      </w:r>
      <w:r w:rsidR="004E241C" w:rsidRPr="00F141A2">
        <w:rPr>
          <w:rFonts w:ascii="Arial" w:eastAsia="Calibri" w:hAnsi="Arial" w:cs="Arial"/>
          <w:b/>
          <w:sz w:val="16"/>
          <w:szCs w:val="16"/>
        </w:rPr>
        <w:t>.</w:t>
      </w:r>
      <w:r w:rsidR="005A516D" w:rsidRPr="00F141A2">
        <w:rPr>
          <w:rFonts w:ascii="Arial" w:eastAsia="Calibri" w:hAnsi="Arial" w:cs="Arial"/>
          <w:b/>
          <w:sz w:val="16"/>
          <w:szCs w:val="16"/>
        </w:rPr>
        <w:t>)</w:t>
      </w:r>
      <w:r w:rsidR="001D1CC8" w:rsidRPr="00F141A2">
        <w:rPr>
          <w:rFonts w:ascii="Arial" w:eastAsia="Calibri" w:hAnsi="Arial" w:cs="Arial"/>
          <w:b/>
          <w:sz w:val="16"/>
          <w:szCs w:val="16"/>
        </w:rPr>
        <w:t>.</w:t>
      </w:r>
    </w:p>
    <w:p w14:paraId="007F76C4" w14:textId="77777777" w:rsidR="001D1CC8" w:rsidRPr="00F141A2" w:rsidRDefault="004E241C" w:rsidP="004E241C">
      <w:pPr>
        <w:autoSpaceDE w:val="0"/>
        <w:autoSpaceDN w:val="0"/>
        <w:adjustRightInd w:val="0"/>
        <w:spacing w:after="0" w:line="240" w:lineRule="auto"/>
        <w:jc w:val="both"/>
        <w:rPr>
          <w:rFonts w:ascii="Arial" w:eastAsia="Times New Roman" w:hAnsi="Arial" w:cs="Arial"/>
          <w:sz w:val="16"/>
          <w:szCs w:val="16"/>
          <w:lang w:eastAsia="en-US"/>
        </w:rPr>
      </w:pPr>
      <w:r w:rsidRPr="00F141A2">
        <w:rPr>
          <w:rFonts w:ascii="Arial" w:eastAsia="Times New Roman" w:hAnsi="Arial" w:cs="Arial"/>
          <w:sz w:val="16"/>
          <w:szCs w:val="16"/>
          <w:lang w:eastAsia="en-US"/>
        </w:rPr>
        <w:t>Ostvarena sredstva su evidentirana kao prihodi na</w:t>
      </w:r>
      <w:r w:rsidR="001D1CC8" w:rsidRPr="00F141A2">
        <w:rPr>
          <w:rFonts w:ascii="Arial" w:eastAsia="Times New Roman" w:hAnsi="Arial" w:cs="Arial"/>
          <w:sz w:val="16"/>
          <w:szCs w:val="16"/>
          <w:lang w:eastAsia="en-US"/>
        </w:rPr>
        <w:t>:</w:t>
      </w:r>
    </w:p>
    <w:p w14:paraId="30F4437F" w14:textId="1664EEC9" w:rsidR="001D1CC8" w:rsidRPr="00F141A2" w:rsidRDefault="004E241C">
      <w:pPr>
        <w:pStyle w:val="Odlomakpopisa"/>
        <w:numPr>
          <w:ilvl w:val="0"/>
          <w:numId w:val="48"/>
        </w:numPr>
        <w:autoSpaceDE w:val="0"/>
        <w:autoSpaceDN w:val="0"/>
        <w:adjustRightInd w:val="0"/>
        <w:rPr>
          <w:rFonts w:ascii="Arial" w:eastAsia="Calibri" w:hAnsi="Arial" w:cs="Arial"/>
          <w:bCs/>
          <w:sz w:val="16"/>
          <w:szCs w:val="16"/>
        </w:rPr>
      </w:pPr>
      <w:r w:rsidRPr="00F141A2">
        <w:rPr>
          <w:rFonts w:ascii="Arial" w:hAnsi="Arial" w:cs="Arial"/>
          <w:sz w:val="16"/>
          <w:szCs w:val="16"/>
        </w:rPr>
        <w:t xml:space="preserve">osnovnom računu </w:t>
      </w:r>
      <w:r w:rsidRPr="00F141A2">
        <w:rPr>
          <w:rFonts w:ascii="Arial" w:hAnsi="Arial" w:cs="Arial"/>
          <w:b/>
          <w:bCs/>
          <w:sz w:val="16"/>
          <w:szCs w:val="16"/>
          <w:u w:val="single"/>
        </w:rPr>
        <w:t>63</w:t>
      </w:r>
      <w:r w:rsidR="005A516D" w:rsidRPr="00F141A2">
        <w:rPr>
          <w:rFonts w:ascii="Arial" w:hAnsi="Arial" w:cs="Arial"/>
          <w:b/>
          <w:bCs/>
          <w:sz w:val="16"/>
          <w:szCs w:val="16"/>
          <w:u w:val="single"/>
        </w:rPr>
        <w:t>112</w:t>
      </w:r>
      <w:r w:rsidR="005A516D" w:rsidRPr="00F141A2">
        <w:rPr>
          <w:rFonts w:ascii="Arial" w:hAnsi="Arial" w:cs="Arial"/>
          <w:sz w:val="16"/>
          <w:szCs w:val="16"/>
        </w:rPr>
        <w:t xml:space="preserve"> u iznosu 73.000,00 € (od čega za projekt </w:t>
      </w:r>
      <w:r w:rsidR="005A516D" w:rsidRPr="00F141A2">
        <w:rPr>
          <w:rFonts w:ascii="Arial" w:eastAsia="Calibri" w:hAnsi="Arial" w:cs="Arial"/>
          <w:b/>
          <w:sz w:val="16"/>
          <w:szCs w:val="16"/>
        </w:rPr>
        <w:t xml:space="preserve"> „To 0 waste“ </w:t>
      </w:r>
      <w:r w:rsidR="005A516D" w:rsidRPr="00F141A2">
        <w:rPr>
          <w:rFonts w:ascii="Arial" w:eastAsia="Calibri" w:hAnsi="Arial" w:cs="Arial"/>
          <w:bCs/>
          <w:sz w:val="16"/>
          <w:szCs w:val="16"/>
        </w:rPr>
        <w:t xml:space="preserve">39.000 € i za projekt </w:t>
      </w:r>
      <w:r w:rsidR="005A516D" w:rsidRPr="00F141A2">
        <w:rPr>
          <w:rFonts w:ascii="Arial" w:eastAsia="Calibri" w:hAnsi="Arial" w:cs="Arial"/>
          <w:b/>
          <w:sz w:val="16"/>
          <w:szCs w:val="16"/>
        </w:rPr>
        <w:t>WATERLINK</w:t>
      </w:r>
      <w:r w:rsidR="005A516D" w:rsidRPr="00F141A2">
        <w:rPr>
          <w:rFonts w:ascii="Arial" w:eastAsia="Calibri" w:hAnsi="Arial" w:cs="Arial"/>
          <w:bCs/>
          <w:sz w:val="16"/>
          <w:szCs w:val="16"/>
        </w:rPr>
        <w:t xml:space="preserve"> 34.000 €), te na </w:t>
      </w:r>
    </w:p>
    <w:p w14:paraId="7EB0CD06" w14:textId="2966A4E6" w:rsidR="004E241C" w:rsidRPr="00F141A2" w:rsidRDefault="005A516D">
      <w:pPr>
        <w:pStyle w:val="Odlomakpopisa"/>
        <w:numPr>
          <w:ilvl w:val="0"/>
          <w:numId w:val="48"/>
        </w:numPr>
        <w:autoSpaceDE w:val="0"/>
        <w:autoSpaceDN w:val="0"/>
        <w:adjustRightInd w:val="0"/>
        <w:rPr>
          <w:rFonts w:ascii="Arial" w:eastAsia="Calibri" w:hAnsi="Arial" w:cs="Arial"/>
          <w:bCs/>
          <w:sz w:val="16"/>
          <w:szCs w:val="16"/>
        </w:rPr>
      </w:pPr>
      <w:r w:rsidRPr="00F141A2">
        <w:rPr>
          <w:rFonts w:ascii="Arial" w:hAnsi="Arial" w:cs="Arial"/>
          <w:sz w:val="16"/>
          <w:szCs w:val="16"/>
        </w:rPr>
        <w:t xml:space="preserve">osnovnom računu </w:t>
      </w:r>
      <w:r w:rsidRPr="00F141A2">
        <w:rPr>
          <w:rFonts w:ascii="Arial" w:hAnsi="Arial" w:cs="Arial"/>
          <w:b/>
          <w:bCs/>
          <w:sz w:val="16"/>
          <w:szCs w:val="16"/>
          <w:u w:val="single"/>
        </w:rPr>
        <w:t>63122</w:t>
      </w:r>
      <w:r w:rsidRPr="00F141A2">
        <w:rPr>
          <w:rFonts w:ascii="Arial" w:hAnsi="Arial" w:cs="Arial"/>
          <w:sz w:val="16"/>
          <w:szCs w:val="16"/>
        </w:rPr>
        <w:t xml:space="preserve"> u iznosu 215.576,59 € (od čega za projekt </w:t>
      </w:r>
      <w:r w:rsidRPr="00F141A2">
        <w:rPr>
          <w:rFonts w:ascii="Arial" w:eastAsia="Calibri" w:hAnsi="Arial" w:cs="Arial"/>
          <w:b/>
          <w:sz w:val="16"/>
          <w:szCs w:val="16"/>
        </w:rPr>
        <w:t xml:space="preserve"> „To 0 waste“ </w:t>
      </w:r>
      <w:r w:rsidRPr="00F141A2">
        <w:rPr>
          <w:rFonts w:ascii="Arial" w:eastAsia="Calibri" w:hAnsi="Arial" w:cs="Arial"/>
          <w:bCs/>
          <w:sz w:val="16"/>
          <w:szCs w:val="16"/>
        </w:rPr>
        <w:t xml:space="preserve">115.743,59 € i za projekt </w:t>
      </w:r>
      <w:r w:rsidRPr="00F141A2">
        <w:rPr>
          <w:rFonts w:ascii="Arial" w:eastAsia="Calibri" w:hAnsi="Arial" w:cs="Arial"/>
          <w:b/>
          <w:sz w:val="16"/>
          <w:szCs w:val="16"/>
        </w:rPr>
        <w:t>WATERLINK</w:t>
      </w:r>
      <w:r w:rsidRPr="00F141A2">
        <w:rPr>
          <w:rFonts w:ascii="Arial" w:eastAsia="Calibri" w:hAnsi="Arial" w:cs="Arial"/>
          <w:bCs/>
          <w:sz w:val="16"/>
          <w:szCs w:val="16"/>
        </w:rPr>
        <w:t xml:space="preserve"> 99.833,00 €). </w:t>
      </w:r>
    </w:p>
    <w:p w14:paraId="5FB64C33" w14:textId="77777777" w:rsidR="004E241C" w:rsidRPr="00F141A2" w:rsidRDefault="004E241C" w:rsidP="004E241C">
      <w:pPr>
        <w:spacing w:after="0" w:line="240" w:lineRule="auto"/>
        <w:jc w:val="both"/>
        <w:rPr>
          <w:rFonts w:ascii="Arial" w:eastAsia="Calibri" w:hAnsi="Arial" w:cs="Arial"/>
          <w:sz w:val="16"/>
          <w:szCs w:val="16"/>
        </w:rPr>
      </w:pPr>
    </w:p>
    <w:p w14:paraId="6F9630FE" w14:textId="73E89C03" w:rsidR="004E241C" w:rsidRPr="00F141A2" w:rsidRDefault="004E241C" w:rsidP="004E241C">
      <w:pPr>
        <w:spacing w:after="0" w:line="240" w:lineRule="auto"/>
        <w:jc w:val="both"/>
        <w:rPr>
          <w:rFonts w:ascii="Arial" w:eastAsia="Calibri" w:hAnsi="Arial" w:cs="Arial"/>
          <w:sz w:val="16"/>
          <w:szCs w:val="16"/>
        </w:rPr>
      </w:pPr>
      <w:r w:rsidRPr="00F141A2">
        <w:rPr>
          <w:rFonts w:ascii="Arial" w:eastAsia="Calibri" w:hAnsi="Arial" w:cs="Arial"/>
          <w:sz w:val="16"/>
          <w:szCs w:val="16"/>
        </w:rPr>
        <w:t xml:space="preserve">U 2024. godine odobrena su </w:t>
      </w:r>
      <w:r w:rsidR="005A516D" w:rsidRPr="00F141A2">
        <w:rPr>
          <w:rFonts w:ascii="Arial" w:eastAsia="Calibri" w:hAnsi="Arial" w:cs="Arial"/>
          <w:sz w:val="16"/>
          <w:szCs w:val="16"/>
        </w:rPr>
        <w:t>dva</w:t>
      </w:r>
      <w:r w:rsidRPr="00F141A2">
        <w:rPr>
          <w:rFonts w:ascii="Arial" w:eastAsia="Calibri" w:hAnsi="Arial" w:cs="Arial"/>
          <w:sz w:val="16"/>
          <w:szCs w:val="16"/>
        </w:rPr>
        <w:t xml:space="preserve"> projekta iz programa prekogranične suradnje</w:t>
      </w:r>
      <w:r w:rsidR="005A516D" w:rsidRPr="00F141A2">
        <w:rPr>
          <w:rFonts w:ascii="Arial" w:eastAsia="Calibri" w:hAnsi="Arial" w:cs="Arial"/>
          <w:sz w:val="16"/>
          <w:szCs w:val="16"/>
        </w:rPr>
        <w:t xml:space="preserve"> kod kojih je glavni projektni partner iz susjednih država (Bosna i Hercegovina, te Crna Gora). </w:t>
      </w:r>
      <w:r w:rsidRPr="00F141A2">
        <w:rPr>
          <w:rFonts w:ascii="Arial" w:eastAsia="Calibri" w:hAnsi="Arial" w:cs="Arial"/>
          <w:sz w:val="16"/>
          <w:szCs w:val="16"/>
        </w:rPr>
        <w:t>Do konca 2024. godine</w:t>
      </w:r>
      <w:r w:rsidR="005A516D" w:rsidRPr="00F141A2">
        <w:rPr>
          <w:rFonts w:ascii="Arial" w:eastAsia="Calibri" w:hAnsi="Arial" w:cs="Arial"/>
          <w:sz w:val="16"/>
          <w:szCs w:val="16"/>
        </w:rPr>
        <w:t xml:space="preserve"> </w:t>
      </w:r>
      <w:r w:rsidRPr="00F141A2">
        <w:rPr>
          <w:rFonts w:ascii="Arial" w:eastAsia="Calibri" w:hAnsi="Arial" w:cs="Arial"/>
          <w:sz w:val="16"/>
          <w:szCs w:val="16"/>
        </w:rPr>
        <w:t xml:space="preserve">su zaključeni ugovori </w:t>
      </w:r>
      <w:r w:rsidR="005A516D" w:rsidRPr="00F141A2">
        <w:rPr>
          <w:rFonts w:ascii="Arial" w:eastAsia="Calibri" w:hAnsi="Arial" w:cs="Arial"/>
          <w:sz w:val="16"/>
          <w:szCs w:val="16"/>
        </w:rPr>
        <w:t>i</w:t>
      </w:r>
      <w:r w:rsidRPr="00F141A2">
        <w:rPr>
          <w:rFonts w:ascii="Arial" w:eastAsia="Calibri" w:hAnsi="Arial" w:cs="Arial"/>
          <w:sz w:val="16"/>
          <w:szCs w:val="16"/>
        </w:rPr>
        <w:t xml:space="preserve"> doznačena</w:t>
      </w:r>
      <w:r w:rsidR="005A516D" w:rsidRPr="00F141A2">
        <w:rPr>
          <w:rFonts w:ascii="Arial" w:eastAsia="Calibri" w:hAnsi="Arial" w:cs="Arial"/>
          <w:sz w:val="16"/>
          <w:szCs w:val="16"/>
        </w:rPr>
        <w:t xml:space="preserve"> su</w:t>
      </w:r>
      <w:r w:rsidRPr="00F141A2">
        <w:rPr>
          <w:rFonts w:ascii="Arial" w:eastAsia="Calibri" w:hAnsi="Arial" w:cs="Arial"/>
          <w:sz w:val="16"/>
          <w:szCs w:val="16"/>
        </w:rPr>
        <w:t xml:space="preserve"> sredstva</w:t>
      </w:r>
      <w:r w:rsidR="005A516D" w:rsidRPr="00F141A2">
        <w:rPr>
          <w:rFonts w:ascii="Arial" w:eastAsia="Calibri" w:hAnsi="Arial" w:cs="Arial"/>
          <w:sz w:val="16"/>
          <w:szCs w:val="16"/>
        </w:rPr>
        <w:t xml:space="preserve"> predujmova za oba projekta. Sredstva su doznačena u jednom iznosu</w:t>
      </w:r>
      <w:r w:rsidR="00783C8D" w:rsidRPr="00F141A2">
        <w:rPr>
          <w:rFonts w:ascii="Arial" w:eastAsia="Calibri" w:hAnsi="Arial" w:cs="Arial"/>
          <w:sz w:val="16"/>
          <w:szCs w:val="16"/>
        </w:rPr>
        <w:t>, a podjela prihoda na tekuće i kapitalne je obavljena procjenom sukladno planiranim troškovima projekta.</w:t>
      </w:r>
    </w:p>
    <w:p w14:paraId="6FE272C3" w14:textId="77777777" w:rsidR="004E241C" w:rsidRDefault="004E241C" w:rsidP="004E241C">
      <w:pPr>
        <w:spacing w:after="0" w:line="240" w:lineRule="auto"/>
        <w:jc w:val="both"/>
        <w:rPr>
          <w:rFonts w:ascii="Arial" w:eastAsia="Calibri" w:hAnsi="Arial" w:cs="Arial"/>
          <w:sz w:val="20"/>
          <w:szCs w:val="20"/>
        </w:rPr>
      </w:pPr>
    </w:p>
    <w:p w14:paraId="065EF93B" w14:textId="6372CF7F" w:rsidR="00A27F96" w:rsidRDefault="00A27F96" w:rsidP="00A27F96">
      <w:pPr>
        <w:spacing w:after="0" w:line="240" w:lineRule="auto"/>
        <w:jc w:val="both"/>
        <w:rPr>
          <w:rFonts w:ascii="Arial" w:eastAsia="Calibri" w:hAnsi="Arial" w:cs="Arial"/>
          <w:sz w:val="20"/>
          <w:szCs w:val="20"/>
        </w:rPr>
      </w:pPr>
      <w:r>
        <w:rPr>
          <w:rFonts w:ascii="Arial" w:eastAsia="Calibri" w:hAnsi="Arial" w:cs="Arial"/>
          <w:sz w:val="20"/>
          <w:szCs w:val="20"/>
        </w:rPr>
        <w:t>Doznačena a neutrošena sredstva predujma iz 2024. godine su prenesena kao višak prihoda u 2025. godinu. Sukladno novim uputama Ministarstva financija, za neutrošena sredstva koja su iskazana u višku prihoda obavljen je ispravak rezultata u 2025. godini te evidentirane obveze za primljeni predujam. Ispravak rezultata je obavljen za:</w:t>
      </w:r>
    </w:p>
    <w:p w14:paraId="048BFFEA" w14:textId="42CA953E" w:rsidR="00A27F96" w:rsidRPr="001D1CC8" w:rsidRDefault="00A27F96">
      <w:pPr>
        <w:pStyle w:val="Odlomakpopisa"/>
        <w:numPr>
          <w:ilvl w:val="0"/>
          <w:numId w:val="48"/>
        </w:numPr>
        <w:autoSpaceDE w:val="0"/>
        <w:autoSpaceDN w:val="0"/>
        <w:adjustRightInd w:val="0"/>
        <w:rPr>
          <w:rFonts w:ascii="Arial" w:eastAsia="Calibri" w:hAnsi="Arial" w:cs="Arial"/>
          <w:bCs/>
        </w:rPr>
      </w:pPr>
      <w:r w:rsidRPr="001D1CC8">
        <w:rPr>
          <w:rFonts w:ascii="Arial" w:hAnsi="Arial" w:cs="Arial"/>
        </w:rPr>
        <w:t xml:space="preserve">projekt </w:t>
      </w:r>
      <w:r w:rsidRPr="001D1CC8">
        <w:rPr>
          <w:rFonts w:ascii="Arial" w:eastAsia="Calibri" w:hAnsi="Arial" w:cs="Arial"/>
          <w:b/>
        </w:rPr>
        <w:t xml:space="preserve"> „To 0 waste“</w:t>
      </w:r>
      <w:r>
        <w:rPr>
          <w:rFonts w:ascii="Arial" w:eastAsia="Calibri" w:hAnsi="Arial" w:cs="Arial"/>
          <w:b/>
        </w:rPr>
        <w:t xml:space="preserve"> </w:t>
      </w:r>
      <w:r w:rsidRPr="00666990">
        <w:rPr>
          <w:rFonts w:ascii="Arial" w:eastAsia="Calibri" w:hAnsi="Arial" w:cs="Arial"/>
          <w:bCs/>
        </w:rPr>
        <w:t>u iznosu</w:t>
      </w:r>
      <w:r>
        <w:rPr>
          <w:rFonts w:ascii="Arial" w:eastAsia="Calibri" w:hAnsi="Arial" w:cs="Arial"/>
          <w:b/>
        </w:rPr>
        <w:t xml:space="preserve"> 130.535,91 € </w:t>
      </w:r>
      <w:r>
        <w:rPr>
          <w:rFonts w:ascii="Arial" w:eastAsia="Calibri" w:hAnsi="Arial" w:cs="Arial"/>
          <w:bCs/>
        </w:rPr>
        <w:t>(te bi prihodi za 2024. godinu za ovaj projekt iznosili 24.207,68 € umjesto 154.743,59 €),</w:t>
      </w:r>
    </w:p>
    <w:p w14:paraId="09E55F52" w14:textId="5FFF929D" w:rsidR="00A27F96" w:rsidRDefault="00A27F96">
      <w:pPr>
        <w:pStyle w:val="Odlomakpopisa"/>
        <w:numPr>
          <w:ilvl w:val="0"/>
          <w:numId w:val="48"/>
        </w:numPr>
        <w:autoSpaceDE w:val="0"/>
        <w:autoSpaceDN w:val="0"/>
        <w:adjustRightInd w:val="0"/>
        <w:rPr>
          <w:rFonts w:ascii="Arial" w:eastAsia="Calibri" w:hAnsi="Arial" w:cs="Arial"/>
          <w:bCs/>
        </w:rPr>
      </w:pPr>
      <w:r w:rsidRPr="001D1CC8">
        <w:rPr>
          <w:rFonts w:ascii="Arial" w:eastAsia="Calibri" w:hAnsi="Arial" w:cs="Arial"/>
          <w:bCs/>
        </w:rPr>
        <w:t xml:space="preserve">projekt </w:t>
      </w:r>
      <w:r>
        <w:rPr>
          <w:rFonts w:ascii="Arial" w:eastAsia="Calibri" w:hAnsi="Arial" w:cs="Arial"/>
          <w:bCs/>
        </w:rPr>
        <w:t>„</w:t>
      </w:r>
      <w:r w:rsidRPr="001D1CC8">
        <w:rPr>
          <w:rFonts w:ascii="Arial" w:eastAsia="Calibri" w:hAnsi="Arial" w:cs="Arial"/>
          <w:b/>
        </w:rPr>
        <w:t>WATERLINK</w:t>
      </w:r>
      <w:r>
        <w:rPr>
          <w:rFonts w:ascii="Arial" w:eastAsia="Calibri" w:hAnsi="Arial" w:cs="Arial"/>
          <w:b/>
        </w:rPr>
        <w:t>“</w:t>
      </w:r>
      <w:r w:rsidRPr="001D1CC8">
        <w:rPr>
          <w:rFonts w:ascii="Arial" w:eastAsia="Calibri" w:hAnsi="Arial" w:cs="Arial"/>
          <w:bCs/>
        </w:rPr>
        <w:t xml:space="preserve"> </w:t>
      </w:r>
      <w:r w:rsidRPr="00666990">
        <w:rPr>
          <w:rFonts w:ascii="Arial" w:eastAsia="Calibri" w:hAnsi="Arial" w:cs="Arial"/>
          <w:bCs/>
        </w:rPr>
        <w:t>u iznosu</w:t>
      </w:r>
      <w:r>
        <w:rPr>
          <w:rFonts w:ascii="Arial" w:eastAsia="Calibri" w:hAnsi="Arial" w:cs="Arial"/>
          <w:b/>
        </w:rPr>
        <w:t xml:space="preserve"> 121.617,04 € </w:t>
      </w:r>
      <w:r>
        <w:rPr>
          <w:rFonts w:ascii="Arial" w:eastAsia="Calibri" w:hAnsi="Arial" w:cs="Arial"/>
          <w:bCs/>
        </w:rPr>
        <w:t>(te bi prihodi za 2024. godinu za ovaj projekt iznosili 12.215,96 € umjesto 133.833 €).</w:t>
      </w:r>
    </w:p>
    <w:p w14:paraId="7AD3E49A" w14:textId="77777777" w:rsidR="00A27F96" w:rsidRDefault="00A27F96" w:rsidP="00247C80">
      <w:pPr>
        <w:autoSpaceDE w:val="0"/>
        <w:autoSpaceDN w:val="0"/>
        <w:adjustRightInd w:val="0"/>
        <w:spacing w:after="0" w:line="240" w:lineRule="auto"/>
        <w:jc w:val="both"/>
        <w:rPr>
          <w:rFonts w:ascii="Arial" w:eastAsia="Calibri" w:hAnsi="Arial" w:cs="Arial"/>
          <w:b/>
          <w:bCs/>
          <w:sz w:val="20"/>
          <w:szCs w:val="20"/>
          <w:u w:val="single"/>
        </w:rPr>
      </w:pPr>
    </w:p>
    <w:p w14:paraId="349D1528" w14:textId="468F198C" w:rsidR="00247C80" w:rsidRPr="000C07E1" w:rsidRDefault="00247C80" w:rsidP="00247C80">
      <w:pPr>
        <w:autoSpaceDE w:val="0"/>
        <w:autoSpaceDN w:val="0"/>
        <w:adjustRightInd w:val="0"/>
        <w:spacing w:after="0" w:line="240" w:lineRule="auto"/>
        <w:jc w:val="both"/>
        <w:rPr>
          <w:rFonts w:ascii="Arial" w:eastAsia="Calibri" w:hAnsi="Arial" w:cs="Arial"/>
          <w:b/>
          <w:color w:val="004E9A"/>
          <w:sz w:val="20"/>
          <w:szCs w:val="20"/>
        </w:rPr>
      </w:pPr>
      <w:r w:rsidRPr="000C07E1">
        <w:rPr>
          <w:rFonts w:ascii="Arial" w:eastAsia="Calibri" w:hAnsi="Arial" w:cs="Arial"/>
          <w:b/>
          <w:bCs/>
          <w:color w:val="004E9A"/>
          <w:sz w:val="20"/>
          <w:szCs w:val="20"/>
          <w:u w:val="single"/>
        </w:rPr>
        <w:t>2025</w:t>
      </w:r>
      <w:r w:rsidRPr="000C07E1">
        <w:rPr>
          <w:rFonts w:ascii="Arial" w:eastAsia="Calibri" w:hAnsi="Arial" w:cs="Arial"/>
          <w:color w:val="004E9A"/>
          <w:sz w:val="20"/>
          <w:szCs w:val="20"/>
        </w:rPr>
        <w:t xml:space="preserve">. godine u okviru ovih prihoda Općina su iskazani prihodi u iznosu </w:t>
      </w:r>
      <w:r w:rsidRPr="000C07E1">
        <w:rPr>
          <w:rFonts w:ascii="Arial" w:eastAsia="Calibri" w:hAnsi="Arial" w:cs="Arial"/>
          <w:b/>
          <w:bCs/>
          <w:color w:val="004E9A"/>
          <w:sz w:val="20"/>
          <w:szCs w:val="20"/>
        </w:rPr>
        <w:t>336.152,95 € (A.1, A.2</w:t>
      </w:r>
      <w:r w:rsidRPr="000C07E1">
        <w:rPr>
          <w:rFonts w:ascii="Arial" w:eastAsia="Calibri" w:hAnsi="Arial" w:cs="Arial"/>
          <w:b/>
          <w:color w:val="004E9A"/>
          <w:sz w:val="20"/>
          <w:szCs w:val="20"/>
        </w:rPr>
        <w:t xml:space="preserve">., </w:t>
      </w:r>
      <w:r w:rsidR="000F788F" w:rsidRPr="000C07E1">
        <w:rPr>
          <w:rFonts w:ascii="Arial" w:eastAsia="Calibri" w:hAnsi="Arial" w:cs="Arial"/>
          <w:b/>
          <w:color w:val="004E9A"/>
          <w:sz w:val="20"/>
          <w:szCs w:val="20"/>
        </w:rPr>
        <w:t>A.3</w:t>
      </w:r>
      <w:r w:rsidRPr="000C07E1">
        <w:rPr>
          <w:rFonts w:ascii="Arial" w:eastAsia="Calibri" w:hAnsi="Arial" w:cs="Arial"/>
          <w:b/>
          <w:color w:val="004E9A"/>
          <w:sz w:val="20"/>
          <w:szCs w:val="20"/>
        </w:rPr>
        <w:t>).</w:t>
      </w:r>
    </w:p>
    <w:p w14:paraId="09416F7C" w14:textId="77777777" w:rsidR="00247C80" w:rsidRPr="000C07E1" w:rsidRDefault="00247C80" w:rsidP="00247C80">
      <w:pPr>
        <w:autoSpaceDE w:val="0"/>
        <w:autoSpaceDN w:val="0"/>
        <w:adjustRightInd w:val="0"/>
        <w:spacing w:after="0" w:line="240" w:lineRule="auto"/>
        <w:jc w:val="both"/>
        <w:rPr>
          <w:rFonts w:ascii="Arial" w:eastAsia="Times New Roman" w:hAnsi="Arial" w:cs="Arial"/>
          <w:color w:val="004E9A"/>
          <w:sz w:val="20"/>
          <w:szCs w:val="20"/>
          <w:lang w:eastAsia="en-US"/>
        </w:rPr>
      </w:pPr>
      <w:r w:rsidRPr="000C07E1">
        <w:rPr>
          <w:rFonts w:ascii="Arial" w:eastAsia="Times New Roman" w:hAnsi="Arial" w:cs="Arial"/>
          <w:color w:val="004E9A"/>
          <w:sz w:val="20"/>
          <w:szCs w:val="20"/>
          <w:lang w:eastAsia="en-US"/>
        </w:rPr>
        <w:t>Ostvarena sredstva su evidentirana kao prihodi na:</w:t>
      </w:r>
    </w:p>
    <w:p w14:paraId="2C7E2281" w14:textId="1E110847" w:rsidR="00646534" w:rsidRPr="000C07E1" w:rsidRDefault="00646534">
      <w:pPr>
        <w:pStyle w:val="Odlomakpopisa"/>
        <w:numPr>
          <w:ilvl w:val="0"/>
          <w:numId w:val="48"/>
        </w:numPr>
        <w:autoSpaceDE w:val="0"/>
        <w:autoSpaceDN w:val="0"/>
        <w:adjustRightInd w:val="0"/>
        <w:rPr>
          <w:rFonts w:ascii="Arial" w:eastAsia="Calibri" w:hAnsi="Arial" w:cs="Arial"/>
          <w:bCs/>
          <w:color w:val="004E9A"/>
        </w:rPr>
      </w:pPr>
      <w:r w:rsidRPr="000C07E1">
        <w:rPr>
          <w:rFonts w:ascii="Arial" w:hAnsi="Arial" w:cs="Arial"/>
          <w:color w:val="004E9A"/>
        </w:rPr>
        <w:t xml:space="preserve">osnovnom računu </w:t>
      </w:r>
      <w:r w:rsidRPr="000C07E1">
        <w:rPr>
          <w:rFonts w:ascii="Arial" w:hAnsi="Arial" w:cs="Arial"/>
          <w:b/>
          <w:bCs/>
          <w:color w:val="004E9A"/>
          <w:u w:val="single"/>
        </w:rPr>
        <w:t>63111</w:t>
      </w:r>
      <w:r w:rsidRPr="000C07E1">
        <w:rPr>
          <w:rFonts w:ascii="Arial" w:hAnsi="Arial" w:cs="Arial"/>
          <w:color w:val="004E9A"/>
        </w:rPr>
        <w:t xml:space="preserve"> u iznosu 3.400 € (za projekt </w:t>
      </w:r>
      <w:r w:rsidRPr="000C07E1">
        <w:rPr>
          <w:rFonts w:ascii="Arial" w:eastAsia="Calibri" w:hAnsi="Arial" w:cs="Arial"/>
          <w:b/>
          <w:color w:val="004E9A"/>
        </w:rPr>
        <w:t xml:space="preserve"> „CIRCIS“</w:t>
      </w:r>
      <w:r w:rsidRPr="000C07E1">
        <w:rPr>
          <w:rFonts w:ascii="Arial" w:eastAsia="Calibri" w:hAnsi="Arial" w:cs="Arial"/>
          <w:bCs/>
          <w:color w:val="004E9A"/>
        </w:rPr>
        <w:t>)</w:t>
      </w:r>
    </w:p>
    <w:p w14:paraId="2E5E9442" w14:textId="7A373535" w:rsidR="00247C80" w:rsidRPr="000C07E1" w:rsidRDefault="00247C80">
      <w:pPr>
        <w:pStyle w:val="Odlomakpopisa"/>
        <w:numPr>
          <w:ilvl w:val="0"/>
          <w:numId w:val="48"/>
        </w:numPr>
        <w:autoSpaceDE w:val="0"/>
        <w:autoSpaceDN w:val="0"/>
        <w:adjustRightInd w:val="0"/>
        <w:rPr>
          <w:rFonts w:ascii="Arial" w:eastAsia="Calibri" w:hAnsi="Arial" w:cs="Arial"/>
          <w:bCs/>
          <w:color w:val="004E9A"/>
        </w:rPr>
      </w:pPr>
      <w:r w:rsidRPr="000C07E1">
        <w:rPr>
          <w:rFonts w:ascii="Arial" w:hAnsi="Arial" w:cs="Arial"/>
          <w:color w:val="004E9A"/>
        </w:rPr>
        <w:t xml:space="preserve">osnovnom računu </w:t>
      </w:r>
      <w:r w:rsidRPr="000C07E1">
        <w:rPr>
          <w:rFonts w:ascii="Arial" w:hAnsi="Arial" w:cs="Arial"/>
          <w:b/>
          <w:bCs/>
          <w:color w:val="004E9A"/>
          <w:u w:val="single"/>
        </w:rPr>
        <w:t>63112</w:t>
      </w:r>
      <w:r w:rsidRPr="000C07E1">
        <w:rPr>
          <w:rFonts w:ascii="Arial" w:hAnsi="Arial" w:cs="Arial"/>
          <w:color w:val="004E9A"/>
        </w:rPr>
        <w:t xml:space="preserve"> u iznosu </w:t>
      </w:r>
      <w:r w:rsidR="00646534" w:rsidRPr="000C07E1">
        <w:rPr>
          <w:rFonts w:ascii="Arial" w:hAnsi="Arial" w:cs="Arial"/>
          <w:color w:val="004E9A"/>
        </w:rPr>
        <w:t>16.851,56</w:t>
      </w:r>
      <w:r w:rsidRPr="000C07E1">
        <w:rPr>
          <w:rFonts w:ascii="Arial" w:hAnsi="Arial" w:cs="Arial"/>
          <w:color w:val="004E9A"/>
        </w:rPr>
        <w:t xml:space="preserve"> € (za projekt </w:t>
      </w:r>
      <w:r w:rsidRPr="000C07E1">
        <w:rPr>
          <w:rFonts w:ascii="Arial" w:eastAsia="Calibri" w:hAnsi="Arial" w:cs="Arial"/>
          <w:b/>
          <w:color w:val="004E9A"/>
        </w:rPr>
        <w:t xml:space="preserve"> „To 0 waste“</w:t>
      </w:r>
      <w:r w:rsidRPr="000C07E1">
        <w:rPr>
          <w:rFonts w:ascii="Arial" w:eastAsia="Calibri" w:hAnsi="Arial" w:cs="Arial"/>
          <w:bCs/>
          <w:color w:val="004E9A"/>
        </w:rPr>
        <w:t xml:space="preserve">), te na </w:t>
      </w:r>
    </w:p>
    <w:p w14:paraId="7D6A61E5" w14:textId="312FC883" w:rsidR="00247C80" w:rsidRPr="000C07E1" w:rsidRDefault="00247C80">
      <w:pPr>
        <w:pStyle w:val="Odlomakpopisa"/>
        <w:numPr>
          <w:ilvl w:val="0"/>
          <w:numId w:val="48"/>
        </w:numPr>
        <w:autoSpaceDE w:val="0"/>
        <w:autoSpaceDN w:val="0"/>
        <w:adjustRightInd w:val="0"/>
        <w:rPr>
          <w:rFonts w:ascii="Arial" w:eastAsia="Calibri" w:hAnsi="Arial" w:cs="Arial"/>
          <w:bCs/>
          <w:color w:val="004E9A"/>
        </w:rPr>
      </w:pPr>
      <w:r w:rsidRPr="000C07E1">
        <w:rPr>
          <w:rFonts w:ascii="Arial" w:hAnsi="Arial" w:cs="Arial"/>
          <w:color w:val="004E9A"/>
        </w:rPr>
        <w:t xml:space="preserve">osnovnom računu </w:t>
      </w:r>
      <w:r w:rsidRPr="000C07E1">
        <w:rPr>
          <w:rFonts w:ascii="Arial" w:hAnsi="Arial" w:cs="Arial"/>
          <w:b/>
          <w:bCs/>
          <w:color w:val="004E9A"/>
          <w:u w:val="single"/>
        </w:rPr>
        <w:t>63122</w:t>
      </w:r>
      <w:r w:rsidRPr="000C07E1">
        <w:rPr>
          <w:rFonts w:ascii="Arial" w:hAnsi="Arial" w:cs="Arial"/>
          <w:color w:val="004E9A"/>
        </w:rPr>
        <w:t xml:space="preserve"> u iznosu </w:t>
      </w:r>
      <w:r w:rsidR="00646534" w:rsidRPr="000C07E1">
        <w:rPr>
          <w:rFonts w:ascii="Arial" w:hAnsi="Arial" w:cs="Arial"/>
          <w:color w:val="004E9A"/>
        </w:rPr>
        <w:t>315.901,39</w:t>
      </w:r>
      <w:r w:rsidRPr="000C07E1">
        <w:rPr>
          <w:rFonts w:ascii="Arial" w:hAnsi="Arial" w:cs="Arial"/>
          <w:color w:val="004E9A"/>
        </w:rPr>
        <w:t xml:space="preserve"> € (od čega za projekt </w:t>
      </w:r>
      <w:r w:rsidRPr="000C07E1">
        <w:rPr>
          <w:rFonts w:ascii="Arial" w:eastAsia="Calibri" w:hAnsi="Arial" w:cs="Arial"/>
          <w:b/>
          <w:color w:val="004E9A"/>
        </w:rPr>
        <w:t xml:space="preserve"> „To 0 waste“ </w:t>
      </w:r>
      <w:r w:rsidR="00646534" w:rsidRPr="000C07E1">
        <w:rPr>
          <w:rFonts w:ascii="Arial" w:eastAsia="Calibri" w:hAnsi="Arial" w:cs="Arial"/>
          <w:bCs/>
          <w:color w:val="004E9A"/>
        </w:rPr>
        <w:t>113.684,35</w:t>
      </w:r>
      <w:r w:rsidRPr="000C07E1">
        <w:rPr>
          <w:rFonts w:ascii="Arial" w:eastAsia="Calibri" w:hAnsi="Arial" w:cs="Arial"/>
          <w:bCs/>
          <w:color w:val="004E9A"/>
        </w:rPr>
        <w:t xml:space="preserve"> € i za projekt </w:t>
      </w:r>
      <w:r w:rsidRPr="000C07E1">
        <w:rPr>
          <w:rFonts w:ascii="Arial" w:eastAsia="Calibri" w:hAnsi="Arial" w:cs="Arial"/>
          <w:b/>
          <w:color w:val="004E9A"/>
        </w:rPr>
        <w:t>WATERLINK</w:t>
      </w:r>
      <w:r w:rsidRPr="000C07E1">
        <w:rPr>
          <w:rFonts w:ascii="Arial" w:eastAsia="Calibri" w:hAnsi="Arial" w:cs="Arial"/>
          <w:bCs/>
          <w:color w:val="004E9A"/>
        </w:rPr>
        <w:t xml:space="preserve"> </w:t>
      </w:r>
      <w:r w:rsidR="00646534" w:rsidRPr="000C07E1">
        <w:rPr>
          <w:rFonts w:ascii="Arial" w:eastAsia="Calibri" w:hAnsi="Arial" w:cs="Arial"/>
          <w:bCs/>
          <w:color w:val="004E9A"/>
        </w:rPr>
        <w:t>202.217,04</w:t>
      </w:r>
      <w:r w:rsidRPr="000C07E1">
        <w:rPr>
          <w:rFonts w:ascii="Arial" w:eastAsia="Calibri" w:hAnsi="Arial" w:cs="Arial"/>
          <w:bCs/>
          <w:color w:val="004E9A"/>
        </w:rPr>
        <w:t xml:space="preserve"> €)</w:t>
      </w:r>
    </w:p>
    <w:p w14:paraId="3EF64547" w14:textId="77777777" w:rsidR="000F788F" w:rsidRPr="001D1CC8" w:rsidRDefault="000F788F" w:rsidP="000F788F">
      <w:pPr>
        <w:pStyle w:val="Odlomakpopisa"/>
        <w:autoSpaceDE w:val="0"/>
        <w:autoSpaceDN w:val="0"/>
        <w:adjustRightInd w:val="0"/>
        <w:ind w:left="720"/>
        <w:rPr>
          <w:rFonts w:ascii="Arial" w:eastAsia="Calibri" w:hAnsi="Arial" w:cs="Arial"/>
          <w:bCs/>
        </w:rPr>
      </w:pPr>
    </w:p>
    <w:p w14:paraId="36AA0C0D" w14:textId="77777777" w:rsidR="00247C80" w:rsidRPr="004E241C" w:rsidRDefault="00247C80" w:rsidP="004E241C">
      <w:pPr>
        <w:spacing w:after="0" w:line="240" w:lineRule="auto"/>
        <w:jc w:val="both"/>
        <w:rPr>
          <w:rFonts w:ascii="Arial" w:eastAsia="Calibri" w:hAnsi="Arial" w:cs="Arial"/>
          <w:sz w:val="20"/>
          <w:szCs w:val="20"/>
        </w:rPr>
      </w:pPr>
    </w:p>
    <w:p w14:paraId="5D5991A8" w14:textId="75EF3DC6" w:rsidR="004E241C" w:rsidRPr="004E241C" w:rsidRDefault="004E241C" w:rsidP="004E241C">
      <w:pPr>
        <w:spacing w:after="0" w:line="240" w:lineRule="auto"/>
        <w:jc w:val="both"/>
        <w:rPr>
          <w:rFonts w:ascii="Arial" w:eastAsia="Calibri" w:hAnsi="Arial" w:cs="Arial"/>
          <w:bCs/>
          <w:sz w:val="20"/>
          <w:szCs w:val="20"/>
        </w:rPr>
      </w:pPr>
      <w:r w:rsidRPr="004E241C">
        <w:rPr>
          <w:rFonts w:ascii="Arial" w:eastAsia="Calibri" w:hAnsi="Arial" w:cs="Arial"/>
          <w:b/>
          <w:sz w:val="20"/>
          <w:szCs w:val="20"/>
        </w:rPr>
        <w:t xml:space="preserve">A.1) </w:t>
      </w:r>
      <w:r w:rsidRPr="004E241C">
        <w:rPr>
          <w:rFonts w:ascii="Arial" w:eastAsia="Calibri" w:hAnsi="Arial" w:cs="Arial"/>
          <w:b/>
          <w:sz w:val="20"/>
          <w:szCs w:val="20"/>
        </w:rPr>
        <w:tab/>
        <w:t xml:space="preserve">„To 0 waste“ – </w:t>
      </w:r>
      <w:r w:rsidRPr="004E241C">
        <w:rPr>
          <w:rFonts w:ascii="Arial" w:eastAsia="Calibri" w:hAnsi="Arial" w:cs="Arial"/>
          <w:bCs/>
          <w:sz w:val="20"/>
          <w:szCs w:val="20"/>
        </w:rPr>
        <w:t xml:space="preserve">maksimalna vrijednost projekta </w:t>
      </w:r>
      <w:r w:rsidR="001D1CC8" w:rsidRPr="001D1CC8">
        <w:rPr>
          <w:rFonts w:ascii="Arial" w:eastAsia="Calibri" w:hAnsi="Arial" w:cs="Arial"/>
          <w:bCs/>
          <w:sz w:val="20"/>
          <w:szCs w:val="20"/>
        </w:rPr>
        <w:t>622.125</w:t>
      </w:r>
      <w:r w:rsidRPr="004E241C">
        <w:rPr>
          <w:rFonts w:ascii="Arial" w:eastAsia="Calibri" w:hAnsi="Arial" w:cs="Arial"/>
          <w:bCs/>
          <w:sz w:val="20"/>
          <w:szCs w:val="20"/>
        </w:rPr>
        <w:t xml:space="preserve"> €, od čega </w:t>
      </w:r>
      <w:r w:rsidRPr="00501674">
        <w:rPr>
          <w:rFonts w:ascii="Arial" w:eastAsia="Calibri" w:hAnsi="Arial" w:cs="Arial"/>
          <w:b/>
          <w:i/>
          <w:iCs/>
          <w:sz w:val="20"/>
          <w:szCs w:val="20"/>
        </w:rPr>
        <w:t>očekivana vrijednost sufinanciranja EU iznosi 85%</w:t>
      </w:r>
      <w:r w:rsidR="001D1CC8" w:rsidRPr="00501674">
        <w:rPr>
          <w:rFonts w:ascii="Arial" w:eastAsia="Calibri" w:hAnsi="Arial" w:cs="Arial"/>
          <w:b/>
          <w:i/>
          <w:iCs/>
          <w:sz w:val="20"/>
          <w:szCs w:val="20"/>
        </w:rPr>
        <w:t xml:space="preserve"> odnosno 528.806,25</w:t>
      </w:r>
      <w:r w:rsidR="001D1CC8" w:rsidRPr="001D1CC8">
        <w:rPr>
          <w:rFonts w:ascii="Arial" w:eastAsia="Calibri" w:hAnsi="Arial" w:cs="Arial"/>
          <w:bCs/>
          <w:sz w:val="20"/>
          <w:szCs w:val="20"/>
        </w:rPr>
        <w:t xml:space="preserve"> €.</w:t>
      </w:r>
    </w:p>
    <w:p w14:paraId="4B36645D" w14:textId="77777777" w:rsidR="001D1CC8" w:rsidRDefault="001D1CC8" w:rsidP="00783C8D">
      <w:pPr>
        <w:spacing w:after="0" w:line="240" w:lineRule="auto"/>
        <w:jc w:val="both"/>
        <w:rPr>
          <w:rFonts w:ascii="Arial" w:eastAsia="Calibri" w:hAnsi="Arial" w:cs="Arial"/>
          <w:bCs/>
          <w:sz w:val="20"/>
          <w:szCs w:val="20"/>
        </w:rPr>
      </w:pPr>
    </w:p>
    <w:p w14:paraId="03820375" w14:textId="77777777" w:rsidR="00703E28" w:rsidRPr="00703E28" w:rsidRDefault="00703E28" w:rsidP="00703E28">
      <w:pPr>
        <w:spacing w:after="0" w:line="240" w:lineRule="auto"/>
        <w:jc w:val="both"/>
        <w:rPr>
          <w:rFonts w:ascii="Arial" w:eastAsia="Calibri" w:hAnsi="Arial" w:cs="Arial"/>
          <w:bCs/>
          <w:sz w:val="20"/>
          <w:szCs w:val="20"/>
        </w:rPr>
      </w:pPr>
      <w:r w:rsidRPr="00703E28">
        <w:rPr>
          <w:rFonts w:ascii="Arial" w:eastAsia="Calibri" w:hAnsi="Arial" w:cs="Arial"/>
          <w:b/>
          <w:sz w:val="20"/>
          <w:szCs w:val="20"/>
        </w:rPr>
        <w:t>Naziv projekta</w:t>
      </w:r>
      <w:r w:rsidRPr="00703E28">
        <w:rPr>
          <w:rFonts w:ascii="Arial" w:eastAsia="Calibri" w:hAnsi="Arial" w:cs="Arial"/>
          <w:bCs/>
          <w:sz w:val="20"/>
          <w:szCs w:val="20"/>
        </w:rPr>
        <w:t>: Toward Zero Waste CBC (TO 0 WASTE)</w:t>
      </w:r>
    </w:p>
    <w:p w14:paraId="6E745F3F" w14:textId="77777777" w:rsidR="00703E28" w:rsidRPr="00703E28" w:rsidRDefault="00703E28" w:rsidP="00703E28">
      <w:pPr>
        <w:spacing w:after="0" w:line="240" w:lineRule="auto"/>
        <w:jc w:val="both"/>
        <w:rPr>
          <w:rFonts w:ascii="Arial" w:eastAsia="Calibri" w:hAnsi="Arial" w:cs="Arial"/>
          <w:bCs/>
          <w:sz w:val="20"/>
          <w:szCs w:val="20"/>
        </w:rPr>
      </w:pPr>
      <w:r w:rsidRPr="00703E28">
        <w:rPr>
          <w:rFonts w:ascii="Arial" w:eastAsia="Calibri" w:hAnsi="Arial" w:cs="Arial"/>
          <w:b/>
          <w:sz w:val="20"/>
          <w:szCs w:val="20"/>
        </w:rPr>
        <w:t>Glavni cilj projekta</w:t>
      </w:r>
      <w:r w:rsidRPr="00703E28">
        <w:rPr>
          <w:rFonts w:ascii="Arial" w:eastAsia="Calibri" w:hAnsi="Arial" w:cs="Arial"/>
          <w:bCs/>
          <w:sz w:val="20"/>
          <w:szCs w:val="20"/>
        </w:rPr>
        <w:t>: Unaprijediti kružno i resursno učinkovito gospodarstvo kroz smanjenje otpada na odlagalištima, povećanje odvojenog prikupljanja otpada i smanjenje divljih odlagališta u Općini Tuzi, Općini Konavle i Gradu Mostaru.</w:t>
      </w:r>
    </w:p>
    <w:p w14:paraId="2F7EE4E1" w14:textId="77777777" w:rsidR="00703E28" w:rsidRPr="00703E28" w:rsidRDefault="00703E28" w:rsidP="00703E28">
      <w:pPr>
        <w:spacing w:after="0" w:line="240" w:lineRule="auto"/>
        <w:jc w:val="both"/>
        <w:rPr>
          <w:rFonts w:ascii="Arial" w:eastAsia="Calibri" w:hAnsi="Arial" w:cs="Arial"/>
          <w:bCs/>
          <w:sz w:val="20"/>
          <w:szCs w:val="20"/>
        </w:rPr>
      </w:pPr>
      <w:r w:rsidRPr="00703E28">
        <w:rPr>
          <w:rFonts w:ascii="Arial" w:eastAsia="Calibri" w:hAnsi="Arial" w:cs="Arial"/>
          <w:b/>
          <w:sz w:val="20"/>
          <w:szCs w:val="20"/>
        </w:rPr>
        <w:lastRenderedPageBreak/>
        <w:t>Prioritetna os programa</w:t>
      </w:r>
      <w:r w:rsidRPr="00703E28">
        <w:rPr>
          <w:rFonts w:ascii="Arial" w:eastAsia="Calibri" w:hAnsi="Arial" w:cs="Arial"/>
          <w:bCs/>
          <w:sz w:val="20"/>
          <w:szCs w:val="20"/>
        </w:rPr>
        <w:t>: Prioritetna os 2 – Zelena ulaganja u zaštitu okoliša i učinkovito upravljanje rizicima</w:t>
      </w:r>
    </w:p>
    <w:p w14:paraId="769D520F" w14:textId="77777777" w:rsidR="00703E28" w:rsidRPr="00703E28" w:rsidRDefault="00703E28" w:rsidP="00703E28">
      <w:pPr>
        <w:spacing w:after="0" w:line="240" w:lineRule="auto"/>
        <w:jc w:val="both"/>
        <w:rPr>
          <w:rFonts w:ascii="Arial" w:eastAsia="Calibri" w:hAnsi="Arial" w:cs="Arial"/>
          <w:bCs/>
          <w:sz w:val="20"/>
          <w:szCs w:val="20"/>
        </w:rPr>
      </w:pPr>
      <w:r w:rsidRPr="00703E28">
        <w:rPr>
          <w:rFonts w:ascii="Arial" w:eastAsia="Calibri" w:hAnsi="Arial" w:cs="Arial"/>
          <w:b/>
          <w:sz w:val="20"/>
          <w:szCs w:val="20"/>
        </w:rPr>
        <w:t>Opis projekta</w:t>
      </w:r>
      <w:r w:rsidRPr="00703E28">
        <w:rPr>
          <w:rFonts w:ascii="Arial" w:eastAsia="Calibri" w:hAnsi="Arial" w:cs="Arial"/>
          <w:bCs/>
          <w:sz w:val="20"/>
          <w:szCs w:val="20"/>
        </w:rPr>
        <w:t>:</w:t>
      </w:r>
    </w:p>
    <w:p w14:paraId="0C620682" w14:textId="77777777" w:rsidR="00703E28" w:rsidRPr="00703E28" w:rsidRDefault="00703E28" w:rsidP="00703E28">
      <w:pPr>
        <w:spacing w:after="0" w:line="240" w:lineRule="auto"/>
        <w:jc w:val="both"/>
        <w:rPr>
          <w:rFonts w:ascii="Arial" w:eastAsia="Calibri" w:hAnsi="Arial" w:cs="Arial"/>
          <w:bCs/>
          <w:sz w:val="20"/>
          <w:szCs w:val="20"/>
        </w:rPr>
      </w:pPr>
      <w:r w:rsidRPr="00703E28">
        <w:rPr>
          <w:rFonts w:ascii="Arial" w:eastAsia="Calibri" w:hAnsi="Arial" w:cs="Arial"/>
          <w:bCs/>
          <w:sz w:val="20"/>
          <w:szCs w:val="20"/>
        </w:rPr>
        <w:t>Projekt TO 0 WASTE fokusira se na izazove u gospodarenju otpadom, uključujući slabu tehničku i kadrovsku opremljenost komunalnih poduzeća, financijske probleme i nisku razinu recikliranja. Ograničeni kapaciteti odlagališta i divlja odlagališta dodatno otežavaju situaciju, dok javnost ima nisku svijest o važnosti pravilnog zbrinjavanja otpada. Partneri – Općina Tuzi, Općina Konavle i Grad Mostar – radit će na zajedničkom rješavanju ovih problema, koristeći iskustva Općine Konavle koja ima napredniji sustav.</w:t>
      </w:r>
    </w:p>
    <w:p w14:paraId="7C728D0C" w14:textId="77777777" w:rsidR="00703E28" w:rsidRPr="00703E28" w:rsidRDefault="00703E28" w:rsidP="00703E28">
      <w:pPr>
        <w:spacing w:after="0" w:line="240" w:lineRule="auto"/>
        <w:jc w:val="both"/>
        <w:rPr>
          <w:rFonts w:ascii="Arial" w:eastAsia="Calibri" w:hAnsi="Arial" w:cs="Arial"/>
          <w:bCs/>
          <w:sz w:val="20"/>
          <w:szCs w:val="20"/>
        </w:rPr>
      </w:pPr>
      <w:r w:rsidRPr="00703E28">
        <w:rPr>
          <w:rFonts w:ascii="Arial" w:eastAsia="Calibri" w:hAnsi="Arial" w:cs="Arial"/>
          <w:b/>
          <w:sz w:val="20"/>
          <w:szCs w:val="20"/>
        </w:rPr>
        <w:t>Očekivani ključni rezultati projekta</w:t>
      </w:r>
      <w:r w:rsidRPr="00703E28">
        <w:rPr>
          <w:rFonts w:ascii="Arial" w:eastAsia="Calibri" w:hAnsi="Arial" w:cs="Arial"/>
          <w:bCs/>
          <w:sz w:val="20"/>
          <w:szCs w:val="20"/>
        </w:rPr>
        <w:t>:</w:t>
      </w:r>
    </w:p>
    <w:p w14:paraId="5199F78D" w14:textId="77777777" w:rsidR="00703E28" w:rsidRPr="00703E28" w:rsidRDefault="00703E28" w:rsidP="00703E28">
      <w:pPr>
        <w:spacing w:after="0" w:line="240" w:lineRule="auto"/>
        <w:jc w:val="both"/>
        <w:rPr>
          <w:rFonts w:ascii="Arial" w:eastAsia="Calibri" w:hAnsi="Arial" w:cs="Arial"/>
          <w:bCs/>
          <w:sz w:val="20"/>
          <w:szCs w:val="20"/>
        </w:rPr>
      </w:pPr>
      <w:r w:rsidRPr="00703E28">
        <w:rPr>
          <w:rFonts w:ascii="Arial" w:eastAsia="Calibri" w:hAnsi="Arial" w:cs="Arial"/>
          <w:bCs/>
          <w:sz w:val="20"/>
          <w:szCs w:val="20"/>
        </w:rPr>
        <w:t>Implementacija rješenja za unapređenje odvojenog prikupljanja otpada i sanaciju divljih odlagališta testirat će se kroz pilot akcije u Mostaru, Konavlima i Tuzima. Očekuje se povećanje prikupljenog odvojenog otpada i smanjenje divljih odlagališta, dok će Planovi gospodarenja čvrstim otpadom za razdoblje 2025.-2030. dokumentirati rezultate pilot akcija.</w:t>
      </w:r>
    </w:p>
    <w:p w14:paraId="1ABAAF2C" w14:textId="77777777" w:rsidR="00703E28" w:rsidRPr="00703E28" w:rsidRDefault="00703E28" w:rsidP="00703E28">
      <w:pPr>
        <w:spacing w:after="0" w:line="240" w:lineRule="auto"/>
        <w:jc w:val="both"/>
        <w:rPr>
          <w:rFonts w:ascii="Arial" w:eastAsia="Calibri" w:hAnsi="Arial" w:cs="Arial"/>
          <w:bCs/>
          <w:sz w:val="20"/>
          <w:szCs w:val="20"/>
        </w:rPr>
      </w:pPr>
    </w:p>
    <w:p w14:paraId="2D23120C" w14:textId="01AFB5A1" w:rsidR="008B12ED" w:rsidRDefault="00703E28" w:rsidP="00703E28">
      <w:pPr>
        <w:spacing w:after="0" w:line="240" w:lineRule="auto"/>
        <w:jc w:val="both"/>
        <w:rPr>
          <w:rFonts w:ascii="Arial" w:eastAsia="Calibri" w:hAnsi="Arial" w:cs="Arial"/>
          <w:bCs/>
          <w:sz w:val="20"/>
          <w:szCs w:val="20"/>
        </w:rPr>
      </w:pPr>
      <w:r w:rsidRPr="00703E28">
        <w:rPr>
          <w:rFonts w:ascii="Arial" w:eastAsia="Calibri" w:hAnsi="Arial" w:cs="Arial"/>
          <w:b/>
          <w:sz w:val="20"/>
          <w:szCs w:val="20"/>
        </w:rPr>
        <w:t>Projektno partnerstvo</w:t>
      </w:r>
      <w:r w:rsidRPr="00703E28">
        <w:rPr>
          <w:rFonts w:ascii="Arial" w:eastAsia="Calibri" w:hAnsi="Arial" w:cs="Arial"/>
          <w:bCs/>
          <w:sz w:val="20"/>
          <w:szCs w:val="20"/>
        </w:rPr>
        <w:t>:</w:t>
      </w:r>
      <w:r>
        <w:rPr>
          <w:rFonts w:ascii="Arial" w:eastAsia="Calibri" w:hAnsi="Arial" w:cs="Arial"/>
          <w:bCs/>
          <w:sz w:val="20"/>
          <w:szCs w:val="20"/>
        </w:rPr>
        <w:t xml:space="preserve"> </w:t>
      </w:r>
      <w:r w:rsidRPr="00703E28">
        <w:rPr>
          <w:rFonts w:ascii="Arial" w:eastAsia="Calibri" w:hAnsi="Arial" w:cs="Arial"/>
          <w:bCs/>
          <w:sz w:val="20"/>
          <w:szCs w:val="20"/>
        </w:rPr>
        <w:t>Projektno partnerstvo uključuje tri lokalne samouprave: Općinu Tuzi kao vodećeg partnera, Općinu Konavle i Grad Mostar. Svaka općina će doprinijeti opremanju svojih komunalnih poduzeća specijaliziranom opremom i vozilima za odvojeno prikupljanje otpada te čišćenje divljih odlagališta.</w:t>
      </w:r>
    </w:p>
    <w:p w14:paraId="5A34FBDE" w14:textId="77777777" w:rsidR="008B12ED" w:rsidRDefault="008B12ED" w:rsidP="00783C8D">
      <w:pPr>
        <w:spacing w:after="0" w:line="240" w:lineRule="auto"/>
        <w:jc w:val="both"/>
        <w:rPr>
          <w:rFonts w:ascii="Arial" w:eastAsia="Calibri" w:hAnsi="Arial" w:cs="Arial"/>
          <w:bCs/>
          <w:sz w:val="20"/>
          <w:szCs w:val="20"/>
        </w:rPr>
      </w:pPr>
    </w:p>
    <w:p w14:paraId="036FDEAB" w14:textId="77777777" w:rsidR="00703E28" w:rsidRPr="001D1CC8" w:rsidRDefault="00703E28" w:rsidP="00703E28">
      <w:pPr>
        <w:spacing w:after="0" w:line="240" w:lineRule="auto"/>
        <w:jc w:val="both"/>
        <w:rPr>
          <w:rFonts w:ascii="Arial" w:eastAsia="Calibri" w:hAnsi="Arial" w:cs="Arial"/>
          <w:bCs/>
          <w:sz w:val="20"/>
          <w:szCs w:val="20"/>
        </w:rPr>
      </w:pPr>
      <w:r w:rsidRPr="001D1CC8">
        <w:rPr>
          <w:rFonts w:ascii="Arial" w:eastAsia="Calibri" w:hAnsi="Arial" w:cs="Arial"/>
          <w:bCs/>
          <w:sz w:val="20"/>
          <w:szCs w:val="20"/>
        </w:rPr>
        <w:t>Projektom “TO 0 WASTE” Općina Konavle nastavlja promicati održivo i odgovorno upravljanje otpadom, očuvanje okoliša te prelazak na kružnu ekonomiju u Općini Konavle, a sve kako bi se podigla kvaliteta javnog prostora i poboljšao život svih stanovnika. Ukupan projektni proračun Općine Konavle iznosi 622.125,00 €.</w:t>
      </w:r>
    </w:p>
    <w:p w14:paraId="75BDF16D" w14:textId="77777777" w:rsidR="00703E28" w:rsidRPr="001D1CC8" w:rsidRDefault="00703E28" w:rsidP="00703E28">
      <w:pPr>
        <w:spacing w:after="0" w:line="240" w:lineRule="auto"/>
        <w:jc w:val="both"/>
        <w:rPr>
          <w:rFonts w:ascii="Arial" w:eastAsia="Calibri" w:hAnsi="Arial" w:cs="Arial"/>
          <w:bCs/>
          <w:sz w:val="20"/>
          <w:szCs w:val="20"/>
        </w:rPr>
      </w:pPr>
      <w:r w:rsidRPr="001D1CC8">
        <w:rPr>
          <w:rFonts w:ascii="Arial" w:eastAsia="Calibri" w:hAnsi="Arial" w:cs="Arial"/>
          <w:bCs/>
          <w:sz w:val="20"/>
          <w:szCs w:val="20"/>
        </w:rPr>
        <w:t>Vodeći projektni partner je Općina Tuzi (MNE). Ugovor s partnerima je zaključen u srpnju / kolovozu 2024. godine. Trajanje provedbe projekta je od 15.7.2024.-14.01.2027.</w:t>
      </w:r>
    </w:p>
    <w:p w14:paraId="12E3E25A" w14:textId="77777777" w:rsidR="00703E28" w:rsidRPr="001D1CC8" w:rsidRDefault="00703E28" w:rsidP="00703E28">
      <w:pPr>
        <w:spacing w:after="0" w:line="240" w:lineRule="auto"/>
        <w:jc w:val="both"/>
        <w:rPr>
          <w:rFonts w:ascii="Arial" w:eastAsia="Calibri" w:hAnsi="Arial" w:cs="Arial"/>
          <w:bCs/>
          <w:sz w:val="20"/>
          <w:szCs w:val="20"/>
        </w:rPr>
      </w:pPr>
      <w:r w:rsidRPr="00501674">
        <w:rPr>
          <w:rFonts w:ascii="Arial" w:eastAsia="Calibri" w:hAnsi="Arial" w:cs="Arial"/>
          <w:b/>
          <w:sz w:val="20"/>
          <w:szCs w:val="20"/>
        </w:rPr>
        <w:t>Predujam</w:t>
      </w:r>
      <w:r w:rsidRPr="001D1CC8">
        <w:rPr>
          <w:rFonts w:ascii="Arial" w:eastAsia="Calibri" w:hAnsi="Arial" w:cs="Arial"/>
          <w:bCs/>
          <w:sz w:val="20"/>
          <w:szCs w:val="20"/>
        </w:rPr>
        <w:t xml:space="preserve"> za provedbu projekta za doznačen u rujnu 2024. godine u iznosu </w:t>
      </w:r>
      <w:r w:rsidRPr="00501674">
        <w:rPr>
          <w:rFonts w:ascii="Arial" w:eastAsia="Calibri" w:hAnsi="Arial" w:cs="Arial"/>
          <w:b/>
          <w:sz w:val="20"/>
          <w:szCs w:val="20"/>
        </w:rPr>
        <w:t>154.743,59 €</w:t>
      </w:r>
      <w:r w:rsidRPr="001D1CC8">
        <w:rPr>
          <w:rFonts w:ascii="Arial" w:eastAsia="Calibri" w:hAnsi="Arial" w:cs="Arial"/>
          <w:bCs/>
          <w:sz w:val="20"/>
          <w:szCs w:val="20"/>
        </w:rPr>
        <w:t>, od čega je evidentirano kao tekuća pomoć 39.000 €, a 115.743,59 € kao kapitalna pomoć.</w:t>
      </w:r>
      <w:r w:rsidRPr="001D1CC8">
        <w:rPr>
          <w:rFonts w:ascii="Arial" w:eastAsia="Calibri" w:hAnsi="Arial" w:cs="Arial"/>
          <w:sz w:val="20"/>
          <w:szCs w:val="20"/>
        </w:rPr>
        <w:t xml:space="preserve"> Podjela prihoda na tekuće i kapitalne je obavljena procjenom sukladno planiranim troškovima projekta.</w:t>
      </w:r>
    </w:p>
    <w:p w14:paraId="4B6F64FF" w14:textId="77777777" w:rsidR="00703E28" w:rsidRPr="000327A6" w:rsidRDefault="00703E28" w:rsidP="00703E28">
      <w:pPr>
        <w:spacing w:after="0" w:line="240" w:lineRule="auto"/>
        <w:jc w:val="both"/>
        <w:rPr>
          <w:rFonts w:ascii="Arial" w:eastAsia="Calibri" w:hAnsi="Arial" w:cs="Arial"/>
          <w:bCs/>
          <w:sz w:val="20"/>
          <w:szCs w:val="20"/>
        </w:rPr>
      </w:pPr>
    </w:p>
    <w:p w14:paraId="0B825D5C" w14:textId="77777777" w:rsidR="00703E28" w:rsidRPr="000327A6" w:rsidRDefault="00703E28" w:rsidP="00703E28">
      <w:pPr>
        <w:spacing w:after="0" w:line="240" w:lineRule="auto"/>
        <w:jc w:val="both"/>
        <w:rPr>
          <w:rFonts w:ascii="Arial" w:eastAsia="Calibri" w:hAnsi="Arial" w:cs="Arial"/>
          <w:bCs/>
          <w:sz w:val="20"/>
          <w:szCs w:val="20"/>
        </w:rPr>
      </w:pPr>
      <w:r w:rsidRPr="000327A6">
        <w:rPr>
          <w:rFonts w:ascii="Arial" w:eastAsia="Calibri" w:hAnsi="Arial" w:cs="Arial"/>
          <w:bCs/>
          <w:sz w:val="20"/>
          <w:szCs w:val="20"/>
        </w:rPr>
        <w:t>U 2024</w:t>
      </w:r>
      <w:r>
        <w:rPr>
          <w:rFonts w:ascii="Arial" w:eastAsia="Calibri" w:hAnsi="Arial" w:cs="Arial"/>
          <w:bCs/>
          <w:sz w:val="20"/>
          <w:szCs w:val="20"/>
        </w:rPr>
        <w:t>. godini iskazani su rashodi za provedbu projekta u iznosu 28.479,62 € (od čega iz tekućih sredstava EU 24.207,68 €, a iz općinskih sredstava 4.271,94 €).</w:t>
      </w:r>
    </w:p>
    <w:p w14:paraId="0C810074" w14:textId="77777777" w:rsidR="008B12ED" w:rsidRDefault="008B12ED" w:rsidP="00783C8D">
      <w:pPr>
        <w:spacing w:after="0" w:line="240" w:lineRule="auto"/>
        <w:jc w:val="both"/>
        <w:rPr>
          <w:rFonts w:ascii="Arial" w:eastAsia="Calibri" w:hAnsi="Arial" w:cs="Arial"/>
          <w:bCs/>
          <w:sz w:val="20"/>
          <w:szCs w:val="20"/>
        </w:rPr>
      </w:pPr>
    </w:p>
    <w:p w14:paraId="7FABFBE6" w14:textId="630DF047" w:rsidR="00D2370E" w:rsidRPr="000327A6" w:rsidRDefault="00D2370E" w:rsidP="00D2370E">
      <w:pPr>
        <w:spacing w:after="0" w:line="240" w:lineRule="auto"/>
        <w:jc w:val="both"/>
        <w:rPr>
          <w:rFonts w:ascii="Arial" w:eastAsia="Calibri" w:hAnsi="Arial" w:cs="Arial"/>
          <w:bCs/>
          <w:sz w:val="20"/>
          <w:szCs w:val="20"/>
        </w:rPr>
      </w:pPr>
      <w:r w:rsidRPr="000327A6">
        <w:rPr>
          <w:rFonts w:ascii="Arial" w:eastAsia="Calibri" w:hAnsi="Arial" w:cs="Arial"/>
          <w:bCs/>
          <w:sz w:val="20"/>
          <w:szCs w:val="20"/>
        </w:rPr>
        <w:t>U 20</w:t>
      </w:r>
      <w:r>
        <w:rPr>
          <w:rFonts w:ascii="Arial" w:eastAsia="Calibri" w:hAnsi="Arial" w:cs="Arial"/>
          <w:bCs/>
          <w:sz w:val="20"/>
          <w:szCs w:val="20"/>
        </w:rPr>
        <w:t xml:space="preserve">25. godini iskazani su rashodi za provedbu projekta u iznosu </w:t>
      </w:r>
      <w:r w:rsidR="003C2A04">
        <w:rPr>
          <w:rFonts w:ascii="Arial" w:eastAsia="Calibri" w:hAnsi="Arial" w:cs="Arial"/>
          <w:bCs/>
          <w:sz w:val="20"/>
          <w:szCs w:val="20"/>
        </w:rPr>
        <w:t xml:space="preserve">541.025,40 </w:t>
      </w:r>
      <w:r>
        <w:rPr>
          <w:rFonts w:ascii="Arial" w:eastAsia="Calibri" w:hAnsi="Arial" w:cs="Arial"/>
          <w:bCs/>
          <w:sz w:val="20"/>
          <w:szCs w:val="20"/>
        </w:rPr>
        <w:t xml:space="preserve">€ (od čega iz sredstava EU </w:t>
      </w:r>
      <w:r w:rsidR="003C2A04">
        <w:rPr>
          <w:rFonts w:ascii="Arial" w:eastAsia="Calibri" w:hAnsi="Arial" w:cs="Arial"/>
          <w:bCs/>
          <w:sz w:val="20"/>
          <w:szCs w:val="20"/>
        </w:rPr>
        <w:t>423.971,60</w:t>
      </w:r>
      <w:r>
        <w:rPr>
          <w:rFonts w:ascii="Arial" w:eastAsia="Calibri" w:hAnsi="Arial" w:cs="Arial"/>
          <w:bCs/>
          <w:sz w:val="20"/>
          <w:szCs w:val="20"/>
        </w:rPr>
        <w:t xml:space="preserve"> €, a iz općinskih sredstava </w:t>
      </w:r>
      <w:r w:rsidR="003C2A04">
        <w:rPr>
          <w:rFonts w:ascii="Arial" w:eastAsia="Calibri" w:hAnsi="Arial" w:cs="Arial"/>
          <w:bCs/>
          <w:sz w:val="20"/>
          <w:szCs w:val="20"/>
        </w:rPr>
        <w:t>117.053,80</w:t>
      </w:r>
      <w:r>
        <w:rPr>
          <w:rFonts w:ascii="Arial" w:eastAsia="Calibri" w:hAnsi="Arial" w:cs="Arial"/>
          <w:bCs/>
          <w:sz w:val="20"/>
          <w:szCs w:val="20"/>
        </w:rPr>
        <w:t xml:space="preserve"> €).</w:t>
      </w:r>
      <w:r w:rsidR="003C2A04">
        <w:rPr>
          <w:rFonts w:ascii="Arial" w:eastAsia="Calibri" w:hAnsi="Arial" w:cs="Arial"/>
          <w:bCs/>
          <w:sz w:val="20"/>
          <w:szCs w:val="20"/>
        </w:rPr>
        <w:t xml:space="preserve"> Iz općinskih sredstava, izvor 110 predfinancirano je 293.435,69 € očekivanih EU pomoći (izvor 563).</w:t>
      </w:r>
    </w:p>
    <w:p w14:paraId="2A0B93FD" w14:textId="77777777" w:rsidR="00D2370E" w:rsidRDefault="00D2370E" w:rsidP="00783C8D">
      <w:pPr>
        <w:spacing w:after="0" w:line="240" w:lineRule="auto"/>
        <w:jc w:val="both"/>
        <w:rPr>
          <w:rFonts w:ascii="Arial" w:eastAsia="Calibri" w:hAnsi="Arial" w:cs="Arial"/>
          <w:bCs/>
          <w:sz w:val="20"/>
          <w:szCs w:val="20"/>
        </w:rPr>
      </w:pPr>
    </w:p>
    <w:p w14:paraId="2B674466" w14:textId="27552C71" w:rsidR="00930D41" w:rsidRPr="00F141A2" w:rsidRDefault="00930D41" w:rsidP="00783C8D">
      <w:pPr>
        <w:spacing w:after="0" w:line="240" w:lineRule="auto"/>
        <w:jc w:val="both"/>
        <w:rPr>
          <w:rFonts w:ascii="Arial" w:eastAsia="Calibri" w:hAnsi="Arial" w:cs="Arial"/>
          <w:sz w:val="20"/>
          <w:szCs w:val="20"/>
        </w:rPr>
      </w:pPr>
      <w:r w:rsidRPr="00F141A2">
        <w:rPr>
          <w:rFonts w:ascii="Arial" w:eastAsia="Calibri" w:hAnsi="Arial" w:cs="Arial"/>
          <w:sz w:val="20"/>
          <w:szCs w:val="20"/>
        </w:rPr>
        <w:t xml:space="preserve">U 2025. godini je obavljen ispravak rezultata </w:t>
      </w:r>
      <w:r w:rsidRPr="00930D41">
        <w:rPr>
          <w:rFonts w:ascii="Arial" w:eastAsia="Calibri" w:hAnsi="Arial" w:cs="Arial"/>
          <w:sz w:val="20"/>
          <w:szCs w:val="20"/>
        </w:rPr>
        <w:t xml:space="preserve">za neutrošena sredstva koja su bila iskazana u višku prihoda početkom 2025. godine te evidentirane obveze za primljeni predujam. Ispravak rezultata je obavljen za </w:t>
      </w:r>
      <w:r w:rsidRPr="00F141A2">
        <w:rPr>
          <w:rFonts w:ascii="Arial" w:eastAsia="Calibri" w:hAnsi="Arial" w:cs="Arial"/>
          <w:sz w:val="20"/>
          <w:szCs w:val="20"/>
        </w:rPr>
        <w:t xml:space="preserve">projekt „To 0 waste“ u iznosu 130.535,91 € (te bi prihodi za 2024. godinu za ovaj projekt iznosili 24.207,68 € umjesto 154.743,59 €). U 2025. godini </w:t>
      </w:r>
      <w:r w:rsidR="002C4A96" w:rsidRPr="00F141A2">
        <w:rPr>
          <w:rFonts w:ascii="Arial" w:eastAsia="Calibri" w:hAnsi="Arial" w:cs="Arial"/>
          <w:sz w:val="20"/>
          <w:szCs w:val="20"/>
        </w:rPr>
        <w:t>nije bilo doznake novčanih sredstava, a prihodi su iskazani u visini odobrenih troškova i raspoloživog predujma (130.535,91 €).</w:t>
      </w:r>
    </w:p>
    <w:p w14:paraId="79CF832D" w14:textId="77777777" w:rsidR="00930D41" w:rsidRPr="00930D41" w:rsidRDefault="00930D41" w:rsidP="00783C8D">
      <w:pPr>
        <w:spacing w:after="0" w:line="240" w:lineRule="auto"/>
        <w:jc w:val="both"/>
        <w:rPr>
          <w:rFonts w:ascii="Arial" w:eastAsia="Calibri" w:hAnsi="Arial" w:cs="Arial"/>
          <w:bCs/>
          <w:sz w:val="20"/>
          <w:szCs w:val="20"/>
        </w:rPr>
      </w:pPr>
    </w:p>
    <w:p w14:paraId="5035CCBF" w14:textId="0741CE7E" w:rsidR="004E241C" w:rsidRPr="001D1CC8" w:rsidRDefault="004E241C" w:rsidP="004E241C">
      <w:pPr>
        <w:spacing w:after="0" w:line="240" w:lineRule="auto"/>
        <w:jc w:val="both"/>
        <w:rPr>
          <w:rFonts w:ascii="Arial" w:eastAsia="Calibri" w:hAnsi="Arial" w:cs="Arial"/>
          <w:bCs/>
          <w:sz w:val="20"/>
          <w:szCs w:val="20"/>
        </w:rPr>
      </w:pPr>
      <w:r w:rsidRPr="004E241C">
        <w:rPr>
          <w:rFonts w:ascii="Arial" w:eastAsia="Calibri" w:hAnsi="Arial" w:cs="Arial"/>
          <w:b/>
          <w:sz w:val="20"/>
          <w:szCs w:val="20"/>
        </w:rPr>
        <w:t xml:space="preserve">A.2) </w:t>
      </w:r>
      <w:r w:rsidRPr="004E241C">
        <w:rPr>
          <w:rFonts w:ascii="Arial" w:eastAsia="Calibri" w:hAnsi="Arial" w:cs="Arial"/>
          <w:b/>
          <w:sz w:val="20"/>
          <w:szCs w:val="20"/>
        </w:rPr>
        <w:tab/>
        <w:t>WATERLINK</w:t>
      </w:r>
      <w:r w:rsidRPr="004E241C">
        <w:rPr>
          <w:rFonts w:ascii="Arial" w:eastAsia="Calibri" w:hAnsi="Arial" w:cs="Arial"/>
          <w:bCs/>
          <w:sz w:val="20"/>
          <w:szCs w:val="20"/>
        </w:rPr>
        <w:t xml:space="preserve"> - maksimalna vrijednost projekta </w:t>
      </w:r>
      <w:r w:rsidR="001D1CC8" w:rsidRPr="001D1CC8">
        <w:rPr>
          <w:rFonts w:ascii="Arial" w:eastAsia="Calibri" w:hAnsi="Arial" w:cs="Arial"/>
          <w:bCs/>
          <w:sz w:val="20"/>
          <w:szCs w:val="20"/>
        </w:rPr>
        <w:t>535.752</w:t>
      </w:r>
      <w:r w:rsidRPr="004E241C">
        <w:rPr>
          <w:rFonts w:ascii="Arial" w:eastAsia="Calibri" w:hAnsi="Arial" w:cs="Arial"/>
          <w:bCs/>
          <w:sz w:val="20"/>
          <w:szCs w:val="20"/>
        </w:rPr>
        <w:t xml:space="preserve"> €, od čega </w:t>
      </w:r>
      <w:r w:rsidRPr="00501674">
        <w:rPr>
          <w:rFonts w:ascii="Arial" w:eastAsia="Calibri" w:hAnsi="Arial" w:cs="Arial"/>
          <w:b/>
          <w:i/>
          <w:iCs/>
          <w:sz w:val="20"/>
          <w:szCs w:val="20"/>
        </w:rPr>
        <w:t>očekivana vrijednost sufinanciranja EU iznosi 85%</w:t>
      </w:r>
      <w:r w:rsidR="001D1CC8" w:rsidRPr="00501674">
        <w:rPr>
          <w:rFonts w:ascii="Arial" w:eastAsia="Calibri" w:hAnsi="Arial" w:cs="Arial"/>
          <w:b/>
          <w:i/>
          <w:iCs/>
          <w:sz w:val="20"/>
          <w:szCs w:val="20"/>
        </w:rPr>
        <w:t xml:space="preserve"> odnosno 455.389,20 €.</w:t>
      </w:r>
    </w:p>
    <w:p w14:paraId="1F124C10" w14:textId="77777777" w:rsidR="001D1CC8" w:rsidRPr="004E241C" w:rsidRDefault="001D1CC8" w:rsidP="004E241C">
      <w:pPr>
        <w:spacing w:after="0" w:line="240" w:lineRule="auto"/>
        <w:jc w:val="both"/>
        <w:rPr>
          <w:rFonts w:ascii="Arial" w:eastAsia="Calibri" w:hAnsi="Arial" w:cs="Arial"/>
          <w:bCs/>
          <w:sz w:val="20"/>
          <w:szCs w:val="20"/>
        </w:rPr>
      </w:pPr>
    </w:p>
    <w:p w14:paraId="14E32D10" w14:textId="77777777" w:rsidR="001D1CC8" w:rsidRPr="001D1CC8" w:rsidRDefault="001D1CC8" w:rsidP="001D1CC8">
      <w:pPr>
        <w:spacing w:after="0" w:line="240" w:lineRule="auto"/>
        <w:jc w:val="both"/>
        <w:rPr>
          <w:rFonts w:ascii="Arial" w:eastAsia="Calibri" w:hAnsi="Arial" w:cs="Arial"/>
          <w:bCs/>
          <w:sz w:val="20"/>
          <w:szCs w:val="20"/>
        </w:rPr>
      </w:pPr>
      <w:r w:rsidRPr="001D1CC8">
        <w:rPr>
          <w:rFonts w:ascii="Arial" w:eastAsia="Calibri" w:hAnsi="Arial" w:cs="Arial"/>
          <w:bCs/>
          <w:sz w:val="20"/>
          <w:szCs w:val="20"/>
        </w:rPr>
        <w:t>Naziv projekta: WATERLINK – Pametno i inovativno upravljanje za očuvanje kvalitete i opskrbe vode u regiji</w:t>
      </w:r>
    </w:p>
    <w:p w14:paraId="61F20F3F" w14:textId="77777777" w:rsidR="001D1CC8" w:rsidRPr="001D1CC8" w:rsidRDefault="001D1CC8" w:rsidP="001D1CC8">
      <w:pPr>
        <w:spacing w:after="0" w:line="240" w:lineRule="auto"/>
        <w:jc w:val="both"/>
        <w:rPr>
          <w:rFonts w:ascii="Arial" w:eastAsia="Calibri" w:hAnsi="Arial" w:cs="Arial"/>
          <w:bCs/>
          <w:sz w:val="20"/>
          <w:szCs w:val="20"/>
        </w:rPr>
      </w:pPr>
      <w:r w:rsidRPr="001D1CC8">
        <w:rPr>
          <w:rFonts w:ascii="Arial" w:eastAsia="Calibri" w:hAnsi="Arial" w:cs="Arial"/>
          <w:b/>
          <w:sz w:val="20"/>
          <w:szCs w:val="20"/>
        </w:rPr>
        <w:t>Glavni cilj projekta</w:t>
      </w:r>
      <w:r w:rsidRPr="001D1CC8">
        <w:rPr>
          <w:rFonts w:ascii="Arial" w:eastAsia="Calibri" w:hAnsi="Arial" w:cs="Arial"/>
          <w:bCs/>
          <w:sz w:val="20"/>
          <w:szCs w:val="20"/>
        </w:rPr>
        <w:t>: Poboljšati prilagodbu klimatskim promjenama i spriječiti rizike od katastrofa u prekograničnom području Trebinje-Konavle-Herceg Novi smanjenjem tehničkih gubitaka u sustavima opskrbe vodom kroz uspostavu daljinskog nadzora potrošnje vode i nadzornog centra.</w:t>
      </w:r>
    </w:p>
    <w:p w14:paraId="24722DAA" w14:textId="77777777" w:rsidR="001D1CC8" w:rsidRPr="001D1CC8" w:rsidRDefault="001D1CC8" w:rsidP="001D1CC8">
      <w:pPr>
        <w:spacing w:after="0" w:line="240" w:lineRule="auto"/>
        <w:jc w:val="both"/>
        <w:rPr>
          <w:rFonts w:ascii="Arial" w:eastAsia="Calibri" w:hAnsi="Arial" w:cs="Arial"/>
          <w:bCs/>
          <w:sz w:val="20"/>
          <w:szCs w:val="20"/>
        </w:rPr>
      </w:pPr>
      <w:r w:rsidRPr="001D1CC8">
        <w:rPr>
          <w:rFonts w:ascii="Arial" w:eastAsia="Calibri" w:hAnsi="Arial" w:cs="Arial"/>
          <w:b/>
          <w:sz w:val="20"/>
          <w:szCs w:val="20"/>
        </w:rPr>
        <w:t>Prioritetna os programa</w:t>
      </w:r>
      <w:r w:rsidRPr="001D1CC8">
        <w:rPr>
          <w:rFonts w:ascii="Arial" w:eastAsia="Calibri" w:hAnsi="Arial" w:cs="Arial"/>
          <w:bCs/>
          <w:sz w:val="20"/>
          <w:szCs w:val="20"/>
        </w:rPr>
        <w:t>: Zelena ulaganja u zaštitu okoliša i učinkovito upravljanje rizicima</w:t>
      </w:r>
    </w:p>
    <w:p w14:paraId="4A340874" w14:textId="6D65B14C" w:rsidR="001D1CC8" w:rsidRPr="001D1CC8" w:rsidRDefault="001D1CC8" w:rsidP="001D1CC8">
      <w:pPr>
        <w:spacing w:after="0" w:line="240" w:lineRule="auto"/>
        <w:jc w:val="both"/>
        <w:rPr>
          <w:rFonts w:ascii="Arial" w:eastAsia="Calibri" w:hAnsi="Arial" w:cs="Arial"/>
          <w:bCs/>
          <w:sz w:val="20"/>
          <w:szCs w:val="20"/>
        </w:rPr>
      </w:pPr>
      <w:r w:rsidRPr="001D1CC8">
        <w:rPr>
          <w:rFonts w:ascii="Arial" w:eastAsia="Calibri" w:hAnsi="Arial" w:cs="Arial"/>
          <w:b/>
          <w:sz w:val="20"/>
          <w:szCs w:val="20"/>
        </w:rPr>
        <w:t>Opis projekta</w:t>
      </w:r>
      <w:r w:rsidRPr="001D1CC8">
        <w:rPr>
          <w:rFonts w:ascii="Arial" w:eastAsia="Calibri" w:hAnsi="Arial" w:cs="Arial"/>
          <w:bCs/>
          <w:sz w:val="20"/>
          <w:szCs w:val="20"/>
        </w:rPr>
        <w:t xml:space="preserve">: </w:t>
      </w:r>
    </w:p>
    <w:p w14:paraId="49351D9C" w14:textId="77777777" w:rsidR="001D1CC8" w:rsidRPr="001D1CC8" w:rsidRDefault="001D1CC8" w:rsidP="001D1CC8">
      <w:pPr>
        <w:spacing w:after="0" w:line="240" w:lineRule="auto"/>
        <w:jc w:val="both"/>
        <w:rPr>
          <w:rFonts w:ascii="Arial" w:eastAsia="Calibri" w:hAnsi="Arial" w:cs="Arial"/>
          <w:bCs/>
          <w:sz w:val="20"/>
          <w:szCs w:val="20"/>
        </w:rPr>
      </w:pPr>
      <w:r w:rsidRPr="001D1CC8">
        <w:rPr>
          <w:rFonts w:ascii="Arial" w:eastAsia="Calibri" w:hAnsi="Arial" w:cs="Arial"/>
          <w:bCs/>
          <w:sz w:val="20"/>
          <w:szCs w:val="20"/>
        </w:rPr>
        <w:t>Projekt WATERLINK fokusira se na zajedničke izazove u upravljanju vodnim resursima u prekograničnom području, poput visokih tehničkih gubitaka u sustavima opskrbe vodom, koji dosežu čak 80 posto. Kroz uspostavu zajedničkog plana i novih tehnologija, projekt će raditi na smanjenju tih gubitaka sa 70 posto na 30 posto. Aktivnosti uključuju osnivanje laboratorija za nadzor kvalitete vode, izradu izvještaja o kalibraciji matematičkog modela, te implementaciju pilot akcija za optimizaciju vodovodnog sustava.</w:t>
      </w:r>
    </w:p>
    <w:p w14:paraId="288CD538" w14:textId="77777777" w:rsidR="001D1CC8" w:rsidRPr="001D1CC8" w:rsidRDefault="001D1CC8" w:rsidP="001D1CC8">
      <w:pPr>
        <w:spacing w:after="0" w:line="240" w:lineRule="auto"/>
        <w:jc w:val="both"/>
        <w:rPr>
          <w:rFonts w:ascii="Arial" w:eastAsia="Calibri" w:hAnsi="Arial" w:cs="Arial"/>
          <w:bCs/>
          <w:sz w:val="20"/>
          <w:szCs w:val="20"/>
        </w:rPr>
      </w:pPr>
      <w:r w:rsidRPr="001D1CC8">
        <w:rPr>
          <w:rFonts w:ascii="Arial" w:eastAsia="Calibri" w:hAnsi="Arial" w:cs="Arial"/>
          <w:b/>
          <w:sz w:val="20"/>
          <w:szCs w:val="20"/>
        </w:rPr>
        <w:lastRenderedPageBreak/>
        <w:t>Projektno partnerstvo</w:t>
      </w:r>
      <w:r w:rsidRPr="001D1CC8">
        <w:rPr>
          <w:rFonts w:ascii="Arial" w:eastAsia="Calibri" w:hAnsi="Arial" w:cs="Arial"/>
          <w:bCs/>
          <w:sz w:val="20"/>
          <w:szCs w:val="20"/>
        </w:rPr>
        <w:t>:</w:t>
      </w:r>
    </w:p>
    <w:p w14:paraId="527AAF44" w14:textId="26BACDB1" w:rsidR="001D1CC8" w:rsidRPr="001D1CC8" w:rsidRDefault="001D1CC8" w:rsidP="001D1CC8">
      <w:pPr>
        <w:spacing w:after="0" w:line="240" w:lineRule="auto"/>
        <w:jc w:val="both"/>
        <w:rPr>
          <w:rFonts w:ascii="Arial" w:eastAsia="Calibri" w:hAnsi="Arial" w:cs="Arial"/>
          <w:bCs/>
          <w:sz w:val="20"/>
          <w:szCs w:val="20"/>
        </w:rPr>
      </w:pPr>
      <w:r w:rsidRPr="001D1CC8">
        <w:rPr>
          <w:rFonts w:ascii="Arial" w:eastAsia="Calibri" w:hAnsi="Arial" w:cs="Arial"/>
          <w:bCs/>
          <w:sz w:val="20"/>
          <w:szCs w:val="20"/>
        </w:rPr>
        <w:t>Projekt uključuje tri partnera: Grad Trebinje (vodeći partner), Vodovod i kanalizaciju Herceg Novi, te Općinu Konavle. Ovi partneri preuzimaju ključne uloge u provedbi aktivnosti i postizanju ciljeva projekta, omogućavajući zajednički pristup rješavanju problema upravljanja vodom u</w:t>
      </w:r>
      <w:r w:rsidR="00714A5C">
        <w:rPr>
          <w:rFonts w:ascii="Arial" w:eastAsia="Calibri" w:hAnsi="Arial" w:cs="Arial"/>
          <w:bCs/>
          <w:sz w:val="20"/>
          <w:szCs w:val="20"/>
        </w:rPr>
        <w:t xml:space="preserve"> </w:t>
      </w:r>
      <w:r w:rsidRPr="001D1CC8">
        <w:rPr>
          <w:rFonts w:ascii="Arial" w:eastAsia="Calibri" w:hAnsi="Arial" w:cs="Arial"/>
          <w:bCs/>
          <w:sz w:val="20"/>
          <w:szCs w:val="20"/>
        </w:rPr>
        <w:t>prekograničnom području.</w:t>
      </w:r>
    </w:p>
    <w:p w14:paraId="7DA63F12" w14:textId="58292C36" w:rsidR="001D1CC8" w:rsidRPr="001D1CC8" w:rsidRDefault="001D1CC8" w:rsidP="001D1CC8">
      <w:pPr>
        <w:spacing w:after="0" w:line="240" w:lineRule="auto"/>
        <w:jc w:val="both"/>
        <w:rPr>
          <w:rFonts w:ascii="Arial" w:eastAsia="Calibri" w:hAnsi="Arial" w:cs="Arial"/>
          <w:bCs/>
          <w:sz w:val="20"/>
          <w:szCs w:val="20"/>
        </w:rPr>
      </w:pPr>
      <w:r w:rsidRPr="001D1CC8">
        <w:rPr>
          <w:rFonts w:ascii="Arial" w:eastAsia="Calibri" w:hAnsi="Arial" w:cs="Arial"/>
          <w:bCs/>
          <w:sz w:val="20"/>
          <w:szCs w:val="20"/>
        </w:rPr>
        <w:t xml:space="preserve">Ugovor s partnerima je zaključen u </w:t>
      </w:r>
      <w:r>
        <w:rPr>
          <w:rFonts w:ascii="Arial" w:eastAsia="Calibri" w:hAnsi="Arial" w:cs="Arial"/>
          <w:bCs/>
          <w:sz w:val="20"/>
          <w:szCs w:val="20"/>
        </w:rPr>
        <w:t>rujnu</w:t>
      </w:r>
      <w:r w:rsidRPr="001D1CC8">
        <w:rPr>
          <w:rFonts w:ascii="Arial" w:eastAsia="Calibri" w:hAnsi="Arial" w:cs="Arial"/>
          <w:bCs/>
          <w:sz w:val="20"/>
          <w:szCs w:val="20"/>
        </w:rPr>
        <w:t xml:space="preserve"> 2024. godine. Trajanje provedbe projekta je od 15.08.2024. do 14.08.2026.</w:t>
      </w:r>
    </w:p>
    <w:p w14:paraId="6DCE91EB" w14:textId="75B8512A" w:rsidR="001D1CC8" w:rsidRPr="001D1CC8" w:rsidRDefault="001D1CC8" w:rsidP="001D1CC8">
      <w:pPr>
        <w:spacing w:after="0" w:line="240" w:lineRule="auto"/>
        <w:jc w:val="both"/>
        <w:rPr>
          <w:rFonts w:ascii="Arial" w:eastAsia="Calibri" w:hAnsi="Arial" w:cs="Arial"/>
          <w:bCs/>
          <w:sz w:val="20"/>
          <w:szCs w:val="20"/>
        </w:rPr>
      </w:pPr>
      <w:r w:rsidRPr="00501674">
        <w:rPr>
          <w:rFonts w:ascii="Arial" w:eastAsia="Calibri" w:hAnsi="Arial" w:cs="Arial"/>
          <w:b/>
          <w:sz w:val="20"/>
          <w:szCs w:val="20"/>
        </w:rPr>
        <w:t>Predujam</w:t>
      </w:r>
      <w:r w:rsidRPr="001D1CC8">
        <w:rPr>
          <w:rFonts w:ascii="Arial" w:eastAsia="Calibri" w:hAnsi="Arial" w:cs="Arial"/>
          <w:bCs/>
          <w:sz w:val="20"/>
          <w:szCs w:val="20"/>
        </w:rPr>
        <w:t xml:space="preserve"> za provedbu projekta za doznačen u </w:t>
      </w:r>
      <w:r>
        <w:rPr>
          <w:rFonts w:ascii="Arial" w:eastAsia="Calibri" w:hAnsi="Arial" w:cs="Arial"/>
          <w:bCs/>
          <w:sz w:val="20"/>
          <w:szCs w:val="20"/>
        </w:rPr>
        <w:t>studenome</w:t>
      </w:r>
      <w:r w:rsidRPr="001D1CC8">
        <w:rPr>
          <w:rFonts w:ascii="Arial" w:eastAsia="Calibri" w:hAnsi="Arial" w:cs="Arial"/>
          <w:bCs/>
          <w:sz w:val="20"/>
          <w:szCs w:val="20"/>
        </w:rPr>
        <w:t xml:space="preserve"> 2024. godine u iznosu </w:t>
      </w:r>
      <w:r w:rsidRPr="00501674">
        <w:rPr>
          <w:rFonts w:ascii="Arial" w:eastAsia="Calibri" w:hAnsi="Arial" w:cs="Arial"/>
          <w:b/>
          <w:sz w:val="20"/>
          <w:szCs w:val="20"/>
        </w:rPr>
        <w:t>133.833 €</w:t>
      </w:r>
      <w:r w:rsidRPr="001D1CC8">
        <w:rPr>
          <w:rFonts w:ascii="Arial" w:eastAsia="Calibri" w:hAnsi="Arial" w:cs="Arial"/>
          <w:bCs/>
          <w:sz w:val="20"/>
          <w:szCs w:val="20"/>
        </w:rPr>
        <w:t xml:space="preserve">, od čega je evidentirano kao tekuća pomoć </w:t>
      </w:r>
      <w:r>
        <w:rPr>
          <w:rFonts w:ascii="Arial" w:eastAsia="Calibri" w:hAnsi="Arial" w:cs="Arial"/>
          <w:bCs/>
          <w:sz w:val="20"/>
          <w:szCs w:val="20"/>
        </w:rPr>
        <w:t>34</w:t>
      </w:r>
      <w:r w:rsidRPr="001D1CC8">
        <w:rPr>
          <w:rFonts w:ascii="Arial" w:eastAsia="Calibri" w:hAnsi="Arial" w:cs="Arial"/>
          <w:bCs/>
          <w:sz w:val="20"/>
          <w:szCs w:val="20"/>
        </w:rPr>
        <w:t xml:space="preserve">.000 €, a </w:t>
      </w:r>
      <w:r>
        <w:rPr>
          <w:rFonts w:ascii="Arial" w:eastAsia="Calibri" w:hAnsi="Arial" w:cs="Arial"/>
          <w:bCs/>
          <w:sz w:val="20"/>
          <w:szCs w:val="20"/>
        </w:rPr>
        <w:t>99.833</w:t>
      </w:r>
      <w:r w:rsidRPr="001D1CC8">
        <w:rPr>
          <w:rFonts w:ascii="Arial" w:eastAsia="Calibri" w:hAnsi="Arial" w:cs="Arial"/>
          <w:bCs/>
          <w:sz w:val="20"/>
          <w:szCs w:val="20"/>
        </w:rPr>
        <w:t xml:space="preserve"> € kao kapitalna pomoć.</w:t>
      </w:r>
      <w:r w:rsidRPr="001D1CC8">
        <w:rPr>
          <w:rFonts w:ascii="Arial" w:eastAsia="Calibri" w:hAnsi="Arial" w:cs="Arial"/>
          <w:sz w:val="20"/>
          <w:szCs w:val="20"/>
        </w:rPr>
        <w:t xml:space="preserve"> Podjela prihoda na tekuće i kapitalne je obavljena procjenom sukladno planiranim troškovima projekta.</w:t>
      </w:r>
    </w:p>
    <w:p w14:paraId="521F2C25" w14:textId="77777777" w:rsidR="004E241C" w:rsidRDefault="004E241C" w:rsidP="0052045C">
      <w:pPr>
        <w:autoSpaceDE w:val="0"/>
        <w:autoSpaceDN w:val="0"/>
        <w:adjustRightInd w:val="0"/>
        <w:spacing w:after="0" w:line="240" w:lineRule="auto"/>
        <w:jc w:val="both"/>
        <w:rPr>
          <w:rFonts w:ascii="Arial" w:eastAsia="Calibri" w:hAnsi="Arial" w:cs="Arial"/>
          <w:sz w:val="20"/>
          <w:szCs w:val="20"/>
        </w:rPr>
      </w:pPr>
    </w:p>
    <w:p w14:paraId="37CBEC59" w14:textId="17B2392E" w:rsidR="000327A6" w:rsidRPr="000327A6" w:rsidRDefault="000327A6" w:rsidP="000327A6">
      <w:pPr>
        <w:spacing w:after="0" w:line="240" w:lineRule="auto"/>
        <w:jc w:val="both"/>
        <w:rPr>
          <w:rFonts w:ascii="Arial" w:eastAsia="Calibri" w:hAnsi="Arial" w:cs="Arial"/>
          <w:bCs/>
          <w:sz w:val="20"/>
          <w:szCs w:val="20"/>
        </w:rPr>
      </w:pPr>
      <w:r w:rsidRPr="000327A6">
        <w:rPr>
          <w:rFonts w:ascii="Arial" w:eastAsia="Calibri" w:hAnsi="Arial" w:cs="Arial"/>
          <w:bCs/>
          <w:sz w:val="20"/>
          <w:szCs w:val="20"/>
        </w:rPr>
        <w:t>U 2024</w:t>
      </w:r>
      <w:r>
        <w:rPr>
          <w:rFonts w:ascii="Arial" w:eastAsia="Calibri" w:hAnsi="Arial" w:cs="Arial"/>
          <w:bCs/>
          <w:sz w:val="20"/>
          <w:szCs w:val="20"/>
        </w:rPr>
        <w:t xml:space="preserve">. godini iskazani su rashodi za provedbu projekta u iznosu 14.371,73 € (od čega iz sredstava EU </w:t>
      </w:r>
      <w:r w:rsidR="00927568">
        <w:rPr>
          <w:rFonts w:ascii="Arial" w:eastAsia="Calibri" w:hAnsi="Arial" w:cs="Arial"/>
          <w:bCs/>
          <w:sz w:val="20"/>
          <w:szCs w:val="20"/>
        </w:rPr>
        <w:t>12.215,96 € i to tekuća sredstva 10.814,52 € i kapitalna sredstva 1.401,44 €</w:t>
      </w:r>
      <w:r>
        <w:rPr>
          <w:rFonts w:ascii="Arial" w:eastAsia="Calibri" w:hAnsi="Arial" w:cs="Arial"/>
          <w:bCs/>
          <w:sz w:val="20"/>
          <w:szCs w:val="20"/>
        </w:rPr>
        <w:t xml:space="preserve">, </w:t>
      </w:r>
      <w:r w:rsidR="00927568">
        <w:rPr>
          <w:rFonts w:ascii="Arial" w:eastAsia="Calibri" w:hAnsi="Arial" w:cs="Arial"/>
          <w:bCs/>
          <w:sz w:val="20"/>
          <w:szCs w:val="20"/>
        </w:rPr>
        <w:t>te</w:t>
      </w:r>
      <w:r>
        <w:rPr>
          <w:rFonts w:ascii="Arial" w:eastAsia="Calibri" w:hAnsi="Arial" w:cs="Arial"/>
          <w:bCs/>
          <w:sz w:val="20"/>
          <w:szCs w:val="20"/>
        </w:rPr>
        <w:t xml:space="preserve"> iz općinskih sredstava </w:t>
      </w:r>
      <w:r w:rsidR="00927568">
        <w:rPr>
          <w:rFonts w:ascii="Arial" w:eastAsia="Calibri" w:hAnsi="Arial" w:cs="Arial"/>
          <w:bCs/>
          <w:sz w:val="20"/>
          <w:szCs w:val="20"/>
        </w:rPr>
        <w:t>2.155,77</w:t>
      </w:r>
      <w:r>
        <w:rPr>
          <w:rFonts w:ascii="Arial" w:eastAsia="Calibri" w:hAnsi="Arial" w:cs="Arial"/>
          <w:bCs/>
          <w:sz w:val="20"/>
          <w:szCs w:val="20"/>
        </w:rPr>
        <w:t xml:space="preserve"> €).</w:t>
      </w:r>
    </w:p>
    <w:p w14:paraId="0322F834" w14:textId="77777777" w:rsidR="000327A6" w:rsidRDefault="000327A6" w:rsidP="0052045C">
      <w:pPr>
        <w:autoSpaceDE w:val="0"/>
        <w:autoSpaceDN w:val="0"/>
        <w:adjustRightInd w:val="0"/>
        <w:spacing w:after="0" w:line="240" w:lineRule="auto"/>
        <w:jc w:val="both"/>
        <w:rPr>
          <w:rFonts w:ascii="Arial" w:eastAsia="Calibri" w:hAnsi="Arial" w:cs="Arial"/>
          <w:sz w:val="20"/>
          <w:szCs w:val="20"/>
        </w:rPr>
      </w:pPr>
    </w:p>
    <w:p w14:paraId="102EC816" w14:textId="0D272C6E" w:rsidR="003C2A04" w:rsidRPr="000327A6" w:rsidRDefault="003C2A04" w:rsidP="003C2A04">
      <w:pPr>
        <w:spacing w:after="0" w:line="240" w:lineRule="auto"/>
        <w:jc w:val="both"/>
        <w:rPr>
          <w:rFonts w:ascii="Arial" w:eastAsia="Calibri" w:hAnsi="Arial" w:cs="Arial"/>
          <w:bCs/>
          <w:sz w:val="20"/>
          <w:szCs w:val="20"/>
        </w:rPr>
      </w:pPr>
      <w:r w:rsidRPr="000327A6">
        <w:rPr>
          <w:rFonts w:ascii="Arial" w:eastAsia="Calibri" w:hAnsi="Arial" w:cs="Arial"/>
          <w:bCs/>
          <w:sz w:val="20"/>
          <w:szCs w:val="20"/>
        </w:rPr>
        <w:t>U 20</w:t>
      </w:r>
      <w:r>
        <w:rPr>
          <w:rFonts w:ascii="Arial" w:eastAsia="Calibri" w:hAnsi="Arial" w:cs="Arial"/>
          <w:bCs/>
          <w:sz w:val="20"/>
          <w:szCs w:val="20"/>
        </w:rPr>
        <w:t xml:space="preserve">25. godini iskazani su rashodi za provedbu projekta u iznosu </w:t>
      </w:r>
      <w:r w:rsidR="00930D41">
        <w:rPr>
          <w:rFonts w:ascii="Arial" w:eastAsia="Calibri" w:hAnsi="Arial" w:cs="Arial"/>
          <w:bCs/>
          <w:sz w:val="20"/>
          <w:szCs w:val="20"/>
        </w:rPr>
        <w:t>432.178,65</w:t>
      </w:r>
      <w:r>
        <w:rPr>
          <w:rFonts w:ascii="Arial" w:eastAsia="Calibri" w:hAnsi="Arial" w:cs="Arial"/>
          <w:bCs/>
          <w:sz w:val="20"/>
          <w:szCs w:val="20"/>
        </w:rPr>
        <w:t xml:space="preserve"> € (od čega iz sredstava EU </w:t>
      </w:r>
      <w:r w:rsidR="00930D41">
        <w:rPr>
          <w:rFonts w:ascii="Arial" w:eastAsia="Calibri" w:hAnsi="Arial" w:cs="Arial"/>
          <w:bCs/>
          <w:sz w:val="20"/>
          <w:szCs w:val="20"/>
        </w:rPr>
        <w:t>368.978,49</w:t>
      </w:r>
      <w:r>
        <w:rPr>
          <w:rFonts w:ascii="Arial" w:eastAsia="Calibri" w:hAnsi="Arial" w:cs="Arial"/>
          <w:bCs/>
          <w:sz w:val="20"/>
          <w:szCs w:val="20"/>
        </w:rPr>
        <w:t xml:space="preserve"> €, a iz općinskih sredstava </w:t>
      </w:r>
      <w:r w:rsidR="00930D41">
        <w:rPr>
          <w:rFonts w:ascii="Arial" w:eastAsia="Calibri" w:hAnsi="Arial" w:cs="Arial"/>
          <w:bCs/>
          <w:sz w:val="20"/>
          <w:szCs w:val="20"/>
        </w:rPr>
        <w:t>63.200,16</w:t>
      </w:r>
      <w:r>
        <w:rPr>
          <w:rFonts w:ascii="Arial" w:eastAsia="Calibri" w:hAnsi="Arial" w:cs="Arial"/>
          <w:bCs/>
          <w:sz w:val="20"/>
          <w:szCs w:val="20"/>
        </w:rPr>
        <w:t xml:space="preserve"> €). Iz općinskih sredstava, izvor 110 predfinancirano je </w:t>
      </w:r>
      <w:r w:rsidR="00930D41">
        <w:rPr>
          <w:rFonts w:ascii="Arial" w:eastAsia="Calibri" w:hAnsi="Arial" w:cs="Arial"/>
          <w:bCs/>
          <w:sz w:val="20"/>
          <w:szCs w:val="20"/>
        </w:rPr>
        <w:t>166.761,45</w:t>
      </w:r>
      <w:r>
        <w:rPr>
          <w:rFonts w:ascii="Arial" w:eastAsia="Calibri" w:hAnsi="Arial" w:cs="Arial"/>
          <w:bCs/>
          <w:sz w:val="20"/>
          <w:szCs w:val="20"/>
        </w:rPr>
        <w:t xml:space="preserve"> € očekivanih EU pomoći (izvor 563).</w:t>
      </w:r>
    </w:p>
    <w:p w14:paraId="49AE1E44" w14:textId="77777777" w:rsidR="000327A6" w:rsidRDefault="000327A6" w:rsidP="0052045C">
      <w:pPr>
        <w:autoSpaceDE w:val="0"/>
        <w:autoSpaceDN w:val="0"/>
        <w:adjustRightInd w:val="0"/>
        <w:spacing w:after="0" w:line="240" w:lineRule="auto"/>
        <w:jc w:val="both"/>
        <w:rPr>
          <w:rFonts w:ascii="Arial" w:eastAsia="Calibri" w:hAnsi="Arial" w:cs="Arial"/>
          <w:sz w:val="20"/>
          <w:szCs w:val="20"/>
        </w:rPr>
      </w:pPr>
    </w:p>
    <w:p w14:paraId="72B9ADCC" w14:textId="24041F1A" w:rsidR="002C4A96" w:rsidRDefault="002C4A96" w:rsidP="002C4A96">
      <w:pPr>
        <w:spacing w:after="0" w:line="240" w:lineRule="auto"/>
        <w:jc w:val="both"/>
        <w:rPr>
          <w:rFonts w:ascii="Arial" w:eastAsia="Calibri" w:hAnsi="Arial" w:cs="Arial"/>
          <w:bCs/>
          <w:sz w:val="20"/>
          <w:szCs w:val="20"/>
        </w:rPr>
      </w:pPr>
      <w:r w:rsidRPr="00930D41">
        <w:rPr>
          <w:rFonts w:ascii="Arial" w:eastAsia="Calibri" w:hAnsi="Arial" w:cs="Arial"/>
          <w:bCs/>
          <w:sz w:val="20"/>
          <w:szCs w:val="20"/>
        </w:rPr>
        <w:t xml:space="preserve">U 2025. godini je obavljen ispravak rezultata </w:t>
      </w:r>
      <w:r w:rsidRPr="00930D41">
        <w:rPr>
          <w:rFonts w:ascii="Arial" w:eastAsia="Calibri" w:hAnsi="Arial" w:cs="Arial"/>
          <w:sz w:val="20"/>
          <w:szCs w:val="20"/>
        </w:rPr>
        <w:t xml:space="preserve">za neutrošena sredstva koja su bila iskazana u višku prihoda početkom 2025. godine te evidentirane obveze za primljeni predujam. Ispravak rezultata je obavljen za </w:t>
      </w:r>
      <w:r w:rsidRPr="00930D41">
        <w:rPr>
          <w:rFonts w:ascii="Arial" w:hAnsi="Arial" w:cs="Arial"/>
          <w:sz w:val="20"/>
          <w:szCs w:val="20"/>
        </w:rPr>
        <w:t>projekt</w:t>
      </w:r>
      <w:r w:rsidRPr="00930D41">
        <w:rPr>
          <w:rFonts w:ascii="Arial" w:eastAsia="Calibri" w:hAnsi="Arial" w:cs="Arial"/>
          <w:b/>
          <w:sz w:val="20"/>
          <w:szCs w:val="20"/>
        </w:rPr>
        <w:t xml:space="preserve"> „</w:t>
      </w:r>
      <w:r>
        <w:rPr>
          <w:rFonts w:ascii="Arial" w:eastAsia="Calibri" w:hAnsi="Arial" w:cs="Arial"/>
          <w:b/>
          <w:sz w:val="20"/>
          <w:szCs w:val="20"/>
        </w:rPr>
        <w:t>Waterlink</w:t>
      </w:r>
      <w:r w:rsidRPr="00930D41">
        <w:rPr>
          <w:rFonts w:ascii="Arial" w:eastAsia="Calibri" w:hAnsi="Arial" w:cs="Arial"/>
          <w:b/>
          <w:sz w:val="20"/>
          <w:szCs w:val="20"/>
        </w:rPr>
        <w:t xml:space="preserve">“ </w:t>
      </w:r>
      <w:r w:rsidRPr="00930D41">
        <w:rPr>
          <w:rFonts w:ascii="Arial" w:eastAsia="Calibri" w:hAnsi="Arial" w:cs="Arial"/>
          <w:bCs/>
          <w:sz w:val="20"/>
          <w:szCs w:val="20"/>
        </w:rPr>
        <w:t>u iznosu</w:t>
      </w:r>
      <w:r w:rsidRPr="00930D41">
        <w:rPr>
          <w:rFonts w:ascii="Arial" w:eastAsia="Calibri" w:hAnsi="Arial" w:cs="Arial"/>
          <w:b/>
          <w:sz w:val="20"/>
          <w:szCs w:val="20"/>
        </w:rPr>
        <w:t xml:space="preserve"> </w:t>
      </w:r>
      <w:r>
        <w:rPr>
          <w:rFonts w:ascii="Arial" w:eastAsia="Calibri" w:hAnsi="Arial" w:cs="Arial"/>
          <w:b/>
          <w:sz w:val="20"/>
          <w:szCs w:val="20"/>
        </w:rPr>
        <w:t>121.617,04</w:t>
      </w:r>
      <w:r w:rsidRPr="00930D41">
        <w:rPr>
          <w:rFonts w:ascii="Arial" w:eastAsia="Calibri" w:hAnsi="Arial" w:cs="Arial"/>
          <w:b/>
          <w:sz w:val="20"/>
          <w:szCs w:val="20"/>
        </w:rPr>
        <w:t xml:space="preserve"> € </w:t>
      </w:r>
      <w:r w:rsidRPr="00930D41">
        <w:rPr>
          <w:rFonts w:ascii="Arial" w:eastAsia="Calibri" w:hAnsi="Arial" w:cs="Arial"/>
          <w:bCs/>
          <w:sz w:val="20"/>
          <w:szCs w:val="20"/>
        </w:rPr>
        <w:t xml:space="preserve">(te bi prihodi za 2024. godinu za ovaj projekt iznosili </w:t>
      </w:r>
      <w:r>
        <w:rPr>
          <w:rFonts w:ascii="Arial" w:eastAsia="Calibri" w:hAnsi="Arial" w:cs="Arial"/>
          <w:bCs/>
          <w:sz w:val="20"/>
          <w:szCs w:val="20"/>
        </w:rPr>
        <w:t>12.216,96</w:t>
      </w:r>
      <w:r w:rsidRPr="00930D41">
        <w:rPr>
          <w:rFonts w:ascii="Arial" w:eastAsia="Calibri" w:hAnsi="Arial" w:cs="Arial"/>
          <w:bCs/>
          <w:sz w:val="20"/>
          <w:szCs w:val="20"/>
        </w:rPr>
        <w:t xml:space="preserve"> € umjesto </w:t>
      </w:r>
      <w:r>
        <w:rPr>
          <w:rFonts w:ascii="Arial" w:eastAsia="Calibri" w:hAnsi="Arial" w:cs="Arial"/>
          <w:bCs/>
          <w:sz w:val="20"/>
          <w:szCs w:val="20"/>
        </w:rPr>
        <w:t>133.833</w:t>
      </w:r>
      <w:r w:rsidRPr="00930D41">
        <w:rPr>
          <w:rFonts w:ascii="Arial" w:eastAsia="Calibri" w:hAnsi="Arial" w:cs="Arial"/>
          <w:bCs/>
          <w:sz w:val="20"/>
          <w:szCs w:val="20"/>
        </w:rPr>
        <w:t xml:space="preserve"> €)</w:t>
      </w:r>
      <w:r>
        <w:rPr>
          <w:rFonts w:ascii="Arial" w:eastAsia="Calibri" w:hAnsi="Arial" w:cs="Arial"/>
          <w:bCs/>
          <w:sz w:val="20"/>
          <w:szCs w:val="20"/>
        </w:rPr>
        <w:t>. U 2025. godini su doznačena novčana sredstva u iznosu 80.600 € (odobreni troškovi), a prihodi su iskazani u visini odobrenih troškova i raspoloživog predujma (202.217,04 €).</w:t>
      </w:r>
    </w:p>
    <w:p w14:paraId="2B6FE741" w14:textId="77777777" w:rsidR="002C4A96" w:rsidRDefault="002C4A96" w:rsidP="002C4A96">
      <w:pPr>
        <w:spacing w:after="0" w:line="240" w:lineRule="auto"/>
        <w:jc w:val="both"/>
        <w:rPr>
          <w:rFonts w:ascii="Arial" w:eastAsia="Calibri" w:hAnsi="Arial" w:cs="Arial"/>
          <w:bCs/>
          <w:sz w:val="20"/>
          <w:szCs w:val="20"/>
        </w:rPr>
      </w:pPr>
    </w:p>
    <w:p w14:paraId="679C1803" w14:textId="4ECBD351" w:rsidR="00247C80" w:rsidRPr="005A134B" w:rsidRDefault="00247C80" w:rsidP="00247C80">
      <w:pPr>
        <w:spacing w:after="0" w:line="240" w:lineRule="auto"/>
        <w:jc w:val="both"/>
        <w:rPr>
          <w:rFonts w:ascii="Arial" w:eastAsia="Calibri" w:hAnsi="Arial" w:cs="Arial"/>
          <w:b/>
          <w:bCs/>
          <w:sz w:val="20"/>
          <w:szCs w:val="20"/>
        </w:rPr>
      </w:pPr>
      <w:r w:rsidRPr="005A134B">
        <w:rPr>
          <w:rFonts w:ascii="Arial" w:eastAsia="Calibri" w:hAnsi="Arial" w:cs="Arial"/>
          <w:b/>
          <w:bCs/>
          <w:sz w:val="20"/>
          <w:szCs w:val="20"/>
        </w:rPr>
        <w:t>A.3) CIRCUS – CIRCULAR ECONOMY STRATEGIES</w:t>
      </w:r>
    </w:p>
    <w:p w14:paraId="6A521FE7" w14:textId="77777777" w:rsidR="00247C80" w:rsidRPr="005A134B" w:rsidRDefault="00247C80" w:rsidP="00247C80">
      <w:pPr>
        <w:spacing w:after="0" w:line="240" w:lineRule="auto"/>
        <w:jc w:val="both"/>
        <w:rPr>
          <w:rFonts w:ascii="Arial" w:eastAsia="Calibri" w:hAnsi="Arial" w:cs="Arial"/>
          <w:sz w:val="20"/>
          <w:szCs w:val="20"/>
        </w:rPr>
      </w:pPr>
    </w:p>
    <w:p w14:paraId="6B9EC193" w14:textId="77777777" w:rsidR="00247C80" w:rsidRPr="005A134B" w:rsidRDefault="00247C80" w:rsidP="00247C80">
      <w:pPr>
        <w:spacing w:after="0" w:line="240" w:lineRule="auto"/>
        <w:jc w:val="both"/>
        <w:rPr>
          <w:rFonts w:ascii="Arial" w:eastAsia="Calibri" w:hAnsi="Arial" w:cs="Arial"/>
          <w:sz w:val="20"/>
          <w:szCs w:val="20"/>
        </w:rPr>
      </w:pPr>
      <w:r w:rsidRPr="005A134B">
        <w:rPr>
          <w:rFonts w:ascii="Arial" w:eastAsia="Calibri" w:hAnsi="Arial" w:cs="Arial"/>
          <w:sz w:val="20"/>
          <w:szCs w:val="20"/>
        </w:rPr>
        <w:t xml:space="preserve">Ukupan proračun Općine Konavle: 134.450,00 €, </w:t>
      </w:r>
      <w:r w:rsidRPr="005A134B">
        <w:rPr>
          <w:rFonts w:ascii="Arial" w:eastAsia="Calibri" w:hAnsi="Arial" w:cs="Arial"/>
          <w:bCs/>
          <w:sz w:val="20"/>
          <w:szCs w:val="20"/>
        </w:rPr>
        <w:t xml:space="preserve">od čega </w:t>
      </w:r>
      <w:r w:rsidRPr="005A134B">
        <w:rPr>
          <w:rFonts w:ascii="Arial" w:eastAsia="Calibri" w:hAnsi="Arial" w:cs="Arial"/>
          <w:b/>
          <w:sz w:val="20"/>
          <w:szCs w:val="20"/>
        </w:rPr>
        <w:t>očekivana vrijednost sufinanciranja EU iznosi 85% odnosno 114.282,50 €.</w:t>
      </w:r>
    </w:p>
    <w:p w14:paraId="44750A61" w14:textId="77777777" w:rsidR="00247C80" w:rsidRPr="005A134B" w:rsidRDefault="00247C80" w:rsidP="00247C80">
      <w:pPr>
        <w:spacing w:after="0" w:line="240" w:lineRule="auto"/>
        <w:jc w:val="both"/>
        <w:rPr>
          <w:rFonts w:ascii="Arial" w:eastAsia="Calibri" w:hAnsi="Arial" w:cs="Arial"/>
          <w:sz w:val="20"/>
          <w:szCs w:val="20"/>
        </w:rPr>
      </w:pPr>
    </w:p>
    <w:p w14:paraId="591C0D51" w14:textId="77777777" w:rsidR="00247C80" w:rsidRPr="005A134B" w:rsidRDefault="00247C80" w:rsidP="00247C80">
      <w:pPr>
        <w:spacing w:after="0" w:line="240" w:lineRule="auto"/>
        <w:jc w:val="both"/>
        <w:rPr>
          <w:rFonts w:ascii="Arial" w:eastAsia="Calibri" w:hAnsi="Arial" w:cs="Arial"/>
          <w:sz w:val="20"/>
          <w:szCs w:val="20"/>
        </w:rPr>
      </w:pPr>
      <w:r w:rsidRPr="005A134B">
        <w:rPr>
          <w:rFonts w:ascii="Arial" w:eastAsia="Calibri" w:hAnsi="Arial" w:cs="Arial"/>
          <w:b/>
          <w:bCs/>
          <w:sz w:val="20"/>
          <w:szCs w:val="20"/>
        </w:rPr>
        <w:t>Naziv projekta</w:t>
      </w:r>
      <w:r w:rsidRPr="005A134B">
        <w:rPr>
          <w:rFonts w:ascii="Arial" w:eastAsia="Calibri" w:hAnsi="Arial" w:cs="Arial"/>
          <w:sz w:val="20"/>
          <w:szCs w:val="20"/>
        </w:rPr>
        <w:t>: CIRCUS – Strategije, akcijski planovi i rješenja za prijelaz sustava poljoprivrede i prehrane u obalnim zajednicama ADRION-a</w:t>
      </w:r>
    </w:p>
    <w:p w14:paraId="2437D3B7" w14:textId="77777777" w:rsidR="00247C80" w:rsidRPr="005A134B" w:rsidRDefault="00247C80" w:rsidP="00247C80">
      <w:pPr>
        <w:spacing w:after="0" w:line="240" w:lineRule="auto"/>
        <w:jc w:val="both"/>
        <w:rPr>
          <w:rFonts w:ascii="Arial" w:eastAsia="Calibri" w:hAnsi="Arial" w:cs="Arial"/>
          <w:sz w:val="20"/>
          <w:szCs w:val="20"/>
        </w:rPr>
      </w:pPr>
      <w:r w:rsidRPr="005A134B">
        <w:rPr>
          <w:rFonts w:ascii="Arial" w:eastAsia="Calibri" w:hAnsi="Arial" w:cs="Arial"/>
          <w:b/>
          <w:bCs/>
          <w:sz w:val="20"/>
          <w:szCs w:val="20"/>
        </w:rPr>
        <w:t>Glavni cilj projekta</w:t>
      </w:r>
      <w:r w:rsidRPr="005A134B">
        <w:rPr>
          <w:rFonts w:ascii="Arial" w:eastAsia="Calibri" w:hAnsi="Arial" w:cs="Arial"/>
          <w:sz w:val="20"/>
          <w:szCs w:val="20"/>
        </w:rPr>
        <w:t>: Podržati prijelaz na cirkularnu ekonomiju u sustavu poljoprivrede i prehrane obalnih zajednica jadransko-jonske regije (ADRION) razvojem i testiranjem strategija, akcijskih planova te inovativnih rješenja koja će povećati znanje i kapacitete dionika, posebno u javnom sektoru.</w:t>
      </w:r>
    </w:p>
    <w:p w14:paraId="0CC1CD8E" w14:textId="77777777" w:rsidR="00247C80" w:rsidRPr="005A134B" w:rsidRDefault="00247C80" w:rsidP="00247C80">
      <w:pPr>
        <w:spacing w:after="0" w:line="240" w:lineRule="auto"/>
        <w:jc w:val="both"/>
        <w:rPr>
          <w:rFonts w:ascii="Arial" w:eastAsia="Calibri" w:hAnsi="Arial" w:cs="Arial"/>
          <w:sz w:val="20"/>
          <w:szCs w:val="20"/>
        </w:rPr>
      </w:pPr>
      <w:r w:rsidRPr="005A134B">
        <w:rPr>
          <w:rFonts w:ascii="Arial" w:eastAsia="Calibri" w:hAnsi="Arial" w:cs="Arial"/>
          <w:b/>
          <w:bCs/>
          <w:sz w:val="20"/>
          <w:szCs w:val="20"/>
        </w:rPr>
        <w:t>Prioritetna os programa</w:t>
      </w:r>
      <w:r w:rsidRPr="005A134B">
        <w:rPr>
          <w:rFonts w:ascii="Arial" w:eastAsia="Calibri" w:hAnsi="Arial" w:cs="Arial"/>
          <w:sz w:val="20"/>
          <w:szCs w:val="20"/>
        </w:rPr>
        <w:t>: Podrška zelenijoj i klimatski otpornijoj jadransko-jonskoj regiji</w:t>
      </w:r>
    </w:p>
    <w:p w14:paraId="01F76B4D" w14:textId="77777777" w:rsidR="00247C80" w:rsidRPr="005A134B" w:rsidRDefault="00247C80" w:rsidP="00247C80">
      <w:pPr>
        <w:spacing w:after="0" w:line="240" w:lineRule="auto"/>
        <w:jc w:val="both"/>
        <w:rPr>
          <w:rFonts w:ascii="Arial" w:eastAsia="Calibri" w:hAnsi="Arial" w:cs="Arial"/>
          <w:sz w:val="20"/>
          <w:szCs w:val="20"/>
        </w:rPr>
      </w:pPr>
      <w:r w:rsidRPr="005A134B">
        <w:rPr>
          <w:rFonts w:ascii="Arial" w:eastAsia="Calibri" w:hAnsi="Arial" w:cs="Arial"/>
          <w:b/>
          <w:bCs/>
          <w:sz w:val="20"/>
          <w:szCs w:val="20"/>
        </w:rPr>
        <w:t>Opis projekta</w:t>
      </w:r>
      <w:r w:rsidRPr="005A134B">
        <w:rPr>
          <w:rFonts w:ascii="Arial" w:eastAsia="Calibri" w:hAnsi="Arial" w:cs="Arial"/>
          <w:sz w:val="20"/>
          <w:szCs w:val="20"/>
        </w:rPr>
        <w:t>: Projekt CIRCUS fokusira se na izazove s kojima se suočavaju obalne zajednice u regiji ADRION, kao što su prekomjerna eksploatacija resursa, klimatske promjene i iseljavanje mladih. Cilj je pokrenuti održiv razvoj ekosustava kroz integrirane strategije i akcijske planove koji će potaknuti suradnju između ruralnih i obalnih područja. Projekt uključuje šest općina: Tricase (Italija), Trebinje (Bosna i Hercegovina), Vlore (Albanija), Herceg Novi (Crna Gora), Korfu (Grčka) i Konavle (Hrvatska).</w:t>
      </w:r>
    </w:p>
    <w:p w14:paraId="0BDC0A9E" w14:textId="77777777" w:rsidR="00247C80" w:rsidRPr="005A134B" w:rsidRDefault="00247C80" w:rsidP="00247C80">
      <w:pPr>
        <w:spacing w:after="0" w:line="240" w:lineRule="auto"/>
        <w:jc w:val="both"/>
        <w:rPr>
          <w:rFonts w:ascii="Arial" w:eastAsia="Calibri" w:hAnsi="Arial" w:cs="Arial"/>
          <w:sz w:val="20"/>
          <w:szCs w:val="20"/>
        </w:rPr>
      </w:pPr>
      <w:r w:rsidRPr="005A134B">
        <w:rPr>
          <w:rFonts w:ascii="Arial" w:eastAsia="Calibri" w:hAnsi="Arial" w:cs="Arial"/>
          <w:b/>
          <w:bCs/>
          <w:sz w:val="20"/>
          <w:szCs w:val="20"/>
        </w:rPr>
        <w:t>Projektno partnerstvo</w:t>
      </w:r>
      <w:r w:rsidRPr="005A134B">
        <w:rPr>
          <w:rFonts w:ascii="Arial" w:eastAsia="Calibri" w:hAnsi="Arial" w:cs="Arial"/>
          <w:sz w:val="20"/>
          <w:szCs w:val="20"/>
        </w:rPr>
        <w:t xml:space="preserve">: Projekt uključuje vodećeg partnera, Mediteranski agronomski institut u Bariju (CIHEAM Bari) i devet drugih partnera iz lokalnih tijela, istraživačkih ustanova i organizacija za podršku poduzetništvu. Ova suradnja će stvoriti sinergije koje će doprinositi održivom razvoju agrifood sustava i jačanju lokalnih zajednica. Projekt CIRCUS financira se iz IPA Adriatic Ionian programa Europske unije. </w:t>
      </w:r>
    </w:p>
    <w:p w14:paraId="1390183C" w14:textId="77777777" w:rsidR="00247C80" w:rsidRPr="005A134B" w:rsidRDefault="00247C80" w:rsidP="00247C80">
      <w:pPr>
        <w:spacing w:after="0" w:line="240" w:lineRule="auto"/>
        <w:jc w:val="both"/>
        <w:rPr>
          <w:rFonts w:ascii="Arial" w:eastAsia="Calibri" w:hAnsi="Arial" w:cs="Arial"/>
          <w:sz w:val="20"/>
          <w:szCs w:val="20"/>
        </w:rPr>
      </w:pPr>
    </w:p>
    <w:p w14:paraId="19FE6F2F" w14:textId="77777777" w:rsidR="00247C80" w:rsidRPr="005A134B" w:rsidRDefault="00247C80" w:rsidP="00247C80">
      <w:pPr>
        <w:spacing w:after="0" w:line="240" w:lineRule="auto"/>
        <w:jc w:val="both"/>
        <w:rPr>
          <w:rFonts w:ascii="Arial" w:eastAsia="Calibri" w:hAnsi="Arial" w:cs="Arial"/>
          <w:sz w:val="20"/>
          <w:szCs w:val="20"/>
        </w:rPr>
      </w:pPr>
      <w:r w:rsidRPr="005A134B">
        <w:rPr>
          <w:rFonts w:ascii="Arial" w:eastAsia="Calibri" w:hAnsi="Arial" w:cs="Arial"/>
          <w:bCs/>
          <w:sz w:val="20"/>
          <w:szCs w:val="20"/>
        </w:rPr>
        <w:t xml:space="preserve">Ugovor s partnerima je zaključen u rujnu/listopadu 2024. godine. Trajanje provedbe projekta je </w:t>
      </w:r>
      <w:r w:rsidRPr="005A134B">
        <w:rPr>
          <w:rFonts w:ascii="Arial" w:eastAsia="Calibri" w:hAnsi="Arial" w:cs="Arial"/>
          <w:sz w:val="20"/>
          <w:szCs w:val="20"/>
        </w:rPr>
        <w:t>36 mjeseci (od 01.09.2024. do 31.08.2027.).</w:t>
      </w:r>
    </w:p>
    <w:p w14:paraId="50FC2DE9" w14:textId="77777777" w:rsidR="00247C80" w:rsidRPr="005A134B" w:rsidRDefault="00247C80" w:rsidP="00247C80">
      <w:pPr>
        <w:spacing w:after="0" w:line="240" w:lineRule="auto"/>
        <w:jc w:val="both"/>
        <w:rPr>
          <w:rFonts w:ascii="Arial" w:eastAsia="Calibri" w:hAnsi="Arial" w:cs="Arial"/>
          <w:b/>
          <w:i/>
          <w:iCs/>
          <w:sz w:val="20"/>
          <w:szCs w:val="20"/>
        </w:rPr>
      </w:pPr>
      <w:r w:rsidRPr="005A134B">
        <w:rPr>
          <w:rFonts w:ascii="Arial" w:eastAsia="Calibri" w:hAnsi="Arial" w:cs="Arial"/>
          <w:b/>
          <w:i/>
          <w:iCs/>
          <w:sz w:val="20"/>
          <w:szCs w:val="20"/>
        </w:rPr>
        <w:t xml:space="preserve">Nije bilo predujma za provedbu projekta u 2024. godini. </w:t>
      </w:r>
    </w:p>
    <w:p w14:paraId="757A1EF1" w14:textId="77777777" w:rsidR="00247C80" w:rsidRPr="005A134B" w:rsidRDefault="00247C80" w:rsidP="00247C80">
      <w:pPr>
        <w:spacing w:after="0" w:line="240" w:lineRule="auto"/>
        <w:jc w:val="both"/>
        <w:rPr>
          <w:rFonts w:ascii="Arial" w:eastAsia="Calibri" w:hAnsi="Arial" w:cs="Arial"/>
          <w:bCs/>
          <w:sz w:val="20"/>
          <w:szCs w:val="20"/>
        </w:rPr>
      </w:pPr>
    </w:p>
    <w:p w14:paraId="6901FD3B" w14:textId="77777777" w:rsidR="00247C80" w:rsidRPr="005A134B" w:rsidRDefault="00247C80" w:rsidP="00247C80">
      <w:pPr>
        <w:spacing w:after="0" w:line="240" w:lineRule="auto"/>
        <w:jc w:val="both"/>
        <w:rPr>
          <w:rFonts w:ascii="Arial" w:eastAsia="Calibri" w:hAnsi="Arial" w:cs="Arial"/>
          <w:bCs/>
          <w:sz w:val="20"/>
          <w:szCs w:val="20"/>
        </w:rPr>
      </w:pPr>
      <w:r w:rsidRPr="005A134B">
        <w:rPr>
          <w:rFonts w:ascii="Arial" w:eastAsia="Calibri" w:hAnsi="Arial" w:cs="Arial"/>
          <w:bCs/>
          <w:sz w:val="20"/>
          <w:szCs w:val="20"/>
        </w:rPr>
        <w:t xml:space="preserve">U </w:t>
      </w:r>
      <w:r w:rsidRPr="005A134B">
        <w:rPr>
          <w:rFonts w:ascii="Arial" w:eastAsia="Calibri" w:hAnsi="Arial" w:cs="Arial"/>
          <w:b/>
          <w:sz w:val="20"/>
          <w:szCs w:val="20"/>
        </w:rPr>
        <w:t>2024</w:t>
      </w:r>
      <w:r w:rsidRPr="005A134B">
        <w:rPr>
          <w:rFonts w:ascii="Arial" w:eastAsia="Calibri" w:hAnsi="Arial" w:cs="Arial"/>
          <w:bCs/>
          <w:sz w:val="20"/>
          <w:szCs w:val="20"/>
        </w:rPr>
        <w:t>. godini iskazani su rashodi za provedbu projekta u iznosu 3.000 € (od čega iz tekućih sredstava EU 2.550 € kao manjak ovog izvora financiranja, a iz općinskih sredstava 450 €).</w:t>
      </w:r>
    </w:p>
    <w:p w14:paraId="0C5CC00A" w14:textId="77777777" w:rsidR="00247C80" w:rsidRPr="005A134B" w:rsidRDefault="00247C80" w:rsidP="00247C80">
      <w:pPr>
        <w:spacing w:after="0" w:line="240" w:lineRule="auto"/>
        <w:jc w:val="both"/>
        <w:rPr>
          <w:rFonts w:ascii="Arial" w:eastAsia="Calibri" w:hAnsi="Arial" w:cs="Arial"/>
          <w:sz w:val="20"/>
          <w:szCs w:val="20"/>
        </w:rPr>
      </w:pPr>
    </w:p>
    <w:p w14:paraId="5D3FFFEB" w14:textId="4E76B019" w:rsidR="00247C80" w:rsidRPr="005A134B" w:rsidRDefault="00247C80" w:rsidP="00247C80">
      <w:pPr>
        <w:spacing w:after="0" w:line="240" w:lineRule="auto"/>
        <w:jc w:val="both"/>
        <w:rPr>
          <w:rFonts w:ascii="Arial" w:eastAsia="Calibri" w:hAnsi="Arial" w:cs="Arial"/>
          <w:bCs/>
          <w:sz w:val="20"/>
          <w:szCs w:val="20"/>
        </w:rPr>
      </w:pPr>
      <w:r w:rsidRPr="005A134B">
        <w:rPr>
          <w:rFonts w:ascii="Arial" w:eastAsia="Calibri" w:hAnsi="Arial" w:cs="Arial"/>
          <w:bCs/>
          <w:sz w:val="20"/>
          <w:szCs w:val="20"/>
        </w:rPr>
        <w:lastRenderedPageBreak/>
        <w:t xml:space="preserve">U </w:t>
      </w:r>
      <w:r w:rsidRPr="005A134B">
        <w:rPr>
          <w:rFonts w:ascii="Arial" w:eastAsia="Calibri" w:hAnsi="Arial" w:cs="Arial"/>
          <w:b/>
          <w:sz w:val="20"/>
          <w:szCs w:val="20"/>
        </w:rPr>
        <w:t>2025</w:t>
      </w:r>
      <w:r w:rsidRPr="005A134B">
        <w:rPr>
          <w:rFonts w:ascii="Arial" w:eastAsia="Calibri" w:hAnsi="Arial" w:cs="Arial"/>
          <w:bCs/>
          <w:sz w:val="20"/>
          <w:szCs w:val="20"/>
        </w:rPr>
        <w:t>. godini iskazani su rashodi za provedbu projekta u iznosu 21.362,36 €</w:t>
      </w:r>
      <w:r w:rsidR="005A134B" w:rsidRPr="005A134B">
        <w:rPr>
          <w:rFonts w:ascii="Arial" w:eastAsia="Calibri" w:hAnsi="Arial" w:cs="Arial"/>
          <w:bCs/>
          <w:sz w:val="20"/>
          <w:szCs w:val="20"/>
        </w:rPr>
        <w:t xml:space="preserve">, </w:t>
      </w:r>
      <w:r w:rsidRPr="005A134B">
        <w:rPr>
          <w:rFonts w:ascii="Arial" w:eastAsia="Calibri" w:hAnsi="Arial" w:cs="Arial"/>
          <w:bCs/>
          <w:sz w:val="20"/>
          <w:szCs w:val="20"/>
        </w:rPr>
        <w:t xml:space="preserve">od čega iz tekućih sredstava EU </w:t>
      </w:r>
      <w:r w:rsidR="005A134B" w:rsidRPr="005A134B">
        <w:rPr>
          <w:rFonts w:ascii="Arial" w:eastAsia="Calibri" w:hAnsi="Arial" w:cs="Arial"/>
          <w:bCs/>
          <w:sz w:val="20"/>
          <w:szCs w:val="20"/>
        </w:rPr>
        <w:t>18.158</w:t>
      </w:r>
      <w:r w:rsidRPr="005A134B">
        <w:rPr>
          <w:rFonts w:ascii="Arial" w:eastAsia="Calibri" w:hAnsi="Arial" w:cs="Arial"/>
          <w:bCs/>
          <w:sz w:val="20"/>
          <w:szCs w:val="20"/>
        </w:rPr>
        <w:t xml:space="preserve"> € </w:t>
      </w:r>
      <w:r w:rsidR="005A134B" w:rsidRPr="005A134B">
        <w:rPr>
          <w:rFonts w:ascii="Arial" w:eastAsia="Calibri" w:hAnsi="Arial" w:cs="Arial"/>
          <w:bCs/>
          <w:sz w:val="20"/>
          <w:szCs w:val="20"/>
        </w:rPr>
        <w:t>(</w:t>
      </w:r>
      <w:r w:rsidR="002C4A96">
        <w:rPr>
          <w:rFonts w:ascii="Arial" w:eastAsia="Calibri" w:hAnsi="Arial" w:cs="Arial"/>
          <w:bCs/>
          <w:sz w:val="20"/>
          <w:szCs w:val="20"/>
        </w:rPr>
        <w:t xml:space="preserve">financirano iz predujma i </w:t>
      </w:r>
      <w:r w:rsidR="005A134B" w:rsidRPr="005A134B">
        <w:rPr>
          <w:rFonts w:ascii="Arial" w:eastAsia="Calibri" w:hAnsi="Arial" w:cs="Arial"/>
          <w:bCs/>
          <w:sz w:val="20"/>
          <w:szCs w:val="20"/>
        </w:rPr>
        <w:t>predfinancirano iz vlastitih sredstava, te je izvor 563 u minusu)</w:t>
      </w:r>
      <w:r w:rsidRPr="005A134B">
        <w:rPr>
          <w:rFonts w:ascii="Arial" w:eastAsia="Calibri" w:hAnsi="Arial" w:cs="Arial"/>
          <w:bCs/>
          <w:sz w:val="20"/>
          <w:szCs w:val="20"/>
        </w:rPr>
        <w:t xml:space="preserve">, a iz općinskih sredstava </w:t>
      </w:r>
      <w:r w:rsidR="005A134B" w:rsidRPr="005A134B">
        <w:rPr>
          <w:rFonts w:ascii="Arial" w:eastAsia="Calibri" w:hAnsi="Arial" w:cs="Arial"/>
          <w:bCs/>
          <w:sz w:val="20"/>
          <w:szCs w:val="20"/>
        </w:rPr>
        <w:t>financirano 3.204,36</w:t>
      </w:r>
      <w:r w:rsidRPr="005A134B">
        <w:rPr>
          <w:rFonts w:ascii="Arial" w:eastAsia="Calibri" w:hAnsi="Arial" w:cs="Arial"/>
          <w:bCs/>
          <w:sz w:val="20"/>
          <w:szCs w:val="20"/>
        </w:rPr>
        <w:t xml:space="preserve"> €).</w:t>
      </w:r>
    </w:p>
    <w:p w14:paraId="2FED254F" w14:textId="77777777" w:rsidR="00247C80" w:rsidRDefault="00247C80" w:rsidP="0052045C">
      <w:pPr>
        <w:autoSpaceDE w:val="0"/>
        <w:autoSpaceDN w:val="0"/>
        <w:adjustRightInd w:val="0"/>
        <w:spacing w:after="0" w:line="240" w:lineRule="auto"/>
        <w:jc w:val="both"/>
        <w:rPr>
          <w:rFonts w:ascii="Arial" w:eastAsia="Calibri" w:hAnsi="Arial" w:cs="Arial"/>
          <w:sz w:val="20"/>
          <w:szCs w:val="20"/>
        </w:rPr>
      </w:pPr>
    </w:p>
    <w:p w14:paraId="5FF59A4F" w14:textId="195BB751" w:rsidR="002C4A96" w:rsidRDefault="002C4A96" w:rsidP="002C4A96">
      <w:pPr>
        <w:spacing w:after="0" w:line="240" w:lineRule="auto"/>
        <w:jc w:val="both"/>
        <w:rPr>
          <w:rFonts w:ascii="Arial" w:eastAsia="Calibri" w:hAnsi="Arial" w:cs="Arial"/>
          <w:bCs/>
          <w:sz w:val="20"/>
          <w:szCs w:val="20"/>
        </w:rPr>
      </w:pPr>
      <w:r>
        <w:rPr>
          <w:rFonts w:ascii="Arial" w:eastAsia="Calibri" w:hAnsi="Arial" w:cs="Arial"/>
          <w:bCs/>
          <w:sz w:val="20"/>
          <w:szCs w:val="20"/>
        </w:rPr>
        <w:t>U 2025. godini su doznačena novčana sredstva u iznosu 3.400 € (odobreni troškovi), a prihodi su iskazani u visini odobrenih troškova i raspoloživog predujma (3.400 €).</w:t>
      </w:r>
    </w:p>
    <w:p w14:paraId="6C2DB6B1" w14:textId="77777777" w:rsidR="002C4A96" w:rsidRDefault="002C4A96" w:rsidP="002C4A96">
      <w:pPr>
        <w:spacing w:after="0" w:line="240" w:lineRule="auto"/>
        <w:jc w:val="both"/>
        <w:rPr>
          <w:rFonts w:ascii="Arial" w:eastAsia="Calibri" w:hAnsi="Arial" w:cs="Arial"/>
          <w:bCs/>
          <w:sz w:val="20"/>
          <w:szCs w:val="20"/>
        </w:rPr>
      </w:pPr>
    </w:p>
    <w:p w14:paraId="63DAB93D" w14:textId="77777777" w:rsidR="0052045C" w:rsidRPr="000A13EA" w:rsidRDefault="0052045C">
      <w:pPr>
        <w:numPr>
          <w:ilvl w:val="0"/>
          <w:numId w:val="11"/>
        </w:numPr>
        <w:autoSpaceDE w:val="0"/>
        <w:autoSpaceDN w:val="0"/>
        <w:adjustRightInd w:val="0"/>
        <w:spacing w:after="0" w:line="240" w:lineRule="auto"/>
        <w:jc w:val="both"/>
        <w:rPr>
          <w:rFonts w:ascii="Arial" w:eastAsia="Calibri" w:hAnsi="Arial" w:cs="Arial"/>
          <w:sz w:val="20"/>
          <w:szCs w:val="20"/>
          <w:u w:val="single"/>
          <w:lang w:eastAsia="en-US"/>
        </w:rPr>
      </w:pPr>
      <w:r w:rsidRPr="000A13EA">
        <w:rPr>
          <w:rFonts w:ascii="Arial" w:eastAsia="Calibri" w:hAnsi="Arial" w:cs="Arial"/>
          <w:b/>
          <w:sz w:val="20"/>
          <w:szCs w:val="20"/>
          <w:u w:val="single"/>
          <w:lang w:eastAsia="en-US"/>
        </w:rPr>
        <w:t>Pomoći od međunarodnih organizacija te institucija i tijela EU (</w:t>
      </w:r>
      <w:r w:rsidRPr="000A13EA">
        <w:rPr>
          <w:rFonts w:ascii="Arial" w:eastAsia="Calibri" w:hAnsi="Arial" w:cs="Arial"/>
          <w:b/>
          <w:sz w:val="20"/>
          <w:szCs w:val="20"/>
          <w:highlight w:val="yellow"/>
          <w:u w:val="single"/>
          <w:lang w:eastAsia="en-US"/>
        </w:rPr>
        <w:t>632</w:t>
      </w:r>
      <w:r w:rsidRPr="000A13EA">
        <w:rPr>
          <w:rFonts w:ascii="Arial" w:eastAsia="Calibri" w:hAnsi="Arial" w:cs="Arial"/>
          <w:b/>
          <w:sz w:val="20"/>
          <w:szCs w:val="20"/>
          <w:u w:val="single"/>
          <w:lang w:eastAsia="en-US"/>
        </w:rPr>
        <w:t xml:space="preserve">), Tekuće pomoći od institucija i tijela EU (6323) – </w:t>
      </w:r>
    </w:p>
    <w:p w14:paraId="59014235" w14:textId="77777777" w:rsidR="0052045C" w:rsidRPr="000A13EA" w:rsidRDefault="0052045C" w:rsidP="0052045C">
      <w:pPr>
        <w:autoSpaceDE w:val="0"/>
        <w:autoSpaceDN w:val="0"/>
        <w:adjustRightInd w:val="0"/>
        <w:spacing w:after="0" w:line="240" w:lineRule="auto"/>
        <w:rPr>
          <w:rFonts w:ascii="Arial" w:eastAsia="Calibri" w:hAnsi="Arial" w:cs="Arial"/>
          <w:sz w:val="20"/>
          <w:szCs w:val="20"/>
        </w:rPr>
      </w:pPr>
    </w:p>
    <w:bookmarkEnd w:id="715"/>
    <w:p w14:paraId="3B9EC7C2" w14:textId="05A2DD0E" w:rsidR="00316CD3" w:rsidRPr="000C07E1" w:rsidRDefault="00316CD3" w:rsidP="00316CD3">
      <w:pPr>
        <w:autoSpaceDE w:val="0"/>
        <w:autoSpaceDN w:val="0"/>
        <w:adjustRightInd w:val="0"/>
        <w:spacing w:after="0" w:line="240" w:lineRule="auto"/>
        <w:jc w:val="both"/>
        <w:rPr>
          <w:rFonts w:ascii="Arial" w:eastAsia="Calibri" w:hAnsi="Arial" w:cs="Arial"/>
          <w:b/>
          <w:color w:val="004E9A"/>
          <w:sz w:val="20"/>
          <w:szCs w:val="20"/>
        </w:rPr>
      </w:pPr>
      <w:r w:rsidRPr="000C07E1">
        <w:rPr>
          <w:rFonts w:ascii="Arial" w:eastAsia="Calibri" w:hAnsi="Arial" w:cs="Arial"/>
          <w:color w:val="004E9A"/>
          <w:sz w:val="20"/>
          <w:szCs w:val="20"/>
        </w:rPr>
        <w:t>U okviru ovih prihoda Općina nije iskazala prihode u 2025.</w:t>
      </w:r>
    </w:p>
    <w:p w14:paraId="3C81EB57" w14:textId="77777777" w:rsidR="00294EB9" w:rsidRDefault="00294EB9" w:rsidP="00545CC6">
      <w:pPr>
        <w:spacing w:after="0" w:line="240" w:lineRule="auto"/>
        <w:jc w:val="both"/>
        <w:rPr>
          <w:rFonts w:ascii="Arial" w:eastAsia="Calibri" w:hAnsi="Arial" w:cs="Arial"/>
          <w:sz w:val="20"/>
          <w:szCs w:val="20"/>
        </w:rPr>
      </w:pPr>
    </w:p>
    <w:p w14:paraId="44F88822" w14:textId="1E3C03AB" w:rsidR="0052045C" w:rsidRPr="00F81630" w:rsidRDefault="0052045C">
      <w:pPr>
        <w:pStyle w:val="Odlomakpopisa"/>
        <w:numPr>
          <w:ilvl w:val="0"/>
          <w:numId w:val="11"/>
        </w:numPr>
        <w:rPr>
          <w:rFonts w:ascii="Arial" w:eastAsia="Calibri" w:hAnsi="Arial" w:cs="Arial"/>
          <w:b/>
          <w:u w:val="single"/>
        </w:rPr>
      </w:pPr>
      <w:bookmarkStart w:id="716" w:name="_Hlk80187453"/>
      <w:bookmarkStart w:id="717" w:name="_Hlk166666448"/>
      <w:r w:rsidRPr="00F81630">
        <w:rPr>
          <w:rFonts w:ascii="Arial" w:eastAsia="Calibri" w:hAnsi="Arial" w:cs="Arial"/>
          <w:b/>
          <w:u w:val="single"/>
        </w:rPr>
        <w:t>Pomoći temeljem prijenosa EU sredstava (</w:t>
      </w:r>
      <w:r w:rsidRPr="00F81630">
        <w:rPr>
          <w:rFonts w:ascii="Arial" w:eastAsia="Calibri" w:hAnsi="Arial" w:cs="Arial"/>
          <w:b/>
          <w:highlight w:val="yellow"/>
          <w:u w:val="single"/>
        </w:rPr>
        <w:t>638</w:t>
      </w:r>
      <w:r w:rsidRPr="00F81630">
        <w:rPr>
          <w:rFonts w:ascii="Arial" w:eastAsia="Calibri" w:hAnsi="Arial" w:cs="Arial"/>
          <w:b/>
          <w:u w:val="single"/>
        </w:rPr>
        <w:t xml:space="preserve">) </w:t>
      </w:r>
      <w:r w:rsidRPr="00F81630">
        <w:rPr>
          <w:rFonts w:ascii="Arial" w:hAnsi="Arial" w:cs="Arial"/>
          <w:b/>
          <w:u w:val="single"/>
        </w:rPr>
        <w:t>i to kao tekuće pomoći Općini:</w:t>
      </w:r>
    </w:p>
    <w:p w14:paraId="0D8B5480" w14:textId="77777777" w:rsidR="0052045C" w:rsidRPr="00F81630" w:rsidRDefault="0052045C" w:rsidP="0052045C">
      <w:pPr>
        <w:autoSpaceDE w:val="0"/>
        <w:autoSpaceDN w:val="0"/>
        <w:adjustRightInd w:val="0"/>
        <w:spacing w:after="0" w:line="240" w:lineRule="auto"/>
        <w:ind w:left="360"/>
        <w:rPr>
          <w:rFonts w:ascii="Arial" w:eastAsia="Calibri" w:hAnsi="Arial" w:cs="Arial"/>
          <w:b/>
          <w:sz w:val="20"/>
          <w:szCs w:val="20"/>
        </w:rPr>
      </w:pPr>
    </w:p>
    <w:p w14:paraId="3535654D" w14:textId="7C0C89B9" w:rsidR="0052045C" w:rsidRPr="00AE1345" w:rsidRDefault="0052045C" w:rsidP="0052045C">
      <w:pPr>
        <w:autoSpaceDE w:val="0"/>
        <w:autoSpaceDN w:val="0"/>
        <w:adjustRightInd w:val="0"/>
        <w:spacing w:after="0" w:line="240" w:lineRule="auto"/>
        <w:jc w:val="both"/>
        <w:rPr>
          <w:rFonts w:ascii="Arial" w:eastAsia="Calibri" w:hAnsi="Arial" w:cs="Arial"/>
          <w:color w:val="004E9A"/>
          <w:sz w:val="20"/>
          <w:szCs w:val="20"/>
        </w:rPr>
      </w:pPr>
      <w:r w:rsidRPr="00AE1345">
        <w:rPr>
          <w:rFonts w:ascii="Arial" w:eastAsia="Calibri" w:hAnsi="Arial" w:cs="Arial"/>
          <w:color w:val="004E9A"/>
          <w:sz w:val="20"/>
          <w:szCs w:val="20"/>
        </w:rPr>
        <w:t xml:space="preserve">U okviru ovih prihoda Općina je iskazala prihode u iznosu </w:t>
      </w:r>
      <w:r w:rsidR="0025158E" w:rsidRPr="00AE1345">
        <w:rPr>
          <w:rFonts w:ascii="Arial" w:eastAsia="Calibri" w:hAnsi="Arial" w:cs="Arial"/>
          <w:b/>
          <w:bCs/>
          <w:color w:val="004E9A"/>
          <w:sz w:val="20"/>
          <w:szCs w:val="20"/>
        </w:rPr>
        <w:t>3.491.046,17</w:t>
      </w:r>
      <w:r w:rsidRPr="00AE1345">
        <w:rPr>
          <w:rFonts w:ascii="Arial" w:eastAsia="Calibri" w:hAnsi="Arial" w:cs="Arial"/>
          <w:b/>
          <w:bCs/>
          <w:color w:val="004E9A"/>
          <w:sz w:val="20"/>
          <w:szCs w:val="20"/>
        </w:rPr>
        <w:t xml:space="preserve"> € (</w:t>
      </w:r>
      <w:r w:rsidR="00A80DBE" w:rsidRPr="00AE1345">
        <w:rPr>
          <w:rFonts w:ascii="Arial" w:eastAsia="Calibri" w:hAnsi="Arial" w:cs="Arial"/>
          <w:b/>
          <w:bCs/>
          <w:color w:val="004E9A"/>
          <w:sz w:val="20"/>
          <w:szCs w:val="20"/>
        </w:rPr>
        <w:t>C</w:t>
      </w:r>
      <w:r w:rsidRPr="00AE1345">
        <w:rPr>
          <w:rFonts w:ascii="Arial" w:eastAsia="Calibri" w:hAnsi="Arial" w:cs="Arial"/>
          <w:b/>
          <w:bCs/>
          <w:color w:val="004E9A"/>
          <w:sz w:val="20"/>
          <w:szCs w:val="20"/>
        </w:rPr>
        <w:t xml:space="preserve">.1 i </w:t>
      </w:r>
      <w:r w:rsidR="00A80DBE" w:rsidRPr="00AE1345">
        <w:rPr>
          <w:rFonts w:ascii="Arial" w:eastAsia="Calibri" w:hAnsi="Arial" w:cs="Arial"/>
          <w:b/>
          <w:bCs/>
          <w:color w:val="004E9A"/>
          <w:sz w:val="20"/>
          <w:szCs w:val="20"/>
        </w:rPr>
        <w:t>C</w:t>
      </w:r>
      <w:r w:rsidRPr="00AE1345">
        <w:rPr>
          <w:rFonts w:ascii="Arial" w:eastAsia="Calibri" w:hAnsi="Arial" w:cs="Arial"/>
          <w:b/>
          <w:bCs/>
          <w:color w:val="004E9A"/>
          <w:sz w:val="20"/>
          <w:szCs w:val="20"/>
        </w:rPr>
        <w:t>.2),</w:t>
      </w:r>
      <w:r w:rsidRPr="00AE1345">
        <w:rPr>
          <w:rFonts w:ascii="Arial" w:eastAsia="Calibri" w:hAnsi="Arial" w:cs="Arial"/>
          <w:color w:val="004E9A"/>
          <w:sz w:val="20"/>
          <w:szCs w:val="20"/>
        </w:rPr>
        <w:t xml:space="preserve"> dok proračunski korisnici Općine nisu ostvarili ove pomoći. </w:t>
      </w:r>
      <w:r w:rsidRPr="00AE1345">
        <w:rPr>
          <w:rFonts w:ascii="Arial" w:eastAsia="Times New Roman" w:hAnsi="Arial" w:cs="Arial"/>
          <w:color w:val="004E9A"/>
          <w:sz w:val="20"/>
          <w:szCs w:val="20"/>
          <w:lang w:eastAsia="en-US"/>
        </w:rPr>
        <w:t xml:space="preserve">Ostvarena sredstva su u evidentirana kao prihodi na osnovnom računu </w:t>
      </w:r>
      <w:r w:rsidRPr="00AE1345">
        <w:rPr>
          <w:rFonts w:ascii="Arial" w:eastAsia="Times New Roman" w:hAnsi="Arial" w:cs="Arial"/>
          <w:b/>
          <w:bCs/>
          <w:color w:val="004E9A"/>
          <w:sz w:val="20"/>
          <w:szCs w:val="20"/>
          <w:u w:val="single"/>
          <w:lang w:eastAsia="en-US"/>
        </w:rPr>
        <w:t>638</w:t>
      </w:r>
      <w:r w:rsidR="0025158E" w:rsidRPr="00AE1345">
        <w:rPr>
          <w:rFonts w:ascii="Arial" w:eastAsia="Times New Roman" w:hAnsi="Arial" w:cs="Arial"/>
          <w:b/>
          <w:bCs/>
          <w:color w:val="004E9A"/>
          <w:sz w:val="20"/>
          <w:szCs w:val="20"/>
          <w:u w:val="single"/>
          <w:lang w:eastAsia="en-US"/>
        </w:rPr>
        <w:t>21</w:t>
      </w:r>
      <w:r w:rsidR="0025158E" w:rsidRPr="00AE1345">
        <w:rPr>
          <w:rFonts w:ascii="Arial" w:eastAsia="Times New Roman" w:hAnsi="Arial" w:cs="Arial"/>
          <w:color w:val="004E9A"/>
          <w:sz w:val="20"/>
          <w:szCs w:val="20"/>
          <w:lang w:eastAsia="en-US"/>
        </w:rPr>
        <w:t xml:space="preserve"> u iznosu 305.314,39 €</w:t>
      </w:r>
      <w:r w:rsidR="00730265" w:rsidRPr="00AE1345">
        <w:rPr>
          <w:rFonts w:ascii="Arial" w:eastAsia="Times New Roman" w:hAnsi="Arial" w:cs="Arial"/>
          <w:color w:val="004E9A"/>
          <w:sz w:val="20"/>
          <w:szCs w:val="20"/>
          <w:lang w:eastAsia="en-US"/>
        </w:rPr>
        <w:t xml:space="preserve"> </w:t>
      </w:r>
      <w:r w:rsidR="0025158E" w:rsidRPr="00AE1345">
        <w:rPr>
          <w:rFonts w:ascii="Arial" w:eastAsia="Times New Roman" w:hAnsi="Arial" w:cs="Arial"/>
          <w:color w:val="004E9A"/>
          <w:sz w:val="20"/>
          <w:szCs w:val="20"/>
          <w:lang w:eastAsia="en-US"/>
        </w:rPr>
        <w:t xml:space="preserve">i na osnovnom računu </w:t>
      </w:r>
      <w:r w:rsidR="0025158E" w:rsidRPr="00AE1345">
        <w:rPr>
          <w:rFonts w:ascii="Arial" w:eastAsia="Times New Roman" w:hAnsi="Arial" w:cs="Arial"/>
          <w:b/>
          <w:bCs/>
          <w:color w:val="004E9A"/>
          <w:sz w:val="20"/>
          <w:szCs w:val="20"/>
          <w:u w:val="single"/>
          <w:lang w:eastAsia="en-US"/>
        </w:rPr>
        <w:t>63821</w:t>
      </w:r>
      <w:r w:rsidR="00730265" w:rsidRPr="00AE1345">
        <w:rPr>
          <w:rFonts w:ascii="Arial" w:eastAsia="Times New Roman" w:hAnsi="Arial" w:cs="Arial"/>
          <w:color w:val="004E9A"/>
          <w:sz w:val="20"/>
          <w:szCs w:val="20"/>
          <w:lang w:eastAsia="en-US"/>
        </w:rPr>
        <w:t xml:space="preserve"> u iznosu 3.185.731,78 €</w:t>
      </w:r>
      <w:r w:rsidRPr="00AE1345">
        <w:rPr>
          <w:rFonts w:ascii="Arial" w:eastAsia="Times New Roman" w:hAnsi="Arial" w:cs="Arial"/>
          <w:color w:val="004E9A"/>
          <w:sz w:val="20"/>
          <w:szCs w:val="20"/>
          <w:lang w:eastAsia="en-US"/>
        </w:rPr>
        <w:t>.</w:t>
      </w:r>
      <w:r w:rsidR="00F81630" w:rsidRPr="00AE1345">
        <w:rPr>
          <w:rFonts w:ascii="Arial" w:eastAsia="Times New Roman" w:hAnsi="Arial" w:cs="Arial"/>
          <w:color w:val="004E9A"/>
          <w:sz w:val="20"/>
          <w:szCs w:val="20"/>
          <w:lang w:eastAsia="en-US"/>
        </w:rPr>
        <w:t xml:space="preserve"> </w:t>
      </w:r>
      <w:r w:rsidRPr="00AE1345">
        <w:rPr>
          <w:rFonts w:ascii="Arial" w:eastAsia="Times New Roman" w:hAnsi="Arial" w:cs="Arial"/>
          <w:color w:val="004E9A"/>
          <w:sz w:val="20"/>
          <w:szCs w:val="20"/>
          <w:lang w:eastAsia="en-US"/>
        </w:rPr>
        <w:t xml:space="preserve">Prihodi Općine se odnose na </w:t>
      </w:r>
      <w:r w:rsidR="00730265" w:rsidRPr="00AE1345">
        <w:rPr>
          <w:rFonts w:ascii="Arial" w:eastAsia="Times New Roman" w:hAnsi="Arial" w:cs="Arial"/>
          <w:color w:val="004E9A"/>
          <w:sz w:val="20"/>
          <w:szCs w:val="20"/>
          <w:lang w:eastAsia="en-US"/>
        </w:rPr>
        <w:t>kapitalne</w:t>
      </w:r>
      <w:r w:rsidRPr="00AE1345">
        <w:rPr>
          <w:rFonts w:ascii="Arial" w:eastAsia="Times New Roman" w:hAnsi="Arial" w:cs="Arial"/>
          <w:color w:val="004E9A"/>
          <w:sz w:val="20"/>
          <w:szCs w:val="20"/>
          <w:lang w:eastAsia="en-US"/>
        </w:rPr>
        <w:t xml:space="preserve"> pomoći, dok nije bilo </w:t>
      </w:r>
      <w:r w:rsidR="00730265" w:rsidRPr="00AE1345">
        <w:rPr>
          <w:rFonts w:ascii="Arial" w:eastAsia="Times New Roman" w:hAnsi="Arial" w:cs="Arial"/>
          <w:color w:val="004E9A"/>
          <w:sz w:val="20"/>
          <w:szCs w:val="20"/>
          <w:lang w:eastAsia="en-US"/>
        </w:rPr>
        <w:t>tekućih</w:t>
      </w:r>
      <w:r w:rsidRPr="00AE1345">
        <w:rPr>
          <w:rFonts w:ascii="Arial" w:eastAsia="Times New Roman" w:hAnsi="Arial" w:cs="Arial"/>
          <w:color w:val="004E9A"/>
          <w:sz w:val="20"/>
          <w:szCs w:val="20"/>
          <w:lang w:eastAsia="en-US"/>
        </w:rPr>
        <w:t xml:space="preserve"> pomoći.</w:t>
      </w:r>
    </w:p>
    <w:p w14:paraId="6AF03535" w14:textId="77777777" w:rsidR="002279F1" w:rsidRPr="00730265" w:rsidRDefault="002279F1" w:rsidP="0052045C">
      <w:pPr>
        <w:autoSpaceDE w:val="0"/>
        <w:autoSpaceDN w:val="0"/>
        <w:adjustRightInd w:val="0"/>
        <w:spacing w:after="0" w:line="240" w:lineRule="auto"/>
        <w:ind w:left="360"/>
        <w:rPr>
          <w:rFonts w:ascii="Arial" w:eastAsia="Calibri" w:hAnsi="Arial" w:cs="Arial"/>
          <w:bCs/>
          <w:sz w:val="20"/>
          <w:szCs w:val="20"/>
        </w:rPr>
      </w:pPr>
    </w:p>
    <w:bookmarkEnd w:id="716"/>
    <w:p w14:paraId="20177726" w14:textId="77777777" w:rsidR="0052045C" w:rsidRPr="00F81630" w:rsidRDefault="0052045C" w:rsidP="0052045C">
      <w:pPr>
        <w:autoSpaceDE w:val="0"/>
        <w:autoSpaceDN w:val="0"/>
        <w:adjustRightInd w:val="0"/>
        <w:spacing w:after="0" w:line="240" w:lineRule="auto"/>
        <w:ind w:left="360"/>
        <w:jc w:val="center"/>
        <w:rPr>
          <w:rFonts w:ascii="Arial" w:eastAsia="Calibri" w:hAnsi="Arial" w:cs="Arial"/>
          <w:b/>
          <w:sz w:val="20"/>
          <w:szCs w:val="20"/>
        </w:rPr>
      </w:pPr>
      <w:r w:rsidRPr="00F81630">
        <w:rPr>
          <w:rFonts w:ascii="Arial" w:eastAsia="Calibri" w:hAnsi="Arial" w:cs="Arial"/>
          <w:b/>
          <w:sz w:val="20"/>
          <w:szCs w:val="20"/>
        </w:rPr>
        <w:t>Prihodi Općine</w:t>
      </w:r>
    </w:p>
    <w:p w14:paraId="3F42B7A9" w14:textId="77777777" w:rsidR="0052045C" w:rsidRPr="00F81630" w:rsidRDefault="0052045C" w:rsidP="0052045C">
      <w:pPr>
        <w:autoSpaceDE w:val="0"/>
        <w:autoSpaceDN w:val="0"/>
        <w:adjustRightInd w:val="0"/>
        <w:spacing w:after="0" w:line="240" w:lineRule="auto"/>
        <w:ind w:left="720"/>
        <w:jc w:val="both"/>
        <w:rPr>
          <w:rFonts w:ascii="Arial" w:eastAsia="Times New Roman" w:hAnsi="Arial" w:cs="Arial"/>
          <w:sz w:val="20"/>
          <w:szCs w:val="20"/>
          <w:lang w:eastAsia="en-US"/>
        </w:rPr>
      </w:pPr>
    </w:p>
    <w:p w14:paraId="7D8C937A" w14:textId="73CA1C0C" w:rsidR="0052045C" w:rsidRPr="00F81630" w:rsidRDefault="00A80DBE" w:rsidP="0052045C">
      <w:pPr>
        <w:spacing w:after="0" w:line="240" w:lineRule="auto"/>
        <w:jc w:val="both"/>
        <w:rPr>
          <w:rFonts w:ascii="Arial" w:eastAsia="Calibri" w:hAnsi="Arial" w:cs="Arial"/>
          <w:sz w:val="20"/>
          <w:szCs w:val="20"/>
        </w:rPr>
      </w:pPr>
      <w:r>
        <w:rPr>
          <w:rFonts w:ascii="Arial" w:eastAsia="Calibri" w:hAnsi="Arial" w:cs="Arial"/>
          <w:b/>
          <w:bCs/>
          <w:sz w:val="20"/>
          <w:szCs w:val="20"/>
        </w:rPr>
        <w:t>C</w:t>
      </w:r>
      <w:r w:rsidR="0052045C" w:rsidRPr="00F81630">
        <w:rPr>
          <w:rFonts w:ascii="Arial" w:eastAsia="Calibri" w:hAnsi="Arial" w:cs="Arial"/>
          <w:b/>
          <w:bCs/>
          <w:sz w:val="20"/>
          <w:szCs w:val="20"/>
        </w:rPr>
        <w:t>.1)</w:t>
      </w:r>
      <w:r w:rsidR="0052045C" w:rsidRPr="00F81630">
        <w:rPr>
          <w:rFonts w:ascii="Arial" w:eastAsia="Calibri" w:hAnsi="Arial" w:cs="Arial"/>
          <w:b/>
          <w:bCs/>
          <w:sz w:val="20"/>
          <w:szCs w:val="20"/>
        </w:rPr>
        <w:tab/>
      </w:r>
      <w:r w:rsidR="00316CD3">
        <w:rPr>
          <w:rFonts w:ascii="Arial" w:hAnsi="Arial" w:cs="Arial"/>
          <w:i/>
          <w:sz w:val="20"/>
          <w:szCs w:val="20"/>
          <w:u w:val="single"/>
        </w:rPr>
        <w:t>Izgradnja i opremanje osnovne škole Cavtat</w:t>
      </w:r>
      <w:r w:rsidR="0052045C" w:rsidRPr="00F81630">
        <w:rPr>
          <w:rFonts w:ascii="Arial" w:hAnsi="Arial" w:cs="Arial"/>
          <w:sz w:val="20"/>
          <w:szCs w:val="20"/>
        </w:rPr>
        <w:t xml:space="preserve">, </w:t>
      </w:r>
      <w:r w:rsidR="00316CD3">
        <w:rPr>
          <w:rFonts w:ascii="Arial" w:hAnsi="Arial" w:cs="Arial"/>
          <w:sz w:val="20"/>
          <w:szCs w:val="20"/>
        </w:rPr>
        <w:t>Dubrovačko neretvanska županija</w:t>
      </w:r>
      <w:r w:rsidR="0052045C" w:rsidRPr="00F81630">
        <w:rPr>
          <w:rFonts w:ascii="Arial" w:hAnsi="Arial" w:cs="Arial"/>
          <w:sz w:val="20"/>
          <w:szCs w:val="20"/>
        </w:rPr>
        <w:t xml:space="preserve"> nositelj projekta</w:t>
      </w:r>
      <w:r w:rsidR="00316CD3">
        <w:rPr>
          <w:rFonts w:ascii="Arial" w:hAnsi="Arial" w:cs="Arial"/>
          <w:sz w:val="20"/>
          <w:szCs w:val="20"/>
        </w:rPr>
        <w:t xml:space="preserve">, Općina Konavle je partner i korisnik </w:t>
      </w:r>
    </w:p>
    <w:p w14:paraId="15029B4C" w14:textId="320FE472" w:rsidR="0052045C" w:rsidRPr="00F81630" w:rsidRDefault="0052045C" w:rsidP="0052045C">
      <w:pPr>
        <w:autoSpaceDE w:val="0"/>
        <w:autoSpaceDN w:val="0"/>
        <w:adjustRightInd w:val="0"/>
        <w:spacing w:after="0" w:line="240" w:lineRule="auto"/>
        <w:ind w:left="720"/>
        <w:jc w:val="both"/>
        <w:rPr>
          <w:rFonts w:ascii="Arial" w:eastAsia="Times New Roman" w:hAnsi="Arial" w:cs="Arial"/>
          <w:sz w:val="20"/>
          <w:szCs w:val="20"/>
          <w:lang w:eastAsia="en-US"/>
        </w:rPr>
      </w:pPr>
      <w:r w:rsidRPr="00F81630">
        <w:rPr>
          <w:rFonts w:ascii="Arial" w:eastAsia="Times New Roman" w:hAnsi="Arial" w:cs="Arial"/>
          <w:sz w:val="20"/>
          <w:szCs w:val="20"/>
          <w:lang w:eastAsia="en-US"/>
        </w:rPr>
        <w:t xml:space="preserve">Projekt se sufinancira bespovratnim </w:t>
      </w:r>
      <w:r w:rsidR="002279F1">
        <w:rPr>
          <w:rFonts w:ascii="Arial" w:eastAsia="Times New Roman" w:hAnsi="Arial" w:cs="Arial"/>
          <w:sz w:val="20"/>
          <w:szCs w:val="20"/>
          <w:lang w:eastAsia="en-US"/>
        </w:rPr>
        <w:t xml:space="preserve">EU </w:t>
      </w:r>
      <w:r w:rsidRPr="00F81630">
        <w:rPr>
          <w:rFonts w:ascii="Arial" w:eastAsia="Times New Roman" w:hAnsi="Arial" w:cs="Arial"/>
          <w:sz w:val="20"/>
          <w:szCs w:val="20"/>
          <w:lang w:eastAsia="en-US"/>
        </w:rPr>
        <w:t xml:space="preserve">sredstvima </w:t>
      </w:r>
      <w:r w:rsidR="002279F1">
        <w:rPr>
          <w:rFonts w:ascii="Arial" w:eastAsia="Times New Roman" w:hAnsi="Arial" w:cs="Arial"/>
          <w:sz w:val="20"/>
          <w:szCs w:val="20"/>
          <w:lang w:eastAsia="en-US"/>
        </w:rPr>
        <w:t xml:space="preserve">(max </w:t>
      </w:r>
      <w:r w:rsidR="002279F1">
        <w:rPr>
          <w:rFonts w:ascii="Arial" w:hAnsi="Arial" w:cs="Arial"/>
          <w:sz w:val="20"/>
          <w:szCs w:val="20"/>
        </w:rPr>
        <w:t>18.056.689,10 € zajedno troškovi Općine i županije)</w:t>
      </w:r>
    </w:p>
    <w:bookmarkEnd w:id="717"/>
    <w:p w14:paraId="200C5C59" w14:textId="77777777" w:rsidR="0052045C" w:rsidRPr="00911F33" w:rsidRDefault="0052045C" w:rsidP="0052045C">
      <w:pPr>
        <w:autoSpaceDE w:val="0"/>
        <w:autoSpaceDN w:val="0"/>
        <w:adjustRightInd w:val="0"/>
        <w:spacing w:after="0" w:line="240" w:lineRule="auto"/>
        <w:ind w:left="720"/>
        <w:jc w:val="both"/>
        <w:rPr>
          <w:rFonts w:ascii="Arial" w:eastAsia="Times New Roman" w:hAnsi="Arial" w:cs="Arial"/>
          <w:sz w:val="20"/>
          <w:szCs w:val="20"/>
          <w:lang w:eastAsia="en-US"/>
        </w:rPr>
      </w:pPr>
    </w:p>
    <w:p w14:paraId="153F7C7B" w14:textId="6B8B4D57" w:rsidR="0052045C" w:rsidRPr="00911F33" w:rsidRDefault="007B3F1D" w:rsidP="0052045C">
      <w:pPr>
        <w:autoSpaceDE w:val="0"/>
        <w:autoSpaceDN w:val="0"/>
        <w:adjustRightInd w:val="0"/>
        <w:spacing w:after="0" w:line="240" w:lineRule="auto"/>
        <w:ind w:left="720"/>
        <w:jc w:val="both"/>
        <w:rPr>
          <w:rFonts w:ascii="Arial" w:eastAsia="Times New Roman" w:hAnsi="Arial" w:cs="Arial"/>
          <w:sz w:val="20"/>
          <w:szCs w:val="20"/>
          <w:lang w:eastAsia="en-US"/>
        </w:rPr>
      </w:pPr>
      <w:r w:rsidRPr="00911F33">
        <w:rPr>
          <w:rFonts w:ascii="Arial" w:eastAsia="Times New Roman" w:hAnsi="Arial" w:cs="Arial"/>
          <w:sz w:val="20"/>
          <w:szCs w:val="20"/>
          <w:lang w:eastAsia="en-US"/>
        </w:rPr>
        <w:t>Središnja agencija za financiranje i ugovaranje programa i projekata Europske unije</w:t>
      </w:r>
      <w:r w:rsidR="0052045C" w:rsidRPr="00911F33">
        <w:rPr>
          <w:rFonts w:ascii="Arial" w:eastAsia="Times New Roman" w:hAnsi="Arial" w:cs="Arial"/>
          <w:sz w:val="20"/>
          <w:szCs w:val="20"/>
          <w:lang w:eastAsia="en-US"/>
        </w:rPr>
        <w:t xml:space="preserve"> (dalje u tekstu: </w:t>
      </w:r>
      <w:r w:rsidRPr="00911F33">
        <w:rPr>
          <w:rFonts w:ascii="Arial" w:eastAsia="Times New Roman" w:hAnsi="Arial" w:cs="Arial"/>
          <w:sz w:val="20"/>
          <w:szCs w:val="20"/>
          <w:lang w:eastAsia="en-US"/>
        </w:rPr>
        <w:t>SAFU</w:t>
      </w:r>
      <w:r w:rsidR="0052045C" w:rsidRPr="00911F33">
        <w:rPr>
          <w:rFonts w:ascii="Arial" w:eastAsia="Times New Roman" w:hAnsi="Arial" w:cs="Arial"/>
          <w:sz w:val="20"/>
          <w:szCs w:val="20"/>
          <w:lang w:eastAsia="en-US"/>
        </w:rPr>
        <w:t>)</w:t>
      </w:r>
      <w:r w:rsidRPr="00911F33">
        <w:rPr>
          <w:rFonts w:ascii="Arial" w:eastAsia="Times New Roman" w:hAnsi="Arial" w:cs="Arial"/>
          <w:sz w:val="20"/>
          <w:szCs w:val="20"/>
          <w:lang w:eastAsia="en-US"/>
        </w:rPr>
        <w:t xml:space="preserve"> i Ministarstvo znanosti, obrazovanja i mladih</w:t>
      </w:r>
      <w:r w:rsidR="0052045C" w:rsidRPr="00911F33">
        <w:rPr>
          <w:rFonts w:ascii="Arial" w:eastAsia="Times New Roman" w:hAnsi="Arial" w:cs="Arial"/>
          <w:sz w:val="20"/>
          <w:szCs w:val="20"/>
          <w:lang w:eastAsia="en-US"/>
        </w:rPr>
        <w:t xml:space="preserve"> </w:t>
      </w:r>
      <w:r w:rsidRPr="00911F33">
        <w:rPr>
          <w:rFonts w:ascii="Arial" w:eastAsia="Times New Roman" w:hAnsi="Arial" w:cs="Arial"/>
          <w:sz w:val="20"/>
          <w:szCs w:val="20"/>
          <w:lang w:eastAsia="en-US"/>
        </w:rPr>
        <w:t>su</w:t>
      </w:r>
      <w:r w:rsidR="0052045C" w:rsidRPr="00911F33">
        <w:rPr>
          <w:rFonts w:ascii="Arial" w:eastAsia="Times New Roman" w:hAnsi="Arial" w:cs="Arial"/>
          <w:sz w:val="20"/>
          <w:szCs w:val="20"/>
          <w:lang w:eastAsia="en-US"/>
        </w:rPr>
        <w:t xml:space="preserve"> u </w:t>
      </w:r>
      <w:r w:rsidRPr="00911F33">
        <w:rPr>
          <w:rFonts w:ascii="Arial" w:eastAsia="Times New Roman" w:hAnsi="Arial" w:cs="Arial"/>
          <w:sz w:val="20"/>
          <w:szCs w:val="20"/>
          <w:lang w:eastAsia="en-US"/>
        </w:rPr>
        <w:t>ožujku</w:t>
      </w:r>
      <w:r w:rsidR="0052045C" w:rsidRPr="00911F33">
        <w:rPr>
          <w:rFonts w:ascii="Arial" w:eastAsia="Times New Roman" w:hAnsi="Arial" w:cs="Arial"/>
          <w:sz w:val="20"/>
          <w:szCs w:val="20"/>
          <w:lang w:eastAsia="en-US"/>
        </w:rPr>
        <w:t xml:space="preserve"> </w:t>
      </w:r>
      <w:r w:rsidRPr="00911F33">
        <w:rPr>
          <w:rFonts w:ascii="Arial" w:eastAsia="Times New Roman" w:hAnsi="Arial" w:cs="Arial"/>
          <w:sz w:val="20"/>
          <w:szCs w:val="20"/>
          <w:lang w:eastAsia="en-US"/>
        </w:rPr>
        <w:t>2025.</w:t>
      </w:r>
      <w:r w:rsidR="0052045C" w:rsidRPr="00911F33">
        <w:rPr>
          <w:rFonts w:ascii="Arial" w:eastAsia="Times New Roman" w:hAnsi="Arial" w:cs="Arial"/>
          <w:sz w:val="20"/>
          <w:szCs w:val="20"/>
          <w:lang w:eastAsia="en-US"/>
        </w:rPr>
        <w:t xml:space="preserve"> zaključili Ugovor </w:t>
      </w:r>
      <w:r w:rsidRPr="00911F33">
        <w:rPr>
          <w:rFonts w:ascii="Arial" w:eastAsia="Times New Roman" w:hAnsi="Arial" w:cs="Arial"/>
          <w:sz w:val="20"/>
          <w:szCs w:val="20"/>
          <w:lang w:eastAsia="en-US"/>
        </w:rPr>
        <w:t>o dodjeli bespovratnih sredstava za projekte koji se financiraju iz mehanizma za oporavak i otpornost za provedbu projekta Izgradnja i opremanje Osnovne škole Cavtat s Dubrovačko – ne</w:t>
      </w:r>
      <w:r w:rsidR="00911F33">
        <w:rPr>
          <w:rFonts w:ascii="Arial" w:eastAsia="Times New Roman" w:hAnsi="Arial" w:cs="Arial"/>
          <w:sz w:val="20"/>
          <w:szCs w:val="20"/>
          <w:lang w:eastAsia="en-US"/>
        </w:rPr>
        <w:t>re</w:t>
      </w:r>
      <w:r w:rsidRPr="00911F33">
        <w:rPr>
          <w:rFonts w:ascii="Arial" w:eastAsia="Times New Roman" w:hAnsi="Arial" w:cs="Arial"/>
          <w:sz w:val="20"/>
          <w:szCs w:val="20"/>
          <w:lang w:eastAsia="en-US"/>
        </w:rPr>
        <w:t>tvanskom županijom kao korisnikom bespovratnih sredstava. Sukladno ugovoru projekt provodi korisnik i partner u projektu: Općina Konavle. Projekt traje od 9. rujna 2021. do 30. lipnja 2026. Ukupna vrijednost projekta j</w:t>
      </w:r>
      <w:r w:rsidR="00C27AF4">
        <w:rPr>
          <w:rFonts w:ascii="Arial" w:eastAsia="Times New Roman" w:hAnsi="Arial" w:cs="Arial"/>
          <w:sz w:val="20"/>
          <w:szCs w:val="20"/>
          <w:lang w:eastAsia="en-US"/>
        </w:rPr>
        <w:t>e</w:t>
      </w:r>
      <w:r w:rsidRPr="00911F33">
        <w:rPr>
          <w:rFonts w:ascii="Arial" w:eastAsia="Times New Roman" w:hAnsi="Arial" w:cs="Arial"/>
          <w:sz w:val="20"/>
          <w:szCs w:val="20"/>
          <w:lang w:eastAsia="en-US"/>
        </w:rPr>
        <w:t xml:space="preserve"> 23.152.748,87 €, od čega prihvatljivi troškovi iznose 18.056.689,10 €. Korisnik ima pravo na korištenje do 30% predujma (5.417.006,73 €).</w:t>
      </w:r>
    </w:p>
    <w:p w14:paraId="400D21EA" w14:textId="77777777" w:rsidR="007B3F1D" w:rsidRPr="00911F33" w:rsidRDefault="007B3F1D" w:rsidP="0052045C">
      <w:pPr>
        <w:autoSpaceDE w:val="0"/>
        <w:autoSpaceDN w:val="0"/>
        <w:adjustRightInd w:val="0"/>
        <w:spacing w:after="0" w:line="240" w:lineRule="auto"/>
        <w:ind w:left="720"/>
        <w:jc w:val="both"/>
        <w:rPr>
          <w:rFonts w:ascii="Arial" w:eastAsia="Times New Roman" w:hAnsi="Arial" w:cs="Arial"/>
          <w:sz w:val="20"/>
          <w:szCs w:val="20"/>
          <w:lang w:eastAsia="en-US"/>
        </w:rPr>
      </w:pPr>
    </w:p>
    <w:p w14:paraId="3530A828" w14:textId="0383801F" w:rsidR="007B3F1D" w:rsidRPr="00911F33" w:rsidRDefault="007B3F1D" w:rsidP="0052045C">
      <w:pPr>
        <w:autoSpaceDE w:val="0"/>
        <w:autoSpaceDN w:val="0"/>
        <w:adjustRightInd w:val="0"/>
        <w:spacing w:after="0" w:line="240" w:lineRule="auto"/>
        <w:ind w:left="720"/>
        <w:jc w:val="both"/>
        <w:rPr>
          <w:rFonts w:ascii="Arial" w:eastAsia="Times New Roman" w:hAnsi="Arial" w:cs="Arial"/>
          <w:sz w:val="20"/>
          <w:szCs w:val="20"/>
          <w:lang w:eastAsia="en-US"/>
        </w:rPr>
      </w:pPr>
      <w:r w:rsidRPr="00911F33">
        <w:rPr>
          <w:rFonts w:ascii="Arial" w:eastAsia="Times New Roman" w:hAnsi="Arial" w:cs="Arial"/>
          <w:sz w:val="20"/>
          <w:szCs w:val="20"/>
          <w:lang w:eastAsia="en-US"/>
        </w:rPr>
        <w:t xml:space="preserve">Za potrebe provedbe ovog projekta, Dubrovačko neretvanska županija i Općina Konavle zaključili su Sporazum o partnerstvu na projektu u veljači 2025. godine. Sporazumom je, između ostalog, utvrđeno financiranje neprihvatljivih troškova u iznosu 5.096.059,77 € koji su uvećani i za procijenjene neprihvatljive troškove izmještanja dalekovoda (koji su bili preduvjet početka radova, a obavljao ih je HEP) </w:t>
      </w:r>
      <w:r w:rsidR="00911F33" w:rsidRPr="00911F33">
        <w:rPr>
          <w:rFonts w:ascii="Arial" w:eastAsia="Times New Roman" w:hAnsi="Arial" w:cs="Arial"/>
          <w:sz w:val="20"/>
          <w:szCs w:val="20"/>
          <w:lang w:eastAsia="en-US"/>
        </w:rPr>
        <w:t xml:space="preserve">u iznosu 373.032,71 € što sveukupno iznosi 5.469.092,48 €. </w:t>
      </w:r>
    </w:p>
    <w:p w14:paraId="3F972C5D" w14:textId="77777777" w:rsidR="0052045C" w:rsidRPr="00911F33" w:rsidRDefault="0052045C" w:rsidP="0052045C">
      <w:pPr>
        <w:autoSpaceDE w:val="0"/>
        <w:autoSpaceDN w:val="0"/>
        <w:adjustRightInd w:val="0"/>
        <w:spacing w:after="0" w:line="240" w:lineRule="auto"/>
        <w:ind w:left="720"/>
        <w:jc w:val="both"/>
        <w:rPr>
          <w:rFonts w:ascii="Arial" w:eastAsia="Times New Roman" w:hAnsi="Arial" w:cs="Arial"/>
          <w:sz w:val="20"/>
          <w:szCs w:val="20"/>
          <w:lang w:eastAsia="en-US"/>
        </w:rPr>
      </w:pPr>
    </w:p>
    <w:p w14:paraId="5979B106" w14:textId="0AF6B797" w:rsidR="00911F33" w:rsidRPr="00911F33" w:rsidRDefault="00911F33" w:rsidP="0052045C">
      <w:pPr>
        <w:autoSpaceDE w:val="0"/>
        <w:autoSpaceDN w:val="0"/>
        <w:adjustRightInd w:val="0"/>
        <w:spacing w:after="0" w:line="240" w:lineRule="auto"/>
        <w:ind w:left="720"/>
        <w:jc w:val="both"/>
        <w:rPr>
          <w:rFonts w:ascii="Arial" w:eastAsia="Times New Roman" w:hAnsi="Arial" w:cs="Arial"/>
          <w:sz w:val="20"/>
          <w:szCs w:val="20"/>
          <w:lang w:eastAsia="en-US"/>
        </w:rPr>
      </w:pPr>
      <w:r>
        <w:rPr>
          <w:rFonts w:ascii="Arial" w:eastAsia="Times New Roman" w:hAnsi="Arial" w:cs="Arial"/>
          <w:sz w:val="20"/>
          <w:szCs w:val="20"/>
          <w:lang w:eastAsia="en-US"/>
        </w:rPr>
        <w:t>Prema sporazumu procijenjene neprihvatljive troškove financirati će Županija u iznosu 2.431.985,82 € i Općina u iznosu 3.037.106,67 €.</w:t>
      </w:r>
    </w:p>
    <w:p w14:paraId="091492A2" w14:textId="77777777" w:rsidR="00F81630" w:rsidRDefault="00F81630" w:rsidP="0052045C">
      <w:pPr>
        <w:autoSpaceDE w:val="0"/>
        <w:autoSpaceDN w:val="0"/>
        <w:adjustRightInd w:val="0"/>
        <w:spacing w:after="0" w:line="240" w:lineRule="auto"/>
        <w:ind w:left="720"/>
        <w:jc w:val="both"/>
        <w:rPr>
          <w:rFonts w:ascii="Arial" w:eastAsia="Times New Roman" w:hAnsi="Arial" w:cs="Arial"/>
          <w:sz w:val="20"/>
          <w:szCs w:val="20"/>
          <w:lang w:eastAsia="en-US"/>
        </w:rPr>
      </w:pPr>
    </w:p>
    <w:p w14:paraId="55F0874D" w14:textId="0ADE29B7" w:rsidR="00911F33" w:rsidRDefault="00DF6B2B" w:rsidP="0052045C">
      <w:pPr>
        <w:autoSpaceDE w:val="0"/>
        <w:autoSpaceDN w:val="0"/>
        <w:adjustRightInd w:val="0"/>
        <w:spacing w:after="0" w:line="240" w:lineRule="auto"/>
        <w:ind w:left="720"/>
        <w:jc w:val="both"/>
        <w:rPr>
          <w:rFonts w:ascii="Arial" w:eastAsia="Times New Roman" w:hAnsi="Arial" w:cs="Arial"/>
          <w:sz w:val="20"/>
          <w:szCs w:val="20"/>
          <w:lang w:eastAsia="en-US"/>
        </w:rPr>
      </w:pPr>
      <w:r>
        <w:rPr>
          <w:rFonts w:ascii="Arial" w:eastAsia="Times New Roman" w:hAnsi="Arial" w:cs="Arial"/>
          <w:sz w:val="20"/>
          <w:szCs w:val="20"/>
          <w:lang w:eastAsia="en-US"/>
        </w:rPr>
        <w:t xml:space="preserve">U 2025., </w:t>
      </w:r>
      <w:r w:rsidR="00C27AF4">
        <w:rPr>
          <w:rFonts w:ascii="Arial" w:eastAsia="Times New Roman" w:hAnsi="Arial" w:cs="Arial"/>
          <w:sz w:val="20"/>
          <w:szCs w:val="20"/>
          <w:lang w:eastAsia="en-US"/>
        </w:rPr>
        <w:t>nadležno tijelo je odobrilo troškove u iznosu</w:t>
      </w:r>
      <w:r>
        <w:rPr>
          <w:rFonts w:ascii="Arial" w:eastAsia="Times New Roman" w:hAnsi="Arial" w:cs="Arial"/>
          <w:sz w:val="20"/>
          <w:szCs w:val="20"/>
          <w:lang w:eastAsia="en-US"/>
        </w:rPr>
        <w:t xml:space="preserve"> </w:t>
      </w:r>
      <w:r w:rsidR="00C27AF4">
        <w:rPr>
          <w:rFonts w:ascii="Arial" w:eastAsia="Times New Roman" w:hAnsi="Arial" w:cs="Arial"/>
          <w:sz w:val="20"/>
          <w:szCs w:val="20"/>
          <w:lang w:eastAsia="en-US"/>
        </w:rPr>
        <w:t>3.185.731,78</w:t>
      </w:r>
      <w:r>
        <w:rPr>
          <w:rFonts w:ascii="Arial" w:eastAsia="Times New Roman" w:hAnsi="Arial" w:cs="Arial"/>
          <w:sz w:val="20"/>
          <w:szCs w:val="20"/>
          <w:lang w:eastAsia="en-US"/>
        </w:rPr>
        <w:t xml:space="preserve"> € </w:t>
      </w:r>
      <w:r w:rsidR="00C27AF4">
        <w:rPr>
          <w:rFonts w:ascii="Arial" w:eastAsia="Times New Roman" w:hAnsi="Arial" w:cs="Arial"/>
          <w:sz w:val="20"/>
          <w:szCs w:val="20"/>
          <w:lang w:eastAsia="en-US"/>
        </w:rPr>
        <w:t>što</w:t>
      </w:r>
      <w:r>
        <w:rPr>
          <w:rFonts w:ascii="Arial" w:eastAsia="Times New Roman" w:hAnsi="Arial" w:cs="Arial"/>
          <w:sz w:val="20"/>
          <w:szCs w:val="20"/>
          <w:lang w:eastAsia="en-US"/>
        </w:rPr>
        <w:t xml:space="preserve"> je evidentirano kao prihod</w:t>
      </w:r>
      <w:r w:rsidR="00A217EC">
        <w:rPr>
          <w:rFonts w:ascii="Arial" w:eastAsia="Times New Roman" w:hAnsi="Arial" w:cs="Arial"/>
          <w:sz w:val="20"/>
          <w:szCs w:val="20"/>
          <w:lang w:eastAsia="en-US"/>
        </w:rPr>
        <w:t xml:space="preserve"> (ukupno doznačen predujam pa provedbu projekta 5.417.006,73 €).</w:t>
      </w:r>
    </w:p>
    <w:p w14:paraId="5AC5C3C6" w14:textId="77777777" w:rsidR="00911F33" w:rsidRDefault="00911F33" w:rsidP="0052045C">
      <w:pPr>
        <w:autoSpaceDE w:val="0"/>
        <w:autoSpaceDN w:val="0"/>
        <w:adjustRightInd w:val="0"/>
        <w:spacing w:after="0" w:line="240" w:lineRule="auto"/>
        <w:ind w:left="720"/>
        <w:jc w:val="both"/>
        <w:rPr>
          <w:rFonts w:ascii="Arial" w:eastAsia="Times New Roman" w:hAnsi="Arial" w:cs="Arial"/>
          <w:sz w:val="20"/>
          <w:szCs w:val="20"/>
          <w:lang w:eastAsia="en-US"/>
        </w:rPr>
      </w:pPr>
    </w:p>
    <w:p w14:paraId="6D07E368" w14:textId="3CAF4A2F" w:rsidR="00492854" w:rsidRDefault="00A217EC" w:rsidP="0052045C">
      <w:pPr>
        <w:autoSpaceDE w:val="0"/>
        <w:autoSpaceDN w:val="0"/>
        <w:adjustRightInd w:val="0"/>
        <w:spacing w:after="0" w:line="240" w:lineRule="auto"/>
        <w:ind w:left="720"/>
        <w:jc w:val="both"/>
        <w:rPr>
          <w:rFonts w:ascii="Arial" w:eastAsia="Times New Roman" w:hAnsi="Arial" w:cs="Arial"/>
          <w:sz w:val="20"/>
          <w:szCs w:val="20"/>
          <w:lang w:eastAsia="en-US"/>
        </w:rPr>
      </w:pPr>
      <w:r w:rsidRPr="00A217EC">
        <w:rPr>
          <w:rFonts w:ascii="Arial" w:eastAsia="Times New Roman" w:hAnsi="Arial" w:cs="Arial"/>
          <w:sz w:val="20"/>
          <w:szCs w:val="20"/>
          <w:lang w:eastAsia="en-US"/>
        </w:rPr>
        <w:t>Potraživanja za EU sredstva za provedbu projekta koncem godine iznose 5.024.113,61 € (odnosno predfinancirano iz vlastitih sredstava i kredita, a izvor 581 je u minusu</w:t>
      </w:r>
      <w:r>
        <w:rPr>
          <w:rFonts w:ascii="Arial" w:eastAsia="Times New Roman" w:hAnsi="Arial" w:cs="Arial"/>
          <w:sz w:val="20"/>
          <w:szCs w:val="20"/>
          <w:lang w:eastAsia="en-US"/>
        </w:rPr>
        <w:t>)</w:t>
      </w:r>
      <w:r w:rsidRPr="00A217EC">
        <w:rPr>
          <w:rFonts w:ascii="Arial" w:eastAsia="Times New Roman" w:hAnsi="Arial" w:cs="Arial"/>
          <w:sz w:val="20"/>
          <w:szCs w:val="20"/>
          <w:lang w:eastAsia="en-US"/>
        </w:rPr>
        <w:t>. Evident</w:t>
      </w:r>
      <w:r w:rsidR="00F35C1D">
        <w:rPr>
          <w:rFonts w:ascii="Arial" w:eastAsia="Times New Roman" w:hAnsi="Arial" w:cs="Arial"/>
          <w:sz w:val="20"/>
          <w:szCs w:val="20"/>
          <w:lang w:eastAsia="en-US"/>
        </w:rPr>
        <w:t>i</w:t>
      </w:r>
      <w:r w:rsidRPr="00A217EC">
        <w:rPr>
          <w:rFonts w:ascii="Arial" w:eastAsia="Times New Roman" w:hAnsi="Arial" w:cs="Arial"/>
          <w:sz w:val="20"/>
          <w:szCs w:val="20"/>
          <w:lang w:eastAsia="en-US"/>
        </w:rPr>
        <w:t>rane obveze za primljeni predujam koncem godine iznose 2.231.274,95 €</w:t>
      </w:r>
      <w:r>
        <w:rPr>
          <w:rFonts w:ascii="Arial" w:eastAsia="Times New Roman" w:hAnsi="Arial" w:cs="Arial"/>
          <w:sz w:val="20"/>
          <w:szCs w:val="20"/>
          <w:lang w:eastAsia="en-US"/>
        </w:rPr>
        <w:t>, a potraživanja za dani predujam izvođaču iznose 1.110.133,82 €.</w:t>
      </w:r>
    </w:p>
    <w:p w14:paraId="736F5080" w14:textId="77777777" w:rsidR="00492854" w:rsidRDefault="00492854" w:rsidP="0052045C">
      <w:pPr>
        <w:autoSpaceDE w:val="0"/>
        <w:autoSpaceDN w:val="0"/>
        <w:adjustRightInd w:val="0"/>
        <w:spacing w:after="0" w:line="240" w:lineRule="auto"/>
        <w:ind w:left="720"/>
        <w:jc w:val="both"/>
        <w:rPr>
          <w:rFonts w:ascii="Arial" w:eastAsia="Times New Roman" w:hAnsi="Arial" w:cs="Arial"/>
          <w:sz w:val="20"/>
          <w:szCs w:val="20"/>
          <w:lang w:eastAsia="en-US"/>
        </w:rPr>
      </w:pPr>
    </w:p>
    <w:p w14:paraId="7525ACA1" w14:textId="77777777" w:rsidR="00492854" w:rsidRDefault="00492854" w:rsidP="0052045C">
      <w:pPr>
        <w:autoSpaceDE w:val="0"/>
        <w:autoSpaceDN w:val="0"/>
        <w:adjustRightInd w:val="0"/>
        <w:spacing w:after="0" w:line="240" w:lineRule="auto"/>
        <w:ind w:left="720"/>
        <w:jc w:val="both"/>
        <w:rPr>
          <w:rFonts w:ascii="Arial" w:eastAsia="Times New Roman" w:hAnsi="Arial" w:cs="Arial"/>
          <w:sz w:val="20"/>
          <w:szCs w:val="20"/>
          <w:lang w:eastAsia="en-US"/>
        </w:rPr>
      </w:pPr>
    </w:p>
    <w:p w14:paraId="64038D73" w14:textId="77777777" w:rsidR="00784E4B" w:rsidRDefault="00784E4B" w:rsidP="0052045C">
      <w:pPr>
        <w:autoSpaceDE w:val="0"/>
        <w:autoSpaceDN w:val="0"/>
        <w:adjustRightInd w:val="0"/>
        <w:spacing w:after="0" w:line="240" w:lineRule="auto"/>
        <w:ind w:left="720"/>
        <w:jc w:val="both"/>
        <w:rPr>
          <w:rFonts w:ascii="Arial" w:eastAsia="Times New Roman" w:hAnsi="Arial" w:cs="Arial"/>
          <w:sz w:val="20"/>
          <w:szCs w:val="20"/>
          <w:lang w:eastAsia="en-US"/>
        </w:rPr>
      </w:pPr>
    </w:p>
    <w:p w14:paraId="7834AF46" w14:textId="77777777" w:rsidR="00784E4B" w:rsidRPr="00F81630" w:rsidRDefault="00784E4B" w:rsidP="00784E4B">
      <w:pPr>
        <w:autoSpaceDE w:val="0"/>
        <w:autoSpaceDN w:val="0"/>
        <w:adjustRightInd w:val="0"/>
        <w:spacing w:after="0" w:line="240" w:lineRule="auto"/>
        <w:ind w:left="720"/>
        <w:jc w:val="both"/>
        <w:rPr>
          <w:rFonts w:ascii="Arial" w:eastAsia="Times New Roman" w:hAnsi="Arial" w:cs="Arial"/>
          <w:sz w:val="20"/>
          <w:szCs w:val="20"/>
          <w:lang w:eastAsia="en-US"/>
        </w:rPr>
      </w:pPr>
    </w:p>
    <w:p w14:paraId="1835108F" w14:textId="4DC17BFB" w:rsidR="00784E4B" w:rsidRPr="00F81630" w:rsidRDefault="00784E4B" w:rsidP="00784E4B">
      <w:pPr>
        <w:spacing w:after="0" w:line="240" w:lineRule="auto"/>
        <w:jc w:val="both"/>
        <w:rPr>
          <w:rFonts w:ascii="Arial" w:eastAsia="Calibri" w:hAnsi="Arial" w:cs="Arial"/>
          <w:sz w:val="20"/>
          <w:szCs w:val="20"/>
        </w:rPr>
      </w:pPr>
      <w:r>
        <w:rPr>
          <w:rFonts w:ascii="Arial" w:eastAsia="Calibri" w:hAnsi="Arial" w:cs="Arial"/>
          <w:b/>
          <w:bCs/>
          <w:sz w:val="20"/>
          <w:szCs w:val="20"/>
        </w:rPr>
        <w:t>C</w:t>
      </w:r>
      <w:r w:rsidRPr="00F81630">
        <w:rPr>
          <w:rFonts w:ascii="Arial" w:eastAsia="Calibri" w:hAnsi="Arial" w:cs="Arial"/>
          <w:b/>
          <w:bCs/>
          <w:sz w:val="20"/>
          <w:szCs w:val="20"/>
        </w:rPr>
        <w:t>.</w:t>
      </w:r>
      <w:r>
        <w:rPr>
          <w:rFonts w:ascii="Arial" w:eastAsia="Calibri" w:hAnsi="Arial" w:cs="Arial"/>
          <w:b/>
          <w:bCs/>
          <w:sz w:val="20"/>
          <w:szCs w:val="20"/>
        </w:rPr>
        <w:t>2</w:t>
      </w:r>
      <w:r w:rsidRPr="00F81630">
        <w:rPr>
          <w:rFonts w:ascii="Arial" w:eastAsia="Calibri" w:hAnsi="Arial" w:cs="Arial"/>
          <w:b/>
          <w:bCs/>
          <w:sz w:val="20"/>
          <w:szCs w:val="20"/>
        </w:rPr>
        <w:t>)</w:t>
      </w:r>
      <w:r w:rsidRPr="00F81630">
        <w:rPr>
          <w:rFonts w:ascii="Arial" w:eastAsia="Calibri" w:hAnsi="Arial" w:cs="Arial"/>
          <w:b/>
          <w:bCs/>
          <w:sz w:val="20"/>
          <w:szCs w:val="20"/>
        </w:rPr>
        <w:tab/>
      </w:r>
      <w:r>
        <w:rPr>
          <w:rFonts w:ascii="Arial" w:hAnsi="Arial" w:cs="Arial"/>
          <w:i/>
          <w:sz w:val="20"/>
          <w:szCs w:val="20"/>
          <w:u w:val="single"/>
        </w:rPr>
        <w:t>Izgradnja i opremanje Vatrogasnog doma na Grudi</w:t>
      </w:r>
      <w:r w:rsidRPr="00F81630">
        <w:rPr>
          <w:rFonts w:ascii="Arial" w:hAnsi="Arial" w:cs="Arial"/>
          <w:sz w:val="20"/>
          <w:szCs w:val="20"/>
        </w:rPr>
        <w:t>, nositelj projekta</w:t>
      </w:r>
      <w:r>
        <w:rPr>
          <w:rFonts w:ascii="Arial" w:hAnsi="Arial" w:cs="Arial"/>
          <w:sz w:val="20"/>
          <w:szCs w:val="20"/>
        </w:rPr>
        <w:t xml:space="preserve"> Općina Konavle </w:t>
      </w:r>
    </w:p>
    <w:p w14:paraId="46C908CD" w14:textId="5C78A3E8" w:rsidR="00784E4B" w:rsidRPr="00F81630" w:rsidRDefault="00784E4B" w:rsidP="00784E4B">
      <w:pPr>
        <w:autoSpaceDE w:val="0"/>
        <w:autoSpaceDN w:val="0"/>
        <w:adjustRightInd w:val="0"/>
        <w:spacing w:after="0" w:line="240" w:lineRule="auto"/>
        <w:ind w:left="720"/>
        <w:jc w:val="both"/>
        <w:rPr>
          <w:rFonts w:ascii="Arial" w:eastAsia="Times New Roman" w:hAnsi="Arial" w:cs="Arial"/>
          <w:sz w:val="20"/>
          <w:szCs w:val="20"/>
          <w:lang w:eastAsia="en-US"/>
        </w:rPr>
      </w:pPr>
      <w:r w:rsidRPr="00F81630">
        <w:rPr>
          <w:rFonts w:ascii="Arial" w:eastAsia="Times New Roman" w:hAnsi="Arial" w:cs="Arial"/>
          <w:sz w:val="20"/>
          <w:szCs w:val="20"/>
          <w:lang w:eastAsia="en-US"/>
        </w:rPr>
        <w:t xml:space="preserve">Projekt se sufinancira bespovratnim </w:t>
      </w:r>
      <w:r>
        <w:rPr>
          <w:rFonts w:ascii="Arial" w:eastAsia="Times New Roman" w:hAnsi="Arial" w:cs="Arial"/>
          <w:sz w:val="20"/>
          <w:szCs w:val="20"/>
          <w:lang w:eastAsia="en-US"/>
        </w:rPr>
        <w:t xml:space="preserve">EU </w:t>
      </w:r>
      <w:r w:rsidRPr="00F81630">
        <w:rPr>
          <w:rFonts w:ascii="Arial" w:eastAsia="Times New Roman" w:hAnsi="Arial" w:cs="Arial"/>
          <w:sz w:val="20"/>
          <w:szCs w:val="20"/>
          <w:lang w:eastAsia="en-US"/>
        </w:rPr>
        <w:t xml:space="preserve">sredstvima </w:t>
      </w:r>
      <w:r>
        <w:rPr>
          <w:rFonts w:ascii="Arial" w:eastAsia="Times New Roman" w:hAnsi="Arial" w:cs="Arial"/>
          <w:sz w:val="20"/>
          <w:szCs w:val="20"/>
          <w:lang w:eastAsia="en-US"/>
        </w:rPr>
        <w:t xml:space="preserve">(max </w:t>
      </w:r>
      <w:r>
        <w:rPr>
          <w:rFonts w:ascii="Arial" w:hAnsi="Arial" w:cs="Arial"/>
          <w:sz w:val="20"/>
          <w:szCs w:val="20"/>
        </w:rPr>
        <w:t xml:space="preserve">9.109.402,70 kn / </w:t>
      </w:r>
      <w:r w:rsidR="00C27AF4">
        <w:rPr>
          <w:rFonts w:ascii="Arial" w:hAnsi="Arial" w:cs="Arial"/>
          <w:sz w:val="20"/>
          <w:szCs w:val="20"/>
        </w:rPr>
        <w:t>1.208.096,45</w:t>
      </w:r>
      <w:r>
        <w:rPr>
          <w:rFonts w:ascii="Arial" w:hAnsi="Arial" w:cs="Arial"/>
          <w:sz w:val="20"/>
          <w:szCs w:val="20"/>
        </w:rPr>
        <w:t xml:space="preserve"> €</w:t>
      </w:r>
      <w:r w:rsidR="00C27AF4">
        <w:rPr>
          <w:rFonts w:ascii="Arial" w:hAnsi="Arial" w:cs="Arial"/>
          <w:sz w:val="20"/>
          <w:szCs w:val="20"/>
        </w:rPr>
        <w:t>, odnosno 80 % prihvatljivih troškova projekta</w:t>
      </w:r>
      <w:r>
        <w:rPr>
          <w:rFonts w:ascii="Arial" w:hAnsi="Arial" w:cs="Arial"/>
          <w:sz w:val="20"/>
          <w:szCs w:val="20"/>
        </w:rPr>
        <w:t>)</w:t>
      </w:r>
    </w:p>
    <w:p w14:paraId="47829902" w14:textId="77777777" w:rsidR="00784E4B" w:rsidRDefault="00784E4B" w:rsidP="0052045C">
      <w:pPr>
        <w:autoSpaceDE w:val="0"/>
        <w:autoSpaceDN w:val="0"/>
        <w:adjustRightInd w:val="0"/>
        <w:spacing w:after="0" w:line="240" w:lineRule="auto"/>
        <w:ind w:left="720"/>
        <w:jc w:val="both"/>
        <w:rPr>
          <w:rFonts w:ascii="Arial" w:eastAsia="Times New Roman" w:hAnsi="Arial" w:cs="Arial"/>
          <w:sz w:val="20"/>
          <w:szCs w:val="20"/>
          <w:lang w:eastAsia="en-US"/>
        </w:rPr>
      </w:pPr>
    </w:p>
    <w:p w14:paraId="01E658ED" w14:textId="24F2D35A" w:rsidR="00492854" w:rsidRPr="00DA78E4" w:rsidRDefault="00DA78E4" w:rsidP="00A217EC">
      <w:pPr>
        <w:spacing w:after="0" w:line="240" w:lineRule="auto"/>
        <w:ind w:left="709"/>
        <w:jc w:val="both"/>
        <w:rPr>
          <w:rFonts w:ascii="Arial" w:eastAsia="Times New Roman" w:hAnsi="Arial" w:cs="Arial"/>
          <w:sz w:val="20"/>
          <w:szCs w:val="20"/>
          <w:lang w:eastAsia="en-US"/>
        </w:rPr>
      </w:pPr>
      <w:r w:rsidRPr="00DA78E4">
        <w:rPr>
          <w:rFonts w:ascii="Arial" w:eastAsia="Calibri" w:hAnsi="Arial" w:cs="Arial"/>
          <w:sz w:val="20"/>
          <w:szCs w:val="20"/>
          <w:lang w:eastAsia="en-US"/>
        </w:rPr>
        <w:t xml:space="preserve">Općina Konavle je 15. travnja 2019. godine s Agencijom za plaćanja u poljoprivredi, ribarstvu i ruralnom razvoju zaključila ugovor o izgradnji zajedničkog vatrogasnog doma i spremišta – Vatrogasni dom Gruda. Projektom su odobrena bespovratna sredstva u visini maksimalno do 80% vrijednosti projekta, odnosno do 9.109.402,70 kn /1.209.025,51 €/. Konačno odobrena sredstva će ovisiti o iznosu troškova odobrenih privremenim i završnim izvješćem. Ukupan iznos prihvatljivih troškova prema projektu je 11.238.503,38 kn /1.491.605,73 €/, a ukupan iznos projekta 12.097.345,98 kn /1.605.593,73 €/. </w:t>
      </w:r>
      <w:r w:rsidR="00C27AF4" w:rsidRPr="00DA78E4">
        <w:rPr>
          <w:rFonts w:ascii="Arial" w:eastAsia="Times New Roman" w:hAnsi="Arial" w:cs="Arial"/>
          <w:sz w:val="20"/>
          <w:szCs w:val="20"/>
        </w:rPr>
        <w:t xml:space="preserve">Projekt se financirao iz Programa ruralnog razvija RH, M07 - Temeljne usluge i obnova sela u ruralnim područjima, Sektor “Zajednički vatrogasni domovi”, kao zajednički projekt Općine Konavle i Općine Župa dubrovačka. U zgradi vatrogasnog doma planiran je prostor za smještaj i boravak vatrogasaca te drugih interventnih i sigurnosnih službi, kao i smještaj te skladištenje odgovarajućih sredstava zaštite, vodeći pritom računa da je osigurana njihova stalna spremnost za brzu i efikasnu reakciju u slučaju nesreće. </w:t>
      </w:r>
    </w:p>
    <w:p w14:paraId="7428ABC1" w14:textId="5FE605DD" w:rsidR="00784E4B" w:rsidRDefault="00492854" w:rsidP="00A217EC">
      <w:pPr>
        <w:autoSpaceDE w:val="0"/>
        <w:autoSpaceDN w:val="0"/>
        <w:adjustRightInd w:val="0"/>
        <w:spacing w:after="0" w:line="240" w:lineRule="auto"/>
        <w:ind w:left="709"/>
        <w:jc w:val="both"/>
        <w:rPr>
          <w:rFonts w:ascii="Arial" w:eastAsia="Times New Roman" w:hAnsi="Arial" w:cs="Arial"/>
          <w:sz w:val="20"/>
          <w:szCs w:val="20"/>
        </w:rPr>
      </w:pPr>
      <w:r w:rsidRPr="00DA78E4">
        <w:rPr>
          <w:rFonts w:ascii="Arial" w:eastAsia="Calibri" w:hAnsi="Arial" w:cs="Arial"/>
          <w:sz w:val="20"/>
          <w:szCs w:val="20"/>
        </w:rPr>
        <w:t>Radovi izgradnje vatrogasnog doma na temelju ugovora iz veljače 2021. godine izvršeni su u ugovorenoj vrijednosti (</w:t>
      </w:r>
      <w:r w:rsidRPr="00DA78E4">
        <w:rPr>
          <w:rFonts w:ascii="Arial" w:eastAsia="Calibri" w:hAnsi="Arial" w:cs="Arial"/>
          <w:b/>
          <w:bCs/>
          <w:sz w:val="20"/>
          <w:szCs w:val="20"/>
        </w:rPr>
        <w:t>11.320.642,60 kn što s porezom na dodanu vrijednost čini 14.150.803,25 kn).</w:t>
      </w:r>
      <w:r w:rsidRPr="00DA78E4">
        <w:rPr>
          <w:rFonts w:ascii="Arial" w:eastAsia="Calibri" w:hAnsi="Arial" w:cs="Arial"/>
          <w:sz w:val="20"/>
          <w:szCs w:val="20"/>
        </w:rPr>
        <w:t xml:space="preserve"> </w:t>
      </w:r>
      <w:r w:rsidR="00784E4B" w:rsidRPr="00DA78E4">
        <w:rPr>
          <w:rFonts w:ascii="Arial" w:eastAsia="Calibri" w:hAnsi="Arial" w:cs="Arial"/>
          <w:sz w:val="20"/>
          <w:szCs w:val="20"/>
        </w:rPr>
        <w:t>Uporabna dozvola je ispostavljena 19.12.2023, a pravomoćna je 20.12.2023.</w:t>
      </w:r>
      <w:r w:rsidR="00DA78E4">
        <w:rPr>
          <w:rFonts w:ascii="Arial" w:eastAsia="Calibri" w:hAnsi="Arial" w:cs="Arial"/>
          <w:sz w:val="20"/>
          <w:szCs w:val="20"/>
        </w:rPr>
        <w:t xml:space="preserve"> 2021. godini je ostvaren predujam za projekt u iznosu </w:t>
      </w:r>
      <w:r w:rsidR="00DA78E4" w:rsidRPr="00DA78E4">
        <w:rPr>
          <w:rFonts w:ascii="Arial" w:eastAsia="Times New Roman" w:hAnsi="Arial" w:cs="Arial"/>
          <w:sz w:val="20"/>
          <w:szCs w:val="20"/>
        </w:rPr>
        <w:t>4.554.701,35 kn</w:t>
      </w:r>
      <w:r w:rsidR="00DA78E4">
        <w:rPr>
          <w:rFonts w:ascii="Arial" w:eastAsia="Times New Roman" w:hAnsi="Arial" w:cs="Arial"/>
          <w:sz w:val="20"/>
          <w:szCs w:val="20"/>
        </w:rPr>
        <w:t xml:space="preserve"> / 604.512,75 €.</w:t>
      </w:r>
      <w:r w:rsidR="00A217EC">
        <w:rPr>
          <w:rFonts w:ascii="Arial" w:eastAsia="Times New Roman" w:hAnsi="Arial" w:cs="Arial"/>
          <w:sz w:val="20"/>
          <w:szCs w:val="20"/>
        </w:rPr>
        <w:t xml:space="preserve"> </w:t>
      </w:r>
    </w:p>
    <w:p w14:paraId="6292C124" w14:textId="65754BB3" w:rsidR="00DA78E4" w:rsidRPr="00DA78E4" w:rsidRDefault="00DA78E4" w:rsidP="00A217EC">
      <w:pPr>
        <w:autoSpaceDE w:val="0"/>
        <w:autoSpaceDN w:val="0"/>
        <w:adjustRightInd w:val="0"/>
        <w:spacing w:after="0" w:line="240" w:lineRule="auto"/>
        <w:ind w:left="709"/>
        <w:jc w:val="both"/>
        <w:rPr>
          <w:rFonts w:ascii="Arial" w:eastAsia="Calibri" w:hAnsi="Arial" w:cs="Arial"/>
          <w:sz w:val="20"/>
          <w:szCs w:val="20"/>
        </w:rPr>
      </w:pPr>
      <w:r>
        <w:rPr>
          <w:rFonts w:ascii="Arial" w:eastAsia="Calibri" w:hAnsi="Arial" w:cs="Arial"/>
          <w:sz w:val="20"/>
          <w:szCs w:val="20"/>
        </w:rPr>
        <w:t xml:space="preserve">U 2025. godini je ostvarena pomoć za projekt na temelju konačnog odobrenog obračuna u iznosu 305.314,39 € (izvor financiranja </w:t>
      </w:r>
      <w:r w:rsidR="00A217EC">
        <w:rPr>
          <w:rFonts w:ascii="Arial" w:eastAsia="Calibri" w:hAnsi="Arial" w:cs="Arial"/>
          <w:sz w:val="20"/>
          <w:szCs w:val="20"/>
        </w:rPr>
        <w:t>565).</w:t>
      </w:r>
    </w:p>
    <w:p w14:paraId="4251287A" w14:textId="77777777" w:rsidR="00492854" w:rsidRPr="00A80DBE" w:rsidRDefault="00492854" w:rsidP="0052045C">
      <w:pPr>
        <w:autoSpaceDE w:val="0"/>
        <w:autoSpaceDN w:val="0"/>
        <w:adjustRightInd w:val="0"/>
        <w:spacing w:after="0" w:line="240" w:lineRule="auto"/>
        <w:ind w:left="720"/>
        <w:jc w:val="both"/>
        <w:rPr>
          <w:rFonts w:ascii="Arial" w:eastAsia="Times New Roman" w:hAnsi="Arial" w:cs="Arial"/>
          <w:sz w:val="20"/>
          <w:szCs w:val="20"/>
          <w:lang w:eastAsia="en-US"/>
        </w:rPr>
      </w:pPr>
    </w:p>
    <w:p w14:paraId="029D6786" w14:textId="4CCFE2C3" w:rsidR="0052045C" w:rsidRPr="00A80DBE" w:rsidRDefault="0052045C">
      <w:pPr>
        <w:numPr>
          <w:ilvl w:val="0"/>
          <w:numId w:val="11"/>
        </w:numPr>
        <w:autoSpaceDE w:val="0"/>
        <w:autoSpaceDN w:val="0"/>
        <w:adjustRightInd w:val="0"/>
        <w:spacing w:after="0" w:line="240" w:lineRule="auto"/>
        <w:ind w:left="709" w:hanging="359"/>
        <w:jc w:val="both"/>
        <w:rPr>
          <w:rFonts w:ascii="Arial" w:eastAsia="Calibri" w:hAnsi="Arial" w:cs="Arial"/>
          <w:bCs/>
          <w:sz w:val="20"/>
          <w:szCs w:val="20"/>
        </w:rPr>
      </w:pPr>
      <w:bookmarkStart w:id="718" w:name="_Hlk166667353"/>
      <w:r w:rsidRPr="00A80DBE">
        <w:rPr>
          <w:rFonts w:ascii="Arial" w:eastAsia="Calibri" w:hAnsi="Arial" w:cs="Arial"/>
          <w:b/>
          <w:sz w:val="20"/>
          <w:szCs w:val="20"/>
          <w:u w:val="single"/>
          <w:lang w:eastAsia="en-US"/>
        </w:rPr>
        <w:t>Pomoći proračunu iz drugih proračuna (tekuće i kapitalne pomoći) (</w:t>
      </w:r>
      <w:r w:rsidRPr="00A80DBE">
        <w:rPr>
          <w:rFonts w:ascii="Arial" w:eastAsia="Calibri" w:hAnsi="Arial" w:cs="Arial"/>
          <w:b/>
          <w:sz w:val="20"/>
          <w:szCs w:val="20"/>
          <w:highlight w:val="yellow"/>
          <w:u w:val="single"/>
          <w:lang w:eastAsia="en-US"/>
        </w:rPr>
        <w:t>633</w:t>
      </w:r>
      <w:r w:rsidRPr="00A80DBE">
        <w:rPr>
          <w:rFonts w:ascii="Arial" w:eastAsia="Calibri" w:hAnsi="Arial" w:cs="Arial"/>
          <w:b/>
          <w:sz w:val="20"/>
          <w:szCs w:val="20"/>
          <w:u w:val="single"/>
          <w:lang w:eastAsia="en-US"/>
        </w:rPr>
        <w:t xml:space="preserve">), a na temelju sufinanciranja EU projekata iz državnog proračuna </w:t>
      </w:r>
    </w:p>
    <w:p w14:paraId="1FCBF9C6" w14:textId="77777777" w:rsidR="00B32353" w:rsidRPr="00A80DBE" w:rsidRDefault="00B32353" w:rsidP="0052045C">
      <w:pPr>
        <w:autoSpaceDE w:val="0"/>
        <w:autoSpaceDN w:val="0"/>
        <w:adjustRightInd w:val="0"/>
        <w:spacing w:after="0" w:line="240" w:lineRule="auto"/>
        <w:ind w:left="360"/>
        <w:jc w:val="both"/>
        <w:rPr>
          <w:rFonts w:ascii="Arial" w:eastAsia="Calibri" w:hAnsi="Arial" w:cs="Arial"/>
          <w:bCs/>
          <w:sz w:val="20"/>
          <w:szCs w:val="20"/>
        </w:rPr>
      </w:pPr>
    </w:p>
    <w:p w14:paraId="6B99230B" w14:textId="4FA52D91" w:rsidR="0052045C" w:rsidRPr="00AE1345" w:rsidRDefault="0052045C" w:rsidP="0052045C">
      <w:pPr>
        <w:autoSpaceDE w:val="0"/>
        <w:autoSpaceDN w:val="0"/>
        <w:adjustRightInd w:val="0"/>
        <w:spacing w:after="0" w:line="240" w:lineRule="auto"/>
        <w:ind w:left="360"/>
        <w:jc w:val="both"/>
        <w:rPr>
          <w:rFonts w:ascii="Arial" w:eastAsia="Calibri" w:hAnsi="Arial" w:cs="Arial"/>
          <w:bCs/>
          <w:color w:val="004E9A"/>
          <w:sz w:val="20"/>
          <w:szCs w:val="20"/>
        </w:rPr>
      </w:pPr>
      <w:r w:rsidRPr="00AE1345">
        <w:rPr>
          <w:rFonts w:ascii="Arial" w:eastAsia="Calibri" w:hAnsi="Arial" w:cs="Arial"/>
          <w:bCs/>
          <w:color w:val="004E9A"/>
          <w:sz w:val="20"/>
          <w:szCs w:val="20"/>
        </w:rPr>
        <w:t>U okviru ovih prihoda Općina</w:t>
      </w:r>
      <w:r w:rsidR="00DF6B2B" w:rsidRPr="00AE1345">
        <w:rPr>
          <w:rFonts w:ascii="Arial" w:eastAsia="Calibri" w:hAnsi="Arial" w:cs="Arial"/>
          <w:bCs/>
          <w:color w:val="004E9A"/>
          <w:sz w:val="20"/>
          <w:szCs w:val="20"/>
        </w:rPr>
        <w:t xml:space="preserve"> je</w:t>
      </w:r>
      <w:r w:rsidRPr="00AE1345">
        <w:rPr>
          <w:rFonts w:ascii="Arial" w:eastAsia="Calibri" w:hAnsi="Arial" w:cs="Arial"/>
          <w:bCs/>
          <w:color w:val="004E9A"/>
          <w:sz w:val="20"/>
          <w:szCs w:val="20"/>
        </w:rPr>
        <w:t xml:space="preserve"> iskazala prihode</w:t>
      </w:r>
      <w:r w:rsidR="00DC3BFD" w:rsidRPr="00AE1345">
        <w:rPr>
          <w:rFonts w:ascii="Arial" w:eastAsia="Calibri" w:hAnsi="Arial" w:cs="Arial"/>
          <w:bCs/>
          <w:color w:val="004E9A"/>
          <w:sz w:val="20"/>
          <w:szCs w:val="20"/>
        </w:rPr>
        <w:t xml:space="preserve"> u iznosu 151.128,19 €.</w:t>
      </w:r>
    </w:p>
    <w:p w14:paraId="6CE25302" w14:textId="77777777" w:rsidR="0052045C" w:rsidRPr="00A80DBE" w:rsidRDefault="0052045C" w:rsidP="00FB7F63">
      <w:pPr>
        <w:autoSpaceDE w:val="0"/>
        <w:autoSpaceDN w:val="0"/>
        <w:adjustRightInd w:val="0"/>
        <w:spacing w:after="0" w:line="240" w:lineRule="auto"/>
        <w:jc w:val="both"/>
        <w:rPr>
          <w:rFonts w:ascii="Arial" w:eastAsia="Calibri" w:hAnsi="Arial" w:cs="Arial"/>
          <w:bCs/>
          <w:sz w:val="20"/>
          <w:szCs w:val="20"/>
        </w:rPr>
      </w:pPr>
    </w:p>
    <w:bookmarkEnd w:id="718"/>
    <w:p w14:paraId="6FF03D4E" w14:textId="1BC29796" w:rsidR="0052045C" w:rsidRDefault="00DC3BFD" w:rsidP="00AE1345">
      <w:pPr>
        <w:autoSpaceDE w:val="0"/>
        <w:autoSpaceDN w:val="0"/>
        <w:adjustRightInd w:val="0"/>
        <w:spacing w:after="0" w:line="240" w:lineRule="auto"/>
        <w:jc w:val="both"/>
        <w:rPr>
          <w:rFonts w:ascii="Arial" w:eastAsia="Calibri" w:hAnsi="Arial" w:cs="Arial"/>
          <w:sz w:val="20"/>
        </w:rPr>
      </w:pPr>
      <w:r>
        <w:rPr>
          <w:rFonts w:ascii="Arial" w:eastAsia="Calibri" w:hAnsi="Arial" w:cs="Arial"/>
          <w:sz w:val="20"/>
        </w:rPr>
        <w:t xml:space="preserve">Općina je s Ministarstvom regionalnoga razvoja i fondova europske unije zaključila </w:t>
      </w:r>
      <w:r w:rsidR="00AE1345">
        <w:rPr>
          <w:rFonts w:ascii="Arial" w:eastAsia="Calibri" w:hAnsi="Arial" w:cs="Arial"/>
          <w:sz w:val="20"/>
        </w:rPr>
        <w:t xml:space="preserve">u rujnu 2021 godine ugovor o sufinanciranju provedbe EU projekta izgradnje vatrogasnog doma na Grudi u iznosu do 1.138.675,34 € / 151.128,19 € bespovratnih sredstava (50% iznosa kojeg je Općina bila obvezna osigurati iz vlastitih sredstava). Po konačnom obračunu i odobrenju projekta Općini su u siječnju 2025. godine doznačena sredstva 151.128,19 € (evidentirano na računu 63321). </w:t>
      </w:r>
    </w:p>
    <w:p w14:paraId="3CB2E146" w14:textId="77777777" w:rsidR="00DC3BFD" w:rsidRDefault="00DC3BFD" w:rsidP="0052045C">
      <w:pPr>
        <w:autoSpaceDE w:val="0"/>
        <w:autoSpaceDN w:val="0"/>
        <w:adjustRightInd w:val="0"/>
        <w:spacing w:after="0" w:line="240" w:lineRule="auto"/>
        <w:rPr>
          <w:rFonts w:ascii="Arial" w:eastAsia="Calibri" w:hAnsi="Arial" w:cs="Arial"/>
          <w:sz w:val="20"/>
        </w:rPr>
      </w:pPr>
    </w:p>
    <w:p w14:paraId="6E6CBE30" w14:textId="5535AB7D" w:rsidR="0052045C" w:rsidRPr="000327A6" w:rsidRDefault="0052045C">
      <w:pPr>
        <w:numPr>
          <w:ilvl w:val="0"/>
          <w:numId w:val="11"/>
        </w:numPr>
        <w:autoSpaceDE w:val="0"/>
        <w:autoSpaceDN w:val="0"/>
        <w:adjustRightInd w:val="0"/>
        <w:spacing w:after="0" w:line="240" w:lineRule="auto"/>
        <w:ind w:left="709" w:hanging="359"/>
        <w:jc w:val="both"/>
        <w:rPr>
          <w:rFonts w:ascii="Arial" w:eastAsia="Calibri" w:hAnsi="Arial" w:cs="Arial"/>
          <w:b/>
          <w:sz w:val="20"/>
          <w:szCs w:val="20"/>
          <w:u w:val="single"/>
          <w:lang w:eastAsia="en-US"/>
        </w:rPr>
      </w:pPr>
      <w:r w:rsidRPr="000327A6">
        <w:rPr>
          <w:rFonts w:ascii="Arial" w:eastAsia="Calibri" w:hAnsi="Arial" w:cs="Arial"/>
          <w:b/>
          <w:sz w:val="20"/>
          <w:szCs w:val="20"/>
          <w:u w:val="single"/>
          <w:lang w:eastAsia="en-US"/>
        </w:rPr>
        <w:t>Prihodi od donacija od pravnih i fizičkih osoba izvan općeg proračuna</w:t>
      </w:r>
      <w:r w:rsidR="000327A6" w:rsidRPr="000327A6">
        <w:rPr>
          <w:rFonts w:ascii="Arial" w:eastAsia="Calibri" w:hAnsi="Arial" w:cs="Arial"/>
          <w:b/>
          <w:sz w:val="20"/>
          <w:szCs w:val="20"/>
          <w:u w:val="single"/>
          <w:lang w:eastAsia="en-US"/>
        </w:rPr>
        <w:t xml:space="preserve"> (</w:t>
      </w:r>
      <w:r w:rsidR="000327A6" w:rsidRPr="000327A6">
        <w:rPr>
          <w:rFonts w:ascii="Arial" w:eastAsia="Calibri" w:hAnsi="Arial" w:cs="Arial"/>
          <w:b/>
          <w:sz w:val="20"/>
          <w:szCs w:val="20"/>
          <w:highlight w:val="yellow"/>
          <w:u w:val="single"/>
          <w:lang w:eastAsia="en-US"/>
        </w:rPr>
        <w:t>663</w:t>
      </w:r>
      <w:r w:rsidR="000327A6" w:rsidRPr="000327A6">
        <w:rPr>
          <w:rFonts w:ascii="Arial" w:eastAsia="Calibri" w:hAnsi="Arial" w:cs="Arial"/>
          <w:b/>
          <w:sz w:val="20"/>
          <w:szCs w:val="20"/>
          <w:u w:val="single"/>
          <w:lang w:eastAsia="en-US"/>
        </w:rPr>
        <w:t>)</w:t>
      </w:r>
      <w:r w:rsidRPr="000327A6">
        <w:rPr>
          <w:rFonts w:ascii="Arial" w:eastAsia="Calibri" w:hAnsi="Arial" w:cs="Arial"/>
          <w:b/>
          <w:sz w:val="20"/>
          <w:szCs w:val="20"/>
          <w:u w:val="single"/>
          <w:lang w:eastAsia="en-US"/>
        </w:rPr>
        <w:t>, a na temelju projekta koji se financira EU sredstvima</w:t>
      </w:r>
    </w:p>
    <w:p w14:paraId="7A8466F9" w14:textId="77777777" w:rsidR="0052045C" w:rsidRPr="003A2F86" w:rsidRDefault="0052045C" w:rsidP="0052045C">
      <w:pPr>
        <w:autoSpaceDE w:val="0"/>
        <w:autoSpaceDN w:val="0"/>
        <w:adjustRightInd w:val="0"/>
        <w:spacing w:after="0" w:line="240" w:lineRule="auto"/>
        <w:ind w:left="708"/>
        <w:jc w:val="both"/>
        <w:rPr>
          <w:rFonts w:ascii="Arial" w:hAnsi="Arial" w:cs="Arial"/>
          <w:sz w:val="20"/>
          <w:szCs w:val="20"/>
        </w:rPr>
      </w:pPr>
    </w:p>
    <w:p w14:paraId="4CB78ABF" w14:textId="43CDB2DC" w:rsidR="00DF6B2B" w:rsidRPr="00D2370E" w:rsidRDefault="00DF6B2B" w:rsidP="00DF6B2B">
      <w:pPr>
        <w:autoSpaceDE w:val="0"/>
        <w:autoSpaceDN w:val="0"/>
        <w:adjustRightInd w:val="0"/>
        <w:spacing w:after="0" w:line="240" w:lineRule="auto"/>
        <w:jc w:val="both"/>
        <w:rPr>
          <w:rFonts w:ascii="Arial" w:eastAsia="Calibri" w:hAnsi="Arial" w:cs="Arial"/>
          <w:b/>
          <w:color w:val="0070C0"/>
          <w:sz w:val="20"/>
          <w:szCs w:val="20"/>
        </w:rPr>
      </w:pPr>
      <w:r w:rsidRPr="00D2370E">
        <w:rPr>
          <w:rFonts w:ascii="Arial" w:eastAsia="Calibri" w:hAnsi="Arial" w:cs="Arial"/>
          <w:color w:val="0070C0"/>
          <w:sz w:val="20"/>
          <w:szCs w:val="20"/>
        </w:rPr>
        <w:t>U okviru ovih prihoda Općina je iskazala prihode u 2025.</w:t>
      </w:r>
      <w:r w:rsidR="00AE1345">
        <w:rPr>
          <w:rFonts w:ascii="Arial" w:eastAsia="Calibri" w:hAnsi="Arial" w:cs="Arial"/>
          <w:color w:val="0070C0"/>
          <w:sz w:val="20"/>
          <w:szCs w:val="20"/>
        </w:rPr>
        <w:t xml:space="preserve"> u iznosu 363.403,52 €.</w:t>
      </w:r>
    </w:p>
    <w:p w14:paraId="62BB7655" w14:textId="77777777" w:rsidR="00DF6B2B" w:rsidRDefault="00DF6B2B" w:rsidP="00A80DBE">
      <w:pPr>
        <w:autoSpaceDE w:val="0"/>
        <w:autoSpaceDN w:val="0"/>
        <w:adjustRightInd w:val="0"/>
        <w:spacing w:after="0" w:line="240" w:lineRule="auto"/>
        <w:jc w:val="both"/>
        <w:rPr>
          <w:rFonts w:ascii="Arial" w:eastAsia="Calibri" w:hAnsi="Arial" w:cs="Arial"/>
          <w:sz w:val="20"/>
          <w:szCs w:val="20"/>
        </w:rPr>
      </w:pPr>
    </w:p>
    <w:p w14:paraId="1C3335BE" w14:textId="1CB349B0" w:rsidR="00A80DBE" w:rsidRPr="00F141A2" w:rsidRDefault="00A80DBE" w:rsidP="00A80DBE">
      <w:pPr>
        <w:autoSpaceDE w:val="0"/>
        <w:autoSpaceDN w:val="0"/>
        <w:adjustRightInd w:val="0"/>
        <w:spacing w:after="0" w:line="240" w:lineRule="auto"/>
        <w:jc w:val="both"/>
        <w:rPr>
          <w:rFonts w:ascii="Arial" w:eastAsia="Calibri" w:hAnsi="Arial" w:cs="Arial"/>
          <w:b/>
          <w:sz w:val="16"/>
          <w:szCs w:val="16"/>
        </w:rPr>
      </w:pPr>
      <w:r w:rsidRPr="00F141A2">
        <w:rPr>
          <w:rFonts w:ascii="Arial" w:eastAsia="Calibri" w:hAnsi="Arial" w:cs="Arial"/>
          <w:sz w:val="16"/>
          <w:szCs w:val="16"/>
        </w:rPr>
        <w:t xml:space="preserve">U okviru ovih prihoda Općina je </w:t>
      </w:r>
      <w:r w:rsidR="00DF6B2B" w:rsidRPr="00F141A2">
        <w:rPr>
          <w:rFonts w:ascii="Arial" w:eastAsia="Calibri" w:hAnsi="Arial" w:cs="Arial"/>
          <w:sz w:val="16"/>
          <w:szCs w:val="16"/>
        </w:rPr>
        <w:t xml:space="preserve">u 2024. </w:t>
      </w:r>
      <w:r w:rsidR="00F141A2" w:rsidRPr="00F141A2">
        <w:rPr>
          <w:rFonts w:ascii="Arial" w:eastAsia="Calibri" w:hAnsi="Arial" w:cs="Arial"/>
          <w:sz w:val="16"/>
          <w:szCs w:val="16"/>
        </w:rPr>
        <w:t xml:space="preserve">bila </w:t>
      </w:r>
      <w:r w:rsidRPr="00F141A2">
        <w:rPr>
          <w:rFonts w:ascii="Arial" w:eastAsia="Calibri" w:hAnsi="Arial" w:cs="Arial"/>
          <w:sz w:val="16"/>
          <w:szCs w:val="16"/>
        </w:rPr>
        <w:t xml:space="preserve">iskazala prihode u iznosu </w:t>
      </w:r>
      <w:r w:rsidRPr="00F141A2">
        <w:rPr>
          <w:rFonts w:ascii="Arial" w:eastAsia="Calibri" w:hAnsi="Arial" w:cs="Arial"/>
          <w:b/>
          <w:bCs/>
          <w:sz w:val="16"/>
          <w:szCs w:val="16"/>
        </w:rPr>
        <w:t>126.945,00 € (F.1</w:t>
      </w:r>
      <w:r w:rsidRPr="00F141A2">
        <w:rPr>
          <w:rFonts w:ascii="Arial" w:eastAsia="Calibri" w:hAnsi="Arial" w:cs="Arial"/>
          <w:b/>
          <w:sz w:val="16"/>
          <w:szCs w:val="16"/>
        </w:rPr>
        <w:t>.).</w:t>
      </w:r>
    </w:p>
    <w:p w14:paraId="73A1889F" w14:textId="77777777" w:rsidR="00A80DBE" w:rsidRPr="00F141A2" w:rsidRDefault="00A80DBE" w:rsidP="00A80DBE">
      <w:pPr>
        <w:autoSpaceDE w:val="0"/>
        <w:autoSpaceDN w:val="0"/>
        <w:adjustRightInd w:val="0"/>
        <w:spacing w:after="0" w:line="240" w:lineRule="auto"/>
        <w:jc w:val="both"/>
        <w:rPr>
          <w:rFonts w:ascii="Arial" w:eastAsia="Times New Roman" w:hAnsi="Arial" w:cs="Arial"/>
          <w:sz w:val="16"/>
          <w:szCs w:val="16"/>
          <w:lang w:eastAsia="en-US"/>
        </w:rPr>
      </w:pPr>
      <w:r w:rsidRPr="00F141A2">
        <w:rPr>
          <w:rFonts w:ascii="Arial" w:eastAsia="Times New Roman" w:hAnsi="Arial" w:cs="Arial"/>
          <w:sz w:val="16"/>
          <w:szCs w:val="16"/>
          <w:lang w:eastAsia="en-US"/>
        </w:rPr>
        <w:t>Ostvarena sredstva su evidentirana kao prihodi na:</w:t>
      </w:r>
    </w:p>
    <w:p w14:paraId="17032A5C" w14:textId="6A51DD09" w:rsidR="00A80DBE" w:rsidRPr="00F141A2" w:rsidRDefault="00A80DBE">
      <w:pPr>
        <w:numPr>
          <w:ilvl w:val="0"/>
          <w:numId w:val="48"/>
        </w:numPr>
        <w:autoSpaceDE w:val="0"/>
        <w:autoSpaceDN w:val="0"/>
        <w:adjustRightInd w:val="0"/>
        <w:spacing w:after="0" w:line="240" w:lineRule="auto"/>
        <w:jc w:val="both"/>
        <w:rPr>
          <w:rFonts w:ascii="Arial" w:eastAsia="Calibri" w:hAnsi="Arial" w:cs="Arial"/>
          <w:bCs/>
          <w:sz w:val="16"/>
          <w:szCs w:val="16"/>
          <w:lang w:eastAsia="en-US"/>
        </w:rPr>
      </w:pPr>
      <w:r w:rsidRPr="00F141A2">
        <w:rPr>
          <w:rFonts w:ascii="Arial" w:eastAsia="Times New Roman" w:hAnsi="Arial" w:cs="Arial"/>
          <w:sz w:val="16"/>
          <w:szCs w:val="16"/>
          <w:lang w:eastAsia="en-US"/>
        </w:rPr>
        <w:t xml:space="preserve">osnovnom računu </w:t>
      </w:r>
      <w:r w:rsidRPr="00F141A2">
        <w:rPr>
          <w:rFonts w:ascii="Arial" w:eastAsia="Times New Roman" w:hAnsi="Arial" w:cs="Arial"/>
          <w:b/>
          <w:bCs/>
          <w:sz w:val="16"/>
          <w:szCs w:val="16"/>
          <w:u w:val="single"/>
          <w:lang w:eastAsia="en-US"/>
        </w:rPr>
        <w:t>66313</w:t>
      </w:r>
      <w:r w:rsidRPr="00F141A2">
        <w:rPr>
          <w:rFonts w:ascii="Arial" w:eastAsia="Times New Roman" w:hAnsi="Arial" w:cs="Arial"/>
          <w:sz w:val="16"/>
          <w:szCs w:val="16"/>
          <w:lang w:eastAsia="en-US"/>
        </w:rPr>
        <w:t xml:space="preserve"> u iznosu 32.000,00 € (projekt </w:t>
      </w:r>
      <w:r w:rsidRPr="00F141A2">
        <w:rPr>
          <w:rFonts w:ascii="Arial" w:eastAsia="Calibri" w:hAnsi="Arial" w:cs="Arial"/>
          <w:b/>
          <w:sz w:val="16"/>
          <w:szCs w:val="16"/>
          <w:lang w:eastAsia="en-US"/>
        </w:rPr>
        <w:t xml:space="preserve"> „CROSSMART“</w:t>
      </w:r>
      <w:r w:rsidRPr="00F141A2">
        <w:rPr>
          <w:rFonts w:ascii="Arial" w:eastAsia="Calibri" w:hAnsi="Arial" w:cs="Arial"/>
          <w:bCs/>
          <w:sz w:val="16"/>
          <w:szCs w:val="16"/>
          <w:lang w:eastAsia="en-US"/>
        </w:rPr>
        <w:t xml:space="preserve">), te na </w:t>
      </w:r>
    </w:p>
    <w:p w14:paraId="6F7CC2CB" w14:textId="22F43696" w:rsidR="00A80DBE" w:rsidRPr="00F141A2" w:rsidRDefault="00A80DBE">
      <w:pPr>
        <w:numPr>
          <w:ilvl w:val="0"/>
          <w:numId w:val="48"/>
        </w:numPr>
        <w:autoSpaceDE w:val="0"/>
        <w:autoSpaceDN w:val="0"/>
        <w:adjustRightInd w:val="0"/>
        <w:spacing w:after="0" w:line="240" w:lineRule="auto"/>
        <w:jc w:val="both"/>
        <w:rPr>
          <w:rFonts w:ascii="Arial" w:eastAsia="Calibri" w:hAnsi="Arial" w:cs="Arial"/>
          <w:bCs/>
          <w:sz w:val="16"/>
          <w:szCs w:val="16"/>
          <w:lang w:eastAsia="en-US"/>
        </w:rPr>
      </w:pPr>
      <w:r w:rsidRPr="00F141A2">
        <w:rPr>
          <w:rFonts w:ascii="Arial" w:eastAsia="Times New Roman" w:hAnsi="Arial" w:cs="Arial"/>
          <w:sz w:val="16"/>
          <w:szCs w:val="16"/>
          <w:lang w:eastAsia="en-US"/>
        </w:rPr>
        <w:t xml:space="preserve">osnovnom računu </w:t>
      </w:r>
      <w:r w:rsidRPr="00F141A2">
        <w:rPr>
          <w:rFonts w:ascii="Arial" w:eastAsia="Times New Roman" w:hAnsi="Arial" w:cs="Arial"/>
          <w:b/>
          <w:bCs/>
          <w:sz w:val="16"/>
          <w:szCs w:val="16"/>
          <w:u w:val="single"/>
          <w:lang w:eastAsia="en-US"/>
        </w:rPr>
        <w:t>66323</w:t>
      </w:r>
      <w:r w:rsidRPr="00F141A2">
        <w:rPr>
          <w:rFonts w:ascii="Arial" w:eastAsia="Times New Roman" w:hAnsi="Arial" w:cs="Arial"/>
          <w:sz w:val="16"/>
          <w:szCs w:val="16"/>
          <w:lang w:eastAsia="en-US"/>
        </w:rPr>
        <w:t xml:space="preserve"> u iznosu 94.945,00 € (projekt </w:t>
      </w:r>
      <w:r w:rsidRPr="00F141A2">
        <w:rPr>
          <w:rFonts w:ascii="Arial" w:eastAsia="Calibri" w:hAnsi="Arial" w:cs="Arial"/>
          <w:b/>
          <w:sz w:val="16"/>
          <w:szCs w:val="16"/>
          <w:lang w:eastAsia="en-US"/>
        </w:rPr>
        <w:t xml:space="preserve"> „CROSSMART“</w:t>
      </w:r>
      <w:r w:rsidRPr="00F141A2">
        <w:rPr>
          <w:rFonts w:ascii="Arial" w:eastAsia="Calibri" w:hAnsi="Arial" w:cs="Arial"/>
          <w:bCs/>
          <w:sz w:val="16"/>
          <w:szCs w:val="16"/>
          <w:lang w:eastAsia="en-US"/>
        </w:rPr>
        <w:t xml:space="preserve">). </w:t>
      </w:r>
    </w:p>
    <w:p w14:paraId="2049C881" w14:textId="77777777" w:rsidR="00A80DBE" w:rsidRPr="00F141A2" w:rsidRDefault="00A80DBE" w:rsidP="00A80DBE">
      <w:pPr>
        <w:spacing w:after="0" w:line="240" w:lineRule="auto"/>
        <w:jc w:val="both"/>
        <w:rPr>
          <w:rFonts w:ascii="Arial" w:eastAsia="Calibri" w:hAnsi="Arial" w:cs="Arial"/>
          <w:sz w:val="18"/>
          <w:szCs w:val="18"/>
        </w:rPr>
      </w:pPr>
    </w:p>
    <w:p w14:paraId="499DBFED" w14:textId="75584400" w:rsidR="00A80DBE" w:rsidRPr="00F141A2" w:rsidRDefault="00A80DBE" w:rsidP="00A80DBE">
      <w:pPr>
        <w:spacing w:after="0" w:line="240" w:lineRule="auto"/>
        <w:jc w:val="both"/>
        <w:rPr>
          <w:rFonts w:ascii="Arial" w:eastAsia="Calibri" w:hAnsi="Arial" w:cs="Arial"/>
          <w:sz w:val="18"/>
          <w:szCs w:val="18"/>
        </w:rPr>
      </w:pPr>
      <w:r w:rsidRPr="00F141A2">
        <w:rPr>
          <w:rFonts w:ascii="Arial" w:eastAsia="Calibri" w:hAnsi="Arial" w:cs="Arial"/>
          <w:sz w:val="18"/>
          <w:szCs w:val="18"/>
        </w:rPr>
        <w:t>U 2024. godine odobren je projekt iz programa prekogranične suradnje u kojem je glavni projektni partner Centar za poduzetništvo d.o.o. (Dubrovačko-neretvanska županija). Na temelju zaključenog ugovora doznačen je predujam za provedbu projekta. Sredstva su doznačena u jednom iznosu, a podjela prihoda na tekuće i kapitalne je obavljena procjenom sukladno planiranim troškovima projekta.</w:t>
      </w:r>
    </w:p>
    <w:p w14:paraId="43D8B061" w14:textId="77777777" w:rsidR="00A80DBE" w:rsidRDefault="00A80DBE" w:rsidP="00A80DBE">
      <w:pPr>
        <w:spacing w:after="0" w:line="240" w:lineRule="auto"/>
        <w:jc w:val="both"/>
        <w:rPr>
          <w:rFonts w:ascii="Arial" w:eastAsia="Calibri" w:hAnsi="Arial" w:cs="Arial"/>
          <w:sz w:val="20"/>
          <w:szCs w:val="20"/>
        </w:rPr>
      </w:pPr>
    </w:p>
    <w:p w14:paraId="148C55FC" w14:textId="33FC8A50" w:rsidR="00F141A2" w:rsidRPr="00F141A2" w:rsidRDefault="00F141A2" w:rsidP="004A5C68">
      <w:pPr>
        <w:spacing w:after="0" w:line="240" w:lineRule="auto"/>
        <w:jc w:val="both"/>
        <w:rPr>
          <w:rFonts w:ascii="Arial" w:eastAsia="Calibri" w:hAnsi="Arial" w:cs="Arial"/>
          <w:bCs/>
          <w:sz w:val="20"/>
          <w:szCs w:val="20"/>
        </w:rPr>
      </w:pPr>
      <w:r w:rsidRPr="00F141A2">
        <w:rPr>
          <w:rFonts w:ascii="Arial" w:eastAsia="Calibri" w:hAnsi="Arial" w:cs="Arial"/>
          <w:sz w:val="20"/>
          <w:szCs w:val="20"/>
        </w:rPr>
        <w:t>Doznačena a neutrošena sredstva predujma iz 2024. godine su prenesena kao višak prihoda u 2025. godinu. Sukladno novim uputama Ministarstva financija, za neutrošena sredstva koja su iskazana u višku prihoda obavljen je ispravak rezultata u 2025. godini te evidentirane obveze za primljeni predujam. Ispravak rezultata je obavljen za</w:t>
      </w:r>
      <w:r w:rsidR="004A5C68">
        <w:rPr>
          <w:rFonts w:ascii="Arial" w:eastAsia="Calibri" w:hAnsi="Arial" w:cs="Arial"/>
          <w:sz w:val="20"/>
          <w:szCs w:val="20"/>
        </w:rPr>
        <w:t xml:space="preserve"> </w:t>
      </w:r>
      <w:r w:rsidRPr="00F141A2">
        <w:rPr>
          <w:rFonts w:ascii="Arial" w:eastAsia="Calibri" w:hAnsi="Arial" w:cs="Arial"/>
          <w:sz w:val="20"/>
          <w:szCs w:val="20"/>
        </w:rPr>
        <w:t xml:space="preserve">projekt </w:t>
      </w:r>
      <w:r w:rsidRPr="00F141A2">
        <w:rPr>
          <w:rFonts w:ascii="Arial" w:eastAsia="Calibri" w:hAnsi="Arial" w:cs="Arial"/>
          <w:b/>
          <w:sz w:val="20"/>
          <w:szCs w:val="20"/>
        </w:rPr>
        <w:t xml:space="preserve"> „</w:t>
      </w:r>
      <w:r>
        <w:rPr>
          <w:rFonts w:ascii="Arial" w:eastAsia="Calibri" w:hAnsi="Arial" w:cs="Arial"/>
          <w:b/>
          <w:sz w:val="20"/>
          <w:szCs w:val="20"/>
        </w:rPr>
        <w:t>Crossmart</w:t>
      </w:r>
      <w:r w:rsidRPr="00F141A2">
        <w:rPr>
          <w:rFonts w:ascii="Arial" w:eastAsia="Calibri" w:hAnsi="Arial" w:cs="Arial"/>
          <w:b/>
          <w:sz w:val="20"/>
          <w:szCs w:val="20"/>
        </w:rPr>
        <w:t xml:space="preserve">“ </w:t>
      </w:r>
      <w:r w:rsidRPr="00F141A2">
        <w:rPr>
          <w:rFonts w:ascii="Arial" w:eastAsia="Calibri" w:hAnsi="Arial" w:cs="Arial"/>
          <w:bCs/>
          <w:sz w:val="20"/>
          <w:szCs w:val="20"/>
        </w:rPr>
        <w:t>u iznosu</w:t>
      </w:r>
      <w:r w:rsidRPr="00F141A2">
        <w:rPr>
          <w:rFonts w:ascii="Arial" w:eastAsia="Calibri" w:hAnsi="Arial" w:cs="Arial"/>
          <w:b/>
          <w:sz w:val="20"/>
          <w:szCs w:val="20"/>
        </w:rPr>
        <w:t xml:space="preserve"> </w:t>
      </w:r>
      <w:r>
        <w:rPr>
          <w:rFonts w:ascii="Arial" w:eastAsia="Calibri" w:hAnsi="Arial" w:cs="Arial"/>
          <w:b/>
          <w:sz w:val="20"/>
          <w:szCs w:val="20"/>
        </w:rPr>
        <w:t>113.710,94</w:t>
      </w:r>
      <w:r w:rsidRPr="00F141A2">
        <w:rPr>
          <w:rFonts w:ascii="Arial" w:eastAsia="Calibri" w:hAnsi="Arial" w:cs="Arial"/>
          <w:b/>
          <w:sz w:val="20"/>
          <w:szCs w:val="20"/>
        </w:rPr>
        <w:t xml:space="preserve"> €</w:t>
      </w:r>
      <w:r>
        <w:rPr>
          <w:rFonts w:ascii="Arial" w:eastAsia="Calibri" w:hAnsi="Arial" w:cs="Arial"/>
          <w:bCs/>
          <w:sz w:val="20"/>
          <w:szCs w:val="20"/>
        </w:rPr>
        <w:t>.</w:t>
      </w:r>
    </w:p>
    <w:p w14:paraId="243A260E" w14:textId="77777777" w:rsidR="00F141A2" w:rsidRPr="00F141A2" w:rsidRDefault="00F141A2" w:rsidP="00F141A2">
      <w:pPr>
        <w:spacing w:after="0" w:line="240" w:lineRule="auto"/>
        <w:jc w:val="both"/>
        <w:rPr>
          <w:rFonts w:ascii="Arial" w:eastAsia="Calibri" w:hAnsi="Arial" w:cs="Arial"/>
          <w:b/>
          <w:bCs/>
          <w:sz w:val="20"/>
          <w:szCs w:val="20"/>
          <w:u w:val="single"/>
        </w:rPr>
      </w:pPr>
    </w:p>
    <w:p w14:paraId="65D29CBC" w14:textId="0726FCCF" w:rsidR="00F141A2" w:rsidRPr="00F141A2" w:rsidRDefault="00F141A2" w:rsidP="00F141A2">
      <w:pPr>
        <w:spacing w:after="0" w:line="240" w:lineRule="auto"/>
        <w:jc w:val="both"/>
        <w:rPr>
          <w:rFonts w:ascii="Arial" w:eastAsia="Calibri" w:hAnsi="Arial" w:cs="Arial"/>
          <w:b/>
          <w:sz w:val="20"/>
          <w:szCs w:val="20"/>
        </w:rPr>
      </w:pPr>
      <w:r w:rsidRPr="00F141A2">
        <w:rPr>
          <w:rFonts w:ascii="Arial" w:eastAsia="Calibri" w:hAnsi="Arial" w:cs="Arial"/>
          <w:b/>
          <w:bCs/>
          <w:sz w:val="20"/>
          <w:szCs w:val="20"/>
          <w:u w:val="single"/>
        </w:rPr>
        <w:t>2025</w:t>
      </w:r>
      <w:r w:rsidRPr="00F141A2">
        <w:rPr>
          <w:rFonts w:ascii="Arial" w:eastAsia="Calibri" w:hAnsi="Arial" w:cs="Arial"/>
          <w:sz w:val="20"/>
          <w:szCs w:val="20"/>
        </w:rPr>
        <w:t xml:space="preserve">. godine u okviru ovih prihoda Općina su iskazani prihodi u iznosu </w:t>
      </w:r>
      <w:r>
        <w:rPr>
          <w:rFonts w:ascii="Arial" w:eastAsia="Calibri" w:hAnsi="Arial" w:cs="Arial"/>
          <w:b/>
          <w:bCs/>
          <w:sz w:val="20"/>
          <w:szCs w:val="20"/>
        </w:rPr>
        <w:t>363.403,52</w:t>
      </w:r>
      <w:r w:rsidRPr="00F141A2">
        <w:rPr>
          <w:rFonts w:ascii="Arial" w:eastAsia="Calibri" w:hAnsi="Arial" w:cs="Arial"/>
          <w:b/>
          <w:bCs/>
          <w:sz w:val="20"/>
          <w:szCs w:val="20"/>
        </w:rPr>
        <w:t xml:space="preserve"> € (</w:t>
      </w:r>
      <w:r>
        <w:rPr>
          <w:rFonts w:ascii="Arial" w:eastAsia="Calibri" w:hAnsi="Arial" w:cs="Arial"/>
          <w:b/>
          <w:bCs/>
          <w:sz w:val="20"/>
          <w:szCs w:val="20"/>
        </w:rPr>
        <w:t>E</w:t>
      </w:r>
      <w:r w:rsidRPr="00F141A2">
        <w:rPr>
          <w:rFonts w:ascii="Arial" w:eastAsia="Calibri" w:hAnsi="Arial" w:cs="Arial"/>
          <w:b/>
          <w:bCs/>
          <w:sz w:val="20"/>
          <w:szCs w:val="20"/>
        </w:rPr>
        <w:t>.1</w:t>
      </w:r>
      <w:r w:rsidRPr="00F141A2">
        <w:rPr>
          <w:rFonts w:ascii="Arial" w:eastAsia="Calibri" w:hAnsi="Arial" w:cs="Arial"/>
          <w:b/>
          <w:sz w:val="20"/>
          <w:szCs w:val="20"/>
        </w:rPr>
        <w:t>).</w:t>
      </w:r>
    </w:p>
    <w:p w14:paraId="5BD3B43C" w14:textId="77777777" w:rsidR="00F141A2" w:rsidRPr="00F141A2" w:rsidRDefault="00F141A2" w:rsidP="00F141A2">
      <w:pPr>
        <w:spacing w:after="0" w:line="240" w:lineRule="auto"/>
        <w:jc w:val="both"/>
        <w:rPr>
          <w:rFonts w:ascii="Arial" w:eastAsia="Calibri" w:hAnsi="Arial" w:cs="Arial"/>
          <w:sz w:val="20"/>
          <w:szCs w:val="20"/>
        </w:rPr>
      </w:pPr>
      <w:r w:rsidRPr="00F141A2">
        <w:rPr>
          <w:rFonts w:ascii="Arial" w:eastAsia="Calibri" w:hAnsi="Arial" w:cs="Arial"/>
          <w:sz w:val="20"/>
          <w:szCs w:val="20"/>
        </w:rPr>
        <w:t>Ostvarena sredstva su evidentirana kao prihodi na:</w:t>
      </w:r>
    </w:p>
    <w:p w14:paraId="63B636C4" w14:textId="7963DA75" w:rsidR="00F141A2" w:rsidRPr="00F141A2" w:rsidRDefault="00F141A2">
      <w:pPr>
        <w:numPr>
          <w:ilvl w:val="0"/>
          <w:numId w:val="59"/>
        </w:numPr>
        <w:spacing w:after="0" w:line="240" w:lineRule="auto"/>
        <w:jc w:val="both"/>
        <w:rPr>
          <w:rFonts w:ascii="Arial" w:eastAsia="Calibri" w:hAnsi="Arial" w:cs="Arial"/>
          <w:bCs/>
          <w:sz w:val="20"/>
          <w:szCs w:val="20"/>
        </w:rPr>
      </w:pPr>
      <w:r w:rsidRPr="00F141A2">
        <w:rPr>
          <w:rFonts w:ascii="Arial" w:eastAsia="Calibri" w:hAnsi="Arial" w:cs="Arial"/>
          <w:sz w:val="20"/>
          <w:szCs w:val="20"/>
        </w:rPr>
        <w:t xml:space="preserve">osnovnom računu </w:t>
      </w:r>
      <w:r w:rsidRPr="00F141A2">
        <w:rPr>
          <w:rFonts w:ascii="Arial" w:eastAsia="Calibri" w:hAnsi="Arial" w:cs="Arial"/>
          <w:b/>
          <w:bCs/>
          <w:sz w:val="20"/>
          <w:szCs w:val="20"/>
          <w:u w:val="single"/>
        </w:rPr>
        <w:t>6</w:t>
      </w:r>
      <w:r>
        <w:rPr>
          <w:rFonts w:ascii="Arial" w:eastAsia="Calibri" w:hAnsi="Arial" w:cs="Arial"/>
          <w:b/>
          <w:bCs/>
          <w:sz w:val="20"/>
          <w:szCs w:val="20"/>
          <w:u w:val="single"/>
        </w:rPr>
        <w:t>6313</w:t>
      </w:r>
      <w:r w:rsidRPr="00F141A2">
        <w:rPr>
          <w:rFonts w:ascii="Arial" w:eastAsia="Calibri" w:hAnsi="Arial" w:cs="Arial"/>
          <w:sz w:val="20"/>
          <w:szCs w:val="20"/>
        </w:rPr>
        <w:t xml:space="preserve"> u iznosu </w:t>
      </w:r>
      <w:r>
        <w:rPr>
          <w:rFonts w:ascii="Arial" w:eastAsia="Calibri" w:hAnsi="Arial" w:cs="Arial"/>
          <w:sz w:val="20"/>
          <w:szCs w:val="20"/>
        </w:rPr>
        <w:t>40.868,78</w:t>
      </w:r>
      <w:r w:rsidRPr="00F141A2">
        <w:rPr>
          <w:rFonts w:ascii="Arial" w:eastAsia="Calibri" w:hAnsi="Arial" w:cs="Arial"/>
          <w:sz w:val="20"/>
          <w:szCs w:val="20"/>
        </w:rPr>
        <w:t xml:space="preserve"> €</w:t>
      </w:r>
    </w:p>
    <w:p w14:paraId="605FD64B" w14:textId="5F5C178A" w:rsidR="00F141A2" w:rsidRPr="00F141A2" w:rsidRDefault="00F141A2">
      <w:pPr>
        <w:numPr>
          <w:ilvl w:val="0"/>
          <w:numId w:val="59"/>
        </w:numPr>
        <w:spacing w:after="0" w:line="240" w:lineRule="auto"/>
        <w:jc w:val="both"/>
        <w:rPr>
          <w:rFonts w:ascii="Arial" w:eastAsia="Calibri" w:hAnsi="Arial" w:cs="Arial"/>
          <w:bCs/>
          <w:sz w:val="20"/>
          <w:szCs w:val="20"/>
        </w:rPr>
      </w:pPr>
      <w:r w:rsidRPr="00F141A2">
        <w:rPr>
          <w:rFonts w:ascii="Arial" w:eastAsia="Calibri" w:hAnsi="Arial" w:cs="Arial"/>
          <w:sz w:val="20"/>
          <w:szCs w:val="20"/>
        </w:rPr>
        <w:t xml:space="preserve">osnovnom računu </w:t>
      </w:r>
      <w:r w:rsidRPr="00F141A2">
        <w:rPr>
          <w:rFonts w:ascii="Arial" w:eastAsia="Calibri" w:hAnsi="Arial" w:cs="Arial"/>
          <w:b/>
          <w:bCs/>
          <w:sz w:val="20"/>
          <w:szCs w:val="20"/>
          <w:u w:val="single"/>
        </w:rPr>
        <w:t>6</w:t>
      </w:r>
      <w:r>
        <w:rPr>
          <w:rFonts w:ascii="Arial" w:eastAsia="Calibri" w:hAnsi="Arial" w:cs="Arial"/>
          <w:b/>
          <w:bCs/>
          <w:sz w:val="20"/>
          <w:szCs w:val="20"/>
          <w:u w:val="single"/>
        </w:rPr>
        <w:t>6323</w:t>
      </w:r>
      <w:r w:rsidRPr="00F141A2">
        <w:rPr>
          <w:rFonts w:ascii="Arial" w:eastAsia="Calibri" w:hAnsi="Arial" w:cs="Arial"/>
          <w:sz w:val="20"/>
          <w:szCs w:val="20"/>
        </w:rPr>
        <w:t xml:space="preserve"> u iznosu </w:t>
      </w:r>
      <w:r>
        <w:rPr>
          <w:rFonts w:ascii="Arial" w:eastAsia="Calibri" w:hAnsi="Arial" w:cs="Arial"/>
          <w:sz w:val="20"/>
          <w:szCs w:val="20"/>
        </w:rPr>
        <w:t>322.534,74</w:t>
      </w:r>
      <w:r w:rsidRPr="00F141A2">
        <w:rPr>
          <w:rFonts w:ascii="Arial" w:eastAsia="Calibri" w:hAnsi="Arial" w:cs="Arial"/>
          <w:sz w:val="20"/>
          <w:szCs w:val="20"/>
        </w:rPr>
        <w:t xml:space="preserve"> </w:t>
      </w:r>
      <w:r>
        <w:rPr>
          <w:rFonts w:ascii="Arial" w:eastAsia="Calibri" w:hAnsi="Arial" w:cs="Arial"/>
          <w:sz w:val="20"/>
          <w:szCs w:val="20"/>
        </w:rPr>
        <w:t>€.</w:t>
      </w:r>
      <w:r w:rsidRPr="00F141A2">
        <w:rPr>
          <w:rFonts w:ascii="Arial" w:eastAsia="Calibri" w:hAnsi="Arial" w:cs="Arial"/>
          <w:bCs/>
          <w:sz w:val="20"/>
          <w:szCs w:val="20"/>
        </w:rPr>
        <w:t xml:space="preserve"> </w:t>
      </w:r>
    </w:p>
    <w:p w14:paraId="2827E093" w14:textId="77777777" w:rsidR="00F141A2" w:rsidRDefault="00F141A2" w:rsidP="00A80DBE">
      <w:pPr>
        <w:spacing w:after="0" w:line="240" w:lineRule="auto"/>
        <w:jc w:val="both"/>
        <w:rPr>
          <w:rFonts w:ascii="Arial" w:eastAsia="Calibri" w:hAnsi="Arial" w:cs="Arial"/>
          <w:sz w:val="20"/>
          <w:szCs w:val="20"/>
        </w:rPr>
      </w:pPr>
    </w:p>
    <w:p w14:paraId="3938F754" w14:textId="77777777" w:rsidR="00F141A2" w:rsidRDefault="00F141A2" w:rsidP="00A80DBE">
      <w:pPr>
        <w:spacing w:after="0" w:line="240" w:lineRule="auto"/>
        <w:jc w:val="both"/>
        <w:rPr>
          <w:rFonts w:ascii="Arial" w:eastAsia="Calibri" w:hAnsi="Arial" w:cs="Arial"/>
          <w:sz w:val="20"/>
          <w:szCs w:val="20"/>
        </w:rPr>
      </w:pPr>
    </w:p>
    <w:p w14:paraId="6AF34570" w14:textId="3D74BEB8" w:rsidR="00A80DBE" w:rsidRPr="00A80DBE" w:rsidRDefault="00703E28" w:rsidP="00A80DBE">
      <w:pPr>
        <w:spacing w:after="0" w:line="240" w:lineRule="auto"/>
        <w:jc w:val="both"/>
        <w:rPr>
          <w:rFonts w:ascii="Arial" w:eastAsia="Calibri" w:hAnsi="Arial" w:cs="Arial"/>
          <w:bCs/>
          <w:sz w:val="20"/>
          <w:szCs w:val="20"/>
        </w:rPr>
      </w:pPr>
      <w:r>
        <w:rPr>
          <w:rFonts w:ascii="Arial" w:eastAsia="Calibri" w:hAnsi="Arial" w:cs="Arial"/>
          <w:b/>
          <w:sz w:val="20"/>
          <w:szCs w:val="20"/>
        </w:rPr>
        <w:t>E</w:t>
      </w:r>
      <w:r w:rsidR="00A80DBE" w:rsidRPr="00A80DBE">
        <w:rPr>
          <w:rFonts w:ascii="Arial" w:eastAsia="Calibri" w:hAnsi="Arial" w:cs="Arial"/>
          <w:b/>
          <w:sz w:val="20"/>
          <w:szCs w:val="20"/>
        </w:rPr>
        <w:t xml:space="preserve">.1) </w:t>
      </w:r>
      <w:r w:rsidR="00A80DBE" w:rsidRPr="00A80DBE">
        <w:rPr>
          <w:rFonts w:ascii="Arial" w:eastAsia="Calibri" w:hAnsi="Arial" w:cs="Arial"/>
          <w:b/>
          <w:sz w:val="20"/>
          <w:szCs w:val="20"/>
        </w:rPr>
        <w:tab/>
        <w:t>„</w:t>
      </w:r>
      <w:r w:rsidR="000327A6">
        <w:rPr>
          <w:rFonts w:ascii="Arial" w:eastAsia="Calibri" w:hAnsi="Arial" w:cs="Arial"/>
          <w:b/>
          <w:sz w:val="20"/>
          <w:szCs w:val="20"/>
        </w:rPr>
        <w:t>CROSSMART</w:t>
      </w:r>
      <w:r w:rsidR="00A80DBE" w:rsidRPr="00A80DBE">
        <w:rPr>
          <w:rFonts w:ascii="Arial" w:eastAsia="Calibri" w:hAnsi="Arial" w:cs="Arial"/>
          <w:b/>
          <w:sz w:val="20"/>
          <w:szCs w:val="20"/>
        </w:rPr>
        <w:t xml:space="preserve">“ – </w:t>
      </w:r>
      <w:r w:rsidR="00A80DBE" w:rsidRPr="00A80DBE">
        <w:rPr>
          <w:rFonts w:ascii="Arial" w:eastAsia="Calibri" w:hAnsi="Arial" w:cs="Arial"/>
          <w:bCs/>
          <w:sz w:val="20"/>
          <w:szCs w:val="20"/>
        </w:rPr>
        <w:t xml:space="preserve">maksimalna vrijednost projekta </w:t>
      </w:r>
      <w:r w:rsidR="000327A6">
        <w:rPr>
          <w:rFonts w:ascii="Arial" w:eastAsia="Calibri" w:hAnsi="Arial" w:cs="Arial"/>
          <w:bCs/>
          <w:sz w:val="20"/>
          <w:szCs w:val="20"/>
        </w:rPr>
        <w:t>507.780,00</w:t>
      </w:r>
      <w:r w:rsidR="00A80DBE" w:rsidRPr="00A80DBE">
        <w:rPr>
          <w:rFonts w:ascii="Arial" w:eastAsia="Calibri" w:hAnsi="Arial" w:cs="Arial"/>
          <w:bCs/>
          <w:sz w:val="20"/>
          <w:szCs w:val="20"/>
        </w:rPr>
        <w:t xml:space="preserve"> €, od čega </w:t>
      </w:r>
      <w:r w:rsidR="00A80DBE" w:rsidRPr="00A27770">
        <w:rPr>
          <w:rFonts w:ascii="Arial" w:eastAsia="Calibri" w:hAnsi="Arial" w:cs="Arial"/>
          <w:b/>
          <w:sz w:val="20"/>
          <w:szCs w:val="20"/>
        </w:rPr>
        <w:t xml:space="preserve">očekivana vrijednost sufinanciranja EU iznosi 85% odnosno </w:t>
      </w:r>
      <w:r w:rsidR="000327A6" w:rsidRPr="00A27770">
        <w:rPr>
          <w:rFonts w:ascii="Arial" w:eastAsia="Calibri" w:hAnsi="Arial" w:cs="Arial"/>
          <w:b/>
          <w:sz w:val="20"/>
          <w:szCs w:val="20"/>
        </w:rPr>
        <w:t>431.613,00</w:t>
      </w:r>
      <w:r w:rsidR="00A80DBE" w:rsidRPr="00A27770">
        <w:rPr>
          <w:rFonts w:ascii="Arial" w:eastAsia="Calibri" w:hAnsi="Arial" w:cs="Arial"/>
          <w:b/>
          <w:sz w:val="20"/>
          <w:szCs w:val="20"/>
        </w:rPr>
        <w:t xml:space="preserve"> €.</w:t>
      </w:r>
    </w:p>
    <w:p w14:paraId="11BBCF7A" w14:textId="77777777" w:rsidR="00A80DBE" w:rsidRPr="00A80DBE" w:rsidRDefault="00A80DBE" w:rsidP="00A80DBE">
      <w:pPr>
        <w:spacing w:after="0" w:line="240" w:lineRule="auto"/>
        <w:jc w:val="both"/>
        <w:rPr>
          <w:rFonts w:ascii="Arial" w:eastAsia="Calibri" w:hAnsi="Arial" w:cs="Arial"/>
          <w:bCs/>
          <w:sz w:val="20"/>
          <w:szCs w:val="20"/>
        </w:rPr>
      </w:pPr>
    </w:p>
    <w:p w14:paraId="1D40E3EB" w14:textId="77777777" w:rsidR="000327A6" w:rsidRPr="000327A6" w:rsidRDefault="000327A6" w:rsidP="000327A6">
      <w:pPr>
        <w:autoSpaceDE w:val="0"/>
        <w:autoSpaceDN w:val="0"/>
        <w:adjustRightInd w:val="0"/>
        <w:spacing w:after="0" w:line="240" w:lineRule="auto"/>
        <w:jc w:val="both"/>
        <w:rPr>
          <w:rFonts w:ascii="Arial" w:hAnsi="Arial" w:cs="Arial"/>
          <w:sz w:val="20"/>
          <w:szCs w:val="20"/>
        </w:rPr>
      </w:pPr>
      <w:r w:rsidRPr="000327A6">
        <w:rPr>
          <w:rFonts w:ascii="Arial" w:hAnsi="Arial" w:cs="Arial"/>
          <w:b/>
          <w:bCs/>
          <w:sz w:val="20"/>
          <w:szCs w:val="20"/>
        </w:rPr>
        <w:t>Naziv projekta</w:t>
      </w:r>
      <w:r w:rsidRPr="000327A6">
        <w:rPr>
          <w:rFonts w:ascii="Arial" w:hAnsi="Arial" w:cs="Arial"/>
          <w:sz w:val="20"/>
          <w:szCs w:val="20"/>
        </w:rPr>
        <w:t>: CROSSMART – Prekogranična razvojna platforma za pametnu i preciznu poljoprivredu i unapređenje poduzetništva u poljoprivredi</w:t>
      </w:r>
    </w:p>
    <w:p w14:paraId="5478D7E6" w14:textId="77777777" w:rsidR="000327A6" w:rsidRPr="000327A6" w:rsidRDefault="000327A6" w:rsidP="000327A6">
      <w:pPr>
        <w:autoSpaceDE w:val="0"/>
        <w:autoSpaceDN w:val="0"/>
        <w:adjustRightInd w:val="0"/>
        <w:spacing w:after="0" w:line="240" w:lineRule="auto"/>
        <w:jc w:val="both"/>
        <w:rPr>
          <w:rFonts w:ascii="Arial" w:hAnsi="Arial" w:cs="Arial"/>
          <w:sz w:val="20"/>
          <w:szCs w:val="20"/>
        </w:rPr>
      </w:pPr>
      <w:r w:rsidRPr="000327A6">
        <w:rPr>
          <w:rFonts w:ascii="Arial" w:hAnsi="Arial" w:cs="Arial"/>
          <w:b/>
          <w:bCs/>
          <w:sz w:val="20"/>
          <w:szCs w:val="20"/>
        </w:rPr>
        <w:t>Glavni cilj projekta</w:t>
      </w:r>
      <w:r w:rsidRPr="000327A6">
        <w:rPr>
          <w:rFonts w:ascii="Arial" w:hAnsi="Arial" w:cs="Arial"/>
          <w:sz w:val="20"/>
          <w:szCs w:val="20"/>
        </w:rPr>
        <w:t>: Razviti i poboljšati inovacijske kapacitete poduzetnika u poljoprivredi te unaprijediti njihov pristup naprednim tehnologijama kroz uspostavu CROSSMART platforme koja će omogućiti razmjenu znanja i primjenu rješenja u preciznoj i pametnoj poljoprivredi.</w:t>
      </w:r>
    </w:p>
    <w:p w14:paraId="02FED5F5" w14:textId="77777777" w:rsidR="000327A6" w:rsidRPr="000327A6" w:rsidRDefault="000327A6" w:rsidP="000327A6">
      <w:pPr>
        <w:autoSpaceDE w:val="0"/>
        <w:autoSpaceDN w:val="0"/>
        <w:adjustRightInd w:val="0"/>
        <w:spacing w:after="0" w:line="240" w:lineRule="auto"/>
        <w:jc w:val="both"/>
        <w:rPr>
          <w:rFonts w:ascii="Arial" w:hAnsi="Arial" w:cs="Arial"/>
          <w:sz w:val="20"/>
          <w:szCs w:val="20"/>
        </w:rPr>
      </w:pPr>
      <w:r w:rsidRPr="000327A6">
        <w:rPr>
          <w:rFonts w:ascii="Arial" w:hAnsi="Arial" w:cs="Arial"/>
          <w:b/>
          <w:bCs/>
          <w:sz w:val="20"/>
          <w:szCs w:val="20"/>
        </w:rPr>
        <w:t>Prioritetna os programa</w:t>
      </w:r>
      <w:r w:rsidRPr="000327A6">
        <w:rPr>
          <w:rFonts w:ascii="Arial" w:hAnsi="Arial" w:cs="Arial"/>
          <w:sz w:val="20"/>
          <w:szCs w:val="20"/>
        </w:rPr>
        <w:t>: Pametne investicije u istraživanje, inovacije i konkurentno poduzetništvo</w:t>
      </w:r>
    </w:p>
    <w:p w14:paraId="2896CA78" w14:textId="7B505D3D" w:rsidR="000327A6" w:rsidRPr="000327A6" w:rsidRDefault="000327A6" w:rsidP="000327A6">
      <w:pPr>
        <w:autoSpaceDE w:val="0"/>
        <w:autoSpaceDN w:val="0"/>
        <w:adjustRightInd w:val="0"/>
        <w:spacing w:after="0" w:line="240" w:lineRule="auto"/>
        <w:jc w:val="both"/>
        <w:rPr>
          <w:rFonts w:ascii="Arial" w:hAnsi="Arial" w:cs="Arial"/>
          <w:sz w:val="20"/>
          <w:szCs w:val="20"/>
        </w:rPr>
      </w:pPr>
      <w:r w:rsidRPr="000327A6">
        <w:rPr>
          <w:rFonts w:ascii="Arial" w:hAnsi="Arial" w:cs="Arial"/>
          <w:b/>
          <w:bCs/>
          <w:sz w:val="20"/>
          <w:szCs w:val="20"/>
        </w:rPr>
        <w:t>Opis projekta</w:t>
      </w:r>
      <w:r w:rsidRPr="000327A6">
        <w:rPr>
          <w:rFonts w:ascii="Arial" w:hAnsi="Arial" w:cs="Arial"/>
          <w:sz w:val="20"/>
          <w:szCs w:val="20"/>
        </w:rPr>
        <w:t>:</w:t>
      </w:r>
      <w:r>
        <w:rPr>
          <w:rFonts w:ascii="Arial" w:hAnsi="Arial" w:cs="Arial"/>
          <w:sz w:val="20"/>
          <w:szCs w:val="20"/>
        </w:rPr>
        <w:t xml:space="preserve"> </w:t>
      </w:r>
      <w:r w:rsidRPr="000327A6">
        <w:rPr>
          <w:rFonts w:ascii="Arial" w:hAnsi="Arial" w:cs="Arial"/>
          <w:sz w:val="20"/>
          <w:szCs w:val="20"/>
        </w:rPr>
        <w:t>Projekt CROSSMART fokusira se na zajedničke izazove u ruralnim područjima kao što su slaba suradnja između javnih institucija, akademske zajednice i poduzetnika u poljoprivredi, nedovoljna upotreba naprednih tehnologija te otpor prema inovacijama. Kroz uspostavu CROSSMART platforme, projekt će omogućiti poduzetnicima u poljoprivredi pristup treninzima, individualnom savjetovanju i zajedničkim pilot akcijama koje će olakšati testiranje i razvoj novih tehnologija.</w:t>
      </w:r>
    </w:p>
    <w:p w14:paraId="3BE22646" w14:textId="77777777" w:rsidR="000327A6" w:rsidRPr="000327A6" w:rsidRDefault="000327A6" w:rsidP="000327A6">
      <w:pPr>
        <w:autoSpaceDE w:val="0"/>
        <w:autoSpaceDN w:val="0"/>
        <w:adjustRightInd w:val="0"/>
        <w:spacing w:after="0" w:line="240" w:lineRule="auto"/>
        <w:jc w:val="both"/>
        <w:rPr>
          <w:rFonts w:ascii="Arial" w:hAnsi="Arial" w:cs="Arial"/>
          <w:sz w:val="20"/>
          <w:szCs w:val="20"/>
        </w:rPr>
      </w:pPr>
    </w:p>
    <w:p w14:paraId="6DE32C9C" w14:textId="77777777" w:rsidR="000327A6" w:rsidRPr="000327A6" w:rsidRDefault="000327A6" w:rsidP="000327A6">
      <w:pPr>
        <w:autoSpaceDE w:val="0"/>
        <w:autoSpaceDN w:val="0"/>
        <w:adjustRightInd w:val="0"/>
        <w:spacing w:after="0" w:line="240" w:lineRule="auto"/>
        <w:jc w:val="both"/>
        <w:rPr>
          <w:rFonts w:ascii="Arial" w:hAnsi="Arial" w:cs="Arial"/>
          <w:sz w:val="20"/>
          <w:szCs w:val="20"/>
        </w:rPr>
      </w:pPr>
      <w:r w:rsidRPr="000327A6">
        <w:rPr>
          <w:rFonts w:ascii="Arial" w:hAnsi="Arial" w:cs="Arial"/>
          <w:sz w:val="20"/>
          <w:szCs w:val="20"/>
        </w:rPr>
        <w:t>U okviru projekta, planira se razvoj softverskog rješenja za upravljanje te uspostava laboratorija za analizu vina i maslinova ulja na području Općine Konavle. Aktivnosti će uključivati 16 edukativnih programa za poduzetnike u poljoprivredi i pet studijskih posjeta radi razmjene znanja, a rezultati će imati direktne koristi za poduzetnike i široku javnost.</w:t>
      </w:r>
    </w:p>
    <w:p w14:paraId="6E0E13D4" w14:textId="4A24145C" w:rsidR="000327A6" w:rsidRPr="000327A6" w:rsidRDefault="000327A6" w:rsidP="000327A6">
      <w:pPr>
        <w:autoSpaceDE w:val="0"/>
        <w:autoSpaceDN w:val="0"/>
        <w:adjustRightInd w:val="0"/>
        <w:spacing w:after="0" w:line="240" w:lineRule="auto"/>
        <w:jc w:val="both"/>
        <w:rPr>
          <w:rFonts w:ascii="Arial" w:hAnsi="Arial" w:cs="Arial"/>
          <w:sz w:val="20"/>
          <w:szCs w:val="20"/>
        </w:rPr>
      </w:pPr>
      <w:r w:rsidRPr="000327A6">
        <w:rPr>
          <w:rFonts w:ascii="Arial" w:hAnsi="Arial" w:cs="Arial"/>
          <w:b/>
          <w:bCs/>
          <w:sz w:val="20"/>
          <w:szCs w:val="20"/>
        </w:rPr>
        <w:t>Projektno partnerstvo</w:t>
      </w:r>
      <w:r w:rsidRPr="000327A6">
        <w:rPr>
          <w:rFonts w:ascii="Arial" w:hAnsi="Arial" w:cs="Arial"/>
          <w:sz w:val="20"/>
          <w:szCs w:val="20"/>
        </w:rPr>
        <w:t>:</w:t>
      </w:r>
      <w:r w:rsidR="003E4CBA">
        <w:rPr>
          <w:rFonts w:ascii="Arial" w:hAnsi="Arial" w:cs="Arial"/>
          <w:sz w:val="20"/>
          <w:szCs w:val="20"/>
        </w:rPr>
        <w:t xml:space="preserve"> </w:t>
      </w:r>
      <w:r w:rsidRPr="000327A6">
        <w:rPr>
          <w:rFonts w:ascii="Arial" w:hAnsi="Arial" w:cs="Arial"/>
          <w:sz w:val="20"/>
          <w:szCs w:val="20"/>
        </w:rPr>
        <w:t>Projekt uključuje šest partnera: Centar za poduzetništvo d.o.o. (vodeći partner), Općina Konavle, Ured za europske integracije Srednjebosanskog kantona, Općina Tuzi, Sveučilište u Zagrebu, Agronomski fakultet i Asocijacija za ekonomski razvoj REDAH. Cilj partnerstva je ostvarenje sinergije kroz zajedničke aktivnosti, razmjenu iskustava i zajednički rad na rješavanju zajedničkih izazova u poljoprivredi.</w:t>
      </w:r>
    </w:p>
    <w:p w14:paraId="2D1B90A5" w14:textId="77777777" w:rsidR="000327A6" w:rsidRPr="000327A6" w:rsidRDefault="000327A6" w:rsidP="000327A6">
      <w:pPr>
        <w:autoSpaceDE w:val="0"/>
        <w:autoSpaceDN w:val="0"/>
        <w:adjustRightInd w:val="0"/>
        <w:spacing w:after="0" w:line="240" w:lineRule="auto"/>
        <w:jc w:val="both"/>
        <w:rPr>
          <w:rFonts w:ascii="Arial" w:hAnsi="Arial" w:cs="Arial"/>
          <w:sz w:val="20"/>
          <w:szCs w:val="20"/>
        </w:rPr>
      </w:pPr>
    </w:p>
    <w:p w14:paraId="27063DFE" w14:textId="750F7921" w:rsidR="000327A6" w:rsidRPr="001D1CC8" w:rsidRDefault="000327A6" w:rsidP="000327A6">
      <w:pPr>
        <w:spacing w:after="0" w:line="240" w:lineRule="auto"/>
        <w:jc w:val="both"/>
        <w:rPr>
          <w:rFonts w:ascii="Arial" w:eastAsia="Calibri" w:hAnsi="Arial" w:cs="Arial"/>
          <w:bCs/>
          <w:sz w:val="20"/>
          <w:szCs w:val="20"/>
        </w:rPr>
      </w:pPr>
      <w:r w:rsidRPr="001D1CC8">
        <w:rPr>
          <w:rFonts w:ascii="Arial" w:eastAsia="Calibri" w:hAnsi="Arial" w:cs="Arial"/>
          <w:bCs/>
          <w:sz w:val="20"/>
          <w:szCs w:val="20"/>
        </w:rPr>
        <w:t xml:space="preserve">Ugovor s partnerima je zaključen u </w:t>
      </w:r>
      <w:r>
        <w:rPr>
          <w:rFonts w:ascii="Arial" w:eastAsia="Calibri" w:hAnsi="Arial" w:cs="Arial"/>
          <w:bCs/>
          <w:sz w:val="20"/>
          <w:szCs w:val="20"/>
        </w:rPr>
        <w:t>listopadu</w:t>
      </w:r>
      <w:r w:rsidRPr="001D1CC8">
        <w:rPr>
          <w:rFonts w:ascii="Arial" w:eastAsia="Calibri" w:hAnsi="Arial" w:cs="Arial"/>
          <w:bCs/>
          <w:sz w:val="20"/>
          <w:szCs w:val="20"/>
        </w:rPr>
        <w:t xml:space="preserve"> 2024. godine. Trajanje provedbe projekta je </w:t>
      </w:r>
      <w:r w:rsidRPr="000327A6">
        <w:rPr>
          <w:rFonts w:ascii="Arial" w:eastAsia="Calibri" w:hAnsi="Arial" w:cs="Arial"/>
          <w:bCs/>
          <w:sz w:val="20"/>
          <w:szCs w:val="20"/>
        </w:rPr>
        <w:t>30 mjeseci (1. rujna 2024. do 28. veljače 2027.)</w:t>
      </w:r>
      <w:r w:rsidRPr="001D1CC8">
        <w:rPr>
          <w:rFonts w:ascii="Arial" w:eastAsia="Calibri" w:hAnsi="Arial" w:cs="Arial"/>
          <w:bCs/>
          <w:sz w:val="20"/>
          <w:szCs w:val="20"/>
        </w:rPr>
        <w:t>.</w:t>
      </w:r>
    </w:p>
    <w:p w14:paraId="3584F30B" w14:textId="36779DD2" w:rsidR="000327A6" w:rsidRPr="001D1CC8" w:rsidRDefault="000327A6" w:rsidP="000327A6">
      <w:pPr>
        <w:spacing w:after="0" w:line="240" w:lineRule="auto"/>
        <w:jc w:val="both"/>
        <w:rPr>
          <w:rFonts w:ascii="Arial" w:eastAsia="Calibri" w:hAnsi="Arial" w:cs="Arial"/>
          <w:bCs/>
          <w:sz w:val="20"/>
          <w:szCs w:val="20"/>
        </w:rPr>
      </w:pPr>
      <w:r w:rsidRPr="00A27770">
        <w:rPr>
          <w:rFonts w:ascii="Arial" w:eastAsia="Calibri" w:hAnsi="Arial" w:cs="Arial"/>
          <w:b/>
          <w:sz w:val="20"/>
          <w:szCs w:val="20"/>
        </w:rPr>
        <w:t>Predujam</w:t>
      </w:r>
      <w:r w:rsidRPr="001D1CC8">
        <w:rPr>
          <w:rFonts w:ascii="Arial" w:eastAsia="Calibri" w:hAnsi="Arial" w:cs="Arial"/>
          <w:bCs/>
          <w:sz w:val="20"/>
          <w:szCs w:val="20"/>
        </w:rPr>
        <w:t xml:space="preserve"> za provedbu projekta za doznačen u </w:t>
      </w:r>
      <w:r>
        <w:rPr>
          <w:rFonts w:ascii="Arial" w:eastAsia="Calibri" w:hAnsi="Arial" w:cs="Arial"/>
          <w:bCs/>
          <w:sz w:val="20"/>
          <w:szCs w:val="20"/>
        </w:rPr>
        <w:t>studenome</w:t>
      </w:r>
      <w:r w:rsidRPr="001D1CC8">
        <w:rPr>
          <w:rFonts w:ascii="Arial" w:eastAsia="Calibri" w:hAnsi="Arial" w:cs="Arial"/>
          <w:bCs/>
          <w:sz w:val="20"/>
          <w:szCs w:val="20"/>
        </w:rPr>
        <w:t xml:space="preserve"> 2024. godine u iznosu </w:t>
      </w:r>
      <w:r w:rsidRPr="00A27770">
        <w:rPr>
          <w:rFonts w:ascii="Arial" w:eastAsia="Calibri" w:hAnsi="Arial" w:cs="Arial"/>
          <w:b/>
          <w:sz w:val="20"/>
          <w:szCs w:val="20"/>
        </w:rPr>
        <w:t>126.945 €</w:t>
      </w:r>
      <w:r w:rsidRPr="001D1CC8">
        <w:rPr>
          <w:rFonts w:ascii="Arial" w:eastAsia="Calibri" w:hAnsi="Arial" w:cs="Arial"/>
          <w:bCs/>
          <w:sz w:val="20"/>
          <w:szCs w:val="20"/>
        </w:rPr>
        <w:t xml:space="preserve">, od čega je evidentirano kao tekuća pomoć </w:t>
      </w:r>
      <w:r>
        <w:rPr>
          <w:rFonts w:ascii="Arial" w:eastAsia="Calibri" w:hAnsi="Arial" w:cs="Arial"/>
          <w:bCs/>
          <w:sz w:val="20"/>
          <w:szCs w:val="20"/>
        </w:rPr>
        <w:t>32</w:t>
      </w:r>
      <w:r w:rsidRPr="001D1CC8">
        <w:rPr>
          <w:rFonts w:ascii="Arial" w:eastAsia="Calibri" w:hAnsi="Arial" w:cs="Arial"/>
          <w:bCs/>
          <w:sz w:val="20"/>
          <w:szCs w:val="20"/>
        </w:rPr>
        <w:t xml:space="preserve">.000 €, a </w:t>
      </w:r>
      <w:r>
        <w:rPr>
          <w:rFonts w:ascii="Arial" w:eastAsia="Calibri" w:hAnsi="Arial" w:cs="Arial"/>
          <w:bCs/>
          <w:sz w:val="20"/>
          <w:szCs w:val="20"/>
        </w:rPr>
        <w:t>94.945</w:t>
      </w:r>
      <w:r w:rsidRPr="001D1CC8">
        <w:rPr>
          <w:rFonts w:ascii="Arial" w:eastAsia="Calibri" w:hAnsi="Arial" w:cs="Arial"/>
          <w:bCs/>
          <w:sz w:val="20"/>
          <w:szCs w:val="20"/>
        </w:rPr>
        <w:t xml:space="preserve"> € kao kapitalna pomoć.</w:t>
      </w:r>
      <w:r w:rsidRPr="001D1CC8">
        <w:rPr>
          <w:rFonts w:ascii="Arial" w:eastAsia="Calibri" w:hAnsi="Arial" w:cs="Arial"/>
          <w:sz w:val="20"/>
          <w:szCs w:val="20"/>
        </w:rPr>
        <w:t xml:space="preserve"> Podjela prihoda na tekuće i kapitalne je obavljena procjenom sukladno planiranim troškovima projekta.</w:t>
      </w:r>
    </w:p>
    <w:p w14:paraId="61D284F1" w14:textId="77777777" w:rsidR="000327A6" w:rsidRDefault="000327A6" w:rsidP="000327A6">
      <w:pPr>
        <w:autoSpaceDE w:val="0"/>
        <w:autoSpaceDN w:val="0"/>
        <w:adjustRightInd w:val="0"/>
        <w:spacing w:after="0" w:line="240" w:lineRule="auto"/>
        <w:jc w:val="both"/>
        <w:rPr>
          <w:rFonts w:ascii="Arial" w:hAnsi="Arial" w:cs="Arial"/>
          <w:sz w:val="20"/>
          <w:szCs w:val="20"/>
        </w:rPr>
      </w:pPr>
    </w:p>
    <w:p w14:paraId="0EE2E654" w14:textId="629B3E00" w:rsidR="00927568" w:rsidRPr="000327A6" w:rsidRDefault="00927568" w:rsidP="00927568">
      <w:pPr>
        <w:spacing w:after="0" w:line="240" w:lineRule="auto"/>
        <w:jc w:val="both"/>
        <w:rPr>
          <w:rFonts w:ascii="Arial" w:eastAsia="Calibri" w:hAnsi="Arial" w:cs="Arial"/>
          <w:bCs/>
          <w:sz w:val="20"/>
          <w:szCs w:val="20"/>
        </w:rPr>
      </w:pPr>
      <w:r w:rsidRPr="000327A6">
        <w:rPr>
          <w:rFonts w:ascii="Arial" w:eastAsia="Calibri" w:hAnsi="Arial" w:cs="Arial"/>
          <w:bCs/>
          <w:sz w:val="20"/>
          <w:szCs w:val="20"/>
        </w:rPr>
        <w:t>U 2024</w:t>
      </w:r>
      <w:r>
        <w:rPr>
          <w:rFonts w:ascii="Arial" w:eastAsia="Calibri" w:hAnsi="Arial" w:cs="Arial"/>
          <w:bCs/>
          <w:sz w:val="20"/>
          <w:szCs w:val="20"/>
        </w:rPr>
        <w:t>. godini iskazani su rashodi za provedbu projekta u iznosu 15.569,48 € (od čega iz tekućih sredstava EU 13.234,06, te iz općinskih sredstava 2.335,42 €).</w:t>
      </w:r>
    </w:p>
    <w:p w14:paraId="77FC5999" w14:textId="77777777" w:rsidR="000327A6" w:rsidRDefault="000327A6" w:rsidP="000327A6">
      <w:pPr>
        <w:autoSpaceDE w:val="0"/>
        <w:autoSpaceDN w:val="0"/>
        <w:adjustRightInd w:val="0"/>
        <w:spacing w:after="0" w:line="240" w:lineRule="auto"/>
        <w:jc w:val="both"/>
        <w:rPr>
          <w:rFonts w:ascii="Arial" w:hAnsi="Arial" w:cs="Arial"/>
          <w:sz w:val="20"/>
          <w:szCs w:val="20"/>
        </w:rPr>
      </w:pPr>
    </w:p>
    <w:p w14:paraId="6CA6CB79" w14:textId="3D72302B" w:rsidR="00DF6B2B" w:rsidRPr="000327A6" w:rsidRDefault="00DF6B2B" w:rsidP="00DF6B2B">
      <w:pPr>
        <w:spacing w:after="0" w:line="240" w:lineRule="auto"/>
        <w:jc w:val="both"/>
        <w:rPr>
          <w:rFonts w:ascii="Arial" w:eastAsia="Calibri" w:hAnsi="Arial" w:cs="Arial"/>
          <w:bCs/>
          <w:sz w:val="20"/>
          <w:szCs w:val="20"/>
        </w:rPr>
      </w:pPr>
      <w:r w:rsidRPr="000327A6">
        <w:rPr>
          <w:rFonts w:ascii="Arial" w:eastAsia="Calibri" w:hAnsi="Arial" w:cs="Arial"/>
          <w:bCs/>
          <w:sz w:val="20"/>
          <w:szCs w:val="20"/>
        </w:rPr>
        <w:t>U 202</w:t>
      </w:r>
      <w:r>
        <w:rPr>
          <w:rFonts w:ascii="Arial" w:eastAsia="Calibri" w:hAnsi="Arial" w:cs="Arial"/>
          <w:bCs/>
          <w:sz w:val="20"/>
          <w:szCs w:val="20"/>
        </w:rPr>
        <w:t xml:space="preserve">5. godini iskazani su rashodi za provedbu projekta u iznosu </w:t>
      </w:r>
      <w:r w:rsidR="004A5C68">
        <w:rPr>
          <w:rFonts w:ascii="Arial" w:eastAsia="Calibri" w:hAnsi="Arial" w:cs="Arial"/>
          <w:bCs/>
          <w:sz w:val="20"/>
          <w:szCs w:val="20"/>
        </w:rPr>
        <w:t>437.151,47</w:t>
      </w:r>
      <w:r>
        <w:rPr>
          <w:rFonts w:ascii="Arial" w:eastAsia="Calibri" w:hAnsi="Arial" w:cs="Arial"/>
          <w:bCs/>
          <w:sz w:val="20"/>
          <w:szCs w:val="20"/>
        </w:rPr>
        <w:t xml:space="preserve"> € (od čega iz sredstava EU </w:t>
      </w:r>
      <w:r w:rsidR="004A5C68">
        <w:rPr>
          <w:rFonts w:ascii="Arial" w:eastAsia="Calibri" w:hAnsi="Arial" w:cs="Arial"/>
          <w:bCs/>
          <w:sz w:val="20"/>
          <w:szCs w:val="20"/>
        </w:rPr>
        <w:t>367.323,24</w:t>
      </w:r>
      <w:r>
        <w:rPr>
          <w:rFonts w:ascii="Arial" w:eastAsia="Calibri" w:hAnsi="Arial" w:cs="Arial"/>
          <w:bCs/>
          <w:sz w:val="20"/>
          <w:szCs w:val="20"/>
        </w:rPr>
        <w:t xml:space="preserve"> €</w:t>
      </w:r>
      <w:r w:rsidR="004A5C68">
        <w:rPr>
          <w:rFonts w:ascii="Arial" w:eastAsia="Calibri" w:hAnsi="Arial" w:cs="Arial"/>
          <w:bCs/>
          <w:sz w:val="20"/>
          <w:szCs w:val="20"/>
        </w:rPr>
        <w:t>, ali doznačeno kao donacija od trgovačkog društva koji je nositelj projekta</w:t>
      </w:r>
      <w:r>
        <w:rPr>
          <w:rFonts w:ascii="Arial" w:eastAsia="Calibri" w:hAnsi="Arial" w:cs="Arial"/>
          <w:bCs/>
          <w:sz w:val="20"/>
          <w:szCs w:val="20"/>
        </w:rPr>
        <w:t xml:space="preserve">, te iz općinskih sredstava </w:t>
      </w:r>
      <w:r w:rsidR="004A5C68">
        <w:rPr>
          <w:rFonts w:ascii="Arial" w:eastAsia="Calibri" w:hAnsi="Arial" w:cs="Arial"/>
          <w:bCs/>
          <w:sz w:val="20"/>
          <w:szCs w:val="20"/>
        </w:rPr>
        <w:t>69.828,23</w:t>
      </w:r>
      <w:r>
        <w:rPr>
          <w:rFonts w:ascii="Arial" w:eastAsia="Calibri" w:hAnsi="Arial" w:cs="Arial"/>
          <w:bCs/>
          <w:sz w:val="20"/>
          <w:szCs w:val="20"/>
        </w:rPr>
        <w:t xml:space="preserve"> €).</w:t>
      </w:r>
    </w:p>
    <w:p w14:paraId="75057001" w14:textId="77777777" w:rsidR="00DF6B2B" w:rsidRDefault="00DF6B2B" w:rsidP="000327A6">
      <w:pPr>
        <w:autoSpaceDE w:val="0"/>
        <w:autoSpaceDN w:val="0"/>
        <w:adjustRightInd w:val="0"/>
        <w:spacing w:after="0" w:line="240" w:lineRule="auto"/>
        <w:jc w:val="both"/>
        <w:rPr>
          <w:rFonts w:ascii="Arial" w:hAnsi="Arial" w:cs="Arial"/>
          <w:sz w:val="20"/>
          <w:szCs w:val="20"/>
        </w:rPr>
      </w:pPr>
    </w:p>
    <w:p w14:paraId="2DD5BDD7" w14:textId="096EC058" w:rsidR="00703E28" w:rsidRDefault="004A5C68" w:rsidP="004A5C68">
      <w:pPr>
        <w:autoSpaceDE w:val="0"/>
        <w:autoSpaceDN w:val="0"/>
        <w:adjustRightInd w:val="0"/>
        <w:spacing w:after="0" w:line="240" w:lineRule="auto"/>
        <w:jc w:val="both"/>
        <w:rPr>
          <w:rFonts w:ascii="Arial" w:hAnsi="Arial" w:cs="Arial"/>
          <w:sz w:val="20"/>
          <w:szCs w:val="20"/>
        </w:rPr>
      </w:pPr>
      <w:r w:rsidRPr="004A5C68">
        <w:rPr>
          <w:rFonts w:ascii="Arial" w:hAnsi="Arial" w:cs="Arial"/>
          <w:sz w:val="20"/>
          <w:szCs w:val="20"/>
        </w:rPr>
        <w:t xml:space="preserve">U 2025. godini je obavljen ispravak rezultata za neutrošena sredstva koja su bila iskazana u višku prihoda početkom 2025. godine te evidentirane obveze za primljeni predujam. Ispravak rezultata je obavljen za projekt „To 0 waste“ u iznosu </w:t>
      </w:r>
      <w:r>
        <w:rPr>
          <w:rFonts w:ascii="Arial" w:hAnsi="Arial" w:cs="Arial"/>
          <w:sz w:val="20"/>
          <w:szCs w:val="20"/>
        </w:rPr>
        <w:t>113.710,94</w:t>
      </w:r>
      <w:r w:rsidRPr="004A5C68">
        <w:rPr>
          <w:rFonts w:ascii="Arial" w:hAnsi="Arial" w:cs="Arial"/>
          <w:sz w:val="20"/>
          <w:szCs w:val="20"/>
        </w:rPr>
        <w:t xml:space="preserve"> € (te bi prihodi za 2024. godinu za ovaj projekt iznosili </w:t>
      </w:r>
      <w:r>
        <w:rPr>
          <w:rFonts w:ascii="Arial" w:hAnsi="Arial" w:cs="Arial"/>
          <w:sz w:val="20"/>
          <w:szCs w:val="20"/>
        </w:rPr>
        <w:t>13.234,06</w:t>
      </w:r>
      <w:r w:rsidRPr="004A5C68">
        <w:rPr>
          <w:rFonts w:ascii="Arial" w:hAnsi="Arial" w:cs="Arial"/>
          <w:sz w:val="20"/>
          <w:szCs w:val="20"/>
        </w:rPr>
        <w:t xml:space="preserve"> € umjesto </w:t>
      </w:r>
      <w:r>
        <w:rPr>
          <w:rFonts w:ascii="Arial" w:hAnsi="Arial" w:cs="Arial"/>
          <w:sz w:val="20"/>
          <w:szCs w:val="20"/>
        </w:rPr>
        <w:t>126.945</w:t>
      </w:r>
      <w:r w:rsidRPr="004A5C68">
        <w:rPr>
          <w:rFonts w:ascii="Arial" w:hAnsi="Arial" w:cs="Arial"/>
          <w:sz w:val="20"/>
          <w:szCs w:val="20"/>
        </w:rPr>
        <w:t xml:space="preserve"> €). U 2025. godini su doznačena novčana sredstva u iznosu </w:t>
      </w:r>
      <w:r>
        <w:rPr>
          <w:rFonts w:ascii="Arial" w:hAnsi="Arial" w:cs="Arial"/>
          <w:sz w:val="20"/>
          <w:szCs w:val="20"/>
        </w:rPr>
        <w:t>249.692,58</w:t>
      </w:r>
      <w:r w:rsidRPr="004A5C68">
        <w:rPr>
          <w:rFonts w:ascii="Arial" w:hAnsi="Arial" w:cs="Arial"/>
          <w:sz w:val="20"/>
          <w:szCs w:val="20"/>
        </w:rPr>
        <w:t xml:space="preserve"> € (odobreni troškovi), a prihodi su iskazani u visini odobrenih troškova i raspoloživog predujma (</w:t>
      </w:r>
      <w:r>
        <w:rPr>
          <w:rFonts w:ascii="Arial" w:hAnsi="Arial" w:cs="Arial"/>
          <w:sz w:val="20"/>
          <w:szCs w:val="20"/>
        </w:rPr>
        <w:t>363.403,52</w:t>
      </w:r>
      <w:r w:rsidRPr="004A5C68">
        <w:rPr>
          <w:rFonts w:ascii="Arial" w:hAnsi="Arial" w:cs="Arial"/>
          <w:sz w:val="20"/>
          <w:szCs w:val="20"/>
        </w:rPr>
        <w:t xml:space="preserve"> €).</w:t>
      </w:r>
    </w:p>
    <w:p w14:paraId="74D2E5B7" w14:textId="77777777" w:rsidR="00703E28" w:rsidRDefault="00703E28" w:rsidP="0052045C">
      <w:pPr>
        <w:autoSpaceDE w:val="0"/>
        <w:autoSpaceDN w:val="0"/>
        <w:adjustRightInd w:val="0"/>
        <w:spacing w:after="0" w:line="240" w:lineRule="auto"/>
        <w:ind w:left="708"/>
        <w:jc w:val="both"/>
        <w:rPr>
          <w:rFonts w:ascii="Arial" w:hAnsi="Arial" w:cs="Arial"/>
          <w:sz w:val="20"/>
          <w:szCs w:val="20"/>
        </w:rPr>
      </w:pPr>
    </w:p>
    <w:p w14:paraId="3805EE54" w14:textId="77777777" w:rsidR="00703E28" w:rsidRDefault="00703E28" w:rsidP="0052045C">
      <w:pPr>
        <w:autoSpaceDE w:val="0"/>
        <w:autoSpaceDN w:val="0"/>
        <w:adjustRightInd w:val="0"/>
        <w:spacing w:after="0" w:line="240" w:lineRule="auto"/>
        <w:ind w:left="708"/>
        <w:jc w:val="both"/>
        <w:rPr>
          <w:rFonts w:ascii="Arial" w:hAnsi="Arial" w:cs="Arial"/>
          <w:sz w:val="20"/>
          <w:szCs w:val="20"/>
        </w:rPr>
      </w:pPr>
    </w:p>
    <w:p w14:paraId="298CA046" w14:textId="77777777" w:rsidR="00703E28" w:rsidRDefault="00703E28" w:rsidP="0052045C">
      <w:pPr>
        <w:autoSpaceDE w:val="0"/>
        <w:autoSpaceDN w:val="0"/>
        <w:adjustRightInd w:val="0"/>
        <w:spacing w:after="0" w:line="240" w:lineRule="auto"/>
        <w:ind w:left="708"/>
        <w:jc w:val="both"/>
        <w:rPr>
          <w:rFonts w:ascii="Arial" w:hAnsi="Arial" w:cs="Arial"/>
          <w:sz w:val="20"/>
          <w:szCs w:val="20"/>
        </w:rPr>
      </w:pPr>
    </w:p>
    <w:p w14:paraId="3AB7C73B" w14:textId="77777777" w:rsidR="00703E28" w:rsidRPr="003A2F86" w:rsidRDefault="00703E28" w:rsidP="0052045C">
      <w:pPr>
        <w:autoSpaceDE w:val="0"/>
        <w:autoSpaceDN w:val="0"/>
        <w:adjustRightInd w:val="0"/>
        <w:spacing w:after="0" w:line="240" w:lineRule="auto"/>
        <w:ind w:left="708"/>
        <w:jc w:val="both"/>
        <w:rPr>
          <w:rFonts w:ascii="Arial" w:hAnsi="Arial" w:cs="Arial"/>
          <w:sz w:val="20"/>
          <w:szCs w:val="20"/>
        </w:rPr>
      </w:pPr>
    </w:p>
    <w:p w14:paraId="0E0F7009" w14:textId="77777777" w:rsidR="00C47F03" w:rsidRPr="003A2F86" w:rsidRDefault="00C47F03" w:rsidP="0052045C">
      <w:pPr>
        <w:autoSpaceDE w:val="0"/>
        <w:autoSpaceDN w:val="0"/>
        <w:adjustRightInd w:val="0"/>
        <w:spacing w:after="0" w:line="240" w:lineRule="auto"/>
        <w:ind w:left="708"/>
        <w:jc w:val="both"/>
        <w:rPr>
          <w:rFonts w:ascii="Arial" w:hAnsi="Arial" w:cs="Arial"/>
          <w:sz w:val="20"/>
          <w:szCs w:val="20"/>
        </w:rPr>
      </w:pPr>
    </w:p>
    <w:p w14:paraId="5A3093A0" w14:textId="66929DE2" w:rsidR="0052045C" w:rsidRPr="003A2F86" w:rsidRDefault="0052045C" w:rsidP="007E796C">
      <w:pPr>
        <w:pStyle w:val="Opisslike"/>
      </w:pPr>
      <w:bookmarkStart w:id="719" w:name="_Toc232981553"/>
      <w:r w:rsidRPr="003A2F86">
        <w:rPr>
          <w:color w:val="FF0000"/>
        </w:rPr>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34</w:t>
      </w:r>
      <w:r w:rsidRPr="003A2F86">
        <w:rPr>
          <w:color w:val="FF0000"/>
        </w:rPr>
        <w:fldChar w:fldCharType="end"/>
      </w:r>
      <w:r w:rsidRPr="003A2F86">
        <w:rPr>
          <w:rFonts w:ascii="T3Font_4" w:hAnsi="T3Font_4" w:cs="T3Font_4"/>
          <w:color w:val="FF0000"/>
          <w:sz w:val="24"/>
        </w:rPr>
        <w:t>.</w:t>
      </w:r>
      <w:r w:rsidRPr="003A2F86">
        <w:rPr>
          <w:rFonts w:ascii="T3Font_4" w:hAnsi="T3Font_4" w:cs="T3Font_4"/>
          <w:sz w:val="24"/>
        </w:rPr>
        <w:t xml:space="preserve">: </w:t>
      </w:r>
      <w:r w:rsidRPr="003A2F86">
        <w:t>Pregled projekta sufinanciranih pomoćima EU, te uplate</w:t>
      </w:r>
      <w:r w:rsidR="00495844" w:rsidRPr="003A2F86">
        <w:t>, prihodi</w:t>
      </w:r>
      <w:r w:rsidRPr="003A2F86">
        <w:t xml:space="preserve"> i rashodi u 202</w:t>
      </w:r>
      <w:r w:rsidR="00DF6B2B">
        <w:t>5</w:t>
      </w:r>
      <w:r w:rsidRPr="003A2F86">
        <w:t>.</w:t>
      </w:r>
      <w:bookmarkEnd w:id="719"/>
    </w:p>
    <w:p w14:paraId="7DDF2EA3" w14:textId="77777777" w:rsidR="00495844" w:rsidRDefault="00495844" w:rsidP="007B6B39">
      <w:pPr>
        <w:autoSpaceDE w:val="0"/>
        <w:autoSpaceDN w:val="0"/>
        <w:adjustRightInd w:val="0"/>
        <w:spacing w:after="0" w:line="240" w:lineRule="auto"/>
        <w:jc w:val="center"/>
        <w:rPr>
          <w:noProof/>
        </w:rPr>
      </w:pPr>
    </w:p>
    <w:p w14:paraId="21CF42E2" w14:textId="6F43D21C" w:rsidR="00591459" w:rsidRDefault="00C66296" w:rsidP="007B6B39">
      <w:pPr>
        <w:autoSpaceDE w:val="0"/>
        <w:autoSpaceDN w:val="0"/>
        <w:adjustRightInd w:val="0"/>
        <w:spacing w:after="0" w:line="240" w:lineRule="auto"/>
        <w:jc w:val="center"/>
        <w:rPr>
          <w:noProof/>
        </w:rPr>
      </w:pPr>
      <w:r w:rsidRPr="00C66296">
        <w:rPr>
          <w:noProof/>
        </w:rPr>
        <w:drawing>
          <wp:inline distT="0" distB="0" distL="0" distR="0" wp14:anchorId="104CF1E2" wp14:editId="2161832F">
            <wp:extent cx="9251950" cy="3703955"/>
            <wp:effectExtent l="0" t="0" r="6350" b="0"/>
            <wp:docPr id="95508748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9251950" cy="3703955"/>
                    </a:xfrm>
                    <a:prstGeom prst="rect">
                      <a:avLst/>
                    </a:prstGeom>
                    <a:noFill/>
                    <a:ln>
                      <a:noFill/>
                    </a:ln>
                  </pic:spPr>
                </pic:pic>
              </a:graphicData>
            </a:graphic>
          </wp:inline>
        </w:drawing>
      </w:r>
    </w:p>
    <w:p w14:paraId="35BA33E4" w14:textId="1D5671C6" w:rsidR="00591459" w:rsidRPr="003A2F86" w:rsidRDefault="00591459" w:rsidP="007B6B39">
      <w:pPr>
        <w:autoSpaceDE w:val="0"/>
        <w:autoSpaceDN w:val="0"/>
        <w:adjustRightInd w:val="0"/>
        <w:spacing w:after="0" w:line="240" w:lineRule="auto"/>
        <w:jc w:val="center"/>
        <w:rPr>
          <w:noProof/>
        </w:rPr>
      </w:pPr>
    </w:p>
    <w:p w14:paraId="1DCA83DB" w14:textId="34B996E9" w:rsidR="00B32353" w:rsidRDefault="00B32353" w:rsidP="007B6B39">
      <w:pPr>
        <w:autoSpaceDE w:val="0"/>
        <w:autoSpaceDN w:val="0"/>
        <w:adjustRightInd w:val="0"/>
        <w:spacing w:after="0" w:line="240" w:lineRule="auto"/>
        <w:jc w:val="center"/>
        <w:rPr>
          <w:noProof/>
        </w:rPr>
      </w:pPr>
    </w:p>
    <w:p w14:paraId="04D0CABB" w14:textId="18578343" w:rsidR="00A75D42" w:rsidRDefault="00A75D42" w:rsidP="007B6B39">
      <w:pPr>
        <w:autoSpaceDE w:val="0"/>
        <w:autoSpaceDN w:val="0"/>
        <w:adjustRightInd w:val="0"/>
        <w:spacing w:after="0" w:line="240" w:lineRule="auto"/>
        <w:jc w:val="center"/>
        <w:rPr>
          <w:noProof/>
        </w:rPr>
      </w:pPr>
    </w:p>
    <w:p w14:paraId="4816D143" w14:textId="77777777" w:rsidR="00A75D42" w:rsidRDefault="00A75D42" w:rsidP="007B6B39">
      <w:pPr>
        <w:autoSpaceDE w:val="0"/>
        <w:autoSpaceDN w:val="0"/>
        <w:adjustRightInd w:val="0"/>
        <w:spacing w:after="0" w:line="240" w:lineRule="auto"/>
        <w:jc w:val="center"/>
        <w:rPr>
          <w:noProof/>
        </w:rPr>
      </w:pPr>
    </w:p>
    <w:p w14:paraId="34347167" w14:textId="77777777" w:rsidR="00A65163" w:rsidRDefault="00A65163" w:rsidP="007B6B39">
      <w:pPr>
        <w:autoSpaceDE w:val="0"/>
        <w:autoSpaceDN w:val="0"/>
        <w:adjustRightInd w:val="0"/>
        <w:spacing w:after="0" w:line="240" w:lineRule="auto"/>
        <w:jc w:val="center"/>
        <w:rPr>
          <w:noProof/>
        </w:rPr>
      </w:pPr>
    </w:p>
    <w:p w14:paraId="6AF214B5" w14:textId="77777777" w:rsidR="00A65163" w:rsidRDefault="00A65163" w:rsidP="007B6B39">
      <w:pPr>
        <w:autoSpaceDE w:val="0"/>
        <w:autoSpaceDN w:val="0"/>
        <w:adjustRightInd w:val="0"/>
        <w:spacing w:after="0" w:line="240" w:lineRule="auto"/>
        <w:jc w:val="center"/>
        <w:rPr>
          <w:noProof/>
        </w:rPr>
      </w:pPr>
    </w:p>
    <w:p w14:paraId="17BB50D4" w14:textId="77777777" w:rsidR="00A65163" w:rsidRDefault="00A65163" w:rsidP="007B6B39">
      <w:pPr>
        <w:autoSpaceDE w:val="0"/>
        <w:autoSpaceDN w:val="0"/>
        <w:adjustRightInd w:val="0"/>
        <w:spacing w:after="0" w:line="240" w:lineRule="auto"/>
        <w:jc w:val="center"/>
        <w:rPr>
          <w:noProof/>
        </w:rPr>
      </w:pPr>
    </w:p>
    <w:p w14:paraId="0D3C7C36" w14:textId="77777777" w:rsidR="00A65163" w:rsidRDefault="00A65163" w:rsidP="007B6B39">
      <w:pPr>
        <w:autoSpaceDE w:val="0"/>
        <w:autoSpaceDN w:val="0"/>
        <w:adjustRightInd w:val="0"/>
        <w:spacing w:after="0" w:line="240" w:lineRule="auto"/>
        <w:jc w:val="center"/>
        <w:rPr>
          <w:noProof/>
        </w:rPr>
      </w:pPr>
    </w:p>
    <w:p w14:paraId="3CD267EB" w14:textId="77777777" w:rsidR="00A65163" w:rsidRDefault="00A65163" w:rsidP="007B6B39">
      <w:pPr>
        <w:autoSpaceDE w:val="0"/>
        <w:autoSpaceDN w:val="0"/>
        <w:adjustRightInd w:val="0"/>
        <w:spacing w:after="0" w:line="240" w:lineRule="auto"/>
        <w:jc w:val="center"/>
        <w:rPr>
          <w:noProof/>
        </w:rPr>
      </w:pPr>
    </w:p>
    <w:p w14:paraId="31C522CA" w14:textId="77777777" w:rsidR="00A65163" w:rsidRDefault="00A65163" w:rsidP="007B6B39">
      <w:pPr>
        <w:autoSpaceDE w:val="0"/>
        <w:autoSpaceDN w:val="0"/>
        <w:adjustRightInd w:val="0"/>
        <w:spacing w:after="0" w:line="240" w:lineRule="auto"/>
        <w:jc w:val="center"/>
        <w:rPr>
          <w:noProof/>
        </w:rPr>
      </w:pPr>
    </w:p>
    <w:p w14:paraId="051F4D4B" w14:textId="04CC1E1E" w:rsidR="00A65163" w:rsidRDefault="00C66296" w:rsidP="007B6B39">
      <w:pPr>
        <w:autoSpaceDE w:val="0"/>
        <w:autoSpaceDN w:val="0"/>
        <w:adjustRightInd w:val="0"/>
        <w:spacing w:after="0" w:line="240" w:lineRule="auto"/>
        <w:jc w:val="center"/>
        <w:rPr>
          <w:noProof/>
        </w:rPr>
      </w:pPr>
      <w:r w:rsidRPr="00C66296">
        <w:rPr>
          <w:noProof/>
        </w:rPr>
        <w:lastRenderedPageBreak/>
        <w:drawing>
          <wp:inline distT="0" distB="0" distL="0" distR="0" wp14:anchorId="7B3FC393" wp14:editId="23ED8DCA">
            <wp:extent cx="9251950" cy="3923030"/>
            <wp:effectExtent l="0" t="0" r="6350" b="1270"/>
            <wp:docPr id="174281018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9251950" cy="3923030"/>
                    </a:xfrm>
                    <a:prstGeom prst="rect">
                      <a:avLst/>
                    </a:prstGeom>
                    <a:noFill/>
                    <a:ln>
                      <a:noFill/>
                    </a:ln>
                  </pic:spPr>
                </pic:pic>
              </a:graphicData>
            </a:graphic>
          </wp:inline>
        </w:drawing>
      </w:r>
    </w:p>
    <w:p w14:paraId="55AFE7F6" w14:textId="77777777" w:rsidR="00A65163" w:rsidRDefault="00A65163" w:rsidP="007B6B39">
      <w:pPr>
        <w:autoSpaceDE w:val="0"/>
        <w:autoSpaceDN w:val="0"/>
        <w:adjustRightInd w:val="0"/>
        <w:spacing w:after="0" w:line="240" w:lineRule="auto"/>
        <w:jc w:val="center"/>
        <w:rPr>
          <w:noProof/>
        </w:rPr>
      </w:pPr>
    </w:p>
    <w:p w14:paraId="735F0BB8" w14:textId="77777777" w:rsidR="00A65163" w:rsidRDefault="00A65163" w:rsidP="007B6B39">
      <w:pPr>
        <w:autoSpaceDE w:val="0"/>
        <w:autoSpaceDN w:val="0"/>
        <w:adjustRightInd w:val="0"/>
        <w:spacing w:after="0" w:line="240" w:lineRule="auto"/>
        <w:jc w:val="center"/>
        <w:rPr>
          <w:noProof/>
        </w:rPr>
      </w:pPr>
    </w:p>
    <w:p w14:paraId="0654E409" w14:textId="6B655333" w:rsidR="00A65163" w:rsidRDefault="00A65163" w:rsidP="007B6B39">
      <w:pPr>
        <w:autoSpaceDE w:val="0"/>
        <w:autoSpaceDN w:val="0"/>
        <w:adjustRightInd w:val="0"/>
        <w:spacing w:after="0" w:line="240" w:lineRule="auto"/>
        <w:jc w:val="center"/>
        <w:rPr>
          <w:noProof/>
        </w:rPr>
      </w:pPr>
    </w:p>
    <w:p w14:paraId="035FF321" w14:textId="77777777" w:rsidR="00A65163" w:rsidRDefault="00A65163" w:rsidP="007B6B39">
      <w:pPr>
        <w:autoSpaceDE w:val="0"/>
        <w:autoSpaceDN w:val="0"/>
        <w:adjustRightInd w:val="0"/>
        <w:spacing w:after="0" w:line="240" w:lineRule="auto"/>
        <w:jc w:val="center"/>
        <w:rPr>
          <w:noProof/>
        </w:rPr>
      </w:pPr>
    </w:p>
    <w:p w14:paraId="19B50CEE" w14:textId="77777777" w:rsidR="00A65163" w:rsidRDefault="00A65163" w:rsidP="007B6B39">
      <w:pPr>
        <w:autoSpaceDE w:val="0"/>
        <w:autoSpaceDN w:val="0"/>
        <w:adjustRightInd w:val="0"/>
        <w:spacing w:after="0" w:line="240" w:lineRule="auto"/>
        <w:jc w:val="center"/>
        <w:rPr>
          <w:noProof/>
        </w:rPr>
      </w:pPr>
    </w:p>
    <w:p w14:paraId="46062267" w14:textId="77777777" w:rsidR="00A65163" w:rsidRDefault="00A65163" w:rsidP="007B6B39">
      <w:pPr>
        <w:autoSpaceDE w:val="0"/>
        <w:autoSpaceDN w:val="0"/>
        <w:adjustRightInd w:val="0"/>
        <w:spacing w:after="0" w:line="240" w:lineRule="auto"/>
        <w:jc w:val="center"/>
        <w:rPr>
          <w:noProof/>
        </w:rPr>
      </w:pPr>
    </w:p>
    <w:p w14:paraId="5B0655A1" w14:textId="77777777" w:rsidR="00A65163" w:rsidRDefault="00A65163" w:rsidP="007B6B39">
      <w:pPr>
        <w:autoSpaceDE w:val="0"/>
        <w:autoSpaceDN w:val="0"/>
        <w:adjustRightInd w:val="0"/>
        <w:spacing w:after="0" w:line="240" w:lineRule="auto"/>
        <w:jc w:val="center"/>
        <w:rPr>
          <w:noProof/>
        </w:rPr>
      </w:pPr>
    </w:p>
    <w:p w14:paraId="54E24C3A" w14:textId="77777777" w:rsidR="00A65163" w:rsidRDefault="00A65163" w:rsidP="007B6B39">
      <w:pPr>
        <w:autoSpaceDE w:val="0"/>
        <w:autoSpaceDN w:val="0"/>
        <w:adjustRightInd w:val="0"/>
        <w:spacing w:after="0" w:line="240" w:lineRule="auto"/>
        <w:jc w:val="center"/>
        <w:rPr>
          <w:noProof/>
        </w:rPr>
      </w:pPr>
    </w:p>
    <w:p w14:paraId="2ADE438A" w14:textId="77777777" w:rsidR="002213DB" w:rsidRDefault="002213DB" w:rsidP="007B6B39">
      <w:pPr>
        <w:autoSpaceDE w:val="0"/>
        <w:autoSpaceDN w:val="0"/>
        <w:adjustRightInd w:val="0"/>
        <w:spacing w:after="0" w:line="240" w:lineRule="auto"/>
        <w:jc w:val="center"/>
        <w:rPr>
          <w:noProof/>
        </w:rPr>
      </w:pPr>
    </w:p>
    <w:p w14:paraId="3B27CC2E" w14:textId="77777777" w:rsidR="002213DB" w:rsidRDefault="002213DB" w:rsidP="007B6B39">
      <w:pPr>
        <w:autoSpaceDE w:val="0"/>
        <w:autoSpaceDN w:val="0"/>
        <w:adjustRightInd w:val="0"/>
        <w:spacing w:after="0" w:line="240" w:lineRule="auto"/>
        <w:jc w:val="center"/>
        <w:rPr>
          <w:noProof/>
        </w:rPr>
      </w:pPr>
    </w:p>
    <w:p w14:paraId="6440E8B7" w14:textId="77777777" w:rsidR="002213DB" w:rsidRDefault="002213DB" w:rsidP="007B6B39">
      <w:pPr>
        <w:autoSpaceDE w:val="0"/>
        <w:autoSpaceDN w:val="0"/>
        <w:adjustRightInd w:val="0"/>
        <w:spacing w:after="0" w:line="240" w:lineRule="auto"/>
        <w:jc w:val="center"/>
        <w:rPr>
          <w:noProof/>
        </w:rPr>
      </w:pPr>
    </w:p>
    <w:p w14:paraId="23216BAE" w14:textId="77777777" w:rsidR="00A65163" w:rsidRDefault="00A65163" w:rsidP="007B6B39">
      <w:pPr>
        <w:autoSpaceDE w:val="0"/>
        <w:autoSpaceDN w:val="0"/>
        <w:adjustRightInd w:val="0"/>
        <w:spacing w:after="0" w:line="240" w:lineRule="auto"/>
        <w:jc w:val="center"/>
        <w:rPr>
          <w:noProof/>
        </w:rPr>
      </w:pPr>
    </w:p>
    <w:p w14:paraId="6DCB7263" w14:textId="21DECB72" w:rsidR="00A65163" w:rsidRDefault="00C66296" w:rsidP="007B6B39">
      <w:pPr>
        <w:autoSpaceDE w:val="0"/>
        <w:autoSpaceDN w:val="0"/>
        <w:adjustRightInd w:val="0"/>
        <w:spacing w:after="0" w:line="240" w:lineRule="auto"/>
        <w:jc w:val="center"/>
        <w:rPr>
          <w:noProof/>
        </w:rPr>
      </w:pPr>
      <w:r w:rsidRPr="00C66296">
        <w:rPr>
          <w:noProof/>
        </w:rPr>
        <w:lastRenderedPageBreak/>
        <w:drawing>
          <wp:inline distT="0" distB="0" distL="0" distR="0" wp14:anchorId="320688C2" wp14:editId="09074153">
            <wp:extent cx="9251950" cy="3745865"/>
            <wp:effectExtent l="0" t="0" r="6350" b="6985"/>
            <wp:docPr id="133083797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9251950" cy="3745865"/>
                    </a:xfrm>
                    <a:prstGeom prst="rect">
                      <a:avLst/>
                    </a:prstGeom>
                    <a:noFill/>
                    <a:ln>
                      <a:noFill/>
                    </a:ln>
                  </pic:spPr>
                </pic:pic>
              </a:graphicData>
            </a:graphic>
          </wp:inline>
        </w:drawing>
      </w:r>
    </w:p>
    <w:p w14:paraId="56FD13A0" w14:textId="77777777" w:rsidR="00A65163" w:rsidRDefault="00A65163" w:rsidP="007B6B39">
      <w:pPr>
        <w:autoSpaceDE w:val="0"/>
        <w:autoSpaceDN w:val="0"/>
        <w:adjustRightInd w:val="0"/>
        <w:spacing w:after="0" w:line="240" w:lineRule="auto"/>
        <w:jc w:val="center"/>
        <w:rPr>
          <w:noProof/>
        </w:rPr>
      </w:pPr>
    </w:p>
    <w:p w14:paraId="4D9D4F23" w14:textId="77777777" w:rsidR="00A65163" w:rsidRDefault="00A65163" w:rsidP="007B6B39">
      <w:pPr>
        <w:autoSpaceDE w:val="0"/>
        <w:autoSpaceDN w:val="0"/>
        <w:adjustRightInd w:val="0"/>
        <w:spacing w:after="0" w:line="240" w:lineRule="auto"/>
        <w:jc w:val="center"/>
        <w:rPr>
          <w:noProof/>
        </w:rPr>
      </w:pPr>
    </w:p>
    <w:p w14:paraId="2107BC91" w14:textId="77777777" w:rsidR="00C66296" w:rsidRDefault="00C66296" w:rsidP="007B6B39">
      <w:pPr>
        <w:autoSpaceDE w:val="0"/>
        <w:autoSpaceDN w:val="0"/>
        <w:adjustRightInd w:val="0"/>
        <w:spacing w:after="0" w:line="240" w:lineRule="auto"/>
        <w:jc w:val="center"/>
        <w:rPr>
          <w:noProof/>
        </w:rPr>
      </w:pPr>
    </w:p>
    <w:p w14:paraId="54F6E2FA" w14:textId="77777777" w:rsidR="00C66296" w:rsidRDefault="00C66296" w:rsidP="007B6B39">
      <w:pPr>
        <w:autoSpaceDE w:val="0"/>
        <w:autoSpaceDN w:val="0"/>
        <w:adjustRightInd w:val="0"/>
        <w:spacing w:after="0" w:line="240" w:lineRule="auto"/>
        <w:jc w:val="center"/>
        <w:rPr>
          <w:noProof/>
        </w:rPr>
      </w:pPr>
    </w:p>
    <w:p w14:paraId="0DBC5E89" w14:textId="77777777" w:rsidR="00C66296" w:rsidRDefault="00C66296" w:rsidP="007B6B39">
      <w:pPr>
        <w:autoSpaceDE w:val="0"/>
        <w:autoSpaceDN w:val="0"/>
        <w:adjustRightInd w:val="0"/>
        <w:spacing w:after="0" w:line="240" w:lineRule="auto"/>
        <w:jc w:val="center"/>
        <w:rPr>
          <w:noProof/>
        </w:rPr>
      </w:pPr>
    </w:p>
    <w:p w14:paraId="60A10648" w14:textId="77777777" w:rsidR="00C66296" w:rsidRDefault="00C66296" w:rsidP="007B6B39">
      <w:pPr>
        <w:autoSpaceDE w:val="0"/>
        <w:autoSpaceDN w:val="0"/>
        <w:adjustRightInd w:val="0"/>
        <w:spacing w:after="0" w:line="240" w:lineRule="auto"/>
        <w:jc w:val="center"/>
        <w:rPr>
          <w:noProof/>
        </w:rPr>
      </w:pPr>
    </w:p>
    <w:p w14:paraId="32240F4A" w14:textId="77777777" w:rsidR="00C66296" w:rsidRDefault="00C66296" w:rsidP="007B6B39">
      <w:pPr>
        <w:autoSpaceDE w:val="0"/>
        <w:autoSpaceDN w:val="0"/>
        <w:adjustRightInd w:val="0"/>
        <w:spacing w:after="0" w:line="240" w:lineRule="auto"/>
        <w:jc w:val="center"/>
        <w:rPr>
          <w:noProof/>
        </w:rPr>
      </w:pPr>
    </w:p>
    <w:p w14:paraId="2B73A932" w14:textId="77777777" w:rsidR="00C66296" w:rsidRDefault="00C66296" w:rsidP="007B6B39">
      <w:pPr>
        <w:autoSpaceDE w:val="0"/>
        <w:autoSpaceDN w:val="0"/>
        <w:adjustRightInd w:val="0"/>
        <w:spacing w:after="0" w:line="240" w:lineRule="auto"/>
        <w:jc w:val="center"/>
        <w:rPr>
          <w:noProof/>
        </w:rPr>
      </w:pPr>
    </w:p>
    <w:p w14:paraId="0D0A7893" w14:textId="77777777" w:rsidR="00C66296" w:rsidRDefault="00C66296" w:rsidP="007B6B39">
      <w:pPr>
        <w:autoSpaceDE w:val="0"/>
        <w:autoSpaceDN w:val="0"/>
        <w:adjustRightInd w:val="0"/>
        <w:spacing w:after="0" w:line="240" w:lineRule="auto"/>
        <w:jc w:val="center"/>
        <w:rPr>
          <w:noProof/>
        </w:rPr>
      </w:pPr>
    </w:p>
    <w:p w14:paraId="2151AFB8" w14:textId="77777777" w:rsidR="00C66296" w:rsidRDefault="00C66296" w:rsidP="007B6B39">
      <w:pPr>
        <w:autoSpaceDE w:val="0"/>
        <w:autoSpaceDN w:val="0"/>
        <w:adjustRightInd w:val="0"/>
        <w:spacing w:after="0" w:line="240" w:lineRule="auto"/>
        <w:jc w:val="center"/>
        <w:rPr>
          <w:noProof/>
        </w:rPr>
      </w:pPr>
    </w:p>
    <w:p w14:paraId="7D6819F4" w14:textId="77777777" w:rsidR="00C66296" w:rsidRDefault="00C66296" w:rsidP="007B6B39">
      <w:pPr>
        <w:autoSpaceDE w:val="0"/>
        <w:autoSpaceDN w:val="0"/>
        <w:adjustRightInd w:val="0"/>
        <w:spacing w:after="0" w:line="240" w:lineRule="auto"/>
        <w:jc w:val="center"/>
        <w:rPr>
          <w:noProof/>
        </w:rPr>
      </w:pPr>
    </w:p>
    <w:p w14:paraId="51740D8F" w14:textId="77777777" w:rsidR="00C66296" w:rsidRDefault="00C66296" w:rsidP="007B6B39">
      <w:pPr>
        <w:autoSpaceDE w:val="0"/>
        <w:autoSpaceDN w:val="0"/>
        <w:adjustRightInd w:val="0"/>
        <w:spacing w:after="0" w:line="240" w:lineRule="auto"/>
        <w:jc w:val="center"/>
        <w:rPr>
          <w:noProof/>
        </w:rPr>
      </w:pPr>
    </w:p>
    <w:p w14:paraId="691E496F" w14:textId="77777777" w:rsidR="00A65163" w:rsidRDefault="00A65163" w:rsidP="007B6B39">
      <w:pPr>
        <w:autoSpaceDE w:val="0"/>
        <w:autoSpaceDN w:val="0"/>
        <w:adjustRightInd w:val="0"/>
        <w:spacing w:after="0" w:line="240" w:lineRule="auto"/>
        <w:jc w:val="center"/>
        <w:rPr>
          <w:noProof/>
        </w:rPr>
      </w:pPr>
    </w:p>
    <w:p w14:paraId="2700E47F" w14:textId="5CDCE95B" w:rsidR="0052045C" w:rsidRDefault="0052045C" w:rsidP="007E796C">
      <w:pPr>
        <w:pStyle w:val="Opisslike"/>
      </w:pPr>
      <w:bookmarkStart w:id="720" w:name="_Toc232981554"/>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35</w:t>
      </w:r>
      <w:r w:rsidRPr="003A2F86">
        <w:rPr>
          <w:color w:val="FF0000"/>
        </w:rPr>
        <w:fldChar w:fldCharType="end"/>
      </w:r>
      <w:r w:rsidRPr="003A2F86">
        <w:rPr>
          <w:rFonts w:ascii="T3Font_4" w:hAnsi="T3Font_4" w:cs="T3Font_4"/>
          <w:color w:val="FF0000"/>
          <w:sz w:val="24"/>
        </w:rPr>
        <w:t>.</w:t>
      </w:r>
      <w:r w:rsidRPr="003A2F86">
        <w:rPr>
          <w:rFonts w:ascii="T3Font_4" w:hAnsi="T3Font_4" w:cs="T3Font_4"/>
          <w:sz w:val="24"/>
        </w:rPr>
        <w:t xml:space="preserve">: </w:t>
      </w:r>
      <w:r w:rsidRPr="003A2F86">
        <w:t xml:space="preserve">Pregled projekta sufinanciranih pomoćima EU, ugovoreno i uplaćeno ukupno od početka projekta do </w:t>
      </w:r>
      <w:r w:rsidR="002F3122">
        <w:t>31.12</w:t>
      </w:r>
      <w:r w:rsidR="00A06C76">
        <w:t>.2025</w:t>
      </w:r>
      <w:r w:rsidRPr="003A2F86">
        <w:t>.</w:t>
      </w:r>
      <w:bookmarkEnd w:id="720"/>
    </w:p>
    <w:p w14:paraId="30D89D17" w14:textId="77777777" w:rsidR="00A65163" w:rsidRPr="00A65163" w:rsidRDefault="00A65163" w:rsidP="00A65163">
      <w:pPr>
        <w:rPr>
          <w:lang w:eastAsia="en-US"/>
        </w:rPr>
      </w:pPr>
    </w:p>
    <w:p w14:paraId="394CADAB" w14:textId="1F19C1C5" w:rsidR="002F3122" w:rsidRPr="002F3122" w:rsidRDefault="00C66296" w:rsidP="002F3122">
      <w:pPr>
        <w:rPr>
          <w:lang w:eastAsia="en-US"/>
        </w:rPr>
      </w:pPr>
      <w:r w:rsidRPr="00C66296">
        <w:rPr>
          <w:noProof/>
        </w:rPr>
        <w:drawing>
          <wp:inline distT="0" distB="0" distL="0" distR="0" wp14:anchorId="7E0A7BC4" wp14:editId="25EA7693">
            <wp:extent cx="9251950" cy="3352165"/>
            <wp:effectExtent l="0" t="0" r="6350" b="635"/>
            <wp:docPr id="316144289"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9251950" cy="3352165"/>
                    </a:xfrm>
                    <a:prstGeom prst="rect">
                      <a:avLst/>
                    </a:prstGeom>
                    <a:noFill/>
                    <a:ln>
                      <a:noFill/>
                    </a:ln>
                  </pic:spPr>
                </pic:pic>
              </a:graphicData>
            </a:graphic>
          </wp:inline>
        </w:drawing>
      </w:r>
    </w:p>
    <w:p w14:paraId="188D0988" w14:textId="5EE131F1" w:rsidR="0052045C" w:rsidRPr="003A2F86" w:rsidRDefault="0052045C" w:rsidP="00615EBD">
      <w:pPr>
        <w:autoSpaceDE w:val="0"/>
        <w:autoSpaceDN w:val="0"/>
        <w:adjustRightInd w:val="0"/>
        <w:spacing w:after="0" w:line="240" w:lineRule="auto"/>
        <w:jc w:val="center"/>
        <w:rPr>
          <w:noProof/>
        </w:rPr>
      </w:pPr>
    </w:p>
    <w:p w14:paraId="75B36A70" w14:textId="76E668AC" w:rsidR="0052045C" w:rsidRPr="003A2F86" w:rsidRDefault="0052045C" w:rsidP="00615EBD">
      <w:pPr>
        <w:autoSpaceDE w:val="0"/>
        <w:autoSpaceDN w:val="0"/>
        <w:adjustRightInd w:val="0"/>
        <w:spacing w:after="0" w:line="240" w:lineRule="auto"/>
        <w:jc w:val="center"/>
        <w:rPr>
          <w:noProof/>
        </w:rPr>
      </w:pPr>
    </w:p>
    <w:p w14:paraId="7F074830" w14:textId="53B7D3C1" w:rsidR="0052045C" w:rsidRPr="003A2F86" w:rsidRDefault="0052045C" w:rsidP="00615EBD">
      <w:pPr>
        <w:autoSpaceDE w:val="0"/>
        <w:autoSpaceDN w:val="0"/>
        <w:adjustRightInd w:val="0"/>
        <w:spacing w:after="0" w:line="240" w:lineRule="auto"/>
        <w:jc w:val="center"/>
        <w:rPr>
          <w:noProof/>
        </w:rPr>
      </w:pPr>
    </w:p>
    <w:p w14:paraId="0543E48F" w14:textId="43137E8B" w:rsidR="001E6729" w:rsidRDefault="001E6729" w:rsidP="00615EBD">
      <w:pPr>
        <w:autoSpaceDE w:val="0"/>
        <w:autoSpaceDN w:val="0"/>
        <w:adjustRightInd w:val="0"/>
        <w:spacing w:after="0" w:line="240" w:lineRule="auto"/>
        <w:jc w:val="center"/>
        <w:rPr>
          <w:noProof/>
        </w:rPr>
      </w:pPr>
    </w:p>
    <w:p w14:paraId="489F77D4" w14:textId="004A8D1E" w:rsidR="00EC6DB3" w:rsidRDefault="00EC6DB3" w:rsidP="00615EBD">
      <w:pPr>
        <w:autoSpaceDE w:val="0"/>
        <w:autoSpaceDN w:val="0"/>
        <w:adjustRightInd w:val="0"/>
        <w:spacing w:after="0" w:line="240" w:lineRule="auto"/>
        <w:jc w:val="center"/>
        <w:rPr>
          <w:noProof/>
        </w:rPr>
      </w:pPr>
    </w:p>
    <w:p w14:paraId="0308CE00" w14:textId="77777777" w:rsidR="00EC6DB3" w:rsidRDefault="00EC6DB3" w:rsidP="00615EBD">
      <w:pPr>
        <w:autoSpaceDE w:val="0"/>
        <w:autoSpaceDN w:val="0"/>
        <w:adjustRightInd w:val="0"/>
        <w:spacing w:after="0" w:line="240" w:lineRule="auto"/>
        <w:jc w:val="center"/>
        <w:rPr>
          <w:noProof/>
        </w:rPr>
      </w:pPr>
    </w:p>
    <w:p w14:paraId="62BB9C9C" w14:textId="0E835E1D" w:rsidR="00EC6DB3" w:rsidRDefault="00EC6DB3" w:rsidP="00615EBD">
      <w:pPr>
        <w:autoSpaceDE w:val="0"/>
        <w:autoSpaceDN w:val="0"/>
        <w:adjustRightInd w:val="0"/>
        <w:spacing w:after="0" w:line="240" w:lineRule="auto"/>
        <w:jc w:val="center"/>
        <w:rPr>
          <w:noProof/>
        </w:rPr>
      </w:pPr>
    </w:p>
    <w:p w14:paraId="1ACA8E2D" w14:textId="5DEA82B9" w:rsidR="00EC6DB3" w:rsidRDefault="00EC6DB3" w:rsidP="00615EBD">
      <w:pPr>
        <w:autoSpaceDE w:val="0"/>
        <w:autoSpaceDN w:val="0"/>
        <w:adjustRightInd w:val="0"/>
        <w:spacing w:after="0" w:line="240" w:lineRule="auto"/>
        <w:jc w:val="center"/>
        <w:rPr>
          <w:noProof/>
        </w:rPr>
      </w:pPr>
    </w:p>
    <w:p w14:paraId="12A30ABE" w14:textId="47146A7A" w:rsidR="00A06C76" w:rsidRDefault="00A06C76" w:rsidP="00615EBD">
      <w:pPr>
        <w:autoSpaceDE w:val="0"/>
        <w:autoSpaceDN w:val="0"/>
        <w:adjustRightInd w:val="0"/>
        <w:spacing w:after="0" w:line="240" w:lineRule="auto"/>
        <w:jc w:val="center"/>
        <w:rPr>
          <w:noProof/>
        </w:rPr>
      </w:pPr>
    </w:p>
    <w:p w14:paraId="210438A8" w14:textId="77777777" w:rsidR="00A06C76" w:rsidRDefault="00A06C76" w:rsidP="00615EBD">
      <w:pPr>
        <w:autoSpaceDE w:val="0"/>
        <w:autoSpaceDN w:val="0"/>
        <w:adjustRightInd w:val="0"/>
        <w:spacing w:after="0" w:line="240" w:lineRule="auto"/>
        <w:jc w:val="center"/>
        <w:rPr>
          <w:noProof/>
        </w:rPr>
      </w:pPr>
    </w:p>
    <w:p w14:paraId="1577E3B4" w14:textId="77777777" w:rsidR="00ED75AC" w:rsidRDefault="00ED75AC" w:rsidP="00615EBD">
      <w:pPr>
        <w:autoSpaceDE w:val="0"/>
        <w:autoSpaceDN w:val="0"/>
        <w:adjustRightInd w:val="0"/>
        <w:spacing w:after="0" w:line="240" w:lineRule="auto"/>
        <w:jc w:val="center"/>
        <w:rPr>
          <w:noProof/>
        </w:rPr>
      </w:pPr>
    </w:p>
    <w:p w14:paraId="79D765B9" w14:textId="341C1D11" w:rsidR="00ED75AC" w:rsidRDefault="00ED75AC" w:rsidP="00615EBD">
      <w:pPr>
        <w:autoSpaceDE w:val="0"/>
        <w:autoSpaceDN w:val="0"/>
        <w:adjustRightInd w:val="0"/>
        <w:spacing w:after="0" w:line="240" w:lineRule="auto"/>
        <w:jc w:val="center"/>
        <w:rPr>
          <w:noProof/>
        </w:rPr>
      </w:pPr>
    </w:p>
    <w:p w14:paraId="104381ED" w14:textId="5FFAB823" w:rsidR="00ED75AC" w:rsidRDefault="008147EB" w:rsidP="00615EBD">
      <w:pPr>
        <w:autoSpaceDE w:val="0"/>
        <w:autoSpaceDN w:val="0"/>
        <w:adjustRightInd w:val="0"/>
        <w:spacing w:after="0" w:line="240" w:lineRule="auto"/>
        <w:jc w:val="center"/>
        <w:rPr>
          <w:noProof/>
        </w:rPr>
      </w:pPr>
      <w:r w:rsidRPr="008147EB">
        <w:rPr>
          <w:noProof/>
        </w:rPr>
        <w:lastRenderedPageBreak/>
        <w:drawing>
          <wp:inline distT="0" distB="0" distL="0" distR="0" wp14:anchorId="7C35848A" wp14:editId="5C0B1173">
            <wp:extent cx="9251950" cy="3550920"/>
            <wp:effectExtent l="0" t="0" r="6350" b="0"/>
            <wp:docPr id="199051951"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9251950" cy="3550920"/>
                    </a:xfrm>
                    <a:prstGeom prst="rect">
                      <a:avLst/>
                    </a:prstGeom>
                    <a:noFill/>
                    <a:ln>
                      <a:noFill/>
                    </a:ln>
                  </pic:spPr>
                </pic:pic>
              </a:graphicData>
            </a:graphic>
          </wp:inline>
        </w:drawing>
      </w:r>
    </w:p>
    <w:p w14:paraId="01529772" w14:textId="3593D611" w:rsidR="00ED75AC" w:rsidRDefault="00ED75AC" w:rsidP="00615EBD">
      <w:pPr>
        <w:autoSpaceDE w:val="0"/>
        <w:autoSpaceDN w:val="0"/>
        <w:adjustRightInd w:val="0"/>
        <w:spacing w:after="0" w:line="240" w:lineRule="auto"/>
        <w:jc w:val="center"/>
        <w:rPr>
          <w:noProof/>
        </w:rPr>
      </w:pPr>
    </w:p>
    <w:p w14:paraId="57498862" w14:textId="536371EA" w:rsidR="004A1402" w:rsidRDefault="008147EB" w:rsidP="00615EBD">
      <w:pPr>
        <w:autoSpaceDE w:val="0"/>
        <w:autoSpaceDN w:val="0"/>
        <w:adjustRightInd w:val="0"/>
        <w:spacing w:after="0" w:line="240" w:lineRule="auto"/>
        <w:jc w:val="center"/>
        <w:rPr>
          <w:noProof/>
        </w:rPr>
      </w:pPr>
      <w:r w:rsidRPr="008147EB">
        <w:rPr>
          <w:noProof/>
        </w:rPr>
        <w:lastRenderedPageBreak/>
        <w:drawing>
          <wp:inline distT="0" distB="0" distL="0" distR="0" wp14:anchorId="33A9ED5F" wp14:editId="160C4F8B">
            <wp:extent cx="9251950" cy="3390265"/>
            <wp:effectExtent l="0" t="0" r="6350" b="635"/>
            <wp:docPr id="1584702573"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9251950" cy="3390265"/>
                    </a:xfrm>
                    <a:prstGeom prst="rect">
                      <a:avLst/>
                    </a:prstGeom>
                    <a:noFill/>
                    <a:ln>
                      <a:noFill/>
                    </a:ln>
                  </pic:spPr>
                </pic:pic>
              </a:graphicData>
            </a:graphic>
          </wp:inline>
        </w:drawing>
      </w:r>
    </w:p>
    <w:p w14:paraId="0214B0CF" w14:textId="77777777" w:rsidR="004A1402" w:rsidRDefault="004A1402" w:rsidP="002F3122">
      <w:pPr>
        <w:autoSpaceDE w:val="0"/>
        <w:autoSpaceDN w:val="0"/>
        <w:adjustRightInd w:val="0"/>
        <w:spacing w:after="0" w:line="240" w:lineRule="auto"/>
        <w:jc w:val="both"/>
        <w:rPr>
          <w:rFonts w:ascii="Arial" w:hAnsi="Arial" w:cs="Arial"/>
          <w:b/>
          <w:sz w:val="20"/>
          <w:szCs w:val="24"/>
        </w:rPr>
      </w:pPr>
    </w:p>
    <w:p w14:paraId="5526F306" w14:textId="14865FC4" w:rsidR="002F3122" w:rsidRPr="00AC4C54" w:rsidRDefault="002F3122" w:rsidP="002F3122">
      <w:pPr>
        <w:autoSpaceDE w:val="0"/>
        <w:autoSpaceDN w:val="0"/>
        <w:adjustRightInd w:val="0"/>
        <w:spacing w:after="0" w:line="240" w:lineRule="auto"/>
        <w:jc w:val="both"/>
        <w:rPr>
          <w:rFonts w:ascii="Arial" w:hAnsi="Arial" w:cs="Arial"/>
          <w:b/>
          <w:sz w:val="20"/>
          <w:szCs w:val="24"/>
        </w:rPr>
      </w:pPr>
      <w:r w:rsidRPr="00AC4C54">
        <w:rPr>
          <w:rFonts w:ascii="Arial" w:hAnsi="Arial" w:cs="Arial"/>
          <w:b/>
          <w:sz w:val="20"/>
          <w:szCs w:val="24"/>
        </w:rPr>
        <w:t>REKAPITULACIJA:</w:t>
      </w:r>
    </w:p>
    <w:p w14:paraId="524605BE" w14:textId="3639929F" w:rsidR="002F3122" w:rsidRPr="00AC4C54" w:rsidRDefault="00A65163">
      <w:pPr>
        <w:numPr>
          <w:ilvl w:val="0"/>
          <w:numId w:val="12"/>
        </w:numPr>
        <w:autoSpaceDE w:val="0"/>
        <w:autoSpaceDN w:val="0"/>
        <w:adjustRightInd w:val="0"/>
        <w:spacing w:after="0" w:line="240" w:lineRule="auto"/>
        <w:jc w:val="both"/>
        <w:rPr>
          <w:rFonts w:ascii="Arial" w:eastAsia="Times New Roman" w:hAnsi="Arial" w:cs="Arial"/>
          <w:sz w:val="20"/>
          <w:szCs w:val="24"/>
          <w:lang w:eastAsia="en-US"/>
        </w:rPr>
      </w:pPr>
      <w:r>
        <w:rPr>
          <w:rFonts w:ascii="Arial" w:eastAsia="Times New Roman" w:hAnsi="Arial" w:cs="Arial"/>
          <w:sz w:val="20"/>
          <w:szCs w:val="24"/>
          <w:lang w:eastAsia="en-US"/>
        </w:rPr>
        <w:t xml:space="preserve">Obveze za primljene predujmove su iskazivane </w:t>
      </w:r>
      <w:r w:rsidR="002F3122" w:rsidRPr="00AC4C54">
        <w:rPr>
          <w:rFonts w:ascii="Arial" w:eastAsia="Times New Roman" w:hAnsi="Arial" w:cs="Arial"/>
          <w:sz w:val="20"/>
          <w:szCs w:val="24"/>
          <w:lang w:eastAsia="en-US"/>
        </w:rPr>
        <w:t>do konca 2020. godine na računu 23957 - Obveze za EU predujmove</w:t>
      </w:r>
      <w:r w:rsidR="002F3122">
        <w:rPr>
          <w:rFonts w:ascii="Arial" w:eastAsia="Times New Roman" w:hAnsi="Arial" w:cs="Arial"/>
          <w:sz w:val="20"/>
          <w:szCs w:val="24"/>
          <w:lang w:eastAsia="en-US"/>
        </w:rPr>
        <w:t xml:space="preserve">. </w:t>
      </w:r>
      <w:r w:rsidR="002F3122" w:rsidRPr="00AC4C54">
        <w:rPr>
          <w:rFonts w:ascii="Arial" w:eastAsia="Times New Roman" w:hAnsi="Arial" w:cs="Arial"/>
          <w:sz w:val="20"/>
          <w:szCs w:val="24"/>
          <w:lang w:eastAsia="en-US"/>
        </w:rPr>
        <w:t>Od početka 2021. godine,</w:t>
      </w:r>
      <w:r>
        <w:rPr>
          <w:rFonts w:ascii="Arial" w:eastAsia="Times New Roman" w:hAnsi="Arial" w:cs="Arial"/>
          <w:sz w:val="20"/>
          <w:szCs w:val="24"/>
          <w:lang w:eastAsia="en-US"/>
        </w:rPr>
        <w:t xml:space="preserve"> do konca 2024. godine,</w:t>
      </w:r>
      <w:r w:rsidR="002F3122" w:rsidRPr="00AC4C54">
        <w:rPr>
          <w:rFonts w:ascii="Arial" w:eastAsia="Times New Roman" w:hAnsi="Arial" w:cs="Arial"/>
          <w:sz w:val="20"/>
          <w:szCs w:val="24"/>
          <w:lang w:eastAsia="en-US"/>
        </w:rPr>
        <w:t xml:space="preserve"> pomoći za sufinanciranje EU projekata, </w:t>
      </w:r>
      <w:r w:rsidR="002F3122">
        <w:rPr>
          <w:rFonts w:ascii="Arial" w:eastAsia="Times New Roman" w:hAnsi="Arial" w:cs="Arial"/>
          <w:sz w:val="20"/>
          <w:szCs w:val="24"/>
          <w:lang w:eastAsia="en-US"/>
        </w:rPr>
        <w:t xml:space="preserve">su se iskazivale </w:t>
      </w:r>
      <w:r w:rsidR="002F3122" w:rsidRPr="00AC4C54">
        <w:rPr>
          <w:rFonts w:ascii="Arial" w:eastAsia="Times New Roman" w:hAnsi="Arial" w:cs="Arial"/>
          <w:sz w:val="20"/>
          <w:szCs w:val="24"/>
          <w:lang w:eastAsia="en-US"/>
        </w:rPr>
        <w:t>na računima prihodi od pomoći (632 ili 638, odnosno 633 ukoliko se radi o udjelu sredstava RH u bespovratnim sredstvima).</w:t>
      </w:r>
      <w:r w:rsidR="002F3122">
        <w:rPr>
          <w:rFonts w:ascii="Arial" w:eastAsia="Times New Roman" w:hAnsi="Arial" w:cs="Arial"/>
          <w:sz w:val="20"/>
          <w:szCs w:val="24"/>
          <w:lang w:eastAsia="en-US"/>
        </w:rPr>
        <w:t xml:space="preserve"> Od početka 2025. se </w:t>
      </w:r>
      <w:r>
        <w:rPr>
          <w:rFonts w:ascii="Arial" w:eastAsia="Times New Roman" w:hAnsi="Arial" w:cs="Arial"/>
          <w:sz w:val="20"/>
          <w:szCs w:val="24"/>
          <w:lang w:eastAsia="en-US"/>
        </w:rPr>
        <w:t>iskazuju</w:t>
      </w:r>
      <w:r w:rsidR="002F3122">
        <w:rPr>
          <w:rFonts w:ascii="Arial" w:eastAsia="Times New Roman" w:hAnsi="Arial" w:cs="Arial"/>
          <w:sz w:val="20"/>
          <w:szCs w:val="24"/>
          <w:lang w:eastAsia="en-US"/>
        </w:rPr>
        <w:t xml:space="preserve"> obveze za primljene predujmove iz fondova EU na </w:t>
      </w:r>
      <w:r w:rsidR="002F3122" w:rsidRPr="00A620B7">
        <w:rPr>
          <w:rFonts w:ascii="Arial" w:eastAsia="Times New Roman" w:hAnsi="Arial" w:cs="Arial"/>
          <w:b/>
          <w:bCs/>
          <w:sz w:val="20"/>
          <w:szCs w:val="24"/>
          <w:lang w:eastAsia="en-US"/>
        </w:rPr>
        <w:t>podskupini 275</w:t>
      </w:r>
      <w:r w:rsidR="002F3122">
        <w:rPr>
          <w:rFonts w:ascii="Arial" w:eastAsia="Times New Roman" w:hAnsi="Arial" w:cs="Arial"/>
          <w:sz w:val="20"/>
          <w:szCs w:val="24"/>
          <w:lang w:eastAsia="en-US"/>
        </w:rPr>
        <w:t xml:space="preserve">. </w:t>
      </w:r>
      <w:r w:rsidR="0068615C">
        <w:rPr>
          <w:rFonts w:ascii="Arial" w:eastAsia="Times New Roman" w:hAnsi="Arial" w:cs="Arial"/>
          <w:sz w:val="20"/>
          <w:szCs w:val="24"/>
          <w:lang w:eastAsia="en-US"/>
        </w:rPr>
        <w:t>Koncem 2025. godine za projekt izgradnje nove osnovne škole iskazana je obveza za primljeni predujam.</w:t>
      </w:r>
    </w:p>
    <w:p w14:paraId="63573EAF" w14:textId="77777777" w:rsidR="002F3122" w:rsidRPr="00AC4C54" w:rsidRDefault="002F3122">
      <w:pPr>
        <w:numPr>
          <w:ilvl w:val="0"/>
          <w:numId w:val="12"/>
        </w:numPr>
        <w:autoSpaceDE w:val="0"/>
        <w:autoSpaceDN w:val="0"/>
        <w:adjustRightInd w:val="0"/>
        <w:spacing w:after="0" w:line="240" w:lineRule="auto"/>
        <w:jc w:val="both"/>
        <w:rPr>
          <w:rFonts w:ascii="Arial" w:eastAsia="Times New Roman" w:hAnsi="Arial" w:cs="Arial"/>
          <w:sz w:val="20"/>
          <w:szCs w:val="24"/>
          <w:lang w:eastAsia="en-US"/>
        </w:rPr>
      </w:pPr>
      <w:r w:rsidRPr="00AC4C54">
        <w:rPr>
          <w:rFonts w:ascii="Arial" w:eastAsia="Times New Roman" w:hAnsi="Arial" w:cs="Arial"/>
          <w:sz w:val="20"/>
          <w:szCs w:val="24"/>
          <w:lang w:eastAsia="en-US"/>
        </w:rPr>
        <w:t>Prihodi koje Općina (kao partner u projektu) ostvari od udruga / trgovačko društvo koje su nositelji projekta koji se financira sredstvima iz EU fondova se evidentiraju kao donacija od neprofitne organizacije.</w:t>
      </w:r>
    </w:p>
    <w:p w14:paraId="7F7B88D9" w14:textId="5B706F25" w:rsidR="004A1402" w:rsidRPr="004A1402" w:rsidRDefault="002F3122">
      <w:pPr>
        <w:numPr>
          <w:ilvl w:val="0"/>
          <w:numId w:val="12"/>
        </w:numPr>
        <w:autoSpaceDE w:val="0"/>
        <w:autoSpaceDN w:val="0"/>
        <w:adjustRightInd w:val="0"/>
        <w:spacing w:after="0" w:line="240" w:lineRule="auto"/>
        <w:jc w:val="both"/>
        <w:rPr>
          <w:rFonts w:ascii="Times New Roman" w:eastAsia="Calibri" w:hAnsi="Times New Roman" w:cs="Times New Roman"/>
          <w:sz w:val="20"/>
          <w:szCs w:val="20"/>
          <w:lang w:eastAsia="en-US"/>
        </w:rPr>
      </w:pPr>
      <w:r w:rsidRPr="004A1402">
        <w:rPr>
          <w:rFonts w:ascii="Arial" w:eastAsia="Times New Roman" w:hAnsi="Arial" w:cs="Arial"/>
          <w:sz w:val="20"/>
          <w:szCs w:val="24"/>
          <w:lang w:eastAsia="en-US"/>
        </w:rPr>
        <w:t xml:space="preserve">Općina </w:t>
      </w:r>
      <w:r w:rsidR="004A1402" w:rsidRPr="004A1402">
        <w:rPr>
          <w:rFonts w:ascii="Arial" w:eastAsia="Times New Roman" w:hAnsi="Arial" w:cs="Arial"/>
          <w:sz w:val="20"/>
          <w:szCs w:val="24"/>
          <w:lang w:eastAsia="en-US"/>
        </w:rPr>
        <w:t>ima</w:t>
      </w:r>
      <w:r w:rsidRPr="004A1402">
        <w:rPr>
          <w:rFonts w:ascii="Arial" w:eastAsia="Times New Roman" w:hAnsi="Arial" w:cs="Arial"/>
          <w:sz w:val="20"/>
          <w:szCs w:val="24"/>
          <w:lang w:eastAsia="en-US"/>
        </w:rPr>
        <w:t xml:space="preserve"> iskazane obveze</w:t>
      </w:r>
      <w:r w:rsidR="004A1402" w:rsidRPr="004A1402">
        <w:rPr>
          <w:rFonts w:ascii="Arial" w:eastAsia="Times New Roman" w:hAnsi="Arial" w:cs="Arial"/>
          <w:sz w:val="20"/>
          <w:szCs w:val="24"/>
          <w:lang w:eastAsia="en-US"/>
        </w:rPr>
        <w:t xml:space="preserve"> za primljeni predujam po sredstvima iz fondova Europske unije na koncu 2025. godine za projekt izgradnje nove osnovne škole, kao i potraživanja za dani predujam izvođaču radova na izgradnji nove osnovne škole.</w:t>
      </w:r>
    </w:p>
    <w:p w14:paraId="4E28E3D9" w14:textId="218354B7" w:rsidR="004A1402" w:rsidRPr="004A1402" w:rsidRDefault="004A1402" w:rsidP="004A1402">
      <w:pPr>
        <w:autoSpaceDE w:val="0"/>
        <w:autoSpaceDN w:val="0"/>
        <w:adjustRightInd w:val="0"/>
        <w:spacing w:after="0" w:line="240" w:lineRule="auto"/>
        <w:ind w:left="644"/>
        <w:jc w:val="both"/>
        <w:rPr>
          <w:rFonts w:ascii="Times New Roman" w:eastAsia="Calibri" w:hAnsi="Times New Roman" w:cs="Times New Roman"/>
          <w:sz w:val="20"/>
          <w:szCs w:val="20"/>
          <w:lang w:eastAsia="en-US"/>
        </w:rPr>
      </w:pPr>
      <w:r>
        <w:rPr>
          <w:rFonts w:ascii="Arial" w:eastAsia="Times New Roman" w:hAnsi="Arial" w:cs="Arial"/>
          <w:sz w:val="20"/>
          <w:szCs w:val="24"/>
          <w:lang w:eastAsia="en-US"/>
        </w:rPr>
        <w:t xml:space="preserve">Iskazana su potraživanja za pomoći od inozemnih vlada za projekt </w:t>
      </w:r>
      <w:r w:rsidR="0068615C">
        <w:rPr>
          <w:rFonts w:ascii="Arial" w:eastAsia="Times New Roman" w:hAnsi="Arial" w:cs="Arial"/>
          <w:sz w:val="20"/>
          <w:szCs w:val="24"/>
          <w:lang w:eastAsia="en-US"/>
        </w:rPr>
        <w:t>„</w:t>
      </w:r>
      <w:r>
        <w:rPr>
          <w:rFonts w:ascii="Arial" w:eastAsia="Times New Roman" w:hAnsi="Arial" w:cs="Arial"/>
          <w:sz w:val="20"/>
          <w:szCs w:val="24"/>
          <w:lang w:eastAsia="en-US"/>
        </w:rPr>
        <w:t>To 0 waste</w:t>
      </w:r>
      <w:r w:rsidR="0068615C">
        <w:rPr>
          <w:rFonts w:ascii="Arial" w:eastAsia="Times New Roman" w:hAnsi="Arial" w:cs="Arial"/>
          <w:sz w:val="20"/>
          <w:szCs w:val="24"/>
          <w:lang w:eastAsia="en-US"/>
        </w:rPr>
        <w:t>“</w:t>
      </w:r>
      <w:r>
        <w:rPr>
          <w:rFonts w:ascii="Arial" w:eastAsia="Times New Roman" w:hAnsi="Arial" w:cs="Arial"/>
          <w:sz w:val="20"/>
          <w:szCs w:val="24"/>
          <w:lang w:eastAsia="en-US"/>
        </w:rPr>
        <w:t xml:space="preserve"> u visini troškova koje je odobrilo nadzorno tijelo.</w:t>
      </w:r>
    </w:p>
    <w:p w14:paraId="54E68135" w14:textId="77777777" w:rsidR="0052045C" w:rsidRDefault="0052045C" w:rsidP="00C37D13">
      <w:pPr>
        <w:spacing w:after="0" w:line="240" w:lineRule="auto"/>
        <w:jc w:val="both"/>
        <w:rPr>
          <w:rFonts w:ascii="Arial" w:eastAsia="Times New Roman" w:hAnsi="Arial" w:cs="Arial"/>
          <w:iCs/>
          <w:lang w:eastAsia="en-US"/>
        </w:rPr>
      </w:pPr>
    </w:p>
    <w:p w14:paraId="561D0A83" w14:textId="77777777" w:rsidR="009F7A15" w:rsidRDefault="009F7A15" w:rsidP="00C37D13">
      <w:pPr>
        <w:spacing w:after="0" w:line="240" w:lineRule="auto"/>
        <w:jc w:val="both"/>
        <w:rPr>
          <w:rFonts w:ascii="Arial" w:eastAsia="Times New Roman" w:hAnsi="Arial" w:cs="Arial"/>
          <w:iCs/>
          <w:lang w:eastAsia="en-US"/>
        </w:rPr>
      </w:pPr>
    </w:p>
    <w:p w14:paraId="4783F2D6" w14:textId="77777777" w:rsidR="008147EB" w:rsidRDefault="008147EB" w:rsidP="00C37D13">
      <w:pPr>
        <w:spacing w:after="0" w:line="240" w:lineRule="auto"/>
        <w:jc w:val="both"/>
        <w:rPr>
          <w:rFonts w:ascii="Arial" w:eastAsia="Times New Roman" w:hAnsi="Arial" w:cs="Arial"/>
          <w:iCs/>
          <w:lang w:eastAsia="en-US"/>
        </w:rPr>
      </w:pPr>
    </w:p>
    <w:p w14:paraId="224BF517" w14:textId="77777777" w:rsidR="008147EB" w:rsidRDefault="008147EB" w:rsidP="00C37D13">
      <w:pPr>
        <w:spacing w:after="0" w:line="240" w:lineRule="auto"/>
        <w:jc w:val="both"/>
        <w:rPr>
          <w:rFonts w:ascii="Arial" w:eastAsia="Times New Roman" w:hAnsi="Arial" w:cs="Arial"/>
          <w:iCs/>
          <w:lang w:eastAsia="en-US"/>
        </w:rPr>
      </w:pPr>
    </w:p>
    <w:p w14:paraId="68A43D53" w14:textId="77777777" w:rsidR="0068615C" w:rsidRDefault="0068615C" w:rsidP="00C37D13">
      <w:pPr>
        <w:spacing w:after="0" w:line="240" w:lineRule="auto"/>
        <w:jc w:val="both"/>
        <w:rPr>
          <w:rFonts w:ascii="Arial" w:eastAsia="Times New Roman" w:hAnsi="Arial" w:cs="Arial"/>
          <w:iCs/>
          <w:lang w:eastAsia="en-US"/>
        </w:rPr>
      </w:pPr>
    </w:p>
    <w:p w14:paraId="4FBCA53A" w14:textId="6514DEB6" w:rsidR="00F2348E" w:rsidRPr="00010109" w:rsidRDefault="00F2348E" w:rsidP="00F2348E">
      <w:pPr>
        <w:pStyle w:val="Naslov2"/>
        <w:jc w:val="center"/>
        <w:rPr>
          <w:rFonts w:ascii="Arial" w:hAnsi="Arial" w:cs="Arial"/>
          <w:sz w:val="22"/>
          <w:lang w:val="hr-HR"/>
        </w:rPr>
      </w:pPr>
      <w:bookmarkStart w:id="721" w:name="_4.5._IZVJEŠTAJ_O"/>
      <w:bookmarkStart w:id="722" w:name="_Toc232981501"/>
      <w:bookmarkEnd w:id="721"/>
      <w:r w:rsidRPr="00010109">
        <w:rPr>
          <w:rFonts w:ascii="Arial" w:hAnsi="Arial" w:cs="Arial"/>
          <w:sz w:val="22"/>
          <w:lang w:val="hr-HR"/>
        </w:rPr>
        <w:lastRenderedPageBreak/>
        <w:t>4.</w:t>
      </w:r>
      <w:r w:rsidR="00AB5F4A" w:rsidRPr="00010109">
        <w:rPr>
          <w:rFonts w:ascii="Arial" w:hAnsi="Arial" w:cs="Arial"/>
          <w:sz w:val="22"/>
          <w:lang w:val="hr-HR"/>
        </w:rPr>
        <w:t>5</w:t>
      </w:r>
      <w:r w:rsidRPr="00010109">
        <w:rPr>
          <w:rFonts w:ascii="Arial" w:hAnsi="Arial" w:cs="Arial"/>
          <w:sz w:val="22"/>
          <w:lang w:val="hr-HR"/>
        </w:rPr>
        <w:t>.</w:t>
      </w:r>
      <w:r w:rsidRPr="00010109">
        <w:rPr>
          <w:rFonts w:ascii="Arial" w:hAnsi="Arial" w:cs="Arial"/>
          <w:sz w:val="22"/>
          <w:lang w:val="hr-HR"/>
        </w:rPr>
        <w:tab/>
      </w:r>
      <w:bookmarkStart w:id="723" w:name="Dani_zajmovi"/>
      <w:bookmarkEnd w:id="723"/>
      <w:r w:rsidR="00AB5F4A" w:rsidRPr="00010109">
        <w:rPr>
          <w:rFonts w:ascii="Arial" w:hAnsi="Arial" w:cs="Arial"/>
          <w:sz w:val="22"/>
          <w:lang w:val="hr-HR"/>
        </w:rPr>
        <w:t xml:space="preserve">IZVJEŠTAJ O DANIM ZAJMOVIMA I </w:t>
      </w:r>
      <w:r w:rsidRPr="00010109">
        <w:rPr>
          <w:rFonts w:ascii="Arial" w:hAnsi="Arial" w:cs="Arial"/>
          <w:sz w:val="22"/>
          <w:lang w:val="hr-HR"/>
        </w:rPr>
        <w:t xml:space="preserve">POTRAŽIVANJA </w:t>
      </w:r>
      <w:r w:rsidR="00AB5F4A" w:rsidRPr="00010109">
        <w:rPr>
          <w:rFonts w:ascii="Arial" w:hAnsi="Arial" w:cs="Arial"/>
          <w:sz w:val="22"/>
          <w:lang w:val="hr-HR"/>
        </w:rPr>
        <w:t>PO DANIM ZAJMOVIMA</w:t>
      </w:r>
      <w:bookmarkEnd w:id="722"/>
    </w:p>
    <w:p w14:paraId="131B8295" w14:textId="77777777" w:rsidR="00F2348E" w:rsidRPr="00010109" w:rsidRDefault="00F2348E" w:rsidP="00F2348E">
      <w:pPr>
        <w:spacing w:after="0" w:line="240" w:lineRule="auto"/>
        <w:jc w:val="both"/>
        <w:rPr>
          <w:rFonts w:ascii="Arial" w:eastAsia="Calibri" w:hAnsi="Arial" w:cs="Arial"/>
          <w:lang w:eastAsia="en-US"/>
        </w:rPr>
      </w:pPr>
    </w:p>
    <w:p w14:paraId="216D3FCF" w14:textId="5614521B" w:rsidR="00F2348E" w:rsidRPr="00AC4C54" w:rsidRDefault="00F2348E" w:rsidP="00F2348E">
      <w:pPr>
        <w:autoSpaceDE w:val="0"/>
        <w:autoSpaceDN w:val="0"/>
        <w:adjustRightInd w:val="0"/>
        <w:spacing w:after="0" w:line="240" w:lineRule="auto"/>
        <w:jc w:val="both"/>
        <w:rPr>
          <w:rFonts w:ascii="Arial" w:eastAsia="Times New Roman" w:hAnsi="Arial" w:cs="Arial"/>
          <w:sz w:val="20"/>
          <w:szCs w:val="20"/>
        </w:rPr>
      </w:pPr>
      <w:r w:rsidRPr="00AC4C54">
        <w:rPr>
          <w:rFonts w:ascii="Arial" w:eastAsia="Times New Roman" w:hAnsi="Arial" w:cs="Arial"/>
          <w:b/>
          <w:bCs/>
          <w:sz w:val="20"/>
          <w:szCs w:val="20"/>
        </w:rPr>
        <w:t xml:space="preserve">Općina </w:t>
      </w:r>
      <w:r w:rsidR="00AB5F4A" w:rsidRPr="00AC4C54">
        <w:rPr>
          <w:rFonts w:ascii="Arial" w:eastAsia="Times New Roman" w:hAnsi="Arial" w:cs="Arial"/>
          <w:b/>
          <w:bCs/>
          <w:sz w:val="20"/>
          <w:szCs w:val="20"/>
        </w:rPr>
        <w:t>Konavle</w:t>
      </w:r>
      <w:r w:rsidR="00AB5F4A" w:rsidRPr="00AC4C54">
        <w:rPr>
          <w:rFonts w:ascii="Arial" w:eastAsia="Times New Roman" w:hAnsi="Arial" w:cs="Arial"/>
          <w:sz w:val="20"/>
          <w:szCs w:val="20"/>
        </w:rPr>
        <w:t xml:space="preserve"> </w:t>
      </w:r>
      <w:r w:rsidRPr="00AC4C54">
        <w:rPr>
          <w:rFonts w:ascii="Arial" w:eastAsia="Times New Roman" w:hAnsi="Arial" w:cs="Arial"/>
          <w:sz w:val="20"/>
          <w:szCs w:val="20"/>
        </w:rPr>
        <w:t>nema danih zajmova u izvještajnom razdoblju, niti potraživanja za dane zajmove iz prethodnih godina.</w:t>
      </w:r>
    </w:p>
    <w:p w14:paraId="7735AC15" w14:textId="77777777" w:rsidR="00F2348E" w:rsidRPr="00AC4C54" w:rsidRDefault="00F2348E" w:rsidP="00F2348E">
      <w:pPr>
        <w:spacing w:after="0" w:line="240" w:lineRule="auto"/>
        <w:jc w:val="both"/>
        <w:rPr>
          <w:rFonts w:ascii="Arial" w:eastAsia="Calibri" w:hAnsi="Arial" w:cs="Arial"/>
          <w:sz w:val="20"/>
          <w:szCs w:val="20"/>
          <w:lang w:eastAsia="en-US"/>
        </w:rPr>
      </w:pPr>
    </w:p>
    <w:p w14:paraId="10796E95" w14:textId="5318A219" w:rsidR="00AB5F4A" w:rsidRPr="00AC4C54" w:rsidRDefault="00AB5F4A" w:rsidP="00AB5F4A">
      <w:pPr>
        <w:autoSpaceDE w:val="0"/>
        <w:autoSpaceDN w:val="0"/>
        <w:adjustRightInd w:val="0"/>
        <w:spacing w:after="0" w:line="240" w:lineRule="auto"/>
        <w:jc w:val="both"/>
        <w:rPr>
          <w:rFonts w:ascii="Arial" w:eastAsia="Times New Roman" w:hAnsi="Arial" w:cs="Arial"/>
          <w:sz w:val="20"/>
          <w:szCs w:val="20"/>
        </w:rPr>
      </w:pPr>
      <w:r w:rsidRPr="00AC4C54">
        <w:rPr>
          <w:rFonts w:ascii="Arial" w:eastAsia="Times New Roman" w:hAnsi="Arial" w:cs="Arial"/>
          <w:b/>
          <w:bCs/>
          <w:sz w:val="20"/>
          <w:szCs w:val="20"/>
        </w:rPr>
        <w:t>Proračunski korisnici</w:t>
      </w:r>
      <w:r w:rsidRPr="00AC4C54">
        <w:rPr>
          <w:rFonts w:ascii="Arial" w:eastAsia="Times New Roman" w:hAnsi="Arial" w:cs="Arial"/>
          <w:sz w:val="20"/>
          <w:szCs w:val="20"/>
        </w:rPr>
        <w:t xml:space="preserve"> Općine Konavle (Dječji vrtić Konavle, Muzeji i galerije Konavala, Javna vatrogasna postrojba Konavle, Dom za starije i nemoćne osobe Konavle) nisu davali zajmove, te nemaju niti potraživanja za dane zajmove iz tekuće ili prethodnih godina.</w:t>
      </w:r>
    </w:p>
    <w:p w14:paraId="47ADACE1" w14:textId="77777777" w:rsidR="00F2348E" w:rsidRPr="00010109" w:rsidRDefault="00F2348E" w:rsidP="00F2348E">
      <w:pPr>
        <w:spacing w:after="0" w:line="240" w:lineRule="auto"/>
        <w:jc w:val="both"/>
        <w:rPr>
          <w:rFonts w:ascii="Arial" w:eastAsia="Calibri" w:hAnsi="Arial" w:cs="Arial"/>
          <w:lang w:eastAsia="en-US"/>
        </w:rPr>
      </w:pPr>
    </w:p>
    <w:p w14:paraId="6CCE0555" w14:textId="77777777" w:rsidR="00F2348E" w:rsidRPr="00010109" w:rsidRDefault="00F2348E" w:rsidP="00F2348E">
      <w:pPr>
        <w:spacing w:after="0" w:line="240" w:lineRule="auto"/>
        <w:jc w:val="both"/>
        <w:rPr>
          <w:rFonts w:ascii="Arial" w:eastAsia="Calibri" w:hAnsi="Arial" w:cs="Arial"/>
          <w:lang w:eastAsia="en-US"/>
        </w:rPr>
      </w:pPr>
      <w:r w:rsidRPr="00010109">
        <w:rPr>
          <w:rFonts w:ascii="Arial" w:eastAsia="Calibri" w:hAnsi="Arial" w:cs="Arial"/>
          <w:lang w:eastAsia="en-US"/>
        </w:rPr>
        <w:br w:type="page"/>
      </w:r>
    </w:p>
    <w:p w14:paraId="231BF1DF" w14:textId="296DF78C" w:rsidR="008F05E4" w:rsidRPr="001A064B" w:rsidRDefault="008F05E4" w:rsidP="008F05E4">
      <w:pPr>
        <w:pStyle w:val="Naslov2"/>
        <w:jc w:val="center"/>
        <w:rPr>
          <w:rFonts w:ascii="Arial" w:hAnsi="Arial" w:cs="Arial"/>
          <w:sz w:val="22"/>
          <w:lang w:val="hr-HR"/>
        </w:rPr>
      </w:pPr>
      <w:bookmarkStart w:id="724" w:name="_4.6._IZVJEŠTAJ_O"/>
      <w:bookmarkStart w:id="725" w:name="_Toc232981502"/>
      <w:bookmarkStart w:id="726" w:name="_Toc494714825"/>
      <w:bookmarkEnd w:id="724"/>
      <w:r w:rsidRPr="001A064B">
        <w:rPr>
          <w:rFonts w:ascii="Arial" w:hAnsi="Arial" w:cs="Arial"/>
          <w:sz w:val="22"/>
          <w:lang w:val="hr-HR"/>
        </w:rPr>
        <w:lastRenderedPageBreak/>
        <w:t>4.6.</w:t>
      </w:r>
      <w:r w:rsidRPr="001A064B">
        <w:rPr>
          <w:rFonts w:ascii="Arial" w:hAnsi="Arial" w:cs="Arial"/>
          <w:sz w:val="22"/>
          <w:lang w:val="hr-HR"/>
        </w:rPr>
        <w:tab/>
      </w:r>
      <w:bookmarkStart w:id="727" w:name="Potraživanja"/>
      <w:bookmarkEnd w:id="727"/>
      <w:r w:rsidRPr="001A064B">
        <w:rPr>
          <w:rFonts w:ascii="Arial" w:hAnsi="Arial" w:cs="Arial"/>
          <w:sz w:val="22"/>
          <w:lang w:val="hr-HR"/>
        </w:rPr>
        <w:t>IZVJEŠTAJ O STANJU POTRAŽIVANJA I DOSPJELIH OBVEZA TE STANJU POTENCIJALNIH OBVEZA PO OSNOVI SUDSKIH SPOROVA</w:t>
      </w:r>
      <w:bookmarkEnd w:id="725"/>
    </w:p>
    <w:p w14:paraId="7B033E8D" w14:textId="77777777" w:rsidR="008F05E4" w:rsidRPr="001A064B" w:rsidRDefault="008F05E4" w:rsidP="00A10402">
      <w:pPr>
        <w:spacing w:after="0"/>
        <w:rPr>
          <w:lang w:eastAsia="en-US"/>
        </w:rPr>
      </w:pPr>
    </w:p>
    <w:p w14:paraId="093125CE" w14:textId="4BA5AAE0" w:rsidR="00EA65B3" w:rsidRPr="001A064B" w:rsidRDefault="00FC0E6E" w:rsidP="008F05E4">
      <w:pPr>
        <w:pStyle w:val="Naslov3"/>
        <w:jc w:val="center"/>
        <w:rPr>
          <w:rFonts w:ascii="Arial" w:hAnsi="Arial" w:cs="Arial"/>
          <w:sz w:val="22"/>
          <w:szCs w:val="22"/>
          <w:lang w:val="hr-HR"/>
        </w:rPr>
      </w:pPr>
      <w:bookmarkStart w:id="728" w:name="_Toc232981503"/>
      <w:r w:rsidRPr="001A064B">
        <w:rPr>
          <w:rFonts w:ascii="Arial" w:hAnsi="Arial" w:cs="Arial"/>
          <w:sz w:val="22"/>
          <w:szCs w:val="22"/>
          <w:lang w:val="hr-HR"/>
        </w:rPr>
        <w:t>4.6</w:t>
      </w:r>
      <w:r w:rsidR="00EA65B3" w:rsidRPr="001A064B">
        <w:rPr>
          <w:rFonts w:ascii="Arial" w:hAnsi="Arial" w:cs="Arial"/>
          <w:sz w:val="22"/>
          <w:szCs w:val="22"/>
          <w:lang w:val="hr-HR"/>
        </w:rPr>
        <w:t>.</w:t>
      </w:r>
      <w:r w:rsidR="008F05E4" w:rsidRPr="001A064B">
        <w:rPr>
          <w:rFonts w:ascii="Arial" w:hAnsi="Arial" w:cs="Arial"/>
          <w:sz w:val="22"/>
          <w:szCs w:val="22"/>
          <w:lang w:val="hr-HR"/>
        </w:rPr>
        <w:t>1.</w:t>
      </w:r>
      <w:r w:rsidR="00EA65B3" w:rsidRPr="001A064B">
        <w:rPr>
          <w:rFonts w:ascii="Arial" w:hAnsi="Arial" w:cs="Arial"/>
          <w:sz w:val="22"/>
          <w:szCs w:val="22"/>
          <w:lang w:val="hr-HR"/>
        </w:rPr>
        <w:tab/>
        <w:t>STANJE NENAPLAĆENIH POTRAŽIVANJA</w:t>
      </w:r>
      <w:bookmarkEnd w:id="728"/>
    </w:p>
    <w:p w14:paraId="3D84026A" w14:textId="77777777" w:rsidR="00EA65B3" w:rsidRPr="001A064B" w:rsidRDefault="00EA65B3" w:rsidP="00EA65B3">
      <w:pPr>
        <w:spacing w:after="0" w:line="240" w:lineRule="auto"/>
        <w:rPr>
          <w:rFonts w:ascii="Arial" w:eastAsia="Times New Roman" w:hAnsi="Arial" w:cs="Arial"/>
          <w:sz w:val="20"/>
          <w:szCs w:val="20"/>
        </w:rPr>
      </w:pPr>
    </w:p>
    <w:p w14:paraId="76503FFF" w14:textId="50C1043D" w:rsidR="00EA65B3" w:rsidRPr="001A064B" w:rsidRDefault="00EA65B3" w:rsidP="00EA65B3">
      <w:pPr>
        <w:spacing w:after="0" w:line="240" w:lineRule="auto"/>
        <w:jc w:val="both"/>
        <w:rPr>
          <w:rFonts w:ascii="Arial" w:eastAsia="Times New Roman" w:hAnsi="Arial" w:cs="Arial"/>
          <w:sz w:val="20"/>
          <w:szCs w:val="20"/>
        </w:rPr>
      </w:pPr>
      <w:bookmarkStart w:id="729" w:name="_Hlk166668718"/>
      <w:bookmarkStart w:id="730" w:name="_Hlk115073956"/>
      <w:r w:rsidRPr="001A064B">
        <w:rPr>
          <w:rFonts w:ascii="Arial" w:eastAsia="Times New Roman" w:hAnsi="Arial" w:cs="Arial"/>
          <w:b/>
          <w:sz w:val="20"/>
          <w:szCs w:val="20"/>
        </w:rPr>
        <w:t>Potraživanja Općine</w:t>
      </w:r>
      <w:r w:rsidRPr="001A064B">
        <w:rPr>
          <w:rFonts w:ascii="Arial" w:eastAsia="Times New Roman" w:hAnsi="Arial" w:cs="Arial"/>
          <w:sz w:val="20"/>
          <w:szCs w:val="20"/>
        </w:rPr>
        <w:t xml:space="preserve"> za prihode poslovanja (16) i prihode od prodaje nefinancijske imovine (17) iskazana su u iznosu </w:t>
      </w:r>
      <w:r w:rsidR="00E1099A">
        <w:rPr>
          <w:rFonts w:ascii="Arial" w:eastAsia="Times New Roman" w:hAnsi="Arial" w:cs="Arial"/>
          <w:b/>
          <w:sz w:val="20"/>
          <w:szCs w:val="20"/>
        </w:rPr>
        <w:t>2.124.811,34</w:t>
      </w:r>
      <w:r w:rsidR="0086386B" w:rsidRPr="001A064B">
        <w:rPr>
          <w:rFonts w:ascii="Arial" w:eastAsia="Times New Roman" w:hAnsi="Arial" w:cs="Arial"/>
          <w:b/>
          <w:sz w:val="20"/>
          <w:szCs w:val="20"/>
        </w:rPr>
        <w:t xml:space="preserve"> €</w:t>
      </w:r>
      <w:r w:rsidRPr="001A064B">
        <w:rPr>
          <w:rFonts w:ascii="Arial" w:eastAsia="Times New Roman" w:hAnsi="Arial" w:cs="Arial"/>
          <w:sz w:val="20"/>
          <w:szCs w:val="20"/>
        </w:rPr>
        <w:t xml:space="preserve"> (bez ispravka vrijednosti). Potraživanja za naknade koje se refundiraju (bolovanja) </w:t>
      </w:r>
      <w:r w:rsidR="00BB5656" w:rsidRPr="001A064B">
        <w:rPr>
          <w:rFonts w:ascii="Arial" w:eastAsia="Times New Roman" w:hAnsi="Arial" w:cs="Arial"/>
          <w:sz w:val="20"/>
          <w:szCs w:val="20"/>
        </w:rPr>
        <w:t xml:space="preserve">i ostale naknade </w:t>
      </w:r>
      <w:r w:rsidRPr="001A064B">
        <w:rPr>
          <w:rFonts w:ascii="Arial" w:eastAsia="Times New Roman" w:hAnsi="Arial" w:cs="Arial"/>
          <w:sz w:val="20"/>
          <w:szCs w:val="20"/>
        </w:rPr>
        <w:t xml:space="preserve">iznose </w:t>
      </w:r>
      <w:r w:rsidR="00E1099A">
        <w:rPr>
          <w:rFonts w:ascii="Arial" w:eastAsia="Times New Roman" w:hAnsi="Arial" w:cs="Arial"/>
          <w:sz w:val="20"/>
          <w:szCs w:val="20"/>
        </w:rPr>
        <w:t>562,65</w:t>
      </w:r>
      <w:r w:rsidR="0086386B" w:rsidRPr="001A064B">
        <w:rPr>
          <w:rFonts w:ascii="Arial" w:eastAsia="Times New Roman" w:hAnsi="Arial" w:cs="Arial"/>
          <w:sz w:val="20"/>
          <w:szCs w:val="20"/>
        </w:rPr>
        <w:t xml:space="preserve"> €</w:t>
      </w:r>
      <w:r w:rsidRPr="001A064B">
        <w:rPr>
          <w:rFonts w:ascii="Arial" w:eastAsia="Times New Roman" w:hAnsi="Arial" w:cs="Arial"/>
          <w:sz w:val="20"/>
          <w:szCs w:val="20"/>
        </w:rPr>
        <w:t xml:space="preserve">, </w:t>
      </w:r>
      <w:r w:rsidR="001B4293" w:rsidRPr="001A064B">
        <w:rPr>
          <w:rFonts w:ascii="Arial" w:eastAsia="Times New Roman" w:hAnsi="Arial" w:cs="Arial"/>
          <w:sz w:val="20"/>
          <w:szCs w:val="20"/>
        </w:rPr>
        <w:t xml:space="preserve">potraživanja za više plaćene poreze i doprinose </w:t>
      </w:r>
      <w:r w:rsidR="00E1099A">
        <w:rPr>
          <w:rFonts w:ascii="Arial" w:eastAsia="Times New Roman" w:hAnsi="Arial" w:cs="Arial"/>
          <w:sz w:val="20"/>
          <w:szCs w:val="20"/>
        </w:rPr>
        <w:t>453,79</w:t>
      </w:r>
      <w:r w:rsidR="001B4293" w:rsidRPr="001A064B">
        <w:rPr>
          <w:rFonts w:ascii="Arial" w:eastAsia="Times New Roman" w:hAnsi="Arial" w:cs="Arial"/>
          <w:sz w:val="20"/>
          <w:szCs w:val="20"/>
        </w:rPr>
        <w:t xml:space="preserve"> €</w:t>
      </w:r>
      <w:r w:rsidR="0086386B" w:rsidRPr="001A064B">
        <w:rPr>
          <w:rFonts w:ascii="Arial" w:eastAsia="Times New Roman" w:hAnsi="Arial" w:cs="Arial"/>
          <w:sz w:val="20"/>
          <w:szCs w:val="20"/>
        </w:rPr>
        <w:t>,</w:t>
      </w:r>
      <w:r w:rsidR="00946512">
        <w:rPr>
          <w:rFonts w:ascii="Arial" w:eastAsia="Times New Roman" w:hAnsi="Arial" w:cs="Arial"/>
          <w:sz w:val="20"/>
          <w:szCs w:val="20"/>
        </w:rPr>
        <w:t xml:space="preserve"> potraživanja za dani jamčevni polog 1.000 €, potraživanja za dane predujmove 32.940,49 €, potraživanja za dani predujam za EU projekt subjektima izvan općeg proračuna 1.110.133,82 €</w:t>
      </w:r>
      <w:r w:rsidR="00A34B63">
        <w:rPr>
          <w:rFonts w:ascii="Arial" w:eastAsia="Times New Roman" w:hAnsi="Arial" w:cs="Arial"/>
          <w:sz w:val="20"/>
          <w:szCs w:val="20"/>
        </w:rPr>
        <w:t xml:space="preserve"> </w:t>
      </w:r>
      <w:r w:rsidRPr="001A064B">
        <w:rPr>
          <w:rFonts w:ascii="Arial" w:eastAsia="Times New Roman" w:hAnsi="Arial" w:cs="Arial"/>
          <w:sz w:val="20"/>
          <w:szCs w:val="20"/>
        </w:rPr>
        <w:t>te sveukupna potraživanja</w:t>
      </w:r>
      <w:r w:rsidR="001A064B" w:rsidRPr="001A064B">
        <w:rPr>
          <w:rFonts w:ascii="Arial" w:eastAsia="Times New Roman" w:hAnsi="Arial" w:cs="Arial"/>
          <w:sz w:val="20"/>
          <w:szCs w:val="20"/>
        </w:rPr>
        <w:t xml:space="preserve"> (skupina računa 12+16+17)</w:t>
      </w:r>
      <w:r w:rsidRPr="001A064B">
        <w:rPr>
          <w:rFonts w:ascii="Arial" w:eastAsia="Times New Roman" w:hAnsi="Arial" w:cs="Arial"/>
          <w:sz w:val="20"/>
          <w:szCs w:val="20"/>
        </w:rPr>
        <w:t xml:space="preserve"> iznose </w:t>
      </w:r>
      <w:r w:rsidR="00946512">
        <w:rPr>
          <w:rFonts w:ascii="Arial" w:eastAsia="Times New Roman" w:hAnsi="Arial" w:cs="Arial"/>
          <w:b/>
          <w:i/>
          <w:sz w:val="20"/>
          <w:szCs w:val="20"/>
        </w:rPr>
        <w:t>3.270.108,49</w:t>
      </w:r>
      <w:r w:rsidR="0086386B" w:rsidRPr="001A064B">
        <w:rPr>
          <w:rFonts w:ascii="Arial" w:eastAsia="Times New Roman" w:hAnsi="Arial" w:cs="Arial"/>
          <w:b/>
          <w:i/>
          <w:sz w:val="20"/>
          <w:szCs w:val="20"/>
        </w:rPr>
        <w:t xml:space="preserve"> €</w:t>
      </w:r>
      <w:r w:rsidRPr="001A064B">
        <w:rPr>
          <w:rFonts w:ascii="Arial" w:eastAsia="Times New Roman" w:hAnsi="Arial" w:cs="Arial"/>
          <w:sz w:val="20"/>
          <w:szCs w:val="20"/>
        </w:rPr>
        <w:t>. Ispravak vrijednosti potraživanja za prihode poslovanja i prihode od prodaje nefinancijske imovine koncem 202</w:t>
      </w:r>
      <w:r w:rsidR="00946512">
        <w:rPr>
          <w:rFonts w:ascii="Arial" w:eastAsia="Times New Roman" w:hAnsi="Arial" w:cs="Arial"/>
          <w:sz w:val="20"/>
          <w:szCs w:val="20"/>
        </w:rPr>
        <w:t>5</w:t>
      </w:r>
      <w:r w:rsidRPr="001A064B">
        <w:rPr>
          <w:rFonts w:ascii="Arial" w:eastAsia="Times New Roman" w:hAnsi="Arial" w:cs="Arial"/>
          <w:sz w:val="20"/>
          <w:szCs w:val="20"/>
        </w:rPr>
        <w:t>. je</w:t>
      </w:r>
      <w:r w:rsidR="001B4293" w:rsidRPr="001A064B">
        <w:rPr>
          <w:rFonts w:ascii="Arial" w:eastAsia="Times New Roman" w:hAnsi="Arial" w:cs="Arial"/>
          <w:sz w:val="20"/>
          <w:szCs w:val="20"/>
        </w:rPr>
        <w:t xml:space="preserve"> </w:t>
      </w:r>
      <w:r w:rsidRPr="001A064B">
        <w:rPr>
          <w:rFonts w:ascii="Arial" w:eastAsia="Times New Roman" w:hAnsi="Arial" w:cs="Arial"/>
          <w:sz w:val="20"/>
          <w:szCs w:val="20"/>
        </w:rPr>
        <w:t xml:space="preserve">iskazan u iznosu </w:t>
      </w:r>
      <w:r w:rsidR="00946512">
        <w:rPr>
          <w:rFonts w:ascii="Arial" w:eastAsia="Times New Roman" w:hAnsi="Arial" w:cs="Arial"/>
          <w:sz w:val="20"/>
          <w:szCs w:val="20"/>
        </w:rPr>
        <w:t>436.924,63 €, te potraživanja umanjena za ispravak vrijednosti iznose 2.</w:t>
      </w:r>
      <w:r w:rsidR="008D4B5F">
        <w:rPr>
          <w:rFonts w:ascii="Arial" w:eastAsia="Times New Roman" w:hAnsi="Arial" w:cs="Arial"/>
          <w:sz w:val="20"/>
          <w:szCs w:val="20"/>
        </w:rPr>
        <w:t>833.183,86 €</w:t>
      </w:r>
      <w:r w:rsidR="001B4293" w:rsidRPr="001A064B">
        <w:rPr>
          <w:rFonts w:ascii="Arial" w:eastAsia="Times New Roman" w:hAnsi="Arial" w:cs="Arial"/>
          <w:sz w:val="20"/>
          <w:szCs w:val="20"/>
        </w:rPr>
        <w:t xml:space="preserve">. </w:t>
      </w:r>
    </w:p>
    <w:p w14:paraId="7DE9B440" w14:textId="77777777" w:rsidR="001B4293" w:rsidRPr="001A064B" w:rsidRDefault="001B4293" w:rsidP="00EA65B3">
      <w:pPr>
        <w:spacing w:after="0" w:line="240" w:lineRule="auto"/>
        <w:jc w:val="both"/>
        <w:rPr>
          <w:rFonts w:ascii="Arial" w:eastAsia="Times New Roman" w:hAnsi="Arial" w:cs="Arial"/>
          <w:sz w:val="20"/>
          <w:szCs w:val="20"/>
        </w:rPr>
      </w:pPr>
    </w:p>
    <w:p w14:paraId="39C5AFD3" w14:textId="19B9CE69" w:rsidR="001B4293" w:rsidRPr="001A064B" w:rsidRDefault="00EA65B3" w:rsidP="001B4293">
      <w:pPr>
        <w:spacing w:after="0" w:line="240" w:lineRule="auto"/>
        <w:jc w:val="both"/>
        <w:rPr>
          <w:rFonts w:ascii="Arial" w:eastAsia="Times New Roman" w:hAnsi="Arial" w:cs="Arial"/>
          <w:sz w:val="20"/>
          <w:szCs w:val="20"/>
        </w:rPr>
      </w:pPr>
      <w:r w:rsidRPr="001A064B">
        <w:rPr>
          <w:rFonts w:ascii="Arial" w:eastAsia="Times New Roman" w:hAnsi="Arial" w:cs="Arial"/>
          <w:b/>
          <w:sz w:val="20"/>
          <w:szCs w:val="20"/>
        </w:rPr>
        <w:t>Potraživanja četiri proračunska korisnika</w:t>
      </w:r>
      <w:r w:rsidRPr="001A064B">
        <w:rPr>
          <w:rFonts w:ascii="Arial" w:eastAsia="Times New Roman" w:hAnsi="Arial" w:cs="Arial"/>
          <w:sz w:val="20"/>
          <w:szCs w:val="20"/>
        </w:rPr>
        <w:t xml:space="preserve"> za prihode poslovanja</w:t>
      </w:r>
      <w:r w:rsidR="00BC5343" w:rsidRPr="001A064B">
        <w:rPr>
          <w:rFonts w:ascii="Arial" w:eastAsia="Times New Roman" w:hAnsi="Arial" w:cs="Arial"/>
          <w:sz w:val="20"/>
          <w:szCs w:val="20"/>
        </w:rPr>
        <w:t xml:space="preserve"> (16)</w:t>
      </w:r>
      <w:r w:rsidRPr="001A064B">
        <w:rPr>
          <w:rFonts w:ascii="Arial" w:eastAsia="Times New Roman" w:hAnsi="Arial" w:cs="Arial"/>
          <w:sz w:val="20"/>
          <w:szCs w:val="20"/>
        </w:rPr>
        <w:t xml:space="preserve"> i prihode od prodaje nefinancijske imovine </w:t>
      </w:r>
      <w:r w:rsidR="00BC5343" w:rsidRPr="001A064B">
        <w:rPr>
          <w:rFonts w:ascii="Arial" w:eastAsia="Times New Roman" w:hAnsi="Arial" w:cs="Arial"/>
          <w:sz w:val="20"/>
          <w:szCs w:val="20"/>
        </w:rPr>
        <w:t xml:space="preserve">(17) </w:t>
      </w:r>
      <w:r w:rsidRPr="001A064B">
        <w:rPr>
          <w:rFonts w:ascii="Arial" w:eastAsia="Times New Roman" w:hAnsi="Arial" w:cs="Arial"/>
          <w:sz w:val="20"/>
          <w:szCs w:val="20"/>
        </w:rPr>
        <w:t xml:space="preserve">iznose </w:t>
      </w:r>
      <w:r w:rsidR="00C34882">
        <w:rPr>
          <w:rFonts w:ascii="Arial" w:eastAsia="Times New Roman" w:hAnsi="Arial" w:cs="Arial"/>
          <w:b/>
          <w:sz w:val="20"/>
          <w:szCs w:val="20"/>
        </w:rPr>
        <w:t>271.651,70</w:t>
      </w:r>
      <w:r w:rsidR="0086386B" w:rsidRPr="001A064B">
        <w:rPr>
          <w:rFonts w:ascii="Arial" w:eastAsia="Times New Roman" w:hAnsi="Arial" w:cs="Arial"/>
          <w:b/>
          <w:sz w:val="20"/>
          <w:szCs w:val="20"/>
        </w:rPr>
        <w:t xml:space="preserve"> €</w:t>
      </w:r>
      <w:r w:rsidRPr="001A064B">
        <w:rPr>
          <w:rFonts w:ascii="Arial" w:eastAsia="Times New Roman" w:hAnsi="Arial" w:cs="Arial"/>
          <w:sz w:val="20"/>
          <w:szCs w:val="20"/>
        </w:rPr>
        <w:t xml:space="preserve"> (</w:t>
      </w:r>
      <w:r w:rsidRPr="001A064B">
        <w:rPr>
          <w:rFonts w:ascii="Arial" w:eastAsia="Times New Roman" w:hAnsi="Arial" w:cs="Arial"/>
          <w:sz w:val="20"/>
          <w:szCs w:val="20"/>
          <w:u w:val="single"/>
        </w:rPr>
        <w:t xml:space="preserve">od čega potraživanja proračunskih korisnika za naplaćene prihode putem proračunske riznice iznose </w:t>
      </w:r>
      <w:r w:rsidR="00C34882">
        <w:rPr>
          <w:rFonts w:ascii="Arial" w:eastAsia="Times New Roman" w:hAnsi="Arial" w:cs="Arial"/>
          <w:sz w:val="20"/>
          <w:szCs w:val="20"/>
          <w:u w:val="single"/>
        </w:rPr>
        <w:t>229.365,59</w:t>
      </w:r>
      <w:r w:rsidR="0086386B" w:rsidRPr="001A064B">
        <w:rPr>
          <w:rFonts w:ascii="Arial" w:eastAsia="Times New Roman" w:hAnsi="Arial" w:cs="Arial"/>
          <w:sz w:val="20"/>
          <w:szCs w:val="20"/>
          <w:u w:val="single"/>
        </w:rPr>
        <w:t xml:space="preserve"> €</w:t>
      </w:r>
      <w:r w:rsidRPr="001A064B">
        <w:rPr>
          <w:rFonts w:ascii="Arial" w:eastAsia="Times New Roman" w:hAnsi="Arial" w:cs="Arial"/>
          <w:sz w:val="20"/>
          <w:szCs w:val="20"/>
        </w:rPr>
        <w:t xml:space="preserve">, a ostala potraživanja iznose </w:t>
      </w:r>
      <w:r w:rsidR="00C34882">
        <w:rPr>
          <w:rFonts w:ascii="Arial" w:eastAsia="Times New Roman" w:hAnsi="Arial" w:cs="Arial"/>
          <w:sz w:val="20"/>
          <w:szCs w:val="20"/>
        </w:rPr>
        <w:t>42.286,11</w:t>
      </w:r>
      <w:r w:rsidR="0086386B" w:rsidRPr="001A064B">
        <w:rPr>
          <w:rFonts w:ascii="Arial" w:eastAsia="Times New Roman" w:hAnsi="Arial" w:cs="Arial"/>
          <w:sz w:val="20"/>
          <w:szCs w:val="20"/>
        </w:rPr>
        <w:t xml:space="preserve"> €</w:t>
      </w:r>
      <w:r w:rsidRPr="001A064B">
        <w:rPr>
          <w:rFonts w:ascii="Arial" w:eastAsia="Times New Roman" w:hAnsi="Arial" w:cs="Arial"/>
          <w:sz w:val="20"/>
          <w:szCs w:val="20"/>
        </w:rPr>
        <w:t xml:space="preserve">). Potraživanja za naknade koje se refundiraju (bolovanja) iznose </w:t>
      </w:r>
      <w:r w:rsidR="00C34882">
        <w:rPr>
          <w:rFonts w:ascii="Arial" w:eastAsia="Times New Roman" w:hAnsi="Arial" w:cs="Arial"/>
          <w:sz w:val="20"/>
          <w:szCs w:val="20"/>
        </w:rPr>
        <w:t>22.338,33</w:t>
      </w:r>
      <w:r w:rsidR="0086386B" w:rsidRPr="001A064B">
        <w:rPr>
          <w:rFonts w:ascii="Arial" w:eastAsia="Times New Roman" w:hAnsi="Arial" w:cs="Arial"/>
          <w:sz w:val="20"/>
          <w:szCs w:val="20"/>
        </w:rPr>
        <w:t xml:space="preserve"> €</w:t>
      </w:r>
      <w:r w:rsidRPr="001A064B">
        <w:rPr>
          <w:rFonts w:ascii="Arial" w:eastAsia="Times New Roman" w:hAnsi="Arial" w:cs="Arial"/>
          <w:sz w:val="20"/>
          <w:szCs w:val="20"/>
        </w:rPr>
        <w:t xml:space="preserve">, potraživanja za više plaćene poreze i doprinose </w:t>
      </w:r>
      <w:r w:rsidR="00A34B63">
        <w:rPr>
          <w:rFonts w:ascii="Arial" w:eastAsia="Times New Roman" w:hAnsi="Arial" w:cs="Arial"/>
          <w:sz w:val="20"/>
          <w:szCs w:val="20"/>
        </w:rPr>
        <w:t>0</w:t>
      </w:r>
      <w:r w:rsidR="0086386B" w:rsidRPr="001A064B">
        <w:rPr>
          <w:rFonts w:ascii="Arial" w:eastAsia="Times New Roman" w:hAnsi="Arial" w:cs="Arial"/>
          <w:sz w:val="20"/>
          <w:szCs w:val="20"/>
        </w:rPr>
        <w:t xml:space="preserve"> €</w:t>
      </w:r>
      <w:r w:rsidRPr="001A064B">
        <w:rPr>
          <w:rFonts w:ascii="Arial" w:eastAsia="Times New Roman" w:hAnsi="Arial" w:cs="Arial"/>
          <w:sz w:val="20"/>
          <w:szCs w:val="20"/>
        </w:rPr>
        <w:t>,</w:t>
      </w:r>
      <w:r w:rsidR="00BC5343" w:rsidRPr="001A064B">
        <w:rPr>
          <w:rFonts w:ascii="Arial" w:eastAsia="Times New Roman" w:hAnsi="Arial" w:cs="Arial"/>
          <w:sz w:val="20"/>
          <w:szCs w:val="20"/>
        </w:rPr>
        <w:t xml:space="preserve"> </w:t>
      </w:r>
      <w:r w:rsidRPr="001A064B">
        <w:rPr>
          <w:rFonts w:ascii="Arial" w:eastAsia="Times New Roman" w:hAnsi="Arial" w:cs="Arial"/>
          <w:sz w:val="20"/>
          <w:szCs w:val="20"/>
        </w:rPr>
        <w:t xml:space="preserve">te sveukupna potraživanja iznose </w:t>
      </w:r>
      <w:r w:rsidR="00C34882">
        <w:rPr>
          <w:rFonts w:ascii="Arial" w:eastAsia="Times New Roman" w:hAnsi="Arial" w:cs="Arial"/>
          <w:b/>
          <w:sz w:val="20"/>
          <w:szCs w:val="20"/>
        </w:rPr>
        <w:t>293.990,03</w:t>
      </w:r>
      <w:r w:rsidR="00BC5343" w:rsidRPr="001A064B">
        <w:rPr>
          <w:rFonts w:ascii="Arial" w:eastAsia="Times New Roman" w:hAnsi="Arial" w:cs="Arial"/>
          <w:b/>
          <w:sz w:val="20"/>
          <w:szCs w:val="20"/>
        </w:rPr>
        <w:t xml:space="preserve"> €</w:t>
      </w:r>
      <w:r w:rsidRPr="001A064B">
        <w:rPr>
          <w:rFonts w:ascii="Arial" w:eastAsia="Times New Roman" w:hAnsi="Arial" w:cs="Arial"/>
          <w:sz w:val="20"/>
          <w:szCs w:val="20"/>
        </w:rPr>
        <w:t xml:space="preserve">. Od proračunskih korisnika, </w:t>
      </w:r>
      <w:r w:rsidR="00F97CF9" w:rsidRPr="001A064B">
        <w:rPr>
          <w:rFonts w:ascii="Arial" w:eastAsia="Times New Roman" w:hAnsi="Arial" w:cs="Arial"/>
          <w:sz w:val="20"/>
          <w:szCs w:val="20"/>
        </w:rPr>
        <w:t xml:space="preserve">koncem </w:t>
      </w:r>
      <w:r w:rsidR="00794016">
        <w:rPr>
          <w:rFonts w:ascii="Arial" w:eastAsia="Times New Roman" w:hAnsi="Arial" w:cs="Arial"/>
          <w:sz w:val="20"/>
          <w:szCs w:val="20"/>
        </w:rPr>
        <w:t>202</w:t>
      </w:r>
      <w:r w:rsidR="00C34882">
        <w:rPr>
          <w:rFonts w:ascii="Arial" w:eastAsia="Times New Roman" w:hAnsi="Arial" w:cs="Arial"/>
          <w:sz w:val="20"/>
          <w:szCs w:val="20"/>
        </w:rPr>
        <w:t>5</w:t>
      </w:r>
      <w:r w:rsidR="00F97CF9" w:rsidRPr="001A064B">
        <w:rPr>
          <w:rFonts w:ascii="Arial" w:eastAsia="Times New Roman" w:hAnsi="Arial" w:cs="Arial"/>
          <w:sz w:val="20"/>
          <w:szCs w:val="20"/>
        </w:rPr>
        <w:t xml:space="preserve">. godine </w:t>
      </w:r>
      <w:r w:rsidRPr="001A064B">
        <w:rPr>
          <w:rFonts w:ascii="Arial" w:eastAsia="Times New Roman" w:hAnsi="Arial" w:cs="Arial"/>
          <w:sz w:val="20"/>
          <w:szCs w:val="20"/>
        </w:rPr>
        <w:t xml:space="preserve">samo je ustanova Muzeji i galerije Konavala iskazala ispravak vrijednosti potraživanja u iznosu </w:t>
      </w:r>
      <w:r w:rsidR="001A064B" w:rsidRPr="001A064B">
        <w:rPr>
          <w:rFonts w:ascii="Arial" w:eastAsia="Times New Roman" w:hAnsi="Arial" w:cs="Arial"/>
          <w:sz w:val="20"/>
          <w:szCs w:val="20"/>
        </w:rPr>
        <w:t>56</w:t>
      </w:r>
      <w:r w:rsidR="00C34882">
        <w:rPr>
          <w:rFonts w:ascii="Arial" w:eastAsia="Times New Roman" w:hAnsi="Arial" w:cs="Arial"/>
          <w:sz w:val="20"/>
          <w:szCs w:val="20"/>
        </w:rPr>
        <w:t>5,02</w:t>
      </w:r>
      <w:r w:rsidR="00F97CF9" w:rsidRPr="001A064B">
        <w:rPr>
          <w:rFonts w:ascii="Arial" w:eastAsia="Times New Roman" w:hAnsi="Arial" w:cs="Arial"/>
          <w:sz w:val="20"/>
          <w:szCs w:val="20"/>
        </w:rPr>
        <w:t xml:space="preserve"> €</w:t>
      </w:r>
      <w:r w:rsidRPr="001A064B">
        <w:rPr>
          <w:rFonts w:ascii="Arial" w:eastAsia="Times New Roman" w:hAnsi="Arial" w:cs="Arial"/>
          <w:sz w:val="20"/>
          <w:szCs w:val="20"/>
        </w:rPr>
        <w:t>.</w:t>
      </w:r>
      <w:r w:rsidR="00F97CF9" w:rsidRPr="001A064B">
        <w:rPr>
          <w:rFonts w:ascii="Arial" w:eastAsia="Times New Roman" w:hAnsi="Arial" w:cs="Arial"/>
          <w:sz w:val="20"/>
          <w:szCs w:val="20"/>
        </w:rPr>
        <w:t xml:space="preserve"> </w:t>
      </w:r>
    </w:p>
    <w:p w14:paraId="38E61A95" w14:textId="77777777" w:rsidR="00EA65B3" w:rsidRPr="001A064B" w:rsidRDefault="00EA65B3" w:rsidP="00EA65B3">
      <w:pPr>
        <w:spacing w:after="0" w:line="240" w:lineRule="auto"/>
        <w:jc w:val="both"/>
        <w:rPr>
          <w:rFonts w:ascii="Arial" w:eastAsia="Times New Roman" w:hAnsi="Arial" w:cs="Arial"/>
          <w:sz w:val="20"/>
          <w:szCs w:val="20"/>
        </w:rPr>
      </w:pPr>
    </w:p>
    <w:bookmarkEnd w:id="729"/>
    <w:p w14:paraId="6E96A343" w14:textId="4691F015" w:rsidR="00EA65B3" w:rsidRPr="001A064B" w:rsidRDefault="00EA65B3" w:rsidP="00EA65B3">
      <w:pPr>
        <w:spacing w:after="0" w:line="240" w:lineRule="auto"/>
        <w:jc w:val="both"/>
        <w:rPr>
          <w:rFonts w:ascii="Arial" w:eastAsia="Times New Roman" w:hAnsi="Arial" w:cs="Arial"/>
          <w:sz w:val="20"/>
          <w:szCs w:val="20"/>
        </w:rPr>
      </w:pPr>
      <w:r w:rsidRPr="001A064B">
        <w:rPr>
          <w:rFonts w:ascii="Arial" w:eastAsia="Times New Roman" w:hAnsi="Arial" w:cs="Arial"/>
          <w:b/>
          <w:bCs/>
          <w:sz w:val="20"/>
          <w:szCs w:val="20"/>
        </w:rPr>
        <w:t>Konsolidirana potraživanja</w:t>
      </w:r>
      <w:r w:rsidRPr="001A064B">
        <w:rPr>
          <w:rFonts w:ascii="Arial" w:eastAsia="Times New Roman" w:hAnsi="Arial" w:cs="Arial"/>
          <w:sz w:val="20"/>
          <w:szCs w:val="20"/>
        </w:rPr>
        <w:t xml:space="preserve"> za prihode poslovanja (16), prihode od prodaje nefinancijske imovine (17), te druga potraživanja (12) iznose </w:t>
      </w:r>
      <w:r w:rsidR="00427F7A">
        <w:rPr>
          <w:rFonts w:ascii="Arial" w:eastAsia="Times New Roman" w:hAnsi="Arial" w:cs="Arial"/>
          <w:b/>
          <w:bCs/>
          <w:sz w:val="20"/>
          <w:szCs w:val="20"/>
        </w:rPr>
        <w:t>3.334.732,93</w:t>
      </w:r>
      <w:r w:rsidR="00F97CF9" w:rsidRPr="001A064B">
        <w:rPr>
          <w:rFonts w:ascii="Arial" w:eastAsia="Times New Roman" w:hAnsi="Arial" w:cs="Arial"/>
          <w:b/>
          <w:bCs/>
          <w:sz w:val="20"/>
          <w:szCs w:val="20"/>
        </w:rPr>
        <w:t xml:space="preserve"> €</w:t>
      </w:r>
      <w:r w:rsidRPr="001A064B">
        <w:rPr>
          <w:rFonts w:ascii="Arial" w:eastAsia="Times New Roman" w:hAnsi="Arial" w:cs="Arial"/>
          <w:sz w:val="20"/>
          <w:szCs w:val="20"/>
        </w:rPr>
        <w:t xml:space="preserve"> </w:t>
      </w:r>
      <w:r w:rsidRPr="001A064B">
        <w:rPr>
          <w:rFonts w:ascii="Arial" w:eastAsia="Times New Roman" w:hAnsi="Arial" w:cs="Arial"/>
          <w:b/>
          <w:bCs/>
          <w:sz w:val="20"/>
          <w:szCs w:val="20"/>
        </w:rPr>
        <w:t xml:space="preserve">bez </w:t>
      </w:r>
      <w:bookmarkStart w:id="731" w:name="_Hlk115074100"/>
      <w:bookmarkEnd w:id="730"/>
      <w:r w:rsidRPr="001A064B">
        <w:rPr>
          <w:rFonts w:ascii="Arial" w:eastAsia="Times New Roman" w:hAnsi="Arial" w:cs="Arial"/>
          <w:b/>
          <w:bCs/>
          <w:sz w:val="20"/>
          <w:szCs w:val="20"/>
        </w:rPr>
        <w:t>ispravka vrijednosti</w:t>
      </w:r>
      <w:r w:rsidRPr="001A064B">
        <w:rPr>
          <w:rFonts w:ascii="Arial" w:eastAsia="Times New Roman" w:hAnsi="Arial" w:cs="Arial"/>
          <w:sz w:val="20"/>
          <w:szCs w:val="20"/>
        </w:rPr>
        <w:t xml:space="preserve"> (potraživanja umanjena za potraživanja proračunskih korisnika za naplaćene prihode putem proračunske riznice u iznosu </w:t>
      </w:r>
      <w:r w:rsidR="00427F7A">
        <w:rPr>
          <w:rFonts w:ascii="Arial" w:eastAsia="Times New Roman" w:hAnsi="Arial" w:cs="Arial"/>
          <w:sz w:val="20"/>
          <w:szCs w:val="20"/>
        </w:rPr>
        <w:t>229.365,59</w:t>
      </w:r>
      <w:r w:rsidR="00F97CF9" w:rsidRPr="001A064B">
        <w:rPr>
          <w:rFonts w:ascii="Arial" w:eastAsia="Times New Roman" w:hAnsi="Arial" w:cs="Arial"/>
          <w:sz w:val="20"/>
          <w:szCs w:val="20"/>
        </w:rPr>
        <w:t xml:space="preserve"> €</w:t>
      </w:r>
      <w:r w:rsidR="001A064B" w:rsidRPr="001A064B">
        <w:rPr>
          <w:rFonts w:ascii="Arial" w:eastAsia="Times New Roman" w:hAnsi="Arial" w:cs="Arial"/>
          <w:sz w:val="20"/>
          <w:szCs w:val="20"/>
        </w:rPr>
        <w:t xml:space="preserve"> i za potraživanja od proračunskih korisnika za povrat u proračun u iznosu </w:t>
      </w:r>
      <w:r w:rsidR="00A34B63">
        <w:rPr>
          <w:rFonts w:ascii="Arial" w:eastAsia="Times New Roman" w:hAnsi="Arial" w:cs="Arial"/>
          <w:sz w:val="20"/>
          <w:szCs w:val="20"/>
        </w:rPr>
        <w:t>0</w:t>
      </w:r>
      <w:r w:rsidR="001A064B" w:rsidRPr="001A064B">
        <w:rPr>
          <w:rFonts w:ascii="Arial" w:eastAsia="Times New Roman" w:hAnsi="Arial" w:cs="Arial"/>
          <w:sz w:val="20"/>
          <w:szCs w:val="20"/>
        </w:rPr>
        <w:t xml:space="preserve"> €</w:t>
      </w:r>
      <w:r w:rsidRPr="001A064B">
        <w:rPr>
          <w:rFonts w:ascii="Arial" w:eastAsia="Times New Roman" w:hAnsi="Arial" w:cs="Arial"/>
          <w:sz w:val="20"/>
          <w:szCs w:val="20"/>
        </w:rPr>
        <w:t>).</w:t>
      </w:r>
      <w:bookmarkEnd w:id="731"/>
    </w:p>
    <w:p w14:paraId="7158DC1C" w14:textId="6ADD20D6" w:rsidR="00A10402" w:rsidRDefault="00EA65B3" w:rsidP="00EA65B3">
      <w:pPr>
        <w:spacing w:after="0" w:line="240" w:lineRule="auto"/>
        <w:jc w:val="both"/>
        <w:rPr>
          <w:rFonts w:ascii="Arial" w:eastAsia="Times New Roman" w:hAnsi="Arial" w:cs="Arial"/>
          <w:sz w:val="20"/>
          <w:szCs w:val="20"/>
        </w:rPr>
      </w:pPr>
      <w:r w:rsidRPr="001A064B">
        <w:rPr>
          <w:rFonts w:ascii="Arial" w:eastAsia="Times New Roman" w:hAnsi="Arial" w:cs="Arial"/>
          <w:sz w:val="20"/>
          <w:szCs w:val="20"/>
        </w:rPr>
        <w:t xml:space="preserve">U slijedećoj tablici daje se zbirno stanje potraživanja Općine i proračunskih korisnika na dan </w:t>
      </w:r>
      <w:r w:rsidR="00427F7A">
        <w:rPr>
          <w:rFonts w:ascii="Arial" w:eastAsia="Times New Roman" w:hAnsi="Arial" w:cs="Arial"/>
          <w:sz w:val="20"/>
          <w:szCs w:val="20"/>
        </w:rPr>
        <w:t>31.12.2025</w:t>
      </w:r>
      <w:r w:rsidRPr="001A064B">
        <w:rPr>
          <w:rFonts w:ascii="Arial" w:eastAsia="Times New Roman" w:hAnsi="Arial" w:cs="Arial"/>
          <w:sz w:val="20"/>
          <w:szCs w:val="20"/>
        </w:rPr>
        <w:t xml:space="preserve">. Ispravci potraživanja koja uzimaju vrijeme kašnjenja plaćanja, a prema odredbama članka 37.a Pravilnika o proračunskom računovodstvu i Računskom planu (NN 124/14, 115/15, 87/16, 3/18, 126/19, 108/20), </w:t>
      </w:r>
      <w:r w:rsidR="00F97CF9" w:rsidRPr="001A064B">
        <w:rPr>
          <w:rFonts w:ascii="Arial" w:eastAsia="Times New Roman" w:hAnsi="Arial" w:cs="Arial"/>
          <w:sz w:val="20"/>
          <w:szCs w:val="20"/>
        </w:rPr>
        <w:t>koncem 202</w:t>
      </w:r>
      <w:r w:rsidR="00427F7A">
        <w:rPr>
          <w:rFonts w:ascii="Arial" w:eastAsia="Times New Roman" w:hAnsi="Arial" w:cs="Arial"/>
          <w:sz w:val="20"/>
          <w:szCs w:val="20"/>
        </w:rPr>
        <w:t>5</w:t>
      </w:r>
      <w:r w:rsidR="00F97CF9" w:rsidRPr="001A064B">
        <w:rPr>
          <w:rFonts w:ascii="Arial" w:eastAsia="Times New Roman" w:hAnsi="Arial" w:cs="Arial"/>
          <w:sz w:val="20"/>
          <w:szCs w:val="20"/>
        </w:rPr>
        <w:t xml:space="preserve">. su </w:t>
      </w:r>
      <w:r w:rsidR="00427F7A">
        <w:rPr>
          <w:rFonts w:ascii="Arial" w:eastAsia="Times New Roman" w:hAnsi="Arial" w:cs="Arial"/>
          <w:sz w:val="20"/>
          <w:szCs w:val="20"/>
        </w:rPr>
        <w:t>iskazane</w:t>
      </w:r>
      <w:r w:rsidRPr="001A064B">
        <w:rPr>
          <w:rFonts w:ascii="Arial" w:eastAsia="Times New Roman" w:hAnsi="Arial" w:cs="Arial"/>
          <w:sz w:val="20"/>
          <w:szCs w:val="20"/>
        </w:rPr>
        <w:t xml:space="preserve"> sveukupno u iznosu </w:t>
      </w:r>
      <w:r w:rsidR="00427F7A">
        <w:rPr>
          <w:rFonts w:ascii="Arial" w:eastAsia="Times New Roman" w:hAnsi="Arial" w:cs="Arial"/>
          <w:sz w:val="20"/>
          <w:szCs w:val="20"/>
        </w:rPr>
        <w:t>437.489,65 €</w:t>
      </w:r>
      <w:r w:rsidR="001A064B" w:rsidRPr="001A064B">
        <w:rPr>
          <w:rFonts w:ascii="Arial" w:eastAsia="Times New Roman" w:hAnsi="Arial" w:cs="Arial"/>
          <w:sz w:val="20"/>
          <w:szCs w:val="20"/>
        </w:rPr>
        <w:t xml:space="preserve"> </w:t>
      </w:r>
      <w:r w:rsidR="00427F7A">
        <w:rPr>
          <w:rFonts w:ascii="Arial" w:eastAsia="Times New Roman" w:hAnsi="Arial" w:cs="Arial"/>
          <w:sz w:val="20"/>
          <w:szCs w:val="20"/>
        </w:rPr>
        <w:t>(Općina i proračunski korisnik Muzeji i galerije).</w:t>
      </w:r>
    </w:p>
    <w:p w14:paraId="551373C6" w14:textId="77777777" w:rsidR="00427F7A" w:rsidRDefault="00427F7A" w:rsidP="00EA65B3">
      <w:pPr>
        <w:spacing w:after="0" w:line="240" w:lineRule="auto"/>
        <w:jc w:val="both"/>
        <w:rPr>
          <w:rFonts w:ascii="Arial" w:eastAsia="Times New Roman" w:hAnsi="Arial" w:cs="Arial"/>
          <w:sz w:val="20"/>
          <w:szCs w:val="20"/>
        </w:rPr>
      </w:pPr>
    </w:p>
    <w:p w14:paraId="4C749614" w14:textId="77777777" w:rsidR="001A064B" w:rsidRDefault="001A064B" w:rsidP="00EA65B3">
      <w:pPr>
        <w:spacing w:after="0" w:line="240" w:lineRule="auto"/>
        <w:jc w:val="both"/>
        <w:rPr>
          <w:rFonts w:ascii="Arial" w:eastAsia="Times New Roman" w:hAnsi="Arial" w:cs="Arial"/>
          <w:sz w:val="20"/>
          <w:szCs w:val="20"/>
        </w:rPr>
      </w:pPr>
    </w:p>
    <w:p w14:paraId="50F9B9D4" w14:textId="77777777" w:rsidR="001A064B" w:rsidRDefault="001A064B" w:rsidP="00EA65B3">
      <w:pPr>
        <w:spacing w:after="0" w:line="240" w:lineRule="auto"/>
        <w:jc w:val="both"/>
        <w:rPr>
          <w:rFonts w:ascii="Arial" w:eastAsia="Times New Roman" w:hAnsi="Arial" w:cs="Arial"/>
          <w:sz w:val="20"/>
          <w:szCs w:val="20"/>
        </w:rPr>
      </w:pPr>
    </w:p>
    <w:p w14:paraId="31DC5E7D" w14:textId="77777777" w:rsidR="001A064B" w:rsidRDefault="001A064B" w:rsidP="00EA65B3">
      <w:pPr>
        <w:spacing w:after="0" w:line="240" w:lineRule="auto"/>
        <w:jc w:val="both"/>
        <w:rPr>
          <w:rFonts w:ascii="Arial" w:eastAsia="Times New Roman" w:hAnsi="Arial" w:cs="Arial"/>
          <w:sz w:val="20"/>
          <w:szCs w:val="20"/>
        </w:rPr>
      </w:pPr>
    </w:p>
    <w:p w14:paraId="389FD7CB" w14:textId="77777777" w:rsidR="001A064B" w:rsidRDefault="001A064B" w:rsidP="00EA65B3">
      <w:pPr>
        <w:spacing w:after="0" w:line="240" w:lineRule="auto"/>
        <w:jc w:val="both"/>
        <w:rPr>
          <w:rFonts w:ascii="Arial" w:eastAsia="Times New Roman" w:hAnsi="Arial" w:cs="Arial"/>
          <w:sz w:val="20"/>
          <w:szCs w:val="20"/>
        </w:rPr>
      </w:pPr>
    </w:p>
    <w:p w14:paraId="251239A2" w14:textId="77777777" w:rsidR="001A064B" w:rsidRDefault="001A064B" w:rsidP="00EA65B3">
      <w:pPr>
        <w:spacing w:after="0" w:line="240" w:lineRule="auto"/>
        <w:jc w:val="both"/>
        <w:rPr>
          <w:rFonts w:ascii="Arial" w:eastAsia="Times New Roman" w:hAnsi="Arial" w:cs="Arial"/>
          <w:sz w:val="20"/>
          <w:szCs w:val="20"/>
        </w:rPr>
      </w:pPr>
    </w:p>
    <w:p w14:paraId="3674690C" w14:textId="77777777" w:rsidR="001A064B" w:rsidRDefault="001A064B" w:rsidP="00EA65B3">
      <w:pPr>
        <w:spacing w:after="0" w:line="240" w:lineRule="auto"/>
        <w:jc w:val="both"/>
        <w:rPr>
          <w:rFonts w:ascii="Arial" w:eastAsia="Times New Roman" w:hAnsi="Arial" w:cs="Arial"/>
          <w:sz w:val="20"/>
          <w:szCs w:val="20"/>
        </w:rPr>
      </w:pPr>
    </w:p>
    <w:p w14:paraId="59556791" w14:textId="77777777" w:rsidR="001A064B" w:rsidRDefault="001A064B" w:rsidP="00EA65B3">
      <w:pPr>
        <w:spacing w:after="0" w:line="240" w:lineRule="auto"/>
        <w:jc w:val="both"/>
        <w:rPr>
          <w:rFonts w:ascii="Arial" w:eastAsia="Times New Roman" w:hAnsi="Arial" w:cs="Arial"/>
          <w:sz w:val="20"/>
          <w:szCs w:val="20"/>
        </w:rPr>
      </w:pPr>
    </w:p>
    <w:p w14:paraId="57B5116E" w14:textId="77777777" w:rsidR="001A064B" w:rsidRDefault="001A064B" w:rsidP="00EA65B3">
      <w:pPr>
        <w:spacing w:after="0" w:line="240" w:lineRule="auto"/>
        <w:jc w:val="both"/>
        <w:rPr>
          <w:rFonts w:ascii="Arial" w:eastAsia="Times New Roman" w:hAnsi="Arial" w:cs="Arial"/>
          <w:sz w:val="20"/>
          <w:szCs w:val="20"/>
        </w:rPr>
      </w:pPr>
    </w:p>
    <w:p w14:paraId="425BE6CC" w14:textId="77777777" w:rsidR="001A064B" w:rsidRDefault="001A064B" w:rsidP="00EA65B3">
      <w:pPr>
        <w:spacing w:after="0" w:line="240" w:lineRule="auto"/>
        <w:jc w:val="both"/>
        <w:rPr>
          <w:rFonts w:ascii="Arial" w:eastAsia="Times New Roman" w:hAnsi="Arial" w:cs="Arial"/>
          <w:sz w:val="20"/>
          <w:szCs w:val="20"/>
        </w:rPr>
      </w:pPr>
    </w:p>
    <w:p w14:paraId="2F5F4B41" w14:textId="77777777" w:rsidR="001A064B" w:rsidRDefault="001A064B" w:rsidP="00EA65B3">
      <w:pPr>
        <w:spacing w:after="0" w:line="240" w:lineRule="auto"/>
        <w:jc w:val="both"/>
        <w:rPr>
          <w:rFonts w:ascii="Arial" w:eastAsia="Times New Roman" w:hAnsi="Arial" w:cs="Arial"/>
          <w:sz w:val="20"/>
          <w:szCs w:val="20"/>
        </w:rPr>
      </w:pPr>
    </w:p>
    <w:p w14:paraId="084BB594" w14:textId="77777777" w:rsidR="001A064B" w:rsidRDefault="001A064B" w:rsidP="00EA65B3">
      <w:pPr>
        <w:spacing w:after="0" w:line="240" w:lineRule="auto"/>
        <w:jc w:val="both"/>
        <w:rPr>
          <w:rFonts w:ascii="Arial" w:eastAsia="Times New Roman" w:hAnsi="Arial" w:cs="Arial"/>
          <w:sz w:val="20"/>
          <w:szCs w:val="20"/>
        </w:rPr>
      </w:pPr>
    </w:p>
    <w:p w14:paraId="4043F6DE" w14:textId="77777777" w:rsidR="001A064B" w:rsidRDefault="001A064B" w:rsidP="00EA65B3">
      <w:pPr>
        <w:spacing w:after="0" w:line="240" w:lineRule="auto"/>
        <w:jc w:val="both"/>
        <w:rPr>
          <w:rFonts w:ascii="Arial" w:eastAsia="Times New Roman" w:hAnsi="Arial" w:cs="Arial"/>
          <w:sz w:val="20"/>
          <w:szCs w:val="20"/>
        </w:rPr>
      </w:pPr>
    </w:p>
    <w:p w14:paraId="7A8CA9F3" w14:textId="77777777" w:rsidR="001A064B" w:rsidRDefault="001A064B" w:rsidP="00EA65B3">
      <w:pPr>
        <w:spacing w:after="0" w:line="240" w:lineRule="auto"/>
        <w:jc w:val="both"/>
        <w:rPr>
          <w:rFonts w:ascii="Arial" w:eastAsia="Times New Roman" w:hAnsi="Arial" w:cs="Arial"/>
          <w:sz w:val="20"/>
          <w:szCs w:val="20"/>
        </w:rPr>
      </w:pPr>
    </w:p>
    <w:p w14:paraId="32646F77" w14:textId="77777777" w:rsidR="001A064B" w:rsidRDefault="001A064B" w:rsidP="00EA65B3">
      <w:pPr>
        <w:spacing w:after="0" w:line="240" w:lineRule="auto"/>
        <w:jc w:val="both"/>
        <w:rPr>
          <w:rFonts w:ascii="Arial" w:eastAsia="Times New Roman" w:hAnsi="Arial" w:cs="Arial"/>
          <w:sz w:val="20"/>
          <w:szCs w:val="20"/>
        </w:rPr>
      </w:pPr>
    </w:p>
    <w:p w14:paraId="76BA7DB6" w14:textId="77777777" w:rsidR="001A064B" w:rsidRDefault="001A064B" w:rsidP="00EA65B3">
      <w:pPr>
        <w:spacing w:after="0" w:line="240" w:lineRule="auto"/>
        <w:jc w:val="both"/>
        <w:rPr>
          <w:rFonts w:ascii="Arial" w:eastAsia="Times New Roman" w:hAnsi="Arial" w:cs="Arial"/>
          <w:sz w:val="20"/>
          <w:szCs w:val="20"/>
        </w:rPr>
      </w:pPr>
    </w:p>
    <w:p w14:paraId="5781DB37" w14:textId="77777777" w:rsidR="001A064B" w:rsidRPr="003A2F86" w:rsidRDefault="001A064B" w:rsidP="00EA65B3">
      <w:pPr>
        <w:spacing w:after="0" w:line="240" w:lineRule="auto"/>
        <w:jc w:val="both"/>
        <w:rPr>
          <w:rFonts w:ascii="Arial" w:eastAsia="Times New Roman" w:hAnsi="Arial" w:cs="Arial"/>
          <w:sz w:val="20"/>
          <w:szCs w:val="20"/>
        </w:rPr>
      </w:pPr>
    </w:p>
    <w:p w14:paraId="3EDB882F" w14:textId="616F1936" w:rsidR="00EA65B3" w:rsidRDefault="00EA65B3" w:rsidP="00EA65B3">
      <w:pPr>
        <w:pStyle w:val="Opisslike"/>
        <w:keepNext/>
        <w:jc w:val="both"/>
        <w:rPr>
          <w:rFonts w:ascii="Arial" w:hAnsi="Arial" w:cs="Arial"/>
          <w:bCs w:val="0"/>
          <w:iCs/>
        </w:rPr>
      </w:pPr>
      <w:bookmarkStart w:id="732" w:name="_Toc232981555"/>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36</w:t>
      </w:r>
      <w:r w:rsidRPr="003A2F86">
        <w:rPr>
          <w:noProof/>
          <w:color w:val="FF0000"/>
        </w:rPr>
        <w:fldChar w:fldCharType="end"/>
      </w:r>
      <w:r w:rsidRPr="003A2F86">
        <w:rPr>
          <w:color w:val="FF0000"/>
        </w:rPr>
        <w:t>.:</w:t>
      </w:r>
      <w:r w:rsidRPr="003A2F86">
        <w:t xml:space="preserve"> </w:t>
      </w:r>
      <w:r w:rsidRPr="003A2F86">
        <w:rPr>
          <w:rFonts w:ascii="Arial" w:hAnsi="Arial" w:cs="Arial"/>
          <w:bCs w:val="0"/>
          <w:iCs/>
        </w:rPr>
        <w:t xml:space="preserve">Pregled potraživanja na dan </w:t>
      </w:r>
      <w:r w:rsidR="00427F7A">
        <w:rPr>
          <w:rFonts w:ascii="Arial" w:hAnsi="Arial" w:cs="Arial"/>
          <w:bCs w:val="0"/>
          <w:iCs/>
        </w:rPr>
        <w:t>31.12</w:t>
      </w:r>
      <w:r w:rsidR="00A34B63">
        <w:rPr>
          <w:rFonts w:ascii="Arial" w:hAnsi="Arial" w:cs="Arial"/>
          <w:bCs w:val="0"/>
          <w:iCs/>
        </w:rPr>
        <w:t>.2025</w:t>
      </w:r>
      <w:r w:rsidRPr="003A2F86">
        <w:rPr>
          <w:rFonts w:ascii="Arial" w:hAnsi="Arial" w:cs="Arial"/>
          <w:bCs w:val="0"/>
          <w:iCs/>
        </w:rPr>
        <w:t>. – Općina i proračunski korisnici</w:t>
      </w:r>
      <w:bookmarkEnd w:id="732"/>
    </w:p>
    <w:p w14:paraId="7816DA11" w14:textId="77777777" w:rsidR="00427F7A" w:rsidRPr="00427F7A" w:rsidRDefault="00427F7A" w:rsidP="00427F7A">
      <w:pPr>
        <w:rPr>
          <w:lang w:eastAsia="en-US"/>
        </w:rPr>
      </w:pPr>
    </w:p>
    <w:p w14:paraId="5017B99D" w14:textId="46C280EE" w:rsidR="00C476D0" w:rsidRPr="003A2F86" w:rsidRDefault="00427F7A" w:rsidP="00C476D0">
      <w:pPr>
        <w:spacing w:after="0" w:line="240" w:lineRule="auto"/>
        <w:jc w:val="center"/>
        <w:rPr>
          <w:noProof/>
        </w:rPr>
      </w:pPr>
      <w:r w:rsidRPr="00427F7A">
        <w:rPr>
          <w:noProof/>
        </w:rPr>
        <w:drawing>
          <wp:inline distT="0" distB="0" distL="0" distR="0" wp14:anchorId="2776684C" wp14:editId="7614CA0F">
            <wp:extent cx="9251950" cy="3387725"/>
            <wp:effectExtent l="0" t="0" r="6350" b="3175"/>
            <wp:docPr id="1908244457"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9251950" cy="3387725"/>
                    </a:xfrm>
                    <a:prstGeom prst="rect">
                      <a:avLst/>
                    </a:prstGeom>
                    <a:noFill/>
                    <a:ln>
                      <a:noFill/>
                    </a:ln>
                  </pic:spPr>
                </pic:pic>
              </a:graphicData>
            </a:graphic>
          </wp:inline>
        </w:drawing>
      </w:r>
    </w:p>
    <w:p w14:paraId="2F29F291" w14:textId="77777777" w:rsidR="00427F7A" w:rsidRDefault="00427F7A" w:rsidP="00C476D0">
      <w:pPr>
        <w:spacing w:after="0" w:line="240" w:lineRule="auto"/>
        <w:jc w:val="both"/>
        <w:rPr>
          <w:noProof/>
        </w:rPr>
      </w:pPr>
    </w:p>
    <w:p w14:paraId="3938A5E9" w14:textId="1FB8BFCE" w:rsidR="00C476D0" w:rsidRDefault="00C476D0" w:rsidP="00C476D0">
      <w:pPr>
        <w:spacing w:after="0" w:line="240" w:lineRule="auto"/>
        <w:jc w:val="both"/>
        <w:rPr>
          <w:noProof/>
        </w:rPr>
      </w:pPr>
    </w:p>
    <w:p w14:paraId="4D41A85F" w14:textId="77777777" w:rsidR="00C476D0" w:rsidRDefault="00C476D0" w:rsidP="00C476D0">
      <w:pPr>
        <w:spacing w:after="0" w:line="240" w:lineRule="auto"/>
        <w:jc w:val="both"/>
        <w:rPr>
          <w:noProof/>
        </w:rPr>
      </w:pPr>
    </w:p>
    <w:p w14:paraId="1A047D61" w14:textId="63871404" w:rsidR="00551237" w:rsidRDefault="00551237" w:rsidP="00EA65B3">
      <w:pPr>
        <w:spacing w:after="0" w:line="240" w:lineRule="auto"/>
        <w:jc w:val="both"/>
        <w:rPr>
          <w:noProof/>
        </w:rPr>
      </w:pPr>
    </w:p>
    <w:p w14:paraId="2669B792" w14:textId="5899094E" w:rsidR="00CA75F1" w:rsidRDefault="00CA75F1" w:rsidP="00CA75F1">
      <w:pPr>
        <w:spacing w:after="0" w:line="240" w:lineRule="auto"/>
        <w:jc w:val="center"/>
      </w:pPr>
    </w:p>
    <w:p w14:paraId="592FEF90" w14:textId="77777777" w:rsidR="00852972" w:rsidRDefault="00852972" w:rsidP="00CA75F1">
      <w:pPr>
        <w:spacing w:after="0" w:line="240" w:lineRule="auto"/>
        <w:jc w:val="center"/>
      </w:pPr>
    </w:p>
    <w:p w14:paraId="07BD2B08" w14:textId="77777777" w:rsidR="00852972" w:rsidRDefault="00852972" w:rsidP="00CA75F1">
      <w:pPr>
        <w:spacing w:after="0" w:line="240" w:lineRule="auto"/>
        <w:jc w:val="center"/>
      </w:pPr>
    </w:p>
    <w:p w14:paraId="4FE839E7" w14:textId="77777777" w:rsidR="00852972" w:rsidRDefault="00852972" w:rsidP="00CA75F1">
      <w:pPr>
        <w:spacing w:after="0" w:line="240" w:lineRule="auto"/>
        <w:jc w:val="center"/>
      </w:pPr>
    </w:p>
    <w:p w14:paraId="3F5ECA6C" w14:textId="77777777" w:rsidR="00852972" w:rsidRDefault="00852972" w:rsidP="00CA75F1">
      <w:pPr>
        <w:spacing w:after="0" w:line="240" w:lineRule="auto"/>
        <w:jc w:val="center"/>
      </w:pPr>
    </w:p>
    <w:p w14:paraId="362A4D74" w14:textId="77777777" w:rsidR="00852972" w:rsidRDefault="00852972" w:rsidP="00CA75F1">
      <w:pPr>
        <w:spacing w:after="0" w:line="240" w:lineRule="auto"/>
        <w:jc w:val="center"/>
      </w:pPr>
    </w:p>
    <w:p w14:paraId="2835C4E4" w14:textId="77777777" w:rsidR="00852972" w:rsidRDefault="00852972" w:rsidP="00CA75F1">
      <w:pPr>
        <w:spacing w:after="0" w:line="240" w:lineRule="auto"/>
        <w:jc w:val="center"/>
      </w:pPr>
    </w:p>
    <w:p w14:paraId="72373266" w14:textId="77777777" w:rsidR="00852972" w:rsidRDefault="00852972" w:rsidP="00CA75F1">
      <w:pPr>
        <w:spacing w:after="0" w:line="240" w:lineRule="auto"/>
        <w:jc w:val="center"/>
      </w:pPr>
    </w:p>
    <w:p w14:paraId="60D58F58" w14:textId="512023C4" w:rsidR="00852972" w:rsidRDefault="00852972" w:rsidP="00CA75F1">
      <w:pPr>
        <w:spacing w:after="0" w:line="240" w:lineRule="auto"/>
        <w:jc w:val="center"/>
      </w:pPr>
      <w:r w:rsidRPr="00852972">
        <w:rPr>
          <w:noProof/>
        </w:rPr>
        <w:lastRenderedPageBreak/>
        <w:drawing>
          <wp:inline distT="0" distB="0" distL="0" distR="0" wp14:anchorId="143612E1" wp14:editId="602DEB7B">
            <wp:extent cx="9251950" cy="5862955"/>
            <wp:effectExtent l="0" t="0" r="6350" b="4445"/>
            <wp:docPr id="1869919676"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9251950" cy="5862955"/>
                    </a:xfrm>
                    <a:prstGeom prst="rect">
                      <a:avLst/>
                    </a:prstGeom>
                    <a:noFill/>
                    <a:ln>
                      <a:noFill/>
                    </a:ln>
                  </pic:spPr>
                </pic:pic>
              </a:graphicData>
            </a:graphic>
          </wp:inline>
        </w:drawing>
      </w:r>
    </w:p>
    <w:p w14:paraId="37E35895" w14:textId="77777777" w:rsidR="00852972" w:rsidRDefault="00852972" w:rsidP="00CA75F1">
      <w:pPr>
        <w:spacing w:after="0" w:line="240" w:lineRule="auto"/>
        <w:jc w:val="center"/>
        <w:rPr>
          <w:noProof/>
        </w:rPr>
      </w:pPr>
    </w:p>
    <w:p w14:paraId="5D74E66A" w14:textId="045D1155" w:rsidR="00852972" w:rsidRDefault="00852972" w:rsidP="00CA75F1">
      <w:pPr>
        <w:spacing w:after="0" w:line="240" w:lineRule="auto"/>
        <w:jc w:val="center"/>
        <w:rPr>
          <w:noProof/>
        </w:rPr>
      </w:pPr>
      <w:r w:rsidRPr="00852972">
        <w:rPr>
          <w:noProof/>
        </w:rPr>
        <w:lastRenderedPageBreak/>
        <w:drawing>
          <wp:inline distT="0" distB="0" distL="0" distR="0" wp14:anchorId="58B2CEF0" wp14:editId="5C957B9C">
            <wp:extent cx="9251950" cy="1350010"/>
            <wp:effectExtent l="0" t="0" r="6350" b="2540"/>
            <wp:docPr id="263173634"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9251950" cy="1350010"/>
                    </a:xfrm>
                    <a:prstGeom prst="rect">
                      <a:avLst/>
                    </a:prstGeom>
                    <a:noFill/>
                    <a:ln>
                      <a:noFill/>
                    </a:ln>
                  </pic:spPr>
                </pic:pic>
              </a:graphicData>
            </a:graphic>
          </wp:inline>
        </w:drawing>
      </w:r>
    </w:p>
    <w:p w14:paraId="5E2E0D31" w14:textId="77777777" w:rsidR="00852972" w:rsidRDefault="00852972" w:rsidP="00CA75F1">
      <w:pPr>
        <w:spacing w:after="0" w:line="240" w:lineRule="auto"/>
        <w:jc w:val="center"/>
        <w:rPr>
          <w:noProof/>
        </w:rPr>
      </w:pPr>
    </w:p>
    <w:p w14:paraId="5D55356A" w14:textId="6DB400E3" w:rsidR="00CA75F1" w:rsidRDefault="00CA75F1" w:rsidP="00CA75F1">
      <w:pPr>
        <w:spacing w:after="0" w:line="240" w:lineRule="auto"/>
        <w:jc w:val="center"/>
        <w:rPr>
          <w:noProof/>
        </w:rPr>
      </w:pPr>
    </w:p>
    <w:p w14:paraId="7631B1B4" w14:textId="77777777" w:rsidR="00CA75F1" w:rsidRPr="003A2F86" w:rsidRDefault="00CA75F1" w:rsidP="00EA65B3">
      <w:pPr>
        <w:spacing w:after="0" w:line="240" w:lineRule="auto"/>
        <w:jc w:val="both"/>
        <w:rPr>
          <w:noProof/>
        </w:rPr>
      </w:pPr>
    </w:p>
    <w:p w14:paraId="1509CD5E" w14:textId="1C505F62" w:rsidR="00DA73AE" w:rsidRPr="003A2F86" w:rsidRDefault="00DA73AE">
      <w:r w:rsidRPr="003A2F86">
        <w:br w:type="page"/>
      </w:r>
    </w:p>
    <w:p w14:paraId="5267EA33" w14:textId="77777777" w:rsidR="00DA73AE" w:rsidRPr="00551237" w:rsidRDefault="00DA73AE" w:rsidP="00EA65B3">
      <w:pPr>
        <w:spacing w:after="0" w:line="240" w:lineRule="auto"/>
        <w:jc w:val="both"/>
      </w:pPr>
    </w:p>
    <w:p w14:paraId="36FCA8DA" w14:textId="5728FB22" w:rsidR="00EA65B3" w:rsidRPr="00551237" w:rsidRDefault="00FC0E6E" w:rsidP="008F05E4">
      <w:pPr>
        <w:pStyle w:val="Naslov3"/>
        <w:jc w:val="center"/>
        <w:rPr>
          <w:rFonts w:ascii="Arial" w:hAnsi="Arial" w:cs="Arial"/>
          <w:sz w:val="22"/>
          <w:szCs w:val="22"/>
          <w:lang w:val="hr-HR"/>
        </w:rPr>
      </w:pPr>
      <w:bookmarkStart w:id="733" w:name="_Toc232981504"/>
      <w:r w:rsidRPr="00551237">
        <w:rPr>
          <w:rFonts w:ascii="Arial" w:hAnsi="Arial" w:cs="Arial"/>
          <w:sz w:val="22"/>
          <w:szCs w:val="22"/>
          <w:lang w:val="hr-HR"/>
        </w:rPr>
        <w:t>4.</w:t>
      </w:r>
      <w:r w:rsidR="00A10402" w:rsidRPr="00551237">
        <w:rPr>
          <w:rFonts w:ascii="Arial" w:hAnsi="Arial" w:cs="Arial"/>
          <w:sz w:val="22"/>
          <w:szCs w:val="22"/>
          <w:lang w:val="hr-HR"/>
        </w:rPr>
        <w:t>6.2</w:t>
      </w:r>
      <w:r w:rsidRPr="00551237">
        <w:rPr>
          <w:rFonts w:ascii="Arial" w:hAnsi="Arial" w:cs="Arial"/>
          <w:sz w:val="22"/>
          <w:szCs w:val="22"/>
          <w:lang w:val="hr-HR"/>
        </w:rPr>
        <w:t>.</w:t>
      </w:r>
      <w:r w:rsidR="00EA65B3" w:rsidRPr="00551237">
        <w:rPr>
          <w:rFonts w:ascii="Arial" w:hAnsi="Arial" w:cs="Arial"/>
          <w:sz w:val="22"/>
          <w:szCs w:val="22"/>
          <w:lang w:val="hr-HR"/>
        </w:rPr>
        <w:tab/>
      </w:r>
      <w:bookmarkStart w:id="734" w:name="Obveze"/>
      <w:bookmarkEnd w:id="734"/>
      <w:r w:rsidR="00EA65B3" w:rsidRPr="00551237">
        <w:rPr>
          <w:rFonts w:ascii="Arial" w:hAnsi="Arial" w:cs="Arial"/>
          <w:sz w:val="22"/>
          <w:szCs w:val="22"/>
          <w:lang w:val="hr-HR"/>
        </w:rPr>
        <w:t>PREGLED UKUPNIH OBVEZA I STANJE NEPODMIRENIH DOSPJELIH OBVEZA</w:t>
      </w:r>
      <w:bookmarkEnd w:id="733"/>
    </w:p>
    <w:p w14:paraId="15E68565" w14:textId="77777777" w:rsidR="00EA65B3" w:rsidRPr="00C6075C" w:rsidRDefault="00EA65B3" w:rsidP="00EA65B3">
      <w:pPr>
        <w:autoSpaceDE w:val="0"/>
        <w:autoSpaceDN w:val="0"/>
        <w:adjustRightInd w:val="0"/>
        <w:spacing w:after="0" w:line="240" w:lineRule="auto"/>
        <w:jc w:val="both"/>
        <w:rPr>
          <w:rFonts w:ascii="Arial" w:eastAsia="Times New Roman" w:hAnsi="Arial" w:cs="Arial"/>
        </w:rPr>
      </w:pPr>
    </w:p>
    <w:p w14:paraId="47983122" w14:textId="10F0646D" w:rsidR="00EA65B3" w:rsidRPr="00C6075C" w:rsidRDefault="00EA65B3" w:rsidP="00EA65B3">
      <w:pPr>
        <w:spacing w:after="0" w:line="240" w:lineRule="auto"/>
        <w:jc w:val="both"/>
        <w:rPr>
          <w:rFonts w:ascii="Arial" w:eastAsia="Times New Roman" w:hAnsi="Arial" w:cs="Arial"/>
          <w:sz w:val="20"/>
          <w:szCs w:val="20"/>
        </w:rPr>
      </w:pPr>
      <w:bookmarkStart w:id="735" w:name="_Hlk166669308"/>
      <w:r w:rsidRPr="00C6075C">
        <w:rPr>
          <w:rFonts w:ascii="Arial" w:eastAsia="Times New Roman" w:hAnsi="Arial" w:cs="Arial"/>
          <w:b/>
          <w:sz w:val="20"/>
          <w:szCs w:val="20"/>
        </w:rPr>
        <w:t>Obveze Općine</w:t>
      </w:r>
      <w:r w:rsidRPr="00C6075C">
        <w:rPr>
          <w:rFonts w:ascii="Arial" w:eastAsia="Times New Roman" w:hAnsi="Arial" w:cs="Arial"/>
          <w:sz w:val="20"/>
          <w:szCs w:val="20"/>
        </w:rPr>
        <w:t xml:space="preserve"> za rashode poslovanja (23) i rashode za nabavu nefinancijske imovine (24) iznose </w:t>
      </w:r>
      <w:r w:rsidR="0008674E">
        <w:rPr>
          <w:rFonts w:ascii="Arial" w:eastAsia="Times New Roman" w:hAnsi="Arial" w:cs="Arial"/>
          <w:sz w:val="20"/>
          <w:szCs w:val="20"/>
        </w:rPr>
        <w:t>1.577.936,73</w:t>
      </w:r>
      <w:r w:rsidRPr="00C6075C">
        <w:rPr>
          <w:rFonts w:ascii="Arial" w:eastAsia="Times New Roman" w:hAnsi="Arial" w:cs="Arial"/>
          <w:sz w:val="20"/>
          <w:szCs w:val="20"/>
        </w:rPr>
        <w:t xml:space="preserve"> €, a obveze za kredite </w:t>
      </w:r>
      <w:r w:rsidR="00CA75F1">
        <w:rPr>
          <w:rFonts w:ascii="Arial" w:eastAsia="Times New Roman" w:hAnsi="Arial" w:cs="Arial"/>
          <w:sz w:val="20"/>
          <w:szCs w:val="20"/>
        </w:rPr>
        <w:t xml:space="preserve">(26) iznose </w:t>
      </w:r>
      <w:r w:rsidR="0008674E">
        <w:rPr>
          <w:rFonts w:ascii="Arial" w:eastAsia="Times New Roman" w:hAnsi="Arial" w:cs="Arial"/>
          <w:sz w:val="20"/>
          <w:szCs w:val="20"/>
        </w:rPr>
        <w:t>5.349.824,46</w:t>
      </w:r>
      <w:r w:rsidRPr="00C6075C">
        <w:rPr>
          <w:rFonts w:ascii="Arial" w:eastAsia="Times New Roman" w:hAnsi="Arial" w:cs="Arial"/>
          <w:sz w:val="20"/>
          <w:szCs w:val="20"/>
        </w:rPr>
        <w:t xml:space="preserve"> €</w:t>
      </w:r>
      <w:r w:rsidR="00CA75F1">
        <w:rPr>
          <w:rFonts w:ascii="Arial" w:eastAsia="Times New Roman" w:hAnsi="Arial" w:cs="Arial"/>
          <w:sz w:val="20"/>
          <w:szCs w:val="20"/>
        </w:rPr>
        <w:t xml:space="preserve">. Obveze za predujmove, depozite i jamčevne pologe (27) iznose </w:t>
      </w:r>
      <w:r w:rsidR="0008674E">
        <w:rPr>
          <w:rFonts w:ascii="Arial" w:eastAsia="Times New Roman" w:hAnsi="Arial" w:cs="Arial"/>
          <w:sz w:val="20"/>
          <w:szCs w:val="20"/>
        </w:rPr>
        <w:t>2.524.214,31</w:t>
      </w:r>
      <w:r w:rsidR="00CA75F1">
        <w:rPr>
          <w:rFonts w:ascii="Arial" w:eastAsia="Times New Roman" w:hAnsi="Arial" w:cs="Arial"/>
          <w:sz w:val="20"/>
          <w:szCs w:val="20"/>
        </w:rPr>
        <w:t xml:space="preserve"> €. Sveukupno spomenute obveze </w:t>
      </w:r>
      <w:r w:rsidRPr="00C6075C">
        <w:rPr>
          <w:rFonts w:ascii="Arial" w:eastAsia="Times New Roman" w:hAnsi="Arial" w:cs="Arial"/>
          <w:sz w:val="20"/>
          <w:szCs w:val="20"/>
        </w:rPr>
        <w:t>iznos</w:t>
      </w:r>
      <w:r w:rsidR="00CA75F1">
        <w:rPr>
          <w:rFonts w:ascii="Arial" w:eastAsia="Times New Roman" w:hAnsi="Arial" w:cs="Arial"/>
          <w:sz w:val="20"/>
          <w:szCs w:val="20"/>
        </w:rPr>
        <w:t>e</w:t>
      </w:r>
      <w:r w:rsidRPr="00C6075C">
        <w:rPr>
          <w:rFonts w:ascii="Arial" w:eastAsia="Times New Roman" w:hAnsi="Arial" w:cs="Arial"/>
          <w:sz w:val="20"/>
          <w:szCs w:val="20"/>
        </w:rPr>
        <w:t xml:space="preserve"> </w:t>
      </w:r>
      <w:r w:rsidR="0008674E">
        <w:rPr>
          <w:rFonts w:ascii="Arial" w:eastAsia="Times New Roman" w:hAnsi="Arial" w:cs="Arial"/>
          <w:b/>
          <w:bCs/>
          <w:sz w:val="20"/>
          <w:szCs w:val="20"/>
        </w:rPr>
        <w:t>9.451.975,50</w:t>
      </w:r>
      <w:r w:rsidRPr="00C6075C">
        <w:rPr>
          <w:rFonts w:ascii="Arial" w:eastAsia="Times New Roman" w:hAnsi="Arial" w:cs="Arial"/>
          <w:b/>
          <w:bCs/>
          <w:sz w:val="20"/>
          <w:szCs w:val="20"/>
        </w:rPr>
        <w:t xml:space="preserve"> €</w:t>
      </w:r>
      <w:r w:rsidRPr="00C6075C">
        <w:rPr>
          <w:rFonts w:ascii="Arial" w:eastAsia="Times New Roman" w:hAnsi="Arial" w:cs="Arial"/>
          <w:sz w:val="20"/>
          <w:szCs w:val="20"/>
        </w:rPr>
        <w:t>. Obvez</w:t>
      </w:r>
      <w:r w:rsidR="00DA73AE" w:rsidRPr="00C6075C">
        <w:rPr>
          <w:rFonts w:ascii="Arial" w:eastAsia="Times New Roman" w:hAnsi="Arial" w:cs="Arial"/>
          <w:sz w:val="20"/>
          <w:szCs w:val="20"/>
        </w:rPr>
        <w:t>e</w:t>
      </w:r>
      <w:r w:rsidRPr="00C6075C">
        <w:rPr>
          <w:rFonts w:ascii="Arial" w:eastAsia="Times New Roman" w:hAnsi="Arial" w:cs="Arial"/>
          <w:sz w:val="20"/>
          <w:szCs w:val="20"/>
        </w:rPr>
        <w:t xml:space="preserve"> za naplaćene prihode budućeg razdoblja</w:t>
      </w:r>
      <w:r w:rsidR="00CA75F1">
        <w:rPr>
          <w:rFonts w:ascii="Arial" w:eastAsia="Times New Roman" w:hAnsi="Arial" w:cs="Arial"/>
          <w:sz w:val="20"/>
          <w:szCs w:val="20"/>
        </w:rPr>
        <w:t xml:space="preserve"> (292)</w:t>
      </w:r>
      <w:r w:rsidRPr="00C6075C">
        <w:rPr>
          <w:rFonts w:ascii="Arial" w:eastAsia="Times New Roman" w:hAnsi="Arial" w:cs="Arial"/>
          <w:sz w:val="20"/>
          <w:szCs w:val="20"/>
        </w:rPr>
        <w:t xml:space="preserve"> </w:t>
      </w:r>
      <w:r w:rsidR="00DA73AE" w:rsidRPr="00C6075C">
        <w:rPr>
          <w:rFonts w:ascii="Arial" w:eastAsia="Times New Roman" w:hAnsi="Arial" w:cs="Arial"/>
          <w:sz w:val="20"/>
          <w:szCs w:val="20"/>
        </w:rPr>
        <w:t xml:space="preserve">iznose </w:t>
      </w:r>
      <w:r w:rsidR="0008674E">
        <w:rPr>
          <w:rFonts w:ascii="Arial" w:eastAsia="Times New Roman" w:hAnsi="Arial" w:cs="Arial"/>
          <w:sz w:val="20"/>
          <w:szCs w:val="20"/>
        </w:rPr>
        <w:t>10.252,66</w:t>
      </w:r>
      <w:r w:rsidR="00DA73AE" w:rsidRPr="00C6075C">
        <w:rPr>
          <w:rFonts w:ascii="Arial" w:eastAsia="Times New Roman" w:hAnsi="Arial" w:cs="Arial"/>
          <w:sz w:val="20"/>
          <w:szCs w:val="20"/>
        </w:rPr>
        <w:t xml:space="preserve"> €</w:t>
      </w:r>
      <w:r w:rsidRPr="00C6075C">
        <w:rPr>
          <w:rFonts w:ascii="Arial" w:eastAsia="Times New Roman" w:hAnsi="Arial" w:cs="Arial"/>
          <w:sz w:val="20"/>
          <w:szCs w:val="20"/>
        </w:rPr>
        <w:t xml:space="preserve">. </w:t>
      </w:r>
    </w:p>
    <w:p w14:paraId="34A1BD18" w14:textId="77777777" w:rsidR="00EA65B3" w:rsidRPr="00513167" w:rsidRDefault="00EA65B3" w:rsidP="00EA65B3">
      <w:pPr>
        <w:spacing w:after="0" w:line="240" w:lineRule="auto"/>
        <w:jc w:val="both"/>
        <w:rPr>
          <w:rFonts w:ascii="Arial" w:eastAsia="Times New Roman" w:hAnsi="Arial" w:cs="Arial"/>
          <w:sz w:val="20"/>
          <w:szCs w:val="20"/>
        </w:rPr>
      </w:pPr>
    </w:p>
    <w:p w14:paraId="3BE01018" w14:textId="09C0C8D3" w:rsidR="00EA65B3" w:rsidRPr="00513167" w:rsidRDefault="00EA65B3" w:rsidP="00EA65B3">
      <w:pPr>
        <w:spacing w:after="0" w:line="240" w:lineRule="auto"/>
        <w:jc w:val="both"/>
        <w:rPr>
          <w:rFonts w:ascii="Arial" w:eastAsia="Times New Roman" w:hAnsi="Arial" w:cs="Arial"/>
          <w:sz w:val="20"/>
          <w:szCs w:val="20"/>
        </w:rPr>
      </w:pPr>
      <w:r w:rsidRPr="00513167">
        <w:rPr>
          <w:rFonts w:ascii="Arial" w:eastAsia="Times New Roman" w:hAnsi="Arial" w:cs="Arial"/>
          <w:b/>
          <w:sz w:val="20"/>
          <w:szCs w:val="20"/>
        </w:rPr>
        <w:t>Obveze četiri proračunska korisnika</w:t>
      </w:r>
      <w:r w:rsidRPr="00513167">
        <w:rPr>
          <w:rFonts w:ascii="Arial" w:eastAsia="Times New Roman" w:hAnsi="Arial" w:cs="Arial"/>
          <w:sz w:val="20"/>
          <w:szCs w:val="20"/>
        </w:rPr>
        <w:t xml:space="preserve"> iznose </w:t>
      </w:r>
      <w:r w:rsidR="0008674E">
        <w:rPr>
          <w:rFonts w:ascii="Arial" w:eastAsia="Times New Roman" w:hAnsi="Arial" w:cs="Arial"/>
          <w:sz w:val="20"/>
          <w:szCs w:val="20"/>
        </w:rPr>
        <w:t>493.538,90</w:t>
      </w:r>
      <w:r w:rsidRPr="00513167">
        <w:rPr>
          <w:rFonts w:ascii="Arial" w:eastAsia="Times New Roman" w:hAnsi="Arial" w:cs="Arial"/>
          <w:sz w:val="20"/>
          <w:szCs w:val="20"/>
        </w:rPr>
        <w:t xml:space="preserve"> €.</w:t>
      </w:r>
    </w:p>
    <w:p w14:paraId="1DD64269" w14:textId="77777777" w:rsidR="00EA65B3" w:rsidRPr="00513167" w:rsidRDefault="00EA65B3" w:rsidP="00EA65B3">
      <w:pPr>
        <w:spacing w:after="0" w:line="240" w:lineRule="auto"/>
        <w:jc w:val="both"/>
        <w:rPr>
          <w:rFonts w:ascii="Arial" w:eastAsia="Times New Roman" w:hAnsi="Arial" w:cs="Arial"/>
          <w:sz w:val="20"/>
          <w:szCs w:val="20"/>
        </w:rPr>
      </w:pPr>
    </w:p>
    <w:p w14:paraId="3FBE79E1" w14:textId="5E31DE64" w:rsidR="00EA65B3" w:rsidRPr="00513167" w:rsidRDefault="00EA65B3" w:rsidP="00EA65B3">
      <w:pPr>
        <w:spacing w:after="0" w:line="240" w:lineRule="auto"/>
        <w:jc w:val="both"/>
        <w:rPr>
          <w:rFonts w:ascii="Arial" w:eastAsia="Times New Roman" w:hAnsi="Arial" w:cs="Arial"/>
          <w:sz w:val="20"/>
          <w:szCs w:val="20"/>
        </w:rPr>
      </w:pPr>
      <w:bookmarkStart w:id="736" w:name="_Hlk115073782"/>
      <w:r w:rsidRPr="00513167">
        <w:rPr>
          <w:rFonts w:ascii="Arial" w:eastAsia="Times New Roman" w:hAnsi="Arial" w:cs="Arial"/>
          <w:b/>
          <w:sz w:val="20"/>
          <w:szCs w:val="20"/>
        </w:rPr>
        <w:t>Konsolidirane</w:t>
      </w:r>
      <w:r w:rsidRPr="00513167">
        <w:rPr>
          <w:rFonts w:ascii="Arial" w:eastAsia="Times New Roman" w:hAnsi="Arial" w:cs="Arial"/>
          <w:sz w:val="20"/>
          <w:szCs w:val="20"/>
        </w:rPr>
        <w:t xml:space="preserve"> </w:t>
      </w:r>
      <w:r w:rsidRPr="00513167">
        <w:rPr>
          <w:rFonts w:ascii="Arial" w:eastAsia="Times New Roman" w:hAnsi="Arial" w:cs="Arial"/>
          <w:b/>
          <w:sz w:val="20"/>
          <w:szCs w:val="20"/>
        </w:rPr>
        <w:t>obveze</w:t>
      </w:r>
      <w:r w:rsidRPr="00513167">
        <w:rPr>
          <w:rFonts w:ascii="Arial" w:eastAsia="Times New Roman" w:hAnsi="Arial" w:cs="Arial"/>
          <w:sz w:val="20"/>
          <w:szCs w:val="20"/>
        </w:rPr>
        <w:t xml:space="preserve"> za rashode poslovanja</w:t>
      </w:r>
      <w:r w:rsidR="00461275" w:rsidRPr="00513167">
        <w:rPr>
          <w:rFonts w:ascii="Arial" w:eastAsia="Times New Roman" w:hAnsi="Arial" w:cs="Arial"/>
          <w:sz w:val="20"/>
          <w:szCs w:val="20"/>
        </w:rPr>
        <w:t xml:space="preserve"> (23)</w:t>
      </w:r>
      <w:r w:rsidRPr="00513167">
        <w:rPr>
          <w:rFonts w:ascii="Arial" w:eastAsia="Times New Roman" w:hAnsi="Arial" w:cs="Arial"/>
          <w:sz w:val="20"/>
          <w:szCs w:val="20"/>
        </w:rPr>
        <w:t xml:space="preserve"> i obveze za rashode za nabavu nefinancijske imovine </w:t>
      </w:r>
      <w:r w:rsidR="00461275" w:rsidRPr="00513167">
        <w:rPr>
          <w:rFonts w:ascii="Arial" w:eastAsia="Times New Roman" w:hAnsi="Arial" w:cs="Arial"/>
          <w:sz w:val="20"/>
          <w:szCs w:val="20"/>
        </w:rPr>
        <w:t xml:space="preserve">(24) </w:t>
      </w:r>
      <w:r w:rsidRPr="00513167">
        <w:rPr>
          <w:rFonts w:ascii="Arial" w:eastAsia="Times New Roman" w:hAnsi="Arial" w:cs="Arial"/>
          <w:sz w:val="20"/>
          <w:szCs w:val="20"/>
        </w:rPr>
        <w:t xml:space="preserve">iznose </w:t>
      </w:r>
      <w:r w:rsidR="000F3805">
        <w:rPr>
          <w:rFonts w:ascii="Arial" w:eastAsia="Times New Roman" w:hAnsi="Arial" w:cs="Arial"/>
          <w:sz w:val="20"/>
          <w:szCs w:val="20"/>
        </w:rPr>
        <w:t>2.071.475,63</w:t>
      </w:r>
      <w:r w:rsidRPr="00513167">
        <w:rPr>
          <w:rFonts w:ascii="Arial" w:eastAsia="Times New Roman" w:hAnsi="Arial" w:cs="Arial"/>
          <w:sz w:val="20"/>
          <w:szCs w:val="20"/>
        </w:rPr>
        <w:t xml:space="preserve"> € (ukupno </w:t>
      </w:r>
      <w:r w:rsidR="00D23251" w:rsidRPr="00513167">
        <w:rPr>
          <w:rFonts w:ascii="Arial" w:eastAsia="Times New Roman" w:hAnsi="Arial" w:cs="Arial"/>
          <w:sz w:val="20"/>
          <w:szCs w:val="20"/>
        </w:rPr>
        <w:t xml:space="preserve">zbroj </w:t>
      </w:r>
      <w:r w:rsidRPr="00513167">
        <w:rPr>
          <w:rFonts w:ascii="Arial" w:eastAsia="Times New Roman" w:hAnsi="Arial" w:cs="Arial"/>
          <w:sz w:val="20"/>
          <w:szCs w:val="20"/>
        </w:rPr>
        <w:t>obvez</w:t>
      </w:r>
      <w:r w:rsidR="00D23251" w:rsidRPr="00513167">
        <w:rPr>
          <w:rFonts w:ascii="Arial" w:eastAsia="Times New Roman" w:hAnsi="Arial" w:cs="Arial"/>
          <w:sz w:val="20"/>
          <w:szCs w:val="20"/>
        </w:rPr>
        <w:t>a</w:t>
      </w:r>
      <w:r w:rsidRPr="00513167">
        <w:rPr>
          <w:rFonts w:ascii="Arial" w:eastAsia="Times New Roman" w:hAnsi="Arial" w:cs="Arial"/>
          <w:sz w:val="20"/>
          <w:szCs w:val="20"/>
        </w:rPr>
        <w:t xml:space="preserve"> </w:t>
      </w:r>
      <w:r w:rsidR="00D23251" w:rsidRPr="00513167">
        <w:rPr>
          <w:rFonts w:ascii="Arial" w:eastAsia="Times New Roman" w:hAnsi="Arial" w:cs="Arial"/>
          <w:sz w:val="20"/>
          <w:szCs w:val="20"/>
        </w:rPr>
        <w:t>općine i obveza proračunskih korisnika</w:t>
      </w:r>
      <w:r w:rsidRPr="00513167">
        <w:rPr>
          <w:rFonts w:ascii="Arial" w:eastAsia="Times New Roman" w:hAnsi="Arial" w:cs="Arial"/>
          <w:sz w:val="20"/>
          <w:szCs w:val="20"/>
        </w:rPr>
        <w:t xml:space="preserve">). </w:t>
      </w:r>
      <w:r w:rsidR="00D162A4">
        <w:rPr>
          <w:rFonts w:ascii="Arial" w:eastAsia="Times New Roman" w:hAnsi="Arial" w:cs="Arial"/>
          <w:sz w:val="20"/>
          <w:szCs w:val="20"/>
        </w:rPr>
        <w:t xml:space="preserve">Obveze za predujmove, depozite i jamčevne pologe iznose </w:t>
      </w:r>
      <w:r w:rsidR="000F3805">
        <w:rPr>
          <w:rFonts w:ascii="Arial" w:eastAsia="Times New Roman" w:hAnsi="Arial" w:cs="Arial"/>
          <w:sz w:val="20"/>
          <w:szCs w:val="20"/>
        </w:rPr>
        <w:t>2.294.848,72</w:t>
      </w:r>
      <w:r w:rsidR="00D162A4">
        <w:rPr>
          <w:rFonts w:ascii="Arial" w:eastAsia="Times New Roman" w:hAnsi="Arial" w:cs="Arial"/>
          <w:sz w:val="20"/>
          <w:szCs w:val="20"/>
        </w:rPr>
        <w:t xml:space="preserve"> € (</w:t>
      </w:r>
      <w:r w:rsidR="00D162A4" w:rsidRPr="00D162A4">
        <w:rPr>
          <w:rFonts w:ascii="Arial" w:eastAsia="Times New Roman" w:hAnsi="Arial" w:cs="Arial"/>
          <w:sz w:val="20"/>
          <w:szCs w:val="20"/>
        </w:rPr>
        <w:t xml:space="preserve">ukupno zbroj obveza općine i obveza proračunskih korisnika umanjeno za međusobne obveze prema proračunskim korisnicima za naplaćene prihode putem proračunske riznice u iznosu </w:t>
      </w:r>
      <w:r w:rsidR="00D844B6">
        <w:rPr>
          <w:rFonts w:ascii="Arial" w:eastAsia="Times New Roman" w:hAnsi="Arial" w:cs="Arial"/>
          <w:sz w:val="20"/>
          <w:szCs w:val="20"/>
        </w:rPr>
        <w:t>229.365,59</w:t>
      </w:r>
      <w:r w:rsidR="00D162A4" w:rsidRPr="00D162A4">
        <w:rPr>
          <w:rFonts w:ascii="Arial" w:eastAsia="Times New Roman" w:hAnsi="Arial" w:cs="Arial"/>
          <w:sz w:val="20"/>
          <w:szCs w:val="20"/>
        </w:rPr>
        <w:t xml:space="preserve"> € i za obveze proračunskih korisnika za povrat u proračun u iznosu 0 €). </w:t>
      </w:r>
      <w:r w:rsidR="00D162A4">
        <w:rPr>
          <w:rFonts w:ascii="Arial" w:eastAsia="Times New Roman" w:hAnsi="Arial" w:cs="Arial"/>
          <w:sz w:val="20"/>
          <w:szCs w:val="20"/>
        </w:rPr>
        <w:t xml:space="preserve">za </w:t>
      </w:r>
      <w:r w:rsidRPr="00513167">
        <w:rPr>
          <w:rFonts w:ascii="Arial" w:eastAsia="Times New Roman" w:hAnsi="Arial" w:cs="Arial"/>
          <w:sz w:val="20"/>
          <w:szCs w:val="20"/>
          <w:u w:val="single"/>
        </w:rPr>
        <w:t xml:space="preserve">Sveukupno konsolidirane obveze s obvezama za zajmove iznose </w:t>
      </w:r>
      <w:r w:rsidR="00D844B6">
        <w:rPr>
          <w:rFonts w:ascii="Arial" w:eastAsia="Times New Roman" w:hAnsi="Arial" w:cs="Arial"/>
          <w:b/>
          <w:bCs/>
          <w:sz w:val="20"/>
          <w:szCs w:val="20"/>
          <w:u w:val="single"/>
        </w:rPr>
        <w:t>9.716.148,81</w:t>
      </w:r>
      <w:r w:rsidRPr="00513167">
        <w:rPr>
          <w:rFonts w:ascii="Arial" w:eastAsia="Times New Roman" w:hAnsi="Arial" w:cs="Arial"/>
          <w:b/>
          <w:bCs/>
          <w:sz w:val="20"/>
          <w:szCs w:val="20"/>
          <w:u w:val="single"/>
        </w:rPr>
        <w:t xml:space="preserve"> €</w:t>
      </w:r>
      <w:r w:rsidRPr="00513167">
        <w:rPr>
          <w:rFonts w:ascii="Arial" w:eastAsia="Times New Roman" w:hAnsi="Arial" w:cs="Arial"/>
          <w:b/>
          <w:bCs/>
          <w:sz w:val="20"/>
          <w:szCs w:val="20"/>
        </w:rPr>
        <w:t>.</w:t>
      </w:r>
    </w:p>
    <w:p w14:paraId="09568E60" w14:textId="77777777" w:rsidR="00EA65B3" w:rsidRPr="00513167" w:rsidRDefault="00EA65B3" w:rsidP="00EA65B3">
      <w:pPr>
        <w:spacing w:after="0" w:line="240" w:lineRule="auto"/>
        <w:jc w:val="both"/>
        <w:rPr>
          <w:rFonts w:ascii="Arial" w:hAnsi="Arial" w:cs="Arial"/>
          <w:iCs/>
          <w:sz w:val="20"/>
          <w:szCs w:val="20"/>
        </w:rPr>
      </w:pPr>
    </w:p>
    <w:p w14:paraId="58A09FFD" w14:textId="05BB6D57" w:rsidR="00EA65B3" w:rsidRPr="00513167" w:rsidRDefault="00EA65B3" w:rsidP="00EA65B3">
      <w:pPr>
        <w:spacing w:after="0" w:line="240" w:lineRule="auto"/>
        <w:jc w:val="both"/>
        <w:rPr>
          <w:rFonts w:ascii="Arial" w:eastAsia="Times New Roman" w:hAnsi="Arial" w:cs="Arial"/>
          <w:sz w:val="20"/>
          <w:szCs w:val="20"/>
        </w:rPr>
      </w:pPr>
      <w:r w:rsidRPr="00513167">
        <w:rPr>
          <w:rFonts w:ascii="Arial" w:eastAsia="Times New Roman" w:hAnsi="Arial" w:cs="Arial"/>
          <w:sz w:val="20"/>
          <w:szCs w:val="20"/>
        </w:rPr>
        <w:t xml:space="preserve">Vrijednosno najznačajnije konsolidirane obveze se odnose na </w:t>
      </w:r>
      <w:r w:rsidR="00D844B6">
        <w:rPr>
          <w:rFonts w:ascii="Arial" w:eastAsia="Times New Roman" w:hAnsi="Arial" w:cs="Arial"/>
          <w:sz w:val="20"/>
          <w:szCs w:val="20"/>
        </w:rPr>
        <w:t>tri</w:t>
      </w:r>
      <w:r w:rsidR="00D23251" w:rsidRPr="00513167">
        <w:rPr>
          <w:rFonts w:ascii="Arial" w:eastAsia="Times New Roman" w:hAnsi="Arial" w:cs="Arial"/>
          <w:sz w:val="20"/>
          <w:szCs w:val="20"/>
        </w:rPr>
        <w:t xml:space="preserve"> kredita prema HBOR-u sveukupno </w:t>
      </w:r>
      <w:r w:rsidR="00D844B6">
        <w:rPr>
          <w:rFonts w:ascii="Arial" w:eastAsia="Times New Roman" w:hAnsi="Arial" w:cs="Arial"/>
          <w:sz w:val="20"/>
          <w:szCs w:val="20"/>
        </w:rPr>
        <w:t>4.017.744,93</w:t>
      </w:r>
      <w:r w:rsidR="00D23251" w:rsidRPr="00513167">
        <w:rPr>
          <w:rFonts w:ascii="Arial" w:eastAsia="Times New Roman" w:hAnsi="Arial" w:cs="Arial"/>
          <w:sz w:val="20"/>
          <w:szCs w:val="20"/>
        </w:rPr>
        <w:t xml:space="preserve"> € (kredit za izgradnju vatrogasnog doma – pred</w:t>
      </w:r>
      <w:r w:rsidR="004E1190" w:rsidRPr="00513167">
        <w:rPr>
          <w:rFonts w:ascii="Arial" w:eastAsia="Times New Roman" w:hAnsi="Arial" w:cs="Arial"/>
          <w:sz w:val="20"/>
          <w:szCs w:val="20"/>
        </w:rPr>
        <w:t>-</w:t>
      </w:r>
      <w:r w:rsidR="00D23251" w:rsidRPr="00513167">
        <w:rPr>
          <w:rFonts w:ascii="Arial" w:eastAsia="Times New Roman" w:hAnsi="Arial" w:cs="Arial"/>
          <w:sz w:val="20"/>
          <w:szCs w:val="20"/>
        </w:rPr>
        <w:t xml:space="preserve">financiranje </w:t>
      </w:r>
      <w:r w:rsidR="00D844B6">
        <w:rPr>
          <w:rFonts w:ascii="Arial" w:eastAsia="Times New Roman" w:hAnsi="Arial" w:cs="Arial"/>
          <w:sz w:val="20"/>
          <w:szCs w:val="20"/>
        </w:rPr>
        <w:t>440.003,68</w:t>
      </w:r>
      <w:r w:rsidR="00D23251" w:rsidRPr="00513167">
        <w:rPr>
          <w:rFonts w:ascii="Arial" w:eastAsia="Times New Roman" w:hAnsi="Arial" w:cs="Arial"/>
          <w:sz w:val="20"/>
          <w:szCs w:val="20"/>
        </w:rPr>
        <w:t xml:space="preserve"> €</w:t>
      </w:r>
      <w:r w:rsidR="00D844B6">
        <w:rPr>
          <w:rFonts w:ascii="Arial" w:eastAsia="Times New Roman" w:hAnsi="Arial" w:cs="Arial"/>
          <w:sz w:val="20"/>
          <w:szCs w:val="20"/>
        </w:rPr>
        <w:t>,</w:t>
      </w:r>
      <w:r w:rsidR="00D23251" w:rsidRPr="00513167">
        <w:rPr>
          <w:rFonts w:ascii="Arial" w:eastAsia="Times New Roman" w:hAnsi="Arial" w:cs="Arial"/>
          <w:sz w:val="20"/>
          <w:szCs w:val="20"/>
        </w:rPr>
        <w:t xml:space="preserve"> kredit za modernizaciju javne rasvjete </w:t>
      </w:r>
      <w:r w:rsidR="00D844B6">
        <w:rPr>
          <w:rFonts w:ascii="Arial" w:eastAsia="Times New Roman" w:hAnsi="Arial" w:cs="Arial"/>
          <w:sz w:val="20"/>
          <w:szCs w:val="20"/>
        </w:rPr>
        <w:t>498.416,12</w:t>
      </w:r>
      <w:r w:rsidR="00D23251" w:rsidRPr="00513167">
        <w:rPr>
          <w:rFonts w:ascii="Arial" w:eastAsia="Times New Roman" w:hAnsi="Arial" w:cs="Arial"/>
          <w:sz w:val="20"/>
          <w:szCs w:val="20"/>
        </w:rPr>
        <w:t xml:space="preserve"> €</w:t>
      </w:r>
      <w:r w:rsidR="00D844B6">
        <w:rPr>
          <w:rFonts w:ascii="Arial" w:eastAsia="Times New Roman" w:hAnsi="Arial" w:cs="Arial"/>
          <w:sz w:val="20"/>
          <w:szCs w:val="20"/>
        </w:rPr>
        <w:t>, kredit za izgradnju osnovne škole 3.079.325,13 €)</w:t>
      </w:r>
      <w:r w:rsidRPr="00513167">
        <w:rPr>
          <w:rFonts w:ascii="Arial" w:eastAsia="Times New Roman" w:hAnsi="Arial" w:cs="Arial"/>
          <w:sz w:val="20"/>
          <w:szCs w:val="20"/>
        </w:rPr>
        <w:t xml:space="preserve">. Druge značajnije obveze se također odnose na zajmove i to za povrat beskamatnih kredita u državni proračun u iznosu </w:t>
      </w:r>
      <w:r w:rsidR="00D23251" w:rsidRPr="00513167">
        <w:rPr>
          <w:rFonts w:ascii="Arial" w:eastAsia="Times New Roman" w:hAnsi="Arial" w:cs="Arial"/>
          <w:sz w:val="20"/>
          <w:szCs w:val="20"/>
        </w:rPr>
        <w:t>1.332.079,53</w:t>
      </w:r>
      <w:r w:rsidRPr="00513167">
        <w:rPr>
          <w:rFonts w:ascii="Arial" w:eastAsia="Times New Roman" w:hAnsi="Arial" w:cs="Arial"/>
          <w:sz w:val="20"/>
          <w:szCs w:val="20"/>
        </w:rPr>
        <w:t xml:space="preserve"> €. </w:t>
      </w:r>
    </w:p>
    <w:p w14:paraId="25267FB5" w14:textId="77777777" w:rsidR="00EA65B3" w:rsidRPr="00513167" w:rsidRDefault="00EA65B3" w:rsidP="00EA65B3">
      <w:pPr>
        <w:spacing w:after="0" w:line="240" w:lineRule="auto"/>
        <w:jc w:val="both"/>
        <w:rPr>
          <w:rFonts w:ascii="Arial" w:eastAsia="Times New Roman" w:hAnsi="Arial" w:cs="Arial"/>
          <w:sz w:val="20"/>
          <w:szCs w:val="20"/>
        </w:rPr>
      </w:pPr>
    </w:p>
    <w:p w14:paraId="50FE1194" w14:textId="28FE9ADB" w:rsidR="00EA65B3" w:rsidRPr="00513167" w:rsidRDefault="00EA65B3" w:rsidP="00EA65B3">
      <w:pPr>
        <w:spacing w:after="0" w:line="240" w:lineRule="auto"/>
        <w:jc w:val="both"/>
        <w:rPr>
          <w:rFonts w:ascii="Arial" w:eastAsia="Times New Roman" w:hAnsi="Arial" w:cs="Arial"/>
          <w:sz w:val="20"/>
          <w:szCs w:val="20"/>
        </w:rPr>
      </w:pPr>
      <w:r w:rsidRPr="00513167">
        <w:rPr>
          <w:rFonts w:ascii="Arial" w:eastAsia="Times New Roman" w:hAnsi="Arial" w:cs="Arial"/>
          <w:sz w:val="20"/>
          <w:szCs w:val="20"/>
        </w:rPr>
        <w:t>Sveukupno nedospjele konsolidirane obveze koncem 202</w:t>
      </w:r>
      <w:r w:rsidR="00C15D51">
        <w:rPr>
          <w:rFonts w:ascii="Arial" w:eastAsia="Times New Roman" w:hAnsi="Arial" w:cs="Arial"/>
          <w:sz w:val="20"/>
          <w:szCs w:val="20"/>
        </w:rPr>
        <w:t>5</w:t>
      </w:r>
      <w:r w:rsidRPr="00513167">
        <w:rPr>
          <w:rFonts w:ascii="Arial" w:eastAsia="Times New Roman" w:hAnsi="Arial" w:cs="Arial"/>
          <w:sz w:val="20"/>
          <w:szCs w:val="20"/>
        </w:rPr>
        <w:t xml:space="preserve">. iznose </w:t>
      </w:r>
      <w:r w:rsidR="00242B30">
        <w:rPr>
          <w:rFonts w:ascii="Arial" w:eastAsia="Times New Roman" w:hAnsi="Arial" w:cs="Arial"/>
          <w:sz w:val="20"/>
          <w:szCs w:val="20"/>
        </w:rPr>
        <w:t>9.</w:t>
      </w:r>
      <w:r w:rsidR="004D722B">
        <w:rPr>
          <w:rFonts w:ascii="Arial" w:eastAsia="Times New Roman" w:hAnsi="Arial" w:cs="Arial"/>
          <w:sz w:val="20"/>
          <w:szCs w:val="20"/>
        </w:rPr>
        <w:t>685.775,18</w:t>
      </w:r>
      <w:r w:rsidRPr="00513167">
        <w:rPr>
          <w:rFonts w:ascii="Arial" w:eastAsia="Times New Roman" w:hAnsi="Arial" w:cs="Arial"/>
          <w:sz w:val="20"/>
          <w:szCs w:val="20"/>
        </w:rPr>
        <w:t xml:space="preserve"> € </w:t>
      </w:r>
      <w:bookmarkStart w:id="737" w:name="_Hlk115074699"/>
      <w:r w:rsidRPr="00513167">
        <w:rPr>
          <w:rFonts w:ascii="Arial" w:eastAsia="Times New Roman" w:hAnsi="Arial" w:cs="Arial"/>
          <w:sz w:val="20"/>
          <w:szCs w:val="20"/>
        </w:rPr>
        <w:t xml:space="preserve">(obveze općine </w:t>
      </w:r>
      <w:r w:rsidR="00242B30">
        <w:rPr>
          <w:rFonts w:ascii="Arial" w:eastAsia="Times New Roman" w:hAnsi="Arial" w:cs="Arial"/>
          <w:sz w:val="20"/>
          <w:szCs w:val="20"/>
        </w:rPr>
        <w:t>9.</w:t>
      </w:r>
      <w:r w:rsidR="004D722B">
        <w:rPr>
          <w:rFonts w:ascii="Arial" w:eastAsia="Times New Roman" w:hAnsi="Arial" w:cs="Arial"/>
          <w:sz w:val="20"/>
          <w:szCs w:val="20"/>
        </w:rPr>
        <w:t>192.236,28</w:t>
      </w:r>
      <w:r w:rsidRPr="00513167">
        <w:rPr>
          <w:rFonts w:ascii="Arial" w:eastAsia="Times New Roman" w:hAnsi="Arial" w:cs="Arial"/>
          <w:sz w:val="20"/>
          <w:szCs w:val="20"/>
        </w:rPr>
        <w:t xml:space="preserve"> € i obveze proračunskih korisnika </w:t>
      </w:r>
      <w:r w:rsidR="00242B30">
        <w:rPr>
          <w:rFonts w:ascii="Arial" w:eastAsia="Times New Roman" w:hAnsi="Arial" w:cs="Arial"/>
          <w:sz w:val="20"/>
          <w:szCs w:val="20"/>
        </w:rPr>
        <w:t>493.538,90</w:t>
      </w:r>
      <w:r w:rsidRPr="00513167">
        <w:rPr>
          <w:rFonts w:ascii="Arial" w:eastAsia="Times New Roman" w:hAnsi="Arial" w:cs="Arial"/>
          <w:sz w:val="20"/>
          <w:szCs w:val="20"/>
        </w:rPr>
        <w:t xml:space="preserve"> €).</w:t>
      </w:r>
    </w:p>
    <w:bookmarkEnd w:id="737"/>
    <w:p w14:paraId="3DF537E7" w14:textId="77777777" w:rsidR="00EA65B3" w:rsidRPr="00513167" w:rsidRDefault="00EA65B3" w:rsidP="00EA65B3">
      <w:pPr>
        <w:spacing w:after="0" w:line="240" w:lineRule="auto"/>
        <w:jc w:val="both"/>
        <w:rPr>
          <w:rFonts w:ascii="Arial" w:eastAsia="Times New Roman" w:hAnsi="Arial" w:cs="Arial"/>
          <w:sz w:val="20"/>
          <w:szCs w:val="20"/>
        </w:rPr>
      </w:pPr>
    </w:p>
    <w:p w14:paraId="036E6A4B" w14:textId="6A678D0C" w:rsidR="00EA65B3" w:rsidRPr="00513167" w:rsidRDefault="00EA65B3" w:rsidP="00EA65B3">
      <w:pPr>
        <w:spacing w:after="0" w:line="240" w:lineRule="auto"/>
        <w:jc w:val="both"/>
        <w:rPr>
          <w:rFonts w:ascii="Arial" w:eastAsia="Times New Roman" w:hAnsi="Arial" w:cs="Arial"/>
          <w:sz w:val="20"/>
          <w:szCs w:val="20"/>
        </w:rPr>
      </w:pPr>
      <w:r w:rsidRPr="00513167">
        <w:rPr>
          <w:rFonts w:ascii="Arial" w:eastAsia="Times New Roman" w:hAnsi="Arial" w:cs="Arial"/>
          <w:sz w:val="20"/>
          <w:szCs w:val="20"/>
        </w:rPr>
        <w:t>Dospjele konsolidirane obveze koncem 202</w:t>
      </w:r>
      <w:r w:rsidR="004D722B">
        <w:rPr>
          <w:rFonts w:ascii="Arial" w:eastAsia="Times New Roman" w:hAnsi="Arial" w:cs="Arial"/>
          <w:sz w:val="20"/>
          <w:szCs w:val="20"/>
        </w:rPr>
        <w:t>5</w:t>
      </w:r>
      <w:r w:rsidRPr="00513167">
        <w:rPr>
          <w:rFonts w:ascii="Arial" w:eastAsia="Times New Roman" w:hAnsi="Arial" w:cs="Arial"/>
          <w:sz w:val="20"/>
          <w:szCs w:val="20"/>
        </w:rPr>
        <w:t xml:space="preserve">. iznose </w:t>
      </w:r>
      <w:r w:rsidR="004D722B">
        <w:rPr>
          <w:rFonts w:ascii="Arial" w:eastAsia="Times New Roman" w:hAnsi="Arial" w:cs="Arial"/>
          <w:sz w:val="20"/>
          <w:szCs w:val="20"/>
        </w:rPr>
        <w:t>30.373,63</w:t>
      </w:r>
      <w:r w:rsidRPr="00513167">
        <w:rPr>
          <w:rFonts w:ascii="Arial" w:eastAsia="Times New Roman" w:hAnsi="Arial" w:cs="Arial"/>
          <w:sz w:val="20"/>
          <w:szCs w:val="20"/>
        </w:rPr>
        <w:t xml:space="preserve"> € (obveze Općine).</w:t>
      </w:r>
    </w:p>
    <w:bookmarkEnd w:id="735"/>
    <w:bookmarkEnd w:id="736"/>
    <w:p w14:paraId="3DF07CC3" w14:textId="77777777" w:rsidR="00EA65B3" w:rsidRPr="00513167" w:rsidRDefault="00EA65B3" w:rsidP="00EA65B3">
      <w:pPr>
        <w:spacing w:after="0" w:line="240" w:lineRule="auto"/>
        <w:jc w:val="both"/>
        <w:rPr>
          <w:rFonts w:ascii="Arial" w:eastAsia="Times New Roman" w:hAnsi="Arial" w:cs="Arial"/>
          <w:sz w:val="20"/>
          <w:szCs w:val="20"/>
        </w:rPr>
      </w:pPr>
    </w:p>
    <w:p w14:paraId="4DEF238C" w14:textId="55A640ED" w:rsidR="00EA65B3" w:rsidRPr="00513167" w:rsidRDefault="00EA65B3" w:rsidP="00EA65B3">
      <w:pPr>
        <w:spacing w:after="0" w:line="240" w:lineRule="auto"/>
        <w:jc w:val="both"/>
        <w:rPr>
          <w:rFonts w:ascii="Arial" w:eastAsia="Times New Roman" w:hAnsi="Arial" w:cs="Arial"/>
          <w:sz w:val="20"/>
          <w:szCs w:val="20"/>
        </w:rPr>
      </w:pPr>
      <w:r w:rsidRPr="00513167">
        <w:rPr>
          <w:rFonts w:ascii="Arial" w:eastAsia="Times New Roman" w:hAnsi="Arial" w:cs="Arial"/>
          <w:sz w:val="20"/>
          <w:szCs w:val="20"/>
        </w:rPr>
        <w:t xml:space="preserve">U slijedećoj tablici daje se kratak pregled zbirnog stanja obveza </w:t>
      </w:r>
      <w:r w:rsidRPr="00513167">
        <w:rPr>
          <w:rFonts w:ascii="Arial" w:eastAsia="Times New Roman" w:hAnsi="Arial" w:cs="Arial"/>
          <w:b/>
          <w:sz w:val="20"/>
          <w:szCs w:val="20"/>
        </w:rPr>
        <w:t>Općine i proračunskih korisnika</w:t>
      </w:r>
      <w:r w:rsidRPr="00513167">
        <w:rPr>
          <w:rFonts w:ascii="Arial" w:eastAsia="Times New Roman" w:hAnsi="Arial" w:cs="Arial"/>
          <w:sz w:val="20"/>
          <w:szCs w:val="20"/>
        </w:rPr>
        <w:t xml:space="preserve"> na dan </w:t>
      </w:r>
      <w:r w:rsidR="004D722B">
        <w:rPr>
          <w:rFonts w:ascii="Arial" w:eastAsia="Times New Roman" w:hAnsi="Arial" w:cs="Arial"/>
          <w:sz w:val="20"/>
          <w:szCs w:val="20"/>
        </w:rPr>
        <w:t>31.12.</w:t>
      </w:r>
      <w:r w:rsidR="00EF1CF4">
        <w:rPr>
          <w:rFonts w:ascii="Arial" w:eastAsia="Times New Roman" w:hAnsi="Arial" w:cs="Arial"/>
          <w:sz w:val="20"/>
          <w:szCs w:val="20"/>
        </w:rPr>
        <w:t>2025</w:t>
      </w:r>
      <w:r w:rsidRPr="00513167">
        <w:rPr>
          <w:rFonts w:ascii="Arial" w:eastAsia="Times New Roman" w:hAnsi="Arial" w:cs="Arial"/>
          <w:sz w:val="20"/>
          <w:szCs w:val="20"/>
        </w:rPr>
        <w:t>. s iskazanim stanjem dospjelih nepodmirenih obveza Općine. Stanje dospjelih nepodmirenih obveza proračunskih korisnika se iskazuje u odvojenoj tablici.</w:t>
      </w:r>
    </w:p>
    <w:p w14:paraId="6A33A279" w14:textId="77777777" w:rsidR="00EA65B3" w:rsidRPr="00513167" w:rsidRDefault="00EA65B3" w:rsidP="00EA65B3">
      <w:pPr>
        <w:spacing w:after="0" w:line="240" w:lineRule="auto"/>
        <w:jc w:val="both"/>
        <w:rPr>
          <w:rFonts w:ascii="Arial" w:eastAsia="Times New Roman" w:hAnsi="Arial" w:cs="Arial"/>
          <w:sz w:val="20"/>
          <w:szCs w:val="20"/>
        </w:rPr>
      </w:pPr>
    </w:p>
    <w:p w14:paraId="59ECFC62" w14:textId="77777777" w:rsidR="00EA65B3" w:rsidRPr="00513167" w:rsidRDefault="00EA65B3" w:rsidP="00EA65B3">
      <w:pPr>
        <w:spacing w:after="0" w:line="240" w:lineRule="auto"/>
        <w:jc w:val="both"/>
        <w:rPr>
          <w:rFonts w:ascii="Arial" w:eastAsia="Times New Roman" w:hAnsi="Arial" w:cs="Arial"/>
          <w:sz w:val="20"/>
          <w:szCs w:val="20"/>
        </w:rPr>
      </w:pPr>
    </w:p>
    <w:p w14:paraId="739B222D" w14:textId="77777777" w:rsidR="00EA65B3" w:rsidRPr="00513167" w:rsidRDefault="00EA65B3" w:rsidP="00EA65B3">
      <w:pPr>
        <w:spacing w:after="0" w:line="240" w:lineRule="auto"/>
        <w:jc w:val="both"/>
        <w:rPr>
          <w:rFonts w:ascii="Arial" w:eastAsia="Times New Roman" w:hAnsi="Arial" w:cs="Arial"/>
          <w:sz w:val="20"/>
          <w:szCs w:val="20"/>
        </w:rPr>
      </w:pPr>
    </w:p>
    <w:p w14:paraId="217B0BBD" w14:textId="77777777" w:rsidR="00EA65B3" w:rsidRPr="00513167" w:rsidRDefault="00EA65B3" w:rsidP="00EA65B3">
      <w:pPr>
        <w:spacing w:after="0" w:line="240" w:lineRule="auto"/>
        <w:jc w:val="both"/>
        <w:rPr>
          <w:rFonts w:ascii="Arial" w:eastAsia="Times New Roman" w:hAnsi="Arial" w:cs="Arial"/>
          <w:sz w:val="20"/>
          <w:szCs w:val="20"/>
        </w:rPr>
      </w:pPr>
    </w:p>
    <w:p w14:paraId="087E2103" w14:textId="77777777" w:rsidR="00EA65B3" w:rsidRPr="003A2F86" w:rsidRDefault="00EA65B3" w:rsidP="00EA65B3">
      <w:pPr>
        <w:spacing w:after="0" w:line="240" w:lineRule="auto"/>
        <w:jc w:val="both"/>
        <w:rPr>
          <w:rFonts w:ascii="Arial" w:eastAsia="Times New Roman" w:hAnsi="Arial" w:cs="Arial"/>
          <w:sz w:val="20"/>
          <w:szCs w:val="20"/>
        </w:rPr>
      </w:pPr>
    </w:p>
    <w:p w14:paraId="69C53146" w14:textId="77777777" w:rsidR="00EA65B3" w:rsidRPr="003A2F86" w:rsidRDefault="00EA65B3" w:rsidP="00EA65B3">
      <w:pPr>
        <w:spacing w:after="0" w:line="240" w:lineRule="auto"/>
        <w:jc w:val="both"/>
        <w:rPr>
          <w:rFonts w:ascii="Arial" w:eastAsia="Times New Roman" w:hAnsi="Arial" w:cs="Arial"/>
          <w:sz w:val="20"/>
          <w:szCs w:val="20"/>
        </w:rPr>
      </w:pPr>
    </w:p>
    <w:p w14:paraId="4D004BAE" w14:textId="77777777" w:rsidR="00EA65B3" w:rsidRPr="003A2F86" w:rsidRDefault="00EA65B3" w:rsidP="00EA65B3">
      <w:pPr>
        <w:spacing w:after="0" w:line="240" w:lineRule="auto"/>
        <w:jc w:val="both"/>
        <w:rPr>
          <w:rFonts w:ascii="Arial" w:eastAsia="Times New Roman" w:hAnsi="Arial" w:cs="Arial"/>
          <w:sz w:val="20"/>
          <w:szCs w:val="20"/>
        </w:rPr>
      </w:pPr>
    </w:p>
    <w:p w14:paraId="1F6438B7" w14:textId="77777777" w:rsidR="00EA65B3" w:rsidRPr="003A2F86" w:rsidRDefault="00EA65B3" w:rsidP="00EA65B3">
      <w:pPr>
        <w:spacing w:after="0" w:line="240" w:lineRule="auto"/>
        <w:jc w:val="both"/>
        <w:rPr>
          <w:rFonts w:ascii="Arial" w:eastAsia="Times New Roman" w:hAnsi="Arial" w:cs="Arial"/>
          <w:sz w:val="20"/>
          <w:szCs w:val="20"/>
        </w:rPr>
      </w:pPr>
    </w:p>
    <w:p w14:paraId="62E08A89" w14:textId="77777777" w:rsidR="00EA65B3" w:rsidRPr="003A2F86" w:rsidRDefault="00EA65B3" w:rsidP="00EA65B3">
      <w:pPr>
        <w:spacing w:after="0" w:line="240" w:lineRule="auto"/>
        <w:jc w:val="both"/>
        <w:rPr>
          <w:rFonts w:ascii="Arial" w:eastAsia="Times New Roman" w:hAnsi="Arial" w:cs="Arial"/>
          <w:sz w:val="20"/>
          <w:szCs w:val="20"/>
        </w:rPr>
      </w:pPr>
    </w:p>
    <w:p w14:paraId="5B2FA39A" w14:textId="77777777" w:rsidR="00EA65B3" w:rsidRPr="003A2F86" w:rsidRDefault="00EA65B3" w:rsidP="00EA65B3">
      <w:pPr>
        <w:spacing w:after="0" w:line="240" w:lineRule="auto"/>
        <w:jc w:val="both"/>
        <w:rPr>
          <w:rFonts w:ascii="Arial" w:eastAsia="Times New Roman" w:hAnsi="Arial" w:cs="Arial"/>
          <w:sz w:val="20"/>
          <w:szCs w:val="20"/>
        </w:rPr>
      </w:pPr>
    </w:p>
    <w:p w14:paraId="4DA4321F" w14:textId="77777777" w:rsidR="00EA65B3" w:rsidRPr="003A2F86" w:rsidRDefault="00EA65B3" w:rsidP="00EA65B3">
      <w:pPr>
        <w:spacing w:after="0" w:line="240" w:lineRule="auto"/>
        <w:jc w:val="both"/>
        <w:rPr>
          <w:rFonts w:ascii="Arial" w:eastAsia="Times New Roman" w:hAnsi="Arial" w:cs="Arial"/>
          <w:sz w:val="20"/>
          <w:szCs w:val="20"/>
        </w:rPr>
      </w:pPr>
    </w:p>
    <w:p w14:paraId="06CA743B" w14:textId="77777777" w:rsidR="00EA65B3" w:rsidRPr="003A2F86" w:rsidRDefault="00EA65B3" w:rsidP="00EA65B3">
      <w:pPr>
        <w:spacing w:after="0" w:line="240" w:lineRule="auto"/>
        <w:jc w:val="both"/>
        <w:rPr>
          <w:rFonts w:ascii="Arial" w:eastAsia="Times New Roman" w:hAnsi="Arial" w:cs="Arial"/>
          <w:sz w:val="20"/>
          <w:szCs w:val="20"/>
        </w:rPr>
      </w:pPr>
    </w:p>
    <w:p w14:paraId="2A0E246F" w14:textId="77777777" w:rsidR="00EA65B3" w:rsidRPr="003A2F86" w:rsidRDefault="00EA65B3" w:rsidP="00EA65B3">
      <w:pPr>
        <w:spacing w:after="0" w:line="240" w:lineRule="auto"/>
        <w:jc w:val="both"/>
        <w:rPr>
          <w:rFonts w:ascii="Arial" w:eastAsia="Times New Roman" w:hAnsi="Arial" w:cs="Arial"/>
          <w:sz w:val="20"/>
          <w:szCs w:val="20"/>
        </w:rPr>
      </w:pPr>
    </w:p>
    <w:p w14:paraId="7B988B5D" w14:textId="77777777" w:rsidR="00EA65B3" w:rsidRPr="003A2F86" w:rsidRDefault="00EA65B3" w:rsidP="00EA65B3">
      <w:pPr>
        <w:spacing w:after="0" w:line="240" w:lineRule="auto"/>
        <w:jc w:val="both"/>
        <w:rPr>
          <w:rFonts w:ascii="Arial" w:eastAsia="Times New Roman" w:hAnsi="Arial" w:cs="Arial"/>
          <w:sz w:val="20"/>
          <w:szCs w:val="20"/>
        </w:rPr>
      </w:pPr>
    </w:p>
    <w:p w14:paraId="26277535" w14:textId="77777777" w:rsidR="00EA65B3" w:rsidRPr="003A2F86" w:rsidRDefault="00EA65B3" w:rsidP="00EA65B3">
      <w:pPr>
        <w:spacing w:after="0" w:line="240" w:lineRule="auto"/>
        <w:jc w:val="both"/>
        <w:rPr>
          <w:rFonts w:ascii="Arial" w:eastAsia="Times New Roman" w:hAnsi="Arial" w:cs="Arial"/>
          <w:sz w:val="20"/>
          <w:szCs w:val="20"/>
        </w:rPr>
      </w:pPr>
    </w:p>
    <w:p w14:paraId="52C846FF" w14:textId="717A193A" w:rsidR="00EA65B3" w:rsidRPr="003A2F86" w:rsidRDefault="00EA65B3" w:rsidP="00EA65B3">
      <w:pPr>
        <w:pStyle w:val="Opisslike"/>
        <w:keepNext/>
        <w:jc w:val="both"/>
        <w:rPr>
          <w:rFonts w:ascii="Arial" w:hAnsi="Arial" w:cs="Arial"/>
          <w:bCs w:val="0"/>
          <w:iCs/>
        </w:rPr>
      </w:pPr>
      <w:bookmarkStart w:id="738" w:name="_Toc232981556"/>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37</w:t>
      </w:r>
      <w:r w:rsidRPr="003A2F86">
        <w:rPr>
          <w:color w:val="FF0000"/>
        </w:rPr>
        <w:fldChar w:fldCharType="end"/>
      </w:r>
      <w:r w:rsidRPr="003A2F86">
        <w:rPr>
          <w:color w:val="FF0000"/>
        </w:rPr>
        <w:t>.</w:t>
      </w:r>
      <w:r w:rsidRPr="003A2F86">
        <w:t xml:space="preserve">: </w:t>
      </w:r>
      <w:r w:rsidRPr="003A2F86">
        <w:rPr>
          <w:rFonts w:ascii="Arial" w:hAnsi="Arial" w:cs="Arial"/>
          <w:bCs w:val="0"/>
          <w:iCs/>
        </w:rPr>
        <w:t xml:space="preserve">Pregled stanja ukupnih obveza Općine i proračunskih korisnika, te nepodmirenih </w:t>
      </w:r>
      <w:r w:rsidR="00495844" w:rsidRPr="003A2F86">
        <w:rPr>
          <w:rFonts w:ascii="Arial" w:hAnsi="Arial" w:cs="Arial"/>
          <w:bCs w:val="0"/>
          <w:iCs/>
        </w:rPr>
        <w:t xml:space="preserve">dospjelih </w:t>
      </w:r>
      <w:r w:rsidRPr="003A2F86">
        <w:rPr>
          <w:rFonts w:ascii="Arial" w:hAnsi="Arial" w:cs="Arial"/>
          <w:bCs w:val="0"/>
          <w:iCs/>
        </w:rPr>
        <w:t xml:space="preserve">obveza na dan </w:t>
      </w:r>
      <w:r w:rsidR="004D722B">
        <w:rPr>
          <w:rFonts w:ascii="Arial" w:hAnsi="Arial" w:cs="Arial"/>
          <w:bCs w:val="0"/>
          <w:iCs/>
        </w:rPr>
        <w:t>31.12</w:t>
      </w:r>
      <w:r w:rsidR="005A28EA">
        <w:rPr>
          <w:rFonts w:ascii="Arial" w:hAnsi="Arial" w:cs="Arial"/>
          <w:bCs w:val="0"/>
          <w:iCs/>
        </w:rPr>
        <w:t>.2025</w:t>
      </w:r>
      <w:r w:rsidRPr="003A2F86">
        <w:rPr>
          <w:rFonts w:ascii="Arial" w:hAnsi="Arial" w:cs="Arial"/>
          <w:bCs w:val="0"/>
          <w:iCs/>
        </w:rPr>
        <w:t>.</w:t>
      </w:r>
      <w:bookmarkEnd w:id="738"/>
    </w:p>
    <w:p w14:paraId="430B754F" w14:textId="6D58C2D3" w:rsidR="00513167" w:rsidRDefault="003A2036" w:rsidP="00513167">
      <w:pPr>
        <w:autoSpaceDE w:val="0"/>
        <w:autoSpaceDN w:val="0"/>
        <w:adjustRightInd w:val="0"/>
        <w:spacing w:after="0" w:line="240" w:lineRule="auto"/>
        <w:jc w:val="center"/>
      </w:pPr>
      <w:r w:rsidRPr="003A2036">
        <w:rPr>
          <w:noProof/>
        </w:rPr>
        <w:drawing>
          <wp:inline distT="0" distB="0" distL="0" distR="0" wp14:anchorId="7B198698" wp14:editId="3D794A17">
            <wp:extent cx="7375974" cy="5661025"/>
            <wp:effectExtent l="0" t="0" r="0" b="0"/>
            <wp:docPr id="27129097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7377304" cy="5662046"/>
                    </a:xfrm>
                    <a:prstGeom prst="rect">
                      <a:avLst/>
                    </a:prstGeom>
                    <a:noFill/>
                    <a:ln>
                      <a:noFill/>
                    </a:ln>
                  </pic:spPr>
                </pic:pic>
              </a:graphicData>
            </a:graphic>
          </wp:inline>
        </w:drawing>
      </w:r>
    </w:p>
    <w:p w14:paraId="32DCAF2B" w14:textId="2A865277" w:rsidR="00D162A4" w:rsidRDefault="00D162A4" w:rsidP="00513167">
      <w:pPr>
        <w:autoSpaceDE w:val="0"/>
        <w:autoSpaceDN w:val="0"/>
        <w:adjustRightInd w:val="0"/>
        <w:spacing w:after="0" w:line="240" w:lineRule="auto"/>
        <w:jc w:val="center"/>
      </w:pPr>
    </w:p>
    <w:p w14:paraId="53E313AD" w14:textId="06CAE758" w:rsidR="00D162A4" w:rsidRDefault="003A2036" w:rsidP="00513167">
      <w:pPr>
        <w:autoSpaceDE w:val="0"/>
        <w:autoSpaceDN w:val="0"/>
        <w:adjustRightInd w:val="0"/>
        <w:spacing w:after="0" w:line="240" w:lineRule="auto"/>
        <w:jc w:val="center"/>
      </w:pPr>
      <w:r w:rsidRPr="003A2036">
        <w:rPr>
          <w:noProof/>
        </w:rPr>
        <w:lastRenderedPageBreak/>
        <w:drawing>
          <wp:inline distT="0" distB="0" distL="0" distR="0" wp14:anchorId="3DAC0E78" wp14:editId="13177AB3">
            <wp:extent cx="8515350" cy="6010275"/>
            <wp:effectExtent l="0" t="0" r="0" b="9525"/>
            <wp:docPr id="1827170555"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8515350" cy="6010275"/>
                    </a:xfrm>
                    <a:prstGeom prst="rect">
                      <a:avLst/>
                    </a:prstGeom>
                    <a:noFill/>
                    <a:ln>
                      <a:noFill/>
                    </a:ln>
                  </pic:spPr>
                </pic:pic>
              </a:graphicData>
            </a:graphic>
          </wp:inline>
        </w:drawing>
      </w:r>
    </w:p>
    <w:p w14:paraId="6C30C53B" w14:textId="77777777" w:rsidR="00D162A4" w:rsidRDefault="00D162A4" w:rsidP="00513167">
      <w:pPr>
        <w:autoSpaceDE w:val="0"/>
        <w:autoSpaceDN w:val="0"/>
        <w:adjustRightInd w:val="0"/>
        <w:spacing w:after="0" w:line="240" w:lineRule="auto"/>
        <w:jc w:val="center"/>
        <w:rPr>
          <w:rFonts w:ascii="Arial" w:eastAsia="Times New Roman" w:hAnsi="Arial" w:cs="Arial"/>
          <w:sz w:val="20"/>
          <w:szCs w:val="20"/>
        </w:rPr>
      </w:pPr>
    </w:p>
    <w:p w14:paraId="7EFE6ACE" w14:textId="77777777" w:rsidR="00513167" w:rsidRPr="003A2F86" w:rsidRDefault="00513167" w:rsidP="00EA65B3">
      <w:pPr>
        <w:autoSpaceDE w:val="0"/>
        <w:autoSpaceDN w:val="0"/>
        <w:adjustRightInd w:val="0"/>
        <w:spacing w:after="0" w:line="240" w:lineRule="auto"/>
        <w:jc w:val="both"/>
        <w:rPr>
          <w:rFonts w:ascii="Arial" w:eastAsia="Times New Roman" w:hAnsi="Arial" w:cs="Arial"/>
          <w:sz w:val="20"/>
          <w:szCs w:val="20"/>
        </w:rPr>
      </w:pPr>
    </w:p>
    <w:p w14:paraId="1EB6C828" w14:textId="5F6F142F" w:rsidR="005E2FBD" w:rsidRPr="006625D0" w:rsidRDefault="005E2FBD" w:rsidP="005E2FBD">
      <w:pPr>
        <w:autoSpaceDE w:val="0"/>
        <w:autoSpaceDN w:val="0"/>
        <w:adjustRightInd w:val="0"/>
        <w:spacing w:after="0" w:line="240" w:lineRule="auto"/>
        <w:jc w:val="both"/>
      </w:pPr>
      <w:r w:rsidRPr="006625D0">
        <w:rPr>
          <w:rFonts w:ascii="Arial" w:eastAsia="Times New Roman" w:hAnsi="Arial" w:cs="Arial"/>
          <w:sz w:val="20"/>
          <w:szCs w:val="20"/>
        </w:rPr>
        <w:t>U okviru ukupnih obveza Općine koncem 202</w:t>
      </w:r>
      <w:r w:rsidR="00EF1CF4">
        <w:rPr>
          <w:rFonts w:ascii="Arial" w:eastAsia="Times New Roman" w:hAnsi="Arial" w:cs="Arial"/>
          <w:sz w:val="20"/>
          <w:szCs w:val="20"/>
        </w:rPr>
        <w:t>5</w:t>
      </w:r>
      <w:r w:rsidRPr="006625D0">
        <w:rPr>
          <w:rFonts w:ascii="Arial" w:eastAsia="Times New Roman" w:hAnsi="Arial" w:cs="Arial"/>
          <w:sz w:val="20"/>
          <w:szCs w:val="20"/>
        </w:rPr>
        <w:t xml:space="preserve">. godine dospjele nepodmirene </w:t>
      </w:r>
      <w:r w:rsidR="00495844" w:rsidRPr="006625D0">
        <w:rPr>
          <w:rFonts w:ascii="Arial" w:eastAsia="Times New Roman" w:hAnsi="Arial" w:cs="Arial"/>
          <w:sz w:val="20"/>
          <w:szCs w:val="20"/>
        </w:rPr>
        <w:t xml:space="preserve">dospjele </w:t>
      </w:r>
      <w:r w:rsidRPr="006625D0">
        <w:rPr>
          <w:rFonts w:ascii="Arial" w:eastAsia="Times New Roman" w:hAnsi="Arial" w:cs="Arial"/>
          <w:sz w:val="20"/>
          <w:szCs w:val="20"/>
        </w:rPr>
        <w:t xml:space="preserve">obveze iznose </w:t>
      </w:r>
      <w:r w:rsidR="003A2036">
        <w:rPr>
          <w:rFonts w:ascii="Arial" w:eastAsia="Times New Roman" w:hAnsi="Arial" w:cs="Arial"/>
          <w:sz w:val="20"/>
          <w:szCs w:val="20"/>
        </w:rPr>
        <w:t>30.383,63</w:t>
      </w:r>
      <w:r w:rsidRPr="006625D0">
        <w:rPr>
          <w:rFonts w:ascii="Arial" w:eastAsia="Times New Roman" w:hAnsi="Arial" w:cs="Arial"/>
          <w:sz w:val="20"/>
          <w:szCs w:val="20"/>
        </w:rPr>
        <w:t xml:space="preserve"> € </w:t>
      </w:r>
      <w:r w:rsidRPr="006625D0">
        <w:rPr>
          <w:rFonts w:ascii="Arial" w:hAnsi="Arial" w:cs="Arial"/>
          <w:bCs/>
          <w:iCs/>
          <w:sz w:val="20"/>
          <w:szCs w:val="20"/>
        </w:rPr>
        <w:t xml:space="preserve">(prekoračenje 1 do </w:t>
      </w:r>
      <w:r w:rsidR="006625D0" w:rsidRPr="006625D0">
        <w:rPr>
          <w:rFonts w:ascii="Arial" w:hAnsi="Arial" w:cs="Arial"/>
          <w:bCs/>
          <w:iCs/>
          <w:sz w:val="20"/>
          <w:szCs w:val="20"/>
        </w:rPr>
        <w:t xml:space="preserve">180 </w:t>
      </w:r>
      <w:r w:rsidRPr="006625D0">
        <w:rPr>
          <w:rFonts w:ascii="Arial" w:hAnsi="Arial" w:cs="Arial"/>
          <w:bCs/>
          <w:iCs/>
          <w:sz w:val="20"/>
          <w:szCs w:val="20"/>
        </w:rPr>
        <w:t xml:space="preserve">dana) </w:t>
      </w:r>
      <w:r w:rsidRPr="006625D0">
        <w:rPr>
          <w:rFonts w:ascii="Arial" w:eastAsia="Times New Roman" w:hAnsi="Arial" w:cs="Arial"/>
          <w:sz w:val="20"/>
          <w:szCs w:val="20"/>
        </w:rPr>
        <w:t xml:space="preserve">i odnose se na </w:t>
      </w:r>
      <w:r w:rsidRPr="006625D0">
        <w:rPr>
          <w:rFonts w:ascii="Arial" w:hAnsi="Arial" w:cs="Arial"/>
          <w:bCs/>
          <w:iCs/>
          <w:sz w:val="20"/>
          <w:szCs w:val="20"/>
        </w:rPr>
        <w:t xml:space="preserve">obveze za rashode poslovanja i obveze za nabavu nefinancijske imovine. </w:t>
      </w:r>
      <w:r w:rsidR="003A2036">
        <w:rPr>
          <w:rFonts w:ascii="Arial" w:hAnsi="Arial" w:cs="Arial"/>
          <w:bCs/>
          <w:iCs/>
          <w:sz w:val="20"/>
          <w:szCs w:val="20"/>
        </w:rPr>
        <w:t>Ove obveze su podmirene u 2026. godini.</w:t>
      </w:r>
      <w:r w:rsidRPr="006625D0">
        <w:rPr>
          <w:rFonts w:ascii="Arial" w:hAnsi="Arial" w:cs="Arial"/>
          <w:bCs/>
          <w:iCs/>
          <w:sz w:val="20"/>
          <w:szCs w:val="20"/>
        </w:rPr>
        <w:t xml:space="preserve"> </w:t>
      </w:r>
    </w:p>
    <w:p w14:paraId="5ABCE9D6" w14:textId="1A2E0168" w:rsidR="00571B78" w:rsidRPr="006625D0" w:rsidRDefault="00571B78" w:rsidP="00EA65B3">
      <w:pPr>
        <w:autoSpaceDE w:val="0"/>
        <w:autoSpaceDN w:val="0"/>
        <w:adjustRightInd w:val="0"/>
        <w:spacing w:after="0" w:line="240" w:lineRule="auto"/>
        <w:jc w:val="both"/>
        <w:rPr>
          <w:rFonts w:ascii="Arial" w:eastAsia="Times New Roman" w:hAnsi="Arial" w:cs="Arial"/>
          <w:sz w:val="20"/>
          <w:szCs w:val="20"/>
        </w:rPr>
      </w:pPr>
    </w:p>
    <w:p w14:paraId="5DA1A443" w14:textId="43662B9C" w:rsidR="00EA65B3" w:rsidRPr="006625D0" w:rsidRDefault="00EA65B3" w:rsidP="00EA65B3">
      <w:pPr>
        <w:spacing w:after="0" w:line="240" w:lineRule="auto"/>
        <w:ind w:firstLine="709"/>
        <w:rPr>
          <w:rFonts w:ascii="Arial" w:hAnsi="Arial" w:cs="Arial"/>
          <w:sz w:val="20"/>
          <w:szCs w:val="20"/>
          <w:lang w:eastAsia="en-US"/>
        </w:rPr>
      </w:pPr>
      <w:bookmarkStart w:id="739" w:name="_Hlk77837830"/>
      <w:r w:rsidRPr="006625D0">
        <w:rPr>
          <w:rFonts w:ascii="Arial" w:hAnsi="Arial" w:cs="Arial"/>
          <w:sz w:val="20"/>
          <w:szCs w:val="20"/>
          <w:lang w:eastAsia="en-US"/>
        </w:rPr>
        <w:t xml:space="preserve">Obveze za </w:t>
      </w:r>
      <w:r w:rsidRPr="006625D0">
        <w:rPr>
          <w:rFonts w:ascii="Arial" w:hAnsi="Arial" w:cs="Arial"/>
          <w:b/>
          <w:bCs/>
          <w:i/>
          <w:iCs/>
          <w:sz w:val="20"/>
          <w:szCs w:val="20"/>
          <w:lang w:eastAsia="en-US"/>
        </w:rPr>
        <w:t>beskamatne zajmove od državnog proračuna</w:t>
      </w:r>
      <w:r w:rsidRPr="006625D0">
        <w:rPr>
          <w:rFonts w:ascii="Arial" w:hAnsi="Arial" w:cs="Arial"/>
          <w:sz w:val="20"/>
          <w:szCs w:val="20"/>
          <w:lang w:eastAsia="en-US"/>
        </w:rPr>
        <w:t xml:space="preserve"> koncem 202</w:t>
      </w:r>
      <w:r w:rsidR="00EF1CF4">
        <w:rPr>
          <w:rFonts w:ascii="Arial" w:hAnsi="Arial" w:cs="Arial"/>
          <w:sz w:val="20"/>
          <w:szCs w:val="20"/>
          <w:lang w:eastAsia="en-US"/>
        </w:rPr>
        <w:t>5</w:t>
      </w:r>
      <w:r w:rsidRPr="006625D0">
        <w:rPr>
          <w:rFonts w:ascii="Arial" w:hAnsi="Arial" w:cs="Arial"/>
          <w:sz w:val="20"/>
          <w:szCs w:val="20"/>
          <w:lang w:eastAsia="en-US"/>
        </w:rPr>
        <w:t xml:space="preserve">. u iznosu </w:t>
      </w:r>
      <w:r w:rsidR="005017A2" w:rsidRPr="006625D0">
        <w:rPr>
          <w:rFonts w:ascii="Arial" w:hAnsi="Arial" w:cs="Arial"/>
          <w:sz w:val="20"/>
          <w:szCs w:val="20"/>
          <w:lang w:eastAsia="en-US"/>
        </w:rPr>
        <w:t>1.332.079,53</w:t>
      </w:r>
      <w:r w:rsidRPr="006625D0">
        <w:rPr>
          <w:rFonts w:ascii="Arial" w:hAnsi="Arial" w:cs="Arial"/>
          <w:sz w:val="20"/>
          <w:szCs w:val="20"/>
          <w:lang w:eastAsia="en-US"/>
        </w:rPr>
        <w:t xml:space="preserve"> € u cijelosti se odnose na beskamatne zajmove i to:</w:t>
      </w:r>
    </w:p>
    <w:p w14:paraId="1D27813F" w14:textId="2160611F" w:rsidR="00EA65B3" w:rsidRPr="006625D0" w:rsidRDefault="00EA65B3">
      <w:pPr>
        <w:pStyle w:val="Odlomakpopisa"/>
        <w:numPr>
          <w:ilvl w:val="0"/>
          <w:numId w:val="46"/>
        </w:numPr>
        <w:rPr>
          <w:rFonts w:ascii="Arial" w:hAnsi="Arial" w:cs="Arial"/>
          <w:b/>
          <w:bCs/>
        </w:rPr>
      </w:pPr>
      <w:r w:rsidRPr="006625D0">
        <w:rPr>
          <w:rFonts w:ascii="Arial" w:hAnsi="Arial" w:cs="Arial"/>
          <w:b/>
          <w:bCs/>
        </w:rPr>
        <w:t>nedospjele obveze:</w:t>
      </w:r>
    </w:p>
    <w:p w14:paraId="0F961EBD" w14:textId="0455822C" w:rsidR="00EA65B3" w:rsidRPr="006625D0" w:rsidRDefault="00EA65B3">
      <w:pPr>
        <w:numPr>
          <w:ilvl w:val="1"/>
          <w:numId w:val="8"/>
        </w:numPr>
        <w:spacing w:after="0" w:line="240" w:lineRule="auto"/>
        <w:jc w:val="both"/>
        <w:rPr>
          <w:rFonts w:ascii="Arial" w:hAnsi="Arial" w:cs="Arial"/>
          <w:sz w:val="20"/>
          <w:szCs w:val="20"/>
          <w:lang w:eastAsia="en-US"/>
        </w:rPr>
      </w:pPr>
      <w:r w:rsidRPr="006625D0">
        <w:rPr>
          <w:rFonts w:ascii="Arial" w:hAnsi="Arial" w:cs="Arial"/>
          <w:sz w:val="20"/>
          <w:szCs w:val="20"/>
          <w:lang w:eastAsia="en-US"/>
        </w:rPr>
        <w:t xml:space="preserve">obveze 451.257,55 € za zajam uplaćen 24.12.2020. u iznosu 3.400.000 kn na temelju pada prihoda u 2020. godini (rok povrata </w:t>
      </w:r>
      <w:r w:rsidR="005017A2" w:rsidRPr="006625D0">
        <w:rPr>
          <w:rFonts w:ascii="Arial" w:hAnsi="Arial" w:cs="Arial"/>
          <w:sz w:val="20"/>
          <w:szCs w:val="20"/>
          <w:lang w:eastAsia="en-US"/>
        </w:rPr>
        <w:t xml:space="preserve">prvotno bio </w:t>
      </w:r>
      <w:r w:rsidRPr="006625D0">
        <w:rPr>
          <w:rFonts w:ascii="Arial" w:hAnsi="Arial" w:cs="Arial"/>
          <w:sz w:val="20"/>
          <w:szCs w:val="20"/>
          <w:lang w:eastAsia="en-US"/>
        </w:rPr>
        <w:t>3 godine, odnosno do konca 2023. godine</w:t>
      </w:r>
      <w:r w:rsidR="005017A2" w:rsidRPr="006625D0">
        <w:rPr>
          <w:rFonts w:ascii="Arial" w:hAnsi="Arial" w:cs="Arial"/>
          <w:sz w:val="20"/>
          <w:szCs w:val="20"/>
          <w:lang w:eastAsia="en-US"/>
        </w:rPr>
        <w:t xml:space="preserve">, </w:t>
      </w:r>
      <w:r w:rsidR="00B35217">
        <w:rPr>
          <w:rFonts w:ascii="Arial" w:hAnsi="Arial" w:cs="Arial"/>
          <w:sz w:val="20"/>
          <w:szCs w:val="20"/>
          <w:lang w:eastAsia="en-US"/>
        </w:rPr>
        <w:t xml:space="preserve">a </w:t>
      </w:r>
      <w:r w:rsidR="005017A2" w:rsidRPr="006625D0">
        <w:rPr>
          <w:rFonts w:ascii="Arial" w:hAnsi="Arial" w:cs="Arial"/>
          <w:sz w:val="20"/>
          <w:szCs w:val="20"/>
          <w:lang w:eastAsia="en-US"/>
        </w:rPr>
        <w:t xml:space="preserve">produžen </w:t>
      </w:r>
      <w:r w:rsidR="00B35217">
        <w:rPr>
          <w:rFonts w:ascii="Arial" w:hAnsi="Arial" w:cs="Arial"/>
          <w:sz w:val="20"/>
          <w:szCs w:val="20"/>
          <w:lang w:eastAsia="en-US"/>
        </w:rPr>
        <w:t>je</w:t>
      </w:r>
      <w:r w:rsidR="005017A2" w:rsidRPr="006625D0">
        <w:rPr>
          <w:rFonts w:ascii="Arial" w:hAnsi="Arial" w:cs="Arial"/>
          <w:sz w:val="20"/>
          <w:szCs w:val="20"/>
          <w:lang w:eastAsia="en-US"/>
        </w:rPr>
        <w:t xml:space="preserve"> do konca 2027. godine</w:t>
      </w:r>
      <w:r w:rsidRPr="006625D0">
        <w:rPr>
          <w:rFonts w:ascii="Arial" w:hAnsi="Arial" w:cs="Arial"/>
          <w:sz w:val="20"/>
          <w:szCs w:val="20"/>
          <w:lang w:eastAsia="en-US"/>
        </w:rPr>
        <w:t>),</w:t>
      </w:r>
    </w:p>
    <w:p w14:paraId="0D25EBC4" w14:textId="04D889B0" w:rsidR="00EA65B3" w:rsidRPr="006625D0" w:rsidRDefault="00EA65B3">
      <w:pPr>
        <w:numPr>
          <w:ilvl w:val="1"/>
          <w:numId w:val="8"/>
        </w:numPr>
        <w:spacing w:after="0" w:line="240" w:lineRule="auto"/>
        <w:jc w:val="both"/>
        <w:rPr>
          <w:rFonts w:ascii="Arial" w:hAnsi="Arial" w:cs="Arial"/>
          <w:sz w:val="20"/>
          <w:szCs w:val="20"/>
          <w:lang w:eastAsia="en-US"/>
        </w:rPr>
      </w:pPr>
      <w:r w:rsidRPr="006625D0">
        <w:rPr>
          <w:rFonts w:ascii="Arial" w:hAnsi="Arial" w:cs="Arial"/>
          <w:sz w:val="20"/>
          <w:szCs w:val="20"/>
          <w:lang w:eastAsia="en-US"/>
        </w:rPr>
        <w:t xml:space="preserve">obveze 783.064,57 € za zajam uplaćen 16.12.2021. u iznosu 5.900.000 kn na temelju pada prihoda u 2021. godini (rok povrata </w:t>
      </w:r>
      <w:r w:rsidR="005017A2" w:rsidRPr="006625D0">
        <w:rPr>
          <w:rFonts w:ascii="Arial" w:hAnsi="Arial" w:cs="Arial"/>
          <w:sz w:val="20"/>
          <w:szCs w:val="20"/>
          <w:lang w:eastAsia="en-US"/>
        </w:rPr>
        <w:t xml:space="preserve">prvotno bio </w:t>
      </w:r>
      <w:r w:rsidRPr="006625D0">
        <w:rPr>
          <w:rFonts w:ascii="Arial" w:hAnsi="Arial" w:cs="Arial"/>
          <w:sz w:val="20"/>
          <w:szCs w:val="20"/>
          <w:lang w:eastAsia="en-US"/>
        </w:rPr>
        <w:t>3 godine, odnosno do konca 2024. godine</w:t>
      </w:r>
      <w:r w:rsidR="005017A2" w:rsidRPr="006625D0">
        <w:rPr>
          <w:rFonts w:ascii="Arial" w:hAnsi="Arial" w:cs="Arial"/>
          <w:sz w:val="20"/>
          <w:szCs w:val="20"/>
          <w:lang w:eastAsia="en-US"/>
        </w:rPr>
        <w:t xml:space="preserve">, </w:t>
      </w:r>
      <w:r w:rsidR="00B35217">
        <w:rPr>
          <w:rFonts w:ascii="Arial" w:hAnsi="Arial" w:cs="Arial"/>
          <w:sz w:val="20"/>
          <w:szCs w:val="20"/>
          <w:lang w:eastAsia="en-US"/>
        </w:rPr>
        <w:t>a</w:t>
      </w:r>
      <w:r w:rsidR="005017A2" w:rsidRPr="006625D0">
        <w:rPr>
          <w:rFonts w:ascii="Arial" w:hAnsi="Arial" w:cs="Arial"/>
          <w:sz w:val="20"/>
          <w:szCs w:val="20"/>
          <w:lang w:eastAsia="en-US"/>
        </w:rPr>
        <w:t xml:space="preserve"> produžen </w:t>
      </w:r>
      <w:r w:rsidR="00B35217">
        <w:rPr>
          <w:rFonts w:ascii="Arial" w:hAnsi="Arial" w:cs="Arial"/>
          <w:sz w:val="20"/>
          <w:szCs w:val="20"/>
          <w:lang w:eastAsia="en-US"/>
        </w:rPr>
        <w:t>je</w:t>
      </w:r>
      <w:r w:rsidR="005017A2" w:rsidRPr="006625D0">
        <w:rPr>
          <w:rFonts w:ascii="Arial" w:hAnsi="Arial" w:cs="Arial"/>
          <w:sz w:val="20"/>
          <w:szCs w:val="20"/>
          <w:lang w:eastAsia="en-US"/>
        </w:rPr>
        <w:t xml:space="preserve"> do konca 2027. godine</w:t>
      </w:r>
      <w:r w:rsidRPr="006625D0">
        <w:rPr>
          <w:rFonts w:ascii="Arial" w:hAnsi="Arial" w:cs="Arial"/>
          <w:sz w:val="20"/>
          <w:szCs w:val="20"/>
          <w:lang w:eastAsia="en-US"/>
        </w:rPr>
        <w:t>),</w:t>
      </w:r>
    </w:p>
    <w:p w14:paraId="02D26D0A" w14:textId="273E7ACA" w:rsidR="00EA65B3" w:rsidRPr="006625D0" w:rsidRDefault="00EA65B3">
      <w:pPr>
        <w:numPr>
          <w:ilvl w:val="1"/>
          <w:numId w:val="8"/>
        </w:numPr>
        <w:spacing w:after="0" w:line="240" w:lineRule="auto"/>
        <w:jc w:val="both"/>
        <w:rPr>
          <w:rFonts w:ascii="Arial" w:hAnsi="Arial" w:cs="Arial"/>
          <w:sz w:val="20"/>
          <w:szCs w:val="20"/>
          <w:lang w:eastAsia="en-US"/>
        </w:rPr>
      </w:pPr>
      <w:r w:rsidRPr="006625D0">
        <w:rPr>
          <w:rFonts w:ascii="Arial" w:hAnsi="Arial" w:cs="Arial"/>
          <w:sz w:val="20"/>
          <w:szCs w:val="20"/>
          <w:lang w:eastAsia="en-US"/>
        </w:rPr>
        <w:t>obveze 97.</w:t>
      </w:r>
      <w:r w:rsidR="005017A2" w:rsidRPr="006625D0">
        <w:rPr>
          <w:rFonts w:ascii="Arial" w:hAnsi="Arial" w:cs="Arial"/>
          <w:sz w:val="20"/>
          <w:szCs w:val="20"/>
          <w:lang w:eastAsia="en-US"/>
        </w:rPr>
        <w:t>757,41</w:t>
      </w:r>
      <w:r w:rsidRPr="006625D0">
        <w:rPr>
          <w:rFonts w:ascii="Arial" w:hAnsi="Arial" w:cs="Arial"/>
          <w:sz w:val="20"/>
          <w:szCs w:val="20"/>
          <w:lang w:eastAsia="en-US"/>
        </w:rPr>
        <w:t xml:space="preserve"> € za zajam u visini odgođenog plaćanja poreza i prireza na dohodak (</w:t>
      </w:r>
      <w:r w:rsidR="005017A2" w:rsidRPr="006625D0">
        <w:rPr>
          <w:rFonts w:ascii="Arial" w:hAnsi="Arial" w:cs="Arial"/>
          <w:sz w:val="20"/>
          <w:szCs w:val="20"/>
          <w:lang w:eastAsia="en-US"/>
        </w:rPr>
        <w:t>O</w:t>
      </w:r>
      <w:r w:rsidRPr="006625D0">
        <w:rPr>
          <w:rFonts w:ascii="Arial" w:hAnsi="Arial" w:cs="Arial"/>
          <w:sz w:val="20"/>
          <w:szCs w:val="20"/>
          <w:lang w:eastAsia="en-US"/>
        </w:rPr>
        <w:t xml:space="preserve">dgoda Porezne uprave obveznicima poreza i prireza na dohodak, a povrat zajma </w:t>
      </w:r>
      <w:r w:rsidR="005017A2" w:rsidRPr="006625D0">
        <w:rPr>
          <w:rFonts w:ascii="Arial" w:hAnsi="Arial" w:cs="Arial"/>
          <w:sz w:val="20"/>
          <w:szCs w:val="20"/>
          <w:lang w:eastAsia="en-US"/>
        </w:rPr>
        <w:t xml:space="preserve">su obavljali </w:t>
      </w:r>
      <w:r w:rsidRPr="006625D0">
        <w:rPr>
          <w:rFonts w:ascii="Arial" w:hAnsi="Arial" w:cs="Arial"/>
          <w:sz w:val="20"/>
          <w:szCs w:val="20"/>
          <w:lang w:eastAsia="en-US"/>
        </w:rPr>
        <w:t xml:space="preserve">obveznici kojima je odgoda odobrena, te </w:t>
      </w:r>
      <w:r w:rsidR="005017A2" w:rsidRPr="006625D0">
        <w:rPr>
          <w:rFonts w:ascii="Arial" w:hAnsi="Arial" w:cs="Arial"/>
          <w:sz w:val="20"/>
          <w:szCs w:val="20"/>
          <w:lang w:eastAsia="en-US"/>
        </w:rPr>
        <w:t xml:space="preserve">je </w:t>
      </w:r>
      <w:r w:rsidRPr="006625D0">
        <w:rPr>
          <w:rFonts w:ascii="Arial" w:hAnsi="Arial" w:cs="Arial"/>
          <w:sz w:val="20"/>
          <w:szCs w:val="20"/>
          <w:lang w:eastAsia="en-US"/>
        </w:rPr>
        <w:t>smanjenje zajma Općina obavlja</w:t>
      </w:r>
      <w:r w:rsidR="005017A2" w:rsidRPr="006625D0">
        <w:rPr>
          <w:rFonts w:ascii="Arial" w:hAnsi="Arial" w:cs="Arial"/>
          <w:sz w:val="20"/>
          <w:szCs w:val="20"/>
          <w:lang w:eastAsia="en-US"/>
        </w:rPr>
        <w:t>la</w:t>
      </w:r>
      <w:r w:rsidRPr="006625D0">
        <w:rPr>
          <w:rFonts w:ascii="Arial" w:hAnsi="Arial" w:cs="Arial"/>
          <w:sz w:val="20"/>
          <w:szCs w:val="20"/>
          <w:lang w:eastAsia="en-US"/>
        </w:rPr>
        <w:t xml:space="preserve"> po obavijestima financijske agencije</w:t>
      </w:r>
      <w:r w:rsidR="005017A2" w:rsidRPr="006625D0">
        <w:rPr>
          <w:rFonts w:ascii="Arial" w:hAnsi="Arial" w:cs="Arial"/>
          <w:sz w:val="20"/>
          <w:szCs w:val="20"/>
          <w:lang w:eastAsia="en-US"/>
        </w:rPr>
        <w:t>. Međutim na temelju obavijesti Ministarstva financija iz travnja 2024. godine, prema podacima Porezne uprave nema više aktivnih mjera obročne otplate i preostali iznos duga je Općina obvezna samostalno vratiti na račun državnog proračuna prema dinamici koju sama odredi a najkasnije do konca 2027. godine</w:t>
      </w:r>
      <w:r w:rsidRPr="006625D0">
        <w:rPr>
          <w:rFonts w:ascii="Arial" w:hAnsi="Arial" w:cs="Arial"/>
          <w:sz w:val="20"/>
          <w:szCs w:val="20"/>
          <w:lang w:eastAsia="en-US"/>
        </w:rPr>
        <w:t>)</w:t>
      </w:r>
      <w:r w:rsidR="00495844" w:rsidRPr="006625D0">
        <w:rPr>
          <w:rFonts w:ascii="Arial" w:hAnsi="Arial" w:cs="Arial"/>
          <w:sz w:val="20"/>
          <w:szCs w:val="20"/>
          <w:lang w:eastAsia="en-US"/>
        </w:rPr>
        <w:t>.</w:t>
      </w:r>
    </w:p>
    <w:p w14:paraId="6CC19F45" w14:textId="77777777" w:rsidR="00EA65B3" w:rsidRPr="00781A43" w:rsidRDefault="00EA65B3" w:rsidP="00EA65B3">
      <w:pPr>
        <w:spacing w:after="0" w:line="240" w:lineRule="auto"/>
        <w:rPr>
          <w:rFonts w:ascii="Arial" w:hAnsi="Arial" w:cs="Arial"/>
          <w:sz w:val="20"/>
          <w:szCs w:val="20"/>
          <w:lang w:eastAsia="en-US"/>
        </w:rPr>
      </w:pPr>
    </w:p>
    <w:p w14:paraId="5B080E6E" w14:textId="56F89998" w:rsidR="00EA65B3" w:rsidRPr="003A2F86" w:rsidRDefault="00EA65B3" w:rsidP="00EA65B3">
      <w:pPr>
        <w:pStyle w:val="Opisslike"/>
        <w:keepNext/>
        <w:jc w:val="both"/>
      </w:pPr>
      <w:bookmarkStart w:id="740" w:name="_Toc232981557"/>
      <w:bookmarkEnd w:id="739"/>
      <w:r w:rsidRPr="003A2F86">
        <w:rPr>
          <w:color w:val="FF0000"/>
        </w:rPr>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38</w:t>
      </w:r>
      <w:r w:rsidRPr="003A2F86">
        <w:rPr>
          <w:color w:val="FF0000"/>
        </w:rPr>
        <w:fldChar w:fldCharType="end"/>
      </w:r>
      <w:r w:rsidRPr="003A2F86">
        <w:rPr>
          <w:color w:val="FF0000"/>
        </w:rPr>
        <w:t>.</w:t>
      </w:r>
      <w:r w:rsidRPr="003A2F86">
        <w:t xml:space="preserve">: </w:t>
      </w:r>
      <w:r w:rsidRPr="003A2F86">
        <w:rPr>
          <w:rFonts w:ascii="Arial" w:hAnsi="Arial" w:cs="Arial"/>
          <w:bCs w:val="0"/>
          <w:iCs/>
        </w:rPr>
        <w:t xml:space="preserve">Pregled obveza proračunskih korisnika po dospjelosti na dan </w:t>
      </w:r>
      <w:r w:rsidR="003A2036">
        <w:rPr>
          <w:rFonts w:ascii="Arial" w:hAnsi="Arial" w:cs="Arial"/>
          <w:bCs w:val="0"/>
          <w:iCs/>
        </w:rPr>
        <w:t>31.12</w:t>
      </w:r>
      <w:r w:rsidR="00EF1CF4">
        <w:rPr>
          <w:rFonts w:ascii="Arial" w:hAnsi="Arial" w:cs="Arial"/>
          <w:bCs w:val="0"/>
          <w:iCs/>
        </w:rPr>
        <w:t>.2025</w:t>
      </w:r>
      <w:r w:rsidRPr="003A2F86">
        <w:rPr>
          <w:rFonts w:ascii="Arial" w:hAnsi="Arial" w:cs="Arial"/>
          <w:bCs w:val="0"/>
          <w:iCs/>
        </w:rPr>
        <w:t>.</w:t>
      </w:r>
      <w:bookmarkEnd w:id="740"/>
    </w:p>
    <w:p w14:paraId="5F1E6F3F" w14:textId="1F0F4629" w:rsidR="00EA65B3" w:rsidRPr="003A2F86" w:rsidRDefault="00EA65B3" w:rsidP="00EA65B3">
      <w:pPr>
        <w:autoSpaceDE w:val="0"/>
        <w:autoSpaceDN w:val="0"/>
        <w:adjustRightInd w:val="0"/>
        <w:spacing w:after="0" w:line="240" w:lineRule="auto"/>
        <w:jc w:val="both"/>
        <w:rPr>
          <w:rFonts w:ascii="Arial" w:eastAsia="Times New Roman" w:hAnsi="Arial" w:cs="Arial"/>
          <w:sz w:val="20"/>
          <w:szCs w:val="20"/>
        </w:rPr>
      </w:pPr>
    </w:p>
    <w:p w14:paraId="74A34569" w14:textId="37205834" w:rsidR="00EF1CF4" w:rsidRPr="006625D0" w:rsidRDefault="005D43C7" w:rsidP="005D43C7">
      <w:pPr>
        <w:autoSpaceDE w:val="0"/>
        <w:autoSpaceDN w:val="0"/>
        <w:adjustRightInd w:val="0"/>
        <w:spacing w:after="0" w:line="240" w:lineRule="auto"/>
        <w:jc w:val="center"/>
        <w:rPr>
          <w:rFonts w:ascii="Arial" w:eastAsia="Times New Roman" w:hAnsi="Arial" w:cs="Arial"/>
          <w:sz w:val="20"/>
          <w:szCs w:val="20"/>
        </w:rPr>
      </w:pPr>
      <w:r w:rsidRPr="005D43C7">
        <w:rPr>
          <w:noProof/>
        </w:rPr>
        <w:drawing>
          <wp:inline distT="0" distB="0" distL="0" distR="0" wp14:anchorId="32C4B4EB" wp14:editId="007CF68F">
            <wp:extent cx="5676900" cy="2454876"/>
            <wp:effectExtent l="0" t="0" r="0" b="3175"/>
            <wp:docPr id="285003591"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678329" cy="2455494"/>
                    </a:xfrm>
                    <a:prstGeom prst="rect">
                      <a:avLst/>
                    </a:prstGeom>
                    <a:noFill/>
                    <a:ln>
                      <a:noFill/>
                    </a:ln>
                  </pic:spPr>
                </pic:pic>
              </a:graphicData>
            </a:graphic>
          </wp:inline>
        </w:drawing>
      </w:r>
    </w:p>
    <w:p w14:paraId="2CDAF40B" w14:textId="77777777" w:rsidR="005D43C7" w:rsidRDefault="005D43C7" w:rsidP="006625D0">
      <w:pPr>
        <w:autoSpaceDE w:val="0"/>
        <w:autoSpaceDN w:val="0"/>
        <w:adjustRightInd w:val="0"/>
        <w:spacing w:after="0" w:line="240" w:lineRule="auto"/>
        <w:jc w:val="both"/>
        <w:rPr>
          <w:rFonts w:ascii="Arial" w:eastAsia="Times New Roman" w:hAnsi="Arial" w:cs="Arial"/>
          <w:sz w:val="20"/>
          <w:szCs w:val="20"/>
        </w:rPr>
      </w:pPr>
    </w:p>
    <w:p w14:paraId="289DA65F" w14:textId="25591F76" w:rsidR="00EA65B3" w:rsidRDefault="00EA65B3" w:rsidP="006625D0">
      <w:pPr>
        <w:autoSpaceDE w:val="0"/>
        <w:autoSpaceDN w:val="0"/>
        <w:adjustRightInd w:val="0"/>
        <w:spacing w:after="0" w:line="240" w:lineRule="auto"/>
        <w:jc w:val="both"/>
        <w:rPr>
          <w:rFonts w:ascii="Arial" w:eastAsia="Times New Roman" w:hAnsi="Arial" w:cs="Arial"/>
          <w:sz w:val="20"/>
          <w:szCs w:val="20"/>
        </w:rPr>
      </w:pPr>
      <w:r w:rsidRPr="006625D0">
        <w:rPr>
          <w:rFonts w:ascii="Arial" w:eastAsia="Times New Roman" w:hAnsi="Arial" w:cs="Arial"/>
          <w:sz w:val="20"/>
          <w:szCs w:val="20"/>
        </w:rPr>
        <w:t xml:space="preserve">Proračunski obveznici </w:t>
      </w:r>
      <w:r w:rsidR="005D43C7">
        <w:rPr>
          <w:rFonts w:ascii="Arial" w:eastAsia="Times New Roman" w:hAnsi="Arial" w:cs="Arial"/>
          <w:sz w:val="20"/>
          <w:szCs w:val="20"/>
        </w:rPr>
        <w:t xml:space="preserve">nisu </w:t>
      </w:r>
      <w:r w:rsidRPr="006625D0">
        <w:rPr>
          <w:rFonts w:ascii="Arial" w:eastAsia="Times New Roman" w:hAnsi="Arial" w:cs="Arial"/>
          <w:sz w:val="20"/>
          <w:szCs w:val="20"/>
        </w:rPr>
        <w:t xml:space="preserve">iskazali dospjele obveze </w:t>
      </w:r>
      <w:r w:rsidR="00260A44" w:rsidRPr="006625D0">
        <w:rPr>
          <w:rFonts w:ascii="Arial" w:eastAsia="Times New Roman" w:hAnsi="Arial" w:cs="Arial"/>
          <w:sz w:val="20"/>
          <w:szCs w:val="20"/>
        </w:rPr>
        <w:t xml:space="preserve">koncem </w:t>
      </w:r>
      <w:r w:rsidR="005E2FBD" w:rsidRPr="006625D0">
        <w:rPr>
          <w:rFonts w:ascii="Arial" w:eastAsia="Times New Roman" w:hAnsi="Arial" w:cs="Arial"/>
          <w:sz w:val="20"/>
          <w:szCs w:val="20"/>
        </w:rPr>
        <w:t>202</w:t>
      </w:r>
      <w:r w:rsidR="00EF1CF4">
        <w:rPr>
          <w:rFonts w:ascii="Arial" w:eastAsia="Times New Roman" w:hAnsi="Arial" w:cs="Arial"/>
          <w:sz w:val="20"/>
          <w:szCs w:val="20"/>
        </w:rPr>
        <w:t>5</w:t>
      </w:r>
      <w:r w:rsidR="005E2FBD" w:rsidRPr="006625D0">
        <w:rPr>
          <w:rFonts w:ascii="Arial" w:eastAsia="Times New Roman" w:hAnsi="Arial" w:cs="Arial"/>
          <w:sz w:val="20"/>
          <w:szCs w:val="20"/>
        </w:rPr>
        <w:t xml:space="preserve">. </w:t>
      </w:r>
      <w:r w:rsidR="00260A44" w:rsidRPr="006625D0">
        <w:rPr>
          <w:rFonts w:ascii="Arial" w:eastAsia="Times New Roman" w:hAnsi="Arial" w:cs="Arial"/>
          <w:sz w:val="20"/>
          <w:szCs w:val="20"/>
        </w:rPr>
        <w:t>godine</w:t>
      </w:r>
      <w:r w:rsidR="005D43C7">
        <w:rPr>
          <w:rFonts w:ascii="Arial" w:eastAsia="Times New Roman" w:hAnsi="Arial" w:cs="Arial"/>
          <w:sz w:val="20"/>
          <w:szCs w:val="20"/>
        </w:rPr>
        <w:t>.</w:t>
      </w:r>
    </w:p>
    <w:p w14:paraId="3B3AC839" w14:textId="77777777" w:rsidR="005D43C7" w:rsidRPr="006625D0" w:rsidRDefault="005D43C7" w:rsidP="006625D0">
      <w:pPr>
        <w:autoSpaceDE w:val="0"/>
        <w:autoSpaceDN w:val="0"/>
        <w:adjustRightInd w:val="0"/>
        <w:spacing w:after="0" w:line="240" w:lineRule="auto"/>
        <w:jc w:val="both"/>
        <w:rPr>
          <w:rFonts w:ascii="Arial" w:eastAsia="Times New Roman" w:hAnsi="Arial" w:cs="Arial"/>
          <w:sz w:val="20"/>
          <w:szCs w:val="20"/>
        </w:rPr>
      </w:pPr>
    </w:p>
    <w:p w14:paraId="5C38F724" w14:textId="77777777" w:rsidR="006625D0" w:rsidRPr="006625D0" w:rsidRDefault="006625D0" w:rsidP="006625D0">
      <w:pPr>
        <w:autoSpaceDE w:val="0"/>
        <w:autoSpaceDN w:val="0"/>
        <w:adjustRightInd w:val="0"/>
        <w:spacing w:after="0" w:line="240" w:lineRule="auto"/>
        <w:jc w:val="both"/>
        <w:rPr>
          <w:rFonts w:ascii="Arial" w:eastAsia="Times New Roman" w:hAnsi="Arial" w:cs="Arial"/>
          <w:sz w:val="20"/>
        </w:rPr>
      </w:pPr>
    </w:p>
    <w:p w14:paraId="43045AAF" w14:textId="5CEC1969" w:rsidR="00EA65B3" w:rsidRPr="006625D0" w:rsidRDefault="00FC0E6E" w:rsidP="008F05E4">
      <w:pPr>
        <w:pStyle w:val="Naslov3"/>
        <w:jc w:val="center"/>
        <w:rPr>
          <w:rFonts w:ascii="Arial" w:hAnsi="Arial" w:cs="Arial"/>
          <w:sz w:val="22"/>
          <w:szCs w:val="22"/>
          <w:lang w:val="hr-HR"/>
        </w:rPr>
      </w:pPr>
      <w:bookmarkStart w:id="741" w:name="_Toc232981505"/>
      <w:r w:rsidRPr="006625D0">
        <w:rPr>
          <w:rFonts w:ascii="Arial" w:hAnsi="Arial" w:cs="Arial"/>
          <w:sz w:val="22"/>
          <w:szCs w:val="22"/>
          <w:lang w:val="hr-HR"/>
        </w:rPr>
        <w:lastRenderedPageBreak/>
        <w:t>4.</w:t>
      </w:r>
      <w:r w:rsidR="00A10402" w:rsidRPr="006625D0">
        <w:rPr>
          <w:rFonts w:ascii="Arial" w:hAnsi="Arial" w:cs="Arial"/>
          <w:sz w:val="22"/>
          <w:szCs w:val="22"/>
          <w:lang w:val="hr-HR"/>
        </w:rPr>
        <w:t>6.3</w:t>
      </w:r>
      <w:r w:rsidR="00EA65B3" w:rsidRPr="006625D0">
        <w:rPr>
          <w:rFonts w:ascii="Arial" w:hAnsi="Arial" w:cs="Arial"/>
          <w:sz w:val="22"/>
          <w:szCs w:val="22"/>
          <w:lang w:val="hr-HR"/>
        </w:rPr>
        <w:t>.</w:t>
      </w:r>
      <w:r w:rsidR="00EA65B3" w:rsidRPr="006625D0">
        <w:rPr>
          <w:rFonts w:ascii="Arial" w:hAnsi="Arial" w:cs="Arial"/>
          <w:sz w:val="22"/>
          <w:szCs w:val="22"/>
          <w:lang w:val="hr-HR"/>
        </w:rPr>
        <w:tab/>
        <w:t>STANJE POTENCIJALNIH OBVEZA</w:t>
      </w:r>
      <w:bookmarkEnd w:id="741"/>
    </w:p>
    <w:p w14:paraId="1917D30E" w14:textId="77777777" w:rsidR="00EA65B3" w:rsidRPr="006625D0" w:rsidRDefault="00EA65B3" w:rsidP="00EA65B3">
      <w:pPr>
        <w:autoSpaceDE w:val="0"/>
        <w:autoSpaceDN w:val="0"/>
        <w:adjustRightInd w:val="0"/>
        <w:spacing w:after="0" w:line="240" w:lineRule="auto"/>
        <w:rPr>
          <w:rFonts w:ascii="Arial" w:eastAsia="Times New Roman" w:hAnsi="Arial" w:cs="Arial"/>
          <w:sz w:val="20"/>
          <w:szCs w:val="20"/>
        </w:rPr>
      </w:pPr>
    </w:p>
    <w:p w14:paraId="42086DA4" w14:textId="77777777" w:rsidR="00EA65B3" w:rsidRPr="006625D0" w:rsidRDefault="00EA65B3" w:rsidP="00EA65B3">
      <w:pPr>
        <w:spacing w:after="0" w:line="240" w:lineRule="auto"/>
        <w:jc w:val="both"/>
        <w:rPr>
          <w:rFonts w:ascii="Arial" w:eastAsia="Times New Roman" w:hAnsi="Arial" w:cs="Arial"/>
          <w:iCs/>
          <w:sz w:val="20"/>
          <w:lang w:eastAsia="en-US"/>
        </w:rPr>
      </w:pPr>
      <w:r w:rsidRPr="006625D0">
        <w:rPr>
          <w:rFonts w:ascii="Arial" w:eastAsia="Times New Roman" w:hAnsi="Arial" w:cs="Arial"/>
          <w:iCs/>
          <w:sz w:val="20"/>
          <w:lang w:eastAsia="en-US"/>
        </w:rPr>
        <w:t>Upravni odjel za opće poslove, mjesnu samoupravu i društvene djelatnosti vodi pregled upravnih postupaka koji su zabilježeni pred Uredom državne uprave u Dubrovačko-neretvanskoj županiji, te evidenciju sudskih sporova najvećim dijelom radi utvrđivanja prava vlasništva i uknjižbe.</w:t>
      </w:r>
      <w:r w:rsidRPr="006625D0">
        <w:rPr>
          <w:rFonts w:ascii="Times New Roman" w:eastAsia="Times New Roman" w:hAnsi="Times New Roman" w:cs="Times New Roman"/>
          <w:sz w:val="20"/>
          <w:szCs w:val="20"/>
          <w:lang w:eastAsia="en-US"/>
        </w:rPr>
        <w:t xml:space="preserve"> </w:t>
      </w:r>
      <w:r w:rsidRPr="006625D0">
        <w:rPr>
          <w:rFonts w:ascii="Arial" w:eastAsia="Times New Roman" w:hAnsi="Arial" w:cs="Arial"/>
          <w:iCs/>
          <w:sz w:val="20"/>
          <w:lang w:eastAsia="en-US"/>
        </w:rPr>
        <w:t>Potencijalne obveze su evidentirane izvanbilančno.</w:t>
      </w:r>
    </w:p>
    <w:p w14:paraId="58631733" w14:textId="77777777" w:rsidR="00EA65B3" w:rsidRPr="006625D0" w:rsidRDefault="00EA65B3" w:rsidP="00EA65B3">
      <w:pPr>
        <w:spacing w:after="0" w:line="240" w:lineRule="auto"/>
        <w:jc w:val="both"/>
        <w:rPr>
          <w:rFonts w:ascii="Arial" w:eastAsia="Times New Roman" w:hAnsi="Arial" w:cs="Arial"/>
          <w:sz w:val="20"/>
          <w:szCs w:val="20"/>
        </w:rPr>
      </w:pPr>
    </w:p>
    <w:p w14:paraId="35C33D65" w14:textId="029870CA" w:rsidR="00EA65B3" w:rsidRPr="006625D0" w:rsidRDefault="00EA65B3" w:rsidP="00EA65B3">
      <w:pPr>
        <w:spacing w:after="0" w:line="240" w:lineRule="auto"/>
        <w:jc w:val="both"/>
        <w:rPr>
          <w:rFonts w:ascii="Arial" w:eastAsia="Times New Roman" w:hAnsi="Arial" w:cs="Arial"/>
          <w:sz w:val="20"/>
          <w:szCs w:val="20"/>
        </w:rPr>
      </w:pPr>
      <w:r w:rsidRPr="006625D0">
        <w:rPr>
          <w:rFonts w:ascii="Arial" w:eastAsia="Times New Roman" w:hAnsi="Arial" w:cs="Arial"/>
          <w:sz w:val="20"/>
          <w:szCs w:val="20"/>
        </w:rPr>
        <w:t>Prema novom Pravilniku o izvještaju o izvršenju proračuna i financijskog plana, u polugodišnjem izvještaju o izvršenju proračuna nije obvezno iskazivanje potencijalnih obveza.</w:t>
      </w:r>
      <w:r w:rsidR="007D7E65" w:rsidRPr="006625D0">
        <w:rPr>
          <w:rFonts w:ascii="Arial" w:eastAsia="Times New Roman" w:hAnsi="Arial" w:cs="Arial"/>
          <w:sz w:val="20"/>
          <w:szCs w:val="20"/>
        </w:rPr>
        <w:t xml:space="preserve"> </w:t>
      </w:r>
      <w:r w:rsidRPr="006625D0">
        <w:rPr>
          <w:rFonts w:ascii="Arial" w:eastAsia="Times New Roman" w:hAnsi="Arial" w:cs="Arial"/>
          <w:sz w:val="20"/>
          <w:szCs w:val="20"/>
        </w:rPr>
        <w:t>Stanje potencijalnih obveza Općine na dan 31.12.202</w:t>
      </w:r>
      <w:r w:rsidR="004A7944">
        <w:rPr>
          <w:rFonts w:ascii="Arial" w:eastAsia="Times New Roman" w:hAnsi="Arial" w:cs="Arial"/>
          <w:sz w:val="20"/>
          <w:szCs w:val="20"/>
        </w:rPr>
        <w:t>5</w:t>
      </w:r>
      <w:r w:rsidRPr="006625D0">
        <w:rPr>
          <w:rFonts w:ascii="Arial" w:eastAsia="Times New Roman" w:hAnsi="Arial" w:cs="Arial"/>
          <w:sz w:val="20"/>
          <w:szCs w:val="20"/>
        </w:rPr>
        <w:t>.</w:t>
      </w:r>
      <w:r w:rsidRPr="006625D0">
        <w:rPr>
          <w:rFonts w:ascii="Times New Roman" w:eastAsia="Times New Roman" w:hAnsi="Times New Roman" w:cs="Times New Roman"/>
          <w:sz w:val="20"/>
          <w:szCs w:val="20"/>
          <w:lang w:eastAsia="en-US"/>
        </w:rPr>
        <w:t xml:space="preserve"> </w:t>
      </w:r>
      <w:r w:rsidRPr="006625D0">
        <w:rPr>
          <w:rFonts w:ascii="Arial" w:eastAsia="Times New Roman" w:hAnsi="Arial" w:cs="Arial"/>
          <w:sz w:val="20"/>
          <w:szCs w:val="20"/>
        </w:rPr>
        <w:t xml:space="preserve">po osnovi sudskih postupaka </w:t>
      </w:r>
      <w:r w:rsidR="00FC1608" w:rsidRPr="006625D0">
        <w:rPr>
          <w:rFonts w:ascii="Arial" w:eastAsia="Times New Roman" w:hAnsi="Arial" w:cs="Arial"/>
          <w:sz w:val="20"/>
          <w:szCs w:val="20"/>
        </w:rPr>
        <w:t xml:space="preserve">iznosi </w:t>
      </w:r>
      <w:r w:rsidR="004A7944">
        <w:rPr>
          <w:rFonts w:ascii="Arial" w:eastAsia="Times New Roman" w:hAnsi="Arial" w:cs="Arial"/>
          <w:sz w:val="20"/>
          <w:szCs w:val="20"/>
        </w:rPr>
        <w:t>170.914,98</w:t>
      </w:r>
      <w:r w:rsidR="00FC1608" w:rsidRPr="006625D0">
        <w:rPr>
          <w:rFonts w:ascii="Arial" w:eastAsia="Times New Roman" w:hAnsi="Arial" w:cs="Arial"/>
          <w:sz w:val="20"/>
          <w:szCs w:val="20"/>
        </w:rPr>
        <w:t xml:space="preserve"> </w:t>
      </w:r>
      <w:r w:rsidRPr="006625D0">
        <w:rPr>
          <w:rFonts w:ascii="Arial" w:eastAsia="Times New Roman" w:hAnsi="Arial" w:cs="Arial"/>
          <w:sz w:val="20"/>
          <w:szCs w:val="20"/>
        </w:rPr>
        <w:t>€.</w:t>
      </w:r>
    </w:p>
    <w:p w14:paraId="1E172130" w14:textId="3473C6BB" w:rsidR="00EA65B3" w:rsidRPr="006625D0" w:rsidRDefault="00EA65B3" w:rsidP="00EA65B3">
      <w:pPr>
        <w:spacing w:after="0" w:line="240" w:lineRule="auto"/>
        <w:jc w:val="both"/>
        <w:rPr>
          <w:rFonts w:ascii="Arial" w:eastAsia="Times New Roman" w:hAnsi="Arial" w:cs="Arial"/>
          <w:sz w:val="20"/>
          <w:szCs w:val="20"/>
        </w:rPr>
      </w:pPr>
      <w:r w:rsidRPr="006625D0">
        <w:rPr>
          <w:rFonts w:ascii="Arial" w:eastAsia="Times New Roman" w:hAnsi="Arial" w:cs="Arial"/>
          <w:sz w:val="20"/>
          <w:szCs w:val="20"/>
        </w:rPr>
        <w:t xml:space="preserve">Proračunski korisnici su se izjasnili da nemaju potencijalnih obveza po osnovi sudskih postupaka na dan </w:t>
      </w:r>
      <w:r w:rsidR="004A7944">
        <w:rPr>
          <w:rFonts w:ascii="Arial" w:eastAsia="Times New Roman" w:hAnsi="Arial" w:cs="Arial"/>
          <w:sz w:val="20"/>
          <w:szCs w:val="20"/>
        </w:rPr>
        <w:t>31.12</w:t>
      </w:r>
      <w:r w:rsidR="00F9325E">
        <w:rPr>
          <w:rFonts w:ascii="Arial" w:eastAsia="Times New Roman" w:hAnsi="Arial" w:cs="Arial"/>
          <w:sz w:val="20"/>
          <w:szCs w:val="20"/>
        </w:rPr>
        <w:t>.2025</w:t>
      </w:r>
      <w:r w:rsidRPr="006625D0">
        <w:rPr>
          <w:rFonts w:ascii="Arial" w:eastAsia="Times New Roman" w:hAnsi="Arial" w:cs="Arial"/>
          <w:sz w:val="20"/>
          <w:szCs w:val="20"/>
        </w:rPr>
        <w:t>.</w:t>
      </w:r>
    </w:p>
    <w:p w14:paraId="7860EB93" w14:textId="77777777" w:rsidR="00EA65B3" w:rsidRPr="006625D0" w:rsidRDefault="00EA65B3" w:rsidP="00EA65B3">
      <w:pPr>
        <w:spacing w:after="0" w:line="240" w:lineRule="auto"/>
        <w:jc w:val="both"/>
        <w:rPr>
          <w:rFonts w:ascii="Arial" w:eastAsia="Times New Roman" w:hAnsi="Arial" w:cs="Arial"/>
          <w:iCs/>
          <w:sz w:val="20"/>
          <w:lang w:eastAsia="en-US"/>
        </w:rPr>
      </w:pPr>
      <w:bookmarkStart w:id="742" w:name="_Hlk115074825"/>
    </w:p>
    <w:p w14:paraId="393A6EFF" w14:textId="0865CB72" w:rsidR="00EA65B3" w:rsidRPr="006625D0" w:rsidRDefault="00217565" w:rsidP="00EA65B3">
      <w:pPr>
        <w:spacing w:after="0" w:line="240" w:lineRule="auto"/>
        <w:rPr>
          <w:rFonts w:ascii="Arial" w:eastAsia="Times New Roman" w:hAnsi="Arial" w:cs="Arial"/>
          <w:sz w:val="20"/>
          <w:szCs w:val="20"/>
        </w:rPr>
      </w:pPr>
      <w:r w:rsidRPr="006625D0">
        <w:rPr>
          <w:rFonts w:ascii="Arial" w:eastAsia="Times New Roman" w:hAnsi="Arial" w:cs="Arial"/>
          <w:sz w:val="20"/>
          <w:szCs w:val="20"/>
        </w:rPr>
        <w:t xml:space="preserve">U nastavku se daje tablica sa stanjem na dan </w:t>
      </w:r>
      <w:r w:rsidR="004A7944">
        <w:rPr>
          <w:rFonts w:ascii="Arial" w:eastAsia="Times New Roman" w:hAnsi="Arial" w:cs="Arial"/>
          <w:sz w:val="20"/>
          <w:szCs w:val="20"/>
        </w:rPr>
        <w:t>31.12</w:t>
      </w:r>
      <w:r w:rsidR="00F9325E">
        <w:rPr>
          <w:rFonts w:ascii="Arial" w:eastAsia="Times New Roman" w:hAnsi="Arial" w:cs="Arial"/>
          <w:sz w:val="20"/>
          <w:szCs w:val="20"/>
        </w:rPr>
        <w:t>.2025</w:t>
      </w:r>
      <w:r w:rsidR="0045519D" w:rsidRPr="006625D0">
        <w:rPr>
          <w:rFonts w:ascii="Arial" w:eastAsia="Times New Roman" w:hAnsi="Arial" w:cs="Arial"/>
          <w:sz w:val="20"/>
          <w:szCs w:val="20"/>
        </w:rPr>
        <w:t>.</w:t>
      </w:r>
      <w:r w:rsidRPr="006625D0">
        <w:rPr>
          <w:rFonts w:ascii="Arial" w:eastAsia="Times New Roman" w:hAnsi="Arial" w:cs="Arial"/>
          <w:sz w:val="20"/>
          <w:szCs w:val="20"/>
        </w:rPr>
        <w:t xml:space="preserve"> iskazana u valuti EURO.</w:t>
      </w:r>
    </w:p>
    <w:bookmarkEnd w:id="742"/>
    <w:p w14:paraId="35E5BF33" w14:textId="77777777" w:rsidR="00EA65B3" w:rsidRPr="003A2F86" w:rsidRDefault="00EA65B3" w:rsidP="00EA65B3">
      <w:pPr>
        <w:spacing w:after="0" w:line="240" w:lineRule="auto"/>
        <w:rPr>
          <w:rFonts w:ascii="Arial" w:eastAsia="Times New Roman" w:hAnsi="Arial" w:cs="Arial"/>
          <w:sz w:val="20"/>
          <w:szCs w:val="20"/>
        </w:rPr>
      </w:pPr>
    </w:p>
    <w:p w14:paraId="5B02C08A" w14:textId="7E41445C" w:rsidR="00EA65B3" w:rsidRPr="003A2F86" w:rsidRDefault="00EA65B3" w:rsidP="00EA65B3">
      <w:pPr>
        <w:pStyle w:val="Opisslike"/>
        <w:keepNext/>
        <w:jc w:val="both"/>
      </w:pPr>
      <w:bookmarkStart w:id="743" w:name="_Toc232981558"/>
      <w:r w:rsidRPr="003A2F86">
        <w:rPr>
          <w:color w:val="FF0000"/>
        </w:rPr>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39</w:t>
      </w:r>
      <w:r w:rsidRPr="003A2F86">
        <w:rPr>
          <w:color w:val="FF0000"/>
        </w:rPr>
        <w:fldChar w:fldCharType="end"/>
      </w:r>
      <w:r w:rsidRPr="003A2F86">
        <w:rPr>
          <w:color w:val="FF0000"/>
        </w:rPr>
        <w:t>.</w:t>
      </w:r>
      <w:r w:rsidRPr="003A2F86">
        <w:rPr>
          <w:color w:val="7030A0"/>
        </w:rPr>
        <w:t xml:space="preserve">: </w:t>
      </w:r>
      <w:r w:rsidRPr="003A2F86">
        <w:rPr>
          <w:rFonts w:ascii="Arial" w:hAnsi="Arial" w:cs="Arial"/>
          <w:bCs w:val="0"/>
          <w:iCs/>
        </w:rPr>
        <w:t xml:space="preserve">Pregled potencijalnih obveza Općine na dan </w:t>
      </w:r>
      <w:r w:rsidR="005D43C7">
        <w:rPr>
          <w:rFonts w:ascii="Arial" w:hAnsi="Arial" w:cs="Arial"/>
          <w:bCs w:val="0"/>
          <w:iCs/>
        </w:rPr>
        <w:t>31.12</w:t>
      </w:r>
      <w:r w:rsidR="0045519D" w:rsidRPr="003A2F86">
        <w:rPr>
          <w:rFonts w:ascii="Arial" w:hAnsi="Arial" w:cs="Arial"/>
          <w:bCs w:val="0"/>
          <w:iCs/>
        </w:rPr>
        <w:t>.202</w:t>
      </w:r>
      <w:r w:rsidR="00EF1CF4">
        <w:rPr>
          <w:rFonts w:ascii="Arial" w:hAnsi="Arial" w:cs="Arial"/>
          <w:bCs w:val="0"/>
          <w:iCs/>
        </w:rPr>
        <w:t>5</w:t>
      </w:r>
      <w:r w:rsidRPr="003A2F86">
        <w:rPr>
          <w:rFonts w:ascii="Arial" w:hAnsi="Arial" w:cs="Arial"/>
          <w:bCs w:val="0"/>
          <w:iCs/>
        </w:rPr>
        <w:t>. (na temelju sudskih postupaka i upravnih postupaka)</w:t>
      </w:r>
      <w:bookmarkEnd w:id="743"/>
    </w:p>
    <w:p w14:paraId="45719E95"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78577036"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3C734D38"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2309701E" w14:textId="6D3A71D6" w:rsidR="004A7944" w:rsidRDefault="004A7944" w:rsidP="006625D0">
      <w:pPr>
        <w:spacing w:after="0" w:line="240" w:lineRule="auto"/>
        <w:rPr>
          <w:rFonts w:ascii="Times New Roman" w:eastAsia="Times New Roman" w:hAnsi="Times New Roman" w:cs="Times New Roman"/>
          <w:noProof/>
          <w:sz w:val="20"/>
          <w:szCs w:val="20"/>
          <w:lang w:eastAsia="en-US"/>
        </w:rPr>
      </w:pPr>
    </w:p>
    <w:p w14:paraId="0B9C837C"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0306FB00"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1E770FBB"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072AC6FA"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5B29061C"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5230EE27"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72E01553"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054FEE7C"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58E86065"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1CB314CA"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09EC3C91"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07797552"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7E541E6A"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68C2F2B0"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0BF29D69"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4E848701"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132A9FB4"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036C0D22"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3ABC2724"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435C8722"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05D91DDB"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43BFE3B7"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2AB5579A"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1E5BA032" w14:textId="77777777" w:rsidR="004A7944" w:rsidRDefault="004A7944" w:rsidP="006625D0">
      <w:pPr>
        <w:spacing w:after="0" w:line="240" w:lineRule="auto"/>
        <w:rPr>
          <w:rFonts w:ascii="Times New Roman" w:eastAsia="Times New Roman" w:hAnsi="Times New Roman" w:cs="Times New Roman"/>
          <w:noProof/>
          <w:sz w:val="20"/>
          <w:szCs w:val="20"/>
          <w:lang w:eastAsia="en-US"/>
        </w:rPr>
      </w:pPr>
    </w:p>
    <w:p w14:paraId="218FF610" w14:textId="77777777" w:rsidR="004A7944" w:rsidRDefault="004A7944" w:rsidP="004A7944">
      <w:pPr>
        <w:pStyle w:val="Odlomakpopisa"/>
        <w:ind w:left="360"/>
        <w:contextualSpacing/>
        <w:rPr>
          <w:rFonts w:ascii="Arial" w:eastAsia="Calibri" w:hAnsi="Arial" w:cs="Arial"/>
          <w:b/>
          <w:bCs/>
        </w:rPr>
      </w:pPr>
    </w:p>
    <w:p w14:paraId="2ADF97F5" w14:textId="77777777" w:rsidR="004A7944" w:rsidRPr="00C37277" w:rsidRDefault="004A7944" w:rsidP="004A7944">
      <w:pPr>
        <w:pStyle w:val="Odlomakpopisa"/>
        <w:ind w:left="360"/>
        <w:rPr>
          <w:rFonts w:ascii="Arial" w:eastAsia="Calibri" w:hAnsi="Arial" w:cs="Arial"/>
          <w:b/>
          <w:bCs/>
          <w:sz w:val="8"/>
          <w:szCs w:val="8"/>
        </w:rPr>
      </w:pPr>
    </w:p>
    <w:p w14:paraId="5ED56B2B" w14:textId="77777777" w:rsidR="004A7944" w:rsidRDefault="004A7944" w:rsidP="004A7944">
      <w:r w:rsidRPr="00F67FC7">
        <w:rPr>
          <w:noProof/>
        </w:rPr>
        <w:drawing>
          <wp:inline distT="0" distB="0" distL="0" distR="0" wp14:anchorId="78EEFCFC" wp14:editId="479A551E">
            <wp:extent cx="8000365" cy="5495234"/>
            <wp:effectExtent l="0" t="0" r="635" b="0"/>
            <wp:docPr id="12993799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34">
                      <a:extLst>
                        <a:ext uri="{28A0092B-C50C-407E-A947-70E740481C1C}">
                          <a14:useLocalDpi xmlns:a14="http://schemas.microsoft.com/office/drawing/2010/main" val="0"/>
                        </a:ext>
                      </a:extLst>
                    </a:blip>
                    <a:srcRect t="2204"/>
                    <a:stretch>
                      <a:fillRect/>
                    </a:stretch>
                  </pic:blipFill>
                  <pic:spPr bwMode="auto">
                    <a:xfrm>
                      <a:off x="0" y="0"/>
                      <a:ext cx="8009869" cy="5501762"/>
                    </a:xfrm>
                    <a:prstGeom prst="rect">
                      <a:avLst/>
                    </a:prstGeom>
                    <a:noFill/>
                    <a:ln>
                      <a:noFill/>
                    </a:ln>
                    <a:extLst>
                      <a:ext uri="{53640926-AAD7-44D8-BBD7-CCE9431645EC}">
                        <a14:shadowObscured xmlns:a14="http://schemas.microsoft.com/office/drawing/2010/main"/>
                      </a:ext>
                    </a:extLst>
                  </pic:spPr>
                </pic:pic>
              </a:graphicData>
            </a:graphic>
          </wp:inline>
        </w:drawing>
      </w:r>
    </w:p>
    <w:p w14:paraId="3C7D304E" w14:textId="77777777" w:rsidR="004A7944" w:rsidRDefault="004A7944" w:rsidP="004A7944"/>
    <w:p w14:paraId="29B2F874" w14:textId="77777777" w:rsidR="004A7944" w:rsidRDefault="004A7944" w:rsidP="004A7944">
      <w:r w:rsidRPr="00F67FC7">
        <w:rPr>
          <w:noProof/>
        </w:rPr>
        <w:lastRenderedPageBreak/>
        <w:drawing>
          <wp:inline distT="0" distB="0" distL="0" distR="0" wp14:anchorId="6959B73E" wp14:editId="31D7AC54">
            <wp:extent cx="8618855" cy="5824855"/>
            <wp:effectExtent l="0" t="0" r="0" b="4445"/>
            <wp:docPr id="11899916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8618855" cy="5824855"/>
                    </a:xfrm>
                    <a:prstGeom prst="rect">
                      <a:avLst/>
                    </a:prstGeom>
                    <a:noFill/>
                    <a:ln>
                      <a:noFill/>
                    </a:ln>
                  </pic:spPr>
                </pic:pic>
              </a:graphicData>
            </a:graphic>
          </wp:inline>
        </w:drawing>
      </w:r>
    </w:p>
    <w:p w14:paraId="29C74EF3" w14:textId="77777777" w:rsidR="004A7944" w:rsidRDefault="004A7944" w:rsidP="004A7944">
      <w:r w:rsidRPr="00F67FC7">
        <w:rPr>
          <w:noProof/>
        </w:rPr>
        <w:lastRenderedPageBreak/>
        <w:drawing>
          <wp:inline distT="0" distB="0" distL="0" distR="0" wp14:anchorId="39FACE16" wp14:editId="65C0E4FA">
            <wp:extent cx="8618855" cy="4851400"/>
            <wp:effectExtent l="0" t="0" r="0" b="6350"/>
            <wp:docPr id="13853409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8618855" cy="4851400"/>
                    </a:xfrm>
                    <a:prstGeom prst="rect">
                      <a:avLst/>
                    </a:prstGeom>
                    <a:noFill/>
                    <a:ln>
                      <a:noFill/>
                    </a:ln>
                  </pic:spPr>
                </pic:pic>
              </a:graphicData>
            </a:graphic>
          </wp:inline>
        </w:drawing>
      </w:r>
    </w:p>
    <w:p w14:paraId="5E2C99D1" w14:textId="77777777" w:rsidR="004A7944" w:rsidRDefault="004A7944" w:rsidP="004A7944"/>
    <w:p w14:paraId="7015C316" w14:textId="77777777" w:rsidR="004A7944" w:rsidRDefault="004A7944" w:rsidP="004A7944"/>
    <w:p w14:paraId="0DEA0CDF" w14:textId="77777777" w:rsidR="004A7944" w:rsidRDefault="004A7944" w:rsidP="004A7944"/>
    <w:p w14:paraId="0E8D177E" w14:textId="77777777" w:rsidR="004A7944" w:rsidRDefault="004A7944" w:rsidP="004A7944">
      <w:r w:rsidRPr="00F67FC7">
        <w:rPr>
          <w:noProof/>
        </w:rPr>
        <w:lastRenderedPageBreak/>
        <w:drawing>
          <wp:inline distT="0" distB="0" distL="0" distR="0" wp14:anchorId="341D337F" wp14:editId="5F4D5F75">
            <wp:extent cx="8618855" cy="2844800"/>
            <wp:effectExtent l="0" t="0" r="0" b="0"/>
            <wp:docPr id="51997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8618855" cy="2844800"/>
                    </a:xfrm>
                    <a:prstGeom prst="rect">
                      <a:avLst/>
                    </a:prstGeom>
                    <a:noFill/>
                    <a:ln>
                      <a:noFill/>
                    </a:ln>
                  </pic:spPr>
                </pic:pic>
              </a:graphicData>
            </a:graphic>
          </wp:inline>
        </w:drawing>
      </w:r>
    </w:p>
    <w:p w14:paraId="40360744" w14:textId="6E0628CE" w:rsidR="006625D0" w:rsidRPr="006625D0" w:rsidRDefault="006625D0" w:rsidP="006625D0">
      <w:pPr>
        <w:spacing w:after="0" w:line="240" w:lineRule="auto"/>
        <w:rPr>
          <w:rFonts w:ascii="Times New Roman" w:eastAsia="Times New Roman" w:hAnsi="Times New Roman" w:cs="Times New Roman"/>
          <w:sz w:val="20"/>
          <w:szCs w:val="20"/>
          <w:lang w:eastAsia="en-US"/>
        </w:rPr>
      </w:pPr>
    </w:p>
    <w:p w14:paraId="73C198E9" w14:textId="77777777" w:rsidR="006625D0" w:rsidRPr="006625D0" w:rsidRDefault="006625D0" w:rsidP="006625D0">
      <w:pPr>
        <w:spacing w:after="0" w:line="240" w:lineRule="auto"/>
        <w:rPr>
          <w:rFonts w:ascii="Times New Roman" w:eastAsia="Times New Roman" w:hAnsi="Times New Roman" w:cs="Times New Roman"/>
          <w:sz w:val="20"/>
          <w:szCs w:val="20"/>
          <w:lang w:eastAsia="en-US"/>
        </w:rPr>
      </w:pPr>
    </w:p>
    <w:p w14:paraId="65142159" w14:textId="77777777" w:rsidR="006625D0" w:rsidRPr="006625D0" w:rsidRDefault="006625D0" w:rsidP="006625D0">
      <w:pPr>
        <w:spacing w:after="0" w:line="240" w:lineRule="auto"/>
        <w:rPr>
          <w:rFonts w:ascii="Times New Roman" w:eastAsia="Times New Roman" w:hAnsi="Times New Roman" w:cs="Times New Roman"/>
          <w:sz w:val="20"/>
          <w:szCs w:val="20"/>
          <w:lang w:eastAsia="en-US"/>
        </w:rPr>
      </w:pPr>
    </w:p>
    <w:p w14:paraId="4409C965" w14:textId="77777777" w:rsidR="00FC1608" w:rsidRPr="003A2F86" w:rsidRDefault="00FC1608" w:rsidP="00FC1608"/>
    <w:p w14:paraId="1F0778C8" w14:textId="77777777" w:rsidR="00EA65B3" w:rsidRPr="003A2F86" w:rsidRDefault="00EA65B3" w:rsidP="00EA65B3">
      <w:pPr>
        <w:autoSpaceDE w:val="0"/>
        <w:autoSpaceDN w:val="0"/>
        <w:adjustRightInd w:val="0"/>
        <w:spacing w:after="0" w:line="240" w:lineRule="auto"/>
        <w:rPr>
          <w:rFonts w:ascii="Arial" w:eastAsia="Times New Roman" w:hAnsi="Arial" w:cs="Times New Roman"/>
          <w:bCs/>
          <w:szCs w:val="20"/>
        </w:rPr>
        <w:sectPr w:rsidR="00EA65B3" w:rsidRPr="003A2F86" w:rsidSect="00673312">
          <w:pgSz w:w="16838" w:h="11906" w:orient="landscape" w:code="9"/>
          <w:pgMar w:top="1077" w:right="1134" w:bottom="1134" w:left="0" w:header="720" w:footer="720" w:gutter="1134"/>
          <w:pgNumType w:chapStyle="1"/>
          <w:cols w:space="720"/>
          <w:titlePg/>
          <w:docGrid w:linePitch="299"/>
        </w:sectPr>
      </w:pPr>
    </w:p>
    <w:p w14:paraId="70DFAE0D" w14:textId="019D0F86" w:rsidR="00A3648D" w:rsidRPr="00534078" w:rsidRDefault="00A3648D" w:rsidP="00A3648D">
      <w:pPr>
        <w:spacing w:after="0" w:line="240" w:lineRule="auto"/>
        <w:jc w:val="center"/>
        <w:rPr>
          <w:rFonts w:ascii="Arial" w:eastAsia="Times New Roman" w:hAnsi="Arial" w:cs="Arial"/>
          <w:iCs/>
          <w:lang w:eastAsia="en-US"/>
        </w:rPr>
      </w:pPr>
    </w:p>
    <w:p w14:paraId="50250A22" w14:textId="46650E80" w:rsidR="00A3648D" w:rsidRPr="00534078" w:rsidRDefault="006D222A" w:rsidP="00A3648D">
      <w:pPr>
        <w:pStyle w:val="Naslov1"/>
        <w:rPr>
          <w:rFonts w:ascii="Arial" w:hAnsi="Arial" w:cs="Arial"/>
          <w:sz w:val="22"/>
          <w:lang w:val="hr-HR"/>
        </w:rPr>
      </w:pPr>
      <w:bookmarkStart w:id="744" w:name="_5.__IZVJEŠTAJ"/>
      <w:bookmarkStart w:id="745" w:name="_Toc232981506"/>
      <w:bookmarkEnd w:id="744"/>
      <w:r w:rsidRPr="00534078">
        <w:rPr>
          <w:rFonts w:ascii="Arial" w:eastAsia="Calibri" w:hAnsi="Arial" w:cs="Arial"/>
          <w:sz w:val="22"/>
          <w:lang w:val="hr-HR"/>
        </w:rPr>
        <w:t>5</w:t>
      </w:r>
      <w:r w:rsidR="00A3648D" w:rsidRPr="00534078">
        <w:rPr>
          <w:rFonts w:ascii="Arial" w:eastAsia="Calibri" w:hAnsi="Arial" w:cs="Arial"/>
          <w:sz w:val="22"/>
          <w:lang w:val="hr-HR"/>
        </w:rPr>
        <w:t xml:space="preserve">. </w:t>
      </w:r>
      <w:r w:rsidR="00A3648D" w:rsidRPr="00534078">
        <w:rPr>
          <w:rFonts w:ascii="Arial" w:eastAsia="Calibri" w:hAnsi="Arial" w:cs="Arial"/>
          <w:sz w:val="22"/>
          <w:lang w:val="hr-HR"/>
        </w:rPr>
        <w:tab/>
      </w:r>
      <w:bookmarkStart w:id="746" w:name="Izvještaj_preraspodjela"/>
      <w:bookmarkEnd w:id="746"/>
      <w:r w:rsidR="00A3648D" w:rsidRPr="00534078">
        <w:rPr>
          <w:rFonts w:ascii="Arial" w:eastAsia="Calibri" w:hAnsi="Arial" w:cs="Arial"/>
          <w:sz w:val="22"/>
          <w:lang w:val="hr-HR"/>
        </w:rPr>
        <w:t xml:space="preserve">IZVJEŠTAJ </w:t>
      </w:r>
      <w:r w:rsidR="00A3648D" w:rsidRPr="00534078">
        <w:rPr>
          <w:rFonts w:ascii="Arial" w:hAnsi="Arial" w:cs="Arial"/>
          <w:sz w:val="22"/>
          <w:lang w:val="hr-HR"/>
        </w:rPr>
        <w:t>O PRERASPODJELI SREDSTAVA U PRORAČUNU OPĆINE KONAVLE ZA 202</w:t>
      </w:r>
      <w:r w:rsidR="00EF1CF4">
        <w:rPr>
          <w:rFonts w:ascii="Arial" w:hAnsi="Arial" w:cs="Arial"/>
          <w:sz w:val="22"/>
          <w:lang w:val="hr-HR"/>
        </w:rPr>
        <w:t>5</w:t>
      </w:r>
      <w:r w:rsidR="00A3648D" w:rsidRPr="00534078">
        <w:rPr>
          <w:rFonts w:ascii="Arial" w:hAnsi="Arial" w:cs="Arial"/>
          <w:sz w:val="22"/>
          <w:lang w:val="hr-HR"/>
        </w:rPr>
        <w:t>.</w:t>
      </w:r>
      <w:bookmarkEnd w:id="745"/>
    </w:p>
    <w:p w14:paraId="38028A00" w14:textId="77777777" w:rsidR="00A3648D" w:rsidRPr="00AC4C54" w:rsidRDefault="00A3648D" w:rsidP="00A3648D">
      <w:pPr>
        <w:spacing w:after="0" w:line="240" w:lineRule="auto"/>
        <w:rPr>
          <w:rFonts w:ascii="Times New Roman" w:eastAsia="Times New Roman" w:hAnsi="Times New Roman" w:cs="Times New Roman"/>
          <w:sz w:val="18"/>
          <w:szCs w:val="18"/>
          <w:lang w:eastAsia="en-US"/>
        </w:rPr>
      </w:pPr>
    </w:p>
    <w:p w14:paraId="4488738B" w14:textId="6E7DD2A4" w:rsidR="00FC1608" w:rsidRPr="00AC4C54" w:rsidRDefault="00FC1608" w:rsidP="00FC1608">
      <w:pPr>
        <w:autoSpaceDE w:val="0"/>
        <w:autoSpaceDN w:val="0"/>
        <w:adjustRightInd w:val="0"/>
        <w:spacing w:after="0" w:line="240" w:lineRule="auto"/>
        <w:jc w:val="both"/>
        <w:rPr>
          <w:rFonts w:ascii="Arial" w:eastAsia="Times New Roman" w:hAnsi="Arial" w:cs="Arial"/>
          <w:sz w:val="20"/>
          <w:szCs w:val="20"/>
        </w:rPr>
      </w:pPr>
      <w:bookmarkStart w:id="747" w:name="_Hlk64905762"/>
      <w:r w:rsidRPr="00AC4C54">
        <w:rPr>
          <w:rFonts w:ascii="Arial" w:eastAsia="Times New Roman" w:hAnsi="Arial" w:cs="Arial"/>
          <w:sz w:val="20"/>
          <w:szCs w:val="20"/>
        </w:rPr>
        <w:t>Člankom 2</w:t>
      </w:r>
      <w:r w:rsidR="006D283D" w:rsidRPr="00AC4C54">
        <w:rPr>
          <w:rFonts w:ascii="Arial" w:eastAsia="Times New Roman" w:hAnsi="Arial" w:cs="Arial"/>
          <w:sz w:val="20"/>
          <w:szCs w:val="20"/>
        </w:rPr>
        <w:t>9</w:t>
      </w:r>
      <w:r w:rsidRPr="00AC4C54">
        <w:rPr>
          <w:rFonts w:ascii="Arial" w:eastAsia="Times New Roman" w:hAnsi="Arial" w:cs="Arial"/>
          <w:sz w:val="20"/>
          <w:szCs w:val="20"/>
        </w:rPr>
        <w:t>. Odluke o izvršenju proračuna Općine Konavle za 202</w:t>
      </w:r>
      <w:r w:rsidR="005641D9">
        <w:rPr>
          <w:rFonts w:ascii="Arial" w:eastAsia="Times New Roman" w:hAnsi="Arial" w:cs="Arial"/>
          <w:sz w:val="20"/>
          <w:szCs w:val="20"/>
        </w:rPr>
        <w:t>5</w:t>
      </w:r>
      <w:r w:rsidRPr="00AC4C54">
        <w:rPr>
          <w:rFonts w:ascii="Arial" w:eastAsia="Times New Roman" w:hAnsi="Arial" w:cs="Arial"/>
          <w:sz w:val="20"/>
          <w:szCs w:val="20"/>
        </w:rPr>
        <w:t xml:space="preserve">. godinu (Službeni glasnik Općine Konavle broj </w:t>
      </w:r>
      <w:r w:rsidR="005641D9">
        <w:rPr>
          <w:rFonts w:ascii="Arial" w:eastAsia="Times New Roman" w:hAnsi="Arial" w:cs="Arial"/>
          <w:sz w:val="20"/>
          <w:szCs w:val="20"/>
        </w:rPr>
        <w:t>11/24</w:t>
      </w:r>
      <w:r w:rsidRPr="00AC4C54">
        <w:rPr>
          <w:rFonts w:ascii="Arial" w:eastAsia="Times New Roman" w:hAnsi="Arial" w:cs="Arial"/>
          <w:sz w:val="20"/>
          <w:szCs w:val="20"/>
        </w:rPr>
        <w:t>) propisano je:</w:t>
      </w:r>
      <w:r w:rsidRPr="00AC4C54">
        <w:rPr>
          <w:rFonts w:ascii="Arial" w:eastAsia="Times New Roman" w:hAnsi="Arial" w:cs="Arial"/>
          <w:sz w:val="20"/>
          <w:szCs w:val="20"/>
          <w:lang w:eastAsia="en-US"/>
        </w:rPr>
        <w:t xml:space="preserve"> </w:t>
      </w:r>
    </w:p>
    <w:p w14:paraId="2ABCFE0B" w14:textId="77777777" w:rsidR="005641D9" w:rsidRPr="005641D9" w:rsidRDefault="00FC1608" w:rsidP="005641D9">
      <w:pPr>
        <w:autoSpaceDE w:val="0"/>
        <w:autoSpaceDN w:val="0"/>
        <w:adjustRightInd w:val="0"/>
        <w:spacing w:after="0" w:line="240" w:lineRule="auto"/>
        <w:ind w:firstLine="709"/>
        <w:jc w:val="both"/>
        <w:rPr>
          <w:rFonts w:ascii="Arial" w:eastAsia="Times New Roman" w:hAnsi="Arial" w:cs="Arial"/>
          <w:sz w:val="20"/>
          <w:szCs w:val="20"/>
        </w:rPr>
      </w:pPr>
      <w:r w:rsidRPr="00AC4C54">
        <w:rPr>
          <w:rFonts w:ascii="Arial" w:eastAsia="Times New Roman" w:hAnsi="Arial" w:cs="Arial"/>
          <w:sz w:val="20"/>
          <w:szCs w:val="20"/>
        </w:rPr>
        <w:t>„</w:t>
      </w:r>
      <w:r w:rsidR="005641D9" w:rsidRPr="005641D9">
        <w:rPr>
          <w:rFonts w:ascii="Arial" w:eastAsia="Times New Roman" w:hAnsi="Arial" w:cs="Arial"/>
          <w:sz w:val="20"/>
          <w:szCs w:val="20"/>
        </w:rPr>
        <w:t>Rashodi i izdaci proračuna mogu se preraspodijeliti najviše do 5% na razini skupine ekonomske klasifikacije koju donosi Općinsko vijeće koja se umanjuje i to unutar izvora financiranja opći prihodi i primici i unutar izvora financiranja namjenski primici.</w:t>
      </w:r>
    </w:p>
    <w:p w14:paraId="2C3A8B2D" w14:textId="77777777" w:rsidR="005641D9" w:rsidRPr="005641D9" w:rsidRDefault="005641D9" w:rsidP="005641D9">
      <w:pPr>
        <w:autoSpaceDE w:val="0"/>
        <w:autoSpaceDN w:val="0"/>
        <w:adjustRightInd w:val="0"/>
        <w:spacing w:after="0" w:line="240" w:lineRule="auto"/>
        <w:ind w:firstLine="709"/>
        <w:jc w:val="both"/>
        <w:rPr>
          <w:rFonts w:ascii="Arial" w:eastAsia="Times New Roman" w:hAnsi="Arial" w:cs="Arial"/>
          <w:sz w:val="20"/>
          <w:szCs w:val="20"/>
        </w:rPr>
      </w:pPr>
      <w:r w:rsidRPr="005641D9">
        <w:rPr>
          <w:rFonts w:ascii="Arial" w:eastAsia="Times New Roman" w:hAnsi="Arial" w:cs="Arial"/>
          <w:sz w:val="20"/>
          <w:szCs w:val="20"/>
        </w:rPr>
        <w:tab/>
        <w:t>Iznimno od stavka 1. ovoga članka, preraspodjela sredstava unutar izvora financiranja opći prihodi i primici može se izvršiti najviše do 15% na razini skupine ekonomske klasifikacije koju donosi općinsko vijeće ako se time osigurava povećanje sredstava učešća Općine ili njenih proračunskih korisnika za financiranje projekata koji se sufinanciraju iz sredstava Europske unije.</w:t>
      </w:r>
    </w:p>
    <w:p w14:paraId="00BD2519" w14:textId="77777777" w:rsidR="005641D9" w:rsidRPr="005641D9" w:rsidRDefault="005641D9" w:rsidP="005641D9">
      <w:pPr>
        <w:autoSpaceDE w:val="0"/>
        <w:autoSpaceDN w:val="0"/>
        <w:adjustRightInd w:val="0"/>
        <w:spacing w:after="0" w:line="240" w:lineRule="auto"/>
        <w:ind w:firstLine="709"/>
        <w:jc w:val="both"/>
        <w:rPr>
          <w:rFonts w:ascii="Arial" w:eastAsia="Times New Roman" w:hAnsi="Arial" w:cs="Arial"/>
          <w:sz w:val="20"/>
          <w:szCs w:val="20"/>
        </w:rPr>
      </w:pPr>
      <w:r w:rsidRPr="005641D9">
        <w:rPr>
          <w:rFonts w:ascii="Arial" w:eastAsia="Times New Roman" w:hAnsi="Arial" w:cs="Arial"/>
          <w:sz w:val="20"/>
          <w:szCs w:val="20"/>
        </w:rPr>
        <w:tab/>
        <w:t>Iznimno od odredbe stavka 1. ovoga članka, sredstva učešća Općine ili njenih proračunskih korisnika planirana u proračunu za financiranje projekata koji se sufinanciraju iz sredstava Europske unije iz izvora opći prihodi i primici, te sredstva za financiranje projekata koja se refundiraju iz pomoći Europske unije mogu se preraspodjeljivati:</w:t>
      </w:r>
    </w:p>
    <w:p w14:paraId="7344DB76" w14:textId="77777777" w:rsidR="005641D9" w:rsidRPr="005641D9" w:rsidRDefault="005641D9">
      <w:pPr>
        <w:numPr>
          <w:ilvl w:val="0"/>
          <w:numId w:val="51"/>
        </w:numPr>
        <w:autoSpaceDE w:val="0"/>
        <w:autoSpaceDN w:val="0"/>
        <w:adjustRightInd w:val="0"/>
        <w:spacing w:after="0" w:line="240" w:lineRule="auto"/>
        <w:jc w:val="both"/>
        <w:rPr>
          <w:rFonts w:ascii="Arial" w:eastAsia="Times New Roman" w:hAnsi="Arial" w:cs="Arial"/>
          <w:sz w:val="20"/>
          <w:szCs w:val="20"/>
        </w:rPr>
      </w:pPr>
      <w:r w:rsidRPr="005641D9">
        <w:rPr>
          <w:rFonts w:ascii="Arial" w:eastAsia="Times New Roman" w:hAnsi="Arial" w:cs="Arial"/>
          <w:sz w:val="20"/>
          <w:szCs w:val="20"/>
        </w:rPr>
        <w:t>bez ograničenja unutar istog razdjela organizacijske klasifikacije,</w:t>
      </w:r>
    </w:p>
    <w:p w14:paraId="33A44497" w14:textId="77777777" w:rsidR="005641D9" w:rsidRPr="005641D9" w:rsidRDefault="005641D9">
      <w:pPr>
        <w:numPr>
          <w:ilvl w:val="0"/>
          <w:numId w:val="51"/>
        </w:numPr>
        <w:autoSpaceDE w:val="0"/>
        <w:autoSpaceDN w:val="0"/>
        <w:adjustRightInd w:val="0"/>
        <w:spacing w:after="0" w:line="240" w:lineRule="auto"/>
        <w:jc w:val="both"/>
        <w:rPr>
          <w:rFonts w:ascii="Arial" w:eastAsia="Times New Roman" w:hAnsi="Arial" w:cs="Arial"/>
          <w:sz w:val="20"/>
          <w:szCs w:val="20"/>
        </w:rPr>
      </w:pPr>
      <w:r w:rsidRPr="005641D9">
        <w:rPr>
          <w:rFonts w:ascii="Arial" w:eastAsia="Times New Roman" w:hAnsi="Arial" w:cs="Arial"/>
          <w:sz w:val="20"/>
          <w:szCs w:val="20"/>
        </w:rPr>
        <w:t>najviše do 15% između projekata različitih razdjela organizacijske klasifikacije.</w:t>
      </w:r>
    </w:p>
    <w:p w14:paraId="48B33B94" w14:textId="77777777" w:rsidR="005641D9" w:rsidRPr="005641D9" w:rsidRDefault="005641D9" w:rsidP="005641D9">
      <w:pPr>
        <w:autoSpaceDE w:val="0"/>
        <w:autoSpaceDN w:val="0"/>
        <w:adjustRightInd w:val="0"/>
        <w:spacing w:after="0" w:line="240" w:lineRule="auto"/>
        <w:ind w:firstLine="709"/>
        <w:jc w:val="both"/>
        <w:rPr>
          <w:rFonts w:ascii="Arial" w:eastAsia="Times New Roman" w:hAnsi="Arial" w:cs="Arial"/>
          <w:sz w:val="20"/>
          <w:szCs w:val="20"/>
        </w:rPr>
      </w:pPr>
      <w:r w:rsidRPr="005641D9">
        <w:rPr>
          <w:rFonts w:ascii="Arial" w:eastAsia="Times New Roman" w:hAnsi="Arial" w:cs="Arial"/>
          <w:sz w:val="20"/>
          <w:szCs w:val="20"/>
        </w:rPr>
        <w:tab/>
        <w:t>Iznimno od stavka 1. ovoga članka, sredstva za otplatu glavnice i kamata duga i općinskih jamstava, negativne tečajne razlike i razlike zbog primjene valutne klauzule mogu se, tijekom proračunske godine osiguravati preraspodjelom bez ograničenja.</w:t>
      </w:r>
    </w:p>
    <w:p w14:paraId="1635A9BA" w14:textId="77777777" w:rsidR="005641D9" w:rsidRPr="005641D9" w:rsidRDefault="005641D9" w:rsidP="005641D9">
      <w:pPr>
        <w:autoSpaceDE w:val="0"/>
        <w:autoSpaceDN w:val="0"/>
        <w:adjustRightInd w:val="0"/>
        <w:spacing w:after="0" w:line="240" w:lineRule="auto"/>
        <w:ind w:firstLine="709"/>
        <w:jc w:val="both"/>
        <w:rPr>
          <w:rFonts w:ascii="Arial" w:eastAsia="Times New Roman" w:hAnsi="Arial" w:cs="Arial"/>
          <w:sz w:val="20"/>
          <w:szCs w:val="20"/>
        </w:rPr>
      </w:pPr>
      <w:r w:rsidRPr="005641D9">
        <w:rPr>
          <w:rFonts w:ascii="Arial" w:eastAsia="Times New Roman" w:hAnsi="Arial" w:cs="Arial"/>
          <w:sz w:val="20"/>
          <w:szCs w:val="20"/>
        </w:rPr>
        <w:tab/>
        <w:t>Obrazloženi zahtjev kojim se dokazuje opravdanost razloga za dodatnim sredstvima na proračunskoj stavci koja se povećava proračunski nadležno upravno tijelo dostavlja Općinskom načelniku putem Upravnog odjela za proračun i financije.</w:t>
      </w:r>
    </w:p>
    <w:p w14:paraId="22374509" w14:textId="77777777" w:rsidR="005641D9" w:rsidRPr="005641D9" w:rsidRDefault="005641D9" w:rsidP="005641D9">
      <w:pPr>
        <w:autoSpaceDE w:val="0"/>
        <w:autoSpaceDN w:val="0"/>
        <w:adjustRightInd w:val="0"/>
        <w:spacing w:after="0" w:line="240" w:lineRule="auto"/>
        <w:ind w:firstLine="709"/>
        <w:jc w:val="both"/>
        <w:rPr>
          <w:rFonts w:ascii="Arial" w:eastAsia="Times New Roman" w:hAnsi="Arial" w:cs="Arial"/>
          <w:sz w:val="20"/>
          <w:szCs w:val="20"/>
        </w:rPr>
      </w:pPr>
      <w:r w:rsidRPr="005641D9">
        <w:rPr>
          <w:rFonts w:ascii="Arial" w:eastAsia="Times New Roman" w:hAnsi="Arial" w:cs="Arial"/>
          <w:sz w:val="20"/>
          <w:szCs w:val="20"/>
        </w:rPr>
        <w:tab/>
        <w:t xml:space="preserve">Sredstva iz stavka 2. i 3. ovoga članka mogu se preraspodjelom osigurati za naknadno utvrđene aktivnosti i/ili projekte i/ili stavke na razini skupine ekonomske klasifikacije. </w:t>
      </w:r>
    </w:p>
    <w:p w14:paraId="2DF71C51" w14:textId="77777777" w:rsidR="005641D9" w:rsidRPr="005641D9" w:rsidRDefault="005641D9" w:rsidP="005641D9">
      <w:pPr>
        <w:autoSpaceDE w:val="0"/>
        <w:autoSpaceDN w:val="0"/>
        <w:adjustRightInd w:val="0"/>
        <w:spacing w:after="0" w:line="240" w:lineRule="auto"/>
        <w:ind w:firstLine="709"/>
        <w:jc w:val="both"/>
        <w:rPr>
          <w:rFonts w:ascii="Arial" w:eastAsia="Times New Roman" w:hAnsi="Arial" w:cs="Arial"/>
          <w:sz w:val="20"/>
          <w:szCs w:val="20"/>
        </w:rPr>
      </w:pPr>
      <w:r w:rsidRPr="005641D9">
        <w:rPr>
          <w:rFonts w:ascii="Arial" w:eastAsia="Times New Roman" w:hAnsi="Arial" w:cs="Arial"/>
          <w:sz w:val="20"/>
          <w:szCs w:val="20"/>
        </w:rPr>
        <w:tab/>
        <w:t>Sredstva u proračunu se mogu preraspodjeljivati isključivo u planu za tekuću godinu.</w:t>
      </w:r>
    </w:p>
    <w:p w14:paraId="0F4816F8" w14:textId="77777777" w:rsidR="005641D9" w:rsidRPr="005641D9" w:rsidRDefault="005641D9" w:rsidP="005641D9">
      <w:pPr>
        <w:autoSpaceDE w:val="0"/>
        <w:autoSpaceDN w:val="0"/>
        <w:adjustRightInd w:val="0"/>
        <w:spacing w:after="0" w:line="240" w:lineRule="auto"/>
        <w:ind w:firstLine="709"/>
        <w:jc w:val="both"/>
        <w:rPr>
          <w:rFonts w:ascii="Arial" w:eastAsia="Times New Roman" w:hAnsi="Arial" w:cs="Arial"/>
          <w:sz w:val="20"/>
          <w:szCs w:val="20"/>
        </w:rPr>
      </w:pPr>
      <w:r w:rsidRPr="005641D9">
        <w:rPr>
          <w:rFonts w:ascii="Arial" w:eastAsia="Times New Roman" w:hAnsi="Arial" w:cs="Arial"/>
          <w:sz w:val="20"/>
          <w:szCs w:val="20"/>
        </w:rPr>
        <w:tab/>
        <w:t>Sredstva se ne mogu preraspodjeljivati između Računa prihoda i rashoda i Računa financiranja.</w:t>
      </w:r>
    </w:p>
    <w:p w14:paraId="4E306377" w14:textId="5AF44AA4" w:rsidR="00FC1608" w:rsidRPr="00AC4C54" w:rsidRDefault="005641D9" w:rsidP="005641D9">
      <w:pPr>
        <w:autoSpaceDE w:val="0"/>
        <w:autoSpaceDN w:val="0"/>
        <w:adjustRightInd w:val="0"/>
        <w:spacing w:after="0" w:line="240" w:lineRule="auto"/>
        <w:ind w:firstLine="709"/>
        <w:jc w:val="both"/>
        <w:rPr>
          <w:rFonts w:ascii="Arial" w:eastAsia="Times New Roman" w:hAnsi="Arial" w:cs="Arial"/>
          <w:sz w:val="20"/>
          <w:szCs w:val="20"/>
        </w:rPr>
      </w:pPr>
      <w:r w:rsidRPr="005641D9">
        <w:rPr>
          <w:rFonts w:ascii="Arial" w:eastAsia="Times New Roman" w:hAnsi="Arial" w:cs="Arial"/>
          <w:sz w:val="20"/>
          <w:szCs w:val="20"/>
        </w:rPr>
        <w:tab/>
        <w:t>O izvršenim preraspodjelama u proteklom razdoblju Općinski načelnik izvještava Općinsko vijeće u polugodišnjem i godišnjem izvještaju o izvršenju proračuna</w:t>
      </w:r>
      <w:r w:rsidR="003E4CBA">
        <w:rPr>
          <w:rFonts w:ascii="Arial" w:eastAsia="Times New Roman" w:hAnsi="Arial" w:cs="Arial"/>
          <w:sz w:val="20"/>
          <w:szCs w:val="20"/>
        </w:rPr>
        <w:t>.</w:t>
      </w:r>
      <w:r w:rsidR="00FC1608" w:rsidRPr="00AC4C54">
        <w:rPr>
          <w:rFonts w:ascii="Arial" w:eastAsia="Times New Roman" w:hAnsi="Arial" w:cs="Arial"/>
          <w:sz w:val="20"/>
          <w:szCs w:val="20"/>
        </w:rPr>
        <w:t>“</w:t>
      </w:r>
    </w:p>
    <w:p w14:paraId="3164B342" w14:textId="77777777" w:rsidR="00FC1608" w:rsidRPr="00AC4C54" w:rsidRDefault="00FC1608" w:rsidP="00FC1608">
      <w:pPr>
        <w:autoSpaceDE w:val="0"/>
        <w:autoSpaceDN w:val="0"/>
        <w:adjustRightInd w:val="0"/>
        <w:spacing w:after="0" w:line="240" w:lineRule="auto"/>
        <w:jc w:val="both"/>
        <w:rPr>
          <w:rFonts w:ascii="Arial" w:eastAsia="Times New Roman" w:hAnsi="Arial" w:cs="Arial"/>
          <w:sz w:val="20"/>
          <w:szCs w:val="20"/>
        </w:rPr>
      </w:pPr>
    </w:p>
    <w:bookmarkEnd w:id="747"/>
    <w:p w14:paraId="2E7CB546" w14:textId="14DE95FF" w:rsidR="00B767E6" w:rsidRPr="00B767E6" w:rsidRDefault="00B767E6" w:rsidP="00B767E6">
      <w:pPr>
        <w:autoSpaceDE w:val="0"/>
        <w:autoSpaceDN w:val="0"/>
        <w:adjustRightInd w:val="0"/>
        <w:spacing w:after="0" w:line="240" w:lineRule="auto"/>
        <w:jc w:val="both"/>
        <w:rPr>
          <w:rFonts w:ascii="Arial" w:eastAsia="Times New Roman" w:hAnsi="Arial" w:cs="Arial"/>
          <w:sz w:val="20"/>
          <w:szCs w:val="20"/>
        </w:rPr>
      </w:pPr>
      <w:r w:rsidRPr="00B767E6">
        <w:rPr>
          <w:rFonts w:ascii="Arial" w:eastAsia="Times New Roman" w:hAnsi="Arial" w:cs="Arial"/>
          <w:b/>
          <w:bCs/>
          <w:sz w:val="20"/>
          <w:szCs w:val="20"/>
        </w:rPr>
        <w:t>U razdoblju 1. siječnja do 30. lipnja 2025.</w:t>
      </w:r>
      <w:r w:rsidRPr="00B767E6">
        <w:rPr>
          <w:rFonts w:ascii="Arial" w:eastAsia="Times New Roman" w:hAnsi="Arial" w:cs="Arial"/>
          <w:sz w:val="20"/>
          <w:szCs w:val="20"/>
        </w:rPr>
        <w:t xml:space="preserve"> od strane pojedinih upravnih odjela općinske uprave bila je iskazana potreba za preraspodjelom sredstava u Proračunu za 2025. godinu kako je provedeno odlukom o prvoj preraspodjeli</w:t>
      </w:r>
      <w:r>
        <w:rPr>
          <w:rFonts w:ascii="Arial" w:eastAsia="Times New Roman" w:hAnsi="Arial" w:cs="Arial"/>
          <w:sz w:val="20"/>
          <w:szCs w:val="20"/>
        </w:rPr>
        <w:t>, te prikazano Polugodišnjim izvještajem o izvršenju proračuna Općine Konavle za 2025. godinu.</w:t>
      </w:r>
    </w:p>
    <w:p w14:paraId="0142FF9F" w14:textId="77777777" w:rsidR="00B767E6" w:rsidRPr="00B767E6" w:rsidRDefault="00B767E6" w:rsidP="00B767E6">
      <w:pPr>
        <w:autoSpaceDE w:val="0"/>
        <w:autoSpaceDN w:val="0"/>
        <w:adjustRightInd w:val="0"/>
        <w:spacing w:after="0" w:line="240" w:lineRule="auto"/>
        <w:jc w:val="both"/>
        <w:rPr>
          <w:rFonts w:ascii="Arial" w:eastAsia="Times New Roman" w:hAnsi="Arial" w:cs="Arial"/>
          <w:sz w:val="20"/>
          <w:szCs w:val="20"/>
        </w:rPr>
      </w:pPr>
    </w:p>
    <w:p w14:paraId="02552B4A" w14:textId="77777777" w:rsidR="00B767E6" w:rsidRPr="00B767E6" w:rsidRDefault="00B767E6" w:rsidP="00B767E6">
      <w:pPr>
        <w:autoSpaceDE w:val="0"/>
        <w:autoSpaceDN w:val="0"/>
        <w:adjustRightInd w:val="0"/>
        <w:spacing w:after="0" w:line="240" w:lineRule="auto"/>
        <w:jc w:val="both"/>
        <w:rPr>
          <w:rFonts w:ascii="Arial" w:eastAsia="Times New Roman" w:hAnsi="Arial" w:cs="Arial"/>
          <w:sz w:val="20"/>
          <w:szCs w:val="20"/>
        </w:rPr>
      </w:pPr>
      <w:r w:rsidRPr="00B767E6">
        <w:rPr>
          <w:rFonts w:ascii="Arial" w:eastAsia="Times New Roman" w:hAnsi="Arial" w:cs="Arial"/>
          <w:b/>
          <w:bCs/>
          <w:sz w:val="20"/>
          <w:szCs w:val="20"/>
        </w:rPr>
        <w:t>U razdoblju 1. srpnja do 31. prosinca 2025.</w:t>
      </w:r>
      <w:r w:rsidRPr="00B767E6">
        <w:rPr>
          <w:rFonts w:ascii="Arial" w:eastAsia="Times New Roman" w:hAnsi="Arial" w:cs="Arial"/>
          <w:sz w:val="20"/>
          <w:szCs w:val="20"/>
        </w:rPr>
        <w:t xml:space="preserve"> od strane pojedinih upravnih odjela općinske uprave je iskazana potreba za preraspodjelom sredstava uvjetovana činjenicama i okolnostima koje nisu bile poznate u vrijeme planiranja i donošenja Proračuna za 2025. godinu. </w:t>
      </w:r>
    </w:p>
    <w:p w14:paraId="186A7606" w14:textId="77777777" w:rsidR="00B767E6" w:rsidRPr="00B767E6" w:rsidRDefault="00B767E6" w:rsidP="00B767E6">
      <w:pPr>
        <w:autoSpaceDE w:val="0"/>
        <w:autoSpaceDN w:val="0"/>
        <w:adjustRightInd w:val="0"/>
        <w:spacing w:after="0" w:line="240" w:lineRule="auto"/>
        <w:jc w:val="both"/>
        <w:rPr>
          <w:rFonts w:ascii="Arial" w:eastAsia="Times New Roman" w:hAnsi="Arial" w:cs="Arial"/>
        </w:rPr>
      </w:pPr>
    </w:p>
    <w:p w14:paraId="4540D306" w14:textId="77777777" w:rsidR="000971C3" w:rsidRDefault="000971C3" w:rsidP="00A3648D">
      <w:pPr>
        <w:spacing w:after="0" w:line="240" w:lineRule="auto"/>
        <w:rPr>
          <w:lang w:eastAsia="en-US"/>
        </w:rPr>
      </w:pPr>
    </w:p>
    <w:p w14:paraId="36F69734" w14:textId="77777777" w:rsidR="000971C3" w:rsidRDefault="000971C3" w:rsidP="00A3648D">
      <w:pPr>
        <w:spacing w:after="0" w:line="240" w:lineRule="auto"/>
        <w:rPr>
          <w:lang w:eastAsia="en-US"/>
        </w:rPr>
      </w:pPr>
    </w:p>
    <w:p w14:paraId="3334A0D8" w14:textId="77777777" w:rsidR="000971C3" w:rsidRDefault="000971C3" w:rsidP="00A3648D">
      <w:pPr>
        <w:spacing w:after="0" w:line="240" w:lineRule="auto"/>
        <w:rPr>
          <w:lang w:eastAsia="en-US"/>
        </w:rPr>
      </w:pPr>
    </w:p>
    <w:p w14:paraId="1E6A1D14" w14:textId="77777777" w:rsidR="000971C3" w:rsidRDefault="000971C3" w:rsidP="00A3648D">
      <w:pPr>
        <w:spacing w:after="0" w:line="240" w:lineRule="auto"/>
        <w:rPr>
          <w:lang w:eastAsia="en-US"/>
        </w:rPr>
      </w:pPr>
    </w:p>
    <w:p w14:paraId="1C6DD699" w14:textId="77777777" w:rsidR="000971C3" w:rsidRDefault="000971C3" w:rsidP="00A3648D">
      <w:pPr>
        <w:spacing w:after="0" w:line="240" w:lineRule="auto"/>
        <w:rPr>
          <w:lang w:eastAsia="en-US"/>
        </w:rPr>
      </w:pPr>
    </w:p>
    <w:p w14:paraId="2542C4C3" w14:textId="77777777" w:rsidR="000971C3" w:rsidRDefault="000971C3" w:rsidP="00A3648D">
      <w:pPr>
        <w:spacing w:after="0" w:line="240" w:lineRule="auto"/>
        <w:rPr>
          <w:lang w:eastAsia="en-US"/>
        </w:rPr>
      </w:pPr>
    </w:p>
    <w:p w14:paraId="681EC56A" w14:textId="77777777" w:rsidR="000971C3" w:rsidRDefault="000971C3" w:rsidP="00A3648D">
      <w:pPr>
        <w:spacing w:after="0" w:line="240" w:lineRule="auto"/>
        <w:rPr>
          <w:lang w:eastAsia="en-US"/>
        </w:rPr>
      </w:pPr>
    </w:p>
    <w:p w14:paraId="2F1E8FF9" w14:textId="77777777" w:rsidR="000971C3" w:rsidRDefault="000971C3" w:rsidP="00A3648D">
      <w:pPr>
        <w:spacing w:after="0" w:line="240" w:lineRule="auto"/>
        <w:rPr>
          <w:lang w:eastAsia="en-US"/>
        </w:rPr>
      </w:pPr>
    </w:p>
    <w:p w14:paraId="14B45BB5" w14:textId="77777777" w:rsidR="000971C3" w:rsidRDefault="000971C3" w:rsidP="00A3648D">
      <w:pPr>
        <w:spacing w:after="0" w:line="240" w:lineRule="auto"/>
        <w:rPr>
          <w:lang w:eastAsia="en-US"/>
        </w:rPr>
      </w:pPr>
    </w:p>
    <w:p w14:paraId="0743F5C7" w14:textId="6C2F7C74" w:rsidR="0013369B" w:rsidRPr="003A2F86" w:rsidRDefault="0013369B" w:rsidP="0013369B">
      <w:pPr>
        <w:pStyle w:val="Opisslike"/>
      </w:pPr>
      <w:bookmarkStart w:id="748" w:name="_Toc232981559"/>
      <w:r w:rsidRPr="003A2F86">
        <w:rPr>
          <w:color w:val="FF0000"/>
        </w:rPr>
        <w:lastRenderedPageBreak/>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40</w:t>
      </w:r>
      <w:r w:rsidRPr="003A2F86">
        <w:rPr>
          <w:color w:val="FF0000"/>
        </w:rPr>
        <w:fldChar w:fldCharType="end"/>
      </w:r>
      <w:r w:rsidRPr="003A2F86">
        <w:rPr>
          <w:color w:val="FF0000"/>
        </w:rPr>
        <w:t>.</w:t>
      </w:r>
      <w:r w:rsidRPr="003A2F86">
        <w:t xml:space="preserve">: </w:t>
      </w:r>
      <w:r w:rsidRPr="003A2F86">
        <w:rPr>
          <w:rFonts w:ascii="Arial" w:hAnsi="Arial" w:cs="Arial"/>
          <w:iCs/>
        </w:rPr>
        <w:t>Preraspodjele sredstava u proračunu za 20</w:t>
      </w:r>
      <w:r w:rsidR="005641D9">
        <w:rPr>
          <w:rFonts w:ascii="Arial" w:hAnsi="Arial" w:cs="Arial"/>
          <w:iCs/>
        </w:rPr>
        <w:t>25</w:t>
      </w:r>
      <w:r w:rsidRPr="003A2F86">
        <w:rPr>
          <w:rFonts w:ascii="Arial" w:hAnsi="Arial" w:cs="Arial"/>
          <w:iCs/>
        </w:rPr>
        <w:t>.</w:t>
      </w:r>
      <w:bookmarkEnd w:id="748"/>
      <w:r w:rsidRPr="003A2F86">
        <w:rPr>
          <w:rFonts w:ascii="Arial" w:hAnsi="Arial" w:cs="Arial"/>
          <w:iCs/>
        </w:rPr>
        <w:t xml:space="preserve"> </w:t>
      </w:r>
    </w:p>
    <w:p w14:paraId="095786E4" w14:textId="20FCEAE1" w:rsidR="0013369B" w:rsidRPr="000971C3" w:rsidRDefault="0013369B" w:rsidP="00A3648D">
      <w:pPr>
        <w:spacing w:after="0" w:line="240" w:lineRule="auto"/>
        <w:rPr>
          <w:sz w:val="8"/>
          <w:szCs w:val="8"/>
          <w:lang w:eastAsia="en-US"/>
        </w:rPr>
      </w:pPr>
    </w:p>
    <w:p w14:paraId="4B291433" w14:textId="51EA2302" w:rsidR="000971C3" w:rsidRDefault="000971C3" w:rsidP="000971C3">
      <w:pPr>
        <w:spacing w:after="0" w:line="240" w:lineRule="auto"/>
        <w:jc w:val="center"/>
        <w:rPr>
          <w:lang w:eastAsia="en-US"/>
        </w:rPr>
      </w:pPr>
    </w:p>
    <w:p w14:paraId="40C0D0C0" w14:textId="77777777" w:rsidR="000971C3" w:rsidRDefault="000971C3" w:rsidP="00A3648D">
      <w:pPr>
        <w:spacing w:after="0" w:line="240" w:lineRule="auto"/>
        <w:rPr>
          <w:lang w:eastAsia="en-US"/>
        </w:rPr>
      </w:pPr>
    </w:p>
    <w:p w14:paraId="06B5E935" w14:textId="68E28604" w:rsidR="000971C3" w:rsidRDefault="00210AE7" w:rsidP="000971C3">
      <w:pPr>
        <w:tabs>
          <w:tab w:val="left" w:pos="567"/>
        </w:tabs>
        <w:spacing w:after="0" w:line="240" w:lineRule="auto"/>
        <w:jc w:val="center"/>
        <w:rPr>
          <w:lang w:eastAsia="en-US"/>
        </w:rPr>
      </w:pPr>
      <w:r w:rsidRPr="00210AE7">
        <w:rPr>
          <w:noProof/>
        </w:rPr>
        <w:drawing>
          <wp:inline distT="0" distB="0" distL="0" distR="0" wp14:anchorId="0E26E7CE" wp14:editId="0E1CBBB6">
            <wp:extent cx="9251950" cy="5096510"/>
            <wp:effectExtent l="0" t="0" r="6350" b="8890"/>
            <wp:docPr id="71835711"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9251950" cy="5096510"/>
                    </a:xfrm>
                    <a:prstGeom prst="rect">
                      <a:avLst/>
                    </a:prstGeom>
                    <a:noFill/>
                    <a:ln>
                      <a:noFill/>
                    </a:ln>
                  </pic:spPr>
                </pic:pic>
              </a:graphicData>
            </a:graphic>
          </wp:inline>
        </w:drawing>
      </w:r>
    </w:p>
    <w:p w14:paraId="6C746A1C" w14:textId="264D3181" w:rsidR="000971C3" w:rsidRDefault="000971C3" w:rsidP="00A3648D">
      <w:pPr>
        <w:spacing w:after="0" w:line="240" w:lineRule="auto"/>
        <w:rPr>
          <w:lang w:eastAsia="en-US"/>
        </w:rPr>
      </w:pPr>
    </w:p>
    <w:p w14:paraId="2B4A9140" w14:textId="4300676F" w:rsidR="000971C3" w:rsidRDefault="000971C3" w:rsidP="000971C3">
      <w:pPr>
        <w:spacing w:after="0" w:line="240" w:lineRule="auto"/>
        <w:jc w:val="center"/>
        <w:rPr>
          <w:lang w:eastAsia="en-US"/>
        </w:rPr>
      </w:pPr>
    </w:p>
    <w:p w14:paraId="3537782C" w14:textId="0BC1C437" w:rsidR="00210AE7" w:rsidRDefault="00210AE7" w:rsidP="000971C3">
      <w:pPr>
        <w:spacing w:after="0" w:line="240" w:lineRule="auto"/>
        <w:jc w:val="center"/>
        <w:rPr>
          <w:lang w:eastAsia="en-US"/>
        </w:rPr>
      </w:pPr>
      <w:r w:rsidRPr="00210AE7">
        <w:rPr>
          <w:noProof/>
        </w:rPr>
        <w:lastRenderedPageBreak/>
        <w:drawing>
          <wp:inline distT="0" distB="0" distL="0" distR="0" wp14:anchorId="4011A565" wp14:editId="17DCC6C2">
            <wp:extent cx="7896860" cy="6120130"/>
            <wp:effectExtent l="0" t="0" r="8890" b="0"/>
            <wp:docPr id="1315281364"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7896860" cy="6120130"/>
                    </a:xfrm>
                    <a:prstGeom prst="rect">
                      <a:avLst/>
                    </a:prstGeom>
                    <a:noFill/>
                    <a:ln>
                      <a:noFill/>
                    </a:ln>
                  </pic:spPr>
                </pic:pic>
              </a:graphicData>
            </a:graphic>
          </wp:inline>
        </w:drawing>
      </w:r>
    </w:p>
    <w:p w14:paraId="673ABB3D" w14:textId="4F7B5E2C" w:rsidR="00210AE7" w:rsidRDefault="00210AE7" w:rsidP="000971C3">
      <w:pPr>
        <w:spacing w:after="0" w:line="240" w:lineRule="auto"/>
        <w:jc w:val="center"/>
        <w:rPr>
          <w:lang w:eastAsia="en-US"/>
        </w:rPr>
      </w:pPr>
      <w:r w:rsidRPr="00210AE7">
        <w:rPr>
          <w:noProof/>
        </w:rPr>
        <w:lastRenderedPageBreak/>
        <w:drawing>
          <wp:inline distT="0" distB="0" distL="0" distR="0" wp14:anchorId="28BC12D9" wp14:editId="3C923155">
            <wp:extent cx="7735570" cy="6120130"/>
            <wp:effectExtent l="0" t="0" r="0" b="0"/>
            <wp:docPr id="1660413771"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7735570" cy="6120130"/>
                    </a:xfrm>
                    <a:prstGeom prst="rect">
                      <a:avLst/>
                    </a:prstGeom>
                    <a:noFill/>
                    <a:ln>
                      <a:noFill/>
                    </a:ln>
                  </pic:spPr>
                </pic:pic>
              </a:graphicData>
            </a:graphic>
          </wp:inline>
        </w:drawing>
      </w:r>
    </w:p>
    <w:p w14:paraId="38D994F8" w14:textId="2B35AAE2" w:rsidR="000971C3" w:rsidRDefault="00210AE7" w:rsidP="000971C3">
      <w:pPr>
        <w:spacing w:after="0" w:line="240" w:lineRule="auto"/>
        <w:jc w:val="center"/>
      </w:pPr>
      <w:r w:rsidRPr="00210AE7">
        <w:rPr>
          <w:noProof/>
        </w:rPr>
        <w:lastRenderedPageBreak/>
        <w:drawing>
          <wp:inline distT="0" distB="0" distL="0" distR="0" wp14:anchorId="42B14C9A" wp14:editId="649E6280">
            <wp:extent cx="8446770" cy="6120130"/>
            <wp:effectExtent l="0" t="0" r="0" b="0"/>
            <wp:docPr id="1367929112"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8446770" cy="6120130"/>
                    </a:xfrm>
                    <a:prstGeom prst="rect">
                      <a:avLst/>
                    </a:prstGeom>
                    <a:noFill/>
                    <a:ln>
                      <a:noFill/>
                    </a:ln>
                  </pic:spPr>
                </pic:pic>
              </a:graphicData>
            </a:graphic>
          </wp:inline>
        </w:drawing>
      </w:r>
    </w:p>
    <w:p w14:paraId="3C824D5E" w14:textId="508AE00B" w:rsidR="00210AE7" w:rsidRDefault="00210AE7" w:rsidP="000971C3">
      <w:pPr>
        <w:spacing w:after="0" w:line="240" w:lineRule="auto"/>
        <w:jc w:val="center"/>
      </w:pPr>
      <w:r w:rsidRPr="00210AE7">
        <w:rPr>
          <w:noProof/>
        </w:rPr>
        <w:lastRenderedPageBreak/>
        <w:drawing>
          <wp:inline distT="0" distB="0" distL="0" distR="0" wp14:anchorId="4403734F" wp14:editId="4BDC3326">
            <wp:extent cx="9251950" cy="5721350"/>
            <wp:effectExtent l="0" t="0" r="6350" b="0"/>
            <wp:docPr id="203682536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9251950" cy="5721350"/>
                    </a:xfrm>
                    <a:prstGeom prst="rect">
                      <a:avLst/>
                    </a:prstGeom>
                    <a:noFill/>
                    <a:ln>
                      <a:noFill/>
                    </a:ln>
                  </pic:spPr>
                </pic:pic>
              </a:graphicData>
            </a:graphic>
          </wp:inline>
        </w:drawing>
      </w:r>
    </w:p>
    <w:p w14:paraId="1FDCC42F" w14:textId="77777777" w:rsidR="00210AE7" w:rsidRDefault="00210AE7" w:rsidP="000971C3">
      <w:pPr>
        <w:spacing w:after="0" w:line="240" w:lineRule="auto"/>
        <w:jc w:val="center"/>
        <w:rPr>
          <w:lang w:eastAsia="en-US"/>
        </w:rPr>
      </w:pPr>
    </w:p>
    <w:p w14:paraId="6170A5B4" w14:textId="3C96457A" w:rsidR="00210AE7" w:rsidRDefault="00210AE7" w:rsidP="000971C3">
      <w:pPr>
        <w:spacing w:after="0" w:line="240" w:lineRule="auto"/>
        <w:jc w:val="center"/>
        <w:rPr>
          <w:lang w:eastAsia="en-US"/>
        </w:rPr>
      </w:pPr>
      <w:r w:rsidRPr="00210AE7">
        <w:rPr>
          <w:noProof/>
        </w:rPr>
        <w:lastRenderedPageBreak/>
        <w:drawing>
          <wp:inline distT="0" distB="0" distL="0" distR="0" wp14:anchorId="51D8848E" wp14:editId="75619B78">
            <wp:extent cx="8425815" cy="6120130"/>
            <wp:effectExtent l="0" t="0" r="0" b="0"/>
            <wp:docPr id="134289449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8425815" cy="6120130"/>
                    </a:xfrm>
                    <a:prstGeom prst="rect">
                      <a:avLst/>
                    </a:prstGeom>
                    <a:noFill/>
                    <a:ln>
                      <a:noFill/>
                    </a:ln>
                  </pic:spPr>
                </pic:pic>
              </a:graphicData>
            </a:graphic>
          </wp:inline>
        </w:drawing>
      </w:r>
    </w:p>
    <w:p w14:paraId="0642A5B9" w14:textId="624C8684" w:rsidR="00210AE7" w:rsidRDefault="00210AE7" w:rsidP="000971C3">
      <w:pPr>
        <w:spacing w:after="0" w:line="240" w:lineRule="auto"/>
        <w:jc w:val="center"/>
        <w:rPr>
          <w:lang w:eastAsia="en-US"/>
        </w:rPr>
      </w:pPr>
      <w:r w:rsidRPr="00210AE7">
        <w:rPr>
          <w:noProof/>
        </w:rPr>
        <w:lastRenderedPageBreak/>
        <w:drawing>
          <wp:inline distT="0" distB="0" distL="0" distR="0" wp14:anchorId="13935ED8" wp14:editId="4905103B">
            <wp:extent cx="8488680" cy="6120130"/>
            <wp:effectExtent l="0" t="0" r="7620" b="0"/>
            <wp:docPr id="2087655231"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8488680" cy="6120130"/>
                    </a:xfrm>
                    <a:prstGeom prst="rect">
                      <a:avLst/>
                    </a:prstGeom>
                    <a:noFill/>
                    <a:ln>
                      <a:noFill/>
                    </a:ln>
                  </pic:spPr>
                </pic:pic>
              </a:graphicData>
            </a:graphic>
          </wp:inline>
        </w:drawing>
      </w:r>
    </w:p>
    <w:p w14:paraId="30734639" w14:textId="0EBF35B3" w:rsidR="00210AE7" w:rsidRDefault="00210AE7" w:rsidP="000971C3">
      <w:pPr>
        <w:spacing w:after="0" w:line="240" w:lineRule="auto"/>
        <w:jc w:val="center"/>
        <w:rPr>
          <w:lang w:eastAsia="en-US"/>
        </w:rPr>
      </w:pPr>
      <w:r w:rsidRPr="00210AE7">
        <w:rPr>
          <w:noProof/>
        </w:rPr>
        <w:lastRenderedPageBreak/>
        <w:drawing>
          <wp:inline distT="0" distB="0" distL="0" distR="0" wp14:anchorId="35991C89" wp14:editId="421730FD">
            <wp:extent cx="8104505" cy="6120130"/>
            <wp:effectExtent l="0" t="0" r="0" b="0"/>
            <wp:docPr id="129131225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8104505" cy="6120130"/>
                    </a:xfrm>
                    <a:prstGeom prst="rect">
                      <a:avLst/>
                    </a:prstGeom>
                    <a:noFill/>
                    <a:ln>
                      <a:noFill/>
                    </a:ln>
                  </pic:spPr>
                </pic:pic>
              </a:graphicData>
            </a:graphic>
          </wp:inline>
        </w:drawing>
      </w:r>
    </w:p>
    <w:p w14:paraId="5D8D0D4C" w14:textId="557CEA8D" w:rsidR="0013369B" w:rsidRPr="003A2F86" w:rsidRDefault="00210AE7" w:rsidP="00210AE7">
      <w:pPr>
        <w:spacing w:after="0" w:line="240" w:lineRule="auto"/>
        <w:jc w:val="center"/>
        <w:rPr>
          <w:lang w:eastAsia="en-US"/>
        </w:rPr>
      </w:pPr>
      <w:r w:rsidRPr="00210AE7">
        <w:rPr>
          <w:noProof/>
        </w:rPr>
        <w:lastRenderedPageBreak/>
        <w:drawing>
          <wp:inline distT="0" distB="0" distL="0" distR="0" wp14:anchorId="0DB4001F" wp14:editId="700ED932">
            <wp:extent cx="7656830" cy="6120130"/>
            <wp:effectExtent l="0" t="0" r="1270" b="0"/>
            <wp:docPr id="1715965882" name="Sl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7656830" cy="6120130"/>
                    </a:xfrm>
                    <a:prstGeom prst="rect">
                      <a:avLst/>
                    </a:prstGeom>
                    <a:noFill/>
                    <a:ln>
                      <a:noFill/>
                    </a:ln>
                  </pic:spPr>
                </pic:pic>
              </a:graphicData>
            </a:graphic>
          </wp:inline>
        </w:drawing>
      </w:r>
    </w:p>
    <w:p w14:paraId="59F39E5C" w14:textId="77777777" w:rsidR="0013369B" w:rsidRPr="003A2F86" w:rsidRDefault="0013369B" w:rsidP="00A3648D">
      <w:pPr>
        <w:spacing w:after="0" w:line="240" w:lineRule="auto"/>
        <w:rPr>
          <w:lang w:eastAsia="en-US"/>
        </w:rPr>
        <w:sectPr w:rsidR="0013369B" w:rsidRPr="003A2F86" w:rsidSect="00673312">
          <w:pgSz w:w="16838" w:h="11906" w:orient="landscape" w:code="9"/>
          <w:pgMar w:top="1134" w:right="1134" w:bottom="1134" w:left="1134" w:header="720" w:footer="720" w:gutter="0"/>
          <w:pgNumType w:chapStyle="1"/>
          <w:cols w:space="720"/>
          <w:titlePg/>
          <w:docGrid w:linePitch="272"/>
        </w:sectPr>
      </w:pPr>
    </w:p>
    <w:p w14:paraId="165B9654" w14:textId="5D771B2E" w:rsidR="00A3648D" w:rsidRPr="00392B92" w:rsidRDefault="006D222A" w:rsidP="00A3648D">
      <w:pPr>
        <w:pStyle w:val="Naslov1"/>
        <w:rPr>
          <w:rFonts w:ascii="Arial" w:eastAsia="Calibri" w:hAnsi="Arial" w:cs="Arial"/>
          <w:sz w:val="22"/>
          <w:lang w:val="hr-HR"/>
        </w:rPr>
      </w:pPr>
      <w:bookmarkStart w:id="749" w:name="_Toc232981507"/>
      <w:r w:rsidRPr="00392B92">
        <w:rPr>
          <w:rFonts w:ascii="Arial" w:eastAsia="Calibri" w:hAnsi="Arial" w:cs="Arial"/>
          <w:sz w:val="22"/>
          <w:lang w:val="hr-HR"/>
        </w:rPr>
        <w:lastRenderedPageBreak/>
        <w:t>6</w:t>
      </w:r>
      <w:r w:rsidR="00A3648D" w:rsidRPr="00392B92">
        <w:rPr>
          <w:rFonts w:ascii="Arial" w:eastAsia="Calibri" w:hAnsi="Arial" w:cs="Arial"/>
          <w:sz w:val="22"/>
          <w:lang w:val="hr-HR"/>
        </w:rPr>
        <w:t xml:space="preserve">. </w:t>
      </w:r>
      <w:r w:rsidR="00A3648D" w:rsidRPr="00392B92">
        <w:rPr>
          <w:rFonts w:ascii="Arial" w:eastAsia="Calibri" w:hAnsi="Arial" w:cs="Arial"/>
          <w:sz w:val="22"/>
          <w:lang w:val="hr-HR"/>
        </w:rPr>
        <w:tab/>
      </w:r>
      <w:bookmarkStart w:id="750" w:name="Izvještaj_suglasnosti_za_zaduživanje"/>
      <w:bookmarkEnd w:id="750"/>
      <w:r w:rsidR="00A3648D" w:rsidRPr="00392B92">
        <w:rPr>
          <w:rFonts w:ascii="Arial" w:eastAsia="Calibri" w:hAnsi="Arial" w:cs="Arial"/>
          <w:sz w:val="22"/>
          <w:lang w:val="hr-HR"/>
        </w:rPr>
        <w:t>IZVJEŠTAJ O DANIM SUGLASNOSTIMA ZA ZADUŽIVANJE</w:t>
      </w:r>
      <w:bookmarkEnd w:id="749"/>
    </w:p>
    <w:p w14:paraId="52A2E4D7" w14:textId="77777777" w:rsidR="00A3648D" w:rsidRPr="00392B92" w:rsidRDefault="00A3648D" w:rsidP="00A3648D">
      <w:pPr>
        <w:spacing w:after="0" w:line="240" w:lineRule="auto"/>
        <w:jc w:val="both"/>
        <w:rPr>
          <w:rFonts w:ascii="Arial" w:eastAsia="Calibri" w:hAnsi="Arial" w:cs="Arial"/>
          <w:lang w:eastAsia="en-US"/>
        </w:rPr>
      </w:pPr>
    </w:p>
    <w:p w14:paraId="6F4FE1BA" w14:textId="6FBB4AFB" w:rsidR="00867198" w:rsidRPr="00AC4C54" w:rsidRDefault="00A3648D" w:rsidP="00A3648D">
      <w:pPr>
        <w:spacing w:after="0" w:line="240" w:lineRule="auto"/>
        <w:jc w:val="both"/>
        <w:rPr>
          <w:rFonts w:ascii="Arial" w:eastAsia="Times New Roman" w:hAnsi="Arial" w:cs="Arial"/>
          <w:iCs/>
          <w:sz w:val="20"/>
          <w:szCs w:val="20"/>
          <w:lang w:eastAsia="en-US"/>
        </w:rPr>
      </w:pPr>
      <w:r w:rsidRPr="00AC4C54">
        <w:rPr>
          <w:rFonts w:ascii="Arial" w:eastAsia="Times New Roman" w:hAnsi="Arial" w:cs="Arial"/>
          <w:iCs/>
          <w:sz w:val="20"/>
          <w:szCs w:val="20"/>
          <w:lang w:eastAsia="en-US"/>
        </w:rPr>
        <w:t>U 20</w:t>
      </w:r>
      <w:r w:rsidR="006879CE" w:rsidRPr="00AC4C54">
        <w:rPr>
          <w:rFonts w:ascii="Arial" w:eastAsia="Times New Roman" w:hAnsi="Arial" w:cs="Arial"/>
          <w:iCs/>
          <w:sz w:val="20"/>
          <w:szCs w:val="20"/>
          <w:lang w:eastAsia="en-US"/>
        </w:rPr>
        <w:t>2</w:t>
      </w:r>
      <w:r w:rsidR="000971C3">
        <w:rPr>
          <w:rFonts w:ascii="Arial" w:eastAsia="Times New Roman" w:hAnsi="Arial" w:cs="Arial"/>
          <w:iCs/>
          <w:sz w:val="20"/>
          <w:szCs w:val="20"/>
          <w:lang w:eastAsia="en-US"/>
        </w:rPr>
        <w:t>5</w:t>
      </w:r>
      <w:r w:rsidRPr="00AC4C54">
        <w:rPr>
          <w:rFonts w:ascii="Arial" w:eastAsia="Times New Roman" w:hAnsi="Arial" w:cs="Arial"/>
          <w:iCs/>
          <w:sz w:val="20"/>
          <w:szCs w:val="20"/>
          <w:lang w:eastAsia="en-US"/>
        </w:rPr>
        <w:t xml:space="preserve">. Općina </w:t>
      </w:r>
      <w:r w:rsidR="000971C3">
        <w:rPr>
          <w:rFonts w:ascii="Arial" w:eastAsia="Times New Roman" w:hAnsi="Arial" w:cs="Arial"/>
          <w:iCs/>
          <w:sz w:val="20"/>
          <w:szCs w:val="20"/>
          <w:lang w:eastAsia="en-US"/>
        </w:rPr>
        <w:t xml:space="preserve">je </w:t>
      </w:r>
      <w:r w:rsidR="006543F8">
        <w:rPr>
          <w:rFonts w:ascii="Arial" w:eastAsia="Times New Roman" w:hAnsi="Arial" w:cs="Arial"/>
          <w:iCs/>
          <w:sz w:val="20"/>
          <w:szCs w:val="20"/>
          <w:lang w:eastAsia="en-US"/>
        </w:rPr>
        <w:t>izdala jednu</w:t>
      </w:r>
      <w:r w:rsidR="00BC2597" w:rsidRPr="00AC4C54">
        <w:rPr>
          <w:rFonts w:ascii="Arial" w:eastAsia="Times New Roman" w:hAnsi="Arial" w:cs="Arial"/>
          <w:iCs/>
          <w:sz w:val="20"/>
          <w:szCs w:val="20"/>
          <w:lang w:eastAsia="en-US"/>
        </w:rPr>
        <w:t xml:space="preserve"> </w:t>
      </w:r>
      <w:r w:rsidRPr="00AC4C54">
        <w:rPr>
          <w:rFonts w:ascii="Arial" w:eastAsia="Times New Roman" w:hAnsi="Arial" w:cs="Arial"/>
          <w:iCs/>
          <w:sz w:val="20"/>
          <w:szCs w:val="20"/>
          <w:lang w:eastAsia="en-US"/>
        </w:rPr>
        <w:t>suglasn</w:t>
      </w:r>
      <w:r w:rsidR="00867198" w:rsidRPr="00AC4C54">
        <w:rPr>
          <w:rFonts w:ascii="Arial" w:eastAsia="Times New Roman" w:hAnsi="Arial" w:cs="Arial"/>
          <w:iCs/>
          <w:sz w:val="20"/>
          <w:szCs w:val="20"/>
          <w:lang w:eastAsia="en-US"/>
        </w:rPr>
        <w:t>o</w:t>
      </w:r>
      <w:r w:rsidRPr="00AC4C54">
        <w:rPr>
          <w:rFonts w:ascii="Arial" w:eastAsia="Times New Roman" w:hAnsi="Arial" w:cs="Arial"/>
          <w:iCs/>
          <w:sz w:val="20"/>
          <w:szCs w:val="20"/>
          <w:lang w:eastAsia="en-US"/>
        </w:rPr>
        <w:t>st</w:t>
      </w:r>
      <w:r w:rsidR="00534078" w:rsidRPr="00AC4C54">
        <w:rPr>
          <w:rFonts w:ascii="Arial" w:eastAsia="Times New Roman" w:hAnsi="Arial" w:cs="Arial"/>
          <w:iCs/>
          <w:sz w:val="20"/>
          <w:szCs w:val="20"/>
          <w:lang w:eastAsia="en-US"/>
        </w:rPr>
        <w:t>i</w:t>
      </w:r>
      <w:r w:rsidRPr="00AC4C54">
        <w:rPr>
          <w:rFonts w:ascii="Arial" w:eastAsia="Times New Roman" w:hAnsi="Arial" w:cs="Arial"/>
          <w:iCs/>
          <w:sz w:val="20"/>
          <w:szCs w:val="20"/>
          <w:lang w:eastAsia="en-US"/>
        </w:rPr>
        <w:t xml:space="preserve"> za zaduživanje društv</w:t>
      </w:r>
      <w:r w:rsidR="00495844" w:rsidRPr="00AC4C54">
        <w:rPr>
          <w:rFonts w:ascii="Arial" w:eastAsia="Times New Roman" w:hAnsi="Arial" w:cs="Arial"/>
          <w:iCs/>
          <w:sz w:val="20"/>
          <w:szCs w:val="20"/>
          <w:lang w:eastAsia="en-US"/>
        </w:rPr>
        <w:t>u</w:t>
      </w:r>
      <w:r w:rsidRPr="00AC4C54">
        <w:rPr>
          <w:rFonts w:ascii="Arial" w:eastAsia="Times New Roman" w:hAnsi="Arial" w:cs="Arial"/>
          <w:iCs/>
          <w:sz w:val="20"/>
          <w:szCs w:val="20"/>
          <w:lang w:eastAsia="en-US"/>
        </w:rPr>
        <w:t xml:space="preserve"> u vlasništvu Općine</w:t>
      </w:r>
      <w:r w:rsidR="000971C3">
        <w:rPr>
          <w:rFonts w:ascii="Arial" w:eastAsia="Times New Roman" w:hAnsi="Arial" w:cs="Arial"/>
          <w:iCs/>
          <w:sz w:val="20"/>
          <w:szCs w:val="20"/>
          <w:lang w:eastAsia="en-US"/>
        </w:rPr>
        <w:t xml:space="preserve">. </w:t>
      </w:r>
    </w:p>
    <w:p w14:paraId="2365AB2B" w14:textId="77777777" w:rsidR="00BC2597" w:rsidRPr="003A2F86" w:rsidRDefault="00BC2597" w:rsidP="00A3648D">
      <w:pPr>
        <w:spacing w:after="0" w:line="240" w:lineRule="auto"/>
        <w:jc w:val="both"/>
        <w:rPr>
          <w:rFonts w:ascii="Arial" w:eastAsia="Calibri" w:hAnsi="Arial" w:cs="Arial"/>
          <w:lang w:eastAsia="en-US"/>
        </w:rPr>
      </w:pPr>
    </w:p>
    <w:p w14:paraId="53B831A0" w14:textId="6B4CAAA5" w:rsidR="00A3648D" w:rsidRPr="003A2F86" w:rsidRDefault="00A3648D" w:rsidP="00A3648D">
      <w:pPr>
        <w:pStyle w:val="Opisslike"/>
      </w:pPr>
      <w:bookmarkStart w:id="751" w:name="_Toc232981560"/>
      <w:r w:rsidRPr="003A2F86">
        <w:rPr>
          <w:color w:val="FF0000"/>
        </w:rPr>
        <w:t xml:space="preserve">Tablica </w:t>
      </w:r>
      <w:r w:rsidRPr="003A2F86">
        <w:rPr>
          <w:color w:val="FF0000"/>
        </w:rPr>
        <w:fldChar w:fldCharType="begin"/>
      </w:r>
      <w:r w:rsidRPr="003A2F86">
        <w:rPr>
          <w:color w:val="FF0000"/>
        </w:rPr>
        <w:instrText xml:space="preserve"> SEQ Tablica \* ARABIC </w:instrText>
      </w:r>
      <w:r w:rsidRPr="003A2F86">
        <w:rPr>
          <w:color w:val="FF0000"/>
        </w:rPr>
        <w:fldChar w:fldCharType="separate"/>
      </w:r>
      <w:r w:rsidR="00A821D8">
        <w:rPr>
          <w:noProof/>
          <w:color w:val="FF0000"/>
        </w:rPr>
        <w:t>41</w:t>
      </w:r>
      <w:r w:rsidRPr="003A2F86">
        <w:rPr>
          <w:color w:val="FF0000"/>
        </w:rPr>
        <w:fldChar w:fldCharType="end"/>
      </w:r>
      <w:r w:rsidRPr="003A2F86">
        <w:rPr>
          <w:color w:val="FF0000"/>
        </w:rPr>
        <w:t>.</w:t>
      </w:r>
      <w:r w:rsidRPr="003A2F86">
        <w:t xml:space="preserve">: </w:t>
      </w:r>
      <w:r w:rsidRPr="003A2F86">
        <w:rPr>
          <w:rFonts w:ascii="Arial" w:hAnsi="Arial" w:cs="Arial"/>
          <w:iCs/>
        </w:rPr>
        <w:t>Pregled danih suglasnosti za zaduživanje</w:t>
      </w:r>
      <w:bookmarkEnd w:id="751"/>
    </w:p>
    <w:p w14:paraId="5C54AC20" w14:textId="77777777" w:rsidR="00A3648D" w:rsidRPr="003A2F86" w:rsidRDefault="00A3648D" w:rsidP="00A3648D">
      <w:pPr>
        <w:spacing w:after="0" w:line="240" w:lineRule="auto"/>
        <w:rPr>
          <w:rFonts w:ascii="Arial" w:eastAsia="Times New Roman" w:hAnsi="Arial" w:cs="Arial"/>
          <w:iCs/>
          <w:lang w:eastAsia="en-US"/>
        </w:rPr>
      </w:pPr>
    </w:p>
    <w:tbl>
      <w:tblPr>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1275"/>
        <w:gridCol w:w="1276"/>
        <w:gridCol w:w="1985"/>
        <w:gridCol w:w="1275"/>
        <w:gridCol w:w="993"/>
        <w:gridCol w:w="1435"/>
        <w:gridCol w:w="974"/>
        <w:gridCol w:w="851"/>
        <w:gridCol w:w="1417"/>
        <w:gridCol w:w="1560"/>
        <w:gridCol w:w="1417"/>
      </w:tblGrid>
      <w:tr w:rsidR="00A3648D" w:rsidRPr="003A2F86" w14:paraId="6D432F8D" w14:textId="77777777" w:rsidTr="004E5AF3">
        <w:trPr>
          <w:trHeight w:val="1155"/>
          <w:jc w:val="center"/>
        </w:trPr>
        <w:tc>
          <w:tcPr>
            <w:tcW w:w="421" w:type="dxa"/>
            <w:vAlign w:val="center"/>
          </w:tcPr>
          <w:p w14:paraId="375C4222" w14:textId="77777777" w:rsidR="00A3648D" w:rsidRPr="003A2F86" w:rsidRDefault="00A3648D" w:rsidP="00B223BA">
            <w:pPr>
              <w:autoSpaceDE w:val="0"/>
              <w:autoSpaceDN w:val="0"/>
              <w:adjustRightInd w:val="0"/>
              <w:spacing w:after="0" w:line="240" w:lineRule="auto"/>
              <w:jc w:val="center"/>
              <w:rPr>
                <w:rFonts w:ascii="Arial" w:eastAsia="Times New Roman" w:hAnsi="Arial" w:cs="Arial"/>
                <w:sz w:val="18"/>
                <w:szCs w:val="18"/>
              </w:rPr>
            </w:pPr>
            <w:r w:rsidRPr="003A2F86">
              <w:rPr>
                <w:rFonts w:ascii="Arial" w:eastAsia="Times New Roman" w:hAnsi="Arial" w:cs="Arial"/>
                <w:sz w:val="18"/>
                <w:szCs w:val="18"/>
              </w:rPr>
              <w:t>R. br.</w:t>
            </w:r>
          </w:p>
        </w:tc>
        <w:tc>
          <w:tcPr>
            <w:tcW w:w="1275" w:type="dxa"/>
            <w:vAlign w:val="center"/>
          </w:tcPr>
          <w:p w14:paraId="6961EB84" w14:textId="77777777" w:rsidR="00A3648D" w:rsidRPr="003A2F86" w:rsidRDefault="00A3648D" w:rsidP="00B223BA">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iCs/>
                <w:sz w:val="18"/>
                <w:szCs w:val="18"/>
                <w:lang w:eastAsia="en-US"/>
              </w:rPr>
              <w:t>Naziv korisnika kredita, odnosno dužnika</w:t>
            </w:r>
          </w:p>
        </w:tc>
        <w:tc>
          <w:tcPr>
            <w:tcW w:w="1276" w:type="dxa"/>
            <w:vAlign w:val="center"/>
          </w:tcPr>
          <w:p w14:paraId="6C9506A2" w14:textId="77777777" w:rsidR="00A3648D" w:rsidRPr="003A2F86" w:rsidRDefault="00A3648D" w:rsidP="00B223BA">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iCs/>
                <w:sz w:val="18"/>
                <w:szCs w:val="18"/>
                <w:lang w:eastAsia="en-US"/>
              </w:rPr>
              <w:t>Datum davanja suglasnosti za zaduživanje</w:t>
            </w:r>
          </w:p>
        </w:tc>
        <w:tc>
          <w:tcPr>
            <w:tcW w:w="1985" w:type="dxa"/>
            <w:vAlign w:val="center"/>
          </w:tcPr>
          <w:p w14:paraId="2C2C7355" w14:textId="77777777" w:rsidR="00A3648D" w:rsidRPr="003A2F86" w:rsidRDefault="00A3648D" w:rsidP="00B223BA">
            <w:pPr>
              <w:autoSpaceDE w:val="0"/>
              <w:autoSpaceDN w:val="0"/>
              <w:adjustRightInd w:val="0"/>
              <w:spacing w:after="0" w:line="240" w:lineRule="auto"/>
              <w:jc w:val="center"/>
              <w:rPr>
                <w:rFonts w:ascii="Arial" w:eastAsia="Times New Roman" w:hAnsi="Arial" w:cs="Arial"/>
                <w:sz w:val="18"/>
                <w:szCs w:val="18"/>
              </w:rPr>
            </w:pPr>
            <w:r w:rsidRPr="003A2F86">
              <w:rPr>
                <w:rFonts w:ascii="Arial" w:eastAsia="Times New Roman" w:hAnsi="Arial" w:cs="Arial"/>
                <w:sz w:val="18"/>
                <w:szCs w:val="18"/>
              </w:rPr>
              <w:t>Naziv institucije kod koje se zadužilo društvo</w:t>
            </w:r>
          </w:p>
        </w:tc>
        <w:tc>
          <w:tcPr>
            <w:tcW w:w="1275" w:type="dxa"/>
            <w:vAlign w:val="center"/>
          </w:tcPr>
          <w:p w14:paraId="40514EBC" w14:textId="77777777" w:rsidR="00A3648D" w:rsidRPr="003A2F86" w:rsidRDefault="00A3648D" w:rsidP="00B223BA">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iCs/>
                <w:sz w:val="18"/>
                <w:szCs w:val="18"/>
                <w:lang w:eastAsia="en-US"/>
              </w:rPr>
              <w:t>namjena</w:t>
            </w:r>
          </w:p>
        </w:tc>
        <w:tc>
          <w:tcPr>
            <w:tcW w:w="993" w:type="dxa"/>
            <w:vAlign w:val="center"/>
          </w:tcPr>
          <w:p w14:paraId="0A464762" w14:textId="77777777" w:rsidR="00A3648D" w:rsidRPr="003A2F86" w:rsidRDefault="00A3648D" w:rsidP="00B223BA">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iCs/>
                <w:sz w:val="18"/>
                <w:szCs w:val="18"/>
                <w:lang w:eastAsia="en-US"/>
              </w:rPr>
              <w:t>Datum ugovora</w:t>
            </w:r>
          </w:p>
        </w:tc>
        <w:tc>
          <w:tcPr>
            <w:tcW w:w="1435" w:type="dxa"/>
            <w:vAlign w:val="center"/>
          </w:tcPr>
          <w:p w14:paraId="452D4036" w14:textId="77777777" w:rsidR="00A3648D" w:rsidRPr="003A2F86" w:rsidRDefault="00A3648D" w:rsidP="00B223BA">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iCs/>
                <w:sz w:val="18"/>
                <w:szCs w:val="18"/>
                <w:lang w:eastAsia="en-US"/>
              </w:rPr>
              <w:t>Iznos zaduživanja (</w:t>
            </w:r>
            <w:r w:rsidRPr="001E6F11">
              <w:rPr>
                <w:rFonts w:ascii="Arial" w:eastAsia="Times New Roman" w:hAnsi="Arial" w:cs="Arial"/>
                <w:b/>
                <w:bCs/>
                <w:iCs/>
                <w:sz w:val="18"/>
                <w:szCs w:val="18"/>
                <w:lang w:eastAsia="en-US"/>
              </w:rPr>
              <w:t>glavnica</w:t>
            </w:r>
            <w:r w:rsidRPr="003A2F86">
              <w:rPr>
                <w:rFonts w:ascii="Arial" w:eastAsia="Times New Roman" w:hAnsi="Arial" w:cs="Arial"/>
                <w:iCs/>
                <w:sz w:val="18"/>
                <w:szCs w:val="18"/>
                <w:lang w:eastAsia="en-US"/>
              </w:rPr>
              <w:t>)</w:t>
            </w:r>
          </w:p>
          <w:p w14:paraId="740527A3" w14:textId="77777777" w:rsidR="00A3648D" w:rsidRPr="003A2F86" w:rsidRDefault="00A3648D" w:rsidP="00B223BA">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iCs/>
                <w:sz w:val="18"/>
                <w:szCs w:val="18"/>
                <w:lang w:eastAsia="en-US"/>
              </w:rPr>
              <w:t>(kn)</w:t>
            </w:r>
          </w:p>
          <w:p w14:paraId="04CE981F" w14:textId="77777777" w:rsidR="00A3648D" w:rsidRPr="003A2F86" w:rsidRDefault="00A3648D" w:rsidP="00B223BA">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iCs/>
                <w:sz w:val="18"/>
                <w:szCs w:val="18"/>
                <w:lang w:eastAsia="en-US"/>
              </w:rPr>
              <w:t>(€)</w:t>
            </w:r>
            <w:r w:rsidRPr="00AB04F5">
              <w:rPr>
                <w:rFonts w:ascii="Arial" w:eastAsia="Times New Roman" w:hAnsi="Arial" w:cs="Arial"/>
                <w:iCs/>
                <w:color w:val="007BB8"/>
                <w:sz w:val="24"/>
                <w:szCs w:val="24"/>
                <w:lang w:eastAsia="en-US"/>
              </w:rPr>
              <w:t>*</w:t>
            </w:r>
          </w:p>
        </w:tc>
        <w:tc>
          <w:tcPr>
            <w:tcW w:w="974" w:type="dxa"/>
            <w:vAlign w:val="center"/>
          </w:tcPr>
          <w:p w14:paraId="04AE9324" w14:textId="77777777" w:rsidR="00A3648D" w:rsidRPr="003A2F86" w:rsidRDefault="00A3648D" w:rsidP="00B223BA">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iCs/>
                <w:sz w:val="18"/>
                <w:szCs w:val="18"/>
                <w:lang w:eastAsia="en-US"/>
              </w:rPr>
              <w:t>Krajnji rok povrata</w:t>
            </w:r>
          </w:p>
        </w:tc>
        <w:tc>
          <w:tcPr>
            <w:tcW w:w="851" w:type="dxa"/>
            <w:vAlign w:val="center"/>
          </w:tcPr>
          <w:p w14:paraId="384F7032" w14:textId="77777777" w:rsidR="00A3648D" w:rsidRPr="003A2F86" w:rsidRDefault="00A3648D" w:rsidP="00B223BA">
            <w:pPr>
              <w:spacing w:after="0" w:line="240" w:lineRule="auto"/>
              <w:jc w:val="center"/>
              <w:rPr>
                <w:rFonts w:ascii="Arial" w:eastAsia="Times New Roman" w:hAnsi="Arial" w:cs="Arial"/>
                <w:iCs/>
                <w:sz w:val="14"/>
                <w:szCs w:val="14"/>
                <w:lang w:eastAsia="en-US"/>
              </w:rPr>
            </w:pPr>
            <w:r w:rsidRPr="003A2F86">
              <w:rPr>
                <w:rFonts w:ascii="Arial" w:eastAsia="Times New Roman" w:hAnsi="Arial" w:cs="Arial"/>
                <w:iCs/>
                <w:sz w:val="14"/>
                <w:szCs w:val="14"/>
                <w:lang w:eastAsia="en-US"/>
              </w:rPr>
              <w:t>Kamatna stopa</w:t>
            </w:r>
          </w:p>
        </w:tc>
        <w:tc>
          <w:tcPr>
            <w:tcW w:w="1417" w:type="dxa"/>
            <w:vAlign w:val="center"/>
          </w:tcPr>
          <w:p w14:paraId="5A8FF6C5" w14:textId="77777777" w:rsidR="00A3648D" w:rsidRPr="003A2F86" w:rsidRDefault="00A3648D" w:rsidP="00B223BA">
            <w:pPr>
              <w:spacing w:after="0" w:line="240" w:lineRule="auto"/>
              <w:jc w:val="center"/>
              <w:rPr>
                <w:rFonts w:ascii="Arial" w:eastAsia="Times New Roman" w:hAnsi="Arial" w:cs="Arial"/>
                <w:sz w:val="20"/>
                <w:szCs w:val="20"/>
              </w:rPr>
            </w:pPr>
            <w:r w:rsidRPr="003A2F86">
              <w:rPr>
                <w:rFonts w:ascii="Arial" w:eastAsia="Times New Roman" w:hAnsi="Arial" w:cs="Arial"/>
                <w:sz w:val="20"/>
                <w:szCs w:val="20"/>
              </w:rPr>
              <w:t>stanje aktivnih suglasnosti (</w:t>
            </w:r>
            <w:r w:rsidRPr="003A2F86">
              <w:rPr>
                <w:rFonts w:ascii="Arial" w:eastAsia="Times New Roman" w:hAnsi="Arial" w:cs="Arial"/>
                <w:b/>
                <w:bCs/>
                <w:sz w:val="20"/>
                <w:szCs w:val="20"/>
              </w:rPr>
              <w:t>glavnica</w:t>
            </w:r>
            <w:r w:rsidRPr="003A2F86">
              <w:rPr>
                <w:rFonts w:ascii="Arial" w:eastAsia="Times New Roman" w:hAnsi="Arial" w:cs="Arial"/>
                <w:sz w:val="20"/>
                <w:szCs w:val="20"/>
              </w:rPr>
              <w:t>)</w:t>
            </w:r>
          </w:p>
          <w:p w14:paraId="5FFABDC7" w14:textId="42B81868" w:rsidR="00A3648D" w:rsidRPr="00392B92" w:rsidRDefault="00A3648D" w:rsidP="00B223BA">
            <w:pPr>
              <w:spacing w:after="0" w:line="240" w:lineRule="auto"/>
              <w:jc w:val="center"/>
              <w:rPr>
                <w:rFonts w:ascii="Arial" w:eastAsia="Times New Roman" w:hAnsi="Arial" w:cs="Arial"/>
                <w:b/>
                <w:bCs/>
                <w:sz w:val="20"/>
                <w:szCs w:val="20"/>
              </w:rPr>
            </w:pPr>
            <w:r w:rsidRPr="00392B92">
              <w:rPr>
                <w:rFonts w:ascii="Arial" w:eastAsia="Times New Roman" w:hAnsi="Arial" w:cs="Arial"/>
                <w:b/>
                <w:bCs/>
                <w:sz w:val="20"/>
                <w:szCs w:val="20"/>
              </w:rPr>
              <w:t>1.1.</w:t>
            </w:r>
            <w:r w:rsidR="00392B92">
              <w:rPr>
                <w:rFonts w:ascii="Arial" w:eastAsia="Times New Roman" w:hAnsi="Arial" w:cs="Arial"/>
                <w:b/>
                <w:bCs/>
                <w:sz w:val="20"/>
                <w:szCs w:val="20"/>
              </w:rPr>
              <w:t>202</w:t>
            </w:r>
            <w:r w:rsidR="000971C3">
              <w:rPr>
                <w:rFonts w:ascii="Arial" w:eastAsia="Times New Roman" w:hAnsi="Arial" w:cs="Arial"/>
                <w:b/>
                <w:bCs/>
                <w:sz w:val="20"/>
                <w:szCs w:val="20"/>
              </w:rPr>
              <w:t>5</w:t>
            </w:r>
            <w:r w:rsidR="00392B92">
              <w:rPr>
                <w:rFonts w:ascii="Arial" w:eastAsia="Times New Roman" w:hAnsi="Arial" w:cs="Arial"/>
                <w:b/>
                <w:bCs/>
                <w:sz w:val="20"/>
                <w:szCs w:val="20"/>
              </w:rPr>
              <w:t>.</w:t>
            </w:r>
          </w:p>
          <w:p w14:paraId="314F6FCF" w14:textId="77777777" w:rsidR="00A3648D" w:rsidRPr="003A2F86" w:rsidRDefault="00A3648D" w:rsidP="00B223BA">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sz w:val="20"/>
                <w:szCs w:val="20"/>
              </w:rPr>
              <w:t>(€)</w:t>
            </w:r>
          </w:p>
        </w:tc>
        <w:tc>
          <w:tcPr>
            <w:tcW w:w="1560" w:type="dxa"/>
            <w:vAlign w:val="center"/>
          </w:tcPr>
          <w:p w14:paraId="4F811CFC" w14:textId="77777777" w:rsidR="00A3648D" w:rsidRPr="003A2F86" w:rsidRDefault="00A3648D" w:rsidP="00B223BA">
            <w:pPr>
              <w:spacing w:after="0" w:line="240" w:lineRule="auto"/>
              <w:jc w:val="center"/>
              <w:rPr>
                <w:rFonts w:ascii="Arial" w:eastAsia="Times New Roman" w:hAnsi="Arial" w:cs="Arial"/>
                <w:sz w:val="20"/>
                <w:szCs w:val="20"/>
              </w:rPr>
            </w:pPr>
            <w:r w:rsidRPr="003A2F86">
              <w:rPr>
                <w:rFonts w:ascii="Arial" w:eastAsia="Times New Roman" w:hAnsi="Arial" w:cs="Arial"/>
                <w:sz w:val="20"/>
                <w:szCs w:val="20"/>
              </w:rPr>
              <w:t>otplate u tekućoj godini (</w:t>
            </w:r>
            <w:r w:rsidRPr="001E6F11">
              <w:rPr>
                <w:rFonts w:ascii="Arial" w:eastAsia="Times New Roman" w:hAnsi="Arial" w:cs="Arial"/>
                <w:b/>
                <w:bCs/>
                <w:sz w:val="20"/>
                <w:szCs w:val="20"/>
              </w:rPr>
              <w:t>glavnica</w:t>
            </w:r>
            <w:r w:rsidRPr="003A2F86">
              <w:rPr>
                <w:rFonts w:ascii="Arial" w:eastAsia="Times New Roman" w:hAnsi="Arial" w:cs="Arial"/>
                <w:sz w:val="20"/>
                <w:szCs w:val="20"/>
              </w:rPr>
              <w:t>)</w:t>
            </w:r>
          </w:p>
          <w:p w14:paraId="2741BFA6" w14:textId="77777777" w:rsidR="00A3648D" w:rsidRPr="003A2F86" w:rsidRDefault="00A3648D" w:rsidP="00B223BA">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sz w:val="20"/>
                <w:szCs w:val="20"/>
              </w:rPr>
              <w:t>(€)</w:t>
            </w:r>
          </w:p>
        </w:tc>
        <w:tc>
          <w:tcPr>
            <w:tcW w:w="1417" w:type="dxa"/>
            <w:vAlign w:val="center"/>
          </w:tcPr>
          <w:p w14:paraId="2061FD74" w14:textId="77777777" w:rsidR="00A3648D" w:rsidRPr="003A2F86" w:rsidRDefault="00A3648D" w:rsidP="00B223BA">
            <w:pPr>
              <w:spacing w:after="0" w:line="240" w:lineRule="auto"/>
              <w:jc w:val="center"/>
              <w:rPr>
                <w:rFonts w:ascii="Arial" w:eastAsia="Times New Roman" w:hAnsi="Arial" w:cs="Arial"/>
                <w:sz w:val="20"/>
                <w:szCs w:val="20"/>
              </w:rPr>
            </w:pPr>
            <w:r w:rsidRPr="003A2F86">
              <w:rPr>
                <w:rFonts w:ascii="Arial" w:eastAsia="Times New Roman" w:hAnsi="Arial" w:cs="Arial"/>
                <w:sz w:val="20"/>
                <w:szCs w:val="20"/>
              </w:rPr>
              <w:t>stanje aktivnih suglasnosti</w:t>
            </w:r>
          </w:p>
          <w:p w14:paraId="6A44FCD1" w14:textId="77777777" w:rsidR="00A3648D" w:rsidRPr="003A2F86" w:rsidRDefault="00A3648D" w:rsidP="00B223BA">
            <w:pPr>
              <w:spacing w:after="0" w:line="240" w:lineRule="auto"/>
              <w:jc w:val="center"/>
              <w:rPr>
                <w:rFonts w:ascii="Arial" w:eastAsia="Times New Roman" w:hAnsi="Arial" w:cs="Arial"/>
                <w:sz w:val="20"/>
                <w:szCs w:val="20"/>
              </w:rPr>
            </w:pPr>
            <w:r w:rsidRPr="003A2F86">
              <w:rPr>
                <w:rFonts w:ascii="Arial" w:eastAsia="Times New Roman" w:hAnsi="Arial" w:cs="Arial"/>
                <w:sz w:val="20"/>
                <w:szCs w:val="20"/>
              </w:rPr>
              <w:t>(</w:t>
            </w:r>
            <w:r w:rsidRPr="003A2F86">
              <w:rPr>
                <w:rFonts w:ascii="Arial" w:eastAsia="Times New Roman" w:hAnsi="Arial" w:cs="Arial"/>
                <w:b/>
                <w:bCs/>
                <w:sz w:val="20"/>
                <w:szCs w:val="20"/>
              </w:rPr>
              <w:t>glavnica</w:t>
            </w:r>
            <w:r w:rsidRPr="003A2F86">
              <w:rPr>
                <w:rFonts w:ascii="Arial" w:eastAsia="Times New Roman" w:hAnsi="Arial" w:cs="Arial"/>
                <w:sz w:val="20"/>
                <w:szCs w:val="20"/>
              </w:rPr>
              <w:t>) 31.12.</w:t>
            </w:r>
          </w:p>
          <w:p w14:paraId="73A3C82C" w14:textId="77777777" w:rsidR="00A3648D" w:rsidRPr="003A2F86" w:rsidRDefault="00A3648D" w:rsidP="00B223BA">
            <w:pPr>
              <w:spacing w:after="0" w:line="240" w:lineRule="auto"/>
              <w:jc w:val="center"/>
              <w:rPr>
                <w:rFonts w:ascii="Arial" w:eastAsia="Times New Roman" w:hAnsi="Arial" w:cs="Arial"/>
                <w:iCs/>
                <w:sz w:val="18"/>
                <w:szCs w:val="18"/>
                <w:lang w:eastAsia="en-US"/>
              </w:rPr>
            </w:pPr>
            <w:r w:rsidRPr="003A2F86">
              <w:rPr>
                <w:rFonts w:ascii="Arial" w:eastAsia="Times New Roman" w:hAnsi="Arial" w:cs="Arial"/>
                <w:sz w:val="20"/>
                <w:szCs w:val="20"/>
              </w:rPr>
              <w:t>(€)</w:t>
            </w:r>
          </w:p>
        </w:tc>
      </w:tr>
      <w:tr w:rsidR="00A3648D" w:rsidRPr="003A2F86" w14:paraId="1B093FD6" w14:textId="77777777" w:rsidTr="004E5AF3">
        <w:trPr>
          <w:jc w:val="center"/>
        </w:trPr>
        <w:tc>
          <w:tcPr>
            <w:tcW w:w="421" w:type="dxa"/>
            <w:vAlign w:val="center"/>
          </w:tcPr>
          <w:p w14:paraId="45841FE5" w14:textId="77777777" w:rsidR="00A3648D" w:rsidRPr="003A2F86" w:rsidRDefault="00A3648D" w:rsidP="00B223BA">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1</w:t>
            </w:r>
          </w:p>
        </w:tc>
        <w:tc>
          <w:tcPr>
            <w:tcW w:w="1275" w:type="dxa"/>
            <w:vAlign w:val="center"/>
          </w:tcPr>
          <w:p w14:paraId="78C86EC7" w14:textId="77777777" w:rsidR="00A3648D" w:rsidRPr="003A2F86" w:rsidRDefault="00A3648D" w:rsidP="00B223BA">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2</w:t>
            </w:r>
          </w:p>
        </w:tc>
        <w:tc>
          <w:tcPr>
            <w:tcW w:w="1276" w:type="dxa"/>
            <w:vAlign w:val="center"/>
          </w:tcPr>
          <w:p w14:paraId="3C4EB949" w14:textId="77777777" w:rsidR="00A3648D" w:rsidRPr="003A2F86" w:rsidRDefault="00A3648D" w:rsidP="00B223BA">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3</w:t>
            </w:r>
          </w:p>
        </w:tc>
        <w:tc>
          <w:tcPr>
            <w:tcW w:w="1985" w:type="dxa"/>
            <w:vAlign w:val="center"/>
          </w:tcPr>
          <w:p w14:paraId="3326FC10" w14:textId="77777777" w:rsidR="00A3648D" w:rsidRPr="003A2F86" w:rsidRDefault="00A3648D" w:rsidP="00B223BA">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4</w:t>
            </w:r>
          </w:p>
        </w:tc>
        <w:tc>
          <w:tcPr>
            <w:tcW w:w="1275" w:type="dxa"/>
            <w:vAlign w:val="center"/>
          </w:tcPr>
          <w:p w14:paraId="79A0C3C8" w14:textId="77777777" w:rsidR="00A3648D" w:rsidRPr="003A2F86" w:rsidRDefault="00A3648D" w:rsidP="00B223BA">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5</w:t>
            </w:r>
          </w:p>
        </w:tc>
        <w:tc>
          <w:tcPr>
            <w:tcW w:w="993" w:type="dxa"/>
            <w:vAlign w:val="center"/>
          </w:tcPr>
          <w:p w14:paraId="2783C4EC" w14:textId="77777777" w:rsidR="00A3648D" w:rsidRPr="003A2F86" w:rsidRDefault="00A3648D" w:rsidP="00B223BA">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6</w:t>
            </w:r>
          </w:p>
        </w:tc>
        <w:tc>
          <w:tcPr>
            <w:tcW w:w="1435" w:type="dxa"/>
            <w:vAlign w:val="center"/>
          </w:tcPr>
          <w:p w14:paraId="05264F8E" w14:textId="77777777" w:rsidR="00A3648D" w:rsidRPr="003A2F86" w:rsidRDefault="00A3648D" w:rsidP="00B223BA">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7</w:t>
            </w:r>
          </w:p>
        </w:tc>
        <w:tc>
          <w:tcPr>
            <w:tcW w:w="974" w:type="dxa"/>
            <w:vAlign w:val="center"/>
          </w:tcPr>
          <w:p w14:paraId="29C6A872" w14:textId="77777777" w:rsidR="00A3648D" w:rsidRPr="003A2F86" w:rsidRDefault="00A3648D" w:rsidP="00B223BA">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8</w:t>
            </w:r>
          </w:p>
        </w:tc>
        <w:tc>
          <w:tcPr>
            <w:tcW w:w="851" w:type="dxa"/>
            <w:vAlign w:val="center"/>
          </w:tcPr>
          <w:p w14:paraId="4538D72F" w14:textId="77777777" w:rsidR="00A3648D" w:rsidRPr="003A2F86" w:rsidRDefault="00A3648D" w:rsidP="00B223BA">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9</w:t>
            </w:r>
          </w:p>
        </w:tc>
        <w:tc>
          <w:tcPr>
            <w:tcW w:w="1417" w:type="dxa"/>
            <w:vAlign w:val="center"/>
          </w:tcPr>
          <w:p w14:paraId="30A401A3" w14:textId="77777777" w:rsidR="00A3648D" w:rsidRPr="003A2F86" w:rsidRDefault="00A3648D" w:rsidP="00B223BA">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10</w:t>
            </w:r>
          </w:p>
        </w:tc>
        <w:tc>
          <w:tcPr>
            <w:tcW w:w="1560" w:type="dxa"/>
            <w:vAlign w:val="center"/>
          </w:tcPr>
          <w:p w14:paraId="1EDFA2B5" w14:textId="77777777" w:rsidR="00A3648D" w:rsidRPr="003A2F86" w:rsidRDefault="00A3648D" w:rsidP="00B223BA">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11</w:t>
            </w:r>
          </w:p>
        </w:tc>
        <w:tc>
          <w:tcPr>
            <w:tcW w:w="1417" w:type="dxa"/>
            <w:vAlign w:val="center"/>
          </w:tcPr>
          <w:p w14:paraId="0471C117" w14:textId="77777777" w:rsidR="00A3648D" w:rsidRPr="003A2F86" w:rsidRDefault="00A3648D" w:rsidP="00B223BA">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12</w:t>
            </w:r>
          </w:p>
        </w:tc>
      </w:tr>
      <w:tr w:rsidR="00A3648D" w:rsidRPr="003A2F86" w14:paraId="3B1A7C50" w14:textId="77777777" w:rsidTr="00AF60D5">
        <w:trPr>
          <w:trHeight w:val="58"/>
          <w:jc w:val="center"/>
        </w:trPr>
        <w:tc>
          <w:tcPr>
            <w:tcW w:w="421" w:type="dxa"/>
            <w:vAlign w:val="center"/>
          </w:tcPr>
          <w:p w14:paraId="4CE2BC39" w14:textId="77777777" w:rsidR="00A3648D" w:rsidRPr="003A2F86" w:rsidRDefault="00A3648D" w:rsidP="00B223BA">
            <w:pPr>
              <w:spacing w:after="0" w:line="240" w:lineRule="auto"/>
              <w:jc w:val="center"/>
              <w:rPr>
                <w:rFonts w:ascii="Arial" w:eastAsia="Times New Roman" w:hAnsi="Arial" w:cs="Arial"/>
                <w:iCs/>
                <w:sz w:val="2"/>
                <w:szCs w:val="18"/>
                <w:lang w:eastAsia="en-US"/>
              </w:rPr>
            </w:pPr>
          </w:p>
        </w:tc>
        <w:tc>
          <w:tcPr>
            <w:tcW w:w="1275" w:type="dxa"/>
            <w:vAlign w:val="center"/>
          </w:tcPr>
          <w:p w14:paraId="315BBB7D" w14:textId="77777777" w:rsidR="00A3648D" w:rsidRPr="003A2F86" w:rsidRDefault="00A3648D" w:rsidP="00B223BA">
            <w:pPr>
              <w:spacing w:after="0" w:line="240" w:lineRule="auto"/>
              <w:rPr>
                <w:rFonts w:ascii="Arial" w:eastAsia="Times New Roman" w:hAnsi="Arial" w:cs="Arial"/>
                <w:iCs/>
                <w:sz w:val="2"/>
                <w:szCs w:val="18"/>
                <w:lang w:eastAsia="en-US"/>
              </w:rPr>
            </w:pPr>
          </w:p>
        </w:tc>
        <w:tc>
          <w:tcPr>
            <w:tcW w:w="1276" w:type="dxa"/>
            <w:vAlign w:val="center"/>
          </w:tcPr>
          <w:p w14:paraId="273469A7" w14:textId="77777777" w:rsidR="00A3648D" w:rsidRPr="003A2F86" w:rsidRDefault="00A3648D" w:rsidP="00B223BA">
            <w:pPr>
              <w:autoSpaceDE w:val="0"/>
              <w:autoSpaceDN w:val="0"/>
              <w:adjustRightInd w:val="0"/>
              <w:spacing w:after="0" w:line="240" w:lineRule="auto"/>
              <w:jc w:val="both"/>
              <w:rPr>
                <w:rFonts w:ascii="Arial" w:eastAsia="Times New Roman" w:hAnsi="Arial" w:cs="Arial"/>
                <w:sz w:val="2"/>
                <w:szCs w:val="18"/>
              </w:rPr>
            </w:pPr>
          </w:p>
        </w:tc>
        <w:tc>
          <w:tcPr>
            <w:tcW w:w="1985" w:type="dxa"/>
            <w:tcBorders>
              <w:bottom w:val="single" w:sz="4" w:space="0" w:color="auto"/>
            </w:tcBorders>
            <w:vAlign w:val="center"/>
          </w:tcPr>
          <w:p w14:paraId="20C5EAD6" w14:textId="77777777" w:rsidR="00A3648D" w:rsidRPr="003A2F86" w:rsidRDefault="00A3648D" w:rsidP="00B223BA">
            <w:pPr>
              <w:autoSpaceDE w:val="0"/>
              <w:autoSpaceDN w:val="0"/>
              <w:adjustRightInd w:val="0"/>
              <w:spacing w:after="0" w:line="240" w:lineRule="auto"/>
              <w:rPr>
                <w:rFonts w:ascii="Arial" w:eastAsia="Times New Roman" w:hAnsi="Arial" w:cs="Arial"/>
                <w:sz w:val="2"/>
                <w:szCs w:val="18"/>
              </w:rPr>
            </w:pPr>
          </w:p>
        </w:tc>
        <w:tc>
          <w:tcPr>
            <w:tcW w:w="1275" w:type="dxa"/>
            <w:tcBorders>
              <w:bottom w:val="single" w:sz="4" w:space="0" w:color="auto"/>
            </w:tcBorders>
            <w:vAlign w:val="center"/>
          </w:tcPr>
          <w:p w14:paraId="63CECBF0" w14:textId="77777777" w:rsidR="00A3648D" w:rsidRPr="003A2F86" w:rsidRDefault="00A3648D" w:rsidP="00B223BA">
            <w:pPr>
              <w:spacing w:after="0" w:line="240" w:lineRule="auto"/>
              <w:jc w:val="right"/>
              <w:rPr>
                <w:rFonts w:ascii="Arial" w:eastAsia="Times New Roman" w:hAnsi="Arial" w:cs="Arial"/>
                <w:iCs/>
                <w:sz w:val="2"/>
                <w:szCs w:val="18"/>
                <w:lang w:eastAsia="en-US"/>
              </w:rPr>
            </w:pPr>
          </w:p>
        </w:tc>
        <w:tc>
          <w:tcPr>
            <w:tcW w:w="993" w:type="dxa"/>
            <w:tcBorders>
              <w:bottom w:val="single" w:sz="4" w:space="0" w:color="auto"/>
            </w:tcBorders>
            <w:vAlign w:val="center"/>
          </w:tcPr>
          <w:p w14:paraId="0F7298DF" w14:textId="77777777" w:rsidR="00A3648D" w:rsidRPr="003A2F86" w:rsidRDefault="00A3648D" w:rsidP="00B223BA">
            <w:pPr>
              <w:spacing w:after="0" w:line="240" w:lineRule="auto"/>
              <w:jc w:val="right"/>
              <w:rPr>
                <w:rFonts w:ascii="Arial" w:eastAsia="Times New Roman" w:hAnsi="Arial" w:cs="Arial"/>
                <w:iCs/>
                <w:sz w:val="2"/>
                <w:szCs w:val="18"/>
                <w:lang w:eastAsia="en-US"/>
              </w:rPr>
            </w:pPr>
          </w:p>
        </w:tc>
        <w:tc>
          <w:tcPr>
            <w:tcW w:w="1435" w:type="dxa"/>
            <w:tcBorders>
              <w:bottom w:val="single" w:sz="4" w:space="0" w:color="auto"/>
            </w:tcBorders>
            <w:vAlign w:val="center"/>
          </w:tcPr>
          <w:p w14:paraId="3A5F5EF4" w14:textId="77777777" w:rsidR="00A3648D" w:rsidRPr="003A2F86" w:rsidRDefault="00A3648D" w:rsidP="00B223BA">
            <w:pPr>
              <w:spacing w:after="0" w:line="240" w:lineRule="auto"/>
              <w:jc w:val="right"/>
              <w:rPr>
                <w:rFonts w:ascii="Arial" w:eastAsia="Times New Roman" w:hAnsi="Arial" w:cs="Arial"/>
                <w:iCs/>
                <w:sz w:val="2"/>
                <w:szCs w:val="18"/>
                <w:lang w:eastAsia="en-US"/>
              </w:rPr>
            </w:pPr>
          </w:p>
        </w:tc>
        <w:tc>
          <w:tcPr>
            <w:tcW w:w="974" w:type="dxa"/>
            <w:tcBorders>
              <w:bottom w:val="single" w:sz="4" w:space="0" w:color="auto"/>
            </w:tcBorders>
            <w:vAlign w:val="center"/>
          </w:tcPr>
          <w:p w14:paraId="77CA9C77" w14:textId="77777777" w:rsidR="00A3648D" w:rsidRPr="003A2F86" w:rsidRDefault="00A3648D" w:rsidP="00B223BA">
            <w:pPr>
              <w:spacing w:after="0" w:line="240" w:lineRule="auto"/>
              <w:jc w:val="right"/>
              <w:rPr>
                <w:rFonts w:ascii="Arial" w:eastAsia="Times New Roman" w:hAnsi="Arial" w:cs="Arial"/>
                <w:iCs/>
                <w:sz w:val="2"/>
                <w:szCs w:val="18"/>
                <w:lang w:eastAsia="en-US"/>
              </w:rPr>
            </w:pPr>
          </w:p>
        </w:tc>
        <w:tc>
          <w:tcPr>
            <w:tcW w:w="851" w:type="dxa"/>
            <w:tcBorders>
              <w:bottom w:val="single" w:sz="4" w:space="0" w:color="auto"/>
            </w:tcBorders>
            <w:vAlign w:val="center"/>
          </w:tcPr>
          <w:p w14:paraId="32E17BAA" w14:textId="77777777" w:rsidR="00A3648D" w:rsidRPr="003A2F86" w:rsidRDefault="00A3648D" w:rsidP="00B223BA">
            <w:pPr>
              <w:spacing w:after="0" w:line="240" w:lineRule="auto"/>
              <w:jc w:val="right"/>
              <w:rPr>
                <w:rFonts w:ascii="Arial" w:eastAsia="Times New Roman" w:hAnsi="Arial" w:cs="Arial"/>
                <w:iCs/>
                <w:sz w:val="2"/>
                <w:szCs w:val="18"/>
                <w:lang w:eastAsia="en-US"/>
              </w:rPr>
            </w:pPr>
          </w:p>
        </w:tc>
        <w:tc>
          <w:tcPr>
            <w:tcW w:w="1417" w:type="dxa"/>
            <w:tcBorders>
              <w:bottom w:val="single" w:sz="4" w:space="0" w:color="auto"/>
            </w:tcBorders>
            <w:vAlign w:val="center"/>
          </w:tcPr>
          <w:p w14:paraId="0F51FB1B" w14:textId="77777777" w:rsidR="00A3648D" w:rsidRPr="003A2F86" w:rsidRDefault="00A3648D" w:rsidP="00B223BA">
            <w:pPr>
              <w:spacing w:after="0" w:line="240" w:lineRule="auto"/>
              <w:jc w:val="right"/>
              <w:rPr>
                <w:rFonts w:ascii="Arial" w:eastAsia="Times New Roman" w:hAnsi="Arial" w:cs="Arial"/>
                <w:iCs/>
                <w:sz w:val="2"/>
                <w:szCs w:val="18"/>
                <w:lang w:eastAsia="en-US"/>
              </w:rPr>
            </w:pPr>
          </w:p>
        </w:tc>
        <w:tc>
          <w:tcPr>
            <w:tcW w:w="1560" w:type="dxa"/>
            <w:tcBorders>
              <w:bottom w:val="single" w:sz="4" w:space="0" w:color="auto"/>
            </w:tcBorders>
            <w:vAlign w:val="center"/>
          </w:tcPr>
          <w:p w14:paraId="571B062F" w14:textId="77777777" w:rsidR="00A3648D" w:rsidRPr="003A2F86" w:rsidRDefault="00A3648D" w:rsidP="00B223BA">
            <w:pPr>
              <w:spacing w:after="0" w:line="240" w:lineRule="auto"/>
              <w:jc w:val="right"/>
              <w:rPr>
                <w:rFonts w:ascii="Arial" w:eastAsia="Times New Roman" w:hAnsi="Arial" w:cs="Arial"/>
                <w:iCs/>
                <w:sz w:val="2"/>
                <w:szCs w:val="18"/>
                <w:lang w:eastAsia="en-US"/>
              </w:rPr>
            </w:pPr>
          </w:p>
        </w:tc>
        <w:tc>
          <w:tcPr>
            <w:tcW w:w="1417" w:type="dxa"/>
            <w:tcBorders>
              <w:bottom w:val="single" w:sz="4" w:space="0" w:color="auto"/>
            </w:tcBorders>
            <w:vAlign w:val="center"/>
          </w:tcPr>
          <w:p w14:paraId="42C92EF0" w14:textId="77777777" w:rsidR="00A3648D" w:rsidRPr="003A2F86" w:rsidRDefault="00A3648D" w:rsidP="00B223BA">
            <w:pPr>
              <w:spacing w:after="0" w:line="240" w:lineRule="auto"/>
              <w:jc w:val="right"/>
              <w:rPr>
                <w:rFonts w:ascii="Arial" w:eastAsia="Times New Roman" w:hAnsi="Arial" w:cs="Arial"/>
                <w:iCs/>
                <w:sz w:val="2"/>
                <w:szCs w:val="18"/>
                <w:lang w:eastAsia="en-US"/>
              </w:rPr>
            </w:pPr>
          </w:p>
        </w:tc>
      </w:tr>
      <w:tr w:rsidR="00AF60D5" w:rsidRPr="003A2F86" w14:paraId="262E0AFB" w14:textId="77777777" w:rsidTr="00AF60D5">
        <w:trPr>
          <w:jc w:val="center"/>
        </w:trPr>
        <w:tc>
          <w:tcPr>
            <w:tcW w:w="421" w:type="dxa"/>
            <w:vAlign w:val="center"/>
          </w:tcPr>
          <w:p w14:paraId="021FDBB6" w14:textId="77777777" w:rsidR="00AF60D5" w:rsidRPr="003A2F86" w:rsidRDefault="00AF60D5" w:rsidP="00AF60D5">
            <w:pPr>
              <w:spacing w:after="0" w:line="240" w:lineRule="auto"/>
              <w:jc w:val="center"/>
              <w:rPr>
                <w:rFonts w:ascii="Arial" w:eastAsia="Times New Roman" w:hAnsi="Arial" w:cs="Arial"/>
                <w:iCs/>
                <w:sz w:val="16"/>
                <w:szCs w:val="16"/>
                <w:lang w:eastAsia="en-US"/>
              </w:rPr>
            </w:pPr>
            <w:r w:rsidRPr="003A2F86">
              <w:rPr>
                <w:rFonts w:ascii="Arial" w:eastAsia="Times New Roman" w:hAnsi="Arial" w:cs="Arial"/>
                <w:iCs/>
                <w:sz w:val="16"/>
                <w:szCs w:val="16"/>
                <w:lang w:eastAsia="en-US"/>
              </w:rPr>
              <w:t>1.</w:t>
            </w:r>
          </w:p>
        </w:tc>
        <w:tc>
          <w:tcPr>
            <w:tcW w:w="1275" w:type="dxa"/>
            <w:vAlign w:val="center"/>
          </w:tcPr>
          <w:p w14:paraId="1B3C9602" w14:textId="2010A85F" w:rsidR="00AF60D5" w:rsidRPr="003A2F86" w:rsidRDefault="00AF60D5" w:rsidP="00AF60D5">
            <w:pPr>
              <w:autoSpaceDE w:val="0"/>
              <w:autoSpaceDN w:val="0"/>
              <w:adjustRightInd w:val="0"/>
              <w:spacing w:after="0" w:line="240" w:lineRule="auto"/>
              <w:rPr>
                <w:rFonts w:ascii="Arial" w:eastAsia="Times New Roman" w:hAnsi="Arial" w:cs="Arial"/>
                <w:sz w:val="16"/>
                <w:szCs w:val="16"/>
              </w:rPr>
            </w:pPr>
            <w:r w:rsidRPr="003A2F86">
              <w:rPr>
                <w:rFonts w:ascii="Arial" w:eastAsia="Times New Roman" w:hAnsi="Arial" w:cs="Arial"/>
                <w:iCs/>
                <w:sz w:val="16"/>
                <w:szCs w:val="16"/>
                <w:lang w:eastAsia="en-US"/>
              </w:rPr>
              <w:t>Čistoća i zelenilo Konavle d.o.o. Čilipi</w:t>
            </w:r>
          </w:p>
        </w:tc>
        <w:tc>
          <w:tcPr>
            <w:tcW w:w="1276" w:type="dxa"/>
            <w:tcBorders>
              <w:top w:val="single" w:sz="8" w:space="0" w:color="000000"/>
              <w:left w:val="single" w:sz="8" w:space="0" w:color="000000"/>
              <w:bottom w:val="single" w:sz="8" w:space="0" w:color="000000"/>
              <w:right w:val="single" w:sz="4" w:space="0" w:color="auto"/>
            </w:tcBorders>
            <w:vAlign w:val="center"/>
          </w:tcPr>
          <w:p w14:paraId="7E5389BD" w14:textId="687D617E" w:rsidR="00AF60D5" w:rsidRPr="003A2F86" w:rsidRDefault="00AF60D5" w:rsidP="00AF60D5">
            <w:pPr>
              <w:autoSpaceDE w:val="0"/>
              <w:autoSpaceDN w:val="0"/>
              <w:adjustRightInd w:val="0"/>
              <w:spacing w:after="0" w:line="240" w:lineRule="auto"/>
              <w:jc w:val="center"/>
              <w:rPr>
                <w:rFonts w:ascii="Arial" w:eastAsia="Times New Roman" w:hAnsi="Arial" w:cs="Arial"/>
                <w:sz w:val="16"/>
                <w:szCs w:val="16"/>
              </w:rPr>
            </w:pPr>
            <w:r>
              <w:rPr>
                <w:rFonts w:ascii="Arial" w:eastAsia="Times New Roman" w:hAnsi="Arial" w:cs="Arial"/>
                <w:sz w:val="16"/>
                <w:szCs w:val="16"/>
              </w:rPr>
              <w:t>28.6.2019.</w:t>
            </w:r>
          </w:p>
        </w:tc>
        <w:tc>
          <w:tcPr>
            <w:tcW w:w="1985" w:type="dxa"/>
            <w:tcBorders>
              <w:top w:val="single" w:sz="4" w:space="0" w:color="auto"/>
              <w:left w:val="single" w:sz="4" w:space="0" w:color="auto"/>
              <w:bottom w:val="single" w:sz="4" w:space="0" w:color="auto"/>
              <w:right w:val="single" w:sz="4" w:space="0" w:color="auto"/>
            </w:tcBorders>
            <w:vAlign w:val="center"/>
          </w:tcPr>
          <w:p w14:paraId="65D825A6" w14:textId="2BEEF95C" w:rsidR="00AF60D5" w:rsidRPr="00AF60D5" w:rsidRDefault="00AF60D5" w:rsidP="00AF60D5">
            <w:pPr>
              <w:autoSpaceDE w:val="0"/>
              <w:autoSpaceDN w:val="0"/>
              <w:adjustRightInd w:val="0"/>
              <w:spacing w:after="0" w:line="240" w:lineRule="auto"/>
              <w:rPr>
                <w:rFonts w:ascii="Arial" w:eastAsia="Times New Roman" w:hAnsi="Arial" w:cs="Arial"/>
                <w:sz w:val="16"/>
                <w:szCs w:val="16"/>
              </w:rPr>
            </w:pPr>
            <w:r w:rsidRPr="00AF60D5">
              <w:rPr>
                <w:sz w:val="16"/>
                <w:szCs w:val="16"/>
              </w:rPr>
              <w:t>Erste&amp;Steiermärkische S-Leasing d.o.o. Zagreb</w:t>
            </w:r>
          </w:p>
        </w:tc>
        <w:tc>
          <w:tcPr>
            <w:tcW w:w="1275" w:type="dxa"/>
            <w:tcBorders>
              <w:top w:val="single" w:sz="4" w:space="0" w:color="auto"/>
              <w:left w:val="single" w:sz="4" w:space="0" w:color="auto"/>
              <w:bottom w:val="single" w:sz="4" w:space="0" w:color="auto"/>
              <w:right w:val="single" w:sz="4" w:space="0" w:color="auto"/>
            </w:tcBorders>
            <w:vAlign w:val="center"/>
          </w:tcPr>
          <w:p w14:paraId="3029333D" w14:textId="419F817B" w:rsidR="00AF60D5" w:rsidRPr="00AF60D5" w:rsidRDefault="00AF60D5" w:rsidP="00AF60D5">
            <w:pPr>
              <w:spacing w:after="0" w:line="240" w:lineRule="auto"/>
              <w:jc w:val="right"/>
              <w:rPr>
                <w:rFonts w:ascii="Arial" w:eastAsia="Times New Roman" w:hAnsi="Arial" w:cs="Arial"/>
                <w:iCs/>
                <w:sz w:val="14"/>
                <w:szCs w:val="14"/>
                <w:lang w:eastAsia="en-US"/>
              </w:rPr>
            </w:pPr>
            <w:r w:rsidRPr="00AF60D5">
              <w:rPr>
                <w:rFonts w:ascii="Arial" w:eastAsia="Times New Roman" w:hAnsi="Arial" w:cs="Arial"/>
                <w:iCs/>
                <w:sz w:val="14"/>
                <w:szCs w:val="14"/>
                <w:lang w:eastAsia="en-US"/>
              </w:rPr>
              <w:t>kamion za odvoz smeća s nadogradnjom, (MAN TGL 12.250 + nadogradnja  FARID T1s8)</w:t>
            </w:r>
          </w:p>
        </w:tc>
        <w:tc>
          <w:tcPr>
            <w:tcW w:w="993" w:type="dxa"/>
            <w:tcBorders>
              <w:top w:val="single" w:sz="4" w:space="0" w:color="auto"/>
              <w:left w:val="single" w:sz="4" w:space="0" w:color="auto"/>
              <w:bottom w:val="single" w:sz="4" w:space="0" w:color="auto"/>
              <w:right w:val="single" w:sz="4" w:space="0" w:color="auto"/>
            </w:tcBorders>
            <w:vAlign w:val="center"/>
          </w:tcPr>
          <w:p w14:paraId="379F6E26" w14:textId="08C19F51" w:rsidR="00AF60D5" w:rsidRPr="003A2F86" w:rsidRDefault="00AF60D5" w:rsidP="00AF60D5">
            <w:pPr>
              <w:spacing w:after="0" w:line="240" w:lineRule="auto"/>
              <w:jc w:val="right"/>
              <w:rPr>
                <w:rFonts w:ascii="Arial" w:eastAsia="Times New Roman" w:hAnsi="Arial" w:cs="Arial"/>
                <w:iCs/>
                <w:sz w:val="14"/>
                <w:szCs w:val="14"/>
                <w:lang w:eastAsia="en-US"/>
              </w:rPr>
            </w:pPr>
            <w:r>
              <w:rPr>
                <w:rFonts w:ascii="Arial" w:eastAsia="Times New Roman" w:hAnsi="Arial" w:cs="Arial"/>
                <w:iCs/>
                <w:sz w:val="14"/>
                <w:szCs w:val="14"/>
                <w:lang w:eastAsia="en-US"/>
              </w:rPr>
              <w:t>9.7.2019.</w:t>
            </w:r>
          </w:p>
        </w:tc>
        <w:tc>
          <w:tcPr>
            <w:tcW w:w="1435" w:type="dxa"/>
            <w:tcBorders>
              <w:top w:val="single" w:sz="4" w:space="0" w:color="auto"/>
              <w:left w:val="single" w:sz="4" w:space="0" w:color="auto"/>
              <w:bottom w:val="single" w:sz="4" w:space="0" w:color="auto"/>
              <w:right w:val="single" w:sz="4" w:space="0" w:color="auto"/>
            </w:tcBorders>
            <w:vAlign w:val="center"/>
          </w:tcPr>
          <w:p w14:paraId="2060D139" w14:textId="2DEED6A9" w:rsidR="00AF60D5" w:rsidRPr="003A2F86" w:rsidRDefault="00AF60D5" w:rsidP="00AF60D5">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1.195.312,50 kn (158.645,23 €)</w:t>
            </w:r>
          </w:p>
        </w:tc>
        <w:tc>
          <w:tcPr>
            <w:tcW w:w="974" w:type="dxa"/>
            <w:tcBorders>
              <w:top w:val="single" w:sz="4" w:space="0" w:color="auto"/>
              <w:left w:val="single" w:sz="4" w:space="0" w:color="auto"/>
              <w:bottom w:val="single" w:sz="4" w:space="0" w:color="auto"/>
              <w:right w:val="single" w:sz="4" w:space="0" w:color="auto"/>
            </w:tcBorders>
            <w:vAlign w:val="center"/>
          </w:tcPr>
          <w:p w14:paraId="3D4746C2" w14:textId="25E5748C" w:rsidR="00AF60D5" w:rsidRPr="003A2F86" w:rsidRDefault="00AF60D5" w:rsidP="00AF60D5">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15.02.25.</w:t>
            </w:r>
          </w:p>
        </w:tc>
        <w:tc>
          <w:tcPr>
            <w:tcW w:w="851" w:type="dxa"/>
            <w:tcBorders>
              <w:top w:val="single" w:sz="4" w:space="0" w:color="auto"/>
              <w:left w:val="single" w:sz="4" w:space="0" w:color="auto"/>
              <w:bottom w:val="single" w:sz="4" w:space="0" w:color="auto"/>
              <w:right w:val="single" w:sz="4" w:space="0" w:color="auto"/>
            </w:tcBorders>
            <w:vAlign w:val="center"/>
          </w:tcPr>
          <w:p w14:paraId="72724C27" w14:textId="0AC60886" w:rsidR="00AF60D5" w:rsidRPr="00AF60D5" w:rsidRDefault="00AF60D5" w:rsidP="00AF60D5">
            <w:pPr>
              <w:spacing w:after="0" w:line="240" w:lineRule="auto"/>
              <w:jc w:val="right"/>
              <w:rPr>
                <w:rFonts w:ascii="Arial" w:eastAsia="Times New Roman" w:hAnsi="Arial" w:cs="Arial"/>
                <w:iCs/>
                <w:sz w:val="14"/>
                <w:szCs w:val="14"/>
                <w:lang w:eastAsia="en-US"/>
              </w:rPr>
            </w:pPr>
            <w:r>
              <w:rPr>
                <w:rFonts w:ascii="Arial" w:eastAsia="Times New Roman" w:hAnsi="Arial" w:cs="Arial"/>
                <w:iCs/>
                <w:sz w:val="14"/>
                <w:szCs w:val="14"/>
                <w:lang w:eastAsia="en-US"/>
              </w:rPr>
              <w:t>2,9% fiksna</w:t>
            </w:r>
          </w:p>
        </w:tc>
        <w:tc>
          <w:tcPr>
            <w:tcW w:w="1417" w:type="dxa"/>
            <w:tcBorders>
              <w:top w:val="single" w:sz="4" w:space="0" w:color="auto"/>
              <w:left w:val="single" w:sz="4" w:space="0" w:color="auto"/>
              <w:bottom w:val="single" w:sz="4" w:space="0" w:color="auto"/>
              <w:right w:val="single" w:sz="4" w:space="0" w:color="auto"/>
            </w:tcBorders>
            <w:vAlign w:val="center"/>
          </w:tcPr>
          <w:p w14:paraId="25E05F8B" w14:textId="1B5F2393" w:rsidR="00AF60D5" w:rsidRPr="003A2F86" w:rsidRDefault="00AF60D5" w:rsidP="00AF60D5">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5.488,72</w:t>
            </w:r>
          </w:p>
        </w:tc>
        <w:tc>
          <w:tcPr>
            <w:tcW w:w="1560" w:type="dxa"/>
            <w:tcBorders>
              <w:top w:val="single" w:sz="4" w:space="0" w:color="auto"/>
              <w:left w:val="single" w:sz="4" w:space="0" w:color="auto"/>
              <w:bottom w:val="single" w:sz="4" w:space="0" w:color="auto"/>
              <w:right w:val="single" w:sz="4" w:space="0" w:color="auto"/>
            </w:tcBorders>
            <w:vAlign w:val="center"/>
          </w:tcPr>
          <w:p w14:paraId="2BBE1636" w14:textId="4D898A38" w:rsidR="00AF60D5" w:rsidRPr="003A2F86" w:rsidRDefault="00AF60D5" w:rsidP="00AF60D5">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-5.488,72</w:t>
            </w:r>
          </w:p>
        </w:tc>
        <w:tc>
          <w:tcPr>
            <w:tcW w:w="1417" w:type="dxa"/>
            <w:tcBorders>
              <w:top w:val="single" w:sz="4" w:space="0" w:color="auto"/>
              <w:left w:val="single" w:sz="4" w:space="0" w:color="auto"/>
              <w:bottom w:val="single" w:sz="4" w:space="0" w:color="auto"/>
              <w:right w:val="single" w:sz="4" w:space="0" w:color="auto"/>
            </w:tcBorders>
            <w:vAlign w:val="center"/>
          </w:tcPr>
          <w:p w14:paraId="3666F0BB" w14:textId="5BEED34E" w:rsidR="00AF60D5" w:rsidRPr="003A2F86" w:rsidRDefault="00AF60D5" w:rsidP="00AF60D5">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0,00</w:t>
            </w:r>
          </w:p>
        </w:tc>
      </w:tr>
      <w:tr w:rsidR="00AF60D5" w:rsidRPr="003A2F86" w14:paraId="78817EE3" w14:textId="77777777" w:rsidTr="00AF60D5">
        <w:trPr>
          <w:jc w:val="center"/>
        </w:trPr>
        <w:tc>
          <w:tcPr>
            <w:tcW w:w="421" w:type="dxa"/>
            <w:vAlign w:val="center"/>
          </w:tcPr>
          <w:p w14:paraId="4F67F8E1" w14:textId="77777777" w:rsidR="00AF60D5" w:rsidRPr="003A2F86" w:rsidRDefault="00AF60D5" w:rsidP="00AF60D5">
            <w:pPr>
              <w:spacing w:after="0" w:line="240" w:lineRule="auto"/>
              <w:jc w:val="center"/>
              <w:rPr>
                <w:rFonts w:ascii="Arial" w:eastAsia="Times New Roman" w:hAnsi="Arial" w:cs="Arial"/>
                <w:iCs/>
                <w:sz w:val="14"/>
                <w:szCs w:val="14"/>
                <w:lang w:eastAsia="en-US"/>
              </w:rPr>
            </w:pPr>
            <w:r w:rsidRPr="003A2F86">
              <w:rPr>
                <w:rFonts w:ascii="Arial" w:eastAsia="Times New Roman" w:hAnsi="Arial" w:cs="Arial"/>
                <w:iCs/>
                <w:sz w:val="14"/>
                <w:szCs w:val="14"/>
                <w:lang w:eastAsia="en-US"/>
              </w:rPr>
              <w:t>2.</w:t>
            </w:r>
          </w:p>
        </w:tc>
        <w:tc>
          <w:tcPr>
            <w:tcW w:w="1275" w:type="dxa"/>
            <w:vAlign w:val="center"/>
          </w:tcPr>
          <w:p w14:paraId="62C3A455" w14:textId="49B6637A" w:rsidR="00AF60D5" w:rsidRPr="003A2F86" w:rsidRDefault="00AF60D5" w:rsidP="00AF60D5">
            <w:pPr>
              <w:spacing w:after="0" w:line="240" w:lineRule="auto"/>
              <w:rPr>
                <w:rFonts w:ascii="Arial" w:eastAsia="Times New Roman" w:hAnsi="Arial" w:cs="Arial"/>
                <w:iCs/>
                <w:sz w:val="16"/>
                <w:szCs w:val="16"/>
                <w:lang w:eastAsia="en-US"/>
              </w:rPr>
            </w:pPr>
            <w:r w:rsidRPr="003A2F86">
              <w:rPr>
                <w:rFonts w:ascii="Arial" w:eastAsia="Times New Roman" w:hAnsi="Arial" w:cs="Arial"/>
                <w:iCs/>
                <w:sz w:val="16"/>
                <w:szCs w:val="16"/>
                <w:lang w:eastAsia="en-US"/>
              </w:rPr>
              <w:t>Čistoća i zelenilo Konavle d.o.o. Čilipi</w:t>
            </w:r>
          </w:p>
        </w:tc>
        <w:tc>
          <w:tcPr>
            <w:tcW w:w="1276" w:type="dxa"/>
            <w:tcBorders>
              <w:top w:val="single" w:sz="8" w:space="0" w:color="000000"/>
              <w:left w:val="single" w:sz="8" w:space="0" w:color="000000"/>
              <w:bottom w:val="single" w:sz="8" w:space="0" w:color="000000"/>
              <w:right w:val="single" w:sz="4" w:space="0" w:color="auto"/>
            </w:tcBorders>
            <w:vAlign w:val="center"/>
          </w:tcPr>
          <w:p w14:paraId="06842D7E" w14:textId="67367550" w:rsidR="00AF60D5" w:rsidRPr="003A2F86" w:rsidRDefault="00AF60D5" w:rsidP="00AF60D5">
            <w:pPr>
              <w:autoSpaceDE w:val="0"/>
              <w:autoSpaceDN w:val="0"/>
              <w:adjustRightInd w:val="0"/>
              <w:spacing w:after="0" w:line="240" w:lineRule="auto"/>
              <w:jc w:val="center"/>
              <w:rPr>
                <w:rFonts w:ascii="Arial" w:eastAsia="Times New Roman" w:hAnsi="Arial" w:cs="Arial"/>
                <w:sz w:val="16"/>
                <w:szCs w:val="16"/>
              </w:rPr>
            </w:pPr>
            <w:r>
              <w:rPr>
                <w:rFonts w:ascii="Arial" w:eastAsia="Times New Roman" w:hAnsi="Arial" w:cs="Arial"/>
                <w:sz w:val="16"/>
                <w:szCs w:val="16"/>
              </w:rPr>
              <w:t>27.12.2019.</w:t>
            </w:r>
          </w:p>
        </w:tc>
        <w:tc>
          <w:tcPr>
            <w:tcW w:w="1985" w:type="dxa"/>
            <w:tcBorders>
              <w:top w:val="single" w:sz="4" w:space="0" w:color="auto"/>
              <w:left w:val="single" w:sz="4" w:space="0" w:color="auto"/>
              <w:bottom w:val="single" w:sz="4" w:space="0" w:color="auto"/>
              <w:right w:val="single" w:sz="4" w:space="0" w:color="auto"/>
            </w:tcBorders>
            <w:vAlign w:val="center"/>
          </w:tcPr>
          <w:p w14:paraId="17D201BC" w14:textId="33997389" w:rsidR="00AF60D5" w:rsidRPr="00AF60D5" w:rsidRDefault="00AF60D5" w:rsidP="00AF60D5">
            <w:pPr>
              <w:autoSpaceDE w:val="0"/>
              <w:autoSpaceDN w:val="0"/>
              <w:adjustRightInd w:val="0"/>
              <w:spacing w:after="0" w:line="240" w:lineRule="auto"/>
              <w:rPr>
                <w:rFonts w:ascii="Arial" w:eastAsia="Times New Roman" w:hAnsi="Arial" w:cs="Arial"/>
                <w:sz w:val="16"/>
                <w:szCs w:val="16"/>
              </w:rPr>
            </w:pPr>
            <w:r w:rsidRPr="00AF60D5">
              <w:rPr>
                <w:sz w:val="16"/>
                <w:szCs w:val="16"/>
              </w:rPr>
              <w:t>OTP banka d.d. Split</w:t>
            </w:r>
          </w:p>
        </w:tc>
        <w:tc>
          <w:tcPr>
            <w:tcW w:w="1275" w:type="dxa"/>
            <w:tcBorders>
              <w:top w:val="single" w:sz="4" w:space="0" w:color="auto"/>
              <w:left w:val="single" w:sz="4" w:space="0" w:color="auto"/>
              <w:bottom w:val="single" w:sz="4" w:space="0" w:color="auto"/>
              <w:right w:val="single" w:sz="4" w:space="0" w:color="auto"/>
            </w:tcBorders>
            <w:vAlign w:val="center"/>
          </w:tcPr>
          <w:p w14:paraId="07D168B3" w14:textId="2397CF4C" w:rsidR="00AF60D5" w:rsidRPr="00AF60D5" w:rsidRDefault="00AF60D5" w:rsidP="00AF60D5">
            <w:pPr>
              <w:spacing w:after="0" w:line="240" w:lineRule="auto"/>
              <w:jc w:val="right"/>
              <w:rPr>
                <w:rFonts w:ascii="Arial" w:eastAsia="Times New Roman" w:hAnsi="Arial" w:cs="Arial"/>
                <w:iCs/>
                <w:sz w:val="14"/>
                <w:szCs w:val="14"/>
                <w:lang w:eastAsia="en-US"/>
              </w:rPr>
            </w:pPr>
            <w:r w:rsidRPr="00AF60D5">
              <w:rPr>
                <w:rFonts w:ascii="Arial" w:eastAsia="Times New Roman" w:hAnsi="Arial" w:cs="Arial"/>
                <w:iCs/>
                <w:sz w:val="14"/>
                <w:szCs w:val="14"/>
                <w:lang w:eastAsia="en-US"/>
              </w:rPr>
              <w:t>izgradnja zgrade s tržnicom</w:t>
            </w:r>
          </w:p>
        </w:tc>
        <w:tc>
          <w:tcPr>
            <w:tcW w:w="993" w:type="dxa"/>
            <w:tcBorders>
              <w:top w:val="single" w:sz="4" w:space="0" w:color="auto"/>
              <w:left w:val="single" w:sz="4" w:space="0" w:color="auto"/>
              <w:bottom w:val="single" w:sz="4" w:space="0" w:color="auto"/>
              <w:right w:val="single" w:sz="4" w:space="0" w:color="auto"/>
            </w:tcBorders>
            <w:vAlign w:val="center"/>
          </w:tcPr>
          <w:p w14:paraId="07AA57A6" w14:textId="5CBB7C74" w:rsidR="00AF60D5" w:rsidRPr="003A2F86" w:rsidRDefault="00AF60D5" w:rsidP="00AF60D5">
            <w:pPr>
              <w:spacing w:after="0" w:line="240" w:lineRule="auto"/>
              <w:jc w:val="right"/>
              <w:rPr>
                <w:rFonts w:ascii="Arial" w:eastAsia="Times New Roman" w:hAnsi="Arial" w:cs="Arial"/>
                <w:iCs/>
                <w:sz w:val="14"/>
                <w:szCs w:val="14"/>
                <w:lang w:eastAsia="en-US"/>
              </w:rPr>
            </w:pPr>
            <w:r>
              <w:rPr>
                <w:rFonts w:ascii="Arial" w:eastAsia="Times New Roman" w:hAnsi="Arial" w:cs="Arial"/>
                <w:iCs/>
                <w:sz w:val="14"/>
                <w:szCs w:val="14"/>
                <w:lang w:eastAsia="en-US"/>
              </w:rPr>
              <w:t>27.12.19. i 29.5.2020.</w:t>
            </w:r>
          </w:p>
        </w:tc>
        <w:tc>
          <w:tcPr>
            <w:tcW w:w="1435" w:type="dxa"/>
            <w:tcBorders>
              <w:top w:val="single" w:sz="4" w:space="0" w:color="auto"/>
              <w:left w:val="single" w:sz="4" w:space="0" w:color="auto"/>
              <w:bottom w:val="single" w:sz="4" w:space="0" w:color="auto"/>
              <w:right w:val="single" w:sz="4" w:space="0" w:color="auto"/>
            </w:tcBorders>
            <w:vAlign w:val="center"/>
          </w:tcPr>
          <w:p w14:paraId="3B4EE3D2" w14:textId="45A4F6C2" w:rsidR="00AF60D5" w:rsidRPr="003A2F86" w:rsidRDefault="001B6553" w:rsidP="00AF60D5">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10.000.000 k</w:t>
            </w:r>
            <w:r w:rsidR="003F05A8">
              <w:rPr>
                <w:rFonts w:ascii="Arial" w:eastAsia="Times New Roman" w:hAnsi="Arial" w:cs="Arial"/>
                <w:iCs/>
                <w:sz w:val="16"/>
                <w:szCs w:val="16"/>
                <w:lang w:eastAsia="en-US"/>
              </w:rPr>
              <w:t>n</w:t>
            </w:r>
            <w:r>
              <w:rPr>
                <w:rFonts w:ascii="Arial" w:eastAsia="Times New Roman" w:hAnsi="Arial" w:cs="Arial"/>
                <w:iCs/>
                <w:sz w:val="16"/>
                <w:szCs w:val="16"/>
                <w:lang w:eastAsia="en-US"/>
              </w:rPr>
              <w:t xml:space="preserve"> (1.327.228,08 €)</w:t>
            </w:r>
          </w:p>
        </w:tc>
        <w:tc>
          <w:tcPr>
            <w:tcW w:w="974" w:type="dxa"/>
            <w:tcBorders>
              <w:top w:val="single" w:sz="4" w:space="0" w:color="auto"/>
              <w:left w:val="single" w:sz="4" w:space="0" w:color="auto"/>
              <w:bottom w:val="single" w:sz="4" w:space="0" w:color="auto"/>
              <w:right w:val="single" w:sz="4" w:space="0" w:color="auto"/>
            </w:tcBorders>
            <w:vAlign w:val="center"/>
          </w:tcPr>
          <w:p w14:paraId="5C86C4DB" w14:textId="3D8CC8D4" w:rsidR="00AF60D5" w:rsidRPr="003A2F86" w:rsidRDefault="001B6553" w:rsidP="00AF60D5">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31.12.30.</w:t>
            </w:r>
          </w:p>
        </w:tc>
        <w:tc>
          <w:tcPr>
            <w:tcW w:w="851" w:type="dxa"/>
            <w:tcBorders>
              <w:top w:val="single" w:sz="4" w:space="0" w:color="auto"/>
              <w:left w:val="single" w:sz="4" w:space="0" w:color="auto"/>
              <w:bottom w:val="single" w:sz="4" w:space="0" w:color="auto"/>
              <w:right w:val="single" w:sz="4" w:space="0" w:color="auto"/>
            </w:tcBorders>
            <w:vAlign w:val="center"/>
          </w:tcPr>
          <w:p w14:paraId="393AF008" w14:textId="7FBF7DA0" w:rsidR="00AF60D5" w:rsidRPr="00AF60D5" w:rsidRDefault="001B6553" w:rsidP="00AF60D5">
            <w:pPr>
              <w:spacing w:after="0" w:line="240" w:lineRule="auto"/>
              <w:jc w:val="right"/>
              <w:rPr>
                <w:rFonts w:ascii="Arial" w:eastAsia="Times New Roman" w:hAnsi="Arial" w:cs="Arial"/>
                <w:iCs/>
                <w:sz w:val="14"/>
                <w:szCs w:val="14"/>
                <w:lang w:eastAsia="en-US"/>
              </w:rPr>
            </w:pPr>
            <w:r>
              <w:rPr>
                <w:rFonts w:ascii="Arial" w:eastAsia="Times New Roman" w:hAnsi="Arial" w:cs="Arial"/>
                <w:iCs/>
                <w:sz w:val="14"/>
                <w:szCs w:val="14"/>
                <w:lang w:eastAsia="en-US"/>
              </w:rPr>
              <w:t>1,14% godišnje fiksno</w:t>
            </w:r>
          </w:p>
        </w:tc>
        <w:tc>
          <w:tcPr>
            <w:tcW w:w="1417" w:type="dxa"/>
            <w:tcBorders>
              <w:top w:val="single" w:sz="4" w:space="0" w:color="auto"/>
              <w:left w:val="single" w:sz="4" w:space="0" w:color="auto"/>
              <w:bottom w:val="single" w:sz="4" w:space="0" w:color="auto"/>
              <w:right w:val="single" w:sz="4" w:space="0" w:color="auto"/>
            </w:tcBorders>
            <w:vAlign w:val="center"/>
          </w:tcPr>
          <w:p w14:paraId="25174105" w14:textId="390082F6" w:rsidR="00AF60D5" w:rsidRPr="003A2F86" w:rsidRDefault="001B6553" w:rsidP="00AF60D5">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807.397,18</w:t>
            </w:r>
          </w:p>
        </w:tc>
        <w:tc>
          <w:tcPr>
            <w:tcW w:w="1560" w:type="dxa"/>
            <w:tcBorders>
              <w:top w:val="single" w:sz="4" w:space="0" w:color="auto"/>
              <w:left w:val="single" w:sz="4" w:space="0" w:color="auto"/>
              <w:bottom w:val="single" w:sz="4" w:space="0" w:color="auto"/>
              <w:right w:val="single" w:sz="4" w:space="0" w:color="auto"/>
            </w:tcBorders>
            <w:vAlign w:val="center"/>
          </w:tcPr>
          <w:p w14:paraId="082615B1" w14:textId="4A4F6848" w:rsidR="00AF60D5" w:rsidRPr="003A2F86" w:rsidRDefault="001B6553" w:rsidP="00AF60D5">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w:t>
            </w:r>
            <w:r w:rsidR="00F90AE6">
              <w:rPr>
                <w:rFonts w:ascii="Arial" w:eastAsia="Times New Roman" w:hAnsi="Arial" w:cs="Arial"/>
                <w:iCs/>
                <w:sz w:val="16"/>
                <w:szCs w:val="16"/>
                <w:lang w:eastAsia="en-US"/>
              </w:rPr>
              <w:t>132.722,76</w:t>
            </w:r>
          </w:p>
        </w:tc>
        <w:tc>
          <w:tcPr>
            <w:tcW w:w="1417" w:type="dxa"/>
            <w:tcBorders>
              <w:top w:val="single" w:sz="4" w:space="0" w:color="auto"/>
              <w:left w:val="single" w:sz="4" w:space="0" w:color="auto"/>
              <w:bottom w:val="single" w:sz="4" w:space="0" w:color="auto"/>
              <w:right w:val="single" w:sz="4" w:space="0" w:color="auto"/>
            </w:tcBorders>
            <w:vAlign w:val="center"/>
          </w:tcPr>
          <w:p w14:paraId="381AD59B" w14:textId="25CD3707" w:rsidR="00AF60D5" w:rsidRPr="003A2F86" w:rsidRDefault="00F90AE6" w:rsidP="00AF60D5">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fldChar w:fldCharType="begin"/>
            </w:r>
            <w:r>
              <w:rPr>
                <w:rFonts w:ascii="Arial" w:eastAsia="Times New Roman" w:hAnsi="Arial" w:cs="Arial"/>
                <w:iCs/>
                <w:sz w:val="16"/>
                <w:szCs w:val="16"/>
                <w:lang w:eastAsia="en-US"/>
              </w:rPr>
              <w:instrText xml:space="preserve"> =SUM(LEFT) </w:instrText>
            </w:r>
            <w:r>
              <w:rPr>
                <w:rFonts w:ascii="Arial" w:eastAsia="Times New Roman" w:hAnsi="Arial" w:cs="Arial"/>
                <w:iCs/>
                <w:sz w:val="16"/>
                <w:szCs w:val="16"/>
                <w:lang w:eastAsia="en-US"/>
              </w:rPr>
              <w:fldChar w:fldCharType="separate"/>
            </w:r>
            <w:r>
              <w:rPr>
                <w:rFonts w:ascii="Arial" w:eastAsia="Times New Roman" w:hAnsi="Arial" w:cs="Arial"/>
                <w:iCs/>
                <w:noProof/>
                <w:sz w:val="16"/>
                <w:szCs w:val="16"/>
                <w:lang w:eastAsia="en-US"/>
              </w:rPr>
              <w:t>674.674,42</w:t>
            </w:r>
            <w:r>
              <w:rPr>
                <w:rFonts w:ascii="Arial" w:eastAsia="Times New Roman" w:hAnsi="Arial" w:cs="Arial"/>
                <w:iCs/>
                <w:sz w:val="16"/>
                <w:szCs w:val="16"/>
                <w:lang w:eastAsia="en-US"/>
              </w:rPr>
              <w:fldChar w:fldCharType="end"/>
            </w:r>
          </w:p>
        </w:tc>
      </w:tr>
      <w:tr w:rsidR="00AF60D5" w:rsidRPr="003A2F86" w14:paraId="4BF031FF" w14:textId="77777777" w:rsidTr="00AF60D5">
        <w:trPr>
          <w:jc w:val="center"/>
        </w:trPr>
        <w:tc>
          <w:tcPr>
            <w:tcW w:w="421" w:type="dxa"/>
            <w:vAlign w:val="center"/>
          </w:tcPr>
          <w:p w14:paraId="1AEDB3AB" w14:textId="5343ACB4" w:rsidR="00AF60D5" w:rsidRPr="003A2F86" w:rsidRDefault="00AF60D5" w:rsidP="001B6553">
            <w:pPr>
              <w:spacing w:after="0" w:line="240" w:lineRule="auto"/>
              <w:jc w:val="center"/>
              <w:rPr>
                <w:rFonts w:ascii="Arial" w:eastAsia="Times New Roman" w:hAnsi="Arial" w:cs="Arial"/>
                <w:iCs/>
                <w:sz w:val="14"/>
                <w:szCs w:val="14"/>
                <w:lang w:eastAsia="en-US"/>
              </w:rPr>
            </w:pPr>
            <w:r w:rsidRPr="003A2F86">
              <w:rPr>
                <w:rFonts w:ascii="Arial" w:eastAsia="Times New Roman" w:hAnsi="Arial" w:cs="Arial"/>
                <w:iCs/>
                <w:sz w:val="14"/>
                <w:szCs w:val="14"/>
                <w:lang w:eastAsia="en-US"/>
              </w:rPr>
              <w:t>3</w:t>
            </w:r>
            <w:r>
              <w:rPr>
                <w:rFonts w:ascii="Arial" w:eastAsia="Times New Roman" w:hAnsi="Arial" w:cs="Arial"/>
                <w:iCs/>
                <w:sz w:val="14"/>
                <w:szCs w:val="14"/>
                <w:lang w:eastAsia="en-US"/>
              </w:rPr>
              <w:t>.</w:t>
            </w:r>
          </w:p>
        </w:tc>
        <w:tc>
          <w:tcPr>
            <w:tcW w:w="1275" w:type="dxa"/>
            <w:vAlign w:val="center"/>
          </w:tcPr>
          <w:p w14:paraId="2C125B7F" w14:textId="429A8EA7" w:rsidR="00AF60D5" w:rsidRPr="003A2F86" w:rsidRDefault="00AF60D5" w:rsidP="00AF60D5">
            <w:pPr>
              <w:spacing w:after="0" w:line="240" w:lineRule="auto"/>
              <w:rPr>
                <w:rFonts w:ascii="Arial" w:eastAsia="Times New Roman" w:hAnsi="Arial" w:cs="Arial"/>
                <w:iCs/>
                <w:sz w:val="16"/>
                <w:szCs w:val="16"/>
                <w:lang w:eastAsia="en-US"/>
              </w:rPr>
            </w:pPr>
            <w:r w:rsidRPr="003A2F86">
              <w:rPr>
                <w:rFonts w:ascii="Arial" w:eastAsia="Times New Roman" w:hAnsi="Arial" w:cs="Arial"/>
                <w:iCs/>
                <w:sz w:val="16"/>
                <w:szCs w:val="16"/>
                <w:lang w:eastAsia="en-US"/>
              </w:rPr>
              <w:t>Čistoća i zelenilo Konavle d.o.o. Čilipi</w:t>
            </w:r>
          </w:p>
        </w:tc>
        <w:tc>
          <w:tcPr>
            <w:tcW w:w="1276" w:type="dxa"/>
            <w:tcBorders>
              <w:top w:val="nil"/>
              <w:left w:val="single" w:sz="8" w:space="0" w:color="000000"/>
              <w:bottom w:val="single" w:sz="8" w:space="0" w:color="000000"/>
              <w:right w:val="single" w:sz="4" w:space="0" w:color="auto"/>
            </w:tcBorders>
            <w:vAlign w:val="center"/>
          </w:tcPr>
          <w:p w14:paraId="574CEFB3" w14:textId="5C7C8BC3" w:rsidR="00AF60D5" w:rsidRPr="003A2F86" w:rsidRDefault="00AF60D5" w:rsidP="00AF60D5">
            <w:pPr>
              <w:autoSpaceDE w:val="0"/>
              <w:autoSpaceDN w:val="0"/>
              <w:adjustRightInd w:val="0"/>
              <w:spacing w:after="0" w:line="240" w:lineRule="auto"/>
              <w:jc w:val="center"/>
              <w:rPr>
                <w:rFonts w:ascii="Arial" w:eastAsia="Times New Roman" w:hAnsi="Arial" w:cs="Arial"/>
                <w:sz w:val="16"/>
                <w:szCs w:val="16"/>
              </w:rPr>
            </w:pPr>
            <w:r>
              <w:rPr>
                <w:rFonts w:ascii="Arial" w:eastAsia="Times New Roman" w:hAnsi="Arial" w:cs="Arial"/>
                <w:sz w:val="16"/>
                <w:szCs w:val="16"/>
              </w:rPr>
              <w:t>2.10.2023.</w:t>
            </w:r>
          </w:p>
        </w:tc>
        <w:tc>
          <w:tcPr>
            <w:tcW w:w="1985" w:type="dxa"/>
            <w:tcBorders>
              <w:top w:val="single" w:sz="4" w:space="0" w:color="auto"/>
              <w:left w:val="single" w:sz="4" w:space="0" w:color="auto"/>
              <w:bottom w:val="single" w:sz="4" w:space="0" w:color="auto"/>
              <w:right w:val="single" w:sz="4" w:space="0" w:color="auto"/>
            </w:tcBorders>
            <w:vAlign w:val="center"/>
          </w:tcPr>
          <w:p w14:paraId="3D949AB1" w14:textId="689B59EF" w:rsidR="00AF60D5" w:rsidRPr="00AF60D5" w:rsidRDefault="00AF60D5" w:rsidP="00AF60D5">
            <w:pPr>
              <w:autoSpaceDE w:val="0"/>
              <w:autoSpaceDN w:val="0"/>
              <w:adjustRightInd w:val="0"/>
              <w:spacing w:after="0" w:line="240" w:lineRule="auto"/>
              <w:rPr>
                <w:rFonts w:ascii="Arial" w:eastAsia="Times New Roman" w:hAnsi="Arial" w:cs="Arial"/>
                <w:sz w:val="16"/>
                <w:szCs w:val="16"/>
              </w:rPr>
            </w:pPr>
            <w:r w:rsidRPr="00AF60D5">
              <w:rPr>
                <w:sz w:val="16"/>
                <w:szCs w:val="16"/>
              </w:rPr>
              <w:t>UNICREDIT LEASING CROATIA d.o.o. Zagreb</w:t>
            </w:r>
          </w:p>
        </w:tc>
        <w:tc>
          <w:tcPr>
            <w:tcW w:w="1275" w:type="dxa"/>
            <w:tcBorders>
              <w:top w:val="single" w:sz="4" w:space="0" w:color="auto"/>
              <w:left w:val="single" w:sz="4" w:space="0" w:color="auto"/>
              <w:bottom w:val="single" w:sz="4" w:space="0" w:color="auto"/>
              <w:right w:val="single" w:sz="4" w:space="0" w:color="auto"/>
            </w:tcBorders>
            <w:vAlign w:val="center"/>
          </w:tcPr>
          <w:p w14:paraId="08FF4B06" w14:textId="1E33B673" w:rsidR="00AF60D5" w:rsidRPr="00AF60D5" w:rsidRDefault="00AF60D5" w:rsidP="00AF60D5">
            <w:pPr>
              <w:spacing w:after="0" w:line="240" w:lineRule="auto"/>
              <w:jc w:val="right"/>
              <w:rPr>
                <w:rFonts w:ascii="Arial" w:eastAsia="Times New Roman" w:hAnsi="Arial" w:cs="Arial"/>
                <w:iCs/>
                <w:sz w:val="14"/>
                <w:szCs w:val="14"/>
                <w:lang w:eastAsia="en-US"/>
              </w:rPr>
            </w:pPr>
            <w:r w:rsidRPr="00AF60D5">
              <w:rPr>
                <w:rFonts w:ascii="Arial" w:eastAsia="Times New Roman" w:hAnsi="Arial" w:cs="Arial"/>
                <w:iCs/>
                <w:sz w:val="14"/>
                <w:szCs w:val="14"/>
                <w:lang w:eastAsia="en-US"/>
              </w:rPr>
              <w:t>IVECO EUROCARGA ML120EL22/P</w:t>
            </w:r>
          </w:p>
        </w:tc>
        <w:tc>
          <w:tcPr>
            <w:tcW w:w="993" w:type="dxa"/>
            <w:tcBorders>
              <w:top w:val="single" w:sz="4" w:space="0" w:color="auto"/>
              <w:left w:val="single" w:sz="4" w:space="0" w:color="auto"/>
              <w:bottom w:val="single" w:sz="4" w:space="0" w:color="auto"/>
              <w:right w:val="single" w:sz="4" w:space="0" w:color="auto"/>
            </w:tcBorders>
            <w:vAlign w:val="center"/>
          </w:tcPr>
          <w:p w14:paraId="44EDED09" w14:textId="2A96D9FB" w:rsidR="00AF60D5" w:rsidRPr="003A2F86" w:rsidRDefault="00AF60D5" w:rsidP="00AF60D5">
            <w:pPr>
              <w:spacing w:after="0" w:line="240" w:lineRule="auto"/>
              <w:jc w:val="right"/>
              <w:rPr>
                <w:rFonts w:ascii="Arial" w:eastAsia="Times New Roman" w:hAnsi="Arial" w:cs="Arial"/>
                <w:iCs/>
                <w:sz w:val="14"/>
                <w:szCs w:val="14"/>
                <w:lang w:eastAsia="en-US"/>
              </w:rPr>
            </w:pPr>
            <w:r>
              <w:rPr>
                <w:rFonts w:ascii="Arial" w:eastAsia="Times New Roman" w:hAnsi="Arial" w:cs="Arial"/>
                <w:iCs/>
                <w:sz w:val="14"/>
                <w:szCs w:val="14"/>
                <w:lang w:eastAsia="en-US"/>
              </w:rPr>
              <w:t>31.10.2023.</w:t>
            </w:r>
          </w:p>
        </w:tc>
        <w:tc>
          <w:tcPr>
            <w:tcW w:w="1435" w:type="dxa"/>
            <w:tcBorders>
              <w:top w:val="single" w:sz="4" w:space="0" w:color="auto"/>
              <w:left w:val="single" w:sz="4" w:space="0" w:color="auto"/>
              <w:bottom w:val="single" w:sz="4" w:space="0" w:color="auto"/>
              <w:right w:val="single" w:sz="4" w:space="0" w:color="auto"/>
            </w:tcBorders>
            <w:vAlign w:val="center"/>
          </w:tcPr>
          <w:p w14:paraId="25B0330B" w14:textId="1D9778F8" w:rsidR="00AF60D5" w:rsidRPr="003A2F86" w:rsidRDefault="001B6553" w:rsidP="00AF60D5">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254.375,00 €</w:t>
            </w:r>
          </w:p>
        </w:tc>
        <w:tc>
          <w:tcPr>
            <w:tcW w:w="974" w:type="dxa"/>
            <w:tcBorders>
              <w:top w:val="single" w:sz="4" w:space="0" w:color="auto"/>
              <w:left w:val="single" w:sz="4" w:space="0" w:color="auto"/>
              <w:bottom w:val="single" w:sz="4" w:space="0" w:color="auto"/>
              <w:right w:val="single" w:sz="4" w:space="0" w:color="auto"/>
            </w:tcBorders>
            <w:vAlign w:val="center"/>
          </w:tcPr>
          <w:p w14:paraId="73A2EE1B" w14:textId="64054ECC" w:rsidR="00AF60D5" w:rsidRPr="003A2F86" w:rsidRDefault="001B6553" w:rsidP="001B6553">
            <w:pPr>
              <w:spacing w:after="0" w:line="240" w:lineRule="auto"/>
              <w:jc w:val="center"/>
              <w:rPr>
                <w:rFonts w:ascii="Arial" w:eastAsia="Times New Roman" w:hAnsi="Arial" w:cs="Arial"/>
                <w:iCs/>
                <w:sz w:val="16"/>
                <w:szCs w:val="16"/>
                <w:lang w:eastAsia="en-US"/>
              </w:rPr>
            </w:pPr>
            <w:r>
              <w:rPr>
                <w:rFonts w:ascii="Arial" w:eastAsia="Times New Roman" w:hAnsi="Arial" w:cs="Arial"/>
                <w:iCs/>
                <w:sz w:val="16"/>
                <w:szCs w:val="16"/>
                <w:lang w:eastAsia="en-US"/>
              </w:rPr>
              <w:t>31.05.29.</w:t>
            </w:r>
          </w:p>
        </w:tc>
        <w:tc>
          <w:tcPr>
            <w:tcW w:w="851" w:type="dxa"/>
            <w:tcBorders>
              <w:top w:val="single" w:sz="4" w:space="0" w:color="auto"/>
              <w:left w:val="single" w:sz="4" w:space="0" w:color="auto"/>
              <w:bottom w:val="single" w:sz="4" w:space="0" w:color="auto"/>
              <w:right w:val="single" w:sz="4" w:space="0" w:color="auto"/>
            </w:tcBorders>
            <w:vAlign w:val="center"/>
          </w:tcPr>
          <w:p w14:paraId="4C957C17" w14:textId="5457EACD" w:rsidR="00AF60D5" w:rsidRPr="00AF60D5" w:rsidRDefault="001B6553" w:rsidP="00AF60D5">
            <w:pPr>
              <w:spacing w:after="0" w:line="240" w:lineRule="auto"/>
              <w:jc w:val="right"/>
              <w:rPr>
                <w:rFonts w:ascii="Arial" w:eastAsia="Times New Roman" w:hAnsi="Arial" w:cs="Arial"/>
                <w:iCs/>
                <w:sz w:val="14"/>
                <w:szCs w:val="14"/>
                <w:lang w:eastAsia="en-US"/>
              </w:rPr>
            </w:pPr>
            <w:r>
              <w:rPr>
                <w:rFonts w:ascii="Arial" w:eastAsia="Times New Roman" w:hAnsi="Arial" w:cs="Arial"/>
                <w:iCs/>
                <w:sz w:val="14"/>
                <w:szCs w:val="14"/>
                <w:lang w:eastAsia="en-US"/>
              </w:rPr>
              <w:t>5,14% fiksno godišnje</w:t>
            </w:r>
          </w:p>
        </w:tc>
        <w:tc>
          <w:tcPr>
            <w:tcW w:w="1417" w:type="dxa"/>
            <w:tcBorders>
              <w:top w:val="single" w:sz="4" w:space="0" w:color="auto"/>
              <w:left w:val="single" w:sz="4" w:space="0" w:color="auto"/>
              <w:bottom w:val="single" w:sz="4" w:space="0" w:color="auto"/>
              <w:right w:val="single" w:sz="4" w:space="0" w:color="auto"/>
            </w:tcBorders>
            <w:vAlign w:val="center"/>
          </w:tcPr>
          <w:p w14:paraId="1DC668FB" w14:textId="4747A787" w:rsidR="001B6553" w:rsidRPr="003A2F86" w:rsidRDefault="001B6553" w:rsidP="001B6553">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182.461,</w:t>
            </w:r>
            <w:r w:rsidR="00F90AE6">
              <w:rPr>
                <w:rFonts w:ascii="Arial" w:eastAsia="Times New Roman" w:hAnsi="Arial" w:cs="Arial"/>
                <w:iCs/>
                <w:sz w:val="16"/>
                <w:szCs w:val="16"/>
                <w:lang w:eastAsia="en-US"/>
              </w:rPr>
              <w:t>8</w:t>
            </w:r>
            <w:r>
              <w:rPr>
                <w:rFonts w:ascii="Arial" w:eastAsia="Times New Roman" w:hAnsi="Arial" w:cs="Arial"/>
                <w:iCs/>
                <w:sz w:val="16"/>
                <w:szCs w:val="16"/>
                <w:lang w:eastAsia="en-US"/>
              </w:rPr>
              <w:t>3</w:t>
            </w:r>
          </w:p>
        </w:tc>
        <w:tc>
          <w:tcPr>
            <w:tcW w:w="1560" w:type="dxa"/>
            <w:tcBorders>
              <w:top w:val="single" w:sz="4" w:space="0" w:color="auto"/>
              <w:left w:val="single" w:sz="4" w:space="0" w:color="auto"/>
              <w:bottom w:val="single" w:sz="4" w:space="0" w:color="auto"/>
              <w:right w:val="single" w:sz="4" w:space="0" w:color="auto"/>
            </w:tcBorders>
            <w:vAlign w:val="center"/>
          </w:tcPr>
          <w:p w14:paraId="5FB62ADE" w14:textId="06B3B0C7" w:rsidR="00AF60D5" w:rsidRPr="003A2F86" w:rsidRDefault="001B6553" w:rsidP="00AF60D5">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w:t>
            </w:r>
            <w:r w:rsidR="00F90AE6">
              <w:rPr>
                <w:rFonts w:ascii="Arial" w:eastAsia="Times New Roman" w:hAnsi="Arial" w:cs="Arial"/>
                <w:iCs/>
                <w:sz w:val="16"/>
                <w:szCs w:val="16"/>
                <w:lang w:eastAsia="en-US"/>
              </w:rPr>
              <w:t>37.562,71</w:t>
            </w:r>
          </w:p>
        </w:tc>
        <w:tc>
          <w:tcPr>
            <w:tcW w:w="1417" w:type="dxa"/>
            <w:tcBorders>
              <w:top w:val="single" w:sz="4" w:space="0" w:color="auto"/>
              <w:left w:val="single" w:sz="4" w:space="0" w:color="auto"/>
              <w:bottom w:val="single" w:sz="4" w:space="0" w:color="auto"/>
              <w:right w:val="single" w:sz="4" w:space="0" w:color="auto"/>
            </w:tcBorders>
            <w:vAlign w:val="center"/>
          </w:tcPr>
          <w:p w14:paraId="6A975DA3" w14:textId="53D52880" w:rsidR="00AF60D5" w:rsidRPr="003A2F86" w:rsidRDefault="001B6553" w:rsidP="00AF60D5">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fldChar w:fldCharType="begin"/>
            </w:r>
            <w:r>
              <w:rPr>
                <w:rFonts w:ascii="Arial" w:eastAsia="Times New Roman" w:hAnsi="Arial" w:cs="Arial"/>
                <w:iCs/>
                <w:sz w:val="16"/>
                <w:szCs w:val="16"/>
                <w:lang w:eastAsia="en-US"/>
              </w:rPr>
              <w:instrText xml:space="preserve"> =SUM(LEFT) </w:instrText>
            </w:r>
            <w:r>
              <w:rPr>
                <w:rFonts w:ascii="Arial" w:eastAsia="Times New Roman" w:hAnsi="Arial" w:cs="Arial"/>
                <w:iCs/>
                <w:sz w:val="16"/>
                <w:szCs w:val="16"/>
                <w:lang w:eastAsia="en-US"/>
              </w:rPr>
              <w:fldChar w:fldCharType="separate"/>
            </w:r>
            <w:r w:rsidR="00F90AE6">
              <w:rPr>
                <w:rFonts w:ascii="Arial" w:eastAsia="Times New Roman" w:hAnsi="Arial" w:cs="Arial"/>
                <w:iCs/>
                <w:noProof/>
                <w:sz w:val="16"/>
                <w:szCs w:val="16"/>
                <w:lang w:eastAsia="en-US"/>
              </w:rPr>
              <w:t>144.899,12</w:t>
            </w:r>
            <w:r>
              <w:rPr>
                <w:rFonts w:ascii="Arial" w:eastAsia="Times New Roman" w:hAnsi="Arial" w:cs="Arial"/>
                <w:iCs/>
                <w:sz w:val="16"/>
                <w:szCs w:val="16"/>
                <w:lang w:eastAsia="en-US"/>
              </w:rPr>
              <w:fldChar w:fldCharType="end"/>
            </w:r>
          </w:p>
        </w:tc>
      </w:tr>
      <w:tr w:rsidR="001B6553" w:rsidRPr="003A2F86" w14:paraId="1D57F0D1" w14:textId="77777777" w:rsidTr="00AF60D5">
        <w:trPr>
          <w:jc w:val="center"/>
        </w:trPr>
        <w:tc>
          <w:tcPr>
            <w:tcW w:w="421" w:type="dxa"/>
            <w:vAlign w:val="center"/>
          </w:tcPr>
          <w:p w14:paraId="1FF43168" w14:textId="09DBF0D0" w:rsidR="001B6553" w:rsidRPr="003A2F86" w:rsidRDefault="001B6553" w:rsidP="001B6553">
            <w:pPr>
              <w:spacing w:after="0" w:line="240" w:lineRule="auto"/>
              <w:jc w:val="center"/>
              <w:rPr>
                <w:rFonts w:ascii="Arial" w:eastAsia="Times New Roman" w:hAnsi="Arial" w:cs="Arial"/>
                <w:iCs/>
                <w:sz w:val="14"/>
                <w:szCs w:val="14"/>
                <w:lang w:eastAsia="en-US"/>
              </w:rPr>
            </w:pPr>
            <w:r w:rsidRPr="003A2F86">
              <w:rPr>
                <w:rFonts w:ascii="Arial" w:eastAsia="Times New Roman" w:hAnsi="Arial" w:cs="Arial"/>
                <w:iCs/>
                <w:sz w:val="14"/>
                <w:szCs w:val="14"/>
                <w:lang w:eastAsia="en-US"/>
              </w:rPr>
              <w:t>4.</w:t>
            </w:r>
          </w:p>
        </w:tc>
        <w:tc>
          <w:tcPr>
            <w:tcW w:w="1275" w:type="dxa"/>
            <w:vAlign w:val="center"/>
          </w:tcPr>
          <w:p w14:paraId="76182D7B" w14:textId="23970A0B" w:rsidR="001B6553" w:rsidRPr="003A2F86" w:rsidRDefault="001B6553" w:rsidP="001B6553">
            <w:pPr>
              <w:spacing w:after="0" w:line="240" w:lineRule="auto"/>
              <w:rPr>
                <w:rFonts w:ascii="Arial" w:eastAsia="Times New Roman" w:hAnsi="Arial" w:cs="Arial"/>
                <w:iCs/>
                <w:sz w:val="16"/>
                <w:szCs w:val="16"/>
                <w:lang w:eastAsia="en-US"/>
              </w:rPr>
            </w:pPr>
            <w:r w:rsidRPr="003A2F86">
              <w:rPr>
                <w:rFonts w:ascii="Arial" w:eastAsia="Times New Roman" w:hAnsi="Arial" w:cs="Arial"/>
                <w:iCs/>
                <w:sz w:val="16"/>
                <w:szCs w:val="16"/>
                <w:lang w:eastAsia="en-US"/>
              </w:rPr>
              <w:t>Čistoća i zelenilo Konavle d.o.o. Čilipi</w:t>
            </w:r>
          </w:p>
        </w:tc>
        <w:tc>
          <w:tcPr>
            <w:tcW w:w="1276" w:type="dxa"/>
            <w:tcBorders>
              <w:top w:val="nil"/>
              <w:left w:val="single" w:sz="8" w:space="0" w:color="000000"/>
              <w:bottom w:val="single" w:sz="8" w:space="0" w:color="000000"/>
              <w:right w:val="single" w:sz="4" w:space="0" w:color="auto"/>
            </w:tcBorders>
            <w:vAlign w:val="center"/>
          </w:tcPr>
          <w:p w14:paraId="1895CB8F" w14:textId="2A78F31B" w:rsidR="001B6553" w:rsidRPr="003A2F86" w:rsidRDefault="001B6553" w:rsidP="001B6553">
            <w:pPr>
              <w:autoSpaceDE w:val="0"/>
              <w:autoSpaceDN w:val="0"/>
              <w:adjustRightInd w:val="0"/>
              <w:spacing w:after="0" w:line="240" w:lineRule="auto"/>
              <w:jc w:val="center"/>
              <w:rPr>
                <w:rFonts w:ascii="Arial" w:eastAsia="Times New Roman" w:hAnsi="Arial" w:cs="Arial"/>
                <w:sz w:val="16"/>
                <w:szCs w:val="16"/>
              </w:rPr>
            </w:pPr>
            <w:r>
              <w:rPr>
                <w:rFonts w:ascii="Arial" w:eastAsia="Times New Roman" w:hAnsi="Arial" w:cs="Arial"/>
                <w:sz w:val="16"/>
                <w:szCs w:val="16"/>
              </w:rPr>
              <w:t>28.05.2024.</w:t>
            </w:r>
          </w:p>
        </w:tc>
        <w:tc>
          <w:tcPr>
            <w:tcW w:w="1985" w:type="dxa"/>
            <w:tcBorders>
              <w:top w:val="single" w:sz="8" w:space="0" w:color="000000"/>
              <w:left w:val="nil"/>
              <w:bottom w:val="single" w:sz="8" w:space="0" w:color="000000"/>
              <w:right w:val="single" w:sz="8" w:space="0" w:color="000000"/>
            </w:tcBorders>
            <w:vAlign w:val="center"/>
          </w:tcPr>
          <w:p w14:paraId="45AEFACD" w14:textId="3992ED7F" w:rsidR="001B6553" w:rsidRPr="00AF60D5" w:rsidRDefault="001B6553" w:rsidP="001B6553">
            <w:pPr>
              <w:autoSpaceDE w:val="0"/>
              <w:autoSpaceDN w:val="0"/>
              <w:adjustRightInd w:val="0"/>
              <w:spacing w:after="0" w:line="240" w:lineRule="auto"/>
              <w:rPr>
                <w:rFonts w:ascii="Arial" w:eastAsia="Times New Roman" w:hAnsi="Arial" w:cs="Arial"/>
                <w:sz w:val="14"/>
                <w:szCs w:val="14"/>
              </w:rPr>
            </w:pPr>
            <w:r w:rsidRPr="00AF60D5">
              <w:rPr>
                <w:rFonts w:ascii="Calibri" w:hAnsi="Calibri" w:cs="Calibri"/>
                <w:color w:val="000000"/>
                <w:sz w:val="14"/>
                <w:szCs w:val="14"/>
              </w:rPr>
              <w:t>PBZ-LEASING d.o.o. Zagreb</w:t>
            </w:r>
          </w:p>
        </w:tc>
        <w:tc>
          <w:tcPr>
            <w:tcW w:w="1275" w:type="dxa"/>
            <w:tcBorders>
              <w:top w:val="single" w:sz="4" w:space="0" w:color="auto"/>
              <w:left w:val="single" w:sz="4" w:space="0" w:color="auto"/>
              <w:bottom w:val="single" w:sz="4" w:space="0" w:color="auto"/>
              <w:right w:val="single" w:sz="4" w:space="0" w:color="auto"/>
            </w:tcBorders>
            <w:vAlign w:val="center"/>
          </w:tcPr>
          <w:p w14:paraId="64D859BF" w14:textId="4DCE8348" w:rsidR="001B6553" w:rsidRPr="00AF60D5" w:rsidRDefault="001B6553" w:rsidP="001B6553">
            <w:pPr>
              <w:spacing w:after="0" w:line="240" w:lineRule="auto"/>
              <w:jc w:val="right"/>
              <w:rPr>
                <w:rFonts w:ascii="Arial" w:eastAsia="Times New Roman" w:hAnsi="Arial" w:cs="Arial"/>
                <w:iCs/>
                <w:sz w:val="14"/>
                <w:szCs w:val="14"/>
                <w:lang w:eastAsia="en-US"/>
              </w:rPr>
            </w:pPr>
            <w:r w:rsidRPr="00AF60D5">
              <w:rPr>
                <w:rFonts w:ascii="Arial" w:eastAsia="Times New Roman" w:hAnsi="Arial" w:cs="Arial"/>
                <w:iCs/>
                <w:sz w:val="14"/>
                <w:szCs w:val="14"/>
                <w:lang w:eastAsia="en-US"/>
              </w:rPr>
              <w:t>komunalno vozilo s potisnom pločom 5m³ IVECO DAILY 35C16H s nadogradnjom QUBE ROSSI 5</w:t>
            </w:r>
          </w:p>
        </w:tc>
        <w:tc>
          <w:tcPr>
            <w:tcW w:w="993" w:type="dxa"/>
            <w:tcBorders>
              <w:top w:val="single" w:sz="4" w:space="0" w:color="auto"/>
              <w:left w:val="single" w:sz="4" w:space="0" w:color="auto"/>
              <w:bottom w:val="single" w:sz="4" w:space="0" w:color="auto"/>
              <w:right w:val="single" w:sz="4" w:space="0" w:color="auto"/>
            </w:tcBorders>
            <w:vAlign w:val="center"/>
          </w:tcPr>
          <w:p w14:paraId="5AF7D4F8" w14:textId="780F7C07" w:rsidR="001B6553" w:rsidRPr="003A2F86" w:rsidRDefault="001B6553" w:rsidP="001B6553">
            <w:pPr>
              <w:spacing w:after="0" w:line="240" w:lineRule="auto"/>
              <w:jc w:val="right"/>
              <w:rPr>
                <w:rFonts w:ascii="Arial" w:eastAsia="Times New Roman" w:hAnsi="Arial" w:cs="Arial"/>
                <w:iCs/>
                <w:sz w:val="14"/>
                <w:szCs w:val="14"/>
                <w:lang w:eastAsia="en-US"/>
              </w:rPr>
            </w:pPr>
            <w:r>
              <w:rPr>
                <w:rFonts w:ascii="Arial" w:eastAsia="Times New Roman" w:hAnsi="Arial" w:cs="Arial"/>
                <w:iCs/>
                <w:sz w:val="14"/>
                <w:szCs w:val="14"/>
                <w:lang w:eastAsia="en-US"/>
              </w:rPr>
              <w:t>6.6.2024.</w:t>
            </w:r>
          </w:p>
        </w:tc>
        <w:tc>
          <w:tcPr>
            <w:tcW w:w="1435" w:type="dxa"/>
            <w:tcBorders>
              <w:top w:val="single" w:sz="4" w:space="0" w:color="auto"/>
              <w:left w:val="single" w:sz="4" w:space="0" w:color="auto"/>
              <w:bottom w:val="single" w:sz="4" w:space="0" w:color="auto"/>
              <w:right w:val="single" w:sz="4" w:space="0" w:color="auto"/>
            </w:tcBorders>
            <w:vAlign w:val="center"/>
          </w:tcPr>
          <w:p w14:paraId="70B20D1A" w14:textId="2B823FFA" w:rsidR="001B6553" w:rsidRPr="003A2F86" w:rsidRDefault="001B6553" w:rsidP="001B6553">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123.125,00 €</w:t>
            </w:r>
          </w:p>
        </w:tc>
        <w:tc>
          <w:tcPr>
            <w:tcW w:w="974" w:type="dxa"/>
            <w:tcBorders>
              <w:top w:val="single" w:sz="4" w:space="0" w:color="auto"/>
              <w:left w:val="single" w:sz="4" w:space="0" w:color="auto"/>
              <w:bottom w:val="single" w:sz="4" w:space="0" w:color="auto"/>
              <w:right w:val="single" w:sz="4" w:space="0" w:color="auto"/>
            </w:tcBorders>
            <w:vAlign w:val="center"/>
          </w:tcPr>
          <w:p w14:paraId="79AD8492" w14:textId="5C47F6CF" w:rsidR="001B6553" w:rsidRPr="003A2F86" w:rsidRDefault="001B6553" w:rsidP="001B6553">
            <w:pPr>
              <w:spacing w:after="0" w:line="240" w:lineRule="auto"/>
              <w:jc w:val="center"/>
              <w:rPr>
                <w:rFonts w:ascii="Arial" w:eastAsia="Times New Roman" w:hAnsi="Arial" w:cs="Arial"/>
                <w:iCs/>
                <w:sz w:val="18"/>
                <w:szCs w:val="18"/>
                <w:lang w:eastAsia="en-US"/>
              </w:rPr>
            </w:pPr>
            <w:r>
              <w:rPr>
                <w:rFonts w:ascii="Arial" w:eastAsia="Times New Roman" w:hAnsi="Arial" w:cs="Arial"/>
                <w:iCs/>
                <w:sz w:val="18"/>
                <w:szCs w:val="18"/>
                <w:lang w:eastAsia="en-US"/>
              </w:rPr>
              <w:t>3 godine</w:t>
            </w:r>
          </w:p>
        </w:tc>
        <w:tc>
          <w:tcPr>
            <w:tcW w:w="851" w:type="dxa"/>
            <w:tcBorders>
              <w:top w:val="single" w:sz="4" w:space="0" w:color="auto"/>
              <w:left w:val="single" w:sz="4" w:space="0" w:color="auto"/>
              <w:bottom w:val="single" w:sz="4" w:space="0" w:color="auto"/>
              <w:right w:val="single" w:sz="4" w:space="0" w:color="auto"/>
            </w:tcBorders>
            <w:vAlign w:val="center"/>
          </w:tcPr>
          <w:p w14:paraId="10C3C50F" w14:textId="0F41177F" w:rsidR="001B6553" w:rsidRPr="00AF60D5" w:rsidRDefault="001B6553" w:rsidP="001B6553">
            <w:pPr>
              <w:spacing w:after="0" w:line="240" w:lineRule="auto"/>
              <w:jc w:val="center"/>
              <w:rPr>
                <w:rFonts w:ascii="Arial" w:eastAsia="Times New Roman" w:hAnsi="Arial" w:cs="Arial"/>
                <w:iCs/>
                <w:sz w:val="14"/>
                <w:szCs w:val="14"/>
                <w:lang w:eastAsia="en-US"/>
              </w:rPr>
            </w:pPr>
            <w:r>
              <w:rPr>
                <w:rFonts w:ascii="Arial" w:eastAsia="Times New Roman" w:hAnsi="Arial" w:cs="Arial"/>
                <w:iCs/>
                <w:sz w:val="14"/>
                <w:szCs w:val="14"/>
                <w:lang w:eastAsia="en-US"/>
              </w:rPr>
              <w:t>5,95% fiksno godišnje</w:t>
            </w:r>
          </w:p>
        </w:tc>
        <w:tc>
          <w:tcPr>
            <w:tcW w:w="1417" w:type="dxa"/>
            <w:tcBorders>
              <w:top w:val="single" w:sz="4" w:space="0" w:color="auto"/>
              <w:left w:val="single" w:sz="4" w:space="0" w:color="auto"/>
              <w:bottom w:val="single" w:sz="4" w:space="0" w:color="auto"/>
              <w:right w:val="single" w:sz="4" w:space="0" w:color="auto"/>
            </w:tcBorders>
            <w:vAlign w:val="center"/>
          </w:tcPr>
          <w:p w14:paraId="416B9934" w14:textId="455EAC5A" w:rsidR="001B6553" w:rsidRPr="003A2F86" w:rsidRDefault="001B6553" w:rsidP="001B6553">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83.431,34</w:t>
            </w:r>
          </w:p>
        </w:tc>
        <w:tc>
          <w:tcPr>
            <w:tcW w:w="1560" w:type="dxa"/>
            <w:tcBorders>
              <w:top w:val="single" w:sz="4" w:space="0" w:color="auto"/>
              <w:left w:val="single" w:sz="4" w:space="0" w:color="auto"/>
              <w:bottom w:val="single" w:sz="4" w:space="0" w:color="auto"/>
              <w:right w:val="single" w:sz="4" w:space="0" w:color="auto"/>
            </w:tcBorders>
            <w:vAlign w:val="center"/>
          </w:tcPr>
          <w:p w14:paraId="57E1480A" w14:textId="6DFF5002" w:rsidR="001B6553" w:rsidRPr="003A2F86" w:rsidRDefault="001B6553" w:rsidP="001B6553">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w:t>
            </w:r>
            <w:r w:rsidR="00F90AE6">
              <w:rPr>
                <w:rFonts w:ascii="Arial" w:eastAsia="Times New Roman" w:hAnsi="Arial" w:cs="Arial"/>
                <w:iCs/>
                <w:sz w:val="16"/>
                <w:szCs w:val="16"/>
                <w:lang w:eastAsia="en-US"/>
              </w:rPr>
              <w:t>31.512,67</w:t>
            </w:r>
          </w:p>
        </w:tc>
        <w:tc>
          <w:tcPr>
            <w:tcW w:w="1417" w:type="dxa"/>
            <w:tcBorders>
              <w:top w:val="single" w:sz="4" w:space="0" w:color="auto"/>
              <w:left w:val="single" w:sz="4" w:space="0" w:color="auto"/>
              <w:bottom w:val="single" w:sz="4" w:space="0" w:color="auto"/>
              <w:right w:val="single" w:sz="4" w:space="0" w:color="auto"/>
            </w:tcBorders>
            <w:vAlign w:val="center"/>
          </w:tcPr>
          <w:p w14:paraId="789593E7" w14:textId="72321B08" w:rsidR="001B6553" w:rsidRPr="003A2F86" w:rsidRDefault="001B6553" w:rsidP="001B6553">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fldChar w:fldCharType="begin"/>
            </w:r>
            <w:r>
              <w:rPr>
                <w:rFonts w:ascii="Arial" w:eastAsia="Times New Roman" w:hAnsi="Arial" w:cs="Arial"/>
                <w:iCs/>
                <w:sz w:val="16"/>
                <w:szCs w:val="16"/>
                <w:lang w:eastAsia="en-US"/>
              </w:rPr>
              <w:instrText xml:space="preserve"> =SUM(LEFT) </w:instrText>
            </w:r>
            <w:r>
              <w:rPr>
                <w:rFonts w:ascii="Arial" w:eastAsia="Times New Roman" w:hAnsi="Arial" w:cs="Arial"/>
                <w:iCs/>
                <w:sz w:val="16"/>
                <w:szCs w:val="16"/>
                <w:lang w:eastAsia="en-US"/>
              </w:rPr>
              <w:fldChar w:fldCharType="separate"/>
            </w:r>
            <w:r w:rsidR="00F90AE6">
              <w:rPr>
                <w:rFonts w:ascii="Arial" w:eastAsia="Times New Roman" w:hAnsi="Arial" w:cs="Arial"/>
                <w:iCs/>
                <w:noProof/>
                <w:sz w:val="16"/>
                <w:szCs w:val="16"/>
                <w:lang w:eastAsia="en-US"/>
              </w:rPr>
              <w:t>51.918,67</w:t>
            </w:r>
            <w:r>
              <w:rPr>
                <w:rFonts w:ascii="Arial" w:eastAsia="Times New Roman" w:hAnsi="Arial" w:cs="Arial"/>
                <w:iCs/>
                <w:sz w:val="16"/>
                <w:szCs w:val="16"/>
                <w:lang w:eastAsia="en-US"/>
              </w:rPr>
              <w:fldChar w:fldCharType="end"/>
            </w:r>
          </w:p>
        </w:tc>
      </w:tr>
      <w:tr w:rsidR="001B6553" w:rsidRPr="003A2F86" w14:paraId="63A892F3" w14:textId="77777777" w:rsidTr="00AF60D5">
        <w:trPr>
          <w:jc w:val="center"/>
        </w:trPr>
        <w:tc>
          <w:tcPr>
            <w:tcW w:w="421" w:type="dxa"/>
            <w:vAlign w:val="center"/>
          </w:tcPr>
          <w:p w14:paraId="7C62A907" w14:textId="70CB7D2F" w:rsidR="001B6553" w:rsidRPr="003A2F86" w:rsidRDefault="001B6553" w:rsidP="001B6553">
            <w:pPr>
              <w:spacing w:after="0" w:line="240" w:lineRule="auto"/>
              <w:jc w:val="center"/>
              <w:rPr>
                <w:rFonts w:ascii="Arial" w:eastAsia="Times New Roman" w:hAnsi="Arial" w:cs="Arial"/>
                <w:iCs/>
                <w:sz w:val="14"/>
                <w:szCs w:val="14"/>
                <w:lang w:eastAsia="en-US"/>
              </w:rPr>
            </w:pPr>
            <w:r>
              <w:rPr>
                <w:rFonts w:ascii="Arial" w:eastAsia="Times New Roman" w:hAnsi="Arial" w:cs="Arial"/>
                <w:iCs/>
                <w:sz w:val="14"/>
                <w:szCs w:val="14"/>
                <w:lang w:eastAsia="en-US"/>
              </w:rPr>
              <w:t>5.</w:t>
            </w:r>
          </w:p>
        </w:tc>
        <w:tc>
          <w:tcPr>
            <w:tcW w:w="1275" w:type="dxa"/>
            <w:tcBorders>
              <w:bottom w:val="single" w:sz="4" w:space="0" w:color="auto"/>
            </w:tcBorders>
            <w:vAlign w:val="center"/>
          </w:tcPr>
          <w:p w14:paraId="6FFB5EF0" w14:textId="311F2DB1" w:rsidR="001B6553" w:rsidRPr="003A2F86" w:rsidRDefault="001B6553" w:rsidP="001B6553">
            <w:pPr>
              <w:spacing w:after="0" w:line="240" w:lineRule="auto"/>
              <w:rPr>
                <w:rFonts w:ascii="Arial" w:eastAsia="Times New Roman" w:hAnsi="Arial" w:cs="Arial"/>
                <w:iCs/>
                <w:sz w:val="16"/>
                <w:szCs w:val="16"/>
                <w:lang w:eastAsia="en-US"/>
              </w:rPr>
            </w:pPr>
            <w:r w:rsidRPr="003A2F86">
              <w:rPr>
                <w:rFonts w:ascii="Arial" w:eastAsia="Times New Roman" w:hAnsi="Arial" w:cs="Arial"/>
                <w:iCs/>
                <w:sz w:val="16"/>
                <w:szCs w:val="16"/>
                <w:lang w:eastAsia="en-US"/>
              </w:rPr>
              <w:t>Čistoća i zelenilo Konavle d.o.o. Čilipi</w:t>
            </w:r>
          </w:p>
        </w:tc>
        <w:tc>
          <w:tcPr>
            <w:tcW w:w="1276" w:type="dxa"/>
            <w:tcBorders>
              <w:top w:val="nil"/>
              <w:left w:val="nil"/>
              <w:bottom w:val="single" w:sz="4" w:space="0" w:color="auto"/>
              <w:right w:val="single" w:sz="4" w:space="0" w:color="auto"/>
            </w:tcBorders>
            <w:vAlign w:val="center"/>
          </w:tcPr>
          <w:p w14:paraId="1975FE86" w14:textId="0E80DBB6" w:rsidR="001B6553" w:rsidRPr="003A2F86" w:rsidRDefault="001B6553" w:rsidP="001B6553">
            <w:pPr>
              <w:autoSpaceDE w:val="0"/>
              <w:autoSpaceDN w:val="0"/>
              <w:adjustRightInd w:val="0"/>
              <w:spacing w:after="0" w:line="240" w:lineRule="auto"/>
              <w:jc w:val="center"/>
              <w:rPr>
                <w:rFonts w:ascii="Arial" w:eastAsia="Times New Roman" w:hAnsi="Arial" w:cs="Arial"/>
                <w:sz w:val="16"/>
                <w:szCs w:val="16"/>
              </w:rPr>
            </w:pPr>
            <w:r>
              <w:rPr>
                <w:rFonts w:ascii="Arial" w:eastAsia="Times New Roman" w:hAnsi="Arial" w:cs="Arial"/>
                <w:sz w:val="16"/>
                <w:szCs w:val="16"/>
              </w:rPr>
              <w:t>20.9.2024.</w:t>
            </w:r>
          </w:p>
        </w:tc>
        <w:tc>
          <w:tcPr>
            <w:tcW w:w="1985" w:type="dxa"/>
            <w:tcBorders>
              <w:top w:val="nil"/>
              <w:left w:val="nil"/>
              <w:bottom w:val="single" w:sz="8" w:space="0" w:color="000000"/>
              <w:right w:val="single" w:sz="8" w:space="0" w:color="000000"/>
            </w:tcBorders>
            <w:vAlign w:val="center"/>
          </w:tcPr>
          <w:p w14:paraId="5EB20C5B" w14:textId="54AE0251" w:rsidR="001B6553" w:rsidRPr="00AF60D5" w:rsidRDefault="001B6553" w:rsidP="001B6553">
            <w:pPr>
              <w:autoSpaceDE w:val="0"/>
              <w:autoSpaceDN w:val="0"/>
              <w:adjustRightInd w:val="0"/>
              <w:spacing w:after="0" w:line="240" w:lineRule="auto"/>
              <w:rPr>
                <w:sz w:val="14"/>
                <w:szCs w:val="14"/>
              </w:rPr>
            </w:pPr>
            <w:r w:rsidRPr="00AF60D5">
              <w:rPr>
                <w:rFonts w:ascii="Calibri" w:hAnsi="Calibri" w:cs="Calibri"/>
                <w:color w:val="000000"/>
                <w:sz w:val="14"/>
                <w:szCs w:val="14"/>
              </w:rPr>
              <w:t>PBZ-LEASING d.o.o. Zagreb</w:t>
            </w:r>
          </w:p>
        </w:tc>
        <w:tc>
          <w:tcPr>
            <w:tcW w:w="1275" w:type="dxa"/>
            <w:tcBorders>
              <w:top w:val="single" w:sz="4" w:space="0" w:color="auto"/>
              <w:left w:val="single" w:sz="4" w:space="0" w:color="auto"/>
              <w:bottom w:val="single" w:sz="4" w:space="0" w:color="auto"/>
              <w:right w:val="single" w:sz="4" w:space="0" w:color="auto"/>
            </w:tcBorders>
            <w:vAlign w:val="center"/>
          </w:tcPr>
          <w:p w14:paraId="6F90E94E" w14:textId="664549C2" w:rsidR="001B6553" w:rsidRPr="00AF60D5" w:rsidRDefault="001B6553" w:rsidP="001B6553">
            <w:pPr>
              <w:spacing w:after="0" w:line="240" w:lineRule="auto"/>
              <w:jc w:val="right"/>
              <w:rPr>
                <w:sz w:val="14"/>
                <w:szCs w:val="14"/>
              </w:rPr>
            </w:pPr>
            <w:r w:rsidRPr="00AF60D5">
              <w:rPr>
                <w:sz w:val="14"/>
                <w:szCs w:val="14"/>
              </w:rPr>
              <w:t>Komunalno vozilo tipa MAN, TGM 18.290 4x2 BB CH s nadogradn</w:t>
            </w:r>
            <w:r>
              <w:rPr>
                <w:sz w:val="14"/>
                <w:szCs w:val="14"/>
              </w:rPr>
              <w:t>j</w:t>
            </w:r>
            <w:r w:rsidRPr="00AF60D5">
              <w:rPr>
                <w:sz w:val="14"/>
                <w:szCs w:val="14"/>
              </w:rPr>
              <w:t>om HIAB</w:t>
            </w:r>
          </w:p>
        </w:tc>
        <w:tc>
          <w:tcPr>
            <w:tcW w:w="993" w:type="dxa"/>
            <w:tcBorders>
              <w:top w:val="single" w:sz="4" w:space="0" w:color="auto"/>
              <w:left w:val="single" w:sz="4" w:space="0" w:color="auto"/>
              <w:bottom w:val="single" w:sz="4" w:space="0" w:color="auto"/>
              <w:right w:val="single" w:sz="4" w:space="0" w:color="auto"/>
            </w:tcBorders>
            <w:vAlign w:val="center"/>
          </w:tcPr>
          <w:p w14:paraId="255344E8" w14:textId="440AE989" w:rsidR="001B6553" w:rsidRPr="003A2F86" w:rsidRDefault="001B6553" w:rsidP="001B6553">
            <w:pPr>
              <w:spacing w:after="0" w:line="240" w:lineRule="auto"/>
              <w:jc w:val="right"/>
              <w:rPr>
                <w:rFonts w:ascii="Arial" w:eastAsia="Times New Roman" w:hAnsi="Arial" w:cs="Arial"/>
                <w:iCs/>
                <w:sz w:val="14"/>
                <w:szCs w:val="14"/>
                <w:lang w:eastAsia="en-US"/>
              </w:rPr>
            </w:pPr>
            <w:r>
              <w:rPr>
                <w:rFonts w:ascii="Arial" w:eastAsia="Times New Roman" w:hAnsi="Arial" w:cs="Arial"/>
                <w:iCs/>
                <w:sz w:val="14"/>
                <w:szCs w:val="14"/>
                <w:lang w:eastAsia="en-US"/>
              </w:rPr>
              <w:t>22.10.2024.</w:t>
            </w:r>
          </w:p>
        </w:tc>
        <w:tc>
          <w:tcPr>
            <w:tcW w:w="1435" w:type="dxa"/>
            <w:tcBorders>
              <w:top w:val="single" w:sz="4" w:space="0" w:color="auto"/>
              <w:left w:val="single" w:sz="4" w:space="0" w:color="auto"/>
              <w:bottom w:val="single" w:sz="4" w:space="0" w:color="auto"/>
              <w:right w:val="single" w:sz="4" w:space="0" w:color="auto"/>
            </w:tcBorders>
            <w:vAlign w:val="center"/>
          </w:tcPr>
          <w:p w14:paraId="06873D98" w14:textId="238E6D66" w:rsidR="001B6553" w:rsidRPr="003A2F86" w:rsidRDefault="003F05A8" w:rsidP="001B6553">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275.000,00 €</w:t>
            </w:r>
          </w:p>
        </w:tc>
        <w:tc>
          <w:tcPr>
            <w:tcW w:w="974" w:type="dxa"/>
            <w:tcBorders>
              <w:top w:val="single" w:sz="4" w:space="0" w:color="auto"/>
              <w:left w:val="single" w:sz="4" w:space="0" w:color="auto"/>
              <w:bottom w:val="single" w:sz="4" w:space="0" w:color="auto"/>
              <w:right w:val="single" w:sz="4" w:space="0" w:color="auto"/>
            </w:tcBorders>
            <w:vAlign w:val="center"/>
          </w:tcPr>
          <w:p w14:paraId="0D52A45F" w14:textId="2FC4C4D1" w:rsidR="001B6553" w:rsidRPr="003A2F86" w:rsidRDefault="001B6553" w:rsidP="001B6553">
            <w:pPr>
              <w:spacing w:after="0" w:line="240" w:lineRule="auto"/>
              <w:jc w:val="center"/>
              <w:rPr>
                <w:rFonts w:ascii="Arial" w:eastAsia="Times New Roman" w:hAnsi="Arial" w:cs="Arial"/>
                <w:iCs/>
                <w:sz w:val="18"/>
                <w:szCs w:val="18"/>
                <w:lang w:eastAsia="en-US"/>
              </w:rPr>
            </w:pPr>
            <w:r>
              <w:rPr>
                <w:rFonts w:ascii="Arial" w:eastAsia="Times New Roman" w:hAnsi="Arial" w:cs="Arial"/>
                <w:iCs/>
                <w:sz w:val="18"/>
                <w:szCs w:val="18"/>
                <w:lang w:eastAsia="en-US"/>
              </w:rPr>
              <w:t>5 godina</w:t>
            </w:r>
          </w:p>
        </w:tc>
        <w:tc>
          <w:tcPr>
            <w:tcW w:w="851" w:type="dxa"/>
            <w:tcBorders>
              <w:top w:val="single" w:sz="4" w:space="0" w:color="auto"/>
              <w:left w:val="single" w:sz="4" w:space="0" w:color="auto"/>
              <w:bottom w:val="single" w:sz="4" w:space="0" w:color="auto"/>
              <w:right w:val="single" w:sz="4" w:space="0" w:color="auto"/>
            </w:tcBorders>
            <w:vAlign w:val="center"/>
          </w:tcPr>
          <w:p w14:paraId="3678942C" w14:textId="7CD009BE" w:rsidR="001B6553" w:rsidRPr="00AF60D5" w:rsidRDefault="001B6553" w:rsidP="001B6553">
            <w:pPr>
              <w:spacing w:after="0" w:line="240" w:lineRule="auto"/>
              <w:jc w:val="center"/>
              <w:rPr>
                <w:rFonts w:ascii="Arial" w:eastAsia="Times New Roman" w:hAnsi="Arial" w:cs="Arial"/>
                <w:iCs/>
                <w:sz w:val="14"/>
                <w:szCs w:val="14"/>
                <w:lang w:eastAsia="en-US"/>
              </w:rPr>
            </w:pPr>
            <w:r>
              <w:rPr>
                <w:rFonts w:ascii="Arial" w:eastAsia="Times New Roman" w:hAnsi="Arial" w:cs="Arial"/>
                <w:iCs/>
                <w:sz w:val="14"/>
                <w:szCs w:val="14"/>
                <w:lang w:eastAsia="en-US"/>
              </w:rPr>
              <w:t>5,14% fiksno godišnje</w:t>
            </w:r>
          </w:p>
        </w:tc>
        <w:tc>
          <w:tcPr>
            <w:tcW w:w="1417" w:type="dxa"/>
            <w:tcBorders>
              <w:top w:val="single" w:sz="4" w:space="0" w:color="auto"/>
              <w:left w:val="single" w:sz="4" w:space="0" w:color="auto"/>
              <w:bottom w:val="single" w:sz="4" w:space="0" w:color="auto"/>
              <w:right w:val="single" w:sz="4" w:space="0" w:color="auto"/>
            </w:tcBorders>
            <w:vAlign w:val="center"/>
          </w:tcPr>
          <w:p w14:paraId="4AD936A6" w14:textId="0CDC4A2B" w:rsidR="001B6553" w:rsidRPr="003A2F86" w:rsidRDefault="001B6553" w:rsidP="001B6553">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220.000,00</w:t>
            </w:r>
          </w:p>
        </w:tc>
        <w:tc>
          <w:tcPr>
            <w:tcW w:w="1560" w:type="dxa"/>
            <w:tcBorders>
              <w:top w:val="single" w:sz="4" w:space="0" w:color="auto"/>
              <w:left w:val="single" w:sz="4" w:space="0" w:color="auto"/>
              <w:bottom w:val="single" w:sz="4" w:space="0" w:color="auto"/>
              <w:right w:val="single" w:sz="4" w:space="0" w:color="auto"/>
            </w:tcBorders>
            <w:vAlign w:val="center"/>
          </w:tcPr>
          <w:p w14:paraId="0A124FE8" w14:textId="270969FA" w:rsidR="001B6553" w:rsidRPr="003A2F86" w:rsidRDefault="001B6553" w:rsidP="001B6553">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w:t>
            </w:r>
            <w:r w:rsidR="003F05A8">
              <w:rPr>
                <w:rFonts w:ascii="Arial" w:eastAsia="Times New Roman" w:hAnsi="Arial" w:cs="Arial"/>
                <w:iCs/>
                <w:sz w:val="16"/>
                <w:szCs w:val="16"/>
                <w:lang w:eastAsia="en-US"/>
              </w:rPr>
              <w:t>39.425,92</w:t>
            </w:r>
          </w:p>
        </w:tc>
        <w:tc>
          <w:tcPr>
            <w:tcW w:w="1417" w:type="dxa"/>
            <w:tcBorders>
              <w:top w:val="single" w:sz="4" w:space="0" w:color="auto"/>
              <w:left w:val="single" w:sz="4" w:space="0" w:color="auto"/>
              <w:bottom w:val="single" w:sz="4" w:space="0" w:color="auto"/>
              <w:right w:val="single" w:sz="4" w:space="0" w:color="auto"/>
            </w:tcBorders>
            <w:vAlign w:val="center"/>
          </w:tcPr>
          <w:p w14:paraId="7B902356" w14:textId="62A0584D" w:rsidR="001B6553" w:rsidRPr="003A2F86" w:rsidRDefault="001B6553" w:rsidP="001B6553">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fldChar w:fldCharType="begin"/>
            </w:r>
            <w:r>
              <w:rPr>
                <w:rFonts w:ascii="Arial" w:eastAsia="Times New Roman" w:hAnsi="Arial" w:cs="Arial"/>
                <w:iCs/>
                <w:sz w:val="16"/>
                <w:szCs w:val="16"/>
                <w:lang w:eastAsia="en-US"/>
              </w:rPr>
              <w:instrText xml:space="preserve"> =SUM(LEFT) </w:instrText>
            </w:r>
            <w:r>
              <w:rPr>
                <w:rFonts w:ascii="Arial" w:eastAsia="Times New Roman" w:hAnsi="Arial" w:cs="Arial"/>
                <w:iCs/>
                <w:sz w:val="16"/>
                <w:szCs w:val="16"/>
                <w:lang w:eastAsia="en-US"/>
              </w:rPr>
              <w:fldChar w:fldCharType="separate"/>
            </w:r>
            <w:r w:rsidR="003F05A8">
              <w:rPr>
                <w:rFonts w:ascii="Arial" w:eastAsia="Times New Roman" w:hAnsi="Arial" w:cs="Arial"/>
                <w:iCs/>
                <w:noProof/>
                <w:sz w:val="16"/>
                <w:szCs w:val="16"/>
                <w:lang w:eastAsia="en-US"/>
              </w:rPr>
              <w:t>180.574,08</w:t>
            </w:r>
            <w:r>
              <w:rPr>
                <w:rFonts w:ascii="Arial" w:eastAsia="Times New Roman" w:hAnsi="Arial" w:cs="Arial"/>
                <w:iCs/>
                <w:sz w:val="16"/>
                <w:szCs w:val="16"/>
                <w:lang w:eastAsia="en-US"/>
              </w:rPr>
              <w:fldChar w:fldCharType="end"/>
            </w:r>
          </w:p>
        </w:tc>
      </w:tr>
      <w:tr w:rsidR="002151FF" w:rsidRPr="003A2F86" w14:paraId="2512222A" w14:textId="77777777" w:rsidTr="00AF60D5">
        <w:trPr>
          <w:jc w:val="center"/>
        </w:trPr>
        <w:tc>
          <w:tcPr>
            <w:tcW w:w="421" w:type="dxa"/>
            <w:vAlign w:val="center"/>
          </w:tcPr>
          <w:p w14:paraId="6EBB9F34" w14:textId="22D16B2A" w:rsidR="002151FF" w:rsidRDefault="002151FF" w:rsidP="002151FF">
            <w:pPr>
              <w:spacing w:after="0" w:line="240" w:lineRule="auto"/>
              <w:jc w:val="center"/>
              <w:rPr>
                <w:rFonts w:ascii="Arial" w:eastAsia="Times New Roman" w:hAnsi="Arial" w:cs="Arial"/>
                <w:iCs/>
                <w:sz w:val="14"/>
                <w:szCs w:val="14"/>
                <w:lang w:eastAsia="en-US"/>
              </w:rPr>
            </w:pPr>
            <w:r>
              <w:rPr>
                <w:rFonts w:ascii="Arial" w:eastAsia="Times New Roman" w:hAnsi="Arial" w:cs="Arial"/>
                <w:iCs/>
                <w:sz w:val="14"/>
                <w:szCs w:val="14"/>
                <w:lang w:eastAsia="en-US"/>
              </w:rPr>
              <w:t>6.</w:t>
            </w:r>
          </w:p>
        </w:tc>
        <w:tc>
          <w:tcPr>
            <w:tcW w:w="1275" w:type="dxa"/>
            <w:tcBorders>
              <w:bottom w:val="single" w:sz="4" w:space="0" w:color="auto"/>
            </w:tcBorders>
            <w:vAlign w:val="center"/>
          </w:tcPr>
          <w:p w14:paraId="2ED791C4" w14:textId="70F11B2F" w:rsidR="002151FF" w:rsidRPr="003A2F86" w:rsidRDefault="002151FF" w:rsidP="002151FF">
            <w:pPr>
              <w:spacing w:after="0" w:line="240" w:lineRule="auto"/>
              <w:rPr>
                <w:rFonts w:ascii="Arial" w:eastAsia="Times New Roman" w:hAnsi="Arial" w:cs="Arial"/>
                <w:iCs/>
                <w:sz w:val="16"/>
                <w:szCs w:val="16"/>
                <w:lang w:eastAsia="en-US"/>
              </w:rPr>
            </w:pPr>
            <w:r w:rsidRPr="003A2F86">
              <w:rPr>
                <w:rFonts w:ascii="Arial" w:eastAsia="Times New Roman" w:hAnsi="Arial" w:cs="Arial"/>
                <w:iCs/>
                <w:sz w:val="16"/>
                <w:szCs w:val="16"/>
                <w:lang w:eastAsia="en-US"/>
              </w:rPr>
              <w:t>Čistoća i zelenilo Konavle d.o.o. Čilipi</w:t>
            </w:r>
          </w:p>
        </w:tc>
        <w:tc>
          <w:tcPr>
            <w:tcW w:w="1276" w:type="dxa"/>
            <w:tcBorders>
              <w:top w:val="nil"/>
              <w:left w:val="nil"/>
              <w:bottom w:val="single" w:sz="4" w:space="0" w:color="auto"/>
              <w:right w:val="single" w:sz="4" w:space="0" w:color="auto"/>
            </w:tcBorders>
            <w:vAlign w:val="center"/>
          </w:tcPr>
          <w:p w14:paraId="1EFFDA0E" w14:textId="2526D6E4" w:rsidR="002151FF" w:rsidRDefault="002151FF" w:rsidP="002151FF">
            <w:pPr>
              <w:autoSpaceDE w:val="0"/>
              <w:autoSpaceDN w:val="0"/>
              <w:adjustRightInd w:val="0"/>
              <w:spacing w:after="0" w:line="240" w:lineRule="auto"/>
              <w:jc w:val="center"/>
              <w:rPr>
                <w:rFonts w:ascii="Arial" w:eastAsia="Times New Roman" w:hAnsi="Arial" w:cs="Arial"/>
                <w:sz w:val="16"/>
                <w:szCs w:val="16"/>
              </w:rPr>
            </w:pPr>
            <w:r>
              <w:rPr>
                <w:rFonts w:ascii="Arial" w:eastAsia="Times New Roman" w:hAnsi="Arial" w:cs="Arial"/>
                <w:sz w:val="16"/>
                <w:szCs w:val="16"/>
              </w:rPr>
              <w:t>17.12.2025.</w:t>
            </w:r>
          </w:p>
        </w:tc>
        <w:tc>
          <w:tcPr>
            <w:tcW w:w="1985" w:type="dxa"/>
            <w:tcBorders>
              <w:top w:val="nil"/>
              <w:left w:val="nil"/>
              <w:bottom w:val="single" w:sz="8" w:space="0" w:color="000000"/>
              <w:right w:val="single" w:sz="8" w:space="0" w:color="000000"/>
            </w:tcBorders>
            <w:vAlign w:val="center"/>
          </w:tcPr>
          <w:p w14:paraId="585D1A5C" w14:textId="69341DCF" w:rsidR="002151FF" w:rsidRPr="00AF60D5" w:rsidRDefault="002151FF" w:rsidP="002151FF">
            <w:pPr>
              <w:autoSpaceDE w:val="0"/>
              <w:autoSpaceDN w:val="0"/>
              <w:adjustRightInd w:val="0"/>
              <w:spacing w:after="0" w:line="240" w:lineRule="auto"/>
              <w:rPr>
                <w:rFonts w:ascii="Calibri" w:hAnsi="Calibri" w:cs="Calibri"/>
                <w:color w:val="000000"/>
                <w:sz w:val="14"/>
                <w:szCs w:val="14"/>
              </w:rPr>
            </w:pPr>
            <w:r w:rsidRPr="00AF60D5">
              <w:rPr>
                <w:rFonts w:ascii="Calibri" w:hAnsi="Calibri" w:cs="Calibri"/>
                <w:color w:val="000000"/>
                <w:sz w:val="14"/>
                <w:szCs w:val="14"/>
              </w:rPr>
              <w:t>PBZ-LEASING d.o.o. Zagreb</w:t>
            </w:r>
          </w:p>
        </w:tc>
        <w:tc>
          <w:tcPr>
            <w:tcW w:w="1275" w:type="dxa"/>
            <w:tcBorders>
              <w:top w:val="single" w:sz="4" w:space="0" w:color="auto"/>
              <w:left w:val="single" w:sz="4" w:space="0" w:color="auto"/>
              <w:bottom w:val="single" w:sz="4" w:space="0" w:color="auto"/>
              <w:right w:val="single" w:sz="4" w:space="0" w:color="auto"/>
            </w:tcBorders>
            <w:vAlign w:val="center"/>
          </w:tcPr>
          <w:p w14:paraId="06C91C02" w14:textId="3CD1E45A" w:rsidR="002151FF" w:rsidRPr="00AF60D5" w:rsidRDefault="002151FF" w:rsidP="002151FF">
            <w:pPr>
              <w:spacing w:after="0" w:line="240" w:lineRule="auto"/>
              <w:jc w:val="right"/>
              <w:rPr>
                <w:sz w:val="14"/>
                <w:szCs w:val="14"/>
              </w:rPr>
            </w:pPr>
            <w:r>
              <w:rPr>
                <w:sz w:val="14"/>
                <w:szCs w:val="14"/>
              </w:rPr>
              <w:t>teretno</w:t>
            </w:r>
            <w:r w:rsidRPr="00AF60D5">
              <w:rPr>
                <w:sz w:val="14"/>
                <w:szCs w:val="14"/>
              </w:rPr>
              <w:t xml:space="preserve"> vozilo tipa MAN, TGM </w:t>
            </w:r>
            <w:r>
              <w:rPr>
                <w:sz w:val="14"/>
                <w:szCs w:val="14"/>
              </w:rPr>
              <w:t>15</w:t>
            </w:r>
            <w:r w:rsidRPr="00AF60D5">
              <w:rPr>
                <w:sz w:val="14"/>
                <w:szCs w:val="14"/>
              </w:rPr>
              <w:t xml:space="preserve">.290 4x2 </w:t>
            </w:r>
            <w:r>
              <w:rPr>
                <w:sz w:val="14"/>
                <w:szCs w:val="14"/>
              </w:rPr>
              <w:t>BL FAUN ROTOPRESS 512</w:t>
            </w:r>
          </w:p>
        </w:tc>
        <w:tc>
          <w:tcPr>
            <w:tcW w:w="993" w:type="dxa"/>
            <w:tcBorders>
              <w:top w:val="single" w:sz="4" w:space="0" w:color="auto"/>
              <w:left w:val="single" w:sz="4" w:space="0" w:color="auto"/>
              <w:bottom w:val="single" w:sz="4" w:space="0" w:color="auto"/>
              <w:right w:val="single" w:sz="4" w:space="0" w:color="auto"/>
            </w:tcBorders>
            <w:vAlign w:val="center"/>
          </w:tcPr>
          <w:p w14:paraId="6C44315F" w14:textId="53B700D6" w:rsidR="002151FF" w:rsidRDefault="002151FF" w:rsidP="002151FF">
            <w:pPr>
              <w:spacing w:after="0" w:line="240" w:lineRule="auto"/>
              <w:jc w:val="right"/>
              <w:rPr>
                <w:rFonts w:ascii="Arial" w:eastAsia="Times New Roman" w:hAnsi="Arial" w:cs="Arial"/>
                <w:iCs/>
                <w:sz w:val="14"/>
                <w:szCs w:val="14"/>
                <w:lang w:eastAsia="en-US"/>
              </w:rPr>
            </w:pPr>
            <w:r>
              <w:rPr>
                <w:rFonts w:ascii="Arial" w:eastAsia="Times New Roman" w:hAnsi="Arial" w:cs="Arial"/>
                <w:iCs/>
                <w:sz w:val="14"/>
                <w:szCs w:val="14"/>
                <w:lang w:eastAsia="en-US"/>
              </w:rPr>
              <w:t>14.01.2026.</w:t>
            </w:r>
          </w:p>
        </w:tc>
        <w:tc>
          <w:tcPr>
            <w:tcW w:w="1435" w:type="dxa"/>
            <w:tcBorders>
              <w:top w:val="single" w:sz="4" w:space="0" w:color="auto"/>
              <w:left w:val="single" w:sz="4" w:space="0" w:color="auto"/>
              <w:bottom w:val="single" w:sz="4" w:space="0" w:color="auto"/>
              <w:right w:val="single" w:sz="4" w:space="0" w:color="auto"/>
            </w:tcBorders>
            <w:vAlign w:val="center"/>
          </w:tcPr>
          <w:p w14:paraId="0F26EFA4" w14:textId="25E66008" w:rsidR="002151FF" w:rsidRPr="003A2F86" w:rsidRDefault="002151FF" w:rsidP="002151FF">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265.000,00 €</w:t>
            </w:r>
          </w:p>
        </w:tc>
        <w:tc>
          <w:tcPr>
            <w:tcW w:w="974" w:type="dxa"/>
            <w:tcBorders>
              <w:top w:val="single" w:sz="4" w:space="0" w:color="auto"/>
              <w:left w:val="single" w:sz="4" w:space="0" w:color="auto"/>
              <w:bottom w:val="single" w:sz="4" w:space="0" w:color="auto"/>
              <w:right w:val="single" w:sz="4" w:space="0" w:color="auto"/>
            </w:tcBorders>
            <w:vAlign w:val="center"/>
          </w:tcPr>
          <w:p w14:paraId="63C4303B" w14:textId="73E90E87" w:rsidR="002151FF" w:rsidRDefault="002151FF" w:rsidP="002151FF">
            <w:pPr>
              <w:spacing w:after="0" w:line="240" w:lineRule="auto"/>
              <w:jc w:val="center"/>
              <w:rPr>
                <w:rFonts w:ascii="Arial" w:eastAsia="Times New Roman" w:hAnsi="Arial" w:cs="Arial"/>
                <w:iCs/>
                <w:sz w:val="18"/>
                <w:szCs w:val="18"/>
                <w:lang w:eastAsia="en-US"/>
              </w:rPr>
            </w:pPr>
            <w:r>
              <w:rPr>
                <w:rFonts w:ascii="Arial" w:eastAsia="Times New Roman" w:hAnsi="Arial" w:cs="Arial"/>
                <w:iCs/>
                <w:sz w:val="18"/>
                <w:szCs w:val="18"/>
                <w:lang w:eastAsia="en-US"/>
              </w:rPr>
              <w:t>5 godina</w:t>
            </w:r>
          </w:p>
        </w:tc>
        <w:tc>
          <w:tcPr>
            <w:tcW w:w="851" w:type="dxa"/>
            <w:tcBorders>
              <w:top w:val="single" w:sz="4" w:space="0" w:color="auto"/>
              <w:left w:val="single" w:sz="4" w:space="0" w:color="auto"/>
              <w:bottom w:val="single" w:sz="4" w:space="0" w:color="auto"/>
              <w:right w:val="single" w:sz="4" w:space="0" w:color="auto"/>
            </w:tcBorders>
            <w:vAlign w:val="center"/>
          </w:tcPr>
          <w:p w14:paraId="787B3679" w14:textId="27C01ACC" w:rsidR="002151FF" w:rsidRDefault="002151FF" w:rsidP="002151FF">
            <w:pPr>
              <w:spacing w:after="0" w:line="240" w:lineRule="auto"/>
              <w:jc w:val="center"/>
              <w:rPr>
                <w:rFonts w:ascii="Arial" w:eastAsia="Times New Roman" w:hAnsi="Arial" w:cs="Arial"/>
                <w:iCs/>
                <w:sz w:val="14"/>
                <w:szCs w:val="14"/>
                <w:lang w:eastAsia="en-US"/>
              </w:rPr>
            </w:pPr>
            <w:r>
              <w:rPr>
                <w:rFonts w:ascii="Arial" w:eastAsia="Times New Roman" w:hAnsi="Arial" w:cs="Arial"/>
                <w:iCs/>
                <w:sz w:val="14"/>
                <w:szCs w:val="14"/>
                <w:lang w:eastAsia="en-US"/>
              </w:rPr>
              <w:t>5,14% fiksno godišnje</w:t>
            </w:r>
          </w:p>
        </w:tc>
        <w:tc>
          <w:tcPr>
            <w:tcW w:w="1417" w:type="dxa"/>
            <w:tcBorders>
              <w:top w:val="single" w:sz="4" w:space="0" w:color="auto"/>
              <w:left w:val="single" w:sz="4" w:space="0" w:color="auto"/>
              <w:bottom w:val="single" w:sz="4" w:space="0" w:color="auto"/>
              <w:right w:val="single" w:sz="4" w:space="0" w:color="auto"/>
            </w:tcBorders>
            <w:vAlign w:val="center"/>
          </w:tcPr>
          <w:p w14:paraId="29E5C781" w14:textId="761C7798" w:rsidR="002151FF" w:rsidRDefault="00F85C94" w:rsidP="002151FF">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0,00</w:t>
            </w:r>
          </w:p>
        </w:tc>
        <w:tc>
          <w:tcPr>
            <w:tcW w:w="1560" w:type="dxa"/>
            <w:tcBorders>
              <w:top w:val="single" w:sz="4" w:space="0" w:color="auto"/>
              <w:left w:val="single" w:sz="4" w:space="0" w:color="auto"/>
              <w:bottom w:val="single" w:sz="4" w:space="0" w:color="auto"/>
              <w:right w:val="single" w:sz="4" w:space="0" w:color="auto"/>
            </w:tcBorders>
            <w:vAlign w:val="center"/>
          </w:tcPr>
          <w:p w14:paraId="6F2369F7" w14:textId="019E8301" w:rsidR="002151FF" w:rsidRDefault="00F85C94" w:rsidP="002151FF">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0,00</w:t>
            </w:r>
          </w:p>
        </w:tc>
        <w:tc>
          <w:tcPr>
            <w:tcW w:w="1417" w:type="dxa"/>
            <w:tcBorders>
              <w:top w:val="single" w:sz="4" w:space="0" w:color="auto"/>
              <w:left w:val="single" w:sz="4" w:space="0" w:color="auto"/>
              <w:bottom w:val="single" w:sz="4" w:space="0" w:color="auto"/>
              <w:right w:val="single" w:sz="4" w:space="0" w:color="auto"/>
            </w:tcBorders>
            <w:vAlign w:val="center"/>
          </w:tcPr>
          <w:p w14:paraId="3CA51B39" w14:textId="65FCE21C" w:rsidR="002151FF" w:rsidRDefault="00F85C94" w:rsidP="002151FF">
            <w:pPr>
              <w:spacing w:after="0" w:line="240" w:lineRule="auto"/>
              <w:jc w:val="right"/>
              <w:rPr>
                <w:rFonts w:ascii="Arial" w:eastAsia="Times New Roman" w:hAnsi="Arial" w:cs="Arial"/>
                <w:iCs/>
                <w:sz w:val="16"/>
                <w:szCs w:val="16"/>
                <w:lang w:eastAsia="en-US"/>
              </w:rPr>
            </w:pPr>
            <w:r>
              <w:rPr>
                <w:rFonts w:ascii="Arial" w:eastAsia="Times New Roman" w:hAnsi="Arial" w:cs="Arial"/>
                <w:iCs/>
                <w:sz w:val="16"/>
                <w:szCs w:val="16"/>
                <w:lang w:eastAsia="en-US"/>
              </w:rPr>
              <w:t>265.000,00</w:t>
            </w:r>
          </w:p>
        </w:tc>
      </w:tr>
      <w:tr w:rsidR="002151FF" w:rsidRPr="003A2F86" w14:paraId="27765636" w14:textId="77777777" w:rsidTr="00AF60D5">
        <w:trPr>
          <w:jc w:val="center"/>
        </w:trPr>
        <w:tc>
          <w:tcPr>
            <w:tcW w:w="421" w:type="dxa"/>
            <w:vAlign w:val="center"/>
          </w:tcPr>
          <w:p w14:paraId="58BAE02C" w14:textId="77777777" w:rsidR="002151FF" w:rsidRPr="003A2F86" w:rsidRDefault="002151FF" w:rsidP="002151FF">
            <w:pPr>
              <w:spacing w:after="0" w:line="240" w:lineRule="auto"/>
              <w:jc w:val="center"/>
              <w:rPr>
                <w:rFonts w:ascii="Arial" w:eastAsia="Times New Roman" w:hAnsi="Arial" w:cs="Arial"/>
                <w:b/>
                <w:iCs/>
                <w:sz w:val="18"/>
                <w:szCs w:val="16"/>
                <w:lang w:eastAsia="en-US"/>
              </w:rPr>
            </w:pPr>
          </w:p>
        </w:tc>
        <w:tc>
          <w:tcPr>
            <w:tcW w:w="1275" w:type="dxa"/>
            <w:tcBorders>
              <w:top w:val="single" w:sz="4" w:space="0" w:color="auto"/>
              <w:left w:val="nil"/>
              <w:bottom w:val="single" w:sz="8" w:space="0" w:color="000000"/>
              <w:right w:val="single" w:sz="8" w:space="0" w:color="000000"/>
            </w:tcBorders>
            <w:vAlign w:val="center"/>
          </w:tcPr>
          <w:p w14:paraId="1436DE57" w14:textId="7BB7273C" w:rsidR="002151FF" w:rsidRPr="00AF60D5" w:rsidRDefault="002151FF" w:rsidP="002151FF">
            <w:pPr>
              <w:spacing w:after="0" w:line="240" w:lineRule="auto"/>
              <w:rPr>
                <w:rFonts w:ascii="Arial" w:eastAsia="Times New Roman" w:hAnsi="Arial" w:cs="Arial"/>
                <w:b/>
                <w:iCs/>
                <w:sz w:val="16"/>
                <w:szCs w:val="16"/>
                <w:lang w:eastAsia="en-US"/>
              </w:rPr>
            </w:pPr>
            <w:r w:rsidRPr="00AF60D5">
              <w:rPr>
                <w:rFonts w:ascii="Arial" w:hAnsi="Arial" w:cs="Arial"/>
                <w:b/>
                <w:bCs/>
                <w:color w:val="000000"/>
                <w:sz w:val="16"/>
                <w:szCs w:val="16"/>
              </w:rPr>
              <w:t xml:space="preserve">SVEUKUPNO </w:t>
            </w:r>
          </w:p>
        </w:tc>
        <w:tc>
          <w:tcPr>
            <w:tcW w:w="1276" w:type="dxa"/>
            <w:tcBorders>
              <w:top w:val="single" w:sz="4" w:space="0" w:color="auto"/>
              <w:left w:val="nil"/>
              <w:bottom w:val="single" w:sz="8" w:space="0" w:color="000000"/>
              <w:right w:val="single" w:sz="8" w:space="0" w:color="000000"/>
            </w:tcBorders>
            <w:vAlign w:val="center"/>
          </w:tcPr>
          <w:p w14:paraId="17FC67BB" w14:textId="3C692A59" w:rsidR="002151FF" w:rsidRPr="003A2F86" w:rsidRDefault="002151FF" w:rsidP="002151FF">
            <w:pPr>
              <w:spacing w:after="0" w:line="240" w:lineRule="auto"/>
              <w:rPr>
                <w:rFonts w:ascii="Arial" w:eastAsia="Times New Roman" w:hAnsi="Arial" w:cs="Arial"/>
                <w:b/>
                <w:iCs/>
                <w:sz w:val="18"/>
                <w:szCs w:val="16"/>
                <w:lang w:eastAsia="en-US"/>
              </w:rPr>
            </w:pPr>
            <w:r>
              <w:rPr>
                <w:rFonts w:ascii="Arial" w:hAnsi="Arial" w:cs="Arial"/>
                <w:b/>
                <w:bCs/>
                <w:color w:val="000000"/>
                <w:sz w:val="18"/>
                <w:szCs w:val="18"/>
              </w:rPr>
              <w:t> </w:t>
            </w:r>
          </w:p>
        </w:tc>
        <w:tc>
          <w:tcPr>
            <w:tcW w:w="1985" w:type="dxa"/>
            <w:tcBorders>
              <w:top w:val="single" w:sz="4" w:space="0" w:color="auto"/>
              <w:left w:val="nil"/>
              <w:bottom w:val="single" w:sz="8" w:space="0" w:color="000000"/>
              <w:right w:val="single" w:sz="8" w:space="0" w:color="000000"/>
            </w:tcBorders>
            <w:vAlign w:val="center"/>
          </w:tcPr>
          <w:p w14:paraId="49242648" w14:textId="298A746C" w:rsidR="002151FF" w:rsidRPr="003A2F86" w:rsidRDefault="002151FF" w:rsidP="002151FF">
            <w:pPr>
              <w:spacing w:after="0" w:line="240" w:lineRule="auto"/>
              <w:rPr>
                <w:rFonts w:ascii="Arial" w:eastAsia="Times New Roman" w:hAnsi="Arial" w:cs="Arial"/>
                <w:b/>
                <w:iCs/>
                <w:sz w:val="18"/>
                <w:szCs w:val="16"/>
                <w:lang w:eastAsia="en-US"/>
              </w:rPr>
            </w:pPr>
            <w:r>
              <w:rPr>
                <w:rFonts w:ascii="Arial" w:hAnsi="Arial" w:cs="Arial"/>
                <w:b/>
                <w:bCs/>
                <w:color w:val="000000"/>
                <w:sz w:val="18"/>
                <w:szCs w:val="18"/>
              </w:rPr>
              <w:t> </w:t>
            </w:r>
          </w:p>
        </w:tc>
        <w:tc>
          <w:tcPr>
            <w:tcW w:w="1275" w:type="dxa"/>
            <w:tcBorders>
              <w:top w:val="single" w:sz="4" w:space="0" w:color="auto"/>
              <w:left w:val="nil"/>
              <w:bottom w:val="single" w:sz="8" w:space="0" w:color="000000"/>
              <w:right w:val="single" w:sz="8" w:space="0" w:color="000000"/>
            </w:tcBorders>
            <w:vAlign w:val="center"/>
          </w:tcPr>
          <w:p w14:paraId="0ADD7E96" w14:textId="3FA10FC7" w:rsidR="002151FF" w:rsidRPr="003A2F86" w:rsidRDefault="002151FF" w:rsidP="002151FF">
            <w:pPr>
              <w:spacing w:after="0" w:line="240" w:lineRule="auto"/>
              <w:jc w:val="right"/>
              <w:rPr>
                <w:rFonts w:ascii="Arial" w:eastAsia="Times New Roman" w:hAnsi="Arial" w:cs="Arial"/>
                <w:b/>
                <w:iCs/>
                <w:sz w:val="18"/>
                <w:szCs w:val="16"/>
                <w:lang w:eastAsia="en-US"/>
              </w:rPr>
            </w:pPr>
            <w:r>
              <w:rPr>
                <w:rFonts w:ascii="Arial" w:hAnsi="Arial" w:cs="Arial"/>
                <w:b/>
                <w:bCs/>
                <w:color w:val="000000"/>
                <w:sz w:val="18"/>
                <w:szCs w:val="18"/>
              </w:rPr>
              <w:t> </w:t>
            </w:r>
          </w:p>
        </w:tc>
        <w:tc>
          <w:tcPr>
            <w:tcW w:w="993" w:type="dxa"/>
            <w:tcBorders>
              <w:top w:val="single" w:sz="4" w:space="0" w:color="auto"/>
              <w:left w:val="nil"/>
              <w:bottom w:val="single" w:sz="8" w:space="0" w:color="000000"/>
              <w:right w:val="single" w:sz="8" w:space="0" w:color="000000"/>
            </w:tcBorders>
            <w:vAlign w:val="center"/>
          </w:tcPr>
          <w:p w14:paraId="6E4DFF94" w14:textId="20E71625" w:rsidR="002151FF" w:rsidRPr="003A2F86" w:rsidRDefault="002151FF" w:rsidP="002151FF">
            <w:pPr>
              <w:spacing w:after="0" w:line="240" w:lineRule="auto"/>
              <w:jc w:val="right"/>
              <w:rPr>
                <w:rFonts w:ascii="Arial" w:eastAsia="Times New Roman" w:hAnsi="Arial" w:cs="Arial"/>
                <w:b/>
                <w:iCs/>
                <w:sz w:val="18"/>
                <w:szCs w:val="16"/>
                <w:lang w:eastAsia="en-US"/>
              </w:rPr>
            </w:pPr>
            <w:r>
              <w:rPr>
                <w:rFonts w:ascii="Arial" w:hAnsi="Arial" w:cs="Arial"/>
                <w:b/>
                <w:bCs/>
                <w:color w:val="000000"/>
                <w:sz w:val="18"/>
                <w:szCs w:val="18"/>
              </w:rPr>
              <w:t> </w:t>
            </w:r>
          </w:p>
        </w:tc>
        <w:tc>
          <w:tcPr>
            <w:tcW w:w="1435" w:type="dxa"/>
            <w:tcBorders>
              <w:top w:val="single" w:sz="4" w:space="0" w:color="auto"/>
              <w:left w:val="nil"/>
              <w:bottom w:val="single" w:sz="8" w:space="0" w:color="000000"/>
              <w:right w:val="single" w:sz="8" w:space="0" w:color="000000"/>
            </w:tcBorders>
            <w:vAlign w:val="center"/>
          </w:tcPr>
          <w:p w14:paraId="20D14FB9" w14:textId="352C99DF" w:rsidR="002151FF" w:rsidRPr="003A2F86" w:rsidRDefault="00F85C94" w:rsidP="00F85C94">
            <w:pPr>
              <w:spacing w:after="0" w:line="240" w:lineRule="auto"/>
              <w:jc w:val="right"/>
              <w:rPr>
                <w:rFonts w:ascii="Arial" w:eastAsia="Times New Roman" w:hAnsi="Arial" w:cs="Arial"/>
                <w:b/>
                <w:iCs/>
                <w:sz w:val="18"/>
                <w:szCs w:val="16"/>
                <w:lang w:eastAsia="en-US"/>
              </w:rPr>
            </w:pPr>
            <w:r>
              <w:rPr>
                <w:rFonts w:ascii="Arial" w:hAnsi="Arial" w:cs="Arial"/>
                <w:b/>
                <w:bCs/>
                <w:color w:val="0070C0"/>
                <w:sz w:val="18"/>
                <w:szCs w:val="18"/>
              </w:rPr>
              <w:t>2.403.373,31</w:t>
            </w:r>
          </w:p>
        </w:tc>
        <w:tc>
          <w:tcPr>
            <w:tcW w:w="974" w:type="dxa"/>
            <w:tcBorders>
              <w:top w:val="single" w:sz="4" w:space="0" w:color="auto"/>
              <w:left w:val="nil"/>
              <w:bottom w:val="single" w:sz="8" w:space="0" w:color="000000"/>
              <w:right w:val="single" w:sz="8" w:space="0" w:color="000000"/>
            </w:tcBorders>
            <w:vAlign w:val="center"/>
          </w:tcPr>
          <w:p w14:paraId="18EC2EBF" w14:textId="4043CEEF" w:rsidR="002151FF" w:rsidRPr="003A2F86" w:rsidRDefault="002151FF" w:rsidP="002151FF">
            <w:pPr>
              <w:spacing w:after="0" w:line="240" w:lineRule="auto"/>
              <w:jc w:val="right"/>
              <w:rPr>
                <w:rFonts w:ascii="Arial" w:eastAsia="Times New Roman" w:hAnsi="Arial" w:cs="Arial"/>
                <w:b/>
                <w:iCs/>
                <w:sz w:val="18"/>
                <w:szCs w:val="16"/>
                <w:lang w:eastAsia="en-US"/>
              </w:rPr>
            </w:pPr>
            <w:r>
              <w:rPr>
                <w:rFonts w:ascii="Arial" w:hAnsi="Arial" w:cs="Arial"/>
                <w:b/>
                <w:bCs/>
                <w:color w:val="000000"/>
                <w:sz w:val="18"/>
                <w:szCs w:val="18"/>
              </w:rPr>
              <w:t> </w:t>
            </w:r>
          </w:p>
        </w:tc>
        <w:tc>
          <w:tcPr>
            <w:tcW w:w="851" w:type="dxa"/>
            <w:tcBorders>
              <w:top w:val="single" w:sz="4" w:space="0" w:color="auto"/>
              <w:left w:val="nil"/>
              <w:bottom w:val="single" w:sz="8" w:space="0" w:color="000000"/>
              <w:right w:val="single" w:sz="8" w:space="0" w:color="000000"/>
            </w:tcBorders>
            <w:vAlign w:val="center"/>
          </w:tcPr>
          <w:p w14:paraId="37CA1441" w14:textId="0466732E" w:rsidR="002151FF" w:rsidRPr="003A2F86" w:rsidRDefault="002151FF" w:rsidP="002151FF">
            <w:pPr>
              <w:spacing w:after="0" w:line="240" w:lineRule="auto"/>
              <w:jc w:val="right"/>
              <w:rPr>
                <w:rFonts w:ascii="Arial" w:eastAsia="Times New Roman" w:hAnsi="Arial" w:cs="Arial"/>
                <w:b/>
                <w:iCs/>
                <w:sz w:val="18"/>
                <w:szCs w:val="16"/>
                <w:lang w:eastAsia="en-US"/>
              </w:rPr>
            </w:pPr>
            <w:r>
              <w:rPr>
                <w:rFonts w:ascii="Arial" w:hAnsi="Arial" w:cs="Arial"/>
                <w:b/>
                <w:bCs/>
                <w:color w:val="000000"/>
                <w:sz w:val="18"/>
                <w:szCs w:val="18"/>
              </w:rPr>
              <w:t> </w:t>
            </w:r>
          </w:p>
        </w:tc>
        <w:tc>
          <w:tcPr>
            <w:tcW w:w="1417" w:type="dxa"/>
            <w:tcBorders>
              <w:top w:val="single" w:sz="4" w:space="0" w:color="auto"/>
              <w:left w:val="nil"/>
              <w:bottom w:val="single" w:sz="8" w:space="0" w:color="000000"/>
              <w:right w:val="single" w:sz="8" w:space="0" w:color="000000"/>
            </w:tcBorders>
            <w:vAlign w:val="center"/>
          </w:tcPr>
          <w:p w14:paraId="5E77C44C" w14:textId="5CE3ED75" w:rsidR="002151FF" w:rsidRPr="003A2F86" w:rsidRDefault="002151FF" w:rsidP="002151FF">
            <w:pPr>
              <w:spacing w:after="0" w:line="240" w:lineRule="auto"/>
              <w:jc w:val="right"/>
              <w:rPr>
                <w:rFonts w:ascii="Arial" w:eastAsia="Times New Roman" w:hAnsi="Arial" w:cs="Arial"/>
                <w:b/>
                <w:iCs/>
                <w:sz w:val="18"/>
                <w:szCs w:val="16"/>
                <w:lang w:eastAsia="en-US"/>
              </w:rPr>
            </w:pPr>
            <w:r>
              <w:rPr>
                <w:rFonts w:ascii="Arial" w:eastAsia="Times New Roman" w:hAnsi="Arial" w:cs="Arial"/>
                <w:b/>
                <w:iCs/>
                <w:sz w:val="18"/>
                <w:szCs w:val="16"/>
                <w:lang w:eastAsia="en-US"/>
              </w:rPr>
              <w:fldChar w:fldCharType="begin"/>
            </w:r>
            <w:r>
              <w:rPr>
                <w:rFonts w:ascii="Arial" w:eastAsia="Times New Roman" w:hAnsi="Arial" w:cs="Arial"/>
                <w:b/>
                <w:iCs/>
                <w:sz w:val="18"/>
                <w:szCs w:val="16"/>
                <w:lang w:eastAsia="en-US"/>
              </w:rPr>
              <w:instrText xml:space="preserve"> =SUM(ABOVE) </w:instrText>
            </w:r>
            <w:r>
              <w:rPr>
                <w:rFonts w:ascii="Arial" w:eastAsia="Times New Roman" w:hAnsi="Arial" w:cs="Arial"/>
                <w:b/>
                <w:iCs/>
                <w:sz w:val="18"/>
                <w:szCs w:val="16"/>
                <w:lang w:eastAsia="en-US"/>
              </w:rPr>
              <w:fldChar w:fldCharType="separate"/>
            </w:r>
            <w:r w:rsidR="00F85C94">
              <w:rPr>
                <w:rFonts w:ascii="Arial" w:eastAsia="Times New Roman" w:hAnsi="Arial" w:cs="Arial"/>
                <w:b/>
                <w:iCs/>
                <w:noProof/>
                <w:sz w:val="18"/>
                <w:szCs w:val="16"/>
                <w:lang w:eastAsia="en-US"/>
              </w:rPr>
              <w:t>1.298.779,07</w:t>
            </w:r>
            <w:r>
              <w:rPr>
                <w:rFonts w:ascii="Arial" w:eastAsia="Times New Roman" w:hAnsi="Arial" w:cs="Arial"/>
                <w:b/>
                <w:iCs/>
                <w:sz w:val="18"/>
                <w:szCs w:val="16"/>
                <w:lang w:eastAsia="en-US"/>
              </w:rPr>
              <w:fldChar w:fldCharType="end"/>
            </w:r>
          </w:p>
        </w:tc>
        <w:tc>
          <w:tcPr>
            <w:tcW w:w="1560" w:type="dxa"/>
            <w:tcBorders>
              <w:top w:val="single" w:sz="4" w:space="0" w:color="auto"/>
              <w:left w:val="nil"/>
              <w:bottom w:val="single" w:sz="8" w:space="0" w:color="000000"/>
              <w:right w:val="single" w:sz="8" w:space="0" w:color="000000"/>
            </w:tcBorders>
            <w:vAlign w:val="center"/>
          </w:tcPr>
          <w:p w14:paraId="33B28AC6" w14:textId="02F929FA" w:rsidR="002151FF" w:rsidRPr="003A2F86" w:rsidRDefault="002151FF" w:rsidP="002151FF">
            <w:pPr>
              <w:spacing w:after="0" w:line="240" w:lineRule="auto"/>
              <w:jc w:val="right"/>
              <w:rPr>
                <w:rFonts w:ascii="Arial" w:eastAsia="Times New Roman" w:hAnsi="Arial" w:cs="Arial"/>
                <w:b/>
                <w:iCs/>
                <w:sz w:val="18"/>
                <w:szCs w:val="16"/>
                <w:lang w:eastAsia="en-US"/>
              </w:rPr>
            </w:pPr>
            <w:r>
              <w:rPr>
                <w:rFonts w:ascii="Arial" w:eastAsia="Times New Roman" w:hAnsi="Arial" w:cs="Arial"/>
                <w:b/>
                <w:iCs/>
                <w:sz w:val="18"/>
                <w:szCs w:val="16"/>
                <w:lang w:eastAsia="en-US"/>
              </w:rPr>
              <w:fldChar w:fldCharType="begin"/>
            </w:r>
            <w:r>
              <w:rPr>
                <w:rFonts w:ascii="Arial" w:eastAsia="Times New Roman" w:hAnsi="Arial" w:cs="Arial"/>
                <w:b/>
                <w:iCs/>
                <w:sz w:val="18"/>
                <w:szCs w:val="16"/>
                <w:lang w:eastAsia="en-US"/>
              </w:rPr>
              <w:instrText xml:space="preserve"> =SUM(ABOVE) </w:instrText>
            </w:r>
            <w:r>
              <w:rPr>
                <w:rFonts w:ascii="Arial" w:eastAsia="Times New Roman" w:hAnsi="Arial" w:cs="Arial"/>
                <w:b/>
                <w:iCs/>
                <w:sz w:val="18"/>
                <w:szCs w:val="16"/>
                <w:lang w:eastAsia="en-US"/>
              </w:rPr>
              <w:fldChar w:fldCharType="separate"/>
            </w:r>
            <w:r w:rsidR="00F85C94">
              <w:rPr>
                <w:rFonts w:ascii="Arial" w:eastAsia="Times New Roman" w:hAnsi="Arial" w:cs="Arial"/>
                <w:b/>
                <w:iCs/>
                <w:noProof/>
                <w:sz w:val="18"/>
                <w:szCs w:val="16"/>
                <w:lang w:eastAsia="en-US"/>
              </w:rPr>
              <w:t>-246.712,78</w:t>
            </w:r>
            <w:r>
              <w:rPr>
                <w:rFonts w:ascii="Arial" w:eastAsia="Times New Roman" w:hAnsi="Arial" w:cs="Arial"/>
                <w:b/>
                <w:iCs/>
                <w:sz w:val="18"/>
                <w:szCs w:val="16"/>
                <w:lang w:eastAsia="en-US"/>
              </w:rPr>
              <w:fldChar w:fldCharType="end"/>
            </w:r>
          </w:p>
        </w:tc>
        <w:tc>
          <w:tcPr>
            <w:tcW w:w="1417" w:type="dxa"/>
            <w:tcBorders>
              <w:top w:val="single" w:sz="4" w:space="0" w:color="auto"/>
              <w:left w:val="nil"/>
              <w:bottom w:val="single" w:sz="8" w:space="0" w:color="000000"/>
              <w:right w:val="single" w:sz="8" w:space="0" w:color="000000"/>
            </w:tcBorders>
            <w:vAlign w:val="center"/>
          </w:tcPr>
          <w:p w14:paraId="6382AEBC" w14:textId="4DB310F3" w:rsidR="002151FF" w:rsidRPr="003A2F86" w:rsidRDefault="002151FF" w:rsidP="002151FF">
            <w:pPr>
              <w:spacing w:after="0" w:line="240" w:lineRule="auto"/>
              <w:jc w:val="right"/>
              <w:rPr>
                <w:rFonts w:ascii="Arial" w:eastAsia="Times New Roman" w:hAnsi="Arial" w:cs="Arial"/>
                <w:b/>
                <w:iCs/>
                <w:sz w:val="18"/>
                <w:szCs w:val="16"/>
                <w:lang w:eastAsia="en-US"/>
              </w:rPr>
            </w:pPr>
            <w:r>
              <w:rPr>
                <w:rFonts w:ascii="Arial" w:eastAsia="Times New Roman" w:hAnsi="Arial" w:cs="Arial"/>
                <w:b/>
                <w:iCs/>
                <w:sz w:val="18"/>
                <w:szCs w:val="16"/>
                <w:lang w:eastAsia="en-US"/>
              </w:rPr>
              <w:fldChar w:fldCharType="begin"/>
            </w:r>
            <w:r>
              <w:rPr>
                <w:rFonts w:ascii="Arial" w:eastAsia="Times New Roman" w:hAnsi="Arial" w:cs="Arial"/>
                <w:b/>
                <w:iCs/>
                <w:sz w:val="18"/>
                <w:szCs w:val="16"/>
                <w:lang w:eastAsia="en-US"/>
              </w:rPr>
              <w:instrText xml:space="preserve"> =SUM(ABOVE) </w:instrText>
            </w:r>
            <w:r>
              <w:rPr>
                <w:rFonts w:ascii="Arial" w:eastAsia="Times New Roman" w:hAnsi="Arial" w:cs="Arial"/>
                <w:b/>
                <w:iCs/>
                <w:sz w:val="18"/>
                <w:szCs w:val="16"/>
                <w:lang w:eastAsia="en-US"/>
              </w:rPr>
              <w:fldChar w:fldCharType="separate"/>
            </w:r>
            <w:r w:rsidR="00F85C94">
              <w:rPr>
                <w:rFonts w:ascii="Arial" w:eastAsia="Times New Roman" w:hAnsi="Arial" w:cs="Arial"/>
                <w:b/>
                <w:iCs/>
                <w:noProof/>
                <w:sz w:val="18"/>
                <w:szCs w:val="16"/>
                <w:lang w:eastAsia="en-US"/>
              </w:rPr>
              <w:t>1.317.066,29</w:t>
            </w:r>
            <w:r>
              <w:rPr>
                <w:rFonts w:ascii="Arial" w:eastAsia="Times New Roman" w:hAnsi="Arial" w:cs="Arial"/>
                <w:b/>
                <w:iCs/>
                <w:sz w:val="18"/>
                <w:szCs w:val="16"/>
                <w:lang w:eastAsia="en-US"/>
              </w:rPr>
              <w:fldChar w:fldCharType="end"/>
            </w:r>
          </w:p>
        </w:tc>
      </w:tr>
    </w:tbl>
    <w:p w14:paraId="01D62F63" w14:textId="77777777" w:rsidR="00A3648D" w:rsidRPr="003A2F86" w:rsidRDefault="00A3648D" w:rsidP="00A3648D">
      <w:pPr>
        <w:spacing w:after="0" w:line="240" w:lineRule="auto"/>
        <w:jc w:val="both"/>
        <w:rPr>
          <w:rFonts w:ascii="Arial" w:eastAsia="Calibri" w:hAnsi="Arial" w:cs="Arial"/>
          <w:i/>
          <w:iCs/>
          <w:sz w:val="18"/>
          <w:szCs w:val="18"/>
          <w:lang w:eastAsia="en-US"/>
        </w:rPr>
      </w:pPr>
      <w:r w:rsidRPr="003A2F86">
        <w:rPr>
          <w:rFonts w:ascii="Arial" w:eastAsia="Calibri" w:hAnsi="Arial" w:cs="Arial"/>
          <w:i/>
          <w:iCs/>
          <w:color w:val="007BB8"/>
          <w:sz w:val="18"/>
          <w:szCs w:val="18"/>
          <w:lang w:eastAsia="en-US"/>
        </w:rPr>
        <w:t>*</w:t>
      </w:r>
      <w:r w:rsidRPr="003A2F86">
        <w:rPr>
          <w:rFonts w:ascii="Arial" w:eastAsia="Calibri" w:hAnsi="Arial" w:cs="Arial"/>
          <w:i/>
          <w:iCs/>
          <w:sz w:val="18"/>
          <w:szCs w:val="18"/>
          <w:lang w:eastAsia="en-US"/>
        </w:rPr>
        <w:t xml:space="preserve"> Iznos zaduživanja u kunama preračunat u € primjenom fiksnog tečaja konverzije 1 EUR = 7,5345 kn</w:t>
      </w:r>
    </w:p>
    <w:p w14:paraId="10E48D4F" w14:textId="59D0EABB" w:rsidR="00A3648D" w:rsidRPr="00392B92" w:rsidRDefault="00A3648D" w:rsidP="00A3648D">
      <w:pPr>
        <w:spacing w:after="0" w:line="240" w:lineRule="auto"/>
        <w:jc w:val="both"/>
        <w:rPr>
          <w:rFonts w:ascii="Arial" w:eastAsia="Calibri" w:hAnsi="Arial" w:cs="Arial"/>
          <w:lang w:eastAsia="en-US"/>
        </w:rPr>
      </w:pPr>
    </w:p>
    <w:p w14:paraId="2B0DC6DA" w14:textId="62E3432C" w:rsidR="00A3648D" w:rsidRPr="00AC4C54" w:rsidRDefault="001D4EF4" w:rsidP="00A3648D">
      <w:pPr>
        <w:spacing w:after="0" w:line="240" w:lineRule="auto"/>
        <w:jc w:val="both"/>
        <w:rPr>
          <w:rFonts w:ascii="Arial" w:eastAsia="Times New Roman" w:hAnsi="Arial" w:cs="Arial"/>
          <w:iCs/>
          <w:sz w:val="20"/>
          <w:szCs w:val="20"/>
          <w:lang w:eastAsia="en-US"/>
        </w:rPr>
      </w:pPr>
      <w:r w:rsidRPr="00AC4C54">
        <w:rPr>
          <w:rFonts w:ascii="Arial" w:eastAsia="Times New Roman" w:hAnsi="Arial" w:cs="Arial"/>
          <w:iCs/>
          <w:sz w:val="20"/>
          <w:szCs w:val="20"/>
          <w:lang w:eastAsia="en-US"/>
        </w:rPr>
        <w:lastRenderedPageBreak/>
        <w:t>U</w:t>
      </w:r>
      <w:r w:rsidR="00A3648D" w:rsidRPr="00AC4C54">
        <w:rPr>
          <w:rFonts w:ascii="Arial" w:eastAsia="Times New Roman" w:hAnsi="Arial" w:cs="Arial"/>
          <w:iCs/>
          <w:sz w:val="20"/>
          <w:szCs w:val="20"/>
          <w:lang w:eastAsia="en-US"/>
        </w:rPr>
        <w:t xml:space="preserve"> 2019. </w:t>
      </w:r>
      <w:r w:rsidRPr="00AC4C54">
        <w:rPr>
          <w:rFonts w:ascii="Arial" w:eastAsia="Times New Roman" w:hAnsi="Arial" w:cs="Arial"/>
          <w:iCs/>
          <w:sz w:val="20"/>
          <w:szCs w:val="20"/>
          <w:lang w:eastAsia="en-US"/>
        </w:rPr>
        <w:t xml:space="preserve">Općina je izdala </w:t>
      </w:r>
      <w:r w:rsidR="00A3648D" w:rsidRPr="00AC4C54">
        <w:rPr>
          <w:rFonts w:ascii="Arial" w:eastAsia="Times New Roman" w:hAnsi="Arial" w:cs="Arial"/>
          <w:iCs/>
          <w:sz w:val="20"/>
          <w:szCs w:val="20"/>
          <w:lang w:eastAsia="en-US"/>
        </w:rPr>
        <w:t>dvije suglasnost za zaduživanje društvu u vlasništvu, Čistoća i zelenilo Konavle d.o.o. u ukupnom iznosu 11.195.312,50 kn</w:t>
      </w:r>
      <w:r w:rsidR="000C61D2" w:rsidRPr="00AC4C54">
        <w:rPr>
          <w:rFonts w:ascii="Arial" w:eastAsia="Times New Roman" w:hAnsi="Arial" w:cs="Arial"/>
          <w:iCs/>
          <w:sz w:val="20"/>
          <w:szCs w:val="20"/>
          <w:lang w:eastAsia="en-US"/>
        </w:rPr>
        <w:t xml:space="preserve"> / 1.483.805,50 €</w:t>
      </w:r>
      <w:r w:rsidR="006879CE" w:rsidRPr="00AC4C54">
        <w:rPr>
          <w:rFonts w:ascii="Arial" w:eastAsia="Times New Roman" w:hAnsi="Arial" w:cs="Arial"/>
          <w:iCs/>
          <w:sz w:val="20"/>
          <w:szCs w:val="20"/>
          <w:lang w:eastAsia="en-US"/>
        </w:rPr>
        <w:t xml:space="preserve">, te u 2023. godini jednu suglasnost u iznosu </w:t>
      </w:r>
      <w:r w:rsidR="00C15E68" w:rsidRPr="00AC4C54">
        <w:rPr>
          <w:rFonts w:ascii="Arial" w:eastAsia="Times New Roman" w:hAnsi="Arial" w:cs="Arial"/>
          <w:iCs/>
          <w:sz w:val="20"/>
          <w:szCs w:val="20"/>
          <w:lang w:eastAsia="en-US"/>
        </w:rPr>
        <w:t>282.197,60 €</w:t>
      </w:r>
      <w:r w:rsidR="009975CB" w:rsidRPr="00AC4C54">
        <w:rPr>
          <w:rFonts w:ascii="Arial" w:eastAsia="Times New Roman" w:hAnsi="Arial" w:cs="Arial"/>
          <w:iCs/>
          <w:sz w:val="20"/>
          <w:szCs w:val="20"/>
          <w:lang w:eastAsia="en-US"/>
        </w:rPr>
        <w:t xml:space="preserve"> (glavnica 254.375 € i kamate)</w:t>
      </w:r>
      <w:r w:rsidR="001D2396">
        <w:rPr>
          <w:rFonts w:ascii="Arial" w:eastAsia="Times New Roman" w:hAnsi="Arial" w:cs="Arial"/>
          <w:iCs/>
          <w:sz w:val="20"/>
          <w:szCs w:val="20"/>
          <w:lang w:eastAsia="en-US"/>
        </w:rPr>
        <w:t>, a</w:t>
      </w:r>
      <w:r w:rsidRPr="00AC4C54">
        <w:rPr>
          <w:rFonts w:ascii="Arial" w:eastAsia="Times New Roman" w:hAnsi="Arial" w:cs="Arial"/>
          <w:iCs/>
          <w:sz w:val="20"/>
          <w:szCs w:val="20"/>
          <w:lang w:eastAsia="en-US"/>
        </w:rPr>
        <w:t xml:space="preserve"> u 2024. suglasnost u iznosu </w:t>
      </w:r>
      <w:r w:rsidR="009975CB" w:rsidRPr="00AC4C54">
        <w:rPr>
          <w:rFonts w:ascii="Arial" w:eastAsia="Times New Roman" w:hAnsi="Arial" w:cs="Arial"/>
          <w:iCs/>
          <w:sz w:val="20"/>
          <w:szCs w:val="20"/>
          <w:lang w:eastAsia="en-US"/>
        </w:rPr>
        <w:t>132,505,04 € (glavnica 123.125 € i kamate)</w:t>
      </w:r>
      <w:r w:rsidR="00392B92" w:rsidRPr="00AC4C54">
        <w:rPr>
          <w:rFonts w:ascii="Arial" w:eastAsia="Times New Roman" w:hAnsi="Arial" w:cs="Arial"/>
          <w:iCs/>
          <w:sz w:val="20"/>
          <w:szCs w:val="20"/>
          <w:lang w:eastAsia="en-US"/>
        </w:rPr>
        <w:t xml:space="preserve"> i suglasnost u iznosu 305.068,40 € (glavnica 275.000 € i kamate).</w:t>
      </w:r>
      <w:r w:rsidR="001D2396">
        <w:rPr>
          <w:rFonts w:ascii="Arial" w:eastAsia="Times New Roman" w:hAnsi="Arial" w:cs="Arial"/>
          <w:iCs/>
          <w:sz w:val="20"/>
          <w:szCs w:val="20"/>
          <w:lang w:eastAsia="en-US"/>
        </w:rPr>
        <w:t xml:space="preserve"> U 2025. godini </w:t>
      </w:r>
      <w:r w:rsidR="001D2396" w:rsidRPr="00AC4C54">
        <w:rPr>
          <w:rFonts w:ascii="Arial" w:eastAsia="Times New Roman" w:hAnsi="Arial" w:cs="Arial"/>
          <w:iCs/>
          <w:sz w:val="20"/>
          <w:szCs w:val="20"/>
          <w:lang w:eastAsia="en-US"/>
        </w:rPr>
        <w:t>Općina je izdala suglasnost za zaduživanje društvu u vlasništvu, Čistoća i zelenilo Konavle d.o.o. u iznosu</w:t>
      </w:r>
      <w:r w:rsidR="001D2396">
        <w:rPr>
          <w:rFonts w:ascii="Arial" w:eastAsia="Times New Roman" w:hAnsi="Arial" w:cs="Arial"/>
          <w:iCs/>
          <w:sz w:val="20"/>
          <w:szCs w:val="20"/>
          <w:lang w:eastAsia="en-US"/>
        </w:rPr>
        <w:t xml:space="preserve"> 293.172,38 € (glavnica 265.000 € i kamate 28.172,38 €).</w:t>
      </w:r>
    </w:p>
    <w:p w14:paraId="739698C8" w14:textId="77777777" w:rsidR="00A3648D" w:rsidRPr="00AC4C54" w:rsidRDefault="00A3648D" w:rsidP="00A3648D">
      <w:pPr>
        <w:spacing w:after="0" w:line="240" w:lineRule="auto"/>
        <w:jc w:val="both"/>
        <w:rPr>
          <w:rFonts w:ascii="Arial" w:eastAsia="Calibri" w:hAnsi="Arial" w:cs="Arial"/>
          <w:sz w:val="20"/>
          <w:szCs w:val="20"/>
          <w:lang w:eastAsia="en-US"/>
        </w:rPr>
      </w:pPr>
    </w:p>
    <w:p w14:paraId="73702877" w14:textId="72CFAEE8" w:rsidR="00A3648D" w:rsidRPr="00AC4C54" w:rsidRDefault="00266D06" w:rsidP="00A3648D">
      <w:pPr>
        <w:shd w:val="clear" w:color="auto" w:fill="F2F2F2"/>
        <w:spacing w:after="0" w:line="240" w:lineRule="auto"/>
        <w:jc w:val="both"/>
        <w:rPr>
          <w:rFonts w:ascii="Arial" w:eastAsia="Calibri" w:hAnsi="Arial" w:cs="Arial"/>
          <w:b/>
          <w:sz w:val="20"/>
          <w:szCs w:val="20"/>
          <w:u w:val="single"/>
          <w:lang w:eastAsia="en-US"/>
        </w:rPr>
      </w:pPr>
      <w:r w:rsidRPr="00AC4C54">
        <w:rPr>
          <w:rFonts w:ascii="Arial" w:eastAsia="Calibri" w:hAnsi="Arial" w:cs="Arial"/>
          <w:b/>
          <w:sz w:val="20"/>
          <w:szCs w:val="20"/>
          <w:u w:val="single"/>
          <w:shd w:val="clear" w:color="auto" w:fill="F2F2F2"/>
          <w:lang w:eastAsia="en-US"/>
        </w:rPr>
        <w:t>1</w:t>
      </w:r>
      <w:r w:rsidR="00A3648D" w:rsidRPr="00AC4C54">
        <w:rPr>
          <w:rFonts w:ascii="Arial" w:eastAsia="Calibri" w:hAnsi="Arial" w:cs="Arial"/>
          <w:b/>
          <w:sz w:val="20"/>
          <w:szCs w:val="20"/>
          <w:u w:val="single"/>
          <w:shd w:val="clear" w:color="auto" w:fill="F2F2F2"/>
          <w:lang w:eastAsia="en-US"/>
        </w:rPr>
        <w:t xml:space="preserve">. </w:t>
      </w:r>
      <w:r w:rsidR="00A3648D" w:rsidRPr="00AC4C54">
        <w:rPr>
          <w:rFonts w:ascii="Arial" w:eastAsia="Calibri" w:hAnsi="Arial" w:cs="Arial"/>
          <w:b/>
          <w:sz w:val="20"/>
          <w:szCs w:val="20"/>
          <w:u w:val="single"/>
          <w:shd w:val="clear" w:color="auto" w:fill="F2F2F2"/>
          <w:lang w:eastAsia="en-US"/>
        </w:rPr>
        <w:tab/>
        <w:t xml:space="preserve">Suglasnost za zaduživanje društva ČISTOĆA I ZELENILO KONAVLE D.O.O. (investicija: </w:t>
      </w:r>
      <w:r w:rsidR="00A3648D" w:rsidRPr="00AC4C54">
        <w:rPr>
          <w:rFonts w:ascii="Arial" w:eastAsia="Calibri" w:hAnsi="Arial" w:cs="Arial"/>
          <w:b/>
          <w:sz w:val="20"/>
          <w:szCs w:val="20"/>
          <w:u w:val="single"/>
          <w:shd w:val="clear" w:color="auto" w:fill="F2F2F2"/>
        </w:rPr>
        <w:t xml:space="preserve">Nabava novog komunalnog vozila za odvoz smeća </w:t>
      </w:r>
      <w:r w:rsidR="00785C66" w:rsidRPr="00785C66">
        <w:rPr>
          <w:rFonts w:ascii="Arial" w:eastAsia="Calibri" w:hAnsi="Arial" w:cs="Arial"/>
          <w:b/>
          <w:bCs/>
          <w:sz w:val="20"/>
          <w:szCs w:val="20"/>
        </w:rPr>
        <w:t>s nadogradnjom (MAN TGL 12.250 + nadogradnja FARID T1s8)</w:t>
      </w:r>
      <w:r w:rsidR="00785C66" w:rsidRPr="00AC4C54">
        <w:rPr>
          <w:rFonts w:ascii="Arial" w:eastAsia="Calibri" w:hAnsi="Arial" w:cs="Arial"/>
          <w:sz w:val="20"/>
          <w:szCs w:val="20"/>
        </w:rPr>
        <w:t xml:space="preserve"> </w:t>
      </w:r>
      <w:r w:rsidR="00A3648D" w:rsidRPr="00AC4C54">
        <w:rPr>
          <w:rFonts w:ascii="Arial" w:eastAsia="Calibri" w:hAnsi="Arial" w:cs="Arial"/>
          <w:b/>
          <w:sz w:val="20"/>
          <w:szCs w:val="20"/>
          <w:u w:val="single"/>
          <w:shd w:val="clear" w:color="auto" w:fill="F2F2F2"/>
        </w:rPr>
        <w:t>putem financijskog leasinga – Erste&amp;Steiermärkisches-Leasing d.o.o.</w:t>
      </w:r>
      <w:r w:rsidR="00A3648D" w:rsidRPr="00AC4C54">
        <w:rPr>
          <w:rFonts w:ascii="Arial" w:eastAsia="Calibri" w:hAnsi="Arial" w:cs="Arial"/>
          <w:b/>
          <w:sz w:val="20"/>
          <w:szCs w:val="20"/>
          <w:u w:val="single"/>
        </w:rPr>
        <w:t>)</w:t>
      </w:r>
    </w:p>
    <w:p w14:paraId="30CD4828" w14:textId="77777777" w:rsidR="00A3648D" w:rsidRPr="00AC4C54" w:rsidRDefault="00A3648D" w:rsidP="00A3648D">
      <w:pPr>
        <w:spacing w:after="0" w:line="240" w:lineRule="auto"/>
        <w:jc w:val="both"/>
        <w:rPr>
          <w:rFonts w:ascii="Arial" w:eastAsia="Times New Roman" w:hAnsi="Arial" w:cs="Arial"/>
          <w:bCs/>
          <w:iCs/>
          <w:sz w:val="20"/>
          <w:szCs w:val="20"/>
          <w:lang w:eastAsia="en-US"/>
        </w:rPr>
      </w:pPr>
    </w:p>
    <w:p w14:paraId="4E55E1CD" w14:textId="77777777" w:rsidR="00A3648D" w:rsidRPr="00AC4C54" w:rsidRDefault="00A3648D" w:rsidP="00A3648D">
      <w:pPr>
        <w:spacing w:after="0" w:line="240" w:lineRule="auto"/>
        <w:jc w:val="both"/>
        <w:rPr>
          <w:rFonts w:ascii="Arial" w:eastAsia="Calibri" w:hAnsi="Arial" w:cs="Arial"/>
          <w:b/>
          <w:sz w:val="20"/>
          <w:szCs w:val="20"/>
        </w:rPr>
      </w:pPr>
      <w:r w:rsidRPr="00AC4C54">
        <w:rPr>
          <w:rFonts w:ascii="Arial" w:eastAsia="Times New Roman" w:hAnsi="Arial" w:cs="Arial"/>
          <w:b/>
          <w:sz w:val="20"/>
          <w:szCs w:val="20"/>
        </w:rPr>
        <w:t xml:space="preserve">Općinsko vijeće Općine Konavle je na 14. sjednici održanoj 28. lipnja 2019., </w:t>
      </w:r>
      <w:r w:rsidRPr="00AC4C54">
        <w:rPr>
          <w:rFonts w:ascii="Arial" w:eastAsia="Times New Roman" w:hAnsi="Arial" w:cs="Arial"/>
          <w:sz w:val="20"/>
          <w:szCs w:val="20"/>
        </w:rPr>
        <w:t xml:space="preserve">na temelju članka 31. Statuta Općine Konavle (Službeni glasnik Općine Konavle broj 6/14 – pročišćeni tekst, 4/16, 2/18) i članka 90. Zakona o proračunu </w:t>
      </w:r>
      <w:r w:rsidRPr="00AC4C54">
        <w:rPr>
          <w:rFonts w:ascii="Arial" w:eastAsia="Calibri" w:hAnsi="Arial" w:cs="Arial"/>
          <w:sz w:val="20"/>
          <w:szCs w:val="20"/>
        </w:rPr>
        <w:t xml:space="preserve">(Narodne novine broj 87/08, 136/12, 15/15) </w:t>
      </w:r>
      <w:r w:rsidRPr="00AC4C54">
        <w:rPr>
          <w:rFonts w:ascii="Arial" w:eastAsia="Calibri" w:hAnsi="Arial" w:cs="Arial"/>
          <w:b/>
          <w:sz w:val="20"/>
          <w:szCs w:val="20"/>
        </w:rPr>
        <w:t xml:space="preserve">donijelo Odluku o davanju suglasnosti za kreditno zaduživanje društva Čistoća i zelenilo Konavle d.o.o. Čilipi. </w:t>
      </w:r>
    </w:p>
    <w:p w14:paraId="4FC442F3" w14:textId="77777777" w:rsidR="00A3648D" w:rsidRPr="00AC4C54" w:rsidRDefault="00A3648D" w:rsidP="00A3648D">
      <w:pPr>
        <w:spacing w:after="0" w:line="240" w:lineRule="auto"/>
        <w:jc w:val="both"/>
        <w:rPr>
          <w:rFonts w:ascii="Arial" w:eastAsia="Calibri" w:hAnsi="Arial" w:cs="Arial"/>
          <w:sz w:val="20"/>
          <w:szCs w:val="20"/>
        </w:rPr>
      </w:pPr>
    </w:p>
    <w:p w14:paraId="37493713" w14:textId="2E6F5146" w:rsidR="00A3648D" w:rsidRPr="00AC4C54" w:rsidRDefault="00A3648D" w:rsidP="00A3648D">
      <w:pPr>
        <w:spacing w:after="0" w:line="240" w:lineRule="auto"/>
        <w:jc w:val="both"/>
        <w:rPr>
          <w:rFonts w:ascii="Arial" w:eastAsia="Calibri" w:hAnsi="Arial" w:cs="Arial"/>
          <w:sz w:val="20"/>
          <w:szCs w:val="20"/>
        </w:rPr>
      </w:pPr>
      <w:r w:rsidRPr="00785C66">
        <w:rPr>
          <w:rFonts w:ascii="Arial" w:eastAsia="Calibri" w:hAnsi="Arial" w:cs="Arial"/>
          <w:b/>
          <w:bCs/>
          <w:sz w:val="20"/>
          <w:szCs w:val="20"/>
        </w:rPr>
        <w:t>Nabava kamiona za odvoz smeća s nadogradnjom</w:t>
      </w:r>
      <w:r w:rsidRPr="00AC4C54">
        <w:rPr>
          <w:rFonts w:ascii="Arial" w:eastAsia="Calibri" w:hAnsi="Arial" w:cs="Arial"/>
          <w:sz w:val="20"/>
          <w:szCs w:val="20"/>
        </w:rPr>
        <w:t xml:space="preserve"> predstavlja značajan kapitalni projekt i od važnosti je za stanovnike. </w:t>
      </w:r>
      <w:r w:rsidRPr="00AC4C54">
        <w:rPr>
          <w:rFonts w:ascii="Arial" w:eastAsia="Times New Roman" w:hAnsi="Arial" w:cs="Arial"/>
          <w:sz w:val="20"/>
          <w:szCs w:val="20"/>
        </w:rPr>
        <w:t xml:space="preserve">Pravna osoba u vlasništvu Općine </w:t>
      </w:r>
      <w:r w:rsidRPr="00AC4C54">
        <w:rPr>
          <w:rFonts w:ascii="Arial" w:eastAsia="Calibri" w:hAnsi="Arial" w:cs="Arial"/>
          <w:sz w:val="20"/>
          <w:szCs w:val="20"/>
          <w:lang w:eastAsia="en-US"/>
        </w:rPr>
        <w:t xml:space="preserve">(Čistoća i zelenilo Konavle d.o.o.) </w:t>
      </w:r>
      <w:r w:rsidRPr="00AC4C54">
        <w:rPr>
          <w:rFonts w:ascii="Arial" w:eastAsia="Times New Roman" w:hAnsi="Arial" w:cs="Arial"/>
          <w:sz w:val="20"/>
          <w:szCs w:val="20"/>
        </w:rPr>
        <w:t>je provela otvoreni postupak nabave male vrijednosti za nabavu komunalnog vozila (postupak lipanj 2019.)</w:t>
      </w:r>
      <w:r w:rsidRPr="00AC4C54">
        <w:rPr>
          <w:rFonts w:ascii="Arial" w:eastAsia="Calibri" w:hAnsi="Arial" w:cs="Arial"/>
          <w:sz w:val="20"/>
          <w:szCs w:val="20"/>
          <w:lang w:eastAsia="en-US"/>
        </w:rPr>
        <w:t xml:space="preserve">. </w:t>
      </w:r>
    </w:p>
    <w:p w14:paraId="0ED2A2BB" w14:textId="77777777" w:rsidR="00A3648D" w:rsidRPr="00AC4C54" w:rsidRDefault="00A3648D" w:rsidP="00A3648D">
      <w:pPr>
        <w:spacing w:after="0" w:line="240" w:lineRule="auto"/>
        <w:jc w:val="both"/>
        <w:rPr>
          <w:rFonts w:ascii="Arial" w:eastAsia="Times New Roman" w:hAnsi="Arial" w:cs="Arial"/>
          <w:bCs/>
          <w:iCs/>
          <w:sz w:val="20"/>
          <w:szCs w:val="20"/>
          <w:lang w:eastAsia="en-US"/>
        </w:rPr>
      </w:pPr>
    </w:p>
    <w:p w14:paraId="41B996B5" w14:textId="5C3C6FBE" w:rsidR="00A3648D" w:rsidRPr="00AC4C54" w:rsidRDefault="00A3648D" w:rsidP="00A3648D">
      <w:pPr>
        <w:spacing w:after="0" w:line="240" w:lineRule="auto"/>
        <w:jc w:val="both"/>
        <w:rPr>
          <w:rFonts w:ascii="Arial" w:eastAsia="Times New Roman" w:hAnsi="Arial" w:cs="Arial"/>
          <w:bCs/>
          <w:iCs/>
          <w:sz w:val="20"/>
          <w:szCs w:val="20"/>
          <w:lang w:eastAsia="en-US"/>
        </w:rPr>
      </w:pPr>
      <w:r w:rsidRPr="00AC4C54">
        <w:rPr>
          <w:rFonts w:ascii="Arial" w:eastAsia="Times New Roman" w:hAnsi="Arial" w:cs="Arial"/>
          <w:iCs/>
          <w:sz w:val="20"/>
          <w:szCs w:val="20"/>
          <w:lang w:eastAsia="en-US"/>
        </w:rPr>
        <w:t xml:space="preserve">Kredit je zaključen 9.7.2019. s odabranim ponuditeljem (Erste&amp;Steiermärkische S-Leasing d.o.o. Zagreb) u iznosu </w:t>
      </w:r>
      <w:r w:rsidRPr="00785C66">
        <w:rPr>
          <w:rFonts w:ascii="Arial" w:eastAsia="Times New Roman" w:hAnsi="Arial" w:cs="Arial"/>
          <w:b/>
          <w:bCs/>
          <w:iCs/>
          <w:sz w:val="20"/>
          <w:szCs w:val="20"/>
          <w:lang w:eastAsia="en-US"/>
        </w:rPr>
        <w:t xml:space="preserve">1.195.312,50 kn </w:t>
      </w:r>
      <w:r w:rsidR="000C61D2" w:rsidRPr="00785C66">
        <w:rPr>
          <w:rFonts w:ascii="Arial" w:eastAsia="Times New Roman" w:hAnsi="Arial" w:cs="Arial"/>
          <w:b/>
          <w:bCs/>
          <w:iCs/>
          <w:sz w:val="20"/>
          <w:szCs w:val="20"/>
          <w:lang w:eastAsia="en-US"/>
        </w:rPr>
        <w:t>/ 158.645,23 €</w:t>
      </w:r>
      <w:r w:rsidR="000C61D2" w:rsidRPr="00AC4C54">
        <w:rPr>
          <w:rFonts w:ascii="Arial" w:eastAsia="Times New Roman" w:hAnsi="Arial" w:cs="Arial"/>
          <w:iCs/>
          <w:sz w:val="20"/>
          <w:szCs w:val="20"/>
          <w:lang w:eastAsia="en-US"/>
        </w:rPr>
        <w:t xml:space="preserve"> </w:t>
      </w:r>
      <w:r w:rsidRPr="00AC4C54">
        <w:rPr>
          <w:rFonts w:ascii="Arial" w:eastAsia="Times New Roman" w:hAnsi="Arial" w:cs="Arial"/>
          <w:iCs/>
          <w:sz w:val="20"/>
          <w:szCs w:val="20"/>
          <w:lang w:eastAsia="en-US"/>
        </w:rPr>
        <w:t xml:space="preserve">(dugoročni kunski kredit). Obračun leasing rate vrši se u mjesecu koji slijedi mjesecu u kojem je izvršena primopredaja objekta leasinga. Leasing rate dospijevaju u roku od 8 dana, najkasnije na datum dospijeća označen na računu. </w:t>
      </w:r>
      <w:r w:rsidRPr="00AC4C54">
        <w:rPr>
          <w:rFonts w:ascii="Arial" w:eastAsia="Times New Roman" w:hAnsi="Arial" w:cs="Arial"/>
          <w:bCs/>
          <w:iCs/>
          <w:sz w:val="20"/>
          <w:szCs w:val="20"/>
          <w:lang w:eastAsia="en-US"/>
        </w:rPr>
        <w:t xml:space="preserve">Redovna kamatna stopa je fiksna i iznosi 2,90% nominalna. Sredstva osiguranja leasinga je polica automobilskog kasko osiguranja i zadužnica primatelja leasinga. </w:t>
      </w:r>
      <w:r w:rsidRPr="00AC4C54">
        <w:rPr>
          <w:rFonts w:ascii="Arial" w:eastAsia="Times New Roman" w:hAnsi="Arial" w:cs="Arial"/>
          <w:bCs/>
          <w:iCs/>
          <w:sz w:val="20"/>
          <w:szCs w:val="20"/>
          <w:u w:val="single"/>
          <w:lang w:eastAsia="en-US"/>
        </w:rPr>
        <w:t>Krajnji rok povrata leasinga je bio 1.8.2024</w:t>
      </w:r>
      <w:r w:rsidRPr="00AC4C54">
        <w:rPr>
          <w:rFonts w:ascii="Arial" w:eastAsia="Times New Roman" w:hAnsi="Arial" w:cs="Arial"/>
          <w:bCs/>
          <w:iCs/>
          <w:sz w:val="20"/>
          <w:szCs w:val="20"/>
          <w:lang w:eastAsia="en-US"/>
        </w:rPr>
        <w:t xml:space="preserve">. (dodatkom ugovoru iz travnja 2020. produžen 6 mjeseci). Društvo je u srpnju 2019. podmirilo učešće za kredit u iznosu 179.296,88 kn. </w:t>
      </w:r>
    </w:p>
    <w:p w14:paraId="07D76F21" w14:textId="77777777" w:rsidR="00A3648D" w:rsidRPr="00AC4C54" w:rsidRDefault="00A3648D" w:rsidP="00A3648D">
      <w:pPr>
        <w:spacing w:after="0" w:line="240" w:lineRule="auto"/>
        <w:jc w:val="both"/>
        <w:rPr>
          <w:rFonts w:ascii="Arial" w:eastAsia="Times New Roman" w:hAnsi="Arial" w:cs="Arial"/>
          <w:bCs/>
          <w:iCs/>
          <w:sz w:val="20"/>
          <w:szCs w:val="20"/>
          <w:lang w:eastAsia="en-US"/>
        </w:rPr>
      </w:pPr>
    </w:p>
    <w:p w14:paraId="6ECF0280" w14:textId="77777777" w:rsidR="00A3648D" w:rsidRPr="00AC4C54" w:rsidRDefault="00A3648D" w:rsidP="00A3648D">
      <w:pPr>
        <w:spacing w:after="0" w:line="240" w:lineRule="auto"/>
        <w:jc w:val="both"/>
        <w:rPr>
          <w:rFonts w:ascii="Arial" w:eastAsia="Calibri" w:hAnsi="Arial" w:cs="Arial"/>
          <w:b/>
          <w:sz w:val="20"/>
          <w:szCs w:val="20"/>
          <w:u w:val="single"/>
          <w:lang w:eastAsia="en-US"/>
        </w:rPr>
      </w:pPr>
      <w:r w:rsidRPr="00AC4C54">
        <w:rPr>
          <w:rFonts w:ascii="Arial" w:eastAsia="Calibri" w:hAnsi="Arial" w:cs="Arial"/>
          <w:sz w:val="20"/>
          <w:szCs w:val="20"/>
          <w:lang w:eastAsia="en-US"/>
        </w:rPr>
        <w:t xml:space="preserve">Dana 16. travnja 2020. je s leasing društvom zaključen dodatak ugovoru o financijskom leasingu kojim je odgođena otplata leasing rata za 6 mjeseci (od travnja do konca rujna 2020., te se otplata nastavlja 1.10.2020., pa i konačan </w:t>
      </w:r>
      <w:r w:rsidRPr="00AC4C54">
        <w:rPr>
          <w:rFonts w:ascii="Arial" w:eastAsia="Calibri" w:hAnsi="Arial" w:cs="Arial"/>
          <w:b/>
          <w:sz w:val="20"/>
          <w:szCs w:val="20"/>
          <w:u w:val="single"/>
          <w:lang w:eastAsia="en-US"/>
        </w:rPr>
        <w:t>krajnji rok povrata leasinga je 1.2.2025.</w:t>
      </w:r>
    </w:p>
    <w:p w14:paraId="169FED93" w14:textId="77777777" w:rsidR="00A3648D" w:rsidRPr="00AC4C54" w:rsidRDefault="00A3648D" w:rsidP="00A3648D">
      <w:pPr>
        <w:spacing w:after="0" w:line="240" w:lineRule="auto"/>
        <w:jc w:val="both"/>
        <w:rPr>
          <w:rFonts w:ascii="Arial" w:eastAsia="Calibri" w:hAnsi="Arial" w:cs="Arial"/>
          <w:sz w:val="20"/>
          <w:szCs w:val="20"/>
          <w:lang w:eastAsia="en-US"/>
        </w:rPr>
      </w:pPr>
      <w:r w:rsidRPr="00AC4C54">
        <w:rPr>
          <w:rFonts w:ascii="Arial" w:eastAsia="Times New Roman" w:hAnsi="Arial" w:cs="Arial"/>
          <w:bCs/>
          <w:iCs/>
          <w:sz w:val="20"/>
          <w:szCs w:val="20"/>
          <w:lang w:eastAsia="en-US"/>
        </w:rPr>
        <w:t>U razdoblju 2019-2022. podmirena je glavnica u iznosu 681.688,66 kn, kamate u iznosu 59.500,49 kn i naknada za odgodu otplate kredita 19.683,81 kn, odnosno sveukupno 760.872,96 kn.</w:t>
      </w:r>
    </w:p>
    <w:p w14:paraId="1069EAA9" w14:textId="77777777" w:rsidR="00A3648D" w:rsidRPr="00AC4C54" w:rsidRDefault="00A3648D" w:rsidP="00A3648D">
      <w:pPr>
        <w:spacing w:after="0" w:line="240" w:lineRule="auto"/>
        <w:jc w:val="both"/>
        <w:rPr>
          <w:rFonts w:ascii="Arial" w:eastAsia="Times New Roman" w:hAnsi="Arial" w:cs="Arial"/>
          <w:bCs/>
          <w:iCs/>
          <w:sz w:val="20"/>
          <w:szCs w:val="20"/>
          <w:lang w:eastAsia="en-US"/>
        </w:rPr>
      </w:pPr>
    </w:p>
    <w:p w14:paraId="4A5C0918" w14:textId="77777777" w:rsidR="00A3648D" w:rsidRPr="00AC4C54" w:rsidRDefault="00A3648D" w:rsidP="00A3648D">
      <w:pPr>
        <w:spacing w:after="0" w:line="240" w:lineRule="auto"/>
        <w:jc w:val="both"/>
        <w:rPr>
          <w:rFonts w:ascii="Arial" w:eastAsia="Times New Roman" w:hAnsi="Arial" w:cs="Arial"/>
          <w:bCs/>
          <w:iCs/>
          <w:sz w:val="20"/>
          <w:szCs w:val="20"/>
          <w:lang w:eastAsia="en-US"/>
        </w:rPr>
      </w:pPr>
      <w:r w:rsidRPr="00AC4C54">
        <w:rPr>
          <w:rFonts w:ascii="Arial" w:eastAsia="Times New Roman" w:hAnsi="Arial" w:cs="Arial"/>
          <w:bCs/>
          <w:iCs/>
          <w:sz w:val="20"/>
          <w:szCs w:val="20"/>
          <w:lang w:eastAsia="en-US"/>
        </w:rPr>
        <w:t xml:space="preserve">Društvo je u 2022. otplatilo glavnicu u iznosu 226.071,10 kn i kamate u iznosu 18.462,02 kn. </w:t>
      </w:r>
    </w:p>
    <w:p w14:paraId="47D5C44C" w14:textId="77777777" w:rsidR="00A3648D" w:rsidRPr="00AC4C54" w:rsidRDefault="00A3648D" w:rsidP="00A3648D">
      <w:pPr>
        <w:spacing w:after="0" w:line="240" w:lineRule="auto"/>
        <w:jc w:val="both"/>
        <w:rPr>
          <w:rFonts w:ascii="Arial" w:eastAsia="Times New Roman" w:hAnsi="Arial" w:cs="Arial"/>
          <w:bCs/>
          <w:iCs/>
          <w:sz w:val="20"/>
          <w:szCs w:val="20"/>
          <w:lang w:eastAsia="en-US"/>
        </w:rPr>
      </w:pPr>
      <w:r w:rsidRPr="00AC4C54">
        <w:rPr>
          <w:rFonts w:ascii="Arial" w:eastAsia="Times New Roman" w:hAnsi="Arial" w:cs="Arial"/>
          <w:bCs/>
          <w:iCs/>
          <w:sz w:val="20"/>
          <w:szCs w:val="20"/>
          <w:lang w:eastAsia="en-US"/>
        </w:rPr>
        <w:t xml:space="preserve">Koncem 2022. </w:t>
      </w:r>
      <w:r w:rsidRPr="00AC4C54">
        <w:rPr>
          <w:rFonts w:ascii="Arial" w:eastAsia="Times New Roman" w:hAnsi="Arial" w:cs="Arial"/>
          <w:b/>
          <w:bCs/>
          <w:iCs/>
          <w:sz w:val="20"/>
          <w:szCs w:val="20"/>
          <w:lang w:eastAsia="en-US"/>
        </w:rPr>
        <w:t>preostala glavnica</w:t>
      </w:r>
      <w:r w:rsidRPr="00AC4C54">
        <w:rPr>
          <w:rFonts w:ascii="Arial" w:eastAsia="Times New Roman" w:hAnsi="Arial" w:cs="Arial"/>
          <w:bCs/>
          <w:iCs/>
          <w:sz w:val="20"/>
          <w:szCs w:val="20"/>
          <w:lang w:eastAsia="en-US"/>
        </w:rPr>
        <w:t xml:space="preserve"> kredita iznosi </w:t>
      </w:r>
      <w:r w:rsidRPr="00AC4C54">
        <w:rPr>
          <w:rFonts w:ascii="Arial" w:eastAsia="Times New Roman" w:hAnsi="Arial" w:cs="Arial"/>
          <w:b/>
          <w:bCs/>
          <w:iCs/>
          <w:sz w:val="20"/>
          <w:szCs w:val="20"/>
          <w:lang w:eastAsia="en-US"/>
        </w:rPr>
        <w:t>513.623,84</w:t>
      </w:r>
      <w:r w:rsidRPr="00AC4C54">
        <w:rPr>
          <w:rFonts w:ascii="Arial" w:eastAsia="Times New Roman" w:hAnsi="Arial" w:cs="Arial"/>
          <w:bCs/>
          <w:iCs/>
          <w:sz w:val="20"/>
          <w:szCs w:val="20"/>
          <w:lang w:eastAsia="en-US"/>
        </w:rPr>
        <w:t xml:space="preserve"> kn (68.169,60 €).</w:t>
      </w:r>
    </w:p>
    <w:p w14:paraId="6ED864A2" w14:textId="58AA2246" w:rsidR="00A3648D" w:rsidRPr="00AC4C54" w:rsidRDefault="00A3648D" w:rsidP="00A3648D">
      <w:pPr>
        <w:spacing w:after="0" w:line="240" w:lineRule="auto"/>
        <w:jc w:val="both"/>
        <w:rPr>
          <w:rFonts w:ascii="Arial" w:eastAsia="Times New Roman" w:hAnsi="Arial" w:cs="Arial"/>
          <w:bCs/>
          <w:iCs/>
          <w:sz w:val="20"/>
          <w:szCs w:val="20"/>
          <w:lang w:eastAsia="en-US"/>
        </w:rPr>
      </w:pPr>
      <w:r w:rsidRPr="00AC4C54">
        <w:rPr>
          <w:rFonts w:ascii="Arial" w:eastAsia="Times New Roman" w:hAnsi="Arial" w:cs="Arial"/>
          <w:bCs/>
          <w:iCs/>
          <w:sz w:val="20"/>
          <w:szCs w:val="20"/>
          <w:lang w:eastAsia="en-US"/>
        </w:rPr>
        <w:t xml:space="preserve">Društvo je u 2023. otplatilo glavnicu u iznosu </w:t>
      </w:r>
      <w:r w:rsidR="004C43F1" w:rsidRPr="00AC4C54">
        <w:rPr>
          <w:rFonts w:ascii="Arial" w:eastAsia="Times New Roman" w:hAnsi="Arial" w:cs="Arial"/>
          <w:bCs/>
          <w:iCs/>
          <w:sz w:val="20"/>
          <w:szCs w:val="20"/>
          <w:lang w:eastAsia="en-US"/>
        </w:rPr>
        <w:t>30.886,59</w:t>
      </w:r>
      <w:r w:rsidRPr="00AC4C54">
        <w:rPr>
          <w:rFonts w:ascii="Arial" w:eastAsia="Times New Roman" w:hAnsi="Arial" w:cs="Arial"/>
          <w:bCs/>
          <w:iCs/>
          <w:sz w:val="20"/>
          <w:szCs w:val="20"/>
          <w:lang w:eastAsia="en-US"/>
        </w:rPr>
        <w:t xml:space="preserve"> € i kamate </w:t>
      </w:r>
      <w:r w:rsidR="004C43F1" w:rsidRPr="00AC4C54">
        <w:rPr>
          <w:rFonts w:ascii="Arial" w:eastAsia="Times New Roman" w:hAnsi="Arial" w:cs="Arial"/>
          <w:bCs/>
          <w:iCs/>
          <w:sz w:val="20"/>
          <w:szCs w:val="20"/>
          <w:lang w:eastAsia="en-US"/>
        </w:rPr>
        <w:t>1.568,49</w:t>
      </w:r>
      <w:r w:rsidRPr="00AC4C54">
        <w:rPr>
          <w:rFonts w:ascii="Arial" w:eastAsia="Times New Roman" w:hAnsi="Arial" w:cs="Arial"/>
          <w:bCs/>
          <w:iCs/>
          <w:sz w:val="20"/>
          <w:szCs w:val="20"/>
          <w:lang w:eastAsia="en-US"/>
        </w:rPr>
        <w:t xml:space="preserve"> €, te koncem 2023. </w:t>
      </w:r>
      <w:r w:rsidRPr="00AC4C54">
        <w:rPr>
          <w:rFonts w:ascii="Arial" w:eastAsia="Times New Roman" w:hAnsi="Arial" w:cs="Arial"/>
          <w:b/>
          <w:bCs/>
          <w:iCs/>
          <w:sz w:val="20"/>
          <w:szCs w:val="20"/>
          <w:lang w:eastAsia="en-US"/>
        </w:rPr>
        <w:t>preostala glavnica</w:t>
      </w:r>
      <w:r w:rsidRPr="00AC4C54">
        <w:rPr>
          <w:rFonts w:ascii="Arial" w:eastAsia="Times New Roman" w:hAnsi="Arial" w:cs="Arial"/>
          <w:bCs/>
          <w:iCs/>
          <w:sz w:val="20"/>
          <w:szCs w:val="20"/>
          <w:lang w:eastAsia="en-US"/>
        </w:rPr>
        <w:t xml:space="preserve"> kredita iznosi </w:t>
      </w:r>
      <w:r w:rsidR="004C43F1" w:rsidRPr="00AC4C54">
        <w:rPr>
          <w:rFonts w:ascii="Arial" w:eastAsia="Times New Roman" w:hAnsi="Arial" w:cs="Arial"/>
          <w:b/>
          <w:iCs/>
          <w:sz w:val="20"/>
          <w:szCs w:val="20"/>
          <w:lang w:eastAsia="en-US"/>
        </w:rPr>
        <w:t>37.283,01</w:t>
      </w:r>
      <w:r w:rsidRPr="00AC4C54">
        <w:rPr>
          <w:rFonts w:ascii="Arial" w:eastAsia="Times New Roman" w:hAnsi="Arial" w:cs="Arial"/>
          <w:b/>
          <w:iCs/>
          <w:sz w:val="20"/>
          <w:szCs w:val="20"/>
          <w:lang w:eastAsia="en-US"/>
        </w:rPr>
        <w:t xml:space="preserve"> €.</w:t>
      </w:r>
    </w:p>
    <w:p w14:paraId="509BFC1B" w14:textId="5345336A" w:rsidR="00266D06" w:rsidRPr="00AC4C54" w:rsidRDefault="00266D06" w:rsidP="00266D06">
      <w:pPr>
        <w:spacing w:after="0" w:line="240" w:lineRule="auto"/>
        <w:jc w:val="both"/>
        <w:rPr>
          <w:rFonts w:ascii="Arial" w:eastAsia="Times New Roman" w:hAnsi="Arial" w:cs="Arial"/>
          <w:bCs/>
          <w:iCs/>
          <w:sz w:val="20"/>
          <w:szCs w:val="20"/>
          <w:lang w:eastAsia="en-US"/>
        </w:rPr>
      </w:pPr>
      <w:r w:rsidRPr="00AC4C54">
        <w:rPr>
          <w:rFonts w:ascii="Arial" w:eastAsia="Times New Roman" w:hAnsi="Arial" w:cs="Arial"/>
          <w:bCs/>
          <w:iCs/>
          <w:sz w:val="20"/>
          <w:szCs w:val="20"/>
          <w:lang w:eastAsia="en-US"/>
        </w:rPr>
        <w:t xml:space="preserve">Društvo je u 2024. otplatilo glavnicu u iznosu </w:t>
      </w:r>
      <w:r w:rsidR="00832352" w:rsidRPr="00AC4C54">
        <w:rPr>
          <w:rFonts w:ascii="Arial" w:eastAsia="Times New Roman" w:hAnsi="Arial" w:cs="Arial"/>
          <w:bCs/>
          <w:iCs/>
          <w:sz w:val="20"/>
          <w:szCs w:val="20"/>
          <w:lang w:eastAsia="en-US"/>
        </w:rPr>
        <w:t>31.794,29</w:t>
      </w:r>
      <w:r w:rsidRPr="00AC4C54">
        <w:rPr>
          <w:rFonts w:ascii="Arial" w:eastAsia="Times New Roman" w:hAnsi="Arial" w:cs="Arial"/>
          <w:bCs/>
          <w:iCs/>
          <w:sz w:val="20"/>
          <w:szCs w:val="20"/>
          <w:lang w:eastAsia="en-US"/>
        </w:rPr>
        <w:t xml:space="preserve"> € i kamate u iznosu </w:t>
      </w:r>
      <w:r w:rsidR="00832352" w:rsidRPr="00AC4C54">
        <w:rPr>
          <w:rFonts w:ascii="Arial" w:eastAsia="Times New Roman" w:hAnsi="Arial" w:cs="Arial"/>
          <w:bCs/>
          <w:iCs/>
          <w:sz w:val="20"/>
          <w:szCs w:val="20"/>
          <w:lang w:eastAsia="en-US"/>
        </w:rPr>
        <w:t>676,82</w:t>
      </w:r>
      <w:r w:rsidRPr="00AC4C54">
        <w:rPr>
          <w:rFonts w:ascii="Arial" w:eastAsia="Times New Roman" w:hAnsi="Arial" w:cs="Arial"/>
          <w:bCs/>
          <w:iCs/>
          <w:sz w:val="20"/>
          <w:szCs w:val="20"/>
          <w:lang w:eastAsia="en-US"/>
        </w:rPr>
        <w:t xml:space="preserve"> €, te koncem 2024. </w:t>
      </w:r>
      <w:r w:rsidRPr="00AC4C54">
        <w:rPr>
          <w:rFonts w:ascii="Arial" w:eastAsia="Times New Roman" w:hAnsi="Arial" w:cs="Arial"/>
          <w:b/>
          <w:bCs/>
          <w:iCs/>
          <w:sz w:val="20"/>
          <w:szCs w:val="20"/>
          <w:lang w:eastAsia="en-US"/>
        </w:rPr>
        <w:t>preostala glavnica</w:t>
      </w:r>
      <w:r w:rsidRPr="00AC4C54">
        <w:rPr>
          <w:rFonts w:ascii="Arial" w:eastAsia="Times New Roman" w:hAnsi="Arial" w:cs="Arial"/>
          <w:bCs/>
          <w:iCs/>
          <w:sz w:val="20"/>
          <w:szCs w:val="20"/>
          <w:lang w:eastAsia="en-US"/>
        </w:rPr>
        <w:t xml:space="preserve"> kredita iznosi </w:t>
      </w:r>
      <w:r w:rsidR="00832352" w:rsidRPr="00AC4C54">
        <w:rPr>
          <w:rFonts w:ascii="Arial" w:eastAsia="Times New Roman" w:hAnsi="Arial" w:cs="Arial"/>
          <w:b/>
          <w:iCs/>
          <w:sz w:val="20"/>
          <w:szCs w:val="20"/>
          <w:lang w:eastAsia="en-US"/>
        </w:rPr>
        <w:t>5.488,72</w:t>
      </w:r>
      <w:r w:rsidRPr="00AC4C54">
        <w:rPr>
          <w:rFonts w:ascii="Arial" w:eastAsia="Times New Roman" w:hAnsi="Arial" w:cs="Arial"/>
          <w:b/>
          <w:iCs/>
          <w:sz w:val="20"/>
          <w:szCs w:val="20"/>
          <w:lang w:eastAsia="en-US"/>
        </w:rPr>
        <w:t xml:space="preserve"> €.</w:t>
      </w:r>
    </w:p>
    <w:p w14:paraId="7E99908F" w14:textId="4B3938D1" w:rsidR="00A3648D" w:rsidRDefault="001B6553" w:rsidP="00A3648D">
      <w:pPr>
        <w:spacing w:after="0" w:line="240" w:lineRule="auto"/>
        <w:jc w:val="both"/>
        <w:rPr>
          <w:rFonts w:ascii="Arial" w:eastAsia="Calibri" w:hAnsi="Arial" w:cs="Arial"/>
          <w:sz w:val="20"/>
          <w:szCs w:val="20"/>
          <w:lang w:eastAsia="en-US"/>
        </w:rPr>
      </w:pPr>
      <w:r w:rsidRPr="00AC4C54">
        <w:rPr>
          <w:rFonts w:ascii="Arial" w:eastAsia="Times New Roman" w:hAnsi="Arial" w:cs="Arial"/>
          <w:bCs/>
          <w:iCs/>
          <w:sz w:val="20"/>
          <w:szCs w:val="20"/>
          <w:lang w:eastAsia="en-US"/>
        </w:rPr>
        <w:t>Društvo je u 20</w:t>
      </w:r>
      <w:r>
        <w:rPr>
          <w:rFonts w:ascii="Arial" w:eastAsia="Times New Roman" w:hAnsi="Arial" w:cs="Arial"/>
          <w:bCs/>
          <w:iCs/>
          <w:sz w:val="20"/>
          <w:szCs w:val="20"/>
          <w:lang w:eastAsia="en-US"/>
        </w:rPr>
        <w:t>25</w:t>
      </w:r>
      <w:r w:rsidRPr="00AC4C54">
        <w:rPr>
          <w:rFonts w:ascii="Arial" w:eastAsia="Times New Roman" w:hAnsi="Arial" w:cs="Arial"/>
          <w:bCs/>
          <w:iCs/>
          <w:sz w:val="20"/>
          <w:szCs w:val="20"/>
          <w:lang w:eastAsia="en-US"/>
        </w:rPr>
        <w:t xml:space="preserve">. </w:t>
      </w:r>
      <w:r>
        <w:rPr>
          <w:rFonts w:ascii="Arial" w:eastAsia="Times New Roman" w:hAnsi="Arial" w:cs="Arial"/>
          <w:bCs/>
          <w:iCs/>
          <w:sz w:val="20"/>
          <w:szCs w:val="20"/>
          <w:lang w:eastAsia="en-US"/>
        </w:rPr>
        <w:t xml:space="preserve">u cijelosti </w:t>
      </w:r>
      <w:r w:rsidRPr="00AC4C54">
        <w:rPr>
          <w:rFonts w:ascii="Arial" w:eastAsia="Times New Roman" w:hAnsi="Arial" w:cs="Arial"/>
          <w:bCs/>
          <w:iCs/>
          <w:sz w:val="20"/>
          <w:szCs w:val="20"/>
          <w:lang w:eastAsia="en-US"/>
        </w:rPr>
        <w:t xml:space="preserve">otplatilo glavnicu u iznosu </w:t>
      </w:r>
      <w:r>
        <w:rPr>
          <w:rFonts w:ascii="Arial" w:eastAsia="Times New Roman" w:hAnsi="Arial" w:cs="Arial"/>
          <w:bCs/>
          <w:iCs/>
          <w:sz w:val="20"/>
          <w:szCs w:val="20"/>
          <w:lang w:eastAsia="en-US"/>
        </w:rPr>
        <w:t>5.488,72</w:t>
      </w:r>
      <w:r w:rsidRPr="00AC4C54">
        <w:rPr>
          <w:rFonts w:ascii="Arial" w:eastAsia="Times New Roman" w:hAnsi="Arial" w:cs="Arial"/>
          <w:bCs/>
          <w:iCs/>
          <w:sz w:val="20"/>
          <w:szCs w:val="20"/>
          <w:lang w:eastAsia="en-US"/>
        </w:rPr>
        <w:t xml:space="preserve"> € i kamate u iznosu </w:t>
      </w:r>
      <w:r>
        <w:rPr>
          <w:rFonts w:ascii="Arial" w:eastAsia="Times New Roman" w:hAnsi="Arial" w:cs="Arial"/>
          <w:bCs/>
          <w:iCs/>
          <w:sz w:val="20"/>
          <w:szCs w:val="20"/>
          <w:lang w:eastAsia="en-US"/>
        </w:rPr>
        <w:t>25,49</w:t>
      </w:r>
      <w:r w:rsidRPr="00AC4C54">
        <w:rPr>
          <w:rFonts w:ascii="Arial" w:eastAsia="Times New Roman" w:hAnsi="Arial" w:cs="Arial"/>
          <w:bCs/>
          <w:iCs/>
          <w:sz w:val="20"/>
          <w:szCs w:val="20"/>
          <w:lang w:eastAsia="en-US"/>
        </w:rPr>
        <w:t xml:space="preserve"> €</w:t>
      </w:r>
      <w:r>
        <w:rPr>
          <w:rFonts w:ascii="Arial" w:eastAsia="Times New Roman" w:hAnsi="Arial" w:cs="Arial"/>
          <w:bCs/>
          <w:iCs/>
          <w:sz w:val="20"/>
          <w:szCs w:val="20"/>
          <w:lang w:eastAsia="en-US"/>
        </w:rPr>
        <w:t>.</w:t>
      </w:r>
    </w:p>
    <w:p w14:paraId="1C4C00F4" w14:textId="77777777" w:rsidR="001B6553" w:rsidRDefault="001B6553" w:rsidP="00A3648D">
      <w:pPr>
        <w:spacing w:after="0" w:line="240" w:lineRule="auto"/>
        <w:jc w:val="both"/>
        <w:rPr>
          <w:rFonts w:ascii="Arial" w:eastAsia="Calibri" w:hAnsi="Arial" w:cs="Arial"/>
          <w:sz w:val="20"/>
          <w:szCs w:val="20"/>
          <w:lang w:eastAsia="en-US"/>
        </w:rPr>
      </w:pPr>
    </w:p>
    <w:p w14:paraId="21A68E75" w14:textId="77777777" w:rsidR="001B6553" w:rsidRPr="00AC4C54" w:rsidRDefault="001B6553" w:rsidP="00A3648D">
      <w:pPr>
        <w:spacing w:after="0" w:line="240" w:lineRule="auto"/>
        <w:jc w:val="both"/>
        <w:rPr>
          <w:rFonts w:ascii="Arial" w:eastAsia="Calibri" w:hAnsi="Arial" w:cs="Arial"/>
          <w:sz w:val="20"/>
          <w:szCs w:val="20"/>
          <w:lang w:eastAsia="en-US"/>
        </w:rPr>
      </w:pPr>
    </w:p>
    <w:p w14:paraId="644BCBF0" w14:textId="6F9C110A" w:rsidR="00A3648D" w:rsidRPr="00AC4C54" w:rsidRDefault="00266D06" w:rsidP="00A3648D">
      <w:pPr>
        <w:shd w:val="clear" w:color="auto" w:fill="F2F2F2"/>
        <w:spacing w:after="0" w:line="240" w:lineRule="auto"/>
        <w:jc w:val="both"/>
        <w:rPr>
          <w:rFonts w:ascii="Arial" w:eastAsia="Calibri" w:hAnsi="Arial" w:cs="Arial"/>
          <w:b/>
          <w:sz w:val="20"/>
          <w:szCs w:val="20"/>
          <w:u w:val="single"/>
          <w:lang w:eastAsia="en-US"/>
        </w:rPr>
      </w:pPr>
      <w:r w:rsidRPr="00AC4C54">
        <w:rPr>
          <w:rFonts w:ascii="Arial" w:eastAsia="Calibri" w:hAnsi="Arial" w:cs="Arial"/>
          <w:b/>
          <w:sz w:val="20"/>
          <w:szCs w:val="20"/>
          <w:u w:val="single"/>
          <w:lang w:eastAsia="en-US"/>
        </w:rPr>
        <w:t>2</w:t>
      </w:r>
      <w:r w:rsidR="00A3648D" w:rsidRPr="00AC4C54">
        <w:rPr>
          <w:rFonts w:ascii="Arial" w:eastAsia="Calibri" w:hAnsi="Arial" w:cs="Arial"/>
          <w:b/>
          <w:sz w:val="20"/>
          <w:szCs w:val="20"/>
          <w:u w:val="single"/>
          <w:lang w:eastAsia="en-US"/>
        </w:rPr>
        <w:t xml:space="preserve">. </w:t>
      </w:r>
      <w:r w:rsidR="00A3648D" w:rsidRPr="00AC4C54">
        <w:rPr>
          <w:rFonts w:ascii="Arial" w:eastAsia="Calibri" w:hAnsi="Arial" w:cs="Arial"/>
          <w:b/>
          <w:sz w:val="20"/>
          <w:szCs w:val="20"/>
          <w:u w:val="single"/>
          <w:lang w:eastAsia="en-US"/>
        </w:rPr>
        <w:tab/>
        <w:t xml:space="preserve">Suglasnost za zaduživanje društva ČISTOĆA I ZELENILO KONAVLE D.O.O. (investicija </w:t>
      </w:r>
      <w:r w:rsidR="00A3648D" w:rsidRPr="00AC4C54">
        <w:rPr>
          <w:rFonts w:ascii="Arial" w:eastAsia="Calibri" w:hAnsi="Arial" w:cs="Arial"/>
          <w:b/>
          <w:sz w:val="20"/>
          <w:szCs w:val="20"/>
          <w:u w:val="single"/>
        </w:rPr>
        <w:t>Izgradnja poslovno trgovačke građevine s tržnicom, Cavtat – OTP</w:t>
      </w:r>
      <w:r w:rsidR="00A3648D" w:rsidRPr="00AC4C54">
        <w:rPr>
          <w:rFonts w:ascii="Arial" w:eastAsia="Times New Roman" w:hAnsi="Arial" w:cs="Arial"/>
          <w:iCs/>
          <w:sz w:val="20"/>
          <w:szCs w:val="20"/>
          <w:u w:val="single"/>
          <w:lang w:eastAsia="en-US"/>
        </w:rPr>
        <w:t xml:space="preserve"> banka Hrvatska d.d. Zadar</w:t>
      </w:r>
      <w:r w:rsidR="00A3648D" w:rsidRPr="00AC4C54">
        <w:rPr>
          <w:rFonts w:ascii="Arial" w:eastAsia="Calibri" w:hAnsi="Arial" w:cs="Arial"/>
          <w:b/>
          <w:sz w:val="20"/>
          <w:szCs w:val="20"/>
          <w:u w:val="single"/>
        </w:rPr>
        <w:t xml:space="preserve"> )</w:t>
      </w:r>
    </w:p>
    <w:p w14:paraId="4ADB981E" w14:textId="77777777" w:rsidR="00A3648D" w:rsidRPr="00AC4C54" w:rsidRDefault="00A3648D" w:rsidP="00A3648D">
      <w:pPr>
        <w:spacing w:after="0" w:line="240" w:lineRule="auto"/>
        <w:jc w:val="both"/>
        <w:rPr>
          <w:rFonts w:ascii="Arial" w:eastAsia="Calibri" w:hAnsi="Arial" w:cs="Arial"/>
          <w:sz w:val="20"/>
          <w:szCs w:val="20"/>
          <w:lang w:eastAsia="en-US"/>
        </w:rPr>
      </w:pPr>
    </w:p>
    <w:p w14:paraId="6567A03F" w14:textId="77777777" w:rsidR="00A3648D" w:rsidRPr="00AC4C54" w:rsidRDefault="00A3648D" w:rsidP="00A3648D">
      <w:pPr>
        <w:spacing w:after="0" w:line="240" w:lineRule="auto"/>
        <w:jc w:val="both"/>
        <w:rPr>
          <w:rFonts w:ascii="Arial" w:eastAsia="Calibri" w:hAnsi="Arial" w:cs="Arial"/>
          <w:sz w:val="20"/>
          <w:szCs w:val="20"/>
        </w:rPr>
      </w:pPr>
      <w:r w:rsidRPr="00AC4C54">
        <w:rPr>
          <w:rFonts w:ascii="Arial" w:eastAsia="Times New Roman" w:hAnsi="Arial" w:cs="Arial"/>
          <w:b/>
          <w:sz w:val="20"/>
          <w:szCs w:val="20"/>
        </w:rPr>
        <w:t xml:space="preserve">Općinsko vijeće Općine Konavle je na 18. sjednici održanoj 27. prosinca 2019., na temelju članka 90. Zakona o proračunu </w:t>
      </w:r>
      <w:r w:rsidRPr="00AC4C54">
        <w:rPr>
          <w:rFonts w:ascii="Arial" w:eastAsia="Calibri" w:hAnsi="Arial" w:cs="Arial"/>
          <w:b/>
          <w:sz w:val="20"/>
          <w:szCs w:val="20"/>
        </w:rPr>
        <w:t xml:space="preserve">(Narodne novine broj 87/08, 136/12, 15/15) donijelo Odluku o davanju suglasnosti za kreditno zaduživanje društva Čistoća i zelenilo Konavle d.o.o. Čilipi. </w:t>
      </w:r>
      <w:r w:rsidRPr="00AC4C54">
        <w:rPr>
          <w:rFonts w:ascii="Arial" w:eastAsia="Calibri" w:hAnsi="Arial" w:cs="Arial"/>
          <w:sz w:val="20"/>
          <w:szCs w:val="20"/>
        </w:rPr>
        <w:t xml:space="preserve">(odluka objavljena u Službenom glasniku Općine Konavle 12/2019). Čistoća i zelenilo Konavle d.o.o. se dugoročno zadužila za investiciju: Izgradnja poslovno trgovačke građevine s tržnicom, Cavtat  - refinanciranje kredita od 24.3.2017. na rok od 10 godina bez jamstva Općine. </w:t>
      </w:r>
    </w:p>
    <w:p w14:paraId="537B7990" w14:textId="77777777" w:rsidR="00A3648D" w:rsidRPr="00AC4C54" w:rsidRDefault="00A3648D" w:rsidP="00A3648D">
      <w:pPr>
        <w:spacing w:after="0" w:line="240" w:lineRule="auto"/>
        <w:jc w:val="both"/>
        <w:rPr>
          <w:rFonts w:ascii="Arial" w:eastAsia="Calibri" w:hAnsi="Arial" w:cs="Arial"/>
          <w:sz w:val="20"/>
          <w:szCs w:val="20"/>
        </w:rPr>
      </w:pPr>
    </w:p>
    <w:p w14:paraId="42F359A3" w14:textId="17B6AED7" w:rsidR="00A3648D" w:rsidRPr="00AC4C54" w:rsidRDefault="00A3648D" w:rsidP="00A3648D">
      <w:pPr>
        <w:spacing w:after="0" w:line="240" w:lineRule="auto"/>
        <w:jc w:val="both"/>
        <w:rPr>
          <w:rFonts w:ascii="Arial" w:eastAsia="Times New Roman" w:hAnsi="Arial" w:cs="Arial"/>
          <w:bCs/>
          <w:iCs/>
          <w:sz w:val="20"/>
          <w:szCs w:val="20"/>
          <w:lang w:eastAsia="en-US"/>
        </w:rPr>
      </w:pPr>
      <w:r w:rsidRPr="00AC4C54">
        <w:rPr>
          <w:rFonts w:ascii="Arial" w:eastAsia="Times New Roman" w:hAnsi="Arial" w:cs="Arial"/>
          <w:iCs/>
          <w:sz w:val="20"/>
          <w:szCs w:val="20"/>
          <w:lang w:eastAsia="en-US"/>
        </w:rPr>
        <w:lastRenderedPageBreak/>
        <w:t xml:space="preserve">Kredit je zaključen (27.12.2019.) s poslovnom bankom (OTP banka d.d. Split) u iznosu 10.000.000 kn </w:t>
      </w:r>
      <w:r w:rsidR="000C61D2" w:rsidRPr="00AC4C54">
        <w:rPr>
          <w:rFonts w:ascii="Arial" w:eastAsia="Times New Roman" w:hAnsi="Arial" w:cs="Arial"/>
          <w:iCs/>
          <w:sz w:val="20"/>
          <w:szCs w:val="20"/>
          <w:lang w:eastAsia="en-US"/>
        </w:rPr>
        <w:t xml:space="preserve">/ 1.327.228,08 € </w:t>
      </w:r>
      <w:r w:rsidRPr="00AC4C54">
        <w:rPr>
          <w:rFonts w:ascii="Arial" w:eastAsia="Times New Roman" w:hAnsi="Arial" w:cs="Arial"/>
          <w:iCs/>
          <w:sz w:val="20"/>
          <w:szCs w:val="20"/>
          <w:lang w:eastAsia="en-US"/>
        </w:rPr>
        <w:t xml:space="preserve">(dugoročni kunski kredit). </w:t>
      </w:r>
      <w:r w:rsidRPr="00AC4C54">
        <w:rPr>
          <w:rFonts w:ascii="Arial" w:eastAsia="Times New Roman" w:hAnsi="Arial" w:cs="Arial"/>
          <w:bCs/>
          <w:iCs/>
          <w:sz w:val="20"/>
          <w:szCs w:val="20"/>
          <w:lang w:eastAsia="en-US"/>
        </w:rPr>
        <w:t xml:space="preserve">Redovna kamatna stopa je fiksna i iznosi 1,14% godišnje, a obračunava se i plaća mjesečno. Zatezna kamatna stopa je u visini zakonske zatezne kamate. Nema troška odobravanja kredita. Sredstva osiguranja su 1 vlastita bjanko akceptirana mjenica bez protesta, zadužnica Korisnika kredita, te ugovor o cesiji s najmoprimcima izgrađene zgrade na kojoj je zasnovano založno pravo na pravu građenja. Prvi obrok kredita dospijeva 31.1.2020. Otplata je u 120 redovitih mjesečnih obroka kredita jednake glavnice, te je </w:t>
      </w:r>
      <w:r w:rsidRPr="00AC4C54">
        <w:rPr>
          <w:rFonts w:ascii="Arial" w:eastAsia="Times New Roman" w:hAnsi="Arial" w:cs="Arial"/>
          <w:bCs/>
          <w:iCs/>
          <w:sz w:val="20"/>
          <w:szCs w:val="20"/>
          <w:u w:val="single"/>
          <w:lang w:eastAsia="en-US"/>
        </w:rPr>
        <w:t xml:space="preserve">krajnji rok povrata kredita bio 31.12.2029. </w:t>
      </w:r>
      <w:r w:rsidRPr="00AC4C54">
        <w:rPr>
          <w:rFonts w:ascii="Arial" w:eastAsia="Times New Roman" w:hAnsi="Arial" w:cs="Arial"/>
          <w:bCs/>
          <w:iCs/>
          <w:sz w:val="20"/>
          <w:szCs w:val="20"/>
          <w:lang w:eastAsia="en-US"/>
        </w:rPr>
        <w:t>(dodatkom ugovoru iz svibnja 2020. produžen jednu godinu).</w:t>
      </w:r>
    </w:p>
    <w:p w14:paraId="0CC29145" w14:textId="77777777" w:rsidR="00A3648D" w:rsidRPr="00AC4C54" w:rsidRDefault="00A3648D" w:rsidP="00A3648D">
      <w:pPr>
        <w:spacing w:after="0" w:line="240" w:lineRule="auto"/>
        <w:jc w:val="both"/>
        <w:rPr>
          <w:rFonts w:ascii="Arial" w:eastAsia="Calibri" w:hAnsi="Arial" w:cs="Arial"/>
          <w:sz w:val="20"/>
          <w:szCs w:val="20"/>
        </w:rPr>
      </w:pPr>
    </w:p>
    <w:p w14:paraId="1F4BA962" w14:textId="77777777" w:rsidR="00A3648D" w:rsidRPr="00AC4C54" w:rsidRDefault="00A3648D" w:rsidP="00A3648D">
      <w:pPr>
        <w:spacing w:after="0" w:line="240" w:lineRule="auto"/>
        <w:jc w:val="both"/>
        <w:rPr>
          <w:rFonts w:ascii="Arial" w:eastAsia="Calibri" w:hAnsi="Arial" w:cs="Arial"/>
          <w:b/>
          <w:sz w:val="20"/>
          <w:szCs w:val="20"/>
          <w:u w:val="single"/>
          <w:lang w:eastAsia="en-US"/>
        </w:rPr>
      </w:pPr>
      <w:r w:rsidRPr="00AC4C54">
        <w:rPr>
          <w:rFonts w:ascii="Arial" w:eastAsia="Calibri" w:hAnsi="Arial" w:cs="Arial"/>
          <w:sz w:val="20"/>
          <w:szCs w:val="20"/>
          <w:lang w:eastAsia="en-US"/>
        </w:rPr>
        <w:t xml:space="preserve">Dana 29. svibnja 2020. je s poslovnom bankom zaključen dodatak ugovoru o kreditu kojim je odgođena otplata kredita za 1 godinu (od 1.3.20 do 31.3.2021, te se otplata nastavlja 31.03.2021., pa je i konačan </w:t>
      </w:r>
      <w:r w:rsidRPr="00AC4C54">
        <w:rPr>
          <w:rFonts w:ascii="Arial" w:eastAsia="Calibri" w:hAnsi="Arial" w:cs="Arial"/>
          <w:b/>
          <w:sz w:val="20"/>
          <w:szCs w:val="20"/>
          <w:u w:val="single"/>
          <w:lang w:eastAsia="en-US"/>
        </w:rPr>
        <w:t>krajnji rok povrata kredita je 31.12.2030.</w:t>
      </w:r>
    </w:p>
    <w:p w14:paraId="34ADD99D" w14:textId="77777777" w:rsidR="00A3648D" w:rsidRPr="00AC4C54" w:rsidRDefault="00A3648D" w:rsidP="00A3648D">
      <w:pPr>
        <w:spacing w:after="0" w:line="240" w:lineRule="auto"/>
        <w:jc w:val="both"/>
        <w:rPr>
          <w:rFonts w:ascii="Arial" w:eastAsia="Times New Roman" w:hAnsi="Arial" w:cs="Arial"/>
          <w:bCs/>
          <w:iCs/>
          <w:sz w:val="20"/>
          <w:szCs w:val="20"/>
          <w:lang w:eastAsia="en-US"/>
        </w:rPr>
      </w:pPr>
    </w:p>
    <w:p w14:paraId="0C821AAE" w14:textId="77777777" w:rsidR="00A3648D" w:rsidRPr="00AC4C54" w:rsidRDefault="00A3648D" w:rsidP="00A3648D">
      <w:pPr>
        <w:spacing w:after="0" w:line="240" w:lineRule="auto"/>
        <w:jc w:val="both"/>
        <w:rPr>
          <w:rFonts w:ascii="Arial" w:eastAsia="Calibri" w:hAnsi="Arial" w:cs="Arial"/>
          <w:sz w:val="20"/>
          <w:szCs w:val="20"/>
          <w:lang w:eastAsia="en-US"/>
        </w:rPr>
      </w:pPr>
      <w:r w:rsidRPr="00AC4C54">
        <w:rPr>
          <w:rFonts w:ascii="Arial" w:eastAsia="Times New Roman" w:hAnsi="Arial" w:cs="Arial"/>
          <w:bCs/>
          <w:iCs/>
          <w:sz w:val="20"/>
          <w:szCs w:val="20"/>
          <w:lang w:eastAsia="en-US"/>
        </w:rPr>
        <w:t>U razdoblju 2019-2022. podmirena je glavnica u iznosu 1.916.666,59 kn, kamate u iznosu 310.063,75 kn, odnosno sveukupno 2.226.730,34 kn.</w:t>
      </w:r>
    </w:p>
    <w:p w14:paraId="764632FD" w14:textId="77777777" w:rsidR="00A3648D" w:rsidRPr="00AC4C54" w:rsidRDefault="00A3648D" w:rsidP="00A3648D">
      <w:pPr>
        <w:spacing w:after="0" w:line="240" w:lineRule="auto"/>
        <w:jc w:val="both"/>
        <w:rPr>
          <w:rFonts w:ascii="Arial" w:eastAsia="Times New Roman" w:hAnsi="Arial" w:cs="Arial"/>
          <w:bCs/>
          <w:iCs/>
          <w:sz w:val="20"/>
          <w:szCs w:val="20"/>
          <w:lang w:eastAsia="en-US"/>
        </w:rPr>
      </w:pPr>
      <w:r w:rsidRPr="00AC4C54">
        <w:rPr>
          <w:rFonts w:ascii="Arial" w:eastAsia="Times New Roman" w:hAnsi="Arial" w:cs="Arial"/>
          <w:bCs/>
          <w:iCs/>
          <w:sz w:val="20"/>
          <w:szCs w:val="20"/>
          <w:lang w:eastAsia="en-US"/>
        </w:rPr>
        <w:t xml:space="preserve">Društvo je u 2022. otplatilo glavnicu u iznosu 916.666,63 kn i kamate u iznosu 89.523,83 kn. </w:t>
      </w:r>
    </w:p>
    <w:p w14:paraId="7E1F136F" w14:textId="77777777" w:rsidR="00A3648D" w:rsidRPr="00AC4C54" w:rsidRDefault="00A3648D" w:rsidP="00A3648D">
      <w:pPr>
        <w:spacing w:after="0" w:line="240" w:lineRule="auto"/>
        <w:jc w:val="both"/>
        <w:rPr>
          <w:rFonts w:ascii="Arial" w:eastAsia="Times New Roman" w:hAnsi="Arial" w:cs="Arial"/>
          <w:bCs/>
          <w:iCs/>
          <w:sz w:val="20"/>
          <w:szCs w:val="20"/>
          <w:lang w:eastAsia="en-US"/>
        </w:rPr>
      </w:pPr>
      <w:r w:rsidRPr="00AC4C54">
        <w:rPr>
          <w:rFonts w:ascii="Arial" w:eastAsia="Times New Roman" w:hAnsi="Arial" w:cs="Arial"/>
          <w:bCs/>
          <w:iCs/>
          <w:sz w:val="20"/>
          <w:szCs w:val="20"/>
          <w:lang w:eastAsia="en-US"/>
        </w:rPr>
        <w:t xml:space="preserve">Koncem 2022. </w:t>
      </w:r>
      <w:r w:rsidRPr="00AC4C54">
        <w:rPr>
          <w:rFonts w:ascii="Arial" w:eastAsia="Times New Roman" w:hAnsi="Arial" w:cs="Arial"/>
          <w:b/>
          <w:bCs/>
          <w:iCs/>
          <w:sz w:val="20"/>
          <w:szCs w:val="20"/>
          <w:lang w:eastAsia="en-US"/>
        </w:rPr>
        <w:t>preostala glavnica</w:t>
      </w:r>
      <w:r w:rsidRPr="00AC4C54">
        <w:rPr>
          <w:rFonts w:ascii="Arial" w:eastAsia="Times New Roman" w:hAnsi="Arial" w:cs="Arial"/>
          <w:bCs/>
          <w:iCs/>
          <w:sz w:val="20"/>
          <w:szCs w:val="20"/>
          <w:lang w:eastAsia="en-US"/>
        </w:rPr>
        <w:t xml:space="preserve"> kredita iznosi </w:t>
      </w:r>
      <w:r w:rsidRPr="00AC4C54">
        <w:rPr>
          <w:rFonts w:ascii="Arial" w:eastAsia="Times New Roman" w:hAnsi="Arial" w:cs="Arial"/>
          <w:b/>
          <w:bCs/>
          <w:iCs/>
          <w:sz w:val="20"/>
          <w:szCs w:val="20"/>
          <w:lang w:eastAsia="en-US"/>
        </w:rPr>
        <w:t>8.083.333,41</w:t>
      </w:r>
      <w:r w:rsidRPr="00AC4C54">
        <w:rPr>
          <w:rFonts w:ascii="Arial" w:eastAsia="Times New Roman" w:hAnsi="Arial" w:cs="Arial"/>
          <w:bCs/>
          <w:iCs/>
          <w:sz w:val="20"/>
          <w:szCs w:val="20"/>
          <w:lang w:eastAsia="en-US"/>
        </w:rPr>
        <w:t xml:space="preserve"> kn (1.072.842,71 €).</w:t>
      </w:r>
    </w:p>
    <w:p w14:paraId="09398F86" w14:textId="77777777" w:rsidR="00A3648D" w:rsidRPr="00AC4C54" w:rsidRDefault="00A3648D" w:rsidP="00A3648D">
      <w:pPr>
        <w:spacing w:after="0" w:line="240" w:lineRule="auto"/>
        <w:jc w:val="both"/>
        <w:rPr>
          <w:rFonts w:ascii="Arial" w:eastAsia="Times New Roman" w:hAnsi="Arial" w:cs="Arial"/>
          <w:bCs/>
          <w:iCs/>
          <w:sz w:val="20"/>
          <w:szCs w:val="20"/>
          <w:lang w:eastAsia="en-US"/>
        </w:rPr>
      </w:pPr>
    </w:p>
    <w:p w14:paraId="0043C773" w14:textId="11257C84" w:rsidR="00A3648D" w:rsidRPr="00AC4C54" w:rsidRDefault="00A3648D" w:rsidP="00A3648D">
      <w:pPr>
        <w:spacing w:after="0" w:line="240" w:lineRule="auto"/>
        <w:jc w:val="both"/>
        <w:rPr>
          <w:rFonts w:ascii="Arial" w:eastAsia="Times New Roman" w:hAnsi="Arial" w:cs="Arial"/>
          <w:b/>
          <w:iCs/>
          <w:sz w:val="20"/>
          <w:szCs w:val="20"/>
          <w:lang w:eastAsia="en-US"/>
        </w:rPr>
      </w:pPr>
      <w:r w:rsidRPr="00AC4C54">
        <w:rPr>
          <w:rFonts w:ascii="Arial" w:eastAsia="Times New Roman" w:hAnsi="Arial" w:cs="Arial"/>
          <w:bCs/>
          <w:iCs/>
          <w:sz w:val="20"/>
          <w:szCs w:val="20"/>
          <w:lang w:eastAsia="en-US"/>
        </w:rPr>
        <w:t xml:space="preserve">U 2023. društvo je otplatilo glavnicu u iznosu </w:t>
      </w:r>
      <w:r w:rsidR="004C43F1" w:rsidRPr="00AC4C54">
        <w:rPr>
          <w:rFonts w:ascii="Arial" w:eastAsia="Times New Roman" w:hAnsi="Arial" w:cs="Arial"/>
          <w:bCs/>
          <w:iCs/>
          <w:sz w:val="20"/>
          <w:szCs w:val="20"/>
          <w:lang w:eastAsia="en-US"/>
        </w:rPr>
        <w:t>132.722,77</w:t>
      </w:r>
      <w:r w:rsidRPr="00AC4C54">
        <w:rPr>
          <w:rFonts w:ascii="Arial" w:eastAsia="Times New Roman" w:hAnsi="Arial" w:cs="Arial"/>
          <w:bCs/>
          <w:iCs/>
          <w:sz w:val="20"/>
          <w:szCs w:val="20"/>
          <w:lang w:eastAsia="en-US"/>
        </w:rPr>
        <w:t xml:space="preserve"> € i kamate u iznosu </w:t>
      </w:r>
      <w:r w:rsidR="004C43F1" w:rsidRPr="00AC4C54">
        <w:rPr>
          <w:rFonts w:ascii="Arial" w:eastAsia="Times New Roman" w:hAnsi="Arial" w:cs="Arial"/>
          <w:bCs/>
          <w:iCs/>
          <w:sz w:val="20"/>
          <w:szCs w:val="20"/>
          <w:lang w:eastAsia="en-US"/>
        </w:rPr>
        <w:t>11.536,07</w:t>
      </w:r>
      <w:r w:rsidRPr="00AC4C54">
        <w:rPr>
          <w:rFonts w:ascii="Arial" w:eastAsia="Times New Roman" w:hAnsi="Arial" w:cs="Arial"/>
          <w:bCs/>
          <w:iCs/>
          <w:sz w:val="20"/>
          <w:szCs w:val="20"/>
          <w:lang w:eastAsia="en-US"/>
        </w:rPr>
        <w:t xml:space="preserve"> €, te koncem 2023. </w:t>
      </w:r>
      <w:r w:rsidRPr="00AC4C54">
        <w:rPr>
          <w:rFonts w:ascii="Arial" w:eastAsia="Times New Roman" w:hAnsi="Arial" w:cs="Arial"/>
          <w:b/>
          <w:iCs/>
          <w:sz w:val="20"/>
          <w:szCs w:val="20"/>
          <w:lang w:eastAsia="en-US"/>
        </w:rPr>
        <w:t>preostala glavnica kredita</w:t>
      </w:r>
      <w:r w:rsidRPr="00AC4C54">
        <w:rPr>
          <w:rFonts w:ascii="Arial" w:eastAsia="Times New Roman" w:hAnsi="Arial" w:cs="Arial"/>
          <w:bCs/>
          <w:iCs/>
          <w:sz w:val="20"/>
          <w:szCs w:val="20"/>
          <w:lang w:eastAsia="en-US"/>
        </w:rPr>
        <w:t xml:space="preserve"> iznosi </w:t>
      </w:r>
      <w:r w:rsidR="004C43F1" w:rsidRPr="00AC4C54">
        <w:rPr>
          <w:rFonts w:ascii="Arial" w:eastAsia="Times New Roman" w:hAnsi="Arial" w:cs="Arial"/>
          <w:b/>
          <w:iCs/>
          <w:sz w:val="20"/>
          <w:szCs w:val="20"/>
          <w:lang w:eastAsia="en-US"/>
        </w:rPr>
        <w:t>940.119,94</w:t>
      </w:r>
      <w:r w:rsidRPr="00AC4C54">
        <w:rPr>
          <w:rFonts w:ascii="Arial" w:eastAsia="Times New Roman" w:hAnsi="Arial" w:cs="Arial"/>
          <w:b/>
          <w:iCs/>
          <w:sz w:val="20"/>
          <w:szCs w:val="20"/>
          <w:lang w:eastAsia="en-US"/>
        </w:rPr>
        <w:t xml:space="preserve"> €.</w:t>
      </w:r>
    </w:p>
    <w:p w14:paraId="199F7BF1" w14:textId="10D49F63" w:rsidR="005D1B11" w:rsidRPr="00AC4C54" w:rsidRDefault="005D1B11" w:rsidP="005D1B11">
      <w:pPr>
        <w:spacing w:after="0" w:line="240" w:lineRule="auto"/>
        <w:jc w:val="both"/>
        <w:rPr>
          <w:rFonts w:ascii="Arial" w:eastAsia="Times New Roman" w:hAnsi="Arial" w:cs="Arial"/>
          <w:b/>
          <w:iCs/>
          <w:sz w:val="20"/>
          <w:szCs w:val="20"/>
          <w:lang w:eastAsia="en-US"/>
        </w:rPr>
      </w:pPr>
      <w:r w:rsidRPr="00AC4C54">
        <w:rPr>
          <w:rFonts w:ascii="Arial" w:eastAsia="Times New Roman" w:hAnsi="Arial" w:cs="Arial"/>
          <w:bCs/>
          <w:iCs/>
          <w:sz w:val="20"/>
          <w:szCs w:val="20"/>
          <w:lang w:eastAsia="en-US"/>
        </w:rPr>
        <w:t xml:space="preserve">U 2024. društvo je otplatilo glavnicu u iznosu </w:t>
      </w:r>
      <w:r w:rsidR="00832352" w:rsidRPr="00AC4C54">
        <w:rPr>
          <w:rFonts w:ascii="Arial" w:eastAsia="Times New Roman" w:hAnsi="Arial" w:cs="Arial"/>
          <w:bCs/>
          <w:iCs/>
          <w:sz w:val="20"/>
          <w:szCs w:val="20"/>
          <w:lang w:eastAsia="en-US"/>
        </w:rPr>
        <w:t>132.722,76</w:t>
      </w:r>
      <w:r w:rsidRPr="00AC4C54">
        <w:rPr>
          <w:rFonts w:ascii="Arial" w:eastAsia="Times New Roman" w:hAnsi="Arial" w:cs="Arial"/>
          <w:bCs/>
          <w:iCs/>
          <w:sz w:val="20"/>
          <w:szCs w:val="20"/>
          <w:lang w:eastAsia="en-US"/>
        </w:rPr>
        <w:t xml:space="preserve"> € i kamate u iznosu </w:t>
      </w:r>
      <w:r w:rsidR="00832352" w:rsidRPr="00AC4C54">
        <w:rPr>
          <w:rFonts w:ascii="Arial" w:eastAsia="Times New Roman" w:hAnsi="Arial" w:cs="Arial"/>
          <w:bCs/>
          <w:iCs/>
          <w:sz w:val="20"/>
          <w:szCs w:val="20"/>
          <w:lang w:eastAsia="en-US"/>
        </w:rPr>
        <w:t>9.971,56</w:t>
      </w:r>
      <w:r w:rsidRPr="00AC4C54">
        <w:rPr>
          <w:rFonts w:ascii="Arial" w:eastAsia="Times New Roman" w:hAnsi="Arial" w:cs="Arial"/>
          <w:bCs/>
          <w:iCs/>
          <w:sz w:val="20"/>
          <w:szCs w:val="20"/>
          <w:lang w:eastAsia="en-US"/>
        </w:rPr>
        <w:t xml:space="preserve"> €, te koncem 202</w:t>
      </w:r>
      <w:r w:rsidR="00334672" w:rsidRPr="00AC4C54">
        <w:rPr>
          <w:rFonts w:ascii="Arial" w:eastAsia="Times New Roman" w:hAnsi="Arial" w:cs="Arial"/>
          <w:bCs/>
          <w:iCs/>
          <w:sz w:val="20"/>
          <w:szCs w:val="20"/>
          <w:lang w:eastAsia="en-US"/>
        </w:rPr>
        <w:t>4</w:t>
      </w:r>
      <w:r w:rsidRPr="00AC4C54">
        <w:rPr>
          <w:rFonts w:ascii="Arial" w:eastAsia="Times New Roman" w:hAnsi="Arial" w:cs="Arial"/>
          <w:bCs/>
          <w:iCs/>
          <w:sz w:val="20"/>
          <w:szCs w:val="20"/>
          <w:lang w:eastAsia="en-US"/>
        </w:rPr>
        <w:t xml:space="preserve">. </w:t>
      </w:r>
      <w:r w:rsidRPr="00AC4C54">
        <w:rPr>
          <w:rFonts w:ascii="Arial" w:eastAsia="Times New Roman" w:hAnsi="Arial" w:cs="Arial"/>
          <w:b/>
          <w:iCs/>
          <w:sz w:val="20"/>
          <w:szCs w:val="20"/>
          <w:lang w:eastAsia="en-US"/>
        </w:rPr>
        <w:t>preostala glavnica kredita</w:t>
      </w:r>
      <w:r w:rsidRPr="00AC4C54">
        <w:rPr>
          <w:rFonts w:ascii="Arial" w:eastAsia="Times New Roman" w:hAnsi="Arial" w:cs="Arial"/>
          <w:bCs/>
          <w:iCs/>
          <w:sz w:val="20"/>
          <w:szCs w:val="20"/>
          <w:lang w:eastAsia="en-US"/>
        </w:rPr>
        <w:t xml:space="preserve"> iznosi </w:t>
      </w:r>
      <w:r w:rsidR="00832352" w:rsidRPr="00AC4C54">
        <w:rPr>
          <w:rFonts w:ascii="Arial" w:eastAsia="Times New Roman" w:hAnsi="Arial" w:cs="Arial"/>
          <w:b/>
          <w:iCs/>
          <w:sz w:val="20"/>
          <w:szCs w:val="20"/>
          <w:lang w:eastAsia="en-US"/>
        </w:rPr>
        <w:t>807.397,18</w:t>
      </w:r>
      <w:r w:rsidRPr="00AC4C54">
        <w:rPr>
          <w:rFonts w:ascii="Arial" w:eastAsia="Times New Roman" w:hAnsi="Arial" w:cs="Arial"/>
          <w:b/>
          <w:iCs/>
          <w:sz w:val="20"/>
          <w:szCs w:val="20"/>
          <w:lang w:eastAsia="en-US"/>
        </w:rPr>
        <w:t xml:space="preserve"> €.</w:t>
      </w:r>
    </w:p>
    <w:p w14:paraId="759D4B8F" w14:textId="4D1FD6D6" w:rsidR="001B6553" w:rsidRPr="00AC4C54" w:rsidRDefault="001B6553" w:rsidP="001B6553">
      <w:pPr>
        <w:spacing w:after="0" w:line="240" w:lineRule="auto"/>
        <w:jc w:val="both"/>
        <w:rPr>
          <w:rFonts w:ascii="Arial" w:eastAsia="Times New Roman" w:hAnsi="Arial" w:cs="Arial"/>
          <w:b/>
          <w:iCs/>
          <w:sz w:val="20"/>
          <w:szCs w:val="20"/>
          <w:lang w:eastAsia="en-US"/>
        </w:rPr>
      </w:pPr>
      <w:r w:rsidRPr="00AC4C54">
        <w:rPr>
          <w:rFonts w:ascii="Arial" w:eastAsia="Times New Roman" w:hAnsi="Arial" w:cs="Arial"/>
          <w:bCs/>
          <w:iCs/>
          <w:sz w:val="20"/>
          <w:szCs w:val="20"/>
          <w:lang w:eastAsia="en-US"/>
        </w:rPr>
        <w:t>U 202</w:t>
      </w:r>
      <w:r>
        <w:rPr>
          <w:rFonts w:ascii="Arial" w:eastAsia="Times New Roman" w:hAnsi="Arial" w:cs="Arial"/>
          <w:bCs/>
          <w:iCs/>
          <w:sz w:val="20"/>
          <w:szCs w:val="20"/>
          <w:lang w:eastAsia="en-US"/>
        </w:rPr>
        <w:t>5</w:t>
      </w:r>
      <w:r w:rsidRPr="00AC4C54">
        <w:rPr>
          <w:rFonts w:ascii="Arial" w:eastAsia="Times New Roman" w:hAnsi="Arial" w:cs="Arial"/>
          <w:bCs/>
          <w:iCs/>
          <w:sz w:val="20"/>
          <w:szCs w:val="20"/>
          <w:lang w:eastAsia="en-US"/>
        </w:rPr>
        <w:t xml:space="preserve">. društvo je otplatilo glavnicu u iznosu </w:t>
      </w:r>
      <w:r w:rsidR="001D2396">
        <w:rPr>
          <w:rFonts w:ascii="Arial" w:eastAsia="Times New Roman" w:hAnsi="Arial" w:cs="Arial"/>
          <w:bCs/>
          <w:iCs/>
          <w:sz w:val="20"/>
          <w:szCs w:val="20"/>
          <w:lang w:eastAsia="en-US"/>
        </w:rPr>
        <w:t>132.722,76</w:t>
      </w:r>
      <w:r w:rsidRPr="00AC4C54">
        <w:rPr>
          <w:rFonts w:ascii="Arial" w:eastAsia="Times New Roman" w:hAnsi="Arial" w:cs="Arial"/>
          <w:bCs/>
          <w:iCs/>
          <w:sz w:val="20"/>
          <w:szCs w:val="20"/>
          <w:lang w:eastAsia="en-US"/>
        </w:rPr>
        <w:t xml:space="preserve"> € i kamate u iznosu </w:t>
      </w:r>
      <w:r w:rsidR="002C703E">
        <w:rPr>
          <w:rFonts w:ascii="Arial" w:eastAsia="Times New Roman" w:hAnsi="Arial" w:cs="Arial"/>
          <w:bCs/>
          <w:iCs/>
          <w:sz w:val="20"/>
          <w:szCs w:val="20"/>
          <w:lang w:eastAsia="en-US"/>
        </w:rPr>
        <w:t>8.487,05</w:t>
      </w:r>
      <w:r w:rsidRPr="00AC4C54">
        <w:rPr>
          <w:rFonts w:ascii="Arial" w:eastAsia="Times New Roman" w:hAnsi="Arial" w:cs="Arial"/>
          <w:bCs/>
          <w:iCs/>
          <w:sz w:val="20"/>
          <w:szCs w:val="20"/>
          <w:lang w:eastAsia="en-US"/>
        </w:rPr>
        <w:t xml:space="preserve"> €, te koncem 202</w:t>
      </w:r>
      <w:r>
        <w:rPr>
          <w:rFonts w:ascii="Arial" w:eastAsia="Times New Roman" w:hAnsi="Arial" w:cs="Arial"/>
          <w:bCs/>
          <w:iCs/>
          <w:sz w:val="20"/>
          <w:szCs w:val="20"/>
          <w:lang w:eastAsia="en-US"/>
        </w:rPr>
        <w:t>5</w:t>
      </w:r>
      <w:r w:rsidRPr="00AC4C54">
        <w:rPr>
          <w:rFonts w:ascii="Arial" w:eastAsia="Times New Roman" w:hAnsi="Arial" w:cs="Arial"/>
          <w:bCs/>
          <w:iCs/>
          <w:sz w:val="20"/>
          <w:szCs w:val="20"/>
          <w:lang w:eastAsia="en-US"/>
        </w:rPr>
        <w:t xml:space="preserve">. </w:t>
      </w:r>
      <w:r w:rsidRPr="00AC4C54">
        <w:rPr>
          <w:rFonts w:ascii="Arial" w:eastAsia="Times New Roman" w:hAnsi="Arial" w:cs="Arial"/>
          <w:b/>
          <w:iCs/>
          <w:sz w:val="20"/>
          <w:szCs w:val="20"/>
          <w:lang w:eastAsia="en-US"/>
        </w:rPr>
        <w:t>preostala glavnica kredita</w:t>
      </w:r>
      <w:r w:rsidRPr="00AC4C54">
        <w:rPr>
          <w:rFonts w:ascii="Arial" w:eastAsia="Times New Roman" w:hAnsi="Arial" w:cs="Arial"/>
          <w:bCs/>
          <w:iCs/>
          <w:sz w:val="20"/>
          <w:szCs w:val="20"/>
          <w:lang w:eastAsia="en-US"/>
        </w:rPr>
        <w:t xml:space="preserve"> iznosi </w:t>
      </w:r>
      <w:r w:rsidR="002C703E">
        <w:rPr>
          <w:rFonts w:ascii="Arial" w:eastAsia="Times New Roman" w:hAnsi="Arial" w:cs="Arial"/>
          <w:b/>
          <w:iCs/>
          <w:sz w:val="20"/>
          <w:szCs w:val="20"/>
          <w:lang w:eastAsia="en-US"/>
        </w:rPr>
        <w:t>674.674,42</w:t>
      </w:r>
      <w:r w:rsidRPr="00AC4C54">
        <w:rPr>
          <w:rFonts w:ascii="Arial" w:eastAsia="Times New Roman" w:hAnsi="Arial" w:cs="Arial"/>
          <w:b/>
          <w:iCs/>
          <w:sz w:val="20"/>
          <w:szCs w:val="20"/>
          <w:lang w:eastAsia="en-US"/>
        </w:rPr>
        <w:t xml:space="preserve"> €.</w:t>
      </w:r>
    </w:p>
    <w:p w14:paraId="3286BA13" w14:textId="77777777" w:rsidR="001B6553" w:rsidRPr="00AC4C54" w:rsidRDefault="001B6553" w:rsidP="00A3648D">
      <w:pPr>
        <w:spacing w:after="0" w:line="240" w:lineRule="auto"/>
        <w:jc w:val="both"/>
        <w:rPr>
          <w:rFonts w:ascii="Arial" w:eastAsia="Times New Roman" w:hAnsi="Arial" w:cs="Arial"/>
          <w:bCs/>
          <w:iCs/>
          <w:sz w:val="20"/>
          <w:szCs w:val="20"/>
          <w:lang w:eastAsia="en-US"/>
        </w:rPr>
      </w:pPr>
    </w:p>
    <w:p w14:paraId="1C22DD5A" w14:textId="17407FC2" w:rsidR="00A3648D" w:rsidRPr="00AC4C54" w:rsidRDefault="00334672" w:rsidP="00A3648D">
      <w:pPr>
        <w:shd w:val="clear" w:color="auto" w:fill="F2F2F2"/>
        <w:spacing w:after="0" w:line="240" w:lineRule="auto"/>
        <w:jc w:val="both"/>
        <w:rPr>
          <w:rFonts w:ascii="Arial" w:eastAsia="Calibri" w:hAnsi="Arial" w:cs="Arial"/>
          <w:b/>
          <w:sz w:val="20"/>
          <w:szCs w:val="20"/>
          <w:u w:val="single"/>
          <w:lang w:eastAsia="en-US"/>
        </w:rPr>
      </w:pPr>
      <w:r w:rsidRPr="00AC4C54">
        <w:rPr>
          <w:rFonts w:ascii="Arial" w:eastAsia="Calibri" w:hAnsi="Arial" w:cs="Arial"/>
          <w:b/>
          <w:sz w:val="20"/>
          <w:szCs w:val="20"/>
          <w:u w:val="single"/>
          <w:lang w:eastAsia="en-US"/>
        </w:rPr>
        <w:t>3</w:t>
      </w:r>
      <w:r w:rsidR="00A3648D" w:rsidRPr="00AC4C54">
        <w:rPr>
          <w:rFonts w:ascii="Arial" w:eastAsia="Calibri" w:hAnsi="Arial" w:cs="Arial"/>
          <w:b/>
          <w:sz w:val="20"/>
          <w:szCs w:val="20"/>
          <w:u w:val="single"/>
          <w:lang w:eastAsia="en-US"/>
        </w:rPr>
        <w:t xml:space="preserve">. </w:t>
      </w:r>
      <w:r w:rsidR="00A3648D" w:rsidRPr="00AC4C54">
        <w:rPr>
          <w:rFonts w:ascii="Arial" w:eastAsia="Calibri" w:hAnsi="Arial" w:cs="Arial"/>
          <w:b/>
          <w:sz w:val="20"/>
          <w:szCs w:val="20"/>
          <w:u w:val="single"/>
          <w:lang w:eastAsia="en-US"/>
        </w:rPr>
        <w:tab/>
        <w:t>Suglasnost za zaduživanje društva ČISTOĆA I ZELENILO KONAVLE D.O.O. (nabava komunalnog vozila</w:t>
      </w:r>
      <w:r w:rsidR="00E20FC6">
        <w:rPr>
          <w:rFonts w:ascii="Arial" w:eastAsia="Calibri" w:hAnsi="Arial" w:cs="Arial"/>
          <w:b/>
          <w:sz w:val="20"/>
          <w:szCs w:val="20"/>
          <w:u w:val="single"/>
          <w:lang w:eastAsia="en-US"/>
        </w:rPr>
        <w:t>: IVECO, EUROCARGO ML120EL22/P, FAUN ROTOPRESS 008</w:t>
      </w:r>
      <w:r w:rsidR="00A3648D" w:rsidRPr="00AC4C54">
        <w:rPr>
          <w:rFonts w:ascii="Arial" w:eastAsia="Calibri" w:hAnsi="Arial" w:cs="Arial"/>
          <w:b/>
          <w:sz w:val="20"/>
          <w:szCs w:val="20"/>
          <w:u w:val="single"/>
        </w:rPr>
        <w:t xml:space="preserve"> – </w:t>
      </w:r>
      <w:r w:rsidR="009C5AFB" w:rsidRPr="00AC4C54">
        <w:rPr>
          <w:rFonts w:ascii="Arial" w:eastAsia="Calibri" w:hAnsi="Arial" w:cs="Arial"/>
          <w:b/>
          <w:sz w:val="20"/>
          <w:szCs w:val="20"/>
          <w:u w:val="single"/>
          <w:shd w:val="clear" w:color="auto" w:fill="F2F2F2"/>
        </w:rPr>
        <w:t>UNICREDIT leasing Croatia d.o.o.</w:t>
      </w:r>
      <w:r w:rsidR="009C5AFB" w:rsidRPr="00AC4C54">
        <w:rPr>
          <w:rFonts w:ascii="Arial" w:eastAsia="Calibri" w:hAnsi="Arial" w:cs="Arial"/>
          <w:b/>
          <w:sz w:val="20"/>
          <w:szCs w:val="20"/>
          <w:u w:val="single"/>
        </w:rPr>
        <w:t>)</w:t>
      </w:r>
    </w:p>
    <w:p w14:paraId="00929307" w14:textId="77777777" w:rsidR="00A3648D" w:rsidRPr="00AC4C54" w:rsidRDefault="00A3648D" w:rsidP="00A3648D">
      <w:pPr>
        <w:spacing w:after="0" w:line="240" w:lineRule="auto"/>
        <w:jc w:val="both"/>
        <w:rPr>
          <w:rFonts w:ascii="Arial" w:eastAsia="Times New Roman" w:hAnsi="Arial" w:cs="Arial"/>
          <w:bCs/>
          <w:iCs/>
          <w:sz w:val="20"/>
          <w:szCs w:val="20"/>
          <w:lang w:eastAsia="en-US"/>
        </w:rPr>
      </w:pPr>
    </w:p>
    <w:p w14:paraId="1C4FAF82" w14:textId="04624684" w:rsidR="002C573F" w:rsidRPr="00AC4C54" w:rsidRDefault="004C43F1" w:rsidP="004C43F1">
      <w:pPr>
        <w:spacing w:after="0" w:line="240" w:lineRule="auto"/>
        <w:jc w:val="both"/>
        <w:rPr>
          <w:rFonts w:ascii="Arial" w:eastAsia="Times New Roman" w:hAnsi="Arial" w:cs="Arial"/>
          <w:sz w:val="20"/>
          <w:szCs w:val="20"/>
        </w:rPr>
      </w:pPr>
      <w:r w:rsidRPr="00AC4C54">
        <w:rPr>
          <w:rFonts w:ascii="Arial" w:eastAsia="Times New Roman" w:hAnsi="Arial" w:cs="Arial"/>
          <w:b/>
          <w:sz w:val="20"/>
          <w:szCs w:val="20"/>
        </w:rPr>
        <w:t xml:space="preserve">Općinsko vijeće Općine Konavle je na 16. sjednici održanoj 2. listopada 2023., na temelju članka 127. Zakona o proračunu </w:t>
      </w:r>
      <w:r w:rsidRPr="00AC4C54">
        <w:rPr>
          <w:rFonts w:ascii="Arial" w:eastAsia="Calibri" w:hAnsi="Arial" w:cs="Arial"/>
          <w:b/>
          <w:sz w:val="20"/>
          <w:szCs w:val="20"/>
        </w:rPr>
        <w:t xml:space="preserve">(Narodne novine broj 144/21) donijelo Odluku o davanju suglasnosti za kreditno zaduživanje društva Čistoća i zelenilo Konavle d.o.o. Čilipi. </w:t>
      </w:r>
      <w:r w:rsidRPr="00AC4C54">
        <w:rPr>
          <w:rFonts w:ascii="Arial" w:eastAsia="Calibri" w:hAnsi="Arial" w:cs="Arial"/>
          <w:sz w:val="20"/>
          <w:szCs w:val="20"/>
        </w:rPr>
        <w:t xml:space="preserve">(odluka objavljena u Službenom glasniku Općine Konavle 6/2023). Čistoća i zelenilo Konavle d.o.o. je zaključilo ugovor </w:t>
      </w:r>
      <w:r w:rsidRPr="00AC4C54">
        <w:rPr>
          <w:rFonts w:ascii="Arial" w:eastAsia="Times New Roman" w:hAnsi="Arial" w:cs="Arial"/>
          <w:sz w:val="20"/>
          <w:szCs w:val="20"/>
        </w:rPr>
        <w:t xml:space="preserve">31.10.2023. godine </w:t>
      </w:r>
      <w:r w:rsidR="009C5AFB" w:rsidRPr="00AC4C54">
        <w:rPr>
          <w:rFonts w:ascii="Arial" w:eastAsia="Times New Roman" w:hAnsi="Arial" w:cs="Arial"/>
          <w:sz w:val="20"/>
          <w:szCs w:val="20"/>
        </w:rPr>
        <w:t xml:space="preserve">s UNICREDIT leasing Croatia d.o.o. </w:t>
      </w:r>
      <w:r w:rsidRPr="00AC4C54">
        <w:rPr>
          <w:rFonts w:ascii="Arial" w:eastAsia="Times New Roman" w:hAnsi="Arial" w:cs="Arial"/>
          <w:sz w:val="20"/>
          <w:szCs w:val="20"/>
        </w:rPr>
        <w:t>(ovjereni primjerak davatelj leasinga dostavio 13.11.2023. poštom)</w:t>
      </w:r>
      <w:r w:rsidR="00793280" w:rsidRPr="00AC4C54">
        <w:rPr>
          <w:rFonts w:ascii="Arial" w:eastAsia="Times New Roman" w:hAnsi="Arial" w:cs="Arial"/>
          <w:sz w:val="20"/>
          <w:szCs w:val="20"/>
        </w:rPr>
        <w:t xml:space="preserve"> u iznosu 282.197,60 € (</w:t>
      </w:r>
      <w:r w:rsidR="00793280" w:rsidRPr="00253DDE">
        <w:rPr>
          <w:rFonts w:ascii="Arial" w:eastAsia="Times New Roman" w:hAnsi="Arial" w:cs="Arial"/>
          <w:b/>
          <w:bCs/>
          <w:sz w:val="20"/>
          <w:szCs w:val="20"/>
        </w:rPr>
        <w:t>sveukupno glavnica 254.375 €</w:t>
      </w:r>
      <w:r w:rsidR="00793280" w:rsidRPr="00AC4C54">
        <w:rPr>
          <w:rFonts w:ascii="Arial" w:eastAsia="Times New Roman" w:hAnsi="Arial" w:cs="Arial"/>
          <w:sz w:val="20"/>
          <w:szCs w:val="20"/>
        </w:rPr>
        <w:t>, kamate i naknade)</w:t>
      </w:r>
      <w:r w:rsidRPr="00AC4C54">
        <w:rPr>
          <w:rFonts w:ascii="Arial" w:eastAsia="Times New Roman" w:hAnsi="Arial" w:cs="Arial"/>
          <w:sz w:val="20"/>
          <w:szCs w:val="20"/>
        </w:rPr>
        <w:t xml:space="preserve">. </w:t>
      </w:r>
      <w:r w:rsidR="00171B32" w:rsidRPr="00AC4C54">
        <w:rPr>
          <w:rFonts w:ascii="Arial" w:eastAsia="Times New Roman" w:hAnsi="Arial" w:cs="Arial"/>
          <w:sz w:val="20"/>
          <w:szCs w:val="20"/>
        </w:rPr>
        <w:t>Obračun prvog obroka leasinga počin</w:t>
      </w:r>
      <w:r w:rsidR="002C085C" w:rsidRPr="00AC4C54">
        <w:rPr>
          <w:rFonts w:ascii="Arial" w:eastAsia="Times New Roman" w:hAnsi="Arial" w:cs="Arial"/>
          <w:sz w:val="20"/>
          <w:szCs w:val="20"/>
        </w:rPr>
        <w:t>j</w:t>
      </w:r>
      <w:r w:rsidR="00171B32" w:rsidRPr="00AC4C54">
        <w:rPr>
          <w:rFonts w:ascii="Arial" w:eastAsia="Times New Roman" w:hAnsi="Arial" w:cs="Arial"/>
          <w:sz w:val="20"/>
          <w:szCs w:val="20"/>
        </w:rPr>
        <w:t xml:space="preserve">e prvi dan u mjesecu koji slijedi mjesecu u kojem je izvršena primopredaja objekta leasinga. Redovna kamatna stopa je fiksna i iznosi 5,14% godišnje, a obračunava se i plaća mjesečno. Zatezna kamatna stopa je u visini zakonske zatezne kamate. Nema troška odobravanja kredita. Sredstva osiguranja su 1 zadužnica Korisnika kredita. Otplata je u 60 redovitih mjesečnih obroka kredita (jednaki obroci). </w:t>
      </w:r>
    </w:p>
    <w:p w14:paraId="231C6775" w14:textId="36F5D1FB" w:rsidR="00593653" w:rsidRDefault="00593653" w:rsidP="00593653">
      <w:pPr>
        <w:spacing w:after="0" w:line="240" w:lineRule="auto"/>
        <w:jc w:val="both"/>
        <w:rPr>
          <w:rFonts w:ascii="Arial" w:eastAsia="Times New Roman" w:hAnsi="Arial" w:cs="Arial"/>
          <w:b/>
          <w:iCs/>
          <w:sz w:val="20"/>
          <w:szCs w:val="20"/>
          <w:lang w:eastAsia="en-US"/>
        </w:rPr>
      </w:pPr>
      <w:r w:rsidRPr="00AC4C54">
        <w:rPr>
          <w:rFonts w:ascii="Arial" w:eastAsia="Times New Roman" w:hAnsi="Arial" w:cs="Arial"/>
          <w:bCs/>
          <w:iCs/>
          <w:sz w:val="20"/>
          <w:szCs w:val="20"/>
          <w:lang w:eastAsia="en-US"/>
        </w:rPr>
        <w:t xml:space="preserve">Društvo je u siječnju 2024. podmirilo učešće za kredit u iznosu 50.875 €. </w:t>
      </w:r>
      <w:r w:rsidR="0078086D" w:rsidRPr="00AC4C54">
        <w:rPr>
          <w:rFonts w:ascii="Arial" w:eastAsia="Times New Roman" w:hAnsi="Arial" w:cs="Arial"/>
          <w:sz w:val="20"/>
          <w:szCs w:val="20"/>
        </w:rPr>
        <w:t xml:space="preserve">Primopredaja objekta leasinga je bila 6.5.2024. </w:t>
      </w:r>
      <w:r w:rsidR="00793280" w:rsidRPr="00AC4C54">
        <w:rPr>
          <w:rFonts w:ascii="Arial" w:eastAsia="Times New Roman" w:hAnsi="Arial" w:cs="Arial"/>
          <w:bCs/>
          <w:iCs/>
          <w:sz w:val="20"/>
          <w:szCs w:val="20"/>
          <w:lang w:eastAsia="en-US"/>
        </w:rPr>
        <w:t xml:space="preserve">U 2024. društvo je otplatilo glavnicu u iznosu 71.913,17 € (zajedno s učešćem) i kamate u iznosu 5.832,80 €. </w:t>
      </w:r>
      <w:r w:rsidRPr="00AC4C54">
        <w:rPr>
          <w:rFonts w:ascii="Arial" w:eastAsia="Times New Roman" w:hAnsi="Arial" w:cs="Arial"/>
          <w:bCs/>
          <w:iCs/>
          <w:sz w:val="20"/>
          <w:szCs w:val="20"/>
          <w:lang w:eastAsia="en-US"/>
        </w:rPr>
        <w:t xml:space="preserve">Koncem 2024. </w:t>
      </w:r>
      <w:r w:rsidRPr="00AC4C54">
        <w:rPr>
          <w:rFonts w:ascii="Arial" w:eastAsia="Times New Roman" w:hAnsi="Arial" w:cs="Arial"/>
          <w:b/>
          <w:iCs/>
          <w:sz w:val="20"/>
          <w:szCs w:val="20"/>
          <w:lang w:eastAsia="en-US"/>
        </w:rPr>
        <w:t>preostala glavnica kredita</w:t>
      </w:r>
      <w:r w:rsidRPr="00AC4C54">
        <w:rPr>
          <w:rFonts w:ascii="Arial" w:eastAsia="Times New Roman" w:hAnsi="Arial" w:cs="Arial"/>
          <w:bCs/>
          <w:iCs/>
          <w:sz w:val="20"/>
          <w:szCs w:val="20"/>
          <w:lang w:eastAsia="en-US"/>
        </w:rPr>
        <w:t xml:space="preserve"> iznosi </w:t>
      </w:r>
      <w:r w:rsidR="00793280" w:rsidRPr="00AC4C54">
        <w:rPr>
          <w:rFonts w:ascii="Arial" w:eastAsia="Times New Roman" w:hAnsi="Arial" w:cs="Arial"/>
          <w:b/>
          <w:iCs/>
          <w:sz w:val="20"/>
          <w:szCs w:val="20"/>
          <w:lang w:eastAsia="en-US"/>
        </w:rPr>
        <w:t>182.461,83</w:t>
      </w:r>
      <w:r w:rsidRPr="00AC4C54">
        <w:rPr>
          <w:rFonts w:ascii="Arial" w:eastAsia="Times New Roman" w:hAnsi="Arial" w:cs="Arial"/>
          <w:b/>
          <w:iCs/>
          <w:sz w:val="20"/>
          <w:szCs w:val="20"/>
          <w:lang w:eastAsia="en-US"/>
        </w:rPr>
        <w:t xml:space="preserve"> €.</w:t>
      </w:r>
      <w:r w:rsidR="006D597E" w:rsidRPr="00AC4C54">
        <w:rPr>
          <w:rFonts w:ascii="Arial" w:eastAsia="Times New Roman" w:hAnsi="Arial" w:cs="Arial"/>
          <w:b/>
          <w:iCs/>
          <w:sz w:val="20"/>
          <w:szCs w:val="20"/>
          <w:lang w:eastAsia="en-US"/>
        </w:rPr>
        <w:t xml:space="preserve"> </w:t>
      </w:r>
    </w:p>
    <w:p w14:paraId="49B9C0A0" w14:textId="77777777" w:rsidR="001B6553" w:rsidRDefault="001B6553" w:rsidP="00593653">
      <w:pPr>
        <w:spacing w:after="0" w:line="240" w:lineRule="auto"/>
        <w:jc w:val="both"/>
        <w:rPr>
          <w:rFonts w:ascii="Arial" w:eastAsia="Times New Roman" w:hAnsi="Arial" w:cs="Arial"/>
          <w:b/>
          <w:iCs/>
          <w:sz w:val="20"/>
          <w:szCs w:val="20"/>
          <w:lang w:eastAsia="en-US"/>
        </w:rPr>
      </w:pPr>
    </w:p>
    <w:p w14:paraId="18434330" w14:textId="5FD2651F" w:rsidR="001B6553" w:rsidRDefault="001B6553" w:rsidP="001B6553">
      <w:pPr>
        <w:spacing w:after="0" w:line="240" w:lineRule="auto"/>
        <w:jc w:val="both"/>
        <w:rPr>
          <w:rFonts w:ascii="Arial" w:eastAsia="Times New Roman" w:hAnsi="Arial" w:cs="Arial"/>
          <w:b/>
          <w:iCs/>
          <w:sz w:val="20"/>
          <w:szCs w:val="20"/>
          <w:lang w:eastAsia="en-US"/>
        </w:rPr>
      </w:pPr>
      <w:r w:rsidRPr="00AC4C54">
        <w:rPr>
          <w:rFonts w:ascii="Arial" w:eastAsia="Times New Roman" w:hAnsi="Arial" w:cs="Arial"/>
          <w:bCs/>
          <w:iCs/>
          <w:sz w:val="20"/>
          <w:szCs w:val="20"/>
          <w:lang w:eastAsia="en-US"/>
        </w:rPr>
        <w:t>U 202</w:t>
      </w:r>
      <w:r>
        <w:rPr>
          <w:rFonts w:ascii="Arial" w:eastAsia="Times New Roman" w:hAnsi="Arial" w:cs="Arial"/>
          <w:bCs/>
          <w:iCs/>
          <w:sz w:val="20"/>
          <w:szCs w:val="20"/>
          <w:lang w:eastAsia="en-US"/>
        </w:rPr>
        <w:t>5</w:t>
      </w:r>
      <w:r w:rsidRPr="00AC4C54">
        <w:rPr>
          <w:rFonts w:ascii="Arial" w:eastAsia="Times New Roman" w:hAnsi="Arial" w:cs="Arial"/>
          <w:bCs/>
          <w:iCs/>
          <w:sz w:val="20"/>
          <w:szCs w:val="20"/>
          <w:lang w:eastAsia="en-US"/>
        </w:rPr>
        <w:t xml:space="preserve">. društvo je otplatilo glavnicu u iznosu </w:t>
      </w:r>
      <w:r w:rsidR="002C703E">
        <w:rPr>
          <w:rFonts w:ascii="Arial" w:eastAsia="Times New Roman" w:hAnsi="Arial" w:cs="Arial"/>
          <w:bCs/>
          <w:iCs/>
          <w:sz w:val="20"/>
          <w:szCs w:val="20"/>
          <w:lang w:eastAsia="en-US"/>
        </w:rPr>
        <w:t>37.562,71</w:t>
      </w:r>
      <w:r w:rsidRPr="00AC4C54">
        <w:rPr>
          <w:rFonts w:ascii="Arial" w:eastAsia="Times New Roman" w:hAnsi="Arial" w:cs="Arial"/>
          <w:bCs/>
          <w:iCs/>
          <w:sz w:val="20"/>
          <w:szCs w:val="20"/>
          <w:lang w:eastAsia="en-US"/>
        </w:rPr>
        <w:t xml:space="preserve"> € i kamate u iznosu </w:t>
      </w:r>
      <w:r w:rsidR="002C703E">
        <w:rPr>
          <w:rFonts w:ascii="Arial" w:eastAsia="Times New Roman" w:hAnsi="Arial" w:cs="Arial"/>
          <w:bCs/>
          <w:iCs/>
          <w:sz w:val="20"/>
          <w:szCs w:val="20"/>
          <w:lang w:eastAsia="en-US"/>
        </w:rPr>
        <w:t>8.501,81</w:t>
      </w:r>
      <w:r w:rsidRPr="00AC4C54">
        <w:rPr>
          <w:rFonts w:ascii="Arial" w:eastAsia="Times New Roman" w:hAnsi="Arial" w:cs="Arial"/>
          <w:bCs/>
          <w:iCs/>
          <w:sz w:val="20"/>
          <w:szCs w:val="20"/>
          <w:lang w:eastAsia="en-US"/>
        </w:rPr>
        <w:t xml:space="preserve"> €. Koncem 202</w:t>
      </w:r>
      <w:r w:rsidR="00B11D85">
        <w:rPr>
          <w:rFonts w:ascii="Arial" w:eastAsia="Times New Roman" w:hAnsi="Arial" w:cs="Arial"/>
          <w:bCs/>
          <w:iCs/>
          <w:sz w:val="20"/>
          <w:szCs w:val="20"/>
          <w:lang w:eastAsia="en-US"/>
        </w:rPr>
        <w:t>5</w:t>
      </w:r>
      <w:r w:rsidRPr="00AC4C54">
        <w:rPr>
          <w:rFonts w:ascii="Arial" w:eastAsia="Times New Roman" w:hAnsi="Arial" w:cs="Arial"/>
          <w:bCs/>
          <w:iCs/>
          <w:sz w:val="20"/>
          <w:szCs w:val="20"/>
          <w:lang w:eastAsia="en-US"/>
        </w:rPr>
        <w:t xml:space="preserve">. </w:t>
      </w:r>
      <w:r w:rsidRPr="00AC4C54">
        <w:rPr>
          <w:rFonts w:ascii="Arial" w:eastAsia="Times New Roman" w:hAnsi="Arial" w:cs="Arial"/>
          <w:b/>
          <w:iCs/>
          <w:sz w:val="20"/>
          <w:szCs w:val="20"/>
          <w:lang w:eastAsia="en-US"/>
        </w:rPr>
        <w:t>preostala glavnica kredita</w:t>
      </w:r>
      <w:r w:rsidRPr="00AC4C54">
        <w:rPr>
          <w:rFonts w:ascii="Arial" w:eastAsia="Times New Roman" w:hAnsi="Arial" w:cs="Arial"/>
          <w:bCs/>
          <w:iCs/>
          <w:sz w:val="20"/>
          <w:szCs w:val="20"/>
          <w:lang w:eastAsia="en-US"/>
        </w:rPr>
        <w:t xml:space="preserve"> iznosi </w:t>
      </w:r>
      <w:r w:rsidR="002C703E">
        <w:rPr>
          <w:rFonts w:ascii="Arial" w:eastAsia="Times New Roman" w:hAnsi="Arial" w:cs="Arial"/>
          <w:b/>
          <w:iCs/>
          <w:sz w:val="20"/>
          <w:szCs w:val="20"/>
          <w:lang w:eastAsia="en-US"/>
        </w:rPr>
        <w:t>144.899,12</w:t>
      </w:r>
      <w:r w:rsidRPr="00AC4C54">
        <w:rPr>
          <w:rFonts w:ascii="Arial" w:eastAsia="Times New Roman" w:hAnsi="Arial" w:cs="Arial"/>
          <w:b/>
          <w:iCs/>
          <w:sz w:val="20"/>
          <w:szCs w:val="20"/>
          <w:lang w:eastAsia="en-US"/>
        </w:rPr>
        <w:t xml:space="preserve"> €. </w:t>
      </w:r>
    </w:p>
    <w:p w14:paraId="3522F4E7" w14:textId="77777777" w:rsidR="001B6553" w:rsidRPr="00AC4C54" w:rsidRDefault="001B6553" w:rsidP="00593653">
      <w:pPr>
        <w:spacing w:after="0" w:line="240" w:lineRule="auto"/>
        <w:jc w:val="both"/>
        <w:rPr>
          <w:rFonts w:ascii="Arial" w:eastAsia="Times New Roman" w:hAnsi="Arial" w:cs="Arial"/>
          <w:b/>
          <w:iCs/>
          <w:sz w:val="20"/>
          <w:szCs w:val="20"/>
          <w:lang w:eastAsia="en-US"/>
        </w:rPr>
      </w:pPr>
    </w:p>
    <w:p w14:paraId="75B99323" w14:textId="77777777" w:rsidR="002C573F" w:rsidRPr="00AC4C54" w:rsidRDefault="002C573F" w:rsidP="004C43F1">
      <w:pPr>
        <w:spacing w:after="0" w:line="240" w:lineRule="auto"/>
        <w:jc w:val="both"/>
        <w:rPr>
          <w:rFonts w:ascii="Arial" w:eastAsia="Times New Roman" w:hAnsi="Arial" w:cs="Arial"/>
          <w:sz w:val="20"/>
          <w:szCs w:val="20"/>
        </w:rPr>
      </w:pPr>
    </w:p>
    <w:p w14:paraId="21FAAA3C" w14:textId="364F3211" w:rsidR="00593653" w:rsidRPr="00AC4C54" w:rsidRDefault="00593653" w:rsidP="00593653">
      <w:pPr>
        <w:shd w:val="clear" w:color="auto" w:fill="F2F2F2"/>
        <w:spacing w:after="0" w:line="240" w:lineRule="auto"/>
        <w:jc w:val="both"/>
        <w:rPr>
          <w:rFonts w:ascii="Arial" w:eastAsia="Calibri" w:hAnsi="Arial" w:cs="Arial"/>
          <w:b/>
          <w:sz w:val="20"/>
          <w:szCs w:val="20"/>
          <w:u w:val="single"/>
          <w:lang w:eastAsia="en-US"/>
        </w:rPr>
      </w:pPr>
      <w:r w:rsidRPr="00AC4C54">
        <w:rPr>
          <w:rFonts w:ascii="Arial" w:eastAsia="Calibri" w:hAnsi="Arial" w:cs="Arial"/>
          <w:b/>
          <w:sz w:val="20"/>
          <w:szCs w:val="20"/>
          <w:u w:val="single"/>
          <w:lang w:eastAsia="en-US"/>
        </w:rPr>
        <w:t xml:space="preserve">4. </w:t>
      </w:r>
      <w:r w:rsidRPr="00AC4C54">
        <w:rPr>
          <w:rFonts w:ascii="Arial" w:eastAsia="Calibri" w:hAnsi="Arial" w:cs="Arial"/>
          <w:b/>
          <w:sz w:val="20"/>
          <w:szCs w:val="20"/>
          <w:u w:val="single"/>
          <w:lang w:eastAsia="en-US"/>
        </w:rPr>
        <w:tab/>
        <w:t>Suglasnost za zaduživanje društva ČISTOĆA I ZELENILO KONAVLE D.O.O. (nabava komunalnog vozila</w:t>
      </w:r>
      <w:r w:rsidR="00253DDE">
        <w:rPr>
          <w:rFonts w:ascii="Arial" w:eastAsia="Calibri" w:hAnsi="Arial" w:cs="Arial"/>
          <w:b/>
          <w:sz w:val="20"/>
          <w:szCs w:val="20"/>
          <w:u w:val="single"/>
          <w:lang w:eastAsia="en-US"/>
        </w:rPr>
        <w:t>: vozilo s potisnom pločo</w:t>
      </w:r>
      <w:r w:rsidR="0074620F">
        <w:rPr>
          <w:rFonts w:ascii="Arial" w:eastAsia="Calibri" w:hAnsi="Arial" w:cs="Arial"/>
          <w:b/>
          <w:sz w:val="20"/>
          <w:szCs w:val="20"/>
          <w:u w:val="single"/>
          <w:lang w:eastAsia="en-US"/>
        </w:rPr>
        <w:t>m</w:t>
      </w:r>
      <w:r w:rsidR="00253DDE">
        <w:rPr>
          <w:rFonts w:ascii="Arial" w:eastAsia="Calibri" w:hAnsi="Arial" w:cs="Arial"/>
          <w:b/>
          <w:sz w:val="20"/>
          <w:szCs w:val="20"/>
          <w:u w:val="single"/>
          <w:lang w:eastAsia="en-US"/>
        </w:rPr>
        <w:t xml:space="preserve"> 5 m³, IVECO DAILY 35C16H NADOGRADNJA Qube 5 rossi</w:t>
      </w:r>
      <w:r w:rsidR="0074620F">
        <w:rPr>
          <w:rFonts w:ascii="Arial" w:eastAsia="Calibri" w:hAnsi="Arial" w:cs="Arial"/>
          <w:b/>
          <w:sz w:val="20"/>
          <w:szCs w:val="20"/>
          <w:u w:val="single"/>
          <w:lang w:eastAsia="en-US"/>
        </w:rPr>
        <w:t xml:space="preserve"> -</w:t>
      </w:r>
      <w:r w:rsidRPr="00AC4C54">
        <w:rPr>
          <w:rFonts w:ascii="Arial" w:eastAsia="Calibri" w:hAnsi="Arial" w:cs="Arial"/>
          <w:b/>
          <w:sz w:val="20"/>
          <w:szCs w:val="20"/>
          <w:u w:val="single"/>
        </w:rPr>
        <w:t xml:space="preserve"> </w:t>
      </w:r>
      <w:r w:rsidR="00582322" w:rsidRPr="00AC4C54">
        <w:rPr>
          <w:rFonts w:ascii="Arial" w:eastAsia="Calibri" w:hAnsi="Arial" w:cs="Arial"/>
          <w:b/>
          <w:sz w:val="20"/>
          <w:szCs w:val="20"/>
          <w:u w:val="single"/>
          <w:shd w:val="clear" w:color="auto" w:fill="F2F2F2"/>
        </w:rPr>
        <w:t>PBZ</w:t>
      </w:r>
      <w:r w:rsidRPr="00AC4C54">
        <w:rPr>
          <w:rFonts w:ascii="Arial" w:eastAsia="Calibri" w:hAnsi="Arial" w:cs="Arial"/>
          <w:b/>
          <w:sz w:val="20"/>
          <w:szCs w:val="20"/>
          <w:u w:val="single"/>
          <w:shd w:val="clear" w:color="auto" w:fill="F2F2F2"/>
        </w:rPr>
        <w:t xml:space="preserve"> leasing d.o.o.</w:t>
      </w:r>
      <w:r w:rsidRPr="00AC4C54">
        <w:rPr>
          <w:rFonts w:ascii="Arial" w:eastAsia="Calibri" w:hAnsi="Arial" w:cs="Arial"/>
          <w:b/>
          <w:sz w:val="20"/>
          <w:szCs w:val="20"/>
          <w:u w:val="single"/>
        </w:rPr>
        <w:t>)</w:t>
      </w:r>
    </w:p>
    <w:p w14:paraId="28618AC4" w14:textId="77777777" w:rsidR="00593653" w:rsidRPr="00AC4C54" w:rsidRDefault="00593653" w:rsidP="00593653">
      <w:pPr>
        <w:spacing w:after="0" w:line="240" w:lineRule="auto"/>
        <w:jc w:val="both"/>
        <w:rPr>
          <w:rFonts w:ascii="Arial" w:eastAsia="Times New Roman" w:hAnsi="Arial" w:cs="Arial"/>
          <w:bCs/>
          <w:iCs/>
          <w:sz w:val="20"/>
          <w:szCs w:val="20"/>
          <w:lang w:eastAsia="en-US"/>
        </w:rPr>
      </w:pPr>
    </w:p>
    <w:p w14:paraId="56C96392" w14:textId="4F5CE722" w:rsidR="00593653" w:rsidRPr="00AC4C54" w:rsidRDefault="00593653" w:rsidP="00593653">
      <w:pPr>
        <w:spacing w:after="0" w:line="240" w:lineRule="auto"/>
        <w:jc w:val="both"/>
        <w:rPr>
          <w:rFonts w:ascii="Arial" w:eastAsia="Times New Roman" w:hAnsi="Arial" w:cs="Arial"/>
          <w:sz w:val="20"/>
          <w:szCs w:val="20"/>
        </w:rPr>
      </w:pPr>
      <w:r w:rsidRPr="00AC4C54">
        <w:rPr>
          <w:rFonts w:ascii="Arial" w:eastAsia="Times New Roman" w:hAnsi="Arial" w:cs="Arial"/>
          <w:b/>
          <w:sz w:val="20"/>
          <w:szCs w:val="20"/>
        </w:rPr>
        <w:t xml:space="preserve">Općinsko vijeće Općine Konavle je na </w:t>
      </w:r>
      <w:r w:rsidR="004F40C2" w:rsidRPr="00AC4C54">
        <w:rPr>
          <w:rFonts w:ascii="Arial" w:eastAsia="Times New Roman" w:hAnsi="Arial" w:cs="Arial"/>
          <w:b/>
          <w:sz w:val="20"/>
          <w:szCs w:val="20"/>
        </w:rPr>
        <w:t xml:space="preserve">19. </w:t>
      </w:r>
      <w:r w:rsidRPr="00AC4C54">
        <w:rPr>
          <w:rFonts w:ascii="Arial" w:eastAsia="Times New Roman" w:hAnsi="Arial" w:cs="Arial"/>
          <w:b/>
          <w:sz w:val="20"/>
          <w:szCs w:val="20"/>
        </w:rPr>
        <w:t xml:space="preserve">sjednici održanoj </w:t>
      </w:r>
      <w:r w:rsidR="00DE33F6" w:rsidRPr="00AC4C54">
        <w:rPr>
          <w:rFonts w:ascii="Arial" w:eastAsia="Times New Roman" w:hAnsi="Arial" w:cs="Arial"/>
          <w:b/>
          <w:sz w:val="20"/>
          <w:szCs w:val="20"/>
        </w:rPr>
        <w:t xml:space="preserve">25. svibnja </w:t>
      </w:r>
      <w:r w:rsidRPr="00AC4C54">
        <w:rPr>
          <w:rFonts w:ascii="Arial" w:eastAsia="Times New Roman" w:hAnsi="Arial" w:cs="Arial"/>
          <w:b/>
          <w:sz w:val="20"/>
          <w:szCs w:val="20"/>
        </w:rPr>
        <w:t>202</w:t>
      </w:r>
      <w:r w:rsidR="00DE33F6" w:rsidRPr="00AC4C54">
        <w:rPr>
          <w:rFonts w:ascii="Arial" w:eastAsia="Times New Roman" w:hAnsi="Arial" w:cs="Arial"/>
          <w:b/>
          <w:sz w:val="20"/>
          <w:szCs w:val="20"/>
        </w:rPr>
        <w:t>4</w:t>
      </w:r>
      <w:r w:rsidRPr="00AC4C54">
        <w:rPr>
          <w:rFonts w:ascii="Arial" w:eastAsia="Times New Roman" w:hAnsi="Arial" w:cs="Arial"/>
          <w:b/>
          <w:sz w:val="20"/>
          <w:szCs w:val="20"/>
        </w:rPr>
        <w:t xml:space="preserve">., na temelju članka 127. Zakona o proračunu </w:t>
      </w:r>
      <w:r w:rsidRPr="00AC4C54">
        <w:rPr>
          <w:rFonts w:ascii="Arial" w:eastAsia="Calibri" w:hAnsi="Arial" w:cs="Arial"/>
          <w:b/>
          <w:sz w:val="20"/>
          <w:szCs w:val="20"/>
        </w:rPr>
        <w:t xml:space="preserve">(Narodne novine broj 144/21) donijelo Odluku o davanju suglasnosti za kreditno zaduživanje društva Čistoća i zelenilo Konavle d.o.o. Čilipi. </w:t>
      </w:r>
      <w:r w:rsidRPr="00AC4C54">
        <w:rPr>
          <w:rFonts w:ascii="Arial" w:eastAsia="Calibri" w:hAnsi="Arial" w:cs="Arial"/>
          <w:sz w:val="20"/>
          <w:szCs w:val="20"/>
        </w:rPr>
        <w:t xml:space="preserve">(odluka objavljena u Službenom glasniku Općine Konavle </w:t>
      </w:r>
      <w:r w:rsidR="009D0C13" w:rsidRPr="00AC4C54">
        <w:rPr>
          <w:rFonts w:ascii="Arial" w:eastAsia="Calibri" w:hAnsi="Arial" w:cs="Arial"/>
          <w:sz w:val="20"/>
          <w:szCs w:val="20"/>
        </w:rPr>
        <w:t>3</w:t>
      </w:r>
      <w:r w:rsidRPr="00AC4C54">
        <w:rPr>
          <w:rFonts w:ascii="Arial" w:eastAsia="Calibri" w:hAnsi="Arial" w:cs="Arial"/>
          <w:sz w:val="20"/>
          <w:szCs w:val="20"/>
        </w:rPr>
        <w:t>/202</w:t>
      </w:r>
      <w:r w:rsidR="009D0C13" w:rsidRPr="00AC4C54">
        <w:rPr>
          <w:rFonts w:ascii="Arial" w:eastAsia="Calibri" w:hAnsi="Arial" w:cs="Arial"/>
          <w:sz w:val="20"/>
          <w:szCs w:val="20"/>
        </w:rPr>
        <w:t>4</w:t>
      </w:r>
      <w:r w:rsidRPr="00AC4C54">
        <w:rPr>
          <w:rFonts w:ascii="Arial" w:eastAsia="Calibri" w:hAnsi="Arial" w:cs="Arial"/>
          <w:sz w:val="20"/>
          <w:szCs w:val="20"/>
        </w:rPr>
        <w:t xml:space="preserve">). Čistoća i zelenilo Konavle d.o.o. je zaključilo ugovor </w:t>
      </w:r>
      <w:r w:rsidR="009D0C13" w:rsidRPr="00AC4C54">
        <w:rPr>
          <w:rFonts w:ascii="Arial" w:eastAsia="Times New Roman" w:hAnsi="Arial" w:cs="Arial"/>
          <w:sz w:val="20"/>
          <w:szCs w:val="20"/>
        </w:rPr>
        <w:t>6.6.2024</w:t>
      </w:r>
      <w:r w:rsidRPr="00AC4C54">
        <w:rPr>
          <w:rFonts w:ascii="Arial" w:eastAsia="Times New Roman" w:hAnsi="Arial" w:cs="Arial"/>
          <w:sz w:val="20"/>
          <w:szCs w:val="20"/>
        </w:rPr>
        <w:t xml:space="preserve">. godine s </w:t>
      </w:r>
      <w:r w:rsidR="009D0C13" w:rsidRPr="00AC4C54">
        <w:rPr>
          <w:rFonts w:ascii="Arial" w:eastAsia="Times New Roman" w:hAnsi="Arial" w:cs="Arial"/>
          <w:sz w:val="20"/>
          <w:szCs w:val="20"/>
        </w:rPr>
        <w:t>PBZ</w:t>
      </w:r>
      <w:r w:rsidRPr="00AC4C54">
        <w:rPr>
          <w:rFonts w:ascii="Arial" w:eastAsia="Times New Roman" w:hAnsi="Arial" w:cs="Arial"/>
          <w:sz w:val="20"/>
          <w:szCs w:val="20"/>
        </w:rPr>
        <w:t xml:space="preserve"> leasing d.o.o. </w:t>
      </w:r>
      <w:r w:rsidR="00793280" w:rsidRPr="00AC4C54">
        <w:rPr>
          <w:rFonts w:ascii="Arial" w:eastAsia="Times New Roman" w:hAnsi="Arial" w:cs="Arial"/>
          <w:sz w:val="20"/>
          <w:szCs w:val="20"/>
        </w:rPr>
        <w:t>u iznosu 132.505,04 € (</w:t>
      </w:r>
      <w:r w:rsidR="00793280" w:rsidRPr="00253DDE">
        <w:rPr>
          <w:rFonts w:ascii="Arial" w:eastAsia="Times New Roman" w:hAnsi="Arial" w:cs="Arial"/>
          <w:b/>
          <w:bCs/>
          <w:sz w:val="20"/>
          <w:szCs w:val="20"/>
        </w:rPr>
        <w:t>sveukupno glavnica 123.125,00 €</w:t>
      </w:r>
      <w:r w:rsidR="00793280" w:rsidRPr="00AC4C54">
        <w:rPr>
          <w:rFonts w:ascii="Arial" w:eastAsia="Times New Roman" w:hAnsi="Arial" w:cs="Arial"/>
          <w:sz w:val="20"/>
          <w:szCs w:val="20"/>
        </w:rPr>
        <w:t xml:space="preserve">, kamate i naknade). </w:t>
      </w:r>
      <w:r w:rsidRPr="00AC4C54">
        <w:rPr>
          <w:rFonts w:ascii="Arial" w:eastAsia="Times New Roman" w:hAnsi="Arial" w:cs="Arial"/>
          <w:sz w:val="20"/>
          <w:szCs w:val="20"/>
        </w:rPr>
        <w:t>Obračun prvog obroka leasinga počin</w:t>
      </w:r>
      <w:r w:rsidR="002C085C" w:rsidRPr="00AC4C54">
        <w:rPr>
          <w:rFonts w:ascii="Arial" w:eastAsia="Times New Roman" w:hAnsi="Arial" w:cs="Arial"/>
          <w:sz w:val="20"/>
          <w:szCs w:val="20"/>
        </w:rPr>
        <w:t>j</w:t>
      </w:r>
      <w:r w:rsidRPr="00AC4C54">
        <w:rPr>
          <w:rFonts w:ascii="Arial" w:eastAsia="Times New Roman" w:hAnsi="Arial" w:cs="Arial"/>
          <w:sz w:val="20"/>
          <w:szCs w:val="20"/>
        </w:rPr>
        <w:t xml:space="preserve">e prvi dan u mjesecu koji slijedi mjesecu u kojem je izvršena primopredaja objekta leasinga. Redovna </w:t>
      </w:r>
      <w:r w:rsidRPr="00AC4C54">
        <w:rPr>
          <w:rFonts w:ascii="Arial" w:eastAsia="Times New Roman" w:hAnsi="Arial" w:cs="Arial"/>
          <w:sz w:val="20"/>
          <w:szCs w:val="20"/>
        </w:rPr>
        <w:lastRenderedPageBreak/>
        <w:t>kamatna stopa je fiksna i iznosi 5,</w:t>
      </w:r>
      <w:r w:rsidR="00252D30" w:rsidRPr="00AC4C54">
        <w:rPr>
          <w:rFonts w:ascii="Arial" w:eastAsia="Times New Roman" w:hAnsi="Arial" w:cs="Arial"/>
          <w:sz w:val="20"/>
          <w:szCs w:val="20"/>
        </w:rPr>
        <w:t>95</w:t>
      </w:r>
      <w:r w:rsidRPr="00AC4C54">
        <w:rPr>
          <w:rFonts w:ascii="Arial" w:eastAsia="Times New Roman" w:hAnsi="Arial" w:cs="Arial"/>
          <w:sz w:val="20"/>
          <w:szCs w:val="20"/>
        </w:rPr>
        <w:t xml:space="preserve">% godišnje, a obračunava se i plaća mjesečno. Zatezna kamatna stopa je u visini zakonske zatezne kamate. Nema troška odobravanja kredita. Sredstva osiguranja su 1 zadužnica Korisnika kredita. Otplata je u </w:t>
      </w:r>
      <w:r w:rsidR="005535F3" w:rsidRPr="00AC4C54">
        <w:rPr>
          <w:rFonts w:ascii="Arial" w:eastAsia="Times New Roman" w:hAnsi="Arial" w:cs="Arial"/>
          <w:sz w:val="20"/>
          <w:szCs w:val="20"/>
        </w:rPr>
        <w:t>36</w:t>
      </w:r>
      <w:r w:rsidRPr="00AC4C54">
        <w:rPr>
          <w:rFonts w:ascii="Arial" w:eastAsia="Times New Roman" w:hAnsi="Arial" w:cs="Arial"/>
          <w:sz w:val="20"/>
          <w:szCs w:val="20"/>
        </w:rPr>
        <w:t xml:space="preserve"> redovitih mjesečnih obroka kredita (jednaki obroci). </w:t>
      </w:r>
    </w:p>
    <w:p w14:paraId="502D38EC" w14:textId="6A0E0661" w:rsidR="00593653" w:rsidRPr="00AC4C54" w:rsidRDefault="00593653" w:rsidP="00593653">
      <w:pPr>
        <w:spacing w:after="0" w:line="240" w:lineRule="auto"/>
        <w:jc w:val="both"/>
        <w:rPr>
          <w:rFonts w:ascii="Arial" w:eastAsia="Times New Roman" w:hAnsi="Arial" w:cs="Arial"/>
          <w:sz w:val="20"/>
          <w:szCs w:val="20"/>
        </w:rPr>
      </w:pPr>
      <w:r w:rsidRPr="00AC4C54">
        <w:rPr>
          <w:rFonts w:ascii="Arial" w:eastAsia="Times New Roman" w:hAnsi="Arial" w:cs="Arial"/>
          <w:bCs/>
          <w:iCs/>
          <w:sz w:val="20"/>
          <w:szCs w:val="20"/>
          <w:lang w:eastAsia="en-US"/>
        </w:rPr>
        <w:t xml:space="preserve">Društvo je u </w:t>
      </w:r>
      <w:r w:rsidR="005535F3" w:rsidRPr="00AC4C54">
        <w:rPr>
          <w:rFonts w:ascii="Arial" w:eastAsia="Times New Roman" w:hAnsi="Arial" w:cs="Arial"/>
          <w:bCs/>
          <w:iCs/>
          <w:sz w:val="20"/>
          <w:szCs w:val="20"/>
          <w:lang w:eastAsia="en-US"/>
        </w:rPr>
        <w:t>lipnju</w:t>
      </w:r>
      <w:r w:rsidRPr="00AC4C54">
        <w:rPr>
          <w:rFonts w:ascii="Arial" w:eastAsia="Times New Roman" w:hAnsi="Arial" w:cs="Arial"/>
          <w:bCs/>
          <w:iCs/>
          <w:sz w:val="20"/>
          <w:szCs w:val="20"/>
          <w:lang w:eastAsia="en-US"/>
        </w:rPr>
        <w:t xml:space="preserve"> 2024. podmirilo učešće za kredit u iznosu </w:t>
      </w:r>
      <w:r w:rsidR="005535F3" w:rsidRPr="00AC4C54">
        <w:rPr>
          <w:rFonts w:ascii="Arial" w:eastAsia="Times New Roman" w:hAnsi="Arial" w:cs="Arial"/>
          <w:bCs/>
          <w:iCs/>
          <w:sz w:val="20"/>
          <w:szCs w:val="20"/>
          <w:lang w:eastAsia="en-US"/>
        </w:rPr>
        <w:t>24.625</w:t>
      </w:r>
      <w:r w:rsidRPr="00AC4C54">
        <w:rPr>
          <w:rFonts w:ascii="Arial" w:eastAsia="Times New Roman" w:hAnsi="Arial" w:cs="Arial"/>
          <w:bCs/>
          <w:iCs/>
          <w:sz w:val="20"/>
          <w:szCs w:val="20"/>
          <w:lang w:eastAsia="en-US"/>
        </w:rPr>
        <w:t xml:space="preserve"> €. </w:t>
      </w:r>
      <w:r w:rsidRPr="00AC4C54">
        <w:rPr>
          <w:rFonts w:ascii="Arial" w:eastAsia="Times New Roman" w:hAnsi="Arial" w:cs="Arial"/>
          <w:sz w:val="20"/>
          <w:szCs w:val="20"/>
        </w:rPr>
        <w:t xml:space="preserve">Primopredaja objekta leasinga je bila </w:t>
      </w:r>
      <w:r w:rsidR="00EC5906" w:rsidRPr="00AC4C54">
        <w:rPr>
          <w:rFonts w:ascii="Arial" w:eastAsia="Times New Roman" w:hAnsi="Arial" w:cs="Arial"/>
          <w:sz w:val="20"/>
          <w:szCs w:val="20"/>
        </w:rPr>
        <w:t xml:space="preserve">u lipnju </w:t>
      </w:r>
      <w:r w:rsidRPr="00AC4C54">
        <w:rPr>
          <w:rFonts w:ascii="Arial" w:eastAsia="Times New Roman" w:hAnsi="Arial" w:cs="Arial"/>
          <w:sz w:val="20"/>
          <w:szCs w:val="20"/>
        </w:rPr>
        <w:t>2024.</w:t>
      </w:r>
    </w:p>
    <w:p w14:paraId="4AB82449" w14:textId="235354EC" w:rsidR="00793280" w:rsidRPr="00AC4C54" w:rsidRDefault="00793280" w:rsidP="00793280">
      <w:pPr>
        <w:spacing w:after="0" w:line="240" w:lineRule="auto"/>
        <w:jc w:val="both"/>
        <w:rPr>
          <w:rFonts w:ascii="Arial" w:eastAsia="Times New Roman" w:hAnsi="Arial" w:cs="Arial"/>
          <w:b/>
          <w:iCs/>
          <w:sz w:val="20"/>
          <w:szCs w:val="20"/>
          <w:lang w:eastAsia="en-US"/>
        </w:rPr>
      </w:pPr>
      <w:r w:rsidRPr="00AC4C54">
        <w:rPr>
          <w:rFonts w:ascii="Arial" w:eastAsia="Times New Roman" w:hAnsi="Arial" w:cs="Arial"/>
          <w:bCs/>
          <w:iCs/>
          <w:sz w:val="20"/>
          <w:szCs w:val="20"/>
          <w:lang w:eastAsia="en-US"/>
        </w:rPr>
        <w:t xml:space="preserve">U 2024. društvo je otplatilo glavnicu u iznosu 39.693,66 € (zajedno s učešćem) i kamate u iznosu 2.744,68 €. Koncem 2024. </w:t>
      </w:r>
      <w:r w:rsidRPr="00AC4C54">
        <w:rPr>
          <w:rFonts w:ascii="Arial" w:eastAsia="Times New Roman" w:hAnsi="Arial" w:cs="Arial"/>
          <w:b/>
          <w:iCs/>
          <w:sz w:val="20"/>
          <w:szCs w:val="20"/>
          <w:lang w:eastAsia="en-US"/>
        </w:rPr>
        <w:t>preostala glavnica kredita</w:t>
      </w:r>
      <w:r w:rsidRPr="00AC4C54">
        <w:rPr>
          <w:rFonts w:ascii="Arial" w:eastAsia="Times New Roman" w:hAnsi="Arial" w:cs="Arial"/>
          <w:bCs/>
          <w:iCs/>
          <w:sz w:val="20"/>
          <w:szCs w:val="20"/>
          <w:lang w:eastAsia="en-US"/>
        </w:rPr>
        <w:t xml:space="preserve"> iznosi </w:t>
      </w:r>
      <w:r w:rsidRPr="00AC4C54">
        <w:rPr>
          <w:rFonts w:ascii="Arial" w:eastAsia="Times New Roman" w:hAnsi="Arial" w:cs="Arial"/>
          <w:b/>
          <w:iCs/>
          <w:sz w:val="20"/>
          <w:szCs w:val="20"/>
          <w:lang w:eastAsia="en-US"/>
        </w:rPr>
        <w:t xml:space="preserve">83.431,34 €. </w:t>
      </w:r>
    </w:p>
    <w:p w14:paraId="4E66EB63" w14:textId="54849E74" w:rsidR="00B11D85" w:rsidRPr="00AC4C54" w:rsidRDefault="00B11D85" w:rsidP="00B11D85">
      <w:pPr>
        <w:spacing w:after="0" w:line="240" w:lineRule="auto"/>
        <w:jc w:val="both"/>
        <w:rPr>
          <w:rFonts w:ascii="Arial" w:eastAsia="Times New Roman" w:hAnsi="Arial" w:cs="Arial"/>
          <w:b/>
          <w:iCs/>
          <w:sz w:val="20"/>
          <w:szCs w:val="20"/>
          <w:lang w:eastAsia="en-US"/>
        </w:rPr>
      </w:pPr>
      <w:r w:rsidRPr="00AC4C54">
        <w:rPr>
          <w:rFonts w:ascii="Arial" w:eastAsia="Times New Roman" w:hAnsi="Arial" w:cs="Arial"/>
          <w:bCs/>
          <w:iCs/>
          <w:sz w:val="20"/>
          <w:szCs w:val="20"/>
          <w:lang w:eastAsia="en-US"/>
        </w:rPr>
        <w:t>U 202</w:t>
      </w:r>
      <w:r>
        <w:rPr>
          <w:rFonts w:ascii="Arial" w:eastAsia="Times New Roman" w:hAnsi="Arial" w:cs="Arial"/>
          <w:bCs/>
          <w:iCs/>
          <w:sz w:val="20"/>
          <w:szCs w:val="20"/>
          <w:lang w:eastAsia="en-US"/>
        </w:rPr>
        <w:t>5</w:t>
      </w:r>
      <w:r w:rsidRPr="00AC4C54">
        <w:rPr>
          <w:rFonts w:ascii="Arial" w:eastAsia="Times New Roman" w:hAnsi="Arial" w:cs="Arial"/>
          <w:bCs/>
          <w:iCs/>
          <w:sz w:val="20"/>
          <w:szCs w:val="20"/>
          <w:lang w:eastAsia="en-US"/>
        </w:rPr>
        <w:t xml:space="preserve">. društvo je otplatilo glavnicu u iznosu </w:t>
      </w:r>
      <w:r w:rsidR="002C703E">
        <w:rPr>
          <w:rFonts w:ascii="Arial" w:eastAsia="Times New Roman" w:hAnsi="Arial" w:cs="Arial"/>
          <w:bCs/>
          <w:iCs/>
          <w:sz w:val="20"/>
          <w:szCs w:val="20"/>
          <w:lang w:eastAsia="en-US"/>
        </w:rPr>
        <w:t>31.512,67</w:t>
      </w:r>
      <w:r w:rsidRPr="00AC4C54">
        <w:rPr>
          <w:rFonts w:ascii="Arial" w:eastAsia="Times New Roman" w:hAnsi="Arial" w:cs="Arial"/>
          <w:bCs/>
          <w:iCs/>
          <w:sz w:val="20"/>
          <w:szCs w:val="20"/>
          <w:lang w:eastAsia="en-US"/>
        </w:rPr>
        <w:t xml:space="preserve"> € i kamate u iznosu </w:t>
      </w:r>
      <w:r w:rsidR="002C703E">
        <w:rPr>
          <w:rFonts w:ascii="Arial" w:eastAsia="Times New Roman" w:hAnsi="Arial" w:cs="Arial"/>
          <w:bCs/>
          <w:iCs/>
          <w:sz w:val="20"/>
          <w:szCs w:val="20"/>
          <w:lang w:eastAsia="en-US"/>
        </w:rPr>
        <w:t>4.114,01</w:t>
      </w:r>
      <w:r w:rsidRPr="00AC4C54">
        <w:rPr>
          <w:rFonts w:ascii="Arial" w:eastAsia="Times New Roman" w:hAnsi="Arial" w:cs="Arial"/>
          <w:bCs/>
          <w:iCs/>
          <w:sz w:val="20"/>
          <w:szCs w:val="20"/>
          <w:lang w:eastAsia="en-US"/>
        </w:rPr>
        <w:t xml:space="preserve"> €. Koncem 202</w:t>
      </w:r>
      <w:r>
        <w:rPr>
          <w:rFonts w:ascii="Arial" w:eastAsia="Times New Roman" w:hAnsi="Arial" w:cs="Arial"/>
          <w:bCs/>
          <w:iCs/>
          <w:sz w:val="20"/>
          <w:szCs w:val="20"/>
          <w:lang w:eastAsia="en-US"/>
        </w:rPr>
        <w:t>5</w:t>
      </w:r>
      <w:r w:rsidRPr="00AC4C54">
        <w:rPr>
          <w:rFonts w:ascii="Arial" w:eastAsia="Times New Roman" w:hAnsi="Arial" w:cs="Arial"/>
          <w:bCs/>
          <w:iCs/>
          <w:sz w:val="20"/>
          <w:szCs w:val="20"/>
          <w:lang w:eastAsia="en-US"/>
        </w:rPr>
        <w:t xml:space="preserve">. </w:t>
      </w:r>
      <w:r w:rsidRPr="00AC4C54">
        <w:rPr>
          <w:rFonts w:ascii="Arial" w:eastAsia="Times New Roman" w:hAnsi="Arial" w:cs="Arial"/>
          <w:b/>
          <w:iCs/>
          <w:sz w:val="20"/>
          <w:szCs w:val="20"/>
          <w:lang w:eastAsia="en-US"/>
        </w:rPr>
        <w:t>preostala glavnica kredita</w:t>
      </w:r>
      <w:r w:rsidRPr="00AC4C54">
        <w:rPr>
          <w:rFonts w:ascii="Arial" w:eastAsia="Times New Roman" w:hAnsi="Arial" w:cs="Arial"/>
          <w:bCs/>
          <w:iCs/>
          <w:sz w:val="20"/>
          <w:szCs w:val="20"/>
          <w:lang w:eastAsia="en-US"/>
        </w:rPr>
        <w:t xml:space="preserve"> iznosi </w:t>
      </w:r>
      <w:r w:rsidR="002C703E">
        <w:rPr>
          <w:rFonts w:ascii="Arial" w:eastAsia="Times New Roman" w:hAnsi="Arial" w:cs="Arial"/>
          <w:b/>
          <w:iCs/>
          <w:sz w:val="20"/>
          <w:szCs w:val="20"/>
          <w:lang w:eastAsia="en-US"/>
        </w:rPr>
        <w:t>51.918,67</w:t>
      </w:r>
      <w:r w:rsidRPr="00AC4C54">
        <w:rPr>
          <w:rFonts w:ascii="Arial" w:eastAsia="Times New Roman" w:hAnsi="Arial" w:cs="Arial"/>
          <w:b/>
          <w:iCs/>
          <w:sz w:val="20"/>
          <w:szCs w:val="20"/>
          <w:lang w:eastAsia="en-US"/>
        </w:rPr>
        <w:t xml:space="preserve"> €. </w:t>
      </w:r>
    </w:p>
    <w:p w14:paraId="14EB7BF5" w14:textId="77777777" w:rsidR="00AB04F5" w:rsidRDefault="00AB04F5" w:rsidP="004C43F1">
      <w:pPr>
        <w:spacing w:after="0" w:line="240" w:lineRule="auto"/>
        <w:jc w:val="both"/>
        <w:rPr>
          <w:rFonts w:ascii="Arial" w:eastAsia="Times New Roman" w:hAnsi="Arial" w:cs="Arial"/>
          <w:sz w:val="20"/>
          <w:szCs w:val="20"/>
        </w:rPr>
      </w:pPr>
    </w:p>
    <w:p w14:paraId="5E30AD77" w14:textId="77777777" w:rsidR="00AB04F5" w:rsidRPr="00AC4C54" w:rsidRDefault="00AB04F5" w:rsidP="004C43F1">
      <w:pPr>
        <w:spacing w:after="0" w:line="240" w:lineRule="auto"/>
        <w:jc w:val="both"/>
        <w:rPr>
          <w:rFonts w:ascii="Arial" w:eastAsia="Times New Roman" w:hAnsi="Arial" w:cs="Arial"/>
          <w:sz w:val="20"/>
          <w:szCs w:val="20"/>
        </w:rPr>
      </w:pPr>
    </w:p>
    <w:p w14:paraId="5BED67D2" w14:textId="5FF0DCB0" w:rsidR="00793280" w:rsidRPr="00AC4C54" w:rsidRDefault="00793280" w:rsidP="00793280">
      <w:pPr>
        <w:shd w:val="clear" w:color="auto" w:fill="F2F2F2"/>
        <w:spacing w:after="0" w:line="240" w:lineRule="auto"/>
        <w:jc w:val="both"/>
        <w:rPr>
          <w:rFonts w:ascii="Arial" w:eastAsia="Calibri" w:hAnsi="Arial" w:cs="Arial"/>
          <w:b/>
          <w:sz w:val="20"/>
          <w:szCs w:val="20"/>
          <w:u w:val="single"/>
          <w:lang w:eastAsia="en-US"/>
        </w:rPr>
      </w:pPr>
      <w:r w:rsidRPr="00AC4C54">
        <w:rPr>
          <w:rFonts w:ascii="Arial" w:eastAsia="Calibri" w:hAnsi="Arial" w:cs="Arial"/>
          <w:b/>
          <w:sz w:val="20"/>
          <w:szCs w:val="20"/>
          <w:u w:val="single"/>
          <w:lang w:eastAsia="en-US"/>
        </w:rPr>
        <w:t xml:space="preserve">5. </w:t>
      </w:r>
      <w:r w:rsidRPr="00AC4C54">
        <w:rPr>
          <w:rFonts w:ascii="Arial" w:eastAsia="Calibri" w:hAnsi="Arial" w:cs="Arial"/>
          <w:b/>
          <w:sz w:val="20"/>
          <w:szCs w:val="20"/>
          <w:u w:val="single"/>
          <w:lang w:eastAsia="en-US"/>
        </w:rPr>
        <w:tab/>
        <w:t>Suglasnost za zaduživanje društva ČISTOĆA I ZELENILO KONAVLE D.O.O. (nabava komunalnog vozila</w:t>
      </w:r>
      <w:r w:rsidR="00253DDE">
        <w:rPr>
          <w:rFonts w:ascii="Arial" w:eastAsia="Calibri" w:hAnsi="Arial" w:cs="Arial"/>
          <w:b/>
          <w:sz w:val="20"/>
          <w:szCs w:val="20"/>
          <w:u w:val="single"/>
          <w:lang w:eastAsia="en-US"/>
        </w:rPr>
        <w:t>: MAN TGM 18.290 4X2 BB CH, VOZILO S KRANOM</w:t>
      </w:r>
      <w:r w:rsidRPr="00AC4C54">
        <w:rPr>
          <w:rFonts w:ascii="Arial" w:eastAsia="Calibri" w:hAnsi="Arial" w:cs="Arial"/>
          <w:b/>
          <w:sz w:val="20"/>
          <w:szCs w:val="20"/>
          <w:u w:val="single"/>
        </w:rPr>
        <w:t xml:space="preserve"> – </w:t>
      </w:r>
      <w:r w:rsidRPr="00AC4C54">
        <w:rPr>
          <w:rFonts w:ascii="Arial" w:eastAsia="Calibri" w:hAnsi="Arial" w:cs="Arial"/>
          <w:b/>
          <w:sz w:val="20"/>
          <w:szCs w:val="20"/>
          <w:u w:val="single"/>
          <w:shd w:val="clear" w:color="auto" w:fill="F2F2F2"/>
        </w:rPr>
        <w:t>PBZ leasing d.o.o.</w:t>
      </w:r>
      <w:r w:rsidRPr="00AC4C54">
        <w:rPr>
          <w:rFonts w:ascii="Arial" w:eastAsia="Calibri" w:hAnsi="Arial" w:cs="Arial"/>
          <w:b/>
          <w:sz w:val="20"/>
          <w:szCs w:val="20"/>
          <w:u w:val="single"/>
        </w:rPr>
        <w:t>)</w:t>
      </w:r>
    </w:p>
    <w:p w14:paraId="3DB4D362" w14:textId="77777777" w:rsidR="00793280" w:rsidRPr="00AC4C54" w:rsidRDefault="00793280" w:rsidP="00793280">
      <w:pPr>
        <w:spacing w:after="0" w:line="240" w:lineRule="auto"/>
        <w:jc w:val="both"/>
        <w:rPr>
          <w:rFonts w:ascii="Arial" w:eastAsia="Times New Roman" w:hAnsi="Arial" w:cs="Arial"/>
          <w:bCs/>
          <w:iCs/>
          <w:sz w:val="20"/>
          <w:szCs w:val="20"/>
          <w:lang w:eastAsia="en-US"/>
        </w:rPr>
      </w:pPr>
    </w:p>
    <w:p w14:paraId="5D1E2640" w14:textId="75D0D880" w:rsidR="00793280" w:rsidRPr="00AC4C54" w:rsidRDefault="00793280" w:rsidP="00793280">
      <w:pPr>
        <w:spacing w:after="0" w:line="240" w:lineRule="auto"/>
        <w:jc w:val="both"/>
        <w:rPr>
          <w:rFonts w:ascii="Arial" w:eastAsia="Times New Roman" w:hAnsi="Arial" w:cs="Arial"/>
          <w:sz w:val="20"/>
          <w:szCs w:val="20"/>
        </w:rPr>
      </w:pPr>
      <w:r w:rsidRPr="00AC4C54">
        <w:rPr>
          <w:rFonts w:ascii="Arial" w:eastAsia="Times New Roman" w:hAnsi="Arial" w:cs="Arial"/>
          <w:b/>
          <w:sz w:val="20"/>
          <w:szCs w:val="20"/>
        </w:rPr>
        <w:t xml:space="preserve">Općinsko vijeće Općine Konavle je na </w:t>
      </w:r>
      <w:r w:rsidR="00BF491F" w:rsidRPr="00AC4C54">
        <w:rPr>
          <w:rFonts w:ascii="Arial" w:eastAsia="Times New Roman" w:hAnsi="Arial" w:cs="Arial"/>
          <w:b/>
          <w:sz w:val="20"/>
          <w:szCs w:val="20"/>
        </w:rPr>
        <w:t>22</w:t>
      </w:r>
      <w:r w:rsidRPr="00AC4C54">
        <w:rPr>
          <w:rFonts w:ascii="Arial" w:eastAsia="Times New Roman" w:hAnsi="Arial" w:cs="Arial"/>
          <w:b/>
          <w:sz w:val="20"/>
          <w:szCs w:val="20"/>
        </w:rPr>
        <w:t>. sjednici održanoj 2</w:t>
      </w:r>
      <w:r w:rsidR="00BF491F" w:rsidRPr="00AC4C54">
        <w:rPr>
          <w:rFonts w:ascii="Arial" w:eastAsia="Times New Roman" w:hAnsi="Arial" w:cs="Arial"/>
          <w:b/>
          <w:sz w:val="20"/>
          <w:szCs w:val="20"/>
        </w:rPr>
        <w:t>0</w:t>
      </w:r>
      <w:r w:rsidRPr="00AC4C54">
        <w:rPr>
          <w:rFonts w:ascii="Arial" w:eastAsia="Times New Roman" w:hAnsi="Arial" w:cs="Arial"/>
          <w:b/>
          <w:sz w:val="20"/>
          <w:szCs w:val="20"/>
        </w:rPr>
        <w:t xml:space="preserve">. </w:t>
      </w:r>
      <w:r w:rsidR="00BF491F" w:rsidRPr="00AC4C54">
        <w:rPr>
          <w:rFonts w:ascii="Arial" w:eastAsia="Times New Roman" w:hAnsi="Arial" w:cs="Arial"/>
          <w:b/>
          <w:sz w:val="20"/>
          <w:szCs w:val="20"/>
        </w:rPr>
        <w:t>rujna</w:t>
      </w:r>
      <w:r w:rsidRPr="00AC4C54">
        <w:rPr>
          <w:rFonts w:ascii="Arial" w:eastAsia="Times New Roman" w:hAnsi="Arial" w:cs="Arial"/>
          <w:b/>
          <w:sz w:val="20"/>
          <w:szCs w:val="20"/>
        </w:rPr>
        <w:t xml:space="preserve"> 2024., na temelju članka 127. Zakona o proračunu </w:t>
      </w:r>
      <w:r w:rsidRPr="00AC4C54">
        <w:rPr>
          <w:rFonts w:ascii="Arial" w:eastAsia="Calibri" w:hAnsi="Arial" w:cs="Arial"/>
          <w:b/>
          <w:sz w:val="20"/>
          <w:szCs w:val="20"/>
        </w:rPr>
        <w:t xml:space="preserve">(Narodne novine broj 144/21) donijelo Odluku o davanju suglasnosti za kreditno zaduživanje društva Čistoća i zelenilo Konavle d.o.o. Čilipi. </w:t>
      </w:r>
      <w:r w:rsidRPr="00AC4C54">
        <w:rPr>
          <w:rFonts w:ascii="Arial" w:eastAsia="Calibri" w:hAnsi="Arial" w:cs="Arial"/>
          <w:sz w:val="20"/>
          <w:szCs w:val="20"/>
        </w:rPr>
        <w:t xml:space="preserve">(odluka objavljena u Službenom glasniku Općine Konavle </w:t>
      </w:r>
      <w:r w:rsidR="00BF491F" w:rsidRPr="00AC4C54">
        <w:rPr>
          <w:rFonts w:ascii="Arial" w:eastAsia="Calibri" w:hAnsi="Arial" w:cs="Arial"/>
          <w:sz w:val="20"/>
          <w:szCs w:val="20"/>
        </w:rPr>
        <w:t>7</w:t>
      </w:r>
      <w:r w:rsidRPr="00AC4C54">
        <w:rPr>
          <w:rFonts w:ascii="Arial" w:eastAsia="Calibri" w:hAnsi="Arial" w:cs="Arial"/>
          <w:sz w:val="20"/>
          <w:szCs w:val="20"/>
        </w:rPr>
        <w:t xml:space="preserve">/2024). Čistoća i zelenilo Konavle d.o.o. je zaključilo ugovor </w:t>
      </w:r>
      <w:r w:rsidR="00BF491F" w:rsidRPr="00AC4C54">
        <w:rPr>
          <w:rFonts w:ascii="Arial" w:eastAsia="Times New Roman" w:hAnsi="Arial" w:cs="Arial"/>
          <w:sz w:val="20"/>
          <w:szCs w:val="20"/>
        </w:rPr>
        <w:t>22.10.</w:t>
      </w:r>
      <w:r w:rsidRPr="00AC4C54">
        <w:rPr>
          <w:rFonts w:ascii="Arial" w:eastAsia="Times New Roman" w:hAnsi="Arial" w:cs="Arial"/>
          <w:sz w:val="20"/>
          <w:szCs w:val="20"/>
        </w:rPr>
        <w:t xml:space="preserve">2024. godine s PBZ leasing d.o.o. u iznosu </w:t>
      </w:r>
      <w:r w:rsidR="00BF491F" w:rsidRPr="00AC4C54">
        <w:rPr>
          <w:rFonts w:ascii="Arial" w:eastAsia="Times New Roman" w:hAnsi="Arial" w:cs="Arial"/>
          <w:sz w:val="20"/>
          <w:szCs w:val="20"/>
        </w:rPr>
        <w:t>305.068,40</w:t>
      </w:r>
      <w:r w:rsidRPr="00AC4C54">
        <w:rPr>
          <w:rFonts w:ascii="Arial" w:eastAsia="Times New Roman" w:hAnsi="Arial" w:cs="Arial"/>
          <w:sz w:val="20"/>
          <w:szCs w:val="20"/>
        </w:rPr>
        <w:t xml:space="preserve"> € (</w:t>
      </w:r>
      <w:r w:rsidRPr="00253DDE">
        <w:rPr>
          <w:rFonts w:ascii="Arial" w:eastAsia="Times New Roman" w:hAnsi="Arial" w:cs="Arial"/>
          <w:b/>
          <w:bCs/>
          <w:sz w:val="20"/>
          <w:szCs w:val="20"/>
        </w:rPr>
        <w:t xml:space="preserve">sveukupno glavnica </w:t>
      </w:r>
      <w:r w:rsidR="00BF491F" w:rsidRPr="00253DDE">
        <w:rPr>
          <w:rFonts w:ascii="Arial" w:eastAsia="Times New Roman" w:hAnsi="Arial" w:cs="Arial"/>
          <w:b/>
          <w:bCs/>
          <w:sz w:val="20"/>
          <w:szCs w:val="20"/>
        </w:rPr>
        <w:t>275.000</w:t>
      </w:r>
      <w:r w:rsidRPr="00AC4C54">
        <w:rPr>
          <w:rFonts w:ascii="Arial" w:eastAsia="Times New Roman" w:hAnsi="Arial" w:cs="Arial"/>
          <w:sz w:val="20"/>
          <w:szCs w:val="20"/>
        </w:rPr>
        <w:t xml:space="preserve"> €, kamate i naknade). Obračun prvog obroka leasinga počinje prvi dan u mjesecu koji slijedi mjesecu u kojem je izvršena primopredaja objekta leasinga. Redovna kamatna stopa je fiksna i iznosi </w:t>
      </w:r>
      <w:r w:rsidR="00BF491F" w:rsidRPr="00AC4C54">
        <w:rPr>
          <w:rFonts w:ascii="Arial" w:eastAsia="Times New Roman" w:hAnsi="Arial" w:cs="Arial"/>
          <w:sz w:val="20"/>
          <w:szCs w:val="20"/>
        </w:rPr>
        <w:t>5,14</w:t>
      </w:r>
      <w:r w:rsidRPr="00AC4C54">
        <w:rPr>
          <w:rFonts w:ascii="Arial" w:eastAsia="Times New Roman" w:hAnsi="Arial" w:cs="Arial"/>
          <w:sz w:val="20"/>
          <w:szCs w:val="20"/>
        </w:rPr>
        <w:t xml:space="preserve">% godišnje, a obračunava se i plaća mjesečno. Zatezna kamatna stopa je u visini zakonske zatezne kamate. Nema troška odobravanja kredita. Sredstva osiguranja su 1 zadužnica Korisnika kredita. Otplata je u </w:t>
      </w:r>
      <w:r w:rsidR="00BF491F" w:rsidRPr="00AC4C54">
        <w:rPr>
          <w:rFonts w:ascii="Arial" w:eastAsia="Times New Roman" w:hAnsi="Arial" w:cs="Arial"/>
          <w:sz w:val="20"/>
          <w:szCs w:val="20"/>
        </w:rPr>
        <w:t>60</w:t>
      </w:r>
      <w:r w:rsidRPr="00AC4C54">
        <w:rPr>
          <w:rFonts w:ascii="Arial" w:eastAsia="Times New Roman" w:hAnsi="Arial" w:cs="Arial"/>
          <w:sz w:val="20"/>
          <w:szCs w:val="20"/>
        </w:rPr>
        <w:t xml:space="preserve"> redovitih mjesečnih obroka kredita (jednaki obroci). </w:t>
      </w:r>
    </w:p>
    <w:p w14:paraId="68AE424F" w14:textId="7C79BD7A" w:rsidR="00793280" w:rsidRPr="00AC4C54" w:rsidRDefault="00793280" w:rsidP="00793280">
      <w:pPr>
        <w:spacing w:after="0" w:line="240" w:lineRule="auto"/>
        <w:jc w:val="both"/>
        <w:rPr>
          <w:rFonts w:ascii="Arial" w:eastAsia="Times New Roman" w:hAnsi="Arial" w:cs="Arial"/>
          <w:sz w:val="20"/>
          <w:szCs w:val="20"/>
        </w:rPr>
      </w:pPr>
      <w:r w:rsidRPr="00AC4C54">
        <w:rPr>
          <w:rFonts w:ascii="Arial" w:eastAsia="Times New Roman" w:hAnsi="Arial" w:cs="Arial"/>
          <w:bCs/>
          <w:iCs/>
          <w:sz w:val="20"/>
          <w:szCs w:val="20"/>
          <w:lang w:eastAsia="en-US"/>
        </w:rPr>
        <w:t xml:space="preserve">Društvo je u </w:t>
      </w:r>
      <w:r w:rsidR="00BF491F" w:rsidRPr="00AC4C54">
        <w:rPr>
          <w:rFonts w:ascii="Arial" w:eastAsia="Times New Roman" w:hAnsi="Arial" w:cs="Arial"/>
          <w:bCs/>
          <w:iCs/>
          <w:sz w:val="20"/>
          <w:szCs w:val="20"/>
          <w:lang w:eastAsia="en-US"/>
        </w:rPr>
        <w:t>prosincu</w:t>
      </w:r>
      <w:r w:rsidRPr="00AC4C54">
        <w:rPr>
          <w:rFonts w:ascii="Arial" w:eastAsia="Times New Roman" w:hAnsi="Arial" w:cs="Arial"/>
          <w:bCs/>
          <w:iCs/>
          <w:sz w:val="20"/>
          <w:szCs w:val="20"/>
          <w:lang w:eastAsia="en-US"/>
        </w:rPr>
        <w:t xml:space="preserve"> 2024. podmirilo učešće za kredit u iznosu </w:t>
      </w:r>
      <w:r w:rsidR="00BF491F" w:rsidRPr="00AC4C54">
        <w:rPr>
          <w:rFonts w:ascii="Arial" w:eastAsia="Times New Roman" w:hAnsi="Arial" w:cs="Arial"/>
          <w:bCs/>
          <w:iCs/>
          <w:sz w:val="20"/>
          <w:szCs w:val="20"/>
          <w:lang w:eastAsia="en-US"/>
        </w:rPr>
        <w:t>55.000</w:t>
      </w:r>
      <w:r w:rsidRPr="00AC4C54">
        <w:rPr>
          <w:rFonts w:ascii="Arial" w:eastAsia="Times New Roman" w:hAnsi="Arial" w:cs="Arial"/>
          <w:bCs/>
          <w:iCs/>
          <w:sz w:val="20"/>
          <w:szCs w:val="20"/>
          <w:lang w:eastAsia="en-US"/>
        </w:rPr>
        <w:t xml:space="preserve"> €. </w:t>
      </w:r>
      <w:r w:rsidRPr="00AC4C54">
        <w:rPr>
          <w:rFonts w:ascii="Arial" w:eastAsia="Times New Roman" w:hAnsi="Arial" w:cs="Arial"/>
          <w:sz w:val="20"/>
          <w:szCs w:val="20"/>
        </w:rPr>
        <w:t xml:space="preserve">Primopredaja objekta leasinga je bila </w:t>
      </w:r>
      <w:r w:rsidR="003C0469" w:rsidRPr="00AC4C54">
        <w:rPr>
          <w:rFonts w:ascii="Arial" w:eastAsia="Times New Roman" w:hAnsi="Arial" w:cs="Arial"/>
          <w:sz w:val="20"/>
          <w:szCs w:val="20"/>
        </w:rPr>
        <w:t xml:space="preserve">u prosincu </w:t>
      </w:r>
      <w:r w:rsidRPr="00AC4C54">
        <w:rPr>
          <w:rFonts w:ascii="Arial" w:eastAsia="Times New Roman" w:hAnsi="Arial" w:cs="Arial"/>
          <w:sz w:val="20"/>
          <w:szCs w:val="20"/>
        </w:rPr>
        <w:t>2024.</w:t>
      </w:r>
    </w:p>
    <w:p w14:paraId="0F4D9E95" w14:textId="0E2FFB7D" w:rsidR="00793280" w:rsidRPr="00AC4C54" w:rsidRDefault="00793280" w:rsidP="00793280">
      <w:pPr>
        <w:spacing w:after="0" w:line="240" w:lineRule="auto"/>
        <w:jc w:val="both"/>
        <w:rPr>
          <w:rFonts w:ascii="Arial" w:eastAsia="Times New Roman" w:hAnsi="Arial" w:cs="Arial"/>
          <w:b/>
          <w:iCs/>
          <w:sz w:val="20"/>
          <w:szCs w:val="20"/>
          <w:lang w:eastAsia="en-US"/>
        </w:rPr>
      </w:pPr>
      <w:r w:rsidRPr="00AC4C54">
        <w:rPr>
          <w:rFonts w:ascii="Arial" w:eastAsia="Times New Roman" w:hAnsi="Arial" w:cs="Arial"/>
          <w:bCs/>
          <w:iCs/>
          <w:sz w:val="20"/>
          <w:szCs w:val="20"/>
          <w:lang w:eastAsia="en-US"/>
        </w:rPr>
        <w:t xml:space="preserve">Koncem 2024. </w:t>
      </w:r>
      <w:r w:rsidRPr="00AC4C54">
        <w:rPr>
          <w:rFonts w:ascii="Arial" w:eastAsia="Times New Roman" w:hAnsi="Arial" w:cs="Arial"/>
          <w:b/>
          <w:iCs/>
          <w:sz w:val="20"/>
          <w:szCs w:val="20"/>
          <w:lang w:eastAsia="en-US"/>
        </w:rPr>
        <w:t>preostala glavnica kredita</w:t>
      </w:r>
      <w:r w:rsidRPr="00AC4C54">
        <w:rPr>
          <w:rFonts w:ascii="Arial" w:eastAsia="Times New Roman" w:hAnsi="Arial" w:cs="Arial"/>
          <w:bCs/>
          <w:iCs/>
          <w:sz w:val="20"/>
          <w:szCs w:val="20"/>
          <w:lang w:eastAsia="en-US"/>
        </w:rPr>
        <w:t xml:space="preserve"> iznosi </w:t>
      </w:r>
      <w:r w:rsidR="003C0469" w:rsidRPr="00AC4C54">
        <w:rPr>
          <w:rFonts w:ascii="Arial" w:eastAsia="Times New Roman" w:hAnsi="Arial" w:cs="Arial"/>
          <w:b/>
          <w:iCs/>
          <w:sz w:val="20"/>
          <w:szCs w:val="20"/>
          <w:lang w:eastAsia="en-US"/>
        </w:rPr>
        <w:t>220.000</w:t>
      </w:r>
      <w:r w:rsidRPr="00AC4C54">
        <w:rPr>
          <w:rFonts w:ascii="Arial" w:eastAsia="Times New Roman" w:hAnsi="Arial" w:cs="Arial"/>
          <w:b/>
          <w:iCs/>
          <w:sz w:val="20"/>
          <w:szCs w:val="20"/>
          <w:lang w:eastAsia="en-US"/>
        </w:rPr>
        <w:t xml:space="preserve"> €. </w:t>
      </w:r>
    </w:p>
    <w:p w14:paraId="0161F40C" w14:textId="77777777" w:rsidR="00593653" w:rsidRPr="00AC4C54" w:rsidRDefault="00593653" w:rsidP="004C43F1">
      <w:pPr>
        <w:spacing w:after="0" w:line="240" w:lineRule="auto"/>
        <w:jc w:val="both"/>
        <w:rPr>
          <w:rFonts w:ascii="Arial" w:eastAsia="Times New Roman" w:hAnsi="Arial" w:cs="Arial"/>
          <w:sz w:val="20"/>
          <w:szCs w:val="20"/>
        </w:rPr>
      </w:pPr>
    </w:p>
    <w:p w14:paraId="378749B2" w14:textId="2C8DE320" w:rsidR="00B11D85" w:rsidRPr="00AC4C54" w:rsidRDefault="00B11D85" w:rsidP="00B11D85">
      <w:pPr>
        <w:spacing w:after="0" w:line="240" w:lineRule="auto"/>
        <w:jc w:val="both"/>
        <w:rPr>
          <w:rFonts w:ascii="Arial" w:eastAsia="Times New Roman" w:hAnsi="Arial" w:cs="Arial"/>
          <w:b/>
          <w:iCs/>
          <w:sz w:val="20"/>
          <w:szCs w:val="20"/>
          <w:lang w:eastAsia="en-US"/>
        </w:rPr>
      </w:pPr>
      <w:r w:rsidRPr="00AC4C54">
        <w:rPr>
          <w:rFonts w:ascii="Arial" w:eastAsia="Times New Roman" w:hAnsi="Arial" w:cs="Arial"/>
          <w:bCs/>
          <w:iCs/>
          <w:sz w:val="20"/>
          <w:szCs w:val="20"/>
          <w:lang w:eastAsia="en-US"/>
        </w:rPr>
        <w:t>U 202</w:t>
      </w:r>
      <w:r>
        <w:rPr>
          <w:rFonts w:ascii="Arial" w:eastAsia="Times New Roman" w:hAnsi="Arial" w:cs="Arial"/>
          <w:bCs/>
          <w:iCs/>
          <w:sz w:val="20"/>
          <w:szCs w:val="20"/>
          <w:lang w:eastAsia="en-US"/>
        </w:rPr>
        <w:t>5</w:t>
      </w:r>
      <w:r w:rsidRPr="00AC4C54">
        <w:rPr>
          <w:rFonts w:ascii="Arial" w:eastAsia="Times New Roman" w:hAnsi="Arial" w:cs="Arial"/>
          <w:bCs/>
          <w:iCs/>
          <w:sz w:val="20"/>
          <w:szCs w:val="20"/>
          <w:lang w:eastAsia="en-US"/>
        </w:rPr>
        <w:t xml:space="preserve">. društvo je otplatilo glavnicu u iznosu </w:t>
      </w:r>
      <w:r w:rsidR="002C703E">
        <w:rPr>
          <w:rFonts w:ascii="Arial" w:eastAsia="Times New Roman" w:hAnsi="Arial" w:cs="Arial"/>
          <w:bCs/>
          <w:iCs/>
          <w:sz w:val="20"/>
          <w:szCs w:val="20"/>
          <w:lang w:eastAsia="en-US"/>
        </w:rPr>
        <w:t>39.425,92</w:t>
      </w:r>
      <w:r w:rsidRPr="00AC4C54">
        <w:rPr>
          <w:rFonts w:ascii="Arial" w:eastAsia="Times New Roman" w:hAnsi="Arial" w:cs="Arial"/>
          <w:bCs/>
          <w:iCs/>
          <w:sz w:val="20"/>
          <w:szCs w:val="20"/>
          <w:lang w:eastAsia="en-US"/>
        </w:rPr>
        <w:t xml:space="preserve"> € i kamate u iznosu </w:t>
      </w:r>
      <w:r w:rsidR="002C703E">
        <w:rPr>
          <w:rFonts w:ascii="Arial" w:eastAsia="Times New Roman" w:hAnsi="Arial" w:cs="Arial"/>
          <w:bCs/>
          <w:iCs/>
          <w:sz w:val="20"/>
          <w:szCs w:val="20"/>
          <w:lang w:eastAsia="en-US"/>
        </w:rPr>
        <w:t>10.387,76</w:t>
      </w:r>
      <w:r w:rsidRPr="00AC4C54">
        <w:rPr>
          <w:rFonts w:ascii="Arial" w:eastAsia="Times New Roman" w:hAnsi="Arial" w:cs="Arial"/>
          <w:bCs/>
          <w:iCs/>
          <w:sz w:val="20"/>
          <w:szCs w:val="20"/>
          <w:lang w:eastAsia="en-US"/>
        </w:rPr>
        <w:t xml:space="preserve"> €. Koncem 202</w:t>
      </w:r>
      <w:r>
        <w:rPr>
          <w:rFonts w:ascii="Arial" w:eastAsia="Times New Roman" w:hAnsi="Arial" w:cs="Arial"/>
          <w:bCs/>
          <w:iCs/>
          <w:sz w:val="20"/>
          <w:szCs w:val="20"/>
          <w:lang w:eastAsia="en-US"/>
        </w:rPr>
        <w:t>5</w:t>
      </w:r>
      <w:r w:rsidRPr="00AC4C54">
        <w:rPr>
          <w:rFonts w:ascii="Arial" w:eastAsia="Times New Roman" w:hAnsi="Arial" w:cs="Arial"/>
          <w:bCs/>
          <w:iCs/>
          <w:sz w:val="20"/>
          <w:szCs w:val="20"/>
          <w:lang w:eastAsia="en-US"/>
        </w:rPr>
        <w:t xml:space="preserve">. </w:t>
      </w:r>
      <w:r w:rsidRPr="00AC4C54">
        <w:rPr>
          <w:rFonts w:ascii="Arial" w:eastAsia="Times New Roman" w:hAnsi="Arial" w:cs="Arial"/>
          <w:b/>
          <w:iCs/>
          <w:sz w:val="20"/>
          <w:szCs w:val="20"/>
          <w:lang w:eastAsia="en-US"/>
        </w:rPr>
        <w:t>preostala glavnica kredita</w:t>
      </w:r>
      <w:r w:rsidRPr="00AC4C54">
        <w:rPr>
          <w:rFonts w:ascii="Arial" w:eastAsia="Times New Roman" w:hAnsi="Arial" w:cs="Arial"/>
          <w:bCs/>
          <w:iCs/>
          <w:sz w:val="20"/>
          <w:szCs w:val="20"/>
          <w:lang w:eastAsia="en-US"/>
        </w:rPr>
        <w:t xml:space="preserve"> iznosi </w:t>
      </w:r>
      <w:r w:rsidR="002C703E">
        <w:rPr>
          <w:rFonts w:ascii="Arial" w:eastAsia="Times New Roman" w:hAnsi="Arial" w:cs="Arial"/>
          <w:b/>
          <w:iCs/>
          <w:sz w:val="20"/>
          <w:szCs w:val="20"/>
          <w:lang w:eastAsia="en-US"/>
        </w:rPr>
        <w:t>180.574,08</w:t>
      </w:r>
      <w:r w:rsidRPr="00AC4C54">
        <w:rPr>
          <w:rFonts w:ascii="Arial" w:eastAsia="Times New Roman" w:hAnsi="Arial" w:cs="Arial"/>
          <w:b/>
          <w:iCs/>
          <w:sz w:val="20"/>
          <w:szCs w:val="20"/>
          <w:lang w:eastAsia="en-US"/>
        </w:rPr>
        <w:t xml:space="preserve"> €. </w:t>
      </w:r>
    </w:p>
    <w:p w14:paraId="0D91BD5F" w14:textId="77777777" w:rsidR="00793280" w:rsidRDefault="00793280" w:rsidP="004C43F1">
      <w:pPr>
        <w:spacing w:after="0" w:line="240" w:lineRule="auto"/>
        <w:jc w:val="both"/>
        <w:rPr>
          <w:rFonts w:ascii="Arial" w:eastAsia="Times New Roman" w:hAnsi="Arial" w:cs="Arial"/>
        </w:rPr>
      </w:pPr>
    </w:p>
    <w:p w14:paraId="40CC1998" w14:textId="77777777" w:rsidR="00821F88" w:rsidRDefault="00821F88" w:rsidP="004C43F1">
      <w:pPr>
        <w:spacing w:after="0" w:line="240" w:lineRule="auto"/>
        <w:jc w:val="both"/>
        <w:rPr>
          <w:rFonts w:ascii="Arial" w:eastAsia="Times New Roman" w:hAnsi="Arial" w:cs="Arial"/>
        </w:rPr>
      </w:pPr>
    </w:p>
    <w:p w14:paraId="2BAE1665" w14:textId="60319EF0" w:rsidR="002C703E" w:rsidRPr="00AC4C54" w:rsidRDefault="002C703E" w:rsidP="002C703E">
      <w:pPr>
        <w:shd w:val="clear" w:color="auto" w:fill="F2F2F2"/>
        <w:spacing w:after="0" w:line="240" w:lineRule="auto"/>
        <w:jc w:val="both"/>
        <w:rPr>
          <w:rFonts w:ascii="Arial" w:eastAsia="Calibri" w:hAnsi="Arial" w:cs="Arial"/>
          <w:b/>
          <w:sz w:val="20"/>
          <w:szCs w:val="20"/>
          <w:u w:val="single"/>
          <w:lang w:eastAsia="en-US"/>
        </w:rPr>
      </w:pPr>
      <w:r>
        <w:rPr>
          <w:rFonts w:ascii="Arial" w:eastAsia="Calibri" w:hAnsi="Arial" w:cs="Arial"/>
          <w:b/>
          <w:sz w:val="20"/>
          <w:szCs w:val="20"/>
          <w:u w:val="single"/>
          <w:lang w:eastAsia="en-US"/>
        </w:rPr>
        <w:t>6</w:t>
      </w:r>
      <w:r w:rsidRPr="00AC4C54">
        <w:rPr>
          <w:rFonts w:ascii="Arial" w:eastAsia="Calibri" w:hAnsi="Arial" w:cs="Arial"/>
          <w:b/>
          <w:sz w:val="20"/>
          <w:szCs w:val="20"/>
          <w:u w:val="single"/>
          <w:lang w:eastAsia="en-US"/>
        </w:rPr>
        <w:t xml:space="preserve">. </w:t>
      </w:r>
      <w:r w:rsidRPr="00AC4C54">
        <w:rPr>
          <w:rFonts w:ascii="Arial" w:eastAsia="Calibri" w:hAnsi="Arial" w:cs="Arial"/>
          <w:b/>
          <w:sz w:val="20"/>
          <w:szCs w:val="20"/>
          <w:u w:val="single"/>
          <w:lang w:eastAsia="en-US"/>
        </w:rPr>
        <w:tab/>
        <w:t xml:space="preserve">Suglasnost za zaduživanje društva ČISTOĆA I ZELENILO KONAVLE D.O.O. (nabava </w:t>
      </w:r>
      <w:r>
        <w:rPr>
          <w:rFonts w:ascii="Arial" w:eastAsia="Calibri" w:hAnsi="Arial" w:cs="Arial"/>
          <w:b/>
          <w:sz w:val="20"/>
          <w:szCs w:val="20"/>
          <w:u w:val="single"/>
          <w:lang w:eastAsia="en-US"/>
        </w:rPr>
        <w:t>teretnog</w:t>
      </w:r>
      <w:r w:rsidRPr="00AC4C54">
        <w:rPr>
          <w:rFonts w:ascii="Arial" w:eastAsia="Calibri" w:hAnsi="Arial" w:cs="Arial"/>
          <w:b/>
          <w:sz w:val="20"/>
          <w:szCs w:val="20"/>
          <w:u w:val="single"/>
          <w:lang w:eastAsia="en-US"/>
        </w:rPr>
        <w:t xml:space="preserve"> vozila</w:t>
      </w:r>
      <w:r>
        <w:rPr>
          <w:rFonts w:ascii="Arial" w:eastAsia="Calibri" w:hAnsi="Arial" w:cs="Arial"/>
          <w:b/>
          <w:sz w:val="20"/>
          <w:szCs w:val="20"/>
          <w:u w:val="single"/>
          <w:lang w:eastAsia="en-US"/>
        </w:rPr>
        <w:t>: MAN TGM 15.290 4X2 BL FAUN ROTOPRESS 512</w:t>
      </w:r>
      <w:r w:rsidRPr="00AC4C54">
        <w:rPr>
          <w:rFonts w:ascii="Arial" w:eastAsia="Calibri" w:hAnsi="Arial" w:cs="Arial"/>
          <w:b/>
          <w:sz w:val="20"/>
          <w:szCs w:val="20"/>
          <w:u w:val="single"/>
        </w:rPr>
        <w:t xml:space="preserve">– </w:t>
      </w:r>
      <w:r w:rsidRPr="00AC4C54">
        <w:rPr>
          <w:rFonts w:ascii="Arial" w:eastAsia="Calibri" w:hAnsi="Arial" w:cs="Arial"/>
          <w:b/>
          <w:sz w:val="20"/>
          <w:szCs w:val="20"/>
          <w:u w:val="single"/>
          <w:shd w:val="clear" w:color="auto" w:fill="F2F2F2"/>
        </w:rPr>
        <w:t>PBZ leasing d.o.o.</w:t>
      </w:r>
      <w:r w:rsidRPr="00AC4C54">
        <w:rPr>
          <w:rFonts w:ascii="Arial" w:eastAsia="Calibri" w:hAnsi="Arial" w:cs="Arial"/>
          <w:b/>
          <w:sz w:val="20"/>
          <w:szCs w:val="20"/>
          <w:u w:val="single"/>
        </w:rPr>
        <w:t>)</w:t>
      </w:r>
    </w:p>
    <w:p w14:paraId="509DEA6C" w14:textId="77777777" w:rsidR="002C703E" w:rsidRPr="00AC4C54" w:rsidRDefault="002C703E" w:rsidP="002C703E">
      <w:pPr>
        <w:spacing w:after="0" w:line="240" w:lineRule="auto"/>
        <w:jc w:val="both"/>
        <w:rPr>
          <w:rFonts w:ascii="Arial" w:eastAsia="Times New Roman" w:hAnsi="Arial" w:cs="Arial"/>
          <w:bCs/>
          <w:iCs/>
          <w:sz w:val="20"/>
          <w:szCs w:val="20"/>
          <w:lang w:eastAsia="en-US"/>
        </w:rPr>
      </w:pPr>
    </w:p>
    <w:p w14:paraId="553700E2" w14:textId="6E353340" w:rsidR="002C703E" w:rsidRPr="00AC4C54" w:rsidRDefault="002C703E" w:rsidP="002C703E">
      <w:pPr>
        <w:spacing w:after="0" w:line="240" w:lineRule="auto"/>
        <w:jc w:val="both"/>
        <w:rPr>
          <w:rFonts w:ascii="Arial" w:eastAsia="Times New Roman" w:hAnsi="Arial" w:cs="Arial"/>
          <w:sz w:val="20"/>
          <w:szCs w:val="20"/>
        </w:rPr>
      </w:pPr>
      <w:r w:rsidRPr="00AC4C54">
        <w:rPr>
          <w:rFonts w:ascii="Arial" w:eastAsia="Times New Roman" w:hAnsi="Arial" w:cs="Arial"/>
          <w:b/>
          <w:sz w:val="20"/>
          <w:szCs w:val="20"/>
        </w:rPr>
        <w:t xml:space="preserve">Općinsko vijeće Općine Konavle je na </w:t>
      </w:r>
      <w:r>
        <w:rPr>
          <w:rFonts w:ascii="Arial" w:eastAsia="Times New Roman" w:hAnsi="Arial" w:cs="Arial"/>
          <w:b/>
          <w:sz w:val="20"/>
          <w:szCs w:val="20"/>
        </w:rPr>
        <w:t>3</w:t>
      </w:r>
      <w:r w:rsidRPr="00AC4C54">
        <w:rPr>
          <w:rFonts w:ascii="Arial" w:eastAsia="Times New Roman" w:hAnsi="Arial" w:cs="Arial"/>
          <w:b/>
          <w:sz w:val="20"/>
          <w:szCs w:val="20"/>
        </w:rPr>
        <w:t xml:space="preserve">. sjednici održanoj </w:t>
      </w:r>
      <w:r>
        <w:rPr>
          <w:rFonts w:ascii="Arial" w:eastAsia="Times New Roman" w:hAnsi="Arial" w:cs="Arial"/>
          <w:b/>
          <w:sz w:val="20"/>
          <w:szCs w:val="20"/>
        </w:rPr>
        <w:t>17. prosinca 2025</w:t>
      </w:r>
      <w:r w:rsidRPr="00AC4C54">
        <w:rPr>
          <w:rFonts w:ascii="Arial" w:eastAsia="Times New Roman" w:hAnsi="Arial" w:cs="Arial"/>
          <w:b/>
          <w:sz w:val="20"/>
          <w:szCs w:val="20"/>
        </w:rPr>
        <w:t xml:space="preserve">., na temelju članka 127. Zakona o proračunu </w:t>
      </w:r>
      <w:r w:rsidRPr="00AC4C54">
        <w:rPr>
          <w:rFonts w:ascii="Arial" w:eastAsia="Calibri" w:hAnsi="Arial" w:cs="Arial"/>
          <w:b/>
          <w:sz w:val="20"/>
          <w:szCs w:val="20"/>
        </w:rPr>
        <w:t xml:space="preserve">(Narodne novine broj 144/21) donijelo Odluku o davanju suglasnosti za kreditno zaduživanje društva Čistoća i zelenilo Konavle d.o.o. Čilipi. </w:t>
      </w:r>
      <w:r w:rsidRPr="00AC4C54">
        <w:rPr>
          <w:rFonts w:ascii="Arial" w:eastAsia="Calibri" w:hAnsi="Arial" w:cs="Arial"/>
          <w:sz w:val="20"/>
          <w:szCs w:val="20"/>
        </w:rPr>
        <w:t xml:space="preserve">(odluka objavljena u Službenom glasniku Općine Konavle </w:t>
      </w:r>
      <w:r>
        <w:rPr>
          <w:rFonts w:ascii="Arial" w:eastAsia="Calibri" w:hAnsi="Arial" w:cs="Arial"/>
          <w:sz w:val="20"/>
          <w:szCs w:val="20"/>
        </w:rPr>
        <w:t>11</w:t>
      </w:r>
      <w:r w:rsidRPr="00AC4C54">
        <w:rPr>
          <w:rFonts w:ascii="Arial" w:eastAsia="Calibri" w:hAnsi="Arial" w:cs="Arial"/>
          <w:sz w:val="20"/>
          <w:szCs w:val="20"/>
        </w:rPr>
        <w:t>/202</w:t>
      </w:r>
      <w:r>
        <w:rPr>
          <w:rFonts w:ascii="Arial" w:eastAsia="Calibri" w:hAnsi="Arial" w:cs="Arial"/>
          <w:sz w:val="20"/>
          <w:szCs w:val="20"/>
        </w:rPr>
        <w:t>5</w:t>
      </w:r>
      <w:r w:rsidRPr="00AC4C54">
        <w:rPr>
          <w:rFonts w:ascii="Arial" w:eastAsia="Calibri" w:hAnsi="Arial" w:cs="Arial"/>
          <w:sz w:val="20"/>
          <w:szCs w:val="20"/>
        </w:rPr>
        <w:t xml:space="preserve">). Čistoća i zelenilo Konavle d.o.o. je zaključilo ugovor </w:t>
      </w:r>
      <w:r>
        <w:rPr>
          <w:rFonts w:ascii="Arial" w:eastAsia="Times New Roman" w:hAnsi="Arial" w:cs="Arial"/>
          <w:sz w:val="20"/>
          <w:szCs w:val="20"/>
        </w:rPr>
        <w:t>14.01.2026</w:t>
      </w:r>
      <w:r w:rsidRPr="00AC4C54">
        <w:rPr>
          <w:rFonts w:ascii="Arial" w:eastAsia="Times New Roman" w:hAnsi="Arial" w:cs="Arial"/>
          <w:sz w:val="20"/>
          <w:szCs w:val="20"/>
        </w:rPr>
        <w:t xml:space="preserve">. godine s PBZ leasing d.o.o. u iznosu </w:t>
      </w:r>
      <w:r w:rsidR="00FA4472">
        <w:rPr>
          <w:rFonts w:ascii="Arial" w:eastAsia="Times New Roman" w:hAnsi="Arial" w:cs="Arial"/>
          <w:sz w:val="20"/>
          <w:szCs w:val="20"/>
        </w:rPr>
        <w:t>331.250</w:t>
      </w:r>
      <w:r w:rsidRPr="00AC4C54">
        <w:rPr>
          <w:rFonts w:ascii="Arial" w:eastAsia="Times New Roman" w:hAnsi="Arial" w:cs="Arial"/>
          <w:sz w:val="20"/>
          <w:szCs w:val="20"/>
        </w:rPr>
        <w:t xml:space="preserve"> € (</w:t>
      </w:r>
      <w:r w:rsidRPr="00253DDE">
        <w:rPr>
          <w:rFonts w:ascii="Arial" w:eastAsia="Times New Roman" w:hAnsi="Arial" w:cs="Arial"/>
          <w:b/>
          <w:bCs/>
          <w:sz w:val="20"/>
          <w:szCs w:val="20"/>
        </w:rPr>
        <w:t>sveukupno glavnica 2</w:t>
      </w:r>
      <w:r w:rsidR="00FA4472">
        <w:rPr>
          <w:rFonts w:ascii="Arial" w:eastAsia="Times New Roman" w:hAnsi="Arial" w:cs="Arial"/>
          <w:b/>
          <w:bCs/>
          <w:sz w:val="20"/>
          <w:szCs w:val="20"/>
        </w:rPr>
        <w:t>65</w:t>
      </w:r>
      <w:r w:rsidRPr="00253DDE">
        <w:rPr>
          <w:rFonts w:ascii="Arial" w:eastAsia="Times New Roman" w:hAnsi="Arial" w:cs="Arial"/>
          <w:b/>
          <w:bCs/>
          <w:sz w:val="20"/>
          <w:szCs w:val="20"/>
        </w:rPr>
        <w:t>.000</w:t>
      </w:r>
      <w:r w:rsidRPr="00AC4C54">
        <w:rPr>
          <w:rFonts w:ascii="Arial" w:eastAsia="Times New Roman" w:hAnsi="Arial" w:cs="Arial"/>
          <w:sz w:val="20"/>
          <w:szCs w:val="20"/>
        </w:rPr>
        <w:t xml:space="preserve"> €, kamate i naknade). Obračun prvog obroka leasinga počinje prvi dan u mjesecu koji slijedi mjesecu u kojem je izvršena primopredaja objekta leasinga. Redovna kamatna stopa je fiksna i iznosi </w:t>
      </w:r>
      <w:r w:rsidR="00FA4472">
        <w:rPr>
          <w:rFonts w:ascii="Arial" w:eastAsia="Times New Roman" w:hAnsi="Arial" w:cs="Arial"/>
          <w:sz w:val="20"/>
          <w:szCs w:val="20"/>
        </w:rPr>
        <w:t>4,05</w:t>
      </w:r>
      <w:r w:rsidRPr="00AC4C54">
        <w:rPr>
          <w:rFonts w:ascii="Arial" w:eastAsia="Times New Roman" w:hAnsi="Arial" w:cs="Arial"/>
          <w:sz w:val="20"/>
          <w:szCs w:val="20"/>
        </w:rPr>
        <w:t xml:space="preserve">% godišnje, a obračunava se i plaća mjesečno. Zatezna kamatna stopa je u visini zakonske zatezne kamate. Nema troška odobravanja kredita. Sredstva osiguranja su 1 zadužnica Korisnika kredita. Otplata je u 60 redovitih mjesečnih obroka kredita (jednaki obroci). </w:t>
      </w:r>
    </w:p>
    <w:p w14:paraId="3A29BB2A" w14:textId="0581CB71" w:rsidR="002C703E" w:rsidRPr="00AC4C54" w:rsidRDefault="002C703E" w:rsidP="002C703E">
      <w:pPr>
        <w:spacing w:after="0" w:line="240" w:lineRule="auto"/>
        <w:jc w:val="both"/>
        <w:rPr>
          <w:rFonts w:ascii="Arial" w:eastAsia="Times New Roman" w:hAnsi="Arial" w:cs="Arial"/>
          <w:sz w:val="20"/>
          <w:szCs w:val="20"/>
        </w:rPr>
      </w:pPr>
      <w:r w:rsidRPr="00AC4C54">
        <w:rPr>
          <w:rFonts w:ascii="Arial" w:eastAsia="Times New Roman" w:hAnsi="Arial" w:cs="Arial"/>
          <w:bCs/>
          <w:iCs/>
          <w:sz w:val="20"/>
          <w:szCs w:val="20"/>
          <w:lang w:eastAsia="en-US"/>
        </w:rPr>
        <w:t xml:space="preserve">Društvo je u </w:t>
      </w:r>
      <w:r w:rsidR="00821F88">
        <w:rPr>
          <w:rFonts w:ascii="Arial" w:eastAsia="Times New Roman" w:hAnsi="Arial" w:cs="Arial"/>
          <w:bCs/>
          <w:iCs/>
          <w:sz w:val="20"/>
          <w:szCs w:val="20"/>
          <w:lang w:eastAsia="en-US"/>
        </w:rPr>
        <w:t>siječnju</w:t>
      </w:r>
      <w:r w:rsidRPr="00AC4C54">
        <w:rPr>
          <w:rFonts w:ascii="Arial" w:eastAsia="Times New Roman" w:hAnsi="Arial" w:cs="Arial"/>
          <w:bCs/>
          <w:iCs/>
          <w:sz w:val="20"/>
          <w:szCs w:val="20"/>
          <w:lang w:eastAsia="en-US"/>
        </w:rPr>
        <w:t xml:space="preserve"> 202</w:t>
      </w:r>
      <w:r w:rsidR="00821F88">
        <w:rPr>
          <w:rFonts w:ascii="Arial" w:eastAsia="Times New Roman" w:hAnsi="Arial" w:cs="Arial"/>
          <w:bCs/>
          <w:iCs/>
          <w:sz w:val="20"/>
          <w:szCs w:val="20"/>
          <w:lang w:eastAsia="en-US"/>
        </w:rPr>
        <w:t>6</w:t>
      </w:r>
      <w:r w:rsidRPr="00AC4C54">
        <w:rPr>
          <w:rFonts w:ascii="Arial" w:eastAsia="Times New Roman" w:hAnsi="Arial" w:cs="Arial"/>
          <w:bCs/>
          <w:iCs/>
          <w:sz w:val="20"/>
          <w:szCs w:val="20"/>
          <w:lang w:eastAsia="en-US"/>
        </w:rPr>
        <w:t xml:space="preserve">. podmirilo učešće za kredit u iznosu </w:t>
      </w:r>
      <w:r w:rsidR="00821F88">
        <w:rPr>
          <w:rFonts w:ascii="Arial" w:eastAsia="Times New Roman" w:hAnsi="Arial" w:cs="Arial"/>
          <w:bCs/>
          <w:iCs/>
          <w:sz w:val="20"/>
          <w:szCs w:val="20"/>
          <w:lang w:eastAsia="en-US"/>
        </w:rPr>
        <w:t>66.250</w:t>
      </w:r>
      <w:r w:rsidRPr="00AC4C54">
        <w:rPr>
          <w:rFonts w:ascii="Arial" w:eastAsia="Times New Roman" w:hAnsi="Arial" w:cs="Arial"/>
          <w:bCs/>
          <w:iCs/>
          <w:sz w:val="20"/>
          <w:szCs w:val="20"/>
          <w:lang w:eastAsia="en-US"/>
        </w:rPr>
        <w:t xml:space="preserve"> €. </w:t>
      </w:r>
      <w:r w:rsidRPr="00AC4C54">
        <w:rPr>
          <w:rFonts w:ascii="Arial" w:eastAsia="Times New Roman" w:hAnsi="Arial" w:cs="Arial"/>
          <w:sz w:val="20"/>
          <w:szCs w:val="20"/>
        </w:rPr>
        <w:t xml:space="preserve">Primopredaja objekta leasinga je bila u </w:t>
      </w:r>
      <w:r w:rsidR="00821F88">
        <w:rPr>
          <w:rFonts w:ascii="Arial" w:eastAsia="Times New Roman" w:hAnsi="Arial" w:cs="Arial"/>
          <w:sz w:val="20"/>
          <w:szCs w:val="20"/>
        </w:rPr>
        <w:t>siječnju</w:t>
      </w:r>
      <w:r w:rsidRPr="00AC4C54">
        <w:rPr>
          <w:rFonts w:ascii="Arial" w:eastAsia="Times New Roman" w:hAnsi="Arial" w:cs="Arial"/>
          <w:sz w:val="20"/>
          <w:szCs w:val="20"/>
        </w:rPr>
        <w:t xml:space="preserve"> 202</w:t>
      </w:r>
      <w:r w:rsidR="00821F88">
        <w:rPr>
          <w:rFonts w:ascii="Arial" w:eastAsia="Times New Roman" w:hAnsi="Arial" w:cs="Arial"/>
          <w:sz w:val="20"/>
          <w:szCs w:val="20"/>
        </w:rPr>
        <w:t>6</w:t>
      </w:r>
      <w:r w:rsidRPr="00AC4C54">
        <w:rPr>
          <w:rFonts w:ascii="Arial" w:eastAsia="Times New Roman" w:hAnsi="Arial" w:cs="Arial"/>
          <w:sz w:val="20"/>
          <w:szCs w:val="20"/>
        </w:rPr>
        <w:t>.</w:t>
      </w:r>
    </w:p>
    <w:p w14:paraId="4505AF65" w14:textId="77777777" w:rsidR="002C703E" w:rsidRPr="00AC4C54" w:rsidRDefault="002C703E" w:rsidP="002C703E">
      <w:pPr>
        <w:spacing w:after="0" w:line="240" w:lineRule="auto"/>
        <w:jc w:val="both"/>
        <w:rPr>
          <w:rFonts w:ascii="Arial" w:eastAsia="Times New Roman" w:hAnsi="Arial" w:cs="Arial"/>
          <w:sz w:val="20"/>
          <w:szCs w:val="20"/>
        </w:rPr>
      </w:pPr>
    </w:p>
    <w:p w14:paraId="06269408" w14:textId="63689EE2" w:rsidR="002C703E" w:rsidRPr="00821F88" w:rsidRDefault="002C703E" w:rsidP="002C703E">
      <w:pPr>
        <w:spacing w:after="0" w:line="240" w:lineRule="auto"/>
        <w:jc w:val="both"/>
        <w:rPr>
          <w:rFonts w:ascii="Arial" w:eastAsia="Times New Roman" w:hAnsi="Arial" w:cs="Arial"/>
          <w:bCs/>
          <w:iCs/>
          <w:sz w:val="20"/>
          <w:szCs w:val="20"/>
          <w:lang w:eastAsia="en-US"/>
        </w:rPr>
      </w:pPr>
      <w:r w:rsidRPr="00AC4C54">
        <w:rPr>
          <w:rFonts w:ascii="Arial" w:eastAsia="Times New Roman" w:hAnsi="Arial" w:cs="Arial"/>
          <w:bCs/>
          <w:iCs/>
          <w:sz w:val="20"/>
          <w:szCs w:val="20"/>
          <w:lang w:eastAsia="en-US"/>
        </w:rPr>
        <w:t>U 202</w:t>
      </w:r>
      <w:r>
        <w:rPr>
          <w:rFonts w:ascii="Arial" w:eastAsia="Times New Roman" w:hAnsi="Arial" w:cs="Arial"/>
          <w:bCs/>
          <w:iCs/>
          <w:sz w:val="20"/>
          <w:szCs w:val="20"/>
          <w:lang w:eastAsia="en-US"/>
        </w:rPr>
        <w:t>5</w:t>
      </w:r>
      <w:r w:rsidRPr="00AC4C54">
        <w:rPr>
          <w:rFonts w:ascii="Arial" w:eastAsia="Times New Roman" w:hAnsi="Arial" w:cs="Arial"/>
          <w:bCs/>
          <w:iCs/>
          <w:sz w:val="20"/>
          <w:szCs w:val="20"/>
          <w:lang w:eastAsia="en-US"/>
        </w:rPr>
        <w:t xml:space="preserve">. </w:t>
      </w:r>
      <w:r w:rsidR="00821F88">
        <w:rPr>
          <w:rFonts w:ascii="Arial" w:eastAsia="Times New Roman" w:hAnsi="Arial" w:cs="Arial"/>
          <w:bCs/>
          <w:iCs/>
          <w:sz w:val="20"/>
          <w:szCs w:val="20"/>
          <w:lang w:eastAsia="en-US"/>
        </w:rPr>
        <w:t xml:space="preserve">evidentirana je dana suglasnost, a otplate glavnice su započele u </w:t>
      </w:r>
      <w:r w:rsidR="00821F88" w:rsidRPr="00821F88">
        <w:rPr>
          <w:rFonts w:ascii="Arial" w:eastAsia="Times New Roman" w:hAnsi="Arial" w:cs="Arial"/>
          <w:bCs/>
          <w:iCs/>
          <w:sz w:val="20"/>
          <w:szCs w:val="20"/>
          <w:lang w:eastAsia="en-US"/>
        </w:rPr>
        <w:t>veljači</w:t>
      </w:r>
      <w:r w:rsidRPr="00821F88">
        <w:rPr>
          <w:rFonts w:ascii="Arial" w:eastAsia="Times New Roman" w:hAnsi="Arial" w:cs="Arial"/>
          <w:bCs/>
          <w:iCs/>
          <w:sz w:val="20"/>
          <w:szCs w:val="20"/>
          <w:lang w:eastAsia="en-US"/>
        </w:rPr>
        <w:t xml:space="preserve"> </w:t>
      </w:r>
      <w:r w:rsidR="00821F88" w:rsidRPr="00821F88">
        <w:rPr>
          <w:rFonts w:ascii="Arial" w:eastAsia="Times New Roman" w:hAnsi="Arial" w:cs="Arial"/>
          <w:bCs/>
          <w:iCs/>
          <w:sz w:val="20"/>
          <w:szCs w:val="20"/>
          <w:lang w:eastAsia="en-US"/>
        </w:rPr>
        <w:t>2026.</w:t>
      </w:r>
    </w:p>
    <w:p w14:paraId="35F05925" w14:textId="77777777" w:rsidR="00793280" w:rsidRPr="00821F88" w:rsidRDefault="00793280" w:rsidP="004C43F1">
      <w:pPr>
        <w:spacing w:after="0" w:line="240" w:lineRule="auto"/>
        <w:jc w:val="both"/>
        <w:rPr>
          <w:rFonts w:ascii="Arial" w:eastAsia="Times New Roman" w:hAnsi="Arial" w:cs="Arial"/>
          <w:bCs/>
        </w:rPr>
      </w:pPr>
    </w:p>
    <w:p w14:paraId="52A56A1C" w14:textId="77777777" w:rsidR="00A3648D" w:rsidRPr="003A2F86" w:rsidRDefault="00A3648D" w:rsidP="00A3648D">
      <w:pPr>
        <w:spacing w:after="0" w:line="240" w:lineRule="auto"/>
        <w:rPr>
          <w:rFonts w:ascii="Arial" w:eastAsia="Times New Roman" w:hAnsi="Arial" w:cs="Arial"/>
        </w:rPr>
      </w:pPr>
      <w:r w:rsidRPr="003A2F86">
        <w:rPr>
          <w:rFonts w:ascii="Arial" w:eastAsia="Times New Roman" w:hAnsi="Arial" w:cs="Arial"/>
        </w:rPr>
        <w:br w:type="page"/>
      </w:r>
    </w:p>
    <w:p w14:paraId="155FCBC2" w14:textId="77777777" w:rsidR="00EA65B3" w:rsidRPr="00850B5A" w:rsidRDefault="00EA65B3" w:rsidP="00EA65B3">
      <w:pPr>
        <w:spacing w:after="0" w:line="240" w:lineRule="auto"/>
      </w:pPr>
    </w:p>
    <w:p w14:paraId="0A05433E" w14:textId="590028D9" w:rsidR="000650E1" w:rsidRPr="00850B5A" w:rsidRDefault="006D222A" w:rsidP="000650E1">
      <w:pPr>
        <w:pStyle w:val="Naslov1"/>
        <w:rPr>
          <w:rFonts w:ascii="Arial" w:hAnsi="Arial" w:cs="Arial"/>
          <w:sz w:val="22"/>
          <w:lang w:val="hr-HR"/>
        </w:rPr>
      </w:pPr>
      <w:bookmarkStart w:id="752" w:name="_Toc232981508"/>
      <w:r w:rsidRPr="00850B5A">
        <w:rPr>
          <w:rFonts w:ascii="Arial" w:eastAsia="Calibri" w:hAnsi="Arial" w:cs="Arial"/>
          <w:sz w:val="22"/>
          <w:lang w:val="hr-HR"/>
        </w:rPr>
        <w:t>7</w:t>
      </w:r>
      <w:r w:rsidR="000650E1" w:rsidRPr="00850B5A">
        <w:rPr>
          <w:rFonts w:ascii="Arial" w:eastAsia="Calibri" w:hAnsi="Arial" w:cs="Arial"/>
          <w:sz w:val="22"/>
          <w:lang w:val="hr-HR"/>
        </w:rPr>
        <w:t xml:space="preserve">. </w:t>
      </w:r>
      <w:r w:rsidR="000650E1" w:rsidRPr="00850B5A">
        <w:rPr>
          <w:rFonts w:ascii="Arial" w:eastAsia="Calibri" w:hAnsi="Arial" w:cs="Arial"/>
          <w:sz w:val="22"/>
          <w:lang w:val="hr-HR"/>
        </w:rPr>
        <w:tab/>
      </w:r>
      <w:bookmarkStart w:id="753" w:name="Bilanca_razina_22_i_23"/>
      <w:bookmarkEnd w:id="753"/>
      <w:r w:rsidR="000650E1" w:rsidRPr="00850B5A">
        <w:rPr>
          <w:rFonts w:ascii="Arial" w:eastAsia="Calibri" w:hAnsi="Arial" w:cs="Arial"/>
          <w:sz w:val="22"/>
          <w:lang w:val="hr-HR"/>
        </w:rPr>
        <w:t>STANJE IMOVINE I OBVEZA, BILANCA (financijski izvještaji)</w:t>
      </w:r>
      <w:bookmarkEnd w:id="752"/>
    </w:p>
    <w:p w14:paraId="06F1535B" w14:textId="77777777" w:rsidR="000650E1" w:rsidRPr="00781A43" w:rsidRDefault="000650E1" w:rsidP="000650E1">
      <w:pPr>
        <w:autoSpaceDE w:val="0"/>
        <w:autoSpaceDN w:val="0"/>
        <w:adjustRightInd w:val="0"/>
        <w:spacing w:after="0" w:line="240" w:lineRule="auto"/>
        <w:rPr>
          <w:rFonts w:ascii="Arial" w:eastAsia="Times New Roman" w:hAnsi="Arial" w:cs="Arial"/>
          <w:sz w:val="20"/>
          <w:szCs w:val="20"/>
        </w:rPr>
      </w:pPr>
    </w:p>
    <w:p w14:paraId="33710462" w14:textId="77777777" w:rsidR="00F5221E" w:rsidRPr="00AC4C54" w:rsidRDefault="000650E1" w:rsidP="000650E1">
      <w:pPr>
        <w:autoSpaceDE w:val="0"/>
        <w:autoSpaceDN w:val="0"/>
        <w:adjustRightInd w:val="0"/>
        <w:spacing w:after="0" w:line="240" w:lineRule="auto"/>
        <w:jc w:val="both"/>
        <w:rPr>
          <w:rFonts w:ascii="Arial" w:eastAsia="Times New Roman" w:hAnsi="Arial" w:cs="Arial"/>
          <w:sz w:val="20"/>
          <w:szCs w:val="20"/>
        </w:rPr>
      </w:pPr>
      <w:r w:rsidRPr="00AC4C54">
        <w:rPr>
          <w:rFonts w:ascii="Arial" w:eastAsia="Times New Roman" w:hAnsi="Arial" w:cs="Arial"/>
          <w:sz w:val="20"/>
          <w:szCs w:val="20"/>
        </w:rPr>
        <w:t xml:space="preserve">Sukladno Pravilniku o financijskom izvještavanju u proračunskom računovodstvu (Narodne novine 3/15, 93/15, 135/15, 2/17, 28/17, 112/18, 126/19, 145/20) financijski izvještaji proračuna jedinice lokalne i područne (regionalne) samouprave za razdoblje od 1. siječnja do 31. prosinca sastoje se od Izvještaja o prihodima i rashodima, primicima i izdacima; Izvještaja o rashodima prema funkcijskoj klasifikaciji; Izvještaja o obvezama; Izvještaja o promjenama u vrijednosti i obujmu imovine i obveza; Bilance i Bilješki. </w:t>
      </w:r>
    </w:p>
    <w:p w14:paraId="73177584" w14:textId="7B2E1F3B" w:rsidR="000650E1" w:rsidRPr="00AC4C54" w:rsidRDefault="000650E1" w:rsidP="000650E1">
      <w:pPr>
        <w:autoSpaceDE w:val="0"/>
        <w:autoSpaceDN w:val="0"/>
        <w:adjustRightInd w:val="0"/>
        <w:spacing w:after="0" w:line="240" w:lineRule="auto"/>
        <w:jc w:val="both"/>
        <w:rPr>
          <w:rFonts w:ascii="Arial" w:eastAsia="Times New Roman" w:hAnsi="Arial" w:cs="Arial"/>
          <w:sz w:val="20"/>
          <w:szCs w:val="20"/>
        </w:rPr>
      </w:pPr>
      <w:r w:rsidRPr="00AC4C54">
        <w:rPr>
          <w:rFonts w:ascii="Arial" w:eastAsia="Times New Roman" w:hAnsi="Arial" w:cs="Arial"/>
          <w:sz w:val="20"/>
          <w:szCs w:val="20"/>
        </w:rPr>
        <w:t>Za izvještajno razdoblje siječanj – lipanj sastavlja se samo Izvještaj o prihodima i rashodima, primicima i izdacima; Izvještaj o obvezama i Bilješke.</w:t>
      </w:r>
    </w:p>
    <w:p w14:paraId="10D205B4" w14:textId="77777777" w:rsidR="00F5221E" w:rsidRPr="00AC4C54" w:rsidRDefault="00F5221E" w:rsidP="00F5221E">
      <w:pPr>
        <w:autoSpaceDE w:val="0"/>
        <w:autoSpaceDN w:val="0"/>
        <w:adjustRightInd w:val="0"/>
        <w:spacing w:after="0" w:line="240" w:lineRule="auto"/>
        <w:jc w:val="both"/>
        <w:rPr>
          <w:rFonts w:ascii="Arial" w:eastAsia="Times New Roman" w:hAnsi="Arial" w:cs="Arial"/>
          <w:sz w:val="20"/>
          <w:szCs w:val="20"/>
        </w:rPr>
      </w:pPr>
    </w:p>
    <w:p w14:paraId="24CF38A7" w14:textId="774D57D2" w:rsidR="00402B21" w:rsidRPr="00AC4C54" w:rsidRDefault="00402B21" w:rsidP="00402B21">
      <w:pPr>
        <w:autoSpaceDE w:val="0"/>
        <w:autoSpaceDN w:val="0"/>
        <w:adjustRightInd w:val="0"/>
        <w:spacing w:after="0" w:line="240" w:lineRule="auto"/>
        <w:jc w:val="both"/>
        <w:rPr>
          <w:rFonts w:ascii="Arial" w:eastAsia="Times New Roman" w:hAnsi="Arial" w:cs="Arial"/>
          <w:sz w:val="20"/>
          <w:szCs w:val="20"/>
        </w:rPr>
      </w:pPr>
      <w:r w:rsidRPr="00AC4C54">
        <w:rPr>
          <w:rFonts w:ascii="Arial" w:hAnsi="Arial" w:cs="Arial"/>
          <w:b/>
          <w:bCs/>
          <w:i/>
          <w:iCs/>
          <w:sz w:val="20"/>
          <w:szCs w:val="20"/>
          <w:u w:val="single"/>
        </w:rPr>
        <w:t>* Napomena:</w:t>
      </w:r>
      <w:r w:rsidRPr="00AC4C54">
        <w:rPr>
          <w:rFonts w:ascii="Arial" w:hAnsi="Arial" w:cs="Arial"/>
          <w:b/>
          <w:bCs/>
          <w:i/>
          <w:iCs/>
          <w:sz w:val="20"/>
          <w:szCs w:val="20"/>
        </w:rPr>
        <w:t xml:space="preserve"> dalje u tekstu to</w:t>
      </w:r>
      <w:r w:rsidRPr="00AC4C54">
        <w:rPr>
          <w:rFonts w:ascii="Arial,BoldItalic" w:hAnsi="Arial,BoldItalic" w:cs="Arial,BoldItalic"/>
          <w:b/>
          <w:bCs/>
          <w:i/>
          <w:iCs/>
          <w:sz w:val="20"/>
          <w:szCs w:val="20"/>
        </w:rPr>
        <w:t>č</w:t>
      </w:r>
      <w:r w:rsidRPr="00AC4C54">
        <w:rPr>
          <w:rFonts w:ascii="Arial" w:hAnsi="Arial" w:cs="Arial"/>
          <w:b/>
          <w:bCs/>
          <w:i/>
          <w:iCs/>
          <w:sz w:val="20"/>
          <w:szCs w:val="20"/>
        </w:rPr>
        <w:t>ke 8. navode se podaci iz Bilance (financijskog izvještaja) na dan 31.12.202</w:t>
      </w:r>
      <w:r>
        <w:rPr>
          <w:rFonts w:ascii="Arial" w:hAnsi="Arial" w:cs="Arial"/>
          <w:b/>
          <w:bCs/>
          <w:i/>
          <w:iCs/>
          <w:sz w:val="20"/>
          <w:szCs w:val="20"/>
        </w:rPr>
        <w:t>5</w:t>
      </w:r>
      <w:r w:rsidRPr="00AC4C54">
        <w:rPr>
          <w:rFonts w:ascii="Arial" w:hAnsi="Arial" w:cs="Arial"/>
          <w:b/>
          <w:bCs/>
          <w:i/>
          <w:iCs/>
          <w:sz w:val="20"/>
          <w:szCs w:val="20"/>
        </w:rPr>
        <w:t>.</w:t>
      </w:r>
    </w:p>
    <w:p w14:paraId="72BE1173" w14:textId="77777777" w:rsidR="000650E1" w:rsidRPr="00AC4C54" w:rsidRDefault="000650E1" w:rsidP="000650E1">
      <w:pPr>
        <w:autoSpaceDE w:val="0"/>
        <w:autoSpaceDN w:val="0"/>
        <w:adjustRightInd w:val="0"/>
        <w:spacing w:after="0" w:line="240" w:lineRule="auto"/>
        <w:jc w:val="both"/>
        <w:rPr>
          <w:rFonts w:ascii="Arial" w:eastAsia="Times New Roman" w:hAnsi="Arial" w:cs="Arial"/>
          <w:sz w:val="20"/>
          <w:szCs w:val="20"/>
        </w:rPr>
      </w:pPr>
    </w:p>
    <w:p w14:paraId="00B04FF5" w14:textId="0C880E4F" w:rsidR="000650E1" w:rsidRPr="00850B5A" w:rsidRDefault="006D222A" w:rsidP="000650E1">
      <w:pPr>
        <w:pStyle w:val="Naslov2"/>
        <w:jc w:val="center"/>
        <w:rPr>
          <w:rFonts w:ascii="Arial" w:hAnsi="Arial" w:cs="Arial"/>
          <w:sz w:val="22"/>
          <w:lang w:val="hr-HR"/>
        </w:rPr>
      </w:pPr>
      <w:bookmarkStart w:id="754" w:name="_Toc232981509"/>
      <w:r w:rsidRPr="00850B5A">
        <w:rPr>
          <w:rFonts w:ascii="Arial" w:hAnsi="Arial" w:cs="Arial"/>
          <w:sz w:val="22"/>
          <w:lang w:val="hr-HR"/>
        </w:rPr>
        <w:t>7</w:t>
      </w:r>
      <w:r w:rsidR="000650E1" w:rsidRPr="00850B5A">
        <w:rPr>
          <w:rFonts w:ascii="Arial" w:hAnsi="Arial" w:cs="Arial"/>
          <w:sz w:val="22"/>
          <w:lang w:val="hr-HR"/>
        </w:rPr>
        <w:t>.1.</w:t>
      </w:r>
      <w:r w:rsidR="000650E1" w:rsidRPr="00850B5A">
        <w:rPr>
          <w:rFonts w:ascii="Arial" w:hAnsi="Arial" w:cs="Arial"/>
          <w:sz w:val="22"/>
          <w:lang w:val="hr-HR"/>
        </w:rPr>
        <w:tab/>
        <w:t>STANJE IMOVINE I OBVEZA – OPĆINA, razina 22</w:t>
      </w:r>
      <w:bookmarkEnd w:id="754"/>
    </w:p>
    <w:p w14:paraId="06F82221" w14:textId="77777777" w:rsidR="000650E1" w:rsidRPr="00781A43" w:rsidRDefault="000650E1" w:rsidP="000650E1">
      <w:pPr>
        <w:autoSpaceDE w:val="0"/>
        <w:autoSpaceDN w:val="0"/>
        <w:adjustRightInd w:val="0"/>
        <w:spacing w:after="0" w:line="240" w:lineRule="auto"/>
        <w:jc w:val="both"/>
        <w:rPr>
          <w:rFonts w:ascii="Arial" w:eastAsia="Times New Roman" w:hAnsi="Arial" w:cs="Arial"/>
          <w:sz w:val="20"/>
          <w:szCs w:val="20"/>
        </w:rPr>
      </w:pPr>
    </w:p>
    <w:p w14:paraId="78420156" w14:textId="0BE8DF33" w:rsidR="000650E1" w:rsidRPr="00AC4C54" w:rsidRDefault="000650E1" w:rsidP="000650E1">
      <w:pPr>
        <w:autoSpaceDE w:val="0"/>
        <w:autoSpaceDN w:val="0"/>
        <w:adjustRightInd w:val="0"/>
        <w:spacing w:after="0" w:line="240" w:lineRule="auto"/>
        <w:jc w:val="both"/>
        <w:rPr>
          <w:rFonts w:ascii="Arial" w:eastAsia="Times New Roman" w:hAnsi="Arial" w:cs="Arial"/>
          <w:sz w:val="20"/>
          <w:szCs w:val="20"/>
        </w:rPr>
      </w:pPr>
      <w:r w:rsidRPr="00AC4C54">
        <w:rPr>
          <w:rFonts w:ascii="Arial" w:eastAsia="Times New Roman" w:hAnsi="Arial" w:cs="Arial"/>
          <w:sz w:val="20"/>
          <w:szCs w:val="20"/>
        </w:rPr>
        <w:t>U ovom dijelu imovine i obveza opisuje se stanje imovine i obveza iz bilance Općine (bez pripadajuće imovine i obveza proračunskih korisnika) na dan 31.12.20</w:t>
      </w:r>
      <w:r w:rsidR="00E378E4" w:rsidRPr="00AC4C54">
        <w:rPr>
          <w:rFonts w:ascii="Arial" w:eastAsia="Times New Roman" w:hAnsi="Arial" w:cs="Arial"/>
          <w:sz w:val="20"/>
          <w:szCs w:val="20"/>
        </w:rPr>
        <w:t>2</w:t>
      </w:r>
      <w:r w:rsidR="00772FA7">
        <w:rPr>
          <w:rFonts w:ascii="Arial" w:eastAsia="Times New Roman" w:hAnsi="Arial" w:cs="Arial"/>
          <w:sz w:val="20"/>
          <w:szCs w:val="20"/>
        </w:rPr>
        <w:t>4</w:t>
      </w:r>
      <w:r w:rsidRPr="00AC4C54">
        <w:rPr>
          <w:rFonts w:ascii="Arial" w:eastAsia="Times New Roman" w:hAnsi="Arial" w:cs="Arial"/>
          <w:sz w:val="20"/>
          <w:szCs w:val="20"/>
        </w:rPr>
        <w:t>. (odnosno 1.1.202</w:t>
      </w:r>
      <w:r w:rsidR="00772FA7">
        <w:rPr>
          <w:rFonts w:ascii="Arial" w:eastAsia="Times New Roman" w:hAnsi="Arial" w:cs="Arial"/>
          <w:sz w:val="20"/>
          <w:szCs w:val="20"/>
        </w:rPr>
        <w:t>5</w:t>
      </w:r>
      <w:r w:rsidRPr="00AC4C54">
        <w:rPr>
          <w:rFonts w:ascii="Arial" w:eastAsia="Times New Roman" w:hAnsi="Arial" w:cs="Arial"/>
          <w:sz w:val="20"/>
          <w:szCs w:val="20"/>
        </w:rPr>
        <w:t xml:space="preserve">.) i na dan </w:t>
      </w:r>
      <w:r w:rsidR="00402B21">
        <w:rPr>
          <w:rFonts w:ascii="Arial" w:eastAsia="Times New Roman" w:hAnsi="Arial" w:cs="Arial"/>
          <w:sz w:val="20"/>
          <w:szCs w:val="20"/>
        </w:rPr>
        <w:t>31.12</w:t>
      </w:r>
      <w:r w:rsidR="00772FA7">
        <w:rPr>
          <w:rFonts w:ascii="Arial" w:eastAsia="Times New Roman" w:hAnsi="Arial" w:cs="Arial"/>
          <w:sz w:val="20"/>
          <w:szCs w:val="20"/>
        </w:rPr>
        <w:t>.2025</w:t>
      </w:r>
      <w:r w:rsidRPr="00AC4C54">
        <w:rPr>
          <w:rFonts w:ascii="Arial" w:eastAsia="Times New Roman" w:hAnsi="Arial" w:cs="Arial"/>
          <w:sz w:val="20"/>
          <w:szCs w:val="20"/>
        </w:rPr>
        <w:t xml:space="preserve">. </w:t>
      </w:r>
    </w:p>
    <w:p w14:paraId="173A322C" w14:textId="77777777" w:rsidR="000650E1" w:rsidRPr="00850B5A" w:rsidRDefault="000650E1" w:rsidP="000650E1">
      <w:pPr>
        <w:spacing w:after="0" w:line="240" w:lineRule="auto"/>
        <w:jc w:val="both"/>
        <w:rPr>
          <w:rFonts w:ascii="Arial" w:eastAsia="Times New Roman" w:hAnsi="Arial" w:cs="Arial"/>
          <w:sz w:val="18"/>
          <w:szCs w:val="16"/>
          <w:lang w:eastAsia="en-US"/>
        </w:rPr>
      </w:pPr>
    </w:p>
    <w:p w14:paraId="2EA38FD6" w14:textId="65F1E398" w:rsidR="000650E1" w:rsidRPr="003A2F86" w:rsidRDefault="000650E1" w:rsidP="000650E1">
      <w:pPr>
        <w:pBdr>
          <w:top w:val="dotted" w:sz="4" w:space="1" w:color="auto"/>
          <w:left w:val="dotted" w:sz="4" w:space="4" w:color="auto"/>
          <w:bottom w:val="dotted" w:sz="4" w:space="1" w:color="auto"/>
          <w:right w:val="dotted" w:sz="4" w:space="4" w:color="auto"/>
        </w:pBdr>
        <w:shd w:val="clear" w:color="auto" w:fill="BFBFBF"/>
        <w:spacing w:after="0" w:line="240" w:lineRule="auto"/>
        <w:jc w:val="both"/>
        <w:rPr>
          <w:rFonts w:ascii="Arial" w:eastAsia="Times New Roman" w:hAnsi="Arial" w:cs="Arial"/>
          <w:b/>
          <w:szCs w:val="20"/>
          <w:lang w:eastAsia="en-US"/>
        </w:rPr>
      </w:pPr>
      <w:r w:rsidRPr="003A2F86">
        <w:rPr>
          <w:rFonts w:ascii="Arial" w:eastAsia="Times New Roman" w:hAnsi="Arial" w:cs="Arial"/>
          <w:b/>
          <w:szCs w:val="20"/>
          <w:lang w:eastAsia="en-US"/>
        </w:rPr>
        <w:t>1.</w:t>
      </w:r>
      <w:r w:rsidRPr="003A2F86">
        <w:rPr>
          <w:rFonts w:ascii="Arial" w:eastAsia="Times New Roman" w:hAnsi="Arial" w:cs="Arial"/>
          <w:b/>
          <w:szCs w:val="20"/>
          <w:lang w:eastAsia="en-US"/>
        </w:rPr>
        <w:tab/>
        <w:t xml:space="preserve">IMOVINA </w:t>
      </w:r>
      <w:r w:rsidRPr="003A2F86">
        <w:rPr>
          <w:rFonts w:ascii="Arial" w:eastAsia="Times New Roman" w:hAnsi="Arial" w:cs="Arial"/>
          <w:b/>
          <w:szCs w:val="20"/>
          <w:lang w:eastAsia="en-US"/>
        </w:rPr>
        <w:tab/>
      </w:r>
    </w:p>
    <w:p w14:paraId="53D1D404" w14:textId="77777777" w:rsidR="000650E1" w:rsidRPr="003A2F86" w:rsidRDefault="000650E1" w:rsidP="000650E1">
      <w:pPr>
        <w:spacing w:after="0" w:line="240" w:lineRule="auto"/>
        <w:jc w:val="both"/>
        <w:rPr>
          <w:rFonts w:ascii="Arial" w:eastAsia="Times New Roman" w:hAnsi="Arial" w:cs="Arial"/>
          <w:b/>
          <w:iCs/>
          <w:sz w:val="16"/>
          <w:szCs w:val="16"/>
          <w:lang w:eastAsia="en-US"/>
        </w:rPr>
      </w:pPr>
    </w:p>
    <w:p w14:paraId="77159987" w14:textId="3D627889" w:rsidR="00850B5A" w:rsidRPr="00A264B7" w:rsidRDefault="00850B5A" w:rsidP="00850B5A">
      <w:pPr>
        <w:spacing w:after="0" w:line="240" w:lineRule="auto"/>
        <w:jc w:val="both"/>
        <w:rPr>
          <w:rFonts w:ascii="Arial" w:eastAsia="Times New Roman" w:hAnsi="Arial" w:cs="Arial"/>
          <w:bCs/>
          <w:iCs/>
          <w:sz w:val="20"/>
          <w:szCs w:val="20"/>
          <w:lang w:eastAsia="en-US"/>
        </w:rPr>
      </w:pPr>
      <w:r w:rsidRPr="00A264B7">
        <w:rPr>
          <w:rFonts w:ascii="Arial" w:eastAsia="Times New Roman" w:hAnsi="Arial" w:cs="Arial"/>
          <w:b/>
          <w:bCs/>
          <w:iCs/>
          <w:sz w:val="20"/>
          <w:szCs w:val="20"/>
          <w:lang w:eastAsia="en-US"/>
        </w:rPr>
        <w:t>RAZRED 0 i 1</w:t>
      </w:r>
      <w:r w:rsidRPr="00A264B7">
        <w:rPr>
          <w:rFonts w:ascii="Arial" w:eastAsia="Times New Roman" w:hAnsi="Arial" w:cs="Arial"/>
          <w:bCs/>
          <w:iCs/>
          <w:sz w:val="20"/>
          <w:szCs w:val="20"/>
          <w:lang w:eastAsia="en-US"/>
        </w:rPr>
        <w:t>:</w:t>
      </w:r>
      <w:r w:rsidRPr="00A264B7">
        <w:rPr>
          <w:rFonts w:ascii="Arial" w:eastAsia="Times New Roman" w:hAnsi="Arial" w:cs="Arial"/>
          <w:bCs/>
          <w:iCs/>
          <w:sz w:val="20"/>
          <w:szCs w:val="20"/>
          <w:lang w:eastAsia="en-US"/>
        </w:rPr>
        <w:tab/>
        <w:t>Ukupna vrijednost imovine koncem 202</w:t>
      </w:r>
      <w:r w:rsidR="00A264B7" w:rsidRPr="00A264B7">
        <w:rPr>
          <w:rFonts w:ascii="Arial" w:eastAsia="Times New Roman" w:hAnsi="Arial" w:cs="Arial"/>
          <w:bCs/>
          <w:iCs/>
          <w:sz w:val="20"/>
          <w:szCs w:val="20"/>
          <w:lang w:eastAsia="en-US"/>
        </w:rPr>
        <w:t>5</w:t>
      </w:r>
      <w:r w:rsidRPr="00A264B7">
        <w:rPr>
          <w:rFonts w:ascii="Arial" w:eastAsia="Times New Roman" w:hAnsi="Arial" w:cs="Arial"/>
          <w:bCs/>
          <w:iCs/>
          <w:sz w:val="20"/>
          <w:szCs w:val="20"/>
          <w:lang w:eastAsia="en-US"/>
        </w:rPr>
        <w:t xml:space="preserve">. iznosi </w:t>
      </w:r>
      <w:r w:rsidR="0033610D">
        <w:rPr>
          <w:rFonts w:ascii="Arial" w:eastAsia="Times New Roman" w:hAnsi="Arial" w:cs="Arial"/>
          <w:bCs/>
          <w:iCs/>
          <w:sz w:val="20"/>
          <w:szCs w:val="20"/>
          <w:lang w:eastAsia="en-US"/>
        </w:rPr>
        <w:t>78.956.266,80</w:t>
      </w:r>
      <w:r w:rsidRPr="00A264B7">
        <w:rPr>
          <w:rFonts w:ascii="Arial" w:eastAsia="Times New Roman" w:hAnsi="Arial" w:cs="Arial"/>
          <w:bCs/>
          <w:iCs/>
          <w:sz w:val="20"/>
          <w:szCs w:val="20"/>
          <w:lang w:eastAsia="en-US"/>
        </w:rPr>
        <w:t xml:space="preserve"> €, a u odnosu na prethodnu godinu povećana je za </w:t>
      </w:r>
      <w:r w:rsidR="0033610D">
        <w:rPr>
          <w:rFonts w:ascii="Arial" w:eastAsia="Times New Roman" w:hAnsi="Arial" w:cs="Arial"/>
          <w:bCs/>
          <w:iCs/>
          <w:sz w:val="20"/>
          <w:szCs w:val="20"/>
          <w:lang w:eastAsia="en-US"/>
        </w:rPr>
        <w:t>9.666.498,02</w:t>
      </w:r>
      <w:r w:rsidRPr="00A264B7">
        <w:rPr>
          <w:rFonts w:ascii="Arial" w:eastAsia="Times New Roman" w:hAnsi="Arial" w:cs="Arial"/>
          <w:bCs/>
          <w:iCs/>
          <w:sz w:val="20"/>
          <w:szCs w:val="20"/>
          <w:lang w:eastAsia="en-US"/>
        </w:rPr>
        <w:t xml:space="preserve"> € ili </w:t>
      </w:r>
      <w:r w:rsidR="0033610D">
        <w:rPr>
          <w:rFonts w:ascii="Arial" w:eastAsia="Times New Roman" w:hAnsi="Arial" w:cs="Arial"/>
          <w:bCs/>
          <w:iCs/>
          <w:sz w:val="20"/>
          <w:szCs w:val="20"/>
          <w:lang w:eastAsia="en-US"/>
        </w:rPr>
        <w:t>14</w:t>
      </w:r>
      <w:r w:rsidRPr="00A264B7">
        <w:rPr>
          <w:rFonts w:ascii="Arial" w:eastAsia="Times New Roman" w:hAnsi="Arial" w:cs="Arial"/>
          <w:bCs/>
          <w:iCs/>
          <w:sz w:val="20"/>
          <w:szCs w:val="20"/>
          <w:lang w:eastAsia="en-US"/>
        </w:rPr>
        <w:t xml:space="preserve">%. </w:t>
      </w:r>
    </w:p>
    <w:p w14:paraId="4C95D5A5" w14:textId="44FDE72B" w:rsidR="007127A6" w:rsidRPr="003A2F86" w:rsidRDefault="0033610D" w:rsidP="007127A6">
      <w:pPr>
        <w:pStyle w:val="Tijeloteksta2"/>
        <w:jc w:val="center"/>
        <w:rPr>
          <w:rFonts w:ascii="Arial" w:hAnsi="Arial" w:cs="Arial"/>
          <w:bCs/>
          <w:iCs/>
          <w:sz w:val="22"/>
          <w:szCs w:val="22"/>
          <w:lang w:val="hr-HR"/>
        </w:rPr>
      </w:pPr>
      <w:r w:rsidRPr="0033610D">
        <w:rPr>
          <w:noProof/>
        </w:rPr>
        <w:drawing>
          <wp:inline distT="0" distB="0" distL="0" distR="0" wp14:anchorId="1F928DC5" wp14:editId="42BC1852">
            <wp:extent cx="6392545" cy="2663825"/>
            <wp:effectExtent l="0" t="0" r="8255" b="3175"/>
            <wp:docPr id="907888990"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392545" cy="2663825"/>
                    </a:xfrm>
                    <a:prstGeom prst="rect">
                      <a:avLst/>
                    </a:prstGeom>
                    <a:noFill/>
                    <a:ln>
                      <a:noFill/>
                    </a:ln>
                  </pic:spPr>
                </pic:pic>
              </a:graphicData>
            </a:graphic>
          </wp:inline>
        </w:drawing>
      </w:r>
    </w:p>
    <w:p w14:paraId="38C75477" w14:textId="77777777" w:rsidR="007127A6" w:rsidRPr="00A264B7" w:rsidRDefault="007127A6" w:rsidP="007127A6">
      <w:pPr>
        <w:pStyle w:val="Tijeloteksta2"/>
        <w:rPr>
          <w:rFonts w:ascii="Arial" w:hAnsi="Arial" w:cs="Arial"/>
          <w:bCs/>
          <w:iCs/>
          <w:sz w:val="22"/>
          <w:szCs w:val="22"/>
          <w:lang w:val="hr-HR"/>
        </w:rPr>
      </w:pPr>
    </w:p>
    <w:p w14:paraId="06BF7D30" w14:textId="77777777" w:rsidR="0033610D" w:rsidRPr="0042006D" w:rsidRDefault="0033610D" w:rsidP="0033610D">
      <w:pPr>
        <w:pStyle w:val="Tijeloteksta2"/>
        <w:rPr>
          <w:rFonts w:ascii="Arial" w:hAnsi="Arial" w:cs="Arial"/>
          <w:iCs/>
          <w:sz w:val="20"/>
          <w:lang w:val="hr-HR"/>
        </w:rPr>
      </w:pPr>
      <w:bookmarkStart w:id="755" w:name="_Hlk112760098"/>
      <w:bookmarkStart w:id="756" w:name="_Toc443896179"/>
      <w:r w:rsidRPr="0042006D">
        <w:rPr>
          <w:rFonts w:ascii="Arial" w:hAnsi="Arial" w:cs="Arial"/>
          <w:b/>
          <w:bCs/>
          <w:iCs/>
          <w:sz w:val="20"/>
          <w:lang w:val="hr-HR"/>
        </w:rPr>
        <w:lastRenderedPageBreak/>
        <w:t>SKUPINA 01</w:t>
      </w:r>
      <w:r w:rsidRPr="0042006D">
        <w:rPr>
          <w:rFonts w:ascii="Arial" w:hAnsi="Arial" w:cs="Arial"/>
          <w:bCs/>
          <w:iCs/>
          <w:sz w:val="20"/>
          <w:lang w:val="hr-HR"/>
        </w:rPr>
        <w:t>:</w:t>
      </w:r>
      <w:r w:rsidRPr="0042006D">
        <w:rPr>
          <w:rFonts w:ascii="Arial" w:hAnsi="Arial" w:cs="Arial"/>
          <w:bCs/>
          <w:iCs/>
          <w:sz w:val="20"/>
          <w:lang w:val="hr-HR"/>
        </w:rPr>
        <w:tab/>
        <w:t>Neproizvedena dugotrajna imovina (</w:t>
      </w:r>
      <w:r w:rsidRPr="0042006D">
        <w:rPr>
          <w:rFonts w:ascii="Arial" w:hAnsi="Arial" w:cs="Arial"/>
          <w:b/>
          <w:bCs/>
          <w:iCs/>
          <w:sz w:val="20"/>
          <w:lang w:val="hr-HR"/>
        </w:rPr>
        <w:t>01</w:t>
      </w:r>
      <w:r w:rsidRPr="0042006D">
        <w:rPr>
          <w:rFonts w:ascii="Arial" w:hAnsi="Arial" w:cs="Arial"/>
          <w:bCs/>
          <w:iCs/>
          <w:sz w:val="20"/>
          <w:lang w:val="hr-HR"/>
        </w:rPr>
        <w:t>) iznosi 45.273.268,80 € što je povećanje za 10.057.607,52 € ili 28,6% u odnosu na prethodnu godinu. U tekućoj godini je obavljena zamjena zemljišta sa zračnom lukom u vrijednosti 458.000 €, te kupljeno zemljište na poluotoku Ratu za arheološka istraživanja u vrijednosti 104.000 €.</w:t>
      </w:r>
    </w:p>
    <w:p w14:paraId="7B325999" w14:textId="77777777" w:rsidR="0033610D" w:rsidRPr="0042006D" w:rsidRDefault="0033610D" w:rsidP="0033610D">
      <w:pPr>
        <w:pStyle w:val="Tijeloteksta2"/>
        <w:rPr>
          <w:rFonts w:ascii="Arial" w:hAnsi="Arial" w:cs="Arial"/>
          <w:iCs/>
          <w:sz w:val="20"/>
          <w:lang w:val="hr-HR"/>
        </w:rPr>
      </w:pPr>
    </w:p>
    <w:p w14:paraId="55A44781" w14:textId="77777777" w:rsidR="0033610D" w:rsidRPr="0042006D" w:rsidRDefault="0033610D" w:rsidP="0033610D">
      <w:pPr>
        <w:pStyle w:val="Tijeloteksta2"/>
        <w:rPr>
          <w:rFonts w:ascii="Arial" w:hAnsi="Arial" w:cs="Arial"/>
          <w:bCs/>
          <w:iCs/>
          <w:sz w:val="20"/>
          <w:lang w:val="hr-HR"/>
        </w:rPr>
      </w:pPr>
      <w:r w:rsidRPr="0042006D">
        <w:rPr>
          <w:rFonts w:ascii="Arial" w:hAnsi="Arial" w:cs="Arial"/>
          <w:b/>
          <w:bCs/>
          <w:iCs/>
          <w:sz w:val="20"/>
          <w:lang w:val="hr-HR"/>
        </w:rPr>
        <w:t>SKUPINA 02</w:t>
      </w:r>
      <w:r w:rsidRPr="0042006D">
        <w:rPr>
          <w:rFonts w:ascii="Arial" w:hAnsi="Arial" w:cs="Arial"/>
          <w:bCs/>
          <w:iCs/>
          <w:sz w:val="20"/>
          <w:lang w:val="hr-HR"/>
        </w:rPr>
        <w:t>:</w:t>
      </w:r>
      <w:r w:rsidRPr="0042006D">
        <w:rPr>
          <w:rFonts w:ascii="Arial" w:hAnsi="Arial" w:cs="Arial"/>
          <w:bCs/>
          <w:iCs/>
          <w:sz w:val="20"/>
          <w:lang w:val="hr-HR"/>
        </w:rPr>
        <w:tab/>
        <w:t>Proizvedena dugotrajna imovina (</w:t>
      </w:r>
      <w:r w:rsidRPr="0042006D">
        <w:rPr>
          <w:rFonts w:ascii="Arial" w:hAnsi="Arial" w:cs="Arial"/>
          <w:b/>
          <w:bCs/>
          <w:iCs/>
          <w:sz w:val="20"/>
          <w:lang w:val="hr-HR"/>
        </w:rPr>
        <w:t>02</w:t>
      </w:r>
      <w:r w:rsidRPr="0042006D">
        <w:rPr>
          <w:rFonts w:ascii="Arial" w:hAnsi="Arial" w:cs="Arial"/>
          <w:bCs/>
          <w:iCs/>
          <w:sz w:val="20"/>
          <w:lang w:val="hr-HR"/>
        </w:rPr>
        <w:t>) koncem 2025. godine iznosi 16.155.556,55 € što je za 1.352.681,99 € ili 9,1% više u odnosu na prethodnu godinu. Vrijednosno najznačajnije povećanje se odnosi na ulaganje u nogostupe u Čilipima 145.542,34 €, parking na Grudi 184.807,51 € i Zvekovici 32.275,80 €, radove na dječjim igralištima 78.562,17 €, te javnu rasvjetu na više lokacija 507.476,75 €.</w:t>
      </w:r>
    </w:p>
    <w:p w14:paraId="1A5802B2" w14:textId="77777777" w:rsidR="0033610D" w:rsidRPr="0042006D" w:rsidRDefault="0033610D" w:rsidP="0033610D">
      <w:pPr>
        <w:pStyle w:val="Tijeloteksta2"/>
        <w:rPr>
          <w:rFonts w:ascii="Arial" w:hAnsi="Arial" w:cs="Arial"/>
          <w:bCs/>
          <w:iCs/>
          <w:sz w:val="20"/>
          <w:lang w:val="hr-HR"/>
        </w:rPr>
      </w:pPr>
    </w:p>
    <w:p w14:paraId="3D6C308B" w14:textId="77777777" w:rsidR="0033610D" w:rsidRPr="0042006D" w:rsidRDefault="0033610D" w:rsidP="0033610D">
      <w:pPr>
        <w:pStyle w:val="Tijeloteksta2"/>
        <w:rPr>
          <w:rFonts w:ascii="Arial" w:hAnsi="Arial" w:cs="Arial"/>
          <w:bCs/>
          <w:iCs/>
          <w:sz w:val="20"/>
          <w:lang w:val="hr-HR"/>
        </w:rPr>
      </w:pPr>
      <w:r w:rsidRPr="0042006D">
        <w:rPr>
          <w:rFonts w:ascii="Arial" w:hAnsi="Arial" w:cs="Arial"/>
          <w:bCs/>
          <w:iCs/>
          <w:sz w:val="20"/>
          <w:lang w:val="hr-HR"/>
        </w:rPr>
        <w:t>Značajnija nabava opreme odnose se na nabavu laboratorijske opreme 111.234,28 € kroz projekt Waterlink (oprema za kontrolu mutnoće vode) i Crossmart (oprema za kontrolu kvalitete ulja i vina, te pametne lovke), nabava opreme za dječja igrališta 63.990 €, nabavu polupodzemnih kontejnera i spremnika za odlaganje otpada 72.187,50 €. Putem projekta koji se sufinancira EU sredstvima nabavljen je kamion s dizalicom i električno vozilo za prikupljanje otpada u iznosu 414.208,75 €, teretno vozilo za terenski obilazak i prikupljanje uzoraka za kontrolu kvalitete vode 49.762,72 €.</w:t>
      </w:r>
    </w:p>
    <w:p w14:paraId="7A8F2214" w14:textId="77777777" w:rsidR="0033610D" w:rsidRPr="0042006D" w:rsidRDefault="0033610D" w:rsidP="0033610D">
      <w:pPr>
        <w:pStyle w:val="Tijeloteksta2"/>
        <w:rPr>
          <w:rFonts w:ascii="Arial" w:hAnsi="Arial" w:cs="Arial"/>
          <w:bCs/>
          <w:iCs/>
          <w:sz w:val="20"/>
          <w:lang w:val="hr-HR"/>
        </w:rPr>
      </w:pPr>
    </w:p>
    <w:p w14:paraId="601B5472" w14:textId="77777777" w:rsidR="0033610D" w:rsidRPr="0042006D" w:rsidRDefault="0033610D" w:rsidP="0033610D">
      <w:pPr>
        <w:pStyle w:val="Tijeloteksta2"/>
        <w:rPr>
          <w:rFonts w:ascii="Arial" w:hAnsi="Arial" w:cs="Arial"/>
          <w:bCs/>
          <w:iCs/>
          <w:sz w:val="20"/>
          <w:lang w:val="hr-HR"/>
        </w:rPr>
      </w:pPr>
      <w:r w:rsidRPr="0042006D">
        <w:rPr>
          <w:rFonts w:ascii="Arial" w:hAnsi="Arial" w:cs="Arial"/>
          <w:bCs/>
          <w:iCs/>
          <w:sz w:val="20"/>
          <w:lang w:val="hr-HR"/>
        </w:rPr>
        <w:t xml:space="preserve">Izrađena je projektna dokumentacija za ishođenje građevinske dozvole za rekonstrukciju doma kulture u Cavtatu 24.375 €, dokumentacija za rekonstrukciju jedne jedinice u Cavtatu 11.500 €, za pretovarnu zonu u Cavtatu 10.000 €, uređenje prostora oko mauzoleja sukladno konzervatorskim smjernicama, zahvat rekonstrukcije raskrižja na lokaciji Prahivac 12.875,00 €, uređenje prometnice i oborinske odvodnje u ulici Dr.Ante Starčevića u Cavtatu 11.500 €, izradu projektne dokumentacije za zelenu tržnicu na Grudi 22.250 €, uređenje prilaza budućoj poslovnoj zoni u Čilipima 13.137,50 €, uređenje šetnice Rat 28.750 €, izgradnju nogostupa u Čilipima 15.175 € i nogostupa Čilipi-Zvekovica 9.900 €. </w:t>
      </w:r>
    </w:p>
    <w:p w14:paraId="13838AEF" w14:textId="77777777" w:rsidR="0033610D" w:rsidRPr="0042006D" w:rsidRDefault="0033610D" w:rsidP="0033610D">
      <w:pPr>
        <w:pStyle w:val="Tijeloteksta2"/>
        <w:rPr>
          <w:rFonts w:ascii="Arial" w:hAnsi="Arial" w:cs="Arial"/>
          <w:bCs/>
          <w:iCs/>
          <w:sz w:val="20"/>
          <w:lang w:val="hr-HR"/>
        </w:rPr>
      </w:pPr>
    </w:p>
    <w:p w14:paraId="3875AD6B" w14:textId="77777777" w:rsidR="0033610D" w:rsidRPr="0042006D" w:rsidRDefault="0033610D" w:rsidP="0033610D">
      <w:pPr>
        <w:pStyle w:val="Tijeloteksta2"/>
        <w:rPr>
          <w:rFonts w:ascii="Arial" w:hAnsi="Arial" w:cs="Arial"/>
          <w:bCs/>
          <w:iCs/>
          <w:sz w:val="20"/>
          <w:lang w:val="hr-HR"/>
        </w:rPr>
      </w:pPr>
      <w:r w:rsidRPr="0042006D">
        <w:rPr>
          <w:rFonts w:ascii="Arial" w:hAnsi="Arial" w:cs="Arial"/>
          <w:b/>
          <w:bCs/>
          <w:iCs/>
          <w:sz w:val="20"/>
          <w:lang w:val="hr-HR"/>
        </w:rPr>
        <w:t>SKUPINA 05:</w:t>
      </w:r>
      <w:r w:rsidRPr="0042006D">
        <w:rPr>
          <w:rFonts w:ascii="Arial" w:hAnsi="Arial" w:cs="Arial"/>
          <w:b/>
          <w:bCs/>
          <w:iCs/>
          <w:sz w:val="20"/>
          <w:lang w:val="hr-HR"/>
        </w:rPr>
        <w:tab/>
      </w:r>
      <w:r w:rsidRPr="0042006D">
        <w:rPr>
          <w:rFonts w:ascii="Arial" w:hAnsi="Arial" w:cs="Arial"/>
          <w:bCs/>
          <w:iCs/>
          <w:sz w:val="20"/>
          <w:lang w:val="hr-HR"/>
        </w:rPr>
        <w:t>Dugotrajna nefinancijska imovina u pripremi (</w:t>
      </w:r>
      <w:r w:rsidRPr="0042006D">
        <w:rPr>
          <w:rFonts w:ascii="Arial" w:hAnsi="Arial" w:cs="Arial"/>
          <w:b/>
          <w:bCs/>
          <w:iCs/>
          <w:sz w:val="20"/>
          <w:lang w:val="hr-HR"/>
        </w:rPr>
        <w:t>05</w:t>
      </w:r>
      <w:r w:rsidRPr="0042006D">
        <w:rPr>
          <w:rFonts w:ascii="Arial" w:hAnsi="Arial" w:cs="Arial"/>
          <w:bCs/>
          <w:iCs/>
          <w:sz w:val="20"/>
          <w:lang w:val="hr-HR"/>
        </w:rPr>
        <w:t xml:space="preserve">) iznosi 8.879.432,37 € i veća je za 8.472.495,21 € u odnosu na prethodnu godinu kada je iznosila 406.937,16 €. </w:t>
      </w:r>
      <w:bookmarkStart w:id="757" w:name="_Hlk223130525"/>
      <w:r w:rsidRPr="0042006D">
        <w:rPr>
          <w:rFonts w:ascii="Arial" w:hAnsi="Arial" w:cs="Arial"/>
          <w:bCs/>
          <w:iCs/>
          <w:sz w:val="20"/>
          <w:lang w:val="hr-HR"/>
        </w:rPr>
        <w:t>Povećanje vrijednosti se odnosi na početak izgradnje nove osnovne škole u Cavtatu 8.065.188,75 €, uređenje prometnice s odvodnjom u ulici Trumbićev put i dr. Ante Starčevića u iznosu 97.797,72 €, te izgradnju nogostupa u Čilipima 65.931,48 €.</w:t>
      </w:r>
    </w:p>
    <w:bookmarkEnd w:id="757"/>
    <w:p w14:paraId="158ABD5D" w14:textId="77777777" w:rsidR="0033610D" w:rsidRPr="0042006D" w:rsidRDefault="0033610D" w:rsidP="0033610D">
      <w:pPr>
        <w:pStyle w:val="Tijeloteksta2"/>
        <w:rPr>
          <w:rFonts w:ascii="Arial" w:hAnsi="Arial" w:cs="Arial"/>
          <w:bCs/>
          <w:iCs/>
          <w:sz w:val="20"/>
          <w:lang w:val="hr-HR"/>
        </w:rPr>
      </w:pPr>
    </w:p>
    <w:p w14:paraId="068F43F3" w14:textId="77777777" w:rsidR="0033610D" w:rsidRPr="0042006D" w:rsidRDefault="0033610D" w:rsidP="0033610D">
      <w:pPr>
        <w:pStyle w:val="Tijeloteksta2"/>
        <w:rPr>
          <w:rFonts w:ascii="Arial" w:hAnsi="Arial" w:cs="Arial"/>
          <w:bCs/>
          <w:iCs/>
          <w:sz w:val="20"/>
          <w:lang w:val="hr-HR"/>
        </w:rPr>
      </w:pPr>
      <w:r w:rsidRPr="0042006D">
        <w:rPr>
          <w:rFonts w:ascii="Arial" w:hAnsi="Arial" w:cs="Arial"/>
          <w:b/>
          <w:bCs/>
          <w:iCs/>
          <w:sz w:val="20"/>
          <w:lang w:val="hr-HR"/>
        </w:rPr>
        <w:t>SKUPINA 11:</w:t>
      </w:r>
      <w:r w:rsidRPr="0042006D">
        <w:rPr>
          <w:rFonts w:ascii="Arial" w:hAnsi="Arial" w:cs="Arial"/>
          <w:bCs/>
          <w:iCs/>
          <w:sz w:val="20"/>
          <w:lang w:val="hr-HR"/>
        </w:rPr>
        <w:tab/>
        <w:t>Novac u banci i blagajni (</w:t>
      </w:r>
      <w:r w:rsidRPr="0042006D">
        <w:rPr>
          <w:rFonts w:ascii="Arial" w:hAnsi="Arial" w:cs="Arial"/>
          <w:b/>
          <w:bCs/>
          <w:iCs/>
          <w:sz w:val="20"/>
          <w:lang w:val="hr-HR"/>
        </w:rPr>
        <w:t>11</w:t>
      </w:r>
      <w:r w:rsidRPr="0042006D">
        <w:rPr>
          <w:rFonts w:ascii="Arial" w:hAnsi="Arial" w:cs="Arial"/>
          <w:bCs/>
          <w:iCs/>
          <w:sz w:val="20"/>
          <w:lang w:val="hr-HR"/>
        </w:rPr>
        <w:t xml:space="preserve">) iznosi 4.125.734,14 € što je za 1.873.432,93 € ili 31,2% manje u odnosu na prethodnu godinu. </w:t>
      </w:r>
    </w:p>
    <w:p w14:paraId="412E665E" w14:textId="77777777" w:rsidR="0033610D" w:rsidRPr="0042006D" w:rsidRDefault="0033610D" w:rsidP="0033610D">
      <w:pPr>
        <w:pStyle w:val="Tijeloteksta2"/>
        <w:rPr>
          <w:rFonts w:ascii="Arial" w:hAnsi="Arial" w:cs="Arial"/>
          <w:bCs/>
          <w:iCs/>
          <w:sz w:val="20"/>
          <w:lang w:val="hr-HR"/>
        </w:rPr>
      </w:pPr>
    </w:p>
    <w:p w14:paraId="2C19FA9E" w14:textId="77777777" w:rsidR="0033610D" w:rsidRPr="0042006D" w:rsidRDefault="0033610D" w:rsidP="0033610D">
      <w:pPr>
        <w:pStyle w:val="Tijeloteksta2"/>
        <w:rPr>
          <w:rFonts w:ascii="Arial" w:hAnsi="Arial" w:cs="Arial"/>
          <w:bCs/>
          <w:iCs/>
          <w:sz w:val="20"/>
          <w:lang w:val="hr-HR"/>
        </w:rPr>
      </w:pPr>
      <w:r w:rsidRPr="0042006D">
        <w:rPr>
          <w:rFonts w:ascii="Arial" w:hAnsi="Arial" w:cs="Arial"/>
          <w:bCs/>
          <w:iCs/>
          <w:sz w:val="20"/>
          <w:lang w:val="hr-HR"/>
        </w:rPr>
        <w:t>Najznačajnije smanjenje se odnosi na sredstva na žiro računu. Naime u prethodnoj 2024. godini bila su ostala neutrošena sredstva za sufinanciranje projekata (projekt Crossmart, Waterlink, To 0 waste), te sredstva od prodaje zemljišta u budućoj poduzetničkoj zoni. Oročena sredstva od prodaje zemljišta u budućoj poduzetničkoj zoni koncem godine iznose 2.555.139,86 €.</w:t>
      </w:r>
    </w:p>
    <w:p w14:paraId="7BB04A66" w14:textId="77777777" w:rsidR="0033610D" w:rsidRPr="0042006D" w:rsidRDefault="0033610D" w:rsidP="0033610D">
      <w:pPr>
        <w:pStyle w:val="Tijeloteksta2"/>
        <w:rPr>
          <w:rFonts w:ascii="Arial" w:hAnsi="Arial" w:cs="Arial"/>
          <w:bCs/>
          <w:iCs/>
          <w:sz w:val="20"/>
          <w:lang w:val="hr-HR"/>
        </w:rPr>
      </w:pPr>
    </w:p>
    <w:p w14:paraId="35232471" w14:textId="77777777" w:rsidR="0033610D" w:rsidRPr="0042006D" w:rsidRDefault="0033610D" w:rsidP="0033610D">
      <w:pPr>
        <w:pStyle w:val="Tijeloteksta2"/>
        <w:rPr>
          <w:rFonts w:ascii="Arial" w:hAnsi="Arial" w:cs="Arial"/>
          <w:bCs/>
          <w:iCs/>
          <w:sz w:val="20"/>
          <w:lang w:val="hr-HR"/>
        </w:rPr>
      </w:pPr>
      <w:r w:rsidRPr="0042006D">
        <w:rPr>
          <w:rFonts w:ascii="Arial" w:hAnsi="Arial" w:cs="Arial"/>
          <w:b/>
          <w:bCs/>
          <w:iCs/>
          <w:sz w:val="20"/>
          <w:lang w:val="hr-HR"/>
        </w:rPr>
        <w:t>SKUPINA 12:</w:t>
      </w:r>
      <w:r w:rsidRPr="0042006D">
        <w:rPr>
          <w:rFonts w:ascii="Arial" w:hAnsi="Arial" w:cs="Arial"/>
          <w:b/>
          <w:bCs/>
          <w:iCs/>
          <w:sz w:val="20"/>
          <w:lang w:val="hr-HR"/>
        </w:rPr>
        <w:tab/>
      </w:r>
      <w:r w:rsidRPr="0042006D">
        <w:rPr>
          <w:rFonts w:ascii="Arial" w:hAnsi="Arial" w:cs="Arial"/>
          <w:bCs/>
          <w:iCs/>
          <w:sz w:val="20"/>
          <w:lang w:val="hr-HR"/>
        </w:rPr>
        <w:t>Depoziti, jamčevine i ostala potraživanja od zaposlenih, te druga potraživanja (</w:t>
      </w:r>
      <w:r w:rsidRPr="0042006D">
        <w:rPr>
          <w:rFonts w:ascii="Arial" w:hAnsi="Arial" w:cs="Arial"/>
          <w:b/>
          <w:bCs/>
          <w:iCs/>
          <w:sz w:val="20"/>
          <w:lang w:val="hr-HR"/>
        </w:rPr>
        <w:t>12</w:t>
      </w:r>
      <w:r w:rsidRPr="0042006D">
        <w:rPr>
          <w:rFonts w:ascii="Arial" w:hAnsi="Arial" w:cs="Arial"/>
          <w:bCs/>
          <w:iCs/>
          <w:sz w:val="20"/>
          <w:lang w:val="hr-HR"/>
        </w:rPr>
        <w:t>) iznose 1.145.297,15 €. Početkom godine ova potraživanja su iznosila 2.135,53 €. Stanje koncem prosinca 2025. se odnosi na potraživanja za naknade koje se refundiraju (bolovanja) (1291) u iznosu 562,65 €, te potraživanja za više plaćene dobavljače 206,40 € i potraživanja za dane predujmove u iznosu 1.143.074,31 € (od čega EU sredstva kao predujam dana izvoditelju radova izgradnje škole 1.110.133,82 €).</w:t>
      </w:r>
    </w:p>
    <w:p w14:paraId="2039C06B" w14:textId="77777777" w:rsidR="0033610D" w:rsidRPr="0042006D" w:rsidRDefault="0033610D" w:rsidP="0033610D">
      <w:pPr>
        <w:pStyle w:val="Tijeloteksta2"/>
        <w:rPr>
          <w:rFonts w:ascii="Arial" w:hAnsi="Arial" w:cs="Arial"/>
          <w:bCs/>
          <w:iCs/>
          <w:sz w:val="20"/>
          <w:lang w:val="hr-HR"/>
        </w:rPr>
      </w:pPr>
    </w:p>
    <w:p w14:paraId="629799A4" w14:textId="77777777" w:rsidR="0033610D" w:rsidRPr="0042006D" w:rsidRDefault="0033610D" w:rsidP="0033610D">
      <w:pPr>
        <w:pStyle w:val="Tijeloteksta2"/>
        <w:rPr>
          <w:rFonts w:ascii="Arial" w:hAnsi="Arial" w:cs="Arial"/>
          <w:bCs/>
          <w:iCs/>
          <w:sz w:val="20"/>
          <w:lang w:val="hr-HR"/>
        </w:rPr>
      </w:pPr>
      <w:r w:rsidRPr="0042006D">
        <w:rPr>
          <w:rFonts w:ascii="Arial" w:hAnsi="Arial" w:cs="Arial"/>
          <w:b/>
          <w:bCs/>
          <w:iCs/>
          <w:sz w:val="20"/>
          <w:lang w:val="hr-HR"/>
        </w:rPr>
        <w:t>SKUPINA 13</w:t>
      </w:r>
      <w:r w:rsidRPr="0042006D">
        <w:rPr>
          <w:rFonts w:ascii="Arial" w:hAnsi="Arial" w:cs="Arial"/>
          <w:bCs/>
          <w:iCs/>
          <w:sz w:val="20"/>
          <w:lang w:val="hr-HR"/>
        </w:rPr>
        <w:t>:</w:t>
      </w:r>
      <w:r w:rsidRPr="0042006D">
        <w:rPr>
          <w:rFonts w:ascii="Arial" w:hAnsi="Arial" w:cs="Arial"/>
          <w:bCs/>
          <w:iCs/>
          <w:sz w:val="20"/>
          <w:lang w:val="hr-HR"/>
        </w:rPr>
        <w:tab/>
        <w:t>Potraživanja za dane zajmove (</w:t>
      </w:r>
      <w:r w:rsidRPr="0042006D">
        <w:rPr>
          <w:rFonts w:ascii="Arial" w:hAnsi="Arial" w:cs="Arial"/>
          <w:b/>
          <w:bCs/>
          <w:iCs/>
          <w:sz w:val="20"/>
          <w:lang w:val="hr-HR"/>
        </w:rPr>
        <w:t>13</w:t>
      </w:r>
      <w:r w:rsidRPr="0042006D">
        <w:rPr>
          <w:rFonts w:ascii="Arial" w:hAnsi="Arial" w:cs="Arial"/>
          <w:bCs/>
          <w:iCs/>
          <w:sz w:val="20"/>
          <w:lang w:val="hr-HR"/>
        </w:rPr>
        <w:t>) nema.</w:t>
      </w:r>
    </w:p>
    <w:p w14:paraId="6CEE216F" w14:textId="77777777" w:rsidR="0033610D" w:rsidRPr="0042006D" w:rsidRDefault="0033610D" w:rsidP="0033610D">
      <w:pPr>
        <w:pStyle w:val="Tijeloteksta2"/>
        <w:rPr>
          <w:rFonts w:ascii="Arial" w:hAnsi="Arial" w:cs="Arial"/>
          <w:bCs/>
          <w:iCs/>
          <w:sz w:val="20"/>
          <w:lang w:val="hr-HR"/>
        </w:rPr>
      </w:pPr>
    </w:p>
    <w:p w14:paraId="06859F01" w14:textId="77777777" w:rsidR="0033610D" w:rsidRPr="0042006D" w:rsidRDefault="0033610D" w:rsidP="0033610D">
      <w:pPr>
        <w:pStyle w:val="Tijeloteksta2"/>
        <w:rPr>
          <w:rFonts w:ascii="Arial" w:hAnsi="Arial" w:cs="Arial"/>
          <w:bCs/>
          <w:iCs/>
          <w:sz w:val="20"/>
          <w:lang w:val="hr-HR"/>
        </w:rPr>
      </w:pPr>
      <w:bookmarkStart w:id="758" w:name="_Hlk223131300"/>
      <w:r w:rsidRPr="0042006D">
        <w:rPr>
          <w:rFonts w:ascii="Arial" w:hAnsi="Arial" w:cs="Arial"/>
          <w:b/>
          <w:bCs/>
          <w:iCs/>
          <w:sz w:val="20"/>
          <w:lang w:val="hr-HR"/>
        </w:rPr>
        <w:t>SKUPINA 15:</w:t>
      </w:r>
      <w:r w:rsidRPr="0042006D">
        <w:rPr>
          <w:rFonts w:ascii="Arial" w:hAnsi="Arial" w:cs="Arial"/>
          <w:bCs/>
          <w:iCs/>
          <w:sz w:val="20"/>
          <w:lang w:val="hr-HR"/>
        </w:rPr>
        <w:tab/>
        <w:t>Dionice i udjeli u glavnici (</w:t>
      </w:r>
      <w:r w:rsidRPr="0042006D">
        <w:rPr>
          <w:rFonts w:ascii="Arial" w:hAnsi="Arial" w:cs="Arial"/>
          <w:b/>
          <w:bCs/>
          <w:iCs/>
          <w:sz w:val="20"/>
          <w:lang w:val="hr-HR"/>
        </w:rPr>
        <w:t>15</w:t>
      </w:r>
      <w:r w:rsidRPr="0042006D">
        <w:rPr>
          <w:rFonts w:ascii="Arial" w:hAnsi="Arial" w:cs="Arial"/>
          <w:bCs/>
          <w:iCs/>
          <w:sz w:val="20"/>
          <w:lang w:val="hr-HR"/>
        </w:rPr>
        <w:t xml:space="preserve">) iznose 26.724.080 € manje nego prethodne proračunske godine za 2.654,46 € na temelju donesene odluke o brisanju jednog društva u vlasništvu. Općina koncem 2025. ima udjele u dva društva u vlasništvu Općine u iznosu 14.217.550 €, te u šest društava u suvlasništvu u ukupnom iznosu 12.506.530 €. </w:t>
      </w:r>
    </w:p>
    <w:bookmarkEnd w:id="758"/>
    <w:p w14:paraId="4F31B09F" w14:textId="77777777" w:rsidR="0033610D" w:rsidRPr="0042006D" w:rsidRDefault="0033610D" w:rsidP="0033610D">
      <w:pPr>
        <w:pStyle w:val="Tijeloteksta2"/>
        <w:rPr>
          <w:rFonts w:ascii="Arial" w:hAnsi="Arial" w:cs="Arial"/>
          <w:bCs/>
          <w:iCs/>
          <w:sz w:val="20"/>
          <w:lang w:val="hr-HR"/>
        </w:rPr>
      </w:pPr>
    </w:p>
    <w:p w14:paraId="405193A3" w14:textId="77777777" w:rsidR="0033610D" w:rsidRPr="0042006D" w:rsidRDefault="0033610D" w:rsidP="0033610D">
      <w:pPr>
        <w:pStyle w:val="Tijeloteksta2"/>
        <w:rPr>
          <w:rFonts w:ascii="Arial" w:hAnsi="Arial" w:cs="Arial"/>
          <w:bCs/>
          <w:iCs/>
          <w:sz w:val="20"/>
          <w:lang w:val="hr-HR"/>
        </w:rPr>
      </w:pPr>
      <w:r w:rsidRPr="0042006D">
        <w:rPr>
          <w:rFonts w:ascii="Arial" w:hAnsi="Arial" w:cs="Arial"/>
          <w:b/>
          <w:bCs/>
          <w:iCs/>
          <w:sz w:val="20"/>
          <w:lang w:val="hr-HR"/>
        </w:rPr>
        <w:lastRenderedPageBreak/>
        <w:t>SKUPINA 16</w:t>
      </w:r>
      <w:r w:rsidRPr="0042006D">
        <w:rPr>
          <w:rFonts w:ascii="Arial" w:hAnsi="Arial" w:cs="Arial"/>
          <w:bCs/>
          <w:iCs/>
          <w:sz w:val="20"/>
          <w:lang w:val="hr-HR"/>
        </w:rPr>
        <w:t>:</w:t>
      </w:r>
      <w:r w:rsidRPr="0042006D">
        <w:rPr>
          <w:rFonts w:ascii="Arial" w:hAnsi="Arial" w:cs="Arial"/>
          <w:bCs/>
          <w:iCs/>
          <w:sz w:val="20"/>
          <w:lang w:val="hr-HR"/>
        </w:rPr>
        <w:tab/>
        <w:t>Potraživanja za prihode poslovanja (</w:t>
      </w:r>
      <w:r w:rsidRPr="0042006D">
        <w:rPr>
          <w:rFonts w:ascii="Arial" w:hAnsi="Arial" w:cs="Arial"/>
          <w:b/>
          <w:bCs/>
          <w:iCs/>
          <w:sz w:val="20"/>
          <w:lang w:val="hr-HR"/>
        </w:rPr>
        <w:t>16</w:t>
      </w:r>
      <w:r w:rsidRPr="0042006D">
        <w:rPr>
          <w:rFonts w:ascii="Arial" w:hAnsi="Arial" w:cs="Arial"/>
          <w:bCs/>
          <w:iCs/>
          <w:sz w:val="20"/>
          <w:lang w:val="hr-HR"/>
        </w:rPr>
        <w:t xml:space="preserve">) koncem 2025. iznose 1.676.593,36 € što je 380.015,64 € ili 29,3% više u odnosu na početak godine kada su iznosila 1.296.577,72 €. </w:t>
      </w:r>
      <w:bookmarkStart w:id="759" w:name="_Hlk223131563"/>
      <w:r w:rsidRPr="0042006D">
        <w:rPr>
          <w:rFonts w:ascii="Arial" w:hAnsi="Arial" w:cs="Arial"/>
          <w:bCs/>
          <w:iCs/>
          <w:sz w:val="20"/>
          <w:lang w:val="hr-HR"/>
        </w:rPr>
        <w:t xml:space="preserve">U okviru ovih potraživanja koncem 2025. je obavljen ispravak vrijednosti potraživanja u postocima ovisno o kašnjenju naplate, a iznosi 433.221,39 € od čega se najznačajniji udjel odnosi na ispravak potraživanja komunalnog doprinosa u iznosu 161.686,49 € i komunalne naknade u iznosu 102.645,12 €, te ispravak vrijednosti potraživanja za porez na promet nekretnina čija potraživanja vodi Porezna uprava u iznosu 47.190,03 € i zakup poslovnog prostora 61.228,83 €). Ovaj ispravak za prethodnu 2024. godinu je iznosio 424.754,07 €. </w:t>
      </w:r>
    </w:p>
    <w:bookmarkEnd w:id="759"/>
    <w:p w14:paraId="14999FD2" w14:textId="77777777" w:rsidR="0033610D" w:rsidRPr="0042006D" w:rsidRDefault="0033610D" w:rsidP="0033610D">
      <w:pPr>
        <w:pStyle w:val="Tijeloteksta2"/>
        <w:rPr>
          <w:rFonts w:ascii="Arial" w:hAnsi="Arial" w:cs="Arial"/>
          <w:bCs/>
          <w:iCs/>
          <w:sz w:val="20"/>
          <w:lang w:val="hr-HR"/>
        </w:rPr>
      </w:pPr>
    </w:p>
    <w:p w14:paraId="6494F954" w14:textId="77777777" w:rsidR="0033610D" w:rsidRPr="0042006D" w:rsidRDefault="0033610D" w:rsidP="0033610D">
      <w:pPr>
        <w:pStyle w:val="Tijeloteksta2"/>
        <w:rPr>
          <w:rFonts w:ascii="Arial" w:hAnsi="Arial" w:cs="Arial"/>
          <w:bCs/>
          <w:iCs/>
          <w:sz w:val="20"/>
          <w:lang w:val="hr-HR"/>
        </w:rPr>
      </w:pPr>
      <w:bookmarkStart w:id="760" w:name="_Hlk223131709"/>
      <w:r w:rsidRPr="0042006D">
        <w:rPr>
          <w:rFonts w:ascii="Arial" w:hAnsi="Arial" w:cs="Arial"/>
          <w:bCs/>
          <w:iCs/>
          <w:sz w:val="20"/>
          <w:lang w:val="hr-HR"/>
        </w:rPr>
        <w:t xml:space="preserve">Potraživanja za poreze (161) u iznosu 410.008,68 € uključuju općinske poreze i porez na promet nekretnina i veća su za 139.989,60 € nego prethodne godine. Najznačajnije povećanje se odnosi novi porez na nekretnine koji je uveden u 2025. godini (rješenja ispostavljena u posljednjem tromjesečju godine, s time da 20% naplaćenih prihoda pripada županiji, a 80% Općini). Od općinskih poreza, vrijednosno najveća potraživanja se odnose na porez na nekretnine u iznosu 90.100,26 €. Najznačajnija potraživanja se odnose na porez na promet nekretnina u iznosu 226.918,06 € čiju naplatu obavlja Porezna uprava. Ovaj porez od početka 2017. u cijelosti pripada jedinici lokalne samouprave na čijem području je nekretnina. </w:t>
      </w:r>
    </w:p>
    <w:p w14:paraId="422DF4A4" w14:textId="77777777" w:rsidR="0033610D" w:rsidRPr="0042006D" w:rsidRDefault="0033610D" w:rsidP="0033610D">
      <w:pPr>
        <w:pStyle w:val="Tijeloteksta2"/>
        <w:rPr>
          <w:rFonts w:ascii="Arial" w:hAnsi="Arial" w:cs="Arial"/>
          <w:bCs/>
          <w:iCs/>
          <w:sz w:val="20"/>
          <w:lang w:val="hr-HR"/>
        </w:rPr>
      </w:pPr>
      <w:bookmarkStart w:id="761" w:name="_Hlk223131743"/>
    </w:p>
    <w:bookmarkEnd w:id="760"/>
    <w:p w14:paraId="780F0B58" w14:textId="77777777" w:rsidR="0033610D" w:rsidRPr="0042006D" w:rsidRDefault="0033610D" w:rsidP="0033610D">
      <w:pPr>
        <w:pStyle w:val="Tijeloteksta2"/>
        <w:rPr>
          <w:rFonts w:ascii="Arial" w:hAnsi="Arial" w:cs="Arial"/>
          <w:bCs/>
          <w:iCs/>
          <w:sz w:val="20"/>
          <w:lang w:val="hr-HR"/>
        </w:rPr>
      </w:pPr>
      <w:r w:rsidRPr="0042006D">
        <w:rPr>
          <w:rFonts w:ascii="Arial" w:hAnsi="Arial" w:cs="Arial"/>
          <w:bCs/>
          <w:iCs/>
          <w:sz w:val="20"/>
          <w:lang w:val="hr-HR"/>
        </w:rPr>
        <w:t>Potraživanja za pomoći iz inozemstva i od subjekata unutar općeg proračuna (163) iznose 323.642,80 € i evidentirani su sukladno novom Pravilniku o proračunskom računovodstvu i računskom planu. U okviru ovih potraživanja su potraživanja za EU sredstva na temelju podnesenih obračuna (jedan projekt – To 0 waste). Ranijih godina nije bilo ovih potraživanja.</w:t>
      </w:r>
    </w:p>
    <w:p w14:paraId="74333204" w14:textId="77777777" w:rsidR="0033610D" w:rsidRPr="0042006D" w:rsidRDefault="0033610D" w:rsidP="0033610D">
      <w:pPr>
        <w:pStyle w:val="Tijeloteksta2"/>
        <w:rPr>
          <w:rFonts w:ascii="Arial" w:hAnsi="Arial" w:cs="Arial"/>
          <w:bCs/>
          <w:iCs/>
          <w:sz w:val="20"/>
          <w:lang w:val="hr-HR"/>
        </w:rPr>
      </w:pPr>
    </w:p>
    <w:p w14:paraId="6B12B7D1" w14:textId="77777777" w:rsidR="0033610D" w:rsidRPr="0042006D" w:rsidRDefault="0033610D" w:rsidP="0033610D">
      <w:pPr>
        <w:pStyle w:val="Tijeloteksta2"/>
        <w:rPr>
          <w:rFonts w:ascii="Arial" w:hAnsi="Arial" w:cs="Arial"/>
          <w:bCs/>
          <w:iCs/>
          <w:sz w:val="20"/>
          <w:lang w:val="hr-HR"/>
        </w:rPr>
      </w:pPr>
      <w:r w:rsidRPr="0042006D">
        <w:rPr>
          <w:rFonts w:ascii="Arial" w:hAnsi="Arial" w:cs="Arial"/>
          <w:bCs/>
          <w:iCs/>
          <w:sz w:val="20"/>
          <w:lang w:val="hr-HR"/>
        </w:rPr>
        <w:t>Potraživanja za prihode od imovine (164) iznose 267.553,94 €. U okviru ovih potraživanja su, između ostalog, potraživanja za najam poslovnog prostora 107.327,94 € i korištenje javnih površina 77.461,40 €.</w:t>
      </w:r>
    </w:p>
    <w:p w14:paraId="4822AA36" w14:textId="77777777" w:rsidR="0033610D" w:rsidRPr="0042006D" w:rsidRDefault="0033610D" w:rsidP="0033610D">
      <w:pPr>
        <w:pStyle w:val="Tijeloteksta2"/>
        <w:rPr>
          <w:rFonts w:ascii="Arial" w:hAnsi="Arial" w:cs="Arial"/>
          <w:bCs/>
          <w:iCs/>
          <w:sz w:val="20"/>
          <w:lang w:val="hr-HR"/>
        </w:rPr>
      </w:pPr>
    </w:p>
    <w:p w14:paraId="74E8B8FF" w14:textId="77777777" w:rsidR="0033610D" w:rsidRPr="0042006D" w:rsidRDefault="0033610D" w:rsidP="0033610D">
      <w:pPr>
        <w:pStyle w:val="Tijeloteksta2"/>
        <w:rPr>
          <w:rFonts w:ascii="Arial" w:hAnsi="Arial" w:cs="Arial"/>
          <w:bCs/>
          <w:iCs/>
          <w:sz w:val="20"/>
          <w:lang w:val="hr-HR"/>
        </w:rPr>
      </w:pPr>
      <w:r w:rsidRPr="0042006D">
        <w:rPr>
          <w:rFonts w:ascii="Arial" w:hAnsi="Arial" w:cs="Arial"/>
          <w:bCs/>
          <w:iCs/>
          <w:sz w:val="20"/>
          <w:lang w:val="hr-HR"/>
        </w:rPr>
        <w:t xml:space="preserve">Potraživanja za upravne i administrativne pristojbe, pristojbe po posebnim propisima i naknade (165) iznose 1.106.748,79 € što je za 79.890,04 € ili 6,7% više u odnosu na prethodnu godinu. </w:t>
      </w:r>
      <w:bookmarkStart w:id="762" w:name="_Hlk223132974"/>
      <w:r w:rsidRPr="0042006D">
        <w:rPr>
          <w:rFonts w:ascii="Arial" w:hAnsi="Arial" w:cs="Arial"/>
          <w:bCs/>
          <w:iCs/>
          <w:sz w:val="20"/>
          <w:lang w:val="hr-HR"/>
        </w:rPr>
        <w:t>U okviru ovih potraživanja vrijednosno su najznačajnija potraživanja za komunalnu naknadu i naknadu za uređenje voda u iznosu 361.782,14 € od čega je dospjelo 252.969,36 €. Nadalje, potraživanja za komunalni doprinos iznose 418.278,97 € od čega je dospjelo 273.970,04 €.</w:t>
      </w:r>
    </w:p>
    <w:bookmarkEnd w:id="762"/>
    <w:p w14:paraId="1F0E179C" w14:textId="77777777" w:rsidR="0033610D" w:rsidRPr="0042006D" w:rsidRDefault="0033610D" w:rsidP="0033610D">
      <w:pPr>
        <w:pStyle w:val="Tijeloteksta2"/>
        <w:rPr>
          <w:rFonts w:ascii="Arial" w:hAnsi="Arial" w:cs="Arial"/>
          <w:bCs/>
          <w:iCs/>
          <w:sz w:val="20"/>
          <w:lang w:val="hr-HR"/>
        </w:rPr>
      </w:pPr>
    </w:p>
    <w:p w14:paraId="7AAC70A5" w14:textId="77777777" w:rsidR="0033610D" w:rsidRPr="0042006D" w:rsidRDefault="0033610D" w:rsidP="0033610D">
      <w:pPr>
        <w:pStyle w:val="Tijeloteksta2"/>
        <w:rPr>
          <w:rFonts w:ascii="Arial" w:hAnsi="Arial" w:cs="Arial"/>
          <w:bCs/>
          <w:iCs/>
          <w:sz w:val="20"/>
          <w:lang w:val="hr-HR"/>
        </w:rPr>
      </w:pPr>
      <w:r w:rsidRPr="0042006D">
        <w:rPr>
          <w:rFonts w:ascii="Arial" w:hAnsi="Arial" w:cs="Arial"/>
          <w:bCs/>
          <w:iCs/>
          <w:sz w:val="20"/>
          <w:lang w:val="hr-HR"/>
        </w:rPr>
        <w:t xml:space="preserve">U okviru potraživanja (račun 165), od 2019. godine iskazuju se potraživanja za naplatu namjenske naknade za sanaciju odlagališta otpada (naplatu obavlja društvo u suvlasništvu), a koja koncem 2025. iznose 286.015,68 € (u cijelosti nedospjela potraživanja). </w:t>
      </w:r>
    </w:p>
    <w:bookmarkEnd w:id="761"/>
    <w:p w14:paraId="446A53E4" w14:textId="77777777" w:rsidR="0033610D" w:rsidRPr="0042006D" w:rsidRDefault="0033610D" w:rsidP="0033610D">
      <w:pPr>
        <w:pStyle w:val="Tijeloteksta2"/>
        <w:rPr>
          <w:rFonts w:ascii="Arial" w:hAnsi="Arial" w:cs="Arial"/>
          <w:bCs/>
          <w:iCs/>
          <w:sz w:val="20"/>
          <w:lang w:val="hr-HR"/>
        </w:rPr>
      </w:pPr>
    </w:p>
    <w:p w14:paraId="3E2125AC" w14:textId="77777777" w:rsidR="0033610D" w:rsidRPr="0042006D" w:rsidRDefault="0033610D" w:rsidP="0033610D">
      <w:pPr>
        <w:pStyle w:val="Tijeloteksta2"/>
        <w:rPr>
          <w:rFonts w:ascii="Arial" w:hAnsi="Arial" w:cs="Arial"/>
          <w:bCs/>
          <w:iCs/>
          <w:sz w:val="20"/>
          <w:lang w:val="hr-HR"/>
        </w:rPr>
      </w:pPr>
      <w:r w:rsidRPr="0042006D">
        <w:rPr>
          <w:rFonts w:ascii="Arial" w:hAnsi="Arial" w:cs="Arial"/>
          <w:b/>
          <w:bCs/>
          <w:iCs/>
          <w:sz w:val="20"/>
          <w:lang w:val="hr-HR"/>
        </w:rPr>
        <w:t>SKUPINA 17</w:t>
      </w:r>
      <w:r w:rsidRPr="0042006D">
        <w:rPr>
          <w:rFonts w:ascii="Arial" w:hAnsi="Arial" w:cs="Arial"/>
          <w:bCs/>
          <w:iCs/>
          <w:sz w:val="20"/>
          <w:lang w:val="hr-HR"/>
        </w:rPr>
        <w:t>:</w:t>
      </w:r>
      <w:r w:rsidRPr="0042006D">
        <w:rPr>
          <w:rFonts w:ascii="Arial" w:hAnsi="Arial" w:cs="Arial"/>
          <w:bCs/>
          <w:iCs/>
          <w:sz w:val="20"/>
          <w:lang w:val="hr-HR"/>
        </w:rPr>
        <w:tab/>
        <w:t>Potraživanja od prodaje nefinancijske imovine (</w:t>
      </w:r>
      <w:r w:rsidRPr="0042006D">
        <w:rPr>
          <w:rFonts w:ascii="Arial" w:hAnsi="Arial" w:cs="Arial"/>
          <w:b/>
          <w:bCs/>
          <w:iCs/>
          <w:sz w:val="20"/>
          <w:lang w:val="hr-HR"/>
        </w:rPr>
        <w:t>17</w:t>
      </w:r>
      <w:r w:rsidRPr="0042006D">
        <w:rPr>
          <w:rFonts w:ascii="Arial" w:hAnsi="Arial" w:cs="Arial"/>
          <w:bCs/>
          <w:iCs/>
          <w:sz w:val="20"/>
          <w:lang w:val="hr-HR"/>
        </w:rPr>
        <w:t>) iznose 11.293,35 € (s ispravkom), odnosno 14.996,59 € bez ispravka vrijednosti. Ova potraživanja se odnose na potraživanja za prodane stanove sa stanarskim pravom na temelju ugovora zaključenih ranijih godina (društva Domouprava) u iznosu 568,74 €, na potraživanja za stanove sa stanarskim pravom na temelju ugovora zaključenih ranijih godina (putem Općine) u iznosu 3.703,24 €, naknadu na ime troškova za stanove na Zvekovici 3.966,61 €, te potraživanja za prodano zemljište 6.758 €.</w:t>
      </w:r>
    </w:p>
    <w:p w14:paraId="6B6A91F6" w14:textId="77777777" w:rsidR="0033610D" w:rsidRPr="0042006D" w:rsidRDefault="0033610D" w:rsidP="00850B5A">
      <w:pPr>
        <w:spacing w:after="0" w:line="240" w:lineRule="auto"/>
        <w:jc w:val="both"/>
        <w:rPr>
          <w:rFonts w:ascii="Arial" w:eastAsia="Times New Roman" w:hAnsi="Arial" w:cs="Arial"/>
          <w:b/>
          <w:bCs/>
          <w:iCs/>
          <w:sz w:val="18"/>
          <w:szCs w:val="18"/>
          <w:lang w:eastAsia="en-US"/>
        </w:rPr>
      </w:pPr>
    </w:p>
    <w:bookmarkEnd w:id="755"/>
    <w:p w14:paraId="48818F7F" w14:textId="77777777" w:rsidR="00E827AE" w:rsidRPr="0068711D" w:rsidRDefault="00E827AE" w:rsidP="00E827AE">
      <w:pPr>
        <w:pStyle w:val="Tijeloteksta2"/>
        <w:rPr>
          <w:rFonts w:ascii="Arial" w:hAnsi="Arial" w:cs="Arial"/>
          <w:bCs/>
          <w:iCs/>
          <w:sz w:val="20"/>
          <w:lang w:val="hr-HR"/>
        </w:rPr>
      </w:pPr>
    </w:p>
    <w:p w14:paraId="1E7141BE" w14:textId="229AB281" w:rsidR="000650E1" w:rsidRPr="0068711D" w:rsidRDefault="000650E1" w:rsidP="000650E1">
      <w:pPr>
        <w:pBdr>
          <w:top w:val="dotted" w:sz="4" w:space="1" w:color="auto"/>
          <w:left w:val="dotted" w:sz="4" w:space="4" w:color="auto"/>
          <w:bottom w:val="dotted" w:sz="4" w:space="1" w:color="auto"/>
          <w:right w:val="dotted" w:sz="4" w:space="4" w:color="auto"/>
        </w:pBdr>
        <w:shd w:val="clear" w:color="auto" w:fill="BFBFBF"/>
        <w:spacing w:after="0" w:line="240" w:lineRule="auto"/>
        <w:jc w:val="both"/>
        <w:rPr>
          <w:rFonts w:ascii="Arial" w:eastAsia="Times New Roman" w:hAnsi="Arial" w:cs="Arial"/>
          <w:b/>
          <w:sz w:val="20"/>
          <w:szCs w:val="18"/>
          <w:lang w:eastAsia="en-US"/>
        </w:rPr>
      </w:pPr>
      <w:r w:rsidRPr="0068711D">
        <w:rPr>
          <w:rFonts w:ascii="Arial" w:eastAsia="Times New Roman" w:hAnsi="Arial" w:cs="Arial"/>
          <w:b/>
          <w:sz w:val="20"/>
          <w:szCs w:val="18"/>
          <w:lang w:eastAsia="en-US"/>
        </w:rPr>
        <w:t>2.</w:t>
      </w:r>
      <w:r w:rsidRPr="0068711D">
        <w:rPr>
          <w:rFonts w:ascii="Arial" w:eastAsia="Times New Roman" w:hAnsi="Arial" w:cs="Arial"/>
          <w:b/>
          <w:sz w:val="20"/>
          <w:szCs w:val="18"/>
          <w:lang w:eastAsia="en-US"/>
        </w:rPr>
        <w:tab/>
        <w:t xml:space="preserve">OBVEZE I VLASTITI IZVORI </w:t>
      </w:r>
      <w:bookmarkEnd w:id="756"/>
    </w:p>
    <w:p w14:paraId="79F3DEA9" w14:textId="77777777" w:rsidR="000650E1" w:rsidRPr="0068711D" w:rsidRDefault="000650E1" w:rsidP="000650E1">
      <w:pPr>
        <w:spacing w:after="0" w:line="240" w:lineRule="auto"/>
        <w:jc w:val="both"/>
        <w:rPr>
          <w:rFonts w:ascii="Arial" w:eastAsia="Times New Roman" w:hAnsi="Arial" w:cs="Arial"/>
          <w:iCs/>
          <w:sz w:val="20"/>
          <w:szCs w:val="20"/>
          <w:lang w:eastAsia="en-US"/>
        </w:rPr>
      </w:pPr>
    </w:p>
    <w:p w14:paraId="30035B18" w14:textId="77777777" w:rsidR="0042006D" w:rsidRPr="0042006D" w:rsidRDefault="0042006D" w:rsidP="0042006D">
      <w:pPr>
        <w:spacing w:after="0" w:line="240" w:lineRule="auto"/>
        <w:jc w:val="both"/>
        <w:rPr>
          <w:rFonts w:ascii="Arial" w:eastAsia="Times New Roman" w:hAnsi="Arial" w:cs="Arial"/>
          <w:iCs/>
          <w:sz w:val="20"/>
          <w:szCs w:val="20"/>
          <w:lang w:eastAsia="en-US"/>
        </w:rPr>
      </w:pPr>
      <w:bookmarkStart w:id="763" w:name="_MON_1423547599"/>
      <w:bookmarkStart w:id="764" w:name="_MON_1423547771"/>
      <w:bookmarkStart w:id="765" w:name="_MON_1423547798"/>
      <w:bookmarkStart w:id="766" w:name="_MON_1423547846"/>
      <w:bookmarkStart w:id="767" w:name="_MON_1423547856"/>
      <w:bookmarkStart w:id="768" w:name="_MON_1423547874"/>
      <w:bookmarkStart w:id="769" w:name="_MON_1423550140"/>
      <w:bookmarkStart w:id="770" w:name="_MON_1423547501"/>
      <w:bookmarkStart w:id="771" w:name="_MON_1423648358"/>
      <w:bookmarkStart w:id="772" w:name="_MON_1423648454"/>
      <w:bookmarkStart w:id="773" w:name="_MON_1423648468"/>
      <w:bookmarkStart w:id="774" w:name="_MON_1423648480"/>
      <w:bookmarkStart w:id="775" w:name="_MON_1423547518"/>
      <w:bookmarkStart w:id="776" w:name="_MON_1423547521"/>
      <w:bookmarkStart w:id="777" w:name="_MON_1423547541"/>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sidRPr="0042006D">
        <w:rPr>
          <w:rFonts w:ascii="Arial" w:eastAsia="Times New Roman" w:hAnsi="Arial" w:cs="Arial"/>
          <w:iCs/>
          <w:sz w:val="20"/>
          <w:szCs w:val="20"/>
          <w:lang w:eastAsia="en-US"/>
        </w:rPr>
        <w:t xml:space="preserve">Ukupna vrijednost obveza koncem 2025. iznosi 9.462.228,16 € što je za 4.996.097,07 € ili 11,9% više u odnosu na prethodnu proračunsku godinu kada su iznosile 4.466.131,09 €. </w:t>
      </w:r>
    </w:p>
    <w:p w14:paraId="0BCA6C82" w14:textId="77777777" w:rsidR="0042006D" w:rsidRPr="0042006D" w:rsidRDefault="0042006D" w:rsidP="0042006D">
      <w:pPr>
        <w:spacing w:after="0" w:line="240" w:lineRule="auto"/>
        <w:jc w:val="both"/>
        <w:rPr>
          <w:rFonts w:ascii="Arial" w:eastAsia="Times New Roman" w:hAnsi="Arial" w:cs="Arial"/>
          <w:b/>
          <w:iCs/>
          <w:sz w:val="20"/>
          <w:szCs w:val="20"/>
          <w:lang w:eastAsia="en-US"/>
        </w:rPr>
      </w:pPr>
    </w:p>
    <w:p w14:paraId="6FB160F6" w14:textId="77777777" w:rsidR="0042006D" w:rsidRPr="0042006D" w:rsidRDefault="0042006D" w:rsidP="0042006D">
      <w:pPr>
        <w:spacing w:after="0" w:line="240" w:lineRule="auto"/>
        <w:jc w:val="both"/>
        <w:rPr>
          <w:rFonts w:ascii="Arial" w:eastAsia="Times New Roman" w:hAnsi="Arial" w:cs="Arial"/>
          <w:iCs/>
          <w:sz w:val="20"/>
          <w:szCs w:val="20"/>
          <w:lang w:eastAsia="en-US"/>
        </w:rPr>
      </w:pPr>
      <w:r w:rsidRPr="0042006D">
        <w:rPr>
          <w:rFonts w:ascii="Arial" w:eastAsia="Times New Roman" w:hAnsi="Arial" w:cs="Arial"/>
          <w:iCs/>
          <w:sz w:val="20"/>
          <w:szCs w:val="20"/>
          <w:lang w:eastAsia="en-US"/>
        </w:rPr>
        <w:t xml:space="preserve">Ukupna vrijednost vlastitih izvora koncem 2025. iznosi 69.494.038,64 € što je za 4.670.400,95 € ili 7,2% više u odnosu na prethodnu proračunsku godinu kada su iznosile 64.823.637,69 €. </w:t>
      </w:r>
    </w:p>
    <w:p w14:paraId="02E19DE1" w14:textId="77777777" w:rsidR="0042006D" w:rsidRPr="0042006D" w:rsidRDefault="0042006D" w:rsidP="0042006D">
      <w:pPr>
        <w:spacing w:after="0" w:line="240" w:lineRule="auto"/>
        <w:jc w:val="both"/>
        <w:rPr>
          <w:rFonts w:ascii="Arial" w:eastAsia="Times New Roman" w:hAnsi="Arial" w:cs="Arial"/>
          <w:bCs/>
          <w:iCs/>
          <w:lang w:eastAsia="en-US"/>
        </w:rPr>
      </w:pPr>
    </w:p>
    <w:p w14:paraId="1301DD9F" w14:textId="0B6D7765" w:rsidR="002643DD" w:rsidRPr="0068711D" w:rsidRDefault="002643DD" w:rsidP="002643DD">
      <w:pPr>
        <w:pStyle w:val="Tijeloteksta2"/>
        <w:jc w:val="center"/>
        <w:rPr>
          <w:rFonts w:ascii="Arial" w:hAnsi="Arial" w:cs="Arial"/>
          <w:iCs/>
          <w:sz w:val="22"/>
          <w:szCs w:val="22"/>
          <w:lang w:val="hr-HR"/>
        </w:rPr>
      </w:pPr>
    </w:p>
    <w:p w14:paraId="100BB2DD" w14:textId="3F38294B" w:rsidR="002643DD" w:rsidRPr="0068711D" w:rsidRDefault="0042006D" w:rsidP="0042006D">
      <w:pPr>
        <w:spacing w:after="0" w:line="240" w:lineRule="auto"/>
        <w:jc w:val="center"/>
        <w:rPr>
          <w:rFonts w:ascii="Arial" w:eastAsia="Times New Roman" w:hAnsi="Arial" w:cs="Arial"/>
          <w:b/>
          <w:bCs/>
          <w:iCs/>
          <w:sz w:val="20"/>
          <w:szCs w:val="20"/>
          <w:lang w:eastAsia="en-US"/>
        </w:rPr>
      </w:pPr>
      <w:r w:rsidRPr="0042006D">
        <w:rPr>
          <w:noProof/>
        </w:rPr>
        <w:lastRenderedPageBreak/>
        <w:drawing>
          <wp:inline distT="0" distB="0" distL="0" distR="0" wp14:anchorId="54A14672" wp14:editId="549DA7B8">
            <wp:extent cx="5822950" cy="2380615"/>
            <wp:effectExtent l="0" t="0" r="6350" b="635"/>
            <wp:docPr id="111120338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822950" cy="2380615"/>
                    </a:xfrm>
                    <a:prstGeom prst="rect">
                      <a:avLst/>
                    </a:prstGeom>
                    <a:noFill/>
                    <a:ln>
                      <a:noFill/>
                    </a:ln>
                  </pic:spPr>
                </pic:pic>
              </a:graphicData>
            </a:graphic>
          </wp:inline>
        </w:drawing>
      </w:r>
    </w:p>
    <w:p w14:paraId="7B85C538" w14:textId="77777777" w:rsidR="0042006D" w:rsidRPr="0042006D" w:rsidRDefault="0042006D" w:rsidP="0042006D">
      <w:pPr>
        <w:pStyle w:val="Tijeloteksta2"/>
        <w:rPr>
          <w:rFonts w:ascii="Arial" w:hAnsi="Arial" w:cs="Arial"/>
          <w:b/>
          <w:bCs/>
          <w:iCs/>
          <w:sz w:val="20"/>
          <w:lang w:val="hr-HR"/>
        </w:rPr>
      </w:pPr>
    </w:p>
    <w:p w14:paraId="55EBED87" w14:textId="77777777" w:rsidR="0042006D" w:rsidRPr="0042006D" w:rsidRDefault="0042006D" w:rsidP="0042006D">
      <w:pPr>
        <w:pStyle w:val="Tijeloteksta2"/>
        <w:rPr>
          <w:rFonts w:ascii="Arial" w:hAnsi="Arial" w:cs="Arial"/>
          <w:bCs/>
          <w:iCs/>
          <w:sz w:val="20"/>
          <w:lang w:val="hr-HR"/>
        </w:rPr>
      </w:pPr>
      <w:r w:rsidRPr="0042006D">
        <w:rPr>
          <w:rFonts w:ascii="Arial" w:hAnsi="Arial" w:cs="Arial"/>
          <w:b/>
          <w:bCs/>
          <w:iCs/>
          <w:sz w:val="20"/>
          <w:lang w:val="hr-HR"/>
        </w:rPr>
        <w:t>SKUPINA 23:</w:t>
      </w:r>
      <w:r w:rsidRPr="0042006D">
        <w:rPr>
          <w:rFonts w:ascii="Arial" w:hAnsi="Arial" w:cs="Arial"/>
          <w:b/>
          <w:bCs/>
          <w:iCs/>
          <w:sz w:val="20"/>
          <w:lang w:val="hr-HR"/>
        </w:rPr>
        <w:tab/>
      </w:r>
      <w:r w:rsidRPr="0042006D">
        <w:rPr>
          <w:rFonts w:ascii="Arial" w:hAnsi="Arial" w:cs="Arial"/>
          <w:bCs/>
          <w:iCs/>
          <w:sz w:val="20"/>
          <w:lang w:val="hr-HR"/>
        </w:rPr>
        <w:t>Obveze za rashode poslovanja (</w:t>
      </w:r>
      <w:r w:rsidRPr="0042006D">
        <w:rPr>
          <w:rFonts w:ascii="Arial" w:hAnsi="Arial" w:cs="Arial"/>
          <w:b/>
          <w:bCs/>
          <w:iCs/>
          <w:sz w:val="20"/>
          <w:lang w:val="hr-HR"/>
        </w:rPr>
        <w:t>23</w:t>
      </w:r>
      <w:r w:rsidRPr="0042006D">
        <w:rPr>
          <w:rFonts w:ascii="Arial" w:hAnsi="Arial" w:cs="Arial"/>
          <w:bCs/>
          <w:iCs/>
          <w:sz w:val="20"/>
          <w:lang w:val="hr-HR"/>
        </w:rPr>
        <w:t xml:space="preserve">) koncem 2025. iznose 923.268,99 € što je za 148.558,91 € ili 19,2% više u odnosu na stanje koncem prethodne godine (kada su iznosile 774.710,08 €). </w:t>
      </w:r>
    </w:p>
    <w:p w14:paraId="57043B5E" w14:textId="77777777" w:rsidR="0042006D" w:rsidRPr="0042006D" w:rsidRDefault="0042006D" w:rsidP="0042006D">
      <w:pPr>
        <w:pStyle w:val="Tijeloteksta2"/>
        <w:rPr>
          <w:rFonts w:ascii="Arial" w:hAnsi="Arial" w:cs="Arial"/>
          <w:bCs/>
          <w:iCs/>
          <w:sz w:val="20"/>
          <w:lang w:val="hr-HR"/>
        </w:rPr>
      </w:pPr>
      <w:r w:rsidRPr="0042006D">
        <w:rPr>
          <w:rFonts w:ascii="Arial" w:hAnsi="Arial" w:cs="Arial"/>
          <w:bCs/>
          <w:iCs/>
          <w:sz w:val="20"/>
          <w:lang w:val="hr-HR"/>
        </w:rPr>
        <w:t xml:space="preserve">Koncem 2025. godine obveze za zaposlene (231) u iznosu 78.857,79 € se odnose na obveze za plaće zaposlenika za mjesec prosinac 2025. godine. </w:t>
      </w:r>
    </w:p>
    <w:p w14:paraId="5866717E" w14:textId="77777777" w:rsidR="0042006D" w:rsidRPr="0042006D" w:rsidRDefault="0042006D" w:rsidP="0042006D">
      <w:pPr>
        <w:pStyle w:val="Tijeloteksta2"/>
        <w:rPr>
          <w:rFonts w:ascii="Arial" w:hAnsi="Arial" w:cs="Arial"/>
          <w:bCs/>
          <w:iCs/>
          <w:sz w:val="20"/>
          <w:lang w:val="hr-HR"/>
        </w:rPr>
      </w:pPr>
      <w:bookmarkStart w:id="778" w:name="_Hlk223134123"/>
      <w:r w:rsidRPr="0042006D">
        <w:rPr>
          <w:rFonts w:ascii="Arial" w:hAnsi="Arial" w:cs="Arial"/>
          <w:bCs/>
          <w:iCs/>
          <w:sz w:val="20"/>
          <w:lang w:val="hr-HR"/>
        </w:rPr>
        <w:t xml:space="preserve">Vrijednosno značajnije obveze koncem 2025. se odnose na obveze za usluge tekućeg i investicijskog održavanja u iznosu 266.811,91 € (od čega je održavanje nerazvrstanih cesta 215.890,30 € na temelju okončane situacije ispostavljene koncem godine). </w:t>
      </w:r>
    </w:p>
    <w:bookmarkEnd w:id="778"/>
    <w:p w14:paraId="6D1CE1A3" w14:textId="77777777" w:rsidR="0042006D" w:rsidRPr="0042006D" w:rsidRDefault="0042006D" w:rsidP="0042006D">
      <w:pPr>
        <w:pStyle w:val="Tijeloteksta2"/>
        <w:rPr>
          <w:rFonts w:ascii="Arial" w:hAnsi="Arial" w:cs="Arial"/>
          <w:bCs/>
          <w:iCs/>
          <w:sz w:val="20"/>
          <w:lang w:val="hr-HR"/>
        </w:rPr>
      </w:pPr>
    </w:p>
    <w:p w14:paraId="08091584" w14:textId="77777777" w:rsidR="0042006D" w:rsidRPr="0042006D" w:rsidRDefault="0042006D" w:rsidP="0042006D">
      <w:pPr>
        <w:pStyle w:val="Tijeloteksta2"/>
        <w:rPr>
          <w:rFonts w:ascii="Arial" w:hAnsi="Arial" w:cs="Arial"/>
          <w:bCs/>
          <w:iCs/>
          <w:sz w:val="20"/>
          <w:lang w:val="hr-HR"/>
        </w:rPr>
      </w:pPr>
      <w:r w:rsidRPr="0042006D">
        <w:rPr>
          <w:rFonts w:ascii="Arial" w:hAnsi="Arial" w:cs="Arial"/>
          <w:bCs/>
          <w:iCs/>
          <w:sz w:val="20"/>
          <w:lang w:val="hr-HR"/>
        </w:rPr>
        <w:t>Obveze za subvencije (235) iznose 105.286,54 € i u cijelosti se odnose na sufinanciranje nerentabilnih autobusnih linija na području Općine na temelju zaključenog ugovora s društvom za obavljanje prijevoza putnika (Libertas Dubrovnik), te gradom Dubrovnik kao većinskim vlasnikom društva i drugim suvlasnicima.</w:t>
      </w:r>
    </w:p>
    <w:p w14:paraId="5F8B20A0" w14:textId="77777777" w:rsidR="0042006D" w:rsidRPr="0042006D" w:rsidRDefault="0042006D" w:rsidP="0042006D">
      <w:pPr>
        <w:pStyle w:val="Tijeloteksta2"/>
        <w:rPr>
          <w:rFonts w:ascii="Arial" w:hAnsi="Arial" w:cs="Arial"/>
          <w:bCs/>
          <w:iCs/>
          <w:sz w:val="20"/>
          <w:lang w:val="hr-HR"/>
        </w:rPr>
      </w:pPr>
    </w:p>
    <w:p w14:paraId="776F7263" w14:textId="77777777" w:rsidR="0042006D" w:rsidRPr="0042006D" w:rsidRDefault="0042006D" w:rsidP="0042006D">
      <w:pPr>
        <w:pStyle w:val="Tijeloteksta2"/>
        <w:rPr>
          <w:rFonts w:ascii="Arial" w:hAnsi="Arial" w:cs="Arial"/>
          <w:bCs/>
          <w:iCs/>
          <w:sz w:val="20"/>
          <w:lang w:val="hr-HR"/>
        </w:rPr>
      </w:pPr>
      <w:r w:rsidRPr="0042006D">
        <w:rPr>
          <w:rFonts w:ascii="Arial" w:hAnsi="Arial" w:cs="Arial"/>
          <w:bCs/>
          <w:iCs/>
          <w:sz w:val="20"/>
          <w:lang w:val="hr-HR"/>
        </w:rPr>
        <w:t>Ostale tekuće obveze (239) iznose 225.131,81 € od čega se vrijednosno najznačajnije obveze odnose na obveze za porez na dodanu vrijednost u iznosu 223.524,93 €.</w:t>
      </w:r>
    </w:p>
    <w:p w14:paraId="09843F1F" w14:textId="77777777" w:rsidR="0042006D" w:rsidRPr="0042006D" w:rsidRDefault="0042006D" w:rsidP="0042006D">
      <w:pPr>
        <w:pStyle w:val="Tijeloteksta2"/>
        <w:rPr>
          <w:rFonts w:ascii="Arial" w:hAnsi="Arial" w:cs="Arial"/>
          <w:bCs/>
          <w:iCs/>
          <w:sz w:val="20"/>
          <w:lang w:val="hr-HR"/>
        </w:rPr>
      </w:pPr>
    </w:p>
    <w:p w14:paraId="3176452E" w14:textId="77777777" w:rsidR="0042006D" w:rsidRPr="0042006D" w:rsidRDefault="0042006D" w:rsidP="0042006D">
      <w:pPr>
        <w:pStyle w:val="Tijeloteksta2"/>
        <w:rPr>
          <w:rFonts w:ascii="Arial" w:hAnsi="Arial" w:cs="Arial"/>
          <w:bCs/>
          <w:iCs/>
          <w:sz w:val="20"/>
          <w:lang w:val="hr-HR"/>
        </w:rPr>
      </w:pPr>
      <w:bookmarkStart w:id="779" w:name="_Hlk223134780"/>
      <w:r w:rsidRPr="0042006D">
        <w:rPr>
          <w:rFonts w:ascii="Arial" w:hAnsi="Arial" w:cs="Arial"/>
          <w:b/>
          <w:bCs/>
          <w:iCs/>
          <w:sz w:val="20"/>
          <w:lang w:val="hr-HR"/>
        </w:rPr>
        <w:t>SKUPINA 24:</w:t>
      </w:r>
      <w:r w:rsidRPr="0042006D">
        <w:rPr>
          <w:rFonts w:ascii="Arial" w:hAnsi="Arial" w:cs="Arial"/>
          <w:b/>
          <w:bCs/>
          <w:iCs/>
          <w:sz w:val="20"/>
          <w:lang w:val="hr-HR"/>
        </w:rPr>
        <w:tab/>
      </w:r>
      <w:r w:rsidRPr="0042006D">
        <w:rPr>
          <w:rFonts w:ascii="Arial" w:hAnsi="Arial" w:cs="Arial"/>
          <w:bCs/>
          <w:iCs/>
          <w:sz w:val="20"/>
          <w:lang w:val="hr-HR"/>
        </w:rPr>
        <w:t>Obveze za nabavu nefinancijske imovine (</w:t>
      </w:r>
      <w:r w:rsidRPr="0042006D">
        <w:rPr>
          <w:rFonts w:ascii="Arial" w:hAnsi="Arial" w:cs="Arial"/>
          <w:b/>
          <w:bCs/>
          <w:iCs/>
          <w:sz w:val="20"/>
          <w:lang w:val="hr-HR"/>
        </w:rPr>
        <w:t>24</w:t>
      </w:r>
      <w:r w:rsidRPr="0042006D">
        <w:rPr>
          <w:rFonts w:ascii="Arial" w:hAnsi="Arial" w:cs="Arial"/>
          <w:bCs/>
          <w:iCs/>
          <w:sz w:val="20"/>
          <w:lang w:val="hr-HR"/>
        </w:rPr>
        <w:t>) koncem 2025. iznose 654.667,74 € što je za 504.145,11 € ili 334,9% više u odnosu na stanje koncem prethodne godine (kada su iznosile 150.522,63 €). Vrijednosno najznačajnije ove obveze se odnose na obveze za izgradnju nove škole u Cavtatu u iznosu 372.856,10 €, izgradnju lokalne prometnice u okviru nove škole 73.930,02 €, te izvođenje radova na uređenju prometnice i oborinske odvodnje u ulici Ante Starčevića u iznosu  75.976,74 €, sanaciju obale i mula ispred bivšeg hotela Makedonija u iznosu 50.958,25 €, te izradu projektne dokumentacije u iznosu 60.930 € (projekt unutrašnjeg uređenja i opremanja osnovne škole, projekt uređenja šetnice, projekt rekonstrukcije doma kulture i drugo).</w:t>
      </w:r>
    </w:p>
    <w:bookmarkEnd w:id="779"/>
    <w:p w14:paraId="7F6F1B7D" w14:textId="77777777" w:rsidR="0042006D" w:rsidRPr="0099492B" w:rsidRDefault="0042006D" w:rsidP="0042006D">
      <w:pPr>
        <w:pStyle w:val="Tijeloteksta2"/>
        <w:rPr>
          <w:rFonts w:ascii="Arial" w:hAnsi="Arial" w:cs="Arial"/>
          <w:bCs/>
          <w:iCs/>
          <w:sz w:val="22"/>
          <w:szCs w:val="22"/>
          <w:lang w:val="hr-HR"/>
        </w:rPr>
      </w:pPr>
    </w:p>
    <w:p w14:paraId="647E87D7" w14:textId="77777777" w:rsidR="0042006D" w:rsidRPr="0042006D" w:rsidRDefault="0042006D" w:rsidP="0042006D">
      <w:pPr>
        <w:pStyle w:val="Tijeloteksta2"/>
        <w:rPr>
          <w:rFonts w:ascii="Arial" w:hAnsi="Arial" w:cs="Arial"/>
          <w:bCs/>
          <w:iCs/>
          <w:sz w:val="20"/>
          <w:lang w:val="hr-HR"/>
        </w:rPr>
      </w:pPr>
      <w:r w:rsidRPr="0042006D">
        <w:rPr>
          <w:rFonts w:ascii="Arial" w:hAnsi="Arial" w:cs="Arial"/>
          <w:b/>
          <w:bCs/>
          <w:iCs/>
          <w:sz w:val="20"/>
          <w:lang w:val="hr-HR"/>
        </w:rPr>
        <w:t>SKUPINA 26:</w:t>
      </w:r>
      <w:r w:rsidRPr="0042006D">
        <w:rPr>
          <w:rFonts w:ascii="Arial" w:hAnsi="Arial" w:cs="Arial"/>
          <w:b/>
          <w:bCs/>
          <w:iCs/>
          <w:sz w:val="20"/>
          <w:lang w:val="hr-HR"/>
        </w:rPr>
        <w:tab/>
      </w:r>
      <w:r w:rsidRPr="0042006D">
        <w:rPr>
          <w:rFonts w:ascii="Arial" w:hAnsi="Arial" w:cs="Arial"/>
          <w:bCs/>
          <w:iCs/>
          <w:sz w:val="20"/>
          <w:lang w:val="hr-HR"/>
        </w:rPr>
        <w:t>Obveze za kredite i zajmove (</w:t>
      </w:r>
      <w:r w:rsidRPr="0042006D">
        <w:rPr>
          <w:rFonts w:ascii="Arial" w:hAnsi="Arial" w:cs="Arial"/>
          <w:b/>
          <w:bCs/>
          <w:iCs/>
          <w:sz w:val="20"/>
          <w:lang w:val="hr-HR"/>
        </w:rPr>
        <w:t>26</w:t>
      </w:r>
      <w:r w:rsidRPr="0042006D">
        <w:rPr>
          <w:rFonts w:ascii="Arial" w:hAnsi="Arial" w:cs="Arial"/>
          <w:bCs/>
          <w:iCs/>
          <w:sz w:val="20"/>
          <w:lang w:val="hr-HR"/>
        </w:rPr>
        <w:t xml:space="preserve">) koncem 2025. iznose 5.349.824,46 € što je za 2.085.544,78 € ili 63,9% više u odnosu na stanje koncem prethodne godine (kada su ove obveze iznosile 3.264.279,68 €). Obveze se odnose na kredit za izgradnju doma za starije i nemoćne osobe otplaćen u 2025. godini. Koncem godine obveze za kredite se odnose na kredit za izgradnju vatrogasnog doma i nabavu vatrogasnih vozila 440.003,68 € (kredit iz 2022. godine), kredit za rekonstrukciju javne rasvjete (projekt energetske učinkovitosti) u iznosu 498.416,12 €, te beskamatne zajmove Ministarstva financija u ukupnom iznosu 1.332.079,53 € i novi kredit koji se još koristi za izgradnju osnovne škole u iznosu 3.079.325,13 €. </w:t>
      </w:r>
    </w:p>
    <w:p w14:paraId="652E1FA4" w14:textId="77777777" w:rsidR="0042006D" w:rsidRPr="0042006D" w:rsidRDefault="0042006D" w:rsidP="0042006D">
      <w:pPr>
        <w:pStyle w:val="Tijeloteksta2"/>
        <w:rPr>
          <w:rFonts w:ascii="Arial" w:hAnsi="Arial" w:cs="Arial"/>
          <w:bCs/>
          <w:iCs/>
          <w:sz w:val="20"/>
          <w:lang w:val="hr-HR"/>
        </w:rPr>
      </w:pPr>
    </w:p>
    <w:p w14:paraId="3580BCEE" w14:textId="77777777" w:rsidR="0042006D" w:rsidRPr="0042006D" w:rsidRDefault="0042006D" w:rsidP="0042006D">
      <w:pPr>
        <w:pStyle w:val="Tijeloteksta2"/>
        <w:rPr>
          <w:rFonts w:ascii="Arial" w:hAnsi="Arial" w:cs="Arial"/>
          <w:bCs/>
          <w:iCs/>
          <w:sz w:val="20"/>
          <w:lang w:val="hr-HR"/>
        </w:rPr>
      </w:pPr>
      <w:r w:rsidRPr="0042006D">
        <w:rPr>
          <w:rFonts w:ascii="Arial" w:hAnsi="Arial" w:cs="Arial"/>
          <w:bCs/>
          <w:iCs/>
          <w:sz w:val="20"/>
          <w:lang w:val="hr-HR"/>
        </w:rPr>
        <w:lastRenderedPageBreak/>
        <w:t xml:space="preserve">Tijekom 2025. nisu otplaćivani beskamatni zajmovi iz državnog proračuna. Koncem godine obveze za beskamatne zajmove iznose 1.332.079,53 € od čega 97.757,41 € beskamatni zajam koji se odnosi na odgođeno plaćanje poreza i prireza na dohodak (odgoda u 2020. godini), te beskamatni zajam u iznosu 451.257,55 € (iz 2020. godine) i u iznosu 783.064,57 € (iz 2021. godine). Rok dospijeća beskamatnih zajmova iz 2020. i 2021. iz državnog proračuna dospijevaju koncem 2027. godine. Nema dospjelih nepodmirenih obveza za kredite i zajmove. </w:t>
      </w:r>
    </w:p>
    <w:p w14:paraId="00E223A1" w14:textId="77777777" w:rsidR="0042006D" w:rsidRPr="0042006D" w:rsidRDefault="0042006D" w:rsidP="0042006D">
      <w:pPr>
        <w:pStyle w:val="Tijeloteksta2"/>
        <w:rPr>
          <w:rFonts w:ascii="Arial" w:hAnsi="Arial" w:cs="Arial"/>
          <w:bCs/>
          <w:iCs/>
          <w:sz w:val="20"/>
          <w:lang w:val="hr-HR"/>
        </w:rPr>
      </w:pPr>
    </w:p>
    <w:p w14:paraId="7E7D978C" w14:textId="77777777" w:rsidR="0042006D" w:rsidRPr="0042006D" w:rsidRDefault="0042006D" w:rsidP="0042006D">
      <w:pPr>
        <w:pStyle w:val="Tijeloteksta2"/>
        <w:rPr>
          <w:rFonts w:ascii="Arial" w:hAnsi="Arial" w:cs="Arial"/>
          <w:bCs/>
          <w:iCs/>
          <w:sz w:val="20"/>
          <w:lang w:val="hr-HR"/>
        </w:rPr>
      </w:pPr>
      <w:r w:rsidRPr="0042006D">
        <w:rPr>
          <w:rFonts w:ascii="Arial" w:hAnsi="Arial" w:cs="Arial"/>
          <w:b/>
          <w:bCs/>
          <w:iCs/>
          <w:sz w:val="20"/>
          <w:lang w:val="hr-HR"/>
        </w:rPr>
        <w:t>SKUPINA 27:</w:t>
      </w:r>
      <w:r w:rsidRPr="0042006D">
        <w:rPr>
          <w:rFonts w:ascii="Arial" w:hAnsi="Arial" w:cs="Arial"/>
          <w:b/>
          <w:bCs/>
          <w:iCs/>
          <w:sz w:val="20"/>
          <w:lang w:val="hr-HR"/>
        </w:rPr>
        <w:tab/>
      </w:r>
      <w:r w:rsidRPr="0042006D">
        <w:rPr>
          <w:rFonts w:ascii="Arial" w:hAnsi="Arial" w:cs="Arial"/>
          <w:bCs/>
          <w:iCs/>
          <w:sz w:val="20"/>
          <w:lang w:val="hr-HR"/>
        </w:rPr>
        <w:t>Obveze za predujmove, depozite i jamčevne pologe (</w:t>
      </w:r>
      <w:r w:rsidRPr="0042006D">
        <w:rPr>
          <w:rFonts w:ascii="Arial" w:hAnsi="Arial" w:cs="Arial"/>
          <w:b/>
          <w:bCs/>
          <w:iCs/>
          <w:sz w:val="20"/>
          <w:lang w:val="hr-HR"/>
        </w:rPr>
        <w:t>27</w:t>
      </w:r>
      <w:r w:rsidRPr="0042006D">
        <w:rPr>
          <w:rFonts w:ascii="Arial" w:hAnsi="Arial" w:cs="Arial"/>
          <w:bCs/>
          <w:iCs/>
          <w:sz w:val="20"/>
          <w:lang w:val="hr-HR"/>
        </w:rPr>
        <w:t>) koncem 2025. iznose 2.524.214,31 €. Ove obveze su ranijih godina bile evidentirane u okviru skupine 239.</w:t>
      </w:r>
    </w:p>
    <w:p w14:paraId="332BE1AE" w14:textId="77777777" w:rsidR="0042006D" w:rsidRPr="0042006D" w:rsidRDefault="0042006D" w:rsidP="0042006D">
      <w:pPr>
        <w:pStyle w:val="Tijeloteksta2"/>
        <w:rPr>
          <w:rFonts w:ascii="Arial" w:hAnsi="Arial" w:cs="Arial"/>
          <w:bCs/>
          <w:iCs/>
          <w:sz w:val="20"/>
          <w:lang w:val="hr-HR"/>
        </w:rPr>
      </w:pPr>
      <w:r w:rsidRPr="0042006D">
        <w:rPr>
          <w:rFonts w:ascii="Arial" w:hAnsi="Arial" w:cs="Arial"/>
          <w:bCs/>
          <w:iCs/>
          <w:sz w:val="20"/>
          <w:lang w:val="hr-HR"/>
        </w:rPr>
        <w:t xml:space="preserve">Tako su koncem prethodne 2024. godine obveze prema proračunskim korisnicima Općine Konavle (23956) na temelju naplaćenih prihoda proračunskih korisnika putem sustava općinske riznice iznosile 186.656,80 € </w:t>
      </w:r>
    </w:p>
    <w:p w14:paraId="357D8CFB" w14:textId="77777777" w:rsidR="0042006D" w:rsidRPr="0042006D" w:rsidRDefault="0042006D" w:rsidP="0042006D">
      <w:pPr>
        <w:pStyle w:val="Tijeloteksta2"/>
        <w:rPr>
          <w:rFonts w:ascii="Arial" w:hAnsi="Arial" w:cs="Arial"/>
          <w:bCs/>
          <w:iCs/>
          <w:sz w:val="20"/>
          <w:lang w:val="hr-HR"/>
        </w:rPr>
      </w:pPr>
      <w:r w:rsidRPr="0042006D">
        <w:rPr>
          <w:rFonts w:ascii="Arial" w:hAnsi="Arial" w:cs="Arial"/>
          <w:bCs/>
          <w:iCs/>
          <w:sz w:val="20"/>
          <w:lang w:val="hr-HR"/>
        </w:rPr>
        <w:t xml:space="preserve">Koncem 2025. godine ove obveze iznose 229.365,59 €, a iskazuju se u okviru skupine 274 – obveze proračuna za naplaćena sredstva proračunskih korisnika. Obveze prema Dječjem vrtiću Konavle iznose 85.165 €, obveze prema Muzejima i galerijama Konavala iznose 83.381,93 €, obveze prema Javnoj vatrogasnoj postrojbi 0 €, te obveze prema Domu za starije i nemoćne osobe iznose 60.818,66 €. </w:t>
      </w:r>
    </w:p>
    <w:p w14:paraId="2C963893" w14:textId="77777777" w:rsidR="0042006D" w:rsidRPr="0042006D" w:rsidRDefault="0042006D" w:rsidP="0042006D">
      <w:pPr>
        <w:pStyle w:val="Tijeloteksta2"/>
        <w:rPr>
          <w:rFonts w:ascii="Arial" w:hAnsi="Arial" w:cs="Arial"/>
          <w:bCs/>
          <w:iCs/>
          <w:sz w:val="20"/>
          <w:lang w:val="hr-HR"/>
        </w:rPr>
      </w:pPr>
    </w:p>
    <w:p w14:paraId="1A052C82" w14:textId="77777777" w:rsidR="0042006D" w:rsidRPr="0042006D" w:rsidRDefault="0042006D" w:rsidP="0042006D">
      <w:pPr>
        <w:pStyle w:val="Tijeloteksta2"/>
        <w:rPr>
          <w:rFonts w:ascii="Arial" w:hAnsi="Arial" w:cs="Arial"/>
          <w:bCs/>
          <w:iCs/>
          <w:sz w:val="20"/>
          <w:lang w:val="hr-HR"/>
        </w:rPr>
      </w:pPr>
      <w:r w:rsidRPr="0042006D">
        <w:rPr>
          <w:rFonts w:ascii="Arial" w:hAnsi="Arial" w:cs="Arial"/>
          <w:bCs/>
          <w:iCs/>
          <w:sz w:val="20"/>
          <w:lang w:val="hr-HR"/>
        </w:rPr>
        <w:t xml:space="preserve">Obveze za naplaćene tuđe prihode (273) iznose 32.476,45 € i odnose se na obveze prema Hrvatskim vodama za naplaćenu vodnu naknadu zajedno s komunalnom naknadom. </w:t>
      </w:r>
    </w:p>
    <w:p w14:paraId="5389272E" w14:textId="77777777" w:rsidR="0042006D" w:rsidRPr="0042006D" w:rsidRDefault="0042006D" w:rsidP="0042006D">
      <w:pPr>
        <w:pStyle w:val="Tijeloteksta2"/>
        <w:rPr>
          <w:rFonts w:ascii="Arial" w:hAnsi="Arial" w:cs="Arial"/>
          <w:bCs/>
          <w:iCs/>
          <w:sz w:val="20"/>
          <w:lang w:val="hr-HR"/>
        </w:rPr>
      </w:pPr>
    </w:p>
    <w:p w14:paraId="4FB0F324" w14:textId="77777777" w:rsidR="0042006D" w:rsidRPr="0042006D" w:rsidRDefault="0042006D" w:rsidP="0042006D">
      <w:pPr>
        <w:pStyle w:val="Tijeloteksta2"/>
        <w:rPr>
          <w:rFonts w:ascii="Arial" w:hAnsi="Arial" w:cs="Arial"/>
          <w:bCs/>
          <w:iCs/>
          <w:sz w:val="20"/>
          <w:lang w:val="hr-HR"/>
        </w:rPr>
      </w:pPr>
      <w:r w:rsidRPr="0042006D">
        <w:rPr>
          <w:rFonts w:ascii="Arial" w:hAnsi="Arial" w:cs="Arial"/>
          <w:bCs/>
          <w:iCs/>
          <w:sz w:val="20"/>
          <w:lang w:val="hr-HR"/>
        </w:rPr>
        <w:t>Obveze za EU predujmove (275) koncem 2025. godine iznose 2.231.274,95 €, a u cijelosti se odnose na predujam za izgradnju osnovne škole (sredstva iz Mehanizma za oporavak i otpornost, a doznačuje ih županija kao nositelj projekta).</w:t>
      </w:r>
    </w:p>
    <w:p w14:paraId="526C8757" w14:textId="77777777" w:rsidR="0042006D" w:rsidRPr="0042006D" w:rsidRDefault="0042006D" w:rsidP="0042006D">
      <w:pPr>
        <w:pStyle w:val="Tijeloteksta2"/>
        <w:rPr>
          <w:rFonts w:ascii="Arial" w:hAnsi="Arial" w:cs="Arial"/>
          <w:bCs/>
          <w:iCs/>
          <w:sz w:val="20"/>
          <w:lang w:val="hr-HR"/>
        </w:rPr>
      </w:pPr>
    </w:p>
    <w:p w14:paraId="2890F796" w14:textId="77777777" w:rsidR="0042006D" w:rsidRPr="0042006D" w:rsidRDefault="0042006D" w:rsidP="0042006D">
      <w:pPr>
        <w:pStyle w:val="Tijeloteksta2"/>
        <w:rPr>
          <w:rFonts w:ascii="Arial" w:hAnsi="Arial" w:cs="Arial"/>
          <w:bCs/>
          <w:iCs/>
          <w:sz w:val="20"/>
          <w:lang w:val="hr-HR"/>
        </w:rPr>
      </w:pPr>
      <w:r w:rsidRPr="0042006D">
        <w:rPr>
          <w:rFonts w:ascii="Arial" w:hAnsi="Arial" w:cs="Arial"/>
          <w:b/>
          <w:bCs/>
          <w:iCs/>
          <w:sz w:val="20"/>
          <w:lang w:val="hr-HR"/>
        </w:rPr>
        <w:t>PODSKUPINA 292:</w:t>
      </w:r>
      <w:r w:rsidRPr="0042006D">
        <w:rPr>
          <w:rFonts w:ascii="Arial" w:hAnsi="Arial" w:cs="Arial"/>
          <w:b/>
          <w:bCs/>
          <w:iCs/>
          <w:sz w:val="20"/>
          <w:lang w:val="hr-HR"/>
        </w:rPr>
        <w:tab/>
      </w:r>
      <w:r w:rsidRPr="0042006D">
        <w:rPr>
          <w:rFonts w:ascii="Arial" w:hAnsi="Arial" w:cs="Arial"/>
          <w:bCs/>
          <w:iCs/>
          <w:sz w:val="20"/>
          <w:lang w:val="hr-HR"/>
        </w:rPr>
        <w:t>Naplaćeni prihodi budućih razdoblja (</w:t>
      </w:r>
      <w:r w:rsidRPr="0042006D">
        <w:rPr>
          <w:rFonts w:ascii="Arial" w:hAnsi="Arial" w:cs="Arial"/>
          <w:b/>
          <w:bCs/>
          <w:iCs/>
          <w:sz w:val="20"/>
          <w:lang w:val="hr-HR"/>
        </w:rPr>
        <w:t>292</w:t>
      </w:r>
      <w:r w:rsidRPr="0042006D">
        <w:rPr>
          <w:rFonts w:ascii="Arial" w:hAnsi="Arial" w:cs="Arial"/>
          <w:bCs/>
          <w:iCs/>
          <w:sz w:val="20"/>
          <w:lang w:val="hr-HR"/>
        </w:rPr>
        <w:t>) koncem 2024. su iznosili 22.121,83 €, a koncem 2025. iznose 10.252,66 € i odnose  se na unaprijed plaćenu komunalnu naknadu 5.128,97 €, više plaćene prihode poreza na kuće za odmor 1.958,42 €, više plaćene prihoda od poreza na potrošnju 493,46 € i porez na javne površine 265,40 €, više plaćene prihode naknada za korištenje javnih površina 877,24 €, više plaćen zakup poslovnog prostora, te više plaćen porez na nekretnine 649,06 €.</w:t>
      </w:r>
    </w:p>
    <w:p w14:paraId="5C770D4F" w14:textId="77777777" w:rsidR="0042006D" w:rsidRPr="0042006D" w:rsidRDefault="0042006D" w:rsidP="0042006D">
      <w:pPr>
        <w:pStyle w:val="Tijeloteksta2"/>
        <w:rPr>
          <w:rFonts w:ascii="Arial" w:hAnsi="Arial" w:cs="Arial"/>
          <w:bCs/>
          <w:iCs/>
          <w:sz w:val="20"/>
          <w:lang w:val="hr-HR"/>
        </w:rPr>
      </w:pPr>
    </w:p>
    <w:p w14:paraId="5E46650B" w14:textId="77777777" w:rsidR="0042006D" w:rsidRPr="0042006D" w:rsidRDefault="0042006D" w:rsidP="0042006D">
      <w:pPr>
        <w:pStyle w:val="Tijeloteksta2"/>
        <w:rPr>
          <w:rFonts w:ascii="Arial" w:hAnsi="Arial" w:cs="Arial"/>
          <w:bCs/>
          <w:iCs/>
          <w:sz w:val="20"/>
          <w:lang w:val="hr-HR"/>
        </w:rPr>
      </w:pPr>
      <w:r w:rsidRPr="0042006D">
        <w:rPr>
          <w:rFonts w:ascii="Arial" w:hAnsi="Arial" w:cs="Arial"/>
          <w:b/>
          <w:bCs/>
          <w:iCs/>
          <w:sz w:val="20"/>
          <w:lang w:val="hr-HR"/>
        </w:rPr>
        <w:t>PODSKUPINA 922:</w:t>
      </w:r>
      <w:r w:rsidRPr="0042006D">
        <w:rPr>
          <w:rFonts w:ascii="Arial" w:hAnsi="Arial" w:cs="Arial"/>
          <w:b/>
          <w:bCs/>
          <w:iCs/>
          <w:sz w:val="20"/>
          <w:lang w:val="hr-HR"/>
        </w:rPr>
        <w:tab/>
      </w:r>
      <w:r w:rsidRPr="0042006D">
        <w:rPr>
          <w:rFonts w:ascii="Arial" w:hAnsi="Arial" w:cs="Arial"/>
          <w:bCs/>
          <w:iCs/>
          <w:sz w:val="20"/>
          <w:lang w:val="hr-HR"/>
        </w:rPr>
        <w:t>Višak prihoda (</w:t>
      </w:r>
      <w:r w:rsidRPr="0042006D">
        <w:rPr>
          <w:rFonts w:ascii="Arial" w:hAnsi="Arial" w:cs="Arial"/>
          <w:b/>
          <w:bCs/>
          <w:iCs/>
          <w:sz w:val="20"/>
          <w:lang w:val="hr-HR"/>
        </w:rPr>
        <w:t>922</w:t>
      </w:r>
      <w:r w:rsidRPr="0042006D">
        <w:rPr>
          <w:rFonts w:ascii="Arial" w:hAnsi="Arial" w:cs="Arial"/>
          <w:bCs/>
          <w:iCs/>
          <w:sz w:val="20"/>
          <w:lang w:val="hr-HR"/>
        </w:rPr>
        <w:t xml:space="preserve">) koncem 2024. je iznosio 2.314.003,03 €, a koncem 2024. iznosi 1.169.846,09 €. Ovaj višak je raspoloživ za korištenje u 2026. proračunskoj godini. </w:t>
      </w:r>
    </w:p>
    <w:p w14:paraId="50BE312E" w14:textId="77777777" w:rsidR="002643DD" w:rsidRPr="0042006D" w:rsidRDefault="002643DD" w:rsidP="002643DD">
      <w:pPr>
        <w:spacing w:after="0" w:line="240" w:lineRule="auto"/>
        <w:jc w:val="both"/>
        <w:rPr>
          <w:rFonts w:ascii="Arial" w:eastAsia="Times New Roman" w:hAnsi="Arial" w:cs="Arial"/>
          <w:bCs/>
          <w:iCs/>
          <w:sz w:val="20"/>
          <w:szCs w:val="20"/>
          <w:lang w:eastAsia="en-US"/>
        </w:rPr>
      </w:pPr>
    </w:p>
    <w:p w14:paraId="5CF040CB" w14:textId="3668AB8C" w:rsidR="008E1A87" w:rsidRPr="0042006D" w:rsidRDefault="008E1A87" w:rsidP="007127A6">
      <w:pPr>
        <w:pStyle w:val="Tijeloteksta2"/>
        <w:rPr>
          <w:rFonts w:ascii="Arial" w:hAnsi="Arial" w:cs="Arial"/>
          <w:bCs/>
          <w:iCs/>
          <w:sz w:val="20"/>
          <w:lang w:val="hr-HR"/>
        </w:rPr>
      </w:pPr>
    </w:p>
    <w:p w14:paraId="062A5E0E" w14:textId="27EC1E38" w:rsidR="000650E1" w:rsidRPr="00EB6E86" w:rsidRDefault="000650E1" w:rsidP="000650E1">
      <w:pPr>
        <w:pBdr>
          <w:top w:val="dotted" w:sz="4" w:space="1" w:color="auto"/>
          <w:left w:val="dotted" w:sz="4" w:space="4" w:color="auto"/>
          <w:bottom w:val="dotted" w:sz="4" w:space="1" w:color="auto"/>
          <w:right w:val="dotted" w:sz="4" w:space="4" w:color="auto"/>
        </w:pBdr>
        <w:shd w:val="clear" w:color="auto" w:fill="BFBFBF"/>
        <w:spacing w:after="0" w:line="240" w:lineRule="auto"/>
        <w:jc w:val="both"/>
        <w:rPr>
          <w:rFonts w:ascii="Arial" w:eastAsia="Times New Roman" w:hAnsi="Arial" w:cs="Arial"/>
          <w:b/>
          <w:sz w:val="20"/>
          <w:szCs w:val="18"/>
          <w:lang w:eastAsia="en-US"/>
        </w:rPr>
      </w:pPr>
      <w:r w:rsidRPr="00EB6E86">
        <w:rPr>
          <w:rFonts w:ascii="Arial" w:eastAsia="Times New Roman" w:hAnsi="Arial" w:cs="Arial"/>
          <w:b/>
          <w:sz w:val="20"/>
          <w:szCs w:val="18"/>
          <w:lang w:eastAsia="en-US"/>
        </w:rPr>
        <w:t>3.</w:t>
      </w:r>
      <w:r w:rsidRPr="00EB6E86">
        <w:rPr>
          <w:rFonts w:ascii="Arial" w:eastAsia="Times New Roman" w:hAnsi="Arial" w:cs="Arial"/>
          <w:b/>
          <w:sz w:val="20"/>
          <w:szCs w:val="18"/>
          <w:lang w:eastAsia="en-US"/>
        </w:rPr>
        <w:tab/>
        <w:t xml:space="preserve">IZVANBILANČNI ZAPISI </w:t>
      </w:r>
    </w:p>
    <w:p w14:paraId="2266E6E0" w14:textId="77777777" w:rsidR="000650E1" w:rsidRDefault="000650E1" w:rsidP="000650E1">
      <w:pPr>
        <w:spacing w:after="0" w:line="240" w:lineRule="auto"/>
        <w:jc w:val="both"/>
        <w:rPr>
          <w:rFonts w:ascii="Arial" w:eastAsia="Times New Roman" w:hAnsi="Arial" w:cs="Arial"/>
          <w:bCs/>
          <w:iCs/>
          <w:sz w:val="20"/>
          <w:szCs w:val="20"/>
          <w:lang w:eastAsia="en-US"/>
        </w:rPr>
      </w:pPr>
    </w:p>
    <w:p w14:paraId="2E6D408D"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 xml:space="preserve">Izvanbilančni zapisi početkom 2025. godine su iznosili 5.063.922,37 €. </w:t>
      </w:r>
    </w:p>
    <w:p w14:paraId="305225DC"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U tekućoj godini su ustrojene nove izvanbilančne evidencije kao što su potraživanja po ugovorima o dodijeljenim bespovratnim sredstvima i obveze po ugovorima o nabavi roba, radova i usluga zbog čega je vrijednost u tekućoj godini znatno veća u odnosu na prethodnu godinu.</w:t>
      </w:r>
    </w:p>
    <w:p w14:paraId="5A832B15" w14:textId="77777777" w:rsidR="0042006D" w:rsidRPr="0042006D" w:rsidRDefault="0042006D" w:rsidP="0042006D">
      <w:pPr>
        <w:spacing w:after="0" w:line="240" w:lineRule="auto"/>
        <w:jc w:val="both"/>
        <w:rPr>
          <w:rFonts w:ascii="Arial" w:hAnsi="Arial" w:cs="Arial"/>
          <w:bCs/>
          <w:iCs/>
          <w:sz w:val="20"/>
          <w:szCs w:val="20"/>
        </w:rPr>
      </w:pPr>
    </w:p>
    <w:p w14:paraId="7518AD60"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K</w:t>
      </w:r>
      <w:bookmarkStart w:id="780" w:name="_Hlk223135946"/>
      <w:r w:rsidRPr="0042006D">
        <w:rPr>
          <w:rFonts w:ascii="Arial" w:hAnsi="Arial" w:cs="Arial"/>
          <w:bCs/>
          <w:iCs/>
          <w:sz w:val="20"/>
          <w:szCs w:val="20"/>
        </w:rPr>
        <w:t xml:space="preserve">oncem 2025. godine izvanbilančni zapisi iznose 59.606.183,98 €. </w:t>
      </w:r>
    </w:p>
    <w:p w14:paraId="4EC03987"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Koncem godine u okviru izvanbilančnih zapisa evidentirano je:</w:t>
      </w:r>
    </w:p>
    <w:p w14:paraId="3F6BE169"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 xml:space="preserve">- jedno jamstvo društvu u vlasništvu općine za zaduživanje u iznosu 276.737,24 €, </w:t>
      </w:r>
    </w:p>
    <w:p w14:paraId="28B34C2B"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 xml:space="preserve">- jedno jamstvo dano društvu u suvlasništvu Općine na temelju Zakona o gospodarenju otpadom u iznosu 366.546,25 € (ne ulazi u stupanj zaduženosti), </w:t>
      </w:r>
    </w:p>
    <w:p w14:paraId="017DCAFE"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 xml:space="preserve">- potencijalne obveze po osnovi sudskih sporova u tijeku u iznosu 170.914,98 €, </w:t>
      </w:r>
    </w:p>
    <w:p w14:paraId="51E11CAF"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 xml:space="preserve">- ostali izvanbilančni zapisi (potencijalne obveze iz poslovnih odnosa) u iznosu 271.416,94 €, </w:t>
      </w:r>
    </w:p>
    <w:p w14:paraId="44163812"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 xml:space="preserve">- tuđa imovina dobivena na korištenje u iznosu 229.948,61 € (četiri ugovora), </w:t>
      </w:r>
    </w:p>
    <w:p w14:paraId="2371EF52"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lastRenderedPageBreak/>
        <w:t xml:space="preserve">- dani instrumenti osiguranja plaćanja (zadužnice) u iznosu 23.410.911,15 €, </w:t>
      </w:r>
    </w:p>
    <w:p w14:paraId="64F6DC07"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 xml:space="preserve">- dane suglasnosti za zaduživanje društvu u vlasništvu u iznosu 1.386.036,53 € (nisu jamstva), </w:t>
      </w:r>
    </w:p>
    <w:p w14:paraId="6D63DE11"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 primljeni instrumenti osiguranja plaćanja (zadužnice) u iznosu 4.500.636,07 €,</w:t>
      </w:r>
    </w:p>
    <w:p w14:paraId="2B4B371A"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 potraživanja po ugovorima o dodijeljenim bespovratnim sredstvima 17.333.504,51 €,</w:t>
      </w:r>
    </w:p>
    <w:p w14:paraId="7F8D9CE9"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 obveze po ugovorima o nabavi roba, radova i usluga 11.584.622,38 €,</w:t>
      </w:r>
    </w:p>
    <w:p w14:paraId="76C986E2"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 obveze po ugovoru za provedbu projekta u kojemu je nositelj projekta trgovačko društvo u iznosu 74.909,33 €.</w:t>
      </w:r>
    </w:p>
    <w:bookmarkEnd w:id="780"/>
    <w:p w14:paraId="2C489034" w14:textId="77777777" w:rsidR="0042006D" w:rsidRPr="0042006D" w:rsidRDefault="0042006D" w:rsidP="0042006D">
      <w:pPr>
        <w:spacing w:after="0" w:line="240" w:lineRule="auto"/>
        <w:jc w:val="both"/>
        <w:rPr>
          <w:rFonts w:ascii="Arial" w:hAnsi="Arial" w:cs="Arial"/>
          <w:bCs/>
          <w:iCs/>
          <w:sz w:val="20"/>
          <w:szCs w:val="20"/>
        </w:rPr>
      </w:pPr>
    </w:p>
    <w:p w14:paraId="76D0D75B" w14:textId="77777777" w:rsidR="0042006D" w:rsidRPr="0042006D" w:rsidRDefault="0042006D" w:rsidP="0042006D">
      <w:pPr>
        <w:spacing w:after="0" w:line="240" w:lineRule="auto"/>
        <w:jc w:val="both"/>
        <w:rPr>
          <w:rFonts w:ascii="Arial" w:hAnsi="Arial" w:cs="Arial"/>
          <w:bCs/>
          <w:iCs/>
          <w:sz w:val="20"/>
          <w:szCs w:val="20"/>
        </w:rPr>
      </w:pPr>
      <w:r w:rsidRPr="0042006D">
        <w:rPr>
          <w:rFonts w:ascii="Arial" w:hAnsi="Arial" w:cs="Arial"/>
          <w:bCs/>
          <w:iCs/>
          <w:sz w:val="20"/>
          <w:szCs w:val="20"/>
        </w:rPr>
        <w:t>Značajno povećanje izvanbilančnih zapisa se odnosi na novu evidenciju potraživanja po ugovorima o dodijeljenim bespovratnim sredstvima, obveza po ugovorima o nabavi roba, radova i usluga, ali i primljenih kao i danih zadužnica u okviru provedbe projekta izgradnje nove osnovne škole u Cavtatu.</w:t>
      </w:r>
    </w:p>
    <w:p w14:paraId="2561A7C0" w14:textId="77777777" w:rsidR="0042006D" w:rsidRPr="0042006D" w:rsidRDefault="0042006D" w:rsidP="0042006D">
      <w:pPr>
        <w:spacing w:after="0" w:line="240" w:lineRule="auto"/>
        <w:jc w:val="both"/>
        <w:rPr>
          <w:rFonts w:ascii="Arial" w:eastAsia="Times New Roman" w:hAnsi="Arial" w:cs="Arial"/>
          <w:bCs/>
          <w:iCs/>
          <w:sz w:val="20"/>
          <w:szCs w:val="20"/>
          <w:lang w:eastAsia="en-US"/>
        </w:rPr>
      </w:pPr>
    </w:p>
    <w:p w14:paraId="294B1BCB" w14:textId="460EF0AB" w:rsidR="008F6166" w:rsidRPr="00772FA7" w:rsidRDefault="008F6166" w:rsidP="008F6166">
      <w:pPr>
        <w:spacing w:after="0" w:line="240" w:lineRule="auto"/>
        <w:jc w:val="both"/>
        <w:rPr>
          <w:rFonts w:ascii="Arial" w:eastAsia="Times New Roman" w:hAnsi="Arial" w:cs="Arial"/>
          <w:iCs/>
          <w:color w:val="EE0000"/>
          <w:sz w:val="20"/>
          <w:szCs w:val="20"/>
          <w:lang w:eastAsia="en-US"/>
        </w:rPr>
      </w:pPr>
      <w:r w:rsidRPr="00772FA7">
        <w:rPr>
          <w:rFonts w:ascii="Arial" w:eastAsia="Times New Roman" w:hAnsi="Arial" w:cs="Arial"/>
          <w:iCs/>
          <w:color w:val="EE0000"/>
          <w:sz w:val="20"/>
          <w:szCs w:val="20"/>
          <w:lang w:eastAsia="en-US"/>
        </w:rPr>
        <w:br w:type="page"/>
      </w:r>
    </w:p>
    <w:p w14:paraId="3CD31A56" w14:textId="77777777" w:rsidR="000650E1" w:rsidRPr="00FC5064" w:rsidRDefault="000650E1" w:rsidP="000650E1">
      <w:pPr>
        <w:spacing w:after="0" w:line="240" w:lineRule="auto"/>
        <w:jc w:val="both"/>
        <w:rPr>
          <w:rFonts w:ascii="Arial" w:eastAsia="Times New Roman" w:hAnsi="Arial" w:cs="Arial"/>
          <w:iCs/>
          <w:lang w:eastAsia="en-US"/>
        </w:rPr>
      </w:pPr>
    </w:p>
    <w:p w14:paraId="09A627F7" w14:textId="513E400E" w:rsidR="000650E1" w:rsidRPr="00FC5064" w:rsidRDefault="006D222A" w:rsidP="000650E1">
      <w:pPr>
        <w:pStyle w:val="Naslov2"/>
        <w:jc w:val="center"/>
        <w:rPr>
          <w:rFonts w:ascii="Arial" w:hAnsi="Arial" w:cs="Arial"/>
          <w:sz w:val="22"/>
          <w:lang w:val="hr-HR"/>
        </w:rPr>
      </w:pPr>
      <w:bookmarkStart w:id="781" w:name="_Toc449430296"/>
      <w:bookmarkStart w:id="782" w:name="_Toc232981510"/>
      <w:r w:rsidRPr="00FC5064">
        <w:rPr>
          <w:rFonts w:ascii="Arial" w:hAnsi="Arial" w:cs="Arial"/>
          <w:sz w:val="22"/>
          <w:lang w:val="hr-HR"/>
        </w:rPr>
        <w:t>7</w:t>
      </w:r>
      <w:r w:rsidR="000650E1" w:rsidRPr="00FC5064">
        <w:rPr>
          <w:rFonts w:ascii="Arial" w:hAnsi="Arial" w:cs="Arial"/>
          <w:sz w:val="22"/>
          <w:lang w:val="hr-HR"/>
        </w:rPr>
        <w:t>.2.</w:t>
      </w:r>
      <w:r w:rsidR="000650E1" w:rsidRPr="00FC5064">
        <w:rPr>
          <w:rFonts w:ascii="Arial" w:hAnsi="Arial" w:cs="Arial"/>
          <w:sz w:val="22"/>
          <w:lang w:val="hr-HR"/>
        </w:rPr>
        <w:tab/>
        <w:t>STANJE IMOVINE I OBVEZA – OPĆINA I PRORAČUNSKI KORISNICI</w:t>
      </w:r>
      <w:bookmarkEnd w:id="781"/>
      <w:r w:rsidR="000650E1" w:rsidRPr="00FC5064">
        <w:rPr>
          <w:rFonts w:ascii="Arial" w:hAnsi="Arial" w:cs="Arial"/>
          <w:sz w:val="22"/>
          <w:lang w:val="hr-HR"/>
        </w:rPr>
        <w:t>, razina 23</w:t>
      </w:r>
      <w:bookmarkEnd w:id="782"/>
    </w:p>
    <w:p w14:paraId="4657F696" w14:textId="77777777" w:rsidR="000650E1" w:rsidRPr="00FC5064" w:rsidRDefault="000650E1" w:rsidP="000650E1">
      <w:pPr>
        <w:autoSpaceDE w:val="0"/>
        <w:autoSpaceDN w:val="0"/>
        <w:adjustRightInd w:val="0"/>
        <w:spacing w:after="0" w:line="240" w:lineRule="auto"/>
        <w:jc w:val="both"/>
        <w:rPr>
          <w:rFonts w:ascii="Arial" w:eastAsia="Times New Roman" w:hAnsi="Arial" w:cs="Arial"/>
          <w:sz w:val="20"/>
          <w:szCs w:val="20"/>
        </w:rPr>
      </w:pPr>
    </w:p>
    <w:p w14:paraId="379BB9C0" w14:textId="250DD800" w:rsidR="000650E1" w:rsidRPr="00FC5064" w:rsidRDefault="000650E1" w:rsidP="000650E1">
      <w:pPr>
        <w:spacing w:after="0" w:line="240" w:lineRule="auto"/>
        <w:jc w:val="both"/>
        <w:rPr>
          <w:rFonts w:ascii="Arial" w:eastAsia="Times New Roman" w:hAnsi="Arial" w:cs="Arial"/>
          <w:sz w:val="20"/>
          <w:szCs w:val="20"/>
        </w:rPr>
      </w:pPr>
      <w:r w:rsidRPr="00FC5064">
        <w:rPr>
          <w:rFonts w:ascii="Arial" w:eastAsia="Times New Roman" w:hAnsi="Arial" w:cs="Arial"/>
          <w:sz w:val="20"/>
          <w:szCs w:val="18"/>
          <w:lang w:eastAsia="en-US"/>
        </w:rPr>
        <w:t>U ovom dijelu imovine i obveza opisuje se stanje imovine i obveza iz bilance Općine i njena četiri proračunska korisnika, dakle sa pripadajućom imovinom i obvezama proračunskih korisnika Općine Konavle (Dječji vrtić Konavle, Muzeji i galerije Konavala, Javna vatrogasna postrojba Konavle, Dom za starije i nemoćne osobe Konavle)</w:t>
      </w:r>
      <w:r w:rsidRPr="00FC5064">
        <w:rPr>
          <w:rFonts w:ascii="Arial" w:eastAsia="Times New Roman" w:hAnsi="Arial" w:cs="Arial"/>
          <w:sz w:val="20"/>
          <w:szCs w:val="20"/>
        </w:rPr>
        <w:t xml:space="preserve"> na dan 31.12.202</w:t>
      </w:r>
      <w:r w:rsidR="002171D5">
        <w:rPr>
          <w:rFonts w:ascii="Arial" w:eastAsia="Times New Roman" w:hAnsi="Arial" w:cs="Arial"/>
          <w:sz w:val="20"/>
          <w:szCs w:val="20"/>
        </w:rPr>
        <w:t>4</w:t>
      </w:r>
      <w:r w:rsidRPr="00FC5064">
        <w:rPr>
          <w:rFonts w:ascii="Arial" w:eastAsia="Times New Roman" w:hAnsi="Arial" w:cs="Arial"/>
          <w:sz w:val="20"/>
          <w:szCs w:val="20"/>
        </w:rPr>
        <w:t xml:space="preserve">. (prema financijskim izvještajima razine 23). i na dan </w:t>
      </w:r>
      <w:r w:rsidR="002643DD" w:rsidRPr="00FC5064">
        <w:rPr>
          <w:rFonts w:ascii="Arial" w:eastAsia="Times New Roman" w:hAnsi="Arial" w:cs="Arial"/>
          <w:sz w:val="20"/>
          <w:szCs w:val="20"/>
        </w:rPr>
        <w:t>31.12.</w:t>
      </w:r>
      <w:r w:rsidR="00C64EF0" w:rsidRPr="00FC5064">
        <w:rPr>
          <w:rFonts w:ascii="Arial" w:eastAsia="Times New Roman" w:hAnsi="Arial" w:cs="Arial"/>
          <w:sz w:val="20"/>
          <w:szCs w:val="20"/>
        </w:rPr>
        <w:t>202</w:t>
      </w:r>
      <w:r w:rsidR="002171D5">
        <w:rPr>
          <w:rFonts w:ascii="Arial" w:eastAsia="Times New Roman" w:hAnsi="Arial" w:cs="Arial"/>
          <w:sz w:val="20"/>
          <w:szCs w:val="20"/>
        </w:rPr>
        <w:t>5</w:t>
      </w:r>
      <w:r w:rsidRPr="00FC5064">
        <w:rPr>
          <w:rFonts w:ascii="Arial" w:eastAsia="Times New Roman" w:hAnsi="Arial" w:cs="Arial"/>
          <w:sz w:val="20"/>
          <w:szCs w:val="20"/>
        </w:rPr>
        <w:t xml:space="preserve">. prema podacima iskazanim u </w:t>
      </w:r>
      <w:r w:rsidR="005D0164" w:rsidRPr="00FC5064">
        <w:rPr>
          <w:rFonts w:ascii="Arial" w:eastAsia="Times New Roman" w:hAnsi="Arial" w:cs="Arial"/>
          <w:sz w:val="20"/>
          <w:szCs w:val="20"/>
        </w:rPr>
        <w:t>financijskim izvještajima</w:t>
      </w:r>
      <w:r w:rsidRPr="00FC5064">
        <w:rPr>
          <w:rFonts w:ascii="Arial" w:eastAsia="Times New Roman" w:hAnsi="Arial" w:cs="Arial"/>
          <w:sz w:val="20"/>
          <w:szCs w:val="20"/>
        </w:rPr>
        <w:t xml:space="preserve"> (</w:t>
      </w:r>
      <w:r w:rsidRPr="00FC5064">
        <w:rPr>
          <w:rFonts w:ascii="Arial" w:eastAsia="Times New Roman" w:hAnsi="Arial" w:cs="Arial"/>
          <w:b/>
          <w:sz w:val="20"/>
          <w:szCs w:val="20"/>
        </w:rPr>
        <w:t xml:space="preserve">Bilanca </w:t>
      </w:r>
      <w:r w:rsidR="002171D5">
        <w:rPr>
          <w:rFonts w:ascii="Arial" w:eastAsia="Times New Roman" w:hAnsi="Arial" w:cs="Arial"/>
          <w:b/>
          <w:sz w:val="20"/>
          <w:szCs w:val="20"/>
        </w:rPr>
        <w:t xml:space="preserve">se </w:t>
      </w:r>
      <w:r w:rsidRPr="00FC5064">
        <w:rPr>
          <w:rFonts w:ascii="Arial" w:eastAsia="Times New Roman" w:hAnsi="Arial" w:cs="Arial"/>
          <w:b/>
          <w:sz w:val="20"/>
          <w:szCs w:val="20"/>
        </w:rPr>
        <w:t>ne sastavlja i ne predaje za polugodišnje izvještajno razdoblje</w:t>
      </w:r>
      <w:r w:rsidRPr="00FC5064">
        <w:rPr>
          <w:rFonts w:ascii="Arial" w:eastAsia="Times New Roman" w:hAnsi="Arial" w:cs="Arial"/>
          <w:sz w:val="20"/>
          <w:szCs w:val="20"/>
        </w:rPr>
        <w:t>).</w:t>
      </w:r>
    </w:p>
    <w:p w14:paraId="22F4CD96" w14:textId="77777777" w:rsidR="005D0164" w:rsidRPr="00FC5064" w:rsidRDefault="005D0164" w:rsidP="005D0164">
      <w:pPr>
        <w:autoSpaceDE w:val="0"/>
        <w:autoSpaceDN w:val="0"/>
        <w:adjustRightInd w:val="0"/>
        <w:spacing w:after="0" w:line="240" w:lineRule="auto"/>
        <w:jc w:val="both"/>
        <w:rPr>
          <w:rFonts w:ascii="Arial" w:eastAsia="Times New Roman" w:hAnsi="Arial" w:cs="Arial"/>
          <w:sz w:val="20"/>
          <w:szCs w:val="20"/>
        </w:rPr>
      </w:pPr>
    </w:p>
    <w:p w14:paraId="0D680BF0" w14:textId="379448A6" w:rsidR="005D0164" w:rsidRPr="00FC5064" w:rsidRDefault="002643DD" w:rsidP="005D0164">
      <w:pPr>
        <w:autoSpaceDE w:val="0"/>
        <w:autoSpaceDN w:val="0"/>
        <w:adjustRightInd w:val="0"/>
        <w:spacing w:after="0" w:line="240" w:lineRule="auto"/>
        <w:jc w:val="both"/>
        <w:rPr>
          <w:rFonts w:ascii="Arial" w:eastAsia="Times New Roman" w:hAnsi="Arial" w:cs="Arial"/>
          <w:sz w:val="20"/>
          <w:szCs w:val="20"/>
        </w:rPr>
      </w:pPr>
      <w:r w:rsidRPr="00FC5064">
        <w:rPr>
          <w:rFonts w:ascii="Arial" w:eastAsia="Times New Roman" w:hAnsi="Arial" w:cs="Arial"/>
          <w:sz w:val="20"/>
          <w:szCs w:val="20"/>
        </w:rPr>
        <w:t>U nastavku se u tablic</w:t>
      </w:r>
      <w:r w:rsidR="00065E3F" w:rsidRPr="00FC5064">
        <w:rPr>
          <w:rFonts w:ascii="Arial" w:eastAsia="Times New Roman" w:hAnsi="Arial" w:cs="Arial"/>
          <w:sz w:val="20"/>
          <w:szCs w:val="20"/>
        </w:rPr>
        <w:t>ama</w:t>
      </w:r>
      <w:r w:rsidRPr="00FC5064">
        <w:rPr>
          <w:rFonts w:ascii="Arial" w:eastAsia="Times New Roman" w:hAnsi="Arial" w:cs="Arial"/>
          <w:sz w:val="20"/>
          <w:szCs w:val="20"/>
        </w:rPr>
        <w:t xml:space="preserve"> </w:t>
      </w:r>
      <w:r w:rsidR="00065E3F" w:rsidRPr="00FC5064">
        <w:rPr>
          <w:rFonts w:ascii="Arial" w:eastAsia="Times New Roman" w:hAnsi="Arial" w:cs="Arial"/>
          <w:sz w:val="20"/>
          <w:szCs w:val="20"/>
        </w:rPr>
        <w:t>prikazuje</w:t>
      </w:r>
      <w:r w:rsidR="005D0164" w:rsidRPr="00FC5064">
        <w:rPr>
          <w:rFonts w:ascii="Arial" w:eastAsia="Times New Roman" w:hAnsi="Arial" w:cs="Arial"/>
          <w:sz w:val="20"/>
          <w:szCs w:val="20"/>
        </w:rPr>
        <w:t xml:space="preserve"> konsolidiran</w:t>
      </w:r>
      <w:r w:rsidR="00065E3F" w:rsidRPr="00FC5064">
        <w:rPr>
          <w:rFonts w:ascii="Arial" w:eastAsia="Times New Roman" w:hAnsi="Arial" w:cs="Arial"/>
          <w:sz w:val="20"/>
          <w:szCs w:val="20"/>
        </w:rPr>
        <w:t>a</w:t>
      </w:r>
      <w:r w:rsidR="005D0164" w:rsidRPr="00FC5064">
        <w:rPr>
          <w:rFonts w:ascii="Arial" w:eastAsia="Times New Roman" w:hAnsi="Arial" w:cs="Arial"/>
          <w:sz w:val="20"/>
          <w:szCs w:val="20"/>
        </w:rPr>
        <w:t xml:space="preserve"> imovin</w:t>
      </w:r>
      <w:r w:rsidR="00065E3F" w:rsidRPr="00FC5064">
        <w:rPr>
          <w:rFonts w:ascii="Arial" w:eastAsia="Times New Roman" w:hAnsi="Arial" w:cs="Arial"/>
          <w:sz w:val="20"/>
          <w:szCs w:val="20"/>
        </w:rPr>
        <w:t>a</w:t>
      </w:r>
      <w:r w:rsidR="005D0164" w:rsidRPr="00FC5064">
        <w:rPr>
          <w:rFonts w:ascii="Arial" w:eastAsia="Times New Roman" w:hAnsi="Arial" w:cs="Arial"/>
          <w:sz w:val="20"/>
          <w:szCs w:val="20"/>
        </w:rPr>
        <w:t xml:space="preserve"> na dan 31.12.202</w:t>
      </w:r>
      <w:r w:rsidR="0027369E">
        <w:rPr>
          <w:rFonts w:ascii="Arial" w:eastAsia="Times New Roman" w:hAnsi="Arial" w:cs="Arial"/>
          <w:sz w:val="20"/>
          <w:szCs w:val="20"/>
        </w:rPr>
        <w:t>4</w:t>
      </w:r>
      <w:r w:rsidR="005D0164" w:rsidRPr="00FC5064">
        <w:rPr>
          <w:rFonts w:ascii="Arial" w:eastAsia="Times New Roman" w:hAnsi="Arial" w:cs="Arial"/>
          <w:sz w:val="20"/>
          <w:szCs w:val="20"/>
        </w:rPr>
        <w:t>.</w:t>
      </w:r>
      <w:r w:rsidR="00EF1EAC" w:rsidRPr="00FC5064">
        <w:rPr>
          <w:rFonts w:ascii="Arial" w:eastAsia="Times New Roman" w:hAnsi="Arial" w:cs="Arial"/>
          <w:sz w:val="20"/>
          <w:szCs w:val="20"/>
        </w:rPr>
        <w:t xml:space="preserve"> (odnosno 1.1.202</w:t>
      </w:r>
      <w:r w:rsidR="0027369E">
        <w:rPr>
          <w:rFonts w:ascii="Arial" w:eastAsia="Times New Roman" w:hAnsi="Arial" w:cs="Arial"/>
          <w:sz w:val="20"/>
          <w:szCs w:val="20"/>
        </w:rPr>
        <w:t>5</w:t>
      </w:r>
      <w:r w:rsidR="00EF1EAC" w:rsidRPr="00FC5064">
        <w:rPr>
          <w:rFonts w:ascii="Arial" w:eastAsia="Times New Roman" w:hAnsi="Arial" w:cs="Arial"/>
          <w:sz w:val="20"/>
          <w:szCs w:val="20"/>
        </w:rPr>
        <w:t>.)</w:t>
      </w:r>
      <w:r w:rsidR="005D0164" w:rsidRPr="00FC5064">
        <w:rPr>
          <w:rFonts w:ascii="Arial" w:eastAsia="Times New Roman" w:hAnsi="Arial" w:cs="Arial"/>
          <w:sz w:val="20"/>
          <w:szCs w:val="20"/>
        </w:rPr>
        <w:t xml:space="preserve"> i na dan </w:t>
      </w:r>
      <w:r w:rsidRPr="00FC5064">
        <w:rPr>
          <w:rFonts w:ascii="Arial" w:eastAsia="Times New Roman" w:hAnsi="Arial" w:cs="Arial"/>
          <w:sz w:val="20"/>
          <w:szCs w:val="20"/>
        </w:rPr>
        <w:t>31.12</w:t>
      </w:r>
      <w:r w:rsidR="00C64EF0" w:rsidRPr="00FC5064">
        <w:rPr>
          <w:rFonts w:ascii="Arial" w:eastAsia="Times New Roman" w:hAnsi="Arial" w:cs="Arial"/>
          <w:sz w:val="20"/>
          <w:szCs w:val="20"/>
        </w:rPr>
        <w:t>.202</w:t>
      </w:r>
      <w:r w:rsidR="0027369E">
        <w:rPr>
          <w:rFonts w:ascii="Arial" w:eastAsia="Times New Roman" w:hAnsi="Arial" w:cs="Arial"/>
          <w:sz w:val="20"/>
          <w:szCs w:val="20"/>
        </w:rPr>
        <w:t>5</w:t>
      </w:r>
      <w:r w:rsidR="005D0164" w:rsidRPr="00FC5064">
        <w:rPr>
          <w:rFonts w:ascii="Arial" w:eastAsia="Times New Roman" w:hAnsi="Arial" w:cs="Arial"/>
          <w:sz w:val="20"/>
          <w:szCs w:val="20"/>
        </w:rPr>
        <w:t xml:space="preserve">., </w:t>
      </w:r>
      <w:r w:rsidR="00065E3F" w:rsidRPr="00FC5064">
        <w:rPr>
          <w:rFonts w:ascii="Arial" w:eastAsia="Times New Roman" w:hAnsi="Arial" w:cs="Arial"/>
          <w:sz w:val="20"/>
          <w:szCs w:val="20"/>
        </w:rPr>
        <w:t>zatim</w:t>
      </w:r>
      <w:r w:rsidR="005D0164" w:rsidRPr="00FC5064">
        <w:rPr>
          <w:rFonts w:ascii="Arial" w:eastAsia="Times New Roman" w:hAnsi="Arial" w:cs="Arial"/>
          <w:sz w:val="20"/>
          <w:szCs w:val="20"/>
        </w:rPr>
        <w:t xml:space="preserve"> konsolidiran</w:t>
      </w:r>
      <w:r w:rsidR="00065E3F" w:rsidRPr="00FC5064">
        <w:rPr>
          <w:rFonts w:ascii="Arial" w:eastAsia="Times New Roman" w:hAnsi="Arial" w:cs="Arial"/>
          <w:sz w:val="20"/>
          <w:szCs w:val="20"/>
        </w:rPr>
        <w:t>e</w:t>
      </w:r>
      <w:r w:rsidR="005D0164" w:rsidRPr="00FC5064">
        <w:rPr>
          <w:rFonts w:ascii="Arial" w:eastAsia="Times New Roman" w:hAnsi="Arial" w:cs="Arial"/>
          <w:sz w:val="20"/>
          <w:szCs w:val="20"/>
        </w:rPr>
        <w:t xml:space="preserve"> obvez</w:t>
      </w:r>
      <w:r w:rsidR="00065E3F" w:rsidRPr="00FC5064">
        <w:rPr>
          <w:rFonts w:ascii="Arial" w:eastAsia="Times New Roman" w:hAnsi="Arial" w:cs="Arial"/>
          <w:sz w:val="20"/>
          <w:szCs w:val="20"/>
        </w:rPr>
        <w:t>e</w:t>
      </w:r>
      <w:r w:rsidR="005D0164" w:rsidRPr="00FC5064">
        <w:rPr>
          <w:rFonts w:ascii="Arial" w:eastAsia="Times New Roman" w:hAnsi="Arial" w:cs="Arial"/>
          <w:sz w:val="20"/>
          <w:szCs w:val="20"/>
        </w:rPr>
        <w:t xml:space="preserve"> i vlastit</w:t>
      </w:r>
      <w:r w:rsidR="00065E3F" w:rsidRPr="00FC5064">
        <w:rPr>
          <w:rFonts w:ascii="Arial" w:eastAsia="Times New Roman" w:hAnsi="Arial" w:cs="Arial"/>
          <w:sz w:val="20"/>
          <w:szCs w:val="20"/>
        </w:rPr>
        <w:t>i</w:t>
      </w:r>
      <w:r w:rsidR="005D0164" w:rsidRPr="00FC5064">
        <w:rPr>
          <w:rFonts w:ascii="Arial" w:eastAsia="Times New Roman" w:hAnsi="Arial" w:cs="Arial"/>
          <w:sz w:val="20"/>
          <w:szCs w:val="20"/>
        </w:rPr>
        <w:t xml:space="preserve"> izvor</w:t>
      </w:r>
      <w:r w:rsidR="00065E3F" w:rsidRPr="00FC5064">
        <w:rPr>
          <w:rFonts w:ascii="Arial" w:eastAsia="Times New Roman" w:hAnsi="Arial" w:cs="Arial"/>
          <w:sz w:val="20"/>
          <w:szCs w:val="20"/>
        </w:rPr>
        <w:t>i</w:t>
      </w:r>
      <w:r w:rsidR="005D0164" w:rsidRPr="00FC5064">
        <w:rPr>
          <w:rFonts w:ascii="Arial" w:eastAsia="Times New Roman" w:hAnsi="Arial" w:cs="Arial"/>
          <w:sz w:val="20"/>
          <w:szCs w:val="20"/>
        </w:rPr>
        <w:t xml:space="preserve"> na dan 31.12.202</w:t>
      </w:r>
      <w:r w:rsidR="0027369E">
        <w:rPr>
          <w:rFonts w:ascii="Arial" w:eastAsia="Times New Roman" w:hAnsi="Arial" w:cs="Arial"/>
          <w:sz w:val="20"/>
          <w:szCs w:val="20"/>
        </w:rPr>
        <w:t>4</w:t>
      </w:r>
      <w:r w:rsidR="005D0164" w:rsidRPr="00FC5064">
        <w:rPr>
          <w:rFonts w:ascii="Arial" w:eastAsia="Times New Roman" w:hAnsi="Arial" w:cs="Arial"/>
          <w:sz w:val="20"/>
          <w:szCs w:val="20"/>
        </w:rPr>
        <w:t>.</w:t>
      </w:r>
      <w:r w:rsidR="00EF1EAC" w:rsidRPr="00FC5064">
        <w:rPr>
          <w:rFonts w:ascii="Arial" w:eastAsia="Times New Roman" w:hAnsi="Arial" w:cs="Arial"/>
          <w:sz w:val="20"/>
          <w:szCs w:val="20"/>
        </w:rPr>
        <w:t xml:space="preserve"> (odnosno 1.1.20</w:t>
      </w:r>
      <w:r w:rsidR="00C64EF0" w:rsidRPr="00FC5064">
        <w:rPr>
          <w:rFonts w:ascii="Arial" w:eastAsia="Times New Roman" w:hAnsi="Arial" w:cs="Arial"/>
          <w:sz w:val="20"/>
          <w:szCs w:val="20"/>
        </w:rPr>
        <w:t>2</w:t>
      </w:r>
      <w:r w:rsidR="00FC5064" w:rsidRPr="00FC5064">
        <w:rPr>
          <w:rFonts w:ascii="Arial" w:eastAsia="Times New Roman" w:hAnsi="Arial" w:cs="Arial"/>
          <w:sz w:val="20"/>
          <w:szCs w:val="20"/>
        </w:rPr>
        <w:t>5</w:t>
      </w:r>
      <w:r w:rsidR="00EF1EAC" w:rsidRPr="00FC5064">
        <w:rPr>
          <w:rFonts w:ascii="Arial" w:eastAsia="Times New Roman" w:hAnsi="Arial" w:cs="Arial"/>
          <w:sz w:val="20"/>
          <w:szCs w:val="20"/>
        </w:rPr>
        <w:t>.)</w:t>
      </w:r>
      <w:r w:rsidR="005D0164" w:rsidRPr="00FC5064">
        <w:rPr>
          <w:rFonts w:ascii="Arial" w:eastAsia="Times New Roman" w:hAnsi="Arial" w:cs="Arial"/>
          <w:sz w:val="20"/>
          <w:szCs w:val="20"/>
        </w:rPr>
        <w:t xml:space="preserve"> i na dan </w:t>
      </w:r>
      <w:r w:rsidR="0027369E">
        <w:rPr>
          <w:rFonts w:ascii="Arial" w:eastAsia="Times New Roman" w:hAnsi="Arial" w:cs="Arial"/>
          <w:sz w:val="20"/>
          <w:szCs w:val="20"/>
        </w:rPr>
        <w:t>31.12.</w:t>
      </w:r>
      <w:r w:rsidR="00FC5064" w:rsidRPr="00FC5064">
        <w:rPr>
          <w:rFonts w:ascii="Arial" w:eastAsia="Times New Roman" w:hAnsi="Arial" w:cs="Arial"/>
          <w:sz w:val="20"/>
          <w:szCs w:val="20"/>
        </w:rPr>
        <w:t>202</w:t>
      </w:r>
      <w:r w:rsidR="0027369E">
        <w:rPr>
          <w:rFonts w:ascii="Arial" w:eastAsia="Times New Roman" w:hAnsi="Arial" w:cs="Arial"/>
          <w:sz w:val="20"/>
          <w:szCs w:val="20"/>
        </w:rPr>
        <w:t>5</w:t>
      </w:r>
      <w:r w:rsidR="005D0164" w:rsidRPr="00FC5064">
        <w:rPr>
          <w:rFonts w:ascii="Arial" w:eastAsia="Times New Roman" w:hAnsi="Arial" w:cs="Arial"/>
          <w:sz w:val="20"/>
          <w:szCs w:val="20"/>
        </w:rPr>
        <w:t>., te dvije tablice u kojoj se daje usporedni prikaz imovine, te obveza i vlastitih izvora za općinu, ukupno konsolidirano, te razlika iskazanih iznosa koji se odnosi na vrijednost imovine, te obveza i vlastitih izvora sva četiri proračunska korisnika zajedno.</w:t>
      </w:r>
    </w:p>
    <w:p w14:paraId="6F052939" w14:textId="77777777" w:rsidR="000E3305" w:rsidRPr="00FC5064" w:rsidRDefault="000E3305" w:rsidP="000650E1">
      <w:pPr>
        <w:autoSpaceDE w:val="0"/>
        <w:autoSpaceDN w:val="0"/>
        <w:adjustRightInd w:val="0"/>
        <w:spacing w:after="0" w:line="240" w:lineRule="auto"/>
        <w:jc w:val="both"/>
        <w:rPr>
          <w:rFonts w:ascii="Arial" w:eastAsia="Times New Roman" w:hAnsi="Arial" w:cs="Arial"/>
        </w:rPr>
      </w:pPr>
    </w:p>
    <w:p w14:paraId="288462A0" w14:textId="77777777" w:rsidR="000650E1" w:rsidRPr="00AC4C54" w:rsidRDefault="000650E1" w:rsidP="000650E1">
      <w:pPr>
        <w:pBdr>
          <w:top w:val="dotted" w:sz="4" w:space="1" w:color="auto"/>
          <w:left w:val="dotted" w:sz="4" w:space="4" w:color="auto"/>
          <w:bottom w:val="dotted" w:sz="4" w:space="1" w:color="auto"/>
          <w:right w:val="dotted" w:sz="4" w:space="4" w:color="auto"/>
        </w:pBdr>
        <w:shd w:val="clear" w:color="auto" w:fill="BFBFBF"/>
        <w:spacing w:after="0" w:line="240" w:lineRule="auto"/>
        <w:jc w:val="both"/>
        <w:rPr>
          <w:rFonts w:ascii="Arial" w:eastAsia="Times New Roman" w:hAnsi="Arial" w:cs="Arial"/>
          <w:b/>
          <w:sz w:val="20"/>
          <w:szCs w:val="18"/>
          <w:lang w:eastAsia="en-US"/>
        </w:rPr>
      </w:pPr>
      <w:r w:rsidRPr="00AC4C54">
        <w:rPr>
          <w:rFonts w:ascii="Arial" w:eastAsia="Times New Roman" w:hAnsi="Arial" w:cs="Arial"/>
          <w:b/>
          <w:sz w:val="20"/>
          <w:szCs w:val="18"/>
          <w:lang w:eastAsia="en-US"/>
        </w:rPr>
        <w:t>1.</w:t>
      </w:r>
      <w:r w:rsidRPr="00AC4C54">
        <w:rPr>
          <w:rFonts w:ascii="Arial" w:eastAsia="Times New Roman" w:hAnsi="Arial" w:cs="Arial"/>
          <w:b/>
          <w:sz w:val="20"/>
          <w:szCs w:val="18"/>
          <w:lang w:eastAsia="en-US"/>
        </w:rPr>
        <w:tab/>
        <w:t xml:space="preserve">Konsolidirana bilanca - IMOVINA </w:t>
      </w:r>
    </w:p>
    <w:p w14:paraId="29807E45" w14:textId="77777777" w:rsidR="00C327CE" w:rsidRPr="003A2F86" w:rsidRDefault="00C327CE" w:rsidP="000650E1">
      <w:pPr>
        <w:autoSpaceDE w:val="0"/>
        <w:autoSpaceDN w:val="0"/>
        <w:adjustRightInd w:val="0"/>
        <w:spacing w:after="0" w:line="240" w:lineRule="auto"/>
        <w:jc w:val="both"/>
        <w:rPr>
          <w:rFonts w:ascii="Arial" w:eastAsia="Times New Roman" w:hAnsi="Arial" w:cs="Arial"/>
        </w:rPr>
      </w:pPr>
    </w:p>
    <w:p w14:paraId="1F5E975F" w14:textId="278A5304" w:rsidR="00AC4C54" w:rsidRDefault="0027369E" w:rsidP="00065E3F">
      <w:pPr>
        <w:autoSpaceDE w:val="0"/>
        <w:autoSpaceDN w:val="0"/>
        <w:adjustRightInd w:val="0"/>
        <w:spacing w:after="0" w:line="240" w:lineRule="auto"/>
        <w:jc w:val="center"/>
        <w:rPr>
          <w:rFonts w:ascii="Arial" w:eastAsia="Times New Roman" w:hAnsi="Arial" w:cs="Arial"/>
        </w:rPr>
      </w:pPr>
      <w:r w:rsidRPr="0027369E">
        <w:rPr>
          <w:noProof/>
        </w:rPr>
        <w:drawing>
          <wp:inline distT="0" distB="0" distL="0" distR="0" wp14:anchorId="4DB5235C" wp14:editId="7C280D12">
            <wp:extent cx="6391910" cy="2682875"/>
            <wp:effectExtent l="0" t="0" r="8890" b="3175"/>
            <wp:docPr id="135179181"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6391910" cy="2682875"/>
                    </a:xfrm>
                    <a:prstGeom prst="rect">
                      <a:avLst/>
                    </a:prstGeom>
                    <a:noFill/>
                    <a:ln>
                      <a:noFill/>
                    </a:ln>
                  </pic:spPr>
                </pic:pic>
              </a:graphicData>
            </a:graphic>
          </wp:inline>
        </w:drawing>
      </w:r>
    </w:p>
    <w:p w14:paraId="1565A45E" w14:textId="77777777" w:rsidR="00AC4C54" w:rsidRDefault="00AC4C54" w:rsidP="00065E3F">
      <w:pPr>
        <w:autoSpaceDE w:val="0"/>
        <w:autoSpaceDN w:val="0"/>
        <w:adjustRightInd w:val="0"/>
        <w:spacing w:after="0" w:line="240" w:lineRule="auto"/>
        <w:jc w:val="center"/>
        <w:rPr>
          <w:rFonts w:ascii="Arial" w:eastAsia="Times New Roman" w:hAnsi="Arial" w:cs="Arial"/>
        </w:rPr>
      </w:pPr>
    </w:p>
    <w:p w14:paraId="61B3A5FA" w14:textId="77777777" w:rsidR="00FC5064" w:rsidRDefault="00FC5064" w:rsidP="00065E3F">
      <w:pPr>
        <w:autoSpaceDE w:val="0"/>
        <w:autoSpaceDN w:val="0"/>
        <w:adjustRightInd w:val="0"/>
        <w:spacing w:after="0" w:line="240" w:lineRule="auto"/>
        <w:jc w:val="center"/>
        <w:rPr>
          <w:rFonts w:ascii="Arial" w:eastAsia="Times New Roman" w:hAnsi="Arial" w:cs="Arial"/>
        </w:rPr>
      </w:pPr>
    </w:p>
    <w:p w14:paraId="238ECD4B" w14:textId="77777777" w:rsidR="0027369E" w:rsidRDefault="0027369E" w:rsidP="00065E3F">
      <w:pPr>
        <w:autoSpaceDE w:val="0"/>
        <w:autoSpaceDN w:val="0"/>
        <w:adjustRightInd w:val="0"/>
        <w:spacing w:after="0" w:line="240" w:lineRule="auto"/>
        <w:jc w:val="center"/>
        <w:rPr>
          <w:rFonts w:ascii="Arial" w:eastAsia="Times New Roman" w:hAnsi="Arial" w:cs="Arial"/>
        </w:rPr>
      </w:pPr>
    </w:p>
    <w:p w14:paraId="4D4CE24A" w14:textId="77777777" w:rsidR="0027369E" w:rsidRDefault="0027369E" w:rsidP="00065E3F">
      <w:pPr>
        <w:autoSpaceDE w:val="0"/>
        <w:autoSpaceDN w:val="0"/>
        <w:adjustRightInd w:val="0"/>
        <w:spacing w:after="0" w:line="240" w:lineRule="auto"/>
        <w:jc w:val="center"/>
        <w:rPr>
          <w:rFonts w:ascii="Arial" w:eastAsia="Times New Roman" w:hAnsi="Arial" w:cs="Arial"/>
        </w:rPr>
      </w:pPr>
    </w:p>
    <w:p w14:paraId="6D5A7D69" w14:textId="77777777" w:rsidR="00FC5064" w:rsidRDefault="00FC5064" w:rsidP="00A264B7">
      <w:pPr>
        <w:autoSpaceDE w:val="0"/>
        <w:autoSpaceDN w:val="0"/>
        <w:adjustRightInd w:val="0"/>
        <w:spacing w:after="0" w:line="240" w:lineRule="auto"/>
        <w:jc w:val="center"/>
        <w:rPr>
          <w:rFonts w:ascii="Arial" w:eastAsia="Times New Roman" w:hAnsi="Arial" w:cs="Arial"/>
        </w:rPr>
      </w:pPr>
    </w:p>
    <w:p w14:paraId="049EDE0E" w14:textId="77777777" w:rsidR="00065E3F" w:rsidRDefault="00065E3F" w:rsidP="00065E3F">
      <w:pPr>
        <w:autoSpaceDE w:val="0"/>
        <w:autoSpaceDN w:val="0"/>
        <w:adjustRightInd w:val="0"/>
        <w:spacing w:after="0" w:line="240" w:lineRule="auto"/>
        <w:jc w:val="center"/>
        <w:rPr>
          <w:rFonts w:ascii="Arial" w:eastAsia="Times New Roman" w:hAnsi="Arial" w:cs="Arial"/>
        </w:rPr>
      </w:pPr>
    </w:p>
    <w:p w14:paraId="2FEB1EC9" w14:textId="77777777" w:rsidR="00065E3F" w:rsidRPr="003A2F86" w:rsidRDefault="00065E3F" w:rsidP="00065E3F">
      <w:pPr>
        <w:autoSpaceDE w:val="0"/>
        <w:autoSpaceDN w:val="0"/>
        <w:adjustRightInd w:val="0"/>
        <w:spacing w:after="0" w:line="240" w:lineRule="auto"/>
        <w:jc w:val="center"/>
        <w:rPr>
          <w:rFonts w:ascii="Arial" w:eastAsia="Times New Roman" w:hAnsi="Arial" w:cs="Arial"/>
        </w:rPr>
      </w:pPr>
    </w:p>
    <w:p w14:paraId="57F074CE" w14:textId="77777777" w:rsidR="000650E1" w:rsidRPr="00AC4C54" w:rsidRDefault="000650E1" w:rsidP="000650E1">
      <w:pPr>
        <w:pBdr>
          <w:top w:val="dotted" w:sz="4" w:space="1" w:color="auto"/>
          <w:left w:val="dotted" w:sz="4" w:space="4" w:color="auto"/>
          <w:bottom w:val="dotted" w:sz="4" w:space="1" w:color="auto"/>
          <w:right w:val="dotted" w:sz="4" w:space="4" w:color="auto"/>
        </w:pBdr>
        <w:shd w:val="clear" w:color="auto" w:fill="BFBFBF"/>
        <w:spacing w:after="0" w:line="240" w:lineRule="auto"/>
        <w:jc w:val="both"/>
        <w:rPr>
          <w:rFonts w:ascii="Arial" w:eastAsia="Times New Roman" w:hAnsi="Arial" w:cs="Arial"/>
          <w:b/>
          <w:sz w:val="20"/>
          <w:szCs w:val="18"/>
          <w:lang w:eastAsia="en-US"/>
        </w:rPr>
      </w:pPr>
      <w:r w:rsidRPr="00AC4C54">
        <w:rPr>
          <w:rFonts w:ascii="Arial" w:eastAsia="Times New Roman" w:hAnsi="Arial" w:cs="Arial"/>
          <w:b/>
          <w:sz w:val="20"/>
          <w:szCs w:val="18"/>
          <w:lang w:eastAsia="en-US"/>
        </w:rPr>
        <w:lastRenderedPageBreak/>
        <w:t>2.</w:t>
      </w:r>
      <w:r w:rsidRPr="00AC4C54">
        <w:rPr>
          <w:rFonts w:ascii="Arial" w:eastAsia="Times New Roman" w:hAnsi="Arial" w:cs="Arial"/>
          <w:b/>
          <w:sz w:val="20"/>
          <w:szCs w:val="18"/>
          <w:lang w:eastAsia="en-US"/>
        </w:rPr>
        <w:tab/>
        <w:t xml:space="preserve">Konsolidirana bilanca - OBVEZE I VLASTITI IZVORI </w:t>
      </w:r>
    </w:p>
    <w:p w14:paraId="5AC657EB" w14:textId="77777777" w:rsidR="00C327CE" w:rsidRDefault="00C327CE" w:rsidP="00C327CE">
      <w:pPr>
        <w:spacing w:after="0" w:line="240" w:lineRule="auto"/>
        <w:jc w:val="both"/>
        <w:rPr>
          <w:rFonts w:ascii="Arial" w:eastAsia="Times New Roman" w:hAnsi="Arial" w:cs="Arial"/>
          <w:iCs/>
          <w:lang w:eastAsia="en-US"/>
        </w:rPr>
      </w:pPr>
    </w:p>
    <w:p w14:paraId="6FA2A361" w14:textId="69FEC275" w:rsidR="00065E3F" w:rsidRDefault="00065E3F" w:rsidP="00065E3F">
      <w:pPr>
        <w:spacing w:after="0" w:line="240" w:lineRule="auto"/>
        <w:jc w:val="center"/>
        <w:rPr>
          <w:rFonts w:ascii="Arial" w:eastAsia="Times New Roman" w:hAnsi="Arial" w:cs="Arial"/>
          <w:iCs/>
          <w:lang w:eastAsia="en-US"/>
        </w:rPr>
      </w:pPr>
    </w:p>
    <w:p w14:paraId="12CC0BB8" w14:textId="5343C58E" w:rsidR="0027369E" w:rsidRDefault="0027369E" w:rsidP="00065E3F">
      <w:pPr>
        <w:spacing w:after="0" w:line="240" w:lineRule="auto"/>
        <w:jc w:val="center"/>
        <w:rPr>
          <w:rFonts w:ascii="Arial" w:eastAsia="Times New Roman" w:hAnsi="Arial" w:cs="Arial"/>
          <w:iCs/>
          <w:lang w:eastAsia="en-US"/>
        </w:rPr>
      </w:pPr>
      <w:r w:rsidRPr="0027369E">
        <w:rPr>
          <w:noProof/>
        </w:rPr>
        <w:drawing>
          <wp:inline distT="0" distB="0" distL="0" distR="0" wp14:anchorId="225B4B66" wp14:editId="71A49DB9">
            <wp:extent cx="5822950" cy="2380615"/>
            <wp:effectExtent l="0" t="0" r="6350" b="635"/>
            <wp:docPr id="1401159237"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822950" cy="2380615"/>
                    </a:xfrm>
                    <a:prstGeom prst="rect">
                      <a:avLst/>
                    </a:prstGeom>
                    <a:noFill/>
                    <a:ln>
                      <a:noFill/>
                    </a:ln>
                  </pic:spPr>
                </pic:pic>
              </a:graphicData>
            </a:graphic>
          </wp:inline>
        </w:drawing>
      </w:r>
    </w:p>
    <w:p w14:paraId="5D2D86DF" w14:textId="77777777" w:rsidR="00065E3F" w:rsidRPr="003A2F86" w:rsidRDefault="00065E3F" w:rsidP="00C327CE">
      <w:pPr>
        <w:spacing w:after="0" w:line="240" w:lineRule="auto"/>
        <w:jc w:val="both"/>
        <w:rPr>
          <w:rFonts w:ascii="Arial" w:eastAsia="Times New Roman" w:hAnsi="Arial" w:cs="Arial"/>
          <w:iCs/>
          <w:lang w:eastAsia="en-US"/>
        </w:rPr>
      </w:pPr>
    </w:p>
    <w:p w14:paraId="3FB11B76" w14:textId="77777777" w:rsidR="000650E1" w:rsidRPr="00AC4C54" w:rsidRDefault="000650E1" w:rsidP="000650E1">
      <w:pPr>
        <w:pBdr>
          <w:top w:val="dotted" w:sz="4" w:space="1" w:color="auto"/>
          <w:left w:val="dotted" w:sz="4" w:space="4" w:color="auto"/>
          <w:bottom w:val="dotted" w:sz="4" w:space="1" w:color="auto"/>
          <w:right w:val="dotted" w:sz="4" w:space="4" w:color="auto"/>
        </w:pBdr>
        <w:shd w:val="clear" w:color="auto" w:fill="BFBFBF"/>
        <w:spacing w:after="0" w:line="240" w:lineRule="auto"/>
        <w:jc w:val="both"/>
        <w:rPr>
          <w:rFonts w:ascii="Arial" w:eastAsia="Times New Roman" w:hAnsi="Arial" w:cs="Arial"/>
          <w:b/>
          <w:sz w:val="20"/>
          <w:szCs w:val="18"/>
          <w:lang w:eastAsia="en-US"/>
        </w:rPr>
      </w:pPr>
      <w:r w:rsidRPr="00AC4C54">
        <w:rPr>
          <w:rFonts w:ascii="Arial" w:eastAsia="Times New Roman" w:hAnsi="Arial" w:cs="Arial"/>
          <w:b/>
          <w:sz w:val="20"/>
          <w:szCs w:val="18"/>
          <w:lang w:eastAsia="en-US"/>
        </w:rPr>
        <w:t>3.</w:t>
      </w:r>
      <w:r w:rsidRPr="00AC4C54">
        <w:rPr>
          <w:rFonts w:ascii="Arial" w:eastAsia="Times New Roman" w:hAnsi="Arial" w:cs="Arial"/>
          <w:b/>
          <w:sz w:val="20"/>
          <w:szCs w:val="18"/>
          <w:lang w:eastAsia="en-US"/>
        </w:rPr>
        <w:tab/>
        <w:t xml:space="preserve">IMOVINA – Usporedni prikaz vrijednosti imovine Općine, ukupne vrijednosti imovine iz konsolidirane bilance, te vrijednosti imovine svih proračunskih korisnika </w:t>
      </w:r>
    </w:p>
    <w:p w14:paraId="585BB319" w14:textId="77777777" w:rsidR="00C327CE" w:rsidRDefault="00C327CE" w:rsidP="000650E1">
      <w:pPr>
        <w:spacing w:after="0" w:line="240" w:lineRule="auto"/>
        <w:jc w:val="both"/>
        <w:rPr>
          <w:rFonts w:ascii="Arial" w:eastAsia="Times New Roman" w:hAnsi="Arial" w:cs="Arial"/>
          <w:iCs/>
          <w:lang w:eastAsia="en-US"/>
        </w:rPr>
      </w:pPr>
    </w:p>
    <w:p w14:paraId="07B8A210" w14:textId="3D37F1FC" w:rsidR="0027369E" w:rsidRDefault="00F55BBC" w:rsidP="00065E3F">
      <w:pPr>
        <w:spacing w:after="0" w:line="240" w:lineRule="auto"/>
        <w:jc w:val="center"/>
        <w:rPr>
          <w:noProof/>
        </w:rPr>
      </w:pPr>
      <w:r w:rsidRPr="00F55BBC">
        <w:rPr>
          <w:noProof/>
        </w:rPr>
        <w:drawing>
          <wp:inline distT="0" distB="0" distL="0" distR="0" wp14:anchorId="7108EC22" wp14:editId="65802B43">
            <wp:extent cx="5795750" cy="2432649"/>
            <wp:effectExtent l="0" t="0" r="0" b="6350"/>
            <wp:docPr id="967061477"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797599" cy="2433425"/>
                    </a:xfrm>
                    <a:prstGeom prst="rect">
                      <a:avLst/>
                    </a:prstGeom>
                    <a:noFill/>
                    <a:ln>
                      <a:noFill/>
                    </a:ln>
                  </pic:spPr>
                </pic:pic>
              </a:graphicData>
            </a:graphic>
          </wp:inline>
        </w:drawing>
      </w:r>
    </w:p>
    <w:p w14:paraId="6656DB9D" w14:textId="77777777" w:rsidR="00C327CE" w:rsidRDefault="00C327CE" w:rsidP="000650E1">
      <w:pPr>
        <w:spacing w:after="0" w:line="240" w:lineRule="auto"/>
        <w:jc w:val="both"/>
        <w:rPr>
          <w:rFonts w:ascii="Arial" w:eastAsia="Times New Roman" w:hAnsi="Arial" w:cs="Arial"/>
          <w:iCs/>
          <w:lang w:eastAsia="en-US"/>
        </w:rPr>
      </w:pPr>
    </w:p>
    <w:p w14:paraId="08E87959" w14:textId="77777777" w:rsidR="000650E1" w:rsidRPr="00AC4C54" w:rsidRDefault="000650E1" w:rsidP="000650E1">
      <w:pPr>
        <w:pBdr>
          <w:top w:val="dotted" w:sz="4" w:space="1" w:color="auto"/>
          <w:left w:val="dotted" w:sz="4" w:space="4" w:color="auto"/>
          <w:bottom w:val="dotted" w:sz="4" w:space="1" w:color="auto"/>
          <w:right w:val="dotted" w:sz="4" w:space="4" w:color="auto"/>
        </w:pBdr>
        <w:shd w:val="clear" w:color="auto" w:fill="BFBFBF"/>
        <w:spacing w:after="0" w:line="240" w:lineRule="auto"/>
        <w:jc w:val="both"/>
        <w:rPr>
          <w:rFonts w:ascii="Arial" w:eastAsia="Times New Roman" w:hAnsi="Arial" w:cs="Arial"/>
          <w:b/>
          <w:sz w:val="20"/>
          <w:szCs w:val="18"/>
          <w:lang w:eastAsia="en-US"/>
        </w:rPr>
      </w:pPr>
      <w:r w:rsidRPr="00AC4C54">
        <w:rPr>
          <w:rFonts w:ascii="Arial" w:eastAsia="Times New Roman" w:hAnsi="Arial" w:cs="Arial"/>
          <w:b/>
          <w:sz w:val="20"/>
          <w:szCs w:val="18"/>
          <w:lang w:eastAsia="en-US"/>
        </w:rPr>
        <w:t>4.</w:t>
      </w:r>
      <w:r w:rsidRPr="00AC4C54">
        <w:rPr>
          <w:rFonts w:ascii="Arial" w:eastAsia="Times New Roman" w:hAnsi="Arial" w:cs="Arial"/>
          <w:b/>
          <w:sz w:val="20"/>
          <w:szCs w:val="18"/>
          <w:lang w:eastAsia="en-US"/>
        </w:rPr>
        <w:tab/>
        <w:t xml:space="preserve">OBVEZE I VLASTITI IZVORI – Usporedni prikaz vrijednosti obveza i vlastitih izvora Općine, ukupne vrijednosti obveza i vlastitih izvora iz konsolidirane bilance, te vrijednosti obveza i vlastitih izvora svih proračunskih korisnika </w:t>
      </w:r>
    </w:p>
    <w:p w14:paraId="1F7A6D74" w14:textId="77777777" w:rsidR="00C327CE" w:rsidRDefault="00C327CE" w:rsidP="000650E1">
      <w:pPr>
        <w:autoSpaceDE w:val="0"/>
        <w:autoSpaceDN w:val="0"/>
        <w:adjustRightInd w:val="0"/>
        <w:spacing w:after="0" w:line="240" w:lineRule="auto"/>
        <w:jc w:val="both"/>
        <w:rPr>
          <w:rFonts w:ascii="Arial" w:eastAsia="Times New Roman" w:hAnsi="Arial" w:cs="Arial"/>
        </w:rPr>
      </w:pPr>
    </w:p>
    <w:p w14:paraId="782C0B0D" w14:textId="3843E7E2" w:rsidR="00F55BBC" w:rsidRPr="003A2F86" w:rsidRDefault="00F55BBC" w:rsidP="00065E3F">
      <w:pPr>
        <w:autoSpaceDE w:val="0"/>
        <w:autoSpaceDN w:val="0"/>
        <w:adjustRightInd w:val="0"/>
        <w:spacing w:after="0" w:line="240" w:lineRule="auto"/>
        <w:jc w:val="center"/>
        <w:rPr>
          <w:rFonts w:ascii="Arial" w:eastAsia="Times New Roman" w:hAnsi="Arial" w:cs="Arial"/>
        </w:rPr>
      </w:pPr>
      <w:r w:rsidRPr="00F55BBC">
        <w:rPr>
          <w:noProof/>
        </w:rPr>
        <w:drawing>
          <wp:inline distT="0" distB="0" distL="0" distR="0" wp14:anchorId="460AE542" wp14:editId="1848B491">
            <wp:extent cx="5106670" cy="2527300"/>
            <wp:effectExtent l="0" t="0" r="0" b="6350"/>
            <wp:docPr id="571081745"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106670" cy="2527300"/>
                    </a:xfrm>
                    <a:prstGeom prst="rect">
                      <a:avLst/>
                    </a:prstGeom>
                    <a:noFill/>
                    <a:ln>
                      <a:noFill/>
                    </a:ln>
                  </pic:spPr>
                </pic:pic>
              </a:graphicData>
            </a:graphic>
          </wp:inline>
        </w:drawing>
      </w:r>
    </w:p>
    <w:p w14:paraId="7D160E3C" w14:textId="77777777" w:rsidR="000650E1" w:rsidRPr="003A2F86" w:rsidRDefault="000650E1" w:rsidP="000650E1">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br w:type="page"/>
      </w:r>
    </w:p>
    <w:p w14:paraId="05FC7AFF" w14:textId="2870AB56" w:rsidR="00891119" w:rsidRPr="0028236A" w:rsidRDefault="006D222A" w:rsidP="00F02C0B">
      <w:pPr>
        <w:pStyle w:val="Naslov1"/>
        <w:rPr>
          <w:rFonts w:ascii="Arial" w:eastAsia="Calibri" w:hAnsi="Arial" w:cs="Arial"/>
          <w:sz w:val="22"/>
          <w:lang w:val="hr-HR"/>
        </w:rPr>
      </w:pPr>
      <w:bookmarkStart w:id="783" w:name="_8.__IZVADAK"/>
      <w:bookmarkStart w:id="784" w:name="_Toc232981511"/>
      <w:bookmarkEnd w:id="783"/>
      <w:r w:rsidRPr="0028236A">
        <w:rPr>
          <w:rFonts w:ascii="Arial" w:eastAsia="Calibri" w:hAnsi="Arial" w:cs="Arial"/>
          <w:sz w:val="22"/>
          <w:lang w:val="hr-HR"/>
        </w:rPr>
        <w:lastRenderedPageBreak/>
        <w:t>8</w:t>
      </w:r>
      <w:r w:rsidR="00891119" w:rsidRPr="0028236A">
        <w:rPr>
          <w:rFonts w:ascii="Arial" w:eastAsia="Calibri" w:hAnsi="Arial" w:cs="Arial"/>
          <w:sz w:val="22"/>
          <w:lang w:val="hr-HR"/>
        </w:rPr>
        <w:t xml:space="preserve">. </w:t>
      </w:r>
      <w:r w:rsidR="00891119" w:rsidRPr="0028236A">
        <w:rPr>
          <w:rFonts w:ascii="Arial" w:eastAsia="Calibri" w:hAnsi="Arial" w:cs="Arial"/>
          <w:sz w:val="22"/>
          <w:lang w:val="hr-HR"/>
        </w:rPr>
        <w:tab/>
      </w:r>
      <w:bookmarkStart w:id="785" w:name="Izvadak_projekata"/>
      <w:bookmarkEnd w:id="785"/>
      <w:r w:rsidR="005F34BC" w:rsidRPr="0028236A">
        <w:rPr>
          <w:rFonts w:ascii="Arial" w:eastAsia="Calibri" w:hAnsi="Arial" w:cs="Arial"/>
          <w:sz w:val="22"/>
          <w:lang w:val="hr-HR"/>
        </w:rPr>
        <w:t>IZVADAK</w:t>
      </w:r>
      <w:r w:rsidR="00891119" w:rsidRPr="0028236A">
        <w:rPr>
          <w:rFonts w:ascii="Arial" w:eastAsia="Calibri" w:hAnsi="Arial" w:cs="Arial"/>
          <w:sz w:val="22"/>
          <w:lang w:val="hr-HR"/>
        </w:rPr>
        <w:t xml:space="preserve"> </w:t>
      </w:r>
      <w:r w:rsidR="006F6963" w:rsidRPr="0028236A">
        <w:rPr>
          <w:rFonts w:ascii="Arial" w:eastAsia="Calibri" w:hAnsi="Arial" w:cs="Arial"/>
          <w:sz w:val="22"/>
          <w:lang w:val="hr-HR"/>
        </w:rPr>
        <w:t>PROJEKATA IZ</w:t>
      </w:r>
      <w:r w:rsidR="002E41AF" w:rsidRPr="0028236A">
        <w:rPr>
          <w:rFonts w:ascii="Arial" w:eastAsia="Calibri" w:hAnsi="Arial" w:cs="Arial"/>
          <w:sz w:val="22"/>
          <w:lang w:val="hr-HR"/>
        </w:rPr>
        <w:t xml:space="preserve"> STRATEŠKOG PLANA I</w:t>
      </w:r>
      <w:r w:rsidR="006F6963" w:rsidRPr="0028236A">
        <w:rPr>
          <w:rFonts w:ascii="Arial" w:eastAsia="Calibri" w:hAnsi="Arial" w:cs="Arial"/>
          <w:sz w:val="22"/>
          <w:lang w:val="hr-HR"/>
        </w:rPr>
        <w:t xml:space="preserve"> PROVEDBENOG PROGRAMA</w:t>
      </w:r>
      <w:bookmarkEnd w:id="784"/>
      <w:r w:rsidR="00D749EA" w:rsidRPr="0028236A">
        <w:rPr>
          <w:rFonts w:ascii="Arial" w:eastAsia="Calibri" w:hAnsi="Arial" w:cs="Arial"/>
          <w:sz w:val="22"/>
          <w:lang w:val="hr-HR"/>
        </w:rPr>
        <w:t xml:space="preserve"> </w:t>
      </w:r>
      <w:bookmarkEnd w:id="726"/>
    </w:p>
    <w:p w14:paraId="1D9ECB7E" w14:textId="77777777" w:rsidR="00D749EA" w:rsidRPr="0028236A" w:rsidRDefault="00D749EA" w:rsidP="006F6963">
      <w:pPr>
        <w:autoSpaceDE w:val="0"/>
        <w:autoSpaceDN w:val="0"/>
        <w:adjustRightInd w:val="0"/>
        <w:spacing w:after="0" w:line="240" w:lineRule="auto"/>
        <w:jc w:val="both"/>
        <w:rPr>
          <w:rFonts w:ascii="Arial" w:eastAsia="Times New Roman" w:hAnsi="Arial" w:cs="Arial"/>
          <w:b/>
          <w:sz w:val="20"/>
          <w:szCs w:val="20"/>
        </w:rPr>
      </w:pPr>
    </w:p>
    <w:p w14:paraId="1A7B3073" w14:textId="77777777" w:rsidR="006F6963" w:rsidRPr="0028236A" w:rsidRDefault="006F6963" w:rsidP="0086386B">
      <w:pPr>
        <w:autoSpaceDE w:val="0"/>
        <w:autoSpaceDN w:val="0"/>
        <w:adjustRightInd w:val="0"/>
        <w:spacing w:after="0" w:line="240" w:lineRule="auto"/>
        <w:jc w:val="both"/>
        <w:rPr>
          <w:rFonts w:ascii="Arial" w:hAnsi="Arial" w:cs="Arial"/>
          <w:sz w:val="20"/>
          <w:szCs w:val="20"/>
        </w:rPr>
      </w:pPr>
      <w:r w:rsidRPr="0028236A">
        <w:rPr>
          <w:rFonts w:ascii="Arial" w:hAnsi="Arial" w:cs="Arial"/>
          <w:sz w:val="20"/>
          <w:szCs w:val="20"/>
        </w:rPr>
        <w:t>Planom razvojnih programa / strateškim planom Općine Konavle u dosadašnjim proračunskim razdobljima planirali su se kapitalni projekti za koje su Proračunom bila osigurana sredstva u okviru Programa izgradnje komunalne infrastrukture, Programa gradnje komunalnih vodnih građevina i pojedinačnih programa upravljanja imovinom (izgradnja i uređenje objekata javne namjene i to: predškolski odgoj i školstvo, sport, socijalna skrb i zdravstvo, te kultura, turizam i religija). Program gradnje komunalnih vodnih građevina najvećim dijelom se realizira putem društva u vlasništvu Općine registriranog za obavljanje poslova vodoopskrbe i odvodnje u skladu s odredbama Zakona o vodama.</w:t>
      </w:r>
    </w:p>
    <w:p w14:paraId="02FE6028" w14:textId="77777777" w:rsidR="006F6963" w:rsidRPr="0028236A" w:rsidRDefault="006F6963" w:rsidP="0086386B">
      <w:pPr>
        <w:autoSpaceDE w:val="0"/>
        <w:autoSpaceDN w:val="0"/>
        <w:adjustRightInd w:val="0"/>
        <w:spacing w:after="0" w:line="240" w:lineRule="auto"/>
        <w:jc w:val="both"/>
        <w:rPr>
          <w:rFonts w:ascii="Arial" w:hAnsi="Arial" w:cs="Arial"/>
          <w:sz w:val="20"/>
          <w:szCs w:val="20"/>
        </w:rPr>
      </w:pPr>
    </w:p>
    <w:p w14:paraId="73BB90BB" w14:textId="77777777" w:rsidR="006F6963" w:rsidRPr="0028236A" w:rsidRDefault="006F6963" w:rsidP="0086386B">
      <w:pPr>
        <w:autoSpaceDE w:val="0"/>
        <w:autoSpaceDN w:val="0"/>
        <w:adjustRightInd w:val="0"/>
        <w:spacing w:after="0" w:line="240" w:lineRule="auto"/>
        <w:jc w:val="both"/>
        <w:rPr>
          <w:rFonts w:ascii="Arial" w:hAnsi="Arial" w:cs="Arial"/>
          <w:sz w:val="20"/>
          <w:szCs w:val="20"/>
        </w:rPr>
      </w:pPr>
      <w:r w:rsidRPr="0028236A">
        <w:rPr>
          <w:rFonts w:ascii="Arial" w:hAnsi="Arial" w:cs="Arial"/>
          <w:sz w:val="20"/>
          <w:szCs w:val="20"/>
        </w:rPr>
        <w:t xml:space="preserve">Dubrovačko-neretvanska županija je 17. prosinca 2021. donijela je </w:t>
      </w:r>
      <w:r w:rsidRPr="0028236A">
        <w:rPr>
          <w:rFonts w:ascii="Arial" w:hAnsi="Arial" w:cs="Arial"/>
          <w:b/>
          <w:bCs/>
          <w:sz w:val="20"/>
          <w:szCs w:val="20"/>
        </w:rPr>
        <w:t>Plan razvoja Dubrovačko – neretvanske županije do 2027. godine</w:t>
      </w:r>
      <w:r w:rsidRPr="0028236A">
        <w:rPr>
          <w:rFonts w:ascii="Arial" w:hAnsi="Arial" w:cs="Arial"/>
          <w:sz w:val="20"/>
          <w:szCs w:val="20"/>
        </w:rPr>
        <w:t>.</w:t>
      </w:r>
    </w:p>
    <w:p w14:paraId="7DAC4A99" w14:textId="77777777" w:rsidR="006F6963" w:rsidRPr="0028236A" w:rsidRDefault="006F6963" w:rsidP="0086386B">
      <w:pPr>
        <w:autoSpaceDE w:val="0"/>
        <w:autoSpaceDN w:val="0"/>
        <w:adjustRightInd w:val="0"/>
        <w:spacing w:after="0" w:line="240" w:lineRule="auto"/>
        <w:jc w:val="both"/>
        <w:rPr>
          <w:rFonts w:ascii="Arial" w:hAnsi="Arial" w:cs="Arial"/>
          <w:sz w:val="20"/>
          <w:szCs w:val="20"/>
        </w:rPr>
      </w:pPr>
    </w:p>
    <w:p w14:paraId="55B6B94E" w14:textId="77777777" w:rsidR="006F6963" w:rsidRPr="0028236A" w:rsidRDefault="006F6963" w:rsidP="0086386B">
      <w:pPr>
        <w:autoSpaceDE w:val="0"/>
        <w:autoSpaceDN w:val="0"/>
        <w:adjustRightInd w:val="0"/>
        <w:spacing w:after="0" w:line="240" w:lineRule="auto"/>
        <w:jc w:val="both"/>
        <w:rPr>
          <w:rFonts w:ascii="Arial" w:hAnsi="Arial" w:cs="Arial"/>
          <w:bCs/>
          <w:sz w:val="20"/>
          <w:szCs w:val="20"/>
        </w:rPr>
      </w:pPr>
      <w:r w:rsidRPr="0028236A">
        <w:rPr>
          <w:rFonts w:ascii="Arial" w:hAnsi="Arial" w:cs="Arial"/>
          <w:b/>
          <w:bCs/>
          <w:sz w:val="20"/>
          <w:szCs w:val="20"/>
        </w:rPr>
        <w:t>Strateški plan Općine Konavle za razdoblje 2021.-2022.</w:t>
      </w:r>
      <w:r w:rsidRPr="0028236A">
        <w:rPr>
          <w:rFonts w:ascii="Arial" w:hAnsi="Arial" w:cs="Arial"/>
          <w:sz w:val="20"/>
          <w:szCs w:val="20"/>
        </w:rPr>
        <w:t xml:space="preserve"> godine donijelo je </w:t>
      </w:r>
      <w:r w:rsidRPr="0028236A">
        <w:rPr>
          <w:rFonts w:ascii="Arial" w:hAnsi="Arial" w:cs="Arial"/>
          <w:bCs/>
          <w:sz w:val="20"/>
          <w:szCs w:val="20"/>
        </w:rPr>
        <w:t xml:space="preserve">Općinsko vijeće je na sjednici održanoj 8. ožujka 2021. </w:t>
      </w:r>
    </w:p>
    <w:p w14:paraId="533ADF5C" w14:textId="77777777" w:rsidR="006F6963" w:rsidRPr="0028236A" w:rsidRDefault="006F6963" w:rsidP="0086386B">
      <w:pPr>
        <w:autoSpaceDE w:val="0"/>
        <w:autoSpaceDN w:val="0"/>
        <w:adjustRightInd w:val="0"/>
        <w:spacing w:after="0" w:line="240" w:lineRule="auto"/>
        <w:jc w:val="both"/>
        <w:rPr>
          <w:rFonts w:ascii="Arial" w:hAnsi="Arial" w:cs="Arial"/>
          <w:sz w:val="20"/>
          <w:szCs w:val="20"/>
        </w:rPr>
      </w:pPr>
    </w:p>
    <w:p w14:paraId="1497BF97" w14:textId="63A368DB" w:rsidR="006F6963" w:rsidRPr="0028236A" w:rsidRDefault="006F6963" w:rsidP="0086386B">
      <w:pPr>
        <w:autoSpaceDE w:val="0"/>
        <w:autoSpaceDN w:val="0"/>
        <w:adjustRightInd w:val="0"/>
        <w:spacing w:after="0" w:line="240" w:lineRule="auto"/>
        <w:jc w:val="both"/>
        <w:rPr>
          <w:rFonts w:ascii="Arial" w:hAnsi="Arial" w:cs="Arial"/>
          <w:sz w:val="20"/>
          <w:szCs w:val="20"/>
        </w:rPr>
      </w:pPr>
      <w:r w:rsidRPr="0028236A">
        <w:rPr>
          <w:rFonts w:ascii="Arial" w:hAnsi="Arial" w:cs="Arial"/>
          <w:sz w:val="20"/>
          <w:szCs w:val="20"/>
        </w:rPr>
        <w:t>Strateškim planom prikazana je vizija i misija Općine Konavle sa strateškim ciljevima, prioritetima i mjerama koje se prikazuju u nastavku.</w:t>
      </w:r>
      <w:r w:rsidR="00E4441A" w:rsidRPr="0028236A">
        <w:rPr>
          <w:rFonts w:ascii="Arial" w:hAnsi="Arial" w:cs="Arial"/>
          <w:sz w:val="20"/>
          <w:szCs w:val="20"/>
        </w:rPr>
        <w:t xml:space="preserve"> </w:t>
      </w:r>
      <w:bookmarkStart w:id="786" w:name="_Hlk146543268"/>
      <w:r w:rsidR="00E4441A" w:rsidRPr="0028236A">
        <w:rPr>
          <w:rFonts w:ascii="Arial" w:hAnsi="Arial" w:cs="Arial"/>
          <w:sz w:val="20"/>
          <w:szCs w:val="20"/>
        </w:rPr>
        <w:t>Novi strateški plan još nije donesen.</w:t>
      </w:r>
    </w:p>
    <w:bookmarkEnd w:id="786"/>
    <w:p w14:paraId="1C9DBE4D" w14:textId="77777777" w:rsidR="006F6963" w:rsidRPr="0028236A" w:rsidRDefault="006F6963" w:rsidP="0086386B">
      <w:pPr>
        <w:autoSpaceDE w:val="0"/>
        <w:autoSpaceDN w:val="0"/>
        <w:adjustRightInd w:val="0"/>
        <w:spacing w:after="0" w:line="240" w:lineRule="auto"/>
        <w:jc w:val="both"/>
        <w:rPr>
          <w:rFonts w:ascii="Arial" w:hAnsi="Arial" w:cs="Arial"/>
          <w:sz w:val="20"/>
          <w:szCs w:val="20"/>
        </w:rPr>
      </w:pPr>
    </w:p>
    <w:p w14:paraId="6A9A5D85" w14:textId="182CE48B" w:rsidR="006F6963" w:rsidRPr="0028236A" w:rsidRDefault="006F6963" w:rsidP="0086386B">
      <w:pPr>
        <w:autoSpaceDE w:val="0"/>
        <w:autoSpaceDN w:val="0"/>
        <w:adjustRightInd w:val="0"/>
        <w:spacing w:after="0" w:line="240" w:lineRule="auto"/>
        <w:jc w:val="both"/>
        <w:rPr>
          <w:rFonts w:ascii="Arial" w:hAnsi="Arial" w:cs="Arial"/>
          <w:sz w:val="20"/>
          <w:szCs w:val="20"/>
        </w:rPr>
      </w:pPr>
      <w:r w:rsidRPr="0028236A">
        <w:rPr>
          <w:rFonts w:ascii="Arial" w:hAnsi="Arial" w:cs="Arial"/>
          <w:b/>
          <w:bCs/>
          <w:sz w:val="20"/>
          <w:szCs w:val="20"/>
        </w:rPr>
        <w:t>Provedbeni program Općine Konavle za razdoblje 2022.-2025.</w:t>
      </w:r>
      <w:r w:rsidRPr="0028236A">
        <w:rPr>
          <w:rFonts w:ascii="Arial" w:hAnsi="Arial" w:cs="Arial"/>
          <w:sz w:val="20"/>
          <w:szCs w:val="20"/>
        </w:rPr>
        <w:t xml:space="preserve"> iz prosinca 2021. godine objavljen je na mrežnim stranicama Općine </w:t>
      </w:r>
    </w:p>
    <w:p w14:paraId="3F02B772" w14:textId="79A11E47" w:rsidR="006F6963" w:rsidRPr="0028236A" w:rsidRDefault="006F6963" w:rsidP="006F6963">
      <w:pPr>
        <w:autoSpaceDE w:val="0"/>
        <w:autoSpaceDN w:val="0"/>
        <w:adjustRightInd w:val="0"/>
        <w:spacing w:after="0" w:line="240" w:lineRule="auto"/>
        <w:rPr>
          <w:rFonts w:ascii="Arial" w:hAnsi="Arial" w:cs="Arial"/>
          <w:sz w:val="20"/>
          <w:szCs w:val="20"/>
        </w:rPr>
      </w:pPr>
      <w:hyperlink r:id="rId253" w:history="1">
        <w:r w:rsidRPr="0028236A">
          <w:rPr>
            <w:rStyle w:val="Hiperveza"/>
            <w:rFonts w:ascii="Arial" w:hAnsi="Arial" w:cs="Arial"/>
            <w:sz w:val="20"/>
            <w:szCs w:val="20"/>
          </w:rPr>
          <w:t>https://www.opcinakonavle.hr/beta/wp-content/uploads/2017/09/PROVEDBENI-PROGRAM-OPCINA-KONAVLE.pdf</w:t>
        </w:r>
      </w:hyperlink>
    </w:p>
    <w:p w14:paraId="66445B1E" w14:textId="77777777" w:rsidR="006F6963" w:rsidRDefault="006F6963" w:rsidP="006F6963">
      <w:pPr>
        <w:autoSpaceDE w:val="0"/>
        <w:autoSpaceDN w:val="0"/>
        <w:adjustRightInd w:val="0"/>
        <w:spacing w:after="0" w:line="240" w:lineRule="auto"/>
        <w:rPr>
          <w:rFonts w:ascii="Arial" w:hAnsi="Arial" w:cs="Arial"/>
          <w:sz w:val="20"/>
          <w:szCs w:val="20"/>
        </w:rPr>
      </w:pPr>
    </w:p>
    <w:p w14:paraId="5C35AC79" w14:textId="375A1B27" w:rsidR="00F35C1D" w:rsidRPr="0028236A" w:rsidRDefault="00F35C1D" w:rsidP="00F35C1D">
      <w:pPr>
        <w:autoSpaceDE w:val="0"/>
        <w:autoSpaceDN w:val="0"/>
        <w:adjustRightInd w:val="0"/>
        <w:spacing w:after="0" w:line="240" w:lineRule="auto"/>
        <w:jc w:val="both"/>
        <w:rPr>
          <w:rFonts w:ascii="Arial" w:hAnsi="Arial" w:cs="Arial"/>
          <w:sz w:val="20"/>
          <w:szCs w:val="20"/>
        </w:rPr>
      </w:pPr>
      <w:r w:rsidRPr="0028236A">
        <w:rPr>
          <w:rFonts w:ascii="Arial" w:hAnsi="Arial" w:cs="Arial"/>
          <w:b/>
          <w:bCs/>
          <w:sz w:val="20"/>
          <w:szCs w:val="20"/>
        </w:rPr>
        <w:t>Provedbeni program Općine Konavle za razdoblje 202</w:t>
      </w:r>
      <w:r>
        <w:rPr>
          <w:rFonts w:ascii="Arial" w:hAnsi="Arial" w:cs="Arial"/>
          <w:b/>
          <w:bCs/>
          <w:sz w:val="20"/>
          <w:szCs w:val="20"/>
        </w:rPr>
        <w:t>5</w:t>
      </w:r>
      <w:r w:rsidRPr="0028236A">
        <w:rPr>
          <w:rFonts w:ascii="Arial" w:hAnsi="Arial" w:cs="Arial"/>
          <w:b/>
          <w:bCs/>
          <w:sz w:val="20"/>
          <w:szCs w:val="20"/>
        </w:rPr>
        <w:t>.-202</w:t>
      </w:r>
      <w:r>
        <w:rPr>
          <w:rFonts w:ascii="Arial" w:hAnsi="Arial" w:cs="Arial"/>
          <w:b/>
          <w:bCs/>
          <w:sz w:val="20"/>
          <w:szCs w:val="20"/>
        </w:rPr>
        <w:t>9</w:t>
      </w:r>
      <w:r w:rsidRPr="0028236A">
        <w:rPr>
          <w:rFonts w:ascii="Arial" w:hAnsi="Arial" w:cs="Arial"/>
          <w:b/>
          <w:bCs/>
          <w:sz w:val="20"/>
          <w:szCs w:val="20"/>
        </w:rPr>
        <w:t>.</w:t>
      </w:r>
      <w:r w:rsidRPr="0028236A">
        <w:rPr>
          <w:rFonts w:ascii="Arial" w:hAnsi="Arial" w:cs="Arial"/>
          <w:sz w:val="20"/>
          <w:szCs w:val="20"/>
        </w:rPr>
        <w:t xml:space="preserve"> iz </w:t>
      </w:r>
      <w:r>
        <w:rPr>
          <w:rFonts w:ascii="Arial" w:hAnsi="Arial" w:cs="Arial"/>
          <w:sz w:val="20"/>
          <w:szCs w:val="20"/>
        </w:rPr>
        <w:t>rujna</w:t>
      </w:r>
      <w:r w:rsidRPr="0028236A">
        <w:rPr>
          <w:rFonts w:ascii="Arial" w:hAnsi="Arial" w:cs="Arial"/>
          <w:sz w:val="20"/>
          <w:szCs w:val="20"/>
        </w:rPr>
        <w:t xml:space="preserve"> 202</w:t>
      </w:r>
      <w:r>
        <w:rPr>
          <w:rFonts w:ascii="Arial" w:hAnsi="Arial" w:cs="Arial"/>
          <w:sz w:val="20"/>
          <w:szCs w:val="20"/>
        </w:rPr>
        <w:t>5</w:t>
      </w:r>
      <w:r w:rsidRPr="0028236A">
        <w:rPr>
          <w:rFonts w:ascii="Arial" w:hAnsi="Arial" w:cs="Arial"/>
          <w:sz w:val="20"/>
          <w:szCs w:val="20"/>
        </w:rPr>
        <w:t xml:space="preserve">. godine objavljen je na mrežnim stranicama Općine </w:t>
      </w:r>
    </w:p>
    <w:p w14:paraId="3125C3FF" w14:textId="158AB1A8" w:rsidR="00F35C1D" w:rsidRDefault="00F35C1D" w:rsidP="006F6963">
      <w:pPr>
        <w:autoSpaceDE w:val="0"/>
        <w:autoSpaceDN w:val="0"/>
        <w:adjustRightInd w:val="0"/>
        <w:spacing w:after="0" w:line="240" w:lineRule="auto"/>
      </w:pPr>
      <w:hyperlink r:id="rId254" w:history="1">
        <w:r w:rsidRPr="00DF7515">
          <w:rPr>
            <w:rStyle w:val="Hiperveza"/>
          </w:rPr>
          <w:t>https://www.opcinakonavle.hr/beta/wp-content/uploads/2025/09/PROVEDBENI-PROGRAM-OPCINA-KONAVLE-2025.pdf</w:t>
        </w:r>
      </w:hyperlink>
    </w:p>
    <w:p w14:paraId="016365B3" w14:textId="28B365AD" w:rsidR="00F35C1D" w:rsidRDefault="00F35C1D" w:rsidP="006F6963">
      <w:pPr>
        <w:autoSpaceDE w:val="0"/>
        <w:autoSpaceDN w:val="0"/>
        <w:adjustRightInd w:val="0"/>
        <w:spacing w:after="0" w:line="240" w:lineRule="auto"/>
        <w:rPr>
          <w:rFonts w:ascii="Arial" w:hAnsi="Arial" w:cs="Arial"/>
          <w:sz w:val="20"/>
          <w:szCs w:val="20"/>
        </w:rPr>
      </w:pPr>
      <w:hyperlink r:id="rId255" w:history="1">
        <w:r w:rsidRPr="00DF7515">
          <w:rPr>
            <w:rStyle w:val="Hiperveza"/>
            <w:rFonts w:ascii="Arial" w:hAnsi="Arial" w:cs="Arial"/>
            <w:sz w:val="20"/>
            <w:szCs w:val="20"/>
          </w:rPr>
          <w:t>https://www.opcinakonavle.hr/beta/wp-content/uploads/2025/09/Prilog-1-Prikaz-provedbenog-programa-Opcina-Konavle-2025.xlsx</w:t>
        </w:r>
      </w:hyperlink>
    </w:p>
    <w:p w14:paraId="0416971A" w14:textId="77777777" w:rsidR="00F35C1D" w:rsidRPr="0028236A" w:rsidRDefault="00F35C1D" w:rsidP="006F6963">
      <w:pPr>
        <w:autoSpaceDE w:val="0"/>
        <w:autoSpaceDN w:val="0"/>
        <w:adjustRightInd w:val="0"/>
        <w:spacing w:after="0" w:line="240" w:lineRule="auto"/>
        <w:rPr>
          <w:rFonts w:ascii="Arial" w:hAnsi="Arial" w:cs="Arial"/>
          <w:sz w:val="20"/>
          <w:szCs w:val="20"/>
        </w:rPr>
      </w:pPr>
    </w:p>
    <w:p w14:paraId="126C89E3" w14:textId="77777777" w:rsidR="00CB22F6" w:rsidRPr="003A2F86" w:rsidRDefault="00CB22F6" w:rsidP="00CB22F6">
      <w:pPr>
        <w:autoSpaceDE w:val="0"/>
        <w:autoSpaceDN w:val="0"/>
        <w:adjustRightInd w:val="0"/>
        <w:spacing w:after="0" w:line="240" w:lineRule="auto"/>
        <w:jc w:val="both"/>
        <w:rPr>
          <w:rFonts w:ascii="Arial" w:eastAsia="Times New Roman" w:hAnsi="Arial" w:cs="Arial"/>
          <w:b/>
          <w:bCs/>
          <w:sz w:val="20"/>
          <w:szCs w:val="20"/>
        </w:rPr>
      </w:pPr>
      <w:bookmarkStart w:id="787" w:name="_Toc371168506"/>
      <w:r w:rsidRPr="003A2F86">
        <w:rPr>
          <w:rFonts w:ascii="Arial" w:eastAsia="Times New Roman" w:hAnsi="Arial" w:cs="Arial"/>
          <w:b/>
          <w:bCs/>
          <w:sz w:val="20"/>
          <w:szCs w:val="20"/>
        </w:rPr>
        <w:t>VIZIJA Općine Konavle</w:t>
      </w:r>
    </w:p>
    <w:p w14:paraId="68F27FF9" w14:textId="1E99F1DC" w:rsidR="00CB22F6" w:rsidRPr="003A2F86" w:rsidRDefault="00CB22F6" w:rsidP="00CB22F6">
      <w:pPr>
        <w:pBdr>
          <w:bottom w:val="single" w:sz="4" w:space="4" w:color="B83D68"/>
        </w:pBdr>
        <w:spacing w:before="200" w:after="280"/>
        <w:ind w:left="936" w:right="936"/>
        <w:jc w:val="center"/>
        <w:rPr>
          <w:rFonts w:ascii="Arial" w:eastAsia="Times New Roman" w:hAnsi="Arial" w:cs="Arial"/>
          <w:b/>
          <w:bCs/>
          <w:i/>
          <w:iCs/>
          <w:sz w:val="20"/>
          <w:szCs w:val="20"/>
        </w:rPr>
      </w:pPr>
      <w:r w:rsidRPr="003A2F86">
        <w:rPr>
          <w:rFonts w:ascii="Arial" w:eastAsia="Times New Roman" w:hAnsi="Arial" w:cs="Arial"/>
          <w:b/>
          <w:bCs/>
          <w:i/>
          <w:iCs/>
          <w:sz w:val="20"/>
          <w:szCs w:val="20"/>
        </w:rPr>
        <w:t>„Postati jedna od vodećih općina</w:t>
      </w:r>
      <w:r w:rsidR="009F1427" w:rsidRPr="003A2F86">
        <w:rPr>
          <w:rFonts w:ascii="Arial" w:eastAsia="Times New Roman" w:hAnsi="Arial" w:cs="Arial"/>
          <w:b/>
          <w:bCs/>
          <w:i/>
          <w:iCs/>
          <w:sz w:val="20"/>
          <w:szCs w:val="20"/>
        </w:rPr>
        <w:t xml:space="preserve"> po održivom načinu upravljanja javnim dobrima, komunalnim gospodarstvom, te osigurati svim svojim građanima najbolje moguće uvjete podrške u području predškolstva, školstva, zdravstva i socijalne skrbi, te promicanjem poduzetništva, poljoprivrede, turizma i ruralnog turizma, te kulturnim kao i sportsko-rekreativnim sadržajima, ukupno oplemeniti život na području Općine.</w:t>
      </w:r>
      <w:r w:rsidRPr="003A2F86">
        <w:rPr>
          <w:rFonts w:ascii="Arial" w:eastAsia="Times New Roman" w:hAnsi="Arial" w:cs="Arial"/>
          <w:b/>
          <w:bCs/>
          <w:i/>
          <w:iCs/>
          <w:sz w:val="20"/>
          <w:szCs w:val="20"/>
        </w:rPr>
        <w:t>“</w:t>
      </w:r>
    </w:p>
    <w:p w14:paraId="3A2465FC" w14:textId="77777777" w:rsidR="00CB22F6" w:rsidRPr="003A2F86" w:rsidRDefault="00CB22F6" w:rsidP="00CB22F6">
      <w:pPr>
        <w:autoSpaceDE w:val="0"/>
        <w:autoSpaceDN w:val="0"/>
        <w:adjustRightInd w:val="0"/>
        <w:spacing w:after="0" w:line="240" w:lineRule="auto"/>
        <w:jc w:val="both"/>
        <w:rPr>
          <w:rFonts w:ascii="Arial" w:eastAsia="Times New Roman" w:hAnsi="Arial" w:cs="Arial"/>
          <w:b/>
          <w:bCs/>
          <w:sz w:val="20"/>
          <w:szCs w:val="20"/>
        </w:rPr>
      </w:pPr>
      <w:r w:rsidRPr="003A2F86">
        <w:rPr>
          <w:rFonts w:ascii="Arial" w:eastAsia="Times New Roman" w:hAnsi="Arial" w:cs="Arial"/>
          <w:b/>
          <w:bCs/>
          <w:sz w:val="20"/>
          <w:szCs w:val="20"/>
        </w:rPr>
        <w:t>MISIJA</w:t>
      </w:r>
    </w:p>
    <w:p w14:paraId="216953B5" w14:textId="77777777" w:rsidR="00CB22F6" w:rsidRPr="003A2F86" w:rsidRDefault="00CB22F6" w:rsidP="00CB22F6">
      <w:pPr>
        <w:autoSpaceDE w:val="0"/>
        <w:autoSpaceDN w:val="0"/>
        <w:adjustRightInd w:val="0"/>
        <w:spacing w:after="0" w:line="240" w:lineRule="auto"/>
        <w:jc w:val="both"/>
        <w:rPr>
          <w:rFonts w:ascii="Arial" w:eastAsia="Times New Roman" w:hAnsi="Arial" w:cs="Arial"/>
          <w:sz w:val="20"/>
          <w:szCs w:val="20"/>
        </w:rPr>
      </w:pPr>
    </w:p>
    <w:p w14:paraId="60BD1474" w14:textId="77777777" w:rsidR="00CB22F6" w:rsidRPr="003A2F86" w:rsidRDefault="00CB22F6" w:rsidP="00CB22F6">
      <w:pPr>
        <w:pBdr>
          <w:bottom w:val="single" w:sz="4" w:space="4" w:color="4F81BD"/>
        </w:pBdr>
        <w:spacing w:before="200" w:after="280"/>
        <w:ind w:left="936" w:right="936"/>
        <w:jc w:val="center"/>
        <w:rPr>
          <w:rFonts w:ascii="Arial" w:eastAsia="Times New Roman" w:hAnsi="Arial" w:cs="Arial"/>
          <w:b/>
          <w:bCs/>
          <w:i/>
          <w:iCs/>
          <w:sz w:val="20"/>
          <w:szCs w:val="20"/>
        </w:rPr>
      </w:pPr>
      <w:r w:rsidRPr="003A2F86">
        <w:rPr>
          <w:rFonts w:ascii="Arial" w:eastAsia="Times New Roman" w:hAnsi="Arial" w:cs="Arial"/>
          <w:b/>
          <w:bCs/>
          <w:i/>
          <w:iCs/>
          <w:sz w:val="20"/>
          <w:szCs w:val="20"/>
        </w:rPr>
        <w:t>Misija Općine Konavle je efikasno, pravodobno, kvalitetno i odgovorno izvršavanje funkcija i zadataka sukladno odredbama Zakona o lokalnoj i područnoj (regionalnoj) samoupravi i druge zakonske regulative. Kontinuirano putem svojih aktivnosti i usluga biti u službi svojih građana i unapređivati kvalitetu života i rada.</w:t>
      </w:r>
    </w:p>
    <w:p w14:paraId="50C68DD7" w14:textId="0E3867F7" w:rsidR="00CB22F6" w:rsidRDefault="00CB22F6" w:rsidP="00CB22F6">
      <w:pPr>
        <w:spacing w:after="0" w:line="240" w:lineRule="auto"/>
        <w:jc w:val="both"/>
        <w:rPr>
          <w:rFonts w:ascii="Times New Roman" w:eastAsia="Times New Roman" w:hAnsi="Times New Roman" w:cs="Times New Roman"/>
          <w:sz w:val="20"/>
          <w:szCs w:val="20"/>
          <w:lang w:eastAsia="en-US"/>
        </w:rPr>
      </w:pPr>
    </w:p>
    <w:p w14:paraId="2B2821FC" w14:textId="77777777" w:rsidR="0028236A" w:rsidRDefault="0028236A" w:rsidP="00CB22F6">
      <w:pPr>
        <w:spacing w:after="0" w:line="240" w:lineRule="auto"/>
        <w:jc w:val="both"/>
        <w:rPr>
          <w:rFonts w:ascii="Times New Roman" w:eastAsia="Times New Roman" w:hAnsi="Times New Roman" w:cs="Times New Roman"/>
          <w:sz w:val="20"/>
          <w:szCs w:val="20"/>
          <w:lang w:eastAsia="en-US"/>
        </w:rPr>
      </w:pPr>
    </w:p>
    <w:p w14:paraId="1CC37228" w14:textId="77777777" w:rsidR="0028236A" w:rsidRDefault="0028236A" w:rsidP="00CB22F6">
      <w:pPr>
        <w:spacing w:after="0" w:line="240" w:lineRule="auto"/>
        <w:jc w:val="both"/>
        <w:rPr>
          <w:rFonts w:ascii="Times New Roman" w:eastAsia="Times New Roman" w:hAnsi="Times New Roman" w:cs="Times New Roman"/>
          <w:sz w:val="20"/>
          <w:szCs w:val="20"/>
          <w:lang w:eastAsia="en-US"/>
        </w:rPr>
      </w:pPr>
    </w:p>
    <w:p w14:paraId="5ECE0FD9" w14:textId="77777777" w:rsidR="0028236A" w:rsidRPr="003A2F86" w:rsidRDefault="0028236A" w:rsidP="00CB22F6">
      <w:pPr>
        <w:spacing w:after="0" w:line="240" w:lineRule="auto"/>
        <w:jc w:val="both"/>
        <w:rPr>
          <w:rFonts w:ascii="Times New Roman" w:eastAsia="Times New Roman" w:hAnsi="Times New Roman" w:cs="Times New Roman"/>
          <w:sz w:val="20"/>
          <w:szCs w:val="20"/>
          <w:lang w:eastAsia="en-US"/>
        </w:rPr>
      </w:pPr>
    </w:p>
    <w:p w14:paraId="29A37E0A" w14:textId="3E643ED7" w:rsidR="003D4E85" w:rsidRPr="003A2F86" w:rsidRDefault="003D4E85" w:rsidP="003D4E85">
      <w:pPr>
        <w:spacing w:after="0" w:line="240" w:lineRule="auto"/>
        <w:jc w:val="both"/>
        <w:rPr>
          <w:rFonts w:ascii="Arial" w:eastAsia="Times New Roman" w:hAnsi="Arial" w:cs="Arial"/>
          <w:b/>
          <w:bCs/>
          <w:color w:val="0070C0"/>
          <w:sz w:val="20"/>
          <w:szCs w:val="20"/>
          <w:u w:val="single"/>
          <w:lang w:eastAsia="en-US"/>
        </w:rPr>
      </w:pPr>
      <w:bookmarkStart w:id="788" w:name="_Hlk146543343"/>
      <w:r w:rsidRPr="003A2F86">
        <w:rPr>
          <w:rFonts w:ascii="Arial" w:eastAsia="Times New Roman" w:hAnsi="Arial" w:cs="Arial"/>
          <w:b/>
          <w:bCs/>
          <w:color w:val="0070C0"/>
          <w:sz w:val="20"/>
          <w:szCs w:val="20"/>
          <w:u w:val="single"/>
          <w:lang w:eastAsia="en-US"/>
        </w:rPr>
        <w:t>U nastavku se daje prikaz strateških ciljeva i prioriteta prikazanih u usvojenom Strateški plan Općine Konavle za razdoblje 2021.-2022. godine donijelo je Općinsko vijeće je na sjednici održanoj 8. ožujka 2021.:</w:t>
      </w:r>
    </w:p>
    <w:p w14:paraId="7B7E9D92" w14:textId="77777777" w:rsidR="003D4E85" w:rsidRPr="003A2F86" w:rsidRDefault="003D4E85" w:rsidP="003D4E85">
      <w:pPr>
        <w:spacing w:after="0" w:line="240" w:lineRule="auto"/>
        <w:jc w:val="center"/>
        <w:rPr>
          <w:rFonts w:ascii="Arial" w:eastAsia="Times New Roman" w:hAnsi="Arial" w:cs="Arial"/>
          <w:b/>
          <w:bCs/>
          <w:sz w:val="20"/>
          <w:szCs w:val="20"/>
          <w:lang w:eastAsia="en-US"/>
        </w:rPr>
      </w:pPr>
      <w:r w:rsidRPr="003A2F86">
        <w:rPr>
          <w:rFonts w:ascii="Arial" w:eastAsia="Times New Roman" w:hAnsi="Arial" w:cs="Arial"/>
          <w:b/>
          <w:bCs/>
          <w:sz w:val="20"/>
          <w:szCs w:val="20"/>
          <w:highlight w:val="yellow"/>
          <w:lang w:eastAsia="en-US"/>
        </w:rPr>
        <w:t>STRATEŠKI CILJEVI, PRIORITETI</w:t>
      </w:r>
      <w:r w:rsidRPr="003A2F86">
        <w:rPr>
          <w:rFonts w:ascii="Arial" w:eastAsia="Times New Roman" w:hAnsi="Arial" w:cs="Arial"/>
          <w:b/>
          <w:bCs/>
          <w:sz w:val="20"/>
          <w:szCs w:val="20"/>
          <w:lang w:eastAsia="en-US"/>
        </w:rPr>
        <w:t xml:space="preserve"> </w:t>
      </w:r>
    </w:p>
    <w:p w14:paraId="436FD616" w14:textId="77777777" w:rsidR="003D4E85" w:rsidRPr="003A2F86" w:rsidRDefault="003D4E85" w:rsidP="003D4E85">
      <w:pPr>
        <w:spacing w:after="0" w:line="240" w:lineRule="auto"/>
        <w:ind w:firstLine="567"/>
        <w:jc w:val="both"/>
        <w:rPr>
          <w:rFonts w:ascii="Arial" w:eastAsia="Times New Roman" w:hAnsi="Arial" w:cs="Times New Roman"/>
          <w:b/>
          <w:bCs/>
          <w:sz w:val="20"/>
          <w:szCs w:val="20"/>
          <w:lang w:eastAsia="en-US"/>
        </w:rPr>
      </w:pPr>
      <w:r w:rsidRPr="003A2F86">
        <w:rPr>
          <w:rFonts w:ascii="Arial" w:eastAsia="Times New Roman" w:hAnsi="Arial" w:cs="Times New Roman"/>
          <w:b/>
          <w:bCs/>
          <w:sz w:val="20"/>
          <w:szCs w:val="20"/>
          <w:lang w:eastAsia="en-US"/>
        </w:rPr>
        <w:t>Strateški ciljevi:</w:t>
      </w:r>
    </w:p>
    <w:p w14:paraId="3474E123" w14:textId="77777777" w:rsidR="003D4E85" w:rsidRPr="003A2F86" w:rsidRDefault="003D4E85" w:rsidP="003D4E85">
      <w:pPr>
        <w:spacing w:after="0" w:line="240" w:lineRule="auto"/>
        <w:jc w:val="both"/>
        <w:rPr>
          <w:rFonts w:ascii="Arial" w:eastAsia="Times New Roman" w:hAnsi="Arial" w:cs="Times New Roman"/>
          <w:sz w:val="20"/>
          <w:szCs w:val="20"/>
          <w:lang w:eastAsia="en-US"/>
        </w:rPr>
      </w:pPr>
    </w:p>
    <w:p w14:paraId="02EDB8B6" w14:textId="77777777" w:rsidR="003D4E85" w:rsidRPr="003A2F86" w:rsidRDefault="003D4E85" w:rsidP="003D4E85">
      <w:pPr>
        <w:spacing w:after="0" w:line="240" w:lineRule="auto"/>
        <w:jc w:val="both"/>
        <w:rPr>
          <w:rFonts w:ascii="Arial" w:eastAsia="Times New Roman" w:hAnsi="Arial" w:cs="Times New Roman"/>
          <w:sz w:val="20"/>
          <w:szCs w:val="20"/>
          <w:lang w:eastAsia="en-US"/>
        </w:rPr>
      </w:pPr>
      <w:r w:rsidRPr="003A2F86">
        <w:rPr>
          <w:rFonts w:ascii="Arial" w:eastAsia="Times New Roman" w:hAnsi="Arial" w:cs="Times New Roman"/>
          <w:sz w:val="20"/>
          <w:szCs w:val="20"/>
          <w:lang w:eastAsia="en-US"/>
        </w:rPr>
        <w:t>1. KONKURENTNO I ODRŽIVO GOSPODARSTVO</w:t>
      </w:r>
    </w:p>
    <w:p w14:paraId="74D3CC0C" w14:textId="77777777" w:rsidR="003D4E85" w:rsidRPr="003A2F86" w:rsidRDefault="003D4E85" w:rsidP="003D4E85">
      <w:pPr>
        <w:spacing w:after="0" w:line="240" w:lineRule="auto"/>
        <w:jc w:val="both"/>
        <w:rPr>
          <w:rFonts w:ascii="Arial" w:eastAsia="Times New Roman" w:hAnsi="Arial" w:cs="Times New Roman"/>
          <w:sz w:val="20"/>
          <w:szCs w:val="20"/>
          <w:lang w:eastAsia="en-US"/>
        </w:rPr>
      </w:pPr>
      <w:r w:rsidRPr="003A2F86">
        <w:rPr>
          <w:rFonts w:ascii="Arial" w:eastAsia="Times New Roman" w:hAnsi="Arial" w:cs="Times New Roman"/>
          <w:sz w:val="20"/>
          <w:szCs w:val="20"/>
          <w:lang w:eastAsia="en-US"/>
        </w:rPr>
        <w:t>2. UNAPRJEĐENJE INFRASTRUKTURE</w:t>
      </w:r>
    </w:p>
    <w:p w14:paraId="7C47CF76" w14:textId="77777777" w:rsidR="003D4E85" w:rsidRPr="003A2F86" w:rsidRDefault="003D4E85" w:rsidP="003D4E85">
      <w:pPr>
        <w:spacing w:after="0" w:line="240" w:lineRule="auto"/>
        <w:jc w:val="both"/>
        <w:rPr>
          <w:rFonts w:ascii="Arial" w:eastAsia="Times New Roman" w:hAnsi="Arial" w:cs="Times New Roman"/>
          <w:sz w:val="20"/>
          <w:szCs w:val="20"/>
          <w:lang w:eastAsia="en-US"/>
        </w:rPr>
      </w:pPr>
      <w:r w:rsidRPr="003A2F86">
        <w:rPr>
          <w:rFonts w:ascii="Arial" w:eastAsia="Times New Roman" w:hAnsi="Arial" w:cs="Times New Roman"/>
          <w:sz w:val="20"/>
          <w:szCs w:val="20"/>
          <w:lang w:eastAsia="en-US"/>
        </w:rPr>
        <w:t>3. UNAPRJEĐENJE KVALITETE ŽIVOTA I RAZVOJ DRUŠTVENE ZAJEDNICE NA NAČELIMA KOHEZIJE I UKLJUČIVOSTI</w:t>
      </w:r>
    </w:p>
    <w:p w14:paraId="69EED062" w14:textId="77777777" w:rsidR="003D4E85" w:rsidRPr="003A2F86" w:rsidRDefault="003D4E85" w:rsidP="003D4E85">
      <w:pPr>
        <w:spacing w:after="0" w:line="240" w:lineRule="auto"/>
        <w:jc w:val="both"/>
        <w:rPr>
          <w:rFonts w:ascii="Arial" w:eastAsia="Times New Roman" w:hAnsi="Arial" w:cs="Times New Roman"/>
          <w:sz w:val="20"/>
          <w:szCs w:val="20"/>
          <w:lang w:eastAsia="en-US"/>
        </w:rPr>
      </w:pPr>
    </w:p>
    <w:p w14:paraId="3BD298AE" w14:textId="77777777" w:rsidR="003D4E85" w:rsidRPr="003A2F86" w:rsidRDefault="003D4E85">
      <w:pPr>
        <w:numPr>
          <w:ilvl w:val="0"/>
          <w:numId w:val="23"/>
        </w:numPr>
        <w:shd w:val="clear" w:color="auto" w:fill="DAEEF3"/>
        <w:autoSpaceDE w:val="0"/>
        <w:autoSpaceDN w:val="0"/>
        <w:adjustRightInd w:val="0"/>
        <w:spacing w:after="0" w:line="240" w:lineRule="auto"/>
        <w:contextualSpacing/>
        <w:rPr>
          <w:rFonts w:ascii="Arial" w:eastAsia="Times New Roman" w:hAnsi="Arial" w:cs="Arial"/>
          <w:b/>
          <w:bCs/>
          <w:i/>
          <w:iCs/>
          <w:sz w:val="20"/>
          <w:szCs w:val="20"/>
          <w:lang w:eastAsia="en-US"/>
        </w:rPr>
      </w:pPr>
      <w:r w:rsidRPr="003A2F86">
        <w:rPr>
          <w:rFonts w:ascii="Arial" w:eastAsia="Times New Roman" w:hAnsi="Arial" w:cs="Times New Roman"/>
          <w:b/>
          <w:sz w:val="20"/>
          <w:szCs w:val="20"/>
          <w:lang w:eastAsia="en-US"/>
        </w:rPr>
        <w:t>STRATEŠKI CILJ 1. – KONKURENTNO I ODRŽIVO GOSPODARSTVO</w:t>
      </w:r>
    </w:p>
    <w:p w14:paraId="19382FFE"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p>
    <w:p w14:paraId="1B95E284"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Strateški cilj 1. ostvarit će se kroz četiri prioriteta:</w:t>
      </w:r>
    </w:p>
    <w:p w14:paraId="601FA11E"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p>
    <w:p w14:paraId="3874DA75"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ab/>
        <w:t>1.1. Potpora razvoju gospodarstva i poduzetništva</w:t>
      </w:r>
    </w:p>
    <w:p w14:paraId="75ED9D2E"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ab/>
        <w:t>1.2. Održivi ruralni razvoj i poljoprivreda</w:t>
      </w:r>
    </w:p>
    <w:p w14:paraId="37B3F662"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ab/>
        <w:t>1.3. Unaprjeđenje turizma</w:t>
      </w:r>
    </w:p>
    <w:p w14:paraId="0DFFCD12"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ab/>
        <w:t>1.4. Pametan razvoj i zelena tranzicija</w:t>
      </w:r>
    </w:p>
    <w:p w14:paraId="296AD93F"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p>
    <w:p w14:paraId="031D1816" w14:textId="77777777" w:rsidR="003D4E85" w:rsidRPr="003A2F86" w:rsidRDefault="003D4E85">
      <w:pPr>
        <w:numPr>
          <w:ilvl w:val="0"/>
          <w:numId w:val="23"/>
        </w:numPr>
        <w:shd w:val="clear" w:color="auto" w:fill="DAEEF3"/>
        <w:autoSpaceDE w:val="0"/>
        <w:autoSpaceDN w:val="0"/>
        <w:adjustRightInd w:val="0"/>
        <w:spacing w:after="0" w:line="240" w:lineRule="auto"/>
        <w:contextualSpacing/>
        <w:rPr>
          <w:rFonts w:ascii="Arial" w:eastAsia="Calibri" w:hAnsi="Arial" w:cs="Arial"/>
          <w:b/>
          <w:bCs/>
          <w:i/>
          <w:iCs/>
          <w:sz w:val="20"/>
          <w:szCs w:val="20"/>
          <w:lang w:eastAsia="en-US"/>
        </w:rPr>
      </w:pPr>
      <w:r w:rsidRPr="003A2F86">
        <w:rPr>
          <w:rFonts w:ascii="Arial" w:eastAsia="Calibri" w:hAnsi="Arial" w:cs="Times New Roman"/>
          <w:b/>
          <w:sz w:val="20"/>
          <w:szCs w:val="20"/>
          <w:lang w:eastAsia="en-US"/>
        </w:rPr>
        <w:t>STRATEŠKI CILJ 2. – UNAPRJEĐENJE INFRASTRUKTURE</w:t>
      </w:r>
    </w:p>
    <w:p w14:paraId="0E31C170"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p>
    <w:p w14:paraId="25D69712"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 xml:space="preserve">Unaprjeđenje infrastrukture ostvarit će se kroz 7 prioriteta: </w:t>
      </w:r>
    </w:p>
    <w:p w14:paraId="346E4C8E"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p>
    <w:p w14:paraId="067BB436"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2.1. Unaprjeđenje prometne infrastrukture</w:t>
      </w:r>
    </w:p>
    <w:p w14:paraId="52BD402D"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2.2. Unaprjeđenje prostornog uređenja i komunalne infrastrukture</w:t>
      </w:r>
    </w:p>
    <w:p w14:paraId="4153DFE8"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2.3. Unaprjeđenje društvene, kulturne i turističke infrastrukture</w:t>
      </w:r>
    </w:p>
    <w:p w14:paraId="49C18DCA"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2.4. Razvoj stambene infrastrukture</w:t>
      </w:r>
    </w:p>
    <w:p w14:paraId="2169554D"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2.5. Unaprjeđenje poljoprivredne infrastrukture</w:t>
      </w:r>
    </w:p>
    <w:p w14:paraId="60FA396C"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2.6. Zaštita okoliša</w:t>
      </w:r>
    </w:p>
    <w:p w14:paraId="7A79C4E3"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2.7. Odgovorno i učinkovito upravljanje imovinom u vlasništvu Općine Konavle</w:t>
      </w:r>
    </w:p>
    <w:p w14:paraId="2C8344CF"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p>
    <w:p w14:paraId="42F374EB" w14:textId="77777777" w:rsidR="003D4E85" w:rsidRPr="003A2F86" w:rsidRDefault="003D4E85">
      <w:pPr>
        <w:numPr>
          <w:ilvl w:val="0"/>
          <w:numId w:val="23"/>
        </w:numPr>
        <w:shd w:val="clear" w:color="auto" w:fill="DAEEF3"/>
        <w:autoSpaceDE w:val="0"/>
        <w:autoSpaceDN w:val="0"/>
        <w:adjustRightInd w:val="0"/>
        <w:spacing w:after="0" w:line="240" w:lineRule="auto"/>
        <w:contextualSpacing/>
        <w:rPr>
          <w:rFonts w:ascii="Arial" w:eastAsia="Calibri" w:hAnsi="Arial" w:cs="Arial"/>
          <w:b/>
          <w:bCs/>
          <w:i/>
          <w:iCs/>
          <w:sz w:val="20"/>
          <w:szCs w:val="20"/>
          <w:lang w:eastAsia="en-US"/>
        </w:rPr>
      </w:pPr>
      <w:r w:rsidRPr="003A2F86">
        <w:rPr>
          <w:rFonts w:ascii="Arial" w:eastAsia="Calibri" w:hAnsi="Arial" w:cs="Times New Roman"/>
          <w:b/>
          <w:sz w:val="20"/>
          <w:szCs w:val="20"/>
          <w:lang w:eastAsia="en-US"/>
        </w:rPr>
        <w:t>STRATEŠKI CILJ 3. – UNAPRJEĐENJE KVALITETE ŽIVOTA I RAZVOJ DRUŠTVENE ZAJEDNICE NA NAČELIMA KOHEZIJE I UKLJUČIVOSTI</w:t>
      </w:r>
    </w:p>
    <w:p w14:paraId="10D92C4C" w14:textId="77777777" w:rsidR="003D4E85" w:rsidRPr="003A2F86" w:rsidRDefault="003D4E85" w:rsidP="003D4E85">
      <w:pPr>
        <w:autoSpaceDE w:val="0"/>
        <w:autoSpaceDN w:val="0"/>
        <w:adjustRightInd w:val="0"/>
        <w:spacing w:after="0" w:line="240" w:lineRule="auto"/>
        <w:jc w:val="both"/>
        <w:rPr>
          <w:rFonts w:ascii="Arial" w:eastAsia="Times New Roman" w:hAnsi="Arial" w:cs="Arial"/>
          <w:sz w:val="20"/>
          <w:szCs w:val="20"/>
        </w:rPr>
      </w:pPr>
    </w:p>
    <w:p w14:paraId="768519AD" w14:textId="77777777" w:rsidR="003D4E85" w:rsidRPr="003A2F86" w:rsidRDefault="003D4E85" w:rsidP="003D4E85">
      <w:pPr>
        <w:spacing w:after="0" w:line="240" w:lineRule="auto"/>
        <w:jc w:val="both"/>
        <w:rPr>
          <w:rFonts w:ascii="Arial" w:eastAsia="Calibri" w:hAnsi="Arial" w:cs="Times New Roman"/>
          <w:bCs/>
          <w:sz w:val="20"/>
          <w:szCs w:val="20"/>
          <w:lang w:eastAsia="en-US"/>
        </w:rPr>
      </w:pPr>
      <w:r w:rsidRPr="003A2F86">
        <w:rPr>
          <w:rFonts w:ascii="Arial" w:eastAsia="Calibri" w:hAnsi="Arial" w:cs="Times New Roman"/>
          <w:bCs/>
          <w:sz w:val="20"/>
          <w:szCs w:val="20"/>
          <w:lang w:eastAsia="en-US"/>
        </w:rPr>
        <w:t xml:space="preserve">Unaprjeđenje kvalitete života i razvoj društvene zajednice na načelima kohezije i uključivosti ostvarit će se kroz 6 prioriteta: </w:t>
      </w:r>
    </w:p>
    <w:p w14:paraId="6B36F948" w14:textId="77777777" w:rsidR="003D4E85" w:rsidRPr="003A2F86" w:rsidRDefault="003D4E85" w:rsidP="003D4E85">
      <w:pPr>
        <w:spacing w:after="0" w:line="240" w:lineRule="auto"/>
        <w:jc w:val="both"/>
        <w:rPr>
          <w:rFonts w:ascii="Arial" w:eastAsia="Calibri" w:hAnsi="Arial" w:cs="Times New Roman"/>
          <w:bCs/>
          <w:sz w:val="20"/>
          <w:szCs w:val="20"/>
          <w:lang w:eastAsia="en-US"/>
        </w:rPr>
      </w:pPr>
    </w:p>
    <w:p w14:paraId="37062DAD" w14:textId="77777777" w:rsidR="003D4E85" w:rsidRPr="003A2F86" w:rsidRDefault="003D4E85" w:rsidP="003D4E85">
      <w:pPr>
        <w:spacing w:after="0" w:line="240" w:lineRule="auto"/>
        <w:ind w:firstLine="708"/>
        <w:jc w:val="both"/>
        <w:rPr>
          <w:rFonts w:ascii="Arial" w:eastAsia="Calibri" w:hAnsi="Arial" w:cs="Times New Roman"/>
          <w:bCs/>
          <w:sz w:val="20"/>
          <w:szCs w:val="20"/>
          <w:lang w:eastAsia="en-US"/>
        </w:rPr>
      </w:pPr>
      <w:r w:rsidRPr="003A2F86">
        <w:rPr>
          <w:rFonts w:ascii="Arial" w:eastAsia="Calibri" w:hAnsi="Arial" w:cs="Times New Roman"/>
          <w:bCs/>
          <w:sz w:val="20"/>
          <w:szCs w:val="20"/>
          <w:lang w:eastAsia="en-US"/>
        </w:rPr>
        <w:t>3.1. Razvoj zdravstvene i socijalne zaštite</w:t>
      </w:r>
    </w:p>
    <w:p w14:paraId="03131CB2" w14:textId="77777777" w:rsidR="003D4E85" w:rsidRPr="003A2F86" w:rsidRDefault="003D4E85" w:rsidP="003D4E85">
      <w:pPr>
        <w:spacing w:after="0" w:line="240" w:lineRule="auto"/>
        <w:ind w:firstLine="708"/>
        <w:jc w:val="both"/>
        <w:rPr>
          <w:rFonts w:ascii="Arial" w:eastAsia="Calibri" w:hAnsi="Arial" w:cs="Times New Roman"/>
          <w:bCs/>
          <w:sz w:val="20"/>
          <w:szCs w:val="20"/>
          <w:lang w:eastAsia="en-US"/>
        </w:rPr>
      </w:pPr>
      <w:r w:rsidRPr="003A2F86">
        <w:rPr>
          <w:rFonts w:ascii="Arial" w:eastAsia="Calibri" w:hAnsi="Arial" w:cs="Times New Roman"/>
          <w:bCs/>
          <w:sz w:val="20"/>
          <w:szCs w:val="20"/>
          <w:lang w:eastAsia="en-US"/>
        </w:rPr>
        <w:t>3.2. Unaprjeđenje predškolskog odgoja i sustava obrazovanja</w:t>
      </w:r>
    </w:p>
    <w:p w14:paraId="0F4079C9" w14:textId="77777777" w:rsidR="003D4E85" w:rsidRPr="003A2F86" w:rsidRDefault="003D4E85" w:rsidP="003D4E85">
      <w:pPr>
        <w:spacing w:after="0" w:line="240" w:lineRule="auto"/>
        <w:ind w:firstLine="708"/>
        <w:jc w:val="both"/>
        <w:rPr>
          <w:rFonts w:ascii="Arial" w:eastAsia="Calibri" w:hAnsi="Arial" w:cs="Arial"/>
          <w:bCs/>
          <w:sz w:val="20"/>
          <w:szCs w:val="20"/>
          <w:lang w:eastAsia="en-US"/>
        </w:rPr>
      </w:pPr>
      <w:r w:rsidRPr="003A2F86">
        <w:rPr>
          <w:rFonts w:ascii="Arial" w:eastAsia="Calibri" w:hAnsi="Arial" w:cs="Arial"/>
          <w:bCs/>
          <w:sz w:val="20"/>
          <w:szCs w:val="20"/>
          <w:lang w:eastAsia="en-US"/>
        </w:rPr>
        <w:t>3.3. Razvoj sportskih i rekreativnih programa, poticanje aktivne uloge mladih i civilnih inicijativa u lokalnoj zajednici</w:t>
      </w:r>
    </w:p>
    <w:p w14:paraId="378CD270" w14:textId="77777777" w:rsidR="003D4E85" w:rsidRPr="003A2F86" w:rsidRDefault="003D4E85" w:rsidP="003D4E85">
      <w:pPr>
        <w:spacing w:after="0" w:line="240" w:lineRule="auto"/>
        <w:ind w:firstLine="708"/>
        <w:jc w:val="both"/>
        <w:rPr>
          <w:rFonts w:ascii="Arial" w:eastAsia="Calibri" w:hAnsi="Arial" w:cs="Arial"/>
          <w:bCs/>
          <w:sz w:val="20"/>
          <w:szCs w:val="20"/>
          <w:lang w:eastAsia="en-US"/>
        </w:rPr>
      </w:pPr>
      <w:r w:rsidRPr="003A2F86">
        <w:rPr>
          <w:rFonts w:ascii="Arial" w:eastAsia="Calibri" w:hAnsi="Arial" w:cs="Arial"/>
          <w:bCs/>
          <w:sz w:val="20"/>
          <w:szCs w:val="20"/>
          <w:lang w:eastAsia="en-US"/>
        </w:rPr>
        <w:t>3.4. Očuvanje i razvoj kulturno-povijesne baštine te kulturnih i turističkih sadržaja</w:t>
      </w:r>
    </w:p>
    <w:p w14:paraId="3071E8EE" w14:textId="77777777" w:rsidR="003D4E85" w:rsidRPr="003A2F86" w:rsidRDefault="003D4E85" w:rsidP="003D4E85">
      <w:pPr>
        <w:spacing w:after="0" w:line="240" w:lineRule="auto"/>
        <w:ind w:firstLine="708"/>
        <w:jc w:val="both"/>
        <w:rPr>
          <w:rFonts w:ascii="Arial" w:eastAsia="Calibri" w:hAnsi="Arial" w:cs="Arial"/>
          <w:bCs/>
          <w:sz w:val="20"/>
          <w:szCs w:val="20"/>
          <w:lang w:eastAsia="en-US"/>
        </w:rPr>
      </w:pPr>
      <w:r w:rsidRPr="003A2F86">
        <w:rPr>
          <w:rFonts w:ascii="Arial" w:eastAsia="Calibri" w:hAnsi="Arial" w:cs="Arial"/>
          <w:bCs/>
          <w:sz w:val="20"/>
          <w:szCs w:val="20"/>
          <w:lang w:eastAsia="en-US"/>
        </w:rPr>
        <w:t>3.5. Jačanje ljudskih potencijala, povećanje stručne kompetentnosti u javnim uslugama, poticanje zapošljivosti i provedba demografskih mjera</w:t>
      </w:r>
    </w:p>
    <w:p w14:paraId="1D01CEED" w14:textId="77777777" w:rsidR="003D4E85" w:rsidRPr="003A2F86" w:rsidRDefault="003D4E85" w:rsidP="003D4E85">
      <w:pPr>
        <w:spacing w:after="0" w:line="240" w:lineRule="auto"/>
        <w:ind w:firstLine="708"/>
        <w:jc w:val="both"/>
        <w:rPr>
          <w:rFonts w:ascii="Arial" w:eastAsia="Calibri" w:hAnsi="Arial" w:cs="Arial"/>
          <w:bCs/>
          <w:sz w:val="20"/>
          <w:szCs w:val="20"/>
          <w:lang w:eastAsia="en-US"/>
        </w:rPr>
      </w:pPr>
      <w:r w:rsidRPr="003A2F86">
        <w:rPr>
          <w:rFonts w:ascii="Arial" w:eastAsia="Calibri" w:hAnsi="Arial" w:cs="Arial"/>
          <w:bCs/>
          <w:sz w:val="20"/>
          <w:szCs w:val="20"/>
          <w:lang w:eastAsia="en-US"/>
        </w:rPr>
        <w:t>3.6. Unaprjeđenje sustava sigurnosti</w:t>
      </w:r>
    </w:p>
    <w:p w14:paraId="696C131E" w14:textId="77777777" w:rsidR="003D4E85" w:rsidRPr="003A2F86" w:rsidRDefault="003D4E85" w:rsidP="003D4E85">
      <w:pPr>
        <w:autoSpaceDE w:val="0"/>
        <w:autoSpaceDN w:val="0"/>
        <w:adjustRightInd w:val="0"/>
        <w:spacing w:after="0" w:line="240" w:lineRule="auto"/>
        <w:jc w:val="both"/>
        <w:rPr>
          <w:rFonts w:ascii="Arial" w:eastAsia="Times New Roman" w:hAnsi="Arial" w:cs="Arial"/>
        </w:rPr>
      </w:pPr>
    </w:p>
    <w:p w14:paraId="72264880" w14:textId="77777777" w:rsidR="003D4E85" w:rsidRPr="0028236A" w:rsidRDefault="003D4E85" w:rsidP="003D4E85">
      <w:pPr>
        <w:autoSpaceDE w:val="0"/>
        <w:autoSpaceDN w:val="0"/>
        <w:adjustRightInd w:val="0"/>
        <w:spacing w:after="0" w:line="240" w:lineRule="auto"/>
        <w:jc w:val="both"/>
        <w:rPr>
          <w:rFonts w:ascii="Arial" w:eastAsia="Times New Roman" w:hAnsi="Arial" w:cs="Arial"/>
          <w:sz w:val="20"/>
          <w:szCs w:val="20"/>
        </w:rPr>
      </w:pPr>
      <w:r w:rsidRPr="0028236A">
        <w:rPr>
          <w:rFonts w:ascii="Arial" w:eastAsia="Times New Roman" w:hAnsi="Arial" w:cs="Arial"/>
          <w:sz w:val="20"/>
          <w:szCs w:val="20"/>
        </w:rPr>
        <w:t xml:space="preserve">Projekti se najvećim dijelom realiziraju kroz </w:t>
      </w:r>
      <w:r w:rsidRPr="0028236A">
        <w:rPr>
          <w:rFonts w:ascii="Arial" w:eastAsia="Times New Roman" w:hAnsi="Arial" w:cs="Arial"/>
          <w:b/>
          <w:sz w:val="20"/>
          <w:szCs w:val="20"/>
        </w:rPr>
        <w:t>razdjel 030</w:t>
      </w:r>
      <w:r w:rsidRPr="0028236A">
        <w:rPr>
          <w:rFonts w:ascii="Arial" w:eastAsia="Times New Roman" w:hAnsi="Arial" w:cs="Arial"/>
          <w:sz w:val="20"/>
          <w:szCs w:val="20"/>
        </w:rPr>
        <w:t xml:space="preserve"> –Upravni odjel za komunalni sustav i gospodarenje nekretninama u suradnji s </w:t>
      </w:r>
      <w:r w:rsidRPr="0028236A">
        <w:rPr>
          <w:rFonts w:ascii="Arial" w:eastAsia="Times New Roman" w:hAnsi="Arial" w:cs="Arial"/>
          <w:b/>
          <w:bCs/>
          <w:sz w:val="20"/>
          <w:szCs w:val="20"/>
        </w:rPr>
        <w:t>razdjelom</w:t>
      </w:r>
      <w:r w:rsidRPr="0028236A">
        <w:rPr>
          <w:rFonts w:ascii="Arial" w:eastAsia="Times New Roman" w:hAnsi="Arial" w:cs="Arial"/>
          <w:sz w:val="20"/>
          <w:szCs w:val="20"/>
        </w:rPr>
        <w:t xml:space="preserve"> </w:t>
      </w:r>
      <w:r w:rsidRPr="0028236A">
        <w:rPr>
          <w:rFonts w:ascii="Arial" w:eastAsia="Times New Roman" w:hAnsi="Arial" w:cs="Arial"/>
          <w:b/>
          <w:bCs/>
          <w:sz w:val="20"/>
          <w:szCs w:val="20"/>
        </w:rPr>
        <w:t>040</w:t>
      </w:r>
      <w:r w:rsidRPr="0028236A">
        <w:rPr>
          <w:rFonts w:ascii="Arial" w:eastAsia="Times New Roman" w:hAnsi="Arial" w:cs="Arial"/>
          <w:sz w:val="20"/>
          <w:szCs w:val="20"/>
        </w:rPr>
        <w:t xml:space="preserve"> – Upravni odjel za ruralni razvoj, gospodarstvo i EU fondove. </w:t>
      </w:r>
    </w:p>
    <w:p w14:paraId="41B85833" w14:textId="77777777" w:rsidR="003D4E85" w:rsidRPr="0028236A" w:rsidRDefault="003D4E85" w:rsidP="003D4E85">
      <w:pPr>
        <w:autoSpaceDE w:val="0"/>
        <w:autoSpaceDN w:val="0"/>
        <w:adjustRightInd w:val="0"/>
        <w:spacing w:after="0" w:line="240" w:lineRule="auto"/>
        <w:jc w:val="both"/>
        <w:rPr>
          <w:rFonts w:ascii="Arial" w:eastAsia="Times New Roman" w:hAnsi="Arial" w:cs="Arial"/>
          <w:sz w:val="20"/>
          <w:szCs w:val="20"/>
        </w:rPr>
      </w:pPr>
    </w:p>
    <w:p w14:paraId="581C868D" w14:textId="77777777" w:rsidR="003D4E85" w:rsidRPr="0028236A" w:rsidRDefault="003D4E85" w:rsidP="003D4E85">
      <w:pPr>
        <w:autoSpaceDE w:val="0"/>
        <w:autoSpaceDN w:val="0"/>
        <w:adjustRightInd w:val="0"/>
        <w:spacing w:after="0" w:line="240" w:lineRule="auto"/>
        <w:jc w:val="both"/>
        <w:rPr>
          <w:rFonts w:ascii="Arial" w:eastAsia="Times New Roman" w:hAnsi="Arial" w:cs="Arial"/>
          <w:b/>
          <w:sz w:val="20"/>
          <w:szCs w:val="20"/>
        </w:rPr>
      </w:pPr>
      <w:r w:rsidRPr="0028236A">
        <w:rPr>
          <w:rFonts w:ascii="Arial" w:eastAsia="Times New Roman" w:hAnsi="Arial" w:cs="Arial"/>
          <w:b/>
          <w:sz w:val="20"/>
          <w:szCs w:val="20"/>
        </w:rPr>
        <w:t xml:space="preserve">RAZDJEL 030: </w:t>
      </w:r>
    </w:p>
    <w:p w14:paraId="5962A9E2" w14:textId="77777777" w:rsidR="003D4E85" w:rsidRPr="0028236A" w:rsidRDefault="003D4E85" w:rsidP="003D4E85">
      <w:pPr>
        <w:autoSpaceDE w:val="0"/>
        <w:autoSpaceDN w:val="0"/>
        <w:adjustRightInd w:val="0"/>
        <w:spacing w:after="0" w:line="240" w:lineRule="auto"/>
        <w:jc w:val="both"/>
        <w:rPr>
          <w:rFonts w:ascii="Arial" w:eastAsia="Times New Roman" w:hAnsi="Arial" w:cs="Arial"/>
          <w:sz w:val="20"/>
          <w:szCs w:val="20"/>
        </w:rPr>
      </w:pPr>
      <w:r w:rsidRPr="0028236A">
        <w:rPr>
          <w:rFonts w:ascii="Arial" w:eastAsia="Times New Roman" w:hAnsi="Arial" w:cs="Arial"/>
          <w:b/>
          <w:sz w:val="20"/>
          <w:szCs w:val="20"/>
        </w:rPr>
        <w:t>Glava 01</w:t>
      </w:r>
      <w:r w:rsidRPr="0028236A">
        <w:rPr>
          <w:rFonts w:ascii="Arial" w:eastAsia="Times New Roman" w:hAnsi="Arial" w:cs="Arial"/>
          <w:sz w:val="20"/>
          <w:szCs w:val="20"/>
        </w:rPr>
        <w:t xml:space="preserve"> – Upravni odjel za komunalni sustav i gospodarenje nekretninama </w:t>
      </w:r>
    </w:p>
    <w:p w14:paraId="391C3B10" w14:textId="77777777" w:rsidR="003D4E85" w:rsidRPr="0028236A" w:rsidRDefault="003D4E85" w:rsidP="003D4E85">
      <w:pPr>
        <w:autoSpaceDE w:val="0"/>
        <w:autoSpaceDN w:val="0"/>
        <w:adjustRightInd w:val="0"/>
        <w:spacing w:after="0" w:line="240" w:lineRule="auto"/>
        <w:jc w:val="both"/>
        <w:rPr>
          <w:rFonts w:ascii="Arial" w:eastAsia="Times New Roman" w:hAnsi="Arial" w:cs="Arial"/>
          <w:sz w:val="20"/>
          <w:szCs w:val="20"/>
        </w:rPr>
      </w:pPr>
      <w:r w:rsidRPr="0028236A">
        <w:rPr>
          <w:rFonts w:ascii="Arial" w:eastAsia="Times New Roman" w:hAnsi="Arial" w:cs="Arial"/>
          <w:sz w:val="20"/>
          <w:szCs w:val="20"/>
        </w:rPr>
        <w:t>- PROGRAM 2092 Gradnja komunalne infrastrukture</w:t>
      </w:r>
    </w:p>
    <w:p w14:paraId="0B12A73D" w14:textId="77777777" w:rsidR="003D4E85" w:rsidRPr="0028236A" w:rsidRDefault="003D4E85" w:rsidP="003D4E85">
      <w:pPr>
        <w:autoSpaceDE w:val="0"/>
        <w:autoSpaceDN w:val="0"/>
        <w:adjustRightInd w:val="0"/>
        <w:spacing w:after="0" w:line="240" w:lineRule="auto"/>
        <w:jc w:val="both"/>
        <w:rPr>
          <w:rFonts w:ascii="Arial" w:eastAsia="Times New Roman" w:hAnsi="Arial" w:cs="Arial"/>
          <w:sz w:val="20"/>
          <w:szCs w:val="20"/>
        </w:rPr>
      </w:pPr>
      <w:r w:rsidRPr="0028236A">
        <w:rPr>
          <w:rFonts w:ascii="Arial" w:eastAsia="Times New Roman" w:hAnsi="Arial" w:cs="Arial"/>
          <w:sz w:val="20"/>
          <w:szCs w:val="20"/>
        </w:rPr>
        <w:t>- PROGRAM 2093 Izgradnja objekata i uređaja, te nabava opreme za prijevoz putnika, održavanje čistoće i odlaganje komunalnog otpada i tržnice</w:t>
      </w:r>
    </w:p>
    <w:p w14:paraId="65A67B24" w14:textId="77777777" w:rsidR="003D4E85" w:rsidRPr="0028236A" w:rsidRDefault="003D4E85" w:rsidP="003D4E85">
      <w:pPr>
        <w:autoSpaceDE w:val="0"/>
        <w:autoSpaceDN w:val="0"/>
        <w:adjustRightInd w:val="0"/>
        <w:spacing w:after="0" w:line="240" w:lineRule="auto"/>
        <w:jc w:val="both"/>
        <w:rPr>
          <w:rFonts w:ascii="Arial" w:eastAsia="Times New Roman" w:hAnsi="Arial" w:cs="Arial"/>
          <w:sz w:val="20"/>
          <w:szCs w:val="20"/>
        </w:rPr>
      </w:pPr>
      <w:r w:rsidRPr="0028236A">
        <w:rPr>
          <w:rFonts w:ascii="Arial" w:eastAsia="Times New Roman" w:hAnsi="Arial" w:cs="Arial"/>
          <w:sz w:val="20"/>
          <w:szCs w:val="20"/>
        </w:rPr>
        <w:t>- PROGRAM 2094 Plan gradnje komunalnih vodnih građevina</w:t>
      </w:r>
    </w:p>
    <w:p w14:paraId="3ECF05D2" w14:textId="77777777" w:rsidR="003D4E85" w:rsidRPr="0028236A" w:rsidRDefault="003D4E85" w:rsidP="003D4E85">
      <w:pPr>
        <w:autoSpaceDE w:val="0"/>
        <w:autoSpaceDN w:val="0"/>
        <w:adjustRightInd w:val="0"/>
        <w:spacing w:after="0" w:line="240" w:lineRule="auto"/>
        <w:jc w:val="both"/>
        <w:rPr>
          <w:rFonts w:ascii="Arial" w:eastAsia="Times New Roman" w:hAnsi="Arial" w:cs="Arial"/>
          <w:sz w:val="20"/>
          <w:szCs w:val="20"/>
        </w:rPr>
      </w:pPr>
      <w:r w:rsidRPr="0028236A">
        <w:rPr>
          <w:rFonts w:ascii="Arial" w:eastAsia="Times New Roman" w:hAnsi="Arial" w:cs="Arial"/>
          <w:sz w:val="20"/>
          <w:szCs w:val="20"/>
        </w:rPr>
        <w:t>- PROGRAM 2096 Program gradnje građevina za gospodarenje komunalnim otpadom</w:t>
      </w:r>
    </w:p>
    <w:p w14:paraId="271F18CA" w14:textId="77777777" w:rsidR="003D4E85" w:rsidRPr="0028236A" w:rsidRDefault="003D4E85" w:rsidP="003D4E85">
      <w:pPr>
        <w:autoSpaceDE w:val="0"/>
        <w:autoSpaceDN w:val="0"/>
        <w:adjustRightInd w:val="0"/>
        <w:spacing w:after="0" w:line="240" w:lineRule="auto"/>
        <w:jc w:val="both"/>
        <w:rPr>
          <w:rFonts w:ascii="Arial" w:eastAsia="Times New Roman" w:hAnsi="Arial" w:cs="Arial"/>
          <w:sz w:val="20"/>
          <w:szCs w:val="20"/>
        </w:rPr>
      </w:pPr>
      <w:r w:rsidRPr="0028236A">
        <w:rPr>
          <w:rFonts w:ascii="Arial" w:eastAsia="Times New Roman" w:hAnsi="Arial" w:cs="Arial"/>
          <w:sz w:val="20"/>
          <w:szCs w:val="20"/>
        </w:rPr>
        <w:t>- PROGRAM 2073 Pripremne aktivnosti u protupožarnoj zaštiti, te zaštita i spašavanje</w:t>
      </w:r>
    </w:p>
    <w:p w14:paraId="6F06CC81" w14:textId="77777777" w:rsidR="003D4E85" w:rsidRPr="0028236A" w:rsidRDefault="003D4E85" w:rsidP="003D4E85">
      <w:pPr>
        <w:autoSpaceDE w:val="0"/>
        <w:autoSpaceDN w:val="0"/>
        <w:adjustRightInd w:val="0"/>
        <w:spacing w:after="0" w:line="240" w:lineRule="auto"/>
        <w:jc w:val="both"/>
        <w:rPr>
          <w:rFonts w:ascii="Arial" w:eastAsia="Times New Roman" w:hAnsi="Arial" w:cs="Arial"/>
          <w:sz w:val="20"/>
          <w:szCs w:val="20"/>
        </w:rPr>
      </w:pPr>
      <w:r w:rsidRPr="0028236A">
        <w:rPr>
          <w:rFonts w:ascii="Arial" w:eastAsia="Times New Roman" w:hAnsi="Arial" w:cs="Arial"/>
          <w:sz w:val="20"/>
          <w:szCs w:val="20"/>
        </w:rPr>
        <w:t>- PROGRAM 2101 Izgradnja i uređenje objekata javne namjene – predškolski odgoj i školstvo</w:t>
      </w:r>
    </w:p>
    <w:p w14:paraId="72E069DF" w14:textId="77777777" w:rsidR="003D4E85" w:rsidRPr="0028236A" w:rsidRDefault="003D4E85" w:rsidP="003D4E85">
      <w:pPr>
        <w:autoSpaceDE w:val="0"/>
        <w:autoSpaceDN w:val="0"/>
        <w:adjustRightInd w:val="0"/>
        <w:spacing w:after="0" w:line="240" w:lineRule="auto"/>
        <w:jc w:val="both"/>
        <w:rPr>
          <w:rFonts w:ascii="Arial" w:eastAsia="Times New Roman" w:hAnsi="Arial" w:cs="Arial"/>
          <w:sz w:val="20"/>
          <w:szCs w:val="20"/>
        </w:rPr>
      </w:pPr>
      <w:r w:rsidRPr="0028236A">
        <w:rPr>
          <w:rFonts w:ascii="Arial" w:eastAsia="Times New Roman" w:hAnsi="Arial" w:cs="Arial"/>
          <w:sz w:val="20"/>
          <w:szCs w:val="20"/>
        </w:rPr>
        <w:t>- PROGRAM 2102 Izgradnja i uređenje objekata javne namjene – sport</w:t>
      </w:r>
    </w:p>
    <w:bookmarkEnd w:id="788"/>
    <w:p w14:paraId="465A3CC6" w14:textId="0EDA6555" w:rsidR="00C047C7" w:rsidRPr="0028236A" w:rsidRDefault="00C047C7" w:rsidP="00CB22F6">
      <w:pPr>
        <w:spacing w:after="0" w:line="240" w:lineRule="auto"/>
        <w:jc w:val="both"/>
        <w:rPr>
          <w:rFonts w:ascii="Arial" w:eastAsia="Times New Roman" w:hAnsi="Arial" w:cs="Arial"/>
          <w:sz w:val="18"/>
          <w:szCs w:val="18"/>
          <w:lang w:eastAsia="en-US"/>
        </w:rPr>
      </w:pPr>
    </w:p>
    <w:p w14:paraId="6C1DCA3F" w14:textId="5D181061" w:rsidR="003D4E85" w:rsidRPr="003A2F86" w:rsidRDefault="003D4E85" w:rsidP="00CB22F6">
      <w:pPr>
        <w:spacing w:after="0" w:line="240" w:lineRule="auto"/>
        <w:jc w:val="both"/>
        <w:rPr>
          <w:rFonts w:ascii="Arial" w:eastAsia="Times New Roman" w:hAnsi="Arial" w:cs="Arial"/>
          <w:b/>
          <w:bCs/>
          <w:color w:val="0070C0"/>
          <w:sz w:val="20"/>
          <w:szCs w:val="20"/>
          <w:u w:val="single"/>
          <w:lang w:eastAsia="en-US"/>
        </w:rPr>
      </w:pPr>
      <w:bookmarkStart w:id="789" w:name="_Hlk146543365"/>
      <w:r w:rsidRPr="003A2F86">
        <w:rPr>
          <w:rFonts w:ascii="Arial" w:eastAsia="Times New Roman" w:hAnsi="Arial" w:cs="Arial"/>
          <w:b/>
          <w:bCs/>
          <w:color w:val="0070C0"/>
          <w:sz w:val="20"/>
          <w:szCs w:val="20"/>
          <w:u w:val="single"/>
          <w:lang w:eastAsia="en-US"/>
        </w:rPr>
        <w:t>U nastavku se daje pregled prioriteta i ciljeva prikazanih u Provedbenom programu Općine Konavle za razdoblje 2022.-2025. iz prosinca 2021. godine</w:t>
      </w:r>
      <w:r w:rsidR="007240F7">
        <w:rPr>
          <w:rFonts w:ascii="Arial" w:eastAsia="Times New Roman" w:hAnsi="Arial" w:cs="Arial"/>
          <w:b/>
          <w:bCs/>
          <w:color w:val="0070C0"/>
          <w:sz w:val="20"/>
          <w:szCs w:val="20"/>
          <w:u w:val="single"/>
          <w:lang w:eastAsia="en-US"/>
        </w:rPr>
        <w:t xml:space="preserve">, odnosno Provedbenom programu </w:t>
      </w:r>
      <w:r w:rsidR="007240F7" w:rsidRPr="003A2F86">
        <w:rPr>
          <w:rFonts w:ascii="Arial" w:eastAsia="Times New Roman" w:hAnsi="Arial" w:cs="Arial"/>
          <w:b/>
          <w:bCs/>
          <w:color w:val="0070C0"/>
          <w:sz w:val="20"/>
          <w:szCs w:val="20"/>
          <w:u w:val="single"/>
          <w:lang w:eastAsia="en-US"/>
        </w:rPr>
        <w:t>Općine Konavle za razdoblje 202</w:t>
      </w:r>
      <w:r w:rsidR="007240F7">
        <w:rPr>
          <w:rFonts w:ascii="Arial" w:eastAsia="Times New Roman" w:hAnsi="Arial" w:cs="Arial"/>
          <w:b/>
          <w:bCs/>
          <w:color w:val="0070C0"/>
          <w:sz w:val="20"/>
          <w:szCs w:val="20"/>
          <w:u w:val="single"/>
          <w:lang w:eastAsia="en-US"/>
        </w:rPr>
        <w:t>5</w:t>
      </w:r>
      <w:r w:rsidR="007240F7" w:rsidRPr="003A2F86">
        <w:rPr>
          <w:rFonts w:ascii="Arial" w:eastAsia="Times New Roman" w:hAnsi="Arial" w:cs="Arial"/>
          <w:b/>
          <w:bCs/>
          <w:color w:val="0070C0"/>
          <w:sz w:val="20"/>
          <w:szCs w:val="20"/>
          <w:u w:val="single"/>
          <w:lang w:eastAsia="en-US"/>
        </w:rPr>
        <w:t>.-202</w:t>
      </w:r>
      <w:r w:rsidR="007240F7">
        <w:rPr>
          <w:rFonts w:ascii="Arial" w:eastAsia="Times New Roman" w:hAnsi="Arial" w:cs="Arial"/>
          <w:b/>
          <w:bCs/>
          <w:color w:val="0070C0"/>
          <w:sz w:val="20"/>
          <w:szCs w:val="20"/>
          <w:u w:val="single"/>
          <w:lang w:eastAsia="en-US"/>
        </w:rPr>
        <w:t>9</w:t>
      </w:r>
      <w:r w:rsidR="007240F7" w:rsidRPr="003A2F86">
        <w:rPr>
          <w:rFonts w:ascii="Arial" w:eastAsia="Times New Roman" w:hAnsi="Arial" w:cs="Arial"/>
          <w:b/>
          <w:bCs/>
          <w:color w:val="0070C0"/>
          <w:sz w:val="20"/>
          <w:szCs w:val="20"/>
          <w:u w:val="single"/>
          <w:lang w:eastAsia="en-US"/>
        </w:rPr>
        <w:t xml:space="preserve">. iz </w:t>
      </w:r>
      <w:r w:rsidR="007240F7">
        <w:rPr>
          <w:rFonts w:ascii="Arial" w:eastAsia="Times New Roman" w:hAnsi="Arial" w:cs="Arial"/>
          <w:b/>
          <w:bCs/>
          <w:color w:val="0070C0"/>
          <w:sz w:val="20"/>
          <w:szCs w:val="20"/>
          <w:u w:val="single"/>
          <w:lang w:eastAsia="en-US"/>
        </w:rPr>
        <w:t>rujna</w:t>
      </w:r>
      <w:r w:rsidR="007240F7" w:rsidRPr="003A2F86">
        <w:rPr>
          <w:rFonts w:ascii="Arial" w:eastAsia="Times New Roman" w:hAnsi="Arial" w:cs="Arial"/>
          <w:b/>
          <w:bCs/>
          <w:color w:val="0070C0"/>
          <w:sz w:val="20"/>
          <w:szCs w:val="20"/>
          <w:u w:val="single"/>
          <w:lang w:eastAsia="en-US"/>
        </w:rPr>
        <w:t xml:space="preserve"> 202</w:t>
      </w:r>
      <w:r w:rsidR="007240F7">
        <w:rPr>
          <w:rFonts w:ascii="Arial" w:eastAsia="Times New Roman" w:hAnsi="Arial" w:cs="Arial"/>
          <w:b/>
          <w:bCs/>
          <w:color w:val="0070C0"/>
          <w:sz w:val="20"/>
          <w:szCs w:val="20"/>
          <w:u w:val="single"/>
          <w:lang w:eastAsia="en-US"/>
        </w:rPr>
        <w:t>5</w:t>
      </w:r>
      <w:r w:rsidR="007240F7" w:rsidRPr="003A2F86">
        <w:rPr>
          <w:rFonts w:ascii="Arial" w:eastAsia="Times New Roman" w:hAnsi="Arial" w:cs="Arial"/>
          <w:b/>
          <w:bCs/>
          <w:color w:val="0070C0"/>
          <w:sz w:val="20"/>
          <w:szCs w:val="20"/>
          <w:u w:val="single"/>
          <w:lang w:eastAsia="en-US"/>
        </w:rPr>
        <w:t>. godine</w:t>
      </w:r>
      <w:r w:rsidR="007240F7">
        <w:rPr>
          <w:rFonts w:ascii="Arial" w:eastAsia="Times New Roman" w:hAnsi="Arial" w:cs="Arial"/>
          <w:b/>
          <w:bCs/>
          <w:color w:val="0070C0"/>
          <w:sz w:val="20"/>
          <w:szCs w:val="20"/>
          <w:u w:val="single"/>
          <w:lang w:eastAsia="en-US"/>
        </w:rPr>
        <w:t xml:space="preserve">, koji su objavljeni </w:t>
      </w:r>
      <w:r w:rsidRPr="003A2F86">
        <w:rPr>
          <w:rFonts w:ascii="Arial" w:eastAsia="Times New Roman" w:hAnsi="Arial" w:cs="Arial"/>
          <w:b/>
          <w:bCs/>
          <w:color w:val="0070C0"/>
          <w:sz w:val="20"/>
          <w:szCs w:val="20"/>
          <w:u w:val="single"/>
          <w:lang w:eastAsia="en-US"/>
        </w:rPr>
        <w:t>na mrežnim stranicama Općine (</w:t>
      </w:r>
      <w:r w:rsidRPr="003A2F86">
        <w:rPr>
          <w:rFonts w:ascii="Arial" w:eastAsia="Times New Roman" w:hAnsi="Arial" w:cs="Arial"/>
          <w:color w:val="0070C0"/>
          <w:sz w:val="20"/>
          <w:szCs w:val="20"/>
          <w:lang w:eastAsia="en-US"/>
        </w:rPr>
        <w:t>usklađeni s prioritetima Dubrovačko-neretvanske županije iskazanim u Planu razvoja Dubrovačko-neretvanske županije za razdoblje 2021.-2027. godine):</w:t>
      </w:r>
    </w:p>
    <w:p w14:paraId="79A5FB60" w14:textId="77777777" w:rsidR="00C047C7" w:rsidRPr="003A2F86" w:rsidRDefault="00C047C7" w:rsidP="00CB22F6">
      <w:pPr>
        <w:spacing w:after="0" w:line="240" w:lineRule="auto"/>
        <w:jc w:val="both"/>
        <w:rPr>
          <w:rFonts w:ascii="Times New Roman" w:eastAsia="Times New Roman" w:hAnsi="Times New Roman" w:cs="Times New Roman"/>
          <w:sz w:val="20"/>
          <w:szCs w:val="20"/>
          <w:lang w:eastAsia="en-US"/>
        </w:rPr>
      </w:pPr>
    </w:p>
    <w:p w14:paraId="6C3C59EE" w14:textId="4CCDE333" w:rsidR="00CB22F6" w:rsidRPr="003A2F86" w:rsidRDefault="00CB22F6" w:rsidP="00CB22F6">
      <w:pPr>
        <w:spacing w:after="0" w:line="240" w:lineRule="auto"/>
        <w:jc w:val="center"/>
        <w:rPr>
          <w:rFonts w:ascii="Arial" w:eastAsia="Times New Roman" w:hAnsi="Arial" w:cs="Arial"/>
          <w:b/>
          <w:bCs/>
          <w:sz w:val="20"/>
          <w:szCs w:val="20"/>
          <w:lang w:eastAsia="en-US"/>
        </w:rPr>
      </w:pPr>
      <w:r w:rsidRPr="003A2F86">
        <w:rPr>
          <w:rFonts w:ascii="Arial" w:eastAsia="Times New Roman" w:hAnsi="Arial" w:cs="Arial"/>
          <w:b/>
          <w:bCs/>
          <w:sz w:val="20"/>
          <w:szCs w:val="20"/>
          <w:highlight w:val="yellow"/>
          <w:lang w:eastAsia="en-US"/>
        </w:rPr>
        <w:t>CILJEVI</w:t>
      </w:r>
      <w:r w:rsidR="003D4E85" w:rsidRPr="003A2F86">
        <w:rPr>
          <w:rFonts w:ascii="Arial" w:eastAsia="Times New Roman" w:hAnsi="Arial" w:cs="Arial"/>
          <w:b/>
          <w:bCs/>
          <w:sz w:val="20"/>
          <w:szCs w:val="20"/>
          <w:highlight w:val="yellow"/>
          <w:lang w:eastAsia="en-US"/>
        </w:rPr>
        <w:t xml:space="preserve"> I</w:t>
      </w:r>
      <w:r w:rsidRPr="003A2F86">
        <w:rPr>
          <w:rFonts w:ascii="Arial" w:eastAsia="Times New Roman" w:hAnsi="Arial" w:cs="Arial"/>
          <w:b/>
          <w:bCs/>
          <w:sz w:val="20"/>
          <w:szCs w:val="20"/>
          <w:highlight w:val="yellow"/>
          <w:lang w:eastAsia="en-US"/>
        </w:rPr>
        <w:t xml:space="preserve"> PRIORITETI</w:t>
      </w:r>
      <w:r w:rsidRPr="003A2F86">
        <w:rPr>
          <w:rFonts w:ascii="Arial" w:eastAsia="Times New Roman" w:hAnsi="Arial" w:cs="Arial"/>
          <w:b/>
          <w:bCs/>
          <w:sz w:val="20"/>
          <w:szCs w:val="20"/>
          <w:lang w:eastAsia="en-US"/>
        </w:rPr>
        <w:t xml:space="preserve"> </w:t>
      </w:r>
    </w:p>
    <w:p w14:paraId="6252DDB8" w14:textId="034F77EA" w:rsidR="00CB22F6" w:rsidRPr="003A2F86" w:rsidRDefault="003D4E85" w:rsidP="00CB22F6">
      <w:pPr>
        <w:spacing w:after="0" w:line="240" w:lineRule="auto"/>
        <w:ind w:firstLine="567"/>
        <w:jc w:val="both"/>
        <w:rPr>
          <w:rFonts w:ascii="Arial" w:eastAsia="Times New Roman" w:hAnsi="Arial" w:cs="Times New Roman"/>
          <w:b/>
          <w:bCs/>
          <w:sz w:val="20"/>
          <w:szCs w:val="20"/>
          <w:lang w:eastAsia="en-US"/>
        </w:rPr>
      </w:pPr>
      <w:r w:rsidRPr="003A2F86">
        <w:rPr>
          <w:rFonts w:ascii="Arial" w:eastAsia="Times New Roman" w:hAnsi="Arial" w:cs="Times New Roman"/>
          <w:b/>
          <w:bCs/>
          <w:sz w:val="20"/>
          <w:szCs w:val="20"/>
          <w:lang w:eastAsia="en-US"/>
        </w:rPr>
        <w:t>Prioriteti</w:t>
      </w:r>
      <w:r w:rsidR="00CB22F6" w:rsidRPr="003A2F86">
        <w:rPr>
          <w:rFonts w:ascii="Arial" w:eastAsia="Times New Roman" w:hAnsi="Arial" w:cs="Times New Roman"/>
          <w:b/>
          <w:bCs/>
          <w:sz w:val="20"/>
          <w:szCs w:val="20"/>
          <w:lang w:eastAsia="en-US"/>
        </w:rPr>
        <w:t>:</w:t>
      </w:r>
    </w:p>
    <w:p w14:paraId="2010C92B" w14:textId="77777777" w:rsidR="00CB22F6" w:rsidRPr="003A2F86" w:rsidRDefault="00CB22F6" w:rsidP="00CB22F6">
      <w:pPr>
        <w:spacing w:after="0" w:line="240" w:lineRule="auto"/>
        <w:jc w:val="both"/>
        <w:rPr>
          <w:rFonts w:ascii="Arial" w:eastAsia="Times New Roman" w:hAnsi="Arial" w:cs="Times New Roman"/>
          <w:sz w:val="20"/>
          <w:szCs w:val="20"/>
          <w:lang w:eastAsia="en-US"/>
        </w:rPr>
      </w:pPr>
    </w:p>
    <w:p w14:paraId="3F022A9F" w14:textId="1F182569" w:rsidR="00CB22F6" w:rsidRPr="003A2F86" w:rsidRDefault="00CB22F6" w:rsidP="00CB22F6">
      <w:pPr>
        <w:spacing w:after="0" w:line="240" w:lineRule="auto"/>
        <w:jc w:val="both"/>
        <w:rPr>
          <w:rFonts w:ascii="Arial" w:eastAsia="Times New Roman" w:hAnsi="Arial" w:cs="Times New Roman"/>
          <w:sz w:val="20"/>
          <w:szCs w:val="20"/>
          <w:lang w:eastAsia="en-US"/>
        </w:rPr>
      </w:pPr>
      <w:r w:rsidRPr="003A2F86">
        <w:rPr>
          <w:rFonts w:ascii="Arial" w:eastAsia="Times New Roman" w:hAnsi="Arial" w:cs="Times New Roman"/>
          <w:sz w:val="20"/>
          <w:szCs w:val="20"/>
          <w:lang w:eastAsia="en-US"/>
        </w:rPr>
        <w:t xml:space="preserve">1. </w:t>
      </w:r>
      <w:r w:rsidR="003D4E85" w:rsidRPr="003A2F86">
        <w:rPr>
          <w:rFonts w:ascii="Arial" w:eastAsia="Times New Roman" w:hAnsi="Arial" w:cs="Times New Roman"/>
          <w:sz w:val="20"/>
          <w:szCs w:val="20"/>
          <w:lang w:eastAsia="en-US"/>
        </w:rPr>
        <w:t>JAČANJE OTPORNOSTI GOSPODARSTVA I POVEĆANJE I POVEĆANJEULAGANJA U ODRŽIVO I DIGITALNO GOSPODARSTVO</w:t>
      </w:r>
    </w:p>
    <w:p w14:paraId="5D576D1D" w14:textId="0AFFD1C7" w:rsidR="003D4E85" w:rsidRPr="003A2F86" w:rsidRDefault="003D4E85" w:rsidP="00CB22F6">
      <w:pPr>
        <w:spacing w:after="0" w:line="240" w:lineRule="auto"/>
        <w:jc w:val="both"/>
        <w:rPr>
          <w:rFonts w:ascii="Arial" w:eastAsia="Times New Roman" w:hAnsi="Arial" w:cs="Times New Roman"/>
          <w:sz w:val="20"/>
          <w:szCs w:val="20"/>
          <w:lang w:eastAsia="en-US"/>
        </w:rPr>
      </w:pPr>
      <w:r w:rsidRPr="003A2F86">
        <w:rPr>
          <w:rFonts w:ascii="Arial" w:eastAsia="Times New Roman" w:hAnsi="Arial" w:cs="Times New Roman"/>
          <w:sz w:val="20"/>
          <w:szCs w:val="20"/>
          <w:lang w:eastAsia="en-US"/>
        </w:rPr>
        <w:t>2. POBOLJŠANJE KVALITETE ŽIVOTA TE UNAPREĐENJE LJUDSKOG KAPITALA</w:t>
      </w:r>
    </w:p>
    <w:p w14:paraId="5129F1D9" w14:textId="257DB338" w:rsidR="00CB22F6" w:rsidRPr="003A2F86" w:rsidRDefault="00CB22F6" w:rsidP="00CB22F6">
      <w:pPr>
        <w:spacing w:after="0" w:line="240" w:lineRule="auto"/>
        <w:jc w:val="both"/>
        <w:rPr>
          <w:rFonts w:ascii="Arial" w:eastAsia="Times New Roman" w:hAnsi="Arial" w:cs="Times New Roman"/>
          <w:sz w:val="20"/>
          <w:szCs w:val="20"/>
          <w:lang w:eastAsia="en-US"/>
        </w:rPr>
      </w:pPr>
      <w:r w:rsidRPr="003A2F86">
        <w:rPr>
          <w:rFonts w:ascii="Arial" w:eastAsia="Times New Roman" w:hAnsi="Arial" w:cs="Times New Roman"/>
          <w:sz w:val="20"/>
          <w:szCs w:val="20"/>
          <w:lang w:eastAsia="en-US"/>
        </w:rPr>
        <w:t xml:space="preserve">2. </w:t>
      </w:r>
      <w:r w:rsidR="003D4E85" w:rsidRPr="003A2F86">
        <w:rPr>
          <w:rFonts w:ascii="Arial" w:eastAsia="Times New Roman" w:hAnsi="Arial" w:cs="Times New Roman"/>
          <w:sz w:val="20"/>
          <w:szCs w:val="20"/>
          <w:lang w:eastAsia="en-US"/>
        </w:rPr>
        <w:t>OČUVANJE OKOLIŠA, POBOLJŠANJE POVEZIVOSTI I ODRŽIVO KORIŠTENJE BAŠTINE</w:t>
      </w:r>
    </w:p>
    <w:p w14:paraId="512FF4BD" w14:textId="12C87511" w:rsidR="00CB22F6" w:rsidRPr="003A2F86" w:rsidRDefault="00CB22F6" w:rsidP="00CB22F6">
      <w:pPr>
        <w:spacing w:after="0" w:line="240" w:lineRule="auto"/>
        <w:jc w:val="both"/>
        <w:rPr>
          <w:rFonts w:ascii="Arial" w:eastAsia="Times New Roman" w:hAnsi="Arial" w:cs="Times New Roman"/>
          <w:sz w:val="20"/>
          <w:szCs w:val="20"/>
          <w:lang w:eastAsia="en-US"/>
        </w:rPr>
      </w:pPr>
      <w:r w:rsidRPr="003A2F86">
        <w:rPr>
          <w:rFonts w:ascii="Arial" w:eastAsia="Times New Roman" w:hAnsi="Arial" w:cs="Times New Roman"/>
          <w:sz w:val="20"/>
          <w:szCs w:val="20"/>
          <w:lang w:eastAsia="en-US"/>
        </w:rPr>
        <w:t xml:space="preserve">3. </w:t>
      </w:r>
      <w:r w:rsidR="003D4E85" w:rsidRPr="003A2F86">
        <w:rPr>
          <w:rFonts w:ascii="Arial" w:eastAsia="Times New Roman" w:hAnsi="Arial" w:cs="Times New Roman"/>
          <w:sz w:val="20"/>
          <w:szCs w:val="20"/>
          <w:lang w:eastAsia="en-US"/>
        </w:rPr>
        <w:t>UNAPREĐENJE UPRAVLJANJA RAZVOJEM</w:t>
      </w:r>
    </w:p>
    <w:p w14:paraId="37CCC782" w14:textId="49B40AB1" w:rsidR="00CB22F6" w:rsidRPr="003A2F86" w:rsidRDefault="00CB22F6" w:rsidP="00CB22F6">
      <w:pPr>
        <w:spacing w:after="0" w:line="240" w:lineRule="auto"/>
        <w:jc w:val="both"/>
        <w:rPr>
          <w:rFonts w:ascii="Arial" w:eastAsia="Times New Roman" w:hAnsi="Arial" w:cs="Times New Roman"/>
          <w:sz w:val="20"/>
          <w:szCs w:val="20"/>
          <w:lang w:eastAsia="en-US"/>
        </w:rPr>
      </w:pPr>
    </w:p>
    <w:p w14:paraId="460E9FB1" w14:textId="42E1D6C3" w:rsidR="00CB22F6" w:rsidRPr="003A2F86" w:rsidRDefault="003D4E85">
      <w:pPr>
        <w:numPr>
          <w:ilvl w:val="0"/>
          <w:numId w:val="23"/>
        </w:numPr>
        <w:shd w:val="clear" w:color="auto" w:fill="DAEEF3"/>
        <w:autoSpaceDE w:val="0"/>
        <w:autoSpaceDN w:val="0"/>
        <w:adjustRightInd w:val="0"/>
        <w:spacing w:after="0" w:line="240" w:lineRule="auto"/>
        <w:contextualSpacing/>
        <w:rPr>
          <w:rFonts w:ascii="Arial" w:eastAsia="Times New Roman" w:hAnsi="Arial" w:cs="Arial"/>
          <w:b/>
          <w:bCs/>
          <w:i/>
          <w:iCs/>
          <w:sz w:val="20"/>
          <w:szCs w:val="20"/>
          <w:lang w:eastAsia="en-US"/>
        </w:rPr>
      </w:pPr>
      <w:r w:rsidRPr="003A2F86">
        <w:rPr>
          <w:rFonts w:ascii="Arial" w:eastAsia="Times New Roman" w:hAnsi="Arial" w:cs="Times New Roman"/>
          <w:b/>
          <w:sz w:val="20"/>
          <w:szCs w:val="20"/>
          <w:lang w:eastAsia="en-US"/>
        </w:rPr>
        <w:t>Prioritet</w:t>
      </w:r>
      <w:r w:rsidR="00CB22F6" w:rsidRPr="003A2F86">
        <w:rPr>
          <w:rFonts w:ascii="Arial" w:eastAsia="Times New Roman" w:hAnsi="Arial" w:cs="Times New Roman"/>
          <w:b/>
          <w:sz w:val="20"/>
          <w:szCs w:val="20"/>
          <w:lang w:eastAsia="en-US"/>
        </w:rPr>
        <w:t xml:space="preserve"> 1. – </w:t>
      </w:r>
      <w:r w:rsidRPr="003A2F86">
        <w:rPr>
          <w:rFonts w:ascii="Arial" w:eastAsia="Times New Roman" w:hAnsi="Arial" w:cs="Times New Roman"/>
          <w:b/>
          <w:sz w:val="20"/>
          <w:szCs w:val="20"/>
          <w:lang w:eastAsia="en-US"/>
        </w:rPr>
        <w:t>JAČANJE OTPORNOSTI GOSPODARSTVA I POVEĆANJE I POVEĆANJEULAGANJA U ODRŽIVO I DIGITALNO GOSPODARSTVO</w:t>
      </w:r>
    </w:p>
    <w:p w14:paraId="3A111E7F" w14:textId="77777777" w:rsidR="00CB22F6" w:rsidRPr="003A2F86" w:rsidRDefault="00CB22F6" w:rsidP="00CB22F6">
      <w:pPr>
        <w:autoSpaceDE w:val="0"/>
        <w:autoSpaceDN w:val="0"/>
        <w:adjustRightInd w:val="0"/>
        <w:spacing w:after="0" w:line="240" w:lineRule="auto"/>
        <w:jc w:val="both"/>
        <w:rPr>
          <w:rFonts w:ascii="Arial" w:eastAsia="Times New Roman" w:hAnsi="Arial" w:cs="Arial"/>
          <w:sz w:val="20"/>
          <w:szCs w:val="20"/>
        </w:rPr>
      </w:pPr>
    </w:p>
    <w:p w14:paraId="3DCBB5C5" w14:textId="445E9206" w:rsidR="00CB22F6" w:rsidRPr="003A2F86" w:rsidRDefault="003D4E85" w:rsidP="00CB22F6">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Prioritet</w:t>
      </w:r>
      <w:r w:rsidR="00CB22F6" w:rsidRPr="003A2F86">
        <w:rPr>
          <w:rFonts w:ascii="Arial" w:eastAsia="Times New Roman" w:hAnsi="Arial" w:cs="Arial"/>
          <w:sz w:val="20"/>
          <w:szCs w:val="20"/>
        </w:rPr>
        <w:t xml:space="preserve"> 1. ostvarit će se kroz </w:t>
      </w:r>
      <w:r w:rsidRPr="003A2F86">
        <w:rPr>
          <w:rFonts w:ascii="Arial" w:eastAsia="Times New Roman" w:hAnsi="Arial" w:cs="Arial"/>
          <w:sz w:val="20"/>
          <w:szCs w:val="20"/>
        </w:rPr>
        <w:t>tri posebna cilja</w:t>
      </w:r>
      <w:r w:rsidR="00CB22F6" w:rsidRPr="003A2F86">
        <w:rPr>
          <w:rFonts w:ascii="Arial" w:eastAsia="Times New Roman" w:hAnsi="Arial" w:cs="Arial"/>
          <w:sz w:val="20"/>
          <w:szCs w:val="20"/>
        </w:rPr>
        <w:t>:</w:t>
      </w:r>
    </w:p>
    <w:p w14:paraId="4B0912EB" w14:textId="77777777" w:rsidR="00CB22F6" w:rsidRPr="003A2F86" w:rsidRDefault="00CB22F6" w:rsidP="00CB22F6">
      <w:pPr>
        <w:autoSpaceDE w:val="0"/>
        <w:autoSpaceDN w:val="0"/>
        <w:adjustRightInd w:val="0"/>
        <w:spacing w:after="0" w:line="240" w:lineRule="auto"/>
        <w:jc w:val="both"/>
        <w:rPr>
          <w:rFonts w:ascii="Arial" w:eastAsia="Times New Roman" w:hAnsi="Arial" w:cs="Arial"/>
          <w:sz w:val="20"/>
          <w:szCs w:val="20"/>
        </w:rPr>
      </w:pPr>
    </w:p>
    <w:p w14:paraId="06E3EF41" w14:textId="0F5DA4AE" w:rsidR="003D4E85" w:rsidRPr="003A2F86" w:rsidRDefault="00CB22F6" w:rsidP="00CB22F6">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ab/>
        <w:t xml:space="preserve">1.1. </w:t>
      </w:r>
      <w:r w:rsidR="003D4E85" w:rsidRPr="003A2F86">
        <w:rPr>
          <w:rFonts w:ascii="Arial" w:eastAsia="Times New Roman" w:hAnsi="Arial" w:cs="Arial"/>
          <w:sz w:val="20"/>
          <w:szCs w:val="20"/>
        </w:rPr>
        <w:t>Unapređenje poslovnog okruženja</w:t>
      </w:r>
    </w:p>
    <w:p w14:paraId="29015236" w14:textId="690BBA42" w:rsidR="00CB22F6" w:rsidRPr="003A2F86" w:rsidRDefault="00CB22F6" w:rsidP="00CB22F6">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ab/>
        <w:t xml:space="preserve">1.2. </w:t>
      </w:r>
      <w:r w:rsidR="003F1C89" w:rsidRPr="003A2F86">
        <w:rPr>
          <w:rFonts w:ascii="Arial" w:eastAsia="Times New Roman" w:hAnsi="Arial" w:cs="Arial"/>
          <w:sz w:val="20"/>
          <w:szCs w:val="20"/>
        </w:rPr>
        <w:t>Poticanje održivosti, digitalizacije i inovacija u gospodarstvu</w:t>
      </w:r>
    </w:p>
    <w:p w14:paraId="32BBB922" w14:textId="74930374" w:rsidR="00CB22F6" w:rsidRPr="003A2F86" w:rsidRDefault="00CB22F6" w:rsidP="00CB22F6">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ab/>
        <w:t xml:space="preserve">1.3. </w:t>
      </w:r>
      <w:r w:rsidR="003F1C89" w:rsidRPr="003A2F86">
        <w:rPr>
          <w:rFonts w:ascii="Arial" w:eastAsia="Times New Roman" w:hAnsi="Arial" w:cs="Arial"/>
          <w:sz w:val="20"/>
          <w:szCs w:val="20"/>
        </w:rPr>
        <w:t>Poboljšanje konkurentnosti u</w:t>
      </w:r>
      <w:r w:rsidRPr="003A2F86">
        <w:rPr>
          <w:rFonts w:ascii="Arial" w:eastAsia="Times New Roman" w:hAnsi="Arial" w:cs="Arial"/>
          <w:sz w:val="20"/>
          <w:szCs w:val="20"/>
        </w:rPr>
        <w:t xml:space="preserve"> turizm</w:t>
      </w:r>
      <w:r w:rsidR="003F1C89" w:rsidRPr="003A2F86">
        <w:rPr>
          <w:rFonts w:ascii="Arial" w:eastAsia="Times New Roman" w:hAnsi="Arial" w:cs="Arial"/>
          <w:sz w:val="20"/>
          <w:szCs w:val="20"/>
        </w:rPr>
        <w:t>u, poljoprivredi, akvakulturi i ribarstvu</w:t>
      </w:r>
    </w:p>
    <w:p w14:paraId="0F644A21" w14:textId="77777777" w:rsidR="00CB22F6" w:rsidRPr="003A2F86" w:rsidRDefault="00CB22F6" w:rsidP="00CB22F6">
      <w:pPr>
        <w:autoSpaceDE w:val="0"/>
        <w:autoSpaceDN w:val="0"/>
        <w:adjustRightInd w:val="0"/>
        <w:spacing w:after="0" w:line="240" w:lineRule="auto"/>
        <w:jc w:val="both"/>
        <w:rPr>
          <w:rFonts w:ascii="Arial" w:eastAsia="Times New Roman" w:hAnsi="Arial" w:cs="Arial"/>
          <w:sz w:val="20"/>
          <w:szCs w:val="20"/>
        </w:rPr>
      </w:pPr>
    </w:p>
    <w:p w14:paraId="157C969A" w14:textId="632C3F36" w:rsidR="00CB22F6" w:rsidRPr="003A2F86" w:rsidRDefault="003F1C89">
      <w:pPr>
        <w:numPr>
          <w:ilvl w:val="0"/>
          <w:numId w:val="23"/>
        </w:numPr>
        <w:shd w:val="clear" w:color="auto" w:fill="DAEEF3"/>
        <w:autoSpaceDE w:val="0"/>
        <w:autoSpaceDN w:val="0"/>
        <w:adjustRightInd w:val="0"/>
        <w:spacing w:after="0" w:line="240" w:lineRule="auto"/>
        <w:contextualSpacing/>
        <w:rPr>
          <w:rFonts w:ascii="Arial" w:eastAsia="Calibri" w:hAnsi="Arial" w:cs="Arial"/>
          <w:b/>
          <w:bCs/>
          <w:i/>
          <w:iCs/>
          <w:sz w:val="20"/>
          <w:szCs w:val="20"/>
          <w:lang w:eastAsia="en-US"/>
        </w:rPr>
      </w:pPr>
      <w:r w:rsidRPr="003A2F86">
        <w:rPr>
          <w:rFonts w:ascii="Arial" w:eastAsia="Calibri" w:hAnsi="Arial" w:cs="Times New Roman"/>
          <w:b/>
          <w:sz w:val="20"/>
          <w:szCs w:val="20"/>
          <w:lang w:eastAsia="en-US"/>
        </w:rPr>
        <w:t>Prioritet</w:t>
      </w:r>
      <w:r w:rsidR="00CB22F6" w:rsidRPr="003A2F86">
        <w:rPr>
          <w:rFonts w:ascii="Arial" w:eastAsia="Calibri" w:hAnsi="Arial" w:cs="Times New Roman"/>
          <w:b/>
          <w:sz w:val="20"/>
          <w:szCs w:val="20"/>
          <w:lang w:eastAsia="en-US"/>
        </w:rPr>
        <w:t xml:space="preserve"> 2. – </w:t>
      </w:r>
      <w:r w:rsidRPr="003A2F86">
        <w:rPr>
          <w:rFonts w:ascii="Arial" w:eastAsia="Calibri" w:hAnsi="Arial" w:cs="Times New Roman"/>
          <w:b/>
          <w:sz w:val="20"/>
          <w:szCs w:val="20"/>
          <w:lang w:eastAsia="en-US"/>
        </w:rPr>
        <w:t>POBOLJŠANJE KVALITETE ŽIVOTA TE UNAPREĐENJE LJUDSKOG KAPITALA</w:t>
      </w:r>
    </w:p>
    <w:p w14:paraId="67AA57C7" w14:textId="77777777" w:rsidR="00CB22F6" w:rsidRPr="003A2F86" w:rsidRDefault="00CB22F6" w:rsidP="00CB22F6">
      <w:pPr>
        <w:autoSpaceDE w:val="0"/>
        <w:autoSpaceDN w:val="0"/>
        <w:adjustRightInd w:val="0"/>
        <w:spacing w:after="0" w:line="240" w:lineRule="auto"/>
        <w:jc w:val="both"/>
        <w:rPr>
          <w:rFonts w:ascii="Arial" w:eastAsia="Times New Roman" w:hAnsi="Arial" w:cs="Arial"/>
          <w:sz w:val="20"/>
          <w:szCs w:val="20"/>
        </w:rPr>
      </w:pPr>
    </w:p>
    <w:p w14:paraId="0CF6523A" w14:textId="1D3E1AC7" w:rsidR="00CB22F6" w:rsidRPr="003A2F86" w:rsidRDefault="003F1C89" w:rsidP="00CB22F6">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Prioritet 2</w:t>
      </w:r>
      <w:r w:rsidR="00CB22F6" w:rsidRPr="003A2F86">
        <w:rPr>
          <w:rFonts w:ascii="Arial" w:eastAsia="Times New Roman" w:hAnsi="Arial" w:cs="Arial"/>
          <w:sz w:val="20"/>
          <w:szCs w:val="20"/>
        </w:rPr>
        <w:t xml:space="preserve"> ostvarit će se kroz </w:t>
      </w:r>
      <w:r w:rsidRPr="003A2F86">
        <w:rPr>
          <w:rFonts w:ascii="Arial" w:eastAsia="Times New Roman" w:hAnsi="Arial" w:cs="Arial"/>
          <w:sz w:val="20"/>
          <w:szCs w:val="20"/>
        </w:rPr>
        <w:t>dva posebna cilja</w:t>
      </w:r>
      <w:r w:rsidR="00CB22F6" w:rsidRPr="003A2F86">
        <w:rPr>
          <w:rFonts w:ascii="Arial" w:eastAsia="Times New Roman" w:hAnsi="Arial" w:cs="Arial"/>
          <w:sz w:val="20"/>
          <w:szCs w:val="20"/>
        </w:rPr>
        <w:t xml:space="preserve">: </w:t>
      </w:r>
    </w:p>
    <w:p w14:paraId="60BD21E2" w14:textId="77777777" w:rsidR="00CB22F6" w:rsidRPr="003A2F86" w:rsidRDefault="00CB22F6" w:rsidP="00CB22F6">
      <w:pPr>
        <w:autoSpaceDE w:val="0"/>
        <w:autoSpaceDN w:val="0"/>
        <w:adjustRightInd w:val="0"/>
        <w:spacing w:after="0" w:line="240" w:lineRule="auto"/>
        <w:jc w:val="both"/>
        <w:rPr>
          <w:rFonts w:ascii="Arial" w:eastAsia="Times New Roman" w:hAnsi="Arial" w:cs="Arial"/>
          <w:sz w:val="20"/>
          <w:szCs w:val="20"/>
        </w:rPr>
      </w:pPr>
    </w:p>
    <w:p w14:paraId="52C9B863" w14:textId="4F220353" w:rsidR="00CB22F6" w:rsidRPr="003A2F86" w:rsidRDefault="00CB22F6" w:rsidP="00CB22F6">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 xml:space="preserve">2.1. Unaprjeđenje </w:t>
      </w:r>
      <w:r w:rsidR="003F1C89" w:rsidRPr="003A2F86">
        <w:rPr>
          <w:rFonts w:ascii="Arial" w:eastAsia="Times New Roman" w:hAnsi="Arial" w:cs="Arial"/>
          <w:sz w:val="20"/>
          <w:szCs w:val="20"/>
        </w:rPr>
        <w:t>kvalitete i dostupnosti društvenih usluga</w:t>
      </w:r>
    </w:p>
    <w:p w14:paraId="4F790AE3" w14:textId="24654D13" w:rsidR="00CB22F6" w:rsidRPr="003A2F86" w:rsidRDefault="00CB22F6" w:rsidP="003F1C89">
      <w:pPr>
        <w:autoSpaceDE w:val="0"/>
        <w:autoSpaceDN w:val="0"/>
        <w:adjustRightInd w:val="0"/>
        <w:spacing w:after="0" w:line="240" w:lineRule="auto"/>
        <w:jc w:val="both"/>
        <w:rPr>
          <w:rFonts w:ascii="Arial" w:eastAsia="Times New Roman" w:hAnsi="Arial" w:cs="Arial"/>
          <w:sz w:val="20"/>
          <w:szCs w:val="20"/>
        </w:rPr>
      </w:pPr>
      <w:r w:rsidRPr="003A2F86">
        <w:rPr>
          <w:rFonts w:ascii="Arial" w:eastAsia="Times New Roman" w:hAnsi="Arial" w:cs="Arial"/>
          <w:sz w:val="20"/>
          <w:szCs w:val="20"/>
        </w:rPr>
        <w:t xml:space="preserve">2.2. </w:t>
      </w:r>
      <w:r w:rsidR="003F1C89" w:rsidRPr="003A2F86">
        <w:rPr>
          <w:rFonts w:ascii="Arial" w:eastAsia="Times New Roman" w:hAnsi="Arial" w:cs="Arial"/>
          <w:sz w:val="20"/>
          <w:szCs w:val="20"/>
        </w:rPr>
        <w:t>Poticanje demografskog razvoja</w:t>
      </w:r>
    </w:p>
    <w:p w14:paraId="71A376A3" w14:textId="77777777" w:rsidR="00CB22F6" w:rsidRDefault="00CB22F6" w:rsidP="00CB22F6">
      <w:pPr>
        <w:autoSpaceDE w:val="0"/>
        <w:autoSpaceDN w:val="0"/>
        <w:adjustRightInd w:val="0"/>
        <w:spacing w:after="0" w:line="240" w:lineRule="auto"/>
        <w:jc w:val="both"/>
        <w:rPr>
          <w:rFonts w:ascii="Arial" w:eastAsia="Times New Roman" w:hAnsi="Arial" w:cs="Arial"/>
          <w:sz w:val="20"/>
          <w:szCs w:val="20"/>
        </w:rPr>
      </w:pPr>
    </w:p>
    <w:p w14:paraId="5464ACC8" w14:textId="77777777" w:rsidR="0028236A" w:rsidRPr="003A2F86" w:rsidRDefault="0028236A" w:rsidP="00CB22F6">
      <w:pPr>
        <w:autoSpaceDE w:val="0"/>
        <w:autoSpaceDN w:val="0"/>
        <w:adjustRightInd w:val="0"/>
        <w:spacing w:after="0" w:line="240" w:lineRule="auto"/>
        <w:jc w:val="both"/>
        <w:rPr>
          <w:rFonts w:ascii="Arial" w:eastAsia="Times New Roman" w:hAnsi="Arial" w:cs="Arial"/>
          <w:sz w:val="20"/>
          <w:szCs w:val="20"/>
        </w:rPr>
      </w:pPr>
    </w:p>
    <w:p w14:paraId="476953AB" w14:textId="5CDF616C" w:rsidR="00CB22F6" w:rsidRPr="003A2F86" w:rsidRDefault="003F1C89">
      <w:pPr>
        <w:numPr>
          <w:ilvl w:val="0"/>
          <w:numId w:val="23"/>
        </w:numPr>
        <w:shd w:val="clear" w:color="auto" w:fill="DAEEF3"/>
        <w:autoSpaceDE w:val="0"/>
        <w:autoSpaceDN w:val="0"/>
        <w:adjustRightInd w:val="0"/>
        <w:spacing w:after="0" w:line="240" w:lineRule="auto"/>
        <w:contextualSpacing/>
        <w:jc w:val="both"/>
        <w:rPr>
          <w:rFonts w:ascii="Arial" w:eastAsia="Calibri" w:hAnsi="Arial" w:cs="Times New Roman"/>
          <w:bCs/>
          <w:sz w:val="20"/>
          <w:szCs w:val="20"/>
          <w:lang w:eastAsia="en-US"/>
        </w:rPr>
      </w:pPr>
      <w:r w:rsidRPr="003A2F86">
        <w:rPr>
          <w:rFonts w:ascii="Arial" w:eastAsia="Calibri" w:hAnsi="Arial" w:cs="Times New Roman"/>
          <w:b/>
          <w:sz w:val="20"/>
          <w:szCs w:val="20"/>
          <w:lang w:eastAsia="en-US"/>
        </w:rPr>
        <w:t>Prioritet</w:t>
      </w:r>
      <w:r w:rsidR="00CB22F6" w:rsidRPr="003A2F86">
        <w:rPr>
          <w:rFonts w:ascii="Arial" w:eastAsia="Calibri" w:hAnsi="Arial" w:cs="Times New Roman"/>
          <w:b/>
          <w:sz w:val="20"/>
          <w:szCs w:val="20"/>
          <w:lang w:eastAsia="en-US"/>
        </w:rPr>
        <w:t xml:space="preserve"> 3. – </w:t>
      </w:r>
      <w:r w:rsidRPr="003A2F86">
        <w:rPr>
          <w:rFonts w:ascii="Arial" w:eastAsia="Calibri" w:hAnsi="Arial" w:cs="Times New Roman"/>
          <w:b/>
          <w:sz w:val="20"/>
          <w:szCs w:val="20"/>
          <w:lang w:eastAsia="en-US"/>
        </w:rPr>
        <w:t xml:space="preserve">OČUVANJE OKOLIŠA, POBOLJŠANJE POVEZIVOSTI I ODRŽIVO KORIŠTENJE BAŠTINE </w:t>
      </w:r>
    </w:p>
    <w:p w14:paraId="781BF280" w14:textId="77777777" w:rsidR="003F1C89" w:rsidRPr="003A2F86" w:rsidRDefault="003F1C89" w:rsidP="003F1C89">
      <w:pPr>
        <w:spacing w:after="0" w:line="240" w:lineRule="auto"/>
        <w:jc w:val="both"/>
        <w:rPr>
          <w:rFonts w:ascii="Arial" w:eastAsia="Calibri" w:hAnsi="Arial" w:cs="Times New Roman"/>
          <w:bCs/>
          <w:sz w:val="20"/>
          <w:szCs w:val="20"/>
          <w:lang w:eastAsia="en-US"/>
        </w:rPr>
      </w:pPr>
    </w:p>
    <w:p w14:paraId="24F88507" w14:textId="00183A97" w:rsidR="003F1C89" w:rsidRPr="003A2F86" w:rsidRDefault="003F1C89" w:rsidP="003F1C89">
      <w:pPr>
        <w:spacing w:after="0" w:line="240" w:lineRule="auto"/>
        <w:jc w:val="both"/>
        <w:rPr>
          <w:rFonts w:ascii="Arial" w:eastAsia="Calibri" w:hAnsi="Arial" w:cs="Times New Roman"/>
          <w:bCs/>
          <w:sz w:val="20"/>
          <w:szCs w:val="20"/>
          <w:lang w:eastAsia="en-US"/>
        </w:rPr>
      </w:pPr>
      <w:r w:rsidRPr="003A2F86">
        <w:rPr>
          <w:rFonts w:ascii="Arial" w:eastAsia="Calibri" w:hAnsi="Arial" w:cs="Times New Roman"/>
          <w:bCs/>
          <w:sz w:val="20"/>
          <w:szCs w:val="20"/>
          <w:lang w:eastAsia="en-US"/>
        </w:rPr>
        <w:t>Prioritet 3 ostvarit će se kroz tri posebna cilja:</w:t>
      </w:r>
    </w:p>
    <w:p w14:paraId="2EBB9E7D" w14:textId="2CFECC58" w:rsidR="00CB22F6" w:rsidRPr="003A2F86" w:rsidRDefault="00CB22F6" w:rsidP="00CB22F6">
      <w:pPr>
        <w:spacing w:after="0" w:line="240" w:lineRule="auto"/>
        <w:ind w:firstLine="708"/>
        <w:jc w:val="both"/>
        <w:rPr>
          <w:rFonts w:ascii="Arial" w:eastAsia="Calibri" w:hAnsi="Arial" w:cs="Times New Roman"/>
          <w:bCs/>
          <w:sz w:val="20"/>
          <w:szCs w:val="20"/>
          <w:lang w:eastAsia="en-US"/>
        </w:rPr>
      </w:pPr>
      <w:r w:rsidRPr="003A2F86">
        <w:rPr>
          <w:rFonts w:ascii="Arial" w:eastAsia="Calibri" w:hAnsi="Arial" w:cs="Times New Roman"/>
          <w:bCs/>
          <w:sz w:val="20"/>
          <w:szCs w:val="20"/>
          <w:lang w:eastAsia="en-US"/>
        </w:rPr>
        <w:t xml:space="preserve">3.1. </w:t>
      </w:r>
      <w:r w:rsidR="003F1C89" w:rsidRPr="003A2F86">
        <w:rPr>
          <w:rFonts w:ascii="Arial" w:eastAsia="Calibri" w:hAnsi="Arial" w:cs="Times New Roman"/>
          <w:bCs/>
          <w:sz w:val="20"/>
          <w:szCs w:val="20"/>
          <w:lang w:eastAsia="en-US"/>
        </w:rPr>
        <w:t>Očuvanje okoliša i energetska tranzicija na što veću dobrobit zajednice</w:t>
      </w:r>
    </w:p>
    <w:p w14:paraId="6EBBF34E" w14:textId="062A31FE" w:rsidR="00CB22F6" w:rsidRPr="003A2F86" w:rsidRDefault="00CB22F6" w:rsidP="00CB22F6">
      <w:pPr>
        <w:spacing w:after="0" w:line="240" w:lineRule="auto"/>
        <w:ind w:firstLine="708"/>
        <w:jc w:val="both"/>
        <w:rPr>
          <w:rFonts w:ascii="Arial" w:eastAsia="Calibri" w:hAnsi="Arial" w:cs="Times New Roman"/>
          <w:bCs/>
          <w:sz w:val="20"/>
          <w:szCs w:val="20"/>
          <w:lang w:eastAsia="en-US"/>
        </w:rPr>
      </w:pPr>
      <w:r w:rsidRPr="003A2F86">
        <w:rPr>
          <w:rFonts w:ascii="Arial" w:eastAsia="Calibri" w:hAnsi="Arial" w:cs="Times New Roman"/>
          <w:bCs/>
          <w:sz w:val="20"/>
          <w:szCs w:val="20"/>
          <w:lang w:eastAsia="en-US"/>
        </w:rPr>
        <w:t xml:space="preserve">3.2. </w:t>
      </w:r>
      <w:r w:rsidR="003F1C89" w:rsidRPr="003A2F86">
        <w:rPr>
          <w:rFonts w:ascii="Arial" w:eastAsia="Calibri" w:hAnsi="Arial" w:cs="Times New Roman"/>
          <w:bCs/>
          <w:sz w:val="20"/>
          <w:szCs w:val="20"/>
          <w:lang w:eastAsia="en-US"/>
        </w:rPr>
        <w:t>Poboljšanje unutarnje i vanjske povezanosti te zelene mobilnosti</w:t>
      </w:r>
    </w:p>
    <w:p w14:paraId="3B71E5A2" w14:textId="432A51B4" w:rsidR="00CB22F6" w:rsidRPr="003A2F86" w:rsidRDefault="00CB22F6" w:rsidP="00CB22F6">
      <w:pPr>
        <w:spacing w:after="0" w:line="240" w:lineRule="auto"/>
        <w:ind w:firstLine="708"/>
        <w:jc w:val="both"/>
        <w:rPr>
          <w:rFonts w:ascii="Arial" w:eastAsia="Calibri" w:hAnsi="Arial" w:cs="Arial"/>
          <w:bCs/>
          <w:sz w:val="20"/>
          <w:szCs w:val="20"/>
          <w:lang w:eastAsia="en-US"/>
        </w:rPr>
      </w:pPr>
      <w:r w:rsidRPr="003A2F86">
        <w:rPr>
          <w:rFonts w:ascii="Arial" w:eastAsia="Calibri" w:hAnsi="Arial" w:cs="Arial"/>
          <w:bCs/>
          <w:sz w:val="20"/>
          <w:szCs w:val="20"/>
          <w:lang w:eastAsia="en-US"/>
        </w:rPr>
        <w:t xml:space="preserve">3.3. </w:t>
      </w:r>
      <w:r w:rsidR="003F1C89" w:rsidRPr="003A2F86">
        <w:rPr>
          <w:rFonts w:ascii="Arial" w:eastAsia="Calibri" w:hAnsi="Arial" w:cs="Arial"/>
          <w:bCs/>
          <w:sz w:val="20"/>
          <w:szCs w:val="20"/>
          <w:lang w:eastAsia="en-US"/>
        </w:rPr>
        <w:t>Očuvanje, valorizacija i održivo korištenje prirodne i kulturne baštine</w:t>
      </w:r>
    </w:p>
    <w:bookmarkEnd w:id="787"/>
    <w:p w14:paraId="3967A1B2" w14:textId="77777777" w:rsidR="003F1C89" w:rsidRPr="003A2F86" w:rsidRDefault="003F1C89" w:rsidP="003F1C89">
      <w:pPr>
        <w:autoSpaceDE w:val="0"/>
        <w:autoSpaceDN w:val="0"/>
        <w:adjustRightInd w:val="0"/>
        <w:spacing w:after="0" w:line="240" w:lineRule="auto"/>
        <w:jc w:val="both"/>
        <w:rPr>
          <w:rFonts w:ascii="Arial" w:eastAsia="Times New Roman" w:hAnsi="Arial" w:cs="Arial"/>
          <w:sz w:val="20"/>
          <w:szCs w:val="20"/>
        </w:rPr>
      </w:pPr>
    </w:p>
    <w:p w14:paraId="0B12CC99" w14:textId="47C65855" w:rsidR="003F1C89" w:rsidRPr="003A2F86" w:rsidRDefault="003F1C89">
      <w:pPr>
        <w:numPr>
          <w:ilvl w:val="0"/>
          <w:numId w:val="23"/>
        </w:numPr>
        <w:shd w:val="clear" w:color="auto" w:fill="DAEEF3"/>
        <w:autoSpaceDE w:val="0"/>
        <w:autoSpaceDN w:val="0"/>
        <w:adjustRightInd w:val="0"/>
        <w:spacing w:after="0" w:line="240" w:lineRule="auto"/>
        <w:contextualSpacing/>
        <w:jc w:val="both"/>
        <w:rPr>
          <w:rFonts w:ascii="Arial" w:eastAsia="Calibri" w:hAnsi="Arial" w:cs="Times New Roman"/>
          <w:bCs/>
          <w:sz w:val="20"/>
          <w:szCs w:val="20"/>
          <w:lang w:eastAsia="en-US"/>
        </w:rPr>
      </w:pPr>
      <w:r w:rsidRPr="003A2F86">
        <w:rPr>
          <w:rFonts w:ascii="Arial" w:eastAsia="Calibri" w:hAnsi="Arial" w:cs="Times New Roman"/>
          <w:b/>
          <w:sz w:val="20"/>
          <w:szCs w:val="20"/>
          <w:lang w:eastAsia="en-US"/>
        </w:rPr>
        <w:t xml:space="preserve">Prioritet 4. – UNAPREĐENJE UPRAVLJANJA RAZVOJEM </w:t>
      </w:r>
    </w:p>
    <w:p w14:paraId="29FC9888" w14:textId="77777777" w:rsidR="003F1C89" w:rsidRPr="003A2F86" w:rsidRDefault="003F1C89" w:rsidP="003F1C89">
      <w:pPr>
        <w:spacing w:after="0" w:line="240" w:lineRule="auto"/>
        <w:ind w:firstLine="708"/>
        <w:jc w:val="both"/>
        <w:rPr>
          <w:rFonts w:ascii="Arial" w:eastAsia="Calibri" w:hAnsi="Arial" w:cs="Times New Roman"/>
          <w:bCs/>
          <w:sz w:val="20"/>
          <w:szCs w:val="20"/>
          <w:lang w:eastAsia="en-US"/>
        </w:rPr>
      </w:pPr>
    </w:p>
    <w:p w14:paraId="45FDE922" w14:textId="77777777" w:rsidR="003F1C89" w:rsidRPr="003A2F86" w:rsidRDefault="003F1C89" w:rsidP="003F1C89">
      <w:pPr>
        <w:spacing w:after="0" w:line="240" w:lineRule="auto"/>
        <w:jc w:val="both"/>
        <w:rPr>
          <w:rFonts w:ascii="Arial" w:eastAsia="Calibri" w:hAnsi="Arial" w:cs="Times New Roman"/>
          <w:bCs/>
          <w:sz w:val="20"/>
          <w:szCs w:val="20"/>
          <w:lang w:eastAsia="en-US"/>
        </w:rPr>
      </w:pPr>
      <w:r w:rsidRPr="003A2F86">
        <w:rPr>
          <w:rFonts w:ascii="Arial" w:eastAsia="Calibri" w:hAnsi="Arial" w:cs="Times New Roman"/>
          <w:bCs/>
          <w:sz w:val="20"/>
          <w:szCs w:val="20"/>
          <w:lang w:eastAsia="en-US"/>
        </w:rPr>
        <w:t>Prioritet 4 ostvarit će se kroz 3 posebna cilja:</w:t>
      </w:r>
    </w:p>
    <w:p w14:paraId="6B3FB9D5" w14:textId="646A4919" w:rsidR="003F1C89" w:rsidRPr="003A2F86" w:rsidRDefault="003F1C89" w:rsidP="003F1C89">
      <w:pPr>
        <w:spacing w:after="0" w:line="240" w:lineRule="auto"/>
        <w:ind w:firstLine="708"/>
        <w:jc w:val="both"/>
        <w:rPr>
          <w:rFonts w:ascii="Arial" w:eastAsia="Calibri" w:hAnsi="Arial" w:cs="Times New Roman"/>
          <w:bCs/>
          <w:sz w:val="20"/>
          <w:szCs w:val="20"/>
          <w:lang w:eastAsia="en-US"/>
        </w:rPr>
      </w:pPr>
      <w:r w:rsidRPr="003A2F86">
        <w:rPr>
          <w:rFonts w:ascii="Arial" w:eastAsia="Calibri" w:hAnsi="Arial" w:cs="Times New Roman"/>
          <w:bCs/>
          <w:sz w:val="20"/>
          <w:szCs w:val="20"/>
          <w:lang w:eastAsia="en-US"/>
        </w:rPr>
        <w:t>4.1. Razvoj sustava prostornog planiranja i upravljanja imovinom te jačanje kvalitete institucija u javnom sektoru zdravstvene i socijalne zaštite</w:t>
      </w:r>
    </w:p>
    <w:p w14:paraId="06C91FB0" w14:textId="77F00FB1" w:rsidR="003F1C89" w:rsidRPr="003A2F86" w:rsidRDefault="003F1C89" w:rsidP="003F1C89">
      <w:pPr>
        <w:spacing w:after="0" w:line="240" w:lineRule="auto"/>
        <w:ind w:firstLine="708"/>
        <w:jc w:val="both"/>
        <w:rPr>
          <w:rFonts w:ascii="Arial" w:eastAsia="Calibri" w:hAnsi="Arial" w:cs="Times New Roman"/>
          <w:bCs/>
          <w:sz w:val="20"/>
          <w:szCs w:val="20"/>
          <w:lang w:eastAsia="en-US"/>
        </w:rPr>
      </w:pPr>
      <w:r w:rsidRPr="003A2F86">
        <w:rPr>
          <w:rFonts w:ascii="Arial" w:eastAsia="Calibri" w:hAnsi="Arial" w:cs="Times New Roman"/>
          <w:bCs/>
          <w:sz w:val="20"/>
          <w:szCs w:val="20"/>
          <w:lang w:eastAsia="en-US"/>
        </w:rPr>
        <w:t>4.2. Povećanje sposobnosti institucija u pogledu odgovora na krizne situacije</w:t>
      </w:r>
    </w:p>
    <w:p w14:paraId="6CD1476D" w14:textId="14708B70" w:rsidR="003F1C89" w:rsidRPr="003A2F86" w:rsidRDefault="003F1C89" w:rsidP="003F1C89">
      <w:pPr>
        <w:spacing w:after="0" w:line="240" w:lineRule="auto"/>
        <w:ind w:firstLine="708"/>
        <w:jc w:val="both"/>
        <w:rPr>
          <w:rFonts w:ascii="Arial" w:eastAsia="Calibri" w:hAnsi="Arial" w:cs="Arial"/>
          <w:bCs/>
          <w:sz w:val="20"/>
          <w:szCs w:val="20"/>
          <w:lang w:eastAsia="en-US"/>
        </w:rPr>
      </w:pPr>
      <w:r w:rsidRPr="003A2F86">
        <w:rPr>
          <w:rFonts w:ascii="Arial" w:eastAsia="Calibri" w:hAnsi="Arial" w:cs="Arial"/>
          <w:bCs/>
          <w:sz w:val="20"/>
          <w:szCs w:val="20"/>
          <w:lang w:eastAsia="en-US"/>
        </w:rPr>
        <w:t>4.3. Razvoj ostalih područja s razvojnim posebnostima.</w:t>
      </w:r>
    </w:p>
    <w:p w14:paraId="37CAEF76" w14:textId="77777777" w:rsidR="00D94520" w:rsidRPr="00FF3C31" w:rsidRDefault="00D94520" w:rsidP="00D94520">
      <w:pPr>
        <w:autoSpaceDE w:val="0"/>
        <w:autoSpaceDN w:val="0"/>
        <w:adjustRightInd w:val="0"/>
        <w:spacing w:after="0" w:line="240" w:lineRule="auto"/>
        <w:jc w:val="both"/>
        <w:rPr>
          <w:rFonts w:ascii="Arial" w:eastAsia="Times New Roman" w:hAnsi="Arial" w:cs="Arial"/>
          <w:sz w:val="20"/>
          <w:szCs w:val="20"/>
        </w:rPr>
      </w:pPr>
    </w:p>
    <w:p w14:paraId="7F515F4D" w14:textId="20E85A7E" w:rsidR="00D94520" w:rsidRPr="00FF3C31" w:rsidRDefault="00686E08" w:rsidP="00D94520">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Projekti se najvećim dijelom </w:t>
      </w:r>
      <w:r w:rsidR="00D94520" w:rsidRPr="00FF3C31">
        <w:rPr>
          <w:rFonts w:ascii="Arial" w:eastAsia="Times New Roman" w:hAnsi="Arial" w:cs="Arial"/>
          <w:sz w:val="20"/>
          <w:szCs w:val="20"/>
        </w:rPr>
        <w:t xml:space="preserve">realiziraju kroz </w:t>
      </w:r>
      <w:r w:rsidR="00D94520" w:rsidRPr="00FF3C31">
        <w:rPr>
          <w:rFonts w:ascii="Arial" w:eastAsia="Times New Roman" w:hAnsi="Arial" w:cs="Arial"/>
          <w:b/>
          <w:sz w:val="20"/>
          <w:szCs w:val="20"/>
        </w:rPr>
        <w:t>razdjel 030</w:t>
      </w:r>
      <w:r w:rsidR="00D94520" w:rsidRPr="00FF3C31">
        <w:rPr>
          <w:rFonts w:ascii="Arial" w:eastAsia="Times New Roman" w:hAnsi="Arial" w:cs="Arial"/>
          <w:sz w:val="20"/>
          <w:szCs w:val="20"/>
        </w:rPr>
        <w:t xml:space="preserve"> –Upravni odjel za komunalni sustav i gospodarenje nekretninama</w:t>
      </w:r>
      <w:r w:rsidRPr="00FF3C31">
        <w:rPr>
          <w:rFonts w:ascii="Arial" w:eastAsia="Times New Roman" w:hAnsi="Arial" w:cs="Arial"/>
          <w:sz w:val="20"/>
          <w:szCs w:val="20"/>
        </w:rPr>
        <w:t xml:space="preserve"> u suradnji s </w:t>
      </w:r>
      <w:r w:rsidRPr="00FF3C31">
        <w:rPr>
          <w:rFonts w:ascii="Arial" w:eastAsia="Times New Roman" w:hAnsi="Arial" w:cs="Arial"/>
          <w:b/>
          <w:bCs/>
          <w:sz w:val="20"/>
          <w:szCs w:val="20"/>
        </w:rPr>
        <w:t>razdjelom</w:t>
      </w:r>
      <w:r w:rsidRPr="00FF3C31">
        <w:rPr>
          <w:rFonts w:ascii="Arial" w:eastAsia="Times New Roman" w:hAnsi="Arial" w:cs="Arial"/>
          <w:sz w:val="20"/>
          <w:szCs w:val="20"/>
        </w:rPr>
        <w:t xml:space="preserve"> </w:t>
      </w:r>
      <w:r w:rsidRPr="00FF3C31">
        <w:rPr>
          <w:rFonts w:ascii="Arial" w:eastAsia="Times New Roman" w:hAnsi="Arial" w:cs="Arial"/>
          <w:b/>
          <w:bCs/>
          <w:sz w:val="20"/>
          <w:szCs w:val="20"/>
        </w:rPr>
        <w:t>040</w:t>
      </w:r>
      <w:r w:rsidRPr="00FF3C31">
        <w:rPr>
          <w:rFonts w:ascii="Arial" w:eastAsia="Times New Roman" w:hAnsi="Arial" w:cs="Arial"/>
          <w:sz w:val="20"/>
          <w:szCs w:val="20"/>
        </w:rPr>
        <w:t xml:space="preserve"> – Upravni odjel za ruralni razvoj, gospodarstvo i EU fondove. </w:t>
      </w:r>
    </w:p>
    <w:p w14:paraId="405FED5F" w14:textId="77777777" w:rsidR="00240903" w:rsidRPr="00FF3C31" w:rsidRDefault="00240903" w:rsidP="00D94520">
      <w:pPr>
        <w:autoSpaceDE w:val="0"/>
        <w:autoSpaceDN w:val="0"/>
        <w:adjustRightInd w:val="0"/>
        <w:spacing w:after="0" w:line="240" w:lineRule="auto"/>
        <w:jc w:val="both"/>
        <w:rPr>
          <w:rFonts w:ascii="Arial" w:eastAsia="Times New Roman" w:hAnsi="Arial" w:cs="Arial"/>
          <w:sz w:val="20"/>
          <w:szCs w:val="20"/>
        </w:rPr>
      </w:pPr>
    </w:p>
    <w:bookmarkEnd w:id="789"/>
    <w:p w14:paraId="7FA909E3" w14:textId="77777777" w:rsidR="00D94520" w:rsidRPr="00FF3C31" w:rsidRDefault="00D94520" w:rsidP="00D94520">
      <w:pP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 xml:space="preserve">RAZDJEL 030: </w:t>
      </w:r>
    </w:p>
    <w:p w14:paraId="12ED37B0" w14:textId="77777777" w:rsidR="00D94520" w:rsidRPr="00FF3C31" w:rsidRDefault="00D94520" w:rsidP="00D94520">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b/>
          <w:sz w:val="20"/>
          <w:szCs w:val="20"/>
        </w:rPr>
        <w:t>Glava 01</w:t>
      </w:r>
      <w:r w:rsidRPr="00FF3C31">
        <w:rPr>
          <w:rFonts w:ascii="Arial" w:eastAsia="Times New Roman" w:hAnsi="Arial" w:cs="Arial"/>
          <w:sz w:val="20"/>
          <w:szCs w:val="20"/>
        </w:rPr>
        <w:t xml:space="preserve"> – Upravni odjel za komunalni sustav i gospodarenje nekretninama </w:t>
      </w:r>
    </w:p>
    <w:p w14:paraId="317E15E8" w14:textId="77777777" w:rsidR="00D94520" w:rsidRPr="00FF3C31" w:rsidRDefault="00D94520" w:rsidP="00D94520">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PROGRAM 2092 Gradnja komunalne infrastrukture</w:t>
      </w:r>
    </w:p>
    <w:p w14:paraId="4D1B3D3F" w14:textId="77777777" w:rsidR="00D94520" w:rsidRPr="00FF3C31" w:rsidRDefault="00D94520" w:rsidP="00D94520">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PROGRAM 2093 Izgradnja objekata i uređaja, te nabava opreme za prijevoz putnika, održavanje čistoće i odlaganje komunalnog otpada i tržnice</w:t>
      </w:r>
    </w:p>
    <w:p w14:paraId="29097D2B" w14:textId="77777777" w:rsidR="00D94520" w:rsidRPr="00FF3C31" w:rsidRDefault="00D94520" w:rsidP="00D94520">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PROGRAM 2094 Plan gradnje komunalnih vodnih građevina</w:t>
      </w:r>
    </w:p>
    <w:p w14:paraId="6C13A7F2" w14:textId="77777777" w:rsidR="00D94520" w:rsidRPr="00FF3C31" w:rsidRDefault="00D94520" w:rsidP="00D94520">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PROGRAM 2096 Program gradnje građevina za gospodarenje komunalnim otpadom</w:t>
      </w:r>
    </w:p>
    <w:p w14:paraId="491EDA23" w14:textId="77777777" w:rsidR="00D94520" w:rsidRPr="00FF3C31" w:rsidRDefault="00D94520" w:rsidP="00D94520">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PROGRAM 2073 Pripremne aktivnosti u protupožarnoj zaštiti, te zaštita i spašavanje</w:t>
      </w:r>
    </w:p>
    <w:p w14:paraId="3FA347DB" w14:textId="77777777" w:rsidR="00D94520" w:rsidRPr="00FF3C31" w:rsidRDefault="00D94520" w:rsidP="00D94520">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PROGRAM 2101 Izgradnja i uređenje objekata javne namjene – predškolski odgoj i školstvo</w:t>
      </w:r>
    </w:p>
    <w:p w14:paraId="76087FE9" w14:textId="77777777" w:rsidR="00D94520" w:rsidRPr="00FF3C31" w:rsidRDefault="00D94520" w:rsidP="00D94520">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PROGRAM 2102 Izgradnja i uređenje objekata javne namjene – sport</w:t>
      </w:r>
    </w:p>
    <w:p w14:paraId="5F78067A" w14:textId="77777777" w:rsidR="00210811" w:rsidRPr="00FF3C31" w:rsidRDefault="00210811" w:rsidP="00BB1E7A">
      <w:pPr>
        <w:autoSpaceDE w:val="0"/>
        <w:autoSpaceDN w:val="0"/>
        <w:adjustRightInd w:val="0"/>
        <w:spacing w:after="0" w:line="240" w:lineRule="auto"/>
        <w:jc w:val="both"/>
        <w:rPr>
          <w:rFonts w:ascii="Arial" w:eastAsia="Times New Roman" w:hAnsi="Arial" w:cs="Arial"/>
          <w:sz w:val="20"/>
          <w:szCs w:val="20"/>
        </w:rPr>
      </w:pPr>
    </w:p>
    <w:p w14:paraId="22EA861C" w14:textId="77777777" w:rsidR="00210811" w:rsidRPr="00FF3C31" w:rsidRDefault="00210811" w:rsidP="00BB1E7A">
      <w:pPr>
        <w:autoSpaceDE w:val="0"/>
        <w:autoSpaceDN w:val="0"/>
        <w:adjustRightInd w:val="0"/>
        <w:spacing w:after="0" w:line="240" w:lineRule="auto"/>
        <w:jc w:val="both"/>
        <w:rPr>
          <w:rFonts w:ascii="Arial" w:eastAsia="Times New Roman" w:hAnsi="Arial" w:cs="Arial"/>
          <w:sz w:val="20"/>
          <w:szCs w:val="20"/>
        </w:rPr>
      </w:pPr>
    </w:p>
    <w:p w14:paraId="31D334F6" w14:textId="7F600713" w:rsidR="00992554" w:rsidRPr="00FF3C31" w:rsidRDefault="00992554" w:rsidP="00BB1E7A">
      <w:pPr>
        <w:autoSpaceDE w:val="0"/>
        <w:autoSpaceDN w:val="0"/>
        <w:adjustRightInd w:val="0"/>
        <w:spacing w:after="0" w:line="240" w:lineRule="auto"/>
        <w:jc w:val="both"/>
        <w:rPr>
          <w:rFonts w:ascii="Arial" w:eastAsia="Times New Roman" w:hAnsi="Arial" w:cs="Arial"/>
          <w:color w:val="0070C0"/>
          <w:sz w:val="20"/>
          <w:szCs w:val="20"/>
        </w:rPr>
      </w:pPr>
      <w:r w:rsidRPr="00FF3C31">
        <w:rPr>
          <w:rFonts w:ascii="Arial" w:eastAsia="Times New Roman" w:hAnsi="Arial" w:cs="Arial"/>
          <w:color w:val="0070C0"/>
          <w:sz w:val="20"/>
          <w:szCs w:val="20"/>
        </w:rPr>
        <w:t>U nastavku teksta daje se pregled ostvarenja strateških ciljeva i prioriteta iz provedbe Strateškog plana Općine Konavle s poveznicom na Provedbeni program</w:t>
      </w:r>
      <w:r w:rsidR="00FF2258" w:rsidRPr="00FF3C31">
        <w:rPr>
          <w:rFonts w:ascii="Arial" w:eastAsia="Times New Roman" w:hAnsi="Arial" w:cs="Arial"/>
          <w:color w:val="0070C0"/>
          <w:sz w:val="20"/>
          <w:szCs w:val="20"/>
        </w:rPr>
        <w:t xml:space="preserve"> ako se radi o značajnom kapitalnom/tekućem projektu kojim se obavlja ulaganja u imovinu Općine i/ili društava u vlasništvu Općine.</w:t>
      </w:r>
    </w:p>
    <w:p w14:paraId="34B71B3D" w14:textId="77777777" w:rsidR="00992554" w:rsidRPr="00FF3C31" w:rsidRDefault="00992554" w:rsidP="00BB1E7A">
      <w:pPr>
        <w:autoSpaceDE w:val="0"/>
        <w:autoSpaceDN w:val="0"/>
        <w:adjustRightInd w:val="0"/>
        <w:spacing w:after="0" w:line="240" w:lineRule="auto"/>
        <w:jc w:val="both"/>
        <w:rPr>
          <w:rFonts w:ascii="Arial" w:eastAsia="Times New Roman" w:hAnsi="Arial" w:cs="Arial"/>
          <w:sz w:val="20"/>
          <w:szCs w:val="20"/>
        </w:rPr>
      </w:pPr>
    </w:p>
    <w:p w14:paraId="24A5DC45" w14:textId="4704EF8C" w:rsidR="00BB1E7A" w:rsidRPr="00FF3C31" w:rsidRDefault="00992554" w:rsidP="00BB1E7A">
      <w:pPr>
        <w:pBdr>
          <w:top w:val="single" w:sz="4" w:space="1" w:color="auto"/>
          <w:left w:val="single" w:sz="4" w:space="4" w:color="auto"/>
          <w:bottom w:val="single" w:sz="4" w:space="1" w:color="auto"/>
          <w:right w:val="single" w:sz="4" w:space="4" w:color="auto"/>
        </w:pBdr>
        <w:shd w:val="clear" w:color="auto" w:fill="A6A6A6"/>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Strateški c</w:t>
      </w:r>
      <w:r w:rsidR="00BB1E7A" w:rsidRPr="00FF3C31">
        <w:rPr>
          <w:rFonts w:ascii="Arial" w:eastAsia="Times New Roman" w:hAnsi="Arial" w:cs="Arial"/>
          <w:b/>
          <w:sz w:val="20"/>
          <w:szCs w:val="20"/>
        </w:rPr>
        <w:t xml:space="preserve">ilj </w:t>
      </w:r>
      <w:r w:rsidR="00C047C7" w:rsidRPr="00FF3C31">
        <w:rPr>
          <w:rFonts w:ascii="Arial" w:eastAsia="Times New Roman" w:hAnsi="Arial" w:cs="Arial"/>
          <w:b/>
          <w:sz w:val="20"/>
          <w:szCs w:val="20"/>
        </w:rPr>
        <w:t>2</w:t>
      </w:r>
      <w:r w:rsidR="00BB1E7A" w:rsidRPr="00FF3C31">
        <w:rPr>
          <w:rFonts w:ascii="Arial" w:eastAsia="Times New Roman" w:hAnsi="Arial" w:cs="Arial"/>
          <w:b/>
          <w:sz w:val="20"/>
          <w:szCs w:val="20"/>
        </w:rPr>
        <w:t xml:space="preserve">: </w:t>
      </w:r>
      <w:r w:rsidR="00437C71" w:rsidRPr="00FF3C31">
        <w:rPr>
          <w:rFonts w:ascii="Arial" w:eastAsia="Times New Roman" w:hAnsi="Arial" w:cs="Arial"/>
          <w:b/>
          <w:sz w:val="20"/>
          <w:szCs w:val="20"/>
        </w:rPr>
        <w:t>Unaprjeđenje infrastrukture</w:t>
      </w:r>
    </w:p>
    <w:p w14:paraId="09FFF9D8" w14:textId="77777777" w:rsidR="00BB1E7A" w:rsidRPr="00FF3C31" w:rsidRDefault="00BB1E7A" w:rsidP="00BB1E7A">
      <w:pPr>
        <w:autoSpaceDE w:val="0"/>
        <w:autoSpaceDN w:val="0"/>
        <w:adjustRightInd w:val="0"/>
        <w:spacing w:after="0" w:line="240" w:lineRule="auto"/>
        <w:jc w:val="both"/>
        <w:rPr>
          <w:rFonts w:ascii="Arial" w:eastAsia="Times New Roman" w:hAnsi="Arial" w:cs="Arial"/>
          <w:b/>
          <w:sz w:val="20"/>
          <w:szCs w:val="20"/>
          <w:u w:val="single"/>
        </w:rPr>
      </w:pPr>
    </w:p>
    <w:p w14:paraId="3C207E7A" w14:textId="352A20B7" w:rsidR="00BB1E7A" w:rsidRPr="00FF3C31" w:rsidRDefault="000804B7" w:rsidP="00BB1E7A">
      <w:pPr>
        <w:pBdr>
          <w:top w:val="single" w:sz="4" w:space="1" w:color="auto"/>
          <w:left w:val="single" w:sz="4" w:space="4" w:color="auto"/>
          <w:bottom w:val="single" w:sz="4" w:space="1" w:color="auto"/>
          <w:right w:val="single" w:sz="4" w:space="4" w:color="auto"/>
        </w:pBdr>
        <w:shd w:val="clear" w:color="auto" w:fill="BFBFBF"/>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Prio</w:t>
      </w:r>
      <w:r w:rsidR="00FF2258" w:rsidRPr="00FF3C31">
        <w:rPr>
          <w:rFonts w:ascii="Arial" w:eastAsia="Times New Roman" w:hAnsi="Arial" w:cs="Arial"/>
          <w:b/>
          <w:sz w:val="20"/>
          <w:szCs w:val="20"/>
        </w:rPr>
        <w:t>r</w:t>
      </w:r>
      <w:r w:rsidRPr="00FF3C31">
        <w:rPr>
          <w:rFonts w:ascii="Arial" w:eastAsia="Times New Roman" w:hAnsi="Arial" w:cs="Arial"/>
          <w:b/>
          <w:sz w:val="20"/>
          <w:szCs w:val="20"/>
        </w:rPr>
        <w:t>itet</w:t>
      </w:r>
      <w:r w:rsidR="00BB1E7A" w:rsidRPr="00FF3C31">
        <w:rPr>
          <w:rFonts w:ascii="Arial" w:eastAsia="Times New Roman" w:hAnsi="Arial" w:cs="Arial"/>
          <w:b/>
          <w:sz w:val="20"/>
          <w:szCs w:val="20"/>
        </w:rPr>
        <w:t xml:space="preserve"> </w:t>
      </w:r>
      <w:r w:rsidR="00437C71" w:rsidRPr="00FF3C31">
        <w:rPr>
          <w:rFonts w:ascii="Arial" w:eastAsia="Times New Roman" w:hAnsi="Arial" w:cs="Arial"/>
          <w:b/>
          <w:sz w:val="20"/>
          <w:szCs w:val="20"/>
        </w:rPr>
        <w:t>2.1.</w:t>
      </w:r>
      <w:r w:rsidR="00BB1E7A" w:rsidRPr="00FF3C31">
        <w:rPr>
          <w:rFonts w:ascii="Arial" w:eastAsia="Times New Roman" w:hAnsi="Arial" w:cs="Arial"/>
          <w:b/>
          <w:sz w:val="20"/>
          <w:szCs w:val="20"/>
        </w:rPr>
        <w:t xml:space="preserve"> </w:t>
      </w:r>
      <w:r w:rsidR="00437C71" w:rsidRPr="00FF3C31">
        <w:rPr>
          <w:rFonts w:ascii="Arial" w:eastAsia="Times New Roman" w:hAnsi="Arial" w:cs="Arial"/>
          <w:b/>
          <w:sz w:val="20"/>
          <w:szCs w:val="20"/>
        </w:rPr>
        <w:t xml:space="preserve">Unaprjeđenje prometne </w:t>
      </w:r>
      <w:r w:rsidR="00BB1E7A" w:rsidRPr="00FF3C31">
        <w:rPr>
          <w:rFonts w:ascii="Arial" w:eastAsia="Times New Roman" w:hAnsi="Arial" w:cs="Arial"/>
          <w:b/>
          <w:sz w:val="20"/>
          <w:szCs w:val="20"/>
        </w:rPr>
        <w:t>infrastrukture</w:t>
      </w:r>
    </w:p>
    <w:p w14:paraId="763982F0" w14:textId="77777777" w:rsidR="00437C71" w:rsidRPr="00FF3C31" w:rsidRDefault="00437C71" w:rsidP="00BB1E7A">
      <w:pPr>
        <w:autoSpaceDE w:val="0"/>
        <w:autoSpaceDN w:val="0"/>
        <w:adjustRightInd w:val="0"/>
        <w:spacing w:after="0" w:line="240" w:lineRule="auto"/>
        <w:jc w:val="both"/>
        <w:rPr>
          <w:rFonts w:ascii="Arial" w:eastAsia="Times New Roman" w:hAnsi="Arial" w:cs="Arial"/>
          <w:sz w:val="20"/>
          <w:szCs w:val="20"/>
        </w:rPr>
      </w:pPr>
    </w:p>
    <w:p w14:paraId="4A786D3D" w14:textId="3E4076AD" w:rsidR="00BB1E7A" w:rsidRPr="00FF3C31" w:rsidRDefault="00BB1E7A" w:rsidP="00BB1E7A">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Ova</w:t>
      </w:r>
      <w:r w:rsidR="000804B7" w:rsidRPr="00FF3C31">
        <w:rPr>
          <w:rFonts w:ascii="Arial" w:eastAsia="Times New Roman" w:hAnsi="Arial" w:cs="Arial"/>
          <w:sz w:val="20"/>
          <w:szCs w:val="20"/>
        </w:rPr>
        <w:t>j</w:t>
      </w:r>
      <w:r w:rsidRPr="00FF3C31">
        <w:rPr>
          <w:rFonts w:ascii="Arial" w:eastAsia="Times New Roman" w:hAnsi="Arial" w:cs="Arial"/>
          <w:sz w:val="20"/>
          <w:szCs w:val="20"/>
        </w:rPr>
        <w:t xml:space="preserve"> </w:t>
      </w:r>
      <w:r w:rsidR="000804B7" w:rsidRPr="00FF3C31">
        <w:rPr>
          <w:rFonts w:ascii="Arial" w:eastAsia="Times New Roman" w:hAnsi="Arial" w:cs="Arial"/>
          <w:sz w:val="20"/>
          <w:szCs w:val="20"/>
        </w:rPr>
        <w:t>prioritet</w:t>
      </w:r>
      <w:r w:rsidRPr="00FF3C31">
        <w:rPr>
          <w:rFonts w:ascii="Arial" w:eastAsia="Times New Roman" w:hAnsi="Arial" w:cs="Arial"/>
          <w:sz w:val="20"/>
          <w:szCs w:val="20"/>
        </w:rPr>
        <w:t xml:space="preserve"> se ostvaruje kroz:</w:t>
      </w:r>
    </w:p>
    <w:p w14:paraId="0903876B" w14:textId="77777777" w:rsidR="00BB1E7A" w:rsidRPr="00FF3C31" w:rsidRDefault="00BB1E7A" w:rsidP="00BB1E7A">
      <w:pPr>
        <w:autoSpaceDE w:val="0"/>
        <w:autoSpaceDN w:val="0"/>
        <w:adjustRightInd w:val="0"/>
        <w:spacing w:after="0" w:line="240" w:lineRule="auto"/>
        <w:jc w:val="both"/>
        <w:rPr>
          <w:rFonts w:ascii="Arial" w:eastAsia="Times New Roman" w:hAnsi="Arial" w:cs="Arial"/>
          <w:b/>
          <w:sz w:val="20"/>
          <w:szCs w:val="20"/>
        </w:rPr>
      </w:pPr>
    </w:p>
    <w:p w14:paraId="676EC792" w14:textId="245B0E87" w:rsidR="00BB1E7A" w:rsidRPr="00FF3C31" w:rsidRDefault="000804B7" w:rsidP="00BB1E7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2</w:t>
      </w:r>
      <w:r w:rsidR="00BB1E7A" w:rsidRPr="00FF3C31">
        <w:rPr>
          <w:rFonts w:ascii="Arial" w:eastAsia="Times New Roman" w:hAnsi="Arial" w:cs="Arial"/>
          <w:b/>
          <w:sz w:val="20"/>
          <w:szCs w:val="20"/>
        </w:rPr>
        <w:t>.1. a)</w:t>
      </w:r>
      <w:r w:rsidR="00BB1E7A" w:rsidRPr="00FF3C31">
        <w:rPr>
          <w:rFonts w:ascii="Arial" w:eastAsia="Times New Roman" w:hAnsi="Arial" w:cs="Arial"/>
          <w:b/>
          <w:sz w:val="20"/>
          <w:szCs w:val="20"/>
        </w:rPr>
        <w:tab/>
        <w:t xml:space="preserve">Program (2092) – Gradnja komunalne infrastrukture </w:t>
      </w:r>
    </w:p>
    <w:p w14:paraId="1FEB129E" w14:textId="77777777" w:rsidR="00BB1E7A" w:rsidRPr="00FF3C31" w:rsidRDefault="00BB1E7A" w:rsidP="00BB1E7A">
      <w:pPr>
        <w:autoSpaceDE w:val="0"/>
        <w:autoSpaceDN w:val="0"/>
        <w:adjustRightInd w:val="0"/>
        <w:spacing w:after="0" w:line="240" w:lineRule="auto"/>
        <w:jc w:val="both"/>
        <w:rPr>
          <w:rFonts w:ascii="Arial" w:eastAsia="Times New Roman" w:hAnsi="Arial" w:cs="Arial"/>
          <w:sz w:val="20"/>
          <w:szCs w:val="20"/>
        </w:rPr>
      </w:pPr>
    </w:p>
    <w:p w14:paraId="1836046D" w14:textId="77777777" w:rsidR="00BB1E7A" w:rsidRPr="00FF3C31" w:rsidRDefault="00BB1E7A" w:rsidP="00BB1E7A">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lastRenderedPageBreak/>
        <w:t>a1)</w:t>
      </w:r>
      <w:r w:rsidRPr="00FF3C31">
        <w:rPr>
          <w:rFonts w:ascii="Arial" w:eastAsia="Times New Roman" w:hAnsi="Arial" w:cs="Arial"/>
          <w:sz w:val="20"/>
          <w:szCs w:val="20"/>
        </w:rPr>
        <w:tab/>
        <w:t>Tekući projekt (T209209) Izgradnja, uređenje, opremanje parkinga</w:t>
      </w:r>
    </w:p>
    <w:p w14:paraId="6B5498F2" w14:textId="77777777" w:rsidR="00BB1E7A" w:rsidRPr="00FF3C31" w:rsidRDefault="00BB1E7A" w:rsidP="00BB1E7A">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a2)</w:t>
      </w:r>
      <w:r w:rsidRPr="00FF3C31">
        <w:rPr>
          <w:rFonts w:ascii="Arial" w:eastAsia="Times New Roman" w:hAnsi="Arial" w:cs="Arial"/>
          <w:sz w:val="20"/>
          <w:szCs w:val="20"/>
        </w:rPr>
        <w:tab/>
        <w:t>Tekući projekt (T209211) Izgradnja nogostupa, Poluganje</w:t>
      </w:r>
    </w:p>
    <w:p w14:paraId="277C6378" w14:textId="77777777" w:rsidR="00BB1E7A" w:rsidRPr="00FF3C31" w:rsidRDefault="00BB1E7A" w:rsidP="00BB1E7A">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a3)</w:t>
      </w:r>
      <w:r w:rsidRPr="00FF3C31">
        <w:rPr>
          <w:rFonts w:ascii="Arial" w:eastAsia="Times New Roman" w:hAnsi="Arial" w:cs="Arial"/>
          <w:sz w:val="20"/>
          <w:szCs w:val="20"/>
        </w:rPr>
        <w:tab/>
        <w:t>Kapitalni projekt (T209214) Nogostup uz D8 Gruda - Tušići</w:t>
      </w:r>
    </w:p>
    <w:p w14:paraId="6A00A744" w14:textId="77777777" w:rsidR="00BB1E7A" w:rsidRPr="00FF3C31" w:rsidRDefault="00BB1E7A" w:rsidP="00BB1E7A">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a4)</w:t>
      </w:r>
      <w:r w:rsidRPr="00FF3C31">
        <w:rPr>
          <w:rFonts w:ascii="Arial" w:eastAsia="Times New Roman" w:hAnsi="Arial" w:cs="Arial"/>
          <w:sz w:val="20"/>
          <w:szCs w:val="20"/>
        </w:rPr>
        <w:tab/>
        <w:t>Kapitalni projekt (K209215) Nogostup naselje Zvekovica</w:t>
      </w:r>
    </w:p>
    <w:p w14:paraId="361DD025" w14:textId="77777777" w:rsidR="00BB1E7A" w:rsidRPr="00FF3C31" w:rsidRDefault="00BB1E7A" w:rsidP="00BB1E7A">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a5)</w:t>
      </w:r>
      <w:r w:rsidRPr="00FF3C31">
        <w:rPr>
          <w:rFonts w:ascii="Arial" w:eastAsia="Times New Roman" w:hAnsi="Arial" w:cs="Arial"/>
          <w:sz w:val="20"/>
          <w:szCs w:val="20"/>
        </w:rPr>
        <w:tab/>
        <w:t>Kapitalni projekt (K209216) Nogostup naselje Čilipi</w:t>
      </w:r>
    </w:p>
    <w:p w14:paraId="30C6D942" w14:textId="77777777" w:rsidR="00BB1E7A" w:rsidRPr="00FF3C31" w:rsidRDefault="00BB1E7A" w:rsidP="00BB1E7A">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a6)</w:t>
      </w:r>
      <w:r w:rsidRPr="00FF3C31">
        <w:rPr>
          <w:rFonts w:ascii="Arial" w:eastAsia="Times New Roman" w:hAnsi="Arial" w:cs="Arial"/>
          <w:sz w:val="20"/>
          <w:szCs w:val="20"/>
        </w:rPr>
        <w:tab/>
        <w:t>Kapitalni projekt (K209218) Nogostup naselje Gruda</w:t>
      </w:r>
    </w:p>
    <w:p w14:paraId="57898D32" w14:textId="77777777" w:rsidR="00BB1E7A" w:rsidRPr="00FF3C31" w:rsidRDefault="00BB1E7A" w:rsidP="00BB1E7A">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a7)</w:t>
      </w:r>
      <w:r w:rsidRPr="00FF3C31">
        <w:rPr>
          <w:rFonts w:ascii="Arial" w:eastAsia="Times New Roman" w:hAnsi="Arial" w:cs="Arial"/>
          <w:sz w:val="20"/>
          <w:szCs w:val="20"/>
        </w:rPr>
        <w:tab/>
        <w:t>Kapitalni projekt (K209219) Cesta Pridvorje – Knežev dvor</w:t>
      </w:r>
    </w:p>
    <w:p w14:paraId="52FA974C" w14:textId="77777777" w:rsidR="00BB1E7A" w:rsidRPr="00FF3C31" w:rsidRDefault="00BB1E7A" w:rsidP="00BB1E7A">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a8)</w:t>
      </w:r>
      <w:r w:rsidRPr="00FF3C31">
        <w:rPr>
          <w:rFonts w:ascii="Arial" w:eastAsia="Times New Roman" w:hAnsi="Arial" w:cs="Arial"/>
          <w:sz w:val="20"/>
          <w:szCs w:val="20"/>
        </w:rPr>
        <w:tab/>
        <w:t>Kapitalni projekt (K209220) Nogostup Čilipi - Zvekovica</w:t>
      </w:r>
    </w:p>
    <w:p w14:paraId="46E29240" w14:textId="77777777" w:rsidR="00BB1E7A" w:rsidRPr="00FF3C31" w:rsidRDefault="00BB1E7A" w:rsidP="00686E08">
      <w:pPr>
        <w:autoSpaceDE w:val="0"/>
        <w:autoSpaceDN w:val="0"/>
        <w:adjustRightInd w:val="0"/>
        <w:spacing w:after="0" w:line="240" w:lineRule="auto"/>
        <w:jc w:val="both"/>
        <w:rPr>
          <w:rFonts w:ascii="Arial" w:eastAsia="Times New Roman" w:hAnsi="Arial" w:cs="Arial"/>
          <w:sz w:val="20"/>
          <w:szCs w:val="20"/>
        </w:rPr>
      </w:pPr>
    </w:p>
    <w:p w14:paraId="32F31A9B" w14:textId="77777777" w:rsidR="00686E08" w:rsidRPr="00FF3C31" w:rsidRDefault="00686E08" w:rsidP="00686E08">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T209209: Izgradnja, uređenje, opremanje parkinga</w:t>
      </w:r>
    </w:p>
    <w:p w14:paraId="33508087" w14:textId="77777777" w:rsidR="00686E08" w:rsidRPr="00FF3C31" w:rsidRDefault="00686E08" w:rsidP="00686E08">
      <w:pPr>
        <w:autoSpaceDE w:val="0"/>
        <w:autoSpaceDN w:val="0"/>
        <w:adjustRightInd w:val="0"/>
        <w:spacing w:after="0" w:line="240" w:lineRule="auto"/>
        <w:jc w:val="both"/>
        <w:rPr>
          <w:rFonts w:ascii="Arial" w:eastAsia="Times New Roman" w:hAnsi="Arial" w:cs="Arial"/>
          <w:sz w:val="20"/>
          <w:szCs w:val="20"/>
        </w:rPr>
      </w:pPr>
    </w:p>
    <w:p w14:paraId="784E579D" w14:textId="77777777" w:rsidR="00B83B91" w:rsidRPr="00B83B91" w:rsidRDefault="00B83B91" w:rsidP="00B83B91">
      <w:pPr>
        <w:autoSpaceDE w:val="0"/>
        <w:autoSpaceDN w:val="0"/>
        <w:adjustRightInd w:val="0"/>
        <w:spacing w:after="0" w:line="240" w:lineRule="auto"/>
        <w:rPr>
          <w:rFonts w:ascii="Arial" w:hAnsi="Arial" w:cs="Arial"/>
          <w:sz w:val="18"/>
          <w:szCs w:val="18"/>
        </w:rPr>
      </w:pPr>
      <w:r w:rsidRPr="00B83B91">
        <w:rPr>
          <w:rFonts w:ascii="Arial" w:hAnsi="Arial" w:cs="Arial"/>
          <w:sz w:val="18"/>
          <w:szCs w:val="18"/>
        </w:rPr>
        <w:t>Pokazatelj rezultata je: postotak dovršenosti otkupa, uređenja i opremanja parkinga u Cavtatu i parkinga na Grudi</w:t>
      </w:r>
    </w:p>
    <w:p w14:paraId="70842C0D" w14:textId="77777777" w:rsidR="00B83B91" w:rsidRPr="00B83B91" w:rsidRDefault="00B83B91" w:rsidP="00B83B91">
      <w:pPr>
        <w:autoSpaceDE w:val="0"/>
        <w:autoSpaceDN w:val="0"/>
        <w:adjustRightInd w:val="0"/>
        <w:spacing w:after="0" w:line="240" w:lineRule="auto"/>
        <w:rPr>
          <w:rFonts w:ascii="Arial" w:hAnsi="Arial" w:cs="Arial"/>
          <w:sz w:val="18"/>
          <w:szCs w:val="18"/>
        </w:rPr>
      </w:pPr>
      <w:r w:rsidRPr="00B83B91">
        <w:rPr>
          <w:rFonts w:ascii="Arial" w:hAnsi="Arial" w:cs="Arial"/>
          <w:sz w:val="18"/>
          <w:szCs w:val="18"/>
        </w:rPr>
        <w:t>Polazna vrijednost 5%, ciljna vrijednost za 2025. = 10%, za 2026. = 17%, 2027. = 25%</w:t>
      </w:r>
    </w:p>
    <w:p w14:paraId="21840B23" w14:textId="77777777" w:rsidR="00686E08" w:rsidRPr="00FF3C31" w:rsidRDefault="00686E08" w:rsidP="00686E08">
      <w:pPr>
        <w:autoSpaceDE w:val="0"/>
        <w:autoSpaceDN w:val="0"/>
        <w:adjustRightInd w:val="0"/>
        <w:spacing w:after="0" w:line="240" w:lineRule="auto"/>
        <w:jc w:val="both"/>
        <w:rPr>
          <w:rFonts w:ascii="Arial" w:eastAsia="Times New Roman" w:hAnsi="Arial" w:cs="Arial"/>
          <w:sz w:val="20"/>
          <w:szCs w:val="20"/>
        </w:rPr>
      </w:pPr>
    </w:p>
    <w:p w14:paraId="61AC050B" w14:textId="57A5CB63" w:rsidR="00686E08" w:rsidRPr="00720A0C" w:rsidRDefault="00686E08" w:rsidP="00686E08">
      <w:pPr>
        <w:autoSpaceDE w:val="0"/>
        <w:autoSpaceDN w:val="0"/>
        <w:adjustRightInd w:val="0"/>
        <w:spacing w:after="0" w:line="240" w:lineRule="auto"/>
        <w:jc w:val="both"/>
        <w:rPr>
          <w:rFonts w:ascii="Arial" w:eastAsia="Calibri" w:hAnsi="Arial" w:cs="Arial"/>
          <w:sz w:val="18"/>
          <w:szCs w:val="18"/>
        </w:rPr>
      </w:pPr>
      <w:r w:rsidRPr="00720A0C">
        <w:rPr>
          <w:rFonts w:ascii="Arial" w:eastAsia="Times New Roman" w:hAnsi="Arial" w:cs="Arial"/>
          <w:sz w:val="18"/>
          <w:szCs w:val="18"/>
        </w:rPr>
        <w:t xml:space="preserve">U 2018. izvršeni su rashodi u iznosu 251.750 kn </w:t>
      </w:r>
      <w:r w:rsidR="00060B4C" w:rsidRPr="00720A0C">
        <w:rPr>
          <w:rFonts w:ascii="Arial" w:eastAsia="Times New Roman" w:hAnsi="Arial" w:cs="Arial"/>
          <w:sz w:val="18"/>
          <w:szCs w:val="18"/>
        </w:rPr>
        <w:t xml:space="preserve">/ 33.412,97 € </w:t>
      </w:r>
      <w:r w:rsidRPr="00720A0C">
        <w:rPr>
          <w:rFonts w:ascii="Arial" w:eastAsia="Times New Roman" w:hAnsi="Arial" w:cs="Arial"/>
          <w:sz w:val="18"/>
          <w:szCs w:val="18"/>
        </w:rPr>
        <w:t xml:space="preserve">koji se odnose </w:t>
      </w:r>
      <w:r w:rsidRPr="00720A0C">
        <w:rPr>
          <w:rFonts w:ascii="Arial" w:eastAsia="Calibri" w:hAnsi="Arial" w:cs="Arial"/>
          <w:sz w:val="18"/>
          <w:szCs w:val="18"/>
        </w:rPr>
        <w:t>na izradu idejnog rješenja parkirališta kod ambulante u Cavtatu u iznosu 8.750 kn</w:t>
      </w:r>
      <w:r w:rsidR="00060B4C" w:rsidRPr="00720A0C">
        <w:rPr>
          <w:rFonts w:ascii="Arial" w:eastAsia="Calibri" w:hAnsi="Arial" w:cs="Arial"/>
          <w:sz w:val="18"/>
          <w:szCs w:val="18"/>
        </w:rPr>
        <w:t xml:space="preserve"> / 1.161,32 €</w:t>
      </w:r>
      <w:r w:rsidRPr="00720A0C">
        <w:rPr>
          <w:rFonts w:ascii="Arial" w:eastAsia="Calibri" w:hAnsi="Arial" w:cs="Arial"/>
          <w:sz w:val="18"/>
          <w:szCs w:val="18"/>
        </w:rPr>
        <w:t>, te otkup zemljišta za uređenje parkinga u iznosu 243.000 kn</w:t>
      </w:r>
      <w:r w:rsidR="00060B4C" w:rsidRPr="00720A0C">
        <w:rPr>
          <w:rFonts w:ascii="Arial" w:eastAsia="Calibri" w:hAnsi="Arial" w:cs="Arial"/>
          <w:sz w:val="18"/>
          <w:szCs w:val="18"/>
        </w:rPr>
        <w:t xml:space="preserve"> / 32.251,64 €</w:t>
      </w:r>
      <w:r w:rsidRPr="00720A0C">
        <w:rPr>
          <w:rFonts w:ascii="Arial" w:eastAsia="Calibri" w:hAnsi="Arial" w:cs="Arial"/>
          <w:sz w:val="18"/>
          <w:szCs w:val="18"/>
        </w:rPr>
        <w:t>. Otkupljeno je 243 m² u Cavtatu od tri fizičke osobe. Procjenu zemljišta obavio je ovlašteni vještak za graditeljstvo i procjenu nekretnina.</w:t>
      </w:r>
    </w:p>
    <w:p w14:paraId="1F4A7434" w14:textId="77777777" w:rsidR="00686E08" w:rsidRPr="00720A0C" w:rsidRDefault="00686E08" w:rsidP="00686E08">
      <w:pPr>
        <w:autoSpaceDE w:val="0"/>
        <w:autoSpaceDN w:val="0"/>
        <w:adjustRightInd w:val="0"/>
        <w:spacing w:after="0" w:line="240" w:lineRule="auto"/>
        <w:jc w:val="both"/>
        <w:rPr>
          <w:rFonts w:ascii="Arial" w:eastAsia="Times New Roman" w:hAnsi="Arial" w:cs="Arial"/>
          <w:sz w:val="18"/>
          <w:szCs w:val="18"/>
        </w:rPr>
      </w:pPr>
    </w:p>
    <w:p w14:paraId="0658B660" w14:textId="307B5F6A" w:rsidR="00686E08" w:rsidRPr="00720A0C" w:rsidRDefault="00686E08" w:rsidP="00686E08">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U 2019. su izvršeni rashodi u iznosu 1.182.749,73 kn </w:t>
      </w:r>
      <w:r w:rsidR="00060B4C" w:rsidRPr="00720A0C">
        <w:rPr>
          <w:rFonts w:ascii="Arial" w:eastAsia="Times New Roman" w:hAnsi="Arial" w:cs="Arial"/>
          <w:sz w:val="18"/>
          <w:szCs w:val="18"/>
        </w:rPr>
        <w:t xml:space="preserve">/ 156.977,87 € </w:t>
      </w:r>
      <w:r w:rsidRPr="00720A0C">
        <w:rPr>
          <w:rFonts w:ascii="Arial" w:eastAsia="Times New Roman" w:hAnsi="Arial" w:cs="Arial"/>
          <w:sz w:val="18"/>
          <w:szCs w:val="18"/>
        </w:rPr>
        <w:t>i odnosili su se na:</w:t>
      </w:r>
    </w:p>
    <w:p w14:paraId="14593F4B" w14:textId="0C59137A" w:rsidR="00686E08" w:rsidRPr="00720A0C" w:rsidRDefault="00686E08" w:rsidP="00686E08">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 kapitalnu pomoć društvu u vlasništvu Općine (Čistoća i zelenilo Konavle d.o.o.) za nadogradnju sustava parkinga u Cavtatu u iznosu 496.182,77 kn </w:t>
      </w:r>
      <w:r w:rsidR="00060B4C" w:rsidRPr="00720A0C">
        <w:rPr>
          <w:rFonts w:ascii="Arial" w:eastAsia="Times New Roman" w:hAnsi="Arial" w:cs="Arial"/>
          <w:sz w:val="18"/>
          <w:szCs w:val="18"/>
        </w:rPr>
        <w:t xml:space="preserve">/ 65.854,77 € </w:t>
      </w:r>
      <w:r w:rsidRPr="00720A0C">
        <w:rPr>
          <w:rFonts w:ascii="Arial" w:eastAsia="Times New Roman" w:hAnsi="Arial" w:cs="Arial"/>
          <w:sz w:val="18"/>
          <w:szCs w:val="18"/>
        </w:rPr>
        <w:t>(nabava sustava i opreme za nadogradnju sustava kontrole parkiranja u Cavtatu u iznosu 151.626,57 kn</w:t>
      </w:r>
      <w:r w:rsidR="00060B4C" w:rsidRPr="00720A0C">
        <w:rPr>
          <w:rFonts w:ascii="Arial" w:eastAsia="Times New Roman" w:hAnsi="Arial" w:cs="Arial"/>
          <w:sz w:val="18"/>
          <w:szCs w:val="18"/>
        </w:rPr>
        <w:t xml:space="preserve"> / 20.124,30 €</w:t>
      </w:r>
      <w:r w:rsidRPr="00720A0C">
        <w:rPr>
          <w:rFonts w:ascii="Arial" w:eastAsia="Times New Roman" w:hAnsi="Arial" w:cs="Arial"/>
          <w:sz w:val="18"/>
          <w:szCs w:val="18"/>
        </w:rPr>
        <w:t>, nadogradnja proširenja sustava prepoznavanja registarskih oznaka u iznosu 138.609,85 kn</w:t>
      </w:r>
      <w:r w:rsidR="00060B4C" w:rsidRPr="00720A0C">
        <w:rPr>
          <w:rFonts w:ascii="Arial" w:eastAsia="Times New Roman" w:hAnsi="Arial" w:cs="Arial"/>
          <w:sz w:val="18"/>
          <w:szCs w:val="18"/>
        </w:rPr>
        <w:t xml:space="preserve"> / 18.396,69 €</w:t>
      </w:r>
      <w:r w:rsidRPr="00720A0C">
        <w:rPr>
          <w:rFonts w:ascii="Arial" w:eastAsia="Times New Roman" w:hAnsi="Arial" w:cs="Arial"/>
          <w:sz w:val="18"/>
          <w:szCs w:val="18"/>
        </w:rPr>
        <w:t>, proširenje sustava naplate s mogućnošću plaćanja kroz različite kanale plaćanja u iznosu 171.446,35 kn</w:t>
      </w:r>
      <w:r w:rsidR="00060B4C" w:rsidRPr="00720A0C">
        <w:rPr>
          <w:rFonts w:ascii="Arial" w:eastAsia="Times New Roman" w:hAnsi="Arial" w:cs="Arial"/>
          <w:sz w:val="18"/>
          <w:szCs w:val="18"/>
        </w:rPr>
        <w:t xml:space="preserve"> / 22.754,84 €</w:t>
      </w:r>
      <w:r w:rsidRPr="00720A0C">
        <w:rPr>
          <w:rFonts w:ascii="Arial" w:eastAsia="Times New Roman" w:hAnsi="Arial" w:cs="Arial"/>
          <w:sz w:val="18"/>
          <w:szCs w:val="18"/>
        </w:rPr>
        <w:t>, te građevinsko obrtnički radovi – prilagodba za upravljanje novim sustavom parkiranja u iznosu 34.500 kn</w:t>
      </w:r>
      <w:r w:rsidR="00060B4C" w:rsidRPr="00720A0C">
        <w:rPr>
          <w:rFonts w:ascii="Arial" w:eastAsia="Times New Roman" w:hAnsi="Arial" w:cs="Arial"/>
          <w:sz w:val="18"/>
          <w:szCs w:val="18"/>
        </w:rPr>
        <w:t xml:space="preserve"> / 4.578,94 €</w:t>
      </w:r>
      <w:r w:rsidRPr="00720A0C">
        <w:rPr>
          <w:rFonts w:ascii="Arial" w:eastAsia="Times New Roman" w:hAnsi="Arial" w:cs="Arial"/>
          <w:sz w:val="18"/>
          <w:szCs w:val="18"/>
        </w:rPr>
        <w:t xml:space="preserve">, </w:t>
      </w:r>
    </w:p>
    <w:p w14:paraId="3EDDDF7C" w14:textId="64DB606D" w:rsidR="00686E08" w:rsidRPr="00720A0C" w:rsidRDefault="00686E08" w:rsidP="00686E08">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 izgradnju parkinga na Grudi u iznosu 686.566,96 kn </w:t>
      </w:r>
      <w:r w:rsidR="00060B4C" w:rsidRPr="00720A0C">
        <w:rPr>
          <w:rFonts w:ascii="Arial" w:eastAsia="Times New Roman" w:hAnsi="Arial" w:cs="Arial"/>
          <w:sz w:val="18"/>
          <w:szCs w:val="18"/>
        </w:rPr>
        <w:t xml:space="preserve">/ 91.123,10 € </w:t>
      </w:r>
      <w:r w:rsidRPr="00720A0C">
        <w:rPr>
          <w:rFonts w:ascii="Arial" w:eastAsia="Times New Roman" w:hAnsi="Arial" w:cs="Arial"/>
          <w:sz w:val="18"/>
          <w:szCs w:val="18"/>
        </w:rPr>
        <w:t xml:space="preserve">(otkup zemljišta za izgradnju u iznosu 292.411,74 kn </w:t>
      </w:r>
      <w:r w:rsidR="00060B4C" w:rsidRPr="00720A0C">
        <w:rPr>
          <w:rFonts w:ascii="Arial" w:eastAsia="Times New Roman" w:hAnsi="Arial" w:cs="Arial"/>
          <w:sz w:val="18"/>
          <w:szCs w:val="18"/>
        </w:rPr>
        <w:t xml:space="preserve">/ 38.809,71 € </w:t>
      </w:r>
      <w:r w:rsidRPr="00720A0C">
        <w:rPr>
          <w:rFonts w:ascii="Arial" w:eastAsia="Times New Roman" w:hAnsi="Arial" w:cs="Arial"/>
          <w:sz w:val="18"/>
          <w:szCs w:val="18"/>
        </w:rPr>
        <w:t xml:space="preserve">od fizičke osobe (743 m²), građevinski radovi u vrijednosti 382.773,68 kn </w:t>
      </w:r>
      <w:r w:rsidR="00060B4C" w:rsidRPr="00720A0C">
        <w:rPr>
          <w:rFonts w:ascii="Arial" w:eastAsia="Times New Roman" w:hAnsi="Arial" w:cs="Arial"/>
          <w:sz w:val="18"/>
          <w:szCs w:val="18"/>
        </w:rPr>
        <w:t xml:space="preserve">/ 50.802,80 € </w:t>
      </w:r>
      <w:r w:rsidRPr="00720A0C">
        <w:rPr>
          <w:rFonts w:ascii="Arial" w:eastAsia="Times New Roman" w:hAnsi="Arial" w:cs="Arial"/>
          <w:sz w:val="18"/>
          <w:szCs w:val="18"/>
        </w:rPr>
        <w:t>i usluge nadzora nad radovima u iznosu 11.381,54 kn</w:t>
      </w:r>
      <w:r w:rsidR="00060B4C" w:rsidRPr="00720A0C">
        <w:rPr>
          <w:rFonts w:ascii="Arial" w:eastAsia="Times New Roman" w:hAnsi="Arial" w:cs="Arial"/>
          <w:sz w:val="18"/>
          <w:szCs w:val="18"/>
        </w:rPr>
        <w:t xml:space="preserve"> / 1.510,59 €</w:t>
      </w:r>
      <w:r w:rsidRPr="00720A0C">
        <w:rPr>
          <w:rFonts w:ascii="Arial" w:eastAsia="Times New Roman" w:hAnsi="Arial" w:cs="Arial"/>
          <w:sz w:val="18"/>
          <w:szCs w:val="18"/>
        </w:rPr>
        <w:t>).</w:t>
      </w:r>
    </w:p>
    <w:p w14:paraId="60D37D93" w14:textId="77777777" w:rsidR="00686E08" w:rsidRPr="00720A0C" w:rsidRDefault="00686E08" w:rsidP="00686E08">
      <w:pPr>
        <w:autoSpaceDE w:val="0"/>
        <w:autoSpaceDN w:val="0"/>
        <w:adjustRightInd w:val="0"/>
        <w:spacing w:after="0" w:line="240" w:lineRule="auto"/>
        <w:jc w:val="both"/>
        <w:rPr>
          <w:rFonts w:ascii="Arial" w:eastAsia="Times New Roman" w:hAnsi="Arial" w:cs="Arial"/>
          <w:sz w:val="18"/>
          <w:szCs w:val="18"/>
        </w:rPr>
      </w:pPr>
    </w:p>
    <w:p w14:paraId="2C854EF7" w14:textId="44661145" w:rsidR="00686E08" w:rsidRPr="00720A0C" w:rsidRDefault="00686E08" w:rsidP="00686E08">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Na temelju provedenog postupka nabave, zaključen je u kolovozu 2019. s odabranim izvoditeljem (Texo molior d.o.o.) ugovor za radove uređenja parkirališta u naselju Gruda u iznosu 609.563,75 kn</w:t>
      </w:r>
      <w:r w:rsidR="00060B4C" w:rsidRPr="00720A0C">
        <w:rPr>
          <w:rFonts w:ascii="Arial" w:eastAsia="Times New Roman" w:hAnsi="Arial" w:cs="Arial"/>
          <w:sz w:val="18"/>
          <w:szCs w:val="18"/>
        </w:rPr>
        <w:t xml:space="preserve"> s PDV-om / 80.903,02 €</w:t>
      </w:r>
      <w:r w:rsidRPr="00720A0C">
        <w:rPr>
          <w:rFonts w:ascii="Arial" w:eastAsia="Times New Roman" w:hAnsi="Arial" w:cs="Arial"/>
          <w:sz w:val="18"/>
          <w:szCs w:val="18"/>
        </w:rPr>
        <w:t xml:space="preserve">. Izvođač je u 2019. ispostavio dvije privremene u ukupnom iznosu 382.773,68 kn s </w:t>
      </w:r>
      <w:r w:rsidR="00060B4C" w:rsidRPr="00720A0C">
        <w:rPr>
          <w:rFonts w:ascii="Arial" w:eastAsia="Times New Roman" w:hAnsi="Arial" w:cs="Arial"/>
          <w:sz w:val="18"/>
          <w:szCs w:val="18"/>
        </w:rPr>
        <w:t>PDV-om / 50.802,80 €</w:t>
      </w:r>
      <w:r w:rsidRPr="00720A0C">
        <w:rPr>
          <w:rFonts w:ascii="Arial" w:eastAsia="Times New Roman" w:hAnsi="Arial" w:cs="Arial"/>
          <w:sz w:val="18"/>
          <w:szCs w:val="18"/>
        </w:rPr>
        <w:t>. Radovi nadzora nad radovima ugovoreni su u vrijednosti 18.125 kn</w:t>
      </w:r>
      <w:r w:rsidR="00060B4C" w:rsidRPr="00720A0C">
        <w:rPr>
          <w:rFonts w:ascii="Arial" w:eastAsia="Times New Roman" w:hAnsi="Arial" w:cs="Arial"/>
          <w:sz w:val="18"/>
          <w:szCs w:val="18"/>
        </w:rPr>
        <w:t xml:space="preserve"> / 2.405,60 €</w:t>
      </w:r>
      <w:r w:rsidRPr="00720A0C">
        <w:rPr>
          <w:rFonts w:ascii="Arial" w:eastAsia="Times New Roman" w:hAnsi="Arial" w:cs="Arial"/>
          <w:sz w:val="18"/>
          <w:szCs w:val="18"/>
        </w:rPr>
        <w:t>, a izvršeni su u vrijednosti 11.381,54 kn</w:t>
      </w:r>
      <w:r w:rsidR="00060B4C" w:rsidRPr="00720A0C">
        <w:rPr>
          <w:rFonts w:ascii="Arial" w:eastAsia="Times New Roman" w:hAnsi="Arial" w:cs="Arial"/>
          <w:sz w:val="18"/>
          <w:szCs w:val="18"/>
        </w:rPr>
        <w:t xml:space="preserve"> / 1.510,59 €</w:t>
      </w:r>
      <w:r w:rsidRPr="00720A0C">
        <w:rPr>
          <w:rFonts w:ascii="Arial" w:eastAsia="Times New Roman" w:hAnsi="Arial" w:cs="Arial"/>
          <w:sz w:val="18"/>
          <w:szCs w:val="18"/>
        </w:rPr>
        <w:t>.</w:t>
      </w:r>
    </w:p>
    <w:p w14:paraId="1133160D" w14:textId="77777777" w:rsidR="00686E08" w:rsidRPr="00720A0C" w:rsidRDefault="00686E08" w:rsidP="00686E08">
      <w:pPr>
        <w:autoSpaceDE w:val="0"/>
        <w:autoSpaceDN w:val="0"/>
        <w:adjustRightInd w:val="0"/>
        <w:spacing w:after="0" w:line="240" w:lineRule="auto"/>
        <w:jc w:val="both"/>
        <w:rPr>
          <w:rFonts w:ascii="Arial" w:eastAsia="Times New Roman" w:hAnsi="Arial" w:cs="Arial"/>
          <w:sz w:val="18"/>
          <w:szCs w:val="18"/>
        </w:rPr>
      </w:pPr>
    </w:p>
    <w:p w14:paraId="6FE1ACAA" w14:textId="100FD3F5" w:rsidR="00686E08" w:rsidRPr="00720A0C" w:rsidRDefault="00686E08" w:rsidP="00686E08">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U 2020. su izvršeni rashodi u iznosu 510.481,79 kn </w:t>
      </w:r>
      <w:r w:rsidR="00060B4C" w:rsidRPr="00720A0C">
        <w:rPr>
          <w:rFonts w:ascii="Arial" w:eastAsia="Times New Roman" w:hAnsi="Arial" w:cs="Arial"/>
          <w:sz w:val="18"/>
          <w:szCs w:val="18"/>
        </w:rPr>
        <w:t xml:space="preserve">/ 67.752,58 € </w:t>
      </w:r>
      <w:r w:rsidRPr="00720A0C">
        <w:rPr>
          <w:rFonts w:ascii="Arial" w:eastAsia="Times New Roman" w:hAnsi="Arial" w:cs="Arial"/>
          <w:sz w:val="18"/>
          <w:szCs w:val="18"/>
        </w:rPr>
        <w:t>koji se odnose na otkup 251</w:t>
      </w:r>
      <w:r w:rsidR="00060B4C" w:rsidRPr="00720A0C">
        <w:rPr>
          <w:rFonts w:ascii="Arial" w:eastAsia="Times New Roman" w:hAnsi="Arial" w:cs="Arial"/>
          <w:sz w:val="18"/>
          <w:szCs w:val="18"/>
        </w:rPr>
        <w:t xml:space="preserve"> </w:t>
      </w:r>
      <w:r w:rsidRPr="00720A0C">
        <w:rPr>
          <w:rFonts w:ascii="Arial" w:eastAsia="Times New Roman" w:hAnsi="Arial" w:cs="Arial"/>
          <w:sz w:val="18"/>
          <w:szCs w:val="18"/>
        </w:rPr>
        <w:t xml:space="preserve">m² zemljišta za proširenje parkinga, dok su u 2021. izvršeni rashodi u obliku kapitalne pomoći društvu koje upravlja parkingom u iznosu 19.016,56 kn </w:t>
      </w:r>
      <w:r w:rsidR="00060B4C" w:rsidRPr="00720A0C">
        <w:rPr>
          <w:rFonts w:ascii="Arial" w:eastAsia="Times New Roman" w:hAnsi="Arial" w:cs="Arial"/>
          <w:sz w:val="18"/>
          <w:szCs w:val="18"/>
        </w:rPr>
        <w:t xml:space="preserve">/ 2.523,93 € </w:t>
      </w:r>
      <w:r w:rsidRPr="00720A0C">
        <w:rPr>
          <w:rFonts w:ascii="Arial" w:eastAsia="Times New Roman" w:hAnsi="Arial" w:cs="Arial"/>
          <w:sz w:val="18"/>
          <w:szCs w:val="18"/>
        </w:rPr>
        <w:t>a za potrebe nabave opreme za nadzorni sustav parkinga i javnih površina.</w:t>
      </w:r>
    </w:p>
    <w:p w14:paraId="3FA9DB96" w14:textId="77777777" w:rsidR="00686E08" w:rsidRPr="00720A0C" w:rsidRDefault="00686E08" w:rsidP="00686E08">
      <w:pPr>
        <w:autoSpaceDE w:val="0"/>
        <w:autoSpaceDN w:val="0"/>
        <w:adjustRightInd w:val="0"/>
        <w:spacing w:after="0" w:line="240" w:lineRule="auto"/>
        <w:jc w:val="both"/>
        <w:rPr>
          <w:rFonts w:ascii="Arial" w:eastAsia="Times New Roman" w:hAnsi="Arial" w:cs="Arial"/>
          <w:sz w:val="18"/>
          <w:szCs w:val="18"/>
        </w:rPr>
      </w:pPr>
    </w:p>
    <w:p w14:paraId="2346D51D" w14:textId="2ABCD37F" w:rsidR="008D50C0" w:rsidRPr="00720A0C" w:rsidRDefault="008D50C0" w:rsidP="00686E08">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U 2023. su izvršeni rashodi u iznosu </w:t>
      </w:r>
      <w:r w:rsidR="00B33A2D" w:rsidRPr="00720A0C">
        <w:rPr>
          <w:rFonts w:ascii="Arial" w:eastAsia="Times New Roman" w:hAnsi="Arial" w:cs="Arial"/>
          <w:sz w:val="18"/>
          <w:szCs w:val="18"/>
        </w:rPr>
        <w:t>102.673,13</w:t>
      </w:r>
      <w:r w:rsidRPr="00720A0C">
        <w:rPr>
          <w:rFonts w:ascii="Arial" w:eastAsia="Times New Roman" w:hAnsi="Arial" w:cs="Arial"/>
          <w:sz w:val="18"/>
          <w:szCs w:val="18"/>
        </w:rPr>
        <w:t xml:space="preserve"> € za parkinge i to:</w:t>
      </w:r>
    </w:p>
    <w:p w14:paraId="14D28989" w14:textId="4355E67F" w:rsidR="00D471AD" w:rsidRPr="00720A0C" w:rsidRDefault="008D50C0" w:rsidP="00D471AD">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 prijenosi sredstava kapitalne pomoći u iznosu </w:t>
      </w:r>
      <w:r w:rsidR="00B33A2D" w:rsidRPr="00720A0C">
        <w:rPr>
          <w:rFonts w:ascii="Arial" w:eastAsia="Times New Roman" w:hAnsi="Arial" w:cs="Arial"/>
          <w:sz w:val="18"/>
          <w:szCs w:val="18"/>
        </w:rPr>
        <w:t>72.688,10</w:t>
      </w:r>
      <w:r w:rsidRPr="00720A0C">
        <w:rPr>
          <w:rFonts w:ascii="Arial" w:eastAsia="Times New Roman" w:hAnsi="Arial" w:cs="Arial"/>
          <w:sz w:val="18"/>
          <w:szCs w:val="18"/>
        </w:rPr>
        <w:t xml:space="preserve"> € društvu u vlasništvu Općine (društvo Čistoća i zelenilo Konavle d.o.o.) koje upravlja parkingom u Cavtatu i to za proširenje parkinga u Cavtatu </w:t>
      </w:r>
      <w:r w:rsidR="00D471AD" w:rsidRPr="00720A0C">
        <w:rPr>
          <w:rFonts w:ascii="Arial" w:eastAsia="Times New Roman" w:hAnsi="Arial" w:cs="Arial"/>
          <w:sz w:val="18"/>
          <w:szCs w:val="18"/>
        </w:rPr>
        <w:t xml:space="preserve">s postavljanjem javne rasvjete </w:t>
      </w:r>
      <w:r w:rsidRPr="00720A0C">
        <w:rPr>
          <w:rFonts w:ascii="Arial" w:eastAsia="Times New Roman" w:hAnsi="Arial" w:cs="Arial"/>
          <w:sz w:val="18"/>
          <w:szCs w:val="18"/>
        </w:rPr>
        <w:t xml:space="preserve">(zemljište otkupljeno 2020. godine) u iznosu </w:t>
      </w:r>
      <w:r w:rsidR="00D471AD" w:rsidRPr="00720A0C">
        <w:rPr>
          <w:rFonts w:ascii="Arial" w:eastAsia="Times New Roman" w:hAnsi="Arial" w:cs="Arial"/>
          <w:sz w:val="18"/>
          <w:szCs w:val="18"/>
        </w:rPr>
        <w:t>23.274,27 €, za nabavu spremnika za novčanice, jedinica za kodiranje karata i video nadzor parking u iznosu 5.653,43 €,</w:t>
      </w:r>
      <w:r w:rsidR="00B33A2D" w:rsidRPr="00720A0C">
        <w:rPr>
          <w:rFonts w:ascii="Arial" w:eastAsia="Times New Roman" w:hAnsi="Arial" w:cs="Arial"/>
          <w:sz w:val="18"/>
          <w:szCs w:val="18"/>
        </w:rPr>
        <w:t xml:space="preserve"> te naplatni uređaj na parkingu 43.760,40 €,</w:t>
      </w:r>
    </w:p>
    <w:p w14:paraId="2B65D0DD" w14:textId="61D351B0" w:rsidR="008D50C0" w:rsidRPr="00720A0C" w:rsidRDefault="00D471AD" w:rsidP="00D471AD">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za potrebe proširenja parkinga u ulici Tiha obavljena je sječa gustog raslinja u iznosu 4.650 €,</w:t>
      </w:r>
    </w:p>
    <w:p w14:paraId="13C30320" w14:textId="1245328C" w:rsidR="00B33A2D" w:rsidRPr="00720A0C" w:rsidRDefault="00B33A2D" w:rsidP="00D471AD">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obavljeno je tam</w:t>
      </w:r>
      <w:r w:rsidR="00090C07" w:rsidRPr="00720A0C">
        <w:rPr>
          <w:rFonts w:ascii="Arial" w:eastAsia="Times New Roman" w:hAnsi="Arial" w:cs="Arial"/>
          <w:sz w:val="18"/>
          <w:szCs w:val="18"/>
        </w:rPr>
        <w:t>po</w:t>
      </w:r>
      <w:r w:rsidRPr="00720A0C">
        <w:rPr>
          <w:rFonts w:ascii="Arial" w:eastAsia="Times New Roman" w:hAnsi="Arial" w:cs="Arial"/>
          <w:sz w:val="18"/>
          <w:szCs w:val="18"/>
        </w:rPr>
        <w:t>n</w:t>
      </w:r>
      <w:r w:rsidR="00090C07" w:rsidRPr="00720A0C">
        <w:rPr>
          <w:rFonts w:ascii="Arial" w:eastAsia="Times New Roman" w:hAnsi="Arial" w:cs="Arial"/>
          <w:sz w:val="18"/>
          <w:szCs w:val="18"/>
        </w:rPr>
        <w:t>i</w:t>
      </w:r>
      <w:r w:rsidRPr="00720A0C">
        <w:rPr>
          <w:rFonts w:ascii="Arial" w:eastAsia="Times New Roman" w:hAnsi="Arial" w:cs="Arial"/>
          <w:sz w:val="18"/>
          <w:szCs w:val="18"/>
        </w:rPr>
        <w:t>ranje dijela parkinga uz cestu prema hotelu Albatros u iznosu 5.125 €,</w:t>
      </w:r>
    </w:p>
    <w:p w14:paraId="0C080CED" w14:textId="1C003B54" w:rsidR="00D471AD" w:rsidRPr="00720A0C" w:rsidRDefault="00D471AD" w:rsidP="00D471AD">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 izrađen je izvedbeni projekt proširenja parkinga u Tihoj u iznosu 5.972,53 €, </w:t>
      </w:r>
    </w:p>
    <w:p w14:paraId="43F5D379" w14:textId="6DAE0033" w:rsidR="00D471AD" w:rsidRPr="00720A0C" w:rsidRDefault="00D471AD" w:rsidP="00D471AD">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 izrađeno idejno rješenje parkirališta uz groblje Sveta Nedjelja u Čilipima u iznosu 750 </w:t>
      </w:r>
      <w:r w:rsidR="00BB0987" w:rsidRPr="00720A0C">
        <w:rPr>
          <w:rFonts w:ascii="Arial" w:eastAsia="Times New Roman" w:hAnsi="Arial" w:cs="Arial"/>
          <w:sz w:val="18"/>
          <w:szCs w:val="18"/>
        </w:rPr>
        <w:t>€</w:t>
      </w:r>
      <w:r w:rsidR="00B33A2D" w:rsidRPr="00720A0C">
        <w:rPr>
          <w:rFonts w:ascii="Arial" w:eastAsia="Times New Roman" w:hAnsi="Arial" w:cs="Arial"/>
          <w:sz w:val="18"/>
          <w:szCs w:val="18"/>
        </w:rPr>
        <w:t xml:space="preserve">, te </w:t>
      </w:r>
    </w:p>
    <w:p w14:paraId="553F5FAE" w14:textId="7B3197D7" w:rsidR="00B33A2D" w:rsidRPr="00720A0C" w:rsidRDefault="00B33A2D" w:rsidP="00D471AD">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pokrenut postupak postavljanja videonadzora sustava parkiranja u blizini zračne luke (nabava kamera i komunikacijske opreme) u iznosu 13.487,50 €.</w:t>
      </w:r>
    </w:p>
    <w:p w14:paraId="4C6749A0" w14:textId="77777777" w:rsidR="00D471AD" w:rsidRPr="00FF3C31" w:rsidRDefault="00D471AD" w:rsidP="00D471AD">
      <w:pPr>
        <w:autoSpaceDE w:val="0"/>
        <w:autoSpaceDN w:val="0"/>
        <w:adjustRightInd w:val="0"/>
        <w:spacing w:after="0" w:line="240" w:lineRule="auto"/>
        <w:jc w:val="both"/>
        <w:rPr>
          <w:rFonts w:ascii="Arial" w:eastAsia="Times New Roman" w:hAnsi="Arial" w:cs="Arial"/>
          <w:sz w:val="20"/>
          <w:szCs w:val="20"/>
        </w:rPr>
      </w:pPr>
    </w:p>
    <w:p w14:paraId="64437BC8" w14:textId="20728505" w:rsidR="00FA511A" w:rsidRPr="00403374" w:rsidRDefault="00FA511A" w:rsidP="00403374">
      <w:pPr>
        <w:autoSpaceDE w:val="0"/>
        <w:autoSpaceDN w:val="0"/>
        <w:adjustRightInd w:val="0"/>
        <w:spacing w:after="0" w:line="240" w:lineRule="auto"/>
        <w:ind w:left="360"/>
        <w:jc w:val="both"/>
        <w:rPr>
          <w:rFonts w:ascii="Arial" w:eastAsia="Times New Roman" w:hAnsi="Arial" w:cs="Arial"/>
          <w:sz w:val="18"/>
          <w:szCs w:val="18"/>
        </w:rPr>
      </w:pPr>
      <w:r w:rsidRPr="00403374">
        <w:rPr>
          <w:rFonts w:ascii="Arial" w:eastAsia="Times New Roman" w:hAnsi="Arial" w:cs="Arial"/>
          <w:sz w:val="18"/>
          <w:szCs w:val="18"/>
        </w:rPr>
        <w:t xml:space="preserve">U 2024. godini </w:t>
      </w:r>
      <w:r w:rsidR="00E87377" w:rsidRPr="00403374">
        <w:rPr>
          <w:rFonts w:ascii="Arial" w:eastAsia="Times New Roman" w:hAnsi="Arial" w:cs="Arial"/>
          <w:sz w:val="18"/>
          <w:szCs w:val="18"/>
        </w:rPr>
        <w:t>izvršeni su rashodi za uređenje parkinga u iznosu 127.814,18 € i to:</w:t>
      </w:r>
    </w:p>
    <w:p w14:paraId="2FDD5AC6" w14:textId="0DBD3692" w:rsidR="00E87377" w:rsidRPr="00403374" w:rsidRDefault="00E87377" w:rsidP="00403374">
      <w:pPr>
        <w:pStyle w:val="Odlomakpopisa"/>
        <w:numPr>
          <w:ilvl w:val="0"/>
          <w:numId w:val="8"/>
        </w:numPr>
        <w:autoSpaceDE w:val="0"/>
        <w:autoSpaceDN w:val="0"/>
        <w:adjustRightInd w:val="0"/>
        <w:ind w:left="1080"/>
        <w:rPr>
          <w:rFonts w:ascii="Arial" w:hAnsi="Arial" w:cs="Arial"/>
          <w:sz w:val="18"/>
          <w:szCs w:val="18"/>
        </w:rPr>
      </w:pPr>
      <w:r w:rsidRPr="00403374">
        <w:rPr>
          <w:rFonts w:ascii="Arial" w:hAnsi="Arial" w:cs="Arial"/>
          <w:sz w:val="18"/>
          <w:szCs w:val="18"/>
        </w:rPr>
        <w:lastRenderedPageBreak/>
        <w:t>radovi uređenja parkinga u Tihoj 116.566,25 €,</w:t>
      </w:r>
    </w:p>
    <w:p w14:paraId="15C59067" w14:textId="38510A8D" w:rsidR="00E87377" w:rsidRPr="00403374" w:rsidRDefault="00E87377" w:rsidP="00403374">
      <w:pPr>
        <w:pStyle w:val="Odlomakpopisa"/>
        <w:numPr>
          <w:ilvl w:val="0"/>
          <w:numId w:val="8"/>
        </w:numPr>
        <w:autoSpaceDE w:val="0"/>
        <w:autoSpaceDN w:val="0"/>
        <w:adjustRightInd w:val="0"/>
        <w:ind w:left="1080"/>
        <w:rPr>
          <w:rFonts w:ascii="Arial" w:hAnsi="Arial" w:cs="Arial"/>
          <w:sz w:val="18"/>
          <w:szCs w:val="18"/>
        </w:rPr>
      </w:pPr>
      <w:r w:rsidRPr="00403374">
        <w:rPr>
          <w:rFonts w:ascii="Arial" w:hAnsi="Arial" w:cs="Arial"/>
          <w:sz w:val="18"/>
          <w:szCs w:val="18"/>
        </w:rPr>
        <w:t>nadzor radova u Tihoj 1.875 €,</w:t>
      </w:r>
    </w:p>
    <w:p w14:paraId="00C6A1DB" w14:textId="2B06414C" w:rsidR="00E87377" w:rsidRPr="00403374" w:rsidRDefault="00E87377" w:rsidP="00403374">
      <w:pPr>
        <w:pStyle w:val="Odlomakpopisa"/>
        <w:numPr>
          <w:ilvl w:val="0"/>
          <w:numId w:val="8"/>
        </w:numPr>
        <w:autoSpaceDE w:val="0"/>
        <w:autoSpaceDN w:val="0"/>
        <w:adjustRightInd w:val="0"/>
        <w:ind w:left="1080"/>
        <w:rPr>
          <w:rFonts w:ascii="Arial" w:hAnsi="Arial" w:cs="Arial"/>
          <w:sz w:val="18"/>
          <w:szCs w:val="18"/>
        </w:rPr>
      </w:pPr>
      <w:r w:rsidRPr="00403374">
        <w:rPr>
          <w:rFonts w:ascii="Arial" w:hAnsi="Arial" w:cs="Arial"/>
          <w:sz w:val="18"/>
          <w:szCs w:val="18"/>
        </w:rPr>
        <w:t>uređenje parkinga u Cavtatu 7.055,30 €,</w:t>
      </w:r>
    </w:p>
    <w:p w14:paraId="6DC40345" w14:textId="0DD3C163" w:rsidR="00E87377" w:rsidRPr="00FF3C31" w:rsidRDefault="00E87377" w:rsidP="00403374">
      <w:pPr>
        <w:pStyle w:val="Odlomakpopisa"/>
        <w:numPr>
          <w:ilvl w:val="0"/>
          <w:numId w:val="8"/>
        </w:numPr>
        <w:autoSpaceDE w:val="0"/>
        <w:autoSpaceDN w:val="0"/>
        <w:adjustRightInd w:val="0"/>
        <w:ind w:left="1080"/>
        <w:rPr>
          <w:rFonts w:ascii="Arial" w:hAnsi="Arial" w:cs="Arial"/>
        </w:rPr>
      </w:pPr>
      <w:r w:rsidRPr="00403374">
        <w:rPr>
          <w:rFonts w:ascii="Arial" w:hAnsi="Arial" w:cs="Arial"/>
          <w:sz w:val="18"/>
          <w:szCs w:val="18"/>
        </w:rPr>
        <w:t>prijenosi sredstava kapitalne pomoći u iznosu 2.317,63 € društvu u vlasništvu Općine (društvo Čistoća i zelenilo Konavle d.o.o.) koje upravlja parkingom u Cavtatu za nabavu opreme.</w:t>
      </w:r>
    </w:p>
    <w:p w14:paraId="555126B4" w14:textId="77777777" w:rsidR="0016632C" w:rsidRDefault="0016632C" w:rsidP="00B20566">
      <w:pPr>
        <w:autoSpaceDE w:val="0"/>
        <w:autoSpaceDN w:val="0"/>
        <w:adjustRightInd w:val="0"/>
        <w:spacing w:after="0" w:line="240" w:lineRule="auto"/>
        <w:jc w:val="both"/>
        <w:rPr>
          <w:rFonts w:ascii="Arial" w:eastAsia="Times New Roman" w:hAnsi="Arial" w:cs="Arial"/>
          <w:sz w:val="20"/>
          <w:szCs w:val="20"/>
        </w:rPr>
      </w:pPr>
    </w:p>
    <w:p w14:paraId="3D603FC7" w14:textId="77777777" w:rsidR="00403374" w:rsidRPr="00403374" w:rsidRDefault="00403374" w:rsidP="00403374">
      <w:pPr>
        <w:autoSpaceDE w:val="0"/>
        <w:autoSpaceDN w:val="0"/>
        <w:adjustRightInd w:val="0"/>
        <w:spacing w:after="0" w:line="240" w:lineRule="auto"/>
        <w:jc w:val="both"/>
        <w:rPr>
          <w:rFonts w:ascii="Arial" w:eastAsia="Times New Roman" w:hAnsi="Arial" w:cs="Arial"/>
          <w:sz w:val="20"/>
          <w:szCs w:val="20"/>
        </w:rPr>
      </w:pPr>
      <w:r w:rsidRPr="00403374">
        <w:rPr>
          <w:rFonts w:ascii="Arial" w:eastAsia="Times New Roman" w:hAnsi="Arial" w:cs="Arial"/>
          <w:sz w:val="20"/>
          <w:szCs w:val="20"/>
        </w:rPr>
        <w:t>Rashodi u 2025. su izvršeni u iznosu 270.655,81 €, a odnose se na:</w:t>
      </w:r>
    </w:p>
    <w:p w14:paraId="307B8279" w14:textId="6A684957" w:rsidR="00403374" w:rsidRPr="00403374" w:rsidRDefault="00403374" w:rsidP="00403374">
      <w:pPr>
        <w:pStyle w:val="Odlomakpopisa"/>
        <w:numPr>
          <w:ilvl w:val="0"/>
          <w:numId w:val="61"/>
        </w:numPr>
        <w:autoSpaceDE w:val="0"/>
        <w:autoSpaceDN w:val="0"/>
        <w:adjustRightInd w:val="0"/>
        <w:rPr>
          <w:rFonts w:ascii="Arial" w:hAnsi="Arial" w:cs="Arial"/>
        </w:rPr>
      </w:pPr>
      <w:r w:rsidRPr="00403374">
        <w:rPr>
          <w:rFonts w:ascii="Arial" w:hAnsi="Arial" w:cs="Arial"/>
        </w:rPr>
        <w:t xml:space="preserve">izrada i montaža ograde na parkingu Tiha u iznosu 15.180 </w:t>
      </w:r>
      <w:r>
        <w:rPr>
          <w:rFonts w:ascii="Arial" w:hAnsi="Arial" w:cs="Arial"/>
        </w:rPr>
        <w:t xml:space="preserve">€ i </w:t>
      </w:r>
      <w:r w:rsidRPr="00403374">
        <w:rPr>
          <w:rFonts w:ascii="Arial" w:hAnsi="Arial" w:cs="Arial"/>
        </w:rPr>
        <w:t>nadzor građevinskih radova u iznosu 3.250 €,</w:t>
      </w:r>
    </w:p>
    <w:p w14:paraId="0D4929E3" w14:textId="3DD27CE6" w:rsidR="00403374" w:rsidRPr="00403374" w:rsidRDefault="00403374" w:rsidP="00403374">
      <w:pPr>
        <w:pStyle w:val="Odlomakpopisa"/>
        <w:numPr>
          <w:ilvl w:val="0"/>
          <w:numId w:val="61"/>
        </w:numPr>
        <w:autoSpaceDE w:val="0"/>
        <w:autoSpaceDN w:val="0"/>
        <w:adjustRightInd w:val="0"/>
        <w:rPr>
          <w:rFonts w:ascii="Arial" w:hAnsi="Arial" w:cs="Arial"/>
        </w:rPr>
      </w:pPr>
      <w:r w:rsidRPr="00403374">
        <w:rPr>
          <w:rFonts w:ascii="Arial" w:hAnsi="Arial" w:cs="Arial"/>
        </w:rPr>
        <w:t>izrada projektne dokumentacija za zonu javnog parkinga u uvali Tiha (analiza područja zone javnog parkinga i idejno rješenje sjevernog platoa parking zone i novog obalnog zida) u iznosu 32.875 €,</w:t>
      </w:r>
    </w:p>
    <w:p w14:paraId="4AD89958" w14:textId="6471A4F7" w:rsidR="00403374" w:rsidRPr="00403374" w:rsidRDefault="00403374" w:rsidP="00403374">
      <w:pPr>
        <w:pStyle w:val="Odlomakpopisa"/>
        <w:numPr>
          <w:ilvl w:val="0"/>
          <w:numId w:val="61"/>
        </w:numPr>
        <w:autoSpaceDE w:val="0"/>
        <w:autoSpaceDN w:val="0"/>
        <w:adjustRightInd w:val="0"/>
        <w:rPr>
          <w:rFonts w:ascii="Arial" w:hAnsi="Arial" w:cs="Arial"/>
        </w:rPr>
      </w:pPr>
      <w:r w:rsidRPr="00403374">
        <w:rPr>
          <w:rFonts w:ascii="Arial" w:hAnsi="Arial" w:cs="Arial"/>
        </w:rPr>
        <w:t>uređenje parkinga na Grudi u iznosu 186.727,51 €</w:t>
      </w:r>
      <w:r>
        <w:rPr>
          <w:rFonts w:ascii="Arial" w:hAnsi="Arial" w:cs="Arial"/>
        </w:rPr>
        <w:t>,</w:t>
      </w:r>
    </w:p>
    <w:p w14:paraId="7F1B7491" w14:textId="77777777" w:rsidR="00403374" w:rsidRPr="00403374" w:rsidRDefault="00403374" w:rsidP="00403374">
      <w:pPr>
        <w:pStyle w:val="Odlomakpopisa"/>
        <w:numPr>
          <w:ilvl w:val="0"/>
          <w:numId w:val="61"/>
        </w:numPr>
        <w:autoSpaceDE w:val="0"/>
        <w:autoSpaceDN w:val="0"/>
        <w:adjustRightInd w:val="0"/>
        <w:rPr>
          <w:rFonts w:ascii="Arial" w:hAnsi="Arial" w:cs="Arial"/>
        </w:rPr>
      </w:pPr>
      <w:r w:rsidRPr="00403374">
        <w:rPr>
          <w:rFonts w:ascii="Arial" w:hAnsi="Arial" w:cs="Arial"/>
        </w:rPr>
        <w:t xml:space="preserve">građevinski radovi uređenja parkinga na Zvekovici (uz ŽC 6239) u iznosu 31.025,80 € prema ugovoru iz veljače 2025. godine i usluge nadzora 1.250 €, </w:t>
      </w:r>
    </w:p>
    <w:p w14:paraId="5B53D762" w14:textId="77777777" w:rsidR="00403374" w:rsidRPr="00403374" w:rsidRDefault="00403374" w:rsidP="00403374">
      <w:pPr>
        <w:pStyle w:val="Odlomakpopisa"/>
        <w:numPr>
          <w:ilvl w:val="0"/>
          <w:numId w:val="61"/>
        </w:numPr>
        <w:autoSpaceDE w:val="0"/>
        <w:autoSpaceDN w:val="0"/>
        <w:adjustRightInd w:val="0"/>
        <w:rPr>
          <w:rFonts w:ascii="Arial" w:hAnsi="Arial" w:cs="Arial"/>
        </w:rPr>
      </w:pPr>
      <w:r w:rsidRPr="00403374">
        <w:rPr>
          <w:rFonts w:ascii="Arial" w:hAnsi="Arial" w:cs="Arial"/>
        </w:rPr>
        <w:t>izrada inox stuba nosača za kamere na parkingu u Cavtatu 312,50 € i izrada table za parking Tiha 35 €.</w:t>
      </w:r>
    </w:p>
    <w:p w14:paraId="2D081AF7" w14:textId="77777777" w:rsidR="00D22BBF" w:rsidRPr="00FF3C31" w:rsidRDefault="00D22BBF" w:rsidP="00B20566">
      <w:pPr>
        <w:autoSpaceDE w:val="0"/>
        <w:autoSpaceDN w:val="0"/>
        <w:adjustRightInd w:val="0"/>
        <w:spacing w:after="0" w:line="240" w:lineRule="auto"/>
        <w:jc w:val="both"/>
        <w:rPr>
          <w:rFonts w:ascii="Arial" w:eastAsia="Times New Roman" w:hAnsi="Arial" w:cs="Arial"/>
          <w:sz w:val="20"/>
          <w:szCs w:val="20"/>
        </w:rPr>
      </w:pPr>
    </w:p>
    <w:p w14:paraId="30377EE0" w14:textId="77777777" w:rsidR="00B20566" w:rsidRPr="00FF3C31" w:rsidRDefault="00B20566" w:rsidP="00B20566">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T209211: Izgradnja nogostupa, Poluganje</w:t>
      </w:r>
    </w:p>
    <w:p w14:paraId="267B806E" w14:textId="77777777" w:rsidR="00D471AD" w:rsidRPr="00FF3C31" w:rsidRDefault="00D471AD" w:rsidP="00B20566">
      <w:pPr>
        <w:autoSpaceDE w:val="0"/>
        <w:autoSpaceDN w:val="0"/>
        <w:adjustRightInd w:val="0"/>
        <w:spacing w:after="0" w:line="240" w:lineRule="auto"/>
        <w:jc w:val="both"/>
        <w:rPr>
          <w:rFonts w:ascii="Arial" w:eastAsia="Times New Roman" w:hAnsi="Arial" w:cs="Arial"/>
          <w:sz w:val="20"/>
          <w:szCs w:val="20"/>
        </w:rPr>
      </w:pPr>
    </w:p>
    <w:p w14:paraId="5C0B3555" w14:textId="43457765" w:rsidR="00B20566" w:rsidRPr="00FF3C31" w:rsidRDefault="00D471AD"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Procijenjena vrijednost investicije ranijih godina je bila 300.000 kn</w:t>
      </w:r>
      <w:r w:rsidR="00285C6F" w:rsidRPr="00FF3C31">
        <w:rPr>
          <w:rFonts w:ascii="Arial" w:eastAsia="Times New Roman" w:hAnsi="Arial" w:cs="Arial"/>
          <w:sz w:val="20"/>
          <w:szCs w:val="20"/>
        </w:rPr>
        <w:t xml:space="preserve"> (39.816,84 €)</w:t>
      </w:r>
      <w:r w:rsidRPr="00FF3C31">
        <w:rPr>
          <w:rFonts w:ascii="Arial" w:eastAsia="Times New Roman" w:hAnsi="Arial" w:cs="Arial"/>
          <w:sz w:val="20"/>
          <w:szCs w:val="20"/>
        </w:rPr>
        <w:t>.</w:t>
      </w:r>
    </w:p>
    <w:p w14:paraId="3509F58A"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Pokazatelj rezultata je: postotak dovršenosti planiranog nogostupa. </w:t>
      </w:r>
    </w:p>
    <w:p w14:paraId="5A1D8C0B" w14:textId="4DE8C0BE"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0% (nula), ciljna vrijednost za 202</w:t>
      </w:r>
      <w:r w:rsidR="00D22BBF">
        <w:rPr>
          <w:rFonts w:ascii="Arial" w:eastAsia="Times New Roman" w:hAnsi="Arial" w:cs="Arial"/>
          <w:sz w:val="20"/>
          <w:szCs w:val="20"/>
        </w:rPr>
        <w:t>5</w:t>
      </w:r>
      <w:r w:rsidRPr="00FF3C31">
        <w:rPr>
          <w:rFonts w:ascii="Arial" w:eastAsia="Times New Roman" w:hAnsi="Arial" w:cs="Arial"/>
          <w:sz w:val="20"/>
          <w:szCs w:val="20"/>
        </w:rPr>
        <w:t xml:space="preserve">. = </w:t>
      </w:r>
      <w:r w:rsidR="00D22BBF">
        <w:rPr>
          <w:rFonts w:ascii="Arial" w:eastAsia="Times New Roman" w:hAnsi="Arial" w:cs="Arial"/>
          <w:sz w:val="20"/>
          <w:szCs w:val="20"/>
        </w:rPr>
        <w:t>10</w:t>
      </w:r>
      <w:r w:rsidRPr="00FF3C31">
        <w:rPr>
          <w:rFonts w:ascii="Arial" w:eastAsia="Times New Roman" w:hAnsi="Arial" w:cs="Arial"/>
          <w:sz w:val="20"/>
          <w:szCs w:val="20"/>
        </w:rPr>
        <w:t>0%, za 202</w:t>
      </w:r>
      <w:r w:rsidR="00D22BBF">
        <w:rPr>
          <w:rFonts w:ascii="Arial" w:eastAsia="Times New Roman" w:hAnsi="Arial" w:cs="Arial"/>
          <w:sz w:val="20"/>
          <w:szCs w:val="20"/>
        </w:rPr>
        <w:t>6</w:t>
      </w:r>
      <w:r w:rsidRPr="00FF3C31">
        <w:rPr>
          <w:rFonts w:ascii="Arial" w:eastAsia="Times New Roman" w:hAnsi="Arial" w:cs="Arial"/>
          <w:sz w:val="20"/>
          <w:szCs w:val="20"/>
        </w:rPr>
        <w:t>. = 100%, 202</w:t>
      </w:r>
      <w:r w:rsidR="00D22BBF">
        <w:rPr>
          <w:rFonts w:ascii="Arial" w:eastAsia="Times New Roman" w:hAnsi="Arial" w:cs="Arial"/>
          <w:sz w:val="20"/>
          <w:szCs w:val="20"/>
        </w:rPr>
        <w:t>7</w:t>
      </w:r>
      <w:r w:rsidRPr="00FF3C31">
        <w:rPr>
          <w:rFonts w:ascii="Arial" w:eastAsia="Times New Roman" w:hAnsi="Arial" w:cs="Arial"/>
          <w:sz w:val="20"/>
          <w:szCs w:val="20"/>
        </w:rPr>
        <w:t>. = 100%</w:t>
      </w:r>
      <w:r w:rsidR="00D471AD" w:rsidRPr="00FF3C31">
        <w:rPr>
          <w:rFonts w:ascii="Arial" w:eastAsia="Times New Roman" w:hAnsi="Arial" w:cs="Arial"/>
          <w:sz w:val="20"/>
          <w:szCs w:val="20"/>
        </w:rPr>
        <w:t xml:space="preserve">. </w:t>
      </w:r>
    </w:p>
    <w:p w14:paraId="3A9264D4"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1D32E2E6" w14:textId="3316DF16" w:rsidR="00B20566" w:rsidRPr="00720A0C" w:rsidRDefault="00B20566" w:rsidP="00B20566">
      <w:pPr>
        <w:autoSpaceDE w:val="0"/>
        <w:autoSpaceDN w:val="0"/>
        <w:adjustRightInd w:val="0"/>
        <w:spacing w:after="0" w:line="240" w:lineRule="auto"/>
        <w:jc w:val="both"/>
        <w:rPr>
          <w:rFonts w:ascii="Arial" w:eastAsia="Calibri" w:hAnsi="Arial" w:cs="Arial"/>
          <w:sz w:val="18"/>
          <w:szCs w:val="18"/>
        </w:rPr>
      </w:pPr>
      <w:r w:rsidRPr="00720A0C">
        <w:rPr>
          <w:rFonts w:ascii="Arial" w:eastAsia="Times New Roman" w:hAnsi="Arial" w:cs="Arial"/>
          <w:sz w:val="18"/>
          <w:szCs w:val="18"/>
        </w:rPr>
        <w:t>U 2018. r</w:t>
      </w:r>
      <w:r w:rsidRPr="00720A0C">
        <w:rPr>
          <w:rFonts w:ascii="Arial" w:eastAsia="Calibri" w:hAnsi="Arial" w:cs="Arial"/>
          <w:sz w:val="18"/>
          <w:szCs w:val="18"/>
        </w:rPr>
        <w:t xml:space="preserve">ashodi su izvršeni u iznosu 18.750 kn </w:t>
      </w:r>
      <w:r w:rsidR="00060B4C" w:rsidRPr="00720A0C">
        <w:rPr>
          <w:rFonts w:ascii="Arial" w:eastAsia="Calibri" w:hAnsi="Arial" w:cs="Arial"/>
          <w:sz w:val="18"/>
          <w:szCs w:val="18"/>
        </w:rPr>
        <w:t xml:space="preserve">/ 2.488,55 € </w:t>
      </w:r>
      <w:r w:rsidRPr="00720A0C">
        <w:rPr>
          <w:rFonts w:ascii="Arial" w:eastAsia="Calibri" w:hAnsi="Arial" w:cs="Arial"/>
          <w:sz w:val="18"/>
          <w:szCs w:val="18"/>
        </w:rPr>
        <w:t>i odnose se na izradu izvedbenog projekta nogostupa uz lokalnu cestu u naselju.</w:t>
      </w:r>
    </w:p>
    <w:p w14:paraId="17EFCF1D" w14:textId="10BDC231"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U razdoblju 2019.-202</w:t>
      </w:r>
      <w:r w:rsidR="00D22BBF">
        <w:rPr>
          <w:rFonts w:ascii="Arial" w:eastAsia="Times New Roman" w:hAnsi="Arial" w:cs="Arial"/>
          <w:sz w:val="18"/>
          <w:szCs w:val="18"/>
        </w:rPr>
        <w:t>5</w:t>
      </w:r>
      <w:r w:rsidRPr="00720A0C">
        <w:rPr>
          <w:rFonts w:ascii="Arial" w:eastAsia="Times New Roman" w:hAnsi="Arial" w:cs="Arial"/>
          <w:sz w:val="18"/>
          <w:szCs w:val="18"/>
        </w:rPr>
        <w:t>. nije bilo rashoda</w:t>
      </w:r>
      <w:r w:rsidR="00D471AD" w:rsidRPr="00720A0C">
        <w:rPr>
          <w:rFonts w:ascii="Arial" w:eastAsia="Times New Roman" w:hAnsi="Arial" w:cs="Arial"/>
          <w:sz w:val="18"/>
          <w:szCs w:val="18"/>
        </w:rPr>
        <w:t>.</w:t>
      </w:r>
    </w:p>
    <w:p w14:paraId="65E956B0"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3EA3F2AE" w14:textId="77777777" w:rsidR="00B20566" w:rsidRPr="00FF3C31" w:rsidRDefault="00B20566" w:rsidP="00B20566">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K209214: Nogostup uz D8 Gruda - Tušići</w:t>
      </w:r>
    </w:p>
    <w:p w14:paraId="32A1CEBC"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40DDB388" w14:textId="4D3F7E37" w:rsidR="00D471AD" w:rsidRPr="00FF3C31" w:rsidRDefault="00D471AD"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Procijenjena vrijednost investicije ranijih godina je bila 850.000 kn</w:t>
      </w:r>
      <w:r w:rsidR="00285C6F" w:rsidRPr="00FF3C31">
        <w:rPr>
          <w:rFonts w:ascii="Arial" w:eastAsia="Times New Roman" w:hAnsi="Arial" w:cs="Arial"/>
          <w:sz w:val="20"/>
          <w:szCs w:val="20"/>
        </w:rPr>
        <w:t xml:space="preserve"> (112.814,39 €)</w:t>
      </w:r>
      <w:r w:rsidRPr="00FF3C31">
        <w:rPr>
          <w:rFonts w:ascii="Arial" w:eastAsia="Times New Roman" w:hAnsi="Arial" w:cs="Arial"/>
          <w:sz w:val="20"/>
          <w:szCs w:val="20"/>
        </w:rPr>
        <w:t>.</w:t>
      </w:r>
    </w:p>
    <w:p w14:paraId="0484CDC1" w14:textId="47E54039"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Pokazatelj rezultata je: postotak izgrađenosti planiranog nogostupa duljine 900 m. Radovi će se izvoditi u fazama.</w:t>
      </w:r>
    </w:p>
    <w:p w14:paraId="75D61537" w14:textId="5C719BDB"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0% (nula), ciljna vrijednost za 202</w:t>
      </w:r>
      <w:r w:rsidR="00D22BBF">
        <w:rPr>
          <w:rFonts w:ascii="Arial" w:eastAsia="Times New Roman" w:hAnsi="Arial" w:cs="Arial"/>
          <w:sz w:val="20"/>
          <w:szCs w:val="20"/>
        </w:rPr>
        <w:t>5</w:t>
      </w:r>
      <w:r w:rsidRPr="00FF3C31">
        <w:rPr>
          <w:rFonts w:ascii="Arial" w:eastAsia="Times New Roman" w:hAnsi="Arial" w:cs="Arial"/>
          <w:sz w:val="20"/>
          <w:szCs w:val="20"/>
        </w:rPr>
        <w:t>. = 0%, za 202</w:t>
      </w:r>
      <w:r w:rsidR="00D22BBF">
        <w:rPr>
          <w:rFonts w:ascii="Arial" w:eastAsia="Times New Roman" w:hAnsi="Arial" w:cs="Arial"/>
          <w:sz w:val="20"/>
          <w:szCs w:val="20"/>
        </w:rPr>
        <w:t>6</w:t>
      </w:r>
      <w:r w:rsidRPr="00FF3C31">
        <w:rPr>
          <w:rFonts w:ascii="Arial" w:eastAsia="Times New Roman" w:hAnsi="Arial" w:cs="Arial"/>
          <w:sz w:val="20"/>
          <w:szCs w:val="20"/>
        </w:rPr>
        <w:t>. = 0%, 202</w:t>
      </w:r>
      <w:r w:rsidR="00D22BBF">
        <w:rPr>
          <w:rFonts w:ascii="Arial" w:eastAsia="Times New Roman" w:hAnsi="Arial" w:cs="Arial"/>
          <w:sz w:val="20"/>
          <w:szCs w:val="20"/>
        </w:rPr>
        <w:t>7</w:t>
      </w:r>
      <w:r w:rsidRPr="00FF3C31">
        <w:rPr>
          <w:rFonts w:ascii="Arial" w:eastAsia="Times New Roman" w:hAnsi="Arial" w:cs="Arial"/>
          <w:sz w:val="20"/>
          <w:szCs w:val="20"/>
        </w:rPr>
        <w:t>. = 20%</w:t>
      </w:r>
    </w:p>
    <w:p w14:paraId="545DB96D" w14:textId="0751FC08"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Nisu započeti radovi. </w:t>
      </w:r>
    </w:p>
    <w:p w14:paraId="2A9F754C"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4263B143" w14:textId="27DD579E" w:rsidR="00B20566" w:rsidRPr="00FF3C31" w:rsidRDefault="00B20566" w:rsidP="00B20566">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 xml:space="preserve">K209215: Nogostup naselje Zvekovica </w:t>
      </w:r>
      <w:r w:rsidR="00D22BBF">
        <w:rPr>
          <w:rFonts w:ascii="Arial" w:eastAsia="Times New Roman" w:hAnsi="Arial" w:cs="Arial"/>
          <w:b/>
          <w:sz w:val="20"/>
          <w:szCs w:val="20"/>
        </w:rPr>
        <w:t>– Obod s javnom rasvjetom</w:t>
      </w:r>
    </w:p>
    <w:p w14:paraId="2F229F2F" w14:textId="77777777" w:rsidR="00D471AD" w:rsidRPr="00FF3C31" w:rsidRDefault="00D471AD" w:rsidP="00B20566">
      <w:pPr>
        <w:autoSpaceDE w:val="0"/>
        <w:autoSpaceDN w:val="0"/>
        <w:adjustRightInd w:val="0"/>
        <w:spacing w:after="0" w:line="240" w:lineRule="auto"/>
        <w:jc w:val="both"/>
        <w:rPr>
          <w:rFonts w:ascii="Arial" w:eastAsia="Times New Roman" w:hAnsi="Arial" w:cs="Arial"/>
          <w:sz w:val="20"/>
          <w:szCs w:val="20"/>
        </w:rPr>
      </w:pPr>
    </w:p>
    <w:p w14:paraId="05942A37" w14:textId="166B9A79" w:rsidR="00B20566" w:rsidRPr="00FF3C31" w:rsidRDefault="00D471AD"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Procijenjena vrijednost investicije ranijih godina je bila 200.000 kn</w:t>
      </w:r>
      <w:r w:rsidR="00285C6F" w:rsidRPr="00FF3C31">
        <w:rPr>
          <w:rFonts w:ascii="Arial" w:eastAsia="Times New Roman" w:hAnsi="Arial" w:cs="Arial"/>
          <w:sz w:val="20"/>
          <w:szCs w:val="20"/>
        </w:rPr>
        <w:t xml:space="preserve"> (26.544,56 €)</w:t>
      </w:r>
      <w:r w:rsidRPr="00FF3C31">
        <w:rPr>
          <w:rFonts w:ascii="Arial" w:eastAsia="Times New Roman" w:hAnsi="Arial" w:cs="Arial"/>
          <w:sz w:val="20"/>
          <w:szCs w:val="20"/>
        </w:rPr>
        <w:t>.</w:t>
      </w:r>
    </w:p>
    <w:p w14:paraId="20242F6A"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Pokazatelj rezultata je: postotak dovršenosti radova</w:t>
      </w:r>
    </w:p>
    <w:p w14:paraId="273BA829" w14:textId="7EFC164E"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0 (nula), a ciljna vrijednost 202</w:t>
      </w:r>
      <w:r w:rsidR="00D22BBF">
        <w:rPr>
          <w:rFonts w:ascii="Arial" w:eastAsia="Times New Roman" w:hAnsi="Arial" w:cs="Arial"/>
          <w:sz w:val="20"/>
          <w:szCs w:val="20"/>
        </w:rPr>
        <w:t>5</w:t>
      </w:r>
      <w:r w:rsidRPr="00FF3C31">
        <w:rPr>
          <w:rFonts w:ascii="Arial" w:eastAsia="Times New Roman" w:hAnsi="Arial" w:cs="Arial"/>
          <w:sz w:val="20"/>
          <w:szCs w:val="20"/>
        </w:rPr>
        <w:t xml:space="preserve">. = </w:t>
      </w:r>
      <w:r w:rsidR="0029154A" w:rsidRPr="00FF3C31">
        <w:rPr>
          <w:rFonts w:ascii="Arial" w:eastAsia="Times New Roman" w:hAnsi="Arial" w:cs="Arial"/>
          <w:sz w:val="20"/>
          <w:szCs w:val="20"/>
        </w:rPr>
        <w:t>100</w:t>
      </w:r>
      <w:r w:rsidRPr="00FF3C31">
        <w:rPr>
          <w:rFonts w:ascii="Arial" w:eastAsia="Times New Roman" w:hAnsi="Arial" w:cs="Arial"/>
          <w:sz w:val="20"/>
          <w:szCs w:val="20"/>
        </w:rPr>
        <w:t>%, 202</w:t>
      </w:r>
      <w:r w:rsidR="00D22BBF">
        <w:rPr>
          <w:rFonts w:ascii="Arial" w:eastAsia="Times New Roman" w:hAnsi="Arial" w:cs="Arial"/>
          <w:sz w:val="20"/>
          <w:szCs w:val="20"/>
        </w:rPr>
        <w:t>6</w:t>
      </w:r>
      <w:r w:rsidRPr="00FF3C31">
        <w:rPr>
          <w:rFonts w:ascii="Arial" w:eastAsia="Times New Roman" w:hAnsi="Arial" w:cs="Arial"/>
          <w:sz w:val="20"/>
          <w:szCs w:val="20"/>
        </w:rPr>
        <w:t>. = 100%, 202</w:t>
      </w:r>
      <w:r w:rsidR="00D22BBF">
        <w:rPr>
          <w:rFonts w:ascii="Arial" w:eastAsia="Times New Roman" w:hAnsi="Arial" w:cs="Arial"/>
          <w:sz w:val="20"/>
          <w:szCs w:val="20"/>
        </w:rPr>
        <w:t>7</w:t>
      </w:r>
      <w:r w:rsidRPr="00FF3C31">
        <w:rPr>
          <w:rFonts w:ascii="Arial" w:eastAsia="Times New Roman" w:hAnsi="Arial" w:cs="Arial"/>
          <w:sz w:val="20"/>
          <w:szCs w:val="20"/>
        </w:rPr>
        <w:t xml:space="preserve">. = 100% </w:t>
      </w:r>
    </w:p>
    <w:p w14:paraId="174C8AC4" w14:textId="77777777" w:rsidR="00D471AD" w:rsidRPr="00FF3C31" w:rsidRDefault="00D471AD" w:rsidP="00B20566">
      <w:pPr>
        <w:autoSpaceDE w:val="0"/>
        <w:autoSpaceDN w:val="0"/>
        <w:adjustRightInd w:val="0"/>
        <w:spacing w:after="0" w:line="240" w:lineRule="auto"/>
        <w:jc w:val="both"/>
        <w:rPr>
          <w:rFonts w:ascii="Arial" w:eastAsia="Times New Roman" w:hAnsi="Arial" w:cs="Arial"/>
          <w:sz w:val="20"/>
          <w:szCs w:val="20"/>
        </w:rPr>
      </w:pPr>
    </w:p>
    <w:p w14:paraId="71812C2A" w14:textId="77777777" w:rsidR="00D22BBF" w:rsidRDefault="00B20566" w:rsidP="00285C6F">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U 202</w:t>
      </w:r>
      <w:r w:rsidR="00D22BBF">
        <w:rPr>
          <w:rFonts w:ascii="Arial" w:eastAsia="Times New Roman" w:hAnsi="Arial" w:cs="Arial"/>
          <w:sz w:val="18"/>
          <w:szCs w:val="18"/>
        </w:rPr>
        <w:t>5</w:t>
      </w:r>
      <w:r w:rsidRPr="00720A0C">
        <w:rPr>
          <w:rFonts w:ascii="Arial" w:eastAsia="Times New Roman" w:hAnsi="Arial" w:cs="Arial"/>
          <w:sz w:val="18"/>
          <w:szCs w:val="18"/>
        </w:rPr>
        <w:t xml:space="preserve">. je </w:t>
      </w:r>
      <w:r w:rsidR="00285C6F" w:rsidRPr="00720A0C">
        <w:rPr>
          <w:rFonts w:ascii="Arial" w:eastAsia="Times New Roman" w:hAnsi="Arial" w:cs="Arial"/>
          <w:sz w:val="18"/>
          <w:szCs w:val="18"/>
        </w:rPr>
        <w:t xml:space="preserve">bilo </w:t>
      </w:r>
      <w:r w:rsidRPr="00720A0C">
        <w:rPr>
          <w:rFonts w:ascii="Arial" w:eastAsia="Times New Roman" w:hAnsi="Arial" w:cs="Arial"/>
          <w:sz w:val="18"/>
          <w:szCs w:val="18"/>
        </w:rPr>
        <w:t>planirano urediti 160 metara nogostupa.</w:t>
      </w:r>
      <w:r w:rsidR="00060B4C" w:rsidRPr="00720A0C">
        <w:rPr>
          <w:rFonts w:ascii="Arial" w:eastAsia="Times New Roman" w:hAnsi="Arial" w:cs="Arial"/>
          <w:sz w:val="18"/>
          <w:szCs w:val="18"/>
        </w:rPr>
        <w:t xml:space="preserve"> </w:t>
      </w:r>
    </w:p>
    <w:p w14:paraId="1B9DC8E6" w14:textId="77777777" w:rsidR="00D22BBF" w:rsidRDefault="00D22BBF" w:rsidP="00285C6F">
      <w:pPr>
        <w:autoSpaceDE w:val="0"/>
        <w:autoSpaceDN w:val="0"/>
        <w:adjustRightInd w:val="0"/>
        <w:spacing w:after="0" w:line="240" w:lineRule="auto"/>
        <w:jc w:val="both"/>
        <w:rPr>
          <w:rFonts w:ascii="Arial" w:eastAsia="Times New Roman" w:hAnsi="Arial" w:cs="Arial"/>
          <w:sz w:val="18"/>
          <w:szCs w:val="18"/>
        </w:rPr>
      </w:pPr>
    </w:p>
    <w:p w14:paraId="3C4C0578" w14:textId="03883675" w:rsidR="00060B4C" w:rsidRPr="00720A0C" w:rsidRDefault="00B20566" w:rsidP="00285C6F">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Nisu započeti radovi</w:t>
      </w:r>
      <w:r w:rsidR="00285C6F" w:rsidRPr="00720A0C">
        <w:rPr>
          <w:rFonts w:ascii="Arial" w:eastAsia="Times New Roman" w:hAnsi="Arial" w:cs="Arial"/>
          <w:sz w:val="18"/>
          <w:szCs w:val="18"/>
        </w:rPr>
        <w:t>, a izvršeni su rashodi</w:t>
      </w:r>
      <w:r w:rsidR="00E87377" w:rsidRPr="00720A0C">
        <w:rPr>
          <w:rFonts w:ascii="Arial" w:eastAsia="Times New Roman" w:hAnsi="Arial" w:cs="Arial"/>
          <w:sz w:val="18"/>
          <w:szCs w:val="18"/>
        </w:rPr>
        <w:t xml:space="preserve"> 2023. godine</w:t>
      </w:r>
      <w:r w:rsidR="00285C6F" w:rsidRPr="00720A0C">
        <w:rPr>
          <w:rFonts w:ascii="Arial" w:eastAsia="Times New Roman" w:hAnsi="Arial" w:cs="Arial"/>
          <w:sz w:val="18"/>
          <w:szCs w:val="18"/>
        </w:rPr>
        <w:t xml:space="preserve"> u ukupnom iznosu 1.125 € (ovlašteni inženjer građevinarstva – kontrolna ispitivanja troškovnika, izrada troškovnika komunalne infrastrukture vode i odvodnje Pješačke staze D8 od vijadukta Obod do raskrižja Zvekovica).</w:t>
      </w:r>
      <w:r w:rsidR="00E87377" w:rsidRPr="00720A0C">
        <w:rPr>
          <w:rFonts w:ascii="Arial" w:eastAsia="Times New Roman" w:hAnsi="Arial" w:cs="Arial"/>
          <w:sz w:val="18"/>
          <w:szCs w:val="18"/>
        </w:rPr>
        <w:t xml:space="preserve"> </w:t>
      </w:r>
    </w:p>
    <w:p w14:paraId="3961583E" w14:textId="77777777" w:rsidR="00060B4C" w:rsidRDefault="00060B4C" w:rsidP="00285C6F">
      <w:pPr>
        <w:autoSpaceDE w:val="0"/>
        <w:autoSpaceDN w:val="0"/>
        <w:adjustRightInd w:val="0"/>
        <w:spacing w:after="0" w:line="240" w:lineRule="auto"/>
        <w:jc w:val="both"/>
        <w:rPr>
          <w:rFonts w:ascii="Arial" w:eastAsia="Times New Roman" w:hAnsi="Arial" w:cs="Arial"/>
          <w:sz w:val="20"/>
          <w:szCs w:val="20"/>
        </w:rPr>
      </w:pPr>
    </w:p>
    <w:p w14:paraId="29C8F64B" w14:textId="4B7A998B" w:rsidR="00B20566" w:rsidRPr="00FF3C31" w:rsidRDefault="00E87377" w:rsidP="00285C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lastRenderedPageBreak/>
        <w:t>U 2024. godini su izvršeni rashodi u iznosu 2.937,50 € (projektna dokumentacija nogostupa).</w:t>
      </w:r>
    </w:p>
    <w:p w14:paraId="1D9D6773"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3A967634" w14:textId="6320A67B" w:rsidR="00B20566" w:rsidRPr="00FF3C31" w:rsidRDefault="00B20566" w:rsidP="00B20566">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K209216: Nogostup naselje Čilipi</w:t>
      </w:r>
      <w:r w:rsidR="00D05310">
        <w:rPr>
          <w:rFonts w:ascii="Arial" w:eastAsia="Times New Roman" w:hAnsi="Arial" w:cs="Arial"/>
          <w:b/>
          <w:sz w:val="20"/>
          <w:szCs w:val="20"/>
        </w:rPr>
        <w:t xml:space="preserve"> s javnom rasvjetom</w:t>
      </w:r>
    </w:p>
    <w:p w14:paraId="3941710C"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11098CF0" w14:textId="32562A0A" w:rsidR="00D471AD" w:rsidRPr="00FF3C31" w:rsidRDefault="00D471AD" w:rsidP="00B20566">
      <w:pPr>
        <w:autoSpaceDE w:val="0"/>
        <w:autoSpaceDN w:val="0"/>
        <w:adjustRightInd w:val="0"/>
        <w:spacing w:after="0" w:line="240" w:lineRule="auto"/>
        <w:jc w:val="both"/>
        <w:rPr>
          <w:rFonts w:ascii="Arial" w:eastAsia="Calibri" w:hAnsi="Arial" w:cs="Arial"/>
          <w:sz w:val="20"/>
          <w:szCs w:val="20"/>
        </w:rPr>
      </w:pPr>
      <w:r w:rsidRPr="00FF3C31">
        <w:rPr>
          <w:rFonts w:ascii="Arial" w:eastAsia="Calibri" w:hAnsi="Arial" w:cs="Arial"/>
          <w:sz w:val="20"/>
          <w:szCs w:val="20"/>
        </w:rPr>
        <w:t xml:space="preserve">Planirano je urediti oko 2.500 metara nogostupa. </w:t>
      </w:r>
      <w:r w:rsidRPr="00FF3C31">
        <w:rPr>
          <w:rFonts w:ascii="Arial" w:eastAsia="Times New Roman" w:hAnsi="Arial" w:cs="Arial"/>
          <w:sz w:val="20"/>
          <w:szCs w:val="20"/>
        </w:rPr>
        <w:t xml:space="preserve">Procijenjena vrijednost investicije ranijih godina je bila </w:t>
      </w:r>
      <w:r w:rsidRPr="00FF3C31">
        <w:rPr>
          <w:rFonts w:ascii="Arial" w:eastAsia="Calibri" w:hAnsi="Arial" w:cs="Arial"/>
          <w:sz w:val="20"/>
          <w:szCs w:val="20"/>
        </w:rPr>
        <w:t>1.200.000 kn</w:t>
      </w:r>
      <w:r w:rsidR="00285C6F" w:rsidRPr="00FF3C31">
        <w:rPr>
          <w:rFonts w:ascii="Arial" w:eastAsia="Calibri" w:hAnsi="Arial" w:cs="Arial"/>
          <w:sz w:val="20"/>
          <w:szCs w:val="20"/>
        </w:rPr>
        <w:t xml:space="preserve"> (159.267,37 €)</w:t>
      </w:r>
      <w:r w:rsidRPr="00FF3C31">
        <w:rPr>
          <w:rFonts w:ascii="Arial" w:eastAsia="Calibri" w:hAnsi="Arial" w:cs="Arial"/>
          <w:sz w:val="20"/>
          <w:szCs w:val="20"/>
        </w:rPr>
        <w:t>.</w:t>
      </w:r>
    </w:p>
    <w:p w14:paraId="1E9AB021" w14:textId="6753B311"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Pokazatelj rezultata je: postotak dovršenosti planiranog nogostupa. </w:t>
      </w:r>
    </w:p>
    <w:p w14:paraId="2F63A281" w14:textId="340F9909"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0% (nula), ciljna vrijednost za 202</w:t>
      </w:r>
      <w:r w:rsidR="00D22BBF">
        <w:rPr>
          <w:rFonts w:ascii="Arial" w:eastAsia="Times New Roman" w:hAnsi="Arial" w:cs="Arial"/>
          <w:sz w:val="20"/>
          <w:szCs w:val="20"/>
        </w:rPr>
        <w:t>5</w:t>
      </w:r>
      <w:r w:rsidRPr="00FF3C31">
        <w:rPr>
          <w:rFonts w:ascii="Arial" w:eastAsia="Times New Roman" w:hAnsi="Arial" w:cs="Arial"/>
          <w:sz w:val="20"/>
          <w:szCs w:val="20"/>
        </w:rPr>
        <w:t xml:space="preserve">. = </w:t>
      </w:r>
      <w:r w:rsidR="00D22BBF">
        <w:rPr>
          <w:rFonts w:ascii="Arial" w:eastAsia="Times New Roman" w:hAnsi="Arial" w:cs="Arial"/>
          <w:sz w:val="20"/>
          <w:szCs w:val="20"/>
        </w:rPr>
        <w:t>5</w:t>
      </w:r>
      <w:r w:rsidR="0029154A" w:rsidRPr="00FF3C31">
        <w:rPr>
          <w:rFonts w:ascii="Arial" w:eastAsia="Times New Roman" w:hAnsi="Arial" w:cs="Arial"/>
          <w:sz w:val="20"/>
          <w:szCs w:val="20"/>
        </w:rPr>
        <w:t>0</w:t>
      </w:r>
      <w:r w:rsidRPr="00FF3C31">
        <w:rPr>
          <w:rFonts w:ascii="Arial" w:eastAsia="Times New Roman" w:hAnsi="Arial" w:cs="Arial"/>
          <w:sz w:val="20"/>
          <w:szCs w:val="20"/>
        </w:rPr>
        <w:t>%, za 202</w:t>
      </w:r>
      <w:r w:rsidR="00D22BBF">
        <w:rPr>
          <w:rFonts w:ascii="Arial" w:eastAsia="Times New Roman" w:hAnsi="Arial" w:cs="Arial"/>
          <w:sz w:val="20"/>
          <w:szCs w:val="20"/>
        </w:rPr>
        <w:t>6</w:t>
      </w:r>
      <w:r w:rsidRPr="00FF3C31">
        <w:rPr>
          <w:rFonts w:ascii="Arial" w:eastAsia="Times New Roman" w:hAnsi="Arial" w:cs="Arial"/>
          <w:sz w:val="20"/>
          <w:szCs w:val="20"/>
        </w:rPr>
        <w:t xml:space="preserve">. = </w:t>
      </w:r>
      <w:r w:rsidR="00D22BBF">
        <w:rPr>
          <w:rFonts w:ascii="Arial" w:eastAsia="Times New Roman" w:hAnsi="Arial" w:cs="Arial"/>
          <w:sz w:val="20"/>
          <w:szCs w:val="20"/>
        </w:rPr>
        <w:t>8</w:t>
      </w:r>
      <w:r w:rsidRPr="00FF3C31">
        <w:rPr>
          <w:rFonts w:ascii="Arial" w:eastAsia="Times New Roman" w:hAnsi="Arial" w:cs="Arial"/>
          <w:sz w:val="20"/>
          <w:szCs w:val="20"/>
        </w:rPr>
        <w:t>0%, 202</w:t>
      </w:r>
      <w:r w:rsidR="00D22BBF">
        <w:rPr>
          <w:rFonts w:ascii="Arial" w:eastAsia="Times New Roman" w:hAnsi="Arial" w:cs="Arial"/>
          <w:sz w:val="20"/>
          <w:szCs w:val="20"/>
        </w:rPr>
        <w:t>7</w:t>
      </w:r>
      <w:r w:rsidRPr="00FF3C31">
        <w:rPr>
          <w:rFonts w:ascii="Arial" w:eastAsia="Times New Roman" w:hAnsi="Arial" w:cs="Arial"/>
          <w:sz w:val="20"/>
          <w:szCs w:val="20"/>
        </w:rPr>
        <w:t xml:space="preserve">. = </w:t>
      </w:r>
      <w:r w:rsidR="00D22BBF">
        <w:rPr>
          <w:rFonts w:ascii="Arial" w:eastAsia="Times New Roman" w:hAnsi="Arial" w:cs="Arial"/>
          <w:sz w:val="20"/>
          <w:szCs w:val="20"/>
        </w:rPr>
        <w:t>10</w:t>
      </w:r>
      <w:r w:rsidRPr="00FF3C31">
        <w:rPr>
          <w:rFonts w:ascii="Arial" w:eastAsia="Times New Roman" w:hAnsi="Arial" w:cs="Arial"/>
          <w:sz w:val="20"/>
          <w:szCs w:val="20"/>
        </w:rPr>
        <w:t>0%</w:t>
      </w:r>
    </w:p>
    <w:p w14:paraId="1C5DF167" w14:textId="77777777" w:rsidR="00B20566" w:rsidRPr="00403374" w:rsidRDefault="00B20566" w:rsidP="00403374">
      <w:pPr>
        <w:autoSpaceDE w:val="0"/>
        <w:autoSpaceDN w:val="0"/>
        <w:adjustRightInd w:val="0"/>
        <w:spacing w:after="0" w:line="240" w:lineRule="auto"/>
        <w:ind w:left="709"/>
        <w:jc w:val="both"/>
        <w:rPr>
          <w:rFonts w:ascii="Arial" w:eastAsia="Times New Roman" w:hAnsi="Arial" w:cs="Arial"/>
          <w:sz w:val="18"/>
          <w:szCs w:val="18"/>
        </w:rPr>
      </w:pPr>
    </w:p>
    <w:p w14:paraId="5B02BB48" w14:textId="6920CD0C" w:rsidR="00B20566" w:rsidRPr="00403374" w:rsidRDefault="00E87377" w:rsidP="00403374">
      <w:pPr>
        <w:autoSpaceDE w:val="0"/>
        <w:autoSpaceDN w:val="0"/>
        <w:adjustRightInd w:val="0"/>
        <w:spacing w:after="0"/>
        <w:ind w:left="709"/>
        <w:rPr>
          <w:rFonts w:ascii="Arial" w:eastAsia="Times New Roman" w:hAnsi="Arial" w:cs="Arial"/>
          <w:sz w:val="18"/>
          <w:szCs w:val="18"/>
        </w:rPr>
      </w:pPr>
      <w:r w:rsidRPr="00403374">
        <w:rPr>
          <w:rFonts w:ascii="Arial" w:eastAsia="Times New Roman" w:hAnsi="Arial" w:cs="Arial"/>
          <w:sz w:val="18"/>
          <w:szCs w:val="18"/>
        </w:rPr>
        <w:t>U 2024. godini je započet dio radova ispred ulaza u zračnu luku</w:t>
      </w:r>
      <w:r w:rsidR="009A4F57" w:rsidRPr="00403374">
        <w:rPr>
          <w:rFonts w:ascii="Arial" w:eastAsia="Times New Roman" w:hAnsi="Arial" w:cs="Arial"/>
          <w:sz w:val="18"/>
          <w:szCs w:val="18"/>
        </w:rPr>
        <w:t xml:space="preserve">. </w:t>
      </w:r>
      <w:r w:rsidRPr="00403374">
        <w:rPr>
          <w:rFonts w:ascii="Arial" w:eastAsia="Times New Roman" w:hAnsi="Arial" w:cs="Arial"/>
          <w:sz w:val="18"/>
          <w:szCs w:val="18"/>
        </w:rPr>
        <w:t>Rashodi su izvršni u iznosu 73.833,75 €, a odnose se na</w:t>
      </w:r>
      <w:r w:rsidR="009A4F57" w:rsidRPr="00403374">
        <w:rPr>
          <w:rFonts w:ascii="Arial" w:eastAsia="Times New Roman" w:hAnsi="Arial" w:cs="Arial"/>
          <w:sz w:val="18"/>
          <w:szCs w:val="18"/>
        </w:rPr>
        <w:t>:</w:t>
      </w:r>
    </w:p>
    <w:p w14:paraId="296F2707" w14:textId="003E22BB" w:rsidR="009A4F57" w:rsidRPr="00403374" w:rsidRDefault="009A4F57" w:rsidP="00403374">
      <w:pPr>
        <w:pStyle w:val="Odlomakpopisa"/>
        <w:numPr>
          <w:ilvl w:val="0"/>
          <w:numId w:val="8"/>
        </w:numPr>
        <w:autoSpaceDE w:val="0"/>
        <w:autoSpaceDN w:val="0"/>
        <w:adjustRightInd w:val="0"/>
        <w:ind w:left="1429"/>
        <w:rPr>
          <w:rFonts w:ascii="Arial" w:eastAsia="Calibri" w:hAnsi="Arial" w:cs="Arial"/>
          <w:sz w:val="18"/>
          <w:szCs w:val="18"/>
        </w:rPr>
      </w:pPr>
      <w:r w:rsidRPr="00403374">
        <w:rPr>
          <w:rFonts w:ascii="Arial" w:eastAsia="Calibri" w:hAnsi="Arial" w:cs="Arial"/>
          <w:sz w:val="18"/>
          <w:szCs w:val="18"/>
        </w:rPr>
        <w:t>izradu projektne dokumentacije nogostupa uz županijsku cestu D8 do ulice Masješi u iznosu 6.625 €</w:t>
      </w:r>
    </w:p>
    <w:p w14:paraId="7057CACD" w14:textId="27FEC9D3" w:rsidR="009A4F57" w:rsidRPr="00403374" w:rsidRDefault="009A4F57" w:rsidP="00403374">
      <w:pPr>
        <w:pStyle w:val="Odlomakpopisa"/>
        <w:numPr>
          <w:ilvl w:val="0"/>
          <w:numId w:val="8"/>
        </w:numPr>
        <w:autoSpaceDE w:val="0"/>
        <w:autoSpaceDN w:val="0"/>
        <w:adjustRightInd w:val="0"/>
        <w:ind w:left="1429"/>
        <w:rPr>
          <w:rFonts w:ascii="Arial" w:eastAsia="Calibri" w:hAnsi="Arial" w:cs="Arial"/>
          <w:sz w:val="18"/>
          <w:szCs w:val="18"/>
        </w:rPr>
      </w:pPr>
      <w:r w:rsidRPr="00403374">
        <w:rPr>
          <w:rFonts w:ascii="Arial" w:eastAsia="Calibri" w:hAnsi="Arial" w:cs="Arial"/>
          <w:sz w:val="18"/>
          <w:szCs w:val="18"/>
        </w:rPr>
        <w:t>prva privremena situacija izrade nogostupa 37.942,06 €,</w:t>
      </w:r>
    </w:p>
    <w:p w14:paraId="0A2C831C" w14:textId="510E91C6" w:rsidR="009A4F57" w:rsidRPr="00403374" w:rsidRDefault="009A4F57" w:rsidP="00403374">
      <w:pPr>
        <w:pStyle w:val="Odlomakpopisa"/>
        <w:numPr>
          <w:ilvl w:val="0"/>
          <w:numId w:val="8"/>
        </w:numPr>
        <w:autoSpaceDE w:val="0"/>
        <w:autoSpaceDN w:val="0"/>
        <w:adjustRightInd w:val="0"/>
        <w:ind w:left="1429"/>
        <w:rPr>
          <w:rFonts w:ascii="Arial" w:eastAsia="Calibri" w:hAnsi="Arial" w:cs="Arial"/>
          <w:sz w:val="18"/>
          <w:szCs w:val="18"/>
        </w:rPr>
      </w:pPr>
      <w:r w:rsidRPr="00403374">
        <w:rPr>
          <w:rFonts w:ascii="Arial" w:eastAsia="Calibri" w:hAnsi="Arial" w:cs="Arial"/>
          <w:sz w:val="18"/>
          <w:szCs w:val="18"/>
        </w:rPr>
        <w:t>postavljanje javne rasvjete 23.016,69 €,</w:t>
      </w:r>
    </w:p>
    <w:p w14:paraId="5CEEABB6" w14:textId="3E9348B1" w:rsidR="009A4F57" w:rsidRPr="00FF3C31" w:rsidRDefault="009A4F57" w:rsidP="00403374">
      <w:pPr>
        <w:pStyle w:val="Odlomakpopisa"/>
        <w:numPr>
          <w:ilvl w:val="0"/>
          <w:numId w:val="8"/>
        </w:numPr>
        <w:autoSpaceDE w:val="0"/>
        <w:autoSpaceDN w:val="0"/>
        <w:adjustRightInd w:val="0"/>
        <w:ind w:left="1429"/>
        <w:rPr>
          <w:rFonts w:ascii="Arial" w:eastAsia="Calibri" w:hAnsi="Arial" w:cs="Arial"/>
        </w:rPr>
      </w:pPr>
      <w:r w:rsidRPr="00403374">
        <w:rPr>
          <w:rFonts w:ascii="Arial" w:eastAsia="Calibri" w:hAnsi="Arial" w:cs="Arial"/>
          <w:sz w:val="18"/>
          <w:szCs w:val="18"/>
        </w:rPr>
        <w:t>nabava čekaonice 6.250 €.</w:t>
      </w:r>
    </w:p>
    <w:p w14:paraId="521D41FC" w14:textId="77777777" w:rsidR="00B20566" w:rsidRPr="00D05310" w:rsidRDefault="00B20566" w:rsidP="00B20566">
      <w:pPr>
        <w:autoSpaceDE w:val="0"/>
        <w:autoSpaceDN w:val="0"/>
        <w:adjustRightInd w:val="0"/>
        <w:spacing w:after="0" w:line="240" w:lineRule="auto"/>
        <w:jc w:val="both"/>
        <w:rPr>
          <w:rFonts w:ascii="Arial" w:eastAsia="Times New Roman" w:hAnsi="Arial" w:cs="Arial"/>
          <w:sz w:val="20"/>
          <w:szCs w:val="20"/>
        </w:rPr>
      </w:pPr>
    </w:p>
    <w:p w14:paraId="14F105E7" w14:textId="77777777" w:rsidR="00403374" w:rsidRPr="00403374" w:rsidRDefault="00403374" w:rsidP="00403374">
      <w:pPr>
        <w:autoSpaceDE w:val="0"/>
        <w:autoSpaceDN w:val="0"/>
        <w:adjustRightInd w:val="0"/>
        <w:spacing w:after="0" w:line="240" w:lineRule="auto"/>
        <w:jc w:val="both"/>
        <w:rPr>
          <w:rFonts w:ascii="Arial" w:eastAsia="Times New Roman" w:hAnsi="Arial" w:cs="Arial"/>
          <w:sz w:val="20"/>
          <w:szCs w:val="20"/>
        </w:rPr>
      </w:pPr>
      <w:r w:rsidRPr="00403374">
        <w:rPr>
          <w:rFonts w:ascii="Arial" w:eastAsia="Times New Roman" w:hAnsi="Arial" w:cs="Arial"/>
          <w:sz w:val="20"/>
          <w:szCs w:val="20"/>
        </w:rPr>
        <w:t>Rashodi u 2025. su izvršeni u iznosu 255.575,41 € i odnose se na:</w:t>
      </w:r>
    </w:p>
    <w:p w14:paraId="7D7C29A9" w14:textId="1304FED1" w:rsidR="00403374" w:rsidRPr="00403374" w:rsidRDefault="00403374" w:rsidP="00403374">
      <w:pPr>
        <w:autoSpaceDE w:val="0"/>
        <w:autoSpaceDN w:val="0"/>
        <w:adjustRightInd w:val="0"/>
        <w:spacing w:after="0" w:line="240" w:lineRule="auto"/>
        <w:jc w:val="both"/>
        <w:rPr>
          <w:rFonts w:ascii="Arial" w:eastAsia="Times New Roman" w:hAnsi="Arial" w:cs="Arial"/>
          <w:sz w:val="20"/>
          <w:szCs w:val="20"/>
        </w:rPr>
      </w:pPr>
      <w:r w:rsidRPr="00403374">
        <w:rPr>
          <w:rFonts w:ascii="Arial" w:eastAsia="Times New Roman" w:hAnsi="Arial" w:cs="Arial"/>
          <w:sz w:val="20"/>
          <w:szCs w:val="20"/>
        </w:rPr>
        <w:t>-</w:t>
      </w:r>
      <w:r w:rsidRPr="00403374">
        <w:rPr>
          <w:rFonts w:ascii="Arial" w:eastAsia="Times New Roman" w:hAnsi="Arial" w:cs="Arial"/>
          <w:sz w:val="20"/>
          <w:szCs w:val="20"/>
        </w:rPr>
        <w:tab/>
        <w:t>izrada geodetskih podloga i projekt nogostupa pored D8 u Čilipima u iznosu 17.700 €,</w:t>
      </w:r>
    </w:p>
    <w:p w14:paraId="1F5721D2" w14:textId="77777777" w:rsidR="00403374" w:rsidRPr="00403374" w:rsidRDefault="00403374" w:rsidP="00403374">
      <w:pPr>
        <w:autoSpaceDE w:val="0"/>
        <w:autoSpaceDN w:val="0"/>
        <w:adjustRightInd w:val="0"/>
        <w:spacing w:after="0" w:line="240" w:lineRule="auto"/>
        <w:jc w:val="both"/>
        <w:rPr>
          <w:rFonts w:ascii="Arial" w:eastAsia="Times New Roman" w:hAnsi="Arial" w:cs="Arial"/>
          <w:sz w:val="20"/>
          <w:szCs w:val="20"/>
        </w:rPr>
      </w:pPr>
      <w:r w:rsidRPr="00403374">
        <w:rPr>
          <w:rFonts w:ascii="Arial" w:eastAsia="Times New Roman" w:hAnsi="Arial" w:cs="Arial"/>
          <w:sz w:val="20"/>
          <w:szCs w:val="20"/>
        </w:rPr>
        <w:t>-</w:t>
      </w:r>
      <w:r w:rsidRPr="00403374">
        <w:rPr>
          <w:rFonts w:ascii="Arial" w:eastAsia="Times New Roman" w:hAnsi="Arial" w:cs="Arial"/>
          <w:sz w:val="20"/>
          <w:szCs w:val="20"/>
        </w:rPr>
        <w:tab/>
        <w:t>izrada troškovnika radova na projektu uređenja nogostupa uz ŽC 6240 Čilipi – Radovčići od D8 do Ulice Masješi u iznosu 1.375 €,</w:t>
      </w:r>
    </w:p>
    <w:p w14:paraId="6CB93EA4" w14:textId="41B06447" w:rsidR="00403374" w:rsidRPr="00403374" w:rsidRDefault="00403374" w:rsidP="00403374">
      <w:pPr>
        <w:autoSpaceDE w:val="0"/>
        <w:autoSpaceDN w:val="0"/>
        <w:adjustRightInd w:val="0"/>
        <w:spacing w:after="0" w:line="240" w:lineRule="auto"/>
        <w:jc w:val="both"/>
        <w:rPr>
          <w:rFonts w:ascii="Arial" w:eastAsia="Times New Roman" w:hAnsi="Arial" w:cs="Arial"/>
          <w:sz w:val="20"/>
          <w:szCs w:val="20"/>
        </w:rPr>
      </w:pPr>
      <w:r w:rsidRPr="00403374">
        <w:rPr>
          <w:rFonts w:ascii="Arial" w:eastAsia="Times New Roman" w:hAnsi="Arial" w:cs="Arial"/>
          <w:sz w:val="20"/>
          <w:szCs w:val="20"/>
        </w:rPr>
        <w:t>-</w:t>
      </w:r>
      <w:r w:rsidRPr="00403374">
        <w:rPr>
          <w:rFonts w:ascii="Arial" w:eastAsia="Times New Roman" w:hAnsi="Arial" w:cs="Arial"/>
          <w:sz w:val="20"/>
          <w:szCs w:val="20"/>
        </w:rPr>
        <w:tab/>
        <w:t>građevinski i elektroinstalaterski radovi na nogostupu Čilipi u iznosu 82.591,51 € i usluge  nadzora stručnog nadzora u iznosu 125 €,</w:t>
      </w:r>
    </w:p>
    <w:p w14:paraId="19A5131D" w14:textId="2703D528" w:rsidR="00403374" w:rsidRPr="00403374" w:rsidRDefault="00403374" w:rsidP="00403374">
      <w:pPr>
        <w:autoSpaceDE w:val="0"/>
        <w:autoSpaceDN w:val="0"/>
        <w:adjustRightInd w:val="0"/>
        <w:spacing w:after="0" w:line="240" w:lineRule="auto"/>
        <w:jc w:val="both"/>
        <w:rPr>
          <w:rFonts w:ascii="Arial" w:eastAsia="Times New Roman" w:hAnsi="Arial" w:cs="Arial"/>
          <w:sz w:val="20"/>
          <w:szCs w:val="20"/>
        </w:rPr>
      </w:pPr>
      <w:r w:rsidRPr="00403374">
        <w:rPr>
          <w:rFonts w:ascii="Arial" w:eastAsia="Times New Roman" w:hAnsi="Arial" w:cs="Arial"/>
          <w:sz w:val="20"/>
          <w:szCs w:val="20"/>
        </w:rPr>
        <w:t>-</w:t>
      </w:r>
      <w:r w:rsidRPr="00403374">
        <w:rPr>
          <w:rFonts w:ascii="Arial" w:eastAsia="Times New Roman" w:hAnsi="Arial" w:cs="Arial"/>
          <w:sz w:val="20"/>
          <w:szCs w:val="20"/>
        </w:rPr>
        <w:tab/>
        <w:t>radovi na gradnji nogostupa kroz mjesto Čilipi uz dio ŽC 6240 u iznosu 66.021,62 € (faza I, ukupna dužina 230,87 m),</w:t>
      </w:r>
    </w:p>
    <w:p w14:paraId="6CDB0AFC" w14:textId="59151F72" w:rsidR="00403374" w:rsidRPr="00403374" w:rsidRDefault="00403374" w:rsidP="00403374">
      <w:pPr>
        <w:autoSpaceDE w:val="0"/>
        <w:autoSpaceDN w:val="0"/>
        <w:adjustRightInd w:val="0"/>
        <w:spacing w:after="0" w:line="240" w:lineRule="auto"/>
        <w:jc w:val="both"/>
        <w:rPr>
          <w:rFonts w:ascii="Arial" w:eastAsia="Times New Roman" w:hAnsi="Arial" w:cs="Arial"/>
          <w:sz w:val="20"/>
          <w:szCs w:val="20"/>
        </w:rPr>
      </w:pPr>
      <w:r w:rsidRPr="00403374">
        <w:rPr>
          <w:rFonts w:ascii="Arial" w:eastAsia="Times New Roman" w:hAnsi="Arial" w:cs="Arial"/>
          <w:sz w:val="20"/>
          <w:szCs w:val="20"/>
        </w:rPr>
        <w:t>-</w:t>
      </w:r>
      <w:r w:rsidRPr="00403374">
        <w:rPr>
          <w:rFonts w:ascii="Arial" w:eastAsia="Times New Roman" w:hAnsi="Arial" w:cs="Arial"/>
          <w:sz w:val="20"/>
          <w:szCs w:val="20"/>
        </w:rPr>
        <w:tab/>
        <w:t xml:space="preserve">sanacija kolinika u Čilipima u iznosu 79.520,72 €, </w:t>
      </w:r>
    </w:p>
    <w:p w14:paraId="2A416261" w14:textId="77777777" w:rsidR="00403374" w:rsidRPr="00403374" w:rsidRDefault="00403374" w:rsidP="00403374">
      <w:pPr>
        <w:autoSpaceDE w:val="0"/>
        <w:autoSpaceDN w:val="0"/>
        <w:adjustRightInd w:val="0"/>
        <w:spacing w:after="0" w:line="240" w:lineRule="auto"/>
        <w:jc w:val="both"/>
        <w:rPr>
          <w:rFonts w:ascii="Arial" w:eastAsia="Times New Roman" w:hAnsi="Arial" w:cs="Arial"/>
          <w:sz w:val="20"/>
          <w:szCs w:val="20"/>
        </w:rPr>
      </w:pPr>
      <w:r w:rsidRPr="00403374">
        <w:rPr>
          <w:rFonts w:ascii="Arial" w:eastAsia="Times New Roman" w:hAnsi="Arial" w:cs="Arial"/>
          <w:sz w:val="20"/>
          <w:szCs w:val="20"/>
        </w:rPr>
        <w:t>-</w:t>
      </w:r>
      <w:r w:rsidRPr="00403374">
        <w:rPr>
          <w:rFonts w:ascii="Arial" w:eastAsia="Times New Roman" w:hAnsi="Arial" w:cs="Arial"/>
          <w:sz w:val="20"/>
          <w:szCs w:val="20"/>
        </w:rPr>
        <w:tab/>
        <w:t>usluge stručnog nadzora radova uređenja nogostupa  preko puta izlaza iz zračne luke u iznosu 1.500 €,</w:t>
      </w:r>
    </w:p>
    <w:p w14:paraId="2967EE65" w14:textId="77777777" w:rsidR="00403374" w:rsidRPr="00403374" w:rsidRDefault="00403374" w:rsidP="00403374">
      <w:pPr>
        <w:autoSpaceDE w:val="0"/>
        <w:autoSpaceDN w:val="0"/>
        <w:adjustRightInd w:val="0"/>
        <w:spacing w:after="0" w:line="240" w:lineRule="auto"/>
        <w:jc w:val="both"/>
        <w:rPr>
          <w:rFonts w:ascii="Arial" w:eastAsia="Times New Roman" w:hAnsi="Arial" w:cs="Arial"/>
          <w:sz w:val="20"/>
          <w:szCs w:val="20"/>
        </w:rPr>
      </w:pPr>
      <w:r w:rsidRPr="00403374">
        <w:rPr>
          <w:rFonts w:ascii="Arial" w:eastAsia="Times New Roman" w:hAnsi="Arial" w:cs="Arial"/>
          <w:sz w:val="20"/>
          <w:szCs w:val="20"/>
        </w:rPr>
        <w:t>-</w:t>
      </w:r>
      <w:r w:rsidRPr="00403374">
        <w:rPr>
          <w:rFonts w:ascii="Arial" w:eastAsia="Times New Roman" w:hAnsi="Arial" w:cs="Arial"/>
          <w:sz w:val="20"/>
          <w:szCs w:val="20"/>
        </w:rPr>
        <w:tab/>
        <w:t>usluge stručnog nadzora nad radovima gradnje nogostupa uz dio ŽC 6240 kroz naselje Čilipi u iznosu 3.125 €,</w:t>
      </w:r>
    </w:p>
    <w:p w14:paraId="1331534A" w14:textId="77777777" w:rsidR="00403374" w:rsidRPr="00403374" w:rsidRDefault="00403374" w:rsidP="00403374">
      <w:pPr>
        <w:autoSpaceDE w:val="0"/>
        <w:autoSpaceDN w:val="0"/>
        <w:adjustRightInd w:val="0"/>
        <w:spacing w:after="0" w:line="240" w:lineRule="auto"/>
        <w:jc w:val="both"/>
        <w:rPr>
          <w:rFonts w:ascii="Arial" w:eastAsia="Times New Roman" w:hAnsi="Arial" w:cs="Arial"/>
          <w:sz w:val="20"/>
          <w:szCs w:val="20"/>
        </w:rPr>
      </w:pPr>
      <w:r w:rsidRPr="00403374">
        <w:rPr>
          <w:rFonts w:ascii="Arial" w:eastAsia="Times New Roman" w:hAnsi="Arial" w:cs="Arial"/>
          <w:sz w:val="20"/>
          <w:szCs w:val="20"/>
        </w:rPr>
        <w:t>-</w:t>
      </w:r>
      <w:r w:rsidRPr="00403374">
        <w:rPr>
          <w:rFonts w:ascii="Arial" w:eastAsia="Times New Roman" w:hAnsi="Arial" w:cs="Arial"/>
          <w:sz w:val="20"/>
          <w:szCs w:val="20"/>
        </w:rPr>
        <w:tab/>
        <w:t>usluge stručnog nadzora nad radovima uređenja nogostupa uz ŽC 6240 u iznosu 3.312,50 €,</w:t>
      </w:r>
    </w:p>
    <w:p w14:paraId="2C56DD86" w14:textId="6654F301" w:rsidR="00D22BBF" w:rsidRDefault="00403374" w:rsidP="00403374">
      <w:pPr>
        <w:autoSpaceDE w:val="0"/>
        <w:autoSpaceDN w:val="0"/>
        <w:adjustRightInd w:val="0"/>
        <w:spacing w:after="0" w:line="240" w:lineRule="auto"/>
        <w:jc w:val="both"/>
        <w:rPr>
          <w:rFonts w:ascii="Arial" w:eastAsia="Times New Roman" w:hAnsi="Arial" w:cs="Arial"/>
          <w:sz w:val="20"/>
          <w:szCs w:val="20"/>
        </w:rPr>
      </w:pPr>
      <w:r w:rsidRPr="00403374">
        <w:rPr>
          <w:rFonts w:ascii="Arial" w:eastAsia="Times New Roman" w:hAnsi="Arial" w:cs="Arial"/>
          <w:sz w:val="20"/>
          <w:szCs w:val="20"/>
        </w:rPr>
        <w:t>-</w:t>
      </w:r>
      <w:r w:rsidRPr="00403374">
        <w:rPr>
          <w:rFonts w:ascii="Arial" w:eastAsia="Times New Roman" w:hAnsi="Arial" w:cs="Arial"/>
          <w:sz w:val="20"/>
          <w:szCs w:val="20"/>
        </w:rPr>
        <w:tab/>
        <w:t>mikrolokacija postojećih EE vodova na lokaciji nogostupa uz državnu cestu D8 u Močićima u iznosu 304,06 €.</w:t>
      </w:r>
    </w:p>
    <w:p w14:paraId="2AAB7ED0" w14:textId="77777777" w:rsidR="00D22BBF" w:rsidRPr="00FF3C31" w:rsidRDefault="00D22BBF" w:rsidP="00B20566">
      <w:pPr>
        <w:autoSpaceDE w:val="0"/>
        <w:autoSpaceDN w:val="0"/>
        <w:adjustRightInd w:val="0"/>
        <w:spacing w:after="0" w:line="240" w:lineRule="auto"/>
        <w:jc w:val="both"/>
        <w:rPr>
          <w:rFonts w:ascii="Arial" w:eastAsia="Times New Roman" w:hAnsi="Arial" w:cs="Arial"/>
          <w:sz w:val="20"/>
          <w:szCs w:val="20"/>
        </w:rPr>
      </w:pPr>
    </w:p>
    <w:p w14:paraId="47794ADF" w14:textId="77777777" w:rsidR="00B20566" w:rsidRPr="00FF3C31" w:rsidRDefault="00B20566" w:rsidP="00B20566">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K209219: Cesta Pridvorje – Knežev dvor</w:t>
      </w:r>
    </w:p>
    <w:p w14:paraId="133A1D30"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303C1E45" w14:textId="3BAFF277" w:rsidR="00D471AD" w:rsidRPr="00FF3C31" w:rsidRDefault="00D471AD" w:rsidP="00D471AD">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Procijenjena vrijednost investicije ranijih godina je bila 4.000.000 kn</w:t>
      </w:r>
      <w:r w:rsidR="00285C6F" w:rsidRPr="00FF3C31">
        <w:rPr>
          <w:rFonts w:ascii="Arial" w:eastAsia="Times New Roman" w:hAnsi="Arial" w:cs="Arial"/>
          <w:sz w:val="20"/>
          <w:szCs w:val="20"/>
        </w:rPr>
        <w:t xml:space="preserve"> (530.891,23 €)</w:t>
      </w:r>
      <w:r w:rsidRPr="00FF3C31">
        <w:rPr>
          <w:rFonts w:ascii="Arial" w:eastAsia="Times New Roman" w:hAnsi="Arial" w:cs="Arial"/>
          <w:sz w:val="20"/>
          <w:szCs w:val="20"/>
        </w:rPr>
        <w:t>.</w:t>
      </w:r>
    </w:p>
    <w:p w14:paraId="02CDE760" w14:textId="77777777" w:rsidR="00D471AD" w:rsidRPr="00FF3C31" w:rsidRDefault="00D471AD" w:rsidP="00D471AD">
      <w:pPr>
        <w:autoSpaceDE w:val="0"/>
        <w:autoSpaceDN w:val="0"/>
        <w:adjustRightInd w:val="0"/>
        <w:spacing w:after="0" w:line="240" w:lineRule="auto"/>
        <w:jc w:val="both"/>
        <w:rPr>
          <w:rFonts w:ascii="Arial" w:eastAsia="Times New Roman" w:hAnsi="Arial" w:cs="Arial"/>
          <w:sz w:val="20"/>
          <w:szCs w:val="20"/>
        </w:rPr>
      </w:pPr>
    </w:p>
    <w:p w14:paraId="377E7B8D"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Pokazatelj rezultata je: postotak dovršenosti radova</w:t>
      </w:r>
    </w:p>
    <w:p w14:paraId="0A56A425" w14:textId="3FDCD7AC"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0 (nula), a ciljna vrijednost 202</w:t>
      </w:r>
      <w:r w:rsidR="0050112A">
        <w:rPr>
          <w:rFonts w:ascii="Arial" w:eastAsia="Times New Roman" w:hAnsi="Arial" w:cs="Arial"/>
          <w:sz w:val="20"/>
          <w:szCs w:val="20"/>
        </w:rPr>
        <w:t>5</w:t>
      </w:r>
      <w:r w:rsidRPr="00FF3C31">
        <w:rPr>
          <w:rFonts w:ascii="Arial" w:eastAsia="Times New Roman" w:hAnsi="Arial" w:cs="Arial"/>
          <w:sz w:val="20"/>
          <w:szCs w:val="20"/>
        </w:rPr>
        <w:t>. = 30%, 202</w:t>
      </w:r>
      <w:r w:rsidR="0050112A">
        <w:rPr>
          <w:rFonts w:ascii="Arial" w:eastAsia="Times New Roman" w:hAnsi="Arial" w:cs="Arial"/>
          <w:sz w:val="20"/>
          <w:szCs w:val="20"/>
        </w:rPr>
        <w:t>6</w:t>
      </w:r>
      <w:r w:rsidRPr="00FF3C31">
        <w:rPr>
          <w:rFonts w:ascii="Arial" w:eastAsia="Times New Roman" w:hAnsi="Arial" w:cs="Arial"/>
          <w:sz w:val="20"/>
          <w:szCs w:val="20"/>
        </w:rPr>
        <w:t>. = 45%, 202</w:t>
      </w:r>
      <w:r w:rsidR="0050112A">
        <w:rPr>
          <w:rFonts w:ascii="Arial" w:eastAsia="Times New Roman" w:hAnsi="Arial" w:cs="Arial"/>
          <w:sz w:val="20"/>
          <w:szCs w:val="20"/>
        </w:rPr>
        <w:t>7</w:t>
      </w:r>
      <w:r w:rsidRPr="00FF3C31">
        <w:rPr>
          <w:rFonts w:ascii="Arial" w:eastAsia="Times New Roman" w:hAnsi="Arial" w:cs="Arial"/>
          <w:sz w:val="20"/>
          <w:szCs w:val="20"/>
        </w:rPr>
        <w:t xml:space="preserve">. = 80% </w:t>
      </w:r>
    </w:p>
    <w:p w14:paraId="38E3E3B4"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Planirano je izgraditi cestu ukupne duljine oko 2000 metara ceste.</w:t>
      </w:r>
    </w:p>
    <w:p w14:paraId="2FB00CF8" w14:textId="77777777" w:rsidR="00720A0C" w:rsidRDefault="00720A0C" w:rsidP="00B20566">
      <w:pPr>
        <w:autoSpaceDE w:val="0"/>
        <w:autoSpaceDN w:val="0"/>
        <w:adjustRightInd w:val="0"/>
        <w:spacing w:after="0" w:line="240" w:lineRule="auto"/>
        <w:jc w:val="both"/>
        <w:rPr>
          <w:rFonts w:ascii="Arial" w:eastAsia="Times New Roman" w:hAnsi="Arial" w:cs="Arial"/>
          <w:sz w:val="20"/>
          <w:szCs w:val="20"/>
        </w:rPr>
      </w:pPr>
    </w:p>
    <w:p w14:paraId="19A33614" w14:textId="1EEAC5B9" w:rsidR="00B20566" w:rsidRPr="00720A0C" w:rsidRDefault="00B20566" w:rsidP="00B20566">
      <w:pPr>
        <w:autoSpaceDE w:val="0"/>
        <w:autoSpaceDN w:val="0"/>
        <w:adjustRightInd w:val="0"/>
        <w:spacing w:after="0" w:line="240" w:lineRule="auto"/>
        <w:jc w:val="both"/>
        <w:rPr>
          <w:rFonts w:ascii="Arial" w:eastAsia="Calibri" w:hAnsi="Arial" w:cs="Arial"/>
          <w:sz w:val="18"/>
          <w:szCs w:val="18"/>
        </w:rPr>
      </w:pPr>
      <w:r w:rsidRPr="00720A0C">
        <w:rPr>
          <w:rFonts w:ascii="Arial" w:eastAsia="Times New Roman" w:hAnsi="Arial" w:cs="Arial"/>
          <w:sz w:val="18"/>
          <w:szCs w:val="18"/>
        </w:rPr>
        <w:t>U 2018. r</w:t>
      </w:r>
      <w:r w:rsidRPr="00720A0C">
        <w:rPr>
          <w:rFonts w:ascii="Arial" w:eastAsia="Calibri" w:hAnsi="Arial" w:cs="Arial"/>
          <w:sz w:val="18"/>
          <w:szCs w:val="18"/>
        </w:rPr>
        <w:t xml:space="preserve">ashodi su izvršeni u iznosu 29.550 kn </w:t>
      </w:r>
      <w:r w:rsidR="00060B4C" w:rsidRPr="00720A0C">
        <w:rPr>
          <w:rFonts w:ascii="Arial" w:eastAsia="Calibri" w:hAnsi="Arial" w:cs="Arial"/>
          <w:sz w:val="18"/>
          <w:szCs w:val="18"/>
        </w:rPr>
        <w:t xml:space="preserve">/ 3.921,96 € </w:t>
      </w:r>
      <w:r w:rsidRPr="00720A0C">
        <w:rPr>
          <w:rFonts w:ascii="Arial" w:eastAsia="Calibri" w:hAnsi="Arial" w:cs="Arial"/>
          <w:sz w:val="18"/>
          <w:szCs w:val="18"/>
        </w:rPr>
        <w:t xml:space="preserve">i odnose se na usluge </w:t>
      </w:r>
      <w:r w:rsidR="00E9062F" w:rsidRPr="00720A0C">
        <w:rPr>
          <w:rFonts w:ascii="Arial" w:eastAsia="Calibri" w:hAnsi="Arial" w:cs="Arial"/>
          <w:sz w:val="18"/>
          <w:szCs w:val="18"/>
        </w:rPr>
        <w:t>raščišćavanja</w:t>
      </w:r>
      <w:r w:rsidRPr="00720A0C">
        <w:rPr>
          <w:rFonts w:ascii="Arial" w:eastAsia="Calibri" w:hAnsi="Arial" w:cs="Arial"/>
          <w:sz w:val="18"/>
          <w:szCs w:val="18"/>
        </w:rPr>
        <w:t xml:space="preserve"> pristupnog puta od Kneževa dvora prema Samostanu u Pridvorju (sječa stabala, raslinja). </w:t>
      </w:r>
    </w:p>
    <w:p w14:paraId="255E4DE5" w14:textId="4BA49F98"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U 2019. je su izvršeni rashodi u iznosu 56.782 kn</w:t>
      </w:r>
      <w:r w:rsidR="00060B4C" w:rsidRPr="00720A0C">
        <w:rPr>
          <w:rFonts w:ascii="Arial" w:eastAsia="Times New Roman" w:hAnsi="Arial" w:cs="Arial"/>
          <w:sz w:val="18"/>
          <w:szCs w:val="18"/>
        </w:rPr>
        <w:t xml:space="preserve"> / 7.536,27 €</w:t>
      </w:r>
      <w:r w:rsidRPr="00720A0C">
        <w:rPr>
          <w:rFonts w:ascii="Arial" w:eastAsia="Times New Roman" w:hAnsi="Arial" w:cs="Arial"/>
          <w:sz w:val="18"/>
          <w:szCs w:val="18"/>
        </w:rPr>
        <w:t>. Izrađena je snimka situacije terena (projektantske podloge) za obilaznicu Kneževa dvora u Pridvorju u iznosu 9.282 kn</w:t>
      </w:r>
      <w:r w:rsidR="00060B4C" w:rsidRPr="00720A0C">
        <w:rPr>
          <w:rFonts w:ascii="Arial" w:eastAsia="Times New Roman" w:hAnsi="Arial" w:cs="Arial"/>
          <w:sz w:val="18"/>
          <w:szCs w:val="18"/>
        </w:rPr>
        <w:t xml:space="preserve"> / 1.231,93 €</w:t>
      </w:r>
      <w:r w:rsidRPr="00720A0C">
        <w:rPr>
          <w:rFonts w:ascii="Arial" w:eastAsia="Times New Roman" w:hAnsi="Arial" w:cs="Arial"/>
          <w:sz w:val="18"/>
          <w:szCs w:val="18"/>
        </w:rPr>
        <w:t xml:space="preserve">, te izmjena i dopuna trase glavnog projekta u duljini cca 300 metara u iznosu 47.500 kn </w:t>
      </w:r>
      <w:r w:rsidR="00060B4C" w:rsidRPr="00720A0C">
        <w:rPr>
          <w:rFonts w:ascii="Arial" w:eastAsia="Times New Roman" w:hAnsi="Arial" w:cs="Arial"/>
          <w:sz w:val="18"/>
          <w:szCs w:val="18"/>
        </w:rPr>
        <w:t xml:space="preserve">/ 6.304,33 € </w:t>
      </w:r>
      <w:r w:rsidRPr="00720A0C">
        <w:rPr>
          <w:rFonts w:ascii="Arial" w:eastAsia="Times New Roman" w:hAnsi="Arial" w:cs="Arial"/>
          <w:sz w:val="18"/>
          <w:szCs w:val="18"/>
        </w:rPr>
        <w:t xml:space="preserve">(Geoproming). </w:t>
      </w:r>
    </w:p>
    <w:p w14:paraId="2DDF1F9C"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5FB0B3CB" w14:textId="456CF4F8"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U 2020. su izvršeni rashodi na uređenju zaobilaznice puta do Kneževa dvora. Glavna planirana cesta nije građena. U 2020. su izvršeni rashodi u iznosu 170.202,84 kn</w:t>
      </w:r>
      <w:r w:rsidR="00CC06CD" w:rsidRPr="00720A0C">
        <w:rPr>
          <w:rFonts w:ascii="Arial" w:eastAsia="Times New Roman" w:hAnsi="Arial" w:cs="Arial"/>
          <w:sz w:val="18"/>
          <w:szCs w:val="18"/>
        </w:rPr>
        <w:t xml:space="preserve"> 22.589,80 €</w:t>
      </w:r>
      <w:r w:rsidRPr="00720A0C">
        <w:rPr>
          <w:rFonts w:ascii="Arial" w:eastAsia="Times New Roman" w:hAnsi="Arial" w:cs="Arial"/>
          <w:sz w:val="18"/>
          <w:szCs w:val="18"/>
        </w:rPr>
        <w:t>, od čega iskolčenje trase sa izradom elaborata iskolčenja, te geod</w:t>
      </w:r>
      <w:r w:rsidR="00090C07" w:rsidRPr="00720A0C">
        <w:rPr>
          <w:rFonts w:ascii="Arial" w:eastAsia="Times New Roman" w:hAnsi="Arial" w:cs="Arial"/>
          <w:sz w:val="18"/>
          <w:szCs w:val="18"/>
        </w:rPr>
        <w:t>etsko</w:t>
      </w:r>
      <w:r w:rsidRPr="00720A0C">
        <w:rPr>
          <w:rFonts w:ascii="Arial" w:eastAsia="Times New Roman" w:hAnsi="Arial" w:cs="Arial"/>
          <w:sz w:val="18"/>
          <w:szCs w:val="18"/>
        </w:rPr>
        <w:t xml:space="preserve"> snimanje izvedenog stanja obilaznice Pridvorje u iznosu 12.109,09 kn</w:t>
      </w:r>
      <w:r w:rsidR="00CC06CD" w:rsidRPr="00720A0C">
        <w:rPr>
          <w:rFonts w:ascii="Arial" w:eastAsia="Times New Roman" w:hAnsi="Arial" w:cs="Arial"/>
          <w:sz w:val="18"/>
          <w:szCs w:val="18"/>
        </w:rPr>
        <w:t xml:space="preserve"> / 1.607,15 €</w:t>
      </w:r>
      <w:r w:rsidRPr="00720A0C">
        <w:rPr>
          <w:rFonts w:ascii="Arial" w:eastAsia="Times New Roman" w:hAnsi="Arial" w:cs="Arial"/>
          <w:sz w:val="18"/>
          <w:szCs w:val="18"/>
        </w:rPr>
        <w:t>, izrada projektne dokumentacije prilaza na parking pokraj Kneževog dvora u Pridvorju 8.000 kn</w:t>
      </w:r>
      <w:r w:rsidR="00CC06CD" w:rsidRPr="00720A0C">
        <w:rPr>
          <w:rFonts w:ascii="Arial" w:eastAsia="Times New Roman" w:hAnsi="Arial" w:cs="Arial"/>
          <w:sz w:val="18"/>
          <w:szCs w:val="18"/>
        </w:rPr>
        <w:t xml:space="preserve"> / 1.061,78 €</w:t>
      </w:r>
      <w:r w:rsidRPr="00720A0C">
        <w:rPr>
          <w:rFonts w:ascii="Arial" w:eastAsia="Times New Roman" w:hAnsi="Arial" w:cs="Arial"/>
          <w:sz w:val="18"/>
          <w:szCs w:val="18"/>
        </w:rPr>
        <w:t xml:space="preserve">, te izvođenje radova na uređenju zaobilaznice puta oko Kneževa dvora u iznosu 103.750 kn </w:t>
      </w:r>
      <w:r w:rsidR="00CC06CD" w:rsidRPr="00720A0C">
        <w:rPr>
          <w:rFonts w:ascii="Arial" w:eastAsia="Times New Roman" w:hAnsi="Arial" w:cs="Arial"/>
          <w:sz w:val="18"/>
          <w:szCs w:val="18"/>
        </w:rPr>
        <w:t xml:space="preserve">/ 13.769,99 € </w:t>
      </w:r>
      <w:r w:rsidRPr="00720A0C">
        <w:rPr>
          <w:rFonts w:ascii="Arial" w:eastAsia="Times New Roman" w:hAnsi="Arial" w:cs="Arial"/>
          <w:sz w:val="18"/>
          <w:szCs w:val="18"/>
        </w:rPr>
        <w:t>i radova oborinske odvodnje uz zaobilaznicu 46.343,75 kn</w:t>
      </w:r>
      <w:r w:rsidR="00CC06CD" w:rsidRPr="00720A0C">
        <w:rPr>
          <w:rFonts w:ascii="Arial" w:eastAsia="Times New Roman" w:hAnsi="Arial" w:cs="Arial"/>
          <w:sz w:val="18"/>
          <w:szCs w:val="18"/>
        </w:rPr>
        <w:t xml:space="preserve"> / 6.150,87 €</w:t>
      </w:r>
      <w:r w:rsidRPr="00720A0C">
        <w:rPr>
          <w:rFonts w:ascii="Arial" w:eastAsia="Times New Roman" w:hAnsi="Arial" w:cs="Arial"/>
          <w:sz w:val="18"/>
          <w:szCs w:val="18"/>
        </w:rPr>
        <w:t xml:space="preserve">. </w:t>
      </w:r>
    </w:p>
    <w:p w14:paraId="18EE4E76"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0944C4EF" w14:textId="475FE4BE"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U 202</w:t>
      </w:r>
      <w:r w:rsidR="00656004" w:rsidRPr="00720A0C">
        <w:rPr>
          <w:rFonts w:ascii="Arial" w:eastAsia="Times New Roman" w:hAnsi="Arial" w:cs="Arial"/>
          <w:sz w:val="18"/>
          <w:szCs w:val="18"/>
        </w:rPr>
        <w:t>2</w:t>
      </w:r>
      <w:r w:rsidRPr="00720A0C">
        <w:rPr>
          <w:rFonts w:ascii="Arial" w:eastAsia="Times New Roman" w:hAnsi="Arial" w:cs="Arial"/>
          <w:sz w:val="18"/>
          <w:szCs w:val="18"/>
        </w:rPr>
        <w:t xml:space="preserve">. </w:t>
      </w:r>
      <w:r w:rsidR="00656004" w:rsidRPr="00720A0C">
        <w:rPr>
          <w:rFonts w:ascii="Arial" w:eastAsia="Times New Roman" w:hAnsi="Arial" w:cs="Arial"/>
          <w:sz w:val="18"/>
          <w:szCs w:val="18"/>
        </w:rPr>
        <w:t xml:space="preserve">su izvršeni rashodi u iznosu </w:t>
      </w:r>
      <w:r w:rsidR="00240903" w:rsidRPr="00720A0C">
        <w:rPr>
          <w:rFonts w:ascii="Arial" w:eastAsia="Times New Roman" w:hAnsi="Arial" w:cs="Arial"/>
          <w:sz w:val="18"/>
          <w:szCs w:val="18"/>
        </w:rPr>
        <w:t>92.505,75 kn</w:t>
      </w:r>
      <w:r w:rsidR="00CC06CD" w:rsidRPr="00720A0C">
        <w:rPr>
          <w:rFonts w:ascii="Arial" w:eastAsia="Times New Roman" w:hAnsi="Arial" w:cs="Arial"/>
          <w:sz w:val="18"/>
          <w:szCs w:val="18"/>
        </w:rPr>
        <w:t xml:space="preserve"> / 12.277,62 €</w:t>
      </w:r>
      <w:r w:rsidR="00FC5CB9" w:rsidRPr="00720A0C">
        <w:rPr>
          <w:rFonts w:ascii="Arial" w:eastAsia="Times New Roman" w:hAnsi="Arial" w:cs="Arial"/>
          <w:sz w:val="18"/>
          <w:szCs w:val="18"/>
        </w:rPr>
        <w:t xml:space="preserve"> (betoniranje prilaznog puta 67.005,75 kn</w:t>
      </w:r>
      <w:r w:rsidR="00CC06CD" w:rsidRPr="00720A0C">
        <w:rPr>
          <w:rFonts w:ascii="Arial" w:eastAsia="Times New Roman" w:hAnsi="Arial" w:cs="Arial"/>
          <w:sz w:val="18"/>
          <w:szCs w:val="18"/>
        </w:rPr>
        <w:t xml:space="preserve"> / 8.893,19 €</w:t>
      </w:r>
      <w:r w:rsidR="00FC5CB9" w:rsidRPr="00720A0C">
        <w:rPr>
          <w:rFonts w:ascii="Arial" w:eastAsia="Times New Roman" w:hAnsi="Arial" w:cs="Arial"/>
          <w:sz w:val="18"/>
          <w:szCs w:val="18"/>
        </w:rPr>
        <w:t>, radovi proširenja puta 21.250 kn</w:t>
      </w:r>
      <w:r w:rsidR="00CC06CD" w:rsidRPr="00720A0C">
        <w:rPr>
          <w:rFonts w:ascii="Arial" w:eastAsia="Times New Roman" w:hAnsi="Arial" w:cs="Arial"/>
          <w:sz w:val="18"/>
          <w:szCs w:val="18"/>
        </w:rPr>
        <w:t xml:space="preserve"> / 2.820,36 €</w:t>
      </w:r>
      <w:r w:rsidR="00FC5CB9" w:rsidRPr="00720A0C">
        <w:rPr>
          <w:rFonts w:ascii="Arial" w:eastAsia="Times New Roman" w:hAnsi="Arial" w:cs="Arial"/>
          <w:sz w:val="18"/>
          <w:szCs w:val="18"/>
        </w:rPr>
        <w:t>, te idejni troškovnik i stručni nadzor 4.250 kn</w:t>
      </w:r>
      <w:r w:rsidR="00CC06CD" w:rsidRPr="00720A0C">
        <w:rPr>
          <w:rFonts w:ascii="Arial" w:eastAsia="Times New Roman" w:hAnsi="Arial" w:cs="Arial"/>
          <w:sz w:val="18"/>
          <w:szCs w:val="18"/>
        </w:rPr>
        <w:t xml:space="preserve"> / 564,07 €</w:t>
      </w:r>
      <w:r w:rsidR="00FC5CB9" w:rsidRPr="00720A0C">
        <w:rPr>
          <w:rFonts w:ascii="Arial" w:eastAsia="Times New Roman" w:hAnsi="Arial" w:cs="Arial"/>
          <w:sz w:val="18"/>
          <w:szCs w:val="18"/>
        </w:rPr>
        <w:t>).</w:t>
      </w:r>
    </w:p>
    <w:p w14:paraId="5209EFB6" w14:textId="49AC255B" w:rsidR="00285C6F" w:rsidRPr="00720A0C" w:rsidRDefault="00285C6F"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U 2023.</w:t>
      </w:r>
      <w:r w:rsidR="0050112A">
        <w:rPr>
          <w:rFonts w:ascii="Arial" w:eastAsia="Times New Roman" w:hAnsi="Arial" w:cs="Arial"/>
          <w:sz w:val="18"/>
          <w:szCs w:val="18"/>
        </w:rPr>
        <w:t>-2025</w:t>
      </w:r>
      <w:r w:rsidR="009A4F57" w:rsidRPr="00720A0C">
        <w:rPr>
          <w:rFonts w:ascii="Arial" w:eastAsia="Times New Roman" w:hAnsi="Arial" w:cs="Arial"/>
          <w:sz w:val="18"/>
          <w:szCs w:val="18"/>
        </w:rPr>
        <w:t>.</w:t>
      </w:r>
      <w:r w:rsidRPr="00720A0C">
        <w:rPr>
          <w:rFonts w:ascii="Arial" w:eastAsia="Times New Roman" w:hAnsi="Arial" w:cs="Arial"/>
          <w:sz w:val="18"/>
          <w:szCs w:val="18"/>
        </w:rPr>
        <w:t xml:space="preserve"> godini nije bilo rashoda.</w:t>
      </w:r>
    </w:p>
    <w:p w14:paraId="2E43C3EA"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78BFBF99" w14:textId="77777777" w:rsidR="00B20566" w:rsidRPr="00FF3C31" w:rsidRDefault="00B20566" w:rsidP="00B20566">
      <w:pPr>
        <w:pBdr>
          <w:top w:val="dotted" w:sz="4" w:space="8"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 xml:space="preserve">K209220: Nogostup Čilipi - Zvekovica </w:t>
      </w:r>
    </w:p>
    <w:p w14:paraId="0A97F6D9" w14:textId="77777777" w:rsidR="00D471AD" w:rsidRPr="00FF3C31" w:rsidRDefault="00D471AD" w:rsidP="00D471AD">
      <w:pPr>
        <w:autoSpaceDE w:val="0"/>
        <w:autoSpaceDN w:val="0"/>
        <w:adjustRightInd w:val="0"/>
        <w:spacing w:after="0" w:line="240" w:lineRule="auto"/>
        <w:jc w:val="both"/>
        <w:rPr>
          <w:rFonts w:ascii="Arial" w:eastAsia="Times New Roman" w:hAnsi="Arial" w:cs="Arial"/>
          <w:sz w:val="20"/>
          <w:szCs w:val="20"/>
        </w:rPr>
      </w:pPr>
    </w:p>
    <w:p w14:paraId="17A04D53" w14:textId="7BC33367" w:rsidR="00D471AD" w:rsidRPr="00FF3C31" w:rsidRDefault="00D471AD" w:rsidP="00D471AD">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Planirano je urediti nogostup ukupne duljine oko 3 000 metara nogostupa.</w:t>
      </w:r>
    </w:p>
    <w:p w14:paraId="6F263762"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28278C89"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Pokazatelj rezultata je: postotak dovršenosti radova</w:t>
      </w:r>
    </w:p>
    <w:p w14:paraId="104726D5" w14:textId="3986C59B"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0 (nula), a ciljna vrijednost 202</w:t>
      </w:r>
      <w:r w:rsidR="0050112A">
        <w:rPr>
          <w:rFonts w:ascii="Arial" w:eastAsia="Times New Roman" w:hAnsi="Arial" w:cs="Arial"/>
          <w:sz w:val="20"/>
          <w:szCs w:val="20"/>
        </w:rPr>
        <w:t>5</w:t>
      </w:r>
      <w:r w:rsidRPr="00FF3C31">
        <w:rPr>
          <w:rFonts w:ascii="Arial" w:eastAsia="Times New Roman" w:hAnsi="Arial" w:cs="Arial"/>
          <w:sz w:val="20"/>
          <w:szCs w:val="20"/>
        </w:rPr>
        <w:t xml:space="preserve">. = </w:t>
      </w:r>
      <w:r w:rsidR="0050112A">
        <w:rPr>
          <w:rFonts w:ascii="Arial" w:eastAsia="Times New Roman" w:hAnsi="Arial" w:cs="Arial"/>
          <w:sz w:val="20"/>
          <w:szCs w:val="20"/>
        </w:rPr>
        <w:t>3</w:t>
      </w:r>
      <w:r w:rsidRPr="00FF3C31">
        <w:rPr>
          <w:rFonts w:ascii="Arial" w:eastAsia="Times New Roman" w:hAnsi="Arial" w:cs="Arial"/>
          <w:sz w:val="20"/>
          <w:szCs w:val="20"/>
        </w:rPr>
        <w:t>0%, 202</w:t>
      </w:r>
      <w:r w:rsidR="0050112A">
        <w:rPr>
          <w:rFonts w:ascii="Arial" w:eastAsia="Times New Roman" w:hAnsi="Arial" w:cs="Arial"/>
          <w:sz w:val="20"/>
          <w:szCs w:val="20"/>
        </w:rPr>
        <w:t>6</w:t>
      </w:r>
      <w:r w:rsidRPr="00FF3C31">
        <w:rPr>
          <w:rFonts w:ascii="Arial" w:eastAsia="Times New Roman" w:hAnsi="Arial" w:cs="Arial"/>
          <w:sz w:val="20"/>
          <w:szCs w:val="20"/>
        </w:rPr>
        <w:t xml:space="preserve">. = </w:t>
      </w:r>
      <w:r w:rsidR="0050112A">
        <w:rPr>
          <w:rFonts w:ascii="Arial" w:eastAsia="Times New Roman" w:hAnsi="Arial" w:cs="Arial"/>
          <w:sz w:val="20"/>
          <w:szCs w:val="20"/>
        </w:rPr>
        <w:t>6</w:t>
      </w:r>
      <w:r w:rsidRPr="00FF3C31">
        <w:rPr>
          <w:rFonts w:ascii="Arial" w:eastAsia="Times New Roman" w:hAnsi="Arial" w:cs="Arial"/>
          <w:sz w:val="20"/>
          <w:szCs w:val="20"/>
        </w:rPr>
        <w:t>0%, 202</w:t>
      </w:r>
      <w:r w:rsidR="0050112A">
        <w:rPr>
          <w:rFonts w:ascii="Arial" w:eastAsia="Times New Roman" w:hAnsi="Arial" w:cs="Arial"/>
          <w:sz w:val="20"/>
          <w:szCs w:val="20"/>
        </w:rPr>
        <w:t>7</w:t>
      </w:r>
      <w:r w:rsidRPr="00FF3C31">
        <w:rPr>
          <w:rFonts w:ascii="Arial" w:eastAsia="Times New Roman" w:hAnsi="Arial" w:cs="Arial"/>
          <w:sz w:val="20"/>
          <w:szCs w:val="20"/>
        </w:rPr>
        <w:t xml:space="preserve">. = </w:t>
      </w:r>
      <w:r w:rsidR="0050112A">
        <w:rPr>
          <w:rFonts w:ascii="Arial" w:eastAsia="Times New Roman" w:hAnsi="Arial" w:cs="Arial"/>
          <w:sz w:val="20"/>
          <w:szCs w:val="20"/>
        </w:rPr>
        <w:t>8</w:t>
      </w:r>
      <w:r w:rsidRPr="00FF3C31">
        <w:rPr>
          <w:rFonts w:ascii="Arial" w:eastAsia="Times New Roman" w:hAnsi="Arial" w:cs="Arial"/>
          <w:sz w:val="20"/>
          <w:szCs w:val="20"/>
        </w:rPr>
        <w:t xml:space="preserve">0% </w:t>
      </w:r>
    </w:p>
    <w:p w14:paraId="46065999"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7CA81201" w14:textId="76F8BC1D" w:rsidR="00B20566" w:rsidRPr="00720A0C" w:rsidRDefault="00B20566" w:rsidP="00B20566">
      <w:pPr>
        <w:autoSpaceDE w:val="0"/>
        <w:autoSpaceDN w:val="0"/>
        <w:adjustRightInd w:val="0"/>
        <w:spacing w:after="0" w:line="240" w:lineRule="auto"/>
        <w:jc w:val="both"/>
        <w:rPr>
          <w:rFonts w:ascii="Arial" w:eastAsia="Calibri" w:hAnsi="Arial" w:cs="Arial"/>
          <w:sz w:val="18"/>
          <w:szCs w:val="18"/>
        </w:rPr>
      </w:pPr>
      <w:r w:rsidRPr="00720A0C">
        <w:rPr>
          <w:rFonts w:ascii="Arial" w:eastAsia="Times New Roman" w:hAnsi="Arial" w:cs="Arial"/>
          <w:sz w:val="18"/>
          <w:szCs w:val="18"/>
        </w:rPr>
        <w:t xml:space="preserve">Nisu započeti radovi. </w:t>
      </w:r>
      <w:r w:rsidRPr="00720A0C">
        <w:rPr>
          <w:rFonts w:ascii="Arial" w:eastAsia="Calibri" w:hAnsi="Arial" w:cs="Arial"/>
          <w:sz w:val="18"/>
          <w:szCs w:val="18"/>
        </w:rPr>
        <w:t xml:space="preserve">Procijenjena vrijednost investicije </w:t>
      </w:r>
      <w:r w:rsidR="00D471AD" w:rsidRPr="00720A0C">
        <w:rPr>
          <w:rFonts w:ascii="Arial" w:eastAsia="Calibri" w:hAnsi="Arial" w:cs="Arial"/>
          <w:sz w:val="18"/>
          <w:szCs w:val="18"/>
        </w:rPr>
        <w:t>ranijih godina je bila</w:t>
      </w:r>
      <w:r w:rsidRPr="00720A0C">
        <w:rPr>
          <w:rFonts w:ascii="Arial" w:eastAsia="Calibri" w:hAnsi="Arial" w:cs="Arial"/>
          <w:sz w:val="18"/>
          <w:szCs w:val="18"/>
        </w:rPr>
        <w:t xml:space="preserve"> 6.000.000 kn</w:t>
      </w:r>
      <w:r w:rsidR="00285C6F" w:rsidRPr="00720A0C">
        <w:rPr>
          <w:rFonts w:ascii="Arial" w:eastAsia="Calibri" w:hAnsi="Arial" w:cs="Arial"/>
          <w:sz w:val="18"/>
          <w:szCs w:val="18"/>
        </w:rPr>
        <w:t xml:space="preserve"> (796.336,85 €)</w:t>
      </w:r>
      <w:r w:rsidRPr="00720A0C">
        <w:rPr>
          <w:rFonts w:ascii="Arial" w:eastAsia="Calibri" w:hAnsi="Arial" w:cs="Arial"/>
          <w:sz w:val="18"/>
          <w:szCs w:val="18"/>
        </w:rPr>
        <w:t>, a provodila bi se u suradnji s Hrvatskim cestama.</w:t>
      </w:r>
    </w:p>
    <w:p w14:paraId="56C79EE2" w14:textId="31E1075A" w:rsidR="00B20566" w:rsidRPr="00720A0C" w:rsidRDefault="00B20566" w:rsidP="00B20566">
      <w:pPr>
        <w:autoSpaceDE w:val="0"/>
        <w:autoSpaceDN w:val="0"/>
        <w:adjustRightInd w:val="0"/>
        <w:spacing w:after="0" w:line="240" w:lineRule="auto"/>
        <w:rPr>
          <w:rFonts w:ascii="Arial" w:hAnsi="Arial" w:cs="Arial"/>
          <w:sz w:val="18"/>
          <w:szCs w:val="18"/>
        </w:rPr>
      </w:pPr>
      <w:r w:rsidRPr="00720A0C">
        <w:rPr>
          <w:rFonts w:ascii="Arial" w:hAnsi="Arial" w:cs="Arial"/>
          <w:sz w:val="18"/>
          <w:szCs w:val="18"/>
        </w:rPr>
        <w:t>Obzirom na postojeću situaciju izazvanu manjkom proračunskih prihoda, provedba ove investicije se odgađa za slijedeća proračunska razdoblja.</w:t>
      </w:r>
    </w:p>
    <w:p w14:paraId="43271AF2" w14:textId="0897F2B5"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12BA4AA4" w14:textId="77777777" w:rsidR="0042412F" w:rsidRPr="00FF3C31" w:rsidRDefault="0042412F" w:rsidP="0042412F">
      <w:pPr>
        <w:autoSpaceDE w:val="0"/>
        <w:autoSpaceDN w:val="0"/>
        <w:adjustRightInd w:val="0"/>
        <w:spacing w:after="0" w:line="240" w:lineRule="auto"/>
        <w:jc w:val="both"/>
        <w:rPr>
          <w:rFonts w:ascii="Arial" w:eastAsia="Times New Roman" w:hAnsi="Arial" w:cs="Arial"/>
          <w:sz w:val="20"/>
          <w:szCs w:val="20"/>
        </w:rPr>
      </w:pPr>
    </w:p>
    <w:p w14:paraId="0FCE2FE0" w14:textId="153A5DFB" w:rsidR="0042412F" w:rsidRPr="00FF3C31" w:rsidRDefault="00992554" w:rsidP="0042412F">
      <w:pPr>
        <w:pBdr>
          <w:top w:val="single" w:sz="4" w:space="1" w:color="auto"/>
          <w:left w:val="single" w:sz="4" w:space="4" w:color="auto"/>
          <w:bottom w:val="single" w:sz="4" w:space="1" w:color="auto"/>
          <w:right w:val="single" w:sz="4" w:space="4" w:color="auto"/>
        </w:pBdr>
        <w:shd w:val="clear" w:color="auto" w:fill="A6A6A6"/>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Strateški c</w:t>
      </w:r>
      <w:r w:rsidR="0042412F" w:rsidRPr="00FF3C31">
        <w:rPr>
          <w:rFonts w:ascii="Arial" w:eastAsia="Times New Roman" w:hAnsi="Arial" w:cs="Arial"/>
          <w:b/>
          <w:sz w:val="20"/>
          <w:szCs w:val="20"/>
        </w:rPr>
        <w:t>ilj 2: Unaprjeđenje infrastrukture</w:t>
      </w:r>
    </w:p>
    <w:p w14:paraId="740F63FC" w14:textId="77777777" w:rsidR="0042412F" w:rsidRPr="00FF3C31" w:rsidRDefault="0042412F" w:rsidP="0042412F">
      <w:pPr>
        <w:autoSpaceDE w:val="0"/>
        <w:autoSpaceDN w:val="0"/>
        <w:adjustRightInd w:val="0"/>
        <w:spacing w:after="0" w:line="240" w:lineRule="auto"/>
        <w:jc w:val="both"/>
        <w:rPr>
          <w:rFonts w:ascii="Arial" w:eastAsia="Times New Roman" w:hAnsi="Arial" w:cs="Arial"/>
          <w:b/>
          <w:sz w:val="20"/>
          <w:szCs w:val="20"/>
          <w:u w:val="single"/>
        </w:rPr>
      </w:pPr>
    </w:p>
    <w:p w14:paraId="7C4EB1DA" w14:textId="37E926AF" w:rsidR="00437C71" w:rsidRPr="00FF3C31" w:rsidRDefault="000804B7" w:rsidP="00437C71">
      <w:pPr>
        <w:pBdr>
          <w:top w:val="single" w:sz="4" w:space="1" w:color="auto"/>
          <w:left w:val="single" w:sz="4" w:space="4" w:color="auto"/>
          <w:bottom w:val="single" w:sz="4" w:space="1" w:color="auto"/>
          <w:right w:val="single" w:sz="4" w:space="4" w:color="auto"/>
        </w:pBdr>
        <w:shd w:val="clear" w:color="auto" w:fill="BFBFBF"/>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Prioritet</w:t>
      </w:r>
      <w:r w:rsidR="00437C71" w:rsidRPr="00FF3C31">
        <w:rPr>
          <w:rFonts w:ascii="Arial" w:eastAsia="Times New Roman" w:hAnsi="Arial" w:cs="Arial"/>
          <w:b/>
          <w:sz w:val="20"/>
          <w:szCs w:val="20"/>
        </w:rPr>
        <w:t xml:space="preserve"> 2.2. Unaprjeđenje prostornog uređenja i komunalne infrastrukture</w:t>
      </w:r>
    </w:p>
    <w:p w14:paraId="7209ED4E" w14:textId="77777777" w:rsidR="00437C71" w:rsidRPr="00FF3C31" w:rsidRDefault="00437C71" w:rsidP="00437C71">
      <w:pPr>
        <w:autoSpaceDE w:val="0"/>
        <w:autoSpaceDN w:val="0"/>
        <w:adjustRightInd w:val="0"/>
        <w:spacing w:after="0" w:line="240" w:lineRule="auto"/>
        <w:jc w:val="both"/>
        <w:rPr>
          <w:rFonts w:ascii="Arial" w:eastAsia="Times New Roman" w:hAnsi="Arial" w:cs="Arial"/>
          <w:sz w:val="20"/>
          <w:szCs w:val="20"/>
        </w:rPr>
      </w:pPr>
    </w:p>
    <w:p w14:paraId="07B98B5C" w14:textId="06A5BAF4" w:rsidR="000804B7" w:rsidRPr="00FF3C31" w:rsidRDefault="000804B7" w:rsidP="000804B7">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Ovaj prioritet se ostvaruje kroz:</w:t>
      </w:r>
    </w:p>
    <w:p w14:paraId="4E417D65"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41747078" w14:textId="0A9DBD6A" w:rsidR="00B20566" w:rsidRPr="00FF3C31" w:rsidRDefault="000804B7" w:rsidP="00B2056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sz w:val="20"/>
          <w:szCs w:val="20"/>
        </w:rPr>
        <w:t>2</w:t>
      </w:r>
      <w:r w:rsidR="00B20566" w:rsidRPr="00FF3C31">
        <w:rPr>
          <w:rFonts w:ascii="Arial" w:eastAsia="Times New Roman" w:hAnsi="Arial" w:cs="Arial"/>
          <w:sz w:val="20"/>
          <w:szCs w:val="20"/>
        </w:rPr>
        <w:t>.</w:t>
      </w:r>
      <w:r w:rsidRPr="00FF3C31">
        <w:rPr>
          <w:rFonts w:ascii="Arial" w:eastAsia="Times New Roman" w:hAnsi="Arial" w:cs="Arial"/>
          <w:sz w:val="20"/>
          <w:szCs w:val="20"/>
        </w:rPr>
        <w:t>2</w:t>
      </w:r>
      <w:r w:rsidR="00B20566" w:rsidRPr="00FF3C31">
        <w:rPr>
          <w:rFonts w:ascii="Arial" w:eastAsia="Times New Roman" w:hAnsi="Arial" w:cs="Arial"/>
          <w:sz w:val="20"/>
          <w:szCs w:val="20"/>
        </w:rPr>
        <w:t>.</w:t>
      </w:r>
      <w:r w:rsidRPr="00FF3C31">
        <w:rPr>
          <w:rFonts w:ascii="Arial" w:eastAsia="Times New Roman" w:hAnsi="Arial" w:cs="Arial"/>
          <w:sz w:val="20"/>
          <w:szCs w:val="20"/>
        </w:rPr>
        <w:t>a</w:t>
      </w:r>
      <w:r w:rsidR="00B20566" w:rsidRPr="00FF3C31">
        <w:rPr>
          <w:rFonts w:ascii="Arial" w:eastAsia="Times New Roman" w:hAnsi="Arial" w:cs="Arial"/>
          <w:sz w:val="20"/>
          <w:szCs w:val="20"/>
        </w:rPr>
        <w:t>)</w:t>
      </w:r>
      <w:r w:rsidR="00B20566" w:rsidRPr="00FF3C31">
        <w:rPr>
          <w:rFonts w:ascii="Arial" w:eastAsia="Times New Roman" w:hAnsi="Arial" w:cs="Arial"/>
          <w:sz w:val="20"/>
          <w:szCs w:val="20"/>
        </w:rPr>
        <w:tab/>
      </w:r>
      <w:r w:rsidR="00B20566" w:rsidRPr="00FF3C31">
        <w:rPr>
          <w:rFonts w:ascii="Arial" w:eastAsia="Times New Roman" w:hAnsi="Arial" w:cs="Arial"/>
          <w:b/>
          <w:sz w:val="20"/>
          <w:szCs w:val="20"/>
        </w:rPr>
        <w:t>Program (2094) – Plan gradnje komunalnih vodnih građevina</w:t>
      </w:r>
    </w:p>
    <w:p w14:paraId="2B0B9133"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75CE10B0"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b1) </w:t>
      </w:r>
      <w:r w:rsidRPr="00FF3C31">
        <w:rPr>
          <w:rFonts w:ascii="Arial" w:eastAsia="Times New Roman" w:hAnsi="Arial" w:cs="Arial"/>
          <w:sz w:val="20"/>
          <w:szCs w:val="20"/>
        </w:rPr>
        <w:tab/>
        <w:t>Kapitalni projekt (K09416) Rekonstrukcija crpne stanice i upravljačkog sistema Prahivac</w:t>
      </w:r>
    </w:p>
    <w:p w14:paraId="7D6334DB" w14:textId="58E03CA5"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b2) </w:t>
      </w:r>
      <w:r w:rsidRPr="00FF3C31">
        <w:rPr>
          <w:rFonts w:ascii="Arial" w:eastAsia="Times New Roman" w:hAnsi="Arial" w:cs="Arial"/>
          <w:sz w:val="20"/>
          <w:szCs w:val="20"/>
        </w:rPr>
        <w:tab/>
        <w:t xml:space="preserve">Kapitalni projekt (K09421) Izgradnja </w:t>
      </w:r>
      <w:r w:rsidR="00285C6F" w:rsidRPr="00FF3C31">
        <w:rPr>
          <w:rFonts w:ascii="Arial" w:eastAsia="Times New Roman" w:hAnsi="Arial" w:cs="Arial"/>
          <w:sz w:val="20"/>
          <w:szCs w:val="20"/>
        </w:rPr>
        <w:t xml:space="preserve">vodovodne i kanalizacijske mreže </w:t>
      </w:r>
      <w:r w:rsidRPr="00FF3C31">
        <w:rPr>
          <w:rFonts w:ascii="Arial" w:eastAsia="Times New Roman" w:hAnsi="Arial" w:cs="Arial"/>
          <w:sz w:val="20"/>
          <w:szCs w:val="20"/>
        </w:rPr>
        <w:t>Molunat</w:t>
      </w:r>
    </w:p>
    <w:p w14:paraId="61EFBEC0"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b3) </w:t>
      </w:r>
      <w:r w:rsidRPr="00FF3C31">
        <w:rPr>
          <w:rFonts w:ascii="Arial" w:eastAsia="Times New Roman" w:hAnsi="Arial" w:cs="Arial"/>
          <w:sz w:val="20"/>
          <w:szCs w:val="20"/>
        </w:rPr>
        <w:tab/>
        <w:t>Kapitalni projekt (K09424) Kanalizacijski sustav Zvekovica</w:t>
      </w:r>
    </w:p>
    <w:p w14:paraId="4575BC11"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b4) </w:t>
      </w:r>
      <w:r w:rsidRPr="00FF3C31">
        <w:rPr>
          <w:rFonts w:ascii="Arial" w:eastAsia="Times New Roman" w:hAnsi="Arial" w:cs="Arial"/>
          <w:sz w:val="20"/>
          <w:szCs w:val="20"/>
        </w:rPr>
        <w:tab/>
        <w:t>Kapitalni projekt (K09426) Projektiranje i izgradnja kanalizacije s nogostupom: Izvor Ljuta - Gruda</w:t>
      </w:r>
    </w:p>
    <w:p w14:paraId="50BCBCBB"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b5) </w:t>
      </w:r>
      <w:r w:rsidRPr="00FF3C31">
        <w:rPr>
          <w:rFonts w:ascii="Arial" w:eastAsia="Times New Roman" w:hAnsi="Arial" w:cs="Arial"/>
          <w:sz w:val="20"/>
          <w:szCs w:val="20"/>
        </w:rPr>
        <w:tab/>
        <w:t>Kapitalni projekt (K09427) Izgradnja kanalizacije Ulica Frana Laureana Cavtat</w:t>
      </w:r>
    </w:p>
    <w:p w14:paraId="73A122A1"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b6) </w:t>
      </w:r>
      <w:r w:rsidRPr="00FF3C31">
        <w:rPr>
          <w:rFonts w:ascii="Arial" w:eastAsia="Times New Roman" w:hAnsi="Arial" w:cs="Arial"/>
          <w:sz w:val="20"/>
          <w:szCs w:val="20"/>
        </w:rPr>
        <w:tab/>
        <w:t>Kapitalni projekt (K09428) Izgradnja kanalizacije Ulica Silvija Strahimira Kranjčevića Cavtat</w:t>
      </w:r>
    </w:p>
    <w:p w14:paraId="07BA6C62"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b7)</w:t>
      </w:r>
      <w:r w:rsidRPr="00FF3C31">
        <w:rPr>
          <w:rFonts w:ascii="Arial" w:eastAsia="Times New Roman" w:hAnsi="Arial" w:cs="Arial"/>
          <w:sz w:val="20"/>
          <w:szCs w:val="20"/>
        </w:rPr>
        <w:tab/>
        <w:t>kapitalni projekt (K209429) Izgradnja vodoopskrbnog sustava Palje brdo</w:t>
      </w:r>
    </w:p>
    <w:p w14:paraId="15DCA2AD"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4C598DBB" w14:textId="77777777" w:rsidR="00B20566" w:rsidRPr="00FF3C31" w:rsidRDefault="00B20566" w:rsidP="00B20566">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b/>
          <w:sz w:val="20"/>
          <w:szCs w:val="20"/>
        </w:rPr>
        <w:t>K209416: Rekonstrukcija crpne stanice i upravljačkog sistema Prahivac</w:t>
      </w:r>
    </w:p>
    <w:p w14:paraId="229F1255"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4B8F00B9"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Pokazatelj rezultata je: postotak dovršenosti radova, odnosno povećanje kapaciteta i energetske učinkovitosti. Naime, potrebno je obnoviti zastarjelu tehnologiju crpne stanice. </w:t>
      </w:r>
    </w:p>
    <w:p w14:paraId="481B9BBD" w14:textId="64F444D9"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 0%</w:t>
      </w:r>
    </w:p>
    <w:p w14:paraId="66327607" w14:textId="0CC7150A"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Ciljna vrijednost za 202</w:t>
      </w:r>
      <w:r w:rsidR="0050112A">
        <w:rPr>
          <w:rFonts w:ascii="Arial" w:eastAsia="Times New Roman" w:hAnsi="Arial" w:cs="Arial"/>
          <w:sz w:val="20"/>
          <w:szCs w:val="20"/>
        </w:rPr>
        <w:t>5</w:t>
      </w:r>
      <w:r w:rsidRPr="00FF3C31">
        <w:rPr>
          <w:rFonts w:ascii="Arial" w:eastAsia="Times New Roman" w:hAnsi="Arial" w:cs="Arial"/>
          <w:sz w:val="20"/>
          <w:szCs w:val="20"/>
        </w:rPr>
        <w:t xml:space="preserve">. = </w:t>
      </w:r>
      <w:r w:rsidR="0050112A">
        <w:rPr>
          <w:rFonts w:ascii="Arial" w:eastAsia="Times New Roman" w:hAnsi="Arial" w:cs="Arial"/>
          <w:sz w:val="20"/>
          <w:szCs w:val="20"/>
        </w:rPr>
        <w:t>1</w:t>
      </w:r>
      <w:r w:rsidRPr="00FF3C31">
        <w:rPr>
          <w:rFonts w:ascii="Arial" w:eastAsia="Times New Roman" w:hAnsi="Arial" w:cs="Arial"/>
          <w:sz w:val="20"/>
          <w:szCs w:val="20"/>
        </w:rPr>
        <w:t>0%, za 20</w:t>
      </w:r>
      <w:r w:rsidR="00CC06CD">
        <w:rPr>
          <w:rFonts w:ascii="Arial" w:eastAsia="Times New Roman" w:hAnsi="Arial" w:cs="Arial"/>
          <w:sz w:val="20"/>
          <w:szCs w:val="20"/>
        </w:rPr>
        <w:t>2</w:t>
      </w:r>
      <w:r w:rsidR="0050112A">
        <w:rPr>
          <w:rFonts w:ascii="Arial" w:eastAsia="Times New Roman" w:hAnsi="Arial" w:cs="Arial"/>
          <w:sz w:val="20"/>
          <w:szCs w:val="20"/>
        </w:rPr>
        <w:t>6</w:t>
      </w:r>
      <w:r w:rsidRPr="00FF3C31">
        <w:rPr>
          <w:rFonts w:ascii="Arial" w:eastAsia="Times New Roman" w:hAnsi="Arial" w:cs="Arial"/>
          <w:sz w:val="20"/>
          <w:szCs w:val="20"/>
        </w:rPr>
        <w:t xml:space="preserve">. = </w:t>
      </w:r>
      <w:r w:rsidR="0050112A">
        <w:rPr>
          <w:rFonts w:ascii="Arial" w:eastAsia="Times New Roman" w:hAnsi="Arial" w:cs="Arial"/>
          <w:sz w:val="20"/>
          <w:szCs w:val="20"/>
        </w:rPr>
        <w:t>5</w:t>
      </w:r>
      <w:r w:rsidRPr="00FF3C31">
        <w:rPr>
          <w:rFonts w:ascii="Arial" w:eastAsia="Times New Roman" w:hAnsi="Arial" w:cs="Arial"/>
          <w:sz w:val="20"/>
          <w:szCs w:val="20"/>
        </w:rPr>
        <w:t>0%, za 20</w:t>
      </w:r>
      <w:r w:rsidR="00CC06CD">
        <w:rPr>
          <w:rFonts w:ascii="Arial" w:eastAsia="Times New Roman" w:hAnsi="Arial" w:cs="Arial"/>
          <w:sz w:val="20"/>
          <w:szCs w:val="20"/>
        </w:rPr>
        <w:t>2</w:t>
      </w:r>
      <w:r w:rsidR="0050112A">
        <w:rPr>
          <w:rFonts w:ascii="Arial" w:eastAsia="Times New Roman" w:hAnsi="Arial" w:cs="Arial"/>
          <w:sz w:val="20"/>
          <w:szCs w:val="20"/>
        </w:rPr>
        <w:t>7</w:t>
      </w:r>
      <w:r w:rsidRPr="00FF3C31">
        <w:rPr>
          <w:rFonts w:ascii="Arial" w:eastAsia="Times New Roman" w:hAnsi="Arial" w:cs="Arial"/>
          <w:sz w:val="20"/>
          <w:szCs w:val="20"/>
        </w:rPr>
        <w:t>. = 1</w:t>
      </w:r>
      <w:r w:rsidR="0050112A">
        <w:rPr>
          <w:rFonts w:ascii="Arial" w:eastAsia="Times New Roman" w:hAnsi="Arial" w:cs="Arial"/>
          <w:sz w:val="20"/>
          <w:szCs w:val="20"/>
        </w:rPr>
        <w:t>0</w:t>
      </w:r>
      <w:r w:rsidR="0029154A" w:rsidRPr="00FF3C31">
        <w:rPr>
          <w:rFonts w:ascii="Arial" w:eastAsia="Times New Roman" w:hAnsi="Arial" w:cs="Arial"/>
          <w:sz w:val="20"/>
          <w:szCs w:val="20"/>
        </w:rPr>
        <w:t>0</w:t>
      </w:r>
      <w:r w:rsidRPr="00FF3C31">
        <w:rPr>
          <w:rFonts w:ascii="Arial" w:eastAsia="Times New Roman" w:hAnsi="Arial" w:cs="Arial"/>
          <w:sz w:val="20"/>
          <w:szCs w:val="20"/>
        </w:rPr>
        <w:t>%</w:t>
      </w:r>
    </w:p>
    <w:p w14:paraId="38E6D89D"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0B10D25C"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lastRenderedPageBreak/>
        <w:t xml:space="preserve">Planirani nositelj projekta je društvo u vlasništvu Općine, Konavosko komunalno društvo d.o.o. Međutim, navedeno bi se sufinanciralo iz sredstava javnog isporučitelja (Konavosko komunalno društvo d.o.o.), sufinanciranjem Hrvatskih voda 80% i sredstvima Općine do 20%. </w:t>
      </w:r>
    </w:p>
    <w:p w14:paraId="1F62C64D"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2B5E3843" w14:textId="121FE115"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Procijenjena vrijednost ukupne investicije </w:t>
      </w:r>
      <w:r w:rsidR="00D471AD" w:rsidRPr="00720A0C">
        <w:rPr>
          <w:rFonts w:ascii="Arial" w:eastAsia="Times New Roman" w:hAnsi="Arial" w:cs="Arial"/>
          <w:sz w:val="18"/>
          <w:szCs w:val="18"/>
        </w:rPr>
        <w:t>ranijih godina je bila</w:t>
      </w:r>
      <w:r w:rsidRPr="00720A0C">
        <w:rPr>
          <w:rFonts w:ascii="Arial" w:eastAsia="Times New Roman" w:hAnsi="Arial" w:cs="Arial"/>
          <w:sz w:val="18"/>
          <w:szCs w:val="18"/>
        </w:rPr>
        <w:t xml:space="preserve"> 10.000.000 kn</w:t>
      </w:r>
      <w:r w:rsidR="00CC06CD" w:rsidRPr="00720A0C">
        <w:rPr>
          <w:rFonts w:ascii="Arial" w:eastAsia="Times New Roman" w:hAnsi="Arial" w:cs="Arial"/>
          <w:sz w:val="18"/>
          <w:szCs w:val="18"/>
        </w:rPr>
        <w:t xml:space="preserve"> / 1.327.228,08 €</w:t>
      </w:r>
      <w:r w:rsidR="00240903" w:rsidRPr="00720A0C">
        <w:rPr>
          <w:rFonts w:ascii="Arial" w:eastAsia="Times New Roman" w:hAnsi="Arial" w:cs="Arial"/>
          <w:sz w:val="18"/>
          <w:szCs w:val="18"/>
        </w:rPr>
        <w:t>.</w:t>
      </w:r>
      <w:r w:rsidRPr="00720A0C">
        <w:rPr>
          <w:rFonts w:ascii="Arial" w:eastAsia="Times New Roman" w:hAnsi="Arial" w:cs="Arial"/>
          <w:sz w:val="18"/>
          <w:szCs w:val="18"/>
        </w:rPr>
        <w:t xml:space="preserve"> </w:t>
      </w:r>
      <w:r w:rsidR="00240903" w:rsidRPr="00720A0C">
        <w:rPr>
          <w:rFonts w:ascii="Arial" w:eastAsia="Times New Roman" w:hAnsi="Arial" w:cs="Arial"/>
          <w:sz w:val="18"/>
          <w:szCs w:val="18"/>
        </w:rPr>
        <w:t>U proračunu Općine će se iskazivati samo dio</w:t>
      </w:r>
      <w:r w:rsidRPr="00720A0C">
        <w:rPr>
          <w:rFonts w:ascii="Arial" w:eastAsia="Times New Roman" w:hAnsi="Arial" w:cs="Arial"/>
          <w:sz w:val="18"/>
          <w:szCs w:val="18"/>
        </w:rPr>
        <w:t xml:space="preserve"> investicije </w:t>
      </w:r>
      <w:r w:rsidR="00240903" w:rsidRPr="00720A0C">
        <w:rPr>
          <w:rFonts w:ascii="Arial" w:eastAsia="Times New Roman" w:hAnsi="Arial" w:cs="Arial"/>
          <w:sz w:val="18"/>
          <w:szCs w:val="18"/>
        </w:rPr>
        <w:t>koji s</w:t>
      </w:r>
      <w:r w:rsidRPr="00720A0C">
        <w:rPr>
          <w:rFonts w:ascii="Arial" w:eastAsia="Times New Roman" w:hAnsi="Arial" w:cs="Arial"/>
          <w:sz w:val="18"/>
          <w:szCs w:val="18"/>
        </w:rPr>
        <w:t xml:space="preserve">e sufinancira sredstvima iz proračuna, dok se sredstva Hrvatskih voda isplaćuju nositelju projekta, sukladno zaključenim godišnjim ugovorima. </w:t>
      </w:r>
    </w:p>
    <w:p w14:paraId="58A13655" w14:textId="77777777" w:rsidR="00B20566" w:rsidRDefault="00B20566" w:rsidP="00B20566">
      <w:pPr>
        <w:autoSpaceDE w:val="0"/>
        <w:autoSpaceDN w:val="0"/>
        <w:adjustRightInd w:val="0"/>
        <w:spacing w:after="0" w:line="240" w:lineRule="auto"/>
        <w:jc w:val="both"/>
        <w:rPr>
          <w:rFonts w:ascii="Arial" w:eastAsia="Times New Roman" w:hAnsi="Arial" w:cs="Arial"/>
          <w:sz w:val="18"/>
          <w:szCs w:val="18"/>
        </w:rPr>
      </w:pPr>
    </w:p>
    <w:p w14:paraId="0C55CC50" w14:textId="46453EA4" w:rsidR="00D15E00" w:rsidRPr="00D15E00" w:rsidRDefault="00D15E00" w:rsidP="00B20566">
      <w:pPr>
        <w:autoSpaceDE w:val="0"/>
        <w:autoSpaceDN w:val="0"/>
        <w:adjustRightInd w:val="0"/>
        <w:spacing w:after="0" w:line="240" w:lineRule="auto"/>
        <w:jc w:val="both"/>
        <w:rPr>
          <w:rFonts w:ascii="Arial" w:eastAsia="Times New Roman" w:hAnsi="Arial" w:cs="Arial"/>
          <w:i/>
          <w:iCs/>
          <w:sz w:val="18"/>
          <w:szCs w:val="18"/>
        </w:rPr>
      </w:pPr>
      <w:r w:rsidRPr="00D15E00">
        <w:rPr>
          <w:rFonts w:ascii="Arial" w:eastAsia="Times New Roman" w:hAnsi="Arial" w:cs="Arial"/>
          <w:i/>
          <w:iCs/>
          <w:sz w:val="18"/>
          <w:szCs w:val="18"/>
        </w:rPr>
        <w:t xml:space="preserve">Konavosko komunalno društvo kao javni isporučitelj je tijekom 2025. godine iz vlastitih sredstava obavio modernizaciju crpnih stanica. </w:t>
      </w:r>
    </w:p>
    <w:p w14:paraId="599F53B9" w14:textId="78F6EAD0" w:rsidR="00D15E00" w:rsidRPr="00D15E00" w:rsidRDefault="00D15E00" w:rsidP="00D15E00">
      <w:pPr>
        <w:autoSpaceDE w:val="0"/>
        <w:autoSpaceDN w:val="0"/>
        <w:adjustRightInd w:val="0"/>
        <w:spacing w:after="0" w:line="240" w:lineRule="auto"/>
        <w:jc w:val="both"/>
        <w:rPr>
          <w:rFonts w:ascii="Arial" w:eastAsia="Times New Roman" w:hAnsi="Arial" w:cs="Arial"/>
          <w:i/>
          <w:iCs/>
          <w:sz w:val="18"/>
          <w:szCs w:val="18"/>
        </w:rPr>
      </w:pPr>
      <w:r w:rsidRPr="00D15E00">
        <w:rPr>
          <w:rFonts w:ascii="Arial" w:eastAsia="Times New Roman" w:hAnsi="Arial" w:cs="Arial"/>
          <w:i/>
          <w:iCs/>
          <w:sz w:val="18"/>
          <w:szCs w:val="18"/>
        </w:rPr>
        <w:t>Naime, radovi na crpnim stanicama Prahivac i Ljuta provedeni su u sklopu modernizacije i unapređenja sustava vodoopskrbe, s ciljem povećanja kapaciteta, pouzdanosti i dugotrajnosti rada.</w:t>
      </w:r>
    </w:p>
    <w:p w14:paraId="505BC8CE" w14:textId="77777777" w:rsidR="00D15E00" w:rsidRPr="00D15E00" w:rsidRDefault="00D15E00" w:rsidP="00D15E00">
      <w:pPr>
        <w:autoSpaceDE w:val="0"/>
        <w:autoSpaceDN w:val="0"/>
        <w:adjustRightInd w:val="0"/>
        <w:spacing w:after="0" w:line="240" w:lineRule="auto"/>
        <w:jc w:val="both"/>
        <w:rPr>
          <w:rFonts w:ascii="Arial" w:eastAsia="Times New Roman" w:hAnsi="Arial" w:cs="Arial"/>
          <w:i/>
          <w:iCs/>
          <w:sz w:val="18"/>
          <w:szCs w:val="18"/>
        </w:rPr>
      </w:pPr>
    </w:p>
    <w:p w14:paraId="6C33768D" w14:textId="77777777" w:rsidR="00D15E00" w:rsidRPr="00D15E00" w:rsidRDefault="00D15E00" w:rsidP="00D15E00">
      <w:pPr>
        <w:autoSpaceDE w:val="0"/>
        <w:autoSpaceDN w:val="0"/>
        <w:adjustRightInd w:val="0"/>
        <w:spacing w:after="0" w:line="240" w:lineRule="auto"/>
        <w:jc w:val="both"/>
        <w:rPr>
          <w:rFonts w:ascii="Arial" w:eastAsia="Times New Roman" w:hAnsi="Arial" w:cs="Arial"/>
          <w:i/>
          <w:iCs/>
          <w:sz w:val="18"/>
          <w:szCs w:val="18"/>
        </w:rPr>
      </w:pPr>
      <w:r w:rsidRPr="00D15E00">
        <w:rPr>
          <w:rFonts w:ascii="Arial" w:eastAsia="Times New Roman" w:hAnsi="Arial" w:cs="Arial"/>
          <w:i/>
          <w:iCs/>
          <w:sz w:val="18"/>
          <w:szCs w:val="18"/>
        </w:rPr>
        <w:t>Na crpnoj stanici Prahivac izvedeni su značajni zahvati koji su omogućili učinkovitije funkcioniranje sustava. Ugrađen je novi elektroormar za pouzdanije upravljanje, dok su usisni i tlačni cjevovodi izrađeni od inox čelika, čime je osigurana otpornost na koroziju i produžen vijek trajanja opreme. Zahvaljujući ovim poboljšanjima, protok vode povećan je za 15 posto, što omogućuje veću učinkovitost i kapacitet u radu. Pumpa na ovoj stanici ima snagu od 103,31 kW, a njezin kapacitet iznosi 180 kubičnih metara na sat.</w:t>
      </w:r>
    </w:p>
    <w:p w14:paraId="0D57F8C3" w14:textId="77777777" w:rsidR="00D15E00" w:rsidRPr="00D15E00" w:rsidRDefault="00D15E00" w:rsidP="00D15E00">
      <w:pPr>
        <w:autoSpaceDE w:val="0"/>
        <w:autoSpaceDN w:val="0"/>
        <w:adjustRightInd w:val="0"/>
        <w:spacing w:after="0" w:line="240" w:lineRule="auto"/>
        <w:jc w:val="both"/>
        <w:rPr>
          <w:rFonts w:ascii="Arial" w:eastAsia="Times New Roman" w:hAnsi="Arial" w:cs="Arial"/>
          <w:i/>
          <w:iCs/>
          <w:sz w:val="18"/>
          <w:szCs w:val="18"/>
        </w:rPr>
      </w:pPr>
    </w:p>
    <w:p w14:paraId="02EEF5EF" w14:textId="77777777" w:rsidR="00D15E00" w:rsidRPr="00D15E00" w:rsidRDefault="00D15E00" w:rsidP="00D15E00">
      <w:pPr>
        <w:autoSpaceDE w:val="0"/>
        <w:autoSpaceDN w:val="0"/>
        <w:adjustRightInd w:val="0"/>
        <w:spacing w:after="0" w:line="240" w:lineRule="auto"/>
        <w:jc w:val="both"/>
        <w:rPr>
          <w:rFonts w:ascii="Arial" w:eastAsia="Times New Roman" w:hAnsi="Arial" w:cs="Arial"/>
          <w:i/>
          <w:iCs/>
          <w:sz w:val="18"/>
          <w:szCs w:val="18"/>
        </w:rPr>
      </w:pPr>
      <w:r w:rsidRPr="00D15E00">
        <w:rPr>
          <w:rFonts w:ascii="Arial" w:eastAsia="Times New Roman" w:hAnsi="Arial" w:cs="Arial"/>
          <w:i/>
          <w:iCs/>
          <w:sz w:val="18"/>
          <w:szCs w:val="18"/>
        </w:rPr>
        <w:t>Na crpnoj stanici Ljuta provedena je potpuna rekonstrukcija usmjerena na značajno povećanje kapaciteta i stabilnosti sustava. Elektroormar je u cijelosti obnovljen, čime je osigurana bolja kontrola i sigurnost u radu, dok su usisni i tlačni cjevovodi zamijenjeni inox čelikom, što će doprinijeti otpornosti na habanje i dugotrajnosti instalacija. Rezultat ovih radova je povećanje protoka za čak 100 posto, odnosno udvostručenje kapaciteta u odnosu na prijašnji. Pumpa stanice Ljuta raspolaže snagom od 90 kW i kapacitetom od 48 kubičnih metara na sat.</w:t>
      </w:r>
    </w:p>
    <w:p w14:paraId="245D81EE" w14:textId="77777777" w:rsidR="00D15E00" w:rsidRPr="00D15E00" w:rsidRDefault="00D15E00" w:rsidP="00D15E00">
      <w:pPr>
        <w:autoSpaceDE w:val="0"/>
        <w:autoSpaceDN w:val="0"/>
        <w:adjustRightInd w:val="0"/>
        <w:spacing w:after="0" w:line="240" w:lineRule="auto"/>
        <w:jc w:val="both"/>
        <w:rPr>
          <w:rFonts w:ascii="Arial" w:eastAsia="Times New Roman" w:hAnsi="Arial" w:cs="Arial"/>
          <w:i/>
          <w:iCs/>
          <w:sz w:val="18"/>
          <w:szCs w:val="18"/>
        </w:rPr>
      </w:pPr>
    </w:p>
    <w:p w14:paraId="12B9850A" w14:textId="324E5278" w:rsidR="00D15E00" w:rsidRPr="00D15E00" w:rsidRDefault="00D15E00" w:rsidP="00D15E00">
      <w:pPr>
        <w:autoSpaceDE w:val="0"/>
        <w:autoSpaceDN w:val="0"/>
        <w:adjustRightInd w:val="0"/>
        <w:spacing w:after="0" w:line="240" w:lineRule="auto"/>
        <w:jc w:val="both"/>
        <w:rPr>
          <w:rFonts w:ascii="Arial" w:eastAsia="Times New Roman" w:hAnsi="Arial" w:cs="Arial"/>
          <w:i/>
          <w:iCs/>
          <w:sz w:val="18"/>
          <w:szCs w:val="18"/>
        </w:rPr>
      </w:pPr>
      <w:r w:rsidRPr="00D15E00">
        <w:rPr>
          <w:rFonts w:ascii="Arial" w:eastAsia="Times New Roman" w:hAnsi="Arial" w:cs="Arial"/>
          <w:i/>
          <w:iCs/>
          <w:sz w:val="18"/>
          <w:szCs w:val="18"/>
        </w:rPr>
        <w:t>Ukupna vrijednost svih izvedenih radova i nabave nove opreme na ovim crpnim stanicama iznosi 212.940,00 eura, čime je realizirana značajna investicija u unapređenje sustava vodoopskrbe te osiguravanje stabilnijeg i učinkovitijeg rada.</w:t>
      </w:r>
    </w:p>
    <w:p w14:paraId="28B87F85" w14:textId="0C0655E5"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bookmarkStart w:id="790" w:name="_Hlk66359738"/>
    </w:p>
    <w:p w14:paraId="42EB5379" w14:textId="3A366B90" w:rsidR="00B20566" w:rsidRPr="00FF3C31" w:rsidRDefault="00B20566" w:rsidP="00B20566">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sz w:val="20"/>
          <w:szCs w:val="20"/>
        </w:rPr>
      </w:pPr>
      <w:bookmarkStart w:id="791" w:name="_Hlk66359542"/>
      <w:bookmarkEnd w:id="790"/>
      <w:r w:rsidRPr="00FF3C31">
        <w:rPr>
          <w:rFonts w:ascii="Arial" w:eastAsia="Times New Roman" w:hAnsi="Arial" w:cs="Arial"/>
          <w:b/>
          <w:sz w:val="20"/>
          <w:szCs w:val="20"/>
        </w:rPr>
        <w:t xml:space="preserve">K209421: Izgradnja </w:t>
      </w:r>
      <w:r w:rsidR="006D251D" w:rsidRPr="00FF3C31">
        <w:rPr>
          <w:rFonts w:ascii="Arial" w:eastAsia="Times New Roman" w:hAnsi="Arial" w:cs="Arial"/>
          <w:b/>
          <w:sz w:val="20"/>
          <w:szCs w:val="20"/>
        </w:rPr>
        <w:t>vodovodne i kanalizacijske mreže M</w:t>
      </w:r>
      <w:r w:rsidRPr="00FF3C31">
        <w:rPr>
          <w:rFonts w:ascii="Arial" w:eastAsia="Times New Roman" w:hAnsi="Arial" w:cs="Arial"/>
          <w:b/>
          <w:sz w:val="20"/>
          <w:szCs w:val="20"/>
        </w:rPr>
        <w:t>olunat</w:t>
      </w:r>
      <w:r w:rsidRPr="00FF3C31">
        <w:rPr>
          <w:rFonts w:ascii="Arial" w:eastAsia="Times New Roman" w:hAnsi="Arial" w:cs="Arial"/>
          <w:sz w:val="20"/>
          <w:szCs w:val="20"/>
        </w:rPr>
        <w:t xml:space="preserve"> </w:t>
      </w:r>
    </w:p>
    <w:p w14:paraId="58EE10E3"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bookmarkEnd w:id="791"/>
    <w:p w14:paraId="400ABCB1"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Pokazatelj rezultata je: postotak dovršenosti izgradnje kanalizacijske mreže i rekonstrukcije vodoopskrbne mreže što će omogućiti spajanje oko 200 objekata.</w:t>
      </w:r>
    </w:p>
    <w:p w14:paraId="76F59F2D"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47E86920" w14:textId="03177890"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w:t>
      </w:r>
      <w:r w:rsidR="00FD7876" w:rsidRPr="00FF3C31">
        <w:rPr>
          <w:rFonts w:ascii="Arial" w:eastAsia="Times New Roman" w:hAnsi="Arial" w:cs="Arial"/>
          <w:sz w:val="20"/>
          <w:szCs w:val="20"/>
        </w:rPr>
        <w:t>67</w:t>
      </w:r>
      <w:r w:rsidRPr="00FF3C31">
        <w:rPr>
          <w:rFonts w:ascii="Arial" w:eastAsia="Times New Roman" w:hAnsi="Arial" w:cs="Arial"/>
          <w:sz w:val="20"/>
          <w:szCs w:val="20"/>
        </w:rPr>
        <w:t>%</w:t>
      </w:r>
    </w:p>
    <w:p w14:paraId="3A15BA21" w14:textId="6F35A319"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Ciljna vrijednost za 202</w:t>
      </w:r>
      <w:r w:rsidR="0050112A">
        <w:rPr>
          <w:rFonts w:ascii="Arial" w:eastAsia="Times New Roman" w:hAnsi="Arial" w:cs="Arial"/>
          <w:sz w:val="20"/>
          <w:szCs w:val="20"/>
        </w:rPr>
        <w:t>5</w:t>
      </w:r>
      <w:r w:rsidRPr="00FF3C31">
        <w:rPr>
          <w:rFonts w:ascii="Arial" w:eastAsia="Times New Roman" w:hAnsi="Arial" w:cs="Arial"/>
          <w:sz w:val="20"/>
          <w:szCs w:val="20"/>
        </w:rPr>
        <w:t xml:space="preserve">. = </w:t>
      </w:r>
      <w:r w:rsidR="009A4F57" w:rsidRPr="00FF3C31">
        <w:rPr>
          <w:rFonts w:ascii="Arial" w:eastAsia="Times New Roman" w:hAnsi="Arial" w:cs="Arial"/>
          <w:sz w:val="20"/>
          <w:szCs w:val="20"/>
        </w:rPr>
        <w:t>100</w:t>
      </w:r>
      <w:r w:rsidRPr="00FF3C31">
        <w:rPr>
          <w:rFonts w:ascii="Arial" w:eastAsia="Times New Roman" w:hAnsi="Arial" w:cs="Arial"/>
          <w:sz w:val="20"/>
          <w:szCs w:val="20"/>
        </w:rPr>
        <w:t>%, za 202</w:t>
      </w:r>
      <w:r w:rsidR="0050112A">
        <w:rPr>
          <w:rFonts w:ascii="Arial" w:eastAsia="Times New Roman" w:hAnsi="Arial" w:cs="Arial"/>
          <w:sz w:val="20"/>
          <w:szCs w:val="20"/>
        </w:rPr>
        <w:t>6</w:t>
      </w:r>
      <w:r w:rsidRPr="00FF3C31">
        <w:rPr>
          <w:rFonts w:ascii="Arial" w:eastAsia="Times New Roman" w:hAnsi="Arial" w:cs="Arial"/>
          <w:sz w:val="20"/>
          <w:szCs w:val="20"/>
        </w:rPr>
        <w:t xml:space="preserve">. = </w:t>
      </w:r>
      <w:r w:rsidR="0029154A" w:rsidRPr="00FF3C31">
        <w:rPr>
          <w:rFonts w:ascii="Arial" w:eastAsia="Times New Roman" w:hAnsi="Arial" w:cs="Arial"/>
          <w:sz w:val="20"/>
          <w:szCs w:val="20"/>
        </w:rPr>
        <w:t>100</w:t>
      </w:r>
      <w:r w:rsidRPr="00FF3C31">
        <w:rPr>
          <w:rFonts w:ascii="Arial" w:eastAsia="Times New Roman" w:hAnsi="Arial" w:cs="Arial"/>
          <w:sz w:val="20"/>
          <w:szCs w:val="20"/>
        </w:rPr>
        <w:t>%, za 202</w:t>
      </w:r>
      <w:r w:rsidR="0050112A">
        <w:rPr>
          <w:rFonts w:ascii="Arial" w:eastAsia="Times New Roman" w:hAnsi="Arial" w:cs="Arial"/>
          <w:sz w:val="20"/>
          <w:szCs w:val="20"/>
        </w:rPr>
        <w:t>7</w:t>
      </w:r>
      <w:r w:rsidRPr="00FF3C31">
        <w:rPr>
          <w:rFonts w:ascii="Arial" w:eastAsia="Times New Roman" w:hAnsi="Arial" w:cs="Arial"/>
          <w:sz w:val="20"/>
          <w:szCs w:val="20"/>
        </w:rPr>
        <w:t>. = 100%</w:t>
      </w:r>
    </w:p>
    <w:p w14:paraId="6E926518"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013D3326" w14:textId="4AFA7D57" w:rsidR="00B20566" w:rsidRPr="00720A0C" w:rsidRDefault="00FD787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N</w:t>
      </w:r>
      <w:r w:rsidR="00B20566" w:rsidRPr="00720A0C">
        <w:rPr>
          <w:rFonts w:ascii="Arial" w:eastAsia="Times New Roman" w:hAnsi="Arial" w:cs="Arial"/>
          <w:sz w:val="18"/>
          <w:szCs w:val="18"/>
        </w:rPr>
        <w:t xml:space="preserve">ositelj projekta je društvo u vlasništvu Općine, Konavosko komunalno društvo d.o.o. Međutim, navedeno bi se sufinanciralo iz sredstava javnog isporučitelja (Konavosko komunalno društvo d.o.o.), sufinanciranjem Hrvatskih voda, sredstvima Općine do 20%. </w:t>
      </w:r>
    </w:p>
    <w:p w14:paraId="23DFDBCC"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78D36411" w14:textId="5BED579B" w:rsidR="00F051A5" w:rsidRPr="00720A0C" w:rsidRDefault="00B20566" w:rsidP="00F051A5">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Procijenjena vrijednost ukupne investicije </w:t>
      </w:r>
      <w:r w:rsidR="00D471AD" w:rsidRPr="00720A0C">
        <w:rPr>
          <w:rFonts w:ascii="Arial" w:eastAsia="Times New Roman" w:hAnsi="Arial" w:cs="Arial"/>
          <w:sz w:val="18"/>
          <w:szCs w:val="18"/>
        </w:rPr>
        <w:t>ranijih godina je bila</w:t>
      </w:r>
      <w:r w:rsidRPr="00720A0C">
        <w:rPr>
          <w:rFonts w:ascii="Arial" w:eastAsia="Times New Roman" w:hAnsi="Arial" w:cs="Arial"/>
          <w:sz w:val="18"/>
          <w:szCs w:val="18"/>
        </w:rPr>
        <w:t xml:space="preserve"> 15.000.000 kn</w:t>
      </w:r>
      <w:r w:rsidR="00CC06CD" w:rsidRPr="00720A0C">
        <w:rPr>
          <w:rFonts w:ascii="Arial" w:eastAsia="Times New Roman" w:hAnsi="Arial" w:cs="Arial"/>
          <w:sz w:val="18"/>
          <w:szCs w:val="18"/>
        </w:rPr>
        <w:t xml:space="preserve"> / 1.990.842,13 €</w:t>
      </w:r>
      <w:r w:rsidRPr="00720A0C">
        <w:rPr>
          <w:rFonts w:ascii="Arial" w:eastAsia="Times New Roman" w:hAnsi="Arial" w:cs="Arial"/>
          <w:sz w:val="18"/>
          <w:szCs w:val="18"/>
        </w:rPr>
        <w:t xml:space="preserve">. </w:t>
      </w:r>
      <w:r w:rsidR="00F051A5" w:rsidRPr="00720A0C">
        <w:rPr>
          <w:rFonts w:ascii="Arial" w:eastAsia="Times New Roman" w:hAnsi="Arial" w:cs="Arial"/>
          <w:sz w:val="18"/>
          <w:szCs w:val="18"/>
        </w:rPr>
        <w:t xml:space="preserve">U proračunu Općine će se iskazivati samo dio investicije koji se sufinancira sredstvima iz proračuna, dok se sredstva Hrvatskih voda isplaćuju nositelju projekta, sukladno zaključenim godišnjim ugovorima. </w:t>
      </w:r>
    </w:p>
    <w:p w14:paraId="5DFFF448" w14:textId="60B2E95E"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45A16895" w14:textId="77777777" w:rsidR="00B20566" w:rsidRPr="00720A0C" w:rsidRDefault="00B20566">
      <w:pPr>
        <w:numPr>
          <w:ilvl w:val="0"/>
          <w:numId w:val="7"/>
        </w:num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b/>
          <w:sz w:val="18"/>
          <w:szCs w:val="18"/>
          <w:u w:val="single"/>
        </w:rPr>
        <w:t>Lokacijska dozvola</w:t>
      </w:r>
      <w:r w:rsidRPr="00720A0C">
        <w:rPr>
          <w:rFonts w:ascii="Arial" w:eastAsia="Times New Roman" w:hAnsi="Arial" w:cs="Arial"/>
          <w:sz w:val="18"/>
          <w:szCs w:val="18"/>
        </w:rPr>
        <w:t xml:space="preserve"> za Molunat; KLASA: UP/I-350-05/15-01/000034; URBROJ:2117/1-23/1-2-17-11, Dubrovnik, 10.03.2017. PRAVOMOĆNA 17.11.2017.</w:t>
      </w:r>
    </w:p>
    <w:p w14:paraId="5C360673" w14:textId="77777777" w:rsidR="00B20566" w:rsidRPr="00720A0C" w:rsidRDefault="00B20566">
      <w:pPr>
        <w:numPr>
          <w:ilvl w:val="0"/>
          <w:numId w:val="4"/>
        </w:num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b/>
          <w:sz w:val="18"/>
          <w:szCs w:val="18"/>
          <w:u w:val="single"/>
        </w:rPr>
        <w:t>Građevinska dozvola</w:t>
      </w:r>
      <w:r w:rsidRPr="00720A0C">
        <w:rPr>
          <w:rFonts w:ascii="Arial" w:eastAsia="Times New Roman" w:hAnsi="Arial" w:cs="Arial"/>
          <w:sz w:val="18"/>
          <w:szCs w:val="18"/>
        </w:rPr>
        <w:t xml:space="preserve">, KLASA: UP/I-361-03/18-01/000081, URBROJ:2117/1-23/1-2-18-0006, Dubrovnik, 5.7.2018. PRAVOMOĆNA 2.8.2018. Dubrovačko-neretvanska županija, Upravni odjel za prostorno uređenje i gradnju izdalo je: građevinsku dozvolu za fazno građenje građevine infrastrukturne namjene, sustav odvodnje otpadnih voda i vodoopskrbnog sustava, sve u trupu javnih prometnica kroz naselje Molunat. </w:t>
      </w:r>
    </w:p>
    <w:p w14:paraId="1FA26051"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3355C48A" w14:textId="05D05A82" w:rsidR="00B20566" w:rsidRPr="00720A0C" w:rsidRDefault="00B20566" w:rsidP="00B20566">
      <w:pPr>
        <w:spacing w:after="0" w:line="240" w:lineRule="auto"/>
        <w:jc w:val="both"/>
        <w:rPr>
          <w:rFonts w:ascii="Arial" w:eastAsia="Calibri" w:hAnsi="Arial" w:cs="Arial"/>
          <w:sz w:val="18"/>
          <w:szCs w:val="18"/>
        </w:rPr>
      </w:pPr>
      <w:r w:rsidRPr="00720A0C">
        <w:rPr>
          <w:rFonts w:ascii="Arial" w:eastAsia="Calibri" w:hAnsi="Arial" w:cs="Arial"/>
          <w:sz w:val="18"/>
          <w:szCs w:val="18"/>
        </w:rPr>
        <w:t>Tijekom 2018. rashodi su izvršeni u iznosu 117.430,08 kn</w:t>
      </w:r>
      <w:r w:rsidR="00CC06CD" w:rsidRPr="00720A0C">
        <w:rPr>
          <w:rFonts w:ascii="Arial" w:eastAsia="Calibri" w:hAnsi="Arial" w:cs="Arial"/>
          <w:sz w:val="18"/>
          <w:szCs w:val="18"/>
        </w:rPr>
        <w:t xml:space="preserve"> / 15.585,65 €</w:t>
      </w:r>
      <w:r w:rsidRPr="00720A0C">
        <w:rPr>
          <w:rFonts w:ascii="Arial" w:eastAsia="Calibri" w:hAnsi="Arial" w:cs="Arial"/>
          <w:sz w:val="18"/>
          <w:szCs w:val="18"/>
        </w:rPr>
        <w:t>. Ovi rashodi se odnose na prijenose komunalnom društvu u vlasništvu u obliku izdataka za udjele u glavnici i to za:</w:t>
      </w:r>
    </w:p>
    <w:p w14:paraId="7C61B60D" w14:textId="325FDE8F" w:rsidR="00B20566" w:rsidRPr="00720A0C" w:rsidRDefault="00B20566" w:rsidP="00B20566">
      <w:pPr>
        <w:spacing w:after="0" w:line="240" w:lineRule="auto"/>
        <w:jc w:val="both"/>
        <w:rPr>
          <w:rFonts w:ascii="Arial" w:eastAsia="Calibri" w:hAnsi="Arial" w:cs="Arial"/>
          <w:sz w:val="18"/>
          <w:szCs w:val="18"/>
        </w:rPr>
      </w:pPr>
      <w:r w:rsidRPr="00720A0C">
        <w:rPr>
          <w:rFonts w:ascii="Arial" w:eastAsia="Calibri" w:hAnsi="Arial" w:cs="Arial"/>
          <w:sz w:val="18"/>
          <w:szCs w:val="18"/>
        </w:rPr>
        <w:t>- otkup dijela čestice zemljišta od 9 fizičkih osoba za potrebe izgradnje kanalizacijskog sustava u k.o. Đurinići (7,51 EUR/m²) u iznosu 8.751,66 kn</w:t>
      </w:r>
      <w:r w:rsidR="00CC06CD" w:rsidRPr="00720A0C">
        <w:rPr>
          <w:rFonts w:ascii="Arial" w:eastAsia="Calibri" w:hAnsi="Arial" w:cs="Arial"/>
          <w:sz w:val="18"/>
          <w:szCs w:val="18"/>
        </w:rPr>
        <w:t xml:space="preserve"> / 1.161,54 €</w:t>
      </w:r>
      <w:r w:rsidRPr="00720A0C">
        <w:rPr>
          <w:rFonts w:ascii="Arial" w:eastAsia="Calibri" w:hAnsi="Arial" w:cs="Arial"/>
          <w:sz w:val="18"/>
          <w:szCs w:val="18"/>
        </w:rPr>
        <w:t>, a na temelju zahtjeva i ovjerenih kupoprodajnih ugovora, te procjene vrijednosti nekretnine;</w:t>
      </w:r>
    </w:p>
    <w:p w14:paraId="4B91FB58" w14:textId="082C54B7" w:rsidR="00B20566" w:rsidRPr="00720A0C" w:rsidRDefault="00B20566" w:rsidP="00B20566">
      <w:pPr>
        <w:spacing w:after="0" w:line="240" w:lineRule="auto"/>
        <w:jc w:val="both"/>
        <w:rPr>
          <w:rFonts w:ascii="Arial" w:eastAsia="Calibri" w:hAnsi="Arial" w:cs="Arial"/>
          <w:sz w:val="18"/>
          <w:szCs w:val="18"/>
        </w:rPr>
      </w:pPr>
      <w:r w:rsidRPr="00720A0C">
        <w:rPr>
          <w:rFonts w:ascii="Arial" w:eastAsia="Calibri" w:hAnsi="Arial" w:cs="Arial"/>
          <w:sz w:val="18"/>
          <w:szCs w:val="18"/>
        </w:rPr>
        <w:lastRenderedPageBreak/>
        <w:t xml:space="preserve">- rashode u iznosu 50.221,08 kn </w:t>
      </w:r>
      <w:r w:rsidR="00CC06CD" w:rsidRPr="00720A0C">
        <w:rPr>
          <w:rFonts w:ascii="Arial" w:eastAsia="Calibri" w:hAnsi="Arial" w:cs="Arial"/>
          <w:sz w:val="18"/>
          <w:szCs w:val="18"/>
        </w:rPr>
        <w:t xml:space="preserve">/ 6.665,48 € </w:t>
      </w:r>
      <w:r w:rsidRPr="00720A0C">
        <w:rPr>
          <w:rFonts w:ascii="Arial" w:eastAsia="Calibri" w:hAnsi="Arial" w:cs="Arial"/>
          <w:sz w:val="18"/>
          <w:szCs w:val="18"/>
        </w:rPr>
        <w:t>za priključenje tri fekalne crpne stanice u Moluntu na distribucijsku mrežu a temeljem prethodne elektroenergetske suglasnosti na temelju ugovora o priključenju, zahtjeva društva i odluke načelnika,</w:t>
      </w:r>
    </w:p>
    <w:p w14:paraId="3A644B17" w14:textId="58062F2E" w:rsidR="00B20566" w:rsidRPr="00720A0C" w:rsidRDefault="00B20566" w:rsidP="00B20566">
      <w:pPr>
        <w:spacing w:after="0" w:line="240" w:lineRule="auto"/>
        <w:jc w:val="both"/>
        <w:rPr>
          <w:rFonts w:ascii="Arial" w:eastAsia="Calibri" w:hAnsi="Arial" w:cs="Arial"/>
          <w:sz w:val="18"/>
          <w:szCs w:val="18"/>
        </w:rPr>
      </w:pPr>
      <w:r w:rsidRPr="00720A0C">
        <w:rPr>
          <w:rFonts w:ascii="Arial" w:eastAsia="Calibri" w:hAnsi="Arial" w:cs="Arial"/>
          <w:sz w:val="18"/>
          <w:szCs w:val="18"/>
        </w:rPr>
        <w:t>- rashode na temelju prve privremene situacije o obavljenim radovima u iznosu 54.957,34 kn</w:t>
      </w:r>
      <w:r w:rsidR="00CC06CD" w:rsidRPr="00720A0C">
        <w:rPr>
          <w:rFonts w:ascii="Arial" w:eastAsia="Calibri" w:hAnsi="Arial" w:cs="Arial"/>
          <w:sz w:val="18"/>
          <w:szCs w:val="18"/>
        </w:rPr>
        <w:t xml:space="preserve"> / 7.294,09 €</w:t>
      </w:r>
      <w:r w:rsidRPr="00720A0C">
        <w:rPr>
          <w:rFonts w:ascii="Arial" w:eastAsia="Calibri" w:hAnsi="Arial" w:cs="Arial"/>
          <w:sz w:val="18"/>
          <w:szCs w:val="18"/>
        </w:rPr>
        <w:t xml:space="preserve">, </w:t>
      </w:r>
    </w:p>
    <w:p w14:paraId="34A18F51" w14:textId="35AB2EC7" w:rsidR="00B20566" w:rsidRPr="00720A0C" w:rsidRDefault="00B20566" w:rsidP="00B20566">
      <w:pPr>
        <w:spacing w:after="0" w:line="240" w:lineRule="auto"/>
        <w:jc w:val="both"/>
        <w:rPr>
          <w:rFonts w:ascii="Arial" w:eastAsia="Calibri" w:hAnsi="Arial" w:cs="Arial"/>
          <w:sz w:val="18"/>
          <w:szCs w:val="18"/>
        </w:rPr>
      </w:pPr>
      <w:r w:rsidRPr="00720A0C">
        <w:rPr>
          <w:rFonts w:ascii="Arial" w:eastAsia="Calibri" w:hAnsi="Arial" w:cs="Arial"/>
          <w:sz w:val="18"/>
          <w:szCs w:val="18"/>
        </w:rPr>
        <w:t>- te za usluge koordinatora zaštite na radu u iznosu 3.500 kn</w:t>
      </w:r>
      <w:r w:rsidR="00CC06CD" w:rsidRPr="00720A0C">
        <w:rPr>
          <w:rFonts w:ascii="Arial" w:eastAsia="Calibri" w:hAnsi="Arial" w:cs="Arial"/>
          <w:sz w:val="18"/>
          <w:szCs w:val="18"/>
        </w:rPr>
        <w:t xml:space="preserve"> / 464,53 €</w:t>
      </w:r>
      <w:r w:rsidRPr="00720A0C">
        <w:rPr>
          <w:rFonts w:ascii="Arial" w:eastAsia="Calibri" w:hAnsi="Arial" w:cs="Arial"/>
          <w:sz w:val="18"/>
          <w:szCs w:val="18"/>
        </w:rPr>
        <w:t xml:space="preserve">. </w:t>
      </w:r>
    </w:p>
    <w:p w14:paraId="3503E7B9" w14:textId="5FDCF416" w:rsidR="00B20566" w:rsidRPr="00720A0C" w:rsidRDefault="00B20566" w:rsidP="00B20566">
      <w:pPr>
        <w:spacing w:after="0" w:line="240" w:lineRule="auto"/>
        <w:jc w:val="both"/>
        <w:rPr>
          <w:rFonts w:ascii="Arial" w:eastAsia="Calibri" w:hAnsi="Arial" w:cs="Arial"/>
          <w:sz w:val="18"/>
          <w:szCs w:val="18"/>
        </w:rPr>
      </w:pPr>
    </w:p>
    <w:p w14:paraId="71DD811E" w14:textId="3FEC1029"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Početkom kolovoza 2018. je objavljen otvoreni postupak javne nabave za izgradnju kanalizacijskog i vodovodnog sustava Molunat. Procijenjena vrijednost nabave je </w:t>
      </w:r>
      <w:r w:rsidR="00D471AD" w:rsidRPr="00720A0C">
        <w:rPr>
          <w:rFonts w:ascii="Arial" w:eastAsia="Times New Roman" w:hAnsi="Arial" w:cs="Arial"/>
          <w:sz w:val="18"/>
          <w:szCs w:val="18"/>
        </w:rPr>
        <w:t xml:space="preserve">bila </w:t>
      </w:r>
      <w:r w:rsidRPr="00720A0C">
        <w:rPr>
          <w:rFonts w:ascii="Arial" w:eastAsia="Times New Roman" w:hAnsi="Arial" w:cs="Arial"/>
          <w:sz w:val="18"/>
          <w:szCs w:val="18"/>
        </w:rPr>
        <w:t>13.200.000 kn, bez poreza na dodanu vrijednost</w:t>
      </w:r>
      <w:r w:rsidR="00CC06CD" w:rsidRPr="00720A0C">
        <w:rPr>
          <w:rFonts w:ascii="Arial" w:eastAsia="Times New Roman" w:hAnsi="Arial" w:cs="Arial"/>
          <w:sz w:val="18"/>
          <w:szCs w:val="18"/>
        </w:rPr>
        <w:t xml:space="preserve"> / 1.751.941,07 €</w:t>
      </w:r>
      <w:r w:rsidRPr="00720A0C">
        <w:rPr>
          <w:rFonts w:ascii="Arial" w:eastAsia="Times New Roman" w:hAnsi="Arial" w:cs="Arial"/>
          <w:sz w:val="18"/>
          <w:szCs w:val="18"/>
        </w:rPr>
        <w:t xml:space="preserve">. Pretpostavljeno je da se radovi sufinanciraju 80% Hrvatske vode i 20% Općina Konavle. </w:t>
      </w:r>
    </w:p>
    <w:p w14:paraId="59AF3EBA"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330655E4" w14:textId="20691CD4"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b/>
          <w:sz w:val="18"/>
          <w:szCs w:val="18"/>
        </w:rPr>
        <w:t>Ugovor o izvođenju radova na izgradnji cjevovoda za vodoopskrbu i odvodnju u naselju Molunat u i</w:t>
      </w:r>
      <w:r w:rsidRPr="00720A0C">
        <w:rPr>
          <w:rFonts w:ascii="Arial" w:eastAsia="Times New Roman" w:hAnsi="Arial" w:cs="Arial"/>
          <w:sz w:val="18"/>
          <w:szCs w:val="18"/>
        </w:rPr>
        <w:t xml:space="preserve">znosu od </w:t>
      </w:r>
      <w:r w:rsidRPr="00720A0C">
        <w:rPr>
          <w:rFonts w:ascii="Arial" w:eastAsia="Times New Roman" w:hAnsi="Arial" w:cs="Arial"/>
          <w:b/>
          <w:sz w:val="18"/>
          <w:szCs w:val="18"/>
        </w:rPr>
        <w:t>12.198.240,78 kn</w:t>
      </w:r>
      <w:r w:rsidRPr="00720A0C">
        <w:rPr>
          <w:rFonts w:ascii="Arial" w:eastAsia="Times New Roman" w:hAnsi="Arial" w:cs="Arial"/>
          <w:sz w:val="18"/>
          <w:szCs w:val="18"/>
        </w:rPr>
        <w:t xml:space="preserve">, bez poreza na dodanu vrijednost </w:t>
      </w:r>
      <w:r w:rsidR="00CC06CD" w:rsidRPr="00720A0C">
        <w:rPr>
          <w:rFonts w:ascii="Arial" w:eastAsia="Times New Roman" w:hAnsi="Arial" w:cs="Arial"/>
          <w:sz w:val="18"/>
          <w:szCs w:val="18"/>
        </w:rPr>
        <w:t xml:space="preserve">/ 1.618.984,77 €, </w:t>
      </w:r>
      <w:r w:rsidRPr="00720A0C">
        <w:rPr>
          <w:rFonts w:ascii="Arial" w:eastAsia="Times New Roman" w:hAnsi="Arial" w:cs="Arial"/>
          <w:sz w:val="18"/>
          <w:szCs w:val="18"/>
        </w:rPr>
        <w:t xml:space="preserve">zaključen je 24. listopada 2018. </w:t>
      </w:r>
    </w:p>
    <w:p w14:paraId="1519CA06"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1967F284" w14:textId="06B9C9C6"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Dakle, komunalno društvo je u listopadu 2018., na temelju provedenog otvorenog postupka javne nabave i odluke o odabiru najpovoljnije ponude zaključilo ugovor sa izvođačem Dubrovnik ceste d.d. </w:t>
      </w:r>
      <w:bookmarkStart w:id="792" w:name="_Hlk79496678"/>
      <w:r w:rsidRPr="00720A0C">
        <w:rPr>
          <w:rFonts w:ascii="Arial" w:eastAsia="Times New Roman" w:hAnsi="Arial" w:cs="Arial"/>
          <w:sz w:val="18"/>
          <w:szCs w:val="18"/>
        </w:rPr>
        <w:t xml:space="preserve">(nositelj radova izvođenja, a ugovorom je utvrđeno još 5 podizvoditelja za pojedine vrste poslova: Geomodus d.o.o. Dubrovnik, Mani-co d.o.o. Dubrovnik, G.P.P. Mikić d.o.o. Omišalj, Elmap d.o.o. Podstrana, Pomak control d.o.o. Split) u iznosu 12.198.240,78 kn </w:t>
      </w:r>
      <w:r w:rsidR="00CC06CD" w:rsidRPr="00720A0C">
        <w:rPr>
          <w:rFonts w:ascii="Arial" w:eastAsia="Times New Roman" w:hAnsi="Arial" w:cs="Arial"/>
          <w:sz w:val="18"/>
          <w:szCs w:val="18"/>
        </w:rPr>
        <w:t xml:space="preserve">/ 1.618.984,77 € </w:t>
      </w:r>
      <w:r w:rsidRPr="00720A0C">
        <w:rPr>
          <w:rFonts w:ascii="Arial" w:eastAsia="Times New Roman" w:hAnsi="Arial" w:cs="Arial"/>
          <w:sz w:val="18"/>
          <w:szCs w:val="18"/>
        </w:rPr>
        <w:t>što s PDV-om čini 15.247.800,98 kn</w:t>
      </w:r>
      <w:r w:rsidR="00CC06CD" w:rsidRPr="00720A0C">
        <w:rPr>
          <w:rFonts w:ascii="Arial" w:eastAsia="Times New Roman" w:hAnsi="Arial" w:cs="Arial"/>
          <w:sz w:val="18"/>
          <w:szCs w:val="18"/>
        </w:rPr>
        <w:t xml:space="preserve"> / 2.023.730,97 €</w:t>
      </w:r>
      <w:r w:rsidRPr="00720A0C">
        <w:rPr>
          <w:rFonts w:ascii="Arial" w:eastAsia="Times New Roman" w:hAnsi="Arial" w:cs="Arial"/>
          <w:sz w:val="18"/>
          <w:szCs w:val="18"/>
        </w:rPr>
        <w:t>. Ugovorom je utvrđen iznos radova svakog podizvoditelja, s time da najznačajniji udjel radova ima podizvoditelj Mani-co d.o.o. Dubrovnik za 70,3% pripremnih, zemljanih, betonskih, kanalizacijskih, vodovodnih, bravarskih i završnih radova u vrijednosti 8.575.151,52 kn bez PDV-a</w:t>
      </w:r>
      <w:r w:rsidR="00CC06CD" w:rsidRPr="00720A0C">
        <w:rPr>
          <w:rFonts w:ascii="Arial" w:eastAsia="Times New Roman" w:hAnsi="Arial" w:cs="Arial"/>
          <w:sz w:val="18"/>
          <w:szCs w:val="18"/>
        </w:rPr>
        <w:t xml:space="preserve"> / 1.138.118,19 €</w:t>
      </w:r>
      <w:r w:rsidRPr="00720A0C">
        <w:rPr>
          <w:rFonts w:ascii="Arial" w:eastAsia="Times New Roman" w:hAnsi="Arial" w:cs="Arial"/>
          <w:sz w:val="18"/>
          <w:szCs w:val="18"/>
        </w:rPr>
        <w:t>.</w:t>
      </w:r>
    </w:p>
    <w:bookmarkEnd w:id="792"/>
    <w:p w14:paraId="43CF7D7B"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0A0DB51F"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Ugovoreno je izvođenje radova unutar 36 mjeseci, s time da je izvođač obvezan usuglasiti dinamiku izvođenja radova sukladno mogućnostima bez dodatnih troškova neovisno dolazi li do privremenog prekida radova. Ukupna cijena radova je fiksna i nepromjenljiva s bilo koje osnove. Jamstvo za uredno ispunjenje ugovora je bankarska garancija plativa na prvi poziv i bez prigovora u iznosu 10% ugovorene cijene bez PDV-a. Izvođač jamči i osigurava da na građevini neće nastati nikakvi nedostaci u dvogodišnjem roku od trenutka zapisničke primopredaje građevine. Za solidnost sanacije postojećih konstrukcija i solidnost novoizgrađene građevine daje se jamstveni rok 10 godina. Izvođač je obvezan društvu (naručitelju) dostaviti jamstvo za otklanjanje nedostataka u jamstvenom roku na period od dvije godine u obliku bankarske garancije na iznos od 5% ugovorenog iznosa PDV-a. Kazna za svaki dan kašnjenja u izvođenju radove prema detaljnom dinamičkom planu je 5 promila s time da je maksimalni iznos ugovorene kazne 10% ugovorene kazne ne može prijeći 10% ugovorene vrijednosti radova s PDV-om.</w:t>
      </w:r>
    </w:p>
    <w:p w14:paraId="4AEA2D25" w14:textId="32B43B82" w:rsidR="00B20566" w:rsidRPr="00720A0C" w:rsidRDefault="00B20566" w:rsidP="00B20566">
      <w:pPr>
        <w:autoSpaceDE w:val="0"/>
        <w:autoSpaceDN w:val="0"/>
        <w:adjustRightInd w:val="0"/>
        <w:spacing w:after="0" w:line="240" w:lineRule="auto"/>
        <w:jc w:val="both"/>
        <w:rPr>
          <w:rFonts w:ascii="Arial" w:eastAsia="Calibri" w:hAnsi="Arial" w:cs="Arial"/>
          <w:sz w:val="18"/>
          <w:szCs w:val="18"/>
        </w:rPr>
      </w:pPr>
      <w:r w:rsidRPr="00720A0C">
        <w:rPr>
          <w:rFonts w:ascii="Arial" w:eastAsia="Times New Roman" w:hAnsi="Arial" w:cs="Arial"/>
          <w:sz w:val="18"/>
          <w:szCs w:val="18"/>
        </w:rPr>
        <w:t xml:space="preserve">Prema ugovoru od 15. studenoga 2018. </w:t>
      </w:r>
      <w:r w:rsidRPr="00720A0C">
        <w:rPr>
          <w:rFonts w:ascii="Arial" w:eastAsia="Times New Roman" w:hAnsi="Arial" w:cs="Arial"/>
          <w:b/>
          <w:sz w:val="18"/>
          <w:szCs w:val="18"/>
        </w:rPr>
        <w:t>stručni nadzor</w:t>
      </w:r>
      <w:r w:rsidRPr="00720A0C">
        <w:rPr>
          <w:rFonts w:ascii="Arial" w:eastAsia="Times New Roman" w:hAnsi="Arial" w:cs="Arial"/>
          <w:sz w:val="18"/>
          <w:szCs w:val="18"/>
        </w:rPr>
        <w:t xml:space="preserve"> je ured ovlaštenog inženjera građevinarstva Ivana Mucić u iznosu 195.000 kn</w:t>
      </w:r>
      <w:r w:rsidR="00CC06CD" w:rsidRPr="00720A0C">
        <w:rPr>
          <w:rFonts w:ascii="Arial" w:eastAsia="Times New Roman" w:hAnsi="Arial" w:cs="Arial"/>
          <w:sz w:val="18"/>
          <w:szCs w:val="18"/>
        </w:rPr>
        <w:t xml:space="preserve"> / 25.880,95 €</w:t>
      </w:r>
      <w:r w:rsidRPr="00720A0C">
        <w:rPr>
          <w:rFonts w:ascii="Arial" w:eastAsia="Times New Roman" w:hAnsi="Arial" w:cs="Arial"/>
          <w:sz w:val="18"/>
          <w:szCs w:val="18"/>
        </w:rPr>
        <w:t>, bez poreza na dodanu vrijednost (243.750 kn s PDV-om</w:t>
      </w:r>
      <w:r w:rsidR="00CC06CD" w:rsidRPr="00720A0C">
        <w:rPr>
          <w:rFonts w:ascii="Arial" w:eastAsia="Times New Roman" w:hAnsi="Arial" w:cs="Arial"/>
          <w:sz w:val="18"/>
          <w:szCs w:val="18"/>
        </w:rPr>
        <w:t xml:space="preserve"> / 32.351,18 €</w:t>
      </w:r>
      <w:r w:rsidRPr="00720A0C">
        <w:rPr>
          <w:rFonts w:ascii="Arial" w:eastAsia="Times New Roman" w:hAnsi="Arial" w:cs="Arial"/>
          <w:sz w:val="18"/>
          <w:szCs w:val="18"/>
        </w:rPr>
        <w:t xml:space="preserve">). </w:t>
      </w:r>
      <w:r w:rsidRPr="00720A0C">
        <w:rPr>
          <w:rFonts w:ascii="Arial" w:eastAsia="Calibri" w:hAnsi="Arial" w:cs="Arial"/>
          <w:sz w:val="18"/>
          <w:szCs w:val="18"/>
        </w:rPr>
        <w:t xml:space="preserve">Usluge </w:t>
      </w:r>
      <w:r w:rsidRPr="00720A0C">
        <w:rPr>
          <w:rFonts w:ascii="Arial" w:eastAsia="Calibri" w:hAnsi="Arial" w:cs="Arial"/>
          <w:b/>
          <w:sz w:val="18"/>
          <w:szCs w:val="18"/>
        </w:rPr>
        <w:t>koordinatora zaštite na radu</w:t>
      </w:r>
      <w:r w:rsidRPr="00720A0C">
        <w:rPr>
          <w:rFonts w:ascii="Arial" w:eastAsia="Calibri" w:hAnsi="Arial" w:cs="Arial"/>
          <w:sz w:val="18"/>
          <w:szCs w:val="18"/>
        </w:rPr>
        <w:t xml:space="preserve"> su utvrđene u iznosu 3.500 kn, mjesečno, bez PDV-a</w:t>
      </w:r>
      <w:r w:rsidR="00CC06CD" w:rsidRPr="00720A0C">
        <w:rPr>
          <w:rFonts w:ascii="Arial" w:eastAsia="Calibri" w:hAnsi="Arial" w:cs="Arial"/>
          <w:sz w:val="18"/>
          <w:szCs w:val="18"/>
        </w:rPr>
        <w:t xml:space="preserve"> / 464,53 €</w:t>
      </w:r>
      <w:r w:rsidRPr="00720A0C">
        <w:rPr>
          <w:rFonts w:ascii="Arial" w:eastAsia="Calibri" w:hAnsi="Arial" w:cs="Arial"/>
          <w:sz w:val="18"/>
          <w:szCs w:val="18"/>
        </w:rPr>
        <w:t xml:space="preserve">. </w:t>
      </w:r>
    </w:p>
    <w:p w14:paraId="14D2B7D7"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72E36CF3"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Izvoditelj je uveden u posao te su </w:t>
      </w:r>
      <w:r w:rsidRPr="00720A0C">
        <w:rPr>
          <w:rFonts w:ascii="Arial" w:eastAsia="Times New Roman" w:hAnsi="Arial" w:cs="Arial"/>
          <w:b/>
          <w:sz w:val="18"/>
          <w:szCs w:val="18"/>
        </w:rPr>
        <w:t>radovi započeli 5.11.2018.</w:t>
      </w:r>
      <w:r w:rsidRPr="00720A0C">
        <w:rPr>
          <w:rFonts w:ascii="Arial" w:eastAsia="Times New Roman" w:hAnsi="Arial" w:cs="Arial"/>
          <w:sz w:val="18"/>
          <w:szCs w:val="18"/>
        </w:rPr>
        <w:t xml:space="preserve"> što je upisano u građevinski dnevnik.</w:t>
      </w:r>
    </w:p>
    <w:p w14:paraId="19D788D0"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7CA841A4" w14:textId="6458B33A"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Izvoditelj je koncem studenoga 2018. ispostavio </w:t>
      </w:r>
      <w:r w:rsidRPr="00720A0C">
        <w:rPr>
          <w:rFonts w:ascii="Arial" w:eastAsia="Times New Roman" w:hAnsi="Arial" w:cs="Arial"/>
          <w:b/>
          <w:sz w:val="18"/>
          <w:szCs w:val="18"/>
        </w:rPr>
        <w:t>prvu</w:t>
      </w:r>
      <w:r w:rsidRPr="00720A0C">
        <w:rPr>
          <w:rFonts w:ascii="Arial" w:eastAsia="Times New Roman" w:hAnsi="Arial" w:cs="Arial"/>
          <w:sz w:val="18"/>
          <w:szCs w:val="18"/>
        </w:rPr>
        <w:t xml:space="preserve"> privremenu situaciju u iznosu 250.945,74 kn, bez poreza na dodanu vrijednost</w:t>
      </w:r>
      <w:r w:rsidR="00CC06CD" w:rsidRPr="00720A0C">
        <w:rPr>
          <w:rFonts w:ascii="Arial" w:eastAsia="Times New Roman" w:hAnsi="Arial" w:cs="Arial"/>
          <w:sz w:val="18"/>
          <w:szCs w:val="18"/>
        </w:rPr>
        <w:t xml:space="preserve"> / 33.306,22 €</w:t>
      </w:r>
      <w:r w:rsidRPr="00720A0C">
        <w:rPr>
          <w:rFonts w:ascii="Arial" w:eastAsia="Times New Roman" w:hAnsi="Arial" w:cs="Arial"/>
          <w:sz w:val="18"/>
          <w:szCs w:val="18"/>
        </w:rPr>
        <w:t>. Za obavljanje stručnog nadzora nad izvođenjem radova ispostavljen je račun u iznosu 4.011,60 kn</w:t>
      </w:r>
      <w:r w:rsidR="00CC06CD" w:rsidRPr="00720A0C">
        <w:rPr>
          <w:rFonts w:ascii="Arial" w:eastAsia="Times New Roman" w:hAnsi="Arial" w:cs="Arial"/>
          <w:sz w:val="18"/>
          <w:szCs w:val="18"/>
        </w:rPr>
        <w:t xml:space="preserve"> / 532,43 €</w:t>
      </w:r>
      <w:r w:rsidRPr="00720A0C">
        <w:rPr>
          <w:rFonts w:ascii="Arial" w:eastAsia="Times New Roman" w:hAnsi="Arial" w:cs="Arial"/>
          <w:sz w:val="18"/>
          <w:szCs w:val="18"/>
        </w:rPr>
        <w:t>, bez poreza na dodanu vrijednost. Na temelju ovjerene prve privremene situacije o izvedenim radovima i računa za nadzor, zahtjeva za odobrenje sredstava i odluke općinskog načelnika, Općina je društvu u prosincu 2018. doznačila sredstva u iznosu 54.957,34 kn</w:t>
      </w:r>
      <w:r w:rsidR="00CC06CD" w:rsidRPr="00720A0C">
        <w:rPr>
          <w:rFonts w:ascii="Arial" w:eastAsia="Times New Roman" w:hAnsi="Arial" w:cs="Arial"/>
          <w:sz w:val="18"/>
          <w:szCs w:val="18"/>
        </w:rPr>
        <w:t xml:space="preserve"> / 7.294,09 €</w:t>
      </w:r>
      <w:r w:rsidRPr="00720A0C">
        <w:rPr>
          <w:rFonts w:ascii="Arial" w:eastAsia="Times New Roman" w:hAnsi="Arial" w:cs="Arial"/>
          <w:sz w:val="18"/>
          <w:szCs w:val="18"/>
        </w:rPr>
        <w:t>, odnosno u visini 20% izvedenih radova i izvršenih usluga. Preostala sredstva za izvedene radove (80%) komunalno društvo je potraživalo od Hrvatskih voda sukladno zaključenim ugovorima o sufinanciranju. Sredstva u iznosu 200.000 kn</w:t>
      </w:r>
      <w:r w:rsidR="00CC06CD" w:rsidRPr="00720A0C">
        <w:rPr>
          <w:rFonts w:ascii="Arial" w:eastAsia="Times New Roman" w:hAnsi="Arial" w:cs="Arial"/>
          <w:sz w:val="18"/>
          <w:szCs w:val="18"/>
        </w:rPr>
        <w:t xml:space="preserve"> / 26.544,56 €</w:t>
      </w:r>
      <w:r w:rsidRPr="00720A0C">
        <w:rPr>
          <w:rFonts w:ascii="Arial" w:eastAsia="Times New Roman" w:hAnsi="Arial" w:cs="Arial"/>
          <w:sz w:val="18"/>
          <w:szCs w:val="18"/>
        </w:rPr>
        <w:t xml:space="preserve"> Hrvatske vode su doznačile za radove na kanalizaciji u prosincu 2018. (na temelju ugovora o sufinanciranju od 24.10.2018. u ukupnom iznosu 250.000 kn </w:t>
      </w:r>
      <w:r w:rsidR="00CC06CD" w:rsidRPr="00720A0C">
        <w:rPr>
          <w:rFonts w:ascii="Arial" w:eastAsia="Times New Roman" w:hAnsi="Arial" w:cs="Arial"/>
          <w:sz w:val="18"/>
          <w:szCs w:val="18"/>
        </w:rPr>
        <w:t xml:space="preserve">/ 33.180,70 € </w:t>
      </w:r>
      <w:r w:rsidRPr="00720A0C">
        <w:rPr>
          <w:rFonts w:ascii="Arial" w:eastAsia="Times New Roman" w:hAnsi="Arial" w:cs="Arial"/>
          <w:sz w:val="18"/>
          <w:szCs w:val="18"/>
        </w:rPr>
        <w:t>od čega je obveza Hrvatskih voda 200.000 kn</w:t>
      </w:r>
      <w:r w:rsidR="00CC06CD" w:rsidRPr="00720A0C">
        <w:rPr>
          <w:rFonts w:ascii="Arial" w:eastAsia="Times New Roman" w:hAnsi="Arial" w:cs="Arial"/>
          <w:sz w:val="18"/>
          <w:szCs w:val="18"/>
        </w:rPr>
        <w:t xml:space="preserve"> / 26.544,56 €</w:t>
      </w:r>
      <w:r w:rsidRPr="00720A0C">
        <w:rPr>
          <w:rFonts w:ascii="Arial" w:eastAsia="Times New Roman" w:hAnsi="Arial" w:cs="Arial"/>
          <w:sz w:val="18"/>
          <w:szCs w:val="18"/>
        </w:rPr>
        <w:t>).</w:t>
      </w:r>
    </w:p>
    <w:p w14:paraId="5DEB259D"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6FDB9513" w14:textId="434E704B"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U 2019. društvu u vlasništvu Općine su </w:t>
      </w:r>
      <w:r w:rsidRPr="00720A0C">
        <w:rPr>
          <w:rFonts w:ascii="Arial" w:eastAsia="Times New Roman" w:hAnsi="Arial" w:cs="Arial"/>
          <w:b/>
          <w:sz w:val="18"/>
          <w:szCs w:val="18"/>
        </w:rPr>
        <w:t>doznačena</w:t>
      </w:r>
      <w:r w:rsidRPr="00720A0C">
        <w:rPr>
          <w:rFonts w:ascii="Arial" w:eastAsia="Times New Roman" w:hAnsi="Arial" w:cs="Arial"/>
          <w:sz w:val="18"/>
          <w:szCs w:val="18"/>
        </w:rPr>
        <w:t xml:space="preserve"> sredstva u iznosu 396.640,81 kn </w:t>
      </w:r>
      <w:r w:rsidR="00EF57EA" w:rsidRPr="00720A0C">
        <w:rPr>
          <w:rFonts w:ascii="Arial" w:eastAsia="Times New Roman" w:hAnsi="Arial" w:cs="Arial"/>
          <w:sz w:val="18"/>
          <w:szCs w:val="18"/>
        </w:rPr>
        <w:t xml:space="preserve">/ 52.643,28 € </w:t>
      </w:r>
      <w:r w:rsidRPr="00720A0C">
        <w:rPr>
          <w:rFonts w:ascii="Arial" w:eastAsia="Times New Roman" w:hAnsi="Arial" w:cs="Arial"/>
          <w:sz w:val="18"/>
          <w:szCs w:val="18"/>
        </w:rPr>
        <w:t>koja se odnose na sredstva za radove na kanalizaciji 180.347,98 kn</w:t>
      </w:r>
      <w:r w:rsidR="00EF57EA" w:rsidRPr="00720A0C">
        <w:rPr>
          <w:rFonts w:ascii="Arial" w:eastAsia="Times New Roman" w:hAnsi="Arial" w:cs="Arial"/>
          <w:sz w:val="18"/>
          <w:szCs w:val="18"/>
        </w:rPr>
        <w:t xml:space="preserve"> / 23.936,29 €</w:t>
      </w:r>
      <w:r w:rsidRPr="00720A0C">
        <w:rPr>
          <w:rFonts w:ascii="Arial" w:eastAsia="Times New Roman" w:hAnsi="Arial" w:cs="Arial"/>
          <w:sz w:val="18"/>
          <w:szCs w:val="18"/>
        </w:rPr>
        <w:t xml:space="preserve"> i radove na vodovodu u iznosu 216.292,83 kn </w:t>
      </w:r>
      <w:r w:rsidR="00EF57EA" w:rsidRPr="00720A0C">
        <w:rPr>
          <w:rFonts w:ascii="Arial" w:eastAsia="Times New Roman" w:hAnsi="Arial" w:cs="Arial"/>
          <w:sz w:val="18"/>
          <w:szCs w:val="18"/>
        </w:rPr>
        <w:t xml:space="preserve">/ 28.706,99 € </w:t>
      </w:r>
      <w:r w:rsidRPr="00720A0C">
        <w:rPr>
          <w:rFonts w:ascii="Arial" w:eastAsia="Times New Roman" w:hAnsi="Arial" w:cs="Arial"/>
          <w:sz w:val="18"/>
          <w:szCs w:val="18"/>
        </w:rPr>
        <w:t>(udio izvedenih radova na temelju druge, treće i četvrte privremene situacije koje su iznosile 1.934.774,83 kn</w:t>
      </w:r>
      <w:r w:rsidR="00EF57EA" w:rsidRPr="00720A0C">
        <w:rPr>
          <w:rFonts w:ascii="Arial" w:eastAsia="Times New Roman" w:hAnsi="Arial" w:cs="Arial"/>
          <w:sz w:val="18"/>
          <w:szCs w:val="18"/>
        </w:rPr>
        <w:t xml:space="preserve"> / 256.788,75 €</w:t>
      </w:r>
      <w:r w:rsidRPr="00720A0C">
        <w:rPr>
          <w:rFonts w:ascii="Arial" w:eastAsia="Times New Roman" w:hAnsi="Arial" w:cs="Arial"/>
          <w:sz w:val="18"/>
          <w:szCs w:val="18"/>
        </w:rPr>
        <w:t>)</w:t>
      </w:r>
      <w:r w:rsidR="00EF57EA" w:rsidRPr="00720A0C">
        <w:rPr>
          <w:rFonts w:ascii="Arial" w:eastAsia="Times New Roman" w:hAnsi="Arial" w:cs="Arial"/>
          <w:sz w:val="18"/>
          <w:szCs w:val="18"/>
        </w:rPr>
        <w:t>.</w:t>
      </w:r>
      <w:r w:rsidRPr="00720A0C">
        <w:rPr>
          <w:rFonts w:ascii="Arial" w:eastAsia="Times New Roman" w:hAnsi="Arial" w:cs="Arial"/>
          <w:sz w:val="18"/>
          <w:szCs w:val="18"/>
        </w:rPr>
        <w:t xml:space="preserve"> U okviru radova na kanalizaciji uključeni su rashodi za usluge zaštite na radu u iznosu 3.500 kn </w:t>
      </w:r>
      <w:r w:rsidR="00EF57EA" w:rsidRPr="00720A0C">
        <w:rPr>
          <w:rFonts w:ascii="Arial" w:eastAsia="Times New Roman" w:hAnsi="Arial" w:cs="Arial"/>
          <w:sz w:val="18"/>
          <w:szCs w:val="18"/>
        </w:rPr>
        <w:t xml:space="preserve">/ 464,53 € </w:t>
      </w:r>
      <w:r w:rsidRPr="00720A0C">
        <w:rPr>
          <w:rFonts w:ascii="Arial" w:eastAsia="Times New Roman" w:hAnsi="Arial" w:cs="Arial"/>
          <w:sz w:val="18"/>
          <w:szCs w:val="18"/>
        </w:rPr>
        <w:t xml:space="preserve">i usluge nadzora 6.185,83 kn </w:t>
      </w:r>
      <w:r w:rsidR="00EF57EA" w:rsidRPr="00720A0C">
        <w:rPr>
          <w:rFonts w:ascii="Arial" w:eastAsia="Times New Roman" w:hAnsi="Arial" w:cs="Arial"/>
          <w:sz w:val="18"/>
          <w:szCs w:val="18"/>
        </w:rPr>
        <w:t xml:space="preserve">/ 821,00 € </w:t>
      </w:r>
      <w:r w:rsidRPr="00720A0C">
        <w:rPr>
          <w:rFonts w:ascii="Arial" w:eastAsia="Times New Roman" w:hAnsi="Arial" w:cs="Arial"/>
          <w:sz w:val="18"/>
          <w:szCs w:val="18"/>
        </w:rPr>
        <w:t>(udio Općine u uslugama nadzora koje ukupno u 2019. iznose 30.929,14 kn</w:t>
      </w:r>
      <w:r w:rsidR="00EF57EA" w:rsidRPr="00720A0C">
        <w:rPr>
          <w:rFonts w:ascii="Arial" w:eastAsia="Times New Roman" w:hAnsi="Arial" w:cs="Arial"/>
          <w:sz w:val="18"/>
          <w:szCs w:val="18"/>
        </w:rPr>
        <w:t xml:space="preserve"> / 4.105,00 €)</w:t>
      </w:r>
      <w:r w:rsidRPr="00720A0C">
        <w:rPr>
          <w:rFonts w:ascii="Arial" w:eastAsia="Times New Roman" w:hAnsi="Arial" w:cs="Arial"/>
          <w:sz w:val="18"/>
          <w:szCs w:val="18"/>
        </w:rPr>
        <w:t xml:space="preserve">. </w:t>
      </w:r>
    </w:p>
    <w:p w14:paraId="55F2E067"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6197BBD6" w14:textId="3159C50F"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Sveukupno izvedeni radovi, na temelju četiri ispostavljene privremene situacije iznose 2.185.720,58 kn</w:t>
      </w:r>
      <w:r w:rsidR="00EF57EA" w:rsidRPr="00720A0C">
        <w:rPr>
          <w:rFonts w:ascii="Arial" w:eastAsia="Times New Roman" w:hAnsi="Arial" w:cs="Arial"/>
          <w:sz w:val="18"/>
          <w:szCs w:val="18"/>
        </w:rPr>
        <w:t xml:space="preserve"> / 290.094,97 €</w:t>
      </w:r>
      <w:r w:rsidRPr="00720A0C">
        <w:rPr>
          <w:rFonts w:ascii="Arial" w:eastAsia="Times New Roman" w:hAnsi="Arial" w:cs="Arial"/>
          <w:sz w:val="18"/>
          <w:szCs w:val="18"/>
        </w:rPr>
        <w:t>, bez PDV-a (odnosno 2.732.150,73 kn s PDV-om</w:t>
      </w:r>
      <w:r w:rsidR="00EF57EA" w:rsidRPr="00720A0C">
        <w:rPr>
          <w:rFonts w:ascii="Arial" w:eastAsia="Times New Roman" w:hAnsi="Arial" w:cs="Arial"/>
          <w:sz w:val="18"/>
          <w:szCs w:val="18"/>
        </w:rPr>
        <w:t xml:space="preserve"> / 362.618,72 €</w:t>
      </w:r>
      <w:r w:rsidRPr="00720A0C">
        <w:rPr>
          <w:rFonts w:ascii="Arial" w:eastAsia="Times New Roman" w:hAnsi="Arial" w:cs="Arial"/>
          <w:sz w:val="18"/>
          <w:szCs w:val="18"/>
        </w:rPr>
        <w:t xml:space="preserve">), radovi </w:t>
      </w:r>
      <w:r w:rsidRPr="00720A0C">
        <w:rPr>
          <w:rFonts w:ascii="Arial" w:eastAsia="Times New Roman" w:hAnsi="Arial" w:cs="Arial"/>
          <w:b/>
          <w:sz w:val="18"/>
          <w:szCs w:val="18"/>
        </w:rPr>
        <w:t>izvedeni do 30.6.2019.</w:t>
      </w:r>
    </w:p>
    <w:p w14:paraId="150DFA94"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5452C094" w14:textId="43319C3E"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lastRenderedPageBreak/>
        <w:t xml:space="preserve">Komunalno društvo je 7.2.2019. zaključilo s Hrvatskim vodama ugovor u vrijednosti 1.875.000 kn </w:t>
      </w:r>
      <w:r w:rsidR="00EF57EA" w:rsidRPr="00720A0C">
        <w:rPr>
          <w:rFonts w:ascii="Arial" w:eastAsia="Times New Roman" w:hAnsi="Arial" w:cs="Arial"/>
          <w:sz w:val="18"/>
          <w:szCs w:val="18"/>
        </w:rPr>
        <w:t xml:space="preserve">/ 248.855,27 € </w:t>
      </w:r>
      <w:r w:rsidRPr="00720A0C">
        <w:rPr>
          <w:rFonts w:ascii="Arial" w:eastAsia="Times New Roman" w:hAnsi="Arial" w:cs="Arial"/>
          <w:sz w:val="18"/>
          <w:szCs w:val="18"/>
        </w:rPr>
        <w:t xml:space="preserve">kojim su se Hrvatske vode obvezale sufinancirati 1.500.000 kn </w:t>
      </w:r>
      <w:r w:rsidR="00EF57EA" w:rsidRPr="00720A0C">
        <w:rPr>
          <w:rFonts w:ascii="Arial" w:eastAsia="Times New Roman" w:hAnsi="Arial" w:cs="Arial"/>
          <w:sz w:val="18"/>
          <w:szCs w:val="18"/>
        </w:rPr>
        <w:t xml:space="preserve">/ 199.084,21 € </w:t>
      </w:r>
      <w:r w:rsidRPr="00720A0C">
        <w:rPr>
          <w:rFonts w:ascii="Arial" w:eastAsia="Times New Roman" w:hAnsi="Arial" w:cs="Arial"/>
          <w:sz w:val="18"/>
          <w:szCs w:val="18"/>
        </w:rPr>
        <w:t>radove izgradnje vodnih građevina na području aglomeracije Molunat (i dodatak 10.12.2019. prema kojem se može sufinancirati projektna dokumentacija). Također, prema ugovoru od 22.2.2019. u vrijednosti 1.000.000 kn</w:t>
      </w:r>
      <w:r w:rsidR="00EF57EA" w:rsidRPr="00720A0C">
        <w:rPr>
          <w:rFonts w:ascii="Arial" w:eastAsia="Times New Roman" w:hAnsi="Arial" w:cs="Arial"/>
          <w:sz w:val="18"/>
          <w:szCs w:val="18"/>
        </w:rPr>
        <w:t xml:space="preserve"> / 132.722,81 €</w:t>
      </w:r>
      <w:r w:rsidRPr="00720A0C">
        <w:rPr>
          <w:rFonts w:ascii="Arial" w:eastAsia="Times New Roman" w:hAnsi="Arial" w:cs="Arial"/>
          <w:sz w:val="18"/>
          <w:szCs w:val="18"/>
        </w:rPr>
        <w:t>, Hrvatske vode su se obvezale sufinancirati radove izgradnje vodnih građevina u iznosu 800.000 kn</w:t>
      </w:r>
      <w:r w:rsidR="00EF57EA" w:rsidRPr="00720A0C">
        <w:rPr>
          <w:rFonts w:ascii="Arial" w:eastAsia="Times New Roman" w:hAnsi="Arial" w:cs="Arial"/>
          <w:sz w:val="18"/>
          <w:szCs w:val="18"/>
        </w:rPr>
        <w:t xml:space="preserve"> / 106.178,25 €</w:t>
      </w:r>
      <w:r w:rsidRPr="00720A0C">
        <w:rPr>
          <w:rFonts w:ascii="Arial" w:eastAsia="Times New Roman" w:hAnsi="Arial" w:cs="Arial"/>
          <w:sz w:val="18"/>
          <w:szCs w:val="18"/>
        </w:rPr>
        <w:t>.</w:t>
      </w:r>
    </w:p>
    <w:p w14:paraId="05B2CC2E"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374FAF18" w14:textId="323AAF93"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Izvoditelj je za radove do konca 2019. godine </w:t>
      </w:r>
      <w:r w:rsidRPr="00720A0C">
        <w:rPr>
          <w:rFonts w:ascii="Arial" w:eastAsia="Times New Roman" w:hAnsi="Arial" w:cs="Arial"/>
          <w:b/>
          <w:sz w:val="18"/>
          <w:szCs w:val="18"/>
        </w:rPr>
        <w:t>ispostavio komunalnom društvu</w:t>
      </w:r>
      <w:r w:rsidRPr="00720A0C">
        <w:rPr>
          <w:rFonts w:ascii="Arial" w:eastAsia="Times New Roman" w:hAnsi="Arial" w:cs="Arial"/>
          <w:sz w:val="18"/>
          <w:szCs w:val="18"/>
        </w:rPr>
        <w:t xml:space="preserve"> zaključno sedam privremenih situacija (od druge do sedme, tj. pored onih koje je Općina sufinancirala još petu, šestu i sedmu po kojima komunalnom društvu nisu u 2019. doznačavana sredstva). Dakle </w:t>
      </w:r>
      <w:r w:rsidRPr="00720A0C">
        <w:rPr>
          <w:rFonts w:ascii="Arial" w:eastAsia="Times New Roman" w:hAnsi="Arial" w:cs="Arial"/>
          <w:b/>
          <w:sz w:val="18"/>
          <w:szCs w:val="18"/>
        </w:rPr>
        <w:t>u 2019. godini ispostavljene su privremene situacije</w:t>
      </w:r>
      <w:r w:rsidRPr="00720A0C">
        <w:rPr>
          <w:rFonts w:ascii="Arial" w:eastAsia="Times New Roman" w:hAnsi="Arial" w:cs="Arial"/>
          <w:sz w:val="18"/>
          <w:szCs w:val="18"/>
        </w:rPr>
        <w:t xml:space="preserve"> po kojima su radovi izvedeni u vrijednosti 3.128.301,50 kn bez PDV-a</w:t>
      </w:r>
      <w:r w:rsidR="00776939" w:rsidRPr="00720A0C">
        <w:rPr>
          <w:rFonts w:ascii="Arial" w:eastAsia="Times New Roman" w:hAnsi="Arial" w:cs="Arial"/>
          <w:sz w:val="18"/>
          <w:szCs w:val="18"/>
        </w:rPr>
        <w:t xml:space="preserve"> / 415.196,96 €</w:t>
      </w:r>
      <w:r w:rsidRPr="00720A0C">
        <w:rPr>
          <w:rFonts w:ascii="Arial" w:eastAsia="Times New Roman" w:hAnsi="Arial" w:cs="Arial"/>
          <w:sz w:val="18"/>
          <w:szCs w:val="18"/>
        </w:rPr>
        <w:t xml:space="preserve">. </w:t>
      </w:r>
      <w:r w:rsidRPr="00720A0C">
        <w:rPr>
          <w:rFonts w:ascii="Arial" w:eastAsia="Times New Roman" w:hAnsi="Arial" w:cs="Arial"/>
          <w:b/>
          <w:sz w:val="18"/>
          <w:szCs w:val="18"/>
        </w:rPr>
        <w:t xml:space="preserve">Sveukupno su izvedeni radovi do konca 2019. u vrijednosti 3.379.247,25 kn bez PDV-a </w:t>
      </w:r>
      <w:r w:rsidR="00776939" w:rsidRPr="00720A0C">
        <w:rPr>
          <w:rFonts w:ascii="Arial" w:eastAsia="Times New Roman" w:hAnsi="Arial" w:cs="Arial"/>
          <w:b/>
          <w:sz w:val="18"/>
          <w:szCs w:val="18"/>
        </w:rPr>
        <w:t xml:space="preserve">/ 448.503,19 € </w:t>
      </w:r>
      <w:r w:rsidRPr="00720A0C">
        <w:rPr>
          <w:rFonts w:ascii="Arial" w:eastAsia="Times New Roman" w:hAnsi="Arial" w:cs="Arial"/>
          <w:sz w:val="18"/>
          <w:szCs w:val="18"/>
        </w:rPr>
        <w:t>(odnosno 4.224.059,06 kn s PDV-om</w:t>
      </w:r>
      <w:r w:rsidR="00776939" w:rsidRPr="00720A0C">
        <w:rPr>
          <w:rFonts w:ascii="Arial" w:eastAsia="Times New Roman" w:hAnsi="Arial" w:cs="Arial"/>
          <w:sz w:val="18"/>
          <w:szCs w:val="18"/>
        </w:rPr>
        <w:t xml:space="preserve"> / 560.628,98 €</w:t>
      </w:r>
      <w:r w:rsidRPr="00720A0C">
        <w:rPr>
          <w:rFonts w:ascii="Arial" w:eastAsia="Times New Roman" w:hAnsi="Arial" w:cs="Arial"/>
          <w:sz w:val="18"/>
          <w:szCs w:val="18"/>
        </w:rPr>
        <w:t>). Od izvedenih radova, prema izvješću nadzornog inženjera, na radove izgradnje vodovoda se odnosi 1.386.266,44 kn</w:t>
      </w:r>
      <w:r w:rsidR="00776939" w:rsidRPr="00720A0C">
        <w:rPr>
          <w:rFonts w:ascii="Arial" w:eastAsia="Times New Roman" w:hAnsi="Arial" w:cs="Arial"/>
          <w:sz w:val="18"/>
          <w:szCs w:val="18"/>
        </w:rPr>
        <w:t xml:space="preserve"> / 183.989,18 €</w:t>
      </w:r>
      <w:r w:rsidRPr="00720A0C">
        <w:rPr>
          <w:rFonts w:ascii="Arial" w:eastAsia="Times New Roman" w:hAnsi="Arial" w:cs="Arial"/>
          <w:sz w:val="18"/>
          <w:szCs w:val="18"/>
        </w:rPr>
        <w:t>, a na kanalizaciju 1.992.980,80 kn bez PDV-a</w:t>
      </w:r>
      <w:r w:rsidR="00776939" w:rsidRPr="00720A0C">
        <w:rPr>
          <w:rFonts w:ascii="Arial" w:eastAsia="Times New Roman" w:hAnsi="Arial" w:cs="Arial"/>
          <w:sz w:val="18"/>
          <w:szCs w:val="18"/>
        </w:rPr>
        <w:t xml:space="preserve"> / 264.514,01 €</w:t>
      </w:r>
      <w:r w:rsidRPr="00720A0C">
        <w:rPr>
          <w:rFonts w:ascii="Arial" w:eastAsia="Times New Roman" w:hAnsi="Arial" w:cs="Arial"/>
          <w:sz w:val="18"/>
          <w:szCs w:val="18"/>
        </w:rPr>
        <w:t>.</w:t>
      </w:r>
    </w:p>
    <w:p w14:paraId="06FCEFE8"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308C55FF" w14:textId="3DD8BD4C"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Prema podacima društva u vlasništvu, Hrvatske vode su u 2019. godine doznačile društvu preostala sredstva za sufinanciranje investicije 2.292.504,08 kn </w:t>
      </w:r>
      <w:r w:rsidR="00776939" w:rsidRPr="00720A0C">
        <w:rPr>
          <w:rFonts w:ascii="Arial" w:eastAsia="Times New Roman" w:hAnsi="Arial" w:cs="Arial"/>
          <w:sz w:val="18"/>
          <w:szCs w:val="18"/>
        </w:rPr>
        <w:t xml:space="preserve">/ 304.267,58 € </w:t>
      </w:r>
      <w:r w:rsidRPr="00720A0C">
        <w:rPr>
          <w:rFonts w:ascii="Arial" w:eastAsia="Times New Roman" w:hAnsi="Arial" w:cs="Arial"/>
          <w:sz w:val="18"/>
          <w:szCs w:val="18"/>
        </w:rPr>
        <w:t>(od čega za kanalizaciju 1.492.504,08 kn</w:t>
      </w:r>
      <w:r w:rsidR="00776939" w:rsidRPr="00720A0C">
        <w:rPr>
          <w:rFonts w:ascii="Arial" w:eastAsia="Times New Roman" w:hAnsi="Arial" w:cs="Arial"/>
          <w:sz w:val="18"/>
          <w:szCs w:val="18"/>
        </w:rPr>
        <w:t xml:space="preserve"> / 198.089,33 €</w:t>
      </w:r>
      <w:r w:rsidRPr="00720A0C">
        <w:rPr>
          <w:rFonts w:ascii="Arial" w:eastAsia="Times New Roman" w:hAnsi="Arial" w:cs="Arial"/>
          <w:sz w:val="18"/>
          <w:szCs w:val="18"/>
        </w:rPr>
        <w:t>, a za vodovod 800.000 kn</w:t>
      </w:r>
      <w:r w:rsidR="00776939" w:rsidRPr="00720A0C">
        <w:rPr>
          <w:rFonts w:ascii="Arial" w:eastAsia="Times New Roman" w:hAnsi="Arial" w:cs="Arial"/>
          <w:sz w:val="18"/>
          <w:szCs w:val="18"/>
        </w:rPr>
        <w:t xml:space="preserve"> / 106.178,25 €</w:t>
      </w:r>
      <w:r w:rsidRPr="00720A0C">
        <w:rPr>
          <w:rFonts w:ascii="Arial" w:eastAsia="Times New Roman" w:hAnsi="Arial" w:cs="Arial"/>
          <w:sz w:val="18"/>
          <w:szCs w:val="18"/>
        </w:rPr>
        <w:t>).</w:t>
      </w:r>
    </w:p>
    <w:p w14:paraId="12CBF2C1"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352C84CB" w14:textId="77777777" w:rsidR="00B20566" w:rsidRPr="00720A0C" w:rsidRDefault="00B20566" w:rsidP="00B20566">
      <w:pPr>
        <w:autoSpaceDE w:val="0"/>
        <w:autoSpaceDN w:val="0"/>
        <w:adjustRightInd w:val="0"/>
        <w:spacing w:after="0" w:line="240" w:lineRule="auto"/>
        <w:jc w:val="both"/>
        <w:rPr>
          <w:rFonts w:ascii="Arial" w:eastAsia="Times New Roman" w:hAnsi="Arial" w:cs="Arial"/>
          <w:b/>
          <w:sz w:val="18"/>
          <w:szCs w:val="18"/>
        </w:rPr>
      </w:pPr>
      <w:r w:rsidRPr="00720A0C">
        <w:rPr>
          <w:rFonts w:ascii="Arial" w:eastAsia="Times New Roman" w:hAnsi="Arial" w:cs="Arial"/>
          <w:sz w:val="18"/>
          <w:szCs w:val="18"/>
        </w:rPr>
        <w:t xml:space="preserve">Postotak izvedenih radova (u odnosu na radove utvrđene osnovnim ugovorom) koncem 2019. godine iznose </w:t>
      </w:r>
      <w:r w:rsidRPr="00720A0C">
        <w:rPr>
          <w:rFonts w:ascii="Arial" w:eastAsia="Times New Roman" w:hAnsi="Arial" w:cs="Arial"/>
          <w:b/>
          <w:sz w:val="18"/>
          <w:szCs w:val="18"/>
        </w:rPr>
        <w:t>27,7%.</w:t>
      </w:r>
    </w:p>
    <w:p w14:paraId="07EF3FCF"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006F966F" w14:textId="7DF4BB8F"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Pored navedenih radova, komunalno društvo je ugovorilo te su izvedene usluge izrade glavnog projekta za UPOV i podmorski ispust sustava odvodnje otpadnih voda naselja Molunat (HIDROPROJEKT ING, ugovor od 20.3.2019. u iznosu 198.000 kn, bez PDV-a</w:t>
      </w:r>
      <w:r w:rsidR="00776939" w:rsidRPr="00720A0C">
        <w:rPr>
          <w:rFonts w:ascii="Arial" w:eastAsia="Times New Roman" w:hAnsi="Arial" w:cs="Arial"/>
          <w:sz w:val="18"/>
          <w:szCs w:val="18"/>
        </w:rPr>
        <w:t xml:space="preserve"> / 26.279,12 €</w:t>
      </w:r>
      <w:r w:rsidRPr="00720A0C">
        <w:rPr>
          <w:rFonts w:ascii="Arial" w:eastAsia="Times New Roman" w:hAnsi="Arial" w:cs="Arial"/>
          <w:sz w:val="18"/>
          <w:szCs w:val="18"/>
        </w:rPr>
        <w:t>). Hrvatske vode su također sufinancirale izradu projekta.</w:t>
      </w:r>
    </w:p>
    <w:p w14:paraId="53EAD692"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73368C5C" w14:textId="47E223CE"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Izvoditelj je za radove do konca 2020. godine </w:t>
      </w:r>
      <w:r w:rsidRPr="00720A0C">
        <w:rPr>
          <w:rFonts w:ascii="Arial" w:eastAsia="Times New Roman" w:hAnsi="Arial" w:cs="Arial"/>
          <w:b/>
          <w:sz w:val="18"/>
          <w:szCs w:val="18"/>
        </w:rPr>
        <w:t>ispostavio komunalnom društvu</w:t>
      </w:r>
      <w:r w:rsidRPr="00720A0C">
        <w:rPr>
          <w:rFonts w:ascii="Arial" w:eastAsia="Times New Roman" w:hAnsi="Arial" w:cs="Arial"/>
          <w:sz w:val="18"/>
          <w:szCs w:val="18"/>
        </w:rPr>
        <w:t xml:space="preserve"> zaključno 14 privremenih situacija (od osme do četrnaeste, Općina nije sufinancirala situacije niti u 2020. doznačavala sredstva društvu). Dakle </w:t>
      </w:r>
      <w:r w:rsidRPr="00720A0C">
        <w:rPr>
          <w:rFonts w:ascii="Arial" w:eastAsia="Times New Roman" w:hAnsi="Arial" w:cs="Arial"/>
          <w:b/>
          <w:sz w:val="18"/>
          <w:szCs w:val="18"/>
        </w:rPr>
        <w:t>u 2020. godini ispostavljene su privremene situacije</w:t>
      </w:r>
      <w:r w:rsidRPr="00720A0C">
        <w:rPr>
          <w:rFonts w:ascii="Arial" w:eastAsia="Times New Roman" w:hAnsi="Arial" w:cs="Arial"/>
          <w:sz w:val="18"/>
          <w:szCs w:val="18"/>
        </w:rPr>
        <w:t xml:space="preserve"> po kojima su radovi izvedeni u vrijednosti 2.910.569,44 kn bez PDV-a</w:t>
      </w:r>
      <w:r w:rsidR="00776939" w:rsidRPr="00720A0C">
        <w:rPr>
          <w:rFonts w:ascii="Arial" w:eastAsia="Times New Roman" w:hAnsi="Arial" w:cs="Arial"/>
          <w:sz w:val="18"/>
          <w:szCs w:val="18"/>
        </w:rPr>
        <w:t xml:space="preserve"> / 386.298,95 €</w:t>
      </w:r>
      <w:r w:rsidRPr="00720A0C">
        <w:rPr>
          <w:rFonts w:ascii="Arial" w:eastAsia="Times New Roman" w:hAnsi="Arial" w:cs="Arial"/>
          <w:sz w:val="18"/>
          <w:szCs w:val="18"/>
        </w:rPr>
        <w:t xml:space="preserve">. Dakle, </w:t>
      </w:r>
      <w:r w:rsidRPr="00720A0C">
        <w:rPr>
          <w:rFonts w:ascii="Arial" w:eastAsia="Times New Roman" w:hAnsi="Arial" w:cs="Arial"/>
          <w:b/>
          <w:sz w:val="18"/>
          <w:szCs w:val="18"/>
        </w:rPr>
        <w:t xml:space="preserve">sveukupno su izvedeni radovi do konca 2020. u vrijednosti 6.289.816,69 kn bez PDV-a </w:t>
      </w:r>
      <w:r w:rsidR="00776939" w:rsidRPr="00720A0C">
        <w:rPr>
          <w:rFonts w:ascii="Arial" w:eastAsia="Times New Roman" w:hAnsi="Arial" w:cs="Arial"/>
          <w:b/>
          <w:sz w:val="18"/>
          <w:szCs w:val="18"/>
        </w:rPr>
        <w:t xml:space="preserve">/ 834.802,14 € </w:t>
      </w:r>
      <w:r w:rsidRPr="00720A0C">
        <w:rPr>
          <w:rFonts w:ascii="Arial" w:eastAsia="Times New Roman" w:hAnsi="Arial" w:cs="Arial"/>
          <w:sz w:val="18"/>
          <w:szCs w:val="18"/>
        </w:rPr>
        <w:t>(odnosno 7.862.270,86 kn s PDV-om</w:t>
      </w:r>
      <w:r w:rsidR="00776939" w:rsidRPr="00720A0C">
        <w:rPr>
          <w:rFonts w:ascii="Arial" w:eastAsia="Times New Roman" w:hAnsi="Arial" w:cs="Arial"/>
          <w:sz w:val="18"/>
          <w:szCs w:val="18"/>
        </w:rPr>
        <w:t xml:space="preserve"> / 1.043.502,67 €</w:t>
      </w:r>
      <w:r w:rsidRPr="00720A0C">
        <w:rPr>
          <w:rFonts w:ascii="Arial" w:eastAsia="Times New Roman" w:hAnsi="Arial" w:cs="Arial"/>
          <w:sz w:val="18"/>
          <w:szCs w:val="18"/>
        </w:rPr>
        <w:t>). Od izvedenih radova, prema izvješću nadzornog inženjera, na radove izgradnje vodovoda se odnosi 2.266.025,28 kn</w:t>
      </w:r>
      <w:r w:rsidR="00776939" w:rsidRPr="00720A0C">
        <w:rPr>
          <w:rFonts w:ascii="Arial" w:eastAsia="Times New Roman" w:hAnsi="Arial" w:cs="Arial"/>
          <w:sz w:val="18"/>
          <w:szCs w:val="18"/>
        </w:rPr>
        <w:t xml:space="preserve"> / 300.753,24 €</w:t>
      </w:r>
      <w:r w:rsidRPr="00720A0C">
        <w:rPr>
          <w:rFonts w:ascii="Arial" w:eastAsia="Times New Roman" w:hAnsi="Arial" w:cs="Arial"/>
          <w:sz w:val="18"/>
          <w:szCs w:val="18"/>
        </w:rPr>
        <w:t xml:space="preserve">, a na kanalizaciju 4.023.791,41 kn </w:t>
      </w:r>
      <w:r w:rsidR="00776939" w:rsidRPr="00720A0C">
        <w:rPr>
          <w:rFonts w:ascii="Arial" w:eastAsia="Times New Roman" w:hAnsi="Arial" w:cs="Arial"/>
          <w:sz w:val="18"/>
          <w:szCs w:val="18"/>
        </w:rPr>
        <w:t xml:space="preserve">/ 534.048,90 € </w:t>
      </w:r>
      <w:r w:rsidRPr="00720A0C">
        <w:rPr>
          <w:rFonts w:ascii="Arial" w:eastAsia="Times New Roman" w:hAnsi="Arial" w:cs="Arial"/>
          <w:sz w:val="18"/>
          <w:szCs w:val="18"/>
        </w:rPr>
        <w:t>bez PDV-a.</w:t>
      </w:r>
    </w:p>
    <w:p w14:paraId="0EB38B41"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bookmarkStart w:id="793" w:name="_Hlk66359597"/>
    </w:p>
    <w:p w14:paraId="18F1EA66" w14:textId="6AFF0BBE"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U 2020. godini, komunalno društvo je 4.2.2020. zaključilo s Hrvatskim vodama ugovor u vrijednosti 1.875.000 kn </w:t>
      </w:r>
      <w:r w:rsidR="00776939" w:rsidRPr="00720A0C">
        <w:rPr>
          <w:rFonts w:ascii="Arial" w:eastAsia="Times New Roman" w:hAnsi="Arial" w:cs="Arial"/>
          <w:sz w:val="18"/>
          <w:szCs w:val="18"/>
        </w:rPr>
        <w:t xml:space="preserve">/ 248.855,27 € </w:t>
      </w:r>
      <w:r w:rsidRPr="00720A0C">
        <w:rPr>
          <w:rFonts w:ascii="Arial" w:eastAsia="Times New Roman" w:hAnsi="Arial" w:cs="Arial"/>
          <w:sz w:val="18"/>
          <w:szCs w:val="18"/>
        </w:rPr>
        <w:t xml:space="preserve">kojim su se Hrvatske vode obvezale sufinancirati 1.500.000 kn </w:t>
      </w:r>
      <w:r w:rsidR="00776939" w:rsidRPr="00720A0C">
        <w:rPr>
          <w:rFonts w:ascii="Arial" w:eastAsia="Times New Roman" w:hAnsi="Arial" w:cs="Arial"/>
          <w:sz w:val="18"/>
          <w:szCs w:val="18"/>
        </w:rPr>
        <w:t xml:space="preserve">/ 199.084,21 € </w:t>
      </w:r>
      <w:r w:rsidRPr="00720A0C">
        <w:rPr>
          <w:rFonts w:ascii="Arial" w:eastAsia="Times New Roman" w:hAnsi="Arial" w:cs="Arial"/>
          <w:sz w:val="18"/>
          <w:szCs w:val="18"/>
        </w:rPr>
        <w:t>izradu projektne dokumentacije i radove izgradnje vodnih građevina na području aglomeracije Molunat.</w:t>
      </w:r>
    </w:p>
    <w:bookmarkEnd w:id="793"/>
    <w:p w14:paraId="13B9FDDC" w14:textId="6EB6EA88"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U studenome 2020. zaključen je dodatak ugovoru prema kojemu su se Hrvatske vode obvezale još dodatno sufinancirati 200.000 kn</w:t>
      </w:r>
      <w:r w:rsidR="00776939" w:rsidRPr="00720A0C">
        <w:rPr>
          <w:rFonts w:ascii="Arial" w:eastAsia="Times New Roman" w:hAnsi="Arial" w:cs="Arial"/>
          <w:sz w:val="18"/>
          <w:szCs w:val="18"/>
        </w:rPr>
        <w:t xml:space="preserve"> / 26.544,56 €</w:t>
      </w:r>
      <w:r w:rsidRPr="00720A0C">
        <w:rPr>
          <w:rFonts w:ascii="Arial" w:eastAsia="Times New Roman" w:hAnsi="Arial" w:cs="Arial"/>
          <w:sz w:val="18"/>
          <w:szCs w:val="18"/>
        </w:rPr>
        <w:t xml:space="preserve">, odnosno sveukupno je za 2020. ugovoreno 2.125.000 kn </w:t>
      </w:r>
      <w:r w:rsidR="004F4365" w:rsidRPr="00720A0C">
        <w:rPr>
          <w:rFonts w:ascii="Arial" w:eastAsia="Times New Roman" w:hAnsi="Arial" w:cs="Arial"/>
          <w:sz w:val="18"/>
          <w:szCs w:val="18"/>
        </w:rPr>
        <w:t>/ 282.035,97 €</w:t>
      </w:r>
      <w:r w:rsidRPr="00720A0C">
        <w:rPr>
          <w:rFonts w:ascii="Arial" w:eastAsia="Times New Roman" w:hAnsi="Arial" w:cs="Arial"/>
          <w:sz w:val="18"/>
          <w:szCs w:val="18"/>
        </w:rPr>
        <w:t>(Hrvatske vode 1.700.000 kn</w:t>
      </w:r>
      <w:r w:rsidR="004F4365" w:rsidRPr="00720A0C">
        <w:rPr>
          <w:rFonts w:ascii="Arial" w:eastAsia="Times New Roman" w:hAnsi="Arial" w:cs="Arial"/>
          <w:sz w:val="18"/>
          <w:szCs w:val="18"/>
        </w:rPr>
        <w:t xml:space="preserve"> / 225.628,77 €</w:t>
      </w:r>
      <w:r w:rsidRPr="00720A0C">
        <w:rPr>
          <w:rFonts w:ascii="Arial" w:eastAsia="Times New Roman" w:hAnsi="Arial" w:cs="Arial"/>
          <w:sz w:val="18"/>
          <w:szCs w:val="18"/>
        </w:rPr>
        <w:t>, a investitor 425.000 kn</w:t>
      </w:r>
      <w:r w:rsidR="004F4365" w:rsidRPr="00720A0C">
        <w:rPr>
          <w:rFonts w:ascii="Arial" w:eastAsia="Times New Roman" w:hAnsi="Arial" w:cs="Arial"/>
          <w:sz w:val="18"/>
          <w:szCs w:val="18"/>
        </w:rPr>
        <w:t xml:space="preserve"> / 56.407,19 €</w:t>
      </w:r>
      <w:r w:rsidRPr="00720A0C">
        <w:rPr>
          <w:rFonts w:ascii="Arial" w:eastAsia="Times New Roman" w:hAnsi="Arial" w:cs="Arial"/>
          <w:sz w:val="18"/>
          <w:szCs w:val="18"/>
        </w:rPr>
        <w:t>).</w:t>
      </w:r>
    </w:p>
    <w:p w14:paraId="614C9A3E"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52C614A3" w14:textId="3595DB55"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Prema podacima društva u vlasništvu, Hrvatske vode su u 2020. godine doznačile društvu sredstva za sufinanciranje investicije 2.616.173,29 kn</w:t>
      </w:r>
      <w:r w:rsidR="004F4365" w:rsidRPr="00720A0C">
        <w:rPr>
          <w:rFonts w:ascii="Arial" w:eastAsia="Times New Roman" w:hAnsi="Arial" w:cs="Arial"/>
          <w:sz w:val="18"/>
          <w:szCs w:val="18"/>
        </w:rPr>
        <w:t xml:space="preserve"> / 347.225,87 €</w:t>
      </w:r>
      <w:r w:rsidRPr="00720A0C">
        <w:rPr>
          <w:rFonts w:ascii="Arial" w:eastAsia="Times New Roman" w:hAnsi="Arial" w:cs="Arial"/>
          <w:sz w:val="18"/>
          <w:szCs w:val="18"/>
        </w:rPr>
        <w:t>, od čega za izgradnju vodovoda 435.058,96 kn</w:t>
      </w:r>
      <w:r w:rsidR="004F4365" w:rsidRPr="00720A0C">
        <w:rPr>
          <w:rFonts w:ascii="Arial" w:eastAsia="Times New Roman" w:hAnsi="Arial" w:cs="Arial"/>
          <w:sz w:val="18"/>
          <w:szCs w:val="18"/>
        </w:rPr>
        <w:t xml:space="preserve"> / 57.742,25 €</w:t>
      </w:r>
      <w:r w:rsidRPr="00720A0C">
        <w:rPr>
          <w:rFonts w:ascii="Arial" w:eastAsia="Times New Roman" w:hAnsi="Arial" w:cs="Arial"/>
          <w:sz w:val="18"/>
          <w:szCs w:val="18"/>
        </w:rPr>
        <w:t>, a za radove na kanalizaciji 2.181.114,33 kn</w:t>
      </w:r>
      <w:r w:rsidR="004F4365" w:rsidRPr="00720A0C">
        <w:rPr>
          <w:rFonts w:ascii="Arial" w:eastAsia="Times New Roman" w:hAnsi="Arial" w:cs="Arial"/>
          <w:sz w:val="18"/>
          <w:szCs w:val="18"/>
        </w:rPr>
        <w:t xml:space="preserve"> / 289.483,62 €</w:t>
      </w:r>
      <w:r w:rsidRPr="00720A0C">
        <w:rPr>
          <w:rFonts w:ascii="Arial" w:eastAsia="Times New Roman" w:hAnsi="Arial" w:cs="Arial"/>
          <w:sz w:val="18"/>
          <w:szCs w:val="18"/>
        </w:rPr>
        <w:t>.</w:t>
      </w:r>
    </w:p>
    <w:p w14:paraId="1412A26F"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34501EC1" w14:textId="178E08F6"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bookmarkStart w:id="794" w:name="_Hlk79498446"/>
      <w:r w:rsidRPr="00720A0C">
        <w:rPr>
          <w:rFonts w:ascii="Arial" w:eastAsia="Times New Roman" w:hAnsi="Arial" w:cs="Arial"/>
          <w:sz w:val="18"/>
          <w:szCs w:val="18"/>
        </w:rPr>
        <w:t xml:space="preserve">Postotak izvedenih radova koncem 2020. godine </w:t>
      </w:r>
      <w:r w:rsidR="007C4B2D" w:rsidRPr="00720A0C">
        <w:rPr>
          <w:rFonts w:ascii="Arial" w:eastAsia="Times New Roman" w:hAnsi="Arial" w:cs="Arial"/>
          <w:sz w:val="18"/>
          <w:szCs w:val="18"/>
        </w:rPr>
        <w:t xml:space="preserve">je iznosio </w:t>
      </w:r>
      <w:r w:rsidRPr="00720A0C">
        <w:rPr>
          <w:rFonts w:ascii="Arial" w:eastAsia="Times New Roman" w:hAnsi="Arial" w:cs="Arial"/>
          <w:b/>
          <w:sz w:val="18"/>
          <w:szCs w:val="18"/>
        </w:rPr>
        <w:t>51,5%.</w:t>
      </w:r>
      <w:r w:rsidR="007C4B2D" w:rsidRPr="00720A0C">
        <w:rPr>
          <w:rFonts w:ascii="Arial" w:eastAsia="Times New Roman" w:hAnsi="Arial" w:cs="Arial"/>
          <w:b/>
          <w:sz w:val="18"/>
          <w:szCs w:val="18"/>
        </w:rPr>
        <w:t xml:space="preserve"> </w:t>
      </w:r>
      <w:bookmarkEnd w:id="794"/>
      <w:r w:rsidRPr="00720A0C">
        <w:rPr>
          <w:rFonts w:ascii="Arial" w:eastAsia="Times New Roman" w:hAnsi="Arial" w:cs="Arial"/>
          <w:sz w:val="18"/>
          <w:szCs w:val="18"/>
        </w:rPr>
        <w:t xml:space="preserve">Ugovoreni radovi su se odvijali smanjenom dinamikom koja je uzrokovana pandemijom bolesti COVID 19. </w:t>
      </w:r>
    </w:p>
    <w:p w14:paraId="00B8A224"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4630F241" w14:textId="41F6C084"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bookmarkStart w:id="795" w:name="_Hlk80785951"/>
      <w:r w:rsidRPr="00720A0C">
        <w:rPr>
          <w:rFonts w:ascii="Arial" w:eastAsia="Times New Roman" w:hAnsi="Arial" w:cs="Arial"/>
          <w:sz w:val="18"/>
          <w:szCs w:val="18"/>
        </w:rPr>
        <w:t xml:space="preserve">Izvoditelj je za radove do konca 2021. godine </w:t>
      </w:r>
      <w:r w:rsidRPr="00720A0C">
        <w:rPr>
          <w:rFonts w:ascii="Arial" w:eastAsia="Times New Roman" w:hAnsi="Arial" w:cs="Arial"/>
          <w:b/>
          <w:sz w:val="18"/>
          <w:szCs w:val="18"/>
        </w:rPr>
        <w:t>ispostavio komunalnom društvu</w:t>
      </w:r>
      <w:r w:rsidRPr="00720A0C">
        <w:rPr>
          <w:rFonts w:ascii="Arial" w:eastAsia="Times New Roman" w:hAnsi="Arial" w:cs="Arial"/>
          <w:sz w:val="18"/>
          <w:szCs w:val="18"/>
        </w:rPr>
        <w:t xml:space="preserve"> zaključno </w:t>
      </w:r>
      <w:r w:rsidR="00C353B5" w:rsidRPr="00720A0C">
        <w:rPr>
          <w:rFonts w:ascii="Arial" w:eastAsia="Times New Roman" w:hAnsi="Arial" w:cs="Arial"/>
          <w:sz w:val="18"/>
          <w:szCs w:val="18"/>
        </w:rPr>
        <w:t>21</w:t>
      </w:r>
      <w:r w:rsidRPr="00720A0C">
        <w:rPr>
          <w:rFonts w:ascii="Arial" w:eastAsia="Times New Roman" w:hAnsi="Arial" w:cs="Arial"/>
          <w:sz w:val="18"/>
          <w:szCs w:val="18"/>
        </w:rPr>
        <w:t xml:space="preserve"> privremen</w:t>
      </w:r>
      <w:r w:rsidR="00C353B5" w:rsidRPr="00720A0C">
        <w:rPr>
          <w:rFonts w:ascii="Arial" w:eastAsia="Times New Roman" w:hAnsi="Arial" w:cs="Arial"/>
          <w:sz w:val="18"/>
          <w:szCs w:val="18"/>
        </w:rPr>
        <w:t>u</w:t>
      </w:r>
      <w:r w:rsidRPr="00720A0C">
        <w:rPr>
          <w:rFonts w:ascii="Arial" w:eastAsia="Times New Roman" w:hAnsi="Arial" w:cs="Arial"/>
          <w:sz w:val="18"/>
          <w:szCs w:val="18"/>
        </w:rPr>
        <w:t xml:space="preserve"> situacij</w:t>
      </w:r>
      <w:r w:rsidR="00C353B5" w:rsidRPr="00720A0C">
        <w:rPr>
          <w:rFonts w:ascii="Arial" w:eastAsia="Times New Roman" w:hAnsi="Arial" w:cs="Arial"/>
          <w:sz w:val="18"/>
          <w:szCs w:val="18"/>
        </w:rPr>
        <w:t>u</w:t>
      </w:r>
      <w:r w:rsidRPr="00720A0C">
        <w:rPr>
          <w:rFonts w:ascii="Arial" w:eastAsia="Times New Roman" w:hAnsi="Arial" w:cs="Arial"/>
          <w:sz w:val="18"/>
          <w:szCs w:val="18"/>
        </w:rPr>
        <w:t xml:space="preserve"> (od čega u 2021. od 15. do </w:t>
      </w:r>
      <w:r w:rsidR="00C353B5" w:rsidRPr="00720A0C">
        <w:rPr>
          <w:rFonts w:ascii="Arial" w:eastAsia="Times New Roman" w:hAnsi="Arial" w:cs="Arial"/>
          <w:sz w:val="18"/>
          <w:szCs w:val="18"/>
        </w:rPr>
        <w:t>21</w:t>
      </w:r>
      <w:r w:rsidRPr="00720A0C">
        <w:rPr>
          <w:rFonts w:ascii="Arial" w:eastAsia="Times New Roman" w:hAnsi="Arial" w:cs="Arial"/>
          <w:sz w:val="18"/>
          <w:szCs w:val="18"/>
        </w:rPr>
        <w:t xml:space="preserve">.), Općina nije sufinancirala situacije niti u 2021. doznačavala sredstva društvu). Dakle </w:t>
      </w:r>
      <w:r w:rsidRPr="00720A0C">
        <w:rPr>
          <w:rFonts w:ascii="Arial" w:eastAsia="Times New Roman" w:hAnsi="Arial" w:cs="Arial"/>
          <w:b/>
          <w:sz w:val="18"/>
          <w:szCs w:val="18"/>
        </w:rPr>
        <w:t>u 2021. godini ispostavljene su privremene situacije</w:t>
      </w:r>
      <w:r w:rsidRPr="00720A0C">
        <w:rPr>
          <w:rFonts w:ascii="Arial" w:eastAsia="Times New Roman" w:hAnsi="Arial" w:cs="Arial"/>
          <w:sz w:val="18"/>
          <w:szCs w:val="18"/>
        </w:rPr>
        <w:t xml:space="preserve"> po kojima su radovi izvedeni u vrijednosti </w:t>
      </w:r>
      <w:r w:rsidR="008B486B" w:rsidRPr="00720A0C">
        <w:rPr>
          <w:rFonts w:ascii="Arial" w:eastAsia="Times New Roman" w:hAnsi="Arial" w:cs="Arial"/>
          <w:sz w:val="18"/>
          <w:szCs w:val="18"/>
        </w:rPr>
        <w:t>2.260.944,98</w:t>
      </w:r>
      <w:r w:rsidRPr="00720A0C">
        <w:rPr>
          <w:rFonts w:ascii="Arial" w:eastAsia="Times New Roman" w:hAnsi="Arial" w:cs="Arial"/>
          <w:sz w:val="18"/>
          <w:szCs w:val="18"/>
        </w:rPr>
        <w:t xml:space="preserve"> kn </w:t>
      </w:r>
      <w:r w:rsidR="004F4365" w:rsidRPr="00720A0C">
        <w:rPr>
          <w:rFonts w:ascii="Arial" w:eastAsia="Times New Roman" w:hAnsi="Arial" w:cs="Arial"/>
          <w:sz w:val="18"/>
          <w:szCs w:val="18"/>
        </w:rPr>
        <w:t xml:space="preserve">/ 300.078,97 € </w:t>
      </w:r>
      <w:r w:rsidRPr="00720A0C">
        <w:rPr>
          <w:rFonts w:ascii="Arial" w:eastAsia="Times New Roman" w:hAnsi="Arial" w:cs="Arial"/>
          <w:sz w:val="18"/>
          <w:szCs w:val="18"/>
        </w:rPr>
        <w:t xml:space="preserve">bez PDV-a. Dakle, </w:t>
      </w:r>
      <w:r w:rsidRPr="00720A0C">
        <w:rPr>
          <w:rFonts w:ascii="Arial" w:eastAsia="Times New Roman" w:hAnsi="Arial" w:cs="Arial"/>
          <w:b/>
          <w:sz w:val="18"/>
          <w:szCs w:val="18"/>
        </w:rPr>
        <w:t xml:space="preserve">sveukupno su izvedeni radovi do konca 2021. u vrijednosti </w:t>
      </w:r>
      <w:r w:rsidR="008B486B" w:rsidRPr="00720A0C">
        <w:rPr>
          <w:rFonts w:ascii="Arial" w:eastAsia="Times New Roman" w:hAnsi="Arial" w:cs="Arial"/>
          <w:b/>
          <w:sz w:val="18"/>
          <w:szCs w:val="18"/>
        </w:rPr>
        <w:t>8.550.761,67</w:t>
      </w:r>
      <w:r w:rsidRPr="00720A0C">
        <w:rPr>
          <w:rFonts w:ascii="Arial" w:eastAsia="Times New Roman" w:hAnsi="Arial" w:cs="Arial"/>
          <w:b/>
          <w:sz w:val="18"/>
          <w:szCs w:val="18"/>
        </w:rPr>
        <w:t xml:space="preserve"> kn </w:t>
      </w:r>
      <w:r w:rsidR="004F4365" w:rsidRPr="00720A0C">
        <w:rPr>
          <w:rFonts w:ascii="Arial" w:eastAsia="Times New Roman" w:hAnsi="Arial" w:cs="Arial"/>
          <w:b/>
          <w:sz w:val="18"/>
          <w:szCs w:val="18"/>
        </w:rPr>
        <w:t xml:space="preserve">/ 1.134.881,10 € </w:t>
      </w:r>
      <w:r w:rsidRPr="00720A0C">
        <w:rPr>
          <w:rFonts w:ascii="Arial" w:eastAsia="Times New Roman" w:hAnsi="Arial" w:cs="Arial"/>
          <w:b/>
          <w:sz w:val="18"/>
          <w:szCs w:val="18"/>
        </w:rPr>
        <w:t xml:space="preserve">bez PDV-a </w:t>
      </w:r>
      <w:r w:rsidRPr="00720A0C">
        <w:rPr>
          <w:rFonts w:ascii="Arial" w:eastAsia="Times New Roman" w:hAnsi="Arial" w:cs="Arial"/>
          <w:sz w:val="18"/>
          <w:szCs w:val="18"/>
        </w:rPr>
        <w:t xml:space="preserve">(odnosno </w:t>
      </w:r>
      <w:r w:rsidR="008B486B" w:rsidRPr="00720A0C">
        <w:rPr>
          <w:rFonts w:ascii="Arial" w:eastAsia="Times New Roman" w:hAnsi="Arial" w:cs="Arial"/>
          <w:sz w:val="18"/>
          <w:szCs w:val="18"/>
        </w:rPr>
        <w:t>10.688.452,09</w:t>
      </w:r>
      <w:r w:rsidRPr="00720A0C">
        <w:rPr>
          <w:rFonts w:ascii="Arial" w:eastAsia="Times New Roman" w:hAnsi="Arial" w:cs="Arial"/>
          <w:sz w:val="18"/>
          <w:szCs w:val="18"/>
        </w:rPr>
        <w:t xml:space="preserve"> kn </w:t>
      </w:r>
      <w:r w:rsidR="004F4365" w:rsidRPr="00720A0C">
        <w:rPr>
          <w:rFonts w:ascii="Arial" w:eastAsia="Times New Roman" w:hAnsi="Arial" w:cs="Arial"/>
          <w:sz w:val="18"/>
          <w:szCs w:val="18"/>
        </w:rPr>
        <w:t xml:space="preserve">/ 1.418.601,38 € </w:t>
      </w:r>
      <w:r w:rsidRPr="00720A0C">
        <w:rPr>
          <w:rFonts w:ascii="Arial" w:eastAsia="Times New Roman" w:hAnsi="Arial" w:cs="Arial"/>
          <w:sz w:val="18"/>
          <w:szCs w:val="18"/>
        </w:rPr>
        <w:t xml:space="preserve">s PDV-om). Od izvedenih radova, prema izvješću nadzornog inženjera, na radove izgradnje vodovoda se odnosi </w:t>
      </w:r>
      <w:r w:rsidR="008B486B" w:rsidRPr="00720A0C">
        <w:rPr>
          <w:rFonts w:ascii="Arial" w:eastAsia="Times New Roman" w:hAnsi="Arial" w:cs="Arial"/>
          <w:sz w:val="18"/>
          <w:szCs w:val="18"/>
        </w:rPr>
        <w:t>3.529.752,00</w:t>
      </w:r>
      <w:r w:rsidRPr="00720A0C">
        <w:rPr>
          <w:rFonts w:ascii="Arial" w:eastAsia="Times New Roman" w:hAnsi="Arial" w:cs="Arial"/>
          <w:sz w:val="18"/>
          <w:szCs w:val="18"/>
        </w:rPr>
        <w:t xml:space="preserve"> kn</w:t>
      </w:r>
      <w:r w:rsidR="00A07A0A" w:rsidRPr="00720A0C">
        <w:rPr>
          <w:rFonts w:ascii="Arial" w:eastAsia="Times New Roman" w:hAnsi="Arial" w:cs="Arial"/>
          <w:sz w:val="18"/>
          <w:szCs w:val="18"/>
        </w:rPr>
        <w:t xml:space="preserve"> / 468.478,60 €</w:t>
      </w:r>
      <w:r w:rsidRPr="00720A0C">
        <w:rPr>
          <w:rFonts w:ascii="Arial" w:eastAsia="Times New Roman" w:hAnsi="Arial" w:cs="Arial"/>
          <w:sz w:val="18"/>
          <w:szCs w:val="18"/>
        </w:rPr>
        <w:t xml:space="preserve">, a na kanalizaciju </w:t>
      </w:r>
      <w:r w:rsidR="008B486B" w:rsidRPr="00720A0C">
        <w:rPr>
          <w:rFonts w:ascii="Arial" w:eastAsia="Times New Roman" w:hAnsi="Arial" w:cs="Arial"/>
          <w:sz w:val="18"/>
          <w:szCs w:val="18"/>
        </w:rPr>
        <w:t>5.021.009,67</w:t>
      </w:r>
      <w:r w:rsidRPr="00720A0C">
        <w:rPr>
          <w:rFonts w:ascii="Arial" w:eastAsia="Times New Roman" w:hAnsi="Arial" w:cs="Arial"/>
          <w:sz w:val="18"/>
          <w:szCs w:val="18"/>
        </w:rPr>
        <w:t xml:space="preserve"> kn bez PDV-a</w:t>
      </w:r>
      <w:r w:rsidR="00A07A0A" w:rsidRPr="00720A0C">
        <w:rPr>
          <w:rFonts w:ascii="Arial" w:eastAsia="Times New Roman" w:hAnsi="Arial" w:cs="Arial"/>
          <w:sz w:val="18"/>
          <w:szCs w:val="18"/>
        </w:rPr>
        <w:t xml:space="preserve"> / 666.402,50 €</w:t>
      </w:r>
      <w:r w:rsidRPr="00720A0C">
        <w:rPr>
          <w:rFonts w:ascii="Arial" w:eastAsia="Times New Roman" w:hAnsi="Arial" w:cs="Arial"/>
          <w:sz w:val="18"/>
          <w:szCs w:val="18"/>
        </w:rPr>
        <w:t>.</w:t>
      </w:r>
    </w:p>
    <w:p w14:paraId="5ECA83C6"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1A2E3845" w14:textId="36FCB396"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Dana 6.9.2019. komunalno društvo je s izvođačem radova bilo zaključilo dodatak ugovoru kojim su zbog promijenjene tehnologije iskopa, uz suglasnost nadzornog inženjere, smanjili radovi za 7.139,22 kn</w:t>
      </w:r>
      <w:r w:rsidR="00A07A0A" w:rsidRPr="00720A0C">
        <w:rPr>
          <w:rFonts w:ascii="Arial" w:eastAsia="Times New Roman" w:hAnsi="Arial" w:cs="Arial"/>
          <w:sz w:val="18"/>
          <w:szCs w:val="18"/>
        </w:rPr>
        <w:t xml:space="preserve"> / 947,54 €</w:t>
      </w:r>
      <w:r w:rsidRPr="00720A0C">
        <w:rPr>
          <w:rFonts w:ascii="Arial" w:eastAsia="Times New Roman" w:hAnsi="Arial" w:cs="Arial"/>
          <w:sz w:val="18"/>
          <w:szCs w:val="18"/>
        </w:rPr>
        <w:t xml:space="preserve"> bez PDV-a.</w:t>
      </w:r>
    </w:p>
    <w:p w14:paraId="7A3173C6" w14:textId="4D131C31"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Dana 30.6.2021. komunalno društvo je s izvođačem radova zaključilo dodatak ugovoru kojim se utvrđuju dodatni vantroškovnički radovi na izgradnji sustava vodovoda i odvodnje u naselju Molunat u iznosu 399.964,84 kn</w:t>
      </w:r>
      <w:r w:rsidR="00A07A0A" w:rsidRPr="00720A0C">
        <w:rPr>
          <w:rFonts w:ascii="Arial" w:eastAsia="Times New Roman" w:hAnsi="Arial" w:cs="Arial"/>
          <w:sz w:val="18"/>
          <w:szCs w:val="18"/>
        </w:rPr>
        <w:t xml:space="preserve"> / 53.084,46 €</w:t>
      </w:r>
      <w:r w:rsidRPr="00720A0C">
        <w:rPr>
          <w:rFonts w:ascii="Arial" w:eastAsia="Times New Roman" w:hAnsi="Arial" w:cs="Arial"/>
          <w:sz w:val="18"/>
          <w:szCs w:val="18"/>
        </w:rPr>
        <w:t xml:space="preserve"> što s porezom na dodanu vrijednost čini 499.956,05 kn</w:t>
      </w:r>
      <w:r w:rsidR="00A07A0A" w:rsidRPr="00720A0C">
        <w:rPr>
          <w:rFonts w:ascii="Arial" w:eastAsia="Times New Roman" w:hAnsi="Arial" w:cs="Arial"/>
          <w:sz w:val="18"/>
          <w:szCs w:val="18"/>
        </w:rPr>
        <w:t xml:space="preserve"> / 66.355,57 €</w:t>
      </w:r>
      <w:r w:rsidRPr="00720A0C">
        <w:rPr>
          <w:rFonts w:ascii="Arial" w:eastAsia="Times New Roman" w:hAnsi="Arial" w:cs="Arial"/>
          <w:sz w:val="18"/>
          <w:szCs w:val="18"/>
        </w:rPr>
        <w:t xml:space="preserve">. </w:t>
      </w:r>
    </w:p>
    <w:p w14:paraId="5633626C" w14:textId="5C282990"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Dakle, sveukupno ugovoreni radovi izgradnje sustava vodovoda i odvodnje u naselju Molunat iznose </w:t>
      </w:r>
      <w:r w:rsidRPr="00720A0C">
        <w:rPr>
          <w:rFonts w:ascii="Arial" w:eastAsia="Times New Roman" w:hAnsi="Arial" w:cs="Arial"/>
          <w:b/>
          <w:bCs/>
          <w:sz w:val="18"/>
          <w:szCs w:val="18"/>
        </w:rPr>
        <w:t xml:space="preserve">12.591.066,40 kn </w:t>
      </w:r>
      <w:r w:rsidR="00A07A0A" w:rsidRPr="00720A0C">
        <w:rPr>
          <w:rFonts w:ascii="Arial" w:eastAsia="Times New Roman" w:hAnsi="Arial" w:cs="Arial"/>
          <w:b/>
          <w:bCs/>
          <w:sz w:val="18"/>
          <w:szCs w:val="18"/>
        </w:rPr>
        <w:t xml:space="preserve">/ 1.671.121,69 € </w:t>
      </w:r>
      <w:r w:rsidRPr="00720A0C">
        <w:rPr>
          <w:rFonts w:ascii="Arial" w:eastAsia="Times New Roman" w:hAnsi="Arial" w:cs="Arial"/>
          <w:b/>
          <w:bCs/>
          <w:sz w:val="18"/>
          <w:szCs w:val="18"/>
        </w:rPr>
        <w:t>što s porezom na dodanu vrijednost čini 15.738.833 kn</w:t>
      </w:r>
      <w:r w:rsidR="00A07A0A" w:rsidRPr="00720A0C">
        <w:rPr>
          <w:rFonts w:ascii="Arial" w:eastAsia="Times New Roman" w:hAnsi="Arial" w:cs="Arial"/>
          <w:b/>
          <w:bCs/>
          <w:sz w:val="18"/>
          <w:szCs w:val="18"/>
        </w:rPr>
        <w:t xml:space="preserve"> / 2.088.902,12 €</w:t>
      </w:r>
      <w:r w:rsidRPr="00720A0C">
        <w:rPr>
          <w:rFonts w:ascii="Arial" w:eastAsia="Times New Roman" w:hAnsi="Arial" w:cs="Arial"/>
          <w:sz w:val="18"/>
          <w:szCs w:val="18"/>
        </w:rPr>
        <w:t>.</w:t>
      </w:r>
    </w:p>
    <w:p w14:paraId="2D84D7B4" w14:textId="5C53D01B" w:rsidR="006D251D" w:rsidRPr="00720A0C" w:rsidRDefault="006D251D" w:rsidP="00B20566">
      <w:pPr>
        <w:autoSpaceDE w:val="0"/>
        <w:autoSpaceDN w:val="0"/>
        <w:adjustRightInd w:val="0"/>
        <w:spacing w:after="0" w:line="240" w:lineRule="auto"/>
        <w:jc w:val="both"/>
        <w:rPr>
          <w:rFonts w:ascii="Arial" w:eastAsia="Times New Roman" w:hAnsi="Arial" w:cs="Arial"/>
          <w:sz w:val="18"/>
          <w:szCs w:val="18"/>
        </w:rPr>
      </w:pPr>
    </w:p>
    <w:p w14:paraId="050EE028" w14:textId="6AAD7A03" w:rsidR="006D251D" w:rsidRPr="00720A0C" w:rsidRDefault="006D251D" w:rsidP="006D251D">
      <w:pPr>
        <w:autoSpaceDE w:val="0"/>
        <w:autoSpaceDN w:val="0"/>
        <w:adjustRightInd w:val="0"/>
        <w:spacing w:after="0" w:line="240" w:lineRule="auto"/>
        <w:jc w:val="both"/>
        <w:rPr>
          <w:rFonts w:ascii="Arial" w:eastAsia="Times New Roman" w:hAnsi="Arial" w:cs="Arial"/>
          <w:b/>
          <w:sz w:val="18"/>
          <w:szCs w:val="18"/>
        </w:rPr>
      </w:pPr>
      <w:r w:rsidRPr="00720A0C">
        <w:rPr>
          <w:rFonts w:ascii="Arial" w:eastAsia="Times New Roman" w:hAnsi="Arial" w:cs="Arial"/>
          <w:sz w:val="18"/>
          <w:szCs w:val="18"/>
        </w:rPr>
        <w:t xml:space="preserve">Postotak izvedenih radova koncem 2021. godine iznosi </w:t>
      </w:r>
      <w:r w:rsidRPr="00720A0C">
        <w:rPr>
          <w:rFonts w:ascii="Arial" w:eastAsia="Times New Roman" w:hAnsi="Arial" w:cs="Arial"/>
          <w:b/>
          <w:sz w:val="18"/>
          <w:szCs w:val="18"/>
        </w:rPr>
        <w:t>67,9%.</w:t>
      </w:r>
    </w:p>
    <w:p w14:paraId="1C2EB197" w14:textId="465FA1EE" w:rsidR="001A72B9" w:rsidRPr="00720A0C" w:rsidRDefault="001A72B9" w:rsidP="006D251D">
      <w:pPr>
        <w:autoSpaceDE w:val="0"/>
        <w:autoSpaceDN w:val="0"/>
        <w:adjustRightInd w:val="0"/>
        <w:spacing w:after="0" w:line="240" w:lineRule="auto"/>
        <w:jc w:val="both"/>
        <w:rPr>
          <w:rFonts w:ascii="Arial" w:eastAsia="Times New Roman" w:hAnsi="Arial" w:cs="Arial"/>
          <w:bCs/>
          <w:sz w:val="18"/>
          <w:szCs w:val="18"/>
        </w:rPr>
      </w:pPr>
    </w:p>
    <w:p w14:paraId="5DD40A84" w14:textId="58451814" w:rsidR="001A72B9" w:rsidRPr="00720A0C" w:rsidRDefault="001A72B9" w:rsidP="006D251D">
      <w:pPr>
        <w:autoSpaceDE w:val="0"/>
        <w:autoSpaceDN w:val="0"/>
        <w:adjustRightInd w:val="0"/>
        <w:spacing w:after="0" w:line="240" w:lineRule="auto"/>
        <w:jc w:val="both"/>
        <w:rPr>
          <w:rFonts w:ascii="Arial" w:eastAsia="Times New Roman" w:hAnsi="Arial" w:cs="Arial"/>
          <w:bCs/>
          <w:sz w:val="18"/>
          <w:szCs w:val="18"/>
        </w:rPr>
      </w:pPr>
      <w:r w:rsidRPr="00720A0C">
        <w:rPr>
          <w:rFonts w:ascii="Arial" w:eastAsia="Times New Roman" w:hAnsi="Arial" w:cs="Arial"/>
          <w:bCs/>
          <w:sz w:val="18"/>
          <w:szCs w:val="18"/>
        </w:rPr>
        <w:t xml:space="preserve">U 2022. izvoditelj je ispostavio </w:t>
      </w:r>
      <w:r w:rsidR="0081290C" w:rsidRPr="00720A0C">
        <w:rPr>
          <w:rFonts w:ascii="Arial" w:eastAsia="Times New Roman" w:hAnsi="Arial" w:cs="Arial"/>
          <w:bCs/>
          <w:sz w:val="18"/>
          <w:szCs w:val="18"/>
        </w:rPr>
        <w:t>tri privremene (od 22. do 24.) i okončanu situaciju za radove u vrijednosti 3.801.054,12 kn</w:t>
      </w:r>
      <w:r w:rsidR="00E174C7" w:rsidRPr="00720A0C">
        <w:rPr>
          <w:rFonts w:ascii="Arial" w:eastAsia="Times New Roman" w:hAnsi="Arial" w:cs="Arial"/>
          <w:bCs/>
          <w:sz w:val="18"/>
          <w:szCs w:val="18"/>
        </w:rPr>
        <w:t xml:space="preserve"> / 504.486,58 € </w:t>
      </w:r>
      <w:r w:rsidR="0081290C" w:rsidRPr="00720A0C">
        <w:rPr>
          <w:rFonts w:ascii="Arial" w:eastAsia="Times New Roman" w:hAnsi="Arial" w:cs="Arial"/>
          <w:bCs/>
          <w:sz w:val="18"/>
          <w:szCs w:val="18"/>
        </w:rPr>
        <w:t>što s PDV-om iznosi 4.751.317,65 kn</w:t>
      </w:r>
      <w:r w:rsidR="00E174C7" w:rsidRPr="00720A0C">
        <w:rPr>
          <w:rFonts w:ascii="Arial" w:eastAsia="Times New Roman" w:hAnsi="Arial" w:cs="Arial"/>
          <w:bCs/>
          <w:sz w:val="18"/>
          <w:szCs w:val="18"/>
        </w:rPr>
        <w:t xml:space="preserve"> / 630.608,22 €</w:t>
      </w:r>
      <w:r w:rsidR="0081290C" w:rsidRPr="00720A0C">
        <w:rPr>
          <w:rFonts w:ascii="Arial" w:eastAsia="Times New Roman" w:hAnsi="Arial" w:cs="Arial"/>
          <w:bCs/>
          <w:sz w:val="18"/>
          <w:szCs w:val="18"/>
        </w:rPr>
        <w:t xml:space="preserve">. Sveukupno izvedeni radovi iznose </w:t>
      </w:r>
      <w:r w:rsidR="00CA44A2" w:rsidRPr="00720A0C">
        <w:rPr>
          <w:rFonts w:ascii="Arial" w:eastAsia="Times New Roman" w:hAnsi="Arial" w:cs="Arial"/>
          <w:bCs/>
          <w:sz w:val="18"/>
          <w:szCs w:val="18"/>
        </w:rPr>
        <w:t xml:space="preserve">12.351.815,79 kn </w:t>
      </w:r>
      <w:r w:rsidR="00E174C7" w:rsidRPr="00720A0C">
        <w:rPr>
          <w:rFonts w:ascii="Arial" w:eastAsia="Times New Roman" w:hAnsi="Arial" w:cs="Arial"/>
          <w:bCs/>
          <w:sz w:val="18"/>
          <w:szCs w:val="18"/>
        </w:rPr>
        <w:t xml:space="preserve">/ 1.639.367,68 € </w:t>
      </w:r>
      <w:r w:rsidR="00CA44A2" w:rsidRPr="00720A0C">
        <w:rPr>
          <w:rFonts w:ascii="Arial" w:eastAsia="Times New Roman" w:hAnsi="Arial" w:cs="Arial"/>
          <w:bCs/>
          <w:sz w:val="18"/>
          <w:szCs w:val="18"/>
        </w:rPr>
        <w:t>što s PDV-om iznosi 15.439.769,74 kn</w:t>
      </w:r>
      <w:r w:rsidR="00E174C7" w:rsidRPr="00720A0C">
        <w:rPr>
          <w:rFonts w:ascii="Arial" w:eastAsia="Times New Roman" w:hAnsi="Arial" w:cs="Arial"/>
          <w:bCs/>
          <w:sz w:val="18"/>
          <w:szCs w:val="18"/>
        </w:rPr>
        <w:t xml:space="preserve"> / 2.049.209,60 €</w:t>
      </w:r>
      <w:r w:rsidR="00CA44A2" w:rsidRPr="00720A0C">
        <w:rPr>
          <w:rFonts w:ascii="Arial" w:eastAsia="Times New Roman" w:hAnsi="Arial" w:cs="Arial"/>
          <w:bCs/>
          <w:sz w:val="18"/>
          <w:szCs w:val="18"/>
        </w:rPr>
        <w:t xml:space="preserve">. </w:t>
      </w:r>
    </w:p>
    <w:p w14:paraId="1CA46919" w14:textId="5AD7B72A" w:rsidR="00CA44A2" w:rsidRPr="00720A0C" w:rsidRDefault="00CA44A2" w:rsidP="006D251D">
      <w:pPr>
        <w:autoSpaceDE w:val="0"/>
        <w:autoSpaceDN w:val="0"/>
        <w:adjustRightInd w:val="0"/>
        <w:spacing w:after="0" w:line="240" w:lineRule="auto"/>
        <w:jc w:val="both"/>
        <w:rPr>
          <w:rFonts w:ascii="Arial" w:eastAsia="Times New Roman" w:hAnsi="Arial" w:cs="Arial"/>
          <w:bCs/>
          <w:sz w:val="18"/>
          <w:szCs w:val="18"/>
        </w:rPr>
      </w:pPr>
      <w:r w:rsidRPr="00720A0C">
        <w:rPr>
          <w:rFonts w:ascii="Arial" w:eastAsia="Times New Roman" w:hAnsi="Arial" w:cs="Arial"/>
          <w:bCs/>
          <w:sz w:val="18"/>
          <w:szCs w:val="18"/>
        </w:rPr>
        <w:t>Prema izvješću nadzornog inženjera, na radove izgradnje vodovoda odnosi se 4.960.846,14 kn</w:t>
      </w:r>
      <w:r w:rsidR="00E174C7" w:rsidRPr="00720A0C">
        <w:rPr>
          <w:rFonts w:ascii="Arial" w:eastAsia="Times New Roman" w:hAnsi="Arial" w:cs="Arial"/>
          <w:bCs/>
          <w:sz w:val="18"/>
          <w:szCs w:val="18"/>
        </w:rPr>
        <w:t xml:space="preserve"> / 658.417,43 €</w:t>
      </w:r>
      <w:r w:rsidRPr="00720A0C">
        <w:rPr>
          <w:rFonts w:ascii="Arial" w:eastAsia="Times New Roman" w:hAnsi="Arial" w:cs="Arial"/>
          <w:bCs/>
          <w:sz w:val="18"/>
          <w:szCs w:val="18"/>
        </w:rPr>
        <w:t xml:space="preserve">, a na kanalizaciju 7.390.969,65 kn </w:t>
      </w:r>
      <w:r w:rsidR="00E174C7" w:rsidRPr="00720A0C">
        <w:rPr>
          <w:rFonts w:ascii="Arial" w:eastAsia="Times New Roman" w:hAnsi="Arial" w:cs="Arial"/>
          <w:bCs/>
          <w:sz w:val="18"/>
          <w:szCs w:val="18"/>
        </w:rPr>
        <w:t xml:space="preserve">/ 980.950,25 € </w:t>
      </w:r>
      <w:r w:rsidRPr="00720A0C">
        <w:rPr>
          <w:rFonts w:ascii="Arial" w:eastAsia="Times New Roman" w:hAnsi="Arial" w:cs="Arial"/>
          <w:bCs/>
          <w:sz w:val="18"/>
          <w:szCs w:val="18"/>
        </w:rPr>
        <w:t>bez PDV-a.</w:t>
      </w:r>
    </w:p>
    <w:p w14:paraId="78485B0D" w14:textId="77777777" w:rsidR="00CA44A2" w:rsidRPr="00720A0C" w:rsidRDefault="00CA44A2" w:rsidP="006D251D">
      <w:pPr>
        <w:autoSpaceDE w:val="0"/>
        <w:autoSpaceDN w:val="0"/>
        <w:adjustRightInd w:val="0"/>
        <w:spacing w:after="0" w:line="240" w:lineRule="auto"/>
        <w:jc w:val="both"/>
        <w:rPr>
          <w:rFonts w:ascii="Arial" w:eastAsia="Times New Roman" w:hAnsi="Arial" w:cs="Arial"/>
          <w:bCs/>
          <w:sz w:val="18"/>
          <w:szCs w:val="18"/>
        </w:rPr>
      </w:pPr>
    </w:p>
    <w:p w14:paraId="7B874BE1" w14:textId="185EE4A9" w:rsidR="001A72B9" w:rsidRPr="00720A0C" w:rsidRDefault="00F65DA9" w:rsidP="006D251D">
      <w:pPr>
        <w:autoSpaceDE w:val="0"/>
        <w:autoSpaceDN w:val="0"/>
        <w:adjustRightInd w:val="0"/>
        <w:spacing w:after="0" w:line="240" w:lineRule="auto"/>
        <w:jc w:val="both"/>
        <w:rPr>
          <w:rFonts w:ascii="Arial" w:eastAsia="Times New Roman" w:hAnsi="Arial" w:cs="Arial"/>
          <w:bCs/>
          <w:sz w:val="18"/>
          <w:szCs w:val="18"/>
        </w:rPr>
      </w:pPr>
      <w:r w:rsidRPr="00720A0C">
        <w:rPr>
          <w:rFonts w:ascii="Arial" w:eastAsia="Times New Roman" w:hAnsi="Arial" w:cs="Arial"/>
          <w:bCs/>
          <w:sz w:val="18"/>
          <w:szCs w:val="18"/>
        </w:rPr>
        <w:t>Primopredaja izvršenih radova obavljena je tijekom lipnja 2022.</w:t>
      </w:r>
      <w:r w:rsidR="003A099E" w:rsidRPr="00720A0C">
        <w:rPr>
          <w:rFonts w:ascii="Arial" w:eastAsia="Times New Roman" w:hAnsi="Arial" w:cs="Arial"/>
          <w:bCs/>
          <w:sz w:val="18"/>
          <w:szCs w:val="18"/>
        </w:rPr>
        <w:t xml:space="preserve"> Pokretanje postupka dobivanja uporabne dozvole je </w:t>
      </w:r>
      <w:r w:rsidR="000C61D2" w:rsidRPr="00720A0C">
        <w:rPr>
          <w:rFonts w:ascii="Arial" w:eastAsia="Times New Roman" w:hAnsi="Arial" w:cs="Arial"/>
          <w:bCs/>
          <w:sz w:val="18"/>
          <w:szCs w:val="18"/>
        </w:rPr>
        <w:t xml:space="preserve">bilo </w:t>
      </w:r>
      <w:r w:rsidR="003A099E" w:rsidRPr="00720A0C">
        <w:rPr>
          <w:rFonts w:ascii="Arial" w:eastAsia="Times New Roman" w:hAnsi="Arial" w:cs="Arial"/>
          <w:bCs/>
          <w:sz w:val="18"/>
          <w:szCs w:val="18"/>
        </w:rPr>
        <w:t>uvjetovano završetkom izgradnje uređaja za pročišćavanje otpadnih voda i podmorskog ispusta.</w:t>
      </w:r>
      <w:r w:rsidRPr="00720A0C">
        <w:rPr>
          <w:rFonts w:ascii="Arial" w:eastAsia="Times New Roman" w:hAnsi="Arial" w:cs="Arial"/>
          <w:bCs/>
          <w:sz w:val="18"/>
          <w:szCs w:val="18"/>
        </w:rPr>
        <w:t xml:space="preserve"> </w:t>
      </w:r>
    </w:p>
    <w:p w14:paraId="16639319" w14:textId="77777777" w:rsidR="006D251D" w:rsidRPr="00720A0C" w:rsidRDefault="006D251D" w:rsidP="00B20566">
      <w:pPr>
        <w:autoSpaceDE w:val="0"/>
        <w:autoSpaceDN w:val="0"/>
        <w:adjustRightInd w:val="0"/>
        <w:spacing w:after="0" w:line="240" w:lineRule="auto"/>
        <w:jc w:val="both"/>
        <w:rPr>
          <w:rFonts w:ascii="Arial" w:eastAsia="Times New Roman" w:hAnsi="Arial" w:cs="Arial"/>
          <w:bCs/>
          <w:sz w:val="18"/>
          <w:szCs w:val="18"/>
        </w:rPr>
      </w:pPr>
    </w:p>
    <w:p w14:paraId="60FBCAC0" w14:textId="77777777" w:rsidR="00664006" w:rsidRPr="00720A0C" w:rsidRDefault="00664006" w:rsidP="0066400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Dubrovačko-neretvanska županija, Upravni odjel za prostorno uređenje i gradnju izdalo je:</w:t>
      </w:r>
    </w:p>
    <w:p w14:paraId="369E1931" w14:textId="32600EC6" w:rsidR="00664006" w:rsidRPr="00720A0C" w:rsidRDefault="00664006">
      <w:pPr>
        <w:numPr>
          <w:ilvl w:val="0"/>
          <w:numId w:val="4"/>
        </w:num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b/>
          <w:sz w:val="18"/>
          <w:szCs w:val="18"/>
          <w:u w:val="single"/>
        </w:rPr>
        <w:t>Uporabnu dozvolu</w:t>
      </w:r>
      <w:r w:rsidRPr="00720A0C">
        <w:rPr>
          <w:rFonts w:ascii="Arial" w:eastAsia="Times New Roman" w:hAnsi="Arial" w:cs="Arial"/>
          <w:sz w:val="18"/>
          <w:szCs w:val="18"/>
        </w:rPr>
        <w:t xml:space="preserve"> za izgrađene faze 2, 3, i 4. zahvata u prostoru infrastrukturne namjene vodno-gospodarskog sustava naselja Molunat (građevina u sustavu odvodnje otpadnih voda i vodoopskrbe: gravitacijski i tlačni cjevovod i tri crpne stanice, te vodoopskrbni cjevovod s nadzemnim hidrantima; KLASA: UP/I-361-05/22-01/000131; URBROJ:2117-23-6/1-23-0010, Gruda, 1.12.2023. PRAVOMOĆNA 19.12.2023.</w:t>
      </w:r>
    </w:p>
    <w:p w14:paraId="38E5BFCC" w14:textId="77777777" w:rsidR="00664006" w:rsidRPr="00720A0C" w:rsidRDefault="00664006" w:rsidP="00B20566">
      <w:pPr>
        <w:autoSpaceDE w:val="0"/>
        <w:autoSpaceDN w:val="0"/>
        <w:adjustRightInd w:val="0"/>
        <w:spacing w:after="0" w:line="240" w:lineRule="auto"/>
        <w:jc w:val="both"/>
        <w:rPr>
          <w:rFonts w:ascii="Arial" w:eastAsia="Times New Roman" w:hAnsi="Arial" w:cs="Arial"/>
          <w:bCs/>
          <w:sz w:val="18"/>
          <w:szCs w:val="18"/>
        </w:rPr>
      </w:pPr>
    </w:p>
    <w:p w14:paraId="507EF9D4" w14:textId="2042D285" w:rsidR="008B486B" w:rsidRPr="00FF3C31" w:rsidRDefault="008B486B">
      <w:pPr>
        <w:pStyle w:val="Odlomakpopisa"/>
        <w:numPr>
          <w:ilvl w:val="0"/>
          <w:numId w:val="21"/>
        </w:numPr>
        <w:pBdr>
          <w:top w:val="dotted" w:sz="4" w:space="1" w:color="auto"/>
          <w:left w:val="dotted" w:sz="4" w:space="4" w:color="auto"/>
          <w:bottom w:val="dotted" w:sz="4" w:space="1" w:color="auto"/>
          <w:right w:val="dotted" w:sz="4" w:space="4" w:color="auto"/>
        </w:pBdr>
        <w:autoSpaceDE w:val="0"/>
        <w:autoSpaceDN w:val="0"/>
        <w:adjustRightInd w:val="0"/>
        <w:rPr>
          <w:rFonts w:ascii="Arial" w:hAnsi="Arial" w:cs="Arial"/>
          <w:b/>
          <w:bCs/>
        </w:rPr>
      </w:pPr>
      <w:r w:rsidRPr="00FF3C31">
        <w:rPr>
          <w:rFonts w:ascii="Arial" w:hAnsi="Arial" w:cs="Arial"/>
          <w:b/>
          <w:bCs/>
        </w:rPr>
        <w:t>Izgradnja uređaja za pročišćavanje otpadnih voda i podmorskog ispusta - Molunat</w:t>
      </w:r>
    </w:p>
    <w:p w14:paraId="278FA66C" w14:textId="77777777" w:rsidR="008B486B" w:rsidRPr="00720A0C" w:rsidRDefault="008B486B" w:rsidP="008B486B">
      <w:pPr>
        <w:pStyle w:val="Odlomakpopisa"/>
        <w:autoSpaceDE w:val="0"/>
        <w:autoSpaceDN w:val="0"/>
        <w:adjustRightInd w:val="0"/>
        <w:ind w:left="720"/>
        <w:rPr>
          <w:rFonts w:ascii="Arial" w:hAnsi="Arial" w:cs="Arial"/>
          <w:sz w:val="18"/>
          <w:szCs w:val="18"/>
        </w:rPr>
      </w:pPr>
    </w:p>
    <w:p w14:paraId="0141CEF5" w14:textId="4D6F74EA"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Pored </w:t>
      </w:r>
      <w:r w:rsidR="006D251D" w:rsidRPr="00720A0C">
        <w:rPr>
          <w:rFonts w:ascii="Arial" w:eastAsia="Times New Roman" w:hAnsi="Arial" w:cs="Arial"/>
          <w:sz w:val="18"/>
          <w:szCs w:val="18"/>
        </w:rPr>
        <w:t>prethodno navedenih</w:t>
      </w:r>
      <w:r w:rsidRPr="00720A0C">
        <w:rPr>
          <w:rFonts w:ascii="Arial" w:eastAsia="Times New Roman" w:hAnsi="Arial" w:cs="Arial"/>
          <w:sz w:val="18"/>
          <w:szCs w:val="18"/>
        </w:rPr>
        <w:t xml:space="preserve"> radova</w:t>
      </w:r>
      <w:r w:rsidR="006D251D" w:rsidRPr="00720A0C">
        <w:rPr>
          <w:rFonts w:ascii="Arial" w:eastAsia="Times New Roman" w:hAnsi="Arial" w:cs="Arial"/>
          <w:sz w:val="18"/>
          <w:szCs w:val="18"/>
        </w:rPr>
        <w:t xml:space="preserve"> izgradnje sustava vodovoda i odvodnje u naselju Molunat</w:t>
      </w:r>
      <w:r w:rsidRPr="00720A0C">
        <w:rPr>
          <w:rFonts w:ascii="Arial" w:eastAsia="Times New Roman" w:hAnsi="Arial" w:cs="Arial"/>
          <w:sz w:val="18"/>
          <w:szCs w:val="18"/>
        </w:rPr>
        <w:t xml:space="preserve">, u 2021. su započeti i radovi izgradnje uređaja za pročišćavanje otpadnih voda i podmorskog ispusta. </w:t>
      </w:r>
    </w:p>
    <w:p w14:paraId="12CC602D" w14:textId="6A3CDE4A"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Naime, nakon provedenog postupka javne nabave, komunalno društvo je 7.5.2021. zaključilo ugovor o izvođenju radovi izgradnje uređaja za pročišćavanje otpadnih voda i podmorskog ispusta iznosu </w:t>
      </w:r>
      <w:r w:rsidRPr="00720A0C">
        <w:rPr>
          <w:rFonts w:ascii="Arial" w:eastAsia="Times New Roman" w:hAnsi="Arial" w:cs="Arial"/>
          <w:b/>
          <w:sz w:val="18"/>
          <w:szCs w:val="18"/>
        </w:rPr>
        <w:t>8.612.799 kn</w:t>
      </w:r>
      <w:r w:rsidR="00272F3A" w:rsidRPr="00720A0C">
        <w:rPr>
          <w:rFonts w:ascii="Arial" w:eastAsia="Times New Roman" w:hAnsi="Arial" w:cs="Arial"/>
          <w:b/>
          <w:sz w:val="18"/>
          <w:szCs w:val="18"/>
        </w:rPr>
        <w:t xml:space="preserve"> (1.143.114,87 €)</w:t>
      </w:r>
      <w:r w:rsidRPr="00720A0C">
        <w:rPr>
          <w:rFonts w:ascii="Arial" w:eastAsia="Times New Roman" w:hAnsi="Arial" w:cs="Arial"/>
          <w:sz w:val="18"/>
          <w:szCs w:val="18"/>
        </w:rPr>
        <w:t xml:space="preserve">, bez poreza na dodanu vrijednost, odnosno s porezom 10.765.998,75 kn </w:t>
      </w:r>
      <w:r w:rsidR="00272F3A" w:rsidRPr="00720A0C">
        <w:rPr>
          <w:rFonts w:ascii="Arial" w:eastAsia="Times New Roman" w:hAnsi="Arial" w:cs="Arial"/>
          <w:sz w:val="18"/>
          <w:szCs w:val="18"/>
        </w:rPr>
        <w:t xml:space="preserve">(1.428.893,59 €) </w:t>
      </w:r>
      <w:r w:rsidRPr="00720A0C">
        <w:rPr>
          <w:rFonts w:ascii="Arial" w:eastAsia="Times New Roman" w:hAnsi="Arial" w:cs="Arial"/>
          <w:sz w:val="18"/>
          <w:szCs w:val="18"/>
        </w:rPr>
        <w:t>(nositelj radova izvođenja, a ugovorom je utvrđeno još 2 podizvoditelja za pojedine vrste poslova: Proton d.o.o. Gornji Kneginec za 16,81 % elektroinstalaterskih radova, Jadranski ronilački servis d.o.o. Šibenik za 37,36% radova podmorskog ispusta). Najznačajniji udjel radova ima Texo gradnja za 45,83% radova.</w:t>
      </w:r>
    </w:p>
    <w:p w14:paraId="459246CF"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Ugovor je zaključen sa izvođačem Texo gradnja d.o.o. Mlini. Ugovoreno je izvođenje radova unutar 24 mjeseca (18 mjeseci rok izvođenja radova i 6 mjeseci priključenje na kanalizaciju i ishođenje uporabne dozvole), s time da je izvođač obvezan usuglasiti dinamiku izvođenja radova sukladno mogućnostima bez dodatnih troškova neovisno dolazi li do privremenog prekida radova. Ukupna cijena radova je fiksna i nepromjenljiva s bilo koje osnove. Jamstvo za uredno ispunjenje ugovora je bankarska garancija plativa na prvi poziv i bez prigovora u iznosu 10% ugovorene cijene bez PDV-a. Izvođač jamči i osigurava da na građevini neće nastati nikakvi nedostaci u dvogodišnjem roku od trenutka zapisničke primopredaje građevine. Za solidnost sanacije postojećih konstrukcija i solidnost novoizgrađene građevine daje se jamstveni rok 10 godina. Izvođač je obvezan društvu (naručitelju) dostaviti jamstvo za otklanjanje nedostataka u jamstvenom roku na period od dvije godine u obliku bankarske garancije na iznos od 5% ugovorenog iznosa PDV-a. Kazna za svaki dan kašnjenja u izvođenju radove prema detaljnom dinamičkom planu je 5 promila s time da je maksimalni iznos ugovorene kazne 10% ugovorene kazne ne može prijeći 10% ugovorene vrijednosti radova s PDV-om.</w:t>
      </w:r>
    </w:p>
    <w:p w14:paraId="17B35056"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551DC49D"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Izvođač je započeo radove 11.05.2021, upisom u građevinski dnevnik.</w:t>
      </w:r>
    </w:p>
    <w:p w14:paraId="720C9EE9"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693955B7" w14:textId="2870744D" w:rsidR="00B20566" w:rsidRPr="00720A0C" w:rsidRDefault="00B20566" w:rsidP="00B20566">
      <w:pPr>
        <w:autoSpaceDE w:val="0"/>
        <w:autoSpaceDN w:val="0"/>
        <w:adjustRightInd w:val="0"/>
        <w:spacing w:after="0" w:line="240" w:lineRule="auto"/>
        <w:jc w:val="both"/>
        <w:rPr>
          <w:rFonts w:ascii="Arial" w:eastAsia="Calibri" w:hAnsi="Arial" w:cs="Arial"/>
          <w:sz w:val="18"/>
          <w:szCs w:val="18"/>
        </w:rPr>
      </w:pPr>
      <w:r w:rsidRPr="00720A0C">
        <w:rPr>
          <w:rFonts w:ascii="Arial" w:eastAsia="Times New Roman" w:hAnsi="Arial" w:cs="Arial"/>
          <w:sz w:val="18"/>
          <w:szCs w:val="18"/>
        </w:rPr>
        <w:t xml:space="preserve">Prema ugovoru od 6.5.2021. </w:t>
      </w:r>
      <w:r w:rsidRPr="00720A0C">
        <w:rPr>
          <w:rFonts w:ascii="Arial" w:eastAsia="Times New Roman" w:hAnsi="Arial" w:cs="Arial"/>
          <w:b/>
          <w:sz w:val="18"/>
          <w:szCs w:val="18"/>
        </w:rPr>
        <w:t>stručni nadzor</w:t>
      </w:r>
      <w:r w:rsidRPr="00720A0C">
        <w:rPr>
          <w:rFonts w:ascii="Arial" w:eastAsia="Times New Roman" w:hAnsi="Arial" w:cs="Arial"/>
          <w:sz w:val="18"/>
          <w:szCs w:val="18"/>
        </w:rPr>
        <w:t xml:space="preserve"> je ured ovlaštenog inženjera građevinarstva Ivana Mucić u iznosu 194.000</w:t>
      </w:r>
      <w:r w:rsidR="00272F3A" w:rsidRPr="00720A0C">
        <w:rPr>
          <w:rFonts w:ascii="Arial" w:eastAsia="Times New Roman" w:hAnsi="Arial" w:cs="Arial"/>
          <w:sz w:val="18"/>
          <w:szCs w:val="18"/>
        </w:rPr>
        <w:t xml:space="preserve"> </w:t>
      </w:r>
      <w:r w:rsidRPr="00720A0C">
        <w:rPr>
          <w:rFonts w:ascii="Arial" w:eastAsia="Times New Roman" w:hAnsi="Arial" w:cs="Arial"/>
          <w:sz w:val="18"/>
          <w:szCs w:val="18"/>
        </w:rPr>
        <w:t>kn</w:t>
      </w:r>
      <w:r w:rsidR="00272F3A" w:rsidRPr="00720A0C">
        <w:rPr>
          <w:rFonts w:ascii="Arial" w:eastAsia="Times New Roman" w:hAnsi="Arial" w:cs="Arial"/>
          <w:sz w:val="18"/>
          <w:szCs w:val="18"/>
        </w:rPr>
        <w:t xml:space="preserve"> (25.748,22 €)</w:t>
      </w:r>
      <w:r w:rsidRPr="00720A0C">
        <w:rPr>
          <w:rFonts w:ascii="Arial" w:eastAsia="Times New Roman" w:hAnsi="Arial" w:cs="Arial"/>
          <w:sz w:val="18"/>
          <w:szCs w:val="18"/>
        </w:rPr>
        <w:t>, bez poreza na dodanu vrijednost (242.500 kn s PDV-om)</w:t>
      </w:r>
      <w:r w:rsidR="00272F3A" w:rsidRPr="00720A0C">
        <w:rPr>
          <w:rFonts w:ascii="Arial" w:eastAsia="Times New Roman" w:hAnsi="Arial" w:cs="Arial"/>
          <w:sz w:val="18"/>
          <w:szCs w:val="18"/>
        </w:rPr>
        <w:t xml:space="preserve"> (32.185,28 €)</w:t>
      </w:r>
      <w:r w:rsidRPr="00720A0C">
        <w:rPr>
          <w:rFonts w:ascii="Arial" w:eastAsia="Times New Roman" w:hAnsi="Arial" w:cs="Arial"/>
          <w:sz w:val="18"/>
          <w:szCs w:val="18"/>
        </w:rPr>
        <w:t xml:space="preserve">. </w:t>
      </w:r>
    </w:p>
    <w:p w14:paraId="579A3E19"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534D1F25" w14:textId="33A07680"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Izvoditelj je za radove do konca </w:t>
      </w:r>
      <w:r w:rsidR="006D251D" w:rsidRPr="00720A0C">
        <w:rPr>
          <w:rFonts w:ascii="Arial" w:eastAsia="Times New Roman" w:hAnsi="Arial" w:cs="Arial"/>
          <w:sz w:val="18"/>
          <w:szCs w:val="18"/>
        </w:rPr>
        <w:t>prosinca</w:t>
      </w:r>
      <w:r w:rsidRPr="00720A0C">
        <w:rPr>
          <w:rFonts w:ascii="Arial" w:eastAsia="Times New Roman" w:hAnsi="Arial" w:cs="Arial"/>
          <w:sz w:val="18"/>
          <w:szCs w:val="18"/>
        </w:rPr>
        <w:t xml:space="preserve"> 2021. godine </w:t>
      </w:r>
      <w:r w:rsidRPr="00720A0C">
        <w:rPr>
          <w:rFonts w:ascii="Arial" w:eastAsia="Times New Roman" w:hAnsi="Arial" w:cs="Arial"/>
          <w:b/>
          <w:sz w:val="18"/>
          <w:szCs w:val="18"/>
        </w:rPr>
        <w:t>ispostavio komunalnom društvu</w:t>
      </w:r>
      <w:r w:rsidRPr="00720A0C">
        <w:rPr>
          <w:rFonts w:ascii="Arial" w:eastAsia="Times New Roman" w:hAnsi="Arial" w:cs="Arial"/>
          <w:sz w:val="18"/>
          <w:szCs w:val="18"/>
        </w:rPr>
        <w:t xml:space="preserve"> zaključno </w:t>
      </w:r>
      <w:r w:rsidR="006D251D" w:rsidRPr="00720A0C">
        <w:rPr>
          <w:rFonts w:ascii="Arial" w:eastAsia="Times New Roman" w:hAnsi="Arial" w:cs="Arial"/>
          <w:sz w:val="18"/>
          <w:szCs w:val="18"/>
        </w:rPr>
        <w:t>8</w:t>
      </w:r>
      <w:r w:rsidRPr="00720A0C">
        <w:rPr>
          <w:rFonts w:ascii="Arial" w:eastAsia="Times New Roman" w:hAnsi="Arial" w:cs="Arial"/>
          <w:sz w:val="18"/>
          <w:szCs w:val="18"/>
        </w:rPr>
        <w:t xml:space="preserve"> privremen</w:t>
      </w:r>
      <w:r w:rsidR="006D251D" w:rsidRPr="00720A0C">
        <w:rPr>
          <w:rFonts w:ascii="Arial" w:eastAsia="Times New Roman" w:hAnsi="Arial" w:cs="Arial"/>
          <w:sz w:val="18"/>
          <w:szCs w:val="18"/>
        </w:rPr>
        <w:t>ih</w:t>
      </w:r>
      <w:r w:rsidRPr="00720A0C">
        <w:rPr>
          <w:rFonts w:ascii="Arial" w:eastAsia="Times New Roman" w:hAnsi="Arial" w:cs="Arial"/>
          <w:sz w:val="18"/>
          <w:szCs w:val="18"/>
        </w:rPr>
        <w:t xml:space="preserve"> situacij</w:t>
      </w:r>
      <w:r w:rsidR="006D251D" w:rsidRPr="00720A0C">
        <w:rPr>
          <w:rFonts w:ascii="Arial" w:eastAsia="Times New Roman" w:hAnsi="Arial" w:cs="Arial"/>
          <w:sz w:val="18"/>
          <w:szCs w:val="18"/>
        </w:rPr>
        <w:t>a</w:t>
      </w:r>
      <w:r w:rsidRPr="00720A0C">
        <w:rPr>
          <w:rFonts w:ascii="Arial" w:eastAsia="Times New Roman" w:hAnsi="Arial" w:cs="Arial"/>
          <w:sz w:val="18"/>
          <w:szCs w:val="18"/>
        </w:rPr>
        <w:t xml:space="preserve"> po kojima su radovi izvedeni u vrijednosti </w:t>
      </w:r>
      <w:r w:rsidR="006D251D" w:rsidRPr="00720A0C">
        <w:rPr>
          <w:rFonts w:ascii="Arial" w:eastAsia="Times New Roman" w:hAnsi="Arial" w:cs="Arial"/>
          <w:sz w:val="18"/>
          <w:szCs w:val="18"/>
        </w:rPr>
        <w:t>2.020.565,68</w:t>
      </w:r>
      <w:r w:rsidRPr="00720A0C">
        <w:rPr>
          <w:rFonts w:ascii="Arial" w:eastAsia="Times New Roman" w:hAnsi="Arial" w:cs="Arial"/>
          <w:sz w:val="18"/>
          <w:szCs w:val="18"/>
        </w:rPr>
        <w:t xml:space="preserve"> kn bez PDV-a (odnosno </w:t>
      </w:r>
      <w:r w:rsidR="006D251D" w:rsidRPr="00720A0C">
        <w:rPr>
          <w:rFonts w:ascii="Arial" w:eastAsia="Times New Roman" w:hAnsi="Arial" w:cs="Arial"/>
          <w:sz w:val="18"/>
          <w:szCs w:val="18"/>
        </w:rPr>
        <w:t>2.525.707,10</w:t>
      </w:r>
      <w:r w:rsidRPr="00720A0C">
        <w:rPr>
          <w:rFonts w:ascii="Arial" w:eastAsia="Times New Roman" w:hAnsi="Arial" w:cs="Arial"/>
          <w:sz w:val="18"/>
          <w:szCs w:val="18"/>
        </w:rPr>
        <w:t xml:space="preserve"> kn s PDV-om)</w:t>
      </w:r>
      <w:r w:rsidR="00272F3A" w:rsidRPr="00720A0C">
        <w:rPr>
          <w:rFonts w:ascii="Arial" w:eastAsia="Times New Roman" w:hAnsi="Arial" w:cs="Arial"/>
          <w:sz w:val="18"/>
          <w:szCs w:val="18"/>
        </w:rPr>
        <w:t xml:space="preserve"> (335.218,94 €)</w:t>
      </w:r>
      <w:r w:rsidRPr="00720A0C">
        <w:rPr>
          <w:rFonts w:ascii="Arial" w:eastAsia="Times New Roman" w:hAnsi="Arial" w:cs="Arial"/>
          <w:sz w:val="18"/>
          <w:szCs w:val="18"/>
        </w:rPr>
        <w:t xml:space="preserve">. </w:t>
      </w:r>
    </w:p>
    <w:p w14:paraId="50B0B504" w14:textId="459EF945"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74F123DB" w14:textId="3A50E40A" w:rsidR="006D251D" w:rsidRPr="00720A0C" w:rsidRDefault="006D251D" w:rsidP="006D251D">
      <w:pPr>
        <w:autoSpaceDE w:val="0"/>
        <w:autoSpaceDN w:val="0"/>
        <w:adjustRightInd w:val="0"/>
        <w:spacing w:after="0" w:line="240" w:lineRule="auto"/>
        <w:jc w:val="both"/>
        <w:rPr>
          <w:rFonts w:ascii="Arial" w:eastAsia="Times New Roman" w:hAnsi="Arial" w:cs="Arial"/>
          <w:bCs/>
          <w:sz w:val="18"/>
          <w:szCs w:val="18"/>
        </w:rPr>
      </w:pPr>
      <w:r w:rsidRPr="00720A0C">
        <w:rPr>
          <w:rFonts w:ascii="Arial" w:eastAsia="Times New Roman" w:hAnsi="Arial" w:cs="Arial"/>
          <w:sz w:val="18"/>
          <w:szCs w:val="18"/>
        </w:rPr>
        <w:t xml:space="preserve">Koncem 2021. godine postotak izvedenih radova izgradnje uređaja za pročišćavanje otpadnih voda i podmorskog ispusta iznose </w:t>
      </w:r>
      <w:r w:rsidRPr="00720A0C">
        <w:rPr>
          <w:rFonts w:ascii="Arial" w:eastAsia="Times New Roman" w:hAnsi="Arial" w:cs="Arial"/>
          <w:b/>
          <w:sz w:val="18"/>
          <w:szCs w:val="18"/>
        </w:rPr>
        <w:t>23,5%.</w:t>
      </w:r>
    </w:p>
    <w:p w14:paraId="7ECDB6FC" w14:textId="1FCF9FF6" w:rsidR="006D251D" w:rsidRPr="00720A0C" w:rsidRDefault="006D251D" w:rsidP="00B20566">
      <w:pPr>
        <w:autoSpaceDE w:val="0"/>
        <w:autoSpaceDN w:val="0"/>
        <w:adjustRightInd w:val="0"/>
        <w:spacing w:after="0" w:line="240" w:lineRule="auto"/>
        <w:jc w:val="both"/>
        <w:rPr>
          <w:rFonts w:ascii="Arial" w:eastAsia="Times New Roman" w:hAnsi="Arial" w:cs="Arial"/>
          <w:sz w:val="18"/>
          <w:szCs w:val="18"/>
        </w:rPr>
      </w:pPr>
    </w:p>
    <w:p w14:paraId="4261FD1B" w14:textId="64CDD089" w:rsidR="003A099E" w:rsidRPr="00720A0C" w:rsidRDefault="003A099E"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U listopadu 2022. zaključen je dodatak ugovora s izvođačem radova u vrijednosti 897.581 kn, bez poreza na dodanu vrijednost. Izmjene su uvjetovane zbog promjene tehnologije izrade podmorskog ispusta. Nakon ovih izmjena ukupna vrijednost ugovora iznosi 9.510.380 kn što s porezom na dodanu vrijednost čini 11.887.975 kn</w:t>
      </w:r>
      <w:r w:rsidR="00737335" w:rsidRPr="00720A0C">
        <w:rPr>
          <w:rFonts w:ascii="Arial" w:eastAsia="Times New Roman" w:hAnsi="Arial" w:cs="Arial"/>
          <w:sz w:val="18"/>
          <w:szCs w:val="18"/>
        </w:rPr>
        <w:t xml:space="preserve"> (odnosno 1.262.244,34 EUR ili 1.577.805,43 EUR s PDV-om). Rok izvođenja radova je utvrđen do 1. listopada 2023.</w:t>
      </w:r>
    </w:p>
    <w:p w14:paraId="2E21AF68" w14:textId="77777777" w:rsidR="003A099E" w:rsidRPr="00720A0C" w:rsidRDefault="003A099E" w:rsidP="00B20566">
      <w:pPr>
        <w:autoSpaceDE w:val="0"/>
        <w:autoSpaceDN w:val="0"/>
        <w:adjustRightInd w:val="0"/>
        <w:spacing w:after="0" w:line="240" w:lineRule="auto"/>
        <w:jc w:val="both"/>
        <w:rPr>
          <w:rFonts w:ascii="Arial" w:eastAsia="Times New Roman" w:hAnsi="Arial" w:cs="Arial"/>
          <w:sz w:val="18"/>
          <w:szCs w:val="18"/>
        </w:rPr>
      </w:pPr>
    </w:p>
    <w:p w14:paraId="7B3862FA" w14:textId="460911DE" w:rsidR="00F65DA9" w:rsidRPr="00720A0C" w:rsidRDefault="00F65DA9"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lastRenderedPageBreak/>
        <w:t xml:space="preserve">U 2022. izvoditelj je ispostavio </w:t>
      </w:r>
      <w:r w:rsidR="003A099E" w:rsidRPr="00720A0C">
        <w:rPr>
          <w:rFonts w:ascii="Arial" w:eastAsia="Times New Roman" w:hAnsi="Arial" w:cs="Arial"/>
          <w:sz w:val="18"/>
          <w:szCs w:val="18"/>
        </w:rPr>
        <w:t>tri</w:t>
      </w:r>
      <w:r w:rsidRPr="00720A0C">
        <w:rPr>
          <w:rFonts w:ascii="Arial" w:eastAsia="Times New Roman" w:hAnsi="Arial" w:cs="Arial"/>
          <w:sz w:val="18"/>
          <w:szCs w:val="18"/>
        </w:rPr>
        <w:t xml:space="preserve"> privremen</w:t>
      </w:r>
      <w:r w:rsidR="003A099E" w:rsidRPr="00720A0C">
        <w:rPr>
          <w:rFonts w:ascii="Arial" w:eastAsia="Times New Roman" w:hAnsi="Arial" w:cs="Arial"/>
          <w:sz w:val="18"/>
          <w:szCs w:val="18"/>
        </w:rPr>
        <w:t>e</w:t>
      </w:r>
      <w:r w:rsidRPr="00720A0C">
        <w:rPr>
          <w:rFonts w:ascii="Arial" w:eastAsia="Times New Roman" w:hAnsi="Arial" w:cs="Arial"/>
          <w:sz w:val="18"/>
          <w:szCs w:val="18"/>
        </w:rPr>
        <w:t xml:space="preserve"> situacij</w:t>
      </w:r>
      <w:r w:rsidR="003A099E" w:rsidRPr="00720A0C">
        <w:rPr>
          <w:rFonts w:ascii="Arial" w:eastAsia="Times New Roman" w:hAnsi="Arial" w:cs="Arial"/>
          <w:sz w:val="18"/>
          <w:szCs w:val="18"/>
        </w:rPr>
        <w:t>e</w:t>
      </w:r>
      <w:r w:rsidRPr="00720A0C">
        <w:rPr>
          <w:rFonts w:ascii="Arial" w:eastAsia="Times New Roman" w:hAnsi="Arial" w:cs="Arial"/>
          <w:sz w:val="18"/>
          <w:szCs w:val="18"/>
        </w:rPr>
        <w:t xml:space="preserve"> (9</w:t>
      </w:r>
      <w:r w:rsidR="003A099E" w:rsidRPr="00720A0C">
        <w:rPr>
          <w:rFonts w:ascii="Arial" w:eastAsia="Times New Roman" w:hAnsi="Arial" w:cs="Arial"/>
          <w:sz w:val="18"/>
          <w:szCs w:val="18"/>
        </w:rPr>
        <w:t>-11</w:t>
      </w:r>
      <w:r w:rsidRPr="00720A0C">
        <w:rPr>
          <w:rFonts w:ascii="Arial" w:eastAsia="Times New Roman" w:hAnsi="Arial" w:cs="Arial"/>
          <w:sz w:val="18"/>
          <w:szCs w:val="18"/>
        </w:rPr>
        <w:t xml:space="preserve">.priv.sit.) u iznosu </w:t>
      </w:r>
      <w:r w:rsidR="003A099E" w:rsidRPr="00720A0C">
        <w:rPr>
          <w:rFonts w:ascii="Arial" w:eastAsia="Times New Roman" w:hAnsi="Arial" w:cs="Arial"/>
          <w:sz w:val="18"/>
          <w:szCs w:val="18"/>
        </w:rPr>
        <w:t>699.285,70</w:t>
      </w:r>
      <w:r w:rsidRPr="00720A0C">
        <w:rPr>
          <w:rFonts w:ascii="Arial" w:eastAsia="Times New Roman" w:hAnsi="Arial" w:cs="Arial"/>
          <w:sz w:val="18"/>
          <w:szCs w:val="18"/>
        </w:rPr>
        <w:t xml:space="preserve"> kn što s PDV-om čini </w:t>
      </w:r>
      <w:r w:rsidR="003A099E" w:rsidRPr="00720A0C">
        <w:rPr>
          <w:rFonts w:ascii="Arial" w:eastAsia="Times New Roman" w:hAnsi="Arial" w:cs="Arial"/>
          <w:sz w:val="18"/>
          <w:szCs w:val="18"/>
        </w:rPr>
        <w:t>874.107,13</w:t>
      </w:r>
      <w:r w:rsidRPr="00720A0C">
        <w:rPr>
          <w:rFonts w:ascii="Arial" w:eastAsia="Times New Roman" w:hAnsi="Arial" w:cs="Arial"/>
          <w:sz w:val="18"/>
          <w:szCs w:val="18"/>
        </w:rPr>
        <w:t xml:space="preserve"> kn, te sveukupno izvedeni radovi iznose </w:t>
      </w:r>
      <w:r w:rsidR="003A099E" w:rsidRPr="00720A0C">
        <w:rPr>
          <w:rFonts w:ascii="Arial" w:eastAsia="Times New Roman" w:hAnsi="Arial" w:cs="Arial"/>
          <w:sz w:val="18"/>
          <w:szCs w:val="18"/>
        </w:rPr>
        <w:t>2.719.851,38</w:t>
      </w:r>
      <w:r w:rsidR="00F82A8E" w:rsidRPr="00720A0C">
        <w:rPr>
          <w:rFonts w:ascii="Arial" w:eastAsia="Times New Roman" w:hAnsi="Arial" w:cs="Arial"/>
          <w:sz w:val="18"/>
          <w:szCs w:val="18"/>
        </w:rPr>
        <w:t xml:space="preserve"> kn (</w:t>
      </w:r>
      <w:r w:rsidR="003A099E" w:rsidRPr="00720A0C">
        <w:rPr>
          <w:rFonts w:ascii="Arial" w:eastAsia="Times New Roman" w:hAnsi="Arial" w:cs="Arial"/>
          <w:sz w:val="18"/>
          <w:szCs w:val="18"/>
        </w:rPr>
        <w:t xml:space="preserve">3.399.814,23 </w:t>
      </w:r>
      <w:r w:rsidR="00F82A8E" w:rsidRPr="00720A0C">
        <w:rPr>
          <w:rFonts w:ascii="Arial" w:eastAsia="Times New Roman" w:hAnsi="Arial" w:cs="Arial"/>
          <w:sz w:val="18"/>
          <w:szCs w:val="18"/>
        </w:rPr>
        <w:t>kn s PDV-om)</w:t>
      </w:r>
      <w:r w:rsidR="003A099E" w:rsidRPr="00720A0C">
        <w:rPr>
          <w:rFonts w:ascii="Arial" w:eastAsia="Times New Roman" w:hAnsi="Arial" w:cs="Arial"/>
          <w:sz w:val="18"/>
          <w:szCs w:val="18"/>
        </w:rPr>
        <w:t xml:space="preserve"> odnosno 360.986,31 EUR (451.232,89 EUR s PDV-om).</w:t>
      </w:r>
    </w:p>
    <w:p w14:paraId="44F69ABB" w14:textId="77777777" w:rsidR="00F65DA9" w:rsidRPr="00720A0C" w:rsidRDefault="00F65DA9" w:rsidP="00B20566">
      <w:pPr>
        <w:autoSpaceDE w:val="0"/>
        <w:autoSpaceDN w:val="0"/>
        <w:adjustRightInd w:val="0"/>
        <w:spacing w:after="0" w:line="240" w:lineRule="auto"/>
        <w:jc w:val="both"/>
        <w:rPr>
          <w:rFonts w:ascii="Arial" w:eastAsia="Times New Roman" w:hAnsi="Arial" w:cs="Arial"/>
          <w:sz w:val="18"/>
          <w:szCs w:val="18"/>
        </w:rPr>
      </w:pPr>
    </w:p>
    <w:p w14:paraId="6F243431" w14:textId="4B04D481" w:rsidR="00737335" w:rsidRPr="00720A0C" w:rsidRDefault="00737335" w:rsidP="00737335">
      <w:pPr>
        <w:autoSpaceDE w:val="0"/>
        <w:autoSpaceDN w:val="0"/>
        <w:adjustRightInd w:val="0"/>
        <w:spacing w:after="0" w:line="240" w:lineRule="auto"/>
        <w:jc w:val="both"/>
        <w:rPr>
          <w:rFonts w:ascii="Arial" w:eastAsia="Times New Roman" w:hAnsi="Arial" w:cs="Arial"/>
          <w:bCs/>
          <w:sz w:val="18"/>
          <w:szCs w:val="18"/>
        </w:rPr>
      </w:pPr>
      <w:r w:rsidRPr="00720A0C">
        <w:rPr>
          <w:rFonts w:ascii="Arial" w:eastAsia="Times New Roman" w:hAnsi="Arial" w:cs="Arial"/>
          <w:sz w:val="18"/>
          <w:szCs w:val="18"/>
        </w:rPr>
        <w:t xml:space="preserve">Koncem 2022. godine postotak izvedenih radova izgradnje uređaja za pročišćavanje otpadnih voda i podmorskog ispusta iznose </w:t>
      </w:r>
      <w:r w:rsidRPr="00720A0C">
        <w:rPr>
          <w:rFonts w:ascii="Arial" w:eastAsia="Times New Roman" w:hAnsi="Arial" w:cs="Arial"/>
          <w:b/>
          <w:sz w:val="18"/>
          <w:szCs w:val="18"/>
        </w:rPr>
        <w:t>28,6%.</w:t>
      </w:r>
    </w:p>
    <w:p w14:paraId="33A8E4FF" w14:textId="77777777" w:rsidR="00737335" w:rsidRPr="00720A0C" w:rsidRDefault="00737335" w:rsidP="00737335">
      <w:pPr>
        <w:autoSpaceDE w:val="0"/>
        <w:autoSpaceDN w:val="0"/>
        <w:adjustRightInd w:val="0"/>
        <w:spacing w:after="0" w:line="240" w:lineRule="auto"/>
        <w:jc w:val="both"/>
        <w:rPr>
          <w:rFonts w:ascii="Arial" w:eastAsia="Times New Roman" w:hAnsi="Arial" w:cs="Arial"/>
          <w:sz w:val="18"/>
          <w:szCs w:val="18"/>
        </w:rPr>
      </w:pPr>
    </w:p>
    <w:p w14:paraId="119969F4" w14:textId="77777777" w:rsidR="00737335" w:rsidRPr="00720A0C" w:rsidRDefault="00737335" w:rsidP="00737335">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U ožujku 2023. je zaključen drugi dodatak ugovora s izvođačem radova u vrijednosti 38.677,20 EUR, bez poreza na dodanu vrijednost (revidiran ugovoreni troškovnik). Nakon ovih izmjena ukupna vrijednost ugovora iznosi 1.300.921,54 EUR što s porezom na dodanu vrijednost čini 1.626.151,93 EUR. Rok izvođenja radova je utvrđen do 1. veljače 2024.</w:t>
      </w:r>
    </w:p>
    <w:p w14:paraId="0D5D0D00" w14:textId="5DB2E39E" w:rsidR="00737335" w:rsidRPr="00720A0C" w:rsidRDefault="00737335" w:rsidP="00737335">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U 2023. izvoditelj je ispostavio </w:t>
      </w:r>
      <w:r w:rsidR="000C61D2" w:rsidRPr="00720A0C">
        <w:rPr>
          <w:rFonts w:ascii="Arial" w:eastAsia="Times New Roman" w:hAnsi="Arial" w:cs="Arial"/>
          <w:sz w:val="18"/>
          <w:szCs w:val="18"/>
        </w:rPr>
        <w:t>šest</w:t>
      </w:r>
      <w:r w:rsidRPr="00720A0C">
        <w:rPr>
          <w:rFonts w:ascii="Arial" w:eastAsia="Times New Roman" w:hAnsi="Arial" w:cs="Arial"/>
          <w:sz w:val="18"/>
          <w:szCs w:val="18"/>
        </w:rPr>
        <w:t xml:space="preserve"> privremen</w:t>
      </w:r>
      <w:r w:rsidR="000C61D2" w:rsidRPr="00720A0C">
        <w:rPr>
          <w:rFonts w:ascii="Arial" w:eastAsia="Times New Roman" w:hAnsi="Arial" w:cs="Arial"/>
          <w:sz w:val="18"/>
          <w:szCs w:val="18"/>
        </w:rPr>
        <w:t>ih</w:t>
      </w:r>
      <w:r w:rsidRPr="00720A0C">
        <w:rPr>
          <w:rFonts w:ascii="Arial" w:eastAsia="Times New Roman" w:hAnsi="Arial" w:cs="Arial"/>
          <w:sz w:val="18"/>
          <w:szCs w:val="18"/>
        </w:rPr>
        <w:t xml:space="preserve"> situacij</w:t>
      </w:r>
      <w:r w:rsidR="000C61D2" w:rsidRPr="00720A0C">
        <w:rPr>
          <w:rFonts w:ascii="Arial" w:eastAsia="Times New Roman" w:hAnsi="Arial" w:cs="Arial"/>
          <w:sz w:val="18"/>
          <w:szCs w:val="18"/>
        </w:rPr>
        <w:t>a</w:t>
      </w:r>
      <w:r w:rsidRPr="00720A0C">
        <w:rPr>
          <w:rFonts w:ascii="Arial" w:eastAsia="Times New Roman" w:hAnsi="Arial" w:cs="Arial"/>
          <w:sz w:val="18"/>
          <w:szCs w:val="18"/>
        </w:rPr>
        <w:t xml:space="preserve"> (12-1</w:t>
      </w:r>
      <w:r w:rsidR="001343D4" w:rsidRPr="00720A0C">
        <w:rPr>
          <w:rFonts w:ascii="Arial" w:eastAsia="Times New Roman" w:hAnsi="Arial" w:cs="Arial"/>
          <w:sz w:val="18"/>
          <w:szCs w:val="18"/>
        </w:rPr>
        <w:t>7</w:t>
      </w:r>
      <w:r w:rsidRPr="00720A0C">
        <w:rPr>
          <w:rFonts w:ascii="Arial" w:eastAsia="Times New Roman" w:hAnsi="Arial" w:cs="Arial"/>
          <w:sz w:val="18"/>
          <w:szCs w:val="18"/>
        </w:rPr>
        <w:t xml:space="preserve">.priv.sit.) u iznosu </w:t>
      </w:r>
      <w:r w:rsidR="001343D4" w:rsidRPr="00720A0C">
        <w:rPr>
          <w:rFonts w:ascii="Arial" w:eastAsia="Times New Roman" w:hAnsi="Arial" w:cs="Arial"/>
          <w:sz w:val="18"/>
          <w:szCs w:val="18"/>
        </w:rPr>
        <w:t xml:space="preserve">858.701,85 </w:t>
      </w:r>
      <w:r w:rsidRPr="00720A0C">
        <w:rPr>
          <w:rFonts w:ascii="Arial" w:eastAsia="Times New Roman" w:hAnsi="Arial" w:cs="Arial"/>
          <w:sz w:val="18"/>
          <w:szCs w:val="18"/>
        </w:rPr>
        <w:t xml:space="preserve">EUR </w:t>
      </w:r>
      <w:r w:rsidR="001343D4" w:rsidRPr="00720A0C">
        <w:rPr>
          <w:rFonts w:ascii="Arial" w:eastAsia="Times New Roman" w:hAnsi="Arial" w:cs="Arial"/>
          <w:sz w:val="18"/>
          <w:szCs w:val="18"/>
        </w:rPr>
        <w:t>bez</w:t>
      </w:r>
      <w:r w:rsidRPr="00720A0C">
        <w:rPr>
          <w:rFonts w:ascii="Arial" w:eastAsia="Times New Roman" w:hAnsi="Arial" w:cs="Arial"/>
          <w:sz w:val="18"/>
          <w:szCs w:val="18"/>
        </w:rPr>
        <w:t xml:space="preserve"> PDV-</w:t>
      </w:r>
      <w:r w:rsidR="001343D4" w:rsidRPr="00720A0C">
        <w:rPr>
          <w:rFonts w:ascii="Arial" w:eastAsia="Times New Roman" w:hAnsi="Arial" w:cs="Arial"/>
          <w:sz w:val="18"/>
          <w:szCs w:val="18"/>
        </w:rPr>
        <w:t>a</w:t>
      </w:r>
      <w:r w:rsidRPr="00720A0C">
        <w:rPr>
          <w:rFonts w:ascii="Arial" w:eastAsia="Times New Roman" w:hAnsi="Arial" w:cs="Arial"/>
          <w:sz w:val="18"/>
          <w:szCs w:val="18"/>
        </w:rPr>
        <w:t xml:space="preserve">, te sveukupno izvedeni radovi iznose </w:t>
      </w:r>
      <w:r w:rsidR="001343D4" w:rsidRPr="00720A0C">
        <w:rPr>
          <w:rFonts w:ascii="Arial" w:eastAsia="Times New Roman" w:hAnsi="Arial" w:cs="Arial"/>
          <w:sz w:val="18"/>
          <w:szCs w:val="18"/>
        </w:rPr>
        <w:t>1.219.688,16</w:t>
      </w:r>
      <w:r w:rsidRPr="00720A0C">
        <w:rPr>
          <w:rFonts w:ascii="Arial" w:eastAsia="Times New Roman" w:hAnsi="Arial" w:cs="Arial"/>
          <w:sz w:val="18"/>
          <w:szCs w:val="18"/>
        </w:rPr>
        <w:t xml:space="preserve"> EUR (</w:t>
      </w:r>
      <w:r w:rsidR="001343D4" w:rsidRPr="00720A0C">
        <w:rPr>
          <w:rFonts w:ascii="Arial" w:eastAsia="Times New Roman" w:hAnsi="Arial" w:cs="Arial"/>
          <w:sz w:val="18"/>
          <w:szCs w:val="18"/>
        </w:rPr>
        <w:t>1.524.610,20</w:t>
      </w:r>
      <w:r w:rsidRPr="00720A0C">
        <w:rPr>
          <w:rFonts w:ascii="Arial" w:eastAsia="Times New Roman" w:hAnsi="Arial" w:cs="Arial"/>
          <w:sz w:val="18"/>
          <w:szCs w:val="18"/>
        </w:rPr>
        <w:t xml:space="preserve"> EUR s PDV-om).</w:t>
      </w:r>
    </w:p>
    <w:p w14:paraId="74977B5D" w14:textId="77777777" w:rsidR="00737335" w:rsidRPr="00720A0C" w:rsidRDefault="00737335" w:rsidP="00B20566">
      <w:pPr>
        <w:autoSpaceDE w:val="0"/>
        <w:autoSpaceDN w:val="0"/>
        <w:adjustRightInd w:val="0"/>
        <w:spacing w:after="0" w:line="240" w:lineRule="auto"/>
        <w:jc w:val="both"/>
        <w:rPr>
          <w:rFonts w:ascii="Arial" w:eastAsia="Times New Roman" w:hAnsi="Arial" w:cs="Arial"/>
          <w:sz w:val="18"/>
          <w:szCs w:val="18"/>
        </w:rPr>
      </w:pPr>
    </w:p>
    <w:p w14:paraId="0E79AF87" w14:textId="1F64DBE7" w:rsidR="00737335" w:rsidRPr="00720A0C" w:rsidRDefault="00737335" w:rsidP="00737335">
      <w:pPr>
        <w:autoSpaceDE w:val="0"/>
        <w:autoSpaceDN w:val="0"/>
        <w:adjustRightInd w:val="0"/>
        <w:spacing w:after="0" w:line="240" w:lineRule="auto"/>
        <w:jc w:val="both"/>
        <w:rPr>
          <w:rFonts w:ascii="Arial" w:eastAsia="Times New Roman" w:hAnsi="Arial" w:cs="Arial"/>
          <w:b/>
          <w:sz w:val="18"/>
          <w:szCs w:val="18"/>
        </w:rPr>
      </w:pPr>
      <w:r w:rsidRPr="00720A0C">
        <w:rPr>
          <w:rFonts w:ascii="Arial" w:eastAsia="Times New Roman" w:hAnsi="Arial" w:cs="Arial"/>
          <w:sz w:val="18"/>
          <w:szCs w:val="18"/>
        </w:rPr>
        <w:t xml:space="preserve">Koncem 2023. godine postotak izvedenih radova izgradnje uređaja za pročišćavanje otpadnih voda i podmorskog ispusta iznose </w:t>
      </w:r>
      <w:r w:rsidR="00605E2E" w:rsidRPr="00720A0C">
        <w:rPr>
          <w:rFonts w:ascii="Arial" w:eastAsia="Times New Roman" w:hAnsi="Arial" w:cs="Arial"/>
          <w:b/>
          <w:sz w:val="18"/>
          <w:szCs w:val="18"/>
        </w:rPr>
        <w:t>99,9</w:t>
      </w:r>
      <w:r w:rsidRPr="00720A0C">
        <w:rPr>
          <w:rFonts w:ascii="Arial" w:eastAsia="Times New Roman" w:hAnsi="Arial" w:cs="Arial"/>
          <w:b/>
          <w:sz w:val="18"/>
          <w:szCs w:val="18"/>
        </w:rPr>
        <w:t>%.</w:t>
      </w:r>
    </w:p>
    <w:p w14:paraId="300A2F30" w14:textId="77777777" w:rsidR="00ED651F" w:rsidRPr="00720A0C" w:rsidRDefault="00ED651F" w:rsidP="00737335">
      <w:pPr>
        <w:autoSpaceDE w:val="0"/>
        <w:autoSpaceDN w:val="0"/>
        <w:adjustRightInd w:val="0"/>
        <w:spacing w:after="0" w:line="240" w:lineRule="auto"/>
        <w:jc w:val="both"/>
        <w:rPr>
          <w:rFonts w:ascii="Arial" w:eastAsia="Times New Roman" w:hAnsi="Arial" w:cs="Arial"/>
          <w:b/>
          <w:sz w:val="18"/>
          <w:szCs w:val="18"/>
        </w:rPr>
      </w:pPr>
    </w:p>
    <w:p w14:paraId="4EFF5664" w14:textId="4DCE537E" w:rsidR="00605E2E" w:rsidRPr="00FF3C31" w:rsidRDefault="00605E2E" w:rsidP="00593945">
      <w:pPr>
        <w:shd w:val="clear" w:color="auto" w:fill="FFFFFF"/>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Izvođač radova će ispostaviti okončanu situaciju nakon što Hrvatske vode priznaju izvođaču zahtjev za povećanjem cijena (razlika u cijeni između ugovorenih radova i stvarno izvedenih radova radi povećanja cijena na tržištu).</w:t>
      </w:r>
      <w:r w:rsidR="00593945" w:rsidRPr="00FF3C31">
        <w:rPr>
          <w:rFonts w:ascii="Arial" w:eastAsia="Times New Roman" w:hAnsi="Arial" w:cs="Arial"/>
          <w:sz w:val="20"/>
          <w:szCs w:val="20"/>
        </w:rPr>
        <w:t xml:space="preserve"> </w:t>
      </w:r>
      <w:bookmarkStart w:id="796" w:name="_Hlk176167775"/>
      <w:r w:rsidR="00593945" w:rsidRPr="00FF3C31">
        <w:rPr>
          <w:rFonts w:ascii="Arial" w:eastAsia="Times New Roman" w:hAnsi="Arial" w:cs="Arial"/>
          <w:sz w:val="20"/>
          <w:szCs w:val="20"/>
        </w:rPr>
        <w:t>Eventualno priznavanje razlike u cijeni radova bi trebalo ići kao okončana situacij</w:t>
      </w:r>
      <w:r w:rsidR="00720A0C">
        <w:rPr>
          <w:rFonts w:ascii="Arial" w:eastAsia="Times New Roman" w:hAnsi="Arial" w:cs="Arial"/>
          <w:sz w:val="20"/>
          <w:szCs w:val="20"/>
        </w:rPr>
        <w:t>a</w:t>
      </w:r>
      <w:r w:rsidR="00593945" w:rsidRPr="00FF3C31">
        <w:rPr>
          <w:rFonts w:ascii="Arial" w:eastAsia="Times New Roman" w:hAnsi="Arial" w:cs="Arial"/>
          <w:sz w:val="20"/>
          <w:szCs w:val="20"/>
        </w:rPr>
        <w:t xml:space="preserve"> (do konca kolovoza 2024. nije odlučeno o zahtjevu izvođača radova).</w:t>
      </w:r>
    </w:p>
    <w:bookmarkEnd w:id="796"/>
    <w:p w14:paraId="2E45D839" w14:textId="77777777" w:rsidR="00605E2E" w:rsidRPr="00720A0C" w:rsidRDefault="00605E2E" w:rsidP="00737335">
      <w:pPr>
        <w:autoSpaceDE w:val="0"/>
        <w:autoSpaceDN w:val="0"/>
        <w:adjustRightInd w:val="0"/>
        <w:spacing w:after="0" w:line="240" w:lineRule="auto"/>
        <w:jc w:val="both"/>
        <w:rPr>
          <w:rFonts w:ascii="Arial" w:eastAsia="Times New Roman" w:hAnsi="Arial" w:cs="Arial"/>
          <w:bCs/>
          <w:sz w:val="18"/>
          <w:szCs w:val="18"/>
        </w:rPr>
      </w:pPr>
    </w:p>
    <w:p w14:paraId="270F1BB9" w14:textId="77777777" w:rsidR="00664006" w:rsidRPr="00720A0C" w:rsidRDefault="00664006" w:rsidP="0066400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Dubrovačko-neretvanska županija, Upravni odjel za prostorno uređenje i gradnju izdalo je:</w:t>
      </w:r>
    </w:p>
    <w:p w14:paraId="09A75889" w14:textId="4D1F794E" w:rsidR="00664006" w:rsidRPr="00720A0C" w:rsidRDefault="00664006">
      <w:pPr>
        <w:numPr>
          <w:ilvl w:val="0"/>
          <w:numId w:val="4"/>
        </w:num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b/>
          <w:sz w:val="18"/>
          <w:szCs w:val="18"/>
          <w:u w:val="single"/>
        </w:rPr>
        <w:t>Uporabnu dozvolu</w:t>
      </w:r>
      <w:r w:rsidRPr="00720A0C">
        <w:rPr>
          <w:rFonts w:ascii="Arial" w:eastAsia="Times New Roman" w:hAnsi="Arial" w:cs="Arial"/>
          <w:sz w:val="18"/>
          <w:szCs w:val="18"/>
        </w:rPr>
        <w:t xml:space="preserve"> za izgrađene faze 1. zahvata u prostoru infrastrukturne namjene vodno-gospodarskog sustava naselja Molunat (građevina u sustavu odvodnje otpadnih voda – uređaj za pročišćavanje sa podmorskim ispustom duljine 1000 m i priključkom na cjevovod fekalne kanalizacije i vodoopskrbni cjevovod s nadzemnim hidrantom; KLASA: UP/I-361-05/23-01/000111; URBROJ:2117-23-6/1-23-0012, Gruda, 15.11.2023. PRAVOMOĆNA 22.11.2023.</w:t>
      </w:r>
    </w:p>
    <w:p w14:paraId="5AF77486" w14:textId="77777777" w:rsidR="00664006" w:rsidRPr="00FF3C31" w:rsidRDefault="00664006" w:rsidP="00B20566">
      <w:pPr>
        <w:autoSpaceDE w:val="0"/>
        <w:autoSpaceDN w:val="0"/>
        <w:adjustRightInd w:val="0"/>
        <w:spacing w:after="0" w:line="240" w:lineRule="auto"/>
        <w:jc w:val="both"/>
        <w:rPr>
          <w:rFonts w:ascii="Arial" w:eastAsia="Times New Roman" w:hAnsi="Arial" w:cs="Arial"/>
          <w:sz w:val="20"/>
          <w:szCs w:val="20"/>
        </w:rPr>
      </w:pPr>
    </w:p>
    <w:p w14:paraId="3F966740" w14:textId="1079473D" w:rsidR="006D251D" w:rsidRPr="00720A0C" w:rsidRDefault="006D251D">
      <w:pPr>
        <w:pStyle w:val="Odlomakpopisa"/>
        <w:numPr>
          <w:ilvl w:val="0"/>
          <w:numId w:val="21"/>
        </w:numPr>
        <w:autoSpaceDE w:val="0"/>
        <w:autoSpaceDN w:val="0"/>
        <w:adjustRightInd w:val="0"/>
        <w:rPr>
          <w:rFonts w:ascii="Arial" w:hAnsi="Arial" w:cs="Arial"/>
          <w:sz w:val="18"/>
          <w:szCs w:val="18"/>
        </w:rPr>
      </w:pPr>
      <w:r w:rsidRPr="00720A0C">
        <w:rPr>
          <w:rFonts w:ascii="Arial" w:hAnsi="Arial" w:cs="Arial"/>
          <w:sz w:val="18"/>
          <w:szCs w:val="18"/>
        </w:rPr>
        <w:t>Financiranje</w:t>
      </w:r>
      <w:r w:rsidR="007C4B2D" w:rsidRPr="00720A0C">
        <w:rPr>
          <w:rFonts w:ascii="Arial" w:hAnsi="Arial" w:cs="Arial"/>
          <w:sz w:val="18"/>
          <w:szCs w:val="18"/>
        </w:rPr>
        <w:t xml:space="preserve"> </w:t>
      </w:r>
      <w:r w:rsidR="00D471AD" w:rsidRPr="00720A0C">
        <w:rPr>
          <w:rFonts w:ascii="Arial" w:hAnsi="Arial" w:cs="Arial"/>
          <w:sz w:val="18"/>
          <w:szCs w:val="18"/>
        </w:rPr>
        <w:t xml:space="preserve">u razdoblju </w:t>
      </w:r>
      <w:r w:rsidR="007C4B2D" w:rsidRPr="00720A0C">
        <w:rPr>
          <w:rFonts w:ascii="Arial" w:hAnsi="Arial" w:cs="Arial"/>
          <w:sz w:val="18"/>
          <w:szCs w:val="18"/>
        </w:rPr>
        <w:t>2021.</w:t>
      </w:r>
      <w:r w:rsidR="00D471AD" w:rsidRPr="00720A0C">
        <w:rPr>
          <w:rFonts w:ascii="Arial" w:hAnsi="Arial" w:cs="Arial"/>
          <w:sz w:val="18"/>
          <w:szCs w:val="18"/>
        </w:rPr>
        <w:t xml:space="preserve"> -</w:t>
      </w:r>
      <w:r w:rsidR="00F82A8E" w:rsidRPr="00720A0C">
        <w:rPr>
          <w:rFonts w:ascii="Arial" w:hAnsi="Arial" w:cs="Arial"/>
          <w:sz w:val="18"/>
          <w:szCs w:val="18"/>
        </w:rPr>
        <w:t xml:space="preserve"> 202</w:t>
      </w:r>
      <w:r w:rsidR="00D471AD" w:rsidRPr="00720A0C">
        <w:rPr>
          <w:rFonts w:ascii="Arial" w:hAnsi="Arial" w:cs="Arial"/>
          <w:sz w:val="18"/>
          <w:szCs w:val="18"/>
        </w:rPr>
        <w:t>3</w:t>
      </w:r>
      <w:r w:rsidR="00F82A8E" w:rsidRPr="00720A0C">
        <w:rPr>
          <w:rFonts w:ascii="Arial" w:hAnsi="Arial" w:cs="Arial"/>
          <w:sz w:val="18"/>
          <w:szCs w:val="18"/>
        </w:rPr>
        <w:t xml:space="preserve">. </w:t>
      </w:r>
    </w:p>
    <w:p w14:paraId="18C5BD05" w14:textId="77777777" w:rsidR="006D251D" w:rsidRPr="00720A0C" w:rsidRDefault="006D251D" w:rsidP="00B20566">
      <w:pPr>
        <w:autoSpaceDE w:val="0"/>
        <w:autoSpaceDN w:val="0"/>
        <w:adjustRightInd w:val="0"/>
        <w:spacing w:after="0" w:line="240" w:lineRule="auto"/>
        <w:jc w:val="both"/>
        <w:rPr>
          <w:rFonts w:ascii="Arial" w:eastAsia="Times New Roman" w:hAnsi="Arial" w:cs="Arial"/>
          <w:sz w:val="18"/>
          <w:szCs w:val="18"/>
        </w:rPr>
      </w:pPr>
    </w:p>
    <w:p w14:paraId="261D4DD8" w14:textId="72717C82"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U 2021. godini, komunalno društvo je 12.01.2021. zaključilo s Hrvatskim vodama ugovor u vrijednosti 1.125.000 kn kojim su se Hrvatske vode obvezale sufinancirati 900.000 kn radove izgradnje vodnih građevina na području aglomeracije Molunat – izgradnja sustav odvodnje otpadnih voda, izgradnja uređaja za pročišćavanje otpadnih voda, uključujući usluge stručnog nadzora. U srpnju 2021. zaključen je dodatak ugovoru u vrijednosti 1.756.250 </w:t>
      </w:r>
      <w:r w:rsidR="000A785B" w:rsidRPr="00720A0C">
        <w:rPr>
          <w:rFonts w:ascii="Arial" w:eastAsia="Times New Roman" w:hAnsi="Arial" w:cs="Arial"/>
          <w:sz w:val="18"/>
          <w:szCs w:val="18"/>
        </w:rPr>
        <w:t xml:space="preserve">kn / 233.094,43 € </w:t>
      </w:r>
      <w:r w:rsidRPr="00720A0C">
        <w:rPr>
          <w:rFonts w:ascii="Arial" w:eastAsia="Times New Roman" w:hAnsi="Arial" w:cs="Arial"/>
          <w:sz w:val="18"/>
          <w:szCs w:val="18"/>
        </w:rPr>
        <w:t>kojem su se Hrvatske vode obvezale još dodatno sufinancirati 1.405.250 kn</w:t>
      </w:r>
      <w:r w:rsidR="00621E95" w:rsidRPr="00720A0C">
        <w:rPr>
          <w:rFonts w:ascii="Arial" w:eastAsia="Times New Roman" w:hAnsi="Arial" w:cs="Arial"/>
          <w:sz w:val="18"/>
          <w:szCs w:val="18"/>
        </w:rPr>
        <w:t xml:space="preserve"> / 186.508,73 €</w:t>
      </w:r>
      <w:r w:rsidRPr="00720A0C">
        <w:rPr>
          <w:rFonts w:ascii="Arial" w:eastAsia="Times New Roman" w:hAnsi="Arial" w:cs="Arial"/>
          <w:sz w:val="18"/>
          <w:szCs w:val="18"/>
        </w:rPr>
        <w:t xml:space="preserve">, odnosno sveukupno je za 2021. ugovoreno 2.881.250 kn </w:t>
      </w:r>
      <w:r w:rsidR="00621E95" w:rsidRPr="00720A0C">
        <w:rPr>
          <w:rFonts w:ascii="Arial" w:eastAsia="Times New Roman" w:hAnsi="Arial" w:cs="Arial"/>
          <w:sz w:val="18"/>
          <w:szCs w:val="18"/>
        </w:rPr>
        <w:t xml:space="preserve">/ 382.407,59 € </w:t>
      </w:r>
      <w:r w:rsidRPr="00720A0C">
        <w:rPr>
          <w:rFonts w:ascii="Arial" w:eastAsia="Times New Roman" w:hAnsi="Arial" w:cs="Arial"/>
          <w:sz w:val="18"/>
          <w:szCs w:val="18"/>
        </w:rPr>
        <w:t>za sufinanciranje kanalizacije (Hrvatske vode 2.305.000 kn</w:t>
      </w:r>
      <w:r w:rsidR="00621E95" w:rsidRPr="00720A0C">
        <w:rPr>
          <w:rFonts w:ascii="Arial" w:eastAsia="Times New Roman" w:hAnsi="Arial" w:cs="Arial"/>
          <w:sz w:val="18"/>
          <w:szCs w:val="18"/>
        </w:rPr>
        <w:t xml:space="preserve"> / 305.926,07 €</w:t>
      </w:r>
      <w:r w:rsidRPr="00720A0C">
        <w:rPr>
          <w:rFonts w:ascii="Arial" w:eastAsia="Times New Roman" w:hAnsi="Arial" w:cs="Arial"/>
          <w:sz w:val="18"/>
          <w:szCs w:val="18"/>
        </w:rPr>
        <w:t>, a investitor 576.250 kn</w:t>
      </w:r>
      <w:r w:rsidR="00621E95" w:rsidRPr="00720A0C">
        <w:rPr>
          <w:rFonts w:ascii="Arial" w:eastAsia="Times New Roman" w:hAnsi="Arial" w:cs="Arial"/>
          <w:sz w:val="18"/>
          <w:szCs w:val="18"/>
        </w:rPr>
        <w:t xml:space="preserve"> / 76.481,52 €</w:t>
      </w:r>
      <w:r w:rsidRPr="00720A0C">
        <w:rPr>
          <w:rFonts w:ascii="Arial" w:eastAsia="Times New Roman" w:hAnsi="Arial" w:cs="Arial"/>
          <w:sz w:val="18"/>
          <w:szCs w:val="18"/>
        </w:rPr>
        <w:t>).</w:t>
      </w:r>
    </w:p>
    <w:p w14:paraId="311E077A" w14:textId="67F9B10E"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Pored navedenog, komunalno društvo je 12.01.2021. zaključilo s Hrvatskim vodama ugovor u vrijednosti 1.000.000 kn </w:t>
      </w:r>
      <w:r w:rsidR="00621E95" w:rsidRPr="00720A0C">
        <w:rPr>
          <w:rFonts w:ascii="Arial" w:eastAsia="Times New Roman" w:hAnsi="Arial" w:cs="Arial"/>
          <w:sz w:val="18"/>
          <w:szCs w:val="18"/>
        </w:rPr>
        <w:t xml:space="preserve">/ 132.722,81 € </w:t>
      </w:r>
      <w:r w:rsidRPr="00720A0C">
        <w:rPr>
          <w:rFonts w:ascii="Arial" w:eastAsia="Times New Roman" w:hAnsi="Arial" w:cs="Arial"/>
          <w:sz w:val="18"/>
          <w:szCs w:val="18"/>
        </w:rPr>
        <w:t xml:space="preserve">kojim su se Hrvatske vode obvezale sufinancirati 800.000 kn </w:t>
      </w:r>
      <w:r w:rsidR="00621E95" w:rsidRPr="00720A0C">
        <w:rPr>
          <w:rFonts w:ascii="Arial" w:eastAsia="Times New Roman" w:hAnsi="Arial" w:cs="Arial"/>
          <w:sz w:val="18"/>
          <w:szCs w:val="18"/>
        </w:rPr>
        <w:t xml:space="preserve">/ 106.178,25 € </w:t>
      </w:r>
      <w:r w:rsidRPr="00720A0C">
        <w:rPr>
          <w:rFonts w:ascii="Arial" w:eastAsia="Times New Roman" w:hAnsi="Arial" w:cs="Arial"/>
          <w:sz w:val="18"/>
          <w:szCs w:val="18"/>
        </w:rPr>
        <w:t>radove izgradnje vodoopskrbnog sustava, uključujući usluge stručnog nadzora.</w:t>
      </w:r>
    </w:p>
    <w:p w14:paraId="6811AE35" w14:textId="46A95EF2"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6AAC4D57" w14:textId="10657F7F" w:rsidR="006D251D" w:rsidRPr="00720A0C" w:rsidRDefault="006D251D"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Također, </w:t>
      </w:r>
      <w:r w:rsidR="00AE159F" w:rsidRPr="00720A0C">
        <w:rPr>
          <w:rFonts w:ascii="Arial" w:eastAsia="Times New Roman" w:hAnsi="Arial" w:cs="Arial"/>
          <w:sz w:val="18"/>
          <w:szCs w:val="18"/>
        </w:rPr>
        <w:t xml:space="preserve">Konavosko komunalno društvo d.o.o. je dana 23.12.2021. s Ministarstvom gospodarstva i održivog razvoja, te Hrvatskim vodama (provedbeno tijelo) zaključilo ugovor o </w:t>
      </w:r>
      <w:r w:rsidR="00E9062F" w:rsidRPr="00720A0C">
        <w:rPr>
          <w:rFonts w:ascii="Arial" w:eastAsia="Times New Roman" w:hAnsi="Arial" w:cs="Arial"/>
          <w:sz w:val="18"/>
          <w:szCs w:val="18"/>
        </w:rPr>
        <w:t>korištenju</w:t>
      </w:r>
      <w:r w:rsidR="00AE159F" w:rsidRPr="00720A0C">
        <w:rPr>
          <w:rFonts w:ascii="Arial" w:eastAsia="Times New Roman" w:hAnsi="Arial" w:cs="Arial"/>
          <w:sz w:val="18"/>
          <w:szCs w:val="18"/>
        </w:rPr>
        <w:t xml:space="preserve"> bespovratnih sredstava za projekte koji se financiranju iz nacionalnog plana za oporavak i </w:t>
      </w:r>
      <w:r w:rsidR="00E9062F" w:rsidRPr="00720A0C">
        <w:rPr>
          <w:rFonts w:ascii="Arial" w:eastAsia="Times New Roman" w:hAnsi="Arial" w:cs="Arial"/>
          <w:sz w:val="18"/>
          <w:szCs w:val="18"/>
        </w:rPr>
        <w:t>otpornost</w:t>
      </w:r>
      <w:r w:rsidR="00AE159F" w:rsidRPr="00720A0C">
        <w:rPr>
          <w:rFonts w:ascii="Arial" w:eastAsia="Times New Roman" w:hAnsi="Arial" w:cs="Arial"/>
          <w:sz w:val="18"/>
          <w:szCs w:val="18"/>
        </w:rPr>
        <w:t xml:space="preserve"> 2021.-2026. Ugovorena je provedba projekta pod nazivom „Razvoj </w:t>
      </w:r>
      <w:r w:rsidR="00E9062F" w:rsidRPr="00720A0C">
        <w:rPr>
          <w:rFonts w:ascii="Arial" w:eastAsia="Times New Roman" w:hAnsi="Arial" w:cs="Arial"/>
          <w:sz w:val="18"/>
          <w:szCs w:val="18"/>
        </w:rPr>
        <w:t>javne</w:t>
      </w:r>
      <w:r w:rsidR="00AE159F" w:rsidRPr="00720A0C">
        <w:rPr>
          <w:rFonts w:ascii="Arial" w:eastAsia="Times New Roman" w:hAnsi="Arial" w:cs="Arial"/>
          <w:sz w:val="18"/>
          <w:szCs w:val="18"/>
        </w:rPr>
        <w:t xml:space="preserve"> vodoopskrbe i javne odvodnje otpadnih voda u Općini Konavle“. Razdoblje prihvatljivosti projekta je od 1.2.2020. do 31.12.2025., a ukupna vrijednost </w:t>
      </w:r>
      <w:r w:rsidR="00E9062F" w:rsidRPr="00720A0C">
        <w:rPr>
          <w:rFonts w:ascii="Arial" w:eastAsia="Times New Roman" w:hAnsi="Arial" w:cs="Arial"/>
          <w:sz w:val="18"/>
          <w:szCs w:val="18"/>
        </w:rPr>
        <w:t>projekta</w:t>
      </w:r>
      <w:r w:rsidR="00AE159F" w:rsidRPr="00720A0C">
        <w:rPr>
          <w:rFonts w:ascii="Arial" w:eastAsia="Times New Roman" w:hAnsi="Arial" w:cs="Arial"/>
          <w:sz w:val="18"/>
          <w:szCs w:val="18"/>
        </w:rPr>
        <w:t xml:space="preserve"> je 28.144.931,75 kn</w:t>
      </w:r>
      <w:r w:rsidR="00D873AE" w:rsidRPr="00720A0C">
        <w:rPr>
          <w:rFonts w:ascii="Arial" w:eastAsia="Times New Roman" w:hAnsi="Arial" w:cs="Arial"/>
          <w:sz w:val="18"/>
          <w:szCs w:val="18"/>
        </w:rPr>
        <w:t xml:space="preserve"> / 3.735.474,38 €</w:t>
      </w:r>
      <w:r w:rsidR="00AE159F" w:rsidRPr="00720A0C">
        <w:rPr>
          <w:rFonts w:ascii="Arial" w:eastAsia="Times New Roman" w:hAnsi="Arial" w:cs="Arial"/>
          <w:sz w:val="18"/>
          <w:szCs w:val="18"/>
        </w:rPr>
        <w:t xml:space="preserve"> od čega prihvatljivi troškovi projekta iznose 19.174.679,91 kn</w:t>
      </w:r>
      <w:r w:rsidR="00D873AE" w:rsidRPr="00720A0C">
        <w:rPr>
          <w:rFonts w:ascii="Arial" w:eastAsia="Times New Roman" w:hAnsi="Arial" w:cs="Arial"/>
          <w:sz w:val="18"/>
          <w:szCs w:val="18"/>
        </w:rPr>
        <w:t xml:space="preserve"> / 2.544.917,37 €</w:t>
      </w:r>
      <w:r w:rsidR="00AE159F" w:rsidRPr="00720A0C">
        <w:rPr>
          <w:rFonts w:ascii="Arial" w:eastAsia="Times New Roman" w:hAnsi="Arial" w:cs="Arial"/>
          <w:sz w:val="18"/>
          <w:szCs w:val="18"/>
        </w:rPr>
        <w:t xml:space="preserve">, dok </w:t>
      </w:r>
      <w:r w:rsidR="00AE159F" w:rsidRPr="00720A0C">
        <w:rPr>
          <w:rFonts w:ascii="Arial" w:eastAsia="Times New Roman" w:hAnsi="Arial" w:cs="Arial"/>
          <w:b/>
          <w:bCs/>
          <w:sz w:val="18"/>
          <w:szCs w:val="18"/>
        </w:rPr>
        <w:t>najveći mogući iznos bespovratnih sredstava iznosi 15.339.743,93 kn</w:t>
      </w:r>
      <w:r w:rsidR="00D873AE" w:rsidRPr="00720A0C">
        <w:rPr>
          <w:rFonts w:ascii="Arial" w:eastAsia="Times New Roman" w:hAnsi="Arial" w:cs="Arial"/>
          <w:b/>
          <w:bCs/>
          <w:sz w:val="18"/>
          <w:szCs w:val="18"/>
        </w:rPr>
        <w:t xml:space="preserve"> / 2.035.933,89 €</w:t>
      </w:r>
      <w:r w:rsidR="00AE159F" w:rsidRPr="00720A0C">
        <w:rPr>
          <w:rFonts w:ascii="Arial" w:eastAsia="Times New Roman" w:hAnsi="Arial" w:cs="Arial"/>
          <w:b/>
          <w:bCs/>
          <w:sz w:val="18"/>
          <w:szCs w:val="18"/>
        </w:rPr>
        <w:t>.</w:t>
      </w:r>
      <w:r w:rsidR="00AE159F" w:rsidRPr="00720A0C">
        <w:rPr>
          <w:rFonts w:ascii="Arial" w:eastAsia="Times New Roman" w:hAnsi="Arial" w:cs="Arial"/>
          <w:sz w:val="18"/>
          <w:szCs w:val="18"/>
        </w:rPr>
        <w:t xml:space="preserve"> </w:t>
      </w:r>
    </w:p>
    <w:p w14:paraId="3A4F2E6A" w14:textId="77777777" w:rsidR="006D251D" w:rsidRPr="00720A0C" w:rsidRDefault="006D251D" w:rsidP="00B20566">
      <w:pPr>
        <w:autoSpaceDE w:val="0"/>
        <w:autoSpaceDN w:val="0"/>
        <w:adjustRightInd w:val="0"/>
        <w:spacing w:after="0" w:line="240" w:lineRule="auto"/>
        <w:jc w:val="both"/>
        <w:rPr>
          <w:rFonts w:ascii="Arial" w:eastAsia="Times New Roman" w:hAnsi="Arial" w:cs="Arial"/>
          <w:sz w:val="18"/>
          <w:szCs w:val="18"/>
        </w:rPr>
      </w:pPr>
    </w:p>
    <w:p w14:paraId="09550DC2" w14:textId="28BE57EE"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Prema podacima društva u vlasništvu, Hrvatske vode su u 2021. godine doznačile društvu sredstva za sufinanciranje investicije </w:t>
      </w:r>
      <w:r w:rsidR="0000001A" w:rsidRPr="00720A0C">
        <w:rPr>
          <w:rFonts w:ascii="Arial" w:eastAsia="Times New Roman" w:hAnsi="Arial" w:cs="Arial"/>
          <w:sz w:val="18"/>
          <w:szCs w:val="18"/>
        </w:rPr>
        <w:t xml:space="preserve">3.105.000,03 </w:t>
      </w:r>
      <w:r w:rsidRPr="00720A0C">
        <w:rPr>
          <w:rFonts w:ascii="Arial" w:eastAsia="Times New Roman" w:hAnsi="Arial" w:cs="Arial"/>
          <w:sz w:val="18"/>
          <w:szCs w:val="18"/>
        </w:rPr>
        <w:t>kn</w:t>
      </w:r>
      <w:r w:rsidR="00D873AE" w:rsidRPr="00720A0C">
        <w:rPr>
          <w:rFonts w:ascii="Arial" w:eastAsia="Times New Roman" w:hAnsi="Arial" w:cs="Arial"/>
          <w:sz w:val="18"/>
          <w:szCs w:val="18"/>
        </w:rPr>
        <w:t xml:space="preserve"> / 412.104,32 €</w:t>
      </w:r>
      <w:r w:rsidRPr="00720A0C">
        <w:rPr>
          <w:rFonts w:ascii="Arial" w:eastAsia="Times New Roman" w:hAnsi="Arial" w:cs="Arial"/>
          <w:sz w:val="18"/>
          <w:szCs w:val="18"/>
        </w:rPr>
        <w:t xml:space="preserve">, od čega za izgradnju vodovoda </w:t>
      </w:r>
      <w:r w:rsidR="008A352A" w:rsidRPr="00720A0C">
        <w:rPr>
          <w:rFonts w:ascii="Arial" w:eastAsia="Times New Roman" w:hAnsi="Arial" w:cs="Arial"/>
          <w:sz w:val="18"/>
          <w:szCs w:val="18"/>
        </w:rPr>
        <w:t xml:space="preserve">Molunat </w:t>
      </w:r>
      <w:r w:rsidR="0000001A" w:rsidRPr="00720A0C">
        <w:rPr>
          <w:rFonts w:ascii="Arial" w:eastAsia="Times New Roman" w:hAnsi="Arial" w:cs="Arial"/>
          <w:sz w:val="18"/>
          <w:szCs w:val="18"/>
        </w:rPr>
        <w:t>554.948,49</w:t>
      </w:r>
      <w:r w:rsidRPr="00720A0C">
        <w:rPr>
          <w:rFonts w:ascii="Arial" w:eastAsia="Times New Roman" w:hAnsi="Arial" w:cs="Arial"/>
          <w:sz w:val="18"/>
          <w:szCs w:val="18"/>
        </w:rPr>
        <w:t xml:space="preserve"> kn</w:t>
      </w:r>
      <w:r w:rsidR="00D873AE" w:rsidRPr="00720A0C">
        <w:rPr>
          <w:rFonts w:ascii="Arial" w:eastAsia="Times New Roman" w:hAnsi="Arial" w:cs="Arial"/>
          <w:sz w:val="18"/>
          <w:szCs w:val="18"/>
        </w:rPr>
        <w:t xml:space="preserve"> / 73.654,32 €</w:t>
      </w:r>
      <w:r w:rsidRPr="00720A0C">
        <w:rPr>
          <w:rFonts w:ascii="Arial" w:eastAsia="Times New Roman" w:hAnsi="Arial" w:cs="Arial"/>
          <w:sz w:val="18"/>
          <w:szCs w:val="18"/>
        </w:rPr>
        <w:t xml:space="preserve">, za radove na kanalizaciji </w:t>
      </w:r>
      <w:r w:rsidR="008A352A" w:rsidRPr="00720A0C">
        <w:rPr>
          <w:rFonts w:ascii="Arial" w:eastAsia="Times New Roman" w:hAnsi="Arial" w:cs="Arial"/>
          <w:sz w:val="18"/>
          <w:szCs w:val="18"/>
        </w:rPr>
        <w:t xml:space="preserve">Molunat </w:t>
      </w:r>
      <w:r w:rsidR="0000001A" w:rsidRPr="00720A0C">
        <w:rPr>
          <w:rFonts w:ascii="Arial" w:eastAsia="Times New Roman" w:hAnsi="Arial" w:cs="Arial"/>
          <w:sz w:val="18"/>
          <w:szCs w:val="18"/>
        </w:rPr>
        <w:t>1.146.997,08</w:t>
      </w:r>
      <w:r w:rsidRPr="00720A0C">
        <w:rPr>
          <w:rFonts w:ascii="Arial" w:eastAsia="Times New Roman" w:hAnsi="Arial" w:cs="Arial"/>
          <w:sz w:val="18"/>
          <w:szCs w:val="18"/>
        </w:rPr>
        <w:t xml:space="preserve"> kn</w:t>
      </w:r>
      <w:r w:rsidR="00D873AE" w:rsidRPr="00720A0C">
        <w:rPr>
          <w:rFonts w:ascii="Arial" w:eastAsia="Times New Roman" w:hAnsi="Arial" w:cs="Arial"/>
          <w:sz w:val="18"/>
          <w:szCs w:val="18"/>
        </w:rPr>
        <w:t xml:space="preserve"> / 152.232,67 €</w:t>
      </w:r>
      <w:r w:rsidR="008A352A" w:rsidRPr="00720A0C">
        <w:rPr>
          <w:rFonts w:ascii="Arial" w:eastAsia="Times New Roman" w:hAnsi="Arial" w:cs="Arial"/>
          <w:sz w:val="18"/>
          <w:szCs w:val="18"/>
        </w:rPr>
        <w:t xml:space="preserve">, te još za pročišćivač Molunat </w:t>
      </w:r>
      <w:r w:rsidR="00710C43" w:rsidRPr="00720A0C">
        <w:rPr>
          <w:rFonts w:ascii="Arial" w:eastAsia="Times New Roman" w:hAnsi="Arial" w:cs="Arial"/>
          <w:sz w:val="18"/>
          <w:szCs w:val="18"/>
        </w:rPr>
        <w:t>1.403.054,46</w:t>
      </w:r>
      <w:r w:rsidR="008A352A" w:rsidRPr="00720A0C">
        <w:rPr>
          <w:rFonts w:ascii="Arial" w:eastAsia="Times New Roman" w:hAnsi="Arial" w:cs="Arial"/>
          <w:sz w:val="18"/>
          <w:szCs w:val="18"/>
        </w:rPr>
        <w:t xml:space="preserve"> kn</w:t>
      </w:r>
      <w:r w:rsidR="00D873AE" w:rsidRPr="00720A0C">
        <w:rPr>
          <w:rFonts w:ascii="Arial" w:eastAsia="Times New Roman" w:hAnsi="Arial" w:cs="Arial"/>
          <w:sz w:val="18"/>
          <w:szCs w:val="18"/>
        </w:rPr>
        <w:t xml:space="preserve"> / 186.217,33 €</w:t>
      </w:r>
      <w:r w:rsidR="008A352A" w:rsidRPr="00720A0C">
        <w:rPr>
          <w:rFonts w:ascii="Arial" w:eastAsia="Times New Roman" w:hAnsi="Arial" w:cs="Arial"/>
          <w:sz w:val="18"/>
          <w:szCs w:val="18"/>
        </w:rPr>
        <w:t>.</w:t>
      </w:r>
    </w:p>
    <w:p w14:paraId="36CA9370" w14:textId="3A291656" w:rsidR="00D27FE7" w:rsidRPr="00720A0C" w:rsidRDefault="00D27FE7" w:rsidP="00B20566">
      <w:pPr>
        <w:autoSpaceDE w:val="0"/>
        <w:autoSpaceDN w:val="0"/>
        <w:adjustRightInd w:val="0"/>
        <w:spacing w:after="0" w:line="240" w:lineRule="auto"/>
        <w:jc w:val="both"/>
        <w:rPr>
          <w:rFonts w:ascii="Arial" w:eastAsia="Times New Roman" w:hAnsi="Arial" w:cs="Arial"/>
          <w:b/>
          <w:bCs/>
          <w:sz w:val="18"/>
          <w:szCs w:val="18"/>
        </w:rPr>
      </w:pPr>
      <w:r w:rsidRPr="00720A0C">
        <w:rPr>
          <w:rFonts w:ascii="Arial" w:eastAsia="Times New Roman" w:hAnsi="Arial" w:cs="Arial"/>
          <w:b/>
          <w:bCs/>
          <w:sz w:val="18"/>
          <w:szCs w:val="18"/>
        </w:rPr>
        <w:t xml:space="preserve">Prema </w:t>
      </w:r>
      <w:r w:rsidRPr="00720A0C">
        <w:rPr>
          <w:rFonts w:ascii="Arial" w:eastAsia="Times New Roman" w:hAnsi="Arial" w:cs="Arial"/>
          <w:b/>
          <w:bCs/>
          <w:sz w:val="18"/>
          <w:szCs w:val="18"/>
          <w:u w:val="single"/>
        </w:rPr>
        <w:t xml:space="preserve">zahtjevu za nadoknadom sredstva broj 1 </w:t>
      </w:r>
      <w:r w:rsidRPr="00720A0C">
        <w:rPr>
          <w:rFonts w:ascii="Arial" w:eastAsia="Times New Roman" w:hAnsi="Arial" w:cs="Arial"/>
          <w:b/>
          <w:bCs/>
          <w:sz w:val="18"/>
          <w:szCs w:val="18"/>
        </w:rPr>
        <w:t xml:space="preserve">i izvještajem o napretku projekta broj 1. komunalnom društvu je doznačeno 580.667,61 kn </w:t>
      </w:r>
      <w:r w:rsidR="00962DD2" w:rsidRPr="00720A0C">
        <w:rPr>
          <w:rFonts w:ascii="Arial" w:eastAsia="Times New Roman" w:hAnsi="Arial" w:cs="Arial"/>
          <w:b/>
          <w:bCs/>
          <w:sz w:val="18"/>
          <w:szCs w:val="18"/>
        </w:rPr>
        <w:t xml:space="preserve">(77.067,84 €) </w:t>
      </w:r>
      <w:r w:rsidRPr="00720A0C">
        <w:rPr>
          <w:rFonts w:ascii="Arial" w:eastAsia="Times New Roman" w:hAnsi="Arial" w:cs="Arial"/>
          <w:b/>
          <w:bCs/>
          <w:sz w:val="18"/>
          <w:szCs w:val="18"/>
        </w:rPr>
        <w:t xml:space="preserve">što se odnosi na 10% prihvatljivih troškova za prethodno izvedene radove. </w:t>
      </w:r>
    </w:p>
    <w:bookmarkEnd w:id="795"/>
    <w:p w14:paraId="415908A7" w14:textId="42C2D2C6"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471CCB59" w14:textId="2CECA850" w:rsidR="00E77875" w:rsidRPr="00720A0C" w:rsidRDefault="00E77875"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Općina je komunalnom društvu u 2021. doznačila novčana sredstva za sufinanciranje izgradnje vodovodne mreže u Moluntu u iznosu 104.392,68 kn</w:t>
      </w:r>
      <w:r w:rsidR="00621E95" w:rsidRPr="00720A0C">
        <w:rPr>
          <w:rFonts w:ascii="Arial" w:eastAsia="Times New Roman" w:hAnsi="Arial" w:cs="Arial"/>
          <w:sz w:val="18"/>
          <w:szCs w:val="18"/>
        </w:rPr>
        <w:t xml:space="preserve"> / 13.855,29 €</w:t>
      </w:r>
      <w:r w:rsidR="00987FF2" w:rsidRPr="00720A0C">
        <w:rPr>
          <w:rFonts w:ascii="Arial" w:eastAsia="Times New Roman" w:hAnsi="Arial" w:cs="Arial"/>
          <w:sz w:val="18"/>
          <w:szCs w:val="18"/>
        </w:rPr>
        <w:t>, te kanalizacijske mreže u Moluntu u iznosu 121.523,15 kn</w:t>
      </w:r>
      <w:r w:rsidR="00621E95" w:rsidRPr="00720A0C">
        <w:rPr>
          <w:rFonts w:ascii="Arial" w:eastAsia="Times New Roman" w:hAnsi="Arial" w:cs="Arial"/>
          <w:sz w:val="18"/>
          <w:szCs w:val="18"/>
        </w:rPr>
        <w:t xml:space="preserve"> / 16.128,87 €</w:t>
      </w:r>
      <w:r w:rsidR="00987FF2" w:rsidRPr="00720A0C">
        <w:rPr>
          <w:rFonts w:ascii="Arial" w:eastAsia="Times New Roman" w:hAnsi="Arial" w:cs="Arial"/>
          <w:sz w:val="18"/>
          <w:szCs w:val="18"/>
        </w:rPr>
        <w:t xml:space="preserve"> </w:t>
      </w:r>
      <w:r w:rsidR="007C4B2D" w:rsidRPr="00720A0C">
        <w:rPr>
          <w:rFonts w:ascii="Arial" w:eastAsia="Times New Roman" w:hAnsi="Arial" w:cs="Arial"/>
          <w:sz w:val="18"/>
          <w:szCs w:val="18"/>
        </w:rPr>
        <w:t>odnosno</w:t>
      </w:r>
      <w:r w:rsidR="00987FF2" w:rsidRPr="00720A0C">
        <w:rPr>
          <w:rFonts w:ascii="Arial" w:eastAsia="Times New Roman" w:hAnsi="Arial" w:cs="Arial"/>
          <w:sz w:val="18"/>
          <w:szCs w:val="18"/>
        </w:rPr>
        <w:t xml:space="preserve"> sveukupno 225.915,83 kn</w:t>
      </w:r>
      <w:r w:rsidRPr="00720A0C">
        <w:rPr>
          <w:rFonts w:ascii="Arial" w:eastAsia="Times New Roman" w:hAnsi="Arial" w:cs="Arial"/>
          <w:sz w:val="18"/>
          <w:szCs w:val="18"/>
        </w:rPr>
        <w:t xml:space="preserve"> </w:t>
      </w:r>
      <w:r w:rsidR="00621E95" w:rsidRPr="00720A0C">
        <w:rPr>
          <w:rFonts w:ascii="Arial" w:eastAsia="Times New Roman" w:hAnsi="Arial" w:cs="Arial"/>
          <w:sz w:val="18"/>
          <w:szCs w:val="18"/>
        </w:rPr>
        <w:t xml:space="preserve">/ 29.984,18 € </w:t>
      </w:r>
      <w:r w:rsidRPr="00720A0C">
        <w:rPr>
          <w:rFonts w:ascii="Arial" w:eastAsia="Times New Roman" w:hAnsi="Arial" w:cs="Arial"/>
          <w:sz w:val="18"/>
          <w:szCs w:val="18"/>
        </w:rPr>
        <w:t>(n</w:t>
      </w:r>
      <w:r w:rsidR="00987FF2" w:rsidRPr="00720A0C">
        <w:rPr>
          <w:rFonts w:ascii="Arial" w:eastAsia="Times New Roman" w:hAnsi="Arial" w:cs="Arial"/>
          <w:sz w:val="18"/>
          <w:szCs w:val="18"/>
        </w:rPr>
        <w:t>a temelju 14. i 15. privremene situacije s nadzorom).</w:t>
      </w:r>
    </w:p>
    <w:p w14:paraId="6AB569BE" w14:textId="022D6C4D" w:rsidR="00F82A8E" w:rsidRPr="00720A0C" w:rsidRDefault="00F82A8E" w:rsidP="00B20566">
      <w:pPr>
        <w:autoSpaceDE w:val="0"/>
        <w:autoSpaceDN w:val="0"/>
        <w:adjustRightInd w:val="0"/>
        <w:spacing w:after="0" w:line="240" w:lineRule="auto"/>
        <w:jc w:val="both"/>
        <w:rPr>
          <w:rFonts w:ascii="Arial" w:eastAsia="Times New Roman" w:hAnsi="Arial" w:cs="Arial"/>
          <w:sz w:val="18"/>
          <w:szCs w:val="18"/>
        </w:rPr>
      </w:pPr>
    </w:p>
    <w:p w14:paraId="1AF4BE51" w14:textId="01B4C199" w:rsidR="00962DD2" w:rsidRPr="00720A0C" w:rsidRDefault="00BD0BF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lastRenderedPageBreak/>
        <w:t>Prema podacima društva u vlasništvu,</w:t>
      </w:r>
      <w:r w:rsidR="000022FA" w:rsidRPr="00720A0C">
        <w:rPr>
          <w:rFonts w:ascii="Arial" w:eastAsia="Times New Roman" w:hAnsi="Arial" w:cs="Arial"/>
          <w:sz w:val="18"/>
          <w:szCs w:val="18"/>
        </w:rPr>
        <w:t xml:space="preserve"> </w:t>
      </w:r>
      <w:r w:rsidRPr="00720A0C">
        <w:rPr>
          <w:rFonts w:ascii="Arial" w:eastAsia="Times New Roman" w:hAnsi="Arial" w:cs="Arial"/>
          <w:sz w:val="18"/>
          <w:szCs w:val="18"/>
        </w:rPr>
        <w:t>u 2022. godine</w:t>
      </w:r>
      <w:r w:rsidR="00962DD2" w:rsidRPr="00720A0C">
        <w:rPr>
          <w:rFonts w:ascii="Arial" w:eastAsia="Times New Roman" w:hAnsi="Arial" w:cs="Arial"/>
          <w:sz w:val="18"/>
          <w:szCs w:val="18"/>
        </w:rPr>
        <w:t xml:space="preserve">, </w:t>
      </w:r>
      <w:r w:rsidR="00962DD2" w:rsidRPr="00720A0C">
        <w:rPr>
          <w:rFonts w:ascii="Arial" w:eastAsia="Times New Roman" w:hAnsi="Arial" w:cs="Arial"/>
          <w:b/>
          <w:bCs/>
          <w:sz w:val="18"/>
          <w:szCs w:val="18"/>
          <w:u w:val="single"/>
        </w:rPr>
        <w:t>na temelju zahtjeva za nadoknadom sredstava od broja 2 do 5</w:t>
      </w:r>
      <w:r w:rsidR="00962DD2" w:rsidRPr="00720A0C">
        <w:rPr>
          <w:rFonts w:ascii="Arial" w:eastAsia="Times New Roman" w:hAnsi="Arial" w:cs="Arial"/>
          <w:b/>
          <w:bCs/>
          <w:sz w:val="18"/>
          <w:szCs w:val="18"/>
        </w:rPr>
        <w:t xml:space="preserve"> ukupno odobreni radovi iznose 6.078.258,27 kn</w:t>
      </w:r>
      <w:r w:rsidR="00D873AE" w:rsidRPr="00720A0C">
        <w:rPr>
          <w:rFonts w:ascii="Arial" w:eastAsia="Times New Roman" w:hAnsi="Arial" w:cs="Arial"/>
          <w:sz w:val="18"/>
          <w:szCs w:val="18"/>
        </w:rPr>
        <w:t xml:space="preserve"> / 806.723,51 €</w:t>
      </w:r>
      <w:r w:rsidR="00962DD2" w:rsidRPr="00720A0C">
        <w:rPr>
          <w:rFonts w:ascii="Arial" w:eastAsia="Times New Roman" w:hAnsi="Arial" w:cs="Arial"/>
          <w:sz w:val="18"/>
          <w:szCs w:val="18"/>
        </w:rPr>
        <w:t xml:space="preserve">. Društvu je u 2022. ukupno doznačeno na temelju ovih </w:t>
      </w:r>
      <w:r w:rsidR="00D17339" w:rsidRPr="00720A0C">
        <w:rPr>
          <w:rFonts w:ascii="Arial" w:eastAsia="Times New Roman" w:hAnsi="Arial" w:cs="Arial"/>
          <w:sz w:val="18"/>
          <w:szCs w:val="18"/>
        </w:rPr>
        <w:t>ova četiri</w:t>
      </w:r>
      <w:r w:rsidR="00962DD2" w:rsidRPr="00720A0C">
        <w:rPr>
          <w:rFonts w:ascii="Arial" w:eastAsia="Times New Roman" w:hAnsi="Arial" w:cs="Arial"/>
          <w:sz w:val="18"/>
          <w:szCs w:val="18"/>
        </w:rPr>
        <w:t xml:space="preserve"> zahtjeva 4.683.336,20 kn</w:t>
      </w:r>
      <w:r w:rsidR="00D17339" w:rsidRPr="00720A0C">
        <w:rPr>
          <w:rFonts w:ascii="Arial" w:eastAsia="Times New Roman" w:hAnsi="Arial" w:cs="Arial"/>
          <w:sz w:val="18"/>
          <w:szCs w:val="18"/>
        </w:rPr>
        <w:t xml:space="preserve"> / 621.585,53 €</w:t>
      </w:r>
      <w:r w:rsidR="00962DD2" w:rsidRPr="00720A0C">
        <w:rPr>
          <w:rFonts w:ascii="Arial" w:eastAsia="Times New Roman" w:hAnsi="Arial" w:cs="Arial"/>
          <w:sz w:val="18"/>
          <w:szCs w:val="18"/>
        </w:rPr>
        <w:t xml:space="preserve"> (dio je kompenziran s Hrvatskim vodama, te je manje doznačeno). Sufinancira se 90 % odobrenih radova što, na temelju zahtjeva od 2 do 5 čini 4.862.446,62 kn</w:t>
      </w:r>
      <w:r w:rsidR="00D873AE" w:rsidRPr="00720A0C">
        <w:rPr>
          <w:rFonts w:ascii="Arial" w:eastAsia="Times New Roman" w:hAnsi="Arial" w:cs="Arial"/>
          <w:sz w:val="18"/>
          <w:szCs w:val="18"/>
        </w:rPr>
        <w:t xml:space="preserve"> (645.357,57 €)</w:t>
      </w:r>
      <w:r w:rsidR="00962DD2" w:rsidRPr="00720A0C">
        <w:rPr>
          <w:rFonts w:ascii="Arial" w:eastAsia="Times New Roman" w:hAnsi="Arial" w:cs="Arial"/>
          <w:sz w:val="18"/>
          <w:szCs w:val="18"/>
        </w:rPr>
        <w:t>.</w:t>
      </w:r>
    </w:p>
    <w:p w14:paraId="5BEA4DD2" w14:textId="75911929" w:rsidR="00F82A8E" w:rsidRPr="00720A0C" w:rsidRDefault="000A4F34"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Naime, Konavosko komunalno društvo d.o.o. (kao korisnik sredstava) je s Ministarstvom gospodarstva i održivog razvoja i Hrvatskim vodama u prosincu 2021. zaključilo </w:t>
      </w:r>
      <w:r w:rsidRPr="00720A0C">
        <w:rPr>
          <w:rFonts w:ascii="Arial" w:eastAsia="Times New Roman" w:hAnsi="Arial" w:cs="Arial"/>
          <w:b/>
          <w:bCs/>
          <w:sz w:val="18"/>
          <w:szCs w:val="18"/>
        </w:rPr>
        <w:t>ugovor o dodjeli bespovratnih sredstava za projekte koji se sufinanciraju iz nacionalnog plana za oporavak i otpornost 2021.-2026</w:t>
      </w:r>
      <w:r w:rsidR="00DE4932" w:rsidRPr="00720A0C">
        <w:rPr>
          <w:rFonts w:ascii="Arial" w:eastAsia="Times New Roman" w:hAnsi="Arial" w:cs="Arial"/>
          <w:b/>
          <w:bCs/>
          <w:sz w:val="18"/>
          <w:szCs w:val="18"/>
        </w:rPr>
        <w:t>.</w:t>
      </w:r>
      <w:r w:rsidRPr="00720A0C">
        <w:rPr>
          <w:rFonts w:ascii="Arial" w:eastAsia="Times New Roman" w:hAnsi="Arial" w:cs="Arial"/>
          <w:b/>
          <w:bCs/>
          <w:sz w:val="18"/>
          <w:szCs w:val="18"/>
        </w:rPr>
        <w:t xml:space="preserve"> (razvoj javne vodoopskrbe i javne odvodnje otpadnih voda u Općini Konavle).</w:t>
      </w:r>
      <w:r w:rsidRPr="00720A0C">
        <w:rPr>
          <w:rFonts w:ascii="Arial" w:eastAsia="Times New Roman" w:hAnsi="Arial" w:cs="Arial"/>
          <w:sz w:val="18"/>
          <w:szCs w:val="18"/>
        </w:rPr>
        <w:t xml:space="preserve"> </w:t>
      </w:r>
      <w:r w:rsidR="00D27238" w:rsidRPr="00720A0C">
        <w:rPr>
          <w:rFonts w:ascii="Arial" w:eastAsia="Times New Roman" w:hAnsi="Arial" w:cs="Arial"/>
          <w:sz w:val="18"/>
          <w:szCs w:val="18"/>
        </w:rPr>
        <w:t xml:space="preserve">Ukupna vrijednost projekta, prema zaključenom ugovoru, iznosi 28.144.931,75 kn </w:t>
      </w:r>
      <w:r w:rsidR="00191D73" w:rsidRPr="00720A0C">
        <w:rPr>
          <w:rFonts w:ascii="Arial" w:eastAsia="Times New Roman" w:hAnsi="Arial" w:cs="Arial"/>
          <w:sz w:val="18"/>
          <w:szCs w:val="18"/>
        </w:rPr>
        <w:t xml:space="preserve">(3.735.474,38 €) </w:t>
      </w:r>
      <w:r w:rsidR="00D27238" w:rsidRPr="00720A0C">
        <w:rPr>
          <w:rFonts w:ascii="Arial" w:eastAsia="Times New Roman" w:hAnsi="Arial" w:cs="Arial"/>
          <w:sz w:val="18"/>
          <w:szCs w:val="18"/>
        </w:rPr>
        <w:t>od čega prihvatljivi troškovi iznose 19.174.679,91 kn</w:t>
      </w:r>
      <w:r w:rsidR="00191D73" w:rsidRPr="00720A0C">
        <w:rPr>
          <w:rFonts w:ascii="Arial" w:eastAsia="Times New Roman" w:hAnsi="Arial" w:cs="Arial"/>
          <w:sz w:val="18"/>
          <w:szCs w:val="18"/>
        </w:rPr>
        <w:t xml:space="preserve"> (2.544.917,37 €)</w:t>
      </w:r>
      <w:r w:rsidR="00D27238" w:rsidRPr="00720A0C">
        <w:rPr>
          <w:rFonts w:ascii="Arial" w:eastAsia="Times New Roman" w:hAnsi="Arial" w:cs="Arial"/>
          <w:sz w:val="18"/>
          <w:szCs w:val="18"/>
        </w:rPr>
        <w:t xml:space="preserve">, a najveći mogući iznos koji se može doznačiti je 15.339.743,93 kn </w:t>
      </w:r>
      <w:r w:rsidR="00191D73" w:rsidRPr="00720A0C">
        <w:rPr>
          <w:rFonts w:ascii="Arial" w:eastAsia="Times New Roman" w:hAnsi="Arial" w:cs="Arial"/>
          <w:sz w:val="18"/>
          <w:szCs w:val="18"/>
        </w:rPr>
        <w:t>(</w:t>
      </w:r>
      <w:r w:rsidR="00191D73" w:rsidRPr="00720A0C">
        <w:rPr>
          <w:rFonts w:ascii="Arial" w:eastAsia="Times New Roman" w:hAnsi="Arial" w:cs="Arial"/>
          <w:b/>
          <w:bCs/>
          <w:sz w:val="18"/>
          <w:szCs w:val="18"/>
        </w:rPr>
        <w:t>2.035.933,89 €)</w:t>
      </w:r>
      <w:r w:rsidR="00191D73" w:rsidRPr="00720A0C">
        <w:rPr>
          <w:rFonts w:ascii="Arial" w:eastAsia="Times New Roman" w:hAnsi="Arial" w:cs="Arial"/>
          <w:sz w:val="18"/>
          <w:szCs w:val="18"/>
        </w:rPr>
        <w:t xml:space="preserve"> </w:t>
      </w:r>
      <w:r w:rsidR="00D27238" w:rsidRPr="00720A0C">
        <w:rPr>
          <w:rFonts w:ascii="Arial" w:eastAsia="Times New Roman" w:hAnsi="Arial" w:cs="Arial"/>
          <w:sz w:val="18"/>
          <w:szCs w:val="18"/>
        </w:rPr>
        <w:t>(80% prihvatljivog troška).</w:t>
      </w:r>
    </w:p>
    <w:p w14:paraId="5EF38A40" w14:textId="77777777" w:rsidR="00666291" w:rsidRPr="00720A0C" w:rsidRDefault="00666291" w:rsidP="00B20566">
      <w:pPr>
        <w:autoSpaceDE w:val="0"/>
        <w:autoSpaceDN w:val="0"/>
        <w:adjustRightInd w:val="0"/>
        <w:spacing w:after="0" w:line="240" w:lineRule="auto"/>
        <w:jc w:val="both"/>
        <w:rPr>
          <w:rFonts w:ascii="Arial" w:eastAsia="Times New Roman" w:hAnsi="Arial" w:cs="Arial"/>
          <w:sz w:val="18"/>
          <w:szCs w:val="18"/>
        </w:rPr>
      </w:pPr>
    </w:p>
    <w:p w14:paraId="0E22B27B" w14:textId="30684611" w:rsidR="00E71BC2" w:rsidRPr="00720A0C" w:rsidRDefault="00E71BC2" w:rsidP="00E71BC2">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Općina nije u </w:t>
      </w:r>
      <w:r w:rsidR="009A4F57" w:rsidRPr="00720A0C">
        <w:rPr>
          <w:rFonts w:ascii="Arial" w:eastAsia="Times New Roman" w:hAnsi="Arial" w:cs="Arial"/>
          <w:sz w:val="18"/>
          <w:szCs w:val="18"/>
        </w:rPr>
        <w:t xml:space="preserve">razdoblju </w:t>
      </w:r>
      <w:r w:rsidRPr="00720A0C">
        <w:rPr>
          <w:rFonts w:ascii="Arial" w:eastAsia="Times New Roman" w:hAnsi="Arial" w:cs="Arial"/>
          <w:sz w:val="18"/>
          <w:szCs w:val="18"/>
        </w:rPr>
        <w:t>2022.</w:t>
      </w:r>
      <w:r w:rsidR="009A4F57" w:rsidRPr="00720A0C">
        <w:rPr>
          <w:rFonts w:ascii="Arial" w:eastAsia="Times New Roman" w:hAnsi="Arial" w:cs="Arial"/>
          <w:sz w:val="18"/>
          <w:szCs w:val="18"/>
        </w:rPr>
        <w:t>- 2024</w:t>
      </w:r>
      <w:r w:rsidR="00191D73" w:rsidRPr="00720A0C">
        <w:rPr>
          <w:rFonts w:ascii="Arial" w:eastAsia="Times New Roman" w:hAnsi="Arial" w:cs="Arial"/>
          <w:sz w:val="18"/>
          <w:szCs w:val="18"/>
        </w:rPr>
        <w:t xml:space="preserve">. </w:t>
      </w:r>
      <w:r w:rsidRPr="00720A0C">
        <w:rPr>
          <w:rFonts w:ascii="Arial" w:eastAsia="Times New Roman" w:hAnsi="Arial" w:cs="Arial"/>
          <w:sz w:val="18"/>
          <w:szCs w:val="18"/>
        </w:rPr>
        <w:t>godini doznačavala sredstva komunalnom društvu za sufinanciranje izgradnje vodovodne i kanalizacijske mreže u Moluntu.</w:t>
      </w:r>
    </w:p>
    <w:p w14:paraId="62C64A05" w14:textId="77777777" w:rsidR="00ED651F" w:rsidRPr="00720A0C" w:rsidRDefault="00ED651F" w:rsidP="00E71BC2">
      <w:pPr>
        <w:autoSpaceDE w:val="0"/>
        <w:autoSpaceDN w:val="0"/>
        <w:adjustRightInd w:val="0"/>
        <w:spacing w:after="0" w:line="240" w:lineRule="auto"/>
        <w:jc w:val="both"/>
        <w:rPr>
          <w:rFonts w:ascii="Arial" w:eastAsia="Times New Roman" w:hAnsi="Arial" w:cs="Arial"/>
          <w:sz w:val="18"/>
          <w:szCs w:val="18"/>
        </w:rPr>
      </w:pPr>
    </w:p>
    <w:p w14:paraId="1DED78E2" w14:textId="596C0FB1" w:rsidR="00ED651F" w:rsidRPr="00720A0C" w:rsidRDefault="00ED651F" w:rsidP="00E71BC2">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Prema podacima društva u vlasništvu, u 2023. godine, </w:t>
      </w:r>
      <w:r w:rsidRPr="00720A0C">
        <w:rPr>
          <w:rFonts w:ascii="Arial" w:eastAsia="Times New Roman" w:hAnsi="Arial" w:cs="Arial"/>
          <w:b/>
          <w:bCs/>
          <w:sz w:val="18"/>
          <w:szCs w:val="18"/>
          <w:u w:val="single"/>
        </w:rPr>
        <w:t>na temelju zahtjeva za nadoknadom sredstava od broja</w:t>
      </w:r>
      <w:r w:rsidR="00DE4932" w:rsidRPr="00720A0C">
        <w:rPr>
          <w:rFonts w:ascii="Arial" w:eastAsia="Times New Roman" w:hAnsi="Arial" w:cs="Arial"/>
          <w:b/>
          <w:bCs/>
          <w:sz w:val="18"/>
          <w:szCs w:val="18"/>
          <w:u w:val="single"/>
        </w:rPr>
        <w:t xml:space="preserve"> 6 do </w:t>
      </w:r>
      <w:r w:rsidR="00FE1B95" w:rsidRPr="00720A0C">
        <w:rPr>
          <w:rFonts w:ascii="Arial" w:eastAsia="Times New Roman" w:hAnsi="Arial" w:cs="Arial"/>
          <w:b/>
          <w:bCs/>
          <w:sz w:val="18"/>
          <w:szCs w:val="18"/>
          <w:u w:val="single"/>
        </w:rPr>
        <w:t>10</w:t>
      </w:r>
      <w:r w:rsidR="00FE1B95" w:rsidRPr="00720A0C">
        <w:rPr>
          <w:rFonts w:ascii="Arial" w:eastAsia="Times New Roman" w:hAnsi="Arial" w:cs="Arial"/>
          <w:b/>
          <w:bCs/>
          <w:sz w:val="18"/>
          <w:szCs w:val="18"/>
        </w:rPr>
        <w:t xml:space="preserve"> </w:t>
      </w:r>
      <w:r w:rsidR="00DE4932" w:rsidRPr="00720A0C">
        <w:rPr>
          <w:rFonts w:ascii="Arial" w:eastAsia="Times New Roman" w:hAnsi="Arial" w:cs="Arial"/>
          <w:b/>
          <w:bCs/>
          <w:sz w:val="18"/>
          <w:szCs w:val="18"/>
        </w:rPr>
        <w:t>ukupno odobreni radovi iznose</w:t>
      </w:r>
      <w:r w:rsidR="00FE1B95" w:rsidRPr="00720A0C">
        <w:rPr>
          <w:rFonts w:ascii="Arial" w:eastAsia="Times New Roman" w:hAnsi="Arial" w:cs="Arial"/>
          <w:b/>
          <w:bCs/>
          <w:sz w:val="18"/>
          <w:szCs w:val="18"/>
        </w:rPr>
        <w:t xml:space="preserve"> </w:t>
      </w:r>
      <w:r w:rsidR="00C84106" w:rsidRPr="00720A0C">
        <w:rPr>
          <w:rFonts w:ascii="Arial" w:eastAsia="Times New Roman" w:hAnsi="Arial" w:cs="Arial"/>
          <w:b/>
          <w:bCs/>
          <w:sz w:val="18"/>
          <w:szCs w:val="18"/>
        </w:rPr>
        <w:t>876.319</w:t>
      </w:r>
      <w:r w:rsidR="00FE1B95" w:rsidRPr="00720A0C">
        <w:rPr>
          <w:rFonts w:ascii="Arial" w:eastAsia="Times New Roman" w:hAnsi="Arial" w:cs="Arial"/>
          <w:b/>
          <w:bCs/>
          <w:sz w:val="18"/>
          <w:szCs w:val="18"/>
        </w:rPr>
        <w:t xml:space="preserve"> €</w:t>
      </w:r>
      <w:r w:rsidR="00DE4932" w:rsidRPr="00720A0C">
        <w:rPr>
          <w:rFonts w:ascii="Arial" w:eastAsia="Times New Roman" w:hAnsi="Arial" w:cs="Arial"/>
          <w:b/>
          <w:bCs/>
          <w:sz w:val="18"/>
          <w:szCs w:val="18"/>
        </w:rPr>
        <w:t xml:space="preserve"> </w:t>
      </w:r>
      <w:r w:rsidR="00FE1B95" w:rsidRPr="00720A0C">
        <w:rPr>
          <w:rFonts w:ascii="Arial" w:eastAsia="Times New Roman" w:hAnsi="Arial" w:cs="Arial"/>
          <w:b/>
          <w:bCs/>
          <w:sz w:val="18"/>
          <w:szCs w:val="18"/>
        </w:rPr>
        <w:t>(sveukupno 1.</w:t>
      </w:r>
      <w:r w:rsidR="00C84106" w:rsidRPr="00720A0C">
        <w:rPr>
          <w:rFonts w:ascii="Arial" w:eastAsia="Times New Roman" w:hAnsi="Arial" w:cs="Arial"/>
          <w:b/>
          <w:bCs/>
          <w:sz w:val="18"/>
          <w:szCs w:val="18"/>
        </w:rPr>
        <w:t>760.083,80</w:t>
      </w:r>
      <w:r w:rsidR="00FE1B95" w:rsidRPr="00720A0C">
        <w:rPr>
          <w:rFonts w:ascii="Arial" w:eastAsia="Times New Roman" w:hAnsi="Arial" w:cs="Arial"/>
          <w:b/>
          <w:bCs/>
          <w:sz w:val="18"/>
          <w:szCs w:val="18"/>
        </w:rPr>
        <w:t xml:space="preserve"> €).</w:t>
      </w:r>
      <w:r w:rsidR="00FE1B95" w:rsidRPr="00720A0C">
        <w:rPr>
          <w:rFonts w:ascii="Arial" w:eastAsia="Times New Roman" w:hAnsi="Arial" w:cs="Arial"/>
          <w:sz w:val="18"/>
          <w:szCs w:val="18"/>
        </w:rPr>
        <w:t xml:space="preserve"> </w:t>
      </w:r>
      <w:r w:rsidR="00DE4932" w:rsidRPr="00720A0C">
        <w:rPr>
          <w:rFonts w:ascii="Arial" w:eastAsia="Times New Roman" w:hAnsi="Arial" w:cs="Arial"/>
          <w:sz w:val="18"/>
          <w:szCs w:val="18"/>
        </w:rPr>
        <w:t>Društvu</w:t>
      </w:r>
      <w:r w:rsidR="00D873AE" w:rsidRPr="00720A0C">
        <w:rPr>
          <w:rFonts w:ascii="Arial" w:eastAsia="Times New Roman" w:hAnsi="Arial" w:cs="Arial"/>
          <w:sz w:val="18"/>
          <w:szCs w:val="18"/>
        </w:rPr>
        <w:t xml:space="preserve"> su u</w:t>
      </w:r>
      <w:r w:rsidR="004926AF" w:rsidRPr="00720A0C">
        <w:rPr>
          <w:rFonts w:ascii="Arial" w:eastAsia="Times New Roman" w:hAnsi="Arial" w:cs="Arial"/>
          <w:sz w:val="18"/>
          <w:szCs w:val="18"/>
        </w:rPr>
        <w:t xml:space="preserve"> </w:t>
      </w:r>
      <w:r w:rsidR="00DE4932" w:rsidRPr="00720A0C">
        <w:rPr>
          <w:rFonts w:ascii="Arial" w:eastAsia="Times New Roman" w:hAnsi="Arial" w:cs="Arial"/>
          <w:sz w:val="18"/>
          <w:szCs w:val="18"/>
        </w:rPr>
        <w:t>2023. doznačen</w:t>
      </w:r>
      <w:r w:rsidR="00D873AE" w:rsidRPr="00720A0C">
        <w:rPr>
          <w:rFonts w:ascii="Arial" w:eastAsia="Times New Roman" w:hAnsi="Arial" w:cs="Arial"/>
          <w:sz w:val="18"/>
          <w:szCs w:val="18"/>
        </w:rPr>
        <w:t xml:space="preserve">a odobrena sredstva. </w:t>
      </w:r>
      <w:r w:rsidR="00DE4932" w:rsidRPr="00720A0C">
        <w:rPr>
          <w:rFonts w:ascii="Arial" w:eastAsia="Times New Roman" w:hAnsi="Arial" w:cs="Arial"/>
          <w:sz w:val="18"/>
          <w:szCs w:val="18"/>
        </w:rPr>
        <w:t xml:space="preserve">Sufinancira se 90% odobrenih radova što, na temelju zahtjeva od </w:t>
      </w:r>
      <w:r w:rsidR="00D873AE" w:rsidRPr="00720A0C">
        <w:rPr>
          <w:rFonts w:ascii="Arial" w:eastAsia="Times New Roman" w:hAnsi="Arial" w:cs="Arial"/>
          <w:sz w:val="18"/>
          <w:szCs w:val="18"/>
        </w:rPr>
        <w:t>6</w:t>
      </w:r>
      <w:r w:rsidR="00DE4932" w:rsidRPr="00720A0C">
        <w:rPr>
          <w:rFonts w:ascii="Arial" w:eastAsia="Times New Roman" w:hAnsi="Arial" w:cs="Arial"/>
          <w:sz w:val="18"/>
          <w:szCs w:val="18"/>
        </w:rPr>
        <w:t xml:space="preserve"> do </w:t>
      </w:r>
      <w:r w:rsidR="00D873AE" w:rsidRPr="00720A0C">
        <w:rPr>
          <w:rFonts w:ascii="Arial" w:eastAsia="Times New Roman" w:hAnsi="Arial" w:cs="Arial"/>
          <w:sz w:val="18"/>
          <w:szCs w:val="18"/>
        </w:rPr>
        <w:t>10</w:t>
      </w:r>
      <w:r w:rsidR="00DE4932" w:rsidRPr="00720A0C">
        <w:rPr>
          <w:rFonts w:ascii="Arial" w:eastAsia="Times New Roman" w:hAnsi="Arial" w:cs="Arial"/>
          <w:sz w:val="18"/>
          <w:szCs w:val="18"/>
        </w:rPr>
        <w:t xml:space="preserve"> čini </w:t>
      </w:r>
      <w:r w:rsidR="00D873AE" w:rsidRPr="00720A0C">
        <w:rPr>
          <w:rFonts w:ascii="Arial" w:eastAsia="Times New Roman" w:hAnsi="Arial" w:cs="Arial"/>
          <w:sz w:val="18"/>
          <w:szCs w:val="18"/>
        </w:rPr>
        <w:t>788.687,10</w:t>
      </w:r>
      <w:r w:rsidR="00FE1B95" w:rsidRPr="00720A0C">
        <w:rPr>
          <w:rFonts w:ascii="Arial" w:eastAsia="Times New Roman" w:hAnsi="Arial" w:cs="Arial"/>
          <w:sz w:val="18"/>
          <w:szCs w:val="18"/>
        </w:rPr>
        <w:t xml:space="preserve"> €</w:t>
      </w:r>
      <w:r w:rsidR="00D873AE" w:rsidRPr="00720A0C">
        <w:rPr>
          <w:rFonts w:ascii="Arial" w:eastAsia="Times New Roman" w:hAnsi="Arial" w:cs="Arial"/>
          <w:sz w:val="18"/>
          <w:szCs w:val="18"/>
        </w:rPr>
        <w:t xml:space="preserve"> (sveukupno sufinanciranje po odobrenim zahtjevima za nadoknadu sredstava 1.514.714,37 €)</w:t>
      </w:r>
      <w:r w:rsidR="00DE4932" w:rsidRPr="00720A0C">
        <w:rPr>
          <w:rFonts w:ascii="Arial" w:eastAsia="Times New Roman" w:hAnsi="Arial" w:cs="Arial"/>
          <w:sz w:val="18"/>
          <w:szCs w:val="18"/>
        </w:rPr>
        <w:t>.</w:t>
      </w:r>
    </w:p>
    <w:p w14:paraId="419E3666" w14:textId="77777777" w:rsidR="00ED651F" w:rsidRPr="00720A0C" w:rsidRDefault="00ED651F" w:rsidP="00E71BC2">
      <w:pPr>
        <w:autoSpaceDE w:val="0"/>
        <w:autoSpaceDN w:val="0"/>
        <w:adjustRightInd w:val="0"/>
        <w:spacing w:after="0" w:line="240" w:lineRule="auto"/>
        <w:jc w:val="both"/>
        <w:rPr>
          <w:rFonts w:ascii="Arial" w:eastAsia="Times New Roman" w:hAnsi="Arial" w:cs="Arial"/>
          <w:sz w:val="18"/>
          <w:szCs w:val="18"/>
        </w:rPr>
      </w:pPr>
    </w:p>
    <w:p w14:paraId="0FADCEEB" w14:textId="77777777" w:rsidR="00B20566" w:rsidRPr="00FF3C31" w:rsidRDefault="00B20566" w:rsidP="00B20566">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b/>
          <w:sz w:val="20"/>
          <w:szCs w:val="20"/>
        </w:rPr>
        <w:t xml:space="preserve">K209424: Kanalizacijski sustav Zvekovica </w:t>
      </w:r>
    </w:p>
    <w:p w14:paraId="19E7B9E2"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69D2C287"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Pokazatelj rezultata je: postotak dovršenosti radova, odnosno izgradnja cca 800 m mreže i spajanje 50-ak priključaka</w:t>
      </w:r>
    </w:p>
    <w:p w14:paraId="557DB46C"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527F64FB" w14:textId="57534CDD"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 9</w:t>
      </w:r>
      <w:r w:rsidR="00E71BC2" w:rsidRPr="00FF3C31">
        <w:rPr>
          <w:rFonts w:ascii="Arial" w:eastAsia="Times New Roman" w:hAnsi="Arial" w:cs="Arial"/>
          <w:sz w:val="20"/>
          <w:szCs w:val="20"/>
        </w:rPr>
        <w:t>2</w:t>
      </w:r>
      <w:r w:rsidRPr="00FF3C31">
        <w:rPr>
          <w:rFonts w:ascii="Arial" w:eastAsia="Times New Roman" w:hAnsi="Arial" w:cs="Arial"/>
          <w:sz w:val="20"/>
          <w:szCs w:val="20"/>
        </w:rPr>
        <w:t>%</w:t>
      </w:r>
    </w:p>
    <w:p w14:paraId="7C51D18A" w14:textId="4D64F495"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Ciljna vrijednost za 202</w:t>
      </w:r>
      <w:r w:rsidR="00A33D0B">
        <w:rPr>
          <w:rFonts w:ascii="Arial" w:eastAsia="Times New Roman" w:hAnsi="Arial" w:cs="Arial"/>
          <w:sz w:val="20"/>
          <w:szCs w:val="20"/>
        </w:rPr>
        <w:t>5</w:t>
      </w:r>
      <w:r w:rsidRPr="00FF3C31">
        <w:rPr>
          <w:rFonts w:ascii="Arial" w:eastAsia="Times New Roman" w:hAnsi="Arial" w:cs="Arial"/>
          <w:sz w:val="20"/>
          <w:szCs w:val="20"/>
        </w:rPr>
        <w:t xml:space="preserve">. = </w:t>
      </w:r>
      <w:r w:rsidR="0029154A" w:rsidRPr="00FF3C31">
        <w:rPr>
          <w:rFonts w:ascii="Arial" w:eastAsia="Times New Roman" w:hAnsi="Arial" w:cs="Arial"/>
          <w:sz w:val="20"/>
          <w:szCs w:val="20"/>
        </w:rPr>
        <w:t>96</w:t>
      </w:r>
      <w:r w:rsidRPr="00FF3C31">
        <w:rPr>
          <w:rFonts w:ascii="Arial" w:eastAsia="Times New Roman" w:hAnsi="Arial" w:cs="Arial"/>
          <w:sz w:val="20"/>
          <w:szCs w:val="20"/>
        </w:rPr>
        <w:t>%, za 202</w:t>
      </w:r>
      <w:r w:rsidR="00A33D0B">
        <w:rPr>
          <w:rFonts w:ascii="Arial" w:eastAsia="Times New Roman" w:hAnsi="Arial" w:cs="Arial"/>
          <w:sz w:val="20"/>
          <w:szCs w:val="20"/>
        </w:rPr>
        <w:t>6</w:t>
      </w:r>
      <w:r w:rsidRPr="00FF3C31">
        <w:rPr>
          <w:rFonts w:ascii="Arial" w:eastAsia="Times New Roman" w:hAnsi="Arial" w:cs="Arial"/>
          <w:sz w:val="20"/>
          <w:szCs w:val="20"/>
        </w:rPr>
        <w:t>. = 9</w:t>
      </w:r>
      <w:r w:rsidR="00E71BC2" w:rsidRPr="00FF3C31">
        <w:rPr>
          <w:rFonts w:ascii="Arial" w:eastAsia="Times New Roman" w:hAnsi="Arial" w:cs="Arial"/>
          <w:sz w:val="20"/>
          <w:szCs w:val="20"/>
        </w:rPr>
        <w:t>6</w:t>
      </w:r>
      <w:r w:rsidRPr="00FF3C31">
        <w:rPr>
          <w:rFonts w:ascii="Arial" w:eastAsia="Times New Roman" w:hAnsi="Arial" w:cs="Arial"/>
          <w:sz w:val="20"/>
          <w:szCs w:val="20"/>
        </w:rPr>
        <w:t>%, za 202</w:t>
      </w:r>
      <w:r w:rsidR="00A33D0B">
        <w:rPr>
          <w:rFonts w:ascii="Arial" w:eastAsia="Times New Roman" w:hAnsi="Arial" w:cs="Arial"/>
          <w:sz w:val="20"/>
          <w:szCs w:val="20"/>
        </w:rPr>
        <w:t>7</w:t>
      </w:r>
      <w:r w:rsidRPr="00FF3C31">
        <w:rPr>
          <w:rFonts w:ascii="Arial" w:eastAsia="Times New Roman" w:hAnsi="Arial" w:cs="Arial"/>
          <w:sz w:val="20"/>
          <w:szCs w:val="20"/>
        </w:rPr>
        <w:t>. = 9</w:t>
      </w:r>
      <w:r w:rsidR="0029154A" w:rsidRPr="00FF3C31">
        <w:rPr>
          <w:rFonts w:ascii="Arial" w:eastAsia="Times New Roman" w:hAnsi="Arial" w:cs="Arial"/>
          <w:sz w:val="20"/>
          <w:szCs w:val="20"/>
        </w:rPr>
        <w:t>6</w:t>
      </w:r>
      <w:r w:rsidRPr="00FF3C31">
        <w:rPr>
          <w:rFonts w:ascii="Arial" w:eastAsia="Times New Roman" w:hAnsi="Arial" w:cs="Arial"/>
          <w:sz w:val="20"/>
          <w:szCs w:val="20"/>
        </w:rPr>
        <w:t>%</w:t>
      </w:r>
    </w:p>
    <w:p w14:paraId="69E08B99" w14:textId="77777777" w:rsidR="00B20566" w:rsidRPr="00FF3C31" w:rsidRDefault="00B20566" w:rsidP="00B20566">
      <w:pPr>
        <w:autoSpaceDE w:val="0"/>
        <w:autoSpaceDN w:val="0"/>
        <w:adjustRightInd w:val="0"/>
        <w:spacing w:after="0" w:line="240" w:lineRule="auto"/>
        <w:jc w:val="both"/>
        <w:rPr>
          <w:rFonts w:ascii="Arial" w:eastAsia="Calibri" w:hAnsi="Arial" w:cs="Arial"/>
          <w:sz w:val="20"/>
          <w:szCs w:val="20"/>
        </w:rPr>
      </w:pPr>
    </w:p>
    <w:p w14:paraId="66585F25" w14:textId="7EACC91A"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Općina je u </w:t>
      </w:r>
      <w:r w:rsidRPr="00720A0C">
        <w:rPr>
          <w:rFonts w:ascii="Arial" w:eastAsia="Times New Roman" w:hAnsi="Arial" w:cs="Arial"/>
          <w:b/>
          <w:sz w:val="18"/>
          <w:szCs w:val="18"/>
        </w:rPr>
        <w:t>2017.</w:t>
      </w:r>
      <w:r w:rsidRPr="00720A0C">
        <w:rPr>
          <w:rFonts w:ascii="Arial" w:eastAsia="Times New Roman" w:hAnsi="Arial" w:cs="Arial"/>
          <w:sz w:val="18"/>
          <w:szCs w:val="18"/>
        </w:rPr>
        <w:t xml:space="preserve"> ukupno financirala 493.332,88 kn </w:t>
      </w:r>
      <w:r w:rsidR="00621E95" w:rsidRPr="00720A0C">
        <w:rPr>
          <w:rFonts w:ascii="Arial" w:eastAsia="Times New Roman" w:hAnsi="Arial" w:cs="Arial"/>
          <w:sz w:val="18"/>
          <w:szCs w:val="18"/>
        </w:rPr>
        <w:t xml:space="preserve">/ 65.476,53 € </w:t>
      </w:r>
      <w:r w:rsidRPr="00720A0C">
        <w:rPr>
          <w:rFonts w:ascii="Arial" w:eastAsia="Times New Roman" w:hAnsi="Arial" w:cs="Arial"/>
          <w:sz w:val="18"/>
          <w:szCs w:val="18"/>
        </w:rPr>
        <w:t xml:space="preserve">za projekt radova na kanalizacijskom sustavu na Zvekovici. </w:t>
      </w:r>
    </w:p>
    <w:p w14:paraId="6747043A" w14:textId="351279C3"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Nositelj projekta je društvo u vlasništvu Općine, Konavosko komunalno društvo. Projekt bi se sufinancirao sredstvima javnog isporučitelja (Konavosko komunalno društvo d.o.o.), sredstvima Općine i sufinanciranjem Hrvatskih voda. Procijenjena vrijednost investicije 600.000,00 kn</w:t>
      </w:r>
      <w:r w:rsidR="00621E95" w:rsidRPr="00720A0C">
        <w:rPr>
          <w:rFonts w:ascii="Arial" w:eastAsia="Times New Roman" w:hAnsi="Arial" w:cs="Arial"/>
          <w:sz w:val="18"/>
          <w:szCs w:val="18"/>
        </w:rPr>
        <w:t xml:space="preserve"> / 79.633,69 €</w:t>
      </w:r>
      <w:r w:rsidRPr="00720A0C">
        <w:rPr>
          <w:rFonts w:ascii="Arial" w:eastAsia="Times New Roman" w:hAnsi="Arial" w:cs="Arial"/>
          <w:sz w:val="18"/>
          <w:szCs w:val="18"/>
        </w:rPr>
        <w:t>.</w:t>
      </w:r>
    </w:p>
    <w:p w14:paraId="2A7A1397"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284E5EA0" w14:textId="48315240"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b/>
          <w:sz w:val="18"/>
          <w:szCs w:val="18"/>
        </w:rPr>
        <w:t>Ugovor o izvođenju radova na izgradnji dijela sekundarne kanalizacijske mreže u naseljima Cavtat i Zvekovica u i</w:t>
      </w:r>
      <w:r w:rsidRPr="00720A0C">
        <w:rPr>
          <w:rFonts w:ascii="Arial" w:eastAsia="Times New Roman" w:hAnsi="Arial" w:cs="Arial"/>
          <w:sz w:val="18"/>
          <w:szCs w:val="18"/>
        </w:rPr>
        <w:t xml:space="preserve">znosu od </w:t>
      </w:r>
      <w:r w:rsidRPr="00720A0C">
        <w:rPr>
          <w:rFonts w:ascii="Arial" w:eastAsia="Times New Roman" w:hAnsi="Arial" w:cs="Arial"/>
          <w:b/>
          <w:sz w:val="18"/>
          <w:szCs w:val="18"/>
        </w:rPr>
        <w:t>671.330 kn</w:t>
      </w:r>
      <w:r w:rsidR="00621E95" w:rsidRPr="00720A0C">
        <w:rPr>
          <w:rFonts w:ascii="Arial" w:eastAsia="Times New Roman" w:hAnsi="Arial" w:cs="Arial"/>
          <w:b/>
          <w:sz w:val="18"/>
          <w:szCs w:val="18"/>
        </w:rPr>
        <w:t xml:space="preserve"> / 89.100,80 €</w:t>
      </w:r>
      <w:r w:rsidRPr="00720A0C">
        <w:rPr>
          <w:rFonts w:ascii="Arial" w:eastAsia="Times New Roman" w:hAnsi="Arial" w:cs="Arial"/>
          <w:sz w:val="18"/>
          <w:szCs w:val="18"/>
        </w:rPr>
        <w:t xml:space="preserve">, bez poreza na dodanu vrijednost zaključen je 29. studenoga 2018. Radovi se odnose na izgradnju sekundarne kanalizacijske mreže Zvekovica u iznosu 539.300 kn </w:t>
      </w:r>
      <w:r w:rsidR="00621E95" w:rsidRPr="00720A0C">
        <w:rPr>
          <w:rFonts w:ascii="Arial" w:eastAsia="Times New Roman" w:hAnsi="Arial" w:cs="Arial"/>
          <w:sz w:val="18"/>
          <w:szCs w:val="18"/>
        </w:rPr>
        <w:t xml:space="preserve">/ 71.577,41 € </w:t>
      </w:r>
      <w:r w:rsidRPr="00720A0C">
        <w:rPr>
          <w:rFonts w:ascii="Arial" w:eastAsia="Times New Roman" w:hAnsi="Arial" w:cs="Arial"/>
          <w:sz w:val="18"/>
          <w:szCs w:val="18"/>
        </w:rPr>
        <w:t xml:space="preserve">i radove na kanalizaciji u Cavtatu (Zorina, dio Bukovčeve i dio Epidaurusa) u iznosu 132.030 kn </w:t>
      </w:r>
      <w:r w:rsidR="00621E95" w:rsidRPr="00720A0C">
        <w:rPr>
          <w:rFonts w:ascii="Arial" w:eastAsia="Times New Roman" w:hAnsi="Arial" w:cs="Arial"/>
          <w:sz w:val="18"/>
          <w:szCs w:val="18"/>
        </w:rPr>
        <w:t xml:space="preserve">/ 17.523,39 € </w:t>
      </w:r>
      <w:r w:rsidRPr="00720A0C">
        <w:rPr>
          <w:rFonts w:ascii="Arial" w:eastAsia="Times New Roman" w:hAnsi="Arial" w:cs="Arial"/>
          <w:sz w:val="18"/>
          <w:szCs w:val="18"/>
        </w:rPr>
        <w:t xml:space="preserve">(sveukupno 671.330 kn </w:t>
      </w:r>
      <w:r w:rsidR="00621E95" w:rsidRPr="00720A0C">
        <w:rPr>
          <w:rFonts w:ascii="Arial" w:eastAsia="Times New Roman" w:hAnsi="Arial" w:cs="Arial"/>
          <w:sz w:val="18"/>
          <w:szCs w:val="18"/>
        </w:rPr>
        <w:t xml:space="preserve">/ 89.100,80 € </w:t>
      </w:r>
      <w:r w:rsidRPr="00720A0C">
        <w:rPr>
          <w:rFonts w:ascii="Arial" w:eastAsia="Times New Roman" w:hAnsi="Arial" w:cs="Arial"/>
          <w:sz w:val="18"/>
          <w:szCs w:val="18"/>
        </w:rPr>
        <w:t>bez poreza).</w:t>
      </w:r>
    </w:p>
    <w:p w14:paraId="6190E0A3"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Dakle, komunalno društvo je u 2018., na temelju provedenog postupka javne nabave i odluke o odabiru najpovoljnije ponude zaključilo ugovor sa izvođačem Texo gradnja d.o.o. Ugovoreno je izvođenje radova unutar 6 mjeseci, s time da je izvođač obvezan usuglasiti dinamiku izvođenja radova sukladno mogućnostima bez dodatnih troškova neovisno dolazi li do privremenog prekida radova. Ukupna cijena radova je fiksna i nepromjenljiva s bilo koje osnove. Jamstvo za uredno ispunjenje ugovora je bankarska garancija plativa na prvi poziv i bez prigovora u iznosu 10% ugovorene cijene bez PDV-a. Izvođač jamči i osigurava da na građevini neće nastati nikakvi nedostaci u dvogodišnjem roku od trenutka zapisničke primopredaje građevine. Za solidnost sanacije postojećih konstrukcija i solidnost novoizgrađene građevine daje se jamstveni rok 10 godina. Izvođač je obvezan društvu (naručitelju) dostaviti jamstvo za otklanjanje nedostataka u jamstvenom roku na period od dvije godine u obliku bankarske garancije na iznos od 5% ugovorenog iznosa PDV-a. Kazna za svaki dan kašnjenja u izvođenju radove prema detaljnom dinamičkom planu je 5 promila s time da je maksimalni iznos ugovorene kazne 10% ugovorene kazne ne može prijeći 10% ugovorene vrijednosti radova s PDV-om.</w:t>
      </w:r>
    </w:p>
    <w:p w14:paraId="0E06B61E" w14:textId="3BA7C18C"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Dodatak ugovoru za izvođenje radova, zaključen je 11.6.2019. u iznosu 48.993,76 kn </w:t>
      </w:r>
      <w:r w:rsidR="00EB4CA8" w:rsidRPr="00720A0C">
        <w:rPr>
          <w:rFonts w:ascii="Arial" w:eastAsia="Times New Roman" w:hAnsi="Arial" w:cs="Arial"/>
          <w:sz w:val="18"/>
          <w:szCs w:val="18"/>
        </w:rPr>
        <w:t xml:space="preserve">/ 6.502,59 € </w:t>
      </w:r>
      <w:r w:rsidRPr="00720A0C">
        <w:rPr>
          <w:rFonts w:ascii="Arial" w:eastAsia="Times New Roman" w:hAnsi="Arial" w:cs="Arial"/>
          <w:sz w:val="18"/>
          <w:szCs w:val="18"/>
        </w:rPr>
        <w:t>što s porezom čini 61.242,20 kn</w:t>
      </w:r>
      <w:r w:rsidR="00EB4CA8" w:rsidRPr="00720A0C">
        <w:rPr>
          <w:rFonts w:ascii="Arial" w:eastAsia="Times New Roman" w:hAnsi="Arial" w:cs="Arial"/>
          <w:sz w:val="18"/>
          <w:szCs w:val="18"/>
        </w:rPr>
        <w:t xml:space="preserve"> / 8.128,24 €</w:t>
      </w:r>
      <w:r w:rsidRPr="00720A0C">
        <w:rPr>
          <w:rFonts w:ascii="Arial" w:eastAsia="Times New Roman" w:hAnsi="Arial" w:cs="Arial"/>
          <w:sz w:val="18"/>
          <w:szCs w:val="18"/>
        </w:rPr>
        <w:t xml:space="preserve"> ili sveukupno s osnovnim ugovorom iz studenog 2018. iznosi 720.323,76 kn </w:t>
      </w:r>
      <w:r w:rsidR="00EB4CA8" w:rsidRPr="00720A0C">
        <w:rPr>
          <w:rFonts w:ascii="Arial" w:eastAsia="Times New Roman" w:hAnsi="Arial" w:cs="Arial"/>
          <w:sz w:val="18"/>
          <w:szCs w:val="18"/>
        </w:rPr>
        <w:t xml:space="preserve">/ 95.603,39 € </w:t>
      </w:r>
      <w:r w:rsidRPr="00720A0C">
        <w:rPr>
          <w:rFonts w:ascii="Arial" w:eastAsia="Times New Roman" w:hAnsi="Arial" w:cs="Arial"/>
          <w:sz w:val="18"/>
          <w:szCs w:val="18"/>
        </w:rPr>
        <w:t>s porezom 900.404,70 kn</w:t>
      </w:r>
      <w:r w:rsidR="00EB4CA8" w:rsidRPr="00720A0C">
        <w:rPr>
          <w:rFonts w:ascii="Arial" w:eastAsia="Times New Roman" w:hAnsi="Arial" w:cs="Arial"/>
          <w:sz w:val="18"/>
          <w:szCs w:val="18"/>
        </w:rPr>
        <w:t xml:space="preserve"> / 119.504,24 €</w:t>
      </w:r>
      <w:r w:rsidRPr="00720A0C">
        <w:rPr>
          <w:rFonts w:ascii="Arial" w:eastAsia="Times New Roman" w:hAnsi="Arial" w:cs="Arial"/>
          <w:sz w:val="18"/>
          <w:szCs w:val="18"/>
        </w:rPr>
        <w:t>.</w:t>
      </w:r>
    </w:p>
    <w:p w14:paraId="32855BC4"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411E30E4" w14:textId="23F29202"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b/>
          <w:sz w:val="18"/>
          <w:szCs w:val="18"/>
        </w:rPr>
        <w:t>Stručni nadzor</w:t>
      </w:r>
      <w:r w:rsidRPr="00720A0C">
        <w:rPr>
          <w:rFonts w:ascii="Arial" w:eastAsia="Times New Roman" w:hAnsi="Arial" w:cs="Arial"/>
          <w:sz w:val="18"/>
          <w:szCs w:val="18"/>
        </w:rPr>
        <w:t xml:space="preserve"> je Astra gradnja d.o.o., a ugovor je zaključen 20.11.2018. u iznosu 18.500</w:t>
      </w:r>
      <w:r w:rsidR="00EB4CA8" w:rsidRPr="00720A0C">
        <w:rPr>
          <w:rFonts w:ascii="Arial" w:eastAsia="Times New Roman" w:hAnsi="Arial" w:cs="Arial"/>
          <w:sz w:val="18"/>
          <w:szCs w:val="18"/>
        </w:rPr>
        <w:t xml:space="preserve"> </w:t>
      </w:r>
      <w:r w:rsidRPr="00720A0C">
        <w:rPr>
          <w:rFonts w:ascii="Arial" w:eastAsia="Times New Roman" w:hAnsi="Arial" w:cs="Arial"/>
          <w:sz w:val="18"/>
          <w:szCs w:val="18"/>
        </w:rPr>
        <w:t>kn</w:t>
      </w:r>
      <w:r w:rsidR="00EB4CA8" w:rsidRPr="00720A0C">
        <w:rPr>
          <w:rFonts w:ascii="Arial" w:eastAsia="Times New Roman" w:hAnsi="Arial" w:cs="Arial"/>
          <w:sz w:val="18"/>
          <w:szCs w:val="18"/>
        </w:rPr>
        <w:t xml:space="preserve"> / 2.455,37 €</w:t>
      </w:r>
      <w:r w:rsidRPr="00720A0C">
        <w:rPr>
          <w:rFonts w:ascii="Arial" w:eastAsia="Times New Roman" w:hAnsi="Arial" w:cs="Arial"/>
          <w:sz w:val="18"/>
          <w:szCs w:val="18"/>
        </w:rPr>
        <w:t xml:space="preserve">, bez poreza na dodanu vrijednost. </w:t>
      </w:r>
    </w:p>
    <w:p w14:paraId="3E4667A1"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2E026C4C" w14:textId="3AB148FE"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U </w:t>
      </w:r>
      <w:r w:rsidRPr="00720A0C">
        <w:rPr>
          <w:rFonts w:ascii="Arial" w:eastAsia="Times New Roman" w:hAnsi="Arial" w:cs="Arial"/>
          <w:b/>
          <w:sz w:val="18"/>
          <w:szCs w:val="18"/>
        </w:rPr>
        <w:t>2019.</w:t>
      </w:r>
      <w:r w:rsidRPr="00720A0C">
        <w:rPr>
          <w:rFonts w:ascii="Arial" w:eastAsia="Times New Roman" w:hAnsi="Arial" w:cs="Arial"/>
          <w:sz w:val="18"/>
          <w:szCs w:val="18"/>
        </w:rPr>
        <w:t xml:space="preserve"> godine Općina je društvu u vlasništvu Općine doznačila sredstva u iznosu 615.385,71 kn </w:t>
      </w:r>
      <w:r w:rsidR="00EB4CA8" w:rsidRPr="00720A0C">
        <w:rPr>
          <w:rFonts w:ascii="Arial" w:eastAsia="Times New Roman" w:hAnsi="Arial" w:cs="Arial"/>
          <w:sz w:val="18"/>
          <w:szCs w:val="18"/>
        </w:rPr>
        <w:t xml:space="preserve">/ 81.675,72 € </w:t>
      </w:r>
      <w:r w:rsidRPr="00720A0C">
        <w:rPr>
          <w:rFonts w:ascii="Arial" w:eastAsia="Times New Roman" w:hAnsi="Arial" w:cs="Arial"/>
          <w:sz w:val="18"/>
          <w:szCs w:val="18"/>
        </w:rPr>
        <w:t>koja se odnose na:</w:t>
      </w:r>
    </w:p>
    <w:p w14:paraId="2E016D29" w14:textId="5271F614"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radove na kanalizacijskoj mreži u naselju Zvekovica (sukladno zaključenom ugovoru s Texo gradnja d.o.o.) na temelju četiri ispostavljene privremene situacije, odnosno pete i okončane situacije u ukupnom iznosu 573.575,58 kn</w:t>
      </w:r>
      <w:r w:rsidR="00EB4CA8" w:rsidRPr="00720A0C">
        <w:rPr>
          <w:rFonts w:ascii="Arial" w:eastAsia="Times New Roman" w:hAnsi="Arial" w:cs="Arial"/>
          <w:sz w:val="18"/>
          <w:szCs w:val="18"/>
        </w:rPr>
        <w:t xml:space="preserve"> / 76.126,56 €</w:t>
      </w:r>
      <w:r w:rsidRPr="00720A0C">
        <w:rPr>
          <w:rFonts w:ascii="Arial" w:eastAsia="Times New Roman" w:hAnsi="Arial" w:cs="Arial"/>
          <w:sz w:val="18"/>
          <w:szCs w:val="18"/>
        </w:rPr>
        <w:t xml:space="preserve">, </w:t>
      </w:r>
    </w:p>
    <w:p w14:paraId="07C597AA" w14:textId="153E7C5E"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 na usluge nadzora nad izvođenjem radova u iznosu 3.910,13 kn </w:t>
      </w:r>
      <w:r w:rsidR="00403170" w:rsidRPr="00720A0C">
        <w:rPr>
          <w:rFonts w:ascii="Arial" w:eastAsia="Times New Roman" w:hAnsi="Arial" w:cs="Arial"/>
          <w:sz w:val="18"/>
          <w:szCs w:val="18"/>
        </w:rPr>
        <w:t xml:space="preserve">/ 518,96 € </w:t>
      </w:r>
      <w:r w:rsidRPr="00720A0C">
        <w:rPr>
          <w:rFonts w:ascii="Arial" w:eastAsia="Times New Roman" w:hAnsi="Arial" w:cs="Arial"/>
          <w:sz w:val="18"/>
          <w:szCs w:val="18"/>
        </w:rPr>
        <w:t xml:space="preserve">i </w:t>
      </w:r>
    </w:p>
    <w:p w14:paraId="4257F919" w14:textId="17313D8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lastRenderedPageBreak/>
        <w:t>- izradu projektne dokumentacije za CS i VS na području Općine u iznosu 37.900 kn</w:t>
      </w:r>
      <w:r w:rsidR="00403170" w:rsidRPr="00720A0C">
        <w:rPr>
          <w:rFonts w:ascii="Arial" w:eastAsia="Times New Roman" w:hAnsi="Arial" w:cs="Arial"/>
          <w:sz w:val="18"/>
          <w:szCs w:val="18"/>
        </w:rPr>
        <w:t xml:space="preserve"> / 5.030,19 €</w:t>
      </w:r>
      <w:r w:rsidRPr="00720A0C">
        <w:rPr>
          <w:rFonts w:ascii="Arial" w:eastAsia="Times New Roman" w:hAnsi="Arial" w:cs="Arial"/>
          <w:sz w:val="18"/>
          <w:szCs w:val="18"/>
        </w:rPr>
        <w:t>. Rashodi su izvršeni na temelju dostavljenih ugovora, situacija o izvedenim radovima i zahtjeva za financiranje investicije, te odluke općinskog načelnika.</w:t>
      </w:r>
    </w:p>
    <w:p w14:paraId="43FC1198"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383BC212" w14:textId="36CB0D79"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Konavosko komunalno društvo je u 2018. zaključilo ugovor za izvođenje radova s odabranim ponuditeljem za izradu projektne dokumentacije za CS i VS na području općine Konavle u vrijednosti 137.900 kn</w:t>
      </w:r>
      <w:r w:rsidR="00403170" w:rsidRPr="00720A0C">
        <w:rPr>
          <w:rFonts w:ascii="Arial" w:eastAsia="Times New Roman" w:hAnsi="Arial" w:cs="Arial"/>
          <w:sz w:val="18"/>
          <w:szCs w:val="18"/>
        </w:rPr>
        <w:t xml:space="preserve"> / 18.302,48 €</w:t>
      </w:r>
      <w:r w:rsidRPr="00720A0C">
        <w:rPr>
          <w:rFonts w:ascii="Arial" w:eastAsia="Times New Roman" w:hAnsi="Arial" w:cs="Arial"/>
          <w:sz w:val="18"/>
          <w:szCs w:val="18"/>
        </w:rPr>
        <w:t xml:space="preserve">, bez poreza na dodanu vrijednost. Dio radova u vrijednosti 100.000 kn </w:t>
      </w:r>
      <w:r w:rsidR="00403170" w:rsidRPr="00720A0C">
        <w:rPr>
          <w:rFonts w:ascii="Arial" w:eastAsia="Times New Roman" w:hAnsi="Arial" w:cs="Arial"/>
          <w:sz w:val="18"/>
          <w:szCs w:val="18"/>
        </w:rPr>
        <w:t xml:space="preserve">/ 13.272,28 € </w:t>
      </w:r>
      <w:r w:rsidRPr="00720A0C">
        <w:rPr>
          <w:rFonts w:ascii="Arial" w:eastAsia="Times New Roman" w:hAnsi="Arial" w:cs="Arial"/>
          <w:sz w:val="18"/>
          <w:szCs w:val="18"/>
        </w:rPr>
        <w:t xml:space="preserve">su financirale Hrvatske vode u 2018 .godini, a preostali dio Općina u 2019. godini. Dakle, doznačena sredstva u iznosu 37.900 kn </w:t>
      </w:r>
      <w:r w:rsidR="00403170" w:rsidRPr="00720A0C">
        <w:rPr>
          <w:rFonts w:ascii="Arial" w:eastAsia="Times New Roman" w:hAnsi="Arial" w:cs="Arial"/>
          <w:sz w:val="18"/>
          <w:szCs w:val="18"/>
        </w:rPr>
        <w:t xml:space="preserve">/ 5.030,19 € </w:t>
      </w:r>
      <w:r w:rsidRPr="00720A0C">
        <w:rPr>
          <w:rFonts w:ascii="Arial" w:eastAsia="Times New Roman" w:hAnsi="Arial" w:cs="Arial"/>
          <w:sz w:val="18"/>
          <w:szCs w:val="18"/>
        </w:rPr>
        <w:t>se odnose na sredstva za izradu projektne dokumentacije koja je izvršena u iznosu 137.900 kn</w:t>
      </w:r>
      <w:r w:rsidR="00403170" w:rsidRPr="00720A0C">
        <w:rPr>
          <w:rFonts w:ascii="Arial" w:eastAsia="Times New Roman" w:hAnsi="Arial" w:cs="Arial"/>
          <w:sz w:val="18"/>
          <w:szCs w:val="18"/>
        </w:rPr>
        <w:t xml:space="preserve"> / 18.302,48 €</w:t>
      </w:r>
      <w:r w:rsidRPr="00720A0C">
        <w:rPr>
          <w:rFonts w:ascii="Arial" w:eastAsia="Times New Roman" w:hAnsi="Arial" w:cs="Arial"/>
          <w:sz w:val="18"/>
          <w:szCs w:val="18"/>
        </w:rPr>
        <w:t xml:space="preserve"> (Strilam d.o.o., od čega su Hrvatske vode sufinancirale 100.000 kn</w:t>
      </w:r>
      <w:r w:rsidR="00403170" w:rsidRPr="00720A0C">
        <w:rPr>
          <w:rFonts w:ascii="Arial" w:eastAsia="Times New Roman" w:hAnsi="Arial" w:cs="Arial"/>
          <w:sz w:val="18"/>
          <w:szCs w:val="18"/>
        </w:rPr>
        <w:t xml:space="preserve"> / 13.272,28 €</w:t>
      </w:r>
      <w:r w:rsidRPr="00720A0C">
        <w:rPr>
          <w:rFonts w:ascii="Arial" w:eastAsia="Times New Roman" w:hAnsi="Arial" w:cs="Arial"/>
          <w:sz w:val="18"/>
          <w:szCs w:val="18"/>
        </w:rPr>
        <w:t xml:space="preserve"> u 2018.).</w:t>
      </w:r>
    </w:p>
    <w:p w14:paraId="6790FBD0"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40193B25" w14:textId="3F71EC5B"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Izvoditelj radova izgradnje kanalizacijske mreže u naselju Zvekovica i Cavtatu ispostavio je okončanu situaciju za izvršene radove u ukupnom iznosu 720.323,76 kn</w:t>
      </w:r>
      <w:r w:rsidR="00403170" w:rsidRPr="00720A0C">
        <w:rPr>
          <w:rFonts w:ascii="Arial" w:eastAsia="Times New Roman" w:hAnsi="Arial" w:cs="Arial"/>
          <w:sz w:val="18"/>
          <w:szCs w:val="18"/>
        </w:rPr>
        <w:t xml:space="preserve"> / 95.603,39 €</w:t>
      </w:r>
      <w:r w:rsidRPr="00720A0C">
        <w:rPr>
          <w:rFonts w:ascii="Arial" w:eastAsia="Times New Roman" w:hAnsi="Arial" w:cs="Arial"/>
          <w:sz w:val="18"/>
          <w:szCs w:val="18"/>
        </w:rPr>
        <w:t>. Izvedeni radovi se odnose na:</w:t>
      </w:r>
    </w:p>
    <w:p w14:paraId="22FED974" w14:textId="3C08BA92"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radove na Zvekovici u iznosu 573.575,58 kn</w:t>
      </w:r>
      <w:r w:rsidR="00403170" w:rsidRPr="00720A0C">
        <w:rPr>
          <w:rFonts w:ascii="Arial" w:eastAsia="Times New Roman" w:hAnsi="Arial" w:cs="Arial"/>
          <w:sz w:val="18"/>
          <w:szCs w:val="18"/>
        </w:rPr>
        <w:t xml:space="preserve"> / 76.126,56 €</w:t>
      </w:r>
      <w:r w:rsidRPr="00720A0C">
        <w:rPr>
          <w:rFonts w:ascii="Arial" w:eastAsia="Times New Roman" w:hAnsi="Arial" w:cs="Arial"/>
          <w:sz w:val="18"/>
          <w:szCs w:val="18"/>
        </w:rPr>
        <w:t>, bez PDV-a (</w:t>
      </w:r>
      <w:r w:rsidRPr="00720A0C">
        <w:rPr>
          <w:rFonts w:ascii="Arial" w:eastAsia="Times New Roman" w:hAnsi="Arial" w:cs="Arial"/>
          <w:b/>
          <w:sz w:val="18"/>
          <w:szCs w:val="18"/>
        </w:rPr>
        <w:t>T209424</w:t>
      </w:r>
      <w:r w:rsidRPr="00720A0C">
        <w:rPr>
          <w:rFonts w:ascii="Arial" w:eastAsia="Times New Roman" w:hAnsi="Arial" w:cs="Arial"/>
          <w:sz w:val="18"/>
          <w:szCs w:val="18"/>
        </w:rPr>
        <w:t xml:space="preserve">) i </w:t>
      </w:r>
    </w:p>
    <w:p w14:paraId="25E8F6E8" w14:textId="316C2250"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 radove u Cavtatu u iznosu 146.748,18 kn </w:t>
      </w:r>
      <w:r w:rsidR="00403170" w:rsidRPr="00720A0C">
        <w:rPr>
          <w:rFonts w:ascii="Arial" w:eastAsia="Times New Roman" w:hAnsi="Arial" w:cs="Arial"/>
          <w:sz w:val="18"/>
          <w:szCs w:val="18"/>
        </w:rPr>
        <w:t xml:space="preserve">/ 19.476,83 € </w:t>
      </w:r>
      <w:r w:rsidRPr="00720A0C">
        <w:rPr>
          <w:rFonts w:ascii="Arial" w:eastAsia="Times New Roman" w:hAnsi="Arial" w:cs="Arial"/>
          <w:sz w:val="18"/>
          <w:szCs w:val="18"/>
        </w:rPr>
        <w:t xml:space="preserve">(iskazuje se kroz projekt </w:t>
      </w:r>
      <w:r w:rsidRPr="00720A0C">
        <w:rPr>
          <w:rFonts w:ascii="Arial" w:eastAsia="Times New Roman" w:hAnsi="Arial" w:cs="Arial"/>
          <w:b/>
          <w:sz w:val="18"/>
          <w:szCs w:val="18"/>
        </w:rPr>
        <w:t>K209422</w:t>
      </w:r>
      <w:r w:rsidRPr="00720A0C">
        <w:rPr>
          <w:rFonts w:ascii="Arial" w:eastAsia="Times New Roman" w:hAnsi="Arial" w:cs="Arial"/>
          <w:sz w:val="18"/>
          <w:szCs w:val="18"/>
        </w:rPr>
        <w:t xml:space="preserve">). </w:t>
      </w:r>
    </w:p>
    <w:p w14:paraId="7554EBDC"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55E93EFF"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Postotak izvršenosti planiranog projekta (Zvekovica) </w:t>
      </w:r>
      <w:r w:rsidRPr="00720A0C">
        <w:rPr>
          <w:rFonts w:ascii="Arial" w:eastAsia="Times New Roman" w:hAnsi="Arial" w:cs="Arial"/>
          <w:b/>
          <w:sz w:val="18"/>
          <w:szCs w:val="18"/>
        </w:rPr>
        <w:t>koncem 2019.</w:t>
      </w:r>
      <w:r w:rsidRPr="00720A0C">
        <w:rPr>
          <w:rFonts w:ascii="Arial" w:eastAsia="Times New Roman" w:hAnsi="Arial" w:cs="Arial"/>
          <w:sz w:val="18"/>
          <w:szCs w:val="18"/>
        </w:rPr>
        <w:t xml:space="preserve"> je bio 90% (svi ugovoreni radovi su u cijelosti izvršeni).</w:t>
      </w:r>
    </w:p>
    <w:p w14:paraId="7022A203"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7BAE4413"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Naime, s obzirom da se naselje Zvekovica neprestano širi, sekundarna kanalizacijska mreža se obavlja kada se skupi dovoljan broj objekata za obavljanje sveobuhvatnih radova izgradnje mreže. Prema procjeni, naselje Zvekovica za sada 10% nije pokriveno sekundarnom kanalizacijskom mrežom.</w:t>
      </w:r>
    </w:p>
    <w:p w14:paraId="46DFBB49" w14:textId="3DAECD0A"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Rashodi nisu izvršavani u </w:t>
      </w:r>
      <w:r w:rsidR="003D787D" w:rsidRPr="00720A0C">
        <w:rPr>
          <w:rFonts w:ascii="Arial" w:eastAsia="Times New Roman" w:hAnsi="Arial" w:cs="Arial"/>
          <w:sz w:val="18"/>
          <w:szCs w:val="18"/>
        </w:rPr>
        <w:t xml:space="preserve">razdoblju </w:t>
      </w:r>
      <w:r w:rsidRPr="00720A0C">
        <w:rPr>
          <w:rFonts w:ascii="Arial" w:eastAsia="Times New Roman" w:hAnsi="Arial" w:cs="Arial"/>
          <w:sz w:val="18"/>
          <w:szCs w:val="18"/>
        </w:rPr>
        <w:t>2021.</w:t>
      </w:r>
      <w:r w:rsidR="003D787D" w:rsidRPr="00720A0C">
        <w:rPr>
          <w:rFonts w:ascii="Arial" w:eastAsia="Times New Roman" w:hAnsi="Arial" w:cs="Arial"/>
          <w:sz w:val="18"/>
          <w:szCs w:val="18"/>
        </w:rPr>
        <w:t>-</w:t>
      </w:r>
      <w:r w:rsidR="00E71BC2" w:rsidRPr="00720A0C">
        <w:rPr>
          <w:rFonts w:ascii="Arial" w:eastAsia="Times New Roman" w:hAnsi="Arial" w:cs="Arial"/>
          <w:sz w:val="18"/>
          <w:szCs w:val="18"/>
        </w:rPr>
        <w:t xml:space="preserve"> 202</w:t>
      </w:r>
      <w:r w:rsidR="007C1F75" w:rsidRPr="00720A0C">
        <w:rPr>
          <w:rFonts w:ascii="Arial" w:eastAsia="Times New Roman" w:hAnsi="Arial" w:cs="Arial"/>
          <w:sz w:val="18"/>
          <w:szCs w:val="18"/>
        </w:rPr>
        <w:t>4</w:t>
      </w:r>
      <w:r w:rsidR="00E71BC2" w:rsidRPr="00720A0C">
        <w:rPr>
          <w:rFonts w:ascii="Arial" w:eastAsia="Times New Roman" w:hAnsi="Arial" w:cs="Arial"/>
          <w:sz w:val="18"/>
          <w:szCs w:val="18"/>
        </w:rPr>
        <w:t>.</w:t>
      </w:r>
    </w:p>
    <w:p w14:paraId="1020AD00" w14:textId="3EFA7DA4"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305D2EFD" w14:textId="77777777" w:rsidR="007C4B2D" w:rsidRPr="00FF3C31" w:rsidRDefault="007C4B2D" w:rsidP="00B20566">
      <w:pPr>
        <w:autoSpaceDE w:val="0"/>
        <w:autoSpaceDN w:val="0"/>
        <w:adjustRightInd w:val="0"/>
        <w:spacing w:after="0" w:line="240" w:lineRule="auto"/>
        <w:jc w:val="both"/>
        <w:rPr>
          <w:rFonts w:ascii="Arial" w:eastAsia="Times New Roman" w:hAnsi="Arial" w:cs="Arial"/>
          <w:sz w:val="20"/>
          <w:szCs w:val="20"/>
        </w:rPr>
      </w:pPr>
    </w:p>
    <w:p w14:paraId="5099856F" w14:textId="77777777" w:rsidR="00B20566" w:rsidRPr="00FF3C31" w:rsidRDefault="00B20566" w:rsidP="00B20566">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K209426: Projektiranje i izgradnja kanalizacije s nogostupom: Izvor Ljuta - Gruda</w:t>
      </w:r>
    </w:p>
    <w:p w14:paraId="2CA0C226"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2E4508F1"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Pokazatelj rezultata je: postotak dovršenosti projekta, a zatim i izvođenja radova, a u konačnosti prvenstveno sigurno korištenje prometnice za pješake na dužini 2 kilometra. </w:t>
      </w:r>
    </w:p>
    <w:p w14:paraId="2974D6ED"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0265FF9E" w14:textId="7F205DC1"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u 20</w:t>
      </w:r>
      <w:r w:rsidR="0029154A" w:rsidRPr="00FF3C31">
        <w:rPr>
          <w:rFonts w:ascii="Arial" w:eastAsia="Times New Roman" w:hAnsi="Arial" w:cs="Arial"/>
          <w:sz w:val="20"/>
          <w:szCs w:val="20"/>
        </w:rPr>
        <w:t>2</w:t>
      </w:r>
      <w:r w:rsidR="007C1F75" w:rsidRPr="00FF3C31">
        <w:rPr>
          <w:rFonts w:ascii="Arial" w:eastAsia="Times New Roman" w:hAnsi="Arial" w:cs="Arial"/>
          <w:sz w:val="20"/>
          <w:szCs w:val="20"/>
        </w:rPr>
        <w:t>4</w:t>
      </w:r>
      <w:r w:rsidRPr="00FF3C31">
        <w:rPr>
          <w:rFonts w:ascii="Arial" w:eastAsia="Times New Roman" w:hAnsi="Arial" w:cs="Arial"/>
          <w:sz w:val="20"/>
          <w:szCs w:val="20"/>
        </w:rPr>
        <w:t>. = 0%/0% (postotak dovršenosti projektne dokumentacije, ishođenje građevinske dozvole, te postotak dovršenosti izgradnje nogostupa i kanalizacijske mreže)</w:t>
      </w:r>
    </w:p>
    <w:p w14:paraId="1E0C08BF" w14:textId="3029C15E"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Ciljna vrijednost za 202</w:t>
      </w:r>
      <w:r w:rsidR="00A33D0B">
        <w:rPr>
          <w:rFonts w:ascii="Arial" w:eastAsia="Times New Roman" w:hAnsi="Arial" w:cs="Arial"/>
          <w:sz w:val="20"/>
          <w:szCs w:val="20"/>
        </w:rPr>
        <w:t>5</w:t>
      </w:r>
      <w:r w:rsidRPr="00FF3C31">
        <w:rPr>
          <w:rFonts w:ascii="Arial" w:eastAsia="Times New Roman" w:hAnsi="Arial" w:cs="Arial"/>
          <w:sz w:val="20"/>
          <w:szCs w:val="20"/>
        </w:rPr>
        <w:t xml:space="preserve">. = </w:t>
      </w:r>
      <w:r w:rsidR="00A33D0B">
        <w:rPr>
          <w:rFonts w:ascii="Arial" w:eastAsia="Times New Roman" w:hAnsi="Arial" w:cs="Arial"/>
          <w:sz w:val="20"/>
          <w:szCs w:val="20"/>
        </w:rPr>
        <w:t>10</w:t>
      </w:r>
      <w:r w:rsidR="00390542" w:rsidRPr="00FF3C31">
        <w:rPr>
          <w:rFonts w:ascii="Arial" w:eastAsia="Times New Roman" w:hAnsi="Arial" w:cs="Arial"/>
          <w:sz w:val="20"/>
          <w:szCs w:val="20"/>
        </w:rPr>
        <w:t>0</w:t>
      </w:r>
      <w:r w:rsidRPr="00FF3C31">
        <w:rPr>
          <w:rFonts w:ascii="Arial" w:eastAsia="Times New Roman" w:hAnsi="Arial" w:cs="Arial"/>
          <w:sz w:val="20"/>
          <w:szCs w:val="20"/>
        </w:rPr>
        <w:t>%/0%, za 20</w:t>
      </w:r>
      <w:r w:rsidR="00403170">
        <w:rPr>
          <w:rFonts w:ascii="Arial" w:eastAsia="Times New Roman" w:hAnsi="Arial" w:cs="Arial"/>
          <w:sz w:val="20"/>
          <w:szCs w:val="20"/>
        </w:rPr>
        <w:t>2</w:t>
      </w:r>
      <w:r w:rsidR="00A33D0B">
        <w:rPr>
          <w:rFonts w:ascii="Arial" w:eastAsia="Times New Roman" w:hAnsi="Arial" w:cs="Arial"/>
          <w:sz w:val="20"/>
          <w:szCs w:val="20"/>
        </w:rPr>
        <w:t>6</w:t>
      </w:r>
      <w:r w:rsidRPr="00FF3C31">
        <w:rPr>
          <w:rFonts w:ascii="Arial" w:eastAsia="Times New Roman" w:hAnsi="Arial" w:cs="Arial"/>
          <w:sz w:val="20"/>
          <w:szCs w:val="20"/>
        </w:rPr>
        <w:t>. = 100%/</w:t>
      </w:r>
      <w:r w:rsidR="00A33D0B">
        <w:rPr>
          <w:rFonts w:ascii="Arial" w:eastAsia="Times New Roman" w:hAnsi="Arial" w:cs="Arial"/>
          <w:sz w:val="20"/>
          <w:szCs w:val="20"/>
        </w:rPr>
        <w:t>1</w:t>
      </w:r>
      <w:r w:rsidR="00390542" w:rsidRPr="00FF3C31">
        <w:rPr>
          <w:rFonts w:ascii="Arial" w:eastAsia="Times New Roman" w:hAnsi="Arial" w:cs="Arial"/>
          <w:sz w:val="20"/>
          <w:szCs w:val="20"/>
        </w:rPr>
        <w:t>0</w:t>
      </w:r>
      <w:r w:rsidRPr="00FF3C31">
        <w:rPr>
          <w:rFonts w:ascii="Arial" w:eastAsia="Times New Roman" w:hAnsi="Arial" w:cs="Arial"/>
          <w:sz w:val="20"/>
          <w:szCs w:val="20"/>
        </w:rPr>
        <w:t>%, za 20</w:t>
      </w:r>
      <w:r w:rsidR="00403170">
        <w:rPr>
          <w:rFonts w:ascii="Arial" w:eastAsia="Times New Roman" w:hAnsi="Arial" w:cs="Arial"/>
          <w:sz w:val="20"/>
          <w:szCs w:val="20"/>
        </w:rPr>
        <w:t>2</w:t>
      </w:r>
      <w:r w:rsidR="00A33D0B">
        <w:rPr>
          <w:rFonts w:ascii="Arial" w:eastAsia="Times New Roman" w:hAnsi="Arial" w:cs="Arial"/>
          <w:sz w:val="20"/>
          <w:szCs w:val="20"/>
        </w:rPr>
        <w:t>7</w:t>
      </w:r>
      <w:r w:rsidRPr="00FF3C31">
        <w:rPr>
          <w:rFonts w:ascii="Arial" w:eastAsia="Times New Roman" w:hAnsi="Arial" w:cs="Arial"/>
          <w:sz w:val="20"/>
          <w:szCs w:val="20"/>
        </w:rPr>
        <w:t>. = 100%/</w:t>
      </w:r>
      <w:r w:rsidR="00A33D0B">
        <w:rPr>
          <w:rFonts w:ascii="Arial" w:eastAsia="Times New Roman" w:hAnsi="Arial" w:cs="Arial"/>
          <w:sz w:val="20"/>
          <w:szCs w:val="20"/>
        </w:rPr>
        <w:t>10</w:t>
      </w:r>
      <w:r w:rsidR="00390542" w:rsidRPr="00FF3C31">
        <w:rPr>
          <w:rFonts w:ascii="Arial" w:eastAsia="Times New Roman" w:hAnsi="Arial" w:cs="Arial"/>
          <w:sz w:val="20"/>
          <w:szCs w:val="20"/>
        </w:rPr>
        <w:t>0</w:t>
      </w:r>
      <w:r w:rsidRPr="00FF3C31">
        <w:rPr>
          <w:rFonts w:ascii="Arial" w:eastAsia="Times New Roman" w:hAnsi="Arial" w:cs="Arial"/>
          <w:sz w:val="20"/>
          <w:szCs w:val="20"/>
        </w:rPr>
        <w:t>%</w:t>
      </w:r>
    </w:p>
    <w:p w14:paraId="4EB851A4"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1020F1A6"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Planirani nositelj projekta je društvo u vlasništvu Općine, Konavosko komunalno društvo d.o.o. Međutim, navedeno bi se sufinanciralo iz sredstava javnog isporučitelja (Konavosko komunalno društvo d.o.o.), sufinanciranjem Hrvatskih voda 80% i sredstvima Općine do 20%. </w:t>
      </w:r>
    </w:p>
    <w:p w14:paraId="5AE32473" w14:textId="1919E8AA"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Procijenjena vrijednost izrade projekta </w:t>
      </w:r>
      <w:r w:rsidR="003D787D" w:rsidRPr="00720A0C">
        <w:rPr>
          <w:rFonts w:ascii="Arial" w:eastAsia="Times New Roman" w:hAnsi="Arial" w:cs="Arial"/>
          <w:sz w:val="18"/>
          <w:szCs w:val="18"/>
        </w:rPr>
        <w:t>ranijih godina je bila 4</w:t>
      </w:r>
      <w:r w:rsidRPr="00720A0C">
        <w:rPr>
          <w:rFonts w:ascii="Arial" w:eastAsia="Times New Roman" w:hAnsi="Arial" w:cs="Arial"/>
          <w:sz w:val="18"/>
          <w:szCs w:val="18"/>
        </w:rPr>
        <w:t>50.000 kn (planirano obaviti tijekom 20</w:t>
      </w:r>
      <w:r w:rsidR="00390542" w:rsidRPr="00720A0C">
        <w:rPr>
          <w:rFonts w:ascii="Arial" w:eastAsia="Times New Roman" w:hAnsi="Arial" w:cs="Arial"/>
          <w:sz w:val="18"/>
          <w:szCs w:val="18"/>
        </w:rPr>
        <w:t>2</w:t>
      </w:r>
      <w:r w:rsidR="007C1F75" w:rsidRPr="00720A0C">
        <w:rPr>
          <w:rFonts w:ascii="Arial" w:eastAsia="Times New Roman" w:hAnsi="Arial" w:cs="Arial"/>
          <w:sz w:val="18"/>
          <w:szCs w:val="18"/>
        </w:rPr>
        <w:t>4</w:t>
      </w:r>
      <w:r w:rsidRPr="00720A0C">
        <w:rPr>
          <w:rFonts w:ascii="Arial" w:eastAsia="Times New Roman" w:hAnsi="Arial" w:cs="Arial"/>
          <w:sz w:val="18"/>
          <w:szCs w:val="18"/>
        </w:rPr>
        <w:t xml:space="preserve">.), a procijenjena vrijednost radova </w:t>
      </w:r>
      <w:r w:rsidR="003D787D" w:rsidRPr="00720A0C">
        <w:rPr>
          <w:rFonts w:ascii="Arial" w:eastAsia="Times New Roman" w:hAnsi="Arial" w:cs="Arial"/>
          <w:sz w:val="18"/>
          <w:szCs w:val="18"/>
        </w:rPr>
        <w:t xml:space="preserve">je bila </w:t>
      </w:r>
      <w:r w:rsidRPr="00720A0C">
        <w:rPr>
          <w:rFonts w:ascii="Arial" w:eastAsia="Times New Roman" w:hAnsi="Arial" w:cs="Arial"/>
          <w:sz w:val="18"/>
          <w:szCs w:val="18"/>
        </w:rPr>
        <w:t xml:space="preserve">3.500.000 kn </w:t>
      </w:r>
      <w:r w:rsidR="00976D7A" w:rsidRPr="00720A0C">
        <w:rPr>
          <w:rFonts w:ascii="Arial" w:eastAsia="Times New Roman" w:hAnsi="Arial" w:cs="Arial"/>
          <w:sz w:val="18"/>
          <w:szCs w:val="18"/>
        </w:rPr>
        <w:t xml:space="preserve">(464.529,83 €) </w:t>
      </w:r>
      <w:r w:rsidRPr="00720A0C">
        <w:rPr>
          <w:rFonts w:ascii="Arial" w:eastAsia="Times New Roman" w:hAnsi="Arial" w:cs="Arial"/>
          <w:sz w:val="18"/>
          <w:szCs w:val="18"/>
        </w:rPr>
        <w:t>(planirano izvođenje radova 202</w:t>
      </w:r>
      <w:r w:rsidR="007C1F75" w:rsidRPr="00720A0C">
        <w:rPr>
          <w:rFonts w:ascii="Arial" w:eastAsia="Times New Roman" w:hAnsi="Arial" w:cs="Arial"/>
          <w:sz w:val="18"/>
          <w:szCs w:val="18"/>
        </w:rPr>
        <w:t>5</w:t>
      </w:r>
      <w:r w:rsidRPr="00720A0C">
        <w:rPr>
          <w:rFonts w:ascii="Arial" w:eastAsia="Times New Roman" w:hAnsi="Arial" w:cs="Arial"/>
          <w:sz w:val="18"/>
          <w:szCs w:val="18"/>
        </w:rPr>
        <w:t>-202</w:t>
      </w:r>
      <w:r w:rsidR="007C1F75" w:rsidRPr="00720A0C">
        <w:rPr>
          <w:rFonts w:ascii="Arial" w:eastAsia="Times New Roman" w:hAnsi="Arial" w:cs="Arial"/>
          <w:sz w:val="18"/>
          <w:szCs w:val="18"/>
        </w:rPr>
        <w:t>6</w:t>
      </w:r>
      <w:r w:rsidRPr="00720A0C">
        <w:rPr>
          <w:rFonts w:ascii="Arial" w:eastAsia="Times New Roman" w:hAnsi="Arial" w:cs="Arial"/>
          <w:sz w:val="18"/>
          <w:szCs w:val="18"/>
        </w:rPr>
        <w:t>.).</w:t>
      </w:r>
    </w:p>
    <w:p w14:paraId="56FA43FD"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p>
    <w:p w14:paraId="37BBC310" w14:textId="1143E7BB" w:rsidR="00B20566" w:rsidRPr="00720A0C" w:rsidRDefault="00390542"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U proračunu Općine će se iskazivati samo dio investicije koji se sufinancira sredstvima iz proračuna, dok se sredstva Hrvatskih voda isplaćuju nositelju projekta, sukladno zaključenim godišnjim ugovorima. </w:t>
      </w:r>
      <w:r w:rsidR="00B20566" w:rsidRPr="00720A0C">
        <w:rPr>
          <w:rFonts w:ascii="Arial" w:eastAsia="Times New Roman" w:hAnsi="Arial" w:cs="Arial"/>
          <w:sz w:val="18"/>
          <w:szCs w:val="18"/>
        </w:rPr>
        <w:t xml:space="preserve">Izrada projekta nije započeta. </w:t>
      </w:r>
    </w:p>
    <w:p w14:paraId="751DA9F3" w14:textId="77777777" w:rsidR="00390542" w:rsidRPr="00720A0C" w:rsidRDefault="00390542" w:rsidP="00B20566">
      <w:pPr>
        <w:autoSpaceDE w:val="0"/>
        <w:autoSpaceDN w:val="0"/>
        <w:adjustRightInd w:val="0"/>
        <w:spacing w:after="0" w:line="240" w:lineRule="auto"/>
        <w:jc w:val="both"/>
        <w:rPr>
          <w:rFonts w:ascii="Arial" w:eastAsia="Times New Roman" w:hAnsi="Arial" w:cs="Arial"/>
          <w:sz w:val="18"/>
          <w:szCs w:val="18"/>
        </w:rPr>
      </w:pPr>
    </w:p>
    <w:p w14:paraId="037965ED" w14:textId="77777777" w:rsidR="005930DF" w:rsidRPr="00720A0C" w:rsidRDefault="005930DF">
      <w:pPr>
        <w:numPr>
          <w:ilvl w:val="0"/>
          <w:numId w:val="4"/>
        </w:num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b/>
          <w:sz w:val="18"/>
          <w:szCs w:val="18"/>
          <w:u w:val="single"/>
        </w:rPr>
        <w:t>Građevinska dozvola</w:t>
      </w:r>
      <w:r w:rsidRPr="00720A0C">
        <w:rPr>
          <w:rFonts w:ascii="Arial" w:eastAsia="Times New Roman" w:hAnsi="Arial" w:cs="Arial"/>
          <w:sz w:val="18"/>
          <w:szCs w:val="18"/>
        </w:rPr>
        <w:t>, KLASA: UP/I-361-03/24-01/000566, URBROJ:2117-23-6/1-25-0020, Gruda, 22.4.2025. Dubrovačko-neretvanska županija, Upravni odjel za prostorno uređenje i gradnju izdalo je: građevinsku dozvolu za:</w:t>
      </w:r>
    </w:p>
    <w:p w14:paraId="09E59DB8" w14:textId="77777777" w:rsidR="005930DF" w:rsidRPr="00720A0C" w:rsidRDefault="005930DF">
      <w:pPr>
        <w:numPr>
          <w:ilvl w:val="1"/>
          <w:numId w:val="4"/>
        </w:num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 građenje građevne infrastrukturne namjene vodno-gospodarskog sustava (cjevovod odvodnje otpadnih voda), gravitacijskog cjevovoda duljine 3.749,07 m i tlačnog cjevovoda duljine 699,17 m s pripadajuće tri crpne stanice, te </w:t>
      </w:r>
    </w:p>
    <w:p w14:paraId="114CFFCA" w14:textId="3FAACE71" w:rsidR="005930DF" w:rsidRPr="00720A0C" w:rsidRDefault="005930DF">
      <w:pPr>
        <w:numPr>
          <w:ilvl w:val="1"/>
          <w:numId w:val="4"/>
        </w:num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građenje građevine infrastrukturne namjene vodno-gospodarskog sustava (vodovodni cjevovod) dužine 460,33 m </w:t>
      </w:r>
    </w:p>
    <w:p w14:paraId="2B1BB468" w14:textId="60C39794" w:rsidR="005930DF" w:rsidRPr="00720A0C" w:rsidRDefault="005930DF" w:rsidP="005930DF">
      <w:pPr>
        <w:autoSpaceDE w:val="0"/>
        <w:autoSpaceDN w:val="0"/>
        <w:adjustRightInd w:val="0"/>
        <w:spacing w:after="0" w:line="240" w:lineRule="auto"/>
        <w:ind w:left="1080"/>
        <w:jc w:val="both"/>
        <w:rPr>
          <w:rFonts w:ascii="Arial" w:eastAsia="Times New Roman" w:hAnsi="Arial" w:cs="Arial"/>
          <w:sz w:val="18"/>
          <w:szCs w:val="18"/>
        </w:rPr>
      </w:pPr>
      <w:r w:rsidRPr="00720A0C">
        <w:rPr>
          <w:rFonts w:ascii="Arial" w:eastAsia="Times New Roman" w:hAnsi="Arial" w:cs="Arial"/>
          <w:sz w:val="18"/>
          <w:szCs w:val="18"/>
        </w:rPr>
        <w:t>na katastarskim česticama k.č. 2402 i drugi k.o. Gruda, k.č. 1369/1 i drugi k.o. Ljuta</w:t>
      </w:r>
    </w:p>
    <w:p w14:paraId="2C7458A1" w14:textId="77777777" w:rsidR="005930DF" w:rsidRDefault="005930DF" w:rsidP="00B20566">
      <w:pPr>
        <w:autoSpaceDE w:val="0"/>
        <w:autoSpaceDN w:val="0"/>
        <w:adjustRightInd w:val="0"/>
        <w:spacing w:after="0" w:line="240" w:lineRule="auto"/>
        <w:jc w:val="both"/>
        <w:rPr>
          <w:rFonts w:ascii="Arial" w:eastAsia="Times New Roman" w:hAnsi="Arial" w:cs="Arial"/>
          <w:sz w:val="20"/>
          <w:szCs w:val="20"/>
        </w:rPr>
      </w:pPr>
    </w:p>
    <w:p w14:paraId="2FAFAF0C" w14:textId="77777777" w:rsidR="00B20566" w:rsidRPr="00FF3C31" w:rsidRDefault="00B20566" w:rsidP="00B20566">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lastRenderedPageBreak/>
        <w:t>K209427: Izgradnja kanalizacije Ulica Frana Laureana Cavtat</w:t>
      </w:r>
    </w:p>
    <w:p w14:paraId="01DB1E4E"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4E2639A0"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Pokazatelj rezultata je: postotak dovršenosti – radova, odnosno izgradnja 450 metara mreže. Po izgradnji može biti spojeno oko 30-ak domaćinstava.</w:t>
      </w:r>
    </w:p>
    <w:p w14:paraId="0D29CFCF" w14:textId="307B0284"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u 202</w:t>
      </w:r>
      <w:r w:rsidR="00A33D0B">
        <w:rPr>
          <w:rFonts w:ascii="Arial" w:eastAsia="Times New Roman" w:hAnsi="Arial" w:cs="Arial"/>
          <w:sz w:val="20"/>
          <w:szCs w:val="20"/>
        </w:rPr>
        <w:t>4</w:t>
      </w:r>
      <w:r w:rsidRPr="00FF3C31">
        <w:rPr>
          <w:rFonts w:ascii="Arial" w:eastAsia="Times New Roman" w:hAnsi="Arial" w:cs="Arial"/>
          <w:sz w:val="20"/>
          <w:szCs w:val="20"/>
        </w:rPr>
        <w:t xml:space="preserve">. = </w:t>
      </w:r>
      <w:r w:rsidR="00A33D0B">
        <w:rPr>
          <w:rFonts w:ascii="Arial" w:eastAsia="Times New Roman" w:hAnsi="Arial" w:cs="Arial"/>
          <w:sz w:val="20"/>
          <w:szCs w:val="20"/>
        </w:rPr>
        <w:t>5</w:t>
      </w:r>
      <w:r w:rsidRPr="00FF3C31">
        <w:rPr>
          <w:rFonts w:ascii="Arial" w:eastAsia="Times New Roman" w:hAnsi="Arial" w:cs="Arial"/>
          <w:sz w:val="20"/>
          <w:szCs w:val="20"/>
        </w:rPr>
        <w:t>0%</w:t>
      </w:r>
    </w:p>
    <w:p w14:paraId="1815F92A" w14:textId="1701FDBF"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Ciljna vrijednost za 202</w:t>
      </w:r>
      <w:r w:rsidR="00A33D0B">
        <w:rPr>
          <w:rFonts w:ascii="Arial" w:eastAsia="Times New Roman" w:hAnsi="Arial" w:cs="Arial"/>
          <w:sz w:val="20"/>
          <w:szCs w:val="20"/>
        </w:rPr>
        <w:t>5</w:t>
      </w:r>
      <w:r w:rsidRPr="00FF3C31">
        <w:rPr>
          <w:rFonts w:ascii="Arial" w:eastAsia="Times New Roman" w:hAnsi="Arial" w:cs="Arial"/>
          <w:sz w:val="20"/>
          <w:szCs w:val="20"/>
        </w:rPr>
        <w:t xml:space="preserve">. = </w:t>
      </w:r>
      <w:r w:rsidR="00A33D0B">
        <w:rPr>
          <w:rFonts w:ascii="Arial" w:eastAsia="Times New Roman" w:hAnsi="Arial" w:cs="Arial"/>
          <w:sz w:val="20"/>
          <w:szCs w:val="20"/>
        </w:rPr>
        <w:t>10</w:t>
      </w:r>
      <w:r w:rsidR="00390542" w:rsidRPr="00FF3C31">
        <w:rPr>
          <w:rFonts w:ascii="Arial" w:eastAsia="Times New Roman" w:hAnsi="Arial" w:cs="Arial"/>
          <w:sz w:val="20"/>
          <w:szCs w:val="20"/>
        </w:rPr>
        <w:t>0</w:t>
      </w:r>
      <w:r w:rsidRPr="00FF3C31">
        <w:rPr>
          <w:rFonts w:ascii="Arial" w:eastAsia="Times New Roman" w:hAnsi="Arial" w:cs="Arial"/>
          <w:sz w:val="20"/>
          <w:szCs w:val="20"/>
        </w:rPr>
        <w:t>%, za 202</w:t>
      </w:r>
      <w:r w:rsidR="00A33D0B">
        <w:rPr>
          <w:rFonts w:ascii="Arial" w:eastAsia="Times New Roman" w:hAnsi="Arial" w:cs="Arial"/>
          <w:sz w:val="20"/>
          <w:szCs w:val="20"/>
        </w:rPr>
        <w:t>6</w:t>
      </w:r>
      <w:r w:rsidRPr="00FF3C31">
        <w:rPr>
          <w:rFonts w:ascii="Arial" w:eastAsia="Times New Roman" w:hAnsi="Arial" w:cs="Arial"/>
          <w:sz w:val="20"/>
          <w:szCs w:val="20"/>
        </w:rPr>
        <w:t>. = 100%, za 202</w:t>
      </w:r>
      <w:r w:rsidR="00A33D0B">
        <w:rPr>
          <w:rFonts w:ascii="Arial" w:eastAsia="Times New Roman" w:hAnsi="Arial" w:cs="Arial"/>
          <w:sz w:val="20"/>
          <w:szCs w:val="20"/>
        </w:rPr>
        <w:t>7</w:t>
      </w:r>
      <w:r w:rsidRPr="00FF3C31">
        <w:rPr>
          <w:rFonts w:ascii="Arial" w:eastAsia="Times New Roman" w:hAnsi="Arial" w:cs="Arial"/>
          <w:sz w:val="20"/>
          <w:szCs w:val="20"/>
        </w:rPr>
        <w:t>. = 100%</w:t>
      </w:r>
    </w:p>
    <w:p w14:paraId="1E04863E"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2E9EC507"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Planirani nositelj projekta je društvo u vlasništvu Općine, Konavosko komunalno društvo d.o.o. Međutim, navedeno bi se sufinanciralo iz sredstava javnog isporučitelja (Konavosko komunalno društvo d.o.o.), sufinanciranjem Hrvatskih voda 80% i sredstvima Općine do 20%. </w:t>
      </w:r>
    </w:p>
    <w:p w14:paraId="4943C05B" w14:textId="22031EE2"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Procijenjena vrijednost ukupne investicije </w:t>
      </w:r>
      <w:r w:rsidR="003D787D" w:rsidRPr="00720A0C">
        <w:rPr>
          <w:rFonts w:ascii="Arial" w:eastAsia="Times New Roman" w:hAnsi="Arial" w:cs="Arial"/>
          <w:sz w:val="18"/>
          <w:szCs w:val="18"/>
        </w:rPr>
        <w:t>ranijih godina je bila</w:t>
      </w:r>
      <w:r w:rsidRPr="00720A0C">
        <w:rPr>
          <w:rFonts w:ascii="Arial" w:eastAsia="Times New Roman" w:hAnsi="Arial" w:cs="Arial"/>
          <w:sz w:val="18"/>
          <w:szCs w:val="18"/>
        </w:rPr>
        <w:t xml:space="preserve"> 1.000.000 kn. </w:t>
      </w:r>
      <w:r w:rsidR="00390542" w:rsidRPr="00720A0C">
        <w:rPr>
          <w:rFonts w:ascii="Arial" w:eastAsia="Times New Roman" w:hAnsi="Arial" w:cs="Arial"/>
          <w:sz w:val="18"/>
          <w:szCs w:val="18"/>
        </w:rPr>
        <w:t>U proračunu Općine će se iskazivati samo dio investicije koji se sufinancira sredstvima iz proračuna, dok se sredstva Hrvatskih voda isplaćuju nositelju projekta, sukladno zaključenim godišnjim ugovorima.</w:t>
      </w:r>
    </w:p>
    <w:p w14:paraId="1FE38446" w14:textId="77777777" w:rsidR="00390542" w:rsidRPr="00720A0C" w:rsidRDefault="00390542" w:rsidP="00B20566">
      <w:pPr>
        <w:autoSpaceDE w:val="0"/>
        <w:autoSpaceDN w:val="0"/>
        <w:adjustRightInd w:val="0"/>
        <w:spacing w:after="0" w:line="240" w:lineRule="auto"/>
        <w:jc w:val="both"/>
        <w:rPr>
          <w:rFonts w:ascii="Arial" w:eastAsia="Times New Roman" w:hAnsi="Arial" w:cs="Arial"/>
          <w:sz w:val="18"/>
          <w:szCs w:val="18"/>
        </w:rPr>
      </w:pPr>
    </w:p>
    <w:p w14:paraId="47373B53" w14:textId="77777777" w:rsidR="00B20566" w:rsidRPr="00720A0C" w:rsidRDefault="00B20566" w:rsidP="00B20566">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Dubrovačko-neretvanska županija, Upravni odjel za prostorno uređenje i gradnju izdalo je:</w:t>
      </w:r>
    </w:p>
    <w:p w14:paraId="2CEBB7F2" w14:textId="77777777" w:rsidR="00B20566" w:rsidRPr="00720A0C" w:rsidRDefault="00B20566">
      <w:pPr>
        <w:numPr>
          <w:ilvl w:val="0"/>
          <w:numId w:val="4"/>
        </w:num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b/>
          <w:sz w:val="18"/>
          <w:szCs w:val="18"/>
          <w:u w:val="single"/>
        </w:rPr>
        <w:t>Lokacijska dozvola</w:t>
      </w:r>
      <w:r w:rsidRPr="00720A0C">
        <w:rPr>
          <w:rFonts w:ascii="Arial" w:eastAsia="Times New Roman" w:hAnsi="Arial" w:cs="Arial"/>
          <w:sz w:val="18"/>
          <w:szCs w:val="18"/>
        </w:rPr>
        <w:t xml:space="preserve"> za Frana Laureana i Jurja Dalmatinca; KLASA: UP/I-350-05/17-01/000057; URBROJ:2117/1-23/1-6-17-0007, Dubrovnik, 24.10.2017. PRAVOMOĆNA 28.11.2017.</w:t>
      </w:r>
    </w:p>
    <w:p w14:paraId="69FC7BC1" w14:textId="77777777" w:rsidR="00B20566" w:rsidRPr="00720A0C" w:rsidRDefault="00B20566">
      <w:pPr>
        <w:numPr>
          <w:ilvl w:val="0"/>
          <w:numId w:val="4"/>
        </w:num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b/>
          <w:sz w:val="18"/>
          <w:szCs w:val="18"/>
          <w:u w:val="single"/>
        </w:rPr>
        <w:t>Građevinska dozvola</w:t>
      </w:r>
      <w:r w:rsidRPr="00720A0C">
        <w:rPr>
          <w:rFonts w:ascii="Arial" w:eastAsia="Times New Roman" w:hAnsi="Arial" w:cs="Arial"/>
          <w:sz w:val="18"/>
          <w:szCs w:val="18"/>
        </w:rPr>
        <w:t xml:space="preserve"> za Frana Laureana i Jurja Dalmatinca; KLASA: UP/I-361-03/18-01/000046; URBROJ:2117/1-23/1-6-18-0009, Dubrovnik, 13.04.2018. (PRAVOMOĆNA 23.svibnja 2018.).</w:t>
      </w:r>
    </w:p>
    <w:p w14:paraId="162487D6" w14:textId="3900A5B0" w:rsidR="00B20566" w:rsidRPr="00720A0C" w:rsidRDefault="00AD20A1" w:rsidP="00AD20A1">
      <w:pPr>
        <w:autoSpaceDE w:val="0"/>
        <w:autoSpaceDN w:val="0"/>
        <w:adjustRightInd w:val="0"/>
        <w:spacing w:after="0" w:line="240" w:lineRule="auto"/>
        <w:ind w:left="709"/>
        <w:jc w:val="both"/>
        <w:rPr>
          <w:rFonts w:ascii="Arial" w:eastAsia="Times New Roman" w:hAnsi="Arial" w:cs="Arial"/>
          <w:sz w:val="18"/>
          <w:szCs w:val="18"/>
        </w:rPr>
      </w:pPr>
      <w:r w:rsidRPr="00720A0C">
        <w:rPr>
          <w:rFonts w:ascii="Arial" w:eastAsia="Times New Roman" w:hAnsi="Arial" w:cs="Arial"/>
          <w:sz w:val="18"/>
          <w:szCs w:val="18"/>
        </w:rPr>
        <w:t>Za produženje važenja građevinske dozvole ispostavljeno je rješenje KLASA: UP/I-361-03/21-01/000082; URBROJ:2117/1-23/6-1-21-0003 od 9.3.2021.</w:t>
      </w:r>
    </w:p>
    <w:p w14:paraId="11099CD3" w14:textId="77777777" w:rsidR="002E41AF" w:rsidRPr="00720A0C" w:rsidRDefault="002E41AF" w:rsidP="00B20566">
      <w:pPr>
        <w:autoSpaceDE w:val="0"/>
        <w:autoSpaceDN w:val="0"/>
        <w:adjustRightInd w:val="0"/>
        <w:spacing w:after="0" w:line="240" w:lineRule="auto"/>
        <w:jc w:val="both"/>
        <w:rPr>
          <w:rFonts w:ascii="Arial" w:eastAsia="Times New Roman" w:hAnsi="Arial" w:cs="Arial"/>
          <w:sz w:val="18"/>
          <w:szCs w:val="18"/>
        </w:rPr>
      </w:pPr>
    </w:p>
    <w:p w14:paraId="3C2C3FF1" w14:textId="42D076DB" w:rsidR="007C4B2D" w:rsidRPr="00720A0C" w:rsidRDefault="007B4CC4" w:rsidP="007C4B2D">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Nakon provedenog postupka javne nabave, komunalno društvo je 1.12.2021. zaključilo s izvođačem </w:t>
      </w:r>
      <w:r w:rsidR="00660412" w:rsidRPr="00720A0C">
        <w:rPr>
          <w:rFonts w:ascii="Arial" w:eastAsia="Times New Roman" w:hAnsi="Arial" w:cs="Arial"/>
          <w:sz w:val="18"/>
          <w:szCs w:val="18"/>
        </w:rPr>
        <w:t xml:space="preserve">(Texo gradnja d.o.o.) </w:t>
      </w:r>
      <w:r w:rsidR="00660412" w:rsidRPr="00720A0C">
        <w:rPr>
          <w:rFonts w:ascii="Arial" w:eastAsia="Times New Roman" w:hAnsi="Arial" w:cs="Arial"/>
          <w:b/>
          <w:sz w:val="18"/>
          <w:szCs w:val="18"/>
        </w:rPr>
        <w:t xml:space="preserve"> </w:t>
      </w:r>
      <w:r w:rsidR="007C4B2D" w:rsidRPr="00720A0C">
        <w:rPr>
          <w:rFonts w:ascii="Arial" w:eastAsia="Times New Roman" w:hAnsi="Arial" w:cs="Arial"/>
          <w:b/>
          <w:sz w:val="18"/>
          <w:szCs w:val="18"/>
        </w:rPr>
        <w:t xml:space="preserve">Ugovor o izvođenju radova na izgradnji </w:t>
      </w:r>
      <w:r w:rsidRPr="00720A0C">
        <w:rPr>
          <w:rFonts w:ascii="Arial" w:eastAsia="Times New Roman" w:hAnsi="Arial" w:cs="Arial"/>
          <w:b/>
          <w:sz w:val="18"/>
          <w:szCs w:val="18"/>
        </w:rPr>
        <w:t xml:space="preserve">kanalizacijske mreže u ulicama Frana Laureana i Jurja Dalmatinca u </w:t>
      </w:r>
      <w:r w:rsidR="008A76EE" w:rsidRPr="00720A0C">
        <w:rPr>
          <w:rFonts w:ascii="Arial" w:eastAsia="Times New Roman" w:hAnsi="Arial" w:cs="Arial"/>
          <w:b/>
          <w:sz w:val="18"/>
          <w:szCs w:val="18"/>
        </w:rPr>
        <w:t>Cavtatu</w:t>
      </w:r>
      <w:r w:rsidR="007C4B2D" w:rsidRPr="00720A0C">
        <w:rPr>
          <w:rFonts w:ascii="Arial" w:eastAsia="Times New Roman" w:hAnsi="Arial" w:cs="Arial"/>
          <w:b/>
          <w:sz w:val="18"/>
          <w:szCs w:val="18"/>
        </w:rPr>
        <w:t xml:space="preserve"> u i</w:t>
      </w:r>
      <w:r w:rsidR="007C4B2D" w:rsidRPr="00720A0C">
        <w:rPr>
          <w:rFonts w:ascii="Arial" w:eastAsia="Times New Roman" w:hAnsi="Arial" w:cs="Arial"/>
          <w:sz w:val="18"/>
          <w:szCs w:val="18"/>
        </w:rPr>
        <w:t xml:space="preserve">znosu od </w:t>
      </w:r>
      <w:r w:rsidRPr="00720A0C">
        <w:rPr>
          <w:rFonts w:ascii="Arial" w:eastAsia="Times New Roman" w:hAnsi="Arial" w:cs="Arial"/>
          <w:b/>
          <w:sz w:val="18"/>
          <w:szCs w:val="18"/>
        </w:rPr>
        <w:t>1.533.586,25</w:t>
      </w:r>
      <w:r w:rsidR="007C4B2D" w:rsidRPr="00720A0C">
        <w:rPr>
          <w:rFonts w:ascii="Arial" w:eastAsia="Times New Roman" w:hAnsi="Arial" w:cs="Arial"/>
          <w:b/>
          <w:sz w:val="18"/>
          <w:szCs w:val="18"/>
        </w:rPr>
        <w:t xml:space="preserve"> kn</w:t>
      </w:r>
      <w:r w:rsidR="005D3329" w:rsidRPr="00720A0C">
        <w:rPr>
          <w:rFonts w:ascii="Arial" w:eastAsia="Times New Roman" w:hAnsi="Arial" w:cs="Arial"/>
          <w:b/>
          <w:sz w:val="18"/>
          <w:szCs w:val="18"/>
        </w:rPr>
        <w:t xml:space="preserve"> / 203.541,87 €</w:t>
      </w:r>
      <w:r w:rsidR="007C4B2D" w:rsidRPr="00720A0C">
        <w:rPr>
          <w:rFonts w:ascii="Arial" w:eastAsia="Times New Roman" w:hAnsi="Arial" w:cs="Arial"/>
          <w:sz w:val="18"/>
          <w:szCs w:val="18"/>
        </w:rPr>
        <w:t xml:space="preserve">, bez poreza na dodanu vrijednost </w:t>
      </w:r>
      <w:r w:rsidR="00660412" w:rsidRPr="00720A0C">
        <w:rPr>
          <w:rFonts w:ascii="Arial" w:eastAsia="Times New Roman" w:hAnsi="Arial" w:cs="Arial"/>
          <w:sz w:val="18"/>
          <w:szCs w:val="18"/>
        </w:rPr>
        <w:t xml:space="preserve">odnosno 1.916.982,81 kn </w:t>
      </w:r>
      <w:r w:rsidR="005D3329" w:rsidRPr="00720A0C">
        <w:rPr>
          <w:rFonts w:ascii="Arial" w:eastAsia="Times New Roman" w:hAnsi="Arial" w:cs="Arial"/>
          <w:sz w:val="18"/>
          <w:szCs w:val="18"/>
        </w:rPr>
        <w:t xml:space="preserve">/ 254.427,34 € </w:t>
      </w:r>
      <w:r w:rsidR="00660412" w:rsidRPr="00720A0C">
        <w:rPr>
          <w:rFonts w:ascii="Arial" w:eastAsia="Times New Roman" w:hAnsi="Arial" w:cs="Arial"/>
          <w:sz w:val="18"/>
          <w:szCs w:val="18"/>
        </w:rPr>
        <w:t>s PDV-om.</w:t>
      </w:r>
    </w:p>
    <w:p w14:paraId="089DCB42" w14:textId="77777777" w:rsidR="007C4B2D" w:rsidRPr="00720A0C" w:rsidRDefault="007C4B2D" w:rsidP="007C4B2D">
      <w:pPr>
        <w:autoSpaceDE w:val="0"/>
        <w:autoSpaceDN w:val="0"/>
        <w:adjustRightInd w:val="0"/>
        <w:spacing w:after="0" w:line="240" w:lineRule="auto"/>
        <w:jc w:val="both"/>
        <w:rPr>
          <w:rFonts w:ascii="Arial" w:eastAsia="Times New Roman" w:hAnsi="Arial" w:cs="Arial"/>
          <w:sz w:val="18"/>
          <w:szCs w:val="18"/>
        </w:rPr>
      </w:pPr>
    </w:p>
    <w:p w14:paraId="6A155698" w14:textId="3B3F8B97" w:rsidR="007C4B2D" w:rsidRPr="00720A0C" w:rsidRDefault="007C4B2D" w:rsidP="007C4B2D">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Ugovoreno je izvođenje radova unutar </w:t>
      </w:r>
      <w:r w:rsidR="00660412" w:rsidRPr="00720A0C">
        <w:rPr>
          <w:rFonts w:ascii="Arial" w:eastAsia="Times New Roman" w:hAnsi="Arial" w:cs="Arial"/>
          <w:sz w:val="18"/>
          <w:szCs w:val="18"/>
        </w:rPr>
        <w:t>24</w:t>
      </w:r>
      <w:r w:rsidRPr="00720A0C">
        <w:rPr>
          <w:rFonts w:ascii="Arial" w:eastAsia="Times New Roman" w:hAnsi="Arial" w:cs="Arial"/>
          <w:sz w:val="18"/>
          <w:szCs w:val="18"/>
        </w:rPr>
        <w:t xml:space="preserve"> mjesec</w:t>
      </w:r>
      <w:r w:rsidR="00660412" w:rsidRPr="00720A0C">
        <w:rPr>
          <w:rFonts w:ascii="Arial" w:eastAsia="Times New Roman" w:hAnsi="Arial" w:cs="Arial"/>
          <w:sz w:val="18"/>
          <w:szCs w:val="18"/>
        </w:rPr>
        <w:t>a</w:t>
      </w:r>
      <w:r w:rsidRPr="00720A0C">
        <w:rPr>
          <w:rFonts w:ascii="Arial" w:eastAsia="Times New Roman" w:hAnsi="Arial" w:cs="Arial"/>
          <w:sz w:val="18"/>
          <w:szCs w:val="18"/>
        </w:rPr>
        <w:t xml:space="preserve">, s time da je izvođač obvezan usuglasiti dinamiku izvođenja radova sukladno mogućnostima bez dodatnih troškova neovisno dolazi li do privremenog prekida radova. Ukupna cijena radova je fiksna i nepromjenljiva s bilo koje osnove. Jamstvo za uredno ispunjenje ugovora je bankarska garancija plativa na prvi poziv i bez prigovora u iznosu 10% ugovorene cijene bez PDV-a. Izvođač jamči i osigurava da na građevini neće nastati nikakvi nedostaci u </w:t>
      </w:r>
      <w:r w:rsidR="00660412" w:rsidRPr="00720A0C">
        <w:rPr>
          <w:rFonts w:ascii="Arial" w:eastAsia="Times New Roman" w:hAnsi="Arial" w:cs="Arial"/>
          <w:sz w:val="18"/>
          <w:szCs w:val="18"/>
        </w:rPr>
        <w:t>peto</w:t>
      </w:r>
      <w:r w:rsidRPr="00720A0C">
        <w:rPr>
          <w:rFonts w:ascii="Arial" w:eastAsia="Times New Roman" w:hAnsi="Arial" w:cs="Arial"/>
          <w:sz w:val="18"/>
          <w:szCs w:val="18"/>
        </w:rPr>
        <w:t>godišnjem roku od trenutka zapisničke primopredaje građevine. Za solidnost sanacije postojećih konstrukcija i solidnost novoizgrađene građevine daje se jamstveni rok 10 godina.</w:t>
      </w:r>
      <w:r w:rsidR="000246FE" w:rsidRPr="00720A0C">
        <w:rPr>
          <w:rFonts w:ascii="Arial" w:eastAsia="Times New Roman" w:hAnsi="Arial" w:cs="Arial"/>
          <w:sz w:val="18"/>
          <w:szCs w:val="18"/>
        </w:rPr>
        <w:t xml:space="preserve"> Za ugrađeni materijal izvođač daje naručitelju jamstvo prema uputama proizvođača tog materijala, ali ne manje od dvije godine a koje se dokazuje jamstvenim listom proizvođača. </w:t>
      </w:r>
      <w:r w:rsidRPr="00720A0C">
        <w:rPr>
          <w:rFonts w:ascii="Arial" w:eastAsia="Times New Roman" w:hAnsi="Arial" w:cs="Arial"/>
          <w:sz w:val="18"/>
          <w:szCs w:val="18"/>
        </w:rPr>
        <w:t xml:space="preserve">Izvođač je obvezan društvu (naručitelju) dostaviti jamstvo za otklanjanje nedostataka u jamstvenom roku na period od </w:t>
      </w:r>
      <w:r w:rsidR="000246FE" w:rsidRPr="00720A0C">
        <w:rPr>
          <w:rFonts w:ascii="Arial" w:eastAsia="Times New Roman" w:hAnsi="Arial" w:cs="Arial"/>
          <w:sz w:val="18"/>
          <w:szCs w:val="18"/>
        </w:rPr>
        <w:t>pet godina</w:t>
      </w:r>
      <w:r w:rsidRPr="00720A0C">
        <w:rPr>
          <w:rFonts w:ascii="Arial" w:eastAsia="Times New Roman" w:hAnsi="Arial" w:cs="Arial"/>
          <w:sz w:val="18"/>
          <w:szCs w:val="18"/>
        </w:rPr>
        <w:t xml:space="preserve"> u obliku bankarske garancije na iznos od 5% ugovorenog iznosa PDV-a. Kazna za svaki dan kašnjenja u izvođenju radove prema detaljnom dinamičkom planu je </w:t>
      </w:r>
      <w:r w:rsidR="000246FE" w:rsidRPr="00720A0C">
        <w:rPr>
          <w:rFonts w:ascii="Arial" w:eastAsia="Times New Roman" w:hAnsi="Arial" w:cs="Arial"/>
          <w:sz w:val="18"/>
          <w:szCs w:val="18"/>
        </w:rPr>
        <w:t>3</w:t>
      </w:r>
      <w:r w:rsidRPr="00720A0C">
        <w:rPr>
          <w:rFonts w:ascii="Arial" w:eastAsia="Times New Roman" w:hAnsi="Arial" w:cs="Arial"/>
          <w:sz w:val="18"/>
          <w:szCs w:val="18"/>
        </w:rPr>
        <w:t xml:space="preserve"> promila s time da je maksimalni iznos ugovorene kazne ne može prijeći 10% ugovorene vrijednosti radova s PDV-om.</w:t>
      </w:r>
    </w:p>
    <w:p w14:paraId="4FA7E5CD" w14:textId="45630030" w:rsidR="007C4B2D" w:rsidRPr="00720A0C" w:rsidRDefault="007C4B2D" w:rsidP="007C4B2D">
      <w:pPr>
        <w:autoSpaceDE w:val="0"/>
        <w:autoSpaceDN w:val="0"/>
        <w:adjustRightInd w:val="0"/>
        <w:spacing w:after="0" w:line="240" w:lineRule="auto"/>
        <w:jc w:val="both"/>
        <w:rPr>
          <w:rFonts w:ascii="Arial" w:eastAsia="Calibri" w:hAnsi="Arial" w:cs="Arial"/>
          <w:sz w:val="18"/>
          <w:szCs w:val="18"/>
        </w:rPr>
      </w:pPr>
      <w:r w:rsidRPr="00720A0C">
        <w:rPr>
          <w:rFonts w:ascii="Arial" w:eastAsia="Times New Roman" w:hAnsi="Arial" w:cs="Arial"/>
          <w:sz w:val="18"/>
          <w:szCs w:val="18"/>
        </w:rPr>
        <w:t xml:space="preserve">Prema ugovoru od </w:t>
      </w:r>
      <w:r w:rsidR="000246FE" w:rsidRPr="00720A0C">
        <w:rPr>
          <w:rFonts w:ascii="Arial" w:eastAsia="Times New Roman" w:hAnsi="Arial" w:cs="Arial"/>
          <w:sz w:val="18"/>
          <w:szCs w:val="18"/>
        </w:rPr>
        <w:t>22</w:t>
      </w:r>
      <w:r w:rsidRPr="00720A0C">
        <w:rPr>
          <w:rFonts w:ascii="Arial" w:eastAsia="Times New Roman" w:hAnsi="Arial" w:cs="Arial"/>
          <w:sz w:val="18"/>
          <w:szCs w:val="18"/>
        </w:rPr>
        <w:t>. studenoga 20</w:t>
      </w:r>
      <w:r w:rsidR="000246FE" w:rsidRPr="00720A0C">
        <w:rPr>
          <w:rFonts w:ascii="Arial" w:eastAsia="Times New Roman" w:hAnsi="Arial" w:cs="Arial"/>
          <w:sz w:val="18"/>
          <w:szCs w:val="18"/>
        </w:rPr>
        <w:t>21</w:t>
      </w:r>
      <w:r w:rsidRPr="00720A0C">
        <w:rPr>
          <w:rFonts w:ascii="Arial" w:eastAsia="Times New Roman" w:hAnsi="Arial" w:cs="Arial"/>
          <w:sz w:val="18"/>
          <w:szCs w:val="18"/>
        </w:rPr>
        <w:t xml:space="preserve">. </w:t>
      </w:r>
      <w:r w:rsidRPr="00720A0C">
        <w:rPr>
          <w:rFonts w:ascii="Arial" w:eastAsia="Times New Roman" w:hAnsi="Arial" w:cs="Arial"/>
          <w:b/>
          <w:sz w:val="18"/>
          <w:szCs w:val="18"/>
        </w:rPr>
        <w:t xml:space="preserve">stručni </w:t>
      </w:r>
      <w:r w:rsidR="000246FE" w:rsidRPr="00720A0C">
        <w:rPr>
          <w:rFonts w:ascii="Arial" w:eastAsia="Times New Roman" w:hAnsi="Arial" w:cs="Arial"/>
          <w:b/>
          <w:sz w:val="18"/>
          <w:szCs w:val="18"/>
        </w:rPr>
        <w:t xml:space="preserve">i obračunski nadzor nad izvođenjem radova </w:t>
      </w:r>
      <w:r w:rsidRPr="00720A0C">
        <w:rPr>
          <w:rFonts w:ascii="Arial" w:eastAsia="Times New Roman" w:hAnsi="Arial" w:cs="Arial"/>
          <w:sz w:val="18"/>
          <w:szCs w:val="18"/>
        </w:rPr>
        <w:t xml:space="preserve">je </w:t>
      </w:r>
      <w:r w:rsidR="000246FE" w:rsidRPr="00720A0C">
        <w:rPr>
          <w:rFonts w:ascii="Arial" w:eastAsia="Times New Roman" w:hAnsi="Arial" w:cs="Arial"/>
          <w:sz w:val="18"/>
          <w:szCs w:val="18"/>
        </w:rPr>
        <w:t xml:space="preserve">Deltagrad d.o.o. </w:t>
      </w:r>
      <w:r w:rsidRPr="00720A0C">
        <w:rPr>
          <w:rFonts w:ascii="Arial" w:eastAsia="Times New Roman" w:hAnsi="Arial" w:cs="Arial"/>
          <w:sz w:val="18"/>
          <w:szCs w:val="18"/>
        </w:rPr>
        <w:t xml:space="preserve">u iznosu </w:t>
      </w:r>
      <w:r w:rsidR="000246FE" w:rsidRPr="00720A0C">
        <w:rPr>
          <w:rFonts w:ascii="Arial" w:eastAsia="Times New Roman" w:hAnsi="Arial" w:cs="Arial"/>
          <w:sz w:val="18"/>
          <w:szCs w:val="18"/>
        </w:rPr>
        <w:t>35</w:t>
      </w:r>
      <w:r w:rsidRPr="00720A0C">
        <w:rPr>
          <w:rFonts w:ascii="Arial" w:eastAsia="Times New Roman" w:hAnsi="Arial" w:cs="Arial"/>
          <w:sz w:val="18"/>
          <w:szCs w:val="18"/>
        </w:rPr>
        <w:t>.000 kn</w:t>
      </w:r>
      <w:r w:rsidR="005D3329" w:rsidRPr="00720A0C">
        <w:rPr>
          <w:rFonts w:ascii="Arial" w:eastAsia="Times New Roman" w:hAnsi="Arial" w:cs="Arial"/>
          <w:sz w:val="18"/>
          <w:szCs w:val="18"/>
        </w:rPr>
        <w:t xml:space="preserve"> / 4.645,30 €</w:t>
      </w:r>
      <w:r w:rsidRPr="00720A0C">
        <w:rPr>
          <w:rFonts w:ascii="Arial" w:eastAsia="Times New Roman" w:hAnsi="Arial" w:cs="Arial"/>
          <w:sz w:val="18"/>
          <w:szCs w:val="18"/>
        </w:rPr>
        <w:t xml:space="preserve">, bez poreza na dodanu vrijednost (43.750 kn </w:t>
      </w:r>
      <w:r w:rsidR="005D3329" w:rsidRPr="00720A0C">
        <w:rPr>
          <w:rFonts w:ascii="Arial" w:eastAsia="Times New Roman" w:hAnsi="Arial" w:cs="Arial"/>
          <w:sz w:val="18"/>
          <w:szCs w:val="18"/>
        </w:rPr>
        <w:t xml:space="preserve">/ 5.806,62 € </w:t>
      </w:r>
      <w:r w:rsidRPr="00720A0C">
        <w:rPr>
          <w:rFonts w:ascii="Arial" w:eastAsia="Times New Roman" w:hAnsi="Arial" w:cs="Arial"/>
          <w:sz w:val="18"/>
          <w:szCs w:val="18"/>
        </w:rPr>
        <w:t xml:space="preserve">s PDV-om). </w:t>
      </w:r>
      <w:r w:rsidRPr="00720A0C">
        <w:rPr>
          <w:rFonts w:ascii="Arial" w:eastAsia="Calibri" w:hAnsi="Arial" w:cs="Arial"/>
          <w:sz w:val="18"/>
          <w:szCs w:val="18"/>
        </w:rPr>
        <w:t xml:space="preserve">Usluge </w:t>
      </w:r>
      <w:r w:rsidRPr="00720A0C">
        <w:rPr>
          <w:rFonts w:ascii="Arial" w:eastAsia="Calibri" w:hAnsi="Arial" w:cs="Arial"/>
          <w:b/>
          <w:sz w:val="18"/>
          <w:szCs w:val="18"/>
        </w:rPr>
        <w:t>koordinatora zaštite na radu</w:t>
      </w:r>
      <w:r w:rsidRPr="00720A0C">
        <w:rPr>
          <w:rFonts w:ascii="Arial" w:eastAsia="Calibri" w:hAnsi="Arial" w:cs="Arial"/>
          <w:sz w:val="18"/>
          <w:szCs w:val="18"/>
        </w:rPr>
        <w:t xml:space="preserve"> su utvrđene u iznosu 3.500 kn</w:t>
      </w:r>
      <w:r w:rsidR="005D3329" w:rsidRPr="00720A0C">
        <w:rPr>
          <w:rFonts w:ascii="Arial" w:eastAsia="Calibri" w:hAnsi="Arial" w:cs="Arial"/>
          <w:sz w:val="18"/>
          <w:szCs w:val="18"/>
        </w:rPr>
        <w:t xml:space="preserve"> / 464,53 €</w:t>
      </w:r>
      <w:r w:rsidRPr="00720A0C">
        <w:rPr>
          <w:rFonts w:ascii="Arial" w:eastAsia="Calibri" w:hAnsi="Arial" w:cs="Arial"/>
          <w:sz w:val="18"/>
          <w:szCs w:val="18"/>
        </w:rPr>
        <w:t xml:space="preserve">, mjesečno, bez PDV-a. </w:t>
      </w:r>
    </w:p>
    <w:p w14:paraId="7727C87B" w14:textId="77777777" w:rsidR="007C4B2D" w:rsidRPr="00720A0C" w:rsidRDefault="007C4B2D" w:rsidP="007C4B2D">
      <w:pPr>
        <w:autoSpaceDE w:val="0"/>
        <w:autoSpaceDN w:val="0"/>
        <w:adjustRightInd w:val="0"/>
        <w:spacing w:after="0" w:line="240" w:lineRule="auto"/>
        <w:jc w:val="both"/>
        <w:rPr>
          <w:rFonts w:ascii="Arial" w:eastAsia="Times New Roman" w:hAnsi="Arial" w:cs="Arial"/>
          <w:sz w:val="18"/>
          <w:szCs w:val="18"/>
        </w:rPr>
      </w:pPr>
    </w:p>
    <w:p w14:paraId="4C42FCCF" w14:textId="36287E14" w:rsidR="007C4B2D" w:rsidRPr="00720A0C" w:rsidRDefault="00F33501" w:rsidP="007C4B2D">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Gradilište je prijavljeno 2.12.2021. </w:t>
      </w:r>
      <w:r w:rsidR="007C4B2D" w:rsidRPr="00720A0C">
        <w:rPr>
          <w:rFonts w:ascii="Arial" w:eastAsia="Times New Roman" w:hAnsi="Arial" w:cs="Arial"/>
          <w:sz w:val="18"/>
          <w:szCs w:val="18"/>
        </w:rPr>
        <w:t xml:space="preserve">Izvoditelj je uveden u posao te su </w:t>
      </w:r>
      <w:r w:rsidR="007C4B2D" w:rsidRPr="00720A0C">
        <w:rPr>
          <w:rFonts w:ascii="Arial" w:eastAsia="Times New Roman" w:hAnsi="Arial" w:cs="Arial"/>
          <w:b/>
          <w:sz w:val="18"/>
          <w:szCs w:val="18"/>
        </w:rPr>
        <w:t xml:space="preserve">radovi započeli </w:t>
      </w:r>
      <w:r w:rsidRPr="00720A0C">
        <w:rPr>
          <w:rFonts w:ascii="Arial" w:eastAsia="Times New Roman" w:hAnsi="Arial" w:cs="Arial"/>
          <w:b/>
          <w:sz w:val="18"/>
          <w:szCs w:val="18"/>
        </w:rPr>
        <w:t>10.1.2022</w:t>
      </w:r>
      <w:r w:rsidR="007C4B2D" w:rsidRPr="00720A0C">
        <w:rPr>
          <w:rFonts w:ascii="Arial" w:eastAsia="Times New Roman" w:hAnsi="Arial" w:cs="Arial"/>
          <w:b/>
          <w:sz w:val="18"/>
          <w:szCs w:val="18"/>
        </w:rPr>
        <w:t>.</w:t>
      </w:r>
      <w:r w:rsidR="007C4B2D" w:rsidRPr="00720A0C">
        <w:rPr>
          <w:rFonts w:ascii="Arial" w:eastAsia="Times New Roman" w:hAnsi="Arial" w:cs="Arial"/>
          <w:sz w:val="18"/>
          <w:szCs w:val="18"/>
        </w:rPr>
        <w:t xml:space="preserve"> što je upisano u građevinski dnevnik.</w:t>
      </w:r>
    </w:p>
    <w:p w14:paraId="40E98138" w14:textId="77777777" w:rsidR="007C4B2D" w:rsidRPr="00720A0C" w:rsidRDefault="007C4B2D" w:rsidP="007C4B2D">
      <w:pPr>
        <w:autoSpaceDE w:val="0"/>
        <w:autoSpaceDN w:val="0"/>
        <w:adjustRightInd w:val="0"/>
        <w:spacing w:after="0" w:line="240" w:lineRule="auto"/>
        <w:jc w:val="both"/>
        <w:rPr>
          <w:rFonts w:ascii="Arial" w:eastAsia="Times New Roman" w:hAnsi="Arial" w:cs="Arial"/>
          <w:sz w:val="18"/>
          <w:szCs w:val="18"/>
        </w:rPr>
      </w:pPr>
    </w:p>
    <w:p w14:paraId="590F0A06" w14:textId="4BDFDC7E" w:rsidR="007C4B2D" w:rsidRPr="00720A0C" w:rsidRDefault="007C4B2D" w:rsidP="007C4B2D">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Izvoditelj je </w:t>
      </w:r>
      <w:r w:rsidR="00826239">
        <w:rPr>
          <w:rFonts w:ascii="Arial" w:eastAsia="Times New Roman" w:hAnsi="Arial" w:cs="Arial"/>
          <w:sz w:val="18"/>
          <w:szCs w:val="18"/>
        </w:rPr>
        <w:t>u 2022. godini</w:t>
      </w:r>
      <w:r w:rsidR="00314F53" w:rsidRPr="00720A0C">
        <w:rPr>
          <w:rFonts w:ascii="Arial" w:eastAsia="Times New Roman" w:hAnsi="Arial" w:cs="Arial"/>
          <w:sz w:val="18"/>
          <w:szCs w:val="18"/>
        </w:rPr>
        <w:t xml:space="preserve"> ispostavio </w:t>
      </w:r>
      <w:r w:rsidR="008B2DE5" w:rsidRPr="00720A0C">
        <w:rPr>
          <w:rFonts w:ascii="Arial" w:eastAsia="Times New Roman" w:hAnsi="Arial" w:cs="Arial"/>
          <w:sz w:val="18"/>
          <w:szCs w:val="18"/>
        </w:rPr>
        <w:t>četiri</w:t>
      </w:r>
      <w:r w:rsidR="00314F53" w:rsidRPr="00720A0C">
        <w:rPr>
          <w:rFonts w:ascii="Arial" w:eastAsia="Times New Roman" w:hAnsi="Arial" w:cs="Arial"/>
          <w:sz w:val="18"/>
          <w:szCs w:val="18"/>
        </w:rPr>
        <w:t xml:space="preserve"> privremene situacije u ukupnom iznosu </w:t>
      </w:r>
      <w:r w:rsidR="008B2DE5" w:rsidRPr="00720A0C">
        <w:rPr>
          <w:rFonts w:ascii="Arial" w:eastAsia="Times New Roman" w:hAnsi="Arial" w:cs="Arial"/>
          <w:sz w:val="18"/>
          <w:szCs w:val="18"/>
        </w:rPr>
        <w:t>708.808,10</w:t>
      </w:r>
      <w:r w:rsidRPr="00720A0C">
        <w:rPr>
          <w:rFonts w:ascii="Arial" w:eastAsia="Times New Roman" w:hAnsi="Arial" w:cs="Arial"/>
          <w:sz w:val="18"/>
          <w:szCs w:val="18"/>
        </w:rPr>
        <w:t xml:space="preserve"> kn</w:t>
      </w:r>
      <w:r w:rsidR="00FE3A3E" w:rsidRPr="00720A0C">
        <w:rPr>
          <w:rFonts w:ascii="Arial" w:eastAsia="Times New Roman" w:hAnsi="Arial" w:cs="Arial"/>
          <w:sz w:val="18"/>
          <w:szCs w:val="18"/>
        </w:rPr>
        <w:t xml:space="preserve"> (94.075,00 €)</w:t>
      </w:r>
      <w:r w:rsidRPr="00720A0C">
        <w:rPr>
          <w:rFonts w:ascii="Arial" w:eastAsia="Times New Roman" w:hAnsi="Arial" w:cs="Arial"/>
          <w:sz w:val="18"/>
          <w:szCs w:val="18"/>
        </w:rPr>
        <w:t>, bez poreza na dodanu vrijednost</w:t>
      </w:r>
      <w:r w:rsidR="008B2DE5" w:rsidRPr="00720A0C">
        <w:rPr>
          <w:rFonts w:ascii="Arial" w:eastAsia="Times New Roman" w:hAnsi="Arial" w:cs="Arial"/>
          <w:sz w:val="18"/>
          <w:szCs w:val="18"/>
        </w:rPr>
        <w:t xml:space="preserve"> (886.010,13 kn s PDV-om)</w:t>
      </w:r>
      <w:r w:rsidR="00FE3A3E" w:rsidRPr="00720A0C">
        <w:rPr>
          <w:rFonts w:ascii="Arial" w:eastAsia="Times New Roman" w:hAnsi="Arial" w:cs="Arial"/>
          <w:sz w:val="18"/>
          <w:szCs w:val="18"/>
        </w:rPr>
        <w:t xml:space="preserve"> (117.593,75 €)</w:t>
      </w:r>
      <w:r w:rsidRPr="00720A0C">
        <w:rPr>
          <w:rFonts w:ascii="Arial" w:eastAsia="Times New Roman" w:hAnsi="Arial" w:cs="Arial"/>
          <w:sz w:val="18"/>
          <w:szCs w:val="18"/>
        </w:rPr>
        <w:t xml:space="preserve">. Za obavljanje stručnog nadzora nad izvođenjem radova </w:t>
      </w:r>
      <w:r w:rsidR="00314F53" w:rsidRPr="00720A0C">
        <w:rPr>
          <w:rFonts w:ascii="Arial" w:eastAsia="Times New Roman" w:hAnsi="Arial" w:cs="Arial"/>
          <w:sz w:val="18"/>
          <w:szCs w:val="18"/>
        </w:rPr>
        <w:t xml:space="preserve">su ispostavljeni računi </w:t>
      </w:r>
      <w:r w:rsidRPr="00720A0C">
        <w:rPr>
          <w:rFonts w:ascii="Arial" w:eastAsia="Times New Roman" w:hAnsi="Arial" w:cs="Arial"/>
          <w:sz w:val="18"/>
          <w:szCs w:val="18"/>
        </w:rPr>
        <w:t xml:space="preserve">u </w:t>
      </w:r>
      <w:r w:rsidR="00314F53" w:rsidRPr="00720A0C">
        <w:rPr>
          <w:rFonts w:ascii="Arial" w:eastAsia="Times New Roman" w:hAnsi="Arial" w:cs="Arial"/>
          <w:sz w:val="18"/>
          <w:szCs w:val="18"/>
        </w:rPr>
        <w:t xml:space="preserve">ukupnom </w:t>
      </w:r>
      <w:r w:rsidRPr="00720A0C">
        <w:rPr>
          <w:rFonts w:ascii="Arial" w:eastAsia="Times New Roman" w:hAnsi="Arial" w:cs="Arial"/>
          <w:sz w:val="18"/>
          <w:szCs w:val="18"/>
        </w:rPr>
        <w:t xml:space="preserve">iznosu </w:t>
      </w:r>
      <w:r w:rsidR="00314F53" w:rsidRPr="00720A0C">
        <w:rPr>
          <w:rFonts w:ascii="Arial" w:eastAsia="Times New Roman" w:hAnsi="Arial" w:cs="Arial"/>
          <w:sz w:val="18"/>
          <w:szCs w:val="18"/>
        </w:rPr>
        <w:t>5.075</w:t>
      </w:r>
      <w:r w:rsidRPr="00720A0C">
        <w:rPr>
          <w:rFonts w:ascii="Arial" w:eastAsia="Times New Roman" w:hAnsi="Arial" w:cs="Arial"/>
          <w:sz w:val="18"/>
          <w:szCs w:val="18"/>
        </w:rPr>
        <w:t xml:space="preserve"> kn</w:t>
      </w:r>
      <w:r w:rsidR="00FE3A3E" w:rsidRPr="00720A0C">
        <w:rPr>
          <w:rFonts w:ascii="Arial" w:eastAsia="Times New Roman" w:hAnsi="Arial" w:cs="Arial"/>
          <w:sz w:val="18"/>
          <w:szCs w:val="18"/>
        </w:rPr>
        <w:t xml:space="preserve"> (673,57 €)</w:t>
      </w:r>
      <w:r w:rsidRPr="00720A0C">
        <w:rPr>
          <w:rFonts w:ascii="Arial" w:eastAsia="Times New Roman" w:hAnsi="Arial" w:cs="Arial"/>
          <w:sz w:val="18"/>
          <w:szCs w:val="18"/>
        </w:rPr>
        <w:t xml:space="preserve">, bez poreza na dodanu vrijednost. </w:t>
      </w:r>
      <w:r w:rsidR="00826239">
        <w:rPr>
          <w:rFonts w:ascii="Arial" w:eastAsia="Times New Roman" w:hAnsi="Arial" w:cs="Arial"/>
          <w:sz w:val="18"/>
          <w:szCs w:val="18"/>
        </w:rPr>
        <w:t>U 2023. godini nije bilo radova.</w:t>
      </w:r>
    </w:p>
    <w:p w14:paraId="2EDC2491" w14:textId="77777777" w:rsidR="008851E8" w:rsidRPr="00FF3C31" w:rsidRDefault="008851E8" w:rsidP="008851E8">
      <w:pPr>
        <w:autoSpaceDE w:val="0"/>
        <w:autoSpaceDN w:val="0"/>
        <w:adjustRightInd w:val="0"/>
        <w:spacing w:after="0" w:line="240" w:lineRule="auto"/>
        <w:jc w:val="both"/>
        <w:rPr>
          <w:rFonts w:ascii="Arial" w:eastAsia="Times New Roman" w:hAnsi="Arial" w:cs="Arial"/>
          <w:sz w:val="20"/>
          <w:szCs w:val="20"/>
        </w:rPr>
      </w:pPr>
    </w:p>
    <w:p w14:paraId="0B5A6195" w14:textId="091E68CB" w:rsidR="008851E8" w:rsidRPr="00FF3C31" w:rsidRDefault="008851E8" w:rsidP="008851E8">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Izvođač </w:t>
      </w:r>
      <w:r w:rsidR="00720A0C">
        <w:rPr>
          <w:rFonts w:ascii="Arial" w:eastAsia="Times New Roman" w:hAnsi="Arial" w:cs="Arial"/>
          <w:sz w:val="20"/>
          <w:szCs w:val="20"/>
        </w:rPr>
        <w:t>s</w:t>
      </w:r>
      <w:r w:rsidRPr="00FF3C31">
        <w:rPr>
          <w:rFonts w:ascii="Arial" w:eastAsia="Times New Roman" w:hAnsi="Arial" w:cs="Arial"/>
          <w:sz w:val="20"/>
          <w:szCs w:val="20"/>
        </w:rPr>
        <w:t xml:space="preserve">e ugovorenim </w:t>
      </w:r>
      <w:r w:rsidR="00521847">
        <w:rPr>
          <w:rFonts w:ascii="Arial" w:eastAsia="Times New Roman" w:hAnsi="Arial" w:cs="Arial"/>
          <w:sz w:val="20"/>
          <w:szCs w:val="20"/>
        </w:rPr>
        <w:t>dodatkom</w:t>
      </w:r>
      <w:r w:rsidRPr="00FF3C31">
        <w:rPr>
          <w:rFonts w:ascii="Arial" w:eastAsia="Times New Roman" w:hAnsi="Arial" w:cs="Arial"/>
          <w:sz w:val="20"/>
          <w:szCs w:val="20"/>
        </w:rPr>
        <w:t xml:space="preserve"> I obavezao navedene radove izvesti do konca 2024 godine</w:t>
      </w:r>
      <w:r w:rsidR="00521847">
        <w:rPr>
          <w:rFonts w:ascii="Arial" w:eastAsia="Times New Roman" w:hAnsi="Arial" w:cs="Arial"/>
          <w:sz w:val="20"/>
          <w:szCs w:val="20"/>
        </w:rPr>
        <w:t>, odnosno dodatkom II iz prosinca 2024. se obvezao izvesti radove do konca 2025. godine.</w:t>
      </w:r>
    </w:p>
    <w:p w14:paraId="3100695D" w14:textId="77777777" w:rsidR="007C4B2D" w:rsidRPr="00FF3C31" w:rsidRDefault="007C4B2D" w:rsidP="007C4B2D">
      <w:pPr>
        <w:autoSpaceDE w:val="0"/>
        <w:autoSpaceDN w:val="0"/>
        <w:adjustRightInd w:val="0"/>
        <w:spacing w:after="0" w:line="240" w:lineRule="auto"/>
        <w:jc w:val="both"/>
        <w:rPr>
          <w:rFonts w:ascii="Arial" w:eastAsia="Times New Roman" w:hAnsi="Arial" w:cs="Arial"/>
          <w:sz w:val="20"/>
          <w:szCs w:val="20"/>
        </w:rPr>
      </w:pPr>
    </w:p>
    <w:p w14:paraId="127BE5BA" w14:textId="2B763890" w:rsidR="00B20566"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Postotak izvršenosti radova </w:t>
      </w:r>
      <w:r w:rsidR="008B2DE5" w:rsidRPr="00FF3C31">
        <w:rPr>
          <w:rFonts w:ascii="Arial" w:eastAsia="Times New Roman" w:hAnsi="Arial" w:cs="Arial"/>
          <w:sz w:val="20"/>
          <w:szCs w:val="20"/>
        </w:rPr>
        <w:t xml:space="preserve">koncem </w:t>
      </w:r>
      <w:r w:rsidR="00314F53" w:rsidRPr="00FF3C31">
        <w:rPr>
          <w:rFonts w:ascii="Arial" w:eastAsia="Times New Roman" w:hAnsi="Arial" w:cs="Arial"/>
          <w:b/>
          <w:bCs/>
          <w:sz w:val="20"/>
          <w:szCs w:val="20"/>
        </w:rPr>
        <w:t>202</w:t>
      </w:r>
      <w:r w:rsidR="00FE3A3E" w:rsidRPr="00FF3C31">
        <w:rPr>
          <w:rFonts w:ascii="Arial" w:eastAsia="Times New Roman" w:hAnsi="Arial" w:cs="Arial"/>
          <w:b/>
          <w:bCs/>
          <w:sz w:val="20"/>
          <w:szCs w:val="20"/>
        </w:rPr>
        <w:t>3</w:t>
      </w:r>
      <w:r w:rsidR="00314F53" w:rsidRPr="00FF3C31">
        <w:rPr>
          <w:rFonts w:ascii="Arial" w:eastAsia="Times New Roman" w:hAnsi="Arial" w:cs="Arial"/>
          <w:b/>
          <w:bCs/>
          <w:sz w:val="20"/>
          <w:szCs w:val="20"/>
        </w:rPr>
        <w:t>.</w:t>
      </w:r>
      <w:r w:rsidR="00314F53" w:rsidRPr="00FF3C31">
        <w:rPr>
          <w:rFonts w:ascii="Arial" w:eastAsia="Times New Roman" w:hAnsi="Arial" w:cs="Arial"/>
          <w:sz w:val="20"/>
          <w:szCs w:val="20"/>
        </w:rPr>
        <w:t xml:space="preserve"> je</w:t>
      </w:r>
      <w:r w:rsidR="00720A0C">
        <w:rPr>
          <w:rFonts w:ascii="Arial" w:eastAsia="Times New Roman" w:hAnsi="Arial" w:cs="Arial"/>
          <w:sz w:val="20"/>
          <w:szCs w:val="20"/>
        </w:rPr>
        <w:t xml:space="preserve"> bio</w:t>
      </w:r>
      <w:r w:rsidR="00314F53" w:rsidRPr="00FF3C31">
        <w:rPr>
          <w:rFonts w:ascii="Arial" w:eastAsia="Times New Roman" w:hAnsi="Arial" w:cs="Arial"/>
          <w:sz w:val="20"/>
          <w:szCs w:val="20"/>
        </w:rPr>
        <w:t xml:space="preserve"> </w:t>
      </w:r>
      <w:r w:rsidR="008B2DE5" w:rsidRPr="00FF3C31">
        <w:rPr>
          <w:rFonts w:ascii="Arial" w:eastAsia="Times New Roman" w:hAnsi="Arial" w:cs="Arial"/>
          <w:b/>
          <w:bCs/>
          <w:sz w:val="20"/>
          <w:szCs w:val="20"/>
        </w:rPr>
        <w:t>46</w:t>
      </w:r>
      <w:r w:rsidR="00314F53" w:rsidRPr="00FF3C31">
        <w:rPr>
          <w:rFonts w:ascii="Arial" w:eastAsia="Times New Roman" w:hAnsi="Arial" w:cs="Arial"/>
          <w:b/>
          <w:bCs/>
          <w:sz w:val="20"/>
          <w:szCs w:val="20"/>
        </w:rPr>
        <w:t>%</w:t>
      </w:r>
      <w:r w:rsidR="00AD7E6E" w:rsidRPr="00FF3C31">
        <w:rPr>
          <w:rFonts w:ascii="Arial" w:eastAsia="Times New Roman" w:hAnsi="Arial" w:cs="Arial"/>
          <w:sz w:val="20"/>
          <w:szCs w:val="20"/>
        </w:rPr>
        <w:t xml:space="preserve"> </w:t>
      </w:r>
      <w:bookmarkStart w:id="797" w:name="_Hlk176169079"/>
    </w:p>
    <w:p w14:paraId="38A21EA5" w14:textId="77777777" w:rsidR="00521847" w:rsidRDefault="00521847" w:rsidP="00B20566">
      <w:pPr>
        <w:autoSpaceDE w:val="0"/>
        <w:autoSpaceDN w:val="0"/>
        <w:adjustRightInd w:val="0"/>
        <w:spacing w:after="0" w:line="240" w:lineRule="auto"/>
        <w:jc w:val="both"/>
        <w:rPr>
          <w:rFonts w:ascii="Arial" w:eastAsia="Times New Roman" w:hAnsi="Arial" w:cs="Arial"/>
          <w:sz w:val="20"/>
          <w:szCs w:val="20"/>
        </w:rPr>
      </w:pPr>
    </w:p>
    <w:p w14:paraId="6B079D29" w14:textId="3F9A344B" w:rsidR="00521847" w:rsidRDefault="00521847" w:rsidP="00B20566">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lastRenderedPageBreak/>
        <w:t xml:space="preserve">Izvođač je 2024. godini ispostavio tri privremene situacije ukupne vrijednosti </w:t>
      </w:r>
      <w:r w:rsidR="00BA626C">
        <w:rPr>
          <w:rFonts w:ascii="Arial" w:eastAsia="Times New Roman" w:hAnsi="Arial" w:cs="Arial"/>
          <w:sz w:val="20"/>
          <w:szCs w:val="20"/>
        </w:rPr>
        <w:t>65.558,05 € (bez PFV-a), te s</w:t>
      </w:r>
      <w:r w:rsidR="00720A0C">
        <w:rPr>
          <w:rFonts w:ascii="Arial" w:eastAsia="Times New Roman" w:hAnsi="Arial" w:cs="Arial"/>
          <w:sz w:val="20"/>
          <w:szCs w:val="20"/>
        </w:rPr>
        <w:t>u</w:t>
      </w:r>
      <w:r w:rsidR="00BA626C">
        <w:rPr>
          <w:rFonts w:ascii="Arial" w:eastAsia="Times New Roman" w:hAnsi="Arial" w:cs="Arial"/>
          <w:sz w:val="20"/>
          <w:szCs w:val="20"/>
        </w:rPr>
        <w:t xml:space="preserve"> sveukupno izvedeni radovi koncem 2024. iznosili 159.635,18 € bez PDV-a (odnosno 199.543,98 € s PDV-om). Nadzorni inženjer je u 2024. godini ispostavio račune u vrijednosti 1.925,41 € bez PDV-a.</w:t>
      </w:r>
    </w:p>
    <w:p w14:paraId="279743F8" w14:textId="77777777" w:rsidR="00826239" w:rsidRDefault="00826239" w:rsidP="00BA626C">
      <w:pPr>
        <w:autoSpaceDE w:val="0"/>
        <w:autoSpaceDN w:val="0"/>
        <w:adjustRightInd w:val="0"/>
        <w:spacing w:after="0" w:line="240" w:lineRule="auto"/>
        <w:jc w:val="both"/>
        <w:rPr>
          <w:rFonts w:ascii="Arial" w:eastAsia="Times New Roman" w:hAnsi="Arial" w:cs="Arial"/>
          <w:sz w:val="20"/>
          <w:szCs w:val="20"/>
        </w:rPr>
      </w:pPr>
    </w:p>
    <w:p w14:paraId="3BA7F0D3" w14:textId="661AA776" w:rsidR="00BA626C" w:rsidRDefault="00BA626C" w:rsidP="00BA626C">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Postotak izvršenosti radova koncem </w:t>
      </w:r>
      <w:r w:rsidRPr="00FF3C31">
        <w:rPr>
          <w:rFonts w:ascii="Arial" w:eastAsia="Times New Roman" w:hAnsi="Arial" w:cs="Arial"/>
          <w:b/>
          <w:bCs/>
          <w:sz w:val="20"/>
          <w:szCs w:val="20"/>
        </w:rPr>
        <w:t>202</w:t>
      </w:r>
      <w:r>
        <w:rPr>
          <w:rFonts w:ascii="Arial" w:eastAsia="Times New Roman" w:hAnsi="Arial" w:cs="Arial"/>
          <w:b/>
          <w:bCs/>
          <w:sz w:val="20"/>
          <w:szCs w:val="20"/>
        </w:rPr>
        <w:t>4</w:t>
      </w:r>
      <w:r w:rsidRPr="00FF3C31">
        <w:rPr>
          <w:rFonts w:ascii="Arial" w:eastAsia="Times New Roman" w:hAnsi="Arial" w:cs="Arial"/>
          <w:b/>
          <w:bCs/>
          <w:sz w:val="20"/>
          <w:szCs w:val="20"/>
        </w:rPr>
        <w:t>.</w:t>
      </w:r>
      <w:r w:rsidRPr="00FF3C31">
        <w:rPr>
          <w:rFonts w:ascii="Arial" w:eastAsia="Times New Roman" w:hAnsi="Arial" w:cs="Arial"/>
          <w:sz w:val="20"/>
          <w:szCs w:val="20"/>
        </w:rPr>
        <w:t xml:space="preserve"> je </w:t>
      </w:r>
      <w:r>
        <w:rPr>
          <w:rFonts w:ascii="Arial" w:eastAsia="Times New Roman" w:hAnsi="Arial" w:cs="Arial"/>
          <w:b/>
          <w:bCs/>
          <w:sz w:val="20"/>
          <w:szCs w:val="20"/>
        </w:rPr>
        <w:t>78,4</w:t>
      </w:r>
      <w:r w:rsidRPr="00FF3C31">
        <w:rPr>
          <w:rFonts w:ascii="Arial" w:eastAsia="Times New Roman" w:hAnsi="Arial" w:cs="Arial"/>
          <w:b/>
          <w:bCs/>
          <w:sz w:val="20"/>
          <w:szCs w:val="20"/>
        </w:rPr>
        <w:t>%</w:t>
      </w:r>
      <w:r w:rsidRPr="00FF3C31">
        <w:rPr>
          <w:rFonts w:ascii="Arial" w:eastAsia="Times New Roman" w:hAnsi="Arial" w:cs="Arial"/>
          <w:sz w:val="20"/>
          <w:szCs w:val="20"/>
        </w:rPr>
        <w:t xml:space="preserve"> </w:t>
      </w:r>
    </w:p>
    <w:p w14:paraId="4C40BF57" w14:textId="5EBC9FF0" w:rsidR="00BA626C" w:rsidRDefault="00BA626C" w:rsidP="00B20566">
      <w:pPr>
        <w:autoSpaceDE w:val="0"/>
        <w:autoSpaceDN w:val="0"/>
        <w:adjustRightInd w:val="0"/>
        <w:spacing w:after="0" w:line="240" w:lineRule="auto"/>
        <w:jc w:val="both"/>
        <w:rPr>
          <w:rFonts w:ascii="Arial" w:eastAsia="Times New Roman" w:hAnsi="Arial" w:cs="Arial"/>
          <w:sz w:val="20"/>
          <w:szCs w:val="20"/>
        </w:rPr>
      </w:pPr>
    </w:p>
    <w:p w14:paraId="3EE8659D" w14:textId="0BBA9BF7" w:rsidR="00BA626C" w:rsidRPr="00FF3C31" w:rsidRDefault="00BA626C" w:rsidP="00B20566">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Do konca 2025. godine izvoditelj je ispostavio još </w:t>
      </w:r>
      <w:r w:rsidR="002D5569">
        <w:rPr>
          <w:rFonts w:ascii="Arial" w:eastAsia="Times New Roman" w:hAnsi="Arial" w:cs="Arial"/>
          <w:sz w:val="20"/>
          <w:szCs w:val="20"/>
        </w:rPr>
        <w:t>4</w:t>
      </w:r>
      <w:r>
        <w:rPr>
          <w:rFonts w:ascii="Arial" w:eastAsia="Times New Roman" w:hAnsi="Arial" w:cs="Arial"/>
          <w:sz w:val="20"/>
          <w:szCs w:val="20"/>
        </w:rPr>
        <w:t xml:space="preserve"> privremene situacije u vrijednosti </w:t>
      </w:r>
      <w:r w:rsidR="002D5569">
        <w:rPr>
          <w:rFonts w:ascii="Arial" w:eastAsia="Times New Roman" w:hAnsi="Arial" w:cs="Arial"/>
          <w:sz w:val="20"/>
          <w:szCs w:val="20"/>
        </w:rPr>
        <w:t>37.860,61</w:t>
      </w:r>
      <w:r>
        <w:rPr>
          <w:rFonts w:ascii="Arial" w:eastAsia="Times New Roman" w:hAnsi="Arial" w:cs="Arial"/>
          <w:sz w:val="20"/>
          <w:szCs w:val="20"/>
        </w:rPr>
        <w:t xml:space="preserve"> € (bez PDV-a), te sveukupno izvedeni radovi koncem 2025 godine iznose </w:t>
      </w:r>
      <w:r w:rsidR="005C51E6">
        <w:rPr>
          <w:rFonts w:ascii="Arial" w:eastAsia="Times New Roman" w:hAnsi="Arial" w:cs="Arial"/>
          <w:sz w:val="20"/>
          <w:szCs w:val="20"/>
        </w:rPr>
        <w:t>197.495,79</w:t>
      </w:r>
      <w:r>
        <w:rPr>
          <w:rFonts w:ascii="Arial" w:eastAsia="Times New Roman" w:hAnsi="Arial" w:cs="Arial"/>
          <w:sz w:val="20"/>
          <w:szCs w:val="20"/>
        </w:rPr>
        <w:t xml:space="preserve"> € što s PDV-om iznosi </w:t>
      </w:r>
      <w:r w:rsidR="005C51E6">
        <w:rPr>
          <w:rFonts w:ascii="Arial" w:eastAsia="Times New Roman" w:hAnsi="Arial" w:cs="Arial"/>
          <w:sz w:val="20"/>
          <w:szCs w:val="20"/>
        </w:rPr>
        <w:t>246.869,74</w:t>
      </w:r>
      <w:r>
        <w:rPr>
          <w:rFonts w:ascii="Arial" w:eastAsia="Times New Roman" w:hAnsi="Arial" w:cs="Arial"/>
          <w:sz w:val="20"/>
          <w:szCs w:val="20"/>
        </w:rPr>
        <w:t xml:space="preserve"> €.</w:t>
      </w:r>
      <w:r w:rsidRPr="00BA626C">
        <w:rPr>
          <w:rFonts w:ascii="Arial" w:eastAsia="Times New Roman" w:hAnsi="Arial" w:cs="Arial"/>
          <w:sz w:val="20"/>
          <w:szCs w:val="20"/>
        </w:rPr>
        <w:t xml:space="preserve"> </w:t>
      </w:r>
      <w:r>
        <w:rPr>
          <w:rFonts w:ascii="Arial" w:eastAsia="Times New Roman" w:hAnsi="Arial" w:cs="Arial"/>
          <w:sz w:val="20"/>
          <w:szCs w:val="20"/>
        </w:rPr>
        <w:t xml:space="preserve">Nadzorni inženjer je u 2025. godini ispostavio račune u vrijednosti </w:t>
      </w:r>
      <w:r w:rsidR="005C51E6">
        <w:rPr>
          <w:rFonts w:ascii="Arial" w:eastAsia="Times New Roman" w:hAnsi="Arial" w:cs="Arial"/>
          <w:sz w:val="20"/>
          <w:szCs w:val="20"/>
        </w:rPr>
        <w:t>445,08</w:t>
      </w:r>
      <w:r>
        <w:rPr>
          <w:rFonts w:ascii="Arial" w:eastAsia="Times New Roman" w:hAnsi="Arial" w:cs="Arial"/>
          <w:sz w:val="20"/>
          <w:szCs w:val="20"/>
        </w:rPr>
        <w:t xml:space="preserve"> € bez PDV-a (sveukupno usluge nadzora po ugovoru izvršene u iznosu 4.</w:t>
      </w:r>
      <w:r w:rsidR="005C51E6">
        <w:rPr>
          <w:rFonts w:ascii="Arial" w:eastAsia="Times New Roman" w:hAnsi="Arial" w:cs="Arial"/>
          <w:sz w:val="20"/>
          <w:szCs w:val="20"/>
        </w:rPr>
        <w:t>507,33</w:t>
      </w:r>
      <w:r>
        <w:rPr>
          <w:rFonts w:ascii="Arial" w:eastAsia="Times New Roman" w:hAnsi="Arial" w:cs="Arial"/>
          <w:sz w:val="20"/>
          <w:szCs w:val="20"/>
        </w:rPr>
        <w:t xml:space="preserve"> €.</w:t>
      </w:r>
    </w:p>
    <w:bookmarkEnd w:id="797"/>
    <w:p w14:paraId="04269A08" w14:textId="205FD9B0" w:rsidR="00BA626C" w:rsidRDefault="00BA626C" w:rsidP="00BA626C">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Postotak izvršenosti radova koncem </w:t>
      </w:r>
      <w:r w:rsidRPr="00FF3C31">
        <w:rPr>
          <w:rFonts w:ascii="Arial" w:eastAsia="Times New Roman" w:hAnsi="Arial" w:cs="Arial"/>
          <w:b/>
          <w:bCs/>
          <w:sz w:val="20"/>
          <w:szCs w:val="20"/>
        </w:rPr>
        <w:t>202</w:t>
      </w:r>
      <w:r>
        <w:rPr>
          <w:rFonts w:ascii="Arial" w:eastAsia="Times New Roman" w:hAnsi="Arial" w:cs="Arial"/>
          <w:b/>
          <w:bCs/>
          <w:sz w:val="20"/>
          <w:szCs w:val="20"/>
        </w:rPr>
        <w:t>5</w:t>
      </w:r>
      <w:r w:rsidRPr="00FF3C31">
        <w:rPr>
          <w:rFonts w:ascii="Arial" w:eastAsia="Times New Roman" w:hAnsi="Arial" w:cs="Arial"/>
          <w:b/>
          <w:bCs/>
          <w:sz w:val="20"/>
          <w:szCs w:val="20"/>
        </w:rPr>
        <w:t>.</w:t>
      </w:r>
      <w:r w:rsidRPr="00FF3C31">
        <w:rPr>
          <w:rFonts w:ascii="Arial" w:eastAsia="Times New Roman" w:hAnsi="Arial" w:cs="Arial"/>
          <w:sz w:val="20"/>
          <w:szCs w:val="20"/>
        </w:rPr>
        <w:t xml:space="preserve"> je </w:t>
      </w:r>
      <w:r w:rsidR="005C51E6">
        <w:rPr>
          <w:rFonts w:ascii="Arial" w:eastAsia="Times New Roman" w:hAnsi="Arial" w:cs="Arial"/>
          <w:b/>
          <w:bCs/>
          <w:sz w:val="20"/>
          <w:szCs w:val="20"/>
        </w:rPr>
        <w:t>97%.</w:t>
      </w:r>
      <w:r w:rsidRPr="00FF3C31">
        <w:rPr>
          <w:rFonts w:ascii="Arial" w:eastAsia="Times New Roman" w:hAnsi="Arial" w:cs="Arial"/>
          <w:sz w:val="20"/>
          <w:szCs w:val="20"/>
        </w:rPr>
        <w:t xml:space="preserve"> </w:t>
      </w:r>
    </w:p>
    <w:p w14:paraId="647D0517" w14:textId="77777777" w:rsidR="008851E8" w:rsidRDefault="008851E8" w:rsidP="008851E8">
      <w:pPr>
        <w:autoSpaceDE w:val="0"/>
        <w:autoSpaceDN w:val="0"/>
        <w:adjustRightInd w:val="0"/>
        <w:spacing w:after="0" w:line="240" w:lineRule="auto"/>
        <w:jc w:val="both"/>
        <w:rPr>
          <w:rFonts w:ascii="Arial" w:eastAsia="Times New Roman" w:hAnsi="Arial" w:cs="Arial"/>
          <w:sz w:val="20"/>
          <w:szCs w:val="20"/>
        </w:rPr>
      </w:pPr>
    </w:p>
    <w:p w14:paraId="546E76E5" w14:textId="53491D29" w:rsidR="00BA626C" w:rsidRDefault="00BA626C" w:rsidP="008851E8">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Radovi </w:t>
      </w:r>
      <w:r w:rsidR="005C51E6">
        <w:rPr>
          <w:rFonts w:ascii="Arial" w:eastAsia="Times New Roman" w:hAnsi="Arial" w:cs="Arial"/>
          <w:sz w:val="20"/>
          <w:szCs w:val="20"/>
        </w:rPr>
        <w:t xml:space="preserve">su se obavljali </w:t>
      </w:r>
      <w:r>
        <w:rPr>
          <w:rFonts w:ascii="Arial" w:eastAsia="Times New Roman" w:hAnsi="Arial" w:cs="Arial"/>
          <w:sz w:val="20"/>
          <w:szCs w:val="20"/>
        </w:rPr>
        <w:t xml:space="preserve">usporenim tokom jer </w:t>
      </w:r>
      <w:r w:rsidR="005C51E6">
        <w:rPr>
          <w:rFonts w:ascii="Arial" w:eastAsia="Times New Roman" w:hAnsi="Arial" w:cs="Arial"/>
          <w:sz w:val="20"/>
          <w:szCs w:val="20"/>
        </w:rPr>
        <w:t xml:space="preserve">su se </w:t>
      </w:r>
      <w:r>
        <w:rPr>
          <w:rFonts w:ascii="Arial" w:eastAsia="Times New Roman" w:hAnsi="Arial" w:cs="Arial"/>
          <w:sz w:val="20"/>
          <w:szCs w:val="20"/>
        </w:rPr>
        <w:t xml:space="preserve">usporedo </w:t>
      </w:r>
      <w:r w:rsidR="005C51E6">
        <w:rPr>
          <w:rFonts w:ascii="Arial" w:eastAsia="Times New Roman" w:hAnsi="Arial" w:cs="Arial"/>
          <w:sz w:val="20"/>
          <w:szCs w:val="20"/>
        </w:rPr>
        <w:t xml:space="preserve">obavljali radovi postavljanja </w:t>
      </w:r>
      <w:r>
        <w:rPr>
          <w:rFonts w:ascii="Arial" w:eastAsia="Times New Roman" w:hAnsi="Arial" w:cs="Arial"/>
          <w:sz w:val="20"/>
          <w:szCs w:val="20"/>
        </w:rPr>
        <w:t>cijevi za oborinsku odvodnju te javn</w:t>
      </w:r>
      <w:r w:rsidR="005C51E6">
        <w:rPr>
          <w:rFonts w:ascii="Arial" w:eastAsia="Times New Roman" w:hAnsi="Arial" w:cs="Arial"/>
          <w:sz w:val="20"/>
          <w:szCs w:val="20"/>
        </w:rPr>
        <w:t>a</w:t>
      </w:r>
      <w:r>
        <w:rPr>
          <w:rFonts w:ascii="Arial" w:eastAsia="Times New Roman" w:hAnsi="Arial" w:cs="Arial"/>
          <w:sz w:val="20"/>
          <w:szCs w:val="20"/>
        </w:rPr>
        <w:t xml:space="preserve"> rasvjet</w:t>
      </w:r>
      <w:r w:rsidR="005C51E6">
        <w:rPr>
          <w:rFonts w:ascii="Arial" w:eastAsia="Times New Roman" w:hAnsi="Arial" w:cs="Arial"/>
          <w:sz w:val="20"/>
          <w:szCs w:val="20"/>
        </w:rPr>
        <w:t>a</w:t>
      </w:r>
      <w:r>
        <w:rPr>
          <w:rFonts w:ascii="Arial" w:eastAsia="Times New Roman" w:hAnsi="Arial" w:cs="Arial"/>
          <w:sz w:val="20"/>
          <w:szCs w:val="20"/>
        </w:rPr>
        <w:t xml:space="preserve"> na dijelu obuhvata ulice Frana Laureana.</w:t>
      </w:r>
    </w:p>
    <w:p w14:paraId="42CD46C8" w14:textId="77777777" w:rsidR="00BA626C" w:rsidRDefault="00BA626C" w:rsidP="008851E8">
      <w:pPr>
        <w:autoSpaceDE w:val="0"/>
        <w:autoSpaceDN w:val="0"/>
        <w:adjustRightInd w:val="0"/>
        <w:spacing w:after="0" w:line="240" w:lineRule="auto"/>
        <w:jc w:val="both"/>
        <w:rPr>
          <w:rFonts w:ascii="Arial" w:eastAsia="Times New Roman" w:hAnsi="Arial" w:cs="Arial"/>
          <w:sz w:val="20"/>
          <w:szCs w:val="20"/>
        </w:rPr>
      </w:pPr>
    </w:p>
    <w:p w14:paraId="4C67D92D" w14:textId="3178E3B6" w:rsidR="002171D5" w:rsidRDefault="002171D5" w:rsidP="008851E8">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ab/>
        <w:t>Izvoditelj je u ožujku 2026. godine ispostavio okončanu situaciju u iznosu 15.530,44 € bez PDV-a, te sveukupno izvedeni radovi po ugovoru iznose 213.026,23 € što s PDV-om iznosi 266.282,78 €.</w:t>
      </w:r>
    </w:p>
    <w:p w14:paraId="5FF75CA9" w14:textId="77777777" w:rsidR="002171D5" w:rsidRPr="00FF3C31" w:rsidRDefault="002171D5" w:rsidP="008851E8">
      <w:pPr>
        <w:autoSpaceDE w:val="0"/>
        <w:autoSpaceDN w:val="0"/>
        <w:adjustRightInd w:val="0"/>
        <w:spacing w:after="0" w:line="240" w:lineRule="auto"/>
        <w:jc w:val="both"/>
        <w:rPr>
          <w:rFonts w:ascii="Arial" w:eastAsia="Times New Roman" w:hAnsi="Arial" w:cs="Arial"/>
          <w:sz w:val="20"/>
          <w:szCs w:val="20"/>
        </w:rPr>
      </w:pPr>
    </w:p>
    <w:p w14:paraId="2C88E286" w14:textId="4ED533BA" w:rsidR="00B34FCE" w:rsidRPr="00FF3C31" w:rsidRDefault="00B34FCE">
      <w:pPr>
        <w:pStyle w:val="Odlomakpopisa"/>
        <w:numPr>
          <w:ilvl w:val="0"/>
          <w:numId w:val="21"/>
        </w:numPr>
        <w:autoSpaceDE w:val="0"/>
        <w:autoSpaceDN w:val="0"/>
        <w:adjustRightInd w:val="0"/>
        <w:rPr>
          <w:rFonts w:ascii="Arial" w:hAnsi="Arial" w:cs="Arial"/>
        </w:rPr>
      </w:pPr>
      <w:r w:rsidRPr="00FF3C31">
        <w:rPr>
          <w:rFonts w:ascii="Arial" w:hAnsi="Arial" w:cs="Arial"/>
        </w:rPr>
        <w:t xml:space="preserve">Financiranje u razdoblju 2023. </w:t>
      </w:r>
      <w:r w:rsidR="002171D5">
        <w:rPr>
          <w:rFonts w:ascii="Arial" w:hAnsi="Arial" w:cs="Arial"/>
        </w:rPr>
        <w:t>-</w:t>
      </w:r>
      <w:r w:rsidR="00AD7E6E" w:rsidRPr="00FF3C31">
        <w:rPr>
          <w:rFonts w:ascii="Arial" w:hAnsi="Arial" w:cs="Arial"/>
        </w:rPr>
        <w:t xml:space="preserve"> 202</w:t>
      </w:r>
      <w:r w:rsidR="002171D5">
        <w:rPr>
          <w:rFonts w:ascii="Arial" w:hAnsi="Arial" w:cs="Arial"/>
        </w:rPr>
        <w:t>5</w:t>
      </w:r>
      <w:r w:rsidR="00AD7E6E" w:rsidRPr="00FF3C31">
        <w:rPr>
          <w:rFonts w:ascii="Arial" w:hAnsi="Arial" w:cs="Arial"/>
        </w:rPr>
        <w:t>.</w:t>
      </w:r>
    </w:p>
    <w:p w14:paraId="6BC67A4F" w14:textId="7844FFCF" w:rsidR="00FE3A3E" w:rsidRPr="00FF3C31" w:rsidRDefault="00FE3A3E" w:rsidP="00390542">
      <w:pPr>
        <w:autoSpaceDE w:val="0"/>
        <w:autoSpaceDN w:val="0"/>
        <w:adjustRightInd w:val="0"/>
        <w:spacing w:after="0" w:line="240" w:lineRule="auto"/>
        <w:jc w:val="both"/>
        <w:rPr>
          <w:rFonts w:ascii="Arial" w:eastAsia="Times New Roman" w:hAnsi="Arial" w:cs="Arial"/>
          <w:sz w:val="20"/>
          <w:szCs w:val="20"/>
        </w:rPr>
      </w:pPr>
    </w:p>
    <w:p w14:paraId="5A8146C2" w14:textId="488AAF78" w:rsidR="00B34FCE" w:rsidRPr="00720A0C" w:rsidRDefault="00B34FCE" w:rsidP="00B34FCE">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 xml:space="preserve">Konavosko komunalno društvo d.o.o. je dana 21.7.2023. s Ministarstvom gospodarstva i održivog razvoja, te Hrvatskim vodama (provedbeno tijelo) zaključilo </w:t>
      </w:r>
      <w:r w:rsidR="0090733E" w:rsidRPr="00720A0C">
        <w:rPr>
          <w:rFonts w:ascii="Arial" w:eastAsia="Times New Roman" w:hAnsi="Arial" w:cs="Arial"/>
          <w:sz w:val="18"/>
          <w:szCs w:val="18"/>
        </w:rPr>
        <w:t xml:space="preserve">Ugovor o sufinanciranju projekta, te </w:t>
      </w:r>
      <w:r w:rsidRPr="00720A0C">
        <w:rPr>
          <w:rFonts w:ascii="Arial" w:eastAsia="Times New Roman" w:hAnsi="Arial" w:cs="Arial"/>
          <w:sz w:val="18"/>
          <w:szCs w:val="18"/>
        </w:rPr>
        <w:t xml:space="preserve">ugovor o dodjeli bespovratnih sredstava za projekte koji se financiranju iz nacionalnog plana za oporavak i otpornost 2021.-2026. Ugovorena je provedba </w:t>
      </w:r>
      <w:r w:rsidRPr="00720A0C">
        <w:rPr>
          <w:rFonts w:ascii="Arial" w:eastAsia="Times New Roman" w:hAnsi="Arial" w:cs="Arial"/>
          <w:b/>
          <w:bCs/>
          <w:sz w:val="18"/>
          <w:szCs w:val="18"/>
        </w:rPr>
        <w:t>projekta pod nazivom „Dogradnja kanalizacijske mreže u ulicama Frana Laureana i Jurja Dalmatinca, te u ulici S.S. Kranjčevića u Cavtatu“</w:t>
      </w:r>
      <w:r w:rsidRPr="00720A0C">
        <w:rPr>
          <w:rFonts w:ascii="Arial" w:eastAsia="Times New Roman" w:hAnsi="Arial" w:cs="Arial"/>
          <w:sz w:val="18"/>
          <w:szCs w:val="18"/>
        </w:rPr>
        <w:t>. Ukupna vrijednost projekta je 1.406.408,11 € (10.596.581,90 kn) od čega prihvatljivi troškovi projekta iznose 1.125.126,49 € (8.477.265,54 kn)</w:t>
      </w:r>
      <w:r w:rsidR="0090733E" w:rsidRPr="00720A0C">
        <w:rPr>
          <w:rFonts w:ascii="Arial" w:eastAsia="Times New Roman" w:hAnsi="Arial" w:cs="Arial"/>
          <w:sz w:val="18"/>
          <w:szCs w:val="18"/>
        </w:rPr>
        <w:t xml:space="preserve">. Iz Nacionalnog programa otpornosti i oporavka sufinancirati će se 80% ili 900.101,19 € (6.781.812,42 kn), dok 20% sredstava za sufinanciranje prihvatljivih troškova iznosi 225.025,30 € (od čega će 112.512,65 € doznačiti Hrvatske vode). </w:t>
      </w:r>
    </w:p>
    <w:p w14:paraId="4BBF2742" w14:textId="77777777" w:rsidR="00FE3A3E" w:rsidRPr="00720A0C" w:rsidRDefault="00FE3A3E" w:rsidP="00390542">
      <w:pPr>
        <w:autoSpaceDE w:val="0"/>
        <w:autoSpaceDN w:val="0"/>
        <w:adjustRightInd w:val="0"/>
        <w:spacing w:after="0" w:line="240" w:lineRule="auto"/>
        <w:jc w:val="both"/>
        <w:rPr>
          <w:rFonts w:ascii="Arial" w:eastAsia="Times New Roman" w:hAnsi="Arial" w:cs="Arial"/>
          <w:sz w:val="18"/>
          <w:szCs w:val="18"/>
        </w:rPr>
      </w:pPr>
    </w:p>
    <w:p w14:paraId="0EC31BEB" w14:textId="615001D2" w:rsidR="00AD7E6E" w:rsidRDefault="00AD7E6E" w:rsidP="00AD7E6E">
      <w:pPr>
        <w:autoSpaceDE w:val="0"/>
        <w:autoSpaceDN w:val="0"/>
        <w:adjustRightInd w:val="0"/>
        <w:spacing w:after="0" w:line="240" w:lineRule="auto"/>
        <w:jc w:val="both"/>
        <w:rPr>
          <w:rFonts w:ascii="Arial" w:eastAsia="Times New Roman" w:hAnsi="Arial" w:cs="Arial"/>
          <w:sz w:val="18"/>
          <w:szCs w:val="18"/>
        </w:rPr>
      </w:pPr>
      <w:r w:rsidRPr="00720A0C">
        <w:rPr>
          <w:rFonts w:ascii="Arial" w:eastAsia="Times New Roman" w:hAnsi="Arial" w:cs="Arial"/>
          <w:sz w:val="18"/>
          <w:szCs w:val="18"/>
        </w:rPr>
        <w:t>U 202</w:t>
      </w:r>
      <w:r w:rsidR="00713703" w:rsidRPr="00720A0C">
        <w:rPr>
          <w:rFonts w:ascii="Arial" w:eastAsia="Times New Roman" w:hAnsi="Arial" w:cs="Arial"/>
          <w:sz w:val="18"/>
          <w:szCs w:val="18"/>
        </w:rPr>
        <w:t>3</w:t>
      </w:r>
      <w:r w:rsidRPr="00720A0C">
        <w:rPr>
          <w:rFonts w:ascii="Arial" w:eastAsia="Times New Roman" w:hAnsi="Arial" w:cs="Arial"/>
          <w:sz w:val="18"/>
          <w:szCs w:val="18"/>
        </w:rPr>
        <w:t>. nije bilo sufinanciranja.</w:t>
      </w:r>
    </w:p>
    <w:p w14:paraId="7D4943AF" w14:textId="77777777" w:rsidR="007A23FC" w:rsidRDefault="007A23FC" w:rsidP="00AD7E6E">
      <w:pPr>
        <w:autoSpaceDE w:val="0"/>
        <w:autoSpaceDN w:val="0"/>
        <w:adjustRightInd w:val="0"/>
        <w:spacing w:after="0" w:line="240" w:lineRule="auto"/>
        <w:jc w:val="both"/>
        <w:rPr>
          <w:rFonts w:ascii="Arial" w:eastAsia="Times New Roman" w:hAnsi="Arial" w:cs="Arial"/>
          <w:sz w:val="18"/>
          <w:szCs w:val="18"/>
        </w:rPr>
      </w:pPr>
    </w:p>
    <w:p w14:paraId="3A8CCEAE" w14:textId="2093C19A" w:rsidR="007A23FC" w:rsidRDefault="00826239" w:rsidP="00AD7E6E">
      <w:pPr>
        <w:autoSpaceDE w:val="0"/>
        <w:autoSpaceDN w:val="0"/>
        <w:adjustRightInd w:val="0"/>
        <w:spacing w:after="0" w:line="240" w:lineRule="auto"/>
        <w:jc w:val="both"/>
        <w:rPr>
          <w:rFonts w:ascii="Arial" w:eastAsia="Times New Roman" w:hAnsi="Arial" w:cs="Arial"/>
          <w:sz w:val="18"/>
          <w:szCs w:val="18"/>
        </w:rPr>
      </w:pPr>
      <w:r>
        <w:rPr>
          <w:rFonts w:ascii="Arial" w:eastAsia="Times New Roman" w:hAnsi="Arial" w:cs="Arial"/>
          <w:sz w:val="18"/>
          <w:szCs w:val="18"/>
        </w:rPr>
        <w:t xml:space="preserve">Do konca </w:t>
      </w:r>
      <w:r w:rsidR="007A23FC">
        <w:rPr>
          <w:rFonts w:ascii="Arial" w:eastAsia="Times New Roman" w:hAnsi="Arial" w:cs="Arial"/>
          <w:sz w:val="18"/>
          <w:szCs w:val="18"/>
        </w:rPr>
        <w:t>2024.godin</w:t>
      </w:r>
      <w:r>
        <w:rPr>
          <w:rFonts w:ascii="Arial" w:eastAsia="Times New Roman" w:hAnsi="Arial" w:cs="Arial"/>
          <w:sz w:val="18"/>
          <w:szCs w:val="18"/>
        </w:rPr>
        <w:t>e</w:t>
      </w:r>
      <w:r w:rsidR="007A23FC">
        <w:rPr>
          <w:rFonts w:ascii="Arial" w:eastAsia="Times New Roman" w:hAnsi="Arial" w:cs="Arial"/>
          <w:sz w:val="18"/>
          <w:szCs w:val="18"/>
        </w:rPr>
        <w:t xml:space="preserve"> odobrena su sredstva za sufinanciranje prihvatljivih troškova u iznosu </w:t>
      </w:r>
      <w:r w:rsidR="00C47FC4">
        <w:rPr>
          <w:rFonts w:ascii="Arial" w:eastAsia="Times New Roman" w:hAnsi="Arial" w:cs="Arial"/>
          <w:sz w:val="18"/>
          <w:szCs w:val="18"/>
        </w:rPr>
        <w:t>78.624,80</w:t>
      </w:r>
      <w:r w:rsidR="00425CCB">
        <w:rPr>
          <w:rFonts w:ascii="Arial" w:eastAsia="Times New Roman" w:hAnsi="Arial" w:cs="Arial"/>
          <w:sz w:val="18"/>
          <w:szCs w:val="18"/>
        </w:rPr>
        <w:t xml:space="preserve"> €</w:t>
      </w:r>
      <w:r w:rsidR="00D667BD">
        <w:rPr>
          <w:rFonts w:ascii="Arial" w:eastAsia="Times New Roman" w:hAnsi="Arial" w:cs="Arial"/>
          <w:sz w:val="18"/>
          <w:szCs w:val="18"/>
        </w:rPr>
        <w:t xml:space="preserve"> (80 % EU sredstava i 10% sredstva Hrvatske vode) na temelju 11 zahtjeva za nadoknadom sredstava.</w:t>
      </w:r>
    </w:p>
    <w:p w14:paraId="46191455" w14:textId="77777777" w:rsidR="00713703" w:rsidRPr="00A45615" w:rsidRDefault="00713703" w:rsidP="00AD7E6E">
      <w:pPr>
        <w:autoSpaceDE w:val="0"/>
        <w:autoSpaceDN w:val="0"/>
        <w:adjustRightInd w:val="0"/>
        <w:spacing w:after="0" w:line="240" w:lineRule="auto"/>
        <w:jc w:val="both"/>
        <w:rPr>
          <w:rFonts w:ascii="Arial" w:eastAsia="Times New Roman" w:hAnsi="Arial" w:cs="Arial"/>
          <w:sz w:val="20"/>
          <w:szCs w:val="20"/>
        </w:rPr>
      </w:pPr>
    </w:p>
    <w:p w14:paraId="0935D144" w14:textId="37C650C8" w:rsidR="00C739F3" w:rsidRPr="00A45615" w:rsidRDefault="00C739F3" w:rsidP="00C739F3">
      <w:pPr>
        <w:autoSpaceDE w:val="0"/>
        <w:autoSpaceDN w:val="0"/>
        <w:adjustRightInd w:val="0"/>
        <w:spacing w:after="0" w:line="240" w:lineRule="auto"/>
        <w:jc w:val="both"/>
        <w:rPr>
          <w:rFonts w:ascii="Arial" w:eastAsia="Times New Roman" w:hAnsi="Arial" w:cs="Arial"/>
          <w:sz w:val="18"/>
          <w:szCs w:val="18"/>
        </w:rPr>
      </w:pPr>
      <w:r w:rsidRPr="00A45615">
        <w:rPr>
          <w:rFonts w:ascii="Arial" w:eastAsia="Times New Roman" w:hAnsi="Arial" w:cs="Arial"/>
          <w:sz w:val="18"/>
          <w:szCs w:val="18"/>
        </w:rPr>
        <w:t xml:space="preserve">Do konca 2025.godine odobrena su sredstva za sufinanciranje prihvatljivih troškova u iznosu </w:t>
      </w:r>
      <w:r w:rsidR="00A45615" w:rsidRPr="00A45615">
        <w:rPr>
          <w:rFonts w:ascii="Arial" w:eastAsia="Times New Roman" w:hAnsi="Arial" w:cs="Arial"/>
          <w:sz w:val="18"/>
          <w:szCs w:val="18"/>
        </w:rPr>
        <w:t>73.134,53</w:t>
      </w:r>
      <w:r w:rsidRPr="00A45615">
        <w:rPr>
          <w:rFonts w:ascii="Arial" w:eastAsia="Times New Roman" w:hAnsi="Arial" w:cs="Arial"/>
          <w:sz w:val="18"/>
          <w:szCs w:val="18"/>
        </w:rPr>
        <w:t xml:space="preserve"> € (80 % EU sredstava i 10% sredstva Hrvatske vode) na temelju 7 zahtjeva za nadoknadom sredstava (sveukupno 18 zahtjeva za nadoknadom sredstava).</w:t>
      </w:r>
    </w:p>
    <w:p w14:paraId="70A9C257" w14:textId="38576AFB" w:rsidR="00C739F3" w:rsidRPr="00A45615" w:rsidRDefault="00C739F3" w:rsidP="00C739F3">
      <w:pPr>
        <w:autoSpaceDE w:val="0"/>
        <w:autoSpaceDN w:val="0"/>
        <w:adjustRightInd w:val="0"/>
        <w:spacing w:after="0" w:line="240" w:lineRule="auto"/>
        <w:jc w:val="both"/>
        <w:rPr>
          <w:rFonts w:ascii="Arial" w:eastAsia="Times New Roman" w:hAnsi="Arial" w:cs="Arial"/>
          <w:sz w:val="18"/>
          <w:szCs w:val="18"/>
        </w:rPr>
      </w:pPr>
      <w:r w:rsidRPr="00A45615">
        <w:rPr>
          <w:rFonts w:ascii="Arial" w:eastAsia="Times New Roman" w:hAnsi="Arial" w:cs="Arial"/>
          <w:sz w:val="18"/>
          <w:szCs w:val="18"/>
        </w:rPr>
        <w:t xml:space="preserve">Sveukupno odobrena EU sredstva za investiciju iznose </w:t>
      </w:r>
      <w:r w:rsidR="00A45615" w:rsidRPr="00A45615">
        <w:rPr>
          <w:rFonts w:ascii="Arial" w:eastAsia="Times New Roman" w:hAnsi="Arial" w:cs="Arial"/>
          <w:sz w:val="18"/>
          <w:szCs w:val="18"/>
        </w:rPr>
        <w:t>151.759,33</w:t>
      </w:r>
      <w:r w:rsidRPr="00A45615">
        <w:rPr>
          <w:rFonts w:ascii="Arial" w:eastAsia="Times New Roman" w:hAnsi="Arial" w:cs="Arial"/>
          <w:sz w:val="18"/>
          <w:szCs w:val="18"/>
        </w:rPr>
        <w:t xml:space="preserve"> € (radovi i nadzor).</w:t>
      </w:r>
    </w:p>
    <w:p w14:paraId="397D12E5" w14:textId="77777777" w:rsidR="00713703" w:rsidRPr="00A45615" w:rsidRDefault="00713703" w:rsidP="00AD7E6E">
      <w:pPr>
        <w:autoSpaceDE w:val="0"/>
        <w:autoSpaceDN w:val="0"/>
        <w:adjustRightInd w:val="0"/>
        <w:spacing w:after="0" w:line="240" w:lineRule="auto"/>
        <w:jc w:val="both"/>
        <w:rPr>
          <w:rFonts w:ascii="Arial" w:eastAsia="Times New Roman" w:hAnsi="Arial" w:cs="Arial"/>
          <w:sz w:val="20"/>
          <w:szCs w:val="20"/>
        </w:rPr>
      </w:pPr>
    </w:p>
    <w:p w14:paraId="5F30693E" w14:textId="1B4C88AC" w:rsidR="002E41AF" w:rsidRPr="00FF3C31" w:rsidRDefault="002E41AF" w:rsidP="002E41AF">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K209428: Izgradnja kanalizacije Ulica Silvija Strahimira Kranjčevića. Cavtat</w:t>
      </w:r>
    </w:p>
    <w:p w14:paraId="5F426A08" w14:textId="77777777" w:rsidR="002E41AF" w:rsidRPr="00FF3C31" w:rsidRDefault="002E41AF" w:rsidP="002E41AF">
      <w:pPr>
        <w:autoSpaceDE w:val="0"/>
        <w:autoSpaceDN w:val="0"/>
        <w:adjustRightInd w:val="0"/>
        <w:spacing w:after="0" w:line="240" w:lineRule="auto"/>
        <w:jc w:val="both"/>
        <w:rPr>
          <w:rFonts w:ascii="Arial" w:eastAsia="Times New Roman" w:hAnsi="Arial" w:cs="Arial"/>
          <w:sz w:val="20"/>
          <w:szCs w:val="20"/>
        </w:rPr>
      </w:pPr>
    </w:p>
    <w:p w14:paraId="70EFAB8A" w14:textId="03B92570" w:rsidR="002E41AF" w:rsidRPr="00FF3C31" w:rsidRDefault="002E41AF" w:rsidP="002E41A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Planirani nositelj projekta je društvo u vlasništvu Općine, Konavosko komunalno društvo d.o.o. Međutim, navedeno bi se sufinanciralo iz sredstava javnog isporučitelja (Konavosko komunalno društvo d.o.o.), sufinanciranjem Hrvatskih voda, te korištenjem sredstava Europske unije. </w:t>
      </w:r>
    </w:p>
    <w:p w14:paraId="2493FC3C" w14:textId="77777777" w:rsidR="002E41AF" w:rsidRPr="00FF3C31" w:rsidRDefault="002E41AF" w:rsidP="002E41AF">
      <w:pPr>
        <w:autoSpaceDE w:val="0"/>
        <w:autoSpaceDN w:val="0"/>
        <w:adjustRightInd w:val="0"/>
        <w:spacing w:after="0" w:line="240" w:lineRule="auto"/>
        <w:jc w:val="both"/>
        <w:rPr>
          <w:rFonts w:ascii="Arial" w:eastAsia="Times New Roman" w:hAnsi="Arial" w:cs="Arial"/>
          <w:sz w:val="20"/>
          <w:szCs w:val="20"/>
        </w:rPr>
      </w:pPr>
    </w:p>
    <w:p w14:paraId="5C40582C" w14:textId="77777777" w:rsidR="002E41AF" w:rsidRPr="00FF3C31" w:rsidRDefault="002E41AF" w:rsidP="002E41A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Dubrovačko-neretvanska županija, Upravni odjel za prostorno uređenje i gradnju izdalo je:</w:t>
      </w:r>
    </w:p>
    <w:p w14:paraId="44D25DA2" w14:textId="77777777" w:rsidR="002E41AF" w:rsidRPr="00FF3C31" w:rsidRDefault="002E41AF">
      <w:pPr>
        <w:numPr>
          <w:ilvl w:val="0"/>
          <w:numId w:val="4"/>
        </w:num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b/>
          <w:sz w:val="20"/>
          <w:szCs w:val="20"/>
          <w:u w:val="single"/>
        </w:rPr>
        <w:t>Građevinska dozvola</w:t>
      </w:r>
      <w:r w:rsidRPr="00FF3C31">
        <w:rPr>
          <w:rFonts w:ascii="Arial" w:eastAsia="Times New Roman" w:hAnsi="Arial" w:cs="Arial"/>
          <w:sz w:val="20"/>
          <w:szCs w:val="20"/>
        </w:rPr>
        <w:t xml:space="preserve"> za ulicu S.S. Kranjčevića; KLASA: UP/I-361-03/18-01/000080; URBROJ:2117/1-23/1-6-18-0008, Dubrovnik, 12.04.2018. (PRAVOMOĆNA 23.svibnja 2018.). </w:t>
      </w:r>
    </w:p>
    <w:p w14:paraId="6B79D595" w14:textId="21C85F3E" w:rsidR="002E41AF" w:rsidRPr="00FF3C31" w:rsidRDefault="002E41AF" w:rsidP="002E41AF">
      <w:pPr>
        <w:autoSpaceDE w:val="0"/>
        <w:autoSpaceDN w:val="0"/>
        <w:adjustRightInd w:val="0"/>
        <w:spacing w:after="0" w:line="240" w:lineRule="auto"/>
        <w:ind w:left="720"/>
        <w:jc w:val="both"/>
        <w:rPr>
          <w:rFonts w:ascii="Arial" w:eastAsia="Times New Roman" w:hAnsi="Arial" w:cs="Arial"/>
          <w:sz w:val="20"/>
          <w:szCs w:val="20"/>
        </w:rPr>
      </w:pPr>
      <w:bookmarkStart w:id="798" w:name="_Hlk144383946"/>
      <w:r w:rsidRPr="00FF3C31">
        <w:rPr>
          <w:rFonts w:ascii="Arial" w:eastAsia="Times New Roman" w:hAnsi="Arial" w:cs="Arial"/>
          <w:sz w:val="20"/>
          <w:szCs w:val="20"/>
        </w:rPr>
        <w:t>Za produženje važenja građevinske dozvole ispostavljeno je rješenje KLASA: UP/I-361-03/21-01/000083; URBROJ:2117/1-23/6-1-21-0004 o</w:t>
      </w:r>
      <w:r w:rsidR="00AD20A1" w:rsidRPr="00FF3C31">
        <w:rPr>
          <w:rFonts w:ascii="Arial" w:eastAsia="Times New Roman" w:hAnsi="Arial" w:cs="Arial"/>
          <w:sz w:val="20"/>
          <w:szCs w:val="20"/>
        </w:rPr>
        <w:t>d</w:t>
      </w:r>
      <w:r w:rsidRPr="00FF3C31">
        <w:rPr>
          <w:rFonts w:ascii="Arial" w:eastAsia="Times New Roman" w:hAnsi="Arial" w:cs="Arial"/>
          <w:sz w:val="20"/>
          <w:szCs w:val="20"/>
        </w:rPr>
        <w:t xml:space="preserve"> 16.3.2021.</w:t>
      </w:r>
    </w:p>
    <w:bookmarkEnd w:id="798"/>
    <w:p w14:paraId="45051BFB" w14:textId="77777777" w:rsidR="00B24DCA" w:rsidRPr="00FF3C31" w:rsidRDefault="00B24DCA" w:rsidP="00B24DCA">
      <w:pPr>
        <w:autoSpaceDE w:val="0"/>
        <w:autoSpaceDN w:val="0"/>
        <w:adjustRightInd w:val="0"/>
        <w:spacing w:after="0" w:line="240" w:lineRule="auto"/>
        <w:jc w:val="both"/>
        <w:rPr>
          <w:rFonts w:ascii="Arial" w:eastAsia="Times New Roman" w:hAnsi="Arial" w:cs="Arial"/>
          <w:sz w:val="20"/>
          <w:szCs w:val="20"/>
        </w:rPr>
      </w:pPr>
    </w:p>
    <w:p w14:paraId="700F4379" w14:textId="335712A0" w:rsidR="00B24DCA" w:rsidRPr="00FF3C31" w:rsidRDefault="00B24DCA" w:rsidP="00B24DCA">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Nakon provedenog postupka javne nabave, komunalno društvo je 15.1.2024. zaključilo sa zajednicom ponuditelja (Texo gradnja d.o.o. i Dubrovnik ceste d.d.) </w:t>
      </w:r>
      <w:r w:rsidRPr="00FF3C31">
        <w:rPr>
          <w:rFonts w:ascii="Arial" w:eastAsia="Times New Roman" w:hAnsi="Arial" w:cs="Arial"/>
          <w:b/>
          <w:sz w:val="20"/>
          <w:szCs w:val="20"/>
        </w:rPr>
        <w:t>Ugovor o izvođenju radova na dogradnji kanalizacijskog sustava Cavtata – izgradnja kanalizacije u ulici Silvija Strahimira Kranjčevića u Cavtatu u i</w:t>
      </w:r>
      <w:r w:rsidRPr="00FF3C31">
        <w:rPr>
          <w:rFonts w:ascii="Arial" w:eastAsia="Times New Roman" w:hAnsi="Arial" w:cs="Arial"/>
          <w:sz w:val="20"/>
          <w:szCs w:val="20"/>
        </w:rPr>
        <w:t>znosu 649.024,87 €, bez poreza na dodanu vrijednost odnosno 811.281,09 € s PDV-om.</w:t>
      </w:r>
    </w:p>
    <w:p w14:paraId="149C6A40" w14:textId="77777777" w:rsidR="00B24DCA" w:rsidRPr="00FF3C31" w:rsidRDefault="00B24DCA" w:rsidP="00B24DCA">
      <w:pPr>
        <w:autoSpaceDE w:val="0"/>
        <w:autoSpaceDN w:val="0"/>
        <w:adjustRightInd w:val="0"/>
        <w:spacing w:after="0" w:line="240" w:lineRule="auto"/>
        <w:jc w:val="both"/>
        <w:rPr>
          <w:rFonts w:ascii="Arial" w:eastAsia="Times New Roman" w:hAnsi="Arial" w:cs="Arial"/>
          <w:sz w:val="20"/>
          <w:szCs w:val="20"/>
        </w:rPr>
      </w:pPr>
    </w:p>
    <w:p w14:paraId="4FA4E54D" w14:textId="706F8DBC" w:rsidR="00B24DCA" w:rsidRPr="00FF3C31" w:rsidRDefault="00B24DCA" w:rsidP="00B24DCA">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Ugovoreno je izvođenje radova unutar 24 mjeseca, s time da je izvođač obvezan usuglasiti dinamiku izvođenja radova sukladno mogućnostima bez dodatnih troškova neovisno dolazi li do privremenog prekida radova. Ukupna cijena radova je fiksna i nepromjenljiva s bilo koje osnove. Jamstvo za uredno ispunjenje ugovora je bankarska garancija plativa na prvi poziv i bez prigovora u iznosu 10% ugovorene cijene bez PDV-a. Izvođač jamči i osigurava da na građevini neće nastati nikakvi nedostaci u petogodišnjem roku od trenutka zapisničke primopredaje građevine. Za solidnost sanacije postojećih konstrukcija i solidnost novoizgrađene građevine daje se jamstveni rok 10 godina. Za ugrađeni materijal izvođač daje naručitelju jamstvo prema uputama proizvođača tog materijala, ali ne manje od dvije godine a koje se dokazuje jamstvenim listom proizvođača. Izvođač je obvezan društvu (naručitelju) dostaviti jamstvo za otklanjanje nedostataka u jamstvenom roku na period od pet godina u obliku bankarske garancije na iznos od 5% ugovorenog iznosa PDV-a. Kazna za svaki dan kašnjenja u izvođenju radove prema detaljnom dinamičkom planu je 2 promila s time da je maksimalni iznos ugovorene kazne ne može prijeći 10% ugovorene vrijednosti radova s PDV-om.</w:t>
      </w:r>
    </w:p>
    <w:p w14:paraId="03FDA2D4" w14:textId="02B64F47" w:rsidR="00B24DCA" w:rsidRPr="00FF3C31" w:rsidRDefault="00B24DCA" w:rsidP="00B24DCA">
      <w:pPr>
        <w:autoSpaceDE w:val="0"/>
        <w:autoSpaceDN w:val="0"/>
        <w:adjustRightInd w:val="0"/>
        <w:spacing w:after="0" w:line="240" w:lineRule="auto"/>
        <w:jc w:val="both"/>
        <w:rPr>
          <w:rFonts w:ascii="Arial" w:eastAsia="Calibri" w:hAnsi="Arial" w:cs="Arial"/>
          <w:sz w:val="20"/>
          <w:szCs w:val="20"/>
        </w:rPr>
      </w:pPr>
      <w:r w:rsidRPr="00FF3C31">
        <w:rPr>
          <w:rFonts w:ascii="Arial" w:eastAsia="Times New Roman" w:hAnsi="Arial" w:cs="Arial"/>
          <w:sz w:val="20"/>
          <w:szCs w:val="20"/>
        </w:rPr>
        <w:t xml:space="preserve">Prema ugovoru od 12. siječnja 2024. </w:t>
      </w:r>
      <w:r w:rsidRPr="00FF3C31">
        <w:rPr>
          <w:rFonts w:ascii="Arial" w:eastAsia="Times New Roman" w:hAnsi="Arial" w:cs="Arial"/>
          <w:b/>
          <w:sz w:val="20"/>
          <w:szCs w:val="20"/>
        </w:rPr>
        <w:t xml:space="preserve">stručni i obračunski nadzor nad izvođenjem radova </w:t>
      </w:r>
      <w:r w:rsidRPr="00FF3C31">
        <w:rPr>
          <w:rFonts w:ascii="Arial" w:eastAsia="Times New Roman" w:hAnsi="Arial" w:cs="Arial"/>
          <w:sz w:val="20"/>
          <w:szCs w:val="20"/>
        </w:rPr>
        <w:t xml:space="preserve">je Astra international građenje i projektiranje d.o.o. u iznosu 19.080 €, bez poreza na dodanu vrijednost (23.850 € s PDV-om). </w:t>
      </w:r>
    </w:p>
    <w:p w14:paraId="345C490D" w14:textId="77777777" w:rsidR="00B24DCA" w:rsidRPr="00FF3C31" w:rsidRDefault="00B24DCA" w:rsidP="00B24DCA">
      <w:pPr>
        <w:autoSpaceDE w:val="0"/>
        <w:autoSpaceDN w:val="0"/>
        <w:adjustRightInd w:val="0"/>
        <w:spacing w:after="0" w:line="240" w:lineRule="auto"/>
        <w:jc w:val="both"/>
        <w:rPr>
          <w:rFonts w:ascii="Arial" w:eastAsia="Times New Roman" w:hAnsi="Arial" w:cs="Arial"/>
          <w:sz w:val="20"/>
          <w:szCs w:val="20"/>
        </w:rPr>
      </w:pPr>
    </w:p>
    <w:p w14:paraId="481720A7" w14:textId="4811A1BD" w:rsidR="00B91FC9" w:rsidRPr="00FF3C31" w:rsidRDefault="00B24DCA" w:rsidP="00390542">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Izvoditelj je uveden u posao te su </w:t>
      </w:r>
      <w:r w:rsidRPr="00FF3C31">
        <w:rPr>
          <w:rFonts w:ascii="Arial" w:eastAsia="Times New Roman" w:hAnsi="Arial" w:cs="Arial"/>
          <w:b/>
          <w:sz w:val="20"/>
          <w:szCs w:val="20"/>
        </w:rPr>
        <w:t>radovi započeli u siječnju 2024.</w:t>
      </w:r>
    </w:p>
    <w:p w14:paraId="501D507B" w14:textId="59E157C0" w:rsidR="00B24DCA" w:rsidRPr="00FF3C31" w:rsidRDefault="00B24DCA" w:rsidP="00B24DCA">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Izvoditelj je do konca 2024. ispostavio </w:t>
      </w:r>
      <w:r w:rsidR="00713703">
        <w:rPr>
          <w:rFonts w:ascii="Arial" w:eastAsia="Times New Roman" w:hAnsi="Arial" w:cs="Arial"/>
          <w:sz w:val="20"/>
          <w:szCs w:val="20"/>
        </w:rPr>
        <w:t>12</w:t>
      </w:r>
      <w:r w:rsidRPr="00FF3C31">
        <w:rPr>
          <w:rFonts w:ascii="Arial" w:eastAsia="Times New Roman" w:hAnsi="Arial" w:cs="Arial"/>
          <w:sz w:val="20"/>
          <w:szCs w:val="20"/>
        </w:rPr>
        <w:t xml:space="preserve"> privremen</w:t>
      </w:r>
      <w:r w:rsidR="00713703">
        <w:rPr>
          <w:rFonts w:ascii="Arial" w:eastAsia="Times New Roman" w:hAnsi="Arial" w:cs="Arial"/>
          <w:sz w:val="20"/>
          <w:szCs w:val="20"/>
        </w:rPr>
        <w:t>ih</w:t>
      </w:r>
      <w:r w:rsidRPr="00FF3C31">
        <w:rPr>
          <w:rFonts w:ascii="Arial" w:eastAsia="Times New Roman" w:hAnsi="Arial" w:cs="Arial"/>
          <w:sz w:val="20"/>
          <w:szCs w:val="20"/>
        </w:rPr>
        <w:t xml:space="preserve"> situacij</w:t>
      </w:r>
      <w:r w:rsidR="00713703">
        <w:rPr>
          <w:rFonts w:ascii="Arial" w:eastAsia="Times New Roman" w:hAnsi="Arial" w:cs="Arial"/>
          <w:sz w:val="20"/>
          <w:szCs w:val="20"/>
        </w:rPr>
        <w:t>a</w:t>
      </w:r>
      <w:r w:rsidRPr="00FF3C31">
        <w:rPr>
          <w:rFonts w:ascii="Arial" w:eastAsia="Times New Roman" w:hAnsi="Arial" w:cs="Arial"/>
          <w:sz w:val="20"/>
          <w:szCs w:val="20"/>
        </w:rPr>
        <w:t xml:space="preserve"> u ukupnom iznosu </w:t>
      </w:r>
      <w:r w:rsidR="00713703">
        <w:rPr>
          <w:rFonts w:ascii="Arial" w:eastAsia="Times New Roman" w:hAnsi="Arial" w:cs="Arial"/>
          <w:sz w:val="20"/>
          <w:szCs w:val="20"/>
        </w:rPr>
        <w:t>369.988,50</w:t>
      </w:r>
      <w:r w:rsidRPr="00FF3C31">
        <w:rPr>
          <w:rFonts w:ascii="Arial" w:eastAsia="Times New Roman" w:hAnsi="Arial" w:cs="Arial"/>
          <w:sz w:val="20"/>
          <w:szCs w:val="20"/>
        </w:rPr>
        <w:t xml:space="preserve"> €, bez poreza na dodanu vrijednost (</w:t>
      </w:r>
      <w:r w:rsidR="00713703">
        <w:rPr>
          <w:rFonts w:ascii="Arial" w:eastAsia="Times New Roman" w:hAnsi="Arial" w:cs="Arial"/>
          <w:sz w:val="20"/>
          <w:szCs w:val="20"/>
        </w:rPr>
        <w:t>462.485,63</w:t>
      </w:r>
      <w:r w:rsidRPr="00FF3C31">
        <w:rPr>
          <w:rFonts w:ascii="Arial" w:eastAsia="Times New Roman" w:hAnsi="Arial" w:cs="Arial"/>
          <w:sz w:val="20"/>
          <w:szCs w:val="20"/>
        </w:rPr>
        <w:t xml:space="preserve"> € s PDV-om). Za obavljanje stručnog nadzora nad izvođenjem radova su ispostavljeni računi u ukupnom iznosu </w:t>
      </w:r>
      <w:r w:rsidR="00713703">
        <w:rPr>
          <w:rFonts w:ascii="Arial" w:eastAsia="Times New Roman" w:hAnsi="Arial" w:cs="Arial"/>
          <w:sz w:val="20"/>
          <w:szCs w:val="20"/>
        </w:rPr>
        <w:t>10.876,90</w:t>
      </w:r>
      <w:r w:rsidRPr="00FF3C31">
        <w:rPr>
          <w:rFonts w:ascii="Arial" w:eastAsia="Times New Roman" w:hAnsi="Arial" w:cs="Arial"/>
          <w:sz w:val="20"/>
          <w:szCs w:val="20"/>
        </w:rPr>
        <w:t xml:space="preserve"> €, bez poreza na dodanu vrijednost</w:t>
      </w:r>
      <w:r w:rsidR="00713703">
        <w:rPr>
          <w:rFonts w:ascii="Arial" w:eastAsia="Times New Roman" w:hAnsi="Arial" w:cs="Arial"/>
          <w:sz w:val="20"/>
          <w:szCs w:val="20"/>
        </w:rPr>
        <w:t xml:space="preserve">, odnosno 13.596,13 </w:t>
      </w:r>
      <w:r w:rsidR="001A2471">
        <w:rPr>
          <w:rFonts w:ascii="Arial" w:eastAsia="Times New Roman" w:hAnsi="Arial" w:cs="Arial"/>
          <w:sz w:val="20"/>
          <w:szCs w:val="20"/>
        </w:rPr>
        <w:t xml:space="preserve">€ </w:t>
      </w:r>
      <w:r w:rsidR="00713703">
        <w:rPr>
          <w:rFonts w:ascii="Arial" w:eastAsia="Times New Roman" w:hAnsi="Arial" w:cs="Arial"/>
          <w:sz w:val="20"/>
          <w:szCs w:val="20"/>
        </w:rPr>
        <w:t>s PDV-om.</w:t>
      </w:r>
      <w:r w:rsidRPr="00FF3C31">
        <w:rPr>
          <w:rFonts w:ascii="Arial" w:eastAsia="Times New Roman" w:hAnsi="Arial" w:cs="Arial"/>
          <w:sz w:val="20"/>
          <w:szCs w:val="20"/>
        </w:rPr>
        <w:t xml:space="preserve"> </w:t>
      </w:r>
    </w:p>
    <w:p w14:paraId="3EBDD0BD" w14:textId="77777777" w:rsidR="00B91FC9" w:rsidRPr="00FF3C31" w:rsidRDefault="00B91FC9" w:rsidP="00390542">
      <w:pPr>
        <w:autoSpaceDE w:val="0"/>
        <w:autoSpaceDN w:val="0"/>
        <w:adjustRightInd w:val="0"/>
        <w:spacing w:after="0" w:line="240" w:lineRule="auto"/>
        <w:jc w:val="both"/>
        <w:rPr>
          <w:rFonts w:ascii="Arial" w:eastAsia="Times New Roman" w:hAnsi="Arial" w:cs="Arial"/>
          <w:sz w:val="20"/>
          <w:szCs w:val="20"/>
        </w:rPr>
      </w:pPr>
    </w:p>
    <w:p w14:paraId="303EC22B" w14:textId="6B24B81A" w:rsidR="007D4E38" w:rsidRDefault="007D4E38" w:rsidP="008B3BA2">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Do konca 2025. godine ispostavljeno je još </w:t>
      </w:r>
      <w:r w:rsidR="00F43E4E">
        <w:rPr>
          <w:rFonts w:ascii="Arial" w:eastAsia="Times New Roman" w:hAnsi="Arial" w:cs="Arial"/>
          <w:sz w:val="20"/>
          <w:szCs w:val="20"/>
        </w:rPr>
        <w:t>6</w:t>
      </w:r>
      <w:r>
        <w:rPr>
          <w:rFonts w:ascii="Arial" w:eastAsia="Times New Roman" w:hAnsi="Arial" w:cs="Arial"/>
          <w:sz w:val="20"/>
          <w:szCs w:val="20"/>
        </w:rPr>
        <w:t xml:space="preserve"> privremen</w:t>
      </w:r>
      <w:r w:rsidR="00F43E4E">
        <w:rPr>
          <w:rFonts w:ascii="Arial" w:eastAsia="Times New Roman" w:hAnsi="Arial" w:cs="Arial"/>
          <w:sz w:val="20"/>
          <w:szCs w:val="20"/>
        </w:rPr>
        <w:t>ih i okončana situacija</w:t>
      </w:r>
      <w:r>
        <w:rPr>
          <w:rFonts w:ascii="Arial" w:eastAsia="Times New Roman" w:hAnsi="Arial" w:cs="Arial"/>
          <w:sz w:val="20"/>
          <w:szCs w:val="20"/>
        </w:rPr>
        <w:t xml:space="preserve"> (sveukupno 1</w:t>
      </w:r>
      <w:r w:rsidR="00F43E4E">
        <w:rPr>
          <w:rFonts w:ascii="Arial" w:eastAsia="Times New Roman" w:hAnsi="Arial" w:cs="Arial"/>
          <w:sz w:val="20"/>
          <w:szCs w:val="20"/>
        </w:rPr>
        <w:t>8</w:t>
      </w:r>
      <w:r>
        <w:rPr>
          <w:rFonts w:ascii="Arial" w:eastAsia="Times New Roman" w:hAnsi="Arial" w:cs="Arial"/>
          <w:sz w:val="20"/>
          <w:szCs w:val="20"/>
        </w:rPr>
        <w:t xml:space="preserve">) u iznosu </w:t>
      </w:r>
      <w:r w:rsidR="00F43E4E">
        <w:rPr>
          <w:rFonts w:ascii="Arial" w:eastAsia="Times New Roman" w:hAnsi="Arial" w:cs="Arial"/>
          <w:sz w:val="20"/>
          <w:szCs w:val="20"/>
        </w:rPr>
        <w:t>278.817,83</w:t>
      </w:r>
      <w:r>
        <w:rPr>
          <w:rFonts w:ascii="Arial" w:eastAsia="Times New Roman" w:hAnsi="Arial" w:cs="Arial"/>
          <w:sz w:val="20"/>
          <w:szCs w:val="20"/>
        </w:rPr>
        <w:t xml:space="preserve"> € bez PDV-a, te sveukupno izvedeni radovi koncem 2025. godine iznose </w:t>
      </w:r>
      <w:r w:rsidR="001A2471">
        <w:rPr>
          <w:rFonts w:ascii="Arial" w:eastAsia="Times New Roman" w:hAnsi="Arial" w:cs="Arial"/>
          <w:sz w:val="20"/>
          <w:szCs w:val="20"/>
        </w:rPr>
        <w:t>648.806,31</w:t>
      </w:r>
      <w:r>
        <w:rPr>
          <w:rFonts w:ascii="Arial" w:eastAsia="Times New Roman" w:hAnsi="Arial" w:cs="Arial"/>
          <w:sz w:val="20"/>
          <w:szCs w:val="20"/>
        </w:rPr>
        <w:t xml:space="preserve"> € odnosno </w:t>
      </w:r>
      <w:r w:rsidR="001A2471">
        <w:rPr>
          <w:rFonts w:ascii="Arial" w:eastAsia="Times New Roman" w:hAnsi="Arial" w:cs="Arial"/>
          <w:sz w:val="20"/>
          <w:szCs w:val="20"/>
        </w:rPr>
        <w:t>811.007,91</w:t>
      </w:r>
      <w:r>
        <w:rPr>
          <w:rFonts w:ascii="Arial" w:eastAsia="Times New Roman" w:hAnsi="Arial" w:cs="Arial"/>
          <w:sz w:val="20"/>
          <w:szCs w:val="20"/>
        </w:rPr>
        <w:t xml:space="preserve"> € s PDV-om. Za obavljanje stručnog nadzora nad izvođenjem radova u 2025. godini ispostavljeni su računi u iznosu </w:t>
      </w:r>
      <w:r w:rsidR="001A2471">
        <w:rPr>
          <w:rFonts w:ascii="Arial" w:eastAsia="Times New Roman" w:hAnsi="Arial" w:cs="Arial"/>
          <w:sz w:val="20"/>
          <w:szCs w:val="20"/>
        </w:rPr>
        <w:t>8.203,10</w:t>
      </w:r>
      <w:r>
        <w:rPr>
          <w:rFonts w:ascii="Arial" w:eastAsia="Times New Roman" w:hAnsi="Arial" w:cs="Arial"/>
          <w:sz w:val="20"/>
          <w:szCs w:val="20"/>
        </w:rPr>
        <w:t xml:space="preserve"> € bez PDV-a, te sveukupno izvršene usluge nadzora do konca 2025. iznose</w:t>
      </w:r>
      <w:r w:rsidR="001A2471">
        <w:rPr>
          <w:rFonts w:ascii="Arial" w:eastAsia="Times New Roman" w:hAnsi="Arial" w:cs="Arial"/>
          <w:sz w:val="20"/>
          <w:szCs w:val="20"/>
        </w:rPr>
        <w:t xml:space="preserve"> </w:t>
      </w:r>
      <w:r w:rsidR="00A143D7">
        <w:rPr>
          <w:rFonts w:ascii="Arial" w:eastAsia="Times New Roman" w:hAnsi="Arial" w:cs="Arial"/>
          <w:sz w:val="20"/>
          <w:szCs w:val="20"/>
        </w:rPr>
        <w:t>19.080</w:t>
      </w:r>
      <w:r>
        <w:rPr>
          <w:rFonts w:ascii="Arial" w:eastAsia="Times New Roman" w:hAnsi="Arial" w:cs="Arial"/>
          <w:sz w:val="20"/>
          <w:szCs w:val="20"/>
        </w:rPr>
        <w:t xml:space="preserve"> € bez PDV-a odnosno </w:t>
      </w:r>
      <w:r w:rsidR="00A143D7">
        <w:rPr>
          <w:rFonts w:ascii="Arial" w:eastAsia="Times New Roman" w:hAnsi="Arial" w:cs="Arial"/>
          <w:sz w:val="20"/>
          <w:szCs w:val="20"/>
        </w:rPr>
        <w:t>23.850</w:t>
      </w:r>
      <w:r>
        <w:rPr>
          <w:rFonts w:ascii="Arial" w:eastAsia="Times New Roman" w:hAnsi="Arial" w:cs="Arial"/>
          <w:sz w:val="20"/>
          <w:szCs w:val="20"/>
        </w:rPr>
        <w:t xml:space="preserve"> s PDV-om.</w:t>
      </w:r>
    </w:p>
    <w:p w14:paraId="3D14AE15" w14:textId="77777777" w:rsidR="007D4E38" w:rsidRDefault="007D4E38" w:rsidP="007D4E38">
      <w:pPr>
        <w:autoSpaceDE w:val="0"/>
        <w:autoSpaceDN w:val="0"/>
        <w:adjustRightInd w:val="0"/>
        <w:spacing w:after="0" w:line="240" w:lineRule="auto"/>
        <w:jc w:val="both"/>
        <w:rPr>
          <w:rFonts w:ascii="Arial" w:eastAsia="Times New Roman" w:hAnsi="Arial" w:cs="Arial"/>
          <w:sz w:val="20"/>
          <w:szCs w:val="20"/>
        </w:rPr>
      </w:pPr>
    </w:p>
    <w:p w14:paraId="422218C8" w14:textId="0BB44483" w:rsidR="007D4E38" w:rsidRDefault="00A143D7" w:rsidP="008B3BA2">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U prosincu 2025. godine je sastavljen zapisnik o primopredaji izvedenih radova.</w:t>
      </w:r>
    </w:p>
    <w:p w14:paraId="63B757E8" w14:textId="77777777" w:rsidR="00A143D7" w:rsidRPr="00FF3C31" w:rsidRDefault="00A143D7" w:rsidP="008B3BA2">
      <w:pPr>
        <w:autoSpaceDE w:val="0"/>
        <w:autoSpaceDN w:val="0"/>
        <w:adjustRightInd w:val="0"/>
        <w:spacing w:after="0" w:line="240" w:lineRule="auto"/>
        <w:jc w:val="both"/>
        <w:rPr>
          <w:rFonts w:ascii="Arial" w:eastAsia="Times New Roman" w:hAnsi="Arial" w:cs="Arial"/>
          <w:sz w:val="20"/>
          <w:szCs w:val="20"/>
        </w:rPr>
      </w:pPr>
    </w:p>
    <w:p w14:paraId="72F69C46" w14:textId="3D80B362" w:rsidR="008B3BA2" w:rsidRPr="00FF3C31" w:rsidRDefault="008B3BA2">
      <w:pPr>
        <w:pStyle w:val="Odlomakpopisa"/>
        <w:numPr>
          <w:ilvl w:val="0"/>
          <w:numId w:val="21"/>
        </w:numPr>
        <w:autoSpaceDE w:val="0"/>
        <w:autoSpaceDN w:val="0"/>
        <w:adjustRightInd w:val="0"/>
        <w:rPr>
          <w:rFonts w:ascii="Arial" w:hAnsi="Arial" w:cs="Arial"/>
        </w:rPr>
      </w:pPr>
      <w:r w:rsidRPr="00FF3C31">
        <w:rPr>
          <w:rFonts w:ascii="Arial" w:hAnsi="Arial" w:cs="Arial"/>
        </w:rPr>
        <w:t xml:space="preserve">Financiranje </w:t>
      </w:r>
    </w:p>
    <w:p w14:paraId="79D61A0B" w14:textId="77777777" w:rsidR="008B3BA2" w:rsidRPr="00FF3C31" w:rsidRDefault="008B3BA2" w:rsidP="008B3BA2">
      <w:pPr>
        <w:autoSpaceDE w:val="0"/>
        <w:autoSpaceDN w:val="0"/>
        <w:adjustRightInd w:val="0"/>
        <w:spacing w:after="0" w:line="240" w:lineRule="auto"/>
        <w:jc w:val="both"/>
        <w:rPr>
          <w:rFonts w:ascii="Arial" w:eastAsia="Times New Roman" w:hAnsi="Arial" w:cs="Arial"/>
          <w:sz w:val="20"/>
          <w:szCs w:val="20"/>
        </w:rPr>
      </w:pPr>
    </w:p>
    <w:p w14:paraId="25B21880" w14:textId="0D6E9829" w:rsidR="008B3BA2" w:rsidRPr="00FF3C31" w:rsidRDefault="008B3BA2" w:rsidP="008B3BA2">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Konavosko komunalno društvo d.o.o. je dana 21.7.2023. s Ministarstvom gospodarstva i održivog razvoja, te Hrvatskim vodama (provedbeno tijelo) zaključilo Ugovor o sufinanciranju projekta, te ugovor o dodjeli bespovratnih sredstava za projekte koji se financiranju iz nacionalnog plana za oporavak i otpornost 2021.-2026. Ugovorena je provedba </w:t>
      </w:r>
      <w:r w:rsidRPr="00FF3C31">
        <w:rPr>
          <w:rFonts w:ascii="Arial" w:eastAsia="Times New Roman" w:hAnsi="Arial" w:cs="Arial"/>
          <w:b/>
          <w:bCs/>
          <w:sz w:val="20"/>
          <w:szCs w:val="20"/>
        </w:rPr>
        <w:t>projekta pod nazivom „Dogradnja kanalizacijske mreže u ulicama Frana Laureana i Jurja Dalmatinca, te u ulici S.S. Kranjčevića u Cavtatu“</w:t>
      </w:r>
      <w:r w:rsidRPr="00FF3C31">
        <w:rPr>
          <w:rFonts w:ascii="Arial" w:eastAsia="Times New Roman" w:hAnsi="Arial" w:cs="Arial"/>
          <w:sz w:val="20"/>
          <w:szCs w:val="20"/>
        </w:rPr>
        <w:t xml:space="preserve">. </w:t>
      </w:r>
    </w:p>
    <w:p w14:paraId="3C62ADC2" w14:textId="77777777" w:rsidR="008B3BA2" w:rsidRPr="00FF3C31" w:rsidRDefault="008B3BA2" w:rsidP="008B3BA2">
      <w:pPr>
        <w:autoSpaceDE w:val="0"/>
        <w:autoSpaceDN w:val="0"/>
        <w:adjustRightInd w:val="0"/>
        <w:spacing w:after="0" w:line="240" w:lineRule="auto"/>
        <w:jc w:val="both"/>
        <w:rPr>
          <w:rFonts w:ascii="Arial" w:eastAsia="Times New Roman" w:hAnsi="Arial" w:cs="Arial"/>
          <w:sz w:val="20"/>
          <w:szCs w:val="20"/>
        </w:rPr>
      </w:pPr>
    </w:p>
    <w:p w14:paraId="370D1FA6" w14:textId="77777777" w:rsidR="00D667BD" w:rsidRDefault="00D667BD" w:rsidP="00D667BD">
      <w:pPr>
        <w:autoSpaceDE w:val="0"/>
        <w:autoSpaceDN w:val="0"/>
        <w:adjustRightInd w:val="0"/>
        <w:spacing w:after="0" w:line="240" w:lineRule="auto"/>
        <w:jc w:val="both"/>
        <w:rPr>
          <w:rFonts w:ascii="Arial" w:eastAsia="Times New Roman" w:hAnsi="Arial" w:cs="Arial"/>
          <w:sz w:val="18"/>
          <w:szCs w:val="18"/>
        </w:rPr>
      </w:pPr>
    </w:p>
    <w:p w14:paraId="0D840457" w14:textId="6B5CF5AD" w:rsidR="00D667BD" w:rsidRPr="00720A0C" w:rsidRDefault="00D667BD" w:rsidP="00D667BD">
      <w:pPr>
        <w:autoSpaceDE w:val="0"/>
        <w:autoSpaceDN w:val="0"/>
        <w:adjustRightInd w:val="0"/>
        <w:spacing w:after="0" w:line="240" w:lineRule="auto"/>
        <w:jc w:val="both"/>
        <w:rPr>
          <w:rFonts w:ascii="Arial" w:eastAsia="Times New Roman" w:hAnsi="Arial" w:cs="Arial"/>
          <w:sz w:val="18"/>
          <w:szCs w:val="18"/>
        </w:rPr>
      </w:pPr>
      <w:r>
        <w:rPr>
          <w:rFonts w:ascii="Arial" w:eastAsia="Times New Roman" w:hAnsi="Arial" w:cs="Arial"/>
          <w:sz w:val="18"/>
          <w:szCs w:val="18"/>
        </w:rPr>
        <w:t xml:space="preserve">Do konca 2024.godine odobrena su sredstva za sufinanciranje prihvatljivih troškova u iznosu </w:t>
      </w:r>
      <w:r w:rsidR="00C47FC4">
        <w:rPr>
          <w:rFonts w:ascii="Arial" w:eastAsia="Times New Roman" w:hAnsi="Arial" w:cs="Arial"/>
          <w:sz w:val="18"/>
          <w:szCs w:val="18"/>
        </w:rPr>
        <w:t>343.484,99</w:t>
      </w:r>
      <w:r>
        <w:rPr>
          <w:rFonts w:ascii="Arial" w:eastAsia="Times New Roman" w:hAnsi="Arial" w:cs="Arial"/>
          <w:sz w:val="18"/>
          <w:szCs w:val="18"/>
        </w:rPr>
        <w:t xml:space="preserve"> € (80 % EU sredstava i 10% sredstva Hrvatske vode) na temelju 11 zahtjeva za nadoknadom sredstava.</w:t>
      </w:r>
    </w:p>
    <w:p w14:paraId="381B8B35" w14:textId="77777777" w:rsidR="00A143D7" w:rsidRDefault="00A143D7" w:rsidP="00A143D7">
      <w:pPr>
        <w:autoSpaceDE w:val="0"/>
        <w:autoSpaceDN w:val="0"/>
        <w:adjustRightInd w:val="0"/>
        <w:spacing w:after="0" w:line="240" w:lineRule="auto"/>
        <w:jc w:val="both"/>
        <w:rPr>
          <w:rFonts w:ascii="Arial" w:eastAsia="Times New Roman" w:hAnsi="Arial" w:cs="Arial"/>
          <w:sz w:val="18"/>
          <w:szCs w:val="18"/>
        </w:rPr>
      </w:pPr>
    </w:p>
    <w:p w14:paraId="1DDF1773" w14:textId="0E1ADF6A" w:rsidR="00A143D7" w:rsidRDefault="00A143D7" w:rsidP="00A143D7">
      <w:pPr>
        <w:autoSpaceDE w:val="0"/>
        <w:autoSpaceDN w:val="0"/>
        <w:adjustRightInd w:val="0"/>
        <w:spacing w:after="0" w:line="240" w:lineRule="auto"/>
        <w:jc w:val="both"/>
        <w:rPr>
          <w:rFonts w:ascii="Arial" w:eastAsia="Times New Roman" w:hAnsi="Arial" w:cs="Arial"/>
          <w:sz w:val="18"/>
          <w:szCs w:val="18"/>
        </w:rPr>
      </w:pPr>
      <w:r>
        <w:rPr>
          <w:rFonts w:ascii="Arial" w:eastAsia="Times New Roman" w:hAnsi="Arial" w:cs="Arial"/>
          <w:sz w:val="18"/>
          <w:szCs w:val="18"/>
        </w:rPr>
        <w:t xml:space="preserve">Do konca 2025.godine odobrena su sredstva za sufinanciranje prihvatljivih troškova u iznosu </w:t>
      </w:r>
      <w:r w:rsidR="00C739F3">
        <w:rPr>
          <w:rFonts w:ascii="Arial" w:eastAsia="Times New Roman" w:hAnsi="Arial" w:cs="Arial"/>
          <w:sz w:val="18"/>
          <w:szCs w:val="18"/>
        </w:rPr>
        <w:t>260.110,83</w:t>
      </w:r>
      <w:r>
        <w:rPr>
          <w:rFonts w:ascii="Arial" w:eastAsia="Times New Roman" w:hAnsi="Arial" w:cs="Arial"/>
          <w:sz w:val="18"/>
          <w:szCs w:val="18"/>
        </w:rPr>
        <w:t xml:space="preserve"> € (80 % EU sredstava i 10% sredstva Hrvatske vode) na temelju </w:t>
      </w:r>
      <w:r w:rsidR="00C739F3">
        <w:rPr>
          <w:rFonts w:ascii="Arial" w:eastAsia="Times New Roman" w:hAnsi="Arial" w:cs="Arial"/>
          <w:sz w:val="18"/>
          <w:szCs w:val="18"/>
        </w:rPr>
        <w:t>7</w:t>
      </w:r>
      <w:r>
        <w:rPr>
          <w:rFonts w:ascii="Arial" w:eastAsia="Times New Roman" w:hAnsi="Arial" w:cs="Arial"/>
          <w:sz w:val="18"/>
          <w:szCs w:val="18"/>
        </w:rPr>
        <w:t xml:space="preserve"> zahtjeva za nadoknadom sredstava</w:t>
      </w:r>
      <w:r w:rsidR="00C739F3">
        <w:rPr>
          <w:rFonts w:ascii="Arial" w:eastAsia="Times New Roman" w:hAnsi="Arial" w:cs="Arial"/>
          <w:sz w:val="18"/>
          <w:szCs w:val="18"/>
        </w:rPr>
        <w:t xml:space="preserve"> (sveukupno 18 zahtjeva za nadoknadom sredstava).</w:t>
      </w:r>
    </w:p>
    <w:p w14:paraId="2055DCB1" w14:textId="51DBDD13" w:rsidR="00C739F3" w:rsidRPr="00720A0C" w:rsidRDefault="00C739F3" w:rsidP="00A143D7">
      <w:pPr>
        <w:autoSpaceDE w:val="0"/>
        <w:autoSpaceDN w:val="0"/>
        <w:adjustRightInd w:val="0"/>
        <w:spacing w:after="0" w:line="240" w:lineRule="auto"/>
        <w:jc w:val="both"/>
        <w:rPr>
          <w:rFonts w:ascii="Arial" w:eastAsia="Times New Roman" w:hAnsi="Arial" w:cs="Arial"/>
          <w:sz w:val="18"/>
          <w:szCs w:val="18"/>
        </w:rPr>
      </w:pPr>
      <w:r>
        <w:rPr>
          <w:rFonts w:ascii="Arial" w:eastAsia="Times New Roman" w:hAnsi="Arial" w:cs="Arial"/>
          <w:sz w:val="18"/>
          <w:szCs w:val="18"/>
        </w:rPr>
        <w:t>Sveukupno odobrena EU sredstva za investiciju iznose 603.335,85 € (radovi i nadzor).</w:t>
      </w:r>
    </w:p>
    <w:p w14:paraId="61278626" w14:textId="77777777" w:rsidR="000B3888" w:rsidRDefault="000B3888" w:rsidP="000B3888">
      <w:pPr>
        <w:autoSpaceDE w:val="0"/>
        <w:autoSpaceDN w:val="0"/>
        <w:adjustRightInd w:val="0"/>
        <w:spacing w:after="0" w:line="240" w:lineRule="auto"/>
        <w:jc w:val="both"/>
        <w:rPr>
          <w:rFonts w:ascii="Arial" w:eastAsia="Times New Roman" w:hAnsi="Arial" w:cs="Arial"/>
          <w:sz w:val="20"/>
          <w:szCs w:val="20"/>
        </w:rPr>
      </w:pPr>
    </w:p>
    <w:p w14:paraId="290B717A" w14:textId="77777777" w:rsidR="00D667BD" w:rsidRPr="00FF3C31" w:rsidRDefault="00D667BD" w:rsidP="000B3888">
      <w:pPr>
        <w:autoSpaceDE w:val="0"/>
        <w:autoSpaceDN w:val="0"/>
        <w:adjustRightInd w:val="0"/>
        <w:spacing w:after="0" w:line="240" w:lineRule="auto"/>
        <w:jc w:val="both"/>
        <w:rPr>
          <w:rFonts w:ascii="Arial" w:eastAsia="Times New Roman" w:hAnsi="Arial" w:cs="Arial"/>
          <w:sz w:val="20"/>
          <w:szCs w:val="20"/>
        </w:rPr>
      </w:pPr>
    </w:p>
    <w:p w14:paraId="445241BC" w14:textId="0D618F60" w:rsidR="000B3888" w:rsidRPr="00FF3C31" w:rsidRDefault="000B3888" w:rsidP="000B3888">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b/>
          <w:sz w:val="20"/>
          <w:szCs w:val="20"/>
        </w:rPr>
        <w:t>K209429: Izgradnja / sanacija vodovodne mreže Palje Brdo</w:t>
      </w:r>
      <w:r w:rsidRPr="00FF3C31">
        <w:rPr>
          <w:rFonts w:ascii="Arial" w:eastAsia="Times New Roman" w:hAnsi="Arial" w:cs="Arial"/>
          <w:sz w:val="20"/>
          <w:szCs w:val="20"/>
        </w:rPr>
        <w:t xml:space="preserve"> </w:t>
      </w:r>
    </w:p>
    <w:p w14:paraId="22B0B2A6" w14:textId="77777777" w:rsidR="000B3888" w:rsidRPr="00FF3C31" w:rsidRDefault="000B3888" w:rsidP="000B3888">
      <w:pPr>
        <w:autoSpaceDE w:val="0"/>
        <w:autoSpaceDN w:val="0"/>
        <w:adjustRightInd w:val="0"/>
        <w:spacing w:after="0" w:line="240" w:lineRule="auto"/>
        <w:jc w:val="both"/>
        <w:rPr>
          <w:rFonts w:ascii="Arial" w:eastAsia="Times New Roman" w:hAnsi="Arial" w:cs="Arial"/>
          <w:sz w:val="20"/>
          <w:szCs w:val="20"/>
        </w:rPr>
      </w:pPr>
    </w:p>
    <w:p w14:paraId="0C0219BA" w14:textId="74001642" w:rsidR="000B3888" w:rsidRPr="00FF3C31" w:rsidRDefault="000B3888" w:rsidP="000B3888">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Pokazatelj rezultata je: postotak dovršenosti izgradnje vodoopskrbne mreže </w:t>
      </w:r>
    </w:p>
    <w:p w14:paraId="47A19D42" w14:textId="66639244" w:rsidR="000B3888" w:rsidRPr="00FF3C31" w:rsidRDefault="000B3888" w:rsidP="000B3888">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=0%</w:t>
      </w:r>
    </w:p>
    <w:p w14:paraId="1E1AB8A8" w14:textId="36D39D8D" w:rsidR="000B3888" w:rsidRPr="00FF3C31" w:rsidRDefault="000B3888" w:rsidP="000B3888">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Ciljna vrijednost za 2023. = 0%, za 2024. = 100%, za 2025. = 100%</w:t>
      </w:r>
    </w:p>
    <w:p w14:paraId="022ACA0B" w14:textId="77777777" w:rsidR="000B3888" w:rsidRPr="00FF3C31" w:rsidRDefault="000B3888" w:rsidP="000B3888">
      <w:pPr>
        <w:autoSpaceDE w:val="0"/>
        <w:autoSpaceDN w:val="0"/>
        <w:adjustRightInd w:val="0"/>
        <w:spacing w:after="0" w:line="240" w:lineRule="auto"/>
        <w:jc w:val="both"/>
        <w:rPr>
          <w:rFonts w:ascii="Arial" w:eastAsia="Times New Roman" w:hAnsi="Arial" w:cs="Arial"/>
          <w:sz w:val="20"/>
          <w:szCs w:val="20"/>
        </w:rPr>
      </w:pPr>
    </w:p>
    <w:p w14:paraId="3E95C6A3" w14:textId="77777777" w:rsidR="000B3888" w:rsidRPr="00FF3C31" w:rsidRDefault="000B3888" w:rsidP="000B3888">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Nositelj projekta je društvo u vlasništvu Općine, Konavosko komunalno društvo d.o.o. Međutim, navedeno bi se sufinanciralo iz sredstava javnog isporučitelja (Konavosko komunalno društvo d.o.o.), sufinanciranjem Hrvatskih voda, sredstvima Općine do 20%. </w:t>
      </w:r>
    </w:p>
    <w:p w14:paraId="12F22F5D" w14:textId="77777777" w:rsidR="000B3888" w:rsidRPr="00FF3C31" w:rsidRDefault="000B3888" w:rsidP="000B3888">
      <w:pPr>
        <w:autoSpaceDE w:val="0"/>
        <w:autoSpaceDN w:val="0"/>
        <w:adjustRightInd w:val="0"/>
        <w:spacing w:after="0" w:line="240" w:lineRule="auto"/>
        <w:jc w:val="both"/>
        <w:rPr>
          <w:rFonts w:ascii="Arial" w:eastAsia="Times New Roman" w:hAnsi="Arial" w:cs="Arial"/>
          <w:sz w:val="20"/>
          <w:szCs w:val="20"/>
        </w:rPr>
      </w:pPr>
    </w:p>
    <w:p w14:paraId="51F0291F" w14:textId="55388D49" w:rsidR="000B3888" w:rsidRPr="00FF3C31" w:rsidRDefault="000B3888" w:rsidP="008B3BA2">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Isporučitelj usluga je </w:t>
      </w:r>
      <w:r w:rsidR="00DE4932" w:rsidRPr="00FF3C31">
        <w:rPr>
          <w:rFonts w:ascii="Arial" w:eastAsia="Times New Roman" w:hAnsi="Arial" w:cs="Arial"/>
          <w:sz w:val="20"/>
          <w:szCs w:val="20"/>
        </w:rPr>
        <w:t xml:space="preserve">s izvoditeljem (Miletić d.o.o.) </w:t>
      </w:r>
      <w:r w:rsidRPr="00FF3C31">
        <w:rPr>
          <w:rFonts w:ascii="Arial" w:eastAsia="Times New Roman" w:hAnsi="Arial" w:cs="Arial"/>
          <w:sz w:val="20"/>
          <w:szCs w:val="20"/>
        </w:rPr>
        <w:t>zaključio ugovor o obavljanju radova sanacije cjevovoda za vodoopskrbu Pavlje Brdo u travnju 202</w:t>
      </w:r>
      <w:r w:rsidR="00DE4932" w:rsidRPr="00FF3C31">
        <w:rPr>
          <w:rFonts w:ascii="Arial" w:eastAsia="Times New Roman" w:hAnsi="Arial" w:cs="Arial"/>
          <w:sz w:val="20"/>
          <w:szCs w:val="20"/>
        </w:rPr>
        <w:t>4</w:t>
      </w:r>
      <w:r w:rsidRPr="00FF3C31">
        <w:rPr>
          <w:rFonts w:ascii="Arial" w:eastAsia="Times New Roman" w:hAnsi="Arial" w:cs="Arial"/>
          <w:sz w:val="20"/>
          <w:szCs w:val="20"/>
        </w:rPr>
        <w:t xml:space="preserve">. godine u iznosu 55.960 € što s porezom na dodanu vrijednost čini 69.950 €. Ugovoreni rok izvedbe radova je 6 mjeseci od dana uvođenja u posao. </w:t>
      </w:r>
      <w:r w:rsidR="00DE4932" w:rsidRPr="00FF3C31">
        <w:rPr>
          <w:rFonts w:ascii="Arial" w:eastAsia="Times New Roman" w:hAnsi="Arial" w:cs="Arial"/>
          <w:sz w:val="20"/>
          <w:szCs w:val="20"/>
        </w:rPr>
        <w:t>Nadzor nad izvođenjem radova (Ured ovlaštenje inženjerke građevinarstva, Ivana Rustan Franić) ugovoren je u travnju 2024. godine u iznosu 1.700 € što s porezom na dodanu vrijednost čini 2.125 €.</w:t>
      </w:r>
    </w:p>
    <w:p w14:paraId="4462E7E2" w14:textId="77777777" w:rsidR="000B3888" w:rsidRPr="00FF3C31" w:rsidRDefault="000B3888" w:rsidP="008B3BA2">
      <w:pPr>
        <w:autoSpaceDE w:val="0"/>
        <w:autoSpaceDN w:val="0"/>
        <w:adjustRightInd w:val="0"/>
        <w:spacing w:after="0" w:line="240" w:lineRule="auto"/>
        <w:jc w:val="both"/>
        <w:rPr>
          <w:rFonts w:ascii="Arial" w:eastAsia="Times New Roman" w:hAnsi="Arial" w:cs="Arial"/>
          <w:sz w:val="20"/>
          <w:szCs w:val="20"/>
        </w:rPr>
      </w:pPr>
    </w:p>
    <w:p w14:paraId="2898A8A0" w14:textId="759DA310" w:rsidR="006A2B71" w:rsidRPr="00FF3C31" w:rsidRDefault="006A2B71" w:rsidP="006A2B71">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Izvoditelj je </w:t>
      </w:r>
      <w:r w:rsidR="007D4E38">
        <w:rPr>
          <w:rFonts w:ascii="Arial" w:eastAsia="Times New Roman" w:hAnsi="Arial" w:cs="Arial"/>
          <w:sz w:val="20"/>
          <w:szCs w:val="20"/>
        </w:rPr>
        <w:t xml:space="preserve">u </w:t>
      </w:r>
      <w:r w:rsidRPr="00FF3C31">
        <w:rPr>
          <w:rFonts w:ascii="Arial" w:eastAsia="Times New Roman" w:hAnsi="Arial" w:cs="Arial"/>
          <w:sz w:val="20"/>
          <w:szCs w:val="20"/>
        </w:rPr>
        <w:t xml:space="preserve">2024. ispostavio </w:t>
      </w:r>
      <w:r w:rsidR="007D4E38">
        <w:rPr>
          <w:rFonts w:ascii="Arial" w:eastAsia="Times New Roman" w:hAnsi="Arial" w:cs="Arial"/>
          <w:sz w:val="20"/>
          <w:szCs w:val="20"/>
        </w:rPr>
        <w:t>4</w:t>
      </w:r>
      <w:r w:rsidRPr="00FF3C31">
        <w:rPr>
          <w:rFonts w:ascii="Arial" w:eastAsia="Times New Roman" w:hAnsi="Arial" w:cs="Arial"/>
          <w:sz w:val="20"/>
          <w:szCs w:val="20"/>
        </w:rPr>
        <w:t xml:space="preserve"> privremene </w:t>
      </w:r>
      <w:r w:rsidR="007D4E38">
        <w:rPr>
          <w:rFonts w:ascii="Arial" w:eastAsia="Times New Roman" w:hAnsi="Arial" w:cs="Arial"/>
          <w:sz w:val="20"/>
          <w:szCs w:val="20"/>
        </w:rPr>
        <w:t xml:space="preserve">i okončanu </w:t>
      </w:r>
      <w:r w:rsidRPr="00FF3C31">
        <w:rPr>
          <w:rFonts w:ascii="Arial" w:eastAsia="Times New Roman" w:hAnsi="Arial" w:cs="Arial"/>
          <w:sz w:val="20"/>
          <w:szCs w:val="20"/>
        </w:rPr>
        <w:t>situacij</w:t>
      </w:r>
      <w:r w:rsidR="007D4E38">
        <w:rPr>
          <w:rFonts w:ascii="Arial" w:eastAsia="Times New Roman" w:hAnsi="Arial" w:cs="Arial"/>
          <w:sz w:val="20"/>
          <w:szCs w:val="20"/>
        </w:rPr>
        <w:t>u</w:t>
      </w:r>
      <w:r w:rsidRPr="00FF3C31">
        <w:rPr>
          <w:rFonts w:ascii="Arial" w:eastAsia="Times New Roman" w:hAnsi="Arial" w:cs="Arial"/>
          <w:sz w:val="20"/>
          <w:szCs w:val="20"/>
        </w:rPr>
        <w:t xml:space="preserve"> u ukupnom iznosu </w:t>
      </w:r>
      <w:r w:rsidR="007D4E38">
        <w:rPr>
          <w:rFonts w:ascii="Arial" w:eastAsia="Times New Roman" w:hAnsi="Arial" w:cs="Arial"/>
          <w:sz w:val="20"/>
          <w:szCs w:val="20"/>
        </w:rPr>
        <w:t>55.575,19</w:t>
      </w:r>
      <w:r w:rsidRPr="00FF3C31">
        <w:rPr>
          <w:rFonts w:ascii="Arial" w:eastAsia="Times New Roman" w:hAnsi="Arial" w:cs="Arial"/>
          <w:sz w:val="20"/>
          <w:szCs w:val="20"/>
        </w:rPr>
        <w:t xml:space="preserve"> €, bez poreza na dodanu vrijednost (</w:t>
      </w:r>
      <w:r w:rsidR="007D4E38">
        <w:rPr>
          <w:rFonts w:ascii="Arial" w:eastAsia="Times New Roman" w:hAnsi="Arial" w:cs="Arial"/>
          <w:sz w:val="20"/>
          <w:szCs w:val="20"/>
        </w:rPr>
        <w:t>69.468,99</w:t>
      </w:r>
      <w:r w:rsidRPr="00FF3C31">
        <w:rPr>
          <w:rFonts w:ascii="Arial" w:eastAsia="Times New Roman" w:hAnsi="Arial" w:cs="Arial"/>
          <w:sz w:val="20"/>
          <w:szCs w:val="20"/>
        </w:rPr>
        <w:t xml:space="preserve"> € s PDV-om). Za obavljanje stručnog nadzora nad izvođenjem radova su ispostavljeni računi u ukupnom iznosu </w:t>
      </w:r>
      <w:r w:rsidR="007D4E38">
        <w:rPr>
          <w:rFonts w:ascii="Arial" w:eastAsia="Times New Roman" w:hAnsi="Arial" w:cs="Arial"/>
          <w:sz w:val="20"/>
          <w:szCs w:val="20"/>
        </w:rPr>
        <w:t>1.666,25</w:t>
      </w:r>
      <w:r w:rsidRPr="00FF3C31">
        <w:rPr>
          <w:rFonts w:ascii="Arial" w:eastAsia="Times New Roman" w:hAnsi="Arial" w:cs="Arial"/>
          <w:sz w:val="20"/>
          <w:szCs w:val="20"/>
        </w:rPr>
        <w:t xml:space="preserve"> €, bez poreza na dodanu vrijednost odnosno </w:t>
      </w:r>
      <w:r w:rsidR="007D4E38">
        <w:rPr>
          <w:rFonts w:ascii="Arial" w:eastAsia="Times New Roman" w:hAnsi="Arial" w:cs="Arial"/>
          <w:sz w:val="20"/>
          <w:szCs w:val="20"/>
        </w:rPr>
        <w:t>2.082,81</w:t>
      </w:r>
      <w:r w:rsidRPr="00FF3C31">
        <w:rPr>
          <w:rFonts w:ascii="Arial" w:eastAsia="Times New Roman" w:hAnsi="Arial" w:cs="Arial"/>
          <w:sz w:val="20"/>
          <w:szCs w:val="20"/>
        </w:rPr>
        <w:t xml:space="preserve"> € s PDV-om. </w:t>
      </w:r>
      <w:r w:rsidR="00E304B1">
        <w:rPr>
          <w:rFonts w:ascii="Arial" w:eastAsia="Times New Roman" w:hAnsi="Arial" w:cs="Arial"/>
          <w:sz w:val="20"/>
          <w:szCs w:val="20"/>
        </w:rPr>
        <w:t>Okončana situacija je ispostavljena u iznosu 2.136,04 €</w:t>
      </w:r>
      <w:r w:rsidR="00E304B1" w:rsidRPr="00E304B1">
        <w:rPr>
          <w:rFonts w:ascii="Arial" w:eastAsia="Times New Roman" w:hAnsi="Arial" w:cs="Arial"/>
          <w:sz w:val="20"/>
          <w:szCs w:val="20"/>
        </w:rPr>
        <w:t xml:space="preserve"> </w:t>
      </w:r>
      <w:r w:rsidR="00E304B1" w:rsidRPr="00FF3C31">
        <w:rPr>
          <w:rFonts w:ascii="Arial" w:eastAsia="Times New Roman" w:hAnsi="Arial" w:cs="Arial"/>
          <w:sz w:val="20"/>
          <w:szCs w:val="20"/>
        </w:rPr>
        <w:t>bez poreza na dodanu vrijednost</w:t>
      </w:r>
      <w:r w:rsidR="00E304B1">
        <w:rPr>
          <w:rFonts w:ascii="Arial" w:eastAsia="Times New Roman" w:hAnsi="Arial" w:cs="Arial"/>
          <w:sz w:val="20"/>
          <w:szCs w:val="20"/>
        </w:rPr>
        <w:t>, odnosno sveukupno 55.575,19 €, bez poreza na dodanu vrijednost. Okončana situacija za usluge nadzora ispostavljena je u iznosu 64 €, bez poreza na dodanu vrijednost.</w:t>
      </w:r>
    </w:p>
    <w:p w14:paraId="79F13393" w14:textId="77777777" w:rsidR="006A2B71" w:rsidRPr="00FF3C31" w:rsidRDefault="006A2B71" w:rsidP="008B3BA2">
      <w:pPr>
        <w:autoSpaceDE w:val="0"/>
        <w:autoSpaceDN w:val="0"/>
        <w:adjustRightInd w:val="0"/>
        <w:spacing w:after="0" w:line="240" w:lineRule="auto"/>
        <w:jc w:val="both"/>
        <w:rPr>
          <w:rFonts w:ascii="Arial" w:eastAsia="Times New Roman" w:hAnsi="Arial" w:cs="Arial"/>
          <w:sz w:val="20"/>
          <w:szCs w:val="20"/>
        </w:rPr>
      </w:pPr>
    </w:p>
    <w:p w14:paraId="7B43552C" w14:textId="3E96878E" w:rsidR="000B3888" w:rsidRDefault="007D4E38" w:rsidP="008B3BA2">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Općina je u 2024. godini doznačila društvu sredstva za izgradnju vodovodne mreže u iznosu 55.041,40 €</w:t>
      </w:r>
      <w:r w:rsidR="00DF47F2">
        <w:rPr>
          <w:rFonts w:ascii="Arial" w:eastAsia="Times New Roman" w:hAnsi="Arial" w:cs="Arial"/>
          <w:sz w:val="20"/>
          <w:szCs w:val="20"/>
        </w:rPr>
        <w:t>.</w:t>
      </w:r>
    </w:p>
    <w:p w14:paraId="061CCBA3" w14:textId="4D64D1D4" w:rsidR="00E304B1" w:rsidRDefault="00E304B1" w:rsidP="00E304B1">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Općina je u 2025 godini doznačila društvu sredstva za izgradnju vodovodne mreže u iznosu 2.200,04 €.</w:t>
      </w:r>
    </w:p>
    <w:p w14:paraId="68D614BA" w14:textId="77777777" w:rsidR="007D4E38" w:rsidRDefault="007D4E38" w:rsidP="008B3BA2">
      <w:pPr>
        <w:autoSpaceDE w:val="0"/>
        <w:autoSpaceDN w:val="0"/>
        <w:adjustRightInd w:val="0"/>
        <w:spacing w:after="0" w:line="240" w:lineRule="auto"/>
        <w:jc w:val="both"/>
        <w:rPr>
          <w:rFonts w:ascii="Arial" w:eastAsia="Times New Roman" w:hAnsi="Arial" w:cs="Arial"/>
          <w:sz w:val="20"/>
          <w:szCs w:val="20"/>
        </w:rPr>
      </w:pPr>
    </w:p>
    <w:p w14:paraId="4F903BC9" w14:textId="77777777" w:rsidR="007D4E38" w:rsidRPr="00FF3C31" w:rsidRDefault="007D4E38" w:rsidP="008B3BA2">
      <w:pPr>
        <w:autoSpaceDE w:val="0"/>
        <w:autoSpaceDN w:val="0"/>
        <w:adjustRightInd w:val="0"/>
        <w:spacing w:after="0" w:line="240" w:lineRule="auto"/>
        <w:jc w:val="both"/>
        <w:rPr>
          <w:rFonts w:ascii="Arial" w:eastAsia="Times New Roman" w:hAnsi="Arial" w:cs="Arial"/>
          <w:sz w:val="20"/>
          <w:szCs w:val="20"/>
        </w:rPr>
      </w:pPr>
    </w:p>
    <w:p w14:paraId="79561F36" w14:textId="61E8B04B" w:rsidR="0042412F" w:rsidRPr="00FF3C31" w:rsidRDefault="00992554" w:rsidP="0042412F">
      <w:pPr>
        <w:pBdr>
          <w:top w:val="single" w:sz="4" w:space="1" w:color="auto"/>
          <w:left w:val="single" w:sz="4" w:space="4" w:color="auto"/>
          <w:bottom w:val="single" w:sz="4" w:space="1" w:color="auto"/>
          <w:right w:val="single" w:sz="4" w:space="4" w:color="auto"/>
        </w:pBdr>
        <w:shd w:val="clear" w:color="auto" w:fill="A6A6A6"/>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Strateški c</w:t>
      </w:r>
      <w:r w:rsidR="0042412F" w:rsidRPr="00FF3C31">
        <w:rPr>
          <w:rFonts w:ascii="Arial" w:eastAsia="Times New Roman" w:hAnsi="Arial" w:cs="Arial"/>
          <w:b/>
          <w:sz w:val="20"/>
          <w:szCs w:val="20"/>
        </w:rPr>
        <w:t>ilj 2: Unaprjeđenje infrastrukture</w:t>
      </w:r>
    </w:p>
    <w:p w14:paraId="316AD05F" w14:textId="77777777" w:rsidR="0042412F" w:rsidRPr="00FF3C31" w:rsidRDefault="0042412F" w:rsidP="0042412F">
      <w:pPr>
        <w:autoSpaceDE w:val="0"/>
        <w:autoSpaceDN w:val="0"/>
        <w:adjustRightInd w:val="0"/>
        <w:spacing w:after="0" w:line="240" w:lineRule="auto"/>
        <w:jc w:val="both"/>
        <w:rPr>
          <w:rFonts w:ascii="Arial" w:eastAsia="Times New Roman" w:hAnsi="Arial" w:cs="Arial"/>
          <w:b/>
          <w:sz w:val="20"/>
          <w:szCs w:val="20"/>
          <w:u w:val="single"/>
        </w:rPr>
      </w:pPr>
    </w:p>
    <w:p w14:paraId="69C8AC58" w14:textId="77777777" w:rsidR="0042412F" w:rsidRPr="00FF3C31" w:rsidRDefault="0042412F" w:rsidP="0042412F">
      <w:pPr>
        <w:pBdr>
          <w:top w:val="single" w:sz="4" w:space="1" w:color="auto"/>
          <w:left w:val="single" w:sz="4" w:space="4" w:color="auto"/>
          <w:bottom w:val="single" w:sz="4" w:space="1" w:color="auto"/>
          <w:right w:val="single" w:sz="4" w:space="4" w:color="auto"/>
        </w:pBdr>
        <w:shd w:val="clear" w:color="auto" w:fill="BFBFBF"/>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Prioritet 2.2. Unaprjeđenje prostornog uređenja i komunalne infrastrukture</w:t>
      </w:r>
    </w:p>
    <w:p w14:paraId="60045612" w14:textId="77777777" w:rsidR="001314C1" w:rsidRPr="00FF3C31" w:rsidRDefault="001314C1" w:rsidP="0042412F">
      <w:pPr>
        <w:autoSpaceDE w:val="0"/>
        <w:autoSpaceDN w:val="0"/>
        <w:adjustRightInd w:val="0"/>
        <w:spacing w:after="0" w:line="240" w:lineRule="auto"/>
        <w:jc w:val="both"/>
        <w:rPr>
          <w:rFonts w:ascii="Arial" w:eastAsia="Times New Roman" w:hAnsi="Arial" w:cs="Arial"/>
          <w:sz w:val="20"/>
          <w:szCs w:val="20"/>
        </w:rPr>
      </w:pPr>
    </w:p>
    <w:p w14:paraId="5C56B2CA" w14:textId="77777777" w:rsidR="0042412F" w:rsidRPr="00FF3C31" w:rsidRDefault="0042412F" w:rsidP="0042412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Ovaj prioritet se ostvaruje kroz:</w:t>
      </w:r>
    </w:p>
    <w:p w14:paraId="0515DB95" w14:textId="77777777" w:rsidR="0042412F" w:rsidRPr="00FF3C31" w:rsidRDefault="0042412F" w:rsidP="0042412F">
      <w:pPr>
        <w:autoSpaceDE w:val="0"/>
        <w:autoSpaceDN w:val="0"/>
        <w:adjustRightInd w:val="0"/>
        <w:spacing w:after="0" w:line="240" w:lineRule="auto"/>
        <w:jc w:val="both"/>
        <w:rPr>
          <w:rFonts w:ascii="Arial" w:eastAsia="Times New Roman" w:hAnsi="Arial" w:cs="Arial"/>
          <w:sz w:val="20"/>
          <w:szCs w:val="20"/>
        </w:rPr>
      </w:pPr>
    </w:p>
    <w:p w14:paraId="50A1AD36" w14:textId="3C84DA0E" w:rsidR="001314C1" w:rsidRPr="00FF3C31" w:rsidRDefault="00A6652B" w:rsidP="003D787D">
      <w:pPr>
        <w:shd w:val="clear" w:color="auto" w:fill="BFBFBF" w:themeFill="background1" w:themeFillShade="BF"/>
        <w:autoSpaceDE w:val="0"/>
        <w:autoSpaceDN w:val="0"/>
        <w:adjustRightInd w:val="0"/>
        <w:ind w:left="360"/>
        <w:rPr>
          <w:rFonts w:ascii="Arial" w:hAnsi="Arial" w:cs="Arial"/>
          <w:b/>
          <w:bCs/>
          <w:sz w:val="20"/>
          <w:szCs w:val="20"/>
        </w:rPr>
      </w:pPr>
      <w:r w:rsidRPr="00FF3C31">
        <w:rPr>
          <w:rFonts w:ascii="Arial" w:hAnsi="Arial" w:cs="Arial"/>
          <w:b/>
          <w:bCs/>
          <w:sz w:val="20"/>
          <w:szCs w:val="20"/>
        </w:rPr>
        <w:t xml:space="preserve">2.2.1. </w:t>
      </w:r>
      <w:r w:rsidR="001314C1" w:rsidRPr="00FF3C31">
        <w:rPr>
          <w:rFonts w:ascii="Arial" w:hAnsi="Arial" w:cs="Arial"/>
          <w:b/>
          <w:bCs/>
          <w:sz w:val="20"/>
          <w:szCs w:val="20"/>
        </w:rPr>
        <w:t>Unaprjeđenje sustava gospodarenja otpadom</w:t>
      </w:r>
    </w:p>
    <w:p w14:paraId="0A3D3F7E" w14:textId="77777777" w:rsidR="0042412F" w:rsidRPr="00FF3C31" w:rsidRDefault="0042412F" w:rsidP="0042412F">
      <w:pPr>
        <w:autoSpaceDE w:val="0"/>
        <w:autoSpaceDN w:val="0"/>
        <w:adjustRightInd w:val="0"/>
        <w:spacing w:after="0" w:line="240" w:lineRule="auto"/>
        <w:jc w:val="both"/>
        <w:rPr>
          <w:rFonts w:ascii="Arial" w:eastAsia="Times New Roman" w:hAnsi="Arial" w:cs="Arial"/>
          <w:sz w:val="20"/>
          <w:szCs w:val="20"/>
        </w:rPr>
      </w:pPr>
    </w:p>
    <w:p w14:paraId="5F69E8BF" w14:textId="7F7FE603" w:rsidR="0042412F" w:rsidRPr="00FF3C31" w:rsidRDefault="0042412F" w:rsidP="004241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jc w:val="both"/>
        <w:rPr>
          <w:rFonts w:ascii="Arial" w:eastAsia="Times New Roman" w:hAnsi="Arial" w:cs="Arial"/>
          <w:sz w:val="20"/>
          <w:szCs w:val="20"/>
        </w:rPr>
      </w:pPr>
      <w:r w:rsidRPr="00FF3C31">
        <w:rPr>
          <w:rFonts w:ascii="Arial" w:eastAsia="Times New Roman" w:hAnsi="Arial" w:cs="Arial"/>
          <w:b/>
          <w:sz w:val="20"/>
          <w:szCs w:val="20"/>
        </w:rPr>
        <w:t>2.</w:t>
      </w:r>
      <w:r w:rsidR="001314C1" w:rsidRPr="00FF3C31">
        <w:rPr>
          <w:rFonts w:ascii="Arial" w:eastAsia="Times New Roman" w:hAnsi="Arial" w:cs="Arial"/>
          <w:b/>
          <w:sz w:val="20"/>
          <w:szCs w:val="20"/>
        </w:rPr>
        <w:t>2</w:t>
      </w:r>
      <w:r w:rsidRPr="00FF3C31">
        <w:rPr>
          <w:rFonts w:ascii="Arial" w:eastAsia="Times New Roman" w:hAnsi="Arial" w:cs="Arial"/>
          <w:b/>
          <w:sz w:val="20"/>
          <w:szCs w:val="20"/>
        </w:rPr>
        <w:t>.b)</w:t>
      </w:r>
      <w:r w:rsidRPr="00FF3C31">
        <w:rPr>
          <w:rFonts w:ascii="Arial" w:eastAsia="Times New Roman" w:hAnsi="Arial" w:cs="Arial"/>
          <w:b/>
          <w:sz w:val="20"/>
          <w:szCs w:val="20"/>
        </w:rPr>
        <w:tab/>
        <w:t>Program (2096) – Program gradnje građevina za gospodarenje komunalnim otpadom</w:t>
      </w:r>
    </w:p>
    <w:p w14:paraId="5720967C" w14:textId="77777777" w:rsidR="0042412F" w:rsidRPr="00FF3C31" w:rsidRDefault="0042412F" w:rsidP="0042412F">
      <w:pPr>
        <w:autoSpaceDE w:val="0"/>
        <w:autoSpaceDN w:val="0"/>
        <w:adjustRightInd w:val="0"/>
        <w:spacing w:after="0" w:line="240" w:lineRule="auto"/>
        <w:jc w:val="both"/>
        <w:rPr>
          <w:rFonts w:ascii="Arial" w:hAnsi="Arial" w:cs="Arial"/>
          <w:sz w:val="20"/>
          <w:szCs w:val="20"/>
        </w:rPr>
      </w:pPr>
    </w:p>
    <w:p w14:paraId="183A089D" w14:textId="77777777" w:rsidR="0042412F" w:rsidRPr="00FF3C31" w:rsidRDefault="0042412F" w:rsidP="0042412F">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hAnsi="Arial" w:cs="Arial"/>
          <w:sz w:val="20"/>
          <w:szCs w:val="20"/>
        </w:rPr>
      </w:pPr>
      <w:r w:rsidRPr="00FF3C31">
        <w:rPr>
          <w:rFonts w:ascii="Arial" w:hAnsi="Arial" w:cs="Arial"/>
          <w:b/>
          <w:sz w:val="20"/>
          <w:szCs w:val="20"/>
        </w:rPr>
        <w:t>T209604: Projektiranje, izgradnja i opremanje reciklažnog dvorišta za građevinski otpad</w:t>
      </w:r>
    </w:p>
    <w:p w14:paraId="0569224A" w14:textId="77777777" w:rsidR="0042412F" w:rsidRPr="00FF3C31" w:rsidRDefault="0042412F" w:rsidP="0042412F">
      <w:pPr>
        <w:autoSpaceDE w:val="0"/>
        <w:autoSpaceDN w:val="0"/>
        <w:adjustRightInd w:val="0"/>
        <w:spacing w:after="0" w:line="240" w:lineRule="auto"/>
        <w:jc w:val="both"/>
        <w:rPr>
          <w:rFonts w:ascii="Arial" w:hAnsi="Arial" w:cs="Arial"/>
          <w:sz w:val="20"/>
          <w:szCs w:val="20"/>
        </w:rPr>
      </w:pPr>
    </w:p>
    <w:p w14:paraId="2D552DA7" w14:textId="77777777" w:rsidR="0042412F" w:rsidRPr="00FF3C31" w:rsidRDefault="0042412F" w:rsidP="0042412F">
      <w:pPr>
        <w:autoSpaceDE w:val="0"/>
        <w:autoSpaceDN w:val="0"/>
        <w:adjustRightInd w:val="0"/>
        <w:spacing w:after="0" w:line="240" w:lineRule="auto"/>
        <w:jc w:val="both"/>
        <w:rPr>
          <w:rFonts w:ascii="Arial" w:hAnsi="Arial" w:cs="Arial"/>
          <w:sz w:val="20"/>
          <w:szCs w:val="20"/>
        </w:rPr>
      </w:pPr>
      <w:r w:rsidRPr="00FF3C31">
        <w:rPr>
          <w:rFonts w:ascii="Arial" w:hAnsi="Arial" w:cs="Arial"/>
          <w:sz w:val="20"/>
          <w:szCs w:val="20"/>
        </w:rPr>
        <w:t xml:space="preserve">Pokazatelj rezultata je: postotak izrađenosti projekta i postotak izgrađenosti i opremanja objekta </w:t>
      </w:r>
    </w:p>
    <w:p w14:paraId="37C51F0F" w14:textId="77777777" w:rsidR="0042412F" w:rsidRPr="00FF3C31" w:rsidRDefault="0042412F" w:rsidP="0042412F">
      <w:pPr>
        <w:autoSpaceDE w:val="0"/>
        <w:autoSpaceDN w:val="0"/>
        <w:adjustRightInd w:val="0"/>
        <w:spacing w:after="0" w:line="240" w:lineRule="auto"/>
        <w:jc w:val="both"/>
        <w:rPr>
          <w:rFonts w:ascii="Arial" w:hAnsi="Arial" w:cs="Arial"/>
          <w:sz w:val="20"/>
          <w:szCs w:val="20"/>
        </w:rPr>
      </w:pPr>
    </w:p>
    <w:p w14:paraId="20454F8D" w14:textId="77777777" w:rsidR="0042412F" w:rsidRPr="00FF3C31" w:rsidRDefault="0042412F" w:rsidP="0042412F">
      <w:pPr>
        <w:autoSpaceDE w:val="0"/>
        <w:autoSpaceDN w:val="0"/>
        <w:adjustRightInd w:val="0"/>
        <w:spacing w:after="0" w:line="240" w:lineRule="auto"/>
        <w:jc w:val="both"/>
        <w:rPr>
          <w:rFonts w:ascii="Arial" w:hAnsi="Arial" w:cs="Arial"/>
          <w:sz w:val="20"/>
          <w:szCs w:val="20"/>
        </w:rPr>
      </w:pPr>
      <w:r w:rsidRPr="00FF3C31">
        <w:rPr>
          <w:rFonts w:ascii="Arial" w:hAnsi="Arial" w:cs="Arial"/>
          <w:sz w:val="20"/>
          <w:szCs w:val="20"/>
        </w:rPr>
        <w:t>Polazna vrijednost 0% postotak dovršenosti projekta i 0% radova izgrađenosti i opremanja.</w:t>
      </w:r>
    </w:p>
    <w:p w14:paraId="1E09AA8B" w14:textId="2A9B35BE" w:rsidR="0042412F" w:rsidRPr="00FF3C31" w:rsidRDefault="0042412F" w:rsidP="0042412F">
      <w:pPr>
        <w:autoSpaceDE w:val="0"/>
        <w:autoSpaceDN w:val="0"/>
        <w:adjustRightInd w:val="0"/>
        <w:spacing w:after="0" w:line="240" w:lineRule="auto"/>
        <w:rPr>
          <w:rFonts w:ascii="Arial" w:eastAsia="Calibri" w:hAnsi="Arial" w:cs="Arial"/>
          <w:sz w:val="20"/>
          <w:szCs w:val="20"/>
        </w:rPr>
      </w:pPr>
      <w:r w:rsidRPr="00FF3C31">
        <w:rPr>
          <w:rFonts w:ascii="Arial" w:eastAsia="Calibri" w:hAnsi="Arial" w:cs="Arial"/>
          <w:sz w:val="20"/>
          <w:szCs w:val="20"/>
        </w:rPr>
        <w:lastRenderedPageBreak/>
        <w:t>Ciljna vrijednost za 202</w:t>
      </w:r>
      <w:r w:rsidR="00E5738B">
        <w:rPr>
          <w:rFonts w:ascii="Arial" w:eastAsia="Calibri" w:hAnsi="Arial" w:cs="Arial"/>
          <w:sz w:val="20"/>
          <w:szCs w:val="20"/>
        </w:rPr>
        <w:t>5</w:t>
      </w:r>
      <w:r w:rsidRPr="00FF3C31">
        <w:rPr>
          <w:rFonts w:ascii="Arial" w:eastAsia="Calibri" w:hAnsi="Arial" w:cs="Arial"/>
          <w:sz w:val="20"/>
          <w:szCs w:val="20"/>
        </w:rPr>
        <w:t xml:space="preserve">. = </w:t>
      </w:r>
      <w:r w:rsidR="003A3D59">
        <w:rPr>
          <w:rFonts w:ascii="Arial" w:eastAsia="Calibri" w:hAnsi="Arial" w:cs="Arial"/>
          <w:sz w:val="20"/>
          <w:szCs w:val="20"/>
        </w:rPr>
        <w:t>0</w:t>
      </w:r>
      <w:r w:rsidRPr="00FF3C31">
        <w:rPr>
          <w:rFonts w:ascii="Arial" w:eastAsia="Calibri" w:hAnsi="Arial" w:cs="Arial"/>
          <w:sz w:val="20"/>
          <w:szCs w:val="20"/>
        </w:rPr>
        <w:t xml:space="preserve">% dovršenosti projekta i 0% dovršenosti radova izgradnje i opremanja, </w:t>
      </w:r>
    </w:p>
    <w:p w14:paraId="73E0538F" w14:textId="7E8BE474" w:rsidR="0042412F" w:rsidRPr="00FF3C31" w:rsidRDefault="0042412F" w:rsidP="0042412F">
      <w:pPr>
        <w:autoSpaceDE w:val="0"/>
        <w:autoSpaceDN w:val="0"/>
        <w:adjustRightInd w:val="0"/>
        <w:spacing w:after="0" w:line="240" w:lineRule="auto"/>
        <w:rPr>
          <w:rFonts w:ascii="Arial" w:eastAsia="Calibri" w:hAnsi="Arial" w:cs="Arial"/>
          <w:sz w:val="20"/>
          <w:szCs w:val="20"/>
        </w:rPr>
      </w:pPr>
      <w:r w:rsidRPr="00FF3C31">
        <w:rPr>
          <w:rFonts w:ascii="Arial" w:eastAsia="Calibri" w:hAnsi="Arial" w:cs="Arial"/>
          <w:sz w:val="20"/>
          <w:szCs w:val="20"/>
        </w:rPr>
        <w:t>za 202</w:t>
      </w:r>
      <w:r w:rsidR="00E5738B">
        <w:rPr>
          <w:rFonts w:ascii="Arial" w:eastAsia="Calibri" w:hAnsi="Arial" w:cs="Arial"/>
          <w:sz w:val="20"/>
          <w:szCs w:val="20"/>
        </w:rPr>
        <w:t>6</w:t>
      </w:r>
      <w:r w:rsidRPr="00FF3C31">
        <w:rPr>
          <w:rFonts w:ascii="Arial" w:eastAsia="Calibri" w:hAnsi="Arial" w:cs="Arial"/>
          <w:sz w:val="20"/>
          <w:szCs w:val="20"/>
        </w:rPr>
        <w:t xml:space="preserve">. = </w:t>
      </w:r>
      <w:r w:rsidR="003A3D59">
        <w:rPr>
          <w:rFonts w:ascii="Arial" w:eastAsia="Calibri" w:hAnsi="Arial" w:cs="Arial"/>
          <w:sz w:val="20"/>
          <w:szCs w:val="20"/>
        </w:rPr>
        <w:t>0</w:t>
      </w:r>
      <w:r w:rsidRPr="00FF3C31">
        <w:rPr>
          <w:rFonts w:ascii="Arial" w:eastAsia="Calibri" w:hAnsi="Arial" w:cs="Arial"/>
          <w:sz w:val="20"/>
          <w:szCs w:val="20"/>
        </w:rPr>
        <w:t>%/</w:t>
      </w:r>
      <w:r w:rsidR="00E5738B">
        <w:rPr>
          <w:rFonts w:ascii="Arial" w:eastAsia="Calibri" w:hAnsi="Arial" w:cs="Arial"/>
          <w:sz w:val="20"/>
          <w:szCs w:val="20"/>
        </w:rPr>
        <w:t>6</w:t>
      </w:r>
      <w:r w:rsidRPr="00FF3C31">
        <w:rPr>
          <w:rFonts w:ascii="Arial" w:eastAsia="Calibri" w:hAnsi="Arial" w:cs="Arial"/>
          <w:sz w:val="20"/>
          <w:szCs w:val="20"/>
        </w:rPr>
        <w:t>0%, za 202</w:t>
      </w:r>
      <w:r w:rsidR="00E5738B">
        <w:rPr>
          <w:rFonts w:ascii="Arial" w:eastAsia="Calibri" w:hAnsi="Arial" w:cs="Arial"/>
          <w:sz w:val="20"/>
          <w:szCs w:val="20"/>
        </w:rPr>
        <w:t>7</w:t>
      </w:r>
      <w:r w:rsidRPr="00FF3C31">
        <w:rPr>
          <w:rFonts w:ascii="Arial" w:eastAsia="Calibri" w:hAnsi="Arial" w:cs="Arial"/>
          <w:sz w:val="20"/>
          <w:szCs w:val="20"/>
        </w:rPr>
        <w:t>. = 100%/</w:t>
      </w:r>
      <w:r w:rsidR="00E5738B">
        <w:rPr>
          <w:rFonts w:ascii="Arial" w:eastAsia="Calibri" w:hAnsi="Arial" w:cs="Arial"/>
          <w:sz w:val="20"/>
          <w:szCs w:val="20"/>
        </w:rPr>
        <w:t>1</w:t>
      </w:r>
      <w:r w:rsidR="003A3D59">
        <w:rPr>
          <w:rFonts w:ascii="Arial" w:eastAsia="Calibri" w:hAnsi="Arial" w:cs="Arial"/>
          <w:sz w:val="20"/>
          <w:szCs w:val="20"/>
        </w:rPr>
        <w:t>0</w:t>
      </w:r>
      <w:r w:rsidRPr="00FF3C31">
        <w:rPr>
          <w:rFonts w:ascii="Arial" w:eastAsia="Calibri" w:hAnsi="Arial" w:cs="Arial"/>
          <w:sz w:val="20"/>
          <w:szCs w:val="20"/>
        </w:rPr>
        <w:t>0%.</w:t>
      </w:r>
    </w:p>
    <w:p w14:paraId="7FF29692" w14:textId="4F7A9063" w:rsidR="0042412F" w:rsidRPr="00FF3C31" w:rsidRDefault="0042412F" w:rsidP="0042412F">
      <w:pPr>
        <w:autoSpaceDE w:val="0"/>
        <w:autoSpaceDN w:val="0"/>
        <w:adjustRightInd w:val="0"/>
        <w:spacing w:after="0" w:line="240" w:lineRule="auto"/>
        <w:jc w:val="both"/>
        <w:rPr>
          <w:rFonts w:ascii="Arial" w:hAnsi="Arial" w:cs="Arial"/>
          <w:sz w:val="20"/>
          <w:szCs w:val="20"/>
        </w:rPr>
      </w:pPr>
    </w:p>
    <w:p w14:paraId="18876889" w14:textId="29A634BF" w:rsidR="0042412F" w:rsidRPr="00EE21BE" w:rsidRDefault="0042412F" w:rsidP="0042412F">
      <w:pPr>
        <w:autoSpaceDE w:val="0"/>
        <w:autoSpaceDN w:val="0"/>
        <w:adjustRightInd w:val="0"/>
        <w:spacing w:after="0" w:line="240" w:lineRule="auto"/>
        <w:jc w:val="both"/>
        <w:rPr>
          <w:rFonts w:ascii="Arial" w:hAnsi="Arial" w:cs="Arial"/>
          <w:sz w:val="18"/>
          <w:szCs w:val="18"/>
        </w:rPr>
      </w:pPr>
      <w:r w:rsidRPr="00EE21BE">
        <w:rPr>
          <w:rFonts w:ascii="Arial" w:hAnsi="Arial" w:cs="Arial"/>
          <w:sz w:val="18"/>
          <w:szCs w:val="18"/>
        </w:rPr>
        <w:t>Nositelj projekta je Općina u suradnji s društvom u vlasništvu Općine (Čistoća i zelenilo Konavle). Planirana vrijednost investicije</w:t>
      </w:r>
      <w:r w:rsidR="003A3D59" w:rsidRPr="00EE21BE">
        <w:rPr>
          <w:rFonts w:ascii="Arial" w:hAnsi="Arial" w:cs="Arial"/>
          <w:sz w:val="18"/>
          <w:szCs w:val="18"/>
        </w:rPr>
        <w:t xml:space="preserve"> (ranijih godina)</w:t>
      </w:r>
      <w:r w:rsidRPr="00EE21BE">
        <w:rPr>
          <w:rFonts w:ascii="Arial" w:hAnsi="Arial" w:cs="Arial"/>
          <w:sz w:val="18"/>
          <w:szCs w:val="18"/>
        </w:rPr>
        <w:t xml:space="preserve"> je</w:t>
      </w:r>
      <w:r w:rsidR="003A3D59" w:rsidRPr="00EE21BE">
        <w:rPr>
          <w:rFonts w:ascii="Arial" w:hAnsi="Arial" w:cs="Arial"/>
          <w:sz w:val="18"/>
          <w:szCs w:val="18"/>
        </w:rPr>
        <w:t xml:space="preserve"> bila</w:t>
      </w:r>
      <w:r w:rsidRPr="00EE21BE">
        <w:rPr>
          <w:rFonts w:ascii="Arial" w:hAnsi="Arial" w:cs="Arial"/>
          <w:sz w:val="18"/>
          <w:szCs w:val="18"/>
        </w:rPr>
        <w:t xml:space="preserve"> 7.500.000 kn</w:t>
      </w:r>
      <w:r w:rsidR="00806E22" w:rsidRPr="00EE21BE">
        <w:rPr>
          <w:rFonts w:ascii="Arial" w:hAnsi="Arial" w:cs="Arial"/>
          <w:sz w:val="18"/>
          <w:szCs w:val="18"/>
        </w:rPr>
        <w:t xml:space="preserve"> (995.421,06 €)</w:t>
      </w:r>
      <w:r w:rsidRPr="00EE21BE">
        <w:rPr>
          <w:rFonts w:ascii="Arial" w:hAnsi="Arial" w:cs="Arial"/>
          <w:sz w:val="18"/>
          <w:szCs w:val="18"/>
        </w:rPr>
        <w:t xml:space="preserve">. Ovi rashodi se planiraju izvršavati slijedećih godina, a sufinanciranje je pretpostavljeno putem Fonda za zaštitu okoliša i energetsku učinkovitost i putem EU fondova. </w:t>
      </w:r>
    </w:p>
    <w:p w14:paraId="1DC20F3C" w14:textId="77777777" w:rsidR="0042412F" w:rsidRPr="00FF3C31" w:rsidRDefault="0042412F" w:rsidP="0042412F">
      <w:pPr>
        <w:autoSpaceDE w:val="0"/>
        <w:autoSpaceDN w:val="0"/>
        <w:adjustRightInd w:val="0"/>
        <w:spacing w:after="0" w:line="240" w:lineRule="auto"/>
        <w:jc w:val="both"/>
        <w:rPr>
          <w:rFonts w:ascii="Arial" w:eastAsia="Times New Roman" w:hAnsi="Arial" w:cs="Arial"/>
          <w:sz w:val="20"/>
          <w:szCs w:val="20"/>
        </w:rPr>
      </w:pPr>
    </w:p>
    <w:p w14:paraId="38CF44DE" w14:textId="35C580B0" w:rsidR="0042412F" w:rsidRPr="00FF3C31" w:rsidRDefault="0042412F" w:rsidP="0042412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U 202</w:t>
      </w:r>
      <w:r w:rsidR="00A45615">
        <w:rPr>
          <w:rFonts w:ascii="Arial" w:eastAsia="Times New Roman" w:hAnsi="Arial" w:cs="Arial"/>
          <w:sz w:val="20"/>
          <w:szCs w:val="20"/>
        </w:rPr>
        <w:t>5</w:t>
      </w:r>
      <w:r w:rsidRPr="00FF3C31">
        <w:rPr>
          <w:rFonts w:ascii="Arial" w:eastAsia="Times New Roman" w:hAnsi="Arial" w:cs="Arial"/>
          <w:sz w:val="20"/>
          <w:szCs w:val="20"/>
        </w:rPr>
        <w:t>. nisu izvršavani rashodi u svezi reciklažnog dvorišta za građevinski otpad.</w:t>
      </w:r>
    </w:p>
    <w:p w14:paraId="0291CAD9" w14:textId="77777777" w:rsidR="0042412F" w:rsidRPr="00FF3C31" w:rsidRDefault="0042412F" w:rsidP="0042412F">
      <w:pPr>
        <w:autoSpaceDE w:val="0"/>
        <w:autoSpaceDN w:val="0"/>
        <w:adjustRightInd w:val="0"/>
        <w:spacing w:after="0" w:line="240" w:lineRule="auto"/>
        <w:rPr>
          <w:rFonts w:ascii="Arial" w:eastAsia="Calibri" w:hAnsi="Arial" w:cs="Arial"/>
          <w:sz w:val="20"/>
          <w:szCs w:val="20"/>
        </w:rPr>
      </w:pPr>
    </w:p>
    <w:p w14:paraId="2C887CEA" w14:textId="77777777" w:rsidR="00B91FC9" w:rsidRPr="00FF3C31" w:rsidRDefault="00B91FC9" w:rsidP="0042412F">
      <w:pPr>
        <w:autoSpaceDE w:val="0"/>
        <w:autoSpaceDN w:val="0"/>
        <w:adjustRightInd w:val="0"/>
        <w:spacing w:after="0" w:line="240" w:lineRule="auto"/>
        <w:rPr>
          <w:rFonts w:ascii="Arial" w:eastAsia="Calibri" w:hAnsi="Arial" w:cs="Arial"/>
          <w:sz w:val="20"/>
          <w:szCs w:val="20"/>
        </w:rPr>
      </w:pPr>
    </w:p>
    <w:p w14:paraId="6D9B32D2" w14:textId="540FBA83" w:rsidR="00B20566" w:rsidRPr="00FF3C31" w:rsidRDefault="00992554" w:rsidP="00B20566">
      <w:pPr>
        <w:pBdr>
          <w:top w:val="single" w:sz="4" w:space="1" w:color="auto"/>
          <w:left w:val="single" w:sz="4" w:space="4" w:color="auto"/>
          <w:bottom w:val="single" w:sz="4" w:space="1" w:color="auto"/>
          <w:right w:val="single" w:sz="4" w:space="4" w:color="auto"/>
        </w:pBdr>
        <w:shd w:val="clear" w:color="auto" w:fill="A6A6A6"/>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Strateški c</w:t>
      </w:r>
      <w:r w:rsidR="00B20566" w:rsidRPr="00FF3C31">
        <w:rPr>
          <w:rFonts w:ascii="Arial" w:eastAsia="Times New Roman" w:hAnsi="Arial" w:cs="Arial"/>
          <w:b/>
          <w:sz w:val="20"/>
          <w:szCs w:val="20"/>
        </w:rPr>
        <w:t xml:space="preserve">ilj </w:t>
      </w:r>
      <w:r w:rsidR="007F2ECE" w:rsidRPr="00FF3C31">
        <w:rPr>
          <w:rFonts w:ascii="Arial" w:eastAsia="Times New Roman" w:hAnsi="Arial" w:cs="Arial"/>
          <w:b/>
          <w:sz w:val="20"/>
          <w:szCs w:val="20"/>
        </w:rPr>
        <w:t>2</w:t>
      </w:r>
      <w:r w:rsidR="00B20566" w:rsidRPr="00FF3C31">
        <w:rPr>
          <w:rFonts w:ascii="Arial" w:eastAsia="Times New Roman" w:hAnsi="Arial" w:cs="Arial"/>
          <w:b/>
          <w:sz w:val="20"/>
          <w:szCs w:val="20"/>
        </w:rPr>
        <w:t xml:space="preserve">: </w:t>
      </w:r>
      <w:r w:rsidR="007F2ECE" w:rsidRPr="00FF3C31">
        <w:rPr>
          <w:rFonts w:ascii="Arial" w:eastAsia="Times New Roman" w:hAnsi="Arial" w:cs="Arial"/>
          <w:b/>
          <w:sz w:val="20"/>
          <w:szCs w:val="20"/>
        </w:rPr>
        <w:t>Unapređenje infrastrukture</w:t>
      </w:r>
    </w:p>
    <w:p w14:paraId="75F9A3B0" w14:textId="77777777" w:rsidR="00B20566" w:rsidRPr="00FF3C31" w:rsidRDefault="00B20566" w:rsidP="00B20566">
      <w:pPr>
        <w:autoSpaceDE w:val="0"/>
        <w:autoSpaceDN w:val="0"/>
        <w:adjustRightInd w:val="0"/>
        <w:spacing w:after="0" w:line="240" w:lineRule="auto"/>
        <w:jc w:val="both"/>
        <w:rPr>
          <w:rFonts w:ascii="Arial" w:eastAsia="Times New Roman" w:hAnsi="Arial" w:cs="Arial"/>
          <w:b/>
          <w:sz w:val="20"/>
          <w:szCs w:val="20"/>
          <w:u w:val="single"/>
        </w:rPr>
      </w:pPr>
    </w:p>
    <w:p w14:paraId="05098B74" w14:textId="1E3541D2" w:rsidR="00B20566" w:rsidRPr="00FF3C31" w:rsidRDefault="007F2ECE" w:rsidP="00B20566">
      <w:pPr>
        <w:pBdr>
          <w:top w:val="single" w:sz="4" w:space="1" w:color="auto"/>
          <w:left w:val="single" w:sz="4" w:space="4" w:color="auto"/>
          <w:bottom w:val="single" w:sz="4" w:space="1" w:color="auto"/>
          <w:right w:val="single" w:sz="4" w:space="4" w:color="auto"/>
        </w:pBdr>
        <w:shd w:val="clear" w:color="auto" w:fill="BFBFBF"/>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Prioritet</w:t>
      </w:r>
      <w:r w:rsidR="00B20566" w:rsidRPr="00FF3C31">
        <w:rPr>
          <w:rFonts w:ascii="Arial" w:eastAsia="Times New Roman" w:hAnsi="Arial" w:cs="Arial"/>
          <w:b/>
          <w:sz w:val="20"/>
          <w:szCs w:val="20"/>
        </w:rPr>
        <w:t xml:space="preserve"> </w:t>
      </w:r>
      <w:r w:rsidRPr="00FF3C31">
        <w:rPr>
          <w:rFonts w:ascii="Arial" w:eastAsia="Times New Roman" w:hAnsi="Arial" w:cs="Arial"/>
          <w:b/>
          <w:sz w:val="20"/>
          <w:szCs w:val="20"/>
        </w:rPr>
        <w:t>2.3.</w:t>
      </w:r>
      <w:r w:rsidR="00B20566" w:rsidRPr="00FF3C31">
        <w:rPr>
          <w:rFonts w:ascii="Arial" w:eastAsia="Times New Roman" w:hAnsi="Arial" w:cs="Arial"/>
          <w:b/>
          <w:sz w:val="20"/>
          <w:szCs w:val="20"/>
        </w:rPr>
        <w:t xml:space="preserve"> </w:t>
      </w:r>
      <w:r w:rsidRPr="00FF3C31">
        <w:rPr>
          <w:rFonts w:ascii="Arial" w:eastAsia="Times New Roman" w:hAnsi="Arial" w:cs="Arial"/>
          <w:b/>
          <w:sz w:val="20"/>
          <w:szCs w:val="20"/>
        </w:rPr>
        <w:t>Unapređenje društvene, kulturne i turističke infrastrukture</w:t>
      </w:r>
    </w:p>
    <w:p w14:paraId="23E82512" w14:textId="5DCDAE3E"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Ova</w:t>
      </w:r>
      <w:r w:rsidR="007F2ECE" w:rsidRPr="00FF3C31">
        <w:rPr>
          <w:rFonts w:ascii="Arial" w:eastAsia="Times New Roman" w:hAnsi="Arial" w:cs="Arial"/>
          <w:sz w:val="20"/>
          <w:szCs w:val="20"/>
        </w:rPr>
        <w:t>j prioritet</w:t>
      </w:r>
      <w:r w:rsidRPr="00FF3C31">
        <w:rPr>
          <w:rFonts w:ascii="Arial" w:eastAsia="Times New Roman" w:hAnsi="Arial" w:cs="Arial"/>
          <w:sz w:val="20"/>
          <w:szCs w:val="20"/>
        </w:rPr>
        <w:t xml:space="preserve"> se ostvaruje kroz:</w:t>
      </w:r>
    </w:p>
    <w:p w14:paraId="1BE2D991"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68C141BA" w14:textId="7A07816B" w:rsidR="00B20566" w:rsidRPr="00FF3C31" w:rsidRDefault="0004156F" w:rsidP="00B2056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2.3.</w:t>
      </w:r>
      <w:r w:rsidR="00B20566" w:rsidRPr="00FF3C31">
        <w:rPr>
          <w:rFonts w:ascii="Arial" w:eastAsia="Times New Roman" w:hAnsi="Arial" w:cs="Arial"/>
          <w:b/>
          <w:sz w:val="20"/>
          <w:szCs w:val="20"/>
        </w:rPr>
        <w:t xml:space="preserve"> a)</w:t>
      </w:r>
      <w:r w:rsidR="00B20566" w:rsidRPr="00FF3C31">
        <w:rPr>
          <w:rFonts w:ascii="Arial" w:eastAsia="Times New Roman" w:hAnsi="Arial" w:cs="Arial"/>
          <w:b/>
          <w:sz w:val="20"/>
          <w:szCs w:val="20"/>
        </w:rPr>
        <w:tab/>
        <w:t>Program (2073) – Pripremne aktivnosti u protupožarnoj zaštiti, te zaštita i spašavanje</w:t>
      </w:r>
    </w:p>
    <w:p w14:paraId="5903634C" w14:textId="77777777" w:rsidR="00B20566" w:rsidRPr="00FF3C31" w:rsidRDefault="00B20566" w:rsidP="00B20566">
      <w:pPr>
        <w:autoSpaceDE w:val="0"/>
        <w:autoSpaceDN w:val="0"/>
        <w:adjustRightInd w:val="0"/>
        <w:spacing w:after="0" w:line="240" w:lineRule="auto"/>
        <w:jc w:val="both"/>
        <w:rPr>
          <w:rFonts w:ascii="Arial" w:eastAsia="Times New Roman" w:hAnsi="Arial" w:cs="Arial"/>
          <w:b/>
          <w:sz w:val="20"/>
          <w:szCs w:val="20"/>
        </w:rPr>
      </w:pPr>
    </w:p>
    <w:p w14:paraId="72053592" w14:textId="47DFE53B"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a1)</w:t>
      </w:r>
      <w:r w:rsidRPr="00FF3C31">
        <w:rPr>
          <w:rFonts w:ascii="Arial" w:eastAsia="Times New Roman" w:hAnsi="Arial" w:cs="Arial"/>
          <w:sz w:val="20"/>
          <w:szCs w:val="20"/>
        </w:rPr>
        <w:tab/>
        <w:t>Kapitalni projekt (</w:t>
      </w:r>
      <w:r w:rsidR="001E6A71" w:rsidRPr="00FF3C31">
        <w:rPr>
          <w:rFonts w:ascii="Arial" w:eastAsia="Times New Roman" w:hAnsi="Arial" w:cs="Arial"/>
          <w:sz w:val="20"/>
          <w:szCs w:val="20"/>
        </w:rPr>
        <w:t>K207307</w:t>
      </w:r>
      <w:r w:rsidRPr="00FF3C31">
        <w:rPr>
          <w:rFonts w:ascii="Arial" w:eastAsia="Times New Roman" w:hAnsi="Arial" w:cs="Arial"/>
          <w:sz w:val="20"/>
          <w:szCs w:val="20"/>
        </w:rPr>
        <w:t>) Projektiranje i izgradnja Vatrogasnog edukacijskog centra</w:t>
      </w:r>
    </w:p>
    <w:p w14:paraId="4CE50F82" w14:textId="20E3106B"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41F999AF" w14:textId="016759BE" w:rsidR="007F2ECE" w:rsidRPr="00FF3C31" w:rsidRDefault="007F2ECE"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Također, kroz ovaj projekt </w:t>
      </w:r>
      <w:r w:rsidRPr="00FF3C31">
        <w:rPr>
          <w:rFonts w:ascii="Arial" w:eastAsia="Times New Roman" w:hAnsi="Arial" w:cs="Arial"/>
          <w:b/>
          <w:bCs/>
          <w:sz w:val="20"/>
          <w:szCs w:val="20"/>
        </w:rPr>
        <w:t xml:space="preserve">K207307 </w:t>
      </w:r>
      <w:r w:rsidRPr="00FF3C31">
        <w:rPr>
          <w:rFonts w:ascii="Arial" w:eastAsia="Times New Roman" w:hAnsi="Arial" w:cs="Arial"/>
          <w:sz w:val="20"/>
          <w:szCs w:val="20"/>
        </w:rPr>
        <w:t xml:space="preserve">ostvaruje se još jedan </w:t>
      </w:r>
      <w:r w:rsidR="002C794B" w:rsidRPr="00FF3C31">
        <w:rPr>
          <w:rFonts w:ascii="Arial" w:eastAsia="Times New Roman" w:hAnsi="Arial" w:cs="Arial"/>
          <w:sz w:val="20"/>
          <w:szCs w:val="20"/>
        </w:rPr>
        <w:t xml:space="preserve">još jedan cilj, odnosno prioritet: </w:t>
      </w:r>
    </w:p>
    <w:p w14:paraId="52328162" w14:textId="77777777" w:rsidR="002C794B" w:rsidRPr="00FF3C31" w:rsidRDefault="002C794B" w:rsidP="002C794B">
      <w:pPr>
        <w:autoSpaceDE w:val="0"/>
        <w:autoSpaceDN w:val="0"/>
        <w:adjustRightInd w:val="0"/>
        <w:spacing w:after="0" w:line="240" w:lineRule="auto"/>
        <w:jc w:val="both"/>
        <w:rPr>
          <w:rFonts w:ascii="Arial" w:eastAsia="Times New Roman" w:hAnsi="Arial" w:cs="Arial"/>
          <w:sz w:val="20"/>
          <w:szCs w:val="20"/>
        </w:rPr>
      </w:pPr>
    </w:p>
    <w:p w14:paraId="769A5AF9" w14:textId="179F5625" w:rsidR="002C794B" w:rsidRPr="00FF3C31" w:rsidRDefault="00992554" w:rsidP="002C794B">
      <w:pPr>
        <w:pBdr>
          <w:top w:val="single" w:sz="4" w:space="1" w:color="auto"/>
          <w:left w:val="single" w:sz="4" w:space="4" w:color="auto"/>
          <w:bottom w:val="single" w:sz="4" w:space="1" w:color="auto"/>
          <w:right w:val="single" w:sz="4" w:space="4" w:color="auto"/>
        </w:pBdr>
        <w:shd w:val="clear" w:color="auto" w:fill="A6A6A6"/>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Strateški c</w:t>
      </w:r>
      <w:r w:rsidR="002C794B" w:rsidRPr="00FF3C31">
        <w:rPr>
          <w:rFonts w:ascii="Arial" w:eastAsia="Times New Roman" w:hAnsi="Arial" w:cs="Arial"/>
          <w:b/>
          <w:sz w:val="20"/>
          <w:szCs w:val="20"/>
        </w:rPr>
        <w:t>ilj 3: Unapređenje kvalitete života i razvoj društvene zajednice na načelima kohezije i uključivosti</w:t>
      </w:r>
    </w:p>
    <w:p w14:paraId="1AA10283" w14:textId="77777777" w:rsidR="002C794B" w:rsidRPr="00FF3C31" w:rsidRDefault="002C794B" w:rsidP="002C794B">
      <w:pPr>
        <w:autoSpaceDE w:val="0"/>
        <w:autoSpaceDN w:val="0"/>
        <w:adjustRightInd w:val="0"/>
        <w:spacing w:after="0" w:line="240" w:lineRule="auto"/>
        <w:jc w:val="both"/>
        <w:rPr>
          <w:rFonts w:ascii="Arial" w:eastAsia="Times New Roman" w:hAnsi="Arial" w:cs="Arial"/>
          <w:b/>
          <w:sz w:val="20"/>
          <w:szCs w:val="20"/>
          <w:u w:val="single"/>
        </w:rPr>
      </w:pPr>
    </w:p>
    <w:p w14:paraId="2DEA1F67" w14:textId="27CB4131" w:rsidR="002C794B" w:rsidRPr="00FF3C31" w:rsidRDefault="002C794B" w:rsidP="002C794B">
      <w:pPr>
        <w:pBdr>
          <w:top w:val="single" w:sz="4" w:space="1" w:color="auto"/>
          <w:left w:val="single" w:sz="4" w:space="4" w:color="auto"/>
          <w:bottom w:val="single" w:sz="4" w:space="1" w:color="auto"/>
          <w:right w:val="single" w:sz="4" w:space="4" w:color="auto"/>
        </w:pBdr>
        <w:shd w:val="clear" w:color="auto" w:fill="BFBFBF"/>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Prioritet 3.6. Unapređenje sustava sigurnosti</w:t>
      </w:r>
    </w:p>
    <w:p w14:paraId="09C374A9" w14:textId="77777777" w:rsidR="002C794B" w:rsidRPr="00FF3C31" w:rsidRDefault="002C794B" w:rsidP="002C794B">
      <w:pPr>
        <w:autoSpaceDE w:val="0"/>
        <w:autoSpaceDN w:val="0"/>
        <w:adjustRightInd w:val="0"/>
        <w:spacing w:after="0" w:line="240" w:lineRule="auto"/>
        <w:jc w:val="both"/>
        <w:rPr>
          <w:rFonts w:ascii="Arial" w:eastAsia="Times New Roman" w:hAnsi="Arial" w:cs="Arial"/>
          <w:sz w:val="20"/>
          <w:szCs w:val="20"/>
        </w:rPr>
      </w:pPr>
    </w:p>
    <w:p w14:paraId="1534BA68" w14:textId="3DAA3657" w:rsidR="00EA624A" w:rsidRPr="00FF3C31" w:rsidRDefault="002C794B" w:rsidP="002C794B">
      <w:pPr>
        <w:shd w:val="clear" w:color="auto" w:fill="BFBFBF" w:themeFill="background1" w:themeFillShade="BF"/>
        <w:autoSpaceDE w:val="0"/>
        <w:autoSpaceDN w:val="0"/>
        <w:adjustRightInd w:val="0"/>
        <w:spacing w:after="0" w:line="240" w:lineRule="auto"/>
        <w:jc w:val="both"/>
        <w:rPr>
          <w:rFonts w:ascii="Arial" w:eastAsia="Times New Roman" w:hAnsi="Arial" w:cs="Arial"/>
          <w:b/>
          <w:bCs/>
          <w:sz w:val="20"/>
          <w:szCs w:val="20"/>
        </w:rPr>
      </w:pPr>
      <w:r w:rsidRPr="00FF3C31">
        <w:rPr>
          <w:rFonts w:ascii="Arial" w:eastAsia="Times New Roman" w:hAnsi="Arial" w:cs="Arial"/>
          <w:b/>
          <w:bCs/>
          <w:sz w:val="20"/>
          <w:szCs w:val="20"/>
        </w:rPr>
        <w:t>Mjera 3.6.2. Unaprjeđenje sustava protupožarne zaštite i vatrogastva</w:t>
      </w:r>
    </w:p>
    <w:p w14:paraId="39240B7D" w14:textId="36D9966C" w:rsidR="002C794B" w:rsidRPr="00FF3C31" w:rsidRDefault="002C794B" w:rsidP="00B20566">
      <w:pPr>
        <w:autoSpaceDE w:val="0"/>
        <w:autoSpaceDN w:val="0"/>
        <w:adjustRightInd w:val="0"/>
        <w:spacing w:after="0" w:line="240" w:lineRule="auto"/>
        <w:jc w:val="both"/>
        <w:rPr>
          <w:rFonts w:ascii="Arial" w:eastAsia="Times New Roman" w:hAnsi="Arial" w:cs="Arial"/>
          <w:sz w:val="20"/>
          <w:szCs w:val="20"/>
        </w:rPr>
      </w:pPr>
    </w:p>
    <w:p w14:paraId="3E95DA50" w14:textId="77777777" w:rsidR="00156E6C" w:rsidRPr="00FF3C31" w:rsidRDefault="00156E6C" w:rsidP="00156E6C">
      <w:pPr>
        <w:autoSpaceDE w:val="0"/>
        <w:autoSpaceDN w:val="0"/>
        <w:adjustRightInd w:val="0"/>
        <w:spacing w:after="0" w:line="240" w:lineRule="auto"/>
        <w:jc w:val="both"/>
        <w:rPr>
          <w:rFonts w:ascii="Arial" w:hAnsi="Arial" w:cs="Arial"/>
          <w:color w:val="0070C0"/>
          <w:sz w:val="20"/>
          <w:szCs w:val="20"/>
        </w:rPr>
      </w:pPr>
      <w:r w:rsidRPr="00FF3C31">
        <w:rPr>
          <w:rFonts w:ascii="Arial" w:hAnsi="Arial" w:cs="Arial"/>
          <w:color w:val="0070C0"/>
          <w:sz w:val="20"/>
          <w:szCs w:val="20"/>
        </w:rPr>
        <w:t>Provedba cilja i prioriteta iz ovog dijela je povezana s provedbom mjera i posebnih ciljeva iz Provedbenog programa pod točkom:</w:t>
      </w:r>
    </w:p>
    <w:p w14:paraId="15E4F4D3" w14:textId="77777777" w:rsidR="00156E6C" w:rsidRPr="00FF3C31" w:rsidRDefault="00156E6C" w:rsidP="00156E6C">
      <w:pPr>
        <w:autoSpaceDE w:val="0"/>
        <w:autoSpaceDN w:val="0"/>
        <w:adjustRightInd w:val="0"/>
        <w:spacing w:after="0" w:line="240" w:lineRule="auto"/>
        <w:ind w:firstLine="709"/>
        <w:jc w:val="both"/>
        <w:rPr>
          <w:rFonts w:ascii="Arial" w:hAnsi="Arial" w:cs="Arial"/>
          <w:color w:val="0070C0"/>
          <w:sz w:val="20"/>
          <w:szCs w:val="20"/>
        </w:rPr>
      </w:pPr>
      <w:r w:rsidRPr="00FF3C31">
        <w:rPr>
          <w:rFonts w:ascii="Arial" w:hAnsi="Arial" w:cs="Arial"/>
          <w:color w:val="0070C0"/>
          <w:sz w:val="20"/>
          <w:szCs w:val="20"/>
        </w:rPr>
        <w:t xml:space="preserve">- Prioriteta 4. Unapređenje upravljanja razvojem, </w:t>
      </w:r>
    </w:p>
    <w:p w14:paraId="0B90FA41" w14:textId="77777777" w:rsidR="00156E6C" w:rsidRPr="00FF3C31" w:rsidRDefault="00156E6C" w:rsidP="00156E6C">
      <w:pPr>
        <w:autoSpaceDE w:val="0"/>
        <w:autoSpaceDN w:val="0"/>
        <w:adjustRightInd w:val="0"/>
        <w:spacing w:after="0" w:line="240" w:lineRule="auto"/>
        <w:ind w:left="1418" w:firstLine="709"/>
        <w:jc w:val="both"/>
        <w:rPr>
          <w:rFonts w:ascii="Arial" w:hAnsi="Arial" w:cs="Arial"/>
          <w:color w:val="0070C0"/>
          <w:sz w:val="20"/>
          <w:szCs w:val="20"/>
        </w:rPr>
      </w:pPr>
      <w:r w:rsidRPr="00FF3C31">
        <w:rPr>
          <w:rFonts w:ascii="Arial" w:hAnsi="Arial" w:cs="Arial"/>
          <w:color w:val="0070C0"/>
          <w:sz w:val="20"/>
          <w:szCs w:val="20"/>
        </w:rPr>
        <w:t>-</w:t>
      </w:r>
      <w:r w:rsidRPr="00FF3C31">
        <w:rPr>
          <w:rFonts w:ascii="Arial" w:hAnsi="Arial" w:cs="Arial"/>
          <w:color w:val="0070C0"/>
          <w:sz w:val="20"/>
          <w:szCs w:val="20"/>
        </w:rPr>
        <w:tab/>
        <w:t xml:space="preserve">posebnim ciljem 4.2. Povećanje sposobnosti institucija u pogledu odgovora na krizne situacije, </w:t>
      </w:r>
    </w:p>
    <w:p w14:paraId="53DD3A8C" w14:textId="77777777" w:rsidR="00156E6C" w:rsidRPr="00FF3C31" w:rsidRDefault="00156E6C" w:rsidP="00156E6C">
      <w:pPr>
        <w:autoSpaceDE w:val="0"/>
        <w:autoSpaceDN w:val="0"/>
        <w:adjustRightInd w:val="0"/>
        <w:spacing w:after="0" w:line="240" w:lineRule="auto"/>
        <w:ind w:left="2836" w:firstLine="709"/>
        <w:jc w:val="both"/>
        <w:rPr>
          <w:rFonts w:ascii="Arial" w:hAnsi="Arial" w:cs="Arial"/>
          <w:color w:val="0070C0"/>
          <w:sz w:val="20"/>
          <w:szCs w:val="20"/>
        </w:rPr>
      </w:pPr>
      <w:r w:rsidRPr="00FF3C31">
        <w:rPr>
          <w:rFonts w:ascii="Arial" w:hAnsi="Arial" w:cs="Arial"/>
          <w:color w:val="0070C0"/>
          <w:sz w:val="20"/>
          <w:szCs w:val="20"/>
        </w:rPr>
        <w:t xml:space="preserve">mjerom 4.2.1. Poboljšanje sustava vatrogastva. </w:t>
      </w:r>
    </w:p>
    <w:p w14:paraId="15D24460" w14:textId="77777777" w:rsidR="00156E6C" w:rsidRPr="00FF3C31" w:rsidRDefault="00156E6C" w:rsidP="00B20566">
      <w:pPr>
        <w:autoSpaceDE w:val="0"/>
        <w:autoSpaceDN w:val="0"/>
        <w:adjustRightInd w:val="0"/>
        <w:spacing w:after="0" w:line="240" w:lineRule="auto"/>
        <w:jc w:val="both"/>
        <w:rPr>
          <w:rFonts w:ascii="Arial" w:eastAsia="Times New Roman" w:hAnsi="Arial" w:cs="Arial"/>
          <w:sz w:val="20"/>
          <w:szCs w:val="20"/>
        </w:rPr>
      </w:pPr>
    </w:p>
    <w:p w14:paraId="546C892C" w14:textId="77777777" w:rsidR="002C794B" w:rsidRPr="00FF3C31" w:rsidRDefault="002C794B" w:rsidP="00B20566">
      <w:pPr>
        <w:autoSpaceDE w:val="0"/>
        <w:autoSpaceDN w:val="0"/>
        <w:adjustRightInd w:val="0"/>
        <w:spacing w:after="0" w:line="240" w:lineRule="auto"/>
        <w:jc w:val="both"/>
        <w:rPr>
          <w:rFonts w:ascii="Arial" w:eastAsia="Times New Roman" w:hAnsi="Arial" w:cs="Arial"/>
          <w:sz w:val="20"/>
          <w:szCs w:val="20"/>
        </w:rPr>
      </w:pPr>
    </w:p>
    <w:p w14:paraId="0A90D69B" w14:textId="163B0B19" w:rsidR="00B20566" w:rsidRPr="00FF3C31" w:rsidRDefault="00B20566" w:rsidP="00B20566">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 xml:space="preserve">K207307 Projektiranje i izgradnja </w:t>
      </w:r>
      <w:r w:rsidR="003D787D" w:rsidRPr="00FF3C31">
        <w:rPr>
          <w:rFonts w:ascii="Arial" w:eastAsia="Times New Roman" w:hAnsi="Arial" w:cs="Arial"/>
          <w:b/>
          <w:sz w:val="20"/>
          <w:szCs w:val="20"/>
        </w:rPr>
        <w:t>zajedničkog vatrogasnog doma i spremišta – Vatrogasni dom Gruda</w:t>
      </w:r>
    </w:p>
    <w:p w14:paraId="7185ACC1"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30416E03"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Pokazatelj rezultata je: postotak dovršenosti centra s vježbalištem – poligon za vatrogasce i heliodrom.</w:t>
      </w:r>
    </w:p>
    <w:p w14:paraId="59263358"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100% završenost projekta i 0% završenost izgradnje</w:t>
      </w:r>
    </w:p>
    <w:p w14:paraId="298C9109" w14:textId="4EC4998D" w:rsidR="00B20566" w:rsidRPr="00FF3C31" w:rsidRDefault="006F5B42" w:rsidP="00B20566">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C</w:t>
      </w:r>
      <w:r w:rsidR="00B20566" w:rsidRPr="00FF3C31">
        <w:rPr>
          <w:rFonts w:ascii="Arial" w:eastAsia="Times New Roman" w:hAnsi="Arial" w:cs="Arial"/>
          <w:sz w:val="20"/>
          <w:szCs w:val="20"/>
        </w:rPr>
        <w:t>iljna vrijednost 202</w:t>
      </w:r>
      <w:r w:rsidR="00E5738B">
        <w:rPr>
          <w:rFonts w:ascii="Arial" w:eastAsia="Times New Roman" w:hAnsi="Arial" w:cs="Arial"/>
          <w:sz w:val="20"/>
          <w:szCs w:val="20"/>
        </w:rPr>
        <w:t>5</w:t>
      </w:r>
      <w:r w:rsidR="00B20566" w:rsidRPr="00FF3C31">
        <w:rPr>
          <w:rFonts w:ascii="Arial" w:eastAsia="Times New Roman" w:hAnsi="Arial" w:cs="Arial"/>
          <w:sz w:val="20"/>
          <w:szCs w:val="20"/>
        </w:rPr>
        <w:t xml:space="preserve">. = </w:t>
      </w:r>
      <w:r w:rsidRPr="00FF3C31">
        <w:rPr>
          <w:rFonts w:ascii="Arial" w:eastAsia="Times New Roman" w:hAnsi="Arial" w:cs="Arial"/>
          <w:sz w:val="20"/>
          <w:szCs w:val="20"/>
        </w:rPr>
        <w:t>100</w:t>
      </w:r>
      <w:r w:rsidR="00B20566" w:rsidRPr="00FF3C31">
        <w:rPr>
          <w:rFonts w:ascii="Arial" w:eastAsia="Times New Roman" w:hAnsi="Arial" w:cs="Arial"/>
          <w:sz w:val="20"/>
          <w:szCs w:val="20"/>
        </w:rPr>
        <w:t xml:space="preserve"> % završenost izgradnje, za 202</w:t>
      </w:r>
      <w:r w:rsidR="00E5738B">
        <w:rPr>
          <w:rFonts w:ascii="Arial" w:eastAsia="Times New Roman" w:hAnsi="Arial" w:cs="Arial"/>
          <w:sz w:val="20"/>
          <w:szCs w:val="20"/>
        </w:rPr>
        <w:t>6</w:t>
      </w:r>
      <w:r w:rsidR="00B20566" w:rsidRPr="00FF3C31">
        <w:rPr>
          <w:rFonts w:ascii="Arial" w:eastAsia="Times New Roman" w:hAnsi="Arial" w:cs="Arial"/>
          <w:sz w:val="20"/>
          <w:szCs w:val="20"/>
        </w:rPr>
        <w:t>. = 100%, 202</w:t>
      </w:r>
      <w:r w:rsidR="00E5738B">
        <w:rPr>
          <w:rFonts w:ascii="Arial" w:eastAsia="Times New Roman" w:hAnsi="Arial" w:cs="Arial"/>
          <w:sz w:val="20"/>
          <w:szCs w:val="20"/>
        </w:rPr>
        <w:t>7</w:t>
      </w:r>
      <w:r w:rsidR="00B20566" w:rsidRPr="00FF3C31">
        <w:rPr>
          <w:rFonts w:ascii="Arial" w:eastAsia="Times New Roman" w:hAnsi="Arial" w:cs="Arial"/>
          <w:sz w:val="20"/>
          <w:szCs w:val="20"/>
        </w:rPr>
        <w:t>. = 100%</w:t>
      </w:r>
    </w:p>
    <w:p w14:paraId="10A4C67C" w14:textId="77777777" w:rsidR="00B20566" w:rsidRPr="00FF3C31" w:rsidRDefault="00B20566" w:rsidP="00B20566">
      <w:pPr>
        <w:autoSpaceDE w:val="0"/>
        <w:autoSpaceDN w:val="0"/>
        <w:adjustRightInd w:val="0"/>
        <w:spacing w:after="0" w:line="240" w:lineRule="auto"/>
        <w:jc w:val="both"/>
        <w:rPr>
          <w:rFonts w:ascii="Arial" w:eastAsia="Times New Roman" w:hAnsi="Arial" w:cs="Arial"/>
          <w:sz w:val="20"/>
          <w:szCs w:val="20"/>
        </w:rPr>
      </w:pPr>
    </w:p>
    <w:p w14:paraId="1C5F5013" w14:textId="700ED54B"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U 2016. su započeti poslovi izrade projekta. Procijenjena vrijednost investicije: 4.270.000 kn</w:t>
      </w:r>
      <w:r w:rsidR="003A3D59" w:rsidRPr="00EE21BE">
        <w:rPr>
          <w:rFonts w:ascii="Arial" w:eastAsia="Times New Roman" w:hAnsi="Arial" w:cs="Arial"/>
          <w:sz w:val="18"/>
          <w:szCs w:val="18"/>
        </w:rPr>
        <w:t xml:space="preserve"> / 566.726,39 €</w:t>
      </w:r>
      <w:r w:rsidRPr="00EE21BE">
        <w:rPr>
          <w:rFonts w:ascii="Arial" w:eastAsia="Times New Roman" w:hAnsi="Arial" w:cs="Arial"/>
          <w:sz w:val="18"/>
          <w:szCs w:val="18"/>
        </w:rPr>
        <w:t>.</w:t>
      </w:r>
    </w:p>
    <w:p w14:paraId="179C56CE" w14:textId="77777777"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p>
    <w:p w14:paraId="63BAD15C" w14:textId="5F4A62E0"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lastRenderedPageBreak/>
        <w:t xml:space="preserve">U </w:t>
      </w:r>
      <w:r w:rsidRPr="00EE21BE">
        <w:rPr>
          <w:rFonts w:ascii="Arial" w:eastAsia="Times New Roman" w:hAnsi="Arial" w:cs="Arial"/>
          <w:b/>
          <w:sz w:val="18"/>
          <w:szCs w:val="18"/>
        </w:rPr>
        <w:t>2017.</w:t>
      </w:r>
      <w:r w:rsidRPr="00EE21BE">
        <w:rPr>
          <w:rFonts w:ascii="Arial" w:eastAsia="Times New Roman" w:hAnsi="Arial" w:cs="Arial"/>
          <w:sz w:val="18"/>
          <w:szCs w:val="18"/>
        </w:rPr>
        <w:t xml:space="preserve"> ukupno izvršeni rashodi za ovaj projekt iznose 670.109,17 kn</w:t>
      </w:r>
      <w:r w:rsidR="003A3D59" w:rsidRPr="00EE21BE">
        <w:rPr>
          <w:rFonts w:ascii="Arial" w:eastAsia="Times New Roman" w:hAnsi="Arial" w:cs="Arial"/>
          <w:sz w:val="18"/>
          <w:szCs w:val="18"/>
        </w:rPr>
        <w:t xml:space="preserve"> / 88.938,77 €</w:t>
      </w:r>
      <w:r w:rsidRPr="00EE21BE">
        <w:rPr>
          <w:rFonts w:ascii="Arial" w:eastAsia="Times New Roman" w:hAnsi="Arial" w:cs="Arial"/>
          <w:sz w:val="18"/>
          <w:szCs w:val="18"/>
        </w:rPr>
        <w:t>. Dakle, tijekom 2017. je plaćena suglasnost za priključenja doma na elektroenergetsku mrežu u iznosu 101.250 kn. U 2017. je otkupljen dio zemljišta (dio č.zem. 1255 z.ul. 867 k.o. Gruda 1.492,59 m²) od fizičke osobe za izgradnju doma u ukupnom iznosu 120.109,17 kn</w:t>
      </w:r>
      <w:r w:rsidR="003A3D59" w:rsidRPr="00EE21BE">
        <w:rPr>
          <w:rFonts w:ascii="Arial" w:eastAsia="Times New Roman" w:hAnsi="Arial" w:cs="Arial"/>
          <w:sz w:val="18"/>
          <w:szCs w:val="18"/>
        </w:rPr>
        <w:t xml:space="preserve"> / 15.941,23 €</w:t>
      </w:r>
      <w:r w:rsidRPr="00EE21BE">
        <w:rPr>
          <w:rFonts w:ascii="Arial" w:eastAsia="Times New Roman" w:hAnsi="Arial" w:cs="Arial"/>
          <w:sz w:val="18"/>
          <w:szCs w:val="18"/>
        </w:rPr>
        <w:t>. Također, izrađena je projektno tehnička dokumentacija za vatrogasni centar u iznosu 248.750 kn</w:t>
      </w:r>
      <w:r w:rsidR="003A3D59" w:rsidRPr="00EE21BE">
        <w:rPr>
          <w:rFonts w:ascii="Arial" w:eastAsia="Times New Roman" w:hAnsi="Arial" w:cs="Arial"/>
          <w:sz w:val="18"/>
          <w:szCs w:val="18"/>
        </w:rPr>
        <w:t xml:space="preserve"> / 33.014,80 €</w:t>
      </w:r>
      <w:r w:rsidRPr="00EE21BE">
        <w:rPr>
          <w:rFonts w:ascii="Arial" w:eastAsia="Times New Roman" w:hAnsi="Arial" w:cs="Arial"/>
          <w:sz w:val="18"/>
          <w:szCs w:val="18"/>
        </w:rPr>
        <w:t>, s porezom na dodanu vrijednost i projektno tehnička dokumentacija za pristupnu prometnicu do centra u iznosu 200.000 kn</w:t>
      </w:r>
      <w:r w:rsidR="003A3D59" w:rsidRPr="00EE21BE">
        <w:rPr>
          <w:rFonts w:ascii="Arial" w:eastAsia="Times New Roman" w:hAnsi="Arial" w:cs="Arial"/>
          <w:sz w:val="18"/>
          <w:szCs w:val="18"/>
        </w:rPr>
        <w:t xml:space="preserve"> / 26.544,56 €</w:t>
      </w:r>
      <w:r w:rsidRPr="00EE21BE">
        <w:rPr>
          <w:rFonts w:ascii="Arial" w:eastAsia="Times New Roman" w:hAnsi="Arial" w:cs="Arial"/>
          <w:sz w:val="18"/>
          <w:szCs w:val="18"/>
        </w:rPr>
        <w:t>, s porezom na dodanu vrijednost.</w:t>
      </w:r>
    </w:p>
    <w:p w14:paraId="10FE9CED" w14:textId="77777777"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p>
    <w:p w14:paraId="12D6F629" w14:textId="77777777"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 xml:space="preserve">Dubrovačko-neretvanska županija, Upravni odjel za prostorno uređenje i gradnju izdala je 18.9.2017.godine </w:t>
      </w:r>
      <w:r w:rsidRPr="00EE21BE">
        <w:rPr>
          <w:rFonts w:ascii="Arial" w:eastAsia="Times New Roman" w:hAnsi="Arial" w:cs="Arial"/>
          <w:b/>
          <w:sz w:val="18"/>
          <w:szCs w:val="18"/>
          <w:u w:val="single"/>
        </w:rPr>
        <w:t>građevinsku dozvolu</w:t>
      </w:r>
      <w:r w:rsidRPr="00EE21BE">
        <w:rPr>
          <w:rFonts w:ascii="Arial" w:eastAsia="Times New Roman" w:hAnsi="Arial" w:cs="Arial"/>
          <w:sz w:val="18"/>
          <w:szCs w:val="18"/>
        </w:rPr>
        <w:t xml:space="preserve"> za izgradnju vatrogasnog edukacijskog centra Gruda. Predmet izgradnje je izgradnja vatrogasnog doma i prilazne prometnice sa parkiralištem, na građevnoj čestici 1264/1 k.o. Gruda. Zgrada vatrogasnog edukacijskog centra je ukupne katnosti podrum, prizemlje i kat površine 1.632 m². </w:t>
      </w:r>
    </w:p>
    <w:p w14:paraId="7919426C" w14:textId="77777777" w:rsidR="003A3D59" w:rsidRPr="00EE21BE" w:rsidRDefault="003A3D59" w:rsidP="00B20566">
      <w:pPr>
        <w:autoSpaceDE w:val="0"/>
        <w:autoSpaceDN w:val="0"/>
        <w:adjustRightInd w:val="0"/>
        <w:spacing w:after="0" w:line="240" w:lineRule="auto"/>
        <w:jc w:val="both"/>
        <w:rPr>
          <w:rFonts w:ascii="Arial" w:eastAsia="Times New Roman" w:hAnsi="Arial" w:cs="Arial"/>
          <w:sz w:val="18"/>
          <w:szCs w:val="18"/>
        </w:rPr>
      </w:pPr>
    </w:p>
    <w:p w14:paraId="60DBDFFF" w14:textId="35318AE4" w:rsidR="00571566" w:rsidRPr="00EE21BE" w:rsidRDefault="00B20566">
      <w:pPr>
        <w:pStyle w:val="Odlomakpopisa"/>
        <w:numPr>
          <w:ilvl w:val="0"/>
          <w:numId w:val="4"/>
        </w:numPr>
        <w:autoSpaceDE w:val="0"/>
        <w:autoSpaceDN w:val="0"/>
        <w:adjustRightInd w:val="0"/>
        <w:rPr>
          <w:rFonts w:ascii="Arial" w:hAnsi="Arial" w:cs="Arial"/>
          <w:sz w:val="18"/>
          <w:szCs w:val="18"/>
        </w:rPr>
      </w:pPr>
      <w:r w:rsidRPr="00EE21BE">
        <w:rPr>
          <w:rFonts w:ascii="Arial" w:hAnsi="Arial" w:cs="Arial"/>
          <w:b/>
          <w:sz w:val="18"/>
          <w:szCs w:val="18"/>
          <w:u w:val="single"/>
        </w:rPr>
        <w:t>Građevinska dozvola</w:t>
      </w:r>
      <w:r w:rsidRPr="00EE21BE">
        <w:rPr>
          <w:rFonts w:ascii="Arial" w:hAnsi="Arial" w:cs="Arial"/>
          <w:sz w:val="18"/>
          <w:szCs w:val="18"/>
        </w:rPr>
        <w:t xml:space="preserve"> za izgradnju vatrogasnog doma; KLASA: UP/I-361-03/17-01/000175; URBROJ:2117/1-23/1-2-17-7, Konavle, 18.9.2017. (PRAVOMOĆNA 13. listopada 2017.).</w:t>
      </w:r>
      <w:r w:rsidR="00571566" w:rsidRPr="00EE21BE">
        <w:rPr>
          <w:rFonts w:ascii="Arial" w:hAnsi="Arial" w:cs="Arial"/>
          <w:sz w:val="18"/>
          <w:szCs w:val="18"/>
        </w:rPr>
        <w:t xml:space="preserve"> Rješenje o produženju važenja građevinske dozvole izdano je 8.9.2020. (pravomoćno 6.10.2020.).</w:t>
      </w:r>
    </w:p>
    <w:p w14:paraId="533CB663" w14:textId="77777777" w:rsidR="00571566" w:rsidRPr="00EE21BE" w:rsidRDefault="00571566" w:rsidP="00B20566">
      <w:pPr>
        <w:autoSpaceDE w:val="0"/>
        <w:autoSpaceDN w:val="0"/>
        <w:adjustRightInd w:val="0"/>
        <w:spacing w:after="0" w:line="240" w:lineRule="auto"/>
        <w:jc w:val="both"/>
        <w:rPr>
          <w:rFonts w:ascii="Arial" w:eastAsia="Times New Roman" w:hAnsi="Arial" w:cs="Arial"/>
          <w:sz w:val="18"/>
          <w:szCs w:val="18"/>
        </w:rPr>
      </w:pPr>
    </w:p>
    <w:p w14:paraId="3E4137C2" w14:textId="7C41AA7A"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 xml:space="preserve">U 2018. godini su izvršeni rashodi u iznosu 10.202,83 kn </w:t>
      </w:r>
      <w:r w:rsidR="003A3D59" w:rsidRPr="00EE21BE">
        <w:rPr>
          <w:rFonts w:ascii="Arial" w:eastAsia="Times New Roman" w:hAnsi="Arial" w:cs="Arial"/>
          <w:sz w:val="18"/>
          <w:szCs w:val="18"/>
        </w:rPr>
        <w:t xml:space="preserve">/ 1.354,15 € </w:t>
      </w:r>
      <w:r w:rsidRPr="00EE21BE">
        <w:rPr>
          <w:rFonts w:ascii="Arial" w:eastAsia="Times New Roman" w:hAnsi="Arial" w:cs="Arial"/>
          <w:sz w:val="18"/>
          <w:szCs w:val="18"/>
        </w:rPr>
        <w:t xml:space="preserve">koji se odnose na plaćanje troškova vodnog doprinosa u iznosu 7.265,60 kn </w:t>
      </w:r>
      <w:r w:rsidR="003A3D59" w:rsidRPr="00EE21BE">
        <w:rPr>
          <w:rFonts w:ascii="Arial" w:eastAsia="Times New Roman" w:hAnsi="Arial" w:cs="Arial"/>
          <w:sz w:val="18"/>
          <w:szCs w:val="18"/>
        </w:rPr>
        <w:t xml:space="preserve">/ 964,31 € </w:t>
      </w:r>
      <w:r w:rsidRPr="00EE21BE">
        <w:rPr>
          <w:rFonts w:ascii="Arial" w:eastAsia="Times New Roman" w:hAnsi="Arial" w:cs="Arial"/>
          <w:sz w:val="18"/>
          <w:szCs w:val="18"/>
        </w:rPr>
        <w:t>i troškovi priključka električne energije i izdavanja elektroenergetske suglasnosti u iznosu 2.937,23 kn</w:t>
      </w:r>
      <w:r w:rsidR="003A3D59" w:rsidRPr="00EE21BE">
        <w:rPr>
          <w:rFonts w:ascii="Arial" w:eastAsia="Times New Roman" w:hAnsi="Arial" w:cs="Arial"/>
          <w:sz w:val="18"/>
          <w:szCs w:val="18"/>
        </w:rPr>
        <w:t xml:space="preserve"> / 389.84 €</w:t>
      </w:r>
      <w:r w:rsidRPr="00EE21BE">
        <w:rPr>
          <w:rFonts w:ascii="Arial" w:eastAsia="Times New Roman" w:hAnsi="Arial" w:cs="Arial"/>
          <w:sz w:val="18"/>
          <w:szCs w:val="18"/>
        </w:rPr>
        <w:t>.</w:t>
      </w:r>
    </w:p>
    <w:p w14:paraId="6704E238" w14:textId="77777777"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p>
    <w:p w14:paraId="416768E4" w14:textId="2E82938B"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Općini Konavle odobrena su EU sredstva za projekt izgradnje Vatrogasnog doma na Grudi. Ukupna vrijednost projekta je 12.097.345,98 kuna</w:t>
      </w:r>
      <w:r w:rsidR="003A3D59" w:rsidRPr="00EE21BE">
        <w:rPr>
          <w:rFonts w:ascii="Arial" w:eastAsia="Times New Roman" w:hAnsi="Arial" w:cs="Arial"/>
          <w:sz w:val="18"/>
          <w:szCs w:val="18"/>
        </w:rPr>
        <w:t xml:space="preserve"> / 1.605.593,73 €</w:t>
      </w:r>
      <w:r w:rsidRPr="00EE21BE">
        <w:rPr>
          <w:rFonts w:ascii="Arial" w:eastAsia="Times New Roman" w:hAnsi="Arial" w:cs="Arial"/>
          <w:sz w:val="18"/>
          <w:szCs w:val="18"/>
        </w:rPr>
        <w:t>, a intenzitet potpore 80 posto ukupnih prihvatljivih troškova odnosno 9.109.402,70 kuna</w:t>
      </w:r>
      <w:r w:rsidR="003A3D59" w:rsidRPr="00EE21BE">
        <w:rPr>
          <w:rFonts w:ascii="Arial" w:eastAsia="Times New Roman" w:hAnsi="Arial" w:cs="Arial"/>
          <w:sz w:val="18"/>
          <w:szCs w:val="18"/>
        </w:rPr>
        <w:t xml:space="preserve"> / 1.209.025,51 €</w:t>
      </w:r>
      <w:r w:rsidRPr="00EE21BE">
        <w:rPr>
          <w:rFonts w:ascii="Arial" w:eastAsia="Times New Roman" w:hAnsi="Arial" w:cs="Arial"/>
          <w:sz w:val="18"/>
          <w:szCs w:val="18"/>
        </w:rPr>
        <w:t xml:space="preserve"> bespovratnih sredstava EU. Projekt se financira iz Programa ruralnog razvija RH, M07 </w:t>
      </w:r>
      <w:r w:rsidR="00EE21BE">
        <w:rPr>
          <w:rFonts w:ascii="Arial" w:eastAsia="Times New Roman" w:hAnsi="Arial" w:cs="Arial"/>
          <w:sz w:val="18"/>
          <w:szCs w:val="18"/>
        </w:rPr>
        <w:t>–</w:t>
      </w:r>
      <w:r w:rsidRPr="00EE21BE">
        <w:rPr>
          <w:rFonts w:ascii="Arial" w:eastAsia="Times New Roman" w:hAnsi="Arial" w:cs="Arial"/>
          <w:sz w:val="18"/>
          <w:szCs w:val="18"/>
        </w:rPr>
        <w:t xml:space="preserve"> Temeljne usluge i obnova sela u ruralnim područjima, Sektor “Zajednički vatrogasni domovi”, kao zajednički projekt Općine Konavle i Općine Župa dubrovačka. U zgradi vatrogasnog doma je prostor za smještaj i boravak vatrogasaca te drugih interventnih i sigurnosnih službi, kao i smještaj te skladištenje odgovarajućih sredstava zaštite, vodeći pritom računa da je osigurana njihova stalna spremnost za brzu i efikasnu reakciju u slučaju nesreće.</w:t>
      </w:r>
    </w:p>
    <w:p w14:paraId="372FD7E8" w14:textId="243B2A2D" w:rsidR="00B20566" w:rsidRPr="00EE21BE" w:rsidRDefault="003A3D59"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G</w:t>
      </w:r>
      <w:r w:rsidR="00B20566" w:rsidRPr="00EE21BE">
        <w:rPr>
          <w:rFonts w:ascii="Arial" w:eastAsia="Times New Roman" w:hAnsi="Arial" w:cs="Arial"/>
          <w:sz w:val="18"/>
          <w:szCs w:val="18"/>
        </w:rPr>
        <w:t xml:space="preserve">araža </w:t>
      </w:r>
      <w:r w:rsidRPr="00EE21BE">
        <w:rPr>
          <w:rFonts w:ascii="Arial" w:eastAsia="Times New Roman" w:hAnsi="Arial" w:cs="Arial"/>
          <w:sz w:val="18"/>
          <w:szCs w:val="18"/>
        </w:rPr>
        <w:t xml:space="preserve">je </w:t>
      </w:r>
      <w:r w:rsidR="00B20566" w:rsidRPr="00EE21BE">
        <w:rPr>
          <w:rFonts w:ascii="Arial" w:eastAsia="Times New Roman" w:hAnsi="Arial" w:cs="Arial"/>
          <w:sz w:val="18"/>
          <w:szCs w:val="18"/>
        </w:rPr>
        <w:t>kapaciteta za sedam vatrogasnih vozila, od kojih je jedno parkirno mjesto predviđeno i za servisiranje i održavanje vozila. Izgradnjom vatrogasnog doma na Grudi osigura</w:t>
      </w:r>
      <w:r w:rsidRPr="00EE21BE">
        <w:rPr>
          <w:rFonts w:ascii="Arial" w:eastAsia="Times New Roman" w:hAnsi="Arial" w:cs="Arial"/>
          <w:sz w:val="18"/>
          <w:szCs w:val="18"/>
        </w:rPr>
        <w:t>va</w:t>
      </w:r>
      <w:r w:rsidR="00B20566" w:rsidRPr="00EE21BE">
        <w:rPr>
          <w:rFonts w:ascii="Arial" w:eastAsia="Times New Roman" w:hAnsi="Arial" w:cs="Arial"/>
          <w:sz w:val="18"/>
          <w:szCs w:val="18"/>
        </w:rPr>
        <w:t xml:space="preserve"> se kvalitetan prostor za obuku vatrogasnih i interventnih snaga koje sudjeluju u akcijama zaštite i spašavanja te borbe protiv požara. Također, maksimalno </w:t>
      </w:r>
      <w:r w:rsidRPr="00EE21BE">
        <w:rPr>
          <w:rFonts w:ascii="Arial" w:eastAsia="Times New Roman" w:hAnsi="Arial" w:cs="Arial"/>
          <w:sz w:val="18"/>
          <w:szCs w:val="18"/>
        </w:rPr>
        <w:t>se podiže</w:t>
      </w:r>
      <w:r w:rsidR="00B20566" w:rsidRPr="00EE21BE">
        <w:rPr>
          <w:rFonts w:ascii="Arial" w:eastAsia="Times New Roman" w:hAnsi="Arial" w:cs="Arial"/>
          <w:sz w:val="18"/>
          <w:szCs w:val="18"/>
        </w:rPr>
        <w:t xml:space="preserve"> operativna spremnost vatrogasnih snaga cijelog područja, jer se osigura</w:t>
      </w:r>
      <w:r w:rsidRPr="00EE21BE">
        <w:rPr>
          <w:rFonts w:ascii="Arial" w:eastAsia="Times New Roman" w:hAnsi="Arial" w:cs="Arial"/>
          <w:sz w:val="18"/>
          <w:szCs w:val="18"/>
        </w:rPr>
        <w:t>va</w:t>
      </w:r>
      <w:r w:rsidR="00B20566" w:rsidRPr="00EE21BE">
        <w:rPr>
          <w:rFonts w:ascii="Arial" w:eastAsia="Times New Roman" w:hAnsi="Arial" w:cs="Arial"/>
          <w:sz w:val="18"/>
          <w:szCs w:val="18"/>
        </w:rPr>
        <w:t xml:space="preserve"> kvalitetan prostor za obuku i edukaciju.</w:t>
      </w:r>
    </w:p>
    <w:p w14:paraId="417ABA65" w14:textId="77777777" w:rsidR="00B20566" w:rsidRPr="00EE21BE" w:rsidRDefault="00B20566" w:rsidP="00B20566">
      <w:pPr>
        <w:autoSpaceDE w:val="0"/>
        <w:autoSpaceDN w:val="0"/>
        <w:adjustRightInd w:val="0"/>
        <w:spacing w:after="0" w:line="240" w:lineRule="auto"/>
        <w:jc w:val="both"/>
        <w:rPr>
          <w:rFonts w:ascii="Arial" w:eastAsia="Times New Roman" w:hAnsi="Arial" w:cs="Arial"/>
          <w:bCs/>
          <w:sz w:val="18"/>
          <w:szCs w:val="18"/>
        </w:rPr>
      </w:pPr>
    </w:p>
    <w:p w14:paraId="1C4D89BD" w14:textId="77777777" w:rsidR="00B20566" w:rsidRPr="00EE21BE" w:rsidRDefault="00B20566" w:rsidP="00B20566">
      <w:pPr>
        <w:autoSpaceDE w:val="0"/>
        <w:autoSpaceDN w:val="0"/>
        <w:adjustRightInd w:val="0"/>
        <w:spacing w:after="0" w:line="240" w:lineRule="auto"/>
        <w:jc w:val="both"/>
        <w:rPr>
          <w:rFonts w:ascii="Arial" w:eastAsia="Times New Roman" w:hAnsi="Arial" w:cs="Arial"/>
          <w:bCs/>
          <w:sz w:val="18"/>
          <w:szCs w:val="18"/>
        </w:rPr>
      </w:pPr>
      <w:r w:rsidRPr="00EE21BE">
        <w:rPr>
          <w:rFonts w:ascii="Arial" w:eastAsia="Times New Roman" w:hAnsi="Arial" w:cs="Arial"/>
          <w:bCs/>
          <w:sz w:val="18"/>
          <w:szCs w:val="18"/>
        </w:rPr>
        <w:t>Ugovor o financiranju projekta izgradnje zajedničkog vatrogasnog doma i spremišta – Vatrogasni dom Gruda zaključen je 15.4.2019. s Agencijom za plaćanje u poljoprivredi, ribarstvu i ruralnom razvoju. Intenzitet potpore je 80% ukupno prihvatljivih troškova utvrđenih planom nabave, a procijenjeni iznos potpore je 9.109.402,70 kn.</w:t>
      </w:r>
    </w:p>
    <w:p w14:paraId="65A9D15A" w14:textId="77777777" w:rsidR="00B20566" w:rsidRPr="00EE21BE" w:rsidRDefault="00B20566" w:rsidP="00B20566">
      <w:pPr>
        <w:autoSpaceDE w:val="0"/>
        <w:autoSpaceDN w:val="0"/>
        <w:adjustRightInd w:val="0"/>
        <w:spacing w:after="0" w:line="240" w:lineRule="auto"/>
        <w:jc w:val="both"/>
        <w:rPr>
          <w:rFonts w:ascii="Arial" w:eastAsia="Times New Roman" w:hAnsi="Arial" w:cs="Arial"/>
          <w:bCs/>
          <w:sz w:val="18"/>
          <w:szCs w:val="18"/>
        </w:rPr>
      </w:pPr>
    </w:p>
    <w:p w14:paraId="020F3749" w14:textId="26E7382C" w:rsidR="00B20566" w:rsidRPr="00EE21BE" w:rsidRDefault="00B20566" w:rsidP="00B20566">
      <w:pPr>
        <w:autoSpaceDE w:val="0"/>
        <w:autoSpaceDN w:val="0"/>
        <w:adjustRightInd w:val="0"/>
        <w:spacing w:after="0" w:line="240" w:lineRule="auto"/>
        <w:jc w:val="both"/>
        <w:rPr>
          <w:rFonts w:ascii="Arial" w:eastAsia="Times New Roman" w:hAnsi="Arial" w:cs="Arial"/>
          <w:b/>
          <w:bCs/>
          <w:sz w:val="18"/>
          <w:szCs w:val="18"/>
        </w:rPr>
      </w:pPr>
      <w:r w:rsidRPr="00EE21BE">
        <w:rPr>
          <w:rFonts w:ascii="Arial" w:eastAsia="Times New Roman" w:hAnsi="Arial" w:cs="Arial"/>
          <w:sz w:val="18"/>
          <w:szCs w:val="18"/>
        </w:rPr>
        <w:t>Postupak javne nabave za odabir izvoditelja radova je poništen u ožujku 2020. Novi postupak nabave</w:t>
      </w:r>
      <w:r w:rsidRPr="00EE21BE">
        <w:rPr>
          <w:rFonts w:ascii="Arial" w:eastAsia="Times New Roman" w:hAnsi="Arial" w:cs="Arial"/>
          <w:bCs/>
          <w:sz w:val="18"/>
          <w:szCs w:val="18"/>
        </w:rPr>
        <w:t xml:space="preserve"> </w:t>
      </w:r>
      <w:r w:rsidRPr="00EE21BE">
        <w:rPr>
          <w:rFonts w:ascii="Arial" w:eastAsia="Times New Roman" w:hAnsi="Arial" w:cs="Arial"/>
          <w:b/>
          <w:sz w:val="18"/>
          <w:szCs w:val="18"/>
        </w:rPr>
        <w:t>izgradnje i opremanja zajedničkog vatrogasnog doma i spremišta</w:t>
      </w:r>
      <w:r w:rsidRPr="00EE21BE">
        <w:rPr>
          <w:rFonts w:ascii="Arial" w:eastAsia="Times New Roman" w:hAnsi="Arial" w:cs="Arial"/>
          <w:sz w:val="18"/>
          <w:szCs w:val="18"/>
        </w:rPr>
        <w:t xml:space="preserve"> je započeo u studenom 2020., a ugovor o izvođenju radova s odabranim izvoditeljem (zajednica ponuditelja Magnum supra d.o.o. Dubrovnik i Elektrocentar Petek d.o.o. Ivanić grad) je zaključen 12.2.2021. </w:t>
      </w:r>
      <w:r w:rsidRPr="00EE21BE">
        <w:rPr>
          <w:rFonts w:ascii="Arial" w:eastAsia="Times New Roman" w:hAnsi="Arial" w:cs="Arial"/>
          <w:b/>
          <w:bCs/>
          <w:sz w:val="18"/>
          <w:szCs w:val="18"/>
        </w:rPr>
        <w:t xml:space="preserve">u vrijednosti 11.320.642,60 kn </w:t>
      </w:r>
      <w:r w:rsidR="003A3D59" w:rsidRPr="00EE21BE">
        <w:rPr>
          <w:rFonts w:ascii="Arial" w:eastAsia="Times New Roman" w:hAnsi="Arial" w:cs="Arial"/>
          <w:b/>
          <w:bCs/>
          <w:sz w:val="18"/>
          <w:szCs w:val="18"/>
        </w:rPr>
        <w:t xml:space="preserve">/ 1.502.507,48 € </w:t>
      </w:r>
      <w:r w:rsidRPr="00EE21BE">
        <w:rPr>
          <w:rFonts w:ascii="Arial" w:eastAsia="Times New Roman" w:hAnsi="Arial" w:cs="Arial"/>
          <w:b/>
          <w:bCs/>
          <w:sz w:val="18"/>
          <w:szCs w:val="18"/>
        </w:rPr>
        <w:t>što s porezom na dodanu vrijednost čini 14.150.803,25 kn</w:t>
      </w:r>
      <w:r w:rsidR="00806E22" w:rsidRPr="00EE21BE">
        <w:rPr>
          <w:rFonts w:ascii="Arial" w:eastAsia="Times New Roman" w:hAnsi="Arial" w:cs="Arial"/>
          <w:b/>
          <w:bCs/>
          <w:sz w:val="18"/>
          <w:szCs w:val="18"/>
        </w:rPr>
        <w:t xml:space="preserve"> (1.878.134,35 €)</w:t>
      </w:r>
      <w:r w:rsidRPr="00EE21BE">
        <w:rPr>
          <w:rFonts w:ascii="Arial" w:eastAsia="Times New Roman" w:hAnsi="Arial" w:cs="Arial"/>
          <w:b/>
          <w:bCs/>
          <w:sz w:val="18"/>
          <w:szCs w:val="18"/>
        </w:rPr>
        <w:t>.</w:t>
      </w:r>
    </w:p>
    <w:p w14:paraId="1CC88C1E" w14:textId="77777777"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p>
    <w:p w14:paraId="1AAC80A6" w14:textId="5CFDB564"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 xml:space="preserve">Stvarno nabavljena količina predmeta nabave može biti veća ili manja od predviđene količine. Obračun i plaćanje radova se vrši prema principu „ključ u ruke“. Rok za izvođenje radova je 12 mjeseci od dana uvođenja u posao. Ukoliko Naručitelj produži rok dovršetka to </w:t>
      </w:r>
      <w:r w:rsidR="00227DCD" w:rsidRPr="00EE21BE">
        <w:rPr>
          <w:rFonts w:ascii="Arial" w:eastAsia="Times New Roman" w:hAnsi="Arial" w:cs="Arial"/>
          <w:sz w:val="18"/>
          <w:szCs w:val="18"/>
        </w:rPr>
        <w:t>ne</w:t>
      </w:r>
      <w:r w:rsidRPr="00EE21BE">
        <w:rPr>
          <w:rFonts w:ascii="Arial" w:eastAsia="Times New Roman" w:hAnsi="Arial" w:cs="Arial"/>
          <w:sz w:val="18"/>
          <w:szCs w:val="18"/>
        </w:rPr>
        <w:t xml:space="preserve"> utje</w:t>
      </w:r>
      <w:r w:rsidR="00227DCD" w:rsidRPr="00EE21BE">
        <w:rPr>
          <w:rFonts w:ascii="Arial" w:eastAsia="Times New Roman" w:hAnsi="Arial" w:cs="Arial"/>
          <w:sz w:val="18"/>
          <w:szCs w:val="18"/>
        </w:rPr>
        <w:t>če</w:t>
      </w:r>
      <w:r w:rsidRPr="00EE21BE">
        <w:rPr>
          <w:rFonts w:ascii="Arial" w:eastAsia="Times New Roman" w:hAnsi="Arial" w:cs="Arial"/>
          <w:sz w:val="18"/>
          <w:szCs w:val="18"/>
        </w:rPr>
        <w:t xml:space="preserve"> na ugovorenu cijenu.</w:t>
      </w:r>
    </w:p>
    <w:p w14:paraId="66D013C7" w14:textId="77777777"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Jamstvo za dobro izvršenje ugovora je bankarska garancija 10% (10 posto) od vrijednosti ugovora bez PDV-a s klauzulom „plativo na prvi poziv“ odnosno „bez prava prigovora“, mora biti bezuvjetno i s rokom važenja 60 dana dužim od isteka ugovorenog roka za ispunjenje ugovora.</w:t>
      </w:r>
    </w:p>
    <w:p w14:paraId="5793B154" w14:textId="77777777"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 xml:space="preserve">Za otklanjanje nedostataka koji bi se eventualno mogli pojaviti u jamstvenom roku, a za slučaj da se ne ispuni obveza otklanjanja nedostataka ili se ne naknadi nastala šteta, odabrani ponuditelj se obvezuje da će Naručitelju na dan izvršenja primopredaje predati jamstvo za otklanjanje nedostataka u jamstvenom roku u obliku zadužnice ovjerene od strane javnog bilježnika u visini od 10% vrijednosti ugovora bez PDV-a. </w:t>
      </w:r>
    </w:p>
    <w:p w14:paraId="5806BCE7" w14:textId="77777777"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Ako izvođač ne izvrši svoje obveze koje su predmet Ugovora u ugovorenim rokovima, Naručitelj ima pravo naplatiti od Izvođača ugovornu kaznu u visini od 1‰ (jednog promila) dnevno od ugovorene cijene i to za svaki dan zakašnjenja, a maksimalno do 10% (deset posto) ugovorene cijene s PDV-om.</w:t>
      </w:r>
    </w:p>
    <w:p w14:paraId="1589DE82" w14:textId="77777777"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p>
    <w:p w14:paraId="6529ECFA" w14:textId="6D52DF5D"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Usluge stručnog nadzora nad izgradnjom i opremanjem su ugovorene u iznosu 126.600 kn</w:t>
      </w:r>
      <w:r w:rsidR="00227DCD" w:rsidRPr="00EE21BE">
        <w:rPr>
          <w:rFonts w:ascii="Arial" w:eastAsia="Times New Roman" w:hAnsi="Arial" w:cs="Arial"/>
          <w:sz w:val="18"/>
          <w:szCs w:val="18"/>
        </w:rPr>
        <w:t xml:space="preserve"> / 16.802,71 €</w:t>
      </w:r>
      <w:r w:rsidRPr="00EE21BE">
        <w:rPr>
          <w:rFonts w:ascii="Arial" w:eastAsia="Times New Roman" w:hAnsi="Arial" w:cs="Arial"/>
          <w:sz w:val="18"/>
          <w:szCs w:val="18"/>
        </w:rPr>
        <w:t>, bez poreza na dodanu vrijednost (158.250 kn s PDV-om</w:t>
      </w:r>
      <w:r w:rsidR="00806E22" w:rsidRPr="00EE21BE">
        <w:rPr>
          <w:rFonts w:ascii="Arial" w:eastAsia="Times New Roman" w:hAnsi="Arial" w:cs="Arial"/>
          <w:sz w:val="18"/>
          <w:szCs w:val="18"/>
        </w:rPr>
        <w:t xml:space="preserve"> / 21.003,38 €</w:t>
      </w:r>
      <w:r w:rsidRPr="00EE21BE">
        <w:rPr>
          <w:rFonts w:ascii="Arial" w:eastAsia="Times New Roman" w:hAnsi="Arial" w:cs="Arial"/>
          <w:sz w:val="18"/>
          <w:szCs w:val="18"/>
        </w:rPr>
        <w:t xml:space="preserve">) prema ugovoru od 13.4.2021. (Deltagrad d.o.o. Dubrovnik). </w:t>
      </w:r>
    </w:p>
    <w:p w14:paraId="1475252A" w14:textId="77777777"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p>
    <w:p w14:paraId="6D1F76C6" w14:textId="77777777"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 xml:space="preserve">Prema izvještaju o stanju radova iz lipnja 2021., </w:t>
      </w:r>
      <w:r w:rsidRPr="00EE21BE">
        <w:rPr>
          <w:rFonts w:ascii="Arial" w:eastAsia="Times New Roman" w:hAnsi="Arial" w:cs="Arial"/>
          <w:b/>
          <w:bCs/>
          <w:sz w:val="18"/>
          <w:szCs w:val="18"/>
        </w:rPr>
        <w:t>službeni početak radova je 18.5.2021</w:t>
      </w:r>
      <w:r w:rsidRPr="00EE21BE">
        <w:rPr>
          <w:rFonts w:ascii="Arial" w:eastAsia="Times New Roman" w:hAnsi="Arial" w:cs="Arial"/>
          <w:sz w:val="18"/>
          <w:szCs w:val="18"/>
        </w:rPr>
        <w:t>. što je upisano u građevinski dnevnik.</w:t>
      </w:r>
    </w:p>
    <w:p w14:paraId="6B1C84CF" w14:textId="09B08884"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p>
    <w:p w14:paraId="5471D4D1" w14:textId="788184B1" w:rsidR="00F32985" w:rsidRPr="00EE21BE" w:rsidRDefault="00F32985"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lastRenderedPageBreak/>
        <w:t>U 2021. su izvršeni rashodi u iznosu 4.349.082,94 kn</w:t>
      </w:r>
      <w:r w:rsidR="00227DCD" w:rsidRPr="00EE21BE">
        <w:rPr>
          <w:rFonts w:ascii="Arial" w:eastAsia="Times New Roman" w:hAnsi="Arial" w:cs="Arial"/>
          <w:sz w:val="18"/>
          <w:szCs w:val="18"/>
        </w:rPr>
        <w:t xml:space="preserve"> / 577.222,50 €</w:t>
      </w:r>
      <w:r w:rsidRPr="00EE21BE">
        <w:rPr>
          <w:rFonts w:ascii="Arial" w:eastAsia="Times New Roman" w:hAnsi="Arial" w:cs="Arial"/>
          <w:sz w:val="18"/>
          <w:szCs w:val="18"/>
        </w:rPr>
        <w:t>, a odnose se na:</w:t>
      </w:r>
    </w:p>
    <w:p w14:paraId="39FF799C" w14:textId="041E772E" w:rsidR="00F32985" w:rsidRPr="00EE21BE" w:rsidRDefault="00F32985">
      <w:pPr>
        <w:pStyle w:val="Odlomakpopisa"/>
        <w:numPr>
          <w:ilvl w:val="0"/>
          <w:numId w:val="8"/>
        </w:numPr>
        <w:autoSpaceDE w:val="0"/>
        <w:autoSpaceDN w:val="0"/>
        <w:adjustRightInd w:val="0"/>
        <w:rPr>
          <w:rFonts w:ascii="Arial" w:hAnsi="Arial" w:cs="Arial"/>
          <w:sz w:val="18"/>
          <w:szCs w:val="18"/>
        </w:rPr>
      </w:pPr>
      <w:r w:rsidRPr="00EE21BE">
        <w:rPr>
          <w:rFonts w:ascii="Arial" w:hAnsi="Arial" w:cs="Arial"/>
          <w:sz w:val="18"/>
          <w:szCs w:val="18"/>
        </w:rPr>
        <w:t>8.privremenih situacija za izvedene radove u ukupnom iznosu 4.245.832,94 kn</w:t>
      </w:r>
      <w:r w:rsidR="00227DCD" w:rsidRPr="00EE21BE">
        <w:rPr>
          <w:rFonts w:ascii="Arial" w:hAnsi="Arial" w:cs="Arial"/>
          <w:sz w:val="18"/>
          <w:szCs w:val="18"/>
        </w:rPr>
        <w:t xml:space="preserve"> / 563.518,87 €</w:t>
      </w:r>
      <w:r w:rsidRPr="00EE21BE">
        <w:rPr>
          <w:rFonts w:ascii="Arial" w:hAnsi="Arial" w:cs="Arial"/>
          <w:sz w:val="18"/>
          <w:szCs w:val="18"/>
        </w:rPr>
        <w:t>,</w:t>
      </w:r>
    </w:p>
    <w:p w14:paraId="263F63EB" w14:textId="5A0076E3" w:rsidR="00F32985" w:rsidRPr="00EE21BE" w:rsidRDefault="00F32985">
      <w:pPr>
        <w:pStyle w:val="Odlomakpopisa"/>
        <w:numPr>
          <w:ilvl w:val="0"/>
          <w:numId w:val="8"/>
        </w:numPr>
        <w:autoSpaceDE w:val="0"/>
        <w:autoSpaceDN w:val="0"/>
        <w:adjustRightInd w:val="0"/>
        <w:rPr>
          <w:rFonts w:ascii="Arial" w:hAnsi="Arial" w:cs="Arial"/>
          <w:sz w:val="18"/>
          <w:szCs w:val="18"/>
        </w:rPr>
      </w:pPr>
      <w:r w:rsidRPr="00EE21BE">
        <w:rPr>
          <w:rFonts w:ascii="Arial" w:hAnsi="Arial" w:cs="Arial"/>
          <w:sz w:val="18"/>
          <w:szCs w:val="18"/>
        </w:rPr>
        <w:t>stručni i obračunski nadzor nad izvođenjem radova u iznosu 98.000 kn</w:t>
      </w:r>
      <w:r w:rsidR="00227DCD" w:rsidRPr="00EE21BE">
        <w:rPr>
          <w:rFonts w:ascii="Arial" w:hAnsi="Arial" w:cs="Arial"/>
          <w:sz w:val="18"/>
          <w:szCs w:val="18"/>
        </w:rPr>
        <w:t xml:space="preserve"> / 13.006,84 €</w:t>
      </w:r>
      <w:r w:rsidRPr="00EE21BE">
        <w:rPr>
          <w:rFonts w:ascii="Arial" w:hAnsi="Arial" w:cs="Arial"/>
          <w:sz w:val="18"/>
          <w:szCs w:val="18"/>
        </w:rPr>
        <w:t xml:space="preserve">, te </w:t>
      </w:r>
    </w:p>
    <w:p w14:paraId="127862F7" w14:textId="601C99E0" w:rsidR="00F32985" w:rsidRPr="00EE21BE" w:rsidRDefault="00F32985">
      <w:pPr>
        <w:pStyle w:val="Odlomakpopisa"/>
        <w:numPr>
          <w:ilvl w:val="0"/>
          <w:numId w:val="8"/>
        </w:numPr>
        <w:autoSpaceDE w:val="0"/>
        <w:autoSpaceDN w:val="0"/>
        <w:adjustRightInd w:val="0"/>
        <w:rPr>
          <w:rFonts w:ascii="Arial" w:hAnsi="Arial" w:cs="Arial"/>
          <w:sz w:val="18"/>
          <w:szCs w:val="18"/>
        </w:rPr>
      </w:pPr>
      <w:r w:rsidRPr="00EE21BE">
        <w:rPr>
          <w:rFonts w:ascii="Arial" w:hAnsi="Arial" w:cs="Arial"/>
          <w:sz w:val="18"/>
          <w:szCs w:val="18"/>
        </w:rPr>
        <w:t>izradu geodetskog elaborata za izdvajanje u novu građevinsku česticu č.zem. 299/1 k.o. Gruda u iznosu 5.250 kn</w:t>
      </w:r>
      <w:r w:rsidR="00227DCD" w:rsidRPr="00EE21BE">
        <w:rPr>
          <w:rFonts w:ascii="Arial" w:hAnsi="Arial" w:cs="Arial"/>
          <w:sz w:val="18"/>
          <w:szCs w:val="18"/>
        </w:rPr>
        <w:t xml:space="preserve"> / 696,79 €</w:t>
      </w:r>
      <w:r w:rsidRPr="00EE21BE">
        <w:rPr>
          <w:rFonts w:ascii="Arial" w:hAnsi="Arial" w:cs="Arial"/>
          <w:sz w:val="18"/>
          <w:szCs w:val="18"/>
        </w:rPr>
        <w:t>.</w:t>
      </w:r>
    </w:p>
    <w:p w14:paraId="0D97AB91" w14:textId="77777777" w:rsidR="00F32985" w:rsidRPr="00EE21BE" w:rsidRDefault="00F32985" w:rsidP="00B20566">
      <w:pPr>
        <w:autoSpaceDE w:val="0"/>
        <w:autoSpaceDN w:val="0"/>
        <w:adjustRightInd w:val="0"/>
        <w:spacing w:after="0" w:line="240" w:lineRule="auto"/>
        <w:jc w:val="both"/>
        <w:rPr>
          <w:rFonts w:ascii="Arial" w:eastAsia="Times New Roman" w:hAnsi="Arial" w:cs="Arial"/>
          <w:sz w:val="18"/>
          <w:szCs w:val="18"/>
        </w:rPr>
      </w:pPr>
    </w:p>
    <w:p w14:paraId="401FF535" w14:textId="2019013A"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 xml:space="preserve">Do konca 2021. izvoditelj je ispostavio </w:t>
      </w:r>
      <w:r w:rsidR="00F32985" w:rsidRPr="00EE21BE">
        <w:rPr>
          <w:rFonts w:ascii="Arial" w:eastAsia="Times New Roman" w:hAnsi="Arial" w:cs="Arial"/>
          <w:sz w:val="18"/>
          <w:szCs w:val="18"/>
        </w:rPr>
        <w:t>osam privremenih situacija</w:t>
      </w:r>
      <w:r w:rsidRPr="00EE21BE">
        <w:rPr>
          <w:rFonts w:ascii="Arial" w:eastAsia="Times New Roman" w:hAnsi="Arial" w:cs="Arial"/>
          <w:sz w:val="18"/>
          <w:szCs w:val="18"/>
        </w:rPr>
        <w:t xml:space="preserve"> u iznosu </w:t>
      </w:r>
      <w:r w:rsidR="00F32985" w:rsidRPr="00EE21BE">
        <w:rPr>
          <w:rFonts w:ascii="Arial" w:eastAsia="Times New Roman" w:hAnsi="Arial" w:cs="Arial"/>
          <w:sz w:val="18"/>
          <w:szCs w:val="18"/>
        </w:rPr>
        <w:t>3.396.666,35</w:t>
      </w:r>
      <w:r w:rsidRPr="00EE21BE">
        <w:rPr>
          <w:rFonts w:ascii="Arial" w:eastAsia="Times New Roman" w:hAnsi="Arial" w:cs="Arial"/>
          <w:sz w:val="18"/>
          <w:szCs w:val="18"/>
        </w:rPr>
        <w:t xml:space="preserve"> kn</w:t>
      </w:r>
      <w:r w:rsidR="00227DCD" w:rsidRPr="00EE21BE">
        <w:rPr>
          <w:rFonts w:ascii="Arial" w:eastAsia="Times New Roman" w:hAnsi="Arial" w:cs="Arial"/>
          <w:sz w:val="18"/>
          <w:szCs w:val="18"/>
        </w:rPr>
        <w:t xml:space="preserve"> / 450.815,10 €</w:t>
      </w:r>
      <w:r w:rsidRPr="00EE21BE">
        <w:rPr>
          <w:rFonts w:ascii="Arial" w:eastAsia="Times New Roman" w:hAnsi="Arial" w:cs="Arial"/>
          <w:sz w:val="18"/>
          <w:szCs w:val="18"/>
        </w:rPr>
        <w:t xml:space="preserve">, bez poreza na dodanu vrijednost (odnosno </w:t>
      </w:r>
      <w:r w:rsidR="00F32985" w:rsidRPr="00EE21BE">
        <w:rPr>
          <w:rFonts w:ascii="Arial" w:eastAsia="Times New Roman" w:hAnsi="Arial" w:cs="Arial"/>
          <w:sz w:val="18"/>
          <w:szCs w:val="18"/>
        </w:rPr>
        <w:t>4.245.832,94</w:t>
      </w:r>
      <w:r w:rsidRPr="00EE21BE">
        <w:rPr>
          <w:rFonts w:ascii="Arial" w:eastAsia="Times New Roman" w:hAnsi="Arial" w:cs="Arial"/>
          <w:sz w:val="18"/>
          <w:szCs w:val="18"/>
        </w:rPr>
        <w:t xml:space="preserve"> kn</w:t>
      </w:r>
      <w:r w:rsidR="00227DCD" w:rsidRPr="00EE21BE">
        <w:rPr>
          <w:rFonts w:ascii="Arial" w:eastAsia="Times New Roman" w:hAnsi="Arial" w:cs="Arial"/>
          <w:sz w:val="18"/>
          <w:szCs w:val="18"/>
        </w:rPr>
        <w:t xml:space="preserve"> / 563.518,87 €</w:t>
      </w:r>
      <w:r w:rsidRPr="00EE21BE">
        <w:rPr>
          <w:rFonts w:ascii="Arial" w:eastAsia="Times New Roman" w:hAnsi="Arial" w:cs="Arial"/>
          <w:sz w:val="18"/>
          <w:szCs w:val="18"/>
        </w:rPr>
        <w:t xml:space="preserve"> s PDV-om). </w:t>
      </w:r>
      <w:r w:rsidR="00F32985" w:rsidRPr="00EE21BE">
        <w:rPr>
          <w:rFonts w:ascii="Arial" w:eastAsia="Times New Roman" w:hAnsi="Arial" w:cs="Arial"/>
          <w:sz w:val="18"/>
          <w:szCs w:val="18"/>
        </w:rPr>
        <w:t>Do konca prosinca 2021. ispostavljeni su računi za obavljanje nadzora stručnog i obračunskog nadzora u iznosu 98.000 kn, s PDV-om.</w:t>
      </w:r>
    </w:p>
    <w:p w14:paraId="250EBD69" w14:textId="77777777"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lang w:eastAsia="en-US"/>
        </w:rPr>
      </w:pPr>
    </w:p>
    <w:p w14:paraId="41851FBD" w14:textId="700E7467" w:rsidR="00B20566" w:rsidRPr="00EE21BE" w:rsidRDefault="00B20566" w:rsidP="00B20566">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 xml:space="preserve">Postotak dovršenosti radova </w:t>
      </w:r>
      <w:r w:rsidRPr="00EE21BE">
        <w:rPr>
          <w:rFonts w:ascii="Arial" w:eastAsia="Times New Roman" w:hAnsi="Arial" w:cs="Arial"/>
          <w:b/>
          <w:sz w:val="18"/>
          <w:szCs w:val="18"/>
        </w:rPr>
        <w:t>koncem 2021.</w:t>
      </w:r>
      <w:r w:rsidRPr="00EE21BE">
        <w:rPr>
          <w:rFonts w:ascii="Arial" w:eastAsia="Times New Roman" w:hAnsi="Arial" w:cs="Arial"/>
          <w:bCs/>
          <w:sz w:val="18"/>
          <w:szCs w:val="18"/>
        </w:rPr>
        <w:t xml:space="preserve"> je</w:t>
      </w:r>
      <w:r w:rsidRPr="00EE21BE">
        <w:rPr>
          <w:rFonts w:ascii="Arial" w:eastAsia="Times New Roman" w:hAnsi="Arial" w:cs="Arial"/>
          <w:sz w:val="18"/>
          <w:szCs w:val="18"/>
        </w:rPr>
        <w:t xml:space="preserve"> </w:t>
      </w:r>
      <w:r w:rsidR="00EA715F" w:rsidRPr="00EE21BE">
        <w:rPr>
          <w:rFonts w:ascii="Arial" w:eastAsia="Times New Roman" w:hAnsi="Arial" w:cs="Arial"/>
          <w:sz w:val="18"/>
          <w:szCs w:val="18"/>
        </w:rPr>
        <w:t>30</w:t>
      </w:r>
      <w:r w:rsidRPr="00EE21BE">
        <w:rPr>
          <w:rFonts w:ascii="Arial" w:eastAsia="Times New Roman" w:hAnsi="Arial" w:cs="Arial"/>
          <w:sz w:val="18"/>
          <w:szCs w:val="18"/>
        </w:rPr>
        <w:t>%.</w:t>
      </w:r>
    </w:p>
    <w:p w14:paraId="34DCE687" w14:textId="77777777" w:rsidR="00C00AC8" w:rsidRPr="00EE21BE" w:rsidRDefault="00C00AC8" w:rsidP="006F5B42">
      <w:pPr>
        <w:autoSpaceDE w:val="0"/>
        <w:autoSpaceDN w:val="0"/>
        <w:adjustRightInd w:val="0"/>
        <w:spacing w:after="0" w:line="240" w:lineRule="auto"/>
        <w:jc w:val="both"/>
        <w:rPr>
          <w:rFonts w:ascii="Arial" w:eastAsia="Calibri" w:hAnsi="Arial" w:cs="Arial"/>
          <w:sz w:val="18"/>
          <w:szCs w:val="18"/>
        </w:rPr>
      </w:pPr>
    </w:p>
    <w:p w14:paraId="0FBA31AA" w14:textId="3976893A" w:rsidR="00C00AC8" w:rsidRPr="00EE21BE" w:rsidRDefault="00C00AC8" w:rsidP="006F5B42">
      <w:pPr>
        <w:autoSpaceDE w:val="0"/>
        <w:autoSpaceDN w:val="0"/>
        <w:adjustRightInd w:val="0"/>
        <w:spacing w:after="0" w:line="240" w:lineRule="auto"/>
        <w:jc w:val="both"/>
        <w:rPr>
          <w:rFonts w:ascii="Arial" w:eastAsia="Calibri" w:hAnsi="Arial" w:cs="Arial"/>
          <w:sz w:val="18"/>
          <w:szCs w:val="18"/>
        </w:rPr>
      </w:pPr>
      <w:r w:rsidRPr="00EE21BE">
        <w:rPr>
          <w:rFonts w:ascii="Arial" w:eastAsia="Calibri" w:hAnsi="Arial" w:cs="Arial"/>
          <w:sz w:val="18"/>
          <w:szCs w:val="18"/>
        </w:rPr>
        <w:t>Za izgradnju tlačnog kolektora otpadne odvodnje i javnog vodoopskrbnog cjevovoda potrebnog za spajanje vatrogasnog doma zaključen je</w:t>
      </w:r>
      <w:r w:rsidR="0051643C" w:rsidRPr="00EE21BE">
        <w:rPr>
          <w:rFonts w:ascii="Arial" w:eastAsia="Calibri" w:hAnsi="Arial" w:cs="Arial"/>
          <w:sz w:val="18"/>
          <w:szCs w:val="18"/>
        </w:rPr>
        <w:t xml:space="preserve"> u travnju 2022.</w:t>
      </w:r>
      <w:r w:rsidRPr="00EE21BE">
        <w:rPr>
          <w:rFonts w:ascii="Arial" w:eastAsia="Calibri" w:hAnsi="Arial" w:cs="Arial"/>
          <w:sz w:val="18"/>
          <w:szCs w:val="18"/>
        </w:rPr>
        <w:t xml:space="preserve"> ugovor </w:t>
      </w:r>
      <w:r w:rsidR="0051643C" w:rsidRPr="00EE21BE">
        <w:rPr>
          <w:rFonts w:ascii="Arial" w:eastAsia="Calibri" w:hAnsi="Arial" w:cs="Arial"/>
          <w:sz w:val="18"/>
          <w:szCs w:val="18"/>
        </w:rPr>
        <w:t xml:space="preserve">s izvođačem u vrijednosti 459.586,06 kn </w:t>
      </w:r>
      <w:r w:rsidR="00227DCD" w:rsidRPr="00EE21BE">
        <w:rPr>
          <w:rFonts w:ascii="Arial" w:eastAsia="Calibri" w:hAnsi="Arial" w:cs="Arial"/>
          <w:sz w:val="18"/>
          <w:szCs w:val="18"/>
        </w:rPr>
        <w:t xml:space="preserve">/ 60.997,55 € </w:t>
      </w:r>
      <w:r w:rsidR="0051643C" w:rsidRPr="00EE21BE">
        <w:rPr>
          <w:rFonts w:ascii="Arial" w:eastAsia="Calibri" w:hAnsi="Arial" w:cs="Arial"/>
          <w:sz w:val="18"/>
          <w:szCs w:val="18"/>
        </w:rPr>
        <w:t xml:space="preserve">s PDV-om. </w:t>
      </w:r>
    </w:p>
    <w:p w14:paraId="693B0D5E" w14:textId="77777777" w:rsidR="0051643C" w:rsidRPr="00EE21BE" w:rsidRDefault="0051643C" w:rsidP="0051643C">
      <w:pPr>
        <w:autoSpaceDE w:val="0"/>
        <w:autoSpaceDN w:val="0"/>
        <w:adjustRightInd w:val="0"/>
        <w:spacing w:after="0" w:line="240" w:lineRule="auto"/>
        <w:jc w:val="both"/>
        <w:rPr>
          <w:rFonts w:ascii="Arial" w:eastAsia="Calibri" w:hAnsi="Arial" w:cs="Arial"/>
          <w:sz w:val="18"/>
          <w:szCs w:val="18"/>
        </w:rPr>
      </w:pPr>
    </w:p>
    <w:p w14:paraId="24241728" w14:textId="05B931F5" w:rsidR="0051643C" w:rsidRPr="00EE21BE" w:rsidRDefault="0051643C" w:rsidP="0051643C">
      <w:pPr>
        <w:autoSpaceDE w:val="0"/>
        <w:autoSpaceDN w:val="0"/>
        <w:adjustRightInd w:val="0"/>
        <w:spacing w:after="0" w:line="240" w:lineRule="auto"/>
        <w:jc w:val="both"/>
        <w:rPr>
          <w:rFonts w:ascii="Arial" w:eastAsia="Calibri" w:hAnsi="Arial" w:cs="Arial"/>
          <w:b/>
          <w:bCs/>
          <w:sz w:val="18"/>
          <w:szCs w:val="18"/>
        </w:rPr>
      </w:pPr>
      <w:r w:rsidRPr="00EE21BE">
        <w:rPr>
          <w:rFonts w:ascii="Arial" w:eastAsia="Calibri" w:hAnsi="Arial" w:cs="Arial"/>
          <w:sz w:val="18"/>
          <w:szCs w:val="18"/>
        </w:rPr>
        <w:t>U 2022. je ispostavljeno devet privremenih situacija za izvođenje radova ukupne vrijednosti 9.904.970,32 kn</w:t>
      </w:r>
      <w:r w:rsidR="00227DCD" w:rsidRPr="00EE21BE">
        <w:rPr>
          <w:rFonts w:ascii="Arial" w:eastAsia="Calibri" w:hAnsi="Arial" w:cs="Arial"/>
          <w:sz w:val="18"/>
          <w:szCs w:val="18"/>
        </w:rPr>
        <w:t xml:space="preserve"> / 1.314.615,48 €</w:t>
      </w:r>
      <w:r w:rsidRPr="00EE21BE">
        <w:rPr>
          <w:rFonts w:ascii="Arial" w:eastAsia="Calibri" w:hAnsi="Arial" w:cs="Arial"/>
          <w:sz w:val="18"/>
          <w:szCs w:val="18"/>
        </w:rPr>
        <w:t>. Izgradnja vatrogasnog doma je u 2022. godini financirana iz sredstava kredita u iznosu 6.600.000 kn</w:t>
      </w:r>
      <w:r w:rsidR="00227DCD" w:rsidRPr="00EE21BE">
        <w:rPr>
          <w:rFonts w:ascii="Arial" w:eastAsia="Calibri" w:hAnsi="Arial" w:cs="Arial"/>
          <w:sz w:val="18"/>
          <w:szCs w:val="18"/>
        </w:rPr>
        <w:t xml:space="preserve"> / 875.970,54 €</w:t>
      </w:r>
      <w:r w:rsidRPr="00EE21BE">
        <w:rPr>
          <w:rFonts w:ascii="Arial" w:eastAsia="Calibri" w:hAnsi="Arial" w:cs="Arial"/>
          <w:sz w:val="18"/>
          <w:szCs w:val="18"/>
        </w:rPr>
        <w:t xml:space="preserve">, te iz ostalih proračunskih sredstava. Pomoći će se refundirati nakon završetka projekta. </w:t>
      </w:r>
    </w:p>
    <w:p w14:paraId="041BDDA6" w14:textId="77777777" w:rsidR="00C00AC8" w:rsidRPr="00EE21BE" w:rsidRDefault="00C00AC8" w:rsidP="006F5B42">
      <w:pPr>
        <w:autoSpaceDE w:val="0"/>
        <w:autoSpaceDN w:val="0"/>
        <w:adjustRightInd w:val="0"/>
        <w:spacing w:after="0" w:line="240" w:lineRule="auto"/>
        <w:jc w:val="both"/>
        <w:rPr>
          <w:rFonts w:ascii="Arial" w:eastAsia="Calibri" w:hAnsi="Arial" w:cs="Arial"/>
          <w:sz w:val="18"/>
          <w:szCs w:val="18"/>
        </w:rPr>
      </w:pPr>
    </w:p>
    <w:p w14:paraId="5C4ACCA9" w14:textId="1DD0B6DF" w:rsidR="006F5B42" w:rsidRPr="00EE21BE" w:rsidRDefault="0051643C" w:rsidP="006F5B42">
      <w:pPr>
        <w:autoSpaceDE w:val="0"/>
        <w:autoSpaceDN w:val="0"/>
        <w:adjustRightInd w:val="0"/>
        <w:spacing w:after="0" w:line="240" w:lineRule="auto"/>
        <w:jc w:val="both"/>
        <w:rPr>
          <w:rFonts w:ascii="Arial" w:eastAsia="Calibri" w:hAnsi="Arial" w:cs="Arial"/>
          <w:sz w:val="18"/>
          <w:szCs w:val="18"/>
        </w:rPr>
      </w:pPr>
      <w:r w:rsidRPr="00EE21BE">
        <w:rPr>
          <w:rFonts w:ascii="Arial" w:eastAsia="Calibri" w:hAnsi="Arial" w:cs="Arial"/>
          <w:sz w:val="18"/>
          <w:szCs w:val="18"/>
        </w:rPr>
        <w:t>Sveukupno, u</w:t>
      </w:r>
      <w:r w:rsidR="006F5B42" w:rsidRPr="00EE21BE">
        <w:rPr>
          <w:rFonts w:ascii="Arial" w:eastAsia="Calibri" w:hAnsi="Arial" w:cs="Arial"/>
          <w:sz w:val="18"/>
          <w:szCs w:val="18"/>
        </w:rPr>
        <w:t xml:space="preserve"> 2022. su izvršeni rashodi</w:t>
      </w:r>
      <w:r w:rsidRPr="00EE21BE">
        <w:rPr>
          <w:rFonts w:ascii="Arial" w:eastAsia="Calibri" w:hAnsi="Arial" w:cs="Arial"/>
          <w:sz w:val="18"/>
          <w:szCs w:val="18"/>
        </w:rPr>
        <w:t xml:space="preserve"> povezani s izgradnjom vatrogasnog doma</w:t>
      </w:r>
      <w:r w:rsidR="006F5B42" w:rsidRPr="00EE21BE">
        <w:rPr>
          <w:rFonts w:ascii="Arial" w:eastAsia="Calibri" w:hAnsi="Arial" w:cs="Arial"/>
          <w:sz w:val="18"/>
          <w:szCs w:val="18"/>
        </w:rPr>
        <w:t xml:space="preserve"> u iznosu </w:t>
      </w:r>
      <w:r w:rsidR="00C00AC8" w:rsidRPr="00EE21BE">
        <w:rPr>
          <w:rFonts w:ascii="Arial" w:eastAsia="Calibri" w:hAnsi="Arial" w:cs="Arial"/>
          <w:sz w:val="18"/>
          <w:szCs w:val="18"/>
        </w:rPr>
        <w:t>10.430.352,91</w:t>
      </w:r>
      <w:r w:rsidR="006F5B42" w:rsidRPr="00EE21BE">
        <w:rPr>
          <w:rFonts w:ascii="Arial" w:eastAsia="Calibri" w:hAnsi="Arial" w:cs="Arial"/>
          <w:sz w:val="18"/>
          <w:szCs w:val="18"/>
        </w:rPr>
        <w:t xml:space="preserve"> kn </w:t>
      </w:r>
      <w:r w:rsidR="00227DCD" w:rsidRPr="00EE21BE">
        <w:rPr>
          <w:rFonts w:ascii="Arial" w:eastAsia="Calibri" w:hAnsi="Arial" w:cs="Arial"/>
          <w:sz w:val="18"/>
          <w:szCs w:val="18"/>
        </w:rPr>
        <w:t xml:space="preserve">/ 1.384.345,73 € </w:t>
      </w:r>
      <w:r w:rsidR="006F5B42" w:rsidRPr="00EE21BE">
        <w:rPr>
          <w:rFonts w:ascii="Arial" w:eastAsia="Calibri" w:hAnsi="Arial" w:cs="Arial"/>
          <w:sz w:val="18"/>
          <w:szCs w:val="18"/>
        </w:rPr>
        <w:t xml:space="preserve">(izvedeni radovi </w:t>
      </w:r>
      <w:r w:rsidR="00C00AC8" w:rsidRPr="00EE21BE">
        <w:rPr>
          <w:rFonts w:ascii="Arial" w:eastAsia="Calibri" w:hAnsi="Arial" w:cs="Arial"/>
          <w:sz w:val="18"/>
          <w:szCs w:val="18"/>
        </w:rPr>
        <w:t xml:space="preserve">izgradnje </w:t>
      </w:r>
      <w:r w:rsidRPr="00EE21BE">
        <w:rPr>
          <w:rFonts w:ascii="Arial" w:eastAsia="Calibri" w:hAnsi="Arial" w:cs="Arial"/>
          <w:sz w:val="18"/>
          <w:szCs w:val="18"/>
        </w:rPr>
        <w:t xml:space="preserve">vatrogasnog </w:t>
      </w:r>
      <w:r w:rsidR="00C00AC8" w:rsidRPr="00EE21BE">
        <w:rPr>
          <w:rFonts w:ascii="Arial" w:eastAsia="Calibri" w:hAnsi="Arial" w:cs="Arial"/>
          <w:sz w:val="18"/>
          <w:szCs w:val="18"/>
        </w:rPr>
        <w:t>doma</w:t>
      </w:r>
      <w:r w:rsidRPr="00EE21BE">
        <w:rPr>
          <w:rFonts w:ascii="Arial" w:eastAsia="Calibri" w:hAnsi="Arial" w:cs="Arial"/>
          <w:sz w:val="18"/>
          <w:szCs w:val="18"/>
        </w:rPr>
        <w:t xml:space="preserve"> na temelju ugovora iz 2021.godine</w:t>
      </w:r>
      <w:r w:rsidR="00C00AC8" w:rsidRPr="00EE21BE">
        <w:rPr>
          <w:rFonts w:ascii="Arial" w:eastAsia="Calibri" w:hAnsi="Arial" w:cs="Arial"/>
          <w:sz w:val="18"/>
          <w:szCs w:val="18"/>
        </w:rPr>
        <w:t xml:space="preserve"> 9.904.970,32</w:t>
      </w:r>
      <w:r w:rsidR="006F5B42" w:rsidRPr="00EE21BE">
        <w:rPr>
          <w:rFonts w:ascii="Arial" w:eastAsia="Calibri" w:hAnsi="Arial" w:cs="Arial"/>
          <w:sz w:val="18"/>
          <w:szCs w:val="18"/>
        </w:rPr>
        <w:t xml:space="preserve"> kn</w:t>
      </w:r>
      <w:r w:rsidR="00227DCD" w:rsidRPr="00EE21BE">
        <w:rPr>
          <w:rFonts w:ascii="Arial" w:eastAsia="Calibri" w:hAnsi="Arial" w:cs="Arial"/>
          <w:sz w:val="18"/>
          <w:szCs w:val="18"/>
        </w:rPr>
        <w:t xml:space="preserve"> / 1.314.615,48 €</w:t>
      </w:r>
      <w:r w:rsidR="006F5B42" w:rsidRPr="00EE21BE">
        <w:rPr>
          <w:rFonts w:ascii="Arial" w:eastAsia="Calibri" w:hAnsi="Arial" w:cs="Arial"/>
          <w:sz w:val="18"/>
          <w:szCs w:val="18"/>
        </w:rPr>
        <w:t xml:space="preserve">, </w:t>
      </w:r>
      <w:r w:rsidR="00C00AC8" w:rsidRPr="00EE21BE">
        <w:rPr>
          <w:rFonts w:ascii="Arial" w:eastAsia="Calibri" w:hAnsi="Arial" w:cs="Arial"/>
          <w:sz w:val="18"/>
          <w:szCs w:val="18"/>
        </w:rPr>
        <w:t>izgradnja tlačnog kolektora 453.882,59 kn</w:t>
      </w:r>
      <w:r w:rsidR="00227DCD" w:rsidRPr="00EE21BE">
        <w:rPr>
          <w:rFonts w:ascii="Arial" w:eastAsia="Calibri" w:hAnsi="Arial" w:cs="Arial"/>
          <w:sz w:val="18"/>
          <w:szCs w:val="18"/>
        </w:rPr>
        <w:t xml:space="preserve"> / 60.240,57 €</w:t>
      </w:r>
      <w:r w:rsidR="00C00AC8" w:rsidRPr="00EE21BE">
        <w:rPr>
          <w:rFonts w:ascii="Arial" w:eastAsia="Calibri" w:hAnsi="Arial" w:cs="Arial"/>
          <w:sz w:val="18"/>
          <w:szCs w:val="18"/>
        </w:rPr>
        <w:t xml:space="preserve">, </w:t>
      </w:r>
      <w:r w:rsidR="006F5B42" w:rsidRPr="00EE21BE">
        <w:rPr>
          <w:rFonts w:ascii="Arial" w:eastAsia="Calibri" w:hAnsi="Arial" w:cs="Arial"/>
          <w:sz w:val="18"/>
          <w:szCs w:val="18"/>
        </w:rPr>
        <w:t xml:space="preserve">usluge nadzora </w:t>
      </w:r>
      <w:r w:rsidR="00C00AC8" w:rsidRPr="00EE21BE">
        <w:rPr>
          <w:rFonts w:ascii="Arial" w:eastAsia="Calibri" w:hAnsi="Arial" w:cs="Arial"/>
          <w:sz w:val="18"/>
          <w:szCs w:val="18"/>
        </w:rPr>
        <w:t>71.500</w:t>
      </w:r>
      <w:r w:rsidR="006F5B42" w:rsidRPr="00EE21BE">
        <w:rPr>
          <w:rFonts w:ascii="Arial" w:eastAsia="Calibri" w:hAnsi="Arial" w:cs="Arial"/>
          <w:sz w:val="18"/>
          <w:szCs w:val="18"/>
        </w:rPr>
        <w:t xml:space="preserve"> kn</w:t>
      </w:r>
      <w:r w:rsidR="00227DCD" w:rsidRPr="00EE21BE">
        <w:rPr>
          <w:rFonts w:ascii="Arial" w:eastAsia="Calibri" w:hAnsi="Arial" w:cs="Arial"/>
          <w:sz w:val="18"/>
          <w:szCs w:val="18"/>
        </w:rPr>
        <w:t xml:space="preserve"> / 9.489,68 €</w:t>
      </w:r>
      <w:r w:rsidR="006F5B42" w:rsidRPr="00EE21BE">
        <w:rPr>
          <w:rFonts w:ascii="Arial" w:eastAsia="Calibri" w:hAnsi="Arial" w:cs="Arial"/>
          <w:sz w:val="18"/>
          <w:szCs w:val="18"/>
        </w:rPr>
        <w:t xml:space="preserve">). </w:t>
      </w:r>
    </w:p>
    <w:p w14:paraId="51A6A9D8" w14:textId="77777777" w:rsidR="006F5B42" w:rsidRPr="00EE21BE" w:rsidRDefault="006F5B42" w:rsidP="006F5B42">
      <w:pPr>
        <w:autoSpaceDE w:val="0"/>
        <w:autoSpaceDN w:val="0"/>
        <w:adjustRightInd w:val="0"/>
        <w:spacing w:after="0" w:line="240" w:lineRule="auto"/>
        <w:jc w:val="both"/>
        <w:rPr>
          <w:rFonts w:ascii="Arial" w:eastAsia="Times New Roman" w:hAnsi="Arial" w:cs="Arial"/>
          <w:sz w:val="18"/>
          <w:szCs w:val="18"/>
        </w:rPr>
      </w:pPr>
    </w:p>
    <w:p w14:paraId="6FD0A039" w14:textId="190F5198" w:rsidR="006F5B42" w:rsidRPr="00EE21BE" w:rsidRDefault="006F5B42" w:rsidP="006F5B42">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 xml:space="preserve">Postotak dovršenosti radova </w:t>
      </w:r>
      <w:r w:rsidRPr="00EE21BE">
        <w:rPr>
          <w:rFonts w:ascii="Arial" w:eastAsia="Times New Roman" w:hAnsi="Arial" w:cs="Arial"/>
          <w:b/>
          <w:sz w:val="18"/>
          <w:szCs w:val="18"/>
        </w:rPr>
        <w:t>koncem 2022.</w:t>
      </w:r>
      <w:r w:rsidRPr="00EE21BE">
        <w:rPr>
          <w:rFonts w:ascii="Arial" w:eastAsia="Times New Roman" w:hAnsi="Arial" w:cs="Arial"/>
          <w:bCs/>
          <w:sz w:val="18"/>
          <w:szCs w:val="18"/>
        </w:rPr>
        <w:t xml:space="preserve"> je</w:t>
      </w:r>
      <w:r w:rsidRPr="00EE21BE">
        <w:rPr>
          <w:rFonts w:ascii="Arial" w:eastAsia="Times New Roman" w:hAnsi="Arial" w:cs="Arial"/>
          <w:sz w:val="18"/>
          <w:szCs w:val="18"/>
        </w:rPr>
        <w:t xml:space="preserve"> </w:t>
      </w:r>
      <w:r w:rsidR="0051643C" w:rsidRPr="00EE21BE">
        <w:rPr>
          <w:rFonts w:ascii="Arial" w:eastAsia="Times New Roman" w:hAnsi="Arial" w:cs="Arial"/>
          <w:sz w:val="18"/>
          <w:szCs w:val="18"/>
        </w:rPr>
        <w:t>100</w:t>
      </w:r>
      <w:r w:rsidRPr="00EE21BE">
        <w:rPr>
          <w:rFonts w:ascii="Arial" w:eastAsia="Times New Roman" w:hAnsi="Arial" w:cs="Arial"/>
          <w:sz w:val="18"/>
          <w:szCs w:val="18"/>
        </w:rPr>
        <w:t>%.</w:t>
      </w:r>
    </w:p>
    <w:p w14:paraId="1E653529" w14:textId="77777777" w:rsidR="00806E22" w:rsidRPr="00EE21BE" w:rsidRDefault="00806E22" w:rsidP="006F5B42">
      <w:pPr>
        <w:autoSpaceDE w:val="0"/>
        <w:autoSpaceDN w:val="0"/>
        <w:adjustRightInd w:val="0"/>
        <w:spacing w:after="0" w:line="240" w:lineRule="auto"/>
        <w:jc w:val="both"/>
        <w:rPr>
          <w:rFonts w:ascii="Arial" w:eastAsia="Times New Roman" w:hAnsi="Arial" w:cs="Arial"/>
          <w:sz w:val="18"/>
          <w:szCs w:val="18"/>
        </w:rPr>
      </w:pPr>
    </w:p>
    <w:p w14:paraId="5F6CCE3B" w14:textId="151E7E67" w:rsidR="00806E22" w:rsidRPr="00EE21BE" w:rsidRDefault="00806E22" w:rsidP="006F5B42">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Prema okončanoj situaciji iz siječnja 2023. godine (ispostavljena s iznosom 0,00 €) sveukupno izvedeni radovi prema ugovoru iznose 1.878.134,35 € (s porezom na dodanu vrijednost). Ovaj obračun se odnosi na nesporne radove i preduvjet je ishođenja uporabne dozvole. Dio vrijednosti investicije u iznosu 1.635.992,76 kn bez PDV-a ili 2.044.990,956 kn (271.416,94 €) izvoditelj potražuje na temelju nepredvidivih okolnosti, troškova globalnog poremećaja cijena na tržištu građevinskim materijala i proizvoda, te će biti pokrenut postupak sporovi / arbitraža sukladno č</w:t>
      </w:r>
      <w:r w:rsidR="002F346A" w:rsidRPr="00EE21BE">
        <w:rPr>
          <w:rFonts w:ascii="Arial" w:eastAsia="Times New Roman" w:hAnsi="Arial" w:cs="Arial"/>
          <w:sz w:val="18"/>
          <w:szCs w:val="18"/>
        </w:rPr>
        <w:t>lanku posebnih uvjeta zaključenog Ugovora.</w:t>
      </w:r>
    </w:p>
    <w:p w14:paraId="4283CD51" w14:textId="77777777" w:rsidR="00E4338D" w:rsidRPr="00EE21BE" w:rsidRDefault="00E4338D" w:rsidP="00E4338D">
      <w:pPr>
        <w:autoSpaceDE w:val="0"/>
        <w:autoSpaceDN w:val="0"/>
        <w:adjustRightInd w:val="0"/>
        <w:spacing w:after="0" w:line="240" w:lineRule="auto"/>
        <w:rPr>
          <w:rFonts w:ascii="Arial" w:hAnsi="Arial" w:cs="Arial"/>
          <w:sz w:val="18"/>
          <w:szCs w:val="18"/>
        </w:rPr>
      </w:pPr>
    </w:p>
    <w:p w14:paraId="60B6E97C" w14:textId="6035D875" w:rsidR="005A6EFC" w:rsidRPr="00EE21BE" w:rsidRDefault="005A6EFC" w:rsidP="005A6EFC">
      <w:pPr>
        <w:autoSpaceDE w:val="0"/>
        <w:autoSpaceDN w:val="0"/>
        <w:adjustRightInd w:val="0"/>
        <w:spacing w:after="0" w:line="240" w:lineRule="auto"/>
        <w:jc w:val="both"/>
        <w:rPr>
          <w:rFonts w:ascii="Arial" w:eastAsia="Calibri" w:hAnsi="Arial" w:cs="Arial"/>
          <w:sz w:val="18"/>
          <w:szCs w:val="18"/>
        </w:rPr>
      </w:pPr>
      <w:r w:rsidRPr="00EE21BE">
        <w:rPr>
          <w:rFonts w:ascii="Arial" w:eastAsia="Calibri" w:hAnsi="Arial" w:cs="Arial"/>
          <w:sz w:val="18"/>
          <w:szCs w:val="18"/>
        </w:rPr>
        <w:t xml:space="preserve">Primopredaja radova je obavljena u 2023. </w:t>
      </w:r>
      <w:r w:rsidR="002F346A" w:rsidRPr="00EE21BE">
        <w:rPr>
          <w:rFonts w:ascii="Arial" w:eastAsia="Calibri" w:hAnsi="Arial" w:cs="Arial"/>
          <w:sz w:val="18"/>
          <w:szCs w:val="18"/>
        </w:rPr>
        <w:t>Nadležni Upravni odjel županije, ispostavio je:</w:t>
      </w:r>
    </w:p>
    <w:p w14:paraId="78D79B4C" w14:textId="29CF5D2F" w:rsidR="002F346A" w:rsidRPr="00EE21BE" w:rsidRDefault="002F346A">
      <w:pPr>
        <w:pStyle w:val="Odlomakpopisa"/>
        <w:numPr>
          <w:ilvl w:val="0"/>
          <w:numId w:val="7"/>
        </w:numPr>
        <w:autoSpaceDE w:val="0"/>
        <w:autoSpaceDN w:val="0"/>
        <w:adjustRightInd w:val="0"/>
        <w:rPr>
          <w:rFonts w:ascii="Arial" w:hAnsi="Arial" w:cs="Arial"/>
          <w:sz w:val="18"/>
          <w:szCs w:val="18"/>
        </w:rPr>
      </w:pPr>
      <w:r w:rsidRPr="00EE21BE">
        <w:rPr>
          <w:rFonts w:ascii="Arial" w:hAnsi="Arial" w:cs="Arial"/>
          <w:b/>
          <w:sz w:val="18"/>
          <w:szCs w:val="18"/>
          <w:u w:val="single"/>
        </w:rPr>
        <w:t xml:space="preserve">Uporabnu dozvolu; </w:t>
      </w:r>
      <w:r w:rsidRPr="00EE21BE">
        <w:rPr>
          <w:rFonts w:ascii="Arial" w:hAnsi="Arial" w:cs="Arial"/>
          <w:bCs/>
          <w:sz w:val="18"/>
          <w:szCs w:val="18"/>
        </w:rPr>
        <w:t>KLASA: UP/I-361-05/23-01/000053; URBROJ:2117-23-6/1-23-0017, Gruda od 19.12.2023., Dubrovačko-</w:t>
      </w:r>
      <w:r w:rsidRPr="00EE21BE">
        <w:rPr>
          <w:rFonts w:ascii="Arial" w:hAnsi="Arial" w:cs="Arial"/>
          <w:sz w:val="18"/>
          <w:szCs w:val="18"/>
        </w:rPr>
        <w:t>neretvanska županija, Upravni odjel za prostorno uređenje i gradnju, Ispostava u Grudi. Dozvola je pravomoćna 20.12.2023.</w:t>
      </w:r>
    </w:p>
    <w:p w14:paraId="7E71BBD6" w14:textId="77777777" w:rsidR="002F5822" w:rsidRPr="00FF3C31" w:rsidRDefault="002F5822" w:rsidP="00E4338D">
      <w:pPr>
        <w:autoSpaceDE w:val="0"/>
        <w:autoSpaceDN w:val="0"/>
        <w:adjustRightInd w:val="0"/>
        <w:spacing w:after="0" w:line="240" w:lineRule="auto"/>
        <w:rPr>
          <w:rFonts w:ascii="Arial" w:hAnsi="Arial" w:cs="Arial"/>
          <w:sz w:val="20"/>
          <w:szCs w:val="20"/>
        </w:rPr>
      </w:pPr>
    </w:p>
    <w:p w14:paraId="18175954"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p>
    <w:p w14:paraId="52CABD09" w14:textId="7F0D9289" w:rsidR="0004156F" w:rsidRPr="00FF3C31" w:rsidRDefault="00992554" w:rsidP="0004156F">
      <w:pPr>
        <w:pBdr>
          <w:top w:val="single" w:sz="4" w:space="1" w:color="auto"/>
          <w:left w:val="single" w:sz="4" w:space="4" w:color="auto"/>
          <w:bottom w:val="single" w:sz="4" w:space="1" w:color="auto"/>
          <w:right w:val="single" w:sz="4" w:space="4" w:color="auto"/>
        </w:pBdr>
        <w:shd w:val="clear" w:color="auto" w:fill="A6A6A6"/>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Strateški c</w:t>
      </w:r>
      <w:r w:rsidR="0004156F" w:rsidRPr="00FF3C31">
        <w:rPr>
          <w:rFonts w:ascii="Arial" w:eastAsia="Times New Roman" w:hAnsi="Arial" w:cs="Arial"/>
          <w:b/>
          <w:sz w:val="20"/>
          <w:szCs w:val="20"/>
        </w:rPr>
        <w:t>ilj 2: Unapređenje infrastrukture</w:t>
      </w:r>
    </w:p>
    <w:p w14:paraId="46C2F416" w14:textId="77777777" w:rsidR="0004156F" w:rsidRPr="00FF3C31" w:rsidRDefault="0004156F" w:rsidP="0004156F">
      <w:pPr>
        <w:autoSpaceDE w:val="0"/>
        <w:autoSpaceDN w:val="0"/>
        <w:adjustRightInd w:val="0"/>
        <w:spacing w:after="0" w:line="240" w:lineRule="auto"/>
        <w:jc w:val="both"/>
        <w:rPr>
          <w:rFonts w:ascii="Arial" w:eastAsia="Times New Roman" w:hAnsi="Arial" w:cs="Arial"/>
          <w:b/>
          <w:sz w:val="20"/>
          <w:szCs w:val="20"/>
          <w:u w:val="single"/>
        </w:rPr>
      </w:pPr>
    </w:p>
    <w:p w14:paraId="401AC676" w14:textId="77777777" w:rsidR="0004156F" w:rsidRPr="00FF3C31" w:rsidRDefault="0004156F" w:rsidP="0004156F">
      <w:pPr>
        <w:pBdr>
          <w:top w:val="single" w:sz="4" w:space="1" w:color="auto"/>
          <w:left w:val="single" w:sz="4" w:space="4" w:color="auto"/>
          <w:bottom w:val="single" w:sz="4" w:space="1" w:color="auto"/>
          <w:right w:val="single" w:sz="4" w:space="4" w:color="auto"/>
        </w:pBdr>
        <w:shd w:val="clear" w:color="auto" w:fill="BFBFBF"/>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Prioritet 2.3. Unapređenje društvene, kulturne i turističke infrastrukture</w:t>
      </w:r>
    </w:p>
    <w:p w14:paraId="5E3C67DE"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p>
    <w:p w14:paraId="525C781F" w14:textId="77777777" w:rsidR="002F0351" w:rsidRPr="00FF3C31" w:rsidRDefault="002F0351" w:rsidP="002F0351">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Ovaj prioritet se ostvaruje kroz:</w:t>
      </w:r>
    </w:p>
    <w:p w14:paraId="104AB986" w14:textId="1DBC0925" w:rsidR="0004156F" w:rsidRPr="00FF3C31" w:rsidRDefault="0004156F" w:rsidP="00B20566">
      <w:pPr>
        <w:autoSpaceDE w:val="0"/>
        <w:autoSpaceDN w:val="0"/>
        <w:adjustRightInd w:val="0"/>
        <w:spacing w:after="0" w:line="240" w:lineRule="auto"/>
        <w:jc w:val="both"/>
        <w:rPr>
          <w:rFonts w:ascii="Arial" w:eastAsia="Times New Roman" w:hAnsi="Arial" w:cs="Arial"/>
          <w:sz w:val="20"/>
          <w:szCs w:val="20"/>
        </w:rPr>
      </w:pPr>
    </w:p>
    <w:p w14:paraId="14301D45" w14:textId="50D7280E" w:rsidR="0004156F" w:rsidRPr="00FF3C31" w:rsidRDefault="002F0351" w:rsidP="0004156F">
      <w:pPr>
        <w:pBdr>
          <w:top w:val="single" w:sz="4" w:space="1" w:color="auto"/>
          <w:left w:val="single" w:sz="4" w:space="3" w:color="auto"/>
          <w:bottom w:val="single" w:sz="4" w:space="1" w:color="auto"/>
          <w:right w:val="single" w:sz="4" w:space="4" w:color="auto"/>
        </w:pBdr>
        <w:autoSpaceDE w:val="0"/>
        <w:autoSpaceDN w:val="0"/>
        <w:adjustRightInd w:val="0"/>
        <w:spacing w:after="0" w:line="240" w:lineRule="auto"/>
        <w:ind w:left="720" w:hanging="720"/>
        <w:rPr>
          <w:rFonts w:ascii="Arial" w:hAnsi="Arial" w:cs="Arial"/>
          <w:b/>
          <w:sz w:val="20"/>
          <w:szCs w:val="20"/>
        </w:rPr>
      </w:pPr>
      <w:r w:rsidRPr="00FF3C31">
        <w:rPr>
          <w:rFonts w:ascii="Arial" w:hAnsi="Arial" w:cs="Arial"/>
          <w:b/>
          <w:sz w:val="20"/>
          <w:szCs w:val="20"/>
        </w:rPr>
        <w:t>2.3</w:t>
      </w:r>
      <w:r w:rsidR="0004156F" w:rsidRPr="00FF3C31">
        <w:rPr>
          <w:rFonts w:ascii="Arial" w:hAnsi="Arial" w:cs="Arial"/>
          <w:b/>
          <w:sz w:val="20"/>
          <w:szCs w:val="20"/>
        </w:rPr>
        <w:t>. b)</w:t>
      </w:r>
      <w:r w:rsidR="0004156F" w:rsidRPr="00FF3C31">
        <w:rPr>
          <w:rFonts w:ascii="Arial" w:hAnsi="Arial" w:cs="Arial"/>
          <w:sz w:val="20"/>
          <w:szCs w:val="20"/>
        </w:rPr>
        <w:tab/>
      </w:r>
      <w:r w:rsidR="0004156F" w:rsidRPr="00FF3C31">
        <w:rPr>
          <w:rFonts w:ascii="Arial" w:hAnsi="Arial" w:cs="Arial"/>
          <w:b/>
          <w:sz w:val="20"/>
          <w:szCs w:val="20"/>
        </w:rPr>
        <w:t xml:space="preserve">Program (2101) – Izgradnja i uređenje objekata javne namjene – predškolski odgoj i školstvo </w:t>
      </w:r>
    </w:p>
    <w:p w14:paraId="14DF9D70" w14:textId="77777777" w:rsidR="0004156F" w:rsidRPr="00FF3C31" w:rsidRDefault="0004156F" w:rsidP="0004156F">
      <w:pPr>
        <w:autoSpaceDE w:val="0"/>
        <w:autoSpaceDN w:val="0"/>
        <w:adjustRightInd w:val="0"/>
        <w:spacing w:after="0" w:line="240" w:lineRule="auto"/>
        <w:rPr>
          <w:rFonts w:ascii="Arial" w:hAnsi="Arial" w:cs="Arial"/>
          <w:sz w:val="20"/>
          <w:szCs w:val="20"/>
        </w:rPr>
      </w:pPr>
    </w:p>
    <w:p w14:paraId="61A77C18" w14:textId="77777777" w:rsidR="0004156F" w:rsidRPr="00FF3C31" w:rsidRDefault="0004156F" w:rsidP="0004156F">
      <w:pPr>
        <w:autoSpaceDE w:val="0"/>
        <w:autoSpaceDN w:val="0"/>
        <w:adjustRightInd w:val="0"/>
        <w:spacing w:after="0" w:line="240" w:lineRule="auto"/>
        <w:rPr>
          <w:rFonts w:ascii="Arial" w:hAnsi="Arial" w:cs="Arial"/>
          <w:sz w:val="20"/>
          <w:szCs w:val="20"/>
        </w:rPr>
      </w:pPr>
      <w:r w:rsidRPr="00FF3C31">
        <w:rPr>
          <w:rFonts w:ascii="Arial" w:hAnsi="Arial" w:cs="Arial"/>
          <w:sz w:val="20"/>
          <w:szCs w:val="20"/>
        </w:rPr>
        <w:t xml:space="preserve">b1) </w:t>
      </w:r>
      <w:r w:rsidRPr="00FF3C31">
        <w:rPr>
          <w:rFonts w:ascii="Arial" w:hAnsi="Arial" w:cs="Arial"/>
          <w:sz w:val="20"/>
          <w:szCs w:val="20"/>
        </w:rPr>
        <w:tab/>
        <w:t>Kapitalni projekt (K210101) Proširenje dječjeg vrtića na Grudi</w:t>
      </w:r>
    </w:p>
    <w:p w14:paraId="71509D93" w14:textId="77777777" w:rsidR="0004156F" w:rsidRPr="00FF3C31" w:rsidRDefault="0004156F" w:rsidP="0004156F">
      <w:pPr>
        <w:autoSpaceDE w:val="0"/>
        <w:autoSpaceDN w:val="0"/>
        <w:adjustRightInd w:val="0"/>
        <w:spacing w:after="0" w:line="240" w:lineRule="auto"/>
        <w:rPr>
          <w:rFonts w:ascii="Arial" w:hAnsi="Arial" w:cs="Arial"/>
          <w:sz w:val="20"/>
          <w:szCs w:val="20"/>
        </w:rPr>
      </w:pPr>
      <w:r w:rsidRPr="00FF3C31">
        <w:rPr>
          <w:rFonts w:ascii="Arial" w:hAnsi="Arial" w:cs="Arial"/>
          <w:sz w:val="20"/>
          <w:szCs w:val="20"/>
        </w:rPr>
        <w:t xml:space="preserve">b2) </w:t>
      </w:r>
      <w:r w:rsidRPr="00FF3C31">
        <w:rPr>
          <w:rFonts w:ascii="Arial" w:hAnsi="Arial" w:cs="Arial"/>
          <w:sz w:val="20"/>
          <w:szCs w:val="20"/>
        </w:rPr>
        <w:tab/>
        <w:t>Kapitalni projekt (K210102) Izgradnja novog dječjeg vrtića u Cavtatu</w:t>
      </w:r>
    </w:p>
    <w:p w14:paraId="3CBA1015" w14:textId="77777777" w:rsidR="0004156F" w:rsidRPr="00FF3C31" w:rsidRDefault="0004156F" w:rsidP="0004156F">
      <w:pPr>
        <w:autoSpaceDE w:val="0"/>
        <w:autoSpaceDN w:val="0"/>
        <w:adjustRightInd w:val="0"/>
        <w:spacing w:after="0" w:line="240" w:lineRule="auto"/>
        <w:rPr>
          <w:rFonts w:ascii="Arial" w:eastAsia="Calibri" w:hAnsi="Arial" w:cs="Arial"/>
          <w:sz w:val="20"/>
          <w:szCs w:val="20"/>
        </w:rPr>
      </w:pPr>
      <w:r w:rsidRPr="00FF3C31">
        <w:rPr>
          <w:rFonts w:ascii="Arial" w:eastAsia="Calibri" w:hAnsi="Arial" w:cs="Arial"/>
          <w:sz w:val="20"/>
          <w:szCs w:val="20"/>
        </w:rPr>
        <w:t xml:space="preserve">b3) </w:t>
      </w:r>
      <w:r w:rsidRPr="00FF3C31">
        <w:rPr>
          <w:rFonts w:ascii="Arial" w:eastAsia="Calibri" w:hAnsi="Arial" w:cs="Arial"/>
          <w:sz w:val="20"/>
          <w:szCs w:val="20"/>
        </w:rPr>
        <w:tab/>
        <w:t>Kapitalni projekt (K210103) Izgradnja nove osnovne škole u Cavtatu</w:t>
      </w:r>
    </w:p>
    <w:p w14:paraId="4907BCE3" w14:textId="77777777" w:rsidR="0004156F" w:rsidRPr="00FF3C31" w:rsidRDefault="0004156F" w:rsidP="0004156F">
      <w:pPr>
        <w:autoSpaceDE w:val="0"/>
        <w:autoSpaceDN w:val="0"/>
        <w:adjustRightInd w:val="0"/>
        <w:spacing w:after="0" w:line="240" w:lineRule="auto"/>
        <w:rPr>
          <w:rFonts w:ascii="Arial" w:eastAsia="Calibri" w:hAnsi="Arial" w:cs="Arial"/>
          <w:sz w:val="20"/>
          <w:szCs w:val="20"/>
        </w:rPr>
      </w:pPr>
      <w:r w:rsidRPr="00FF3C31">
        <w:rPr>
          <w:rFonts w:ascii="Arial" w:eastAsia="Calibri" w:hAnsi="Arial" w:cs="Arial"/>
          <w:sz w:val="20"/>
          <w:szCs w:val="20"/>
        </w:rPr>
        <w:t xml:space="preserve">b4) </w:t>
      </w:r>
      <w:r w:rsidRPr="00FF3C31">
        <w:rPr>
          <w:rFonts w:ascii="Arial" w:eastAsia="Calibri" w:hAnsi="Arial" w:cs="Arial"/>
          <w:sz w:val="20"/>
          <w:szCs w:val="20"/>
        </w:rPr>
        <w:tab/>
        <w:t>Kapitalni projekt (K210105) Pripremne radnje, projektiranje i izgradnja dječjeg vrtića u Čilipima</w:t>
      </w:r>
    </w:p>
    <w:p w14:paraId="091E41A0" w14:textId="6CF20461" w:rsidR="003E30B1" w:rsidRPr="00FF3C31" w:rsidRDefault="003E30B1" w:rsidP="003E30B1">
      <w:pPr>
        <w:autoSpaceDE w:val="0"/>
        <w:autoSpaceDN w:val="0"/>
        <w:adjustRightInd w:val="0"/>
        <w:spacing w:after="0" w:line="240" w:lineRule="auto"/>
        <w:ind w:left="2836" w:firstLine="709"/>
        <w:jc w:val="both"/>
        <w:rPr>
          <w:rFonts w:ascii="Arial" w:hAnsi="Arial" w:cs="Arial"/>
          <w:sz w:val="20"/>
          <w:szCs w:val="20"/>
        </w:rPr>
      </w:pPr>
    </w:p>
    <w:p w14:paraId="54AA3787" w14:textId="77777777" w:rsidR="00156E6C" w:rsidRPr="00FF3C31" w:rsidRDefault="00156E6C" w:rsidP="00156E6C">
      <w:pPr>
        <w:autoSpaceDE w:val="0"/>
        <w:autoSpaceDN w:val="0"/>
        <w:adjustRightInd w:val="0"/>
        <w:spacing w:after="0" w:line="240" w:lineRule="auto"/>
        <w:jc w:val="both"/>
        <w:rPr>
          <w:rFonts w:ascii="Arial" w:hAnsi="Arial" w:cs="Arial"/>
          <w:color w:val="0070C0"/>
          <w:sz w:val="20"/>
          <w:szCs w:val="20"/>
        </w:rPr>
      </w:pPr>
      <w:r w:rsidRPr="00FF3C31">
        <w:rPr>
          <w:rFonts w:ascii="Arial" w:hAnsi="Arial" w:cs="Arial"/>
          <w:color w:val="0070C0"/>
          <w:sz w:val="20"/>
          <w:szCs w:val="20"/>
        </w:rPr>
        <w:t>Provedba cilja i prioriteta iz ovog dijela je povezana s provedbom mjera i posebnih ciljeva iz Provedbenog programa pod točkom:</w:t>
      </w:r>
    </w:p>
    <w:p w14:paraId="212122B1" w14:textId="77777777" w:rsidR="00156E6C" w:rsidRPr="00FF3C31" w:rsidRDefault="00156E6C" w:rsidP="00156E6C">
      <w:pPr>
        <w:autoSpaceDE w:val="0"/>
        <w:autoSpaceDN w:val="0"/>
        <w:adjustRightInd w:val="0"/>
        <w:spacing w:after="0" w:line="240" w:lineRule="auto"/>
        <w:ind w:firstLine="709"/>
        <w:jc w:val="both"/>
        <w:rPr>
          <w:rFonts w:ascii="Arial" w:hAnsi="Arial" w:cs="Arial"/>
          <w:color w:val="0070C0"/>
          <w:sz w:val="20"/>
          <w:szCs w:val="20"/>
        </w:rPr>
      </w:pPr>
      <w:r w:rsidRPr="00FF3C31">
        <w:rPr>
          <w:rFonts w:ascii="Arial" w:hAnsi="Arial" w:cs="Arial"/>
          <w:color w:val="0070C0"/>
          <w:sz w:val="20"/>
          <w:szCs w:val="20"/>
        </w:rPr>
        <w:t xml:space="preserve">- Prioriteta 2. Poboljšanje kvalitete života, te unapređenje ljudskog kapitala, </w:t>
      </w:r>
    </w:p>
    <w:p w14:paraId="0F3CA251" w14:textId="77777777" w:rsidR="00156E6C" w:rsidRPr="00FF3C31" w:rsidRDefault="00156E6C" w:rsidP="00156E6C">
      <w:pPr>
        <w:autoSpaceDE w:val="0"/>
        <w:autoSpaceDN w:val="0"/>
        <w:adjustRightInd w:val="0"/>
        <w:spacing w:after="0" w:line="240" w:lineRule="auto"/>
        <w:ind w:left="1418" w:firstLine="709"/>
        <w:jc w:val="both"/>
        <w:rPr>
          <w:rFonts w:ascii="Arial" w:hAnsi="Arial" w:cs="Arial"/>
          <w:color w:val="0070C0"/>
          <w:sz w:val="20"/>
          <w:szCs w:val="20"/>
        </w:rPr>
      </w:pPr>
      <w:r w:rsidRPr="00FF3C31">
        <w:rPr>
          <w:rFonts w:ascii="Arial" w:hAnsi="Arial" w:cs="Arial"/>
          <w:color w:val="0070C0"/>
          <w:sz w:val="20"/>
          <w:szCs w:val="20"/>
        </w:rPr>
        <w:t>-</w:t>
      </w:r>
      <w:r w:rsidRPr="00FF3C31">
        <w:rPr>
          <w:rFonts w:ascii="Arial" w:hAnsi="Arial" w:cs="Arial"/>
          <w:color w:val="0070C0"/>
          <w:sz w:val="20"/>
          <w:szCs w:val="20"/>
        </w:rPr>
        <w:tab/>
        <w:t xml:space="preserve">posebnim ciljem 2.1. Unapređenje kvalitete i dostupnosti društvenih usluga, </w:t>
      </w:r>
    </w:p>
    <w:p w14:paraId="242BB1E1" w14:textId="3A1AD014" w:rsidR="00156E6C" w:rsidRPr="00FF3C31" w:rsidRDefault="00156E6C" w:rsidP="00156E6C">
      <w:pPr>
        <w:autoSpaceDE w:val="0"/>
        <w:autoSpaceDN w:val="0"/>
        <w:adjustRightInd w:val="0"/>
        <w:spacing w:after="0" w:line="240" w:lineRule="auto"/>
        <w:ind w:left="2836" w:firstLine="709"/>
        <w:jc w:val="both"/>
        <w:rPr>
          <w:rFonts w:ascii="Arial" w:hAnsi="Arial" w:cs="Arial"/>
          <w:color w:val="0070C0"/>
          <w:sz w:val="20"/>
          <w:szCs w:val="20"/>
        </w:rPr>
      </w:pPr>
      <w:r w:rsidRPr="00FF3C31">
        <w:rPr>
          <w:rFonts w:ascii="Arial" w:hAnsi="Arial" w:cs="Arial"/>
          <w:color w:val="0070C0"/>
          <w:sz w:val="20"/>
          <w:szCs w:val="20"/>
        </w:rPr>
        <w:t xml:space="preserve">mjerom 2.1.1. Unapređenje obrazovne infrastrukture, kvalitete programa i ljudskih resursa u obrazovanju </w:t>
      </w:r>
    </w:p>
    <w:p w14:paraId="3B7490F4" w14:textId="77777777" w:rsidR="006354FC" w:rsidRPr="00FF3C31" w:rsidRDefault="006354FC" w:rsidP="0004156F">
      <w:pPr>
        <w:autoSpaceDE w:val="0"/>
        <w:autoSpaceDN w:val="0"/>
        <w:adjustRightInd w:val="0"/>
        <w:spacing w:after="0" w:line="240" w:lineRule="auto"/>
        <w:rPr>
          <w:rFonts w:ascii="Arial" w:hAnsi="Arial" w:cs="Arial"/>
          <w:sz w:val="20"/>
          <w:szCs w:val="20"/>
        </w:rPr>
      </w:pPr>
    </w:p>
    <w:p w14:paraId="2F17302B" w14:textId="77777777" w:rsidR="00E5738B" w:rsidRPr="004D6232" w:rsidRDefault="0004156F" w:rsidP="00E5738B">
      <w:pPr>
        <w:pBdr>
          <w:top w:val="dotted" w:sz="4" w:space="1" w:color="auto"/>
          <w:left w:val="dotted" w:sz="4" w:space="4" w:color="auto"/>
          <w:bottom w:val="dotted" w:sz="4" w:space="1" w:color="auto"/>
          <w:right w:val="dotted" w:sz="4" w:space="4" w:color="auto"/>
        </w:pBdr>
        <w:autoSpaceDE w:val="0"/>
        <w:autoSpaceDN w:val="0"/>
        <w:adjustRightInd w:val="0"/>
        <w:rPr>
          <w:rFonts w:ascii="Arial" w:eastAsia="Calibri" w:hAnsi="Arial" w:cs="Arial"/>
          <w:b/>
        </w:rPr>
      </w:pPr>
      <w:r w:rsidRPr="00FF3C31">
        <w:rPr>
          <w:rFonts w:ascii="Arial" w:hAnsi="Arial" w:cs="Arial"/>
          <w:b/>
          <w:sz w:val="20"/>
          <w:szCs w:val="20"/>
        </w:rPr>
        <w:t xml:space="preserve">K210101: Proširenje dječjeg vrtića na Grudi </w:t>
      </w:r>
      <w:r w:rsidR="00E5738B">
        <w:rPr>
          <w:rFonts w:ascii="Arial" w:eastAsia="Calibri" w:hAnsi="Arial" w:cs="Arial"/>
          <w:b/>
        </w:rPr>
        <w:t>/ Izgradnja novog vrtića na Grudi</w:t>
      </w:r>
    </w:p>
    <w:p w14:paraId="4B6456A8" w14:textId="77777777" w:rsidR="0004156F" w:rsidRPr="00FF3C31" w:rsidRDefault="0004156F" w:rsidP="0004156F">
      <w:pPr>
        <w:autoSpaceDE w:val="0"/>
        <w:autoSpaceDN w:val="0"/>
        <w:adjustRightInd w:val="0"/>
        <w:spacing w:after="0" w:line="240" w:lineRule="auto"/>
        <w:rPr>
          <w:rFonts w:ascii="Arial" w:hAnsi="Arial" w:cs="Arial"/>
          <w:sz w:val="20"/>
          <w:szCs w:val="20"/>
        </w:rPr>
      </w:pPr>
    </w:p>
    <w:p w14:paraId="635D5427" w14:textId="77777777" w:rsidR="0004156F" w:rsidRPr="00FF3C31" w:rsidRDefault="0004156F" w:rsidP="0004156F">
      <w:pPr>
        <w:autoSpaceDE w:val="0"/>
        <w:autoSpaceDN w:val="0"/>
        <w:adjustRightInd w:val="0"/>
        <w:spacing w:after="0" w:line="240" w:lineRule="auto"/>
        <w:rPr>
          <w:rFonts w:ascii="Arial" w:hAnsi="Arial" w:cs="Arial"/>
          <w:sz w:val="20"/>
          <w:szCs w:val="20"/>
        </w:rPr>
      </w:pPr>
      <w:r w:rsidRPr="00FF3C31">
        <w:rPr>
          <w:rFonts w:ascii="Arial" w:hAnsi="Arial" w:cs="Arial"/>
          <w:sz w:val="20"/>
          <w:szCs w:val="20"/>
        </w:rPr>
        <w:t xml:space="preserve">Pokazatelj rezultata je: povećanje broja mjesta u vrtiću do 122, te postotak dovršenosti proširenja vrtića – dvije prostorije za ranu dob (1-3 godine), jedna prostorija za predškolsku dob (3-7 godina), višenamjenska dvorana i proširenje kuhinje. </w:t>
      </w:r>
    </w:p>
    <w:p w14:paraId="0E72564E" w14:textId="77777777" w:rsidR="0004156F" w:rsidRPr="00FF3C31" w:rsidRDefault="0004156F" w:rsidP="0004156F">
      <w:pPr>
        <w:autoSpaceDE w:val="0"/>
        <w:autoSpaceDN w:val="0"/>
        <w:adjustRightInd w:val="0"/>
        <w:spacing w:after="0" w:line="240" w:lineRule="auto"/>
        <w:rPr>
          <w:rFonts w:ascii="Arial" w:hAnsi="Arial" w:cs="Arial"/>
          <w:sz w:val="20"/>
          <w:szCs w:val="20"/>
        </w:rPr>
      </w:pPr>
    </w:p>
    <w:p w14:paraId="5365A4A8" w14:textId="77777777" w:rsidR="0004156F" w:rsidRPr="00EE21BE" w:rsidRDefault="0004156F" w:rsidP="0004156F">
      <w:pPr>
        <w:autoSpaceDE w:val="0"/>
        <w:autoSpaceDN w:val="0"/>
        <w:adjustRightInd w:val="0"/>
        <w:spacing w:after="0" w:line="240" w:lineRule="auto"/>
        <w:rPr>
          <w:rFonts w:ascii="Arial" w:hAnsi="Arial" w:cs="Arial"/>
          <w:sz w:val="18"/>
          <w:szCs w:val="18"/>
        </w:rPr>
      </w:pPr>
      <w:r w:rsidRPr="00EE21BE">
        <w:rPr>
          <w:rFonts w:ascii="Arial" w:hAnsi="Arial" w:cs="Arial"/>
          <w:sz w:val="18"/>
          <w:szCs w:val="18"/>
        </w:rPr>
        <w:t>Dubrovačko-neretvanska županija, Upravni odjel za prostorno uređenje, gradnju i zaštitu okoliša izdalo je:</w:t>
      </w:r>
    </w:p>
    <w:p w14:paraId="7D6AB551" w14:textId="0069B2C5" w:rsidR="0004156F" w:rsidRPr="00EE21BE" w:rsidRDefault="0004156F" w:rsidP="0004156F">
      <w:pPr>
        <w:autoSpaceDE w:val="0"/>
        <w:autoSpaceDN w:val="0"/>
        <w:adjustRightInd w:val="0"/>
        <w:spacing w:after="0" w:line="240" w:lineRule="auto"/>
        <w:rPr>
          <w:rFonts w:ascii="Arial" w:hAnsi="Arial" w:cs="Arial"/>
          <w:sz w:val="18"/>
          <w:szCs w:val="18"/>
        </w:rPr>
      </w:pPr>
      <w:r w:rsidRPr="00EE21BE">
        <w:rPr>
          <w:rFonts w:ascii="Arial" w:hAnsi="Arial" w:cs="Arial"/>
          <w:b/>
          <w:sz w:val="18"/>
          <w:szCs w:val="18"/>
          <w:u w:val="single"/>
        </w:rPr>
        <w:t>Rješenje za građenje</w:t>
      </w:r>
      <w:r w:rsidRPr="00EE21BE">
        <w:rPr>
          <w:rFonts w:ascii="Arial" w:hAnsi="Arial" w:cs="Arial"/>
          <w:sz w:val="18"/>
          <w:szCs w:val="18"/>
        </w:rPr>
        <w:t xml:space="preserve"> za izgradnju-rekonstrukciju dječjeg vrtića na Grudi u skladu sa glavnim projektom; KLASA: UP/I-361-03/10-03/14; URBROJ:</w:t>
      </w:r>
      <w:r w:rsidR="002F0351" w:rsidRPr="00EE21BE">
        <w:rPr>
          <w:rFonts w:ascii="Arial" w:hAnsi="Arial" w:cs="Arial"/>
          <w:sz w:val="18"/>
          <w:szCs w:val="18"/>
        </w:rPr>
        <w:t xml:space="preserve"> </w:t>
      </w:r>
      <w:r w:rsidRPr="00EE21BE">
        <w:rPr>
          <w:rFonts w:ascii="Arial" w:hAnsi="Arial" w:cs="Arial"/>
          <w:sz w:val="18"/>
          <w:szCs w:val="18"/>
        </w:rPr>
        <w:t>2117/1-23/1-2-11-12, Dubrovnik, 12.07.2011. (PRAVOMOĆNA 28.</w:t>
      </w:r>
      <w:r w:rsidR="002F0351" w:rsidRPr="00EE21BE">
        <w:rPr>
          <w:rFonts w:ascii="Arial" w:hAnsi="Arial" w:cs="Arial"/>
          <w:sz w:val="18"/>
          <w:szCs w:val="18"/>
        </w:rPr>
        <w:t xml:space="preserve"> </w:t>
      </w:r>
      <w:r w:rsidRPr="00EE21BE">
        <w:rPr>
          <w:rFonts w:ascii="Arial" w:hAnsi="Arial" w:cs="Arial"/>
          <w:sz w:val="18"/>
          <w:szCs w:val="18"/>
        </w:rPr>
        <w:t>svibnja 2011.).</w:t>
      </w:r>
    </w:p>
    <w:p w14:paraId="01BAE109" w14:textId="77777777" w:rsidR="0004156F" w:rsidRPr="00EE21BE" w:rsidRDefault="0004156F" w:rsidP="0004156F">
      <w:pPr>
        <w:autoSpaceDE w:val="0"/>
        <w:autoSpaceDN w:val="0"/>
        <w:adjustRightInd w:val="0"/>
        <w:spacing w:after="0" w:line="240" w:lineRule="auto"/>
        <w:rPr>
          <w:rFonts w:ascii="Arial" w:hAnsi="Arial" w:cs="Arial"/>
          <w:sz w:val="18"/>
          <w:szCs w:val="18"/>
        </w:rPr>
      </w:pPr>
    </w:p>
    <w:p w14:paraId="7957CC71" w14:textId="0A220F6E" w:rsidR="0004156F" w:rsidRPr="00EE21BE" w:rsidRDefault="0004156F" w:rsidP="007D695C">
      <w:pPr>
        <w:spacing w:after="0" w:line="240" w:lineRule="auto"/>
        <w:jc w:val="both"/>
        <w:rPr>
          <w:rFonts w:ascii="Arial" w:eastAsia="Calibri" w:hAnsi="Arial" w:cs="Arial"/>
          <w:sz w:val="18"/>
          <w:szCs w:val="18"/>
        </w:rPr>
      </w:pPr>
      <w:r w:rsidRPr="00EE21BE">
        <w:rPr>
          <w:rFonts w:ascii="Arial" w:eastAsia="Calibri" w:hAnsi="Arial" w:cs="Arial"/>
          <w:sz w:val="18"/>
          <w:szCs w:val="18"/>
        </w:rPr>
        <w:t xml:space="preserve">Općina Konavle je koncem prosinca 2018. godine sa Agencijom za plaćanja u poljoprivredi, ribarstvu i ruralnom razvoju zaključila </w:t>
      </w:r>
      <w:r w:rsidRPr="00EE21BE">
        <w:rPr>
          <w:rFonts w:ascii="Arial" w:eastAsia="Calibri" w:hAnsi="Arial" w:cs="Arial"/>
          <w:b/>
          <w:sz w:val="18"/>
          <w:szCs w:val="18"/>
        </w:rPr>
        <w:t>ugovor o korištenju bespovratnih sredstava procijenjenog iznosa 6.213.042,21 kn</w:t>
      </w:r>
      <w:r w:rsidR="00227DCD" w:rsidRPr="00EE21BE">
        <w:rPr>
          <w:rFonts w:ascii="Arial" w:eastAsia="Calibri" w:hAnsi="Arial" w:cs="Arial"/>
          <w:b/>
          <w:sz w:val="18"/>
          <w:szCs w:val="18"/>
        </w:rPr>
        <w:t xml:space="preserve"> / 824.612,41 €</w:t>
      </w:r>
      <w:r w:rsidRPr="00EE21BE">
        <w:rPr>
          <w:rFonts w:ascii="Arial" w:eastAsia="Calibri" w:hAnsi="Arial" w:cs="Arial"/>
          <w:sz w:val="18"/>
          <w:szCs w:val="18"/>
        </w:rPr>
        <w:t>. Ugovorom je utvrđeno sa se realizacijom projekta moraju stvoriti tri nova radna mjesta na puno radno vrijeme. Intenzitet potpore je 80% od ukupno prihvatljivih troškova utvrđenih planom nabave. Ukupan iznos prihvatljivih troškova je 7.898.752,76 kn</w:t>
      </w:r>
      <w:r w:rsidR="00227DCD" w:rsidRPr="00EE21BE">
        <w:rPr>
          <w:rFonts w:ascii="Arial" w:eastAsia="Calibri" w:hAnsi="Arial" w:cs="Arial"/>
          <w:sz w:val="18"/>
          <w:szCs w:val="18"/>
        </w:rPr>
        <w:t xml:space="preserve"> / 1.048.344,65 €</w:t>
      </w:r>
      <w:r w:rsidRPr="00EE21BE">
        <w:rPr>
          <w:rFonts w:ascii="Arial" w:eastAsia="Calibri" w:hAnsi="Arial" w:cs="Arial"/>
          <w:sz w:val="18"/>
          <w:szCs w:val="18"/>
        </w:rPr>
        <w:t xml:space="preserve"> (izgradnja i opremanje), pored toga ukupan iznos prihvatljivih općih troškova iznosi do 148.800 kn </w:t>
      </w:r>
      <w:r w:rsidR="00227DCD" w:rsidRPr="00EE21BE">
        <w:rPr>
          <w:rFonts w:ascii="Arial" w:eastAsia="Calibri" w:hAnsi="Arial" w:cs="Arial"/>
          <w:sz w:val="18"/>
          <w:szCs w:val="18"/>
        </w:rPr>
        <w:t xml:space="preserve">/ 19.749,15 € </w:t>
      </w:r>
      <w:r w:rsidRPr="00EE21BE">
        <w:rPr>
          <w:rFonts w:ascii="Arial" w:eastAsia="Calibri" w:hAnsi="Arial" w:cs="Arial"/>
          <w:sz w:val="18"/>
          <w:szCs w:val="18"/>
        </w:rPr>
        <w:t>(konzultantske usluge, troškovi pripreme projekta i vođenje projekta) ili sveukupno 8.047.552,76 kn</w:t>
      </w:r>
      <w:r w:rsidR="00227DCD" w:rsidRPr="00EE21BE">
        <w:rPr>
          <w:rFonts w:ascii="Arial" w:eastAsia="Calibri" w:hAnsi="Arial" w:cs="Arial"/>
          <w:sz w:val="18"/>
          <w:szCs w:val="18"/>
        </w:rPr>
        <w:t xml:space="preserve"> / 1.068.093,80 €</w:t>
      </w:r>
      <w:r w:rsidRPr="00EE21BE">
        <w:rPr>
          <w:rFonts w:ascii="Arial" w:eastAsia="Calibri" w:hAnsi="Arial" w:cs="Arial"/>
          <w:sz w:val="18"/>
          <w:szCs w:val="18"/>
        </w:rPr>
        <w:t>.</w:t>
      </w:r>
    </w:p>
    <w:p w14:paraId="384AF168" w14:textId="77777777" w:rsidR="0004156F" w:rsidRPr="00EE21BE" w:rsidRDefault="0004156F" w:rsidP="007D695C">
      <w:pPr>
        <w:spacing w:after="0" w:line="240" w:lineRule="auto"/>
        <w:jc w:val="both"/>
        <w:rPr>
          <w:rFonts w:ascii="Arial" w:eastAsia="Calibri" w:hAnsi="Arial" w:cs="Arial"/>
          <w:sz w:val="18"/>
          <w:szCs w:val="18"/>
        </w:rPr>
      </w:pPr>
    </w:p>
    <w:p w14:paraId="011F03CD" w14:textId="79F757EE" w:rsidR="0004156F" w:rsidRPr="00EE21BE" w:rsidRDefault="0004156F" w:rsidP="0004156F">
      <w:pPr>
        <w:autoSpaceDE w:val="0"/>
        <w:autoSpaceDN w:val="0"/>
        <w:adjustRightInd w:val="0"/>
        <w:spacing w:after="0" w:line="240" w:lineRule="auto"/>
        <w:rPr>
          <w:rFonts w:ascii="Arial" w:hAnsi="Arial" w:cs="Arial"/>
          <w:sz w:val="18"/>
          <w:szCs w:val="18"/>
        </w:rPr>
      </w:pPr>
      <w:r w:rsidRPr="00EE21BE">
        <w:rPr>
          <w:rFonts w:ascii="Arial" w:hAnsi="Arial" w:cs="Arial"/>
          <w:sz w:val="18"/>
          <w:szCs w:val="18"/>
        </w:rPr>
        <w:t xml:space="preserve">Za izradu dokumentacije o nabavi i vođenje postupka javne nabave projekta dogradnje/rekonstrukcije i opremanja dječjeg vrtića i jaslica na Grudi zaključen je ugovor u travnju 2019. u vrijednosti 55.000 kn </w:t>
      </w:r>
      <w:r w:rsidR="00227DCD" w:rsidRPr="00EE21BE">
        <w:rPr>
          <w:rFonts w:ascii="Arial" w:hAnsi="Arial" w:cs="Arial"/>
          <w:sz w:val="18"/>
          <w:szCs w:val="18"/>
        </w:rPr>
        <w:t xml:space="preserve">/ 7.299,75 € </w:t>
      </w:r>
      <w:r w:rsidRPr="00EE21BE">
        <w:rPr>
          <w:rFonts w:ascii="Arial" w:hAnsi="Arial" w:cs="Arial"/>
          <w:sz w:val="18"/>
          <w:szCs w:val="18"/>
        </w:rPr>
        <w:t>što s porezom na dodanu vrijednost čini 68.750 kn</w:t>
      </w:r>
      <w:r w:rsidR="00E273A9" w:rsidRPr="00EE21BE">
        <w:rPr>
          <w:rFonts w:ascii="Arial" w:hAnsi="Arial" w:cs="Arial"/>
          <w:sz w:val="18"/>
          <w:szCs w:val="18"/>
        </w:rPr>
        <w:t xml:space="preserve"> / 9.124,69 €</w:t>
      </w:r>
      <w:r w:rsidRPr="00EE21BE">
        <w:rPr>
          <w:rFonts w:ascii="Arial" w:hAnsi="Arial" w:cs="Arial"/>
          <w:sz w:val="18"/>
          <w:szCs w:val="18"/>
        </w:rPr>
        <w:t xml:space="preserve">. </w:t>
      </w:r>
    </w:p>
    <w:p w14:paraId="70CDE5E9" w14:textId="77777777"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Postupak javne nabave za odabir izvoditelja radova je poništen u ožujku 2020. Novi postupak nabave je započet u studenom 2020., ali je i ovaj postupak poništen.</w:t>
      </w:r>
    </w:p>
    <w:p w14:paraId="25FA1A9D" w14:textId="77777777"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p>
    <w:p w14:paraId="06DBB7C1" w14:textId="0D0B71AA"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 xml:space="preserve">Zbog značajnog porasta vrijednosti investicije odustalo se od korištenja bespovratnih sredstava </w:t>
      </w:r>
      <w:r w:rsidRPr="00EE21BE">
        <w:rPr>
          <w:rFonts w:ascii="Arial" w:eastAsia="Calibri" w:hAnsi="Arial" w:cs="Arial"/>
          <w:b/>
          <w:sz w:val="18"/>
          <w:szCs w:val="18"/>
        </w:rPr>
        <w:t>procijenjenog iznosa 6.213.042,21 kn</w:t>
      </w:r>
      <w:r w:rsidR="002F346A" w:rsidRPr="00EE21BE">
        <w:rPr>
          <w:rFonts w:ascii="Arial" w:eastAsia="Calibri" w:hAnsi="Arial" w:cs="Arial"/>
          <w:b/>
          <w:sz w:val="18"/>
          <w:szCs w:val="18"/>
        </w:rPr>
        <w:t xml:space="preserve"> (824.612,41 €)</w:t>
      </w:r>
      <w:r w:rsidRPr="00EE21BE">
        <w:rPr>
          <w:rFonts w:ascii="Arial" w:eastAsia="Times New Roman" w:hAnsi="Arial" w:cs="Arial"/>
          <w:sz w:val="18"/>
          <w:szCs w:val="18"/>
        </w:rPr>
        <w:t xml:space="preserve">, te će se ovaj projekt nastojati ponovno prijaviti kroz neki novi program korištenja EU sredstava. </w:t>
      </w:r>
    </w:p>
    <w:p w14:paraId="27C498C3" w14:textId="77777777" w:rsidR="00962DD2" w:rsidRPr="00FF3C31" w:rsidRDefault="00962DD2" w:rsidP="0004156F">
      <w:pPr>
        <w:autoSpaceDE w:val="0"/>
        <w:autoSpaceDN w:val="0"/>
        <w:adjustRightInd w:val="0"/>
        <w:spacing w:after="0" w:line="240" w:lineRule="auto"/>
        <w:rPr>
          <w:rFonts w:ascii="Arial" w:hAnsi="Arial" w:cs="Arial"/>
          <w:sz w:val="20"/>
          <w:szCs w:val="20"/>
        </w:rPr>
      </w:pPr>
    </w:p>
    <w:p w14:paraId="48AAC254" w14:textId="77777777" w:rsidR="0004156F" w:rsidRPr="00FF3C31" w:rsidRDefault="0004156F" w:rsidP="0004156F">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rPr>
          <w:rFonts w:ascii="Arial" w:hAnsi="Arial" w:cs="Arial"/>
          <w:b/>
          <w:sz w:val="20"/>
          <w:szCs w:val="20"/>
        </w:rPr>
      </w:pPr>
      <w:r w:rsidRPr="00FF3C31">
        <w:rPr>
          <w:rFonts w:ascii="Arial" w:hAnsi="Arial" w:cs="Arial"/>
          <w:b/>
          <w:sz w:val="20"/>
          <w:szCs w:val="20"/>
        </w:rPr>
        <w:t>K210102: Izgradnja novog dječjeg vrtića u Cavtatu</w:t>
      </w:r>
    </w:p>
    <w:p w14:paraId="59EDF093"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p>
    <w:p w14:paraId="18330C00" w14:textId="77777777" w:rsidR="0004156F" w:rsidRPr="00FF3C31" w:rsidRDefault="0004156F" w:rsidP="0004156F">
      <w:pPr>
        <w:autoSpaceDE w:val="0"/>
        <w:autoSpaceDN w:val="0"/>
        <w:adjustRightInd w:val="0"/>
        <w:spacing w:after="0" w:line="240" w:lineRule="auto"/>
        <w:rPr>
          <w:rFonts w:ascii="Arial" w:hAnsi="Arial" w:cs="Arial"/>
          <w:sz w:val="20"/>
          <w:szCs w:val="20"/>
        </w:rPr>
      </w:pPr>
      <w:r w:rsidRPr="00FF3C31">
        <w:rPr>
          <w:rFonts w:ascii="Arial" w:hAnsi="Arial" w:cs="Arial"/>
          <w:sz w:val="20"/>
          <w:szCs w:val="20"/>
        </w:rPr>
        <w:t xml:space="preserve">Pokazatelj rezultata je: postotak dovršenosti projekta </w:t>
      </w:r>
    </w:p>
    <w:p w14:paraId="7960123F" w14:textId="0BA99E5E" w:rsidR="0004156F" w:rsidRPr="00FF3C31" w:rsidRDefault="0004156F" w:rsidP="0004156F">
      <w:pPr>
        <w:autoSpaceDE w:val="0"/>
        <w:autoSpaceDN w:val="0"/>
        <w:adjustRightInd w:val="0"/>
        <w:spacing w:after="0" w:line="240" w:lineRule="auto"/>
        <w:rPr>
          <w:rFonts w:ascii="Arial" w:hAnsi="Arial" w:cs="Arial"/>
          <w:sz w:val="20"/>
          <w:szCs w:val="20"/>
        </w:rPr>
      </w:pPr>
      <w:r w:rsidRPr="00FF3C31">
        <w:rPr>
          <w:rFonts w:ascii="Arial" w:hAnsi="Arial" w:cs="Arial"/>
          <w:sz w:val="20"/>
          <w:szCs w:val="20"/>
        </w:rPr>
        <w:t>Polazna vrijednost 202</w:t>
      </w:r>
      <w:r w:rsidR="00E5738B">
        <w:rPr>
          <w:rFonts w:ascii="Arial" w:hAnsi="Arial" w:cs="Arial"/>
          <w:sz w:val="20"/>
          <w:szCs w:val="20"/>
        </w:rPr>
        <w:t>4</w:t>
      </w:r>
      <w:r w:rsidRPr="00FF3C31">
        <w:rPr>
          <w:rFonts w:ascii="Arial" w:hAnsi="Arial" w:cs="Arial"/>
          <w:sz w:val="20"/>
          <w:szCs w:val="20"/>
        </w:rPr>
        <w:t>. = 0% (nula) postotak dovršenosti radova, a 60% izrađenosti projekta.</w:t>
      </w:r>
    </w:p>
    <w:p w14:paraId="75A8E834" w14:textId="0628729D" w:rsidR="0004156F" w:rsidRPr="00FF3C31" w:rsidRDefault="0004156F" w:rsidP="0004156F">
      <w:pPr>
        <w:autoSpaceDE w:val="0"/>
        <w:autoSpaceDN w:val="0"/>
        <w:adjustRightInd w:val="0"/>
        <w:spacing w:after="0" w:line="240" w:lineRule="auto"/>
        <w:rPr>
          <w:rFonts w:ascii="Arial" w:hAnsi="Arial" w:cs="Arial"/>
          <w:sz w:val="20"/>
          <w:szCs w:val="20"/>
        </w:rPr>
      </w:pPr>
      <w:r w:rsidRPr="00FF3C31">
        <w:rPr>
          <w:rFonts w:ascii="Arial" w:hAnsi="Arial" w:cs="Arial"/>
          <w:sz w:val="20"/>
          <w:szCs w:val="20"/>
        </w:rPr>
        <w:t>Ciljna vrijednost za 202</w:t>
      </w:r>
      <w:r w:rsidR="00E5738B">
        <w:rPr>
          <w:rFonts w:ascii="Arial" w:hAnsi="Arial" w:cs="Arial"/>
          <w:sz w:val="20"/>
          <w:szCs w:val="20"/>
        </w:rPr>
        <w:t>5</w:t>
      </w:r>
      <w:r w:rsidRPr="00FF3C31">
        <w:rPr>
          <w:rFonts w:ascii="Arial" w:hAnsi="Arial" w:cs="Arial"/>
          <w:sz w:val="20"/>
          <w:szCs w:val="20"/>
        </w:rPr>
        <w:t xml:space="preserve">. = </w:t>
      </w:r>
      <w:r w:rsidR="00E5738B">
        <w:rPr>
          <w:rFonts w:ascii="Arial" w:hAnsi="Arial" w:cs="Arial"/>
          <w:sz w:val="20"/>
          <w:szCs w:val="20"/>
        </w:rPr>
        <w:t>6</w:t>
      </w:r>
      <w:r w:rsidRPr="00FF3C31">
        <w:rPr>
          <w:rFonts w:ascii="Arial" w:hAnsi="Arial" w:cs="Arial"/>
          <w:sz w:val="20"/>
          <w:szCs w:val="20"/>
        </w:rPr>
        <w:t>0% završenosti projekta i 0% završenosti radova</w:t>
      </w:r>
    </w:p>
    <w:p w14:paraId="6BE113B1" w14:textId="3B5C744C" w:rsidR="0004156F" w:rsidRPr="00FF3C31" w:rsidRDefault="0004156F" w:rsidP="0004156F">
      <w:pPr>
        <w:autoSpaceDE w:val="0"/>
        <w:autoSpaceDN w:val="0"/>
        <w:adjustRightInd w:val="0"/>
        <w:spacing w:after="0" w:line="240" w:lineRule="auto"/>
        <w:rPr>
          <w:rFonts w:ascii="Arial" w:hAnsi="Arial" w:cs="Arial"/>
          <w:sz w:val="20"/>
          <w:szCs w:val="20"/>
        </w:rPr>
      </w:pPr>
      <w:r w:rsidRPr="00FF3C31">
        <w:rPr>
          <w:rFonts w:ascii="Arial" w:hAnsi="Arial" w:cs="Arial"/>
          <w:sz w:val="20"/>
          <w:szCs w:val="20"/>
        </w:rPr>
        <w:t>za 202</w:t>
      </w:r>
      <w:r w:rsidR="00E5738B">
        <w:rPr>
          <w:rFonts w:ascii="Arial" w:hAnsi="Arial" w:cs="Arial"/>
          <w:sz w:val="20"/>
          <w:szCs w:val="20"/>
        </w:rPr>
        <w:t>6</w:t>
      </w:r>
      <w:r w:rsidRPr="00FF3C31">
        <w:rPr>
          <w:rFonts w:ascii="Arial" w:hAnsi="Arial" w:cs="Arial"/>
          <w:sz w:val="20"/>
          <w:szCs w:val="20"/>
        </w:rPr>
        <w:t xml:space="preserve">. = 100% završenost projekta i </w:t>
      </w:r>
      <w:r w:rsidR="006F20F9" w:rsidRPr="00FF3C31">
        <w:rPr>
          <w:rFonts w:ascii="Arial" w:hAnsi="Arial" w:cs="Arial"/>
          <w:sz w:val="20"/>
          <w:szCs w:val="20"/>
        </w:rPr>
        <w:t>0</w:t>
      </w:r>
      <w:r w:rsidRPr="00FF3C31">
        <w:rPr>
          <w:rFonts w:ascii="Arial" w:hAnsi="Arial" w:cs="Arial"/>
          <w:sz w:val="20"/>
          <w:szCs w:val="20"/>
        </w:rPr>
        <w:t>% završenosti radova, za 202</w:t>
      </w:r>
      <w:r w:rsidR="00E5738B">
        <w:rPr>
          <w:rFonts w:ascii="Arial" w:hAnsi="Arial" w:cs="Arial"/>
          <w:sz w:val="20"/>
          <w:szCs w:val="20"/>
        </w:rPr>
        <w:t>7</w:t>
      </w:r>
      <w:r w:rsidRPr="00FF3C31">
        <w:rPr>
          <w:rFonts w:ascii="Arial" w:hAnsi="Arial" w:cs="Arial"/>
          <w:sz w:val="20"/>
          <w:szCs w:val="20"/>
        </w:rPr>
        <w:t xml:space="preserve">. = 100% završenost projekta i </w:t>
      </w:r>
      <w:r w:rsidR="006F20F9" w:rsidRPr="00FF3C31">
        <w:rPr>
          <w:rFonts w:ascii="Arial" w:hAnsi="Arial" w:cs="Arial"/>
          <w:sz w:val="20"/>
          <w:szCs w:val="20"/>
        </w:rPr>
        <w:t>10</w:t>
      </w:r>
      <w:r w:rsidRPr="00FF3C31">
        <w:rPr>
          <w:rFonts w:ascii="Arial" w:hAnsi="Arial" w:cs="Arial"/>
          <w:sz w:val="20"/>
          <w:szCs w:val="20"/>
        </w:rPr>
        <w:t>% završenosti radova</w:t>
      </w:r>
    </w:p>
    <w:p w14:paraId="34BD506F" w14:textId="77777777" w:rsidR="0004156F" w:rsidRPr="00EE21BE" w:rsidRDefault="0004156F" w:rsidP="0004156F">
      <w:pPr>
        <w:autoSpaceDE w:val="0"/>
        <w:autoSpaceDN w:val="0"/>
        <w:adjustRightInd w:val="0"/>
        <w:spacing w:after="0" w:line="240" w:lineRule="auto"/>
        <w:rPr>
          <w:rFonts w:ascii="Arial" w:hAnsi="Arial" w:cs="Arial"/>
          <w:sz w:val="18"/>
          <w:szCs w:val="18"/>
        </w:rPr>
      </w:pPr>
    </w:p>
    <w:p w14:paraId="5DC371C9" w14:textId="00C291A9" w:rsidR="0004156F" w:rsidRPr="00EE21BE" w:rsidRDefault="0004156F" w:rsidP="0004156F">
      <w:pPr>
        <w:autoSpaceDE w:val="0"/>
        <w:autoSpaceDN w:val="0"/>
        <w:adjustRightInd w:val="0"/>
        <w:spacing w:after="0" w:line="240" w:lineRule="auto"/>
        <w:rPr>
          <w:rFonts w:ascii="Arial" w:hAnsi="Arial" w:cs="Arial"/>
          <w:sz w:val="18"/>
          <w:szCs w:val="18"/>
        </w:rPr>
      </w:pPr>
      <w:r w:rsidRPr="00EE21BE">
        <w:rPr>
          <w:rFonts w:ascii="Arial" w:hAnsi="Arial" w:cs="Arial"/>
          <w:sz w:val="18"/>
          <w:szCs w:val="18"/>
        </w:rPr>
        <w:t xml:space="preserve">Izrađena je projektno tehnička dokumentacija za potrebe izrade glavnog projekta izgradnje dječjeg vrtića u iznosu 213.750 kn </w:t>
      </w:r>
      <w:r w:rsidR="002F346A" w:rsidRPr="00EE21BE">
        <w:rPr>
          <w:rFonts w:ascii="Arial" w:hAnsi="Arial" w:cs="Arial"/>
          <w:sz w:val="18"/>
          <w:szCs w:val="18"/>
        </w:rPr>
        <w:t xml:space="preserve">/ 28.369,50 € </w:t>
      </w:r>
      <w:r w:rsidRPr="00EE21BE">
        <w:rPr>
          <w:rFonts w:ascii="Arial" w:hAnsi="Arial" w:cs="Arial"/>
          <w:sz w:val="18"/>
          <w:szCs w:val="18"/>
        </w:rPr>
        <w:t>prema ugovoru iz prosinca 2016.</w:t>
      </w:r>
      <w:r w:rsidR="002F0351" w:rsidRPr="00EE21BE">
        <w:rPr>
          <w:rFonts w:ascii="Arial" w:hAnsi="Arial" w:cs="Arial"/>
          <w:sz w:val="18"/>
          <w:szCs w:val="18"/>
        </w:rPr>
        <w:t xml:space="preserve"> </w:t>
      </w:r>
      <w:r w:rsidRPr="00EE21BE">
        <w:rPr>
          <w:rFonts w:ascii="Arial" w:hAnsi="Arial" w:cs="Arial"/>
          <w:sz w:val="18"/>
          <w:szCs w:val="18"/>
        </w:rPr>
        <w:t>godine.</w:t>
      </w:r>
    </w:p>
    <w:p w14:paraId="2DF12674" w14:textId="77777777" w:rsidR="0004156F" w:rsidRPr="00EE21BE" w:rsidRDefault="0004156F" w:rsidP="0004156F">
      <w:pPr>
        <w:autoSpaceDE w:val="0"/>
        <w:autoSpaceDN w:val="0"/>
        <w:adjustRightInd w:val="0"/>
        <w:spacing w:after="0" w:line="240" w:lineRule="auto"/>
        <w:rPr>
          <w:rFonts w:ascii="Arial" w:hAnsi="Arial" w:cs="Arial"/>
          <w:sz w:val="18"/>
          <w:szCs w:val="18"/>
        </w:rPr>
      </w:pPr>
      <w:r w:rsidRPr="00EE21BE">
        <w:rPr>
          <w:rFonts w:ascii="Arial" w:hAnsi="Arial" w:cs="Arial"/>
          <w:sz w:val="18"/>
          <w:szCs w:val="18"/>
        </w:rPr>
        <w:t>Postotak izvršenosti projekta koncem lipnja 2019. je bio 60%. Početak izgradnje novog vrtića ovisi o lokaciji i početku izgradnje nove osnovne škole u Cavtatu (osnivač škole je Dubrovačko-neretvanska županija).</w:t>
      </w:r>
    </w:p>
    <w:p w14:paraId="175D0257" w14:textId="77777777" w:rsidR="0004156F" w:rsidRPr="00EE21BE" w:rsidRDefault="0004156F" w:rsidP="0004156F">
      <w:pPr>
        <w:autoSpaceDE w:val="0"/>
        <w:autoSpaceDN w:val="0"/>
        <w:adjustRightInd w:val="0"/>
        <w:spacing w:after="0" w:line="240" w:lineRule="auto"/>
        <w:rPr>
          <w:rFonts w:ascii="Arial" w:hAnsi="Arial" w:cs="Arial"/>
          <w:sz w:val="18"/>
          <w:szCs w:val="18"/>
        </w:rPr>
      </w:pPr>
    </w:p>
    <w:p w14:paraId="662F810B" w14:textId="77777777" w:rsidR="0004156F" w:rsidRPr="00EE21BE" w:rsidRDefault="0004156F" w:rsidP="0004156F">
      <w:pPr>
        <w:autoSpaceDE w:val="0"/>
        <w:autoSpaceDN w:val="0"/>
        <w:adjustRightInd w:val="0"/>
        <w:spacing w:after="0" w:line="240" w:lineRule="auto"/>
        <w:rPr>
          <w:rFonts w:ascii="Arial" w:hAnsi="Arial" w:cs="Arial"/>
          <w:sz w:val="18"/>
          <w:szCs w:val="18"/>
        </w:rPr>
      </w:pPr>
      <w:r w:rsidRPr="00EE21BE">
        <w:rPr>
          <w:rFonts w:ascii="Arial" w:hAnsi="Arial" w:cs="Arial"/>
          <w:sz w:val="18"/>
          <w:szCs w:val="18"/>
        </w:rPr>
        <w:t>Rashodi nisu izvršavani.</w:t>
      </w:r>
    </w:p>
    <w:p w14:paraId="4776811A" w14:textId="77777777" w:rsidR="0004156F" w:rsidRDefault="0004156F" w:rsidP="0004156F">
      <w:pPr>
        <w:autoSpaceDE w:val="0"/>
        <w:autoSpaceDN w:val="0"/>
        <w:adjustRightInd w:val="0"/>
        <w:spacing w:after="0" w:line="240" w:lineRule="auto"/>
        <w:jc w:val="both"/>
        <w:rPr>
          <w:rFonts w:ascii="Arial" w:eastAsia="Times New Roman" w:hAnsi="Arial" w:cs="Arial"/>
          <w:sz w:val="20"/>
          <w:szCs w:val="20"/>
        </w:rPr>
      </w:pPr>
    </w:p>
    <w:p w14:paraId="0C27F87C" w14:textId="77777777" w:rsidR="00EE21BE" w:rsidRPr="00FF3C31" w:rsidRDefault="00EE21BE" w:rsidP="0004156F">
      <w:pPr>
        <w:autoSpaceDE w:val="0"/>
        <w:autoSpaceDN w:val="0"/>
        <w:adjustRightInd w:val="0"/>
        <w:spacing w:after="0" w:line="240" w:lineRule="auto"/>
        <w:jc w:val="both"/>
        <w:rPr>
          <w:rFonts w:ascii="Arial" w:eastAsia="Times New Roman" w:hAnsi="Arial" w:cs="Arial"/>
          <w:sz w:val="20"/>
          <w:szCs w:val="20"/>
        </w:rPr>
      </w:pPr>
    </w:p>
    <w:p w14:paraId="284390D2" w14:textId="567677F0" w:rsidR="0004156F" w:rsidRPr="00FF3C31" w:rsidRDefault="0004156F" w:rsidP="0004156F">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rPr>
          <w:rFonts w:ascii="Arial" w:eastAsia="Calibri" w:hAnsi="Arial" w:cs="Arial"/>
          <w:b/>
          <w:sz w:val="20"/>
          <w:szCs w:val="20"/>
        </w:rPr>
      </w:pPr>
      <w:r w:rsidRPr="00FF3C31">
        <w:rPr>
          <w:rFonts w:ascii="Arial" w:eastAsia="Calibri" w:hAnsi="Arial" w:cs="Arial"/>
          <w:b/>
          <w:sz w:val="20"/>
          <w:szCs w:val="20"/>
        </w:rPr>
        <w:lastRenderedPageBreak/>
        <w:t>K210103: Izgradnja nove osnovne škole u Cavtatu</w:t>
      </w:r>
      <w:r w:rsidR="007636D1">
        <w:rPr>
          <w:rFonts w:ascii="Arial" w:eastAsia="Calibri" w:hAnsi="Arial" w:cs="Arial"/>
          <w:b/>
          <w:sz w:val="20"/>
          <w:szCs w:val="20"/>
        </w:rPr>
        <w:t xml:space="preserve"> s trodijelnom dvoranom i cestom u okviru škole</w:t>
      </w:r>
    </w:p>
    <w:p w14:paraId="4317A1FA" w14:textId="77777777" w:rsidR="0004156F" w:rsidRPr="00FF3C31" w:rsidRDefault="0004156F" w:rsidP="0004156F">
      <w:pPr>
        <w:autoSpaceDE w:val="0"/>
        <w:autoSpaceDN w:val="0"/>
        <w:adjustRightInd w:val="0"/>
        <w:spacing w:after="0" w:line="240" w:lineRule="auto"/>
        <w:rPr>
          <w:rFonts w:ascii="Arial" w:eastAsia="Calibri" w:hAnsi="Arial" w:cs="Arial"/>
          <w:sz w:val="20"/>
          <w:szCs w:val="20"/>
        </w:rPr>
      </w:pPr>
    </w:p>
    <w:p w14:paraId="7CADDDEA" w14:textId="77777777" w:rsidR="0004156F" w:rsidRPr="00FF3C31" w:rsidRDefault="0004156F" w:rsidP="0004156F">
      <w:pPr>
        <w:autoSpaceDE w:val="0"/>
        <w:autoSpaceDN w:val="0"/>
        <w:adjustRightInd w:val="0"/>
        <w:spacing w:after="0" w:line="240" w:lineRule="auto"/>
        <w:rPr>
          <w:rFonts w:ascii="Arial" w:eastAsia="Calibri" w:hAnsi="Arial" w:cs="Arial"/>
          <w:sz w:val="20"/>
          <w:szCs w:val="20"/>
        </w:rPr>
      </w:pPr>
      <w:r w:rsidRPr="00FF3C31">
        <w:rPr>
          <w:rFonts w:ascii="Arial" w:eastAsia="Calibri" w:hAnsi="Arial" w:cs="Arial"/>
          <w:sz w:val="20"/>
          <w:szCs w:val="20"/>
        </w:rPr>
        <w:t>Pokazatelj rezultata je: postotak dovršenosti projekta i dovršenosti izgradnje škole</w:t>
      </w:r>
    </w:p>
    <w:p w14:paraId="35276201" w14:textId="4926DF62" w:rsidR="0004156F" w:rsidRPr="00FF3C31" w:rsidRDefault="0004156F" w:rsidP="0004156F">
      <w:pPr>
        <w:autoSpaceDE w:val="0"/>
        <w:autoSpaceDN w:val="0"/>
        <w:adjustRightInd w:val="0"/>
        <w:spacing w:after="0" w:line="240" w:lineRule="auto"/>
        <w:rPr>
          <w:rFonts w:ascii="Arial" w:eastAsia="Calibri" w:hAnsi="Arial" w:cs="Arial"/>
          <w:sz w:val="20"/>
          <w:szCs w:val="20"/>
        </w:rPr>
      </w:pPr>
      <w:r w:rsidRPr="00FF3C31">
        <w:rPr>
          <w:rFonts w:ascii="Arial" w:eastAsia="Calibri" w:hAnsi="Arial" w:cs="Arial"/>
          <w:sz w:val="20"/>
          <w:szCs w:val="20"/>
        </w:rPr>
        <w:t>Polazna vrijednost 202</w:t>
      </w:r>
      <w:r w:rsidR="00E5738B">
        <w:rPr>
          <w:rFonts w:ascii="Arial" w:eastAsia="Calibri" w:hAnsi="Arial" w:cs="Arial"/>
          <w:sz w:val="20"/>
          <w:szCs w:val="20"/>
        </w:rPr>
        <w:t>4</w:t>
      </w:r>
      <w:r w:rsidRPr="00FF3C31">
        <w:rPr>
          <w:rFonts w:ascii="Arial" w:eastAsia="Calibri" w:hAnsi="Arial" w:cs="Arial"/>
          <w:sz w:val="20"/>
          <w:szCs w:val="20"/>
        </w:rPr>
        <w:t xml:space="preserve">. = 0% (nula) postotak dovršenosti radova, a </w:t>
      </w:r>
      <w:r w:rsidR="00E5738B">
        <w:rPr>
          <w:rFonts w:ascii="Arial" w:eastAsia="Calibri" w:hAnsi="Arial" w:cs="Arial"/>
          <w:sz w:val="20"/>
          <w:szCs w:val="20"/>
        </w:rPr>
        <w:t>9</w:t>
      </w:r>
      <w:r w:rsidR="000821A5" w:rsidRPr="00FF3C31">
        <w:rPr>
          <w:rFonts w:ascii="Arial" w:eastAsia="Calibri" w:hAnsi="Arial" w:cs="Arial"/>
          <w:sz w:val="20"/>
          <w:szCs w:val="20"/>
        </w:rPr>
        <w:t>0</w:t>
      </w:r>
      <w:r w:rsidRPr="00FF3C31">
        <w:rPr>
          <w:rFonts w:ascii="Arial" w:eastAsia="Calibri" w:hAnsi="Arial" w:cs="Arial"/>
          <w:sz w:val="20"/>
          <w:szCs w:val="20"/>
        </w:rPr>
        <w:t>% izrađenosti projekta.</w:t>
      </w:r>
    </w:p>
    <w:p w14:paraId="42E78DEA" w14:textId="1153D028" w:rsidR="0004156F" w:rsidRPr="00FF3C31" w:rsidRDefault="0004156F" w:rsidP="0004156F">
      <w:pPr>
        <w:autoSpaceDE w:val="0"/>
        <w:autoSpaceDN w:val="0"/>
        <w:adjustRightInd w:val="0"/>
        <w:spacing w:after="0" w:line="240" w:lineRule="auto"/>
        <w:rPr>
          <w:rFonts w:ascii="Arial" w:eastAsia="Calibri" w:hAnsi="Arial" w:cs="Arial"/>
          <w:sz w:val="20"/>
          <w:szCs w:val="20"/>
        </w:rPr>
      </w:pPr>
      <w:r w:rsidRPr="00FF3C31">
        <w:rPr>
          <w:rFonts w:ascii="Arial" w:eastAsia="Calibri" w:hAnsi="Arial" w:cs="Arial"/>
          <w:sz w:val="20"/>
          <w:szCs w:val="20"/>
        </w:rPr>
        <w:t>Ciljna vrijednost za 202</w:t>
      </w:r>
      <w:r w:rsidR="00E5738B">
        <w:rPr>
          <w:rFonts w:ascii="Arial" w:eastAsia="Calibri" w:hAnsi="Arial" w:cs="Arial"/>
          <w:sz w:val="20"/>
          <w:szCs w:val="20"/>
        </w:rPr>
        <w:t>5</w:t>
      </w:r>
      <w:r w:rsidRPr="00FF3C31">
        <w:rPr>
          <w:rFonts w:ascii="Arial" w:eastAsia="Calibri" w:hAnsi="Arial" w:cs="Arial"/>
          <w:sz w:val="20"/>
          <w:szCs w:val="20"/>
        </w:rPr>
        <w:t xml:space="preserve">. = 100% završenosti projekta i </w:t>
      </w:r>
      <w:r w:rsidR="00E5738B">
        <w:rPr>
          <w:rFonts w:ascii="Arial" w:eastAsia="Calibri" w:hAnsi="Arial" w:cs="Arial"/>
          <w:sz w:val="20"/>
          <w:szCs w:val="20"/>
        </w:rPr>
        <w:t>3</w:t>
      </w:r>
      <w:r w:rsidR="006F20F9" w:rsidRPr="00FF3C31">
        <w:rPr>
          <w:rFonts w:ascii="Arial" w:eastAsia="Calibri" w:hAnsi="Arial" w:cs="Arial"/>
          <w:sz w:val="20"/>
          <w:szCs w:val="20"/>
        </w:rPr>
        <w:t>0</w:t>
      </w:r>
      <w:r w:rsidRPr="00FF3C31">
        <w:rPr>
          <w:rFonts w:ascii="Arial" w:eastAsia="Calibri" w:hAnsi="Arial" w:cs="Arial"/>
          <w:sz w:val="20"/>
          <w:szCs w:val="20"/>
        </w:rPr>
        <w:t>% završenosti radova</w:t>
      </w:r>
    </w:p>
    <w:p w14:paraId="483C23C6" w14:textId="4E4DCEDB" w:rsidR="0004156F" w:rsidRPr="00FF3C31" w:rsidRDefault="0004156F" w:rsidP="0004156F">
      <w:pPr>
        <w:autoSpaceDE w:val="0"/>
        <w:autoSpaceDN w:val="0"/>
        <w:adjustRightInd w:val="0"/>
        <w:spacing w:after="0" w:line="240" w:lineRule="auto"/>
        <w:rPr>
          <w:rFonts w:ascii="Arial" w:eastAsia="Calibri" w:hAnsi="Arial" w:cs="Arial"/>
          <w:sz w:val="20"/>
          <w:szCs w:val="20"/>
        </w:rPr>
      </w:pPr>
      <w:r w:rsidRPr="00FF3C31">
        <w:rPr>
          <w:rFonts w:ascii="Arial" w:eastAsia="Calibri" w:hAnsi="Arial" w:cs="Arial"/>
          <w:sz w:val="20"/>
          <w:szCs w:val="20"/>
        </w:rPr>
        <w:t>za 202</w:t>
      </w:r>
      <w:r w:rsidR="00E5738B">
        <w:rPr>
          <w:rFonts w:ascii="Arial" w:eastAsia="Calibri" w:hAnsi="Arial" w:cs="Arial"/>
          <w:sz w:val="20"/>
          <w:szCs w:val="20"/>
        </w:rPr>
        <w:t>6</w:t>
      </w:r>
      <w:r w:rsidRPr="00FF3C31">
        <w:rPr>
          <w:rFonts w:ascii="Arial" w:eastAsia="Calibri" w:hAnsi="Arial" w:cs="Arial"/>
          <w:sz w:val="20"/>
          <w:szCs w:val="20"/>
        </w:rPr>
        <w:t xml:space="preserve">. = 100% završenost projekta i </w:t>
      </w:r>
      <w:r w:rsidR="00E5738B">
        <w:rPr>
          <w:rFonts w:ascii="Arial" w:eastAsia="Calibri" w:hAnsi="Arial" w:cs="Arial"/>
          <w:sz w:val="20"/>
          <w:szCs w:val="20"/>
        </w:rPr>
        <w:t>95</w:t>
      </w:r>
      <w:r w:rsidRPr="00FF3C31">
        <w:rPr>
          <w:rFonts w:ascii="Arial" w:eastAsia="Calibri" w:hAnsi="Arial" w:cs="Arial"/>
          <w:sz w:val="20"/>
          <w:szCs w:val="20"/>
        </w:rPr>
        <w:t>% završenosti radova, za 202</w:t>
      </w:r>
      <w:r w:rsidR="00E5738B">
        <w:rPr>
          <w:rFonts w:ascii="Arial" w:eastAsia="Calibri" w:hAnsi="Arial" w:cs="Arial"/>
          <w:sz w:val="20"/>
          <w:szCs w:val="20"/>
        </w:rPr>
        <w:t>7</w:t>
      </w:r>
      <w:r w:rsidRPr="00FF3C31">
        <w:rPr>
          <w:rFonts w:ascii="Arial" w:eastAsia="Calibri" w:hAnsi="Arial" w:cs="Arial"/>
          <w:sz w:val="20"/>
          <w:szCs w:val="20"/>
        </w:rPr>
        <w:t xml:space="preserve">. = 100% završenost projekta i </w:t>
      </w:r>
      <w:r w:rsidR="000821A5" w:rsidRPr="00FF3C31">
        <w:rPr>
          <w:rFonts w:ascii="Arial" w:eastAsia="Calibri" w:hAnsi="Arial" w:cs="Arial"/>
          <w:sz w:val="20"/>
          <w:szCs w:val="20"/>
        </w:rPr>
        <w:t>10</w:t>
      </w:r>
      <w:r w:rsidRPr="00FF3C31">
        <w:rPr>
          <w:rFonts w:ascii="Arial" w:eastAsia="Calibri" w:hAnsi="Arial" w:cs="Arial"/>
          <w:sz w:val="20"/>
          <w:szCs w:val="20"/>
        </w:rPr>
        <w:t>0% završenosti radova</w:t>
      </w:r>
    </w:p>
    <w:p w14:paraId="46352DA2" w14:textId="77777777" w:rsidR="0004156F" w:rsidRPr="00FF3C31" w:rsidRDefault="0004156F" w:rsidP="0004156F">
      <w:pPr>
        <w:autoSpaceDE w:val="0"/>
        <w:autoSpaceDN w:val="0"/>
        <w:adjustRightInd w:val="0"/>
        <w:spacing w:after="0" w:line="240" w:lineRule="auto"/>
        <w:rPr>
          <w:rFonts w:ascii="Arial" w:eastAsia="Calibri" w:hAnsi="Arial" w:cs="Arial"/>
          <w:sz w:val="20"/>
          <w:szCs w:val="20"/>
        </w:rPr>
      </w:pPr>
    </w:p>
    <w:p w14:paraId="01247D5E" w14:textId="77777777" w:rsidR="0004156F" w:rsidRPr="00EE21BE" w:rsidRDefault="0004156F" w:rsidP="0004156F">
      <w:pPr>
        <w:autoSpaceDE w:val="0"/>
        <w:autoSpaceDN w:val="0"/>
        <w:adjustRightInd w:val="0"/>
        <w:spacing w:after="0" w:line="240" w:lineRule="auto"/>
        <w:jc w:val="both"/>
        <w:rPr>
          <w:rFonts w:ascii="Arial" w:hAnsi="Arial" w:cs="Arial"/>
          <w:sz w:val="18"/>
          <w:szCs w:val="18"/>
        </w:rPr>
      </w:pPr>
      <w:r w:rsidRPr="00EE21BE">
        <w:rPr>
          <w:rFonts w:ascii="Arial" w:hAnsi="Arial" w:cs="Arial"/>
          <w:sz w:val="18"/>
          <w:szCs w:val="18"/>
        </w:rPr>
        <w:t xml:space="preserve">U 2015. je izrađena idejna projektna dokumentacija novog objekta OŠ Cavtat i vrtića. Budući kapacitet vrtića i škole ne zadovoljava prostorne i tehničke standarde, Županija i Općina su nakon realizacije svih preduvjeta, odnosno donošenja UPU Cavtat-Zvekovica počele još u 2014. godini sa investiranjem u izradu projektne dokumentacije. Navedeni objekt škole bi za više od 500 učenika osigurao jednosmjensku nastavu. </w:t>
      </w:r>
    </w:p>
    <w:p w14:paraId="6FEA26A2" w14:textId="77777777" w:rsidR="0004156F" w:rsidRPr="00EE21BE" w:rsidRDefault="0004156F" w:rsidP="0004156F">
      <w:pPr>
        <w:autoSpaceDE w:val="0"/>
        <w:autoSpaceDN w:val="0"/>
        <w:adjustRightInd w:val="0"/>
        <w:spacing w:after="0" w:line="240" w:lineRule="auto"/>
        <w:jc w:val="both"/>
        <w:rPr>
          <w:rFonts w:ascii="Arial" w:hAnsi="Arial" w:cs="Arial"/>
          <w:sz w:val="18"/>
          <w:szCs w:val="18"/>
        </w:rPr>
      </w:pPr>
    </w:p>
    <w:p w14:paraId="04D90A7E" w14:textId="57A8E07D" w:rsidR="0004156F" w:rsidRPr="00EE21BE" w:rsidRDefault="0004156F" w:rsidP="0004156F">
      <w:pPr>
        <w:autoSpaceDE w:val="0"/>
        <w:autoSpaceDN w:val="0"/>
        <w:adjustRightInd w:val="0"/>
        <w:spacing w:after="0" w:line="240" w:lineRule="auto"/>
        <w:jc w:val="both"/>
        <w:rPr>
          <w:rFonts w:ascii="Arial" w:hAnsi="Arial" w:cs="Arial"/>
          <w:sz w:val="18"/>
          <w:szCs w:val="18"/>
        </w:rPr>
      </w:pPr>
      <w:r w:rsidRPr="00EE21BE">
        <w:rPr>
          <w:rFonts w:ascii="Arial" w:hAnsi="Arial" w:cs="Arial"/>
          <w:sz w:val="18"/>
          <w:szCs w:val="18"/>
        </w:rPr>
        <w:t>U 2019. rashodi su izvršeni u iznosu 109.625 kn</w:t>
      </w:r>
      <w:r w:rsidR="00B319AE" w:rsidRPr="00EE21BE">
        <w:rPr>
          <w:rFonts w:ascii="Arial" w:hAnsi="Arial" w:cs="Arial"/>
          <w:sz w:val="18"/>
          <w:szCs w:val="18"/>
        </w:rPr>
        <w:t xml:space="preserve"> / 14.549,74 €</w:t>
      </w:r>
      <w:r w:rsidRPr="00EE21BE">
        <w:rPr>
          <w:rFonts w:ascii="Arial" w:hAnsi="Arial" w:cs="Arial"/>
          <w:sz w:val="18"/>
          <w:szCs w:val="18"/>
        </w:rPr>
        <w:t>, a odnosili su se na učešće u nabavi zemljišta za izgradnju osnovne škole u Cavtatu. Naime, Ministarstvo državne imovine je, na temelju ugovora o darovanju od 24.10.2019., Općini dodijelilo zemljište površine 18.118 m² k.č. 501, zk.ul. 1214 k.o. Cavtat odnosno k.č. 534/2 k.o. Cavtat, vrijednosti 10.910.000 kn</w:t>
      </w:r>
      <w:r w:rsidR="00B319AE" w:rsidRPr="00EE21BE">
        <w:rPr>
          <w:rFonts w:ascii="Arial" w:hAnsi="Arial" w:cs="Arial"/>
          <w:sz w:val="18"/>
          <w:szCs w:val="18"/>
        </w:rPr>
        <w:t xml:space="preserve"> / 1.448.005,84 €</w:t>
      </w:r>
      <w:r w:rsidRPr="00EE21BE">
        <w:rPr>
          <w:rFonts w:ascii="Arial" w:hAnsi="Arial" w:cs="Arial"/>
          <w:sz w:val="18"/>
          <w:szCs w:val="18"/>
        </w:rPr>
        <w:t xml:space="preserve"> na kojem bi trebao biti novi objekt osnovne škole (sukladno idejnom rješenju i arhitektonskom projektu iz lipnja 2019.), uz obvezu da se plate troškovi procjene zemljišta i razvrgnuća suvlasničke zajednice s fizičkim osobama. Također, ugovorom o darovanju je utvrđena obveza Općine da darovanu nekretninu privede utvrđenoj namjeni u roku pet godina od dana zaključivanja ugovora i dostavi nadležnom ministarstvu izvršnu uporabnu dozvolu za građevinu za koju je nekretnina darovana.</w:t>
      </w:r>
    </w:p>
    <w:p w14:paraId="15744989" w14:textId="77777777" w:rsidR="0004156F" w:rsidRPr="00EE21BE" w:rsidRDefault="0004156F" w:rsidP="0004156F">
      <w:pPr>
        <w:autoSpaceDE w:val="0"/>
        <w:autoSpaceDN w:val="0"/>
        <w:adjustRightInd w:val="0"/>
        <w:spacing w:after="0" w:line="240" w:lineRule="auto"/>
        <w:jc w:val="both"/>
        <w:rPr>
          <w:rFonts w:ascii="Arial" w:hAnsi="Arial" w:cs="Arial"/>
          <w:sz w:val="18"/>
          <w:szCs w:val="18"/>
        </w:rPr>
      </w:pPr>
    </w:p>
    <w:p w14:paraId="2935C45E" w14:textId="77777777" w:rsidR="0004156F" w:rsidRPr="00EE21BE" w:rsidRDefault="0004156F" w:rsidP="0004156F">
      <w:pPr>
        <w:autoSpaceDE w:val="0"/>
        <w:autoSpaceDN w:val="0"/>
        <w:adjustRightInd w:val="0"/>
        <w:spacing w:after="0" w:line="240" w:lineRule="auto"/>
        <w:jc w:val="both"/>
        <w:rPr>
          <w:rFonts w:ascii="Arial" w:hAnsi="Arial" w:cs="Arial"/>
          <w:sz w:val="18"/>
          <w:szCs w:val="18"/>
        </w:rPr>
      </w:pPr>
      <w:r w:rsidRPr="00EE21BE">
        <w:rPr>
          <w:rFonts w:ascii="Arial" w:hAnsi="Arial" w:cs="Arial"/>
          <w:sz w:val="18"/>
          <w:szCs w:val="18"/>
        </w:rPr>
        <w:t>Prema idejnom projektu izgradnje škole pretpostavljena površina zahvata na izgradnji građevine je oko 8.000 m² (građevina u svrhu izvođenja nastave oko 5.500 m², građevina za tjelesno zdravstvenu kulturu oko 2.500 m², te vanjsko uređenje (asfaltiran tereni, atletska staza, popločene površine, cesta i parking, zelene površine).</w:t>
      </w:r>
    </w:p>
    <w:p w14:paraId="0EBB1B73" w14:textId="77777777"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p>
    <w:p w14:paraId="3B18C153" w14:textId="5D13033F" w:rsidR="0004156F" w:rsidRPr="00EE21BE" w:rsidRDefault="0004156F" w:rsidP="00962DD2">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 xml:space="preserve">Otvoreni postupak javne nabave za izradu projektno tehničke dokumentacije za izgradnju osnovne škole u Cavtatu je objavljen 24.11.2020. Odluka o odabiru najpovoljnije ponude donesena je 9.6.2021. </w:t>
      </w:r>
      <w:r w:rsidR="00A712A4" w:rsidRPr="00EE21BE">
        <w:rPr>
          <w:rFonts w:ascii="Arial" w:eastAsia="Times New Roman" w:hAnsi="Arial" w:cs="Arial"/>
          <w:sz w:val="18"/>
          <w:szCs w:val="18"/>
        </w:rPr>
        <w:t xml:space="preserve">na temelju čega je </w:t>
      </w:r>
      <w:r w:rsidR="00C93D0C" w:rsidRPr="00EE21BE">
        <w:rPr>
          <w:rFonts w:ascii="Arial" w:eastAsia="Times New Roman" w:hAnsi="Arial" w:cs="Arial"/>
          <w:sz w:val="18"/>
          <w:szCs w:val="18"/>
        </w:rPr>
        <w:t>u rujnu 2021. zaključen ugovor</w:t>
      </w:r>
      <w:r w:rsidRPr="00EE21BE">
        <w:rPr>
          <w:rFonts w:ascii="Arial" w:eastAsia="Times New Roman" w:hAnsi="Arial" w:cs="Arial"/>
          <w:sz w:val="18"/>
          <w:szCs w:val="18"/>
        </w:rPr>
        <w:t xml:space="preserve"> u vrijednosti 1.740.296,27 kn</w:t>
      </w:r>
      <w:r w:rsidR="00B319AE" w:rsidRPr="00EE21BE">
        <w:rPr>
          <w:rFonts w:ascii="Arial" w:eastAsia="Times New Roman" w:hAnsi="Arial" w:cs="Arial"/>
          <w:sz w:val="18"/>
          <w:szCs w:val="18"/>
        </w:rPr>
        <w:t xml:space="preserve"> / 230.977,01 €</w:t>
      </w:r>
      <w:r w:rsidRPr="00EE21BE">
        <w:rPr>
          <w:rFonts w:ascii="Arial" w:eastAsia="Times New Roman" w:hAnsi="Arial" w:cs="Arial"/>
          <w:sz w:val="18"/>
          <w:szCs w:val="18"/>
        </w:rPr>
        <w:t xml:space="preserve"> što s porezom na dodanu vrijednost čini 2.175.370,34 kn </w:t>
      </w:r>
      <w:r w:rsidR="002F346A" w:rsidRPr="00EE21BE">
        <w:rPr>
          <w:rFonts w:ascii="Arial" w:eastAsia="Times New Roman" w:hAnsi="Arial" w:cs="Arial"/>
          <w:sz w:val="18"/>
          <w:szCs w:val="18"/>
        </w:rPr>
        <w:t xml:space="preserve">(288.721,26 €) </w:t>
      </w:r>
      <w:r w:rsidRPr="00EE21BE">
        <w:rPr>
          <w:rFonts w:ascii="Arial" w:eastAsia="Times New Roman" w:hAnsi="Arial" w:cs="Arial"/>
          <w:sz w:val="18"/>
          <w:szCs w:val="18"/>
        </w:rPr>
        <w:t xml:space="preserve">(Trames d.o.o. Dubrovnik). </w:t>
      </w:r>
      <w:r w:rsidR="00962DD2" w:rsidRPr="00EE21BE">
        <w:rPr>
          <w:rFonts w:ascii="Arial" w:eastAsia="Times New Roman" w:hAnsi="Arial" w:cs="Arial"/>
          <w:sz w:val="18"/>
          <w:szCs w:val="18"/>
        </w:rPr>
        <w:t>Projektant nije u 2021. ispostavljao situacije za obavljene usluge</w:t>
      </w:r>
      <w:r w:rsidR="00C93D0C" w:rsidRPr="00EE21BE">
        <w:rPr>
          <w:rFonts w:ascii="Arial" w:eastAsia="Times New Roman" w:hAnsi="Arial" w:cs="Arial"/>
          <w:sz w:val="18"/>
          <w:szCs w:val="18"/>
        </w:rPr>
        <w:t>.</w:t>
      </w:r>
    </w:p>
    <w:p w14:paraId="3517932F" w14:textId="5D5E2F9E"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U 2021. su izvršeni rashodi u iznosu 62.500 kn</w:t>
      </w:r>
      <w:r w:rsidR="002F0351" w:rsidRPr="00EE21BE">
        <w:rPr>
          <w:rFonts w:ascii="Arial" w:eastAsia="Times New Roman" w:hAnsi="Arial" w:cs="Arial"/>
          <w:sz w:val="18"/>
          <w:szCs w:val="18"/>
        </w:rPr>
        <w:t xml:space="preserve"> </w:t>
      </w:r>
      <w:r w:rsidR="00C93D0C" w:rsidRPr="00EE21BE">
        <w:rPr>
          <w:rFonts w:ascii="Arial" w:eastAsia="Times New Roman" w:hAnsi="Arial" w:cs="Arial"/>
          <w:sz w:val="18"/>
          <w:szCs w:val="18"/>
        </w:rPr>
        <w:t xml:space="preserve">(8.295,18 €) </w:t>
      </w:r>
      <w:r w:rsidR="002F0351" w:rsidRPr="00EE21BE">
        <w:rPr>
          <w:rFonts w:ascii="Arial" w:eastAsia="Times New Roman" w:hAnsi="Arial" w:cs="Arial"/>
          <w:sz w:val="18"/>
          <w:szCs w:val="18"/>
        </w:rPr>
        <w:t xml:space="preserve">koji se </w:t>
      </w:r>
      <w:r w:rsidRPr="00EE21BE">
        <w:rPr>
          <w:rFonts w:ascii="Arial" w:eastAsia="Times New Roman" w:hAnsi="Arial" w:cs="Arial"/>
          <w:sz w:val="18"/>
          <w:szCs w:val="18"/>
        </w:rPr>
        <w:t>odnose na:</w:t>
      </w:r>
    </w:p>
    <w:p w14:paraId="647646E4" w14:textId="286C6A5B" w:rsidR="0004156F" w:rsidRPr="00EE21BE" w:rsidRDefault="0004156F">
      <w:pPr>
        <w:pStyle w:val="Odlomakpopisa"/>
        <w:numPr>
          <w:ilvl w:val="0"/>
          <w:numId w:val="8"/>
        </w:numPr>
        <w:autoSpaceDE w:val="0"/>
        <w:autoSpaceDN w:val="0"/>
        <w:adjustRightInd w:val="0"/>
        <w:ind w:left="567" w:hanging="567"/>
        <w:rPr>
          <w:rFonts w:ascii="Arial" w:hAnsi="Arial" w:cs="Arial"/>
          <w:sz w:val="18"/>
          <w:szCs w:val="18"/>
        </w:rPr>
      </w:pPr>
      <w:r w:rsidRPr="00EE21BE">
        <w:rPr>
          <w:rFonts w:ascii="Arial" w:hAnsi="Arial" w:cs="Arial"/>
          <w:sz w:val="18"/>
          <w:szCs w:val="18"/>
        </w:rPr>
        <w:t>izradu elaborata optimalnog tehničkog rješenja priključenja građevine na niskonaponsku distribucijsku elektroenergetsku mrežu 25.000 kn</w:t>
      </w:r>
      <w:r w:rsidR="007C09FC" w:rsidRPr="00EE21BE">
        <w:rPr>
          <w:rFonts w:ascii="Arial" w:hAnsi="Arial" w:cs="Arial"/>
          <w:sz w:val="18"/>
          <w:szCs w:val="18"/>
        </w:rPr>
        <w:t xml:space="preserve"> (3.318,07 €)</w:t>
      </w:r>
      <w:r w:rsidRPr="00EE21BE">
        <w:rPr>
          <w:rFonts w:ascii="Arial" w:hAnsi="Arial" w:cs="Arial"/>
          <w:sz w:val="18"/>
          <w:szCs w:val="18"/>
        </w:rPr>
        <w:t>, te</w:t>
      </w:r>
    </w:p>
    <w:p w14:paraId="288A8A59" w14:textId="5BFC10A8" w:rsidR="0004156F" w:rsidRPr="00EE21BE" w:rsidRDefault="0004156F">
      <w:pPr>
        <w:pStyle w:val="Odlomakpopisa"/>
        <w:numPr>
          <w:ilvl w:val="0"/>
          <w:numId w:val="8"/>
        </w:numPr>
        <w:autoSpaceDE w:val="0"/>
        <w:autoSpaceDN w:val="0"/>
        <w:adjustRightInd w:val="0"/>
        <w:ind w:left="567" w:hanging="567"/>
        <w:rPr>
          <w:rFonts w:ascii="Arial" w:hAnsi="Arial" w:cs="Arial"/>
          <w:sz w:val="18"/>
          <w:szCs w:val="18"/>
        </w:rPr>
      </w:pPr>
      <w:r w:rsidRPr="00EE21BE">
        <w:rPr>
          <w:rFonts w:ascii="Arial" w:hAnsi="Arial" w:cs="Arial"/>
          <w:sz w:val="18"/>
          <w:szCs w:val="18"/>
        </w:rPr>
        <w:t>usluge košenja, odnosno raščišćavanja terena na parceli buduće osnovne škole 37.500 kn</w:t>
      </w:r>
      <w:r w:rsidR="007C09FC" w:rsidRPr="00EE21BE">
        <w:rPr>
          <w:rFonts w:ascii="Arial" w:hAnsi="Arial" w:cs="Arial"/>
          <w:sz w:val="18"/>
          <w:szCs w:val="18"/>
        </w:rPr>
        <w:t xml:space="preserve"> (4.977.11 €)</w:t>
      </w:r>
      <w:r w:rsidRPr="00EE21BE">
        <w:rPr>
          <w:rFonts w:ascii="Arial" w:hAnsi="Arial" w:cs="Arial"/>
          <w:sz w:val="18"/>
          <w:szCs w:val="18"/>
        </w:rPr>
        <w:t>.</w:t>
      </w:r>
    </w:p>
    <w:p w14:paraId="65EA32ED" w14:textId="77777777" w:rsidR="0004156F" w:rsidRPr="00EE21BE" w:rsidRDefault="0004156F" w:rsidP="002F0351">
      <w:pPr>
        <w:autoSpaceDE w:val="0"/>
        <w:autoSpaceDN w:val="0"/>
        <w:adjustRightInd w:val="0"/>
        <w:spacing w:after="0" w:line="240" w:lineRule="auto"/>
        <w:ind w:left="567" w:hanging="567"/>
        <w:rPr>
          <w:rFonts w:ascii="Arial" w:hAnsi="Arial" w:cs="Arial"/>
          <w:sz w:val="18"/>
          <w:szCs w:val="18"/>
        </w:rPr>
      </w:pPr>
    </w:p>
    <w:p w14:paraId="64B08995" w14:textId="3A28F58C"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 xml:space="preserve">Koncem 2021. s HEP-om je započeo dogovor oko izrade dokumentacije za izmještanje dalekovoda koji se sada nalazi na zemljištu predviđenom za izgradnju škole. Ugovor o priključenju buduće građevine na elektroenergetsku mrežu </w:t>
      </w:r>
      <w:r w:rsidR="00C93D0C" w:rsidRPr="00EE21BE">
        <w:rPr>
          <w:rFonts w:ascii="Arial" w:eastAsia="Times New Roman" w:hAnsi="Arial" w:cs="Arial"/>
          <w:sz w:val="18"/>
          <w:szCs w:val="18"/>
        </w:rPr>
        <w:t xml:space="preserve">je </w:t>
      </w:r>
      <w:r w:rsidRPr="00EE21BE">
        <w:rPr>
          <w:rFonts w:ascii="Arial" w:eastAsia="Times New Roman" w:hAnsi="Arial" w:cs="Arial"/>
          <w:sz w:val="18"/>
          <w:szCs w:val="18"/>
        </w:rPr>
        <w:t xml:space="preserve">zaključen, a troškovi priključenja </w:t>
      </w:r>
      <w:r w:rsidR="007C09FC" w:rsidRPr="00EE21BE">
        <w:rPr>
          <w:rFonts w:ascii="Arial" w:eastAsia="Times New Roman" w:hAnsi="Arial" w:cs="Arial"/>
          <w:sz w:val="18"/>
          <w:szCs w:val="18"/>
        </w:rPr>
        <w:t xml:space="preserve">iznose </w:t>
      </w:r>
      <w:r w:rsidRPr="00EE21BE">
        <w:rPr>
          <w:rFonts w:ascii="Arial" w:eastAsia="Times New Roman" w:hAnsi="Arial" w:cs="Arial"/>
          <w:sz w:val="18"/>
          <w:szCs w:val="18"/>
        </w:rPr>
        <w:t>396.875,00 kn</w:t>
      </w:r>
      <w:r w:rsidR="007C09FC" w:rsidRPr="00EE21BE">
        <w:rPr>
          <w:rFonts w:ascii="Arial" w:eastAsia="Times New Roman" w:hAnsi="Arial" w:cs="Arial"/>
          <w:sz w:val="18"/>
          <w:szCs w:val="18"/>
        </w:rPr>
        <w:t xml:space="preserve"> (52.674,36 €)</w:t>
      </w:r>
      <w:r w:rsidR="00C93D0C" w:rsidRPr="00EE21BE">
        <w:rPr>
          <w:rFonts w:ascii="Arial" w:eastAsia="Times New Roman" w:hAnsi="Arial" w:cs="Arial"/>
          <w:sz w:val="18"/>
          <w:szCs w:val="18"/>
        </w:rPr>
        <w:t>.</w:t>
      </w:r>
    </w:p>
    <w:p w14:paraId="639B1103" w14:textId="77777777" w:rsidR="0004156F" w:rsidRPr="00EE21BE" w:rsidRDefault="0004156F" w:rsidP="0004156F">
      <w:pPr>
        <w:autoSpaceDE w:val="0"/>
        <w:autoSpaceDN w:val="0"/>
        <w:adjustRightInd w:val="0"/>
        <w:spacing w:after="0" w:line="240" w:lineRule="auto"/>
        <w:rPr>
          <w:rFonts w:ascii="Arial" w:hAnsi="Arial" w:cs="Arial"/>
          <w:sz w:val="18"/>
          <w:szCs w:val="18"/>
        </w:rPr>
      </w:pPr>
    </w:p>
    <w:p w14:paraId="4EE891E8" w14:textId="4ABD1949" w:rsidR="0004156F" w:rsidRPr="00EE21BE" w:rsidRDefault="0004156F" w:rsidP="0004156F">
      <w:pPr>
        <w:spacing w:after="0" w:line="240" w:lineRule="auto"/>
        <w:jc w:val="both"/>
        <w:rPr>
          <w:rFonts w:ascii="Arial" w:eastAsia="Calibri" w:hAnsi="Arial" w:cs="Arial"/>
          <w:sz w:val="18"/>
          <w:szCs w:val="18"/>
        </w:rPr>
      </w:pPr>
      <w:r w:rsidRPr="00EE21BE">
        <w:rPr>
          <w:rFonts w:ascii="Arial" w:eastAsia="Calibri" w:hAnsi="Arial" w:cs="Arial"/>
          <w:sz w:val="18"/>
          <w:szCs w:val="18"/>
        </w:rPr>
        <w:t>Izvršeni rashodi u 2022. godini u iznosu 1.</w:t>
      </w:r>
      <w:r w:rsidR="00FF66D4" w:rsidRPr="00EE21BE">
        <w:rPr>
          <w:rFonts w:ascii="Arial" w:eastAsia="Calibri" w:hAnsi="Arial" w:cs="Arial"/>
          <w:sz w:val="18"/>
          <w:szCs w:val="18"/>
        </w:rPr>
        <w:t>169.920,84</w:t>
      </w:r>
      <w:r w:rsidRPr="00EE21BE">
        <w:rPr>
          <w:rFonts w:ascii="Arial" w:eastAsia="Calibri" w:hAnsi="Arial" w:cs="Arial"/>
          <w:sz w:val="18"/>
          <w:szCs w:val="18"/>
        </w:rPr>
        <w:t xml:space="preserve"> kn </w:t>
      </w:r>
      <w:r w:rsidR="00C93D0C" w:rsidRPr="00EE21BE">
        <w:rPr>
          <w:rFonts w:ascii="Arial" w:eastAsia="Calibri" w:hAnsi="Arial" w:cs="Arial"/>
          <w:sz w:val="18"/>
          <w:szCs w:val="18"/>
        </w:rPr>
        <w:t xml:space="preserve">(155.275,18 €) </w:t>
      </w:r>
      <w:r w:rsidRPr="00EE21BE">
        <w:rPr>
          <w:rFonts w:ascii="Arial" w:eastAsia="Calibri" w:hAnsi="Arial" w:cs="Arial"/>
          <w:sz w:val="18"/>
          <w:szCs w:val="18"/>
        </w:rPr>
        <w:t>se odnose na plaćanje upravne pristojbe za izdavanje lokacijske dozvole u iznosu 10.000 kn, troškove</w:t>
      </w:r>
      <w:r w:rsidRPr="00EE21BE">
        <w:rPr>
          <w:sz w:val="18"/>
          <w:szCs w:val="18"/>
        </w:rPr>
        <w:t xml:space="preserve"> </w:t>
      </w:r>
      <w:r w:rsidRPr="00EE21BE">
        <w:rPr>
          <w:rFonts w:ascii="Arial" w:eastAsia="Calibri" w:hAnsi="Arial" w:cs="Arial"/>
          <w:sz w:val="18"/>
          <w:szCs w:val="18"/>
        </w:rPr>
        <w:t>za elektroenergetski priključak za zgradu buduće škole 396.875 kn</w:t>
      </w:r>
      <w:r w:rsidR="00C93D0C" w:rsidRPr="00EE21BE">
        <w:rPr>
          <w:rFonts w:ascii="Arial" w:eastAsia="Calibri" w:hAnsi="Arial" w:cs="Arial"/>
          <w:sz w:val="18"/>
          <w:szCs w:val="18"/>
        </w:rPr>
        <w:t xml:space="preserve"> (52.674,36 €)</w:t>
      </w:r>
      <w:r w:rsidRPr="00EE21BE">
        <w:rPr>
          <w:rFonts w:ascii="Arial" w:eastAsia="Calibri" w:hAnsi="Arial" w:cs="Arial"/>
          <w:sz w:val="18"/>
          <w:szCs w:val="18"/>
        </w:rPr>
        <w:t>,</w:t>
      </w:r>
      <w:r w:rsidR="00FF66D4" w:rsidRPr="00EE21BE">
        <w:rPr>
          <w:rFonts w:ascii="Arial" w:eastAsia="Calibri" w:hAnsi="Arial" w:cs="Arial"/>
          <w:sz w:val="18"/>
          <w:szCs w:val="18"/>
        </w:rPr>
        <w:t xml:space="preserve"> troškove revizije glavnog projekta čelične konstrukcije i troškove kontrole glavnog projekta u ukupnom iznosu 19.200 kn</w:t>
      </w:r>
      <w:r w:rsidR="00C93D0C" w:rsidRPr="00EE21BE">
        <w:rPr>
          <w:rFonts w:ascii="Arial" w:eastAsia="Calibri" w:hAnsi="Arial" w:cs="Arial"/>
          <w:sz w:val="18"/>
          <w:szCs w:val="18"/>
        </w:rPr>
        <w:t xml:space="preserve"> (2.548,28 €)</w:t>
      </w:r>
      <w:r w:rsidR="00FF66D4" w:rsidRPr="00EE21BE">
        <w:rPr>
          <w:rFonts w:ascii="Arial" w:eastAsia="Calibri" w:hAnsi="Arial" w:cs="Arial"/>
          <w:sz w:val="18"/>
          <w:szCs w:val="18"/>
        </w:rPr>
        <w:t>,</w:t>
      </w:r>
      <w:r w:rsidRPr="00EE21BE">
        <w:rPr>
          <w:rFonts w:ascii="Arial" w:eastAsia="Calibri" w:hAnsi="Arial" w:cs="Arial"/>
          <w:sz w:val="18"/>
          <w:szCs w:val="18"/>
        </w:rPr>
        <w:t xml:space="preserve"> </w:t>
      </w:r>
      <w:r w:rsidR="00FF66D4" w:rsidRPr="00EE21BE">
        <w:rPr>
          <w:rFonts w:ascii="Arial" w:eastAsia="Calibri" w:hAnsi="Arial" w:cs="Arial"/>
          <w:sz w:val="18"/>
          <w:szCs w:val="18"/>
        </w:rPr>
        <w:t>usluge košenja i pripreme terena u iznosu 75.812,50 kn</w:t>
      </w:r>
      <w:r w:rsidR="00C93D0C" w:rsidRPr="00EE21BE">
        <w:rPr>
          <w:rFonts w:ascii="Arial" w:eastAsia="Calibri" w:hAnsi="Arial" w:cs="Arial"/>
          <w:sz w:val="18"/>
          <w:szCs w:val="18"/>
        </w:rPr>
        <w:t xml:space="preserve"> (10.062,05 €)</w:t>
      </w:r>
      <w:r w:rsidR="00FF66D4" w:rsidRPr="00EE21BE">
        <w:rPr>
          <w:rFonts w:ascii="Arial" w:eastAsia="Calibri" w:hAnsi="Arial" w:cs="Arial"/>
          <w:sz w:val="18"/>
          <w:szCs w:val="18"/>
        </w:rPr>
        <w:t xml:space="preserve">, </w:t>
      </w:r>
      <w:r w:rsidRPr="00EE21BE">
        <w:rPr>
          <w:rFonts w:ascii="Arial" w:eastAsia="Calibri" w:hAnsi="Arial" w:cs="Arial"/>
          <w:sz w:val="18"/>
          <w:szCs w:val="18"/>
        </w:rPr>
        <w:t>te projektno tehničku dokumentaciju za izgradnju buduće osnovne škole 668.033,34 kn (dvije privremene situacije</w:t>
      </w:r>
      <w:r w:rsidR="00C93D0C" w:rsidRPr="00EE21BE">
        <w:rPr>
          <w:rFonts w:ascii="Arial" w:eastAsia="Calibri" w:hAnsi="Arial" w:cs="Arial"/>
          <w:sz w:val="18"/>
          <w:szCs w:val="18"/>
        </w:rPr>
        <w:t>, 88.663,26 €</w:t>
      </w:r>
      <w:r w:rsidR="00FF66D4" w:rsidRPr="00EE21BE">
        <w:rPr>
          <w:rFonts w:ascii="Arial" w:eastAsia="Calibri" w:hAnsi="Arial" w:cs="Arial"/>
          <w:sz w:val="18"/>
          <w:szCs w:val="18"/>
        </w:rPr>
        <w:t>).</w:t>
      </w:r>
    </w:p>
    <w:p w14:paraId="02AFB851" w14:textId="77777777" w:rsidR="00FF66D4" w:rsidRPr="00EE21BE" w:rsidRDefault="00FF66D4" w:rsidP="0004156F">
      <w:pPr>
        <w:spacing w:after="0" w:line="240" w:lineRule="auto"/>
        <w:jc w:val="both"/>
        <w:rPr>
          <w:rFonts w:ascii="Arial" w:eastAsia="Calibri" w:hAnsi="Arial" w:cs="Arial"/>
          <w:sz w:val="18"/>
          <w:szCs w:val="18"/>
        </w:rPr>
      </w:pPr>
    </w:p>
    <w:p w14:paraId="62F75BC0" w14:textId="77777777" w:rsidR="0004156F" w:rsidRPr="00EE21BE" w:rsidRDefault="0004156F">
      <w:pPr>
        <w:numPr>
          <w:ilvl w:val="0"/>
          <w:numId w:val="7"/>
        </w:num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b/>
          <w:sz w:val="18"/>
          <w:szCs w:val="18"/>
          <w:u w:val="single"/>
        </w:rPr>
        <w:t>Lokacijska dozvola</w:t>
      </w:r>
      <w:r w:rsidRPr="00EE21BE">
        <w:rPr>
          <w:rFonts w:ascii="Arial" w:eastAsia="Times New Roman" w:hAnsi="Arial" w:cs="Arial"/>
          <w:sz w:val="18"/>
          <w:szCs w:val="18"/>
        </w:rPr>
        <w:t>; KLASA: UP/I-350-05/22-01/000006; URBROJ:2117-23-6/1-22-0008, Konavle od 19.05.2022., PRAVOMOĆNA, Dubrovačko-neretvanska županija, Upravni odjel za prostorno uređenje i gradnju, Ispostava u Konavlima, izdalo je: lokacijsku dozvolu za ETAPU 1 - građenje građevine infrastrukturne namjene prometnog sustava (cestovni promet), kolno pješačka prometnica, građenje potpornih zidova, te polaganje instalacija vodoopskrbe i oborinske odvodnje, distributivne telekomunikacije, elektroinstalacije i javne rasvjete, te ETAPA 2 – građenje građevine javne i društvene namjene (osnovnoškolska ustanova) – Osnovna škola Cavtat s pripadajućim otvorenim sportskim terenima, parkiralištem i internom prometnicom na građevnoj čestici k.č. 534/2 (č.zem. 501/1 s.i.) k.o.Cavtat, površine 17120 m².</w:t>
      </w:r>
    </w:p>
    <w:p w14:paraId="793AC765" w14:textId="77777777"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p>
    <w:p w14:paraId="49262A0F" w14:textId="71307E99" w:rsidR="00385C62" w:rsidRPr="00EE21BE" w:rsidRDefault="00B243FC">
      <w:pPr>
        <w:pStyle w:val="Odlomakpopisa"/>
        <w:numPr>
          <w:ilvl w:val="0"/>
          <w:numId w:val="7"/>
        </w:numPr>
        <w:autoSpaceDE w:val="0"/>
        <w:autoSpaceDN w:val="0"/>
        <w:adjustRightInd w:val="0"/>
        <w:rPr>
          <w:rFonts w:ascii="Arial" w:hAnsi="Arial" w:cs="Arial"/>
          <w:sz w:val="18"/>
          <w:szCs w:val="18"/>
        </w:rPr>
      </w:pPr>
      <w:r w:rsidRPr="00EE21BE">
        <w:rPr>
          <w:rFonts w:ascii="Arial" w:hAnsi="Arial" w:cs="Arial"/>
          <w:b/>
          <w:sz w:val="18"/>
          <w:szCs w:val="18"/>
          <w:u w:val="single"/>
        </w:rPr>
        <w:t>Gr</w:t>
      </w:r>
      <w:r w:rsidR="003E30B1" w:rsidRPr="00EE21BE">
        <w:rPr>
          <w:rFonts w:ascii="Arial" w:hAnsi="Arial" w:cs="Arial"/>
          <w:b/>
          <w:sz w:val="18"/>
          <w:szCs w:val="18"/>
          <w:u w:val="single"/>
        </w:rPr>
        <w:t>a</w:t>
      </w:r>
      <w:r w:rsidRPr="00EE21BE">
        <w:rPr>
          <w:rFonts w:ascii="Arial" w:hAnsi="Arial" w:cs="Arial"/>
          <w:b/>
          <w:sz w:val="18"/>
          <w:szCs w:val="18"/>
          <w:u w:val="single"/>
        </w:rPr>
        <w:t xml:space="preserve">đevinska dozvola; </w:t>
      </w:r>
      <w:r w:rsidRPr="00EE21BE">
        <w:rPr>
          <w:rFonts w:ascii="Arial" w:hAnsi="Arial" w:cs="Arial"/>
          <w:bCs/>
          <w:sz w:val="18"/>
          <w:szCs w:val="18"/>
        </w:rPr>
        <w:t>KLASA: UP/I-361-03/22-01/000408; URBROJ:2117-23-6/1-23-0018, Gruda od 7.7.2023., Dubrovačko-</w:t>
      </w:r>
      <w:r w:rsidRPr="00EE21BE">
        <w:rPr>
          <w:rFonts w:ascii="Arial" w:hAnsi="Arial" w:cs="Arial"/>
          <w:sz w:val="18"/>
          <w:szCs w:val="18"/>
        </w:rPr>
        <w:t xml:space="preserve">neretvanska županija, Upravni odjel za prostorno uređenje i gradnju, Ispostava u </w:t>
      </w:r>
      <w:r w:rsidR="003E30B1" w:rsidRPr="00EE21BE">
        <w:rPr>
          <w:rFonts w:ascii="Arial" w:hAnsi="Arial" w:cs="Arial"/>
          <w:sz w:val="18"/>
          <w:szCs w:val="18"/>
        </w:rPr>
        <w:t>Grudi,</w:t>
      </w:r>
      <w:r w:rsidRPr="00EE21BE">
        <w:rPr>
          <w:rFonts w:ascii="Arial" w:hAnsi="Arial" w:cs="Arial"/>
          <w:sz w:val="18"/>
          <w:szCs w:val="18"/>
        </w:rPr>
        <w:t xml:space="preserve"> izdalo je: </w:t>
      </w:r>
      <w:r w:rsidR="003E30B1" w:rsidRPr="00EE21BE">
        <w:rPr>
          <w:rFonts w:ascii="Arial" w:hAnsi="Arial" w:cs="Arial"/>
          <w:sz w:val="18"/>
          <w:szCs w:val="18"/>
        </w:rPr>
        <w:t xml:space="preserve">građevinsku </w:t>
      </w:r>
      <w:r w:rsidRPr="00EE21BE">
        <w:rPr>
          <w:rFonts w:ascii="Arial" w:hAnsi="Arial" w:cs="Arial"/>
          <w:sz w:val="18"/>
          <w:szCs w:val="18"/>
        </w:rPr>
        <w:t>dozvolu za</w:t>
      </w:r>
      <w:r w:rsidR="003E30B1" w:rsidRPr="00EE21BE">
        <w:rPr>
          <w:rFonts w:ascii="Arial" w:hAnsi="Arial" w:cs="Arial"/>
          <w:sz w:val="18"/>
          <w:szCs w:val="18"/>
        </w:rPr>
        <w:t xml:space="preserve"> etapno građenje – etapa 2, koja uključuje izgradnju škole s pripadajućim otvorenim sportskim terenima, parkiralištem i internom prometnicom.</w:t>
      </w:r>
    </w:p>
    <w:p w14:paraId="14DC387B" w14:textId="77777777" w:rsidR="00B243FC" w:rsidRPr="00EE21BE" w:rsidRDefault="00B243FC" w:rsidP="0004156F">
      <w:pPr>
        <w:autoSpaceDE w:val="0"/>
        <w:autoSpaceDN w:val="0"/>
        <w:adjustRightInd w:val="0"/>
        <w:spacing w:after="0" w:line="240" w:lineRule="auto"/>
        <w:jc w:val="both"/>
        <w:rPr>
          <w:rFonts w:ascii="Arial" w:eastAsia="Times New Roman" w:hAnsi="Arial" w:cs="Arial"/>
          <w:sz w:val="18"/>
          <w:szCs w:val="18"/>
        </w:rPr>
      </w:pPr>
    </w:p>
    <w:p w14:paraId="00F49E77" w14:textId="77777777" w:rsidR="00C93D0C" w:rsidRPr="00EE21BE" w:rsidRDefault="00C93D0C" w:rsidP="0004156F">
      <w:pPr>
        <w:autoSpaceDE w:val="0"/>
        <w:autoSpaceDN w:val="0"/>
        <w:adjustRightInd w:val="0"/>
        <w:spacing w:after="0" w:line="240" w:lineRule="auto"/>
        <w:jc w:val="both"/>
        <w:rPr>
          <w:rFonts w:ascii="Arial" w:eastAsia="Calibri" w:hAnsi="Arial" w:cs="Arial"/>
          <w:sz w:val="18"/>
          <w:szCs w:val="18"/>
        </w:rPr>
      </w:pPr>
      <w:r w:rsidRPr="00EE21BE">
        <w:rPr>
          <w:rFonts w:ascii="Arial" w:eastAsia="Calibri" w:hAnsi="Arial" w:cs="Arial"/>
          <w:sz w:val="18"/>
          <w:szCs w:val="18"/>
        </w:rPr>
        <w:t>Izvršeni rashodi u 2023. godini iznose 134.331,44 €, a odnose se na:</w:t>
      </w:r>
    </w:p>
    <w:p w14:paraId="6E2101A4" w14:textId="17DE8C76" w:rsidR="00C93D0C" w:rsidRPr="00EE21BE" w:rsidRDefault="00C93D0C">
      <w:pPr>
        <w:pStyle w:val="Odlomakpopisa"/>
        <w:numPr>
          <w:ilvl w:val="0"/>
          <w:numId w:val="8"/>
        </w:numPr>
        <w:autoSpaceDE w:val="0"/>
        <w:autoSpaceDN w:val="0"/>
        <w:adjustRightInd w:val="0"/>
        <w:rPr>
          <w:rFonts w:ascii="Arial" w:hAnsi="Arial" w:cs="Arial"/>
          <w:sz w:val="18"/>
          <w:szCs w:val="18"/>
        </w:rPr>
      </w:pPr>
      <w:r w:rsidRPr="00EE21BE">
        <w:rPr>
          <w:rFonts w:ascii="Arial" w:eastAsia="Calibri" w:hAnsi="Arial" w:cs="Arial"/>
          <w:sz w:val="18"/>
          <w:szCs w:val="18"/>
        </w:rPr>
        <w:t>vodni doprinos za građevinu – zgradu javne namjene – buduća osnovna škola u iznosu 1.940,43 €,</w:t>
      </w:r>
    </w:p>
    <w:p w14:paraId="79A486A9" w14:textId="73A13A06" w:rsidR="00C93D0C" w:rsidRPr="00EE21BE" w:rsidRDefault="00C93D0C">
      <w:pPr>
        <w:pStyle w:val="Odlomakpopisa"/>
        <w:numPr>
          <w:ilvl w:val="0"/>
          <w:numId w:val="8"/>
        </w:numPr>
        <w:autoSpaceDE w:val="0"/>
        <w:autoSpaceDN w:val="0"/>
        <w:adjustRightInd w:val="0"/>
        <w:rPr>
          <w:rFonts w:ascii="Arial" w:hAnsi="Arial" w:cs="Arial"/>
          <w:sz w:val="18"/>
          <w:szCs w:val="18"/>
        </w:rPr>
      </w:pPr>
      <w:r w:rsidRPr="00EE21BE">
        <w:rPr>
          <w:rFonts w:ascii="Arial" w:eastAsia="Calibri" w:hAnsi="Arial" w:cs="Arial"/>
          <w:sz w:val="18"/>
          <w:szCs w:val="18"/>
        </w:rPr>
        <w:t>projektno tehničku dokumentaciju za izgradnju buduće osnovne škole, treća privremena situacija u iznosu 132.391,01 € (sveukupno izvršeno po ugovoru iz rujna 2021. godine 221.054,27 €</w:t>
      </w:r>
      <w:r w:rsidR="006B1C46" w:rsidRPr="00EE21BE">
        <w:rPr>
          <w:rFonts w:ascii="Arial" w:eastAsia="Calibri" w:hAnsi="Arial" w:cs="Arial"/>
          <w:sz w:val="18"/>
          <w:szCs w:val="18"/>
        </w:rPr>
        <w:t xml:space="preserve"> ili 76,6% ugovorene vrijednosti).</w:t>
      </w:r>
    </w:p>
    <w:p w14:paraId="35ADF300" w14:textId="77777777" w:rsidR="000821A5" w:rsidRPr="00EE21BE" w:rsidRDefault="000821A5" w:rsidP="000821A5">
      <w:pPr>
        <w:autoSpaceDE w:val="0"/>
        <w:autoSpaceDN w:val="0"/>
        <w:adjustRightInd w:val="0"/>
        <w:spacing w:after="0" w:line="240" w:lineRule="auto"/>
        <w:jc w:val="both"/>
        <w:rPr>
          <w:rFonts w:ascii="Arial" w:eastAsia="Times New Roman" w:hAnsi="Arial" w:cs="Arial"/>
          <w:sz w:val="18"/>
          <w:szCs w:val="18"/>
        </w:rPr>
      </w:pPr>
    </w:p>
    <w:p w14:paraId="0378A2CA" w14:textId="1269D091" w:rsidR="00C65494" w:rsidRPr="00EE21BE" w:rsidRDefault="00C65494" w:rsidP="000821A5">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Dodatkom ugovoru iz prosinca 2023. godine s projektantom (Trames d.o.o.) je ugovoreno povećanje vrijednosti usluge za konzultantske usluge</w:t>
      </w:r>
      <w:r w:rsidR="00A712A4" w:rsidRPr="00EE21BE">
        <w:rPr>
          <w:rFonts w:ascii="Arial" w:eastAsia="Times New Roman" w:hAnsi="Arial" w:cs="Arial"/>
          <w:sz w:val="18"/>
          <w:szCs w:val="18"/>
        </w:rPr>
        <w:t xml:space="preserve"> (osnovni ugovor iz rujna 2021.)</w:t>
      </w:r>
      <w:r w:rsidRPr="00EE21BE">
        <w:rPr>
          <w:rFonts w:ascii="Arial" w:eastAsia="Times New Roman" w:hAnsi="Arial" w:cs="Arial"/>
          <w:sz w:val="18"/>
          <w:szCs w:val="18"/>
        </w:rPr>
        <w:t>, te nova vrijednost ugovora iznosi 243.125,51 € što s porezom na dodanu vrijednost iznosi 303.906,89 €.</w:t>
      </w:r>
    </w:p>
    <w:p w14:paraId="5413DF7A" w14:textId="77777777" w:rsidR="00C65494" w:rsidRPr="00FF3C31" w:rsidRDefault="00C65494" w:rsidP="000821A5">
      <w:pPr>
        <w:autoSpaceDE w:val="0"/>
        <w:autoSpaceDN w:val="0"/>
        <w:adjustRightInd w:val="0"/>
        <w:spacing w:after="0" w:line="240" w:lineRule="auto"/>
        <w:jc w:val="both"/>
        <w:rPr>
          <w:rFonts w:ascii="Arial" w:eastAsia="Times New Roman" w:hAnsi="Arial" w:cs="Arial"/>
          <w:sz w:val="20"/>
          <w:szCs w:val="20"/>
        </w:rPr>
      </w:pPr>
    </w:p>
    <w:p w14:paraId="6D500C75" w14:textId="75B179BD" w:rsidR="000821A5" w:rsidRPr="00FF3C31" w:rsidRDefault="000821A5" w:rsidP="000821A5">
      <w:pPr>
        <w:autoSpaceDE w:val="0"/>
        <w:autoSpaceDN w:val="0"/>
        <w:adjustRightInd w:val="0"/>
        <w:spacing w:after="0" w:line="240" w:lineRule="auto"/>
        <w:jc w:val="both"/>
        <w:rPr>
          <w:rFonts w:ascii="Arial" w:eastAsia="Calibri" w:hAnsi="Arial" w:cs="Arial"/>
          <w:sz w:val="20"/>
          <w:szCs w:val="20"/>
        </w:rPr>
      </w:pPr>
      <w:r w:rsidRPr="00FF3C31">
        <w:rPr>
          <w:rFonts w:ascii="Arial" w:eastAsia="Calibri" w:hAnsi="Arial" w:cs="Arial"/>
          <w:sz w:val="20"/>
          <w:szCs w:val="20"/>
        </w:rPr>
        <w:t xml:space="preserve">Izvršeni rashodi u 2024. godini iznose </w:t>
      </w:r>
      <w:r w:rsidR="00B319AE">
        <w:rPr>
          <w:rFonts w:ascii="Arial" w:eastAsia="Calibri" w:hAnsi="Arial" w:cs="Arial"/>
          <w:sz w:val="20"/>
          <w:szCs w:val="20"/>
        </w:rPr>
        <w:t>252.495,30</w:t>
      </w:r>
      <w:r w:rsidRPr="00FF3C31">
        <w:rPr>
          <w:rFonts w:ascii="Arial" w:eastAsia="Calibri" w:hAnsi="Arial" w:cs="Arial"/>
          <w:sz w:val="20"/>
          <w:szCs w:val="20"/>
        </w:rPr>
        <w:t xml:space="preserve"> €, a odnose se na:</w:t>
      </w:r>
    </w:p>
    <w:p w14:paraId="32FACCF5" w14:textId="0A83610D" w:rsidR="000821A5" w:rsidRPr="00FF3C31" w:rsidRDefault="000821A5">
      <w:pPr>
        <w:pStyle w:val="Odlomakpopisa"/>
        <w:numPr>
          <w:ilvl w:val="0"/>
          <w:numId w:val="8"/>
        </w:numPr>
        <w:autoSpaceDE w:val="0"/>
        <w:autoSpaceDN w:val="0"/>
        <w:adjustRightInd w:val="0"/>
        <w:rPr>
          <w:rFonts w:ascii="Arial" w:hAnsi="Arial" w:cs="Arial"/>
        </w:rPr>
      </w:pPr>
      <w:r w:rsidRPr="00FF3C31">
        <w:rPr>
          <w:rFonts w:ascii="Arial" w:eastAsia="Calibri" w:hAnsi="Arial" w:cs="Arial"/>
        </w:rPr>
        <w:t xml:space="preserve">predujam za poslove izmještanja dalekovoda </w:t>
      </w:r>
      <w:r w:rsidR="00A712A4">
        <w:rPr>
          <w:rFonts w:ascii="Arial" w:eastAsia="Calibri" w:hAnsi="Arial" w:cs="Arial"/>
        </w:rPr>
        <w:t>prema</w:t>
      </w:r>
      <w:r w:rsidRPr="00FF3C31">
        <w:rPr>
          <w:rFonts w:ascii="Arial" w:eastAsia="Calibri" w:hAnsi="Arial" w:cs="Arial"/>
        </w:rPr>
        <w:t xml:space="preserve"> ugovoru s Hrvatskom elektroprivredom (projekt izgradnje buduće osnovne škole) u iznosu 186.516,37 €,</w:t>
      </w:r>
    </w:p>
    <w:p w14:paraId="5A958E92" w14:textId="2F6E060E" w:rsidR="000821A5" w:rsidRPr="00FF3C31" w:rsidRDefault="000821A5">
      <w:pPr>
        <w:pStyle w:val="Odlomakpopisa"/>
        <w:numPr>
          <w:ilvl w:val="0"/>
          <w:numId w:val="8"/>
        </w:numPr>
        <w:autoSpaceDE w:val="0"/>
        <w:autoSpaceDN w:val="0"/>
        <w:adjustRightInd w:val="0"/>
        <w:rPr>
          <w:rFonts w:ascii="Arial" w:hAnsi="Arial" w:cs="Arial"/>
        </w:rPr>
      </w:pPr>
      <w:r w:rsidRPr="00FF3C31">
        <w:rPr>
          <w:rFonts w:ascii="Arial" w:eastAsia="Calibri" w:hAnsi="Arial" w:cs="Arial"/>
        </w:rPr>
        <w:t xml:space="preserve">projektno tehničku dokumentaciju za izgradnju buduće osnovne škole, četvrta </w:t>
      </w:r>
      <w:r w:rsidR="00B319AE">
        <w:rPr>
          <w:rFonts w:ascii="Arial" w:eastAsia="Calibri" w:hAnsi="Arial" w:cs="Arial"/>
        </w:rPr>
        <w:t xml:space="preserve">i peta </w:t>
      </w:r>
      <w:r w:rsidRPr="00FF3C31">
        <w:rPr>
          <w:rFonts w:ascii="Arial" w:eastAsia="Calibri" w:hAnsi="Arial" w:cs="Arial"/>
        </w:rPr>
        <w:t xml:space="preserve">privremena situacija u iznosu </w:t>
      </w:r>
      <w:r w:rsidR="00B319AE">
        <w:rPr>
          <w:rFonts w:ascii="Arial" w:eastAsia="Calibri" w:hAnsi="Arial" w:cs="Arial"/>
        </w:rPr>
        <w:t>62.853,93</w:t>
      </w:r>
      <w:r w:rsidRPr="00FF3C31">
        <w:rPr>
          <w:rFonts w:ascii="Arial" w:eastAsia="Calibri" w:hAnsi="Arial" w:cs="Arial"/>
        </w:rPr>
        <w:t xml:space="preserve"> € (sveukupno izvršeno po ugovoru iz rujna 2021. godine </w:t>
      </w:r>
      <w:r w:rsidR="00377976">
        <w:rPr>
          <w:rFonts w:ascii="Arial" w:eastAsia="Calibri" w:hAnsi="Arial" w:cs="Arial"/>
        </w:rPr>
        <w:t>283.908,19</w:t>
      </w:r>
      <w:r w:rsidRPr="00FF3C31">
        <w:rPr>
          <w:rFonts w:ascii="Arial" w:eastAsia="Calibri" w:hAnsi="Arial" w:cs="Arial"/>
        </w:rPr>
        <w:t xml:space="preserve"> € ili </w:t>
      </w:r>
      <w:r w:rsidR="00C65494">
        <w:rPr>
          <w:rFonts w:ascii="Arial" w:eastAsia="Calibri" w:hAnsi="Arial" w:cs="Arial"/>
        </w:rPr>
        <w:t>93,4</w:t>
      </w:r>
      <w:r w:rsidRPr="00FF3C31">
        <w:rPr>
          <w:rFonts w:ascii="Arial" w:eastAsia="Calibri" w:hAnsi="Arial" w:cs="Arial"/>
        </w:rPr>
        <w:t>% ugovorene vrijednosti),</w:t>
      </w:r>
    </w:p>
    <w:p w14:paraId="49FC0587" w14:textId="35F21F85" w:rsidR="000821A5" w:rsidRPr="00FF3C31" w:rsidRDefault="000821A5">
      <w:pPr>
        <w:pStyle w:val="Odlomakpopisa"/>
        <w:numPr>
          <w:ilvl w:val="0"/>
          <w:numId w:val="8"/>
        </w:numPr>
        <w:autoSpaceDE w:val="0"/>
        <w:autoSpaceDN w:val="0"/>
        <w:adjustRightInd w:val="0"/>
        <w:rPr>
          <w:rFonts w:ascii="Arial" w:hAnsi="Arial" w:cs="Arial"/>
        </w:rPr>
      </w:pPr>
      <w:r w:rsidRPr="00FF3C31">
        <w:rPr>
          <w:rFonts w:ascii="Arial" w:eastAsia="Calibri" w:hAnsi="Arial" w:cs="Arial"/>
        </w:rPr>
        <w:t>odvjetničke usluge u postupku pravnog i tehničkog savjetovanja za postupak javne nabave 3.125 €.</w:t>
      </w:r>
    </w:p>
    <w:p w14:paraId="70102024" w14:textId="77777777" w:rsidR="000821A5" w:rsidRDefault="000821A5" w:rsidP="0004156F">
      <w:pPr>
        <w:autoSpaceDE w:val="0"/>
        <w:autoSpaceDN w:val="0"/>
        <w:adjustRightInd w:val="0"/>
        <w:spacing w:after="0" w:line="240" w:lineRule="auto"/>
        <w:jc w:val="both"/>
        <w:rPr>
          <w:rFonts w:ascii="Arial" w:eastAsia="Times New Roman" w:hAnsi="Arial" w:cs="Arial"/>
          <w:sz w:val="20"/>
          <w:szCs w:val="20"/>
        </w:rPr>
      </w:pPr>
    </w:p>
    <w:p w14:paraId="5CD0B8A9" w14:textId="066FD8FA" w:rsidR="007636D1" w:rsidRDefault="007636D1" w:rsidP="007636D1">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U 2025. godini započela je izgradnja osnovne škole u Cavtatu.</w:t>
      </w:r>
    </w:p>
    <w:p w14:paraId="3820A069" w14:textId="77777777" w:rsidR="007636D1" w:rsidRDefault="007636D1" w:rsidP="007636D1">
      <w:pPr>
        <w:autoSpaceDE w:val="0"/>
        <w:autoSpaceDN w:val="0"/>
        <w:adjustRightInd w:val="0"/>
        <w:spacing w:after="0" w:line="240" w:lineRule="auto"/>
        <w:jc w:val="both"/>
        <w:rPr>
          <w:rFonts w:ascii="Arial" w:eastAsia="Calibri" w:hAnsi="Arial" w:cs="Arial"/>
          <w:sz w:val="20"/>
          <w:szCs w:val="20"/>
        </w:rPr>
      </w:pPr>
    </w:p>
    <w:p w14:paraId="03147679" w14:textId="77777777" w:rsidR="007636D1" w:rsidRDefault="007636D1" w:rsidP="007636D1">
      <w:pPr>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Za potrebe izmještanja dalekovoda u 2022. godini je zaključen ugovor o uređenju međusobnih odnosa. Ovim ugovorom je procijenjena vrijednost troškova u iznosu 2.248.491,98 kn / 298.426,17 € (bez PDV-a), odnosno u iznosu 373.032,71 € s PDV-om. HEP-u kao obvezniku izvođenja radova izmještanja dalekovoda su doznačena sredstva u iznosu 186.516,37 € (s PDV-om). Ugovorom je utvrđeno da će preostali iznos Općina doznačiti HEP-u nakon konačnog obračuna izvođenja radova izmještanja dalekovoda. Prema dostavljenom obračunu u travnju 2025. godine, preostala obveza za troškove izmještanja dalekovoda iznosi 129.944,65 € (te sveukupno izvršeni radovi izmještanja dalekovoda iznose 316.461,02 €).</w:t>
      </w:r>
    </w:p>
    <w:p w14:paraId="74B9F381" w14:textId="77777777" w:rsidR="007636D1" w:rsidRDefault="007636D1" w:rsidP="007636D1">
      <w:pPr>
        <w:autoSpaceDE w:val="0"/>
        <w:autoSpaceDN w:val="0"/>
        <w:adjustRightInd w:val="0"/>
        <w:spacing w:after="0" w:line="240" w:lineRule="auto"/>
        <w:jc w:val="both"/>
        <w:rPr>
          <w:rFonts w:ascii="Arial" w:eastAsia="Calibri" w:hAnsi="Arial" w:cs="Arial"/>
          <w:sz w:val="20"/>
          <w:szCs w:val="20"/>
        </w:rPr>
      </w:pPr>
    </w:p>
    <w:p w14:paraId="14BCEFF9" w14:textId="77777777" w:rsidR="00206A72" w:rsidRPr="00206A72" w:rsidRDefault="00206A72" w:rsidP="00206A72">
      <w:p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U 2025. godini izvršeni su rashodi u iznosu 8.661.323,66 € i odnose se na:</w:t>
      </w:r>
    </w:p>
    <w:p w14:paraId="2F4EF32F"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trošak pripreme terena za višak iskopa na izgradnji osnovne škole u iznosu 11.500 €,</w:t>
      </w:r>
    </w:p>
    <w:p w14:paraId="02D40FBF"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 xml:space="preserve">izrada geodetskog situacijskog snimka za deponiranje viška iskopa 875 €, </w:t>
      </w:r>
    </w:p>
    <w:p w14:paraId="1C6CB24F"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kontrola postupka javne nabave 1.500 €,</w:t>
      </w:r>
    </w:p>
    <w:p w14:paraId="110142B7"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trošak izmještanja dalekovoda u iznosu 129.944,65 € (okončana situacija, sukladno zaključenom ugovoru s HEP- Operator distribucijskog sustava iz svibnja 2022.godine),</w:t>
      </w:r>
    </w:p>
    <w:p w14:paraId="786931EE"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okončana situacija za usluge izrade projektno tehničke dokumentacije za izgradnju osnovne škole u iznosu 1.688 € (na temelju osnovnog ugovora iz 2021. godine, te dodatka iz prosinca 2023. godine, veljače 2024. godine, svibnja i listopada 2024. godine, te svibnja, lipnja i srpnja 2025. godine). Sveukupno izvedena vrijednost projektno tehničke dokumentacije na temelju ovih privremenih i okončane situacije iznosi 228.476,95 € bez PDV-a odnosno 285.596,19 € s PDV-om)</w:t>
      </w:r>
    </w:p>
    <w:p w14:paraId="76AD744A"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usluge voditelja projekta izgradnje i opremanja osnovne škole 108.000 € (sukladno ugovoru iz rujna 2024. godine, ugovoreno 144.000 € s PDV-om),</w:t>
      </w:r>
    </w:p>
    <w:p w14:paraId="77532C65"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usluga izrade tehničke dokumentacije na razini glavnog projekta, provođenja upravnog postupka i ishođenja građevinske dozvole za rekonstrukciju dijela županijske ceste Ž6238 na dijelu pristupa novoj školi u Cavtatu u iznosu 9.137,50 € (prva privremena situacija, sukladno ugovoru iz siječnja 2023. godine koji je bio zaključen u iznosu 14.040 €),</w:t>
      </w:r>
    </w:p>
    <w:p w14:paraId="4CDB2616"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usluge izrade arhitektonskog projekta unutarnjeg uređenja i opremanja škole s troškovnikom u iznosu 85.625 € (sukladno ugovoru iz rujna 2025. godine),</w:t>
      </w:r>
    </w:p>
    <w:p w14:paraId="0E50FC87"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radovi izgradnje osnovne škole u iznosu 8.006.064,14 € (12 privremenih situacija, ugovor iz rujna 2024. godine u iznosu 19.107.402,61 € s PDV-om)</w:t>
      </w:r>
    </w:p>
    <w:p w14:paraId="53F4750C"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usluge koordinatora zaštite na radu tijekom građenja škole 10.156,25 € (ugovor iz srpnja 2024. godine u iznosu 21.875 € s PDV-om),</w:t>
      </w:r>
    </w:p>
    <w:p w14:paraId="643B3B6D"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usluge projektantskog nadzora tijekom građenja škole u iznosu 48.968,36 € (ugovor iz svibnja 2025. godine u iznosu 83.945,70 €),</w:t>
      </w:r>
    </w:p>
    <w:p w14:paraId="4F63BE48"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lastRenderedPageBreak/>
        <w:t>usluga izrade geodetskog elaborat iskolčenja gradnje građevine infrastrukturne namjene prometnog sustava (građenje kolno pješačke prometnice, potpornih zidova i polaganje instalacija) u iznosu 2.250 €,</w:t>
      </w:r>
    </w:p>
    <w:p w14:paraId="4087A965"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usluge voditelja projekta izgradnje lokalne prometnice u okviru škole 2.037,50 € (sukladno ugovoru iz listopada 2025. godine, ugovoreno 6.112,50 € s PDV-om),</w:t>
      </w:r>
    </w:p>
    <w:p w14:paraId="2F7A6E58"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radovi izgradnje lokalne prometnice u okviru škole 240.012,49 € (sukladno ugovoru iz rujna 2025. u iznosu 569.417,39 € s PDV-om),</w:t>
      </w:r>
    </w:p>
    <w:p w14:paraId="06E7F9F8"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 xml:space="preserve">usluge stručnog nadzora i koordinatora zaštite na radu u iznosu 2.739,77 € (na temelju ugovora iz srpnja 2025. u iznosu 6.500 €), </w:t>
      </w:r>
    </w:p>
    <w:p w14:paraId="0C6D43F6" w14:textId="77777777" w:rsidR="00206A72" w:rsidRPr="00206A72" w:rsidRDefault="00206A72" w:rsidP="00206A72">
      <w:pPr>
        <w:numPr>
          <w:ilvl w:val="0"/>
          <w:numId w:val="3"/>
        </w:numPr>
        <w:autoSpaceDE w:val="0"/>
        <w:autoSpaceDN w:val="0"/>
        <w:adjustRightInd w:val="0"/>
        <w:spacing w:after="0" w:line="240" w:lineRule="auto"/>
        <w:rPr>
          <w:rFonts w:ascii="Arial" w:eastAsia="Calibri" w:hAnsi="Arial" w:cs="Arial"/>
          <w:sz w:val="20"/>
          <w:szCs w:val="20"/>
        </w:rPr>
      </w:pPr>
      <w:r w:rsidRPr="00206A72">
        <w:rPr>
          <w:rFonts w:ascii="Arial" w:eastAsia="Calibri" w:hAnsi="Arial" w:cs="Arial"/>
          <w:sz w:val="20"/>
          <w:szCs w:val="20"/>
        </w:rPr>
        <w:t>usluge projektantskog nadzora tijekom građenja lokalne prometnice u iznosu 825 € (ugovor iz listopada 2025. godine u iznosu 4.950 €).</w:t>
      </w:r>
    </w:p>
    <w:p w14:paraId="55575E05" w14:textId="77777777" w:rsidR="007636D1" w:rsidRPr="003E771A" w:rsidRDefault="007636D1" w:rsidP="007636D1">
      <w:pPr>
        <w:autoSpaceDE w:val="0"/>
        <w:autoSpaceDN w:val="0"/>
        <w:adjustRightInd w:val="0"/>
        <w:spacing w:after="0" w:line="240" w:lineRule="auto"/>
        <w:rPr>
          <w:rFonts w:ascii="Arial" w:eastAsia="Calibri" w:hAnsi="Arial" w:cs="Arial"/>
          <w:sz w:val="20"/>
          <w:szCs w:val="20"/>
        </w:rPr>
      </w:pPr>
    </w:p>
    <w:p w14:paraId="445A7369" w14:textId="41E06B5A" w:rsidR="007636D1" w:rsidRDefault="00DC7688" w:rsidP="007636D1">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Na temelju provedenog otvorenog postupka</w:t>
      </w:r>
      <w:r w:rsidR="007636D1" w:rsidRPr="007636D1">
        <w:rPr>
          <w:rFonts w:ascii="Arial" w:eastAsia="Times New Roman" w:hAnsi="Arial" w:cs="Arial"/>
          <w:sz w:val="20"/>
          <w:szCs w:val="20"/>
        </w:rPr>
        <w:t xml:space="preserve"> javne nabave za </w:t>
      </w:r>
      <w:r>
        <w:rPr>
          <w:rFonts w:ascii="Arial" w:eastAsia="Times New Roman" w:hAnsi="Arial" w:cs="Arial"/>
          <w:sz w:val="20"/>
          <w:szCs w:val="20"/>
        </w:rPr>
        <w:t xml:space="preserve">odabir izvođača na izgradnji i opremanju škole u </w:t>
      </w:r>
      <w:r w:rsidR="007636D1" w:rsidRPr="007636D1">
        <w:rPr>
          <w:rFonts w:ascii="Arial" w:eastAsia="Times New Roman" w:hAnsi="Arial" w:cs="Arial"/>
          <w:sz w:val="20"/>
          <w:szCs w:val="20"/>
        </w:rPr>
        <w:t>Cavtatu</w:t>
      </w:r>
      <w:r>
        <w:rPr>
          <w:rFonts w:ascii="Arial" w:eastAsia="Times New Roman" w:hAnsi="Arial" w:cs="Arial"/>
          <w:sz w:val="20"/>
          <w:szCs w:val="20"/>
        </w:rPr>
        <w:t xml:space="preserve"> u lipnju 2024. godine je donesena odluka o odabiru izvoditelja. Dana 30.9.2024. je zaključen </w:t>
      </w:r>
      <w:r w:rsidR="007636D1" w:rsidRPr="007636D1">
        <w:rPr>
          <w:rFonts w:ascii="Arial" w:eastAsia="Times New Roman" w:hAnsi="Arial" w:cs="Arial"/>
          <w:sz w:val="20"/>
          <w:szCs w:val="20"/>
        </w:rPr>
        <w:t xml:space="preserve">ugovor u vrijednosti </w:t>
      </w:r>
      <w:bookmarkStart w:id="799" w:name="_Hlk207636675"/>
      <w:r>
        <w:rPr>
          <w:rFonts w:ascii="Arial" w:eastAsia="Times New Roman" w:hAnsi="Arial" w:cs="Arial"/>
          <w:sz w:val="20"/>
          <w:szCs w:val="20"/>
        </w:rPr>
        <w:t>15.285.922,09 €</w:t>
      </w:r>
      <w:r w:rsidR="007636D1" w:rsidRPr="007636D1">
        <w:rPr>
          <w:rFonts w:ascii="Arial" w:eastAsia="Times New Roman" w:hAnsi="Arial" w:cs="Arial"/>
          <w:sz w:val="20"/>
          <w:szCs w:val="20"/>
        </w:rPr>
        <w:t xml:space="preserve"> što s porezom na dodanu vrijednost čini </w:t>
      </w:r>
      <w:r>
        <w:rPr>
          <w:rFonts w:ascii="Arial" w:eastAsia="Times New Roman" w:hAnsi="Arial" w:cs="Arial"/>
          <w:sz w:val="20"/>
          <w:szCs w:val="20"/>
        </w:rPr>
        <w:t>19.107.402,61</w:t>
      </w:r>
      <w:r w:rsidR="007636D1" w:rsidRPr="007636D1">
        <w:rPr>
          <w:rFonts w:ascii="Arial" w:eastAsia="Times New Roman" w:hAnsi="Arial" w:cs="Arial"/>
          <w:sz w:val="20"/>
          <w:szCs w:val="20"/>
        </w:rPr>
        <w:t xml:space="preserve"> € </w:t>
      </w:r>
      <w:bookmarkEnd w:id="799"/>
      <w:r w:rsidR="007636D1" w:rsidRPr="007636D1">
        <w:rPr>
          <w:rFonts w:ascii="Arial" w:eastAsia="Times New Roman" w:hAnsi="Arial" w:cs="Arial"/>
          <w:sz w:val="20"/>
          <w:szCs w:val="20"/>
        </w:rPr>
        <w:t>(</w:t>
      </w:r>
      <w:r>
        <w:rPr>
          <w:rFonts w:ascii="Arial" w:eastAsia="Times New Roman" w:hAnsi="Arial" w:cs="Arial"/>
          <w:sz w:val="20"/>
          <w:szCs w:val="20"/>
        </w:rPr>
        <w:t xml:space="preserve">Strabag </w:t>
      </w:r>
      <w:r w:rsidR="007636D1" w:rsidRPr="007636D1">
        <w:rPr>
          <w:rFonts w:ascii="Arial" w:eastAsia="Times New Roman" w:hAnsi="Arial" w:cs="Arial"/>
          <w:sz w:val="20"/>
          <w:szCs w:val="20"/>
        </w:rPr>
        <w:t xml:space="preserve">d.o.o. </w:t>
      </w:r>
      <w:r>
        <w:rPr>
          <w:rFonts w:ascii="Arial" w:eastAsia="Times New Roman" w:hAnsi="Arial" w:cs="Arial"/>
          <w:sz w:val="20"/>
          <w:szCs w:val="20"/>
        </w:rPr>
        <w:t>Zagreb</w:t>
      </w:r>
      <w:r w:rsidR="007636D1" w:rsidRPr="007636D1">
        <w:rPr>
          <w:rFonts w:ascii="Arial" w:eastAsia="Times New Roman" w:hAnsi="Arial" w:cs="Arial"/>
          <w:sz w:val="20"/>
          <w:szCs w:val="20"/>
        </w:rPr>
        <w:t xml:space="preserve">). </w:t>
      </w:r>
      <w:r>
        <w:rPr>
          <w:rFonts w:ascii="Arial" w:eastAsia="Times New Roman" w:hAnsi="Arial" w:cs="Arial"/>
          <w:sz w:val="20"/>
          <w:szCs w:val="20"/>
        </w:rPr>
        <w:t>Izvođač je dostavio bankarsku garanciju u visini 10% vrijednosti ugovora (bez PDV-a) kao jamstvo za uredno izvršenje ugovora.</w:t>
      </w:r>
    </w:p>
    <w:p w14:paraId="698AB370" w14:textId="77777777" w:rsidR="00DC7688" w:rsidRDefault="00DC7688" w:rsidP="007636D1">
      <w:pPr>
        <w:autoSpaceDE w:val="0"/>
        <w:autoSpaceDN w:val="0"/>
        <w:adjustRightInd w:val="0"/>
        <w:spacing w:after="0" w:line="240" w:lineRule="auto"/>
        <w:jc w:val="both"/>
        <w:rPr>
          <w:rFonts w:ascii="Arial" w:eastAsia="Times New Roman" w:hAnsi="Arial" w:cs="Arial"/>
          <w:sz w:val="20"/>
          <w:szCs w:val="20"/>
        </w:rPr>
      </w:pPr>
    </w:p>
    <w:p w14:paraId="2FE104F8" w14:textId="34B977E5" w:rsidR="00DC7688" w:rsidRDefault="00DC7688" w:rsidP="007636D1">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Ugovor s koordinatorom zaštite na radu </w:t>
      </w:r>
      <w:r w:rsidR="002D3F08">
        <w:rPr>
          <w:rFonts w:ascii="Arial" w:eastAsia="Times New Roman" w:hAnsi="Arial" w:cs="Arial"/>
          <w:sz w:val="20"/>
          <w:szCs w:val="20"/>
        </w:rPr>
        <w:t xml:space="preserve">(Deltagrad d.o.o.) </w:t>
      </w:r>
      <w:r>
        <w:rPr>
          <w:rFonts w:ascii="Arial" w:eastAsia="Times New Roman" w:hAnsi="Arial" w:cs="Arial"/>
          <w:sz w:val="20"/>
          <w:szCs w:val="20"/>
        </w:rPr>
        <w:t>je zaključen u srpnju 2024. godine u iznosu 17.500 € što s porezom na dodanu vrijednost čini 21.875 €.</w:t>
      </w:r>
    </w:p>
    <w:p w14:paraId="21B3E8B7" w14:textId="4EA1756F" w:rsidR="00DC7688" w:rsidRDefault="00DC7688" w:rsidP="007636D1">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Ugovor za nadzor nad izvođenjem radova zaključila je Dubrovačko neretvanska županija (kao korisnik bespovratnih sredstava i osnivač osnovnih škola).</w:t>
      </w:r>
    </w:p>
    <w:p w14:paraId="12A44B6C" w14:textId="77777777" w:rsidR="00DC7688" w:rsidRDefault="00DC7688" w:rsidP="007636D1">
      <w:pPr>
        <w:autoSpaceDE w:val="0"/>
        <w:autoSpaceDN w:val="0"/>
        <w:adjustRightInd w:val="0"/>
        <w:spacing w:after="0" w:line="240" w:lineRule="auto"/>
        <w:jc w:val="both"/>
        <w:rPr>
          <w:rFonts w:ascii="Arial" w:eastAsia="Times New Roman" w:hAnsi="Arial" w:cs="Arial"/>
          <w:sz w:val="20"/>
          <w:szCs w:val="20"/>
        </w:rPr>
      </w:pPr>
    </w:p>
    <w:p w14:paraId="0FF25141" w14:textId="6B4ECB69" w:rsidR="00732C3E" w:rsidRDefault="00732C3E" w:rsidP="007636D1">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Ugovor o pružanju usluga voditelja projekta izgradnje osnovne škole (Trames d.o.o.) je zaključen 30.9.2024. godine u iznosu 115.200 € što s porezom na dodanu vrijednost iznosi 144.000 €. </w:t>
      </w:r>
    </w:p>
    <w:p w14:paraId="157D4D24" w14:textId="77777777" w:rsidR="00732C3E" w:rsidRDefault="00732C3E" w:rsidP="007636D1">
      <w:pPr>
        <w:autoSpaceDE w:val="0"/>
        <w:autoSpaceDN w:val="0"/>
        <w:adjustRightInd w:val="0"/>
        <w:spacing w:after="0" w:line="240" w:lineRule="auto"/>
        <w:jc w:val="both"/>
        <w:rPr>
          <w:rFonts w:ascii="Arial" w:eastAsia="Times New Roman" w:hAnsi="Arial" w:cs="Arial"/>
          <w:sz w:val="20"/>
          <w:szCs w:val="20"/>
        </w:rPr>
      </w:pPr>
    </w:p>
    <w:p w14:paraId="6FC6966D" w14:textId="2C3F27CD" w:rsidR="007636D1" w:rsidRDefault="002D3F08" w:rsidP="0004156F">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Za potrebe provedbe projekta, Dubrovačko neretvanska županija i Općina Konavle su u veljači 2025. godine zaključili sporazum o suradnji kojim je utvrđen način financiranja i partnerstvo u projektu.</w:t>
      </w:r>
    </w:p>
    <w:p w14:paraId="147F8FF0" w14:textId="3B9531D8" w:rsidR="002D3F08" w:rsidRDefault="002D3F08" w:rsidP="0004156F">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Ugovor o dodjeli bespovratnih sredstava za projekte koji se financiraju iz mehanizma za oporavak i otpornost, Ministarstvo znanosti, obrazovanja i mladih, te Središnja agencija za financiranje i ugovaranje programa i projekata Europske unije, te Dubrovačko neretvanska županija (kao korisnik sredstava) su zaključili 3.3.2025. godine. Ugovorom je utvrđen maksimalni iznos sredstava u iznosu 18.056.689,10 €, a ukupna vrijednost projekta je utvrđena u iznosu 23.152.748,87 €. Općina je partner </w:t>
      </w:r>
      <w:r w:rsidR="00732C3E">
        <w:rPr>
          <w:rFonts w:ascii="Arial" w:eastAsia="Times New Roman" w:hAnsi="Arial" w:cs="Arial"/>
          <w:sz w:val="20"/>
          <w:szCs w:val="20"/>
        </w:rPr>
        <w:t>na projektu</w:t>
      </w:r>
      <w:r>
        <w:rPr>
          <w:rFonts w:ascii="Arial" w:eastAsia="Times New Roman" w:hAnsi="Arial" w:cs="Arial"/>
          <w:sz w:val="20"/>
          <w:szCs w:val="20"/>
        </w:rPr>
        <w:t>.</w:t>
      </w:r>
    </w:p>
    <w:p w14:paraId="16D68B59" w14:textId="7E1EC9E7" w:rsidR="007636D1" w:rsidRDefault="007636D1" w:rsidP="0004156F">
      <w:pPr>
        <w:autoSpaceDE w:val="0"/>
        <w:autoSpaceDN w:val="0"/>
        <w:adjustRightInd w:val="0"/>
        <w:spacing w:after="0" w:line="240" w:lineRule="auto"/>
        <w:jc w:val="both"/>
        <w:rPr>
          <w:rFonts w:ascii="Arial" w:eastAsia="Times New Roman" w:hAnsi="Arial" w:cs="Arial"/>
          <w:sz w:val="20"/>
          <w:szCs w:val="20"/>
        </w:rPr>
      </w:pPr>
    </w:p>
    <w:p w14:paraId="2BFCF6B8" w14:textId="2CF641E4" w:rsidR="00732C3E" w:rsidRDefault="00732C3E" w:rsidP="0004156F">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Početak građenja je Upravnom odjelu za prostorno uređenje i gradnju prijavljen 17.12.2024. godine.</w:t>
      </w:r>
    </w:p>
    <w:p w14:paraId="45CFBDA9" w14:textId="77777777" w:rsidR="00B40BA7" w:rsidRDefault="00B40BA7" w:rsidP="0004156F">
      <w:pPr>
        <w:autoSpaceDE w:val="0"/>
        <w:autoSpaceDN w:val="0"/>
        <w:adjustRightInd w:val="0"/>
        <w:spacing w:after="0" w:line="240" w:lineRule="auto"/>
        <w:jc w:val="both"/>
        <w:rPr>
          <w:rFonts w:ascii="Arial" w:eastAsia="Times New Roman" w:hAnsi="Arial" w:cs="Arial"/>
          <w:sz w:val="20"/>
          <w:szCs w:val="20"/>
        </w:rPr>
      </w:pPr>
    </w:p>
    <w:p w14:paraId="529D209C" w14:textId="36334F7C" w:rsidR="00B40BA7" w:rsidRDefault="00B40BA7" w:rsidP="0004156F">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Planirani rok završetka projekta je </w:t>
      </w:r>
      <w:r w:rsidR="00A45615">
        <w:rPr>
          <w:rFonts w:ascii="Arial" w:eastAsia="Times New Roman" w:hAnsi="Arial" w:cs="Arial"/>
          <w:sz w:val="20"/>
          <w:szCs w:val="20"/>
        </w:rPr>
        <w:t>31.08</w:t>
      </w:r>
      <w:r>
        <w:rPr>
          <w:rFonts w:ascii="Arial" w:eastAsia="Times New Roman" w:hAnsi="Arial" w:cs="Arial"/>
          <w:sz w:val="20"/>
          <w:szCs w:val="20"/>
        </w:rPr>
        <w:t xml:space="preserve">.2026. </w:t>
      </w:r>
    </w:p>
    <w:p w14:paraId="10AF32CE" w14:textId="77777777" w:rsidR="00B40BA7" w:rsidRDefault="00B40BA7" w:rsidP="0004156F">
      <w:pPr>
        <w:autoSpaceDE w:val="0"/>
        <w:autoSpaceDN w:val="0"/>
        <w:adjustRightInd w:val="0"/>
        <w:spacing w:after="0" w:line="240" w:lineRule="auto"/>
        <w:jc w:val="both"/>
        <w:rPr>
          <w:rFonts w:ascii="Arial" w:eastAsia="Times New Roman" w:hAnsi="Arial" w:cs="Arial"/>
          <w:sz w:val="20"/>
          <w:szCs w:val="20"/>
        </w:rPr>
      </w:pPr>
    </w:p>
    <w:p w14:paraId="3075E1B8" w14:textId="112DF1C2" w:rsidR="00B40BA7" w:rsidRDefault="00B40BA7" w:rsidP="0004156F">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Izvoditelj je u 2025. godine ispostavio </w:t>
      </w:r>
      <w:r w:rsidR="00A45615">
        <w:rPr>
          <w:rFonts w:ascii="Arial" w:eastAsia="Times New Roman" w:hAnsi="Arial" w:cs="Arial"/>
          <w:sz w:val="20"/>
          <w:szCs w:val="20"/>
        </w:rPr>
        <w:t>12</w:t>
      </w:r>
      <w:r>
        <w:rPr>
          <w:rFonts w:ascii="Arial" w:eastAsia="Times New Roman" w:hAnsi="Arial" w:cs="Arial"/>
          <w:sz w:val="20"/>
          <w:szCs w:val="20"/>
        </w:rPr>
        <w:t xml:space="preserve"> privremenih situacija u ukupnom iznosu </w:t>
      </w:r>
      <w:r w:rsidR="00A45615">
        <w:rPr>
          <w:rFonts w:ascii="Arial" w:eastAsia="Times New Roman" w:hAnsi="Arial" w:cs="Arial"/>
          <w:sz w:val="20"/>
          <w:szCs w:val="20"/>
        </w:rPr>
        <w:t>8.006.064,14</w:t>
      </w:r>
      <w:r>
        <w:rPr>
          <w:rFonts w:ascii="Arial" w:eastAsia="Times New Roman" w:hAnsi="Arial" w:cs="Arial"/>
          <w:sz w:val="20"/>
          <w:szCs w:val="20"/>
        </w:rPr>
        <w:t xml:space="preserve"> € (s PDV-om).</w:t>
      </w:r>
    </w:p>
    <w:p w14:paraId="3F9B36B8" w14:textId="2973621D" w:rsidR="00B40BA7" w:rsidRDefault="00B40BA7" w:rsidP="0004156F">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Koordinator zaštite na radu je ispostavio privremen</w:t>
      </w:r>
      <w:r w:rsidR="00A45615">
        <w:rPr>
          <w:rFonts w:ascii="Arial" w:eastAsia="Times New Roman" w:hAnsi="Arial" w:cs="Arial"/>
          <w:sz w:val="20"/>
          <w:szCs w:val="20"/>
        </w:rPr>
        <w:t>e</w:t>
      </w:r>
      <w:r>
        <w:rPr>
          <w:rFonts w:ascii="Arial" w:eastAsia="Times New Roman" w:hAnsi="Arial" w:cs="Arial"/>
          <w:sz w:val="20"/>
          <w:szCs w:val="20"/>
        </w:rPr>
        <w:t xml:space="preserve"> situacij</w:t>
      </w:r>
      <w:r w:rsidR="00A45615">
        <w:rPr>
          <w:rFonts w:ascii="Arial" w:eastAsia="Times New Roman" w:hAnsi="Arial" w:cs="Arial"/>
          <w:sz w:val="20"/>
          <w:szCs w:val="20"/>
        </w:rPr>
        <w:t>e</w:t>
      </w:r>
      <w:r>
        <w:rPr>
          <w:rFonts w:ascii="Arial" w:eastAsia="Times New Roman" w:hAnsi="Arial" w:cs="Arial"/>
          <w:sz w:val="20"/>
          <w:szCs w:val="20"/>
        </w:rPr>
        <w:t xml:space="preserve"> u ukupnom iznosu </w:t>
      </w:r>
      <w:r w:rsidR="00A45615">
        <w:rPr>
          <w:rFonts w:ascii="Arial" w:eastAsia="Times New Roman" w:hAnsi="Arial" w:cs="Arial"/>
          <w:sz w:val="20"/>
          <w:szCs w:val="20"/>
        </w:rPr>
        <w:t>10.156,25</w:t>
      </w:r>
      <w:r>
        <w:rPr>
          <w:rFonts w:ascii="Arial" w:eastAsia="Times New Roman" w:hAnsi="Arial" w:cs="Arial"/>
          <w:sz w:val="20"/>
          <w:szCs w:val="20"/>
        </w:rPr>
        <w:t xml:space="preserve"> € (s PDV-om).</w:t>
      </w:r>
    </w:p>
    <w:p w14:paraId="2D4D5BC6" w14:textId="70D3FA51" w:rsidR="00B40BA7" w:rsidRDefault="00B40BA7" w:rsidP="0004156F">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Za usluge voditelja projekta gradnje ispostavljeno je </w:t>
      </w:r>
      <w:r w:rsidR="00A45615">
        <w:rPr>
          <w:rFonts w:ascii="Arial" w:eastAsia="Times New Roman" w:hAnsi="Arial" w:cs="Arial"/>
          <w:sz w:val="20"/>
          <w:szCs w:val="20"/>
        </w:rPr>
        <w:t>12</w:t>
      </w:r>
      <w:r>
        <w:rPr>
          <w:rFonts w:ascii="Arial" w:eastAsia="Times New Roman" w:hAnsi="Arial" w:cs="Arial"/>
          <w:sz w:val="20"/>
          <w:szCs w:val="20"/>
        </w:rPr>
        <w:t xml:space="preserve"> privremenih situacija u ukupnom iznosu </w:t>
      </w:r>
      <w:r w:rsidR="00A45615">
        <w:rPr>
          <w:rFonts w:ascii="Arial" w:eastAsia="Times New Roman" w:hAnsi="Arial" w:cs="Arial"/>
          <w:sz w:val="20"/>
          <w:szCs w:val="20"/>
        </w:rPr>
        <w:t>108.000</w:t>
      </w:r>
      <w:r>
        <w:rPr>
          <w:rFonts w:ascii="Arial" w:eastAsia="Times New Roman" w:hAnsi="Arial" w:cs="Arial"/>
          <w:sz w:val="20"/>
          <w:szCs w:val="20"/>
        </w:rPr>
        <w:t xml:space="preserve"> € (s PDV-om).</w:t>
      </w:r>
    </w:p>
    <w:p w14:paraId="4E306C36" w14:textId="1D2AE214" w:rsidR="00732C3E" w:rsidRDefault="00732C3E" w:rsidP="0004156F">
      <w:pPr>
        <w:autoSpaceDE w:val="0"/>
        <w:autoSpaceDN w:val="0"/>
        <w:adjustRightInd w:val="0"/>
        <w:spacing w:after="0" w:line="240" w:lineRule="auto"/>
        <w:jc w:val="both"/>
        <w:rPr>
          <w:rFonts w:ascii="Arial" w:eastAsia="Times New Roman" w:hAnsi="Arial" w:cs="Arial"/>
          <w:sz w:val="20"/>
          <w:szCs w:val="20"/>
        </w:rPr>
      </w:pPr>
    </w:p>
    <w:p w14:paraId="5F006247" w14:textId="77777777" w:rsidR="0004156F" w:rsidRPr="00FF3C31" w:rsidRDefault="0004156F" w:rsidP="0004156F">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K210105: Pripremne radnje, projektiranje i izgradnja dječjeg vrtića u Čilipima</w:t>
      </w:r>
    </w:p>
    <w:p w14:paraId="2CC72FE9"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p>
    <w:p w14:paraId="7085C99F"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Pokazatelj rezultata je: postotak dovršenosti projekta </w:t>
      </w:r>
    </w:p>
    <w:p w14:paraId="5794B9A5" w14:textId="2713514A"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202</w:t>
      </w:r>
      <w:r w:rsidR="00B40BA7">
        <w:rPr>
          <w:rFonts w:ascii="Arial" w:eastAsia="Times New Roman" w:hAnsi="Arial" w:cs="Arial"/>
          <w:sz w:val="20"/>
          <w:szCs w:val="20"/>
        </w:rPr>
        <w:t>4</w:t>
      </w:r>
      <w:r w:rsidRPr="00FF3C31">
        <w:rPr>
          <w:rFonts w:ascii="Arial" w:eastAsia="Times New Roman" w:hAnsi="Arial" w:cs="Arial"/>
          <w:sz w:val="20"/>
          <w:szCs w:val="20"/>
        </w:rPr>
        <w:t xml:space="preserve">. = 0% (nula) postotak projekta i radova </w:t>
      </w:r>
    </w:p>
    <w:p w14:paraId="7FA2C388" w14:textId="5BC3A9CE"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Ciljna vrijednost za 202</w:t>
      </w:r>
      <w:r w:rsidR="00B40BA7">
        <w:rPr>
          <w:rFonts w:ascii="Arial" w:eastAsia="Times New Roman" w:hAnsi="Arial" w:cs="Arial"/>
          <w:sz w:val="20"/>
          <w:szCs w:val="20"/>
        </w:rPr>
        <w:t>5</w:t>
      </w:r>
      <w:r w:rsidR="000821A5" w:rsidRPr="00FF3C31">
        <w:rPr>
          <w:rFonts w:ascii="Arial" w:eastAsia="Times New Roman" w:hAnsi="Arial" w:cs="Arial"/>
          <w:sz w:val="20"/>
          <w:szCs w:val="20"/>
        </w:rPr>
        <w:t>.</w:t>
      </w:r>
      <w:r w:rsidRPr="00FF3C31">
        <w:rPr>
          <w:rFonts w:ascii="Arial" w:eastAsia="Times New Roman" w:hAnsi="Arial" w:cs="Arial"/>
          <w:sz w:val="20"/>
          <w:szCs w:val="20"/>
        </w:rPr>
        <w:t xml:space="preserve"> = 0% završenosti projekta i 0% završenosti radova</w:t>
      </w:r>
    </w:p>
    <w:p w14:paraId="22343B62" w14:textId="472E7929"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za 202</w:t>
      </w:r>
      <w:r w:rsidR="00B40BA7">
        <w:rPr>
          <w:rFonts w:ascii="Arial" w:eastAsia="Times New Roman" w:hAnsi="Arial" w:cs="Arial"/>
          <w:sz w:val="20"/>
          <w:szCs w:val="20"/>
        </w:rPr>
        <w:t>6</w:t>
      </w:r>
      <w:r w:rsidRPr="00FF3C31">
        <w:rPr>
          <w:rFonts w:ascii="Arial" w:eastAsia="Times New Roman" w:hAnsi="Arial" w:cs="Arial"/>
          <w:sz w:val="20"/>
          <w:szCs w:val="20"/>
        </w:rPr>
        <w:t>. = 50% završenost projekta i 0% završenosti radova, za 202</w:t>
      </w:r>
      <w:r w:rsidR="00B40BA7">
        <w:rPr>
          <w:rFonts w:ascii="Arial" w:eastAsia="Times New Roman" w:hAnsi="Arial" w:cs="Arial"/>
          <w:sz w:val="20"/>
          <w:szCs w:val="20"/>
        </w:rPr>
        <w:t>7</w:t>
      </w:r>
      <w:r w:rsidRPr="00FF3C31">
        <w:rPr>
          <w:rFonts w:ascii="Arial" w:eastAsia="Times New Roman" w:hAnsi="Arial" w:cs="Arial"/>
          <w:sz w:val="20"/>
          <w:szCs w:val="20"/>
        </w:rPr>
        <w:t>. = 100% završenost projekta i 0% završenosti radova</w:t>
      </w:r>
    </w:p>
    <w:p w14:paraId="48D6E58F"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p>
    <w:p w14:paraId="7731794F" w14:textId="77777777"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lastRenderedPageBreak/>
        <w:t>Radi se o projektu koji tek treba započeti. Dakle, za početak je potrebno izdvojiti rashode za izradu potrebnih elaborata i projektne dokumentacije. Nakon što projekt bude visoko pripremljen trebalo bi iznaći načine sufinanciranja sredstvima EU i drugih fondova.</w:t>
      </w:r>
    </w:p>
    <w:p w14:paraId="4007CE26" w14:textId="77777777"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p>
    <w:p w14:paraId="067C6ACA" w14:textId="4D42F301"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 xml:space="preserve">Ugovor za izradu urbanističko arhitektonske analize te izrade projektne dokumentacije za izgradnju dječjeg vrtića na dijelu č.zem. 909 k.o. Čilipi zaključen je 4. lipnja 2019. (Alfaplan d.o.o.) u iznosu 47.800 kn </w:t>
      </w:r>
      <w:r w:rsidR="006B1C46" w:rsidRPr="00EE21BE">
        <w:rPr>
          <w:rFonts w:ascii="Arial" w:eastAsia="Times New Roman" w:hAnsi="Arial" w:cs="Arial"/>
          <w:sz w:val="18"/>
          <w:szCs w:val="18"/>
        </w:rPr>
        <w:t xml:space="preserve">(6.344,15 €) </w:t>
      </w:r>
      <w:r w:rsidRPr="00EE21BE">
        <w:rPr>
          <w:rFonts w:ascii="Arial" w:eastAsia="Times New Roman" w:hAnsi="Arial" w:cs="Arial"/>
          <w:sz w:val="18"/>
          <w:szCs w:val="18"/>
        </w:rPr>
        <w:t>što s porezom na dodanu vrijednost čini 59.750 kn</w:t>
      </w:r>
      <w:r w:rsidR="006B1C46" w:rsidRPr="00EE21BE">
        <w:rPr>
          <w:rFonts w:ascii="Arial" w:eastAsia="Times New Roman" w:hAnsi="Arial" w:cs="Arial"/>
          <w:sz w:val="18"/>
          <w:szCs w:val="18"/>
        </w:rPr>
        <w:t xml:space="preserve"> (7.930,19 €)</w:t>
      </w:r>
      <w:r w:rsidRPr="00EE21BE">
        <w:rPr>
          <w:rFonts w:ascii="Arial" w:eastAsia="Times New Roman" w:hAnsi="Arial" w:cs="Arial"/>
          <w:sz w:val="18"/>
          <w:szCs w:val="18"/>
        </w:rPr>
        <w:t>. Površina predmetne zone sukladno popisu posjedovnog lista iznosi 5.960 m². Društvo se, između ostalog, obvezalo izraditi 3D vizualizaciju predloženog rješenja te izraditi prezentacijski materijal. Rashodi u 2019. za izradu projektne dokumentacije su izvršeni o u iznosu 59.750 kn</w:t>
      </w:r>
      <w:r w:rsidR="006B1C46" w:rsidRPr="00EE21BE">
        <w:rPr>
          <w:rFonts w:ascii="Arial" w:eastAsia="Times New Roman" w:hAnsi="Arial" w:cs="Arial"/>
          <w:sz w:val="18"/>
          <w:szCs w:val="18"/>
        </w:rPr>
        <w:t xml:space="preserve"> (7.930,19 €)</w:t>
      </w:r>
      <w:r w:rsidRPr="00EE21BE">
        <w:rPr>
          <w:rFonts w:ascii="Arial" w:eastAsia="Times New Roman" w:hAnsi="Arial" w:cs="Arial"/>
          <w:sz w:val="18"/>
          <w:szCs w:val="18"/>
        </w:rPr>
        <w:t>.</w:t>
      </w:r>
    </w:p>
    <w:p w14:paraId="6E1978D5" w14:textId="77777777"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p>
    <w:p w14:paraId="623D7F15" w14:textId="77777777"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Rashodi nisu izvršavani.</w:t>
      </w:r>
    </w:p>
    <w:p w14:paraId="4C65C969" w14:textId="77777777" w:rsidR="002F0351" w:rsidRPr="00FF3C31" w:rsidRDefault="002F0351" w:rsidP="002F0351">
      <w:pPr>
        <w:autoSpaceDE w:val="0"/>
        <w:autoSpaceDN w:val="0"/>
        <w:adjustRightInd w:val="0"/>
        <w:spacing w:after="0" w:line="240" w:lineRule="auto"/>
        <w:jc w:val="both"/>
        <w:rPr>
          <w:rFonts w:ascii="Arial" w:eastAsia="Times New Roman" w:hAnsi="Arial" w:cs="Arial"/>
          <w:sz w:val="20"/>
          <w:szCs w:val="20"/>
        </w:rPr>
      </w:pPr>
    </w:p>
    <w:p w14:paraId="77EC9AE8" w14:textId="2F47E85D" w:rsidR="002F0351" w:rsidRPr="00FF3C31" w:rsidRDefault="00992554" w:rsidP="002F0351">
      <w:pPr>
        <w:pBdr>
          <w:top w:val="single" w:sz="4" w:space="1" w:color="auto"/>
          <w:left w:val="single" w:sz="4" w:space="4" w:color="auto"/>
          <w:bottom w:val="single" w:sz="4" w:space="1" w:color="auto"/>
          <w:right w:val="single" w:sz="4" w:space="4" w:color="auto"/>
        </w:pBdr>
        <w:shd w:val="clear" w:color="auto" w:fill="A6A6A6"/>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Strateški c</w:t>
      </w:r>
      <w:r w:rsidR="002F0351" w:rsidRPr="00FF3C31">
        <w:rPr>
          <w:rFonts w:ascii="Arial" w:eastAsia="Times New Roman" w:hAnsi="Arial" w:cs="Arial"/>
          <w:b/>
          <w:sz w:val="20"/>
          <w:szCs w:val="20"/>
        </w:rPr>
        <w:t>ilj 2: Unapređenje infrastrukture</w:t>
      </w:r>
    </w:p>
    <w:p w14:paraId="4AFFA759" w14:textId="77777777" w:rsidR="002F0351" w:rsidRPr="00FF3C31" w:rsidRDefault="002F0351" w:rsidP="002F0351">
      <w:pPr>
        <w:autoSpaceDE w:val="0"/>
        <w:autoSpaceDN w:val="0"/>
        <w:adjustRightInd w:val="0"/>
        <w:spacing w:after="0" w:line="240" w:lineRule="auto"/>
        <w:jc w:val="both"/>
        <w:rPr>
          <w:rFonts w:ascii="Arial" w:eastAsia="Times New Roman" w:hAnsi="Arial" w:cs="Arial"/>
          <w:b/>
          <w:sz w:val="20"/>
          <w:szCs w:val="20"/>
          <w:u w:val="single"/>
        </w:rPr>
      </w:pPr>
    </w:p>
    <w:p w14:paraId="4CC3DEEB" w14:textId="77777777" w:rsidR="002F0351" w:rsidRPr="00FF3C31" w:rsidRDefault="002F0351" w:rsidP="002F0351">
      <w:pPr>
        <w:pBdr>
          <w:top w:val="single" w:sz="4" w:space="1" w:color="auto"/>
          <w:left w:val="single" w:sz="4" w:space="4" w:color="auto"/>
          <w:bottom w:val="single" w:sz="4" w:space="1" w:color="auto"/>
          <w:right w:val="single" w:sz="4" w:space="4" w:color="auto"/>
        </w:pBdr>
        <w:shd w:val="clear" w:color="auto" w:fill="BFBFBF"/>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Prioritet 2.3. Unapređenje društvene, kulturne i turističke infrastrukture</w:t>
      </w:r>
    </w:p>
    <w:p w14:paraId="114BB231" w14:textId="77777777" w:rsidR="002F0351" w:rsidRPr="00FF3C31" w:rsidRDefault="002F0351" w:rsidP="002F0351">
      <w:pPr>
        <w:autoSpaceDE w:val="0"/>
        <w:autoSpaceDN w:val="0"/>
        <w:adjustRightInd w:val="0"/>
        <w:spacing w:after="0" w:line="240" w:lineRule="auto"/>
        <w:jc w:val="both"/>
        <w:rPr>
          <w:rFonts w:ascii="Arial" w:eastAsia="Times New Roman" w:hAnsi="Arial" w:cs="Arial"/>
          <w:sz w:val="20"/>
          <w:szCs w:val="20"/>
        </w:rPr>
      </w:pPr>
    </w:p>
    <w:p w14:paraId="33668D99" w14:textId="77777777" w:rsidR="002F0351" w:rsidRPr="00FF3C31" w:rsidRDefault="002F0351" w:rsidP="002F0351">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Ovaj prioritet se ostvaruje kroz:</w:t>
      </w:r>
    </w:p>
    <w:p w14:paraId="7401C2B0" w14:textId="0296DDE4" w:rsidR="002F0351" w:rsidRPr="00FF3C31" w:rsidRDefault="002F0351" w:rsidP="0004156F">
      <w:pPr>
        <w:autoSpaceDE w:val="0"/>
        <w:autoSpaceDN w:val="0"/>
        <w:adjustRightInd w:val="0"/>
        <w:spacing w:after="0" w:line="240" w:lineRule="auto"/>
        <w:jc w:val="both"/>
        <w:rPr>
          <w:rFonts w:ascii="Arial" w:eastAsia="Calibri" w:hAnsi="Arial" w:cs="Arial"/>
          <w:sz w:val="20"/>
          <w:szCs w:val="20"/>
        </w:rPr>
      </w:pPr>
    </w:p>
    <w:p w14:paraId="685FD362" w14:textId="61B3908C" w:rsidR="0004156F" w:rsidRPr="00FF3C31" w:rsidRDefault="002F0351" w:rsidP="0004156F">
      <w:pPr>
        <w:pBdr>
          <w:top w:val="single" w:sz="4" w:space="1" w:color="auto"/>
          <w:left w:val="single" w:sz="4" w:space="3" w:color="auto"/>
          <w:bottom w:val="single" w:sz="4" w:space="1" w:color="auto"/>
          <w:right w:val="single" w:sz="4" w:space="4" w:color="auto"/>
        </w:pBdr>
        <w:autoSpaceDE w:val="0"/>
        <w:autoSpaceDN w:val="0"/>
        <w:adjustRightInd w:val="0"/>
        <w:spacing w:after="0" w:line="240" w:lineRule="auto"/>
        <w:ind w:left="720" w:hanging="720"/>
        <w:jc w:val="both"/>
        <w:rPr>
          <w:rFonts w:ascii="Arial" w:eastAsia="Times New Roman" w:hAnsi="Arial" w:cs="Arial"/>
          <w:b/>
          <w:sz w:val="20"/>
          <w:szCs w:val="20"/>
        </w:rPr>
      </w:pPr>
      <w:r w:rsidRPr="00FF3C31">
        <w:rPr>
          <w:rFonts w:ascii="Arial" w:eastAsia="Times New Roman" w:hAnsi="Arial" w:cs="Arial"/>
          <w:b/>
          <w:sz w:val="20"/>
          <w:szCs w:val="20"/>
        </w:rPr>
        <w:t>2.3</w:t>
      </w:r>
      <w:r w:rsidR="0004156F" w:rsidRPr="00FF3C31">
        <w:rPr>
          <w:rFonts w:ascii="Arial" w:eastAsia="Times New Roman" w:hAnsi="Arial" w:cs="Arial"/>
          <w:b/>
          <w:sz w:val="20"/>
          <w:szCs w:val="20"/>
        </w:rPr>
        <w:t>. c)</w:t>
      </w:r>
      <w:r w:rsidR="0004156F" w:rsidRPr="00FF3C31">
        <w:rPr>
          <w:rFonts w:ascii="Arial" w:eastAsia="Times New Roman" w:hAnsi="Arial" w:cs="Arial"/>
          <w:sz w:val="20"/>
          <w:szCs w:val="20"/>
        </w:rPr>
        <w:tab/>
      </w:r>
      <w:r w:rsidR="0004156F" w:rsidRPr="00FF3C31">
        <w:rPr>
          <w:rFonts w:ascii="Arial" w:eastAsia="Times New Roman" w:hAnsi="Arial" w:cs="Arial"/>
          <w:b/>
          <w:sz w:val="20"/>
          <w:szCs w:val="20"/>
        </w:rPr>
        <w:t xml:space="preserve">Program (2102) – Izgradnja i uređenje objekata javne namjene – sport </w:t>
      </w:r>
    </w:p>
    <w:p w14:paraId="3F3D4426"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p>
    <w:p w14:paraId="2C6C2EB6"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c1) </w:t>
      </w:r>
      <w:r w:rsidRPr="00FF3C31">
        <w:rPr>
          <w:rFonts w:ascii="Arial" w:eastAsia="Times New Roman" w:hAnsi="Arial" w:cs="Arial"/>
          <w:sz w:val="20"/>
          <w:szCs w:val="20"/>
        </w:rPr>
        <w:tab/>
        <w:t>Kapitalni projekt (K210202) Izgradnja sportskih igrališta / objekata – Boćarski dom Dubravka</w:t>
      </w:r>
    </w:p>
    <w:p w14:paraId="4D48CBD7"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c2) </w:t>
      </w:r>
      <w:r w:rsidRPr="00FF3C31">
        <w:rPr>
          <w:rFonts w:ascii="Arial" w:eastAsia="Times New Roman" w:hAnsi="Arial" w:cs="Arial"/>
          <w:sz w:val="20"/>
          <w:szCs w:val="20"/>
        </w:rPr>
        <w:tab/>
        <w:t>Kapitalni projekt (K210204) Pripremne radnje, projektiranje i izgradnja bazena i malonogometnog igrališta Čilipi</w:t>
      </w:r>
    </w:p>
    <w:p w14:paraId="0DA39400"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p>
    <w:p w14:paraId="72968C18" w14:textId="77777777" w:rsidR="003E30B1" w:rsidRPr="00FF3C31" w:rsidRDefault="003E30B1" w:rsidP="003E30B1">
      <w:pPr>
        <w:autoSpaceDE w:val="0"/>
        <w:autoSpaceDN w:val="0"/>
        <w:adjustRightInd w:val="0"/>
        <w:spacing w:after="0" w:line="240" w:lineRule="auto"/>
        <w:jc w:val="both"/>
        <w:rPr>
          <w:rFonts w:ascii="Arial" w:hAnsi="Arial" w:cs="Arial"/>
          <w:color w:val="0070C0"/>
          <w:sz w:val="20"/>
          <w:szCs w:val="20"/>
        </w:rPr>
      </w:pPr>
      <w:r w:rsidRPr="00FF3C31">
        <w:rPr>
          <w:rFonts w:ascii="Arial" w:hAnsi="Arial" w:cs="Arial"/>
          <w:color w:val="0070C0"/>
          <w:sz w:val="20"/>
          <w:szCs w:val="20"/>
        </w:rPr>
        <w:t>Provedba cilja i prioriteta iz ovog dijela je povezana s provedbom mjera i posebnih ciljeva iz Provedbenog programa pod točkom:</w:t>
      </w:r>
    </w:p>
    <w:p w14:paraId="148956F4" w14:textId="1CC6334C" w:rsidR="003E30B1" w:rsidRPr="00FF3C31" w:rsidRDefault="003E30B1" w:rsidP="003E30B1">
      <w:pPr>
        <w:autoSpaceDE w:val="0"/>
        <w:autoSpaceDN w:val="0"/>
        <w:adjustRightInd w:val="0"/>
        <w:spacing w:after="0" w:line="240" w:lineRule="auto"/>
        <w:ind w:firstLine="709"/>
        <w:jc w:val="both"/>
        <w:rPr>
          <w:rFonts w:ascii="Arial" w:hAnsi="Arial" w:cs="Arial"/>
          <w:color w:val="0070C0"/>
          <w:sz w:val="20"/>
          <w:szCs w:val="20"/>
        </w:rPr>
      </w:pPr>
      <w:r w:rsidRPr="00FF3C31">
        <w:rPr>
          <w:rFonts w:ascii="Arial" w:hAnsi="Arial" w:cs="Arial"/>
          <w:color w:val="0070C0"/>
          <w:sz w:val="20"/>
          <w:szCs w:val="20"/>
        </w:rPr>
        <w:t xml:space="preserve">- Prioriteta 2. Poboljšanje kvalitete života, te unapređenje ljudskog kapitala, </w:t>
      </w:r>
    </w:p>
    <w:p w14:paraId="73D98735" w14:textId="02005B52" w:rsidR="003E30B1" w:rsidRPr="00FF3C31" w:rsidRDefault="003E30B1" w:rsidP="003E30B1">
      <w:pPr>
        <w:autoSpaceDE w:val="0"/>
        <w:autoSpaceDN w:val="0"/>
        <w:adjustRightInd w:val="0"/>
        <w:spacing w:after="0" w:line="240" w:lineRule="auto"/>
        <w:ind w:left="1418" w:firstLine="709"/>
        <w:jc w:val="both"/>
        <w:rPr>
          <w:rFonts w:ascii="Arial" w:hAnsi="Arial" w:cs="Arial"/>
          <w:color w:val="0070C0"/>
          <w:sz w:val="20"/>
          <w:szCs w:val="20"/>
        </w:rPr>
      </w:pPr>
      <w:r w:rsidRPr="00FF3C31">
        <w:rPr>
          <w:rFonts w:ascii="Arial" w:hAnsi="Arial" w:cs="Arial"/>
          <w:color w:val="0070C0"/>
          <w:sz w:val="20"/>
          <w:szCs w:val="20"/>
        </w:rPr>
        <w:t>-</w:t>
      </w:r>
      <w:r w:rsidRPr="00FF3C31">
        <w:rPr>
          <w:rFonts w:ascii="Arial" w:hAnsi="Arial" w:cs="Arial"/>
          <w:color w:val="0070C0"/>
          <w:sz w:val="20"/>
          <w:szCs w:val="20"/>
        </w:rPr>
        <w:tab/>
      </w:r>
      <w:r w:rsidR="00156E6C" w:rsidRPr="00FF3C31">
        <w:rPr>
          <w:rFonts w:ascii="Arial" w:hAnsi="Arial" w:cs="Arial"/>
          <w:color w:val="0070C0"/>
          <w:sz w:val="20"/>
          <w:szCs w:val="20"/>
        </w:rPr>
        <w:t xml:space="preserve">posebnim ciljem </w:t>
      </w:r>
      <w:r w:rsidRPr="00FF3C31">
        <w:rPr>
          <w:rFonts w:ascii="Arial" w:hAnsi="Arial" w:cs="Arial"/>
          <w:color w:val="0070C0"/>
          <w:sz w:val="20"/>
          <w:szCs w:val="20"/>
        </w:rPr>
        <w:t xml:space="preserve">2.1. Unapređenje kvalitete i dostupnosti društvenih usluga, </w:t>
      </w:r>
    </w:p>
    <w:p w14:paraId="55C1FD24" w14:textId="4C17C304" w:rsidR="003E30B1" w:rsidRPr="00FF3C31" w:rsidRDefault="00156E6C" w:rsidP="003E30B1">
      <w:pPr>
        <w:autoSpaceDE w:val="0"/>
        <w:autoSpaceDN w:val="0"/>
        <w:adjustRightInd w:val="0"/>
        <w:spacing w:after="0" w:line="240" w:lineRule="auto"/>
        <w:ind w:left="2836" w:firstLine="709"/>
        <w:jc w:val="both"/>
        <w:rPr>
          <w:rFonts w:ascii="Arial" w:hAnsi="Arial" w:cs="Arial"/>
          <w:color w:val="0070C0"/>
          <w:sz w:val="20"/>
          <w:szCs w:val="20"/>
        </w:rPr>
      </w:pPr>
      <w:r w:rsidRPr="00FF3C31">
        <w:rPr>
          <w:rFonts w:ascii="Arial" w:hAnsi="Arial" w:cs="Arial"/>
          <w:color w:val="0070C0"/>
          <w:sz w:val="20"/>
          <w:szCs w:val="20"/>
        </w:rPr>
        <w:t xml:space="preserve">mjerom </w:t>
      </w:r>
      <w:r w:rsidR="003E30B1" w:rsidRPr="00FF3C31">
        <w:rPr>
          <w:rFonts w:ascii="Arial" w:hAnsi="Arial" w:cs="Arial"/>
          <w:color w:val="0070C0"/>
          <w:sz w:val="20"/>
          <w:szCs w:val="20"/>
        </w:rPr>
        <w:t xml:space="preserve">2.1.5. Unapređenje sportske i rekreacijske infrastrukture </w:t>
      </w:r>
    </w:p>
    <w:p w14:paraId="3EFFB383" w14:textId="77777777" w:rsidR="003E30B1" w:rsidRPr="00FF3C31" w:rsidRDefault="003E30B1" w:rsidP="0004156F">
      <w:pPr>
        <w:autoSpaceDE w:val="0"/>
        <w:autoSpaceDN w:val="0"/>
        <w:adjustRightInd w:val="0"/>
        <w:spacing w:after="0" w:line="240" w:lineRule="auto"/>
        <w:jc w:val="both"/>
        <w:rPr>
          <w:rFonts w:ascii="Arial" w:eastAsia="Times New Roman" w:hAnsi="Arial" w:cs="Arial"/>
          <w:sz w:val="20"/>
          <w:szCs w:val="20"/>
        </w:rPr>
      </w:pPr>
    </w:p>
    <w:p w14:paraId="57718629" w14:textId="77777777" w:rsidR="0004156F" w:rsidRPr="00FF3C31" w:rsidRDefault="0004156F" w:rsidP="0004156F">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 xml:space="preserve">T210202: Izgradnja sportskih igrališta – Boćarski dom </w:t>
      </w:r>
    </w:p>
    <w:p w14:paraId="3934BBA5"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p>
    <w:p w14:paraId="370F803C"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Pokazatelj rezultata je: postotak dovršenosti projekta i izgradnje Boćarskog doma (društvene namjene). </w:t>
      </w:r>
    </w:p>
    <w:p w14:paraId="68B748B9"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p>
    <w:p w14:paraId="5A6DD39F" w14:textId="3AF197DA"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202</w:t>
      </w:r>
      <w:r w:rsidR="00B40BA7">
        <w:rPr>
          <w:rFonts w:ascii="Arial" w:eastAsia="Times New Roman" w:hAnsi="Arial" w:cs="Arial"/>
          <w:sz w:val="20"/>
          <w:szCs w:val="20"/>
        </w:rPr>
        <w:t>4</w:t>
      </w:r>
      <w:r w:rsidRPr="00FF3C31">
        <w:rPr>
          <w:rFonts w:ascii="Arial" w:eastAsia="Times New Roman" w:hAnsi="Arial" w:cs="Arial"/>
          <w:sz w:val="20"/>
          <w:szCs w:val="20"/>
        </w:rPr>
        <w:t>. = 0% postotak dovršenosti projekta i 0% (nula) postotak dovršenosti izgradnje</w:t>
      </w:r>
    </w:p>
    <w:p w14:paraId="425C629D" w14:textId="079D20AC"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Ciljna vrijednost za 202</w:t>
      </w:r>
      <w:r w:rsidR="00B40BA7">
        <w:rPr>
          <w:rFonts w:ascii="Arial" w:eastAsia="Times New Roman" w:hAnsi="Arial" w:cs="Arial"/>
          <w:sz w:val="20"/>
          <w:szCs w:val="20"/>
        </w:rPr>
        <w:t>5</w:t>
      </w:r>
      <w:r w:rsidRPr="00FF3C31">
        <w:rPr>
          <w:rFonts w:ascii="Arial" w:eastAsia="Times New Roman" w:hAnsi="Arial" w:cs="Arial"/>
          <w:sz w:val="20"/>
          <w:szCs w:val="20"/>
        </w:rPr>
        <w:t xml:space="preserve">. = 100% dovršenosti projekta i </w:t>
      </w:r>
      <w:r w:rsidR="006F20F9" w:rsidRPr="00FF3C31">
        <w:rPr>
          <w:rFonts w:ascii="Arial" w:eastAsia="Times New Roman" w:hAnsi="Arial" w:cs="Arial"/>
          <w:sz w:val="20"/>
          <w:szCs w:val="20"/>
        </w:rPr>
        <w:t>60</w:t>
      </w:r>
      <w:r w:rsidRPr="00FF3C31">
        <w:rPr>
          <w:rFonts w:ascii="Arial" w:eastAsia="Times New Roman" w:hAnsi="Arial" w:cs="Arial"/>
          <w:sz w:val="20"/>
          <w:szCs w:val="20"/>
        </w:rPr>
        <w:t xml:space="preserve">% dovršenosti radova </w:t>
      </w:r>
    </w:p>
    <w:p w14:paraId="6D3FF16E" w14:textId="36D59F2D"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za 20</w:t>
      </w:r>
      <w:r w:rsidR="00B40BA7">
        <w:rPr>
          <w:rFonts w:ascii="Arial" w:eastAsia="Times New Roman" w:hAnsi="Arial" w:cs="Arial"/>
          <w:sz w:val="20"/>
          <w:szCs w:val="20"/>
        </w:rPr>
        <w:t>26</w:t>
      </w:r>
      <w:r w:rsidRPr="00FF3C31">
        <w:rPr>
          <w:rFonts w:ascii="Arial" w:eastAsia="Times New Roman" w:hAnsi="Arial" w:cs="Arial"/>
          <w:sz w:val="20"/>
          <w:szCs w:val="20"/>
        </w:rPr>
        <w:t xml:space="preserve">. = 100% završenost projekta i </w:t>
      </w:r>
      <w:r w:rsidR="006F20F9" w:rsidRPr="00FF3C31">
        <w:rPr>
          <w:rFonts w:ascii="Arial" w:eastAsia="Times New Roman" w:hAnsi="Arial" w:cs="Arial"/>
          <w:sz w:val="20"/>
          <w:szCs w:val="20"/>
        </w:rPr>
        <w:t>100</w:t>
      </w:r>
      <w:r w:rsidRPr="00FF3C31">
        <w:rPr>
          <w:rFonts w:ascii="Arial" w:eastAsia="Times New Roman" w:hAnsi="Arial" w:cs="Arial"/>
          <w:sz w:val="20"/>
          <w:szCs w:val="20"/>
        </w:rPr>
        <w:t xml:space="preserve">% završenosti radova za </w:t>
      </w:r>
      <w:r w:rsidR="006F20F9" w:rsidRPr="00FF3C31">
        <w:rPr>
          <w:rFonts w:ascii="Arial" w:eastAsia="Times New Roman" w:hAnsi="Arial" w:cs="Arial"/>
          <w:sz w:val="20"/>
          <w:szCs w:val="20"/>
        </w:rPr>
        <w:t>202</w:t>
      </w:r>
      <w:r w:rsidR="00B40BA7">
        <w:rPr>
          <w:rFonts w:ascii="Arial" w:eastAsia="Times New Roman" w:hAnsi="Arial" w:cs="Arial"/>
          <w:sz w:val="20"/>
          <w:szCs w:val="20"/>
        </w:rPr>
        <w:t>7</w:t>
      </w:r>
      <w:r w:rsidR="006F20F9" w:rsidRPr="00FF3C31">
        <w:rPr>
          <w:rFonts w:ascii="Arial" w:eastAsia="Times New Roman" w:hAnsi="Arial" w:cs="Arial"/>
          <w:sz w:val="20"/>
          <w:szCs w:val="20"/>
        </w:rPr>
        <w:t>.</w:t>
      </w:r>
      <w:r w:rsidRPr="00FF3C31">
        <w:rPr>
          <w:rFonts w:ascii="Arial" w:eastAsia="Times New Roman" w:hAnsi="Arial" w:cs="Arial"/>
          <w:sz w:val="20"/>
          <w:szCs w:val="20"/>
        </w:rPr>
        <w:t xml:space="preserve"> = 100% završenost projekta i radova.</w:t>
      </w:r>
    </w:p>
    <w:p w14:paraId="491E0557"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p>
    <w:p w14:paraId="1FBFC887" w14:textId="1C71445C"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 xml:space="preserve">Radi se o projektu koji tek treba započeti. Dakle, za početak je potrebno izdvojiti rashode za izradu potrebnih elaborata i projektne dokumentacije. </w:t>
      </w:r>
    </w:p>
    <w:p w14:paraId="1B7CA86E" w14:textId="6D2EE778"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 xml:space="preserve">Ugovor za projektno-tehničke dokumentacije za izgradnju boćarskog doma u Dubravci zaključen je 6. ožujka 2019. (Trames d.o.o.) u iznosu 115.000 kn </w:t>
      </w:r>
      <w:r w:rsidR="00C65494" w:rsidRPr="00EE21BE">
        <w:rPr>
          <w:rFonts w:ascii="Arial" w:eastAsia="Times New Roman" w:hAnsi="Arial" w:cs="Arial"/>
          <w:sz w:val="18"/>
          <w:szCs w:val="18"/>
        </w:rPr>
        <w:t xml:space="preserve">/ 15.263,12 € </w:t>
      </w:r>
      <w:r w:rsidRPr="00EE21BE">
        <w:rPr>
          <w:rFonts w:ascii="Arial" w:eastAsia="Times New Roman" w:hAnsi="Arial" w:cs="Arial"/>
          <w:sz w:val="18"/>
          <w:szCs w:val="18"/>
        </w:rPr>
        <w:t>što s porezom na dodanu vrijednost čini 143.750 kn</w:t>
      </w:r>
      <w:r w:rsidR="006B1C46" w:rsidRPr="00EE21BE">
        <w:rPr>
          <w:rFonts w:ascii="Arial" w:eastAsia="Times New Roman" w:hAnsi="Arial" w:cs="Arial"/>
          <w:sz w:val="18"/>
          <w:szCs w:val="18"/>
        </w:rPr>
        <w:t xml:space="preserve"> (19.078,90 €)</w:t>
      </w:r>
      <w:r w:rsidRPr="00EE21BE">
        <w:rPr>
          <w:rFonts w:ascii="Arial" w:eastAsia="Times New Roman" w:hAnsi="Arial" w:cs="Arial"/>
          <w:sz w:val="18"/>
          <w:szCs w:val="18"/>
        </w:rPr>
        <w:t>. Društvo se obvezalo izraditi idejno rješenje, glavni projekt, troškovnik i dokumentaciju za nabavu. Građevinska bruto površina predmetne dvorane iznosi oko 800 m². Prema projektnom zadatku, unutrašnje karakteristike dvorane su: dio s četiri boćarske staze minimalnih dimenzija 27,50(d)*16,5(Š)*5,5(v), te minimalno tri svlačionice (za minimalno 13 ljudi) sa zasebnim sanitarijama i kupaonicama s tuševima, društvena prostorija / ugostiteljski objekt s kuhinjom i skladišnim prostorom te minimalno 150 gledališnih mjesta, a po mogućnosti jedan višenamjenski prostor i jedna soba za sastanke. Dakle, uz jedan glavni ulaz, prateći sadržaji trebaju imati još jedan sanitarni čvor.</w:t>
      </w:r>
    </w:p>
    <w:p w14:paraId="18563F15" w14:textId="77777777"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p>
    <w:p w14:paraId="3FBEC82B" w14:textId="55A06786"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lastRenderedPageBreak/>
        <w:t>U 2020. su izvršeni rashodi u iznosu 13.500 kn</w:t>
      </w:r>
      <w:r w:rsidR="006B1C46" w:rsidRPr="00EE21BE">
        <w:rPr>
          <w:rFonts w:ascii="Arial" w:eastAsia="Times New Roman" w:hAnsi="Arial" w:cs="Arial"/>
          <w:sz w:val="18"/>
          <w:szCs w:val="18"/>
        </w:rPr>
        <w:t xml:space="preserve"> (1.791,76 €)</w:t>
      </w:r>
      <w:r w:rsidRPr="00EE21BE">
        <w:rPr>
          <w:rFonts w:ascii="Arial" w:eastAsia="Times New Roman" w:hAnsi="Arial" w:cs="Arial"/>
          <w:sz w:val="18"/>
          <w:szCs w:val="18"/>
        </w:rPr>
        <w:t>. Odnose se na troškove izdavanja potvrde o usklađenosti projekta s propozicijama (HRVATSKI BOĆARSKI SAVEZ) u iznosu 1.000 kn</w:t>
      </w:r>
      <w:r w:rsidR="006B1C46" w:rsidRPr="00EE21BE">
        <w:rPr>
          <w:rFonts w:ascii="Arial" w:eastAsia="Times New Roman" w:hAnsi="Arial" w:cs="Arial"/>
          <w:sz w:val="18"/>
          <w:szCs w:val="18"/>
        </w:rPr>
        <w:t xml:space="preserve"> (132,72 €)</w:t>
      </w:r>
      <w:r w:rsidRPr="00EE21BE">
        <w:rPr>
          <w:rFonts w:ascii="Arial" w:eastAsia="Times New Roman" w:hAnsi="Arial" w:cs="Arial"/>
          <w:sz w:val="18"/>
          <w:szCs w:val="18"/>
        </w:rPr>
        <w:t>, te izradu statike za boćarsku dvoranu 18m*33m/4m u iznosu 12.500 kn</w:t>
      </w:r>
      <w:r w:rsidR="006B1C46" w:rsidRPr="00EE21BE">
        <w:rPr>
          <w:rFonts w:ascii="Arial" w:eastAsia="Times New Roman" w:hAnsi="Arial" w:cs="Arial"/>
          <w:sz w:val="18"/>
          <w:szCs w:val="18"/>
        </w:rPr>
        <w:t xml:space="preserve"> (1.659,04 €)</w:t>
      </w:r>
      <w:r w:rsidRPr="00EE21BE">
        <w:rPr>
          <w:rFonts w:ascii="Arial" w:eastAsia="Times New Roman" w:hAnsi="Arial" w:cs="Arial"/>
          <w:sz w:val="18"/>
          <w:szCs w:val="18"/>
        </w:rPr>
        <w:t>.</w:t>
      </w:r>
    </w:p>
    <w:p w14:paraId="1511F4A9" w14:textId="77777777"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p>
    <w:p w14:paraId="6CE3C578" w14:textId="77777777"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Rashodi nisu izvršavani u 2021. i 2022. zbog nedostatka proračunskih sredstava.</w:t>
      </w:r>
    </w:p>
    <w:p w14:paraId="5B809CCE" w14:textId="77777777" w:rsidR="006B1C46" w:rsidRPr="00EE21BE" w:rsidRDefault="006B1C46" w:rsidP="0004156F">
      <w:pPr>
        <w:autoSpaceDE w:val="0"/>
        <w:autoSpaceDN w:val="0"/>
        <w:adjustRightInd w:val="0"/>
        <w:spacing w:after="0" w:line="240" w:lineRule="auto"/>
        <w:jc w:val="both"/>
        <w:rPr>
          <w:rFonts w:ascii="Arial" w:eastAsia="Times New Roman" w:hAnsi="Arial" w:cs="Arial"/>
          <w:sz w:val="18"/>
          <w:szCs w:val="18"/>
        </w:rPr>
      </w:pPr>
    </w:p>
    <w:p w14:paraId="25EC791E" w14:textId="2F9523DA" w:rsidR="006B1C46" w:rsidRPr="00EE21BE" w:rsidRDefault="006B1C46" w:rsidP="0004156F">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Za provedbu ovog projekta osigurana su financijska sredstva kroz projekt ITU mehanizam.</w:t>
      </w:r>
    </w:p>
    <w:p w14:paraId="2CC2303A" w14:textId="77777777"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p>
    <w:p w14:paraId="6D8FA385" w14:textId="6CD2D71C" w:rsidR="000821A5" w:rsidRPr="00FF3C31" w:rsidRDefault="000821A5"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U 2024. godini su izvršeni rashodi u iznosu 25.000 € i odnose se na otkup dijela zemljišta potrebnog za izgradnju boćarskog doma.</w:t>
      </w:r>
    </w:p>
    <w:p w14:paraId="0694DC22" w14:textId="77777777" w:rsidR="000821A5" w:rsidRDefault="000821A5" w:rsidP="0004156F">
      <w:pPr>
        <w:autoSpaceDE w:val="0"/>
        <w:autoSpaceDN w:val="0"/>
        <w:adjustRightInd w:val="0"/>
        <w:spacing w:after="0" w:line="240" w:lineRule="auto"/>
        <w:jc w:val="both"/>
        <w:rPr>
          <w:rFonts w:ascii="Arial" w:eastAsia="Times New Roman" w:hAnsi="Arial" w:cs="Arial"/>
          <w:sz w:val="20"/>
          <w:szCs w:val="20"/>
        </w:rPr>
      </w:pPr>
    </w:p>
    <w:p w14:paraId="7A6D2879" w14:textId="160E16F1" w:rsidR="00B40BA7" w:rsidRDefault="00B40BA7"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U 202</w:t>
      </w:r>
      <w:r>
        <w:rPr>
          <w:rFonts w:ascii="Arial" w:eastAsia="Times New Roman" w:hAnsi="Arial" w:cs="Arial"/>
          <w:sz w:val="20"/>
          <w:szCs w:val="20"/>
        </w:rPr>
        <w:t>5</w:t>
      </w:r>
      <w:r w:rsidRPr="00FF3C31">
        <w:rPr>
          <w:rFonts w:ascii="Arial" w:eastAsia="Times New Roman" w:hAnsi="Arial" w:cs="Arial"/>
          <w:sz w:val="20"/>
          <w:szCs w:val="20"/>
        </w:rPr>
        <w:t xml:space="preserve">. godini su izvršeni rashodi u iznosu </w:t>
      </w:r>
      <w:r>
        <w:rPr>
          <w:rFonts w:ascii="Arial" w:eastAsia="Times New Roman" w:hAnsi="Arial" w:cs="Arial"/>
          <w:sz w:val="20"/>
          <w:szCs w:val="20"/>
        </w:rPr>
        <w:t>1.875</w:t>
      </w:r>
      <w:r w:rsidRPr="00FF3C31">
        <w:rPr>
          <w:rFonts w:ascii="Arial" w:eastAsia="Times New Roman" w:hAnsi="Arial" w:cs="Arial"/>
          <w:sz w:val="20"/>
          <w:szCs w:val="20"/>
        </w:rPr>
        <w:t xml:space="preserve"> € i odnose se na </w:t>
      </w:r>
      <w:r>
        <w:rPr>
          <w:rFonts w:ascii="Arial" w:eastAsia="Times New Roman" w:hAnsi="Arial" w:cs="Arial"/>
          <w:sz w:val="20"/>
          <w:szCs w:val="20"/>
        </w:rPr>
        <w:t>usluge revizije projekta izgradnje boćarske dvorane (za metalne spregnute konstrukcije).</w:t>
      </w:r>
    </w:p>
    <w:p w14:paraId="20889137" w14:textId="77777777" w:rsidR="00B40BA7" w:rsidRPr="00FF3C31" w:rsidRDefault="00B40BA7" w:rsidP="0004156F">
      <w:pPr>
        <w:autoSpaceDE w:val="0"/>
        <w:autoSpaceDN w:val="0"/>
        <w:adjustRightInd w:val="0"/>
        <w:spacing w:after="0" w:line="240" w:lineRule="auto"/>
        <w:jc w:val="both"/>
        <w:rPr>
          <w:rFonts w:ascii="Arial" w:eastAsia="Times New Roman" w:hAnsi="Arial" w:cs="Arial"/>
          <w:sz w:val="20"/>
          <w:szCs w:val="20"/>
        </w:rPr>
      </w:pPr>
    </w:p>
    <w:p w14:paraId="30C0E1E2" w14:textId="77777777" w:rsidR="0004156F" w:rsidRPr="00FF3C31" w:rsidRDefault="0004156F" w:rsidP="0004156F">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Arial" w:eastAsia="Times New Roman" w:hAnsi="Arial" w:cs="Arial"/>
          <w:b/>
          <w:sz w:val="20"/>
          <w:szCs w:val="20"/>
        </w:rPr>
      </w:pPr>
      <w:r w:rsidRPr="00FF3C31">
        <w:rPr>
          <w:rFonts w:ascii="Arial" w:eastAsia="Times New Roman" w:hAnsi="Arial" w:cs="Arial"/>
          <w:b/>
          <w:sz w:val="20"/>
          <w:szCs w:val="20"/>
        </w:rPr>
        <w:t>K210204: Pripremne radnje, projektiranje i izgradnja bazena i malonogometnog igrališta Čilipi</w:t>
      </w:r>
    </w:p>
    <w:p w14:paraId="72A67982"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p>
    <w:p w14:paraId="77906B55" w14:textId="7777777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 xml:space="preserve">Pokazatelj rezultata je: postotak dovršenosti projekta </w:t>
      </w:r>
    </w:p>
    <w:p w14:paraId="7A728680" w14:textId="60616012"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Polazna vrijednost 202</w:t>
      </w:r>
      <w:r w:rsidR="00B40BA7">
        <w:rPr>
          <w:rFonts w:ascii="Arial" w:eastAsia="Times New Roman" w:hAnsi="Arial" w:cs="Arial"/>
          <w:sz w:val="20"/>
          <w:szCs w:val="20"/>
        </w:rPr>
        <w:t>4</w:t>
      </w:r>
      <w:r w:rsidRPr="00FF3C31">
        <w:rPr>
          <w:rFonts w:ascii="Arial" w:eastAsia="Times New Roman" w:hAnsi="Arial" w:cs="Arial"/>
          <w:sz w:val="20"/>
          <w:szCs w:val="20"/>
        </w:rPr>
        <w:t xml:space="preserve">. = 0% postotak projekta i radova </w:t>
      </w:r>
    </w:p>
    <w:p w14:paraId="169EC8A0" w14:textId="6FD4CBC9"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Ciljna vrijednost za 202</w:t>
      </w:r>
      <w:r w:rsidR="00B40BA7">
        <w:rPr>
          <w:rFonts w:ascii="Arial" w:eastAsia="Times New Roman" w:hAnsi="Arial" w:cs="Arial"/>
          <w:sz w:val="20"/>
          <w:szCs w:val="20"/>
        </w:rPr>
        <w:t>5</w:t>
      </w:r>
      <w:r w:rsidRPr="00FF3C31">
        <w:rPr>
          <w:rFonts w:ascii="Arial" w:eastAsia="Times New Roman" w:hAnsi="Arial" w:cs="Arial"/>
          <w:sz w:val="20"/>
          <w:szCs w:val="20"/>
        </w:rPr>
        <w:t>. = 0% završenosti projekta i 0% završenosti radova</w:t>
      </w:r>
    </w:p>
    <w:p w14:paraId="648359CB" w14:textId="08E96AA7" w:rsidR="0004156F" w:rsidRPr="00FF3C31" w:rsidRDefault="0004156F" w:rsidP="0004156F">
      <w:pPr>
        <w:autoSpaceDE w:val="0"/>
        <w:autoSpaceDN w:val="0"/>
        <w:adjustRightInd w:val="0"/>
        <w:spacing w:after="0" w:line="240" w:lineRule="auto"/>
        <w:jc w:val="both"/>
        <w:rPr>
          <w:rFonts w:ascii="Arial" w:eastAsia="Times New Roman" w:hAnsi="Arial" w:cs="Arial"/>
          <w:sz w:val="20"/>
          <w:szCs w:val="20"/>
        </w:rPr>
      </w:pPr>
      <w:r w:rsidRPr="00FF3C31">
        <w:rPr>
          <w:rFonts w:ascii="Arial" w:eastAsia="Times New Roman" w:hAnsi="Arial" w:cs="Arial"/>
          <w:sz w:val="20"/>
          <w:szCs w:val="20"/>
        </w:rPr>
        <w:t>za 202</w:t>
      </w:r>
      <w:r w:rsidR="00B40BA7">
        <w:rPr>
          <w:rFonts w:ascii="Arial" w:eastAsia="Times New Roman" w:hAnsi="Arial" w:cs="Arial"/>
          <w:sz w:val="20"/>
          <w:szCs w:val="20"/>
        </w:rPr>
        <w:t>6</w:t>
      </w:r>
      <w:r w:rsidRPr="00FF3C31">
        <w:rPr>
          <w:rFonts w:ascii="Arial" w:eastAsia="Times New Roman" w:hAnsi="Arial" w:cs="Arial"/>
          <w:sz w:val="20"/>
          <w:szCs w:val="20"/>
        </w:rPr>
        <w:t>. = 100% završenost projekta i 0% završenosti radova, za 202</w:t>
      </w:r>
      <w:r w:rsidR="00B40BA7">
        <w:rPr>
          <w:rFonts w:ascii="Arial" w:eastAsia="Times New Roman" w:hAnsi="Arial" w:cs="Arial"/>
          <w:sz w:val="20"/>
          <w:szCs w:val="20"/>
        </w:rPr>
        <w:t>7</w:t>
      </w:r>
      <w:r w:rsidRPr="00FF3C31">
        <w:rPr>
          <w:rFonts w:ascii="Arial" w:eastAsia="Times New Roman" w:hAnsi="Arial" w:cs="Arial"/>
          <w:sz w:val="20"/>
          <w:szCs w:val="20"/>
        </w:rPr>
        <w:t>. = 100% završenost projekta i 10% završenosti radova</w:t>
      </w:r>
    </w:p>
    <w:p w14:paraId="3318F93E" w14:textId="77777777" w:rsidR="007D695C" w:rsidRPr="00FF3C31" w:rsidRDefault="007D695C" w:rsidP="0004156F">
      <w:pPr>
        <w:autoSpaceDE w:val="0"/>
        <w:autoSpaceDN w:val="0"/>
        <w:adjustRightInd w:val="0"/>
        <w:spacing w:after="0" w:line="240" w:lineRule="auto"/>
        <w:jc w:val="both"/>
        <w:rPr>
          <w:rFonts w:ascii="Arial" w:eastAsia="Times New Roman" w:hAnsi="Arial" w:cs="Arial"/>
          <w:sz w:val="20"/>
          <w:szCs w:val="20"/>
        </w:rPr>
      </w:pPr>
    </w:p>
    <w:p w14:paraId="1E18BF61" w14:textId="48279F59"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Radi se o projektu koji tek treba započeti. Za početak je potrebno izdvojiti rashode za izradu potrebnih elaborata i projektne dokumentacije. Nakon što projekt bude visoko pripremljen trebalo bi iznaći načine sufinanciranja sredstvima EU i drugih fondova.</w:t>
      </w:r>
    </w:p>
    <w:p w14:paraId="36729EAA" w14:textId="54C7861D" w:rsidR="0004156F" w:rsidRPr="00EE21BE" w:rsidRDefault="0004156F" w:rsidP="0004156F">
      <w:pPr>
        <w:autoSpaceDE w:val="0"/>
        <w:autoSpaceDN w:val="0"/>
        <w:adjustRightInd w:val="0"/>
        <w:spacing w:after="0" w:line="240" w:lineRule="auto"/>
        <w:jc w:val="both"/>
        <w:rPr>
          <w:rFonts w:ascii="Arial" w:eastAsia="Calibri" w:hAnsi="Arial" w:cs="Arial"/>
          <w:sz w:val="18"/>
          <w:szCs w:val="18"/>
        </w:rPr>
      </w:pPr>
      <w:r w:rsidRPr="00EE21BE">
        <w:rPr>
          <w:rFonts w:ascii="Arial" w:eastAsia="Times New Roman" w:hAnsi="Arial" w:cs="Arial"/>
          <w:sz w:val="18"/>
          <w:szCs w:val="18"/>
        </w:rPr>
        <w:t xml:space="preserve">Ugovor za izradu urbanističko arhitektonske analize te izrade projektne dokumentacije za izgradnju zgrade sportsko rekreacijskog sadržaja s unutarnjim bazenom na dijelu č.zem. 909 k.o. Čilipi zaključen je 4. lipnja 2019. (Alfaplan d.o.o.) u iznosu 69.800 kn </w:t>
      </w:r>
      <w:r w:rsidR="00C65494" w:rsidRPr="00EE21BE">
        <w:rPr>
          <w:rFonts w:ascii="Arial" w:eastAsia="Times New Roman" w:hAnsi="Arial" w:cs="Arial"/>
          <w:sz w:val="18"/>
          <w:szCs w:val="18"/>
        </w:rPr>
        <w:t xml:space="preserve">/ 9.264,05 € </w:t>
      </w:r>
      <w:r w:rsidRPr="00EE21BE">
        <w:rPr>
          <w:rFonts w:ascii="Arial" w:eastAsia="Times New Roman" w:hAnsi="Arial" w:cs="Arial"/>
          <w:sz w:val="18"/>
          <w:szCs w:val="18"/>
        </w:rPr>
        <w:t>što s porezom na dodanu vrijednost čini 87.250 kn</w:t>
      </w:r>
      <w:r w:rsidR="006B1C46" w:rsidRPr="00EE21BE">
        <w:rPr>
          <w:rFonts w:ascii="Arial" w:eastAsia="Times New Roman" w:hAnsi="Arial" w:cs="Arial"/>
          <w:sz w:val="18"/>
          <w:szCs w:val="18"/>
        </w:rPr>
        <w:t xml:space="preserve"> (11.580,07 €)</w:t>
      </w:r>
      <w:r w:rsidRPr="00EE21BE">
        <w:rPr>
          <w:rFonts w:ascii="Arial" w:eastAsia="Times New Roman" w:hAnsi="Arial" w:cs="Arial"/>
          <w:sz w:val="18"/>
          <w:szCs w:val="18"/>
        </w:rPr>
        <w:t>. Površina predmetne zone sukladno popisu posjedovnog lista iznosi 10.945 m². Društvo se, između ostalog, obvezalo izraditi 3D vizualizaciju predloženog rješenja te izraditi prezentacijski materijal. Rashodi za izradu projektne dokumentacije u 2019. su izvršeni u iznosu 87.250 kn</w:t>
      </w:r>
      <w:r w:rsidR="006B1C46" w:rsidRPr="00EE21BE">
        <w:rPr>
          <w:rFonts w:ascii="Arial" w:eastAsia="Times New Roman" w:hAnsi="Arial" w:cs="Arial"/>
          <w:sz w:val="18"/>
          <w:szCs w:val="18"/>
        </w:rPr>
        <w:t xml:space="preserve"> (11.580,07 €)</w:t>
      </w:r>
      <w:r w:rsidRPr="00EE21BE">
        <w:rPr>
          <w:rFonts w:ascii="Arial" w:eastAsia="Times New Roman" w:hAnsi="Arial" w:cs="Arial"/>
          <w:sz w:val="18"/>
          <w:szCs w:val="18"/>
        </w:rPr>
        <w:t xml:space="preserve">. </w:t>
      </w:r>
    </w:p>
    <w:p w14:paraId="663DC2F6" w14:textId="4E50EE3D" w:rsidR="0004156F" w:rsidRPr="00EE21BE" w:rsidRDefault="0004156F" w:rsidP="0004156F">
      <w:pPr>
        <w:autoSpaceDE w:val="0"/>
        <w:autoSpaceDN w:val="0"/>
        <w:adjustRightInd w:val="0"/>
        <w:spacing w:after="0" w:line="240" w:lineRule="auto"/>
        <w:jc w:val="both"/>
        <w:rPr>
          <w:rFonts w:ascii="Arial" w:eastAsia="Times New Roman" w:hAnsi="Arial" w:cs="Arial"/>
          <w:sz w:val="18"/>
          <w:szCs w:val="18"/>
        </w:rPr>
      </w:pPr>
      <w:r w:rsidRPr="00EE21BE">
        <w:rPr>
          <w:rFonts w:ascii="Arial" w:eastAsia="Times New Roman" w:hAnsi="Arial" w:cs="Arial"/>
          <w:sz w:val="18"/>
          <w:szCs w:val="18"/>
        </w:rPr>
        <w:t>Rashodi nisu izvršavani.</w:t>
      </w:r>
    </w:p>
    <w:p w14:paraId="06180D52" w14:textId="77777777" w:rsidR="005B7839" w:rsidRPr="00FF3C31" w:rsidRDefault="005B7839" w:rsidP="006F6963">
      <w:pPr>
        <w:autoSpaceDE w:val="0"/>
        <w:autoSpaceDN w:val="0"/>
        <w:adjustRightInd w:val="0"/>
        <w:spacing w:after="0" w:line="240" w:lineRule="auto"/>
        <w:rPr>
          <w:rFonts w:ascii="Arial" w:hAnsi="Arial" w:cs="Arial"/>
          <w:sz w:val="20"/>
          <w:szCs w:val="20"/>
        </w:rPr>
      </w:pPr>
    </w:p>
    <w:p w14:paraId="0C3600D5" w14:textId="615CB16E" w:rsidR="006F6963" w:rsidRPr="00FF3C31" w:rsidRDefault="00992554" w:rsidP="006F6963">
      <w:pPr>
        <w:pBdr>
          <w:top w:val="single" w:sz="4" w:space="1" w:color="auto"/>
          <w:left w:val="single" w:sz="4" w:space="4" w:color="auto"/>
          <w:bottom w:val="single" w:sz="4" w:space="1" w:color="auto"/>
          <w:right w:val="single" w:sz="4" w:space="4" w:color="auto"/>
        </w:pBdr>
        <w:shd w:val="clear" w:color="auto" w:fill="A6A6A6"/>
        <w:autoSpaceDE w:val="0"/>
        <w:autoSpaceDN w:val="0"/>
        <w:adjustRightInd w:val="0"/>
        <w:spacing w:after="0" w:line="240" w:lineRule="auto"/>
        <w:rPr>
          <w:rFonts w:ascii="Arial" w:hAnsi="Arial" w:cs="Arial"/>
          <w:b/>
          <w:sz w:val="20"/>
          <w:szCs w:val="20"/>
        </w:rPr>
      </w:pPr>
      <w:r w:rsidRPr="00FF3C31">
        <w:rPr>
          <w:rFonts w:ascii="Arial" w:hAnsi="Arial" w:cs="Arial"/>
          <w:b/>
          <w:sz w:val="20"/>
          <w:szCs w:val="20"/>
        </w:rPr>
        <w:t>Strateški c</w:t>
      </w:r>
      <w:r w:rsidR="006F6963" w:rsidRPr="00FF3C31">
        <w:rPr>
          <w:rFonts w:ascii="Arial" w:hAnsi="Arial" w:cs="Arial"/>
          <w:b/>
          <w:sz w:val="20"/>
          <w:szCs w:val="20"/>
        </w:rPr>
        <w:t>ilj 3: Unapređenje kvalitete života i razvoj društvene zajednice na načelima kohezije i uključivosti</w:t>
      </w:r>
    </w:p>
    <w:p w14:paraId="0ECAB2A4" w14:textId="77777777" w:rsidR="006F6963" w:rsidRPr="00FF3C31" w:rsidRDefault="006F6963" w:rsidP="006F6963">
      <w:pPr>
        <w:autoSpaceDE w:val="0"/>
        <w:autoSpaceDN w:val="0"/>
        <w:adjustRightInd w:val="0"/>
        <w:spacing w:after="0" w:line="240" w:lineRule="auto"/>
        <w:rPr>
          <w:rFonts w:ascii="Arial" w:hAnsi="Arial" w:cs="Arial"/>
          <w:sz w:val="20"/>
          <w:szCs w:val="20"/>
        </w:rPr>
      </w:pPr>
    </w:p>
    <w:p w14:paraId="405DF5A6" w14:textId="20727462" w:rsidR="00385C62" w:rsidRPr="00FF3C31" w:rsidRDefault="00385C62" w:rsidP="00385C62">
      <w:pPr>
        <w:pBdr>
          <w:top w:val="single" w:sz="4" w:space="1" w:color="auto"/>
          <w:left w:val="single" w:sz="4" w:space="4" w:color="auto"/>
          <w:bottom w:val="single" w:sz="4" w:space="1" w:color="auto"/>
          <w:right w:val="single" w:sz="4" w:space="4" w:color="auto"/>
        </w:pBdr>
        <w:shd w:val="clear" w:color="auto" w:fill="BFBFBF"/>
        <w:autoSpaceDE w:val="0"/>
        <w:autoSpaceDN w:val="0"/>
        <w:adjustRightInd w:val="0"/>
        <w:spacing w:after="0" w:line="240" w:lineRule="auto"/>
        <w:rPr>
          <w:rFonts w:ascii="Arial" w:hAnsi="Arial" w:cs="Arial"/>
          <w:b/>
          <w:sz w:val="20"/>
          <w:szCs w:val="20"/>
        </w:rPr>
      </w:pPr>
      <w:r w:rsidRPr="00FF3C31">
        <w:rPr>
          <w:rFonts w:ascii="Arial" w:hAnsi="Arial" w:cs="Arial"/>
          <w:b/>
          <w:sz w:val="20"/>
          <w:szCs w:val="20"/>
        </w:rPr>
        <w:t xml:space="preserve">Prioritet 3.2. Unapređenje predškolskog odgoja i sustava obrazovanja </w:t>
      </w:r>
    </w:p>
    <w:p w14:paraId="6FA5AE8E" w14:textId="77777777" w:rsidR="00385C62" w:rsidRPr="00FF3C31" w:rsidRDefault="00385C62" w:rsidP="00385C62">
      <w:pPr>
        <w:autoSpaceDE w:val="0"/>
        <w:autoSpaceDN w:val="0"/>
        <w:adjustRightInd w:val="0"/>
        <w:spacing w:after="0" w:line="240" w:lineRule="auto"/>
        <w:rPr>
          <w:rFonts w:ascii="Arial" w:hAnsi="Arial" w:cs="Arial"/>
          <w:sz w:val="20"/>
          <w:szCs w:val="20"/>
        </w:rPr>
      </w:pPr>
    </w:p>
    <w:p w14:paraId="422661D7" w14:textId="677B04A9" w:rsidR="00385C62" w:rsidRPr="00FF3C31" w:rsidRDefault="00385C62" w:rsidP="00385C62">
      <w:pPr>
        <w:shd w:val="clear" w:color="auto" w:fill="BFBFBF" w:themeFill="background1" w:themeFillShade="BF"/>
        <w:autoSpaceDE w:val="0"/>
        <w:autoSpaceDN w:val="0"/>
        <w:adjustRightInd w:val="0"/>
        <w:spacing w:after="0" w:line="240" w:lineRule="auto"/>
        <w:rPr>
          <w:rFonts w:ascii="Arial" w:hAnsi="Arial" w:cs="Arial"/>
          <w:b/>
          <w:bCs/>
          <w:sz w:val="20"/>
          <w:szCs w:val="20"/>
        </w:rPr>
      </w:pPr>
      <w:r w:rsidRPr="00FF3C31">
        <w:rPr>
          <w:rFonts w:ascii="Arial" w:hAnsi="Arial" w:cs="Arial"/>
          <w:b/>
          <w:bCs/>
          <w:sz w:val="20"/>
          <w:szCs w:val="20"/>
        </w:rPr>
        <w:t>Mjera 3.2.1. Provođenje programa usmjerenih na poboljšanje predškolskog odgoja i</w:t>
      </w:r>
      <w:r w:rsidR="003E30B1" w:rsidRPr="00FF3C31">
        <w:rPr>
          <w:rFonts w:ascii="Arial" w:hAnsi="Arial" w:cs="Arial"/>
          <w:b/>
          <w:bCs/>
          <w:sz w:val="20"/>
          <w:szCs w:val="20"/>
        </w:rPr>
        <w:t xml:space="preserve"> </w:t>
      </w:r>
      <w:r w:rsidRPr="00FF3C31">
        <w:rPr>
          <w:rFonts w:ascii="Arial" w:hAnsi="Arial" w:cs="Arial"/>
          <w:b/>
          <w:bCs/>
          <w:sz w:val="20"/>
          <w:szCs w:val="20"/>
        </w:rPr>
        <w:t>obrazovanja</w:t>
      </w:r>
    </w:p>
    <w:p w14:paraId="5879F120" w14:textId="77777777" w:rsidR="00385C62" w:rsidRPr="00FF3C31" w:rsidRDefault="00385C62" w:rsidP="006F6963">
      <w:pPr>
        <w:autoSpaceDE w:val="0"/>
        <w:autoSpaceDN w:val="0"/>
        <w:adjustRightInd w:val="0"/>
        <w:spacing w:after="0" w:line="240" w:lineRule="auto"/>
        <w:rPr>
          <w:rFonts w:ascii="Arial" w:hAnsi="Arial" w:cs="Arial"/>
          <w:sz w:val="20"/>
          <w:szCs w:val="20"/>
        </w:rPr>
      </w:pPr>
    </w:p>
    <w:p w14:paraId="4656C729" w14:textId="177FA5A8" w:rsidR="003E30B1" w:rsidRPr="00FF3C31" w:rsidRDefault="003E30B1" w:rsidP="006F6963">
      <w:pPr>
        <w:autoSpaceDE w:val="0"/>
        <w:autoSpaceDN w:val="0"/>
        <w:adjustRightInd w:val="0"/>
        <w:spacing w:after="0" w:line="240" w:lineRule="auto"/>
        <w:rPr>
          <w:rFonts w:ascii="Arial" w:hAnsi="Arial" w:cs="Arial"/>
          <w:sz w:val="20"/>
          <w:szCs w:val="20"/>
        </w:rPr>
      </w:pPr>
      <w:r w:rsidRPr="00FF3C31">
        <w:rPr>
          <w:rFonts w:ascii="Arial" w:hAnsi="Arial" w:cs="Arial"/>
          <w:sz w:val="20"/>
          <w:szCs w:val="20"/>
        </w:rPr>
        <w:t>Ovaj strateški cilj, prioritet i mjere se iskazuju i kroz strateški cilj 2, prioritet 2.3., te se ovdje ne ponavlja.</w:t>
      </w:r>
    </w:p>
    <w:p w14:paraId="4EA18EFE" w14:textId="77777777" w:rsidR="00385C62" w:rsidRPr="00FF3C31" w:rsidRDefault="00385C62" w:rsidP="006F6963">
      <w:pPr>
        <w:autoSpaceDE w:val="0"/>
        <w:autoSpaceDN w:val="0"/>
        <w:adjustRightInd w:val="0"/>
        <w:spacing w:after="0" w:line="240" w:lineRule="auto"/>
        <w:rPr>
          <w:rFonts w:ascii="Arial" w:hAnsi="Arial" w:cs="Arial"/>
          <w:sz w:val="20"/>
          <w:szCs w:val="20"/>
        </w:rPr>
      </w:pPr>
    </w:p>
    <w:p w14:paraId="1133E717" w14:textId="77777777" w:rsidR="006F6963" w:rsidRPr="00FF3C31" w:rsidRDefault="006F6963" w:rsidP="006F6963">
      <w:pPr>
        <w:pBdr>
          <w:top w:val="single" w:sz="4" w:space="1" w:color="auto"/>
          <w:left w:val="single" w:sz="4" w:space="4" w:color="auto"/>
          <w:bottom w:val="single" w:sz="4" w:space="1" w:color="auto"/>
          <w:right w:val="single" w:sz="4" w:space="4" w:color="auto"/>
        </w:pBdr>
        <w:shd w:val="clear" w:color="auto" w:fill="BFBFBF"/>
        <w:autoSpaceDE w:val="0"/>
        <w:autoSpaceDN w:val="0"/>
        <w:adjustRightInd w:val="0"/>
        <w:spacing w:after="0" w:line="240" w:lineRule="auto"/>
        <w:rPr>
          <w:rFonts w:ascii="Arial" w:hAnsi="Arial" w:cs="Arial"/>
          <w:b/>
          <w:sz w:val="20"/>
          <w:szCs w:val="20"/>
        </w:rPr>
      </w:pPr>
      <w:r w:rsidRPr="00FF3C31">
        <w:rPr>
          <w:rFonts w:ascii="Arial" w:hAnsi="Arial" w:cs="Arial"/>
          <w:b/>
          <w:sz w:val="20"/>
          <w:szCs w:val="20"/>
        </w:rPr>
        <w:t>Prioritet 3.6. Unapređenje sustava sigurnosti</w:t>
      </w:r>
    </w:p>
    <w:p w14:paraId="0F3528F6" w14:textId="77777777" w:rsidR="006F6963" w:rsidRPr="00FF3C31" w:rsidRDefault="006F6963" w:rsidP="006F6963">
      <w:pPr>
        <w:autoSpaceDE w:val="0"/>
        <w:autoSpaceDN w:val="0"/>
        <w:adjustRightInd w:val="0"/>
        <w:spacing w:after="0" w:line="240" w:lineRule="auto"/>
        <w:rPr>
          <w:rFonts w:ascii="Arial" w:hAnsi="Arial" w:cs="Arial"/>
          <w:sz w:val="20"/>
          <w:szCs w:val="20"/>
        </w:rPr>
      </w:pPr>
    </w:p>
    <w:p w14:paraId="05712369" w14:textId="77777777" w:rsidR="006F6963" w:rsidRPr="00FF3C31" w:rsidRDefault="006F6963" w:rsidP="006F6963">
      <w:pPr>
        <w:shd w:val="clear" w:color="auto" w:fill="BFBFBF" w:themeFill="background1" w:themeFillShade="BF"/>
        <w:autoSpaceDE w:val="0"/>
        <w:autoSpaceDN w:val="0"/>
        <w:adjustRightInd w:val="0"/>
        <w:spacing w:after="0" w:line="240" w:lineRule="auto"/>
        <w:rPr>
          <w:rFonts w:ascii="Arial" w:hAnsi="Arial" w:cs="Arial"/>
          <w:b/>
          <w:bCs/>
          <w:sz w:val="20"/>
          <w:szCs w:val="20"/>
        </w:rPr>
      </w:pPr>
      <w:r w:rsidRPr="00FF3C31">
        <w:rPr>
          <w:rFonts w:ascii="Arial" w:hAnsi="Arial" w:cs="Arial"/>
          <w:b/>
          <w:bCs/>
          <w:sz w:val="20"/>
          <w:szCs w:val="20"/>
        </w:rPr>
        <w:t>Mjera 3.6.2. Unaprjeđenje sustava protupožarne zaštite i vatrogastva</w:t>
      </w:r>
    </w:p>
    <w:p w14:paraId="606835E7" w14:textId="77777777" w:rsidR="006F6963" w:rsidRPr="00FF3C31" w:rsidRDefault="006F6963" w:rsidP="006F6963">
      <w:pPr>
        <w:autoSpaceDE w:val="0"/>
        <w:autoSpaceDN w:val="0"/>
        <w:adjustRightInd w:val="0"/>
        <w:spacing w:after="0" w:line="240" w:lineRule="auto"/>
        <w:rPr>
          <w:rFonts w:ascii="Arial" w:hAnsi="Arial" w:cs="Arial"/>
          <w:sz w:val="20"/>
          <w:szCs w:val="20"/>
        </w:rPr>
      </w:pPr>
    </w:p>
    <w:p w14:paraId="00D6665B" w14:textId="5C470663" w:rsidR="006F6963" w:rsidRPr="00FF3C31" w:rsidRDefault="006F6963" w:rsidP="006F6963">
      <w:pPr>
        <w:autoSpaceDE w:val="0"/>
        <w:autoSpaceDN w:val="0"/>
        <w:adjustRightInd w:val="0"/>
        <w:spacing w:after="0" w:line="240" w:lineRule="auto"/>
        <w:jc w:val="both"/>
        <w:rPr>
          <w:rFonts w:ascii="Arial" w:eastAsia="Times New Roman" w:hAnsi="Arial" w:cs="Arial"/>
          <w:sz w:val="20"/>
          <w:szCs w:val="20"/>
        </w:rPr>
      </w:pPr>
      <w:r w:rsidRPr="00FF3C31">
        <w:rPr>
          <w:rFonts w:ascii="Arial" w:hAnsi="Arial" w:cs="Arial"/>
          <w:sz w:val="20"/>
          <w:szCs w:val="20"/>
        </w:rPr>
        <w:t xml:space="preserve">Kapitalni projekt (K207307) </w:t>
      </w:r>
      <w:r w:rsidR="003E30B1" w:rsidRPr="00FF3C31">
        <w:rPr>
          <w:rFonts w:ascii="Arial" w:hAnsi="Arial" w:cs="Arial"/>
          <w:sz w:val="20"/>
          <w:szCs w:val="20"/>
        </w:rPr>
        <w:t>Izgradnja zajedničkog vatrogasnog doma i spremišta – Vatrogasni dom Gruda</w:t>
      </w:r>
    </w:p>
    <w:p w14:paraId="533DC5FC" w14:textId="77777777" w:rsidR="00156E6C" w:rsidRPr="00FF3C31" w:rsidRDefault="00156E6C" w:rsidP="00156E6C">
      <w:pPr>
        <w:autoSpaceDE w:val="0"/>
        <w:autoSpaceDN w:val="0"/>
        <w:adjustRightInd w:val="0"/>
        <w:spacing w:after="0" w:line="240" w:lineRule="auto"/>
        <w:rPr>
          <w:rFonts w:ascii="Arial" w:hAnsi="Arial" w:cs="Arial"/>
          <w:sz w:val="20"/>
          <w:szCs w:val="20"/>
        </w:rPr>
      </w:pPr>
    </w:p>
    <w:p w14:paraId="662AED4E" w14:textId="17DEA3C7" w:rsidR="00156E6C" w:rsidRPr="00FF3C31" w:rsidRDefault="00156E6C" w:rsidP="00156E6C">
      <w:pPr>
        <w:autoSpaceDE w:val="0"/>
        <w:autoSpaceDN w:val="0"/>
        <w:adjustRightInd w:val="0"/>
        <w:spacing w:after="0" w:line="240" w:lineRule="auto"/>
        <w:rPr>
          <w:rFonts w:ascii="Arial" w:hAnsi="Arial" w:cs="Arial"/>
          <w:sz w:val="20"/>
          <w:szCs w:val="20"/>
        </w:rPr>
      </w:pPr>
      <w:r w:rsidRPr="00FF3C31">
        <w:rPr>
          <w:rFonts w:ascii="Arial" w:hAnsi="Arial" w:cs="Arial"/>
          <w:sz w:val="20"/>
          <w:szCs w:val="20"/>
        </w:rPr>
        <w:t>Ovaj strateški cilj, prioritet i mjere se iskazuju i kroz strateški cilj 2, prioritet 2.3., te se ovdje ne ponavlja.</w:t>
      </w:r>
    </w:p>
    <w:p w14:paraId="6B0A57F7" w14:textId="77777777" w:rsidR="00156E6C" w:rsidRPr="00FF3C31" w:rsidRDefault="00156E6C" w:rsidP="00156E6C">
      <w:pPr>
        <w:autoSpaceDE w:val="0"/>
        <w:autoSpaceDN w:val="0"/>
        <w:adjustRightInd w:val="0"/>
        <w:spacing w:after="0" w:line="240" w:lineRule="auto"/>
        <w:rPr>
          <w:rFonts w:ascii="Arial" w:hAnsi="Arial" w:cs="Arial"/>
          <w:sz w:val="20"/>
          <w:szCs w:val="20"/>
        </w:rPr>
      </w:pPr>
    </w:p>
    <w:p w14:paraId="06DD805E" w14:textId="77777777" w:rsidR="00156E6C" w:rsidRPr="00FF3C31" w:rsidRDefault="00156E6C" w:rsidP="00156E6C">
      <w:pPr>
        <w:autoSpaceDE w:val="0"/>
        <w:autoSpaceDN w:val="0"/>
        <w:adjustRightInd w:val="0"/>
        <w:spacing w:after="0" w:line="240" w:lineRule="auto"/>
        <w:jc w:val="both"/>
        <w:rPr>
          <w:rFonts w:ascii="Arial" w:hAnsi="Arial" w:cs="Arial"/>
          <w:color w:val="0070C0"/>
          <w:sz w:val="20"/>
          <w:szCs w:val="20"/>
        </w:rPr>
      </w:pPr>
      <w:r w:rsidRPr="00FF3C31">
        <w:rPr>
          <w:rFonts w:ascii="Arial" w:hAnsi="Arial" w:cs="Arial"/>
          <w:color w:val="0070C0"/>
          <w:sz w:val="20"/>
          <w:szCs w:val="20"/>
        </w:rPr>
        <w:t>Provedba cilja i prioriteta iz ovog dijela je povezana s provedbom mjera i posebnih ciljeva iz Provedbenog programa pod točkom:</w:t>
      </w:r>
    </w:p>
    <w:p w14:paraId="7A923D55" w14:textId="77777777" w:rsidR="00156E6C" w:rsidRPr="00FF3C31" w:rsidRDefault="00156E6C" w:rsidP="00156E6C">
      <w:pPr>
        <w:autoSpaceDE w:val="0"/>
        <w:autoSpaceDN w:val="0"/>
        <w:adjustRightInd w:val="0"/>
        <w:spacing w:after="0" w:line="240" w:lineRule="auto"/>
        <w:ind w:firstLine="709"/>
        <w:jc w:val="both"/>
        <w:rPr>
          <w:rFonts w:ascii="Arial" w:hAnsi="Arial" w:cs="Arial"/>
          <w:color w:val="0070C0"/>
          <w:sz w:val="20"/>
          <w:szCs w:val="20"/>
        </w:rPr>
      </w:pPr>
      <w:r w:rsidRPr="00FF3C31">
        <w:rPr>
          <w:rFonts w:ascii="Arial" w:hAnsi="Arial" w:cs="Arial"/>
          <w:color w:val="0070C0"/>
          <w:sz w:val="20"/>
          <w:szCs w:val="20"/>
        </w:rPr>
        <w:t xml:space="preserve">- Prioriteta 4. Unapređenje upravljanja razvojem, </w:t>
      </w:r>
    </w:p>
    <w:p w14:paraId="5747E601" w14:textId="77777777" w:rsidR="00156E6C" w:rsidRPr="00FF3C31" w:rsidRDefault="00156E6C" w:rsidP="00156E6C">
      <w:pPr>
        <w:autoSpaceDE w:val="0"/>
        <w:autoSpaceDN w:val="0"/>
        <w:adjustRightInd w:val="0"/>
        <w:spacing w:after="0" w:line="240" w:lineRule="auto"/>
        <w:ind w:left="1418" w:firstLine="709"/>
        <w:jc w:val="both"/>
        <w:rPr>
          <w:rFonts w:ascii="Arial" w:hAnsi="Arial" w:cs="Arial"/>
          <w:color w:val="0070C0"/>
          <w:sz w:val="20"/>
          <w:szCs w:val="20"/>
        </w:rPr>
      </w:pPr>
      <w:r w:rsidRPr="00FF3C31">
        <w:rPr>
          <w:rFonts w:ascii="Arial" w:hAnsi="Arial" w:cs="Arial"/>
          <w:color w:val="0070C0"/>
          <w:sz w:val="20"/>
          <w:szCs w:val="20"/>
        </w:rPr>
        <w:t>-</w:t>
      </w:r>
      <w:r w:rsidRPr="00FF3C31">
        <w:rPr>
          <w:rFonts w:ascii="Arial" w:hAnsi="Arial" w:cs="Arial"/>
          <w:color w:val="0070C0"/>
          <w:sz w:val="20"/>
          <w:szCs w:val="20"/>
        </w:rPr>
        <w:tab/>
        <w:t xml:space="preserve">posebnim ciljem 4.2. Povećanje sposobnosti institucija u pogledu odgovora na krizne situacije, </w:t>
      </w:r>
    </w:p>
    <w:p w14:paraId="7C4FA594" w14:textId="77777777" w:rsidR="00156E6C" w:rsidRPr="00FF3C31" w:rsidRDefault="00156E6C" w:rsidP="00156E6C">
      <w:pPr>
        <w:autoSpaceDE w:val="0"/>
        <w:autoSpaceDN w:val="0"/>
        <w:adjustRightInd w:val="0"/>
        <w:spacing w:after="0" w:line="240" w:lineRule="auto"/>
        <w:ind w:left="2836" w:firstLine="709"/>
        <w:jc w:val="both"/>
        <w:rPr>
          <w:rFonts w:ascii="Arial" w:hAnsi="Arial" w:cs="Arial"/>
          <w:color w:val="0070C0"/>
          <w:sz w:val="20"/>
          <w:szCs w:val="20"/>
        </w:rPr>
      </w:pPr>
      <w:r w:rsidRPr="00FF3C31">
        <w:rPr>
          <w:rFonts w:ascii="Arial" w:hAnsi="Arial" w:cs="Arial"/>
          <w:color w:val="0070C0"/>
          <w:sz w:val="20"/>
          <w:szCs w:val="20"/>
        </w:rPr>
        <w:t xml:space="preserve">mjerom 4.2.1. Poboljšanje sustava vatrogastva. </w:t>
      </w:r>
    </w:p>
    <w:p w14:paraId="68AD46D8" w14:textId="77777777" w:rsidR="006F6963" w:rsidRPr="00FF3C31" w:rsidRDefault="006F6963" w:rsidP="006F6963">
      <w:pPr>
        <w:autoSpaceDE w:val="0"/>
        <w:autoSpaceDN w:val="0"/>
        <w:adjustRightInd w:val="0"/>
        <w:spacing w:after="0" w:line="240" w:lineRule="auto"/>
        <w:jc w:val="both"/>
        <w:rPr>
          <w:rFonts w:ascii="Arial" w:eastAsia="Times New Roman" w:hAnsi="Arial" w:cs="Arial"/>
          <w:sz w:val="20"/>
          <w:szCs w:val="20"/>
        </w:rPr>
      </w:pPr>
    </w:p>
    <w:p w14:paraId="115C41D1" w14:textId="41DAB807" w:rsidR="00404077" w:rsidRDefault="00404077">
      <w:pPr>
        <w:rPr>
          <w:rFonts w:ascii="Arial" w:hAnsi="Arial" w:cs="Arial"/>
          <w:sz w:val="20"/>
          <w:szCs w:val="20"/>
        </w:rPr>
      </w:pPr>
      <w:r w:rsidRPr="00FF3C31">
        <w:rPr>
          <w:rFonts w:ascii="Arial" w:hAnsi="Arial" w:cs="Arial"/>
          <w:sz w:val="20"/>
          <w:szCs w:val="20"/>
        </w:rPr>
        <w:br w:type="page"/>
      </w:r>
    </w:p>
    <w:p w14:paraId="2A481D32" w14:textId="453BE430" w:rsidR="008147EB" w:rsidRPr="008D22BF" w:rsidRDefault="00F93FBB" w:rsidP="008147EB">
      <w:pPr>
        <w:pStyle w:val="Naslov1"/>
        <w:rPr>
          <w:rFonts w:ascii="Arial" w:eastAsia="Calibri" w:hAnsi="Arial" w:cs="Arial"/>
          <w:sz w:val="22"/>
          <w:lang w:val="hr-HR"/>
        </w:rPr>
      </w:pPr>
      <w:bookmarkStart w:id="800" w:name="_Toc232981512"/>
      <w:r>
        <w:rPr>
          <w:rFonts w:ascii="Arial" w:eastAsia="Calibri" w:hAnsi="Arial" w:cs="Arial"/>
          <w:sz w:val="22"/>
          <w:lang w:val="hr-HR"/>
        </w:rPr>
        <w:lastRenderedPageBreak/>
        <w:t>9</w:t>
      </w:r>
      <w:r w:rsidR="008147EB" w:rsidRPr="00786EA7">
        <w:rPr>
          <w:rFonts w:ascii="Arial" w:eastAsia="Calibri" w:hAnsi="Arial" w:cs="Arial"/>
          <w:sz w:val="22"/>
          <w:lang w:val="hr-HR"/>
        </w:rPr>
        <w:t xml:space="preserve">. </w:t>
      </w:r>
      <w:r w:rsidR="008147EB" w:rsidRPr="00786EA7">
        <w:rPr>
          <w:rFonts w:ascii="Arial" w:eastAsia="Calibri" w:hAnsi="Arial" w:cs="Arial"/>
          <w:sz w:val="22"/>
          <w:lang w:val="hr-HR"/>
        </w:rPr>
        <w:tab/>
      </w:r>
      <w:r w:rsidR="008147EB">
        <w:rPr>
          <w:rFonts w:ascii="Arial" w:eastAsia="Calibri" w:hAnsi="Arial" w:cs="Arial"/>
          <w:sz w:val="22"/>
          <w:lang w:val="hr-HR"/>
        </w:rPr>
        <w:t>IZVJEŠTAJ O PROVEDBI VIŠEGODIŠNJEG PLANA URAVNOTEŽENJA</w:t>
      </w:r>
      <w:bookmarkEnd w:id="800"/>
    </w:p>
    <w:p w14:paraId="051F8152" w14:textId="3A63641B" w:rsidR="008147EB" w:rsidRDefault="008147EB" w:rsidP="005C4867">
      <w:pPr>
        <w:spacing w:after="0" w:line="240" w:lineRule="auto"/>
        <w:jc w:val="both"/>
        <w:rPr>
          <w:rFonts w:ascii="Arial" w:hAnsi="Arial" w:cs="Arial"/>
          <w:sz w:val="20"/>
          <w:szCs w:val="20"/>
        </w:rPr>
      </w:pPr>
    </w:p>
    <w:p w14:paraId="089513BC" w14:textId="12CDB4C4" w:rsidR="005C4867" w:rsidRPr="005C4867" w:rsidRDefault="005C4867" w:rsidP="005C4867">
      <w:pPr>
        <w:spacing w:after="0" w:line="240" w:lineRule="auto"/>
        <w:jc w:val="both"/>
        <w:rPr>
          <w:rFonts w:ascii="Arial" w:hAnsi="Arial" w:cs="Arial"/>
          <w:sz w:val="20"/>
          <w:szCs w:val="20"/>
        </w:rPr>
      </w:pPr>
      <w:r w:rsidRPr="005C4867">
        <w:rPr>
          <w:rFonts w:ascii="Arial" w:hAnsi="Arial" w:cs="Arial"/>
          <w:sz w:val="20"/>
          <w:szCs w:val="20"/>
        </w:rPr>
        <w:t>Člankom 37. Zakona o proračunu (“Narodne novine” broj 144/21), propisano je da ukoliko jedinice lokalne i područne (regionalne) samouprave ne mogu</w:t>
      </w:r>
      <w:r>
        <w:rPr>
          <w:rFonts w:ascii="Arial" w:hAnsi="Arial" w:cs="Arial"/>
          <w:sz w:val="20"/>
          <w:szCs w:val="20"/>
        </w:rPr>
        <w:t xml:space="preserve"> </w:t>
      </w:r>
      <w:r w:rsidRPr="005C4867">
        <w:rPr>
          <w:rFonts w:ascii="Arial" w:hAnsi="Arial" w:cs="Arial"/>
          <w:sz w:val="20"/>
          <w:szCs w:val="20"/>
        </w:rPr>
        <w:t>preneseni manjak podmiriti do kraja proračunske godine, odnosno ako ne mogu preneseni višak,</w:t>
      </w:r>
      <w:r>
        <w:rPr>
          <w:rFonts w:ascii="Arial" w:hAnsi="Arial" w:cs="Arial"/>
          <w:sz w:val="20"/>
          <w:szCs w:val="20"/>
        </w:rPr>
        <w:t xml:space="preserve"> </w:t>
      </w:r>
      <w:r w:rsidRPr="005C4867">
        <w:rPr>
          <w:rFonts w:ascii="Arial" w:hAnsi="Arial" w:cs="Arial"/>
          <w:sz w:val="20"/>
          <w:szCs w:val="20"/>
        </w:rPr>
        <w:t>zbog njegove veličine, u cijelosti iskoristiti u jednoj proračunskoj godini, podmirenje manjka</w:t>
      </w:r>
      <w:r>
        <w:rPr>
          <w:rFonts w:ascii="Arial" w:hAnsi="Arial" w:cs="Arial"/>
          <w:sz w:val="20"/>
          <w:szCs w:val="20"/>
        </w:rPr>
        <w:t xml:space="preserve">  </w:t>
      </w:r>
      <w:r w:rsidRPr="005C4867">
        <w:rPr>
          <w:rFonts w:ascii="Arial" w:hAnsi="Arial" w:cs="Arial"/>
          <w:sz w:val="20"/>
          <w:szCs w:val="20"/>
        </w:rPr>
        <w:t>odnosno korištenje viška planira se višegodišnjim planom uravnoteženja za razdoblje za koje se</w:t>
      </w:r>
      <w:r>
        <w:rPr>
          <w:rFonts w:ascii="Arial" w:hAnsi="Arial" w:cs="Arial"/>
          <w:sz w:val="20"/>
          <w:szCs w:val="20"/>
        </w:rPr>
        <w:t xml:space="preserve"> </w:t>
      </w:r>
      <w:r w:rsidRPr="005C4867">
        <w:rPr>
          <w:rFonts w:ascii="Arial" w:hAnsi="Arial" w:cs="Arial"/>
          <w:sz w:val="20"/>
          <w:szCs w:val="20"/>
        </w:rPr>
        <w:t>proračun donosi. Višegodišnji plan uravnoteženja proračuna jedinice lokalne i područne</w:t>
      </w:r>
      <w:r>
        <w:rPr>
          <w:rFonts w:ascii="Arial" w:hAnsi="Arial" w:cs="Arial"/>
          <w:sz w:val="20"/>
          <w:szCs w:val="20"/>
        </w:rPr>
        <w:t xml:space="preserve"> </w:t>
      </w:r>
      <w:r w:rsidRPr="005C4867">
        <w:rPr>
          <w:rFonts w:ascii="Arial" w:hAnsi="Arial" w:cs="Arial"/>
          <w:sz w:val="20"/>
          <w:szCs w:val="20"/>
        </w:rPr>
        <w:t>(regionalne) samouprave donosi predstavničko tijelo jedinice lokalne i područne (regionalne)</w:t>
      </w:r>
      <w:r>
        <w:rPr>
          <w:rFonts w:ascii="Arial" w:hAnsi="Arial" w:cs="Arial"/>
          <w:sz w:val="20"/>
          <w:szCs w:val="20"/>
        </w:rPr>
        <w:t xml:space="preserve"> </w:t>
      </w:r>
      <w:r w:rsidRPr="005C4867">
        <w:rPr>
          <w:rFonts w:ascii="Arial" w:hAnsi="Arial" w:cs="Arial"/>
          <w:sz w:val="20"/>
          <w:szCs w:val="20"/>
        </w:rPr>
        <w:t>samouprave uz proračun jedinice lokalne i područne (regionalne) samouprave.</w:t>
      </w:r>
    </w:p>
    <w:p w14:paraId="72496FFA" w14:textId="0C8C32F1" w:rsidR="005C4867" w:rsidRDefault="005C4867" w:rsidP="005C4867">
      <w:pPr>
        <w:spacing w:after="0" w:line="240" w:lineRule="auto"/>
        <w:jc w:val="both"/>
        <w:rPr>
          <w:rFonts w:ascii="Arial" w:hAnsi="Arial" w:cs="Arial"/>
          <w:sz w:val="20"/>
          <w:szCs w:val="20"/>
        </w:rPr>
      </w:pPr>
      <w:r w:rsidRPr="005C4867">
        <w:rPr>
          <w:rFonts w:ascii="Arial" w:hAnsi="Arial" w:cs="Arial"/>
          <w:sz w:val="20"/>
          <w:szCs w:val="20"/>
        </w:rPr>
        <w:t>Nadalje, odredbom članka 91. Zakona</w:t>
      </w:r>
      <w:r>
        <w:rPr>
          <w:rFonts w:ascii="Arial" w:hAnsi="Arial" w:cs="Arial"/>
          <w:sz w:val="20"/>
          <w:szCs w:val="20"/>
        </w:rPr>
        <w:t xml:space="preserve"> o proračunu</w:t>
      </w:r>
      <w:r w:rsidRPr="005C4867">
        <w:rPr>
          <w:rFonts w:ascii="Arial" w:hAnsi="Arial" w:cs="Arial"/>
          <w:sz w:val="20"/>
          <w:szCs w:val="20"/>
        </w:rPr>
        <w:t xml:space="preserve"> propisana je obveza izrade godišnjeg izvještaja o</w:t>
      </w:r>
      <w:r>
        <w:rPr>
          <w:rFonts w:ascii="Arial" w:hAnsi="Arial" w:cs="Arial"/>
          <w:sz w:val="20"/>
          <w:szCs w:val="20"/>
        </w:rPr>
        <w:t xml:space="preserve"> </w:t>
      </w:r>
      <w:r w:rsidRPr="005C4867">
        <w:rPr>
          <w:rFonts w:ascii="Arial" w:hAnsi="Arial" w:cs="Arial"/>
          <w:sz w:val="20"/>
          <w:szCs w:val="20"/>
        </w:rPr>
        <w:t>provedbi višegodišnjeg plana uravnoteženja ukoliko je isti donesen. Godišnji izvještaj o provedbi</w:t>
      </w:r>
      <w:r>
        <w:rPr>
          <w:rFonts w:ascii="Arial" w:hAnsi="Arial" w:cs="Arial"/>
          <w:sz w:val="20"/>
          <w:szCs w:val="20"/>
        </w:rPr>
        <w:t xml:space="preserve"> </w:t>
      </w:r>
      <w:r w:rsidRPr="005C4867">
        <w:rPr>
          <w:rFonts w:ascii="Arial" w:hAnsi="Arial" w:cs="Arial"/>
          <w:sz w:val="20"/>
          <w:szCs w:val="20"/>
        </w:rPr>
        <w:t>višegodišnjeg plana uravnoteženja sastavlja se i usvaja odnosno podnosi na suglasnost</w:t>
      </w:r>
      <w:r>
        <w:rPr>
          <w:rFonts w:ascii="Arial" w:hAnsi="Arial" w:cs="Arial"/>
          <w:sz w:val="20"/>
          <w:szCs w:val="20"/>
        </w:rPr>
        <w:t xml:space="preserve"> </w:t>
      </w:r>
      <w:r w:rsidRPr="005C4867">
        <w:rPr>
          <w:rFonts w:ascii="Arial" w:hAnsi="Arial" w:cs="Arial"/>
          <w:sz w:val="20"/>
          <w:szCs w:val="20"/>
        </w:rPr>
        <w:t>predstavničkom tijelu na način i u rokovima za podnošenje godišnjeg izvještaja o izvršenju</w:t>
      </w:r>
      <w:r>
        <w:rPr>
          <w:rFonts w:ascii="Arial" w:hAnsi="Arial" w:cs="Arial"/>
          <w:sz w:val="20"/>
          <w:szCs w:val="20"/>
        </w:rPr>
        <w:t xml:space="preserve"> </w:t>
      </w:r>
      <w:r w:rsidRPr="005C4867">
        <w:rPr>
          <w:rFonts w:ascii="Arial" w:hAnsi="Arial" w:cs="Arial"/>
          <w:sz w:val="20"/>
          <w:szCs w:val="20"/>
        </w:rPr>
        <w:t>proračuna jedinica lokalne i područne (regionalne) samouprave.</w:t>
      </w:r>
    </w:p>
    <w:p w14:paraId="3BDC2E9F" w14:textId="77777777" w:rsidR="005C4867" w:rsidRPr="009B403C" w:rsidRDefault="005C4867" w:rsidP="009B403C">
      <w:pPr>
        <w:spacing w:after="0" w:line="240" w:lineRule="auto"/>
        <w:jc w:val="both"/>
        <w:rPr>
          <w:rFonts w:ascii="Arial" w:hAnsi="Arial" w:cs="Arial"/>
          <w:sz w:val="20"/>
          <w:szCs w:val="20"/>
        </w:rPr>
      </w:pPr>
    </w:p>
    <w:p w14:paraId="49EE173B" w14:textId="4B2ED7E4" w:rsidR="009F7130" w:rsidRPr="009B403C" w:rsidRDefault="005C4867" w:rsidP="009B403C">
      <w:pPr>
        <w:spacing w:after="0" w:line="240" w:lineRule="auto"/>
        <w:jc w:val="both"/>
        <w:rPr>
          <w:rFonts w:ascii="Arial" w:hAnsi="Arial" w:cs="Arial"/>
          <w:sz w:val="20"/>
          <w:szCs w:val="20"/>
        </w:rPr>
      </w:pPr>
      <w:r w:rsidRPr="009B403C">
        <w:rPr>
          <w:rFonts w:ascii="Arial" w:hAnsi="Arial" w:cs="Arial"/>
          <w:sz w:val="20"/>
          <w:szCs w:val="20"/>
        </w:rPr>
        <w:t xml:space="preserve">Općinsko vijeće Općine Konavle je na sjednici 16. prosinca 2024. godine, kao sastavni dio Proračuna Općine Konavle za 2025. godinu i projekcija za 2026. i 2027. godinu donijelo Višegodišnji plan uravnoteženja proračuna Općine Konavle („Službeni glasnik Općine Konavle 11/24). U Proračunu je planirano sukcesivno korištenje prenesenog viška neutrošenih namjenskih prihoda. </w:t>
      </w:r>
      <w:r w:rsidR="009F7130" w:rsidRPr="009B403C">
        <w:rPr>
          <w:rFonts w:ascii="Arial" w:hAnsi="Arial" w:cs="Arial"/>
          <w:sz w:val="20"/>
          <w:szCs w:val="20"/>
        </w:rPr>
        <w:t xml:space="preserve">U Proračunu za 2025. godinu i projekcijama za 2026. i 2027. godinu je planiran višak prihoda i primitaka u iznosu 5.461.340 eura. </w:t>
      </w:r>
    </w:p>
    <w:p w14:paraId="51D9BB66" w14:textId="77777777" w:rsidR="001C2B35" w:rsidRPr="009B403C" w:rsidRDefault="001C2B35" w:rsidP="009B403C">
      <w:pPr>
        <w:spacing w:after="0" w:line="240" w:lineRule="auto"/>
        <w:jc w:val="both"/>
        <w:rPr>
          <w:rFonts w:ascii="Arial" w:hAnsi="Arial" w:cs="Arial"/>
          <w:sz w:val="20"/>
          <w:szCs w:val="20"/>
        </w:rPr>
      </w:pPr>
    </w:p>
    <w:p w14:paraId="4485A901" w14:textId="63E48BF2" w:rsidR="009F7130" w:rsidRPr="009B403C" w:rsidRDefault="009F7130" w:rsidP="009B403C">
      <w:pPr>
        <w:spacing w:after="0" w:line="240" w:lineRule="auto"/>
        <w:jc w:val="both"/>
        <w:rPr>
          <w:rFonts w:ascii="Arial" w:hAnsi="Arial" w:cs="Arial"/>
          <w:sz w:val="20"/>
          <w:szCs w:val="20"/>
        </w:rPr>
      </w:pPr>
      <w:r w:rsidRPr="009B403C">
        <w:rPr>
          <w:rFonts w:ascii="Arial" w:hAnsi="Arial" w:cs="Arial"/>
          <w:sz w:val="20"/>
          <w:szCs w:val="20"/>
        </w:rPr>
        <w:t>U Proračunu Općine Konavle za 2025. i projekcijama za 2026. i 2027. godinu iskazan je:</w:t>
      </w:r>
    </w:p>
    <w:p w14:paraId="56B16A26" w14:textId="77777777" w:rsidR="009F7130" w:rsidRPr="009B403C" w:rsidRDefault="009F7130" w:rsidP="009B403C">
      <w:pPr>
        <w:spacing w:after="0" w:line="240" w:lineRule="auto"/>
        <w:jc w:val="both"/>
        <w:rPr>
          <w:rFonts w:ascii="Arial" w:hAnsi="Arial" w:cs="Arial"/>
          <w:sz w:val="20"/>
          <w:szCs w:val="20"/>
        </w:rPr>
      </w:pPr>
      <w:r w:rsidRPr="009B403C">
        <w:rPr>
          <w:rFonts w:ascii="Arial" w:hAnsi="Arial" w:cs="Arial"/>
          <w:sz w:val="20"/>
          <w:szCs w:val="20"/>
        </w:rPr>
        <w:t>-</w:t>
      </w:r>
      <w:r w:rsidRPr="009B403C">
        <w:rPr>
          <w:rFonts w:ascii="Arial" w:hAnsi="Arial" w:cs="Arial"/>
          <w:sz w:val="20"/>
          <w:szCs w:val="20"/>
        </w:rPr>
        <w:tab/>
        <w:t xml:space="preserve">prijenos viška prihoda Općine Konavle u ukupnom iznosu 5.926.340 eura te </w:t>
      </w:r>
    </w:p>
    <w:p w14:paraId="6F420506" w14:textId="77777777" w:rsidR="009F7130" w:rsidRPr="009B403C" w:rsidRDefault="009F7130" w:rsidP="009B403C">
      <w:pPr>
        <w:spacing w:after="0" w:line="240" w:lineRule="auto"/>
        <w:jc w:val="both"/>
        <w:rPr>
          <w:rFonts w:ascii="Arial" w:hAnsi="Arial" w:cs="Arial"/>
          <w:sz w:val="20"/>
          <w:szCs w:val="20"/>
        </w:rPr>
      </w:pPr>
      <w:r w:rsidRPr="009B403C">
        <w:rPr>
          <w:rFonts w:ascii="Arial" w:hAnsi="Arial" w:cs="Arial"/>
          <w:sz w:val="20"/>
          <w:szCs w:val="20"/>
        </w:rPr>
        <w:t>-</w:t>
      </w:r>
      <w:r w:rsidRPr="009B403C">
        <w:rPr>
          <w:rFonts w:ascii="Arial" w:hAnsi="Arial" w:cs="Arial"/>
          <w:sz w:val="20"/>
          <w:szCs w:val="20"/>
        </w:rPr>
        <w:tab/>
        <w:t>višak / manjak prihoda proračunskih korisnika Općine Konavle u ukupnom iznosu -465.000 eura.</w:t>
      </w:r>
    </w:p>
    <w:p w14:paraId="52C7B37C" w14:textId="77777777" w:rsidR="009F7130" w:rsidRPr="009B403C" w:rsidRDefault="009F7130" w:rsidP="009B403C">
      <w:pPr>
        <w:spacing w:after="0" w:line="240" w:lineRule="auto"/>
        <w:jc w:val="both"/>
        <w:rPr>
          <w:rFonts w:ascii="Arial" w:hAnsi="Arial" w:cs="Arial"/>
          <w:sz w:val="20"/>
          <w:szCs w:val="20"/>
        </w:rPr>
      </w:pPr>
    </w:p>
    <w:p w14:paraId="523D8313" w14:textId="77777777" w:rsidR="009F7130" w:rsidRPr="009B403C" w:rsidRDefault="009F7130" w:rsidP="009B403C">
      <w:pPr>
        <w:spacing w:after="0" w:line="240" w:lineRule="auto"/>
        <w:jc w:val="both"/>
        <w:rPr>
          <w:rFonts w:ascii="Arial" w:hAnsi="Arial" w:cs="Arial"/>
          <w:sz w:val="20"/>
          <w:szCs w:val="20"/>
        </w:rPr>
      </w:pPr>
      <w:r w:rsidRPr="009B403C">
        <w:rPr>
          <w:rFonts w:ascii="Arial" w:hAnsi="Arial" w:cs="Arial"/>
          <w:sz w:val="20"/>
          <w:szCs w:val="20"/>
        </w:rPr>
        <w:t>U Proračunu Općine Konavle za 2025. i projekcijama za 2026. i 2027. godinu, projicirani višak prihoda Općine Konavle u iznosu 5.926.340 eura se odnosi na prihode od naknade za odvodnju 95.000 eura, prihode od pomoći 407.000 eura za provedbu projekata, prihode od prodaje nekretnina (zemljište u budućoj poduzetničkoj zoni) 2.400.000 eura, te prihode za mjesne odbore 2.840 eura, te nenamjenske prihode 3.021.500. eura.</w:t>
      </w:r>
    </w:p>
    <w:p w14:paraId="1CDA4061" w14:textId="77777777" w:rsidR="009F7130" w:rsidRPr="009B403C" w:rsidRDefault="009F7130" w:rsidP="009B403C">
      <w:pPr>
        <w:spacing w:after="0" w:line="240" w:lineRule="auto"/>
        <w:jc w:val="both"/>
        <w:rPr>
          <w:rFonts w:ascii="Arial" w:hAnsi="Arial" w:cs="Arial"/>
          <w:sz w:val="20"/>
          <w:szCs w:val="20"/>
        </w:rPr>
      </w:pPr>
    </w:p>
    <w:p w14:paraId="7BE47FDC" w14:textId="4AA92835" w:rsidR="009F7130" w:rsidRPr="009B403C" w:rsidRDefault="009F7130" w:rsidP="009B403C">
      <w:pPr>
        <w:spacing w:after="0" w:line="240" w:lineRule="auto"/>
        <w:jc w:val="both"/>
        <w:rPr>
          <w:rFonts w:ascii="Arial" w:hAnsi="Arial" w:cs="Arial"/>
          <w:sz w:val="20"/>
          <w:szCs w:val="20"/>
        </w:rPr>
      </w:pPr>
      <w:r w:rsidRPr="009B403C">
        <w:rPr>
          <w:rFonts w:ascii="Arial" w:hAnsi="Arial" w:cs="Arial"/>
          <w:sz w:val="20"/>
          <w:szCs w:val="20"/>
        </w:rPr>
        <w:t xml:space="preserve">U Proračunu Općine Konavle za 2025. i projekcijama za 2026. i 2027. godinu, projicirani višak prihoda Općine Konavle u iznosu 5.928.340 eura </w:t>
      </w:r>
      <w:r w:rsidR="00D56E20" w:rsidRPr="009B403C">
        <w:rPr>
          <w:rFonts w:ascii="Arial" w:hAnsi="Arial" w:cs="Arial"/>
          <w:sz w:val="20"/>
          <w:szCs w:val="20"/>
        </w:rPr>
        <w:t>raspoređen je sljedećom dinamikom</w:t>
      </w:r>
      <w:r w:rsidRPr="009B403C">
        <w:rPr>
          <w:rFonts w:ascii="Arial" w:hAnsi="Arial" w:cs="Arial"/>
          <w:sz w:val="20"/>
          <w:szCs w:val="20"/>
        </w:rPr>
        <w:t>:</w:t>
      </w:r>
    </w:p>
    <w:p w14:paraId="080A04B9" w14:textId="77777777" w:rsidR="009F7130" w:rsidRPr="009B403C" w:rsidRDefault="009F7130" w:rsidP="009B403C">
      <w:pPr>
        <w:spacing w:after="0" w:line="240" w:lineRule="auto"/>
        <w:jc w:val="both"/>
        <w:rPr>
          <w:rFonts w:ascii="Arial" w:hAnsi="Arial" w:cs="Arial"/>
          <w:sz w:val="20"/>
          <w:szCs w:val="20"/>
        </w:rPr>
      </w:pPr>
      <w:r w:rsidRPr="009B403C">
        <w:rPr>
          <w:rFonts w:ascii="Arial" w:hAnsi="Arial" w:cs="Arial"/>
          <w:sz w:val="20"/>
          <w:szCs w:val="20"/>
        </w:rPr>
        <w:t>o</w:t>
      </w:r>
      <w:r w:rsidRPr="009B403C">
        <w:rPr>
          <w:rFonts w:ascii="Arial" w:hAnsi="Arial" w:cs="Arial"/>
          <w:sz w:val="20"/>
          <w:szCs w:val="20"/>
        </w:rPr>
        <w:tab/>
        <w:t>2025. godina – u iznosu 4.482.340 eura,</w:t>
      </w:r>
    </w:p>
    <w:p w14:paraId="0363F2F8" w14:textId="77777777" w:rsidR="009F7130" w:rsidRPr="009B403C" w:rsidRDefault="009F7130" w:rsidP="009B403C">
      <w:pPr>
        <w:spacing w:after="0" w:line="240" w:lineRule="auto"/>
        <w:jc w:val="both"/>
        <w:rPr>
          <w:rFonts w:ascii="Arial" w:hAnsi="Arial" w:cs="Arial"/>
          <w:sz w:val="20"/>
          <w:szCs w:val="20"/>
        </w:rPr>
      </w:pPr>
      <w:r w:rsidRPr="009B403C">
        <w:rPr>
          <w:rFonts w:ascii="Arial" w:hAnsi="Arial" w:cs="Arial"/>
          <w:sz w:val="20"/>
          <w:szCs w:val="20"/>
        </w:rPr>
        <w:t>o</w:t>
      </w:r>
      <w:r w:rsidRPr="009B403C">
        <w:rPr>
          <w:rFonts w:ascii="Arial" w:hAnsi="Arial" w:cs="Arial"/>
          <w:sz w:val="20"/>
          <w:szCs w:val="20"/>
        </w:rPr>
        <w:tab/>
        <w:t>2026. godina – u iznosu 1.325.000 eura,</w:t>
      </w:r>
    </w:p>
    <w:p w14:paraId="2C6CCBB1" w14:textId="77777777" w:rsidR="009F7130" w:rsidRPr="009B403C" w:rsidRDefault="009F7130" w:rsidP="009B403C">
      <w:pPr>
        <w:spacing w:after="0" w:line="240" w:lineRule="auto"/>
        <w:jc w:val="both"/>
        <w:rPr>
          <w:rFonts w:ascii="Arial" w:hAnsi="Arial" w:cs="Arial"/>
          <w:sz w:val="20"/>
          <w:szCs w:val="20"/>
        </w:rPr>
      </w:pPr>
      <w:r w:rsidRPr="009B403C">
        <w:rPr>
          <w:rFonts w:ascii="Arial" w:hAnsi="Arial" w:cs="Arial"/>
          <w:sz w:val="20"/>
          <w:szCs w:val="20"/>
        </w:rPr>
        <w:t>o</w:t>
      </w:r>
      <w:r w:rsidRPr="009B403C">
        <w:rPr>
          <w:rFonts w:ascii="Arial" w:hAnsi="Arial" w:cs="Arial"/>
          <w:sz w:val="20"/>
          <w:szCs w:val="20"/>
        </w:rPr>
        <w:tab/>
        <w:t>2027. godina – u iznosu 119.000 eura.</w:t>
      </w:r>
    </w:p>
    <w:p w14:paraId="64CF1699" w14:textId="77777777" w:rsidR="009F7130" w:rsidRPr="009B403C" w:rsidRDefault="009F7130" w:rsidP="009B403C">
      <w:pPr>
        <w:spacing w:after="0" w:line="240" w:lineRule="auto"/>
        <w:jc w:val="both"/>
        <w:rPr>
          <w:rFonts w:ascii="Arial" w:hAnsi="Arial" w:cs="Arial"/>
          <w:sz w:val="20"/>
          <w:szCs w:val="20"/>
        </w:rPr>
      </w:pPr>
    </w:p>
    <w:p w14:paraId="1624C1CD" w14:textId="48870137" w:rsidR="001C2B35" w:rsidRPr="009B403C" w:rsidRDefault="001C2B35" w:rsidP="009B403C">
      <w:pPr>
        <w:spacing w:after="0" w:line="240" w:lineRule="auto"/>
        <w:jc w:val="both"/>
        <w:rPr>
          <w:rFonts w:ascii="Arial" w:hAnsi="Arial" w:cs="Arial"/>
          <w:sz w:val="20"/>
          <w:szCs w:val="20"/>
        </w:rPr>
      </w:pPr>
      <w:r w:rsidRPr="009B403C">
        <w:rPr>
          <w:rFonts w:ascii="Arial" w:hAnsi="Arial" w:cs="Arial"/>
          <w:sz w:val="20"/>
          <w:szCs w:val="20"/>
        </w:rPr>
        <w:t>Planirani manjak prihoda proračunskih korisnika u iznosu -465.000 eura ostvaruje se od redovnog obavljanja djelatnosti i najvećim dijelom se odnosi na manje prenesena sredstva iz općinskog proračuna za nedospjele obveze proračunskih korisnika</w:t>
      </w:r>
      <w:r w:rsidR="00D56E20" w:rsidRPr="009B403C">
        <w:rPr>
          <w:rFonts w:ascii="Arial" w:hAnsi="Arial" w:cs="Arial"/>
          <w:sz w:val="20"/>
          <w:szCs w:val="20"/>
        </w:rPr>
        <w:t>, te nema potrebe donošenja višegodišnjeg plana uravnoteženja.</w:t>
      </w:r>
    </w:p>
    <w:p w14:paraId="70C71D39" w14:textId="77777777" w:rsidR="001C2B35" w:rsidRPr="009B403C" w:rsidRDefault="001C2B35" w:rsidP="009B403C">
      <w:pPr>
        <w:spacing w:after="0" w:line="240" w:lineRule="auto"/>
        <w:jc w:val="both"/>
        <w:rPr>
          <w:rFonts w:ascii="Arial" w:hAnsi="Arial" w:cs="Arial"/>
          <w:sz w:val="20"/>
          <w:szCs w:val="20"/>
        </w:rPr>
      </w:pPr>
    </w:p>
    <w:p w14:paraId="70246C00" w14:textId="1465FBEA" w:rsidR="00FD751C" w:rsidRPr="009B403C" w:rsidRDefault="001C2B35" w:rsidP="009B403C">
      <w:pPr>
        <w:spacing w:after="0" w:line="240" w:lineRule="auto"/>
        <w:jc w:val="both"/>
        <w:rPr>
          <w:rFonts w:ascii="Arial" w:hAnsi="Arial" w:cs="Arial"/>
          <w:sz w:val="20"/>
          <w:szCs w:val="20"/>
        </w:rPr>
      </w:pPr>
      <w:r w:rsidRPr="009B403C">
        <w:rPr>
          <w:rFonts w:ascii="Arial" w:hAnsi="Arial" w:cs="Arial"/>
          <w:sz w:val="20"/>
          <w:szCs w:val="20"/>
        </w:rPr>
        <w:t>Navedenim Višegodišnjim planom uravnoteženja Proračuna utvrđeno je da će se procijenjeni preneseni višak namjenskih prihoda od prodaje nefinancijske imovine se odnosi na sredstva od prodaje zemljišta u budućoj poduzetničkoj zoni koja će se koristiti za izgradnju prometne, komunalne i energetske infrastrukture u budućoj poduzetničkoj zoni</w:t>
      </w:r>
      <w:r w:rsidR="00FD751C" w:rsidRPr="009B403C">
        <w:rPr>
          <w:rFonts w:ascii="Arial" w:hAnsi="Arial" w:cs="Arial"/>
          <w:sz w:val="20"/>
          <w:szCs w:val="20"/>
        </w:rPr>
        <w:t xml:space="preserve">, odnosno za financiranje rashoda sukladno zakonima kojima je utvrđena namjena njihova korištenja. </w:t>
      </w:r>
      <w:r w:rsidRPr="009B403C">
        <w:rPr>
          <w:rFonts w:ascii="Arial" w:hAnsi="Arial" w:cs="Arial"/>
          <w:sz w:val="20"/>
          <w:szCs w:val="20"/>
        </w:rPr>
        <w:t xml:space="preserve">Projicirani višak prihoda od pomoći se odnosi na sredstva za provedbu projekta </w:t>
      </w:r>
      <w:r w:rsidR="00E62744" w:rsidRPr="009B403C">
        <w:rPr>
          <w:rFonts w:ascii="Arial" w:hAnsi="Arial" w:cs="Arial"/>
          <w:sz w:val="20"/>
          <w:szCs w:val="20"/>
        </w:rPr>
        <w:t xml:space="preserve">u tijeku </w:t>
      </w:r>
      <w:r w:rsidRPr="009B403C">
        <w:rPr>
          <w:rFonts w:ascii="Arial" w:hAnsi="Arial" w:cs="Arial"/>
          <w:sz w:val="20"/>
          <w:szCs w:val="20"/>
        </w:rPr>
        <w:t>koji se sufinanciraju sredstvima EU fondova</w:t>
      </w:r>
      <w:r w:rsidR="00FD751C" w:rsidRPr="009B403C">
        <w:rPr>
          <w:rFonts w:ascii="Arial" w:hAnsi="Arial" w:cs="Arial"/>
          <w:sz w:val="20"/>
          <w:szCs w:val="20"/>
        </w:rPr>
        <w:t>.</w:t>
      </w:r>
    </w:p>
    <w:p w14:paraId="6BC12E61" w14:textId="77777777" w:rsidR="001C2B35" w:rsidRPr="009B403C" w:rsidRDefault="001C2B35" w:rsidP="009B403C">
      <w:pPr>
        <w:spacing w:after="0" w:line="240" w:lineRule="auto"/>
        <w:jc w:val="both"/>
        <w:rPr>
          <w:rFonts w:ascii="Arial" w:hAnsi="Arial" w:cs="Arial"/>
          <w:sz w:val="20"/>
          <w:szCs w:val="20"/>
        </w:rPr>
      </w:pPr>
    </w:p>
    <w:p w14:paraId="7C41589E" w14:textId="5720268E" w:rsidR="00FD751C" w:rsidRDefault="00FD751C" w:rsidP="009B403C">
      <w:pPr>
        <w:spacing w:after="0" w:line="240" w:lineRule="auto"/>
        <w:jc w:val="both"/>
        <w:rPr>
          <w:rFonts w:ascii="Arial" w:hAnsi="Arial" w:cs="Arial"/>
          <w:sz w:val="20"/>
          <w:szCs w:val="20"/>
        </w:rPr>
      </w:pPr>
      <w:r w:rsidRPr="001C2B35">
        <w:rPr>
          <w:rFonts w:ascii="Arial" w:hAnsi="Arial" w:cs="Arial"/>
          <w:sz w:val="20"/>
          <w:szCs w:val="20"/>
        </w:rPr>
        <w:t>Tijekom 202</w:t>
      </w:r>
      <w:r>
        <w:rPr>
          <w:rFonts w:ascii="Arial" w:hAnsi="Arial" w:cs="Arial"/>
          <w:sz w:val="20"/>
          <w:szCs w:val="20"/>
        </w:rPr>
        <w:t>5</w:t>
      </w:r>
      <w:r w:rsidRPr="001C2B35">
        <w:rPr>
          <w:rFonts w:ascii="Arial" w:hAnsi="Arial" w:cs="Arial"/>
          <w:sz w:val="20"/>
          <w:szCs w:val="20"/>
        </w:rPr>
        <w:t>. godine provedeno je usklađivanje plana prenesenog viška namjensk</w:t>
      </w:r>
      <w:r>
        <w:rPr>
          <w:rFonts w:ascii="Arial" w:hAnsi="Arial" w:cs="Arial"/>
          <w:sz w:val="20"/>
          <w:szCs w:val="20"/>
        </w:rPr>
        <w:t>i</w:t>
      </w:r>
      <w:r w:rsidRPr="001C2B35">
        <w:rPr>
          <w:rFonts w:ascii="Arial" w:hAnsi="Arial" w:cs="Arial"/>
          <w:sz w:val="20"/>
          <w:szCs w:val="20"/>
        </w:rPr>
        <w:t>h</w:t>
      </w:r>
      <w:r>
        <w:rPr>
          <w:rFonts w:ascii="Arial" w:hAnsi="Arial" w:cs="Arial"/>
          <w:sz w:val="20"/>
          <w:szCs w:val="20"/>
        </w:rPr>
        <w:t xml:space="preserve"> </w:t>
      </w:r>
      <w:r w:rsidRPr="001C2B35">
        <w:rPr>
          <w:rFonts w:ascii="Arial" w:hAnsi="Arial" w:cs="Arial"/>
          <w:sz w:val="20"/>
          <w:szCs w:val="20"/>
        </w:rPr>
        <w:t xml:space="preserve">prihoda jer </w:t>
      </w:r>
      <w:r w:rsidR="00FE6410">
        <w:rPr>
          <w:rFonts w:ascii="Arial" w:hAnsi="Arial" w:cs="Arial"/>
          <w:sz w:val="20"/>
          <w:szCs w:val="20"/>
        </w:rPr>
        <w:t xml:space="preserve">je </w:t>
      </w:r>
      <w:r w:rsidRPr="001C2B35">
        <w:rPr>
          <w:rFonts w:ascii="Arial" w:hAnsi="Arial" w:cs="Arial"/>
          <w:sz w:val="20"/>
          <w:szCs w:val="20"/>
        </w:rPr>
        <w:t xml:space="preserve">donesena Odluka o raspodjeli financijskog rezultata </w:t>
      </w:r>
      <w:r>
        <w:rPr>
          <w:rFonts w:ascii="Arial" w:hAnsi="Arial" w:cs="Arial"/>
          <w:sz w:val="20"/>
          <w:szCs w:val="20"/>
        </w:rPr>
        <w:t xml:space="preserve">Općine Konavle za </w:t>
      </w:r>
      <w:r w:rsidRPr="001C2B35">
        <w:rPr>
          <w:rFonts w:ascii="Arial" w:hAnsi="Arial" w:cs="Arial"/>
          <w:sz w:val="20"/>
          <w:szCs w:val="20"/>
        </w:rPr>
        <w:t>202</w:t>
      </w:r>
      <w:r>
        <w:rPr>
          <w:rFonts w:ascii="Arial" w:hAnsi="Arial" w:cs="Arial"/>
          <w:sz w:val="20"/>
          <w:szCs w:val="20"/>
        </w:rPr>
        <w:t>4</w:t>
      </w:r>
      <w:r w:rsidRPr="001C2B35">
        <w:rPr>
          <w:rFonts w:ascii="Arial" w:hAnsi="Arial" w:cs="Arial"/>
          <w:sz w:val="20"/>
          <w:szCs w:val="20"/>
        </w:rPr>
        <w:t>.</w:t>
      </w:r>
      <w:r>
        <w:rPr>
          <w:rFonts w:ascii="Arial" w:hAnsi="Arial" w:cs="Arial"/>
          <w:sz w:val="20"/>
          <w:szCs w:val="20"/>
        </w:rPr>
        <w:t xml:space="preserve">, </w:t>
      </w:r>
      <w:r w:rsidRPr="001C2B35">
        <w:rPr>
          <w:rFonts w:ascii="Arial" w:hAnsi="Arial" w:cs="Arial"/>
          <w:sz w:val="20"/>
          <w:szCs w:val="20"/>
        </w:rPr>
        <w:t>godinu</w:t>
      </w:r>
      <w:r w:rsidR="00FE6410">
        <w:rPr>
          <w:rFonts w:ascii="Arial" w:hAnsi="Arial" w:cs="Arial"/>
          <w:sz w:val="20"/>
          <w:szCs w:val="20"/>
        </w:rPr>
        <w:t xml:space="preserve"> i</w:t>
      </w:r>
      <w:r w:rsidRPr="001C2B35">
        <w:rPr>
          <w:rFonts w:ascii="Arial" w:hAnsi="Arial" w:cs="Arial"/>
          <w:sz w:val="20"/>
          <w:szCs w:val="20"/>
        </w:rPr>
        <w:t xml:space="preserve"> Prve Izmjene i dopune Proračuna za 202</w:t>
      </w:r>
      <w:r>
        <w:rPr>
          <w:rFonts w:ascii="Arial" w:hAnsi="Arial" w:cs="Arial"/>
          <w:sz w:val="20"/>
          <w:szCs w:val="20"/>
        </w:rPr>
        <w:t>5</w:t>
      </w:r>
      <w:r w:rsidRPr="001C2B35">
        <w:rPr>
          <w:rFonts w:ascii="Arial" w:hAnsi="Arial" w:cs="Arial"/>
          <w:sz w:val="20"/>
          <w:szCs w:val="20"/>
        </w:rPr>
        <w:t>. godinu</w:t>
      </w:r>
      <w:r w:rsidR="00FE6410">
        <w:rPr>
          <w:rFonts w:ascii="Arial" w:hAnsi="Arial" w:cs="Arial"/>
          <w:sz w:val="20"/>
          <w:szCs w:val="20"/>
        </w:rPr>
        <w:t>. Plansko k</w:t>
      </w:r>
      <w:r w:rsidRPr="001C2B35">
        <w:rPr>
          <w:rFonts w:ascii="Arial" w:hAnsi="Arial" w:cs="Arial"/>
          <w:sz w:val="20"/>
          <w:szCs w:val="20"/>
        </w:rPr>
        <w:t>orištenje prenesenog viška</w:t>
      </w:r>
      <w:r>
        <w:rPr>
          <w:rFonts w:ascii="Arial" w:hAnsi="Arial" w:cs="Arial"/>
          <w:sz w:val="20"/>
          <w:szCs w:val="20"/>
        </w:rPr>
        <w:t xml:space="preserve"> </w:t>
      </w:r>
      <w:r w:rsidRPr="001C2B35">
        <w:rPr>
          <w:rFonts w:ascii="Arial" w:hAnsi="Arial" w:cs="Arial"/>
          <w:sz w:val="20"/>
          <w:szCs w:val="20"/>
        </w:rPr>
        <w:t xml:space="preserve">namjenskih prihoda </w:t>
      </w:r>
      <w:r w:rsidR="00FE6410">
        <w:rPr>
          <w:rFonts w:ascii="Arial" w:hAnsi="Arial" w:cs="Arial"/>
          <w:sz w:val="20"/>
          <w:szCs w:val="20"/>
        </w:rPr>
        <w:t xml:space="preserve">je </w:t>
      </w:r>
      <w:r w:rsidRPr="001C2B35">
        <w:rPr>
          <w:rFonts w:ascii="Arial" w:hAnsi="Arial" w:cs="Arial"/>
          <w:sz w:val="20"/>
          <w:szCs w:val="20"/>
        </w:rPr>
        <w:t xml:space="preserve">smanjeno na iznos od </w:t>
      </w:r>
      <w:r>
        <w:rPr>
          <w:rFonts w:ascii="Arial" w:hAnsi="Arial" w:cs="Arial"/>
          <w:sz w:val="20"/>
          <w:szCs w:val="20"/>
        </w:rPr>
        <w:t>4.567.861</w:t>
      </w:r>
      <w:r w:rsidRPr="001C2B35">
        <w:rPr>
          <w:rFonts w:ascii="Arial" w:hAnsi="Arial" w:cs="Arial"/>
          <w:sz w:val="20"/>
          <w:szCs w:val="20"/>
        </w:rPr>
        <w:t xml:space="preserve"> eura</w:t>
      </w:r>
      <w:r w:rsidR="00C822A3">
        <w:rPr>
          <w:rFonts w:ascii="Arial" w:hAnsi="Arial" w:cs="Arial"/>
          <w:sz w:val="20"/>
          <w:szCs w:val="20"/>
        </w:rPr>
        <w:t xml:space="preserve"> (višak Općine 4.814.004 i manjak proračunskih korisnika vezan za neplaćene račune i plaću iz prosinca 2024. godine u iznosu 246.143 eura)</w:t>
      </w:r>
      <w:r w:rsidRPr="001C2B35">
        <w:rPr>
          <w:rFonts w:ascii="Arial" w:hAnsi="Arial" w:cs="Arial"/>
          <w:sz w:val="20"/>
          <w:szCs w:val="20"/>
        </w:rPr>
        <w:t>.</w:t>
      </w:r>
    </w:p>
    <w:p w14:paraId="49756F78" w14:textId="77777777" w:rsidR="00C822A3" w:rsidRPr="00D62101" w:rsidRDefault="00C822A3" w:rsidP="009B403C">
      <w:pPr>
        <w:spacing w:after="0" w:line="240" w:lineRule="auto"/>
        <w:jc w:val="both"/>
        <w:rPr>
          <w:rFonts w:ascii="Arial" w:hAnsi="Arial" w:cs="Arial"/>
          <w:sz w:val="20"/>
          <w:szCs w:val="20"/>
        </w:rPr>
      </w:pPr>
    </w:p>
    <w:p w14:paraId="23B94C57" w14:textId="654455A2" w:rsidR="00D56E20" w:rsidRPr="00D62101" w:rsidRDefault="00D56E20" w:rsidP="009B403C">
      <w:pPr>
        <w:spacing w:after="0" w:line="240" w:lineRule="auto"/>
        <w:jc w:val="both"/>
        <w:rPr>
          <w:rFonts w:ascii="Arial" w:hAnsi="Arial" w:cs="Arial"/>
          <w:sz w:val="20"/>
          <w:szCs w:val="20"/>
        </w:rPr>
      </w:pPr>
      <w:r w:rsidRPr="00D62101">
        <w:rPr>
          <w:rFonts w:ascii="Arial" w:hAnsi="Arial" w:cs="Arial"/>
          <w:sz w:val="20"/>
          <w:szCs w:val="20"/>
        </w:rPr>
        <w:t>Stanje na osnovnim računima skupine 922 za Općinu Konavle na dan 31. prosinca 2025. godine iskazana su prema kategorijama kako slijedi:</w:t>
      </w:r>
    </w:p>
    <w:p w14:paraId="16B276AE" w14:textId="77777777" w:rsidR="00D56E20" w:rsidRPr="00D62101" w:rsidRDefault="00D56E20" w:rsidP="009B403C">
      <w:pPr>
        <w:spacing w:after="0" w:line="240" w:lineRule="auto"/>
        <w:jc w:val="both"/>
        <w:rPr>
          <w:rFonts w:ascii="Arial" w:hAnsi="Arial" w:cs="Arial"/>
          <w:sz w:val="20"/>
          <w:szCs w:val="20"/>
        </w:rPr>
      </w:pPr>
    </w:p>
    <w:tbl>
      <w:tblPr>
        <w:tblW w:w="8140" w:type="dxa"/>
        <w:jc w:val="center"/>
        <w:tblLook w:val="04A0" w:firstRow="1" w:lastRow="0" w:firstColumn="1" w:lastColumn="0" w:noHBand="0" w:noVBand="1"/>
      </w:tblPr>
      <w:tblGrid>
        <w:gridCol w:w="2099"/>
        <w:gridCol w:w="4417"/>
        <w:gridCol w:w="1624"/>
      </w:tblGrid>
      <w:tr w:rsidR="00D56E20" w:rsidRPr="00D62101" w14:paraId="4912CA98" w14:textId="77777777" w:rsidTr="00D62101">
        <w:trPr>
          <w:trHeight w:val="315"/>
          <w:jc w:val="center"/>
        </w:trPr>
        <w:tc>
          <w:tcPr>
            <w:tcW w:w="2099" w:type="dxa"/>
            <w:tcBorders>
              <w:top w:val="single" w:sz="8" w:space="0" w:color="auto"/>
              <w:left w:val="single" w:sz="8" w:space="0" w:color="auto"/>
              <w:bottom w:val="single" w:sz="8" w:space="0" w:color="auto"/>
              <w:right w:val="single" w:sz="4" w:space="0" w:color="auto"/>
            </w:tcBorders>
            <w:noWrap/>
            <w:vAlign w:val="center"/>
            <w:hideMark/>
          </w:tcPr>
          <w:p w14:paraId="577FB937" w14:textId="77777777" w:rsidR="00D56E20" w:rsidRPr="00D62101" w:rsidRDefault="00D56E20" w:rsidP="00D62101">
            <w:pPr>
              <w:spacing w:after="0" w:line="240" w:lineRule="auto"/>
              <w:jc w:val="center"/>
              <w:rPr>
                <w:rFonts w:ascii="Arial" w:hAnsi="Arial" w:cs="Arial"/>
                <w:b/>
                <w:bCs/>
                <w:sz w:val="20"/>
                <w:szCs w:val="20"/>
              </w:rPr>
            </w:pPr>
            <w:r w:rsidRPr="00D62101">
              <w:rPr>
                <w:rFonts w:ascii="Arial" w:hAnsi="Arial" w:cs="Arial"/>
                <w:b/>
                <w:bCs/>
                <w:sz w:val="20"/>
                <w:szCs w:val="20"/>
              </w:rPr>
              <w:t>Račun iz računskog plana</w:t>
            </w:r>
          </w:p>
        </w:tc>
        <w:tc>
          <w:tcPr>
            <w:tcW w:w="4417" w:type="dxa"/>
            <w:tcBorders>
              <w:top w:val="single" w:sz="8" w:space="0" w:color="auto"/>
              <w:left w:val="nil"/>
              <w:bottom w:val="single" w:sz="8" w:space="0" w:color="auto"/>
              <w:right w:val="single" w:sz="4" w:space="0" w:color="auto"/>
            </w:tcBorders>
            <w:noWrap/>
            <w:vAlign w:val="center"/>
            <w:hideMark/>
          </w:tcPr>
          <w:p w14:paraId="59F1622C" w14:textId="77777777" w:rsidR="00D56E20" w:rsidRPr="00D62101" w:rsidRDefault="00D56E20" w:rsidP="00D62101">
            <w:pPr>
              <w:spacing w:after="0" w:line="240" w:lineRule="auto"/>
              <w:jc w:val="center"/>
              <w:rPr>
                <w:rFonts w:ascii="Arial" w:hAnsi="Arial" w:cs="Arial"/>
                <w:b/>
                <w:bCs/>
                <w:sz w:val="20"/>
                <w:szCs w:val="20"/>
              </w:rPr>
            </w:pPr>
            <w:r w:rsidRPr="00D62101">
              <w:rPr>
                <w:rFonts w:ascii="Arial" w:hAnsi="Arial" w:cs="Arial"/>
                <w:b/>
                <w:bCs/>
                <w:sz w:val="20"/>
                <w:szCs w:val="20"/>
              </w:rPr>
              <w:t>Opis stavke</w:t>
            </w:r>
          </w:p>
        </w:tc>
        <w:tc>
          <w:tcPr>
            <w:tcW w:w="1624" w:type="dxa"/>
            <w:tcBorders>
              <w:top w:val="single" w:sz="8" w:space="0" w:color="auto"/>
              <w:left w:val="nil"/>
              <w:bottom w:val="single" w:sz="8" w:space="0" w:color="auto"/>
              <w:right w:val="single" w:sz="8" w:space="0" w:color="auto"/>
            </w:tcBorders>
            <w:noWrap/>
            <w:vAlign w:val="center"/>
            <w:hideMark/>
          </w:tcPr>
          <w:p w14:paraId="1C50211B" w14:textId="77777777" w:rsidR="00D56E20" w:rsidRPr="00D62101" w:rsidRDefault="00D56E20" w:rsidP="00D62101">
            <w:pPr>
              <w:spacing w:after="0" w:line="240" w:lineRule="auto"/>
              <w:jc w:val="center"/>
              <w:rPr>
                <w:rFonts w:ascii="Arial" w:hAnsi="Arial" w:cs="Arial"/>
                <w:b/>
                <w:bCs/>
                <w:sz w:val="20"/>
                <w:szCs w:val="20"/>
              </w:rPr>
            </w:pPr>
            <w:r w:rsidRPr="00D62101">
              <w:rPr>
                <w:rFonts w:ascii="Arial" w:hAnsi="Arial" w:cs="Arial"/>
                <w:b/>
                <w:bCs/>
                <w:sz w:val="20"/>
                <w:szCs w:val="20"/>
              </w:rPr>
              <w:t>Iznos (€)</w:t>
            </w:r>
          </w:p>
        </w:tc>
      </w:tr>
      <w:tr w:rsidR="00D56E20" w:rsidRPr="00D62101" w14:paraId="4A0214C6" w14:textId="77777777" w:rsidTr="00D62101">
        <w:trPr>
          <w:trHeight w:val="315"/>
          <w:jc w:val="center"/>
        </w:trPr>
        <w:tc>
          <w:tcPr>
            <w:tcW w:w="2099"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70F3157D" w14:textId="77777777" w:rsidR="00D56E20" w:rsidRPr="00D62101" w:rsidRDefault="00D56E20" w:rsidP="00D62101">
            <w:pPr>
              <w:spacing w:after="0" w:line="240" w:lineRule="auto"/>
              <w:rPr>
                <w:rFonts w:ascii="Arial" w:hAnsi="Arial" w:cs="Arial"/>
                <w:sz w:val="20"/>
                <w:szCs w:val="20"/>
              </w:rPr>
            </w:pPr>
            <w:r w:rsidRPr="00D62101">
              <w:rPr>
                <w:rFonts w:ascii="Arial" w:hAnsi="Arial" w:cs="Arial"/>
                <w:sz w:val="20"/>
                <w:szCs w:val="20"/>
              </w:rPr>
              <w:t>92211</w:t>
            </w:r>
          </w:p>
        </w:tc>
        <w:tc>
          <w:tcPr>
            <w:tcW w:w="4417" w:type="dxa"/>
            <w:tcBorders>
              <w:top w:val="single" w:sz="8" w:space="0" w:color="auto"/>
              <w:left w:val="nil"/>
              <w:bottom w:val="single" w:sz="4" w:space="0" w:color="auto"/>
              <w:right w:val="single" w:sz="8" w:space="0" w:color="auto"/>
            </w:tcBorders>
            <w:shd w:val="clear" w:color="000000" w:fill="FFFFFF"/>
            <w:vAlign w:val="center"/>
            <w:hideMark/>
          </w:tcPr>
          <w:p w14:paraId="388C484F" w14:textId="77777777" w:rsidR="00D56E20" w:rsidRPr="00D62101" w:rsidRDefault="00D56E20" w:rsidP="00D62101">
            <w:pPr>
              <w:spacing w:after="0" w:line="240" w:lineRule="auto"/>
              <w:rPr>
                <w:rFonts w:ascii="Arial" w:hAnsi="Arial" w:cs="Arial"/>
                <w:sz w:val="20"/>
                <w:szCs w:val="20"/>
              </w:rPr>
            </w:pPr>
            <w:r w:rsidRPr="00D62101">
              <w:rPr>
                <w:rFonts w:ascii="Arial" w:hAnsi="Arial" w:cs="Arial"/>
                <w:sz w:val="20"/>
                <w:szCs w:val="20"/>
              </w:rPr>
              <w:t>Višak prihoda poslovanja</w:t>
            </w:r>
          </w:p>
        </w:tc>
        <w:tc>
          <w:tcPr>
            <w:tcW w:w="1624" w:type="dxa"/>
            <w:tcBorders>
              <w:top w:val="single" w:sz="8" w:space="0" w:color="auto"/>
              <w:left w:val="nil"/>
              <w:bottom w:val="single" w:sz="4" w:space="0" w:color="auto"/>
              <w:right w:val="single" w:sz="8" w:space="0" w:color="auto"/>
            </w:tcBorders>
            <w:vAlign w:val="center"/>
          </w:tcPr>
          <w:p w14:paraId="78BEC7C0" w14:textId="125A871D" w:rsidR="00D56E20" w:rsidRPr="00D62101" w:rsidRDefault="00D56E20" w:rsidP="00D62101">
            <w:pPr>
              <w:spacing w:after="0" w:line="240" w:lineRule="auto"/>
              <w:rPr>
                <w:rFonts w:ascii="Arial" w:hAnsi="Arial" w:cs="Arial"/>
                <w:sz w:val="20"/>
                <w:szCs w:val="20"/>
              </w:rPr>
            </w:pPr>
            <w:r w:rsidRPr="00D62101">
              <w:rPr>
                <w:rFonts w:ascii="Arial" w:hAnsi="Arial" w:cs="Arial"/>
                <w:sz w:val="20"/>
                <w:szCs w:val="20"/>
              </w:rPr>
              <w:t>3.398.637,13</w:t>
            </w:r>
          </w:p>
        </w:tc>
      </w:tr>
      <w:tr w:rsidR="00D56E20" w:rsidRPr="00D62101" w14:paraId="31F9DA20" w14:textId="77777777" w:rsidTr="00D62101">
        <w:trPr>
          <w:trHeight w:val="315"/>
          <w:jc w:val="center"/>
        </w:trPr>
        <w:tc>
          <w:tcPr>
            <w:tcW w:w="2099"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4CE3CBDE" w14:textId="77777777" w:rsidR="00D56E20" w:rsidRPr="00D62101" w:rsidRDefault="00D56E20" w:rsidP="00D62101">
            <w:pPr>
              <w:spacing w:after="0" w:line="240" w:lineRule="auto"/>
              <w:rPr>
                <w:rFonts w:ascii="Arial" w:hAnsi="Arial" w:cs="Arial"/>
                <w:sz w:val="20"/>
                <w:szCs w:val="20"/>
              </w:rPr>
            </w:pPr>
            <w:r w:rsidRPr="00D62101">
              <w:rPr>
                <w:rFonts w:ascii="Arial" w:hAnsi="Arial" w:cs="Arial"/>
                <w:sz w:val="20"/>
                <w:szCs w:val="20"/>
              </w:rPr>
              <w:t>92222</w:t>
            </w:r>
          </w:p>
        </w:tc>
        <w:tc>
          <w:tcPr>
            <w:tcW w:w="4417" w:type="dxa"/>
            <w:tcBorders>
              <w:top w:val="single" w:sz="4" w:space="0" w:color="auto"/>
              <w:left w:val="nil"/>
              <w:bottom w:val="single" w:sz="4" w:space="0" w:color="auto"/>
              <w:right w:val="single" w:sz="8" w:space="0" w:color="auto"/>
            </w:tcBorders>
            <w:shd w:val="clear" w:color="000000" w:fill="FFFFFF"/>
            <w:vAlign w:val="center"/>
            <w:hideMark/>
          </w:tcPr>
          <w:p w14:paraId="5A10D89E" w14:textId="77777777" w:rsidR="00D56E20" w:rsidRPr="00D62101" w:rsidRDefault="00D56E20" w:rsidP="00D62101">
            <w:pPr>
              <w:spacing w:after="0" w:line="240" w:lineRule="auto"/>
              <w:rPr>
                <w:rFonts w:ascii="Arial" w:hAnsi="Arial" w:cs="Arial"/>
                <w:sz w:val="20"/>
                <w:szCs w:val="20"/>
              </w:rPr>
            </w:pPr>
            <w:r w:rsidRPr="00D62101">
              <w:rPr>
                <w:rFonts w:ascii="Arial" w:hAnsi="Arial" w:cs="Arial"/>
                <w:sz w:val="20"/>
                <w:szCs w:val="20"/>
              </w:rPr>
              <w:t>Manjak prihoda od nefinancijske imovine</w:t>
            </w:r>
          </w:p>
        </w:tc>
        <w:tc>
          <w:tcPr>
            <w:tcW w:w="1624" w:type="dxa"/>
            <w:tcBorders>
              <w:top w:val="single" w:sz="4" w:space="0" w:color="auto"/>
              <w:left w:val="nil"/>
              <w:bottom w:val="single" w:sz="4" w:space="0" w:color="auto"/>
              <w:right w:val="single" w:sz="8" w:space="0" w:color="auto"/>
            </w:tcBorders>
            <w:vAlign w:val="center"/>
          </w:tcPr>
          <w:p w14:paraId="5352FE7D" w14:textId="638918EB" w:rsidR="00D56E20" w:rsidRPr="00D62101" w:rsidRDefault="000E2C46" w:rsidP="00D62101">
            <w:pPr>
              <w:spacing w:after="0" w:line="240" w:lineRule="auto"/>
              <w:rPr>
                <w:rFonts w:ascii="Arial" w:hAnsi="Arial" w:cs="Arial"/>
                <w:sz w:val="20"/>
                <w:szCs w:val="20"/>
              </w:rPr>
            </w:pPr>
            <w:r w:rsidRPr="00D62101">
              <w:rPr>
                <w:rFonts w:ascii="Arial" w:hAnsi="Arial" w:cs="Arial"/>
                <w:sz w:val="20"/>
                <w:szCs w:val="20"/>
              </w:rPr>
              <w:t>-6.813.335,82</w:t>
            </w:r>
          </w:p>
        </w:tc>
      </w:tr>
      <w:tr w:rsidR="00D56E20" w:rsidRPr="00D62101" w14:paraId="191A6F6A" w14:textId="77777777" w:rsidTr="00D62101">
        <w:trPr>
          <w:trHeight w:val="315"/>
          <w:jc w:val="center"/>
        </w:trPr>
        <w:tc>
          <w:tcPr>
            <w:tcW w:w="2099"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5931D9DC" w14:textId="77777777" w:rsidR="00D56E20" w:rsidRPr="00D62101" w:rsidRDefault="00D56E20" w:rsidP="00D62101">
            <w:pPr>
              <w:spacing w:after="0" w:line="240" w:lineRule="auto"/>
              <w:rPr>
                <w:rFonts w:ascii="Arial" w:hAnsi="Arial" w:cs="Arial"/>
                <w:sz w:val="20"/>
                <w:szCs w:val="20"/>
              </w:rPr>
            </w:pPr>
            <w:r w:rsidRPr="00D62101">
              <w:rPr>
                <w:rFonts w:ascii="Arial" w:hAnsi="Arial" w:cs="Arial"/>
                <w:sz w:val="20"/>
                <w:szCs w:val="20"/>
              </w:rPr>
              <w:t>92213</w:t>
            </w:r>
          </w:p>
        </w:tc>
        <w:tc>
          <w:tcPr>
            <w:tcW w:w="4417" w:type="dxa"/>
            <w:tcBorders>
              <w:top w:val="single" w:sz="4" w:space="0" w:color="auto"/>
              <w:left w:val="nil"/>
              <w:bottom w:val="single" w:sz="8" w:space="0" w:color="auto"/>
              <w:right w:val="single" w:sz="8" w:space="0" w:color="auto"/>
            </w:tcBorders>
            <w:shd w:val="clear" w:color="000000" w:fill="FFFFFF"/>
            <w:vAlign w:val="center"/>
            <w:hideMark/>
          </w:tcPr>
          <w:p w14:paraId="687FBDC3" w14:textId="77777777" w:rsidR="00D56E20" w:rsidRPr="00D62101" w:rsidRDefault="00D56E20" w:rsidP="00D62101">
            <w:pPr>
              <w:spacing w:after="0" w:line="240" w:lineRule="auto"/>
              <w:rPr>
                <w:rFonts w:ascii="Arial" w:hAnsi="Arial" w:cs="Arial"/>
                <w:sz w:val="20"/>
                <w:szCs w:val="20"/>
              </w:rPr>
            </w:pPr>
            <w:r w:rsidRPr="00D62101">
              <w:rPr>
                <w:rFonts w:ascii="Arial" w:hAnsi="Arial" w:cs="Arial"/>
                <w:sz w:val="20"/>
                <w:szCs w:val="20"/>
              </w:rPr>
              <w:t>Višak primitaka od financijske imovine</w:t>
            </w:r>
          </w:p>
        </w:tc>
        <w:tc>
          <w:tcPr>
            <w:tcW w:w="1624" w:type="dxa"/>
            <w:tcBorders>
              <w:top w:val="single" w:sz="4" w:space="0" w:color="auto"/>
              <w:left w:val="nil"/>
              <w:bottom w:val="single" w:sz="8" w:space="0" w:color="auto"/>
              <w:right w:val="single" w:sz="8" w:space="0" w:color="auto"/>
            </w:tcBorders>
            <w:vAlign w:val="center"/>
          </w:tcPr>
          <w:p w14:paraId="079FD0D0" w14:textId="24AAECF5" w:rsidR="00D56E20" w:rsidRPr="00D62101" w:rsidRDefault="000E2C46" w:rsidP="00D62101">
            <w:pPr>
              <w:spacing w:after="0" w:line="240" w:lineRule="auto"/>
              <w:rPr>
                <w:rFonts w:ascii="Arial" w:hAnsi="Arial" w:cs="Arial"/>
                <w:sz w:val="20"/>
                <w:szCs w:val="20"/>
              </w:rPr>
            </w:pPr>
            <w:r w:rsidRPr="00D62101">
              <w:rPr>
                <w:rFonts w:ascii="Arial" w:hAnsi="Arial" w:cs="Arial"/>
                <w:sz w:val="20"/>
                <w:szCs w:val="20"/>
              </w:rPr>
              <w:t>4.584.544,78</w:t>
            </w:r>
          </w:p>
        </w:tc>
      </w:tr>
      <w:tr w:rsidR="00D56E20" w:rsidRPr="00D62101" w14:paraId="38FA30B5" w14:textId="77777777" w:rsidTr="00D62101">
        <w:trPr>
          <w:trHeight w:val="315"/>
          <w:jc w:val="center"/>
        </w:trPr>
        <w:tc>
          <w:tcPr>
            <w:tcW w:w="2099" w:type="dxa"/>
            <w:tcBorders>
              <w:top w:val="nil"/>
              <w:left w:val="single" w:sz="8" w:space="0" w:color="auto"/>
              <w:bottom w:val="single" w:sz="8" w:space="0" w:color="auto"/>
              <w:right w:val="single" w:sz="8" w:space="0" w:color="auto"/>
            </w:tcBorders>
            <w:shd w:val="clear" w:color="000000" w:fill="FFFFFF"/>
            <w:vAlign w:val="center"/>
            <w:hideMark/>
          </w:tcPr>
          <w:p w14:paraId="263103A9" w14:textId="77777777" w:rsidR="00D56E20" w:rsidRPr="00D62101" w:rsidRDefault="00D56E20" w:rsidP="00D62101">
            <w:pPr>
              <w:spacing w:after="0" w:line="240" w:lineRule="auto"/>
              <w:rPr>
                <w:rFonts w:ascii="Arial" w:hAnsi="Arial" w:cs="Arial"/>
                <w:sz w:val="20"/>
                <w:szCs w:val="20"/>
              </w:rPr>
            </w:pPr>
          </w:p>
        </w:tc>
        <w:tc>
          <w:tcPr>
            <w:tcW w:w="4417" w:type="dxa"/>
            <w:tcBorders>
              <w:top w:val="nil"/>
              <w:left w:val="nil"/>
              <w:bottom w:val="single" w:sz="8" w:space="0" w:color="auto"/>
              <w:right w:val="single" w:sz="8" w:space="0" w:color="auto"/>
            </w:tcBorders>
            <w:shd w:val="clear" w:color="000000" w:fill="FFFFFF"/>
            <w:vAlign w:val="center"/>
            <w:hideMark/>
          </w:tcPr>
          <w:p w14:paraId="41662F2E" w14:textId="77777777" w:rsidR="00D56E20" w:rsidRPr="00D62101" w:rsidRDefault="00D56E20" w:rsidP="00D62101">
            <w:pPr>
              <w:spacing w:after="0" w:line="240" w:lineRule="auto"/>
              <w:rPr>
                <w:rFonts w:ascii="Arial" w:hAnsi="Arial" w:cs="Arial"/>
                <w:b/>
                <w:bCs/>
                <w:sz w:val="20"/>
                <w:szCs w:val="20"/>
              </w:rPr>
            </w:pPr>
            <w:r w:rsidRPr="00D62101">
              <w:rPr>
                <w:rFonts w:ascii="Arial" w:hAnsi="Arial" w:cs="Arial"/>
                <w:b/>
                <w:bCs/>
                <w:sz w:val="20"/>
                <w:szCs w:val="20"/>
              </w:rPr>
              <w:t>U  k  u  p  n  o   v i š a k</w:t>
            </w:r>
          </w:p>
        </w:tc>
        <w:tc>
          <w:tcPr>
            <w:tcW w:w="1624" w:type="dxa"/>
            <w:tcBorders>
              <w:top w:val="nil"/>
              <w:left w:val="nil"/>
              <w:bottom w:val="single" w:sz="8" w:space="0" w:color="auto"/>
              <w:right w:val="single" w:sz="8" w:space="0" w:color="auto"/>
            </w:tcBorders>
            <w:vAlign w:val="center"/>
            <w:hideMark/>
          </w:tcPr>
          <w:p w14:paraId="082CC7D0" w14:textId="3E087253" w:rsidR="00D56E20" w:rsidRPr="00D62101" w:rsidRDefault="000E2C46" w:rsidP="00D62101">
            <w:pPr>
              <w:spacing w:after="0" w:line="240" w:lineRule="auto"/>
              <w:rPr>
                <w:rFonts w:ascii="Arial" w:hAnsi="Arial" w:cs="Arial"/>
                <w:b/>
                <w:bCs/>
                <w:sz w:val="20"/>
                <w:szCs w:val="20"/>
              </w:rPr>
            </w:pPr>
            <w:r w:rsidRPr="00D62101">
              <w:rPr>
                <w:rFonts w:ascii="Arial" w:hAnsi="Arial" w:cs="Arial"/>
                <w:b/>
                <w:bCs/>
                <w:sz w:val="20"/>
                <w:szCs w:val="20"/>
              </w:rPr>
              <w:t>1.169.846,09</w:t>
            </w:r>
          </w:p>
        </w:tc>
      </w:tr>
    </w:tbl>
    <w:p w14:paraId="21D7B6E8" w14:textId="77777777" w:rsidR="00D56E20" w:rsidRPr="00D62101" w:rsidRDefault="00D56E20" w:rsidP="00D62101">
      <w:pPr>
        <w:spacing w:after="0" w:line="240" w:lineRule="auto"/>
        <w:rPr>
          <w:rFonts w:ascii="Arial" w:hAnsi="Arial" w:cs="Arial"/>
          <w:sz w:val="20"/>
          <w:szCs w:val="20"/>
        </w:rPr>
      </w:pPr>
    </w:p>
    <w:p w14:paraId="19F554A5" w14:textId="0FDF9D29" w:rsidR="00863317" w:rsidRPr="00D62101" w:rsidRDefault="00863317" w:rsidP="00D62101">
      <w:pPr>
        <w:spacing w:after="0" w:line="240" w:lineRule="auto"/>
        <w:jc w:val="both"/>
        <w:rPr>
          <w:rFonts w:ascii="Arial" w:hAnsi="Arial" w:cs="Arial"/>
          <w:sz w:val="20"/>
          <w:szCs w:val="20"/>
        </w:rPr>
      </w:pPr>
      <w:r w:rsidRPr="00D62101">
        <w:rPr>
          <w:rFonts w:ascii="Arial" w:hAnsi="Arial" w:cs="Arial"/>
          <w:sz w:val="20"/>
          <w:szCs w:val="20"/>
        </w:rPr>
        <w:t>Nakon raspodjele rezultata poslovanja i obavljanja korekcija</w:t>
      </w:r>
      <w:r w:rsidR="009B403C">
        <w:rPr>
          <w:rFonts w:ascii="Arial" w:hAnsi="Arial" w:cs="Arial"/>
          <w:sz w:val="20"/>
          <w:szCs w:val="20"/>
        </w:rPr>
        <w:t xml:space="preserve"> sukladno Pravilniku o proračunskom računovodstvu i računskom planu</w:t>
      </w:r>
      <w:r w:rsidRPr="00D62101">
        <w:rPr>
          <w:rFonts w:ascii="Arial" w:hAnsi="Arial" w:cs="Arial"/>
          <w:sz w:val="20"/>
          <w:szCs w:val="20"/>
        </w:rPr>
        <w:t>, stanje na osnovnim računima podskupine 922 iskazuj</w:t>
      </w:r>
      <w:r w:rsidR="009B403C">
        <w:rPr>
          <w:rFonts w:ascii="Arial" w:hAnsi="Arial" w:cs="Arial"/>
          <w:sz w:val="20"/>
          <w:szCs w:val="20"/>
        </w:rPr>
        <w:t>e</w:t>
      </w:r>
      <w:r w:rsidRPr="00D62101">
        <w:rPr>
          <w:rFonts w:ascii="Arial" w:hAnsi="Arial" w:cs="Arial"/>
          <w:sz w:val="20"/>
          <w:szCs w:val="20"/>
        </w:rPr>
        <w:t xml:space="preserve"> se kako slijedi:</w:t>
      </w:r>
    </w:p>
    <w:p w14:paraId="73BCFD8D" w14:textId="77777777" w:rsidR="00863317" w:rsidRPr="00D62101" w:rsidRDefault="00863317" w:rsidP="00D62101">
      <w:pPr>
        <w:spacing w:after="0" w:line="240" w:lineRule="auto"/>
        <w:jc w:val="both"/>
        <w:rPr>
          <w:rFonts w:ascii="Arial" w:hAnsi="Arial" w:cs="Arial"/>
          <w:sz w:val="20"/>
          <w:szCs w:val="20"/>
        </w:rPr>
      </w:pPr>
    </w:p>
    <w:tbl>
      <w:tblPr>
        <w:tblW w:w="8621" w:type="dxa"/>
        <w:jc w:val="center"/>
        <w:tblLook w:val="04A0" w:firstRow="1" w:lastRow="0" w:firstColumn="1" w:lastColumn="0" w:noHBand="0" w:noVBand="1"/>
      </w:tblPr>
      <w:tblGrid>
        <w:gridCol w:w="1881"/>
        <w:gridCol w:w="4840"/>
        <w:gridCol w:w="1900"/>
      </w:tblGrid>
      <w:tr w:rsidR="00863317" w:rsidRPr="00D62101" w14:paraId="3F5FBDD5" w14:textId="77777777" w:rsidTr="00A765A7">
        <w:trPr>
          <w:trHeight w:val="315"/>
          <w:jc w:val="center"/>
        </w:trPr>
        <w:tc>
          <w:tcPr>
            <w:tcW w:w="1881" w:type="dxa"/>
            <w:tcBorders>
              <w:top w:val="single" w:sz="8" w:space="0" w:color="auto"/>
              <w:left w:val="single" w:sz="8" w:space="0" w:color="auto"/>
              <w:bottom w:val="single" w:sz="8" w:space="0" w:color="auto"/>
              <w:right w:val="single" w:sz="4" w:space="0" w:color="auto"/>
            </w:tcBorders>
            <w:noWrap/>
            <w:vAlign w:val="center"/>
            <w:hideMark/>
          </w:tcPr>
          <w:p w14:paraId="34581298" w14:textId="77777777" w:rsidR="00863317" w:rsidRPr="00D62101" w:rsidRDefault="00863317" w:rsidP="00D62101">
            <w:pPr>
              <w:spacing w:after="0" w:line="240" w:lineRule="auto"/>
              <w:jc w:val="center"/>
              <w:rPr>
                <w:rFonts w:ascii="Arial" w:hAnsi="Arial" w:cs="Arial"/>
                <w:b/>
                <w:bCs/>
                <w:sz w:val="20"/>
                <w:szCs w:val="20"/>
              </w:rPr>
            </w:pPr>
            <w:r w:rsidRPr="00D62101">
              <w:rPr>
                <w:rFonts w:ascii="Arial" w:hAnsi="Arial" w:cs="Arial"/>
                <w:b/>
                <w:bCs/>
                <w:sz w:val="20"/>
                <w:szCs w:val="20"/>
              </w:rPr>
              <w:t>Račun iz računskog plana </w:t>
            </w:r>
          </w:p>
        </w:tc>
        <w:tc>
          <w:tcPr>
            <w:tcW w:w="4840" w:type="dxa"/>
            <w:tcBorders>
              <w:top w:val="single" w:sz="8" w:space="0" w:color="auto"/>
              <w:left w:val="nil"/>
              <w:bottom w:val="single" w:sz="8" w:space="0" w:color="auto"/>
              <w:right w:val="single" w:sz="4" w:space="0" w:color="auto"/>
            </w:tcBorders>
            <w:noWrap/>
            <w:vAlign w:val="center"/>
            <w:hideMark/>
          </w:tcPr>
          <w:p w14:paraId="31CE1B2D" w14:textId="77777777" w:rsidR="00863317" w:rsidRPr="00D62101" w:rsidRDefault="00863317" w:rsidP="00D62101">
            <w:pPr>
              <w:spacing w:after="0" w:line="240" w:lineRule="auto"/>
              <w:jc w:val="center"/>
              <w:rPr>
                <w:rFonts w:ascii="Arial" w:hAnsi="Arial" w:cs="Arial"/>
                <w:b/>
                <w:bCs/>
                <w:sz w:val="20"/>
                <w:szCs w:val="20"/>
              </w:rPr>
            </w:pPr>
            <w:r w:rsidRPr="00D62101">
              <w:rPr>
                <w:rFonts w:ascii="Arial" w:hAnsi="Arial" w:cs="Arial"/>
                <w:b/>
                <w:bCs/>
                <w:sz w:val="20"/>
                <w:szCs w:val="20"/>
              </w:rPr>
              <w:t>Opis stavke</w:t>
            </w:r>
          </w:p>
        </w:tc>
        <w:tc>
          <w:tcPr>
            <w:tcW w:w="1900" w:type="dxa"/>
            <w:tcBorders>
              <w:top w:val="single" w:sz="8" w:space="0" w:color="auto"/>
              <w:left w:val="nil"/>
              <w:bottom w:val="single" w:sz="8" w:space="0" w:color="auto"/>
              <w:right w:val="single" w:sz="8" w:space="0" w:color="auto"/>
            </w:tcBorders>
            <w:noWrap/>
            <w:vAlign w:val="center"/>
            <w:hideMark/>
          </w:tcPr>
          <w:p w14:paraId="4AF54B8A" w14:textId="77777777" w:rsidR="00863317" w:rsidRPr="00D62101" w:rsidRDefault="00863317" w:rsidP="00D62101">
            <w:pPr>
              <w:spacing w:after="0" w:line="240" w:lineRule="auto"/>
              <w:jc w:val="center"/>
              <w:rPr>
                <w:rFonts w:ascii="Arial" w:hAnsi="Arial" w:cs="Arial"/>
                <w:b/>
                <w:bCs/>
                <w:sz w:val="20"/>
                <w:szCs w:val="20"/>
              </w:rPr>
            </w:pPr>
            <w:r w:rsidRPr="00D62101">
              <w:rPr>
                <w:rFonts w:ascii="Arial" w:hAnsi="Arial" w:cs="Arial"/>
                <w:b/>
                <w:bCs/>
                <w:sz w:val="20"/>
                <w:szCs w:val="20"/>
              </w:rPr>
              <w:t>Iznos (€)</w:t>
            </w:r>
          </w:p>
        </w:tc>
      </w:tr>
      <w:tr w:rsidR="00863317" w:rsidRPr="00D62101" w14:paraId="718D4BF6" w14:textId="77777777" w:rsidTr="00A765A7">
        <w:trPr>
          <w:trHeight w:val="315"/>
          <w:jc w:val="center"/>
        </w:trPr>
        <w:tc>
          <w:tcPr>
            <w:tcW w:w="1881"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57025FE8" w14:textId="77777777" w:rsidR="00863317" w:rsidRPr="00D62101" w:rsidRDefault="00863317" w:rsidP="00D62101">
            <w:pPr>
              <w:spacing w:after="0" w:line="240" w:lineRule="auto"/>
              <w:jc w:val="right"/>
              <w:rPr>
                <w:rFonts w:ascii="Arial" w:hAnsi="Arial" w:cs="Arial"/>
                <w:sz w:val="20"/>
                <w:szCs w:val="20"/>
              </w:rPr>
            </w:pPr>
            <w:r w:rsidRPr="00D62101">
              <w:rPr>
                <w:rFonts w:ascii="Arial" w:hAnsi="Arial" w:cs="Arial"/>
                <w:sz w:val="20"/>
                <w:szCs w:val="20"/>
              </w:rPr>
              <w:t>92211</w:t>
            </w:r>
          </w:p>
        </w:tc>
        <w:tc>
          <w:tcPr>
            <w:tcW w:w="4840" w:type="dxa"/>
            <w:tcBorders>
              <w:top w:val="single" w:sz="8" w:space="0" w:color="auto"/>
              <w:left w:val="nil"/>
              <w:bottom w:val="single" w:sz="4" w:space="0" w:color="auto"/>
              <w:right w:val="single" w:sz="8" w:space="0" w:color="auto"/>
            </w:tcBorders>
            <w:shd w:val="clear" w:color="000000" w:fill="FFFFFF"/>
            <w:vAlign w:val="center"/>
            <w:hideMark/>
          </w:tcPr>
          <w:p w14:paraId="112624B8" w14:textId="77777777" w:rsidR="00863317" w:rsidRPr="00D62101" w:rsidRDefault="00863317" w:rsidP="00D62101">
            <w:pPr>
              <w:spacing w:after="0" w:line="240" w:lineRule="auto"/>
              <w:rPr>
                <w:rFonts w:ascii="Arial" w:hAnsi="Arial" w:cs="Arial"/>
                <w:sz w:val="20"/>
                <w:szCs w:val="20"/>
              </w:rPr>
            </w:pPr>
            <w:r w:rsidRPr="00D62101">
              <w:rPr>
                <w:rFonts w:ascii="Arial" w:hAnsi="Arial" w:cs="Arial"/>
                <w:sz w:val="20"/>
                <w:szCs w:val="20"/>
              </w:rPr>
              <w:t>Višak prihoda poslovanja</w:t>
            </w:r>
          </w:p>
        </w:tc>
        <w:tc>
          <w:tcPr>
            <w:tcW w:w="1900" w:type="dxa"/>
            <w:tcBorders>
              <w:top w:val="single" w:sz="8" w:space="0" w:color="auto"/>
              <w:left w:val="nil"/>
              <w:bottom w:val="single" w:sz="4" w:space="0" w:color="auto"/>
              <w:right w:val="single" w:sz="8" w:space="0" w:color="auto"/>
            </w:tcBorders>
            <w:vAlign w:val="center"/>
          </w:tcPr>
          <w:p w14:paraId="7F5B6DB9" w14:textId="77777777" w:rsidR="00863317" w:rsidRPr="00D62101" w:rsidRDefault="00863317" w:rsidP="00D62101">
            <w:pPr>
              <w:spacing w:after="0" w:line="240" w:lineRule="auto"/>
              <w:jc w:val="right"/>
              <w:rPr>
                <w:rFonts w:ascii="Arial" w:hAnsi="Arial" w:cs="Arial"/>
                <w:sz w:val="20"/>
                <w:szCs w:val="20"/>
              </w:rPr>
            </w:pPr>
            <w:r w:rsidRPr="00D62101">
              <w:rPr>
                <w:rFonts w:ascii="Arial" w:hAnsi="Arial" w:cs="Arial"/>
                <w:sz w:val="20"/>
                <w:szCs w:val="20"/>
              </w:rPr>
              <w:t>1.040.250,19</w:t>
            </w:r>
          </w:p>
        </w:tc>
      </w:tr>
      <w:tr w:rsidR="00863317" w:rsidRPr="00D62101" w14:paraId="420735C8" w14:textId="77777777" w:rsidTr="00A765A7">
        <w:trPr>
          <w:trHeight w:val="300"/>
          <w:jc w:val="center"/>
        </w:trPr>
        <w:tc>
          <w:tcPr>
            <w:tcW w:w="1881"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54A82303" w14:textId="77777777" w:rsidR="00863317" w:rsidRPr="00D62101" w:rsidRDefault="00863317" w:rsidP="00D62101">
            <w:pPr>
              <w:spacing w:after="0" w:line="240" w:lineRule="auto"/>
              <w:jc w:val="right"/>
              <w:rPr>
                <w:rFonts w:ascii="Arial" w:hAnsi="Arial" w:cs="Arial"/>
                <w:sz w:val="20"/>
                <w:szCs w:val="20"/>
              </w:rPr>
            </w:pPr>
            <w:r w:rsidRPr="00D62101">
              <w:rPr>
                <w:rFonts w:ascii="Arial" w:hAnsi="Arial" w:cs="Arial"/>
                <w:sz w:val="20"/>
                <w:szCs w:val="20"/>
              </w:rPr>
              <w:t>92222</w:t>
            </w:r>
          </w:p>
        </w:tc>
        <w:tc>
          <w:tcPr>
            <w:tcW w:w="4840" w:type="dxa"/>
            <w:tcBorders>
              <w:top w:val="single" w:sz="4" w:space="0" w:color="auto"/>
              <w:left w:val="nil"/>
              <w:bottom w:val="single" w:sz="4" w:space="0" w:color="auto"/>
              <w:right w:val="single" w:sz="8" w:space="0" w:color="auto"/>
            </w:tcBorders>
            <w:shd w:val="clear" w:color="000000" w:fill="FFFFFF"/>
            <w:vAlign w:val="center"/>
            <w:hideMark/>
          </w:tcPr>
          <w:p w14:paraId="515413AA" w14:textId="77777777" w:rsidR="00863317" w:rsidRPr="00D62101" w:rsidRDefault="00863317" w:rsidP="00D62101">
            <w:pPr>
              <w:spacing w:after="0" w:line="240" w:lineRule="auto"/>
              <w:rPr>
                <w:rFonts w:ascii="Arial" w:hAnsi="Arial" w:cs="Arial"/>
                <w:sz w:val="20"/>
                <w:szCs w:val="20"/>
              </w:rPr>
            </w:pPr>
            <w:r w:rsidRPr="00D62101">
              <w:rPr>
                <w:rFonts w:ascii="Arial" w:hAnsi="Arial" w:cs="Arial"/>
                <w:sz w:val="20"/>
                <w:szCs w:val="20"/>
              </w:rPr>
              <w:t>Manjak prihoda od nefinancijske imovine</w:t>
            </w:r>
          </w:p>
        </w:tc>
        <w:tc>
          <w:tcPr>
            <w:tcW w:w="1900" w:type="dxa"/>
            <w:tcBorders>
              <w:top w:val="single" w:sz="4" w:space="0" w:color="auto"/>
              <w:left w:val="nil"/>
              <w:bottom w:val="single" w:sz="4" w:space="0" w:color="auto"/>
              <w:right w:val="single" w:sz="8" w:space="0" w:color="auto"/>
            </w:tcBorders>
            <w:vAlign w:val="center"/>
          </w:tcPr>
          <w:p w14:paraId="218337FA" w14:textId="77777777" w:rsidR="00863317" w:rsidRPr="00D62101" w:rsidRDefault="00863317" w:rsidP="00D62101">
            <w:pPr>
              <w:spacing w:after="0" w:line="240" w:lineRule="auto"/>
              <w:jc w:val="right"/>
              <w:rPr>
                <w:rFonts w:ascii="Arial" w:hAnsi="Arial" w:cs="Arial"/>
                <w:sz w:val="20"/>
                <w:szCs w:val="20"/>
              </w:rPr>
            </w:pPr>
            <w:r w:rsidRPr="00D62101">
              <w:rPr>
                <w:rFonts w:ascii="Arial" w:hAnsi="Arial" w:cs="Arial"/>
                <w:sz w:val="20"/>
                <w:szCs w:val="20"/>
              </w:rPr>
              <w:t>-2.949.729,23</w:t>
            </w:r>
          </w:p>
        </w:tc>
      </w:tr>
      <w:tr w:rsidR="00863317" w:rsidRPr="00D62101" w14:paraId="09E46AED" w14:textId="77777777" w:rsidTr="00A765A7">
        <w:trPr>
          <w:trHeight w:val="315"/>
          <w:jc w:val="center"/>
        </w:trPr>
        <w:tc>
          <w:tcPr>
            <w:tcW w:w="1881"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29A709D5" w14:textId="77777777" w:rsidR="00863317" w:rsidRPr="00D62101" w:rsidRDefault="00863317" w:rsidP="00D62101">
            <w:pPr>
              <w:spacing w:after="0" w:line="240" w:lineRule="auto"/>
              <w:jc w:val="right"/>
              <w:rPr>
                <w:rFonts w:ascii="Arial" w:hAnsi="Arial" w:cs="Arial"/>
                <w:sz w:val="20"/>
                <w:szCs w:val="20"/>
              </w:rPr>
            </w:pPr>
            <w:r w:rsidRPr="00D62101">
              <w:rPr>
                <w:rFonts w:ascii="Arial" w:hAnsi="Arial" w:cs="Arial"/>
                <w:sz w:val="20"/>
                <w:szCs w:val="20"/>
              </w:rPr>
              <w:t>92213</w:t>
            </w:r>
          </w:p>
        </w:tc>
        <w:tc>
          <w:tcPr>
            <w:tcW w:w="4840" w:type="dxa"/>
            <w:tcBorders>
              <w:top w:val="single" w:sz="4" w:space="0" w:color="auto"/>
              <w:left w:val="nil"/>
              <w:bottom w:val="single" w:sz="8" w:space="0" w:color="auto"/>
              <w:right w:val="single" w:sz="8" w:space="0" w:color="auto"/>
            </w:tcBorders>
            <w:shd w:val="clear" w:color="000000" w:fill="FFFFFF"/>
            <w:vAlign w:val="center"/>
            <w:hideMark/>
          </w:tcPr>
          <w:p w14:paraId="0830F17F" w14:textId="77777777" w:rsidR="00863317" w:rsidRPr="00D62101" w:rsidRDefault="00863317" w:rsidP="00D62101">
            <w:pPr>
              <w:spacing w:after="0" w:line="240" w:lineRule="auto"/>
              <w:rPr>
                <w:rFonts w:ascii="Arial" w:hAnsi="Arial" w:cs="Arial"/>
                <w:sz w:val="20"/>
                <w:szCs w:val="20"/>
              </w:rPr>
            </w:pPr>
            <w:r w:rsidRPr="00D62101">
              <w:rPr>
                <w:rFonts w:ascii="Arial" w:hAnsi="Arial" w:cs="Arial"/>
                <w:sz w:val="20"/>
                <w:szCs w:val="20"/>
              </w:rPr>
              <w:t>Višak primitaka od financijske imovine</w:t>
            </w:r>
          </w:p>
        </w:tc>
        <w:tc>
          <w:tcPr>
            <w:tcW w:w="1900" w:type="dxa"/>
            <w:tcBorders>
              <w:top w:val="single" w:sz="4" w:space="0" w:color="auto"/>
              <w:left w:val="nil"/>
              <w:bottom w:val="single" w:sz="8" w:space="0" w:color="auto"/>
              <w:right w:val="single" w:sz="8" w:space="0" w:color="auto"/>
            </w:tcBorders>
            <w:vAlign w:val="center"/>
          </w:tcPr>
          <w:p w14:paraId="58AD42B1" w14:textId="77777777" w:rsidR="00863317" w:rsidRPr="00D62101" w:rsidRDefault="00863317" w:rsidP="00D62101">
            <w:pPr>
              <w:spacing w:after="0" w:line="240" w:lineRule="auto"/>
              <w:jc w:val="right"/>
              <w:rPr>
                <w:rFonts w:ascii="Arial" w:hAnsi="Arial" w:cs="Arial"/>
                <w:sz w:val="20"/>
                <w:szCs w:val="20"/>
              </w:rPr>
            </w:pPr>
            <w:r w:rsidRPr="00D62101">
              <w:rPr>
                <w:rFonts w:ascii="Arial" w:hAnsi="Arial" w:cs="Arial"/>
                <w:sz w:val="20"/>
                <w:szCs w:val="20"/>
              </w:rPr>
              <w:t>3.079.325,130</w:t>
            </w:r>
          </w:p>
        </w:tc>
      </w:tr>
      <w:tr w:rsidR="00863317" w:rsidRPr="00D62101" w14:paraId="1742D4BF" w14:textId="77777777" w:rsidTr="00A765A7">
        <w:trPr>
          <w:trHeight w:val="315"/>
          <w:jc w:val="center"/>
        </w:trPr>
        <w:tc>
          <w:tcPr>
            <w:tcW w:w="1881" w:type="dxa"/>
            <w:tcBorders>
              <w:top w:val="nil"/>
              <w:left w:val="single" w:sz="8" w:space="0" w:color="auto"/>
              <w:bottom w:val="single" w:sz="8" w:space="0" w:color="auto"/>
              <w:right w:val="single" w:sz="8" w:space="0" w:color="auto"/>
            </w:tcBorders>
            <w:shd w:val="clear" w:color="000000" w:fill="FFFFFF"/>
            <w:vAlign w:val="center"/>
            <w:hideMark/>
          </w:tcPr>
          <w:p w14:paraId="1AE6CBC9" w14:textId="77777777" w:rsidR="00863317" w:rsidRPr="00D62101" w:rsidRDefault="00863317" w:rsidP="00D62101">
            <w:pPr>
              <w:spacing w:after="0" w:line="240" w:lineRule="auto"/>
              <w:rPr>
                <w:rFonts w:ascii="Arial" w:hAnsi="Arial" w:cs="Arial"/>
                <w:sz w:val="20"/>
                <w:szCs w:val="20"/>
              </w:rPr>
            </w:pPr>
            <w:r w:rsidRPr="00D62101">
              <w:rPr>
                <w:rFonts w:ascii="Arial" w:hAnsi="Arial" w:cs="Arial"/>
                <w:sz w:val="20"/>
                <w:szCs w:val="20"/>
              </w:rPr>
              <w:t> </w:t>
            </w:r>
          </w:p>
        </w:tc>
        <w:tc>
          <w:tcPr>
            <w:tcW w:w="4840" w:type="dxa"/>
            <w:tcBorders>
              <w:top w:val="nil"/>
              <w:left w:val="nil"/>
              <w:bottom w:val="single" w:sz="8" w:space="0" w:color="auto"/>
              <w:right w:val="single" w:sz="8" w:space="0" w:color="auto"/>
            </w:tcBorders>
            <w:shd w:val="clear" w:color="000000" w:fill="FFFFFF"/>
            <w:vAlign w:val="center"/>
            <w:hideMark/>
          </w:tcPr>
          <w:p w14:paraId="23248EA6" w14:textId="77777777" w:rsidR="00863317" w:rsidRPr="00D62101" w:rsidRDefault="00863317" w:rsidP="00D62101">
            <w:pPr>
              <w:spacing w:after="0" w:line="240" w:lineRule="auto"/>
              <w:jc w:val="center"/>
              <w:rPr>
                <w:rFonts w:ascii="Arial" w:hAnsi="Arial" w:cs="Arial"/>
                <w:b/>
                <w:bCs/>
                <w:sz w:val="20"/>
                <w:szCs w:val="20"/>
              </w:rPr>
            </w:pPr>
            <w:r w:rsidRPr="00D62101">
              <w:rPr>
                <w:rFonts w:ascii="Arial" w:hAnsi="Arial" w:cs="Arial"/>
                <w:b/>
                <w:bCs/>
                <w:sz w:val="20"/>
                <w:szCs w:val="20"/>
              </w:rPr>
              <w:t>U  k  u  p  n  o   v i š a k</w:t>
            </w:r>
          </w:p>
        </w:tc>
        <w:tc>
          <w:tcPr>
            <w:tcW w:w="1900" w:type="dxa"/>
            <w:tcBorders>
              <w:top w:val="nil"/>
              <w:left w:val="nil"/>
              <w:bottom w:val="single" w:sz="8" w:space="0" w:color="auto"/>
              <w:right w:val="single" w:sz="8" w:space="0" w:color="auto"/>
            </w:tcBorders>
            <w:vAlign w:val="center"/>
            <w:hideMark/>
          </w:tcPr>
          <w:p w14:paraId="4C814BB9" w14:textId="77777777" w:rsidR="00863317" w:rsidRPr="00D62101" w:rsidRDefault="00863317" w:rsidP="00D62101">
            <w:pPr>
              <w:spacing w:after="0" w:line="240" w:lineRule="auto"/>
              <w:jc w:val="right"/>
              <w:rPr>
                <w:rFonts w:ascii="Arial" w:hAnsi="Arial" w:cs="Arial"/>
                <w:b/>
                <w:bCs/>
                <w:sz w:val="20"/>
                <w:szCs w:val="20"/>
              </w:rPr>
            </w:pPr>
            <w:r w:rsidRPr="00D62101">
              <w:rPr>
                <w:rFonts w:ascii="Arial" w:hAnsi="Arial" w:cs="Arial"/>
                <w:b/>
                <w:bCs/>
                <w:sz w:val="20"/>
                <w:szCs w:val="20"/>
              </w:rPr>
              <w:fldChar w:fldCharType="begin"/>
            </w:r>
            <w:r w:rsidRPr="00D62101">
              <w:rPr>
                <w:rFonts w:ascii="Arial" w:hAnsi="Arial" w:cs="Arial"/>
                <w:b/>
                <w:bCs/>
                <w:sz w:val="20"/>
                <w:szCs w:val="20"/>
              </w:rPr>
              <w:instrText xml:space="preserve"> =SUM(ABOVE) </w:instrText>
            </w:r>
            <w:r w:rsidRPr="00D62101">
              <w:rPr>
                <w:rFonts w:ascii="Arial" w:hAnsi="Arial" w:cs="Arial"/>
                <w:b/>
                <w:bCs/>
                <w:sz w:val="20"/>
                <w:szCs w:val="20"/>
              </w:rPr>
              <w:fldChar w:fldCharType="separate"/>
            </w:r>
            <w:r w:rsidRPr="00D62101">
              <w:rPr>
                <w:rFonts w:ascii="Arial" w:hAnsi="Arial" w:cs="Arial"/>
                <w:b/>
                <w:bCs/>
                <w:noProof/>
                <w:sz w:val="20"/>
                <w:szCs w:val="20"/>
              </w:rPr>
              <w:t>1.169.846,09</w:t>
            </w:r>
            <w:r w:rsidRPr="00D62101">
              <w:rPr>
                <w:rFonts w:ascii="Arial" w:hAnsi="Arial" w:cs="Arial"/>
                <w:b/>
                <w:bCs/>
                <w:sz w:val="20"/>
                <w:szCs w:val="20"/>
              </w:rPr>
              <w:fldChar w:fldCharType="end"/>
            </w:r>
          </w:p>
        </w:tc>
      </w:tr>
    </w:tbl>
    <w:p w14:paraId="79E8635F" w14:textId="77777777" w:rsidR="00863317" w:rsidRPr="00D62101" w:rsidRDefault="00863317" w:rsidP="00D62101">
      <w:pPr>
        <w:spacing w:after="0" w:line="240" w:lineRule="auto"/>
        <w:jc w:val="both"/>
        <w:rPr>
          <w:rFonts w:ascii="Arial" w:hAnsi="Arial" w:cs="Arial"/>
          <w:sz w:val="20"/>
          <w:szCs w:val="20"/>
        </w:rPr>
      </w:pPr>
    </w:p>
    <w:p w14:paraId="7E605B0C" w14:textId="2B309439" w:rsidR="00D56E20" w:rsidRDefault="00D62101" w:rsidP="00D62101">
      <w:pPr>
        <w:spacing w:after="0" w:line="240" w:lineRule="auto"/>
        <w:rPr>
          <w:rFonts w:ascii="Arial" w:hAnsi="Arial" w:cs="Arial"/>
          <w:sz w:val="20"/>
          <w:szCs w:val="20"/>
        </w:rPr>
      </w:pPr>
      <w:r>
        <w:rPr>
          <w:rFonts w:ascii="Arial" w:hAnsi="Arial" w:cs="Arial"/>
          <w:sz w:val="20"/>
          <w:szCs w:val="20"/>
        </w:rPr>
        <w:t xml:space="preserve">U okviru zbirnog manjka prihoda od nefinancijske imovine i dalje su </w:t>
      </w:r>
      <w:r w:rsidR="0042046A">
        <w:rPr>
          <w:rFonts w:ascii="Arial" w:hAnsi="Arial" w:cs="Arial"/>
          <w:sz w:val="20"/>
          <w:szCs w:val="20"/>
        </w:rPr>
        <w:t>raspoloživa sredstva od prodaje zemljišta u budućoj poduzetničkoj zoni (namjenska sredstva za projektiranje, uređenje, gradnju zone i slično)</w:t>
      </w:r>
      <w:r w:rsidR="009B403C">
        <w:rPr>
          <w:rFonts w:ascii="Arial" w:hAnsi="Arial" w:cs="Arial"/>
          <w:sz w:val="20"/>
          <w:szCs w:val="20"/>
        </w:rPr>
        <w:t>, a manjak nefinancijske imovine je rezultat većih ulaganja u nefinancijsku imovinu za koju još nisu ostvareni namjenski prihodi od pomoći.</w:t>
      </w:r>
      <w:r w:rsidR="0042046A">
        <w:rPr>
          <w:rFonts w:ascii="Arial" w:hAnsi="Arial" w:cs="Arial"/>
          <w:sz w:val="20"/>
          <w:szCs w:val="20"/>
        </w:rPr>
        <w:t xml:space="preserve"> </w:t>
      </w:r>
      <w:r w:rsidR="00291111">
        <w:rPr>
          <w:rFonts w:ascii="Arial" w:hAnsi="Arial" w:cs="Arial"/>
          <w:sz w:val="20"/>
          <w:szCs w:val="20"/>
        </w:rPr>
        <w:t>Višak</w:t>
      </w:r>
      <w:r w:rsidR="005A3A48">
        <w:rPr>
          <w:rFonts w:ascii="Arial" w:hAnsi="Arial" w:cs="Arial"/>
          <w:sz w:val="20"/>
          <w:szCs w:val="20"/>
        </w:rPr>
        <w:t xml:space="preserve"> primitaka od financijske imovine se u cijelosti odnos</w:t>
      </w:r>
      <w:r w:rsidR="00291111">
        <w:rPr>
          <w:rFonts w:ascii="Arial" w:hAnsi="Arial" w:cs="Arial"/>
          <w:sz w:val="20"/>
          <w:szCs w:val="20"/>
        </w:rPr>
        <w:t>i</w:t>
      </w:r>
      <w:r w:rsidR="005A3A48">
        <w:rPr>
          <w:rFonts w:ascii="Arial" w:hAnsi="Arial" w:cs="Arial"/>
          <w:sz w:val="20"/>
          <w:szCs w:val="20"/>
        </w:rPr>
        <w:t xml:space="preserve"> na sredstva kredita za izgradnju osnovne škole u Cavtatu. </w:t>
      </w:r>
    </w:p>
    <w:p w14:paraId="238331DC" w14:textId="77777777" w:rsidR="00D62101" w:rsidRPr="00F003ED" w:rsidRDefault="00D62101" w:rsidP="00F003ED">
      <w:pPr>
        <w:spacing w:after="0" w:line="240" w:lineRule="auto"/>
        <w:rPr>
          <w:rFonts w:ascii="Arial" w:hAnsi="Arial" w:cs="Arial"/>
          <w:sz w:val="18"/>
          <w:szCs w:val="18"/>
        </w:rPr>
      </w:pPr>
    </w:p>
    <w:p w14:paraId="11C5821E" w14:textId="4E30F0BC" w:rsidR="002F2DC1" w:rsidRPr="00F003ED" w:rsidRDefault="002F2DC1" w:rsidP="00F003ED">
      <w:pPr>
        <w:spacing w:after="0" w:line="240" w:lineRule="auto"/>
        <w:jc w:val="both"/>
        <w:rPr>
          <w:rFonts w:ascii="Arial" w:hAnsi="Arial" w:cs="Arial"/>
          <w:sz w:val="20"/>
          <w:szCs w:val="20"/>
        </w:rPr>
      </w:pPr>
      <w:r w:rsidRPr="00F003ED">
        <w:rPr>
          <w:rFonts w:ascii="Arial" w:hAnsi="Arial" w:cs="Arial"/>
          <w:sz w:val="20"/>
          <w:szCs w:val="20"/>
        </w:rPr>
        <w:t>Struktura utvrđenog rezultata poslovanja Općine Konavle prema izvorima financiranja je slijedeća:</w:t>
      </w:r>
    </w:p>
    <w:p w14:paraId="611D693A" w14:textId="77777777" w:rsidR="002F2DC1" w:rsidRPr="00F003ED" w:rsidRDefault="002F2DC1" w:rsidP="00F003ED">
      <w:pPr>
        <w:spacing w:after="0" w:line="240" w:lineRule="auto"/>
        <w:jc w:val="both"/>
        <w:rPr>
          <w:rFonts w:ascii="Arial" w:hAnsi="Arial" w:cs="Arial"/>
          <w:sz w:val="20"/>
          <w:szCs w:val="20"/>
        </w:rPr>
      </w:pPr>
    </w:p>
    <w:tbl>
      <w:tblPr>
        <w:tblW w:w="9634" w:type="dxa"/>
        <w:jc w:val="center"/>
        <w:tblLook w:val="04A0" w:firstRow="1" w:lastRow="0" w:firstColumn="1" w:lastColumn="0" w:noHBand="0" w:noVBand="1"/>
      </w:tblPr>
      <w:tblGrid>
        <w:gridCol w:w="2128"/>
        <w:gridCol w:w="5103"/>
        <w:gridCol w:w="2403"/>
      </w:tblGrid>
      <w:tr w:rsidR="002F2DC1" w:rsidRPr="00A401ED" w14:paraId="08C5F662" w14:textId="77777777" w:rsidTr="0015618E">
        <w:trPr>
          <w:trHeight w:val="369"/>
          <w:jc w:val="center"/>
        </w:trPr>
        <w:tc>
          <w:tcPr>
            <w:tcW w:w="2128" w:type="dxa"/>
            <w:tcBorders>
              <w:top w:val="single" w:sz="4" w:space="0" w:color="auto"/>
              <w:left w:val="single" w:sz="4" w:space="0" w:color="auto"/>
              <w:bottom w:val="single" w:sz="4" w:space="0" w:color="auto"/>
              <w:right w:val="single" w:sz="4" w:space="0" w:color="auto"/>
            </w:tcBorders>
            <w:vAlign w:val="center"/>
          </w:tcPr>
          <w:p w14:paraId="405AB5FB" w14:textId="77777777" w:rsidR="002F2DC1" w:rsidRPr="00A401ED" w:rsidRDefault="002F2DC1" w:rsidP="0015618E">
            <w:pPr>
              <w:spacing w:after="0" w:line="240" w:lineRule="auto"/>
              <w:jc w:val="center"/>
              <w:rPr>
                <w:rFonts w:ascii="Calibri" w:hAnsi="Calibri" w:cs="Calibri"/>
                <w:b/>
                <w:bCs/>
                <w:sz w:val="18"/>
                <w:szCs w:val="18"/>
              </w:rPr>
            </w:pPr>
            <w:r w:rsidRPr="00A401ED">
              <w:rPr>
                <w:rFonts w:ascii="Calibri" w:hAnsi="Calibri" w:cs="Calibri"/>
                <w:b/>
                <w:bCs/>
                <w:sz w:val="18"/>
                <w:szCs w:val="18"/>
              </w:rPr>
              <w:t xml:space="preserve">Brojčana oznaka izvora </w:t>
            </w:r>
          </w:p>
        </w:tc>
        <w:tc>
          <w:tcPr>
            <w:tcW w:w="5103" w:type="dxa"/>
            <w:tcBorders>
              <w:top w:val="single" w:sz="8" w:space="0" w:color="auto"/>
              <w:left w:val="single" w:sz="4" w:space="0" w:color="auto"/>
              <w:bottom w:val="single" w:sz="8" w:space="0" w:color="auto"/>
              <w:right w:val="single" w:sz="4" w:space="0" w:color="auto"/>
            </w:tcBorders>
            <w:noWrap/>
            <w:vAlign w:val="center"/>
            <w:hideMark/>
          </w:tcPr>
          <w:p w14:paraId="010630F7" w14:textId="7AF88498" w:rsidR="002F2DC1" w:rsidRPr="00A401ED" w:rsidRDefault="002F2DC1" w:rsidP="0015618E">
            <w:pPr>
              <w:spacing w:after="0" w:line="240" w:lineRule="auto"/>
              <w:jc w:val="center"/>
              <w:rPr>
                <w:rFonts w:ascii="Calibri" w:hAnsi="Calibri" w:cs="Calibri"/>
                <w:b/>
                <w:bCs/>
                <w:sz w:val="18"/>
                <w:szCs w:val="18"/>
              </w:rPr>
            </w:pPr>
            <w:r w:rsidRPr="00A401ED">
              <w:rPr>
                <w:rFonts w:ascii="Calibri" w:hAnsi="Calibri" w:cs="Calibri"/>
                <w:b/>
                <w:bCs/>
                <w:sz w:val="18"/>
                <w:szCs w:val="18"/>
              </w:rPr>
              <w:t>IZVOR Namjena viška / manjka prihoda po izvorima financiranja</w:t>
            </w:r>
          </w:p>
        </w:tc>
        <w:tc>
          <w:tcPr>
            <w:tcW w:w="2403" w:type="dxa"/>
            <w:tcBorders>
              <w:top w:val="single" w:sz="8" w:space="0" w:color="auto"/>
              <w:left w:val="nil"/>
              <w:bottom w:val="single" w:sz="8" w:space="0" w:color="auto"/>
              <w:right w:val="single" w:sz="8" w:space="0" w:color="auto"/>
            </w:tcBorders>
            <w:noWrap/>
            <w:vAlign w:val="center"/>
            <w:hideMark/>
          </w:tcPr>
          <w:p w14:paraId="09AE8F8E" w14:textId="1BFE2F60" w:rsidR="002F2DC1" w:rsidRPr="00A401ED" w:rsidRDefault="002F2DC1" w:rsidP="0015618E">
            <w:pPr>
              <w:spacing w:after="0" w:line="240" w:lineRule="auto"/>
              <w:jc w:val="center"/>
              <w:rPr>
                <w:rFonts w:ascii="Calibri" w:hAnsi="Calibri" w:cs="Calibri"/>
                <w:b/>
                <w:bCs/>
                <w:sz w:val="18"/>
                <w:szCs w:val="18"/>
              </w:rPr>
            </w:pPr>
            <w:r w:rsidRPr="00A401ED">
              <w:rPr>
                <w:rFonts w:ascii="Calibri" w:hAnsi="Calibri" w:cs="Calibri"/>
                <w:b/>
                <w:bCs/>
                <w:sz w:val="18"/>
                <w:szCs w:val="18"/>
              </w:rPr>
              <w:t>Ostvareni višak / manjak za 2025.g.</w:t>
            </w:r>
            <w:r w:rsidR="00F003ED">
              <w:rPr>
                <w:rFonts w:ascii="Calibri" w:hAnsi="Calibri" w:cs="Calibri"/>
                <w:b/>
                <w:bCs/>
                <w:sz w:val="18"/>
                <w:szCs w:val="18"/>
              </w:rPr>
              <w:t xml:space="preserve"> </w:t>
            </w:r>
            <w:r w:rsidRPr="00A401ED">
              <w:rPr>
                <w:rFonts w:ascii="Calibri" w:hAnsi="Calibri" w:cs="Calibri"/>
                <w:b/>
                <w:bCs/>
                <w:sz w:val="18"/>
                <w:szCs w:val="18"/>
              </w:rPr>
              <w:t>iznos (€)</w:t>
            </w:r>
          </w:p>
        </w:tc>
      </w:tr>
      <w:tr w:rsidR="002F2DC1" w:rsidRPr="00A401ED" w14:paraId="16717BB9" w14:textId="77777777" w:rsidTr="00F003ED">
        <w:trPr>
          <w:trHeight w:val="315"/>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2D89BF21"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 xml:space="preserve">Izvor 11 </w:t>
            </w:r>
          </w:p>
        </w:tc>
        <w:tc>
          <w:tcPr>
            <w:tcW w:w="5103" w:type="dxa"/>
            <w:tcBorders>
              <w:top w:val="nil"/>
              <w:left w:val="single" w:sz="4" w:space="0" w:color="auto"/>
              <w:bottom w:val="single" w:sz="8" w:space="0" w:color="auto"/>
              <w:right w:val="single" w:sz="8" w:space="0" w:color="auto"/>
            </w:tcBorders>
            <w:shd w:val="clear" w:color="000000" w:fill="FFFFFF"/>
            <w:vAlign w:val="center"/>
            <w:hideMark/>
          </w:tcPr>
          <w:p w14:paraId="1876314D"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Opći prihodi i primici, tekuća godina</w:t>
            </w:r>
          </w:p>
        </w:tc>
        <w:tc>
          <w:tcPr>
            <w:tcW w:w="2403" w:type="dxa"/>
            <w:tcBorders>
              <w:top w:val="nil"/>
              <w:left w:val="nil"/>
              <w:bottom w:val="single" w:sz="8" w:space="0" w:color="auto"/>
              <w:right w:val="single" w:sz="8" w:space="0" w:color="auto"/>
            </w:tcBorders>
            <w:vAlign w:val="center"/>
            <w:hideMark/>
          </w:tcPr>
          <w:p w14:paraId="094E286C" w14:textId="139AB02C" w:rsidR="002F2DC1" w:rsidRPr="00A401ED" w:rsidRDefault="002F2DC1" w:rsidP="0015618E">
            <w:pPr>
              <w:spacing w:after="0" w:line="240" w:lineRule="auto"/>
              <w:jc w:val="right"/>
              <w:rPr>
                <w:rFonts w:ascii="Arial" w:hAnsi="Arial" w:cs="Arial"/>
                <w:sz w:val="18"/>
                <w:szCs w:val="18"/>
              </w:rPr>
            </w:pPr>
            <w:r w:rsidRPr="00A401ED">
              <w:rPr>
                <w:rFonts w:ascii="Arial" w:hAnsi="Arial" w:cs="Arial"/>
                <w:sz w:val="18"/>
                <w:szCs w:val="18"/>
              </w:rPr>
              <w:t>1.21</w:t>
            </w:r>
            <w:r w:rsidR="00001C58">
              <w:rPr>
                <w:rFonts w:ascii="Arial" w:hAnsi="Arial" w:cs="Arial"/>
                <w:sz w:val="18"/>
                <w:szCs w:val="18"/>
              </w:rPr>
              <w:t>1</w:t>
            </w:r>
            <w:r w:rsidRPr="00A401ED">
              <w:rPr>
                <w:rFonts w:ascii="Arial" w:hAnsi="Arial" w:cs="Arial"/>
                <w:sz w:val="18"/>
                <w:szCs w:val="18"/>
              </w:rPr>
              <w:t>.775,68</w:t>
            </w:r>
          </w:p>
        </w:tc>
      </w:tr>
      <w:tr w:rsidR="002F2DC1" w:rsidRPr="00A401ED" w14:paraId="5F1ABB42" w14:textId="77777777" w:rsidTr="00F003ED">
        <w:trPr>
          <w:trHeight w:val="495"/>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1AA41C6F"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Izvor 52</w:t>
            </w:r>
          </w:p>
          <w:p w14:paraId="24E398F4"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(predfinanciranje 11)</w:t>
            </w:r>
          </w:p>
        </w:tc>
        <w:tc>
          <w:tcPr>
            <w:tcW w:w="5103" w:type="dxa"/>
            <w:tcBorders>
              <w:top w:val="nil"/>
              <w:left w:val="single" w:sz="4" w:space="0" w:color="auto"/>
              <w:bottom w:val="single" w:sz="8" w:space="0" w:color="auto"/>
              <w:right w:val="single" w:sz="8" w:space="0" w:color="auto"/>
            </w:tcBorders>
            <w:shd w:val="clear" w:color="000000" w:fill="FFFFFF"/>
            <w:vAlign w:val="center"/>
          </w:tcPr>
          <w:p w14:paraId="4A6F9F2F"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Tekuća pomoći Dubrovačko neretvanske županije (za sufinanciranje projekata izgradnje škole)</w:t>
            </w:r>
          </w:p>
        </w:tc>
        <w:tc>
          <w:tcPr>
            <w:tcW w:w="2403" w:type="dxa"/>
            <w:tcBorders>
              <w:top w:val="nil"/>
              <w:left w:val="nil"/>
              <w:bottom w:val="single" w:sz="8" w:space="0" w:color="auto"/>
              <w:right w:val="single" w:sz="8" w:space="0" w:color="auto"/>
            </w:tcBorders>
            <w:vAlign w:val="center"/>
          </w:tcPr>
          <w:p w14:paraId="373AA00C" w14:textId="77777777" w:rsidR="002F2DC1" w:rsidRPr="00A401ED" w:rsidRDefault="002F2DC1" w:rsidP="0015618E">
            <w:pPr>
              <w:spacing w:after="0" w:line="240" w:lineRule="auto"/>
              <w:jc w:val="right"/>
              <w:rPr>
                <w:rFonts w:ascii="Arial" w:hAnsi="Arial" w:cs="Arial"/>
                <w:sz w:val="18"/>
                <w:szCs w:val="18"/>
              </w:rPr>
            </w:pPr>
            <w:r w:rsidRPr="00A401ED">
              <w:rPr>
                <w:rFonts w:ascii="Arial" w:hAnsi="Arial" w:cs="Arial"/>
                <w:sz w:val="18"/>
                <w:szCs w:val="18"/>
              </w:rPr>
              <w:t>-1.018,75</w:t>
            </w:r>
          </w:p>
        </w:tc>
      </w:tr>
      <w:tr w:rsidR="002F2DC1" w:rsidRPr="00A401ED" w14:paraId="720ABDF4" w14:textId="77777777" w:rsidTr="00F003ED">
        <w:trPr>
          <w:trHeight w:val="495"/>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1F8EB715"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Izvor 52</w:t>
            </w:r>
          </w:p>
          <w:p w14:paraId="41126DE1"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(predfinanciranje 11)</w:t>
            </w:r>
          </w:p>
        </w:tc>
        <w:tc>
          <w:tcPr>
            <w:tcW w:w="5103" w:type="dxa"/>
            <w:tcBorders>
              <w:top w:val="nil"/>
              <w:left w:val="single" w:sz="4" w:space="0" w:color="auto"/>
              <w:bottom w:val="single" w:sz="8" w:space="0" w:color="auto"/>
              <w:right w:val="single" w:sz="8" w:space="0" w:color="auto"/>
            </w:tcBorders>
            <w:shd w:val="clear" w:color="000000" w:fill="FFFFFF"/>
            <w:vAlign w:val="center"/>
          </w:tcPr>
          <w:p w14:paraId="7B0E34FD"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Kapitalne pomoći Dubrovačko neretvanske županije (za sufinanciranje projekata izgradnje škole)</w:t>
            </w:r>
          </w:p>
        </w:tc>
        <w:tc>
          <w:tcPr>
            <w:tcW w:w="2403" w:type="dxa"/>
            <w:tcBorders>
              <w:top w:val="nil"/>
              <w:left w:val="nil"/>
              <w:bottom w:val="single" w:sz="8" w:space="0" w:color="auto"/>
              <w:right w:val="single" w:sz="8" w:space="0" w:color="auto"/>
            </w:tcBorders>
            <w:vAlign w:val="center"/>
          </w:tcPr>
          <w:p w14:paraId="6B13CF75" w14:textId="77777777" w:rsidR="002F2DC1" w:rsidRPr="00A401ED" w:rsidRDefault="002F2DC1" w:rsidP="0015618E">
            <w:pPr>
              <w:spacing w:after="0" w:line="240" w:lineRule="auto"/>
              <w:jc w:val="right"/>
              <w:rPr>
                <w:rFonts w:ascii="Arial" w:hAnsi="Arial" w:cs="Arial"/>
                <w:sz w:val="18"/>
                <w:szCs w:val="18"/>
              </w:rPr>
            </w:pPr>
            <w:r w:rsidRPr="00A401ED">
              <w:rPr>
                <w:rFonts w:ascii="Arial" w:hAnsi="Arial" w:cs="Arial"/>
                <w:sz w:val="18"/>
                <w:szCs w:val="18"/>
              </w:rPr>
              <w:t>-124.581,39</w:t>
            </w:r>
          </w:p>
        </w:tc>
      </w:tr>
      <w:tr w:rsidR="002F2DC1" w:rsidRPr="00A401ED" w14:paraId="6313A669" w14:textId="77777777" w:rsidTr="00F003ED">
        <w:trPr>
          <w:trHeight w:val="495"/>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21261CA0"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Izvor 581</w:t>
            </w:r>
          </w:p>
          <w:p w14:paraId="4E24D7A7"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(predfinanciranje 00)</w:t>
            </w:r>
          </w:p>
        </w:tc>
        <w:tc>
          <w:tcPr>
            <w:tcW w:w="5103" w:type="dxa"/>
            <w:tcBorders>
              <w:top w:val="nil"/>
              <w:left w:val="single" w:sz="4" w:space="0" w:color="auto"/>
              <w:bottom w:val="single" w:sz="8" w:space="0" w:color="auto"/>
              <w:right w:val="single" w:sz="8" w:space="0" w:color="auto"/>
            </w:tcBorders>
            <w:shd w:val="clear" w:color="000000" w:fill="FFFFFF"/>
            <w:vAlign w:val="center"/>
          </w:tcPr>
          <w:p w14:paraId="7671FDFA"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Kapitalne pomoći iz proračuna Dubrovačko neretvanske županije temeljem prijenosa EU sredstava (za sufinanciranje projekata izgradnje škole)</w:t>
            </w:r>
          </w:p>
        </w:tc>
        <w:tc>
          <w:tcPr>
            <w:tcW w:w="2403" w:type="dxa"/>
            <w:tcBorders>
              <w:top w:val="nil"/>
              <w:left w:val="nil"/>
              <w:bottom w:val="single" w:sz="8" w:space="0" w:color="auto"/>
              <w:right w:val="single" w:sz="8" w:space="0" w:color="auto"/>
            </w:tcBorders>
            <w:vAlign w:val="center"/>
          </w:tcPr>
          <w:p w14:paraId="0E2957A2" w14:textId="77777777" w:rsidR="002F2DC1" w:rsidRPr="00A401ED" w:rsidRDefault="002F2DC1" w:rsidP="0015618E">
            <w:pPr>
              <w:spacing w:after="0" w:line="240" w:lineRule="auto"/>
              <w:jc w:val="right"/>
              <w:rPr>
                <w:rFonts w:ascii="Arial" w:hAnsi="Arial" w:cs="Arial"/>
                <w:sz w:val="18"/>
                <w:szCs w:val="18"/>
              </w:rPr>
            </w:pPr>
            <w:r w:rsidRPr="00A401ED">
              <w:rPr>
                <w:rFonts w:ascii="Arial" w:hAnsi="Arial" w:cs="Arial"/>
                <w:sz w:val="18"/>
                <w:szCs w:val="18"/>
              </w:rPr>
              <w:t>-1.343.167,89</w:t>
            </w:r>
          </w:p>
        </w:tc>
      </w:tr>
      <w:tr w:rsidR="002F2DC1" w:rsidRPr="00A401ED" w14:paraId="46527A70" w14:textId="77777777" w:rsidTr="00F003ED">
        <w:trPr>
          <w:trHeight w:val="495"/>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03E3EBB5"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lastRenderedPageBreak/>
              <w:t>Izvor 581</w:t>
            </w:r>
          </w:p>
          <w:p w14:paraId="59D61EE6"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(predfinanciranje 11)</w:t>
            </w:r>
          </w:p>
        </w:tc>
        <w:tc>
          <w:tcPr>
            <w:tcW w:w="5103" w:type="dxa"/>
            <w:tcBorders>
              <w:top w:val="nil"/>
              <w:left w:val="single" w:sz="4" w:space="0" w:color="auto"/>
              <w:bottom w:val="single" w:sz="8" w:space="0" w:color="auto"/>
              <w:right w:val="single" w:sz="8" w:space="0" w:color="auto"/>
            </w:tcBorders>
            <w:shd w:val="clear" w:color="000000" w:fill="FFFFFF"/>
            <w:vAlign w:val="center"/>
          </w:tcPr>
          <w:p w14:paraId="066C347A"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Kapitalne pomoći iz proračuna Dubrovačko neretvanske županije temeljem prijenosa EU sredstava (za sufinanciranje projekata izgradnje škole)</w:t>
            </w:r>
          </w:p>
        </w:tc>
        <w:tc>
          <w:tcPr>
            <w:tcW w:w="2403" w:type="dxa"/>
            <w:tcBorders>
              <w:top w:val="nil"/>
              <w:left w:val="nil"/>
              <w:bottom w:val="single" w:sz="8" w:space="0" w:color="auto"/>
              <w:right w:val="single" w:sz="8" w:space="0" w:color="auto"/>
            </w:tcBorders>
            <w:vAlign w:val="center"/>
          </w:tcPr>
          <w:p w14:paraId="0025D469" w14:textId="77777777" w:rsidR="002F2DC1" w:rsidRPr="00A401ED" w:rsidRDefault="002F2DC1" w:rsidP="0015618E">
            <w:pPr>
              <w:spacing w:after="0" w:line="240" w:lineRule="auto"/>
              <w:jc w:val="right"/>
              <w:rPr>
                <w:rFonts w:ascii="Arial" w:hAnsi="Arial" w:cs="Arial"/>
                <w:sz w:val="18"/>
                <w:szCs w:val="18"/>
              </w:rPr>
            </w:pPr>
            <w:r w:rsidRPr="00A401ED">
              <w:rPr>
                <w:rFonts w:ascii="Arial" w:hAnsi="Arial" w:cs="Arial"/>
                <w:sz w:val="18"/>
                <w:szCs w:val="18"/>
              </w:rPr>
              <w:t>-83.737,96</w:t>
            </w:r>
          </w:p>
        </w:tc>
      </w:tr>
      <w:tr w:rsidR="002F2DC1" w:rsidRPr="00A401ED" w14:paraId="2F44927E" w14:textId="77777777" w:rsidTr="00F003ED">
        <w:trPr>
          <w:trHeight w:val="495"/>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653000AA"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Izvor 581</w:t>
            </w:r>
          </w:p>
          <w:p w14:paraId="7D966A26"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(predfinanciranje 81)</w:t>
            </w:r>
          </w:p>
        </w:tc>
        <w:tc>
          <w:tcPr>
            <w:tcW w:w="5103" w:type="dxa"/>
            <w:tcBorders>
              <w:top w:val="nil"/>
              <w:left w:val="single" w:sz="4" w:space="0" w:color="auto"/>
              <w:bottom w:val="single" w:sz="8" w:space="0" w:color="auto"/>
              <w:right w:val="single" w:sz="8" w:space="0" w:color="auto"/>
            </w:tcBorders>
            <w:shd w:val="clear" w:color="000000" w:fill="FFFFFF"/>
            <w:vAlign w:val="center"/>
          </w:tcPr>
          <w:p w14:paraId="0E731F55"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Kapitalne pomoći iz proračuna Dubrovačko neretvanske županije temeljem prijenosa EU sredstava (za sufinanciranje projekata izgradnje škole)</w:t>
            </w:r>
          </w:p>
        </w:tc>
        <w:tc>
          <w:tcPr>
            <w:tcW w:w="2403" w:type="dxa"/>
            <w:tcBorders>
              <w:top w:val="nil"/>
              <w:left w:val="nil"/>
              <w:bottom w:val="single" w:sz="8" w:space="0" w:color="auto"/>
              <w:right w:val="single" w:sz="8" w:space="0" w:color="auto"/>
            </w:tcBorders>
            <w:vAlign w:val="center"/>
          </w:tcPr>
          <w:p w14:paraId="7185A62A" w14:textId="77777777" w:rsidR="002F2DC1" w:rsidRPr="00A401ED" w:rsidRDefault="002F2DC1" w:rsidP="0015618E">
            <w:pPr>
              <w:spacing w:after="0" w:line="240" w:lineRule="auto"/>
              <w:jc w:val="right"/>
              <w:rPr>
                <w:rFonts w:ascii="Arial" w:hAnsi="Arial" w:cs="Arial"/>
                <w:sz w:val="18"/>
                <w:szCs w:val="18"/>
              </w:rPr>
            </w:pPr>
            <w:r w:rsidRPr="00A401ED">
              <w:rPr>
                <w:rFonts w:ascii="Arial" w:hAnsi="Arial" w:cs="Arial"/>
                <w:sz w:val="18"/>
                <w:szCs w:val="18"/>
              </w:rPr>
              <w:t>-3.597.207,76</w:t>
            </w:r>
          </w:p>
        </w:tc>
      </w:tr>
      <w:tr w:rsidR="002F2DC1" w:rsidRPr="00A401ED" w14:paraId="616CE377" w14:textId="77777777" w:rsidTr="00F003ED">
        <w:trPr>
          <w:trHeight w:val="495"/>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74B4C1B7"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Izvor 563</w:t>
            </w:r>
          </w:p>
          <w:p w14:paraId="5578706E"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(predfinanciranje 11)</w:t>
            </w:r>
          </w:p>
        </w:tc>
        <w:tc>
          <w:tcPr>
            <w:tcW w:w="5103" w:type="dxa"/>
            <w:tcBorders>
              <w:top w:val="nil"/>
              <w:left w:val="nil"/>
              <w:bottom w:val="single" w:sz="8" w:space="0" w:color="auto"/>
              <w:right w:val="single" w:sz="8" w:space="0" w:color="auto"/>
            </w:tcBorders>
            <w:shd w:val="clear" w:color="000000" w:fill="FFFFFF"/>
            <w:vAlign w:val="center"/>
          </w:tcPr>
          <w:p w14:paraId="087E1BFC"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Tekuće pomoći od institucija i tijela EU (projekt CIRCUS)</w:t>
            </w:r>
          </w:p>
        </w:tc>
        <w:tc>
          <w:tcPr>
            <w:tcW w:w="2403" w:type="dxa"/>
            <w:tcBorders>
              <w:top w:val="single" w:sz="8" w:space="0" w:color="auto"/>
              <w:left w:val="nil"/>
              <w:bottom w:val="single" w:sz="8" w:space="0" w:color="auto"/>
              <w:right w:val="single" w:sz="8" w:space="0" w:color="auto"/>
            </w:tcBorders>
            <w:vAlign w:val="center"/>
          </w:tcPr>
          <w:p w14:paraId="690434DD" w14:textId="77777777" w:rsidR="002F2DC1" w:rsidRPr="00A401ED" w:rsidRDefault="002F2DC1" w:rsidP="0015618E">
            <w:pPr>
              <w:spacing w:after="0" w:line="240" w:lineRule="auto"/>
              <w:jc w:val="right"/>
              <w:rPr>
                <w:rFonts w:ascii="Arial" w:hAnsi="Arial" w:cs="Arial"/>
                <w:sz w:val="18"/>
                <w:szCs w:val="18"/>
              </w:rPr>
            </w:pPr>
            <w:r w:rsidRPr="00A401ED">
              <w:rPr>
                <w:rFonts w:ascii="Arial" w:hAnsi="Arial" w:cs="Arial"/>
                <w:sz w:val="18"/>
                <w:szCs w:val="18"/>
              </w:rPr>
              <w:t>-17.308,00</w:t>
            </w:r>
          </w:p>
        </w:tc>
      </w:tr>
      <w:tr w:rsidR="002F2DC1" w:rsidRPr="00A401ED" w14:paraId="75B0DB88" w14:textId="77777777" w:rsidTr="00F003ED">
        <w:trPr>
          <w:trHeight w:val="495"/>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295F3CA0"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Izvor 563</w:t>
            </w:r>
          </w:p>
          <w:p w14:paraId="45A58B49"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(predfinanciranje 11)</w:t>
            </w:r>
          </w:p>
        </w:tc>
        <w:tc>
          <w:tcPr>
            <w:tcW w:w="5103" w:type="dxa"/>
            <w:tcBorders>
              <w:top w:val="nil"/>
              <w:left w:val="nil"/>
              <w:bottom w:val="single" w:sz="8" w:space="0" w:color="auto"/>
              <w:right w:val="single" w:sz="8" w:space="0" w:color="auto"/>
            </w:tcBorders>
            <w:shd w:val="clear" w:color="000000" w:fill="FFFFFF"/>
            <w:vAlign w:val="center"/>
          </w:tcPr>
          <w:p w14:paraId="7ADD3C18"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Tekuće pomoći od inozemnih vlada (projekt "To 0 waste")</w:t>
            </w:r>
          </w:p>
        </w:tc>
        <w:tc>
          <w:tcPr>
            <w:tcW w:w="2403" w:type="dxa"/>
            <w:tcBorders>
              <w:top w:val="nil"/>
              <w:left w:val="nil"/>
              <w:bottom w:val="single" w:sz="8" w:space="0" w:color="auto"/>
              <w:right w:val="single" w:sz="8" w:space="0" w:color="auto"/>
            </w:tcBorders>
            <w:vAlign w:val="center"/>
          </w:tcPr>
          <w:p w14:paraId="145756FD" w14:textId="77777777" w:rsidR="002F2DC1" w:rsidRPr="00A401ED" w:rsidRDefault="002F2DC1" w:rsidP="0015618E">
            <w:pPr>
              <w:spacing w:after="0" w:line="240" w:lineRule="auto"/>
              <w:jc w:val="right"/>
              <w:rPr>
                <w:rFonts w:ascii="Arial" w:hAnsi="Arial" w:cs="Arial"/>
                <w:sz w:val="18"/>
                <w:szCs w:val="18"/>
              </w:rPr>
            </w:pPr>
            <w:r w:rsidRPr="00A401ED">
              <w:rPr>
                <w:rFonts w:ascii="Arial" w:hAnsi="Arial" w:cs="Arial"/>
                <w:sz w:val="18"/>
                <w:szCs w:val="18"/>
              </w:rPr>
              <w:t>-29.666,91</w:t>
            </w:r>
          </w:p>
        </w:tc>
      </w:tr>
      <w:tr w:rsidR="002F2DC1" w:rsidRPr="00A401ED" w14:paraId="044A4979" w14:textId="77777777" w:rsidTr="00F003ED">
        <w:trPr>
          <w:trHeight w:val="495"/>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1CE2F661"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Izvor 563</w:t>
            </w:r>
          </w:p>
          <w:p w14:paraId="4A12B863"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(predfinanciranje 11)</w:t>
            </w:r>
          </w:p>
        </w:tc>
        <w:tc>
          <w:tcPr>
            <w:tcW w:w="5103" w:type="dxa"/>
            <w:tcBorders>
              <w:top w:val="nil"/>
              <w:left w:val="nil"/>
              <w:bottom w:val="single" w:sz="8" w:space="0" w:color="auto"/>
              <w:right w:val="single" w:sz="8" w:space="0" w:color="auto"/>
            </w:tcBorders>
            <w:shd w:val="clear" w:color="000000" w:fill="FFFFFF"/>
            <w:vAlign w:val="center"/>
          </w:tcPr>
          <w:p w14:paraId="4B387CF0"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Tekuće pomoći od inozemnih vlada (projekt "Waterlink")</w:t>
            </w:r>
          </w:p>
        </w:tc>
        <w:tc>
          <w:tcPr>
            <w:tcW w:w="2403" w:type="dxa"/>
            <w:tcBorders>
              <w:top w:val="nil"/>
              <w:left w:val="nil"/>
              <w:bottom w:val="single" w:sz="8" w:space="0" w:color="auto"/>
              <w:right w:val="single" w:sz="8" w:space="0" w:color="auto"/>
            </w:tcBorders>
            <w:vAlign w:val="center"/>
          </w:tcPr>
          <w:p w14:paraId="511DEE42" w14:textId="77777777" w:rsidR="002F2DC1" w:rsidRPr="00A401ED" w:rsidRDefault="002F2DC1" w:rsidP="0015618E">
            <w:pPr>
              <w:spacing w:after="0" w:line="240" w:lineRule="auto"/>
              <w:jc w:val="right"/>
              <w:rPr>
                <w:rFonts w:ascii="Arial" w:hAnsi="Arial" w:cs="Arial"/>
                <w:sz w:val="18"/>
                <w:szCs w:val="18"/>
              </w:rPr>
            </w:pPr>
            <w:r w:rsidRPr="00A401ED">
              <w:rPr>
                <w:rFonts w:ascii="Arial" w:hAnsi="Arial" w:cs="Arial"/>
                <w:sz w:val="18"/>
                <w:szCs w:val="18"/>
              </w:rPr>
              <w:t>-74.978,22</w:t>
            </w:r>
          </w:p>
        </w:tc>
      </w:tr>
      <w:tr w:rsidR="002F2DC1" w:rsidRPr="00A401ED" w14:paraId="589AF174" w14:textId="77777777" w:rsidTr="00F003ED">
        <w:trPr>
          <w:trHeight w:val="495"/>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30F16539"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Izvor 563</w:t>
            </w:r>
          </w:p>
          <w:p w14:paraId="37C51360"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(predfinanciranje 11)</w:t>
            </w:r>
          </w:p>
        </w:tc>
        <w:tc>
          <w:tcPr>
            <w:tcW w:w="5103" w:type="dxa"/>
            <w:tcBorders>
              <w:top w:val="nil"/>
              <w:left w:val="nil"/>
              <w:bottom w:val="single" w:sz="8" w:space="0" w:color="auto"/>
              <w:right w:val="single" w:sz="8" w:space="0" w:color="auto"/>
            </w:tcBorders>
            <w:shd w:val="clear" w:color="000000" w:fill="FFFFFF"/>
            <w:vAlign w:val="center"/>
          </w:tcPr>
          <w:p w14:paraId="1E851149"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Kapitalne pomoći od inozemnih vlada (projekt "To 0 waste")</w:t>
            </w:r>
          </w:p>
        </w:tc>
        <w:tc>
          <w:tcPr>
            <w:tcW w:w="2403" w:type="dxa"/>
            <w:tcBorders>
              <w:top w:val="nil"/>
              <w:left w:val="nil"/>
              <w:bottom w:val="single" w:sz="8" w:space="0" w:color="auto"/>
              <w:right w:val="single" w:sz="8" w:space="0" w:color="auto"/>
            </w:tcBorders>
            <w:vAlign w:val="center"/>
          </w:tcPr>
          <w:p w14:paraId="71F4D4F7" w14:textId="77777777" w:rsidR="002F2DC1" w:rsidRPr="00A401ED" w:rsidRDefault="002F2DC1" w:rsidP="0015618E">
            <w:pPr>
              <w:spacing w:after="0" w:line="240" w:lineRule="auto"/>
              <w:jc w:val="right"/>
              <w:rPr>
                <w:rFonts w:ascii="Arial" w:hAnsi="Arial" w:cs="Arial"/>
                <w:sz w:val="18"/>
                <w:szCs w:val="18"/>
              </w:rPr>
            </w:pPr>
            <w:r w:rsidRPr="00A401ED">
              <w:rPr>
                <w:rFonts w:ascii="Arial" w:hAnsi="Arial" w:cs="Arial"/>
                <w:sz w:val="18"/>
                <w:szCs w:val="18"/>
              </w:rPr>
              <w:t>-263.768,78</w:t>
            </w:r>
          </w:p>
        </w:tc>
      </w:tr>
      <w:tr w:rsidR="002F2DC1" w:rsidRPr="00A401ED" w14:paraId="00F240B5" w14:textId="77777777" w:rsidTr="00F003ED">
        <w:trPr>
          <w:trHeight w:val="495"/>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4B2DD45E"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Izvor 563</w:t>
            </w:r>
          </w:p>
          <w:p w14:paraId="38390333"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(predfinanciranje 11)</w:t>
            </w:r>
          </w:p>
        </w:tc>
        <w:tc>
          <w:tcPr>
            <w:tcW w:w="5103" w:type="dxa"/>
            <w:tcBorders>
              <w:top w:val="nil"/>
              <w:left w:val="nil"/>
              <w:bottom w:val="single" w:sz="8" w:space="0" w:color="auto"/>
              <w:right w:val="single" w:sz="8" w:space="0" w:color="auto"/>
            </w:tcBorders>
            <w:shd w:val="clear" w:color="000000" w:fill="FFFFFF"/>
            <w:vAlign w:val="center"/>
          </w:tcPr>
          <w:p w14:paraId="7E3C8853"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Kapitalna pomoći od inozemnih vlada (projekt "Waterlink")</w:t>
            </w:r>
          </w:p>
        </w:tc>
        <w:tc>
          <w:tcPr>
            <w:tcW w:w="2403" w:type="dxa"/>
            <w:tcBorders>
              <w:top w:val="nil"/>
              <w:left w:val="nil"/>
              <w:bottom w:val="single" w:sz="8" w:space="0" w:color="auto"/>
              <w:right w:val="single" w:sz="8" w:space="0" w:color="auto"/>
            </w:tcBorders>
            <w:vAlign w:val="center"/>
          </w:tcPr>
          <w:p w14:paraId="7346DF52" w14:textId="77777777" w:rsidR="002F2DC1" w:rsidRPr="00A401ED" w:rsidRDefault="002F2DC1" w:rsidP="0015618E">
            <w:pPr>
              <w:spacing w:after="0" w:line="240" w:lineRule="auto"/>
              <w:jc w:val="right"/>
              <w:rPr>
                <w:rFonts w:ascii="Arial" w:hAnsi="Arial" w:cs="Arial"/>
                <w:sz w:val="18"/>
                <w:szCs w:val="18"/>
              </w:rPr>
            </w:pPr>
            <w:r w:rsidRPr="00A401ED">
              <w:rPr>
                <w:rFonts w:ascii="Arial" w:hAnsi="Arial" w:cs="Arial"/>
                <w:sz w:val="18"/>
                <w:szCs w:val="18"/>
              </w:rPr>
              <w:t>-91.783,23</w:t>
            </w:r>
          </w:p>
        </w:tc>
      </w:tr>
      <w:tr w:rsidR="002F2DC1" w:rsidRPr="00A401ED" w14:paraId="0E0F0824" w14:textId="77777777" w:rsidTr="00F003ED">
        <w:trPr>
          <w:trHeight w:val="438"/>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68A9133A"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Izvor 61</w:t>
            </w:r>
          </w:p>
          <w:p w14:paraId="3953901B"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(predfinanciranje 11)</w:t>
            </w:r>
          </w:p>
        </w:tc>
        <w:tc>
          <w:tcPr>
            <w:tcW w:w="5103" w:type="dxa"/>
            <w:tcBorders>
              <w:top w:val="nil"/>
              <w:left w:val="nil"/>
              <w:bottom w:val="single" w:sz="8" w:space="0" w:color="auto"/>
              <w:right w:val="single" w:sz="8" w:space="0" w:color="auto"/>
            </w:tcBorders>
            <w:shd w:val="clear" w:color="000000" w:fill="FFFFFF"/>
            <w:vAlign w:val="center"/>
          </w:tcPr>
          <w:p w14:paraId="55CC40A9"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Kapitalne donacije - Općina (projekt "Crossmart", (EU)</w:t>
            </w:r>
          </w:p>
        </w:tc>
        <w:tc>
          <w:tcPr>
            <w:tcW w:w="2403" w:type="dxa"/>
            <w:tcBorders>
              <w:top w:val="nil"/>
              <w:left w:val="nil"/>
              <w:bottom w:val="single" w:sz="8" w:space="0" w:color="auto"/>
              <w:right w:val="single" w:sz="8" w:space="0" w:color="auto"/>
            </w:tcBorders>
            <w:vAlign w:val="center"/>
          </w:tcPr>
          <w:p w14:paraId="17D97FF8" w14:textId="77777777" w:rsidR="002F2DC1" w:rsidRPr="00A401ED" w:rsidRDefault="002F2DC1" w:rsidP="0015618E">
            <w:pPr>
              <w:spacing w:after="0" w:line="240" w:lineRule="auto"/>
              <w:jc w:val="right"/>
              <w:rPr>
                <w:rFonts w:ascii="Arial" w:hAnsi="Arial" w:cs="Arial"/>
                <w:sz w:val="18"/>
                <w:szCs w:val="18"/>
              </w:rPr>
            </w:pPr>
            <w:r w:rsidRPr="00A401ED">
              <w:rPr>
                <w:rFonts w:ascii="Arial" w:hAnsi="Arial" w:cs="Arial"/>
                <w:sz w:val="18"/>
                <w:szCs w:val="18"/>
              </w:rPr>
              <w:t>-3.919,72</w:t>
            </w:r>
          </w:p>
        </w:tc>
      </w:tr>
      <w:tr w:rsidR="002F2DC1" w:rsidRPr="00A401ED" w14:paraId="7568E63F" w14:textId="77777777" w:rsidTr="00F003ED">
        <w:trPr>
          <w:trHeight w:val="438"/>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71B805A5"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Izvor 61</w:t>
            </w:r>
          </w:p>
        </w:tc>
        <w:tc>
          <w:tcPr>
            <w:tcW w:w="5103" w:type="dxa"/>
            <w:tcBorders>
              <w:top w:val="nil"/>
              <w:left w:val="single" w:sz="4" w:space="0" w:color="auto"/>
              <w:bottom w:val="single" w:sz="8" w:space="0" w:color="auto"/>
              <w:right w:val="single" w:sz="8" w:space="0" w:color="auto"/>
            </w:tcBorders>
            <w:shd w:val="clear" w:color="000000" w:fill="FFFFFF"/>
            <w:vAlign w:val="center"/>
          </w:tcPr>
          <w:p w14:paraId="3BBD9077" w14:textId="77777777" w:rsidR="002F2DC1" w:rsidRPr="00A401ED" w:rsidRDefault="002F2DC1" w:rsidP="0015618E">
            <w:pPr>
              <w:spacing w:after="0" w:line="240" w:lineRule="auto"/>
              <w:rPr>
                <w:rFonts w:ascii="Arial" w:hAnsi="Arial" w:cs="Arial"/>
                <w:sz w:val="18"/>
                <w:szCs w:val="18"/>
              </w:rPr>
            </w:pPr>
            <w:r w:rsidRPr="00A401ED">
              <w:rPr>
                <w:rFonts w:ascii="Arial" w:hAnsi="Arial" w:cs="Arial"/>
                <w:sz w:val="18"/>
                <w:szCs w:val="18"/>
              </w:rPr>
              <w:t>Tekuće donacije za mjesne odbore</w:t>
            </w:r>
          </w:p>
          <w:p w14:paraId="725BF314" w14:textId="77777777" w:rsidR="002F2DC1" w:rsidRPr="00A401ED" w:rsidRDefault="002F2DC1" w:rsidP="0015618E">
            <w:pPr>
              <w:numPr>
                <w:ilvl w:val="0"/>
                <w:numId w:val="62"/>
              </w:numPr>
              <w:spacing w:after="0" w:line="240" w:lineRule="auto"/>
              <w:rPr>
                <w:rFonts w:ascii="Arial" w:hAnsi="Arial" w:cs="Arial"/>
                <w:sz w:val="18"/>
                <w:szCs w:val="18"/>
              </w:rPr>
            </w:pPr>
            <w:r w:rsidRPr="00A401ED">
              <w:rPr>
                <w:rFonts w:ascii="Arial" w:hAnsi="Arial" w:cs="Arial"/>
                <w:sz w:val="18"/>
                <w:szCs w:val="18"/>
              </w:rPr>
              <w:t>- Mjesni odbor Cavtat 62,39 €</w:t>
            </w:r>
          </w:p>
          <w:p w14:paraId="4C893BE7" w14:textId="77777777" w:rsidR="002F2DC1" w:rsidRPr="00A401ED" w:rsidRDefault="002F2DC1" w:rsidP="0015618E">
            <w:pPr>
              <w:numPr>
                <w:ilvl w:val="0"/>
                <w:numId w:val="62"/>
              </w:numPr>
              <w:spacing w:after="0" w:line="240" w:lineRule="auto"/>
              <w:rPr>
                <w:rFonts w:ascii="Arial" w:hAnsi="Arial" w:cs="Arial"/>
                <w:sz w:val="18"/>
                <w:szCs w:val="18"/>
              </w:rPr>
            </w:pPr>
            <w:r w:rsidRPr="00A401ED">
              <w:rPr>
                <w:rFonts w:ascii="Arial" w:hAnsi="Arial" w:cs="Arial"/>
                <w:sz w:val="18"/>
                <w:szCs w:val="18"/>
              </w:rPr>
              <w:t>- Mjesni odbor Gruda 2.384,00 €</w:t>
            </w:r>
          </w:p>
        </w:tc>
        <w:tc>
          <w:tcPr>
            <w:tcW w:w="2403" w:type="dxa"/>
            <w:tcBorders>
              <w:top w:val="nil"/>
              <w:left w:val="nil"/>
              <w:bottom w:val="single" w:sz="8" w:space="0" w:color="auto"/>
              <w:right w:val="single" w:sz="8" w:space="0" w:color="auto"/>
            </w:tcBorders>
            <w:vAlign w:val="center"/>
          </w:tcPr>
          <w:p w14:paraId="47CBEDA6" w14:textId="77777777" w:rsidR="002F2DC1" w:rsidRPr="00A401ED" w:rsidRDefault="002F2DC1" w:rsidP="0015618E">
            <w:pPr>
              <w:spacing w:after="0" w:line="240" w:lineRule="auto"/>
              <w:jc w:val="right"/>
              <w:rPr>
                <w:rFonts w:ascii="Arial" w:hAnsi="Arial" w:cs="Arial"/>
                <w:sz w:val="18"/>
                <w:szCs w:val="18"/>
              </w:rPr>
            </w:pPr>
            <w:r w:rsidRPr="00A401ED">
              <w:rPr>
                <w:rFonts w:ascii="Arial" w:hAnsi="Arial" w:cs="Arial"/>
                <w:sz w:val="18"/>
                <w:szCs w:val="18"/>
              </w:rPr>
              <w:t>2.446,39</w:t>
            </w:r>
          </w:p>
        </w:tc>
      </w:tr>
      <w:tr w:rsidR="00001C58" w:rsidRPr="00A401ED" w14:paraId="4B8B1417" w14:textId="77777777" w:rsidTr="00F003ED">
        <w:trPr>
          <w:trHeight w:val="438"/>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3AB8D3B5" w14:textId="48A8F27A" w:rsidR="00001C58" w:rsidRPr="00001C58" w:rsidRDefault="00001C58" w:rsidP="00001C58">
            <w:pPr>
              <w:spacing w:after="0" w:line="240" w:lineRule="auto"/>
              <w:rPr>
                <w:rFonts w:ascii="Arial" w:hAnsi="Arial" w:cs="Arial"/>
                <w:sz w:val="18"/>
                <w:szCs w:val="18"/>
              </w:rPr>
            </w:pPr>
            <w:r w:rsidRPr="00001C58">
              <w:rPr>
                <w:rFonts w:ascii="Arial" w:hAnsi="Arial" w:cs="Arial"/>
                <w:sz w:val="18"/>
                <w:szCs w:val="18"/>
              </w:rPr>
              <w:t>Izvor 61</w:t>
            </w:r>
          </w:p>
        </w:tc>
        <w:tc>
          <w:tcPr>
            <w:tcW w:w="5103" w:type="dxa"/>
            <w:tcBorders>
              <w:top w:val="nil"/>
              <w:left w:val="single" w:sz="4" w:space="0" w:color="auto"/>
              <w:bottom w:val="single" w:sz="8" w:space="0" w:color="auto"/>
              <w:right w:val="single" w:sz="8" w:space="0" w:color="auto"/>
            </w:tcBorders>
            <w:shd w:val="clear" w:color="000000" w:fill="FFFFFF"/>
            <w:vAlign w:val="center"/>
          </w:tcPr>
          <w:p w14:paraId="5F9E9B32" w14:textId="146B07AB" w:rsidR="00001C58" w:rsidRPr="00001C58" w:rsidRDefault="00001C58" w:rsidP="00001C58">
            <w:pPr>
              <w:spacing w:after="0" w:line="240" w:lineRule="auto"/>
              <w:rPr>
                <w:rFonts w:ascii="Arial" w:hAnsi="Arial" w:cs="Arial"/>
                <w:sz w:val="18"/>
                <w:szCs w:val="18"/>
              </w:rPr>
            </w:pPr>
            <w:r w:rsidRPr="00001C58">
              <w:rPr>
                <w:rFonts w:ascii="Arial" w:hAnsi="Arial" w:cs="Arial"/>
                <w:sz w:val="18"/>
                <w:szCs w:val="18"/>
              </w:rPr>
              <w:t>Tekuće donacije za prijevod (donacija Zračne luke)</w:t>
            </w:r>
          </w:p>
        </w:tc>
        <w:tc>
          <w:tcPr>
            <w:tcW w:w="2403" w:type="dxa"/>
            <w:tcBorders>
              <w:top w:val="nil"/>
              <w:left w:val="nil"/>
              <w:bottom w:val="single" w:sz="8" w:space="0" w:color="auto"/>
              <w:right w:val="single" w:sz="8" w:space="0" w:color="auto"/>
            </w:tcBorders>
            <w:vAlign w:val="center"/>
          </w:tcPr>
          <w:p w14:paraId="62B4C233" w14:textId="6911DA53" w:rsidR="00001C58" w:rsidRPr="00001C58" w:rsidRDefault="00001C58" w:rsidP="00001C58">
            <w:pPr>
              <w:spacing w:after="0" w:line="240" w:lineRule="auto"/>
              <w:jc w:val="right"/>
              <w:rPr>
                <w:rFonts w:ascii="Arial" w:hAnsi="Arial" w:cs="Arial"/>
                <w:sz w:val="18"/>
                <w:szCs w:val="18"/>
              </w:rPr>
            </w:pPr>
            <w:r w:rsidRPr="00001C58">
              <w:rPr>
                <w:rFonts w:ascii="Arial" w:hAnsi="Arial" w:cs="Arial"/>
                <w:sz w:val="18"/>
                <w:szCs w:val="18"/>
              </w:rPr>
              <w:t>3.000,00</w:t>
            </w:r>
          </w:p>
        </w:tc>
      </w:tr>
      <w:tr w:rsidR="00001C58" w:rsidRPr="00A401ED" w14:paraId="1F7983E5" w14:textId="77777777" w:rsidTr="00F003ED">
        <w:trPr>
          <w:trHeight w:val="315"/>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54560322" w14:textId="77777777" w:rsidR="00001C58" w:rsidRPr="00A401ED" w:rsidRDefault="00001C58" w:rsidP="00001C58">
            <w:pPr>
              <w:spacing w:after="0" w:line="240" w:lineRule="auto"/>
              <w:rPr>
                <w:rFonts w:ascii="Arial" w:hAnsi="Arial" w:cs="Arial"/>
                <w:sz w:val="18"/>
                <w:szCs w:val="18"/>
              </w:rPr>
            </w:pPr>
            <w:r w:rsidRPr="00A401ED">
              <w:rPr>
                <w:rFonts w:ascii="Arial" w:hAnsi="Arial" w:cs="Arial"/>
                <w:sz w:val="18"/>
                <w:szCs w:val="18"/>
              </w:rPr>
              <w:t>Izvor 71</w:t>
            </w:r>
          </w:p>
        </w:tc>
        <w:tc>
          <w:tcPr>
            <w:tcW w:w="5103" w:type="dxa"/>
            <w:tcBorders>
              <w:top w:val="nil"/>
              <w:left w:val="single" w:sz="4" w:space="0" w:color="auto"/>
              <w:bottom w:val="single" w:sz="8" w:space="0" w:color="auto"/>
              <w:right w:val="single" w:sz="8" w:space="0" w:color="auto"/>
            </w:tcBorders>
            <w:shd w:val="clear" w:color="000000" w:fill="FFFFFF"/>
            <w:vAlign w:val="center"/>
          </w:tcPr>
          <w:p w14:paraId="02C3201F" w14:textId="77777777" w:rsidR="00001C58" w:rsidRPr="00A401ED" w:rsidRDefault="00001C58" w:rsidP="00001C58">
            <w:pPr>
              <w:spacing w:after="0" w:line="240" w:lineRule="auto"/>
              <w:rPr>
                <w:rFonts w:ascii="Arial" w:hAnsi="Arial" w:cs="Arial"/>
                <w:sz w:val="18"/>
                <w:szCs w:val="18"/>
              </w:rPr>
            </w:pPr>
            <w:r w:rsidRPr="00A401ED">
              <w:rPr>
                <w:rFonts w:ascii="Arial" w:hAnsi="Arial" w:cs="Arial"/>
                <w:sz w:val="18"/>
                <w:szCs w:val="18"/>
              </w:rPr>
              <w:t>Prihodi od prodaje zemljišta (buduća poduzetnička zona)</w:t>
            </w:r>
          </w:p>
        </w:tc>
        <w:tc>
          <w:tcPr>
            <w:tcW w:w="2403" w:type="dxa"/>
            <w:tcBorders>
              <w:top w:val="nil"/>
              <w:left w:val="nil"/>
              <w:bottom w:val="single" w:sz="8" w:space="0" w:color="auto"/>
              <w:right w:val="single" w:sz="8" w:space="0" w:color="auto"/>
            </w:tcBorders>
            <w:vAlign w:val="center"/>
          </w:tcPr>
          <w:p w14:paraId="12B406E7" w14:textId="77777777" w:rsidR="00001C58" w:rsidRPr="00A401ED" w:rsidRDefault="00001C58" w:rsidP="00001C58">
            <w:pPr>
              <w:spacing w:after="0" w:line="240" w:lineRule="auto"/>
              <w:jc w:val="right"/>
              <w:rPr>
                <w:rFonts w:ascii="Arial" w:hAnsi="Arial" w:cs="Arial"/>
                <w:sz w:val="18"/>
                <w:szCs w:val="18"/>
              </w:rPr>
            </w:pPr>
            <w:r w:rsidRPr="00A401ED">
              <w:rPr>
                <w:rFonts w:ascii="Arial" w:hAnsi="Arial" w:cs="Arial"/>
                <w:sz w:val="18"/>
                <w:szCs w:val="18"/>
              </w:rPr>
              <w:t>2.504.437,50</w:t>
            </w:r>
          </w:p>
        </w:tc>
      </w:tr>
      <w:tr w:rsidR="00001C58" w:rsidRPr="00A401ED" w14:paraId="4E1D9B8B" w14:textId="77777777" w:rsidTr="00F003ED">
        <w:trPr>
          <w:trHeight w:val="315"/>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13C5A69C" w14:textId="77777777" w:rsidR="00001C58" w:rsidRPr="00A401ED" w:rsidRDefault="00001C58" w:rsidP="00001C58">
            <w:pPr>
              <w:spacing w:after="0" w:line="240" w:lineRule="auto"/>
              <w:rPr>
                <w:rFonts w:ascii="Arial" w:hAnsi="Arial" w:cs="Arial"/>
                <w:sz w:val="18"/>
                <w:szCs w:val="18"/>
              </w:rPr>
            </w:pPr>
            <w:r w:rsidRPr="00A401ED">
              <w:rPr>
                <w:rFonts w:ascii="Arial" w:hAnsi="Arial" w:cs="Arial"/>
                <w:sz w:val="18"/>
                <w:szCs w:val="18"/>
              </w:rPr>
              <w:t>Izvor 81</w:t>
            </w:r>
          </w:p>
        </w:tc>
        <w:tc>
          <w:tcPr>
            <w:tcW w:w="5103" w:type="dxa"/>
            <w:tcBorders>
              <w:top w:val="nil"/>
              <w:left w:val="single" w:sz="4" w:space="0" w:color="auto"/>
              <w:bottom w:val="single" w:sz="8" w:space="0" w:color="auto"/>
              <w:right w:val="single" w:sz="8" w:space="0" w:color="auto"/>
            </w:tcBorders>
            <w:shd w:val="clear" w:color="000000" w:fill="FFFFFF"/>
            <w:vAlign w:val="center"/>
          </w:tcPr>
          <w:p w14:paraId="20956DEA" w14:textId="77777777" w:rsidR="00001C58" w:rsidRPr="00A401ED" w:rsidRDefault="00001C58" w:rsidP="00001C58">
            <w:pPr>
              <w:spacing w:after="0" w:line="240" w:lineRule="auto"/>
              <w:rPr>
                <w:rFonts w:ascii="Arial" w:hAnsi="Arial" w:cs="Arial"/>
                <w:sz w:val="18"/>
                <w:szCs w:val="18"/>
              </w:rPr>
            </w:pPr>
            <w:r w:rsidRPr="00A401ED">
              <w:rPr>
                <w:rFonts w:ascii="Arial" w:hAnsi="Arial" w:cs="Arial"/>
                <w:sz w:val="18"/>
                <w:szCs w:val="18"/>
              </w:rPr>
              <w:t>Namjenski primici od zaduživanja</w:t>
            </w:r>
          </w:p>
        </w:tc>
        <w:tc>
          <w:tcPr>
            <w:tcW w:w="2403" w:type="dxa"/>
            <w:tcBorders>
              <w:top w:val="nil"/>
              <w:left w:val="nil"/>
              <w:bottom w:val="single" w:sz="8" w:space="0" w:color="auto"/>
              <w:right w:val="single" w:sz="8" w:space="0" w:color="auto"/>
            </w:tcBorders>
            <w:vAlign w:val="center"/>
          </w:tcPr>
          <w:p w14:paraId="1FA6692D" w14:textId="77777777" w:rsidR="00001C58" w:rsidRPr="00A401ED" w:rsidRDefault="00001C58" w:rsidP="00001C58">
            <w:pPr>
              <w:spacing w:after="0" w:line="240" w:lineRule="auto"/>
              <w:jc w:val="right"/>
              <w:rPr>
                <w:rFonts w:ascii="Arial" w:hAnsi="Arial" w:cs="Arial"/>
                <w:sz w:val="18"/>
                <w:szCs w:val="18"/>
              </w:rPr>
            </w:pPr>
            <w:r w:rsidRPr="00A401ED">
              <w:rPr>
                <w:rFonts w:ascii="Arial" w:hAnsi="Arial" w:cs="Arial"/>
                <w:sz w:val="18"/>
                <w:szCs w:val="18"/>
              </w:rPr>
              <w:t>3.079.325,13</w:t>
            </w:r>
          </w:p>
        </w:tc>
      </w:tr>
      <w:tr w:rsidR="00001C58" w:rsidRPr="00A401ED" w14:paraId="7BA05634" w14:textId="77777777" w:rsidTr="00F003ED">
        <w:trPr>
          <w:trHeight w:val="315"/>
          <w:jc w:val="center"/>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tcPr>
          <w:p w14:paraId="60E5062D" w14:textId="77777777" w:rsidR="00001C58" w:rsidRPr="00A401ED" w:rsidRDefault="00001C58" w:rsidP="00001C58">
            <w:pPr>
              <w:spacing w:after="0" w:line="240" w:lineRule="auto"/>
              <w:jc w:val="center"/>
              <w:rPr>
                <w:rFonts w:ascii="Arial" w:hAnsi="Arial" w:cs="Arial"/>
                <w:sz w:val="18"/>
                <w:szCs w:val="18"/>
              </w:rPr>
            </w:pPr>
          </w:p>
        </w:tc>
        <w:tc>
          <w:tcPr>
            <w:tcW w:w="5103" w:type="dxa"/>
            <w:tcBorders>
              <w:top w:val="nil"/>
              <w:left w:val="single" w:sz="4" w:space="0" w:color="auto"/>
              <w:bottom w:val="single" w:sz="8" w:space="0" w:color="auto"/>
              <w:right w:val="single" w:sz="8" w:space="0" w:color="auto"/>
            </w:tcBorders>
            <w:shd w:val="clear" w:color="000000" w:fill="FFFFFF"/>
            <w:vAlign w:val="center"/>
            <w:hideMark/>
          </w:tcPr>
          <w:p w14:paraId="4D2ACEA7" w14:textId="77777777" w:rsidR="00001C58" w:rsidRPr="00A401ED" w:rsidRDefault="00001C58" w:rsidP="00001C58">
            <w:pPr>
              <w:spacing w:after="0" w:line="240" w:lineRule="auto"/>
              <w:jc w:val="center"/>
              <w:rPr>
                <w:rFonts w:ascii="Arial" w:hAnsi="Arial" w:cs="Arial"/>
                <w:sz w:val="18"/>
                <w:szCs w:val="18"/>
              </w:rPr>
            </w:pPr>
            <w:r w:rsidRPr="00A401ED">
              <w:rPr>
                <w:rFonts w:ascii="Arial" w:hAnsi="Arial" w:cs="Arial"/>
                <w:sz w:val="18"/>
                <w:szCs w:val="18"/>
              </w:rPr>
              <w:t>U  k  u  p  n  o</w:t>
            </w:r>
          </w:p>
        </w:tc>
        <w:tc>
          <w:tcPr>
            <w:tcW w:w="2403" w:type="dxa"/>
            <w:tcBorders>
              <w:top w:val="nil"/>
              <w:left w:val="nil"/>
              <w:bottom w:val="single" w:sz="8" w:space="0" w:color="auto"/>
              <w:right w:val="single" w:sz="8" w:space="0" w:color="auto"/>
            </w:tcBorders>
            <w:vAlign w:val="center"/>
          </w:tcPr>
          <w:p w14:paraId="7E46C27E" w14:textId="3AAC013E" w:rsidR="00001C58" w:rsidRPr="00A401ED" w:rsidRDefault="00001C58" w:rsidP="00001C58">
            <w:pPr>
              <w:spacing w:after="0" w:line="240" w:lineRule="auto"/>
              <w:jc w:val="right"/>
              <w:rPr>
                <w:rFonts w:ascii="Arial" w:hAnsi="Arial" w:cs="Arial"/>
                <w:b/>
                <w:bCs/>
                <w:sz w:val="18"/>
                <w:szCs w:val="18"/>
              </w:rPr>
            </w:pPr>
            <w:r w:rsidRPr="00A401ED">
              <w:rPr>
                <w:rFonts w:ascii="Arial" w:hAnsi="Arial" w:cs="Arial"/>
                <w:b/>
                <w:bCs/>
                <w:sz w:val="18"/>
                <w:szCs w:val="18"/>
              </w:rPr>
              <w:fldChar w:fldCharType="begin"/>
            </w:r>
            <w:r w:rsidRPr="00A401ED">
              <w:rPr>
                <w:rFonts w:ascii="Arial" w:hAnsi="Arial" w:cs="Arial"/>
                <w:b/>
                <w:bCs/>
                <w:sz w:val="18"/>
                <w:szCs w:val="18"/>
              </w:rPr>
              <w:instrText xml:space="preserve"> =SUM(ABOVE) </w:instrText>
            </w:r>
            <w:r w:rsidRPr="00A401ED">
              <w:rPr>
                <w:rFonts w:ascii="Arial" w:hAnsi="Arial" w:cs="Arial"/>
                <w:b/>
                <w:bCs/>
                <w:sz w:val="18"/>
                <w:szCs w:val="18"/>
              </w:rPr>
              <w:fldChar w:fldCharType="separate"/>
            </w:r>
            <w:r>
              <w:rPr>
                <w:rFonts w:ascii="Arial" w:hAnsi="Arial" w:cs="Arial"/>
                <w:b/>
                <w:bCs/>
                <w:noProof/>
                <w:sz w:val="18"/>
                <w:szCs w:val="18"/>
              </w:rPr>
              <w:t>1.169.846,09</w:t>
            </w:r>
            <w:r w:rsidRPr="00A401ED">
              <w:rPr>
                <w:rFonts w:ascii="Arial" w:hAnsi="Arial" w:cs="Arial"/>
                <w:b/>
                <w:bCs/>
                <w:sz w:val="18"/>
                <w:szCs w:val="18"/>
              </w:rPr>
              <w:fldChar w:fldCharType="end"/>
            </w:r>
          </w:p>
        </w:tc>
      </w:tr>
    </w:tbl>
    <w:p w14:paraId="11F8480D" w14:textId="77777777" w:rsidR="00D62101" w:rsidRPr="00D62101" w:rsidRDefault="00D62101" w:rsidP="00D62101">
      <w:pPr>
        <w:spacing w:after="0" w:line="240" w:lineRule="auto"/>
        <w:rPr>
          <w:rFonts w:ascii="Arial" w:hAnsi="Arial" w:cs="Arial"/>
          <w:sz w:val="20"/>
          <w:szCs w:val="20"/>
        </w:rPr>
      </w:pPr>
    </w:p>
    <w:p w14:paraId="7C490B26" w14:textId="21F9F97F" w:rsidR="00FD751C" w:rsidRDefault="00A62968" w:rsidP="00A62968">
      <w:pPr>
        <w:spacing w:after="0" w:line="240" w:lineRule="auto"/>
        <w:jc w:val="both"/>
        <w:rPr>
          <w:rFonts w:ascii="Arial" w:hAnsi="Arial" w:cs="Arial"/>
          <w:sz w:val="20"/>
          <w:szCs w:val="20"/>
        </w:rPr>
      </w:pPr>
      <w:r w:rsidRPr="00A62968">
        <w:rPr>
          <w:rFonts w:ascii="Arial" w:hAnsi="Arial" w:cs="Arial"/>
          <w:sz w:val="20"/>
          <w:szCs w:val="20"/>
        </w:rPr>
        <w:t>Višak prihoda poslovanja, izvor opći prihodi i primici (11) u iznosu 1.21</w:t>
      </w:r>
      <w:r w:rsidR="00001C58">
        <w:rPr>
          <w:rFonts w:ascii="Arial" w:hAnsi="Arial" w:cs="Arial"/>
          <w:sz w:val="20"/>
          <w:szCs w:val="20"/>
        </w:rPr>
        <w:t>1</w:t>
      </w:r>
      <w:r w:rsidRPr="00A62968">
        <w:rPr>
          <w:rFonts w:ascii="Arial" w:hAnsi="Arial" w:cs="Arial"/>
          <w:sz w:val="20"/>
          <w:szCs w:val="20"/>
        </w:rPr>
        <w:t>.775,68 € se sastoji od viška prihoda poslovanja u iznosu 78</w:t>
      </w:r>
      <w:r w:rsidR="00001C58">
        <w:rPr>
          <w:rFonts w:ascii="Arial" w:hAnsi="Arial" w:cs="Arial"/>
          <w:sz w:val="20"/>
          <w:szCs w:val="20"/>
        </w:rPr>
        <w:t>4</w:t>
      </w:r>
      <w:r w:rsidRPr="00A62968">
        <w:rPr>
          <w:rFonts w:ascii="Arial" w:hAnsi="Arial" w:cs="Arial"/>
          <w:sz w:val="20"/>
          <w:szCs w:val="20"/>
        </w:rPr>
        <w:t xml:space="preserve">.733,83 €, te sredstava u iznosu 427.041,85 € koja se odnose na višak koji je rezerviran i služi za podmirivanje obveza proračunskih korisnika. Sredstvima iz općinskog proračuna u iznosu 427.041,85 € su financirani rashodi proračunskih korisnika za 2025. godinu, a obveze su podmirene u </w:t>
      </w:r>
      <w:r>
        <w:rPr>
          <w:rFonts w:ascii="Arial" w:hAnsi="Arial" w:cs="Arial"/>
          <w:sz w:val="20"/>
          <w:szCs w:val="20"/>
        </w:rPr>
        <w:t xml:space="preserve">siječnju </w:t>
      </w:r>
      <w:r w:rsidRPr="00A62968">
        <w:rPr>
          <w:rFonts w:ascii="Arial" w:hAnsi="Arial" w:cs="Arial"/>
          <w:sz w:val="20"/>
          <w:szCs w:val="20"/>
        </w:rPr>
        <w:t>202</w:t>
      </w:r>
      <w:r>
        <w:rPr>
          <w:rFonts w:ascii="Arial" w:hAnsi="Arial" w:cs="Arial"/>
          <w:sz w:val="20"/>
          <w:szCs w:val="20"/>
        </w:rPr>
        <w:t>6</w:t>
      </w:r>
      <w:r w:rsidRPr="00A62968">
        <w:rPr>
          <w:rFonts w:ascii="Arial" w:hAnsi="Arial" w:cs="Arial"/>
          <w:sz w:val="20"/>
          <w:szCs w:val="20"/>
        </w:rPr>
        <w:t>. godin</w:t>
      </w:r>
      <w:r>
        <w:rPr>
          <w:rFonts w:ascii="Arial" w:hAnsi="Arial" w:cs="Arial"/>
          <w:sz w:val="20"/>
          <w:szCs w:val="20"/>
        </w:rPr>
        <w:t>e</w:t>
      </w:r>
      <w:r w:rsidRPr="00A62968">
        <w:rPr>
          <w:rFonts w:ascii="Arial" w:hAnsi="Arial" w:cs="Arial"/>
          <w:sz w:val="20"/>
          <w:szCs w:val="20"/>
        </w:rPr>
        <w:t>.</w:t>
      </w:r>
    </w:p>
    <w:p w14:paraId="377B2B56" w14:textId="77777777" w:rsidR="001C2B35" w:rsidRDefault="001C2B35" w:rsidP="00A62968">
      <w:pPr>
        <w:spacing w:after="0" w:line="240" w:lineRule="auto"/>
        <w:jc w:val="both"/>
        <w:rPr>
          <w:rFonts w:ascii="Arial" w:hAnsi="Arial" w:cs="Arial"/>
          <w:sz w:val="20"/>
          <w:szCs w:val="20"/>
        </w:rPr>
      </w:pPr>
    </w:p>
    <w:p w14:paraId="56EC02DA" w14:textId="33AF24A4" w:rsidR="00795D25" w:rsidRPr="00795D25" w:rsidRDefault="00795D25" w:rsidP="00795D25">
      <w:pPr>
        <w:spacing w:after="0" w:line="240" w:lineRule="auto"/>
        <w:jc w:val="both"/>
        <w:rPr>
          <w:rFonts w:ascii="Arial" w:hAnsi="Arial" w:cs="Arial"/>
          <w:sz w:val="20"/>
          <w:szCs w:val="20"/>
        </w:rPr>
      </w:pPr>
      <w:r w:rsidRPr="00795D25">
        <w:rPr>
          <w:rFonts w:ascii="Arial" w:hAnsi="Arial" w:cs="Arial"/>
          <w:sz w:val="20"/>
          <w:szCs w:val="20"/>
        </w:rPr>
        <w:t>Viškove i manjkove u iznosu 1.169.846,09 € će se rasporediti u prvom planu Izmjena i dopuna Proračuna Općine Konavle za 2026. godinu prema izvorima financiranja za namjene po pojedinim programima i aktivnostima.</w:t>
      </w:r>
    </w:p>
    <w:p w14:paraId="5029F52F" w14:textId="77777777" w:rsidR="001C2B35" w:rsidRDefault="001C2B35" w:rsidP="009E5EBB">
      <w:pPr>
        <w:spacing w:after="0" w:line="240" w:lineRule="auto"/>
        <w:rPr>
          <w:rFonts w:ascii="Arial" w:hAnsi="Arial" w:cs="Arial"/>
          <w:sz w:val="20"/>
          <w:szCs w:val="20"/>
        </w:rPr>
      </w:pPr>
    </w:p>
    <w:p w14:paraId="224ACA85" w14:textId="6C9BC3D4" w:rsidR="008147EB" w:rsidRPr="008D22BF" w:rsidRDefault="002501D0" w:rsidP="008D22BF">
      <w:pPr>
        <w:rPr>
          <w:rFonts w:ascii="Arial" w:hAnsi="Arial" w:cs="Arial"/>
          <w:sz w:val="20"/>
          <w:szCs w:val="20"/>
        </w:rPr>
      </w:pPr>
      <w:r>
        <w:rPr>
          <w:rFonts w:ascii="Arial" w:hAnsi="Arial" w:cs="Arial"/>
          <w:sz w:val="20"/>
          <w:szCs w:val="20"/>
        </w:rPr>
        <w:br w:type="page"/>
      </w:r>
    </w:p>
    <w:p w14:paraId="7274E3CB" w14:textId="77777777" w:rsidR="00A01116" w:rsidRPr="003A2F86" w:rsidRDefault="00A01116" w:rsidP="00A01116">
      <w:pPr>
        <w:framePr w:w="1230" w:h="210" w:hRule="exact" w:wrap="auto" w:vAnchor="page" w:hAnchor="page" w:x="14697" w:y="1322"/>
        <w:widowControl w:val="0"/>
        <w:autoSpaceDE w:val="0"/>
        <w:autoSpaceDN w:val="0"/>
        <w:adjustRightInd w:val="0"/>
        <w:spacing w:after="0" w:line="240" w:lineRule="auto"/>
        <w:jc w:val="right"/>
        <w:rPr>
          <w:rFonts w:ascii="Arial" w:eastAsia="Times New Roman" w:hAnsi="Arial" w:cs="Arial"/>
          <w:color w:val="FF0000"/>
          <w:sz w:val="16"/>
          <w:szCs w:val="16"/>
        </w:rPr>
      </w:pPr>
    </w:p>
    <w:p w14:paraId="78D2FAF7" w14:textId="609AD05E" w:rsidR="00891119" w:rsidRPr="00786EA7" w:rsidRDefault="00C841A6" w:rsidP="00F02C0B">
      <w:pPr>
        <w:pStyle w:val="Naslov1"/>
        <w:rPr>
          <w:rFonts w:ascii="Arial" w:hAnsi="Arial" w:cs="Arial"/>
          <w:sz w:val="22"/>
          <w:lang w:val="hr-HR"/>
        </w:rPr>
      </w:pPr>
      <w:bookmarkStart w:id="801" w:name="_Toc232981513"/>
      <w:r>
        <w:rPr>
          <w:rFonts w:ascii="Arial" w:eastAsia="Calibri" w:hAnsi="Arial" w:cs="Arial"/>
          <w:sz w:val="22"/>
          <w:lang w:val="hr-HR"/>
        </w:rPr>
        <w:t>1</w:t>
      </w:r>
      <w:r w:rsidR="008D22BF">
        <w:rPr>
          <w:rFonts w:ascii="Arial" w:eastAsia="Calibri" w:hAnsi="Arial" w:cs="Arial"/>
          <w:sz w:val="22"/>
          <w:lang w:val="hr-HR"/>
        </w:rPr>
        <w:t>0</w:t>
      </w:r>
      <w:r w:rsidR="00891119" w:rsidRPr="00786EA7">
        <w:rPr>
          <w:rFonts w:ascii="Arial" w:eastAsia="Calibri" w:hAnsi="Arial" w:cs="Arial"/>
          <w:sz w:val="22"/>
          <w:lang w:val="hr-HR"/>
        </w:rPr>
        <w:t xml:space="preserve">. </w:t>
      </w:r>
      <w:r w:rsidR="00891119" w:rsidRPr="00786EA7">
        <w:rPr>
          <w:rFonts w:ascii="Arial" w:eastAsia="Calibri" w:hAnsi="Arial" w:cs="Arial"/>
          <w:sz w:val="22"/>
          <w:lang w:val="hr-HR"/>
        </w:rPr>
        <w:tab/>
      </w:r>
      <w:bookmarkStart w:id="802" w:name="Zaključak"/>
      <w:bookmarkEnd w:id="802"/>
      <w:r w:rsidR="00891119" w:rsidRPr="00786EA7">
        <w:rPr>
          <w:rFonts w:ascii="Arial" w:eastAsia="Calibri" w:hAnsi="Arial" w:cs="Arial"/>
          <w:sz w:val="22"/>
          <w:lang w:val="hr-HR"/>
        </w:rPr>
        <w:t>ZAKLJUČAK</w:t>
      </w:r>
      <w:bookmarkEnd w:id="801"/>
    </w:p>
    <w:p w14:paraId="032EFAAE" w14:textId="77777777" w:rsidR="009047AD" w:rsidRPr="00786EA7" w:rsidRDefault="009047AD" w:rsidP="00891119">
      <w:pPr>
        <w:autoSpaceDE w:val="0"/>
        <w:autoSpaceDN w:val="0"/>
        <w:adjustRightInd w:val="0"/>
        <w:spacing w:after="0" w:line="240" w:lineRule="auto"/>
        <w:jc w:val="both"/>
        <w:rPr>
          <w:rFonts w:ascii="Arial" w:eastAsia="Times New Roman" w:hAnsi="Arial" w:cs="Arial"/>
          <w:sz w:val="20"/>
          <w:szCs w:val="20"/>
        </w:rPr>
      </w:pPr>
    </w:p>
    <w:p w14:paraId="6A937DDD" w14:textId="77777777" w:rsidR="00EF16B0" w:rsidRPr="00EF16B0" w:rsidRDefault="00EF16B0" w:rsidP="00EF16B0">
      <w:pPr>
        <w:spacing w:after="0" w:line="240" w:lineRule="auto"/>
        <w:jc w:val="both"/>
        <w:rPr>
          <w:rFonts w:ascii="Arial" w:eastAsia="Times New Roman" w:hAnsi="Arial" w:cs="Arial"/>
          <w:b/>
          <w:bCs/>
          <w:iCs/>
          <w:lang w:eastAsia="en-US"/>
        </w:rPr>
      </w:pPr>
    </w:p>
    <w:p w14:paraId="3AFA7393" w14:textId="58D75F30" w:rsidR="00EF16B0" w:rsidRDefault="00EF16B0" w:rsidP="00EF16B0">
      <w:pPr>
        <w:spacing w:after="0" w:line="240" w:lineRule="auto"/>
        <w:jc w:val="both"/>
        <w:rPr>
          <w:rFonts w:ascii="Arial" w:eastAsia="Times New Roman" w:hAnsi="Arial" w:cs="Arial"/>
          <w:iCs/>
          <w:lang w:eastAsia="en-US"/>
        </w:rPr>
      </w:pPr>
      <w:bookmarkStart w:id="803" w:name="_Hlk230355387"/>
      <w:r w:rsidRPr="00EF16B0">
        <w:rPr>
          <w:rFonts w:ascii="Arial" w:eastAsia="Times New Roman" w:hAnsi="Arial" w:cs="Arial"/>
          <w:b/>
          <w:bCs/>
          <w:iCs/>
          <w:lang w:eastAsia="en-US"/>
        </w:rPr>
        <w:t xml:space="preserve">Ukupni prihodi i primici </w:t>
      </w:r>
      <w:r w:rsidRPr="00EF16B0">
        <w:rPr>
          <w:rFonts w:ascii="Arial" w:eastAsia="Times New Roman" w:hAnsi="Arial" w:cs="Arial"/>
          <w:iCs/>
          <w:lang w:eastAsia="en-US"/>
        </w:rPr>
        <w:t>za razdoblje siječanj – prosinac 2025. ostvareni su u iznosu 23.152.793,05 € što je za 8.990.777,51 € ili 63,5% više u odnosu na izvještajno razdoblje prethodne godine. Pri</w:t>
      </w:r>
      <w:r>
        <w:rPr>
          <w:rFonts w:ascii="Arial" w:eastAsia="Times New Roman" w:hAnsi="Arial" w:cs="Arial"/>
          <w:iCs/>
          <w:lang w:eastAsia="en-US"/>
        </w:rPr>
        <w:t xml:space="preserve">mici </w:t>
      </w:r>
      <w:r w:rsidRPr="00EF16B0">
        <w:rPr>
          <w:rFonts w:ascii="Arial" w:eastAsia="Times New Roman" w:hAnsi="Arial" w:cs="Arial"/>
          <w:iCs/>
          <w:lang w:eastAsia="en-US"/>
        </w:rPr>
        <w:t>od zaduživanja su ostvareni u iznosu 3.079.325,13 € (kredit za izgradnju osnovne škole).</w:t>
      </w:r>
    </w:p>
    <w:p w14:paraId="0E6C0966" w14:textId="77777777" w:rsidR="00EF16B0" w:rsidRPr="00EF16B0" w:rsidRDefault="00EF16B0" w:rsidP="00EF16B0">
      <w:pPr>
        <w:spacing w:after="0" w:line="240" w:lineRule="auto"/>
        <w:jc w:val="both"/>
        <w:rPr>
          <w:rFonts w:ascii="Arial" w:eastAsia="Times New Roman" w:hAnsi="Arial" w:cs="Arial"/>
          <w:iCs/>
          <w:lang w:eastAsia="en-US"/>
        </w:rPr>
      </w:pPr>
    </w:p>
    <w:p w14:paraId="5584EF23" w14:textId="081D23E1" w:rsidR="00786EA7" w:rsidRPr="00EF16B0" w:rsidRDefault="00786EA7" w:rsidP="00EF16B0">
      <w:pPr>
        <w:spacing w:after="0" w:line="240" w:lineRule="auto"/>
        <w:jc w:val="both"/>
        <w:rPr>
          <w:rFonts w:ascii="Arial" w:eastAsia="Times New Roman" w:hAnsi="Arial" w:cs="Arial"/>
          <w:iCs/>
          <w:lang w:eastAsia="en-US"/>
        </w:rPr>
      </w:pPr>
      <w:r w:rsidRPr="00EF16B0">
        <w:rPr>
          <w:rFonts w:ascii="Arial" w:hAnsi="Arial" w:cs="Arial"/>
          <w:iCs/>
        </w:rPr>
        <w:t xml:space="preserve">Ukupni prihodi i primici proračuna dijele se na prihode i primitke Općine u iznosu </w:t>
      </w:r>
      <w:r w:rsidR="00EF16B0" w:rsidRPr="00EF16B0">
        <w:rPr>
          <w:rFonts w:ascii="Arial" w:hAnsi="Arial" w:cs="Arial"/>
          <w:iCs/>
        </w:rPr>
        <w:t>21.495.663,97</w:t>
      </w:r>
      <w:r w:rsidRPr="00EF16B0">
        <w:rPr>
          <w:rFonts w:ascii="Arial" w:hAnsi="Arial" w:cs="Arial"/>
          <w:iCs/>
        </w:rPr>
        <w:t xml:space="preserve"> € i vlastite prihode četiri proračunska korisnika u iznosu </w:t>
      </w:r>
      <w:r w:rsidR="00EF16B0" w:rsidRPr="00EF16B0">
        <w:rPr>
          <w:rFonts w:ascii="Arial" w:hAnsi="Arial" w:cs="Arial"/>
          <w:iCs/>
        </w:rPr>
        <w:t>1.657.129,08</w:t>
      </w:r>
      <w:r w:rsidRPr="00EF16B0">
        <w:rPr>
          <w:rFonts w:ascii="Arial" w:hAnsi="Arial" w:cs="Arial"/>
          <w:iCs/>
        </w:rPr>
        <w:t xml:space="preserve"> €.</w:t>
      </w:r>
    </w:p>
    <w:p w14:paraId="41E87950" w14:textId="7EFCC7B0" w:rsidR="00786EA7" w:rsidRPr="00B211D4" w:rsidRDefault="00786EA7" w:rsidP="00786EA7">
      <w:pPr>
        <w:spacing w:after="0" w:line="240" w:lineRule="auto"/>
        <w:jc w:val="both"/>
        <w:rPr>
          <w:rFonts w:ascii="Arial" w:eastAsia="Times New Roman" w:hAnsi="Arial" w:cs="Arial"/>
          <w:iCs/>
          <w:lang w:eastAsia="en-US"/>
        </w:rPr>
      </w:pPr>
      <w:r w:rsidRPr="00B211D4">
        <w:rPr>
          <w:rFonts w:ascii="Arial" w:eastAsia="Times New Roman" w:hAnsi="Arial" w:cs="Arial"/>
          <w:iCs/>
          <w:lang w:eastAsia="en-US"/>
        </w:rPr>
        <w:t xml:space="preserve">Planirani prihodi i primici zajedno s prihodima proračunskih korisnika iznose </w:t>
      </w:r>
      <w:r w:rsidR="00B211D4" w:rsidRPr="00B211D4">
        <w:rPr>
          <w:rFonts w:ascii="Arial" w:eastAsia="Times New Roman" w:hAnsi="Arial" w:cs="Arial"/>
          <w:iCs/>
          <w:lang w:eastAsia="en-US"/>
        </w:rPr>
        <w:t>29.832.139</w:t>
      </w:r>
      <w:r w:rsidRPr="00B211D4">
        <w:rPr>
          <w:rFonts w:ascii="Arial" w:eastAsia="Times New Roman" w:hAnsi="Arial" w:cs="Arial"/>
          <w:iCs/>
          <w:lang w:eastAsia="en-US"/>
        </w:rPr>
        <w:t xml:space="preserve"> € što s planiranim prenesenim viškom prihoda 4.</w:t>
      </w:r>
      <w:r w:rsidR="00B211D4" w:rsidRPr="00B211D4">
        <w:rPr>
          <w:rFonts w:ascii="Arial" w:eastAsia="Times New Roman" w:hAnsi="Arial" w:cs="Arial"/>
          <w:iCs/>
          <w:lang w:eastAsia="en-US"/>
        </w:rPr>
        <w:t>567.861</w:t>
      </w:r>
      <w:r w:rsidRPr="00B211D4">
        <w:rPr>
          <w:rFonts w:ascii="Arial" w:eastAsia="Times New Roman" w:hAnsi="Arial" w:cs="Arial"/>
          <w:iCs/>
          <w:lang w:eastAsia="en-US"/>
        </w:rPr>
        <w:t xml:space="preserve"> € (višak Općine iz ranijih godina </w:t>
      </w:r>
      <w:r w:rsidR="00B211D4" w:rsidRPr="00B211D4">
        <w:rPr>
          <w:rFonts w:ascii="Arial" w:eastAsia="Times New Roman" w:hAnsi="Arial" w:cs="Arial"/>
          <w:iCs/>
          <w:lang w:eastAsia="en-US"/>
        </w:rPr>
        <w:t>4.814.004</w:t>
      </w:r>
      <w:r w:rsidRPr="00B211D4">
        <w:rPr>
          <w:rFonts w:ascii="Arial" w:eastAsia="Times New Roman" w:hAnsi="Arial" w:cs="Arial"/>
          <w:iCs/>
          <w:lang w:eastAsia="en-US"/>
        </w:rPr>
        <w:t xml:space="preserve"> € i viškovima/ manjkovima proračunskih korisnika u iznosu -</w:t>
      </w:r>
      <w:r w:rsidR="00B211D4" w:rsidRPr="00B211D4">
        <w:rPr>
          <w:rFonts w:ascii="Arial" w:eastAsia="Times New Roman" w:hAnsi="Arial" w:cs="Arial"/>
          <w:iCs/>
          <w:lang w:eastAsia="en-US"/>
        </w:rPr>
        <w:t>246.143</w:t>
      </w:r>
      <w:r w:rsidRPr="00B211D4">
        <w:rPr>
          <w:rFonts w:ascii="Arial" w:eastAsia="Times New Roman" w:hAnsi="Arial" w:cs="Arial"/>
          <w:iCs/>
          <w:lang w:eastAsia="en-US"/>
        </w:rPr>
        <w:t xml:space="preserve"> €) iznosi </w:t>
      </w:r>
      <w:r w:rsidR="00B211D4" w:rsidRPr="00B211D4">
        <w:rPr>
          <w:rFonts w:ascii="Arial" w:eastAsia="Times New Roman" w:hAnsi="Arial" w:cs="Arial"/>
          <w:iCs/>
          <w:lang w:eastAsia="en-US"/>
        </w:rPr>
        <w:t>34.400</w:t>
      </w:r>
      <w:r w:rsidRPr="00B211D4">
        <w:rPr>
          <w:rFonts w:ascii="Arial" w:eastAsia="Times New Roman" w:hAnsi="Arial" w:cs="Arial"/>
          <w:iCs/>
          <w:lang w:eastAsia="en-US"/>
        </w:rPr>
        <w:t xml:space="preserve">.000 €. </w:t>
      </w:r>
    </w:p>
    <w:p w14:paraId="3ACEF489" w14:textId="77777777" w:rsidR="00B211D4" w:rsidRPr="00B211D4" w:rsidRDefault="00B211D4" w:rsidP="003552D2">
      <w:pPr>
        <w:spacing w:after="0" w:line="240" w:lineRule="auto"/>
        <w:jc w:val="both"/>
        <w:rPr>
          <w:rFonts w:ascii="Arial" w:eastAsia="Times New Roman" w:hAnsi="Arial" w:cs="Arial"/>
          <w:iCs/>
          <w:lang w:eastAsia="en-US"/>
        </w:rPr>
      </w:pPr>
      <w:r w:rsidRPr="00B211D4">
        <w:rPr>
          <w:rFonts w:ascii="Arial" w:eastAsia="Times New Roman" w:hAnsi="Arial" w:cs="Arial"/>
          <w:iCs/>
          <w:lang w:eastAsia="en-US"/>
        </w:rPr>
        <w:t>Najznačajniji udjel u ostvarenim prihodima i primicima za 2025. imaju prihodi od poreza (61) u iznosu 8.507.914,65 € ili 36,7%, prihodi od pomoći (63) u iznosu 5.014.703,26 € ili 21,7%, prihodi od upravnih i administrativnih pristojbi, pristojbi po posebnim propisima i naknade (65) u iznosu 3.303.706,23 € ili 14,3%, prihodi od imovine (64) 1.981.636,37 € ili 8,6%, te prihodi od prodaje neproizvedene dugotrajne imovine (71) u iznosu 540.772,00 € ili 2,3%, ukupnih prihoda i primitaka. Primici od zaduživanja su ostvareni u iznosu 3.079.325,13 € što čini 13,3% ukupnih prihoda i primitaka. Svi ostali prihodi iznose 724.735,41 € i čine 3,1%.</w:t>
      </w:r>
    </w:p>
    <w:bookmarkEnd w:id="803"/>
    <w:p w14:paraId="6A4F65BE" w14:textId="77777777" w:rsidR="00B211D4" w:rsidRPr="00753FFC" w:rsidRDefault="00B211D4" w:rsidP="003552D2">
      <w:pPr>
        <w:spacing w:after="0" w:line="240" w:lineRule="auto"/>
        <w:jc w:val="both"/>
        <w:rPr>
          <w:rFonts w:ascii="Arial" w:eastAsia="Times New Roman" w:hAnsi="Arial" w:cs="Arial"/>
          <w:iCs/>
          <w:lang w:eastAsia="en-US"/>
        </w:rPr>
      </w:pPr>
    </w:p>
    <w:p w14:paraId="6146D179" w14:textId="16A353D9" w:rsidR="00753FFC" w:rsidRPr="00753FFC" w:rsidRDefault="00753FFC" w:rsidP="003552D2">
      <w:pPr>
        <w:spacing w:after="0" w:line="240" w:lineRule="auto"/>
        <w:jc w:val="both"/>
        <w:rPr>
          <w:rFonts w:ascii="Arial" w:eastAsia="Times New Roman" w:hAnsi="Arial" w:cs="Arial"/>
          <w:iCs/>
          <w:lang w:eastAsia="en-US"/>
        </w:rPr>
      </w:pPr>
      <w:bookmarkStart w:id="804" w:name="_Hlk207640634"/>
      <w:r w:rsidRPr="00753FFC">
        <w:rPr>
          <w:rFonts w:ascii="Arial" w:eastAsia="Times New Roman" w:hAnsi="Arial" w:cs="Arial"/>
          <w:b/>
          <w:bCs/>
          <w:iCs/>
          <w:lang w:eastAsia="en-US"/>
        </w:rPr>
        <w:t xml:space="preserve">Prihodi poslovanja </w:t>
      </w:r>
      <w:r w:rsidRPr="00753FFC">
        <w:rPr>
          <w:rFonts w:ascii="Arial" w:eastAsia="Times New Roman" w:hAnsi="Arial" w:cs="Arial"/>
          <w:iCs/>
          <w:lang w:eastAsia="en-US"/>
        </w:rPr>
        <w:t xml:space="preserve">(6) </w:t>
      </w:r>
      <w:bookmarkStart w:id="805" w:name="_Hlk230355464"/>
      <w:r w:rsidRPr="00753FFC">
        <w:rPr>
          <w:rFonts w:ascii="Arial" w:eastAsia="Times New Roman" w:hAnsi="Arial" w:cs="Arial"/>
          <w:iCs/>
          <w:lang w:eastAsia="en-US"/>
        </w:rPr>
        <w:t>ostvareni su u iznosu 19.502.612,37 € što je za 5.636.149,15 € ili 40,6% više u odnosu u na ostvarene prihode poslovanja u izvještajnom razdoblju prethodne godine. Vrijednosno najveće povećanje prihoda se odnosi na prihode od pomoći (za sufinanciranje izgradnje osnovne škole).Ukupni prihodi poslovanja Općine iznose 17.845.533,29 €, a prihodi proračunskih korisnika 1.657.079,08 € što ukupno iznosi 19.502.612,37 €.</w:t>
      </w:r>
    </w:p>
    <w:bookmarkEnd w:id="805"/>
    <w:p w14:paraId="7989DDA9" w14:textId="77777777" w:rsidR="00753FFC" w:rsidRPr="00753FFC" w:rsidRDefault="00753FFC" w:rsidP="003552D2">
      <w:pPr>
        <w:spacing w:after="0" w:line="240" w:lineRule="auto"/>
        <w:jc w:val="both"/>
        <w:rPr>
          <w:rFonts w:ascii="Arial" w:eastAsia="Times New Roman" w:hAnsi="Arial" w:cs="Arial"/>
          <w:iCs/>
          <w:lang w:eastAsia="en-US"/>
        </w:rPr>
      </w:pPr>
    </w:p>
    <w:bookmarkEnd w:id="804"/>
    <w:p w14:paraId="66428610" w14:textId="77777777" w:rsidR="00753FFC" w:rsidRPr="00753FFC" w:rsidRDefault="00753FFC" w:rsidP="00753FF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rPr>
      </w:pPr>
      <w:r w:rsidRPr="009B39A5">
        <w:rPr>
          <w:rFonts w:ascii="Arial" w:hAnsi="Arial" w:cs="Arial"/>
          <w:b/>
          <w:iCs/>
        </w:rPr>
        <w:t xml:space="preserve">Prihodi od prodaje nefinancijske imovine (7) </w:t>
      </w:r>
      <w:bookmarkStart w:id="806" w:name="_Hlk230355478"/>
      <w:r w:rsidRPr="009B39A5">
        <w:rPr>
          <w:rFonts w:ascii="Arial" w:hAnsi="Arial" w:cs="Arial"/>
          <w:bCs/>
          <w:iCs/>
        </w:rPr>
        <w:t xml:space="preserve">su ostvareni u iznosu 570.855,55 € što je za 275.303,23 € ili 93,1% više u odnosu na prethodnu godinu kada su iznosili </w:t>
      </w:r>
      <w:r w:rsidRPr="00753FFC">
        <w:rPr>
          <w:rFonts w:ascii="Arial" w:hAnsi="Arial" w:cs="Arial"/>
          <w:bCs/>
          <w:iCs/>
        </w:rPr>
        <w:t xml:space="preserve">295.552,32 €. </w:t>
      </w:r>
      <w:r w:rsidRPr="00753FFC">
        <w:rPr>
          <w:rFonts w:ascii="Arial" w:eastAsia="Calibri" w:hAnsi="Arial" w:cs="Arial"/>
          <w:iCs/>
          <w:lang w:eastAsia="en-US"/>
        </w:rPr>
        <w:t>Odnose se na prihode Općine 570.805,55 € i prihode proračunskog korisnika (Muzeji i galerije Konavala) 50 €</w:t>
      </w:r>
      <w:bookmarkEnd w:id="806"/>
      <w:r w:rsidRPr="00753FFC">
        <w:rPr>
          <w:rFonts w:ascii="Arial" w:eastAsia="Calibri" w:hAnsi="Arial" w:cs="Arial"/>
          <w:iCs/>
          <w:lang w:eastAsia="en-US"/>
        </w:rPr>
        <w:t>.</w:t>
      </w:r>
    </w:p>
    <w:p w14:paraId="211DF43F" w14:textId="77777777" w:rsidR="00753FFC" w:rsidRPr="003A2F86" w:rsidRDefault="00753FFC" w:rsidP="00753FF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Calibri" w:hAnsi="Arial" w:cs="Arial"/>
          <w:iCs/>
          <w:lang w:eastAsia="en-US"/>
        </w:rPr>
      </w:pPr>
    </w:p>
    <w:p w14:paraId="450D3173" w14:textId="37009128" w:rsidR="00821EFD" w:rsidRPr="00753FFC" w:rsidRDefault="00753FFC" w:rsidP="00753FFC">
      <w:pPr>
        <w:pStyle w:val="Tijeloteksta2"/>
        <w:rPr>
          <w:rFonts w:ascii="Arial" w:hAnsi="Arial" w:cs="Arial"/>
          <w:iCs/>
        </w:rPr>
      </w:pPr>
      <w:r w:rsidRPr="003A2F86">
        <w:rPr>
          <w:rFonts w:ascii="Arial" w:hAnsi="Arial" w:cs="Arial"/>
          <w:b/>
          <w:bCs/>
          <w:iCs/>
          <w:sz w:val="22"/>
          <w:szCs w:val="22"/>
          <w:lang w:val="hr-HR"/>
        </w:rPr>
        <w:t>Primici od financijske imovine i zaduživanja</w:t>
      </w:r>
      <w:r w:rsidRPr="003A2F86">
        <w:rPr>
          <w:rFonts w:ascii="Arial" w:hAnsi="Arial" w:cs="Arial"/>
          <w:iCs/>
          <w:sz w:val="22"/>
          <w:szCs w:val="22"/>
          <w:lang w:val="hr-HR"/>
        </w:rPr>
        <w:t xml:space="preserve"> (8) </w:t>
      </w:r>
      <w:bookmarkStart w:id="807" w:name="_Hlk230355487"/>
      <w:r w:rsidRPr="003A2F86">
        <w:rPr>
          <w:rFonts w:ascii="Arial" w:hAnsi="Arial" w:cs="Arial"/>
          <w:iCs/>
          <w:sz w:val="22"/>
          <w:szCs w:val="22"/>
          <w:lang w:val="hr-HR"/>
        </w:rPr>
        <w:t>su ostvareni</w:t>
      </w:r>
      <w:r>
        <w:rPr>
          <w:rFonts w:ascii="Arial" w:hAnsi="Arial" w:cs="Arial"/>
          <w:iCs/>
          <w:sz w:val="22"/>
          <w:szCs w:val="22"/>
          <w:lang w:val="hr-HR"/>
        </w:rPr>
        <w:t xml:space="preserve"> u iznosu </w:t>
      </w:r>
      <w:r w:rsidRPr="00026AA8">
        <w:rPr>
          <w:rFonts w:ascii="Arial" w:hAnsi="Arial" w:cs="Arial"/>
          <w:iCs/>
          <w:sz w:val="22"/>
          <w:szCs w:val="22"/>
          <w:lang w:val="hr-HR"/>
        </w:rPr>
        <w:t>3.079.325,13 €, dok prethodne godine nije bilo primitaka.</w:t>
      </w:r>
      <w:r>
        <w:rPr>
          <w:rFonts w:ascii="Arial" w:hAnsi="Arial" w:cs="Arial"/>
          <w:iCs/>
          <w:sz w:val="22"/>
          <w:szCs w:val="22"/>
          <w:lang w:val="hr-HR"/>
        </w:rPr>
        <w:t xml:space="preserve"> O</w:t>
      </w:r>
      <w:r w:rsidRPr="00026AA8">
        <w:rPr>
          <w:rFonts w:ascii="Arial" w:hAnsi="Arial" w:cs="Arial"/>
          <w:iCs/>
          <w:sz w:val="22"/>
          <w:szCs w:val="22"/>
          <w:lang w:val="hr-HR"/>
        </w:rPr>
        <w:t>stvareni primici se odnose na zaduživanje za provedbu projekta izgradnje i opremanja nove osnovne škole u Cavtatu</w:t>
      </w:r>
      <w:bookmarkEnd w:id="807"/>
      <w:r w:rsidRPr="00026AA8">
        <w:rPr>
          <w:rFonts w:ascii="Arial" w:hAnsi="Arial" w:cs="Arial"/>
          <w:iCs/>
          <w:sz w:val="22"/>
          <w:szCs w:val="22"/>
          <w:lang w:val="hr-HR"/>
        </w:rPr>
        <w:t>.</w:t>
      </w:r>
    </w:p>
    <w:p w14:paraId="71CF4103" w14:textId="6687568B" w:rsidR="00821EFD" w:rsidRDefault="001656DC" w:rsidP="00821EFD">
      <w:pPr>
        <w:spacing w:after="0" w:line="240" w:lineRule="auto"/>
        <w:jc w:val="center"/>
        <w:rPr>
          <w:rFonts w:ascii="Arial" w:eastAsia="Times New Roman" w:hAnsi="Arial" w:cs="Arial"/>
          <w:iCs/>
          <w:lang w:eastAsia="en-US"/>
        </w:rPr>
      </w:pPr>
      <w:r w:rsidRPr="001656DC">
        <w:rPr>
          <w:noProof/>
        </w:rPr>
        <w:lastRenderedPageBreak/>
        <w:drawing>
          <wp:inline distT="0" distB="0" distL="0" distR="0" wp14:anchorId="13F209EF" wp14:editId="36C0053D">
            <wp:extent cx="9538327" cy="4136065"/>
            <wp:effectExtent l="0" t="0" r="6350" b="0"/>
            <wp:docPr id="438389497"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9541736" cy="4137543"/>
                    </a:xfrm>
                    <a:prstGeom prst="rect">
                      <a:avLst/>
                    </a:prstGeom>
                    <a:noFill/>
                    <a:ln>
                      <a:noFill/>
                    </a:ln>
                  </pic:spPr>
                </pic:pic>
              </a:graphicData>
            </a:graphic>
          </wp:inline>
        </w:drawing>
      </w:r>
    </w:p>
    <w:p w14:paraId="060278A9" w14:textId="77777777" w:rsidR="001656DC" w:rsidRDefault="001656DC" w:rsidP="001656DC">
      <w:pPr>
        <w:spacing w:after="0" w:line="240" w:lineRule="auto"/>
        <w:jc w:val="both"/>
        <w:rPr>
          <w:rFonts w:ascii="Arial" w:eastAsia="Times New Roman" w:hAnsi="Arial" w:cs="Arial"/>
          <w:b/>
          <w:bCs/>
          <w:iCs/>
          <w:lang w:eastAsia="en-US"/>
        </w:rPr>
      </w:pPr>
    </w:p>
    <w:p w14:paraId="234AB5EF" w14:textId="01F097F6" w:rsidR="001656DC" w:rsidRPr="001656DC" w:rsidRDefault="001656DC" w:rsidP="001656DC">
      <w:pPr>
        <w:spacing w:after="0" w:line="240" w:lineRule="auto"/>
        <w:jc w:val="both"/>
        <w:rPr>
          <w:rFonts w:ascii="Arial" w:eastAsia="Times New Roman" w:hAnsi="Arial" w:cs="Arial"/>
          <w:iCs/>
          <w:lang w:eastAsia="en-US"/>
        </w:rPr>
      </w:pPr>
      <w:r w:rsidRPr="001656DC">
        <w:rPr>
          <w:rFonts w:ascii="Arial" w:eastAsia="Times New Roman" w:hAnsi="Arial" w:cs="Arial"/>
          <w:b/>
          <w:bCs/>
          <w:iCs/>
          <w:lang w:eastAsia="en-US"/>
        </w:rPr>
        <w:t>Ukupni rashodi i izdaci</w:t>
      </w:r>
      <w:r w:rsidRPr="00D86646">
        <w:rPr>
          <w:rFonts w:ascii="Arial" w:eastAsia="Times New Roman" w:hAnsi="Arial" w:cs="Arial"/>
          <w:iCs/>
          <w:lang w:eastAsia="en-US"/>
        </w:rPr>
        <w:t xml:space="preserve"> za razdoblje siječanj – prosinac 2025. </w:t>
      </w:r>
      <w:bookmarkStart w:id="808" w:name="_Hlk230355514"/>
      <w:r w:rsidRPr="00D86646">
        <w:rPr>
          <w:rFonts w:ascii="Arial" w:eastAsia="Times New Roman" w:hAnsi="Arial" w:cs="Arial"/>
          <w:iCs/>
          <w:lang w:eastAsia="en-US"/>
        </w:rPr>
        <w:t xml:space="preserve">izvršeni su u iznosu </w:t>
      </w:r>
      <w:bookmarkStart w:id="809" w:name="_Hlk230355604"/>
      <w:r w:rsidRPr="00D86646">
        <w:rPr>
          <w:rFonts w:ascii="Arial" w:eastAsia="Times New Roman" w:hAnsi="Arial" w:cs="Arial"/>
          <w:iCs/>
          <w:lang w:eastAsia="en-US"/>
        </w:rPr>
        <w:t xml:space="preserve">26.434.475,83 </w:t>
      </w:r>
      <w:bookmarkEnd w:id="809"/>
      <w:r w:rsidRPr="00D86646">
        <w:rPr>
          <w:rFonts w:ascii="Arial" w:eastAsia="Times New Roman" w:hAnsi="Arial" w:cs="Arial"/>
          <w:iCs/>
          <w:lang w:eastAsia="en-US"/>
        </w:rPr>
        <w:t xml:space="preserve">€ što je za 11.180.928,48 € ili 73,3% više u odnosu </w:t>
      </w:r>
      <w:r w:rsidRPr="001656DC">
        <w:rPr>
          <w:rFonts w:ascii="Arial" w:eastAsia="Times New Roman" w:hAnsi="Arial" w:cs="Arial"/>
          <w:iCs/>
          <w:lang w:eastAsia="en-US"/>
        </w:rPr>
        <w:t xml:space="preserve">na izvještajno razdoblje prethodne godine. </w:t>
      </w:r>
    </w:p>
    <w:bookmarkEnd w:id="808"/>
    <w:p w14:paraId="2A5CB382" w14:textId="77777777" w:rsidR="001656DC" w:rsidRPr="005F2C86" w:rsidRDefault="001656DC" w:rsidP="00B16A41">
      <w:pPr>
        <w:spacing w:after="0" w:line="240" w:lineRule="auto"/>
        <w:jc w:val="both"/>
        <w:rPr>
          <w:rFonts w:ascii="Arial" w:eastAsia="Times New Roman" w:hAnsi="Arial" w:cs="Arial"/>
          <w:iCs/>
          <w:lang w:eastAsia="en-US"/>
        </w:rPr>
      </w:pPr>
    </w:p>
    <w:p w14:paraId="48542EE5" w14:textId="06CA9032" w:rsidR="00B16A41" w:rsidRPr="005F2C86" w:rsidRDefault="00B16A41" w:rsidP="00B16A41">
      <w:pPr>
        <w:spacing w:after="0" w:line="240" w:lineRule="auto"/>
        <w:jc w:val="both"/>
        <w:rPr>
          <w:rFonts w:ascii="Arial" w:eastAsia="Times New Roman" w:hAnsi="Arial" w:cs="Arial"/>
          <w:iCs/>
          <w:lang w:eastAsia="en-US"/>
        </w:rPr>
      </w:pPr>
      <w:r w:rsidRPr="005F2C86">
        <w:rPr>
          <w:rFonts w:ascii="Arial" w:eastAsia="Times New Roman" w:hAnsi="Arial" w:cs="Arial"/>
          <w:iCs/>
          <w:lang w:eastAsia="en-US"/>
        </w:rPr>
        <w:t xml:space="preserve">Planirani rashodi zajedno s rashodima proračunskih korisnika iznose </w:t>
      </w:r>
      <w:r w:rsidR="001656DC" w:rsidRPr="005F2C86">
        <w:rPr>
          <w:rFonts w:ascii="Arial" w:eastAsia="Times New Roman" w:hAnsi="Arial" w:cs="Arial"/>
          <w:iCs/>
          <w:lang w:eastAsia="en-US"/>
        </w:rPr>
        <w:t>33.367.770</w:t>
      </w:r>
      <w:r w:rsidRPr="005F2C86">
        <w:rPr>
          <w:rFonts w:ascii="Arial" w:eastAsia="Times New Roman" w:hAnsi="Arial" w:cs="Arial"/>
          <w:iCs/>
          <w:lang w:eastAsia="en-US"/>
        </w:rPr>
        <w:t xml:space="preserve"> €, a izdaci u iznosu </w:t>
      </w:r>
      <w:r w:rsidR="001656DC" w:rsidRPr="005F2C86">
        <w:rPr>
          <w:rFonts w:ascii="Arial" w:eastAsia="Times New Roman" w:hAnsi="Arial" w:cs="Arial"/>
          <w:iCs/>
          <w:lang w:eastAsia="en-US"/>
        </w:rPr>
        <w:t>1.032.230</w:t>
      </w:r>
      <w:r w:rsidRPr="005F2C86">
        <w:rPr>
          <w:rFonts w:ascii="Arial" w:eastAsia="Times New Roman" w:hAnsi="Arial" w:cs="Arial"/>
          <w:iCs/>
          <w:lang w:eastAsia="en-US"/>
        </w:rPr>
        <w:t xml:space="preserve"> €, sveukupno </w:t>
      </w:r>
      <w:r w:rsidR="001656DC" w:rsidRPr="005F2C86">
        <w:rPr>
          <w:rFonts w:ascii="Arial" w:eastAsia="Times New Roman" w:hAnsi="Arial" w:cs="Arial"/>
          <w:iCs/>
          <w:lang w:eastAsia="en-US"/>
        </w:rPr>
        <w:t>34.400</w:t>
      </w:r>
      <w:r w:rsidRPr="005F2C86">
        <w:rPr>
          <w:rFonts w:ascii="Arial" w:eastAsia="Times New Roman" w:hAnsi="Arial" w:cs="Arial"/>
          <w:iCs/>
          <w:lang w:eastAsia="en-US"/>
        </w:rPr>
        <w:t xml:space="preserve">.000 €. </w:t>
      </w:r>
    </w:p>
    <w:p w14:paraId="48A65FF8" w14:textId="77777777" w:rsidR="006E3E05" w:rsidRDefault="006E3E05" w:rsidP="00821EFD">
      <w:pPr>
        <w:spacing w:after="0" w:line="240" w:lineRule="auto"/>
        <w:jc w:val="both"/>
        <w:rPr>
          <w:rFonts w:ascii="Arial" w:eastAsia="Times New Roman" w:hAnsi="Arial" w:cs="Arial"/>
          <w:bCs/>
          <w:iCs/>
          <w:lang w:eastAsia="en-US"/>
        </w:rPr>
      </w:pPr>
    </w:p>
    <w:p w14:paraId="40CAB750" w14:textId="605F7207" w:rsidR="00821EFD" w:rsidRPr="005F2C86" w:rsidRDefault="00821EFD" w:rsidP="00821EFD">
      <w:pPr>
        <w:spacing w:after="0" w:line="240" w:lineRule="auto"/>
        <w:jc w:val="both"/>
        <w:rPr>
          <w:rFonts w:ascii="Arial" w:eastAsia="Times New Roman" w:hAnsi="Arial" w:cs="Arial"/>
          <w:bCs/>
          <w:iCs/>
          <w:lang w:eastAsia="en-US"/>
        </w:rPr>
      </w:pPr>
      <w:r w:rsidRPr="005F2C86">
        <w:rPr>
          <w:rFonts w:ascii="Arial" w:eastAsia="Times New Roman" w:hAnsi="Arial" w:cs="Arial"/>
          <w:bCs/>
          <w:iCs/>
          <w:lang w:eastAsia="en-US"/>
        </w:rPr>
        <w:t xml:space="preserve">Ukupno izvršeni rashodi i izdaci se dijele na </w:t>
      </w:r>
      <w:r w:rsidRPr="005F2C86">
        <w:rPr>
          <w:rFonts w:ascii="Arial" w:eastAsia="Times New Roman" w:hAnsi="Arial" w:cs="Arial"/>
          <w:b/>
          <w:iCs/>
          <w:lang w:eastAsia="en-US"/>
        </w:rPr>
        <w:t>rashode i izdatke upravnih tijela Općine</w:t>
      </w:r>
      <w:r w:rsidRPr="005F2C86">
        <w:rPr>
          <w:rFonts w:ascii="Arial" w:eastAsia="Times New Roman" w:hAnsi="Arial" w:cs="Arial"/>
          <w:bCs/>
          <w:iCs/>
          <w:lang w:eastAsia="en-US"/>
        </w:rPr>
        <w:t xml:space="preserve"> </w:t>
      </w:r>
      <w:bookmarkStart w:id="810" w:name="_Hlk230355544"/>
      <w:r w:rsidR="005F2C86" w:rsidRPr="005F2C86">
        <w:rPr>
          <w:rFonts w:ascii="Arial" w:eastAsia="Times New Roman" w:hAnsi="Arial" w:cs="Arial"/>
          <w:bCs/>
          <w:iCs/>
          <w:lang w:eastAsia="en-US"/>
        </w:rPr>
        <w:t>20.185.424,24</w:t>
      </w:r>
      <w:r w:rsidRPr="005F2C86">
        <w:rPr>
          <w:rFonts w:ascii="Arial" w:eastAsia="Times New Roman" w:hAnsi="Arial" w:cs="Arial"/>
          <w:bCs/>
          <w:iCs/>
          <w:lang w:eastAsia="en-US"/>
        </w:rPr>
        <w:t xml:space="preserve"> </w:t>
      </w:r>
      <w:bookmarkEnd w:id="810"/>
      <w:r w:rsidRPr="005F2C86">
        <w:rPr>
          <w:rFonts w:ascii="Arial" w:eastAsia="Times New Roman" w:hAnsi="Arial" w:cs="Arial"/>
          <w:bCs/>
          <w:iCs/>
          <w:lang w:eastAsia="en-US"/>
        </w:rPr>
        <w:t xml:space="preserve">€ (iznos bez izvršenih prijenosa proračunskim korisnicima putem računa 367 za financiranje rashoda poslovanja u iznosu </w:t>
      </w:r>
      <w:bookmarkStart w:id="811" w:name="_Hlk230355646"/>
      <w:r w:rsidR="005F2C86" w:rsidRPr="005F2C86">
        <w:rPr>
          <w:rFonts w:ascii="Arial" w:eastAsia="Times New Roman" w:hAnsi="Arial" w:cs="Arial"/>
          <w:bCs/>
          <w:iCs/>
          <w:lang w:eastAsia="en-US"/>
        </w:rPr>
        <w:t xml:space="preserve">4.593.804,88 </w:t>
      </w:r>
      <w:bookmarkEnd w:id="811"/>
      <w:r w:rsidR="005F2C86" w:rsidRPr="005F2C86">
        <w:rPr>
          <w:rFonts w:ascii="Arial" w:eastAsia="Times New Roman" w:hAnsi="Arial" w:cs="Arial"/>
          <w:bCs/>
          <w:iCs/>
          <w:lang w:eastAsia="en-US"/>
        </w:rPr>
        <w:t>€</w:t>
      </w:r>
      <w:r w:rsidRPr="005F2C86">
        <w:rPr>
          <w:rFonts w:ascii="Arial" w:eastAsia="Times New Roman" w:hAnsi="Arial" w:cs="Arial"/>
          <w:bCs/>
          <w:iCs/>
          <w:lang w:eastAsia="en-US"/>
        </w:rPr>
        <w:t xml:space="preserve">) i </w:t>
      </w:r>
      <w:r w:rsidRPr="005F2C86">
        <w:rPr>
          <w:rFonts w:ascii="Arial" w:eastAsia="Times New Roman" w:hAnsi="Arial" w:cs="Arial"/>
          <w:b/>
          <w:iCs/>
          <w:lang w:eastAsia="en-US"/>
        </w:rPr>
        <w:t>rashode proračunskih korisnika</w:t>
      </w:r>
      <w:r w:rsidRPr="005F2C86">
        <w:rPr>
          <w:rFonts w:ascii="Arial" w:eastAsia="Times New Roman" w:hAnsi="Arial" w:cs="Arial"/>
          <w:bCs/>
          <w:iCs/>
          <w:lang w:eastAsia="en-US"/>
        </w:rPr>
        <w:t xml:space="preserve"> </w:t>
      </w:r>
      <w:bookmarkStart w:id="812" w:name="_Hlk230355657"/>
      <w:r w:rsidR="005F2C86" w:rsidRPr="005F2C86">
        <w:rPr>
          <w:rFonts w:ascii="Arial" w:eastAsia="Times New Roman" w:hAnsi="Arial" w:cs="Arial"/>
          <w:bCs/>
          <w:iCs/>
          <w:lang w:eastAsia="en-US"/>
        </w:rPr>
        <w:t>6.249.051,59</w:t>
      </w:r>
      <w:r w:rsidRPr="005F2C86">
        <w:rPr>
          <w:rFonts w:ascii="Arial" w:eastAsia="Times New Roman" w:hAnsi="Arial" w:cs="Arial"/>
          <w:bCs/>
          <w:iCs/>
          <w:lang w:eastAsia="en-US"/>
        </w:rPr>
        <w:t xml:space="preserve"> </w:t>
      </w:r>
      <w:bookmarkEnd w:id="812"/>
      <w:r w:rsidRPr="005F2C86">
        <w:rPr>
          <w:rFonts w:ascii="Arial" w:eastAsia="Times New Roman" w:hAnsi="Arial" w:cs="Arial"/>
          <w:bCs/>
          <w:iCs/>
          <w:lang w:eastAsia="en-US"/>
        </w:rPr>
        <w:t>€ (izvor financiranja</w:t>
      </w:r>
      <w:r w:rsidR="00227A0F" w:rsidRPr="005F2C86">
        <w:rPr>
          <w:rFonts w:ascii="Arial" w:eastAsia="Times New Roman" w:hAnsi="Arial" w:cs="Arial"/>
          <w:bCs/>
          <w:iCs/>
          <w:lang w:eastAsia="en-US"/>
        </w:rPr>
        <w:t xml:space="preserve"> ovih rashoda su vlastiti prihodi proračunskih korisnika i prihodi</w:t>
      </w:r>
      <w:r w:rsidRPr="005F2C86">
        <w:rPr>
          <w:rFonts w:ascii="Arial" w:eastAsia="Times New Roman" w:hAnsi="Arial" w:cs="Arial"/>
          <w:bCs/>
          <w:iCs/>
          <w:lang w:eastAsia="en-US"/>
        </w:rPr>
        <w:t xml:space="preserve"> Općin</w:t>
      </w:r>
      <w:r w:rsidR="00227A0F" w:rsidRPr="005F2C86">
        <w:rPr>
          <w:rFonts w:ascii="Arial" w:eastAsia="Times New Roman" w:hAnsi="Arial" w:cs="Arial"/>
          <w:bCs/>
          <w:iCs/>
          <w:lang w:eastAsia="en-US"/>
        </w:rPr>
        <w:t>e</w:t>
      </w:r>
      <w:r w:rsidRPr="005F2C86">
        <w:rPr>
          <w:rFonts w:ascii="Arial" w:eastAsia="Times New Roman" w:hAnsi="Arial" w:cs="Arial"/>
          <w:bCs/>
          <w:iCs/>
          <w:lang w:eastAsia="en-US"/>
        </w:rPr>
        <w:t>).</w:t>
      </w:r>
    </w:p>
    <w:p w14:paraId="7077722A" w14:textId="0D2D7755" w:rsidR="005F2C86" w:rsidRPr="005F2C86" w:rsidRDefault="005F2C86" w:rsidP="00821EFD">
      <w:pPr>
        <w:spacing w:after="0" w:line="240" w:lineRule="auto"/>
        <w:jc w:val="both"/>
        <w:rPr>
          <w:rFonts w:ascii="Arial" w:eastAsia="Times New Roman" w:hAnsi="Arial" w:cs="Arial"/>
          <w:bCs/>
          <w:iCs/>
          <w:lang w:eastAsia="en-US"/>
        </w:rPr>
      </w:pPr>
      <w:r w:rsidRPr="005F2C86">
        <w:rPr>
          <w:rFonts w:ascii="Arial" w:eastAsia="Times New Roman" w:hAnsi="Arial" w:cs="Arial"/>
          <w:b/>
          <w:iCs/>
          <w:lang w:eastAsia="en-US"/>
        </w:rPr>
        <w:t xml:space="preserve">Rashodi poslovanja </w:t>
      </w:r>
      <w:r w:rsidRPr="005F2C86">
        <w:rPr>
          <w:rFonts w:ascii="Arial" w:eastAsia="Times New Roman" w:hAnsi="Arial" w:cs="Arial"/>
          <w:bCs/>
          <w:iCs/>
          <w:lang w:eastAsia="en-US"/>
        </w:rPr>
        <w:t>(3) izvršeni su u iznosu 13.813.600,58 € što je za 1.736.675,58 € ili 14,4% više u odnosu na izvršene rashode poslovanja u izvještajnom razdoblju prethodne godine.</w:t>
      </w:r>
    </w:p>
    <w:p w14:paraId="7A0E92FD" w14:textId="7BD07041" w:rsidR="005F2C86" w:rsidRDefault="005F2C86" w:rsidP="005F2C8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verflowPunct w:val="0"/>
        <w:autoSpaceDE w:val="0"/>
        <w:autoSpaceDN w:val="0"/>
        <w:adjustRightInd w:val="0"/>
        <w:spacing w:after="0" w:line="240" w:lineRule="auto"/>
        <w:jc w:val="both"/>
        <w:rPr>
          <w:rFonts w:ascii="Arial" w:eastAsia="Times New Roman" w:hAnsi="Arial" w:cs="Arial"/>
        </w:rPr>
      </w:pPr>
      <w:r w:rsidRPr="00580602">
        <w:rPr>
          <w:rFonts w:ascii="Arial" w:eastAsia="Times New Roman" w:hAnsi="Arial" w:cs="Arial"/>
          <w:b/>
        </w:rPr>
        <w:lastRenderedPageBreak/>
        <w:t>Rashodi za nabavu nefinancijske imovne</w:t>
      </w:r>
      <w:r w:rsidRPr="00580602">
        <w:rPr>
          <w:rFonts w:ascii="Arial" w:eastAsia="Times New Roman" w:hAnsi="Arial" w:cs="Arial"/>
        </w:rPr>
        <w:t xml:space="preserve"> (4) su izvršeni u iznosu </w:t>
      </w:r>
      <w:r w:rsidRPr="007D221D">
        <w:rPr>
          <w:rFonts w:ascii="Arial" w:eastAsia="Times New Roman" w:hAnsi="Arial" w:cs="Arial"/>
        </w:rPr>
        <w:t>11.626.094,90 € što je za 8.993.678,89 € ili 341,7% više u odnosu na izvještajno razdoblje prethodne godine.</w:t>
      </w:r>
      <w:r>
        <w:rPr>
          <w:rFonts w:ascii="Arial" w:eastAsia="Times New Roman" w:hAnsi="Arial" w:cs="Arial"/>
        </w:rPr>
        <w:t xml:space="preserve"> </w:t>
      </w:r>
      <w:r w:rsidRPr="005F2C86">
        <w:rPr>
          <w:rFonts w:ascii="Arial" w:eastAsia="Times New Roman" w:hAnsi="Arial" w:cs="Arial"/>
        </w:rPr>
        <w:t>Ukupni rashodi za nabavu nefinancijske imovine Općine iznose 11.559.105,90 €, a rashodi za nabavu nefinancijske imovine proračunskih korisnika iznose 66.989 €.</w:t>
      </w:r>
    </w:p>
    <w:p w14:paraId="1DE352F6" w14:textId="77777777" w:rsidR="00821EFD" w:rsidRDefault="00821EFD" w:rsidP="00B16A41">
      <w:pPr>
        <w:spacing w:after="0" w:line="240" w:lineRule="auto"/>
        <w:jc w:val="both"/>
        <w:rPr>
          <w:rFonts w:ascii="Arial" w:eastAsia="Times New Roman" w:hAnsi="Arial" w:cs="Arial"/>
          <w:iCs/>
          <w:lang w:eastAsia="en-US"/>
        </w:rPr>
      </w:pPr>
    </w:p>
    <w:p w14:paraId="7F8DDD6E" w14:textId="479AFEA3" w:rsidR="00821EFD" w:rsidRDefault="001656DC" w:rsidP="00B16A41">
      <w:pPr>
        <w:spacing w:after="0" w:line="240" w:lineRule="auto"/>
        <w:jc w:val="both"/>
        <w:rPr>
          <w:rFonts w:ascii="Arial" w:eastAsia="Times New Roman" w:hAnsi="Arial" w:cs="Arial"/>
          <w:iCs/>
          <w:lang w:eastAsia="en-US"/>
        </w:rPr>
      </w:pPr>
      <w:r w:rsidRPr="001656DC">
        <w:rPr>
          <w:noProof/>
        </w:rPr>
        <w:drawing>
          <wp:inline distT="0" distB="0" distL="0" distR="0" wp14:anchorId="18876C19" wp14:editId="374405B0">
            <wp:extent cx="8963025" cy="4093845"/>
            <wp:effectExtent l="0" t="0" r="9525" b="1905"/>
            <wp:docPr id="35703995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8963025" cy="4093845"/>
                    </a:xfrm>
                    <a:prstGeom prst="rect">
                      <a:avLst/>
                    </a:prstGeom>
                    <a:noFill/>
                    <a:ln>
                      <a:noFill/>
                    </a:ln>
                  </pic:spPr>
                </pic:pic>
              </a:graphicData>
            </a:graphic>
          </wp:inline>
        </w:drawing>
      </w:r>
    </w:p>
    <w:p w14:paraId="3110863A" w14:textId="77777777" w:rsidR="005F2C86" w:rsidRDefault="005F2C86" w:rsidP="00B16A41">
      <w:pPr>
        <w:spacing w:after="0" w:line="240" w:lineRule="auto"/>
        <w:jc w:val="both"/>
        <w:rPr>
          <w:rFonts w:ascii="Arial" w:eastAsia="Times New Roman" w:hAnsi="Arial" w:cs="Arial"/>
          <w:iCs/>
          <w:lang w:eastAsia="en-US"/>
        </w:rPr>
      </w:pPr>
    </w:p>
    <w:p w14:paraId="358F6DCA" w14:textId="333DE046" w:rsidR="005F2C86" w:rsidRPr="003A2F86" w:rsidRDefault="005F2C86" w:rsidP="005F2C86">
      <w:pPr>
        <w:spacing w:after="0" w:line="240" w:lineRule="auto"/>
        <w:jc w:val="both"/>
        <w:rPr>
          <w:rFonts w:ascii="Arial" w:eastAsia="Calibri" w:hAnsi="Arial" w:cs="Arial"/>
          <w:lang w:eastAsia="en-US"/>
        </w:rPr>
      </w:pPr>
      <w:r w:rsidRPr="003A2F86">
        <w:rPr>
          <w:rFonts w:ascii="Arial" w:eastAsia="Calibri" w:hAnsi="Arial" w:cs="Arial"/>
          <w:lang w:eastAsia="en-US"/>
        </w:rPr>
        <w:t xml:space="preserve">Vrijednosno najznačajniji je udjel </w:t>
      </w:r>
      <w:r>
        <w:rPr>
          <w:rFonts w:ascii="Arial" w:eastAsia="Calibri" w:hAnsi="Arial" w:cs="Arial"/>
          <w:lang w:eastAsia="en-US"/>
        </w:rPr>
        <w:t>r</w:t>
      </w:r>
      <w:r w:rsidRPr="003A2F86">
        <w:rPr>
          <w:rFonts w:ascii="Arial" w:eastAsia="Calibri" w:hAnsi="Arial" w:cs="Arial"/>
          <w:lang w:eastAsia="en-US"/>
        </w:rPr>
        <w:t>ashod</w:t>
      </w:r>
      <w:r>
        <w:rPr>
          <w:rFonts w:ascii="Arial" w:eastAsia="Calibri" w:hAnsi="Arial" w:cs="Arial"/>
          <w:lang w:eastAsia="en-US"/>
        </w:rPr>
        <w:t>a</w:t>
      </w:r>
      <w:r w:rsidRPr="003A2F86">
        <w:rPr>
          <w:rFonts w:ascii="Arial" w:eastAsia="Calibri" w:hAnsi="Arial" w:cs="Arial"/>
          <w:lang w:eastAsia="en-US"/>
        </w:rPr>
        <w:t xml:space="preserve"> za nabavu nefinancijske imovine (4) </w:t>
      </w:r>
      <w:r>
        <w:rPr>
          <w:rFonts w:ascii="Arial" w:eastAsia="Calibri" w:hAnsi="Arial" w:cs="Arial"/>
          <w:lang w:eastAsia="en-US"/>
        </w:rPr>
        <w:t xml:space="preserve">u iznosu </w:t>
      </w:r>
      <w:bookmarkStart w:id="813" w:name="_Hlk230355715"/>
      <w:r>
        <w:rPr>
          <w:rFonts w:ascii="Arial" w:eastAsia="Calibri" w:hAnsi="Arial" w:cs="Arial"/>
          <w:lang w:eastAsia="en-US"/>
        </w:rPr>
        <w:t>11.626.094,90</w:t>
      </w:r>
      <w:r w:rsidRPr="003A2F86">
        <w:rPr>
          <w:rFonts w:ascii="Arial" w:eastAsia="Calibri" w:hAnsi="Arial" w:cs="Arial"/>
          <w:lang w:eastAsia="en-US"/>
        </w:rPr>
        <w:t xml:space="preserve"> € ili </w:t>
      </w:r>
      <w:r>
        <w:rPr>
          <w:rFonts w:ascii="Arial" w:eastAsia="Calibri" w:hAnsi="Arial" w:cs="Arial"/>
          <w:lang w:eastAsia="en-US"/>
        </w:rPr>
        <w:t>44</w:t>
      </w:r>
      <w:r w:rsidRPr="003A2F86">
        <w:rPr>
          <w:rFonts w:ascii="Arial" w:eastAsia="Calibri" w:hAnsi="Arial" w:cs="Arial"/>
          <w:lang w:eastAsia="en-US"/>
        </w:rPr>
        <w:t xml:space="preserve">% </w:t>
      </w:r>
      <w:bookmarkEnd w:id="813"/>
      <w:r w:rsidRPr="003A2F86">
        <w:rPr>
          <w:rFonts w:ascii="Arial" w:eastAsia="Calibri" w:hAnsi="Arial" w:cs="Arial"/>
          <w:lang w:eastAsia="en-US"/>
        </w:rPr>
        <w:t>ukupnih rashoda i izdataka. Potom slijede</w:t>
      </w:r>
      <w:r>
        <w:rPr>
          <w:rFonts w:ascii="Arial" w:eastAsia="Calibri" w:hAnsi="Arial" w:cs="Arial"/>
          <w:lang w:eastAsia="en-US"/>
        </w:rPr>
        <w:t xml:space="preserve"> </w:t>
      </w:r>
      <w:r w:rsidRPr="003A2F86">
        <w:rPr>
          <w:rFonts w:ascii="Arial" w:eastAsia="Calibri" w:hAnsi="Arial" w:cs="Arial"/>
          <w:lang w:eastAsia="en-US"/>
        </w:rPr>
        <w:t>materijalni rashod</w:t>
      </w:r>
      <w:r>
        <w:rPr>
          <w:rFonts w:ascii="Arial" w:eastAsia="Calibri" w:hAnsi="Arial" w:cs="Arial"/>
          <w:lang w:eastAsia="en-US"/>
        </w:rPr>
        <w:t>i</w:t>
      </w:r>
      <w:r w:rsidRPr="003A2F86">
        <w:rPr>
          <w:rFonts w:ascii="Arial" w:eastAsia="Calibri" w:hAnsi="Arial" w:cs="Arial"/>
          <w:lang w:eastAsia="en-US"/>
        </w:rPr>
        <w:t xml:space="preserve"> (32) u iznosu </w:t>
      </w:r>
      <w:bookmarkStart w:id="814" w:name="_Hlk230355748"/>
      <w:r>
        <w:rPr>
          <w:rFonts w:ascii="Arial" w:eastAsia="Calibri" w:hAnsi="Arial" w:cs="Arial"/>
          <w:lang w:eastAsia="en-US"/>
        </w:rPr>
        <w:t>6.024.604,26</w:t>
      </w:r>
      <w:r w:rsidRPr="003A2F86">
        <w:rPr>
          <w:rFonts w:ascii="Arial" w:eastAsia="Calibri" w:hAnsi="Arial" w:cs="Arial"/>
          <w:lang w:eastAsia="en-US"/>
        </w:rPr>
        <w:t xml:space="preserve"> € ili </w:t>
      </w:r>
      <w:r>
        <w:rPr>
          <w:rFonts w:ascii="Arial" w:eastAsia="Calibri" w:hAnsi="Arial" w:cs="Arial"/>
          <w:lang w:eastAsia="en-US"/>
        </w:rPr>
        <w:t>22,8</w:t>
      </w:r>
      <w:bookmarkEnd w:id="814"/>
      <w:r w:rsidRPr="003A2F86">
        <w:rPr>
          <w:rFonts w:ascii="Arial" w:eastAsia="Calibri" w:hAnsi="Arial" w:cs="Arial"/>
          <w:lang w:eastAsia="en-US"/>
        </w:rPr>
        <w:t>%</w:t>
      </w:r>
      <w:r>
        <w:rPr>
          <w:rFonts w:ascii="Arial" w:eastAsia="Calibri" w:hAnsi="Arial" w:cs="Arial"/>
          <w:lang w:eastAsia="en-US"/>
        </w:rPr>
        <w:t>,</w:t>
      </w:r>
      <w:r w:rsidRPr="003A2F86">
        <w:rPr>
          <w:rFonts w:ascii="Arial" w:eastAsia="Calibri" w:hAnsi="Arial" w:cs="Arial"/>
          <w:lang w:eastAsia="en-US"/>
        </w:rPr>
        <w:t xml:space="preserve"> </w:t>
      </w:r>
      <w:r>
        <w:rPr>
          <w:rFonts w:ascii="Arial" w:eastAsia="Calibri" w:hAnsi="Arial" w:cs="Arial"/>
          <w:lang w:eastAsia="en-US"/>
        </w:rPr>
        <w:t>r</w:t>
      </w:r>
      <w:r w:rsidRPr="003A2F86">
        <w:rPr>
          <w:rFonts w:ascii="Arial" w:eastAsia="Calibri" w:hAnsi="Arial" w:cs="Arial"/>
          <w:lang w:eastAsia="en-US"/>
        </w:rPr>
        <w:t>ashod</w:t>
      </w:r>
      <w:r>
        <w:rPr>
          <w:rFonts w:ascii="Arial" w:eastAsia="Calibri" w:hAnsi="Arial" w:cs="Arial"/>
          <w:lang w:eastAsia="en-US"/>
        </w:rPr>
        <w:t>i</w:t>
      </w:r>
      <w:r w:rsidRPr="003A2F86">
        <w:rPr>
          <w:rFonts w:ascii="Arial" w:eastAsia="Calibri" w:hAnsi="Arial" w:cs="Arial"/>
          <w:lang w:eastAsia="en-US"/>
        </w:rPr>
        <w:t xml:space="preserve"> za zaposlene (31) u iznosu </w:t>
      </w:r>
      <w:bookmarkStart w:id="815" w:name="_Hlk230355733"/>
      <w:r>
        <w:rPr>
          <w:rFonts w:ascii="Arial" w:eastAsia="Calibri" w:hAnsi="Arial" w:cs="Arial"/>
          <w:lang w:eastAsia="en-US"/>
        </w:rPr>
        <w:t>5.842.607,93</w:t>
      </w:r>
      <w:r w:rsidRPr="003A2F86">
        <w:rPr>
          <w:rFonts w:ascii="Arial" w:eastAsia="Calibri" w:hAnsi="Arial" w:cs="Arial"/>
          <w:lang w:eastAsia="en-US"/>
        </w:rPr>
        <w:t xml:space="preserve"> € ili </w:t>
      </w:r>
      <w:r>
        <w:rPr>
          <w:rFonts w:ascii="Arial" w:eastAsia="Calibri" w:hAnsi="Arial" w:cs="Arial"/>
          <w:lang w:eastAsia="en-US"/>
        </w:rPr>
        <w:t>22,1</w:t>
      </w:r>
      <w:bookmarkEnd w:id="815"/>
      <w:r w:rsidRPr="003A2F86">
        <w:rPr>
          <w:rFonts w:ascii="Arial" w:eastAsia="Calibri" w:hAnsi="Arial" w:cs="Arial"/>
          <w:lang w:eastAsia="en-US"/>
        </w:rPr>
        <w:t>%</w:t>
      </w:r>
      <w:r>
        <w:rPr>
          <w:rFonts w:ascii="Arial" w:eastAsia="Calibri" w:hAnsi="Arial" w:cs="Arial"/>
          <w:lang w:eastAsia="en-US"/>
        </w:rPr>
        <w:t xml:space="preserve"> </w:t>
      </w:r>
      <w:r w:rsidRPr="003A2F86">
        <w:rPr>
          <w:rFonts w:ascii="Arial" w:eastAsia="Calibri" w:hAnsi="Arial" w:cs="Arial"/>
          <w:lang w:eastAsia="en-US"/>
        </w:rPr>
        <w:t xml:space="preserve">ukupno izvršenih rashoda i izdataka. </w:t>
      </w:r>
      <w:r>
        <w:rPr>
          <w:rFonts w:ascii="Arial" w:eastAsia="Calibri" w:hAnsi="Arial" w:cs="Arial"/>
          <w:lang w:eastAsia="en-US"/>
        </w:rPr>
        <w:t>Ostali rashodi (38) iznose 673.236,17 € ili 2,5%, izdaci za financijsku imovinu i otplate zajmova (54) iznose 993.780,35 € ili 3,8%, naknade građanima i kućanstvima (37) iznose 548.868,17 € ili 2,1%, a subvencije (35) iznose 504.592,43 € ili 1,9% ukupnih rashoda i izdataka. Svi ostali rashodi iznose 220.691,62 € ili</w:t>
      </w:r>
      <w:r w:rsidRPr="003A2F86">
        <w:rPr>
          <w:rFonts w:ascii="Arial" w:eastAsia="Calibri" w:hAnsi="Arial" w:cs="Arial"/>
          <w:lang w:eastAsia="en-US"/>
        </w:rPr>
        <w:t xml:space="preserve"> </w:t>
      </w:r>
      <w:r>
        <w:rPr>
          <w:rFonts w:ascii="Arial" w:eastAsia="Calibri" w:hAnsi="Arial" w:cs="Arial"/>
          <w:lang w:eastAsia="en-US"/>
        </w:rPr>
        <w:t>0,8</w:t>
      </w:r>
      <w:r w:rsidRPr="003A2F86">
        <w:rPr>
          <w:rFonts w:ascii="Arial" w:eastAsia="Calibri" w:hAnsi="Arial" w:cs="Arial"/>
          <w:lang w:eastAsia="en-US"/>
        </w:rPr>
        <w:t xml:space="preserve">% ukupnih rashoda i izdataka. </w:t>
      </w:r>
    </w:p>
    <w:p w14:paraId="1708F53A" w14:textId="77777777" w:rsidR="00227A0F" w:rsidRDefault="00227A0F" w:rsidP="00B16A41">
      <w:pPr>
        <w:spacing w:after="0" w:line="240" w:lineRule="auto"/>
        <w:jc w:val="both"/>
        <w:rPr>
          <w:rFonts w:ascii="Arial" w:eastAsia="Times New Roman" w:hAnsi="Arial" w:cs="Arial"/>
          <w:b/>
          <w:bCs/>
          <w:iCs/>
          <w:lang w:eastAsia="en-US"/>
        </w:rPr>
      </w:pPr>
    </w:p>
    <w:p w14:paraId="1C78168E" w14:textId="15902981" w:rsidR="006335AF" w:rsidRPr="00D86646" w:rsidRDefault="006335AF" w:rsidP="006335AF">
      <w:pPr>
        <w:spacing w:after="0" w:line="240" w:lineRule="auto"/>
        <w:jc w:val="both"/>
        <w:rPr>
          <w:rFonts w:ascii="Arial" w:eastAsia="Times New Roman" w:hAnsi="Arial" w:cs="Arial"/>
          <w:iCs/>
          <w:lang w:eastAsia="en-US"/>
        </w:rPr>
      </w:pPr>
      <w:r w:rsidRPr="006F2902">
        <w:rPr>
          <w:rFonts w:ascii="Arial" w:eastAsia="Times New Roman" w:hAnsi="Arial" w:cs="Arial"/>
          <w:b/>
          <w:bCs/>
          <w:iCs/>
          <w:lang w:eastAsia="en-US"/>
        </w:rPr>
        <w:lastRenderedPageBreak/>
        <w:t>Manjak</w:t>
      </w:r>
      <w:r w:rsidRPr="00D86646">
        <w:rPr>
          <w:rFonts w:ascii="Arial" w:eastAsia="Times New Roman" w:hAnsi="Arial" w:cs="Arial"/>
          <w:iCs/>
          <w:lang w:eastAsia="en-US"/>
        </w:rPr>
        <w:t xml:space="preserve"> prihoda i primitaka nad rashodima i izdacima </w:t>
      </w:r>
      <w:r w:rsidRPr="006335AF">
        <w:rPr>
          <w:rFonts w:ascii="Arial" w:eastAsia="Times New Roman" w:hAnsi="Arial" w:cs="Arial"/>
          <w:b/>
          <w:bCs/>
          <w:iCs/>
          <w:lang w:eastAsia="en-US"/>
        </w:rPr>
        <w:t>tekuće godine</w:t>
      </w:r>
      <w:r w:rsidRPr="00D86646">
        <w:rPr>
          <w:rFonts w:ascii="Arial" w:eastAsia="Times New Roman" w:hAnsi="Arial" w:cs="Arial"/>
          <w:iCs/>
          <w:lang w:eastAsia="en-US"/>
        </w:rPr>
        <w:t xml:space="preserve">, odnosno za razdoblje siječanj – prosinac 2025. iznosi </w:t>
      </w:r>
      <w:bookmarkStart w:id="816" w:name="_Hlk230356157"/>
      <w:r w:rsidRPr="00D86646">
        <w:rPr>
          <w:rFonts w:ascii="Arial" w:eastAsia="Times New Roman" w:hAnsi="Arial" w:cs="Arial"/>
          <w:iCs/>
          <w:lang w:eastAsia="en-US"/>
        </w:rPr>
        <w:t>3.281.682,78 € (manjak Općine 3.283.565,15 €, zbrojni višak proračunskih korisnika 1.882,37 €).</w:t>
      </w:r>
      <w:bookmarkEnd w:id="816"/>
    </w:p>
    <w:p w14:paraId="46060C9E" w14:textId="77777777" w:rsidR="006335AF" w:rsidRPr="00D86646" w:rsidRDefault="006335AF" w:rsidP="006335AF">
      <w:pPr>
        <w:spacing w:after="0" w:line="240" w:lineRule="auto"/>
        <w:jc w:val="both"/>
        <w:rPr>
          <w:rFonts w:ascii="Arial" w:eastAsia="Times New Roman" w:hAnsi="Arial" w:cs="Arial"/>
          <w:iCs/>
          <w:lang w:eastAsia="en-US"/>
        </w:rPr>
      </w:pPr>
    </w:p>
    <w:p w14:paraId="31D5BB6A" w14:textId="447AD5CA" w:rsidR="006335AF" w:rsidRPr="00D86646" w:rsidRDefault="006335AF" w:rsidP="006335AF">
      <w:pPr>
        <w:spacing w:after="0" w:line="240" w:lineRule="auto"/>
        <w:jc w:val="both"/>
        <w:rPr>
          <w:rFonts w:ascii="Arial" w:eastAsia="Times New Roman" w:hAnsi="Arial" w:cs="Arial"/>
          <w:iCs/>
          <w:lang w:eastAsia="en-US"/>
        </w:rPr>
      </w:pPr>
      <w:bookmarkStart w:id="817" w:name="_Hlk230356819"/>
      <w:r w:rsidRPr="00E74912">
        <w:rPr>
          <w:rFonts w:ascii="Arial" w:eastAsia="Times New Roman" w:hAnsi="Arial" w:cs="Arial"/>
          <w:b/>
          <w:bCs/>
          <w:iCs/>
          <w:lang w:eastAsia="en-US"/>
        </w:rPr>
        <w:t>Višak prihoda i primitaka iz prethodnih godina iznosi</w:t>
      </w:r>
      <w:r w:rsidRPr="00D86646">
        <w:rPr>
          <w:rFonts w:ascii="Arial" w:eastAsia="Times New Roman" w:hAnsi="Arial" w:cs="Arial"/>
          <w:iCs/>
          <w:lang w:eastAsia="en-US"/>
        </w:rPr>
        <w:t xml:space="preserve"> </w:t>
      </w:r>
      <w:bookmarkStart w:id="818" w:name="_Hlk230356549"/>
      <w:r w:rsidR="006F2902">
        <w:rPr>
          <w:rFonts w:ascii="Arial" w:eastAsia="Times New Roman" w:hAnsi="Arial" w:cs="Arial"/>
          <w:iCs/>
          <w:lang w:eastAsia="en-US"/>
        </w:rPr>
        <w:t>2.068.159,72</w:t>
      </w:r>
      <w:r w:rsidRPr="00D86646">
        <w:rPr>
          <w:rFonts w:ascii="Arial" w:eastAsia="Times New Roman" w:hAnsi="Arial" w:cs="Arial"/>
          <w:iCs/>
          <w:lang w:eastAsia="en-US"/>
        </w:rPr>
        <w:t xml:space="preserve"> € (višak Općine </w:t>
      </w:r>
      <w:r w:rsidR="006F2902">
        <w:rPr>
          <w:rFonts w:ascii="Arial" w:eastAsia="Times New Roman" w:hAnsi="Arial" w:cs="Arial"/>
          <w:iCs/>
          <w:lang w:eastAsia="en-US"/>
        </w:rPr>
        <w:t>2.314.003,03</w:t>
      </w:r>
      <w:r w:rsidRPr="00D86646">
        <w:rPr>
          <w:rFonts w:ascii="Arial" w:eastAsia="Times New Roman" w:hAnsi="Arial" w:cs="Arial"/>
          <w:iCs/>
          <w:lang w:eastAsia="en-US"/>
        </w:rPr>
        <w:t xml:space="preserve"> € i zbirni manjak proračunskih korisnika </w:t>
      </w:r>
      <w:r w:rsidR="006F2902">
        <w:rPr>
          <w:rFonts w:ascii="Arial" w:eastAsia="Times New Roman" w:hAnsi="Arial" w:cs="Arial"/>
          <w:iCs/>
          <w:lang w:eastAsia="en-US"/>
        </w:rPr>
        <w:t>245.843,31</w:t>
      </w:r>
      <w:r w:rsidRPr="00D86646">
        <w:rPr>
          <w:rFonts w:ascii="Arial" w:eastAsia="Times New Roman" w:hAnsi="Arial" w:cs="Arial"/>
          <w:iCs/>
          <w:lang w:eastAsia="en-US"/>
        </w:rPr>
        <w:t xml:space="preserve"> €).</w:t>
      </w:r>
      <w:bookmarkEnd w:id="818"/>
      <w:r w:rsidRPr="00D86646">
        <w:rPr>
          <w:rFonts w:ascii="Arial" w:eastAsia="Times New Roman" w:hAnsi="Arial" w:cs="Arial"/>
          <w:iCs/>
          <w:lang w:eastAsia="en-US"/>
        </w:rPr>
        <w:t xml:space="preserve"> U tekućoj godini obavljen je ispravak vrijednosti rezultata iz prethodnog razdoblja u ukupnom iznosu </w:t>
      </w:r>
      <w:r w:rsidR="006F2902">
        <w:rPr>
          <w:rFonts w:ascii="Arial" w:eastAsia="Times New Roman" w:hAnsi="Arial" w:cs="Arial"/>
          <w:iCs/>
          <w:lang w:eastAsia="en-US"/>
        </w:rPr>
        <w:t>2.141.534,17</w:t>
      </w:r>
      <w:r w:rsidRPr="00D86646">
        <w:rPr>
          <w:rFonts w:ascii="Arial" w:eastAsia="Times New Roman" w:hAnsi="Arial" w:cs="Arial"/>
          <w:iCs/>
          <w:lang w:eastAsia="en-US"/>
        </w:rPr>
        <w:t xml:space="preserve"> €</w:t>
      </w:r>
      <w:r w:rsidR="00762047">
        <w:rPr>
          <w:rFonts w:ascii="Arial" w:eastAsia="Times New Roman" w:hAnsi="Arial" w:cs="Arial"/>
          <w:iCs/>
          <w:lang w:eastAsia="en-US"/>
        </w:rPr>
        <w:t>.</w:t>
      </w:r>
      <w:r w:rsidR="00762047" w:rsidRPr="00762047">
        <w:rPr>
          <w:rFonts w:ascii="Arial" w:eastAsia="Times New Roman" w:hAnsi="Arial" w:cs="Arial"/>
          <w:iCs/>
          <w:lang w:eastAsia="en-US"/>
        </w:rPr>
        <w:t xml:space="preserve"> </w:t>
      </w:r>
      <w:r w:rsidR="00762047" w:rsidRPr="00D86646">
        <w:rPr>
          <w:rFonts w:ascii="Arial" w:eastAsia="Times New Roman" w:hAnsi="Arial" w:cs="Arial"/>
          <w:iCs/>
          <w:lang w:eastAsia="en-US"/>
        </w:rPr>
        <w:t>U okviru ovog iznosa iskazan je povećanje viška prihoda od financijske imovine u iznosu 2.500.000 € (oročenje sredstava kod poslovne banke za koje je ranije godine bio iskazan izdatak za oročavanje sredstava). Također, prethodne godine je bio iskazan prihod od pomoći u visini ostvarenih predujmova za provedbu EU projekata, a sukladno novim odredbama Pravilnika o proračunskom računovodstvu i računskom planu, te uputama Ministarstva financija ispravljen je ranije iskazani višak.</w:t>
      </w:r>
      <w:r w:rsidR="00762047">
        <w:rPr>
          <w:rFonts w:ascii="Arial" w:eastAsia="Times New Roman" w:hAnsi="Arial" w:cs="Arial"/>
          <w:iCs/>
          <w:lang w:eastAsia="en-US"/>
        </w:rPr>
        <w:t xml:space="preserve"> K</w:t>
      </w:r>
      <w:r w:rsidRPr="00D86646">
        <w:rPr>
          <w:rFonts w:ascii="Arial" w:eastAsia="Times New Roman" w:hAnsi="Arial" w:cs="Arial"/>
          <w:iCs/>
          <w:lang w:eastAsia="en-US"/>
        </w:rPr>
        <w:t xml:space="preserve">onačan višak prihoda i primitaka iz prethodnog razdoblja (9221-9222) iznosi </w:t>
      </w:r>
      <w:bookmarkStart w:id="819" w:name="_Hlk230356125"/>
      <w:r w:rsidR="006F2902">
        <w:rPr>
          <w:rFonts w:ascii="Arial" w:eastAsia="Times New Roman" w:hAnsi="Arial" w:cs="Arial"/>
          <w:iCs/>
          <w:lang w:eastAsia="en-US"/>
        </w:rPr>
        <w:t>4</w:t>
      </w:r>
      <w:r w:rsidR="006F2902" w:rsidRPr="006F2902">
        <w:rPr>
          <w:rFonts w:ascii="Arial" w:eastAsia="Times New Roman" w:hAnsi="Arial" w:cs="Arial"/>
          <w:iCs/>
          <w:lang w:eastAsia="en-US"/>
        </w:rPr>
        <w:t xml:space="preserve">.209.693,89 € (višak Općine 4.453.411,24 € i zbirni manjak proračunskih korisnika </w:t>
      </w:r>
      <w:r w:rsidR="006F2902">
        <w:rPr>
          <w:rFonts w:ascii="Arial" w:eastAsia="Times New Roman" w:hAnsi="Arial" w:cs="Arial"/>
          <w:iCs/>
          <w:lang w:eastAsia="en-US"/>
        </w:rPr>
        <w:t>243.717,35</w:t>
      </w:r>
      <w:r w:rsidR="006F2902" w:rsidRPr="006F2902">
        <w:rPr>
          <w:rFonts w:ascii="Arial" w:eastAsia="Times New Roman" w:hAnsi="Arial" w:cs="Arial"/>
          <w:iCs/>
          <w:lang w:eastAsia="en-US"/>
        </w:rPr>
        <w:t xml:space="preserve"> €).</w:t>
      </w:r>
      <w:bookmarkEnd w:id="819"/>
    </w:p>
    <w:bookmarkEnd w:id="817"/>
    <w:p w14:paraId="776E4254" w14:textId="77777777" w:rsidR="00E74912" w:rsidRDefault="00E74912" w:rsidP="00E74912">
      <w:pPr>
        <w:spacing w:after="0" w:line="240" w:lineRule="auto"/>
        <w:jc w:val="both"/>
        <w:rPr>
          <w:rFonts w:ascii="Arial" w:eastAsia="Times New Roman" w:hAnsi="Arial" w:cs="Arial"/>
          <w:iCs/>
          <w:lang w:eastAsia="en-US"/>
        </w:rPr>
      </w:pPr>
    </w:p>
    <w:p w14:paraId="77494447" w14:textId="26FE7775" w:rsidR="00E74912" w:rsidRPr="00D86646" w:rsidRDefault="00E74912" w:rsidP="00E74912">
      <w:pPr>
        <w:spacing w:after="0" w:line="240" w:lineRule="auto"/>
        <w:jc w:val="both"/>
        <w:rPr>
          <w:rFonts w:ascii="Arial" w:eastAsia="Times New Roman" w:hAnsi="Arial" w:cs="Arial"/>
          <w:iCs/>
          <w:lang w:eastAsia="en-US"/>
        </w:rPr>
      </w:pPr>
      <w:r w:rsidRPr="00E74912">
        <w:rPr>
          <w:rFonts w:ascii="Arial" w:eastAsia="Times New Roman" w:hAnsi="Arial" w:cs="Arial"/>
          <w:b/>
          <w:bCs/>
          <w:iCs/>
          <w:lang w:eastAsia="en-US"/>
        </w:rPr>
        <w:t>Višak prihoda i primitaka raspoloživ u slijedećem razdoblju</w:t>
      </w:r>
      <w:r w:rsidRPr="00D86646">
        <w:rPr>
          <w:rFonts w:ascii="Arial" w:eastAsia="Times New Roman" w:hAnsi="Arial" w:cs="Arial"/>
          <w:iCs/>
          <w:lang w:eastAsia="en-US"/>
        </w:rPr>
        <w:t xml:space="preserve"> iznosi 928.011,11 €, od čega se na višak Općine odnosi 1.169.846,09 €, a na zbirne manjkove proračunskih korisnika 241.834,98 €.</w:t>
      </w:r>
    </w:p>
    <w:p w14:paraId="38270A8B" w14:textId="6FE0D445" w:rsidR="00227A0F" w:rsidRPr="00CC1381" w:rsidRDefault="00E74912" w:rsidP="00B16A41">
      <w:pPr>
        <w:spacing w:after="0" w:line="240" w:lineRule="auto"/>
        <w:jc w:val="both"/>
        <w:rPr>
          <w:rFonts w:ascii="Arial" w:eastAsia="Times New Roman" w:hAnsi="Arial" w:cs="Arial"/>
          <w:iCs/>
          <w:lang w:eastAsia="en-US"/>
        </w:rPr>
      </w:pPr>
      <w:r w:rsidRPr="00E74912">
        <w:rPr>
          <w:noProof/>
        </w:rPr>
        <w:drawing>
          <wp:inline distT="0" distB="0" distL="0" distR="0" wp14:anchorId="26AE036A" wp14:editId="7C51F995">
            <wp:extent cx="9186545" cy="3423920"/>
            <wp:effectExtent l="0" t="0" r="0" b="5080"/>
            <wp:docPr id="1326841662"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9186545" cy="3423920"/>
                    </a:xfrm>
                    <a:prstGeom prst="rect">
                      <a:avLst/>
                    </a:prstGeom>
                    <a:noFill/>
                    <a:ln>
                      <a:noFill/>
                    </a:ln>
                  </pic:spPr>
                </pic:pic>
              </a:graphicData>
            </a:graphic>
          </wp:inline>
        </w:drawing>
      </w:r>
    </w:p>
    <w:p w14:paraId="5494AC07" w14:textId="77777777" w:rsidR="00227A0F" w:rsidRDefault="00227A0F" w:rsidP="00B16A41">
      <w:pPr>
        <w:spacing w:after="0" w:line="240" w:lineRule="auto"/>
        <w:jc w:val="both"/>
        <w:rPr>
          <w:rFonts w:ascii="Arial" w:eastAsia="Times New Roman" w:hAnsi="Arial" w:cs="Arial"/>
          <w:iCs/>
          <w:lang w:eastAsia="en-US"/>
        </w:rPr>
      </w:pPr>
    </w:p>
    <w:p w14:paraId="7E6AC220" w14:textId="77777777" w:rsidR="00227A0F" w:rsidRDefault="00227A0F" w:rsidP="00B16A41">
      <w:pPr>
        <w:spacing w:after="0" w:line="240" w:lineRule="auto"/>
        <w:jc w:val="both"/>
        <w:rPr>
          <w:rFonts w:ascii="Arial" w:eastAsia="Times New Roman" w:hAnsi="Arial" w:cs="Arial"/>
          <w:iCs/>
          <w:lang w:eastAsia="en-US"/>
        </w:rPr>
      </w:pPr>
    </w:p>
    <w:p w14:paraId="4A1E0725" w14:textId="77777777" w:rsidR="00B16A41" w:rsidRPr="00CC1381" w:rsidRDefault="00B16A41" w:rsidP="00B16A41">
      <w:pPr>
        <w:spacing w:after="0" w:line="240" w:lineRule="auto"/>
        <w:jc w:val="both"/>
        <w:rPr>
          <w:rFonts w:ascii="Arial" w:eastAsia="Times New Roman" w:hAnsi="Arial" w:cs="Arial"/>
          <w:iCs/>
          <w:lang w:eastAsia="en-US"/>
        </w:rPr>
      </w:pPr>
    </w:p>
    <w:p w14:paraId="7C89AF80" w14:textId="77777777" w:rsidR="00E74912" w:rsidRPr="00E74912" w:rsidRDefault="00E74912" w:rsidP="00E74912">
      <w:pPr>
        <w:spacing w:after="0" w:line="240" w:lineRule="auto"/>
        <w:jc w:val="both"/>
        <w:rPr>
          <w:rFonts w:ascii="Arial" w:eastAsia="Times New Roman" w:hAnsi="Arial" w:cs="Arial"/>
          <w:iCs/>
          <w:lang w:eastAsia="en-US"/>
        </w:rPr>
      </w:pPr>
      <w:r w:rsidRPr="00E74912">
        <w:rPr>
          <w:rFonts w:ascii="Arial" w:eastAsia="Times New Roman" w:hAnsi="Arial" w:cs="Arial"/>
          <w:iCs/>
          <w:lang w:eastAsia="en-US"/>
        </w:rPr>
        <w:lastRenderedPageBreak/>
        <w:t xml:space="preserve">Ukupan </w:t>
      </w:r>
      <w:r w:rsidRPr="00E74912">
        <w:rPr>
          <w:rFonts w:ascii="Arial" w:eastAsia="Times New Roman" w:hAnsi="Arial" w:cs="Arial"/>
          <w:b/>
          <w:bCs/>
          <w:iCs/>
          <w:lang w:eastAsia="en-US"/>
        </w:rPr>
        <w:t>manjak prihoda proračunskih korisnika</w:t>
      </w:r>
      <w:r w:rsidRPr="00E74912">
        <w:rPr>
          <w:rFonts w:ascii="Arial" w:eastAsia="Times New Roman" w:hAnsi="Arial" w:cs="Arial"/>
          <w:iCs/>
          <w:lang w:eastAsia="en-US"/>
        </w:rPr>
        <w:t xml:space="preserve"> u iznosu 241.834,98 € se dijeli na slijedeći način:</w:t>
      </w:r>
    </w:p>
    <w:p w14:paraId="491EB45D" w14:textId="77777777" w:rsidR="00E74912" w:rsidRPr="00E74912" w:rsidRDefault="00E74912" w:rsidP="00E74912">
      <w:pPr>
        <w:spacing w:after="0" w:line="240" w:lineRule="auto"/>
        <w:jc w:val="both"/>
        <w:rPr>
          <w:rFonts w:ascii="Arial" w:eastAsia="Times New Roman" w:hAnsi="Arial" w:cs="Arial"/>
          <w:iCs/>
          <w:lang w:eastAsia="en-US"/>
        </w:rPr>
      </w:pPr>
      <w:r w:rsidRPr="00E74912">
        <w:rPr>
          <w:rFonts w:ascii="Arial" w:eastAsia="Times New Roman" w:hAnsi="Arial" w:cs="Arial"/>
          <w:iCs/>
          <w:lang w:eastAsia="en-US"/>
        </w:rPr>
        <w:t>- Dječji vrtić Konavle</w:t>
      </w:r>
      <w:r w:rsidRPr="00E74912">
        <w:rPr>
          <w:rFonts w:ascii="Arial" w:eastAsia="Times New Roman" w:hAnsi="Arial" w:cs="Arial"/>
          <w:iCs/>
          <w:lang w:eastAsia="en-US"/>
        </w:rPr>
        <w:tab/>
      </w:r>
      <w:r w:rsidRPr="00E74912">
        <w:rPr>
          <w:rFonts w:ascii="Arial" w:eastAsia="Times New Roman" w:hAnsi="Arial" w:cs="Arial"/>
          <w:iCs/>
          <w:lang w:eastAsia="en-US"/>
        </w:rPr>
        <w:tab/>
      </w:r>
      <w:r w:rsidRPr="00E74912">
        <w:rPr>
          <w:rFonts w:ascii="Arial" w:eastAsia="Times New Roman" w:hAnsi="Arial" w:cs="Arial"/>
          <w:iCs/>
          <w:lang w:eastAsia="en-US"/>
        </w:rPr>
        <w:tab/>
      </w:r>
      <w:r w:rsidRPr="00E74912">
        <w:rPr>
          <w:rFonts w:ascii="Arial" w:eastAsia="Times New Roman" w:hAnsi="Arial" w:cs="Arial"/>
          <w:iCs/>
          <w:lang w:eastAsia="en-US"/>
        </w:rPr>
        <w:tab/>
        <w:t>-</w:t>
      </w:r>
      <w:r w:rsidRPr="00E74912">
        <w:rPr>
          <w:rFonts w:ascii="Arial" w:eastAsia="Times New Roman" w:hAnsi="Arial" w:cs="Arial"/>
          <w:iCs/>
          <w:lang w:eastAsia="en-US"/>
        </w:rPr>
        <w:tab/>
        <w:t xml:space="preserve">manjak </w:t>
      </w:r>
      <w:r w:rsidRPr="00E74912">
        <w:rPr>
          <w:rFonts w:ascii="Arial" w:eastAsia="Times New Roman" w:hAnsi="Arial" w:cs="Arial"/>
          <w:iCs/>
          <w:lang w:eastAsia="en-US"/>
        </w:rPr>
        <w:tab/>
        <w:t>-  171.032,52 €</w:t>
      </w:r>
    </w:p>
    <w:p w14:paraId="39FA3F28" w14:textId="77777777" w:rsidR="00E74912" w:rsidRPr="00E74912" w:rsidRDefault="00E74912" w:rsidP="00E74912">
      <w:pPr>
        <w:spacing w:after="0" w:line="240" w:lineRule="auto"/>
        <w:jc w:val="both"/>
        <w:rPr>
          <w:rFonts w:ascii="Arial" w:eastAsia="Times New Roman" w:hAnsi="Arial" w:cs="Arial"/>
          <w:iCs/>
          <w:lang w:eastAsia="en-US"/>
        </w:rPr>
      </w:pPr>
      <w:r w:rsidRPr="00E74912">
        <w:rPr>
          <w:rFonts w:ascii="Arial" w:eastAsia="Times New Roman" w:hAnsi="Arial" w:cs="Arial"/>
          <w:iCs/>
          <w:lang w:eastAsia="en-US"/>
        </w:rPr>
        <w:t>- Muzeji i galerije Konavala</w:t>
      </w:r>
      <w:r w:rsidRPr="00E74912">
        <w:rPr>
          <w:rFonts w:ascii="Arial" w:eastAsia="Times New Roman" w:hAnsi="Arial" w:cs="Arial"/>
          <w:iCs/>
          <w:lang w:eastAsia="en-US"/>
        </w:rPr>
        <w:tab/>
      </w:r>
      <w:r w:rsidRPr="00E74912">
        <w:rPr>
          <w:rFonts w:ascii="Arial" w:eastAsia="Times New Roman" w:hAnsi="Arial" w:cs="Arial"/>
          <w:iCs/>
          <w:lang w:eastAsia="en-US"/>
        </w:rPr>
        <w:tab/>
      </w:r>
      <w:r w:rsidRPr="00E74912">
        <w:rPr>
          <w:rFonts w:ascii="Arial" w:eastAsia="Times New Roman" w:hAnsi="Arial" w:cs="Arial"/>
          <w:iCs/>
          <w:lang w:eastAsia="en-US"/>
        </w:rPr>
        <w:tab/>
        <w:t>-</w:t>
      </w:r>
      <w:r w:rsidRPr="00E74912">
        <w:rPr>
          <w:rFonts w:ascii="Arial" w:eastAsia="Times New Roman" w:hAnsi="Arial" w:cs="Arial"/>
          <w:iCs/>
          <w:lang w:eastAsia="en-US"/>
        </w:rPr>
        <w:tab/>
        <w:t>višak</w:t>
      </w:r>
      <w:r w:rsidRPr="00E74912">
        <w:rPr>
          <w:rFonts w:ascii="Arial" w:eastAsia="Times New Roman" w:hAnsi="Arial" w:cs="Arial"/>
          <w:iCs/>
          <w:lang w:eastAsia="en-US"/>
        </w:rPr>
        <w:tab/>
      </w:r>
      <w:r w:rsidRPr="00E74912">
        <w:rPr>
          <w:rFonts w:ascii="Arial" w:eastAsia="Times New Roman" w:hAnsi="Arial" w:cs="Arial"/>
          <w:iCs/>
          <w:lang w:eastAsia="en-US"/>
        </w:rPr>
        <w:tab/>
        <w:t>+   37.983,64 €</w:t>
      </w:r>
    </w:p>
    <w:p w14:paraId="5055C689" w14:textId="77777777" w:rsidR="00E74912" w:rsidRPr="00E74912" w:rsidRDefault="00E74912" w:rsidP="00E74912">
      <w:pPr>
        <w:spacing w:after="0" w:line="240" w:lineRule="auto"/>
        <w:jc w:val="both"/>
        <w:rPr>
          <w:rFonts w:ascii="Arial" w:eastAsia="Times New Roman" w:hAnsi="Arial" w:cs="Arial"/>
          <w:iCs/>
          <w:lang w:eastAsia="en-US"/>
        </w:rPr>
      </w:pPr>
      <w:r w:rsidRPr="00E74912">
        <w:rPr>
          <w:rFonts w:ascii="Arial" w:eastAsia="Times New Roman" w:hAnsi="Arial" w:cs="Arial"/>
          <w:iCs/>
          <w:lang w:eastAsia="en-US"/>
        </w:rPr>
        <w:t>- Javna vatrogasna postrojba Konavle</w:t>
      </w:r>
      <w:r w:rsidRPr="00E74912">
        <w:rPr>
          <w:rFonts w:ascii="Arial" w:eastAsia="Times New Roman" w:hAnsi="Arial" w:cs="Arial"/>
          <w:iCs/>
          <w:lang w:eastAsia="en-US"/>
        </w:rPr>
        <w:tab/>
        <w:t>-</w:t>
      </w:r>
      <w:r w:rsidRPr="00E74912">
        <w:rPr>
          <w:rFonts w:ascii="Arial" w:eastAsia="Times New Roman" w:hAnsi="Arial" w:cs="Arial"/>
          <w:iCs/>
          <w:lang w:eastAsia="en-US"/>
        </w:rPr>
        <w:tab/>
        <w:t>manjak</w:t>
      </w:r>
      <w:r w:rsidRPr="00E74912">
        <w:rPr>
          <w:rFonts w:ascii="Arial" w:eastAsia="Times New Roman" w:hAnsi="Arial" w:cs="Arial"/>
          <w:iCs/>
          <w:lang w:eastAsia="en-US"/>
        </w:rPr>
        <w:tab/>
        <w:t>-    63.943,52 €</w:t>
      </w:r>
    </w:p>
    <w:p w14:paraId="30F3CAAB" w14:textId="77777777" w:rsidR="00E74912" w:rsidRDefault="00E74912" w:rsidP="00E74912">
      <w:pPr>
        <w:spacing w:after="0" w:line="240" w:lineRule="auto"/>
        <w:jc w:val="both"/>
        <w:rPr>
          <w:rFonts w:ascii="Arial" w:eastAsia="Times New Roman" w:hAnsi="Arial" w:cs="Arial"/>
          <w:iCs/>
          <w:lang w:eastAsia="en-US"/>
        </w:rPr>
      </w:pPr>
      <w:r w:rsidRPr="00E74912">
        <w:rPr>
          <w:rFonts w:ascii="Arial" w:eastAsia="Times New Roman" w:hAnsi="Arial" w:cs="Arial"/>
          <w:iCs/>
          <w:lang w:eastAsia="en-US"/>
        </w:rPr>
        <w:t xml:space="preserve">- Dom za starije i nemoćne osobe Konavle </w:t>
      </w:r>
      <w:r w:rsidRPr="00E74912">
        <w:rPr>
          <w:rFonts w:ascii="Arial" w:eastAsia="Times New Roman" w:hAnsi="Arial" w:cs="Arial"/>
          <w:iCs/>
          <w:lang w:eastAsia="en-US"/>
        </w:rPr>
        <w:tab/>
        <w:t xml:space="preserve">- </w:t>
      </w:r>
      <w:r w:rsidRPr="00E74912">
        <w:rPr>
          <w:rFonts w:ascii="Arial" w:eastAsia="Times New Roman" w:hAnsi="Arial" w:cs="Arial"/>
          <w:iCs/>
          <w:lang w:eastAsia="en-US"/>
        </w:rPr>
        <w:tab/>
        <w:t>manjak</w:t>
      </w:r>
      <w:r w:rsidRPr="00E74912">
        <w:rPr>
          <w:rFonts w:ascii="Arial" w:eastAsia="Times New Roman" w:hAnsi="Arial" w:cs="Arial"/>
          <w:iCs/>
          <w:lang w:eastAsia="en-US"/>
        </w:rPr>
        <w:tab/>
        <w:t>-    44.842,58 €.</w:t>
      </w:r>
    </w:p>
    <w:p w14:paraId="08AFDFD7" w14:textId="77777777" w:rsidR="00E74912" w:rsidRPr="00E74912" w:rsidRDefault="00E74912" w:rsidP="00E74912">
      <w:pPr>
        <w:spacing w:after="0" w:line="240" w:lineRule="auto"/>
        <w:jc w:val="both"/>
        <w:rPr>
          <w:rFonts w:ascii="Arial" w:eastAsia="Times New Roman" w:hAnsi="Arial" w:cs="Arial"/>
          <w:iCs/>
          <w:lang w:eastAsia="en-US"/>
        </w:rPr>
      </w:pPr>
    </w:p>
    <w:p w14:paraId="4F6B2103" w14:textId="71313AF6" w:rsidR="00E74912" w:rsidRPr="00E74912" w:rsidRDefault="00E74912" w:rsidP="00E74912">
      <w:pPr>
        <w:spacing w:after="0" w:line="240" w:lineRule="auto"/>
        <w:jc w:val="both"/>
        <w:rPr>
          <w:rFonts w:ascii="Arial" w:eastAsia="Times New Roman" w:hAnsi="Arial" w:cs="Arial"/>
          <w:iCs/>
          <w:lang w:eastAsia="en-US"/>
        </w:rPr>
      </w:pPr>
      <w:r w:rsidRPr="00E74912">
        <w:rPr>
          <w:rFonts w:ascii="Arial" w:eastAsia="Times New Roman" w:hAnsi="Arial" w:cs="Arial"/>
          <w:iCs/>
          <w:lang w:eastAsia="en-US"/>
        </w:rPr>
        <w:t>Manjkovi proračunskih korisnika se najvećim dijelom odnose na izvršene rashode za plaće za mjesec prosinac 2025. godine za koje Općina doznačuje sredstva proračunskim korisnicima u siječnju 2026. godine.</w:t>
      </w:r>
    </w:p>
    <w:p w14:paraId="00457827" w14:textId="77777777" w:rsidR="00227A0F" w:rsidRPr="00E74912" w:rsidRDefault="00227A0F" w:rsidP="00643C92">
      <w:pPr>
        <w:spacing w:after="0" w:line="240" w:lineRule="auto"/>
        <w:jc w:val="both"/>
        <w:rPr>
          <w:rFonts w:ascii="Arial" w:hAnsi="Arial" w:cs="Arial"/>
          <w:b/>
          <w:bCs/>
          <w:iCs/>
        </w:rPr>
      </w:pPr>
      <w:bookmarkStart w:id="820" w:name="_Hlk133419964"/>
    </w:p>
    <w:p w14:paraId="020E0112" w14:textId="66A22236" w:rsidR="00B74E05" w:rsidRDefault="00E720C8" w:rsidP="00891119">
      <w:pPr>
        <w:autoSpaceDE w:val="0"/>
        <w:autoSpaceDN w:val="0"/>
        <w:adjustRightInd w:val="0"/>
        <w:spacing w:after="0" w:line="240" w:lineRule="auto"/>
        <w:jc w:val="both"/>
        <w:rPr>
          <w:rFonts w:ascii="Arial" w:eastAsia="Times New Roman" w:hAnsi="Arial" w:cs="Arial"/>
        </w:rPr>
      </w:pPr>
      <w:bookmarkStart w:id="821" w:name="_Hlk166582165"/>
      <w:bookmarkStart w:id="822" w:name="_Hlk114823025"/>
      <w:bookmarkEnd w:id="820"/>
      <w:r w:rsidRPr="00B80F36">
        <w:rPr>
          <w:rFonts w:ascii="Arial" w:eastAsia="Times New Roman" w:hAnsi="Arial" w:cs="Arial"/>
        </w:rPr>
        <w:t xml:space="preserve">Zahvaljujući </w:t>
      </w:r>
      <w:r w:rsidR="00C51055" w:rsidRPr="00B80F36">
        <w:rPr>
          <w:rFonts w:ascii="Arial" w:eastAsia="Times New Roman" w:hAnsi="Arial" w:cs="Arial"/>
        </w:rPr>
        <w:t>štednji i racionalnom korištenju proračunskih sredstava</w:t>
      </w:r>
      <w:r w:rsidR="00D53964" w:rsidRPr="00B80F36">
        <w:rPr>
          <w:rFonts w:ascii="Arial" w:eastAsia="Times New Roman" w:hAnsi="Arial" w:cs="Arial"/>
        </w:rPr>
        <w:t xml:space="preserve"> tijekom 20</w:t>
      </w:r>
      <w:r w:rsidR="004D6A82" w:rsidRPr="00B80F36">
        <w:rPr>
          <w:rFonts w:ascii="Arial" w:eastAsia="Times New Roman" w:hAnsi="Arial" w:cs="Arial"/>
        </w:rPr>
        <w:t>2</w:t>
      </w:r>
      <w:r w:rsidR="00D73A4B">
        <w:rPr>
          <w:rFonts w:ascii="Arial" w:eastAsia="Times New Roman" w:hAnsi="Arial" w:cs="Arial"/>
        </w:rPr>
        <w:t>5</w:t>
      </w:r>
      <w:r w:rsidR="00D53964" w:rsidRPr="00B80F36">
        <w:rPr>
          <w:rFonts w:ascii="Arial" w:eastAsia="Times New Roman" w:hAnsi="Arial" w:cs="Arial"/>
        </w:rPr>
        <w:t>.</w:t>
      </w:r>
      <w:r w:rsidRPr="00B80F36">
        <w:rPr>
          <w:rFonts w:ascii="Arial" w:eastAsia="Times New Roman" w:hAnsi="Arial" w:cs="Arial"/>
        </w:rPr>
        <w:t xml:space="preserve">, </w:t>
      </w:r>
      <w:r w:rsidR="00891119" w:rsidRPr="00B80F36">
        <w:rPr>
          <w:rFonts w:ascii="Arial" w:eastAsia="Times New Roman" w:hAnsi="Arial" w:cs="Arial"/>
        </w:rPr>
        <w:t xml:space="preserve">Općina </w:t>
      </w:r>
      <w:r w:rsidR="00634BDF" w:rsidRPr="00B80F36">
        <w:rPr>
          <w:rFonts w:ascii="Arial" w:eastAsia="Times New Roman" w:hAnsi="Arial" w:cs="Arial"/>
        </w:rPr>
        <w:t xml:space="preserve">je </w:t>
      </w:r>
      <w:r w:rsidR="001E141B" w:rsidRPr="00B80F36">
        <w:rPr>
          <w:rFonts w:ascii="Arial" w:eastAsia="Times New Roman" w:hAnsi="Arial" w:cs="Arial"/>
        </w:rPr>
        <w:t>u</w:t>
      </w:r>
      <w:r w:rsidR="004A0F69" w:rsidRPr="00B80F36">
        <w:rPr>
          <w:rFonts w:ascii="Arial" w:eastAsia="Times New Roman" w:hAnsi="Arial" w:cs="Arial"/>
        </w:rPr>
        <w:t xml:space="preserve"> 202</w:t>
      </w:r>
      <w:r w:rsidR="00B80F36" w:rsidRPr="00B80F36">
        <w:rPr>
          <w:rFonts w:ascii="Arial" w:eastAsia="Times New Roman" w:hAnsi="Arial" w:cs="Arial"/>
        </w:rPr>
        <w:t>6</w:t>
      </w:r>
      <w:r w:rsidR="004A0F69" w:rsidRPr="00B80F36">
        <w:rPr>
          <w:rFonts w:ascii="Arial" w:eastAsia="Times New Roman" w:hAnsi="Arial" w:cs="Arial"/>
        </w:rPr>
        <w:t xml:space="preserve">. godinu prenijela značajan </w:t>
      </w:r>
      <w:r w:rsidR="00634BDF" w:rsidRPr="00B80F36">
        <w:rPr>
          <w:rFonts w:ascii="Arial" w:eastAsia="Times New Roman" w:hAnsi="Arial" w:cs="Arial"/>
        </w:rPr>
        <w:t>višak prihoda</w:t>
      </w:r>
      <w:r w:rsidR="00DC7E2F" w:rsidRPr="00B80F36">
        <w:rPr>
          <w:rFonts w:ascii="Arial" w:eastAsia="Times New Roman" w:hAnsi="Arial" w:cs="Arial"/>
        </w:rPr>
        <w:t xml:space="preserve">. </w:t>
      </w:r>
    </w:p>
    <w:p w14:paraId="6E1644E2" w14:textId="77777777" w:rsidR="00D73A4B" w:rsidRDefault="00D73A4B" w:rsidP="00891119">
      <w:pPr>
        <w:autoSpaceDE w:val="0"/>
        <w:autoSpaceDN w:val="0"/>
        <w:adjustRightInd w:val="0"/>
        <w:spacing w:after="0" w:line="240" w:lineRule="auto"/>
        <w:jc w:val="both"/>
        <w:rPr>
          <w:rFonts w:ascii="Arial" w:eastAsia="Times New Roman" w:hAnsi="Arial" w:cs="Arial"/>
        </w:rPr>
      </w:pPr>
    </w:p>
    <w:p w14:paraId="3E9CD8FD" w14:textId="77777777" w:rsidR="00801CF5" w:rsidRPr="00801CF5" w:rsidRDefault="00801CF5" w:rsidP="00801CF5">
      <w:pPr>
        <w:autoSpaceDE w:val="0"/>
        <w:autoSpaceDN w:val="0"/>
        <w:adjustRightInd w:val="0"/>
        <w:ind w:firstLine="709"/>
        <w:rPr>
          <w:rFonts w:ascii="Arial" w:hAnsi="Arial" w:cs="Arial"/>
          <w:i/>
          <w:iCs/>
        </w:rPr>
      </w:pPr>
      <w:r w:rsidRPr="00801CF5">
        <w:rPr>
          <w:rFonts w:ascii="Arial" w:hAnsi="Arial" w:cs="Arial"/>
          <w:i/>
          <w:iCs/>
        </w:rPr>
        <w:t>Makroekonomski prihodi: Stabilan rast uz fiskalni oprez</w:t>
      </w:r>
    </w:p>
    <w:p w14:paraId="49380FDF" w14:textId="3A0A0F91" w:rsidR="00D73A4B" w:rsidRDefault="00D73A4B" w:rsidP="00D73A4B">
      <w:pPr>
        <w:autoSpaceDE w:val="0"/>
        <w:autoSpaceDN w:val="0"/>
        <w:adjustRightInd w:val="0"/>
        <w:spacing w:after="0" w:line="240" w:lineRule="auto"/>
        <w:jc w:val="both"/>
        <w:rPr>
          <w:rFonts w:ascii="Arial" w:eastAsia="Times New Roman" w:hAnsi="Arial" w:cs="Arial"/>
        </w:rPr>
      </w:pPr>
      <w:r w:rsidRPr="00D73A4B">
        <w:rPr>
          <w:rFonts w:ascii="Arial" w:eastAsia="Times New Roman" w:hAnsi="Arial" w:cs="Arial"/>
        </w:rPr>
        <w:t xml:space="preserve">Poslovanje Općine u 2025. godini odvijalo se u okruženju stabilnog rasta ekonomske aktivnosti, prateći nacionalni trend rasta BDP-a od 3,4 %, nošenog primarno građevinarstvom, industrijom i uslugama. Pozitivan utjecaj na proračun imao je i nastavak rasta turističkog prometa (6,7 % više dolazaka i 0,1 % manje noćenja u odnosu na 2024. godinu), što se reflektiralo i na stabilno ostvarenje prihoda od poreza na dohodak (u općinskom udjelu od 74 %) u iznosu od oko </w:t>
      </w:r>
      <w:r>
        <w:rPr>
          <w:rFonts w:ascii="Arial" w:eastAsia="Times New Roman" w:hAnsi="Arial" w:cs="Arial"/>
        </w:rPr>
        <w:t>7.226.000 eura</w:t>
      </w:r>
      <w:r w:rsidRPr="00D73A4B">
        <w:rPr>
          <w:rFonts w:ascii="Arial" w:eastAsia="Times New Roman" w:hAnsi="Arial" w:cs="Arial"/>
        </w:rPr>
        <w:t>. Dodatno, u okviru ukupnog rezultata na koncu godine iskazan je značajan višak prihoda od prodaje zemljišta u budućoj poduzetničkoj zoni u iznosu od 2.504.437,50 €.</w:t>
      </w:r>
    </w:p>
    <w:p w14:paraId="47A70FE0" w14:textId="77777777" w:rsidR="00D73A4B" w:rsidRPr="00D73A4B" w:rsidRDefault="00D73A4B" w:rsidP="00D73A4B">
      <w:pPr>
        <w:autoSpaceDE w:val="0"/>
        <w:autoSpaceDN w:val="0"/>
        <w:adjustRightInd w:val="0"/>
        <w:spacing w:after="0" w:line="240" w:lineRule="auto"/>
        <w:jc w:val="both"/>
        <w:rPr>
          <w:rFonts w:ascii="Arial" w:eastAsia="Times New Roman" w:hAnsi="Arial" w:cs="Arial"/>
        </w:rPr>
      </w:pPr>
    </w:p>
    <w:p w14:paraId="2F8FB61C" w14:textId="25AF491B" w:rsidR="00D73A4B" w:rsidRPr="00801CF5" w:rsidRDefault="00D73A4B" w:rsidP="00801CF5">
      <w:pPr>
        <w:autoSpaceDE w:val="0"/>
        <w:autoSpaceDN w:val="0"/>
        <w:adjustRightInd w:val="0"/>
        <w:ind w:firstLine="709"/>
        <w:rPr>
          <w:rFonts w:ascii="Arial" w:hAnsi="Arial" w:cs="Arial"/>
          <w:i/>
          <w:iCs/>
        </w:rPr>
      </w:pPr>
      <w:r w:rsidRPr="00801CF5">
        <w:rPr>
          <w:rFonts w:ascii="Arial" w:hAnsi="Arial" w:cs="Arial"/>
          <w:i/>
          <w:iCs/>
        </w:rPr>
        <w:t>Upravljanje povijesno najvećim projektom Općine i likvidnosni izazovi</w:t>
      </w:r>
    </w:p>
    <w:p w14:paraId="689E49B6" w14:textId="50945571" w:rsidR="00D73A4B" w:rsidRPr="00D73A4B" w:rsidRDefault="00D73A4B" w:rsidP="00D73A4B">
      <w:pPr>
        <w:autoSpaceDE w:val="0"/>
        <w:autoSpaceDN w:val="0"/>
        <w:adjustRightInd w:val="0"/>
        <w:spacing w:after="0" w:line="240" w:lineRule="auto"/>
        <w:jc w:val="both"/>
        <w:rPr>
          <w:rFonts w:ascii="Arial" w:eastAsia="Times New Roman" w:hAnsi="Arial" w:cs="Arial"/>
        </w:rPr>
      </w:pPr>
      <w:r w:rsidRPr="00D73A4B">
        <w:rPr>
          <w:rFonts w:ascii="Arial" w:eastAsia="Times New Roman" w:hAnsi="Arial" w:cs="Arial"/>
        </w:rPr>
        <w:t>Ključni računovodstveni i likvidnosni izazov u 2025. godini proizašao je iz izmijenjenog načina evidentiranja prihoda od pomoći temeljem prijenosa EU sredstava. Prelazak na model u kojem se primljeni predujmovi evidentiraju kao obveze, a ne odmah kao pomoći, privremeno je stvorio iskazane manjkove po pojedinim projektima u ukupnom iznosu od -5.505.538,47 € (za izvršene rashode koji do konca godine nisu verificirani).</w:t>
      </w:r>
    </w:p>
    <w:p w14:paraId="1B7EC421" w14:textId="2B3D49A6" w:rsidR="00D73A4B" w:rsidRPr="00D73A4B" w:rsidRDefault="00D73A4B" w:rsidP="00D73A4B">
      <w:pPr>
        <w:autoSpaceDE w:val="0"/>
        <w:autoSpaceDN w:val="0"/>
        <w:adjustRightInd w:val="0"/>
        <w:spacing w:after="0" w:line="240" w:lineRule="auto"/>
        <w:jc w:val="both"/>
        <w:rPr>
          <w:rFonts w:ascii="Arial" w:eastAsia="Times New Roman" w:hAnsi="Arial" w:cs="Arial"/>
        </w:rPr>
      </w:pPr>
      <w:r w:rsidRPr="00D73A4B">
        <w:rPr>
          <w:rFonts w:ascii="Arial" w:eastAsia="Times New Roman" w:hAnsi="Arial" w:cs="Arial"/>
        </w:rPr>
        <w:t>Najveći udio u ovom privremenom manjku, u iznosu od cca 5.024.000 €, odnosi se na strateški projekt izgradnje osnovne škole na općinskom zemljištu (</w:t>
      </w:r>
      <w:r>
        <w:rPr>
          <w:rFonts w:ascii="Arial" w:eastAsia="Times New Roman" w:hAnsi="Arial" w:cs="Arial"/>
        </w:rPr>
        <w:t>gdje je Županija nositelj, a Općina partner u projektu</w:t>
      </w:r>
      <w:r w:rsidRPr="00D73A4B">
        <w:rPr>
          <w:rFonts w:ascii="Arial" w:eastAsia="Times New Roman" w:hAnsi="Arial" w:cs="Arial"/>
        </w:rPr>
        <w:t>). Ukupna vrijednost ovog kapitalnog projekta iznosi oko 25.000.000 €, od čega se očekuju bespovratna sredstva u iznosu od cca 17.779.000 €.</w:t>
      </w:r>
    </w:p>
    <w:p w14:paraId="6936E6E0" w14:textId="51F29B0B" w:rsidR="00D73A4B" w:rsidRPr="00D73A4B" w:rsidRDefault="00D73A4B" w:rsidP="00D73A4B">
      <w:pPr>
        <w:autoSpaceDE w:val="0"/>
        <w:autoSpaceDN w:val="0"/>
        <w:adjustRightInd w:val="0"/>
        <w:spacing w:after="0" w:line="240" w:lineRule="auto"/>
        <w:jc w:val="both"/>
        <w:rPr>
          <w:rFonts w:ascii="Arial" w:eastAsia="Times New Roman" w:hAnsi="Arial" w:cs="Arial"/>
        </w:rPr>
      </w:pPr>
      <w:r w:rsidRPr="00D73A4B">
        <w:rPr>
          <w:rFonts w:ascii="Arial" w:eastAsia="Times New Roman" w:hAnsi="Arial" w:cs="Arial"/>
        </w:rPr>
        <w:t xml:space="preserve">Riječ je o financijski najvećem projektu u povijesti Općine, čija ukupna vrijednost premašuje razinu cijelog jednog izvornog godišnjeg proračuna. S obzirom na to da bi svi građevinski radovi, opremanje te tehnički pregled škole trebali biti završeni do konca 2026. godine, pred nama je kritično razdoblje u kojem dinamika plaćanja i verifikacije privremenih situacija dostiže svoj vrhunac. Iako se za iskazani manjak opravdano očekuje refundacija sredstava nakon verifikacije izvještaja, ova kapitalna investicija zahtijeva iznimno oprezno upravljanje tekućom likvidnošću kako bi se uspješno </w:t>
      </w:r>
      <w:r w:rsidR="000662FA">
        <w:rPr>
          <w:rFonts w:ascii="Arial" w:eastAsia="Times New Roman" w:hAnsi="Arial" w:cs="Arial"/>
        </w:rPr>
        <w:t>provelo</w:t>
      </w:r>
      <w:r w:rsidRPr="00D73A4B">
        <w:rPr>
          <w:rFonts w:ascii="Arial" w:eastAsia="Times New Roman" w:hAnsi="Arial" w:cs="Arial"/>
        </w:rPr>
        <w:t xml:space="preserve"> ovo intenzivno razdoblje </w:t>
      </w:r>
      <w:r w:rsidR="000662FA">
        <w:rPr>
          <w:rFonts w:ascii="Arial" w:eastAsia="Times New Roman" w:hAnsi="Arial" w:cs="Arial"/>
        </w:rPr>
        <w:t xml:space="preserve">financiranja i </w:t>
      </w:r>
      <w:r w:rsidRPr="00D73A4B">
        <w:rPr>
          <w:rFonts w:ascii="Arial" w:eastAsia="Times New Roman" w:hAnsi="Arial" w:cs="Arial"/>
        </w:rPr>
        <w:t>predfinanciranja bez ugroze redovnog rada Općine.</w:t>
      </w:r>
    </w:p>
    <w:p w14:paraId="31D6F9FF" w14:textId="77777777" w:rsidR="00D73A4B" w:rsidRDefault="00D73A4B" w:rsidP="00D73A4B">
      <w:pPr>
        <w:autoSpaceDE w:val="0"/>
        <w:autoSpaceDN w:val="0"/>
        <w:adjustRightInd w:val="0"/>
        <w:spacing w:after="0" w:line="240" w:lineRule="auto"/>
        <w:jc w:val="both"/>
        <w:rPr>
          <w:rFonts w:ascii="Arial" w:eastAsia="Times New Roman" w:hAnsi="Arial" w:cs="Arial"/>
        </w:rPr>
      </w:pPr>
    </w:p>
    <w:p w14:paraId="720D2C2A" w14:textId="77777777" w:rsidR="00794469" w:rsidRDefault="00794469" w:rsidP="00D73A4B">
      <w:pPr>
        <w:autoSpaceDE w:val="0"/>
        <w:autoSpaceDN w:val="0"/>
        <w:adjustRightInd w:val="0"/>
        <w:spacing w:after="0" w:line="240" w:lineRule="auto"/>
        <w:jc w:val="both"/>
        <w:rPr>
          <w:rFonts w:ascii="Arial" w:eastAsia="Times New Roman" w:hAnsi="Arial" w:cs="Arial"/>
        </w:rPr>
      </w:pPr>
    </w:p>
    <w:p w14:paraId="689D659C" w14:textId="77777777" w:rsidR="00794469" w:rsidRDefault="00794469" w:rsidP="00D73A4B">
      <w:pPr>
        <w:autoSpaceDE w:val="0"/>
        <w:autoSpaceDN w:val="0"/>
        <w:adjustRightInd w:val="0"/>
        <w:spacing w:after="0" w:line="240" w:lineRule="auto"/>
        <w:jc w:val="both"/>
        <w:rPr>
          <w:rFonts w:ascii="Arial" w:eastAsia="Times New Roman" w:hAnsi="Arial" w:cs="Arial"/>
        </w:rPr>
      </w:pPr>
    </w:p>
    <w:p w14:paraId="0BCB3E17" w14:textId="77777777" w:rsidR="00794469" w:rsidRDefault="00794469" w:rsidP="00D73A4B">
      <w:pPr>
        <w:autoSpaceDE w:val="0"/>
        <w:autoSpaceDN w:val="0"/>
        <w:adjustRightInd w:val="0"/>
        <w:spacing w:after="0" w:line="240" w:lineRule="auto"/>
        <w:jc w:val="both"/>
        <w:rPr>
          <w:rFonts w:ascii="Arial" w:eastAsia="Times New Roman" w:hAnsi="Arial" w:cs="Arial"/>
        </w:rPr>
      </w:pPr>
    </w:p>
    <w:p w14:paraId="683ACC88" w14:textId="77777777" w:rsidR="00794469" w:rsidRDefault="00794469" w:rsidP="00D73A4B">
      <w:pPr>
        <w:autoSpaceDE w:val="0"/>
        <w:autoSpaceDN w:val="0"/>
        <w:adjustRightInd w:val="0"/>
        <w:spacing w:after="0" w:line="240" w:lineRule="auto"/>
        <w:jc w:val="both"/>
        <w:rPr>
          <w:rFonts w:ascii="Arial" w:eastAsia="Times New Roman" w:hAnsi="Arial" w:cs="Arial"/>
        </w:rPr>
      </w:pPr>
    </w:p>
    <w:p w14:paraId="7A4404C0" w14:textId="4689EF9F" w:rsidR="00D73A4B" w:rsidRPr="00801CF5" w:rsidRDefault="00D73A4B" w:rsidP="00801CF5">
      <w:pPr>
        <w:autoSpaceDE w:val="0"/>
        <w:autoSpaceDN w:val="0"/>
        <w:adjustRightInd w:val="0"/>
        <w:ind w:firstLine="709"/>
        <w:rPr>
          <w:rFonts w:ascii="Arial" w:hAnsi="Arial" w:cs="Arial"/>
          <w:i/>
          <w:iCs/>
        </w:rPr>
      </w:pPr>
      <w:r w:rsidRPr="00801CF5">
        <w:rPr>
          <w:rFonts w:ascii="Arial" w:hAnsi="Arial" w:cs="Arial"/>
          <w:i/>
          <w:iCs/>
        </w:rPr>
        <w:lastRenderedPageBreak/>
        <w:t>Obveze prema državnom proračunu i nužnost dubokog promišljanja troškova</w:t>
      </w:r>
    </w:p>
    <w:p w14:paraId="1E7730BD" w14:textId="33ABAC14" w:rsidR="00D73A4B" w:rsidRPr="00D73A4B" w:rsidRDefault="00D73A4B" w:rsidP="00D73A4B">
      <w:pPr>
        <w:autoSpaceDE w:val="0"/>
        <w:autoSpaceDN w:val="0"/>
        <w:adjustRightInd w:val="0"/>
        <w:spacing w:after="0" w:line="240" w:lineRule="auto"/>
        <w:jc w:val="both"/>
        <w:rPr>
          <w:rFonts w:ascii="Arial" w:eastAsia="Times New Roman" w:hAnsi="Arial" w:cs="Arial"/>
        </w:rPr>
      </w:pPr>
      <w:r w:rsidRPr="00D73A4B">
        <w:rPr>
          <w:rFonts w:ascii="Arial" w:eastAsia="Times New Roman" w:hAnsi="Arial" w:cs="Arial"/>
        </w:rPr>
        <w:t xml:space="preserve">Pred Općinom je razdoblje </w:t>
      </w:r>
      <w:r w:rsidR="00794469">
        <w:rPr>
          <w:rFonts w:ascii="Arial" w:eastAsia="Times New Roman" w:hAnsi="Arial" w:cs="Arial"/>
        </w:rPr>
        <w:t>značajne</w:t>
      </w:r>
      <w:r w:rsidRPr="00D73A4B">
        <w:rPr>
          <w:rFonts w:ascii="Arial" w:eastAsia="Times New Roman" w:hAnsi="Arial" w:cs="Arial"/>
        </w:rPr>
        <w:t xml:space="preserve"> fiskalne odgovornosti. U razdoblju od 2026. do konca 2027. godine Općina je obvezna otplatiti beskamatne zajmove državi iz 2020. i 2021. u sveukupnom iznosu od 1.332.079,53 €. Ovi zajmovi su u kriznim godinama očuvali likvidnost, no njihovo dospijeće, u kombinaciji sa završnom fazom izgradnje škole</w:t>
      </w:r>
      <w:r w:rsidR="000662FA" w:rsidRPr="000662FA">
        <w:rPr>
          <w:rFonts w:ascii="Arial" w:eastAsia="Times New Roman" w:hAnsi="Arial" w:cs="Arial"/>
        </w:rPr>
        <w:t>, kao i ostalim redovnim aktivnostima i projektima nalaže da se svaki proračunski trošak duboko i detaljno promisli prije samog utroška.</w:t>
      </w:r>
    </w:p>
    <w:p w14:paraId="5D651E60" w14:textId="77777777" w:rsidR="00E22320" w:rsidRDefault="00E22320" w:rsidP="00D73A4B">
      <w:pPr>
        <w:autoSpaceDE w:val="0"/>
        <w:autoSpaceDN w:val="0"/>
        <w:adjustRightInd w:val="0"/>
        <w:spacing w:after="0" w:line="240" w:lineRule="auto"/>
        <w:jc w:val="both"/>
        <w:rPr>
          <w:rFonts w:ascii="Arial" w:eastAsia="Times New Roman" w:hAnsi="Arial" w:cs="Arial"/>
        </w:rPr>
      </w:pPr>
    </w:p>
    <w:p w14:paraId="5D958738" w14:textId="0B4B3048" w:rsidR="00D73A4B" w:rsidRPr="00D73A4B" w:rsidRDefault="00D73A4B" w:rsidP="00D73A4B">
      <w:pPr>
        <w:autoSpaceDE w:val="0"/>
        <w:autoSpaceDN w:val="0"/>
        <w:adjustRightInd w:val="0"/>
        <w:spacing w:after="0" w:line="240" w:lineRule="auto"/>
        <w:jc w:val="both"/>
        <w:rPr>
          <w:rFonts w:ascii="Arial" w:eastAsia="Times New Roman" w:hAnsi="Arial" w:cs="Arial"/>
        </w:rPr>
      </w:pPr>
      <w:r w:rsidRPr="00D73A4B">
        <w:rPr>
          <w:rFonts w:ascii="Arial" w:eastAsia="Times New Roman" w:hAnsi="Arial" w:cs="Arial"/>
        </w:rPr>
        <w:t>S obzirom na to da fiksni i tekući rashodi kontinuirano rastu – što ilustrira i rast rashoda za plaće od 21,6 % u 2025. godini radi usklađivanja s državnom razinom – prostor za fleksibilnost proračuna je minimalan. Općina želi pratiti rast plaća kako bi ublažila porast životnih troškova, no to se može provesti isključivo uz strogu racionalizaciju svih ostalih rashoda poslovanja. Važno je naglasiti da se namjenski prihodi (poput komunalne naknade i doprinosa) zakonski ne smiju koristiti za isplatu plaća, što dodatno sužava prostor slobodnih, izvornih sredstava.</w:t>
      </w:r>
    </w:p>
    <w:p w14:paraId="1DC5C7C5" w14:textId="77777777" w:rsidR="00E22320" w:rsidRDefault="00E22320" w:rsidP="00D73A4B">
      <w:pPr>
        <w:autoSpaceDE w:val="0"/>
        <w:autoSpaceDN w:val="0"/>
        <w:adjustRightInd w:val="0"/>
        <w:spacing w:after="0" w:line="240" w:lineRule="auto"/>
        <w:jc w:val="both"/>
        <w:rPr>
          <w:rFonts w:ascii="Arial" w:eastAsia="Times New Roman" w:hAnsi="Arial" w:cs="Arial"/>
        </w:rPr>
      </w:pPr>
    </w:p>
    <w:p w14:paraId="4C7150E6" w14:textId="5C027214" w:rsidR="00D73A4B" w:rsidRPr="00801CF5" w:rsidRDefault="00D73A4B" w:rsidP="00801CF5">
      <w:pPr>
        <w:autoSpaceDE w:val="0"/>
        <w:autoSpaceDN w:val="0"/>
        <w:adjustRightInd w:val="0"/>
        <w:ind w:firstLine="709"/>
        <w:rPr>
          <w:rFonts w:ascii="Arial" w:hAnsi="Arial" w:cs="Arial"/>
          <w:i/>
          <w:iCs/>
        </w:rPr>
      </w:pPr>
      <w:r w:rsidRPr="00801CF5">
        <w:rPr>
          <w:rFonts w:ascii="Arial" w:hAnsi="Arial" w:cs="Arial"/>
          <w:i/>
          <w:iCs/>
        </w:rPr>
        <w:t>Smjernice za naredno razdoblje</w:t>
      </w:r>
    </w:p>
    <w:p w14:paraId="3239746D" w14:textId="0D6792AA" w:rsidR="00D73A4B" w:rsidRPr="00D73A4B" w:rsidRDefault="00D73A4B" w:rsidP="00D73A4B">
      <w:pPr>
        <w:autoSpaceDE w:val="0"/>
        <w:autoSpaceDN w:val="0"/>
        <w:adjustRightInd w:val="0"/>
        <w:spacing w:after="0" w:line="240" w:lineRule="auto"/>
        <w:jc w:val="both"/>
        <w:rPr>
          <w:rFonts w:ascii="Arial" w:eastAsia="Times New Roman" w:hAnsi="Arial" w:cs="Arial"/>
        </w:rPr>
      </w:pPr>
      <w:r w:rsidRPr="00D73A4B">
        <w:rPr>
          <w:rFonts w:ascii="Arial" w:eastAsia="Times New Roman" w:hAnsi="Arial" w:cs="Arial"/>
        </w:rPr>
        <w:t xml:space="preserve">U svrhu dugoročne stabilnosti javnog servisa i sprječavanja ugroze likvidnosti proračuna, u narednom razdoblju </w:t>
      </w:r>
      <w:r w:rsidR="00E22320">
        <w:rPr>
          <w:rFonts w:ascii="Arial" w:eastAsia="Times New Roman" w:hAnsi="Arial" w:cs="Arial"/>
        </w:rPr>
        <w:t>predlažu</w:t>
      </w:r>
      <w:r w:rsidRPr="00D73A4B">
        <w:rPr>
          <w:rFonts w:ascii="Arial" w:eastAsia="Times New Roman" w:hAnsi="Arial" w:cs="Arial"/>
        </w:rPr>
        <w:t xml:space="preserve"> se sljedeći koraci:</w:t>
      </w:r>
    </w:p>
    <w:p w14:paraId="61345083" w14:textId="5CF7EDB6" w:rsidR="00D73A4B" w:rsidRPr="00D73A4B" w:rsidRDefault="00D73A4B" w:rsidP="00D73A4B">
      <w:pPr>
        <w:autoSpaceDE w:val="0"/>
        <w:autoSpaceDN w:val="0"/>
        <w:adjustRightInd w:val="0"/>
        <w:spacing w:after="0" w:line="240" w:lineRule="auto"/>
        <w:jc w:val="both"/>
        <w:rPr>
          <w:rFonts w:ascii="Arial" w:eastAsia="Times New Roman" w:hAnsi="Arial" w:cs="Arial"/>
        </w:rPr>
      </w:pPr>
      <w:r w:rsidRPr="00D73A4B">
        <w:rPr>
          <w:rFonts w:ascii="Arial" w:eastAsia="Times New Roman" w:hAnsi="Arial" w:cs="Arial"/>
        </w:rPr>
        <w:t>•</w:t>
      </w:r>
      <w:r w:rsidRPr="00D73A4B">
        <w:rPr>
          <w:rFonts w:ascii="Arial" w:eastAsia="Times New Roman" w:hAnsi="Arial" w:cs="Arial"/>
        </w:rPr>
        <w:tab/>
      </w:r>
      <w:r w:rsidRPr="00E22320">
        <w:rPr>
          <w:rFonts w:ascii="Arial" w:eastAsia="Times New Roman" w:hAnsi="Arial" w:cs="Arial"/>
          <w:b/>
          <w:bCs/>
          <w:i/>
          <w:iCs/>
        </w:rPr>
        <w:t>Stroga kontrola prije utroška</w:t>
      </w:r>
      <w:r w:rsidRPr="00D73A4B">
        <w:rPr>
          <w:rFonts w:ascii="Arial" w:eastAsia="Times New Roman" w:hAnsi="Arial" w:cs="Arial"/>
        </w:rPr>
        <w:t xml:space="preserve">: Svaki zahtjev za troškom mora proći analizu nužnosti, opravdanosti i ekonomske svrhovitosti prije donošenja odluke o isplati. Nijedan trošak ne smije biti realiziran bez prethodno potvrđene i zatvorene financijske konstrukcije. </w:t>
      </w:r>
    </w:p>
    <w:p w14:paraId="2F01A668" w14:textId="4A2D7805" w:rsidR="00D73A4B" w:rsidRPr="00D73A4B" w:rsidRDefault="00D73A4B" w:rsidP="00D73A4B">
      <w:pPr>
        <w:autoSpaceDE w:val="0"/>
        <w:autoSpaceDN w:val="0"/>
        <w:adjustRightInd w:val="0"/>
        <w:spacing w:after="0" w:line="240" w:lineRule="auto"/>
        <w:jc w:val="both"/>
        <w:rPr>
          <w:rFonts w:ascii="Arial" w:eastAsia="Times New Roman" w:hAnsi="Arial" w:cs="Arial"/>
        </w:rPr>
      </w:pPr>
      <w:r w:rsidRPr="00D73A4B">
        <w:rPr>
          <w:rFonts w:ascii="Arial" w:eastAsia="Times New Roman" w:hAnsi="Arial" w:cs="Arial"/>
        </w:rPr>
        <w:t>•</w:t>
      </w:r>
      <w:r w:rsidRPr="00D73A4B">
        <w:rPr>
          <w:rFonts w:ascii="Arial" w:eastAsia="Times New Roman" w:hAnsi="Arial" w:cs="Arial"/>
        </w:rPr>
        <w:tab/>
      </w:r>
      <w:r w:rsidRPr="00E22320">
        <w:rPr>
          <w:rFonts w:ascii="Arial" w:eastAsia="Times New Roman" w:hAnsi="Arial" w:cs="Arial"/>
          <w:b/>
          <w:bCs/>
          <w:i/>
          <w:iCs/>
        </w:rPr>
        <w:t xml:space="preserve">Zadržavanje viška </w:t>
      </w:r>
      <w:r w:rsidR="000662FA">
        <w:rPr>
          <w:rFonts w:ascii="Arial" w:eastAsia="Times New Roman" w:hAnsi="Arial" w:cs="Arial"/>
          <w:b/>
          <w:bCs/>
          <w:i/>
          <w:iCs/>
        </w:rPr>
        <w:t>za investiciju u poduzetničkoj zoni</w:t>
      </w:r>
      <w:r w:rsidRPr="00D73A4B">
        <w:rPr>
          <w:rFonts w:ascii="Arial" w:eastAsia="Times New Roman" w:hAnsi="Arial" w:cs="Arial"/>
        </w:rPr>
        <w:t xml:space="preserve">: Ostvareni prihodi od prodaje zemljišta u poduzetničkoj zoni (2,5 milijuna €) ne </w:t>
      </w:r>
      <w:r w:rsidR="00E22320">
        <w:rPr>
          <w:rFonts w:ascii="Arial" w:eastAsia="Times New Roman" w:hAnsi="Arial" w:cs="Arial"/>
        </w:rPr>
        <w:t>mogu</w:t>
      </w:r>
      <w:r w:rsidRPr="00D73A4B">
        <w:rPr>
          <w:rFonts w:ascii="Arial" w:eastAsia="Times New Roman" w:hAnsi="Arial" w:cs="Arial"/>
        </w:rPr>
        <w:t xml:space="preserve"> se koristiti za tekuću potrošnju. Budući da konkretni radovi na </w:t>
      </w:r>
      <w:r w:rsidR="00E22320">
        <w:rPr>
          <w:rFonts w:ascii="Arial" w:eastAsia="Times New Roman" w:hAnsi="Arial" w:cs="Arial"/>
        </w:rPr>
        <w:t>izgradnji i uređenju</w:t>
      </w:r>
      <w:r w:rsidRPr="00D73A4B">
        <w:rPr>
          <w:rFonts w:ascii="Arial" w:eastAsia="Times New Roman" w:hAnsi="Arial" w:cs="Arial"/>
        </w:rPr>
        <w:t xml:space="preserve"> same zone još nisu započeli, ta sredstva moraju služiti isključivo kao pokriće za buduće investicijske korake.</w:t>
      </w:r>
    </w:p>
    <w:p w14:paraId="6D599E13" w14:textId="77777777" w:rsidR="00D73A4B" w:rsidRPr="00D73A4B" w:rsidRDefault="00D73A4B" w:rsidP="00D73A4B">
      <w:pPr>
        <w:autoSpaceDE w:val="0"/>
        <w:autoSpaceDN w:val="0"/>
        <w:adjustRightInd w:val="0"/>
        <w:spacing w:after="0" w:line="240" w:lineRule="auto"/>
        <w:jc w:val="both"/>
        <w:rPr>
          <w:rFonts w:ascii="Arial" w:eastAsia="Times New Roman" w:hAnsi="Arial" w:cs="Arial"/>
        </w:rPr>
      </w:pPr>
      <w:r w:rsidRPr="00D73A4B">
        <w:rPr>
          <w:rFonts w:ascii="Arial" w:eastAsia="Times New Roman" w:hAnsi="Arial" w:cs="Arial"/>
        </w:rPr>
        <w:t>•</w:t>
      </w:r>
      <w:r w:rsidRPr="00D73A4B">
        <w:rPr>
          <w:rFonts w:ascii="Arial" w:eastAsia="Times New Roman" w:hAnsi="Arial" w:cs="Arial"/>
        </w:rPr>
        <w:tab/>
      </w:r>
      <w:r w:rsidRPr="00E22320">
        <w:rPr>
          <w:rFonts w:ascii="Arial" w:eastAsia="Times New Roman" w:hAnsi="Arial" w:cs="Arial"/>
          <w:b/>
          <w:bCs/>
          <w:i/>
          <w:iCs/>
        </w:rPr>
        <w:t>Maksimalni napori korisnika</w:t>
      </w:r>
      <w:r w:rsidRPr="00D73A4B">
        <w:rPr>
          <w:rFonts w:ascii="Arial" w:eastAsia="Times New Roman" w:hAnsi="Arial" w:cs="Arial"/>
        </w:rPr>
        <w:t>: Od svih proračunskih korisnika očekuje se restriktivno planiranje, preispitivanje opravdanosti dosadašnjih troškova i aktivno uključivanje u zajedničke sufinancirane projekte.</w:t>
      </w:r>
    </w:p>
    <w:p w14:paraId="00362B67" w14:textId="77777777" w:rsidR="0008130D" w:rsidRDefault="0008130D" w:rsidP="00D73A4B">
      <w:pPr>
        <w:autoSpaceDE w:val="0"/>
        <w:autoSpaceDN w:val="0"/>
        <w:adjustRightInd w:val="0"/>
        <w:spacing w:after="0" w:line="240" w:lineRule="auto"/>
        <w:jc w:val="both"/>
        <w:rPr>
          <w:rFonts w:ascii="Arial" w:eastAsia="Times New Roman" w:hAnsi="Arial" w:cs="Arial"/>
        </w:rPr>
      </w:pPr>
    </w:p>
    <w:p w14:paraId="5ECE8B16" w14:textId="4FFFD7D4" w:rsidR="00D73A4B" w:rsidRDefault="00D73A4B" w:rsidP="00D73A4B">
      <w:pPr>
        <w:autoSpaceDE w:val="0"/>
        <w:autoSpaceDN w:val="0"/>
        <w:adjustRightInd w:val="0"/>
        <w:spacing w:after="0" w:line="240" w:lineRule="auto"/>
        <w:jc w:val="both"/>
        <w:rPr>
          <w:rFonts w:ascii="Arial" w:eastAsia="Times New Roman" w:hAnsi="Arial" w:cs="Arial"/>
        </w:rPr>
      </w:pPr>
      <w:r w:rsidRPr="00D73A4B">
        <w:rPr>
          <w:rFonts w:ascii="Arial" w:eastAsia="Times New Roman" w:hAnsi="Arial" w:cs="Arial"/>
        </w:rPr>
        <w:t xml:space="preserve">Samo se planskim, odgovornim i restriktivnim upravljanjem rashodima može osigurati uredno podmirenje duga državi, uspješno privesti kraju projekt izgradnje škole do konca 2026. godine te </w:t>
      </w:r>
      <w:r w:rsidRPr="0008130D">
        <w:rPr>
          <w:rFonts w:ascii="Arial" w:eastAsia="Times New Roman" w:hAnsi="Arial" w:cs="Arial"/>
          <w:b/>
          <w:bCs/>
        </w:rPr>
        <w:t>osigurati trajna likvidnost Općine kao javnog servisa i pokretača lokalnog razvoja</w:t>
      </w:r>
      <w:r w:rsidRPr="00D73A4B">
        <w:rPr>
          <w:rFonts w:ascii="Arial" w:eastAsia="Times New Roman" w:hAnsi="Arial" w:cs="Arial"/>
        </w:rPr>
        <w:t>.</w:t>
      </w:r>
    </w:p>
    <w:bookmarkEnd w:id="821"/>
    <w:bookmarkEnd w:id="822"/>
    <w:p w14:paraId="3EB4F23A" w14:textId="77777777" w:rsidR="006F4406" w:rsidRPr="00CB26DA" w:rsidRDefault="006F4406" w:rsidP="006F4406">
      <w:pPr>
        <w:autoSpaceDE w:val="0"/>
        <w:autoSpaceDN w:val="0"/>
        <w:adjustRightInd w:val="0"/>
        <w:spacing w:after="0" w:line="240" w:lineRule="auto"/>
        <w:jc w:val="both"/>
        <w:rPr>
          <w:rFonts w:ascii="Arial" w:eastAsia="Times New Roman" w:hAnsi="Arial" w:cs="Arial"/>
        </w:rPr>
      </w:pPr>
    </w:p>
    <w:p w14:paraId="020FA306" w14:textId="306209AE" w:rsidR="00891119" w:rsidRPr="003A2F86" w:rsidRDefault="00891119" w:rsidP="00891119">
      <w:pPr>
        <w:autoSpaceDE w:val="0"/>
        <w:autoSpaceDN w:val="0"/>
        <w:adjustRightInd w:val="0"/>
        <w:spacing w:after="0" w:line="240" w:lineRule="auto"/>
        <w:jc w:val="both"/>
        <w:rPr>
          <w:rFonts w:ascii="Arial" w:eastAsia="Times New Roman" w:hAnsi="Arial" w:cs="Arial"/>
        </w:rPr>
      </w:pPr>
      <w:r w:rsidRPr="003A2F86">
        <w:rPr>
          <w:rFonts w:ascii="Arial" w:eastAsia="Times New Roman" w:hAnsi="Arial" w:cs="Arial"/>
        </w:rPr>
        <w:t xml:space="preserve">Ovaj </w:t>
      </w:r>
      <w:r w:rsidR="0008130D">
        <w:rPr>
          <w:rFonts w:ascii="Arial" w:eastAsia="Times New Roman" w:hAnsi="Arial" w:cs="Arial"/>
        </w:rPr>
        <w:t>G</w:t>
      </w:r>
      <w:r w:rsidR="00AE5067" w:rsidRPr="003A2F86">
        <w:rPr>
          <w:rFonts w:ascii="Arial" w:eastAsia="Times New Roman" w:hAnsi="Arial" w:cs="Arial"/>
        </w:rPr>
        <w:t>odišnji</w:t>
      </w:r>
      <w:r w:rsidRPr="003A2F86">
        <w:rPr>
          <w:rFonts w:ascii="Arial" w:eastAsia="Times New Roman" w:hAnsi="Arial" w:cs="Arial"/>
        </w:rPr>
        <w:t xml:space="preserve"> izvještaj o izvršenju Proračuna Općine Konavle za 20</w:t>
      </w:r>
      <w:r w:rsidR="00DB222B" w:rsidRPr="003A2F86">
        <w:rPr>
          <w:rFonts w:ascii="Arial" w:eastAsia="Times New Roman" w:hAnsi="Arial" w:cs="Arial"/>
        </w:rPr>
        <w:t>2</w:t>
      </w:r>
      <w:r w:rsidR="008A3F1B">
        <w:rPr>
          <w:rFonts w:ascii="Arial" w:eastAsia="Times New Roman" w:hAnsi="Arial" w:cs="Arial"/>
        </w:rPr>
        <w:t>5</w:t>
      </w:r>
      <w:r w:rsidRPr="003A2F86">
        <w:rPr>
          <w:rFonts w:ascii="Arial" w:eastAsia="Times New Roman" w:hAnsi="Arial" w:cs="Arial"/>
        </w:rPr>
        <w:t xml:space="preserve">. objavljuje se na </w:t>
      </w:r>
      <w:r w:rsidR="008171C3" w:rsidRPr="003A2F86">
        <w:rPr>
          <w:rFonts w:ascii="Arial" w:eastAsia="Times New Roman" w:hAnsi="Arial" w:cs="Arial"/>
        </w:rPr>
        <w:t>mrežnoj</w:t>
      </w:r>
      <w:r w:rsidRPr="003A2F86">
        <w:rPr>
          <w:rFonts w:ascii="Arial" w:eastAsia="Times New Roman" w:hAnsi="Arial" w:cs="Arial"/>
        </w:rPr>
        <w:t xml:space="preserve"> stranicama Općine Konavle </w:t>
      </w:r>
      <w:hyperlink r:id="rId259" w:history="1">
        <w:r w:rsidR="00123A51" w:rsidRPr="003A2F86">
          <w:rPr>
            <w:rStyle w:val="Hiperveza"/>
          </w:rPr>
          <w:t>https://www.opcinakonavle.hr/proracun-izvjestaji/</w:t>
        </w:r>
      </w:hyperlink>
      <w:r w:rsidR="00123A51" w:rsidRPr="003A2F86">
        <w:t xml:space="preserve"> </w:t>
      </w:r>
      <w:r w:rsidRPr="003A2F86">
        <w:rPr>
          <w:rFonts w:ascii="Arial" w:eastAsia="Times New Roman" w:hAnsi="Arial" w:cs="Arial"/>
        </w:rPr>
        <w:t xml:space="preserve">i </w:t>
      </w:r>
      <w:r w:rsidR="008171C3" w:rsidRPr="003A2F86">
        <w:rPr>
          <w:rFonts w:ascii="Arial" w:eastAsia="Times New Roman" w:hAnsi="Arial" w:cs="Arial"/>
        </w:rPr>
        <w:t>mrežnoj</w:t>
      </w:r>
      <w:r w:rsidRPr="003A2F86">
        <w:rPr>
          <w:rFonts w:ascii="Arial" w:eastAsia="Times New Roman" w:hAnsi="Arial" w:cs="Arial"/>
        </w:rPr>
        <w:t xml:space="preserve"> stranici</w:t>
      </w:r>
      <w:r w:rsidR="00442FE6" w:rsidRPr="003A2F86">
        <w:t xml:space="preserve"> </w:t>
      </w:r>
      <w:hyperlink r:id="rId260" w:history="1">
        <w:r w:rsidR="00AE5067" w:rsidRPr="003A2F86">
          <w:rPr>
            <w:rStyle w:val="Hiperveza"/>
          </w:rPr>
          <w:t>Proračun (proracun.hr)</w:t>
        </w:r>
      </w:hyperlink>
      <w:r w:rsidR="00AE5067" w:rsidRPr="003A2F86">
        <w:t xml:space="preserve"> </w:t>
      </w:r>
      <w:r w:rsidR="00442FE6" w:rsidRPr="003A2F86">
        <w:rPr>
          <w:rFonts w:ascii="Arial" w:eastAsia="Times New Roman" w:hAnsi="Arial" w:cs="Arial"/>
        </w:rPr>
        <w:t>.</w:t>
      </w:r>
    </w:p>
    <w:p w14:paraId="2CEDC292" w14:textId="77777777" w:rsidR="00442FE6" w:rsidRPr="003A2F86" w:rsidRDefault="00442FE6" w:rsidP="00891119">
      <w:pPr>
        <w:autoSpaceDE w:val="0"/>
        <w:autoSpaceDN w:val="0"/>
        <w:adjustRightInd w:val="0"/>
        <w:spacing w:after="0" w:line="240" w:lineRule="auto"/>
        <w:jc w:val="both"/>
        <w:rPr>
          <w:rFonts w:ascii="Arial" w:eastAsia="Times New Roman" w:hAnsi="Arial" w:cs="Arial"/>
        </w:rPr>
      </w:pPr>
    </w:p>
    <w:p w14:paraId="73B5210E" w14:textId="52250933" w:rsidR="00891119" w:rsidRPr="00EB21CF" w:rsidRDefault="00272C7C" w:rsidP="00891119">
      <w:pPr>
        <w:widowControl w:val="0"/>
        <w:autoSpaceDE w:val="0"/>
        <w:autoSpaceDN w:val="0"/>
        <w:adjustRightInd w:val="0"/>
        <w:spacing w:after="0" w:line="144" w:lineRule="atLeast"/>
        <w:rPr>
          <w:rFonts w:ascii="Arial" w:eastAsia="Calibri" w:hAnsi="Arial" w:cs="Arial"/>
        </w:rPr>
      </w:pPr>
      <w:r w:rsidRPr="00EB21CF">
        <w:rPr>
          <w:rFonts w:ascii="Arial" w:eastAsia="Calibri" w:hAnsi="Arial" w:cs="Arial"/>
        </w:rPr>
        <w:t>KLASA:</w:t>
      </w:r>
      <w:r w:rsidR="00EA4B10" w:rsidRPr="00EB21CF">
        <w:rPr>
          <w:rFonts w:ascii="Arial" w:eastAsia="Calibri" w:hAnsi="Arial" w:cs="Arial"/>
        </w:rPr>
        <w:t xml:space="preserve"> </w:t>
      </w:r>
      <w:r w:rsidR="00D80016">
        <w:rPr>
          <w:rFonts w:ascii="Arial" w:eastAsia="Calibri" w:hAnsi="Arial" w:cs="Arial"/>
        </w:rPr>
        <w:t>024-02/26-01/66</w:t>
      </w:r>
    </w:p>
    <w:p w14:paraId="0804836F" w14:textId="2DB05604" w:rsidR="00D42BC8" w:rsidRPr="00EB21CF" w:rsidRDefault="00891119" w:rsidP="00D42BC8">
      <w:pPr>
        <w:widowControl w:val="0"/>
        <w:autoSpaceDE w:val="0"/>
        <w:autoSpaceDN w:val="0"/>
        <w:adjustRightInd w:val="0"/>
        <w:spacing w:after="0" w:line="144" w:lineRule="atLeast"/>
        <w:rPr>
          <w:rFonts w:ascii="Arial" w:eastAsia="Calibri" w:hAnsi="Arial" w:cs="Arial"/>
        </w:rPr>
      </w:pPr>
      <w:r w:rsidRPr="00EB21CF">
        <w:rPr>
          <w:rFonts w:ascii="Arial" w:eastAsia="Calibri" w:hAnsi="Arial" w:cs="Arial"/>
        </w:rPr>
        <w:t xml:space="preserve">URBROJ: </w:t>
      </w:r>
      <w:r w:rsidR="00D80016">
        <w:rPr>
          <w:rFonts w:ascii="Arial" w:eastAsia="Calibri" w:hAnsi="Arial" w:cs="Arial"/>
        </w:rPr>
        <w:t>2117-02/01-26-1</w:t>
      </w:r>
    </w:p>
    <w:p w14:paraId="06C212EC" w14:textId="3032F51E" w:rsidR="00891119" w:rsidRPr="00180216" w:rsidRDefault="00891119" w:rsidP="00891119">
      <w:pPr>
        <w:widowControl w:val="0"/>
        <w:autoSpaceDE w:val="0"/>
        <w:autoSpaceDN w:val="0"/>
        <w:adjustRightInd w:val="0"/>
        <w:spacing w:after="0" w:line="144" w:lineRule="atLeast"/>
        <w:rPr>
          <w:rFonts w:ascii="Arial" w:eastAsia="Calibri" w:hAnsi="Arial" w:cs="Arial"/>
        </w:rPr>
      </w:pPr>
    </w:p>
    <w:p w14:paraId="5E5C8C86" w14:textId="485B494D" w:rsidR="00891119" w:rsidRPr="00180216" w:rsidRDefault="00891119" w:rsidP="00891119">
      <w:pPr>
        <w:widowControl w:val="0"/>
        <w:autoSpaceDE w:val="0"/>
        <w:autoSpaceDN w:val="0"/>
        <w:adjustRightInd w:val="0"/>
        <w:spacing w:after="0" w:line="144" w:lineRule="atLeast"/>
        <w:rPr>
          <w:rFonts w:ascii="Arial" w:eastAsia="Calibri" w:hAnsi="Arial" w:cs="Arial"/>
        </w:rPr>
      </w:pPr>
      <w:r w:rsidRPr="00180216">
        <w:rPr>
          <w:rFonts w:ascii="Arial" w:eastAsia="Calibri" w:hAnsi="Arial" w:cs="Arial"/>
        </w:rPr>
        <w:t>Cavtat</w:t>
      </w:r>
      <w:r w:rsidR="00180216" w:rsidRPr="00180216">
        <w:rPr>
          <w:rFonts w:ascii="Arial" w:eastAsia="Calibri" w:hAnsi="Arial" w:cs="Arial"/>
        </w:rPr>
        <w:t xml:space="preserve">, </w:t>
      </w:r>
      <w:r w:rsidR="00D80016">
        <w:rPr>
          <w:rFonts w:ascii="Arial" w:eastAsia="Calibri" w:hAnsi="Arial" w:cs="Arial"/>
        </w:rPr>
        <w:t>25. lipnja 2026.g.</w:t>
      </w:r>
    </w:p>
    <w:p w14:paraId="76530BE9" w14:textId="18A8B389" w:rsidR="00891119" w:rsidRDefault="00C51008" w:rsidP="00891119">
      <w:pPr>
        <w:widowControl w:val="0"/>
        <w:autoSpaceDE w:val="0"/>
        <w:autoSpaceDN w:val="0"/>
        <w:adjustRightInd w:val="0"/>
        <w:spacing w:after="0" w:line="144" w:lineRule="atLeast"/>
        <w:rPr>
          <w:rFonts w:ascii="Arial" w:eastAsia="Calibri" w:hAnsi="Arial" w:cs="Arial"/>
        </w:rPr>
      </w:pPr>
      <w:r w:rsidRPr="00180216">
        <w:rPr>
          <w:rFonts w:ascii="Arial" w:eastAsia="Calibri" w:hAnsi="Arial" w:cs="Arial"/>
        </w:rPr>
        <w:tab/>
      </w:r>
      <w:r w:rsidRPr="00180216">
        <w:rPr>
          <w:rFonts w:ascii="Arial" w:eastAsia="Calibri" w:hAnsi="Arial" w:cs="Arial"/>
        </w:rPr>
        <w:tab/>
      </w:r>
      <w:r w:rsidRPr="00180216">
        <w:rPr>
          <w:rFonts w:ascii="Arial" w:eastAsia="Calibri" w:hAnsi="Arial" w:cs="Arial"/>
        </w:rPr>
        <w:tab/>
      </w:r>
      <w:r w:rsidRPr="00180216">
        <w:rPr>
          <w:rFonts w:ascii="Arial" w:eastAsia="Calibri" w:hAnsi="Arial" w:cs="Arial"/>
        </w:rPr>
        <w:tab/>
      </w:r>
      <w:r w:rsidRPr="00180216">
        <w:rPr>
          <w:rFonts w:ascii="Arial" w:eastAsia="Calibri" w:hAnsi="Arial" w:cs="Arial"/>
        </w:rPr>
        <w:tab/>
      </w:r>
      <w:r w:rsidRPr="00180216">
        <w:rPr>
          <w:rFonts w:ascii="Arial" w:eastAsia="Calibri" w:hAnsi="Arial" w:cs="Arial"/>
        </w:rPr>
        <w:tab/>
      </w:r>
      <w:r w:rsidRPr="00180216">
        <w:rPr>
          <w:rFonts w:ascii="Arial" w:eastAsia="Calibri" w:hAnsi="Arial" w:cs="Arial"/>
        </w:rPr>
        <w:tab/>
      </w:r>
      <w:r w:rsidRPr="00180216">
        <w:rPr>
          <w:rFonts w:ascii="Arial" w:eastAsia="Calibri" w:hAnsi="Arial" w:cs="Arial"/>
        </w:rPr>
        <w:tab/>
      </w:r>
      <w:r w:rsidRPr="00180216">
        <w:rPr>
          <w:rFonts w:ascii="Arial" w:eastAsia="Calibri" w:hAnsi="Arial" w:cs="Arial"/>
        </w:rPr>
        <w:tab/>
      </w:r>
      <w:r w:rsidRPr="00180216">
        <w:rPr>
          <w:rFonts w:ascii="Arial" w:eastAsia="Calibri" w:hAnsi="Arial" w:cs="Arial"/>
        </w:rPr>
        <w:tab/>
      </w:r>
      <w:r w:rsidRPr="00180216">
        <w:rPr>
          <w:rFonts w:ascii="Arial" w:eastAsia="Calibri" w:hAnsi="Arial" w:cs="Arial"/>
        </w:rPr>
        <w:tab/>
      </w:r>
      <w:r w:rsidRPr="00180216">
        <w:rPr>
          <w:rFonts w:ascii="Arial" w:eastAsia="Calibri" w:hAnsi="Arial" w:cs="Arial"/>
        </w:rPr>
        <w:tab/>
        <w:t>Predsjednik Općinskog vijeća</w:t>
      </w:r>
    </w:p>
    <w:p w14:paraId="017C146A" w14:textId="30BC02D4" w:rsidR="005E6B4F" w:rsidRPr="003A2F86" w:rsidRDefault="00180216" w:rsidP="003E771A">
      <w:pPr>
        <w:widowControl w:val="0"/>
        <w:autoSpaceDE w:val="0"/>
        <w:autoSpaceDN w:val="0"/>
        <w:adjustRightInd w:val="0"/>
        <w:spacing w:after="0" w:line="144" w:lineRule="atLeast"/>
        <w:rPr>
          <w:rFonts w:ascii="Arial" w:eastAsia="Times New Roman" w:hAnsi="Arial" w:cs="Arial"/>
        </w:rPr>
      </w:pP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t>Ivo Simović</w:t>
      </w:r>
      <w:r w:rsidR="00C51008" w:rsidRPr="003A2F86">
        <w:rPr>
          <w:rFonts w:ascii="Arial" w:eastAsia="Times New Roman" w:hAnsi="Arial" w:cs="Arial"/>
        </w:rPr>
        <w:tab/>
      </w:r>
      <w:r w:rsidR="00C51008" w:rsidRPr="003A2F86">
        <w:rPr>
          <w:rFonts w:ascii="Arial" w:eastAsia="Times New Roman" w:hAnsi="Arial" w:cs="Arial"/>
        </w:rPr>
        <w:tab/>
      </w:r>
      <w:r w:rsidR="00C51008" w:rsidRPr="003A2F86">
        <w:rPr>
          <w:rFonts w:ascii="Arial" w:eastAsia="Times New Roman" w:hAnsi="Arial" w:cs="Arial"/>
        </w:rPr>
        <w:tab/>
      </w:r>
      <w:r w:rsidR="00C51008" w:rsidRPr="003A2F86">
        <w:rPr>
          <w:rFonts w:ascii="Arial" w:eastAsia="Times New Roman" w:hAnsi="Arial" w:cs="Arial"/>
        </w:rPr>
        <w:tab/>
      </w:r>
      <w:r w:rsidR="00C51008" w:rsidRPr="003A2F86">
        <w:rPr>
          <w:rFonts w:ascii="Arial" w:eastAsia="Times New Roman" w:hAnsi="Arial" w:cs="Arial"/>
        </w:rPr>
        <w:tab/>
      </w:r>
      <w:r w:rsidR="00C51008" w:rsidRPr="003A2F86">
        <w:rPr>
          <w:rFonts w:ascii="Arial" w:eastAsia="Times New Roman" w:hAnsi="Arial" w:cs="Arial"/>
        </w:rPr>
        <w:tab/>
      </w:r>
      <w:r w:rsidR="005E6B4F" w:rsidRPr="003A2F86">
        <w:rPr>
          <w:rFonts w:ascii="Arial" w:eastAsia="Times New Roman" w:hAnsi="Arial" w:cs="Arial"/>
        </w:rPr>
        <w:br w:type="page"/>
      </w:r>
    </w:p>
    <w:p w14:paraId="1027D232" w14:textId="5C3E4D9C" w:rsidR="00FD0018" w:rsidRPr="003A2F86" w:rsidRDefault="006D222A" w:rsidP="006D222A">
      <w:pPr>
        <w:pStyle w:val="Naslov1"/>
        <w:ind w:left="360"/>
        <w:rPr>
          <w:rFonts w:ascii="Arial" w:eastAsia="Calibri" w:hAnsi="Arial" w:cs="Arial"/>
          <w:sz w:val="22"/>
          <w:lang w:val="hr-HR"/>
        </w:rPr>
      </w:pPr>
      <w:bookmarkStart w:id="823" w:name="_Toc232981514"/>
      <w:r w:rsidRPr="003A2F86">
        <w:rPr>
          <w:rFonts w:ascii="Arial" w:eastAsia="Calibri" w:hAnsi="Arial" w:cs="Arial"/>
          <w:sz w:val="22"/>
          <w:lang w:val="hr-HR"/>
        </w:rPr>
        <w:lastRenderedPageBreak/>
        <w:t>1</w:t>
      </w:r>
      <w:r w:rsidR="00C841A6">
        <w:rPr>
          <w:rFonts w:ascii="Arial" w:eastAsia="Calibri" w:hAnsi="Arial" w:cs="Arial"/>
          <w:sz w:val="22"/>
          <w:lang w:val="hr-HR"/>
        </w:rPr>
        <w:t>1</w:t>
      </w:r>
      <w:r w:rsidRPr="003A2F86">
        <w:rPr>
          <w:rFonts w:ascii="Arial" w:eastAsia="Calibri" w:hAnsi="Arial" w:cs="Arial"/>
          <w:sz w:val="22"/>
          <w:lang w:val="hr-HR"/>
        </w:rPr>
        <w:t xml:space="preserve">. </w:t>
      </w:r>
      <w:r w:rsidR="00FD0018" w:rsidRPr="003A2F86">
        <w:rPr>
          <w:rFonts w:ascii="Arial" w:eastAsia="Calibri" w:hAnsi="Arial" w:cs="Arial"/>
          <w:sz w:val="22"/>
          <w:lang w:val="hr-HR"/>
        </w:rPr>
        <w:t>DODACI</w:t>
      </w:r>
      <w:bookmarkEnd w:id="823"/>
    </w:p>
    <w:p w14:paraId="62B777AB" w14:textId="77777777" w:rsidR="00FD0018" w:rsidRPr="003A2F86" w:rsidRDefault="00FD0018" w:rsidP="00A44ECA">
      <w:pPr>
        <w:spacing w:after="0" w:line="240" w:lineRule="auto"/>
        <w:rPr>
          <w:sz w:val="14"/>
          <w:szCs w:val="14"/>
          <w:lang w:eastAsia="en-US"/>
        </w:rPr>
      </w:pPr>
    </w:p>
    <w:p w14:paraId="3376C69B" w14:textId="77777777" w:rsidR="00FD0018" w:rsidRPr="003A2F86" w:rsidRDefault="000B5489">
      <w:pPr>
        <w:pStyle w:val="Naslov2"/>
        <w:numPr>
          <w:ilvl w:val="1"/>
          <w:numId w:val="24"/>
        </w:numPr>
        <w:jc w:val="center"/>
        <w:rPr>
          <w:rFonts w:ascii="Arial" w:hAnsi="Arial" w:cs="Arial"/>
          <w:sz w:val="22"/>
          <w:lang w:val="hr-HR"/>
        </w:rPr>
      </w:pPr>
      <w:bookmarkStart w:id="824" w:name="_Toc232981515"/>
      <w:r w:rsidRPr="003A2F86">
        <w:rPr>
          <w:rFonts w:ascii="Arial" w:hAnsi="Arial" w:cs="Arial"/>
          <w:sz w:val="22"/>
          <w:lang w:val="hr-HR"/>
        </w:rPr>
        <w:t>POPIS TABLICA</w:t>
      </w:r>
      <w:bookmarkEnd w:id="824"/>
    </w:p>
    <w:p w14:paraId="6EAE049E" w14:textId="77777777" w:rsidR="000B5489" w:rsidRPr="00A27624" w:rsidRDefault="000B5489" w:rsidP="00A44ECA">
      <w:pPr>
        <w:spacing w:after="0" w:line="240" w:lineRule="auto"/>
        <w:rPr>
          <w:sz w:val="12"/>
          <w:szCs w:val="12"/>
          <w:lang w:eastAsia="en-US"/>
        </w:rPr>
      </w:pPr>
    </w:p>
    <w:p w14:paraId="41483BD2" w14:textId="5A596135" w:rsidR="0059051D" w:rsidRDefault="004C330F">
      <w:pPr>
        <w:pStyle w:val="Tablicaslika"/>
        <w:rPr>
          <w:rFonts w:asciiTheme="minorHAnsi" w:eastAsiaTheme="minorEastAsia" w:hAnsiTheme="minorHAnsi" w:cstheme="minorBidi"/>
          <w:kern w:val="2"/>
          <w:sz w:val="24"/>
          <w:szCs w:val="24"/>
          <w:lang w:eastAsia="hr-HR"/>
          <w14:ligatures w14:val="standardContextual"/>
        </w:rPr>
      </w:pPr>
      <w:r w:rsidRPr="00A27624">
        <w:rPr>
          <w:sz w:val="20"/>
          <w:szCs w:val="18"/>
        </w:rPr>
        <w:fldChar w:fldCharType="begin"/>
      </w:r>
      <w:r w:rsidRPr="00A27624">
        <w:rPr>
          <w:sz w:val="20"/>
          <w:szCs w:val="18"/>
        </w:rPr>
        <w:instrText xml:space="preserve"> TOC \h \z \c "Tablica" </w:instrText>
      </w:r>
      <w:r w:rsidRPr="00A27624">
        <w:rPr>
          <w:sz w:val="20"/>
          <w:szCs w:val="18"/>
        </w:rPr>
        <w:fldChar w:fldCharType="separate"/>
      </w:r>
      <w:hyperlink w:anchor="_Toc232981520" w:history="1">
        <w:r w:rsidR="0059051D" w:rsidRPr="00D671FB">
          <w:rPr>
            <w:rStyle w:val="Hiperveza"/>
          </w:rPr>
          <w:t xml:space="preserve">Tablica 1.: </w:t>
        </w:r>
        <w:r w:rsidR="0059051D" w:rsidRPr="00D671FB">
          <w:rPr>
            <w:rStyle w:val="Hiperveza"/>
            <w:rFonts w:ascii="Arial" w:eastAsia="Calibri" w:hAnsi="Arial" w:cs="Arial"/>
          </w:rPr>
          <w:t>Broj dolazaka i turističkih noćenja u razdoblju 2019.-2025.</w:t>
        </w:r>
        <w:r w:rsidR="0059051D">
          <w:rPr>
            <w:webHidden/>
          </w:rPr>
          <w:tab/>
        </w:r>
        <w:r w:rsidR="0059051D">
          <w:rPr>
            <w:webHidden/>
          </w:rPr>
          <w:fldChar w:fldCharType="begin"/>
        </w:r>
        <w:r w:rsidR="0059051D">
          <w:rPr>
            <w:webHidden/>
          </w:rPr>
          <w:instrText xml:space="preserve"> PAGEREF _Toc232981520 \h </w:instrText>
        </w:r>
        <w:r w:rsidR="0059051D">
          <w:rPr>
            <w:webHidden/>
          </w:rPr>
        </w:r>
        <w:r w:rsidR="0059051D">
          <w:rPr>
            <w:webHidden/>
          </w:rPr>
          <w:fldChar w:fldCharType="separate"/>
        </w:r>
        <w:r w:rsidR="00A821D8">
          <w:rPr>
            <w:webHidden/>
          </w:rPr>
          <w:t>11</w:t>
        </w:r>
        <w:r w:rsidR="0059051D">
          <w:rPr>
            <w:webHidden/>
          </w:rPr>
          <w:fldChar w:fldCharType="end"/>
        </w:r>
      </w:hyperlink>
    </w:p>
    <w:p w14:paraId="0B2BC182" w14:textId="528D5DC5"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21" w:history="1">
        <w:r w:rsidRPr="00D671FB">
          <w:rPr>
            <w:rStyle w:val="Hiperveza"/>
          </w:rPr>
          <w:t xml:space="preserve">Tablica 2.: </w:t>
        </w:r>
        <w:r w:rsidRPr="00D671FB">
          <w:rPr>
            <w:rStyle w:val="Hiperveza"/>
            <w:rFonts w:ascii="Arial" w:eastAsia="Calibri" w:hAnsi="Arial" w:cs="Arial"/>
          </w:rPr>
          <w:t>Države s većim brojem ostvarenih noćenja i dolazaka u razdoblju 2019.– 2025.</w:t>
        </w:r>
        <w:r>
          <w:rPr>
            <w:webHidden/>
          </w:rPr>
          <w:tab/>
        </w:r>
        <w:r>
          <w:rPr>
            <w:webHidden/>
          </w:rPr>
          <w:fldChar w:fldCharType="begin"/>
        </w:r>
        <w:r>
          <w:rPr>
            <w:webHidden/>
          </w:rPr>
          <w:instrText xml:space="preserve"> PAGEREF _Toc232981521 \h </w:instrText>
        </w:r>
        <w:r>
          <w:rPr>
            <w:webHidden/>
          </w:rPr>
        </w:r>
        <w:r>
          <w:rPr>
            <w:webHidden/>
          </w:rPr>
          <w:fldChar w:fldCharType="separate"/>
        </w:r>
        <w:r w:rsidR="00A821D8">
          <w:rPr>
            <w:webHidden/>
          </w:rPr>
          <w:t>12</w:t>
        </w:r>
        <w:r>
          <w:rPr>
            <w:webHidden/>
          </w:rPr>
          <w:fldChar w:fldCharType="end"/>
        </w:r>
      </w:hyperlink>
    </w:p>
    <w:p w14:paraId="28AB5705" w14:textId="57CB9239"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22" w:history="1">
        <w:r w:rsidRPr="00D671FB">
          <w:rPr>
            <w:rStyle w:val="Hiperveza"/>
          </w:rPr>
          <w:t>Tablica 3</w:t>
        </w:r>
        <w:r w:rsidRPr="00D671FB">
          <w:rPr>
            <w:rStyle w:val="Hiperveza"/>
            <w:rFonts w:ascii="Arial" w:hAnsi="Arial" w:cs="Arial"/>
          </w:rPr>
          <w:t>. Pregled ostvarenja proračuna za razdoblje 2015.-2025. s projekcijama 2026.-2027.(€) – ukupno Općina i proračunski korisnici</w:t>
        </w:r>
        <w:r>
          <w:rPr>
            <w:webHidden/>
          </w:rPr>
          <w:tab/>
        </w:r>
        <w:r>
          <w:rPr>
            <w:webHidden/>
          </w:rPr>
          <w:fldChar w:fldCharType="begin"/>
        </w:r>
        <w:r>
          <w:rPr>
            <w:webHidden/>
          </w:rPr>
          <w:instrText xml:space="preserve"> PAGEREF _Toc232981522 \h </w:instrText>
        </w:r>
        <w:r>
          <w:rPr>
            <w:webHidden/>
          </w:rPr>
        </w:r>
        <w:r>
          <w:rPr>
            <w:webHidden/>
          </w:rPr>
          <w:fldChar w:fldCharType="separate"/>
        </w:r>
        <w:r w:rsidR="00A821D8">
          <w:rPr>
            <w:webHidden/>
          </w:rPr>
          <w:t>14</w:t>
        </w:r>
        <w:r>
          <w:rPr>
            <w:webHidden/>
          </w:rPr>
          <w:fldChar w:fldCharType="end"/>
        </w:r>
      </w:hyperlink>
    </w:p>
    <w:p w14:paraId="50361689" w14:textId="4A751375"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23" w:history="1">
        <w:r w:rsidRPr="00D671FB">
          <w:rPr>
            <w:rStyle w:val="Hiperveza"/>
          </w:rPr>
          <w:t xml:space="preserve">Tablica 4.: </w:t>
        </w:r>
        <w:r w:rsidRPr="00D671FB">
          <w:rPr>
            <w:rStyle w:val="Hiperveza"/>
            <w:rFonts w:ascii="Arial" w:eastAsia="Calibri" w:hAnsi="Arial" w:cs="Arial"/>
          </w:rPr>
          <w:t>Pregled sveukupno ostvarenih prihoda i primitaka na razini skupine u razdoblju 2019.-2025. s prikazom povećanja / smanjenja (€)</w:t>
        </w:r>
        <w:r>
          <w:rPr>
            <w:webHidden/>
          </w:rPr>
          <w:tab/>
        </w:r>
        <w:r>
          <w:rPr>
            <w:webHidden/>
          </w:rPr>
          <w:fldChar w:fldCharType="begin"/>
        </w:r>
        <w:r>
          <w:rPr>
            <w:webHidden/>
          </w:rPr>
          <w:instrText xml:space="preserve"> PAGEREF _Toc232981523 \h </w:instrText>
        </w:r>
        <w:r>
          <w:rPr>
            <w:webHidden/>
          </w:rPr>
        </w:r>
        <w:r>
          <w:rPr>
            <w:webHidden/>
          </w:rPr>
          <w:fldChar w:fldCharType="separate"/>
        </w:r>
        <w:r w:rsidR="00A821D8">
          <w:rPr>
            <w:webHidden/>
          </w:rPr>
          <w:t>16</w:t>
        </w:r>
        <w:r>
          <w:rPr>
            <w:webHidden/>
          </w:rPr>
          <w:fldChar w:fldCharType="end"/>
        </w:r>
      </w:hyperlink>
    </w:p>
    <w:p w14:paraId="460B56B1" w14:textId="08FBCE25"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24" w:history="1">
        <w:r w:rsidRPr="00D671FB">
          <w:rPr>
            <w:rStyle w:val="Hiperveza"/>
          </w:rPr>
          <w:t xml:space="preserve">Tablica 5.: </w:t>
        </w:r>
        <w:r w:rsidRPr="00D671FB">
          <w:rPr>
            <w:rStyle w:val="Hiperveza"/>
            <w:rFonts w:ascii="Arial" w:eastAsia="Calibri" w:hAnsi="Arial" w:cs="Arial"/>
          </w:rPr>
          <w:t>Pregled sveukupno izvršenih rashoda i izdataka na razini skupine u razdoblju 2019.-2025. s prikazom povećanja / smanjenja (€)</w:t>
        </w:r>
        <w:r>
          <w:rPr>
            <w:webHidden/>
          </w:rPr>
          <w:tab/>
        </w:r>
        <w:r>
          <w:rPr>
            <w:webHidden/>
          </w:rPr>
          <w:fldChar w:fldCharType="begin"/>
        </w:r>
        <w:r>
          <w:rPr>
            <w:webHidden/>
          </w:rPr>
          <w:instrText xml:space="preserve"> PAGEREF _Toc232981524 \h </w:instrText>
        </w:r>
        <w:r>
          <w:rPr>
            <w:webHidden/>
          </w:rPr>
        </w:r>
        <w:r>
          <w:rPr>
            <w:webHidden/>
          </w:rPr>
          <w:fldChar w:fldCharType="separate"/>
        </w:r>
        <w:r w:rsidR="00A821D8">
          <w:rPr>
            <w:webHidden/>
          </w:rPr>
          <w:t>17</w:t>
        </w:r>
        <w:r>
          <w:rPr>
            <w:webHidden/>
          </w:rPr>
          <w:fldChar w:fldCharType="end"/>
        </w:r>
      </w:hyperlink>
    </w:p>
    <w:p w14:paraId="3C09A4BC" w14:textId="4E113E8F"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25" w:history="1">
        <w:r w:rsidRPr="00D671FB">
          <w:rPr>
            <w:rStyle w:val="Hiperveza"/>
          </w:rPr>
          <w:t xml:space="preserve">Tablica 6.: </w:t>
        </w:r>
        <w:r w:rsidRPr="00D671FB">
          <w:rPr>
            <w:rStyle w:val="Hiperveza"/>
            <w:rFonts w:ascii="Arial" w:eastAsia="Calibri" w:hAnsi="Arial" w:cs="Arial"/>
          </w:rPr>
          <w:t xml:space="preserve">Pregled ostvarenih prihoda i primitaka na razini podskupine u godišnjim izvještajnim razdobljima 2019. do 2025. (€) </w:t>
        </w:r>
        <w:r w:rsidRPr="00D671FB">
          <w:rPr>
            <w:rStyle w:val="Hiperveza"/>
            <w:rFonts w:ascii="Arial" w:eastAsia="Calibri" w:hAnsi="Arial" w:cs="Arial"/>
            <w:i/>
            <w:iCs/>
          </w:rPr>
          <w:t>(razina 22 i razina 23)</w:t>
        </w:r>
        <w:r>
          <w:rPr>
            <w:webHidden/>
          </w:rPr>
          <w:tab/>
        </w:r>
        <w:r>
          <w:rPr>
            <w:webHidden/>
          </w:rPr>
          <w:fldChar w:fldCharType="begin"/>
        </w:r>
        <w:r>
          <w:rPr>
            <w:webHidden/>
          </w:rPr>
          <w:instrText xml:space="preserve"> PAGEREF _Toc232981525 \h </w:instrText>
        </w:r>
        <w:r>
          <w:rPr>
            <w:webHidden/>
          </w:rPr>
        </w:r>
        <w:r>
          <w:rPr>
            <w:webHidden/>
          </w:rPr>
          <w:fldChar w:fldCharType="separate"/>
        </w:r>
        <w:r w:rsidR="00A821D8">
          <w:rPr>
            <w:webHidden/>
          </w:rPr>
          <w:t>18</w:t>
        </w:r>
        <w:r>
          <w:rPr>
            <w:webHidden/>
          </w:rPr>
          <w:fldChar w:fldCharType="end"/>
        </w:r>
      </w:hyperlink>
    </w:p>
    <w:p w14:paraId="5901915E" w14:textId="553952E6"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26" w:history="1">
        <w:r w:rsidRPr="00D671FB">
          <w:rPr>
            <w:rStyle w:val="Hiperveza"/>
          </w:rPr>
          <w:t xml:space="preserve">Tablica 7.: </w:t>
        </w:r>
        <w:r w:rsidRPr="00D671FB">
          <w:rPr>
            <w:rStyle w:val="Hiperveza"/>
            <w:rFonts w:ascii="Arial" w:eastAsia="Calibri" w:hAnsi="Arial" w:cs="Arial"/>
          </w:rPr>
          <w:t>Pregled izvršenih rashoda i izdataka na razini podskupine u godišnjim izvještajnim razdobljima 2019. do 2025. (€)</w:t>
        </w:r>
        <w:r w:rsidRPr="00D671FB">
          <w:rPr>
            <w:rStyle w:val="Hiperveza"/>
            <w:rFonts w:ascii="Arial" w:eastAsia="Calibri" w:hAnsi="Arial" w:cs="Arial"/>
            <w:i/>
            <w:iCs/>
          </w:rPr>
          <w:t>(razina 22 i razina 23)</w:t>
        </w:r>
        <w:r>
          <w:rPr>
            <w:webHidden/>
          </w:rPr>
          <w:tab/>
        </w:r>
        <w:r>
          <w:rPr>
            <w:webHidden/>
          </w:rPr>
          <w:fldChar w:fldCharType="begin"/>
        </w:r>
        <w:r>
          <w:rPr>
            <w:webHidden/>
          </w:rPr>
          <w:instrText xml:space="preserve"> PAGEREF _Toc232981526 \h </w:instrText>
        </w:r>
        <w:r>
          <w:rPr>
            <w:webHidden/>
          </w:rPr>
        </w:r>
        <w:r>
          <w:rPr>
            <w:webHidden/>
          </w:rPr>
          <w:fldChar w:fldCharType="separate"/>
        </w:r>
        <w:r w:rsidR="00A821D8">
          <w:rPr>
            <w:webHidden/>
          </w:rPr>
          <w:t>20</w:t>
        </w:r>
        <w:r>
          <w:rPr>
            <w:webHidden/>
          </w:rPr>
          <w:fldChar w:fldCharType="end"/>
        </w:r>
      </w:hyperlink>
    </w:p>
    <w:p w14:paraId="2C32B185" w14:textId="6CE32C15"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27" w:history="1">
        <w:r w:rsidRPr="00D671FB">
          <w:rPr>
            <w:rStyle w:val="Hiperveza"/>
          </w:rPr>
          <w:t>Tablica 8</w:t>
        </w:r>
        <w:r w:rsidRPr="00D671FB">
          <w:rPr>
            <w:rStyle w:val="Hiperveza"/>
            <w:rFonts w:ascii="Arial" w:hAnsi="Arial" w:cs="Arial"/>
          </w:rPr>
          <w:t>.: Pregled prihoda i rashoda proračunskih korisnika u ukupnom Proračunu u razdoblju 2019.-2025. (€)</w:t>
        </w:r>
        <w:r>
          <w:rPr>
            <w:webHidden/>
          </w:rPr>
          <w:tab/>
        </w:r>
        <w:r>
          <w:rPr>
            <w:webHidden/>
          </w:rPr>
          <w:fldChar w:fldCharType="begin"/>
        </w:r>
        <w:r>
          <w:rPr>
            <w:webHidden/>
          </w:rPr>
          <w:instrText xml:space="preserve"> PAGEREF _Toc232981527 \h </w:instrText>
        </w:r>
        <w:r>
          <w:rPr>
            <w:webHidden/>
          </w:rPr>
        </w:r>
        <w:r>
          <w:rPr>
            <w:webHidden/>
          </w:rPr>
          <w:fldChar w:fldCharType="separate"/>
        </w:r>
        <w:r w:rsidR="00A821D8">
          <w:rPr>
            <w:webHidden/>
          </w:rPr>
          <w:t>22</w:t>
        </w:r>
        <w:r>
          <w:rPr>
            <w:webHidden/>
          </w:rPr>
          <w:fldChar w:fldCharType="end"/>
        </w:r>
      </w:hyperlink>
    </w:p>
    <w:p w14:paraId="2FD10426" w14:textId="5D621125"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28" w:history="1">
        <w:r w:rsidRPr="00D671FB">
          <w:rPr>
            <w:rStyle w:val="Hiperveza"/>
          </w:rPr>
          <w:t>Tablica 9</w:t>
        </w:r>
        <w:r w:rsidRPr="00D671FB">
          <w:rPr>
            <w:rStyle w:val="Hiperveza"/>
            <w:rFonts w:ascii="Arial" w:hAnsi="Arial" w:cs="Arial"/>
          </w:rPr>
          <w:t>.: Pregled plana i udjela izvršenja proračuna za 2025.– Općina i zbirno proračunski korisnici (€)</w:t>
        </w:r>
        <w:r>
          <w:rPr>
            <w:webHidden/>
          </w:rPr>
          <w:tab/>
        </w:r>
        <w:r>
          <w:rPr>
            <w:webHidden/>
          </w:rPr>
          <w:fldChar w:fldCharType="begin"/>
        </w:r>
        <w:r>
          <w:rPr>
            <w:webHidden/>
          </w:rPr>
          <w:instrText xml:space="preserve"> PAGEREF _Toc232981528 \h </w:instrText>
        </w:r>
        <w:r>
          <w:rPr>
            <w:webHidden/>
          </w:rPr>
        </w:r>
        <w:r>
          <w:rPr>
            <w:webHidden/>
          </w:rPr>
          <w:fldChar w:fldCharType="separate"/>
        </w:r>
        <w:r w:rsidR="00A821D8">
          <w:rPr>
            <w:webHidden/>
          </w:rPr>
          <w:t>23</w:t>
        </w:r>
        <w:r>
          <w:rPr>
            <w:webHidden/>
          </w:rPr>
          <w:fldChar w:fldCharType="end"/>
        </w:r>
      </w:hyperlink>
    </w:p>
    <w:p w14:paraId="0098EE90" w14:textId="14FCF290"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29" w:history="1">
        <w:r w:rsidRPr="00D671FB">
          <w:rPr>
            <w:rStyle w:val="Hiperveza"/>
          </w:rPr>
          <w:t>Tablica 10</w:t>
        </w:r>
        <w:r w:rsidRPr="00D671FB">
          <w:rPr>
            <w:rStyle w:val="Hiperveza"/>
            <w:rFonts w:ascii="Arial" w:hAnsi="Arial" w:cs="Arial"/>
          </w:rPr>
          <w:t>: Pregled planiranih i ostvarenih prihoda za 2025. - proračunski korisnici (pojedinačno) (€)</w:t>
        </w:r>
        <w:r>
          <w:rPr>
            <w:webHidden/>
          </w:rPr>
          <w:tab/>
        </w:r>
        <w:r>
          <w:rPr>
            <w:webHidden/>
          </w:rPr>
          <w:fldChar w:fldCharType="begin"/>
        </w:r>
        <w:r>
          <w:rPr>
            <w:webHidden/>
          </w:rPr>
          <w:instrText xml:space="preserve"> PAGEREF _Toc232981529 \h </w:instrText>
        </w:r>
        <w:r>
          <w:rPr>
            <w:webHidden/>
          </w:rPr>
        </w:r>
        <w:r>
          <w:rPr>
            <w:webHidden/>
          </w:rPr>
          <w:fldChar w:fldCharType="separate"/>
        </w:r>
        <w:r w:rsidR="00A821D8">
          <w:rPr>
            <w:webHidden/>
          </w:rPr>
          <w:t>24</w:t>
        </w:r>
        <w:r>
          <w:rPr>
            <w:webHidden/>
          </w:rPr>
          <w:fldChar w:fldCharType="end"/>
        </w:r>
      </w:hyperlink>
    </w:p>
    <w:p w14:paraId="0604CC1A" w14:textId="54530538"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30" w:history="1">
        <w:r w:rsidRPr="00D671FB">
          <w:rPr>
            <w:rStyle w:val="Hiperveza"/>
          </w:rPr>
          <w:t>Tablica 11. :</w:t>
        </w:r>
        <w:r w:rsidRPr="00D671FB">
          <w:rPr>
            <w:rStyle w:val="Hiperveza"/>
            <w:rFonts w:ascii="Arial" w:eastAsia="Calibri" w:hAnsi="Arial" w:cs="Arial"/>
          </w:rPr>
          <w:t xml:space="preserve">Pregled ostvarenih prihoda i primitaka u 2025.: proračunski korisnici </w:t>
        </w:r>
        <w:r w:rsidRPr="00D671FB">
          <w:rPr>
            <w:rStyle w:val="Hiperveza"/>
            <w:rFonts w:ascii="Arial" w:hAnsi="Arial" w:cs="Arial"/>
          </w:rPr>
          <w:t>(pojedinačno), Općina (razina 22) i sveukupno (razina 23) (€)</w:t>
        </w:r>
        <w:r>
          <w:rPr>
            <w:webHidden/>
          </w:rPr>
          <w:tab/>
        </w:r>
        <w:r>
          <w:rPr>
            <w:webHidden/>
          </w:rPr>
          <w:fldChar w:fldCharType="begin"/>
        </w:r>
        <w:r>
          <w:rPr>
            <w:webHidden/>
          </w:rPr>
          <w:instrText xml:space="preserve"> PAGEREF _Toc232981530 \h </w:instrText>
        </w:r>
        <w:r>
          <w:rPr>
            <w:webHidden/>
          </w:rPr>
        </w:r>
        <w:r>
          <w:rPr>
            <w:webHidden/>
          </w:rPr>
          <w:fldChar w:fldCharType="separate"/>
        </w:r>
        <w:r w:rsidR="00A821D8">
          <w:rPr>
            <w:webHidden/>
          </w:rPr>
          <w:t>25</w:t>
        </w:r>
        <w:r>
          <w:rPr>
            <w:webHidden/>
          </w:rPr>
          <w:fldChar w:fldCharType="end"/>
        </w:r>
      </w:hyperlink>
    </w:p>
    <w:p w14:paraId="0116C75C" w14:textId="539D32B8"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31" w:history="1">
        <w:r w:rsidRPr="00D671FB">
          <w:rPr>
            <w:rStyle w:val="Hiperveza"/>
          </w:rPr>
          <w:t xml:space="preserve">Tablica 12.: </w:t>
        </w:r>
        <w:r w:rsidRPr="00D671FB">
          <w:rPr>
            <w:rStyle w:val="Hiperveza"/>
            <w:rFonts w:ascii="Arial" w:hAnsi="Arial" w:cs="Arial"/>
          </w:rPr>
          <w:t>Pregled planiranih i izvršenih rashoda u 2025. (€)- proračunski korisnici (pojedinačno)</w:t>
        </w:r>
        <w:r>
          <w:rPr>
            <w:webHidden/>
          </w:rPr>
          <w:tab/>
        </w:r>
        <w:r>
          <w:rPr>
            <w:webHidden/>
          </w:rPr>
          <w:fldChar w:fldCharType="begin"/>
        </w:r>
        <w:r>
          <w:rPr>
            <w:webHidden/>
          </w:rPr>
          <w:instrText xml:space="preserve"> PAGEREF _Toc232981531 \h </w:instrText>
        </w:r>
        <w:r>
          <w:rPr>
            <w:webHidden/>
          </w:rPr>
        </w:r>
        <w:r>
          <w:rPr>
            <w:webHidden/>
          </w:rPr>
          <w:fldChar w:fldCharType="separate"/>
        </w:r>
        <w:r w:rsidR="00A821D8">
          <w:rPr>
            <w:webHidden/>
          </w:rPr>
          <w:t>28</w:t>
        </w:r>
        <w:r>
          <w:rPr>
            <w:webHidden/>
          </w:rPr>
          <w:fldChar w:fldCharType="end"/>
        </w:r>
      </w:hyperlink>
    </w:p>
    <w:p w14:paraId="61EABF16" w14:textId="7DD80ADA"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32" w:history="1">
        <w:r w:rsidRPr="00D671FB">
          <w:rPr>
            <w:rStyle w:val="Hiperveza"/>
          </w:rPr>
          <w:t xml:space="preserve">Tablica 13.: </w:t>
        </w:r>
        <w:r w:rsidRPr="00D671FB">
          <w:rPr>
            <w:rStyle w:val="Hiperveza"/>
            <w:rFonts w:ascii="Arial" w:eastAsia="Calibri" w:hAnsi="Arial" w:cs="Arial"/>
          </w:rPr>
          <w:t>Pregled izvršenih rashoda i izdataka u 2025. (€): proračunski korisnici (pojedinačno), Općina (razina 22) i sveukupno (razina 23)</w:t>
        </w:r>
        <w:r>
          <w:rPr>
            <w:webHidden/>
          </w:rPr>
          <w:tab/>
        </w:r>
        <w:r>
          <w:rPr>
            <w:webHidden/>
          </w:rPr>
          <w:fldChar w:fldCharType="begin"/>
        </w:r>
        <w:r>
          <w:rPr>
            <w:webHidden/>
          </w:rPr>
          <w:instrText xml:space="preserve"> PAGEREF _Toc232981532 \h </w:instrText>
        </w:r>
        <w:r>
          <w:rPr>
            <w:webHidden/>
          </w:rPr>
        </w:r>
        <w:r>
          <w:rPr>
            <w:webHidden/>
          </w:rPr>
          <w:fldChar w:fldCharType="separate"/>
        </w:r>
        <w:r w:rsidR="00A821D8">
          <w:rPr>
            <w:webHidden/>
          </w:rPr>
          <w:t>29</w:t>
        </w:r>
        <w:r>
          <w:rPr>
            <w:webHidden/>
          </w:rPr>
          <w:fldChar w:fldCharType="end"/>
        </w:r>
      </w:hyperlink>
    </w:p>
    <w:p w14:paraId="05B1A56F" w14:textId="049E84AC"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33" w:history="1">
        <w:r w:rsidRPr="00D671FB">
          <w:rPr>
            <w:rStyle w:val="Hiperveza"/>
          </w:rPr>
          <w:t xml:space="preserve">Tablica 14.: </w:t>
        </w:r>
        <w:r w:rsidRPr="00D671FB">
          <w:rPr>
            <w:rStyle w:val="Hiperveza"/>
            <w:rFonts w:ascii="Arial" w:eastAsia="Calibri" w:hAnsi="Arial" w:cs="Arial"/>
          </w:rPr>
          <w:t>Rekapitulacija prihoda proračunskih korisnika u 2025. po izvorima financiranja (€) – prihodi iz općinskog proračuna i vlastiti prihodi</w:t>
        </w:r>
        <w:r>
          <w:rPr>
            <w:webHidden/>
          </w:rPr>
          <w:tab/>
        </w:r>
        <w:r>
          <w:rPr>
            <w:webHidden/>
          </w:rPr>
          <w:fldChar w:fldCharType="begin"/>
        </w:r>
        <w:r>
          <w:rPr>
            <w:webHidden/>
          </w:rPr>
          <w:instrText xml:space="preserve"> PAGEREF _Toc232981533 \h </w:instrText>
        </w:r>
        <w:r>
          <w:rPr>
            <w:webHidden/>
          </w:rPr>
        </w:r>
        <w:r>
          <w:rPr>
            <w:webHidden/>
          </w:rPr>
          <w:fldChar w:fldCharType="separate"/>
        </w:r>
        <w:r w:rsidR="00A821D8">
          <w:rPr>
            <w:webHidden/>
          </w:rPr>
          <w:t>34</w:t>
        </w:r>
        <w:r>
          <w:rPr>
            <w:webHidden/>
          </w:rPr>
          <w:fldChar w:fldCharType="end"/>
        </w:r>
      </w:hyperlink>
    </w:p>
    <w:p w14:paraId="0B245929" w14:textId="52646407"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34" w:history="1">
        <w:r w:rsidRPr="00D671FB">
          <w:rPr>
            <w:rStyle w:val="Hiperveza"/>
          </w:rPr>
          <w:t xml:space="preserve">Tablica 15.: </w:t>
        </w:r>
        <w:r w:rsidRPr="00D671FB">
          <w:rPr>
            <w:rStyle w:val="Hiperveza"/>
            <w:rFonts w:ascii="Arial" w:hAnsi="Arial" w:cs="Arial"/>
            <w:iCs/>
          </w:rPr>
          <w:t>Pregled ostvarenih prihoda i primitaka u 2025. (€) te usporedba s ostvarenjem 2024. (razina 22 i razina 23) i planom za 2025.</w:t>
        </w:r>
        <w:r>
          <w:rPr>
            <w:webHidden/>
          </w:rPr>
          <w:tab/>
        </w:r>
        <w:r>
          <w:rPr>
            <w:webHidden/>
          </w:rPr>
          <w:fldChar w:fldCharType="begin"/>
        </w:r>
        <w:r>
          <w:rPr>
            <w:webHidden/>
          </w:rPr>
          <w:instrText xml:space="preserve"> PAGEREF _Toc232981534 \h </w:instrText>
        </w:r>
        <w:r>
          <w:rPr>
            <w:webHidden/>
          </w:rPr>
        </w:r>
        <w:r>
          <w:rPr>
            <w:webHidden/>
          </w:rPr>
          <w:fldChar w:fldCharType="separate"/>
        </w:r>
        <w:r w:rsidR="00A821D8">
          <w:rPr>
            <w:webHidden/>
          </w:rPr>
          <w:t>36</w:t>
        </w:r>
        <w:r>
          <w:rPr>
            <w:webHidden/>
          </w:rPr>
          <w:fldChar w:fldCharType="end"/>
        </w:r>
      </w:hyperlink>
    </w:p>
    <w:p w14:paraId="0C7D3877" w14:textId="6DBB47B0"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35" w:history="1">
        <w:r w:rsidRPr="00D671FB">
          <w:rPr>
            <w:rStyle w:val="Hiperveza"/>
          </w:rPr>
          <w:t xml:space="preserve">Tablica 16.: </w:t>
        </w:r>
        <w:r w:rsidRPr="00D671FB">
          <w:rPr>
            <w:rStyle w:val="Hiperveza"/>
            <w:rFonts w:ascii="Arial" w:hAnsi="Arial" w:cs="Arial"/>
            <w:iCs/>
          </w:rPr>
          <w:t>Pregled ostvarenih prihoda i primitaka za 2025. na razini razreda i skupine: Općina, zbirno proračunski korisnici i sveukupno Proračun (€)</w:t>
        </w:r>
        <w:r>
          <w:rPr>
            <w:webHidden/>
          </w:rPr>
          <w:tab/>
        </w:r>
        <w:r>
          <w:rPr>
            <w:webHidden/>
          </w:rPr>
          <w:fldChar w:fldCharType="begin"/>
        </w:r>
        <w:r>
          <w:rPr>
            <w:webHidden/>
          </w:rPr>
          <w:instrText xml:space="preserve"> PAGEREF _Toc232981535 \h </w:instrText>
        </w:r>
        <w:r>
          <w:rPr>
            <w:webHidden/>
          </w:rPr>
        </w:r>
        <w:r>
          <w:rPr>
            <w:webHidden/>
          </w:rPr>
          <w:fldChar w:fldCharType="separate"/>
        </w:r>
        <w:r w:rsidR="00A821D8">
          <w:rPr>
            <w:webHidden/>
          </w:rPr>
          <w:t>39</w:t>
        </w:r>
        <w:r>
          <w:rPr>
            <w:webHidden/>
          </w:rPr>
          <w:fldChar w:fldCharType="end"/>
        </w:r>
      </w:hyperlink>
    </w:p>
    <w:p w14:paraId="3AEBD40B" w14:textId="33DF63CB"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36" w:history="1">
        <w:r w:rsidRPr="00D671FB">
          <w:rPr>
            <w:rStyle w:val="Hiperveza"/>
          </w:rPr>
          <w:t xml:space="preserve">Tablica 17.: </w:t>
        </w:r>
        <w:r w:rsidRPr="00D671FB">
          <w:rPr>
            <w:rStyle w:val="Hiperveza"/>
            <w:rFonts w:ascii="Arial" w:eastAsia="Calibri" w:hAnsi="Arial" w:cs="Arial"/>
          </w:rPr>
          <w:t>Rekapitulacija rashoda proračunskih korisnika u 2025. po izvorima financiranja (€)</w:t>
        </w:r>
        <w:r>
          <w:rPr>
            <w:webHidden/>
          </w:rPr>
          <w:tab/>
        </w:r>
        <w:r>
          <w:rPr>
            <w:webHidden/>
          </w:rPr>
          <w:fldChar w:fldCharType="begin"/>
        </w:r>
        <w:r>
          <w:rPr>
            <w:webHidden/>
          </w:rPr>
          <w:instrText xml:space="preserve"> PAGEREF _Toc232981536 \h </w:instrText>
        </w:r>
        <w:r>
          <w:rPr>
            <w:webHidden/>
          </w:rPr>
        </w:r>
        <w:r>
          <w:rPr>
            <w:webHidden/>
          </w:rPr>
          <w:fldChar w:fldCharType="separate"/>
        </w:r>
        <w:r w:rsidR="00A821D8">
          <w:rPr>
            <w:webHidden/>
          </w:rPr>
          <w:t>42</w:t>
        </w:r>
        <w:r>
          <w:rPr>
            <w:webHidden/>
          </w:rPr>
          <w:fldChar w:fldCharType="end"/>
        </w:r>
      </w:hyperlink>
    </w:p>
    <w:p w14:paraId="04328749" w14:textId="6844C74B"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37" w:history="1">
        <w:r w:rsidRPr="00D671FB">
          <w:rPr>
            <w:rStyle w:val="Hiperveza"/>
          </w:rPr>
          <w:t xml:space="preserve">Tablica 18.: </w:t>
        </w:r>
        <w:r w:rsidRPr="00D671FB">
          <w:rPr>
            <w:rStyle w:val="Hiperveza"/>
            <w:rFonts w:ascii="Arial" w:hAnsi="Arial" w:cs="Arial"/>
            <w:iCs/>
          </w:rPr>
          <w:t>Pregled izvršenih rashoda i izdataka za 2025. te usporedba s izvršenjem za 2024. (razina 22 i razina 23) i planom za 2025. (€)</w:t>
        </w:r>
        <w:r>
          <w:rPr>
            <w:webHidden/>
          </w:rPr>
          <w:tab/>
        </w:r>
        <w:r>
          <w:rPr>
            <w:webHidden/>
          </w:rPr>
          <w:fldChar w:fldCharType="begin"/>
        </w:r>
        <w:r>
          <w:rPr>
            <w:webHidden/>
          </w:rPr>
          <w:instrText xml:space="preserve"> PAGEREF _Toc232981537 \h </w:instrText>
        </w:r>
        <w:r>
          <w:rPr>
            <w:webHidden/>
          </w:rPr>
        </w:r>
        <w:r>
          <w:rPr>
            <w:webHidden/>
          </w:rPr>
          <w:fldChar w:fldCharType="separate"/>
        </w:r>
        <w:r w:rsidR="00A821D8">
          <w:rPr>
            <w:webHidden/>
          </w:rPr>
          <w:t>45</w:t>
        </w:r>
        <w:r>
          <w:rPr>
            <w:webHidden/>
          </w:rPr>
          <w:fldChar w:fldCharType="end"/>
        </w:r>
      </w:hyperlink>
    </w:p>
    <w:p w14:paraId="217CB478" w14:textId="2758F2CF"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38" w:history="1">
        <w:r w:rsidRPr="00D671FB">
          <w:rPr>
            <w:rStyle w:val="Hiperveza"/>
          </w:rPr>
          <w:t xml:space="preserve">Tablica 19.: </w:t>
        </w:r>
        <w:r w:rsidRPr="00D671FB">
          <w:rPr>
            <w:rStyle w:val="Hiperveza"/>
            <w:rFonts w:ascii="Arial" w:hAnsi="Arial" w:cs="Arial"/>
            <w:iCs/>
          </w:rPr>
          <w:t>Pregled izvršenih rashoda i izdataka za 2025. na razini razreda i skupine (€): Općina, zbirno proračunski korisnici i sveukupno Proračun</w:t>
        </w:r>
        <w:r>
          <w:rPr>
            <w:webHidden/>
          </w:rPr>
          <w:tab/>
        </w:r>
        <w:r>
          <w:rPr>
            <w:webHidden/>
          </w:rPr>
          <w:fldChar w:fldCharType="begin"/>
        </w:r>
        <w:r>
          <w:rPr>
            <w:webHidden/>
          </w:rPr>
          <w:instrText xml:space="preserve"> PAGEREF _Toc232981538 \h </w:instrText>
        </w:r>
        <w:r>
          <w:rPr>
            <w:webHidden/>
          </w:rPr>
        </w:r>
        <w:r>
          <w:rPr>
            <w:webHidden/>
          </w:rPr>
          <w:fldChar w:fldCharType="separate"/>
        </w:r>
        <w:r w:rsidR="00A821D8">
          <w:rPr>
            <w:webHidden/>
          </w:rPr>
          <w:t>47</w:t>
        </w:r>
        <w:r>
          <w:rPr>
            <w:webHidden/>
          </w:rPr>
          <w:fldChar w:fldCharType="end"/>
        </w:r>
      </w:hyperlink>
    </w:p>
    <w:p w14:paraId="482414DE" w14:textId="16FD9FD2"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39" w:history="1">
        <w:r w:rsidRPr="00D671FB">
          <w:rPr>
            <w:rStyle w:val="Hiperveza"/>
          </w:rPr>
          <w:t xml:space="preserve">Tablica 20.: </w:t>
        </w:r>
        <w:r w:rsidRPr="00D671FB">
          <w:rPr>
            <w:rStyle w:val="Hiperveza"/>
            <w:rFonts w:ascii="Arial" w:hAnsi="Arial" w:cs="Arial"/>
          </w:rPr>
          <w:t>Analitički prikaz računa financiranja za 2025.</w:t>
        </w:r>
        <w:r>
          <w:rPr>
            <w:webHidden/>
          </w:rPr>
          <w:tab/>
        </w:r>
        <w:r>
          <w:rPr>
            <w:webHidden/>
          </w:rPr>
          <w:fldChar w:fldCharType="begin"/>
        </w:r>
        <w:r>
          <w:rPr>
            <w:webHidden/>
          </w:rPr>
          <w:instrText xml:space="preserve"> PAGEREF _Toc232981539 \h </w:instrText>
        </w:r>
        <w:r>
          <w:rPr>
            <w:webHidden/>
          </w:rPr>
        </w:r>
        <w:r>
          <w:rPr>
            <w:webHidden/>
          </w:rPr>
          <w:fldChar w:fldCharType="separate"/>
        </w:r>
        <w:r w:rsidR="00A821D8">
          <w:rPr>
            <w:webHidden/>
          </w:rPr>
          <w:t>114</w:t>
        </w:r>
        <w:r>
          <w:rPr>
            <w:webHidden/>
          </w:rPr>
          <w:fldChar w:fldCharType="end"/>
        </w:r>
      </w:hyperlink>
    </w:p>
    <w:p w14:paraId="2B41681C" w14:textId="77D167B4"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40" w:history="1">
        <w:r w:rsidRPr="00D671FB">
          <w:rPr>
            <w:rStyle w:val="Hiperveza"/>
          </w:rPr>
          <w:t xml:space="preserve">Tablica 21.: </w:t>
        </w:r>
        <w:r w:rsidRPr="00D671FB">
          <w:rPr>
            <w:rStyle w:val="Hiperveza"/>
            <w:rFonts w:ascii="Arial" w:eastAsia="Calibri" w:hAnsi="Arial" w:cs="Arial"/>
          </w:rPr>
          <w:t>Pregled ostvarenih viškova i manjkova Općine i proračunskih korisnika u 2025.</w:t>
        </w:r>
        <w:r>
          <w:rPr>
            <w:webHidden/>
          </w:rPr>
          <w:tab/>
        </w:r>
        <w:r>
          <w:rPr>
            <w:webHidden/>
          </w:rPr>
          <w:fldChar w:fldCharType="begin"/>
        </w:r>
        <w:r>
          <w:rPr>
            <w:webHidden/>
          </w:rPr>
          <w:instrText xml:space="preserve"> PAGEREF _Toc232981540 \h </w:instrText>
        </w:r>
        <w:r>
          <w:rPr>
            <w:webHidden/>
          </w:rPr>
        </w:r>
        <w:r>
          <w:rPr>
            <w:webHidden/>
          </w:rPr>
          <w:fldChar w:fldCharType="separate"/>
        </w:r>
        <w:r w:rsidR="00A821D8">
          <w:rPr>
            <w:webHidden/>
          </w:rPr>
          <w:t>117</w:t>
        </w:r>
        <w:r>
          <w:rPr>
            <w:webHidden/>
          </w:rPr>
          <w:fldChar w:fldCharType="end"/>
        </w:r>
      </w:hyperlink>
    </w:p>
    <w:p w14:paraId="0743BD63" w14:textId="6DA68671"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41" w:history="1">
        <w:r w:rsidRPr="00D671FB">
          <w:rPr>
            <w:rStyle w:val="Hiperveza"/>
          </w:rPr>
          <w:t xml:space="preserve">Tablica 22.: </w:t>
        </w:r>
        <w:r w:rsidRPr="00D671FB">
          <w:rPr>
            <w:rStyle w:val="Hiperveza"/>
            <w:rFonts w:ascii="Arial" w:hAnsi="Arial" w:cs="Arial"/>
          </w:rPr>
          <w:t>Proračun za razdoblje siječanj – prosinac 2025. po izvorima financiranja</w:t>
        </w:r>
        <w:r>
          <w:rPr>
            <w:webHidden/>
          </w:rPr>
          <w:tab/>
        </w:r>
        <w:r>
          <w:rPr>
            <w:webHidden/>
          </w:rPr>
          <w:fldChar w:fldCharType="begin"/>
        </w:r>
        <w:r>
          <w:rPr>
            <w:webHidden/>
          </w:rPr>
          <w:instrText xml:space="preserve"> PAGEREF _Toc232981541 \h </w:instrText>
        </w:r>
        <w:r>
          <w:rPr>
            <w:webHidden/>
          </w:rPr>
        </w:r>
        <w:r>
          <w:rPr>
            <w:webHidden/>
          </w:rPr>
          <w:fldChar w:fldCharType="separate"/>
        </w:r>
        <w:r w:rsidR="00A821D8">
          <w:rPr>
            <w:webHidden/>
          </w:rPr>
          <w:t>119</w:t>
        </w:r>
        <w:r>
          <w:rPr>
            <w:webHidden/>
          </w:rPr>
          <w:fldChar w:fldCharType="end"/>
        </w:r>
      </w:hyperlink>
    </w:p>
    <w:p w14:paraId="4CC52FD1" w14:textId="6862C0D7"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42" w:history="1">
        <w:r w:rsidRPr="00D671FB">
          <w:rPr>
            <w:rStyle w:val="Hiperveza"/>
          </w:rPr>
          <w:t xml:space="preserve">Tablica 23.: </w:t>
        </w:r>
        <w:r w:rsidRPr="00D671FB">
          <w:rPr>
            <w:rStyle w:val="Hiperveza"/>
            <w:rFonts w:ascii="Arial" w:hAnsi="Arial" w:cs="Arial"/>
          </w:rPr>
          <w:t>Izvršenje proračuna za razdoblje siječanj – prosinac 2025. po funkcijskoj klasifikaciji</w:t>
        </w:r>
        <w:r>
          <w:rPr>
            <w:webHidden/>
          </w:rPr>
          <w:tab/>
        </w:r>
        <w:r>
          <w:rPr>
            <w:webHidden/>
          </w:rPr>
          <w:fldChar w:fldCharType="begin"/>
        </w:r>
        <w:r>
          <w:rPr>
            <w:webHidden/>
          </w:rPr>
          <w:instrText xml:space="preserve"> PAGEREF _Toc232981542 \h </w:instrText>
        </w:r>
        <w:r>
          <w:rPr>
            <w:webHidden/>
          </w:rPr>
        </w:r>
        <w:r>
          <w:rPr>
            <w:webHidden/>
          </w:rPr>
          <w:fldChar w:fldCharType="separate"/>
        </w:r>
        <w:r w:rsidR="00A821D8">
          <w:rPr>
            <w:webHidden/>
          </w:rPr>
          <w:t>120</w:t>
        </w:r>
        <w:r>
          <w:rPr>
            <w:webHidden/>
          </w:rPr>
          <w:fldChar w:fldCharType="end"/>
        </w:r>
      </w:hyperlink>
    </w:p>
    <w:p w14:paraId="43C84F40" w14:textId="4A4A8C79"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43" w:history="1">
        <w:r w:rsidRPr="00D671FB">
          <w:rPr>
            <w:rStyle w:val="Hiperveza"/>
          </w:rPr>
          <w:t xml:space="preserve">Tablica 24.: </w:t>
        </w:r>
        <w:r w:rsidRPr="00D671FB">
          <w:rPr>
            <w:rStyle w:val="Hiperveza"/>
            <w:rFonts w:ascii="Arial" w:hAnsi="Arial" w:cs="Arial"/>
          </w:rPr>
          <w:t>Stanje novčanih sredstava na dan 31.12.2025.</w:t>
        </w:r>
        <w:r>
          <w:rPr>
            <w:webHidden/>
          </w:rPr>
          <w:tab/>
        </w:r>
        <w:r>
          <w:rPr>
            <w:webHidden/>
          </w:rPr>
          <w:fldChar w:fldCharType="begin"/>
        </w:r>
        <w:r>
          <w:rPr>
            <w:webHidden/>
          </w:rPr>
          <w:instrText xml:space="preserve"> PAGEREF _Toc232981543 \h </w:instrText>
        </w:r>
        <w:r>
          <w:rPr>
            <w:webHidden/>
          </w:rPr>
        </w:r>
        <w:r>
          <w:rPr>
            <w:webHidden/>
          </w:rPr>
          <w:fldChar w:fldCharType="separate"/>
        </w:r>
        <w:r w:rsidR="00A821D8">
          <w:rPr>
            <w:webHidden/>
          </w:rPr>
          <w:t>122</w:t>
        </w:r>
        <w:r>
          <w:rPr>
            <w:webHidden/>
          </w:rPr>
          <w:fldChar w:fldCharType="end"/>
        </w:r>
      </w:hyperlink>
    </w:p>
    <w:p w14:paraId="76951A6C" w14:textId="5E61F800"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44" w:history="1">
        <w:r w:rsidRPr="00D671FB">
          <w:rPr>
            <w:rStyle w:val="Hiperveza"/>
          </w:rPr>
          <w:t xml:space="preserve">Tablica 25.: </w:t>
        </w:r>
        <w:r w:rsidRPr="00D671FB">
          <w:rPr>
            <w:rStyle w:val="Hiperveza"/>
            <w:rFonts w:ascii="Arial" w:hAnsi="Arial" w:cs="Arial"/>
          </w:rPr>
          <w:t>Prikaz utroška sredstava komunalne naknade i komunalnog doprinosa u 2025.</w:t>
        </w:r>
        <w:r>
          <w:rPr>
            <w:webHidden/>
          </w:rPr>
          <w:tab/>
        </w:r>
        <w:r>
          <w:rPr>
            <w:webHidden/>
          </w:rPr>
          <w:fldChar w:fldCharType="begin"/>
        </w:r>
        <w:r>
          <w:rPr>
            <w:webHidden/>
          </w:rPr>
          <w:instrText xml:space="preserve"> PAGEREF _Toc232981544 \h </w:instrText>
        </w:r>
        <w:r>
          <w:rPr>
            <w:webHidden/>
          </w:rPr>
        </w:r>
        <w:r>
          <w:rPr>
            <w:webHidden/>
          </w:rPr>
          <w:fldChar w:fldCharType="separate"/>
        </w:r>
        <w:r w:rsidR="00A821D8">
          <w:rPr>
            <w:webHidden/>
          </w:rPr>
          <w:t>124</w:t>
        </w:r>
        <w:r>
          <w:rPr>
            <w:webHidden/>
          </w:rPr>
          <w:fldChar w:fldCharType="end"/>
        </w:r>
      </w:hyperlink>
    </w:p>
    <w:p w14:paraId="512388B6" w14:textId="4DB2BB0B"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45" w:history="1">
        <w:r w:rsidRPr="00D671FB">
          <w:rPr>
            <w:rStyle w:val="Hiperveza"/>
          </w:rPr>
          <w:t xml:space="preserve">Tablica 26.: </w:t>
        </w:r>
        <w:r w:rsidRPr="00D671FB">
          <w:rPr>
            <w:rStyle w:val="Hiperveza"/>
            <w:rFonts w:ascii="Arial" w:hAnsi="Arial" w:cs="Arial"/>
            <w:iCs/>
          </w:rPr>
          <w:t>Pregled primljenih dugoročnih kredita od kreditnih institucija</w:t>
        </w:r>
        <w:r>
          <w:rPr>
            <w:webHidden/>
          </w:rPr>
          <w:tab/>
        </w:r>
        <w:r>
          <w:rPr>
            <w:webHidden/>
          </w:rPr>
          <w:fldChar w:fldCharType="begin"/>
        </w:r>
        <w:r>
          <w:rPr>
            <w:webHidden/>
          </w:rPr>
          <w:instrText xml:space="preserve"> PAGEREF _Toc232981545 \h </w:instrText>
        </w:r>
        <w:r>
          <w:rPr>
            <w:webHidden/>
          </w:rPr>
        </w:r>
        <w:r>
          <w:rPr>
            <w:webHidden/>
          </w:rPr>
          <w:fldChar w:fldCharType="separate"/>
        </w:r>
        <w:r w:rsidR="00A821D8">
          <w:rPr>
            <w:webHidden/>
          </w:rPr>
          <w:t>424</w:t>
        </w:r>
        <w:r>
          <w:rPr>
            <w:webHidden/>
          </w:rPr>
          <w:fldChar w:fldCharType="end"/>
        </w:r>
      </w:hyperlink>
    </w:p>
    <w:p w14:paraId="5B40821C" w14:textId="13C275FB"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46" w:history="1">
        <w:r w:rsidRPr="00D671FB">
          <w:rPr>
            <w:rStyle w:val="Hiperveza"/>
          </w:rPr>
          <w:t>Tablica 27.:</w:t>
        </w:r>
        <w:r w:rsidRPr="00D671FB">
          <w:rPr>
            <w:rStyle w:val="Hiperveza"/>
            <w:rFonts w:ascii="Arial" w:hAnsi="Arial" w:cs="Arial"/>
            <w:iCs/>
          </w:rPr>
          <w:t xml:space="preserve"> Pregled obveza po primljenim kreditima od financijskih institucija</w:t>
        </w:r>
        <w:r>
          <w:rPr>
            <w:webHidden/>
          </w:rPr>
          <w:tab/>
        </w:r>
        <w:r>
          <w:rPr>
            <w:webHidden/>
          </w:rPr>
          <w:fldChar w:fldCharType="begin"/>
        </w:r>
        <w:r>
          <w:rPr>
            <w:webHidden/>
          </w:rPr>
          <w:instrText xml:space="preserve"> PAGEREF _Toc232981546 \h </w:instrText>
        </w:r>
        <w:r>
          <w:rPr>
            <w:webHidden/>
          </w:rPr>
        </w:r>
        <w:r>
          <w:rPr>
            <w:webHidden/>
          </w:rPr>
          <w:fldChar w:fldCharType="separate"/>
        </w:r>
        <w:r w:rsidR="00A821D8">
          <w:rPr>
            <w:webHidden/>
          </w:rPr>
          <w:t>430</w:t>
        </w:r>
        <w:r>
          <w:rPr>
            <w:webHidden/>
          </w:rPr>
          <w:fldChar w:fldCharType="end"/>
        </w:r>
      </w:hyperlink>
    </w:p>
    <w:p w14:paraId="54CC5DC3" w14:textId="568C6D56"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47" w:history="1">
        <w:r w:rsidRPr="00D671FB">
          <w:rPr>
            <w:rStyle w:val="Hiperveza"/>
          </w:rPr>
          <w:t xml:space="preserve">Tablica 28.: </w:t>
        </w:r>
        <w:r w:rsidRPr="00D671FB">
          <w:rPr>
            <w:rStyle w:val="Hiperveza"/>
            <w:rFonts w:ascii="Arial" w:hAnsi="Arial" w:cs="Arial"/>
            <w:iCs/>
          </w:rPr>
          <w:t>Pregled stanja obveza za kredite od financijskih institucija i iznosa otplata kredita u tekućoj i narednim godinama</w:t>
        </w:r>
        <w:r>
          <w:rPr>
            <w:webHidden/>
          </w:rPr>
          <w:tab/>
        </w:r>
        <w:r>
          <w:rPr>
            <w:webHidden/>
          </w:rPr>
          <w:fldChar w:fldCharType="begin"/>
        </w:r>
        <w:r>
          <w:rPr>
            <w:webHidden/>
          </w:rPr>
          <w:instrText xml:space="preserve"> PAGEREF _Toc232981547 \h </w:instrText>
        </w:r>
        <w:r>
          <w:rPr>
            <w:webHidden/>
          </w:rPr>
        </w:r>
        <w:r>
          <w:rPr>
            <w:webHidden/>
          </w:rPr>
          <w:fldChar w:fldCharType="separate"/>
        </w:r>
        <w:r w:rsidR="00A821D8">
          <w:rPr>
            <w:webHidden/>
          </w:rPr>
          <w:t>431</w:t>
        </w:r>
        <w:r>
          <w:rPr>
            <w:webHidden/>
          </w:rPr>
          <w:fldChar w:fldCharType="end"/>
        </w:r>
      </w:hyperlink>
    </w:p>
    <w:p w14:paraId="3F35E9C4" w14:textId="3BF5557D"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48" w:history="1">
        <w:r w:rsidRPr="00D671FB">
          <w:rPr>
            <w:rStyle w:val="Hiperveza"/>
          </w:rPr>
          <w:t xml:space="preserve">Tablica 29: </w:t>
        </w:r>
        <w:r w:rsidRPr="00D671FB">
          <w:rPr>
            <w:rStyle w:val="Hiperveza"/>
            <w:rFonts w:ascii="Arial" w:hAnsi="Arial" w:cs="Arial"/>
            <w:iCs/>
          </w:rPr>
          <w:t>Pregled obveza za beskamatne zajmove Općini iz državnog proračuna na dan 31.12.2025.</w:t>
        </w:r>
        <w:r>
          <w:rPr>
            <w:webHidden/>
          </w:rPr>
          <w:tab/>
        </w:r>
        <w:r>
          <w:rPr>
            <w:webHidden/>
          </w:rPr>
          <w:fldChar w:fldCharType="begin"/>
        </w:r>
        <w:r>
          <w:rPr>
            <w:webHidden/>
          </w:rPr>
          <w:instrText xml:space="preserve"> PAGEREF _Toc232981548 \h </w:instrText>
        </w:r>
        <w:r>
          <w:rPr>
            <w:webHidden/>
          </w:rPr>
        </w:r>
        <w:r>
          <w:rPr>
            <w:webHidden/>
          </w:rPr>
          <w:fldChar w:fldCharType="separate"/>
        </w:r>
        <w:r w:rsidR="00A821D8">
          <w:rPr>
            <w:webHidden/>
          </w:rPr>
          <w:t>434</w:t>
        </w:r>
        <w:r>
          <w:rPr>
            <w:webHidden/>
          </w:rPr>
          <w:fldChar w:fldCharType="end"/>
        </w:r>
      </w:hyperlink>
    </w:p>
    <w:p w14:paraId="1255DB93" w14:textId="418A63E4"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49" w:history="1">
        <w:r w:rsidRPr="00D671FB">
          <w:rPr>
            <w:rStyle w:val="Hiperveza"/>
          </w:rPr>
          <w:t xml:space="preserve">Tablica 30.: </w:t>
        </w:r>
        <w:r w:rsidRPr="00D671FB">
          <w:rPr>
            <w:rStyle w:val="Hiperveza"/>
            <w:rFonts w:ascii="Arial" w:hAnsi="Arial" w:cs="Arial"/>
            <w:iCs/>
          </w:rPr>
          <w:t>Pregled obveza za beskamatne zajmove i iznos otplata zajmova u narednim godinama</w:t>
        </w:r>
        <w:r>
          <w:rPr>
            <w:webHidden/>
          </w:rPr>
          <w:tab/>
        </w:r>
        <w:r>
          <w:rPr>
            <w:webHidden/>
          </w:rPr>
          <w:fldChar w:fldCharType="begin"/>
        </w:r>
        <w:r>
          <w:rPr>
            <w:webHidden/>
          </w:rPr>
          <w:instrText xml:space="preserve"> PAGEREF _Toc232981549 \h </w:instrText>
        </w:r>
        <w:r>
          <w:rPr>
            <w:webHidden/>
          </w:rPr>
        </w:r>
        <w:r>
          <w:rPr>
            <w:webHidden/>
          </w:rPr>
          <w:fldChar w:fldCharType="separate"/>
        </w:r>
        <w:r w:rsidR="00A821D8">
          <w:rPr>
            <w:webHidden/>
          </w:rPr>
          <w:t>434</w:t>
        </w:r>
        <w:r>
          <w:rPr>
            <w:webHidden/>
          </w:rPr>
          <w:fldChar w:fldCharType="end"/>
        </w:r>
      </w:hyperlink>
    </w:p>
    <w:p w14:paraId="02D541F1" w14:textId="73DC5D6D"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50" w:history="1">
        <w:r w:rsidRPr="00D671FB">
          <w:rPr>
            <w:rStyle w:val="Hiperveza"/>
          </w:rPr>
          <w:t xml:space="preserve">Tablica 31.: </w:t>
        </w:r>
        <w:r w:rsidRPr="00D671FB">
          <w:rPr>
            <w:rStyle w:val="Hiperveza"/>
            <w:rFonts w:ascii="Arial" w:hAnsi="Arial" w:cs="Arial"/>
            <w:iCs/>
          </w:rPr>
          <w:t>Pregled izdanih jamstava u 2025.</w:t>
        </w:r>
        <w:r>
          <w:rPr>
            <w:webHidden/>
          </w:rPr>
          <w:tab/>
        </w:r>
        <w:r>
          <w:rPr>
            <w:webHidden/>
          </w:rPr>
          <w:fldChar w:fldCharType="begin"/>
        </w:r>
        <w:r>
          <w:rPr>
            <w:webHidden/>
          </w:rPr>
          <w:instrText xml:space="preserve"> PAGEREF _Toc232981550 \h </w:instrText>
        </w:r>
        <w:r>
          <w:rPr>
            <w:webHidden/>
          </w:rPr>
        </w:r>
        <w:r>
          <w:rPr>
            <w:webHidden/>
          </w:rPr>
          <w:fldChar w:fldCharType="separate"/>
        </w:r>
        <w:r w:rsidR="00A821D8">
          <w:rPr>
            <w:webHidden/>
          </w:rPr>
          <w:t>435</w:t>
        </w:r>
        <w:r>
          <w:rPr>
            <w:webHidden/>
          </w:rPr>
          <w:fldChar w:fldCharType="end"/>
        </w:r>
      </w:hyperlink>
    </w:p>
    <w:p w14:paraId="4A4F5C1E" w14:textId="5C3EE349"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51" w:history="1">
        <w:r w:rsidRPr="00D671FB">
          <w:rPr>
            <w:rStyle w:val="Hiperveza"/>
          </w:rPr>
          <w:t xml:space="preserve">Tablica 32.: </w:t>
        </w:r>
        <w:r w:rsidRPr="00D671FB">
          <w:rPr>
            <w:rStyle w:val="Hiperveza"/>
            <w:rFonts w:ascii="Arial" w:hAnsi="Arial" w:cs="Arial"/>
            <w:iCs/>
          </w:rPr>
          <w:t>Pregled aktivnih jamstava</w:t>
        </w:r>
        <w:r>
          <w:rPr>
            <w:webHidden/>
          </w:rPr>
          <w:tab/>
        </w:r>
        <w:r>
          <w:rPr>
            <w:webHidden/>
          </w:rPr>
          <w:fldChar w:fldCharType="begin"/>
        </w:r>
        <w:r>
          <w:rPr>
            <w:webHidden/>
          </w:rPr>
          <w:instrText xml:space="preserve"> PAGEREF _Toc232981551 \h </w:instrText>
        </w:r>
        <w:r>
          <w:rPr>
            <w:webHidden/>
          </w:rPr>
        </w:r>
        <w:r>
          <w:rPr>
            <w:webHidden/>
          </w:rPr>
          <w:fldChar w:fldCharType="separate"/>
        </w:r>
        <w:r w:rsidR="00A821D8">
          <w:rPr>
            <w:webHidden/>
          </w:rPr>
          <w:t>435</w:t>
        </w:r>
        <w:r>
          <w:rPr>
            <w:webHidden/>
          </w:rPr>
          <w:fldChar w:fldCharType="end"/>
        </w:r>
      </w:hyperlink>
    </w:p>
    <w:p w14:paraId="618DD320" w14:textId="3527BBC6"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52" w:history="1">
        <w:r w:rsidRPr="00D671FB">
          <w:rPr>
            <w:rStyle w:val="Hiperveza"/>
          </w:rPr>
          <w:t xml:space="preserve">Tablica 33.: </w:t>
        </w:r>
        <w:r w:rsidRPr="00D671FB">
          <w:rPr>
            <w:rStyle w:val="Hiperveza"/>
            <w:rFonts w:ascii="Arial" w:hAnsi="Arial" w:cs="Arial"/>
            <w:iCs/>
          </w:rPr>
          <w:t>Pregled protestiranih jamstava u 2025.</w:t>
        </w:r>
        <w:r>
          <w:rPr>
            <w:webHidden/>
          </w:rPr>
          <w:tab/>
        </w:r>
        <w:r>
          <w:rPr>
            <w:webHidden/>
          </w:rPr>
          <w:fldChar w:fldCharType="begin"/>
        </w:r>
        <w:r>
          <w:rPr>
            <w:webHidden/>
          </w:rPr>
          <w:instrText xml:space="preserve"> PAGEREF _Toc232981552 \h </w:instrText>
        </w:r>
        <w:r>
          <w:rPr>
            <w:webHidden/>
          </w:rPr>
        </w:r>
        <w:r>
          <w:rPr>
            <w:webHidden/>
          </w:rPr>
          <w:fldChar w:fldCharType="separate"/>
        </w:r>
        <w:r w:rsidR="00A821D8">
          <w:rPr>
            <w:webHidden/>
          </w:rPr>
          <w:t>437</w:t>
        </w:r>
        <w:r>
          <w:rPr>
            <w:webHidden/>
          </w:rPr>
          <w:fldChar w:fldCharType="end"/>
        </w:r>
      </w:hyperlink>
    </w:p>
    <w:p w14:paraId="18E95682" w14:textId="5C87DEAC"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53" w:history="1">
        <w:r w:rsidRPr="00D671FB">
          <w:rPr>
            <w:rStyle w:val="Hiperveza"/>
          </w:rPr>
          <w:t>Tablica 34</w:t>
        </w:r>
        <w:r w:rsidRPr="00D671FB">
          <w:rPr>
            <w:rStyle w:val="Hiperveza"/>
            <w:rFonts w:ascii="T3Font_4" w:hAnsi="T3Font_4" w:cs="T3Font_4"/>
          </w:rPr>
          <w:t xml:space="preserve">.: </w:t>
        </w:r>
        <w:r w:rsidRPr="00D671FB">
          <w:rPr>
            <w:rStyle w:val="Hiperveza"/>
          </w:rPr>
          <w:t>Pregled projekta sufinanciranih pomoćima EU, te uplate, prihodi i rashodi u 2025.</w:t>
        </w:r>
        <w:r>
          <w:rPr>
            <w:webHidden/>
          </w:rPr>
          <w:tab/>
        </w:r>
        <w:r>
          <w:rPr>
            <w:webHidden/>
          </w:rPr>
          <w:fldChar w:fldCharType="begin"/>
        </w:r>
        <w:r>
          <w:rPr>
            <w:webHidden/>
          </w:rPr>
          <w:instrText xml:space="preserve"> PAGEREF _Toc232981553 \h </w:instrText>
        </w:r>
        <w:r>
          <w:rPr>
            <w:webHidden/>
          </w:rPr>
        </w:r>
        <w:r>
          <w:rPr>
            <w:webHidden/>
          </w:rPr>
          <w:fldChar w:fldCharType="separate"/>
        </w:r>
        <w:r w:rsidR="00A821D8">
          <w:rPr>
            <w:webHidden/>
          </w:rPr>
          <w:t>444</w:t>
        </w:r>
        <w:r>
          <w:rPr>
            <w:webHidden/>
          </w:rPr>
          <w:fldChar w:fldCharType="end"/>
        </w:r>
      </w:hyperlink>
    </w:p>
    <w:p w14:paraId="4AA87193" w14:textId="4DE193E4"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54" w:history="1">
        <w:r w:rsidRPr="00D671FB">
          <w:rPr>
            <w:rStyle w:val="Hiperveza"/>
          </w:rPr>
          <w:t>Tablica 35</w:t>
        </w:r>
        <w:r w:rsidRPr="00D671FB">
          <w:rPr>
            <w:rStyle w:val="Hiperveza"/>
            <w:rFonts w:ascii="T3Font_4" w:hAnsi="T3Font_4" w:cs="T3Font_4"/>
          </w:rPr>
          <w:t xml:space="preserve">.: </w:t>
        </w:r>
        <w:r w:rsidRPr="00D671FB">
          <w:rPr>
            <w:rStyle w:val="Hiperveza"/>
          </w:rPr>
          <w:t>Pregled projekta sufinanciranih pomoćima EU, ugovoreno i uplaćeno ukupno od početka projekta do 31.12.2025.</w:t>
        </w:r>
        <w:r>
          <w:rPr>
            <w:webHidden/>
          </w:rPr>
          <w:tab/>
        </w:r>
        <w:r>
          <w:rPr>
            <w:webHidden/>
          </w:rPr>
          <w:fldChar w:fldCharType="begin"/>
        </w:r>
        <w:r>
          <w:rPr>
            <w:webHidden/>
          </w:rPr>
          <w:instrText xml:space="preserve"> PAGEREF _Toc232981554 \h </w:instrText>
        </w:r>
        <w:r>
          <w:rPr>
            <w:webHidden/>
          </w:rPr>
        </w:r>
        <w:r>
          <w:rPr>
            <w:webHidden/>
          </w:rPr>
          <w:fldChar w:fldCharType="separate"/>
        </w:r>
        <w:r w:rsidR="00A821D8">
          <w:rPr>
            <w:webHidden/>
          </w:rPr>
          <w:t>447</w:t>
        </w:r>
        <w:r>
          <w:rPr>
            <w:webHidden/>
          </w:rPr>
          <w:fldChar w:fldCharType="end"/>
        </w:r>
      </w:hyperlink>
    </w:p>
    <w:p w14:paraId="3B19DEA8" w14:textId="513A1F05"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55" w:history="1">
        <w:r w:rsidRPr="00D671FB">
          <w:rPr>
            <w:rStyle w:val="Hiperveza"/>
          </w:rPr>
          <w:t xml:space="preserve">Tablica 36.: </w:t>
        </w:r>
        <w:r w:rsidRPr="00D671FB">
          <w:rPr>
            <w:rStyle w:val="Hiperveza"/>
            <w:rFonts w:ascii="Arial" w:hAnsi="Arial" w:cs="Arial"/>
            <w:iCs/>
          </w:rPr>
          <w:t>Pregled potraživanja na dan 31.12.2025. – Općina i proračunski korisnici</w:t>
        </w:r>
        <w:r>
          <w:rPr>
            <w:webHidden/>
          </w:rPr>
          <w:tab/>
        </w:r>
        <w:r>
          <w:rPr>
            <w:webHidden/>
          </w:rPr>
          <w:fldChar w:fldCharType="begin"/>
        </w:r>
        <w:r>
          <w:rPr>
            <w:webHidden/>
          </w:rPr>
          <w:instrText xml:space="preserve"> PAGEREF _Toc232981555 \h </w:instrText>
        </w:r>
        <w:r>
          <w:rPr>
            <w:webHidden/>
          </w:rPr>
        </w:r>
        <w:r>
          <w:rPr>
            <w:webHidden/>
          </w:rPr>
          <w:fldChar w:fldCharType="separate"/>
        </w:r>
        <w:r w:rsidR="00A821D8">
          <w:rPr>
            <w:webHidden/>
          </w:rPr>
          <w:t>452</w:t>
        </w:r>
        <w:r>
          <w:rPr>
            <w:webHidden/>
          </w:rPr>
          <w:fldChar w:fldCharType="end"/>
        </w:r>
      </w:hyperlink>
    </w:p>
    <w:p w14:paraId="6A7FAD18" w14:textId="433277A3"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56" w:history="1">
        <w:r w:rsidRPr="00D671FB">
          <w:rPr>
            <w:rStyle w:val="Hiperveza"/>
          </w:rPr>
          <w:t xml:space="preserve">Tablica 37.: </w:t>
        </w:r>
        <w:r w:rsidRPr="00D671FB">
          <w:rPr>
            <w:rStyle w:val="Hiperveza"/>
            <w:rFonts w:ascii="Arial" w:hAnsi="Arial" w:cs="Arial"/>
            <w:iCs/>
          </w:rPr>
          <w:t>Pregled stanja ukupnih obveza Općine i proračunskih korisnika, te nepodmirenih dospjelih obveza na dan 31.12.2025.</w:t>
        </w:r>
        <w:r>
          <w:rPr>
            <w:webHidden/>
          </w:rPr>
          <w:tab/>
        </w:r>
        <w:r>
          <w:rPr>
            <w:webHidden/>
          </w:rPr>
          <w:fldChar w:fldCharType="begin"/>
        </w:r>
        <w:r>
          <w:rPr>
            <w:webHidden/>
          </w:rPr>
          <w:instrText xml:space="preserve"> PAGEREF _Toc232981556 \h </w:instrText>
        </w:r>
        <w:r>
          <w:rPr>
            <w:webHidden/>
          </w:rPr>
        </w:r>
        <w:r>
          <w:rPr>
            <w:webHidden/>
          </w:rPr>
          <w:fldChar w:fldCharType="separate"/>
        </w:r>
        <w:r w:rsidR="00A821D8">
          <w:rPr>
            <w:webHidden/>
          </w:rPr>
          <w:t>456</w:t>
        </w:r>
        <w:r>
          <w:rPr>
            <w:webHidden/>
          </w:rPr>
          <w:fldChar w:fldCharType="end"/>
        </w:r>
      </w:hyperlink>
    </w:p>
    <w:p w14:paraId="3F20584C" w14:textId="4C11769B"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57" w:history="1">
        <w:r w:rsidRPr="00D671FB">
          <w:rPr>
            <w:rStyle w:val="Hiperveza"/>
          </w:rPr>
          <w:t xml:space="preserve">Tablica 38.: </w:t>
        </w:r>
        <w:r w:rsidRPr="00D671FB">
          <w:rPr>
            <w:rStyle w:val="Hiperveza"/>
            <w:rFonts w:ascii="Arial" w:hAnsi="Arial" w:cs="Arial"/>
            <w:iCs/>
          </w:rPr>
          <w:t>Pregled obveza proračunskih korisnika po dospjelosti na dan 31.12.2025.</w:t>
        </w:r>
        <w:r>
          <w:rPr>
            <w:webHidden/>
          </w:rPr>
          <w:tab/>
        </w:r>
        <w:r>
          <w:rPr>
            <w:webHidden/>
          </w:rPr>
          <w:fldChar w:fldCharType="begin"/>
        </w:r>
        <w:r>
          <w:rPr>
            <w:webHidden/>
          </w:rPr>
          <w:instrText xml:space="preserve"> PAGEREF _Toc232981557 \h </w:instrText>
        </w:r>
        <w:r>
          <w:rPr>
            <w:webHidden/>
          </w:rPr>
        </w:r>
        <w:r>
          <w:rPr>
            <w:webHidden/>
          </w:rPr>
          <w:fldChar w:fldCharType="separate"/>
        </w:r>
        <w:r w:rsidR="00A821D8">
          <w:rPr>
            <w:webHidden/>
          </w:rPr>
          <w:t>458</w:t>
        </w:r>
        <w:r>
          <w:rPr>
            <w:webHidden/>
          </w:rPr>
          <w:fldChar w:fldCharType="end"/>
        </w:r>
      </w:hyperlink>
    </w:p>
    <w:p w14:paraId="56E828A2" w14:textId="78E590E4"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58" w:history="1">
        <w:r w:rsidRPr="00D671FB">
          <w:rPr>
            <w:rStyle w:val="Hiperveza"/>
          </w:rPr>
          <w:t xml:space="preserve">Tablica 39.: </w:t>
        </w:r>
        <w:r w:rsidRPr="00D671FB">
          <w:rPr>
            <w:rStyle w:val="Hiperveza"/>
            <w:rFonts w:ascii="Arial" w:hAnsi="Arial" w:cs="Arial"/>
            <w:iCs/>
          </w:rPr>
          <w:t>Pregled potencijalnih obveza Općine na dan 31.12.2025. (na temelju sudskih postupaka i upravnih postupaka)</w:t>
        </w:r>
        <w:r>
          <w:rPr>
            <w:webHidden/>
          </w:rPr>
          <w:tab/>
        </w:r>
        <w:r>
          <w:rPr>
            <w:webHidden/>
          </w:rPr>
          <w:fldChar w:fldCharType="begin"/>
        </w:r>
        <w:r>
          <w:rPr>
            <w:webHidden/>
          </w:rPr>
          <w:instrText xml:space="preserve"> PAGEREF _Toc232981558 \h </w:instrText>
        </w:r>
        <w:r>
          <w:rPr>
            <w:webHidden/>
          </w:rPr>
        </w:r>
        <w:r>
          <w:rPr>
            <w:webHidden/>
          </w:rPr>
          <w:fldChar w:fldCharType="separate"/>
        </w:r>
        <w:r w:rsidR="00A821D8">
          <w:rPr>
            <w:webHidden/>
          </w:rPr>
          <w:t>459</w:t>
        </w:r>
        <w:r>
          <w:rPr>
            <w:webHidden/>
          </w:rPr>
          <w:fldChar w:fldCharType="end"/>
        </w:r>
      </w:hyperlink>
    </w:p>
    <w:p w14:paraId="236BC491" w14:textId="537F8F4F"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59" w:history="1">
        <w:r w:rsidRPr="00D671FB">
          <w:rPr>
            <w:rStyle w:val="Hiperveza"/>
          </w:rPr>
          <w:t xml:space="preserve">Tablica 40.: </w:t>
        </w:r>
        <w:r w:rsidRPr="00D671FB">
          <w:rPr>
            <w:rStyle w:val="Hiperveza"/>
            <w:rFonts w:ascii="Arial" w:hAnsi="Arial" w:cs="Arial"/>
            <w:iCs/>
          </w:rPr>
          <w:t>Preraspodjele sredstava u proračunu za 2025.</w:t>
        </w:r>
        <w:r>
          <w:rPr>
            <w:webHidden/>
          </w:rPr>
          <w:tab/>
        </w:r>
        <w:r>
          <w:rPr>
            <w:webHidden/>
          </w:rPr>
          <w:fldChar w:fldCharType="begin"/>
        </w:r>
        <w:r>
          <w:rPr>
            <w:webHidden/>
          </w:rPr>
          <w:instrText xml:space="preserve"> PAGEREF _Toc232981559 \h </w:instrText>
        </w:r>
        <w:r>
          <w:rPr>
            <w:webHidden/>
          </w:rPr>
        </w:r>
        <w:r>
          <w:rPr>
            <w:webHidden/>
          </w:rPr>
          <w:fldChar w:fldCharType="separate"/>
        </w:r>
        <w:r w:rsidR="00A821D8">
          <w:rPr>
            <w:webHidden/>
          </w:rPr>
          <w:t>465</w:t>
        </w:r>
        <w:r>
          <w:rPr>
            <w:webHidden/>
          </w:rPr>
          <w:fldChar w:fldCharType="end"/>
        </w:r>
      </w:hyperlink>
    </w:p>
    <w:p w14:paraId="7860AFDC" w14:textId="0C803973"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60" w:history="1">
        <w:r w:rsidRPr="00D671FB">
          <w:rPr>
            <w:rStyle w:val="Hiperveza"/>
          </w:rPr>
          <w:t xml:space="preserve">Tablica 41.: </w:t>
        </w:r>
        <w:r w:rsidRPr="00D671FB">
          <w:rPr>
            <w:rStyle w:val="Hiperveza"/>
            <w:rFonts w:ascii="Arial" w:hAnsi="Arial" w:cs="Arial"/>
            <w:iCs/>
          </w:rPr>
          <w:t>Pregled danih suglasnosti za zaduživanje</w:t>
        </w:r>
        <w:r>
          <w:rPr>
            <w:webHidden/>
          </w:rPr>
          <w:tab/>
        </w:r>
        <w:r>
          <w:rPr>
            <w:webHidden/>
          </w:rPr>
          <w:fldChar w:fldCharType="begin"/>
        </w:r>
        <w:r>
          <w:rPr>
            <w:webHidden/>
          </w:rPr>
          <w:instrText xml:space="preserve"> PAGEREF _Toc232981560 \h </w:instrText>
        </w:r>
        <w:r>
          <w:rPr>
            <w:webHidden/>
          </w:rPr>
        </w:r>
        <w:r>
          <w:rPr>
            <w:webHidden/>
          </w:rPr>
          <w:fldChar w:fldCharType="separate"/>
        </w:r>
        <w:r w:rsidR="00A821D8">
          <w:rPr>
            <w:webHidden/>
          </w:rPr>
          <w:t>474</w:t>
        </w:r>
        <w:r>
          <w:rPr>
            <w:webHidden/>
          </w:rPr>
          <w:fldChar w:fldCharType="end"/>
        </w:r>
      </w:hyperlink>
    </w:p>
    <w:p w14:paraId="19843F61" w14:textId="30478C2D" w:rsidR="000B5489" w:rsidRPr="003A2F86" w:rsidRDefault="004C330F" w:rsidP="000B5489">
      <w:pPr>
        <w:rPr>
          <w:lang w:eastAsia="en-US"/>
        </w:rPr>
      </w:pPr>
      <w:r w:rsidRPr="00A27624">
        <w:rPr>
          <w:sz w:val="20"/>
          <w:szCs w:val="20"/>
          <w:lang w:eastAsia="en-US"/>
        </w:rPr>
        <w:fldChar w:fldCharType="end"/>
      </w:r>
    </w:p>
    <w:p w14:paraId="01803081" w14:textId="77777777" w:rsidR="000B5489" w:rsidRPr="003A2F86" w:rsidRDefault="000B5489">
      <w:pPr>
        <w:pStyle w:val="Naslov2"/>
        <w:numPr>
          <w:ilvl w:val="1"/>
          <w:numId w:val="24"/>
        </w:numPr>
        <w:jc w:val="center"/>
        <w:rPr>
          <w:rFonts w:ascii="Arial" w:hAnsi="Arial" w:cs="Arial"/>
          <w:sz w:val="22"/>
          <w:lang w:val="hr-HR"/>
        </w:rPr>
      </w:pPr>
      <w:bookmarkStart w:id="825" w:name="_Toc232981516"/>
      <w:r w:rsidRPr="003A2F86">
        <w:rPr>
          <w:rFonts w:ascii="Arial" w:hAnsi="Arial" w:cs="Arial"/>
          <w:sz w:val="22"/>
          <w:lang w:val="hr-HR"/>
        </w:rPr>
        <w:t>POPIS GRAFOVA</w:t>
      </w:r>
      <w:bookmarkEnd w:id="825"/>
    </w:p>
    <w:p w14:paraId="2DD16FB0" w14:textId="77777777" w:rsidR="000B5489" w:rsidRPr="003A2F86" w:rsidRDefault="000B5489" w:rsidP="00891119">
      <w:pPr>
        <w:widowControl w:val="0"/>
        <w:autoSpaceDE w:val="0"/>
        <w:autoSpaceDN w:val="0"/>
        <w:adjustRightInd w:val="0"/>
        <w:spacing w:after="0" w:line="144" w:lineRule="atLeast"/>
        <w:rPr>
          <w:rFonts w:ascii="Arial" w:eastAsia="Calibri" w:hAnsi="Arial" w:cs="Arial"/>
        </w:rPr>
      </w:pPr>
    </w:p>
    <w:p w14:paraId="2F2F3FE9" w14:textId="6BAA5B52" w:rsidR="0059051D" w:rsidRDefault="008456D6">
      <w:pPr>
        <w:pStyle w:val="Tablicaslika"/>
        <w:rPr>
          <w:rFonts w:asciiTheme="minorHAnsi" w:eastAsiaTheme="minorEastAsia" w:hAnsiTheme="minorHAnsi" w:cstheme="minorBidi"/>
          <w:kern w:val="2"/>
          <w:sz w:val="24"/>
          <w:szCs w:val="24"/>
          <w:lang w:eastAsia="hr-HR"/>
          <w14:ligatures w14:val="standardContextual"/>
        </w:rPr>
      </w:pPr>
      <w:r w:rsidRPr="00A27624">
        <w:rPr>
          <w:rFonts w:eastAsia="Calibri" w:cs="Arial"/>
          <w:sz w:val="20"/>
          <w:szCs w:val="18"/>
        </w:rPr>
        <w:fldChar w:fldCharType="begin"/>
      </w:r>
      <w:r w:rsidRPr="00A27624">
        <w:rPr>
          <w:rFonts w:eastAsia="Calibri" w:cs="Arial"/>
          <w:sz w:val="20"/>
          <w:szCs w:val="18"/>
        </w:rPr>
        <w:instrText xml:space="preserve"> TOC \h \z \c "Graf" </w:instrText>
      </w:r>
      <w:r w:rsidRPr="00A27624">
        <w:rPr>
          <w:rFonts w:eastAsia="Calibri" w:cs="Arial"/>
          <w:sz w:val="20"/>
          <w:szCs w:val="18"/>
        </w:rPr>
        <w:fldChar w:fldCharType="separate"/>
      </w:r>
      <w:hyperlink w:anchor="_Toc232981561" w:history="1">
        <w:r w:rsidR="0059051D" w:rsidRPr="00990400">
          <w:rPr>
            <w:rStyle w:val="Hiperveza"/>
          </w:rPr>
          <w:t>Graf 1.:</w:t>
        </w:r>
        <w:r w:rsidR="0059051D" w:rsidRPr="00990400">
          <w:rPr>
            <w:rStyle w:val="Hiperveza"/>
            <w:rFonts w:ascii="Arial" w:hAnsi="Arial" w:cs="Arial"/>
          </w:rPr>
          <w:t>Struktura ostvarenih prihoda i primitaka proračuna u razdoblju 2015.-2025.: Općina i zbirno proračunski korisnici Općine (PK)</w:t>
        </w:r>
        <w:r w:rsidR="0059051D">
          <w:rPr>
            <w:webHidden/>
          </w:rPr>
          <w:tab/>
        </w:r>
        <w:r w:rsidR="0059051D">
          <w:rPr>
            <w:webHidden/>
          </w:rPr>
          <w:fldChar w:fldCharType="begin"/>
        </w:r>
        <w:r w:rsidR="0059051D">
          <w:rPr>
            <w:webHidden/>
          </w:rPr>
          <w:instrText xml:space="preserve"> PAGEREF _Toc232981561 \h </w:instrText>
        </w:r>
        <w:r w:rsidR="0059051D">
          <w:rPr>
            <w:webHidden/>
          </w:rPr>
        </w:r>
        <w:r w:rsidR="0059051D">
          <w:rPr>
            <w:webHidden/>
          </w:rPr>
          <w:fldChar w:fldCharType="separate"/>
        </w:r>
        <w:r w:rsidR="00A821D8">
          <w:rPr>
            <w:webHidden/>
          </w:rPr>
          <w:t>15</w:t>
        </w:r>
        <w:r w:rsidR="0059051D">
          <w:rPr>
            <w:webHidden/>
          </w:rPr>
          <w:fldChar w:fldCharType="end"/>
        </w:r>
      </w:hyperlink>
    </w:p>
    <w:p w14:paraId="42B39AF8" w14:textId="65FB07AC"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62" w:history="1">
        <w:r w:rsidRPr="00990400">
          <w:rPr>
            <w:rStyle w:val="Hiperveza"/>
          </w:rPr>
          <w:t xml:space="preserve">Graf 2.: </w:t>
        </w:r>
        <w:r w:rsidRPr="00990400">
          <w:rPr>
            <w:rStyle w:val="Hiperveza"/>
            <w:rFonts w:ascii="Arial" w:hAnsi="Arial" w:cs="Arial"/>
          </w:rPr>
          <w:t>Struktura izvršenih rashoda i izdataka proračuna u razdoblju 2015.-2025.: Općina i zbirno proračunski korisnici Općine (PK)</w:t>
        </w:r>
        <w:r>
          <w:rPr>
            <w:webHidden/>
          </w:rPr>
          <w:tab/>
        </w:r>
        <w:r>
          <w:rPr>
            <w:webHidden/>
          </w:rPr>
          <w:fldChar w:fldCharType="begin"/>
        </w:r>
        <w:r>
          <w:rPr>
            <w:webHidden/>
          </w:rPr>
          <w:instrText xml:space="preserve"> PAGEREF _Toc232981562 \h </w:instrText>
        </w:r>
        <w:r>
          <w:rPr>
            <w:webHidden/>
          </w:rPr>
        </w:r>
        <w:r>
          <w:rPr>
            <w:webHidden/>
          </w:rPr>
          <w:fldChar w:fldCharType="separate"/>
        </w:r>
        <w:r w:rsidR="00A821D8">
          <w:rPr>
            <w:webHidden/>
          </w:rPr>
          <w:t>15</w:t>
        </w:r>
        <w:r>
          <w:rPr>
            <w:webHidden/>
          </w:rPr>
          <w:fldChar w:fldCharType="end"/>
        </w:r>
      </w:hyperlink>
    </w:p>
    <w:p w14:paraId="7F4D0750" w14:textId="56C56284"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63" w:history="1">
        <w:r w:rsidRPr="00990400">
          <w:rPr>
            <w:rStyle w:val="Hiperveza"/>
          </w:rPr>
          <w:t>Graf 3.: Struktura ostvarenih vlastitih prihoda i primitaka Proračuna u 2025. (€)– Općina i pojedinačno proračunski korisnici</w:t>
        </w:r>
        <w:r>
          <w:rPr>
            <w:webHidden/>
          </w:rPr>
          <w:tab/>
        </w:r>
        <w:r>
          <w:rPr>
            <w:webHidden/>
          </w:rPr>
          <w:fldChar w:fldCharType="begin"/>
        </w:r>
        <w:r>
          <w:rPr>
            <w:webHidden/>
          </w:rPr>
          <w:instrText xml:space="preserve"> PAGEREF _Toc232981563 \h </w:instrText>
        </w:r>
        <w:r>
          <w:rPr>
            <w:webHidden/>
          </w:rPr>
        </w:r>
        <w:r>
          <w:rPr>
            <w:webHidden/>
          </w:rPr>
          <w:fldChar w:fldCharType="separate"/>
        </w:r>
        <w:r w:rsidR="00A821D8">
          <w:rPr>
            <w:webHidden/>
          </w:rPr>
          <w:t>27</w:t>
        </w:r>
        <w:r>
          <w:rPr>
            <w:webHidden/>
          </w:rPr>
          <w:fldChar w:fldCharType="end"/>
        </w:r>
      </w:hyperlink>
    </w:p>
    <w:p w14:paraId="491E857E" w14:textId="46B866FC"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64" w:history="1">
        <w:r w:rsidRPr="00990400">
          <w:rPr>
            <w:rStyle w:val="Hiperveza"/>
          </w:rPr>
          <w:t xml:space="preserve">Graf 4.: </w:t>
        </w:r>
        <w:r w:rsidRPr="00990400">
          <w:rPr>
            <w:rStyle w:val="Hiperveza"/>
            <w:rFonts w:ascii="Arial" w:hAnsi="Arial" w:cs="Arial"/>
          </w:rPr>
          <w:t>Struktura izvršenih rashoda i izdataka Proračuna u 2025. – Općina i pojedinačno proračunski korisnici</w:t>
        </w:r>
        <w:r>
          <w:rPr>
            <w:webHidden/>
          </w:rPr>
          <w:tab/>
        </w:r>
        <w:r>
          <w:rPr>
            <w:webHidden/>
          </w:rPr>
          <w:fldChar w:fldCharType="begin"/>
        </w:r>
        <w:r>
          <w:rPr>
            <w:webHidden/>
          </w:rPr>
          <w:instrText xml:space="preserve"> PAGEREF _Toc232981564 \h </w:instrText>
        </w:r>
        <w:r>
          <w:rPr>
            <w:webHidden/>
          </w:rPr>
        </w:r>
        <w:r>
          <w:rPr>
            <w:webHidden/>
          </w:rPr>
          <w:fldChar w:fldCharType="separate"/>
        </w:r>
        <w:r w:rsidR="00A821D8">
          <w:rPr>
            <w:webHidden/>
          </w:rPr>
          <w:t>30</w:t>
        </w:r>
        <w:r>
          <w:rPr>
            <w:webHidden/>
          </w:rPr>
          <w:fldChar w:fldCharType="end"/>
        </w:r>
      </w:hyperlink>
    </w:p>
    <w:p w14:paraId="32F40F50" w14:textId="46A02715"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65" w:history="1">
        <w:r w:rsidRPr="00990400">
          <w:rPr>
            <w:rStyle w:val="Hiperveza"/>
            <w:rFonts w:ascii="Arial" w:hAnsi="Arial" w:cs="Arial"/>
          </w:rPr>
          <w:t>Graf 5.:</w:t>
        </w:r>
        <w:r w:rsidRPr="00990400">
          <w:rPr>
            <w:rStyle w:val="Hiperveza"/>
          </w:rPr>
          <w:t xml:space="preserve"> </w:t>
        </w:r>
        <w:r w:rsidRPr="00990400">
          <w:rPr>
            <w:rStyle w:val="Hiperveza"/>
            <w:rFonts w:ascii="Arial" w:hAnsi="Arial" w:cs="Arial"/>
          </w:rPr>
          <w:t>Struktura ostvarenih prihoda i primitaka Proračuna u 2025.</w:t>
        </w:r>
        <w:r w:rsidRPr="00990400">
          <w:rPr>
            <w:rStyle w:val="Hiperveza"/>
            <w:rFonts w:eastAsiaTheme="minorHAnsi"/>
            <w:lang w:eastAsia="hr-HR"/>
          </w:rPr>
          <w:t xml:space="preserve"> </w:t>
        </w:r>
        <w:r w:rsidRPr="00990400">
          <w:rPr>
            <w:rStyle w:val="Hiperveza"/>
            <w:rFonts w:ascii="Arial" w:hAnsi="Arial" w:cs="Arial"/>
          </w:rPr>
          <w:t>po korisnicima (€): Općina, te proračunski korisnici zbirno i pojedinačno</w:t>
        </w:r>
        <w:r>
          <w:rPr>
            <w:webHidden/>
          </w:rPr>
          <w:tab/>
        </w:r>
        <w:r>
          <w:rPr>
            <w:webHidden/>
          </w:rPr>
          <w:fldChar w:fldCharType="begin"/>
        </w:r>
        <w:r>
          <w:rPr>
            <w:webHidden/>
          </w:rPr>
          <w:instrText xml:space="preserve"> PAGEREF _Toc232981565 \h </w:instrText>
        </w:r>
        <w:r>
          <w:rPr>
            <w:webHidden/>
          </w:rPr>
        </w:r>
        <w:r>
          <w:rPr>
            <w:webHidden/>
          </w:rPr>
          <w:fldChar w:fldCharType="separate"/>
        </w:r>
        <w:r w:rsidR="00A821D8">
          <w:rPr>
            <w:webHidden/>
          </w:rPr>
          <w:t>33</w:t>
        </w:r>
        <w:r>
          <w:rPr>
            <w:webHidden/>
          </w:rPr>
          <w:fldChar w:fldCharType="end"/>
        </w:r>
      </w:hyperlink>
    </w:p>
    <w:p w14:paraId="57FC300D" w14:textId="180A5E03"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66" w:history="1">
        <w:r w:rsidRPr="00990400">
          <w:rPr>
            <w:rStyle w:val="Hiperveza"/>
          </w:rPr>
          <w:t xml:space="preserve">Graf 6.: </w:t>
        </w:r>
        <w:r w:rsidRPr="00990400">
          <w:rPr>
            <w:rStyle w:val="Hiperveza"/>
            <w:rFonts w:ascii="Arial" w:hAnsi="Arial" w:cs="Arial"/>
          </w:rPr>
          <w:t>Struktura ostvarenih prihoda i primitaka Proračuna u 2025. po ekonomskoj klasifikaciji (€): sveukupno Općina i proračunski korisnici</w:t>
        </w:r>
        <w:r>
          <w:rPr>
            <w:webHidden/>
          </w:rPr>
          <w:tab/>
        </w:r>
        <w:r>
          <w:rPr>
            <w:webHidden/>
          </w:rPr>
          <w:fldChar w:fldCharType="begin"/>
        </w:r>
        <w:r>
          <w:rPr>
            <w:webHidden/>
          </w:rPr>
          <w:instrText xml:space="preserve"> PAGEREF _Toc232981566 \h </w:instrText>
        </w:r>
        <w:r>
          <w:rPr>
            <w:webHidden/>
          </w:rPr>
        </w:r>
        <w:r>
          <w:rPr>
            <w:webHidden/>
          </w:rPr>
          <w:fldChar w:fldCharType="separate"/>
        </w:r>
        <w:r w:rsidR="00A821D8">
          <w:rPr>
            <w:webHidden/>
          </w:rPr>
          <w:t>38</w:t>
        </w:r>
        <w:r>
          <w:rPr>
            <w:webHidden/>
          </w:rPr>
          <w:fldChar w:fldCharType="end"/>
        </w:r>
      </w:hyperlink>
    </w:p>
    <w:p w14:paraId="00CC4136" w14:textId="0D7018D5"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67" w:history="1">
        <w:r w:rsidRPr="00990400">
          <w:rPr>
            <w:rStyle w:val="Hiperveza"/>
          </w:rPr>
          <w:t xml:space="preserve">Graf 7.: </w:t>
        </w:r>
        <w:r w:rsidRPr="00990400">
          <w:rPr>
            <w:rStyle w:val="Hiperveza"/>
            <w:rFonts w:ascii="Arial" w:hAnsi="Arial" w:cs="Arial"/>
          </w:rPr>
          <w:t>Struktura izvršenih rashoda i izdataka Proračuna u 2025. po korisnicima (€): Općina, te proračunski korisnici zbirno i pojedinačno</w:t>
        </w:r>
        <w:r>
          <w:rPr>
            <w:webHidden/>
          </w:rPr>
          <w:tab/>
        </w:r>
        <w:r>
          <w:rPr>
            <w:webHidden/>
          </w:rPr>
          <w:fldChar w:fldCharType="begin"/>
        </w:r>
        <w:r>
          <w:rPr>
            <w:webHidden/>
          </w:rPr>
          <w:instrText xml:space="preserve"> PAGEREF _Toc232981567 \h </w:instrText>
        </w:r>
        <w:r>
          <w:rPr>
            <w:webHidden/>
          </w:rPr>
        </w:r>
        <w:r>
          <w:rPr>
            <w:webHidden/>
          </w:rPr>
          <w:fldChar w:fldCharType="separate"/>
        </w:r>
        <w:r w:rsidR="00A821D8">
          <w:rPr>
            <w:webHidden/>
          </w:rPr>
          <w:t>41</w:t>
        </w:r>
        <w:r>
          <w:rPr>
            <w:webHidden/>
          </w:rPr>
          <w:fldChar w:fldCharType="end"/>
        </w:r>
      </w:hyperlink>
    </w:p>
    <w:p w14:paraId="36EE69F8" w14:textId="51219AC3"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68" w:history="1">
        <w:r w:rsidRPr="00990400">
          <w:rPr>
            <w:rStyle w:val="Hiperveza"/>
          </w:rPr>
          <w:t>Graf 8.: Struktura izvršenih rashoda i izdataka Proračuna u 2025. po ekonomskoj klasifikaciji (€) : sveukupno Općina i proračunski korisnici</w:t>
        </w:r>
        <w:r>
          <w:rPr>
            <w:webHidden/>
          </w:rPr>
          <w:tab/>
        </w:r>
        <w:r>
          <w:rPr>
            <w:webHidden/>
          </w:rPr>
          <w:fldChar w:fldCharType="begin"/>
        </w:r>
        <w:r>
          <w:rPr>
            <w:webHidden/>
          </w:rPr>
          <w:instrText xml:space="preserve"> PAGEREF _Toc232981568 \h </w:instrText>
        </w:r>
        <w:r>
          <w:rPr>
            <w:webHidden/>
          </w:rPr>
        </w:r>
        <w:r>
          <w:rPr>
            <w:webHidden/>
          </w:rPr>
          <w:fldChar w:fldCharType="separate"/>
        </w:r>
        <w:r w:rsidR="00A821D8">
          <w:rPr>
            <w:webHidden/>
          </w:rPr>
          <w:t>43</w:t>
        </w:r>
        <w:r>
          <w:rPr>
            <w:webHidden/>
          </w:rPr>
          <w:fldChar w:fldCharType="end"/>
        </w:r>
      </w:hyperlink>
    </w:p>
    <w:p w14:paraId="73640F28" w14:textId="23BBB005"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69" w:history="1">
        <w:r w:rsidRPr="00990400">
          <w:rPr>
            <w:rStyle w:val="Hiperveza"/>
          </w:rPr>
          <w:t xml:space="preserve">Graf 9.: </w:t>
        </w:r>
        <w:r w:rsidRPr="00990400">
          <w:rPr>
            <w:rStyle w:val="Hiperveza"/>
            <w:rFonts w:ascii="Arial" w:hAnsi="Arial" w:cs="Arial"/>
          </w:rPr>
          <w:t>Usporedni prikaz ostvarenih prihoda poslovanja (6) u razdoblju 2010.-2025. (€), Općina bez prihoda proračunskih korisnika</w:t>
        </w:r>
        <w:r>
          <w:rPr>
            <w:webHidden/>
          </w:rPr>
          <w:tab/>
        </w:r>
        <w:r>
          <w:rPr>
            <w:webHidden/>
          </w:rPr>
          <w:fldChar w:fldCharType="begin"/>
        </w:r>
        <w:r>
          <w:rPr>
            <w:webHidden/>
          </w:rPr>
          <w:instrText xml:space="preserve"> PAGEREF _Toc232981569 \h </w:instrText>
        </w:r>
        <w:r>
          <w:rPr>
            <w:webHidden/>
          </w:rPr>
        </w:r>
        <w:r>
          <w:rPr>
            <w:webHidden/>
          </w:rPr>
          <w:fldChar w:fldCharType="separate"/>
        </w:r>
        <w:r w:rsidR="00A821D8">
          <w:rPr>
            <w:webHidden/>
          </w:rPr>
          <w:t>50</w:t>
        </w:r>
        <w:r>
          <w:rPr>
            <w:webHidden/>
          </w:rPr>
          <w:fldChar w:fldCharType="end"/>
        </w:r>
      </w:hyperlink>
    </w:p>
    <w:p w14:paraId="60A66272" w14:textId="5D994312"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70" w:history="1">
        <w:r w:rsidRPr="00990400">
          <w:rPr>
            <w:rStyle w:val="Hiperveza"/>
          </w:rPr>
          <w:t xml:space="preserve">Graf 10.: </w:t>
        </w:r>
        <w:r w:rsidRPr="00990400">
          <w:rPr>
            <w:rStyle w:val="Hiperveza"/>
            <w:rFonts w:ascii="Arial" w:hAnsi="Arial" w:cs="Arial"/>
          </w:rPr>
          <w:t>Struktura ostvarenih prihoda od poreza (61) u 2025. (€)</w:t>
        </w:r>
        <w:r>
          <w:rPr>
            <w:webHidden/>
          </w:rPr>
          <w:tab/>
        </w:r>
        <w:r>
          <w:rPr>
            <w:webHidden/>
          </w:rPr>
          <w:fldChar w:fldCharType="begin"/>
        </w:r>
        <w:r>
          <w:rPr>
            <w:webHidden/>
          </w:rPr>
          <w:instrText xml:space="preserve"> PAGEREF _Toc232981570 \h </w:instrText>
        </w:r>
        <w:r>
          <w:rPr>
            <w:webHidden/>
          </w:rPr>
        </w:r>
        <w:r>
          <w:rPr>
            <w:webHidden/>
          </w:rPr>
          <w:fldChar w:fldCharType="separate"/>
        </w:r>
        <w:r w:rsidR="00A821D8">
          <w:rPr>
            <w:webHidden/>
          </w:rPr>
          <w:t>51</w:t>
        </w:r>
        <w:r>
          <w:rPr>
            <w:webHidden/>
          </w:rPr>
          <w:fldChar w:fldCharType="end"/>
        </w:r>
      </w:hyperlink>
    </w:p>
    <w:p w14:paraId="6A1BA56D" w14:textId="62EDA886"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71" w:history="1">
        <w:r w:rsidRPr="00990400">
          <w:rPr>
            <w:rStyle w:val="Hiperveza"/>
          </w:rPr>
          <w:t xml:space="preserve">Graf 11.: </w:t>
        </w:r>
        <w:r w:rsidRPr="00990400">
          <w:rPr>
            <w:rStyle w:val="Hiperveza"/>
            <w:rFonts w:ascii="Arial" w:hAnsi="Arial" w:cs="Arial"/>
          </w:rPr>
          <w:t>Prihodi od poreza i prireza na dohodak (611) u razdoblju 2010.-2025. (€)</w:t>
        </w:r>
        <w:r>
          <w:rPr>
            <w:webHidden/>
          </w:rPr>
          <w:tab/>
        </w:r>
        <w:r>
          <w:rPr>
            <w:webHidden/>
          </w:rPr>
          <w:fldChar w:fldCharType="begin"/>
        </w:r>
        <w:r>
          <w:rPr>
            <w:webHidden/>
          </w:rPr>
          <w:instrText xml:space="preserve"> PAGEREF _Toc232981571 \h </w:instrText>
        </w:r>
        <w:r>
          <w:rPr>
            <w:webHidden/>
          </w:rPr>
        </w:r>
        <w:r>
          <w:rPr>
            <w:webHidden/>
          </w:rPr>
          <w:fldChar w:fldCharType="separate"/>
        </w:r>
        <w:r w:rsidR="00A821D8">
          <w:rPr>
            <w:webHidden/>
          </w:rPr>
          <w:t>52</w:t>
        </w:r>
        <w:r>
          <w:rPr>
            <w:webHidden/>
          </w:rPr>
          <w:fldChar w:fldCharType="end"/>
        </w:r>
      </w:hyperlink>
    </w:p>
    <w:p w14:paraId="41A623A9" w14:textId="5692B561"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72" w:history="1">
        <w:r w:rsidRPr="00990400">
          <w:rPr>
            <w:rStyle w:val="Hiperveza"/>
          </w:rPr>
          <w:t xml:space="preserve">Graf 12.: </w:t>
        </w:r>
        <w:r w:rsidRPr="00990400">
          <w:rPr>
            <w:rStyle w:val="Hiperveza"/>
            <w:rFonts w:ascii="Arial" w:hAnsi="Arial" w:cs="Arial"/>
          </w:rPr>
          <w:t>Struktura izvršenih rashoda poslovanja (3) u razdoblju 2015.-2025. (€): Općina i zbirno proračunski korisnici Općine (PK)</w:t>
        </w:r>
        <w:r>
          <w:rPr>
            <w:webHidden/>
          </w:rPr>
          <w:tab/>
        </w:r>
        <w:r>
          <w:rPr>
            <w:webHidden/>
          </w:rPr>
          <w:fldChar w:fldCharType="begin"/>
        </w:r>
        <w:r>
          <w:rPr>
            <w:webHidden/>
          </w:rPr>
          <w:instrText xml:space="preserve"> PAGEREF _Toc232981572 \h </w:instrText>
        </w:r>
        <w:r>
          <w:rPr>
            <w:webHidden/>
          </w:rPr>
        </w:r>
        <w:r>
          <w:rPr>
            <w:webHidden/>
          </w:rPr>
          <w:fldChar w:fldCharType="separate"/>
        </w:r>
        <w:r w:rsidR="00A821D8">
          <w:rPr>
            <w:webHidden/>
          </w:rPr>
          <w:t>91</w:t>
        </w:r>
        <w:r>
          <w:rPr>
            <w:webHidden/>
          </w:rPr>
          <w:fldChar w:fldCharType="end"/>
        </w:r>
      </w:hyperlink>
    </w:p>
    <w:p w14:paraId="1DB2D4CD" w14:textId="5A0153DD"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73" w:history="1">
        <w:r w:rsidRPr="00990400">
          <w:rPr>
            <w:rStyle w:val="Hiperveza"/>
          </w:rPr>
          <w:t xml:space="preserve">Graf 13.: </w:t>
        </w:r>
        <w:r w:rsidRPr="00990400">
          <w:rPr>
            <w:rStyle w:val="Hiperveza"/>
            <w:rFonts w:ascii="Arial" w:hAnsi="Arial" w:cs="Arial"/>
          </w:rPr>
          <w:t>Struktura izvršenih rashoda za zaposlene (31) u razdoblju 2015.-2025. (€): Općina i zbirno proračunski korisnici Općine (PK)</w:t>
        </w:r>
        <w:r>
          <w:rPr>
            <w:webHidden/>
          </w:rPr>
          <w:tab/>
        </w:r>
        <w:r>
          <w:rPr>
            <w:webHidden/>
          </w:rPr>
          <w:fldChar w:fldCharType="begin"/>
        </w:r>
        <w:r>
          <w:rPr>
            <w:webHidden/>
          </w:rPr>
          <w:instrText xml:space="preserve"> PAGEREF _Toc232981573 \h </w:instrText>
        </w:r>
        <w:r>
          <w:rPr>
            <w:webHidden/>
          </w:rPr>
        </w:r>
        <w:r>
          <w:rPr>
            <w:webHidden/>
          </w:rPr>
          <w:fldChar w:fldCharType="separate"/>
        </w:r>
        <w:r w:rsidR="00A821D8">
          <w:rPr>
            <w:webHidden/>
          </w:rPr>
          <w:t>93</w:t>
        </w:r>
        <w:r>
          <w:rPr>
            <w:webHidden/>
          </w:rPr>
          <w:fldChar w:fldCharType="end"/>
        </w:r>
      </w:hyperlink>
    </w:p>
    <w:p w14:paraId="709A7E1B" w14:textId="648BEAC1"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74" w:history="1">
        <w:r w:rsidRPr="00990400">
          <w:rPr>
            <w:rStyle w:val="Hiperveza"/>
          </w:rPr>
          <w:t xml:space="preserve">Graf 14.: </w:t>
        </w:r>
        <w:r w:rsidRPr="00990400">
          <w:rPr>
            <w:rStyle w:val="Hiperveza"/>
            <w:rFonts w:ascii="Arial" w:hAnsi="Arial" w:cs="Arial"/>
          </w:rPr>
          <w:t>Struktura izvršenih rashoda za zaposlene (31) u 2025. po korisnicima – Općina i proračunski korisnici zbirno i pojedinačno</w:t>
        </w:r>
        <w:r>
          <w:rPr>
            <w:webHidden/>
          </w:rPr>
          <w:tab/>
        </w:r>
        <w:r>
          <w:rPr>
            <w:webHidden/>
          </w:rPr>
          <w:fldChar w:fldCharType="begin"/>
        </w:r>
        <w:r>
          <w:rPr>
            <w:webHidden/>
          </w:rPr>
          <w:instrText xml:space="preserve"> PAGEREF _Toc232981574 \h </w:instrText>
        </w:r>
        <w:r>
          <w:rPr>
            <w:webHidden/>
          </w:rPr>
        </w:r>
        <w:r>
          <w:rPr>
            <w:webHidden/>
          </w:rPr>
          <w:fldChar w:fldCharType="separate"/>
        </w:r>
        <w:r w:rsidR="00A821D8">
          <w:rPr>
            <w:webHidden/>
          </w:rPr>
          <w:t>93</w:t>
        </w:r>
        <w:r>
          <w:rPr>
            <w:webHidden/>
          </w:rPr>
          <w:fldChar w:fldCharType="end"/>
        </w:r>
      </w:hyperlink>
    </w:p>
    <w:p w14:paraId="71E4D681" w14:textId="032F8B2D"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75" w:history="1">
        <w:r w:rsidRPr="00990400">
          <w:rPr>
            <w:rStyle w:val="Hiperveza"/>
          </w:rPr>
          <w:t xml:space="preserve">Graf 15.: </w:t>
        </w:r>
        <w:r w:rsidRPr="00990400">
          <w:rPr>
            <w:rStyle w:val="Hiperveza"/>
            <w:rFonts w:ascii="Arial" w:hAnsi="Arial" w:cs="Arial"/>
          </w:rPr>
          <w:t>Struktura izvršenih materijalnih rashoda (32) u razdoblju 2015.-2025. (€): Općina i zbirno proračunski korisnici Općine (PK)</w:t>
        </w:r>
        <w:r>
          <w:rPr>
            <w:webHidden/>
          </w:rPr>
          <w:tab/>
        </w:r>
        <w:r>
          <w:rPr>
            <w:webHidden/>
          </w:rPr>
          <w:fldChar w:fldCharType="begin"/>
        </w:r>
        <w:r>
          <w:rPr>
            <w:webHidden/>
          </w:rPr>
          <w:instrText xml:space="preserve"> PAGEREF _Toc232981575 \h </w:instrText>
        </w:r>
        <w:r>
          <w:rPr>
            <w:webHidden/>
          </w:rPr>
        </w:r>
        <w:r>
          <w:rPr>
            <w:webHidden/>
          </w:rPr>
          <w:fldChar w:fldCharType="separate"/>
        </w:r>
        <w:r w:rsidR="00A821D8">
          <w:rPr>
            <w:webHidden/>
          </w:rPr>
          <w:t>94</w:t>
        </w:r>
        <w:r>
          <w:rPr>
            <w:webHidden/>
          </w:rPr>
          <w:fldChar w:fldCharType="end"/>
        </w:r>
      </w:hyperlink>
    </w:p>
    <w:p w14:paraId="73060713" w14:textId="20D378E7"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76" w:history="1">
        <w:r w:rsidRPr="00990400">
          <w:rPr>
            <w:rStyle w:val="Hiperveza"/>
          </w:rPr>
          <w:t xml:space="preserve">Graf 16.: </w:t>
        </w:r>
        <w:r w:rsidRPr="00990400">
          <w:rPr>
            <w:rStyle w:val="Hiperveza"/>
            <w:rFonts w:ascii="Arial" w:hAnsi="Arial" w:cs="Arial"/>
          </w:rPr>
          <w:t>Struktura izvršenih rashoda za nabavu nefinancijske imovine (4) u razdoblju 2015.-2025. (€): Općina i zbirno proračunski korisnici Općine</w:t>
        </w:r>
        <w:r>
          <w:rPr>
            <w:webHidden/>
          </w:rPr>
          <w:tab/>
        </w:r>
        <w:r>
          <w:rPr>
            <w:webHidden/>
          </w:rPr>
          <w:fldChar w:fldCharType="begin"/>
        </w:r>
        <w:r>
          <w:rPr>
            <w:webHidden/>
          </w:rPr>
          <w:instrText xml:space="preserve"> PAGEREF _Toc232981576 \h </w:instrText>
        </w:r>
        <w:r>
          <w:rPr>
            <w:webHidden/>
          </w:rPr>
        </w:r>
        <w:r>
          <w:rPr>
            <w:webHidden/>
          </w:rPr>
          <w:fldChar w:fldCharType="separate"/>
        </w:r>
        <w:r w:rsidR="00A821D8">
          <w:rPr>
            <w:webHidden/>
          </w:rPr>
          <w:t>106</w:t>
        </w:r>
        <w:r>
          <w:rPr>
            <w:webHidden/>
          </w:rPr>
          <w:fldChar w:fldCharType="end"/>
        </w:r>
      </w:hyperlink>
    </w:p>
    <w:p w14:paraId="494A599D" w14:textId="6EF0B97D"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77" w:history="1">
        <w:r w:rsidRPr="00990400">
          <w:rPr>
            <w:rStyle w:val="Hiperveza"/>
          </w:rPr>
          <w:t xml:space="preserve">Graf 17.: </w:t>
        </w:r>
        <w:r w:rsidRPr="00990400">
          <w:rPr>
            <w:rStyle w:val="Hiperveza"/>
            <w:rFonts w:ascii="Arial" w:hAnsi="Arial" w:cs="Arial"/>
          </w:rPr>
          <w:t>Struktura izvršenih izdataka (5) u razdoblju 2015.-2025. (€): Općina</w:t>
        </w:r>
        <w:r>
          <w:rPr>
            <w:webHidden/>
          </w:rPr>
          <w:tab/>
        </w:r>
        <w:r>
          <w:rPr>
            <w:webHidden/>
          </w:rPr>
          <w:fldChar w:fldCharType="begin"/>
        </w:r>
        <w:r>
          <w:rPr>
            <w:webHidden/>
          </w:rPr>
          <w:instrText xml:space="preserve"> PAGEREF _Toc232981577 \h </w:instrText>
        </w:r>
        <w:r>
          <w:rPr>
            <w:webHidden/>
          </w:rPr>
        </w:r>
        <w:r>
          <w:rPr>
            <w:webHidden/>
          </w:rPr>
          <w:fldChar w:fldCharType="separate"/>
        </w:r>
        <w:r w:rsidR="00A821D8">
          <w:rPr>
            <w:webHidden/>
          </w:rPr>
          <w:t>111</w:t>
        </w:r>
        <w:r>
          <w:rPr>
            <w:webHidden/>
          </w:rPr>
          <w:fldChar w:fldCharType="end"/>
        </w:r>
      </w:hyperlink>
    </w:p>
    <w:p w14:paraId="445CC3A9" w14:textId="06934252" w:rsidR="0059051D" w:rsidRDefault="0059051D">
      <w:pPr>
        <w:pStyle w:val="Tablicaslika"/>
        <w:rPr>
          <w:rFonts w:asciiTheme="minorHAnsi" w:eastAsiaTheme="minorEastAsia" w:hAnsiTheme="minorHAnsi" w:cstheme="minorBidi"/>
          <w:kern w:val="2"/>
          <w:sz w:val="24"/>
          <w:szCs w:val="24"/>
          <w:lang w:eastAsia="hr-HR"/>
          <w14:ligatures w14:val="standardContextual"/>
        </w:rPr>
      </w:pPr>
      <w:hyperlink w:anchor="_Toc232981578" w:history="1">
        <w:r w:rsidRPr="00990400">
          <w:rPr>
            <w:rStyle w:val="Hiperveza"/>
          </w:rPr>
          <w:t xml:space="preserve">Graf 18.: </w:t>
        </w:r>
        <w:r w:rsidRPr="00990400">
          <w:rPr>
            <w:rStyle w:val="Hiperveza"/>
            <w:rFonts w:ascii="Arial" w:hAnsi="Arial" w:cs="Arial"/>
          </w:rPr>
          <w:t>Struktura izvršenih rashoda Proračuna u 2025. po funkcijskoj klasifikaciji (€): sveukupno Općina i proračunski korisnici</w:t>
        </w:r>
        <w:r>
          <w:rPr>
            <w:webHidden/>
          </w:rPr>
          <w:tab/>
        </w:r>
        <w:r>
          <w:rPr>
            <w:webHidden/>
          </w:rPr>
          <w:fldChar w:fldCharType="begin"/>
        </w:r>
        <w:r>
          <w:rPr>
            <w:webHidden/>
          </w:rPr>
          <w:instrText xml:space="preserve"> PAGEREF _Toc232981578 \h </w:instrText>
        </w:r>
        <w:r>
          <w:rPr>
            <w:webHidden/>
          </w:rPr>
        </w:r>
        <w:r>
          <w:rPr>
            <w:webHidden/>
          </w:rPr>
          <w:fldChar w:fldCharType="separate"/>
        </w:r>
        <w:r w:rsidR="00A821D8">
          <w:rPr>
            <w:webHidden/>
          </w:rPr>
          <w:t>121</w:t>
        </w:r>
        <w:r>
          <w:rPr>
            <w:webHidden/>
          </w:rPr>
          <w:fldChar w:fldCharType="end"/>
        </w:r>
      </w:hyperlink>
    </w:p>
    <w:p w14:paraId="145069EA" w14:textId="35CB0C40" w:rsidR="006161AE" w:rsidRPr="003A2F86" w:rsidRDefault="008456D6" w:rsidP="006161AE">
      <w:pPr>
        <w:widowControl w:val="0"/>
        <w:autoSpaceDE w:val="0"/>
        <w:autoSpaceDN w:val="0"/>
        <w:adjustRightInd w:val="0"/>
        <w:spacing w:after="0" w:line="144" w:lineRule="atLeast"/>
        <w:rPr>
          <w:rFonts w:ascii="Arial" w:eastAsia="Calibri" w:hAnsi="Arial" w:cs="Arial"/>
        </w:rPr>
      </w:pPr>
      <w:r w:rsidRPr="00A27624">
        <w:rPr>
          <w:rFonts w:ascii="Arial" w:eastAsia="Calibri" w:hAnsi="Arial" w:cs="Arial"/>
          <w:sz w:val="20"/>
          <w:szCs w:val="20"/>
        </w:rPr>
        <w:fldChar w:fldCharType="end"/>
      </w:r>
      <w:r w:rsidR="006161AE" w:rsidRPr="003A2F86">
        <w:rPr>
          <w:rFonts w:ascii="Arial" w:eastAsia="Calibri" w:hAnsi="Arial" w:cs="Arial"/>
        </w:rPr>
        <w:br w:type="page"/>
      </w:r>
    </w:p>
    <w:p w14:paraId="17A6843D" w14:textId="38B7DD0D" w:rsidR="00B05373" w:rsidRPr="003A2F86" w:rsidRDefault="00B05373" w:rsidP="00891119">
      <w:pPr>
        <w:widowControl w:val="0"/>
        <w:autoSpaceDE w:val="0"/>
        <w:autoSpaceDN w:val="0"/>
        <w:adjustRightInd w:val="0"/>
        <w:spacing w:after="0" w:line="144" w:lineRule="atLeast"/>
        <w:rPr>
          <w:rFonts w:ascii="Arial" w:eastAsia="Calibri" w:hAnsi="Arial" w:cs="Arial"/>
        </w:rPr>
      </w:pPr>
    </w:p>
    <w:p w14:paraId="00A7FDE3" w14:textId="47C3AFDA" w:rsidR="006161AE" w:rsidRPr="003A2F86" w:rsidRDefault="006161AE" w:rsidP="00891119">
      <w:pPr>
        <w:widowControl w:val="0"/>
        <w:autoSpaceDE w:val="0"/>
        <w:autoSpaceDN w:val="0"/>
        <w:adjustRightInd w:val="0"/>
        <w:spacing w:after="0" w:line="144" w:lineRule="atLeast"/>
        <w:rPr>
          <w:rFonts w:ascii="Arial" w:eastAsia="Calibri" w:hAnsi="Arial" w:cs="Arial"/>
        </w:rPr>
      </w:pPr>
    </w:p>
    <w:p w14:paraId="393E157D" w14:textId="1DCB32CE" w:rsidR="006161AE" w:rsidRPr="003A2F86" w:rsidRDefault="006161AE" w:rsidP="00891119">
      <w:pPr>
        <w:widowControl w:val="0"/>
        <w:autoSpaceDE w:val="0"/>
        <w:autoSpaceDN w:val="0"/>
        <w:adjustRightInd w:val="0"/>
        <w:spacing w:after="0" w:line="144" w:lineRule="atLeast"/>
        <w:rPr>
          <w:rFonts w:ascii="Arial" w:eastAsia="Calibri" w:hAnsi="Arial" w:cs="Arial"/>
        </w:rPr>
      </w:pPr>
    </w:p>
    <w:p w14:paraId="1768CCE0" w14:textId="2A885E28" w:rsidR="006161AE" w:rsidRPr="003A2F86" w:rsidRDefault="006161AE" w:rsidP="00891119">
      <w:pPr>
        <w:widowControl w:val="0"/>
        <w:autoSpaceDE w:val="0"/>
        <w:autoSpaceDN w:val="0"/>
        <w:adjustRightInd w:val="0"/>
        <w:spacing w:after="0" w:line="144" w:lineRule="atLeast"/>
        <w:rPr>
          <w:rFonts w:ascii="Arial" w:eastAsia="Calibri" w:hAnsi="Arial" w:cs="Arial"/>
        </w:rPr>
      </w:pPr>
    </w:p>
    <w:p w14:paraId="4C90E186" w14:textId="77777777" w:rsidR="006161AE" w:rsidRPr="003A2F86" w:rsidRDefault="006161AE" w:rsidP="00891119">
      <w:pPr>
        <w:widowControl w:val="0"/>
        <w:autoSpaceDE w:val="0"/>
        <w:autoSpaceDN w:val="0"/>
        <w:adjustRightInd w:val="0"/>
        <w:spacing w:after="0" w:line="144" w:lineRule="atLeast"/>
        <w:rPr>
          <w:rFonts w:ascii="Arial" w:eastAsia="Calibri" w:hAnsi="Arial" w:cs="Arial"/>
        </w:rPr>
      </w:pPr>
    </w:p>
    <w:p w14:paraId="6A2BCBDC" w14:textId="77777777" w:rsidR="00B05373" w:rsidRPr="003A2F86" w:rsidRDefault="00B05373" w:rsidP="00891119">
      <w:pPr>
        <w:widowControl w:val="0"/>
        <w:autoSpaceDE w:val="0"/>
        <w:autoSpaceDN w:val="0"/>
        <w:adjustRightInd w:val="0"/>
        <w:spacing w:after="0" w:line="144" w:lineRule="atLeast"/>
        <w:rPr>
          <w:rFonts w:ascii="Arial" w:eastAsia="Calibri" w:hAnsi="Arial" w:cs="Arial"/>
        </w:rPr>
      </w:pPr>
    </w:p>
    <w:p w14:paraId="2D389D80" w14:textId="77777777" w:rsidR="00B05373" w:rsidRPr="003A2F86" w:rsidRDefault="00B05373" w:rsidP="00891119">
      <w:pPr>
        <w:widowControl w:val="0"/>
        <w:autoSpaceDE w:val="0"/>
        <w:autoSpaceDN w:val="0"/>
        <w:adjustRightInd w:val="0"/>
        <w:spacing w:after="0" w:line="144" w:lineRule="atLeast"/>
        <w:rPr>
          <w:rFonts w:ascii="Arial" w:eastAsia="Calibri" w:hAnsi="Arial" w:cs="Arial"/>
        </w:rPr>
      </w:pPr>
    </w:p>
    <w:p w14:paraId="6FFF0486" w14:textId="37EAEBC7" w:rsidR="00B05373" w:rsidRPr="003A2F86" w:rsidRDefault="00B05373" w:rsidP="00B05373">
      <w:pPr>
        <w:pStyle w:val="Naslov1"/>
        <w:rPr>
          <w:rFonts w:ascii="Arial" w:eastAsia="Calibri" w:hAnsi="Arial" w:cs="Arial"/>
          <w:sz w:val="22"/>
          <w:lang w:val="hr-HR"/>
        </w:rPr>
      </w:pPr>
      <w:bookmarkStart w:id="826" w:name="_11._PRIVITAK:_OPĆI"/>
      <w:bookmarkStart w:id="827" w:name="_Toc232981517"/>
      <w:bookmarkEnd w:id="826"/>
      <w:r w:rsidRPr="003A2F86">
        <w:rPr>
          <w:rFonts w:ascii="Arial" w:eastAsia="Calibri" w:hAnsi="Arial" w:cs="Arial"/>
          <w:sz w:val="22"/>
          <w:lang w:val="hr-HR"/>
        </w:rPr>
        <w:t>1</w:t>
      </w:r>
      <w:r w:rsidR="00C841A6">
        <w:rPr>
          <w:rFonts w:ascii="Arial" w:eastAsia="Calibri" w:hAnsi="Arial" w:cs="Arial"/>
          <w:sz w:val="22"/>
          <w:lang w:val="hr-HR"/>
        </w:rPr>
        <w:t>2</w:t>
      </w:r>
      <w:r w:rsidRPr="003A2F86">
        <w:rPr>
          <w:rFonts w:ascii="Arial" w:eastAsia="Calibri" w:hAnsi="Arial" w:cs="Arial"/>
          <w:sz w:val="22"/>
          <w:lang w:val="hr-HR"/>
        </w:rPr>
        <w:t xml:space="preserve">. PRIVITAK: OPĆI I POSEBNI DIO PRORAČUNA (financijski dio, sastavni dio </w:t>
      </w:r>
      <w:r w:rsidR="00C50076" w:rsidRPr="003A2F86">
        <w:rPr>
          <w:rFonts w:ascii="Arial" w:eastAsia="Calibri" w:hAnsi="Arial" w:cs="Arial"/>
          <w:sz w:val="22"/>
          <w:lang w:val="hr-HR"/>
        </w:rPr>
        <w:t>G</w:t>
      </w:r>
      <w:r w:rsidRPr="003A2F86">
        <w:rPr>
          <w:rFonts w:ascii="Arial" w:eastAsia="Calibri" w:hAnsi="Arial" w:cs="Arial"/>
          <w:sz w:val="22"/>
          <w:lang w:val="hr-HR"/>
        </w:rPr>
        <w:t>ODIŠNJEG IZVJEŠTAJA O IZVRŠENJU PRORAČUNA OPĆINE KONAVLE ZA 20</w:t>
      </w:r>
      <w:r w:rsidR="00B70990" w:rsidRPr="003A2F86">
        <w:rPr>
          <w:rFonts w:ascii="Arial" w:eastAsia="Calibri" w:hAnsi="Arial" w:cs="Arial"/>
          <w:sz w:val="22"/>
          <w:lang w:val="hr-HR"/>
        </w:rPr>
        <w:t>2</w:t>
      </w:r>
      <w:r w:rsidR="00DF62B7">
        <w:rPr>
          <w:rFonts w:ascii="Arial" w:eastAsia="Calibri" w:hAnsi="Arial" w:cs="Arial"/>
          <w:sz w:val="22"/>
          <w:lang w:val="hr-HR"/>
        </w:rPr>
        <w:t>5</w:t>
      </w:r>
      <w:r w:rsidRPr="003A2F86">
        <w:rPr>
          <w:rFonts w:ascii="Arial" w:eastAsia="Calibri" w:hAnsi="Arial" w:cs="Arial"/>
          <w:sz w:val="22"/>
          <w:lang w:val="hr-HR"/>
        </w:rPr>
        <w:t>. GODINU)</w:t>
      </w:r>
      <w:bookmarkEnd w:id="827"/>
      <w:r w:rsidRPr="003A2F86">
        <w:rPr>
          <w:rFonts w:ascii="Arial" w:eastAsia="Calibri" w:hAnsi="Arial" w:cs="Arial"/>
          <w:sz w:val="22"/>
          <w:lang w:val="hr-HR"/>
        </w:rPr>
        <w:t xml:space="preserve"> </w:t>
      </w:r>
    </w:p>
    <w:p w14:paraId="255D7E65" w14:textId="77777777" w:rsidR="00B05373" w:rsidRPr="003A2F86" w:rsidRDefault="00B05373" w:rsidP="00B05373">
      <w:pPr>
        <w:widowControl w:val="0"/>
        <w:autoSpaceDE w:val="0"/>
        <w:autoSpaceDN w:val="0"/>
        <w:adjustRightInd w:val="0"/>
        <w:spacing w:after="0" w:line="144" w:lineRule="atLeast"/>
        <w:rPr>
          <w:rFonts w:ascii="Arial" w:eastAsia="Calibri" w:hAnsi="Arial" w:cs="Arial"/>
        </w:rPr>
      </w:pPr>
    </w:p>
    <w:p w14:paraId="0EC6A9F5" w14:textId="2775E622" w:rsidR="00B05373" w:rsidRPr="003A2F86" w:rsidRDefault="00A6593A" w:rsidP="00891119">
      <w:pPr>
        <w:widowControl w:val="0"/>
        <w:autoSpaceDE w:val="0"/>
        <w:autoSpaceDN w:val="0"/>
        <w:adjustRightInd w:val="0"/>
        <w:spacing w:after="0" w:line="144" w:lineRule="atLeast"/>
        <w:rPr>
          <w:rFonts w:ascii="Arial" w:eastAsia="Calibri" w:hAnsi="Arial" w:cs="Arial"/>
        </w:rPr>
      </w:pPr>
      <w:r w:rsidRPr="003A2F86">
        <w:rPr>
          <w:rFonts w:ascii="Arial" w:eastAsia="Calibri" w:hAnsi="Arial" w:cs="Arial"/>
        </w:rPr>
        <w:tab/>
        <w:t xml:space="preserve">Ovaj dio izvještaja </w:t>
      </w:r>
      <w:r w:rsidR="00101E5D" w:rsidRPr="003A2F86">
        <w:rPr>
          <w:rFonts w:ascii="Arial" w:eastAsia="Calibri" w:hAnsi="Arial" w:cs="Arial"/>
        </w:rPr>
        <w:t xml:space="preserve">o izvršenju proračuna </w:t>
      </w:r>
      <w:r w:rsidRPr="003A2F86">
        <w:rPr>
          <w:rFonts w:ascii="Arial" w:eastAsia="Calibri" w:hAnsi="Arial" w:cs="Arial"/>
        </w:rPr>
        <w:t>(financijski dio izvještaja) se objavljuje u Službenom glasniku Općine Konavle.</w:t>
      </w:r>
    </w:p>
    <w:p w14:paraId="7672D77E" w14:textId="19B38E0D" w:rsidR="00B05373" w:rsidRPr="003A2F86" w:rsidRDefault="00B05373" w:rsidP="00303C0D">
      <w:pPr>
        <w:widowControl w:val="0"/>
        <w:autoSpaceDE w:val="0"/>
        <w:autoSpaceDN w:val="0"/>
        <w:adjustRightInd w:val="0"/>
        <w:spacing w:after="0" w:line="144" w:lineRule="atLeast"/>
        <w:jc w:val="center"/>
        <w:rPr>
          <w:rFonts w:ascii="Arial" w:eastAsia="Calibri" w:hAnsi="Arial" w:cs="Arial"/>
        </w:rPr>
      </w:pPr>
    </w:p>
    <w:p w14:paraId="2EC20585" w14:textId="77777777" w:rsidR="00B05373" w:rsidRDefault="00B05373" w:rsidP="00891119">
      <w:pPr>
        <w:widowControl w:val="0"/>
        <w:autoSpaceDE w:val="0"/>
        <w:autoSpaceDN w:val="0"/>
        <w:adjustRightInd w:val="0"/>
        <w:spacing w:after="0" w:line="144" w:lineRule="atLeast"/>
        <w:rPr>
          <w:rFonts w:ascii="Arial" w:eastAsia="Calibri" w:hAnsi="Arial" w:cs="Arial"/>
        </w:rPr>
      </w:pPr>
    </w:p>
    <w:bookmarkStart w:id="828" w:name="_MON_1844500655"/>
    <w:bookmarkEnd w:id="828"/>
    <w:p w14:paraId="181DF812" w14:textId="7677CA8D" w:rsidR="003A4CA1" w:rsidRPr="003A2F86" w:rsidRDefault="003A4CA1" w:rsidP="003A4CA1">
      <w:pPr>
        <w:widowControl w:val="0"/>
        <w:autoSpaceDE w:val="0"/>
        <w:autoSpaceDN w:val="0"/>
        <w:adjustRightInd w:val="0"/>
        <w:spacing w:after="0" w:line="144" w:lineRule="atLeast"/>
        <w:jc w:val="center"/>
        <w:rPr>
          <w:rFonts w:ascii="Arial" w:eastAsia="Calibri" w:hAnsi="Arial" w:cs="Arial"/>
        </w:rPr>
      </w:pPr>
      <w:r>
        <w:object w:dxaOrig="1539" w:dyaOrig="997" w14:anchorId="38D90806">
          <v:shape id="_x0000_i1026" type="#_x0000_t75" style="width:77.25pt;height:49.5pt" o:ole="">
            <v:imagedata r:id="rId261" o:title=""/>
          </v:shape>
          <o:OLEObject Type="Embed" ProgID="Word.Document.8" ShapeID="_x0000_i1026" DrawAspect="Icon" ObjectID="_1844503964" r:id="rId262">
            <o:FieldCodes>\s</o:FieldCodes>
          </o:OLEObject>
        </w:object>
      </w:r>
      <w:r>
        <w:object w:dxaOrig="1539" w:dyaOrig="997" w14:anchorId="7B39E0F3">
          <v:shape id="_x0000_i1027" type="#_x0000_t75" style="width:77.25pt;height:49.5pt" o:ole="">
            <v:imagedata r:id="rId263" o:title=""/>
          </v:shape>
          <o:OLEObject Type="Embed" ProgID="Acrobat.Document.DC" ShapeID="_x0000_i1027" DrawAspect="Icon" ObjectID="_1844503965" r:id="rId264"/>
        </w:object>
      </w:r>
    </w:p>
    <w:p w14:paraId="645A85D2" w14:textId="577CF2BE" w:rsidR="00A655B6" w:rsidRPr="003A2F86" w:rsidRDefault="00A655B6">
      <w:pPr>
        <w:rPr>
          <w:rFonts w:ascii="Arial" w:eastAsia="Calibri" w:hAnsi="Arial" w:cs="Arial"/>
        </w:rPr>
      </w:pPr>
      <w:r w:rsidRPr="003A2F86">
        <w:rPr>
          <w:rFonts w:ascii="Arial" w:eastAsia="Calibri" w:hAnsi="Arial" w:cs="Arial"/>
        </w:rPr>
        <w:br w:type="page"/>
      </w:r>
    </w:p>
    <w:p w14:paraId="1FB149DD" w14:textId="77777777" w:rsidR="00A655B6" w:rsidRPr="003A2F86" w:rsidRDefault="00A655B6" w:rsidP="00891119">
      <w:pPr>
        <w:widowControl w:val="0"/>
        <w:autoSpaceDE w:val="0"/>
        <w:autoSpaceDN w:val="0"/>
        <w:adjustRightInd w:val="0"/>
        <w:spacing w:after="0" w:line="144" w:lineRule="atLeast"/>
        <w:rPr>
          <w:rFonts w:ascii="Arial" w:eastAsia="Calibri" w:hAnsi="Arial" w:cs="Arial"/>
        </w:rPr>
        <w:sectPr w:rsidR="00A655B6" w:rsidRPr="003A2F86" w:rsidSect="00673312">
          <w:pgSz w:w="16838" w:h="11906" w:orient="landscape" w:code="9"/>
          <w:pgMar w:top="1134" w:right="1134" w:bottom="1134" w:left="1134" w:header="720" w:footer="720" w:gutter="0"/>
          <w:pgNumType w:chapStyle="1"/>
          <w:cols w:space="720"/>
          <w:titlePg/>
          <w:docGrid w:linePitch="272"/>
        </w:sectPr>
      </w:pPr>
    </w:p>
    <w:p w14:paraId="5CA8A524" w14:textId="77777777" w:rsidR="00B05373" w:rsidRPr="003A2F86" w:rsidRDefault="00B05373" w:rsidP="00B05373">
      <w:pPr>
        <w:framePr w:w="5000" w:h="1" w:hRule="exact" w:wrap="notBeside" w:vAnchor="page" w:hAnchor="page" w:x="1" w:y="1"/>
        <w:widowControl w:val="0"/>
        <w:autoSpaceDE w:val="0"/>
        <w:autoSpaceDN w:val="0"/>
        <w:adjustRightInd w:val="0"/>
        <w:spacing w:after="0" w:line="240" w:lineRule="auto"/>
        <w:rPr>
          <w:rFonts w:ascii="Times New Roman" w:eastAsiaTheme="minorEastAsia" w:hAnsi="Times New Roman" w:cs="Times New Roman"/>
          <w:sz w:val="24"/>
          <w:szCs w:val="24"/>
        </w:rPr>
      </w:pPr>
      <w:r w:rsidRPr="003A2F86">
        <w:rPr>
          <w:rFonts w:ascii="Times New Roman" w:eastAsiaTheme="minorEastAsia" w:hAnsi="Times New Roman" w:cs="Times New Roman"/>
          <w:sz w:val="24"/>
          <w:szCs w:val="24"/>
        </w:rPr>
        <w:lastRenderedPageBreak/>
        <w:t xml:space="preserve">         Ova datoteka je stvorena od Oracle Reports-a. Molim vas pregledajte ovaj dokument na nanačin Straničnog razmještaja.</w:t>
      </w:r>
    </w:p>
    <w:p w14:paraId="49013BBD" w14:textId="77777777" w:rsidR="00891119" w:rsidRPr="003A2F86" w:rsidRDefault="00891119" w:rsidP="00891119">
      <w:pPr>
        <w:framePr w:w="5000" w:h="1" w:hRule="exact" w:wrap="notBeside" w:vAnchor="page" w:hAnchor="page" w:x="1" w:y="1"/>
        <w:widowControl w:val="0"/>
        <w:autoSpaceDE w:val="0"/>
        <w:autoSpaceDN w:val="0"/>
        <w:adjustRightInd w:val="0"/>
        <w:spacing w:after="0" w:line="240" w:lineRule="auto"/>
        <w:rPr>
          <w:rFonts w:ascii="Times New Roman" w:eastAsia="Times New Roman" w:hAnsi="Times New Roman" w:cs="Times New Roman"/>
          <w:color w:val="FF0000"/>
          <w:sz w:val="24"/>
          <w:szCs w:val="24"/>
          <w:lang w:eastAsia="en-US"/>
        </w:rPr>
      </w:pPr>
      <w:r w:rsidRPr="003A2F86">
        <w:rPr>
          <w:rFonts w:ascii="Times New Roman" w:eastAsia="Times New Roman" w:hAnsi="Times New Roman" w:cs="Times New Roman"/>
          <w:color w:val="FF0000"/>
          <w:sz w:val="24"/>
          <w:szCs w:val="24"/>
          <w:lang w:eastAsia="en-US"/>
        </w:rPr>
        <w:t xml:space="preserve">         Molim vas pregledajte ovaj dokument na nanačin Straničnog razmještaja.</w:t>
      </w:r>
    </w:p>
    <w:p w14:paraId="4F5DAD8E" w14:textId="77777777" w:rsidR="00726D83" w:rsidRPr="003A2F86" w:rsidRDefault="00726D83" w:rsidP="00726D83">
      <w:pPr>
        <w:framePr w:w="5000" w:h="1" w:hRule="exact" w:wrap="notBeside" w:vAnchor="page" w:hAnchor="page" w:x="1" w:y="1"/>
        <w:widowControl w:val="0"/>
        <w:autoSpaceDE w:val="0"/>
        <w:autoSpaceDN w:val="0"/>
        <w:adjustRightInd w:val="0"/>
        <w:spacing w:after="0" w:line="240" w:lineRule="auto"/>
        <w:rPr>
          <w:rFonts w:ascii="Times New Roman" w:hAnsi="Times New Roman"/>
          <w:sz w:val="24"/>
          <w:szCs w:val="24"/>
        </w:rPr>
      </w:pPr>
      <w:r w:rsidRPr="003A2F86">
        <w:rPr>
          <w:rFonts w:ascii="Times New Roman" w:hAnsi="Times New Roman"/>
          <w:sz w:val="24"/>
          <w:szCs w:val="24"/>
        </w:rPr>
        <w:t xml:space="preserve">         Ova datoteka je stvorena od Oracle Reports-a. Molim vas pregledajte ovaj dokument na nanačin Straničnog razmještaja.</w:t>
      </w:r>
    </w:p>
    <w:p w14:paraId="57D81001" w14:textId="201F8789" w:rsidR="00661A44" w:rsidRPr="003A2F86" w:rsidRDefault="00661A44" w:rsidP="0009242C">
      <w:pPr>
        <w:framePr w:w="1236" w:h="279" w:hRule="exact" w:wrap="auto" w:vAnchor="page" w:hAnchor="page" w:x="5949" w:y="10498"/>
        <w:widowControl w:val="0"/>
        <w:autoSpaceDE w:val="0"/>
        <w:autoSpaceDN w:val="0"/>
        <w:adjustRightInd w:val="0"/>
        <w:spacing w:after="0" w:line="240" w:lineRule="auto"/>
        <w:jc w:val="right"/>
        <w:rPr>
          <w:color w:val="FF0000"/>
        </w:rPr>
      </w:pPr>
    </w:p>
    <w:p w14:paraId="7DBE6BA6" w14:textId="32C61DAA" w:rsidR="007B3EC3" w:rsidRPr="003A2F86" w:rsidRDefault="007B3EC3">
      <w:pPr>
        <w:framePr w:w="1236" w:h="279" w:hRule="exact" w:wrap="auto" w:vAnchor="page" w:hAnchor="page" w:x="5949" w:y="10498"/>
        <w:widowControl w:val="0"/>
        <w:autoSpaceDE w:val="0"/>
        <w:autoSpaceDN w:val="0"/>
        <w:adjustRightInd w:val="0"/>
        <w:spacing w:after="0" w:line="240" w:lineRule="auto"/>
        <w:jc w:val="right"/>
        <w:rPr>
          <w:color w:val="FF0000"/>
        </w:rPr>
      </w:pPr>
    </w:p>
    <w:p w14:paraId="1F16E69B" w14:textId="7099C908" w:rsidR="00B53164" w:rsidRPr="003A2F86" w:rsidRDefault="00B53164">
      <w:pPr>
        <w:framePr w:w="1236" w:h="279" w:hRule="exact" w:wrap="auto" w:vAnchor="page" w:hAnchor="page" w:x="5949" w:y="10498"/>
        <w:widowControl w:val="0"/>
        <w:autoSpaceDE w:val="0"/>
        <w:autoSpaceDN w:val="0"/>
        <w:adjustRightInd w:val="0"/>
        <w:spacing w:after="0" w:line="240" w:lineRule="auto"/>
        <w:jc w:val="right"/>
        <w:rPr>
          <w:color w:val="FF0000"/>
        </w:rPr>
      </w:pPr>
    </w:p>
    <w:sectPr w:rsidR="00B53164" w:rsidRPr="003A2F86" w:rsidSect="00673312">
      <w:footerReference w:type="default" r:id="rId265"/>
      <w:pgSz w:w="11906" w:h="16838" w:code="9"/>
      <w:pgMar w:top="1134" w:right="851" w:bottom="1134" w:left="851"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76A91" w14:textId="77777777" w:rsidR="00A91EBA" w:rsidRDefault="00A91EBA" w:rsidP="00891119">
      <w:pPr>
        <w:spacing w:after="0" w:line="240" w:lineRule="auto"/>
      </w:pPr>
      <w:r>
        <w:separator/>
      </w:r>
    </w:p>
  </w:endnote>
  <w:endnote w:type="continuationSeparator" w:id="0">
    <w:p w14:paraId="679E1729" w14:textId="77777777" w:rsidR="00A91EBA" w:rsidRDefault="00A91EBA" w:rsidP="00891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Calibri"/>
    <w:charset w:val="00"/>
    <w:family w:val="auto"/>
    <w:pitch w:val="variable"/>
    <w:sig w:usb0="800000AF" w:usb1="1001ECEA" w:usb2="00000000" w:usb3="00000000" w:csb0="0000000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imSun">
    <w:altName w:val="??ˇ¦|||||||||||||||||||||||||||"/>
    <w:panose1 w:val="02010600030101010101"/>
    <w:charset w:val="86"/>
    <w:family w:val="auto"/>
    <w:pitch w:val="variable"/>
    <w:sig w:usb0="00000203" w:usb1="288F0000" w:usb2="00000016" w:usb3="00000000" w:csb0="00040001" w:csb1="00000000"/>
  </w:font>
  <w:font w:name="Arial,Bold">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CIDFont+F2">
    <w:altName w:val="MS Mincho"/>
    <w:panose1 w:val="00000000000000000000"/>
    <w:charset w:val="80"/>
    <w:family w:val="auto"/>
    <w:notTrueType/>
    <w:pitch w:val="default"/>
    <w:sig w:usb0="00000001" w:usb1="08070000" w:usb2="00000010" w:usb3="00000000" w:csb0="00020000" w:csb1="00000000"/>
  </w:font>
  <w:font w:name="Source Sans Pro">
    <w:charset w:val="00"/>
    <w:family w:val="swiss"/>
    <w:pitch w:val="variable"/>
    <w:sig w:usb0="600002F7" w:usb1="02000001" w:usb2="00000000" w:usb3="00000000" w:csb0="0000019F" w:csb1="00000000"/>
  </w:font>
  <w:font w:name="T3Font_4">
    <w:altName w:val="Calibri"/>
    <w:panose1 w:val="00000000000000000000"/>
    <w:charset w:val="EE"/>
    <w:family w:val="swiss"/>
    <w:notTrueType/>
    <w:pitch w:val="default"/>
    <w:sig w:usb0="00000005" w:usb1="00000000" w:usb2="00000000" w:usb3="00000000" w:csb0="00000002" w:csb1="00000000"/>
  </w:font>
  <w:font w:name="Arial,BoldItalic">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591836"/>
      <w:docPartObj>
        <w:docPartGallery w:val="Page Numbers (Bottom of Page)"/>
        <w:docPartUnique/>
      </w:docPartObj>
    </w:sdtPr>
    <w:sdtContent>
      <w:p w14:paraId="13B61837" w14:textId="5C49B543" w:rsidR="00935424" w:rsidRDefault="00935424">
        <w:pPr>
          <w:pStyle w:val="Podnoje"/>
          <w:jc w:val="right"/>
        </w:pPr>
        <w:r>
          <w:fldChar w:fldCharType="begin"/>
        </w:r>
        <w:r>
          <w:instrText>PAGE   \* MERGEFORMAT</w:instrText>
        </w:r>
        <w:r>
          <w:fldChar w:fldCharType="separate"/>
        </w:r>
        <w:r>
          <w:rPr>
            <w:lang w:val="hr-HR"/>
          </w:rPr>
          <w:t>2</w:t>
        </w:r>
        <w:r>
          <w:fldChar w:fldCharType="end"/>
        </w:r>
      </w:p>
    </w:sdtContent>
  </w:sdt>
  <w:p w14:paraId="536B7976" w14:textId="77777777" w:rsidR="00935424" w:rsidRDefault="00935424">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F378" w14:textId="77777777" w:rsidR="009C7037" w:rsidRDefault="009C7037">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103193"/>
      <w:docPartObj>
        <w:docPartGallery w:val="Page Numbers (Bottom of Page)"/>
        <w:docPartUnique/>
      </w:docPartObj>
    </w:sdtPr>
    <w:sdtContent>
      <w:p w14:paraId="3296A53A" w14:textId="77777777" w:rsidR="009C7037" w:rsidRDefault="009C7037">
        <w:pPr>
          <w:pStyle w:val="Podnoje"/>
          <w:jc w:val="right"/>
        </w:pPr>
        <w:r>
          <w:fldChar w:fldCharType="begin"/>
        </w:r>
        <w:r>
          <w:instrText>PAGE   \* MERGEFORMAT</w:instrText>
        </w:r>
        <w:r>
          <w:fldChar w:fldCharType="separate"/>
        </w:r>
        <w:r w:rsidRPr="008879AF">
          <w:rPr>
            <w:noProof/>
            <w:lang w:val="hr-HR"/>
          </w:rPr>
          <w:t>286</w:t>
        </w:r>
        <w:r>
          <w:rPr>
            <w:noProof/>
            <w:lang w:val="hr-HR"/>
          </w:rPr>
          <w:fldChar w:fldCharType="end"/>
        </w:r>
      </w:p>
    </w:sdtContent>
  </w:sdt>
  <w:p w14:paraId="584D7264" w14:textId="77777777" w:rsidR="009C7037" w:rsidRDefault="009C7037">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2917416"/>
      <w:docPartObj>
        <w:docPartGallery w:val="Page Numbers (Bottom of Page)"/>
        <w:docPartUnique/>
      </w:docPartObj>
    </w:sdtPr>
    <w:sdtContent>
      <w:p w14:paraId="2A0E53B4" w14:textId="1BF5C5A3" w:rsidR="009C7037" w:rsidRDefault="0047518F">
        <w:pPr>
          <w:pStyle w:val="Podnoje"/>
        </w:pPr>
        <w:r>
          <w:rPr>
            <w:noProof/>
          </w:rPr>
          <mc:AlternateContent>
            <mc:Choice Requires="wps">
              <w:drawing>
                <wp:anchor distT="0" distB="0" distL="114300" distR="114300" simplePos="0" relativeHeight="251659264" behindDoc="0" locked="0" layoutInCell="1" allowOverlap="1" wp14:anchorId="0B9B328A" wp14:editId="445214D3">
                  <wp:simplePos x="0" y="0"/>
                  <wp:positionH relativeFrom="rightMargin">
                    <wp:align>center</wp:align>
                  </wp:positionH>
                  <wp:positionV relativeFrom="bottomMargin">
                    <wp:align>center</wp:align>
                  </wp:positionV>
                  <wp:extent cx="565785" cy="191770"/>
                  <wp:effectExtent l="0" t="0" r="0" b="0"/>
                  <wp:wrapNone/>
                  <wp:docPr id="1779677055"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wps:spPr>
                        <wps:txbx>
                          <w:txbxContent>
                            <w:p w14:paraId="4B0631A5" w14:textId="77777777" w:rsidR="009C7037" w:rsidRPr="002A38DD" w:rsidRDefault="009C7037">
                              <w:pPr>
                                <w:pBdr>
                                  <w:top w:val="single" w:sz="4" w:space="1" w:color="7F7F7F" w:themeColor="background1" w:themeShade="7F"/>
                                </w:pBdr>
                                <w:jc w:val="center"/>
                              </w:pPr>
                              <w:r>
                                <w:fldChar w:fldCharType="begin"/>
                              </w:r>
                              <w:r>
                                <w:instrText>PAGE   \* MERGEFORMAT</w:instrText>
                              </w:r>
                              <w:r>
                                <w:fldChar w:fldCharType="separate"/>
                              </w:r>
                              <w:r>
                                <w:rPr>
                                  <w:noProof/>
                                </w:rPr>
                                <w:t>381</w:t>
                              </w:r>
                              <w:r>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B9B328A" id="Pravokutni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" filled="f" stroked="f">
                  <v:textbox inset=",0,,0">
                    <w:txbxContent>
                      <w:p w14:paraId="4B0631A5" w14:textId="77777777" w:rsidR="009C7037" w:rsidRPr="002A38DD" w:rsidRDefault="009C7037">
                        <w:pPr>
                          <w:pBdr>
                            <w:top w:val="single" w:sz="4" w:space="1" w:color="7F7F7F" w:themeColor="background1" w:themeShade="7F"/>
                          </w:pBdr>
                          <w:jc w:val="center"/>
                        </w:pPr>
                        <w:r>
                          <w:fldChar w:fldCharType="begin"/>
                        </w:r>
                        <w:r>
                          <w:instrText>PAGE   \* MERGEFORMAT</w:instrText>
                        </w:r>
                        <w:r>
                          <w:fldChar w:fldCharType="separate"/>
                        </w:r>
                        <w:r>
                          <w:rPr>
                            <w:noProof/>
                          </w:rPr>
                          <w:t>381</w:t>
                        </w:r>
                        <w:r>
                          <w:rPr>
                            <w:noProof/>
                          </w:rPr>
                          <w:fldChar w:fldCharType="end"/>
                        </w:r>
                      </w:p>
                    </w:txbxContent>
                  </v:textbox>
                  <w10:wrap anchorx="margin" anchory="margin"/>
                </v:rect>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65F0E" w14:textId="77777777" w:rsidR="009C7037" w:rsidRDefault="009C7037" w:rsidP="000B3DD3">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424DE" w14:textId="77777777" w:rsidR="00A91EBA" w:rsidRDefault="00A91EBA" w:rsidP="00891119">
      <w:pPr>
        <w:spacing w:after="0" w:line="240" w:lineRule="auto"/>
      </w:pPr>
      <w:r>
        <w:separator/>
      </w:r>
    </w:p>
  </w:footnote>
  <w:footnote w:type="continuationSeparator" w:id="0">
    <w:p w14:paraId="73026C4E" w14:textId="77777777" w:rsidR="00A91EBA" w:rsidRDefault="00A91EBA" w:rsidP="00891119">
      <w:pPr>
        <w:spacing w:after="0" w:line="240" w:lineRule="auto"/>
      </w:pPr>
      <w:r>
        <w:continuationSeparator/>
      </w:r>
    </w:p>
  </w:footnote>
  <w:footnote w:id="1">
    <w:p w14:paraId="09095536" w14:textId="77777777" w:rsidR="009C7037" w:rsidRDefault="009C7037" w:rsidP="00891119">
      <w:pPr>
        <w:pStyle w:val="Tekstfusnote"/>
      </w:pPr>
      <w:r w:rsidRPr="00E26DE9">
        <w:rPr>
          <w:rStyle w:val="Referencafusnote"/>
          <w:u w:val="single"/>
        </w:rPr>
        <w:footnoteRef/>
      </w:r>
      <w:r w:rsidRPr="00E26DE9">
        <w:rPr>
          <w:u w:val="single"/>
        </w:rPr>
        <w:t xml:space="preserve"> </w:t>
      </w:r>
      <w:r w:rsidRPr="00E26DE9">
        <w:rPr>
          <w:b/>
          <w:i/>
          <w:u w:val="single"/>
        </w:rPr>
        <w:t>Napomena:</w:t>
      </w:r>
      <w:r>
        <w:t xml:space="preserve"> </w:t>
      </w:r>
    </w:p>
    <w:p w14:paraId="4616B71B" w14:textId="77777777" w:rsidR="009C7037" w:rsidRDefault="009C7037" w:rsidP="00891119">
      <w:pPr>
        <w:pStyle w:val="Tekstfusnote"/>
      </w:pPr>
      <w:r>
        <w:t xml:space="preserve">   Dalje u tekstu kratica </w:t>
      </w:r>
      <w:r w:rsidRPr="00E26DE9">
        <w:rPr>
          <w:b/>
        </w:rPr>
        <w:t>PK</w:t>
      </w:r>
      <w:r>
        <w:t xml:space="preserve"> predstavlja skraćeni naziv za </w:t>
      </w:r>
      <w:r w:rsidRPr="00E26DE9">
        <w:rPr>
          <w:i/>
        </w:rPr>
        <w:t>proračunski korisnik</w:t>
      </w:r>
      <w:r>
        <w:rPr>
          <w:i/>
        </w:rPr>
        <w:t xml:space="preserve"> </w:t>
      </w:r>
      <w:r>
        <w:t xml:space="preserve">Općine Konavle. </w:t>
      </w:r>
    </w:p>
  </w:footnote>
  <w:footnote w:id="2">
    <w:p w14:paraId="22848257" w14:textId="52AA5E5A" w:rsidR="00A61327" w:rsidRDefault="00A61327">
      <w:pPr>
        <w:pStyle w:val="Tekstfusnote"/>
      </w:pPr>
      <w:r>
        <w:rPr>
          <w:rStyle w:val="Referencafusnote"/>
        </w:rPr>
        <w:footnoteRef/>
      </w:r>
      <w:r>
        <w:t xml:space="preserve"> </w:t>
      </w:r>
      <w:r w:rsidRPr="00F715E2">
        <w:rPr>
          <w:b/>
          <w:bCs/>
          <w:color w:val="1F497D" w:themeColor="text2"/>
        </w:rPr>
        <w:t>Razina 22</w:t>
      </w:r>
      <w:r w:rsidRPr="00F715E2">
        <w:rPr>
          <w:color w:val="1F497D" w:themeColor="text2"/>
        </w:rPr>
        <w:t xml:space="preserve"> </w:t>
      </w:r>
      <w:r>
        <w:t xml:space="preserve">–  </w:t>
      </w:r>
      <w:r w:rsidR="00A60260">
        <w:t xml:space="preserve">oznaka za financijske izvještaje </w:t>
      </w:r>
      <w:r>
        <w:t>Općine Konavle</w:t>
      </w:r>
    </w:p>
  </w:footnote>
  <w:footnote w:id="3">
    <w:p w14:paraId="64D20917" w14:textId="77777777" w:rsidR="00A60260" w:rsidRDefault="00A60260">
      <w:pPr>
        <w:pStyle w:val="Tekstfusnote"/>
      </w:pPr>
      <w:r>
        <w:rPr>
          <w:rStyle w:val="Referencafusnote"/>
        </w:rPr>
        <w:footnoteRef/>
      </w:r>
      <w:r>
        <w:t xml:space="preserve"> </w:t>
      </w:r>
      <w:r w:rsidRPr="00F715E2">
        <w:rPr>
          <w:b/>
          <w:bCs/>
          <w:color w:val="7030A0"/>
        </w:rPr>
        <w:t>Razina 23</w:t>
      </w:r>
      <w:r w:rsidRPr="00F715E2">
        <w:rPr>
          <w:color w:val="7030A0"/>
        </w:rPr>
        <w:t xml:space="preserve"> </w:t>
      </w:r>
      <w:r>
        <w:t xml:space="preserve">– oznaka za konsolidirani financijski izvještaj, dakle izvještaje Općine i izvještaje svih njenih proračunskih korisnika. </w:t>
      </w:r>
    </w:p>
    <w:p w14:paraId="2F8BEF54" w14:textId="7E5913A9" w:rsidR="00A60260" w:rsidRDefault="00A60260">
      <w:pPr>
        <w:pStyle w:val="Tekstfusnote"/>
      </w:pPr>
      <w:r>
        <w:t xml:space="preserve">                       </w:t>
      </w:r>
      <w:r w:rsidRPr="00425F00">
        <w:rPr>
          <w:b/>
          <w:bCs/>
        </w:rPr>
        <w:t>Proračun</w:t>
      </w:r>
      <w:r>
        <w:t xml:space="preserve"> kao i </w:t>
      </w:r>
      <w:r w:rsidRPr="00425F00">
        <w:rPr>
          <w:b/>
          <w:bCs/>
        </w:rPr>
        <w:t>Izvještaj o izvršenju proračuna</w:t>
      </w:r>
      <w:r>
        <w:t xml:space="preserve"> </w:t>
      </w:r>
      <w:r w:rsidR="00425F00">
        <w:t>prikazuju se (</w:t>
      </w:r>
      <w:r>
        <w:t>planiraju</w:t>
      </w:r>
      <w:r w:rsidR="00425F00">
        <w:t xml:space="preserve"> i </w:t>
      </w:r>
      <w:r>
        <w:t>izvršavaju</w:t>
      </w:r>
      <w:r w:rsidR="00425F00">
        <w:t>) kao zbroj svih prihoda i rashoda Općine i njenih proračunskih korisnika.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0E9C2" w14:textId="4430FDD6" w:rsidR="00935424" w:rsidRDefault="00935424">
    <w:pPr>
      <w:pStyle w:val="Zaglavlje"/>
      <w:jc w:val="right"/>
    </w:pPr>
  </w:p>
  <w:p w14:paraId="3C3CA74F" w14:textId="77777777" w:rsidR="00935424" w:rsidRDefault="00935424">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visibility:visible;mso-wrap-style:square" o:bullet="t">
        <v:imagedata r:id="rId1" o:title=""/>
      </v:shape>
    </w:pict>
  </w:numPicBullet>
  <w:abstractNum w:abstractNumId="0" w15:restartNumberingAfterBreak="0">
    <w:nsid w:val="02080A20"/>
    <w:multiLevelType w:val="multilevel"/>
    <w:tmpl w:val="CA92FF4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03741B6B"/>
    <w:multiLevelType w:val="hybridMultilevel"/>
    <w:tmpl w:val="7154250A"/>
    <w:lvl w:ilvl="0" w:tplc="041A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64576B"/>
    <w:multiLevelType w:val="hybridMultilevel"/>
    <w:tmpl w:val="1400AB04"/>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09AE0E47"/>
    <w:multiLevelType w:val="multilevel"/>
    <w:tmpl w:val="FA16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33307"/>
    <w:multiLevelType w:val="hybridMultilevel"/>
    <w:tmpl w:val="2E721796"/>
    <w:lvl w:ilvl="0" w:tplc="5F56C932">
      <w:start w:val="3"/>
      <w:numFmt w:val="bullet"/>
      <w:lvlText w:val="-"/>
      <w:lvlJc w:val="left"/>
      <w:pPr>
        <w:ind w:left="1494" w:hanging="360"/>
      </w:pPr>
      <w:rPr>
        <w:rFonts w:ascii="Arial Narrow" w:eastAsia="Times New Roman" w:hAnsi="Arial Narrow" w:cs="Times New Roman"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5" w15:restartNumberingAfterBreak="0">
    <w:nsid w:val="0E726CC2"/>
    <w:multiLevelType w:val="hybridMultilevel"/>
    <w:tmpl w:val="349CA4FC"/>
    <w:lvl w:ilvl="0" w:tplc="041A0009">
      <w:start w:val="1"/>
      <w:numFmt w:val="bullet"/>
      <w:lvlText w:val=""/>
      <w:lvlJc w:val="left"/>
      <w:pPr>
        <w:ind w:left="4689" w:hanging="360"/>
      </w:pPr>
      <w:rPr>
        <w:rFonts w:ascii="Wingdings" w:hAnsi="Wingdings" w:hint="default"/>
      </w:rPr>
    </w:lvl>
    <w:lvl w:ilvl="1" w:tplc="041A0003" w:tentative="1">
      <w:start w:val="1"/>
      <w:numFmt w:val="bullet"/>
      <w:lvlText w:val="o"/>
      <w:lvlJc w:val="left"/>
      <w:pPr>
        <w:ind w:left="5409" w:hanging="360"/>
      </w:pPr>
      <w:rPr>
        <w:rFonts w:ascii="Courier New" w:hAnsi="Courier New" w:cs="Courier New" w:hint="default"/>
      </w:rPr>
    </w:lvl>
    <w:lvl w:ilvl="2" w:tplc="041A0005" w:tentative="1">
      <w:start w:val="1"/>
      <w:numFmt w:val="bullet"/>
      <w:lvlText w:val=""/>
      <w:lvlJc w:val="left"/>
      <w:pPr>
        <w:ind w:left="6129" w:hanging="360"/>
      </w:pPr>
      <w:rPr>
        <w:rFonts w:ascii="Wingdings" w:hAnsi="Wingdings" w:hint="default"/>
      </w:rPr>
    </w:lvl>
    <w:lvl w:ilvl="3" w:tplc="041A0001" w:tentative="1">
      <w:start w:val="1"/>
      <w:numFmt w:val="bullet"/>
      <w:lvlText w:val=""/>
      <w:lvlJc w:val="left"/>
      <w:pPr>
        <w:ind w:left="6849" w:hanging="360"/>
      </w:pPr>
      <w:rPr>
        <w:rFonts w:ascii="Symbol" w:hAnsi="Symbol" w:hint="default"/>
      </w:rPr>
    </w:lvl>
    <w:lvl w:ilvl="4" w:tplc="041A0003" w:tentative="1">
      <w:start w:val="1"/>
      <w:numFmt w:val="bullet"/>
      <w:lvlText w:val="o"/>
      <w:lvlJc w:val="left"/>
      <w:pPr>
        <w:ind w:left="7569" w:hanging="360"/>
      </w:pPr>
      <w:rPr>
        <w:rFonts w:ascii="Courier New" w:hAnsi="Courier New" w:cs="Courier New" w:hint="default"/>
      </w:rPr>
    </w:lvl>
    <w:lvl w:ilvl="5" w:tplc="041A0005" w:tentative="1">
      <w:start w:val="1"/>
      <w:numFmt w:val="bullet"/>
      <w:lvlText w:val=""/>
      <w:lvlJc w:val="left"/>
      <w:pPr>
        <w:ind w:left="8289" w:hanging="360"/>
      </w:pPr>
      <w:rPr>
        <w:rFonts w:ascii="Wingdings" w:hAnsi="Wingdings" w:hint="default"/>
      </w:rPr>
    </w:lvl>
    <w:lvl w:ilvl="6" w:tplc="041A0001" w:tentative="1">
      <w:start w:val="1"/>
      <w:numFmt w:val="bullet"/>
      <w:lvlText w:val=""/>
      <w:lvlJc w:val="left"/>
      <w:pPr>
        <w:ind w:left="9009" w:hanging="360"/>
      </w:pPr>
      <w:rPr>
        <w:rFonts w:ascii="Symbol" w:hAnsi="Symbol" w:hint="default"/>
      </w:rPr>
    </w:lvl>
    <w:lvl w:ilvl="7" w:tplc="041A0003" w:tentative="1">
      <w:start w:val="1"/>
      <w:numFmt w:val="bullet"/>
      <w:lvlText w:val="o"/>
      <w:lvlJc w:val="left"/>
      <w:pPr>
        <w:ind w:left="9729" w:hanging="360"/>
      </w:pPr>
      <w:rPr>
        <w:rFonts w:ascii="Courier New" w:hAnsi="Courier New" w:cs="Courier New" w:hint="default"/>
      </w:rPr>
    </w:lvl>
    <w:lvl w:ilvl="8" w:tplc="041A0005" w:tentative="1">
      <w:start w:val="1"/>
      <w:numFmt w:val="bullet"/>
      <w:lvlText w:val=""/>
      <w:lvlJc w:val="left"/>
      <w:pPr>
        <w:ind w:left="10449" w:hanging="360"/>
      </w:pPr>
      <w:rPr>
        <w:rFonts w:ascii="Wingdings" w:hAnsi="Wingdings" w:hint="default"/>
      </w:rPr>
    </w:lvl>
  </w:abstractNum>
  <w:abstractNum w:abstractNumId="6" w15:restartNumberingAfterBreak="0">
    <w:nsid w:val="0EAC19B6"/>
    <w:multiLevelType w:val="hybridMultilevel"/>
    <w:tmpl w:val="453A1044"/>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7" w15:restartNumberingAfterBreak="0">
    <w:nsid w:val="103203B9"/>
    <w:multiLevelType w:val="hybridMultilevel"/>
    <w:tmpl w:val="09EC0D70"/>
    <w:lvl w:ilvl="0" w:tplc="CDA27E06">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8204CF"/>
    <w:multiLevelType w:val="hybridMultilevel"/>
    <w:tmpl w:val="6BE0F89C"/>
    <w:lvl w:ilvl="0" w:tplc="9CD08082">
      <w:start w:val="1"/>
      <w:numFmt w:val="decimal"/>
      <w:lvlText w:val="%1."/>
      <w:lvlJc w:val="left"/>
      <w:pPr>
        <w:ind w:left="720" w:hanging="360"/>
      </w:pPr>
      <w:rPr>
        <w:rFonts w:ascii="Arial" w:eastAsia="Calibri"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17B6218"/>
    <w:multiLevelType w:val="hybridMultilevel"/>
    <w:tmpl w:val="14820990"/>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2446D25"/>
    <w:multiLevelType w:val="hybridMultilevel"/>
    <w:tmpl w:val="1F78BE04"/>
    <w:lvl w:ilvl="0" w:tplc="AE463EFE">
      <w:numFmt w:val="bullet"/>
      <w:lvlText w:val="-"/>
      <w:lvlJc w:val="left"/>
      <w:pPr>
        <w:ind w:left="1004" w:hanging="360"/>
      </w:pPr>
      <w:rPr>
        <w:rFonts w:ascii="Times New Roman" w:eastAsiaTheme="minorHAnsi" w:hAnsi="Times New Roman" w:cs="Times New Roman" w:hint="default"/>
      </w:rPr>
    </w:lvl>
    <w:lvl w:ilvl="1" w:tplc="041A0003">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1" w15:restartNumberingAfterBreak="0">
    <w:nsid w:val="124A43AD"/>
    <w:multiLevelType w:val="hybridMultilevel"/>
    <w:tmpl w:val="089ED59E"/>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25D3EFC"/>
    <w:multiLevelType w:val="multilevel"/>
    <w:tmpl w:val="107E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9E5614"/>
    <w:multiLevelType w:val="hybridMultilevel"/>
    <w:tmpl w:val="EEF27CEE"/>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48D0EE7"/>
    <w:multiLevelType w:val="multilevel"/>
    <w:tmpl w:val="C9FC7266"/>
    <w:styleLink w:val="Stil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597080B"/>
    <w:multiLevelType w:val="hybridMultilevel"/>
    <w:tmpl w:val="6BE48598"/>
    <w:lvl w:ilvl="0" w:tplc="080ABB78">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A1F4E9A"/>
    <w:multiLevelType w:val="hybridMultilevel"/>
    <w:tmpl w:val="2CA07D2E"/>
    <w:lvl w:ilvl="0" w:tplc="C7046466">
      <w:start w:val="1"/>
      <w:numFmt w:val="decimal"/>
      <w:lvlText w:val="%1."/>
      <w:lvlJc w:val="left"/>
      <w:pPr>
        <w:ind w:left="72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B7F1E22"/>
    <w:multiLevelType w:val="hybridMultilevel"/>
    <w:tmpl w:val="5C7EE20E"/>
    <w:lvl w:ilvl="0" w:tplc="041A0007">
      <w:start w:val="1"/>
      <w:numFmt w:val="bullet"/>
      <w:lvlText w:val=""/>
      <w:lvlPicBulletId w:val="0"/>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8" w15:restartNumberingAfterBreak="0">
    <w:nsid w:val="1CCC6F42"/>
    <w:multiLevelType w:val="hybridMultilevel"/>
    <w:tmpl w:val="E7E61F04"/>
    <w:lvl w:ilvl="0" w:tplc="DD3A957A">
      <w:start w:val="3"/>
      <w:numFmt w:val="bullet"/>
      <w:lvlText w:val="-"/>
      <w:lvlJc w:val="left"/>
      <w:pPr>
        <w:ind w:left="1080" w:hanging="360"/>
      </w:pPr>
      <w:rPr>
        <w:rFonts w:ascii="Calibri" w:eastAsiaTheme="minorHAnsi" w:hAnsi="Calibri" w:cstheme="minorBid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1E874884"/>
    <w:multiLevelType w:val="hybridMultilevel"/>
    <w:tmpl w:val="675CB406"/>
    <w:lvl w:ilvl="0" w:tplc="5312726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1EC82840"/>
    <w:multiLevelType w:val="hybridMultilevel"/>
    <w:tmpl w:val="C8AE7070"/>
    <w:lvl w:ilvl="0" w:tplc="39142B8E">
      <w:start w:val="1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0761542"/>
    <w:multiLevelType w:val="hybridMultilevel"/>
    <w:tmpl w:val="69CE5EF2"/>
    <w:lvl w:ilvl="0" w:tplc="041A0007">
      <w:start w:val="1"/>
      <w:numFmt w:val="bullet"/>
      <w:lvlText w:val=""/>
      <w:lvlPicBulletId w:val="0"/>
      <w:lvlJc w:val="left"/>
      <w:pPr>
        <w:ind w:left="780" w:hanging="360"/>
      </w:pPr>
      <w:rPr>
        <w:rFonts w:ascii="Symbol" w:hAnsi="Symbol" w:hint="default"/>
      </w:rPr>
    </w:lvl>
    <w:lvl w:ilvl="1" w:tplc="041A0003">
      <w:start w:val="1"/>
      <w:numFmt w:val="bullet"/>
      <w:lvlText w:val="o"/>
      <w:lvlJc w:val="left"/>
      <w:pPr>
        <w:ind w:left="1500" w:hanging="360"/>
      </w:pPr>
      <w:rPr>
        <w:rFonts w:ascii="Courier New" w:hAnsi="Courier New" w:cs="Courier New" w:hint="default"/>
      </w:rPr>
    </w:lvl>
    <w:lvl w:ilvl="2" w:tplc="041A0005">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2" w15:restartNumberingAfterBreak="0">
    <w:nsid w:val="20837CF4"/>
    <w:multiLevelType w:val="multilevel"/>
    <w:tmpl w:val="B3B6C0F0"/>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987352"/>
    <w:multiLevelType w:val="hybridMultilevel"/>
    <w:tmpl w:val="B1D2362C"/>
    <w:lvl w:ilvl="0" w:tplc="7ADCC7A8">
      <w:start w:val="1"/>
      <w:numFmt w:val="decimal"/>
      <w:lvlText w:val="%1."/>
      <w:lvlJc w:val="left"/>
      <w:pPr>
        <w:ind w:left="644"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280B5A18"/>
    <w:multiLevelType w:val="hybridMultilevel"/>
    <w:tmpl w:val="A3465C22"/>
    <w:lvl w:ilvl="0" w:tplc="20F22BFE">
      <w:start w:val="1"/>
      <w:numFmt w:val="lowerLetter"/>
      <w:lvlText w:val="%1)"/>
      <w:lvlJc w:val="left"/>
      <w:pPr>
        <w:ind w:left="1068" w:hanging="360"/>
      </w:pPr>
      <w:rPr>
        <w:rFonts w:hint="default"/>
        <w:color w:val="auto"/>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5" w15:restartNumberingAfterBreak="0">
    <w:nsid w:val="28575236"/>
    <w:multiLevelType w:val="hybridMultilevel"/>
    <w:tmpl w:val="B69E82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2A2169D5"/>
    <w:multiLevelType w:val="hybridMultilevel"/>
    <w:tmpl w:val="ED6E1B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861749"/>
    <w:multiLevelType w:val="hybridMultilevel"/>
    <w:tmpl w:val="FFFFFFFF"/>
    <w:lvl w:ilvl="0" w:tplc="5F689646">
      <w:start w:val="1"/>
      <w:numFmt w:val="bullet"/>
      <w:lvlText w:val="-"/>
      <w:lvlJc w:val="left"/>
      <w:pPr>
        <w:ind w:left="927" w:hanging="360"/>
      </w:pPr>
      <w:rPr>
        <w:rFonts w:ascii="Arial" w:eastAsia="Times New Roman" w:hAnsi="Arial" w:hint="default"/>
      </w:rPr>
    </w:lvl>
    <w:lvl w:ilvl="1" w:tplc="041A0003" w:tentative="1">
      <w:start w:val="1"/>
      <w:numFmt w:val="bullet"/>
      <w:lvlText w:val="o"/>
      <w:lvlJc w:val="left"/>
      <w:pPr>
        <w:ind w:left="1647" w:hanging="360"/>
      </w:pPr>
      <w:rPr>
        <w:rFonts w:ascii="Courier New" w:hAnsi="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28" w15:restartNumberingAfterBreak="0">
    <w:nsid w:val="2C4B6AF3"/>
    <w:multiLevelType w:val="hybridMultilevel"/>
    <w:tmpl w:val="5E32329E"/>
    <w:lvl w:ilvl="0" w:tplc="041A0007">
      <w:start w:val="1"/>
      <w:numFmt w:val="bullet"/>
      <w:lvlText w:val=""/>
      <w:lvlPicBulletId w:val="0"/>
      <w:lvlJc w:val="left"/>
      <w:pPr>
        <w:ind w:left="1434"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29" w15:restartNumberingAfterBreak="0">
    <w:nsid w:val="30014533"/>
    <w:multiLevelType w:val="hybridMultilevel"/>
    <w:tmpl w:val="7C38E81C"/>
    <w:lvl w:ilvl="0" w:tplc="9E86074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2744FA0"/>
    <w:multiLevelType w:val="hybridMultilevel"/>
    <w:tmpl w:val="8D022AD4"/>
    <w:lvl w:ilvl="0" w:tplc="66ECF6AC">
      <w:start w:val="19"/>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27F6A22"/>
    <w:multiLevelType w:val="hybridMultilevel"/>
    <w:tmpl w:val="7242D8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33A91366"/>
    <w:multiLevelType w:val="hybridMultilevel"/>
    <w:tmpl w:val="05747536"/>
    <w:lvl w:ilvl="0" w:tplc="9BEA0B2C">
      <w:start w:val="2"/>
      <w:numFmt w:val="bullet"/>
      <w:lvlText w:val="-"/>
      <w:lvlJc w:val="left"/>
      <w:pPr>
        <w:ind w:left="720" w:hanging="360"/>
      </w:pPr>
      <w:rPr>
        <w:rFonts w:ascii="Arial" w:eastAsia="Times New Roman" w:hAnsi="Arial" w:cs="Arial"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35623264"/>
    <w:multiLevelType w:val="hybridMultilevel"/>
    <w:tmpl w:val="EDC8AB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357751CA"/>
    <w:multiLevelType w:val="hybridMultilevel"/>
    <w:tmpl w:val="373E920E"/>
    <w:lvl w:ilvl="0" w:tplc="B952177C">
      <w:start w:val="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3D6C1CBB"/>
    <w:multiLevelType w:val="hybridMultilevel"/>
    <w:tmpl w:val="DDC8BCF4"/>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F474E39"/>
    <w:multiLevelType w:val="hybridMultilevel"/>
    <w:tmpl w:val="FCDC360E"/>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3FFC6027"/>
    <w:multiLevelType w:val="hybridMultilevel"/>
    <w:tmpl w:val="8826935E"/>
    <w:lvl w:ilvl="0" w:tplc="0E309250">
      <w:start w:val="600"/>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417F6BE7"/>
    <w:multiLevelType w:val="hybridMultilevel"/>
    <w:tmpl w:val="92D2F48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450E7CC4"/>
    <w:multiLevelType w:val="hybridMultilevel"/>
    <w:tmpl w:val="B5620F36"/>
    <w:lvl w:ilvl="0" w:tplc="5802B894">
      <w:start w:val="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465F6EE8"/>
    <w:multiLevelType w:val="hybridMultilevel"/>
    <w:tmpl w:val="25E4210C"/>
    <w:lvl w:ilvl="0" w:tplc="AE463EFE">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4F55235C"/>
    <w:multiLevelType w:val="multilevel"/>
    <w:tmpl w:val="5C384B7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2" w15:restartNumberingAfterBreak="0">
    <w:nsid w:val="528A4684"/>
    <w:multiLevelType w:val="hybridMultilevel"/>
    <w:tmpl w:val="C14AE0CE"/>
    <w:lvl w:ilvl="0" w:tplc="E40066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6E618D"/>
    <w:multiLevelType w:val="hybridMultilevel"/>
    <w:tmpl w:val="4B3EDD5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53E12F55"/>
    <w:multiLevelType w:val="hybridMultilevel"/>
    <w:tmpl w:val="8AAA291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54A92E2C"/>
    <w:multiLevelType w:val="hybridMultilevel"/>
    <w:tmpl w:val="3E0A9782"/>
    <w:lvl w:ilvl="0" w:tplc="DDE8BCA2">
      <w:start w:val="1"/>
      <w:numFmt w:val="decimal"/>
      <w:lvlText w:val="%1)"/>
      <w:lvlJc w:val="left"/>
      <w:pPr>
        <w:ind w:left="1131" w:hanging="564"/>
      </w:pPr>
      <w:rPr>
        <w:rFonts w:hint="default"/>
      </w:rPr>
    </w:lvl>
    <w:lvl w:ilvl="1" w:tplc="041A0019" w:tentative="1">
      <w:start w:val="1"/>
      <w:numFmt w:val="lowerLetter"/>
      <w:lvlText w:val="%2."/>
      <w:lvlJc w:val="left"/>
      <w:pPr>
        <w:ind w:left="1647" w:hanging="360"/>
      </w:pPr>
    </w:lvl>
    <w:lvl w:ilvl="2" w:tplc="9BEA0B2C">
      <w:start w:val="2"/>
      <w:numFmt w:val="bullet"/>
      <w:lvlText w:val="-"/>
      <w:lvlJc w:val="left"/>
      <w:pPr>
        <w:ind w:left="2547" w:hanging="360"/>
      </w:pPr>
      <w:rPr>
        <w:rFonts w:ascii="Arial" w:eastAsia="Times New Roman" w:hAnsi="Arial" w:cs="Arial" w:hint="default"/>
        <w:color w:val="auto"/>
      </w:r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46" w15:restartNumberingAfterBreak="0">
    <w:nsid w:val="5A523408"/>
    <w:multiLevelType w:val="hybridMultilevel"/>
    <w:tmpl w:val="ABE2A6B8"/>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47" w15:restartNumberingAfterBreak="0">
    <w:nsid w:val="5D2802BF"/>
    <w:multiLevelType w:val="hybridMultilevel"/>
    <w:tmpl w:val="6B4C9E52"/>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5D4B5DD0"/>
    <w:multiLevelType w:val="hybridMultilevel"/>
    <w:tmpl w:val="6090DBE2"/>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5DE73DC9"/>
    <w:multiLevelType w:val="multilevel"/>
    <w:tmpl w:val="09045A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5E053657"/>
    <w:multiLevelType w:val="hybridMultilevel"/>
    <w:tmpl w:val="745C68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615F394B"/>
    <w:multiLevelType w:val="hybridMultilevel"/>
    <w:tmpl w:val="444EF4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8F491E"/>
    <w:multiLevelType w:val="hybridMultilevel"/>
    <w:tmpl w:val="E348FDBC"/>
    <w:lvl w:ilvl="0" w:tplc="0DC46292">
      <w:start w:val="45"/>
      <w:numFmt w:val="bullet"/>
      <w:lvlText w:val=""/>
      <w:lvlJc w:val="left"/>
      <w:pPr>
        <w:ind w:left="720" w:hanging="360"/>
      </w:pPr>
      <w:rPr>
        <w:rFonts w:ascii="Symbol" w:eastAsia="Calibri" w:hAnsi="Symbol" w:cstheme="minorHAnsi" w:hint="default"/>
        <w:b/>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65F1228A"/>
    <w:multiLevelType w:val="hybridMultilevel"/>
    <w:tmpl w:val="54968B2E"/>
    <w:lvl w:ilvl="0" w:tplc="00DC5E4C">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4" w15:restartNumberingAfterBreak="0">
    <w:nsid w:val="69F06E1B"/>
    <w:multiLevelType w:val="multilevel"/>
    <w:tmpl w:val="C9FC7266"/>
    <w:numStyleLink w:val="Stil1"/>
  </w:abstractNum>
  <w:abstractNum w:abstractNumId="55" w15:restartNumberingAfterBreak="0">
    <w:nsid w:val="6A0D503A"/>
    <w:multiLevelType w:val="multilevel"/>
    <w:tmpl w:val="28F80912"/>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7659012D"/>
    <w:multiLevelType w:val="hybridMultilevel"/>
    <w:tmpl w:val="402657B0"/>
    <w:lvl w:ilvl="0" w:tplc="672A55FC">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7824619B"/>
    <w:multiLevelType w:val="hybridMultilevel"/>
    <w:tmpl w:val="475E52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78F04EE0"/>
    <w:multiLevelType w:val="hybridMultilevel"/>
    <w:tmpl w:val="E1F2998A"/>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9" w15:restartNumberingAfterBreak="0">
    <w:nsid w:val="7EFE305A"/>
    <w:multiLevelType w:val="hybridMultilevel"/>
    <w:tmpl w:val="447EF22A"/>
    <w:lvl w:ilvl="0" w:tplc="041A0009">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470054652">
    <w:abstractNumId w:val="49"/>
  </w:num>
  <w:num w:numId="2" w16cid:durableId="119225546">
    <w:abstractNumId w:val="55"/>
  </w:num>
  <w:num w:numId="3" w16cid:durableId="1314480497">
    <w:abstractNumId w:val="10"/>
  </w:num>
  <w:num w:numId="4" w16cid:durableId="1133173">
    <w:abstractNumId w:val="38"/>
  </w:num>
  <w:num w:numId="5" w16cid:durableId="1969126303">
    <w:abstractNumId w:val="18"/>
  </w:num>
  <w:num w:numId="6" w16cid:durableId="1651903409">
    <w:abstractNumId w:val="21"/>
  </w:num>
  <w:num w:numId="7" w16cid:durableId="33120640">
    <w:abstractNumId w:val="25"/>
  </w:num>
  <w:num w:numId="8" w16cid:durableId="1802502148">
    <w:abstractNumId w:val="56"/>
  </w:num>
  <w:num w:numId="9" w16cid:durableId="1653673966">
    <w:abstractNumId w:val="35"/>
  </w:num>
  <w:num w:numId="10" w16cid:durableId="1496992525">
    <w:abstractNumId w:val="17"/>
  </w:num>
  <w:num w:numId="11" w16cid:durableId="672535511">
    <w:abstractNumId w:val="54"/>
    <w:lvlOverride w:ilvl="0">
      <w:lvl w:ilvl="0">
        <w:start w:val="1"/>
        <w:numFmt w:val="upperLetter"/>
        <w:lvlText w:val="%1)"/>
        <w:lvlJc w:val="left"/>
        <w:pPr>
          <w:ind w:left="720" w:hanging="360"/>
        </w:pPr>
        <w:rPr>
          <w:rFonts w:hint="default"/>
          <w:b/>
          <w:bCs/>
          <w:color w:val="auto"/>
        </w:rPr>
      </w:lvl>
    </w:lvlOverride>
  </w:num>
  <w:num w:numId="12" w16cid:durableId="1739284762">
    <w:abstractNumId w:val="23"/>
  </w:num>
  <w:num w:numId="13" w16cid:durableId="2070615556">
    <w:abstractNumId w:val="33"/>
  </w:num>
  <w:num w:numId="14" w16cid:durableId="851915816">
    <w:abstractNumId w:val="39"/>
  </w:num>
  <w:num w:numId="15" w16cid:durableId="1260068046">
    <w:abstractNumId w:val="30"/>
  </w:num>
  <w:num w:numId="16" w16cid:durableId="1258251137">
    <w:abstractNumId w:val="45"/>
  </w:num>
  <w:num w:numId="17" w16cid:durableId="921455703">
    <w:abstractNumId w:val="14"/>
  </w:num>
  <w:num w:numId="18" w16cid:durableId="170529016">
    <w:abstractNumId w:val="1"/>
  </w:num>
  <w:num w:numId="19" w16cid:durableId="1383485633">
    <w:abstractNumId w:val="36"/>
  </w:num>
  <w:num w:numId="20" w16cid:durableId="1250776427">
    <w:abstractNumId w:val="28"/>
  </w:num>
  <w:num w:numId="21" w16cid:durableId="861210764">
    <w:abstractNumId w:val="13"/>
  </w:num>
  <w:num w:numId="22" w16cid:durableId="341784816">
    <w:abstractNumId w:val="58"/>
  </w:num>
  <w:num w:numId="23" w16cid:durableId="592936476">
    <w:abstractNumId w:val="59"/>
  </w:num>
  <w:num w:numId="24" w16cid:durableId="569966959">
    <w:abstractNumId w:val="20"/>
  </w:num>
  <w:num w:numId="25" w16cid:durableId="1492140375">
    <w:abstractNumId w:val="43"/>
  </w:num>
  <w:num w:numId="26" w16cid:durableId="364209083">
    <w:abstractNumId w:val="44"/>
  </w:num>
  <w:num w:numId="27" w16cid:durableId="2022202271">
    <w:abstractNumId w:val="53"/>
  </w:num>
  <w:num w:numId="28" w16cid:durableId="132863641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6123673">
    <w:abstractNumId w:val="24"/>
  </w:num>
  <w:num w:numId="30" w16cid:durableId="540636033">
    <w:abstractNumId w:val="7"/>
  </w:num>
  <w:num w:numId="31" w16cid:durableId="1796095668">
    <w:abstractNumId w:val="48"/>
  </w:num>
  <w:num w:numId="32" w16cid:durableId="889460661">
    <w:abstractNumId w:val="8"/>
  </w:num>
  <w:num w:numId="33" w16cid:durableId="1532452059">
    <w:abstractNumId w:val="5"/>
  </w:num>
  <w:num w:numId="34" w16cid:durableId="2038775831">
    <w:abstractNumId w:val="51"/>
  </w:num>
  <w:num w:numId="35" w16cid:durableId="1694726852">
    <w:abstractNumId w:val="26"/>
  </w:num>
  <w:num w:numId="36" w16cid:durableId="1915505170">
    <w:abstractNumId w:val="29"/>
  </w:num>
  <w:num w:numId="37" w16cid:durableId="1476878144">
    <w:abstractNumId w:val="37"/>
  </w:num>
  <w:num w:numId="38" w16cid:durableId="916860866">
    <w:abstractNumId w:val="50"/>
  </w:num>
  <w:num w:numId="39" w16cid:durableId="1378703979">
    <w:abstractNumId w:val="15"/>
  </w:num>
  <w:num w:numId="40" w16cid:durableId="1606500879">
    <w:abstractNumId w:val="2"/>
  </w:num>
  <w:num w:numId="41" w16cid:durableId="1039278388">
    <w:abstractNumId w:val="11"/>
  </w:num>
  <w:num w:numId="42" w16cid:durableId="2036540047">
    <w:abstractNumId w:val="4"/>
  </w:num>
  <w:num w:numId="43" w16cid:durableId="210967446">
    <w:abstractNumId w:val="16"/>
  </w:num>
  <w:num w:numId="44" w16cid:durableId="279185144">
    <w:abstractNumId w:val="31"/>
  </w:num>
  <w:num w:numId="45" w16cid:durableId="1556043253">
    <w:abstractNumId w:val="42"/>
  </w:num>
  <w:num w:numId="46" w16cid:durableId="362094766">
    <w:abstractNumId w:val="47"/>
  </w:num>
  <w:num w:numId="47" w16cid:durableId="598831172">
    <w:abstractNumId w:val="41"/>
  </w:num>
  <w:num w:numId="48" w16cid:durableId="779181652">
    <w:abstractNumId w:val="9"/>
  </w:num>
  <w:num w:numId="49" w16cid:durableId="692656204">
    <w:abstractNumId w:val="46"/>
  </w:num>
  <w:num w:numId="50" w16cid:durableId="84308155">
    <w:abstractNumId w:val="6"/>
  </w:num>
  <w:num w:numId="51" w16cid:durableId="334698030">
    <w:abstractNumId w:val="27"/>
  </w:num>
  <w:num w:numId="52" w16cid:durableId="222564619">
    <w:abstractNumId w:val="52"/>
  </w:num>
  <w:num w:numId="53" w16cid:durableId="1425567459">
    <w:abstractNumId w:val="32"/>
  </w:num>
  <w:num w:numId="54" w16cid:durableId="657074717">
    <w:abstractNumId w:val="22"/>
  </w:num>
  <w:num w:numId="55" w16cid:durableId="138807815">
    <w:abstractNumId w:val="12"/>
  </w:num>
  <w:num w:numId="56" w16cid:durableId="1754543766">
    <w:abstractNumId w:val="3"/>
  </w:num>
  <w:num w:numId="57" w16cid:durableId="1296839160">
    <w:abstractNumId w:val="57"/>
  </w:num>
  <w:num w:numId="58" w16cid:durableId="1929265089">
    <w:abstractNumId w:val="0"/>
  </w:num>
  <w:num w:numId="59" w16cid:durableId="2122451812">
    <w:abstractNumId w:val="9"/>
  </w:num>
  <w:num w:numId="60" w16cid:durableId="620498925">
    <w:abstractNumId w:val="19"/>
  </w:num>
  <w:num w:numId="61" w16cid:durableId="1836650895">
    <w:abstractNumId w:val="40"/>
  </w:num>
  <w:num w:numId="62" w16cid:durableId="1773814349">
    <w:abstractNumId w:val="3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035"/>
    <w:rsid w:val="0000001A"/>
    <w:rsid w:val="00000475"/>
    <w:rsid w:val="000004E9"/>
    <w:rsid w:val="00000571"/>
    <w:rsid w:val="0000077B"/>
    <w:rsid w:val="00000787"/>
    <w:rsid w:val="00000850"/>
    <w:rsid w:val="000009B0"/>
    <w:rsid w:val="00000AB8"/>
    <w:rsid w:val="00000BAB"/>
    <w:rsid w:val="00000DDD"/>
    <w:rsid w:val="00001050"/>
    <w:rsid w:val="00001209"/>
    <w:rsid w:val="000014B0"/>
    <w:rsid w:val="00001A25"/>
    <w:rsid w:val="00001C58"/>
    <w:rsid w:val="00001D9F"/>
    <w:rsid w:val="00001DF5"/>
    <w:rsid w:val="00001DF7"/>
    <w:rsid w:val="00001F43"/>
    <w:rsid w:val="00002233"/>
    <w:rsid w:val="000022FA"/>
    <w:rsid w:val="000025CE"/>
    <w:rsid w:val="000026A7"/>
    <w:rsid w:val="000027F3"/>
    <w:rsid w:val="0000284C"/>
    <w:rsid w:val="000031D8"/>
    <w:rsid w:val="00003300"/>
    <w:rsid w:val="00003456"/>
    <w:rsid w:val="000038F1"/>
    <w:rsid w:val="00003B5B"/>
    <w:rsid w:val="00003D5F"/>
    <w:rsid w:val="000042AA"/>
    <w:rsid w:val="000044BA"/>
    <w:rsid w:val="00004B4F"/>
    <w:rsid w:val="00004F0B"/>
    <w:rsid w:val="00005025"/>
    <w:rsid w:val="000050FC"/>
    <w:rsid w:val="0000514C"/>
    <w:rsid w:val="0000515F"/>
    <w:rsid w:val="0000527F"/>
    <w:rsid w:val="00005362"/>
    <w:rsid w:val="00005584"/>
    <w:rsid w:val="000056DF"/>
    <w:rsid w:val="000058D7"/>
    <w:rsid w:val="000059DA"/>
    <w:rsid w:val="00005BAB"/>
    <w:rsid w:val="00005DDE"/>
    <w:rsid w:val="00006244"/>
    <w:rsid w:val="000062E8"/>
    <w:rsid w:val="0000631F"/>
    <w:rsid w:val="00006651"/>
    <w:rsid w:val="000067A0"/>
    <w:rsid w:val="000068A1"/>
    <w:rsid w:val="0000779C"/>
    <w:rsid w:val="000077E4"/>
    <w:rsid w:val="000078C2"/>
    <w:rsid w:val="00007B6C"/>
    <w:rsid w:val="00010109"/>
    <w:rsid w:val="00010372"/>
    <w:rsid w:val="0001045B"/>
    <w:rsid w:val="000107C1"/>
    <w:rsid w:val="00010A93"/>
    <w:rsid w:val="00010B6A"/>
    <w:rsid w:val="00010E86"/>
    <w:rsid w:val="00011719"/>
    <w:rsid w:val="000121D5"/>
    <w:rsid w:val="0001252D"/>
    <w:rsid w:val="00012822"/>
    <w:rsid w:val="000128EA"/>
    <w:rsid w:val="00012F0B"/>
    <w:rsid w:val="000130B5"/>
    <w:rsid w:val="00013151"/>
    <w:rsid w:val="0001315B"/>
    <w:rsid w:val="00013162"/>
    <w:rsid w:val="000133D0"/>
    <w:rsid w:val="000134C1"/>
    <w:rsid w:val="00013C54"/>
    <w:rsid w:val="0001401B"/>
    <w:rsid w:val="0001404F"/>
    <w:rsid w:val="00014158"/>
    <w:rsid w:val="0001494A"/>
    <w:rsid w:val="00014A5E"/>
    <w:rsid w:val="00014BB6"/>
    <w:rsid w:val="00014BDD"/>
    <w:rsid w:val="00014D13"/>
    <w:rsid w:val="00014EF9"/>
    <w:rsid w:val="00015053"/>
    <w:rsid w:val="00015198"/>
    <w:rsid w:val="00015373"/>
    <w:rsid w:val="00015580"/>
    <w:rsid w:val="00015621"/>
    <w:rsid w:val="00015681"/>
    <w:rsid w:val="00015E7F"/>
    <w:rsid w:val="00015F9B"/>
    <w:rsid w:val="0001653A"/>
    <w:rsid w:val="000166CC"/>
    <w:rsid w:val="00016D71"/>
    <w:rsid w:val="0001700A"/>
    <w:rsid w:val="0001734D"/>
    <w:rsid w:val="0001746C"/>
    <w:rsid w:val="00017A7D"/>
    <w:rsid w:val="00017B18"/>
    <w:rsid w:val="00017BCE"/>
    <w:rsid w:val="00017DA7"/>
    <w:rsid w:val="000204FB"/>
    <w:rsid w:val="00020558"/>
    <w:rsid w:val="0002069C"/>
    <w:rsid w:val="00020931"/>
    <w:rsid w:val="0002126E"/>
    <w:rsid w:val="000213B2"/>
    <w:rsid w:val="00021594"/>
    <w:rsid w:val="000217C8"/>
    <w:rsid w:val="00021924"/>
    <w:rsid w:val="00021A18"/>
    <w:rsid w:val="00021B32"/>
    <w:rsid w:val="00021BE7"/>
    <w:rsid w:val="00022052"/>
    <w:rsid w:val="00022082"/>
    <w:rsid w:val="000221EB"/>
    <w:rsid w:val="00022550"/>
    <w:rsid w:val="00022BEA"/>
    <w:rsid w:val="00022CFE"/>
    <w:rsid w:val="00022F2E"/>
    <w:rsid w:val="00023227"/>
    <w:rsid w:val="00023257"/>
    <w:rsid w:val="00023378"/>
    <w:rsid w:val="0002348B"/>
    <w:rsid w:val="000234F5"/>
    <w:rsid w:val="000238EE"/>
    <w:rsid w:val="00023D71"/>
    <w:rsid w:val="00023E56"/>
    <w:rsid w:val="00023EDA"/>
    <w:rsid w:val="00023F91"/>
    <w:rsid w:val="0002408B"/>
    <w:rsid w:val="00024118"/>
    <w:rsid w:val="00024191"/>
    <w:rsid w:val="000242E7"/>
    <w:rsid w:val="0002452B"/>
    <w:rsid w:val="000246FE"/>
    <w:rsid w:val="00024907"/>
    <w:rsid w:val="00024FC6"/>
    <w:rsid w:val="000251C8"/>
    <w:rsid w:val="0002520A"/>
    <w:rsid w:val="000257B5"/>
    <w:rsid w:val="00025AA1"/>
    <w:rsid w:val="00025BE3"/>
    <w:rsid w:val="00026730"/>
    <w:rsid w:val="00026A58"/>
    <w:rsid w:val="00026AA8"/>
    <w:rsid w:val="00026C1C"/>
    <w:rsid w:val="00026D16"/>
    <w:rsid w:val="00026F05"/>
    <w:rsid w:val="0002705A"/>
    <w:rsid w:val="000273F2"/>
    <w:rsid w:val="000274CD"/>
    <w:rsid w:val="00027796"/>
    <w:rsid w:val="00027958"/>
    <w:rsid w:val="000279E7"/>
    <w:rsid w:val="00027E8D"/>
    <w:rsid w:val="00027F4C"/>
    <w:rsid w:val="00027F95"/>
    <w:rsid w:val="000302F5"/>
    <w:rsid w:val="000303F3"/>
    <w:rsid w:val="000304D9"/>
    <w:rsid w:val="00030CE4"/>
    <w:rsid w:val="00030ECD"/>
    <w:rsid w:val="0003100C"/>
    <w:rsid w:val="00031106"/>
    <w:rsid w:val="00031255"/>
    <w:rsid w:val="000312DA"/>
    <w:rsid w:val="00032087"/>
    <w:rsid w:val="0003237F"/>
    <w:rsid w:val="000323CA"/>
    <w:rsid w:val="00032403"/>
    <w:rsid w:val="00032656"/>
    <w:rsid w:val="000326A1"/>
    <w:rsid w:val="000327A6"/>
    <w:rsid w:val="00032922"/>
    <w:rsid w:val="00032A82"/>
    <w:rsid w:val="00032AB3"/>
    <w:rsid w:val="00032AE0"/>
    <w:rsid w:val="00032C7B"/>
    <w:rsid w:val="00032DAC"/>
    <w:rsid w:val="00033139"/>
    <w:rsid w:val="0003335A"/>
    <w:rsid w:val="000334D7"/>
    <w:rsid w:val="0003364E"/>
    <w:rsid w:val="000337F1"/>
    <w:rsid w:val="00033AED"/>
    <w:rsid w:val="00033D98"/>
    <w:rsid w:val="00034073"/>
    <w:rsid w:val="00034290"/>
    <w:rsid w:val="00034C98"/>
    <w:rsid w:val="00034D08"/>
    <w:rsid w:val="00034DBC"/>
    <w:rsid w:val="00034DBF"/>
    <w:rsid w:val="00034FF6"/>
    <w:rsid w:val="00035367"/>
    <w:rsid w:val="00035400"/>
    <w:rsid w:val="00035487"/>
    <w:rsid w:val="00035527"/>
    <w:rsid w:val="0003566F"/>
    <w:rsid w:val="00035AA9"/>
    <w:rsid w:val="0003624E"/>
    <w:rsid w:val="00036316"/>
    <w:rsid w:val="000363B3"/>
    <w:rsid w:val="00036455"/>
    <w:rsid w:val="000366E0"/>
    <w:rsid w:val="00036E95"/>
    <w:rsid w:val="0003711D"/>
    <w:rsid w:val="000371AF"/>
    <w:rsid w:val="00037244"/>
    <w:rsid w:val="0003728F"/>
    <w:rsid w:val="00037358"/>
    <w:rsid w:val="00037885"/>
    <w:rsid w:val="00037BAF"/>
    <w:rsid w:val="00037C6A"/>
    <w:rsid w:val="00037D34"/>
    <w:rsid w:val="00037E59"/>
    <w:rsid w:val="00037F69"/>
    <w:rsid w:val="00037F8B"/>
    <w:rsid w:val="0004074C"/>
    <w:rsid w:val="000409E5"/>
    <w:rsid w:val="00040BFB"/>
    <w:rsid w:val="00040C59"/>
    <w:rsid w:val="00040C75"/>
    <w:rsid w:val="00040CAE"/>
    <w:rsid w:val="00041255"/>
    <w:rsid w:val="0004156F"/>
    <w:rsid w:val="00041A7D"/>
    <w:rsid w:val="00041D6E"/>
    <w:rsid w:val="00041DD2"/>
    <w:rsid w:val="00041E5E"/>
    <w:rsid w:val="0004202B"/>
    <w:rsid w:val="0004209C"/>
    <w:rsid w:val="0004222B"/>
    <w:rsid w:val="000422AA"/>
    <w:rsid w:val="000426E7"/>
    <w:rsid w:val="0004293C"/>
    <w:rsid w:val="0004295E"/>
    <w:rsid w:val="00042BBE"/>
    <w:rsid w:val="00042DA9"/>
    <w:rsid w:val="00042FFC"/>
    <w:rsid w:val="00043249"/>
    <w:rsid w:val="000433AD"/>
    <w:rsid w:val="00043609"/>
    <w:rsid w:val="00043DCD"/>
    <w:rsid w:val="00043F21"/>
    <w:rsid w:val="00044003"/>
    <w:rsid w:val="000445FD"/>
    <w:rsid w:val="0004464E"/>
    <w:rsid w:val="0004498C"/>
    <w:rsid w:val="00044B42"/>
    <w:rsid w:val="00045079"/>
    <w:rsid w:val="0004511D"/>
    <w:rsid w:val="000452F9"/>
    <w:rsid w:val="000456C9"/>
    <w:rsid w:val="00045F04"/>
    <w:rsid w:val="000463D9"/>
    <w:rsid w:val="00046828"/>
    <w:rsid w:val="00046A91"/>
    <w:rsid w:val="00046D35"/>
    <w:rsid w:val="00046F5C"/>
    <w:rsid w:val="00047363"/>
    <w:rsid w:val="0004794C"/>
    <w:rsid w:val="00047A72"/>
    <w:rsid w:val="00047CB7"/>
    <w:rsid w:val="00047EAA"/>
    <w:rsid w:val="00047EB5"/>
    <w:rsid w:val="00047EE3"/>
    <w:rsid w:val="00047F9F"/>
    <w:rsid w:val="0005008F"/>
    <w:rsid w:val="0005065B"/>
    <w:rsid w:val="0005083B"/>
    <w:rsid w:val="000509B0"/>
    <w:rsid w:val="00050A1C"/>
    <w:rsid w:val="00050C3C"/>
    <w:rsid w:val="000511A4"/>
    <w:rsid w:val="00051219"/>
    <w:rsid w:val="00051437"/>
    <w:rsid w:val="000521FC"/>
    <w:rsid w:val="0005227E"/>
    <w:rsid w:val="000524B2"/>
    <w:rsid w:val="0005262A"/>
    <w:rsid w:val="000528CF"/>
    <w:rsid w:val="00052A62"/>
    <w:rsid w:val="00052AE4"/>
    <w:rsid w:val="00052BB5"/>
    <w:rsid w:val="00052E97"/>
    <w:rsid w:val="00053082"/>
    <w:rsid w:val="000536E1"/>
    <w:rsid w:val="00053CE5"/>
    <w:rsid w:val="00053D75"/>
    <w:rsid w:val="000545C3"/>
    <w:rsid w:val="000545CD"/>
    <w:rsid w:val="00054788"/>
    <w:rsid w:val="00054868"/>
    <w:rsid w:val="00054A4A"/>
    <w:rsid w:val="00054B20"/>
    <w:rsid w:val="00054B51"/>
    <w:rsid w:val="00054CE7"/>
    <w:rsid w:val="00054FCC"/>
    <w:rsid w:val="00054FCD"/>
    <w:rsid w:val="00055176"/>
    <w:rsid w:val="00055300"/>
    <w:rsid w:val="000553B2"/>
    <w:rsid w:val="000554BE"/>
    <w:rsid w:val="000555DD"/>
    <w:rsid w:val="00055611"/>
    <w:rsid w:val="00055640"/>
    <w:rsid w:val="000558CD"/>
    <w:rsid w:val="000558D4"/>
    <w:rsid w:val="00055B4E"/>
    <w:rsid w:val="00055BAD"/>
    <w:rsid w:val="00055CA1"/>
    <w:rsid w:val="00055E8A"/>
    <w:rsid w:val="00056243"/>
    <w:rsid w:val="0005651E"/>
    <w:rsid w:val="000565D9"/>
    <w:rsid w:val="00056F68"/>
    <w:rsid w:val="00057309"/>
    <w:rsid w:val="000577F4"/>
    <w:rsid w:val="00057AAA"/>
    <w:rsid w:val="00057C24"/>
    <w:rsid w:val="00057DED"/>
    <w:rsid w:val="00057F77"/>
    <w:rsid w:val="00060167"/>
    <w:rsid w:val="000601E7"/>
    <w:rsid w:val="000602E5"/>
    <w:rsid w:val="000603F8"/>
    <w:rsid w:val="00060651"/>
    <w:rsid w:val="0006065D"/>
    <w:rsid w:val="00060B4C"/>
    <w:rsid w:val="0006109D"/>
    <w:rsid w:val="0006110D"/>
    <w:rsid w:val="00061358"/>
    <w:rsid w:val="000614B3"/>
    <w:rsid w:val="00061B51"/>
    <w:rsid w:val="00061C80"/>
    <w:rsid w:val="00061E12"/>
    <w:rsid w:val="000623EA"/>
    <w:rsid w:val="00062440"/>
    <w:rsid w:val="00062552"/>
    <w:rsid w:val="00062BBA"/>
    <w:rsid w:val="0006315E"/>
    <w:rsid w:val="000631A5"/>
    <w:rsid w:val="00063230"/>
    <w:rsid w:val="00063235"/>
    <w:rsid w:val="000639BB"/>
    <w:rsid w:val="00063A65"/>
    <w:rsid w:val="00063B92"/>
    <w:rsid w:val="00063C04"/>
    <w:rsid w:val="00063FA1"/>
    <w:rsid w:val="000640FB"/>
    <w:rsid w:val="0006411C"/>
    <w:rsid w:val="000642B4"/>
    <w:rsid w:val="00064815"/>
    <w:rsid w:val="000649EC"/>
    <w:rsid w:val="00064DFA"/>
    <w:rsid w:val="00064EF1"/>
    <w:rsid w:val="0006509B"/>
    <w:rsid w:val="000650E1"/>
    <w:rsid w:val="0006533E"/>
    <w:rsid w:val="0006569B"/>
    <w:rsid w:val="00065B02"/>
    <w:rsid w:val="00065E3F"/>
    <w:rsid w:val="00065FEC"/>
    <w:rsid w:val="000662CC"/>
    <w:rsid w:val="000662FA"/>
    <w:rsid w:val="00066986"/>
    <w:rsid w:val="00067036"/>
    <w:rsid w:val="00067116"/>
    <w:rsid w:val="000673A1"/>
    <w:rsid w:val="00067547"/>
    <w:rsid w:val="000704A1"/>
    <w:rsid w:val="00070C5D"/>
    <w:rsid w:val="00070FBF"/>
    <w:rsid w:val="00071138"/>
    <w:rsid w:val="00071845"/>
    <w:rsid w:val="0007199B"/>
    <w:rsid w:val="00071BFE"/>
    <w:rsid w:val="00071CF5"/>
    <w:rsid w:val="00071D12"/>
    <w:rsid w:val="00071DBE"/>
    <w:rsid w:val="00071EE4"/>
    <w:rsid w:val="0007202F"/>
    <w:rsid w:val="000722D9"/>
    <w:rsid w:val="000727AD"/>
    <w:rsid w:val="00073035"/>
    <w:rsid w:val="00073040"/>
    <w:rsid w:val="00073071"/>
    <w:rsid w:val="0007326F"/>
    <w:rsid w:val="000738CA"/>
    <w:rsid w:val="00073E35"/>
    <w:rsid w:val="000742FD"/>
    <w:rsid w:val="000743F0"/>
    <w:rsid w:val="000745C3"/>
    <w:rsid w:val="000747E1"/>
    <w:rsid w:val="00074CC4"/>
    <w:rsid w:val="000754B1"/>
    <w:rsid w:val="0007565F"/>
    <w:rsid w:val="00075B15"/>
    <w:rsid w:val="0007659A"/>
    <w:rsid w:val="00076712"/>
    <w:rsid w:val="00076830"/>
    <w:rsid w:val="0007683F"/>
    <w:rsid w:val="000768AA"/>
    <w:rsid w:val="00076AE8"/>
    <w:rsid w:val="00077575"/>
    <w:rsid w:val="000776A5"/>
    <w:rsid w:val="00077745"/>
    <w:rsid w:val="000777F4"/>
    <w:rsid w:val="000804B7"/>
    <w:rsid w:val="00080510"/>
    <w:rsid w:val="00080511"/>
    <w:rsid w:val="00080548"/>
    <w:rsid w:val="0008074D"/>
    <w:rsid w:val="00080E4B"/>
    <w:rsid w:val="000812B4"/>
    <w:rsid w:val="0008130D"/>
    <w:rsid w:val="0008145D"/>
    <w:rsid w:val="0008145E"/>
    <w:rsid w:val="0008170B"/>
    <w:rsid w:val="00081C28"/>
    <w:rsid w:val="00081CEB"/>
    <w:rsid w:val="00081E11"/>
    <w:rsid w:val="000821A5"/>
    <w:rsid w:val="00082213"/>
    <w:rsid w:val="000827C9"/>
    <w:rsid w:val="00082AA2"/>
    <w:rsid w:val="00082B02"/>
    <w:rsid w:val="00082FC6"/>
    <w:rsid w:val="00083559"/>
    <w:rsid w:val="00083828"/>
    <w:rsid w:val="000838FE"/>
    <w:rsid w:val="00083BF2"/>
    <w:rsid w:val="00083CCF"/>
    <w:rsid w:val="0008419D"/>
    <w:rsid w:val="000841EE"/>
    <w:rsid w:val="00084204"/>
    <w:rsid w:val="00084621"/>
    <w:rsid w:val="00084710"/>
    <w:rsid w:val="000847C3"/>
    <w:rsid w:val="00084D81"/>
    <w:rsid w:val="00084F55"/>
    <w:rsid w:val="000852F2"/>
    <w:rsid w:val="000853FD"/>
    <w:rsid w:val="0008542E"/>
    <w:rsid w:val="000857CF"/>
    <w:rsid w:val="00085DF8"/>
    <w:rsid w:val="00085FD6"/>
    <w:rsid w:val="00086371"/>
    <w:rsid w:val="0008674E"/>
    <w:rsid w:val="00086B6B"/>
    <w:rsid w:val="00086C32"/>
    <w:rsid w:val="00086E56"/>
    <w:rsid w:val="00086E95"/>
    <w:rsid w:val="000870E1"/>
    <w:rsid w:val="00087226"/>
    <w:rsid w:val="00087502"/>
    <w:rsid w:val="0008772F"/>
    <w:rsid w:val="00087824"/>
    <w:rsid w:val="000878E3"/>
    <w:rsid w:val="000879CE"/>
    <w:rsid w:val="00087A50"/>
    <w:rsid w:val="00087ADF"/>
    <w:rsid w:val="00087EC7"/>
    <w:rsid w:val="00087FBA"/>
    <w:rsid w:val="00090AEE"/>
    <w:rsid w:val="00090B79"/>
    <w:rsid w:val="00090C07"/>
    <w:rsid w:val="000910A2"/>
    <w:rsid w:val="0009147B"/>
    <w:rsid w:val="00091ADA"/>
    <w:rsid w:val="00091BB3"/>
    <w:rsid w:val="00091D90"/>
    <w:rsid w:val="000920B3"/>
    <w:rsid w:val="000922A5"/>
    <w:rsid w:val="0009242C"/>
    <w:rsid w:val="00092482"/>
    <w:rsid w:val="0009256C"/>
    <w:rsid w:val="0009274F"/>
    <w:rsid w:val="000928CC"/>
    <w:rsid w:val="00092A27"/>
    <w:rsid w:val="00092B46"/>
    <w:rsid w:val="00093429"/>
    <w:rsid w:val="0009354E"/>
    <w:rsid w:val="00093722"/>
    <w:rsid w:val="0009402B"/>
    <w:rsid w:val="00094284"/>
    <w:rsid w:val="00094754"/>
    <w:rsid w:val="000948CD"/>
    <w:rsid w:val="00094BFA"/>
    <w:rsid w:val="0009500C"/>
    <w:rsid w:val="00095379"/>
    <w:rsid w:val="00095670"/>
    <w:rsid w:val="000956DF"/>
    <w:rsid w:val="00095775"/>
    <w:rsid w:val="00095B52"/>
    <w:rsid w:val="00095D62"/>
    <w:rsid w:val="0009628D"/>
    <w:rsid w:val="00096316"/>
    <w:rsid w:val="0009639F"/>
    <w:rsid w:val="00096618"/>
    <w:rsid w:val="00096743"/>
    <w:rsid w:val="00096775"/>
    <w:rsid w:val="00096840"/>
    <w:rsid w:val="000969E3"/>
    <w:rsid w:val="00096A40"/>
    <w:rsid w:val="00096AE7"/>
    <w:rsid w:val="00096C54"/>
    <w:rsid w:val="00096C58"/>
    <w:rsid w:val="00096EE4"/>
    <w:rsid w:val="0009707F"/>
    <w:rsid w:val="000971C3"/>
    <w:rsid w:val="000974D7"/>
    <w:rsid w:val="000977A2"/>
    <w:rsid w:val="000977FE"/>
    <w:rsid w:val="000979DF"/>
    <w:rsid w:val="00097F82"/>
    <w:rsid w:val="000A0295"/>
    <w:rsid w:val="000A0333"/>
    <w:rsid w:val="000A045A"/>
    <w:rsid w:val="000A0604"/>
    <w:rsid w:val="000A064F"/>
    <w:rsid w:val="000A068E"/>
    <w:rsid w:val="000A095C"/>
    <w:rsid w:val="000A0973"/>
    <w:rsid w:val="000A0A41"/>
    <w:rsid w:val="000A0DF7"/>
    <w:rsid w:val="000A11A3"/>
    <w:rsid w:val="000A124E"/>
    <w:rsid w:val="000A125F"/>
    <w:rsid w:val="000A13EA"/>
    <w:rsid w:val="000A1581"/>
    <w:rsid w:val="000A1B58"/>
    <w:rsid w:val="000A1D9C"/>
    <w:rsid w:val="000A1DDC"/>
    <w:rsid w:val="000A2460"/>
    <w:rsid w:val="000A272F"/>
    <w:rsid w:val="000A283C"/>
    <w:rsid w:val="000A2A28"/>
    <w:rsid w:val="000A2AE5"/>
    <w:rsid w:val="000A2BA8"/>
    <w:rsid w:val="000A2E64"/>
    <w:rsid w:val="000A2FA3"/>
    <w:rsid w:val="000A3051"/>
    <w:rsid w:val="000A35D9"/>
    <w:rsid w:val="000A380B"/>
    <w:rsid w:val="000A3810"/>
    <w:rsid w:val="000A3C16"/>
    <w:rsid w:val="000A4654"/>
    <w:rsid w:val="000A4A1A"/>
    <w:rsid w:val="000A4B29"/>
    <w:rsid w:val="000A4F34"/>
    <w:rsid w:val="000A5163"/>
    <w:rsid w:val="000A540B"/>
    <w:rsid w:val="000A5720"/>
    <w:rsid w:val="000A5780"/>
    <w:rsid w:val="000A5DA8"/>
    <w:rsid w:val="000A6044"/>
    <w:rsid w:val="000A6236"/>
    <w:rsid w:val="000A631D"/>
    <w:rsid w:val="000A6332"/>
    <w:rsid w:val="000A6427"/>
    <w:rsid w:val="000A6835"/>
    <w:rsid w:val="000A6C6D"/>
    <w:rsid w:val="000A7090"/>
    <w:rsid w:val="000A724E"/>
    <w:rsid w:val="000A7284"/>
    <w:rsid w:val="000A73F6"/>
    <w:rsid w:val="000A7777"/>
    <w:rsid w:val="000A785B"/>
    <w:rsid w:val="000A7AB1"/>
    <w:rsid w:val="000A7B0B"/>
    <w:rsid w:val="000A7B11"/>
    <w:rsid w:val="000A7FA6"/>
    <w:rsid w:val="000B057F"/>
    <w:rsid w:val="000B0C13"/>
    <w:rsid w:val="000B14F3"/>
    <w:rsid w:val="000B160A"/>
    <w:rsid w:val="000B171B"/>
    <w:rsid w:val="000B1939"/>
    <w:rsid w:val="000B1C68"/>
    <w:rsid w:val="000B1E6A"/>
    <w:rsid w:val="000B1FCF"/>
    <w:rsid w:val="000B2088"/>
    <w:rsid w:val="000B21D4"/>
    <w:rsid w:val="000B23D5"/>
    <w:rsid w:val="000B23F5"/>
    <w:rsid w:val="000B2988"/>
    <w:rsid w:val="000B2BBA"/>
    <w:rsid w:val="000B2D6E"/>
    <w:rsid w:val="000B2E25"/>
    <w:rsid w:val="000B325D"/>
    <w:rsid w:val="000B375B"/>
    <w:rsid w:val="000B3787"/>
    <w:rsid w:val="000B3888"/>
    <w:rsid w:val="000B38FD"/>
    <w:rsid w:val="000B3A69"/>
    <w:rsid w:val="000B3C06"/>
    <w:rsid w:val="000B3DD3"/>
    <w:rsid w:val="000B3FAB"/>
    <w:rsid w:val="000B4235"/>
    <w:rsid w:val="000B4589"/>
    <w:rsid w:val="000B4857"/>
    <w:rsid w:val="000B49CF"/>
    <w:rsid w:val="000B4A24"/>
    <w:rsid w:val="000B5489"/>
    <w:rsid w:val="000B54B6"/>
    <w:rsid w:val="000B5A60"/>
    <w:rsid w:val="000B5B1A"/>
    <w:rsid w:val="000B5C80"/>
    <w:rsid w:val="000B5D9C"/>
    <w:rsid w:val="000B5F00"/>
    <w:rsid w:val="000B6820"/>
    <w:rsid w:val="000B6890"/>
    <w:rsid w:val="000B6A06"/>
    <w:rsid w:val="000B6B68"/>
    <w:rsid w:val="000B6BD3"/>
    <w:rsid w:val="000B6DCB"/>
    <w:rsid w:val="000B6EC6"/>
    <w:rsid w:val="000B71B7"/>
    <w:rsid w:val="000B71D5"/>
    <w:rsid w:val="000B71D9"/>
    <w:rsid w:val="000B7311"/>
    <w:rsid w:val="000B75AE"/>
    <w:rsid w:val="000B7AAC"/>
    <w:rsid w:val="000B7CFF"/>
    <w:rsid w:val="000C0282"/>
    <w:rsid w:val="000C05A2"/>
    <w:rsid w:val="000C06FD"/>
    <w:rsid w:val="000C07E1"/>
    <w:rsid w:val="000C093A"/>
    <w:rsid w:val="000C093F"/>
    <w:rsid w:val="000C09C6"/>
    <w:rsid w:val="000C0A7C"/>
    <w:rsid w:val="000C0CD8"/>
    <w:rsid w:val="000C0E40"/>
    <w:rsid w:val="000C1342"/>
    <w:rsid w:val="000C1373"/>
    <w:rsid w:val="000C13F6"/>
    <w:rsid w:val="000C15BB"/>
    <w:rsid w:val="000C19A8"/>
    <w:rsid w:val="000C1E18"/>
    <w:rsid w:val="000C200E"/>
    <w:rsid w:val="000C2061"/>
    <w:rsid w:val="000C21B3"/>
    <w:rsid w:val="000C268F"/>
    <w:rsid w:val="000C271A"/>
    <w:rsid w:val="000C27AF"/>
    <w:rsid w:val="000C27C3"/>
    <w:rsid w:val="000C28D0"/>
    <w:rsid w:val="000C28EE"/>
    <w:rsid w:val="000C2987"/>
    <w:rsid w:val="000C2E52"/>
    <w:rsid w:val="000C3139"/>
    <w:rsid w:val="000C3163"/>
    <w:rsid w:val="000C3BB0"/>
    <w:rsid w:val="000C3F42"/>
    <w:rsid w:val="000C3F54"/>
    <w:rsid w:val="000C42ED"/>
    <w:rsid w:val="000C4323"/>
    <w:rsid w:val="000C4743"/>
    <w:rsid w:val="000C4BCF"/>
    <w:rsid w:val="000C4D76"/>
    <w:rsid w:val="000C5365"/>
    <w:rsid w:val="000C5A29"/>
    <w:rsid w:val="000C5A59"/>
    <w:rsid w:val="000C5AD9"/>
    <w:rsid w:val="000C5DE6"/>
    <w:rsid w:val="000C61D2"/>
    <w:rsid w:val="000C62B8"/>
    <w:rsid w:val="000C6511"/>
    <w:rsid w:val="000C658C"/>
    <w:rsid w:val="000C6BF5"/>
    <w:rsid w:val="000C71D9"/>
    <w:rsid w:val="000C749D"/>
    <w:rsid w:val="000C74D9"/>
    <w:rsid w:val="000C77BB"/>
    <w:rsid w:val="000C78E9"/>
    <w:rsid w:val="000D00F1"/>
    <w:rsid w:val="000D0267"/>
    <w:rsid w:val="000D02A0"/>
    <w:rsid w:val="000D0451"/>
    <w:rsid w:val="000D065F"/>
    <w:rsid w:val="000D170E"/>
    <w:rsid w:val="000D2499"/>
    <w:rsid w:val="000D25DB"/>
    <w:rsid w:val="000D28A3"/>
    <w:rsid w:val="000D3052"/>
    <w:rsid w:val="000D34AF"/>
    <w:rsid w:val="000D34DF"/>
    <w:rsid w:val="000D3667"/>
    <w:rsid w:val="000D37E4"/>
    <w:rsid w:val="000D390F"/>
    <w:rsid w:val="000D39E4"/>
    <w:rsid w:val="000D3A68"/>
    <w:rsid w:val="000D3EA5"/>
    <w:rsid w:val="000D43BC"/>
    <w:rsid w:val="000D4AAF"/>
    <w:rsid w:val="000D4AE8"/>
    <w:rsid w:val="000D5046"/>
    <w:rsid w:val="000D518D"/>
    <w:rsid w:val="000D554B"/>
    <w:rsid w:val="000D56FC"/>
    <w:rsid w:val="000D5B8D"/>
    <w:rsid w:val="000D5C74"/>
    <w:rsid w:val="000D5DAB"/>
    <w:rsid w:val="000D5E4C"/>
    <w:rsid w:val="000D688D"/>
    <w:rsid w:val="000D697D"/>
    <w:rsid w:val="000D6EF9"/>
    <w:rsid w:val="000D752C"/>
    <w:rsid w:val="000D7652"/>
    <w:rsid w:val="000D786A"/>
    <w:rsid w:val="000D79DB"/>
    <w:rsid w:val="000D7B95"/>
    <w:rsid w:val="000D7C48"/>
    <w:rsid w:val="000D7C5B"/>
    <w:rsid w:val="000E0701"/>
    <w:rsid w:val="000E0D60"/>
    <w:rsid w:val="000E0D94"/>
    <w:rsid w:val="000E1978"/>
    <w:rsid w:val="000E1B68"/>
    <w:rsid w:val="000E1C0C"/>
    <w:rsid w:val="000E20EC"/>
    <w:rsid w:val="000E2430"/>
    <w:rsid w:val="000E2930"/>
    <w:rsid w:val="000E293E"/>
    <w:rsid w:val="000E2ACE"/>
    <w:rsid w:val="000E2C46"/>
    <w:rsid w:val="000E2E6A"/>
    <w:rsid w:val="000E2EB0"/>
    <w:rsid w:val="000E3305"/>
    <w:rsid w:val="000E335A"/>
    <w:rsid w:val="000E3924"/>
    <w:rsid w:val="000E3CD5"/>
    <w:rsid w:val="000E3D97"/>
    <w:rsid w:val="000E3EA8"/>
    <w:rsid w:val="000E3F08"/>
    <w:rsid w:val="000E3F46"/>
    <w:rsid w:val="000E40DF"/>
    <w:rsid w:val="000E436D"/>
    <w:rsid w:val="000E44C6"/>
    <w:rsid w:val="000E4677"/>
    <w:rsid w:val="000E46EB"/>
    <w:rsid w:val="000E4877"/>
    <w:rsid w:val="000E4E20"/>
    <w:rsid w:val="000E4E46"/>
    <w:rsid w:val="000E504F"/>
    <w:rsid w:val="000E5270"/>
    <w:rsid w:val="000E540F"/>
    <w:rsid w:val="000E5434"/>
    <w:rsid w:val="000E554E"/>
    <w:rsid w:val="000E5634"/>
    <w:rsid w:val="000E5C40"/>
    <w:rsid w:val="000E6267"/>
    <w:rsid w:val="000E6C7E"/>
    <w:rsid w:val="000E76C9"/>
    <w:rsid w:val="000E78AC"/>
    <w:rsid w:val="000E7AC2"/>
    <w:rsid w:val="000E7D29"/>
    <w:rsid w:val="000E7D8D"/>
    <w:rsid w:val="000E7FD2"/>
    <w:rsid w:val="000F01A0"/>
    <w:rsid w:val="000F07E1"/>
    <w:rsid w:val="000F08E0"/>
    <w:rsid w:val="000F0916"/>
    <w:rsid w:val="000F0EB1"/>
    <w:rsid w:val="000F0EE6"/>
    <w:rsid w:val="000F0F63"/>
    <w:rsid w:val="000F0FE5"/>
    <w:rsid w:val="000F12DA"/>
    <w:rsid w:val="000F142F"/>
    <w:rsid w:val="000F1432"/>
    <w:rsid w:val="000F1619"/>
    <w:rsid w:val="000F18F7"/>
    <w:rsid w:val="000F1BCA"/>
    <w:rsid w:val="000F2090"/>
    <w:rsid w:val="000F213C"/>
    <w:rsid w:val="000F22E8"/>
    <w:rsid w:val="000F269C"/>
    <w:rsid w:val="000F2CE5"/>
    <w:rsid w:val="000F3096"/>
    <w:rsid w:val="000F30A4"/>
    <w:rsid w:val="000F337F"/>
    <w:rsid w:val="000F35AB"/>
    <w:rsid w:val="000F36DA"/>
    <w:rsid w:val="000F3805"/>
    <w:rsid w:val="000F3BB3"/>
    <w:rsid w:val="000F3C11"/>
    <w:rsid w:val="000F3CA9"/>
    <w:rsid w:val="000F3D70"/>
    <w:rsid w:val="000F4481"/>
    <w:rsid w:val="000F4973"/>
    <w:rsid w:val="000F4B98"/>
    <w:rsid w:val="000F4CB2"/>
    <w:rsid w:val="000F56EA"/>
    <w:rsid w:val="000F5CE5"/>
    <w:rsid w:val="000F5E91"/>
    <w:rsid w:val="000F5E9D"/>
    <w:rsid w:val="000F60C6"/>
    <w:rsid w:val="000F6316"/>
    <w:rsid w:val="000F632C"/>
    <w:rsid w:val="000F655F"/>
    <w:rsid w:val="000F6791"/>
    <w:rsid w:val="000F697D"/>
    <w:rsid w:val="000F6A07"/>
    <w:rsid w:val="000F701C"/>
    <w:rsid w:val="000F714C"/>
    <w:rsid w:val="000F72B5"/>
    <w:rsid w:val="000F737D"/>
    <w:rsid w:val="000F788F"/>
    <w:rsid w:val="000F79E9"/>
    <w:rsid w:val="000F7BA9"/>
    <w:rsid w:val="000F7D50"/>
    <w:rsid w:val="000F7EC5"/>
    <w:rsid w:val="000F7F9A"/>
    <w:rsid w:val="000F7FD0"/>
    <w:rsid w:val="0010002C"/>
    <w:rsid w:val="0010008C"/>
    <w:rsid w:val="001000ED"/>
    <w:rsid w:val="0010045C"/>
    <w:rsid w:val="001005F3"/>
    <w:rsid w:val="00100813"/>
    <w:rsid w:val="00100A82"/>
    <w:rsid w:val="00100B0D"/>
    <w:rsid w:val="00100DE9"/>
    <w:rsid w:val="00100EDB"/>
    <w:rsid w:val="00101064"/>
    <w:rsid w:val="00101128"/>
    <w:rsid w:val="00101575"/>
    <w:rsid w:val="001016DB"/>
    <w:rsid w:val="00101923"/>
    <w:rsid w:val="0010196B"/>
    <w:rsid w:val="00101E5D"/>
    <w:rsid w:val="0010253B"/>
    <w:rsid w:val="0010260D"/>
    <w:rsid w:val="0010292A"/>
    <w:rsid w:val="00102C3D"/>
    <w:rsid w:val="00102C43"/>
    <w:rsid w:val="00102CA3"/>
    <w:rsid w:val="00102DCD"/>
    <w:rsid w:val="0010306F"/>
    <w:rsid w:val="0010316D"/>
    <w:rsid w:val="00103437"/>
    <w:rsid w:val="001034B1"/>
    <w:rsid w:val="0010369B"/>
    <w:rsid w:val="00103862"/>
    <w:rsid w:val="00103B7C"/>
    <w:rsid w:val="00103D2E"/>
    <w:rsid w:val="00104006"/>
    <w:rsid w:val="001044EC"/>
    <w:rsid w:val="001049AC"/>
    <w:rsid w:val="00104D65"/>
    <w:rsid w:val="0010509D"/>
    <w:rsid w:val="001050BC"/>
    <w:rsid w:val="00105475"/>
    <w:rsid w:val="00105ADF"/>
    <w:rsid w:val="00105EFD"/>
    <w:rsid w:val="00105F5B"/>
    <w:rsid w:val="00105FC7"/>
    <w:rsid w:val="001061CF"/>
    <w:rsid w:val="00106280"/>
    <w:rsid w:val="00106622"/>
    <w:rsid w:val="00106A2D"/>
    <w:rsid w:val="00106D44"/>
    <w:rsid w:val="001070E7"/>
    <w:rsid w:val="00107203"/>
    <w:rsid w:val="00107832"/>
    <w:rsid w:val="001079DF"/>
    <w:rsid w:val="00107C7B"/>
    <w:rsid w:val="00107DCC"/>
    <w:rsid w:val="0011021F"/>
    <w:rsid w:val="0011024A"/>
    <w:rsid w:val="001102A6"/>
    <w:rsid w:val="001102F5"/>
    <w:rsid w:val="0011058F"/>
    <w:rsid w:val="001106AA"/>
    <w:rsid w:val="001109F4"/>
    <w:rsid w:val="00110C35"/>
    <w:rsid w:val="00110D89"/>
    <w:rsid w:val="00110E41"/>
    <w:rsid w:val="00111106"/>
    <w:rsid w:val="00111283"/>
    <w:rsid w:val="001113E8"/>
    <w:rsid w:val="00111432"/>
    <w:rsid w:val="00111452"/>
    <w:rsid w:val="0011159B"/>
    <w:rsid w:val="001115C9"/>
    <w:rsid w:val="0011166C"/>
    <w:rsid w:val="00111701"/>
    <w:rsid w:val="00111748"/>
    <w:rsid w:val="001118B3"/>
    <w:rsid w:val="00111C59"/>
    <w:rsid w:val="00111C94"/>
    <w:rsid w:val="00111D49"/>
    <w:rsid w:val="00111ECA"/>
    <w:rsid w:val="0011265E"/>
    <w:rsid w:val="0011271E"/>
    <w:rsid w:val="001128E0"/>
    <w:rsid w:val="001128ED"/>
    <w:rsid w:val="00112B02"/>
    <w:rsid w:val="00112EB7"/>
    <w:rsid w:val="0011302A"/>
    <w:rsid w:val="0011311C"/>
    <w:rsid w:val="0011368E"/>
    <w:rsid w:val="00113868"/>
    <w:rsid w:val="001138DE"/>
    <w:rsid w:val="00113AEC"/>
    <w:rsid w:val="00114077"/>
    <w:rsid w:val="001140D5"/>
    <w:rsid w:val="001144FE"/>
    <w:rsid w:val="0011478E"/>
    <w:rsid w:val="0011498B"/>
    <w:rsid w:val="00114EBC"/>
    <w:rsid w:val="00114F7C"/>
    <w:rsid w:val="00115147"/>
    <w:rsid w:val="0011539E"/>
    <w:rsid w:val="00115427"/>
    <w:rsid w:val="001158F1"/>
    <w:rsid w:val="00115A76"/>
    <w:rsid w:val="001160B7"/>
    <w:rsid w:val="001162FE"/>
    <w:rsid w:val="0011638F"/>
    <w:rsid w:val="001168F2"/>
    <w:rsid w:val="00116BF0"/>
    <w:rsid w:val="001172CB"/>
    <w:rsid w:val="001172CF"/>
    <w:rsid w:val="001175AD"/>
    <w:rsid w:val="0011788C"/>
    <w:rsid w:val="00120952"/>
    <w:rsid w:val="001209F4"/>
    <w:rsid w:val="00120ADE"/>
    <w:rsid w:val="00121025"/>
    <w:rsid w:val="0012127A"/>
    <w:rsid w:val="0012128A"/>
    <w:rsid w:val="00121610"/>
    <w:rsid w:val="00121AE8"/>
    <w:rsid w:val="001220A3"/>
    <w:rsid w:val="0012210D"/>
    <w:rsid w:val="001222F3"/>
    <w:rsid w:val="001224E3"/>
    <w:rsid w:val="00122FAA"/>
    <w:rsid w:val="00123001"/>
    <w:rsid w:val="00123183"/>
    <w:rsid w:val="0012332E"/>
    <w:rsid w:val="00123810"/>
    <w:rsid w:val="00123986"/>
    <w:rsid w:val="00123A44"/>
    <w:rsid w:val="00123A51"/>
    <w:rsid w:val="00123AB8"/>
    <w:rsid w:val="00123E67"/>
    <w:rsid w:val="0012478F"/>
    <w:rsid w:val="001248C7"/>
    <w:rsid w:val="001249C8"/>
    <w:rsid w:val="00124B57"/>
    <w:rsid w:val="00124D9B"/>
    <w:rsid w:val="00125031"/>
    <w:rsid w:val="0012595B"/>
    <w:rsid w:val="00125BF8"/>
    <w:rsid w:val="00125EC4"/>
    <w:rsid w:val="001263F6"/>
    <w:rsid w:val="00126407"/>
    <w:rsid w:val="001264E6"/>
    <w:rsid w:val="00126560"/>
    <w:rsid w:val="001266DB"/>
    <w:rsid w:val="00126758"/>
    <w:rsid w:val="001268F0"/>
    <w:rsid w:val="001269B3"/>
    <w:rsid w:val="00126EAC"/>
    <w:rsid w:val="00126F51"/>
    <w:rsid w:val="0012722B"/>
    <w:rsid w:val="00127303"/>
    <w:rsid w:val="001275BB"/>
    <w:rsid w:val="001304F8"/>
    <w:rsid w:val="00130515"/>
    <w:rsid w:val="0013084D"/>
    <w:rsid w:val="00130E80"/>
    <w:rsid w:val="001314C1"/>
    <w:rsid w:val="001320B7"/>
    <w:rsid w:val="0013237E"/>
    <w:rsid w:val="001324B3"/>
    <w:rsid w:val="0013260A"/>
    <w:rsid w:val="0013267E"/>
    <w:rsid w:val="00132A37"/>
    <w:rsid w:val="0013313B"/>
    <w:rsid w:val="00133489"/>
    <w:rsid w:val="0013369B"/>
    <w:rsid w:val="00133D43"/>
    <w:rsid w:val="00133D44"/>
    <w:rsid w:val="00133E09"/>
    <w:rsid w:val="00133EE5"/>
    <w:rsid w:val="0013401E"/>
    <w:rsid w:val="001342ED"/>
    <w:rsid w:val="001343D4"/>
    <w:rsid w:val="0013496D"/>
    <w:rsid w:val="00134A2C"/>
    <w:rsid w:val="00134AEF"/>
    <w:rsid w:val="00134BAE"/>
    <w:rsid w:val="00135129"/>
    <w:rsid w:val="00135527"/>
    <w:rsid w:val="001358F7"/>
    <w:rsid w:val="00135AE2"/>
    <w:rsid w:val="00135AEE"/>
    <w:rsid w:val="00135B64"/>
    <w:rsid w:val="00135DCA"/>
    <w:rsid w:val="001363BA"/>
    <w:rsid w:val="0013697E"/>
    <w:rsid w:val="00136A91"/>
    <w:rsid w:val="00136C9F"/>
    <w:rsid w:val="00136DC9"/>
    <w:rsid w:val="001375B1"/>
    <w:rsid w:val="00137890"/>
    <w:rsid w:val="00137C45"/>
    <w:rsid w:val="00137D9A"/>
    <w:rsid w:val="00137EC7"/>
    <w:rsid w:val="00140204"/>
    <w:rsid w:val="001402B0"/>
    <w:rsid w:val="001403E1"/>
    <w:rsid w:val="0014067C"/>
    <w:rsid w:val="001409B3"/>
    <w:rsid w:val="00140A33"/>
    <w:rsid w:val="00140BCD"/>
    <w:rsid w:val="00140FDE"/>
    <w:rsid w:val="00141301"/>
    <w:rsid w:val="00141305"/>
    <w:rsid w:val="00141549"/>
    <w:rsid w:val="0014160C"/>
    <w:rsid w:val="001417DD"/>
    <w:rsid w:val="0014198C"/>
    <w:rsid w:val="00141C29"/>
    <w:rsid w:val="00141EC4"/>
    <w:rsid w:val="00142066"/>
    <w:rsid w:val="00142151"/>
    <w:rsid w:val="00142295"/>
    <w:rsid w:val="001422F9"/>
    <w:rsid w:val="001429B0"/>
    <w:rsid w:val="001429ED"/>
    <w:rsid w:val="001429FF"/>
    <w:rsid w:val="00142AAC"/>
    <w:rsid w:val="00142BE7"/>
    <w:rsid w:val="001434B9"/>
    <w:rsid w:val="00143861"/>
    <w:rsid w:val="00143D5D"/>
    <w:rsid w:val="0014407C"/>
    <w:rsid w:val="00144194"/>
    <w:rsid w:val="00144214"/>
    <w:rsid w:val="0014431B"/>
    <w:rsid w:val="00144521"/>
    <w:rsid w:val="0014454D"/>
    <w:rsid w:val="001447DD"/>
    <w:rsid w:val="00144A4F"/>
    <w:rsid w:val="00144EB6"/>
    <w:rsid w:val="00145068"/>
    <w:rsid w:val="0014539F"/>
    <w:rsid w:val="00145B10"/>
    <w:rsid w:val="00145CF8"/>
    <w:rsid w:val="00145D24"/>
    <w:rsid w:val="00145F74"/>
    <w:rsid w:val="0014679D"/>
    <w:rsid w:val="0014703A"/>
    <w:rsid w:val="00147623"/>
    <w:rsid w:val="00147B1D"/>
    <w:rsid w:val="00147B93"/>
    <w:rsid w:val="0015018F"/>
    <w:rsid w:val="00150A0A"/>
    <w:rsid w:val="00150A4F"/>
    <w:rsid w:val="00150B1D"/>
    <w:rsid w:val="00150E65"/>
    <w:rsid w:val="001510A8"/>
    <w:rsid w:val="00151995"/>
    <w:rsid w:val="00152732"/>
    <w:rsid w:val="00152756"/>
    <w:rsid w:val="00152A1C"/>
    <w:rsid w:val="00152E1E"/>
    <w:rsid w:val="00152F00"/>
    <w:rsid w:val="001534F0"/>
    <w:rsid w:val="00153505"/>
    <w:rsid w:val="00153691"/>
    <w:rsid w:val="001539CE"/>
    <w:rsid w:val="00153A74"/>
    <w:rsid w:val="00153BBC"/>
    <w:rsid w:val="00153D94"/>
    <w:rsid w:val="00153DE2"/>
    <w:rsid w:val="0015438A"/>
    <w:rsid w:val="00154587"/>
    <w:rsid w:val="0015480C"/>
    <w:rsid w:val="00154FCA"/>
    <w:rsid w:val="001552AB"/>
    <w:rsid w:val="00155711"/>
    <w:rsid w:val="00155886"/>
    <w:rsid w:val="001559F9"/>
    <w:rsid w:val="00155A53"/>
    <w:rsid w:val="00155C45"/>
    <w:rsid w:val="0015618E"/>
    <w:rsid w:val="0015637F"/>
    <w:rsid w:val="001566B7"/>
    <w:rsid w:val="0015676D"/>
    <w:rsid w:val="0015691E"/>
    <w:rsid w:val="00156985"/>
    <w:rsid w:val="00156AEC"/>
    <w:rsid w:val="00156E6C"/>
    <w:rsid w:val="00156EE6"/>
    <w:rsid w:val="0015708F"/>
    <w:rsid w:val="001572D3"/>
    <w:rsid w:val="001572F5"/>
    <w:rsid w:val="00157709"/>
    <w:rsid w:val="001578EF"/>
    <w:rsid w:val="001579DC"/>
    <w:rsid w:val="00157E04"/>
    <w:rsid w:val="0016029F"/>
    <w:rsid w:val="001604C8"/>
    <w:rsid w:val="0016096C"/>
    <w:rsid w:val="00160CA2"/>
    <w:rsid w:val="00160D30"/>
    <w:rsid w:val="00160EF0"/>
    <w:rsid w:val="001611B9"/>
    <w:rsid w:val="00161419"/>
    <w:rsid w:val="00161960"/>
    <w:rsid w:val="001619A4"/>
    <w:rsid w:val="00161A96"/>
    <w:rsid w:val="00161E80"/>
    <w:rsid w:val="00161F44"/>
    <w:rsid w:val="00161F5E"/>
    <w:rsid w:val="00162136"/>
    <w:rsid w:val="00162165"/>
    <w:rsid w:val="00162169"/>
    <w:rsid w:val="001622CF"/>
    <w:rsid w:val="001627DE"/>
    <w:rsid w:val="001629B3"/>
    <w:rsid w:val="00162B60"/>
    <w:rsid w:val="00162C66"/>
    <w:rsid w:val="00162C6F"/>
    <w:rsid w:val="00163183"/>
    <w:rsid w:val="001632D3"/>
    <w:rsid w:val="00163351"/>
    <w:rsid w:val="001637A1"/>
    <w:rsid w:val="00163AF7"/>
    <w:rsid w:val="00164015"/>
    <w:rsid w:val="001646ED"/>
    <w:rsid w:val="001649CD"/>
    <w:rsid w:val="001652D7"/>
    <w:rsid w:val="00165351"/>
    <w:rsid w:val="00165454"/>
    <w:rsid w:val="001656DA"/>
    <w:rsid w:val="001656DC"/>
    <w:rsid w:val="00165AB9"/>
    <w:rsid w:val="00165D48"/>
    <w:rsid w:val="0016632C"/>
    <w:rsid w:val="00166421"/>
    <w:rsid w:val="0016674F"/>
    <w:rsid w:val="001669E1"/>
    <w:rsid w:val="0016702C"/>
    <w:rsid w:val="00167111"/>
    <w:rsid w:val="00167939"/>
    <w:rsid w:val="00167986"/>
    <w:rsid w:val="00167AC4"/>
    <w:rsid w:val="00167E54"/>
    <w:rsid w:val="00167F8D"/>
    <w:rsid w:val="00170081"/>
    <w:rsid w:val="001701A2"/>
    <w:rsid w:val="001701AD"/>
    <w:rsid w:val="001708C1"/>
    <w:rsid w:val="00170BB3"/>
    <w:rsid w:val="00170D0B"/>
    <w:rsid w:val="0017104F"/>
    <w:rsid w:val="001711EF"/>
    <w:rsid w:val="001715D2"/>
    <w:rsid w:val="0017178A"/>
    <w:rsid w:val="00171B32"/>
    <w:rsid w:val="00171F66"/>
    <w:rsid w:val="0017288C"/>
    <w:rsid w:val="00172CDF"/>
    <w:rsid w:val="00172D3B"/>
    <w:rsid w:val="00172FEA"/>
    <w:rsid w:val="0017315C"/>
    <w:rsid w:val="001737EC"/>
    <w:rsid w:val="00173DC9"/>
    <w:rsid w:val="001740D2"/>
    <w:rsid w:val="0017441B"/>
    <w:rsid w:val="00174799"/>
    <w:rsid w:val="00174C02"/>
    <w:rsid w:val="00174C36"/>
    <w:rsid w:val="00174D56"/>
    <w:rsid w:val="00174F1A"/>
    <w:rsid w:val="00174F66"/>
    <w:rsid w:val="0017542D"/>
    <w:rsid w:val="001754F6"/>
    <w:rsid w:val="00175664"/>
    <w:rsid w:val="00175923"/>
    <w:rsid w:val="00175A7E"/>
    <w:rsid w:val="00175AB5"/>
    <w:rsid w:val="00175CF1"/>
    <w:rsid w:val="00175DBE"/>
    <w:rsid w:val="00175DF8"/>
    <w:rsid w:val="00175E28"/>
    <w:rsid w:val="00176118"/>
    <w:rsid w:val="00176298"/>
    <w:rsid w:val="00176313"/>
    <w:rsid w:val="001768E7"/>
    <w:rsid w:val="00176C48"/>
    <w:rsid w:val="0017713A"/>
    <w:rsid w:val="0017752A"/>
    <w:rsid w:val="00177694"/>
    <w:rsid w:val="00177F1C"/>
    <w:rsid w:val="001800EB"/>
    <w:rsid w:val="001801BB"/>
    <w:rsid w:val="00180216"/>
    <w:rsid w:val="0018025B"/>
    <w:rsid w:val="00180289"/>
    <w:rsid w:val="001808CC"/>
    <w:rsid w:val="00180B89"/>
    <w:rsid w:val="00180CF6"/>
    <w:rsid w:val="00180F99"/>
    <w:rsid w:val="001811D4"/>
    <w:rsid w:val="0018134F"/>
    <w:rsid w:val="00181480"/>
    <w:rsid w:val="001814EB"/>
    <w:rsid w:val="00181739"/>
    <w:rsid w:val="00181BC8"/>
    <w:rsid w:val="00181BFB"/>
    <w:rsid w:val="00181CA9"/>
    <w:rsid w:val="00181D09"/>
    <w:rsid w:val="00182019"/>
    <w:rsid w:val="0018204E"/>
    <w:rsid w:val="001822F6"/>
    <w:rsid w:val="00182406"/>
    <w:rsid w:val="0018270F"/>
    <w:rsid w:val="001828E3"/>
    <w:rsid w:val="00182E23"/>
    <w:rsid w:val="00183187"/>
    <w:rsid w:val="001832A6"/>
    <w:rsid w:val="0018392E"/>
    <w:rsid w:val="00183C00"/>
    <w:rsid w:val="00183E2D"/>
    <w:rsid w:val="00183FBD"/>
    <w:rsid w:val="00184125"/>
    <w:rsid w:val="001841CA"/>
    <w:rsid w:val="00184426"/>
    <w:rsid w:val="00184A10"/>
    <w:rsid w:val="00184A3B"/>
    <w:rsid w:val="00184A8E"/>
    <w:rsid w:val="0018512B"/>
    <w:rsid w:val="00185165"/>
    <w:rsid w:val="001855C7"/>
    <w:rsid w:val="00185B4E"/>
    <w:rsid w:val="00185E95"/>
    <w:rsid w:val="00186253"/>
    <w:rsid w:val="001865D8"/>
    <w:rsid w:val="001865FB"/>
    <w:rsid w:val="00186882"/>
    <w:rsid w:val="00186A80"/>
    <w:rsid w:val="00186DD1"/>
    <w:rsid w:val="001875BA"/>
    <w:rsid w:val="001876FB"/>
    <w:rsid w:val="00187AB7"/>
    <w:rsid w:val="00187BBA"/>
    <w:rsid w:val="0019009E"/>
    <w:rsid w:val="001900D7"/>
    <w:rsid w:val="0019037E"/>
    <w:rsid w:val="00190565"/>
    <w:rsid w:val="0019056D"/>
    <w:rsid w:val="00190760"/>
    <w:rsid w:val="0019079E"/>
    <w:rsid w:val="00190B0A"/>
    <w:rsid w:val="00190B6C"/>
    <w:rsid w:val="00190BAE"/>
    <w:rsid w:val="00190CB5"/>
    <w:rsid w:val="00190D1F"/>
    <w:rsid w:val="00190D9D"/>
    <w:rsid w:val="00191013"/>
    <w:rsid w:val="00191709"/>
    <w:rsid w:val="00191979"/>
    <w:rsid w:val="00191A61"/>
    <w:rsid w:val="00191D4E"/>
    <w:rsid w:val="00191D73"/>
    <w:rsid w:val="001927DB"/>
    <w:rsid w:val="00192974"/>
    <w:rsid w:val="001930F3"/>
    <w:rsid w:val="00193247"/>
    <w:rsid w:val="00193257"/>
    <w:rsid w:val="00193677"/>
    <w:rsid w:val="00193A17"/>
    <w:rsid w:val="00193A26"/>
    <w:rsid w:val="00193B43"/>
    <w:rsid w:val="00193D79"/>
    <w:rsid w:val="00194369"/>
    <w:rsid w:val="001945C3"/>
    <w:rsid w:val="001945FB"/>
    <w:rsid w:val="00194755"/>
    <w:rsid w:val="001949E5"/>
    <w:rsid w:val="00194DC7"/>
    <w:rsid w:val="0019539E"/>
    <w:rsid w:val="00195619"/>
    <w:rsid w:val="0019564D"/>
    <w:rsid w:val="001957BF"/>
    <w:rsid w:val="0019647E"/>
    <w:rsid w:val="00196EB6"/>
    <w:rsid w:val="00196FBD"/>
    <w:rsid w:val="001973A3"/>
    <w:rsid w:val="00197500"/>
    <w:rsid w:val="00197561"/>
    <w:rsid w:val="00197EFA"/>
    <w:rsid w:val="00197F84"/>
    <w:rsid w:val="001A064B"/>
    <w:rsid w:val="001A07A6"/>
    <w:rsid w:val="001A07C8"/>
    <w:rsid w:val="001A08A8"/>
    <w:rsid w:val="001A0917"/>
    <w:rsid w:val="001A0918"/>
    <w:rsid w:val="001A0FBA"/>
    <w:rsid w:val="001A1335"/>
    <w:rsid w:val="001A17FB"/>
    <w:rsid w:val="001A1860"/>
    <w:rsid w:val="001A1B9B"/>
    <w:rsid w:val="001A1EBF"/>
    <w:rsid w:val="001A1FA9"/>
    <w:rsid w:val="001A1FED"/>
    <w:rsid w:val="001A2069"/>
    <w:rsid w:val="001A2471"/>
    <w:rsid w:val="001A2AC1"/>
    <w:rsid w:val="001A2C0E"/>
    <w:rsid w:val="001A2CE0"/>
    <w:rsid w:val="001A2CFC"/>
    <w:rsid w:val="001A3093"/>
    <w:rsid w:val="001A39C3"/>
    <w:rsid w:val="001A3B6B"/>
    <w:rsid w:val="001A4501"/>
    <w:rsid w:val="001A45D0"/>
    <w:rsid w:val="001A4609"/>
    <w:rsid w:val="001A471C"/>
    <w:rsid w:val="001A4906"/>
    <w:rsid w:val="001A49A3"/>
    <w:rsid w:val="001A49BF"/>
    <w:rsid w:val="001A4BC3"/>
    <w:rsid w:val="001A4C83"/>
    <w:rsid w:val="001A4CDD"/>
    <w:rsid w:val="001A51A2"/>
    <w:rsid w:val="001A5383"/>
    <w:rsid w:val="001A5A05"/>
    <w:rsid w:val="001A5FA9"/>
    <w:rsid w:val="001A6434"/>
    <w:rsid w:val="001A660C"/>
    <w:rsid w:val="001A6931"/>
    <w:rsid w:val="001A6CFB"/>
    <w:rsid w:val="001A72B9"/>
    <w:rsid w:val="001A7454"/>
    <w:rsid w:val="001A7959"/>
    <w:rsid w:val="001A79C5"/>
    <w:rsid w:val="001A79D4"/>
    <w:rsid w:val="001A7A50"/>
    <w:rsid w:val="001A7B38"/>
    <w:rsid w:val="001A7B89"/>
    <w:rsid w:val="001B0155"/>
    <w:rsid w:val="001B028C"/>
    <w:rsid w:val="001B0DED"/>
    <w:rsid w:val="001B15E6"/>
    <w:rsid w:val="001B1C3F"/>
    <w:rsid w:val="001B1E85"/>
    <w:rsid w:val="001B23A8"/>
    <w:rsid w:val="001B2AC5"/>
    <w:rsid w:val="001B2E2A"/>
    <w:rsid w:val="001B2F26"/>
    <w:rsid w:val="001B3297"/>
    <w:rsid w:val="001B399A"/>
    <w:rsid w:val="001B3AD7"/>
    <w:rsid w:val="001B3C96"/>
    <w:rsid w:val="001B41EC"/>
    <w:rsid w:val="001B4293"/>
    <w:rsid w:val="001B460F"/>
    <w:rsid w:val="001B4916"/>
    <w:rsid w:val="001B4970"/>
    <w:rsid w:val="001B49F6"/>
    <w:rsid w:val="001B4DCA"/>
    <w:rsid w:val="001B4ED7"/>
    <w:rsid w:val="001B4F4E"/>
    <w:rsid w:val="001B52D5"/>
    <w:rsid w:val="001B54A0"/>
    <w:rsid w:val="001B57B7"/>
    <w:rsid w:val="001B5AC4"/>
    <w:rsid w:val="001B5FB4"/>
    <w:rsid w:val="001B629D"/>
    <w:rsid w:val="001B6553"/>
    <w:rsid w:val="001B6AD1"/>
    <w:rsid w:val="001B6B0A"/>
    <w:rsid w:val="001B6B5F"/>
    <w:rsid w:val="001B6CEA"/>
    <w:rsid w:val="001B6E8A"/>
    <w:rsid w:val="001B76D5"/>
    <w:rsid w:val="001B784A"/>
    <w:rsid w:val="001B7F02"/>
    <w:rsid w:val="001C0298"/>
    <w:rsid w:val="001C030F"/>
    <w:rsid w:val="001C09E9"/>
    <w:rsid w:val="001C0C94"/>
    <w:rsid w:val="001C171F"/>
    <w:rsid w:val="001C1769"/>
    <w:rsid w:val="001C1BB7"/>
    <w:rsid w:val="001C1D36"/>
    <w:rsid w:val="001C1F5E"/>
    <w:rsid w:val="001C2029"/>
    <w:rsid w:val="001C2398"/>
    <w:rsid w:val="001C2419"/>
    <w:rsid w:val="001C255F"/>
    <w:rsid w:val="001C26AD"/>
    <w:rsid w:val="001C274F"/>
    <w:rsid w:val="001C2901"/>
    <w:rsid w:val="001C2B35"/>
    <w:rsid w:val="001C2DFB"/>
    <w:rsid w:val="001C2F65"/>
    <w:rsid w:val="001C314D"/>
    <w:rsid w:val="001C336B"/>
    <w:rsid w:val="001C35BF"/>
    <w:rsid w:val="001C37FF"/>
    <w:rsid w:val="001C3B74"/>
    <w:rsid w:val="001C3CBC"/>
    <w:rsid w:val="001C3D95"/>
    <w:rsid w:val="001C401B"/>
    <w:rsid w:val="001C444A"/>
    <w:rsid w:val="001C44EA"/>
    <w:rsid w:val="001C45AE"/>
    <w:rsid w:val="001C45E9"/>
    <w:rsid w:val="001C4657"/>
    <w:rsid w:val="001C4FA8"/>
    <w:rsid w:val="001C54A0"/>
    <w:rsid w:val="001C56DA"/>
    <w:rsid w:val="001C57E9"/>
    <w:rsid w:val="001C5948"/>
    <w:rsid w:val="001C5F02"/>
    <w:rsid w:val="001C6255"/>
    <w:rsid w:val="001C6541"/>
    <w:rsid w:val="001C65F4"/>
    <w:rsid w:val="001C66B7"/>
    <w:rsid w:val="001C67E0"/>
    <w:rsid w:val="001C6900"/>
    <w:rsid w:val="001C6955"/>
    <w:rsid w:val="001C6A4F"/>
    <w:rsid w:val="001C6C5F"/>
    <w:rsid w:val="001C6CAB"/>
    <w:rsid w:val="001C6DA5"/>
    <w:rsid w:val="001C6E23"/>
    <w:rsid w:val="001C7068"/>
    <w:rsid w:val="001C72C8"/>
    <w:rsid w:val="001C730E"/>
    <w:rsid w:val="001C73C4"/>
    <w:rsid w:val="001C78D8"/>
    <w:rsid w:val="001C7CC5"/>
    <w:rsid w:val="001C7D7D"/>
    <w:rsid w:val="001D00A6"/>
    <w:rsid w:val="001D01F9"/>
    <w:rsid w:val="001D08B0"/>
    <w:rsid w:val="001D0920"/>
    <w:rsid w:val="001D11FC"/>
    <w:rsid w:val="001D148D"/>
    <w:rsid w:val="001D15A4"/>
    <w:rsid w:val="001D1BB2"/>
    <w:rsid w:val="001D1CC8"/>
    <w:rsid w:val="001D1E21"/>
    <w:rsid w:val="001D221A"/>
    <w:rsid w:val="001D2396"/>
    <w:rsid w:val="001D274B"/>
    <w:rsid w:val="001D287D"/>
    <w:rsid w:val="001D2B86"/>
    <w:rsid w:val="001D2CD8"/>
    <w:rsid w:val="001D2F46"/>
    <w:rsid w:val="001D3140"/>
    <w:rsid w:val="001D33BE"/>
    <w:rsid w:val="001D3512"/>
    <w:rsid w:val="001D37BF"/>
    <w:rsid w:val="001D38A0"/>
    <w:rsid w:val="001D3A08"/>
    <w:rsid w:val="001D4115"/>
    <w:rsid w:val="001D4387"/>
    <w:rsid w:val="001D4787"/>
    <w:rsid w:val="001D482D"/>
    <w:rsid w:val="001D4C07"/>
    <w:rsid w:val="001D4EF4"/>
    <w:rsid w:val="001D5520"/>
    <w:rsid w:val="001D5AD2"/>
    <w:rsid w:val="001D5BE5"/>
    <w:rsid w:val="001D5C0A"/>
    <w:rsid w:val="001D5C9A"/>
    <w:rsid w:val="001D5E19"/>
    <w:rsid w:val="001D60C5"/>
    <w:rsid w:val="001D62C1"/>
    <w:rsid w:val="001D6371"/>
    <w:rsid w:val="001D64C8"/>
    <w:rsid w:val="001D650E"/>
    <w:rsid w:val="001D6685"/>
    <w:rsid w:val="001D69B9"/>
    <w:rsid w:val="001D6CF5"/>
    <w:rsid w:val="001D7698"/>
    <w:rsid w:val="001D7A54"/>
    <w:rsid w:val="001D7AA8"/>
    <w:rsid w:val="001D7C75"/>
    <w:rsid w:val="001D7E6A"/>
    <w:rsid w:val="001E00EA"/>
    <w:rsid w:val="001E0197"/>
    <w:rsid w:val="001E078C"/>
    <w:rsid w:val="001E07B6"/>
    <w:rsid w:val="001E08BA"/>
    <w:rsid w:val="001E0E22"/>
    <w:rsid w:val="001E0EAC"/>
    <w:rsid w:val="001E1408"/>
    <w:rsid w:val="001E141B"/>
    <w:rsid w:val="001E1430"/>
    <w:rsid w:val="001E15A7"/>
    <w:rsid w:val="001E17AD"/>
    <w:rsid w:val="001E193A"/>
    <w:rsid w:val="001E1C1F"/>
    <w:rsid w:val="001E1DC4"/>
    <w:rsid w:val="001E2077"/>
    <w:rsid w:val="001E210D"/>
    <w:rsid w:val="001E2160"/>
    <w:rsid w:val="001E2163"/>
    <w:rsid w:val="001E2265"/>
    <w:rsid w:val="001E23FA"/>
    <w:rsid w:val="001E241B"/>
    <w:rsid w:val="001E297D"/>
    <w:rsid w:val="001E2A25"/>
    <w:rsid w:val="001E2D4E"/>
    <w:rsid w:val="001E2D9C"/>
    <w:rsid w:val="001E2EAF"/>
    <w:rsid w:val="001E325C"/>
    <w:rsid w:val="001E345F"/>
    <w:rsid w:val="001E34FD"/>
    <w:rsid w:val="001E3834"/>
    <w:rsid w:val="001E4314"/>
    <w:rsid w:val="001E4591"/>
    <w:rsid w:val="001E460F"/>
    <w:rsid w:val="001E474F"/>
    <w:rsid w:val="001E4A3A"/>
    <w:rsid w:val="001E4B37"/>
    <w:rsid w:val="001E53A1"/>
    <w:rsid w:val="001E54AE"/>
    <w:rsid w:val="001E54FB"/>
    <w:rsid w:val="001E5504"/>
    <w:rsid w:val="001E5A79"/>
    <w:rsid w:val="001E5B4C"/>
    <w:rsid w:val="001E5FBC"/>
    <w:rsid w:val="001E604A"/>
    <w:rsid w:val="001E61E9"/>
    <w:rsid w:val="001E663D"/>
    <w:rsid w:val="001E6729"/>
    <w:rsid w:val="001E683F"/>
    <w:rsid w:val="001E6932"/>
    <w:rsid w:val="001E6A71"/>
    <w:rsid w:val="001E6A93"/>
    <w:rsid w:val="001E6C95"/>
    <w:rsid w:val="001E6F11"/>
    <w:rsid w:val="001E7134"/>
    <w:rsid w:val="001E731E"/>
    <w:rsid w:val="001E73FF"/>
    <w:rsid w:val="001E7F23"/>
    <w:rsid w:val="001F008A"/>
    <w:rsid w:val="001F0689"/>
    <w:rsid w:val="001F074A"/>
    <w:rsid w:val="001F07A0"/>
    <w:rsid w:val="001F0877"/>
    <w:rsid w:val="001F11DA"/>
    <w:rsid w:val="001F131F"/>
    <w:rsid w:val="001F1375"/>
    <w:rsid w:val="001F15BA"/>
    <w:rsid w:val="001F1CD6"/>
    <w:rsid w:val="001F2265"/>
    <w:rsid w:val="001F2761"/>
    <w:rsid w:val="001F27A0"/>
    <w:rsid w:val="001F2C53"/>
    <w:rsid w:val="001F31C3"/>
    <w:rsid w:val="001F35CD"/>
    <w:rsid w:val="001F3A50"/>
    <w:rsid w:val="001F3B8A"/>
    <w:rsid w:val="001F3FEA"/>
    <w:rsid w:val="001F41DD"/>
    <w:rsid w:val="001F42D7"/>
    <w:rsid w:val="001F4546"/>
    <w:rsid w:val="001F4B05"/>
    <w:rsid w:val="001F4CDD"/>
    <w:rsid w:val="001F58C6"/>
    <w:rsid w:val="001F5B3D"/>
    <w:rsid w:val="001F5E4E"/>
    <w:rsid w:val="001F6595"/>
    <w:rsid w:val="001F65A3"/>
    <w:rsid w:val="001F6813"/>
    <w:rsid w:val="001F69DE"/>
    <w:rsid w:val="001F6AB4"/>
    <w:rsid w:val="001F6D57"/>
    <w:rsid w:val="001F6D66"/>
    <w:rsid w:val="001F6EEF"/>
    <w:rsid w:val="001F6FE3"/>
    <w:rsid w:val="001F770C"/>
    <w:rsid w:val="001F771A"/>
    <w:rsid w:val="001F784A"/>
    <w:rsid w:val="001F79DC"/>
    <w:rsid w:val="001F7FC1"/>
    <w:rsid w:val="002002A7"/>
    <w:rsid w:val="00200438"/>
    <w:rsid w:val="00200519"/>
    <w:rsid w:val="002007BB"/>
    <w:rsid w:val="00200850"/>
    <w:rsid w:val="002009C2"/>
    <w:rsid w:val="00201287"/>
    <w:rsid w:val="0020154E"/>
    <w:rsid w:val="0020163C"/>
    <w:rsid w:val="00201C5D"/>
    <w:rsid w:val="00201D36"/>
    <w:rsid w:val="00202074"/>
    <w:rsid w:val="00202449"/>
    <w:rsid w:val="00202682"/>
    <w:rsid w:val="00202C4E"/>
    <w:rsid w:val="00202EEE"/>
    <w:rsid w:val="00202EF8"/>
    <w:rsid w:val="00203019"/>
    <w:rsid w:val="002030E0"/>
    <w:rsid w:val="002031CE"/>
    <w:rsid w:val="002031D5"/>
    <w:rsid w:val="002032C8"/>
    <w:rsid w:val="00203B51"/>
    <w:rsid w:val="00203BE7"/>
    <w:rsid w:val="00203D1B"/>
    <w:rsid w:val="00203EED"/>
    <w:rsid w:val="00203F27"/>
    <w:rsid w:val="00204010"/>
    <w:rsid w:val="0020409A"/>
    <w:rsid w:val="002047C6"/>
    <w:rsid w:val="00204CC1"/>
    <w:rsid w:val="0020502D"/>
    <w:rsid w:val="002056E9"/>
    <w:rsid w:val="002056FA"/>
    <w:rsid w:val="00205C7C"/>
    <w:rsid w:val="002060ED"/>
    <w:rsid w:val="0020619B"/>
    <w:rsid w:val="0020637B"/>
    <w:rsid w:val="002066F4"/>
    <w:rsid w:val="00206A72"/>
    <w:rsid w:val="00207266"/>
    <w:rsid w:val="00207360"/>
    <w:rsid w:val="0020760D"/>
    <w:rsid w:val="00207D13"/>
    <w:rsid w:val="00207D58"/>
    <w:rsid w:val="00207F88"/>
    <w:rsid w:val="00210001"/>
    <w:rsid w:val="00210170"/>
    <w:rsid w:val="0021031F"/>
    <w:rsid w:val="002104B5"/>
    <w:rsid w:val="00210811"/>
    <w:rsid w:val="0021089B"/>
    <w:rsid w:val="002109AB"/>
    <w:rsid w:val="00210A2D"/>
    <w:rsid w:val="00210AE5"/>
    <w:rsid w:val="00210AE7"/>
    <w:rsid w:val="00210CBC"/>
    <w:rsid w:val="0021122B"/>
    <w:rsid w:val="002115E4"/>
    <w:rsid w:val="002120E5"/>
    <w:rsid w:val="002121B3"/>
    <w:rsid w:val="002123CC"/>
    <w:rsid w:val="002126FE"/>
    <w:rsid w:val="002127FB"/>
    <w:rsid w:val="00212D5B"/>
    <w:rsid w:val="00212FCF"/>
    <w:rsid w:val="002137AC"/>
    <w:rsid w:val="002137E8"/>
    <w:rsid w:val="002139B7"/>
    <w:rsid w:val="00213AD1"/>
    <w:rsid w:val="00213BB9"/>
    <w:rsid w:val="00213D00"/>
    <w:rsid w:val="00213FC1"/>
    <w:rsid w:val="0021411A"/>
    <w:rsid w:val="0021442D"/>
    <w:rsid w:val="002144A7"/>
    <w:rsid w:val="00214616"/>
    <w:rsid w:val="00214617"/>
    <w:rsid w:val="002147D2"/>
    <w:rsid w:val="0021498C"/>
    <w:rsid w:val="00214B2E"/>
    <w:rsid w:val="00214D99"/>
    <w:rsid w:val="00214EAA"/>
    <w:rsid w:val="002150FA"/>
    <w:rsid w:val="002151FF"/>
    <w:rsid w:val="002153DC"/>
    <w:rsid w:val="00215669"/>
    <w:rsid w:val="00215D8D"/>
    <w:rsid w:val="00215DF4"/>
    <w:rsid w:val="00215E1F"/>
    <w:rsid w:val="0021689D"/>
    <w:rsid w:val="0021703E"/>
    <w:rsid w:val="00217044"/>
    <w:rsid w:val="002171BD"/>
    <w:rsid w:val="002171D5"/>
    <w:rsid w:val="00217565"/>
    <w:rsid w:val="0021777A"/>
    <w:rsid w:val="00217D64"/>
    <w:rsid w:val="0022031B"/>
    <w:rsid w:val="0022032A"/>
    <w:rsid w:val="002205D1"/>
    <w:rsid w:val="002213DB"/>
    <w:rsid w:val="002213E4"/>
    <w:rsid w:val="00221580"/>
    <w:rsid w:val="002215A4"/>
    <w:rsid w:val="002222F0"/>
    <w:rsid w:val="002225FA"/>
    <w:rsid w:val="00222CA8"/>
    <w:rsid w:val="0022316C"/>
    <w:rsid w:val="00223391"/>
    <w:rsid w:val="0022395F"/>
    <w:rsid w:val="00223F60"/>
    <w:rsid w:val="00224118"/>
    <w:rsid w:val="002244BB"/>
    <w:rsid w:val="00224881"/>
    <w:rsid w:val="00224E27"/>
    <w:rsid w:val="00224E44"/>
    <w:rsid w:val="00224E93"/>
    <w:rsid w:val="0022525C"/>
    <w:rsid w:val="002253EE"/>
    <w:rsid w:val="0022553E"/>
    <w:rsid w:val="00225858"/>
    <w:rsid w:val="00225B89"/>
    <w:rsid w:val="00225CF8"/>
    <w:rsid w:val="0022604B"/>
    <w:rsid w:val="0022615B"/>
    <w:rsid w:val="00226525"/>
    <w:rsid w:val="002268F4"/>
    <w:rsid w:val="00226C5C"/>
    <w:rsid w:val="00226E43"/>
    <w:rsid w:val="002279F1"/>
    <w:rsid w:val="00227A0F"/>
    <w:rsid w:val="00227A32"/>
    <w:rsid w:val="00227DCD"/>
    <w:rsid w:val="00227F4B"/>
    <w:rsid w:val="002305BD"/>
    <w:rsid w:val="002306B5"/>
    <w:rsid w:val="002309D2"/>
    <w:rsid w:val="00230DF1"/>
    <w:rsid w:val="002310E6"/>
    <w:rsid w:val="00231446"/>
    <w:rsid w:val="0023165E"/>
    <w:rsid w:val="00231B71"/>
    <w:rsid w:val="00231BC4"/>
    <w:rsid w:val="00231C96"/>
    <w:rsid w:val="00231CE5"/>
    <w:rsid w:val="00231FF0"/>
    <w:rsid w:val="0023223F"/>
    <w:rsid w:val="0023262A"/>
    <w:rsid w:val="002326E8"/>
    <w:rsid w:val="00232910"/>
    <w:rsid w:val="00232AD5"/>
    <w:rsid w:val="00232BCA"/>
    <w:rsid w:val="00232D19"/>
    <w:rsid w:val="00232F2C"/>
    <w:rsid w:val="00233D5B"/>
    <w:rsid w:val="002340D1"/>
    <w:rsid w:val="002345D8"/>
    <w:rsid w:val="00234750"/>
    <w:rsid w:val="0023481B"/>
    <w:rsid w:val="00234B22"/>
    <w:rsid w:val="00234BD9"/>
    <w:rsid w:val="00234F42"/>
    <w:rsid w:val="0023512A"/>
    <w:rsid w:val="0023623D"/>
    <w:rsid w:val="0023626E"/>
    <w:rsid w:val="002364B7"/>
    <w:rsid w:val="002365A5"/>
    <w:rsid w:val="002365DC"/>
    <w:rsid w:val="00237215"/>
    <w:rsid w:val="00237359"/>
    <w:rsid w:val="00237B23"/>
    <w:rsid w:val="00237BF4"/>
    <w:rsid w:val="00237DC4"/>
    <w:rsid w:val="00237E07"/>
    <w:rsid w:val="00237F2F"/>
    <w:rsid w:val="00240127"/>
    <w:rsid w:val="0024044C"/>
    <w:rsid w:val="00240903"/>
    <w:rsid w:val="00240A9B"/>
    <w:rsid w:val="00241503"/>
    <w:rsid w:val="002417CD"/>
    <w:rsid w:val="00241CFA"/>
    <w:rsid w:val="00241EEC"/>
    <w:rsid w:val="002420D8"/>
    <w:rsid w:val="002421B7"/>
    <w:rsid w:val="00242394"/>
    <w:rsid w:val="0024241A"/>
    <w:rsid w:val="0024267E"/>
    <w:rsid w:val="00242B30"/>
    <w:rsid w:val="00242CC2"/>
    <w:rsid w:val="00242F6C"/>
    <w:rsid w:val="0024326B"/>
    <w:rsid w:val="002432B3"/>
    <w:rsid w:val="00243329"/>
    <w:rsid w:val="00243C0F"/>
    <w:rsid w:val="00243D9D"/>
    <w:rsid w:val="002440E8"/>
    <w:rsid w:val="002444F9"/>
    <w:rsid w:val="0024455F"/>
    <w:rsid w:val="002446FB"/>
    <w:rsid w:val="00244954"/>
    <w:rsid w:val="00244A75"/>
    <w:rsid w:val="00244A90"/>
    <w:rsid w:val="00244CE6"/>
    <w:rsid w:val="00245228"/>
    <w:rsid w:val="002453F9"/>
    <w:rsid w:val="002456E4"/>
    <w:rsid w:val="0024598C"/>
    <w:rsid w:val="00245BFE"/>
    <w:rsid w:val="00245CC1"/>
    <w:rsid w:val="00245E2B"/>
    <w:rsid w:val="00245EA5"/>
    <w:rsid w:val="002460B9"/>
    <w:rsid w:val="002462B7"/>
    <w:rsid w:val="00246465"/>
    <w:rsid w:val="002467CE"/>
    <w:rsid w:val="00246A0B"/>
    <w:rsid w:val="00246DCC"/>
    <w:rsid w:val="00246E32"/>
    <w:rsid w:val="00246E7B"/>
    <w:rsid w:val="00246F16"/>
    <w:rsid w:val="00246FA6"/>
    <w:rsid w:val="0024723A"/>
    <w:rsid w:val="002472AD"/>
    <w:rsid w:val="00247320"/>
    <w:rsid w:val="0024743F"/>
    <w:rsid w:val="00247627"/>
    <w:rsid w:val="0024762B"/>
    <w:rsid w:val="00247722"/>
    <w:rsid w:val="00247759"/>
    <w:rsid w:val="00247842"/>
    <w:rsid w:val="002478AA"/>
    <w:rsid w:val="00247C80"/>
    <w:rsid w:val="002501B6"/>
    <w:rsid w:val="002501D0"/>
    <w:rsid w:val="00250472"/>
    <w:rsid w:val="002505CA"/>
    <w:rsid w:val="002505EA"/>
    <w:rsid w:val="002507E9"/>
    <w:rsid w:val="00250906"/>
    <w:rsid w:val="00250964"/>
    <w:rsid w:val="00250B3C"/>
    <w:rsid w:val="00250D51"/>
    <w:rsid w:val="00251008"/>
    <w:rsid w:val="00251104"/>
    <w:rsid w:val="00251491"/>
    <w:rsid w:val="0025158E"/>
    <w:rsid w:val="002516EC"/>
    <w:rsid w:val="00251EEB"/>
    <w:rsid w:val="002524B7"/>
    <w:rsid w:val="00252898"/>
    <w:rsid w:val="002529F1"/>
    <w:rsid w:val="00252A9B"/>
    <w:rsid w:val="00252B3E"/>
    <w:rsid w:val="00252D30"/>
    <w:rsid w:val="00252E38"/>
    <w:rsid w:val="00252EE2"/>
    <w:rsid w:val="0025370C"/>
    <w:rsid w:val="00253DDE"/>
    <w:rsid w:val="00253E71"/>
    <w:rsid w:val="00254255"/>
    <w:rsid w:val="002544C9"/>
    <w:rsid w:val="002544DC"/>
    <w:rsid w:val="002545E9"/>
    <w:rsid w:val="00254766"/>
    <w:rsid w:val="00254BD2"/>
    <w:rsid w:val="002550E5"/>
    <w:rsid w:val="002552AD"/>
    <w:rsid w:val="002556E8"/>
    <w:rsid w:val="002557C8"/>
    <w:rsid w:val="002557F2"/>
    <w:rsid w:val="002558EC"/>
    <w:rsid w:val="00255901"/>
    <w:rsid w:val="00255A31"/>
    <w:rsid w:val="00255C30"/>
    <w:rsid w:val="00255E87"/>
    <w:rsid w:val="00256327"/>
    <w:rsid w:val="002566B6"/>
    <w:rsid w:val="00256A30"/>
    <w:rsid w:val="00256D1F"/>
    <w:rsid w:val="00256E44"/>
    <w:rsid w:val="00257945"/>
    <w:rsid w:val="00257B20"/>
    <w:rsid w:val="00257C78"/>
    <w:rsid w:val="00257CD6"/>
    <w:rsid w:val="00257F6E"/>
    <w:rsid w:val="00260069"/>
    <w:rsid w:val="002603C1"/>
    <w:rsid w:val="002605AF"/>
    <w:rsid w:val="00260628"/>
    <w:rsid w:val="00260A44"/>
    <w:rsid w:val="00260BE5"/>
    <w:rsid w:val="00261245"/>
    <w:rsid w:val="002613EC"/>
    <w:rsid w:val="0026158A"/>
    <w:rsid w:val="002615C4"/>
    <w:rsid w:val="002617FC"/>
    <w:rsid w:val="002618C8"/>
    <w:rsid w:val="00261F64"/>
    <w:rsid w:val="00261F7E"/>
    <w:rsid w:val="00262127"/>
    <w:rsid w:val="002625C3"/>
    <w:rsid w:val="00262662"/>
    <w:rsid w:val="00262953"/>
    <w:rsid w:val="00262AF7"/>
    <w:rsid w:val="00262B1A"/>
    <w:rsid w:val="00262FC8"/>
    <w:rsid w:val="00263174"/>
    <w:rsid w:val="00263525"/>
    <w:rsid w:val="0026356B"/>
    <w:rsid w:val="00263740"/>
    <w:rsid w:val="00263A51"/>
    <w:rsid w:val="00263C22"/>
    <w:rsid w:val="00263C47"/>
    <w:rsid w:val="00263DD7"/>
    <w:rsid w:val="00263F91"/>
    <w:rsid w:val="002643DD"/>
    <w:rsid w:val="0026442F"/>
    <w:rsid w:val="0026459B"/>
    <w:rsid w:val="002645AA"/>
    <w:rsid w:val="00264A80"/>
    <w:rsid w:val="00264AB5"/>
    <w:rsid w:val="00264C04"/>
    <w:rsid w:val="00264D08"/>
    <w:rsid w:val="00264ED9"/>
    <w:rsid w:val="00264F60"/>
    <w:rsid w:val="00265227"/>
    <w:rsid w:val="002654DB"/>
    <w:rsid w:val="002655CD"/>
    <w:rsid w:val="00265686"/>
    <w:rsid w:val="00265745"/>
    <w:rsid w:val="002657AA"/>
    <w:rsid w:val="0026589E"/>
    <w:rsid w:val="002659BB"/>
    <w:rsid w:val="00265C8D"/>
    <w:rsid w:val="00265F43"/>
    <w:rsid w:val="00265F85"/>
    <w:rsid w:val="0026609B"/>
    <w:rsid w:val="0026610E"/>
    <w:rsid w:val="002661CD"/>
    <w:rsid w:val="0026650A"/>
    <w:rsid w:val="00266A02"/>
    <w:rsid w:val="00266CFE"/>
    <w:rsid w:val="00266D06"/>
    <w:rsid w:val="00266E38"/>
    <w:rsid w:val="002670E0"/>
    <w:rsid w:val="002671CE"/>
    <w:rsid w:val="002671DB"/>
    <w:rsid w:val="00267BCA"/>
    <w:rsid w:val="00267C25"/>
    <w:rsid w:val="00267CDE"/>
    <w:rsid w:val="00267DBA"/>
    <w:rsid w:val="0027047E"/>
    <w:rsid w:val="00270B77"/>
    <w:rsid w:val="00270BF9"/>
    <w:rsid w:val="0027110C"/>
    <w:rsid w:val="00271121"/>
    <w:rsid w:val="00271451"/>
    <w:rsid w:val="00271716"/>
    <w:rsid w:val="00271CA8"/>
    <w:rsid w:val="00271D11"/>
    <w:rsid w:val="00271E72"/>
    <w:rsid w:val="00271F52"/>
    <w:rsid w:val="0027214E"/>
    <w:rsid w:val="002723A0"/>
    <w:rsid w:val="002723C3"/>
    <w:rsid w:val="00272685"/>
    <w:rsid w:val="002727BA"/>
    <w:rsid w:val="002729D2"/>
    <w:rsid w:val="00272A6D"/>
    <w:rsid w:val="00272C7C"/>
    <w:rsid w:val="00272D54"/>
    <w:rsid w:val="00272F3A"/>
    <w:rsid w:val="00273145"/>
    <w:rsid w:val="00273153"/>
    <w:rsid w:val="0027369E"/>
    <w:rsid w:val="002739DC"/>
    <w:rsid w:val="00273A00"/>
    <w:rsid w:val="00273B01"/>
    <w:rsid w:val="00273BED"/>
    <w:rsid w:val="00273C4B"/>
    <w:rsid w:val="00273ECF"/>
    <w:rsid w:val="00273EF1"/>
    <w:rsid w:val="002745EF"/>
    <w:rsid w:val="0027464E"/>
    <w:rsid w:val="002749D9"/>
    <w:rsid w:val="002749DC"/>
    <w:rsid w:val="00274F63"/>
    <w:rsid w:val="002752EA"/>
    <w:rsid w:val="00275310"/>
    <w:rsid w:val="00275389"/>
    <w:rsid w:val="002753B5"/>
    <w:rsid w:val="00275850"/>
    <w:rsid w:val="00275AB6"/>
    <w:rsid w:val="00275D63"/>
    <w:rsid w:val="00275F25"/>
    <w:rsid w:val="002761C2"/>
    <w:rsid w:val="00276270"/>
    <w:rsid w:val="00276996"/>
    <w:rsid w:val="002769D4"/>
    <w:rsid w:val="00276A17"/>
    <w:rsid w:val="00276CE1"/>
    <w:rsid w:val="0027703C"/>
    <w:rsid w:val="00277540"/>
    <w:rsid w:val="002777C4"/>
    <w:rsid w:val="00277861"/>
    <w:rsid w:val="0027791F"/>
    <w:rsid w:val="002779CD"/>
    <w:rsid w:val="002802BE"/>
    <w:rsid w:val="00280552"/>
    <w:rsid w:val="00280AA8"/>
    <w:rsid w:val="00280B28"/>
    <w:rsid w:val="00280F49"/>
    <w:rsid w:val="0028121B"/>
    <w:rsid w:val="002814A4"/>
    <w:rsid w:val="002814AD"/>
    <w:rsid w:val="002817AF"/>
    <w:rsid w:val="00281AA3"/>
    <w:rsid w:val="00281E75"/>
    <w:rsid w:val="00281FBD"/>
    <w:rsid w:val="0028236A"/>
    <w:rsid w:val="002826F5"/>
    <w:rsid w:val="00282981"/>
    <w:rsid w:val="0028298F"/>
    <w:rsid w:val="00282C14"/>
    <w:rsid w:val="00282C97"/>
    <w:rsid w:val="00282FE6"/>
    <w:rsid w:val="00283853"/>
    <w:rsid w:val="00283FFF"/>
    <w:rsid w:val="0028425E"/>
    <w:rsid w:val="0028488F"/>
    <w:rsid w:val="00284C25"/>
    <w:rsid w:val="002851D7"/>
    <w:rsid w:val="00285C6F"/>
    <w:rsid w:val="00285D04"/>
    <w:rsid w:val="0028601B"/>
    <w:rsid w:val="00286066"/>
    <w:rsid w:val="002860CD"/>
    <w:rsid w:val="002862D1"/>
    <w:rsid w:val="0028678E"/>
    <w:rsid w:val="00286A52"/>
    <w:rsid w:val="0028740D"/>
    <w:rsid w:val="00287534"/>
    <w:rsid w:val="00287733"/>
    <w:rsid w:val="002879E5"/>
    <w:rsid w:val="00287C34"/>
    <w:rsid w:val="00287D82"/>
    <w:rsid w:val="0029006B"/>
    <w:rsid w:val="002903E3"/>
    <w:rsid w:val="0029047C"/>
    <w:rsid w:val="002905AE"/>
    <w:rsid w:val="0029075D"/>
    <w:rsid w:val="0029080B"/>
    <w:rsid w:val="00290822"/>
    <w:rsid w:val="0029086F"/>
    <w:rsid w:val="00291111"/>
    <w:rsid w:val="0029134F"/>
    <w:rsid w:val="00291489"/>
    <w:rsid w:val="0029154A"/>
    <w:rsid w:val="002916E9"/>
    <w:rsid w:val="00291F68"/>
    <w:rsid w:val="002927C4"/>
    <w:rsid w:val="00292A5E"/>
    <w:rsid w:val="00292C08"/>
    <w:rsid w:val="00292C7C"/>
    <w:rsid w:val="00292C87"/>
    <w:rsid w:val="002935FB"/>
    <w:rsid w:val="00293947"/>
    <w:rsid w:val="00293BCF"/>
    <w:rsid w:val="0029410F"/>
    <w:rsid w:val="002942F9"/>
    <w:rsid w:val="002944CC"/>
    <w:rsid w:val="002946FF"/>
    <w:rsid w:val="0029472A"/>
    <w:rsid w:val="00294886"/>
    <w:rsid w:val="00294ABA"/>
    <w:rsid w:val="00294EB9"/>
    <w:rsid w:val="00294FF2"/>
    <w:rsid w:val="00295112"/>
    <w:rsid w:val="002951D4"/>
    <w:rsid w:val="00295664"/>
    <w:rsid w:val="00295789"/>
    <w:rsid w:val="0029585A"/>
    <w:rsid w:val="00295924"/>
    <w:rsid w:val="00295C8B"/>
    <w:rsid w:val="00295D2B"/>
    <w:rsid w:val="00295E3A"/>
    <w:rsid w:val="00296028"/>
    <w:rsid w:val="0029612D"/>
    <w:rsid w:val="0029647C"/>
    <w:rsid w:val="00296940"/>
    <w:rsid w:val="00296F41"/>
    <w:rsid w:val="00297233"/>
    <w:rsid w:val="00297592"/>
    <w:rsid w:val="00297A87"/>
    <w:rsid w:val="00297C54"/>
    <w:rsid w:val="00297E70"/>
    <w:rsid w:val="002A0505"/>
    <w:rsid w:val="002A0B4D"/>
    <w:rsid w:val="002A0CB7"/>
    <w:rsid w:val="002A0CC4"/>
    <w:rsid w:val="002A0D40"/>
    <w:rsid w:val="002A1115"/>
    <w:rsid w:val="002A12BC"/>
    <w:rsid w:val="002A13DA"/>
    <w:rsid w:val="002A16F0"/>
    <w:rsid w:val="002A1E7F"/>
    <w:rsid w:val="002A2482"/>
    <w:rsid w:val="002A2648"/>
    <w:rsid w:val="002A280D"/>
    <w:rsid w:val="002A28F8"/>
    <w:rsid w:val="002A2F06"/>
    <w:rsid w:val="002A317E"/>
    <w:rsid w:val="002A323F"/>
    <w:rsid w:val="002A3717"/>
    <w:rsid w:val="002A37D9"/>
    <w:rsid w:val="002A3DE2"/>
    <w:rsid w:val="002A3E41"/>
    <w:rsid w:val="002A43CD"/>
    <w:rsid w:val="002A4531"/>
    <w:rsid w:val="002A45FC"/>
    <w:rsid w:val="002A4B5E"/>
    <w:rsid w:val="002A4C8D"/>
    <w:rsid w:val="002A4CAC"/>
    <w:rsid w:val="002A4CF7"/>
    <w:rsid w:val="002A506D"/>
    <w:rsid w:val="002A5271"/>
    <w:rsid w:val="002A531C"/>
    <w:rsid w:val="002A559C"/>
    <w:rsid w:val="002A573D"/>
    <w:rsid w:val="002A57C1"/>
    <w:rsid w:val="002A59D1"/>
    <w:rsid w:val="002A6217"/>
    <w:rsid w:val="002A658D"/>
    <w:rsid w:val="002A65C8"/>
    <w:rsid w:val="002A66C5"/>
    <w:rsid w:val="002A6BA5"/>
    <w:rsid w:val="002A6BA6"/>
    <w:rsid w:val="002A6CC3"/>
    <w:rsid w:val="002A724C"/>
    <w:rsid w:val="002A736E"/>
    <w:rsid w:val="002A73BE"/>
    <w:rsid w:val="002A7480"/>
    <w:rsid w:val="002A76C5"/>
    <w:rsid w:val="002A7E42"/>
    <w:rsid w:val="002A7E6B"/>
    <w:rsid w:val="002B00EE"/>
    <w:rsid w:val="002B0963"/>
    <w:rsid w:val="002B0B7A"/>
    <w:rsid w:val="002B0D30"/>
    <w:rsid w:val="002B110D"/>
    <w:rsid w:val="002B18EF"/>
    <w:rsid w:val="002B1C95"/>
    <w:rsid w:val="002B1CD9"/>
    <w:rsid w:val="002B1D33"/>
    <w:rsid w:val="002B1E7F"/>
    <w:rsid w:val="002B215D"/>
    <w:rsid w:val="002B2168"/>
    <w:rsid w:val="002B2274"/>
    <w:rsid w:val="002B2390"/>
    <w:rsid w:val="002B254A"/>
    <w:rsid w:val="002B2AA3"/>
    <w:rsid w:val="002B2B90"/>
    <w:rsid w:val="002B30EE"/>
    <w:rsid w:val="002B31BC"/>
    <w:rsid w:val="002B33AA"/>
    <w:rsid w:val="002B351B"/>
    <w:rsid w:val="002B3D83"/>
    <w:rsid w:val="002B4220"/>
    <w:rsid w:val="002B427B"/>
    <w:rsid w:val="002B45CF"/>
    <w:rsid w:val="002B4802"/>
    <w:rsid w:val="002B50AD"/>
    <w:rsid w:val="002B550E"/>
    <w:rsid w:val="002B551A"/>
    <w:rsid w:val="002B5604"/>
    <w:rsid w:val="002B5A36"/>
    <w:rsid w:val="002B5B13"/>
    <w:rsid w:val="002B5BC1"/>
    <w:rsid w:val="002B5E3E"/>
    <w:rsid w:val="002B62F1"/>
    <w:rsid w:val="002B649A"/>
    <w:rsid w:val="002B6734"/>
    <w:rsid w:val="002B6862"/>
    <w:rsid w:val="002B6B74"/>
    <w:rsid w:val="002B6F08"/>
    <w:rsid w:val="002B7100"/>
    <w:rsid w:val="002B71E7"/>
    <w:rsid w:val="002B737E"/>
    <w:rsid w:val="002B759C"/>
    <w:rsid w:val="002B7896"/>
    <w:rsid w:val="002B7BBC"/>
    <w:rsid w:val="002B7F64"/>
    <w:rsid w:val="002C014D"/>
    <w:rsid w:val="002C02D8"/>
    <w:rsid w:val="002C0343"/>
    <w:rsid w:val="002C0456"/>
    <w:rsid w:val="002C0698"/>
    <w:rsid w:val="002C07F3"/>
    <w:rsid w:val="002C085C"/>
    <w:rsid w:val="002C0A83"/>
    <w:rsid w:val="002C0BC6"/>
    <w:rsid w:val="002C0EFA"/>
    <w:rsid w:val="002C12B0"/>
    <w:rsid w:val="002C1344"/>
    <w:rsid w:val="002C1B32"/>
    <w:rsid w:val="002C1B85"/>
    <w:rsid w:val="002C1B90"/>
    <w:rsid w:val="002C1CBF"/>
    <w:rsid w:val="002C210A"/>
    <w:rsid w:val="002C210C"/>
    <w:rsid w:val="002C23AE"/>
    <w:rsid w:val="002C24A6"/>
    <w:rsid w:val="002C2639"/>
    <w:rsid w:val="002C2863"/>
    <w:rsid w:val="002C29DE"/>
    <w:rsid w:val="002C2C7D"/>
    <w:rsid w:val="002C2CEA"/>
    <w:rsid w:val="002C2FD8"/>
    <w:rsid w:val="002C34E9"/>
    <w:rsid w:val="002C36B7"/>
    <w:rsid w:val="002C3893"/>
    <w:rsid w:val="002C3D38"/>
    <w:rsid w:val="002C3F31"/>
    <w:rsid w:val="002C4086"/>
    <w:rsid w:val="002C41DA"/>
    <w:rsid w:val="002C4283"/>
    <w:rsid w:val="002C4315"/>
    <w:rsid w:val="002C459A"/>
    <w:rsid w:val="002C4A96"/>
    <w:rsid w:val="002C503D"/>
    <w:rsid w:val="002C5474"/>
    <w:rsid w:val="002C54DC"/>
    <w:rsid w:val="002C573F"/>
    <w:rsid w:val="002C6069"/>
    <w:rsid w:val="002C61FC"/>
    <w:rsid w:val="002C668C"/>
    <w:rsid w:val="002C6759"/>
    <w:rsid w:val="002C6B3F"/>
    <w:rsid w:val="002C6E2E"/>
    <w:rsid w:val="002C6F39"/>
    <w:rsid w:val="002C703E"/>
    <w:rsid w:val="002C794B"/>
    <w:rsid w:val="002C7E41"/>
    <w:rsid w:val="002D002F"/>
    <w:rsid w:val="002D00C7"/>
    <w:rsid w:val="002D04C5"/>
    <w:rsid w:val="002D0635"/>
    <w:rsid w:val="002D064D"/>
    <w:rsid w:val="002D06CF"/>
    <w:rsid w:val="002D0951"/>
    <w:rsid w:val="002D0A6B"/>
    <w:rsid w:val="002D0C6D"/>
    <w:rsid w:val="002D0C81"/>
    <w:rsid w:val="002D136A"/>
    <w:rsid w:val="002D176F"/>
    <w:rsid w:val="002D19DB"/>
    <w:rsid w:val="002D1C85"/>
    <w:rsid w:val="002D1D17"/>
    <w:rsid w:val="002D205C"/>
    <w:rsid w:val="002D2128"/>
    <w:rsid w:val="002D21C9"/>
    <w:rsid w:val="002D2669"/>
    <w:rsid w:val="002D2845"/>
    <w:rsid w:val="002D29F3"/>
    <w:rsid w:val="002D2D88"/>
    <w:rsid w:val="002D3049"/>
    <w:rsid w:val="002D329E"/>
    <w:rsid w:val="002D348D"/>
    <w:rsid w:val="002D37BE"/>
    <w:rsid w:val="002D38F7"/>
    <w:rsid w:val="002D395B"/>
    <w:rsid w:val="002D3961"/>
    <w:rsid w:val="002D3C6F"/>
    <w:rsid w:val="002D3E9B"/>
    <w:rsid w:val="002D3F08"/>
    <w:rsid w:val="002D3F5F"/>
    <w:rsid w:val="002D3FE7"/>
    <w:rsid w:val="002D42AB"/>
    <w:rsid w:val="002D42CD"/>
    <w:rsid w:val="002D444B"/>
    <w:rsid w:val="002D5456"/>
    <w:rsid w:val="002D5569"/>
    <w:rsid w:val="002D588C"/>
    <w:rsid w:val="002D59EF"/>
    <w:rsid w:val="002D5B8A"/>
    <w:rsid w:val="002D6141"/>
    <w:rsid w:val="002D6622"/>
    <w:rsid w:val="002D6691"/>
    <w:rsid w:val="002D66C2"/>
    <w:rsid w:val="002D681C"/>
    <w:rsid w:val="002D6EF6"/>
    <w:rsid w:val="002D6F6F"/>
    <w:rsid w:val="002D70A2"/>
    <w:rsid w:val="002D7528"/>
    <w:rsid w:val="002D754E"/>
    <w:rsid w:val="002D7C4F"/>
    <w:rsid w:val="002D7E62"/>
    <w:rsid w:val="002E007B"/>
    <w:rsid w:val="002E0451"/>
    <w:rsid w:val="002E0731"/>
    <w:rsid w:val="002E0995"/>
    <w:rsid w:val="002E124F"/>
    <w:rsid w:val="002E1341"/>
    <w:rsid w:val="002E143F"/>
    <w:rsid w:val="002E1639"/>
    <w:rsid w:val="002E1909"/>
    <w:rsid w:val="002E2110"/>
    <w:rsid w:val="002E2236"/>
    <w:rsid w:val="002E2280"/>
    <w:rsid w:val="002E2366"/>
    <w:rsid w:val="002E241F"/>
    <w:rsid w:val="002E2A87"/>
    <w:rsid w:val="002E2B1E"/>
    <w:rsid w:val="002E2D7C"/>
    <w:rsid w:val="002E2E2B"/>
    <w:rsid w:val="002E2FE4"/>
    <w:rsid w:val="002E3009"/>
    <w:rsid w:val="002E304B"/>
    <w:rsid w:val="002E3897"/>
    <w:rsid w:val="002E390A"/>
    <w:rsid w:val="002E413B"/>
    <w:rsid w:val="002E41AF"/>
    <w:rsid w:val="002E4246"/>
    <w:rsid w:val="002E42A9"/>
    <w:rsid w:val="002E4392"/>
    <w:rsid w:val="002E44D9"/>
    <w:rsid w:val="002E44E9"/>
    <w:rsid w:val="002E4AC3"/>
    <w:rsid w:val="002E4D5E"/>
    <w:rsid w:val="002E508C"/>
    <w:rsid w:val="002E5210"/>
    <w:rsid w:val="002E5844"/>
    <w:rsid w:val="002E5B52"/>
    <w:rsid w:val="002E5D2C"/>
    <w:rsid w:val="002E6534"/>
    <w:rsid w:val="002E6568"/>
    <w:rsid w:val="002E65CA"/>
    <w:rsid w:val="002E6638"/>
    <w:rsid w:val="002E6652"/>
    <w:rsid w:val="002E6A18"/>
    <w:rsid w:val="002E6D0C"/>
    <w:rsid w:val="002E6DE1"/>
    <w:rsid w:val="002E6F7C"/>
    <w:rsid w:val="002E7126"/>
    <w:rsid w:val="002E769C"/>
    <w:rsid w:val="002E78BA"/>
    <w:rsid w:val="002E790E"/>
    <w:rsid w:val="002E7C21"/>
    <w:rsid w:val="002E7EC0"/>
    <w:rsid w:val="002F0130"/>
    <w:rsid w:val="002F0351"/>
    <w:rsid w:val="002F04F1"/>
    <w:rsid w:val="002F05E5"/>
    <w:rsid w:val="002F0639"/>
    <w:rsid w:val="002F0829"/>
    <w:rsid w:val="002F08DE"/>
    <w:rsid w:val="002F0FA6"/>
    <w:rsid w:val="002F1643"/>
    <w:rsid w:val="002F16DC"/>
    <w:rsid w:val="002F16F2"/>
    <w:rsid w:val="002F1818"/>
    <w:rsid w:val="002F1B06"/>
    <w:rsid w:val="002F1F4F"/>
    <w:rsid w:val="002F1FCE"/>
    <w:rsid w:val="002F21E3"/>
    <w:rsid w:val="002F2248"/>
    <w:rsid w:val="002F2B53"/>
    <w:rsid w:val="002F2DC1"/>
    <w:rsid w:val="002F3122"/>
    <w:rsid w:val="002F313B"/>
    <w:rsid w:val="002F3437"/>
    <w:rsid w:val="002F346A"/>
    <w:rsid w:val="002F34BF"/>
    <w:rsid w:val="002F37D0"/>
    <w:rsid w:val="002F3AC2"/>
    <w:rsid w:val="002F3B95"/>
    <w:rsid w:val="002F3CF1"/>
    <w:rsid w:val="002F3F1A"/>
    <w:rsid w:val="002F4132"/>
    <w:rsid w:val="002F41EC"/>
    <w:rsid w:val="002F4731"/>
    <w:rsid w:val="002F49B3"/>
    <w:rsid w:val="002F4DB1"/>
    <w:rsid w:val="002F4DBE"/>
    <w:rsid w:val="002F4E15"/>
    <w:rsid w:val="002F4F66"/>
    <w:rsid w:val="002F52DB"/>
    <w:rsid w:val="002F55BF"/>
    <w:rsid w:val="002F5822"/>
    <w:rsid w:val="002F5A22"/>
    <w:rsid w:val="002F5C1D"/>
    <w:rsid w:val="002F5FDE"/>
    <w:rsid w:val="002F60FF"/>
    <w:rsid w:val="002F6ACC"/>
    <w:rsid w:val="002F6D6C"/>
    <w:rsid w:val="002F77F7"/>
    <w:rsid w:val="002F782C"/>
    <w:rsid w:val="002F7C43"/>
    <w:rsid w:val="002F7D9C"/>
    <w:rsid w:val="00300100"/>
    <w:rsid w:val="0030013F"/>
    <w:rsid w:val="003004B9"/>
    <w:rsid w:val="003004CF"/>
    <w:rsid w:val="003005DC"/>
    <w:rsid w:val="0030073B"/>
    <w:rsid w:val="00300D11"/>
    <w:rsid w:val="00300D2A"/>
    <w:rsid w:val="00301117"/>
    <w:rsid w:val="00301286"/>
    <w:rsid w:val="003012B3"/>
    <w:rsid w:val="0030139E"/>
    <w:rsid w:val="0030149B"/>
    <w:rsid w:val="003014AD"/>
    <w:rsid w:val="00301559"/>
    <w:rsid w:val="0030167A"/>
    <w:rsid w:val="00301C60"/>
    <w:rsid w:val="00301F42"/>
    <w:rsid w:val="00302372"/>
    <w:rsid w:val="003023A4"/>
    <w:rsid w:val="0030256E"/>
    <w:rsid w:val="003029F8"/>
    <w:rsid w:val="00302E57"/>
    <w:rsid w:val="00303303"/>
    <w:rsid w:val="003037ED"/>
    <w:rsid w:val="003039FE"/>
    <w:rsid w:val="00303C0D"/>
    <w:rsid w:val="003042D5"/>
    <w:rsid w:val="00304646"/>
    <w:rsid w:val="003046D3"/>
    <w:rsid w:val="0030481F"/>
    <w:rsid w:val="003049D1"/>
    <w:rsid w:val="00304D4B"/>
    <w:rsid w:val="00304D7C"/>
    <w:rsid w:val="00304DD9"/>
    <w:rsid w:val="00304ED4"/>
    <w:rsid w:val="00304F70"/>
    <w:rsid w:val="00305317"/>
    <w:rsid w:val="003053F2"/>
    <w:rsid w:val="00305BD1"/>
    <w:rsid w:val="00305EA7"/>
    <w:rsid w:val="00305F4F"/>
    <w:rsid w:val="00306333"/>
    <w:rsid w:val="00306778"/>
    <w:rsid w:val="00306826"/>
    <w:rsid w:val="003075DF"/>
    <w:rsid w:val="00307649"/>
    <w:rsid w:val="00307885"/>
    <w:rsid w:val="00307A6A"/>
    <w:rsid w:val="00307B03"/>
    <w:rsid w:val="00307D54"/>
    <w:rsid w:val="00307E1E"/>
    <w:rsid w:val="00307E59"/>
    <w:rsid w:val="003109D4"/>
    <w:rsid w:val="00311248"/>
    <w:rsid w:val="00311329"/>
    <w:rsid w:val="0031166A"/>
    <w:rsid w:val="003119A5"/>
    <w:rsid w:val="003120A1"/>
    <w:rsid w:val="003120FB"/>
    <w:rsid w:val="0031213C"/>
    <w:rsid w:val="0031213D"/>
    <w:rsid w:val="0031235F"/>
    <w:rsid w:val="00312548"/>
    <w:rsid w:val="00312588"/>
    <w:rsid w:val="00312EFF"/>
    <w:rsid w:val="00312F7D"/>
    <w:rsid w:val="003130D7"/>
    <w:rsid w:val="00313763"/>
    <w:rsid w:val="00313B06"/>
    <w:rsid w:val="00313B10"/>
    <w:rsid w:val="003140B0"/>
    <w:rsid w:val="003143E2"/>
    <w:rsid w:val="003144D2"/>
    <w:rsid w:val="0031459A"/>
    <w:rsid w:val="00314745"/>
    <w:rsid w:val="003148E1"/>
    <w:rsid w:val="00314954"/>
    <w:rsid w:val="00314F53"/>
    <w:rsid w:val="00315057"/>
    <w:rsid w:val="003154C5"/>
    <w:rsid w:val="0031557F"/>
    <w:rsid w:val="003155AA"/>
    <w:rsid w:val="00315799"/>
    <w:rsid w:val="003157B0"/>
    <w:rsid w:val="00315BDB"/>
    <w:rsid w:val="00315EA4"/>
    <w:rsid w:val="00315ED5"/>
    <w:rsid w:val="003160FA"/>
    <w:rsid w:val="003166B4"/>
    <w:rsid w:val="00316704"/>
    <w:rsid w:val="00316788"/>
    <w:rsid w:val="0031687D"/>
    <w:rsid w:val="00316A48"/>
    <w:rsid w:val="00316BA2"/>
    <w:rsid w:val="00316CD3"/>
    <w:rsid w:val="00316DE6"/>
    <w:rsid w:val="00316EE9"/>
    <w:rsid w:val="003172C6"/>
    <w:rsid w:val="003172CB"/>
    <w:rsid w:val="0031789C"/>
    <w:rsid w:val="00317BCD"/>
    <w:rsid w:val="00317CD7"/>
    <w:rsid w:val="00317E72"/>
    <w:rsid w:val="00317ED8"/>
    <w:rsid w:val="00320052"/>
    <w:rsid w:val="0032026B"/>
    <w:rsid w:val="003202E8"/>
    <w:rsid w:val="00320A89"/>
    <w:rsid w:val="00320C6B"/>
    <w:rsid w:val="00321AEE"/>
    <w:rsid w:val="00321E36"/>
    <w:rsid w:val="0032204B"/>
    <w:rsid w:val="0032210A"/>
    <w:rsid w:val="00322845"/>
    <w:rsid w:val="003229F6"/>
    <w:rsid w:val="0032316F"/>
    <w:rsid w:val="0032374E"/>
    <w:rsid w:val="0032392B"/>
    <w:rsid w:val="0032398C"/>
    <w:rsid w:val="00323A8A"/>
    <w:rsid w:val="00323CD1"/>
    <w:rsid w:val="00323E9D"/>
    <w:rsid w:val="0032401D"/>
    <w:rsid w:val="00324198"/>
    <w:rsid w:val="0032441D"/>
    <w:rsid w:val="0032451E"/>
    <w:rsid w:val="003248DE"/>
    <w:rsid w:val="00325191"/>
    <w:rsid w:val="00325878"/>
    <w:rsid w:val="00325A10"/>
    <w:rsid w:val="00325EDF"/>
    <w:rsid w:val="00325F26"/>
    <w:rsid w:val="0032665E"/>
    <w:rsid w:val="00326673"/>
    <w:rsid w:val="00326B3C"/>
    <w:rsid w:val="00326CBF"/>
    <w:rsid w:val="003276CA"/>
    <w:rsid w:val="00327855"/>
    <w:rsid w:val="0032798B"/>
    <w:rsid w:val="00327E62"/>
    <w:rsid w:val="003304BF"/>
    <w:rsid w:val="003306EF"/>
    <w:rsid w:val="00330748"/>
    <w:rsid w:val="003308DB"/>
    <w:rsid w:val="00330933"/>
    <w:rsid w:val="00330E84"/>
    <w:rsid w:val="003313AE"/>
    <w:rsid w:val="0033173F"/>
    <w:rsid w:val="00331A64"/>
    <w:rsid w:val="00331A94"/>
    <w:rsid w:val="00331B99"/>
    <w:rsid w:val="00331BDC"/>
    <w:rsid w:val="00331BF5"/>
    <w:rsid w:val="003320E4"/>
    <w:rsid w:val="00332348"/>
    <w:rsid w:val="00332824"/>
    <w:rsid w:val="00332B42"/>
    <w:rsid w:val="003330F4"/>
    <w:rsid w:val="003332AB"/>
    <w:rsid w:val="0033399E"/>
    <w:rsid w:val="00333FBA"/>
    <w:rsid w:val="00334146"/>
    <w:rsid w:val="003344E5"/>
    <w:rsid w:val="00334583"/>
    <w:rsid w:val="00334672"/>
    <w:rsid w:val="003346AE"/>
    <w:rsid w:val="0033485A"/>
    <w:rsid w:val="00334BA7"/>
    <w:rsid w:val="00334DA5"/>
    <w:rsid w:val="00334E4A"/>
    <w:rsid w:val="00334E73"/>
    <w:rsid w:val="00334FC7"/>
    <w:rsid w:val="003351E5"/>
    <w:rsid w:val="00335363"/>
    <w:rsid w:val="00336019"/>
    <w:rsid w:val="0033610D"/>
    <w:rsid w:val="003361D7"/>
    <w:rsid w:val="00336396"/>
    <w:rsid w:val="003367A9"/>
    <w:rsid w:val="00336AA0"/>
    <w:rsid w:val="00336B3A"/>
    <w:rsid w:val="0033712E"/>
    <w:rsid w:val="00337246"/>
    <w:rsid w:val="0033744B"/>
    <w:rsid w:val="00337534"/>
    <w:rsid w:val="0033755E"/>
    <w:rsid w:val="003375A8"/>
    <w:rsid w:val="00337618"/>
    <w:rsid w:val="0033780F"/>
    <w:rsid w:val="00337D8A"/>
    <w:rsid w:val="00337F53"/>
    <w:rsid w:val="003405D9"/>
    <w:rsid w:val="003406F4"/>
    <w:rsid w:val="003407D4"/>
    <w:rsid w:val="00340821"/>
    <w:rsid w:val="003408A8"/>
    <w:rsid w:val="003408D2"/>
    <w:rsid w:val="00340A7A"/>
    <w:rsid w:val="00340A7D"/>
    <w:rsid w:val="00340EC4"/>
    <w:rsid w:val="00340F86"/>
    <w:rsid w:val="00341598"/>
    <w:rsid w:val="003417BB"/>
    <w:rsid w:val="00341A78"/>
    <w:rsid w:val="00342027"/>
    <w:rsid w:val="0034205F"/>
    <w:rsid w:val="00342372"/>
    <w:rsid w:val="0034248B"/>
    <w:rsid w:val="00342627"/>
    <w:rsid w:val="003426F9"/>
    <w:rsid w:val="00342726"/>
    <w:rsid w:val="00342ADE"/>
    <w:rsid w:val="00343138"/>
    <w:rsid w:val="00343204"/>
    <w:rsid w:val="003432D8"/>
    <w:rsid w:val="00343470"/>
    <w:rsid w:val="003437DF"/>
    <w:rsid w:val="0034397C"/>
    <w:rsid w:val="00343988"/>
    <w:rsid w:val="003439B1"/>
    <w:rsid w:val="00343B13"/>
    <w:rsid w:val="00343C2F"/>
    <w:rsid w:val="00343DA4"/>
    <w:rsid w:val="00344128"/>
    <w:rsid w:val="003441FB"/>
    <w:rsid w:val="003448B1"/>
    <w:rsid w:val="003448E3"/>
    <w:rsid w:val="003448FE"/>
    <w:rsid w:val="00344DB6"/>
    <w:rsid w:val="00345277"/>
    <w:rsid w:val="003455A1"/>
    <w:rsid w:val="00345927"/>
    <w:rsid w:val="0034599F"/>
    <w:rsid w:val="00345AD1"/>
    <w:rsid w:val="00345CD5"/>
    <w:rsid w:val="00345E6E"/>
    <w:rsid w:val="00345FDB"/>
    <w:rsid w:val="003463FD"/>
    <w:rsid w:val="003468F8"/>
    <w:rsid w:val="00346925"/>
    <w:rsid w:val="00347001"/>
    <w:rsid w:val="00347616"/>
    <w:rsid w:val="00347729"/>
    <w:rsid w:val="00347A41"/>
    <w:rsid w:val="00347FE1"/>
    <w:rsid w:val="00350474"/>
    <w:rsid w:val="00350675"/>
    <w:rsid w:val="00350AD6"/>
    <w:rsid w:val="00350ADB"/>
    <w:rsid w:val="00350AE0"/>
    <w:rsid w:val="00350C15"/>
    <w:rsid w:val="00350CF3"/>
    <w:rsid w:val="00350DC3"/>
    <w:rsid w:val="00351167"/>
    <w:rsid w:val="003511AB"/>
    <w:rsid w:val="003514AE"/>
    <w:rsid w:val="00351DB6"/>
    <w:rsid w:val="0035232D"/>
    <w:rsid w:val="00352474"/>
    <w:rsid w:val="00352AB9"/>
    <w:rsid w:val="00352AF4"/>
    <w:rsid w:val="00352C87"/>
    <w:rsid w:val="00352EDB"/>
    <w:rsid w:val="0035395F"/>
    <w:rsid w:val="0035404E"/>
    <w:rsid w:val="00354130"/>
    <w:rsid w:val="00354A42"/>
    <w:rsid w:val="00354F58"/>
    <w:rsid w:val="003550A2"/>
    <w:rsid w:val="003550E4"/>
    <w:rsid w:val="003552D2"/>
    <w:rsid w:val="003552EC"/>
    <w:rsid w:val="0035554F"/>
    <w:rsid w:val="00355632"/>
    <w:rsid w:val="00355798"/>
    <w:rsid w:val="003557E8"/>
    <w:rsid w:val="003559CB"/>
    <w:rsid w:val="00356503"/>
    <w:rsid w:val="00356820"/>
    <w:rsid w:val="00356AF4"/>
    <w:rsid w:val="00356B34"/>
    <w:rsid w:val="00356E84"/>
    <w:rsid w:val="00356F35"/>
    <w:rsid w:val="00356FF0"/>
    <w:rsid w:val="00357093"/>
    <w:rsid w:val="0035709F"/>
    <w:rsid w:val="003573DA"/>
    <w:rsid w:val="003576BF"/>
    <w:rsid w:val="003577B3"/>
    <w:rsid w:val="00357ED5"/>
    <w:rsid w:val="003602FE"/>
    <w:rsid w:val="003605FB"/>
    <w:rsid w:val="00360B5D"/>
    <w:rsid w:val="00360CCA"/>
    <w:rsid w:val="00361011"/>
    <w:rsid w:val="00361123"/>
    <w:rsid w:val="003613E2"/>
    <w:rsid w:val="00361455"/>
    <w:rsid w:val="00361502"/>
    <w:rsid w:val="0036153B"/>
    <w:rsid w:val="003616A9"/>
    <w:rsid w:val="00361828"/>
    <w:rsid w:val="00361BB2"/>
    <w:rsid w:val="00361F3C"/>
    <w:rsid w:val="0036216A"/>
    <w:rsid w:val="0036268F"/>
    <w:rsid w:val="00363C5F"/>
    <w:rsid w:val="0036426F"/>
    <w:rsid w:val="003642AE"/>
    <w:rsid w:val="0036430A"/>
    <w:rsid w:val="003649F5"/>
    <w:rsid w:val="00364A80"/>
    <w:rsid w:val="00364C58"/>
    <w:rsid w:val="00364CBC"/>
    <w:rsid w:val="0036525B"/>
    <w:rsid w:val="00365384"/>
    <w:rsid w:val="0036569B"/>
    <w:rsid w:val="00366042"/>
    <w:rsid w:val="00366100"/>
    <w:rsid w:val="003664D6"/>
    <w:rsid w:val="003666BC"/>
    <w:rsid w:val="00366BFC"/>
    <w:rsid w:val="00366DB9"/>
    <w:rsid w:val="003671E8"/>
    <w:rsid w:val="003676BE"/>
    <w:rsid w:val="003677E8"/>
    <w:rsid w:val="00367B37"/>
    <w:rsid w:val="00367D3E"/>
    <w:rsid w:val="003702C2"/>
    <w:rsid w:val="003702E0"/>
    <w:rsid w:val="0037067F"/>
    <w:rsid w:val="00370A7B"/>
    <w:rsid w:val="00370AD8"/>
    <w:rsid w:val="00370BF0"/>
    <w:rsid w:val="00370E3D"/>
    <w:rsid w:val="00370E6F"/>
    <w:rsid w:val="00371289"/>
    <w:rsid w:val="00371301"/>
    <w:rsid w:val="0037147F"/>
    <w:rsid w:val="003714DD"/>
    <w:rsid w:val="00371A22"/>
    <w:rsid w:val="00371CC1"/>
    <w:rsid w:val="00371ED5"/>
    <w:rsid w:val="0037208A"/>
    <w:rsid w:val="003722F0"/>
    <w:rsid w:val="0037268F"/>
    <w:rsid w:val="00373139"/>
    <w:rsid w:val="003731D5"/>
    <w:rsid w:val="003731FC"/>
    <w:rsid w:val="0037327C"/>
    <w:rsid w:val="00373623"/>
    <w:rsid w:val="003740CA"/>
    <w:rsid w:val="0037434E"/>
    <w:rsid w:val="00374836"/>
    <w:rsid w:val="00374D5F"/>
    <w:rsid w:val="00374DB9"/>
    <w:rsid w:val="00374E17"/>
    <w:rsid w:val="00374F2A"/>
    <w:rsid w:val="0037520E"/>
    <w:rsid w:val="003752B9"/>
    <w:rsid w:val="00375537"/>
    <w:rsid w:val="003755B3"/>
    <w:rsid w:val="0037564A"/>
    <w:rsid w:val="00375A8A"/>
    <w:rsid w:val="00375FAF"/>
    <w:rsid w:val="003761FA"/>
    <w:rsid w:val="003762CA"/>
    <w:rsid w:val="003765E0"/>
    <w:rsid w:val="00376634"/>
    <w:rsid w:val="00376963"/>
    <w:rsid w:val="00376C3C"/>
    <w:rsid w:val="0037709E"/>
    <w:rsid w:val="0037725B"/>
    <w:rsid w:val="00377307"/>
    <w:rsid w:val="00377478"/>
    <w:rsid w:val="0037771A"/>
    <w:rsid w:val="003777C3"/>
    <w:rsid w:val="00377976"/>
    <w:rsid w:val="0037799D"/>
    <w:rsid w:val="003779F6"/>
    <w:rsid w:val="00377A72"/>
    <w:rsid w:val="00377DA4"/>
    <w:rsid w:val="00377FA3"/>
    <w:rsid w:val="0038006B"/>
    <w:rsid w:val="00380279"/>
    <w:rsid w:val="003803A4"/>
    <w:rsid w:val="00380945"/>
    <w:rsid w:val="00380AA2"/>
    <w:rsid w:val="00380B8B"/>
    <w:rsid w:val="00381443"/>
    <w:rsid w:val="00381460"/>
    <w:rsid w:val="003815DB"/>
    <w:rsid w:val="00381728"/>
    <w:rsid w:val="003818AB"/>
    <w:rsid w:val="003819AC"/>
    <w:rsid w:val="00381DDA"/>
    <w:rsid w:val="00381E66"/>
    <w:rsid w:val="00381ECA"/>
    <w:rsid w:val="003823C8"/>
    <w:rsid w:val="003825BD"/>
    <w:rsid w:val="00382987"/>
    <w:rsid w:val="00382B7F"/>
    <w:rsid w:val="00382C70"/>
    <w:rsid w:val="00382C98"/>
    <w:rsid w:val="00382CB2"/>
    <w:rsid w:val="00382CD0"/>
    <w:rsid w:val="00383448"/>
    <w:rsid w:val="003836C1"/>
    <w:rsid w:val="003836F1"/>
    <w:rsid w:val="00383792"/>
    <w:rsid w:val="00383830"/>
    <w:rsid w:val="00383D0D"/>
    <w:rsid w:val="003840BF"/>
    <w:rsid w:val="0038427B"/>
    <w:rsid w:val="003846DB"/>
    <w:rsid w:val="00384953"/>
    <w:rsid w:val="00384A20"/>
    <w:rsid w:val="00384A70"/>
    <w:rsid w:val="00384F5C"/>
    <w:rsid w:val="00384F8D"/>
    <w:rsid w:val="003850B0"/>
    <w:rsid w:val="00385535"/>
    <w:rsid w:val="003855B6"/>
    <w:rsid w:val="00385608"/>
    <w:rsid w:val="00385ABF"/>
    <w:rsid w:val="00385C62"/>
    <w:rsid w:val="00385D29"/>
    <w:rsid w:val="0038613A"/>
    <w:rsid w:val="003863DD"/>
    <w:rsid w:val="003866F4"/>
    <w:rsid w:val="003868B9"/>
    <w:rsid w:val="003868FD"/>
    <w:rsid w:val="00386903"/>
    <w:rsid w:val="00386B1B"/>
    <w:rsid w:val="00386B4E"/>
    <w:rsid w:val="00386C0F"/>
    <w:rsid w:val="00386EBA"/>
    <w:rsid w:val="00387048"/>
    <w:rsid w:val="003875F2"/>
    <w:rsid w:val="00387A6B"/>
    <w:rsid w:val="00387F81"/>
    <w:rsid w:val="00387F84"/>
    <w:rsid w:val="00390130"/>
    <w:rsid w:val="00390186"/>
    <w:rsid w:val="00390190"/>
    <w:rsid w:val="003901ED"/>
    <w:rsid w:val="00390542"/>
    <w:rsid w:val="0039081A"/>
    <w:rsid w:val="00390B6A"/>
    <w:rsid w:val="00391340"/>
    <w:rsid w:val="0039179C"/>
    <w:rsid w:val="00391A1A"/>
    <w:rsid w:val="00391AB6"/>
    <w:rsid w:val="00391C16"/>
    <w:rsid w:val="00391FF8"/>
    <w:rsid w:val="00392141"/>
    <w:rsid w:val="00392B92"/>
    <w:rsid w:val="00392D75"/>
    <w:rsid w:val="003930C1"/>
    <w:rsid w:val="00393179"/>
    <w:rsid w:val="003935B6"/>
    <w:rsid w:val="00393833"/>
    <w:rsid w:val="00393911"/>
    <w:rsid w:val="00393CBB"/>
    <w:rsid w:val="00393D89"/>
    <w:rsid w:val="003943B3"/>
    <w:rsid w:val="00394450"/>
    <w:rsid w:val="00394651"/>
    <w:rsid w:val="00394A3F"/>
    <w:rsid w:val="00394E6E"/>
    <w:rsid w:val="0039512D"/>
    <w:rsid w:val="00395340"/>
    <w:rsid w:val="00396029"/>
    <w:rsid w:val="00396050"/>
    <w:rsid w:val="003962C5"/>
    <w:rsid w:val="0039648D"/>
    <w:rsid w:val="00397173"/>
    <w:rsid w:val="00397270"/>
    <w:rsid w:val="003978EF"/>
    <w:rsid w:val="00397C84"/>
    <w:rsid w:val="00397C8E"/>
    <w:rsid w:val="00397CCF"/>
    <w:rsid w:val="003A0387"/>
    <w:rsid w:val="003A0764"/>
    <w:rsid w:val="003A0771"/>
    <w:rsid w:val="003A07A0"/>
    <w:rsid w:val="003A07F5"/>
    <w:rsid w:val="003A099E"/>
    <w:rsid w:val="003A09C0"/>
    <w:rsid w:val="003A0D27"/>
    <w:rsid w:val="003A0F59"/>
    <w:rsid w:val="003A11AF"/>
    <w:rsid w:val="003A12FB"/>
    <w:rsid w:val="003A1449"/>
    <w:rsid w:val="003A1556"/>
    <w:rsid w:val="003A169E"/>
    <w:rsid w:val="003A1D42"/>
    <w:rsid w:val="003A1E6A"/>
    <w:rsid w:val="003A1EA0"/>
    <w:rsid w:val="003A2036"/>
    <w:rsid w:val="003A2156"/>
    <w:rsid w:val="003A2165"/>
    <w:rsid w:val="003A22C9"/>
    <w:rsid w:val="003A24E1"/>
    <w:rsid w:val="003A25AE"/>
    <w:rsid w:val="003A2D43"/>
    <w:rsid w:val="003A2D6F"/>
    <w:rsid w:val="003A2F44"/>
    <w:rsid w:val="003A2F86"/>
    <w:rsid w:val="003A3066"/>
    <w:rsid w:val="003A30DC"/>
    <w:rsid w:val="003A3113"/>
    <w:rsid w:val="003A32F9"/>
    <w:rsid w:val="003A3D59"/>
    <w:rsid w:val="003A4048"/>
    <w:rsid w:val="003A4150"/>
    <w:rsid w:val="003A44C9"/>
    <w:rsid w:val="003A45CA"/>
    <w:rsid w:val="003A48AB"/>
    <w:rsid w:val="003A494E"/>
    <w:rsid w:val="003A4B46"/>
    <w:rsid w:val="003A4CA1"/>
    <w:rsid w:val="003A4EC4"/>
    <w:rsid w:val="003A4F93"/>
    <w:rsid w:val="003A50B5"/>
    <w:rsid w:val="003A52FA"/>
    <w:rsid w:val="003A546F"/>
    <w:rsid w:val="003A54B4"/>
    <w:rsid w:val="003A56D2"/>
    <w:rsid w:val="003A5A2A"/>
    <w:rsid w:val="003A5F71"/>
    <w:rsid w:val="003A62BF"/>
    <w:rsid w:val="003A6777"/>
    <w:rsid w:val="003A69ED"/>
    <w:rsid w:val="003A6D7E"/>
    <w:rsid w:val="003A6E29"/>
    <w:rsid w:val="003A6E98"/>
    <w:rsid w:val="003A6EE1"/>
    <w:rsid w:val="003A6F8B"/>
    <w:rsid w:val="003A7116"/>
    <w:rsid w:val="003A72EC"/>
    <w:rsid w:val="003A7361"/>
    <w:rsid w:val="003A77EB"/>
    <w:rsid w:val="003A7808"/>
    <w:rsid w:val="003A78F6"/>
    <w:rsid w:val="003A7D21"/>
    <w:rsid w:val="003A7F16"/>
    <w:rsid w:val="003A7FEB"/>
    <w:rsid w:val="003B0170"/>
    <w:rsid w:val="003B017C"/>
    <w:rsid w:val="003B039C"/>
    <w:rsid w:val="003B05EA"/>
    <w:rsid w:val="003B060C"/>
    <w:rsid w:val="003B0614"/>
    <w:rsid w:val="003B061E"/>
    <w:rsid w:val="003B0648"/>
    <w:rsid w:val="003B07C6"/>
    <w:rsid w:val="003B08C8"/>
    <w:rsid w:val="003B0AA2"/>
    <w:rsid w:val="003B0DC5"/>
    <w:rsid w:val="003B0EDA"/>
    <w:rsid w:val="003B173D"/>
    <w:rsid w:val="003B1946"/>
    <w:rsid w:val="003B1A41"/>
    <w:rsid w:val="003B1A5C"/>
    <w:rsid w:val="003B22CE"/>
    <w:rsid w:val="003B2967"/>
    <w:rsid w:val="003B30C7"/>
    <w:rsid w:val="003B31DE"/>
    <w:rsid w:val="003B3569"/>
    <w:rsid w:val="003B3781"/>
    <w:rsid w:val="003B3914"/>
    <w:rsid w:val="003B4099"/>
    <w:rsid w:val="003B436A"/>
    <w:rsid w:val="003B4453"/>
    <w:rsid w:val="003B4A22"/>
    <w:rsid w:val="003B4F4E"/>
    <w:rsid w:val="003B542A"/>
    <w:rsid w:val="003B5B15"/>
    <w:rsid w:val="003B5D35"/>
    <w:rsid w:val="003B5E63"/>
    <w:rsid w:val="003B6001"/>
    <w:rsid w:val="003B67F2"/>
    <w:rsid w:val="003B6AE9"/>
    <w:rsid w:val="003B6C70"/>
    <w:rsid w:val="003B6E33"/>
    <w:rsid w:val="003B7535"/>
    <w:rsid w:val="003B7715"/>
    <w:rsid w:val="003B7B90"/>
    <w:rsid w:val="003B7FA4"/>
    <w:rsid w:val="003C009B"/>
    <w:rsid w:val="003C00AC"/>
    <w:rsid w:val="003C011F"/>
    <w:rsid w:val="003C032D"/>
    <w:rsid w:val="003C039D"/>
    <w:rsid w:val="003C0469"/>
    <w:rsid w:val="003C066D"/>
    <w:rsid w:val="003C0CAC"/>
    <w:rsid w:val="003C171A"/>
    <w:rsid w:val="003C18D3"/>
    <w:rsid w:val="003C196D"/>
    <w:rsid w:val="003C2A04"/>
    <w:rsid w:val="003C2C49"/>
    <w:rsid w:val="003C2EE6"/>
    <w:rsid w:val="003C302E"/>
    <w:rsid w:val="003C319C"/>
    <w:rsid w:val="003C34DB"/>
    <w:rsid w:val="003C3555"/>
    <w:rsid w:val="003C384C"/>
    <w:rsid w:val="003C3AEE"/>
    <w:rsid w:val="003C3B8D"/>
    <w:rsid w:val="003C3FBA"/>
    <w:rsid w:val="003C4311"/>
    <w:rsid w:val="003C4467"/>
    <w:rsid w:val="003C452D"/>
    <w:rsid w:val="003C459C"/>
    <w:rsid w:val="003C4737"/>
    <w:rsid w:val="003C47F3"/>
    <w:rsid w:val="003C493A"/>
    <w:rsid w:val="003C4B59"/>
    <w:rsid w:val="003C4DB1"/>
    <w:rsid w:val="003C50B5"/>
    <w:rsid w:val="003C5171"/>
    <w:rsid w:val="003C5173"/>
    <w:rsid w:val="003C5587"/>
    <w:rsid w:val="003C5A45"/>
    <w:rsid w:val="003C5F36"/>
    <w:rsid w:val="003C5FAD"/>
    <w:rsid w:val="003C6A3D"/>
    <w:rsid w:val="003C6E79"/>
    <w:rsid w:val="003C7027"/>
    <w:rsid w:val="003C70FA"/>
    <w:rsid w:val="003C7173"/>
    <w:rsid w:val="003C724B"/>
    <w:rsid w:val="003C7321"/>
    <w:rsid w:val="003D0155"/>
    <w:rsid w:val="003D02AB"/>
    <w:rsid w:val="003D0629"/>
    <w:rsid w:val="003D073F"/>
    <w:rsid w:val="003D07AB"/>
    <w:rsid w:val="003D07CF"/>
    <w:rsid w:val="003D0A60"/>
    <w:rsid w:val="003D0C24"/>
    <w:rsid w:val="003D0D28"/>
    <w:rsid w:val="003D12A6"/>
    <w:rsid w:val="003D141A"/>
    <w:rsid w:val="003D15C8"/>
    <w:rsid w:val="003D18D4"/>
    <w:rsid w:val="003D19ED"/>
    <w:rsid w:val="003D1F6F"/>
    <w:rsid w:val="003D21E1"/>
    <w:rsid w:val="003D225D"/>
    <w:rsid w:val="003D22CC"/>
    <w:rsid w:val="003D2430"/>
    <w:rsid w:val="003D2546"/>
    <w:rsid w:val="003D26B5"/>
    <w:rsid w:val="003D275A"/>
    <w:rsid w:val="003D2A64"/>
    <w:rsid w:val="003D2C3A"/>
    <w:rsid w:val="003D2D7A"/>
    <w:rsid w:val="003D31CD"/>
    <w:rsid w:val="003D37B6"/>
    <w:rsid w:val="003D3A7A"/>
    <w:rsid w:val="003D3ADB"/>
    <w:rsid w:val="003D3E99"/>
    <w:rsid w:val="003D3FA5"/>
    <w:rsid w:val="003D409D"/>
    <w:rsid w:val="003D433B"/>
    <w:rsid w:val="003D46EB"/>
    <w:rsid w:val="003D4AF3"/>
    <w:rsid w:val="003D4B1B"/>
    <w:rsid w:val="003D4E85"/>
    <w:rsid w:val="003D50EA"/>
    <w:rsid w:val="003D5137"/>
    <w:rsid w:val="003D5383"/>
    <w:rsid w:val="003D568C"/>
    <w:rsid w:val="003D5F07"/>
    <w:rsid w:val="003D609B"/>
    <w:rsid w:val="003D6404"/>
    <w:rsid w:val="003D6583"/>
    <w:rsid w:val="003D6588"/>
    <w:rsid w:val="003D6A46"/>
    <w:rsid w:val="003D6AD8"/>
    <w:rsid w:val="003D6DB8"/>
    <w:rsid w:val="003D6E60"/>
    <w:rsid w:val="003D70B1"/>
    <w:rsid w:val="003D7373"/>
    <w:rsid w:val="003D7870"/>
    <w:rsid w:val="003D787D"/>
    <w:rsid w:val="003D7B7D"/>
    <w:rsid w:val="003E0004"/>
    <w:rsid w:val="003E001C"/>
    <w:rsid w:val="003E02DB"/>
    <w:rsid w:val="003E05BD"/>
    <w:rsid w:val="003E066B"/>
    <w:rsid w:val="003E1131"/>
    <w:rsid w:val="003E14B7"/>
    <w:rsid w:val="003E15E1"/>
    <w:rsid w:val="003E1866"/>
    <w:rsid w:val="003E1C1B"/>
    <w:rsid w:val="003E1F8C"/>
    <w:rsid w:val="003E221A"/>
    <w:rsid w:val="003E2398"/>
    <w:rsid w:val="003E30B1"/>
    <w:rsid w:val="003E3261"/>
    <w:rsid w:val="003E3343"/>
    <w:rsid w:val="003E3411"/>
    <w:rsid w:val="003E3492"/>
    <w:rsid w:val="003E34C5"/>
    <w:rsid w:val="003E3555"/>
    <w:rsid w:val="003E357C"/>
    <w:rsid w:val="003E357D"/>
    <w:rsid w:val="003E3848"/>
    <w:rsid w:val="003E3987"/>
    <w:rsid w:val="003E3A37"/>
    <w:rsid w:val="003E3C3E"/>
    <w:rsid w:val="003E3F3D"/>
    <w:rsid w:val="003E4169"/>
    <w:rsid w:val="003E4231"/>
    <w:rsid w:val="003E44B0"/>
    <w:rsid w:val="003E46C3"/>
    <w:rsid w:val="003E481A"/>
    <w:rsid w:val="003E4869"/>
    <w:rsid w:val="003E4CBA"/>
    <w:rsid w:val="003E4F8C"/>
    <w:rsid w:val="003E52E1"/>
    <w:rsid w:val="003E5405"/>
    <w:rsid w:val="003E5A44"/>
    <w:rsid w:val="003E5D67"/>
    <w:rsid w:val="003E5F58"/>
    <w:rsid w:val="003E611F"/>
    <w:rsid w:val="003E653C"/>
    <w:rsid w:val="003E66AD"/>
    <w:rsid w:val="003E6815"/>
    <w:rsid w:val="003E6BE5"/>
    <w:rsid w:val="003E6C48"/>
    <w:rsid w:val="003E6EC9"/>
    <w:rsid w:val="003E7004"/>
    <w:rsid w:val="003E7689"/>
    <w:rsid w:val="003E771A"/>
    <w:rsid w:val="003E7736"/>
    <w:rsid w:val="003E7C24"/>
    <w:rsid w:val="003E7C4F"/>
    <w:rsid w:val="003E7E7B"/>
    <w:rsid w:val="003F0196"/>
    <w:rsid w:val="003F05A8"/>
    <w:rsid w:val="003F096F"/>
    <w:rsid w:val="003F0BDA"/>
    <w:rsid w:val="003F0EA4"/>
    <w:rsid w:val="003F1389"/>
    <w:rsid w:val="003F1842"/>
    <w:rsid w:val="003F19D8"/>
    <w:rsid w:val="003F1B45"/>
    <w:rsid w:val="003F1C89"/>
    <w:rsid w:val="003F1C8C"/>
    <w:rsid w:val="003F1D37"/>
    <w:rsid w:val="003F213F"/>
    <w:rsid w:val="003F2191"/>
    <w:rsid w:val="003F2486"/>
    <w:rsid w:val="003F25A2"/>
    <w:rsid w:val="003F29A9"/>
    <w:rsid w:val="003F2BEF"/>
    <w:rsid w:val="003F2C22"/>
    <w:rsid w:val="003F37D9"/>
    <w:rsid w:val="003F3D40"/>
    <w:rsid w:val="003F3DEC"/>
    <w:rsid w:val="003F4360"/>
    <w:rsid w:val="003F4376"/>
    <w:rsid w:val="003F4657"/>
    <w:rsid w:val="003F4751"/>
    <w:rsid w:val="003F47C8"/>
    <w:rsid w:val="003F4943"/>
    <w:rsid w:val="003F4B57"/>
    <w:rsid w:val="003F540A"/>
    <w:rsid w:val="003F5539"/>
    <w:rsid w:val="003F58DA"/>
    <w:rsid w:val="003F5BBF"/>
    <w:rsid w:val="003F5E8C"/>
    <w:rsid w:val="003F6170"/>
    <w:rsid w:val="003F65F6"/>
    <w:rsid w:val="003F681B"/>
    <w:rsid w:val="003F683A"/>
    <w:rsid w:val="003F69B7"/>
    <w:rsid w:val="003F6BF2"/>
    <w:rsid w:val="003F6F63"/>
    <w:rsid w:val="003F6FA4"/>
    <w:rsid w:val="003F73F3"/>
    <w:rsid w:val="003F750B"/>
    <w:rsid w:val="003F76EE"/>
    <w:rsid w:val="003F7852"/>
    <w:rsid w:val="003F7930"/>
    <w:rsid w:val="003F7C58"/>
    <w:rsid w:val="003F7F1D"/>
    <w:rsid w:val="004001D5"/>
    <w:rsid w:val="0040020F"/>
    <w:rsid w:val="004005E9"/>
    <w:rsid w:val="004007E2"/>
    <w:rsid w:val="0040147F"/>
    <w:rsid w:val="00401496"/>
    <w:rsid w:val="004019B1"/>
    <w:rsid w:val="00401B71"/>
    <w:rsid w:val="00401DE7"/>
    <w:rsid w:val="004020E1"/>
    <w:rsid w:val="0040237C"/>
    <w:rsid w:val="004024B7"/>
    <w:rsid w:val="00402693"/>
    <w:rsid w:val="00402732"/>
    <w:rsid w:val="0040275B"/>
    <w:rsid w:val="0040285B"/>
    <w:rsid w:val="00402B21"/>
    <w:rsid w:val="00402C9E"/>
    <w:rsid w:val="00402DD5"/>
    <w:rsid w:val="00403170"/>
    <w:rsid w:val="004032EB"/>
    <w:rsid w:val="00403374"/>
    <w:rsid w:val="004033F3"/>
    <w:rsid w:val="004035D7"/>
    <w:rsid w:val="00403924"/>
    <w:rsid w:val="004039AA"/>
    <w:rsid w:val="00403B21"/>
    <w:rsid w:val="00403F09"/>
    <w:rsid w:val="00403F1E"/>
    <w:rsid w:val="00404077"/>
    <w:rsid w:val="0040454E"/>
    <w:rsid w:val="0040465E"/>
    <w:rsid w:val="00404949"/>
    <w:rsid w:val="00404C98"/>
    <w:rsid w:val="00404CAE"/>
    <w:rsid w:val="00404F26"/>
    <w:rsid w:val="00405246"/>
    <w:rsid w:val="0040528C"/>
    <w:rsid w:val="004058D9"/>
    <w:rsid w:val="00405A22"/>
    <w:rsid w:val="00405C13"/>
    <w:rsid w:val="00405ECD"/>
    <w:rsid w:val="00406055"/>
    <w:rsid w:val="004063F8"/>
    <w:rsid w:val="00406456"/>
    <w:rsid w:val="0040675F"/>
    <w:rsid w:val="00406B1E"/>
    <w:rsid w:val="00406E98"/>
    <w:rsid w:val="0040708D"/>
    <w:rsid w:val="00407096"/>
    <w:rsid w:val="0040788C"/>
    <w:rsid w:val="004079EC"/>
    <w:rsid w:val="00407A28"/>
    <w:rsid w:val="00407C8E"/>
    <w:rsid w:val="00410253"/>
    <w:rsid w:val="00410382"/>
    <w:rsid w:val="004104E0"/>
    <w:rsid w:val="00410E09"/>
    <w:rsid w:val="00411035"/>
    <w:rsid w:val="004111BB"/>
    <w:rsid w:val="004113C9"/>
    <w:rsid w:val="0041145E"/>
    <w:rsid w:val="004114D6"/>
    <w:rsid w:val="00411726"/>
    <w:rsid w:val="0041186A"/>
    <w:rsid w:val="0041193B"/>
    <w:rsid w:val="00411FFA"/>
    <w:rsid w:val="004129C2"/>
    <w:rsid w:val="00412A29"/>
    <w:rsid w:val="00412E6F"/>
    <w:rsid w:val="0041333E"/>
    <w:rsid w:val="00413612"/>
    <w:rsid w:val="00413658"/>
    <w:rsid w:val="00413980"/>
    <w:rsid w:val="00413E2E"/>
    <w:rsid w:val="00414423"/>
    <w:rsid w:val="004145B6"/>
    <w:rsid w:val="004147A4"/>
    <w:rsid w:val="0041498F"/>
    <w:rsid w:val="00414A2D"/>
    <w:rsid w:val="00414C74"/>
    <w:rsid w:val="004150CC"/>
    <w:rsid w:val="0041532A"/>
    <w:rsid w:val="0041569B"/>
    <w:rsid w:val="0041577A"/>
    <w:rsid w:val="0041580A"/>
    <w:rsid w:val="00415A92"/>
    <w:rsid w:val="00415B24"/>
    <w:rsid w:val="00415FD1"/>
    <w:rsid w:val="004161BB"/>
    <w:rsid w:val="00416229"/>
    <w:rsid w:val="004162C7"/>
    <w:rsid w:val="00416844"/>
    <w:rsid w:val="00416BEE"/>
    <w:rsid w:val="0041713F"/>
    <w:rsid w:val="00417338"/>
    <w:rsid w:val="00417675"/>
    <w:rsid w:val="004176BC"/>
    <w:rsid w:val="004179E8"/>
    <w:rsid w:val="00417C6C"/>
    <w:rsid w:val="00417D95"/>
    <w:rsid w:val="0042006D"/>
    <w:rsid w:val="004200DC"/>
    <w:rsid w:val="0042032C"/>
    <w:rsid w:val="0042046A"/>
    <w:rsid w:val="00420735"/>
    <w:rsid w:val="00420A7D"/>
    <w:rsid w:val="00420B72"/>
    <w:rsid w:val="0042108D"/>
    <w:rsid w:val="004211DD"/>
    <w:rsid w:val="0042125D"/>
    <w:rsid w:val="00421770"/>
    <w:rsid w:val="0042180E"/>
    <w:rsid w:val="004219D6"/>
    <w:rsid w:val="00421B59"/>
    <w:rsid w:val="00421CEB"/>
    <w:rsid w:val="00421F43"/>
    <w:rsid w:val="00422125"/>
    <w:rsid w:val="004224D9"/>
    <w:rsid w:val="0042261F"/>
    <w:rsid w:val="0042290E"/>
    <w:rsid w:val="0042292E"/>
    <w:rsid w:val="00422B83"/>
    <w:rsid w:val="00422EE5"/>
    <w:rsid w:val="00422F6C"/>
    <w:rsid w:val="0042330D"/>
    <w:rsid w:val="0042331A"/>
    <w:rsid w:val="0042340E"/>
    <w:rsid w:val="004239DB"/>
    <w:rsid w:val="00423B19"/>
    <w:rsid w:val="00423C4D"/>
    <w:rsid w:val="00423CD6"/>
    <w:rsid w:val="00423E55"/>
    <w:rsid w:val="0042412F"/>
    <w:rsid w:val="0042413E"/>
    <w:rsid w:val="004241F2"/>
    <w:rsid w:val="004249F1"/>
    <w:rsid w:val="00424A9B"/>
    <w:rsid w:val="00424CEC"/>
    <w:rsid w:val="0042505B"/>
    <w:rsid w:val="004252CE"/>
    <w:rsid w:val="0042545E"/>
    <w:rsid w:val="00425561"/>
    <w:rsid w:val="00425716"/>
    <w:rsid w:val="00425B85"/>
    <w:rsid w:val="00425CCB"/>
    <w:rsid w:val="00425F00"/>
    <w:rsid w:val="00426716"/>
    <w:rsid w:val="00426865"/>
    <w:rsid w:val="00426D7F"/>
    <w:rsid w:val="00426E7C"/>
    <w:rsid w:val="00426F45"/>
    <w:rsid w:val="00426F64"/>
    <w:rsid w:val="00427131"/>
    <w:rsid w:val="004279C7"/>
    <w:rsid w:val="00427A1F"/>
    <w:rsid w:val="00427D46"/>
    <w:rsid w:val="00427F7A"/>
    <w:rsid w:val="004304AF"/>
    <w:rsid w:val="004309F8"/>
    <w:rsid w:val="00430A76"/>
    <w:rsid w:val="00430C1F"/>
    <w:rsid w:val="004313F4"/>
    <w:rsid w:val="004315CA"/>
    <w:rsid w:val="00431AE7"/>
    <w:rsid w:val="00431C91"/>
    <w:rsid w:val="00431E3E"/>
    <w:rsid w:val="004320BB"/>
    <w:rsid w:val="00432438"/>
    <w:rsid w:val="00432A90"/>
    <w:rsid w:val="00432EB5"/>
    <w:rsid w:val="004331CA"/>
    <w:rsid w:val="00433841"/>
    <w:rsid w:val="004339DD"/>
    <w:rsid w:val="00433CD1"/>
    <w:rsid w:val="00433DF7"/>
    <w:rsid w:val="00433F30"/>
    <w:rsid w:val="00433FCA"/>
    <w:rsid w:val="0043415A"/>
    <w:rsid w:val="0043423D"/>
    <w:rsid w:val="00434402"/>
    <w:rsid w:val="004346E5"/>
    <w:rsid w:val="00434A60"/>
    <w:rsid w:val="00434AD4"/>
    <w:rsid w:val="00435121"/>
    <w:rsid w:val="0043569F"/>
    <w:rsid w:val="00435972"/>
    <w:rsid w:val="004359DB"/>
    <w:rsid w:val="00435B7B"/>
    <w:rsid w:val="00435D30"/>
    <w:rsid w:val="00435E44"/>
    <w:rsid w:val="00436855"/>
    <w:rsid w:val="004373F4"/>
    <w:rsid w:val="004375F4"/>
    <w:rsid w:val="0043761A"/>
    <w:rsid w:val="00437910"/>
    <w:rsid w:val="00437B4A"/>
    <w:rsid w:val="00437C71"/>
    <w:rsid w:val="00437D2C"/>
    <w:rsid w:val="00440264"/>
    <w:rsid w:val="00440490"/>
    <w:rsid w:val="004404A0"/>
    <w:rsid w:val="004404F9"/>
    <w:rsid w:val="004406FE"/>
    <w:rsid w:val="00440872"/>
    <w:rsid w:val="0044099F"/>
    <w:rsid w:val="00440C26"/>
    <w:rsid w:val="00441337"/>
    <w:rsid w:val="00441377"/>
    <w:rsid w:val="004413B5"/>
    <w:rsid w:val="00441657"/>
    <w:rsid w:val="004417AB"/>
    <w:rsid w:val="0044186F"/>
    <w:rsid w:val="00441A28"/>
    <w:rsid w:val="00441BF3"/>
    <w:rsid w:val="00441F7A"/>
    <w:rsid w:val="0044214E"/>
    <w:rsid w:val="004423E3"/>
    <w:rsid w:val="00442443"/>
    <w:rsid w:val="00442E9A"/>
    <w:rsid w:val="00442FE6"/>
    <w:rsid w:val="00443452"/>
    <w:rsid w:val="00443851"/>
    <w:rsid w:val="00443B80"/>
    <w:rsid w:val="00443BE6"/>
    <w:rsid w:val="00443CE8"/>
    <w:rsid w:val="00443EDA"/>
    <w:rsid w:val="004443EE"/>
    <w:rsid w:val="00444460"/>
    <w:rsid w:val="00444472"/>
    <w:rsid w:val="0044460F"/>
    <w:rsid w:val="00444B62"/>
    <w:rsid w:val="00444FD4"/>
    <w:rsid w:val="0044515E"/>
    <w:rsid w:val="004455B6"/>
    <w:rsid w:val="004456F7"/>
    <w:rsid w:val="00445762"/>
    <w:rsid w:val="004457F4"/>
    <w:rsid w:val="004457FC"/>
    <w:rsid w:val="00445C54"/>
    <w:rsid w:val="00445C79"/>
    <w:rsid w:val="00445CBF"/>
    <w:rsid w:val="00445CF0"/>
    <w:rsid w:val="00445E92"/>
    <w:rsid w:val="0044602A"/>
    <w:rsid w:val="00446158"/>
    <w:rsid w:val="0044620C"/>
    <w:rsid w:val="0044622D"/>
    <w:rsid w:val="004462D9"/>
    <w:rsid w:val="00446A18"/>
    <w:rsid w:val="00446C74"/>
    <w:rsid w:val="00446D1E"/>
    <w:rsid w:val="0044763F"/>
    <w:rsid w:val="004479DA"/>
    <w:rsid w:val="00447AD5"/>
    <w:rsid w:val="00447DA5"/>
    <w:rsid w:val="00447DCE"/>
    <w:rsid w:val="00450090"/>
    <w:rsid w:val="00450798"/>
    <w:rsid w:val="00450BF6"/>
    <w:rsid w:val="00450DE1"/>
    <w:rsid w:val="00450ECF"/>
    <w:rsid w:val="00450F3A"/>
    <w:rsid w:val="00450F87"/>
    <w:rsid w:val="00451845"/>
    <w:rsid w:val="00451868"/>
    <w:rsid w:val="00451A2B"/>
    <w:rsid w:val="00451C40"/>
    <w:rsid w:val="00451CBC"/>
    <w:rsid w:val="004521B5"/>
    <w:rsid w:val="00452566"/>
    <w:rsid w:val="00452874"/>
    <w:rsid w:val="004528D0"/>
    <w:rsid w:val="004528ED"/>
    <w:rsid w:val="0045299F"/>
    <w:rsid w:val="004529F9"/>
    <w:rsid w:val="00452A3B"/>
    <w:rsid w:val="00452B7A"/>
    <w:rsid w:val="00452C16"/>
    <w:rsid w:val="00452C32"/>
    <w:rsid w:val="00452E89"/>
    <w:rsid w:val="0045330C"/>
    <w:rsid w:val="0045356B"/>
    <w:rsid w:val="00453A52"/>
    <w:rsid w:val="00453D79"/>
    <w:rsid w:val="00453E81"/>
    <w:rsid w:val="00453FBB"/>
    <w:rsid w:val="004540BE"/>
    <w:rsid w:val="00454280"/>
    <w:rsid w:val="00454B3B"/>
    <w:rsid w:val="00454DEF"/>
    <w:rsid w:val="00455049"/>
    <w:rsid w:val="0045519D"/>
    <w:rsid w:val="00455539"/>
    <w:rsid w:val="004557E1"/>
    <w:rsid w:val="00455863"/>
    <w:rsid w:val="00455D6C"/>
    <w:rsid w:val="00455E3E"/>
    <w:rsid w:val="004561A3"/>
    <w:rsid w:val="00456229"/>
    <w:rsid w:val="00456489"/>
    <w:rsid w:val="004564BB"/>
    <w:rsid w:val="0045656A"/>
    <w:rsid w:val="004565D1"/>
    <w:rsid w:val="0045668C"/>
    <w:rsid w:val="004567C6"/>
    <w:rsid w:val="00456A84"/>
    <w:rsid w:val="00456AE7"/>
    <w:rsid w:val="00456D5C"/>
    <w:rsid w:val="00457034"/>
    <w:rsid w:val="00457324"/>
    <w:rsid w:val="00457457"/>
    <w:rsid w:val="00457574"/>
    <w:rsid w:val="00457C2A"/>
    <w:rsid w:val="004604AA"/>
    <w:rsid w:val="00460586"/>
    <w:rsid w:val="004605EF"/>
    <w:rsid w:val="00460817"/>
    <w:rsid w:val="00461162"/>
    <w:rsid w:val="00461275"/>
    <w:rsid w:val="004612B0"/>
    <w:rsid w:val="00461405"/>
    <w:rsid w:val="00461988"/>
    <w:rsid w:val="00461D70"/>
    <w:rsid w:val="00462179"/>
    <w:rsid w:val="00462856"/>
    <w:rsid w:val="004628C7"/>
    <w:rsid w:val="00462D0B"/>
    <w:rsid w:val="0046305B"/>
    <w:rsid w:val="004631F2"/>
    <w:rsid w:val="00463C67"/>
    <w:rsid w:val="00463CFE"/>
    <w:rsid w:val="0046400D"/>
    <w:rsid w:val="0046437E"/>
    <w:rsid w:val="004643E7"/>
    <w:rsid w:val="0046470B"/>
    <w:rsid w:val="00464968"/>
    <w:rsid w:val="00464ACC"/>
    <w:rsid w:val="00464BF0"/>
    <w:rsid w:val="00464C5F"/>
    <w:rsid w:val="004653F0"/>
    <w:rsid w:val="00465588"/>
    <w:rsid w:val="00465751"/>
    <w:rsid w:val="00465D24"/>
    <w:rsid w:val="00465D4F"/>
    <w:rsid w:val="00465FD4"/>
    <w:rsid w:val="0046607E"/>
    <w:rsid w:val="00466183"/>
    <w:rsid w:val="004662A1"/>
    <w:rsid w:val="0046653D"/>
    <w:rsid w:val="004665B2"/>
    <w:rsid w:val="004667C3"/>
    <w:rsid w:val="00467C1F"/>
    <w:rsid w:val="00467D15"/>
    <w:rsid w:val="004703DC"/>
    <w:rsid w:val="0047063F"/>
    <w:rsid w:val="00470C08"/>
    <w:rsid w:val="00471452"/>
    <w:rsid w:val="004719D2"/>
    <w:rsid w:val="00471B9E"/>
    <w:rsid w:val="004722EB"/>
    <w:rsid w:val="00472628"/>
    <w:rsid w:val="004728A1"/>
    <w:rsid w:val="00472971"/>
    <w:rsid w:val="00472C1C"/>
    <w:rsid w:val="00472D73"/>
    <w:rsid w:val="00472D92"/>
    <w:rsid w:val="00472DB0"/>
    <w:rsid w:val="00472DE9"/>
    <w:rsid w:val="00472EE2"/>
    <w:rsid w:val="004733CE"/>
    <w:rsid w:val="00473ACA"/>
    <w:rsid w:val="00474800"/>
    <w:rsid w:val="0047499A"/>
    <w:rsid w:val="00474A7A"/>
    <w:rsid w:val="00474C74"/>
    <w:rsid w:val="00475181"/>
    <w:rsid w:val="0047518F"/>
    <w:rsid w:val="004752A6"/>
    <w:rsid w:val="00475367"/>
    <w:rsid w:val="00475453"/>
    <w:rsid w:val="00475EC4"/>
    <w:rsid w:val="00475F00"/>
    <w:rsid w:val="004762F6"/>
    <w:rsid w:val="00476739"/>
    <w:rsid w:val="00476924"/>
    <w:rsid w:val="00476CE0"/>
    <w:rsid w:val="00476D4C"/>
    <w:rsid w:val="00476F64"/>
    <w:rsid w:val="00476F96"/>
    <w:rsid w:val="00477030"/>
    <w:rsid w:val="00477AC8"/>
    <w:rsid w:val="00477B00"/>
    <w:rsid w:val="00477DFA"/>
    <w:rsid w:val="00477EC4"/>
    <w:rsid w:val="00480345"/>
    <w:rsid w:val="0048046E"/>
    <w:rsid w:val="004804EA"/>
    <w:rsid w:val="004807FD"/>
    <w:rsid w:val="00480D4F"/>
    <w:rsid w:val="004811A1"/>
    <w:rsid w:val="0048126C"/>
    <w:rsid w:val="004812B6"/>
    <w:rsid w:val="004813C5"/>
    <w:rsid w:val="00481442"/>
    <w:rsid w:val="0048164F"/>
    <w:rsid w:val="004819B1"/>
    <w:rsid w:val="00481BCF"/>
    <w:rsid w:val="00481CF5"/>
    <w:rsid w:val="00481FB7"/>
    <w:rsid w:val="00482185"/>
    <w:rsid w:val="004824B5"/>
    <w:rsid w:val="004826DB"/>
    <w:rsid w:val="00482948"/>
    <w:rsid w:val="00482B99"/>
    <w:rsid w:val="00483035"/>
    <w:rsid w:val="004830DB"/>
    <w:rsid w:val="00483694"/>
    <w:rsid w:val="0048395E"/>
    <w:rsid w:val="00483F71"/>
    <w:rsid w:val="00484449"/>
    <w:rsid w:val="0048465D"/>
    <w:rsid w:val="004846C9"/>
    <w:rsid w:val="00484ABE"/>
    <w:rsid w:val="00484CD7"/>
    <w:rsid w:val="00484E82"/>
    <w:rsid w:val="004850A5"/>
    <w:rsid w:val="004850ED"/>
    <w:rsid w:val="00485421"/>
    <w:rsid w:val="00485F06"/>
    <w:rsid w:val="00485F08"/>
    <w:rsid w:val="00486391"/>
    <w:rsid w:val="00486845"/>
    <w:rsid w:val="00486913"/>
    <w:rsid w:val="00486A6F"/>
    <w:rsid w:val="00486AD7"/>
    <w:rsid w:val="00486AFA"/>
    <w:rsid w:val="00487641"/>
    <w:rsid w:val="004877BB"/>
    <w:rsid w:val="004877C7"/>
    <w:rsid w:val="00487C49"/>
    <w:rsid w:val="00487E69"/>
    <w:rsid w:val="00487F1B"/>
    <w:rsid w:val="00487F50"/>
    <w:rsid w:val="004900BD"/>
    <w:rsid w:val="004907EF"/>
    <w:rsid w:val="004910B9"/>
    <w:rsid w:val="00491345"/>
    <w:rsid w:val="004913A5"/>
    <w:rsid w:val="004913A6"/>
    <w:rsid w:val="004913D8"/>
    <w:rsid w:val="00491420"/>
    <w:rsid w:val="0049190B"/>
    <w:rsid w:val="00491BBC"/>
    <w:rsid w:val="00491F2E"/>
    <w:rsid w:val="004920C6"/>
    <w:rsid w:val="004922A9"/>
    <w:rsid w:val="00492691"/>
    <w:rsid w:val="004926AF"/>
    <w:rsid w:val="0049273C"/>
    <w:rsid w:val="0049274D"/>
    <w:rsid w:val="00492854"/>
    <w:rsid w:val="0049288C"/>
    <w:rsid w:val="00492896"/>
    <w:rsid w:val="00492B35"/>
    <w:rsid w:val="0049303D"/>
    <w:rsid w:val="00493165"/>
    <w:rsid w:val="004935BB"/>
    <w:rsid w:val="0049378E"/>
    <w:rsid w:val="00493843"/>
    <w:rsid w:val="00493EC7"/>
    <w:rsid w:val="00494168"/>
    <w:rsid w:val="004942F5"/>
    <w:rsid w:val="0049473B"/>
    <w:rsid w:val="004947B8"/>
    <w:rsid w:val="004948B1"/>
    <w:rsid w:val="00494997"/>
    <w:rsid w:val="004952D7"/>
    <w:rsid w:val="004952FC"/>
    <w:rsid w:val="0049544B"/>
    <w:rsid w:val="00495458"/>
    <w:rsid w:val="00495519"/>
    <w:rsid w:val="004956D1"/>
    <w:rsid w:val="00495844"/>
    <w:rsid w:val="00495FC7"/>
    <w:rsid w:val="004960B1"/>
    <w:rsid w:val="004961AF"/>
    <w:rsid w:val="0049657F"/>
    <w:rsid w:val="00496BA9"/>
    <w:rsid w:val="00496CEC"/>
    <w:rsid w:val="00496D91"/>
    <w:rsid w:val="00496F7D"/>
    <w:rsid w:val="00497088"/>
    <w:rsid w:val="004971B4"/>
    <w:rsid w:val="0049786D"/>
    <w:rsid w:val="00497CBF"/>
    <w:rsid w:val="00497D9E"/>
    <w:rsid w:val="004A0138"/>
    <w:rsid w:val="004A01C9"/>
    <w:rsid w:val="004A042B"/>
    <w:rsid w:val="004A0584"/>
    <w:rsid w:val="004A0779"/>
    <w:rsid w:val="004A0BEF"/>
    <w:rsid w:val="004A0CCE"/>
    <w:rsid w:val="004A0F69"/>
    <w:rsid w:val="004A1175"/>
    <w:rsid w:val="004A1402"/>
    <w:rsid w:val="004A16EE"/>
    <w:rsid w:val="004A1D78"/>
    <w:rsid w:val="004A1DC3"/>
    <w:rsid w:val="004A208E"/>
    <w:rsid w:val="004A248B"/>
    <w:rsid w:val="004A29A1"/>
    <w:rsid w:val="004A29EF"/>
    <w:rsid w:val="004A2AA6"/>
    <w:rsid w:val="004A2CC6"/>
    <w:rsid w:val="004A3A42"/>
    <w:rsid w:val="004A3BA5"/>
    <w:rsid w:val="004A3D0A"/>
    <w:rsid w:val="004A4567"/>
    <w:rsid w:val="004A47E6"/>
    <w:rsid w:val="004A4828"/>
    <w:rsid w:val="004A4F99"/>
    <w:rsid w:val="004A5079"/>
    <w:rsid w:val="004A5452"/>
    <w:rsid w:val="004A546B"/>
    <w:rsid w:val="004A5BDF"/>
    <w:rsid w:val="004A5C4A"/>
    <w:rsid w:val="004A5C68"/>
    <w:rsid w:val="004A617E"/>
    <w:rsid w:val="004A648A"/>
    <w:rsid w:val="004A64D4"/>
    <w:rsid w:val="004A66C2"/>
    <w:rsid w:val="004A76A1"/>
    <w:rsid w:val="004A76A8"/>
    <w:rsid w:val="004A76AB"/>
    <w:rsid w:val="004A775B"/>
    <w:rsid w:val="004A781F"/>
    <w:rsid w:val="004A7944"/>
    <w:rsid w:val="004A7B3A"/>
    <w:rsid w:val="004A7BDC"/>
    <w:rsid w:val="004A7C01"/>
    <w:rsid w:val="004A7D1E"/>
    <w:rsid w:val="004B0241"/>
    <w:rsid w:val="004B0379"/>
    <w:rsid w:val="004B0399"/>
    <w:rsid w:val="004B0524"/>
    <w:rsid w:val="004B0717"/>
    <w:rsid w:val="004B07C9"/>
    <w:rsid w:val="004B1380"/>
    <w:rsid w:val="004B1529"/>
    <w:rsid w:val="004B1546"/>
    <w:rsid w:val="004B167D"/>
    <w:rsid w:val="004B194D"/>
    <w:rsid w:val="004B1B3D"/>
    <w:rsid w:val="004B1BF5"/>
    <w:rsid w:val="004B1FB8"/>
    <w:rsid w:val="004B2181"/>
    <w:rsid w:val="004B254F"/>
    <w:rsid w:val="004B3022"/>
    <w:rsid w:val="004B325E"/>
    <w:rsid w:val="004B3588"/>
    <w:rsid w:val="004B3A09"/>
    <w:rsid w:val="004B3E52"/>
    <w:rsid w:val="004B401A"/>
    <w:rsid w:val="004B452C"/>
    <w:rsid w:val="004B472B"/>
    <w:rsid w:val="004B498C"/>
    <w:rsid w:val="004B4AAD"/>
    <w:rsid w:val="004B4BF4"/>
    <w:rsid w:val="004B4C79"/>
    <w:rsid w:val="004B4EF3"/>
    <w:rsid w:val="004B4F41"/>
    <w:rsid w:val="004B4F7A"/>
    <w:rsid w:val="004B4FB1"/>
    <w:rsid w:val="004B4FB7"/>
    <w:rsid w:val="004B52F8"/>
    <w:rsid w:val="004B5388"/>
    <w:rsid w:val="004B5A63"/>
    <w:rsid w:val="004B5D87"/>
    <w:rsid w:val="004B5F95"/>
    <w:rsid w:val="004B5F97"/>
    <w:rsid w:val="004B6736"/>
    <w:rsid w:val="004B68F6"/>
    <w:rsid w:val="004B690C"/>
    <w:rsid w:val="004B6B71"/>
    <w:rsid w:val="004B6CE0"/>
    <w:rsid w:val="004B7644"/>
    <w:rsid w:val="004B7BC0"/>
    <w:rsid w:val="004C0150"/>
    <w:rsid w:val="004C0222"/>
    <w:rsid w:val="004C032B"/>
    <w:rsid w:val="004C0690"/>
    <w:rsid w:val="004C0721"/>
    <w:rsid w:val="004C084C"/>
    <w:rsid w:val="004C0882"/>
    <w:rsid w:val="004C0B60"/>
    <w:rsid w:val="004C0B73"/>
    <w:rsid w:val="004C0D17"/>
    <w:rsid w:val="004C1333"/>
    <w:rsid w:val="004C1602"/>
    <w:rsid w:val="004C16D0"/>
    <w:rsid w:val="004C17CF"/>
    <w:rsid w:val="004C195D"/>
    <w:rsid w:val="004C1C9F"/>
    <w:rsid w:val="004C1E39"/>
    <w:rsid w:val="004C1EC1"/>
    <w:rsid w:val="004C22AC"/>
    <w:rsid w:val="004C22B6"/>
    <w:rsid w:val="004C2BF4"/>
    <w:rsid w:val="004C2DCC"/>
    <w:rsid w:val="004C2EEE"/>
    <w:rsid w:val="004C317A"/>
    <w:rsid w:val="004C330F"/>
    <w:rsid w:val="004C3725"/>
    <w:rsid w:val="004C37E6"/>
    <w:rsid w:val="004C38B7"/>
    <w:rsid w:val="004C3B8C"/>
    <w:rsid w:val="004C3BBF"/>
    <w:rsid w:val="004C3D5B"/>
    <w:rsid w:val="004C43AD"/>
    <w:rsid w:val="004C43F1"/>
    <w:rsid w:val="004C49FD"/>
    <w:rsid w:val="004C4B55"/>
    <w:rsid w:val="004C4D68"/>
    <w:rsid w:val="004C4ECD"/>
    <w:rsid w:val="004C5156"/>
    <w:rsid w:val="004C5355"/>
    <w:rsid w:val="004C54FC"/>
    <w:rsid w:val="004C560E"/>
    <w:rsid w:val="004C5653"/>
    <w:rsid w:val="004C595F"/>
    <w:rsid w:val="004C5AED"/>
    <w:rsid w:val="004C5D0C"/>
    <w:rsid w:val="004C5F70"/>
    <w:rsid w:val="004C6160"/>
    <w:rsid w:val="004C61DC"/>
    <w:rsid w:val="004C6611"/>
    <w:rsid w:val="004C67B8"/>
    <w:rsid w:val="004C6C31"/>
    <w:rsid w:val="004C6D4A"/>
    <w:rsid w:val="004C71C8"/>
    <w:rsid w:val="004C71D5"/>
    <w:rsid w:val="004C723A"/>
    <w:rsid w:val="004C73BD"/>
    <w:rsid w:val="004C746C"/>
    <w:rsid w:val="004C74AA"/>
    <w:rsid w:val="004C77C8"/>
    <w:rsid w:val="004C7916"/>
    <w:rsid w:val="004C7E92"/>
    <w:rsid w:val="004D05E7"/>
    <w:rsid w:val="004D0C66"/>
    <w:rsid w:val="004D0E85"/>
    <w:rsid w:val="004D0F93"/>
    <w:rsid w:val="004D126F"/>
    <w:rsid w:val="004D12F0"/>
    <w:rsid w:val="004D13DB"/>
    <w:rsid w:val="004D16F4"/>
    <w:rsid w:val="004D1B14"/>
    <w:rsid w:val="004D21C2"/>
    <w:rsid w:val="004D23BF"/>
    <w:rsid w:val="004D27D1"/>
    <w:rsid w:val="004D2806"/>
    <w:rsid w:val="004D2B2F"/>
    <w:rsid w:val="004D2BD8"/>
    <w:rsid w:val="004D2D91"/>
    <w:rsid w:val="004D2DE0"/>
    <w:rsid w:val="004D3145"/>
    <w:rsid w:val="004D33F8"/>
    <w:rsid w:val="004D3753"/>
    <w:rsid w:val="004D38CB"/>
    <w:rsid w:val="004D3A5D"/>
    <w:rsid w:val="004D3BD0"/>
    <w:rsid w:val="004D3C12"/>
    <w:rsid w:val="004D3EDA"/>
    <w:rsid w:val="004D4076"/>
    <w:rsid w:val="004D424C"/>
    <w:rsid w:val="004D432B"/>
    <w:rsid w:val="004D4572"/>
    <w:rsid w:val="004D4898"/>
    <w:rsid w:val="004D4AAF"/>
    <w:rsid w:val="004D5C20"/>
    <w:rsid w:val="004D5E40"/>
    <w:rsid w:val="004D5E58"/>
    <w:rsid w:val="004D614D"/>
    <w:rsid w:val="004D630C"/>
    <w:rsid w:val="004D6784"/>
    <w:rsid w:val="004D6A82"/>
    <w:rsid w:val="004D6F1C"/>
    <w:rsid w:val="004D722B"/>
    <w:rsid w:val="004D7245"/>
    <w:rsid w:val="004D7274"/>
    <w:rsid w:val="004D72B4"/>
    <w:rsid w:val="004D74C9"/>
    <w:rsid w:val="004D7663"/>
    <w:rsid w:val="004D76DE"/>
    <w:rsid w:val="004D77A0"/>
    <w:rsid w:val="004D7AA8"/>
    <w:rsid w:val="004D7B6F"/>
    <w:rsid w:val="004D7C41"/>
    <w:rsid w:val="004E0789"/>
    <w:rsid w:val="004E0A13"/>
    <w:rsid w:val="004E0A80"/>
    <w:rsid w:val="004E0B11"/>
    <w:rsid w:val="004E0B96"/>
    <w:rsid w:val="004E1190"/>
    <w:rsid w:val="004E14F1"/>
    <w:rsid w:val="004E18E4"/>
    <w:rsid w:val="004E191E"/>
    <w:rsid w:val="004E1951"/>
    <w:rsid w:val="004E1A3C"/>
    <w:rsid w:val="004E1A53"/>
    <w:rsid w:val="004E1C56"/>
    <w:rsid w:val="004E1EA0"/>
    <w:rsid w:val="004E1F56"/>
    <w:rsid w:val="004E2234"/>
    <w:rsid w:val="004E22B1"/>
    <w:rsid w:val="004E241C"/>
    <w:rsid w:val="004E24AA"/>
    <w:rsid w:val="004E25D7"/>
    <w:rsid w:val="004E26F2"/>
    <w:rsid w:val="004E2882"/>
    <w:rsid w:val="004E2892"/>
    <w:rsid w:val="004E295A"/>
    <w:rsid w:val="004E3440"/>
    <w:rsid w:val="004E35B9"/>
    <w:rsid w:val="004E3845"/>
    <w:rsid w:val="004E39A0"/>
    <w:rsid w:val="004E3DA8"/>
    <w:rsid w:val="004E3E83"/>
    <w:rsid w:val="004E415C"/>
    <w:rsid w:val="004E4504"/>
    <w:rsid w:val="004E4792"/>
    <w:rsid w:val="004E4867"/>
    <w:rsid w:val="004E51FF"/>
    <w:rsid w:val="004E5212"/>
    <w:rsid w:val="004E52BB"/>
    <w:rsid w:val="004E539B"/>
    <w:rsid w:val="004E5404"/>
    <w:rsid w:val="004E57C9"/>
    <w:rsid w:val="004E581C"/>
    <w:rsid w:val="004E5900"/>
    <w:rsid w:val="004E59A0"/>
    <w:rsid w:val="004E5A9D"/>
    <w:rsid w:val="004E5AF3"/>
    <w:rsid w:val="004E5AF6"/>
    <w:rsid w:val="004E5E23"/>
    <w:rsid w:val="004E6824"/>
    <w:rsid w:val="004E6DCC"/>
    <w:rsid w:val="004E6EB9"/>
    <w:rsid w:val="004E6F2C"/>
    <w:rsid w:val="004E7A17"/>
    <w:rsid w:val="004E7A79"/>
    <w:rsid w:val="004E7BB3"/>
    <w:rsid w:val="004E7F2D"/>
    <w:rsid w:val="004F006A"/>
    <w:rsid w:val="004F0434"/>
    <w:rsid w:val="004F0442"/>
    <w:rsid w:val="004F06D2"/>
    <w:rsid w:val="004F07D1"/>
    <w:rsid w:val="004F09B6"/>
    <w:rsid w:val="004F0BE0"/>
    <w:rsid w:val="004F0FC8"/>
    <w:rsid w:val="004F100C"/>
    <w:rsid w:val="004F12E0"/>
    <w:rsid w:val="004F1303"/>
    <w:rsid w:val="004F1B0A"/>
    <w:rsid w:val="004F1C88"/>
    <w:rsid w:val="004F1C9D"/>
    <w:rsid w:val="004F1DAF"/>
    <w:rsid w:val="004F2276"/>
    <w:rsid w:val="004F2598"/>
    <w:rsid w:val="004F263F"/>
    <w:rsid w:val="004F26FC"/>
    <w:rsid w:val="004F3360"/>
    <w:rsid w:val="004F38E6"/>
    <w:rsid w:val="004F398A"/>
    <w:rsid w:val="004F3AB5"/>
    <w:rsid w:val="004F3BBE"/>
    <w:rsid w:val="004F3EA4"/>
    <w:rsid w:val="004F40C2"/>
    <w:rsid w:val="004F41CD"/>
    <w:rsid w:val="004F42F3"/>
    <w:rsid w:val="004F4365"/>
    <w:rsid w:val="004F4565"/>
    <w:rsid w:val="004F4581"/>
    <w:rsid w:val="004F48AE"/>
    <w:rsid w:val="004F49AF"/>
    <w:rsid w:val="004F49EF"/>
    <w:rsid w:val="004F4B1A"/>
    <w:rsid w:val="004F51C3"/>
    <w:rsid w:val="004F537C"/>
    <w:rsid w:val="004F5633"/>
    <w:rsid w:val="004F57C9"/>
    <w:rsid w:val="004F5B82"/>
    <w:rsid w:val="004F5C29"/>
    <w:rsid w:val="004F5C8E"/>
    <w:rsid w:val="004F5CAD"/>
    <w:rsid w:val="004F619F"/>
    <w:rsid w:val="004F6578"/>
    <w:rsid w:val="004F6788"/>
    <w:rsid w:val="004F6D9A"/>
    <w:rsid w:val="004F6DDA"/>
    <w:rsid w:val="004F7111"/>
    <w:rsid w:val="004F75CD"/>
    <w:rsid w:val="00500149"/>
    <w:rsid w:val="005001B6"/>
    <w:rsid w:val="005005D3"/>
    <w:rsid w:val="00500696"/>
    <w:rsid w:val="005006BE"/>
    <w:rsid w:val="005008D0"/>
    <w:rsid w:val="00500B12"/>
    <w:rsid w:val="00500BE9"/>
    <w:rsid w:val="00500CA9"/>
    <w:rsid w:val="00500CF2"/>
    <w:rsid w:val="00500D60"/>
    <w:rsid w:val="00500D73"/>
    <w:rsid w:val="00500E42"/>
    <w:rsid w:val="0050109B"/>
    <w:rsid w:val="0050112A"/>
    <w:rsid w:val="005012F2"/>
    <w:rsid w:val="00501627"/>
    <w:rsid w:val="00501674"/>
    <w:rsid w:val="005016B1"/>
    <w:rsid w:val="005017A2"/>
    <w:rsid w:val="00502095"/>
    <w:rsid w:val="005022AA"/>
    <w:rsid w:val="0050264F"/>
    <w:rsid w:val="005027CB"/>
    <w:rsid w:val="00502844"/>
    <w:rsid w:val="00502868"/>
    <w:rsid w:val="00502B78"/>
    <w:rsid w:val="00502E4C"/>
    <w:rsid w:val="00503081"/>
    <w:rsid w:val="00503397"/>
    <w:rsid w:val="005033F7"/>
    <w:rsid w:val="00503885"/>
    <w:rsid w:val="00503F35"/>
    <w:rsid w:val="005044FE"/>
    <w:rsid w:val="00504CAB"/>
    <w:rsid w:val="00504DDF"/>
    <w:rsid w:val="00504F71"/>
    <w:rsid w:val="00505060"/>
    <w:rsid w:val="005051EB"/>
    <w:rsid w:val="005056BD"/>
    <w:rsid w:val="00505966"/>
    <w:rsid w:val="00505982"/>
    <w:rsid w:val="00505A5E"/>
    <w:rsid w:val="00506329"/>
    <w:rsid w:val="005064E5"/>
    <w:rsid w:val="00506EBA"/>
    <w:rsid w:val="005070EC"/>
    <w:rsid w:val="005073A1"/>
    <w:rsid w:val="005076B8"/>
    <w:rsid w:val="00507C6E"/>
    <w:rsid w:val="00507C79"/>
    <w:rsid w:val="00507DAA"/>
    <w:rsid w:val="00507E69"/>
    <w:rsid w:val="00510154"/>
    <w:rsid w:val="00510165"/>
    <w:rsid w:val="005102BB"/>
    <w:rsid w:val="0051035C"/>
    <w:rsid w:val="0051060D"/>
    <w:rsid w:val="005107D9"/>
    <w:rsid w:val="00510963"/>
    <w:rsid w:val="00510C2E"/>
    <w:rsid w:val="00510C48"/>
    <w:rsid w:val="00510C5D"/>
    <w:rsid w:val="00511664"/>
    <w:rsid w:val="00511920"/>
    <w:rsid w:val="00511A3D"/>
    <w:rsid w:val="00511B5B"/>
    <w:rsid w:val="00512132"/>
    <w:rsid w:val="0051251D"/>
    <w:rsid w:val="00512F65"/>
    <w:rsid w:val="00513167"/>
    <w:rsid w:val="005131D8"/>
    <w:rsid w:val="0051329B"/>
    <w:rsid w:val="00513728"/>
    <w:rsid w:val="00513840"/>
    <w:rsid w:val="00513CC3"/>
    <w:rsid w:val="00513DB5"/>
    <w:rsid w:val="00513EB4"/>
    <w:rsid w:val="0051400F"/>
    <w:rsid w:val="005145ED"/>
    <w:rsid w:val="0051499C"/>
    <w:rsid w:val="005149E0"/>
    <w:rsid w:val="00514CAC"/>
    <w:rsid w:val="00514D22"/>
    <w:rsid w:val="00514F34"/>
    <w:rsid w:val="00515561"/>
    <w:rsid w:val="00515633"/>
    <w:rsid w:val="00515AAE"/>
    <w:rsid w:val="00515C08"/>
    <w:rsid w:val="00516125"/>
    <w:rsid w:val="0051612F"/>
    <w:rsid w:val="00516340"/>
    <w:rsid w:val="0051643C"/>
    <w:rsid w:val="00516645"/>
    <w:rsid w:val="00516703"/>
    <w:rsid w:val="0051672E"/>
    <w:rsid w:val="00516E62"/>
    <w:rsid w:val="00517381"/>
    <w:rsid w:val="0051760F"/>
    <w:rsid w:val="0051776F"/>
    <w:rsid w:val="005178AD"/>
    <w:rsid w:val="00517903"/>
    <w:rsid w:val="00517A4B"/>
    <w:rsid w:val="005200A9"/>
    <w:rsid w:val="0052045C"/>
    <w:rsid w:val="005210B7"/>
    <w:rsid w:val="0052118B"/>
    <w:rsid w:val="005211AF"/>
    <w:rsid w:val="005212A7"/>
    <w:rsid w:val="00521469"/>
    <w:rsid w:val="0052176B"/>
    <w:rsid w:val="005217D1"/>
    <w:rsid w:val="00521847"/>
    <w:rsid w:val="00521AE6"/>
    <w:rsid w:val="00521CE4"/>
    <w:rsid w:val="00521D07"/>
    <w:rsid w:val="00521FD0"/>
    <w:rsid w:val="00521FE7"/>
    <w:rsid w:val="00522083"/>
    <w:rsid w:val="00522174"/>
    <w:rsid w:val="0052226F"/>
    <w:rsid w:val="005223A9"/>
    <w:rsid w:val="005226BB"/>
    <w:rsid w:val="00522833"/>
    <w:rsid w:val="00522CC6"/>
    <w:rsid w:val="00522EAA"/>
    <w:rsid w:val="00522ED9"/>
    <w:rsid w:val="00523231"/>
    <w:rsid w:val="005236B6"/>
    <w:rsid w:val="00523A4B"/>
    <w:rsid w:val="00523BD7"/>
    <w:rsid w:val="00523C83"/>
    <w:rsid w:val="00523D5C"/>
    <w:rsid w:val="00524676"/>
    <w:rsid w:val="00524BA8"/>
    <w:rsid w:val="00524FE4"/>
    <w:rsid w:val="0052507D"/>
    <w:rsid w:val="005254B7"/>
    <w:rsid w:val="005256EF"/>
    <w:rsid w:val="0052580E"/>
    <w:rsid w:val="00525932"/>
    <w:rsid w:val="00525B4C"/>
    <w:rsid w:val="00525C62"/>
    <w:rsid w:val="00525CDE"/>
    <w:rsid w:val="00525F1D"/>
    <w:rsid w:val="00526BDB"/>
    <w:rsid w:val="00526C1B"/>
    <w:rsid w:val="00526CC3"/>
    <w:rsid w:val="005270C2"/>
    <w:rsid w:val="0052772C"/>
    <w:rsid w:val="005278D0"/>
    <w:rsid w:val="00530106"/>
    <w:rsid w:val="00530288"/>
    <w:rsid w:val="0053028F"/>
    <w:rsid w:val="005303C6"/>
    <w:rsid w:val="005306B8"/>
    <w:rsid w:val="00530A7A"/>
    <w:rsid w:val="00530A92"/>
    <w:rsid w:val="00530B0D"/>
    <w:rsid w:val="00530D4F"/>
    <w:rsid w:val="005310D1"/>
    <w:rsid w:val="005317BD"/>
    <w:rsid w:val="00531CA3"/>
    <w:rsid w:val="005328F2"/>
    <w:rsid w:val="0053297A"/>
    <w:rsid w:val="00532B55"/>
    <w:rsid w:val="00532D30"/>
    <w:rsid w:val="0053323F"/>
    <w:rsid w:val="005334A2"/>
    <w:rsid w:val="005334F9"/>
    <w:rsid w:val="00533A19"/>
    <w:rsid w:val="00533C87"/>
    <w:rsid w:val="00534078"/>
    <w:rsid w:val="00534165"/>
    <w:rsid w:val="0053441B"/>
    <w:rsid w:val="005348FF"/>
    <w:rsid w:val="00534A48"/>
    <w:rsid w:val="00535023"/>
    <w:rsid w:val="005354D1"/>
    <w:rsid w:val="005355B8"/>
    <w:rsid w:val="00535642"/>
    <w:rsid w:val="00535A3A"/>
    <w:rsid w:val="00535BBB"/>
    <w:rsid w:val="00535F47"/>
    <w:rsid w:val="00535F9E"/>
    <w:rsid w:val="0053618C"/>
    <w:rsid w:val="00536783"/>
    <w:rsid w:val="00536B3B"/>
    <w:rsid w:val="00536BDC"/>
    <w:rsid w:val="0053715A"/>
    <w:rsid w:val="0053720D"/>
    <w:rsid w:val="0053772F"/>
    <w:rsid w:val="005377C2"/>
    <w:rsid w:val="00537A61"/>
    <w:rsid w:val="00537CEF"/>
    <w:rsid w:val="005400AE"/>
    <w:rsid w:val="005400DC"/>
    <w:rsid w:val="005403E6"/>
    <w:rsid w:val="00540505"/>
    <w:rsid w:val="005407DA"/>
    <w:rsid w:val="00541075"/>
    <w:rsid w:val="00541625"/>
    <w:rsid w:val="0054162D"/>
    <w:rsid w:val="00541C3C"/>
    <w:rsid w:val="00541DE9"/>
    <w:rsid w:val="00542288"/>
    <w:rsid w:val="00542894"/>
    <w:rsid w:val="00542951"/>
    <w:rsid w:val="005429DC"/>
    <w:rsid w:val="00542BAF"/>
    <w:rsid w:val="00542DF3"/>
    <w:rsid w:val="00543004"/>
    <w:rsid w:val="005431FD"/>
    <w:rsid w:val="00543227"/>
    <w:rsid w:val="00543244"/>
    <w:rsid w:val="00543429"/>
    <w:rsid w:val="00543580"/>
    <w:rsid w:val="005435C4"/>
    <w:rsid w:val="005436D3"/>
    <w:rsid w:val="00543756"/>
    <w:rsid w:val="00544437"/>
    <w:rsid w:val="00544CEC"/>
    <w:rsid w:val="00544D6C"/>
    <w:rsid w:val="00544E7C"/>
    <w:rsid w:val="00544F7C"/>
    <w:rsid w:val="00544FA7"/>
    <w:rsid w:val="00544FD8"/>
    <w:rsid w:val="0054525C"/>
    <w:rsid w:val="00545CC6"/>
    <w:rsid w:val="0054615D"/>
    <w:rsid w:val="00546245"/>
    <w:rsid w:val="005464F3"/>
    <w:rsid w:val="005465CD"/>
    <w:rsid w:val="00546686"/>
    <w:rsid w:val="005466FB"/>
    <w:rsid w:val="00546906"/>
    <w:rsid w:val="00546C2C"/>
    <w:rsid w:val="0054741D"/>
    <w:rsid w:val="00547DE6"/>
    <w:rsid w:val="0055020B"/>
    <w:rsid w:val="005505E7"/>
    <w:rsid w:val="00550B03"/>
    <w:rsid w:val="00551237"/>
    <w:rsid w:val="00551255"/>
    <w:rsid w:val="00551327"/>
    <w:rsid w:val="00551473"/>
    <w:rsid w:val="00551700"/>
    <w:rsid w:val="00551738"/>
    <w:rsid w:val="005517C0"/>
    <w:rsid w:val="00551A9E"/>
    <w:rsid w:val="00551DC7"/>
    <w:rsid w:val="00552410"/>
    <w:rsid w:val="00552569"/>
    <w:rsid w:val="005526EE"/>
    <w:rsid w:val="0055274F"/>
    <w:rsid w:val="00552B80"/>
    <w:rsid w:val="00552CBF"/>
    <w:rsid w:val="00552D50"/>
    <w:rsid w:val="005530FA"/>
    <w:rsid w:val="005532FF"/>
    <w:rsid w:val="005533D6"/>
    <w:rsid w:val="005534AC"/>
    <w:rsid w:val="0055358B"/>
    <w:rsid w:val="005535F3"/>
    <w:rsid w:val="0055400A"/>
    <w:rsid w:val="005544A7"/>
    <w:rsid w:val="00554623"/>
    <w:rsid w:val="005547C4"/>
    <w:rsid w:val="00554878"/>
    <w:rsid w:val="00554B26"/>
    <w:rsid w:val="00554F46"/>
    <w:rsid w:val="005551CD"/>
    <w:rsid w:val="0055551A"/>
    <w:rsid w:val="0055574F"/>
    <w:rsid w:val="00555AFA"/>
    <w:rsid w:val="00555E26"/>
    <w:rsid w:val="00556219"/>
    <w:rsid w:val="005566F3"/>
    <w:rsid w:val="00556859"/>
    <w:rsid w:val="00556A27"/>
    <w:rsid w:val="00556E68"/>
    <w:rsid w:val="00556F61"/>
    <w:rsid w:val="005572FB"/>
    <w:rsid w:val="00557307"/>
    <w:rsid w:val="00557608"/>
    <w:rsid w:val="00557720"/>
    <w:rsid w:val="005577B5"/>
    <w:rsid w:val="00557861"/>
    <w:rsid w:val="00557A53"/>
    <w:rsid w:val="00557C5E"/>
    <w:rsid w:val="00557FB4"/>
    <w:rsid w:val="0056006F"/>
    <w:rsid w:val="00560355"/>
    <w:rsid w:val="00560479"/>
    <w:rsid w:val="00560544"/>
    <w:rsid w:val="00560576"/>
    <w:rsid w:val="00560711"/>
    <w:rsid w:val="00560934"/>
    <w:rsid w:val="005609F4"/>
    <w:rsid w:val="00560B98"/>
    <w:rsid w:val="00560EB3"/>
    <w:rsid w:val="005615C3"/>
    <w:rsid w:val="005616A3"/>
    <w:rsid w:val="00561793"/>
    <w:rsid w:val="00561E3B"/>
    <w:rsid w:val="00561F5C"/>
    <w:rsid w:val="00562EA4"/>
    <w:rsid w:val="005634CE"/>
    <w:rsid w:val="00563624"/>
    <w:rsid w:val="005639DE"/>
    <w:rsid w:val="00563B5A"/>
    <w:rsid w:val="00563D90"/>
    <w:rsid w:val="005640DD"/>
    <w:rsid w:val="005641D9"/>
    <w:rsid w:val="00564342"/>
    <w:rsid w:val="0056454B"/>
    <w:rsid w:val="005647C5"/>
    <w:rsid w:val="00564B43"/>
    <w:rsid w:val="00564FE0"/>
    <w:rsid w:val="00565350"/>
    <w:rsid w:val="00565446"/>
    <w:rsid w:val="005655FA"/>
    <w:rsid w:val="00565714"/>
    <w:rsid w:val="005658B6"/>
    <w:rsid w:val="0056590B"/>
    <w:rsid w:val="0056593A"/>
    <w:rsid w:val="00565A97"/>
    <w:rsid w:val="005661AA"/>
    <w:rsid w:val="005661EA"/>
    <w:rsid w:val="00566729"/>
    <w:rsid w:val="00566735"/>
    <w:rsid w:val="0056695A"/>
    <w:rsid w:val="00566C89"/>
    <w:rsid w:val="00566D19"/>
    <w:rsid w:val="00567125"/>
    <w:rsid w:val="005671FD"/>
    <w:rsid w:val="005675C3"/>
    <w:rsid w:val="005676AA"/>
    <w:rsid w:val="00567A66"/>
    <w:rsid w:val="00567C4B"/>
    <w:rsid w:val="005703C4"/>
    <w:rsid w:val="00570D05"/>
    <w:rsid w:val="00570F9C"/>
    <w:rsid w:val="0057148D"/>
    <w:rsid w:val="00571566"/>
    <w:rsid w:val="00571693"/>
    <w:rsid w:val="00571ACA"/>
    <w:rsid w:val="00571B78"/>
    <w:rsid w:val="00571DBD"/>
    <w:rsid w:val="00572173"/>
    <w:rsid w:val="0057227E"/>
    <w:rsid w:val="00572437"/>
    <w:rsid w:val="00572550"/>
    <w:rsid w:val="0057263C"/>
    <w:rsid w:val="005727ED"/>
    <w:rsid w:val="00572A17"/>
    <w:rsid w:val="00572D92"/>
    <w:rsid w:val="00572E8F"/>
    <w:rsid w:val="00573685"/>
    <w:rsid w:val="00573A6F"/>
    <w:rsid w:val="00573C14"/>
    <w:rsid w:val="00573E0D"/>
    <w:rsid w:val="0057400D"/>
    <w:rsid w:val="005740C0"/>
    <w:rsid w:val="005745F2"/>
    <w:rsid w:val="00574C31"/>
    <w:rsid w:val="00574CA8"/>
    <w:rsid w:val="00574DD4"/>
    <w:rsid w:val="00574FEB"/>
    <w:rsid w:val="005751D3"/>
    <w:rsid w:val="0057522A"/>
    <w:rsid w:val="00575CCD"/>
    <w:rsid w:val="005765C0"/>
    <w:rsid w:val="00576E4E"/>
    <w:rsid w:val="00577532"/>
    <w:rsid w:val="005775D8"/>
    <w:rsid w:val="00577681"/>
    <w:rsid w:val="00577D2D"/>
    <w:rsid w:val="005803FF"/>
    <w:rsid w:val="00580552"/>
    <w:rsid w:val="00580602"/>
    <w:rsid w:val="005806AC"/>
    <w:rsid w:val="00580968"/>
    <w:rsid w:val="00580B6D"/>
    <w:rsid w:val="00580C99"/>
    <w:rsid w:val="00581092"/>
    <w:rsid w:val="00581316"/>
    <w:rsid w:val="00581335"/>
    <w:rsid w:val="0058140B"/>
    <w:rsid w:val="00581A30"/>
    <w:rsid w:val="00582151"/>
    <w:rsid w:val="00582251"/>
    <w:rsid w:val="00582322"/>
    <w:rsid w:val="0058264B"/>
    <w:rsid w:val="005826DC"/>
    <w:rsid w:val="005828BD"/>
    <w:rsid w:val="00582B92"/>
    <w:rsid w:val="005832B6"/>
    <w:rsid w:val="00583813"/>
    <w:rsid w:val="00583B45"/>
    <w:rsid w:val="00583ED9"/>
    <w:rsid w:val="0058420A"/>
    <w:rsid w:val="0058428A"/>
    <w:rsid w:val="005849B1"/>
    <w:rsid w:val="00584DC0"/>
    <w:rsid w:val="00585032"/>
    <w:rsid w:val="005853ED"/>
    <w:rsid w:val="0058559A"/>
    <w:rsid w:val="00585AC0"/>
    <w:rsid w:val="00585D32"/>
    <w:rsid w:val="00585E93"/>
    <w:rsid w:val="0058601B"/>
    <w:rsid w:val="005862A7"/>
    <w:rsid w:val="0058631F"/>
    <w:rsid w:val="005864A0"/>
    <w:rsid w:val="00586795"/>
    <w:rsid w:val="00586B13"/>
    <w:rsid w:val="00586B5E"/>
    <w:rsid w:val="00586BE0"/>
    <w:rsid w:val="00586CA2"/>
    <w:rsid w:val="00586F37"/>
    <w:rsid w:val="005871E3"/>
    <w:rsid w:val="00587515"/>
    <w:rsid w:val="0058786E"/>
    <w:rsid w:val="00587874"/>
    <w:rsid w:val="00587910"/>
    <w:rsid w:val="005901D9"/>
    <w:rsid w:val="00590248"/>
    <w:rsid w:val="0059051D"/>
    <w:rsid w:val="0059062F"/>
    <w:rsid w:val="00590717"/>
    <w:rsid w:val="0059090E"/>
    <w:rsid w:val="00591459"/>
    <w:rsid w:val="005915E6"/>
    <w:rsid w:val="0059168F"/>
    <w:rsid w:val="00591761"/>
    <w:rsid w:val="00591A76"/>
    <w:rsid w:val="00591C0F"/>
    <w:rsid w:val="00591C63"/>
    <w:rsid w:val="00591E59"/>
    <w:rsid w:val="00592534"/>
    <w:rsid w:val="0059259F"/>
    <w:rsid w:val="00592912"/>
    <w:rsid w:val="0059291C"/>
    <w:rsid w:val="0059297A"/>
    <w:rsid w:val="00592DCD"/>
    <w:rsid w:val="005930DF"/>
    <w:rsid w:val="005932BC"/>
    <w:rsid w:val="00593545"/>
    <w:rsid w:val="0059358F"/>
    <w:rsid w:val="00593653"/>
    <w:rsid w:val="0059369D"/>
    <w:rsid w:val="00593894"/>
    <w:rsid w:val="00593939"/>
    <w:rsid w:val="00593945"/>
    <w:rsid w:val="00593AC4"/>
    <w:rsid w:val="00593D0E"/>
    <w:rsid w:val="00593DCB"/>
    <w:rsid w:val="00593F3D"/>
    <w:rsid w:val="005941DA"/>
    <w:rsid w:val="005943FC"/>
    <w:rsid w:val="005944BD"/>
    <w:rsid w:val="005944DF"/>
    <w:rsid w:val="005947F6"/>
    <w:rsid w:val="00594863"/>
    <w:rsid w:val="00594A16"/>
    <w:rsid w:val="00594A9F"/>
    <w:rsid w:val="0059503D"/>
    <w:rsid w:val="00595117"/>
    <w:rsid w:val="00595736"/>
    <w:rsid w:val="00595820"/>
    <w:rsid w:val="00595CDA"/>
    <w:rsid w:val="00595DA0"/>
    <w:rsid w:val="00595EF8"/>
    <w:rsid w:val="00595F3D"/>
    <w:rsid w:val="0059620A"/>
    <w:rsid w:val="00596424"/>
    <w:rsid w:val="005969A6"/>
    <w:rsid w:val="00596A41"/>
    <w:rsid w:val="00596E8D"/>
    <w:rsid w:val="00596FC1"/>
    <w:rsid w:val="00597084"/>
    <w:rsid w:val="00597899"/>
    <w:rsid w:val="00597A79"/>
    <w:rsid w:val="00597CAB"/>
    <w:rsid w:val="005A092D"/>
    <w:rsid w:val="005A0C7B"/>
    <w:rsid w:val="005A134B"/>
    <w:rsid w:val="005A19C7"/>
    <w:rsid w:val="005A1D8B"/>
    <w:rsid w:val="005A2261"/>
    <w:rsid w:val="005A22B7"/>
    <w:rsid w:val="005A247C"/>
    <w:rsid w:val="005A2490"/>
    <w:rsid w:val="005A28EA"/>
    <w:rsid w:val="005A2EFB"/>
    <w:rsid w:val="005A3053"/>
    <w:rsid w:val="005A3072"/>
    <w:rsid w:val="005A308D"/>
    <w:rsid w:val="005A33E1"/>
    <w:rsid w:val="005A3562"/>
    <w:rsid w:val="005A3755"/>
    <w:rsid w:val="005A37D9"/>
    <w:rsid w:val="005A3A26"/>
    <w:rsid w:val="005A3A48"/>
    <w:rsid w:val="005A3D0B"/>
    <w:rsid w:val="005A3F89"/>
    <w:rsid w:val="005A412C"/>
    <w:rsid w:val="005A41CB"/>
    <w:rsid w:val="005A4290"/>
    <w:rsid w:val="005A43AC"/>
    <w:rsid w:val="005A448F"/>
    <w:rsid w:val="005A4512"/>
    <w:rsid w:val="005A454F"/>
    <w:rsid w:val="005A47F3"/>
    <w:rsid w:val="005A4875"/>
    <w:rsid w:val="005A48A2"/>
    <w:rsid w:val="005A4C16"/>
    <w:rsid w:val="005A503D"/>
    <w:rsid w:val="005A516D"/>
    <w:rsid w:val="005A5AFB"/>
    <w:rsid w:val="005A5D92"/>
    <w:rsid w:val="005A62FE"/>
    <w:rsid w:val="005A68D6"/>
    <w:rsid w:val="005A6BB0"/>
    <w:rsid w:val="005A6E9F"/>
    <w:rsid w:val="005A6EFC"/>
    <w:rsid w:val="005A700B"/>
    <w:rsid w:val="005A7105"/>
    <w:rsid w:val="005A77A9"/>
    <w:rsid w:val="005A7AC6"/>
    <w:rsid w:val="005A7E88"/>
    <w:rsid w:val="005B0BEE"/>
    <w:rsid w:val="005B1309"/>
    <w:rsid w:val="005B15F2"/>
    <w:rsid w:val="005B169E"/>
    <w:rsid w:val="005B19A0"/>
    <w:rsid w:val="005B1EFE"/>
    <w:rsid w:val="005B289F"/>
    <w:rsid w:val="005B2BC4"/>
    <w:rsid w:val="005B312D"/>
    <w:rsid w:val="005B3214"/>
    <w:rsid w:val="005B3283"/>
    <w:rsid w:val="005B33F4"/>
    <w:rsid w:val="005B3421"/>
    <w:rsid w:val="005B41C8"/>
    <w:rsid w:val="005B44E7"/>
    <w:rsid w:val="005B4798"/>
    <w:rsid w:val="005B4A51"/>
    <w:rsid w:val="005B4B75"/>
    <w:rsid w:val="005B4CB0"/>
    <w:rsid w:val="005B4E84"/>
    <w:rsid w:val="005B51F4"/>
    <w:rsid w:val="005B521F"/>
    <w:rsid w:val="005B55CC"/>
    <w:rsid w:val="005B5629"/>
    <w:rsid w:val="005B5B73"/>
    <w:rsid w:val="005B5C1E"/>
    <w:rsid w:val="005B6C32"/>
    <w:rsid w:val="005B6D21"/>
    <w:rsid w:val="005B6DE2"/>
    <w:rsid w:val="005B7050"/>
    <w:rsid w:val="005B77F7"/>
    <w:rsid w:val="005B7839"/>
    <w:rsid w:val="005B7928"/>
    <w:rsid w:val="005B7E4A"/>
    <w:rsid w:val="005B7FAE"/>
    <w:rsid w:val="005C01E1"/>
    <w:rsid w:val="005C021C"/>
    <w:rsid w:val="005C02DD"/>
    <w:rsid w:val="005C0618"/>
    <w:rsid w:val="005C0909"/>
    <w:rsid w:val="005C0B16"/>
    <w:rsid w:val="005C0E37"/>
    <w:rsid w:val="005C0EB6"/>
    <w:rsid w:val="005C0F8F"/>
    <w:rsid w:val="005C10A4"/>
    <w:rsid w:val="005C1717"/>
    <w:rsid w:val="005C1756"/>
    <w:rsid w:val="005C1A37"/>
    <w:rsid w:val="005C2192"/>
    <w:rsid w:val="005C25E4"/>
    <w:rsid w:val="005C26BB"/>
    <w:rsid w:val="005C2E4C"/>
    <w:rsid w:val="005C2E8C"/>
    <w:rsid w:val="005C3323"/>
    <w:rsid w:val="005C3382"/>
    <w:rsid w:val="005C3462"/>
    <w:rsid w:val="005C349C"/>
    <w:rsid w:val="005C39FD"/>
    <w:rsid w:val="005C4002"/>
    <w:rsid w:val="005C405D"/>
    <w:rsid w:val="005C412A"/>
    <w:rsid w:val="005C4620"/>
    <w:rsid w:val="005C464B"/>
    <w:rsid w:val="005C469B"/>
    <w:rsid w:val="005C4867"/>
    <w:rsid w:val="005C493E"/>
    <w:rsid w:val="005C49E6"/>
    <w:rsid w:val="005C49F9"/>
    <w:rsid w:val="005C4A14"/>
    <w:rsid w:val="005C4CD4"/>
    <w:rsid w:val="005C5057"/>
    <w:rsid w:val="005C51E6"/>
    <w:rsid w:val="005C583A"/>
    <w:rsid w:val="005C5914"/>
    <w:rsid w:val="005C5C6C"/>
    <w:rsid w:val="005C5CE1"/>
    <w:rsid w:val="005C5F1B"/>
    <w:rsid w:val="005C6076"/>
    <w:rsid w:val="005C612A"/>
    <w:rsid w:val="005C642F"/>
    <w:rsid w:val="005C662C"/>
    <w:rsid w:val="005C662E"/>
    <w:rsid w:val="005C67FD"/>
    <w:rsid w:val="005C6A9D"/>
    <w:rsid w:val="005C7C1F"/>
    <w:rsid w:val="005C7C74"/>
    <w:rsid w:val="005C7CBC"/>
    <w:rsid w:val="005C7F70"/>
    <w:rsid w:val="005D0164"/>
    <w:rsid w:val="005D01C9"/>
    <w:rsid w:val="005D0289"/>
    <w:rsid w:val="005D02DE"/>
    <w:rsid w:val="005D0562"/>
    <w:rsid w:val="005D0A97"/>
    <w:rsid w:val="005D0AAD"/>
    <w:rsid w:val="005D0BFA"/>
    <w:rsid w:val="005D10BC"/>
    <w:rsid w:val="005D1511"/>
    <w:rsid w:val="005D1939"/>
    <w:rsid w:val="005D19C1"/>
    <w:rsid w:val="005D1A35"/>
    <w:rsid w:val="005D1B11"/>
    <w:rsid w:val="005D1BE1"/>
    <w:rsid w:val="005D205A"/>
    <w:rsid w:val="005D21E6"/>
    <w:rsid w:val="005D2250"/>
    <w:rsid w:val="005D24C1"/>
    <w:rsid w:val="005D2C2D"/>
    <w:rsid w:val="005D2C89"/>
    <w:rsid w:val="005D2DAF"/>
    <w:rsid w:val="005D2EC0"/>
    <w:rsid w:val="005D2FDC"/>
    <w:rsid w:val="005D309F"/>
    <w:rsid w:val="005D3329"/>
    <w:rsid w:val="005D36E1"/>
    <w:rsid w:val="005D37D8"/>
    <w:rsid w:val="005D39F1"/>
    <w:rsid w:val="005D3A34"/>
    <w:rsid w:val="005D3B34"/>
    <w:rsid w:val="005D3CF3"/>
    <w:rsid w:val="005D3F21"/>
    <w:rsid w:val="005D412F"/>
    <w:rsid w:val="005D4153"/>
    <w:rsid w:val="005D436C"/>
    <w:rsid w:val="005D43C7"/>
    <w:rsid w:val="005D44A1"/>
    <w:rsid w:val="005D459C"/>
    <w:rsid w:val="005D4A8A"/>
    <w:rsid w:val="005D4BEF"/>
    <w:rsid w:val="005D5395"/>
    <w:rsid w:val="005D6248"/>
    <w:rsid w:val="005D6309"/>
    <w:rsid w:val="005D631E"/>
    <w:rsid w:val="005D660C"/>
    <w:rsid w:val="005D670F"/>
    <w:rsid w:val="005D6742"/>
    <w:rsid w:val="005D69D7"/>
    <w:rsid w:val="005D6B17"/>
    <w:rsid w:val="005D6CDA"/>
    <w:rsid w:val="005D6DBC"/>
    <w:rsid w:val="005D6F11"/>
    <w:rsid w:val="005D7719"/>
    <w:rsid w:val="005D7A50"/>
    <w:rsid w:val="005D7D84"/>
    <w:rsid w:val="005E009A"/>
    <w:rsid w:val="005E01E0"/>
    <w:rsid w:val="005E0B29"/>
    <w:rsid w:val="005E0B7A"/>
    <w:rsid w:val="005E0C76"/>
    <w:rsid w:val="005E0D1A"/>
    <w:rsid w:val="005E0E4C"/>
    <w:rsid w:val="005E13BF"/>
    <w:rsid w:val="005E15FB"/>
    <w:rsid w:val="005E217D"/>
    <w:rsid w:val="005E2386"/>
    <w:rsid w:val="005E24CE"/>
    <w:rsid w:val="005E2726"/>
    <w:rsid w:val="005E2EED"/>
    <w:rsid w:val="005E2F89"/>
    <w:rsid w:val="005E2FBD"/>
    <w:rsid w:val="005E3453"/>
    <w:rsid w:val="005E3586"/>
    <w:rsid w:val="005E3DA4"/>
    <w:rsid w:val="005E3F34"/>
    <w:rsid w:val="005E407A"/>
    <w:rsid w:val="005E40A1"/>
    <w:rsid w:val="005E40AD"/>
    <w:rsid w:val="005E4218"/>
    <w:rsid w:val="005E4264"/>
    <w:rsid w:val="005E46F4"/>
    <w:rsid w:val="005E4D91"/>
    <w:rsid w:val="005E5271"/>
    <w:rsid w:val="005E52D8"/>
    <w:rsid w:val="005E5776"/>
    <w:rsid w:val="005E5B7C"/>
    <w:rsid w:val="005E6A1F"/>
    <w:rsid w:val="005E6B4F"/>
    <w:rsid w:val="005E6F0D"/>
    <w:rsid w:val="005E739B"/>
    <w:rsid w:val="005E7466"/>
    <w:rsid w:val="005E746F"/>
    <w:rsid w:val="005E7995"/>
    <w:rsid w:val="005E7B84"/>
    <w:rsid w:val="005E7E38"/>
    <w:rsid w:val="005F0270"/>
    <w:rsid w:val="005F0315"/>
    <w:rsid w:val="005F0762"/>
    <w:rsid w:val="005F082E"/>
    <w:rsid w:val="005F08B9"/>
    <w:rsid w:val="005F0A3B"/>
    <w:rsid w:val="005F0B53"/>
    <w:rsid w:val="005F0BCA"/>
    <w:rsid w:val="005F11F4"/>
    <w:rsid w:val="005F16F6"/>
    <w:rsid w:val="005F18CE"/>
    <w:rsid w:val="005F1AAB"/>
    <w:rsid w:val="005F1B8D"/>
    <w:rsid w:val="005F222A"/>
    <w:rsid w:val="005F225F"/>
    <w:rsid w:val="005F2512"/>
    <w:rsid w:val="005F2537"/>
    <w:rsid w:val="005F2592"/>
    <w:rsid w:val="005F276E"/>
    <w:rsid w:val="005F278C"/>
    <w:rsid w:val="005F28E8"/>
    <w:rsid w:val="005F28FE"/>
    <w:rsid w:val="005F2C86"/>
    <w:rsid w:val="005F2C9A"/>
    <w:rsid w:val="005F2CE6"/>
    <w:rsid w:val="005F2D4F"/>
    <w:rsid w:val="005F33F7"/>
    <w:rsid w:val="005F344F"/>
    <w:rsid w:val="005F34BC"/>
    <w:rsid w:val="005F34E0"/>
    <w:rsid w:val="005F35D0"/>
    <w:rsid w:val="005F37C0"/>
    <w:rsid w:val="005F3AC5"/>
    <w:rsid w:val="005F3C42"/>
    <w:rsid w:val="005F3DCD"/>
    <w:rsid w:val="005F42B2"/>
    <w:rsid w:val="005F42B3"/>
    <w:rsid w:val="005F4447"/>
    <w:rsid w:val="005F4716"/>
    <w:rsid w:val="005F4E8E"/>
    <w:rsid w:val="005F4F74"/>
    <w:rsid w:val="005F5082"/>
    <w:rsid w:val="005F547C"/>
    <w:rsid w:val="005F5E16"/>
    <w:rsid w:val="005F5E25"/>
    <w:rsid w:val="005F6152"/>
    <w:rsid w:val="005F633B"/>
    <w:rsid w:val="005F6CF2"/>
    <w:rsid w:val="005F6D6A"/>
    <w:rsid w:val="005F7068"/>
    <w:rsid w:val="005F7259"/>
    <w:rsid w:val="005F76A5"/>
    <w:rsid w:val="005F7797"/>
    <w:rsid w:val="005F7FD0"/>
    <w:rsid w:val="00600226"/>
    <w:rsid w:val="00600636"/>
    <w:rsid w:val="0060063E"/>
    <w:rsid w:val="006006EF"/>
    <w:rsid w:val="006008F5"/>
    <w:rsid w:val="00600FFF"/>
    <w:rsid w:val="0060119F"/>
    <w:rsid w:val="00601520"/>
    <w:rsid w:val="006015A5"/>
    <w:rsid w:val="00601645"/>
    <w:rsid w:val="006017A0"/>
    <w:rsid w:val="00601985"/>
    <w:rsid w:val="006019F7"/>
    <w:rsid w:val="00601E56"/>
    <w:rsid w:val="00602031"/>
    <w:rsid w:val="0060223B"/>
    <w:rsid w:val="006027F5"/>
    <w:rsid w:val="0060280B"/>
    <w:rsid w:val="0060298F"/>
    <w:rsid w:val="006029C3"/>
    <w:rsid w:val="00602C55"/>
    <w:rsid w:val="00602E49"/>
    <w:rsid w:val="00603127"/>
    <w:rsid w:val="006032DC"/>
    <w:rsid w:val="00603369"/>
    <w:rsid w:val="0060356D"/>
    <w:rsid w:val="00603666"/>
    <w:rsid w:val="00603904"/>
    <w:rsid w:val="006041F1"/>
    <w:rsid w:val="00604828"/>
    <w:rsid w:val="00604873"/>
    <w:rsid w:val="00604B13"/>
    <w:rsid w:val="00604DF6"/>
    <w:rsid w:val="0060568C"/>
    <w:rsid w:val="00605733"/>
    <w:rsid w:val="00605D77"/>
    <w:rsid w:val="00605E28"/>
    <w:rsid w:val="00605E2E"/>
    <w:rsid w:val="00606127"/>
    <w:rsid w:val="00606C4A"/>
    <w:rsid w:val="00607050"/>
    <w:rsid w:val="0060709E"/>
    <w:rsid w:val="006070BA"/>
    <w:rsid w:val="00607155"/>
    <w:rsid w:val="0060745F"/>
    <w:rsid w:val="0060752F"/>
    <w:rsid w:val="006078D4"/>
    <w:rsid w:val="006106DE"/>
    <w:rsid w:val="00610703"/>
    <w:rsid w:val="00610833"/>
    <w:rsid w:val="0061083C"/>
    <w:rsid w:val="00611207"/>
    <w:rsid w:val="0061154C"/>
    <w:rsid w:val="0061197D"/>
    <w:rsid w:val="00611ABD"/>
    <w:rsid w:val="00611D66"/>
    <w:rsid w:val="00611D6F"/>
    <w:rsid w:val="00612004"/>
    <w:rsid w:val="00612131"/>
    <w:rsid w:val="00612183"/>
    <w:rsid w:val="006126B6"/>
    <w:rsid w:val="0061271C"/>
    <w:rsid w:val="00612A30"/>
    <w:rsid w:val="00612DE8"/>
    <w:rsid w:val="006134A1"/>
    <w:rsid w:val="00613838"/>
    <w:rsid w:val="00613ADB"/>
    <w:rsid w:val="00613B5C"/>
    <w:rsid w:val="00613C99"/>
    <w:rsid w:val="00613F77"/>
    <w:rsid w:val="00613FD8"/>
    <w:rsid w:val="0061400C"/>
    <w:rsid w:val="006142B4"/>
    <w:rsid w:val="0061468C"/>
    <w:rsid w:val="00614767"/>
    <w:rsid w:val="00614F00"/>
    <w:rsid w:val="00614F46"/>
    <w:rsid w:val="00615323"/>
    <w:rsid w:val="0061561D"/>
    <w:rsid w:val="0061571D"/>
    <w:rsid w:val="0061572D"/>
    <w:rsid w:val="00615EBD"/>
    <w:rsid w:val="00615FED"/>
    <w:rsid w:val="00616039"/>
    <w:rsid w:val="006160AA"/>
    <w:rsid w:val="006160DB"/>
    <w:rsid w:val="006161AE"/>
    <w:rsid w:val="0061644C"/>
    <w:rsid w:val="00616581"/>
    <w:rsid w:val="0061667B"/>
    <w:rsid w:val="00616A69"/>
    <w:rsid w:val="00616BAC"/>
    <w:rsid w:val="00616BAF"/>
    <w:rsid w:val="00616F75"/>
    <w:rsid w:val="00617716"/>
    <w:rsid w:val="0061773E"/>
    <w:rsid w:val="006179DF"/>
    <w:rsid w:val="00617D0A"/>
    <w:rsid w:val="00617FCF"/>
    <w:rsid w:val="0062007B"/>
    <w:rsid w:val="0062015D"/>
    <w:rsid w:val="00620597"/>
    <w:rsid w:val="0062068B"/>
    <w:rsid w:val="0062076B"/>
    <w:rsid w:val="00620D17"/>
    <w:rsid w:val="00620DCC"/>
    <w:rsid w:val="00621026"/>
    <w:rsid w:val="006210FA"/>
    <w:rsid w:val="006213EF"/>
    <w:rsid w:val="006217C7"/>
    <w:rsid w:val="00621897"/>
    <w:rsid w:val="00621D5C"/>
    <w:rsid w:val="00621E95"/>
    <w:rsid w:val="00621EED"/>
    <w:rsid w:val="006221A5"/>
    <w:rsid w:val="006222A2"/>
    <w:rsid w:val="0062235C"/>
    <w:rsid w:val="00622488"/>
    <w:rsid w:val="0062248B"/>
    <w:rsid w:val="00622B00"/>
    <w:rsid w:val="00622F26"/>
    <w:rsid w:val="00622FC4"/>
    <w:rsid w:val="006230F8"/>
    <w:rsid w:val="00623214"/>
    <w:rsid w:val="00623257"/>
    <w:rsid w:val="0062348A"/>
    <w:rsid w:val="00623793"/>
    <w:rsid w:val="00623881"/>
    <w:rsid w:val="00623A58"/>
    <w:rsid w:val="0062411F"/>
    <w:rsid w:val="006242E6"/>
    <w:rsid w:val="0062442C"/>
    <w:rsid w:val="0062453E"/>
    <w:rsid w:val="006245F6"/>
    <w:rsid w:val="0062494F"/>
    <w:rsid w:val="00624B58"/>
    <w:rsid w:val="00624C0F"/>
    <w:rsid w:val="00624DF7"/>
    <w:rsid w:val="00624EA5"/>
    <w:rsid w:val="00624F74"/>
    <w:rsid w:val="00625155"/>
    <w:rsid w:val="00625DE5"/>
    <w:rsid w:val="00625EF6"/>
    <w:rsid w:val="00626230"/>
    <w:rsid w:val="006263BB"/>
    <w:rsid w:val="00626454"/>
    <w:rsid w:val="006264D9"/>
    <w:rsid w:val="0062658B"/>
    <w:rsid w:val="00626690"/>
    <w:rsid w:val="00626756"/>
    <w:rsid w:val="00626C2A"/>
    <w:rsid w:val="00626D8B"/>
    <w:rsid w:val="00626F9C"/>
    <w:rsid w:val="006271A9"/>
    <w:rsid w:val="00627384"/>
    <w:rsid w:val="0062799A"/>
    <w:rsid w:val="00627A8C"/>
    <w:rsid w:val="00627BD6"/>
    <w:rsid w:val="00627CCC"/>
    <w:rsid w:val="00627F84"/>
    <w:rsid w:val="0063009A"/>
    <w:rsid w:val="00630102"/>
    <w:rsid w:val="00630420"/>
    <w:rsid w:val="006308B5"/>
    <w:rsid w:val="006308C8"/>
    <w:rsid w:val="00630907"/>
    <w:rsid w:val="00630AE2"/>
    <w:rsid w:val="00630C3E"/>
    <w:rsid w:val="00630D29"/>
    <w:rsid w:val="00630ECB"/>
    <w:rsid w:val="00631424"/>
    <w:rsid w:val="00631AE7"/>
    <w:rsid w:val="0063238B"/>
    <w:rsid w:val="0063299F"/>
    <w:rsid w:val="006329CE"/>
    <w:rsid w:val="00632CF6"/>
    <w:rsid w:val="00632ED9"/>
    <w:rsid w:val="0063300C"/>
    <w:rsid w:val="006331E1"/>
    <w:rsid w:val="00633432"/>
    <w:rsid w:val="006335AF"/>
    <w:rsid w:val="00633867"/>
    <w:rsid w:val="00633C9D"/>
    <w:rsid w:val="00633E28"/>
    <w:rsid w:val="00634077"/>
    <w:rsid w:val="00634206"/>
    <w:rsid w:val="00634AB9"/>
    <w:rsid w:val="00634BDF"/>
    <w:rsid w:val="006354FC"/>
    <w:rsid w:val="00635674"/>
    <w:rsid w:val="00635B2E"/>
    <w:rsid w:val="00635BDA"/>
    <w:rsid w:val="00635C77"/>
    <w:rsid w:val="00636182"/>
    <w:rsid w:val="006363E0"/>
    <w:rsid w:val="00636F19"/>
    <w:rsid w:val="00636FE8"/>
    <w:rsid w:val="00637135"/>
    <w:rsid w:val="00637385"/>
    <w:rsid w:val="00637850"/>
    <w:rsid w:val="00637C60"/>
    <w:rsid w:val="00637F34"/>
    <w:rsid w:val="00640319"/>
    <w:rsid w:val="006405F7"/>
    <w:rsid w:val="00640804"/>
    <w:rsid w:val="006409DB"/>
    <w:rsid w:val="00640A23"/>
    <w:rsid w:val="00640C1D"/>
    <w:rsid w:val="00640C22"/>
    <w:rsid w:val="00640CA1"/>
    <w:rsid w:val="00640EEF"/>
    <w:rsid w:val="00641145"/>
    <w:rsid w:val="00641471"/>
    <w:rsid w:val="006415A5"/>
    <w:rsid w:val="006419BA"/>
    <w:rsid w:val="00641BA9"/>
    <w:rsid w:val="00642202"/>
    <w:rsid w:val="00642208"/>
    <w:rsid w:val="00642667"/>
    <w:rsid w:val="006426AC"/>
    <w:rsid w:val="00642D1E"/>
    <w:rsid w:val="00642E1F"/>
    <w:rsid w:val="00642F73"/>
    <w:rsid w:val="00642FE1"/>
    <w:rsid w:val="00643954"/>
    <w:rsid w:val="00643C51"/>
    <w:rsid w:val="00643C92"/>
    <w:rsid w:val="00643E65"/>
    <w:rsid w:val="00643EE1"/>
    <w:rsid w:val="00644908"/>
    <w:rsid w:val="00644947"/>
    <w:rsid w:val="00644CAF"/>
    <w:rsid w:val="00645489"/>
    <w:rsid w:val="006454FC"/>
    <w:rsid w:val="006456E6"/>
    <w:rsid w:val="00645CAA"/>
    <w:rsid w:val="00645CBB"/>
    <w:rsid w:val="00645EFF"/>
    <w:rsid w:val="006461B9"/>
    <w:rsid w:val="00646265"/>
    <w:rsid w:val="00646534"/>
    <w:rsid w:val="00646600"/>
    <w:rsid w:val="00646D83"/>
    <w:rsid w:val="0064740A"/>
    <w:rsid w:val="00647614"/>
    <w:rsid w:val="0064780B"/>
    <w:rsid w:val="0064784F"/>
    <w:rsid w:val="00647EC0"/>
    <w:rsid w:val="00647FA8"/>
    <w:rsid w:val="00647FE0"/>
    <w:rsid w:val="00650148"/>
    <w:rsid w:val="00650254"/>
    <w:rsid w:val="00650708"/>
    <w:rsid w:val="00650813"/>
    <w:rsid w:val="006508B4"/>
    <w:rsid w:val="006509A0"/>
    <w:rsid w:val="006509D9"/>
    <w:rsid w:val="00650B43"/>
    <w:rsid w:val="00650D88"/>
    <w:rsid w:val="00650E03"/>
    <w:rsid w:val="00650E60"/>
    <w:rsid w:val="00650F9F"/>
    <w:rsid w:val="00651105"/>
    <w:rsid w:val="00651216"/>
    <w:rsid w:val="00651272"/>
    <w:rsid w:val="006515A7"/>
    <w:rsid w:val="0065183E"/>
    <w:rsid w:val="00651B9A"/>
    <w:rsid w:val="00651D42"/>
    <w:rsid w:val="00651D6F"/>
    <w:rsid w:val="00651E10"/>
    <w:rsid w:val="00651F2B"/>
    <w:rsid w:val="006527E3"/>
    <w:rsid w:val="00652843"/>
    <w:rsid w:val="00652B5E"/>
    <w:rsid w:val="00652E2A"/>
    <w:rsid w:val="00652E86"/>
    <w:rsid w:val="00652F99"/>
    <w:rsid w:val="00652FD7"/>
    <w:rsid w:val="0065325D"/>
    <w:rsid w:val="00653296"/>
    <w:rsid w:val="006532F4"/>
    <w:rsid w:val="0065337C"/>
    <w:rsid w:val="00653422"/>
    <w:rsid w:val="006539A6"/>
    <w:rsid w:val="00653C8D"/>
    <w:rsid w:val="00653DE8"/>
    <w:rsid w:val="00653E99"/>
    <w:rsid w:val="00653FD8"/>
    <w:rsid w:val="0065429F"/>
    <w:rsid w:val="006543F8"/>
    <w:rsid w:val="006544D1"/>
    <w:rsid w:val="00654560"/>
    <w:rsid w:val="00654BBC"/>
    <w:rsid w:val="00654C62"/>
    <w:rsid w:val="00654DA7"/>
    <w:rsid w:val="006550C4"/>
    <w:rsid w:val="0065579C"/>
    <w:rsid w:val="00655A4E"/>
    <w:rsid w:val="00655AC6"/>
    <w:rsid w:val="00655F9C"/>
    <w:rsid w:val="00656004"/>
    <w:rsid w:val="00656286"/>
    <w:rsid w:val="00656363"/>
    <w:rsid w:val="00656392"/>
    <w:rsid w:val="00656643"/>
    <w:rsid w:val="00656BF1"/>
    <w:rsid w:val="00657130"/>
    <w:rsid w:val="00657598"/>
    <w:rsid w:val="006577CA"/>
    <w:rsid w:val="00657828"/>
    <w:rsid w:val="0065795D"/>
    <w:rsid w:val="00657AEC"/>
    <w:rsid w:val="00657E47"/>
    <w:rsid w:val="006600DF"/>
    <w:rsid w:val="00660193"/>
    <w:rsid w:val="00660412"/>
    <w:rsid w:val="00660AA6"/>
    <w:rsid w:val="00660C39"/>
    <w:rsid w:val="00661073"/>
    <w:rsid w:val="00661094"/>
    <w:rsid w:val="006612A3"/>
    <w:rsid w:val="006618A9"/>
    <w:rsid w:val="00661A44"/>
    <w:rsid w:val="00661B32"/>
    <w:rsid w:val="00662056"/>
    <w:rsid w:val="006620DB"/>
    <w:rsid w:val="006625D0"/>
    <w:rsid w:val="0066275B"/>
    <w:rsid w:val="00662953"/>
    <w:rsid w:val="00662BA1"/>
    <w:rsid w:val="00662BDB"/>
    <w:rsid w:val="0066305F"/>
    <w:rsid w:val="0066325B"/>
    <w:rsid w:val="00663875"/>
    <w:rsid w:val="00663C40"/>
    <w:rsid w:val="00663F40"/>
    <w:rsid w:val="00664006"/>
    <w:rsid w:val="00664026"/>
    <w:rsid w:val="006642AB"/>
    <w:rsid w:val="00664410"/>
    <w:rsid w:val="00664654"/>
    <w:rsid w:val="0066496F"/>
    <w:rsid w:val="00664F82"/>
    <w:rsid w:val="00665073"/>
    <w:rsid w:val="0066510B"/>
    <w:rsid w:val="006651B6"/>
    <w:rsid w:val="00665277"/>
    <w:rsid w:val="006654D6"/>
    <w:rsid w:val="0066555A"/>
    <w:rsid w:val="00665F41"/>
    <w:rsid w:val="00666291"/>
    <w:rsid w:val="006664C9"/>
    <w:rsid w:val="00666599"/>
    <w:rsid w:val="00666990"/>
    <w:rsid w:val="006670A7"/>
    <w:rsid w:val="0066762F"/>
    <w:rsid w:val="00667DB2"/>
    <w:rsid w:val="00670283"/>
    <w:rsid w:val="006707D7"/>
    <w:rsid w:val="00670D7E"/>
    <w:rsid w:val="0067118B"/>
    <w:rsid w:val="0067127F"/>
    <w:rsid w:val="006714A0"/>
    <w:rsid w:val="00671A0A"/>
    <w:rsid w:val="00671B22"/>
    <w:rsid w:val="00671E3A"/>
    <w:rsid w:val="006722D0"/>
    <w:rsid w:val="00672308"/>
    <w:rsid w:val="00672364"/>
    <w:rsid w:val="0067263C"/>
    <w:rsid w:val="0067288C"/>
    <w:rsid w:val="00672C09"/>
    <w:rsid w:val="00672F65"/>
    <w:rsid w:val="00672FAD"/>
    <w:rsid w:val="00673312"/>
    <w:rsid w:val="0067353D"/>
    <w:rsid w:val="006736AE"/>
    <w:rsid w:val="00673D3A"/>
    <w:rsid w:val="00673F7D"/>
    <w:rsid w:val="00673FFF"/>
    <w:rsid w:val="00674203"/>
    <w:rsid w:val="006744F0"/>
    <w:rsid w:val="0067468E"/>
    <w:rsid w:val="00674D57"/>
    <w:rsid w:val="00674FA3"/>
    <w:rsid w:val="0067509F"/>
    <w:rsid w:val="006752A1"/>
    <w:rsid w:val="00675310"/>
    <w:rsid w:val="0067556A"/>
    <w:rsid w:val="00675EF2"/>
    <w:rsid w:val="006760C7"/>
    <w:rsid w:val="00676198"/>
    <w:rsid w:val="0067643F"/>
    <w:rsid w:val="00676A9B"/>
    <w:rsid w:val="00676BCF"/>
    <w:rsid w:val="00676C36"/>
    <w:rsid w:val="00676CFF"/>
    <w:rsid w:val="00676DB0"/>
    <w:rsid w:val="00677071"/>
    <w:rsid w:val="00677355"/>
    <w:rsid w:val="00677390"/>
    <w:rsid w:val="006778BE"/>
    <w:rsid w:val="006778CB"/>
    <w:rsid w:val="00677B9A"/>
    <w:rsid w:val="00677E73"/>
    <w:rsid w:val="0068014B"/>
    <w:rsid w:val="006803E2"/>
    <w:rsid w:val="0068061D"/>
    <w:rsid w:val="0068064F"/>
    <w:rsid w:val="00680B71"/>
    <w:rsid w:val="00680CC7"/>
    <w:rsid w:val="006810D8"/>
    <w:rsid w:val="0068120B"/>
    <w:rsid w:val="00681213"/>
    <w:rsid w:val="0068124F"/>
    <w:rsid w:val="006812F7"/>
    <w:rsid w:val="00681971"/>
    <w:rsid w:val="00681994"/>
    <w:rsid w:val="00681AE2"/>
    <w:rsid w:val="00681DE8"/>
    <w:rsid w:val="00681E59"/>
    <w:rsid w:val="00682005"/>
    <w:rsid w:val="00682A0D"/>
    <w:rsid w:val="00682B11"/>
    <w:rsid w:val="00682DC7"/>
    <w:rsid w:val="0068313E"/>
    <w:rsid w:val="006836D3"/>
    <w:rsid w:val="00683706"/>
    <w:rsid w:val="00683886"/>
    <w:rsid w:val="0068398E"/>
    <w:rsid w:val="00683DF3"/>
    <w:rsid w:val="00683E61"/>
    <w:rsid w:val="006844A8"/>
    <w:rsid w:val="006844C7"/>
    <w:rsid w:val="00684552"/>
    <w:rsid w:val="00684582"/>
    <w:rsid w:val="00684628"/>
    <w:rsid w:val="006846BF"/>
    <w:rsid w:val="00684817"/>
    <w:rsid w:val="006849B2"/>
    <w:rsid w:val="00684AD8"/>
    <w:rsid w:val="00684ADD"/>
    <w:rsid w:val="0068521D"/>
    <w:rsid w:val="00685399"/>
    <w:rsid w:val="00685B3C"/>
    <w:rsid w:val="00685E7E"/>
    <w:rsid w:val="00685E83"/>
    <w:rsid w:val="00685F1A"/>
    <w:rsid w:val="0068615C"/>
    <w:rsid w:val="00686394"/>
    <w:rsid w:val="0068639C"/>
    <w:rsid w:val="006863D3"/>
    <w:rsid w:val="00686474"/>
    <w:rsid w:val="006865B7"/>
    <w:rsid w:val="006867EC"/>
    <w:rsid w:val="00686BD8"/>
    <w:rsid w:val="00686E08"/>
    <w:rsid w:val="00687069"/>
    <w:rsid w:val="0068711D"/>
    <w:rsid w:val="00687120"/>
    <w:rsid w:val="00687152"/>
    <w:rsid w:val="006879CE"/>
    <w:rsid w:val="00687A5E"/>
    <w:rsid w:val="00687CF3"/>
    <w:rsid w:val="00687DAD"/>
    <w:rsid w:val="00690126"/>
    <w:rsid w:val="006901DA"/>
    <w:rsid w:val="0069020A"/>
    <w:rsid w:val="00690220"/>
    <w:rsid w:val="006909E2"/>
    <w:rsid w:val="00690D0D"/>
    <w:rsid w:val="00690D6B"/>
    <w:rsid w:val="0069114A"/>
    <w:rsid w:val="00691210"/>
    <w:rsid w:val="006912CF"/>
    <w:rsid w:val="0069140A"/>
    <w:rsid w:val="006917A2"/>
    <w:rsid w:val="006918CC"/>
    <w:rsid w:val="00691CE2"/>
    <w:rsid w:val="00691DBD"/>
    <w:rsid w:val="00691F6B"/>
    <w:rsid w:val="006922C2"/>
    <w:rsid w:val="006922CD"/>
    <w:rsid w:val="006924DE"/>
    <w:rsid w:val="00692686"/>
    <w:rsid w:val="006926C3"/>
    <w:rsid w:val="00692723"/>
    <w:rsid w:val="006927EB"/>
    <w:rsid w:val="0069298B"/>
    <w:rsid w:val="00692A7A"/>
    <w:rsid w:val="0069305F"/>
    <w:rsid w:val="006931A2"/>
    <w:rsid w:val="006933A6"/>
    <w:rsid w:val="006934C9"/>
    <w:rsid w:val="0069389B"/>
    <w:rsid w:val="00693910"/>
    <w:rsid w:val="00693A74"/>
    <w:rsid w:val="00693CD7"/>
    <w:rsid w:val="00693E78"/>
    <w:rsid w:val="0069431E"/>
    <w:rsid w:val="00694536"/>
    <w:rsid w:val="00694847"/>
    <w:rsid w:val="006949AC"/>
    <w:rsid w:val="006949D8"/>
    <w:rsid w:val="006949F7"/>
    <w:rsid w:val="00694A31"/>
    <w:rsid w:val="00694AA7"/>
    <w:rsid w:val="00694E34"/>
    <w:rsid w:val="00695408"/>
    <w:rsid w:val="00695440"/>
    <w:rsid w:val="0069591F"/>
    <w:rsid w:val="00695B14"/>
    <w:rsid w:val="00695C82"/>
    <w:rsid w:val="00695CD5"/>
    <w:rsid w:val="00695D08"/>
    <w:rsid w:val="00695E5B"/>
    <w:rsid w:val="00696B6D"/>
    <w:rsid w:val="00696C89"/>
    <w:rsid w:val="00696CB4"/>
    <w:rsid w:val="00696E31"/>
    <w:rsid w:val="006971F2"/>
    <w:rsid w:val="006973B8"/>
    <w:rsid w:val="00697496"/>
    <w:rsid w:val="006974FC"/>
    <w:rsid w:val="00697509"/>
    <w:rsid w:val="00697511"/>
    <w:rsid w:val="006977A1"/>
    <w:rsid w:val="006978B3"/>
    <w:rsid w:val="006A00A1"/>
    <w:rsid w:val="006A0602"/>
    <w:rsid w:val="006A0F20"/>
    <w:rsid w:val="006A1054"/>
    <w:rsid w:val="006A119F"/>
    <w:rsid w:val="006A1242"/>
    <w:rsid w:val="006A1511"/>
    <w:rsid w:val="006A1550"/>
    <w:rsid w:val="006A1CCB"/>
    <w:rsid w:val="006A1F86"/>
    <w:rsid w:val="006A1FD7"/>
    <w:rsid w:val="006A2061"/>
    <w:rsid w:val="006A212A"/>
    <w:rsid w:val="006A2168"/>
    <w:rsid w:val="006A2547"/>
    <w:rsid w:val="006A262D"/>
    <w:rsid w:val="006A2B71"/>
    <w:rsid w:val="006A2DBA"/>
    <w:rsid w:val="006A2F72"/>
    <w:rsid w:val="006A3537"/>
    <w:rsid w:val="006A36AC"/>
    <w:rsid w:val="006A38DA"/>
    <w:rsid w:val="006A3908"/>
    <w:rsid w:val="006A3938"/>
    <w:rsid w:val="006A3A26"/>
    <w:rsid w:val="006A3C41"/>
    <w:rsid w:val="006A3FE6"/>
    <w:rsid w:val="006A400F"/>
    <w:rsid w:val="006A40A8"/>
    <w:rsid w:val="006A45F1"/>
    <w:rsid w:val="006A4AAB"/>
    <w:rsid w:val="006A4D4A"/>
    <w:rsid w:val="006A4D5F"/>
    <w:rsid w:val="006A4E1F"/>
    <w:rsid w:val="006A542E"/>
    <w:rsid w:val="006A5B6C"/>
    <w:rsid w:val="006A5C5A"/>
    <w:rsid w:val="006A6095"/>
    <w:rsid w:val="006A6166"/>
    <w:rsid w:val="006A6227"/>
    <w:rsid w:val="006A6609"/>
    <w:rsid w:val="006A6A49"/>
    <w:rsid w:val="006A6D4E"/>
    <w:rsid w:val="006A6D70"/>
    <w:rsid w:val="006A7086"/>
    <w:rsid w:val="006A72F8"/>
    <w:rsid w:val="006A7734"/>
    <w:rsid w:val="006A7774"/>
    <w:rsid w:val="006A7B7F"/>
    <w:rsid w:val="006B063D"/>
    <w:rsid w:val="006B08D6"/>
    <w:rsid w:val="006B0B72"/>
    <w:rsid w:val="006B0C1F"/>
    <w:rsid w:val="006B0F94"/>
    <w:rsid w:val="006B100B"/>
    <w:rsid w:val="006B1388"/>
    <w:rsid w:val="006B14B3"/>
    <w:rsid w:val="006B14F3"/>
    <w:rsid w:val="006B1740"/>
    <w:rsid w:val="006B1908"/>
    <w:rsid w:val="006B19B6"/>
    <w:rsid w:val="006B1C46"/>
    <w:rsid w:val="006B1D01"/>
    <w:rsid w:val="006B2153"/>
    <w:rsid w:val="006B2323"/>
    <w:rsid w:val="006B23B8"/>
    <w:rsid w:val="006B2506"/>
    <w:rsid w:val="006B2821"/>
    <w:rsid w:val="006B2881"/>
    <w:rsid w:val="006B28CE"/>
    <w:rsid w:val="006B2BC6"/>
    <w:rsid w:val="006B2CAB"/>
    <w:rsid w:val="006B329E"/>
    <w:rsid w:val="006B33F2"/>
    <w:rsid w:val="006B341E"/>
    <w:rsid w:val="006B349D"/>
    <w:rsid w:val="006B45C1"/>
    <w:rsid w:val="006B469A"/>
    <w:rsid w:val="006B4792"/>
    <w:rsid w:val="006B4A03"/>
    <w:rsid w:val="006B4A2C"/>
    <w:rsid w:val="006B4A2F"/>
    <w:rsid w:val="006B4C02"/>
    <w:rsid w:val="006B4C65"/>
    <w:rsid w:val="006B5005"/>
    <w:rsid w:val="006B502B"/>
    <w:rsid w:val="006B52BE"/>
    <w:rsid w:val="006B569A"/>
    <w:rsid w:val="006B5A02"/>
    <w:rsid w:val="006B5BCD"/>
    <w:rsid w:val="006B5F44"/>
    <w:rsid w:val="006B60DC"/>
    <w:rsid w:val="006B6141"/>
    <w:rsid w:val="006B62F7"/>
    <w:rsid w:val="006B630A"/>
    <w:rsid w:val="006B6437"/>
    <w:rsid w:val="006B6551"/>
    <w:rsid w:val="006B665E"/>
    <w:rsid w:val="006B678F"/>
    <w:rsid w:val="006B680A"/>
    <w:rsid w:val="006B694B"/>
    <w:rsid w:val="006B69B9"/>
    <w:rsid w:val="006B6F38"/>
    <w:rsid w:val="006B7326"/>
    <w:rsid w:val="006B7397"/>
    <w:rsid w:val="006B73FC"/>
    <w:rsid w:val="006B7570"/>
    <w:rsid w:val="006B7807"/>
    <w:rsid w:val="006C0172"/>
    <w:rsid w:val="006C0398"/>
    <w:rsid w:val="006C047D"/>
    <w:rsid w:val="006C04BF"/>
    <w:rsid w:val="006C04EA"/>
    <w:rsid w:val="006C11EF"/>
    <w:rsid w:val="006C140A"/>
    <w:rsid w:val="006C1470"/>
    <w:rsid w:val="006C1502"/>
    <w:rsid w:val="006C1692"/>
    <w:rsid w:val="006C17A5"/>
    <w:rsid w:val="006C1969"/>
    <w:rsid w:val="006C19D3"/>
    <w:rsid w:val="006C1C30"/>
    <w:rsid w:val="006C1CF8"/>
    <w:rsid w:val="006C228F"/>
    <w:rsid w:val="006C22C6"/>
    <w:rsid w:val="006C22D5"/>
    <w:rsid w:val="006C2A8D"/>
    <w:rsid w:val="006C3007"/>
    <w:rsid w:val="006C357E"/>
    <w:rsid w:val="006C35BB"/>
    <w:rsid w:val="006C3671"/>
    <w:rsid w:val="006C3747"/>
    <w:rsid w:val="006C3F03"/>
    <w:rsid w:val="006C4109"/>
    <w:rsid w:val="006C4169"/>
    <w:rsid w:val="006C4361"/>
    <w:rsid w:val="006C46AB"/>
    <w:rsid w:val="006C4803"/>
    <w:rsid w:val="006C4A24"/>
    <w:rsid w:val="006C5137"/>
    <w:rsid w:val="006C533A"/>
    <w:rsid w:val="006C53A1"/>
    <w:rsid w:val="006C544E"/>
    <w:rsid w:val="006C554C"/>
    <w:rsid w:val="006C5BC0"/>
    <w:rsid w:val="006C6458"/>
    <w:rsid w:val="006C6706"/>
    <w:rsid w:val="006C6A49"/>
    <w:rsid w:val="006C6D6A"/>
    <w:rsid w:val="006C6E47"/>
    <w:rsid w:val="006C6F8B"/>
    <w:rsid w:val="006C7171"/>
    <w:rsid w:val="006C761A"/>
    <w:rsid w:val="006C792F"/>
    <w:rsid w:val="006C7B46"/>
    <w:rsid w:val="006C7BD5"/>
    <w:rsid w:val="006C7E03"/>
    <w:rsid w:val="006D00F2"/>
    <w:rsid w:val="006D04D5"/>
    <w:rsid w:val="006D0795"/>
    <w:rsid w:val="006D0BF1"/>
    <w:rsid w:val="006D0EC1"/>
    <w:rsid w:val="006D0F27"/>
    <w:rsid w:val="006D120F"/>
    <w:rsid w:val="006D12A8"/>
    <w:rsid w:val="006D136F"/>
    <w:rsid w:val="006D1419"/>
    <w:rsid w:val="006D157E"/>
    <w:rsid w:val="006D1F06"/>
    <w:rsid w:val="006D2154"/>
    <w:rsid w:val="006D2159"/>
    <w:rsid w:val="006D222A"/>
    <w:rsid w:val="006D251D"/>
    <w:rsid w:val="006D283D"/>
    <w:rsid w:val="006D29FA"/>
    <w:rsid w:val="006D307D"/>
    <w:rsid w:val="006D3146"/>
    <w:rsid w:val="006D3160"/>
    <w:rsid w:val="006D334A"/>
    <w:rsid w:val="006D3AE8"/>
    <w:rsid w:val="006D3B51"/>
    <w:rsid w:val="006D3DBA"/>
    <w:rsid w:val="006D418E"/>
    <w:rsid w:val="006D41BC"/>
    <w:rsid w:val="006D44D5"/>
    <w:rsid w:val="006D47A8"/>
    <w:rsid w:val="006D4EF2"/>
    <w:rsid w:val="006D5160"/>
    <w:rsid w:val="006D54E1"/>
    <w:rsid w:val="006D57C9"/>
    <w:rsid w:val="006D58F8"/>
    <w:rsid w:val="006D597A"/>
    <w:rsid w:val="006D597E"/>
    <w:rsid w:val="006D6055"/>
    <w:rsid w:val="006D6064"/>
    <w:rsid w:val="006D62D3"/>
    <w:rsid w:val="006D630F"/>
    <w:rsid w:val="006D63FD"/>
    <w:rsid w:val="006D6467"/>
    <w:rsid w:val="006D647D"/>
    <w:rsid w:val="006D6DCF"/>
    <w:rsid w:val="006D6DFA"/>
    <w:rsid w:val="006D7017"/>
    <w:rsid w:val="006D7207"/>
    <w:rsid w:val="006D7582"/>
    <w:rsid w:val="006D7615"/>
    <w:rsid w:val="006D76CF"/>
    <w:rsid w:val="006D7864"/>
    <w:rsid w:val="006D7995"/>
    <w:rsid w:val="006E0132"/>
    <w:rsid w:val="006E0657"/>
    <w:rsid w:val="006E0979"/>
    <w:rsid w:val="006E0C92"/>
    <w:rsid w:val="006E0E59"/>
    <w:rsid w:val="006E11AD"/>
    <w:rsid w:val="006E1383"/>
    <w:rsid w:val="006E157D"/>
    <w:rsid w:val="006E15B3"/>
    <w:rsid w:val="006E15CC"/>
    <w:rsid w:val="006E1825"/>
    <w:rsid w:val="006E1D0D"/>
    <w:rsid w:val="006E1D23"/>
    <w:rsid w:val="006E2064"/>
    <w:rsid w:val="006E22E0"/>
    <w:rsid w:val="006E2623"/>
    <w:rsid w:val="006E269D"/>
    <w:rsid w:val="006E2BB4"/>
    <w:rsid w:val="006E3017"/>
    <w:rsid w:val="006E304C"/>
    <w:rsid w:val="006E30F1"/>
    <w:rsid w:val="006E3660"/>
    <w:rsid w:val="006E372A"/>
    <w:rsid w:val="006E37C3"/>
    <w:rsid w:val="006E3D44"/>
    <w:rsid w:val="006E3E05"/>
    <w:rsid w:val="006E44F6"/>
    <w:rsid w:val="006E47B9"/>
    <w:rsid w:val="006E4815"/>
    <w:rsid w:val="006E4FC7"/>
    <w:rsid w:val="006E525E"/>
    <w:rsid w:val="006E537C"/>
    <w:rsid w:val="006E53B9"/>
    <w:rsid w:val="006E553D"/>
    <w:rsid w:val="006E581E"/>
    <w:rsid w:val="006E5D66"/>
    <w:rsid w:val="006E5DB1"/>
    <w:rsid w:val="006E5F43"/>
    <w:rsid w:val="006E60C3"/>
    <w:rsid w:val="006E6427"/>
    <w:rsid w:val="006E67C4"/>
    <w:rsid w:val="006E6C4A"/>
    <w:rsid w:val="006E6C96"/>
    <w:rsid w:val="006E6E51"/>
    <w:rsid w:val="006E6F2D"/>
    <w:rsid w:val="006E712D"/>
    <w:rsid w:val="006E7B39"/>
    <w:rsid w:val="006E7B80"/>
    <w:rsid w:val="006E7BFC"/>
    <w:rsid w:val="006F0242"/>
    <w:rsid w:val="006F0A7C"/>
    <w:rsid w:val="006F0AE0"/>
    <w:rsid w:val="006F0F83"/>
    <w:rsid w:val="006F1B47"/>
    <w:rsid w:val="006F1D74"/>
    <w:rsid w:val="006F1DAB"/>
    <w:rsid w:val="006F20EF"/>
    <w:rsid w:val="006F20F9"/>
    <w:rsid w:val="006F228B"/>
    <w:rsid w:val="006F24C5"/>
    <w:rsid w:val="006F2902"/>
    <w:rsid w:val="006F2B07"/>
    <w:rsid w:val="006F2FE3"/>
    <w:rsid w:val="006F345B"/>
    <w:rsid w:val="006F3984"/>
    <w:rsid w:val="006F39DB"/>
    <w:rsid w:val="006F3E39"/>
    <w:rsid w:val="006F4406"/>
    <w:rsid w:val="006F457B"/>
    <w:rsid w:val="006F45AD"/>
    <w:rsid w:val="006F4BCA"/>
    <w:rsid w:val="006F4BEE"/>
    <w:rsid w:val="006F4C4B"/>
    <w:rsid w:val="006F4D4B"/>
    <w:rsid w:val="006F4E17"/>
    <w:rsid w:val="006F50B0"/>
    <w:rsid w:val="006F55D8"/>
    <w:rsid w:val="006F5640"/>
    <w:rsid w:val="006F5775"/>
    <w:rsid w:val="006F57F2"/>
    <w:rsid w:val="006F59C4"/>
    <w:rsid w:val="006F5B42"/>
    <w:rsid w:val="006F617C"/>
    <w:rsid w:val="006F6963"/>
    <w:rsid w:val="006F6C47"/>
    <w:rsid w:val="006F708D"/>
    <w:rsid w:val="006F7378"/>
    <w:rsid w:val="006F738A"/>
    <w:rsid w:val="006F73F7"/>
    <w:rsid w:val="006F7408"/>
    <w:rsid w:val="006F75BA"/>
    <w:rsid w:val="007001F8"/>
    <w:rsid w:val="0070028D"/>
    <w:rsid w:val="0070057F"/>
    <w:rsid w:val="00700746"/>
    <w:rsid w:val="007008E0"/>
    <w:rsid w:val="00700CEF"/>
    <w:rsid w:val="00700D26"/>
    <w:rsid w:val="00700E2E"/>
    <w:rsid w:val="007011EE"/>
    <w:rsid w:val="00701349"/>
    <w:rsid w:val="007013C0"/>
    <w:rsid w:val="00701420"/>
    <w:rsid w:val="00701701"/>
    <w:rsid w:val="007017A5"/>
    <w:rsid w:val="00701854"/>
    <w:rsid w:val="00702656"/>
    <w:rsid w:val="007028B3"/>
    <w:rsid w:val="00702939"/>
    <w:rsid w:val="00702D74"/>
    <w:rsid w:val="00702E39"/>
    <w:rsid w:val="00703323"/>
    <w:rsid w:val="00703370"/>
    <w:rsid w:val="007033EA"/>
    <w:rsid w:val="00703E28"/>
    <w:rsid w:val="00704498"/>
    <w:rsid w:val="007047DA"/>
    <w:rsid w:val="00704893"/>
    <w:rsid w:val="00704898"/>
    <w:rsid w:val="00704B45"/>
    <w:rsid w:val="00704C0C"/>
    <w:rsid w:val="00704E4C"/>
    <w:rsid w:val="00704FA4"/>
    <w:rsid w:val="00704FE5"/>
    <w:rsid w:val="00705424"/>
    <w:rsid w:val="007056C3"/>
    <w:rsid w:val="00705A83"/>
    <w:rsid w:val="00705AA9"/>
    <w:rsid w:val="00705BD9"/>
    <w:rsid w:val="00705BF9"/>
    <w:rsid w:val="007061DC"/>
    <w:rsid w:val="00706321"/>
    <w:rsid w:val="00706384"/>
    <w:rsid w:val="007064D6"/>
    <w:rsid w:val="00706B15"/>
    <w:rsid w:val="00706DA0"/>
    <w:rsid w:val="00707064"/>
    <w:rsid w:val="007071A1"/>
    <w:rsid w:val="0070720D"/>
    <w:rsid w:val="007075BE"/>
    <w:rsid w:val="0070768E"/>
    <w:rsid w:val="007079D8"/>
    <w:rsid w:val="00707BD8"/>
    <w:rsid w:val="00707D6D"/>
    <w:rsid w:val="00707EF5"/>
    <w:rsid w:val="0071004F"/>
    <w:rsid w:val="00710130"/>
    <w:rsid w:val="007103FC"/>
    <w:rsid w:val="0071045E"/>
    <w:rsid w:val="007106D1"/>
    <w:rsid w:val="0071097B"/>
    <w:rsid w:val="00710C43"/>
    <w:rsid w:val="00710DC1"/>
    <w:rsid w:val="00711386"/>
    <w:rsid w:val="0071185A"/>
    <w:rsid w:val="00711D3D"/>
    <w:rsid w:val="00711FB9"/>
    <w:rsid w:val="00711FCC"/>
    <w:rsid w:val="00712279"/>
    <w:rsid w:val="00712484"/>
    <w:rsid w:val="00712772"/>
    <w:rsid w:val="007127A6"/>
    <w:rsid w:val="0071284B"/>
    <w:rsid w:val="0071293A"/>
    <w:rsid w:val="0071322E"/>
    <w:rsid w:val="007133CB"/>
    <w:rsid w:val="0071345F"/>
    <w:rsid w:val="00713591"/>
    <w:rsid w:val="00713703"/>
    <w:rsid w:val="00713A8E"/>
    <w:rsid w:val="00713AD2"/>
    <w:rsid w:val="00713C56"/>
    <w:rsid w:val="00713F4E"/>
    <w:rsid w:val="00713FB5"/>
    <w:rsid w:val="007142FC"/>
    <w:rsid w:val="00714313"/>
    <w:rsid w:val="007143EA"/>
    <w:rsid w:val="007143F4"/>
    <w:rsid w:val="00714A5C"/>
    <w:rsid w:val="00714EA0"/>
    <w:rsid w:val="007155EB"/>
    <w:rsid w:val="0071588D"/>
    <w:rsid w:val="00716069"/>
    <w:rsid w:val="007160E6"/>
    <w:rsid w:val="007169C7"/>
    <w:rsid w:val="00716B70"/>
    <w:rsid w:val="00716B7B"/>
    <w:rsid w:val="00716D33"/>
    <w:rsid w:val="00716FC5"/>
    <w:rsid w:val="00716FD1"/>
    <w:rsid w:val="00716FEB"/>
    <w:rsid w:val="00717012"/>
    <w:rsid w:val="0071747B"/>
    <w:rsid w:val="007175D2"/>
    <w:rsid w:val="0071763F"/>
    <w:rsid w:val="00717966"/>
    <w:rsid w:val="00717B72"/>
    <w:rsid w:val="00717D8D"/>
    <w:rsid w:val="007201F9"/>
    <w:rsid w:val="00720419"/>
    <w:rsid w:val="00720588"/>
    <w:rsid w:val="00720A0C"/>
    <w:rsid w:val="00720B5A"/>
    <w:rsid w:val="00720C96"/>
    <w:rsid w:val="007215AE"/>
    <w:rsid w:val="007215D0"/>
    <w:rsid w:val="00721A40"/>
    <w:rsid w:val="00721AB1"/>
    <w:rsid w:val="00721AD2"/>
    <w:rsid w:val="00721B71"/>
    <w:rsid w:val="00721FD7"/>
    <w:rsid w:val="007221D2"/>
    <w:rsid w:val="007222C1"/>
    <w:rsid w:val="00722540"/>
    <w:rsid w:val="007228B9"/>
    <w:rsid w:val="00722963"/>
    <w:rsid w:val="007230E8"/>
    <w:rsid w:val="0072316C"/>
    <w:rsid w:val="00723226"/>
    <w:rsid w:val="007235A4"/>
    <w:rsid w:val="0072370A"/>
    <w:rsid w:val="00723A01"/>
    <w:rsid w:val="007240F7"/>
    <w:rsid w:val="0072416A"/>
    <w:rsid w:val="007241A9"/>
    <w:rsid w:val="00724331"/>
    <w:rsid w:val="00724743"/>
    <w:rsid w:val="007249C1"/>
    <w:rsid w:val="00724ACB"/>
    <w:rsid w:val="00725206"/>
    <w:rsid w:val="00725247"/>
    <w:rsid w:val="007254F2"/>
    <w:rsid w:val="007259C5"/>
    <w:rsid w:val="00725A1F"/>
    <w:rsid w:val="0072606D"/>
    <w:rsid w:val="007267EF"/>
    <w:rsid w:val="00726967"/>
    <w:rsid w:val="00726D83"/>
    <w:rsid w:val="00726E8A"/>
    <w:rsid w:val="00727074"/>
    <w:rsid w:val="00727120"/>
    <w:rsid w:val="00727ABD"/>
    <w:rsid w:val="00727D68"/>
    <w:rsid w:val="00730265"/>
    <w:rsid w:val="0073077A"/>
    <w:rsid w:val="007308AE"/>
    <w:rsid w:val="00730B0F"/>
    <w:rsid w:val="00730B5D"/>
    <w:rsid w:val="00730DB9"/>
    <w:rsid w:val="007312C3"/>
    <w:rsid w:val="007313A4"/>
    <w:rsid w:val="0073161D"/>
    <w:rsid w:val="007317EE"/>
    <w:rsid w:val="007318A9"/>
    <w:rsid w:val="007318FE"/>
    <w:rsid w:val="00731C74"/>
    <w:rsid w:val="00731E7F"/>
    <w:rsid w:val="007320E5"/>
    <w:rsid w:val="007320FD"/>
    <w:rsid w:val="0073226B"/>
    <w:rsid w:val="00732770"/>
    <w:rsid w:val="00732893"/>
    <w:rsid w:val="007329B1"/>
    <w:rsid w:val="00732AB9"/>
    <w:rsid w:val="00732C3E"/>
    <w:rsid w:val="00732D39"/>
    <w:rsid w:val="00732FE5"/>
    <w:rsid w:val="00733063"/>
    <w:rsid w:val="0073338E"/>
    <w:rsid w:val="007336A4"/>
    <w:rsid w:val="007336BD"/>
    <w:rsid w:val="007336C5"/>
    <w:rsid w:val="007338A9"/>
    <w:rsid w:val="007344FD"/>
    <w:rsid w:val="007347D8"/>
    <w:rsid w:val="007348BE"/>
    <w:rsid w:val="00734AA4"/>
    <w:rsid w:val="00734B74"/>
    <w:rsid w:val="00734EFB"/>
    <w:rsid w:val="00735002"/>
    <w:rsid w:val="007354AC"/>
    <w:rsid w:val="007354E5"/>
    <w:rsid w:val="00735A74"/>
    <w:rsid w:val="00735CDE"/>
    <w:rsid w:val="00735E19"/>
    <w:rsid w:val="00735E99"/>
    <w:rsid w:val="00735ED1"/>
    <w:rsid w:val="00736456"/>
    <w:rsid w:val="00736556"/>
    <w:rsid w:val="00736848"/>
    <w:rsid w:val="00736B9D"/>
    <w:rsid w:val="00736F0C"/>
    <w:rsid w:val="00737335"/>
    <w:rsid w:val="00737416"/>
    <w:rsid w:val="00737857"/>
    <w:rsid w:val="007379ED"/>
    <w:rsid w:val="00740180"/>
    <w:rsid w:val="007401D6"/>
    <w:rsid w:val="007402EA"/>
    <w:rsid w:val="00740BE2"/>
    <w:rsid w:val="00740C89"/>
    <w:rsid w:val="00740F84"/>
    <w:rsid w:val="00741066"/>
    <w:rsid w:val="0074106B"/>
    <w:rsid w:val="007414D7"/>
    <w:rsid w:val="007417C3"/>
    <w:rsid w:val="00741824"/>
    <w:rsid w:val="0074188E"/>
    <w:rsid w:val="00741C11"/>
    <w:rsid w:val="00741DCF"/>
    <w:rsid w:val="00742300"/>
    <w:rsid w:val="00743590"/>
    <w:rsid w:val="00743AE3"/>
    <w:rsid w:val="00743C42"/>
    <w:rsid w:val="0074431A"/>
    <w:rsid w:val="007445D6"/>
    <w:rsid w:val="0074471E"/>
    <w:rsid w:val="00744D0C"/>
    <w:rsid w:val="00744D8B"/>
    <w:rsid w:val="007452BA"/>
    <w:rsid w:val="00745618"/>
    <w:rsid w:val="007456EA"/>
    <w:rsid w:val="0074583D"/>
    <w:rsid w:val="00745B88"/>
    <w:rsid w:val="0074620F"/>
    <w:rsid w:val="00746378"/>
    <w:rsid w:val="007469A9"/>
    <w:rsid w:val="00746A4A"/>
    <w:rsid w:val="00747E4C"/>
    <w:rsid w:val="00747EBE"/>
    <w:rsid w:val="00747F59"/>
    <w:rsid w:val="007505F8"/>
    <w:rsid w:val="007508D6"/>
    <w:rsid w:val="00750966"/>
    <w:rsid w:val="007509BA"/>
    <w:rsid w:val="00750F10"/>
    <w:rsid w:val="00751093"/>
    <w:rsid w:val="007513CF"/>
    <w:rsid w:val="007515C0"/>
    <w:rsid w:val="007517F5"/>
    <w:rsid w:val="00751891"/>
    <w:rsid w:val="00751F15"/>
    <w:rsid w:val="00752138"/>
    <w:rsid w:val="007524EA"/>
    <w:rsid w:val="0075251D"/>
    <w:rsid w:val="007525CE"/>
    <w:rsid w:val="007527B2"/>
    <w:rsid w:val="007527E8"/>
    <w:rsid w:val="0075304F"/>
    <w:rsid w:val="007530A1"/>
    <w:rsid w:val="0075324C"/>
    <w:rsid w:val="007532FD"/>
    <w:rsid w:val="00753D8E"/>
    <w:rsid w:val="00753E0D"/>
    <w:rsid w:val="00753E3B"/>
    <w:rsid w:val="00753FFC"/>
    <w:rsid w:val="00754017"/>
    <w:rsid w:val="0075420E"/>
    <w:rsid w:val="007547A5"/>
    <w:rsid w:val="0075494A"/>
    <w:rsid w:val="00754C25"/>
    <w:rsid w:val="00754CB6"/>
    <w:rsid w:val="007550D7"/>
    <w:rsid w:val="00755120"/>
    <w:rsid w:val="0075571D"/>
    <w:rsid w:val="0075577D"/>
    <w:rsid w:val="007557C2"/>
    <w:rsid w:val="007559AC"/>
    <w:rsid w:val="00755C9A"/>
    <w:rsid w:val="00755D25"/>
    <w:rsid w:val="00756205"/>
    <w:rsid w:val="0075628B"/>
    <w:rsid w:val="00756360"/>
    <w:rsid w:val="0075664C"/>
    <w:rsid w:val="0075699D"/>
    <w:rsid w:val="00756EB8"/>
    <w:rsid w:val="0075718A"/>
    <w:rsid w:val="007572A7"/>
    <w:rsid w:val="0075731E"/>
    <w:rsid w:val="007573DE"/>
    <w:rsid w:val="0075794D"/>
    <w:rsid w:val="00757A65"/>
    <w:rsid w:val="00757D8B"/>
    <w:rsid w:val="00757EC7"/>
    <w:rsid w:val="0076012E"/>
    <w:rsid w:val="0076016E"/>
    <w:rsid w:val="00760378"/>
    <w:rsid w:val="007603FA"/>
    <w:rsid w:val="00760661"/>
    <w:rsid w:val="00760885"/>
    <w:rsid w:val="00760B62"/>
    <w:rsid w:val="00760D69"/>
    <w:rsid w:val="00761551"/>
    <w:rsid w:val="00761755"/>
    <w:rsid w:val="0076191C"/>
    <w:rsid w:val="00761AF1"/>
    <w:rsid w:val="00761D6E"/>
    <w:rsid w:val="00761DB3"/>
    <w:rsid w:val="00761F30"/>
    <w:rsid w:val="00762047"/>
    <w:rsid w:val="007621AD"/>
    <w:rsid w:val="00762413"/>
    <w:rsid w:val="00762470"/>
    <w:rsid w:val="007624F2"/>
    <w:rsid w:val="00762722"/>
    <w:rsid w:val="007627AD"/>
    <w:rsid w:val="00762883"/>
    <w:rsid w:val="00762AA7"/>
    <w:rsid w:val="00762B67"/>
    <w:rsid w:val="007630E3"/>
    <w:rsid w:val="007636D1"/>
    <w:rsid w:val="00763F41"/>
    <w:rsid w:val="007644D2"/>
    <w:rsid w:val="00764659"/>
    <w:rsid w:val="00764707"/>
    <w:rsid w:val="0076476F"/>
    <w:rsid w:val="0076480B"/>
    <w:rsid w:val="00764DBF"/>
    <w:rsid w:val="007650A2"/>
    <w:rsid w:val="0076553F"/>
    <w:rsid w:val="007655BE"/>
    <w:rsid w:val="0076586E"/>
    <w:rsid w:val="00765920"/>
    <w:rsid w:val="00765942"/>
    <w:rsid w:val="00765A15"/>
    <w:rsid w:val="00765C07"/>
    <w:rsid w:val="00765F0E"/>
    <w:rsid w:val="00766194"/>
    <w:rsid w:val="00766747"/>
    <w:rsid w:val="00766990"/>
    <w:rsid w:val="00766DC4"/>
    <w:rsid w:val="00766EA7"/>
    <w:rsid w:val="00767244"/>
    <w:rsid w:val="00767321"/>
    <w:rsid w:val="0076734C"/>
    <w:rsid w:val="00767477"/>
    <w:rsid w:val="00767933"/>
    <w:rsid w:val="007679A9"/>
    <w:rsid w:val="00767CEE"/>
    <w:rsid w:val="00767D57"/>
    <w:rsid w:val="00767D7B"/>
    <w:rsid w:val="00767DB2"/>
    <w:rsid w:val="00770090"/>
    <w:rsid w:val="00770095"/>
    <w:rsid w:val="007703EE"/>
    <w:rsid w:val="0077044A"/>
    <w:rsid w:val="00770527"/>
    <w:rsid w:val="00770AB9"/>
    <w:rsid w:val="00770C41"/>
    <w:rsid w:val="00770CDF"/>
    <w:rsid w:val="00770E8A"/>
    <w:rsid w:val="00770F90"/>
    <w:rsid w:val="00771059"/>
    <w:rsid w:val="00771119"/>
    <w:rsid w:val="007711FA"/>
    <w:rsid w:val="007713E9"/>
    <w:rsid w:val="00771761"/>
    <w:rsid w:val="007718DF"/>
    <w:rsid w:val="007719A1"/>
    <w:rsid w:val="00771A95"/>
    <w:rsid w:val="00772161"/>
    <w:rsid w:val="007722F4"/>
    <w:rsid w:val="0077277F"/>
    <w:rsid w:val="00772817"/>
    <w:rsid w:val="00772960"/>
    <w:rsid w:val="00772A93"/>
    <w:rsid w:val="00772F30"/>
    <w:rsid w:val="00772FA7"/>
    <w:rsid w:val="00773061"/>
    <w:rsid w:val="0077313D"/>
    <w:rsid w:val="00773282"/>
    <w:rsid w:val="007732E0"/>
    <w:rsid w:val="007735B0"/>
    <w:rsid w:val="00773859"/>
    <w:rsid w:val="0077397A"/>
    <w:rsid w:val="00773981"/>
    <w:rsid w:val="00773EC4"/>
    <w:rsid w:val="007746DB"/>
    <w:rsid w:val="00774A5F"/>
    <w:rsid w:val="00774A8A"/>
    <w:rsid w:val="00774C90"/>
    <w:rsid w:val="00774EF6"/>
    <w:rsid w:val="00775171"/>
    <w:rsid w:val="007751D2"/>
    <w:rsid w:val="0077545B"/>
    <w:rsid w:val="00775492"/>
    <w:rsid w:val="007759F6"/>
    <w:rsid w:val="00775A9C"/>
    <w:rsid w:val="00775AFF"/>
    <w:rsid w:val="00776032"/>
    <w:rsid w:val="007764DE"/>
    <w:rsid w:val="0077686B"/>
    <w:rsid w:val="00776939"/>
    <w:rsid w:val="0077758E"/>
    <w:rsid w:val="00777A00"/>
    <w:rsid w:val="00777BDE"/>
    <w:rsid w:val="00777BDF"/>
    <w:rsid w:val="00777D33"/>
    <w:rsid w:val="00777D85"/>
    <w:rsid w:val="00777F95"/>
    <w:rsid w:val="00777FF7"/>
    <w:rsid w:val="00780140"/>
    <w:rsid w:val="0078017A"/>
    <w:rsid w:val="007801BE"/>
    <w:rsid w:val="007803D3"/>
    <w:rsid w:val="00780842"/>
    <w:rsid w:val="0078086D"/>
    <w:rsid w:val="00780AE1"/>
    <w:rsid w:val="00780F3F"/>
    <w:rsid w:val="0078102D"/>
    <w:rsid w:val="00781224"/>
    <w:rsid w:val="0078123D"/>
    <w:rsid w:val="0078150E"/>
    <w:rsid w:val="007816E8"/>
    <w:rsid w:val="00781721"/>
    <w:rsid w:val="00781744"/>
    <w:rsid w:val="00781753"/>
    <w:rsid w:val="00781A43"/>
    <w:rsid w:val="00781ADF"/>
    <w:rsid w:val="00781EA4"/>
    <w:rsid w:val="00781F6A"/>
    <w:rsid w:val="007825D4"/>
    <w:rsid w:val="00782AEB"/>
    <w:rsid w:val="0078326A"/>
    <w:rsid w:val="00783271"/>
    <w:rsid w:val="007833DB"/>
    <w:rsid w:val="007833EF"/>
    <w:rsid w:val="007833FE"/>
    <w:rsid w:val="007835A2"/>
    <w:rsid w:val="00783786"/>
    <w:rsid w:val="00783A17"/>
    <w:rsid w:val="00783A2E"/>
    <w:rsid w:val="00783AD8"/>
    <w:rsid w:val="00783C4F"/>
    <w:rsid w:val="00783C8D"/>
    <w:rsid w:val="00783CE2"/>
    <w:rsid w:val="00783D9C"/>
    <w:rsid w:val="0078414A"/>
    <w:rsid w:val="007842CF"/>
    <w:rsid w:val="00784570"/>
    <w:rsid w:val="007845C9"/>
    <w:rsid w:val="00784740"/>
    <w:rsid w:val="007847C1"/>
    <w:rsid w:val="00784938"/>
    <w:rsid w:val="00784A09"/>
    <w:rsid w:val="00784B81"/>
    <w:rsid w:val="00784CF8"/>
    <w:rsid w:val="00784E4B"/>
    <w:rsid w:val="007857BA"/>
    <w:rsid w:val="0078597D"/>
    <w:rsid w:val="00785A4B"/>
    <w:rsid w:val="00785C66"/>
    <w:rsid w:val="00785D05"/>
    <w:rsid w:val="00785D29"/>
    <w:rsid w:val="00785D6B"/>
    <w:rsid w:val="00785DE8"/>
    <w:rsid w:val="007861B7"/>
    <w:rsid w:val="007865B5"/>
    <w:rsid w:val="007865FF"/>
    <w:rsid w:val="00786738"/>
    <w:rsid w:val="00786B6D"/>
    <w:rsid w:val="00786EA7"/>
    <w:rsid w:val="00786F47"/>
    <w:rsid w:val="00786FC6"/>
    <w:rsid w:val="007875BE"/>
    <w:rsid w:val="007875D9"/>
    <w:rsid w:val="0078774B"/>
    <w:rsid w:val="00787A15"/>
    <w:rsid w:val="00787CA8"/>
    <w:rsid w:val="00790182"/>
    <w:rsid w:val="00790232"/>
    <w:rsid w:val="00790259"/>
    <w:rsid w:val="0079086E"/>
    <w:rsid w:val="00790C2C"/>
    <w:rsid w:val="00790C6D"/>
    <w:rsid w:val="00790DA7"/>
    <w:rsid w:val="007910EB"/>
    <w:rsid w:val="00791269"/>
    <w:rsid w:val="00791563"/>
    <w:rsid w:val="00791881"/>
    <w:rsid w:val="007918F7"/>
    <w:rsid w:val="00791952"/>
    <w:rsid w:val="00791958"/>
    <w:rsid w:val="00791B01"/>
    <w:rsid w:val="00791FA6"/>
    <w:rsid w:val="00792C2A"/>
    <w:rsid w:val="00792CA6"/>
    <w:rsid w:val="00792CB9"/>
    <w:rsid w:val="00792D46"/>
    <w:rsid w:val="007930D0"/>
    <w:rsid w:val="0079317C"/>
    <w:rsid w:val="00793280"/>
    <w:rsid w:val="007932F6"/>
    <w:rsid w:val="0079346C"/>
    <w:rsid w:val="00793730"/>
    <w:rsid w:val="007937DF"/>
    <w:rsid w:val="00793F4F"/>
    <w:rsid w:val="00794016"/>
    <w:rsid w:val="007941FC"/>
    <w:rsid w:val="00794469"/>
    <w:rsid w:val="007945A5"/>
    <w:rsid w:val="007946FD"/>
    <w:rsid w:val="00794BDE"/>
    <w:rsid w:val="00794CC4"/>
    <w:rsid w:val="007952FC"/>
    <w:rsid w:val="00795304"/>
    <w:rsid w:val="00795374"/>
    <w:rsid w:val="0079548E"/>
    <w:rsid w:val="0079581D"/>
    <w:rsid w:val="00795826"/>
    <w:rsid w:val="0079592E"/>
    <w:rsid w:val="00795AFA"/>
    <w:rsid w:val="00795CD9"/>
    <w:rsid w:val="00795D25"/>
    <w:rsid w:val="00795FE4"/>
    <w:rsid w:val="00796170"/>
    <w:rsid w:val="007963E6"/>
    <w:rsid w:val="007964C9"/>
    <w:rsid w:val="00796564"/>
    <w:rsid w:val="00796669"/>
    <w:rsid w:val="007966D3"/>
    <w:rsid w:val="0079691F"/>
    <w:rsid w:val="00796951"/>
    <w:rsid w:val="00796AA6"/>
    <w:rsid w:val="00796D4A"/>
    <w:rsid w:val="00796FC6"/>
    <w:rsid w:val="007973FB"/>
    <w:rsid w:val="00797866"/>
    <w:rsid w:val="007978CC"/>
    <w:rsid w:val="00797A40"/>
    <w:rsid w:val="00797A49"/>
    <w:rsid w:val="00797B02"/>
    <w:rsid w:val="00797BD7"/>
    <w:rsid w:val="00797DDC"/>
    <w:rsid w:val="007A030A"/>
    <w:rsid w:val="007A04A3"/>
    <w:rsid w:val="007A0556"/>
    <w:rsid w:val="007A06A6"/>
    <w:rsid w:val="007A0707"/>
    <w:rsid w:val="007A09E5"/>
    <w:rsid w:val="007A0FF6"/>
    <w:rsid w:val="007A1135"/>
    <w:rsid w:val="007A12C5"/>
    <w:rsid w:val="007A1497"/>
    <w:rsid w:val="007A163C"/>
    <w:rsid w:val="007A1652"/>
    <w:rsid w:val="007A16BA"/>
    <w:rsid w:val="007A1B2C"/>
    <w:rsid w:val="007A1CD3"/>
    <w:rsid w:val="007A1CF0"/>
    <w:rsid w:val="007A1E17"/>
    <w:rsid w:val="007A2014"/>
    <w:rsid w:val="007A204D"/>
    <w:rsid w:val="007A20DC"/>
    <w:rsid w:val="007A2394"/>
    <w:rsid w:val="007A23FC"/>
    <w:rsid w:val="007A2657"/>
    <w:rsid w:val="007A28BE"/>
    <w:rsid w:val="007A2A65"/>
    <w:rsid w:val="007A2DB7"/>
    <w:rsid w:val="007A367C"/>
    <w:rsid w:val="007A37BE"/>
    <w:rsid w:val="007A3B44"/>
    <w:rsid w:val="007A3D74"/>
    <w:rsid w:val="007A4550"/>
    <w:rsid w:val="007A468D"/>
    <w:rsid w:val="007A4A71"/>
    <w:rsid w:val="007A4C13"/>
    <w:rsid w:val="007A4C3F"/>
    <w:rsid w:val="007A4D90"/>
    <w:rsid w:val="007A50D1"/>
    <w:rsid w:val="007A5260"/>
    <w:rsid w:val="007A5571"/>
    <w:rsid w:val="007A5C70"/>
    <w:rsid w:val="007A6304"/>
    <w:rsid w:val="007A6871"/>
    <w:rsid w:val="007A6BE2"/>
    <w:rsid w:val="007A7031"/>
    <w:rsid w:val="007A7379"/>
    <w:rsid w:val="007A7463"/>
    <w:rsid w:val="007A7B40"/>
    <w:rsid w:val="007A7C70"/>
    <w:rsid w:val="007B04D0"/>
    <w:rsid w:val="007B0B11"/>
    <w:rsid w:val="007B0E23"/>
    <w:rsid w:val="007B0F59"/>
    <w:rsid w:val="007B111A"/>
    <w:rsid w:val="007B11EC"/>
    <w:rsid w:val="007B1354"/>
    <w:rsid w:val="007B1460"/>
    <w:rsid w:val="007B185A"/>
    <w:rsid w:val="007B1CF3"/>
    <w:rsid w:val="007B1D94"/>
    <w:rsid w:val="007B2348"/>
    <w:rsid w:val="007B23C7"/>
    <w:rsid w:val="007B27F2"/>
    <w:rsid w:val="007B281A"/>
    <w:rsid w:val="007B2C0E"/>
    <w:rsid w:val="007B2C9B"/>
    <w:rsid w:val="007B2CBA"/>
    <w:rsid w:val="007B304F"/>
    <w:rsid w:val="007B365F"/>
    <w:rsid w:val="007B3B67"/>
    <w:rsid w:val="007B3C09"/>
    <w:rsid w:val="007B3EC3"/>
    <w:rsid w:val="007B3F1D"/>
    <w:rsid w:val="007B3F43"/>
    <w:rsid w:val="007B4174"/>
    <w:rsid w:val="007B4373"/>
    <w:rsid w:val="007B4398"/>
    <w:rsid w:val="007B446C"/>
    <w:rsid w:val="007B469E"/>
    <w:rsid w:val="007B48AC"/>
    <w:rsid w:val="007B4909"/>
    <w:rsid w:val="007B4ABD"/>
    <w:rsid w:val="007B4B1B"/>
    <w:rsid w:val="007B4CC4"/>
    <w:rsid w:val="007B51EA"/>
    <w:rsid w:val="007B56FE"/>
    <w:rsid w:val="007B5738"/>
    <w:rsid w:val="007B5AC4"/>
    <w:rsid w:val="007B5B0C"/>
    <w:rsid w:val="007B5BAC"/>
    <w:rsid w:val="007B5D74"/>
    <w:rsid w:val="007B5EE9"/>
    <w:rsid w:val="007B60CA"/>
    <w:rsid w:val="007B6B39"/>
    <w:rsid w:val="007B7533"/>
    <w:rsid w:val="007B75F4"/>
    <w:rsid w:val="007B760F"/>
    <w:rsid w:val="007B7814"/>
    <w:rsid w:val="007B7A5A"/>
    <w:rsid w:val="007B7C9B"/>
    <w:rsid w:val="007C0084"/>
    <w:rsid w:val="007C035A"/>
    <w:rsid w:val="007C0441"/>
    <w:rsid w:val="007C0444"/>
    <w:rsid w:val="007C0535"/>
    <w:rsid w:val="007C06BA"/>
    <w:rsid w:val="007C0736"/>
    <w:rsid w:val="007C09FC"/>
    <w:rsid w:val="007C1062"/>
    <w:rsid w:val="007C109E"/>
    <w:rsid w:val="007C1631"/>
    <w:rsid w:val="007C1688"/>
    <w:rsid w:val="007C176C"/>
    <w:rsid w:val="007C17EA"/>
    <w:rsid w:val="007C1888"/>
    <w:rsid w:val="007C1D3D"/>
    <w:rsid w:val="007C1F75"/>
    <w:rsid w:val="007C20C5"/>
    <w:rsid w:val="007C246B"/>
    <w:rsid w:val="007C3016"/>
    <w:rsid w:val="007C306C"/>
    <w:rsid w:val="007C30CB"/>
    <w:rsid w:val="007C343A"/>
    <w:rsid w:val="007C386D"/>
    <w:rsid w:val="007C3C0B"/>
    <w:rsid w:val="007C400E"/>
    <w:rsid w:val="007C4129"/>
    <w:rsid w:val="007C44F8"/>
    <w:rsid w:val="007C4722"/>
    <w:rsid w:val="007C4B2D"/>
    <w:rsid w:val="007C4BE6"/>
    <w:rsid w:val="007C4BF1"/>
    <w:rsid w:val="007C50B2"/>
    <w:rsid w:val="007C53DD"/>
    <w:rsid w:val="007C55F3"/>
    <w:rsid w:val="007C5858"/>
    <w:rsid w:val="007C5C34"/>
    <w:rsid w:val="007C5DB8"/>
    <w:rsid w:val="007C5E8F"/>
    <w:rsid w:val="007C5FD1"/>
    <w:rsid w:val="007C63C7"/>
    <w:rsid w:val="007C6B6B"/>
    <w:rsid w:val="007C6D78"/>
    <w:rsid w:val="007C711C"/>
    <w:rsid w:val="007C725F"/>
    <w:rsid w:val="007C7344"/>
    <w:rsid w:val="007C7373"/>
    <w:rsid w:val="007C7615"/>
    <w:rsid w:val="007C78E5"/>
    <w:rsid w:val="007C7AF3"/>
    <w:rsid w:val="007C7D65"/>
    <w:rsid w:val="007D013F"/>
    <w:rsid w:val="007D03C5"/>
    <w:rsid w:val="007D0D58"/>
    <w:rsid w:val="007D0E63"/>
    <w:rsid w:val="007D0E65"/>
    <w:rsid w:val="007D0EDE"/>
    <w:rsid w:val="007D0F83"/>
    <w:rsid w:val="007D132C"/>
    <w:rsid w:val="007D133C"/>
    <w:rsid w:val="007D1CB7"/>
    <w:rsid w:val="007D1F67"/>
    <w:rsid w:val="007D21D4"/>
    <w:rsid w:val="007D221D"/>
    <w:rsid w:val="007D23EB"/>
    <w:rsid w:val="007D256B"/>
    <w:rsid w:val="007D2A2C"/>
    <w:rsid w:val="007D2C28"/>
    <w:rsid w:val="007D2E36"/>
    <w:rsid w:val="007D3038"/>
    <w:rsid w:val="007D31BE"/>
    <w:rsid w:val="007D31E1"/>
    <w:rsid w:val="007D335E"/>
    <w:rsid w:val="007D3363"/>
    <w:rsid w:val="007D3639"/>
    <w:rsid w:val="007D3662"/>
    <w:rsid w:val="007D3888"/>
    <w:rsid w:val="007D3B81"/>
    <w:rsid w:val="007D45A7"/>
    <w:rsid w:val="007D4D92"/>
    <w:rsid w:val="007D4E38"/>
    <w:rsid w:val="007D4EDB"/>
    <w:rsid w:val="007D5468"/>
    <w:rsid w:val="007D55C3"/>
    <w:rsid w:val="007D5617"/>
    <w:rsid w:val="007D5749"/>
    <w:rsid w:val="007D6421"/>
    <w:rsid w:val="007D67BC"/>
    <w:rsid w:val="007D695C"/>
    <w:rsid w:val="007D6998"/>
    <w:rsid w:val="007D7077"/>
    <w:rsid w:val="007D7135"/>
    <w:rsid w:val="007D71B2"/>
    <w:rsid w:val="007D765A"/>
    <w:rsid w:val="007D7801"/>
    <w:rsid w:val="007D7BCC"/>
    <w:rsid w:val="007D7E23"/>
    <w:rsid w:val="007D7E65"/>
    <w:rsid w:val="007D7FFC"/>
    <w:rsid w:val="007E0333"/>
    <w:rsid w:val="007E04C7"/>
    <w:rsid w:val="007E04EA"/>
    <w:rsid w:val="007E065C"/>
    <w:rsid w:val="007E0B52"/>
    <w:rsid w:val="007E0B77"/>
    <w:rsid w:val="007E0EA5"/>
    <w:rsid w:val="007E0EAF"/>
    <w:rsid w:val="007E1763"/>
    <w:rsid w:val="007E1765"/>
    <w:rsid w:val="007E179E"/>
    <w:rsid w:val="007E185C"/>
    <w:rsid w:val="007E1D8F"/>
    <w:rsid w:val="007E1DD5"/>
    <w:rsid w:val="007E1F25"/>
    <w:rsid w:val="007E2143"/>
    <w:rsid w:val="007E2538"/>
    <w:rsid w:val="007E358F"/>
    <w:rsid w:val="007E3FA4"/>
    <w:rsid w:val="007E4013"/>
    <w:rsid w:val="007E40B3"/>
    <w:rsid w:val="007E42A5"/>
    <w:rsid w:val="007E4571"/>
    <w:rsid w:val="007E47B3"/>
    <w:rsid w:val="007E4882"/>
    <w:rsid w:val="007E493D"/>
    <w:rsid w:val="007E4D76"/>
    <w:rsid w:val="007E4DBA"/>
    <w:rsid w:val="007E4FEE"/>
    <w:rsid w:val="007E4FFC"/>
    <w:rsid w:val="007E50BA"/>
    <w:rsid w:val="007E54D5"/>
    <w:rsid w:val="007E5976"/>
    <w:rsid w:val="007E5C36"/>
    <w:rsid w:val="007E60EE"/>
    <w:rsid w:val="007E61EC"/>
    <w:rsid w:val="007E622C"/>
    <w:rsid w:val="007E6287"/>
    <w:rsid w:val="007E66A7"/>
    <w:rsid w:val="007E68CB"/>
    <w:rsid w:val="007E6A90"/>
    <w:rsid w:val="007E6E5D"/>
    <w:rsid w:val="007E751D"/>
    <w:rsid w:val="007E78D9"/>
    <w:rsid w:val="007E796C"/>
    <w:rsid w:val="007E7AB9"/>
    <w:rsid w:val="007E7FDB"/>
    <w:rsid w:val="007F0687"/>
    <w:rsid w:val="007F0698"/>
    <w:rsid w:val="007F07A8"/>
    <w:rsid w:val="007F08BF"/>
    <w:rsid w:val="007F09CC"/>
    <w:rsid w:val="007F0CEB"/>
    <w:rsid w:val="007F0D1B"/>
    <w:rsid w:val="007F1184"/>
    <w:rsid w:val="007F1381"/>
    <w:rsid w:val="007F1517"/>
    <w:rsid w:val="007F1AF7"/>
    <w:rsid w:val="007F1C8D"/>
    <w:rsid w:val="007F1E17"/>
    <w:rsid w:val="007F20B6"/>
    <w:rsid w:val="007F2230"/>
    <w:rsid w:val="007F2395"/>
    <w:rsid w:val="007F280D"/>
    <w:rsid w:val="007F28B4"/>
    <w:rsid w:val="007F2D70"/>
    <w:rsid w:val="007F2ECE"/>
    <w:rsid w:val="007F3118"/>
    <w:rsid w:val="007F34F8"/>
    <w:rsid w:val="007F3914"/>
    <w:rsid w:val="007F3B79"/>
    <w:rsid w:val="007F3BCB"/>
    <w:rsid w:val="007F3C20"/>
    <w:rsid w:val="007F3F0B"/>
    <w:rsid w:val="007F438E"/>
    <w:rsid w:val="007F45FA"/>
    <w:rsid w:val="007F46FA"/>
    <w:rsid w:val="007F5B80"/>
    <w:rsid w:val="007F5DB2"/>
    <w:rsid w:val="007F6308"/>
    <w:rsid w:val="007F65A8"/>
    <w:rsid w:val="007F65BB"/>
    <w:rsid w:val="007F68B8"/>
    <w:rsid w:val="007F68F9"/>
    <w:rsid w:val="007F6CE9"/>
    <w:rsid w:val="007F6D8F"/>
    <w:rsid w:val="007F6F57"/>
    <w:rsid w:val="007F7106"/>
    <w:rsid w:val="007F7570"/>
    <w:rsid w:val="007F778C"/>
    <w:rsid w:val="007F7880"/>
    <w:rsid w:val="007F7CDB"/>
    <w:rsid w:val="007F7DFD"/>
    <w:rsid w:val="00801238"/>
    <w:rsid w:val="00801289"/>
    <w:rsid w:val="008012CE"/>
    <w:rsid w:val="00801927"/>
    <w:rsid w:val="00801CF5"/>
    <w:rsid w:val="00801E82"/>
    <w:rsid w:val="0080244F"/>
    <w:rsid w:val="008024D2"/>
    <w:rsid w:val="008029E8"/>
    <w:rsid w:val="008029FD"/>
    <w:rsid w:val="00802C1A"/>
    <w:rsid w:val="00802E37"/>
    <w:rsid w:val="00802FC8"/>
    <w:rsid w:val="008033FD"/>
    <w:rsid w:val="008035CA"/>
    <w:rsid w:val="008035F6"/>
    <w:rsid w:val="0080391F"/>
    <w:rsid w:val="00803971"/>
    <w:rsid w:val="00803A00"/>
    <w:rsid w:val="00803A7C"/>
    <w:rsid w:val="00803C14"/>
    <w:rsid w:val="00803F89"/>
    <w:rsid w:val="008040FA"/>
    <w:rsid w:val="00804101"/>
    <w:rsid w:val="008044EA"/>
    <w:rsid w:val="00804847"/>
    <w:rsid w:val="00804888"/>
    <w:rsid w:val="00804D13"/>
    <w:rsid w:val="00805864"/>
    <w:rsid w:val="00805EAD"/>
    <w:rsid w:val="00805ED7"/>
    <w:rsid w:val="00805F46"/>
    <w:rsid w:val="00806931"/>
    <w:rsid w:val="00806E22"/>
    <w:rsid w:val="00806E90"/>
    <w:rsid w:val="008075AC"/>
    <w:rsid w:val="0080764C"/>
    <w:rsid w:val="00807950"/>
    <w:rsid w:val="008079A8"/>
    <w:rsid w:val="00807B2F"/>
    <w:rsid w:val="00807BEA"/>
    <w:rsid w:val="00807CDD"/>
    <w:rsid w:val="00807D7B"/>
    <w:rsid w:val="00807F43"/>
    <w:rsid w:val="0081009E"/>
    <w:rsid w:val="0081033E"/>
    <w:rsid w:val="008106F6"/>
    <w:rsid w:val="00810935"/>
    <w:rsid w:val="008109FA"/>
    <w:rsid w:val="00810ABF"/>
    <w:rsid w:val="00810D13"/>
    <w:rsid w:val="00811425"/>
    <w:rsid w:val="00811550"/>
    <w:rsid w:val="00811556"/>
    <w:rsid w:val="008115E8"/>
    <w:rsid w:val="008116DD"/>
    <w:rsid w:val="008118F9"/>
    <w:rsid w:val="00811ADC"/>
    <w:rsid w:val="00811C2C"/>
    <w:rsid w:val="00811D24"/>
    <w:rsid w:val="008121C4"/>
    <w:rsid w:val="008125E5"/>
    <w:rsid w:val="00812868"/>
    <w:rsid w:val="0081290C"/>
    <w:rsid w:val="008132CF"/>
    <w:rsid w:val="008138B9"/>
    <w:rsid w:val="00813C91"/>
    <w:rsid w:val="00813F06"/>
    <w:rsid w:val="008140AE"/>
    <w:rsid w:val="00814334"/>
    <w:rsid w:val="0081434C"/>
    <w:rsid w:val="00814421"/>
    <w:rsid w:val="00814654"/>
    <w:rsid w:val="008147DA"/>
    <w:rsid w:val="008147EB"/>
    <w:rsid w:val="00814D1B"/>
    <w:rsid w:val="00814D38"/>
    <w:rsid w:val="00814E85"/>
    <w:rsid w:val="00814F5A"/>
    <w:rsid w:val="0081509D"/>
    <w:rsid w:val="0081512E"/>
    <w:rsid w:val="0081559B"/>
    <w:rsid w:val="00815748"/>
    <w:rsid w:val="00815891"/>
    <w:rsid w:val="00815DAD"/>
    <w:rsid w:val="00815E54"/>
    <w:rsid w:val="00815EB4"/>
    <w:rsid w:val="00815F6C"/>
    <w:rsid w:val="00815FC4"/>
    <w:rsid w:val="00816015"/>
    <w:rsid w:val="0081620C"/>
    <w:rsid w:val="00816C82"/>
    <w:rsid w:val="00816FE6"/>
    <w:rsid w:val="00817073"/>
    <w:rsid w:val="008170E6"/>
    <w:rsid w:val="008171C3"/>
    <w:rsid w:val="008174C4"/>
    <w:rsid w:val="00817649"/>
    <w:rsid w:val="00817DF6"/>
    <w:rsid w:val="00817E14"/>
    <w:rsid w:val="008208E2"/>
    <w:rsid w:val="00820E39"/>
    <w:rsid w:val="008213F8"/>
    <w:rsid w:val="008217C8"/>
    <w:rsid w:val="00821856"/>
    <w:rsid w:val="0082185D"/>
    <w:rsid w:val="00821CC0"/>
    <w:rsid w:val="00821E43"/>
    <w:rsid w:val="00821EFD"/>
    <w:rsid w:val="00821F88"/>
    <w:rsid w:val="008223CD"/>
    <w:rsid w:val="00822A2A"/>
    <w:rsid w:val="00822AEE"/>
    <w:rsid w:val="00822B9F"/>
    <w:rsid w:val="00822BB0"/>
    <w:rsid w:val="00822C81"/>
    <w:rsid w:val="00822F2E"/>
    <w:rsid w:val="00823002"/>
    <w:rsid w:val="0082306F"/>
    <w:rsid w:val="0082342E"/>
    <w:rsid w:val="00823627"/>
    <w:rsid w:val="00823C9E"/>
    <w:rsid w:val="00823DBA"/>
    <w:rsid w:val="00823F6F"/>
    <w:rsid w:val="0082455C"/>
    <w:rsid w:val="008245DA"/>
    <w:rsid w:val="00824720"/>
    <w:rsid w:val="00824800"/>
    <w:rsid w:val="008249F5"/>
    <w:rsid w:val="00824C03"/>
    <w:rsid w:val="00824EF6"/>
    <w:rsid w:val="00825029"/>
    <w:rsid w:val="008250EC"/>
    <w:rsid w:val="00825846"/>
    <w:rsid w:val="00825A86"/>
    <w:rsid w:val="00825DE4"/>
    <w:rsid w:val="00825EA0"/>
    <w:rsid w:val="00825F2A"/>
    <w:rsid w:val="00825FEB"/>
    <w:rsid w:val="0082604B"/>
    <w:rsid w:val="00826239"/>
    <w:rsid w:val="00826492"/>
    <w:rsid w:val="008266E9"/>
    <w:rsid w:val="008268A2"/>
    <w:rsid w:val="00826A87"/>
    <w:rsid w:val="00826D7F"/>
    <w:rsid w:val="00826E6F"/>
    <w:rsid w:val="00826EDE"/>
    <w:rsid w:val="00826F89"/>
    <w:rsid w:val="00827276"/>
    <w:rsid w:val="008272C3"/>
    <w:rsid w:val="00827389"/>
    <w:rsid w:val="0082757D"/>
    <w:rsid w:val="008275EB"/>
    <w:rsid w:val="0082768B"/>
    <w:rsid w:val="00827A01"/>
    <w:rsid w:val="00827B26"/>
    <w:rsid w:val="00827FC2"/>
    <w:rsid w:val="00827FDF"/>
    <w:rsid w:val="0083004A"/>
    <w:rsid w:val="008300ED"/>
    <w:rsid w:val="0083010D"/>
    <w:rsid w:val="00830544"/>
    <w:rsid w:val="00830A8B"/>
    <w:rsid w:val="008312C5"/>
    <w:rsid w:val="0083135D"/>
    <w:rsid w:val="00831453"/>
    <w:rsid w:val="0083170B"/>
    <w:rsid w:val="00831784"/>
    <w:rsid w:val="00831AA8"/>
    <w:rsid w:val="00831B65"/>
    <w:rsid w:val="00831FC6"/>
    <w:rsid w:val="00832352"/>
    <w:rsid w:val="00832836"/>
    <w:rsid w:val="00832A1D"/>
    <w:rsid w:val="00832EA6"/>
    <w:rsid w:val="0083309C"/>
    <w:rsid w:val="0083309E"/>
    <w:rsid w:val="0083321E"/>
    <w:rsid w:val="0083333C"/>
    <w:rsid w:val="008335F3"/>
    <w:rsid w:val="00833B24"/>
    <w:rsid w:val="00833E14"/>
    <w:rsid w:val="00834114"/>
    <w:rsid w:val="0083444A"/>
    <w:rsid w:val="00834AB9"/>
    <w:rsid w:val="00834ACE"/>
    <w:rsid w:val="00834C23"/>
    <w:rsid w:val="00834D98"/>
    <w:rsid w:val="00835055"/>
    <w:rsid w:val="0083532C"/>
    <w:rsid w:val="008357DE"/>
    <w:rsid w:val="008358FE"/>
    <w:rsid w:val="00835B26"/>
    <w:rsid w:val="008363DC"/>
    <w:rsid w:val="008363E8"/>
    <w:rsid w:val="00836488"/>
    <w:rsid w:val="008365CD"/>
    <w:rsid w:val="008365FE"/>
    <w:rsid w:val="00836680"/>
    <w:rsid w:val="008366FA"/>
    <w:rsid w:val="00836976"/>
    <w:rsid w:val="00836F1E"/>
    <w:rsid w:val="00836FBC"/>
    <w:rsid w:val="0083704A"/>
    <w:rsid w:val="00837114"/>
    <w:rsid w:val="0083771E"/>
    <w:rsid w:val="00837796"/>
    <w:rsid w:val="008377A3"/>
    <w:rsid w:val="00837813"/>
    <w:rsid w:val="0083783C"/>
    <w:rsid w:val="00837852"/>
    <w:rsid w:val="00837CF2"/>
    <w:rsid w:val="00837E35"/>
    <w:rsid w:val="00837ECF"/>
    <w:rsid w:val="0084000B"/>
    <w:rsid w:val="00840544"/>
    <w:rsid w:val="00840573"/>
    <w:rsid w:val="00840581"/>
    <w:rsid w:val="008406BA"/>
    <w:rsid w:val="008407BB"/>
    <w:rsid w:val="008412DD"/>
    <w:rsid w:val="00841439"/>
    <w:rsid w:val="00841520"/>
    <w:rsid w:val="008420F6"/>
    <w:rsid w:val="00842157"/>
    <w:rsid w:val="0084249E"/>
    <w:rsid w:val="0084250F"/>
    <w:rsid w:val="0084269B"/>
    <w:rsid w:val="0084292E"/>
    <w:rsid w:val="00842A25"/>
    <w:rsid w:val="00842B06"/>
    <w:rsid w:val="00842BBD"/>
    <w:rsid w:val="00842F9A"/>
    <w:rsid w:val="00842FC4"/>
    <w:rsid w:val="0084311C"/>
    <w:rsid w:val="008431C8"/>
    <w:rsid w:val="00843378"/>
    <w:rsid w:val="008435EB"/>
    <w:rsid w:val="008436F9"/>
    <w:rsid w:val="00843C9B"/>
    <w:rsid w:val="00843D05"/>
    <w:rsid w:val="00843D17"/>
    <w:rsid w:val="008440C8"/>
    <w:rsid w:val="00844278"/>
    <w:rsid w:val="008443E8"/>
    <w:rsid w:val="0084457E"/>
    <w:rsid w:val="00844673"/>
    <w:rsid w:val="00844F38"/>
    <w:rsid w:val="00845098"/>
    <w:rsid w:val="00845228"/>
    <w:rsid w:val="0084549A"/>
    <w:rsid w:val="008456D6"/>
    <w:rsid w:val="00845CE6"/>
    <w:rsid w:val="00845D77"/>
    <w:rsid w:val="00845F5F"/>
    <w:rsid w:val="00846002"/>
    <w:rsid w:val="008460E8"/>
    <w:rsid w:val="00846197"/>
    <w:rsid w:val="008463BB"/>
    <w:rsid w:val="008467A2"/>
    <w:rsid w:val="00846E26"/>
    <w:rsid w:val="008471C1"/>
    <w:rsid w:val="00847308"/>
    <w:rsid w:val="0084743F"/>
    <w:rsid w:val="008474B9"/>
    <w:rsid w:val="0084780C"/>
    <w:rsid w:val="008478D0"/>
    <w:rsid w:val="00847A41"/>
    <w:rsid w:val="0085001D"/>
    <w:rsid w:val="00850B5A"/>
    <w:rsid w:val="00850C5F"/>
    <w:rsid w:val="00850F5B"/>
    <w:rsid w:val="00851261"/>
    <w:rsid w:val="00851554"/>
    <w:rsid w:val="0085195C"/>
    <w:rsid w:val="00851965"/>
    <w:rsid w:val="008519DF"/>
    <w:rsid w:val="00851A24"/>
    <w:rsid w:val="00852144"/>
    <w:rsid w:val="0085229F"/>
    <w:rsid w:val="00852425"/>
    <w:rsid w:val="008526B4"/>
    <w:rsid w:val="00852972"/>
    <w:rsid w:val="00852E6C"/>
    <w:rsid w:val="00853011"/>
    <w:rsid w:val="008533CE"/>
    <w:rsid w:val="00853412"/>
    <w:rsid w:val="0085356B"/>
    <w:rsid w:val="008535A5"/>
    <w:rsid w:val="00853870"/>
    <w:rsid w:val="00853A35"/>
    <w:rsid w:val="008540EF"/>
    <w:rsid w:val="008543A4"/>
    <w:rsid w:val="008546B1"/>
    <w:rsid w:val="00854739"/>
    <w:rsid w:val="00854D37"/>
    <w:rsid w:val="00854F14"/>
    <w:rsid w:val="00855188"/>
    <w:rsid w:val="00855320"/>
    <w:rsid w:val="008557D5"/>
    <w:rsid w:val="00855995"/>
    <w:rsid w:val="00855C06"/>
    <w:rsid w:val="00855CAD"/>
    <w:rsid w:val="00856469"/>
    <w:rsid w:val="008564B3"/>
    <w:rsid w:val="00856864"/>
    <w:rsid w:val="008569C2"/>
    <w:rsid w:val="008569EC"/>
    <w:rsid w:val="00856AD4"/>
    <w:rsid w:val="00856E32"/>
    <w:rsid w:val="0085716C"/>
    <w:rsid w:val="008573B2"/>
    <w:rsid w:val="00857594"/>
    <w:rsid w:val="00857A15"/>
    <w:rsid w:val="00857AEF"/>
    <w:rsid w:val="00857BE6"/>
    <w:rsid w:val="00857DD6"/>
    <w:rsid w:val="00857EB8"/>
    <w:rsid w:val="00857F9A"/>
    <w:rsid w:val="0086018B"/>
    <w:rsid w:val="00860872"/>
    <w:rsid w:val="0086089B"/>
    <w:rsid w:val="00860924"/>
    <w:rsid w:val="008609D1"/>
    <w:rsid w:val="008613B7"/>
    <w:rsid w:val="0086154B"/>
    <w:rsid w:val="008620D1"/>
    <w:rsid w:val="008622B4"/>
    <w:rsid w:val="00862309"/>
    <w:rsid w:val="00862557"/>
    <w:rsid w:val="0086266A"/>
    <w:rsid w:val="008629EA"/>
    <w:rsid w:val="00862C34"/>
    <w:rsid w:val="008630E1"/>
    <w:rsid w:val="00863317"/>
    <w:rsid w:val="008635BF"/>
    <w:rsid w:val="008635E2"/>
    <w:rsid w:val="0086386B"/>
    <w:rsid w:val="008639BC"/>
    <w:rsid w:val="00863B47"/>
    <w:rsid w:val="00864600"/>
    <w:rsid w:val="00864A67"/>
    <w:rsid w:val="00864C08"/>
    <w:rsid w:val="008652E3"/>
    <w:rsid w:val="00865348"/>
    <w:rsid w:val="008658C8"/>
    <w:rsid w:val="00865DD3"/>
    <w:rsid w:val="00866342"/>
    <w:rsid w:val="008664AC"/>
    <w:rsid w:val="00866564"/>
    <w:rsid w:val="00866598"/>
    <w:rsid w:val="008665F0"/>
    <w:rsid w:val="00867198"/>
    <w:rsid w:val="008671F1"/>
    <w:rsid w:val="00867243"/>
    <w:rsid w:val="008672E2"/>
    <w:rsid w:val="00867335"/>
    <w:rsid w:val="0086779E"/>
    <w:rsid w:val="0086799D"/>
    <w:rsid w:val="00867D19"/>
    <w:rsid w:val="00867D86"/>
    <w:rsid w:val="0087001F"/>
    <w:rsid w:val="008705F9"/>
    <w:rsid w:val="00870920"/>
    <w:rsid w:val="00870FCA"/>
    <w:rsid w:val="008712C5"/>
    <w:rsid w:val="00871319"/>
    <w:rsid w:val="008713EE"/>
    <w:rsid w:val="00871418"/>
    <w:rsid w:val="00871834"/>
    <w:rsid w:val="00871860"/>
    <w:rsid w:val="00871887"/>
    <w:rsid w:val="008718D4"/>
    <w:rsid w:val="00871952"/>
    <w:rsid w:val="00871C1B"/>
    <w:rsid w:val="00871C28"/>
    <w:rsid w:val="00871D15"/>
    <w:rsid w:val="00871D8A"/>
    <w:rsid w:val="00872EA2"/>
    <w:rsid w:val="00873613"/>
    <w:rsid w:val="00873681"/>
    <w:rsid w:val="008738A5"/>
    <w:rsid w:val="00873F04"/>
    <w:rsid w:val="008747AB"/>
    <w:rsid w:val="00874836"/>
    <w:rsid w:val="00874DEF"/>
    <w:rsid w:val="00874E59"/>
    <w:rsid w:val="00874F48"/>
    <w:rsid w:val="0087500F"/>
    <w:rsid w:val="008750D8"/>
    <w:rsid w:val="00875329"/>
    <w:rsid w:val="00875337"/>
    <w:rsid w:val="008753A2"/>
    <w:rsid w:val="00876161"/>
    <w:rsid w:val="0087648E"/>
    <w:rsid w:val="0087655B"/>
    <w:rsid w:val="00876C2C"/>
    <w:rsid w:val="00876E4A"/>
    <w:rsid w:val="00876FE8"/>
    <w:rsid w:val="0087739D"/>
    <w:rsid w:val="008776D9"/>
    <w:rsid w:val="008779F0"/>
    <w:rsid w:val="00877AFB"/>
    <w:rsid w:val="00877B13"/>
    <w:rsid w:val="00877B7F"/>
    <w:rsid w:val="00877D18"/>
    <w:rsid w:val="00877E44"/>
    <w:rsid w:val="0088003F"/>
    <w:rsid w:val="008804FC"/>
    <w:rsid w:val="0088054B"/>
    <w:rsid w:val="00880700"/>
    <w:rsid w:val="00880765"/>
    <w:rsid w:val="00880769"/>
    <w:rsid w:val="008809F9"/>
    <w:rsid w:val="00880C56"/>
    <w:rsid w:val="00880DFE"/>
    <w:rsid w:val="008811DF"/>
    <w:rsid w:val="00881BFF"/>
    <w:rsid w:val="00882057"/>
    <w:rsid w:val="00882461"/>
    <w:rsid w:val="008829D5"/>
    <w:rsid w:val="00882AE5"/>
    <w:rsid w:val="00882AFE"/>
    <w:rsid w:val="00883440"/>
    <w:rsid w:val="0088348F"/>
    <w:rsid w:val="008834EB"/>
    <w:rsid w:val="008834F6"/>
    <w:rsid w:val="00883A08"/>
    <w:rsid w:val="00883D11"/>
    <w:rsid w:val="00883DE2"/>
    <w:rsid w:val="00883E54"/>
    <w:rsid w:val="00883FC9"/>
    <w:rsid w:val="00884382"/>
    <w:rsid w:val="008846A7"/>
    <w:rsid w:val="00884AA4"/>
    <w:rsid w:val="00884DC0"/>
    <w:rsid w:val="00885134"/>
    <w:rsid w:val="00885162"/>
    <w:rsid w:val="008851A6"/>
    <w:rsid w:val="008851E8"/>
    <w:rsid w:val="0088543C"/>
    <w:rsid w:val="00885A2D"/>
    <w:rsid w:val="00885CED"/>
    <w:rsid w:val="00885F26"/>
    <w:rsid w:val="00885F7A"/>
    <w:rsid w:val="0088601A"/>
    <w:rsid w:val="00886099"/>
    <w:rsid w:val="008861A1"/>
    <w:rsid w:val="00886489"/>
    <w:rsid w:val="008866EA"/>
    <w:rsid w:val="00886707"/>
    <w:rsid w:val="00886BFF"/>
    <w:rsid w:val="008876BF"/>
    <w:rsid w:val="00887937"/>
    <w:rsid w:val="008879AF"/>
    <w:rsid w:val="00887A51"/>
    <w:rsid w:val="00887B93"/>
    <w:rsid w:val="00887DD6"/>
    <w:rsid w:val="00887ED0"/>
    <w:rsid w:val="0089013E"/>
    <w:rsid w:val="008905C9"/>
    <w:rsid w:val="00890659"/>
    <w:rsid w:val="00890D5D"/>
    <w:rsid w:val="00890F40"/>
    <w:rsid w:val="00891119"/>
    <w:rsid w:val="0089113F"/>
    <w:rsid w:val="0089133E"/>
    <w:rsid w:val="008918BF"/>
    <w:rsid w:val="00891EB1"/>
    <w:rsid w:val="008925DF"/>
    <w:rsid w:val="00892B2C"/>
    <w:rsid w:val="00892FF2"/>
    <w:rsid w:val="00893265"/>
    <w:rsid w:val="00893271"/>
    <w:rsid w:val="008932DB"/>
    <w:rsid w:val="00893583"/>
    <w:rsid w:val="008935D5"/>
    <w:rsid w:val="008938D0"/>
    <w:rsid w:val="0089394D"/>
    <w:rsid w:val="00893AFB"/>
    <w:rsid w:val="0089478E"/>
    <w:rsid w:val="0089499D"/>
    <w:rsid w:val="00894EB4"/>
    <w:rsid w:val="00894F94"/>
    <w:rsid w:val="00895246"/>
    <w:rsid w:val="00895542"/>
    <w:rsid w:val="0089555D"/>
    <w:rsid w:val="008956C8"/>
    <w:rsid w:val="0089578D"/>
    <w:rsid w:val="00895896"/>
    <w:rsid w:val="00895D0C"/>
    <w:rsid w:val="00895D91"/>
    <w:rsid w:val="008960C0"/>
    <w:rsid w:val="00896102"/>
    <w:rsid w:val="0089641B"/>
    <w:rsid w:val="0089654F"/>
    <w:rsid w:val="008967FF"/>
    <w:rsid w:val="0089680F"/>
    <w:rsid w:val="00896947"/>
    <w:rsid w:val="00896A33"/>
    <w:rsid w:val="00896BB0"/>
    <w:rsid w:val="00896F62"/>
    <w:rsid w:val="00897149"/>
    <w:rsid w:val="008976D7"/>
    <w:rsid w:val="008977F8"/>
    <w:rsid w:val="008978D5"/>
    <w:rsid w:val="00897989"/>
    <w:rsid w:val="00897D7F"/>
    <w:rsid w:val="008A00A2"/>
    <w:rsid w:val="008A00CD"/>
    <w:rsid w:val="008A056B"/>
    <w:rsid w:val="008A05C0"/>
    <w:rsid w:val="008A06D6"/>
    <w:rsid w:val="008A07B4"/>
    <w:rsid w:val="008A0DB5"/>
    <w:rsid w:val="008A0FF4"/>
    <w:rsid w:val="008A1111"/>
    <w:rsid w:val="008A128F"/>
    <w:rsid w:val="008A13C8"/>
    <w:rsid w:val="008A14FC"/>
    <w:rsid w:val="008A16BA"/>
    <w:rsid w:val="008A1B9C"/>
    <w:rsid w:val="008A1FB3"/>
    <w:rsid w:val="008A1FDD"/>
    <w:rsid w:val="008A24F3"/>
    <w:rsid w:val="008A25AB"/>
    <w:rsid w:val="008A2860"/>
    <w:rsid w:val="008A294C"/>
    <w:rsid w:val="008A2C16"/>
    <w:rsid w:val="008A2CE5"/>
    <w:rsid w:val="008A334E"/>
    <w:rsid w:val="008A352A"/>
    <w:rsid w:val="008A38B9"/>
    <w:rsid w:val="008A3E2E"/>
    <w:rsid w:val="008A3F1B"/>
    <w:rsid w:val="008A3FCE"/>
    <w:rsid w:val="008A41A7"/>
    <w:rsid w:val="008A4210"/>
    <w:rsid w:val="008A42F6"/>
    <w:rsid w:val="008A443E"/>
    <w:rsid w:val="008A45BF"/>
    <w:rsid w:val="008A47C4"/>
    <w:rsid w:val="008A4832"/>
    <w:rsid w:val="008A4AB3"/>
    <w:rsid w:val="008A4B00"/>
    <w:rsid w:val="008A4C69"/>
    <w:rsid w:val="008A4CCA"/>
    <w:rsid w:val="008A4FEC"/>
    <w:rsid w:val="008A524D"/>
    <w:rsid w:val="008A52E6"/>
    <w:rsid w:val="008A53F8"/>
    <w:rsid w:val="008A5623"/>
    <w:rsid w:val="008A591F"/>
    <w:rsid w:val="008A5ACD"/>
    <w:rsid w:val="008A5E82"/>
    <w:rsid w:val="008A5EDA"/>
    <w:rsid w:val="008A611C"/>
    <w:rsid w:val="008A63AE"/>
    <w:rsid w:val="008A673F"/>
    <w:rsid w:val="008A697A"/>
    <w:rsid w:val="008A6A04"/>
    <w:rsid w:val="008A6CEA"/>
    <w:rsid w:val="008A6ED3"/>
    <w:rsid w:val="008A7046"/>
    <w:rsid w:val="008A768F"/>
    <w:rsid w:val="008A76EE"/>
    <w:rsid w:val="008A78F1"/>
    <w:rsid w:val="008A7CC3"/>
    <w:rsid w:val="008A7D3A"/>
    <w:rsid w:val="008A7F14"/>
    <w:rsid w:val="008A7F38"/>
    <w:rsid w:val="008B0249"/>
    <w:rsid w:val="008B0497"/>
    <w:rsid w:val="008B04A9"/>
    <w:rsid w:val="008B0521"/>
    <w:rsid w:val="008B0571"/>
    <w:rsid w:val="008B072D"/>
    <w:rsid w:val="008B0993"/>
    <w:rsid w:val="008B0AF1"/>
    <w:rsid w:val="008B0E05"/>
    <w:rsid w:val="008B0F61"/>
    <w:rsid w:val="008B12ED"/>
    <w:rsid w:val="008B13D9"/>
    <w:rsid w:val="008B15D2"/>
    <w:rsid w:val="008B176C"/>
    <w:rsid w:val="008B17E4"/>
    <w:rsid w:val="008B1962"/>
    <w:rsid w:val="008B19E1"/>
    <w:rsid w:val="008B19EE"/>
    <w:rsid w:val="008B1ADF"/>
    <w:rsid w:val="008B21E2"/>
    <w:rsid w:val="008B2368"/>
    <w:rsid w:val="008B285B"/>
    <w:rsid w:val="008B2C5D"/>
    <w:rsid w:val="008B2DE5"/>
    <w:rsid w:val="008B2F9C"/>
    <w:rsid w:val="008B3654"/>
    <w:rsid w:val="008B39E7"/>
    <w:rsid w:val="008B3BA2"/>
    <w:rsid w:val="008B3D8F"/>
    <w:rsid w:val="008B4173"/>
    <w:rsid w:val="008B436E"/>
    <w:rsid w:val="008B47FC"/>
    <w:rsid w:val="008B486B"/>
    <w:rsid w:val="008B4B1E"/>
    <w:rsid w:val="008B4BB3"/>
    <w:rsid w:val="008B4C31"/>
    <w:rsid w:val="008B4FB9"/>
    <w:rsid w:val="008B51C5"/>
    <w:rsid w:val="008B535C"/>
    <w:rsid w:val="008B548B"/>
    <w:rsid w:val="008B5541"/>
    <w:rsid w:val="008B560A"/>
    <w:rsid w:val="008B56EA"/>
    <w:rsid w:val="008B5D1F"/>
    <w:rsid w:val="008B5D2B"/>
    <w:rsid w:val="008B5DEF"/>
    <w:rsid w:val="008B5E65"/>
    <w:rsid w:val="008B6239"/>
    <w:rsid w:val="008B6866"/>
    <w:rsid w:val="008B69F6"/>
    <w:rsid w:val="008B6B2C"/>
    <w:rsid w:val="008B6B5D"/>
    <w:rsid w:val="008B6CDA"/>
    <w:rsid w:val="008B6E34"/>
    <w:rsid w:val="008B71C8"/>
    <w:rsid w:val="008B738F"/>
    <w:rsid w:val="008B740D"/>
    <w:rsid w:val="008C001A"/>
    <w:rsid w:val="008C003F"/>
    <w:rsid w:val="008C00EB"/>
    <w:rsid w:val="008C0FAD"/>
    <w:rsid w:val="008C1063"/>
    <w:rsid w:val="008C1478"/>
    <w:rsid w:val="008C19D0"/>
    <w:rsid w:val="008C1A51"/>
    <w:rsid w:val="008C1A65"/>
    <w:rsid w:val="008C221A"/>
    <w:rsid w:val="008C2243"/>
    <w:rsid w:val="008C2699"/>
    <w:rsid w:val="008C2763"/>
    <w:rsid w:val="008C2AF4"/>
    <w:rsid w:val="008C2BF2"/>
    <w:rsid w:val="008C2D64"/>
    <w:rsid w:val="008C2DB6"/>
    <w:rsid w:val="008C2E05"/>
    <w:rsid w:val="008C3363"/>
    <w:rsid w:val="008C3407"/>
    <w:rsid w:val="008C3617"/>
    <w:rsid w:val="008C3775"/>
    <w:rsid w:val="008C38DA"/>
    <w:rsid w:val="008C39E1"/>
    <w:rsid w:val="008C3DCA"/>
    <w:rsid w:val="008C3E97"/>
    <w:rsid w:val="008C3FE5"/>
    <w:rsid w:val="008C476A"/>
    <w:rsid w:val="008C49FA"/>
    <w:rsid w:val="008C4DD5"/>
    <w:rsid w:val="008C4FC0"/>
    <w:rsid w:val="008C5692"/>
    <w:rsid w:val="008C5760"/>
    <w:rsid w:val="008C587D"/>
    <w:rsid w:val="008C5C75"/>
    <w:rsid w:val="008C5EB9"/>
    <w:rsid w:val="008C6036"/>
    <w:rsid w:val="008C6289"/>
    <w:rsid w:val="008C68A8"/>
    <w:rsid w:val="008C6B67"/>
    <w:rsid w:val="008C6EEE"/>
    <w:rsid w:val="008C717C"/>
    <w:rsid w:val="008C73A1"/>
    <w:rsid w:val="008C74A1"/>
    <w:rsid w:val="008C74AA"/>
    <w:rsid w:val="008C74D4"/>
    <w:rsid w:val="008C76A6"/>
    <w:rsid w:val="008C7E91"/>
    <w:rsid w:val="008D0459"/>
    <w:rsid w:val="008D04DC"/>
    <w:rsid w:val="008D0557"/>
    <w:rsid w:val="008D1268"/>
    <w:rsid w:val="008D12A6"/>
    <w:rsid w:val="008D131A"/>
    <w:rsid w:val="008D165E"/>
    <w:rsid w:val="008D1ACC"/>
    <w:rsid w:val="008D1E2B"/>
    <w:rsid w:val="008D22BF"/>
    <w:rsid w:val="008D2344"/>
    <w:rsid w:val="008D2BAD"/>
    <w:rsid w:val="008D2EFE"/>
    <w:rsid w:val="008D306F"/>
    <w:rsid w:val="008D3E91"/>
    <w:rsid w:val="008D43A9"/>
    <w:rsid w:val="008D457B"/>
    <w:rsid w:val="008D47B9"/>
    <w:rsid w:val="008D4B5F"/>
    <w:rsid w:val="008D4C15"/>
    <w:rsid w:val="008D4D42"/>
    <w:rsid w:val="008D4DE4"/>
    <w:rsid w:val="008D509F"/>
    <w:rsid w:val="008D50C0"/>
    <w:rsid w:val="008D548F"/>
    <w:rsid w:val="008D557B"/>
    <w:rsid w:val="008D565B"/>
    <w:rsid w:val="008D595E"/>
    <w:rsid w:val="008D609B"/>
    <w:rsid w:val="008D691F"/>
    <w:rsid w:val="008D6B1C"/>
    <w:rsid w:val="008D7011"/>
    <w:rsid w:val="008D769B"/>
    <w:rsid w:val="008D7A60"/>
    <w:rsid w:val="008D7DA6"/>
    <w:rsid w:val="008D7FD5"/>
    <w:rsid w:val="008E02D0"/>
    <w:rsid w:val="008E0358"/>
    <w:rsid w:val="008E0773"/>
    <w:rsid w:val="008E096E"/>
    <w:rsid w:val="008E0D97"/>
    <w:rsid w:val="008E0F67"/>
    <w:rsid w:val="008E10F0"/>
    <w:rsid w:val="008E11D4"/>
    <w:rsid w:val="008E133B"/>
    <w:rsid w:val="008E154C"/>
    <w:rsid w:val="008E1A87"/>
    <w:rsid w:val="008E1EBE"/>
    <w:rsid w:val="008E1F60"/>
    <w:rsid w:val="008E25ED"/>
    <w:rsid w:val="008E281F"/>
    <w:rsid w:val="008E2893"/>
    <w:rsid w:val="008E2EF5"/>
    <w:rsid w:val="008E2F1B"/>
    <w:rsid w:val="008E311E"/>
    <w:rsid w:val="008E35C2"/>
    <w:rsid w:val="008E3CF8"/>
    <w:rsid w:val="008E3EAA"/>
    <w:rsid w:val="008E43EA"/>
    <w:rsid w:val="008E4856"/>
    <w:rsid w:val="008E4FA9"/>
    <w:rsid w:val="008E4FEF"/>
    <w:rsid w:val="008E5048"/>
    <w:rsid w:val="008E5169"/>
    <w:rsid w:val="008E5261"/>
    <w:rsid w:val="008E556C"/>
    <w:rsid w:val="008E5A25"/>
    <w:rsid w:val="008E5A88"/>
    <w:rsid w:val="008E64F0"/>
    <w:rsid w:val="008E6516"/>
    <w:rsid w:val="008E65D7"/>
    <w:rsid w:val="008E66AC"/>
    <w:rsid w:val="008E6953"/>
    <w:rsid w:val="008E6B02"/>
    <w:rsid w:val="008E6B42"/>
    <w:rsid w:val="008E6CE2"/>
    <w:rsid w:val="008E71DA"/>
    <w:rsid w:val="008E71FF"/>
    <w:rsid w:val="008E74D1"/>
    <w:rsid w:val="008E786D"/>
    <w:rsid w:val="008E79BC"/>
    <w:rsid w:val="008E7B50"/>
    <w:rsid w:val="008E7BB4"/>
    <w:rsid w:val="008F00A8"/>
    <w:rsid w:val="008F02EE"/>
    <w:rsid w:val="008F0388"/>
    <w:rsid w:val="008F0563"/>
    <w:rsid w:val="008F05E4"/>
    <w:rsid w:val="008F05EB"/>
    <w:rsid w:val="008F08CA"/>
    <w:rsid w:val="008F0F18"/>
    <w:rsid w:val="008F1155"/>
    <w:rsid w:val="008F115E"/>
    <w:rsid w:val="008F1175"/>
    <w:rsid w:val="008F1505"/>
    <w:rsid w:val="008F1970"/>
    <w:rsid w:val="008F1C95"/>
    <w:rsid w:val="008F2122"/>
    <w:rsid w:val="008F23B7"/>
    <w:rsid w:val="008F27A7"/>
    <w:rsid w:val="008F2B83"/>
    <w:rsid w:val="008F2BE9"/>
    <w:rsid w:val="008F2BF6"/>
    <w:rsid w:val="008F2DE0"/>
    <w:rsid w:val="008F3371"/>
    <w:rsid w:val="008F3560"/>
    <w:rsid w:val="008F3C46"/>
    <w:rsid w:val="008F3D85"/>
    <w:rsid w:val="008F4A48"/>
    <w:rsid w:val="008F4FAE"/>
    <w:rsid w:val="008F5311"/>
    <w:rsid w:val="008F53D6"/>
    <w:rsid w:val="008F54E0"/>
    <w:rsid w:val="008F5664"/>
    <w:rsid w:val="008F5A71"/>
    <w:rsid w:val="008F6166"/>
    <w:rsid w:val="008F61C5"/>
    <w:rsid w:val="008F6454"/>
    <w:rsid w:val="008F6AC3"/>
    <w:rsid w:val="008F711F"/>
    <w:rsid w:val="008F72CC"/>
    <w:rsid w:val="008F7382"/>
    <w:rsid w:val="008F7AF2"/>
    <w:rsid w:val="008F7BA2"/>
    <w:rsid w:val="008F7C92"/>
    <w:rsid w:val="008F7CF9"/>
    <w:rsid w:val="008F7D82"/>
    <w:rsid w:val="009000D8"/>
    <w:rsid w:val="00900187"/>
    <w:rsid w:val="00900213"/>
    <w:rsid w:val="0090025A"/>
    <w:rsid w:val="009005D5"/>
    <w:rsid w:val="009008F9"/>
    <w:rsid w:val="00900AFF"/>
    <w:rsid w:val="00900D0E"/>
    <w:rsid w:val="00900F8D"/>
    <w:rsid w:val="009010C0"/>
    <w:rsid w:val="00901525"/>
    <w:rsid w:val="009015C8"/>
    <w:rsid w:val="009015CA"/>
    <w:rsid w:val="009016D1"/>
    <w:rsid w:val="00901B67"/>
    <w:rsid w:val="00901C13"/>
    <w:rsid w:val="00901C17"/>
    <w:rsid w:val="00902073"/>
    <w:rsid w:val="009020A8"/>
    <w:rsid w:val="00902189"/>
    <w:rsid w:val="009027D5"/>
    <w:rsid w:val="00902866"/>
    <w:rsid w:val="009029D9"/>
    <w:rsid w:val="009029F6"/>
    <w:rsid w:val="00902AB4"/>
    <w:rsid w:val="00902C5D"/>
    <w:rsid w:val="00902D5F"/>
    <w:rsid w:val="00902F72"/>
    <w:rsid w:val="00902F74"/>
    <w:rsid w:val="00902FC4"/>
    <w:rsid w:val="009030A6"/>
    <w:rsid w:val="00903154"/>
    <w:rsid w:val="00903333"/>
    <w:rsid w:val="00903E17"/>
    <w:rsid w:val="00903E54"/>
    <w:rsid w:val="00903F97"/>
    <w:rsid w:val="00904053"/>
    <w:rsid w:val="009043BE"/>
    <w:rsid w:val="009043C2"/>
    <w:rsid w:val="00904690"/>
    <w:rsid w:val="0090469A"/>
    <w:rsid w:val="009047AD"/>
    <w:rsid w:val="00904876"/>
    <w:rsid w:val="00904AE3"/>
    <w:rsid w:val="00904B1E"/>
    <w:rsid w:val="00904C4C"/>
    <w:rsid w:val="00904CA2"/>
    <w:rsid w:val="00904CBF"/>
    <w:rsid w:val="00904F9F"/>
    <w:rsid w:val="00905068"/>
    <w:rsid w:val="00905263"/>
    <w:rsid w:val="00905468"/>
    <w:rsid w:val="0090570E"/>
    <w:rsid w:val="00905754"/>
    <w:rsid w:val="00905CBE"/>
    <w:rsid w:val="00905D8A"/>
    <w:rsid w:val="00905E33"/>
    <w:rsid w:val="0090617B"/>
    <w:rsid w:val="00906791"/>
    <w:rsid w:val="00906A75"/>
    <w:rsid w:val="00906C3A"/>
    <w:rsid w:val="00906D3D"/>
    <w:rsid w:val="00907256"/>
    <w:rsid w:val="00907321"/>
    <w:rsid w:val="00907329"/>
    <w:rsid w:val="0090733E"/>
    <w:rsid w:val="00907765"/>
    <w:rsid w:val="00907D81"/>
    <w:rsid w:val="00907D9A"/>
    <w:rsid w:val="00907E7E"/>
    <w:rsid w:val="00907ECB"/>
    <w:rsid w:val="00907EE6"/>
    <w:rsid w:val="00907F87"/>
    <w:rsid w:val="00907FE3"/>
    <w:rsid w:val="00910258"/>
    <w:rsid w:val="0091030E"/>
    <w:rsid w:val="009107D8"/>
    <w:rsid w:val="00910987"/>
    <w:rsid w:val="00910AC5"/>
    <w:rsid w:val="009112B4"/>
    <w:rsid w:val="009112E2"/>
    <w:rsid w:val="0091159C"/>
    <w:rsid w:val="00911904"/>
    <w:rsid w:val="00911AF5"/>
    <w:rsid w:val="00911D22"/>
    <w:rsid w:val="00911F33"/>
    <w:rsid w:val="0091218F"/>
    <w:rsid w:val="00912249"/>
    <w:rsid w:val="0091262B"/>
    <w:rsid w:val="009127BD"/>
    <w:rsid w:val="00912998"/>
    <w:rsid w:val="00912A0C"/>
    <w:rsid w:val="00912AC3"/>
    <w:rsid w:val="00912BF4"/>
    <w:rsid w:val="00912C2B"/>
    <w:rsid w:val="00912D94"/>
    <w:rsid w:val="00912DD6"/>
    <w:rsid w:val="00913223"/>
    <w:rsid w:val="009132E7"/>
    <w:rsid w:val="009135F4"/>
    <w:rsid w:val="00913680"/>
    <w:rsid w:val="009136D4"/>
    <w:rsid w:val="00913762"/>
    <w:rsid w:val="009138CF"/>
    <w:rsid w:val="009138DD"/>
    <w:rsid w:val="00913D8B"/>
    <w:rsid w:val="00913DD9"/>
    <w:rsid w:val="00913E3A"/>
    <w:rsid w:val="00913E43"/>
    <w:rsid w:val="00913ECC"/>
    <w:rsid w:val="009140A7"/>
    <w:rsid w:val="009149BB"/>
    <w:rsid w:val="00914CCD"/>
    <w:rsid w:val="00914DD2"/>
    <w:rsid w:val="00915101"/>
    <w:rsid w:val="009156E3"/>
    <w:rsid w:val="0091582E"/>
    <w:rsid w:val="00915A2F"/>
    <w:rsid w:val="00915B39"/>
    <w:rsid w:val="00915D1E"/>
    <w:rsid w:val="009160D7"/>
    <w:rsid w:val="009165C7"/>
    <w:rsid w:val="00916704"/>
    <w:rsid w:val="00916B10"/>
    <w:rsid w:val="00916D11"/>
    <w:rsid w:val="00917947"/>
    <w:rsid w:val="00917AE0"/>
    <w:rsid w:val="00917E83"/>
    <w:rsid w:val="009201B0"/>
    <w:rsid w:val="009203E8"/>
    <w:rsid w:val="00920AD4"/>
    <w:rsid w:val="00920CD7"/>
    <w:rsid w:val="00920FE2"/>
    <w:rsid w:val="00921067"/>
    <w:rsid w:val="009212E8"/>
    <w:rsid w:val="009215D8"/>
    <w:rsid w:val="00921FEF"/>
    <w:rsid w:val="009221B5"/>
    <w:rsid w:val="009221DC"/>
    <w:rsid w:val="009222BE"/>
    <w:rsid w:val="009224C3"/>
    <w:rsid w:val="00922720"/>
    <w:rsid w:val="0092275A"/>
    <w:rsid w:val="00922ACC"/>
    <w:rsid w:val="00923521"/>
    <w:rsid w:val="0092368C"/>
    <w:rsid w:val="009238E8"/>
    <w:rsid w:val="00923D43"/>
    <w:rsid w:val="00923D6E"/>
    <w:rsid w:val="00923DED"/>
    <w:rsid w:val="00923EAB"/>
    <w:rsid w:val="00923EB7"/>
    <w:rsid w:val="00923EDE"/>
    <w:rsid w:val="00924578"/>
    <w:rsid w:val="00924646"/>
    <w:rsid w:val="00924921"/>
    <w:rsid w:val="00925082"/>
    <w:rsid w:val="00925147"/>
    <w:rsid w:val="00925172"/>
    <w:rsid w:val="00925528"/>
    <w:rsid w:val="009256A7"/>
    <w:rsid w:val="009256BD"/>
    <w:rsid w:val="00925A23"/>
    <w:rsid w:val="00925AD8"/>
    <w:rsid w:val="00925E4B"/>
    <w:rsid w:val="00925F8E"/>
    <w:rsid w:val="00925FEE"/>
    <w:rsid w:val="00926084"/>
    <w:rsid w:val="0092690C"/>
    <w:rsid w:val="00926980"/>
    <w:rsid w:val="00926C50"/>
    <w:rsid w:val="00927568"/>
    <w:rsid w:val="0092778B"/>
    <w:rsid w:val="00927A72"/>
    <w:rsid w:val="0093055A"/>
    <w:rsid w:val="00930CD2"/>
    <w:rsid w:val="00930D41"/>
    <w:rsid w:val="00930F93"/>
    <w:rsid w:val="0093106F"/>
    <w:rsid w:val="0093113F"/>
    <w:rsid w:val="00931184"/>
    <w:rsid w:val="00931206"/>
    <w:rsid w:val="009312B6"/>
    <w:rsid w:val="00931635"/>
    <w:rsid w:val="00931A2F"/>
    <w:rsid w:val="00931CC6"/>
    <w:rsid w:val="00931E82"/>
    <w:rsid w:val="00931F56"/>
    <w:rsid w:val="00931FF1"/>
    <w:rsid w:val="0093215D"/>
    <w:rsid w:val="0093250E"/>
    <w:rsid w:val="00932E11"/>
    <w:rsid w:val="00932F0A"/>
    <w:rsid w:val="009334ED"/>
    <w:rsid w:val="0093381B"/>
    <w:rsid w:val="00933C60"/>
    <w:rsid w:val="00933D19"/>
    <w:rsid w:val="00933E28"/>
    <w:rsid w:val="00934095"/>
    <w:rsid w:val="0093420B"/>
    <w:rsid w:val="0093429E"/>
    <w:rsid w:val="009346FD"/>
    <w:rsid w:val="00934753"/>
    <w:rsid w:val="00934967"/>
    <w:rsid w:val="00934D72"/>
    <w:rsid w:val="00935094"/>
    <w:rsid w:val="00935424"/>
    <w:rsid w:val="009355E1"/>
    <w:rsid w:val="0093584D"/>
    <w:rsid w:val="009358A4"/>
    <w:rsid w:val="009363DA"/>
    <w:rsid w:val="00936629"/>
    <w:rsid w:val="0093684E"/>
    <w:rsid w:val="009368D8"/>
    <w:rsid w:val="00936A8A"/>
    <w:rsid w:val="00936B24"/>
    <w:rsid w:val="00936B4D"/>
    <w:rsid w:val="00936C5F"/>
    <w:rsid w:val="00936CE9"/>
    <w:rsid w:val="00936E4E"/>
    <w:rsid w:val="00936F31"/>
    <w:rsid w:val="0093722B"/>
    <w:rsid w:val="00937246"/>
    <w:rsid w:val="009373DB"/>
    <w:rsid w:val="009374AE"/>
    <w:rsid w:val="00937582"/>
    <w:rsid w:val="00937789"/>
    <w:rsid w:val="00937B0F"/>
    <w:rsid w:val="00937C54"/>
    <w:rsid w:val="00937DFE"/>
    <w:rsid w:val="00940107"/>
    <w:rsid w:val="00940231"/>
    <w:rsid w:val="009403E4"/>
    <w:rsid w:val="0094040E"/>
    <w:rsid w:val="009406C4"/>
    <w:rsid w:val="009409D1"/>
    <w:rsid w:val="00940D3B"/>
    <w:rsid w:val="00940DB0"/>
    <w:rsid w:val="00941216"/>
    <w:rsid w:val="009412F8"/>
    <w:rsid w:val="00941343"/>
    <w:rsid w:val="0094134C"/>
    <w:rsid w:val="00941355"/>
    <w:rsid w:val="0094152C"/>
    <w:rsid w:val="00941662"/>
    <w:rsid w:val="00941AF7"/>
    <w:rsid w:val="00941DE6"/>
    <w:rsid w:val="00941E63"/>
    <w:rsid w:val="00942057"/>
    <w:rsid w:val="009420C4"/>
    <w:rsid w:val="00942266"/>
    <w:rsid w:val="009424EF"/>
    <w:rsid w:val="0094285B"/>
    <w:rsid w:val="00942B3F"/>
    <w:rsid w:val="00942B95"/>
    <w:rsid w:val="00942CC7"/>
    <w:rsid w:val="00943092"/>
    <w:rsid w:val="00943155"/>
    <w:rsid w:val="009434A2"/>
    <w:rsid w:val="00943763"/>
    <w:rsid w:val="009440D3"/>
    <w:rsid w:val="009440DE"/>
    <w:rsid w:val="0094439F"/>
    <w:rsid w:val="009443E7"/>
    <w:rsid w:val="0094447A"/>
    <w:rsid w:val="0094492B"/>
    <w:rsid w:val="00944A88"/>
    <w:rsid w:val="00944C14"/>
    <w:rsid w:val="00944EF7"/>
    <w:rsid w:val="00945257"/>
    <w:rsid w:val="00945271"/>
    <w:rsid w:val="00945324"/>
    <w:rsid w:val="009454D2"/>
    <w:rsid w:val="00945645"/>
    <w:rsid w:val="0094590D"/>
    <w:rsid w:val="00945FC1"/>
    <w:rsid w:val="009463E8"/>
    <w:rsid w:val="00946512"/>
    <w:rsid w:val="00946549"/>
    <w:rsid w:val="00946AFC"/>
    <w:rsid w:val="00946C01"/>
    <w:rsid w:val="00946DD0"/>
    <w:rsid w:val="009475EA"/>
    <w:rsid w:val="00947839"/>
    <w:rsid w:val="009478C7"/>
    <w:rsid w:val="00947CC5"/>
    <w:rsid w:val="00947DD2"/>
    <w:rsid w:val="009503B5"/>
    <w:rsid w:val="009506BE"/>
    <w:rsid w:val="009507AB"/>
    <w:rsid w:val="00951B5D"/>
    <w:rsid w:val="00951B98"/>
    <w:rsid w:val="00951EB1"/>
    <w:rsid w:val="009527A2"/>
    <w:rsid w:val="00952842"/>
    <w:rsid w:val="009532E3"/>
    <w:rsid w:val="00953653"/>
    <w:rsid w:val="009538B1"/>
    <w:rsid w:val="00953A3A"/>
    <w:rsid w:val="00953CCF"/>
    <w:rsid w:val="00953E82"/>
    <w:rsid w:val="00953F1E"/>
    <w:rsid w:val="00953FBC"/>
    <w:rsid w:val="00954619"/>
    <w:rsid w:val="0095465F"/>
    <w:rsid w:val="00954723"/>
    <w:rsid w:val="00954804"/>
    <w:rsid w:val="009549A1"/>
    <w:rsid w:val="009549E0"/>
    <w:rsid w:val="00954C74"/>
    <w:rsid w:val="00955091"/>
    <w:rsid w:val="009550D6"/>
    <w:rsid w:val="009552DE"/>
    <w:rsid w:val="00955557"/>
    <w:rsid w:val="009555CD"/>
    <w:rsid w:val="00955BD2"/>
    <w:rsid w:val="00955F19"/>
    <w:rsid w:val="00956475"/>
    <w:rsid w:val="00956594"/>
    <w:rsid w:val="00956623"/>
    <w:rsid w:val="0095672B"/>
    <w:rsid w:val="0095677B"/>
    <w:rsid w:val="009568B8"/>
    <w:rsid w:val="00956B31"/>
    <w:rsid w:val="00956B3F"/>
    <w:rsid w:val="00957008"/>
    <w:rsid w:val="00957090"/>
    <w:rsid w:val="0095714C"/>
    <w:rsid w:val="00957358"/>
    <w:rsid w:val="009574DC"/>
    <w:rsid w:val="009574FC"/>
    <w:rsid w:val="009575E8"/>
    <w:rsid w:val="00957601"/>
    <w:rsid w:val="009577B9"/>
    <w:rsid w:val="00957816"/>
    <w:rsid w:val="0095794B"/>
    <w:rsid w:val="00957A4C"/>
    <w:rsid w:val="00957D83"/>
    <w:rsid w:val="00957DE7"/>
    <w:rsid w:val="009604A9"/>
    <w:rsid w:val="00960BC4"/>
    <w:rsid w:val="00960E0D"/>
    <w:rsid w:val="00960F27"/>
    <w:rsid w:val="00960FAE"/>
    <w:rsid w:val="009613BA"/>
    <w:rsid w:val="009614CE"/>
    <w:rsid w:val="00961875"/>
    <w:rsid w:val="009619B4"/>
    <w:rsid w:val="00961A93"/>
    <w:rsid w:val="00961DE9"/>
    <w:rsid w:val="00961E10"/>
    <w:rsid w:val="00961E5A"/>
    <w:rsid w:val="009622CA"/>
    <w:rsid w:val="009623AD"/>
    <w:rsid w:val="00962C4B"/>
    <w:rsid w:val="00962DD2"/>
    <w:rsid w:val="0096307A"/>
    <w:rsid w:val="009630D2"/>
    <w:rsid w:val="00963385"/>
    <w:rsid w:val="009633A8"/>
    <w:rsid w:val="009635C9"/>
    <w:rsid w:val="009636DE"/>
    <w:rsid w:val="00963C2A"/>
    <w:rsid w:val="00963E8A"/>
    <w:rsid w:val="0096418E"/>
    <w:rsid w:val="009641A5"/>
    <w:rsid w:val="00964265"/>
    <w:rsid w:val="009642D2"/>
    <w:rsid w:val="00964692"/>
    <w:rsid w:val="00964A6A"/>
    <w:rsid w:val="00964B32"/>
    <w:rsid w:val="00964B72"/>
    <w:rsid w:val="00964C35"/>
    <w:rsid w:val="00964F55"/>
    <w:rsid w:val="009652FA"/>
    <w:rsid w:val="00965531"/>
    <w:rsid w:val="00965AFE"/>
    <w:rsid w:val="00965B31"/>
    <w:rsid w:val="0096614C"/>
    <w:rsid w:val="00966607"/>
    <w:rsid w:val="00966A13"/>
    <w:rsid w:val="009673E5"/>
    <w:rsid w:val="0096789B"/>
    <w:rsid w:val="00967BA5"/>
    <w:rsid w:val="009700B5"/>
    <w:rsid w:val="009700D8"/>
    <w:rsid w:val="00970346"/>
    <w:rsid w:val="00970537"/>
    <w:rsid w:val="00970591"/>
    <w:rsid w:val="00970797"/>
    <w:rsid w:val="00970BE3"/>
    <w:rsid w:val="00971028"/>
    <w:rsid w:val="0097119D"/>
    <w:rsid w:val="00971239"/>
    <w:rsid w:val="0097154D"/>
    <w:rsid w:val="009717D4"/>
    <w:rsid w:val="00971804"/>
    <w:rsid w:val="00971B9F"/>
    <w:rsid w:val="00971D12"/>
    <w:rsid w:val="00971E92"/>
    <w:rsid w:val="0097243E"/>
    <w:rsid w:val="00972B7F"/>
    <w:rsid w:val="00972CF9"/>
    <w:rsid w:val="00972DA7"/>
    <w:rsid w:val="00972F19"/>
    <w:rsid w:val="009733CA"/>
    <w:rsid w:val="009735E2"/>
    <w:rsid w:val="0097362A"/>
    <w:rsid w:val="00973B01"/>
    <w:rsid w:val="00973DBF"/>
    <w:rsid w:val="0097426F"/>
    <w:rsid w:val="0097437D"/>
    <w:rsid w:val="00974613"/>
    <w:rsid w:val="009747AB"/>
    <w:rsid w:val="00974C13"/>
    <w:rsid w:val="009750CE"/>
    <w:rsid w:val="00975166"/>
    <w:rsid w:val="009752B4"/>
    <w:rsid w:val="00975716"/>
    <w:rsid w:val="009757B5"/>
    <w:rsid w:val="00975956"/>
    <w:rsid w:val="00975968"/>
    <w:rsid w:val="0097596B"/>
    <w:rsid w:val="00975D2F"/>
    <w:rsid w:val="0097606C"/>
    <w:rsid w:val="00976588"/>
    <w:rsid w:val="0097685E"/>
    <w:rsid w:val="00976A36"/>
    <w:rsid w:val="00976C3F"/>
    <w:rsid w:val="00976D7A"/>
    <w:rsid w:val="00976DC7"/>
    <w:rsid w:val="00976E91"/>
    <w:rsid w:val="00977053"/>
    <w:rsid w:val="009772A6"/>
    <w:rsid w:val="009775B8"/>
    <w:rsid w:val="009775E3"/>
    <w:rsid w:val="009775E7"/>
    <w:rsid w:val="00977740"/>
    <w:rsid w:val="0097775A"/>
    <w:rsid w:val="00977DBC"/>
    <w:rsid w:val="00977EBD"/>
    <w:rsid w:val="009803A9"/>
    <w:rsid w:val="0098054A"/>
    <w:rsid w:val="0098055F"/>
    <w:rsid w:val="009809E9"/>
    <w:rsid w:val="00980B2F"/>
    <w:rsid w:val="00980BA3"/>
    <w:rsid w:val="00981073"/>
    <w:rsid w:val="009812B5"/>
    <w:rsid w:val="00981A50"/>
    <w:rsid w:val="00981F7F"/>
    <w:rsid w:val="00982F97"/>
    <w:rsid w:val="00982FCF"/>
    <w:rsid w:val="00983151"/>
    <w:rsid w:val="009836CF"/>
    <w:rsid w:val="00983755"/>
    <w:rsid w:val="009837C0"/>
    <w:rsid w:val="00983C80"/>
    <w:rsid w:val="00983CF0"/>
    <w:rsid w:val="00983EC3"/>
    <w:rsid w:val="0098415A"/>
    <w:rsid w:val="009841C7"/>
    <w:rsid w:val="0098445B"/>
    <w:rsid w:val="00984586"/>
    <w:rsid w:val="009846DC"/>
    <w:rsid w:val="0098486A"/>
    <w:rsid w:val="00984893"/>
    <w:rsid w:val="00984ED7"/>
    <w:rsid w:val="00984FBE"/>
    <w:rsid w:val="00985215"/>
    <w:rsid w:val="009853D2"/>
    <w:rsid w:val="00985755"/>
    <w:rsid w:val="009857B2"/>
    <w:rsid w:val="00985C28"/>
    <w:rsid w:val="00985DB7"/>
    <w:rsid w:val="00986993"/>
    <w:rsid w:val="0098699F"/>
    <w:rsid w:val="00986BD0"/>
    <w:rsid w:val="00987AE1"/>
    <w:rsid w:val="00987CE6"/>
    <w:rsid w:val="00987FF2"/>
    <w:rsid w:val="009900F7"/>
    <w:rsid w:val="009902E6"/>
    <w:rsid w:val="0099061D"/>
    <w:rsid w:val="00990BB5"/>
    <w:rsid w:val="00990C49"/>
    <w:rsid w:val="00991334"/>
    <w:rsid w:val="00991585"/>
    <w:rsid w:val="009919BD"/>
    <w:rsid w:val="00992157"/>
    <w:rsid w:val="00992310"/>
    <w:rsid w:val="009923F0"/>
    <w:rsid w:val="00992554"/>
    <w:rsid w:val="009927E6"/>
    <w:rsid w:val="0099305E"/>
    <w:rsid w:val="00993256"/>
    <w:rsid w:val="00993398"/>
    <w:rsid w:val="009933F0"/>
    <w:rsid w:val="00993A86"/>
    <w:rsid w:val="00993C17"/>
    <w:rsid w:val="00993D8D"/>
    <w:rsid w:val="009940FC"/>
    <w:rsid w:val="0099436F"/>
    <w:rsid w:val="00994898"/>
    <w:rsid w:val="0099514B"/>
    <w:rsid w:val="00995262"/>
    <w:rsid w:val="0099533E"/>
    <w:rsid w:val="0099587F"/>
    <w:rsid w:val="00995BE4"/>
    <w:rsid w:val="00995EFA"/>
    <w:rsid w:val="0099619C"/>
    <w:rsid w:val="00996463"/>
    <w:rsid w:val="0099676F"/>
    <w:rsid w:val="00996A65"/>
    <w:rsid w:val="00996CFB"/>
    <w:rsid w:val="00996D16"/>
    <w:rsid w:val="00996D45"/>
    <w:rsid w:val="009973F9"/>
    <w:rsid w:val="009975CB"/>
    <w:rsid w:val="009978F2"/>
    <w:rsid w:val="00997A61"/>
    <w:rsid w:val="00997D22"/>
    <w:rsid w:val="009A0244"/>
    <w:rsid w:val="009A0378"/>
    <w:rsid w:val="009A04F0"/>
    <w:rsid w:val="009A0718"/>
    <w:rsid w:val="009A0B36"/>
    <w:rsid w:val="009A0DF2"/>
    <w:rsid w:val="009A0EDB"/>
    <w:rsid w:val="009A0FD2"/>
    <w:rsid w:val="009A11B5"/>
    <w:rsid w:val="009A11E8"/>
    <w:rsid w:val="009A12C4"/>
    <w:rsid w:val="009A1A0C"/>
    <w:rsid w:val="009A1CE0"/>
    <w:rsid w:val="009A1DCB"/>
    <w:rsid w:val="009A241F"/>
    <w:rsid w:val="009A2438"/>
    <w:rsid w:val="009A252D"/>
    <w:rsid w:val="009A2A97"/>
    <w:rsid w:val="009A2C32"/>
    <w:rsid w:val="009A2C5F"/>
    <w:rsid w:val="009A2E3E"/>
    <w:rsid w:val="009A2E53"/>
    <w:rsid w:val="009A3045"/>
    <w:rsid w:val="009A3132"/>
    <w:rsid w:val="009A3355"/>
    <w:rsid w:val="009A359F"/>
    <w:rsid w:val="009A3677"/>
    <w:rsid w:val="009A378E"/>
    <w:rsid w:val="009A37F9"/>
    <w:rsid w:val="009A3805"/>
    <w:rsid w:val="009A38F2"/>
    <w:rsid w:val="009A39C4"/>
    <w:rsid w:val="009A3C76"/>
    <w:rsid w:val="009A3E9D"/>
    <w:rsid w:val="009A41D3"/>
    <w:rsid w:val="009A42AB"/>
    <w:rsid w:val="009A44A1"/>
    <w:rsid w:val="009A451B"/>
    <w:rsid w:val="009A45DD"/>
    <w:rsid w:val="009A4753"/>
    <w:rsid w:val="009A4907"/>
    <w:rsid w:val="009A4BF0"/>
    <w:rsid w:val="009A4D3C"/>
    <w:rsid w:val="009A4F57"/>
    <w:rsid w:val="009A502B"/>
    <w:rsid w:val="009A5305"/>
    <w:rsid w:val="009A546A"/>
    <w:rsid w:val="009A5686"/>
    <w:rsid w:val="009A57D3"/>
    <w:rsid w:val="009A583C"/>
    <w:rsid w:val="009A6097"/>
    <w:rsid w:val="009A6388"/>
    <w:rsid w:val="009A65C1"/>
    <w:rsid w:val="009A678D"/>
    <w:rsid w:val="009A6B93"/>
    <w:rsid w:val="009A6D56"/>
    <w:rsid w:val="009A6F37"/>
    <w:rsid w:val="009A6F83"/>
    <w:rsid w:val="009A71B1"/>
    <w:rsid w:val="009A7435"/>
    <w:rsid w:val="009A7588"/>
    <w:rsid w:val="009B00AC"/>
    <w:rsid w:val="009B04E3"/>
    <w:rsid w:val="009B05CD"/>
    <w:rsid w:val="009B0C1E"/>
    <w:rsid w:val="009B1328"/>
    <w:rsid w:val="009B17B0"/>
    <w:rsid w:val="009B1811"/>
    <w:rsid w:val="009B1959"/>
    <w:rsid w:val="009B19B6"/>
    <w:rsid w:val="009B2048"/>
    <w:rsid w:val="009B228C"/>
    <w:rsid w:val="009B2419"/>
    <w:rsid w:val="009B2692"/>
    <w:rsid w:val="009B2956"/>
    <w:rsid w:val="009B2D4E"/>
    <w:rsid w:val="009B2E5F"/>
    <w:rsid w:val="009B2FEB"/>
    <w:rsid w:val="009B316E"/>
    <w:rsid w:val="009B31A0"/>
    <w:rsid w:val="009B3277"/>
    <w:rsid w:val="009B356B"/>
    <w:rsid w:val="009B388C"/>
    <w:rsid w:val="009B38E8"/>
    <w:rsid w:val="009B39A5"/>
    <w:rsid w:val="009B3A99"/>
    <w:rsid w:val="009B3CA1"/>
    <w:rsid w:val="009B3CA4"/>
    <w:rsid w:val="009B3F7A"/>
    <w:rsid w:val="009B4006"/>
    <w:rsid w:val="009B4037"/>
    <w:rsid w:val="009B403C"/>
    <w:rsid w:val="009B46BF"/>
    <w:rsid w:val="009B477D"/>
    <w:rsid w:val="009B4824"/>
    <w:rsid w:val="009B483C"/>
    <w:rsid w:val="009B50A6"/>
    <w:rsid w:val="009B51E4"/>
    <w:rsid w:val="009B52A9"/>
    <w:rsid w:val="009B54ED"/>
    <w:rsid w:val="009B557B"/>
    <w:rsid w:val="009B594B"/>
    <w:rsid w:val="009B5F04"/>
    <w:rsid w:val="009B5FDE"/>
    <w:rsid w:val="009B6015"/>
    <w:rsid w:val="009B635A"/>
    <w:rsid w:val="009B6404"/>
    <w:rsid w:val="009B64B9"/>
    <w:rsid w:val="009B6770"/>
    <w:rsid w:val="009B6837"/>
    <w:rsid w:val="009B6921"/>
    <w:rsid w:val="009B6D1E"/>
    <w:rsid w:val="009B6F72"/>
    <w:rsid w:val="009B708F"/>
    <w:rsid w:val="009B710A"/>
    <w:rsid w:val="009B7391"/>
    <w:rsid w:val="009B78C2"/>
    <w:rsid w:val="009B7BB8"/>
    <w:rsid w:val="009B7E9B"/>
    <w:rsid w:val="009B7F6A"/>
    <w:rsid w:val="009C0571"/>
    <w:rsid w:val="009C067E"/>
    <w:rsid w:val="009C0B82"/>
    <w:rsid w:val="009C0D25"/>
    <w:rsid w:val="009C0E93"/>
    <w:rsid w:val="009C109A"/>
    <w:rsid w:val="009C1AA0"/>
    <w:rsid w:val="009C1DBA"/>
    <w:rsid w:val="009C1DD5"/>
    <w:rsid w:val="009C21DE"/>
    <w:rsid w:val="009C2AB4"/>
    <w:rsid w:val="009C2E19"/>
    <w:rsid w:val="009C302C"/>
    <w:rsid w:val="009C324B"/>
    <w:rsid w:val="009C357D"/>
    <w:rsid w:val="009C39E4"/>
    <w:rsid w:val="009C3C5D"/>
    <w:rsid w:val="009C3EFD"/>
    <w:rsid w:val="009C40C3"/>
    <w:rsid w:val="009C4750"/>
    <w:rsid w:val="009C4959"/>
    <w:rsid w:val="009C4C0A"/>
    <w:rsid w:val="009C4E44"/>
    <w:rsid w:val="009C5119"/>
    <w:rsid w:val="009C5214"/>
    <w:rsid w:val="009C53D1"/>
    <w:rsid w:val="009C5AD3"/>
    <w:rsid w:val="009C5AFB"/>
    <w:rsid w:val="009C5DA3"/>
    <w:rsid w:val="009C5E62"/>
    <w:rsid w:val="009C5F62"/>
    <w:rsid w:val="009C5F75"/>
    <w:rsid w:val="009C6BF7"/>
    <w:rsid w:val="009C6E7A"/>
    <w:rsid w:val="009C7037"/>
    <w:rsid w:val="009C70D5"/>
    <w:rsid w:val="009C715B"/>
    <w:rsid w:val="009C7544"/>
    <w:rsid w:val="009C764D"/>
    <w:rsid w:val="009C795A"/>
    <w:rsid w:val="009C7BAE"/>
    <w:rsid w:val="009C7C67"/>
    <w:rsid w:val="009C7FC0"/>
    <w:rsid w:val="009C7FFD"/>
    <w:rsid w:val="009D0041"/>
    <w:rsid w:val="009D00B4"/>
    <w:rsid w:val="009D00C8"/>
    <w:rsid w:val="009D0209"/>
    <w:rsid w:val="009D074C"/>
    <w:rsid w:val="009D07F7"/>
    <w:rsid w:val="009D0841"/>
    <w:rsid w:val="009D0C13"/>
    <w:rsid w:val="009D0C43"/>
    <w:rsid w:val="009D0E36"/>
    <w:rsid w:val="009D0E46"/>
    <w:rsid w:val="009D0E7D"/>
    <w:rsid w:val="009D0F0A"/>
    <w:rsid w:val="009D1028"/>
    <w:rsid w:val="009D134C"/>
    <w:rsid w:val="009D192C"/>
    <w:rsid w:val="009D1E7F"/>
    <w:rsid w:val="009D2091"/>
    <w:rsid w:val="009D2341"/>
    <w:rsid w:val="009D2DE7"/>
    <w:rsid w:val="009D2E67"/>
    <w:rsid w:val="009D3237"/>
    <w:rsid w:val="009D37FB"/>
    <w:rsid w:val="009D3835"/>
    <w:rsid w:val="009D3884"/>
    <w:rsid w:val="009D388B"/>
    <w:rsid w:val="009D3CA1"/>
    <w:rsid w:val="009D4190"/>
    <w:rsid w:val="009D428C"/>
    <w:rsid w:val="009D42E5"/>
    <w:rsid w:val="009D4303"/>
    <w:rsid w:val="009D45B7"/>
    <w:rsid w:val="009D462B"/>
    <w:rsid w:val="009D4760"/>
    <w:rsid w:val="009D483B"/>
    <w:rsid w:val="009D4D24"/>
    <w:rsid w:val="009D506A"/>
    <w:rsid w:val="009D5150"/>
    <w:rsid w:val="009D539E"/>
    <w:rsid w:val="009D5467"/>
    <w:rsid w:val="009D5607"/>
    <w:rsid w:val="009D58EE"/>
    <w:rsid w:val="009D5938"/>
    <w:rsid w:val="009D59EE"/>
    <w:rsid w:val="009D6732"/>
    <w:rsid w:val="009D676E"/>
    <w:rsid w:val="009D6AAB"/>
    <w:rsid w:val="009D6AD6"/>
    <w:rsid w:val="009D6D75"/>
    <w:rsid w:val="009D6E35"/>
    <w:rsid w:val="009D6FCA"/>
    <w:rsid w:val="009D7395"/>
    <w:rsid w:val="009D7409"/>
    <w:rsid w:val="009D740F"/>
    <w:rsid w:val="009D74BE"/>
    <w:rsid w:val="009D76C5"/>
    <w:rsid w:val="009D7A70"/>
    <w:rsid w:val="009D7BC4"/>
    <w:rsid w:val="009D7C45"/>
    <w:rsid w:val="009E0626"/>
    <w:rsid w:val="009E084F"/>
    <w:rsid w:val="009E089C"/>
    <w:rsid w:val="009E091D"/>
    <w:rsid w:val="009E0BD7"/>
    <w:rsid w:val="009E1772"/>
    <w:rsid w:val="009E1808"/>
    <w:rsid w:val="009E1BB4"/>
    <w:rsid w:val="009E1E76"/>
    <w:rsid w:val="009E1FAB"/>
    <w:rsid w:val="009E2045"/>
    <w:rsid w:val="009E2063"/>
    <w:rsid w:val="009E273A"/>
    <w:rsid w:val="009E2CF1"/>
    <w:rsid w:val="009E2D84"/>
    <w:rsid w:val="009E3100"/>
    <w:rsid w:val="009E3249"/>
    <w:rsid w:val="009E331F"/>
    <w:rsid w:val="009E344C"/>
    <w:rsid w:val="009E3484"/>
    <w:rsid w:val="009E3E72"/>
    <w:rsid w:val="009E425F"/>
    <w:rsid w:val="009E44CB"/>
    <w:rsid w:val="009E4591"/>
    <w:rsid w:val="009E4944"/>
    <w:rsid w:val="009E4AF4"/>
    <w:rsid w:val="009E4E5C"/>
    <w:rsid w:val="009E5002"/>
    <w:rsid w:val="009E5521"/>
    <w:rsid w:val="009E55DB"/>
    <w:rsid w:val="009E569D"/>
    <w:rsid w:val="009E5759"/>
    <w:rsid w:val="009E579F"/>
    <w:rsid w:val="009E598C"/>
    <w:rsid w:val="009E5BF0"/>
    <w:rsid w:val="009E5D1B"/>
    <w:rsid w:val="009E5E83"/>
    <w:rsid w:val="009E5EBB"/>
    <w:rsid w:val="009E608D"/>
    <w:rsid w:val="009E6123"/>
    <w:rsid w:val="009E612D"/>
    <w:rsid w:val="009E646B"/>
    <w:rsid w:val="009E67BB"/>
    <w:rsid w:val="009E69E4"/>
    <w:rsid w:val="009E6EF8"/>
    <w:rsid w:val="009E7048"/>
    <w:rsid w:val="009E73AF"/>
    <w:rsid w:val="009E7A0C"/>
    <w:rsid w:val="009E7CA9"/>
    <w:rsid w:val="009F024D"/>
    <w:rsid w:val="009F0337"/>
    <w:rsid w:val="009F07E0"/>
    <w:rsid w:val="009F0C1D"/>
    <w:rsid w:val="009F0CE6"/>
    <w:rsid w:val="009F0FBB"/>
    <w:rsid w:val="009F10DA"/>
    <w:rsid w:val="009F1427"/>
    <w:rsid w:val="009F1716"/>
    <w:rsid w:val="009F1DDE"/>
    <w:rsid w:val="009F1DE4"/>
    <w:rsid w:val="009F2127"/>
    <w:rsid w:val="009F2297"/>
    <w:rsid w:val="009F24B4"/>
    <w:rsid w:val="009F25A5"/>
    <w:rsid w:val="009F267D"/>
    <w:rsid w:val="009F270C"/>
    <w:rsid w:val="009F29CC"/>
    <w:rsid w:val="009F2B41"/>
    <w:rsid w:val="009F2B73"/>
    <w:rsid w:val="009F311E"/>
    <w:rsid w:val="009F39EE"/>
    <w:rsid w:val="009F4203"/>
    <w:rsid w:val="009F445F"/>
    <w:rsid w:val="009F4D3A"/>
    <w:rsid w:val="009F4F72"/>
    <w:rsid w:val="009F52EE"/>
    <w:rsid w:val="009F532E"/>
    <w:rsid w:val="009F5721"/>
    <w:rsid w:val="009F5BBF"/>
    <w:rsid w:val="009F5C8B"/>
    <w:rsid w:val="009F5E61"/>
    <w:rsid w:val="009F5F32"/>
    <w:rsid w:val="009F63CE"/>
    <w:rsid w:val="009F6528"/>
    <w:rsid w:val="009F666D"/>
    <w:rsid w:val="009F66F2"/>
    <w:rsid w:val="009F69A4"/>
    <w:rsid w:val="009F6AF8"/>
    <w:rsid w:val="009F6CFF"/>
    <w:rsid w:val="009F6EB5"/>
    <w:rsid w:val="009F6FC5"/>
    <w:rsid w:val="009F7130"/>
    <w:rsid w:val="009F726D"/>
    <w:rsid w:val="009F7314"/>
    <w:rsid w:val="009F7505"/>
    <w:rsid w:val="009F75C9"/>
    <w:rsid w:val="009F7778"/>
    <w:rsid w:val="009F79F5"/>
    <w:rsid w:val="009F7A15"/>
    <w:rsid w:val="009F7A1C"/>
    <w:rsid w:val="009F7CD9"/>
    <w:rsid w:val="009F7D61"/>
    <w:rsid w:val="009F7E1D"/>
    <w:rsid w:val="009F7E24"/>
    <w:rsid w:val="00A0044D"/>
    <w:rsid w:val="00A006CB"/>
    <w:rsid w:val="00A0081C"/>
    <w:rsid w:val="00A0095B"/>
    <w:rsid w:val="00A00A42"/>
    <w:rsid w:val="00A00C7B"/>
    <w:rsid w:val="00A00E2B"/>
    <w:rsid w:val="00A00F28"/>
    <w:rsid w:val="00A01045"/>
    <w:rsid w:val="00A01116"/>
    <w:rsid w:val="00A011AB"/>
    <w:rsid w:val="00A013CF"/>
    <w:rsid w:val="00A0165A"/>
    <w:rsid w:val="00A017FA"/>
    <w:rsid w:val="00A018C4"/>
    <w:rsid w:val="00A0191C"/>
    <w:rsid w:val="00A0198A"/>
    <w:rsid w:val="00A01B10"/>
    <w:rsid w:val="00A01BB0"/>
    <w:rsid w:val="00A020B2"/>
    <w:rsid w:val="00A0243B"/>
    <w:rsid w:val="00A02A57"/>
    <w:rsid w:val="00A02C25"/>
    <w:rsid w:val="00A032C1"/>
    <w:rsid w:val="00A0350B"/>
    <w:rsid w:val="00A039EF"/>
    <w:rsid w:val="00A043F0"/>
    <w:rsid w:val="00A04410"/>
    <w:rsid w:val="00A047AE"/>
    <w:rsid w:val="00A047FE"/>
    <w:rsid w:val="00A04BAF"/>
    <w:rsid w:val="00A04D64"/>
    <w:rsid w:val="00A0526E"/>
    <w:rsid w:val="00A0529B"/>
    <w:rsid w:val="00A0549F"/>
    <w:rsid w:val="00A054C9"/>
    <w:rsid w:val="00A05612"/>
    <w:rsid w:val="00A056E2"/>
    <w:rsid w:val="00A05B7B"/>
    <w:rsid w:val="00A05BD1"/>
    <w:rsid w:val="00A06025"/>
    <w:rsid w:val="00A062AA"/>
    <w:rsid w:val="00A0639C"/>
    <w:rsid w:val="00A06940"/>
    <w:rsid w:val="00A06C76"/>
    <w:rsid w:val="00A06C94"/>
    <w:rsid w:val="00A06DE2"/>
    <w:rsid w:val="00A06F51"/>
    <w:rsid w:val="00A075C4"/>
    <w:rsid w:val="00A0763B"/>
    <w:rsid w:val="00A07A0A"/>
    <w:rsid w:val="00A07F56"/>
    <w:rsid w:val="00A1014E"/>
    <w:rsid w:val="00A1025A"/>
    <w:rsid w:val="00A10402"/>
    <w:rsid w:val="00A1078E"/>
    <w:rsid w:val="00A10829"/>
    <w:rsid w:val="00A1086B"/>
    <w:rsid w:val="00A10E1F"/>
    <w:rsid w:val="00A10FC1"/>
    <w:rsid w:val="00A11301"/>
    <w:rsid w:val="00A11727"/>
    <w:rsid w:val="00A11B6F"/>
    <w:rsid w:val="00A122F9"/>
    <w:rsid w:val="00A123DD"/>
    <w:rsid w:val="00A12AB8"/>
    <w:rsid w:val="00A12C88"/>
    <w:rsid w:val="00A13176"/>
    <w:rsid w:val="00A1375E"/>
    <w:rsid w:val="00A139FE"/>
    <w:rsid w:val="00A13D02"/>
    <w:rsid w:val="00A13E95"/>
    <w:rsid w:val="00A13F59"/>
    <w:rsid w:val="00A13FE2"/>
    <w:rsid w:val="00A14176"/>
    <w:rsid w:val="00A143C9"/>
    <w:rsid w:val="00A143D7"/>
    <w:rsid w:val="00A1458C"/>
    <w:rsid w:val="00A145C1"/>
    <w:rsid w:val="00A14B4D"/>
    <w:rsid w:val="00A15092"/>
    <w:rsid w:val="00A15588"/>
    <w:rsid w:val="00A15655"/>
    <w:rsid w:val="00A15AA9"/>
    <w:rsid w:val="00A161F6"/>
    <w:rsid w:val="00A16334"/>
    <w:rsid w:val="00A16565"/>
    <w:rsid w:val="00A16A43"/>
    <w:rsid w:val="00A16BE5"/>
    <w:rsid w:val="00A16EBB"/>
    <w:rsid w:val="00A16ECD"/>
    <w:rsid w:val="00A16F78"/>
    <w:rsid w:val="00A17116"/>
    <w:rsid w:val="00A17204"/>
    <w:rsid w:val="00A17234"/>
    <w:rsid w:val="00A1780A"/>
    <w:rsid w:val="00A17B76"/>
    <w:rsid w:val="00A17C08"/>
    <w:rsid w:val="00A17E61"/>
    <w:rsid w:val="00A17F13"/>
    <w:rsid w:val="00A17F53"/>
    <w:rsid w:val="00A17F87"/>
    <w:rsid w:val="00A17FDB"/>
    <w:rsid w:val="00A201E1"/>
    <w:rsid w:val="00A201FC"/>
    <w:rsid w:val="00A205C5"/>
    <w:rsid w:val="00A205D7"/>
    <w:rsid w:val="00A2066D"/>
    <w:rsid w:val="00A20710"/>
    <w:rsid w:val="00A20C2A"/>
    <w:rsid w:val="00A20D55"/>
    <w:rsid w:val="00A20F3B"/>
    <w:rsid w:val="00A2106B"/>
    <w:rsid w:val="00A21718"/>
    <w:rsid w:val="00A217EC"/>
    <w:rsid w:val="00A21975"/>
    <w:rsid w:val="00A21C74"/>
    <w:rsid w:val="00A21CF6"/>
    <w:rsid w:val="00A22385"/>
    <w:rsid w:val="00A223CB"/>
    <w:rsid w:val="00A22446"/>
    <w:rsid w:val="00A224B5"/>
    <w:rsid w:val="00A22866"/>
    <w:rsid w:val="00A228B8"/>
    <w:rsid w:val="00A22969"/>
    <w:rsid w:val="00A22BA5"/>
    <w:rsid w:val="00A22CFC"/>
    <w:rsid w:val="00A22D40"/>
    <w:rsid w:val="00A230CD"/>
    <w:rsid w:val="00A2310C"/>
    <w:rsid w:val="00A2324A"/>
    <w:rsid w:val="00A232C5"/>
    <w:rsid w:val="00A23547"/>
    <w:rsid w:val="00A2385E"/>
    <w:rsid w:val="00A23BB0"/>
    <w:rsid w:val="00A2416C"/>
    <w:rsid w:val="00A2429F"/>
    <w:rsid w:val="00A243E2"/>
    <w:rsid w:val="00A245EF"/>
    <w:rsid w:val="00A248BC"/>
    <w:rsid w:val="00A248E0"/>
    <w:rsid w:val="00A24A52"/>
    <w:rsid w:val="00A25129"/>
    <w:rsid w:val="00A2546A"/>
    <w:rsid w:val="00A259FE"/>
    <w:rsid w:val="00A25A59"/>
    <w:rsid w:val="00A26366"/>
    <w:rsid w:val="00A264B7"/>
    <w:rsid w:val="00A264FB"/>
    <w:rsid w:val="00A26935"/>
    <w:rsid w:val="00A26E32"/>
    <w:rsid w:val="00A275A6"/>
    <w:rsid w:val="00A27624"/>
    <w:rsid w:val="00A27770"/>
    <w:rsid w:val="00A27971"/>
    <w:rsid w:val="00A27C17"/>
    <w:rsid w:val="00A27E35"/>
    <w:rsid w:val="00A27F96"/>
    <w:rsid w:val="00A302D6"/>
    <w:rsid w:val="00A30589"/>
    <w:rsid w:val="00A306DD"/>
    <w:rsid w:val="00A309A4"/>
    <w:rsid w:val="00A30B1C"/>
    <w:rsid w:val="00A30B8A"/>
    <w:rsid w:val="00A30C40"/>
    <w:rsid w:val="00A3111B"/>
    <w:rsid w:val="00A312DA"/>
    <w:rsid w:val="00A3137F"/>
    <w:rsid w:val="00A31381"/>
    <w:rsid w:val="00A31492"/>
    <w:rsid w:val="00A314C4"/>
    <w:rsid w:val="00A3192F"/>
    <w:rsid w:val="00A31940"/>
    <w:rsid w:val="00A31B0E"/>
    <w:rsid w:val="00A32152"/>
    <w:rsid w:val="00A3218C"/>
    <w:rsid w:val="00A324BD"/>
    <w:rsid w:val="00A32673"/>
    <w:rsid w:val="00A32AC6"/>
    <w:rsid w:val="00A3302A"/>
    <w:rsid w:val="00A33375"/>
    <w:rsid w:val="00A33384"/>
    <w:rsid w:val="00A3385B"/>
    <w:rsid w:val="00A33921"/>
    <w:rsid w:val="00A33A2A"/>
    <w:rsid w:val="00A33AA3"/>
    <w:rsid w:val="00A33BE2"/>
    <w:rsid w:val="00A33CE5"/>
    <w:rsid w:val="00A33D0B"/>
    <w:rsid w:val="00A33FBE"/>
    <w:rsid w:val="00A340CB"/>
    <w:rsid w:val="00A34118"/>
    <w:rsid w:val="00A34501"/>
    <w:rsid w:val="00A34685"/>
    <w:rsid w:val="00A3480B"/>
    <w:rsid w:val="00A34B63"/>
    <w:rsid w:val="00A34BB8"/>
    <w:rsid w:val="00A34CEB"/>
    <w:rsid w:val="00A34EE3"/>
    <w:rsid w:val="00A34FA5"/>
    <w:rsid w:val="00A353D9"/>
    <w:rsid w:val="00A35617"/>
    <w:rsid w:val="00A35A32"/>
    <w:rsid w:val="00A35C52"/>
    <w:rsid w:val="00A35EA7"/>
    <w:rsid w:val="00A35EB4"/>
    <w:rsid w:val="00A35FE0"/>
    <w:rsid w:val="00A35FE9"/>
    <w:rsid w:val="00A362EA"/>
    <w:rsid w:val="00A36336"/>
    <w:rsid w:val="00A36438"/>
    <w:rsid w:val="00A3648D"/>
    <w:rsid w:val="00A36734"/>
    <w:rsid w:val="00A36818"/>
    <w:rsid w:val="00A3696B"/>
    <w:rsid w:val="00A369F0"/>
    <w:rsid w:val="00A36CE0"/>
    <w:rsid w:val="00A36CF6"/>
    <w:rsid w:val="00A36E69"/>
    <w:rsid w:val="00A378F3"/>
    <w:rsid w:val="00A37F87"/>
    <w:rsid w:val="00A401ED"/>
    <w:rsid w:val="00A402D9"/>
    <w:rsid w:val="00A4059D"/>
    <w:rsid w:val="00A405C5"/>
    <w:rsid w:val="00A4088E"/>
    <w:rsid w:val="00A4090C"/>
    <w:rsid w:val="00A40C60"/>
    <w:rsid w:val="00A4152B"/>
    <w:rsid w:val="00A41776"/>
    <w:rsid w:val="00A41B7E"/>
    <w:rsid w:val="00A41C77"/>
    <w:rsid w:val="00A41F2E"/>
    <w:rsid w:val="00A41F69"/>
    <w:rsid w:val="00A42579"/>
    <w:rsid w:val="00A42672"/>
    <w:rsid w:val="00A427D0"/>
    <w:rsid w:val="00A42A22"/>
    <w:rsid w:val="00A42C55"/>
    <w:rsid w:val="00A42F69"/>
    <w:rsid w:val="00A432E1"/>
    <w:rsid w:val="00A43597"/>
    <w:rsid w:val="00A436AA"/>
    <w:rsid w:val="00A43805"/>
    <w:rsid w:val="00A43988"/>
    <w:rsid w:val="00A43A81"/>
    <w:rsid w:val="00A43AC4"/>
    <w:rsid w:val="00A43AD2"/>
    <w:rsid w:val="00A43BDE"/>
    <w:rsid w:val="00A43C21"/>
    <w:rsid w:val="00A43D4B"/>
    <w:rsid w:val="00A43E5F"/>
    <w:rsid w:val="00A43EDF"/>
    <w:rsid w:val="00A440B0"/>
    <w:rsid w:val="00A4423F"/>
    <w:rsid w:val="00A447E2"/>
    <w:rsid w:val="00A448CE"/>
    <w:rsid w:val="00A44AEB"/>
    <w:rsid w:val="00A44C3D"/>
    <w:rsid w:val="00A44ECA"/>
    <w:rsid w:val="00A44F7C"/>
    <w:rsid w:val="00A450E0"/>
    <w:rsid w:val="00A45583"/>
    <w:rsid w:val="00A45615"/>
    <w:rsid w:val="00A457F8"/>
    <w:rsid w:val="00A45912"/>
    <w:rsid w:val="00A45AC3"/>
    <w:rsid w:val="00A45D88"/>
    <w:rsid w:val="00A45EC9"/>
    <w:rsid w:val="00A462D4"/>
    <w:rsid w:val="00A466ED"/>
    <w:rsid w:val="00A46730"/>
    <w:rsid w:val="00A46F3F"/>
    <w:rsid w:val="00A46FA5"/>
    <w:rsid w:val="00A47444"/>
    <w:rsid w:val="00A47491"/>
    <w:rsid w:val="00A47B3E"/>
    <w:rsid w:val="00A47D51"/>
    <w:rsid w:val="00A47E0D"/>
    <w:rsid w:val="00A50272"/>
    <w:rsid w:val="00A502D6"/>
    <w:rsid w:val="00A50328"/>
    <w:rsid w:val="00A514E6"/>
    <w:rsid w:val="00A5195C"/>
    <w:rsid w:val="00A52008"/>
    <w:rsid w:val="00A52065"/>
    <w:rsid w:val="00A520F8"/>
    <w:rsid w:val="00A5243C"/>
    <w:rsid w:val="00A52982"/>
    <w:rsid w:val="00A52DA4"/>
    <w:rsid w:val="00A52EA4"/>
    <w:rsid w:val="00A52FC5"/>
    <w:rsid w:val="00A5363B"/>
    <w:rsid w:val="00A5388F"/>
    <w:rsid w:val="00A53B20"/>
    <w:rsid w:val="00A53D7C"/>
    <w:rsid w:val="00A53DCF"/>
    <w:rsid w:val="00A5415D"/>
    <w:rsid w:val="00A5422A"/>
    <w:rsid w:val="00A542A2"/>
    <w:rsid w:val="00A5448B"/>
    <w:rsid w:val="00A54FD8"/>
    <w:rsid w:val="00A55013"/>
    <w:rsid w:val="00A5502E"/>
    <w:rsid w:val="00A552BD"/>
    <w:rsid w:val="00A5535F"/>
    <w:rsid w:val="00A554DD"/>
    <w:rsid w:val="00A55567"/>
    <w:rsid w:val="00A555AF"/>
    <w:rsid w:val="00A5568B"/>
    <w:rsid w:val="00A55B19"/>
    <w:rsid w:val="00A55BAE"/>
    <w:rsid w:val="00A55F8A"/>
    <w:rsid w:val="00A56047"/>
    <w:rsid w:val="00A562BA"/>
    <w:rsid w:val="00A565C9"/>
    <w:rsid w:val="00A56871"/>
    <w:rsid w:val="00A568C1"/>
    <w:rsid w:val="00A577F0"/>
    <w:rsid w:val="00A57951"/>
    <w:rsid w:val="00A57E94"/>
    <w:rsid w:val="00A600D4"/>
    <w:rsid w:val="00A60104"/>
    <w:rsid w:val="00A60260"/>
    <w:rsid w:val="00A60648"/>
    <w:rsid w:val="00A60C1C"/>
    <w:rsid w:val="00A611C4"/>
    <w:rsid w:val="00A61229"/>
    <w:rsid w:val="00A6125B"/>
    <w:rsid w:val="00A61327"/>
    <w:rsid w:val="00A61350"/>
    <w:rsid w:val="00A615FD"/>
    <w:rsid w:val="00A617F3"/>
    <w:rsid w:val="00A61940"/>
    <w:rsid w:val="00A61A88"/>
    <w:rsid w:val="00A61B27"/>
    <w:rsid w:val="00A61C59"/>
    <w:rsid w:val="00A61E3F"/>
    <w:rsid w:val="00A620B7"/>
    <w:rsid w:val="00A620EE"/>
    <w:rsid w:val="00A6218F"/>
    <w:rsid w:val="00A621C7"/>
    <w:rsid w:val="00A6234F"/>
    <w:rsid w:val="00A624A9"/>
    <w:rsid w:val="00A62754"/>
    <w:rsid w:val="00A62777"/>
    <w:rsid w:val="00A62968"/>
    <w:rsid w:val="00A62CDD"/>
    <w:rsid w:val="00A62D36"/>
    <w:rsid w:val="00A63B44"/>
    <w:rsid w:val="00A63BE4"/>
    <w:rsid w:val="00A63D0C"/>
    <w:rsid w:val="00A642A1"/>
    <w:rsid w:val="00A6443B"/>
    <w:rsid w:val="00A64914"/>
    <w:rsid w:val="00A64A7E"/>
    <w:rsid w:val="00A64AB9"/>
    <w:rsid w:val="00A64C24"/>
    <w:rsid w:val="00A64D81"/>
    <w:rsid w:val="00A65108"/>
    <w:rsid w:val="00A6510C"/>
    <w:rsid w:val="00A65163"/>
    <w:rsid w:val="00A654BC"/>
    <w:rsid w:val="00A655B6"/>
    <w:rsid w:val="00A6563A"/>
    <w:rsid w:val="00A65691"/>
    <w:rsid w:val="00A65791"/>
    <w:rsid w:val="00A6593A"/>
    <w:rsid w:val="00A65E32"/>
    <w:rsid w:val="00A66330"/>
    <w:rsid w:val="00A6652B"/>
    <w:rsid w:val="00A66782"/>
    <w:rsid w:val="00A6681A"/>
    <w:rsid w:val="00A670CE"/>
    <w:rsid w:val="00A67129"/>
    <w:rsid w:val="00A6718F"/>
    <w:rsid w:val="00A6755B"/>
    <w:rsid w:val="00A676B9"/>
    <w:rsid w:val="00A67BB3"/>
    <w:rsid w:val="00A70096"/>
    <w:rsid w:val="00A70250"/>
    <w:rsid w:val="00A70C09"/>
    <w:rsid w:val="00A70CBC"/>
    <w:rsid w:val="00A70D31"/>
    <w:rsid w:val="00A70E05"/>
    <w:rsid w:val="00A711F3"/>
    <w:rsid w:val="00A712A4"/>
    <w:rsid w:val="00A714F9"/>
    <w:rsid w:val="00A71599"/>
    <w:rsid w:val="00A7174A"/>
    <w:rsid w:val="00A7176E"/>
    <w:rsid w:val="00A71829"/>
    <w:rsid w:val="00A7185C"/>
    <w:rsid w:val="00A71CCF"/>
    <w:rsid w:val="00A7207B"/>
    <w:rsid w:val="00A7223A"/>
    <w:rsid w:val="00A726DC"/>
    <w:rsid w:val="00A72BF6"/>
    <w:rsid w:val="00A736D9"/>
    <w:rsid w:val="00A73AC8"/>
    <w:rsid w:val="00A73B2E"/>
    <w:rsid w:val="00A73D4A"/>
    <w:rsid w:val="00A73E9C"/>
    <w:rsid w:val="00A74310"/>
    <w:rsid w:val="00A74337"/>
    <w:rsid w:val="00A74526"/>
    <w:rsid w:val="00A74650"/>
    <w:rsid w:val="00A7469C"/>
    <w:rsid w:val="00A74C15"/>
    <w:rsid w:val="00A74C37"/>
    <w:rsid w:val="00A74CFB"/>
    <w:rsid w:val="00A75579"/>
    <w:rsid w:val="00A756E5"/>
    <w:rsid w:val="00A756E6"/>
    <w:rsid w:val="00A75AEA"/>
    <w:rsid w:val="00A75D42"/>
    <w:rsid w:val="00A75E94"/>
    <w:rsid w:val="00A76042"/>
    <w:rsid w:val="00A7604F"/>
    <w:rsid w:val="00A762AC"/>
    <w:rsid w:val="00A76325"/>
    <w:rsid w:val="00A76411"/>
    <w:rsid w:val="00A76648"/>
    <w:rsid w:val="00A7672C"/>
    <w:rsid w:val="00A767F0"/>
    <w:rsid w:val="00A768D3"/>
    <w:rsid w:val="00A76933"/>
    <w:rsid w:val="00A7699D"/>
    <w:rsid w:val="00A76B8D"/>
    <w:rsid w:val="00A76D2A"/>
    <w:rsid w:val="00A76E3C"/>
    <w:rsid w:val="00A76EC8"/>
    <w:rsid w:val="00A770EB"/>
    <w:rsid w:val="00A7758C"/>
    <w:rsid w:val="00A803AF"/>
    <w:rsid w:val="00A8043E"/>
    <w:rsid w:val="00A8048F"/>
    <w:rsid w:val="00A8052C"/>
    <w:rsid w:val="00A805D5"/>
    <w:rsid w:val="00A8066C"/>
    <w:rsid w:val="00A806EF"/>
    <w:rsid w:val="00A80C5E"/>
    <w:rsid w:val="00A80DBE"/>
    <w:rsid w:val="00A80E39"/>
    <w:rsid w:val="00A80E6F"/>
    <w:rsid w:val="00A811A8"/>
    <w:rsid w:val="00A81540"/>
    <w:rsid w:val="00A81586"/>
    <w:rsid w:val="00A815E7"/>
    <w:rsid w:val="00A81D07"/>
    <w:rsid w:val="00A821D8"/>
    <w:rsid w:val="00A823E9"/>
    <w:rsid w:val="00A82518"/>
    <w:rsid w:val="00A82809"/>
    <w:rsid w:val="00A82D10"/>
    <w:rsid w:val="00A82DAF"/>
    <w:rsid w:val="00A8362D"/>
    <w:rsid w:val="00A837B9"/>
    <w:rsid w:val="00A83B94"/>
    <w:rsid w:val="00A83BD4"/>
    <w:rsid w:val="00A83C5F"/>
    <w:rsid w:val="00A83D52"/>
    <w:rsid w:val="00A83E1D"/>
    <w:rsid w:val="00A840CD"/>
    <w:rsid w:val="00A84141"/>
    <w:rsid w:val="00A84264"/>
    <w:rsid w:val="00A8440C"/>
    <w:rsid w:val="00A844BF"/>
    <w:rsid w:val="00A8453F"/>
    <w:rsid w:val="00A8479F"/>
    <w:rsid w:val="00A847F6"/>
    <w:rsid w:val="00A84C90"/>
    <w:rsid w:val="00A84C92"/>
    <w:rsid w:val="00A84F7C"/>
    <w:rsid w:val="00A85167"/>
    <w:rsid w:val="00A85362"/>
    <w:rsid w:val="00A854AB"/>
    <w:rsid w:val="00A85A33"/>
    <w:rsid w:val="00A85B4F"/>
    <w:rsid w:val="00A85C80"/>
    <w:rsid w:val="00A85DF2"/>
    <w:rsid w:val="00A8610E"/>
    <w:rsid w:val="00A86197"/>
    <w:rsid w:val="00A8623C"/>
    <w:rsid w:val="00A862D5"/>
    <w:rsid w:val="00A864D2"/>
    <w:rsid w:val="00A867A3"/>
    <w:rsid w:val="00A869AC"/>
    <w:rsid w:val="00A86A83"/>
    <w:rsid w:val="00A86BD8"/>
    <w:rsid w:val="00A86FE3"/>
    <w:rsid w:val="00A8729C"/>
    <w:rsid w:val="00A87323"/>
    <w:rsid w:val="00A875CD"/>
    <w:rsid w:val="00A8760E"/>
    <w:rsid w:val="00A87833"/>
    <w:rsid w:val="00A87865"/>
    <w:rsid w:val="00A87971"/>
    <w:rsid w:val="00A879BF"/>
    <w:rsid w:val="00A879CA"/>
    <w:rsid w:val="00A87A78"/>
    <w:rsid w:val="00A87CE0"/>
    <w:rsid w:val="00A87D83"/>
    <w:rsid w:val="00A87EED"/>
    <w:rsid w:val="00A87EF8"/>
    <w:rsid w:val="00A87F98"/>
    <w:rsid w:val="00A9009B"/>
    <w:rsid w:val="00A900B8"/>
    <w:rsid w:val="00A9010D"/>
    <w:rsid w:val="00A90235"/>
    <w:rsid w:val="00A9024F"/>
    <w:rsid w:val="00A90769"/>
    <w:rsid w:val="00A90B2E"/>
    <w:rsid w:val="00A90FC1"/>
    <w:rsid w:val="00A91607"/>
    <w:rsid w:val="00A91708"/>
    <w:rsid w:val="00A91D62"/>
    <w:rsid w:val="00A91EBA"/>
    <w:rsid w:val="00A92074"/>
    <w:rsid w:val="00A92189"/>
    <w:rsid w:val="00A923FF"/>
    <w:rsid w:val="00A9248A"/>
    <w:rsid w:val="00A92711"/>
    <w:rsid w:val="00A92A24"/>
    <w:rsid w:val="00A936E1"/>
    <w:rsid w:val="00A9387C"/>
    <w:rsid w:val="00A939AE"/>
    <w:rsid w:val="00A93A11"/>
    <w:rsid w:val="00A93FB9"/>
    <w:rsid w:val="00A9404E"/>
    <w:rsid w:val="00A940E7"/>
    <w:rsid w:val="00A947F1"/>
    <w:rsid w:val="00A94ACD"/>
    <w:rsid w:val="00A94B9B"/>
    <w:rsid w:val="00A94CF5"/>
    <w:rsid w:val="00A9552A"/>
    <w:rsid w:val="00A9558A"/>
    <w:rsid w:val="00A95697"/>
    <w:rsid w:val="00A957EF"/>
    <w:rsid w:val="00A959B0"/>
    <w:rsid w:val="00A95E28"/>
    <w:rsid w:val="00A95FAC"/>
    <w:rsid w:val="00A96076"/>
    <w:rsid w:val="00A96159"/>
    <w:rsid w:val="00A9656A"/>
    <w:rsid w:val="00A96E6F"/>
    <w:rsid w:val="00A96FA2"/>
    <w:rsid w:val="00A96FB9"/>
    <w:rsid w:val="00A970DF"/>
    <w:rsid w:val="00A971BA"/>
    <w:rsid w:val="00A9727F"/>
    <w:rsid w:val="00A9731F"/>
    <w:rsid w:val="00A97547"/>
    <w:rsid w:val="00A97755"/>
    <w:rsid w:val="00A978F6"/>
    <w:rsid w:val="00A97B0A"/>
    <w:rsid w:val="00A97EB3"/>
    <w:rsid w:val="00AA0103"/>
    <w:rsid w:val="00AA02AB"/>
    <w:rsid w:val="00AA02FB"/>
    <w:rsid w:val="00AA0D47"/>
    <w:rsid w:val="00AA113A"/>
    <w:rsid w:val="00AA163C"/>
    <w:rsid w:val="00AA16A7"/>
    <w:rsid w:val="00AA1890"/>
    <w:rsid w:val="00AA19EB"/>
    <w:rsid w:val="00AA2192"/>
    <w:rsid w:val="00AA23FA"/>
    <w:rsid w:val="00AA294C"/>
    <w:rsid w:val="00AA29F9"/>
    <w:rsid w:val="00AA2BCB"/>
    <w:rsid w:val="00AA33D1"/>
    <w:rsid w:val="00AA3938"/>
    <w:rsid w:val="00AA3988"/>
    <w:rsid w:val="00AA39B5"/>
    <w:rsid w:val="00AA3C09"/>
    <w:rsid w:val="00AA3ED8"/>
    <w:rsid w:val="00AA3EFF"/>
    <w:rsid w:val="00AA4336"/>
    <w:rsid w:val="00AA433D"/>
    <w:rsid w:val="00AA471D"/>
    <w:rsid w:val="00AA4813"/>
    <w:rsid w:val="00AA48E5"/>
    <w:rsid w:val="00AA49B0"/>
    <w:rsid w:val="00AA4AD1"/>
    <w:rsid w:val="00AA5B79"/>
    <w:rsid w:val="00AA6031"/>
    <w:rsid w:val="00AA6156"/>
    <w:rsid w:val="00AA61EC"/>
    <w:rsid w:val="00AA6321"/>
    <w:rsid w:val="00AA653A"/>
    <w:rsid w:val="00AA66B1"/>
    <w:rsid w:val="00AA6729"/>
    <w:rsid w:val="00AA676F"/>
    <w:rsid w:val="00AA68F8"/>
    <w:rsid w:val="00AA74F2"/>
    <w:rsid w:val="00AA7572"/>
    <w:rsid w:val="00AA761C"/>
    <w:rsid w:val="00AA7A02"/>
    <w:rsid w:val="00AA7CCC"/>
    <w:rsid w:val="00AA7DD9"/>
    <w:rsid w:val="00AA7F7C"/>
    <w:rsid w:val="00AB007F"/>
    <w:rsid w:val="00AB02DE"/>
    <w:rsid w:val="00AB02E3"/>
    <w:rsid w:val="00AB04F5"/>
    <w:rsid w:val="00AB060F"/>
    <w:rsid w:val="00AB06B2"/>
    <w:rsid w:val="00AB0738"/>
    <w:rsid w:val="00AB076F"/>
    <w:rsid w:val="00AB08E3"/>
    <w:rsid w:val="00AB0CEC"/>
    <w:rsid w:val="00AB0F9F"/>
    <w:rsid w:val="00AB1707"/>
    <w:rsid w:val="00AB1A34"/>
    <w:rsid w:val="00AB1A3F"/>
    <w:rsid w:val="00AB2126"/>
    <w:rsid w:val="00AB21BB"/>
    <w:rsid w:val="00AB27F3"/>
    <w:rsid w:val="00AB288D"/>
    <w:rsid w:val="00AB28F5"/>
    <w:rsid w:val="00AB2A1A"/>
    <w:rsid w:val="00AB2A6E"/>
    <w:rsid w:val="00AB3212"/>
    <w:rsid w:val="00AB37B2"/>
    <w:rsid w:val="00AB3936"/>
    <w:rsid w:val="00AB3AC5"/>
    <w:rsid w:val="00AB3C25"/>
    <w:rsid w:val="00AB3E73"/>
    <w:rsid w:val="00AB3EC8"/>
    <w:rsid w:val="00AB446D"/>
    <w:rsid w:val="00AB4510"/>
    <w:rsid w:val="00AB479D"/>
    <w:rsid w:val="00AB4B0B"/>
    <w:rsid w:val="00AB4BDE"/>
    <w:rsid w:val="00AB528B"/>
    <w:rsid w:val="00AB531D"/>
    <w:rsid w:val="00AB568F"/>
    <w:rsid w:val="00AB5F4A"/>
    <w:rsid w:val="00AB6115"/>
    <w:rsid w:val="00AB6279"/>
    <w:rsid w:val="00AB67A3"/>
    <w:rsid w:val="00AB6BF1"/>
    <w:rsid w:val="00AB6BFF"/>
    <w:rsid w:val="00AB70B7"/>
    <w:rsid w:val="00AB7385"/>
    <w:rsid w:val="00AB76B9"/>
    <w:rsid w:val="00AB7775"/>
    <w:rsid w:val="00AC016B"/>
    <w:rsid w:val="00AC04C6"/>
    <w:rsid w:val="00AC0507"/>
    <w:rsid w:val="00AC079F"/>
    <w:rsid w:val="00AC0C0A"/>
    <w:rsid w:val="00AC0D2F"/>
    <w:rsid w:val="00AC102C"/>
    <w:rsid w:val="00AC10E0"/>
    <w:rsid w:val="00AC1151"/>
    <w:rsid w:val="00AC1CAE"/>
    <w:rsid w:val="00AC208C"/>
    <w:rsid w:val="00AC20A7"/>
    <w:rsid w:val="00AC2612"/>
    <w:rsid w:val="00AC26CA"/>
    <w:rsid w:val="00AC27AE"/>
    <w:rsid w:val="00AC3249"/>
    <w:rsid w:val="00AC346D"/>
    <w:rsid w:val="00AC3524"/>
    <w:rsid w:val="00AC36B6"/>
    <w:rsid w:val="00AC3A9A"/>
    <w:rsid w:val="00AC3B55"/>
    <w:rsid w:val="00AC3C54"/>
    <w:rsid w:val="00AC3D0F"/>
    <w:rsid w:val="00AC3D63"/>
    <w:rsid w:val="00AC3F65"/>
    <w:rsid w:val="00AC4174"/>
    <w:rsid w:val="00AC4417"/>
    <w:rsid w:val="00AC45C1"/>
    <w:rsid w:val="00AC46DA"/>
    <w:rsid w:val="00AC494C"/>
    <w:rsid w:val="00AC4BB2"/>
    <w:rsid w:val="00AC4C13"/>
    <w:rsid w:val="00AC4C54"/>
    <w:rsid w:val="00AC4EAF"/>
    <w:rsid w:val="00AC586D"/>
    <w:rsid w:val="00AC5A93"/>
    <w:rsid w:val="00AC5B6F"/>
    <w:rsid w:val="00AC5BF6"/>
    <w:rsid w:val="00AC64BA"/>
    <w:rsid w:val="00AC64C7"/>
    <w:rsid w:val="00AC6571"/>
    <w:rsid w:val="00AC6893"/>
    <w:rsid w:val="00AC69C5"/>
    <w:rsid w:val="00AC6B29"/>
    <w:rsid w:val="00AC6B64"/>
    <w:rsid w:val="00AC6C05"/>
    <w:rsid w:val="00AC6CCB"/>
    <w:rsid w:val="00AC6E0E"/>
    <w:rsid w:val="00AC76A0"/>
    <w:rsid w:val="00AC797E"/>
    <w:rsid w:val="00AC79F2"/>
    <w:rsid w:val="00AC7A18"/>
    <w:rsid w:val="00AC7A4D"/>
    <w:rsid w:val="00AC7B11"/>
    <w:rsid w:val="00AC7B34"/>
    <w:rsid w:val="00AC7B53"/>
    <w:rsid w:val="00AC7D42"/>
    <w:rsid w:val="00AD0212"/>
    <w:rsid w:val="00AD0B4F"/>
    <w:rsid w:val="00AD1580"/>
    <w:rsid w:val="00AD168B"/>
    <w:rsid w:val="00AD17E3"/>
    <w:rsid w:val="00AD1852"/>
    <w:rsid w:val="00AD1C2D"/>
    <w:rsid w:val="00AD1CE4"/>
    <w:rsid w:val="00AD20A1"/>
    <w:rsid w:val="00AD2440"/>
    <w:rsid w:val="00AD25BB"/>
    <w:rsid w:val="00AD25BD"/>
    <w:rsid w:val="00AD2D31"/>
    <w:rsid w:val="00AD2D6F"/>
    <w:rsid w:val="00AD2DD3"/>
    <w:rsid w:val="00AD304A"/>
    <w:rsid w:val="00AD33FF"/>
    <w:rsid w:val="00AD35A6"/>
    <w:rsid w:val="00AD4604"/>
    <w:rsid w:val="00AD4859"/>
    <w:rsid w:val="00AD486A"/>
    <w:rsid w:val="00AD4B9D"/>
    <w:rsid w:val="00AD509F"/>
    <w:rsid w:val="00AD52CA"/>
    <w:rsid w:val="00AD55EB"/>
    <w:rsid w:val="00AD56EA"/>
    <w:rsid w:val="00AD57E1"/>
    <w:rsid w:val="00AD5851"/>
    <w:rsid w:val="00AD5D4E"/>
    <w:rsid w:val="00AD5D99"/>
    <w:rsid w:val="00AD5FA0"/>
    <w:rsid w:val="00AD6012"/>
    <w:rsid w:val="00AD6192"/>
    <w:rsid w:val="00AD65B9"/>
    <w:rsid w:val="00AD663F"/>
    <w:rsid w:val="00AD6767"/>
    <w:rsid w:val="00AD67AF"/>
    <w:rsid w:val="00AD7083"/>
    <w:rsid w:val="00AD7533"/>
    <w:rsid w:val="00AD7701"/>
    <w:rsid w:val="00AD7BDD"/>
    <w:rsid w:val="00AD7CFE"/>
    <w:rsid w:val="00AD7D05"/>
    <w:rsid w:val="00AD7D29"/>
    <w:rsid w:val="00AD7D35"/>
    <w:rsid w:val="00AD7E6E"/>
    <w:rsid w:val="00AD7EBA"/>
    <w:rsid w:val="00AD7FC2"/>
    <w:rsid w:val="00AE014B"/>
    <w:rsid w:val="00AE025A"/>
    <w:rsid w:val="00AE074C"/>
    <w:rsid w:val="00AE0984"/>
    <w:rsid w:val="00AE0BE4"/>
    <w:rsid w:val="00AE0E1F"/>
    <w:rsid w:val="00AE0F32"/>
    <w:rsid w:val="00AE0F83"/>
    <w:rsid w:val="00AE1264"/>
    <w:rsid w:val="00AE1345"/>
    <w:rsid w:val="00AE159F"/>
    <w:rsid w:val="00AE20F8"/>
    <w:rsid w:val="00AE2164"/>
    <w:rsid w:val="00AE234E"/>
    <w:rsid w:val="00AE23F9"/>
    <w:rsid w:val="00AE24EC"/>
    <w:rsid w:val="00AE25B5"/>
    <w:rsid w:val="00AE2811"/>
    <w:rsid w:val="00AE29CF"/>
    <w:rsid w:val="00AE2B12"/>
    <w:rsid w:val="00AE2BD5"/>
    <w:rsid w:val="00AE2EA0"/>
    <w:rsid w:val="00AE3054"/>
    <w:rsid w:val="00AE3616"/>
    <w:rsid w:val="00AE3720"/>
    <w:rsid w:val="00AE3B1B"/>
    <w:rsid w:val="00AE3CBE"/>
    <w:rsid w:val="00AE45F7"/>
    <w:rsid w:val="00AE487D"/>
    <w:rsid w:val="00AE4B27"/>
    <w:rsid w:val="00AE4B76"/>
    <w:rsid w:val="00AE4B8B"/>
    <w:rsid w:val="00AE5047"/>
    <w:rsid w:val="00AE5067"/>
    <w:rsid w:val="00AE51DB"/>
    <w:rsid w:val="00AE54C0"/>
    <w:rsid w:val="00AE5560"/>
    <w:rsid w:val="00AE59BF"/>
    <w:rsid w:val="00AE5D3F"/>
    <w:rsid w:val="00AE5EFD"/>
    <w:rsid w:val="00AE5F79"/>
    <w:rsid w:val="00AE60B2"/>
    <w:rsid w:val="00AE6336"/>
    <w:rsid w:val="00AE63A0"/>
    <w:rsid w:val="00AE63B5"/>
    <w:rsid w:val="00AE6543"/>
    <w:rsid w:val="00AE65FB"/>
    <w:rsid w:val="00AE663F"/>
    <w:rsid w:val="00AE68BE"/>
    <w:rsid w:val="00AE6C53"/>
    <w:rsid w:val="00AE6CCB"/>
    <w:rsid w:val="00AE6DF2"/>
    <w:rsid w:val="00AE758F"/>
    <w:rsid w:val="00AE77EC"/>
    <w:rsid w:val="00AE78C4"/>
    <w:rsid w:val="00AE7989"/>
    <w:rsid w:val="00AE798A"/>
    <w:rsid w:val="00AE7B42"/>
    <w:rsid w:val="00AE7D03"/>
    <w:rsid w:val="00AE7F01"/>
    <w:rsid w:val="00AF04F1"/>
    <w:rsid w:val="00AF050E"/>
    <w:rsid w:val="00AF0696"/>
    <w:rsid w:val="00AF0770"/>
    <w:rsid w:val="00AF10F4"/>
    <w:rsid w:val="00AF1158"/>
    <w:rsid w:val="00AF11D3"/>
    <w:rsid w:val="00AF14D3"/>
    <w:rsid w:val="00AF1828"/>
    <w:rsid w:val="00AF1BBB"/>
    <w:rsid w:val="00AF1FF2"/>
    <w:rsid w:val="00AF2103"/>
    <w:rsid w:val="00AF23E5"/>
    <w:rsid w:val="00AF240F"/>
    <w:rsid w:val="00AF2836"/>
    <w:rsid w:val="00AF2A4B"/>
    <w:rsid w:val="00AF2E00"/>
    <w:rsid w:val="00AF342C"/>
    <w:rsid w:val="00AF34DE"/>
    <w:rsid w:val="00AF4385"/>
    <w:rsid w:val="00AF48BE"/>
    <w:rsid w:val="00AF4902"/>
    <w:rsid w:val="00AF5704"/>
    <w:rsid w:val="00AF57B6"/>
    <w:rsid w:val="00AF5A79"/>
    <w:rsid w:val="00AF5BE5"/>
    <w:rsid w:val="00AF5ECA"/>
    <w:rsid w:val="00AF6058"/>
    <w:rsid w:val="00AF60D5"/>
    <w:rsid w:val="00AF691C"/>
    <w:rsid w:val="00AF69C6"/>
    <w:rsid w:val="00AF6E1A"/>
    <w:rsid w:val="00AF6E99"/>
    <w:rsid w:val="00AF70AF"/>
    <w:rsid w:val="00AF7137"/>
    <w:rsid w:val="00AF729A"/>
    <w:rsid w:val="00AF78C0"/>
    <w:rsid w:val="00AF7AE8"/>
    <w:rsid w:val="00AF7CBB"/>
    <w:rsid w:val="00AF7D92"/>
    <w:rsid w:val="00AF7DB8"/>
    <w:rsid w:val="00B004AF"/>
    <w:rsid w:val="00B004CC"/>
    <w:rsid w:val="00B007A3"/>
    <w:rsid w:val="00B009D5"/>
    <w:rsid w:val="00B00D04"/>
    <w:rsid w:val="00B01110"/>
    <w:rsid w:val="00B01553"/>
    <w:rsid w:val="00B0157B"/>
    <w:rsid w:val="00B01D94"/>
    <w:rsid w:val="00B01E5D"/>
    <w:rsid w:val="00B01ECF"/>
    <w:rsid w:val="00B0217B"/>
    <w:rsid w:val="00B0243B"/>
    <w:rsid w:val="00B02568"/>
    <w:rsid w:val="00B026C2"/>
    <w:rsid w:val="00B02720"/>
    <w:rsid w:val="00B02AB7"/>
    <w:rsid w:val="00B02ED8"/>
    <w:rsid w:val="00B03010"/>
    <w:rsid w:val="00B0323A"/>
    <w:rsid w:val="00B03264"/>
    <w:rsid w:val="00B034A7"/>
    <w:rsid w:val="00B0380B"/>
    <w:rsid w:val="00B03A8B"/>
    <w:rsid w:val="00B03E89"/>
    <w:rsid w:val="00B04665"/>
    <w:rsid w:val="00B04687"/>
    <w:rsid w:val="00B04B82"/>
    <w:rsid w:val="00B04D9B"/>
    <w:rsid w:val="00B04FC9"/>
    <w:rsid w:val="00B05287"/>
    <w:rsid w:val="00B05373"/>
    <w:rsid w:val="00B058F7"/>
    <w:rsid w:val="00B05CD2"/>
    <w:rsid w:val="00B05D6F"/>
    <w:rsid w:val="00B06268"/>
    <w:rsid w:val="00B06499"/>
    <w:rsid w:val="00B064EA"/>
    <w:rsid w:val="00B06653"/>
    <w:rsid w:val="00B06BB5"/>
    <w:rsid w:val="00B06C53"/>
    <w:rsid w:val="00B071E6"/>
    <w:rsid w:val="00B07229"/>
    <w:rsid w:val="00B07266"/>
    <w:rsid w:val="00B0730D"/>
    <w:rsid w:val="00B0756D"/>
    <w:rsid w:val="00B07620"/>
    <w:rsid w:val="00B0782B"/>
    <w:rsid w:val="00B078AF"/>
    <w:rsid w:val="00B0794B"/>
    <w:rsid w:val="00B07FD6"/>
    <w:rsid w:val="00B105E1"/>
    <w:rsid w:val="00B1116F"/>
    <w:rsid w:val="00B11323"/>
    <w:rsid w:val="00B114A8"/>
    <w:rsid w:val="00B11AE3"/>
    <w:rsid w:val="00B11B93"/>
    <w:rsid w:val="00B11D85"/>
    <w:rsid w:val="00B11EA9"/>
    <w:rsid w:val="00B11EB8"/>
    <w:rsid w:val="00B1251E"/>
    <w:rsid w:val="00B12BEC"/>
    <w:rsid w:val="00B12C46"/>
    <w:rsid w:val="00B12D7F"/>
    <w:rsid w:val="00B13159"/>
    <w:rsid w:val="00B1399F"/>
    <w:rsid w:val="00B13B66"/>
    <w:rsid w:val="00B13DC9"/>
    <w:rsid w:val="00B13F63"/>
    <w:rsid w:val="00B147B3"/>
    <w:rsid w:val="00B14E6F"/>
    <w:rsid w:val="00B15038"/>
    <w:rsid w:val="00B153FC"/>
    <w:rsid w:val="00B155CF"/>
    <w:rsid w:val="00B1584B"/>
    <w:rsid w:val="00B15877"/>
    <w:rsid w:val="00B15B5B"/>
    <w:rsid w:val="00B15CAA"/>
    <w:rsid w:val="00B160E3"/>
    <w:rsid w:val="00B162A0"/>
    <w:rsid w:val="00B16666"/>
    <w:rsid w:val="00B16903"/>
    <w:rsid w:val="00B16A41"/>
    <w:rsid w:val="00B16A81"/>
    <w:rsid w:val="00B16C73"/>
    <w:rsid w:val="00B16E53"/>
    <w:rsid w:val="00B16F66"/>
    <w:rsid w:val="00B1733A"/>
    <w:rsid w:val="00B175DE"/>
    <w:rsid w:val="00B176D3"/>
    <w:rsid w:val="00B179CD"/>
    <w:rsid w:val="00B17A1B"/>
    <w:rsid w:val="00B17C98"/>
    <w:rsid w:val="00B20507"/>
    <w:rsid w:val="00B20566"/>
    <w:rsid w:val="00B2067A"/>
    <w:rsid w:val="00B206AB"/>
    <w:rsid w:val="00B2086C"/>
    <w:rsid w:val="00B20A3A"/>
    <w:rsid w:val="00B20DB0"/>
    <w:rsid w:val="00B20E72"/>
    <w:rsid w:val="00B210FE"/>
    <w:rsid w:val="00B211D4"/>
    <w:rsid w:val="00B216D7"/>
    <w:rsid w:val="00B21AE7"/>
    <w:rsid w:val="00B21C26"/>
    <w:rsid w:val="00B21CA6"/>
    <w:rsid w:val="00B21FBA"/>
    <w:rsid w:val="00B2218C"/>
    <w:rsid w:val="00B22323"/>
    <w:rsid w:val="00B223BA"/>
    <w:rsid w:val="00B22572"/>
    <w:rsid w:val="00B2278C"/>
    <w:rsid w:val="00B227B2"/>
    <w:rsid w:val="00B2313F"/>
    <w:rsid w:val="00B2344F"/>
    <w:rsid w:val="00B240C0"/>
    <w:rsid w:val="00B243D2"/>
    <w:rsid w:val="00B243FC"/>
    <w:rsid w:val="00B245CB"/>
    <w:rsid w:val="00B247B2"/>
    <w:rsid w:val="00B24A1F"/>
    <w:rsid w:val="00B24A9E"/>
    <w:rsid w:val="00B24AAD"/>
    <w:rsid w:val="00B24C58"/>
    <w:rsid w:val="00B24DCA"/>
    <w:rsid w:val="00B24E2E"/>
    <w:rsid w:val="00B2545D"/>
    <w:rsid w:val="00B25649"/>
    <w:rsid w:val="00B2567A"/>
    <w:rsid w:val="00B25A67"/>
    <w:rsid w:val="00B25B0F"/>
    <w:rsid w:val="00B2609A"/>
    <w:rsid w:val="00B260E3"/>
    <w:rsid w:val="00B262B8"/>
    <w:rsid w:val="00B265BC"/>
    <w:rsid w:val="00B269D5"/>
    <w:rsid w:val="00B26A95"/>
    <w:rsid w:val="00B272B2"/>
    <w:rsid w:val="00B2731B"/>
    <w:rsid w:val="00B275B6"/>
    <w:rsid w:val="00B27745"/>
    <w:rsid w:val="00B27C77"/>
    <w:rsid w:val="00B27FAC"/>
    <w:rsid w:val="00B3065A"/>
    <w:rsid w:val="00B30876"/>
    <w:rsid w:val="00B30C6F"/>
    <w:rsid w:val="00B30E47"/>
    <w:rsid w:val="00B31128"/>
    <w:rsid w:val="00B31151"/>
    <w:rsid w:val="00B31355"/>
    <w:rsid w:val="00B3145F"/>
    <w:rsid w:val="00B31659"/>
    <w:rsid w:val="00B3168E"/>
    <w:rsid w:val="00B317FD"/>
    <w:rsid w:val="00B318B7"/>
    <w:rsid w:val="00B319AE"/>
    <w:rsid w:val="00B32353"/>
    <w:rsid w:val="00B3247A"/>
    <w:rsid w:val="00B325DF"/>
    <w:rsid w:val="00B3260B"/>
    <w:rsid w:val="00B32641"/>
    <w:rsid w:val="00B3282F"/>
    <w:rsid w:val="00B32844"/>
    <w:rsid w:val="00B328B9"/>
    <w:rsid w:val="00B32A03"/>
    <w:rsid w:val="00B32A18"/>
    <w:rsid w:val="00B32A6A"/>
    <w:rsid w:val="00B32AE4"/>
    <w:rsid w:val="00B32C23"/>
    <w:rsid w:val="00B32CDB"/>
    <w:rsid w:val="00B32D47"/>
    <w:rsid w:val="00B32E03"/>
    <w:rsid w:val="00B33255"/>
    <w:rsid w:val="00B3325F"/>
    <w:rsid w:val="00B33699"/>
    <w:rsid w:val="00B3382C"/>
    <w:rsid w:val="00B3390D"/>
    <w:rsid w:val="00B33A2D"/>
    <w:rsid w:val="00B33F4C"/>
    <w:rsid w:val="00B340F2"/>
    <w:rsid w:val="00B344E9"/>
    <w:rsid w:val="00B34A88"/>
    <w:rsid w:val="00B34B78"/>
    <w:rsid w:val="00B34D6A"/>
    <w:rsid w:val="00B34FCE"/>
    <w:rsid w:val="00B35217"/>
    <w:rsid w:val="00B35259"/>
    <w:rsid w:val="00B3527D"/>
    <w:rsid w:val="00B3557A"/>
    <w:rsid w:val="00B356F8"/>
    <w:rsid w:val="00B358E3"/>
    <w:rsid w:val="00B35917"/>
    <w:rsid w:val="00B35AD1"/>
    <w:rsid w:val="00B35AD3"/>
    <w:rsid w:val="00B35CDB"/>
    <w:rsid w:val="00B35D2A"/>
    <w:rsid w:val="00B36220"/>
    <w:rsid w:val="00B3656B"/>
    <w:rsid w:val="00B3695E"/>
    <w:rsid w:val="00B36BEE"/>
    <w:rsid w:val="00B370AA"/>
    <w:rsid w:val="00B3770B"/>
    <w:rsid w:val="00B37E46"/>
    <w:rsid w:val="00B37FEF"/>
    <w:rsid w:val="00B40163"/>
    <w:rsid w:val="00B402B5"/>
    <w:rsid w:val="00B403F8"/>
    <w:rsid w:val="00B40489"/>
    <w:rsid w:val="00B404C8"/>
    <w:rsid w:val="00B40680"/>
    <w:rsid w:val="00B406B3"/>
    <w:rsid w:val="00B40774"/>
    <w:rsid w:val="00B40BA7"/>
    <w:rsid w:val="00B40E08"/>
    <w:rsid w:val="00B40EE3"/>
    <w:rsid w:val="00B40FAB"/>
    <w:rsid w:val="00B418EB"/>
    <w:rsid w:val="00B4191B"/>
    <w:rsid w:val="00B41CCA"/>
    <w:rsid w:val="00B4210F"/>
    <w:rsid w:val="00B42227"/>
    <w:rsid w:val="00B4239A"/>
    <w:rsid w:val="00B423A7"/>
    <w:rsid w:val="00B424E8"/>
    <w:rsid w:val="00B4279A"/>
    <w:rsid w:val="00B42B6D"/>
    <w:rsid w:val="00B42E2F"/>
    <w:rsid w:val="00B430B0"/>
    <w:rsid w:val="00B43420"/>
    <w:rsid w:val="00B434A0"/>
    <w:rsid w:val="00B4350D"/>
    <w:rsid w:val="00B435BD"/>
    <w:rsid w:val="00B43922"/>
    <w:rsid w:val="00B43A7B"/>
    <w:rsid w:val="00B43C6C"/>
    <w:rsid w:val="00B43CE3"/>
    <w:rsid w:val="00B43E5D"/>
    <w:rsid w:val="00B444B1"/>
    <w:rsid w:val="00B445DF"/>
    <w:rsid w:val="00B44B8F"/>
    <w:rsid w:val="00B44CB3"/>
    <w:rsid w:val="00B45263"/>
    <w:rsid w:val="00B456FC"/>
    <w:rsid w:val="00B45785"/>
    <w:rsid w:val="00B45E81"/>
    <w:rsid w:val="00B46217"/>
    <w:rsid w:val="00B46595"/>
    <w:rsid w:val="00B4695C"/>
    <w:rsid w:val="00B469DE"/>
    <w:rsid w:val="00B46B1F"/>
    <w:rsid w:val="00B46B28"/>
    <w:rsid w:val="00B46C1E"/>
    <w:rsid w:val="00B46E6B"/>
    <w:rsid w:val="00B46F5B"/>
    <w:rsid w:val="00B46FA1"/>
    <w:rsid w:val="00B470E9"/>
    <w:rsid w:val="00B47149"/>
    <w:rsid w:val="00B47575"/>
    <w:rsid w:val="00B47788"/>
    <w:rsid w:val="00B47CBE"/>
    <w:rsid w:val="00B47DC8"/>
    <w:rsid w:val="00B50145"/>
    <w:rsid w:val="00B50537"/>
    <w:rsid w:val="00B505EF"/>
    <w:rsid w:val="00B5075F"/>
    <w:rsid w:val="00B50BA4"/>
    <w:rsid w:val="00B50BBC"/>
    <w:rsid w:val="00B50C13"/>
    <w:rsid w:val="00B50EF1"/>
    <w:rsid w:val="00B50F7C"/>
    <w:rsid w:val="00B5125B"/>
    <w:rsid w:val="00B51888"/>
    <w:rsid w:val="00B5188D"/>
    <w:rsid w:val="00B5219B"/>
    <w:rsid w:val="00B522E3"/>
    <w:rsid w:val="00B52725"/>
    <w:rsid w:val="00B52CEB"/>
    <w:rsid w:val="00B52D56"/>
    <w:rsid w:val="00B53092"/>
    <w:rsid w:val="00B53164"/>
    <w:rsid w:val="00B53973"/>
    <w:rsid w:val="00B539D1"/>
    <w:rsid w:val="00B53D95"/>
    <w:rsid w:val="00B53F96"/>
    <w:rsid w:val="00B54695"/>
    <w:rsid w:val="00B547F1"/>
    <w:rsid w:val="00B5484A"/>
    <w:rsid w:val="00B549B9"/>
    <w:rsid w:val="00B54A75"/>
    <w:rsid w:val="00B54BCA"/>
    <w:rsid w:val="00B54EC9"/>
    <w:rsid w:val="00B54FE6"/>
    <w:rsid w:val="00B54FEA"/>
    <w:rsid w:val="00B5572C"/>
    <w:rsid w:val="00B55D8F"/>
    <w:rsid w:val="00B55F3C"/>
    <w:rsid w:val="00B55F70"/>
    <w:rsid w:val="00B56078"/>
    <w:rsid w:val="00B563F7"/>
    <w:rsid w:val="00B56508"/>
    <w:rsid w:val="00B566D1"/>
    <w:rsid w:val="00B566F9"/>
    <w:rsid w:val="00B56B75"/>
    <w:rsid w:val="00B56C07"/>
    <w:rsid w:val="00B56C60"/>
    <w:rsid w:val="00B56E25"/>
    <w:rsid w:val="00B56ED2"/>
    <w:rsid w:val="00B57693"/>
    <w:rsid w:val="00B602DC"/>
    <w:rsid w:val="00B60529"/>
    <w:rsid w:val="00B60540"/>
    <w:rsid w:val="00B605C7"/>
    <w:rsid w:val="00B60EE2"/>
    <w:rsid w:val="00B60FF2"/>
    <w:rsid w:val="00B61383"/>
    <w:rsid w:val="00B61A70"/>
    <w:rsid w:val="00B61E6F"/>
    <w:rsid w:val="00B62347"/>
    <w:rsid w:val="00B6260E"/>
    <w:rsid w:val="00B62638"/>
    <w:rsid w:val="00B62A2A"/>
    <w:rsid w:val="00B62A4A"/>
    <w:rsid w:val="00B62A83"/>
    <w:rsid w:val="00B62FB6"/>
    <w:rsid w:val="00B633D1"/>
    <w:rsid w:val="00B636A6"/>
    <w:rsid w:val="00B6392A"/>
    <w:rsid w:val="00B63A66"/>
    <w:rsid w:val="00B63ADD"/>
    <w:rsid w:val="00B63F58"/>
    <w:rsid w:val="00B64049"/>
    <w:rsid w:val="00B6413A"/>
    <w:rsid w:val="00B64366"/>
    <w:rsid w:val="00B643AC"/>
    <w:rsid w:val="00B64436"/>
    <w:rsid w:val="00B64733"/>
    <w:rsid w:val="00B64A02"/>
    <w:rsid w:val="00B64AA2"/>
    <w:rsid w:val="00B64BD2"/>
    <w:rsid w:val="00B64CEC"/>
    <w:rsid w:val="00B65584"/>
    <w:rsid w:val="00B655F3"/>
    <w:rsid w:val="00B656D0"/>
    <w:rsid w:val="00B656E1"/>
    <w:rsid w:val="00B65A03"/>
    <w:rsid w:val="00B65AF1"/>
    <w:rsid w:val="00B65B1E"/>
    <w:rsid w:val="00B65C50"/>
    <w:rsid w:val="00B66050"/>
    <w:rsid w:val="00B66291"/>
    <w:rsid w:val="00B663F1"/>
    <w:rsid w:val="00B66515"/>
    <w:rsid w:val="00B66643"/>
    <w:rsid w:val="00B66971"/>
    <w:rsid w:val="00B66C0F"/>
    <w:rsid w:val="00B67076"/>
    <w:rsid w:val="00B6707A"/>
    <w:rsid w:val="00B67395"/>
    <w:rsid w:val="00B674AA"/>
    <w:rsid w:val="00B6762E"/>
    <w:rsid w:val="00B6771A"/>
    <w:rsid w:val="00B678C7"/>
    <w:rsid w:val="00B6796F"/>
    <w:rsid w:val="00B67A1C"/>
    <w:rsid w:val="00B67AD3"/>
    <w:rsid w:val="00B67B5E"/>
    <w:rsid w:val="00B67E7E"/>
    <w:rsid w:val="00B700D3"/>
    <w:rsid w:val="00B70269"/>
    <w:rsid w:val="00B70766"/>
    <w:rsid w:val="00B70990"/>
    <w:rsid w:val="00B70DFF"/>
    <w:rsid w:val="00B70EAA"/>
    <w:rsid w:val="00B70ED2"/>
    <w:rsid w:val="00B71044"/>
    <w:rsid w:val="00B7143A"/>
    <w:rsid w:val="00B714BC"/>
    <w:rsid w:val="00B71711"/>
    <w:rsid w:val="00B71848"/>
    <w:rsid w:val="00B718BB"/>
    <w:rsid w:val="00B71CE4"/>
    <w:rsid w:val="00B71F28"/>
    <w:rsid w:val="00B7207D"/>
    <w:rsid w:val="00B722E7"/>
    <w:rsid w:val="00B72317"/>
    <w:rsid w:val="00B726DF"/>
    <w:rsid w:val="00B7274E"/>
    <w:rsid w:val="00B7277B"/>
    <w:rsid w:val="00B727AA"/>
    <w:rsid w:val="00B72FC0"/>
    <w:rsid w:val="00B732E7"/>
    <w:rsid w:val="00B7336E"/>
    <w:rsid w:val="00B73764"/>
    <w:rsid w:val="00B73816"/>
    <w:rsid w:val="00B7392C"/>
    <w:rsid w:val="00B73B9C"/>
    <w:rsid w:val="00B73C9F"/>
    <w:rsid w:val="00B73E65"/>
    <w:rsid w:val="00B73F8F"/>
    <w:rsid w:val="00B745E9"/>
    <w:rsid w:val="00B74648"/>
    <w:rsid w:val="00B746DD"/>
    <w:rsid w:val="00B747AE"/>
    <w:rsid w:val="00B74B97"/>
    <w:rsid w:val="00B74BFA"/>
    <w:rsid w:val="00B74DE0"/>
    <w:rsid w:val="00B74E05"/>
    <w:rsid w:val="00B75C6D"/>
    <w:rsid w:val="00B75C84"/>
    <w:rsid w:val="00B75C9E"/>
    <w:rsid w:val="00B75EA6"/>
    <w:rsid w:val="00B762C7"/>
    <w:rsid w:val="00B762EE"/>
    <w:rsid w:val="00B763B2"/>
    <w:rsid w:val="00B76439"/>
    <w:rsid w:val="00B76573"/>
    <w:rsid w:val="00B7665C"/>
    <w:rsid w:val="00B766E6"/>
    <w:rsid w:val="00B767E6"/>
    <w:rsid w:val="00B76828"/>
    <w:rsid w:val="00B76B66"/>
    <w:rsid w:val="00B76E63"/>
    <w:rsid w:val="00B76FFF"/>
    <w:rsid w:val="00B773CB"/>
    <w:rsid w:val="00B77420"/>
    <w:rsid w:val="00B77470"/>
    <w:rsid w:val="00B774CD"/>
    <w:rsid w:val="00B7763B"/>
    <w:rsid w:val="00B7764A"/>
    <w:rsid w:val="00B77755"/>
    <w:rsid w:val="00B77BC4"/>
    <w:rsid w:val="00B8009E"/>
    <w:rsid w:val="00B80778"/>
    <w:rsid w:val="00B8093D"/>
    <w:rsid w:val="00B809BB"/>
    <w:rsid w:val="00B80AEE"/>
    <w:rsid w:val="00B80AFF"/>
    <w:rsid w:val="00B80C44"/>
    <w:rsid w:val="00B80ED6"/>
    <w:rsid w:val="00B80F36"/>
    <w:rsid w:val="00B813D4"/>
    <w:rsid w:val="00B814ED"/>
    <w:rsid w:val="00B8155B"/>
    <w:rsid w:val="00B81B09"/>
    <w:rsid w:val="00B81E4B"/>
    <w:rsid w:val="00B81F0D"/>
    <w:rsid w:val="00B8214F"/>
    <w:rsid w:val="00B822D5"/>
    <w:rsid w:val="00B82481"/>
    <w:rsid w:val="00B824DF"/>
    <w:rsid w:val="00B824F7"/>
    <w:rsid w:val="00B8267B"/>
    <w:rsid w:val="00B82702"/>
    <w:rsid w:val="00B829AC"/>
    <w:rsid w:val="00B82AED"/>
    <w:rsid w:val="00B82D68"/>
    <w:rsid w:val="00B830F7"/>
    <w:rsid w:val="00B832DF"/>
    <w:rsid w:val="00B832E8"/>
    <w:rsid w:val="00B83A47"/>
    <w:rsid w:val="00B83AF3"/>
    <w:rsid w:val="00B83B91"/>
    <w:rsid w:val="00B83CC6"/>
    <w:rsid w:val="00B83D3F"/>
    <w:rsid w:val="00B8433A"/>
    <w:rsid w:val="00B845F7"/>
    <w:rsid w:val="00B8475B"/>
    <w:rsid w:val="00B84A0C"/>
    <w:rsid w:val="00B84A72"/>
    <w:rsid w:val="00B84BB0"/>
    <w:rsid w:val="00B84BEB"/>
    <w:rsid w:val="00B85134"/>
    <w:rsid w:val="00B851FB"/>
    <w:rsid w:val="00B85295"/>
    <w:rsid w:val="00B8530F"/>
    <w:rsid w:val="00B853D5"/>
    <w:rsid w:val="00B85602"/>
    <w:rsid w:val="00B85BCE"/>
    <w:rsid w:val="00B8622C"/>
    <w:rsid w:val="00B866DC"/>
    <w:rsid w:val="00B86ABA"/>
    <w:rsid w:val="00B86E39"/>
    <w:rsid w:val="00B86FD3"/>
    <w:rsid w:val="00B8733F"/>
    <w:rsid w:val="00B87513"/>
    <w:rsid w:val="00B87805"/>
    <w:rsid w:val="00B878D6"/>
    <w:rsid w:val="00B87C01"/>
    <w:rsid w:val="00B87FA5"/>
    <w:rsid w:val="00B902D0"/>
    <w:rsid w:val="00B9063A"/>
    <w:rsid w:val="00B90658"/>
    <w:rsid w:val="00B908CF"/>
    <w:rsid w:val="00B90C5F"/>
    <w:rsid w:val="00B90C91"/>
    <w:rsid w:val="00B910FF"/>
    <w:rsid w:val="00B9111A"/>
    <w:rsid w:val="00B91591"/>
    <w:rsid w:val="00B917E2"/>
    <w:rsid w:val="00B91C3A"/>
    <w:rsid w:val="00B91CA1"/>
    <w:rsid w:val="00B91FC9"/>
    <w:rsid w:val="00B9244C"/>
    <w:rsid w:val="00B928BF"/>
    <w:rsid w:val="00B928D5"/>
    <w:rsid w:val="00B9291D"/>
    <w:rsid w:val="00B92B7B"/>
    <w:rsid w:val="00B92B8C"/>
    <w:rsid w:val="00B92D01"/>
    <w:rsid w:val="00B92E21"/>
    <w:rsid w:val="00B92E64"/>
    <w:rsid w:val="00B93320"/>
    <w:rsid w:val="00B933C3"/>
    <w:rsid w:val="00B9376B"/>
    <w:rsid w:val="00B93851"/>
    <w:rsid w:val="00B93E75"/>
    <w:rsid w:val="00B942DC"/>
    <w:rsid w:val="00B94428"/>
    <w:rsid w:val="00B945C4"/>
    <w:rsid w:val="00B94862"/>
    <w:rsid w:val="00B94942"/>
    <w:rsid w:val="00B94B54"/>
    <w:rsid w:val="00B94B9F"/>
    <w:rsid w:val="00B94C54"/>
    <w:rsid w:val="00B94C9B"/>
    <w:rsid w:val="00B95174"/>
    <w:rsid w:val="00B952DB"/>
    <w:rsid w:val="00B95434"/>
    <w:rsid w:val="00B9544C"/>
    <w:rsid w:val="00B954E8"/>
    <w:rsid w:val="00B95528"/>
    <w:rsid w:val="00B95A2A"/>
    <w:rsid w:val="00B95A51"/>
    <w:rsid w:val="00B95A8E"/>
    <w:rsid w:val="00B95E98"/>
    <w:rsid w:val="00B95ECD"/>
    <w:rsid w:val="00B96281"/>
    <w:rsid w:val="00B963B7"/>
    <w:rsid w:val="00B96472"/>
    <w:rsid w:val="00B96721"/>
    <w:rsid w:val="00B96741"/>
    <w:rsid w:val="00B96847"/>
    <w:rsid w:val="00B9689B"/>
    <w:rsid w:val="00B968B8"/>
    <w:rsid w:val="00B96F4F"/>
    <w:rsid w:val="00B974EB"/>
    <w:rsid w:val="00B978D4"/>
    <w:rsid w:val="00B9791D"/>
    <w:rsid w:val="00B97DD7"/>
    <w:rsid w:val="00BA0253"/>
    <w:rsid w:val="00BA03BC"/>
    <w:rsid w:val="00BA05AD"/>
    <w:rsid w:val="00BA060F"/>
    <w:rsid w:val="00BA097C"/>
    <w:rsid w:val="00BA0B8F"/>
    <w:rsid w:val="00BA0C91"/>
    <w:rsid w:val="00BA0D06"/>
    <w:rsid w:val="00BA0DBB"/>
    <w:rsid w:val="00BA0DF9"/>
    <w:rsid w:val="00BA10FD"/>
    <w:rsid w:val="00BA116F"/>
    <w:rsid w:val="00BA12B6"/>
    <w:rsid w:val="00BA1495"/>
    <w:rsid w:val="00BA14F3"/>
    <w:rsid w:val="00BA1541"/>
    <w:rsid w:val="00BA15DB"/>
    <w:rsid w:val="00BA169B"/>
    <w:rsid w:val="00BA1767"/>
    <w:rsid w:val="00BA1863"/>
    <w:rsid w:val="00BA189C"/>
    <w:rsid w:val="00BA1D48"/>
    <w:rsid w:val="00BA1F30"/>
    <w:rsid w:val="00BA2060"/>
    <w:rsid w:val="00BA20C0"/>
    <w:rsid w:val="00BA2121"/>
    <w:rsid w:val="00BA28C2"/>
    <w:rsid w:val="00BA2A99"/>
    <w:rsid w:val="00BA2B04"/>
    <w:rsid w:val="00BA2DE4"/>
    <w:rsid w:val="00BA2F78"/>
    <w:rsid w:val="00BA2FCA"/>
    <w:rsid w:val="00BA31DA"/>
    <w:rsid w:val="00BA355F"/>
    <w:rsid w:val="00BA3CC1"/>
    <w:rsid w:val="00BA46C3"/>
    <w:rsid w:val="00BA4868"/>
    <w:rsid w:val="00BA49FB"/>
    <w:rsid w:val="00BA4D8D"/>
    <w:rsid w:val="00BA536E"/>
    <w:rsid w:val="00BA5CDB"/>
    <w:rsid w:val="00BA5E65"/>
    <w:rsid w:val="00BA61FC"/>
    <w:rsid w:val="00BA623B"/>
    <w:rsid w:val="00BA626C"/>
    <w:rsid w:val="00BA631B"/>
    <w:rsid w:val="00BA6592"/>
    <w:rsid w:val="00BA6688"/>
    <w:rsid w:val="00BA6959"/>
    <w:rsid w:val="00BA69AA"/>
    <w:rsid w:val="00BA6B08"/>
    <w:rsid w:val="00BA6B62"/>
    <w:rsid w:val="00BA6D7B"/>
    <w:rsid w:val="00BA6F2B"/>
    <w:rsid w:val="00BA73AF"/>
    <w:rsid w:val="00BA761F"/>
    <w:rsid w:val="00BA776B"/>
    <w:rsid w:val="00BA7B20"/>
    <w:rsid w:val="00BA7E6A"/>
    <w:rsid w:val="00BA7F8E"/>
    <w:rsid w:val="00BB01CB"/>
    <w:rsid w:val="00BB050A"/>
    <w:rsid w:val="00BB0558"/>
    <w:rsid w:val="00BB06A0"/>
    <w:rsid w:val="00BB0756"/>
    <w:rsid w:val="00BB0987"/>
    <w:rsid w:val="00BB0BBD"/>
    <w:rsid w:val="00BB0BCF"/>
    <w:rsid w:val="00BB0E1D"/>
    <w:rsid w:val="00BB1544"/>
    <w:rsid w:val="00BB165F"/>
    <w:rsid w:val="00BB17AE"/>
    <w:rsid w:val="00BB1967"/>
    <w:rsid w:val="00BB1B1A"/>
    <w:rsid w:val="00BB1D2A"/>
    <w:rsid w:val="00BB1E2E"/>
    <w:rsid w:val="00BB1E7A"/>
    <w:rsid w:val="00BB1FAE"/>
    <w:rsid w:val="00BB1FD3"/>
    <w:rsid w:val="00BB233B"/>
    <w:rsid w:val="00BB2610"/>
    <w:rsid w:val="00BB279D"/>
    <w:rsid w:val="00BB2C3F"/>
    <w:rsid w:val="00BB2E7A"/>
    <w:rsid w:val="00BB3216"/>
    <w:rsid w:val="00BB3C39"/>
    <w:rsid w:val="00BB3D9F"/>
    <w:rsid w:val="00BB3F8C"/>
    <w:rsid w:val="00BB41E1"/>
    <w:rsid w:val="00BB41EC"/>
    <w:rsid w:val="00BB4367"/>
    <w:rsid w:val="00BB4A48"/>
    <w:rsid w:val="00BB511B"/>
    <w:rsid w:val="00BB53B4"/>
    <w:rsid w:val="00BB5508"/>
    <w:rsid w:val="00BB5656"/>
    <w:rsid w:val="00BB5EDB"/>
    <w:rsid w:val="00BB6398"/>
    <w:rsid w:val="00BB64BA"/>
    <w:rsid w:val="00BB6615"/>
    <w:rsid w:val="00BB68FB"/>
    <w:rsid w:val="00BB6902"/>
    <w:rsid w:val="00BB6911"/>
    <w:rsid w:val="00BB6C12"/>
    <w:rsid w:val="00BB6D6C"/>
    <w:rsid w:val="00BB6E79"/>
    <w:rsid w:val="00BB6FB9"/>
    <w:rsid w:val="00BB7506"/>
    <w:rsid w:val="00BB7558"/>
    <w:rsid w:val="00BB77D7"/>
    <w:rsid w:val="00BB78AD"/>
    <w:rsid w:val="00BB79E3"/>
    <w:rsid w:val="00BC0376"/>
    <w:rsid w:val="00BC045C"/>
    <w:rsid w:val="00BC051B"/>
    <w:rsid w:val="00BC0C10"/>
    <w:rsid w:val="00BC0ED2"/>
    <w:rsid w:val="00BC1295"/>
    <w:rsid w:val="00BC1501"/>
    <w:rsid w:val="00BC189E"/>
    <w:rsid w:val="00BC1978"/>
    <w:rsid w:val="00BC1A27"/>
    <w:rsid w:val="00BC1CC4"/>
    <w:rsid w:val="00BC1DED"/>
    <w:rsid w:val="00BC1F4C"/>
    <w:rsid w:val="00BC217C"/>
    <w:rsid w:val="00BC235A"/>
    <w:rsid w:val="00BC2493"/>
    <w:rsid w:val="00BC2597"/>
    <w:rsid w:val="00BC2A97"/>
    <w:rsid w:val="00BC2FCA"/>
    <w:rsid w:val="00BC3434"/>
    <w:rsid w:val="00BC361A"/>
    <w:rsid w:val="00BC3650"/>
    <w:rsid w:val="00BC36DE"/>
    <w:rsid w:val="00BC3772"/>
    <w:rsid w:val="00BC3775"/>
    <w:rsid w:val="00BC3D46"/>
    <w:rsid w:val="00BC3DD7"/>
    <w:rsid w:val="00BC4290"/>
    <w:rsid w:val="00BC441E"/>
    <w:rsid w:val="00BC4E60"/>
    <w:rsid w:val="00BC5343"/>
    <w:rsid w:val="00BC556D"/>
    <w:rsid w:val="00BC55B6"/>
    <w:rsid w:val="00BC5731"/>
    <w:rsid w:val="00BC58E1"/>
    <w:rsid w:val="00BC5AEC"/>
    <w:rsid w:val="00BC5CD7"/>
    <w:rsid w:val="00BC5F0A"/>
    <w:rsid w:val="00BC679A"/>
    <w:rsid w:val="00BC67CF"/>
    <w:rsid w:val="00BC6B77"/>
    <w:rsid w:val="00BC6C1F"/>
    <w:rsid w:val="00BC6E36"/>
    <w:rsid w:val="00BC70E4"/>
    <w:rsid w:val="00BC7294"/>
    <w:rsid w:val="00BC74D1"/>
    <w:rsid w:val="00BC75DC"/>
    <w:rsid w:val="00BC7E2A"/>
    <w:rsid w:val="00BC7ECA"/>
    <w:rsid w:val="00BD00E7"/>
    <w:rsid w:val="00BD01DA"/>
    <w:rsid w:val="00BD04E6"/>
    <w:rsid w:val="00BD08C9"/>
    <w:rsid w:val="00BD09AC"/>
    <w:rsid w:val="00BD0BF6"/>
    <w:rsid w:val="00BD0C22"/>
    <w:rsid w:val="00BD1173"/>
    <w:rsid w:val="00BD159E"/>
    <w:rsid w:val="00BD16AE"/>
    <w:rsid w:val="00BD1821"/>
    <w:rsid w:val="00BD1A29"/>
    <w:rsid w:val="00BD1C07"/>
    <w:rsid w:val="00BD1EAD"/>
    <w:rsid w:val="00BD201C"/>
    <w:rsid w:val="00BD22F1"/>
    <w:rsid w:val="00BD2748"/>
    <w:rsid w:val="00BD27BF"/>
    <w:rsid w:val="00BD2A79"/>
    <w:rsid w:val="00BD2DA1"/>
    <w:rsid w:val="00BD3037"/>
    <w:rsid w:val="00BD30D5"/>
    <w:rsid w:val="00BD3329"/>
    <w:rsid w:val="00BD33F3"/>
    <w:rsid w:val="00BD34E2"/>
    <w:rsid w:val="00BD3717"/>
    <w:rsid w:val="00BD37C2"/>
    <w:rsid w:val="00BD38F4"/>
    <w:rsid w:val="00BD3B5F"/>
    <w:rsid w:val="00BD3BAE"/>
    <w:rsid w:val="00BD3E89"/>
    <w:rsid w:val="00BD4547"/>
    <w:rsid w:val="00BD494E"/>
    <w:rsid w:val="00BD4A7D"/>
    <w:rsid w:val="00BD4C70"/>
    <w:rsid w:val="00BD5205"/>
    <w:rsid w:val="00BD56C4"/>
    <w:rsid w:val="00BD5F84"/>
    <w:rsid w:val="00BD6009"/>
    <w:rsid w:val="00BD63E0"/>
    <w:rsid w:val="00BD6719"/>
    <w:rsid w:val="00BD6AC6"/>
    <w:rsid w:val="00BD6E80"/>
    <w:rsid w:val="00BD7097"/>
    <w:rsid w:val="00BD7172"/>
    <w:rsid w:val="00BD740D"/>
    <w:rsid w:val="00BD782C"/>
    <w:rsid w:val="00BD79E7"/>
    <w:rsid w:val="00BD7D17"/>
    <w:rsid w:val="00BD7F65"/>
    <w:rsid w:val="00BE0004"/>
    <w:rsid w:val="00BE0561"/>
    <w:rsid w:val="00BE0581"/>
    <w:rsid w:val="00BE05B1"/>
    <w:rsid w:val="00BE05F8"/>
    <w:rsid w:val="00BE0826"/>
    <w:rsid w:val="00BE0A53"/>
    <w:rsid w:val="00BE0C18"/>
    <w:rsid w:val="00BE0C6A"/>
    <w:rsid w:val="00BE0EF7"/>
    <w:rsid w:val="00BE0F5F"/>
    <w:rsid w:val="00BE1586"/>
    <w:rsid w:val="00BE15EE"/>
    <w:rsid w:val="00BE16E8"/>
    <w:rsid w:val="00BE18D9"/>
    <w:rsid w:val="00BE1A96"/>
    <w:rsid w:val="00BE1D92"/>
    <w:rsid w:val="00BE1DB7"/>
    <w:rsid w:val="00BE1E6C"/>
    <w:rsid w:val="00BE208B"/>
    <w:rsid w:val="00BE2379"/>
    <w:rsid w:val="00BE2BC0"/>
    <w:rsid w:val="00BE2C9F"/>
    <w:rsid w:val="00BE2FC6"/>
    <w:rsid w:val="00BE31A9"/>
    <w:rsid w:val="00BE3384"/>
    <w:rsid w:val="00BE3C30"/>
    <w:rsid w:val="00BE3EF1"/>
    <w:rsid w:val="00BE3F0C"/>
    <w:rsid w:val="00BE41A8"/>
    <w:rsid w:val="00BE45BC"/>
    <w:rsid w:val="00BE4642"/>
    <w:rsid w:val="00BE48F9"/>
    <w:rsid w:val="00BE4F9B"/>
    <w:rsid w:val="00BE52B4"/>
    <w:rsid w:val="00BE5586"/>
    <w:rsid w:val="00BE5708"/>
    <w:rsid w:val="00BE58B8"/>
    <w:rsid w:val="00BE592F"/>
    <w:rsid w:val="00BE6256"/>
    <w:rsid w:val="00BE635B"/>
    <w:rsid w:val="00BE6456"/>
    <w:rsid w:val="00BE67BB"/>
    <w:rsid w:val="00BE6BC1"/>
    <w:rsid w:val="00BE6BEC"/>
    <w:rsid w:val="00BE6BF8"/>
    <w:rsid w:val="00BE6C26"/>
    <w:rsid w:val="00BE6CDF"/>
    <w:rsid w:val="00BE6D03"/>
    <w:rsid w:val="00BE6DCD"/>
    <w:rsid w:val="00BE6E15"/>
    <w:rsid w:val="00BE75C1"/>
    <w:rsid w:val="00BE77E2"/>
    <w:rsid w:val="00BE79FF"/>
    <w:rsid w:val="00BE7CF4"/>
    <w:rsid w:val="00BE7D94"/>
    <w:rsid w:val="00BE7ECB"/>
    <w:rsid w:val="00BF0055"/>
    <w:rsid w:val="00BF02F6"/>
    <w:rsid w:val="00BF03B4"/>
    <w:rsid w:val="00BF068B"/>
    <w:rsid w:val="00BF0EA9"/>
    <w:rsid w:val="00BF0FDE"/>
    <w:rsid w:val="00BF10EB"/>
    <w:rsid w:val="00BF1232"/>
    <w:rsid w:val="00BF12F2"/>
    <w:rsid w:val="00BF141C"/>
    <w:rsid w:val="00BF1881"/>
    <w:rsid w:val="00BF1BC8"/>
    <w:rsid w:val="00BF1DF5"/>
    <w:rsid w:val="00BF1E2B"/>
    <w:rsid w:val="00BF1FA2"/>
    <w:rsid w:val="00BF2325"/>
    <w:rsid w:val="00BF2507"/>
    <w:rsid w:val="00BF2B6A"/>
    <w:rsid w:val="00BF2CC1"/>
    <w:rsid w:val="00BF2D39"/>
    <w:rsid w:val="00BF311E"/>
    <w:rsid w:val="00BF33E2"/>
    <w:rsid w:val="00BF3A80"/>
    <w:rsid w:val="00BF3AA4"/>
    <w:rsid w:val="00BF3FB4"/>
    <w:rsid w:val="00BF41C6"/>
    <w:rsid w:val="00BF42D2"/>
    <w:rsid w:val="00BF4528"/>
    <w:rsid w:val="00BF4737"/>
    <w:rsid w:val="00BF491F"/>
    <w:rsid w:val="00BF49A7"/>
    <w:rsid w:val="00BF552D"/>
    <w:rsid w:val="00BF5648"/>
    <w:rsid w:val="00BF56F2"/>
    <w:rsid w:val="00BF58B1"/>
    <w:rsid w:val="00BF5B2A"/>
    <w:rsid w:val="00BF5C1D"/>
    <w:rsid w:val="00BF5CC9"/>
    <w:rsid w:val="00BF5D1D"/>
    <w:rsid w:val="00BF5E3C"/>
    <w:rsid w:val="00BF5EDD"/>
    <w:rsid w:val="00BF6331"/>
    <w:rsid w:val="00BF63BC"/>
    <w:rsid w:val="00BF6756"/>
    <w:rsid w:val="00BF68E7"/>
    <w:rsid w:val="00BF6C40"/>
    <w:rsid w:val="00BF6E33"/>
    <w:rsid w:val="00BF7403"/>
    <w:rsid w:val="00BF768E"/>
    <w:rsid w:val="00BF7732"/>
    <w:rsid w:val="00BF792C"/>
    <w:rsid w:val="00BF798A"/>
    <w:rsid w:val="00BF7B75"/>
    <w:rsid w:val="00BF7C39"/>
    <w:rsid w:val="00BF7F3E"/>
    <w:rsid w:val="00BF7F9E"/>
    <w:rsid w:val="00C0008E"/>
    <w:rsid w:val="00C00099"/>
    <w:rsid w:val="00C0012E"/>
    <w:rsid w:val="00C00140"/>
    <w:rsid w:val="00C004B5"/>
    <w:rsid w:val="00C00955"/>
    <w:rsid w:val="00C00AC8"/>
    <w:rsid w:val="00C01446"/>
    <w:rsid w:val="00C01A29"/>
    <w:rsid w:val="00C02461"/>
    <w:rsid w:val="00C02AD0"/>
    <w:rsid w:val="00C02AFA"/>
    <w:rsid w:val="00C02FBD"/>
    <w:rsid w:val="00C034F2"/>
    <w:rsid w:val="00C037C1"/>
    <w:rsid w:val="00C03907"/>
    <w:rsid w:val="00C03ED1"/>
    <w:rsid w:val="00C03F80"/>
    <w:rsid w:val="00C04122"/>
    <w:rsid w:val="00C043F1"/>
    <w:rsid w:val="00C0451B"/>
    <w:rsid w:val="00C047C7"/>
    <w:rsid w:val="00C048A5"/>
    <w:rsid w:val="00C04A43"/>
    <w:rsid w:val="00C04ABE"/>
    <w:rsid w:val="00C04BA1"/>
    <w:rsid w:val="00C051F5"/>
    <w:rsid w:val="00C0520F"/>
    <w:rsid w:val="00C0550D"/>
    <w:rsid w:val="00C056ED"/>
    <w:rsid w:val="00C05901"/>
    <w:rsid w:val="00C05B1B"/>
    <w:rsid w:val="00C06055"/>
    <w:rsid w:val="00C0605E"/>
    <w:rsid w:val="00C0622E"/>
    <w:rsid w:val="00C06492"/>
    <w:rsid w:val="00C064F2"/>
    <w:rsid w:val="00C0677D"/>
    <w:rsid w:val="00C06A86"/>
    <w:rsid w:val="00C06AEE"/>
    <w:rsid w:val="00C0719E"/>
    <w:rsid w:val="00C072ED"/>
    <w:rsid w:val="00C07369"/>
    <w:rsid w:val="00C07883"/>
    <w:rsid w:val="00C07967"/>
    <w:rsid w:val="00C07A95"/>
    <w:rsid w:val="00C07EC4"/>
    <w:rsid w:val="00C10052"/>
    <w:rsid w:val="00C100CC"/>
    <w:rsid w:val="00C102F8"/>
    <w:rsid w:val="00C103D6"/>
    <w:rsid w:val="00C106EF"/>
    <w:rsid w:val="00C10B09"/>
    <w:rsid w:val="00C10C2B"/>
    <w:rsid w:val="00C10CF6"/>
    <w:rsid w:val="00C10CFB"/>
    <w:rsid w:val="00C10FF3"/>
    <w:rsid w:val="00C11557"/>
    <w:rsid w:val="00C116E0"/>
    <w:rsid w:val="00C117FE"/>
    <w:rsid w:val="00C11D75"/>
    <w:rsid w:val="00C11F72"/>
    <w:rsid w:val="00C1201F"/>
    <w:rsid w:val="00C12094"/>
    <w:rsid w:val="00C120C9"/>
    <w:rsid w:val="00C1218C"/>
    <w:rsid w:val="00C122B4"/>
    <w:rsid w:val="00C12313"/>
    <w:rsid w:val="00C12599"/>
    <w:rsid w:val="00C1278F"/>
    <w:rsid w:val="00C12904"/>
    <w:rsid w:val="00C1294A"/>
    <w:rsid w:val="00C12C74"/>
    <w:rsid w:val="00C1328D"/>
    <w:rsid w:val="00C133D3"/>
    <w:rsid w:val="00C1358B"/>
    <w:rsid w:val="00C1368C"/>
    <w:rsid w:val="00C1384D"/>
    <w:rsid w:val="00C13923"/>
    <w:rsid w:val="00C1396C"/>
    <w:rsid w:val="00C13C7A"/>
    <w:rsid w:val="00C13DF1"/>
    <w:rsid w:val="00C146CE"/>
    <w:rsid w:val="00C148A7"/>
    <w:rsid w:val="00C14B64"/>
    <w:rsid w:val="00C14F1F"/>
    <w:rsid w:val="00C152B4"/>
    <w:rsid w:val="00C15731"/>
    <w:rsid w:val="00C15A52"/>
    <w:rsid w:val="00C15AF7"/>
    <w:rsid w:val="00C15D51"/>
    <w:rsid w:val="00C15E68"/>
    <w:rsid w:val="00C160D8"/>
    <w:rsid w:val="00C16115"/>
    <w:rsid w:val="00C1619D"/>
    <w:rsid w:val="00C1639D"/>
    <w:rsid w:val="00C164A4"/>
    <w:rsid w:val="00C16550"/>
    <w:rsid w:val="00C1675B"/>
    <w:rsid w:val="00C16A62"/>
    <w:rsid w:val="00C16B09"/>
    <w:rsid w:val="00C16B30"/>
    <w:rsid w:val="00C16EAC"/>
    <w:rsid w:val="00C16EED"/>
    <w:rsid w:val="00C17564"/>
    <w:rsid w:val="00C17584"/>
    <w:rsid w:val="00C175AC"/>
    <w:rsid w:val="00C17672"/>
    <w:rsid w:val="00C17905"/>
    <w:rsid w:val="00C179C4"/>
    <w:rsid w:val="00C17A5A"/>
    <w:rsid w:val="00C17A76"/>
    <w:rsid w:val="00C17BB1"/>
    <w:rsid w:val="00C17EE5"/>
    <w:rsid w:val="00C203D9"/>
    <w:rsid w:val="00C2058C"/>
    <w:rsid w:val="00C207EB"/>
    <w:rsid w:val="00C208D0"/>
    <w:rsid w:val="00C20BAB"/>
    <w:rsid w:val="00C20C97"/>
    <w:rsid w:val="00C20D80"/>
    <w:rsid w:val="00C20E98"/>
    <w:rsid w:val="00C21610"/>
    <w:rsid w:val="00C21894"/>
    <w:rsid w:val="00C21D33"/>
    <w:rsid w:val="00C21E02"/>
    <w:rsid w:val="00C22139"/>
    <w:rsid w:val="00C223DD"/>
    <w:rsid w:val="00C224DE"/>
    <w:rsid w:val="00C22587"/>
    <w:rsid w:val="00C22660"/>
    <w:rsid w:val="00C22B84"/>
    <w:rsid w:val="00C22C43"/>
    <w:rsid w:val="00C2301E"/>
    <w:rsid w:val="00C23137"/>
    <w:rsid w:val="00C236DA"/>
    <w:rsid w:val="00C23737"/>
    <w:rsid w:val="00C23A5A"/>
    <w:rsid w:val="00C23A64"/>
    <w:rsid w:val="00C24265"/>
    <w:rsid w:val="00C24AE8"/>
    <w:rsid w:val="00C24B02"/>
    <w:rsid w:val="00C24DEB"/>
    <w:rsid w:val="00C2530C"/>
    <w:rsid w:val="00C25712"/>
    <w:rsid w:val="00C25717"/>
    <w:rsid w:val="00C257FA"/>
    <w:rsid w:val="00C25891"/>
    <w:rsid w:val="00C259FB"/>
    <w:rsid w:val="00C25B25"/>
    <w:rsid w:val="00C25D03"/>
    <w:rsid w:val="00C25FDC"/>
    <w:rsid w:val="00C26344"/>
    <w:rsid w:val="00C26482"/>
    <w:rsid w:val="00C26502"/>
    <w:rsid w:val="00C2668F"/>
    <w:rsid w:val="00C26826"/>
    <w:rsid w:val="00C26829"/>
    <w:rsid w:val="00C268EB"/>
    <w:rsid w:val="00C26E4B"/>
    <w:rsid w:val="00C26E79"/>
    <w:rsid w:val="00C26F7A"/>
    <w:rsid w:val="00C273B9"/>
    <w:rsid w:val="00C2747F"/>
    <w:rsid w:val="00C27AF4"/>
    <w:rsid w:val="00C27C82"/>
    <w:rsid w:val="00C27EF3"/>
    <w:rsid w:val="00C27FBC"/>
    <w:rsid w:val="00C302A9"/>
    <w:rsid w:val="00C3089C"/>
    <w:rsid w:val="00C30C24"/>
    <w:rsid w:val="00C31194"/>
    <w:rsid w:val="00C3127A"/>
    <w:rsid w:val="00C312A9"/>
    <w:rsid w:val="00C31484"/>
    <w:rsid w:val="00C31654"/>
    <w:rsid w:val="00C31CF3"/>
    <w:rsid w:val="00C31E09"/>
    <w:rsid w:val="00C324CE"/>
    <w:rsid w:val="00C32565"/>
    <w:rsid w:val="00C327AE"/>
    <w:rsid w:val="00C327CE"/>
    <w:rsid w:val="00C32D77"/>
    <w:rsid w:val="00C334D2"/>
    <w:rsid w:val="00C33A9F"/>
    <w:rsid w:val="00C33BDF"/>
    <w:rsid w:val="00C33D47"/>
    <w:rsid w:val="00C34882"/>
    <w:rsid w:val="00C34C54"/>
    <w:rsid w:val="00C34D16"/>
    <w:rsid w:val="00C34E2B"/>
    <w:rsid w:val="00C34EC5"/>
    <w:rsid w:val="00C34FB6"/>
    <w:rsid w:val="00C34FC7"/>
    <w:rsid w:val="00C3507C"/>
    <w:rsid w:val="00C351C6"/>
    <w:rsid w:val="00C353B5"/>
    <w:rsid w:val="00C353EF"/>
    <w:rsid w:val="00C35676"/>
    <w:rsid w:val="00C358C5"/>
    <w:rsid w:val="00C3590E"/>
    <w:rsid w:val="00C3660F"/>
    <w:rsid w:val="00C36AB8"/>
    <w:rsid w:val="00C37C77"/>
    <w:rsid w:val="00C37D13"/>
    <w:rsid w:val="00C37D75"/>
    <w:rsid w:val="00C37D80"/>
    <w:rsid w:val="00C37FE0"/>
    <w:rsid w:val="00C402AF"/>
    <w:rsid w:val="00C40571"/>
    <w:rsid w:val="00C406CE"/>
    <w:rsid w:val="00C40770"/>
    <w:rsid w:val="00C408CC"/>
    <w:rsid w:val="00C40CB4"/>
    <w:rsid w:val="00C41369"/>
    <w:rsid w:val="00C414E1"/>
    <w:rsid w:val="00C41527"/>
    <w:rsid w:val="00C415DB"/>
    <w:rsid w:val="00C41BAD"/>
    <w:rsid w:val="00C41CF6"/>
    <w:rsid w:val="00C4297E"/>
    <w:rsid w:val="00C42981"/>
    <w:rsid w:val="00C42B37"/>
    <w:rsid w:val="00C42DED"/>
    <w:rsid w:val="00C433C6"/>
    <w:rsid w:val="00C43459"/>
    <w:rsid w:val="00C43482"/>
    <w:rsid w:val="00C436B9"/>
    <w:rsid w:val="00C438BD"/>
    <w:rsid w:val="00C43A13"/>
    <w:rsid w:val="00C43B94"/>
    <w:rsid w:val="00C43DE3"/>
    <w:rsid w:val="00C43EF1"/>
    <w:rsid w:val="00C43FD0"/>
    <w:rsid w:val="00C44076"/>
    <w:rsid w:val="00C4427B"/>
    <w:rsid w:val="00C444E2"/>
    <w:rsid w:val="00C44D4D"/>
    <w:rsid w:val="00C44E25"/>
    <w:rsid w:val="00C44FEA"/>
    <w:rsid w:val="00C45C4B"/>
    <w:rsid w:val="00C45CE3"/>
    <w:rsid w:val="00C45CF7"/>
    <w:rsid w:val="00C45E81"/>
    <w:rsid w:val="00C45FC8"/>
    <w:rsid w:val="00C45FF7"/>
    <w:rsid w:val="00C46495"/>
    <w:rsid w:val="00C4681F"/>
    <w:rsid w:val="00C46AC6"/>
    <w:rsid w:val="00C46B94"/>
    <w:rsid w:val="00C46C05"/>
    <w:rsid w:val="00C46D2F"/>
    <w:rsid w:val="00C46E75"/>
    <w:rsid w:val="00C47166"/>
    <w:rsid w:val="00C474B8"/>
    <w:rsid w:val="00C476D0"/>
    <w:rsid w:val="00C4796F"/>
    <w:rsid w:val="00C47BEB"/>
    <w:rsid w:val="00C47E87"/>
    <w:rsid w:val="00C47F03"/>
    <w:rsid w:val="00C47FC4"/>
    <w:rsid w:val="00C47FD4"/>
    <w:rsid w:val="00C50076"/>
    <w:rsid w:val="00C504B6"/>
    <w:rsid w:val="00C50A9B"/>
    <w:rsid w:val="00C50AE8"/>
    <w:rsid w:val="00C50BED"/>
    <w:rsid w:val="00C50CE4"/>
    <w:rsid w:val="00C51008"/>
    <w:rsid w:val="00C51055"/>
    <w:rsid w:val="00C51671"/>
    <w:rsid w:val="00C51C58"/>
    <w:rsid w:val="00C51FCD"/>
    <w:rsid w:val="00C5211B"/>
    <w:rsid w:val="00C522EA"/>
    <w:rsid w:val="00C52701"/>
    <w:rsid w:val="00C52875"/>
    <w:rsid w:val="00C52CB0"/>
    <w:rsid w:val="00C52DB5"/>
    <w:rsid w:val="00C52DB6"/>
    <w:rsid w:val="00C53306"/>
    <w:rsid w:val="00C53449"/>
    <w:rsid w:val="00C53630"/>
    <w:rsid w:val="00C537C1"/>
    <w:rsid w:val="00C53908"/>
    <w:rsid w:val="00C53971"/>
    <w:rsid w:val="00C53DEA"/>
    <w:rsid w:val="00C53F5C"/>
    <w:rsid w:val="00C53F82"/>
    <w:rsid w:val="00C53FFF"/>
    <w:rsid w:val="00C543AF"/>
    <w:rsid w:val="00C54BEA"/>
    <w:rsid w:val="00C55045"/>
    <w:rsid w:val="00C552B3"/>
    <w:rsid w:val="00C556BD"/>
    <w:rsid w:val="00C556CC"/>
    <w:rsid w:val="00C558FA"/>
    <w:rsid w:val="00C55A8E"/>
    <w:rsid w:val="00C560F8"/>
    <w:rsid w:val="00C5619F"/>
    <w:rsid w:val="00C561DB"/>
    <w:rsid w:val="00C56D06"/>
    <w:rsid w:val="00C56DCD"/>
    <w:rsid w:val="00C56FBB"/>
    <w:rsid w:val="00C570DD"/>
    <w:rsid w:val="00C573B4"/>
    <w:rsid w:val="00C57629"/>
    <w:rsid w:val="00C578DC"/>
    <w:rsid w:val="00C57A41"/>
    <w:rsid w:val="00C57CFB"/>
    <w:rsid w:val="00C57E65"/>
    <w:rsid w:val="00C6003E"/>
    <w:rsid w:val="00C6029C"/>
    <w:rsid w:val="00C60383"/>
    <w:rsid w:val="00C6039A"/>
    <w:rsid w:val="00C606EB"/>
    <w:rsid w:val="00C6075C"/>
    <w:rsid w:val="00C60A08"/>
    <w:rsid w:val="00C60C64"/>
    <w:rsid w:val="00C60CCA"/>
    <w:rsid w:val="00C60D0B"/>
    <w:rsid w:val="00C60F99"/>
    <w:rsid w:val="00C611EC"/>
    <w:rsid w:val="00C61434"/>
    <w:rsid w:val="00C614EA"/>
    <w:rsid w:val="00C6163F"/>
    <w:rsid w:val="00C61944"/>
    <w:rsid w:val="00C619B9"/>
    <w:rsid w:val="00C61B2B"/>
    <w:rsid w:val="00C61B52"/>
    <w:rsid w:val="00C61C5B"/>
    <w:rsid w:val="00C62139"/>
    <w:rsid w:val="00C6228B"/>
    <w:rsid w:val="00C62439"/>
    <w:rsid w:val="00C624C7"/>
    <w:rsid w:val="00C626C2"/>
    <w:rsid w:val="00C627EE"/>
    <w:rsid w:val="00C62BA0"/>
    <w:rsid w:val="00C63097"/>
    <w:rsid w:val="00C634AC"/>
    <w:rsid w:val="00C639C9"/>
    <w:rsid w:val="00C63A08"/>
    <w:rsid w:val="00C63EC6"/>
    <w:rsid w:val="00C64D09"/>
    <w:rsid w:val="00C64D26"/>
    <w:rsid w:val="00C64DF9"/>
    <w:rsid w:val="00C64EF0"/>
    <w:rsid w:val="00C64FDD"/>
    <w:rsid w:val="00C65196"/>
    <w:rsid w:val="00C65494"/>
    <w:rsid w:val="00C657AE"/>
    <w:rsid w:val="00C65DB7"/>
    <w:rsid w:val="00C65EA1"/>
    <w:rsid w:val="00C66246"/>
    <w:rsid w:val="00C66296"/>
    <w:rsid w:val="00C66790"/>
    <w:rsid w:val="00C668A2"/>
    <w:rsid w:val="00C66C05"/>
    <w:rsid w:val="00C66F89"/>
    <w:rsid w:val="00C67068"/>
    <w:rsid w:val="00C67730"/>
    <w:rsid w:val="00C67998"/>
    <w:rsid w:val="00C67B53"/>
    <w:rsid w:val="00C67D67"/>
    <w:rsid w:val="00C67E7D"/>
    <w:rsid w:val="00C67F7C"/>
    <w:rsid w:val="00C70553"/>
    <w:rsid w:val="00C70637"/>
    <w:rsid w:val="00C7073C"/>
    <w:rsid w:val="00C708A6"/>
    <w:rsid w:val="00C70A93"/>
    <w:rsid w:val="00C717D0"/>
    <w:rsid w:val="00C71A71"/>
    <w:rsid w:val="00C71FC5"/>
    <w:rsid w:val="00C7209C"/>
    <w:rsid w:val="00C720BE"/>
    <w:rsid w:val="00C720E8"/>
    <w:rsid w:val="00C72F97"/>
    <w:rsid w:val="00C73621"/>
    <w:rsid w:val="00C739DA"/>
    <w:rsid w:val="00C739F3"/>
    <w:rsid w:val="00C73D1C"/>
    <w:rsid w:val="00C73DF4"/>
    <w:rsid w:val="00C7421F"/>
    <w:rsid w:val="00C74247"/>
    <w:rsid w:val="00C74379"/>
    <w:rsid w:val="00C7439A"/>
    <w:rsid w:val="00C74877"/>
    <w:rsid w:val="00C749FA"/>
    <w:rsid w:val="00C74A24"/>
    <w:rsid w:val="00C74C3B"/>
    <w:rsid w:val="00C75137"/>
    <w:rsid w:val="00C7529F"/>
    <w:rsid w:val="00C759B8"/>
    <w:rsid w:val="00C75C25"/>
    <w:rsid w:val="00C75FDD"/>
    <w:rsid w:val="00C7606F"/>
    <w:rsid w:val="00C76420"/>
    <w:rsid w:val="00C76689"/>
    <w:rsid w:val="00C76790"/>
    <w:rsid w:val="00C76888"/>
    <w:rsid w:val="00C77029"/>
    <w:rsid w:val="00C770D9"/>
    <w:rsid w:val="00C77237"/>
    <w:rsid w:val="00C77681"/>
    <w:rsid w:val="00C779B2"/>
    <w:rsid w:val="00C77AB0"/>
    <w:rsid w:val="00C77F9E"/>
    <w:rsid w:val="00C80223"/>
    <w:rsid w:val="00C80520"/>
    <w:rsid w:val="00C80892"/>
    <w:rsid w:val="00C8097D"/>
    <w:rsid w:val="00C80B6A"/>
    <w:rsid w:val="00C80E07"/>
    <w:rsid w:val="00C811A3"/>
    <w:rsid w:val="00C813C0"/>
    <w:rsid w:val="00C8196A"/>
    <w:rsid w:val="00C81AFC"/>
    <w:rsid w:val="00C81EA3"/>
    <w:rsid w:val="00C81F2F"/>
    <w:rsid w:val="00C822A3"/>
    <w:rsid w:val="00C8235B"/>
    <w:rsid w:val="00C82445"/>
    <w:rsid w:val="00C82744"/>
    <w:rsid w:val="00C8299F"/>
    <w:rsid w:val="00C82B8B"/>
    <w:rsid w:val="00C82E4C"/>
    <w:rsid w:val="00C831A5"/>
    <w:rsid w:val="00C834E0"/>
    <w:rsid w:val="00C8398B"/>
    <w:rsid w:val="00C83B0A"/>
    <w:rsid w:val="00C83B75"/>
    <w:rsid w:val="00C83C85"/>
    <w:rsid w:val="00C83CB1"/>
    <w:rsid w:val="00C83DB1"/>
    <w:rsid w:val="00C83EFB"/>
    <w:rsid w:val="00C8408C"/>
    <w:rsid w:val="00C84106"/>
    <w:rsid w:val="00C841A6"/>
    <w:rsid w:val="00C841BB"/>
    <w:rsid w:val="00C841E2"/>
    <w:rsid w:val="00C8425A"/>
    <w:rsid w:val="00C84B6F"/>
    <w:rsid w:val="00C84DC9"/>
    <w:rsid w:val="00C850BC"/>
    <w:rsid w:val="00C850F8"/>
    <w:rsid w:val="00C85681"/>
    <w:rsid w:val="00C85923"/>
    <w:rsid w:val="00C86108"/>
    <w:rsid w:val="00C863C6"/>
    <w:rsid w:val="00C8658B"/>
    <w:rsid w:val="00C8689A"/>
    <w:rsid w:val="00C86B85"/>
    <w:rsid w:val="00C86C5F"/>
    <w:rsid w:val="00C8716F"/>
    <w:rsid w:val="00C871C0"/>
    <w:rsid w:val="00C873D7"/>
    <w:rsid w:val="00C87556"/>
    <w:rsid w:val="00C8791A"/>
    <w:rsid w:val="00C87B7B"/>
    <w:rsid w:val="00C87E75"/>
    <w:rsid w:val="00C9007E"/>
    <w:rsid w:val="00C901A8"/>
    <w:rsid w:val="00C90299"/>
    <w:rsid w:val="00C90D33"/>
    <w:rsid w:val="00C9131B"/>
    <w:rsid w:val="00C9150C"/>
    <w:rsid w:val="00C91830"/>
    <w:rsid w:val="00C9192E"/>
    <w:rsid w:val="00C91A17"/>
    <w:rsid w:val="00C91BE7"/>
    <w:rsid w:val="00C91C8C"/>
    <w:rsid w:val="00C91DF2"/>
    <w:rsid w:val="00C92189"/>
    <w:rsid w:val="00C92BD2"/>
    <w:rsid w:val="00C93AD9"/>
    <w:rsid w:val="00C93AED"/>
    <w:rsid w:val="00C93D0C"/>
    <w:rsid w:val="00C94092"/>
    <w:rsid w:val="00C94415"/>
    <w:rsid w:val="00C9485A"/>
    <w:rsid w:val="00C94A82"/>
    <w:rsid w:val="00C94BF7"/>
    <w:rsid w:val="00C94FAF"/>
    <w:rsid w:val="00C9544C"/>
    <w:rsid w:val="00C9570B"/>
    <w:rsid w:val="00C95BCB"/>
    <w:rsid w:val="00C95C33"/>
    <w:rsid w:val="00C9641D"/>
    <w:rsid w:val="00C966A2"/>
    <w:rsid w:val="00C96739"/>
    <w:rsid w:val="00C96FD0"/>
    <w:rsid w:val="00C972C2"/>
    <w:rsid w:val="00C97D42"/>
    <w:rsid w:val="00C97D86"/>
    <w:rsid w:val="00C97EC8"/>
    <w:rsid w:val="00CA008A"/>
    <w:rsid w:val="00CA01B3"/>
    <w:rsid w:val="00CA02F9"/>
    <w:rsid w:val="00CA05E5"/>
    <w:rsid w:val="00CA06A2"/>
    <w:rsid w:val="00CA06F4"/>
    <w:rsid w:val="00CA0990"/>
    <w:rsid w:val="00CA0993"/>
    <w:rsid w:val="00CA0C18"/>
    <w:rsid w:val="00CA0D20"/>
    <w:rsid w:val="00CA1503"/>
    <w:rsid w:val="00CA1539"/>
    <w:rsid w:val="00CA1C19"/>
    <w:rsid w:val="00CA1DCC"/>
    <w:rsid w:val="00CA245F"/>
    <w:rsid w:val="00CA29C4"/>
    <w:rsid w:val="00CA3194"/>
    <w:rsid w:val="00CA34EE"/>
    <w:rsid w:val="00CA3590"/>
    <w:rsid w:val="00CA3730"/>
    <w:rsid w:val="00CA3781"/>
    <w:rsid w:val="00CA3AFE"/>
    <w:rsid w:val="00CA3E2C"/>
    <w:rsid w:val="00CA4125"/>
    <w:rsid w:val="00CA44A2"/>
    <w:rsid w:val="00CA4554"/>
    <w:rsid w:val="00CA49E0"/>
    <w:rsid w:val="00CA4AC7"/>
    <w:rsid w:val="00CA4C01"/>
    <w:rsid w:val="00CA4C7D"/>
    <w:rsid w:val="00CA51E5"/>
    <w:rsid w:val="00CA527F"/>
    <w:rsid w:val="00CA55E6"/>
    <w:rsid w:val="00CA5C45"/>
    <w:rsid w:val="00CA5DCC"/>
    <w:rsid w:val="00CA5E19"/>
    <w:rsid w:val="00CA60A9"/>
    <w:rsid w:val="00CA60E0"/>
    <w:rsid w:val="00CA6260"/>
    <w:rsid w:val="00CA69D2"/>
    <w:rsid w:val="00CA6BFF"/>
    <w:rsid w:val="00CA75F1"/>
    <w:rsid w:val="00CA78F0"/>
    <w:rsid w:val="00CA7A06"/>
    <w:rsid w:val="00CA7F09"/>
    <w:rsid w:val="00CB07CA"/>
    <w:rsid w:val="00CB0C48"/>
    <w:rsid w:val="00CB0D39"/>
    <w:rsid w:val="00CB0E44"/>
    <w:rsid w:val="00CB10A5"/>
    <w:rsid w:val="00CB1701"/>
    <w:rsid w:val="00CB1864"/>
    <w:rsid w:val="00CB1B0F"/>
    <w:rsid w:val="00CB1B81"/>
    <w:rsid w:val="00CB1FC0"/>
    <w:rsid w:val="00CB212C"/>
    <w:rsid w:val="00CB22F6"/>
    <w:rsid w:val="00CB2504"/>
    <w:rsid w:val="00CB26DA"/>
    <w:rsid w:val="00CB2787"/>
    <w:rsid w:val="00CB27D9"/>
    <w:rsid w:val="00CB27FB"/>
    <w:rsid w:val="00CB2975"/>
    <w:rsid w:val="00CB2A88"/>
    <w:rsid w:val="00CB32DD"/>
    <w:rsid w:val="00CB33AD"/>
    <w:rsid w:val="00CB350D"/>
    <w:rsid w:val="00CB379E"/>
    <w:rsid w:val="00CB39D1"/>
    <w:rsid w:val="00CB3F71"/>
    <w:rsid w:val="00CB40AD"/>
    <w:rsid w:val="00CB40B8"/>
    <w:rsid w:val="00CB4572"/>
    <w:rsid w:val="00CB4A20"/>
    <w:rsid w:val="00CB4B8E"/>
    <w:rsid w:val="00CB4F90"/>
    <w:rsid w:val="00CB5074"/>
    <w:rsid w:val="00CB542D"/>
    <w:rsid w:val="00CB5436"/>
    <w:rsid w:val="00CB5483"/>
    <w:rsid w:val="00CB54B7"/>
    <w:rsid w:val="00CB5580"/>
    <w:rsid w:val="00CB5A58"/>
    <w:rsid w:val="00CB5B6B"/>
    <w:rsid w:val="00CB5D30"/>
    <w:rsid w:val="00CB613A"/>
    <w:rsid w:val="00CB63C9"/>
    <w:rsid w:val="00CB649F"/>
    <w:rsid w:val="00CB6628"/>
    <w:rsid w:val="00CB668B"/>
    <w:rsid w:val="00CB6B6B"/>
    <w:rsid w:val="00CB73BB"/>
    <w:rsid w:val="00CB740F"/>
    <w:rsid w:val="00CB74AC"/>
    <w:rsid w:val="00CB7885"/>
    <w:rsid w:val="00CB7B58"/>
    <w:rsid w:val="00CB7E97"/>
    <w:rsid w:val="00CB7E9C"/>
    <w:rsid w:val="00CB7F2B"/>
    <w:rsid w:val="00CB7FBE"/>
    <w:rsid w:val="00CC0004"/>
    <w:rsid w:val="00CC01E3"/>
    <w:rsid w:val="00CC0257"/>
    <w:rsid w:val="00CC05F3"/>
    <w:rsid w:val="00CC0680"/>
    <w:rsid w:val="00CC06CD"/>
    <w:rsid w:val="00CC06DE"/>
    <w:rsid w:val="00CC07B7"/>
    <w:rsid w:val="00CC0AA0"/>
    <w:rsid w:val="00CC0BAE"/>
    <w:rsid w:val="00CC1381"/>
    <w:rsid w:val="00CC1424"/>
    <w:rsid w:val="00CC1602"/>
    <w:rsid w:val="00CC1679"/>
    <w:rsid w:val="00CC1909"/>
    <w:rsid w:val="00CC19B3"/>
    <w:rsid w:val="00CC1B4D"/>
    <w:rsid w:val="00CC1D3E"/>
    <w:rsid w:val="00CC1EEB"/>
    <w:rsid w:val="00CC25F5"/>
    <w:rsid w:val="00CC2B4D"/>
    <w:rsid w:val="00CC3109"/>
    <w:rsid w:val="00CC33AC"/>
    <w:rsid w:val="00CC3555"/>
    <w:rsid w:val="00CC3981"/>
    <w:rsid w:val="00CC3B8C"/>
    <w:rsid w:val="00CC3C01"/>
    <w:rsid w:val="00CC3C95"/>
    <w:rsid w:val="00CC408D"/>
    <w:rsid w:val="00CC42DA"/>
    <w:rsid w:val="00CC4343"/>
    <w:rsid w:val="00CC451E"/>
    <w:rsid w:val="00CC47F9"/>
    <w:rsid w:val="00CC4A0F"/>
    <w:rsid w:val="00CC4EAA"/>
    <w:rsid w:val="00CC50AA"/>
    <w:rsid w:val="00CC5233"/>
    <w:rsid w:val="00CC535F"/>
    <w:rsid w:val="00CC5502"/>
    <w:rsid w:val="00CC58C5"/>
    <w:rsid w:val="00CC5AE9"/>
    <w:rsid w:val="00CC5C39"/>
    <w:rsid w:val="00CC60DA"/>
    <w:rsid w:val="00CC612F"/>
    <w:rsid w:val="00CC6285"/>
    <w:rsid w:val="00CC628A"/>
    <w:rsid w:val="00CC651A"/>
    <w:rsid w:val="00CC68AE"/>
    <w:rsid w:val="00CC6B2D"/>
    <w:rsid w:val="00CC701A"/>
    <w:rsid w:val="00CC7502"/>
    <w:rsid w:val="00CC7BC4"/>
    <w:rsid w:val="00CD00EC"/>
    <w:rsid w:val="00CD02AF"/>
    <w:rsid w:val="00CD07B5"/>
    <w:rsid w:val="00CD07D1"/>
    <w:rsid w:val="00CD080C"/>
    <w:rsid w:val="00CD0846"/>
    <w:rsid w:val="00CD0D21"/>
    <w:rsid w:val="00CD0D3E"/>
    <w:rsid w:val="00CD1218"/>
    <w:rsid w:val="00CD163F"/>
    <w:rsid w:val="00CD191D"/>
    <w:rsid w:val="00CD1AC1"/>
    <w:rsid w:val="00CD1D4E"/>
    <w:rsid w:val="00CD1E3F"/>
    <w:rsid w:val="00CD221A"/>
    <w:rsid w:val="00CD23D7"/>
    <w:rsid w:val="00CD2492"/>
    <w:rsid w:val="00CD25E5"/>
    <w:rsid w:val="00CD2DAC"/>
    <w:rsid w:val="00CD30AB"/>
    <w:rsid w:val="00CD346B"/>
    <w:rsid w:val="00CD3480"/>
    <w:rsid w:val="00CD3E7F"/>
    <w:rsid w:val="00CD4038"/>
    <w:rsid w:val="00CD40CB"/>
    <w:rsid w:val="00CD415A"/>
    <w:rsid w:val="00CD418E"/>
    <w:rsid w:val="00CD47FD"/>
    <w:rsid w:val="00CD48A0"/>
    <w:rsid w:val="00CD4F37"/>
    <w:rsid w:val="00CD54FE"/>
    <w:rsid w:val="00CD5881"/>
    <w:rsid w:val="00CD593E"/>
    <w:rsid w:val="00CD5B46"/>
    <w:rsid w:val="00CD5C1C"/>
    <w:rsid w:val="00CD5E99"/>
    <w:rsid w:val="00CD60FC"/>
    <w:rsid w:val="00CD6200"/>
    <w:rsid w:val="00CD6215"/>
    <w:rsid w:val="00CD6366"/>
    <w:rsid w:val="00CD638F"/>
    <w:rsid w:val="00CD6570"/>
    <w:rsid w:val="00CD66EA"/>
    <w:rsid w:val="00CD6769"/>
    <w:rsid w:val="00CD692B"/>
    <w:rsid w:val="00CD69F2"/>
    <w:rsid w:val="00CD6C7F"/>
    <w:rsid w:val="00CD6F12"/>
    <w:rsid w:val="00CD6FBC"/>
    <w:rsid w:val="00CD774E"/>
    <w:rsid w:val="00CD7922"/>
    <w:rsid w:val="00CD7AD3"/>
    <w:rsid w:val="00CD7E96"/>
    <w:rsid w:val="00CE018F"/>
    <w:rsid w:val="00CE04C7"/>
    <w:rsid w:val="00CE04DC"/>
    <w:rsid w:val="00CE0ACB"/>
    <w:rsid w:val="00CE0EAA"/>
    <w:rsid w:val="00CE1194"/>
    <w:rsid w:val="00CE14D1"/>
    <w:rsid w:val="00CE17A2"/>
    <w:rsid w:val="00CE1CE2"/>
    <w:rsid w:val="00CE1FCC"/>
    <w:rsid w:val="00CE2380"/>
    <w:rsid w:val="00CE242C"/>
    <w:rsid w:val="00CE26A6"/>
    <w:rsid w:val="00CE2900"/>
    <w:rsid w:val="00CE29B6"/>
    <w:rsid w:val="00CE2A47"/>
    <w:rsid w:val="00CE2A5F"/>
    <w:rsid w:val="00CE2F68"/>
    <w:rsid w:val="00CE314F"/>
    <w:rsid w:val="00CE38CE"/>
    <w:rsid w:val="00CE3A6E"/>
    <w:rsid w:val="00CE3C1F"/>
    <w:rsid w:val="00CE3E23"/>
    <w:rsid w:val="00CE3FAE"/>
    <w:rsid w:val="00CE40BC"/>
    <w:rsid w:val="00CE4C0E"/>
    <w:rsid w:val="00CE4DDF"/>
    <w:rsid w:val="00CE5366"/>
    <w:rsid w:val="00CE5BEB"/>
    <w:rsid w:val="00CE5E29"/>
    <w:rsid w:val="00CE604D"/>
    <w:rsid w:val="00CE6411"/>
    <w:rsid w:val="00CE652B"/>
    <w:rsid w:val="00CE6A99"/>
    <w:rsid w:val="00CE6E5F"/>
    <w:rsid w:val="00CE6FE0"/>
    <w:rsid w:val="00CE7A7D"/>
    <w:rsid w:val="00CE7CE8"/>
    <w:rsid w:val="00CE7ED3"/>
    <w:rsid w:val="00CE7ED8"/>
    <w:rsid w:val="00CF0454"/>
    <w:rsid w:val="00CF081D"/>
    <w:rsid w:val="00CF0BC2"/>
    <w:rsid w:val="00CF0C01"/>
    <w:rsid w:val="00CF0F33"/>
    <w:rsid w:val="00CF11A8"/>
    <w:rsid w:val="00CF1531"/>
    <w:rsid w:val="00CF17BE"/>
    <w:rsid w:val="00CF17E0"/>
    <w:rsid w:val="00CF1A54"/>
    <w:rsid w:val="00CF1BD7"/>
    <w:rsid w:val="00CF2181"/>
    <w:rsid w:val="00CF229A"/>
    <w:rsid w:val="00CF234B"/>
    <w:rsid w:val="00CF2761"/>
    <w:rsid w:val="00CF2A94"/>
    <w:rsid w:val="00CF2E4E"/>
    <w:rsid w:val="00CF30ED"/>
    <w:rsid w:val="00CF32E8"/>
    <w:rsid w:val="00CF3326"/>
    <w:rsid w:val="00CF349D"/>
    <w:rsid w:val="00CF359B"/>
    <w:rsid w:val="00CF368C"/>
    <w:rsid w:val="00CF3BD9"/>
    <w:rsid w:val="00CF3CDA"/>
    <w:rsid w:val="00CF3CFA"/>
    <w:rsid w:val="00CF3D21"/>
    <w:rsid w:val="00CF3DEF"/>
    <w:rsid w:val="00CF3EDD"/>
    <w:rsid w:val="00CF3FDD"/>
    <w:rsid w:val="00CF4470"/>
    <w:rsid w:val="00CF4741"/>
    <w:rsid w:val="00CF4821"/>
    <w:rsid w:val="00CF4E0D"/>
    <w:rsid w:val="00CF5028"/>
    <w:rsid w:val="00CF50B8"/>
    <w:rsid w:val="00CF575F"/>
    <w:rsid w:val="00CF57BC"/>
    <w:rsid w:val="00CF58E8"/>
    <w:rsid w:val="00CF5998"/>
    <w:rsid w:val="00CF5C91"/>
    <w:rsid w:val="00CF5F58"/>
    <w:rsid w:val="00CF60D7"/>
    <w:rsid w:val="00CF61CC"/>
    <w:rsid w:val="00CF66E3"/>
    <w:rsid w:val="00CF7035"/>
    <w:rsid w:val="00CF7299"/>
    <w:rsid w:val="00CF7381"/>
    <w:rsid w:val="00CF7547"/>
    <w:rsid w:val="00CF79E3"/>
    <w:rsid w:val="00CF7F7C"/>
    <w:rsid w:val="00D004DD"/>
    <w:rsid w:val="00D00516"/>
    <w:rsid w:val="00D00666"/>
    <w:rsid w:val="00D007C0"/>
    <w:rsid w:val="00D00853"/>
    <w:rsid w:val="00D00B02"/>
    <w:rsid w:val="00D01042"/>
    <w:rsid w:val="00D0108E"/>
    <w:rsid w:val="00D011A8"/>
    <w:rsid w:val="00D011B4"/>
    <w:rsid w:val="00D0131C"/>
    <w:rsid w:val="00D014C6"/>
    <w:rsid w:val="00D015EF"/>
    <w:rsid w:val="00D01C54"/>
    <w:rsid w:val="00D01D98"/>
    <w:rsid w:val="00D0200E"/>
    <w:rsid w:val="00D020D5"/>
    <w:rsid w:val="00D02240"/>
    <w:rsid w:val="00D02287"/>
    <w:rsid w:val="00D024B0"/>
    <w:rsid w:val="00D025C7"/>
    <w:rsid w:val="00D02B88"/>
    <w:rsid w:val="00D02C5A"/>
    <w:rsid w:val="00D02FEE"/>
    <w:rsid w:val="00D03042"/>
    <w:rsid w:val="00D0351C"/>
    <w:rsid w:val="00D039EE"/>
    <w:rsid w:val="00D03A4A"/>
    <w:rsid w:val="00D03B28"/>
    <w:rsid w:val="00D03C5B"/>
    <w:rsid w:val="00D03F19"/>
    <w:rsid w:val="00D04104"/>
    <w:rsid w:val="00D04149"/>
    <w:rsid w:val="00D04481"/>
    <w:rsid w:val="00D044B2"/>
    <w:rsid w:val="00D046CE"/>
    <w:rsid w:val="00D0488C"/>
    <w:rsid w:val="00D04955"/>
    <w:rsid w:val="00D04BF2"/>
    <w:rsid w:val="00D04BFF"/>
    <w:rsid w:val="00D05310"/>
    <w:rsid w:val="00D054FE"/>
    <w:rsid w:val="00D05AF7"/>
    <w:rsid w:val="00D05FF3"/>
    <w:rsid w:val="00D06194"/>
    <w:rsid w:val="00D0648D"/>
    <w:rsid w:val="00D065E2"/>
    <w:rsid w:val="00D067D0"/>
    <w:rsid w:val="00D06F9C"/>
    <w:rsid w:val="00D0719B"/>
    <w:rsid w:val="00D073AA"/>
    <w:rsid w:val="00D074B8"/>
    <w:rsid w:val="00D07558"/>
    <w:rsid w:val="00D07FE5"/>
    <w:rsid w:val="00D101A8"/>
    <w:rsid w:val="00D104AF"/>
    <w:rsid w:val="00D10F06"/>
    <w:rsid w:val="00D110ED"/>
    <w:rsid w:val="00D1149B"/>
    <w:rsid w:val="00D11680"/>
    <w:rsid w:val="00D11860"/>
    <w:rsid w:val="00D11979"/>
    <w:rsid w:val="00D11CFF"/>
    <w:rsid w:val="00D11D32"/>
    <w:rsid w:val="00D120F0"/>
    <w:rsid w:val="00D120F6"/>
    <w:rsid w:val="00D12693"/>
    <w:rsid w:val="00D12706"/>
    <w:rsid w:val="00D12A0C"/>
    <w:rsid w:val="00D12B3D"/>
    <w:rsid w:val="00D12DEF"/>
    <w:rsid w:val="00D12F94"/>
    <w:rsid w:val="00D1345E"/>
    <w:rsid w:val="00D135E2"/>
    <w:rsid w:val="00D13699"/>
    <w:rsid w:val="00D137D6"/>
    <w:rsid w:val="00D138B6"/>
    <w:rsid w:val="00D138CB"/>
    <w:rsid w:val="00D14389"/>
    <w:rsid w:val="00D14443"/>
    <w:rsid w:val="00D14455"/>
    <w:rsid w:val="00D14910"/>
    <w:rsid w:val="00D14A3A"/>
    <w:rsid w:val="00D14D9B"/>
    <w:rsid w:val="00D1569E"/>
    <w:rsid w:val="00D156D5"/>
    <w:rsid w:val="00D15952"/>
    <w:rsid w:val="00D15E00"/>
    <w:rsid w:val="00D15FE0"/>
    <w:rsid w:val="00D16199"/>
    <w:rsid w:val="00D162A4"/>
    <w:rsid w:val="00D162B4"/>
    <w:rsid w:val="00D16367"/>
    <w:rsid w:val="00D16A4D"/>
    <w:rsid w:val="00D16BB5"/>
    <w:rsid w:val="00D16CD3"/>
    <w:rsid w:val="00D16F9F"/>
    <w:rsid w:val="00D16FAE"/>
    <w:rsid w:val="00D17339"/>
    <w:rsid w:val="00D1736B"/>
    <w:rsid w:val="00D17790"/>
    <w:rsid w:val="00D1787B"/>
    <w:rsid w:val="00D178CA"/>
    <w:rsid w:val="00D17A2C"/>
    <w:rsid w:val="00D17BEB"/>
    <w:rsid w:val="00D20330"/>
    <w:rsid w:val="00D20362"/>
    <w:rsid w:val="00D20523"/>
    <w:rsid w:val="00D2054C"/>
    <w:rsid w:val="00D2086A"/>
    <w:rsid w:val="00D217ED"/>
    <w:rsid w:val="00D21868"/>
    <w:rsid w:val="00D21B52"/>
    <w:rsid w:val="00D21DE1"/>
    <w:rsid w:val="00D22147"/>
    <w:rsid w:val="00D2224D"/>
    <w:rsid w:val="00D223CB"/>
    <w:rsid w:val="00D2250B"/>
    <w:rsid w:val="00D22725"/>
    <w:rsid w:val="00D22770"/>
    <w:rsid w:val="00D22A3E"/>
    <w:rsid w:val="00D22B79"/>
    <w:rsid w:val="00D22BBF"/>
    <w:rsid w:val="00D22E63"/>
    <w:rsid w:val="00D22E92"/>
    <w:rsid w:val="00D230F4"/>
    <w:rsid w:val="00D231C6"/>
    <w:rsid w:val="00D23251"/>
    <w:rsid w:val="00D2326A"/>
    <w:rsid w:val="00D2370E"/>
    <w:rsid w:val="00D23DED"/>
    <w:rsid w:val="00D23F75"/>
    <w:rsid w:val="00D23FEF"/>
    <w:rsid w:val="00D242AD"/>
    <w:rsid w:val="00D24376"/>
    <w:rsid w:val="00D245FF"/>
    <w:rsid w:val="00D24D48"/>
    <w:rsid w:val="00D24DF6"/>
    <w:rsid w:val="00D25AE5"/>
    <w:rsid w:val="00D25E97"/>
    <w:rsid w:val="00D25EFB"/>
    <w:rsid w:val="00D25F2E"/>
    <w:rsid w:val="00D2660D"/>
    <w:rsid w:val="00D266DB"/>
    <w:rsid w:val="00D2697A"/>
    <w:rsid w:val="00D26A04"/>
    <w:rsid w:val="00D26B62"/>
    <w:rsid w:val="00D26D25"/>
    <w:rsid w:val="00D26E3D"/>
    <w:rsid w:val="00D2709E"/>
    <w:rsid w:val="00D27238"/>
    <w:rsid w:val="00D27275"/>
    <w:rsid w:val="00D27347"/>
    <w:rsid w:val="00D27ADD"/>
    <w:rsid w:val="00D27D10"/>
    <w:rsid w:val="00D27D79"/>
    <w:rsid w:val="00D27FE7"/>
    <w:rsid w:val="00D3005C"/>
    <w:rsid w:val="00D3020E"/>
    <w:rsid w:val="00D3032C"/>
    <w:rsid w:val="00D305A0"/>
    <w:rsid w:val="00D3062B"/>
    <w:rsid w:val="00D30B0F"/>
    <w:rsid w:val="00D30DED"/>
    <w:rsid w:val="00D30FB9"/>
    <w:rsid w:val="00D31194"/>
    <w:rsid w:val="00D311FC"/>
    <w:rsid w:val="00D3148D"/>
    <w:rsid w:val="00D3179A"/>
    <w:rsid w:val="00D31BFE"/>
    <w:rsid w:val="00D32181"/>
    <w:rsid w:val="00D322EA"/>
    <w:rsid w:val="00D32737"/>
    <w:rsid w:val="00D327F1"/>
    <w:rsid w:val="00D3297A"/>
    <w:rsid w:val="00D32A4D"/>
    <w:rsid w:val="00D32B5E"/>
    <w:rsid w:val="00D32E0D"/>
    <w:rsid w:val="00D32E4E"/>
    <w:rsid w:val="00D33028"/>
    <w:rsid w:val="00D33050"/>
    <w:rsid w:val="00D3344F"/>
    <w:rsid w:val="00D33486"/>
    <w:rsid w:val="00D33559"/>
    <w:rsid w:val="00D3373C"/>
    <w:rsid w:val="00D33884"/>
    <w:rsid w:val="00D339B5"/>
    <w:rsid w:val="00D33C1A"/>
    <w:rsid w:val="00D33DCC"/>
    <w:rsid w:val="00D33F8B"/>
    <w:rsid w:val="00D3435A"/>
    <w:rsid w:val="00D344E9"/>
    <w:rsid w:val="00D34634"/>
    <w:rsid w:val="00D34B6C"/>
    <w:rsid w:val="00D34BF6"/>
    <w:rsid w:val="00D34C0B"/>
    <w:rsid w:val="00D34C5F"/>
    <w:rsid w:val="00D34D61"/>
    <w:rsid w:val="00D352C3"/>
    <w:rsid w:val="00D35370"/>
    <w:rsid w:val="00D354F4"/>
    <w:rsid w:val="00D357FF"/>
    <w:rsid w:val="00D359C5"/>
    <w:rsid w:val="00D35B22"/>
    <w:rsid w:val="00D35C91"/>
    <w:rsid w:val="00D35E99"/>
    <w:rsid w:val="00D35EA9"/>
    <w:rsid w:val="00D35F9A"/>
    <w:rsid w:val="00D361DF"/>
    <w:rsid w:val="00D36647"/>
    <w:rsid w:val="00D36C2F"/>
    <w:rsid w:val="00D3715E"/>
    <w:rsid w:val="00D37194"/>
    <w:rsid w:val="00D37237"/>
    <w:rsid w:val="00D37268"/>
    <w:rsid w:val="00D374EC"/>
    <w:rsid w:val="00D37C44"/>
    <w:rsid w:val="00D37CFF"/>
    <w:rsid w:val="00D37E22"/>
    <w:rsid w:val="00D37E8D"/>
    <w:rsid w:val="00D40165"/>
    <w:rsid w:val="00D402B4"/>
    <w:rsid w:val="00D402E9"/>
    <w:rsid w:val="00D40401"/>
    <w:rsid w:val="00D40920"/>
    <w:rsid w:val="00D409EC"/>
    <w:rsid w:val="00D40A08"/>
    <w:rsid w:val="00D40A28"/>
    <w:rsid w:val="00D41020"/>
    <w:rsid w:val="00D410C5"/>
    <w:rsid w:val="00D4189B"/>
    <w:rsid w:val="00D41989"/>
    <w:rsid w:val="00D419E5"/>
    <w:rsid w:val="00D41A3B"/>
    <w:rsid w:val="00D41E3D"/>
    <w:rsid w:val="00D420E4"/>
    <w:rsid w:val="00D42348"/>
    <w:rsid w:val="00D4258C"/>
    <w:rsid w:val="00D428F8"/>
    <w:rsid w:val="00D42946"/>
    <w:rsid w:val="00D4297E"/>
    <w:rsid w:val="00D42BC8"/>
    <w:rsid w:val="00D42F82"/>
    <w:rsid w:val="00D43480"/>
    <w:rsid w:val="00D43542"/>
    <w:rsid w:val="00D435DA"/>
    <w:rsid w:val="00D43D65"/>
    <w:rsid w:val="00D43DC6"/>
    <w:rsid w:val="00D43FA1"/>
    <w:rsid w:val="00D443C5"/>
    <w:rsid w:val="00D44452"/>
    <w:rsid w:val="00D4459B"/>
    <w:rsid w:val="00D44658"/>
    <w:rsid w:val="00D4476E"/>
    <w:rsid w:val="00D44AB6"/>
    <w:rsid w:val="00D45212"/>
    <w:rsid w:val="00D4550F"/>
    <w:rsid w:val="00D455A8"/>
    <w:rsid w:val="00D456C4"/>
    <w:rsid w:val="00D459E4"/>
    <w:rsid w:val="00D45A37"/>
    <w:rsid w:val="00D45D8D"/>
    <w:rsid w:val="00D464AC"/>
    <w:rsid w:val="00D464EF"/>
    <w:rsid w:val="00D46C70"/>
    <w:rsid w:val="00D471AD"/>
    <w:rsid w:val="00D471DB"/>
    <w:rsid w:val="00D474E9"/>
    <w:rsid w:val="00D474F8"/>
    <w:rsid w:val="00D47AE3"/>
    <w:rsid w:val="00D47EFB"/>
    <w:rsid w:val="00D47F8F"/>
    <w:rsid w:val="00D50380"/>
    <w:rsid w:val="00D50570"/>
    <w:rsid w:val="00D50D9C"/>
    <w:rsid w:val="00D50EED"/>
    <w:rsid w:val="00D5181A"/>
    <w:rsid w:val="00D51927"/>
    <w:rsid w:val="00D51934"/>
    <w:rsid w:val="00D51B36"/>
    <w:rsid w:val="00D51D42"/>
    <w:rsid w:val="00D51F60"/>
    <w:rsid w:val="00D52266"/>
    <w:rsid w:val="00D523A8"/>
    <w:rsid w:val="00D5240D"/>
    <w:rsid w:val="00D52703"/>
    <w:rsid w:val="00D52AC6"/>
    <w:rsid w:val="00D52CAB"/>
    <w:rsid w:val="00D52E04"/>
    <w:rsid w:val="00D5318A"/>
    <w:rsid w:val="00D536ED"/>
    <w:rsid w:val="00D537C9"/>
    <w:rsid w:val="00D53964"/>
    <w:rsid w:val="00D5398C"/>
    <w:rsid w:val="00D53C43"/>
    <w:rsid w:val="00D53FDE"/>
    <w:rsid w:val="00D54194"/>
    <w:rsid w:val="00D54595"/>
    <w:rsid w:val="00D54AFC"/>
    <w:rsid w:val="00D54B85"/>
    <w:rsid w:val="00D54C35"/>
    <w:rsid w:val="00D54D6F"/>
    <w:rsid w:val="00D54ED5"/>
    <w:rsid w:val="00D54F2B"/>
    <w:rsid w:val="00D550B3"/>
    <w:rsid w:val="00D550EB"/>
    <w:rsid w:val="00D55819"/>
    <w:rsid w:val="00D55B16"/>
    <w:rsid w:val="00D55F13"/>
    <w:rsid w:val="00D56130"/>
    <w:rsid w:val="00D5656D"/>
    <w:rsid w:val="00D565B2"/>
    <w:rsid w:val="00D56CF1"/>
    <w:rsid w:val="00D56D89"/>
    <w:rsid w:val="00D56E20"/>
    <w:rsid w:val="00D56F00"/>
    <w:rsid w:val="00D574B0"/>
    <w:rsid w:val="00D57879"/>
    <w:rsid w:val="00D579AF"/>
    <w:rsid w:val="00D57D97"/>
    <w:rsid w:val="00D602D4"/>
    <w:rsid w:val="00D6034F"/>
    <w:rsid w:val="00D60555"/>
    <w:rsid w:val="00D60635"/>
    <w:rsid w:val="00D60D7E"/>
    <w:rsid w:val="00D610C7"/>
    <w:rsid w:val="00D61239"/>
    <w:rsid w:val="00D6134B"/>
    <w:rsid w:val="00D6181A"/>
    <w:rsid w:val="00D61B11"/>
    <w:rsid w:val="00D61DE7"/>
    <w:rsid w:val="00D61E7A"/>
    <w:rsid w:val="00D61FDB"/>
    <w:rsid w:val="00D62101"/>
    <w:rsid w:val="00D62148"/>
    <w:rsid w:val="00D62184"/>
    <w:rsid w:val="00D62286"/>
    <w:rsid w:val="00D627A2"/>
    <w:rsid w:val="00D6295E"/>
    <w:rsid w:val="00D62BA1"/>
    <w:rsid w:val="00D62BE0"/>
    <w:rsid w:val="00D62DFE"/>
    <w:rsid w:val="00D62E70"/>
    <w:rsid w:val="00D62F59"/>
    <w:rsid w:val="00D6328B"/>
    <w:rsid w:val="00D63746"/>
    <w:rsid w:val="00D63A51"/>
    <w:rsid w:val="00D63C6B"/>
    <w:rsid w:val="00D63CD6"/>
    <w:rsid w:val="00D63E04"/>
    <w:rsid w:val="00D643E8"/>
    <w:rsid w:val="00D64586"/>
    <w:rsid w:val="00D64664"/>
    <w:rsid w:val="00D64A71"/>
    <w:rsid w:val="00D64BED"/>
    <w:rsid w:val="00D64CF9"/>
    <w:rsid w:val="00D64FE9"/>
    <w:rsid w:val="00D6508D"/>
    <w:rsid w:val="00D651F0"/>
    <w:rsid w:val="00D6545B"/>
    <w:rsid w:val="00D65641"/>
    <w:rsid w:val="00D6591E"/>
    <w:rsid w:val="00D65C42"/>
    <w:rsid w:val="00D65C57"/>
    <w:rsid w:val="00D65D5F"/>
    <w:rsid w:val="00D65F8B"/>
    <w:rsid w:val="00D66134"/>
    <w:rsid w:val="00D66155"/>
    <w:rsid w:val="00D66177"/>
    <w:rsid w:val="00D665A4"/>
    <w:rsid w:val="00D667BD"/>
    <w:rsid w:val="00D66E2E"/>
    <w:rsid w:val="00D66E98"/>
    <w:rsid w:val="00D66F1C"/>
    <w:rsid w:val="00D66F7E"/>
    <w:rsid w:val="00D674C1"/>
    <w:rsid w:val="00D674EF"/>
    <w:rsid w:val="00D6761D"/>
    <w:rsid w:val="00D67792"/>
    <w:rsid w:val="00D67B8D"/>
    <w:rsid w:val="00D67C71"/>
    <w:rsid w:val="00D67D96"/>
    <w:rsid w:val="00D67E7E"/>
    <w:rsid w:val="00D67F72"/>
    <w:rsid w:val="00D701F7"/>
    <w:rsid w:val="00D702F6"/>
    <w:rsid w:val="00D70BC7"/>
    <w:rsid w:val="00D70F4B"/>
    <w:rsid w:val="00D7116D"/>
    <w:rsid w:val="00D717A5"/>
    <w:rsid w:val="00D71EC9"/>
    <w:rsid w:val="00D72264"/>
    <w:rsid w:val="00D723F6"/>
    <w:rsid w:val="00D727C5"/>
    <w:rsid w:val="00D729DA"/>
    <w:rsid w:val="00D72A19"/>
    <w:rsid w:val="00D72BC8"/>
    <w:rsid w:val="00D72C52"/>
    <w:rsid w:val="00D72D0D"/>
    <w:rsid w:val="00D72E36"/>
    <w:rsid w:val="00D7321A"/>
    <w:rsid w:val="00D733B0"/>
    <w:rsid w:val="00D7349C"/>
    <w:rsid w:val="00D7362D"/>
    <w:rsid w:val="00D73A4B"/>
    <w:rsid w:val="00D73C78"/>
    <w:rsid w:val="00D73E96"/>
    <w:rsid w:val="00D73F5D"/>
    <w:rsid w:val="00D740A3"/>
    <w:rsid w:val="00D74142"/>
    <w:rsid w:val="00D741C7"/>
    <w:rsid w:val="00D742CD"/>
    <w:rsid w:val="00D743F8"/>
    <w:rsid w:val="00D74407"/>
    <w:rsid w:val="00D74864"/>
    <w:rsid w:val="00D749EA"/>
    <w:rsid w:val="00D74C73"/>
    <w:rsid w:val="00D74DD3"/>
    <w:rsid w:val="00D74DE9"/>
    <w:rsid w:val="00D74E85"/>
    <w:rsid w:val="00D75032"/>
    <w:rsid w:val="00D756A4"/>
    <w:rsid w:val="00D763E0"/>
    <w:rsid w:val="00D7656C"/>
    <w:rsid w:val="00D76D3F"/>
    <w:rsid w:val="00D76D61"/>
    <w:rsid w:val="00D77134"/>
    <w:rsid w:val="00D7728A"/>
    <w:rsid w:val="00D772FD"/>
    <w:rsid w:val="00D77682"/>
    <w:rsid w:val="00D777AD"/>
    <w:rsid w:val="00D777D0"/>
    <w:rsid w:val="00D777DA"/>
    <w:rsid w:val="00D778D1"/>
    <w:rsid w:val="00D77997"/>
    <w:rsid w:val="00D77A2E"/>
    <w:rsid w:val="00D77AB0"/>
    <w:rsid w:val="00D80016"/>
    <w:rsid w:val="00D80020"/>
    <w:rsid w:val="00D80044"/>
    <w:rsid w:val="00D8021A"/>
    <w:rsid w:val="00D80415"/>
    <w:rsid w:val="00D806A9"/>
    <w:rsid w:val="00D80701"/>
    <w:rsid w:val="00D80708"/>
    <w:rsid w:val="00D80B8A"/>
    <w:rsid w:val="00D80CA7"/>
    <w:rsid w:val="00D81293"/>
    <w:rsid w:val="00D8137A"/>
    <w:rsid w:val="00D81460"/>
    <w:rsid w:val="00D815AF"/>
    <w:rsid w:val="00D81782"/>
    <w:rsid w:val="00D819EC"/>
    <w:rsid w:val="00D81A4F"/>
    <w:rsid w:val="00D81EF2"/>
    <w:rsid w:val="00D8238D"/>
    <w:rsid w:val="00D82789"/>
    <w:rsid w:val="00D82DF1"/>
    <w:rsid w:val="00D8324B"/>
    <w:rsid w:val="00D836B0"/>
    <w:rsid w:val="00D83763"/>
    <w:rsid w:val="00D83BB3"/>
    <w:rsid w:val="00D843C5"/>
    <w:rsid w:val="00D844B6"/>
    <w:rsid w:val="00D84724"/>
    <w:rsid w:val="00D84765"/>
    <w:rsid w:val="00D84ABF"/>
    <w:rsid w:val="00D84D10"/>
    <w:rsid w:val="00D85369"/>
    <w:rsid w:val="00D8540E"/>
    <w:rsid w:val="00D8544E"/>
    <w:rsid w:val="00D85548"/>
    <w:rsid w:val="00D8590C"/>
    <w:rsid w:val="00D85BF2"/>
    <w:rsid w:val="00D85CE8"/>
    <w:rsid w:val="00D85F25"/>
    <w:rsid w:val="00D86091"/>
    <w:rsid w:val="00D8624D"/>
    <w:rsid w:val="00D86646"/>
    <w:rsid w:val="00D86863"/>
    <w:rsid w:val="00D86AC8"/>
    <w:rsid w:val="00D86C93"/>
    <w:rsid w:val="00D87197"/>
    <w:rsid w:val="00D87204"/>
    <w:rsid w:val="00D873AE"/>
    <w:rsid w:val="00D873F4"/>
    <w:rsid w:val="00D874AE"/>
    <w:rsid w:val="00D877B5"/>
    <w:rsid w:val="00D879D4"/>
    <w:rsid w:val="00D87CA8"/>
    <w:rsid w:val="00D9038E"/>
    <w:rsid w:val="00D9069D"/>
    <w:rsid w:val="00D906C5"/>
    <w:rsid w:val="00D906E5"/>
    <w:rsid w:val="00D90909"/>
    <w:rsid w:val="00D90A55"/>
    <w:rsid w:val="00D90CF5"/>
    <w:rsid w:val="00D90E7A"/>
    <w:rsid w:val="00D90FC4"/>
    <w:rsid w:val="00D91261"/>
    <w:rsid w:val="00D915E3"/>
    <w:rsid w:val="00D91A7C"/>
    <w:rsid w:val="00D91B35"/>
    <w:rsid w:val="00D92166"/>
    <w:rsid w:val="00D9220F"/>
    <w:rsid w:val="00D92358"/>
    <w:rsid w:val="00D924A3"/>
    <w:rsid w:val="00D92793"/>
    <w:rsid w:val="00D92D0C"/>
    <w:rsid w:val="00D93153"/>
    <w:rsid w:val="00D93585"/>
    <w:rsid w:val="00D93702"/>
    <w:rsid w:val="00D9426C"/>
    <w:rsid w:val="00D94411"/>
    <w:rsid w:val="00D94510"/>
    <w:rsid w:val="00D94520"/>
    <w:rsid w:val="00D947DC"/>
    <w:rsid w:val="00D94893"/>
    <w:rsid w:val="00D94A3F"/>
    <w:rsid w:val="00D94CD3"/>
    <w:rsid w:val="00D94D9F"/>
    <w:rsid w:val="00D94F1B"/>
    <w:rsid w:val="00D954AB"/>
    <w:rsid w:val="00D95FEA"/>
    <w:rsid w:val="00D9622D"/>
    <w:rsid w:val="00D964AC"/>
    <w:rsid w:val="00D96593"/>
    <w:rsid w:val="00D968E2"/>
    <w:rsid w:val="00D96966"/>
    <w:rsid w:val="00D96F8F"/>
    <w:rsid w:val="00D97030"/>
    <w:rsid w:val="00D9705D"/>
    <w:rsid w:val="00D97683"/>
    <w:rsid w:val="00D97901"/>
    <w:rsid w:val="00D97ADE"/>
    <w:rsid w:val="00D97E57"/>
    <w:rsid w:val="00DA03FB"/>
    <w:rsid w:val="00DA05D9"/>
    <w:rsid w:val="00DA08C1"/>
    <w:rsid w:val="00DA0B60"/>
    <w:rsid w:val="00DA0CE2"/>
    <w:rsid w:val="00DA0D80"/>
    <w:rsid w:val="00DA13CB"/>
    <w:rsid w:val="00DA17B5"/>
    <w:rsid w:val="00DA1994"/>
    <w:rsid w:val="00DA1BFE"/>
    <w:rsid w:val="00DA1D82"/>
    <w:rsid w:val="00DA27BA"/>
    <w:rsid w:val="00DA2966"/>
    <w:rsid w:val="00DA29B4"/>
    <w:rsid w:val="00DA29C0"/>
    <w:rsid w:val="00DA2A34"/>
    <w:rsid w:val="00DA2A7C"/>
    <w:rsid w:val="00DA2B3E"/>
    <w:rsid w:val="00DA2CBA"/>
    <w:rsid w:val="00DA2E72"/>
    <w:rsid w:val="00DA2F0B"/>
    <w:rsid w:val="00DA308D"/>
    <w:rsid w:val="00DA3898"/>
    <w:rsid w:val="00DA3FBE"/>
    <w:rsid w:val="00DA3FD3"/>
    <w:rsid w:val="00DA4256"/>
    <w:rsid w:val="00DA46B2"/>
    <w:rsid w:val="00DA46B5"/>
    <w:rsid w:val="00DA4C46"/>
    <w:rsid w:val="00DA4F62"/>
    <w:rsid w:val="00DA561F"/>
    <w:rsid w:val="00DA5895"/>
    <w:rsid w:val="00DA5998"/>
    <w:rsid w:val="00DA5F37"/>
    <w:rsid w:val="00DA646E"/>
    <w:rsid w:val="00DA653B"/>
    <w:rsid w:val="00DA675C"/>
    <w:rsid w:val="00DA693C"/>
    <w:rsid w:val="00DA6A7B"/>
    <w:rsid w:val="00DA6DC5"/>
    <w:rsid w:val="00DA70FB"/>
    <w:rsid w:val="00DA714B"/>
    <w:rsid w:val="00DA73AE"/>
    <w:rsid w:val="00DA73EF"/>
    <w:rsid w:val="00DA7850"/>
    <w:rsid w:val="00DA78E4"/>
    <w:rsid w:val="00DA7B45"/>
    <w:rsid w:val="00DA7D53"/>
    <w:rsid w:val="00DB0163"/>
    <w:rsid w:val="00DB0966"/>
    <w:rsid w:val="00DB0E11"/>
    <w:rsid w:val="00DB141A"/>
    <w:rsid w:val="00DB1C61"/>
    <w:rsid w:val="00DB1C76"/>
    <w:rsid w:val="00DB1CCF"/>
    <w:rsid w:val="00DB1CD9"/>
    <w:rsid w:val="00DB1D31"/>
    <w:rsid w:val="00DB20D7"/>
    <w:rsid w:val="00DB222B"/>
    <w:rsid w:val="00DB2293"/>
    <w:rsid w:val="00DB2301"/>
    <w:rsid w:val="00DB250D"/>
    <w:rsid w:val="00DB2710"/>
    <w:rsid w:val="00DB2BDC"/>
    <w:rsid w:val="00DB2C0A"/>
    <w:rsid w:val="00DB2E52"/>
    <w:rsid w:val="00DB2F84"/>
    <w:rsid w:val="00DB320E"/>
    <w:rsid w:val="00DB3365"/>
    <w:rsid w:val="00DB338D"/>
    <w:rsid w:val="00DB39F0"/>
    <w:rsid w:val="00DB3A7C"/>
    <w:rsid w:val="00DB3E60"/>
    <w:rsid w:val="00DB405F"/>
    <w:rsid w:val="00DB4159"/>
    <w:rsid w:val="00DB460A"/>
    <w:rsid w:val="00DB48B6"/>
    <w:rsid w:val="00DB4D5F"/>
    <w:rsid w:val="00DB5043"/>
    <w:rsid w:val="00DB518C"/>
    <w:rsid w:val="00DB5259"/>
    <w:rsid w:val="00DB59D3"/>
    <w:rsid w:val="00DB5BFC"/>
    <w:rsid w:val="00DB5C4D"/>
    <w:rsid w:val="00DB6263"/>
    <w:rsid w:val="00DB660C"/>
    <w:rsid w:val="00DB6626"/>
    <w:rsid w:val="00DB6670"/>
    <w:rsid w:val="00DB6D4B"/>
    <w:rsid w:val="00DB7291"/>
    <w:rsid w:val="00DB7366"/>
    <w:rsid w:val="00DB7434"/>
    <w:rsid w:val="00DB7722"/>
    <w:rsid w:val="00DB7E87"/>
    <w:rsid w:val="00DB7EE8"/>
    <w:rsid w:val="00DB7F30"/>
    <w:rsid w:val="00DB7FF0"/>
    <w:rsid w:val="00DC002D"/>
    <w:rsid w:val="00DC00EE"/>
    <w:rsid w:val="00DC0207"/>
    <w:rsid w:val="00DC03FB"/>
    <w:rsid w:val="00DC06F6"/>
    <w:rsid w:val="00DC097E"/>
    <w:rsid w:val="00DC0DAC"/>
    <w:rsid w:val="00DC1256"/>
    <w:rsid w:val="00DC13C0"/>
    <w:rsid w:val="00DC1406"/>
    <w:rsid w:val="00DC1488"/>
    <w:rsid w:val="00DC190C"/>
    <w:rsid w:val="00DC2020"/>
    <w:rsid w:val="00DC2135"/>
    <w:rsid w:val="00DC216D"/>
    <w:rsid w:val="00DC2189"/>
    <w:rsid w:val="00DC2201"/>
    <w:rsid w:val="00DC2317"/>
    <w:rsid w:val="00DC231A"/>
    <w:rsid w:val="00DC2826"/>
    <w:rsid w:val="00DC31FC"/>
    <w:rsid w:val="00DC38BC"/>
    <w:rsid w:val="00DC3997"/>
    <w:rsid w:val="00DC3BFD"/>
    <w:rsid w:val="00DC3D2F"/>
    <w:rsid w:val="00DC4364"/>
    <w:rsid w:val="00DC4874"/>
    <w:rsid w:val="00DC49B3"/>
    <w:rsid w:val="00DC4CE7"/>
    <w:rsid w:val="00DC4EA2"/>
    <w:rsid w:val="00DC546E"/>
    <w:rsid w:val="00DC5632"/>
    <w:rsid w:val="00DC5DA9"/>
    <w:rsid w:val="00DC6552"/>
    <w:rsid w:val="00DC6886"/>
    <w:rsid w:val="00DC6B30"/>
    <w:rsid w:val="00DC6C37"/>
    <w:rsid w:val="00DC6EF7"/>
    <w:rsid w:val="00DC7015"/>
    <w:rsid w:val="00DC71AC"/>
    <w:rsid w:val="00DC7641"/>
    <w:rsid w:val="00DC7688"/>
    <w:rsid w:val="00DC77B2"/>
    <w:rsid w:val="00DC7BB7"/>
    <w:rsid w:val="00DC7E2F"/>
    <w:rsid w:val="00DC7E30"/>
    <w:rsid w:val="00DD0A49"/>
    <w:rsid w:val="00DD158D"/>
    <w:rsid w:val="00DD1A91"/>
    <w:rsid w:val="00DD1DB6"/>
    <w:rsid w:val="00DD2458"/>
    <w:rsid w:val="00DD265B"/>
    <w:rsid w:val="00DD2681"/>
    <w:rsid w:val="00DD26D9"/>
    <w:rsid w:val="00DD28BC"/>
    <w:rsid w:val="00DD32A5"/>
    <w:rsid w:val="00DD33EC"/>
    <w:rsid w:val="00DD34B4"/>
    <w:rsid w:val="00DD3523"/>
    <w:rsid w:val="00DD3530"/>
    <w:rsid w:val="00DD3633"/>
    <w:rsid w:val="00DD36C6"/>
    <w:rsid w:val="00DD380B"/>
    <w:rsid w:val="00DD3941"/>
    <w:rsid w:val="00DD3C90"/>
    <w:rsid w:val="00DD41C8"/>
    <w:rsid w:val="00DD4272"/>
    <w:rsid w:val="00DD4361"/>
    <w:rsid w:val="00DD4857"/>
    <w:rsid w:val="00DD5654"/>
    <w:rsid w:val="00DD56E3"/>
    <w:rsid w:val="00DD6609"/>
    <w:rsid w:val="00DD6656"/>
    <w:rsid w:val="00DD67F4"/>
    <w:rsid w:val="00DD6C03"/>
    <w:rsid w:val="00DD6E91"/>
    <w:rsid w:val="00DD6F06"/>
    <w:rsid w:val="00DD7643"/>
    <w:rsid w:val="00DD7709"/>
    <w:rsid w:val="00DD7DA3"/>
    <w:rsid w:val="00DD7E7F"/>
    <w:rsid w:val="00DE0031"/>
    <w:rsid w:val="00DE0496"/>
    <w:rsid w:val="00DE05C8"/>
    <w:rsid w:val="00DE0820"/>
    <w:rsid w:val="00DE0AA9"/>
    <w:rsid w:val="00DE14E3"/>
    <w:rsid w:val="00DE205F"/>
    <w:rsid w:val="00DE207E"/>
    <w:rsid w:val="00DE218E"/>
    <w:rsid w:val="00DE2CF6"/>
    <w:rsid w:val="00DE2DBD"/>
    <w:rsid w:val="00DE33AE"/>
    <w:rsid w:val="00DE33F6"/>
    <w:rsid w:val="00DE3D4C"/>
    <w:rsid w:val="00DE3DB8"/>
    <w:rsid w:val="00DE3F04"/>
    <w:rsid w:val="00DE40B6"/>
    <w:rsid w:val="00DE4131"/>
    <w:rsid w:val="00DE413D"/>
    <w:rsid w:val="00DE4564"/>
    <w:rsid w:val="00DE47A0"/>
    <w:rsid w:val="00DE4809"/>
    <w:rsid w:val="00DE4810"/>
    <w:rsid w:val="00DE4834"/>
    <w:rsid w:val="00DE4868"/>
    <w:rsid w:val="00DE4932"/>
    <w:rsid w:val="00DE4972"/>
    <w:rsid w:val="00DE4A36"/>
    <w:rsid w:val="00DE4F9E"/>
    <w:rsid w:val="00DE4FBB"/>
    <w:rsid w:val="00DE5183"/>
    <w:rsid w:val="00DE5653"/>
    <w:rsid w:val="00DE58FE"/>
    <w:rsid w:val="00DE5AC9"/>
    <w:rsid w:val="00DE5E6B"/>
    <w:rsid w:val="00DE6246"/>
    <w:rsid w:val="00DE6293"/>
    <w:rsid w:val="00DE62BD"/>
    <w:rsid w:val="00DE6745"/>
    <w:rsid w:val="00DE67FC"/>
    <w:rsid w:val="00DE6A04"/>
    <w:rsid w:val="00DE6B6C"/>
    <w:rsid w:val="00DE6B8E"/>
    <w:rsid w:val="00DE6C41"/>
    <w:rsid w:val="00DE6C9A"/>
    <w:rsid w:val="00DE6FC9"/>
    <w:rsid w:val="00DE6FCE"/>
    <w:rsid w:val="00DE73EE"/>
    <w:rsid w:val="00DE7459"/>
    <w:rsid w:val="00DE772E"/>
    <w:rsid w:val="00DE7911"/>
    <w:rsid w:val="00DE7BAD"/>
    <w:rsid w:val="00DE7BE2"/>
    <w:rsid w:val="00DF049A"/>
    <w:rsid w:val="00DF0936"/>
    <w:rsid w:val="00DF0946"/>
    <w:rsid w:val="00DF0B95"/>
    <w:rsid w:val="00DF0C0E"/>
    <w:rsid w:val="00DF0E62"/>
    <w:rsid w:val="00DF0E9E"/>
    <w:rsid w:val="00DF117E"/>
    <w:rsid w:val="00DF1441"/>
    <w:rsid w:val="00DF1591"/>
    <w:rsid w:val="00DF1806"/>
    <w:rsid w:val="00DF1F5F"/>
    <w:rsid w:val="00DF20D6"/>
    <w:rsid w:val="00DF2409"/>
    <w:rsid w:val="00DF2850"/>
    <w:rsid w:val="00DF3001"/>
    <w:rsid w:val="00DF316E"/>
    <w:rsid w:val="00DF3734"/>
    <w:rsid w:val="00DF3B6C"/>
    <w:rsid w:val="00DF3EE0"/>
    <w:rsid w:val="00DF462B"/>
    <w:rsid w:val="00DF47F2"/>
    <w:rsid w:val="00DF4972"/>
    <w:rsid w:val="00DF49B4"/>
    <w:rsid w:val="00DF4DF8"/>
    <w:rsid w:val="00DF520D"/>
    <w:rsid w:val="00DF5299"/>
    <w:rsid w:val="00DF550D"/>
    <w:rsid w:val="00DF551E"/>
    <w:rsid w:val="00DF555C"/>
    <w:rsid w:val="00DF58A1"/>
    <w:rsid w:val="00DF59F0"/>
    <w:rsid w:val="00DF5DCF"/>
    <w:rsid w:val="00DF5F1C"/>
    <w:rsid w:val="00DF5FF8"/>
    <w:rsid w:val="00DF6129"/>
    <w:rsid w:val="00DF612C"/>
    <w:rsid w:val="00DF62B7"/>
    <w:rsid w:val="00DF6658"/>
    <w:rsid w:val="00DF6AC9"/>
    <w:rsid w:val="00DF6B2B"/>
    <w:rsid w:val="00DF6FAA"/>
    <w:rsid w:val="00DF72A9"/>
    <w:rsid w:val="00DF7664"/>
    <w:rsid w:val="00DF7776"/>
    <w:rsid w:val="00DF789C"/>
    <w:rsid w:val="00DF7C4D"/>
    <w:rsid w:val="00DF7CAD"/>
    <w:rsid w:val="00E0000E"/>
    <w:rsid w:val="00E001F7"/>
    <w:rsid w:val="00E00526"/>
    <w:rsid w:val="00E00592"/>
    <w:rsid w:val="00E005B1"/>
    <w:rsid w:val="00E009F0"/>
    <w:rsid w:val="00E00F85"/>
    <w:rsid w:val="00E01067"/>
    <w:rsid w:val="00E01417"/>
    <w:rsid w:val="00E01430"/>
    <w:rsid w:val="00E0152D"/>
    <w:rsid w:val="00E0182C"/>
    <w:rsid w:val="00E01C81"/>
    <w:rsid w:val="00E01E79"/>
    <w:rsid w:val="00E021D8"/>
    <w:rsid w:val="00E0265D"/>
    <w:rsid w:val="00E026B3"/>
    <w:rsid w:val="00E02922"/>
    <w:rsid w:val="00E02944"/>
    <w:rsid w:val="00E02D00"/>
    <w:rsid w:val="00E02EE9"/>
    <w:rsid w:val="00E02F75"/>
    <w:rsid w:val="00E03202"/>
    <w:rsid w:val="00E0352D"/>
    <w:rsid w:val="00E0371D"/>
    <w:rsid w:val="00E037EF"/>
    <w:rsid w:val="00E03831"/>
    <w:rsid w:val="00E038C7"/>
    <w:rsid w:val="00E03B65"/>
    <w:rsid w:val="00E040F5"/>
    <w:rsid w:val="00E043B8"/>
    <w:rsid w:val="00E04859"/>
    <w:rsid w:val="00E04E8F"/>
    <w:rsid w:val="00E05389"/>
    <w:rsid w:val="00E054EA"/>
    <w:rsid w:val="00E0568A"/>
    <w:rsid w:val="00E0576B"/>
    <w:rsid w:val="00E05F32"/>
    <w:rsid w:val="00E0617F"/>
    <w:rsid w:val="00E0672B"/>
    <w:rsid w:val="00E06772"/>
    <w:rsid w:val="00E0687C"/>
    <w:rsid w:val="00E0704C"/>
    <w:rsid w:val="00E071FF"/>
    <w:rsid w:val="00E07247"/>
    <w:rsid w:val="00E07404"/>
    <w:rsid w:val="00E07A79"/>
    <w:rsid w:val="00E07AD8"/>
    <w:rsid w:val="00E07B1F"/>
    <w:rsid w:val="00E10746"/>
    <w:rsid w:val="00E10967"/>
    <w:rsid w:val="00E1099A"/>
    <w:rsid w:val="00E10DEA"/>
    <w:rsid w:val="00E10E5A"/>
    <w:rsid w:val="00E110F3"/>
    <w:rsid w:val="00E1166B"/>
    <w:rsid w:val="00E1180F"/>
    <w:rsid w:val="00E11912"/>
    <w:rsid w:val="00E11AEC"/>
    <w:rsid w:val="00E11E42"/>
    <w:rsid w:val="00E11F08"/>
    <w:rsid w:val="00E1205C"/>
    <w:rsid w:val="00E12387"/>
    <w:rsid w:val="00E1279C"/>
    <w:rsid w:val="00E13027"/>
    <w:rsid w:val="00E1376B"/>
    <w:rsid w:val="00E137C1"/>
    <w:rsid w:val="00E13880"/>
    <w:rsid w:val="00E13A6D"/>
    <w:rsid w:val="00E13A9D"/>
    <w:rsid w:val="00E13E5C"/>
    <w:rsid w:val="00E143BE"/>
    <w:rsid w:val="00E147E9"/>
    <w:rsid w:val="00E14AF4"/>
    <w:rsid w:val="00E14CE6"/>
    <w:rsid w:val="00E14E45"/>
    <w:rsid w:val="00E14E55"/>
    <w:rsid w:val="00E14E80"/>
    <w:rsid w:val="00E14EE6"/>
    <w:rsid w:val="00E15369"/>
    <w:rsid w:val="00E1576C"/>
    <w:rsid w:val="00E159DB"/>
    <w:rsid w:val="00E15AD6"/>
    <w:rsid w:val="00E15C29"/>
    <w:rsid w:val="00E15DF1"/>
    <w:rsid w:val="00E15F6F"/>
    <w:rsid w:val="00E16153"/>
    <w:rsid w:val="00E1631E"/>
    <w:rsid w:val="00E165C6"/>
    <w:rsid w:val="00E16C73"/>
    <w:rsid w:val="00E17310"/>
    <w:rsid w:val="00E17360"/>
    <w:rsid w:val="00E174C7"/>
    <w:rsid w:val="00E178F7"/>
    <w:rsid w:val="00E17900"/>
    <w:rsid w:val="00E17F01"/>
    <w:rsid w:val="00E2008E"/>
    <w:rsid w:val="00E20A33"/>
    <w:rsid w:val="00E20B5C"/>
    <w:rsid w:val="00E20E01"/>
    <w:rsid w:val="00E20E6B"/>
    <w:rsid w:val="00E20FC6"/>
    <w:rsid w:val="00E2142C"/>
    <w:rsid w:val="00E21496"/>
    <w:rsid w:val="00E217E9"/>
    <w:rsid w:val="00E21B57"/>
    <w:rsid w:val="00E21D23"/>
    <w:rsid w:val="00E22320"/>
    <w:rsid w:val="00E2232B"/>
    <w:rsid w:val="00E22A30"/>
    <w:rsid w:val="00E23054"/>
    <w:rsid w:val="00E235C2"/>
    <w:rsid w:val="00E239BE"/>
    <w:rsid w:val="00E23CCB"/>
    <w:rsid w:val="00E249DF"/>
    <w:rsid w:val="00E24A06"/>
    <w:rsid w:val="00E24E92"/>
    <w:rsid w:val="00E25457"/>
    <w:rsid w:val="00E25512"/>
    <w:rsid w:val="00E25AA4"/>
    <w:rsid w:val="00E25E2C"/>
    <w:rsid w:val="00E26229"/>
    <w:rsid w:val="00E26231"/>
    <w:rsid w:val="00E263BB"/>
    <w:rsid w:val="00E265C3"/>
    <w:rsid w:val="00E268C1"/>
    <w:rsid w:val="00E26A29"/>
    <w:rsid w:val="00E26DDB"/>
    <w:rsid w:val="00E26EFD"/>
    <w:rsid w:val="00E2724D"/>
    <w:rsid w:val="00E273A9"/>
    <w:rsid w:val="00E27970"/>
    <w:rsid w:val="00E304B1"/>
    <w:rsid w:val="00E3097B"/>
    <w:rsid w:val="00E30A1F"/>
    <w:rsid w:val="00E30A51"/>
    <w:rsid w:val="00E30B9C"/>
    <w:rsid w:val="00E30BE2"/>
    <w:rsid w:val="00E30FBE"/>
    <w:rsid w:val="00E31997"/>
    <w:rsid w:val="00E31E51"/>
    <w:rsid w:val="00E32306"/>
    <w:rsid w:val="00E32C11"/>
    <w:rsid w:val="00E32E8D"/>
    <w:rsid w:val="00E33088"/>
    <w:rsid w:val="00E33686"/>
    <w:rsid w:val="00E33C55"/>
    <w:rsid w:val="00E343BD"/>
    <w:rsid w:val="00E344E7"/>
    <w:rsid w:val="00E3459C"/>
    <w:rsid w:val="00E34C4F"/>
    <w:rsid w:val="00E34D21"/>
    <w:rsid w:val="00E34F3B"/>
    <w:rsid w:val="00E34F43"/>
    <w:rsid w:val="00E34F54"/>
    <w:rsid w:val="00E350AB"/>
    <w:rsid w:val="00E352CE"/>
    <w:rsid w:val="00E354A3"/>
    <w:rsid w:val="00E3599D"/>
    <w:rsid w:val="00E35BA6"/>
    <w:rsid w:val="00E35EF2"/>
    <w:rsid w:val="00E35FDC"/>
    <w:rsid w:val="00E36024"/>
    <w:rsid w:val="00E3624A"/>
    <w:rsid w:val="00E364D7"/>
    <w:rsid w:val="00E36520"/>
    <w:rsid w:val="00E36B7E"/>
    <w:rsid w:val="00E36BBE"/>
    <w:rsid w:val="00E36E32"/>
    <w:rsid w:val="00E36E45"/>
    <w:rsid w:val="00E3700F"/>
    <w:rsid w:val="00E3711F"/>
    <w:rsid w:val="00E3714D"/>
    <w:rsid w:val="00E37505"/>
    <w:rsid w:val="00E37777"/>
    <w:rsid w:val="00E378E4"/>
    <w:rsid w:val="00E37A1E"/>
    <w:rsid w:val="00E37BE8"/>
    <w:rsid w:val="00E37C5F"/>
    <w:rsid w:val="00E37D1E"/>
    <w:rsid w:val="00E40044"/>
    <w:rsid w:val="00E40184"/>
    <w:rsid w:val="00E40679"/>
    <w:rsid w:val="00E40B31"/>
    <w:rsid w:val="00E40C01"/>
    <w:rsid w:val="00E4100F"/>
    <w:rsid w:val="00E4103E"/>
    <w:rsid w:val="00E41537"/>
    <w:rsid w:val="00E41589"/>
    <w:rsid w:val="00E41601"/>
    <w:rsid w:val="00E416EA"/>
    <w:rsid w:val="00E416FA"/>
    <w:rsid w:val="00E41B77"/>
    <w:rsid w:val="00E41C70"/>
    <w:rsid w:val="00E41DB6"/>
    <w:rsid w:val="00E42177"/>
    <w:rsid w:val="00E4217B"/>
    <w:rsid w:val="00E4253B"/>
    <w:rsid w:val="00E428E7"/>
    <w:rsid w:val="00E429B1"/>
    <w:rsid w:val="00E43264"/>
    <w:rsid w:val="00E4338D"/>
    <w:rsid w:val="00E4358B"/>
    <w:rsid w:val="00E43700"/>
    <w:rsid w:val="00E43BC0"/>
    <w:rsid w:val="00E43CC7"/>
    <w:rsid w:val="00E43F80"/>
    <w:rsid w:val="00E441A8"/>
    <w:rsid w:val="00E44413"/>
    <w:rsid w:val="00E4441A"/>
    <w:rsid w:val="00E44597"/>
    <w:rsid w:val="00E448AD"/>
    <w:rsid w:val="00E449A2"/>
    <w:rsid w:val="00E44C33"/>
    <w:rsid w:val="00E451D4"/>
    <w:rsid w:val="00E45952"/>
    <w:rsid w:val="00E45B6B"/>
    <w:rsid w:val="00E46225"/>
    <w:rsid w:val="00E4639F"/>
    <w:rsid w:val="00E4657C"/>
    <w:rsid w:val="00E46893"/>
    <w:rsid w:val="00E46B4A"/>
    <w:rsid w:val="00E46F90"/>
    <w:rsid w:val="00E46FAA"/>
    <w:rsid w:val="00E47230"/>
    <w:rsid w:val="00E472FE"/>
    <w:rsid w:val="00E47BF9"/>
    <w:rsid w:val="00E47CCF"/>
    <w:rsid w:val="00E50060"/>
    <w:rsid w:val="00E50087"/>
    <w:rsid w:val="00E503A7"/>
    <w:rsid w:val="00E50767"/>
    <w:rsid w:val="00E5093D"/>
    <w:rsid w:val="00E50B9D"/>
    <w:rsid w:val="00E510BB"/>
    <w:rsid w:val="00E511B3"/>
    <w:rsid w:val="00E512CE"/>
    <w:rsid w:val="00E51476"/>
    <w:rsid w:val="00E5151C"/>
    <w:rsid w:val="00E5151E"/>
    <w:rsid w:val="00E51900"/>
    <w:rsid w:val="00E51A92"/>
    <w:rsid w:val="00E5205C"/>
    <w:rsid w:val="00E52508"/>
    <w:rsid w:val="00E5283A"/>
    <w:rsid w:val="00E52B53"/>
    <w:rsid w:val="00E52B81"/>
    <w:rsid w:val="00E52E6A"/>
    <w:rsid w:val="00E5306D"/>
    <w:rsid w:val="00E5328D"/>
    <w:rsid w:val="00E53B1F"/>
    <w:rsid w:val="00E53CCD"/>
    <w:rsid w:val="00E53CFD"/>
    <w:rsid w:val="00E53E4E"/>
    <w:rsid w:val="00E53EA3"/>
    <w:rsid w:val="00E541AC"/>
    <w:rsid w:val="00E545EC"/>
    <w:rsid w:val="00E54A03"/>
    <w:rsid w:val="00E54D66"/>
    <w:rsid w:val="00E54D8D"/>
    <w:rsid w:val="00E552A2"/>
    <w:rsid w:val="00E552CB"/>
    <w:rsid w:val="00E559F0"/>
    <w:rsid w:val="00E55EAE"/>
    <w:rsid w:val="00E55F97"/>
    <w:rsid w:val="00E5601F"/>
    <w:rsid w:val="00E560C0"/>
    <w:rsid w:val="00E560E6"/>
    <w:rsid w:val="00E5617A"/>
    <w:rsid w:val="00E56513"/>
    <w:rsid w:val="00E56887"/>
    <w:rsid w:val="00E56932"/>
    <w:rsid w:val="00E56A23"/>
    <w:rsid w:val="00E56A76"/>
    <w:rsid w:val="00E56C59"/>
    <w:rsid w:val="00E56CE0"/>
    <w:rsid w:val="00E56CEB"/>
    <w:rsid w:val="00E56DAB"/>
    <w:rsid w:val="00E57268"/>
    <w:rsid w:val="00E5738B"/>
    <w:rsid w:val="00E5744A"/>
    <w:rsid w:val="00E5761E"/>
    <w:rsid w:val="00E57952"/>
    <w:rsid w:val="00E57B48"/>
    <w:rsid w:val="00E57DF0"/>
    <w:rsid w:val="00E6006D"/>
    <w:rsid w:val="00E60237"/>
    <w:rsid w:val="00E60337"/>
    <w:rsid w:val="00E607B4"/>
    <w:rsid w:val="00E60916"/>
    <w:rsid w:val="00E60B36"/>
    <w:rsid w:val="00E60FEF"/>
    <w:rsid w:val="00E6103C"/>
    <w:rsid w:val="00E610A3"/>
    <w:rsid w:val="00E61250"/>
    <w:rsid w:val="00E61752"/>
    <w:rsid w:val="00E61A57"/>
    <w:rsid w:val="00E61AD6"/>
    <w:rsid w:val="00E61D7D"/>
    <w:rsid w:val="00E62238"/>
    <w:rsid w:val="00E62291"/>
    <w:rsid w:val="00E62691"/>
    <w:rsid w:val="00E62744"/>
    <w:rsid w:val="00E62A39"/>
    <w:rsid w:val="00E62C09"/>
    <w:rsid w:val="00E62E2C"/>
    <w:rsid w:val="00E62EEA"/>
    <w:rsid w:val="00E6317D"/>
    <w:rsid w:val="00E63468"/>
    <w:rsid w:val="00E634A6"/>
    <w:rsid w:val="00E63590"/>
    <w:rsid w:val="00E6359C"/>
    <w:rsid w:val="00E637EF"/>
    <w:rsid w:val="00E63871"/>
    <w:rsid w:val="00E63925"/>
    <w:rsid w:val="00E63AB0"/>
    <w:rsid w:val="00E63BD6"/>
    <w:rsid w:val="00E63F48"/>
    <w:rsid w:val="00E64147"/>
    <w:rsid w:val="00E6445D"/>
    <w:rsid w:val="00E64595"/>
    <w:rsid w:val="00E649E6"/>
    <w:rsid w:val="00E64C75"/>
    <w:rsid w:val="00E64E8F"/>
    <w:rsid w:val="00E65130"/>
    <w:rsid w:val="00E65198"/>
    <w:rsid w:val="00E658C6"/>
    <w:rsid w:val="00E659E1"/>
    <w:rsid w:val="00E65E27"/>
    <w:rsid w:val="00E65FD1"/>
    <w:rsid w:val="00E660AA"/>
    <w:rsid w:val="00E66706"/>
    <w:rsid w:val="00E668E5"/>
    <w:rsid w:val="00E66927"/>
    <w:rsid w:val="00E67178"/>
    <w:rsid w:val="00E6737E"/>
    <w:rsid w:val="00E6771A"/>
    <w:rsid w:val="00E67C33"/>
    <w:rsid w:val="00E67F33"/>
    <w:rsid w:val="00E702C1"/>
    <w:rsid w:val="00E70C36"/>
    <w:rsid w:val="00E70FC0"/>
    <w:rsid w:val="00E71175"/>
    <w:rsid w:val="00E713A4"/>
    <w:rsid w:val="00E71456"/>
    <w:rsid w:val="00E7168E"/>
    <w:rsid w:val="00E718CF"/>
    <w:rsid w:val="00E718FA"/>
    <w:rsid w:val="00E71A06"/>
    <w:rsid w:val="00E71AC5"/>
    <w:rsid w:val="00E71BC2"/>
    <w:rsid w:val="00E720C8"/>
    <w:rsid w:val="00E722F9"/>
    <w:rsid w:val="00E72639"/>
    <w:rsid w:val="00E7285A"/>
    <w:rsid w:val="00E729CF"/>
    <w:rsid w:val="00E72CA3"/>
    <w:rsid w:val="00E72DCC"/>
    <w:rsid w:val="00E733C1"/>
    <w:rsid w:val="00E73626"/>
    <w:rsid w:val="00E736E0"/>
    <w:rsid w:val="00E7370C"/>
    <w:rsid w:val="00E738C0"/>
    <w:rsid w:val="00E73AE4"/>
    <w:rsid w:val="00E73FEA"/>
    <w:rsid w:val="00E747B5"/>
    <w:rsid w:val="00E74912"/>
    <w:rsid w:val="00E749B1"/>
    <w:rsid w:val="00E74BC2"/>
    <w:rsid w:val="00E74BD2"/>
    <w:rsid w:val="00E74E84"/>
    <w:rsid w:val="00E75472"/>
    <w:rsid w:val="00E755D4"/>
    <w:rsid w:val="00E75712"/>
    <w:rsid w:val="00E75813"/>
    <w:rsid w:val="00E7594C"/>
    <w:rsid w:val="00E75BCB"/>
    <w:rsid w:val="00E75E78"/>
    <w:rsid w:val="00E76112"/>
    <w:rsid w:val="00E761D6"/>
    <w:rsid w:val="00E76823"/>
    <w:rsid w:val="00E7688A"/>
    <w:rsid w:val="00E76B5F"/>
    <w:rsid w:val="00E76F2C"/>
    <w:rsid w:val="00E770B0"/>
    <w:rsid w:val="00E77550"/>
    <w:rsid w:val="00E77875"/>
    <w:rsid w:val="00E77910"/>
    <w:rsid w:val="00E77DA9"/>
    <w:rsid w:val="00E77EE4"/>
    <w:rsid w:val="00E77FAD"/>
    <w:rsid w:val="00E80324"/>
    <w:rsid w:val="00E80E19"/>
    <w:rsid w:val="00E815D6"/>
    <w:rsid w:val="00E81B88"/>
    <w:rsid w:val="00E81E6D"/>
    <w:rsid w:val="00E8258C"/>
    <w:rsid w:val="00E8265D"/>
    <w:rsid w:val="00E827AE"/>
    <w:rsid w:val="00E828CA"/>
    <w:rsid w:val="00E828DC"/>
    <w:rsid w:val="00E82C7A"/>
    <w:rsid w:val="00E8319F"/>
    <w:rsid w:val="00E83278"/>
    <w:rsid w:val="00E832BE"/>
    <w:rsid w:val="00E8353E"/>
    <w:rsid w:val="00E8368D"/>
    <w:rsid w:val="00E83743"/>
    <w:rsid w:val="00E837B5"/>
    <w:rsid w:val="00E839FD"/>
    <w:rsid w:val="00E83CCE"/>
    <w:rsid w:val="00E84ACD"/>
    <w:rsid w:val="00E84B76"/>
    <w:rsid w:val="00E84F4B"/>
    <w:rsid w:val="00E85086"/>
    <w:rsid w:val="00E8541B"/>
    <w:rsid w:val="00E85A22"/>
    <w:rsid w:val="00E85AB9"/>
    <w:rsid w:val="00E85C0B"/>
    <w:rsid w:val="00E86585"/>
    <w:rsid w:val="00E86775"/>
    <w:rsid w:val="00E86CBB"/>
    <w:rsid w:val="00E86E80"/>
    <w:rsid w:val="00E86E9D"/>
    <w:rsid w:val="00E8715C"/>
    <w:rsid w:val="00E87377"/>
    <w:rsid w:val="00E87838"/>
    <w:rsid w:val="00E87B67"/>
    <w:rsid w:val="00E87B74"/>
    <w:rsid w:val="00E9025A"/>
    <w:rsid w:val="00E9062F"/>
    <w:rsid w:val="00E90D54"/>
    <w:rsid w:val="00E90DD6"/>
    <w:rsid w:val="00E90E41"/>
    <w:rsid w:val="00E9125E"/>
    <w:rsid w:val="00E915CB"/>
    <w:rsid w:val="00E91779"/>
    <w:rsid w:val="00E91935"/>
    <w:rsid w:val="00E91A91"/>
    <w:rsid w:val="00E91B60"/>
    <w:rsid w:val="00E91D9E"/>
    <w:rsid w:val="00E91EBB"/>
    <w:rsid w:val="00E922C6"/>
    <w:rsid w:val="00E924F8"/>
    <w:rsid w:val="00E9251F"/>
    <w:rsid w:val="00E9256A"/>
    <w:rsid w:val="00E92D16"/>
    <w:rsid w:val="00E92D6E"/>
    <w:rsid w:val="00E92FAC"/>
    <w:rsid w:val="00E931CE"/>
    <w:rsid w:val="00E938E6"/>
    <w:rsid w:val="00E939F1"/>
    <w:rsid w:val="00E93AEB"/>
    <w:rsid w:val="00E93D50"/>
    <w:rsid w:val="00E94095"/>
    <w:rsid w:val="00E94365"/>
    <w:rsid w:val="00E94381"/>
    <w:rsid w:val="00E943E9"/>
    <w:rsid w:val="00E94459"/>
    <w:rsid w:val="00E945D8"/>
    <w:rsid w:val="00E9476B"/>
    <w:rsid w:val="00E947A3"/>
    <w:rsid w:val="00E94E51"/>
    <w:rsid w:val="00E95106"/>
    <w:rsid w:val="00E95217"/>
    <w:rsid w:val="00E95253"/>
    <w:rsid w:val="00E9527B"/>
    <w:rsid w:val="00E95332"/>
    <w:rsid w:val="00E954D0"/>
    <w:rsid w:val="00E96134"/>
    <w:rsid w:val="00E96711"/>
    <w:rsid w:val="00E96922"/>
    <w:rsid w:val="00E97058"/>
    <w:rsid w:val="00E97231"/>
    <w:rsid w:val="00E97E53"/>
    <w:rsid w:val="00E97FF5"/>
    <w:rsid w:val="00EA0014"/>
    <w:rsid w:val="00EA0553"/>
    <w:rsid w:val="00EA08D7"/>
    <w:rsid w:val="00EA096E"/>
    <w:rsid w:val="00EA1119"/>
    <w:rsid w:val="00EA1123"/>
    <w:rsid w:val="00EA138B"/>
    <w:rsid w:val="00EA169D"/>
    <w:rsid w:val="00EA1B63"/>
    <w:rsid w:val="00EA1F52"/>
    <w:rsid w:val="00EA23DA"/>
    <w:rsid w:val="00EA2438"/>
    <w:rsid w:val="00EA2461"/>
    <w:rsid w:val="00EA2D1B"/>
    <w:rsid w:val="00EA3460"/>
    <w:rsid w:val="00EA34A1"/>
    <w:rsid w:val="00EA39F9"/>
    <w:rsid w:val="00EA3FB3"/>
    <w:rsid w:val="00EA4469"/>
    <w:rsid w:val="00EA4564"/>
    <w:rsid w:val="00EA4B04"/>
    <w:rsid w:val="00EA4B10"/>
    <w:rsid w:val="00EA4CC8"/>
    <w:rsid w:val="00EA4D29"/>
    <w:rsid w:val="00EA4D62"/>
    <w:rsid w:val="00EA5138"/>
    <w:rsid w:val="00EA56E5"/>
    <w:rsid w:val="00EA56FD"/>
    <w:rsid w:val="00EA57C6"/>
    <w:rsid w:val="00EA587B"/>
    <w:rsid w:val="00EA5907"/>
    <w:rsid w:val="00EA5A5C"/>
    <w:rsid w:val="00EA5B32"/>
    <w:rsid w:val="00EA606C"/>
    <w:rsid w:val="00EA6149"/>
    <w:rsid w:val="00EA61E2"/>
    <w:rsid w:val="00EA624A"/>
    <w:rsid w:val="00EA659E"/>
    <w:rsid w:val="00EA65B3"/>
    <w:rsid w:val="00EA6D46"/>
    <w:rsid w:val="00EA6E5B"/>
    <w:rsid w:val="00EA715F"/>
    <w:rsid w:val="00EA71FA"/>
    <w:rsid w:val="00EA72E1"/>
    <w:rsid w:val="00EA730F"/>
    <w:rsid w:val="00EA73E1"/>
    <w:rsid w:val="00EA7575"/>
    <w:rsid w:val="00EA791C"/>
    <w:rsid w:val="00EA79CE"/>
    <w:rsid w:val="00EA7A1D"/>
    <w:rsid w:val="00EA7A57"/>
    <w:rsid w:val="00EA7D0A"/>
    <w:rsid w:val="00EA7DDD"/>
    <w:rsid w:val="00EA7FD2"/>
    <w:rsid w:val="00EB018B"/>
    <w:rsid w:val="00EB0361"/>
    <w:rsid w:val="00EB105B"/>
    <w:rsid w:val="00EB14FC"/>
    <w:rsid w:val="00EB1609"/>
    <w:rsid w:val="00EB19EB"/>
    <w:rsid w:val="00EB1F51"/>
    <w:rsid w:val="00EB21CF"/>
    <w:rsid w:val="00EB244A"/>
    <w:rsid w:val="00EB2587"/>
    <w:rsid w:val="00EB25EC"/>
    <w:rsid w:val="00EB2817"/>
    <w:rsid w:val="00EB2A2E"/>
    <w:rsid w:val="00EB2AC9"/>
    <w:rsid w:val="00EB2B49"/>
    <w:rsid w:val="00EB2BAA"/>
    <w:rsid w:val="00EB2DCA"/>
    <w:rsid w:val="00EB2E24"/>
    <w:rsid w:val="00EB312C"/>
    <w:rsid w:val="00EB353E"/>
    <w:rsid w:val="00EB3C8B"/>
    <w:rsid w:val="00EB4185"/>
    <w:rsid w:val="00EB4365"/>
    <w:rsid w:val="00EB437F"/>
    <w:rsid w:val="00EB4463"/>
    <w:rsid w:val="00EB45A7"/>
    <w:rsid w:val="00EB4700"/>
    <w:rsid w:val="00EB4739"/>
    <w:rsid w:val="00EB4CA8"/>
    <w:rsid w:val="00EB5387"/>
    <w:rsid w:val="00EB56AC"/>
    <w:rsid w:val="00EB60BC"/>
    <w:rsid w:val="00EB64F2"/>
    <w:rsid w:val="00EB650B"/>
    <w:rsid w:val="00EB6C59"/>
    <w:rsid w:val="00EB6E86"/>
    <w:rsid w:val="00EB6F38"/>
    <w:rsid w:val="00EB70DC"/>
    <w:rsid w:val="00EB71ED"/>
    <w:rsid w:val="00EB7362"/>
    <w:rsid w:val="00EB743A"/>
    <w:rsid w:val="00EB77FF"/>
    <w:rsid w:val="00EB7C6F"/>
    <w:rsid w:val="00EC0091"/>
    <w:rsid w:val="00EC00A4"/>
    <w:rsid w:val="00EC0112"/>
    <w:rsid w:val="00EC01B9"/>
    <w:rsid w:val="00EC0572"/>
    <w:rsid w:val="00EC068B"/>
    <w:rsid w:val="00EC0E24"/>
    <w:rsid w:val="00EC17E1"/>
    <w:rsid w:val="00EC1C82"/>
    <w:rsid w:val="00EC1DF4"/>
    <w:rsid w:val="00EC1E53"/>
    <w:rsid w:val="00EC2107"/>
    <w:rsid w:val="00EC22E5"/>
    <w:rsid w:val="00EC270F"/>
    <w:rsid w:val="00EC2C3C"/>
    <w:rsid w:val="00EC3949"/>
    <w:rsid w:val="00EC3A82"/>
    <w:rsid w:val="00EC47CB"/>
    <w:rsid w:val="00EC4A9E"/>
    <w:rsid w:val="00EC4D84"/>
    <w:rsid w:val="00EC4DA9"/>
    <w:rsid w:val="00EC4FFB"/>
    <w:rsid w:val="00EC510F"/>
    <w:rsid w:val="00EC535C"/>
    <w:rsid w:val="00EC54B4"/>
    <w:rsid w:val="00EC5906"/>
    <w:rsid w:val="00EC5C78"/>
    <w:rsid w:val="00EC5CE0"/>
    <w:rsid w:val="00EC60BC"/>
    <w:rsid w:val="00EC63FE"/>
    <w:rsid w:val="00EC6863"/>
    <w:rsid w:val="00EC69AF"/>
    <w:rsid w:val="00EC6C0E"/>
    <w:rsid w:val="00EC6C6F"/>
    <w:rsid w:val="00EC6D91"/>
    <w:rsid w:val="00EC6DB3"/>
    <w:rsid w:val="00EC76E4"/>
    <w:rsid w:val="00EC7D31"/>
    <w:rsid w:val="00EC7ED6"/>
    <w:rsid w:val="00ED01B4"/>
    <w:rsid w:val="00ED0429"/>
    <w:rsid w:val="00ED0B02"/>
    <w:rsid w:val="00ED0CF9"/>
    <w:rsid w:val="00ED0D10"/>
    <w:rsid w:val="00ED1180"/>
    <w:rsid w:val="00ED148F"/>
    <w:rsid w:val="00ED2043"/>
    <w:rsid w:val="00ED22EC"/>
    <w:rsid w:val="00ED2936"/>
    <w:rsid w:val="00ED2CA5"/>
    <w:rsid w:val="00ED2F96"/>
    <w:rsid w:val="00ED3185"/>
    <w:rsid w:val="00ED322F"/>
    <w:rsid w:val="00ED352C"/>
    <w:rsid w:val="00ED37DD"/>
    <w:rsid w:val="00ED39AC"/>
    <w:rsid w:val="00ED3A36"/>
    <w:rsid w:val="00ED3A87"/>
    <w:rsid w:val="00ED3F65"/>
    <w:rsid w:val="00ED40E9"/>
    <w:rsid w:val="00ED41E6"/>
    <w:rsid w:val="00ED441A"/>
    <w:rsid w:val="00ED475E"/>
    <w:rsid w:val="00ED52B9"/>
    <w:rsid w:val="00ED5AE5"/>
    <w:rsid w:val="00ED60D0"/>
    <w:rsid w:val="00ED647D"/>
    <w:rsid w:val="00ED651F"/>
    <w:rsid w:val="00ED657E"/>
    <w:rsid w:val="00ED661F"/>
    <w:rsid w:val="00ED6879"/>
    <w:rsid w:val="00ED6929"/>
    <w:rsid w:val="00ED74C1"/>
    <w:rsid w:val="00ED7527"/>
    <w:rsid w:val="00ED75AC"/>
    <w:rsid w:val="00ED7A4C"/>
    <w:rsid w:val="00ED7B39"/>
    <w:rsid w:val="00ED7B55"/>
    <w:rsid w:val="00ED7EE6"/>
    <w:rsid w:val="00EE0500"/>
    <w:rsid w:val="00EE0ACD"/>
    <w:rsid w:val="00EE0B3A"/>
    <w:rsid w:val="00EE0BE7"/>
    <w:rsid w:val="00EE0CFB"/>
    <w:rsid w:val="00EE10E2"/>
    <w:rsid w:val="00EE113D"/>
    <w:rsid w:val="00EE115E"/>
    <w:rsid w:val="00EE118F"/>
    <w:rsid w:val="00EE1A39"/>
    <w:rsid w:val="00EE1B9D"/>
    <w:rsid w:val="00EE1D19"/>
    <w:rsid w:val="00EE20D4"/>
    <w:rsid w:val="00EE218D"/>
    <w:rsid w:val="00EE21BE"/>
    <w:rsid w:val="00EE24F2"/>
    <w:rsid w:val="00EE2985"/>
    <w:rsid w:val="00EE2A5B"/>
    <w:rsid w:val="00EE2B8C"/>
    <w:rsid w:val="00EE2CA0"/>
    <w:rsid w:val="00EE2CC7"/>
    <w:rsid w:val="00EE2D93"/>
    <w:rsid w:val="00EE2DCD"/>
    <w:rsid w:val="00EE2ECA"/>
    <w:rsid w:val="00EE30B5"/>
    <w:rsid w:val="00EE37D6"/>
    <w:rsid w:val="00EE3AA4"/>
    <w:rsid w:val="00EE3B57"/>
    <w:rsid w:val="00EE4120"/>
    <w:rsid w:val="00EE4147"/>
    <w:rsid w:val="00EE4B91"/>
    <w:rsid w:val="00EE4C0F"/>
    <w:rsid w:val="00EE4D3F"/>
    <w:rsid w:val="00EE4F6E"/>
    <w:rsid w:val="00EE5199"/>
    <w:rsid w:val="00EE5313"/>
    <w:rsid w:val="00EE5330"/>
    <w:rsid w:val="00EE546B"/>
    <w:rsid w:val="00EE55D5"/>
    <w:rsid w:val="00EE5657"/>
    <w:rsid w:val="00EE580D"/>
    <w:rsid w:val="00EE59E5"/>
    <w:rsid w:val="00EE5A5B"/>
    <w:rsid w:val="00EE5BF4"/>
    <w:rsid w:val="00EE5E71"/>
    <w:rsid w:val="00EE5F3F"/>
    <w:rsid w:val="00EE5F8F"/>
    <w:rsid w:val="00EE61E2"/>
    <w:rsid w:val="00EE6556"/>
    <w:rsid w:val="00EE6839"/>
    <w:rsid w:val="00EE685D"/>
    <w:rsid w:val="00EE69A8"/>
    <w:rsid w:val="00EE6ADD"/>
    <w:rsid w:val="00EE6E36"/>
    <w:rsid w:val="00EE6F8B"/>
    <w:rsid w:val="00EE6FF6"/>
    <w:rsid w:val="00EE7233"/>
    <w:rsid w:val="00EE72FE"/>
    <w:rsid w:val="00EE7CC4"/>
    <w:rsid w:val="00EE7D2D"/>
    <w:rsid w:val="00EE7D5D"/>
    <w:rsid w:val="00EE7E04"/>
    <w:rsid w:val="00EE7E75"/>
    <w:rsid w:val="00EE7F82"/>
    <w:rsid w:val="00EF0052"/>
    <w:rsid w:val="00EF01FB"/>
    <w:rsid w:val="00EF0312"/>
    <w:rsid w:val="00EF0D05"/>
    <w:rsid w:val="00EF11EE"/>
    <w:rsid w:val="00EF1211"/>
    <w:rsid w:val="00EF137F"/>
    <w:rsid w:val="00EF145A"/>
    <w:rsid w:val="00EF16B0"/>
    <w:rsid w:val="00EF18AE"/>
    <w:rsid w:val="00EF1BBB"/>
    <w:rsid w:val="00EF1CF4"/>
    <w:rsid w:val="00EF1EAC"/>
    <w:rsid w:val="00EF1F5C"/>
    <w:rsid w:val="00EF22BD"/>
    <w:rsid w:val="00EF22E0"/>
    <w:rsid w:val="00EF2340"/>
    <w:rsid w:val="00EF255E"/>
    <w:rsid w:val="00EF272E"/>
    <w:rsid w:val="00EF2844"/>
    <w:rsid w:val="00EF2B38"/>
    <w:rsid w:val="00EF3187"/>
    <w:rsid w:val="00EF32D1"/>
    <w:rsid w:val="00EF33D2"/>
    <w:rsid w:val="00EF35EC"/>
    <w:rsid w:val="00EF36B5"/>
    <w:rsid w:val="00EF3920"/>
    <w:rsid w:val="00EF3A28"/>
    <w:rsid w:val="00EF3B11"/>
    <w:rsid w:val="00EF3F17"/>
    <w:rsid w:val="00EF45FB"/>
    <w:rsid w:val="00EF4686"/>
    <w:rsid w:val="00EF4A1A"/>
    <w:rsid w:val="00EF4BC8"/>
    <w:rsid w:val="00EF4EDD"/>
    <w:rsid w:val="00EF57EA"/>
    <w:rsid w:val="00EF59C2"/>
    <w:rsid w:val="00EF5A0A"/>
    <w:rsid w:val="00EF5E92"/>
    <w:rsid w:val="00EF62DC"/>
    <w:rsid w:val="00EF65D0"/>
    <w:rsid w:val="00EF6811"/>
    <w:rsid w:val="00EF6936"/>
    <w:rsid w:val="00EF6942"/>
    <w:rsid w:val="00EF69DE"/>
    <w:rsid w:val="00EF6C60"/>
    <w:rsid w:val="00EF6CFC"/>
    <w:rsid w:val="00EF733F"/>
    <w:rsid w:val="00EF74AE"/>
    <w:rsid w:val="00EF7530"/>
    <w:rsid w:val="00EF76DC"/>
    <w:rsid w:val="00EF76E8"/>
    <w:rsid w:val="00EF7719"/>
    <w:rsid w:val="00EF7C70"/>
    <w:rsid w:val="00EF7FBB"/>
    <w:rsid w:val="00F003ED"/>
    <w:rsid w:val="00F00841"/>
    <w:rsid w:val="00F00D43"/>
    <w:rsid w:val="00F011AC"/>
    <w:rsid w:val="00F011D4"/>
    <w:rsid w:val="00F012FF"/>
    <w:rsid w:val="00F0177A"/>
    <w:rsid w:val="00F019CF"/>
    <w:rsid w:val="00F01F85"/>
    <w:rsid w:val="00F02B39"/>
    <w:rsid w:val="00F02C0B"/>
    <w:rsid w:val="00F03055"/>
    <w:rsid w:val="00F0319E"/>
    <w:rsid w:val="00F03233"/>
    <w:rsid w:val="00F03346"/>
    <w:rsid w:val="00F0334A"/>
    <w:rsid w:val="00F033F4"/>
    <w:rsid w:val="00F0348F"/>
    <w:rsid w:val="00F03C4F"/>
    <w:rsid w:val="00F04218"/>
    <w:rsid w:val="00F042A6"/>
    <w:rsid w:val="00F044B5"/>
    <w:rsid w:val="00F046BA"/>
    <w:rsid w:val="00F04765"/>
    <w:rsid w:val="00F0488D"/>
    <w:rsid w:val="00F04ABA"/>
    <w:rsid w:val="00F04D38"/>
    <w:rsid w:val="00F04F18"/>
    <w:rsid w:val="00F04F70"/>
    <w:rsid w:val="00F051A5"/>
    <w:rsid w:val="00F051BC"/>
    <w:rsid w:val="00F0520F"/>
    <w:rsid w:val="00F057D2"/>
    <w:rsid w:val="00F059A1"/>
    <w:rsid w:val="00F059F1"/>
    <w:rsid w:val="00F05A52"/>
    <w:rsid w:val="00F05EE4"/>
    <w:rsid w:val="00F0618F"/>
    <w:rsid w:val="00F062A7"/>
    <w:rsid w:val="00F063EA"/>
    <w:rsid w:val="00F06C2F"/>
    <w:rsid w:val="00F06D84"/>
    <w:rsid w:val="00F07538"/>
    <w:rsid w:val="00F0769E"/>
    <w:rsid w:val="00F07891"/>
    <w:rsid w:val="00F07B53"/>
    <w:rsid w:val="00F07DAB"/>
    <w:rsid w:val="00F102E7"/>
    <w:rsid w:val="00F10593"/>
    <w:rsid w:val="00F105D0"/>
    <w:rsid w:val="00F105E4"/>
    <w:rsid w:val="00F1100F"/>
    <w:rsid w:val="00F1106A"/>
    <w:rsid w:val="00F1168D"/>
    <w:rsid w:val="00F1169D"/>
    <w:rsid w:val="00F117AE"/>
    <w:rsid w:val="00F11C81"/>
    <w:rsid w:val="00F11D1C"/>
    <w:rsid w:val="00F11E49"/>
    <w:rsid w:val="00F11F8F"/>
    <w:rsid w:val="00F11FFA"/>
    <w:rsid w:val="00F12535"/>
    <w:rsid w:val="00F12598"/>
    <w:rsid w:val="00F1280F"/>
    <w:rsid w:val="00F12A37"/>
    <w:rsid w:val="00F12D4C"/>
    <w:rsid w:val="00F12DCA"/>
    <w:rsid w:val="00F13059"/>
    <w:rsid w:val="00F132F0"/>
    <w:rsid w:val="00F133EE"/>
    <w:rsid w:val="00F134B1"/>
    <w:rsid w:val="00F137DC"/>
    <w:rsid w:val="00F13B6B"/>
    <w:rsid w:val="00F13E2F"/>
    <w:rsid w:val="00F1405A"/>
    <w:rsid w:val="00F141A2"/>
    <w:rsid w:val="00F1420E"/>
    <w:rsid w:val="00F1444A"/>
    <w:rsid w:val="00F1491C"/>
    <w:rsid w:val="00F14A03"/>
    <w:rsid w:val="00F14A2F"/>
    <w:rsid w:val="00F14DB7"/>
    <w:rsid w:val="00F15103"/>
    <w:rsid w:val="00F15306"/>
    <w:rsid w:val="00F155C3"/>
    <w:rsid w:val="00F155E2"/>
    <w:rsid w:val="00F159AB"/>
    <w:rsid w:val="00F15C78"/>
    <w:rsid w:val="00F15F24"/>
    <w:rsid w:val="00F15F81"/>
    <w:rsid w:val="00F165DD"/>
    <w:rsid w:val="00F16614"/>
    <w:rsid w:val="00F16651"/>
    <w:rsid w:val="00F169C2"/>
    <w:rsid w:val="00F17C05"/>
    <w:rsid w:val="00F17C73"/>
    <w:rsid w:val="00F17D38"/>
    <w:rsid w:val="00F20AE0"/>
    <w:rsid w:val="00F20AEF"/>
    <w:rsid w:val="00F20B7C"/>
    <w:rsid w:val="00F20B95"/>
    <w:rsid w:val="00F20C3C"/>
    <w:rsid w:val="00F20D83"/>
    <w:rsid w:val="00F210F2"/>
    <w:rsid w:val="00F21318"/>
    <w:rsid w:val="00F21548"/>
    <w:rsid w:val="00F2197C"/>
    <w:rsid w:val="00F22001"/>
    <w:rsid w:val="00F22145"/>
    <w:rsid w:val="00F221CF"/>
    <w:rsid w:val="00F223F2"/>
    <w:rsid w:val="00F226CF"/>
    <w:rsid w:val="00F227FE"/>
    <w:rsid w:val="00F22810"/>
    <w:rsid w:val="00F22A18"/>
    <w:rsid w:val="00F22DA1"/>
    <w:rsid w:val="00F23158"/>
    <w:rsid w:val="00F23256"/>
    <w:rsid w:val="00F232BF"/>
    <w:rsid w:val="00F2347A"/>
    <w:rsid w:val="00F2348E"/>
    <w:rsid w:val="00F236E0"/>
    <w:rsid w:val="00F23774"/>
    <w:rsid w:val="00F2391F"/>
    <w:rsid w:val="00F2398A"/>
    <w:rsid w:val="00F23C8B"/>
    <w:rsid w:val="00F23D42"/>
    <w:rsid w:val="00F2408B"/>
    <w:rsid w:val="00F24440"/>
    <w:rsid w:val="00F2444D"/>
    <w:rsid w:val="00F24483"/>
    <w:rsid w:val="00F244C1"/>
    <w:rsid w:val="00F24558"/>
    <w:rsid w:val="00F24595"/>
    <w:rsid w:val="00F24752"/>
    <w:rsid w:val="00F249BB"/>
    <w:rsid w:val="00F24E08"/>
    <w:rsid w:val="00F251C7"/>
    <w:rsid w:val="00F2521B"/>
    <w:rsid w:val="00F253AB"/>
    <w:rsid w:val="00F258BA"/>
    <w:rsid w:val="00F25A99"/>
    <w:rsid w:val="00F25C10"/>
    <w:rsid w:val="00F26329"/>
    <w:rsid w:val="00F26636"/>
    <w:rsid w:val="00F26861"/>
    <w:rsid w:val="00F269D3"/>
    <w:rsid w:val="00F26E88"/>
    <w:rsid w:val="00F26FAA"/>
    <w:rsid w:val="00F27127"/>
    <w:rsid w:val="00F274C3"/>
    <w:rsid w:val="00F27CA3"/>
    <w:rsid w:val="00F30029"/>
    <w:rsid w:val="00F301E1"/>
    <w:rsid w:val="00F30219"/>
    <w:rsid w:val="00F3024F"/>
    <w:rsid w:val="00F3029D"/>
    <w:rsid w:val="00F306A0"/>
    <w:rsid w:val="00F308D8"/>
    <w:rsid w:val="00F30934"/>
    <w:rsid w:val="00F30C53"/>
    <w:rsid w:val="00F30C81"/>
    <w:rsid w:val="00F3117B"/>
    <w:rsid w:val="00F313CB"/>
    <w:rsid w:val="00F3155D"/>
    <w:rsid w:val="00F31575"/>
    <w:rsid w:val="00F319C3"/>
    <w:rsid w:val="00F319D1"/>
    <w:rsid w:val="00F31E68"/>
    <w:rsid w:val="00F31F39"/>
    <w:rsid w:val="00F320AE"/>
    <w:rsid w:val="00F32479"/>
    <w:rsid w:val="00F3271A"/>
    <w:rsid w:val="00F32728"/>
    <w:rsid w:val="00F328EF"/>
    <w:rsid w:val="00F32985"/>
    <w:rsid w:val="00F32CED"/>
    <w:rsid w:val="00F32DF6"/>
    <w:rsid w:val="00F32E45"/>
    <w:rsid w:val="00F33501"/>
    <w:rsid w:val="00F33CAF"/>
    <w:rsid w:val="00F33D44"/>
    <w:rsid w:val="00F33DC0"/>
    <w:rsid w:val="00F33DFB"/>
    <w:rsid w:val="00F34558"/>
    <w:rsid w:val="00F3469E"/>
    <w:rsid w:val="00F34731"/>
    <w:rsid w:val="00F349AA"/>
    <w:rsid w:val="00F34F33"/>
    <w:rsid w:val="00F35057"/>
    <w:rsid w:val="00F35091"/>
    <w:rsid w:val="00F350A1"/>
    <w:rsid w:val="00F3550E"/>
    <w:rsid w:val="00F35860"/>
    <w:rsid w:val="00F35BF3"/>
    <w:rsid w:val="00F35C1D"/>
    <w:rsid w:val="00F35EF4"/>
    <w:rsid w:val="00F36217"/>
    <w:rsid w:val="00F362B8"/>
    <w:rsid w:val="00F363B8"/>
    <w:rsid w:val="00F36AAB"/>
    <w:rsid w:val="00F36C41"/>
    <w:rsid w:val="00F36CF0"/>
    <w:rsid w:val="00F36FF4"/>
    <w:rsid w:val="00F36FF9"/>
    <w:rsid w:val="00F37238"/>
    <w:rsid w:val="00F3737B"/>
    <w:rsid w:val="00F37A48"/>
    <w:rsid w:val="00F4016F"/>
    <w:rsid w:val="00F403A8"/>
    <w:rsid w:val="00F404A1"/>
    <w:rsid w:val="00F40540"/>
    <w:rsid w:val="00F40720"/>
    <w:rsid w:val="00F40743"/>
    <w:rsid w:val="00F40A97"/>
    <w:rsid w:val="00F40C71"/>
    <w:rsid w:val="00F410AB"/>
    <w:rsid w:val="00F41293"/>
    <w:rsid w:val="00F4141C"/>
    <w:rsid w:val="00F41969"/>
    <w:rsid w:val="00F41988"/>
    <w:rsid w:val="00F41C4A"/>
    <w:rsid w:val="00F41C57"/>
    <w:rsid w:val="00F41E07"/>
    <w:rsid w:val="00F42200"/>
    <w:rsid w:val="00F4256F"/>
    <w:rsid w:val="00F427D2"/>
    <w:rsid w:val="00F428C3"/>
    <w:rsid w:val="00F42944"/>
    <w:rsid w:val="00F42CF8"/>
    <w:rsid w:val="00F42F8A"/>
    <w:rsid w:val="00F431A9"/>
    <w:rsid w:val="00F43517"/>
    <w:rsid w:val="00F43702"/>
    <w:rsid w:val="00F43851"/>
    <w:rsid w:val="00F43E37"/>
    <w:rsid w:val="00F43E4E"/>
    <w:rsid w:val="00F43FA4"/>
    <w:rsid w:val="00F44598"/>
    <w:rsid w:val="00F4474B"/>
    <w:rsid w:val="00F44989"/>
    <w:rsid w:val="00F44A15"/>
    <w:rsid w:val="00F450CE"/>
    <w:rsid w:val="00F4538A"/>
    <w:rsid w:val="00F45536"/>
    <w:rsid w:val="00F459B3"/>
    <w:rsid w:val="00F45EC1"/>
    <w:rsid w:val="00F461AC"/>
    <w:rsid w:val="00F4631C"/>
    <w:rsid w:val="00F464DA"/>
    <w:rsid w:val="00F46A55"/>
    <w:rsid w:val="00F46BC5"/>
    <w:rsid w:val="00F46D24"/>
    <w:rsid w:val="00F46ED8"/>
    <w:rsid w:val="00F47981"/>
    <w:rsid w:val="00F50277"/>
    <w:rsid w:val="00F503B9"/>
    <w:rsid w:val="00F50536"/>
    <w:rsid w:val="00F50877"/>
    <w:rsid w:val="00F50966"/>
    <w:rsid w:val="00F50A8D"/>
    <w:rsid w:val="00F50D6B"/>
    <w:rsid w:val="00F51461"/>
    <w:rsid w:val="00F51822"/>
    <w:rsid w:val="00F51D7C"/>
    <w:rsid w:val="00F5221E"/>
    <w:rsid w:val="00F52456"/>
    <w:rsid w:val="00F524FD"/>
    <w:rsid w:val="00F5279F"/>
    <w:rsid w:val="00F5285A"/>
    <w:rsid w:val="00F52A10"/>
    <w:rsid w:val="00F52D73"/>
    <w:rsid w:val="00F5305A"/>
    <w:rsid w:val="00F534B7"/>
    <w:rsid w:val="00F536FA"/>
    <w:rsid w:val="00F53B62"/>
    <w:rsid w:val="00F53EB0"/>
    <w:rsid w:val="00F54583"/>
    <w:rsid w:val="00F55637"/>
    <w:rsid w:val="00F55B17"/>
    <w:rsid w:val="00F55BBC"/>
    <w:rsid w:val="00F55BC4"/>
    <w:rsid w:val="00F55C0E"/>
    <w:rsid w:val="00F5603C"/>
    <w:rsid w:val="00F560CC"/>
    <w:rsid w:val="00F5630F"/>
    <w:rsid w:val="00F569A1"/>
    <w:rsid w:val="00F56C32"/>
    <w:rsid w:val="00F56F1F"/>
    <w:rsid w:val="00F5731F"/>
    <w:rsid w:val="00F575AB"/>
    <w:rsid w:val="00F57AFF"/>
    <w:rsid w:val="00F57B50"/>
    <w:rsid w:val="00F604E4"/>
    <w:rsid w:val="00F60779"/>
    <w:rsid w:val="00F608AC"/>
    <w:rsid w:val="00F60CA1"/>
    <w:rsid w:val="00F610E8"/>
    <w:rsid w:val="00F61681"/>
    <w:rsid w:val="00F618D8"/>
    <w:rsid w:val="00F61AF5"/>
    <w:rsid w:val="00F628CA"/>
    <w:rsid w:val="00F62E09"/>
    <w:rsid w:val="00F62F6A"/>
    <w:rsid w:val="00F6312D"/>
    <w:rsid w:val="00F63403"/>
    <w:rsid w:val="00F63556"/>
    <w:rsid w:val="00F63581"/>
    <w:rsid w:val="00F63702"/>
    <w:rsid w:val="00F63785"/>
    <w:rsid w:val="00F637A3"/>
    <w:rsid w:val="00F63823"/>
    <w:rsid w:val="00F63B4D"/>
    <w:rsid w:val="00F63B74"/>
    <w:rsid w:val="00F63F55"/>
    <w:rsid w:val="00F6422A"/>
    <w:rsid w:val="00F6439D"/>
    <w:rsid w:val="00F645A0"/>
    <w:rsid w:val="00F645B5"/>
    <w:rsid w:val="00F64C97"/>
    <w:rsid w:val="00F64CA2"/>
    <w:rsid w:val="00F64E69"/>
    <w:rsid w:val="00F64EFC"/>
    <w:rsid w:val="00F650B4"/>
    <w:rsid w:val="00F6542A"/>
    <w:rsid w:val="00F65507"/>
    <w:rsid w:val="00F65642"/>
    <w:rsid w:val="00F65937"/>
    <w:rsid w:val="00F65CAC"/>
    <w:rsid w:val="00F65D31"/>
    <w:rsid w:val="00F65DA9"/>
    <w:rsid w:val="00F65E36"/>
    <w:rsid w:val="00F660F8"/>
    <w:rsid w:val="00F6617A"/>
    <w:rsid w:val="00F66355"/>
    <w:rsid w:val="00F666C0"/>
    <w:rsid w:val="00F666E5"/>
    <w:rsid w:val="00F6684C"/>
    <w:rsid w:val="00F66975"/>
    <w:rsid w:val="00F6697E"/>
    <w:rsid w:val="00F66D17"/>
    <w:rsid w:val="00F66F69"/>
    <w:rsid w:val="00F67580"/>
    <w:rsid w:val="00F70236"/>
    <w:rsid w:val="00F7027E"/>
    <w:rsid w:val="00F70689"/>
    <w:rsid w:val="00F70939"/>
    <w:rsid w:val="00F70946"/>
    <w:rsid w:val="00F70BBF"/>
    <w:rsid w:val="00F70BFD"/>
    <w:rsid w:val="00F70C4C"/>
    <w:rsid w:val="00F70C96"/>
    <w:rsid w:val="00F70E60"/>
    <w:rsid w:val="00F70E7D"/>
    <w:rsid w:val="00F711A8"/>
    <w:rsid w:val="00F712F3"/>
    <w:rsid w:val="00F713D6"/>
    <w:rsid w:val="00F7142E"/>
    <w:rsid w:val="00F714D3"/>
    <w:rsid w:val="00F715E2"/>
    <w:rsid w:val="00F716A0"/>
    <w:rsid w:val="00F717F7"/>
    <w:rsid w:val="00F71A1E"/>
    <w:rsid w:val="00F71C19"/>
    <w:rsid w:val="00F71D80"/>
    <w:rsid w:val="00F7200B"/>
    <w:rsid w:val="00F72456"/>
    <w:rsid w:val="00F7255D"/>
    <w:rsid w:val="00F7268D"/>
    <w:rsid w:val="00F72A6E"/>
    <w:rsid w:val="00F72E75"/>
    <w:rsid w:val="00F72E8B"/>
    <w:rsid w:val="00F73249"/>
    <w:rsid w:val="00F734ED"/>
    <w:rsid w:val="00F73914"/>
    <w:rsid w:val="00F73AD0"/>
    <w:rsid w:val="00F73AD1"/>
    <w:rsid w:val="00F73CC3"/>
    <w:rsid w:val="00F73CF7"/>
    <w:rsid w:val="00F73DB6"/>
    <w:rsid w:val="00F74335"/>
    <w:rsid w:val="00F74515"/>
    <w:rsid w:val="00F74589"/>
    <w:rsid w:val="00F74B04"/>
    <w:rsid w:val="00F74C3C"/>
    <w:rsid w:val="00F74DDB"/>
    <w:rsid w:val="00F74E0B"/>
    <w:rsid w:val="00F74F6A"/>
    <w:rsid w:val="00F75B32"/>
    <w:rsid w:val="00F7607D"/>
    <w:rsid w:val="00F76153"/>
    <w:rsid w:val="00F7663B"/>
    <w:rsid w:val="00F766FB"/>
    <w:rsid w:val="00F76733"/>
    <w:rsid w:val="00F76800"/>
    <w:rsid w:val="00F76B41"/>
    <w:rsid w:val="00F76BD6"/>
    <w:rsid w:val="00F76DAD"/>
    <w:rsid w:val="00F77524"/>
    <w:rsid w:val="00F77C92"/>
    <w:rsid w:val="00F77FA7"/>
    <w:rsid w:val="00F80B28"/>
    <w:rsid w:val="00F80D7E"/>
    <w:rsid w:val="00F80E5F"/>
    <w:rsid w:val="00F80FC8"/>
    <w:rsid w:val="00F80FFA"/>
    <w:rsid w:val="00F8110C"/>
    <w:rsid w:val="00F8143F"/>
    <w:rsid w:val="00F81630"/>
    <w:rsid w:val="00F817B9"/>
    <w:rsid w:val="00F821E0"/>
    <w:rsid w:val="00F8280D"/>
    <w:rsid w:val="00F829AF"/>
    <w:rsid w:val="00F82A8E"/>
    <w:rsid w:val="00F82CD9"/>
    <w:rsid w:val="00F82D29"/>
    <w:rsid w:val="00F83570"/>
    <w:rsid w:val="00F83785"/>
    <w:rsid w:val="00F8381C"/>
    <w:rsid w:val="00F8394B"/>
    <w:rsid w:val="00F83CE2"/>
    <w:rsid w:val="00F84503"/>
    <w:rsid w:val="00F84598"/>
    <w:rsid w:val="00F84789"/>
    <w:rsid w:val="00F847F2"/>
    <w:rsid w:val="00F84804"/>
    <w:rsid w:val="00F84887"/>
    <w:rsid w:val="00F84C77"/>
    <w:rsid w:val="00F84DD2"/>
    <w:rsid w:val="00F85335"/>
    <w:rsid w:val="00F8574F"/>
    <w:rsid w:val="00F85A4F"/>
    <w:rsid w:val="00F85ADA"/>
    <w:rsid w:val="00F85C94"/>
    <w:rsid w:val="00F861F2"/>
    <w:rsid w:val="00F863B0"/>
    <w:rsid w:val="00F864CB"/>
    <w:rsid w:val="00F8681C"/>
    <w:rsid w:val="00F869DF"/>
    <w:rsid w:val="00F86BFF"/>
    <w:rsid w:val="00F86CCB"/>
    <w:rsid w:val="00F86CE9"/>
    <w:rsid w:val="00F86D41"/>
    <w:rsid w:val="00F871FE"/>
    <w:rsid w:val="00F87B3E"/>
    <w:rsid w:val="00F87D25"/>
    <w:rsid w:val="00F87D61"/>
    <w:rsid w:val="00F902AB"/>
    <w:rsid w:val="00F902BE"/>
    <w:rsid w:val="00F904EC"/>
    <w:rsid w:val="00F9094F"/>
    <w:rsid w:val="00F90AE6"/>
    <w:rsid w:val="00F90AF5"/>
    <w:rsid w:val="00F90CEF"/>
    <w:rsid w:val="00F914F2"/>
    <w:rsid w:val="00F91AE6"/>
    <w:rsid w:val="00F91B2B"/>
    <w:rsid w:val="00F91E8C"/>
    <w:rsid w:val="00F923C1"/>
    <w:rsid w:val="00F9261D"/>
    <w:rsid w:val="00F926E1"/>
    <w:rsid w:val="00F92CCC"/>
    <w:rsid w:val="00F9325E"/>
    <w:rsid w:val="00F93410"/>
    <w:rsid w:val="00F93604"/>
    <w:rsid w:val="00F93AE4"/>
    <w:rsid w:val="00F93D76"/>
    <w:rsid w:val="00F93E31"/>
    <w:rsid w:val="00F93FBB"/>
    <w:rsid w:val="00F940EF"/>
    <w:rsid w:val="00F94198"/>
    <w:rsid w:val="00F941F4"/>
    <w:rsid w:val="00F94253"/>
    <w:rsid w:val="00F946DE"/>
    <w:rsid w:val="00F94E24"/>
    <w:rsid w:val="00F94E36"/>
    <w:rsid w:val="00F9504C"/>
    <w:rsid w:val="00F950E3"/>
    <w:rsid w:val="00F951CC"/>
    <w:rsid w:val="00F952A1"/>
    <w:rsid w:val="00F952FD"/>
    <w:rsid w:val="00F95436"/>
    <w:rsid w:val="00F955D1"/>
    <w:rsid w:val="00F9562E"/>
    <w:rsid w:val="00F9580D"/>
    <w:rsid w:val="00F95CC3"/>
    <w:rsid w:val="00F95EAF"/>
    <w:rsid w:val="00F95FE1"/>
    <w:rsid w:val="00F960B7"/>
    <w:rsid w:val="00F961D9"/>
    <w:rsid w:val="00F962DA"/>
    <w:rsid w:val="00F96844"/>
    <w:rsid w:val="00F96A4E"/>
    <w:rsid w:val="00F9719A"/>
    <w:rsid w:val="00F97422"/>
    <w:rsid w:val="00F978D1"/>
    <w:rsid w:val="00F979C1"/>
    <w:rsid w:val="00F97B35"/>
    <w:rsid w:val="00F97BBC"/>
    <w:rsid w:val="00F97CF9"/>
    <w:rsid w:val="00F97D82"/>
    <w:rsid w:val="00F97FC2"/>
    <w:rsid w:val="00FA00BE"/>
    <w:rsid w:val="00FA012E"/>
    <w:rsid w:val="00FA04D1"/>
    <w:rsid w:val="00FA0597"/>
    <w:rsid w:val="00FA0845"/>
    <w:rsid w:val="00FA0846"/>
    <w:rsid w:val="00FA0D3B"/>
    <w:rsid w:val="00FA1272"/>
    <w:rsid w:val="00FA151A"/>
    <w:rsid w:val="00FA1646"/>
    <w:rsid w:val="00FA16C4"/>
    <w:rsid w:val="00FA19B5"/>
    <w:rsid w:val="00FA1DE2"/>
    <w:rsid w:val="00FA2405"/>
    <w:rsid w:val="00FA2970"/>
    <w:rsid w:val="00FA2A6C"/>
    <w:rsid w:val="00FA2D2A"/>
    <w:rsid w:val="00FA2DE2"/>
    <w:rsid w:val="00FA3086"/>
    <w:rsid w:val="00FA30C2"/>
    <w:rsid w:val="00FA3663"/>
    <w:rsid w:val="00FA36D6"/>
    <w:rsid w:val="00FA3AEB"/>
    <w:rsid w:val="00FA3FC7"/>
    <w:rsid w:val="00FA3FF8"/>
    <w:rsid w:val="00FA43E6"/>
    <w:rsid w:val="00FA43EE"/>
    <w:rsid w:val="00FA4472"/>
    <w:rsid w:val="00FA4926"/>
    <w:rsid w:val="00FA4A72"/>
    <w:rsid w:val="00FA4D78"/>
    <w:rsid w:val="00FA4F2A"/>
    <w:rsid w:val="00FA511A"/>
    <w:rsid w:val="00FA5220"/>
    <w:rsid w:val="00FA5405"/>
    <w:rsid w:val="00FA56F5"/>
    <w:rsid w:val="00FA5911"/>
    <w:rsid w:val="00FA602F"/>
    <w:rsid w:val="00FA66DF"/>
    <w:rsid w:val="00FA6EC4"/>
    <w:rsid w:val="00FA7030"/>
    <w:rsid w:val="00FA70F0"/>
    <w:rsid w:val="00FA7407"/>
    <w:rsid w:val="00FA7630"/>
    <w:rsid w:val="00FA76C0"/>
    <w:rsid w:val="00FA7739"/>
    <w:rsid w:val="00FA788F"/>
    <w:rsid w:val="00FA7932"/>
    <w:rsid w:val="00FA7A1A"/>
    <w:rsid w:val="00FA7C7F"/>
    <w:rsid w:val="00FA7F82"/>
    <w:rsid w:val="00FB00F7"/>
    <w:rsid w:val="00FB0182"/>
    <w:rsid w:val="00FB0372"/>
    <w:rsid w:val="00FB0658"/>
    <w:rsid w:val="00FB088B"/>
    <w:rsid w:val="00FB0A44"/>
    <w:rsid w:val="00FB0C65"/>
    <w:rsid w:val="00FB0CBB"/>
    <w:rsid w:val="00FB0F41"/>
    <w:rsid w:val="00FB0F44"/>
    <w:rsid w:val="00FB0F8A"/>
    <w:rsid w:val="00FB13EC"/>
    <w:rsid w:val="00FB1E17"/>
    <w:rsid w:val="00FB201B"/>
    <w:rsid w:val="00FB23D8"/>
    <w:rsid w:val="00FB24F7"/>
    <w:rsid w:val="00FB255A"/>
    <w:rsid w:val="00FB259A"/>
    <w:rsid w:val="00FB25C7"/>
    <w:rsid w:val="00FB2837"/>
    <w:rsid w:val="00FB2F2B"/>
    <w:rsid w:val="00FB2F9A"/>
    <w:rsid w:val="00FB3177"/>
    <w:rsid w:val="00FB327C"/>
    <w:rsid w:val="00FB332B"/>
    <w:rsid w:val="00FB3357"/>
    <w:rsid w:val="00FB34EA"/>
    <w:rsid w:val="00FB3ED6"/>
    <w:rsid w:val="00FB438A"/>
    <w:rsid w:val="00FB461E"/>
    <w:rsid w:val="00FB47AC"/>
    <w:rsid w:val="00FB4803"/>
    <w:rsid w:val="00FB4A0F"/>
    <w:rsid w:val="00FB4B56"/>
    <w:rsid w:val="00FB4E02"/>
    <w:rsid w:val="00FB4F23"/>
    <w:rsid w:val="00FB5028"/>
    <w:rsid w:val="00FB50A2"/>
    <w:rsid w:val="00FB51CA"/>
    <w:rsid w:val="00FB51CD"/>
    <w:rsid w:val="00FB54E2"/>
    <w:rsid w:val="00FB5672"/>
    <w:rsid w:val="00FB5846"/>
    <w:rsid w:val="00FB5AED"/>
    <w:rsid w:val="00FB5C59"/>
    <w:rsid w:val="00FB5F08"/>
    <w:rsid w:val="00FB6F9B"/>
    <w:rsid w:val="00FB73DE"/>
    <w:rsid w:val="00FB7AB2"/>
    <w:rsid w:val="00FB7F63"/>
    <w:rsid w:val="00FB7FEB"/>
    <w:rsid w:val="00FC010A"/>
    <w:rsid w:val="00FC0241"/>
    <w:rsid w:val="00FC02C5"/>
    <w:rsid w:val="00FC03BD"/>
    <w:rsid w:val="00FC0509"/>
    <w:rsid w:val="00FC06B5"/>
    <w:rsid w:val="00FC095A"/>
    <w:rsid w:val="00FC0E29"/>
    <w:rsid w:val="00FC0E36"/>
    <w:rsid w:val="00FC0E6E"/>
    <w:rsid w:val="00FC1608"/>
    <w:rsid w:val="00FC1A3E"/>
    <w:rsid w:val="00FC1A75"/>
    <w:rsid w:val="00FC1B9A"/>
    <w:rsid w:val="00FC1F1E"/>
    <w:rsid w:val="00FC2207"/>
    <w:rsid w:val="00FC23DF"/>
    <w:rsid w:val="00FC242C"/>
    <w:rsid w:val="00FC2551"/>
    <w:rsid w:val="00FC25AA"/>
    <w:rsid w:val="00FC2609"/>
    <w:rsid w:val="00FC264D"/>
    <w:rsid w:val="00FC27D6"/>
    <w:rsid w:val="00FC28B7"/>
    <w:rsid w:val="00FC2FBA"/>
    <w:rsid w:val="00FC335E"/>
    <w:rsid w:val="00FC365E"/>
    <w:rsid w:val="00FC36DC"/>
    <w:rsid w:val="00FC3890"/>
    <w:rsid w:val="00FC3E68"/>
    <w:rsid w:val="00FC4111"/>
    <w:rsid w:val="00FC4153"/>
    <w:rsid w:val="00FC4236"/>
    <w:rsid w:val="00FC4530"/>
    <w:rsid w:val="00FC4AA5"/>
    <w:rsid w:val="00FC4F4E"/>
    <w:rsid w:val="00FC4FE8"/>
    <w:rsid w:val="00FC5064"/>
    <w:rsid w:val="00FC5862"/>
    <w:rsid w:val="00FC5AA6"/>
    <w:rsid w:val="00FC5CB9"/>
    <w:rsid w:val="00FC5EFA"/>
    <w:rsid w:val="00FC600C"/>
    <w:rsid w:val="00FC6137"/>
    <w:rsid w:val="00FC64AB"/>
    <w:rsid w:val="00FC64D6"/>
    <w:rsid w:val="00FC65FB"/>
    <w:rsid w:val="00FC6704"/>
    <w:rsid w:val="00FC6BAB"/>
    <w:rsid w:val="00FC70DB"/>
    <w:rsid w:val="00FC726D"/>
    <w:rsid w:val="00FC72A2"/>
    <w:rsid w:val="00FC73F7"/>
    <w:rsid w:val="00FC753C"/>
    <w:rsid w:val="00FC76DD"/>
    <w:rsid w:val="00FC783A"/>
    <w:rsid w:val="00FC7972"/>
    <w:rsid w:val="00FC7BF5"/>
    <w:rsid w:val="00FC7FEC"/>
    <w:rsid w:val="00FD0018"/>
    <w:rsid w:val="00FD02CA"/>
    <w:rsid w:val="00FD069C"/>
    <w:rsid w:val="00FD0CE8"/>
    <w:rsid w:val="00FD0D12"/>
    <w:rsid w:val="00FD0F25"/>
    <w:rsid w:val="00FD0F8C"/>
    <w:rsid w:val="00FD1062"/>
    <w:rsid w:val="00FD1162"/>
    <w:rsid w:val="00FD1737"/>
    <w:rsid w:val="00FD1B3B"/>
    <w:rsid w:val="00FD1C70"/>
    <w:rsid w:val="00FD1DF9"/>
    <w:rsid w:val="00FD1EF8"/>
    <w:rsid w:val="00FD203D"/>
    <w:rsid w:val="00FD205B"/>
    <w:rsid w:val="00FD20E4"/>
    <w:rsid w:val="00FD22A4"/>
    <w:rsid w:val="00FD2315"/>
    <w:rsid w:val="00FD24FA"/>
    <w:rsid w:val="00FD251B"/>
    <w:rsid w:val="00FD2722"/>
    <w:rsid w:val="00FD2728"/>
    <w:rsid w:val="00FD2879"/>
    <w:rsid w:val="00FD2A1E"/>
    <w:rsid w:val="00FD2B93"/>
    <w:rsid w:val="00FD2C15"/>
    <w:rsid w:val="00FD2C4D"/>
    <w:rsid w:val="00FD2D62"/>
    <w:rsid w:val="00FD2DBC"/>
    <w:rsid w:val="00FD2EF7"/>
    <w:rsid w:val="00FD30BF"/>
    <w:rsid w:val="00FD31DB"/>
    <w:rsid w:val="00FD32BF"/>
    <w:rsid w:val="00FD3867"/>
    <w:rsid w:val="00FD39D9"/>
    <w:rsid w:val="00FD3A0C"/>
    <w:rsid w:val="00FD46BE"/>
    <w:rsid w:val="00FD482B"/>
    <w:rsid w:val="00FD4CFC"/>
    <w:rsid w:val="00FD50CE"/>
    <w:rsid w:val="00FD51F7"/>
    <w:rsid w:val="00FD520A"/>
    <w:rsid w:val="00FD5390"/>
    <w:rsid w:val="00FD554B"/>
    <w:rsid w:val="00FD5B0B"/>
    <w:rsid w:val="00FD5C81"/>
    <w:rsid w:val="00FD5D10"/>
    <w:rsid w:val="00FD6017"/>
    <w:rsid w:val="00FD60D6"/>
    <w:rsid w:val="00FD67DB"/>
    <w:rsid w:val="00FD6BEA"/>
    <w:rsid w:val="00FD700B"/>
    <w:rsid w:val="00FD704A"/>
    <w:rsid w:val="00FD724F"/>
    <w:rsid w:val="00FD751C"/>
    <w:rsid w:val="00FD7544"/>
    <w:rsid w:val="00FD7876"/>
    <w:rsid w:val="00FE0073"/>
    <w:rsid w:val="00FE018D"/>
    <w:rsid w:val="00FE0537"/>
    <w:rsid w:val="00FE0800"/>
    <w:rsid w:val="00FE0895"/>
    <w:rsid w:val="00FE08E6"/>
    <w:rsid w:val="00FE0B98"/>
    <w:rsid w:val="00FE0C27"/>
    <w:rsid w:val="00FE0DA2"/>
    <w:rsid w:val="00FE0DC1"/>
    <w:rsid w:val="00FE0FF5"/>
    <w:rsid w:val="00FE107C"/>
    <w:rsid w:val="00FE1202"/>
    <w:rsid w:val="00FE13D7"/>
    <w:rsid w:val="00FE1504"/>
    <w:rsid w:val="00FE151C"/>
    <w:rsid w:val="00FE1672"/>
    <w:rsid w:val="00FE18DC"/>
    <w:rsid w:val="00FE1B95"/>
    <w:rsid w:val="00FE1D2E"/>
    <w:rsid w:val="00FE1E09"/>
    <w:rsid w:val="00FE1E1B"/>
    <w:rsid w:val="00FE1E85"/>
    <w:rsid w:val="00FE1F26"/>
    <w:rsid w:val="00FE24AC"/>
    <w:rsid w:val="00FE2C56"/>
    <w:rsid w:val="00FE2E3F"/>
    <w:rsid w:val="00FE3015"/>
    <w:rsid w:val="00FE319A"/>
    <w:rsid w:val="00FE3357"/>
    <w:rsid w:val="00FE33E2"/>
    <w:rsid w:val="00FE370E"/>
    <w:rsid w:val="00FE37CF"/>
    <w:rsid w:val="00FE384D"/>
    <w:rsid w:val="00FE3A08"/>
    <w:rsid w:val="00FE3A3E"/>
    <w:rsid w:val="00FE3B4C"/>
    <w:rsid w:val="00FE3C03"/>
    <w:rsid w:val="00FE409B"/>
    <w:rsid w:val="00FE4154"/>
    <w:rsid w:val="00FE416C"/>
    <w:rsid w:val="00FE41A8"/>
    <w:rsid w:val="00FE41D9"/>
    <w:rsid w:val="00FE4544"/>
    <w:rsid w:val="00FE45F6"/>
    <w:rsid w:val="00FE4686"/>
    <w:rsid w:val="00FE46D5"/>
    <w:rsid w:val="00FE47C2"/>
    <w:rsid w:val="00FE490E"/>
    <w:rsid w:val="00FE4CFE"/>
    <w:rsid w:val="00FE4E0A"/>
    <w:rsid w:val="00FE50B3"/>
    <w:rsid w:val="00FE51BB"/>
    <w:rsid w:val="00FE5BC5"/>
    <w:rsid w:val="00FE5BCE"/>
    <w:rsid w:val="00FE5C0C"/>
    <w:rsid w:val="00FE5EBB"/>
    <w:rsid w:val="00FE5F95"/>
    <w:rsid w:val="00FE61D0"/>
    <w:rsid w:val="00FE6410"/>
    <w:rsid w:val="00FE66CA"/>
    <w:rsid w:val="00FE67A1"/>
    <w:rsid w:val="00FE6EA4"/>
    <w:rsid w:val="00FE6F3F"/>
    <w:rsid w:val="00FE709D"/>
    <w:rsid w:val="00FE733D"/>
    <w:rsid w:val="00FE7378"/>
    <w:rsid w:val="00FE7BC4"/>
    <w:rsid w:val="00FE7D16"/>
    <w:rsid w:val="00FE7D71"/>
    <w:rsid w:val="00FE7F94"/>
    <w:rsid w:val="00FF008E"/>
    <w:rsid w:val="00FF035A"/>
    <w:rsid w:val="00FF04A5"/>
    <w:rsid w:val="00FF0928"/>
    <w:rsid w:val="00FF0C50"/>
    <w:rsid w:val="00FF0D64"/>
    <w:rsid w:val="00FF1067"/>
    <w:rsid w:val="00FF135B"/>
    <w:rsid w:val="00FF15A0"/>
    <w:rsid w:val="00FF1F24"/>
    <w:rsid w:val="00FF2119"/>
    <w:rsid w:val="00FF211B"/>
    <w:rsid w:val="00FF2258"/>
    <w:rsid w:val="00FF22D8"/>
    <w:rsid w:val="00FF2323"/>
    <w:rsid w:val="00FF26AB"/>
    <w:rsid w:val="00FF2720"/>
    <w:rsid w:val="00FF2D61"/>
    <w:rsid w:val="00FF2D90"/>
    <w:rsid w:val="00FF2E30"/>
    <w:rsid w:val="00FF30D7"/>
    <w:rsid w:val="00FF3335"/>
    <w:rsid w:val="00FF347E"/>
    <w:rsid w:val="00FF35B5"/>
    <w:rsid w:val="00FF3C31"/>
    <w:rsid w:val="00FF43B2"/>
    <w:rsid w:val="00FF4586"/>
    <w:rsid w:val="00FF4788"/>
    <w:rsid w:val="00FF5384"/>
    <w:rsid w:val="00FF5408"/>
    <w:rsid w:val="00FF54D5"/>
    <w:rsid w:val="00FF551F"/>
    <w:rsid w:val="00FF64C3"/>
    <w:rsid w:val="00FF6659"/>
    <w:rsid w:val="00FF66D4"/>
    <w:rsid w:val="00FF6A73"/>
    <w:rsid w:val="00FF70F5"/>
    <w:rsid w:val="00FF71D4"/>
    <w:rsid w:val="00FF71E4"/>
    <w:rsid w:val="00FF77D6"/>
    <w:rsid w:val="00FF79BF"/>
    <w:rsid w:val="00FF79FD"/>
    <w:rsid w:val="00FF7B9D"/>
    <w:rsid w:val="00FF7D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DC7A6"/>
  <w15:docId w15:val="{D36BDA54-32E7-4A36-AABF-C644F40CE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9F3"/>
  </w:style>
  <w:style w:type="paragraph" w:styleId="Naslov1">
    <w:name w:val="heading 1"/>
    <w:basedOn w:val="Normal"/>
    <w:next w:val="Normal"/>
    <w:link w:val="Naslov1Char"/>
    <w:qFormat/>
    <w:rsid w:val="00891119"/>
    <w:pPr>
      <w:keepNext/>
      <w:spacing w:after="0" w:line="240" w:lineRule="auto"/>
      <w:jc w:val="center"/>
      <w:outlineLvl w:val="0"/>
    </w:pPr>
    <w:rPr>
      <w:rFonts w:ascii="Times New Roman" w:eastAsia="Times New Roman" w:hAnsi="Times New Roman" w:cs="Times New Roman"/>
      <w:b/>
      <w:sz w:val="20"/>
      <w:szCs w:val="20"/>
      <w:lang w:val="en-AU" w:eastAsia="en-US"/>
    </w:rPr>
  </w:style>
  <w:style w:type="paragraph" w:styleId="Naslov2">
    <w:name w:val="heading 2"/>
    <w:basedOn w:val="Normal"/>
    <w:next w:val="Normal"/>
    <w:link w:val="Naslov2Char"/>
    <w:uiPriority w:val="9"/>
    <w:qFormat/>
    <w:rsid w:val="00891119"/>
    <w:pPr>
      <w:keepNext/>
      <w:spacing w:after="0" w:line="240" w:lineRule="auto"/>
      <w:outlineLvl w:val="1"/>
    </w:pPr>
    <w:rPr>
      <w:rFonts w:ascii="Times New Roman" w:eastAsia="Times New Roman" w:hAnsi="Times New Roman" w:cs="Times New Roman"/>
      <w:b/>
      <w:sz w:val="24"/>
      <w:szCs w:val="20"/>
      <w:lang w:val="en-AU" w:eastAsia="en-US"/>
    </w:rPr>
  </w:style>
  <w:style w:type="paragraph" w:styleId="Naslov3">
    <w:name w:val="heading 3"/>
    <w:basedOn w:val="Normal"/>
    <w:next w:val="Normal"/>
    <w:link w:val="Naslov3Char"/>
    <w:qFormat/>
    <w:rsid w:val="00891119"/>
    <w:pPr>
      <w:keepNext/>
      <w:spacing w:after="0" w:line="240" w:lineRule="auto"/>
      <w:jc w:val="both"/>
      <w:outlineLvl w:val="2"/>
    </w:pPr>
    <w:rPr>
      <w:rFonts w:ascii="Times New Roman" w:eastAsia="Times New Roman" w:hAnsi="Times New Roman" w:cs="Times New Roman"/>
      <w:b/>
      <w:sz w:val="24"/>
      <w:szCs w:val="20"/>
      <w:lang w:val="en-AU" w:eastAsia="en-US"/>
    </w:rPr>
  </w:style>
  <w:style w:type="paragraph" w:styleId="Naslov4">
    <w:name w:val="heading 4"/>
    <w:basedOn w:val="Normal"/>
    <w:next w:val="Normal"/>
    <w:link w:val="Naslov4Char"/>
    <w:qFormat/>
    <w:rsid w:val="00891119"/>
    <w:pPr>
      <w:keepNext/>
      <w:spacing w:after="0" w:line="240" w:lineRule="auto"/>
      <w:jc w:val="center"/>
      <w:outlineLvl w:val="3"/>
    </w:pPr>
    <w:rPr>
      <w:rFonts w:ascii="Times New Roman" w:eastAsia="Times New Roman" w:hAnsi="Times New Roman" w:cs="Times New Roman"/>
      <w:b/>
      <w:szCs w:val="20"/>
      <w:lang w:val="en-AU" w:eastAsia="en-US"/>
    </w:rPr>
  </w:style>
  <w:style w:type="paragraph" w:styleId="Naslov5">
    <w:name w:val="heading 5"/>
    <w:basedOn w:val="Normal"/>
    <w:next w:val="Normal"/>
    <w:link w:val="Naslov5Char"/>
    <w:qFormat/>
    <w:rsid w:val="00891119"/>
    <w:pPr>
      <w:keepNext/>
      <w:spacing w:after="0" w:line="240" w:lineRule="auto"/>
      <w:outlineLvl w:val="4"/>
    </w:pPr>
    <w:rPr>
      <w:rFonts w:ascii="Times New Roman" w:eastAsia="Times New Roman" w:hAnsi="Times New Roman" w:cs="Times New Roman"/>
      <w:b/>
      <w:bCs/>
      <w:i/>
      <w:iCs/>
      <w:sz w:val="20"/>
      <w:szCs w:val="18"/>
      <w:u w:val="single"/>
      <w:lang w:val="en-AU" w:eastAsia="en-US"/>
    </w:rPr>
  </w:style>
  <w:style w:type="paragraph" w:styleId="Naslov6">
    <w:name w:val="heading 6"/>
    <w:basedOn w:val="Normal"/>
    <w:next w:val="Normal"/>
    <w:link w:val="Naslov6Char"/>
    <w:uiPriority w:val="9"/>
    <w:qFormat/>
    <w:rsid w:val="00891119"/>
    <w:pPr>
      <w:keepNext/>
      <w:spacing w:after="0" w:line="240" w:lineRule="auto"/>
      <w:jc w:val="center"/>
      <w:outlineLvl w:val="5"/>
    </w:pPr>
    <w:rPr>
      <w:rFonts w:ascii="Times New Roman" w:eastAsia="Times New Roman" w:hAnsi="Times New Roman" w:cs="Times New Roman"/>
      <w:b/>
      <w:bCs/>
      <w:i/>
      <w:iCs/>
      <w:sz w:val="20"/>
      <w:szCs w:val="18"/>
      <w:u w:val="single"/>
      <w:lang w:eastAsia="en-US"/>
    </w:rPr>
  </w:style>
  <w:style w:type="paragraph" w:styleId="Naslov7">
    <w:name w:val="heading 7"/>
    <w:basedOn w:val="Normal"/>
    <w:next w:val="Normal"/>
    <w:link w:val="Naslov7Char"/>
    <w:uiPriority w:val="9"/>
    <w:semiHidden/>
    <w:unhideWhenUsed/>
    <w:qFormat/>
    <w:rsid w:val="00426865"/>
    <w:pPr>
      <w:keepNext/>
      <w:keepLines/>
      <w:spacing w:before="40" w:after="0"/>
      <w:outlineLvl w:val="6"/>
    </w:pPr>
    <w:rPr>
      <w:rFonts w:ascii="Cambria" w:eastAsia="Times New Roman" w:hAnsi="Cambria" w:cs="Times New Roman"/>
      <w:i/>
      <w:iCs/>
      <w:color w:val="243F60"/>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891119"/>
    <w:rPr>
      <w:rFonts w:ascii="Times New Roman" w:eastAsia="Times New Roman" w:hAnsi="Times New Roman" w:cs="Times New Roman"/>
      <w:b/>
      <w:sz w:val="20"/>
      <w:szCs w:val="20"/>
      <w:lang w:val="en-AU" w:eastAsia="en-US"/>
    </w:rPr>
  </w:style>
  <w:style w:type="character" w:customStyle="1" w:styleId="Naslov2Char">
    <w:name w:val="Naslov 2 Char"/>
    <w:basedOn w:val="Zadanifontodlomka"/>
    <w:link w:val="Naslov2"/>
    <w:uiPriority w:val="9"/>
    <w:rsid w:val="00891119"/>
    <w:rPr>
      <w:rFonts w:ascii="Times New Roman" w:eastAsia="Times New Roman" w:hAnsi="Times New Roman" w:cs="Times New Roman"/>
      <w:b/>
      <w:sz w:val="24"/>
      <w:szCs w:val="20"/>
      <w:lang w:val="en-AU" w:eastAsia="en-US"/>
    </w:rPr>
  </w:style>
  <w:style w:type="character" w:customStyle="1" w:styleId="Naslov3Char">
    <w:name w:val="Naslov 3 Char"/>
    <w:basedOn w:val="Zadanifontodlomka"/>
    <w:link w:val="Naslov3"/>
    <w:rsid w:val="00891119"/>
    <w:rPr>
      <w:rFonts w:ascii="Times New Roman" w:eastAsia="Times New Roman" w:hAnsi="Times New Roman" w:cs="Times New Roman"/>
      <w:b/>
      <w:sz w:val="24"/>
      <w:szCs w:val="20"/>
      <w:lang w:val="en-AU" w:eastAsia="en-US"/>
    </w:rPr>
  </w:style>
  <w:style w:type="character" w:customStyle="1" w:styleId="Naslov4Char">
    <w:name w:val="Naslov 4 Char"/>
    <w:basedOn w:val="Zadanifontodlomka"/>
    <w:link w:val="Naslov4"/>
    <w:rsid w:val="00891119"/>
    <w:rPr>
      <w:rFonts w:ascii="Times New Roman" w:eastAsia="Times New Roman" w:hAnsi="Times New Roman" w:cs="Times New Roman"/>
      <w:b/>
      <w:szCs w:val="20"/>
      <w:lang w:val="en-AU" w:eastAsia="en-US"/>
    </w:rPr>
  </w:style>
  <w:style w:type="character" w:customStyle="1" w:styleId="Naslov5Char">
    <w:name w:val="Naslov 5 Char"/>
    <w:basedOn w:val="Zadanifontodlomka"/>
    <w:link w:val="Naslov5"/>
    <w:rsid w:val="00891119"/>
    <w:rPr>
      <w:rFonts w:ascii="Times New Roman" w:eastAsia="Times New Roman" w:hAnsi="Times New Roman" w:cs="Times New Roman"/>
      <w:b/>
      <w:bCs/>
      <w:i/>
      <w:iCs/>
      <w:sz w:val="20"/>
      <w:szCs w:val="18"/>
      <w:u w:val="single"/>
      <w:lang w:val="en-AU" w:eastAsia="en-US"/>
    </w:rPr>
  </w:style>
  <w:style w:type="character" w:customStyle="1" w:styleId="Naslov6Char">
    <w:name w:val="Naslov 6 Char"/>
    <w:basedOn w:val="Zadanifontodlomka"/>
    <w:link w:val="Naslov6"/>
    <w:uiPriority w:val="9"/>
    <w:rsid w:val="00891119"/>
    <w:rPr>
      <w:rFonts w:ascii="Times New Roman" w:eastAsia="Times New Roman" w:hAnsi="Times New Roman" w:cs="Times New Roman"/>
      <w:b/>
      <w:bCs/>
      <w:i/>
      <w:iCs/>
      <w:sz w:val="20"/>
      <w:szCs w:val="18"/>
      <w:u w:val="single"/>
      <w:lang w:eastAsia="en-US"/>
    </w:rPr>
  </w:style>
  <w:style w:type="paragraph" w:styleId="Naslov">
    <w:name w:val="Title"/>
    <w:basedOn w:val="Normal"/>
    <w:link w:val="NaslovChar"/>
    <w:qFormat/>
    <w:rsid w:val="00891119"/>
    <w:pPr>
      <w:spacing w:after="0" w:line="240" w:lineRule="auto"/>
      <w:jc w:val="center"/>
    </w:pPr>
    <w:rPr>
      <w:rFonts w:ascii="Times New Roman" w:eastAsia="Times New Roman" w:hAnsi="Times New Roman" w:cs="Times New Roman"/>
      <w:b/>
      <w:sz w:val="24"/>
      <w:szCs w:val="20"/>
      <w:lang w:eastAsia="en-US"/>
    </w:rPr>
  </w:style>
  <w:style w:type="character" w:customStyle="1" w:styleId="NaslovChar">
    <w:name w:val="Naslov Char"/>
    <w:basedOn w:val="Zadanifontodlomka"/>
    <w:link w:val="Naslov"/>
    <w:rsid w:val="00891119"/>
    <w:rPr>
      <w:rFonts w:ascii="Times New Roman" w:eastAsia="Times New Roman" w:hAnsi="Times New Roman" w:cs="Times New Roman"/>
      <w:b/>
      <w:sz w:val="24"/>
      <w:szCs w:val="20"/>
      <w:lang w:eastAsia="en-US"/>
    </w:rPr>
  </w:style>
  <w:style w:type="paragraph" w:styleId="Tijeloteksta">
    <w:name w:val="Body Text"/>
    <w:basedOn w:val="Normal"/>
    <w:link w:val="TijelotekstaChar"/>
    <w:rsid w:val="00891119"/>
    <w:pPr>
      <w:spacing w:after="0" w:line="240" w:lineRule="auto"/>
    </w:pPr>
    <w:rPr>
      <w:rFonts w:ascii="Times New Roman" w:eastAsia="Times New Roman" w:hAnsi="Times New Roman" w:cs="Times New Roman"/>
      <w:sz w:val="24"/>
      <w:szCs w:val="20"/>
      <w:lang w:val="en-AU" w:eastAsia="en-US"/>
    </w:rPr>
  </w:style>
  <w:style w:type="character" w:customStyle="1" w:styleId="TijelotekstaChar">
    <w:name w:val="Tijelo teksta Char"/>
    <w:basedOn w:val="Zadanifontodlomka"/>
    <w:link w:val="Tijeloteksta"/>
    <w:rsid w:val="00891119"/>
    <w:rPr>
      <w:rFonts w:ascii="Times New Roman" w:eastAsia="Times New Roman" w:hAnsi="Times New Roman" w:cs="Times New Roman"/>
      <w:sz w:val="24"/>
      <w:szCs w:val="20"/>
      <w:lang w:val="en-AU" w:eastAsia="en-US"/>
    </w:rPr>
  </w:style>
  <w:style w:type="paragraph" w:styleId="Tijeloteksta2">
    <w:name w:val="Body Text 2"/>
    <w:basedOn w:val="Normal"/>
    <w:link w:val="Tijeloteksta2Char"/>
    <w:rsid w:val="00891119"/>
    <w:pPr>
      <w:spacing w:after="0" w:line="240" w:lineRule="auto"/>
      <w:jc w:val="both"/>
    </w:pPr>
    <w:rPr>
      <w:rFonts w:ascii="Times New Roman" w:eastAsia="Times New Roman" w:hAnsi="Times New Roman" w:cs="Times New Roman"/>
      <w:sz w:val="24"/>
      <w:szCs w:val="20"/>
      <w:lang w:val="en-AU" w:eastAsia="en-US"/>
    </w:rPr>
  </w:style>
  <w:style w:type="character" w:customStyle="1" w:styleId="Tijeloteksta2Char">
    <w:name w:val="Tijelo teksta 2 Char"/>
    <w:basedOn w:val="Zadanifontodlomka"/>
    <w:link w:val="Tijeloteksta2"/>
    <w:rsid w:val="00891119"/>
    <w:rPr>
      <w:rFonts w:ascii="Times New Roman" w:eastAsia="Times New Roman" w:hAnsi="Times New Roman" w:cs="Times New Roman"/>
      <w:sz w:val="24"/>
      <w:szCs w:val="20"/>
      <w:lang w:val="en-AU" w:eastAsia="en-US"/>
    </w:rPr>
  </w:style>
  <w:style w:type="paragraph" w:styleId="Zaglavlje">
    <w:name w:val="header"/>
    <w:basedOn w:val="Normal"/>
    <w:link w:val="ZaglavljeChar"/>
    <w:uiPriority w:val="99"/>
    <w:rsid w:val="00891119"/>
    <w:pPr>
      <w:tabs>
        <w:tab w:val="center" w:pos="4153"/>
        <w:tab w:val="right" w:pos="8306"/>
      </w:tabs>
      <w:spacing w:after="0" w:line="240" w:lineRule="auto"/>
    </w:pPr>
    <w:rPr>
      <w:rFonts w:ascii="Times New Roman" w:eastAsia="Times New Roman" w:hAnsi="Times New Roman" w:cs="Times New Roman"/>
      <w:sz w:val="20"/>
      <w:szCs w:val="20"/>
      <w:lang w:val="en-AU" w:eastAsia="en-US"/>
    </w:rPr>
  </w:style>
  <w:style w:type="character" w:customStyle="1" w:styleId="ZaglavljeChar">
    <w:name w:val="Zaglavlje Char"/>
    <w:basedOn w:val="Zadanifontodlomka"/>
    <w:link w:val="Zaglavlje"/>
    <w:uiPriority w:val="99"/>
    <w:rsid w:val="00891119"/>
    <w:rPr>
      <w:rFonts w:ascii="Times New Roman" w:eastAsia="Times New Roman" w:hAnsi="Times New Roman" w:cs="Times New Roman"/>
      <w:sz w:val="20"/>
      <w:szCs w:val="20"/>
      <w:lang w:val="en-AU" w:eastAsia="en-US"/>
    </w:rPr>
  </w:style>
  <w:style w:type="paragraph" w:styleId="Podnoje">
    <w:name w:val="footer"/>
    <w:basedOn w:val="Normal"/>
    <w:link w:val="PodnojeChar"/>
    <w:uiPriority w:val="99"/>
    <w:rsid w:val="00891119"/>
    <w:pPr>
      <w:tabs>
        <w:tab w:val="center" w:pos="4153"/>
        <w:tab w:val="right" w:pos="8306"/>
      </w:tabs>
      <w:spacing w:after="0" w:line="240" w:lineRule="auto"/>
    </w:pPr>
    <w:rPr>
      <w:rFonts w:ascii="Times New Roman" w:eastAsia="Times New Roman" w:hAnsi="Times New Roman" w:cs="Times New Roman"/>
      <w:sz w:val="20"/>
      <w:szCs w:val="20"/>
      <w:lang w:val="en-AU" w:eastAsia="en-US"/>
    </w:rPr>
  </w:style>
  <w:style w:type="character" w:customStyle="1" w:styleId="PodnojeChar">
    <w:name w:val="Podnožje Char"/>
    <w:basedOn w:val="Zadanifontodlomka"/>
    <w:link w:val="Podnoje"/>
    <w:uiPriority w:val="99"/>
    <w:rsid w:val="00891119"/>
    <w:rPr>
      <w:rFonts w:ascii="Times New Roman" w:eastAsia="Times New Roman" w:hAnsi="Times New Roman" w:cs="Times New Roman"/>
      <w:sz w:val="20"/>
      <w:szCs w:val="20"/>
      <w:lang w:val="en-AU" w:eastAsia="en-US"/>
    </w:rPr>
  </w:style>
  <w:style w:type="paragraph" w:styleId="Tekstbalonia">
    <w:name w:val="Balloon Text"/>
    <w:basedOn w:val="Normal"/>
    <w:link w:val="TekstbaloniaChar"/>
    <w:uiPriority w:val="99"/>
    <w:semiHidden/>
    <w:rsid w:val="00891119"/>
    <w:pPr>
      <w:spacing w:after="0" w:line="240" w:lineRule="auto"/>
    </w:pPr>
    <w:rPr>
      <w:rFonts w:ascii="Tahoma" w:eastAsia="Times New Roman" w:hAnsi="Tahoma" w:cs="Times New Roman"/>
      <w:sz w:val="16"/>
      <w:szCs w:val="16"/>
      <w:lang w:val="en-AU" w:eastAsia="en-US"/>
    </w:rPr>
  </w:style>
  <w:style w:type="character" w:customStyle="1" w:styleId="TekstbaloniaChar">
    <w:name w:val="Tekst balončića Char"/>
    <w:basedOn w:val="Zadanifontodlomka"/>
    <w:link w:val="Tekstbalonia"/>
    <w:uiPriority w:val="99"/>
    <w:semiHidden/>
    <w:rsid w:val="00891119"/>
    <w:rPr>
      <w:rFonts w:ascii="Tahoma" w:eastAsia="Times New Roman" w:hAnsi="Tahoma" w:cs="Times New Roman"/>
      <w:sz w:val="16"/>
      <w:szCs w:val="16"/>
      <w:lang w:val="en-AU" w:eastAsia="en-US"/>
    </w:rPr>
  </w:style>
  <w:style w:type="paragraph" w:styleId="Bezproreda">
    <w:name w:val="No Spacing"/>
    <w:link w:val="BezproredaChar"/>
    <w:uiPriority w:val="1"/>
    <w:qFormat/>
    <w:rsid w:val="00891119"/>
    <w:pPr>
      <w:spacing w:after="0" w:line="240" w:lineRule="auto"/>
    </w:pPr>
    <w:rPr>
      <w:rFonts w:ascii="Calibri" w:eastAsia="Times New Roman" w:hAnsi="Calibri" w:cs="Times New Roman"/>
      <w:lang w:val="en-US" w:eastAsia="en-US"/>
    </w:rPr>
  </w:style>
  <w:style w:type="character" w:customStyle="1" w:styleId="BezproredaChar">
    <w:name w:val="Bez proreda Char"/>
    <w:link w:val="Bezproreda"/>
    <w:uiPriority w:val="1"/>
    <w:rsid w:val="00891119"/>
    <w:rPr>
      <w:rFonts w:ascii="Calibri" w:eastAsia="Times New Roman" w:hAnsi="Calibri" w:cs="Times New Roman"/>
      <w:lang w:val="en-US" w:eastAsia="en-US"/>
    </w:rPr>
  </w:style>
  <w:style w:type="paragraph" w:styleId="TOCNaslov">
    <w:name w:val="TOC Heading"/>
    <w:basedOn w:val="Naslov1"/>
    <w:next w:val="Normal"/>
    <w:uiPriority w:val="39"/>
    <w:unhideWhenUsed/>
    <w:qFormat/>
    <w:rsid w:val="00891119"/>
    <w:pPr>
      <w:keepLines/>
      <w:spacing w:before="480" w:line="276" w:lineRule="auto"/>
      <w:jc w:val="left"/>
      <w:outlineLvl w:val="9"/>
    </w:pPr>
    <w:rPr>
      <w:rFonts w:ascii="Cambria" w:hAnsi="Cambria"/>
      <w:bCs/>
      <w:color w:val="365F91"/>
      <w:sz w:val="28"/>
      <w:szCs w:val="28"/>
      <w:lang w:val="en-US"/>
    </w:rPr>
  </w:style>
  <w:style w:type="paragraph" w:styleId="Sadraj1">
    <w:name w:val="toc 1"/>
    <w:basedOn w:val="Normal"/>
    <w:next w:val="Normal"/>
    <w:autoRedefine/>
    <w:uiPriority w:val="39"/>
    <w:unhideWhenUsed/>
    <w:qFormat/>
    <w:rsid w:val="00FA1272"/>
    <w:pPr>
      <w:tabs>
        <w:tab w:val="left" w:pos="660"/>
        <w:tab w:val="right" w:leader="dot" w:pos="14560"/>
      </w:tabs>
      <w:spacing w:before="120" w:after="120"/>
    </w:pPr>
    <w:rPr>
      <w:rFonts w:ascii="Arial" w:eastAsia="Calibri" w:hAnsi="Arial" w:cs="Arial"/>
      <w:b/>
      <w:bCs/>
      <w:caps/>
      <w:noProof/>
      <w:sz w:val="20"/>
      <w:szCs w:val="20"/>
    </w:rPr>
  </w:style>
  <w:style w:type="character" w:styleId="Hiperveza">
    <w:name w:val="Hyperlink"/>
    <w:uiPriority w:val="99"/>
    <w:unhideWhenUsed/>
    <w:rsid w:val="00891119"/>
    <w:rPr>
      <w:color w:val="0000FF"/>
      <w:u w:val="single"/>
    </w:rPr>
  </w:style>
  <w:style w:type="paragraph" w:styleId="Sadraj2">
    <w:name w:val="toc 2"/>
    <w:basedOn w:val="Normal"/>
    <w:next w:val="Normal"/>
    <w:autoRedefine/>
    <w:uiPriority w:val="39"/>
    <w:unhideWhenUsed/>
    <w:qFormat/>
    <w:rsid w:val="005661EA"/>
    <w:pPr>
      <w:tabs>
        <w:tab w:val="left" w:pos="880"/>
        <w:tab w:val="right" w:leader="dot" w:pos="14560"/>
      </w:tabs>
      <w:spacing w:after="0"/>
      <w:ind w:left="220"/>
    </w:pPr>
    <w:rPr>
      <w:rFonts w:ascii="Arial" w:hAnsi="Arial" w:cs="Arial"/>
      <w:i/>
      <w:iCs/>
      <w:smallCaps/>
      <w:noProof/>
      <w:sz w:val="20"/>
      <w:szCs w:val="20"/>
    </w:rPr>
  </w:style>
  <w:style w:type="paragraph" w:styleId="Sadraj3">
    <w:name w:val="toc 3"/>
    <w:basedOn w:val="Normal"/>
    <w:next w:val="Normal"/>
    <w:autoRedefine/>
    <w:uiPriority w:val="39"/>
    <w:unhideWhenUsed/>
    <w:qFormat/>
    <w:rsid w:val="00891119"/>
    <w:pPr>
      <w:spacing w:after="0"/>
      <w:ind w:left="440"/>
    </w:pPr>
    <w:rPr>
      <w:i/>
      <w:iCs/>
      <w:sz w:val="20"/>
      <w:szCs w:val="20"/>
    </w:rPr>
  </w:style>
  <w:style w:type="paragraph" w:customStyle="1" w:styleId="t-9-8">
    <w:name w:val="t-9-8"/>
    <w:basedOn w:val="Normal"/>
    <w:rsid w:val="00891119"/>
    <w:pPr>
      <w:spacing w:before="100" w:beforeAutospacing="1" w:after="100" w:afterAutospacing="1" w:line="240" w:lineRule="auto"/>
    </w:pPr>
    <w:rPr>
      <w:rFonts w:ascii="Times New Roman" w:eastAsia="Times New Roman" w:hAnsi="Times New Roman" w:cs="Times New Roman"/>
      <w:sz w:val="24"/>
      <w:szCs w:val="24"/>
    </w:rPr>
  </w:style>
  <w:style w:type="table" w:styleId="Reetkatablice">
    <w:name w:val="Table Grid"/>
    <w:basedOn w:val="Obinatablica"/>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1">
    <w:name w:val="List Paragraph1"/>
    <w:basedOn w:val="Normal"/>
    <w:uiPriority w:val="34"/>
    <w:qFormat/>
    <w:rsid w:val="00891119"/>
    <w:pPr>
      <w:spacing w:after="0" w:line="240" w:lineRule="auto"/>
      <w:ind w:left="708"/>
      <w:jc w:val="both"/>
    </w:pPr>
    <w:rPr>
      <w:rFonts w:ascii="Times New Roman" w:eastAsia="Times New Roman" w:hAnsi="Times New Roman" w:cs="Times New Roman"/>
      <w:sz w:val="20"/>
      <w:szCs w:val="20"/>
      <w:lang w:eastAsia="en-US"/>
    </w:rPr>
  </w:style>
  <w:style w:type="table" w:customStyle="1" w:styleId="Reetkatablice1">
    <w:name w:val="Rešetka tablice1"/>
    <w:basedOn w:val="Obinatablica"/>
    <w:next w:val="Reetkatablice"/>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rsid w:val="00891119"/>
    <w:pPr>
      <w:spacing w:after="0" w:line="240" w:lineRule="auto"/>
      <w:jc w:val="both"/>
    </w:pPr>
    <w:rPr>
      <w:rFonts w:ascii="Times New Roman" w:eastAsia="Times New Roman" w:hAnsi="Times New Roman" w:cs="Times New Roman"/>
      <w:color w:val="000000"/>
      <w:sz w:val="20"/>
      <w:szCs w:val="20"/>
      <w:lang w:eastAsia="en-US"/>
    </w:rPr>
  </w:style>
  <w:style w:type="character" w:customStyle="1" w:styleId="TekstfusnoteChar">
    <w:name w:val="Tekst fusnote Char"/>
    <w:basedOn w:val="Zadanifontodlomka"/>
    <w:link w:val="Tekstfusnote"/>
    <w:uiPriority w:val="99"/>
    <w:rsid w:val="00891119"/>
    <w:rPr>
      <w:rFonts w:ascii="Times New Roman" w:eastAsia="Times New Roman" w:hAnsi="Times New Roman" w:cs="Times New Roman"/>
      <w:color w:val="000000"/>
      <w:sz w:val="20"/>
      <w:szCs w:val="20"/>
      <w:lang w:eastAsia="en-US"/>
    </w:rPr>
  </w:style>
  <w:style w:type="character" w:styleId="Referencafusnote">
    <w:name w:val="footnote reference"/>
    <w:uiPriority w:val="99"/>
    <w:semiHidden/>
    <w:rsid w:val="00891119"/>
    <w:rPr>
      <w:vertAlign w:val="superscript"/>
    </w:rPr>
  </w:style>
  <w:style w:type="paragraph" w:styleId="Tijeloteksta-uvlaka2">
    <w:name w:val="Body Text Indent 2"/>
    <w:basedOn w:val="Normal"/>
    <w:link w:val="Tijeloteksta-uvlaka2Char"/>
    <w:uiPriority w:val="99"/>
    <w:semiHidden/>
    <w:unhideWhenUsed/>
    <w:rsid w:val="00891119"/>
    <w:pPr>
      <w:spacing w:after="120" w:line="480" w:lineRule="auto"/>
      <w:ind w:left="283"/>
      <w:jc w:val="both"/>
    </w:pPr>
    <w:rPr>
      <w:rFonts w:ascii="Times New Roman" w:eastAsia="Times New Roman" w:hAnsi="Times New Roman" w:cs="Times New Roman"/>
      <w:sz w:val="20"/>
      <w:szCs w:val="20"/>
      <w:lang w:eastAsia="en-US"/>
    </w:rPr>
  </w:style>
  <w:style w:type="character" w:customStyle="1" w:styleId="Tijeloteksta-uvlaka2Char">
    <w:name w:val="Tijelo teksta - uvlaka 2 Char"/>
    <w:basedOn w:val="Zadanifontodlomka"/>
    <w:link w:val="Tijeloteksta-uvlaka2"/>
    <w:uiPriority w:val="99"/>
    <w:semiHidden/>
    <w:rsid w:val="00891119"/>
    <w:rPr>
      <w:rFonts w:ascii="Times New Roman" w:eastAsia="Times New Roman" w:hAnsi="Times New Roman" w:cs="Times New Roman"/>
      <w:sz w:val="20"/>
      <w:szCs w:val="20"/>
      <w:lang w:eastAsia="en-US"/>
    </w:rPr>
  </w:style>
  <w:style w:type="paragraph" w:styleId="Tijeloteksta-uvlaka3">
    <w:name w:val="Body Text Indent 3"/>
    <w:basedOn w:val="Normal"/>
    <w:link w:val="Tijeloteksta-uvlaka3Char"/>
    <w:uiPriority w:val="99"/>
    <w:semiHidden/>
    <w:unhideWhenUsed/>
    <w:rsid w:val="00891119"/>
    <w:pPr>
      <w:spacing w:after="120" w:line="240" w:lineRule="auto"/>
      <w:ind w:left="283"/>
      <w:jc w:val="both"/>
    </w:pPr>
    <w:rPr>
      <w:rFonts w:ascii="Times New Roman" w:eastAsia="Times New Roman" w:hAnsi="Times New Roman" w:cs="Times New Roman"/>
      <w:sz w:val="16"/>
      <w:szCs w:val="16"/>
      <w:lang w:eastAsia="en-US"/>
    </w:rPr>
  </w:style>
  <w:style w:type="character" w:customStyle="1" w:styleId="Tijeloteksta-uvlaka3Char">
    <w:name w:val="Tijelo teksta - uvlaka 3 Char"/>
    <w:basedOn w:val="Zadanifontodlomka"/>
    <w:link w:val="Tijeloteksta-uvlaka3"/>
    <w:uiPriority w:val="99"/>
    <w:semiHidden/>
    <w:rsid w:val="00891119"/>
    <w:rPr>
      <w:rFonts w:ascii="Times New Roman" w:eastAsia="Times New Roman" w:hAnsi="Times New Roman" w:cs="Times New Roman"/>
      <w:sz w:val="16"/>
      <w:szCs w:val="16"/>
      <w:lang w:eastAsia="en-US"/>
    </w:rPr>
  </w:style>
  <w:style w:type="paragraph" w:styleId="Odlomakpopisa">
    <w:name w:val="List Paragraph"/>
    <w:basedOn w:val="Normal"/>
    <w:uiPriority w:val="34"/>
    <w:qFormat/>
    <w:rsid w:val="00891119"/>
    <w:pPr>
      <w:spacing w:after="0" w:line="240" w:lineRule="auto"/>
      <w:ind w:left="708"/>
      <w:jc w:val="both"/>
    </w:pPr>
    <w:rPr>
      <w:rFonts w:ascii="Times New Roman" w:eastAsia="Times New Roman" w:hAnsi="Times New Roman" w:cs="Times New Roman"/>
      <w:sz w:val="20"/>
      <w:szCs w:val="20"/>
      <w:lang w:eastAsia="en-US"/>
    </w:rPr>
  </w:style>
  <w:style w:type="paragraph" w:customStyle="1" w:styleId="Default">
    <w:name w:val="Default"/>
    <w:rsid w:val="00891119"/>
    <w:pPr>
      <w:autoSpaceDE w:val="0"/>
      <w:autoSpaceDN w:val="0"/>
      <w:adjustRightInd w:val="0"/>
      <w:spacing w:after="0" w:line="240" w:lineRule="auto"/>
      <w:ind w:firstLine="357"/>
      <w:jc w:val="both"/>
    </w:pPr>
    <w:rPr>
      <w:rFonts w:ascii="Times New Roman" w:eastAsia="Calibri" w:hAnsi="Times New Roman" w:cs="Times New Roman"/>
      <w:color w:val="000000"/>
      <w:sz w:val="24"/>
      <w:szCs w:val="24"/>
    </w:rPr>
  </w:style>
  <w:style w:type="character" w:styleId="Naglaeno">
    <w:name w:val="Strong"/>
    <w:uiPriority w:val="22"/>
    <w:qFormat/>
    <w:rsid w:val="00891119"/>
    <w:rPr>
      <w:b/>
      <w:bCs/>
    </w:rPr>
  </w:style>
  <w:style w:type="paragraph" w:styleId="StandardWeb">
    <w:name w:val="Normal (Web)"/>
    <w:basedOn w:val="Normal"/>
    <w:uiPriority w:val="99"/>
    <w:unhideWhenUsed/>
    <w:rsid w:val="00891119"/>
    <w:pPr>
      <w:spacing w:before="125" w:after="188" w:line="240" w:lineRule="auto"/>
    </w:pPr>
    <w:rPr>
      <w:rFonts w:ascii="Times New Roman" w:eastAsia="Times New Roman" w:hAnsi="Times New Roman" w:cs="Times New Roman"/>
      <w:sz w:val="24"/>
      <w:szCs w:val="24"/>
    </w:rPr>
  </w:style>
  <w:style w:type="character" w:styleId="Istaknuto">
    <w:name w:val="Emphasis"/>
    <w:uiPriority w:val="20"/>
    <w:qFormat/>
    <w:rsid w:val="00891119"/>
    <w:rPr>
      <w:i/>
      <w:iCs/>
    </w:rPr>
  </w:style>
  <w:style w:type="character" w:styleId="Tekstrezerviranogmjesta">
    <w:name w:val="Placeholder Text"/>
    <w:uiPriority w:val="99"/>
    <w:semiHidden/>
    <w:rsid w:val="00891119"/>
    <w:rPr>
      <w:color w:val="808080"/>
    </w:rPr>
  </w:style>
  <w:style w:type="character" w:customStyle="1" w:styleId="apple-converted-space">
    <w:name w:val="apple-converted-space"/>
    <w:basedOn w:val="Zadanifontodlomka"/>
    <w:rsid w:val="00891119"/>
  </w:style>
  <w:style w:type="character" w:styleId="SlijeenaHiperveza">
    <w:name w:val="FollowedHyperlink"/>
    <w:uiPriority w:val="99"/>
    <w:semiHidden/>
    <w:unhideWhenUsed/>
    <w:rsid w:val="00891119"/>
    <w:rPr>
      <w:color w:val="800080"/>
      <w:u w:val="single"/>
    </w:rPr>
  </w:style>
  <w:style w:type="table" w:customStyle="1" w:styleId="TableGrid1">
    <w:name w:val="Table Grid1"/>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rsid w:val="00891119"/>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rsid w:val="00891119"/>
    <w:pPr>
      <w:autoSpaceDE w:val="0"/>
      <w:autoSpaceDN w:val="0"/>
      <w:adjustRightInd w:val="0"/>
      <w:spacing w:after="0" w:line="241" w:lineRule="atLeast"/>
    </w:pPr>
    <w:rPr>
      <w:rFonts w:ascii="Times New Roman" w:eastAsia="Times New Roman" w:hAnsi="Times New Roman" w:cs="Times New Roman"/>
      <w:sz w:val="24"/>
      <w:szCs w:val="24"/>
    </w:rPr>
  </w:style>
  <w:style w:type="character" w:customStyle="1" w:styleId="kurziv">
    <w:name w:val="kurziv"/>
    <w:basedOn w:val="Zadanifontodlomka"/>
    <w:rsid w:val="00891119"/>
  </w:style>
  <w:style w:type="paragraph" w:customStyle="1" w:styleId="t-10-9-kurz-s">
    <w:name w:val="t-10-9-kurz-s"/>
    <w:basedOn w:val="Normal"/>
    <w:rsid w:val="008911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ak-">
    <w:name w:val="clanak-"/>
    <w:basedOn w:val="Normal"/>
    <w:rsid w:val="00891119"/>
    <w:pPr>
      <w:spacing w:before="100" w:beforeAutospacing="1" w:after="100" w:afterAutospacing="1" w:line="240" w:lineRule="auto"/>
    </w:pPr>
    <w:rPr>
      <w:rFonts w:ascii="Times New Roman" w:eastAsia="Times New Roman" w:hAnsi="Times New Roman" w:cs="Times New Roman"/>
      <w:sz w:val="24"/>
      <w:szCs w:val="24"/>
    </w:rPr>
  </w:style>
  <w:style w:type="paragraph" w:styleId="Sadraj4">
    <w:name w:val="toc 4"/>
    <w:basedOn w:val="Normal"/>
    <w:next w:val="Normal"/>
    <w:autoRedefine/>
    <w:uiPriority w:val="39"/>
    <w:unhideWhenUsed/>
    <w:rsid w:val="00891119"/>
    <w:pPr>
      <w:spacing w:after="0"/>
      <w:ind w:left="660"/>
    </w:pPr>
    <w:rPr>
      <w:sz w:val="18"/>
      <w:szCs w:val="18"/>
    </w:rPr>
  </w:style>
  <w:style w:type="paragraph" w:styleId="Sadraj5">
    <w:name w:val="toc 5"/>
    <w:basedOn w:val="Normal"/>
    <w:next w:val="Normal"/>
    <w:autoRedefine/>
    <w:uiPriority w:val="39"/>
    <w:unhideWhenUsed/>
    <w:rsid w:val="00891119"/>
    <w:pPr>
      <w:spacing w:after="0"/>
      <w:ind w:left="880"/>
    </w:pPr>
    <w:rPr>
      <w:sz w:val="18"/>
      <w:szCs w:val="18"/>
    </w:rPr>
  </w:style>
  <w:style w:type="paragraph" w:styleId="Sadraj6">
    <w:name w:val="toc 6"/>
    <w:basedOn w:val="Normal"/>
    <w:next w:val="Normal"/>
    <w:autoRedefine/>
    <w:uiPriority w:val="39"/>
    <w:unhideWhenUsed/>
    <w:rsid w:val="00891119"/>
    <w:pPr>
      <w:spacing w:after="0"/>
      <w:ind w:left="1100"/>
    </w:pPr>
    <w:rPr>
      <w:sz w:val="18"/>
      <w:szCs w:val="18"/>
    </w:rPr>
  </w:style>
  <w:style w:type="paragraph" w:styleId="Opisslike">
    <w:name w:val="caption"/>
    <w:basedOn w:val="Normal"/>
    <w:next w:val="Normal"/>
    <w:uiPriority w:val="35"/>
    <w:unhideWhenUsed/>
    <w:qFormat/>
    <w:rsid w:val="00891119"/>
    <w:pPr>
      <w:spacing w:after="0" w:line="240" w:lineRule="auto"/>
    </w:pPr>
    <w:rPr>
      <w:rFonts w:ascii="Times New Roman" w:eastAsia="Times New Roman" w:hAnsi="Times New Roman" w:cs="Times New Roman"/>
      <w:b/>
      <w:bCs/>
      <w:sz w:val="20"/>
      <w:szCs w:val="20"/>
      <w:lang w:eastAsia="en-US"/>
    </w:rPr>
  </w:style>
  <w:style w:type="paragraph" w:styleId="Tablicaslika">
    <w:name w:val="table of figures"/>
    <w:aliases w:val="Tablice u tekstu"/>
    <w:basedOn w:val="Normal"/>
    <w:next w:val="Normal"/>
    <w:autoRedefine/>
    <w:uiPriority w:val="99"/>
    <w:unhideWhenUsed/>
    <w:rsid w:val="00791563"/>
    <w:pPr>
      <w:tabs>
        <w:tab w:val="right" w:leader="dot" w:pos="14560"/>
      </w:tabs>
      <w:spacing w:after="0" w:line="240" w:lineRule="auto"/>
    </w:pPr>
    <w:rPr>
      <w:rFonts w:ascii="Times New Roman" w:eastAsia="Times New Roman" w:hAnsi="Times New Roman" w:cs="Times New Roman"/>
      <w:noProof/>
      <w:szCs w:val="20"/>
      <w:lang w:eastAsia="en-US"/>
    </w:rPr>
  </w:style>
  <w:style w:type="paragraph" w:customStyle="1" w:styleId="clanak">
    <w:name w:val="clanak"/>
    <w:basedOn w:val="Normal"/>
    <w:rsid w:val="008911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um1">
    <w:name w:val="Datum1"/>
    <w:basedOn w:val="Zadanifontodlomka"/>
    <w:rsid w:val="00891119"/>
  </w:style>
  <w:style w:type="paragraph" w:styleId="Obinitekst">
    <w:name w:val="Plain Text"/>
    <w:basedOn w:val="Normal"/>
    <w:link w:val="ObinitekstChar"/>
    <w:uiPriority w:val="99"/>
    <w:unhideWhenUsed/>
    <w:rsid w:val="00891119"/>
    <w:pPr>
      <w:spacing w:after="0" w:line="240" w:lineRule="auto"/>
    </w:pPr>
    <w:rPr>
      <w:rFonts w:ascii="Consolas" w:eastAsia="Times New Roman" w:hAnsi="Consolas" w:cs="Consolas"/>
      <w:sz w:val="21"/>
      <w:szCs w:val="21"/>
      <w:lang w:eastAsia="en-US"/>
    </w:rPr>
  </w:style>
  <w:style w:type="character" w:customStyle="1" w:styleId="ObinitekstChar">
    <w:name w:val="Obični tekst Char"/>
    <w:basedOn w:val="Zadanifontodlomka"/>
    <w:link w:val="Obinitekst"/>
    <w:uiPriority w:val="99"/>
    <w:rsid w:val="00891119"/>
    <w:rPr>
      <w:rFonts w:ascii="Consolas" w:eastAsia="Times New Roman" w:hAnsi="Consolas" w:cs="Consolas"/>
      <w:sz w:val="21"/>
      <w:szCs w:val="21"/>
      <w:lang w:eastAsia="en-US"/>
    </w:rPr>
  </w:style>
  <w:style w:type="table" w:customStyle="1" w:styleId="Reetkatablice2">
    <w:name w:val="Rešetka tablice2"/>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2">
    <w:name w:val="Rešetka tablice12"/>
    <w:basedOn w:val="Obinatablica"/>
    <w:next w:val="Reetkatablice"/>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
    <w:name w:val="Rešetka tablice111"/>
    <w:basedOn w:val="Obinatablica"/>
    <w:next w:val="Reetkatablice"/>
    <w:rsid w:val="00891119"/>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Obinatablica"/>
    <w:uiPriority w:val="41"/>
    <w:rsid w:val="00891119"/>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etkatablice3">
    <w:name w:val="Rešetka tablice3"/>
    <w:basedOn w:val="Obinatablica"/>
    <w:next w:val="Reetkatablice"/>
    <w:uiPriority w:val="59"/>
    <w:rsid w:val="00891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59"/>
    <w:rsid w:val="00891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3">
    <w:name w:val="Rešetka tablice13"/>
    <w:basedOn w:val="Obinatablica"/>
    <w:next w:val="Reetkatablice"/>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
    <w:name w:val="Rešetka tablice112"/>
    <w:basedOn w:val="Obinatablica"/>
    <w:next w:val="Reetkatablice"/>
    <w:rsid w:val="00891119"/>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21">
    <w:name w:val="Rešetka tablice121"/>
    <w:basedOn w:val="Obinatablica"/>
    <w:next w:val="Reetkatablice"/>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
    <w:name w:val="Rešetka tablice1111"/>
    <w:basedOn w:val="Obinatablica"/>
    <w:next w:val="Reetkatablice"/>
    <w:rsid w:val="00891119"/>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Obinatablica"/>
    <w:uiPriority w:val="41"/>
    <w:rsid w:val="00891119"/>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etkatablice31">
    <w:name w:val="Rešetka tablice31"/>
    <w:basedOn w:val="Obinatablica"/>
    <w:next w:val="Reetkatablice"/>
    <w:uiPriority w:val="59"/>
    <w:rsid w:val="00891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
    <w:name w:val="Rešetka tablice22"/>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erencakomentara">
    <w:name w:val="annotation reference"/>
    <w:basedOn w:val="Zadanifontodlomka"/>
    <w:uiPriority w:val="99"/>
    <w:semiHidden/>
    <w:unhideWhenUsed/>
    <w:rsid w:val="00891119"/>
    <w:rPr>
      <w:sz w:val="16"/>
      <w:szCs w:val="16"/>
    </w:rPr>
  </w:style>
  <w:style w:type="paragraph" w:styleId="Tekstkomentara">
    <w:name w:val="annotation text"/>
    <w:basedOn w:val="Normal"/>
    <w:link w:val="TekstkomentaraChar"/>
    <w:uiPriority w:val="99"/>
    <w:semiHidden/>
    <w:unhideWhenUsed/>
    <w:rsid w:val="00891119"/>
    <w:pPr>
      <w:spacing w:after="0" w:line="240" w:lineRule="auto"/>
    </w:pPr>
    <w:rPr>
      <w:rFonts w:ascii="Times New Roman" w:eastAsia="Times New Roman" w:hAnsi="Times New Roman" w:cs="Times New Roman"/>
      <w:sz w:val="20"/>
      <w:szCs w:val="20"/>
      <w:lang w:eastAsia="en-US"/>
    </w:rPr>
  </w:style>
  <w:style w:type="character" w:customStyle="1" w:styleId="TekstkomentaraChar">
    <w:name w:val="Tekst komentara Char"/>
    <w:basedOn w:val="Zadanifontodlomka"/>
    <w:link w:val="Tekstkomentara"/>
    <w:uiPriority w:val="99"/>
    <w:semiHidden/>
    <w:rsid w:val="00891119"/>
    <w:rPr>
      <w:rFonts w:ascii="Times New Roman" w:eastAsia="Times New Roman" w:hAnsi="Times New Roman" w:cs="Times New Roman"/>
      <w:sz w:val="20"/>
      <w:szCs w:val="20"/>
      <w:lang w:eastAsia="en-US"/>
    </w:rPr>
  </w:style>
  <w:style w:type="paragraph" w:styleId="Predmetkomentara">
    <w:name w:val="annotation subject"/>
    <w:basedOn w:val="Tekstkomentara"/>
    <w:next w:val="Tekstkomentara"/>
    <w:link w:val="PredmetkomentaraChar"/>
    <w:uiPriority w:val="99"/>
    <w:semiHidden/>
    <w:unhideWhenUsed/>
    <w:rsid w:val="00891119"/>
    <w:rPr>
      <w:b/>
      <w:bCs/>
    </w:rPr>
  </w:style>
  <w:style w:type="character" w:customStyle="1" w:styleId="PredmetkomentaraChar">
    <w:name w:val="Predmet komentara Char"/>
    <w:basedOn w:val="TekstkomentaraChar"/>
    <w:link w:val="Predmetkomentara"/>
    <w:uiPriority w:val="99"/>
    <w:semiHidden/>
    <w:rsid w:val="00891119"/>
    <w:rPr>
      <w:rFonts w:ascii="Times New Roman" w:eastAsia="Times New Roman" w:hAnsi="Times New Roman" w:cs="Times New Roman"/>
      <w:b/>
      <w:bCs/>
      <w:sz w:val="20"/>
      <w:szCs w:val="20"/>
      <w:lang w:eastAsia="en-US"/>
    </w:rPr>
  </w:style>
  <w:style w:type="table" w:customStyle="1" w:styleId="Reetkatablice6">
    <w:name w:val="Rešetka tablice6"/>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4">
    <w:name w:val="Rešetka tablice14"/>
    <w:basedOn w:val="Obinatablica"/>
    <w:next w:val="Reetkatablice"/>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3">
    <w:name w:val="Rešetka tablice113"/>
    <w:basedOn w:val="Obinatablica"/>
    <w:next w:val="Reetkatablice"/>
    <w:rsid w:val="00891119"/>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3">
    <w:name w:val="Rešetka tablice23"/>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22">
    <w:name w:val="Rešetka tablice122"/>
    <w:basedOn w:val="Obinatablica"/>
    <w:next w:val="Reetkatablice"/>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2">
    <w:name w:val="Rešetka tablice1112"/>
    <w:basedOn w:val="Obinatablica"/>
    <w:next w:val="Reetkatablice"/>
    <w:rsid w:val="00891119"/>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
    <w:name w:val="Plain Table 112"/>
    <w:basedOn w:val="Obinatablica"/>
    <w:uiPriority w:val="41"/>
    <w:rsid w:val="00891119"/>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etkatablice32">
    <w:name w:val="Rešetka tablice32"/>
    <w:basedOn w:val="Obinatablica"/>
    <w:next w:val="Reetkatablice"/>
    <w:uiPriority w:val="59"/>
    <w:rsid w:val="00891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next w:val="Reetkatablice"/>
    <w:uiPriority w:val="59"/>
    <w:rsid w:val="00891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1">
    <w:name w:val="Rešetka tablice51"/>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31">
    <w:name w:val="Rešetka tablice131"/>
    <w:basedOn w:val="Obinatablica"/>
    <w:next w:val="Reetkatablice"/>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1">
    <w:name w:val="Rešetka tablice1121"/>
    <w:basedOn w:val="Obinatablica"/>
    <w:next w:val="Reetkatablice"/>
    <w:rsid w:val="00891119"/>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1">
    <w:name w:val="Rešetka tablice211"/>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211">
    <w:name w:val="Rešetka tablice1211"/>
    <w:basedOn w:val="Obinatablica"/>
    <w:next w:val="Reetkatablice"/>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1">
    <w:name w:val="Rešetka tablice11111"/>
    <w:basedOn w:val="Obinatablica"/>
    <w:next w:val="Reetkatablice"/>
    <w:rsid w:val="00891119"/>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
    <w:name w:val="Plain Table 1111"/>
    <w:basedOn w:val="Obinatablica"/>
    <w:uiPriority w:val="41"/>
    <w:rsid w:val="00891119"/>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etkatablice311">
    <w:name w:val="Rešetka tablice311"/>
    <w:basedOn w:val="Obinatablica"/>
    <w:next w:val="Reetkatablice"/>
    <w:uiPriority w:val="59"/>
    <w:rsid w:val="00891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1">
    <w:name w:val="Rešetka tablice221"/>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
    <w:name w:val="Rešetka tablice52"/>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7">
    <w:name w:val="Rešetka tablice7"/>
    <w:basedOn w:val="Obinatablica"/>
    <w:next w:val="Reetkatablice"/>
    <w:uiPriority w:val="59"/>
    <w:rsid w:val="00891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4">
    <w:name w:val="Rešetka tablice24"/>
    <w:basedOn w:val="Obinatablica"/>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
    <w:name w:val="Rešetka tablice53"/>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4">
    <w:name w:val="Rešetka tablice54"/>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5">
    <w:name w:val="Rešetka tablice55"/>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6">
    <w:name w:val="Rešetka tablice56"/>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7">
    <w:name w:val="Rešetka tablice57"/>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8">
    <w:name w:val="Rešetka tablice58"/>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9">
    <w:name w:val="Rešetka tablice59"/>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0">
    <w:name w:val="Rešetka tablice510"/>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1">
    <w:name w:val="Rešetka tablice511"/>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2">
    <w:name w:val="Rešetka tablice512"/>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8">
    <w:name w:val="Rešetka tablice8"/>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
    <w:name w:val="Rešetka tablice15"/>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
    <w:name w:val="Rešetka tablice16"/>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
    <w:name w:val="Rešetka tablice17"/>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
    <w:name w:val="Rešetka tablice18"/>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9">
    <w:name w:val="Rešetka tablice19"/>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0">
    <w:name w:val="Rešetka tablice20"/>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5">
    <w:name w:val="Rešetka tablice25"/>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6">
    <w:name w:val="Rešetka tablice26"/>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7">
    <w:name w:val="Rešetka tablice27"/>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8">
    <w:name w:val="Rešetka tablice28"/>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9">
    <w:name w:val="Rešetka tablice29"/>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0">
    <w:name w:val="Rešetka tablice30"/>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3">
    <w:name w:val="Rešetka tablice33"/>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13">
    <w:name w:val="Rešetka tablice513"/>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4">
    <w:name w:val="Rešetka tablice514"/>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5">
    <w:name w:val="Rešetka tablice515"/>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6">
    <w:name w:val="Rešetka tablice516"/>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4">
    <w:name w:val="Rešetka tablice34"/>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17">
    <w:name w:val="Rešetka tablice517"/>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8">
    <w:name w:val="Rešetka tablice518"/>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9">
    <w:name w:val="Rešetka tablice519"/>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0">
    <w:name w:val="Rešetka tablice520"/>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1">
    <w:name w:val="Rešetka tablice521"/>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2">
    <w:name w:val="Rešetka tablice522"/>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3">
    <w:name w:val="Rešetka tablice523"/>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4">
    <w:name w:val="Rešetka tablice524"/>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5">
    <w:name w:val="Rešetka tablice525"/>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6">
    <w:name w:val="Rešetka tablice526"/>
    <w:basedOn w:val="Obinatablica"/>
    <w:next w:val="Reetkatablice"/>
    <w:uiPriority w:val="59"/>
    <w:rsid w:val="0089111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5">
    <w:name w:val="Rešetka tablice35"/>
    <w:basedOn w:val="Obinatablica"/>
    <w:next w:val="Reetkatablice"/>
    <w:uiPriority w:val="59"/>
    <w:rsid w:val="00891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6">
    <w:name w:val="Rešetka tablice36"/>
    <w:basedOn w:val="Obinatablica"/>
    <w:next w:val="Reetkatablice"/>
    <w:uiPriority w:val="59"/>
    <w:rsid w:val="00891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7">
    <w:name w:val="Rešetka tablice37"/>
    <w:basedOn w:val="Obinatablica"/>
    <w:next w:val="Reetkatablice"/>
    <w:uiPriority w:val="59"/>
    <w:rsid w:val="008911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8">
    <w:name w:val="Rešetka tablice38"/>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10">
    <w:name w:val="Rešetka tablice110"/>
    <w:basedOn w:val="Obinatablica"/>
    <w:next w:val="Reetkatablice"/>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4">
    <w:name w:val="Rešetka tablice114"/>
    <w:basedOn w:val="Obinatablica"/>
    <w:next w:val="Reetkatablice"/>
    <w:rsid w:val="0076553F"/>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0">
    <w:name w:val="Rešetka tablice210"/>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23">
    <w:name w:val="Rešetka tablice123"/>
    <w:basedOn w:val="Obinatablica"/>
    <w:next w:val="Reetkatablice"/>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3">
    <w:name w:val="Rešetka tablice1113"/>
    <w:basedOn w:val="Obinatablica"/>
    <w:next w:val="Reetkatablice"/>
    <w:rsid w:val="0076553F"/>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
    <w:name w:val="Plain Table 113"/>
    <w:basedOn w:val="Obinatablica"/>
    <w:uiPriority w:val="41"/>
    <w:rsid w:val="0076553F"/>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etkatablice39">
    <w:name w:val="Rešetka tablice39"/>
    <w:basedOn w:val="Obinatablica"/>
    <w:next w:val="Reetkatablice"/>
    <w:uiPriority w:val="59"/>
    <w:rsid w:val="007655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2">
    <w:name w:val="Rešetka tablice42"/>
    <w:basedOn w:val="Obinatablica"/>
    <w:next w:val="Reetkatablice"/>
    <w:uiPriority w:val="59"/>
    <w:rsid w:val="007655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27">
    <w:name w:val="Rešetka tablice527"/>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32">
    <w:name w:val="Rešetka tablice132"/>
    <w:basedOn w:val="Obinatablica"/>
    <w:next w:val="Reetkatablice"/>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2">
    <w:name w:val="Rešetka tablice1122"/>
    <w:basedOn w:val="Obinatablica"/>
    <w:next w:val="Reetkatablice"/>
    <w:rsid w:val="0076553F"/>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2">
    <w:name w:val="Rešetka tablice212"/>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212">
    <w:name w:val="Rešetka tablice1212"/>
    <w:basedOn w:val="Obinatablica"/>
    <w:next w:val="Reetkatablice"/>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2">
    <w:name w:val="Rešetka tablice11112"/>
    <w:basedOn w:val="Obinatablica"/>
    <w:next w:val="Reetkatablice"/>
    <w:rsid w:val="0076553F"/>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
    <w:name w:val="Plain Table 1112"/>
    <w:basedOn w:val="Obinatablica"/>
    <w:uiPriority w:val="41"/>
    <w:rsid w:val="0076553F"/>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etkatablice312">
    <w:name w:val="Rešetka tablice312"/>
    <w:basedOn w:val="Obinatablica"/>
    <w:next w:val="Reetkatablice"/>
    <w:uiPriority w:val="59"/>
    <w:rsid w:val="007655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2">
    <w:name w:val="Rešetka tablice222"/>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61">
    <w:name w:val="Rešetka tablice6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41">
    <w:name w:val="Rešetka tablice141"/>
    <w:basedOn w:val="Obinatablica"/>
    <w:next w:val="Reetkatablice"/>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31">
    <w:name w:val="Rešetka tablice1131"/>
    <w:basedOn w:val="Obinatablica"/>
    <w:next w:val="Reetkatablice"/>
    <w:rsid w:val="0076553F"/>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31">
    <w:name w:val="Rešetka tablice23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221">
    <w:name w:val="Rešetka tablice1221"/>
    <w:basedOn w:val="Obinatablica"/>
    <w:next w:val="Reetkatablice"/>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21">
    <w:name w:val="Rešetka tablice11121"/>
    <w:basedOn w:val="Obinatablica"/>
    <w:next w:val="Reetkatablice"/>
    <w:rsid w:val="0076553F"/>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
    <w:name w:val="Plain Table 1121"/>
    <w:basedOn w:val="Obinatablica"/>
    <w:uiPriority w:val="41"/>
    <w:rsid w:val="0076553F"/>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etkatablice321">
    <w:name w:val="Rešetka tablice321"/>
    <w:basedOn w:val="Obinatablica"/>
    <w:next w:val="Reetkatablice"/>
    <w:uiPriority w:val="59"/>
    <w:rsid w:val="007655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1">
    <w:name w:val="Rešetka tablice411"/>
    <w:basedOn w:val="Obinatablica"/>
    <w:next w:val="Reetkatablice"/>
    <w:uiPriority w:val="59"/>
    <w:rsid w:val="007655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110">
    <w:name w:val="Rešetka tablice5110"/>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311">
    <w:name w:val="Rešetka tablice1311"/>
    <w:basedOn w:val="Obinatablica"/>
    <w:next w:val="Reetkatablice"/>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11">
    <w:name w:val="Rešetka tablice11211"/>
    <w:basedOn w:val="Obinatablica"/>
    <w:next w:val="Reetkatablice"/>
    <w:rsid w:val="0076553F"/>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11">
    <w:name w:val="Rešetka tablice211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2111">
    <w:name w:val="Rešetka tablice12111"/>
    <w:basedOn w:val="Obinatablica"/>
    <w:next w:val="Reetkatablice"/>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11">
    <w:name w:val="Rešetka tablice111111"/>
    <w:basedOn w:val="Obinatablica"/>
    <w:next w:val="Reetkatablice"/>
    <w:rsid w:val="0076553F"/>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
    <w:name w:val="Plain Table 11111"/>
    <w:basedOn w:val="Obinatablica"/>
    <w:uiPriority w:val="41"/>
    <w:rsid w:val="0076553F"/>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etkatablice3111">
    <w:name w:val="Rešetka tablice3111"/>
    <w:basedOn w:val="Obinatablica"/>
    <w:next w:val="Reetkatablice"/>
    <w:uiPriority w:val="59"/>
    <w:rsid w:val="007655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11">
    <w:name w:val="Rešetka tablice221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8">
    <w:name w:val="Rešetka tablice528"/>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71">
    <w:name w:val="Rešetka tablice71"/>
    <w:basedOn w:val="Obinatablica"/>
    <w:next w:val="Reetkatablice"/>
    <w:uiPriority w:val="59"/>
    <w:rsid w:val="007655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41">
    <w:name w:val="Rešetka tablice241"/>
    <w:basedOn w:val="Obinatablica"/>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1">
    <w:name w:val="Rešetka tablice53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41">
    <w:name w:val="Rešetka tablice54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51">
    <w:name w:val="Rešetka tablice55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61">
    <w:name w:val="Rešetka tablice56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71">
    <w:name w:val="Rešetka tablice57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81">
    <w:name w:val="Rešetka tablice58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91">
    <w:name w:val="Rešetka tablice59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01">
    <w:name w:val="Rešetka tablice510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11">
    <w:name w:val="Rešetka tablice511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21">
    <w:name w:val="Rešetka tablice512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81">
    <w:name w:val="Rešetka tablice8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1">
    <w:name w:val="Rešetka tablice9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1">
    <w:name w:val="Rešetka tablice10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1">
    <w:name w:val="Rešetka tablice15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1">
    <w:name w:val="Rešetka tablice16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1">
    <w:name w:val="Rešetka tablice17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1">
    <w:name w:val="Rešetka tablice18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91">
    <w:name w:val="Rešetka tablice19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01">
    <w:name w:val="Rešetka tablice20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51">
    <w:name w:val="Rešetka tablice25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61">
    <w:name w:val="Rešetka tablice26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71">
    <w:name w:val="Rešetka tablice27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81">
    <w:name w:val="Rešetka tablice28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91">
    <w:name w:val="Rešetka tablice29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01">
    <w:name w:val="Rešetka tablice30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31">
    <w:name w:val="Rešetka tablice33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131">
    <w:name w:val="Rešetka tablice513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41">
    <w:name w:val="Rešetka tablice514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51">
    <w:name w:val="Rešetka tablice515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61">
    <w:name w:val="Rešetka tablice516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41">
    <w:name w:val="Rešetka tablice34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171">
    <w:name w:val="Rešetka tablice517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81">
    <w:name w:val="Rešetka tablice518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91">
    <w:name w:val="Rešetka tablice519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01">
    <w:name w:val="Rešetka tablice520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11">
    <w:name w:val="Rešetka tablice521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21">
    <w:name w:val="Rešetka tablice522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31">
    <w:name w:val="Rešetka tablice523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41">
    <w:name w:val="Rešetka tablice524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51">
    <w:name w:val="Rešetka tablice525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61">
    <w:name w:val="Rešetka tablice5261"/>
    <w:basedOn w:val="Obinatablica"/>
    <w:next w:val="Reetkatablice"/>
    <w:uiPriority w:val="59"/>
    <w:rsid w:val="0076553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51">
    <w:name w:val="Rešetka tablice351"/>
    <w:basedOn w:val="Obinatablica"/>
    <w:next w:val="Reetkatablice"/>
    <w:uiPriority w:val="59"/>
    <w:rsid w:val="007655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61">
    <w:name w:val="Rešetka tablice361"/>
    <w:basedOn w:val="Obinatablica"/>
    <w:next w:val="Reetkatablice"/>
    <w:uiPriority w:val="59"/>
    <w:rsid w:val="007655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71">
    <w:name w:val="Rešetka tablice371"/>
    <w:basedOn w:val="Obinatablica"/>
    <w:next w:val="Reetkatablice"/>
    <w:uiPriority w:val="59"/>
    <w:rsid w:val="007655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181B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0372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0372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493E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493E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493E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36">
    <w:name w:val="Rešetka tablice536"/>
    <w:basedOn w:val="Obinatablica"/>
    <w:next w:val="Reetkatablice"/>
    <w:uiPriority w:val="59"/>
    <w:rsid w:val="00E828D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draj7">
    <w:name w:val="toc 7"/>
    <w:basedOn w:val="Normal"/>
    <w:next w:val="Normal"/>
    <w:autoRedefine/>
    <w:uiPriority w:val="39"/>
    <w:unhideWhenUsed/>
    <w:rsid w:val="0081009E"/>
    <w:pPr>
      <w:spacing w:after="0"/>
      <w:ind w:left="1320"/>
    </w:pPr>
    <w:rPr>
      <w:sz w:val="18"/>
      <w:szCs w:val="18"/>
    </w:rPr>
  </w:style>
  <w:style w:type="paragraph" w:styleId="Sadraj8">
    <w:name w:val="toc 8"/>
    <w:basedOn w:val="Normal"/>
    <w:next w:val="Normal"/>
    <w:autoRedefine/>
    <w:uiPriority w:val="39"/>
    <w:unhideWhenUsed/>
    <w:rsid w:val="0081009E"/>
    <w:pPr>
      <w:spacing w:after="0"/>
      <w:ind w:left="1540"/>
    </w:pPr>
    <w:rPr>
      <w:sz w:val="18"/>
      <w:szCs w:val="18"/>
    </w:rPr>
  </w:style>
  <w:style w:type="paragraph" w:styleId="Sadraj9">
    <w:name w:val="toc 9"/>
    <w:basedOn w:val="Normal"/>
    <w:next w:val="Normal"/>
    <w:autoRedefine/>
    <w:uiPriority w:val="39"/>
    <w:unhideWhenUsed/>
    <w:rsid w:val="0081009E"/>
    <w:pPr>
      <w:spacing w:after="0"/>
      <w:ind w:left="1760"/>
    </w:pPr>
    <w:rPr>
      <w:sz w:val="18"/>
      <w:szCs w:val="18"/>
    </w:rPr>
  </w:style>
  <w:style w:type="table" w:customStyle="1" w:styleId="Reetkatablice5361">
    <w:name w:val="Rešetka tablice5361"/>
    <w:basedOn w:val="Obinatablica"/>
    <w:next w:val="Reetkatablice"/>
    <w:uiPriority w:val="59"/>
    <w:rsid w:val="0025047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62">
    <w:name w:val="Rešetka tablice5362"/>
    <w:basedOn w:val="Obinatablica"/>
    <w:next w:val="Reetkatablice"/>
    <w:uiPriority w:val="59"/>
    <w:rsid w:val="00BD782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63">
    <w:name w:val="Rešetka tablice5363"/>
    <w:basedOn w:val="Obinatablica"/>
    <w:next w:val="Reetkatablice"/>
    <w:uiPriority w:val="59"/>
    <w:rsid w:val="0083783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64">
    <w:name w:val="Rešetka tablice5364"/>
    <w:basedOn w:val="Obinatablica"/>
    <w:next w:val="Reetkatablice"/>
    <w:uiPriority w:val="59"/>
    <w:rsid w:val="00CD657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65">
    <w:name w:val="Rešetka tablice5365"/>
    <w:basedOn w:val="Obinatablica"/>
    <w:next w:val="Reetkatablice"/>
    <w:uiPriority w:val="59"/>
    <w:rsid w:val="00A33BE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29">
    <w:name w:val="Rešetka tablice529"/>
    <w:basedOn w:val="Obinatablica"/>
    <w:next w:val="Reetkatablice"/>
    <w:uiPriority w:val="59"/>
    <w:rsid w:val="000336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0">
    <w:name w:val="Rešetka tablice530"/>
    <w:basedOn w:val="Obinatablica"/>
    <w:next w:val="Reetkatablice"/>
    <w:uiPriority w:val="59"/>
    <w:rsid w:val="000336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2">
    <w:name w:val="Rešetka tablice532"/>
    <w:basedOn w:val="Obinatablica"/>
    <w:next w:val="Reetkatablice"/>
    <w:uiPriority w:val="59"/>
    <w:rsid w:val="0041145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3">
    <w:name w:val="Rešetka tablice533"/>
    <w:basedOn w:val="Obinatablica"/>
    <w:next w:val="Reetkatablice"/>
    <w:uiPriority w:val="59"/>
    <w:rsid w:val="0096338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4">
    <w:name w:val="Rešetka tablice534"/>
    <w:basedOn w:val="Obinatablica"/>
    <w:next w:val="Reetkatablice"/>
    <w:uiPriority w:val="59"/>
    <w:rsid w:val="0096338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5">
    <w:name w:val="Rešetka tablice535"/>
    <w:basedOn w:val="Obinatablica"/>
    <w:next w:val="Reetkatablice"/>
    <w:uiPriority w:val="59"/>
    <w:rsid w:val="0096338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7">
    <w:name w:val="Rešetka tablice537"/>
    <w:basedOn w:val="Obinatablica"/>
    <w:next w:val="Reetkatablice"/>
    <w:uiPriority w:val="59"/>
    <w:rsid w:val="0096338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8">
    <w:name w:val="Rešetka tablice538"/>
    <w:basedOn w:val="Obinatablica"/>
    <w:next w:val="Reetkatablice"/>
    <w:uiPriority w:val="59"/>
    <w:rsid w:val="0015273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9">
    <w:name w:val="Rešetka tablice539"/>
    <w:basedOn w:val="Obinatablica"/>
    <w:next w:val="Reetkatablice"/>
    <w:uiPriority w:val="59"/>
    <w:rsid w:val="0015273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40">
    <w:name w:val="Rešetka tablice540"/>
    <w:basedOn w:val="Obinatablica"/>
    <w:next w:val="Reetkatablice"/>
    <w:uiPriority w:val="59"/>
    <w:rsid w:val="0015273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Obinatablica"/>
    <w:next w:val="Reetkatablice"/>
    <w:uiPriority w:val="59"/>
    <w:rsid w:val="00AE23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AE23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AE23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AE23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AE23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7525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Obinatablica"/>
    <w:next w:val="Reetkatablice"/>
    <w:uiPriority w:val="59"/>
    <w:rsid w:val="007525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Obinatablica"/>
    <w:next w:val="Reetkatablice"/>
    <w:uiPriority w:val="59"/>
    <w:rsid w:val="007525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Obinatablica"/>
    <w:next w:val="Reetkatablice"/>
    <w:uiPriority w:val="59"/>
    <w:rsid w:val="007525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3">
    <w:name w:val="Rešetka tablice213"/>
    <w:basedOn w:val="Obinatablica"/>
    <w:uiPriority w:val="59"/>
    <w:rsid w:val="007624F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14">
    <w:name w:val="Rešetka tablice214"/>
    <w:basedOn w:val="Obinatablica"/>
    <w:uiPriority w:val="59"/>
    <w:rsid w:val="007624F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15">
    <w:name w:val="Rešetka tablice215"/>
    <w:basedOn w:val="Obinatablica"/>
    <w:uiPriority w:val="59"/>
    <w:rsid w:val="008932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16">
    <w:name w:val="Rešetka tablice216"/>
    <w:basedOn w:val="Obinatablica"/>
    <w:uiPriority w:val="59"/>
    <w:rsid w:val="008932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17">
    <w:name w:val="Rešetka tablice217"/>
    <w:basedOn w:val="Obinatablica"/>
    <w:uiPriority w:val="59"/>
    <w:rsid w:val="008932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18">
    <w:name w:val="Rešetka tablice218"/>
    <w:basedOn w:val="Obinatablica"/>
    <w:uiPriority w:val="59"/>
    <w:rsid w:val="008932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66">
    <w:name w:val="Rešetka tablice5366"/>
    <w:basedOn w:val="Obinatablica"/>
    <w:next w:val="Reetkatablice"/>
    <w:uiPriority w:val="59"/>
    <w:rsid w:val="00A013C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67">
    <w:name w:val="Rešetka tablice5367"/>
    <w:basedOn w:val="Obinatablica"/>
    <w:next w:val="Reetkatablice"/>
    <w:uiPriority w:val="59"/>
    <w:rsid w:val="002558E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68">
    <w:name w:val="Rešetka tablice5368"/>
    <w:basedOn w:val="Obinatablica"/>
    <w:next w:val="Reetkatablice"/>
    <w:uiPriority w:val="59"/>
    <w:rsid w:val="009C7B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42">
    <w:name w:val="Rešetka tablice542"/>
    <w:basedOn w:val="Obinatablica"/>
    <w:next w:val="Reetkatablice"/>
    <w:uiPriority w:val="59"/>
    <w:rsid w:val="005222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369">
    <w:name w:val="Rešetka tablice5369"/>
    <w:basedOn w:val="Obinatablica"/>
    <w:next w:val="Reetkatablice"/>
    <w:uiPriority w:val="59"/>
    <w:rsid w:val="007D4ED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40">
    <w:name w:val="Rešetka tablice40"/>
    <w:basedOn w:val="Obinatablica"/>
    <w:next w:val="Reetkatablice"/>
    <w:uiPriority w:val="59"/>
    <w:rsid w:val="00C748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3">
    <w:name w:val="Rešetka tablice43"/>
    <w:basedOn w:val="Obinatablica"/>
    <w:next w:val="Reetkatablice"/>
    <w:uiPriority w:val="59"/>
    <w:rsid w:val="004B25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4">
    <w:name w:val="Rešetka tablice44"/>
    <w:basedOn w:val="Obinatablica"/>
    <w:next w:val="Reetkatablice"/>
    <w:uiPriority w:val="59"/>
    <w:rsid w:val="004B25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8021">
    <w:name w:val="box_458021"/>
    <w:basedOn w:val="Normal"/>
    <w:rsid w:val="00087AD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1">
    <w:name w:val="Table Grid21"/>
    <w:basedOn w:val="Obinatablica"/>
    <w:next w:val="Reetkatablice"/>
    <w:uiPriority w:val="59"/>
    <w:rsid w:val="00D606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Obinatablica"/>
    <w:next w:val="Reetkatablice"/>
    <w:uiPriority w:val="59"/>
    <w:rsid w:val="00D606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Obinatablica"/>
    <w:next w:val="Reetkatablice"/>
    <w:uiPriority w:val="59"/>
    <w:rsid w:val="00D606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9">
    <w:name w:val="Rešetka tablice219"/>
    <w:basedOn w:val="Obinatablica"/>
    <w:uiPriority w:val="59"/>
    <w:rsid w:val="002D348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il1">
    <w:name w:val="Stil1"/>
    <w:uiPriority w:val="99"/>
    <w:rsid w:val="007A20DC"/>
    <w:pPr>
      <w:numPr>
        <w:numId w:val="17"/>
      </w:numPr>
    </w:pPr>
  </w:style>
  <w:style w:type="table" w:customStyle="1" w:styleId="Reetkatablice543">
    <w:name w:val="Rešetka tablice543"/>
    <w:basedOn w:val="Obinatablica"/>
    <w:next w:val="Reetkatablice"/>
    <w:uiPriority w:val="59"/>
    <w:rsid w:val="00BA7E6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45">
    <w:name w:val="Rešetka tablice45"/>
    <w:basedOn w:val="Obinatablica"/>
    <w:next w:val="Reetkatablice"/>
    <w:uiPriority w:val="59"/>
    <w:rsid w:val="007B5B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31">
    <w:name w:val="Rešetka tablice2131"/>
    <w:basedOn w:val="Obinatablica"/>
    <w:next w:val="Reetkatablice"/>
    <w:uiPriority w:val="59"/>
    <w:rsid w:val="006736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ijeenospominjanje">
    <w:name w:val="Unresolved Mention"/>
    <w:basedOn w:val="Zadanifontodlomka"/>
    <w:uiPriority w:val="99"/>
    <w:semiHidden/>
    <w:unhideWhenUsed/>
    <w:rsid w:val="00A41F2E"/>
    <w:rPr>
      <w:color w:val="605E5C"/>
      <w:shd w:val="clear" w:color="auto" w:fill="E1DFDD"/>
    </w:rPr>
  </w:style>
  <w:style w:type="table" w:customStyle="1" w:styleId="Reetkatablice544">
    <w:name w:val="Rešetka tablice544"/>
    <w:basedOn w:val="Obinatablica"/>
    <w:next w:val="Reetkatablice"/>
    <w:uiPriority w:val="59"/>
    <w:rsid w:val="004A648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45">
    <w:name w:val="Rešetka tablice545"/>
    <w:basedOn w:val="Obinatablica"/>
    <w:next w:val="Reetkatablice"/>
    <w:uiPriority w:val="59"/>
    <w:rsid w:val="00A0763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46">
    <w:name w:val="Rešetka tablice546"/>
    <w:basedOn w:val="Obinatablica"/>
    <w:next w:val="Reetkatablice"/>
    <w:uiPriority w:val="59"/>
    <w:rsid w:val="00DF159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47">
    <w:name w:val="Rešetka tablice547"/>
    <w:basedOn w:val="Obinatablica"/>
    <w:next w:val="Reetkatablice"/>
    <w:uiPriority w:val="59"/>
    <w:rsid w:val="00DF159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48">
    <w:name w:val="Rešetka tablice548"/>
    <w:basedOn w:val="Obinatablica"/>
    <w:next w:val="Reetkatablice"/>
    <w:uiPriority w:val="59"/>
    <w:rsid w:val="00DF159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49">
    <w:name w:val="Rešetka tablice549"/>
    <w:basedOn w:val="Obinatablica"/>
    <w:next w:val="Reetkatablice"/>
    <w:uiPriority w:val="59"/>
    <w:rsid w:val="00315EA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112">
    <w:name w:val="Rešetka tablice5112"/>
    <w:basedOn w:val="Obinatablica"/>
    <w:next w:val="Reetkatablice"/>
    <w:uiPriority w:val="59"/>
    <w:rsid w:val="00315EA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46">
    <w:name w:val="Rešetka tablice46"/>
    <w:basedOn w:val="Obinatablica"/>
    <w:next w:val="Reetkatablice"/>
    <w:uiPriority w:val="59"/>
    <w:rsid w:val="000E7A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7">
    <w:name w:val="Rešetka tablice47"/>
    <w:basedOn w:val="Obinatablica"/>
    <w:next w:val="Reetkatablice"/>
    <w:uiPriority w:val="59"/>
    <w:rsid w:val="000E7A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8">
    <w:name w:val="Rešetka tablice48"/>
    <w:basedOn w:val="Obinatablica"/>
    <w:next w:val="Reetkatablice"/>
    <w:uiPriority w:val="59"/>
    <w:rsid w:val="000E7A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9">
    <w:name w:val="Rešetka tablice49"/>
    <w:basedOn w:val="Obinatablica"/>
    <w:next w:val="Reetkatablice"/>
    <w:uiPriority w:val="59"/>
    <w:rsid w:val="000E7A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Obinatablica"/>
    <w:next w:val="Reetkatablice"/>
    <w:uiPriority w:val="59"/>
    <w:rsid w:val="00A977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draj11">
    <w:name w:val="Sadržaj 11"/>
    <w:basedOn w:val="Normal"/>
    <w:next w:val="Normal"/>
    <w:autoRedefine/>
    <w:uiPriority w:val="39"/>
    <w:unhideWhenUsed/>
    <w:qFormat/>
    <w:rsid w:val="00697496"/>
    <w:pPr>
      <w:spacing w:before="120" w:after="120"/>
    </w:pPr>
    <w:rPr>
      <w:b/>
      <w:bCs/>
      <w:caps/>
      <w:sz w:val="20"/>
      <w:szCs w:val="20"/>
    </w:rPr>
  </w:style>
  <w:style w:type="paragraph" w:customStyle="1" w:styleId="Sadraj21">
    <w:name w:val="Sadržaj 21"/>
    <w:basedOn w:val="Normal"/>
    <w:next w:val="Normal"/>
    <w:autoRedefine/>
    <w:uiPriority w:val="39"/>
    <w:unhideWhenUsed/>
    <w:qFormat/>
    <w:rsid w:val="00697496"/>
    <w:pPr>
      <w:spacing w:after="0"/>
      <w:ind w:left="220"/>
    </w:pPr>
    <w:rPr>
      <w:smallCaps/>
      <w:sz w:val="20"/>
      <w:szCs w:val="20"/>
    </w:rPr>
  </w:style>
  <w:style w:type="paragraph" w:customStyle="1" w:styleId="Sadraj31">
    <w:name w:val="Sadržaj 31"/>
    <w:basedOn w:val="Normal"/>
    <w:next w:val="Normal"/>
    <w:autoRedefine/>
    <w:uiPriority w:val="39"/>
    <w:unhideWhenUsed/>
    <w:qFormat/>
    <w:rsid w:val="00697496"/>
    <w:pPr>
      <w:spacing w:after="0"/>
      <w:ind w:left="440"/>
    </w:pPr>
    <w:rPr>
      <w:i/>
      <w:iCs/>
      <w:sz w:val="20"/>
      <w:szCs w:val="20"/>
    </w:rPr>
  </w:style>
  <w:style w:type="paragraph" w:customStyle="1" w:styleId="Sadraj41">
    <w:name w:val="Sadržaj 41"/>
    <w:basedOn w:val="Normal"/>
    <w:next w:val="Normal"/>
    <w:autoRedefine/>
    <w:uiPriority w:val="39"/>
    <w:unhideWhenUsed/>
    <w:rsid w:val="00697496"/>
    <w:pPr>
      <w:spacing w:after="0"/>
      <w:ind w:left="660"/>
    </w:pPr>
    <w:rPr>
      <w:sz w:val="18"/>
      <w:szCs w:val="18"/>
    </w:rPr>
  </w:style>
  <w:style w:type="paragraph" w:customStyle="1" w:styleId="Sadraj51">
    <w:name w:val="Sadržaj 51"/>
    <w:basedOn w:val="Normal"/>
    <w:next w:val="Normal"/>
    <w:autoRedefine/>
    <w:uiPriority w:val="39"/>
    <w:unhideWhenUsed/>
    <w:rsid w:val="00697496"/>
    <w:pPr>
      <w:spacing w:after="0"/>
      <w:ind w:left="880"/>
    </w:pPr>
    <w:rPr>
      <w:sz w:val="18"/>
      <w:szCs w:val="18"/>
    </w:rPr>
  </w:style>
  <w:style w:type="paragraph" w:customStyle="1" w:styleId="Sadraj61">
    <w:name w:val="Sadržaj 61"/>
    <w:basedOn w:val="Normal"/>
    <w:next w:val="Normal"/>
    <w:autoRedefine/>
    <w:uiPriority w:val="39"/>
    <w:unhideWhenUsed/>
    <w:rsid w:val="00697496"/>
    <w:pPr>
      <w:spacing w:after="0"/>
      <w:ind w:left="1100"/>
    </w:pPr>
    <w:rPr>
      <w:sz w:val="18"/>
      <w:szCs w:val="18"/>
    </w:rPr>
  </w:style>
  <w:style w:type="paragraph" w:customStyle="1" w:styleId="Sadraj71">
    <w:name w:val="Sadržaj 71"/>
    <w:basedOn w:val="Normal"/>
    <w:next w:val="Normal"/>
    <w:autoRedefine/>
    <w:uiPriority w:val="39"/>
    <w:unhideWhenUsed/>
    <w:rsid w:val="00697496"/>
    <w:pPr>
      <w:spacing w:after="0"/>
      <w:ind w:left="1320"/>
    </w:pPr>
    <w:rPr>
      <w:sz w:val="18"/>
      <w:szCs w:val="18"/>
    </w:rPr>
  </w:style>
  <w:style w:type="paragraph" w:customStyle="1" w:styleId="Sadraj81">
    <w:name w:val="Sadržaj 81"/>
    <w:basedOn w:val="Normal"/>
    <w:next w:val="Normal"/>
    <w:autoRedefine/>
    <w:uiPriority w:val="39"/>
    <w:unhideWhenUsed/>
    <w:rsid w:val="00697496"/>
    <w:pPr>
      <w:spacing w:after="0"/>
      <w:ind w:left="1540"/>
    </w:pPr>
    <w:rPr>
      <w:sz w:val="18"/>
      <w:szCs w:val="18"/>
    </w:rPr>
  </w:style>
  <w:style w:type="paragraph" w:customStyle="1" w:styleId="Sadraj91">
    <w:name w:val="Sadržaj 91"/>
    <w:basedOn w:val="Normal"/>
    <w:next w:val="Normal"/>
    <w:autoRedefine/>
    <w:uiPriority w:val="39"/>
    <w:unhideWhenUsed/>
    <w:rsid w:val="00697496"/>
    <w:pPr>
      <w:spacing w:after="0"/>
      <w:ind w:left="1760"/>
    </w:pPr>
    <w:rPr>
      <w:sz w:val="18"/>
      <w:szCs w:val="18"/>
    </w:rPr>
  </w:style>
  <w:style w:type="character" w:customStyle="1" w:styleId="Nerijeenospominjanje1">
    <w:name w:val="Neriješeno spominjanje1"/>
    <w:basedOn w:val="Zadanifontodlomka"/>
    <w:uiPriority w:val="99"/>
    <w:semiHidden/>
    <w:unhideWhenUsed/>
    <w:rsid w:val="00697496"/>
    <w:rPr>
      <w:color w:val="605E5C"/>
      <w:shd w:val="clear" w:color="auto" w:fill="E1DFDD"/>
    </w:rPr>
  </w:style>
  <w:style w:type="paragraph" w:customStyle="1" w:styleId="gmail-msolistparagraph">
    <w:name w:val="gmail-msolistparagraph"/>
    <w:basedOn w:val="Normal"/>
    <w:rsid w:val="00942B3F"/>
    <w:pPr>
      <w:spacing w:before="100" w:beforeAutospacing="1" w:after="100" w:afterAutospacing="1" w:line="240" w:lineRule="auto"/>
    </w:pPr>
    <w:rPr>
      <w:rFonts w:ascii="Times New Roman" w:eastAsia="Times New Roman" w:hAnsi="Times New Roman" w:cs="Times New Roman"/>
      <w:sz w:val="24"/>
      <w:szCs w:val="24"/>
    </w:rPr>
  </w:style>
  <w:style w:type="paragraph" w:styleId="Tekstkrajnjebiljeke">
    <w:name w:val="endnote text"/>
    <w:basedOn w:val="Normal"/>
    <w:link w:val="TekstkrajnjebiljekeChar"/>
    <w:uiPriority w:val="99"/>
    <w:semiHidden/>
    <w:unhideWhenUsed/>
    <w:rsid w:val="001930F3"/>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1930F3"/>
    <w:rPr>
      <w:sz w:val="20"/>
      <w:szCs w:val="20"/>
    </w:rPr>
  </w:style>
  <w:style w:type="character" w:styleId="Referencakrajnjebiljeke">
    <w:name w:val="endnote reference"/>
    <w:basedOn w:val="Zadanifontodlomka"/>
    <w:uiPriority w:val="99"/>
    <w:semiHidden/>
    <w:unhideWhenUsed/>
    <w:rsid w:val="001930F3"/>
    <w:rPr>
      <w:vertAlign w:val="superscript"/>
    </w:rPr>
  </w:style>
  <w:style w:type="numbering" w:customStyle="1" w:styleId="Stil11">
    <w:name w:val="Stil11"/>
    <w:uiPriority w:val="99"/>
    <w:rsid w:val="002B6F08"/>
  </w:style>
  <w:style w:type="numbering" w:customStyle="1" w:styleId="Stil12">
    <w:name w:val="Stil12"/>
    <w:uiPriority w:val="99"/>
    <w:rsid w:val="00F2348E"/>
  </w:style>
  <w:style w:type="numbering" w:customStyle="1" w:styleId="Stil13">
    <w:name w:val="Stil13"/>
    <w:uiPriority w:val="99"/>
    <w:rsid w:val="0052045C"/>
  </w:style>
  <w:style w:type="table" w:customStyle="1" w:styleId="Reetkatablice50">
    <w:name w:val="Rešetka tablice50"/>
    <w:basedOn w:val="Obinatablica"/>
    <w:next w:val="Reetkatablice"/>
    <w:uiPriority w:val="59"/>
    <w:rsid w:val="00307B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0">
    <w:name w:val="Rešetka tablice60"/>
    <w:basedOn w:val="Obinatablica"/>
    <w:next w:val="Reetkatablice"/>
    <w:uiPriority w:val="59"/>
    <w:rsid w:val="00B078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2">
    <w:name w:val="Rešetka tablice62"/>
    <w:basedOn w:val="Obinatablica"/>
    <w:next w:val="Reetkatablice"/>
    <w:uiPriority w:val="59"/>
    <w:rsid w:val="0026574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3">
    <w:name w:val="Rešetka tablice63"/>
    <w:basedOn w:val="Obinatablica"/>
    <w:next w:val="Reetkatablice"/>
    <w:uiPriority w:val="59"/>
    <w:rsid w:val="00783A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4">
    <w:name w:val="Rešetka tablice64"/>
    <w:basedOn w:val="Obinatablica"/>
    <w:next w:val="Reetkatablice"/>
    <w:uiPriority w:val="59"/>
    <w:rsid w:val="005C46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5">
    <w:name w:val="Rešetka tablice65"/>
    <w:basedOn w:val="Obinatablica"/>
    <w:next w:val="Reetkatablice"/>
    <w:uiPriority w:val="59"/>
    <w:rsid w:val="005C46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6">
    <w:name w:val="Rešetka tablice66"/>
    <w:basedOn w:val="Obinatablica"/>
    <w:next w:val="Reetkatablice"/>
    <w:uiPriority w:val="59"/>
    <w:rsid w:val="001862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7">
    <w:name w:val="Rešetka tablice67"/>
    <w:basedOn w:val="Obinatablica"/>
    <w:next w:val="Reetkatablice"/>
    <w:uiPriority w:val="59"/>
    <w:rsid w:val="001250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8">
    <w:name w:val="Rešetka tablice68"/>
    <w:basedOn w:val="Obinatablica"/>
    <w:next w:val="Reetkatablice"/>
    <w:uiPriority w:val="59"/>
    <w:rsid w:val="00A17F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9">
    <w:name w:val="Rešetka tablice69"/>
    <w:basedOn w:val="Obinatablica"/>
    <w:next w:val="Reetkatablice"/>
    <w:uiPriority w:val="59"/>
    <w:rsid w:val="005B6D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0">
    <w:name w:val="Rešetka tablice70"/>
    <w:basedOn w:val="Obinatablica"/>
    <w:next w:val="Reetkatablice"/>
    <w:uiPriority w:val="59"/>
    <w:rsid w:val="005D63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71">
    <w:name w:val="Naslov 71"/>
    <w:basedOn w:val="Normal"/>
    <w:next w:val="Normal"/>
    <w:uiPriority w:val="9"/>
    <w:unhideWhenUsed/>
    <w:qFormat/>
    <w:rsid w:val="00426865"/>
    <w:pPr>
      <w:keepNext/>
      <w:keepLines/>
      <w:spacing w:before="40" w:after="0" w:line="240" w:lineRule="auto"/>
      <w:jc w:val="both"/>
      <w:outlineLvl w:val="6"/>
    </w:pPr>
    <w:rPr>
      <w:rFonts w:ascii="Cambria" w:eastAsia="Times New Roman" w:hAnsi="Cambria" w:cs="Times New Roman"/>
      <w:i/>
      <w:iCs/>
      <w:color w:val="243F60"/>
      <w:sz w:val="20"/>
      <w:szCs w:val="20"/>
      <w:lang w:eastAsia="en-US"/>
    </w:rPr>
  </w:style>
  <w:style w:type="numbering" w:customStyle="1" w:styleId="Bezpopisa1">
    <w:name w:val="Bez popisa1"/>
    <w:next w:val="Bezpopisa"/>
    <w:uiPriority w:val="99"/>
    <w:semiHidden/>
    <w:unhideWhenUsed/>
    <w:rsid w:val="00426865"/>
  </w:style>
  <w:style w:type="character" w:customStyle="1" w:styleId="Naslov7Char">
    <w:name w:val="Naslov 7 Char"/>
    <w:basedOn w:val="Zadanifontodlomka"/>
    <w:link w:val="Naslov7"/>
    <w:uiPriority w:val="9"/>
    <w:rsid w:val="00426865"/>
    <w:rPr>
      <w:rFonts w:ascii="Cambria" w:eastAsia="Times New Roman" w:hAnsi="Cambria" w:cs="Times New Roman"/>
      <w:i/>
      <w:iCs/>
      <w:color w:val="243F60"/>
      <w:lang w:eastAsia="en-US"/>
    </w:rPr>
  </w:style>
  <w:style w:type="table" w:customStyle="1" w:styleId="Reetkatablice72">
    <w:name w:val="Rešetka tablice72"/>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5">
    <w:name w:val="Rešetka tablice115"/>
    <w:basedOn w:val="Obinatablica"/>
    <w:next w:val="Reetkatablice"/>
    <w:rsid w:val="00426865"/>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jelotaksta">
    <w:name w:val="tijelo taksta"/>
    <w:basedOn w:val="Normal"/>
    <w:link w:val="tijelotakstaChar"/>
    <w:qFormat/>
    <w:rsid w:val="00426865"/>
    <w:pPr>
      <w:spacing w:after="0" w:line="240" w:lineRule="auto"/>
      <w:jc w:val="both"/>
    </w:pPr>
    <w:rPr>
      <w:rFonts w:ascii="Calibri" w:eastAsia="Times New Roman" w:hAnsi="Calibri" w:cs="Times New Roman"/>
      <w:sz w:val="24"/>
      <w:szCs w:val="24"/>
    </w:rPr>
  </w:style>
  <w:style w:type="character" w:customStyle="1" w:styleId="tijelotakstaChar">
    <w:name w:val="tijelo taksta Char"/>
    <w:basedOn w:val="Zadanifontodlomka"/>
    <w:link w:val="tijelotaksta"/>
    <w:rsid w:val="00426865"/>
    <w:rPr>
      <w:rFonts w:ascii="Calibri" w:eastAsia="Times New Roman" w:hAnsi="Calibri" w:cs="Times New Roman"/>
      <w:sz w:val="24"/>
      <w:szCs w:val="24"/>
    </w:rPr>
  </w:style>
  <w:style w:type="table" w:customStyle="1" w:styleId="Reetkatablice220">
    <w:name w:val="Rešetka tablice220"/>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0">
    <w:name w:val="Rešetka tablice410"/>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16">
    <w:name w:val="Rešetka tablice116"/>
    <w:basedOn w:val="Obinatablica"/>
    <w:next w:val="Reetkatablice"/>
    <w:rsid w:val="004268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01">
    <w:name w:val="Rešetka tablice40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011">
    <w:name w:val="Rešetka tablice4011"/>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51">
    <w:name w:val="Rešetka tablice45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61">
    <w:name w:val="Rešetka tablice46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71">
    <w:name w:val="Rešetka tablice47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81">
    <w:name w:val="Rešetka tablice48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41">
    <w:name w:val="Rešetka tablice441"/>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42">
    <w:name w:val="Rešetka tablice442"/>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91">
    <w:name w:val="Rešetka tablice49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43">
    <w:name w:val="Rešetka tablice443"/>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01">
    <w:name w:val="Rešetka tablice50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44">
    <w:name w:val="Rešetka tablice444"/>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45">
    <w:name w:val="Rešetka tablice445"/>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01">
    <w:name w:val="Rešetka tablice601"/>
    <w:basedOn w:val="Obinatablica"/>
    <w:next w:val="Reetkatablice"/>
    <w:uiPriority w:val="39"/>
    <w:rsid w:val="0042686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621">
    <w:name w:val="Rešetka tablice621"/>
    <w:basedOn w:val="Obinatablica"/>
    <w:next w:val="Reetkatablice"/>
    <w:uiPriority w:val="59"/>
    <w:rsid w:val="00426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511">
    <w:name w:val="Rešetka tablice4511"/>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52">
    <w:name w:val="Rešetka tablice452"/>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53">
    <w:name w:val="Rešetka tablice453"/>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54">
    <w:name w:val="Rešetka tablice454"/>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55">
    <w:name w:val="Rešetka tablice455"/>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31">
    <w:name w:val="Rešetka tablice631"/>
    <w:basedOn w:val="Obinatablica"/>
    <w:next w:val="Reetkatablice"/>
    <w:uiPriority w:val="39"/>
    <w:rsid w:val="0042686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laencitat1">
    <w:name w:val="Naglašen citat1"/>
    <w:basedOn w:val="Normal"/>
    <w:next w:val="Normal"/>
    <w:uiPriority w:val="30"/>
    <w:qFormat/>
    <w:rsid w:val="00426865"/>
    <w:pPr>
      <w:pBdr>
        <w:bottom w:val="single" w:sz="4" w:space="4" w:color="B83D68"/>
      </w:pBdr>
      <w:spacing w:before="200" w:after="280"/>
      <w:ind w:left="936" w:right="936"/>
    </w:pPr>
    <w:rPr>
      <w:rFonts w:ascii="Calibri" w:eastAsia="Times New Roman" w:hAnsi="Calibri" w:cs="Times New Roman"/>
      <w:b/>
      <w:bCs/>
      <w:i/>
      <w:iCs/>
      <w:color w:val="B83D68"/>
    </w:rPr>
  </w:style>
  <w:style w:type="character" w:customStyle="1" w:styleId="NaglaencitatChar">
    <w:name w:val="Naglašen citat Char"/>
    <w:link w:val="Naglaencitat"/>
    <w:uiPriority w:val="30"/>
    <w:rsid w:val="00426865"/>
    <w:rPr>
      <w:rFonts w:eastAsia="Times New Roman"/>
      <w:b/>
      <w:bCs/>
      <w:i/>
      <w:iCs/>
      <w:color w:val="B83D68"/>
    </w:rPr>
  </w:style>
  <w:style w:type="paragraph" w:styleId="Naglaencitat">
    <w:name w:val="Intense Quote"/>
    <w:basedOn w:val="Normal"/>
    <w:next w:val="Normal"/>
    <w:link w:val="NaglaencitatChar"/>
    <w:uiPriority w:val="30"/>
    <w:qFormat/>
    <w:rsid w:val="00426865"/>
    <w:pPr>
      <w:pBdr>
        <w:bottom w:val="single" w:sz="4" w:space="4" w:color="4F81BD"/>
      </w:pBdr>
      <w:spacing w:before="200" w:after="280"/>
      <w:ind w:left="936" w:right="936"/>
    </w:pPr>
    <w:rPr>
      <w:rFonts w:eastAsia="Times New Roman"/>
      <w:b/>
      <w:bCs/>
      <w:i/>
      <w:iCs/>
      <w:color w:val="B83D68"/>
    </w:rPr>
  </w:style>
  <w:style w:type="character" w:customStyle="1" w:styleId="NaglaencitatChar1">
    <w:name w:val="Naglašen citat Char1"/>
    <w:basedOn w:val="Zadanifontodlomka"/>
    <w:uiPriority w:val="30"/>
    <w:rsid w:val="00426865"/>
    <w:rPr>
      <w:i/>
      <w:iCs/>
      <w:color w:val="4F81BD" w:themeColor="accent1"/>
    </w:rPr>
  </w:style>
  <w:style w:type="numbering" w:customStyle="1" w:styleId="Stil14">
    <w:name w:val="Stil14"/>
    <w:uiPriority w:val="99"/>
    <w:rsid w:val="00426865"/>
  </w:style>
  <w:style w:type="table" w:customStyle="1" w:styleId="Svijetlipopis1">
    <w:name w:val="Svijetli popis1"/>
    <w:basedOn w:val="Obinatablica"/>
    <w:next w:val="Svijetlipopis"/>
    <w:uiPriority w:val="61"/>
    <w:rsid w:val="00426865"/>
    <w:pPr>
      <w:spacing w:after="0" w:line="240" w:lineRule="auto"/>
    </w:pPr>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Reetkatablice641">
    <w:name w:val="Rešetka tablice641"/>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651">
    <w:name w:val="Rešetka tablice651"/>
    <w:basedOn w:val="Obinatablica"/>
    <w:next w:val="Reetkatablice"/>
    <w:uiPriority w:val="59"/>
    <w:rsid w:val="0042686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7Char1">
    <w:name w:val="Naslov 7 Char1"/>
    <w:basedOn w:val="Zadanifontodlomka"/>
    <w:uiPriority w:val="9"/>
    <w:semiHidden/>
    <w:rsid w:val="00426865"/>
    <w:rPr>
      <w:rFonts w:asciiTheme="majorHAnsi" w:eastAsiaTheme="majorEastAsia" w:hAnsiTheme="majorHAnsi" w:cstheme="majorBidi"/>
      <w:i/>
      <w:iCs/>
      <w:color w:val="243F60" w:themeColor="accent1" w:themeShade="7F"/>
    </w:rPr>
  </w:style>
  <w:style w:type="table" w:styleId="Svijetlipopis">
    <w:name w:val="Light List"/>
    <w:basedOn w:val="Obinatablica"/>
    <w:uiPriority w:val="61"/>
    <w:semiHidden/>
    <w:unhideWhenUsed/>
    <w:rsid w:val="004268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C92189"/>
    <w:pPr>
      <w:widowControl w:val="0"/>
      <w:suppressAutoHyphens/>
      <w:autoSpaceDN w:val="0"/>
      <w:spacing w:after="120" w:line="240" w:lineRule="auto"/>
    </w:pPr>
    <w:rPr>
      <w:rFonts w:ascii="Times New Roman" w:eastAsia="SimSun" w:hAnsi="Times New Roman" w:cs="Arial"/>
      <w:kern w:val="3"/>
      <w:sz w:val="24"/>
      <w:szCs w:val="24"/>
      <w:lang w:eastAsia="zh-CN" w:bidi="hi-IN"/>
    </w:rPr>
  </w:style>
  <w:style w:type="numbering" w:customStyle="1" w:styleId="Stil15">
    <w:name w:val="Stil15"/>
    <w:uiPriority w:val="99"/>
    <w:rsid w:val="004E241C"/>
  </w:style>
  <w:style w:type="numbering" w:customStyle="1" w:styleId="Stil16">
    <w:name w:val="Stil16"/>
    <w:uiPriority w:val="99"/>
    <w:rsid w:val="00A80DBE"/>
  </w:style>
  <w:style w:type="numbering" w:customStyle="1" w:styleId="Stil17">
    <w:name w:val="Stil17"/>
    <w:uiPriority w:val="99"/>
    <w:rsid w:val="00676A9B"/>
  </w:style>
  <w:style w:type="numbering" w:customStyle="1" w:styleId="Stil18">
    <w:name w:val="Stil18"/>
    <w:uiPriority w:val="99"/>
    <w:rsid w:val="00184A8E"/>
  </w:style>
  <w:style w:type="numbering" w:customStyle="1" w:styleId="Stil19">
    <w:name w:val="Stil19"/>
    <w:uiPriority w:val="99"/>
    <w:rsid w:val="00184A8E"/>
  </w:style>
  <w:style w:type="character" w:customStyle="1" w:styleId="whitespace-normal">
    <w:name w:val="whitespace-normal"/>
    <w:basedOn w:val="Zadanifontodlomka"/>
    <w:rsid w:val="003B7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31">
      <w:bodyDiv w:val="1"/>
      <w:marLeft w:val="0"/>
      <w:marRight w:val="0"/>
      <w:marTop w:val="0"/>
      <w:marBottom w:val="0"/>
      <w:divBdr>
        <w:top w:val="none" w:sz="0" w:space="0" w:color="auto"/>
        <w:left w:val="none" w:sz="0" w:space="0" w:color="auto"/>
        <w:bottom w:val="none" w:sz="0" w:space="0" w:color="auto"/>
        <w:right w:val="none" w:sz="0" w:space="0" w:color="auto"/>
      </w:divBdr>
    </w:div>
    <w:div w:id="209523">
      <w:bodyDiv w:val="1"/>
      <w:marLeft w:val="0"/>
      <w:marRight w:val="0"/>
      <w:marTop w:val="0"/>
      <w:marBottom w:val="0"/>
      <w:divBdr>
        <w:top w:val="none" w:sz="0" w:space="0" w:color="auto"/>
        <w:left w:val="none" w:sz="0" w:space="0" w:color="auto"/>
        <w:bottom w:val="none" w:sz="0" w:space="0" w:color="auto"/>
        <w:right w:val="none" w:sz="0" w:space="0" w:color="auto"/>
      </w:divBdr>
    </w:div>
    <w:div w:id="2361884">
      <w:bodyDiv w:val="1"/>
      <w:marLeft w:val="0"/>
      <w:marRight w:val="0"/>
      <w:marTop w:val="0"/>
      <w:marBottom w:val="0"/>
      <w:divBdr>
        <w:top w:val="none" w:sz="0" w:space="0" w:color="auto"/>
        <w:left w:val="none" w:sz="0" w:space="0" w:color="auto"/>
        <w:bottom w:val="none" w:sz="0" w:space="0" w:color="auto"/>
        <w:right w:val="none" w:sz="0" w:space="0" w:color="auto"/>
      </w:divBdr>
    </w:div>
    <w:div w:id="6642223">
      <w:bodyDiv w:val="1"/>
      <w:marLeft w:val="0"/>
      <w:marRight w:val="0"/>
      <w:marTop w:val="0"/>
      <w:marBottom w:val="0"/>
      <w:divBdr>
        <w:top w:val="none" w:sz="0" w:space="0" w:color="auto"/>
        <w:left w:val="none" w:sz="0" w:space="0" w:color="auto"/>
        <w:bottom w:val="none" w:sz="0" w:space="0" w:color="auto"/>
        <w:right w:val="none" w:sz="0" w:space="0" w:color="auto"/>
      </w:divBdr>
    </w:div>
    <w:div w:id="8219898">
      <w:bodyDiv w:val="1"/>
      <w:marLeft w:val="0"/>
      <w:marRight w:val="0"/>
      <w:marTop w:val="0"/>
      <w:marBottom w:val="0"/>
      <w:divBdr>
        <w:top w:val="none" w:sz="0" w:space="0" w:color="auto"/>
        <w:left w:val="none" w:sz="0" w:space="0" w:color="auto"/>
        <w:bottom w:val="none" w:sz="0" w:space="0" w:color="auto"/>
        <w:right w:val="none" w:sz="0" w:space="0" w:color="auto"/>
      </w:divBdr>
    </w:div>
    <w:div w:id="10692392">
      <w:bodyDiv w:val="1"/>
      <w:marLeft w:val="0"/>
      <w:marRight w:val="0"/>
      <w:marTop w:val="0"/>
      <w:marBottom w:val="0"/>
      <w:divBdr>
        <w:top w:val="none" w:sz="0" w:space="0" w:color="auto"/>
        <w:left w:val="none" w:sz="0" w:space="0" w:color="auto"/>
        <w:bottom w:val="none" w:sz="0" w:space="0" w:color="auto"/>
        <w:right w:val="none" w:sz="0" w:space="0" w:color="auto"/>
      </w:divBdr>
    </w:div>
    <w:div w:id="11493803">
      <w:bodyDiv w:val="1"/>
      <w:marLeft w:val="0"/>
      <w:marRight w:val="0"/>
      <w:marTop w:val="0"/>
      <w:marBottom w:val="0"/>
      <w:divBdr>
        <w:top w:val="none" w:sz="0" w:space="0" w:color="auto"/>
        <w:left w:val="none" w:sz="0" w:space="0" w:color="auto"/>
        <w:bottom w:val="none" w:sz="0" w:space="0" w:color="auto"/>
        <w:right w:val="none" w:sz="0" w:space="0" w:color="auto"/>
      </w:divBdr>
    </w:div>
    <w:div w:id="15272440">
      <w:bodyDiv w:val="1"/>
      <w:marLeft w:val="0"/>
      <w:marRight w:val="0"/>
      <w:marTop w:val="0"/>
      <w:marBottom w:val="0"/>
      <w:divBdr>
        <w:top w:val="none" w:sz="0" w:space="0" w:color="auto"/>
        <w:left w:val="none" w:sz="0" w:space="0" w:color="auto"/>
        <w:bottom w:val="none" w:sz="0" w:space="0" w:color="auto"/>
        <w:right w:val="none" w:sz="0" w:space="0" w:color="auto"/>
      </w:divBdr>
    </w:div>
    <w:div w:id="19285656">
      <w:bodyDiv w:val="1"/>
      <w:marLeft w:val="0"/>
      <w:marRight w:val="0"/>
      <w:marTop w:val="0"/>
      <w:marBottom w:val="0"/>
      <w:divBdr>
        <w:top w:val="none" w:sz="0" w:space="0" w:color="auto"/>
        <w:left w:val="none" w:sz="0" w:space="0" w:color="auto"/>
        <w:bottom w:val="none" w:sz="0" w:space="0" w:color="auto"/>
        <w:right w:val="none" w:sz="0" w:space="0" w:color="auto"/>
      </w:divBdr>
    </w:div>
    <w:div w:id="25644809">
      <w:bodyDiv w:val="1"/>
      <w:marLeft w:val="0"/>
      <w:marRight w:val="0"/>
      <w:marTop w:val="0"/>
      <w:marBottom w:val="0"/>
      <w:divBdr>
        <w:top w:val="none" w:sz="0" w:space="0" w:color="auto"/>
        <w:left w:val="none" w:sz="0" w:space="0" w:color="auto"/>
        <w:bottom w:val="none" w:sz="0" w:space="0" w:color="auto"/>
        <w:right w:val="none" w:sz="0" w:space="0" w:color="auto"/>
      </w:divBdr>
    </w:div>
    <w:div w:id="28574973">
      <w:bodyDiv w:val="1"/>
      <w:marLeft w:val="0"/>
      <w:marRight w:val="0"/>
      <w:marTop w:val="0"/>
      <w:marBottom w:val="0"/>
      <w:divBdr>
        <w:top w:val="none" w:sz="0" w:space="0" w:color="auto"/>
        <w:left w:val="none" w:sz="0" w:space="0" w:color="auto"/>
        <w:bottom w:val="none" w:sz="0" w:space="0" w:color="auto"/>
        <w:right w:val="none" w:sz="0" w:space="0" w:color="auto"/>
      </w:divBdr>
    </w:div>
    <w:div w:id="30304517">
      <w:bodyDiv w:val="1"/>
      <w:marLeft w:val="0"/>
      <w:marRight w:val="0"/>
      <w:marTop w:val="0"/>
      <w:marBottom w:val="0"/>
      <w:divBdr>
        <w:top w:val="none" w:sz="0" w:space="0" w:color="auto"/>
        <w:left w:val="none" w:sz="0" w:space="0" w:color="auto"/>
        <w:bottom w:val="none" w:sz="0" w:space="0" w:color="auto"/>
        <w:right w:val="none" w:sz="0" w:space="0" w:color="auto"/>
      </w:divBdr>
    </w:div>
    <w:div w:id="31001338">
      <w:bodyDiv w:val="1"/>
      <w:marLeft w:val="0"/>
      <w:marRight w:val="0"/>
      <w:marTop w:val="0"/>
      <w:marBottom w:val="0"/>
      <w:divBdr>
        <w:top w:val="none" w:sz="0" w:space="0" w:color="auto"/>
        <w:left w:val="none" w:sz="0" w:space="0" w:color="auto"/>
        <w:bottom w:val="none" w:sz="0" w:space="0" w:color="auto"/>
        <w:right w:val="none" w:sz="0" w:space="0" w:color="auto"/>
      </w:divBdr>
    </w:div>
    <w:div w:id="35279569">
      <w:bodyDiv w:val="1"/>
      <w:marLeft w:val="0"/>
      <w:marRight w:val="0"/>
      <w:marTop w:val="0"/>
      <w:marBottom w:val="0"/>
      <w:divBdr>
        <w:top w:val="none" w:sz="0" w:space="0" w:color="auto"/>
        <w:left w:val="none" w:sz="0" w:space="0" w:color="auto"/>
        <w:bottom w:val="none" w:sz="0" w:space="0" w:color="auto"/>
        <w:right w:val="none" w:sz="0" w:space="0" w:color="auto"/>
      </w:divBdr>
    </w:div>
    <w:div w:id="35391774">
      <w:bodyDiv w:val="1"/>
      <w:marLeft w:val="0"/>
      <w:marRight w:val="0"/>
      <w:marTop w:val="0"/>
      <w:marBottom w:val="0"/>
      <w:divBdr>
        <w:top w:val="none" w:sz="0" w:space="0" w:color="auto"/>
        <w:left w:val="none" w:sz="0" w:space="0" w:color="auto"/>
        <w:bottom w:val="none" w:sz="0" w:space="0" w:color="auto"/>
        <w:right w:val="none" w:sz="0" w:space="0" w:color="auto"/>
      </w:divBdr>
    </w:div>
    <w:div w:id="36662758">
      <w:bodyDiv w:val="1"/>
      <w:marLeft w:val="0"/>
      <w:marRight w:val="0"/>
      <w:marTop w:val="0"/>
      <w:marBottom w:val="0"/>
      <w:divBdr>
        <w:top w:val="none" w:sz="0" w:space="0" w:color="auto"/>
        <w:left w:val="none" w:sz="0" w:space="0" w:color="auto"/>
        <w:bottom w:val="none" w:sz="0" w:space="0" w:color="auto"/>
        <w:right w:val="none" w:sz="0" w:space="0" w:color="auto"/>
      </w:divBdr>
    </w:div>
    <w:div w:id="37826607">
      <w:bodyDiv w:val="1"/>
      <w:marLeft w:val="0"/>
      <w:marRight w:val="0"/>
      <w:marTop w:val="0"/>
      <w:marBottom w:val="0"/>
      <w:divBdr>
        <w:top w:val="none" w:sz="0" w:space="0" w:color="auto"/>
        <w:left w:val="none" w:sz="0" w:space="0" w:color="auto"/>
        <w:bottom w:val="none" w:sz="0" w:space="0" w:color="auto"/>
        <w:right w:val="none" w:sz="0" w:space="0" w:color="auto"/>
      </w:divBdr>
    </w:div>
    <w:div w:id="39286354">
      <w:bodyDiv w:val="1"/>
      <w:marLeft w:val="0"/>
      <w:marRight w:val="0"/>
      <w:marTop w:val="0"/>
      <w:marBottom w:val="0"/>
      <w:divBdr>
        <w:top w:val="none" w:sz="0" w:space="0" w:color="auto"/>
        <w:left w:val="none" w:sz="0" w:space="0" w:color="auto"/>
        <w:bottom w:val="none" w:sz="0" w:space="0" w:color="auto"/>
        <w:right w:val="none" w:sz="0" w:space="0" w:color="auto"/>
      </w:divBdr>
    </w:div>
    <w:div w:id="45833386">
      <w:bodyDiv w:val="1"/>
      <w:marLeft w:val="0"/>
      <w:marRight w:val="0"/>
      <w:marTop w:val="0"/>
      <w:marBottom w:val="0"/>
      <w:divBdr>
        <w:top w:val="none" w:sz="0" w:space="0" w:color="auto"/>
        <w:left w:val="none" w:sz="0" w:space="0" w:color="auto"/>
        <w:bottom w:val="none" w:sz="0" w:space="0" w:color="auto"/>
        <w:right w:val="none" w:sz="0" w:space="0" w:color="auto"/>
      </w:divBdr>
    </w:div>
    <w:div w:id="45960155">
      <w:bodyDiv w:val="1"/>
      <w:marLeft w:val="0"/>
      <w:marRight w:val="0"/>
      <w:marTop w:val="0"/>
      <w:marBottom w:val="0"/>
      <w:divBdr>
        <w:top w:val="none" w:sz="0" w:space="0" w:color="auto"/>
        <w:left w:val="none" w:sz="0" w:space="0" w:color="auto"/>
        <w:bottom w:val="none" w:sz="0" w:space="0" w:color="auto"/>
        <w:right w:val="none" w:sz="0" w:space="0" w:color="auto"/>
      </w:divBdr>
    </w:div>
    <w:div w:id="46340714">
      <w:bodyDiv w:val="1"/>
      <w:marLeft w:val="0"/>
      <w:marRight w:val="0"/>
      <w:marTop w:val="0"/>
      <w:marBottom w:val="0"/>
      <w:divBdr>
        <w:top w:val="none" w:sz="0" w:space="0" w:color="auto"/>
        <w:left w:val="none" w:sz="0" w:space="0" w:color="auto"/>
        <w:bottom w:val="none" w:sz="0" w:space="0" w:color="auto"/>
        <w:right w:val="none" w:sz="0" w:space="0" w:color="auto"/>
      </w:divBdr>
    </w:div>
    <w:div w:id="51586458">
      <w:bodyDiv w:val="1"/>
      <w:marLeft w:val="0"/>
      <w:marRight w:val="0"/>
      <w:marTop w:val="0"/>
      <w:marBottom w:val="0"/>
      <w:divBdr>
        <w:top w:val="none" w:sz="0" w:space="0" w:color="auto"/>
        <w:left w:val="none" w:sz="0" w:space="0" w:color="auto"/>
        <w:bottom w:val="none" w:sz="0" w:space="0" w:color="auto"/>
        <w:right w:val="none" w:sz="0" w:space="0" w:color="auto"/>
      </w:divBdr>
    </w:div>
    <w:div w:id="56712290">
      <w:bodyDiv w:val="1"/>
      <w:marLeft w:val="0"/>
      <w:marRight w:val="0"/>
      <w:marTop w:val="0"/>
      <w:marBottom w:val="0"/>
      <w:divBdr>
        <w:top w:val="none" w:sz="0" w:space="0" w:color="auto"/>
        <w:left w:val="none" w:sz="0" w:space="0" w:color="auto"/>
        <w:bottom w:val="none" w:sz="0" w:space="0" w:color="auto"/>
        <w:right w:val="none" w:sz="0" w:space="0" w:color="auto"/>
      </w:divBdr>
    </w:div>
    <w:div w:id="61753905">
      <w:bodyDiv w:val="1"/>
      <w:marLeft w:val="0"/>
      <w:marRight w:val="0"/>
      <w:marTop w:val="0"/>
      <w:marBottom w:val="0"/>
      <w:divBdr>
        <w:top w:val="none" w:sz="0" w:space="0" w:color="auto"/>
        <w:left w:val="none" w:sz="0" w:space="0" w:color="auto"/>
        <w:bottom w:val="none" w:sz="0" w:space="0" w:color="auto"/>
        <w:right w:val="none" w:sz="0" w:space="0" w:color="auto"/>
      </w:divBdr>
    </w:div>
    <w:div w:id="62535135">
      <w:bodyDiv w:val="1"/>
      <w:marLeft w:val="0"/>
      <w:marRight w:val="0"/>
      <w:marTop w:val="0"/>
      <w:marBottom w:val="0"/>
      <w:divBdr>
        <w:top w:val="none" w:sz="0" w:space="0" w:color="auto"/>
        <w:left w:val="none" w:sz="0" w:space="0" w:color="auto"/>
        <w:bottom w:val="none" w:sz="0" w:space="0" w:color="auto"/>
        <w:right w:val="none" w:sz="0" w:space="0" w:color="auto"/>
      </w:divBdr>
    </w:div>
    <w:div w:id="64572903">
      <w:bodyDiv w:val="1"/>
      <w:marLeft w:val="0"/>
      <w:marRight w:val="0"/>
      <w:marTop w:val="0"/>
      <w:marBottom w:val="0"/>
      <w:divBdr>
        <w:top w:val="none" w:sz="0" w:space="0" w:color="auto"/>
        <w:left w:val="none" w:sz="0" w:space="0" w:color="auto"/>
        <w:bottom w:val="none" w:sz="0" w:space="0" w:color="auto"/>
        <w:right w:val="none" w:sz="0" w:space="0" w:color="auto"/>
      </w:divBdr>
    </w:div>
    <w:div w:id="68550842">
      <w:bodyDiv w:val="1"/>
      <w:marLeft w:val="0"/>
      <w:marRight w:val="0"/>
      <w:marTop w:val="0"/>
      <w:marBottom w:val="0"/>
      <w:divBdr>
        <w:top w:val="none" w:sz="0" w:space="0" w:color="auto"/>
        <w:left w:val="none" w:sz="0" w:space="0" w:color="auto"/>
        <w:bottom w:val="none" w:sz="0" w:space="0" w:color="auto"/>
        <w:right w:val="none" w:sz="0" w:space="0" w:color="auto"/>
      </w:divBdr>
    </w:div>
    <w:div w:id="72817707">
      <w:bodyDiv w:val="1"/>
      <w:marLeft w:val="0"/>
      <w:marRight w:val="0"/>
      <w:marTop w:val="0"/>
      <w:marBottom w:val="0"/>
      <w:divBdr>
        <w:top w:val="none" w:sz="0" w:space="0" w:color="auto"/>
        <w:left w:val="none" w:sz="0" w:space="0" w:color="auto"/>
        <w:bottom w:val="none" w:sz="0" w:space="0" w:color="auto"/>
        <w:right w:val="none" w:sz="0" w:space="0" w:color="auto"/>
      </w:divBdr>
    </w:div>
    <w:div w:id="77333180">
      <w:bodyDiv w:val="1"/>
      <w:marLeft w:val="0"/>
      <w:marRight w:val="0"/>
      <w:marTop w:val="0"/>
      <w:marBottom w:val="0"/>
      <w:divBdr>
        <w:top w:val="none" w:sz="0" w:space="0" w:color="auto"/>
        <w:left w:val="none" w:sz="0" w:space="0" w:color="auto"/>
        <w:bottom w:val="none" w:sz="0" w:space="0" w:color="auto"/>
        <w:right w:val="none" w:sz="0" w:space="0" w:color="auto"/>
      </w:divBdr>
    </w:div>
    <w:div w:id="81224024">
      <w:bodyDiv w:val="1"/>
      <w:marLeft w:val="0"/>
      <w:marRight w:val="0"/>
      <w:marTop w:val="0"/>
      <w:marBottom w:val="0"/>
      <w:divBdr>
        <w:top w:val="none" w:sz="0" w:space="0" w:color="auto"/>
        <w:left w:val="none" w:sz="0" w:space="0" w:color="auto"/>
        <w:bottom w:val="none" w:sz="0" w:space="0" w:color="auto"/>
        <w:right w:val="none" w:sz="0" w:space="0" w:color="auto"/>
      </w:divBdr>
    </w:div>
    <w:div w:id="85271555">
      <w:bodyDiv w:val="1"/>
      <w:marLeft w:val="0"/>
      <w:marRight w:val="0"/>
      <w:marTop w:val="0"/>
      <w:marBottom w:val="0"/>
      <w:divBdr>
        <w:top w:val="none" w:sz="0" w:space="0" w:color="auto"/>
        <w:left w:val="none" w:sz="0" w:space="0" w:color="auto"/>
        <w:bottom w:val="none" w:sz="0" w:space="0" w:color="auto"/>
        <w:right w:val="none" w:sz="0" w:space="0" w:color="auto"/>
      </w:divBdr>
    </w:div>
    <w:div w:id="86193890">
      <w:bodyDiv w:val="1"/>
      <w:marLeft w:val="0"/>
      <w:marRight w:val="0"/>
      <w:marTop w:val="0"/>
      <w:marBottom w:val="0"/>
      <w:divBdr>
        <w:top w:val="none" w:sz="0" w:space="0" w:color="auto"/>
        <w:left w:val="none" w:sz="0" w:space="0" w:color="auto"/>
        <w:bottom w:val="none" w:sz="0" w:space="0" w:color="auto"/>
        <w:right w:val="none" w:sz="0" w:space="0" w:color="auto"/>
      </w:divBdr>
    </w:div>
    <w:div w:id="86315540">
      <w:bodyDiv w:val="1"/>
      <w:marLeft w:val="0"/>
      <w:marRight w:val="0"/>
      <w:marTop w:val="0"/>
      <w:marBottom w:val="0"/>
      <w:divBdr>
        <w:top w:val="none" w:sz="0" w:space="0" w:color="auto"/>
        <w:left w:val="none" w:sz="0" w:space="0" w:color="auto"/>
        <w:bottom w:val="none" w:sz="0" w:space="0" w:color="auto"/>
        <w:right w:val="none" w:sz="0" w:space="0" w:color="auto"/>
      </w:divBdr>
    </w:div>
    <w:div w:id="88044866">
      <w:bodyDiv w:val="1"/>
      <w:marLeft w:val="0"/>
      <w:marRight w:val="0"/>
      <w:marTop w:val="0"/>
      <w:marBottom w:val="0"/>
      <w:divBdr>
        <w:top w:val="none" w:sz="0" w:space="0" w:color="auto"/>
        <w:left w:val="none" w:sz="0" w:space="0" w:color="auto"/>
        <w:bottom w:val="none" w:sz="0" w:space="0" w:color="auto"/>
        <w:right w:val="none" w:sz="0" w:space="0" w:color="auto"/>
      </w:divBdr>
    </w:div>
    <w:div w:id="90586213">
      <w:bodyDiv w:val="1"/>
      <w:marLeft w:val="0"/>
      <w:marRight w:val="0"/>
      <w:marTop w:val="0"/>
      <w:marBottom w:val="0"/>
      <w:divBdr>
        <w:top w:val="none" w:sz="0" w:space="0" w:color="auto"/>
        <w:left w:val="none" w:sz="0" w:space="0" w:color="auto"/>
        <w:bottom w:val="none" w:sz="0" w:space="0" w:color="auto"/>
        <w:right w:val="none" w:sz="0" w:space="0" w:color="auto"/>
      </w:divBdr>
    </w:div>
    <w:div w:id="96217447">
      <w:bodyDiv w:val="1"/>
      <w:marLeft w:val="0"/>
      <w:marRight w:val="0"/>
      <w:marTop w:val="0"/>
      <w:marBottom w:val="0"/>
      <w:divBdr>
        <w:top w:val="none" w:sz="0" w:space="0" w:color="auto"/>
        <w:left w:val="none" w:sz="0" w:space="0" w:color="auto"/>
        <w:bottom w:val="none" w:sz="0" w:space="0" w:color="auto"/>
        <w:right w:val="none" w:sz="0" w:space="0" w:color="auto"/>
      </w:divBdr>
    </w:div>
    <w:div w:id="108857899">
      <w:bodyDiv w:val="1"/>
      <w:marLeft w:val="0"/>
      <w:marRight w:val="0"/>
      <w:marTop w:val="0"/>
      <w:marBottom w:val="0"/>
      <w:divBdr>
        <w:top w:val="none" w:sz="0" w:space="0" w:color="auto"/>
        <w:left w:val="none" w:sz="0" w:space="0" w:color="auto"/>
        <w:bottom w:val="none" w:sz="0" w:space="0" w:color="auto"/>
        <w:right w:val="none" w:sz="0" w:space="0" w:color="auto"/>
      </w:divBdr>
    </w:div>
    <w:div w:id="115175278">
      <w:bodyDiv w:val="1"/>
      <w:marLeft w:val="0"/>
      <w:marRight w:val="0"/>
      <w:marTop w:val="0"/>
      <w:marBottom w:val="0"/>
      <w:divBdr>
        <w:top w:val="none" w:sz="0" w:space="0" w:color="auto"/>
        <w:left w:val="none" w:sz="0" w:space="0" w:color="auto"/>
        <w:bottom w:val="none" w:sz="0" w:space="0" w:color="auto"/>
        <w:right w:val="none" w:sz="0" w:space="0" w:color="auto"/>
      </w:divBdr>
    </w:div>
    <w:div w:id="120803888">
      <w:bodyDiv w:val="1"/>
      <w:marLeft w:val="0"/>
      <w:marRight w:val="0"/>
      <w:marTop w:val="0"/>
      <w:marBottom w:val="0"/>
      <w:divBdr>
        <w:top w:val="none" w:sz="0" w:space="0" w:color="auto"/>
        <w:left w:val="none" w:sz="0" w:space="0" w:color="auto"/>
        <w:bottom w:val="none" w:sz="0" w:space="0" w:color="auto"/>
        <w:right w:val="none" w:sz="0" w:space="0" w:color="auto"/>
      </w:divBdr>
    </w:div>
    <w:div w:id="123080671">
      <w:bodyDiv w:val="1"/>
      <w:marLeft w:val="0"/>
      <w:marRight w:val="0"/>
      <w:marTop w:val="0"/>
      <w:marBottom w:val="0"/>
      <w:divBdr>
        <w:top w:val="none" w:sz="0" w:space="0" w:color="auto"/>
        <w:left w:val="none" w:sz="0" w:space="0" w:color="auto"/>
        <w:bottom w:val="none" w:sz="0" w:space="0" w:color="auto"/>
        <w:right w:val="none" w:sz="0" w:space="0" w:color="auto"/>
      </w:divBdr>
    </w:div>
    <w:div w:id="126969535">
      <w:bodyDiv w:val="1"/>
      <w:marLeft w:val="0"/>
      <w:marRight w:val="0"/>
      <w:marTop w:val="0"/>
      <w:marBottom w:val="0"/>
      <w:divBdr>
        <w:top w:val="none" w:sz="0" w:space="0" w:color="auto"/>
        <w:left w:val="none" w:sz="0" w:space="0" w:color="auto"/>
        <w:bottom w:val="none" w:sz="0" w:space="0" w:color="auto"/>
        <w:right w:val="none" w:sz="0" w:space="0" w:color="auto"/>
      </w:divBdr>
    </w:div>
    <w:div w:id="140119991">
      <w:bodyDiv w:val="1"/>
      <w:marLeft w:val="0"/>
      <w:marRight w:val="0"/>
      <w:marTop w:val="0"/>
      <w:marBottom w:val="0"/>
      <w:divBdr>
        <w:top w:val="none" w:sz="0" w:space="0" w:color="auto"/>
        <w:left w:val="none" w:sz="0" w:space="0" w:color="auto"/>
        <w:bottom w:val="none" w:sz="0" w:space="0" w:color="auto"/>
        <w:right w:val="none" w:sz="0" w:space="0" w:color="auto"/>
      </w:divBdr>
    </w:div>
    <w:div w:id="140738212">
      <w:bodyDiv w:val="1"/>
      <w:marLeft w:val="0"/>
      <w:marRight w:val="0"/>
      <w:marTop w:val="0"/>
      <w:marBottom w:val="0"/>
      <w:divBdr>
        <w:top w:val="none" w:sz="0" w:space="0" w:color="auto"/>
        <w:left w:val="none" w:sz="0" w:space="0" w:color="auto"/>
        <w:bottom w:val="none" w:sz="0" w:space="0" w:color="auto"/>
        <w:right w:val="none" w:sz="0" w:space="0" w:color="auto"/>
      </w:divBdr>
    </w:div>
    <w:div w:id="142284163">
      <w:bodyDiv w:val="1"/>
      <w:marLeft w:val="0"/>
      <w:marRight w:val="0"/>
      <w:marTop w:val="0"/>
      <w:marBottom w:val="0"/>
      <w:divBdr>
        <w:top w:val="none" w:sz="0" w:space="0" w:color="auto"/>
        <w:left w:val="none" w:sz="0" w:space="0" w:color="auto"/>
        <w:bottom w:val="none" w:sz="0" w:space="0" w:color="auto"/>
        <w:right w:val="none" w:sz="0" w:space="0" w:color="auto"/>
      </w:divBdr>
    </w:div>
    <w:div w:id="143358111">
      <w:bodyDiv w:val="1"/>
      <w:marLeft w:val="0"/>
      <w:marRight w:val="0"/>
      <w:marTop w:val="0"/>
      <w:marBottom w:val="0"/>
      <w:divBdr>
        <w:top w:val="none" w:sz="0" w:space="0" w:color="auto"/>
        <w:left w:val="none" w:sz="0" w:space="0" w:color="auto"/>
        <w:bottom w:val="none" w:sz="0" w:space="0" w:color="auto"/>
        <w:right w:val="none" w:sz="0" w:space="0" w:color="auto"/>
      </w:divBdr>
    </w:div>
    <w:div w:id="144670506">
      <w:bodyDiv w:val="1"/>
      <w:marLeft w:val="0"/>
      <w:marRight w:val="0"/>
      <w:marTop w:val="0"/>
      <w:marBottom w:val="0"/>
      <w:divBdr>
        <w:top w:val="none" w:sz="0" w:space="0" w:color="auto"/>
        <w:left w:val="none" w:sz="0" w:space="0" w:color="auto"/>
        <w:bottom w:val="none" w:sz="0" w:space="0" w:color="auto"/>
        <w:right w:val="none" w:sz="0" w:space="0" w:color="auto"/>
      </w:divBdr>
    </w:div>
    <w:div w:id="152373623">
      <w:bodyDiv w:val="1"/>
      <w:marLeft w:val="0"/>
      <w:marRight w:val="0"/>
      <w:marTop w:val="0"/>
      <w:marBottom w:val="0"/>
      <w:divBdr>
        <w:top w:val="none" w:sz="0" w:space="0" w:color="auto"/>
        <w:left w:val="none" w:sz="0" w:space="0" w:color="auto"/>
        <w:bottom w:val="none" w:sz="0" w:space="0" w:color="auto"/>
        <w:right w:val="none" w:sz="0" w:space="0" w:color="auto"/>
      </w:divBdr>
    </w:div>
    <w:div w:id="157234025">
      <w:bodyDiv w:val="1"/>
      <w:marLeft w:val="0"/>
      <w:marRight w:val="0"/>
      <w:marTop w:val="0"/>
      <w:marBottom w:val="0"/>
      <w:divBdr>
        <w:top w:val="none" w:sz="0" w:space="0" w:color="auto"/>
        <w:left w:val="none" w:sz="0" w:space="0" w:color="auto"/>
        <w:bottom w:val="none" w:sz="0" w:space="0" w:color="auto"/>
        <w:right w:val="none" w:sz="0" w:space="0" w:color="auto"/>
      </w:divBdr>
    </w:div>
    <w:div w:id="159198997">
      <w:bodyDiv w:val="1"/>
      <w:marLeft w:val="0"/>
      <w:marRight w:val="0"/>
      <w:marTop w:val="0"/>
      <w:marBottom w:val="0"/>
      <w:divBdr>
        <w:top w:val="none" w:sz="0" w:space="0" w:color="auto"/>
        <w:left w:val="none" w:sz="0" w:space="0" w:color="auto"/>
        <w:bottom w:val="none" w:sz="0" w:space="0" w:color="auto"/>
        <w:right w:val="none" w:sz="0" w:space="0" w:color="auto"/>
      </w:divBdr>
    </w:div>
    <w:div w:id="159662803">
      <w:bodyDiv w:val="1"/>
      <w:marLeft w:val="0"/>
      <w:marRight w:val="0"/>
      <w:marTop w:val="0"/>
      <w:marBottom w:val="0"/>
      <w:divBdr>
        <w:top w:val="none" w:sz="0" w:space="0" w:color="auto"/>
        <w:left w:val="none" w:sz="0" w:space="0" w:color="auto"/>
        <w:bottom w:val="none" w:sz="0" w:space="0" w:color="auto"/>
        <w:right w:val="none" w:sz="0" w:space="0" w:color="auto"/>
      </w:divBdr>
    </w:div>
    <w:div w:id="165021939">
      <w:bodyDiv w:val="1"/>
      <w:marLeft w:val="0"/>
      <w:marRight w:val="0"/>
      <w:marTop w:val="0"/>
      <w:marBottom w:val="0"/>
      <w:divBdr>
        <w:top w:val="none" w:sz="0" w:space="0" w:color="auto"/>
        <w:left w:val="none" w:sz="0" w:space="0" w:color="auto"/>
        <w:bottom w:val="none" w:sz="0" w:space="0" w:color="auto"/>
        <w:right w:val="none" w:sz="0" w:space="0" w:color="auto"/>
      </w:divBdr>
    </w:div>
    <w:div w:id="169612443">
      <w:bodyDiv w:val="1"/>
      <w:marLeft w:val="0"/>
      <w:marRight w:val="0"/>
      <w:marTop w:val="0"/>
      <w:marBottom w:val="0"/>
      <w:divBdr>
        <w:top w:val="none" w:sz="0" w:space="0" w:color="auto"/>
        <w:left w:val="none" w:sz="0" w:space="0" w:color="auto"/>
        <w:bottom w:val="none" w:sz="0" w:space="0" w:color="auto"/>
        <w:right w:val="none" w:sz="0" w:space="0" w:color="auto"/>
      </w:divBdr>
    </w:div>
    <w:div w:id="180516717">
      <w:bodyDiv w:val="1"/>
      <w:marLeft w:val="0"/>
      <w:marRight w:val="0"/>
      <w:marTop w:val="0"/>
      <w:marBottom w:val="0"/>
      <w:divBdr>
        <w:top w:val="none" w:sz="0" w:space="0" w:color="auto"/>
        <w:left w:val="none" w:sz="0" w:space="0" w:color="auto"/>
        <w:bottom w:val="none" w:sz="0" w:space="0" w:color="auto"/>
        <w:right w:val="none" w:sz="0" w:space="0" w:color="auto"/>
      </w:divBdr>
    </w:div>
    <w:div w:id="182670186">
      <w:bodyDiv w:val="1"/>
      <w:marLeft w:val="0"/>
      <w:marRight w:val="0"/>
      <w:marTop w:val="0"/>
      <w:marBottom w:val="0"/>
      <w:divBdr>
        <w:top w:val="none" w:sz="0" w:space="0" w:color="auto"/>
        <w:left w:val="none" w:sz="0" w:space="0" w:color="auto"/>
        <w:bottom w:val="none" w:sz="0" w:space="0" w:color="auto"/>
        <w:right w:val="none" w:sz="0" w:space="0" w:color="auto"/>
      </w:divBdr>
    </w:div>
    <w:div w:id="189074968">
      <w:bodyDiv w:val="1"/>
      <w:marLeft w:val="0"/>
      <w:marRight w:val="0"/>
      <w:marTop w:val="0"/>
      <w:marBottom w:val="0"/>
      <w:divBdr>
        <w:top w:val="none" w:sz="0" w:space="0" w:color="auto"/>
        <w:left w:val="none" w:sz="0" w:space="0" w:color="auto"/>
        <w:bottom w:val="none" w:sz="0" w:space="0" w:color="auto"/>
        <w:right w:val="none" w:sz="0" w:space="0" w:color="auto"/>
      </w:divBdr>
    </w:div>
    <w:div w:id="192768922">
      <w:bodyDiv w:val="1"/>
      <w:marLeft w:val="0"/>
      <w:marRight w:val="0"/>
      <w:marTop w:val="0"/>
      <w:marBottom w:val="0"/>
      <w:divBdr>
        <w:top w:val="none" w:sz="0" w:space="0" w:color="auto"/>
        <w:left w:val="none" w:sz="0" w:space="0" w:color="auto"/>
        <w:bottom w:val="none" w:sz="0" w:space="0" w:color="auto"/>
        <w:right w:val="none" w:sz="0" w:space="0" w:color="auto"/>
      </w:divBdr>
    </w:div>
    <w:div w:id="200091989">
      <w:bodyDiv w:val="1"/>
      <w:marLeft w:val="0"/>
      <w:marRight w:val="0"/>
      <w:marTop w:val="0"/>
      <w:marBottom w:val="0"/>
      <w:divBdr>
        <w:top w:val="none" w:sz="0" w:space="0" w:color="auto"/>
        <w:left w:val="none" w:sz="0" w:space="0" w:color="auto"/>
        <w:bottom w:val="none" w:sz="0" w:space="0" w:color="auto"/>
        <w:right w:val="none" w:sz="0" w:space="0" w:color="auto"/>
      </w:divBdr>
    </w:div>
    <w:div w:id="201330447">
      <w:bodyDiv w:val="1"/>
      <w:marLeft w:val="0"/>
      <w:marRight w:val="0"/>
      <w:marTop w:val="0"/>
      <w:marBottom w:val="0"/>
      <w:divBdr>
        <w:top w:val="none" w:sz="0" w:space="0" w:color="auto"/>
        <w:left w:val="none" w:sz="0" w:space="0" w:color="auto"/>
        <w:bottom w:val="none" w:sz="0" w:space="0" w:color="auto"/>
        <w:right w:val="none" w:sz="0" w:space="0" w:color="auto"/>
      </w:divBdr>
    </w:div>
    <w:div w:id="201939145">
      <w:bodyDiv w:val="1"/>
      <w:marLeft w:val="0"/>
      <w:marRight w:val="0"/>
      <w:marTop w:val="0"/>
      <w:marBottom w:val="0"/>
      <w:divBdr>
        <w:top w:val="none" w:sz="0" w:space="0" w:color="auto"/>
        <w:left w:val="none" w:sz="0" w:space="0" w:color="auto"/>
        <w:bottom w:val="none" w:sz="0" w:space="0" w:color="auto"/>
        <w:right w:val="none" w:sz="0" w:space="0" w:color="auto"/>
      </w:divBdr>
    </w:div>
    <w:div w:id="206842688">
      <w:bodyDiv w:val="1"/>
      <w:marLeft w:val="0"/>
      <w:marRight w:val="0"/>
      <w:marTop w:val="0"/>
      <w:marBottom w:val="0"/>
      <w:divBdr>
        <w:top w:val="none" w:sz="0" w:space="0" w:color="auto"/>
        <w:left w:val="none" w:sz="0" w:space="0" w:color="auto"/>
        <w:bottom w:val="none" w:sz="0" w:space="0" w:color="auto"/>
        <w:right w:val="none" w:sz="0" w:space="0" w:color="auto"/>
      </w:divBdr>
    </w:div>
    <w:div w:id="207037991">
      <w:bodyDiv w:val="1"/>
      <w:marLeft w:val="0"/>
      <w:marRight w:val="0"/>
      <w:marTop w:val="0"/>
      <w:marBottom w:val="0"/>
      <w:divBdr>
        <w:top w:val="none" w:sz="0" w:space="0" w:color="auto"/>
        <w:left w:val="none" w:sz="0" w:space="0" w:color="auto"/>
        <w:bottom w:val="none" w:sz="0" w:space="0" w:color="auto"/>
        <w:right w:val="none" w:sz="0" w:space="0" w:color="auto"/>
      </w:divBdr>
    </w:div>
    <w:div w:id="207572790">
      <w:bodyDiv w:val="1"/>
      <w:marLeft w:val="0"/>
      <w:marRight w:val="0"/>
      <w:marTop w:val="0"/>
      <w:marBottom w:val="0"/>
      <w:divBdr>
        <w:top w:val="none" w:sz="0" w:space="0" w:color="auto"/>
        <w:left w:val="none" w:sz="0" w:space="0" w:color="auto"/>
        <w:bottom w:val="none" w:sz="0" w:space="0" w:color="auto"/>
        <w:right w:val="none" w:sz="0" w:space="0" w:color="auto"/>
      </w:divBdr>
    </w:div>
    <w:div w:id="212231304">
      <w:bodyDiv w:val="1"/>
      <w:marLeft w:val="0"/>
      <w:marRight w:val="0"/>
      <w:marTop w:val="0"/>
      <w:marBottom w:val="0"/>
      <w:divBdr>
        <w:top w:val="none" w:sz="0" w:space="0" w:color="auto"/>
        <w:left w:val="none" w:sz="0" w:space="0" w:color="auto"/>
        <w:bottom w:val="none" w:sz="0" w:space="0" w:color="auto"/>
        <w:right w:val="none" w:sz="0" w:space="0" w:color="auto"/>
      </w:divBdr>
    </w:div>
    <w:div w:id="229275479">
      <w:bodyDiv w:val="1"/>
      <w:marLeft w:val="0"/>
      <w:marRight w:val="0"/>
      <w:marTop w:val="0"/>
      <w:marBottom w:val="0"/>
      <w:divBdr>
        <w:top w:val="none" w:sz="0" w:space="0" w:color="auto"/>
        <w:left w:val="none" w:sz="0" w:space="0" w:color="auto"/>
        <w:bottom w:val="none" w:sz="0" w:space="0" w:color="auto"/>
        <w:right w:val="none" w:sz="0" w:space="0" w:color="auto"/>
      </w:divBdr>
    </w:div>
    <w:div w:id="235088251">
      <w:bodyDiv w:val="1"/>
      <w:marLeft w:val="0"/>
      <w:marRight w:val="0"/>
      <w:marTop w:val="0"/>
      <w:marBottom w:val="0"/>
      <w:divBdr>
        <w:top w:val="none" w:sz="0" w:space="0" w:color="auto"/>
        <w:left w:val="none" w:sz="0" w:space="0" w:color="auto"/>
        <w:bottom w:val="none" w:sz="0" w:space="0" w:color="auto"/>
        <w:right w:val="none" w:sz="0" w:space="0" w:color="auto"/>
      </w:divBdr>
    </w:div>
    <w:div w:id="237836086">
      <w:bodyDiv w:val="1"/>
      <w:marLeft w:val="0"/>
      <w:marRight w:val="0"/>
      <w:marTop w:val="0"/>
      <w:marBottom w:val="0"/>
      <w:divBdr>
        <w:top w:val="none" w:sz="0" w:space="0" w:color="auto"/>
        <w:left w:val="none" w:sz="0" w:space="0" w:color="auto"/>
        <w:bottom w:val="none" w:sz="0" w:space="0" w:color="auto"/>
        <w:right w:val="none" w:sz="0" w:space="0" w:color="auto"/>
      </w:divBdr>
    </w:div>
    <w:div w:id="240337663">
      <w:bodyDiv w:val="1"/>
      <w:marLeft w:val="0"/>
      <w:marRight w:val="0"/>
      <w:marTop w:val="0"/>
      <w:marBottom w:val="0"/>
      <w:divBdr>
        <w:top w:val="none" w:sz="0" w:space="0" w:color="auto"/>
        <w:left w:val="none" w:sz="0" w:space="0" w:color="auto"/>
        <w:bottom w:val="none" w:sz="0" w:space="0" w:color="auto"/>
        <w:right w:val="none" w:sz="0" w:space="0" w:color="auto"/>
      </w:divBdr>
    </w:div>
    <w:div w:id="240919239">
      <w:bodyDiv w:val="1"/>
      <w:marLeft w:val="0"/>
      <w:marRight w:val="0"/>
      <w:marTop w:val="0"/>
      <w:marBottom w:val="0"/>
      <w:divBdr>
        <w:top w:val="none" w:sz="0" w:space="0" w:color="auto"/>
        <w:left w:val="none" w:sz="0" w:space="0" w:color="auto"/>
        <w:bottom w:val="none" w:sz="0" w:space="0" w:color="auto"/>
        <w:right w:val="none" w:sz="0" w:space="0" w:color="auto"/>
      </w:divBdr>
    </w:div>
    <w:div w:id="242179152">
      <w:bodyDiv w:val="1"/>
      <w:marLeft w:val="0"/>
      <w:marRight w:val="0"/>
      <w:marTop w:val="0"/>
      <w:marBottom w:val="0"/>
      <w:divBdr>
        <w:top w:val="none" w:sz="0" w:space="0" w:color="auto"/>
        <w:left w:val="none" w:sz="0" w:space="0" w:color="auto"/>
        <w:bottom w:val="none" w:sz="0" w:space="0" w:color="auto"/>
        <w:right w:val="none" w:sz="0" w:space="0" w:color="auto"/>
      </w:divBdr>
    </w:div>
    <w:div w:id="247084501">
      <w:bodyDiv w:val="1"/>
      <w:marLeft w:val="0"/>
      <w:marRight w:val="0"/>
      <w:marTop w:val="0"/>
      <w:marBottom w:val="0"/>
      <w:divBdr>
        <w:top w:val="none" w:sz="0" w:space="0" w:color="auto"/>
        <w:left w:val="none" w:sz="0" w:space="0" w:color="auto"/>
        <w:bottom w:val="none" w:sz="0" w:space="0" w:color="auto"/>
        <w:right w:val="none" w:sz="0" w:space="0" w:color="auto"/>
      </w:divBdr>
    </w:div>
    <w:div w:id="253786784">
      <w:bodyDiv w:val="1"/>
      <w:marLeft w:val="0"/>
      <w:marRight w:val="0"/>
      <w:marTop w:val="0"/>
      <w:marBottom w:val="0"/>
      <w:divBdr>
        <w:top w:val="none" w:sz="0" w:space="0" w:color="auto"/>
        <w:left w:val="none" w:sz="0" w:space="0" w:color="auto"/>
        <w:bottom w:val="none" w:sz="0" w:space="0" w:color="auto"/>
        <w:right w:val="none" w:sz="0" w:space="0" w:color="auto"/>
      </w:divBdr>
    </w:div>
    <w:div w:id="257103194">
      <w:bodyDiv w:val="1"/>
      <w:marLeft w:val="0"/>
      <w:marRight w:val="0"/>
      <w:marTop w:val="0"/>
      <w:marBottom w:val="0"/>
      <w:divBdr>
        <w:top w:val="none" w:sz="0" w:space="0" w:color="auto"/>
        <w:left w:val="none" w:sz="0" w:space="0" w:color="auto"/>
        <w:bottom w:val="none" w:sz="0" w:space="0" w:color="auto"/>
        <w:right w:val="none" w:sz="0" w:space="0" w:color="auto"/>
      </w:divBdr>
    </w:div>
    <w:div w:id="257565147">
      <w:bodyDiv w:val="1"/>
      <w:marLeft w:val="0"/>
      <w:marRight w:val="0"/>
      <w:marTop w:val="0"/>
      <w:marBottom w:val="0"/>
      <w:divBdr>
        <w:top w:val="none" w:sz="0" w:space="0" w:color="auto"/>
        <w:left w:val="none" w:sz="0" w:space="0" w:color="auto"/>
        <w:bottom w:val="none" w:sz="0" w:space="0" w:color="auto"/>
        <w:right w:val="none" w:sz="0" w:space="0" w:color="auto"/>
      </w:divBdr>
    </w:div>
    <w:div w:id="263659358">
      <w:bodyDiv w:val="1"/>
      <w:marLeft w:val="0"/>
      <w:marRight w:val="0"/>
      <w:marTop w:val="0"/>
      <w:marBottom w:val="0"/>
      <w:divBdr>
        <w:top w:val="none" w:sz="0" w:space="0" w:color="auto"/>
        <w:left w:val="none" w:sz="0" w:space="0" w:color="auto"/>
        <w:bottom w:val="none" w:sz="0" w:space="0" w:color="auto"/>
        <w:right w:val="none" w:sz="0" w:space="0" w:color="auto"/>
      </w:divBdr>
    </w:div>
    <w:div w:id="267321575">
      <w:bodyDiv w:val="1"/>
      <w:marLeft w:val="0"/>
      <w:marRight w:val="0"/>
      <w:marTop w:val="0"/>
      <w:marBottom w:val="0"/>
      <w:divBdr>
        <w:top w:val="none" w:sz="0" w:space="0" w:color="auto"/>
        <w:left w:val="none" w:sz="0" w:space="0" w:color="auto"/>
        <w:bottom w:val="none" w:sz="0" w:space="0" w:color="auto"/>
        <w:right w:val="none" w:sz="0" w:space="0" w:color="auto"/>
      </w:divBdr>
    </w:div>
    <w:div w:id="270476999">
      <w:bodyDiv w:val="1"/>
      <w:marLeft w:val="0"/>
      <w:marRight w:val="0"/>
      <w:marTop w:val="0"/>
      <w:marBottom w:val="0"/>
      <w:divBdr>
        <w:top w:val="none" w:sz="0" w:space="0" w:color="auto"/>
        <w:left w:val="none" w:sz="0" w:space="0" w:color="auto"/>
        <w:bottom w:val="none" w:sz="0" w:space="0" w:color="auto"/>
        <w:right w:val="none" w:sz="0" w:space="0" w:color="auto"/>
      </w:divBdr>
    </w:div>
    <w:div w:id="270555308">
      <w:bodyDiv w:val="1"/>
      <w:marLeft w:val="0"/>
      <w:marRight w:val="0"/>
      <w:marTop w:val="0"/>
      <w:marBottom w:val="0"/>
      <w:divBdr>
        <w:top w:val="none" w:sz="0" w:space="0" w:color="auto"/>
        <w:left w:val="none" w:sz="0" w:space="0" w:color="auto"/>
        <w:bottom w:val="none" w:sz="0" w:space="0" w:color="auto"/>
        <w:right w:val="none" w:sz="0" w:space="0" w:color="auto"/>
      </w:divBdr>
    </w:div>
    <w:div w:id="272635648">
      <w:bodyDiv w:val="1"/>
      <w:marLeft w:val="0"/>
      <w:marRight w:val="0"/>
      <w:marTop w:val="0"/>
      <w:marBottom w:val="0"/>
      <w:divBdr>
        <w:top w:val="none" w:sz="0" w:space="0" w:color="auto"/>
        <w:left w:val="none" w:sz="0" w:space="0" w:color="auto"/>
        <w:bottom w:val="none" w:sz="0" w:space="0" w:color="auto"/>
        <w:right w:val="none" w:sz="0" w:space="0" w:color="auto"/>
      </w:divBdr>
    </w:div>
    <w:div w:id="280383234">
      <w:bodyDiv w:val="1"/>
      <w:marLeft w:val="0"/>
      <w:marRight w:val="0"/>
      <w:marTop w:val="0"/>
      <w:marBottom w:val="0"/>
      <w:divBdr>
        <w:top w:val="none" w:sz="0" w:space="0" w:color="auto"/>
        <w:left w:val="none" w:sz="0" w:space="0" w:color="auto"/>
        <w:bottom w:val="none" w:sz="0" w:space="0" w:color="auto"/>
        <w:right w:val="none" w:sz="0" w:space="0" w:color="auto"/>
      </w:divBdr>
    </w:div>
    <w:div w:id="283005477">
      <w:bodyDiv w:val="1"/>
      <w:marLeft w:val="0"/>
      <w:marRight w:val="0"/>
      <w:marTop w:val="0"/>
      <w:marBottom w:val="0"/>
      <w:divBdr>
        <w:top w:val="none" w:sz="0" w:space="0" w:color="auto"/>
        <w:left w:val="none" w:sz="0" w:space="0" w:color="auto"/>
        <w:bottom w:val="none" w:sz="0" w:space="0" w:color="auto"/>
        <w:right w:val="none" w:sz="0" w:space="0" w:color="auto"/>
      </w:divBdr>
    </w:div>
    <w:div w:id="285700121">
      <w:bodyDiv w:val="1"/>
      <w:marLeft w:val="0"/>
      <w:marRight w:val="0"/>
      <w:marTop w:val="0"/>
      <w:marBottom w:val="0"/>
      <w:divBdr>
        <w:top w:val="none" w:sz="0" w:space="0" w:color="auto"/>
        <w:left w:val="none" w:sz="0" w:space="0" w:color="auto"/>
        <w:bottom w:val="none" w:sz="0" w:space="0" w:color="auto"/>
        <w:right w:val="none" w:sz="0" w:space="0" w:color="auto"/>
      </w:divBdr>
    </w:div>
    <w:div w:id="288318644">
      <w:bodyDiv w:val="1"/>
      <w:marLeft w:val="0"/>
      <w:marRight w:val="0"/>
      <w:marTop w:val="0"/>
      <w:marBottom w:val="0"/>
      <w:divBdr>
        <w:top w:val="none" w:sz="0" w:space="0" w:color="auto"/>
        <w:left w:val="none" w:sz="0" w:space="0" w:color="auto"/>
        <w:bottom w:val="none" w:sz="0" w:space="0" w:color="auto"/>
        <w:right w:val="none" w:sz="0" w:space="0" w:color="auto"/>
      </w:divBdr>
    </w:div>
    <w:div w:id="291906921">
      <w:bodyDiv w:val="1"/>
      <w:marLeft w:val="0"/>
      <w:marRight w:val="0"/>
      <w:marTop w:val="0"/>
      <w:marBottom w:val="0"/>
      <w:divBdr>
        <w:top w:val="none" w:sz="0" w:space="0" w:color="auto"/>
        <w:left w:val="none" w:sz="0" w:space="0" w:color="auto"/>
        <w:bottom w:val="none" w:sz="0" w:space="0" w:color="auto"/>
        <w:right w:val="none" w:sz="0" w:space="0" w:color="auto"/>
      </w:divBdr>
    </w:div>
    <w:div w:id="304894500">
      <w:bodyDiv w:val="1"/>
      <w:marLeft w:val="0"/>
      <w:marRight w:val="0"/>
      <w:marTop w:val="0"/>
      <w:marBottom w:val="0"/>
      <w:divBdr>
        <w:top w:val="none" w:sz="0" w:space="0" w:color="auto"/>
        <w:left w:val="none" w:sz="0" w:space="0" w:color="auto"/>
        <w:bottom w:val="none" w:sz="0" w:space="0" w:color="auto"/>
        <w:right w:val="none" w:sz="0" w:space="0" w:color="auto"/>
      </w:divBdr>
    </w:div>
    <w:div w:id="305403227">
      <w:bodyDiv w:val="1"/>
      <w:marLeft w:val="0"/>
      <w:marRight w:val="0"/>
      <w:marTop w:val="0"/>
      <w:marBottom w:val="0"/>
      <w:divBdr>
        <w:top w:val="none" w:sz="0" w:space="0" w:color="auto"/>
        <w:left w:val="none" w:sz="0" w:space="0" w:color="auto"/>
        <w:bottom w:val="none" w:sz="0" w:space="0" w:color="auto"/>
        <w:right w:val="none" w:sz="0" w:space="0" w:color="auto"/>
      </w:divBdr>
    </w:div>
    <w:div w:id="315572452">
      <w:bodyDiv w:val="1"/>
      <w:marLeft w:val="0"/>
      <w:marRight w:val="0"/>
      <w:marTop w:val="0"/>
      <w:marBottom w:val="0"/>
      <w:divBdr>
        <w:top w:val="none" w:sz="0" w:space="0" w:color="auto"/>
        <w:left w:val="none" w:sz="0" w:space="0" w:color="auto"/>
        <w:bottom w:val="none" w:sz="0" w:space="0" w:color="auto"/>
        <w:right w:val="none" w:sz="0" w:space="0" w:color="auto"/>
      </w:divBdr>
    </w:div>
    <w:div w:id="322782620">
      <w:bodyDiv w:val="1"/>
      <w:marLeft w:val="0"/>
      <w:marRight w:val="0"/>
      <w:marTop w:val="0"/>
      <w:marBottom w:val="0"/>
      <w:divBdr>
        <w:top w:val="none" w:sz="0" w:space="0" w:color="auto"/>
        <w:left w:val="none" w:sz="0" w:space="0" w:color="auto"/>
        <w:bottom w:val="none" w:sz="0" w:space="0" w:color="auto"/>
        <w:right w:val="none" w:sz="0" w:space="0" w:color="auto"/>
      </w:divBdr>
    </w:div>
    <w:div w:id="324549291">
      <w:bodyDiv w:val="1"/>
      <w:marLeft w:val="0"/>
      <w:marRight w:val="0"/>
      <w:marTop w:val="0"/>
      <w:marBottom w:val="0"/>
      <w:divBdr>
        <w:top w:val="none" w:sz="0" w:space="0" w:color="auto"/>
        <w:left w:val="none" w:sz="0" w:space="0" w:color="auto"/>
        <w:bottom w:val="none" w:sz="0" w:space="0" w:color="auto"/>
        <w:right w:val="none" w:sz="0" w:space="0" w:color="auto"/>
      </w:divBdr>
    </w:div>
    <w:div w:id="325086598">
      <w:bodyDiv w:val="1"/>
      <w:marLeft w:val="0"/>
      <w:marRight w:val="0"/>
      <w:marTop w:val="0"/>
      <w:marBottom w:val="0"/>
      <w:divBdr>
        <w:top w:val="none" w:sz="0" w:space="0" w:color="auto"/>
        <w:left w:val="none" w:sz="0" w:space="0" w:color="auto"/>
        <w:bottom w:val="none" w:sz="0" w:space="0" w:color="auto"/>
        <w:right w:val="none" w:sz="0" w:space="0" w:color="auto"/>
      </w:divBdr>
    </w:div>
    <w:div w:id="328876159">
      <w:bodyDiv w:val="1"/>
      <w:marLeft w:val="0"/>
      <w:marRight w:val="0"/>
      <w:marTop w:val="0"/>
      <w:marBottom w:val="0"/>
      <w:divBdr>
        <w:top w:val="none" w:sz="0" w:space="0" w:color="auto"/>
        <w:left w:val="none" w:sz="0" w:space="0" w:color="auto"/>
        <w:bottom w:val="none" w:sz="0" w:space="0" w:color="auto"/>
        <w:right w:val="none" w:sz="0" w:space="0" w:color="auto"/>
      </w:divBdr>
    </w:div>
    <w:div w:id="332269413">
      <w:bodyDiv w:val="1"/>
      <w:marLeft w:val="0"/>
      <w:marRight w:val="0"/>
      <w:marTop w:val="0"/>
      <w:marBottom w:val="0"/>
      <w:divBdr>
        <w:top w:val="none" w:sz="0" w:space="0" w:color="auto"/>
        <w:left w:val="none" w:sz="0" w:space="0" w:color="auto"/>
        <w:bottom w:val="none" w:sz="0" w:space="0" w:color="auto"/>
        <w:right w:val="none" w:sz="0" w:space="0" w:color="auto"/>
      </w:divBdr>
    </w:div>
    <w:div w:id="332413784">
      <w:bodyDiv w:val="1"/>
      <w:marLeft w:val="0"/>
      <w:marRight w:val="0"/>
      <w:marTop w:val="0"/>
      <w:marBottom w:val="0"/>
      <w:divBdr>
        <w:top w:val="none" w:sz="0" w:space="0" w:color="auto"/>
        <w:left w:val="none" w:sz="0" w:space="0" w:color="auto"/>
        <w:bottom w:val="none" w:sz="0" w:space="0" w:color="auto"/>
        <w:right w:val="none" w:sz="0" w:space="0" w:color="auto"/>
      </w:divBdr>
    </w:div>
    <w:div w:id="340936085">
      <w:bodyDiv w:val="1"/>
      <w:marLeft w:val="0"/>
      <w:marRight w:val="0"/>
      <w:marTop w:val="0"/>
      <w:marBottom w:val="0"/>
      <w:divBdr>
        <w:top w:val="none" w:sz="0" w:space="0" w:color="auto"/>
        <w:left w:val="none" w:sz="0" w:space="0" w:color="auto"/>
        <w:bottom w:val="none" w:sz="0" w:space="0" w:color="auto"/>
        <w:right w:val="none" w:sz="0" w:space="0" w:color="auto"/>
      </w:divBdr>
    </w:div>
    <w:div w:id="349642189">
      <w:bodyDiv w:val="1"/>
      <w:marLeft w:val="0"/>
      <w:marRight w:val="0"/>
      <w:marTop w:val="0"/>
      <w:marBottom w:val="0"/>
      <w:divBdr>
        <w:top w:val="none" w:sz="0" w:space="0" w:color="auto"/>
        <w:left w:val="none" w:sz="0" w:space="0" w:color="auto"/>
        <w:bottom w:val="none" w:sz="0" w:space="0" w:color="auto"/>
        <w:right w:val="none" w:sz="0" w:space="0" w:color="auto"/>
      </w:divBdr>
    </w:div>
    <w:div w:id="350112609">
      <w:bodyDiv w:val="1"/>
      <w:marLeft w:val="0"/>
      <w:marRight w:val="0"/>
      <w:marTop w:val="0"/>
      <w:marBottom w:val="0"/>
      <w:divBdr>
        <w:top w:val="none" w:sz="0" w:space="0" w:color="auto"/>
        <w:left w:val="none" w:sz="0" w:space="0" w:color="auto"/>
        <w:bottom w:val="none" w:sz="0" w:space="0" w:color="auto"/>
        <w:right w:val="none" w:sz="0" w:space="0" w:color="auto"/>
      </w:divBdr>
    </w:div>
    <w:div w:id="362904409">
      <w:bodyDiv w:val="1"/>
      <w:marLeft w:val="0"/>
      <w:marRight w:val="0"/>
      <w:marTop w:val="0"/>
      <w:marBottom w:val="0"/>
      <w:divBdr>
        <w:top w:val="none" w:sz="0" w:space="0" w:color="auto"/>
        <w:left w:val="none" w:sz="0" w:space="0" w:color="auto"/>
        <w:bottom w:val="none" w:sz="0" w:space="0" w:color="auto"/>
        <w:right w:val="none" w:sz="0" w:space="0" w:color="auto"/>
      </w:divBdr>
    </w:div>
    <w:div w:id="363798028">
      <w:bodyDiv w:val="1"/>
      <w:marLeft w:val="0"/>
      <w:marRight w:val="0"/>
      <w:marTop w:val="0"/>
      <w:marBottom w:val="0"/>
      <w:divBdr>
        <w:top w:val="none" w:sz="0" w:space="0" w:color="auto"/>
        <w:left w:val="none" w:sz="0" w:space="0" w:color="auto"/>
        <w:bottom w:val="none" w:sz="0" w:space="0" w:color="auto"/>
        <w:right w:val="none" w:sz="0" w:space="0" w:color="auto"/>
      </w:divBdr>
    </w:div>
    <w:div w:id="368067140">
      <w:bodyDiv w:val="1"/>
      <w:marLeft w:val="0"/>
      <w:marRight w:val="0"/>
      <w:marTop w:val="0"/>
      <w:marBottom w:val="0"/>
      <w:divBdr>
        <w:top w:val="none" w:sz="0" w:space="0" w:color="auto"/>
        <w:left w:val="none" w:sz="0" w:space="0" w:color="auto"/>
        <w:bottom w:val="none" w:sz="0" w:space="0" w:color="auto"/>
        <w:right w:val="none" w:sz="0" w:space="0" w:color="auto"/>
      </w:divBdr>
    </w:div>
    <w:div w:id="371421218">
      <w:bodyDiv w:val="1"/>
      <w:marLeft w:val="0"/>
      <w:marRight w:val="0"/>
      <w:marTop w:val="0"/>
      <w:marBottom w:val="0"/>
      <w:divBdr>
        <w:top w:val="none" w:sz="0" w:space="0" w:color="auto"/>
        <w:left w:val="none" w:sz="0" w:space="0" w:color="auto"/>
        <w:bottom w:val="none" w:sz="0" w:space="0" w:color="auto"/>
        <w:right w:val="none" w:sz="0" w:space="0" w:color="auto"/>
      </w:divBdr>
    </w:div>
    <w:div w:id="374544960">
      <w:bodyDiv w:val="1"/>
      <w:marLeft w:val="0"/>
      <w:marRight w:val="0"/>
      <w:marTop w:val="0"/>
      <w:marBottom w:val="0"/>
      <w:divBdr>
        <w:top w:val="none" w:sz="0" w:space="0" w:color="auto"/>
        <w:left w:val="none" w:sz="0" w:space="0" w:color="auto"/>
        <w:bottom w:val="none" w:sz="0" w:space="0" w:color="auto"/>
        <w:right w:val="none" w:sz="0" w:space="0" w:color="auto"/>
      </w:divBdr>
    </w:div>
    <w:div w:id="379211129">
      <w:bodyDiv w:val="1"/>
      <w:marLeft w:val="0"/>
      <w:marRight w:val="0"/>
      <w:marTop w:val="0"/>
      <w:marBottom w:val="0"/>
      <w:divBdr>
        <w:top w:val="none" w:sz="0" w:space="0" w:color="auto"/>
        <w:left w:val="none" w:sz="0" w:space="0" w:color="auto"/>
        <w:bottom w:val="none" w:sz="0" w:space="0" w:color="auto"/>
        <w:right w:val="none" w:sz="0" w:space="0" w:color="auto"/>
      </w:divBdr>
    </w:div>
    <w:div w:id="381250687">
      <w:bodyDiv w:val="1"/>
      <w:marLeft w:val="0"/>
      <w:marRight w:val="0"/>
      <w:marTop w:val="0"/>
      <w:marBottom w:val="0"/>
      <w:divBdr>
        <w:top w:val="none" w:sz="0" w:space="0" w:color="auto"/>
        <w:left w:val="none" w:sz="0" w:space="0" w:color="auto"/>
        <w:bottom w:val="none" w:sz="0" w:space="0" w:color="auto"/>
        <w:right w:val="none" w:sz="0" w:space="0" w:color="auto"/>
      </w:divBdr>
    </w:div>
    <w:div w:id="385180770">
      <w:bodyDiv w:val="1"/>
      <w:marLeft w:val="0"/>
      <w:marRight w:val="0"/>
      <w:marTop w:val="0"/>
      <w:marBottom w:val="0"/>
      <w:divBdr>
        <w:top w:val="none" w:sz="0" w:space="0" w:color="auto"/>
        <w:left w:val="none" w:sz="0" w:space="0" w:color="auto"/>
        <w:bottom w:val="none" w:sz="0" w:space="0" w:color="auto"/>
        <w:right w:val="none" w:sz="0" w:space="0" w:color="auto"/>
      </w:divBdr>
    </w:div>
    <w:div w:id="389229478">
      <w:bodyDiv w:val="1"/>
      <w:marLeft w:val="0"/>
      <w:marRight w:val="0"/>
      <w:marTop w:val="0"/>
      <w:marBottom w:val="0"/>
      <w:divBdr>
        <w:top w:val="none" w:sz="0" w:space="0" w:color="auto"/>
        <w:left w:val="none" w:sz="0" w:space="0" w:color="auto"/>
        <w:bottom w:val="none" w:sz="0" w:space="0" w:color="auto"/>
        <w:right w:val="none" w:sz="0" w:space="0" w:color="auto"/>
      </w:divBdr>
    </w:div>
    <w:div w:id="391655001">
      <w:bodyDiv w:val="1"/>
      <w:marLeft w:val="0"/>
      <w:marRight w:val="0"/>
      <w:marTop w:val="0"/>
      <w:marBottom w:val="0"/>
      <w:divBdr>
        <w:top w:val="none" w:sz="0" w:space="0" w:color="auto"/>
        <w:left w:val="none" w:sz="0" w:space="0" w:color="auto"/>
        <w:bottom w:val="none" w:sz="0" w:space="0" w:color="auto"/>
        <w:right w:val="none" w:sz="0" w:space="0" w:color="auto"/>
      </w:divBdr>
    </w:div>
    <w:div w:id="396974433">
      <w:bodyDiv w:val="1"/>
      <w:marLeft w:val="0"/>
      <w:marRight w:val="0"/>
      <w:marTop w:val="0"/>
      <w:marBottom w:val="0"/>
      <w:divBdr>
        <w:top w:val="none" w:sz="0" w:space="0" w:color="auto"/>
        <w:left w:val="none" w:sz="0" w:space="0" w:color="auto"/>
        <w:bottom w:val="none" w:sz="0" w:space="0" w:color="auto"/>
        <w:right w:val="none" w:sz="0" w:space="0" w:color="auto"/>
      </w:divBdr>
    </w:div>
    <w:div w:id="397636655">
      <w:bodyDiv w:val="1"/>
      <w:marLeft w:val="0"/>
      <w:marRight w:val="0"/>
      <w:marTop w:val="0"/>
      <w:marBottom w:val="0"/>
      <w:divBdr>
        <w:top w:val="none" w:sz="0" w:space="0" w:color="auto"/>
        <w:left w:val="none" w:sz="0" w:space="0" w:color="auto"/>
        <w:bottom w:val="none" w:sz="0" w:space="0" w:color="auto"/>
        <w:right w:val="none" w:sz="0" w:space="0" w:color="auto"/>
      </w:divBdr>
    </w:div>
    <w:div w:id="400717723">
      <w:bodyDiv w:val="1"/>
      <w:marLeft w:val="0"/>
      <w:marRight w:val="0"/>
      <w:marTop w:val="0"/>
      <w:marBottom w:val="0"/>
      <w:divBdr>
        <w:top w:val="none" w:sz="0" w:space="0" w:color="auto"/>
        <w:left w:val="none" w:sz="0" w:space="0" w:color="auto"/>
        <w:bottom w:val="none" w:sz="0" w:space="0" w:color="auto"/>
        <w:right w:val="none" w:sz="0" w:space="0" w:color="auto"/>
      </w:divBdr>
    </w:div>
    <w:div w:id="401756287">
      <w:bodyDiv w:val="1"/>
      <w:marLeft w:val="0"/>
      <w:marRight w:val="0"/>
      <w:marTop w:val="0"/>
      <w:marBottom w:val="0"/>
      <w:divBdr>
        <w:top w:val="none" w:sz="0" w:space="0" w:color="auto"/>
        <w:left w:val="none" w:sz="0" w:space="0" w:color="auto"/>
        <w:bottom w:val="none" w:sz="0" w:space="0" w:color="auto"/>
        <w:right w:val="none" w:sz="0" w:space="0" w:color="auto"/>
      </w:divBdr>
    </w:div>
    <w:div w:id="402070565">
      <w:bodyDiv w:val="1"/>
      <w:marLeft w:val="0"/>
      <w:marRight w:val="0"/>
      <w:marTop w:val="0"/>
      <w:marBottom w:val="0"/>
      <w:divBdr>
        <w:top w:val="none" w:sz="0" w:space="0" w:color="auto"/>
        <w:left w:val="none" w:sz="0" w:space="0" w:color="auto"/>
        <w:bottom w:val="none" w:sz="0" w:space="0" w:color="auto"/>
        <w:right w:val="none" w:sz="0" w:space="0" w:color="auto"/>
      </w:divBdr>
    </w:div>
    <w:div w:id="406002321">
      <w:bodyDiv w:val="1"/>
      <w:marLeft w:val="0"/>
      <w:marRight w:val="0"/>
      <w:marTop w:val="0"/>
      <w:marBottom w:val="0"/>
      <w:divBdr>
        <w:top w:val="none" w:sz="0" w:space="0" w:color="auto"/>
        <w:left w:val="none" w:sz="0" w:space="0" w:color="auto"/>
        <w:bottom w:val="none" w:sz="0" w:space="0" w:color="auto"/>
        <w:right w:val="none" w:sz="0" w:space="0" w:color="auto"/>
      </w:divBdr>
    </w:div>
    <w:div w:id="413936212">
      <w:bodyDiv w:val="1"/>
      <w:marLeft w:val="0"/>
      <w:marRight w:val="0"/>
      <w:marTop w:val="0"/>
      <w:marBottom w:val="0"/>
      <w:divBdr>
        <w:top w:val="none" w:sz="0" w:space="0" w:color="auto"/>
        <w:left w:val="none" w:sz="0" w:space="0" w:color="auto"/>
        <w:bottom w:val="none" w:sz="0" w:space="0" w:color="auto"/>
        <w:right w:val="none" w:sz="0" w:space="0" w:color="auto"/>
      </w:divBdr>
    </w:div>
    <w:div w:id="418020304">
      <w:bodyDiv w:val="1"/>
      <w:marLeft w:val="0"/>
      <w:marRight w:val="0"/>
      <w:marTop w:val="0"/>
      <w:marBottom w:val="0"/>
      <w:divBdr>
        <w:top w:val="none" w:sz="0" w:space="0" w:color="auto"/>
        <w:left w:val="none" w:sz="0" w:space="0" w:color="auto"/>
        <w:bottom w:val="none" w:sz="0" w:space="0" w:color="auto"/>
        <w:right w:val="none" w:sz="0" w:space="0" w:color="auto"/>
      </w:divBdr>
    </w:div>
    <w:div w:id="430666025">
      <w:bodyDiv w:val="1"/>
      <w:marLeft w:val="0"/>
      <w:marRight w:val="0"/>
      <w:marTop w:val="0"/>
      <w:marBottom w:val="0"/>
      <w:divBdr>
        <w:top w:val="none" w:sz="0" w:space="0" w:color="auto"/>
        <w:left w:val="none" w:sz="0" w:space="0" w:color="auto"/>
        <w:bottom w:val="none" w:sz="0" w:space="0" w:color="auto"/>
        <w:right w:val="none" w:sz="0" w:space="0" w:color="auto"/>
      </w:divBdr>
    </w:div>
    <w:div w:id="436826915">
      <w:bodyDiv w:val="1"/>
      <w:marLeft w:val="0"/>
      <w:marRight w:val="0"/>
      <w:marTop w:val="0"/>
      <w:marBottom w:val="0"/>
      <w:divBdr>
        <w:top w:val="none" w:sz="0" w:space="0" w:color="auto"/>
        <w:left w:val="none" w:sz="0" w:space="0" w:color="auto"/>
        <w:bottom w:val="none" w:sz="0" w:space="0" w:color="auto"/>
        <w:right w:val="none" w:sz="0" w:space="0" w:color="auto"/>
      </w:divBdr>
    </w:div>
    <w:div w:id="438261471">
      <w:bodyDiv w:val="1"/>
      <w:marLeft w:val="0"/>
      <w:marRight w:val="0"/>
      <w:marTop w:val="0"/>
      <w:marBottom w:val="0"/>
      <w:divBdr>
        <w:top w:val="none" w:sz="0" w:space="0" w:color="auto"/>
        <w:left w:val="none" w:sz="0" w:space="0" w:color="auto"/>
        <w:bottom w:val="none" w:sz="0" w:space="0" w:color="auto"/>
        <w:right w:val="none" w:sz="0" w:space="0" w:color="auto"/>
      </w:divBdr>
    </w:div>
    <w:div w:id="439616282">
      <w:bodyDiv w:val="1"/>
      <w:marLeft w:val="0"/>
      <w:marRight w:val="0"/>
      <w:marTop w:val="0"/>
      <w:marBottom w:val="0"/>
      <w:divBdr>
        <w:top w:val="none" w:sz="0" w:space="0" w:color="auto"/>
        <w:left w:val="none" w:sz="0" w:space="0" w:color="auto"/>
        <w:bottom w:val="none" w:sz="0" w:space="0" w:color="auto"/>
        <w:right w:val="none" w:sz="0" w:space="0" w:color="auto"/>
      </w:divBdr>
    </w:div>
    <w:div w:id="446898953">
      <w:bodyDiv w:val="1"/>
      <w:marLeft w:val="0"/>
      <w:marRight w:val="0"/>
      <w:marTop w:val="0"/>
      <w:marBottom w:val="0"/>
      <w:divBdr>
        <w:top w:val="none" w:sz="0" w:space="0" w:color="auto"/>
        <w:left w:val="none" w:sz="0" w:space="0" w:color="auto"/>
        <w:bottom w:val="none" w:sz="0" w:space="0" w:color="auto"/>
        <w:right w:val="none" w:sz="0" w:space="0" w:color="auto"/>
      </w:divBdr>
    </w:div>
    <w:div w:id="457066679">
      <w:bodyDiv w:val="1"/>
      <w:marLeft w:val="0"/>
      <w:marRight w:val="0"/>
      <w:marTop w:val="0"/>
      <w:marBottom w:val="0"/>
      <w:divBdr>
        <w:top w:val="none" w:sz="0" w:space="0" w:color="auto"/>
        <w:left w:val="none" w:sz="0" w:space="0" w:color="auto"/>
        <w:bottom w:val="none" w:sz="0" w:space="0" w:color="auto"/>
        <w:right w:val="none" w:sz="0" w:space="0" w:color="auto"/>
      </w:divBdr>
    </w:div>
    <w:div w:id="457527339">
      <w:bodyDiv w:val="1"/>
      <w:marLeft w:val="0"/>
      <w:marRight w:val="0"/>
      <w:marTop w:val="0"/>
      <w:marBottom w:val="0"/>
      <w:divBdr>
        <w:top w:val="none" w:sz="0" w:space="0" w:color="auto"/>
        <w:left w:val="none" w:sz="0" w:space="0" w:color="auto"/>
        <w:bottom w:val="none" w:sz="0" w:space="0" w:color="auto"/>
        <w:right w:val="none" w:sz="0" w:space="0" w:color="auto"/>
      </w:divBdr>
    </w:div>
    <w:div w:id="458959676">
      <w:bodyDiv w:val="1"/>
      <w:marLeft w:val="0"/>
      <w:marRight w:val="0"/>
      <w:marTop w:val="0"/>
      <w:marBottom w:val="0"/>
      <w:divBdr>
        <w:top w:val="none" w:sz="0" w:space="0" w:color="auto"/>
        <w:left w:val="none" w:sz="0" w:space="0" w:color="auto"/>
        <w:bottom w:val="none" w:sz="0" w:space="0" w:color="auto"/>
        <w:right w:val="none" w:sz="0" w:space="0" w:color="auto"/>
      </w:divBdr>
    </w:div>
    <w:div w:id="463280816">
      <w:bodyDiv w:val="1"/>
      <w:marLeft w:val="0"/>
      <w:marRight w:val="0"/>
      <w:marTop w:val="0"/>
      <w:marBottom w:val="0"/>
      <w:divBdr>
        <w:top w:val="none" w:sz="0" w:space="0" w:color="auto"/>
        <w:left w:val="none" w:sz="0" w:space="0" w:color="auto"/>
        <w:bottom w:val="none" w:sz="0" w:space="0" w:color="auto"/>
        <w:right w:val="none" w:sz="0" w:space="0" w:color="auto"/>
      </w:divBdr>
    </w:div>
    <w:div w:id="470296434">
      <w:bodyDiv w:val="1"/>
      <w:marLeft w:val="0"/>
      <w:marRight w:val="0"/>
      <w:marTop w:val="0"/>
      <w:marBottom w:val="0"/>
      <w:divBdr>
        <w:top w:val="none" w:sz="0" w:space="0" w:color="auto"/>
        <w:left w:val="none" w:sz="0" w:space="0" w:color="auto"/>
        <w:bottom w:val="none" w:sz="0" w:space="0" w:color="auto"/>
        <w:right w:val="none" w:sz="0" w:space="0" w:color="auto"/>
      </w:divBdr>
    </w:div>
    <w:div w:id="471794237">
      <w:bodyDiv w:val="1"/>
      <w:marLeft w:val="0"/>
      <w:marRight w:val="0"/>
      <w:marTop w:val="0"/>
      <w:marBottom w:val="0"/>
      <w:divBdr>
        <w:top w:val="none" w:sz="0" w:space="0" w:color="auto"/>
        <w:left w:val="none" w:sz="0" w:space="0" w:color="auto"/>
        <w:bottom w:val="none" w:sz="0" w:space="0" w:color="auto"/>
        <w:right w:val="none" w:sz="0" w:space="0" w:color="auto"/>
      </w:divBdr>
    </w:div>
    <w:div w:id="472020497">
      <w:bodyDiv w:val="1"/>
      <w:marLeft w:val="0"/>
      <w:marRight w:val="0"/>
      <w:marTop w:val="0"/>
      <w:marBottom w:val="0"/>
      <w:divBdr>
        <w:top w:val="none" w:sz="0" w:space="0" w:color="auto"/>
        <w:left w:val="none" w:sz="0" w:space="0" w:color="auto"/>
        <w:bottom w:val="none" w:sz="0" w:space="0" w:color="auto"/>
        <w:right w:val="none" w:sz="0" w:space="0" w:color="auto"/>
      </w:divBdr>
    </w:div>
    <w:div w:id="473647062">
      <w:bodyDiv w:val="1"/>
      <w:marLeft w:val="0"/>
      <w:marRight w:val="0"/>
      <w:marTop w:val="0"/>
      <w:marBottom w:val="0"/>
      <w:divBdr>
        <w:top w:val="none" w:sz="0" w:space="0" w:color="auto"/>
        <w:left w:val="none" w:sz="0" w:space="0" w:color="auto"/>
        <w:bottom w:val="none" w:sz="0" w:space="0" w:color="auto"/>
        <w:right w:val="none" w:sz="0" w:space="0" w:color="auto"/>
      </w:divBdr>
    </w:div>
    <w:div w:id="474033992">
      <w:bodyDiv w:val="1"/>
      <w:marLeft w:val="0"/>
      <w:marRight w:val="0"/>
      <w:marTop w:val="0"/>
      <w:marBottom w:val="0"/>
      <w:divBdr>
        <w:top w:val="none" w:sz="0" w:space="0" w:color="auto"/>
        <w:left w:val="none" w:sz="0" w:space="0" w:color="auto"/>
        <w:bottom w:val="none" w:sz="0" w:space="0" w:color="auto"/>
        <w:right w:val="none" w:sz="0" w:space="0" w:color="auto"/>
      </w:divBdr>
    </w:div>
    <w:div w:id="474378275">
      <w:bodyDiv w:val="1"/>
      <w:marLeft w:val="0"/>
      <w:marRight w:val="0"/>
      <w:marTop w:val="0"/>
      <w:marBottom w:val="0"/>
      <w:divBdr>
        <w:top w:val="none" w:sz="0" w:space="0" w:color="auto"/>
        <w:left w:val="none" w:sz="0" w:space="0" w:color="auto"/>
        <w:bottom w:val="none" w:sz="0" w:space="0" w:color="auto"/>
        <w:right w:val="none" w:sz="0" w:space="0" w:color="auto"/>
      </w:divBdr>
    </w:div>
    <w:div w:id="476839964">
      <w:bodyDiv w:val="1"/>
      <w:marLeft w:val="0"/>
      <w:marRight w:val="0"/>
      <w:marTop w:val="0"/>
      <w:marBottom w:val="0"/>
      <w:divBdr>
        <w:top w:val="none" w:sz="0" w:space="0" w:color="auto"/>
        <w:left w:val="none" w:sz="0" w:space="0" w:color="auto"/>
        <w:bottom w:val="none" w:sz="0" w:space="0" w:color="auto"/>
        <w:right w:val="none" w:sz="0" w:space="0" w:color="auto"/>
      </w:divBdr>
    </w:div>
    <w:div w:id="477263396">
      <w:bodyDiv w:val="1"/>
      <w:marLeft w:val="0"/>
      <w:marRight w:val="0"/>
      <w:marTop w:val="0"/>
      <w:marBottom w:val="0"/>
      <w:divBdr>
        <w:top w:val="none" w:sz="0" w:space="0" w:color="auto"/>
        <w:left w:val="none" w:sz="0" w:space="0" w:color="auto"/>
        <w:bottom w:val="none" w:sz="0" w:space="0" w:color="auto"/>
        <w:right w:val="none" w:sz="0" w:space="0" w:color="auto"/>
      </w:divBdr>
    </w:div>
    <w:div w:id="480777283">
      <w:bodyDiv w:val="1"/>
      <w:marLeft w:val="0"/>
      <w:marRight w:val="0"/>
      <w:marTop w:val="0"/>
      <w:marBottom w:val="0"/>
      <w:divBdr>
        <w:top w:val="none" w:sz="0" w:space="0" w:color="auto"/>
        <w:left w:val="none" w:sz="0" w:space="0" w:color="auto"/>
        <w:bottom w:val="none" w:sz="0" w:space="0" w:color="auto"/>
        <w:right w:val="none" w:sz="0" w:space="0" w:color="auto"/>
      </w:divBdr>
    </w:div>
    <w:div w:id="484513048">
      <w:bodyDiv w:val="1"/>
      <w:marLeft w:val="0"/>
      <w:marRight w:val="0"/>
      <w:marTop w:val="0"/>
      <w:marBottom w:val="0"/>
      <w:divBdr>
        <w:top w:val="none" w:sz="0" w:space="0" w:color="auto"/>
        <w:left w:val="none" w:sz="0" w:space="0" w:color="auto"/>
        <w:bottom w:val="none" w:sz="0" w:space="0" w:color="auto"/>
        <w:right w:val="none" w:sz="0" w:space="0" w:color="auto"/>
      </w:divBdr>
    </w:div>
    <w:div w:id="484780904">
      <w:bodyDiv w:val="1"/>
      <w:marLeft w:val="0"/>
      <w:marRight w:val="0"/>
      <w:marTop w:val="0"/>
      <w:marBottom w:val="0"/>
      <w:divBdr>
        <w:top w:val="none" w:sz="0" w:space="0" w:color="auto"/>
        <w:left w:val="none" w:sz="0" w:space="0" w:color="auto"/>
        <w:bottom w:val="none" w:sz="0" w:space="0" w:color="auto"/>
        <w:right w:val="none" w:sz="0" w:space="0" w:color="auto"/>
      </w:divBdr>
    </w:div>
    <w:div w:id="494151958">
      <w:bodyDiv w:val="1"/>
      <w:marLeft w:val="0"/>
      <w:marRight w:val="0"/>
      <w:marTop w:val="0"/>
      <w:marBottom w:val="0"/>
      <w:divBdr>
        <w:top w:val="none" w:sz="0" w:space="0" w:color="auto"/>
        <w:left w:val="none" w:sz="0" w:space="0" w:color="auto"/>
        <w:bottom w:val="none" w:sz="0" w:space="0" w:color="auto"/>
        <w:right w:val="none" w:sz="0" w:space="0" w:color="auto"/>
      </w:divBdr>
    </w:div>
    <w:div w:id="496381093">
      <w:bodyDiv w:val="1"/>
      <w:marLeft w:val="0"/>
      <w:marRight w:val="0"/>
      <w:marTop w:val="0"/>
      <w:marBottom w:val="0"/>
      <w:divBdr>
        <w:top w:val="none" w:sz="0" w:space="0" w:color="auto"/>
        <w:left w:val="none" w:sz="0" w:space="0" w:color="auto"/>
        <w:bottom w:val="none" w:sz="0" w:space="0" w:color="auto"/>
        <w:right w:val="none" w:sz="0" w:space="0" w:color="auto"/>
      </w:divBdr>
    </w:div>
    <w:div w:id="503129881">
      <w:bodyDiv w:val="1"/>
      <w:marLeft w:val="0"/>
      <w:marRight w:val="0"/>
      <w:marTop w:val="0"/>
      <w:marBottom w:val="0"/>
      <w:divBdr>
        <w:top w:val="none" w:sz="0" w:space="0" w:color="auto"/>
        <w:left w:val="none" w:sz="0" w:space="0" w:color="auto"/>
        <w:bottom w:val="none" w:sz="0" w:space="0" w:color="auto"/>
        <w:right w:val="none" w:sz="0" w:space="0" w:color="auto"/>
      </w:divBdr>
    </w:div>
    <w:div w:id="505176246">
      <w:bodyDiv w:val="1"/>
      <w:marLeft w:val="0"/>
      <w:marRight w:val="0"/>
      <w:marTop w:val="0"/>
      <w:marBottom w:val="0"/>
      <w:divBdr>
        <w:top w:val="none" w:sz="0" w:space="0" w:color="auto"/>
        <w:left w:val="none" w:sz="0" w:space="0" w:color="auto"/>
        <w:bottom w:val="none" w:sz="0" w:space="0" w:color="auto"/>
        <w:right w:val="none" w:sz="0" w:space="0" w:color="auto"/>
      </w:divBdr>
    </w:div>
    <w:div w:id="506217193">
      <w:bodyDiv w:val="1"/>
      <w:marLeft w:val="0"/>
      <w:marRight w:val="0"/>
      <w:marTop w:val="0"/>
      <w:marBottom w:val="0"/>
      <w:divBdr>
        <w:top w:val="none" w:sz="0" w:space="0" w:color="auto"/>
        <w:left w:val="none" w:sz="0" w:space="0" w:color="auto"/>
        <w:bottom w:val="none" w:sz="0" w:space="0" w:color="auto"/>
        <w:right w:val="none" w:sz="0" w:space="0" w:color="auto"/>
      </w:divBdr>
    </w:div>
    <w:div w:id="507796569">
      <w:bodyDiv w:val="1"/>
      <w:marLeft w:val="0"/>
      <w:marRight w:val="0"/>
      <w:marTop w:val="0"/>
      <w:marBottom w:val="0"/>
      <w:divBdr>
        <w:top w:val="none" w:sz="0" w:space="0" w:color="auto"/>
        <w:left w:val="none" w:sz="0" w:space="0" w:color="auto"/>
        <w:bottom w:val="none" w:sz="0" w:space="0" w:color="auto"/>
        <w:right w:val="none" w:sz="0" w:space="0" w:color="auto"/>
      </w:divBdr>
    </w:div>
    <w:div w:id="513155036">
      <w:bodyDiv w:val="1"/>
      <w:marLeft w:val="0"/>
      <w:marRight w:val="0"/>
      <w:marTop w:val="0"/>
      <w:marBottom w:val="0"/>
      <w:divBdr>
        <w:top w:val="none" w:sz="0" w:space="0" w:color="auto"/>
        <w:left w:val="none" w:sz="0" w:space="0" w:color="auto"/>
        <w:bottom w:val="none" w:sz="0" w:space="0" w:color="auto"/>
        <w:right w:val="none" w:sz="0" w:space="0" w:color="auto"/>
      </w:divBdr>
    </w:div>
    <w:div w:id="513420621">
      <w:bodyDiv w:val="1"/>
      <w:marLeft w:val="0"/>
      <w:marRight w:val="0"/>
      <w:marTop w:val="0"/>
      <w:marBottom w:val="0"/>
      <w:divBdr>
        <w:top w:val="none" w:sz="0" w:space="0" w:color="auto"/>
        <w:left w:val="none" w:sz="0" w:space="0" w:color="auto"/>
        <w:bottom w:val="none" w:sz="0" w:space="0" w:color="auto"/>
        <w:right w:val="none" w:sz="0" w:space="0" w:color="auto"/>
      </w:divBdr>
    </w:div>
    <w:div w:id="524906213">
      <w:bodyDiv w:val="1"/>
      <w:marLeft w:val="0"/>
      <w:marRight w:val="0"/>
      <w:marTop w:val="0"/>
      <w:marBottom w:val="0"/>
      <w:divBdr>
        <w:top w:val="none" w:sz="0" w:space="0" w:color="auto"/>
        <w:left w:val="none" w:sz="0" w:space="0" w:color="auto"/>
        <w:bottom w:val="none" w:sz="0" w:space="0" w:color="auto"/>
        <w:right w:val="none" w:sz="0" w:space="0" w:color="auto"/>
      </w:divBdr>
    </w:div>
    <w:div w:id="528027532">
      <w:bodyDiv w:val="1"/>
      <w:marLeft w:val="0"/>
      <w:marRight w:val="0"/>
      <w:marTop w:val="0"/>
      <w:marBottom w:val="0"/>
      <w:divBdr>
        <w:top w:val="none" w:sz="0" w:space="0" w:color="auto"/>
        <w:left w:val="none" w:sz="0" w:space="0" w:color="auto"/>
        <w:bottom w:val="none" w:sz="0" w:space="0" w:color="auto"/>
        <w:right w:val="none" w:sz="0" w:space="0" w:color="auto"/>
      </w:divBdr>
    </w:div>
    <w:div w:id="528761028">
      <w:bodyDiv w:val="1"/>
      <w:marLeft w:val="0"/>
      <w:marRight w:val="0"/>
      <w:marTop w:val="0"/>
      <w:marBottom w:val="0"/>
      <w:divBdr>
        <w:top w:val="none" w:sz="0" w:space="0" w:color="auto"/>
        <w:left w:val="none" w:sz="0" w:space="0" w:color="auto"/>
        <w:bottom w:val="none" w:sz="0" w:space="0" w:color="auto"/>
        <w:right w:val="none" w:sz="0" w:space="0" w:color="auto"/>
      </w:divBdr>
    </w:div>
    <w:div w:id="534730548">
      <w:bodyDiv w:val="1"/>
      <w:marLeft w:val="0"/>
      <w:marRight w:val="0"/>
      <w:marTop w:val="0"/>
      <w:marBottom w:val="0"/>
      <w:divBdr>
        <w:top w:val="none" w:sz="0" w:space="0" w:color="auto"/>
        <w:left w:val="none" w:sz="0" w:space="0" w:color="auto"/>
        <w:bottom w:val="none" w:sz="0" w:space="0" w:color="auto"/>
        <w:right w:val="none" w:sz="0" w:space="0" w:color="auto"/>
      </w:divBdr>
    </w:div>
    <w:div w:id="537282065">
      <w:bodyDiv w:val="1"/>
      <w:marLeft w:val="0"/>
      <w:marRight w:val="0"/>
      <w:marTop w:val="0"/>
      <w:marBottom w:val="0"/>
      <w:divBdr>
        <w:top w:val="none" w:sz="0" w:space="0" w:color="auto"/>
        <w:left w:val="none" w:sz="0" w:space="0" w:color="auto"/>
        <w:bottom w:val="none" w:sz="0" w:space="0" w:color="auto"/>
        <w:right w:val="none" w:sz="0" w:space="0" w:color="auto"/>
      </w:divBdr>
    </w:div>
    <w:div w:id="538401007">
      <w:bodyDiv w:val="1"/>
      <w:marLeft w:val="0"/>
      <w:marRight w:val="0"/>
      <w:marTop w:val="0"/>
      <w:marBottom w:val="0"/>
      <w:divBdr>
        <w:top w:val="none" w:sz="0" w:space="0" w:color="auto"/>
        <w:left w:val="none" w:sz="0" w:space="0" w:color="auto"/>
        <w:bottom w:val="none" w:sz="0" w:space="0" w:color="auto"/>
        <w:right w:val="none" w:sz="0" w:space="0" w:color="auto"/>
      </w:divBdr>
    </w:div>
    <w:div w:id="538973356">
      <w:bodyDiv w:val="1"/>
      <w:marLeft w:val="0"/>
      <w:marRight w:val="0"/>
      <w:marTop w:val="0"/>
      <w:marBottom w:val="0"/>
      <w:divBdr>
        <w:top w:val="none" w:sz="0" w:space="0" w:color="auto"/>
        <w:left w:val="none" w:sz="0" w:space="0" w:color="auto"/>
        <w:bottom w:val="none" w:sz="0" w:space="0" w:color="auto"/>
        <w:right w:val="none" w:sz="0" w:space="0" w:color="auto"/>
      </w:divBdr>
    </w:div>
    <w:div w:id="543248140">
      <w:bodyDiv w:val="1"/>
      <w:marLeft w:val="0"/>
      <w:marRight w:val="0"/>
      <w:marTop w:val="0"/>
      <w:marBottom w:val="0"/>
      <w:divBdr>
        <w:top w:val="none" w:sz="0" w:space="0" w:color="auto"/>
        <w:left w:val="none" w:sz="0" w:space="0" w:color="auto"/>
        <w:bottom w:val="none" w:sz="0" w:space="0" w:color="auto"/>
        <w:right w:val="none" w:sz="0" w:space="0" w:color="auto"/>
      </w:divBdr>
    </w:div>
    <w:div w:id="543324606">
      <w:bodyDiv w:val="1"/>
      <w:marLeft w:val="0"/>
      <w:marRight w:val="0"/>
      <w:marTop w:val="0"/>
      <w:marBottom w:val="0"/>
      <w:divBdr>
        <w:top w:val="none" w:sz="0" w:space="0" w:color="auto"/>
        <w:left w:val="none" w:sz="0" w:space="0" w:color="auto"/>
        <w:bottom w:val="none" w:sz="0" w:space="0" w:color="auto"/>
        <w:right w:val="none" w:sz="0" w:space="0" w:color="auto"/>
      </w:divBdr>
    </w:div>
    <w:div w:id="547913102">
      <w:bodyDiv w:val="1"/>
      <w:marLeft w:val="0"/>
      <w:marRight w:val="0"/>
      <w:marTop w:val="0"/>
      <w:marBottom w:val="0"/>
      <w:divBdr>
        <w:top w:val="none" w:sz="0" w:space="0" w:color="auto"/>
        <w:left w:val="none" w:sz="0" w:space="0" w:color="auto"/>
        <w:bottom w:val="none" w:sz="0" w:space="0" w:color="auto"/>
        <w:right w:val="none" w:sz="0" w:space="0" w:color="auto"/>
      </w:divBdr>
    </w:div>
    <w:div w:id="548029449">
      <w:bodyDiv w:val="1"/>
      <w:marLeft w:val="0"/>
      <w:marRight w:val="0"/>
      <w:marTop w:val="0"/>
      <w:marBottom w:val="0"/>
      <w:divBdr>
        <w:top w:val="none" w:sz="0" w:space="0" w:color="auto"/>
        <w:left w:val="none" w:sz="0" w:space="0" w:color="auto"/>
        <w:bottom w:val="none" w:sz="0" w:space="0" w:color="auto"/>
        <w:right w:val="none" w:sz="0" w:space="0" w:color="auto"/>
      </w:divBdr>
    </w:div>
    <w:div w:id="549536216">
      <w:bodyDiv w:val="1"/>
      <w:marLeft w:val="0"/>
      <w:marRight w:val="0"/>
      <w:marTop w:val="0"/>
      <w:marBottom w:val="0"/>
      <w:divBdr>
        <w:top w:val="none" w:sz="0" w:space="0" w:color="auto"/>
        <w:left w:val="none" w:sz="0" w:space="0" w:color="auto"/>
        <w:bottom w:val="none" w:sz="0" w:space="0" w:color="auto"/>
        <w:right w:val="none" w:sz="0" w:space="0" w:color="auto"/>
      </w:divBdr>
    </w:div>
    <w:div w:id="562299597">
      <w:bodyDiv w:val="1"/>
      <w:marLeft w:val="0"/>
      <w:marRight w:val="0"/>
      <w:marTop w:val="0"/>
      <w:marBottom w:val="0"/>
      <w:divBdr>
        <w:top w:val="none" w:sz="0" w:space="0" w:color="auto"/>
        <w:left w:val="none" w:sz="0" w:space="0" w:color="auto"/>
        <w:bottom w:val="none" w:sz="0" w:space="0" w:color="auto"/>
        <w:right w:val="none" w:sz="0" w:space="0" w:color="auto"/>
      </w:divBdr>
    </w:div>
    <w:div w:id="563296530">
      <w:bodyDiv w:val="1"/>
      <w:marLeft w:val="0"/>
      <w:marRight w:val="0"/>
      <w:marTop w:val="0"/>
      <w:marBottom w:val="0"/>
      <w:divBdr>
        <w:top w:val="none" w:sz="0" w:space="0" w:color="auto"/>
        <w:left w:val="none" w:sz="0" w:space="0" w:color="auto"/>
        <w:bottom w:val="none" w:sz="0" w:space="0" w:color="auto"/>
        <w:right w:val="none" w:sz="0" w:space="0" w:color="auto"/>
      </w:divBdr>
    </w:div>
    <w:div w:id="570191391">
      <w:bodyDiv w:val="1"/>
      <w:marLeft w:val="0"/>
      <w:marRight w:val="0"/>
      <w:marTop w:val="0"/>
      <w:marBottom w:val="0"/>
      <w:divBdr>
        <w:top w:val="none" w:sz="0" w:space="0" w:color="auto"/>
        <w:left w:val="none" w:sz="0" w:space="0" w:color="auto"/>
        <w:bottom w:val="none" w:sz="0" w:space="0" w:color="auto"/>
        <w:right w:val="none" w:sz="0" w:space="0" w:color="auto"/>
      </w:divBdr>
    </w:div>
    <w:div w:id="577978432">
      <w:bodyDiv w:val="1"/>
      <w:marLeft w:val="0"/>
      <w:marRight w:val="0"/>
      <w:marTop w:val="0"/>
      <w:marBottom w:val="0"/>
      <w:divBdr>
        <w:top w:val="none" w:sz="0" w:space="0" w:color="auto"/>
        <w:left w:val="none" w:sz="0" w:space="0" w:color="auto"/>
        <w:bottom w:val="none" w:sz="0" w:space="0" w:color="auto"/>
        <w:right w:val="none" w:sz="0" w:space="0" w:color="auto"/>
      </w:divBdr>
    </w:div>
    <w:div w:id="579680707">
      <w:bodyDiv w:val="1"/>
      <w:marLeft w:val="0"/>
      <w:marRight w:val="0"/>
      <w:marTop w:val="0"/>
      <w:marBottom w:val="0"/>
      <w:divBdr>
        <w:top w:val="none" w:sz="0" w:space="0" w:color="auto"/>
        <w:left w:val="none" w:sz="0" w:space="0" w:color="auto"/>
        <w:bottom w:val="none" w:sz="0" w:space="0" w:color="auto"/>
        <w:right w:val="none" w:sz="0" w:space="0" w:color="auto"/>
      </w:divBdr>
    </w:div>
    <w:div w:id="583683719">
      <w:bodyDiv w:val="1"/>
      <w:marLeft w:val="0"/>
      <w:marRight w:val="0"/>
      <w:marTop w:val="0"/>
      <w:marBottom w:val="0"/>
      <w:divBdr>
        <w:top w:val="none" w:sz="0" w:space="0" w:color="auto"/>
        <w:left w:val="none" w:sz="0" w:space="0" w:color="auto"/>
        <w:bottom w:val="none" w:sz="0" w:space="0" w:color="auto"/>
        <w:right w:val="none" w:sz="0" w:space="0" w:color="auto"/>
      </w:divBdr>
    </w:div>
    <w:div w:id="586496792">
      <w:bodyDiv w:val="1"/>
      <w:marLeft w:val="0"/>
      <w:marRight w:val="0"/>
      <w:marTop w:val="0"/>
      <w:marBottom w:val="0"/>
      <w:divBdr>
        <w:top w:val="none" w:sz="0" w:space="0" w:color="auto"/>
        <w:left w:val="none" w:sz="0" w:space="0" w:color="auto"/>
        <w:bottom w:val="none" w:sz="0" w:space="0" w:color="auto"/>
        <w:right w:val="none" w:sz="0" w:space="0" w:color="auto"/>
      </w:divBdr>
    </w:div>
    <w:div w:id="591012956">
      <w:bodyDiv w:val="1"/>
      <w:marLeft w:val="0"/>
      <w:marRight w:val="0"/>
      <w:marTop w:val="0"/>
      <w:marBottom w:val="0"/>
      <w:divBdr>
        <w:top w:val="none" w:sz="0" w:space="0" w:color="auto"/>
        <w:left w:val="none" w:sz="0" w:space="0" w:color="auto"/>
        <w:bottom w:val="none" w:sz="0" w:space="0" w:color="auto"/>
        <w:right w:val="none" w:sz="0" w:space="0" w:color="auto"/>
      </w:divBdr>
    </w:div>
    <w:div w:id="596137761">
      <w:bodyDiv w:val="1"/>
      <w:marLeft w:val="0"/>
      <w:marRight w:val="0"/>
      <w:marTop w:val="0"/>
      <w:marBottom w:val="0"/>
      <w:divBdr>
        <w:top w:val="none" w:sz="0" w:space="0" w:color="auto"/>
        <w:left w:val="none" w:sz="0" w:space="0" w:color="auto"/>
        <w:bottom w:val="none" w:sz="0" w:space="0" w:color="auto"/>
        <w:right w:val="none" w:sz="0" w:space="0" w:color="auto"/>
      </w:divBdr>
    </w:div>
    <w:div w:id="596329255">
      <w:bodyDiv w:val="1"/>
      <w:marLeft w:val="0"/>
      <w:marRight w:val="0"/>
      <w:marTop w:val="0"/>
      <w:marBottom w:val="0"/>
      <w:divBdr>
        <w:top w:val="none" w:sz="0" w:space="0" w:color="auto"/>
        <w:left w:val="none" w:sz="0" w:space="0" w:color="auto"/>
        <w:bottom w:val="none" w:sz="0" w:space="0" w:color="auto"/>
        <w:right w:val="none" w:sz="0" w:space="0" w:color="auto"/>
      </w:divBdr>
    </w:div>
    <w:div w:id="596447484">
      <w:bodyDiv w:val="1"/>
      <w:marLeft w:val="0"/>
      <w:marRight w:val="0"/>
      <w:marTop w:val="0"/>
      <w:marBottom w:val="0"/>
      <w:divBdr>
        <w:top w:val="none" w:sz="0" w:space="0" w:color="auto"/>
        <w:left w:val="none" w:sz="0" w:space="0" w:color="auto"/>
        <w:bottom w:val="none" w:sz="0" w:space="0" w:color="auto"/>
        <w:right w:val="none" w:sz="0" w:space="0" w:color="auto"/>
      </w:divBdr>
    </w:div>
    <w:div w:id="599292872">
      <w:bodyDiv w:val="1"/>
      <w:marLeft w:val="0"/>
      <w:marRight w:val="0"/>
      <w:marTop w:val="0"/>
      <w:marBottom w:val="0"/>
      <w:divBdr>
        <w:top w:val="none" w:sz="0" w:space="0" w:color="auto"/>
        <w:left w:val="none" w:sz="0" w:space="0" w:color="auto"/>
        <w:bottom w:val="none" w:sz="0" w:space="0" w:color="auto"/>
        <w:right w:val="none" w:sz="0" w:space="0" w:color="auto"/>
      </w:divBdr>
    </w:div>
    <w:div w:id="606501385">
      <w:bodyDiv w:val="1"/>
      <w:marLeft w:val="0"/>
      <w:marRight w:val="0"/>
      <w:marTop w:val="0"/>
      <w:marBottom w:val="0"/>
      <w:divBdr>
        <w:top w:val="none" w:sz="0" w:space="0" w:color="auto"/>
        <w:left w:val="none" w:sz="0" w:space="0" w:color="auto"/>
        <w:bottom w:val="none" w:sz="0" w:space="0" w:color="auto"/>
        <w:right w:val="none" w:sz="0" w:space="0" w:color="auto"/>
      </w:divBdr>
    </w:div>
    <w:div w:id="615528493">
      <w:bodyDiv w:val="1"/>
      <w:marLeft w:val="0"/>
      <w:marRight w:val="0"/>
      <w:marTop w:val="0"/>
      <w:marBottom w:val="0"/>
      <w:divBdr>
        <w:top w:val="none" w:sz="0" w:space="0" w:color="auto"/>
        <w:left w:val="none" w:sz="0" w:space="0" w:color="auto"/>
        <w:bottom w:val="none" w:sz="0" w:space="0" w:color="auto"/>
        <w:right w:val="none" w:sz="0" w:space="0" w:color="auto"/>
      </w:divBdr>
    </w:div>
    <w:div w:id="626351675">
      <w:bodyDiv w:val="1"/>
      <w:marLeft w:val="0"/>
      <w:marRight w:val="0"/>
      <w:marTop w:val="0"/>
      <w:marBottom w:val="0"/>
      <w:divBdr>
        <w:top w:val="none" w:sz="0" w:space="0" w:color="auto"/>
        <w:left w:val="none" w:sz="0" w:space="0" w:color="auto"/>
        <w:bottom w:val="none" w:sz="0" w:space="0" w:color="auto"/>
        <w:right w:val="none" w:sz="0" w:space="0" w:color="auto"/>
      </w:divBdr>
    </w:div>
    <w:div w:id="627785151">
      <w:bodyDiv w:val="1"/>
      <w:marLeft w:val="0"/>
      <w:marRight w:val="0"/>
      <w:marTop w:val="0"/>
      <w:marBottom w:val="0"/>
      <w:divBdr>
        <w:top w:val="none" w:sz="0" w:space="0" w:color="auto"/>
        <w:left w:val="none" w:sz="0" w:space="0" w:color="auto"/>
        <w:bottom w:val="none" w:sz="0" w:space="0" w:color="auto"/>
        <w:right w:val="none" w:sz="0" w:space="0" w:color="auto"/>
      </w:divBdr>
    </w:div>
    <w:div w:id="636682885">
      <w:bodyDiv w:val="1"/>
      <w:marLeft w:val="0"/>
      <w:marRight w:val="0"/>
      <w:marTop w:val="0"/>
      <w:marBottom w:val="0"/>
      <w:divBdr>
        <w:top w:val="none" w:sz="0" w:space="0" w:color="auto"/>
        <w:left w:val="none" w:sz="0" w:space="0" w:color="auto"/>
        <w:bottom w:val="none" w:sz="0" w:space="0" w:color="auto"/>
        <w:right w:val="none" w:sz="0" w:space="0" w:color="auto"/>
      </w:divBdr>
    </w:div>
    <w:div w:id="645549641">
      <w:bodyDiv w:val="1"/>
      <w:marLeft w:val="0"/>
      <w:marRight w:val="0"/>
      <w:marTop w:val="0"/>
      <w:marBottom w:val="0"/>
      <w:divBdr>
        <w:top w:val="none" w:sz="0" w:space="0" w:color="auto"/>
        <w:left w:val="none" w:sz="0" w:space="0" w:color="auto"/>
        <w:bottom w:val="none" w:sz="0" w:space="0" w:color="auto"/>
        <w:right w:val="none" w:sz="0" w:space="0" w:color="auto"/>
      </w:divBdr>
    </w:div>
    <w:div w:id="647562888">
      <w:bodyDiv w:val="1"/>
      <w:marLeft w:val="0"/>
      <w:marRight w:val="0"/>
      <w:marTop w:val="0"/>
      <w:marBottom w:val="0"/>
      <w:divBdr>
        <w:top w:val="none" w:sz="0" w:space="0" w:color="auto"/>
        <w:left w:val="none" w:sz="0" w:space="0" w:color="auto"/>
        <w:bottom w:val="none" w:sz="0" w:space="0" w:color="auto"/>
        <w:right w:val="none" w:sz="0" w:space="0" w:color="auto"/>
      </w:divBdr>
    </w:div>
    <w:div w:id="652946907">
      <w:bodyDiv w:val="1"/>
      <w:marLeft w:val="0"/>
      <w:marRight w:val="0"/>
      <w:marTop w:val="0"/>
      <w:marBottom w:val="0"/>
      <w:divBdr>
        <w:top w:val="none" w:sz="0" w:space="0" w:color="auto"/>
        <w:left w:val="none" w:sz="0" w:space="0" w:color="auto"/>
        <w:bottom w:val="none" w:sz="0" w:space="0" w:color="auto"/>
        <w:right w:val="none" w:sz="0" w:space="0" w:color="auto"/>
      </w:divBdr>
      <w:divsChild>
        <w:div w:id="719786623">
          <w:marLeft w:val="0"/>
          <w:marRight w:val="0"/>
          <w:marTop w:val="0"/>
          <w:marBottom w:val="0"/>
          <w:divBdr>
            <w:top w:val="none" w:sz="0" w:space="0" w:color="auto"/>
            <w:left w:val="none" w:sz="0" w:space="0" w:color="auto"/>
            <w:bottom w:val="none" w:sz="0" w:space="0" w:color="auto"/>
            <w:right w:val="none" w:sz="0" w:space="0" w:color="auto"/>
          </w:divBdr>
          <w:divsChild>
            <w:div w:id="1991056140">
              <w:marLeft w:val="0"/>
              <w:marRight w:val="0"/>
              <w:marTop w:val="0"/>
              <w:marBottom w:val="0"/>
              <w:divBdr>
                <w:top w:val="none" w:sz="0" w:space="0" w:color="auto"/>
                <w:left w:val="none" w:sz="0" w:space="0" w:color="auto"/>
                <w:bottom w:val="none" w:sz="0" w:space="0" w:color="auto"/>
                <w:right w:val="none" w:sz="0" w:space="0" w:color="auto"/>
              </w:divBdr>
              <w:divsChild>
                <w:div w:id="568805220">
                  <w:marLeft w:val="0"/>
                  <w:marRight w:val="0"/>
                  <w:marTop w:val="0"/>
                  <w:marBottom w:val="0"/>
                  <w:divBdr>
                    <w:top w:val="none" w:sz="0" w:space="0" w:color="auto"/>
                    <w:left w:val="none" w:sz="0" w:space="0" w:color="auto"/>
                    <w:bottom w:val="none" w:sz="0" w:space="0" w:color="auto"/>
                    <w:right w:val="none" w:sz="0" w:space="0" w:color="auto"/>
                  </w:divBdr>
                  <w:divsChild>
                    <w:div w:id="1949653926">
                      <w:marLeft w:val="0"/>
                      <w:marRight w:val="0"/>
                      <w:marTop w:val="690"/>
                      <w:marBottom w:val="0"/>
                      <w:divBdr>
                        <w:top w:val="none" w:sz="0" w:space="0" w:color="auto"/>
                        <w:left w:val="none" w:sz="0" w:space="0" w:color="auto"/>
                        <w:bottom w:val="none" w:sz="0" w:space="0" w:color="auto"/>
                        <w:right w:val="none" w:sz="0" w:space="0" w:color="auto"/>
                      </w:divBdr>
                      <w:divsChild>
                        <w:div w:id="455409967">
                          <w:marLeft w:val="0"/>
                          <w:marRight w:val="0"/>
                          <w:marTop w:val="225"/>
                          <w:marBottom w:val="0"/>
                          <w:divBdr>
                            <w:top w:val="none" w:sz="0" w:space="0" w:color="auto"/>
                            <w:left w:val="none" w:sz="0" w:space="0" w:color="auto"/>
                            <w:bottom w:val="none" w:sz="0" w:space="0" w:color="auto"/>
                            <w:right w:val="none" w:sz="0" w:space="0" w:color="auto"/>
                          </w:divBdr>
                          <w:divsChild>
                            <w:div w:id="446315298">
                              <w:marLeft w:val="0"/>
                              <w:marRight w:val="0"/>
                              <w:marTop w:val="0"/>
                              <w:marBottom w:val="0"/>
                              <w:divBdr>
                                <w:top w:val="none" w:sz="0" w:space="0" w:color="auto"/>
                                <w:left w:val="none" w:sz="0" w:space="0" w:color="auto"/>
                                <w:bottom w:val="none" w:sz="0" w:space="0" w:color="auto"/>
                                <w:right w:val="none" w:sz="0" w:space="0" w:color="auto"/>
                              </w:divBdr>
                              <w:divsChild>
                                <w:div w:id="171823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455488">
      <w:bodyDiv w:val="1"/>
      <w:marLeft w:val="0"/>
      <w:marRight w:val="0"/>
      <w:marTop w:val="0"/>
      <w:marBottom w:val="0"/>
      <w:divBdr>
        <w:top w:val="none" w:sz="0" w:space="0" w:color="auto"/>
        <w:left w:val="none" w:sz="0" w:space="0" w:color="auto"/>
        <w:bottom w:val="none" w:sz="0" w:space="0" w:color="auto"/>
        <w:right w:val="none" w:sz="0" w:space="0" w:color="auto"/>
      </w:divBdr>
    </w:div>
    <w:div w:id="657226260">
      <w:bodyDiv w:val="1"/>
      <w:marLeft w:val="0"/>
      <w:marRight w:val="0"/>
      <w:marTop w:val="0"/>
      <w:marBottom w:val="0"/>
      <w:divBdr>
        <w:top w:val="none" w:sz="0" w:space="0" w:color="auto"/>
        <w:left w:val="none" w:sz="0" w:space="0" w:color="auto"/>
        <w:bottom w:val="none" w:sz="0" w:space="0" w:color="auto"/>
        <w:right w:val="none" w:sz="0" w:space="0" w:color="auto"/>
      </w:divBdr>
    </w:div>
    <w:div w:id="658852328">
      <w:bodyDiv w:val="1"/>
      <w:marLeft w:val="0"/>
      <w:marRight w:val="0"/>
      <w:marTop w:val="0"/>
      <w:marBottom w:val="0"/>
      <w:divBdr>
        <w:top w:val="none" w:sz="0" w:space="0" w:color="auto"/>
        <w:left w:val="none" w:sz="0" w:space="0" w:color="auto"/>
        <w:bottom w:val="none" w:sz="0" w:space="0" w:color="auto"/>
        <w:right w:val="none" w:sz="0" w:space="0" w:color="auto"/>
      </w:divBdr>
    </w:div>
    <w:div w:id="665129320">
      <w:bodyDiv w:val="1"/>
      <w:marLeft w:val="0"/>
      <w:marRight w:val="0"/>
      <w:marTop w:val="0"/>
      <w:marBottom w:val="0"/>
      <w:divBdr>
        <w:top w:val="none" w:sz="0" w:space="0" w:color="auto"/>
        <w:left w:val="none" w:sz="0" w:space="0" w:color="auto"/>
        <w:bottom w:val="none" w:sz="0" w:space="0" w:color="auto"/>
        <w:right w:val="none" w:sz="0" w:space="0" w:color="auto"/>
      </w:divBdr>
    </w:div>
    <w:div w:id="667171398">
      <w:bodyDiv w:val="1"/>
      <w:marLeft w:val="0"/>
      <w:marRight w:val="0"/>
      <w:marTop w:val="0"/>
      <w:marBottom w:val="0"/>
      <w:divBdr>
        <w:top w:val="none" w:sz="0" w:space="0" w:color="auto"/>
        <w:left w:val="none" w:sz="0" w:space="0" w:color="auto"/>
        <w:bottom w:val="none" w:sz="0" w:space="0" w:color="auto"/>
        <w:right w:val="none" w:sz="0" w:space="0" w:color="auto"/>
      </w:divBdr>
    </w:div>
    <w:div w:id="670135494">
      <w:bodyDiv w:val="1"/>
      <w:marLeft w:val="0"/>
      <w:marRight w:val="0"/>
      <w:marTop w:val="0"/>
      <w:marBottom w:val="0"/>
      <w:divBdr>
        <w:top w:val="none" w:sz="0" w:space="0" w:color="auto"/>
        <w:left w:val="none" w:sz="0" w:space="0" w:color="auto"/>
        <w:bottom w:val="none" w:sz="0" w:space="0" w:color="auto"/>
        <w:right w:val="none" w:sz="0" w:space="0" w:color="auto"/>
      </w:divBdr>
    </w:div>
    <w:div w:id="670714963">
      <w:bodyDiv w:val="1"/>
      <w:marLeft w:val="0"/>
      <w:marRight w:val="0"/>
      <w:marTop w:val="0"/>
      <w:marBottom w:val="0"/>
      <w:divBdr>
        <w:top w:val="none" w:sz="0" w:space="0" w:color="auto"/>
        <w:left w:val="none" w:sz="0" w:space="0" w:color="auto"/>
        <w:bottom w:val="none" w:sz="0" w:space="0" w:color="auto"/>
        <w:right w:val="none" w:sz="0" w:space="0" w:color="auto"/>
      </w:divBdr>
    </w:div>
    <w:div w:id="673721949">
      <w:bodyDiv w:val="1"/>
      <w:marLeft w:val="0"/>
      <w:marRight w:val="0"/>
      <w:marTop w:val="0"/>
      <w:marBottom w:val="0"/>
      <w:divBdr>
        <w:top w:val="none" w:sz="0" w:space="0" w:color="auto"/>
        <w:left w:val="none" w:sz="0" w:space="0" w:color="auto"/>
        <w:bottom w:val="none" w:sz="0" w:space="0" w:color="auto"/>
        <w:right w:val="none" w:sz="0" w:space="0" w:color="auto"/>
      </w:divBdr>
    </w:div>
    <w:div w:id="678507822">
      <w:bodyDiv w:val="1"/>
      <w:marLeft w:val="0"/>
      <w:marRight w:val="0"/>
      <w:marTop w:val="0"/>
      <w:marBottom w:val="0"/>
      <w:divBdr>
        <w:top w:val="none" w:sz="0" w:space="0" w:color="auto"/>
        <w:left w:val="none" w:sz="0" w:space="0" w:color="auto"/>
        <w:bottom w:val="none" w:sz="0" w:space="0" w:color="auto"/>
        <w:right w:val="none" w:sz="0" w:space="0" w:color="auto"/>
      </w:divBdr>
    </w:div>
    <w:div w:id="682367437">
      <w:bodyDiv w:val="1"/>
      <w:marLeft w:val="0"/>
      <w:marRight w:val="0"/>
      <w:marTop w:val="0"/>
      <w:marBottom w:val="0"/>
      <w:divBdr>
        <w:top w:val="none" w:sz="0" w:space="0" w:color="auto"/>
        <w:left w:val="none" w:sz="0" w:space="0" w:color="auto"/>
        <w:bottom w:val="none" w:sz="0" w:space="0" w:color="auto"/>
        <w:right w:val="none" w:sz="0" w:space="0" w:color="auto"/>
      </w:divBdr>
    </w:div>
    <w:div w:id="686639782">
      <w:bodyDiv w:val="1"/>
      <w:marLeft w:val="0"/>
      <w:marRight w:val="0"/>
      <w:marTop w:val="0"/>
      <w:marBottom w:val="0"/>
      <w:divBdr>
        <w:top w:val="none" w:sz="0" w:space="0" w:color="auto"/>
        <w:left w:val="none" w:sz="0" w:space="0" w:color="auto"/>
        <w:bottom w:val="none" w:sz="0" w:space="0" w:color="auto"/>
        <w:right w:val="none" w:sz="0" w:space="0" w:color="auto"/>
      </w:divBdr>
    </w:div>
    <w:div w:id="694692853">
      <w:bodyDiv w:val="1"/>
      <w:marLeft w:val="0"/>
      <w:marRight w:val="0"/>
      <w:marTop w:val="0"/>
      <w:marBottom w:val="0"/>
      <w:divBdr>
        <w:top w:val="none" w:sz="0" w:space="0" w:color="auto"/>
        <w:left w:val="none" w:sz="0" w:space="0" w:color="auto"/>
        <w:bottom w:val="none" w:sz="0" w:space="0" w:color="auto"/>
        <w:right w:val="none" w:sz="0" w:space="0" w:color="auto"/>
      </w:divBdr>
    </w:div>
    <w:div w:id="700516094">
      <w:bodyDiv w:val="1"/>
      <w:marLeft w:val="0"/>
      <w:marRight w:val="0"/>
      <w:marTop w:val="0"/>
      <w:marBottom w:val="0"/>
      <w:divBdr>
        <w:top w:val="none" w:sz="0" w:space="0" w:color="auto"/>
        <w:left w:val="none" w:sz="0" w:space="0" w:color="auto"/>
        <w:bottom w:val="none" w:sz="0" w:space="0" w:color="auto"/>
        <w:right w:val="none" w:sz="0" w:space="0" w:color="auto"/>
      </w:divBdr>
    </w:div>
    <w:div w:id="700936306">
      <w:bodyDiv w:val="1"/>
      <w:marLeft w:val="0"/>
      <w:marRight w:val="0"/>
      <w:marTop w:val="0"/>
      <w:marBottom w:val="0"/>
      <w:divBdr>
        <w:top w:val="none" w:sz="0" w:space="0" w:color="auto"/>
        <w:left w:val="none" w:sz="0" w:space="0" w:color="auto"/>
        <w:bottom w:val="none" w:sz="0" w:space="0" w:color="auto"/>
        <w:right w:val="none" w:sz="0" w:space="0" w:color="auto"/>
      </w:divBdr>
    </w:div>
    <w:div w:id="704720954">
      <w:bodyDiv w:val="1"/>
      <w:marLeft w:val="0"/>
      <w:marRight w:val="0"/>
      <w:marTop w:val="0"/>
      <w:marBottom w:val="0"/>
      <w:divBdr>
        <w:top w:val="none" w:sz="0" w:space="0" w:color="auto"/>
        <w:left w:val="none" w:sz="0" w:space="0" w:color="auto"/>
        <w:bottom w:val="none" w:sz="0" w:space="0" w:color="auto"/>
        <w:right w:val="none" w:sz="0" w:space="0" w:color="auto"/>
      </w:divBdr>
    </w:div>
    <w:div w:id="707609513">
      <w:bodyDiv w:val="1"/>
      <w:marLeft w:val="0"/>
      <w:marRight w:val="0"/>
      <w:marTop w:val="0"/>
      <w:marBottom w:val="0"/>
      <w:divBdr>
        <w:top w:val="none" w:sz="0" w:space="0" w:color="auto"/>
        <w:left w:val="none" w:sz="0" w:space="0" w:color="auto"/>
        <w:bottom w:val="none" w:sz="0" w:space="0" w:color="auto"/>
        <w:right w:val="none" w:sz="0" w:space="0" w:color="auto"/>
      </w:divBdr>
    </w:div>
    <w:div w:id="709915153">
      <w:bodyDiv w:val="1"/>
      <w:marLeft w:val="0"/>
      <w:marRight w:val="0"/>
      <w:marTop w:val="0"/>
      <w:marBottom w:val="0"/>
      <w:divBdr>
        <w:top w:val="none" w:sz="0" w:space="0" w:color="auto"/>
        <w:left w:val="none" w:sz="0" w:space="0" w:color="auto"/>
        <w:bottom w:val="none" w:sz="0" w:space="0" w:color="auto"/>
        <w:right w:val="none" w:sz="0" w:space="0" w:color="auto"/>
      </w:divBdr>
    </w:div>
    <w:div w:id="712732951">
      <w:bodyDiv w:val="1"/>
      <w:marLeft w:val="0"/>
      <w:marRight w:val="0"/>
      <w:marTop w:val="0"/>
      <w:marBottom w:val="0"/>
      <w:divBdr>
        <w:top w:val="none" w:sz="0" w:space="0" w:color="auto"/>
        <w:left w:val="none" w:sz="0" w:space="0" w:color="auto"/>
        <w:bottom w:val="none" w:sz="0" w:space="0" w:color="auto"/>
        <w:right w:val="none" w:sz="0" w:space="0" w:color="auto"/>
      </w:divBdr>
    </w:div>
    <w:div w:id="715280963">
      <w:bodyDiv w:val="1"/>
      <w:marLeft w:val="0"/>
      <w:marRight w:val="0"/>
      <w:marTop w:val="0"/>
      <w:marBottom w:val="0"/>
      <w:divBdr>
        <w:top w:val="none" w:sz="0" w:space="0" w:color="auto"/>
        <w:left w:val="none" w:sz="0" w:space="0" w:color="auto"/>
        <w:bottom w:val="none" w:sz="0" w:space="0" w:color="auto"/>
        <w:right w:val="none" w:sz="0" w:space="0" w:color="auto"/>
      </w:divBdr>
    </w:div>
    <w:div w:id="722943141">
      <w:bodyDiv w:val="1"/>
      <w:marLeft w:val="0"/>
      <w:marRight w:val="0"/>
      <w:marTop w:val="0"/>
      <w:marBottom w:val="0"/>
      <w:divBdr>
        <w:top w:val="none" w:sz="0" w:space="0" w:color="auto"/>
        <w:left w:val="none" w:sz="0" w:space="0" w:color="auto"/>
        <w:bottom w:val="none" w:sz="0" w:space="0" w:color="auto"/>
        <w:right w:val="none" w:sz="0" w:space="0" w:color="auto"/>
      </w:divBdr>
    </w:div>
    <w:div w:id="727532926">
      <w:bodyDiv w:val="1"/>
      <w:marLeft w:val="0"/>
      <w:marRight w:val="0"/>
      <w:marTop w:val="0"/>
      <w:marBottom w:val="0"/>
      <w:divBdr>
        <w:top w:val="none" w:sz="0" w:space="0" w:color="auto"/>
        <w:left w:val="none" w:sz="0" w:space="0" w:color="auto"/>
        <w:bottom w:val="none" w:sz="0" w:space="0" w:color="auto"/>
        <w:right w:val="none" w:sz="0" w:space="0" w:color="auto"/>
      </w:divBdr>
    </w:div>
    <w:div w:id="727650764">
      <w:bodyDiv w:val="1"/>
      <w:marLeft w:val="0"/>
      <w:marRight w:val="0"/>
      <w:marTop w:val="0"/>
      <w:marBottom w:val="0"/>
      <w:divBdr>
        <w:top w:val="none" w:sz="0" w:space="0" w:color="auto"/>
        <w:left w:val="none" w:sz="0" w:space="0" w:color="auto"/>
        <w:bottom w:val="none" w:sz="0" w:space="0" w:color="auto"/>
        <w:right w:val="none" w:sz="0" w:space="0" w:color="auto"/>
      </w:divBdr>
    </w:div>
    <w:div w:id="732392135">
      <w:bodyDiv w:val="1"/>
      <w:marLeft w:val="0"/>
      <w:marRight w:val="0"/>
      <w:marTop w:val="0"/>
      <w:marBottom w:val="0"/>
      <w:divBdr>
        <w:top w:val="none" w:sz="0" w:space="0" w:color="auto"/>
        <w:left w:val="none" w:sz="0" w:space="0" w:color="auto"/>
        <w:bottom w:val="none" w:sz="0" w:space="0" w:color="auto"/>
        <w:right w:val="none" w:sz="0" w:space="0" w:color="auto"/>
      </w:divBdr>
    </w:div>
    <w:div w:id="734398690">
      <w:bodyDiv w:val="1"/>
      <w:marLeft w:val="0"/>
      <w:marRight w:val="0"/>
      <w:marTop w:val="0"/>
      <w:marBottom w:val="0"/>
      <w:divBdr>
        <w:top w:val="none" w:sz="0" w:space="0" w:color="auto"/>
        <w:left w:val="none" w:sz="0" w:space="0" w:color="auto"/>
        <w:bottom w:val="none" w:sz="0" w:space="0" w:color="auto"/>
        <w:right w:val="none" w:sz="0" w:space="0" w:color="auto"/>
      </w:divBdr>
    </w:div>
    <w:div w:id="734594828">
      <w:bodyDiv w:val="1"/>
      <w:marLeft w:val="0"/>
      <w:marRight w:val="0"/>
      <w:marTop w:val="0"/>
      <w:marBottom w:val="0"/>
      <w:divBdr>
        <w:top w:val="none" w:sz="0" w:space="0" w:color="auto"/>
        <w:left w:val="none" w:sz="0" w:space="0" w:color="auto"/>
        <w:bottom w:val="none" w:sz="0" w:space="0" w:color="auto"/>
        <w:right w:val="none" w:sz="0" w:space="0" w:color="auto"/>
      </w:divBdr>
    </w:div>
    <w:div w:id="735123943">
      <w:bodyDiv w:val="1"/>
      <w:marLeft w:val="0"/>
      <w:marRight w:val="0"/>
      <w:marTop w:val="0"/>
      <w:marBottom w:val="0"/>
      <w:divBdr>
        <w:top w:val="none" w:sz="0" w:space="0" w:color="auto"/>
        <w:left w:val="none" w:sz="0" w:space="0" w:color="auto"/>
        <w:bottom w:val="none" w:sz="0" w:space="0" w:color="auto"/>
        <w:right w:val="none" w:sz="0" w:space="0" w:color="auto"/>
      </w:divBdr>
    </w:div>
    <w:div w:id="739257642">
      <w:bodyDiv w:val="1"/>
      <w:marLeft w:val="0"/>
      <w:marRight w:val="0"/>
      <w:marTop w:val="0"/>
      <w:marBottom w:val="0"/>
      <w:divBdr>
        <w:top w:val="none" w:sz="0" w:space="0" w:color="auto"/>
        <w:left w:val="none" w:sz="0" w:space="0" w:color="auto"/>
        <w:bottom w:val="none" w:sz="0" w:space="0" w:color="auto"/>
        <w:right w:val="none" w:sz="0" w:space="0" w:color="auto"/>
      </w:divBdr>
    </w:div>
    <w:div w:id="745495052">
      <w:bodyDiv w:val="1"/>
      <w:marLeft w:val="0"/>
      <w:marRight w:val="0"/>
      <w:marTop w:val="0"/>
      <w:marBottom w:val="0"/>
      <w:divBdr>
        <w:top w:val="none" w:sz="0" w:space="0" w:color="auto"/>
        <w:left w:val="none" w:sz="0" w:space="0" w:color="auto"/>
        <w:bottom w:val="none" w:sz="0" w:space="0" w:color="auto"/>
        <w:right w:val="none" w:sz="0" w:space="0" w:color="auto"/>
      </w:divBdr>
    </w:div>
    <w:div w:id="746734418">
      <w:bodyDiv w:val="1"/>
      <w:marLeft w:val="0"/>
      <w:marRight w:val="0"/>
      <w:marTop w:val="0"/>
      <w:marBottom w:val="0"/>
      <w:divBdr>
        <w:top w:val="none" w:sz="0" w:space="0" w:color="auto"/>
        <w:left w:val="none" w:sz="0" w:space="0" w:color="auto"/>
        <w:bottom w:val="none" w:sz="0" w:space="0" w:color="auto"/>
        <w:right w:val="none" w:sz="0" w:space="0" w:color="auto"/>
      </w:divBdr>
    </w:div>
    <w:div w:id="750469544">
      <w:bodyDiv w:val="1"/>
      <w:marLeft w:val="0"/>
      <w:marRight w:val="0"/>
      <w:marTop w:val="0"/>
      <w:marBottom w:val="0"/>
      <w:divBdr>
        <w:top w:val="none" w:sz="0" w:space="0" w:color="auto"/>
        <w:left w:val="none" w:sz="0" w:space="0" w:color="auto"/>
        <w:bottom w:val="none" w:sz="0" w:space="0" w:color="auto"/>
        <w:right w:val="none" w:sz="0" w:space="0" w:color="auto"/>
      </w:divBdr>
    </w:div>
    <w:div w:id="756246357">
      <w:bodyDiv w:val="1"/>
      <w:marLeft w:val="0"/>
      <w:marRight w:val="0"/>
      <w:marTop w:val="0"/>
      <w:marBottom w:val="0"/>
      <w:divBdr>
        <w:top w:val="none" w:sz="0" w:space="0" w:color="auto"/>
        <w:left w:val="none" w:sz="0" w:space="0" w:color="auto"/>
        <w:bottom w:val="none" w:sz="0" w:space="0" w:color="auto"/>
        <w:right w:val="none" w:sz="0" w:space="0" w:color="auto"/>
      </w:divBdr>
    </w:div>
    <w:div w:id="763572297">
      <w:bodyDiv w:val="1"/>
      <w:marLeft w:val="0"/>
      <w:marRight w:val="0"/>
      <w:marTop w:val="0"/>
      <w:marBottom w:val="0"/>
      <w:divBdr>
        <w:top w:val="none" w:sz="0" w:space="0" w:color="auto"/>
        <w:left w:val="none" w:sz="0" w:space="0" w:color="auto"/>
        <w:bottom w:val="none" w:sz="0" w:space="0" w:color="auto"/>
        <w:right w:val="none" w:sz="0" w:space="0" w:color="auto"/>
      </w:divBdr>
    </w:div>
    <w:div w:id="764805485">
      <w:bodyDiv w:val="1"/>
      <w:marLeft w:val="0"/>
      <w:marRight w:val="0"/>
      <w:marTop w:val="0"/>
      <w:marBottom w:val="0"/>
      <w:divBdr>
        <w:top w:val="none" w:sz="0" w:space="0" w:color="auto"/>
        <w:left w:val="none" w:sz="0" w:space="0" w:color="auto"/>
        <w:bottom w:val="none" w:sz="0" w:space="0" w:color="auto"/>
        <w:right w:val="none" w:sz="0" w:space="0" w:color="auto"/>
      </w:divBdr>
    </w:div>
    <w:div w:id="767038870">
      <w:bodyDiv w:val="1"/>
      <w:marLeft w:val="0"/>
      <w:marRight w:val="0"/>
      <w:marTop w:val="0"/>
      <w:marBottom w:val="0"/>
      <w:divBdr>
        <w:top w:val="none" w:sz="0" w:space="0" w:color="auto"/>
        <w:left w:val="none" w:sz="0" w:space="0" w:color="auto"/>
        <w:bottom w:val="none" w:sz="0" w:space="0" w:color="auto"/>
        <w:right w:val="none" w:sz="0" w:space="0" w:color="auto"/>
      </w:divBdr>
    </w:div>
    <w:div w:id="774863086">
      <w:bodyDiv w:val="1"/>
      <w:marLeft w:val="0"/>
      <w:marRight w:val="0"/>
      <w:marTop w:val="0"/>
      <w:marBottom w:val="0"/>
      <w:divBdr>
        <w:top w:val="none" w:sz="0" w:space="0" w:color="auto"/>
        <w:left w:val="none" w:sz="0" w:space="0" w:color="auto"/>
        <w:bottom w:val="none" w:sz="0" w:space="0" w:color="auto"/>
        <w:right w:val="none" w:sz="0" w:space="0" w:color="auto"/>
      </w:divBdr>
    </w:div>
    <w:div w:id="775365469">
      <w:bodyDiv w:val="1"/>
      <w:marLeft w:val="0"/>
      <w:marRight w:val="0"/>
      <w:marTop w:val="0"/>
      <w:marBottom w:val="0"/>
      <w:divBdr>
        <w:top w:val="none" w:sz="0" w:space="0" w:color="auto"/>
        <w:left w:val="none" w:sz="0" w:space="0" w:color="auto"/>
        <w:bottom w:val="none" w:sz="0" w:space="0" w:color="auto"/>
        <w:right w:val="none" w:sz="0" w:space="0" w:color="auto"/>
      </w:divBdr>
    </w:div>
    <w:div w:id="777217327">
      <w:bodyDiv w:val="1"/>
      <w:marLeft w:val="0"/>
      <w:marRight w:val="0"/>
      <w:marTop w:val="0"/>
      <w:marBottom w:val="0"/>
      <w:divBdr>
        <w:top w:val="none" w:sz="0" w:space="0" w:color="auto"/>
        <w:left w:val="none" w:sz="0" w:space="0" w:color="auto"/>
        <w:bottom w:val="none" w:sz="0" w:space="0" w:color="auto"/>
        <w:right w:val="none" w:sz="0" w:space="0" w:color="auto"/>
      </w:divBdr>
    </w:div>
    <w:div w:id="779954314">
      <w:bodyDiv w:val="1"/>
      <w:marLeft w:val="0"/>
      <w:marRight w:val="0"/>
      <w:marTop w:val="0"/>
      <w:marBottom w:val="0"/>
      <w:divBdr>
        <w:top w:val="none" w:sz="0" w:space="0" w:color="auto"/>
        <w:left w:val="none" w:sz="0" w:space="0" w:color="auto"/>
        <w:bottom w:val="none" w:sz="0" w:space="0" w:color="auto"/>
        <w:right w:val="none" w:sz="0" w:space="0" w:color="auto"/>
      </w:divBdr>
    </w:div>
    <w:div w:id="783112877">
      <w:bodyDiv w:val="1"/>
      <w:marLeft w:val="0"/>
      <w:marRight w:val="0"/>
      <w:marTop w:val="0"/>
      <w:marBottom w:val="0"/>
      <w:divBdr>
        <w:top w:val="none" w:sz="0" w:space="0" w:color="auto"/>
        <w:left w:val="none" w:sz="0" w:space="0" w:color="auto"/>
        <w:bottom w:val="none" w:sz="0" w:space="0" w:color="auto"/>
        <w:right w:val="none" w:sz="0" w:space="0" w:color="auto"/>
      </w:divBdr>
    </w:div>
    <w:div w:id="784930371">
      <w:bodyDiv w:val="1"/>
      <w:marLeft w:val="0"/>
      <w:marRight w:val="0"/>
      <w:marTop w:val="0"/>
      <w:marBottom w:val="0"/>
      <w:divBdr>
        <w:top w:val="none" w:sz="0" w:space="0" w:color="auto"/>
        <w:left w:val="none" w:sz="0" w:space="0" w:color="auto"/>
        <w:bottom w:val="none" w:sz="0" w:space="0" w:color="auto"/>
        <w:right w:val="none" w:sz="0" w:space="0" w:color="auto"/>
      </w:divBdr>
    </w:div>
    <w:div w:id="786779235">
      <w:bodyDiv w:val="1"/>
      <w:marLeft w:val="0"/>
      <w:marRight w:val="0"/>
      <w:marTop w:val="0"/>
      <w:marBottom w:val="0"/>
      <w:divBdr>
        <w:top w:val="none" w:sz="0" w:space="0" w:color="auto"/>
        <w:left w:val="none" w:sz="0" w:space="0" w:color="auto"/>
        <w:bottom w:val="none" w:sz="0" w:space="0" w:color="auto"/>
        <w:right w:val="none" w:sz="0" w:space="0" w:color="auto"/>
      </w:divBdr>
    </w:div>
    <w:div w:id="787821298">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2698377">
      <w:bodyDiv w:val="1"/>
      <w:marLeft w:val="0"/>
      <w:marRight w:val="0"/>
      <w:marTop w:val="0"/>
      <w:marBottom w:val="0"/>
      <w:divBdr>
        <w:top w:val="none" w:sz="0" w:space="0" w:color="auto"/>
        <w:left w:val="none" w:sz="0" w:space="0" w:color="auto"/>
        <w:bottom w:val="none" w:sz="0" w:space="0" w:color="auto"/>
        <w:right w:val="none" w:sz="0" w:space="0" w:color="auto"/>
      </w:divBdr>
    </w:div>
    <w:div w:id="803087062">
      <w:bodyDiv w:val="1"/>
      <w:marLeft w:val="0"/>
      <w:marRight w:val="0"/>
      <w:marTop w:val="0"/>
      <w:marBottom w:val="0"/>
      <w:divBdr>
        <w:top w:val="none" w:sz="0" w:space="0" w:color="auto"/>
        <w:left w:val="none" w:sz="0" w:space="0" w:color="auto"/>
        <w:bottom w:val="none" w:sz="0" w:space="0" w:color="auto"/>
        <w:right w:val="none" w:sz="0" w:space="0" w:color="auto"/>
      </w:divBdr>
    </w:div>
    <w:div w:id="805511718">
      <w:bodyDiv w:val="1"/>
      <w:marLeft w:val="0"/>
      <w:marRight w:val="0"/>
      <w:marTop w:val="0"/>
      <w:marBottom w:val="0"/>
      <w:divBdr>
        <w:top w:val="none" w:sz="0" w:space="0" w:color="auto"/>
        <w:left w:val="none" w:sz="0" w:space="0" w:color="auto"/>
        <w:bottom w:val="none" w:sz="0" w:space="0" w:color="auto"/>
        <w:right w:val="none" w:sz="0" w:space="0" w:color="auto"/>
      </w:divBdr>
    </w:div>
    <w:div w:id="808211766">
      <w:bodyDiv w:val="1"/>
      <w:marLeft w:val="0"/>
      <w:marRight w:val="0"/>
      <w:marTop w:val="0"/>
      <w:marBottom w:val="0"/>
      <w:divBdr>
        <w:top w:val="none" w:sz="0" w:space="0" w:color="auto"/>
        <w:left w:val="none" w:sz="0" w:space="0" w:color="auto"/>
        <w:bottom w:val="none" w:sz="0" w:space="0" w:color="auto"/>
        <w:right w:val="none" w:sz="0" w:space="0" w:color="auto"/>
      </w:divBdr>
    </w:div>
    <w:div w:id="819687596">
      <w:bodyDiv w:val="1"/>
      <w:marLeft w:val="0"/>
      <w:marRight w:val="0"/>
      <w:marTop w:val="0"/>
      <w:marBottom w:val="0"/>
      <w:divBdr>
        <w:top w:val="none" w:sz="0" w:space="0" w:color="auto"/>
        <w:left w:val="none" w:sz="0" w:space="0" w:color="auto"/>
        <w:bottom w:val="none" w:sz="0" w:space="0" w:color="auto"/>
        <w:right w:val="none" w:sz="0" w:space="0" w:color="auto"/>
      </w:divBdr>
    </w:div>
    <w:div w:id="823594648">
      <w:bodyDiv w:val="1"/>
      <w:marLeft w:val="0"/>
      <w:marRight w:val="0"/>
      <w:marTop w:val="0"/>
      <w:marBottom w:val="0"/>
      <w:divBdr>
        <w:top w:val="none" w:sz="0" w:space="0" w:color="auto"/>
        <w:left w:val="none" w:sz="0" w:space="0" w:color="auto"/>
        <w:bottom w:val="none" w:sz="0" w:space="0" w:color="auto"/>
        <w:right w:val="none" w:sz="0" w:space="0" w:color="auto"/>
      </w:divBdr>
    </w:div>
    <w:div w:id="823863110">
      <w:bodyDiv w:val="1"/>
      <w:marLeft w:val="0"/>
      <w:marRight w:val="0"/>
      <w:marTop w:val="0"/>
      <w:marBottom w:val="0"/>
      <w:divBdr>
        <w:top w:val="none" w:sz="0" w:space="0" w:color="auto"/>
        <w:left w:val="none" w:sz="0" w:space="0" w:color="auto"/>
        <w:bottom w:val="none" w:sz="0" w:space="0" w:color="auto"/>
        <w:right w:val="none" w:sz="0" w:space="0" w:color="auto"/>
      </w:divBdr>
    </w:div>
    <w:div w:id="828904901">
      <w:bodyDiv w:val="1"/>
      <w:marLeft w:val="0"/>
      <w:marRight w:val="0"/>
      <w:marTop w:val="0"/>
      <w:marBottom w:val="0"/>
      <w:divBdr>
        <w:top w:val="none" w:sz="0" w:space="0" w:color="auto"/>
        <w:left w:val="none" w:sz="0" w:space="0" w:color="auto"/>
        <w:bottom w:val="none" w:sz="0" w:space="0" w:color="auto"/>
        <w:right w:val="none" w:sz="0" w:space="0" w:color="auto"/>
      </w:divBdr>
    </w:div>
    <w:div w:id="829903469">
      <w:bodyDiv w:val="1"/>
      <w:marLeft w:val="0"/>
      <w:marRight w:val="0"/>
      <w:marTop w:val="0"/>
      <w:marBottom w:val="0"/>
      <w:divBdr>
        <w:top w:val="none" w:sz="0" w:space="0" w:color="auto"/>
        <w:left w:val="none" w:sz="0" w:space="0" w:color="auto"/>
        <w:bottom w:val="none" w:sz="0" w:space="0" w:color="auto"/>
        <w:right w:val="none" w:sz="0" w:space="0" w:color="auto"/>
      </w:divBdr>
    </w:div>
    <w:div w:id="839547075">
      <w:bodyDiv w:val="1"/>
      <w:marLeft w:val="0"/>
      <w:marRight w:val="0"/>
      <w:marTop w:val="0"/>
      <w:marBottom w:val="0"/>
      <w:divBdr>
        <w:top w:val="none" w:sz="0" w:space="0" w:color="auto"/>
        <w:left w:val="none" w:sz="0" w:space="0" w:color="auto"/>
        <w:bottom w:val="none" w:sz="0" w:space="0" w:color="auto"/>
        <w:right w:val="none" w:sz="0" w:space="0" w:color="auto"/>
      </w:divBdr>
    </w:div>
    <w:div w:id="840894161">
      <w:bodyDiv w:val="1"/>
      <w:marLeft w:val="0"/>
      <w:marRight w:val="0"/>
      <w:marTop w:val="0"/>
      <w:marBottom w:val="0"/>
      <w:divBdr>
        <w:top w:val="none" w:sz="0" w:space="0" w:color="auto"/>
        <w:left w:val="none" w:sz="0" w:space="0" w:color="auto"/>
        <w:bottom w:val="none" w:sz="0" w:space="0" w:color="auto"/>
        <w:right w:val="none" w:sz="0" w:space="0" w:color="auto"/>
      </w:divBdr>
    </w:div>
    <w:div w:id="841972819">
      <w:bodyDiv w:val="1"/>
      <w:marLeft w:val="0"/>
      <w:marRight w:val="0"/>
      <w:marTop w:val="0"/>
      <w:marBottom w:val="0"/>
      <w:divBdr>
        <w:top w:val="none" w:sz="0" w:space="0" w:color="auto"/>
        <w:left w:val="none" w:sz="0" w:space="0" w:color="auto"/>
        <w:bottom w:val="none" w:sz="0" w:space="0" w:color="auto"/>
        <w:right w:val="none" w:sz="0" w:space="0" w:color="auto"/>
      </w:divBdr>
    </w:div>
    <w:div w:id="842550749">
      <w:bodyDiv w:val="1"/>
      <w:marLeft w:val="0"/>
      <w:marRight w:val="0"/>
      <w:marTop w:val="0"/>
      <w:marBottom w:val="0"/>
      <w:divBdr>
        <w:top w:val="none" w:sz="0" w:space="0" w:color="auto"/>
        <w:left w:val="none" w:sz="0" w:space="0" w:color="auto"/>
        <w:bottom w:val="none" w:sz="0" w:space="0" w:color="auto"/>
        <w:right w:val="none" w:sz="0" w:space="0" w:color="auto"/>
      </w:divBdr>
    </w:div>
    <w:div w:id="844514638">
      <w:bodyDiv w:val="1"/>
      <w:marLeft w:val="0"/>
      <w:marRight w:val="0"/>
      <w:marTop w:val="0"/>
      <w:marBottom w:val="0"/>
      <w:divBdr>
        <w:top w:val="none" w:sz="0" w:space="0" w:color="auto"/>
        <w:left w:val="none" w:sz="0" w:space="0" w:color="auto"/>
        <w:bottom w:val="none" w:sz="0" w:space="0" w:color="auto"/>
        <w:right w:val="none" w:sz="0" w:space="0" w:color="auto"/>
      </w:divBdr>
    </w:div>
    <w:div w:id="847410213">
      <w:bodyDiv w:val="1"/>
      <w:marLeft w:val="0"/>
      <w:marRight w:val="0"/>
      <w:marTop w:val="0"/>
      <w:marBottom w:val="0"/>
      <w:divBdr>
        <w:top w:val="none" w:sz="0" w:space="0" w:color="auto"/>
        <w:left w:val="none" w:sz="0" w:space="0" w:color="auto"/>
        <w:bottom w:val="none" w:sz="0" w:space="0" w:color="auto"/>
        <w:right w:val="none" w:sz="0" w:space="0" w:color="auto"/>
      </w:divBdr>
    </w:div>
    <w:div w:id="850677752">
      <w:bodyDiv w:val="1"/>
      <w:marLeft w:val="0"/>
      <w:marRight w:val="0"/>
      <w:marTop w:val="0"/>
      <w:marBottom w:val="0"/>
      <w:divBdr>
        <w:top w:val="none" w:sz="0" w:space="0" w:color="auto"/>
        <w:left w:val="none" w:sz="0" w:space="0" w:color="auto"/>
        <w:bottom w:val="none" w:sz="0" w:space="0" w:color="auto"/>
        <w:right w:val="none" w:sz="0" w:space="0" w:color="auto"/>
      </w:divBdr>
    </w:div>
    <w:div w:id="852035266">
      <w:bodyDiv w:val="1"/>
      <w:marLeft w:val="0"/>
      <w:marRight w:val="0"/>
      <w:marTop w:val="0"/>
      <w:marBottom w:val="0"/>
      <w:divBdr>
        <w:top w:val="none" w:sz="0" w:space="0" w:color="auto"/>
        <w:left w:val="none" w:sz="0" w:space="0" w:color="auto"/>
        <w:bottom w:val="none" w:sz="0" w:space="0" w:color="auto"/>
        <w:right w:val="none" w:sz="0" w:space="0" w:color="auto"/>
      </w:divBdr>
    </w:div>
    <w:div w:id="854153086">
      <w:bodyDiv w:val="1"/>
      <w:marLeft w:val="0"/>
      <w:marRight w:val="0"/>
      <w:marTop w:val="0"/>
      <w:marBottom w:val="0"/>
      <w:divBdr>
        <w:top w:val="none" w:sz="0" w:space="0" w:color="auto"/>
        <w:left w:val="none" w:sz="0" w:space="0" w:color="auto"/>
        <w:bottom w:val="none" w:sz="0" w:space="0" w:color="auto"/>
        <w:right w:val="none" w:sz="0" w:space="0" w:color="auto"/>
      </w:divBdr>
    </w:div>
    <w:div w:id="854349798">
      <w:bodyDiv w:val="1"/>
      <w:marLeft w:val="0"/>
      <w:marRight w:val="0"/>
      <w:marTop w:val="0"/>
      <w:marBottom w:val="0"/>
      <w:divBdr>
        <w:top w:val="none" w:sz="0" w:space="0" w:color="auto"/>
        <w:left w:val="none" w:sz="0" w:space="0" w:color="auto"/>
        <w:bottom w:val="none" w:sz="0" w:space="0" w:color="auto"/>
        <w:right w:val="none" w:sz="0" w:space="0" w:color="auto"/>
      </w:divBdr>
    </w:div>
    <w:div w:id="866452330">
      <w:bodyDiv w:val="1"/>
      <w:marLeft w:val="0"/>
      <w:marRight w:val="0"/>
      <w:marTop w:val="0"/>
      <w:marBottom w:val="0"/>
      <w:divBdr>
        <w:top w:val="none" w:sz="0" w:space="0" w:color="auto"/>
        <w:left w:val="none" w:sz="0" w:space="0" w:color="auto"/>
        <w:bottom w:val="none" w:sz="0" w:space="0" w:color="auto"/>
        <w:right w:val="none" w:sz="0" w:space="0" w:color="auto"/>
      </w:divBdr>
    </w:div>
    <w:div w:id="868303327">
      <w:bodyDiv w:val="1"/>
      <w:marLeft w:val="0"/>
      <w:marRight w:val="0"/>
      <w:marTop w:val="0"/>
      <w:marBottom w:val="0"/>
      <w:divBdr>
        <w:top w:val="none" w:sz="0" w:space="0" w:color="auto"/>
        <w:left w:val="none" w:sz="0" w:space="0" w:color="auto"/>
        <w:bottom w:val="none" w:sz="0" w:space="0" w:color="auto"/>
        <w:right w:val="none" w:sz="0" w:space="0" w:color="auto"/>
      </w:divBdr>
    </w:div>
    <w:div w:id="869336099">
      <w:bodyDiv w:val="1"/>
      <w:marLeft w:val="0"/>
      <w:marRight w:val="0"/>
      <w:marTop w:val="0"/>
      <w:marBottom w:val="0"/>
      <w:divBdr>
        <w:top w:val="none" w:sz="0" w:space="0" w:color="auto"/>
        <w:left w:val="none" w:sz="0" w:space="0" w:color="auto"/>
        <w:bottom w:val="none" w:sz="0" w:space="0" w:color="auto"/>
        <w:right w:val="none" w:sz="0" w:space="0" w:color="auto"/>
      </w:divBdr>
    </w:div>
    <w:div w:id="870916125">
      <w:bodyDiv w:val="1"/>
      <w:marLeft w:val="0"/>
      <w:marRight w:val="0"/>
      <w:marTop w:val="0"/>
      <w:marBottom w:val="0"/>
      <w:divBdr>
        <w:top w:val="none" w:sz="0" w:space="0" w:color="auto"/>
        <w:left w:val="none" w:sz="0" w:space="0" w:color="auto"/>
        <w:bottom w:val="none" w:sz="0" w:space="0" w:color="auto"/>
        <w:right w:val="none" w:sz="0" w:space="0" w:color="auto"/>
      </w:divBdr>
    </w:div>
    <w:div w:id="871654174">
      <w:bodyDiv w:val="1"/>
      <w:marLeft w:val="0"/>
      <w:marRight w:val="0"/>
      <w:marTop w:val="0"/>
      <w:marBottom w:val="0"/>
      <w:divBdr>
        <w:top w:val="none" w:sz="0" w:space="0" w:color="auto"/>
        <w:left w:val="none" w:sz="0" w:space="0" w:color="auto"/>
        <w:bottom w:val="none" w:sz="0" w:space="0" w:color="auto"/>
        <w:right w:val="none" w:sz="0" w:space="0" w:color="auto"/>
      </w:divBdr>
    </w:div>
    <w:div w:id="880173799">
      <w:bodyDiv w:val="1"/>
      <w:marLeft w:val="0"/>
      <w:marRight w:val="0"/>
      <w:marTop w:val="0"/>
      <w:marBottom w:val="0"/>
      <w:divBdr>
        <w:top w:val="none" w:sz="0" w:space="0" w:color="auto"/>
        <w:left w:val="none" w:sz="0" w:space="0" w:color="auto"/>
        <w:bottom w:val="none" w:sz="0" w:space="0" w:color="auto"/>
        <w:right w:val="none" w:sz="0" w:space="0" w:color="auto"/>
      </w:divBdr>
    </w:div>
    <w:div w:id="887303971">
      <w:bodyDiv w:val="1"/>
      <w:marLeft w:val="0"/>
      <w:marRight w:val="0"/>
      <w:marTop w:val="0"/>
      <w:marBottom w:val="0"/>
      <w:divBdr>
        <w:top w:val="none" w:sz="0" w:space="0" w:color="auto"/>
        <w:left w:val="none" w:sz="0" w:space="0" w:color="auto"/>
        <w:bottom w:val="none" w:sz="0" w:space="0" w:color="auto"/>
        <w:right w:val="none" w:sz="0" w:space="0" w:color="auto"/>
      </w:divBdr>
    </w:div>
    <w:div w:id="888106106">
      <w:bodyDiv w:val="1"/>
      <w:marLeft w:val="0"/>
      <w:marRight w:val="0"/>
      <w:marTop w:val="0"/>
      <w:marBottom w:val="0"/>
      <w:divBdr>
        <w:top w:val="none" w:sz="0" w:space="0" w:color="auto"/>
        <w:left w:val="none" w:sz="0" w:space="0" w:color="auto"/>
        <w:bottom w:val="none" w:sz="0" w:space="0" w:color="auto"/>
        <w:right w:val="none" w:sz="0" w:space="0" w:color="auto"/>
      </w:divBdr>
    </w:div>
    <w:div w:id="891306192">
      <w:bodyDiv w:val="1"/>
      <w:marLeft w:val="0"/>
      <w:marRight w:val="0"/>
      <w:marTop w:val="0"/>
      <w:marBottom w:val="0"/>
      <w:divBdr>
        <w:top w:val="none" w:sz="0" w:space="0" w:color="auto"/>
        <w:left w:val="none" w:sz="0" w:space="0" w:color="auto"/>
        <w:bottom w:val="none" w:sz="0" w:space="0" w:color="auto"/>
        <w:right w:val="none" w:sz="0" w:space="0" w:color="auto"/>
      </w:divBdr>
    </w:div>
    <w:div w:id="892230785">
      <w:bodyDiv w:val="1"/>
      <w:marLeft w:val="0"/>
      <w:marRight w:val="0"/>
      <w:marTop w:val="0"/>
      <w:marBottom w:val="0"/>
      <w:divBdr>
        <w:top w:val="none" w:sz="0" w:space="0" w:color="auto"/>
        <w:left w:val="none" w:sz="0" w:space="0" w:color="auto"/>
        <w:bottom w:val="none" w:sz="0" w:space="0" w:color="auto"/>
        <w:right w:val="none" w:sz="0" w:space="0" w:color="auto"/>
      </w:divBdr>
    </w:div>
    <w:div w:id="903565035">
      <w:bodyDiv w:val="1"/>
      <w:marLeft w:val="0"/>
      <w:marRight w:val="0"/>
      <w:marTop w:val="0"/>
      <w:marBottom w:val="0"/>
      <w:divBdr>
        <w:top w:val="none" w:sz="0" w:space="0" w:color="auto"/>
        <w:left w:val="none" w:sz="0" w:space="0" w:color="auto"/>
        <w:bottom w:val="none" w:sz="0" w:space="0" w:color="auto"/>
        <w:right w:val="none" w:sz="0" w:space="0" w:color="auto"/>
      </w:divBdr>
    </w:div>
    <w:div w:id="905605124">
      <w:bodyDiv w:val="1"/>
      <w:marLeft w:val="0"/>
      <w:marRight w:val="0"/>
      <w:marTop w:val="0"/>
      <w:marBottom w:val="0"/>
      <w:divBdr>
        <w:top w:val="none" w:sz="0" w:space="0" w:color="auto"/>
        <w:left w:val="none" w:sz="0" w:space="0" w:color="auto"/>
        <w:bottom w:val="none" w:sz="0" w:space="0" w:color="auto"/>
        <w:right w:val="none" w:sz="0" w:space="0" w:color="auto"/>
      </w:divBdr>
    </w:div>
    <w:div w:id="906112372">
      <w:bodyDiv w:val="1"/>
      <w:marLeft w:val="0"/>
      <w:marRight w:val="0"/>
      <w:marTop w:val="0"/>
      <w:marBottom w:val="0"/>
      <w:divBdr>
        <w:top w:val="none" w:sz="0" w:space="0" w:color="auto"/>
        <w:left w:val="none" w:sz="0" w:space="0" w:color="auto"/>
        <w:bottom w:val="none" w:sz="0" w:space="0" w:color="auto"/>
        <w:right w:val="none" w:sz="0" w:space="0" w:color="auto"/>
      </w:divBdr>
    </w:div>
    <w:div w:id="906649522">
      <w:bodyDiv w:val="1"/>
      <w:marLeft w:val="0"/>
      <w:marRight w:val="0"/>
      <w:marTop w:val="0"/>
      <w:marBottom w:val="0"/>
      <w:divBdr>
        <w:top w:val="none" w:sz="0" w:space="0" w:color="auto"/>
        <w:left w:val="none" w:sz="0" w:space="0" w:color="auto"/>
        <w:bottom w:val="none" w:sz="0" w:space="0" w:color="auto"/>
        <w:right w:val="none" w:sz="0" w:space="0" w:color="auto"/>
      </w:divBdr>
    </w:div>
    <w:div w:id="911355908">
      <w:bodyDiv w:val="1"/>
      <w:marLeft w:val="0"/>
      <w:marRight w:val="0"/>
      <w:marTop w:val="0"/>
      <w:marBottom w:val="0"/>
      <w:divBdr>
        <w:top w:val="none" w:sz="0" w:space="0" w:color="auto"/>
        <w:left w:val="none" w:sz="0" w:space="0" w:color="auto"/>
        <w:bottom w:val="none" w:sz="0" w:space="0" w:color="auto"/>
        <w:right w:val="none" w:sz="0" w:space="0" w:color="auto"/>
      </w:divBdr>
    </w:div>
    <w:div w:id="929004076">
      <w:bodyDiv w:val="1"/>
      <w:marLeft w:val="0"/>
      <w:marRight w:val="0"/>
      <w:marTop w:val="0"/>
      <w:marBottom w:val="0"/>
      <w:divBdr>
        <w:top w:val="none" w:sz="0" w:space="0" w:color="auto"/>
        <w:left w:val="none" w:sz="0" w:space="0" w:color="auto"/>
        <w:bottom w:val="none" w:sz="0" w:space="0" w:color="auto"/>
        <w:right w:val="none" w:sz="0" w:space="0" w:color="auto"/>
      </w:divBdr>
    </w:div>
    <w:div w:id="930351782">
      <w:bodyDiv w:val="1"/>
      <w:marLeft w:val="0"/>
      <w:marRight w:val="0"/>
      <w:marTop w:val="0"/>
      <w:marBottom w:val="0"/>
      <w:divBdr>
        <w:top w:val="none" w:sz="0" w:space="0" w:color="auto"/>
        <w:left w:val="none" w:sz="0" w:space="0" w:color="auto"/>
        <w:bottom w:val="none" w:sz="0" w:space="0" w:color="auto"/>
        <w:right w:val="none" w:sz="0" w:space="0" w:color="auto"/>
      </w:divBdr>
    </w:div>
    <w:div w:id="936863642">
      <w:bodyDiv w:val="1"/>
      <w:marLeft w:val="0"/>
      <w:marRight w:val="0"/>
      <w:marTop w:val="0"/>
      <w:marBottom w:val="0"/>
      <w:divBdr>
        <w:top w:val="none" w:sz="0" w:space="0" w:color="auto"/>
        <w:left w:val="none" w:sz="0" w:space="0" w:color="auto"/>
        <w:bottom w:val="none" w:sz="0" w:space="0" w:color="auto"/>
        <w:right w:val="none" w:sz="0" w:space="0" w:color="auto"/>
      </w:divBdr>
    </w:div>
    <w:div w:id="940265252">
      <w:bodyDiv w:val="1"/>
      <w:marLeft w:val="0"/>
      <w:marRight w:val="0"/>
      <w:marTop w:val="0"/>
      <w:marBottom w:val="0"/>
      <w:divBdr>
        <w:top w:val="none" w:sz="0" w:space="0" w:color="auto"/>
        <w:left w:val="none" w:sz="0" w:space="0" w:color="auto"/>
        <w:bottom w:val="none" w:sz="0" w:space="0" w:color="auto"/>
        <w:right w:val="none" w:sz="0" w:space="0" w:color="auto"/>
      </w:divBdr>
    </w:div>
    <w:div w:id="941456548">
      <w:bodyDiv w:val="1"/>
      <w:marLeft w:val="0"/>
      <w:marRight w:val="0"/>
      <w:marTop w:val="0"/>
      <w:marBottom w:val="0"/>
      <w:divBdr>
        <w:top w:val="none" w:sz="0" w:space="0" w:color="auto"/>
        <w:left w:val="none" w:sz="0" w:space="0" w:color="auto"/>
        <w:bottom w:val="none" w:sz="0" w:space="0" w:color="auto"/>
        <w:right w:val="none" w:sz="0" w:space="0" w:color="auto"/>
      </w:divBdr>
    </w:div>
    <w:div w:id="943029509">
      <w:bodyDiv w:val="1"/>
      <w:marLeft w:val="0"/>
      <w:marRight w:val="0"/>
      <w:marTop w:val="0"/>
      <w:marBottom w:val="0"/>
      <w:divBdr>
        <w:top w:val="none" w:sz="0" w:space="0" w:color="auto"/>
        <w:left w:val="none" w:sz="0" w:space="0" w:color="auto"/>
        <w:bottom w:val="none" w:sz="0" w:space="0" w:color="auto"/>
        <w:right w:val="none" w:sz="0" w:space="0" w:color="auto"/>
      </w:divBdr>
    </w:div>
    <w:div w:id="946430334">
      <w:bodyDiv w:val="1"/>
      <w:marLeft w:val="0"/>
      <w:marRight w:val="0"/>
      <w:marTop w:val="0"/>
      <w:marBottom w:val="0"/>
      <w:divBdr>
        <w:top w:val="none" w:sz="0" w:space="0" w:color="auto"/>
        <w:left w:val="none" w:sz="0" w:space="0" w:color="auto"/>
        <w:bottom w:val="none" w:sz="0" w:space="0" w:color="auto"/>
        <w:right w:val="none" w:sz="0" w:space="0" w:color="auto"/>
      </w:divBdr>
    </w:div>
    <w:div w:id="951129209">
      <w:bodyDiv w:val="1"/>
      <w:marLeft w:val="0"/>
      <w:marRight w:val="0"/>
      <w:marTop w:val="0"/>
      <w:marBottom w:val="0"/>
      <w:divBdr>
        <w:top w:val="none" w:sz="0" w:space="0" w:color="auto"/>
        <w:left w:val="none" w:sz="0" w:space="0" w:color="auto"/>
        <w:bottom w:val="none" w:sz="0" w:space="0" w:color="auto"/>
        <w:right w:val="none" w:sz="0" w:space="0" w:color="auto"/>
      </w:divBdr>
    </w:div>
    <w:div w:id="951281821">
      <w:bodyDiv w:val="1"/>
      <w:marLeft w:val="0"/>
      <w:marRight w:val="0"/>
      <w:marTop w:val="0"/>
      <w:marBottom w:val="0"/>
      <w:divBdr>
        <w:top w:val="none" w:sz="0" w:space="0" w:color="auto"/>
        <w:left w:val="none" w:sz="0" w:space="0" w:color="auto"/>
        <w:bottom w:val="none" w:sz="0" w:space="0" w:color="auto"/>
        <w:right w:val="none" w:sz="0" w:space="0" w:color="auto"/>
      </w:divBdr>
    </w:div>
    <w:div w:id="951865905">
      <w:bodyDiv w:val="1"/>
      <w:marLeft w:val="0"/>
      <w:marRight w:val="0"/>
      <w:marTop w:val="0"/>
      <w:marBottom w:val="0"/>
      <w:divBdr>
        <w:top w:val="none" w:sz="0" w:space="0" w:color="auto"/>
        <w:left w:val="none" w:sz="0" w:space="0" w:color="auto"/>
        <w:bottom w:val="none" w:sz="0" w:space="0" w:color="auto"/>
        <w:right w:val="none" w:sz="0" w:space="0" w:color="auto"/>
      </w:divBdr>
    </w:div>
    <w:div w:id="956762381">
      <w:bodyDiv w:val="1"/>
      <w:marLeft w:val="0"/>
      <w:marRight w:val="0"/>
      <w:marTop w:val="0"/>
      <w:marBottom w:val="0"/>
      <w:divBdr>
        <w:top w:val="none" w:sz="0" w:space="0" w:color="auto"/>
        <w:left w:val="none" w:sz="0" w:space="0" w:color="auto"/>
        <w:bottom w:val="none" w:sz="0" w:space="0" w:color="auto"/>
        <w:right w:val="none" w:sz="0" w:space="0" w:color="auto"/>
      </w:divBdr>
    </w:div>
    <w:div w:id="958073481">
      <w:bodyDiv w:val="1"/>
      <w:marLeft w:val="0"/>
      <w:marRight w:val="0"/>
      <w:marTop w:val="0"/>
      <w:marBottom w:val="0"/>
      <w:divBdr>
        <w:top w:val="none" w:sz="0" w:space="0" w:color="auto"/>
        <w:left w:val="none" w:sz="0" w:space="0" w:color="auto"/>
        <w:bottom w:val="none" w:sz="0" w:space="0" w:color="auto"/>
        <w:right w:val="none" w:sz="0" w:space="0" w:color="auto"/>
      </w:divBdr>
    </w:div>
    <w:div w:id="958678625">
      <w:bodyDiv w:val="1"/>
      <w:marLeft w:val="0"/>
      <w:marRight w:val="0"/>
      <w:marTop w:val="0"/>
      <w:marBottom w:val="0"/>
      <w:divBdr>
        <w:top w:val="none" w:sz="0" w:space="0" w:color="auto"/>
        <w:left w:val="none" w:sz="0" w:space="0" w:color="auto"/>
        <w:bottom w:val="none" w:sz="0" w:space="0" w:color="auto"/>
        <w:right w:val="none" w:sz="0" w:space="0" w:color="auto"/>
      </w:divBdr>
    </w:div>
    <w:div w:id="968050477">
      <w:bodyDiv w:val="1"/>
      <w:marLeft w:val="0"/>
      <w:marRight w:val="0"/>
      <w:marTop w:val="0"/>
      <w:marBottom w:val="0"/>
      <w:divBdr>
        <w:top w:val="none" w:sz="0" w:space="0" w:color="auto"/>
        <w:left w:val="none" w:sz="0" w:space="0" w:color="auto"/>
        <w:bottom w:val="none" w:sz="0" w:space="0" w:color="auto"/>
        <w:right w:val="none" w:sz="0" w:space="0" w:color="auto"/>
      </w:divBdr>
    </w:div>
    <w:div w:id="968125803">
      <w:bodyDiv w:val="1"/>
      <w:marLeft w:val="0"/>
      <w:marRight w:val="0"/>
      <w:marTop w:val="0"/>
      <w:marBottom w:val="0"/>
      <w:divBdr>
        <w:top w:val="none" w:sz="0" w:space="0" w:color="auto"/>
        <w:left w:val="none" w:sz="0" w:space="0" w:color="auto"/>
        <w:bottom w:val="none" w:sz="0" w:space="0" w:color="auto"/>
        <w:right w:val="none" w:sz="0" w:space="0" w:color="auto"/>
      </w:divBdr>
    </w:div>
    <w:div w:id="969284992">
      <w:bodyDiv w:val="1"/>
      <w:marLeft w:val="0"/>
      <w:marRight w:val="0"/>
      <w:marTop w:val="0"/>
      <w:marBottom w:val="0"/>
      <w:divBdr>
        <w:top w:val="none" w:sz="0" w:space="0" w:color="auto"/>
        <w:left w:val="none" w:sz="0" w:space="0" w:color="auto"/>
        <w:bottom w:val="none" w:sz="0" w:space="0" w:color="auto"/>
        <w:right w:val="none" w:sz="0" w:space="0" w:color="auto"/>
      </w:divBdr>
    </w:div>
    <w:div w:id="970086942">
      <w:bodyDiv w:val="1"/>
      <w:marLeft w:val="0"/>
      <w:marRight w:val="0"/>
      <w:marTop w:val="0"/>
      <w:marBottom w:val="0"/>
      <w:divBdr>
        <w:top w:val="none" w:sz="0" w:space="0" w:color="auto"/>
        <w:left w:val="none" w:sz="0" w:space="0" w:color="auto"/>
        <w:bottom w:val="none" w:sz="0" w:space="0" w:color="auto"/>
        <w:right w:val="none" w:sz="0" w:space="0" w:color="auto"/>
      </w:divBdr>
    </w:div>
    <w:div w:id="974146058">
      <w:bodyDiv w:val="1"/>
      <w:marLeft w:val="0"/>
      <w:marRight w:val="0"/>
      <w:marTop w:val="0"/>
      <w:marBottom w:val="0"/>
      <w:divBdr>
        <w:top w:val="none" w:sz="0" w:space="0" w:color="auto"/>
        <w:left w:val="none" w:sz="0" w:space="0" w:color="auto"/>
        <w:bottom w:val="none" w:sz="0" w:space="0" w:color="auto"/>
        <w:right w:val="none" w:sz="0" w:space="0" w:color="auto"/>
      </w:divBdr>
    </w:div>
    <w:div w:id="976255464">
      <w:bodyDiv w:val="1"/>
      <w:marLeft w:val="0"/>
      <w:marRight w:val="0"/>
      <w:marTop w:val="0"/>
      <w:marBottom w:val="0"/>
      <w:divBdr>
        <w:top w:val="none" w:sz="0" w:space="0" w:color="auto"/>
        <w:left w:val="none" w:sz="0" w:space="0" w:color="auto"/>
        <w:bottom w:val="none" w:sz="0" w:space="0" w:color="auto"/>
        <w:right w:val="none" w:sz="0" w:space="0" w:color="auto"/>
      </w:divBdr>
    </w:div>
    <w:div w:id="982079314">
      <w:bodyDiv w:val="1"/>
      <w:marLeft w:val="0"/>
      <w:marRight w:val="0"/>
      <w:marTop w:val="0"/>
      <w:marBottom w:val="0"/>
      <w:divBdr>
        <w:top w:val="none" w:sz="0" w:space="0" w:color="auto"/>
        <w:left w:val="none" w:sz="0" w:space="0" w:color="auto"/>
        <w:bottom w:val="none" w:sz="0" w:space="0" w:color="auto"/>
        <w:right w:val="none" w:sz="0" w:space="0" w:color="auto"/>
      </w:divBdr>
    </w:div>
    <w:div w:id="987980906">
      <w:bodyDiv w:val="1"/>
      <w:marLeft w:val="0"/>
      <w:marRight w:val="0"/>
      <w:marTop w:val="0"/>
      <w:marBottom w:val="0"/>
      <w:divBdr>
        <w:top w:val="none" w:sz="0" w:space="0" w:color="auto"/>
        <w:left w:val="none" w:sz="0" w:space="0" w:color="auto"/>
        <w:bottom w:val="none" w:sz="0" w:space="0" w:color="auto"/>
        <w:right w:val="none" w:sz="0" w:space="0" w:color="auto"/>
      </w:divBdr>
    </w:div>
    <w:div w:id="988633185">
      <w:bodyDiv w:val="1"/>
      <w:marLeft w:val="0"/>
      <w:marRight w:val="0"/>
      <w:marTop w:val="0"/>
      <w:marBottom w:val="0"/>
      <w:divBdr>
        <w:top w:val="none" w:sz="0" w:space="0" w:color="auto"/>
        <w:left w:val="none" w:sz="0" w:space="0" w:color="auto"/>
        <w:bottom w:val="none" w:sz="0" w:space="0" w:color="auto"/>
        <w:right w:val="none" w:sz="0" w:space="0" w:color="auto"/>
      </w:divBdr>
    </w:div>
    <w:div w:id="989016952">
      <w:bodyDiv w:val="1"/>
      <w:marLeft w:val="0"/>
      <w:marRight w:val="0"/>
      <w:marTop w:val="0"/>
      <w:marBottom w:val="0"/>
      <w:divBdr>
        <w:top w:val="none" w:sz="0" w:space="0" w:color="auto"/>
        <w:left w:val="none" w:sz="0" w:space="0" w:color="auto"/>
        <w:bottom w:val="none" w:sz="0" w:space="0" w:color="auto"/>
        <w:right w:val="none" w:sz="0" w:space="0" w:color="auto"/>
      </w:divBdr>
    </w:div>
    <w:div w:id="995958744">
      <w:bodyDiv w:val="1"/>
      <w:marLeft w:val="0"/>
      <w:marRight w:val="0"/>
      <w:marTop w:val="0"/>
      <w:marBottom w:val="0"/>
      <w:divBdr>
        <w:top w:val="none" w:sz="0" w:space="0" w:color="auto"/>
        <w:left w:val="none" w:sz="0" w:space="0" w:color="auto"/>
        <w:bottom w:val="none" w:sz="0" w:space="0" w:color="auto"/>
        <w:right w:val="none" w:sz="0" w:space="0" w:color="auto"/>
      </w:divBdr>
    </w:div>
    <w:div w:id="996298226">
      <w:bodyDiv w:val="1"/>
      <w:marLeft w:val="0"/>
      <w:marRight w:val="0"/>
      <w:marTop w:val="0"/>
      <w:marBottom w:val="0"/>
      <w:divBdr>
        <w:top w:val="none" w:sz="0" w:space="0" w:color="auto"/>
        <w:left w:val="none" w:sz="0" w:space="0" w:color="auto"/>
        <w:bottom w:val="none" w:sz="0" w:space="0" w:color="auto"/>
        <w:right w:val="none" w:sz="0" w:space="0" w:color="auto"/>
      </w:divBdr>
    </w:div>
    <w:div w:id="999849502">
      <w:bodyDiv w:val="1"/>
      <w:marLeft w:val="0"/>
      <w:marRight w:val="0"/>
      <w:marTop w:val="0"/>
      <w:marBottom w:val="0"/>
      <w:divBdr>
        <w:top w:val="none" w:sz="0" w:space="0" w:color="auto"/>
        <w:left w:val="none" w:sz="0" w:space="0" w:color="auto"/>
        <w:bottom w:val="none" w:sz="0" w:space="0" w:color="auto"/>
        <w:right w:val="none" w:sz="0" w:space="0" w:color="auto"/>
      </w:divBdr>
    </w:div>
    <w:div w:id="1000739113">
      <w:bodyDiv w:val="1"/>
      <w:marLeft w:val="0"/>
      <w:marRight w:val="0"/>
      <w:marTop w:val="0"/>
      <w:marBottom w:val="0"/>
      <w:divBdr>
        <w:top w:val="none" w:sz="0" w:space="0" w:color="auto"/>
        <w:left w:val="none" w:sz="0" w:space="0" w:color="auto"/>
        <w:bottom w:val="none" w:sz="0" w:space="0" w:color="auto"/>
        <w:right w:val="none" w:sz="0" w:space="0" w:color="auto"/>
      </w:divBdr>
    </w:div>
    <w:div w:id="1005087997">
      <w:bodyDiv w:val="1"/>
      <w:marLeft w:val="0"/>
      <w:marRight w:val="0"/>
      <w:marTop w:val="0"/>
      <w:marBottom w:val="0"/>
      <w:divBdr>
        <w:top w:val="none" w:sz="0" w:space="0" w:color="auto"/>
        <w:left w:val="none" w:sz="0" w:space="0" w:color="auto"/>
        <w:bottom w:val="none" w:sz="0" w:space="0" w:color="auto"/>
        <w:right w:val="none" w:sz="0" w:space="0" w:color="auto"/>
      </w:divBdr>
    </w:div>
    <w:div w:id="1007563051">
      <w:bodyDiv w:val="1"/>
      <w:marLeft w:val="0"/>
      <w:marRight w:val="0"/>
      <w:marTop w:val="0"/>
      <w:marBottom w:val="0"/>
      <w:divBdr>
        <w:top w:val="none" w:sz="0" w:space="0" w:color="auto"/>
        <w:left w:val="none" w:sz="0" w:space="0" w:color="auto"/>
        <w:bottom w:val="none" w:sz="0" w:space="0" w:color="auto"/>
        <w:right w:val="none" w:sz="0" w:space="0" w:color="auto"/>
      </w:divBdr>
    </w:div>
    <w:div w:id="1009332508">
      <w:bodyDiv w:val="1"/>
      <w:marLeft w:val="0"/>
      <w:marRight w:val="0"/>
      <w:marTop w:val="0"/>
      <w:marBottom w:val="0"/>
      <w:divBdr>
        <w:top w:val="none" w:sz="0" w:space="0" w:color="auto"/>
        <w:left w:val="none" w:sz="0" w:space="0" w:color="auto"/>
        <w:bottom w:val="none" w:sz="0" w:space="0" w:color="auto"/>
        <w:right w:val="none" w:sz="0" w:space="0" w:color="auto"/>
      </w:divBdr>
    </w:div>
    <w:div w:id="1010522274">
      <w:bodyDiv w:val="1"/>
      <w:marLeft w:val="0"/>
      <w:marRight w:val="0"/>
      <w:marTop w:val="0"/>
      <w:marBottom w:val="0"/>
      <w:divBdr>
        <w:top w:val="none" w:sz="0" w:space="0" w:color="auto"/>
        <w:left w:val="none" w:sz="0" w:space="0" w:color="auto"/>
        <w:bottom w:val="none" w:sz="0" w:space="0" w:color="auto"/>
        <w:right w:val="none" w:sz="0" w:space="0" w:color="auto"/>
      </w:divBdr>
    </w:div>
    <w:div w:id="1012924663">
      <w:bodyDiv w:val="1"/>
      <w:marLeft w:val="0"/>
      <w:marRight w:val="0"/>
      <w:marTop w:val="0"/>
      <w:marBottom w:val="0"/>
      <w:divBdr>
        <w:top w:val="none" w:sz="0" w:space="0" w:color="auto"/>
        <w:left w:val="none" w:sz="0" w:space="0" w:color="auto"/>
        <w:bottom w:val="none" w:sz="0" w:space="0" w:color="auto"/>
        <w:right w:val="none" w:sz="0" w:space="0" w:color="auto"/>
      </w:divBdr>
    </w:div>
    <w:div w:id="1029524341">
      <w:bodyDiv w:val="1"/>
      <w:marLeft w:val="0"/>
      <w:marRight w:val="0"/>
      <w:marTop w:val="0"/>
      <w:marBottom w:val="0"/>
      <w:divBdr>
        <w:top w:val="none" w:sz="0" w:space="0" w:color="auto"/>
        <w:left w:val="none" w:sz="0" w:space="0" w:color="auto"/>
        <w:bottom w:val="none" w:sz="0" w:space="0" w:color="auto"/>
        <w:right w:val="none" w:sz="0" w:space="0" w:color="auto"/>
      </w:divBdr>
    </w:div>
    <w:div w:id="1040400344">
      <w:bodyDiv w:val="1"/>
      <w:marLeft w:val="0"/>
      <w:marRight w:val="0"/>
      <w:marTop w:val="0"/>
      <w:marBottom w:val="0"/>
      <w:divBdr>
        <w:top w:val="none" w:sz="0" w:space="0" w:color="auto"/>
        <w:left w:val="none" w:sz="0" w:space="0" w:color="auto"/>
        <w:bottom w:val="none" w:sz="0" w:space="0" w:color="auto"/>
        <w:right w:val="none" w:sz="0" w:space="0" w:color="auto"/>
      </w:divBdr>
    </w:div>
    <w:div w:id="1047341628">
      <w:bodyDiv w:val="1"/>
      <w:marLeft w:val="0"/>
      <w:marRight w:val="0"/>
      <w:marTop w:val="0"/>
      <w:marBottom w:val="0"/>
      <w:divBdr>
        <w:top w:val="none" w:sz="0" w:space="0" w:color="auto"/>
        <w:left w:val="none" w:sz="0" w:space="0" w:color="auto"/>
        <w:bottom w:val="none" w:sz="0" w:space="0" w:color="auto"/>
        <w:right w:val="none" w:sz="0" w:space="0" w:color="auto"/>
      </w:divBdr>
    </w:div>
    <w:div w:id="1049837287">
      <w:bodyDiv w:val="1"/>
      <w:marLeft w:val="0"/>
      <w:marRight w:val="0"/>
      <w:marTop w:val="0"/>
      <w:marBottom w:val="0"/>
      <w:divBdr>
        <w:top w:val="none" w:sz="0" w:space="0" w:color="auto"/>
        <w:left w:val="none" w:sz="0" w:space="0" w:color="auto"/>
        <w:bottom w:val="none" w:sz="0" w:space="0" w:color="auto"/>
        <w:right w:val="none" w:sz="0" w:space="0" w:color="auto"/>
      </w:divBdr>
    </w:div>
    <w:div w:id="1055853775">
      <w:bodyDiv w:val="1"/>
      <w:marLeft w:val="0"/>
      <w:marRight w:val="0"/>
      <w:marTop w:val="0"/>
      <w:marBottom w:val="0"/>
      <w:divBdr>
        <w:top w:val="none" w:sz="0" w:space="0" w:color="auto"/>
        <w:left w:val="none" w:sz="0" w:space="0" w:color="auto"/>
        <w:bottom w:val="none" w:sz="0" w:space="0" w:color="auto"/>
        <w:right w:val="none" w:sz="0" w:space="0" w:color="auto"/>
      </w:divBdr>
    </w:div>
    <w:div w:id="1061440831">
      <w:bodyDiv w:val="1"/>
      <w:marLeft w:val="0"/>
      <w:marRight w:val="0"/>
      <w:marTop w:val="0"/>
      <w:marBottom w:val="0"/>
      <w:divBdr>
        <w:top w:val="none" w:sz="0" w:space="0" w:color="auto"/>
        <w:left w:val="none" w:sz="0" w:space="0" w:color="auto"/>
        <w:bottom w:val="none" w:sz="0" w:space="0" w:color="auto"/>
        <w:right w:val="none" w:sz="0" w:space="0" w:color="auto"/>
      </w:divBdr>
    </w:div>
    <w:div w:id="1067072784">
      <w:bodyDiv w:val="1"/>
      <w:marLeft w:val="0"/>
      <w:marRight w:val="0"/>
      <w:marTop w:val="0"/>
      <w:marBottom w:val="0"/>
      <w:divBdr>
        <w:top w:val="none" w:sz="0" w:space="0" w:color="auto"/>
        <w:left w:val="none" w:sz="0" w:space="0" w:color="auto"/>
        <w:bottom w:val="none" w:sz="0" w:space="0" w:color="auto"/>
        <w:right w:val="none" w:sz="0" w:space="0" w:color="auto"/>
      </w:divBdr>
    </w:div>
    <w:div w:id="1067915364">
      <w:bodyDiv w:val="1"/>
      <w:marLeft w:val="0"/>
      <w:marRight w:val="0"/>
      <w:marTop w:val="0"/>
      <w:marBottom w:val="0"/>
      <w:divBdr>
        <w:top w:val="none" w:sz="0" w:space="0" w:color="auto"/>
        <w:left w:val="none" w:sz="0" w:space="0" w:color="auto"/>
        <w:bottom w:val="none" w:sz="0" w:space="0" w:color="auto"/>
        <w:right w:val="none" w:sz="0" w:space="0" w:color="auto"/>
      </w:divBdr>
    </w:div>
    <w:div w:id="1067918811">
      <w:bodyDiv w:val="1"/>
      <w:marLeft w:val="0"/>
      <w:marRight w:val="0"/>
      <w:marTop w:val="0"/>
      <w:marBottom w:val="0"/>
      <w:divBdr>
        <w:top w:val="none" w:sz="0" w:space="0" w:color="auto"/>
        <w:left w:val="none" w:sz="0" w:space="0" w:color="auto"/>
        <w:bottom w:val="none" w:sz="0" w:space="0" w:color="auto"/>
        <w:right w:val="none" w:sz="0" w:space="0" w:color="auto"/>
      </w:divBdr>
    </w:div>
    <w:div w:id="1071120977">
      <w:bodyDiv w:val="1"/>
      <w:marLeft w:val="0"/>
      <w:marRight w:val="0"/>
      <w:marTop w:val="0"/>
      <w:marBottom w:val="0"/>
      <w:divBdr>
        <w:top w:val="none" w:sz="0" w:space="0" w:color="auto"/>
        <w:left w:val="none" w:sz="0" w:space="0" w:color="auto"/>
        <w:bottom w:val="none" w:sz="0" w:space="0" w:color="auto"/>
        <w:right w:val="none" w:sz="0" w:space="0" w:color="auto"/>
      </w:divBdr>
    </w:div>
    <w:div w:id="1075131901">
      <w:bodyDiv w:val="1"/>
      <w:marLeft w:val="0"/>
      <w:marRight w:val="0"/>
      <w:marTop w:val="0"/>
      <w:marBottom w:val="0"/>
      <w:divBdr>
        <w:top w:val="none" w:sz="0" w:space="0" w:color="auto"/>
        <w:left w:val="none" w:sz="0" w:space="0" w:color="auto"/>
        <w:bottom w:val="none" w:sz="0" w:space="0" w:color="auto"/>
        <w:right w:val="none" w:sz="0" w:space="0" w:color="auto"/>
      </w:divBdr>
    </w:div>
    <w:div w:id="1079060877">
      <w:bodyDiv w:val="1"/>
      <w:marLeft w:val="0"/>
      <w:marRight w:val="0"/>
      <w:marTop w:val="0"/>
      <w:marBottom w:val="0"/>
      <w:divBdr>
        <w:top w:val="none" w:sz="0" w:space="0" w:color="auto"/>
        <w:left w:val="none" w:sz="0" w:space="0" w:color="auto"/>
        <w:bottom w:val="none" w:sz="0" w:space="0" w:color="auto"/>
        <w:right w:val="none" w:sz="0" w:space="0" w:color="auto"/>
      </w:divBdr>
    </w:div>
    <w:div w:id="1079593486">
      <w:bodyDiv w:val="1"/>
      <w:marLeft w:val="0"/>
      <w:marRight w:val="0"/>
      <w:marTop w:val="0"/>
      <w:marBottom w:val="0"/>
      <w:divBdr>
        <w:top w:val="none" w:sz="0" w:space="0" w:color="auto"/>
        <w:left w:val="none" w:sz="0" w:space="0" w:color="auto"/>
        <w:bottom w:val="none" w:sz="0" w:space="0" w:color="auto"/>
        <w:right w:val="none" w:sz="0" w:space="0" w:color="auto"/>
      </w:divBdr>
    </w:div>
    <w:div w:id="1080173365">
      <w:bodyDiv w:val="1"/>
      <w:marLeft w:val="0"/>
      <w:marRight w:val="0"/>
      <w:marTop w:val="0"/>
      <w:marBottom w:val="0"/>
      <w:divBdr>
        <w:top w:val="none" w:sz="0" w:space="0" w:color="auto"/>
        <w:left w:val="none" w:sz="0" w:space="0" w:color="auto"/>
        <w:bottom w:val="none" w:sz="0" w:space="0" w:color="auto"/>
        <w:right w:val="none" w:sz="0" w:space="0" w:color="auto"/>
      </w:divBdr>
    </w:div>
    <w:div w:id="1096511599">
      <w:bodyDiv w:val="1"/>
      <w:marLeft w:val="0"/>
      <w:marRight w:val="0"/>
      <w:marTop w:val="0"/>
      <w:marBottom w:val="0"/>
      <w:divBdr>
        <w:top w:val="none" w:sz="0" w:space="0" w:color="auto"/>
        <w:left w:val="none" w:sz="0" w:space="0" w:color="auto"/>
        <w:bottom w:val="none" w:sz="0" w:space="0" w:color="auto"/>
        <w:right w:val="none" w:sz="0" w:space="0" w:color="auto"/>
      </w:divBdr>
    </w:div>
    <w:div w:id="1096631895">
      <w:bodyDiv w:val="1"/>
      <w:marLeft w:val="0"/>
      <w:marRight w:val="0"/>
      <w:marTop w:val="0"/>
      <w:marBottom w:val="0"/>
      <w:divBdr>
        <w:top w:val="none" w:sz="0" w:space="0" w:color="auto"/>
        <w:left w:val="none" w:sz="0" w:space="0" w:color="auto"/>
        <w:bottom w:val="none" w:sz="0" w:space="0" w:color="auto"/>
        <w:right w:val="none" w:sz="0" w:space="0" w:color="auto"/>
      </w:divBdr>
    </w:div>
    <w:div w:id="1097677116">
      <w:bodyDiv w:val="1"/>
      <w:marLeft w:val="0"/>
      <w:marRight w:val="0"/>
      <w:marTop w:val="0"/>
      <w:marBottom w:val="0"/>
      <w:divBdr>
        <w:top w:val="none" w:sz="0" w:space="0" w:color="auto"/>
        <w:left w:val="none" w:sz="0" w:space="0" w:color="auto"/>
        <w:bottom w:val="none" w:sz="0" w:space="0" w:color="auto"/>
        <w:right w:val="none" w:sz="0" w:space="0" w:color="auto"/>
      </w:divBdr>
    </w:div>
    <w:div w:id="1103303536">
      <w:bodyDiv w:val="1"/>
      <w:marLeft w:val="0"/>
      <w:marRight w:val="0"/>
      <w:marTop w:val="0"/>
      <w:marBottom w:val="0"/>
      <w:divBdr>
        <w:top w:val="none" w:sz="0" w:space="0" w:color="auto"/>
        <w:left w:val="none" w:sz="0" w:space="0" w:color="auto"/>
        <w:bottom w:val="none" w:sz="0" w:space="0" w:color="auto"/>
        <w:right w:val="none" w:sz="0" w:space="0" w:color="auto"/>
      </w:divBdr>
    </w:div>
    <w:div w:id="1104770734">
      <w:bodyDiv w:val="1"/>
      <w:marLeft w:val="0"/>
      <w:marRight w:val="0"/>
      <w:marTop w:val="0"/>
      <w:marBottom w:val="0"/>
      <w:divBdr>
        <w:top w:val="none" w:sz="0" w:space="0" w:color="auto"/>
        <w:left w:val="none" w:sz="0" w:space="0" w:color="auto"/>
        <w:bottom w:val="none" w:sz="0" w:space="0" w:color="auto"/>
        <w:right w:val="none" w:sz="0" w:space="0" w:color="auto"/>
      </w:divBdr>
    </w:div>
    <w:div w:id="1110974390">
      <w:bodyDiv w:val="1"/>
      <w:marLeft w:val="0"/>
      <w:marRight w:val="0"/>
      <w:marTop w:val="0"/>
      <w:marBottom w:val="0"/>
      <w:divBdr>
        <w:top w:val="none" w:sz="0" w:space="0" w:color="auto"/>
        <w:left w:val="none" w:sz="0" w:space="0" w:color="auto"/>
        <w:bottom w:val="none" w:sz="0" w:space="0" w:color="auto"/>
        <w:right w:val="none" w:sz="0" w:space="0" w:color="auto"/>
      </w:divBdr>
    </w:div>
    <w:div w:id="1111435916">
      <w:bodyDiv w:val="1"/>
      <w:marLeft w:val="0"/>
      <w:marRight w:val="0"/>
      <w:marTop w:val="0"/>
      <w:marBottom w:val="0"/>
      <w:divBdr>
        <w:top w:val="none" w:sz="0" w:space="0" w:color="auto"/>
        <w:left w:val="none" w:sz="0" w:space="0" w:color="auto"/>
        <w:bottom w:val="none" w:sz="0" w:space="0" w:color="auto"/>
        <w:right w:val="none" w:sz="0" w:space="0" w:color="auto"/>
      </w:divBdr>
    </w:div>
    <w:div w:id="1112480836">
      <w:bodyDiv w:val="1"/>
      <w:marLeft w:val="0"/>
      <w:marRight w:val="0"/>
      <w:marTop w:val="0"/>
      <w:marBottom w:val="0"/>
      <w:divBdr>
        <w:top w:val="none" w:sz="0" w:space="0" w:color="auto"/>
        <w:left w:val="none" w:sz="0" w:space="0" w:color="auto"/>
        <w:bottom w:val="none" w:sz="0" w:space="0" w:color="auto"/>
        <w:right w:val="none" w:sz="0" w:space="0" w:color="auto"/>
      </w:divBdr>
    </w:div>
    <w:div w:id="1112941483">
      <w:bodyDiv w:val="1"/>
      <w:marLeft w:val="0"/>
      <w:marRight w:val="0"/>
      <w:marTop w:val="0"/>
      <w:marBottom w:val="0"/>
      <w:divBdr>
        <w:top w:val="none" w:sz="0" w:space="0" w:color="auto"/>
        <w:left w:val="none" w:sz="0" w:space="0" w:color="auto"/>
        <w:bottom w:val="none" w:sz="0" w:space="0" w:color="auto"/>
        <w:right w:val="none" w:sz="0" w:space="0" w:color="auto"/>
      </w:divBdr>
    </w:div>
    <w:div w:id="1124540982">
      <w:bodyDiv w:val="1"/>
      <w:marLeft w:val="0"/>
      <w:marRight w:val="0"/>
      <w:marTop w:val="0"/>
      <w:marBottom w:val="0"/>
      <w:divBdr>
        <w:top w:val="none" w:sz="0" w:space="0" w:color="auto"/>
        <w:left w:val="none" w:sz="0" w:space="0" w:color="auto"/>
        <w:bottom w:val="none" w:sz="0" w:space="0" w:color="auto"/>
        <w:right w:val="none" w:sz="0" w:space="0" w:color="auto"/>
      </w:divBdr>
    </w:div>
    <w:div w:id="1125274322">
      <w:bodyDiv w:val="1"/>
      <w:marLeft w:val="0"/>
      <w:marRight w:val="0"/>
      <w:marTop w:val="0"/>
      <w:marBottom w:val="0"/>
      <w:divBdr>
        <w:top w:val="none" w:sz="0" w:space="0" w:color="auto"/>
        <w:left w:val="none" w:sz="0" w:space="0" w:color="auto"/>
        <w:bottom w:val="none" w:sz="0" w:space="0" w:color="auto"/>
        <w:right w:val="none" w:sz="0" w:space="0" w:color="auto"/>
      </w:divBdr>
    </w:div>
    <w:div w:id="1131940704">
      <w:bodyDiv w:val="1"/>
      <w:marLeft w:val="0"/>
      <w:marRight w:val="0"/>
      <w:marTop w:val="0"/>
      <w:marBottom w:val="0"/>
      <w:divBdr>
        <w:top w:val="none" w:sz="0" w:space="0" w:color="auto"/>
        <w:left w:val="none" w:sz="0" w:space="0" w:color="auto"/>
        <w:bottom w:val="none" w:sz="0" w:space="0" w:color="auto"/>
        <w:right w:val="none" w:sz="0" w:space="0" w:color="auto"/>
      </w:divBdr>
    </w:div>
    <w:div w:id="1136216915">
      <w:bodyDiv w:val="1"/>
      <w:marLeft w:val="0"/>
      <w:marRight w:val="0"/>
      <w:marTop w:val="0"/>
      <w:marBottom w:val="0"/>
      <w:divBdr>
        <w:top w:val="none" w:sz="0" w:space="0" w:color="auto"/>
        <w:left w:val="none" w:sz="0" w:space="0" w:color="auto"/>
        <w:bottom w:val="none" w:sz="0" w:space="0" w:color="auto"/>
        <w:right w:val="none" w:sz="0" w:space="0" w:color="auto"/>
      </w:divBdr>
    </w:div>
    <w:div w:id="1137719127">
      <w:bodyDiv w:val="1"/>
      <w:marLeft w:val="0"/>
      <w:marRight w:val="0"/>
      <w:marTop w:val="0"/>
      <w:marBottom w:val="0"/>
      <w:divBdr>
        <w:top w:val="none" w:sz="0" w:space="0" w:color="auto"/>
        <w:left w:val="none" w:sz="0" w:space="0" w:color="auto"/>
        <w:bottom w:val="none" w:sz="0" w:space="0" w:color="auto"/>
        <w:right w:val="none" w:sz="0" w:space="0" w:color="auto"/>
      </w:divBdr>
    </w:div>
    <w:div w:id="1138957239">
      <w:bodyDiv w:val="1"/>
      <w:marLeft w:val="0"/>
      <w:marRight w:val="0"/>
      <w:marTop w:val="0"/>
      <w:marBottom w:val="0"/>
      <w:divBdr>
        <w:top w:val="none" w:sz="0" w:space="0" w:color="auto"/>
        <w:left w:val="none" w:sz="0" w:space="0" w:color="auto"/>
        <w:bottom w:val="none" w:sz="0" w:space="0" w:color="auto"/>
        <w:right w:val="none" w:sz="0" w:space="0" w:color="auto"/>
      </w:divBdr>
    </w:div>
    <w:div w:id="1141461448">
      <w:bodyDiv w:val="1"/>
      <w:marLeft w:val="0"/>
      <w:marRight w:val="0"/>
      <w:marTop w:val="0"/>
      <w:marBottom w:val="0"/>
      <w:divBdr>
        <w:top w:val="none" w:sz="0" w:space="0" w:color="auto"/>
        <w:left w:val="none" w:sz="0" w:space="0" w:color="auto"/>
        <w:bottom w:val="none" w:sz="0" w:space="0" w:color="auto"/>
        <w:right w:val="none" w:sz="0" w:space="0" w:color="auto"/>
      </w:divBdr>
    </w:div>
    <w:div w:id="1143498802">
      <w:bodyDiv w:val="1"/>
      <w:marLeft w:val="0"/>
      <w:marRight w:val="0"/>
      <w:marTop w:val="0"/>
      <w:marBottom w:val="0"/>
      <w:divBdr>
        <w:top w:val="none" w:sz="0" w:space="0" w:color="auto"/>
        <w:left w:val="none" w:sz="0" w:space="0" w:color="auto"/>
        <w:bottom w:val="none" w:sz="0" w:space="0" w:color="auto"/>
        <w:right w:val="none" w:sz="0" w:space="0" w:color="auto"/>
      </w:divBdr>
    </w:div>
    <w:div w:id="1145001689">
      <w:bodyDiv w:val="1"/>
      <w:marLeft w:val="0"/>
      <w:marRight w:val="0"/>
      <w:marTop w:val="0"/>
      <w:marBottom w:val="0"/>
      <w:divBdr>
        <w:top w:val="none" w:sz="0" w:space="0" w:color="auto"/>
        <w:left w:val="none" w:sz="0" w:space="0" w:color="auto"/>
        <w:bottom w:val="none" w:sz="0" w:space="0" w:color="auto"/>
        <w:right w:val="none" w:sz="0" w:space="0" w:color="auto"/>
      </w:divBdr>
    </w:div>
    <w:div w:id="1160005094">
      <w:bodyDiv w:val="1"/>
      <w:marLeft w:val="0"/>
      <w:marRight w:val="0"/>
      <w:marTop w:val="0"/>
      <w:marBottom w:val="0"/>
      <w:divBdr>
        <w:top w:val="none" w:sz="0" w:space="0" w:color="auto"/>
        <w:left w:val="none" w:sz="0" w:space="0" w:color="auto"/>
        <w:bottom w:val="none" w:sz="0" w:space="0" w:color="auto"/>
        <w:right w:val="none" w:sz="0" w:space="0" w:color="auto"/>
      </w:divBdr>
    </w:div>
    <w:div w:id="1160928973">
      <w:bodyDiv w:val="1"/>
      <w:marLeft w:val="0"/>
      <w:marRight w:val="0"/>
      <w:marTop w:val="0"/>
      <w:marBottom w:val="0"/>
      <w:divBdr>
        <w:top w:val="none" w:sz="0" w:space="0" w:color="auto"/>
        <w:left w:val="none" w:sz="0" w:space="0" w:color="auto"/>
        <w:bottom w:val="none" w:sz="0" w:space="0" w:color="auto"/>
        <w:right w:val="none" w:sz="0" w:space="0" w:color="auto"/>
      </w:divBdr>
    </w:div>
    <w:div w:id="1164510262">
      <w:bodyDiv w:val="1"/>
      <w:marLeft w:val="0"/>
      <w:marRight w:val="0"/>
      <w:marTop w:val="0"/>
      <w:marBottom w:val="0"/>
      <w:divBdr>
        <w:top w:val="none" w:sz="0" w:space="0" w:color="auto"/>
        <w:left w:val="none" w:sz="0" w:space="0" w:color="auto"/>
        <w:bottom w:val="none" w:sz="0" w:space="0" w:color="auto"/>
        <w:right w:val="none" w:sz="0" w:space="0" w:color="auto"/>
      </w:divBdr>
    </w:div>
    <w:div w:id="1164853134">
      <w:bodyDiv w:val="1"/>
      <w:marLeft w:val="0"/>
      <w:marRight w:val="0"/>
      <w:marTop w:val="0"/>
      <w:marBottom w:val="0"/>
      <w:divBdr>
        <w:top w:val="none" w:sz="0" w:space="0" w:color="auto"/>
        <w:left w:val="none" w:sz="0" w:space="0" w:color="auto"/>
        <w:bottom w:val="none" w:sz="0" w:space="0" w:color="auto"/>
        <w:right w:val="none" w:sz="0" w:space="0" w:color="auto"/>
      </w:divBdr>
    </w:div>
    <w:div w:id="1168250715">
      <w:bodyDiv w:val="1"/>
      <w:marLeft w:val="0"/>
      <w:marRight w:val="0"/>
      <w:marTop w:val="0"/>
      <w:marBottom w:val="0"/>
      <w:divBdr>
        <w:top w:val="none" w:sz="0" w:space="0" w:color="auto"/>
        <w:left w:val="none" w:sz="0" w:space="0" w:color="auto"/>
        <w:bottom w:val="none" w:sz="0" w:space="0" w:color="auto"/>
        <w:right w:val="none" w:sz="0" w:space="0" w:color="auto"/>
      </w:divBdr>
    </w:div>
    <w:div w:id="1169711331">
      <w:bodyDiv w:val="1"/>
      <w:marLeft w:val="0"/>
      <w:marRight w:val="0"/>
      <w:marTop w:val="0"/>
      <w:marBottom w:val="0"/>
      <w:divBdr>
        <w:top w:val="none" w:sz="0" w:space="0" w:color="auto"/>
        <w:left w:val="none" w:sz="0" w:space="0" w:color="auto"/>
        <w:bottom w:val="none" w:sz="0" w:space="0" w:color="auto"/>
        <w:right w:val="none" w:sz="0" w:space="0" w:color="auto"/>
      </w:divBdr>
    </w:div>
    <w:div w:id="1172061512">
      <w:bodyDiv w:val="1"/>
      <w:marLeft w:val="0"/>
      <w:marRight w:val="0"/>
      <w:marTop w:val="0"/>
      <w:marBottom w:val="0"/>
      <w:divBdr>
        <w:top w:val="none" w:sz="0" w:space="0" w:color="auto"/>
        <w:left w:val="none" w:sz="0" w:space="0" w:color="auto"/>
        <w:bottom w:val="none" w:sz="0" w:space="0" w:color="auto"/>
        <w:right w:val="none" w:sz="0" w:space="0" w:color="auto"/>
      </w:divBdr>
    </w:div>
    <w:div w:id="1178041162">
      <w:bodyDiv w:val="1"/>
      <w:marLeft w:val="0"/>
      <w:marRight w:val="0"/>
      <w:marTop w:val="0"/>
      <w:marBottom w:val="0"/>
      <w:divBdr>
        <w:top w:val="none" w:sz="0" w:space="0" w:color="auto"/>
        <w:left w:val="none" w:sz="0" w:space="0" w:color="auto"/>
        <w:bottom w:val="none" w:sz="0" w:space="0" w:color="auto"/>
        <w:right w:val="none" w:sz="0" w:space="0" w:color="auto"/>
      </w:divBdr>
    </w:div>
    <w:div w:id="1180004506">
      <w:bodyDiv w:val="1"/>
      <w:marLeft w:val="0"/>
      <w:marRight w:val="0"/>
      <w:marTop w:val="0"/>
      <w:marBottom w:val="0"/>
      <w:divBdr>
        <w:top w:val="none" w:sz="0" w:space="0" w:color="auto"/>
        <w:left w:val="none" w:sz="0" w:space="0" w:color="auto"/>
        <w:bottom w:val="none" w:sz="0" w:space="0" w:color="auto"/>
        <w:right w:val="none" w:sz="0" w:space="0" w:color="auto"/>
      </w:divBdr>
    </w:div>
    <w:div w:id="1199662914">
      <w:bodyDiv w:val="1"/>
      <w:marLeft w:val="0"/>
      <w:marRight w:val="0"/>
      <w:marTop w:val="0"/>
      <w:marBottom w:val="0"/>
      <w:divBdr>
        <w:top w:val="none" w:sz="0" w:space="0" w:color="auto"/>
        <w:left w:val="none" w:sz="0" w:space="0" w:color="auto"/>
        <w:bottom w:val="none" w:sz="0" w:space="0" w:color="auto"/>
        <w:right w:val="none" w:sz="0" w:space="0" w:color="auto"/>
      </w:divBdr>
    </w:div>
    <w:div w:id="1203514306">
      <w:bodyDiv w:val="1"/>
      <w:marLeft w:val="0"/>
      <w:marRight w:val="0"/>
      <w:marTop w:val="0"/>
      <w:marBottom w:val="0"/>
      <w:divBdr>
        <w:top w:val="none" w:sz="0" w:space="0" w:color="auto"/>
        <w:left w:val="none" w:sz="0" w:space="0" w:color="auto"/>
        <w:bottom w:val="none" w:sz="0" w:space="0" w:color="auto"/>
        <w:right w:val="none" w:sz="0" w:space="0" w:color="auto"/>
      </w:divBdr>
    </w:div>
    <w:div w:id="1210070678">
      <w:bodyDiv w:val="1"/>
      <w:marLeft w:val="0"/>
      <w:marRight w:val="0"/>
      <w:marTop w:val="0"/>
      <w:marBottom w:val="0"/>
      <w:divBdr>
        <w:top w:val="none" w:sz="0" w:space="0" w:color="auto"/>
        <w:left w:val="none" w:sz="0" w:space="0" w:color="auto"/>
        <w:bottom w:val="none" w:sz="0" w:space="0" w:color="auto"/>
        <w:right w:val="none" w:sz="0" w:space="0" w:color="auto"/>
      </w:divBdr>
    </w:div>
    <w:div w:id="1219124379">
      <w:bodyDiv w:val="1"/>
      <w:marLeft w:val="0"/>
      <w:marRight w:val="0"/>
      <w:marTop w:val="0"/>
      <w:marBottom w:val="0"/>
      <w:divBdr>
        <w:top w:val="none" w:sz="0" w:space="0" w:color="auto"/>
        <w:left w:val="none" w:sz="0" w:space="0" w:color="auto"/>
        <w:bottom w:val="none" w:sz="0" w:space="0" w:color="auto"/>
        <w:right w:val="none" w:sz="0" w:space="0" w:color="auto"/>
      </w:divBdr>
    </w:div>
    <w:div w:id="1221215351">
      <w:bodyDiv w:val="1"/>
      <w:marLeft w:val="0"/>
      <w:marRight w:val="0"/>
      <w:marTop w:val="0"/>
      <w:marBottom w:val="0"/>
      <w:divBdr>
        <w:top w:val="none" w:sz="0" w:space="0" w:color="auto"/>
        <w:left w:val="none" w:sz="0" w:space="0" w:color="auto"/>
        <w:bottom w:val="none" w:sz="0" w:space="0" w:color="auto"/>
        <w:right w:val="none" w:sz="0" w:space="0" w:color="auto"/>
      </w:divBdr>
    </w:div>
    <w:div w:id="1222323480">
      <w:bodyDiv w:val="1"/>
      <w:marLeft w:val="0"/>
      <w:marRight w:val="0"/>
      <w:marTop w:val="0"/>
      <w:marBottom w:val="0"/>
      <w:divBdr>
        <w:top w:val="none" w:sz="0" w:space="0" w:color="auto"/>
        <w:left w:val="none" w:sz="0" w:space="0" w:color="auto"/>
        <w:bottom w:val="none" w:sz="0" w:space="0" w:color="auto"/>
        <w:right w:val="none" w:sz="0" w:space="0" w:color="auto"/>
      </w:divBdr>
    </w:div>
    <w:div w:id="1225801419">
      <w:bodyDiv w:val="1"/>
      <w:marLeft w:val="0"/>
      <w:marRight w:val="0"/>
      <w:marTop w:val="0"/>
      <w:marBottom w:val="0"/>
      <w:divBdr>
        <w:top w:val="none" w:sz="0" w:space="0" w:color="auto"/>
        <w:left w:val="none" w:sz="0" w:space="0" w:color="auto"/>
        <w:bottom w:val="none" w:sz="0" w:space="0" w:color="auto"/>
        <w:right w:val="none" w:sz="0" w:space="0" w:color="auto"/>
      </w:divBdr>
    </w:div>
    <w:div w:id="1232735201">
      <w:bodyDiv w:val="1"/>
      <w:marLeft w:val="0"/>
      <w:marRight w:val="0"/>
      <w:marTop w:val="0"/>
      <w:marBottom w:val="0"/>
      <w:divBdr>
        <w:top w:val="none" w:sz="0" w:space="0" w:color="auto"/>
        <w:left w:val="none" w:sz="0" w:space="0" w:color="auto"/>
        <w:bottom w:val="none" w:sz="0" w:space="0" w:color="auto"/>
        <w:right w:val="none" w:sz="0" w:space="0" w:color="auto"/>
      </w:divBdr>
    </w:div>
    <w:div w:id="1232931919">
      <w:bodyDiv w:val="1"/>
      <w:marLeft w:val="0"/>
      <w:marRight w:val="0"/>
      <w:marTop w:val="0"/>
      <w:marBottom w:val="0"/>
      <w:divBdr>
        <w:top w:val="none" w:sz="0" w:space="0" w:color="auto"/>
        <w:left w:val="none" w:sz="0" w:space="0" w:color="auto"/>
        <w:bottom w:val="none" w:sz="0" w:space="0" w:color="auto"/>
        <w:right w:val="none" w:sz="0" w:space="0" w:color="auto"/>
      </w:divBdr>
    </w:div>
    <w:div w:id="1239286162">
      <w:bodyDiv w:val="1"/>
      <w:marLeft w:val="0"/>
      <w:marRight w:val="0"/>
      <w:marTop w:val="0"/>
      <w:marBottom w:val="0"/>
      <w:divBdr>
        <w:top w:val="none" w:sz="0" w:space="0" w:color="auto"/>
        <w:left w:val="none" w:sz="0" w:space="0" w:color="auto"/>
        <w:bottom w:val="none" w:sz="0" w:space="0" w:color="auto"/>
        <w:right w:val="none" w:sz="0" w:space="0" w:color="auto"/>
      </w:divBdr>
    </w:div>
    <w:div w:id="1242981224">
      <w:bodyDiv w:val="1"/>
      <w:marLeft w:val="0"/>
      <w:marRight w:val="0"/>
      <w:marTop w:val="0"/>
      <w:marBottom w:val="0"/>
      <w:divBdr>
        <w:top w:val="none" w:sz="0" w:space="0" w:color="auto"/>
        <w:left w:val="none" w:sz="0" w:space="0" w:color="auto"/>
        <w:bottom w:val="none" w:sz="0" w:space="0" w:color="auto"/>
        <w:right w:val="none" w:sz="0" w:space="0" w:color="auto"/>
      </w:divBdr>
    </w:div>
    <w:div w:id="1251306886">
      <w:bodyDiv w:val="1"/>
      <w:marLeft w:val="0"/>
      <w:marRight w:val="0"/>
      <w:marTop w:val="0"/>
      <w:marBottom w:val="0"/>
      <w:divBdr>
        <w:top w:val="none" w:sz="0" w:space="0" w:color="auto"/>
        <w:left w:val="none" w:sz="0" w:space="0" w:color="auto"/>
        <w:bottom w:val="none" w:sz="0" w:space="0" w:color="auto"/>
        <w:right w:val="none" w:sz="0" w:space="0" w:color="auto"/>
      </w:divBdr>
    </w:div>
    <w:div w:id="1254440019">
      <w:bodyDiv w:val="1"/>
      <w:marLeft w:val="0"/>
      <w:marRight w:val="0"/>
      <w:marTop w:val="0"/>
      <w:marBottom w:val="0"/>
      <w:divBdr>
        <w:top w:val="none" w:sz="0" w:space="0" w:color="auto"/>
        <w:left w:val="none" w:sz="0" w:space="0" w:color="auto"/>
        <w:bottom w:val="none" w:sz="0" w:space="0" w:color="auto"/>
        <w:right w:val="none" w:sz="0" w:space="0" w:color="auto"/>
      </w:divBdr>
    </w:div>
    <w:div w:id="1256593446">
      <w:bodyDiv w:val="1"/>
      <w:marLeft w:val="0"/>
      <w:marRight w:val="0"/>
      <w:marTop w:val="0"/>
      <w:marBottom w:val="0"/>
      <w:divBdr>
        <w:top w:val="none" w:sz="0" w:space="0" w:color="auto"/>
        <w:left w:val="none" w:sz="0" w:space="0" w:color="auto"/>
        <w:bottom w:val="none" w:sz="0" w:space="0" w:color="auto"/>
        <w:right w:val="none" w:sz="0" w:space="0" w:color="auto"/>
      </w:divBdr>
    </w:div>
    <w:div w:id="1269502524">
      <w:bodyDiv w:val="1"/>
      <w:marLeft w:val="0"/>
      <w:marRight w:val="0"/>
      <w:marTop w:val="0"/>
      <w:marBottom w:val="0"/>
      <w:divBdr>
        <w:top w:val="none" w:sz="0" w:space="0" w:color="auto"/>
        <w:left w:val="none" w:sz="0" w:space="0" w:color="auto"/>
        <w:bottom w:val="none" w:sz="0" w:space="0" w:color="auto"/>
        <w:right w:val="none" w:sz="0" w:space="0" w:color="auto"/>
      </w:divBdr>
    </w:div>
    <w:div w:id="1269510124">
      <w:bodyDiv w:val="1"/>
      <w:marLeft w:val="0"/>
      <w:marRight w:val="0"/>
      <w:marTop w:val="0"/>
      <w:marBottom w:val="0"/>
      <w:divBdr>
        <w:top w:val="none" w:sz="0" w:space="0" w:color="auto"/>
        <w:left w:val="none" w:sz="0" w:space="0" w:color="auto"/>
        <w:bottom w:val="none" w:sz="0" w:space="0" w:color="auto"/>
        <w:right w:val="none" w:sz="0" w:space="0" w:color="auto"/>
      </w:divBdr>
    </w:div>
    <w:div w:id="1270553484">
      <w:bodyDiv w:val="1"/>
      <w:marLeft w:val="0"/>
      <w:marRight w:val="0"/>
      <w:marTop w:val="0"/>
      <w:marBottom w:val="0"/>
      <w:divBdr>
        <w:top w:val="none" w:sz="0" w:space="0" w:color="auto"/>
        <w:left w:val="none" w:sz="0" w:space="0" w:color="auto"/>
        <w:bottom w:val="none" w:sz="0" w:space="0" w:color="auto"/>
        <w:right w:val="none" w:sz="0" w:space="0" w:color="auto"/>
      </w:divBdr>
    </w:div>
    <w:div w:id="1272663851">
      <w:bodyDiv w:val="1"/>
      <w:marLeft w:val="0"/>
      <w:marRight w:val="0"/>
      <w:marTop w:val="0"/>
      <w:marBottom w:val="0"/>
      <w:divBdr>
        <w:top w:val="none" w:sz="0" w:space="0" w:color="auto"/>
        <w:left w:val="none" w:sz="0" w:space="0" w:color="auto"/>
        <w:bottom w:val="none" w:sz="0" w:space="0" w:color="auto"/>
        <w:right w:val="none" w:sz="0" w:space="0" w:color="auto"/>
      </w:divBdr>
    </w:div>
    <w:div w:id="1276862017">
      <w:bodyDiv w:val="1"/>
      <w:marLeft w:val="0"/>
      <w:marRight w:val="0"/>
      <w:marTop w:val="0"/>
      <w:marBottom w:val="0"/>
      <w:divBdr>
        <w:top w:val="none" w:sz="0" w:space="0" w:color="auto"/>
        <w:left w:val="none" w:sz="0" w:space="0" w:color="auto"/>
        <w:bottom w:val="none" w:sz="0" w:space="0" w:color="auto"/>
        <w:right w:val="none" w:sz="0" w:space="0" w:color="auto"/>
      </w:divBdr>
    </w:div>
    <w:div w:id="1278214896">
      <w:bodyDiv w:val="1"/>
      <w:marLeft w:val="0"/>
      <w:marRight w:val="0"/>
      <w:marTop w:val="0"/>
      <w:marBottom w:val="0"/>
      <w:divBdr>
        <w:top w:val="none" w:sz="0" w:space="0" w:color="auto"/>
        <w:left w:val="none" w:sz="0" w:space="0" w:color="auto"/>
        <w:bottom w:val="none" w:sz="0" w:space="0" w:color="auto"/>
        <w:right w:val="none" w:sz="0" w:space="0" w:color="auto"/>
      </w:divBdr>
    </w:div>
    <w:div w:id="1282036028">
      <w:bodyDiv w:val="1"/>
      <w:marLeft w:val="0"/>
      <w:marRight w:val="0"/>
      <w:marTop w:val="0"/>
      <w:marBottom w:val="0"/>
      <w:divBdr>
        <w:top w:val="none" w:sz="0" w:space="0" w:color="auto"/>
        <w:left w:val="none" w:sz="0" w:space="0" w:color="auto"/>
        <w:bottom w:val="none" w:sz="0" w:space="0" w:color="auto"/>
        <w:right w:val="none" w:sz="0" w:space="0" w:color="auto"/>
      </w:divBdr>
    </w:div>
    <w:div w:id="1282223155">
      <w:bodyDiv w:val="1"/>
      <w:marLeft w:val="0"/>
      <w:marRight w:val="0"/>
      <w:marTop w:val="0"/>
      <w:marBottom w:val="0"/>
      <w:divBdr>
        <w:top w:val="none" w:sz="0" w:space="0" w:color="auto"/>
        <w:left w:val="none" w:sz="0" w:space="0" w:color="auto"/>
        <w:bottom w:val="none" w:sz="0" w:space="0" w:color="auto"/>
        <w:right w:val="none" w:sz="0" w:space="0" w:color="auto"/>
      </w:divBdr>
    </w:div>
    <w:div w:id="1288121872">
      <w:bodyDiv w:val="1"/>
      <w:marLeft w:val="0"/>
      <w:marRight w:val="0"/>
      <w:marTop w:val="0"/>
      <w:marBottom w:val="0"/>
      <w:divBdr>
        <w:top w:val="none" w:sz="0" w:space="0" w:color="auto"/>
        <w:left w:val="none" w:sz="0" w:space="0" w:color="auto"/>
        <w:bottom w:val="none" w:sz="0" w:space="0" w:color="auto"/>
        <w:right w:val="none" w:sz="0" w:space="0" w:color="auto"/>
      </w:divBdr>
    </w:div>
    <w:div w:id="1288510718">
      <w:bodyDiv w:val="1"/>
      <w:marLeft w:val="0"/>
      <w:marRight w:val="0"/>
      <w:marTop w:val="0"/>
      <w:marBottom w:val="0"/>
      <w:divBdr>
        <w:top w:val="none" w:sz="0" w:space="0" w:color="auto"/>
        <w:left w:val="none" w:sz="0" w:space="0" w:color="auto"/>
        <w:bottom w:val="none" w:sz="0" w:space="0" w:color="auto"/>
        <w:right w:val="none" w:sz="0" w:space="0" w:color="auto"/>
      </w:divBdr>
    </w:div>
    <w:div w:id="1288700599">
      <w:bodyDiv w:val="1"/>
      <w:marLeft w:val="0"/>
      <w:marRight w:val="0"/>
      <w:marTop w:val="0"/>
      <w:marBottom w:val="0"/>
      <w:divBdr>
        <w:top w:val="none" w:sz="0" w:space="0" w:color="auto"/>
        <w:left w:val="none" w:sz="0" w:space="0" w:color="auto"/>
        <w:bottom w:val="none" w:sz="0" w:space="0" w:color="auto"/>
        <w:right w:val="none" w:sz="0" w:space="0" w:color="auto"/>
      </w:divBdr>
    </w:div>
    <w:div w:id="1291668968">
      <w:bodyDiv w:val="1"/>
      <w:marLeft w:val="0"/>
      <w:marRight w:val="0"/>
      <w:marTop w:val="0"/>
      <w:marBottom w:val="0"/>
      <w:divBdr>
        <w:top w:val="none" w:sz="0" w:space="0" w:color="auto"/>
        <w:left w:val="none" w:sz="0" w:space="0" w:color="auto"/>
        <w:bottom w:val="none" w:sz="0" w:space="0" w:color="auto"/>
        <w:right w:val="none" w:sz="0" w:space="0" w:color="auto"/>
      </w:divBdr>
    </w:div>
    <w:div w:id="1292512463">
      <w:bodyDiv w:val="1"/>
      <w:marLeft w:val="0"/>
      <w:marRight w:val="0"/>
      <w:marTop w:val="0"/>
      <w:marBottom w:val="0"/>
      <w:divBdr>
        <w:top w:val="none" w:sz="0" w:space="0" w:color="auto"/>
        <w:left w:val="none" w:sz="0" w:space="0" w:color="auto"/>
        <w:bottom w:val="none" w:sz="0" w:space="0" w:color="auto"/>
        <w:right w:val="none" w:sz="0" w:space="0" w:color="auto"/>
      </w:divBdr>
    </w:div>
    <w:div w:id="1293554889">
      <w:bodyDiv w:val="1"/>
      <w:marLeft w:val="0"/>
      <w:marRight w:val="0"/>
      <w:marTop w:val="0"/>
      <w:marBottom w:val="0"/>
      <w:divBdr>
        <w:top w:val="none" w:sz="0" w:space="0" w:color="auto"/>
        <w:left w:val="none" w:sz="0" w:space="0" w:color="auto"/>
        <w:bottom w:val="none" w:sz="0" w:space="0" w:color="auto"/>
        <w:right w:val="none" w:sz="0" w:space="0" w:color="auto"/>
      </w:divBdr>
    </w:div>
    <w:div w:id="1294023741">
      <w:bodyDiv w:val="1"/>
      <w:marLeft w:val="0"/>
      <w:marRight w:val="0"/>
      <w:marTop w:val="0"/>
      <w:marBottom w:val="0"/>
      <w:divBdr>
        <w:top w:val="none" w:sz="0" w:space="0" w:color="auto"/>
        <w:left w:val="none" w:sz="0" w:space="0" w:color="auto"/>
        <w:bottom w:val="none" w:sz="0" w:space="0" w:color="auto"/>
        <w:right w:val="none" w:sz="0" w:space="0" w:color="auto"/>
      </w:divBdr>
    </w:div>
    <w:div w:id="1304197663">
      <w:bodyDiv w:val="1"/>
      <w:marLeft w:val="0"/>
      <w:marRight w:val="0"/>
      <w:marTop w:val="0"/>
      <w:marBottom w:val="0"/>
      <w:divBdr>
        <w:top w:val="none" w:sz="0" w:space="0" w:color="auto"/>
        <w:left w:val="none" w:sz="0" w:space="0" w:color="auto"/>
        <w:bottom w:val="none" w:sz="0" w:space="0" w:color="auto"/>
        <w:right w:val="none" w:sz="0" w:space="0" w:color="auto"/>
      </w:divBdr>
    </w:div>
    <w:div w:id="1304652636">
      <w:bodyDiv w:val="1"/>
      <w:marLeft w:val="0"/>
      <w:marRight w:val="0"/>
      <w:marTop w:val="0"/>
      <w:marBottom w:val="0"/>
      <w:divBdr>
        <w:top w:val="none" w:sz="0" w:space="0" w:color="auto"/>
        <w:left w:val="none" w:sz="0" w:space="0" w:color="auto"/>
        <w:bottom w:val="none" w:sz="0" w:space="0" w:color="auto"/>
        <w:right w:val="none" w:sz="0" w:space="0" w:color="auto"/>
      </w:divBdr>
    </w:div>
    <w:div w:id="1306932769">
      <w:bodyDiv w:val="1"/>
      <w:marLeft w:val="0"/>
      <w:marRight w:val="0"/>
      <w:marTop w:val="0"/>
      <w:marBottom w:val="0"/>
      <w:divBdr>
        <w:top w:val="none" w:sz="0" w:space="0" w:color="auto"/>
        <w:left w:val="none" w:sz="0" w:space="0" w:color="auto"/>
        <w:bottom w:val="none" w:sz="0" w:space="0" w:color="auto"/>
        <w:right w:val="none" w:sz="0" w:space="0" w:color="auto"/>
      </w:divBdr>
    </w:div>
    <w:div w:id="1310863467">
      <w:bodyDiv w:val="1"/>
      <w:marLeft w:val="0"/>
      <w:marRight w:val="0"/>
      <w:marTop w:val="0"/>
      <w:marBottom w:val="0"/>
      <w:divBdr>
        <w:top w:val="none" w:sz="0" w:space="0" w:color="auto"/>
        <w:left w:val="none" w:sz="0" w:space="0" w:color="auto"/>
        <w:bottom w:val="none" w:sz="0" w:space="0" w:color="auto"/>
        <w:right w:val="none" w:sz="0" w:space="0" w:color="auto"/>
      </w:divBdr>
    </w:div>
    <w:div w:id="1313219272">
      <w:bodyDiv w:val="1"/>
      <w:marLeft w:val="0"/>
      <w:marRight w:val="0"/>
      <w:marTop w:val="0"/>
      <w:marBottom w:val="0"/>
      <w:divBdr>
        <w:top w:val="none" w:sz="0" w:space="0" w:color="auto"/>
        <w:left w:val="none" w:sz="0" w:space="0" w:color="auto"/>
        <w:bottom w:val="none" w:sz="0" w:space="0" w:color="auto"/>
        <w:right w:val="none" w:sz="0" w:space="0" w:color="auto"/>
      </w:divBdr>
    </w:div>
    <w:div w:id="1313412571">
      <w:bodyDiv w:val="1"/>
      <w:marLeft w:val="0"/>
      <w:marRight w:val="0"/>
      <w:marTop w:val="0"/>
      <w:marBottom w:val="0"/>
      <w:divBdr>
        <w:top w:val="none" w:sz="0" w:space="0" w:color="auto"/>
        <w:left w:val="none" w:sz="0" w:space="0" w:color="auto"/>
        <w:bottom w:val="none" w:sz="0" w:space="0" w:color="auto"/>
        <w:right w:val="none" w:sz="0" w:space="0" w:color="auto"/>
      </w:divBdr>
    </w:div>
    <w:div w:id="1318415820">
      <w:bodyDiv w:val="1"/>
      <w:marLeft w:val="0"/>
      <w:marRight w:val="0"/>
      <w:marTop w:val="0"/>
      <w:marBottom w:val="0"/>
      <w:divBdr>
        <w:top w:val="none" w:sz="0" w:space="0" w:color="auto"/>
        <w:left w:val="none" w:sz="0" w:space="0" w:color="auto"/>
        <w:bottom w:val="none" w:sz="0" w:space="0" w:color="auto"/>
        <w:right w:val="none" w:sz="0" w:space="0" w:color="auto"/>
      </w:divBdr>
    </w:div>
    <w:div w:id="1321421973">
      <w:bodyDiv w:val="1"/>
      <w:marLeft w:val="0"/>
      <w:marRight w:val="0"/>
      <w:marTop w:val="0"/>
      <w:marBottom w:val="0"/>
      <w:divBdr>
        <w:top w:val="none" w:sz="0" w:space="0" w:color="auto"/>
        <w:left w:val="none" w:sz="0" w:space="0" w:color="auto"/>
        <w:bottom w:val="none" w:sz="0" w:space="0" w:color="auto"/>
        <w:right w:val="none" w:sz="0" w:space="0" w:color="auto"/>
      </w:divBdr>
    </w:div>
    <w:div w:id="1321695451">
      <w:bodyDiv w:val="1"/>
      <w:marLeft w:val="0"/>
      <w:marRight w:val="0"/>
      <w:marTop w:val="0"/>
      <w:marBottom w:val="0"/>
      <w:divBdr>
        <w:top w:val="none" w:sz="0" w:space="0" w:color="auto"/>
        <w:left w:val="none" w:sz="0" w:space="0" w:color="auto"/>
        <w:bottom w:val="none" w:sz="0" w:space="0" w:color="auto"/>
        <w:right w:val="none" w:sz="0" w:space="0" w:color="auto"/>
      </w:divBdr>
    </w:div>
    <w:div w:id="1322468207">
      <w:bodyDiv w:val="1"/>
      <w:marLeft w:val="0"/>
      <w:marRight w:val="0"/>
      <w:marTop w:val="0"/>
      <w:marBottom w:val="0"/>
      <w:divBdr>
        <w:top w:val="none" w:sz="0" w:space="0" w:color="auto"/>
        <w:left w:val="none" w:sz="0" w:space="0" w:color="auto"/>
        <w:bottom w:val="none" w:sz="0" w:space="0" w:color="auto"/>
        <w:right w:val="none" w:sz="0" w:space="0" w:color="auto"/>
      </w:divBdr>
    </w:div>
    <w:div w:id="1323241664">
      <w:bodyDiv w:val="1"/>
      <w:marLeft w:val="0"/>
      <w:marRight w:val="0"/>
      <w:marTop w:val="0"/>
      <w:marBottom w:val="0"/>
      <w:divBdr>
        <w:top w:val="none" w:sz="0" w:space="0" w:color="auto"/>
        <w:left w:val="none" w:sz="0" w:space="0" w:color="auto"/>
        <w:bottom w:val="none" w:sz="0" w:space="0" w:color="auto"/>
        <w:right w:val="none" w:sz="0" w:space="0" w:color="auto"/>
      </w:divBdr>
    </w:div>
    <w:div w:id="1324505116">
      <w:bodyDiv w:val="1"/>
      <w:marLeft w:val="0"/>
      <w:marRight w:val="0"/>
      <w:marTop w:val="0"/>
      <w:marBottom w:val="0"/>
      <w:divBdr>
        <w:top w:val="none" w:sz="0" w:space="0" w:color="auto"/>
        <w:left w:val="none" w:sz="0" w:space="0" w:color="auto"/>
        <w:bottom w:val="none" w:sz="0" w:space="0" w:color="auto"/>
        <w:right w:val="none" w:sz="0" w:space="0" w:color="auto"/>
      </w:divBdr>
    </w:div>
    <w:div w:id="1327393883">
      <w:bodyDiv w:val="1"/>
      <w:marLeft w:val="0"/>
      <w:marRight w:val="0"/>
      <w:marTop w:val="0"/>
      <w:marBottom w:val="0"/>
      <w:divBdr>
        <w:top w:val="none" w:sz="0" w:space="0" w:color="auto"/>
        <w:left w:val="none" w:sz="0" w:space="0" w:color="auto"/>
        <w:bottom w:val="none" w:sz="0" w:space="0" w:color="auto"/>
        <w:right w:val="none" w:sz="0" w:space="0" w:color="auto"/>
      </w:divBdr>
    </w:div>
    <w:div w:id="1334607001">
      <w:bodyDiv w:val="1"/>
      <w:marLeft w:val="0"/>
      <w:marRight w:val="0"/>
      <w:marTop w:val="0"/>
      <w:marBottom w:val="0"/>
      <w:divBdr>
        <w:top w:val="none" w:sz="0" w:space="0" w:color="auto"/>
        <w:left w:val="none" w:sz="0" w:space="0" w:color="auto"/>
        <w:bottom w:val="none" w:sz="0" w:space="0" w:color="auto"/>
        <w:right w:val="none" w:sz="0" w:space="0" w:color="auto"/>
      </w:divBdr>
    </w:div>
    <w:div w:id="1340695033">
      <w:bodyDiv w:val="1"/>
      <w:marLeft w:val="0"/>
      <w:marRight w:val="0"/>
      <w:marTop w:val="0"/>
      <w:marBottom w:val="0"/>
      <w:divBdr>
        <w:top w:val="none" w:sz="0" w:space="0" w:color="auto"/>
        <w:left w:val="none" w:sz="0" w:space="0" w:color="auto"/>
        <w:bottom w:val="none" w:sz="0" w:space="0" w:color="auto"/>
        <w:right w:val="none" w:sz="0" w:space="0" w:color="auto"/>
      </w:divBdr>
    </w:div>
    <w:div w:id="1341856270">
      <w:bodyDiv w:val="1"/>
      <w:marLeft w:val="0"/>
      <w:marRight w:val="0"/>
      <w:marTop w:val="0"/>
      <w:marBottom w:val="0"/>
      <w:divBdr>
        <w:top w:val="none" w:sz="0" w:space="0" w:color="auto"/>
        <w:left w:val="none" w:sz="0" w:space="0" w:color="auto"/>
        <w:bottom w:val="none" w:sz="0" w:space="0" w:color="auto"/>
        <w:right w:val="none" w:sz="0" w:space="0" w:color="auto"/>
      </w:divBdr>
    </w:div>
    <w:div w:id="1343318909">
      <w:bodyDiv w:val="1"/>
      <w:marLeft w:val="0"/>
      <w:marRight w:val="0"/>
      <w:marTop w:val="0"/>
      <w:marBottom w:val="0"/>
      <w:divBdr>
        <w:top w:val="none" w:sz="0" w:space="0" w:color="auto"/>
        <w:left w:val="none" w:sz="0" w:space="0" w:color="auto"/>
        <w:bottom w:val="none" w:sz="0" w:space="0" w:color="auto"/>
        <w:right w:val="none" w:sz="0" w:space="0" w:color="auto"/>
      </w:divBdr>
    </w:div>
    <w:div w:id="1351372926">
      <w:bodyDiv w:val="1"/>
      <w:marLeft w:val="0"/>
      <w:marRight w:val="0"/>
      <w:marTop w:val="0"/>
      <w:marBottom w:val="0"/>
      <w:divBdr>
        <w:top w:val="none" w:sz="0" w:space="0" w:color="auto"/>
        <w:left w:val="none" w:sz="0" w:space="0" w:color="auto"/>
        <w:bottom w:val="none" w:sz="0" w:space="0" w:color="auto"/>
        <w:right w:val="none" w:sz="0" w:space="0" w:color="auto"/>
      </w:divBdr>
    </w:div>
    <w:div w:id="1353146213">
      <w:bodyDiv w:val="1"/>
      <w:marLeft w:val="0"/>
      <w:marRight w:val="0"/>
      <w:marTop w:val="0"/>
      <w:marBottom w:val="0"/>
      <w:divBdr>
        <w:top w:val="none" w:sz="0" w:space="0" w:color="auto"/>
        <w:left w:val="none" w:sz="0" w:space="0" w:color="auto"/>
        <w:bottom w:val="none" w:sz="0" w:space="0" w:color="auto"/>
        <w:right w:val="none" w:sz="0" w:space="0" w:color="auto"/>
      </w:divBdr>
    </w:div>
    <w:div w:id="1356807544">
      <w:bodyDiv w:val="1"/>
      <w:marLeft w:val="0"/>
      <w:marRight w:val="0"/>
      <w:marTop w:val="0"/>
      <w:marBottom w:val="0"/>
      <w:divBdr>
        <w:top w:val="none" w:sz="0" w:space="0" w:color="auto"/>
        <w:left w:val="none" w:sz="0" w:space="0" w:color="auto"/>
        <w:bottom w:val="none" w:sz="0" w:space="0" w:color="auto"/>
        <w:right w:val="none" w:sz="0" w:space="0" w:color="auto"/>
      </w:divBdr>
    </w:div>
    <w:div w:id="1360277317">
      <w:bodyDiv w:val="1"/>
      <w:marLeft w:val="0"/>
      <w:marRight w:val="0"/>
      <w:marTop w:val="0"/>
      <w:marBottom w:val="0"/>
      <w:divBdr>
        <w:top w:val="none" w:sz="0" w:space="0" w:color="auto"/>
        <w:left w:val="none" w:sz="0" w:space="0" w:color="auto"/>
        <w:bottom w:val="none" w:sz="0" w:space="0" w:color="auto"/>
        <w:right w:val="none" w:sz="0" w:space="0" w:color="auto"/>
      </w:divBdr>
    </w:div>
    <w:div w:id="1364401344">
      <w:bodyDiv w:val="1"/>
      <w:marLeft w:val="0"/>
      <w:marRight w:val="0"/>
      <w:marTop w:val="0"/>
      <w:marBottom w:val="0"/>
      <w:divBdr>
        <w:top w:val="none" w:sz="0" w:space="0" w:color="auto"/>
        <w:left w:val="none" w:sz="0" w:space="0" w:color="auto"/>
        <w:bottom w:val="none" w:sz="0" w:space="0" w:color="auto"/>
        <w:right w:val="none" w:sz="0" w:space="0" w:color="auto"/>
      </w:divBdr>
    </w:div>
    <w:div w:id="1364671898">
      <w:bodyDiv w:val="1"/>
      <w:marLeft w:val="0"/>
      <w:marRight w:val="0"/>
      <w:marTop w:val="0"/>
      <w:marBottom w:val="0"/>
      <w:divBdr>
        <w:top w:val="none" w:sz="0" w:space="0" w:color="auto"/>
        <w:left w:val="none" w:sz="0" w:space="0" w:color="auto"/>
        <w:bottom w:val="none" w:sz="0" w:space="0" w:color="auto"/>
        <w:right w:val="none" w:sz="0" w:space="0" w:color="auto"/>
      </w:divBdr>
    </w:div>
    <w:div w:id="1370647906">
      <w:bodyDiv w:val="1"/>
      <w:marLeft w:val="0"/>
      <w:marRight w:val="0"/>
      <w:marTop w:val="0"/>
      <w:marBottom w:val="0"/>
      <w:divBdr>
        <w:top w:val="none" w:sz="0" w:space="0" w:color="auto"/>
        <w:left w:val="none" w:sz="0" w:space="0" w:color="auto"/>
        <w:bottom w:val="none" w:sz="0" w:space="0" w:color="auto"/>
        <w:right w:val="none" w:sz="0" w:space="0" w:color="auto"/>
      </w:divBdr>
    </w:div>
    <w:div w:id="1376812365">
      <w:bodyDiv w:val="1"/>
      <w:marLeft w:val="0"/>
      <w:marRight w:val="0"/>
      <w:marTop w:val="0"/>
      <w:marBottom w:val="0"/>
      <w:divBdr>
        <w:top w:val="none" w:sz="0" w:space="0" w:color="auto"/>
        <w:left w:val="none" w:sz="0" w:space="0" w:color="auto"/>
        <w:bottom w:val="none" w:sz="0" w:space="0" w:color="auto"/>
        <w:right w:val="none" w:sz="0" w:space="0" w:color="auto"/>
      </w:divBdr>
    </w:div>
    <w:div w:id="1377438071">
      <w:bodyDiv w:val="1"/>
      <w:marLeft w:val="0"/>
      <w:marRight w:val="0"/>
      <w:marTop w:val="0"/>
      <w:marBottom w:val="0"/>
      <w:divBdr>
        <w:top w:val="none" w:sz="0" w:space="0" w:color="auto"/>
        <w:left w:val="none" w:sz="0" w:space="0" w:color="auto"/>
        <w:bottom w:val="none" w:sz="0" w:space="0" w:color="auto"/>
        <w:right w:val="none" w:sz="0" w:space="0" w:color="auto"/>
      </w:divBdr>
    </w:div>
    <w:div w:id="1380395147">
      <w:bodyDiv w:val="1"/>
      <w:marLeft w:val="0"/>
      <w:marRight w:val="0"/>
      <w:marTop w:val="0"/>
      <w:marBottom w:val="0"/>
      <w:divBdr>
        <w:top w:val="none" w:sz="0" w:space="0" w:color="auto"/>
        <w:left w:val="none" w:sz="0" w:space="0" w:color="auto"/>
        <w:bottom w:val="none" w:sz="0" w:space="0" w:color="auto"/>
        <w:right w:val="none" w:sz="0" w:space="0" w:color="auto"/>
      </w:divBdr>
    </w:div>
    <w:div w:id="1387801552">
      <w:bodyDiv w:val="1"/>
      <w:marLeft w:val="0"/>
      <w:marRight w:val="0"/>
      <w:marTop w:val="0"/>
      <w:marBottom w:val="0"/>
      <w:divBdr>
        <w:top w:val="none" w:sz="0" w:space="0" w:color="auto"/>
        <w:left w:val="none" w:sz="0" w:space="0" w:color="auto"/>
        <w:bottom w:val="none" w:sz="0" w:space="0" w:color="auto"/>
        <w:right w:val="none" w:sz="0" w:space="0" w:color="auto"/>
      </w:divBdr>
    </w:div>
    <w:div w:id="1389887514">
      <w:bodyDiv w:val="1"/>
      <w:marLeft w:val="0"/>
      <w:marRight w:val="0"/>
      <w:marTop w:val="0"/>
      <w:marBottom w:val="0"/>
      <w:divBdr>
        <w:top w:val="none" w:sz="0" w:space="0" w:color="auto"/>
        <w:left w:val="none" w:sz="0" w:space="0" w:color="auto"/>
        <w:bottom w:val="none" w:sz="0" w:space="0" w:color="auto"/>
        <w:right w:val="none" w:sz="0" w:space="0" w:color="auto"/>
      </w:divBdr>
    </w:div>
    <w:div w:id="1391074713">
      <w:bodyDiv w:val="1"/>
      <w:marLeft w:val="0"/>
      <w:marRight w:val="0"/>
      <w:marTop w:val="0"/>
      <w:marBottom w:val="0"/>
      <w:divBdr>
        <w:top w:val="none" w:sz="0" w:space="0" w:color="auto"/>
        <w:left w:val="none" w:sz="0" w:space="0" w:color="auto"/>
        <w:bottom w:val="none" w:sz="0" w:space="0" w:color="auto"/>
        <w:right w:val="none" w:sz="0" w:space="0" w:color="auto"/>
      </w:divBdr>
    </w:div>
    <w:div w:id="1397434091">
      <w:bodyDiv w:val="1"/>
      <w:marLeft w:val="0"/>
      <w:marRight w:val="0"/>
      <w:marTop w:val="0"/>
      <w:marBottom w:val="0"/>
      <w:divBdr>
        <w:top w:val="none" w:sz="0" w:space="0" w:color="auto"/>
        <w:left w:val="none" w:sz="0" w:space="0" w:color="auto"/>
        <w:bottom w:val="none" w:sz="0" w:space="0" w:color="auto"/>
        <w:right w:val="none" w:sz="0" w:space="0" w:color="auto"/>
      </w:divBdr>
    </w:div>
    <w:div w:id="1402022478">
      <w:bodyDiv w:val="1"/>
      <w:marLeft w:val="0"/>
      <w:marRight w:val="0"/>
      <w:marTop w:val="0"/>
      <w:marBottom w:val="0"/>
      <w:divBdr>
        <w:top w:val="none" w:sz="0" w:space="0" w:color="auto"/>
        <w:left w:val="none" w:sz="0" w:space="0" w:color="auto"/>
        <w:bottom w:val="none" w:sz="0" w:space="0" w:color="auto"/>
        <w:right w:val="none" w:sz="0" w:space="0" w:color="auto"/>
      </w:divBdr>
    </w:div>
    <w:div w:id="1402025736">
      <w:bodyDiv w:val="1"/>
      <w:marLeft w:val="0"/>
      <w:marRight w:val="0"/>
      <w:marTop w:val="0"/>
      <w:marBottom w:val="0"/>
      <w:divBdr>
        <w:top w:val="none" w:sz="0" w:space="0" w:color="auto"/>
        <w:left w:val="none" w:sz="0" w:space="0" w:color="auto"/>
        <w:bottom w:val="none" w:sz="0" w:space="0" w:color="auto"/>
        <w:right w:val="none" w:sz="0" w:space="0" w:color="auto"/>
      </w:divBdr>
    </w:div>
    <w:div w:id="1403674585">
      <w:bodyDiv w:val="1"/>
      <w:marLeft w:val="0"/>
      <w:marRight w:val="0"/>
      <w:marTop w:val="0"/>
      <w:marBottom w:val="0"/>
      <w:divBdr>
        <w:top w:val="none" w:sz="0" w:space="0" w:color="auto"/>
        <w:left w:val="none" w:sz="0" w:space="0" w:color="auto"/>
        <w:bottom w:val="none" w:sz="0" w:space="0" w:color="auto"/>
        <w:right w:val="none" w:sz="0" w:space="0" w:color="auto"/>
      </w:divBdr>
    </w:div>
    <w:div w:id="1405226225">
      <w:bodyDiv w:val="1"/>
      <w:marLeft w:val="0"/>
      <w:marRight w:val="0"/>
      <w:marTop w:val="0"/>
      <w:marBottom w:val="0"/>
      <w:divBdr>
        <w:top w:val="none" w:sz="0" w:space="0" w:color="auto"/>
        <w:left w:val="none" w:sz="0" w:space="0" w:color="auto"/>
        <w:bottom w:val="none" w:sz="0" w:space="0" w:color="auto"/>
        <w:right w:val="none" w:sz="0" w:space="0" w:color="auto"/>
      </w:divBdr>
    </w:div>
    <w:div w:id="1408848117">
      <w:bodyDiv w:val="1"/>
      <w:marLeft w:val="0"/>
      <w:marRight w:val="0"/>
      <w:marTop w:val="0"/>
      <w:marBottom w:val="0"/>
      <w:divBdr>
        <w:top w:val="none" w:sz="0" w:space="0" w:color="auto"/>
        <w:left w:val="none" w:sz="0" w:space="0" w:color="auto"/>
        <w:bottom w:val="none" w:sz="0" w:space="0" w:color="auto"/>
        <w:right w:val="none" w:sz="0" w:space="0" w:color="auto"/>
      </w:divBdr>
    </w:div>
    <w:div w:id="1412048964">
      <w:bodyDiv w:val="1"/>
      <w:marLeft w:val="0"/>
      <w:marRight w:val="0"/>
      <w:marTop w:val="0"/>
      <w:marBottom w:val="0"/>
      <w:divBdr>
        <w:top w:val="none" w:sz="0" w:space="0" w:color="auto"/>
        <w:left w:val="none" w:sz="0" w:space="0" w:color="auto"/>
        <w:bottom w:val="none" w:sz="0" w:space="0" w:color="auto"/>
        <w:right w:val="none" w:sz="0" w:space="0" w:color="auto"/>
      </w:divBdr>
    </w:div>
    <w:div w:id="1420179188">
      <w:bodyDiv w:val="1"/>
      <w:marLeft w:val="0"/>
      <w:marRight w:val="0"/>
      <w:marTop w:val="0"/>
      <w:marBottom w:val="0"/>
      <w:divBdr>
        <w:top w:val="none" w:sz="0" w:space="0" w:color="auto"/>
        <w:left w:val="none" w:sz="0" w:space="0" w:color="auto"/>
        <w:bottom w:val="none" w:sz="0" w:space="0" w:color="auto"/>
        <w:right w:val="none" w:sz="0" w:space="0" w:color="auto"/>
      </w:divBdr>
    </w:div>
    <w:div w:id="1429765176">
      <w:bodyDiv w:val="1"/>
      <w:marLeft w:val="0"/>
      <w:marRight w:val="0"/>
      <w:marTop w:val="0"/>
      <w:marBottom w:val="0"/>
      <w:divBdr>
        <w:top w:val="none" w:sz="0" w:space="0" w:color="auto"/>
        <w:left w:val="none" w:sz="0" w:space="0" w:color="auto"/>
        <w:bottom w:val="none" w:sz="0" w:space="0" w:color="auto"/>
        <w:right w:val="none" w:sz="0" w:space="0" w:color="auto"/>
      </w:divBdr>
    </w:div>
    <w:div w:id="1431705142">
      <w:bodyDiv w:val="1"/>
      <w:marLeft w:val="0"/>
      <w:marRight w:val="0"/>
      <w:marTop w:val="0"/>
      <w:marBottom w:val="0"/>
      <w:divBdr>
        <w:top w:val="none" w:sz="0" w:space="0" w:color="auto"/>
        <w:left w:val="none" w:sz="0" w:space="0" w:color="auto"/>
        <w:bottom w:val="none" w:sz="0" w:space="0" w:color="auto"/>
        <w:right w:val="none" w:sz="0" w:space="0" w:color="auto"/>
      </w:divBdr>
    </w:div>
    <w:div w:id="1435054656">
      <w:bodyDiv w:val="1"/>
      <w:marLeft w:val="0"/>
      <w:marRight w:val="0"/>
      <w:marTop w:val="0"/>
      <w:marBottom w:val="0"/>
      <w:divBdr>
        <w:top w:val="none" w:sz="0" w:space="0" w:color="auto"/>
        <w:left w:val="none" w:sz="0" w:space="0" w:color="auto"/>
        <w:bottom w:val="none" w:sz="0" w:space="0" w:color="auto"/>
        <w:right w:val="none" w:sz="0" w:space="0" w:color="auto"/>
      </w:divBdr>
    </w:div>
    <w:div w:id="1439645982">
      <w:bodyDiv w:val="1"/>
      <w:marLeft w:val="0"/>
      <w:marRight w:val="0"/>
      <w:marTop w:val="0"/>
      <w:marBottom w:val="0"/>
      <w:divBdr>
        <w:top w:val="none" w:sz="0" w:space="0" w:color="auto"/>
        <w:left w:val="none" w:sz="0" w:space="0" w:color="auto"/>
        <w:bottom w:val="none" w:sz="0" w:space="0" w:color="auto"/>
        <w:right w:val="none" w:sz="0" w:space="0" w:color="auto"/>
      </w:divBdr>
    </w:div>
    <w:div w:id="1440875451">
      <w:bodyDiv w:val="1"/>
      <w:marLeft w:val="0"/>
      <w:marRight w:val="0"/>
      <w:marTop w:val="0"/>
      <w:marBottom w:val="0"/>
      <w:divBdr>
        <w:top w:val="none" w:sz="0" w:space="0" w:color="auto"/>
        <w:left w:val="none" w:sz="0" w:space="0" w:color="auto"/>
        <w:bottom w:val="none" w:sz="0" w:space="0" w:color="auto"/>
        <w:right w:val="none" w:sz="0" w:space="0" w:color="auto"/>
      </w:divBdr>
    </w:div>
    <w:div w:id="1442799186">
      <w:bodyDiv w:val="1"/>
      <w:marLeft w:val="0"/>
      <w:marRight w:val="0"/>
      <w:marTop w:val="0"/>
      <w:marBottom w:val="0"/>
      <w:divBdr>
        <w:top w:val="none" w:sz="0" w:space="0" w:color="auto"/>
        <w:left w:val="none" w:sz="0" w:space="0" w:color="auto"/>
        <w:bottom w:val="none" w:sz="0" w:space="0" w:color="auto"/>
        <w:right w:val="none" w:sz="0" w:space="0" w:color="auto"/>
      </w:divBdr>
    </w:div>
    <w:div w:id="1444611152">
      <w:bodyDiv w:val="1"/>
      <w:marLeft w:val="0"/>
      <w:marRight w:val="0"/>
      <w:marTop w:val="0"/>
      <w:marBottom w:val="0"/>
      <w:divBdr>
        <w:top w:val="none" w:sz="0" w:space="0" w:color="auto"/>
        <w:left w:val="none" w:sz="0" w:space="0" w:color="auto"/>
        <w:bottom w:val="none" w:sz="0" w:space="0" w:color="auto"/>
        <w:right w:val="none" w:sz="0" w:space="0" w:color="auto"/>
      </w:divBdr>
    </w:div>
    <w:div w:id="1448045190">
      <w:bodyDiv w:val="1"/>
      <w:marLeft w:val="0"/>
      <w:marRight w:val="0"/>
      <w:marTop w:val="0"/>
      <w:marBottom w:val="0"/>
      <w:divBdr>
        <w:top w:val="none" w:sz="0" w:space="0" w:color="auto"/>
        <w:left w:val="none" w:sz="0" w:space="0" w:color="auto"/>
        <w:bottom w:val="none" w:sz="0" w:space="0" w:color="auto"/>
        <w:right w:val="none" w:sz="0" w:space="0" w:color="auto"/>
      </w:divBdr>
    </w:div>
    <w:div w:id="1449546159">
      <w:bodyDiv w:val="1"/>
      <w:marLeft w:val="0"/>
      <w:marRight w:val="0"/>
      <w:marTop w:val="0"/>
      <w:marBottom w:val="0"/>
      <w:divBdr>
        <w:top w:val="none" w:sz="0" w:space="0" w:color="auto"/>
        <w:left w:val="none" w:sz="0" w:space="0" w:color="auto"/>
        <w:bottom w:val="none" w:sz="0" w:space="0" w:color="auto"/>
        <w:right w:val="none" w:sz="0" w:space="0" w:color="auto"/>
      </w:divBdr>
    </w:div>
    <w:div w:id="1453283190">
      <w:bodyDiv w:val="1"/>
      <w:marLeft w:val="0"/>
      <w:marRight w:val="0"/>
      <w:marTop w:val="0"/>
      <w:marBottom w:val="0"/>
      <w:divBdr>
        <w:top w:val="none" w:sz="0" w:space="0" w:color="auto"/>
        <w:left w:val="none" w:sz="0" w:space="0" w:color="auto"/>
        <w:bottom w:val="none" w:sz="0" w:space="0" w:color="auto"/>
        <w:right w:val="none" w:sz="0" w:space="0" w:color="auto"/>
      </w:divBdr>
    </w:div>
    <w:div w:id="1455904027">
      <w:bodyDiv w:val="1"/>
      <w:marLeft w:val="0"/>
      <w:marRight w:val="0"/>
      <w:marTop w:val="0"/>
      <w:marBottom w:val="0"/>
      <w:divBdr>
        <w:top w:val="none" w:sz="0" w:space="0" w:color="auto"/>
        <w:left w:val="none" w:sz="0" w:space="0" w:color="auto"/>
        <w:bottom w:val="none" w:sz="0" w:space="0" w:color="auto"/>
        <w:right w:val="none" w:sz="0" w:space="0" w:color="auto"/>
      </w:divBdr>
    </w:div>
    <w:div w:id="1459371334">
      <w:bodyDiv w:val="1"/>
      <w:marLeft w:val="0"/>
      <w:marRight w:val="0"/>
      <w:marTop w:val="0"/>
      <w:marBottom w:val="0"/>
      <w:divBdr>
        <w:top w:val="none" w:sz="0" w:space="0" w:color="auto"/>
        <w:left w:val="none" w:sz="0" w:space="0" w:color="auto"/>
        <w:bottom w:val="none" w:sz="0" w:space="0" w:color="auto"/>
        <w:right w:val="none" w:sz="0" w:space="0" w:color="auto"/>
      </w:divBdr>
    </w:div>
    <w:div w:id="1467578259">
      <w:bodyDiv w:val="1"/>
      <w:marLeft w:val="0"/>
      <w:marRight w:val="0"/>
      <w:marTop w:val="0"/>
      <w:marBottom w:val="0"/>
      <w:divBdr>
        <w:top w:val="none" w:sz="0" w:space="0" w:color="auto"/>
        <w:left w:val="none" w:sz="0" w:space="0" w:color="auto"/>
        <w:bottom w:val="none" w:sz="0" w:space="0" w:color="auto"/>
        <w:right w:val="none" w:sz="0" w:space="0" w:color="auto"/>
      </w:divBdr>
    </w:div>
    <w:div w:id="1469083635">
      <w:bodyDiv w:val="1"/>
      <w:marLeft w:val="0"/>
      <w:marRight w:val="0"/>
      <w:marTop w:val="0"/>
      <w:marBottom w:val="0"/>
      <w:divBdr>
        <w:top w:val="none" w:sz="0" w:space="0" w:color="auto"/>
        <w:left w:val="none" w:sz="0" w:space="0" w:color="auto"/>
        <w:bottom w:val="none" w:sz="0" w:space="0" w:color="auto"/>
        <w:right w:val="none" w:sz="0" w:space="0" w:color="auto"/>
      </w:divBdr>
    </w:div>
    <w:div w:id="1469398332">
      <w:bodyDiv w:val="1"/>
      <w:marLeft w:val="0"/>
      <w:marRight w:val="0"/>
      <w:marTop w:val="0"/>
      <w:marBottom w:val="0"/>
      <w:divBdr>
        <w:top w:val="none" w:sz="0" w:space="0" w:color="auto"/>
        <w:left w:val="none" w:sz="0" w:space="0" w:color="auto"/>
        <w:bottom w:val="none" w:sz="0" w:space="0" w:color="auto"/>
        <w:right w:val="none" w:sz="0" w:space="0" w:color="auto"/>
      </w:divBdr>
    </w:div>
    <w:div w:id="1469861714">
      <w:bodyDiv w:val="1"/>
      <w:marLeft w:val="0"/>
      <w:marRight w:val="0"/>
      <w:marTop w:val="0"/>
      <w:marBottom w:val="0"/>
      <w:divBdr>
        <w:top w:val="none" w:sz="0" w:space="0" w:color="auto"/>
        <w:left w:val="none" w:sz="0" w:space="0" w:color="auto"/>
        <w:bottom w:val="none" w:sz="0" w:space="0" w:color="auto"/>
        <w:right w:val="none" w:sz="0" w:space="0" w:color="auto"/>
      </w:divBdr>
    </w:div>
    <w:div w:id="1473214824">
      <w:bodyDiv w:val="1"/>
      <w:marLeft w:val="0"/>
      <w:marRight w:val="0"/>
      <w:marTop w:val="0"/>
      <w:marBottom w:val="0"/>
      <w:divBdr>
        <w:top w:val="none" w:sz="0" w:space="0" w:color="auto"/>
        <w:left w:val="none" w:sz="0" w:space="0" w:color="auto"/>
        <w:bottom w:val="none" w:sz="0" w:space="0" w:color="auto"/>
        <w:right w:val="none" w:sz="0" w:space="0" w:color="auto"/>
      </w:divBdr>
    </w:div>
    <w:div w:id="1477339550">
      <w:bodyDiv w:val="1"/>
      <w:marLeft w:val="0"/>
      <w:marRight w:val="0"/>
      <w:marTop w:val="0"/>
      <w:marBottom w:val="0"/>
      <w:divBdr>
        <w:top w:val="none" w:sz="0" w:space="0" w:color="auto"/>
        <w:left w:val="none" w:sz="0" w:space="0" w:color="auto"/>
        <w:bottom w:val="none" w:sz="0" w:space="0" w:color="auto"/>
        <w:right w:val="none" w:sz="0" w:space="0" w:color="auto"/>
      </w:divBdr>
    </w:div>
    <w:div w:id="1478650024">
      <w:bodyDiv w:val="1"/>
      <w:marLeft w:val="0"/>
      <w:marRight w:val="0"/>
      <w:marTop w:val="0"/>
      <w:marBottom w:val="0"/>
      <w:divBdr>
        <w:top w:val="none" w:sz="0" w:space="0" w:color="auto"/>
        <w:left w:val="none" w:sz="0" w:space="0" w:color="auto"/>
        <w:bottom w:val="none" w:sz="0" w:space="0" w:color="auto"/>
        <w:right w:val="none" w:sz="0" w:space="0" w:color="auto"/>
      </w:divBdr>
    </w:div>
    <w:div w:id="1480687218">
      <w:bodyDiv w:val="1"/>
      <w:marLeft w:val="0"/>
      <w:marRight w:val="0"/>
      <w:marTop w:val="0"/>
      <w:marBottom w:val="0"/>
      <w:divBdr>
        <w:top w:val="none" w:sz="0" w:space="0" w:color="auto"/>
        <w:left w:val="none" w:sz="0" w:space="0" w:color="auto"/>
        <w:bottom w:val="none" w:sz="0" w:space="0" w:color="auto"/>
        <w:right w:val="none" w:sz="0" w:space="0" w:color="auto"/>
      </w:divBdr>
    </w:div>
    <w:div w:id="1484271198">
      <w:bodyDiv w:val="1"/>
      <w:marLeft w:val="0"/>
      <w:marRight w:val="0"/>
      <w:marTop w:val="0"/>
      <w:marBottom w:val="0"/>
      <w:divBdr>
        <w:top w:val="none" w:sz="0" w:space="0" w:color="auto"/>
        <w:left w:val="none" w:sz="0" w:space="0" w:color="auto"/>
        <w:bottom w:val="none" w:sz="0" w:space="0" w:color="auto"/>
        <w:right w:val="none" w:sz="0" w:space="0" w:color="auto"/>
      </w:divBdr>
    </w:div>
    <w:div w:id="1487210857">
      <w:bodyDiv w:val="1"/>
      <w:marLeft w:val="0"/>
      <w:marRight w:val="0"/>
      <w:marTop w:val="0"/>
      <w:marBottom w:val="0"/>
      <w:divBdr>
        <w:top w:val="none" w:sz="0" w:space="0" w:color="auto"/>
        <w:left w:val="none" w:sz="0" w:space="0" w:color="auto"/>
        <w:bottom w:val="none" w:sz="0" w:space="0" w:color="auto"/>
        <w:right w:val="none" w:sz="0" w:space="0" w:color="auto"/>
      </w:divBdr>
    </w:div>
    <w:div w:id="1490248331">
      <w:bodyDiv w:val="1"/>
      <w:marLeft w:val="0"/>
      <w:marRight w:val="0"/>
      <w:marTop w:val="0"/>
      <w:marBottom w:val="0"/>
      <w:divBdr>
        <w:top w:val="none" w:sz="0" w:space="0" w:color="auto"/>
        <w:left w:val="none" w:sz="0" w:space="0" w:color="auto"/>
        <w:bottom w:val="none" w:sz="0" w:space="0" w:color="auto"/>
        <w:right w:val="none" w:sz="0" w:space="0" w:color="auto"/>
      </w:divBdr>
    </w:div>
    <w:div w:id="1491407107">
      <w:bodyDiv w:val="1"/>
      <w:marLeft w:val="0"/>
      <w:marRight w:val="0"/>
      <w:marTop w:val="0"/>
      <w:marBottom w:val="0"/>
      <w:divBdr>
        <w:top w:val="none" w:sz="0" w:space="0" w:color="auto"/>
        <w:left w:val="none" w:sz="0" w:space="0" w:color="auto"/>
        <w:bottom w:val="none" w:sz="0" w:space="0" w:color="auto"/>
        <w:right w:val="none" w:sz="0" w:space="0" w:color="auto"/>
      </w:divBdr>
    </w:div>
    <w:div w:id="1495800541">
      <w:bodyDiv w:val="1"/>
      <w:marLeft w:val="0"/>
      <w:marRight w:val="0"/>
      <w:marTop w:val="0"/>
      <w:marBottom w:val="0"/>
      <w:divBdr>
        <w:top w:val="none" w:sz="0" w:space="0" w:color="auto"/>
        <w:left w:val="none" w:sz="0" w:space="0" w:color="auto"/>
        <w:bottom w:val="none" w:sz="0" w:space="0" w:color="auto"/>
        <w:right w:val="none" w:sz="0" w:space="0" w:color="auto"/>
      </w:divBdr>
    </w:div>
    <w:div w:id="1499879113">
      <w:bodyDiv w:val="1"/>
      <w:marLeft w:val="0"/>
      <w:marRight w:val="0"/>
      <w:marTop w:val="0"/>
      <w:marBottom w:val="0"/>
      <w:divBdr>
        <w:top w:val="none" w:sz="0" w:space="0" w:color="auto"/>
        <w:left w:val="none" w:sz="0" w:space="0" w:color="auto"/>
        <w:bottom w:val="none" w:sz="0" w:space="0" w:color="auto"/>
        <w:right w:val="none" w:sz="0" w:space="0" w:color="auto"/>
      </w:divBdr>
    </w:div>
    <w:div w:id="1504667619">
      <w:bodyDiv w:val="1"/>
      <w:marLeft w:val="0"/>
      <w:marRight w:val="0"/>
      <w:marTop w:val="0"/>
      <w:marBottom w:val="0"/>
      <w:divBdr>
        <w:top w:val="none" w:sz="0" w:space="0" w:color="auto"/>
        <w:left w:val="none" w:sz="0" w:space="0" w:color="auto"/>
        <w:bottom w:val="none" w:sz="0" w:space="0" w:color="auto"/>
        <w:right w:val="none" w:sz="0" w:space="0" w:color="auto"/>
      </w:divBdr>
    </w:div>
    <w:div w:id="1510828305">
      <w:bodyDiv w:val="1"/>
      <w:marLeft w:val="0"/>
      <w:marRight w:val="0"/>
      <w:marTop w:val="0"/>
      <w:marBottom w:val="0"/>
      <w:divBdr>
        <w:top w:val="none" w:sz="0" w:space="0" w:color="auto"/>
        <w:left w:val="none" w:sz="0" w:space="0" w:color="auto"/>
        <w:bottom w:val="none" w:sz="0" w:space="0" w:color="auto"/>
        <w:right w:val="none" w:sz="0" w:space="0" w:color="auto"/>
      </w:divBdr>
    </w:div>
    <w:div w:id="1514027239">
      <w:bodyDiv w:val="1"/>
      <w:marLeft w:val="0"/>
      <w:marRight w:val="0"/>
      <w:marTop w:val="0"/>
      <w:marBottom w:val="0"/>
      <w:divBdr>
        <w:top w:val="none" w:sz="0" w:space="0" w:color="auto"/>
        <w:left w:val="none" w:sz="0" w:space="0" w:color="auto"/>
        <w:bottom w:val="none" w:sz="0" w:space="0" w:color="auto"/>
        <w:right w:val="none" w:sz="0" w:space="0" w:color="auto"/>
      </w:divBdr>
    </w:div>
    <w:div w:id="1514108132">
      <w:bodyDiv w:val="1"/>
      <w:marLeft w:val="0"/>
      <w:marRight w:val="0"/>
      <w:marTop w:val="0"/>
      <w:marBottom w:val="0"/>
      <w:divBdr>
        <w:top w:val="none" w:sz="0" w:space="0" w:color="auto"/>
        <w:left w:val="none" w:sz="0" w:space="0" w:color="auto"/>
        <w:bottom w:val="none" w:sz="0" w:space="0" w:color="auto"/>
        <w:right w:val="none" w:sz="0" w:space="0" w:color="auto"/>
      </w:divBdr>
    </w:div>
    <w:div w:id="1516306695">
      <w:bodyDiv w:val="1"/>
      <w:marLeft w:val="0"/>
      <w:marRight w:val="0"/>
      <w:marTop w:val="0"/>
      <w:marBottom w:val="0"/>
      <w:divBdr>
        <w:top w:val="none" w:sz="0" w:space="0" w:color="auto"/>
        <w:left w:val="none" w:sz="0" w:space="0" w:color="auto"/>
        <w:bottom w:val="none" w:sz="0" w:space="0" w:color="auto"/>
        <w:right w:val="none" w:sz="0" w:space="0" w:color="auto"/>
      </w:divBdr>
    </w:div>
    <w:div w:id="1524712333">
      <w:bodyDiv w:val="1"/>
      <w:marLeft w:val="0"/>
      <w:marRight w:val="0"/>
      <w:marTop w:val="0"/>
      <w:marBottom w:val="0"/>
      <w:divBdr>
        <w:top w:val="none" w:sz="0" w:space="0" w:color="auto"/>
        <w:left w:val="none" w:sz="0" w:space="0" w:color="auto"/>
        <w:bottom w:val="none" w:sz="0" w:space="0" w:color="auto"/>
        <w:right w:val="none" w:sz="0" w:space="0" w:color="auto"/>
      </w:divBdr>
    </w:div>
    <w:div w:id="1527717639">
      <w:bodyDiv w:val="1"/>
      <w:marLeft w:val="0"/>
      <w:marRight w:val="0"/>
      <w:marTop w:val="0"/>
      <w:marBottom w:val="0"/>
      <w:divBdr>
        <w:top w:val="none" w:sz="0" w:space="0" w:color="auto"/>
        <w:left w:val="none" w:sz="0" w:space="0" w:color="auto"/>
        <w:bottom w:val="none" w:sz="0" w:space="0" w:color="auto"/>
        <w:right w:val="none" w:sz="0" w:space="0" w:color="auto"/>
      </w:divBdr>
    </w:div>
    <w:div w:id="1530534499">
      <w:bodyDiv w:val="1"/>
      <w:marLeft w:val="0"/>
      <w:marRight w:val="0"/>
      <w:marTop w:val="0"/>
      <w:marBottom w:val="0"/>
      <w:divBdr>
        <w:top w:val="none" w:sz="0" w:space="0" w:color="auto"/>
        <w:left w:val="none" w:sz="0" w:space="0" w:color="auto"/>
        <w:bottom w:val="none" w:sz="0" w:space="0" w:color="auto"/>
        <w:right w:val="none" w:sz="0" w:space="0" w:color="auto"/>
      </w:divBdr>
    </w:div>
    <w:div w:id="1537044430">
      <w:bodyDiv w:val="1"/>
      <w:marLeft w:val="0"/>
      <w:marRight w:val="0"/>
      <w:marTop w:val="0"/>
      <w:marBottom w:val="0"/>
      <w:divBdr>
        <w:top w:val="none" w:sz="0" w:space="0" w:color="auto"/>
        <w:left w:val="none" w:sz="0" w:space="0" w:color="auto"/>
        <w:bottom w:val="none" w:sz="0" w:space="0" w:color="auto"/>
        <w:right w:val="none" w:sz="0" w:space="0" w:color="auto"/>
      </w:divBdr>
    </w:div>
    <w:div w:id="1543052484">
      <w:bodyDiv w:val="1"/>
      <w:marLeft w:val="0"/>
      <w:marRight w:val="0"/>
      <w:marTop w:val="0"/>
      <w:marBottom w:val="0"/>
      <w:divBdr>
        <w:top w:val="none" w:sz="0" w:space="0" w:color="auto"/>
        <w:left w:val="none" w:sz="0" w:space="0" w:color="auto"/>
        <w:bottom w:val="none" w:sz="0" w:space="0" w:color="auto"/>
        <w:right w:val="none" w:sz="0" w:space="0" w:color="auto"/>
      </w:divBdr>
    </w:div>
    <w:div w:id="1546454798">
      <w:bodyDiv w:val="1"/>
      <w:marLeft w:val="0"/>
      <w:marRight w:val="0"/>
      <w:marTop w:val="0"/>
      <w:marBottom w:val="0"/>
      <w:divBdr>
        <w:top w:val="none" w:sz="0" w:space="0" w:color="auto"/>
        <w:left w:val="none" w:sz="0" w:space="0" w:color="auto"/>
        <w:bottom w:val="none" w:sz="0" w:space="0" w:color="auto"/>
        <w:right w:val="none" w:sz="0" w:space="0" w:color="auto"/>
      </w:divBdr>
    </w:div>
    <w:div w:id="1549150205">
      <w:bodyDiv w:val="1"/>
      <w:marLeft w:val="0"/>
      <w:marRight w:val="0"/>
      <w:marTop w:val="0"/>
      <w:marBottom w:val="0"/>
      <w:divBdr>
        <w:top w:val="none" w:sz="0" w:space="0" w:color="auto"/>
        <w:left w:val="none" w:sz="0" w:space="0" w:color="auto"/>
        <w:bottom w:val="none" w:sz="0" w:space="0" w:color="auto"/>
        <w:right w:val="none" w:sz="0" w:space="0" w:color="auto"/>
      </w:divBdr>
    </w:div>
    <w:div w:id="1550873728">
      <w:bodyDiv w:val="1"/>
      <w:marLeft w:val="0"/>
      <w:marRight w:val="0"/>
      <w:marTop w:val="0"/>
      <w:marBottom w:val="0"/>
      <w:divBdr>
        <w:top w:val="none" w:sz="0" w:space="0" w:color="auto"/>
        <w:left w:val="none" w:sz="0" w:space="0" w:color="auto"/>
        <w:bottom w:val="none" w:sz="0" w:space="0" w:color="auto"/>
        <w:right w:val="none" w:sz="0" w:space="0" w:color="auto"/>
      </w:divBdr>
    </w:div>
    <w:div w:id="1551110513">
      <w:bodyDiv w:val="1"/>
      <w:marLeft w:val="0"/>
      <w:marRight w:val="0"/>
      <w:marTop w:val="0"/>
      <w:marBottom w:val="0"/>
      <w:divBdr>
        <w:top w:val="none" w:sz="0" w:space="0" w:color="auto"/>
        <w:left w:val="none" w:sz="0" w:space="0" w:color="auto"/>
        <w:bottom w:val="none" w:sz="0" w:space="0" w:color="auto"/>
        <w:right w:val="none" w:sz="0" w:space="0" w:color="auto"/>
      </w:divBdr>
    </w:div>
    <w:div w:id="1551308489">
      <w:bodyDiv w:val="1"/>
      <w:marLeft w:val="0"/>
      <w:marRight w:val="0"/>
      <w:marTop w:val="0"/>
      <w:marBottom w:val="0"/>
      <w:divBdr>
        <w:top w:val="none" w:sz="0" w:space="0" w:color="auto"/>
        <w:left w:val="none" w:sz="0" w:space="0" w:color="auto"/>
        <w:bottom w:val="none" w:sz="0" w:space="0" w:color="auto"/>
        <w:right w:val="none" w:sz="0" w:space="0" w:color="auto"/>
      </w:divBdr>
      <w:divsChild>
        <w:div w:id="356126247">
          <w:marLeft w:val="0"/>
          <w:marRight w:val="0"/>
          <w:marTop w:val="0"/>
          <w:marBottom w:val="0"/>
          <w:divBdr>
            <w:top w:val="none" w:sz="0" w:space="0" w:color="auto"/>
            <w:left w:val="none" w:sz="0" w:space="0" w:color="auto"/>
            <w:bottom w:val="none" w:sz="0" w:space="0" w:color="auto"/>
            <w:right w:val="none" w:sz="0" w:space="0" w:color="auto"/>
          </w:divBdr>
          <w:divsChild>
            <w:div w:id="767120334">
              <w:marLeft w:val="0"/>
              <w:marRight w:val="0"/>
              <w:marTop w:val="0"/>
              <w:marBottom w:val="0"/>
              <w:divBdr>
                <w:top w:val="none" w:sz="0" w:space="0" w:color="auto"/>
                <w:left w:val="none" w:sz="0" w:space="0" w:color="auto"/>
                <w:bottom w:val="none" w:sz="0" w:space="0" w:color="auto"/>
                <w:right w:val="none" w:sz="0" w:space="0" w:color="auto"/>
              </w:divBdr>
            </w:div>
            <w:div w:id="854461568">
              <w:marLeft w:val="0"/>
              <w:marRight w:val="0"/>
              <w:marTop w:val="0"/>
              <w:marBottom w:val="600"/>
              <w:divBdr>
                <w:top w:val="none" w:sz="0" w:space="0" w:color="auto"/>
                <w:left w:val="none" w:sz="0" w:space="0" w:color="auto"/>
                <w:bottom w:val="none" w:sz="0" w:space="0" w:color="auto"/>
                <w:right w:val="none" w:sz="0" w:space="0" w:color="auto"/>
              </w:divBdr>
              <w:divsChild>
                <w:div w:id="1509176420">
                  <w:marLeft w:val="0"/>
                  <w:marRight w:val="0"/>
                  <w:marTop w:val="0"/>
                  <w:marBottom w:val="750"/>
                  <w:divBdr>
                    <w:top w:val="none" w:sz="0" w:space="0" w:color="auto"/>
                    <w:left w:val="none" w:sz="0" w:space="0" w:color="auto"/>
                    <w:bottom w:val="none" w:sz="0" w:space="0" w:color="auto"/>
                    <w:right w:val="none" w:sz="0" w:space="0" w:color="auto"/>
                  </w:divBdr>
                  <w:divsChild>
                    <w:div w:id="130489261">
                      <w:marLeft w:val="0"/>
                      <w:marRight w:val="0"/>
                      <w:marTop w:val="0"/>
                      <w:marBottom w:val="0"/>
                      <w:divBdr>
                        <w:top w:val="none" w:sz="0" w:space="0" w:color="auto"/>
                        <w:left w:val="none" w:sz="0" w:space="0" w:color="auto"/>
                        <w:bottom w:val="none" w:sz="0" w:space="0" w:color="auto"/>
                        <w:right w:val="none" w:sz="0" w:space="0" w:color="auto"/>
                      </w:divBdr>
                      <w:divsChild>
                        <w:div w:id="693844611">
                          <w:marLeft w:val="0"/>
                          <w:marRight w:val="0"/>
                          <w:marTop w:val="0"/>
                          <w:marBottom w:val="0"/>
                          <w:divBdr>
                            <w:top w:val="none" w:sz="0" w:space="0" w:color="auto"/>
                            <w:left w:val="none" w:sz="0" w:space="0" w:color="auto"/>
                            <w:bottom w:val="none" w:sz="0" w:space="0" w:color="auto"/>
                            <w:right w:val="none" w:sz="0" w:space="0" w:color="auto"/>
                          </w:divBdr>
                        </w:div>
                        <w:div w:id="1143736679">
                          <w:marLeft w:val="0"/>
                          <w:marRight w:val="0"/>
                          <w:marTop w:val="0"/>
                          <w:marBottom w:val="0"/>
                          <w:divBdr>
                            <w:top w:val="none" w:sz="0" w:space="0" w:color="auto"/>
                            <w:left w:val="none" w:sz="0" w:space="0" w:color="auto"/>
                            <w:bottom w:val="none" w:sz="0" w:space="0" w:color="auto"/>
                            <w:right w:val="none" w:sz="0" w:space="0" w:color="auto"/>
                          </w:divBdr>
                        </w:div>
                        <w:div w:id="108168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4800">
                  <w:marLeft w:val="0"/>
                  <w:marRight w:val="0"/>
                  <w:marTop w:val="0"/>
                  <w:marBottom w:val="0"/>
                  <w:divBdr>
                    <w:top w:val="none" w:sz="0" w:space="0" w:color="auto"/>
                    <w:left w:val="none" w:sz="0" w:space="0" w:color="auto"/>
                    <w:bottom w:val="none" w:sz="0" w:space="0" w:color="auto"/>
                    <w:right w:val="none" w:sz="0" w:space="0" w:color="auto"/>
                  </w:divBdr>
                  <w:divsChild>
                    <w:div w:id="994645482">
                      <w:marLeft w:val="0"/>
                      <w:marRight w:val="0"/>
                      <w:marTop w:val="0"/>
                      <w:marBottom w:val="0"/>
                      <w:divBdr>
                        <w:top w:val="none" w:sz="0" w:space="0" w:color="auto"/>
                        <w:left w:val="none" w:sz="0" w:space="0" w:color="auto"/>
                        <w:bottom w:val="none" w:sz="0" w:space="0" w:color="auto"/>
                        <w:right w:val="none" w:sz="0" w:space="0" w:color="auto"/>
                      </w:divBdr>
                    </w:div>
                    <w:div w:id="1240795226">
                      <w:marLeft w:val="0"/>
                      <w:marRight w:val="0"/>
                      <w:marTop w:val="0"/>
                      <w:marBottom w:val="0"/>
                      <w:divBdr>
                        <w:top w:val="none" w:sz="0" w:space="0" w:color="auto"/>
                        <w:left w:val="none" w:sz="0" w:space="0" w:color="auto"/>
                        <w:bottom w:val="none" w:sz="0" w:space="0" w:color="auto"/>
                        <w:right w:val="none" w:sz="0" w:space="0" w:color="auto"/>
                      </w:divBdr>
                    </w:div>
                    <w:div w:id="2117560011">
                      <w:marLeft w:val="0"/>
                      <w:marRight w:val="0"/>
                      <w:marTop w:val="0"/>
                      <w:marBottom w:val="0"/>
                      <w:divBdr>
                        <w:top w:val="none" w:sz="0" w:space="0" w:color="auto"/>
                        <w:left w:val="none" w:sz="0" w:space="0" w:color="auto"/>
                        <w:bottom w:val="none" w:sz="0" w:space="0" w:color="auto"/>
                        <w:right w:val="none" w:sz="0" w:space="0" w:color="auto"/>
                      </w:divBdr>
                    </w:div>
                    <w:div w:id="252011875">
                      <w:marLeft w:val="0"/>
                      <w:marRight w:val="0"/>
                      <w:marTop w:val="0"/>
                      <w:marBottom w:val="0"/>
                      <w:divBdr>
                        <w:top w:val="none" w:sz="0" w:space="0" w:color="auto"/>
                        <w:left w:val="none" w:sz="0" w:space="0" w:color="auto"/>
                        <w:bottom w:val="none" w:sz="0" w:space="0" w:color="auto"/>
                        <w:right w:val="none" w:sz="0" w:space="0" w:color="auto"/>
                      </w:divBdr>
                    </w:div>
                    <w:div w:id="44311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16032">
      <w:bodyDiv w:val="1"/>
      <w:marLeft w:val="0"/>
      <w:marRight w:val="0"/>
      <w:marTop w:val="0"/>
      <w:marBottom w:val="0"/>
      <w:divBdr>
        <w:top w:val="none" w:sz="0" w:space="0" w:color="auto"/>
        <w:left w:val="none" w:sz="0" w:space="0" w:color="auto"/>
        <w:bottom w:val="none" w:sz="0" w:space="0" w:color="auto"/>
        <w:right w:val="none" w:sz="0" w:space="0" w:color="auto"/>
      </w:divBdr>
    </w:div>
    <w:div w:id="1557157182">
      <w:bodyDiv w:val="1"/>
      <w:marLeft w:val="0"/>
      <w:marRight w:val="0"/>
      <w:marTop w:val="0"/>
      <w:marBottom w:val="0"/>
      <w:divBdr>
        <w:top w:val="none" w:sz="0" w:space="0" w:color="auto"/>
        <w:left w:val="none" w:sz="0" w:space="0" w:color="auto"/>
        <w:bottom w:val="none" w:sz="0" w:space="0" w:color="auto"/>
        <w:right w:val="none" w:sz="0" w:space="0" w:color="auto"/>
      </w:divBdr>
    </w:div>
    <w:div w:id="1557398142">
      <w:bodyDiv w:val="1"/>
      <w:marLeft w:val="0"/>
      <w:marRight w:val="0"/>
      <w:marTop w:val="0"/>
      <w:marBottom w:val="0"/>
      <w:divBdr>
        <w:top w:val="none" w:sz="0" w:space="0" w:color="auto"/>
        <w:left w:val="none" w:sz="0" w:space="0" w:color="auto"/>
        <w:bottom w:val="none" w:sz="0" w:space="0" w:color="auto"/>
        <w:right w:val="none" w:sz="0" w:space="0" w:color="auto"/>
      </w:divBdr>
    </w:div>
    <w:div w:id="1558972437">
      <w:bodyDiv w:val="1"/>
      <w:marLeft w:val="0"/>
      <w:marRight w:val="0"/>
      <w:marTop w:val="0"/>
      <w:marBottom w:val="0"/>
      <w:divBdr>
        <w:top w:val="none" w:sz="0" w:space="0" w:color="auto"/>
        <w:left w:val="none" w:sz="0" w:space="0" w:color="auto"/>
        <w:bottom w:val="none" w:sz="0" w:space="0" w:color="auto"/>
        <w:right w:val="none" w:sz="0" w:space="0" w:color="auto"/>
      </w:divBdr>
    </w:div>
    <w:div w:id="1562473900">
      <w:bodyDiv w:val="1"/>
      <w:marLeft w:val="0"/>
      <w:marRight w:val="0"/>
      <w:marTop w:val="0"/>
      <w:marBottom w:val="0"/>
      <w:divBdr>
        <w:top w:val="none" w:sz="0" w:space="0" w:color="auto"/>
        <w:left w:val="none" w:sz="0" w:space="0" w:color="auto"/>
        <w:bottom w:val="none" w:sz="0" w:space="0" w:color="auto"/>
        <w:right w:val="none" w:sz="0" w:space="0" w:color="auto"/>
      </w:divBdr>
    </w:div>
    <w:div w:id="1573150650">
      <w:bodyDiv w:val="1"/>
      <w:marLeft w:val="0"/>
      <w:marRight w:val="0"/>
      <w:marTop w:val="0"/>
      <w:marBottom w:val="0"/>
      <w:divBdr>
        <w:top w:val="none" w:sz="0" w:space="0" w:color="auto"/>
        <w:left w:val="none" w:sz="0" w:space="0" w:color="auto"/>
        <w:bottom w:val="none" w:sz="0" w:space="0" w:color="auto"/>
        <w:right w:val="none" w:sz="0" w:space="0" w:color="auto"/>
      </w:divBdr>
    </w:div>
    <w:div w:id="1573465785">
      <w:bodyDiv w:val="1"/>
      <w:marLeft w:val="0"/>
      <w:marRight w:val="0"/>
      <w:marTop w:val="0"/>
      <w:marBottom w:val="0"/>
      <w:divBdr>
        <w:top w:val="none" w:sz="0" w:space="0" w:color="auto"/>
        <w:left w:val="none" w:sz="0" w:space="0" w:color="auto"/>
        <w:bottom w:val="none" w:sz="0" w:space="0" w:color="auto"/>
        <w:right w:val="none" w:sz="0" w:space="0" w:color="auto"/>
      </w:divBdr>
    </w:div>
    <w:div w:id="1576285560">
      <w:bodyDiv w:val="1"/>
      <w:marLeft w:val="0"/>
      <w:marRight w:val="0"/>
      <w:marTop w:val="0"/>
      <w:marBottom w:val="0"/>
      <w:divBdr>
        <w:top w:val="none" w:sz="0" w:space="0" w:color="auto"/>
        <w:left w:val="none" w:sz="0" w:space="0" w:color="auto"/>
        <w:bottom w:val="none" w:sz="0" w:space="0" w:color="auto"/>
        <w:right w:val="none" w:sz="0" w:space="0" w:color="auto"/>
      </w:divBdr>
    </w:div>
    <w:div w:id="1576864301">
      <w:bodyDiv w:val="1"/>
      <w:marLeft w:val="0"/>
      <w:marRight w:val="0"/>
      <w:marTop w:val="0"/>
      <w:marBottom w:val="0"/>
      <w:divBdr>
        <w:top w:val="none" w:sz="0" w:space="0" w:color="auto"/>
        <w:left w:val="none" w:sz="0" w:space="0" w:color="auto"/>
        <w:bottom w:val="none" w:sz="0" w:space="0" w:color="auto"/>
        <w:right w:val="none" w:sz="0" w:space="0" w:color="auto"/>
      </w:divBdr>
    </w:div>
    <w:div w:id="1583100267">
      <w:bodyDiv w:val="1"/>
      <w:marLeft w:val="0"/>
      <w:marRight w:val="0"/>
      <w:marTop w:val="0"/>
      <w:marBottom w:val="0"/>
      <w:divBdr>
        <w:top w:val="none" w:sz="0" w:space="0" w:color="auto"/>
        <w:left w:val="none" w:sz="0" w:space="0" w:color="auto"/>
        <w:bottom w:val="none" w:sz="0" w:space="0" w:color="auto"/>
        <w:right w:val="none" w:sz="0" w:space="0" w:color="auto"/>
      </w:divBdr>
    </w:div>
    <w:div w:id="1586962676">
      <w:bodyDiv w:val="1"/>
      <w:marLeft w:val="0"/>
      <w:marRight w:val="0"/>
      <w:marTop w:val="0"/>
      <w:marBottom w:val="0"/>
      <w:divBdr>
        <w:top w:val="none" w:sz="0" w:space="0" w:color="auto"/>
        <w:left w:val="none" w:sz="0" w:space="0" w:color="auto"/>
        <w:bottom w:val="none" w:sz="0" w:space="0" w:color="auto"/>
        <w:right w:val="none" w:sz="0" w:space="0" w:color="auto"/>
      </w:divBdr>
    </w:div>
    <w:div w:id="1592926707">
      <w:bodyDiv w:val="1"/>
      <w:marLeft w:val="0"/>
      <w:marRight w:val="0"/>
      <w:marTop w:val="0"/>
      <w:marBottom w:val="0"/>
      <w:divBdr>
        <w:top w:val="none" w:sz="0" w:space="0" w:color="auto"/>
        <w:left w:val="none" w:sz="0" w:space="0" w:color="auto"/>
        <w:bottom w:val="none" w:sz="0" w:space="0" w:color="auto"/>
        <w:right w:val="none" w:sz="0" w:space="0" w:color="auto"/>
      </w:divBdr>
    </w:div>
    <w:div w:id="1595164205">
      <w:bodyDiv w:val="1"/>
      <w:marLeft w:val="0"/>
      <w:marRight w:val="0"/>
      <w:marTop w:val="0"/>
      <w:marBottom w:val="0"/>
      <w:divBdr>
        <w:top w:val="none" w:sz="0" w:space="0" w:color="auto"/>
        <w:left w:val="none" w:sz="0" w:space="0" w:color="auto"/>
        <w:bottom w:val="none" w:sz="0" w:space="0" w:color="auto"/>
        <w:right w:val="none" w:sz="0" w:space="0" w:color="auto"/>
      </w:divBdr>
    </w:div>
    <w:div w:id="1597901377">
      <w:bodyDiv w:val="1"/>
      <w:marLeft w:val="0"/>
      <w:marRight w:val="0"/>
      <w:marTop w:val="0"/>
      <w:marBottom w:val="0"/>
      <w:divBdr>
        <w:top w:val="none" w:sz="0" w:space="0" w:color="auto"/>
        <w:left w:val="none" w:sz="0" w:space="0" w:color="auto"/>
        <w:bottom w:val="none" w:sz="0" w:space="0" w:color="auto"/>
        <w:right w:val="none" w:sz="0" w:space="0" w:color="auto"/>
      </w:divBdr>
    </w:div>
    <w:div w:id="1597905805">
      <w:bodyDiv w:val="1"/>
      <w:marLeft w:val="0"/>
      <w:marRight w:val="0"/>
      <w:marTop w:val="0"/>
      <w:marBottom w:val="0"/>
      <w:divBdr>
        <w:top w:val="none" w:sz="0" w:space="0" w:color="auto"/>
        <w:left w:val="none" w:sz="0" w:space="0" w:color="auto"/>
        <w:bottom w:val="none" w:sz="0" w:space="0" w:color="auto"/>
        <w:right w:val="none" w:sz="0" w:space="0" w:color="auto"/>
      </w:divBdr>
    </w:div>
    <w:div w:id="1603340856">
      <w:bodyDiv w:val="1"/>
      <w:marLeft w:val="0"/>
      <w:marRight w:val="0"/>
      <w:marTop w:val="0"/>
      <w:marBottom w:val="0"/>
      <w:divBdr>
        <w:top w:val="none" w:sz="0" w:space="0" w:color="auto"/>
        <w:left w:val="none" w:sz="0" w:space="0" w:color="auto"/>
        <w:bottom w:val="none" w:sz="0" w:space="0" w:color="auto"/>
        <w:right w:val="none" w:sz="0" w:space="0" w:color="auto"/>
      </w:divBdr>
    </w:div>
    <w:div w:id="1605649772">
      <w:bodyDiv w:val="1"/>
      <w:marLeft w:val="0"/>
      <w:marRight w:val="0"/>
      <w:marTop w:val="0"/>
      <w:marBottom w:val="0"/>
      <w:divBdr>
        <w:top w:val="none" w:sz="0" w:space="0" w:color="auto"/>
        <w:left w:val="none" w:sz="0" w:space="0" w:color="auto"/>
        <w:bottom w:val="none" w:sz="0" w:space="0" w:color="auto"/>
        <w:right w:val="none" w:sz="0" w:space="0" w:color="auto"/>
      </w:divBdr>
    </w:div>
    <w:div w:id="1610770194">
      <w:bodyDiv w:val="1"/>
      <w:marLeft w:val="0"/>
      <w:marRight w:val="0"/>
      <w:marTop w:val="0"/>
      <w:marBottom w:val="0"/>
      <w:divBdr>
        <w:top w:val="none" w:sz="0" w:space="0" w:color="auto"/>
        <w:left w:val="none" w:sz="0" w:space="0" w:color="auto"/>
        <w:bottom w:val="none" w:sz="0" w:space="0" w:color="auto"/>
        <w:right w:val="none" w:sz="0" w:space="0" w:color="auto"/>
      </w:divBdr>
    </w:div>
    <w:div w:id="1612591742">
      <w:bodyDiv w:val="1"/>
      <w:marLeft w:val="0"/>
      <w:marRight w:val="0"/>
      <w:marTop w:val="0"/>
      <w:marBottom w:val="0"/>
      <w:divBdr>
        <w:top w:val="none" w:sz="0" w:space="0" w:color="auto"/>
        <w:left w:val="none" w:sz="0" w:space="0" w:color="auto"/>
        <w:bottom w:val="none" w:sz="0" w:space="0" w:color="auto"/>
        <w:right w:val="none" w:sz="0" w:space="0" w:color="auto"/>
      </w:divBdr>
    </w:div>
    <w:div w:id="1614053263">
      <w:bodyDiv w:val="1"/>
      <w:marLeft w:val="0"/>
      <w:marRight w:val="0"/>
      <w:marTop w:val="0"/>
      <w:marBottom w:val="0"/>
      <w:divBdr>
        <w:top w:val="none" w:sz="0" w:space="0" w:color="auto"/>
        <w:left w:val="none" w:sz="0" w:space="0" w:color="auto"/>
        <w:bottom w:val="none" w:sz="0" w:space="0" w:color="auto"/>
        <w:right w:val="none" w:sz="0" w:space="0" w:color="auto"/>
      </w:divBdr>
    </w:div>
    <w:div w:id="1616521287">
      <w:bodyDiv w:val="1"/>
      <w:marLeft w:val="0"/>
      <w:marRight w:val="0"/>
      <w:marTop w:val="0"/>
      <w:marBottom w:val="0"/>
      <w:divBdr>
        <w:top w:val="none" w:sz="0" w:space="0" w:color="auto"/>
        <w:left w:val="none" w:sz="0" w:space="0" w:color="auto"/>
        <w:bottom w:val="none" w:sz="0" w:space="0" w:color="auto"/>
        <w:right w:val="none" w:sz="0" w:space="0" w:color="auto"/>
      </w:divBdr>
    </w:div>
    <w:div w:id="1619868307">
      <w:bodyDiv w:val="1"/>
      <w:marLeft w:val="0"/>
      <w:marRight w:val="0"/>
      <w:marTop w:val="0"/>
      <w:marBottom w:val="0"/>
      <w:divBdr>
        <w:top w:val="none" w:sz="0" w:space="0" w:color="auto"/>
        <w:left w:val="none" w:sz="0" w:space="0" w:color="auto"/>
        <w:bottom w:val="none" w:sz="0" w:space="0" w:color="auto"/>
        <w:right w:val="none" w:sz="0" w:space="0" w:color="auto"/>
      </w:divBdr>
    </w:div>
    <w:div w:id="1620531280">
      <w:bodyDiv w:val="1"/>
      <w:marLeft w:val="0"/>
      <w:marRight w:val="0"/>
      <w:marTop w:val="0"/>
      <w:marBottom w:val="0"/>
      <w:divBdr>
        <w:top w:val="none" w:sz="0" w:space="0" w:color="auto"/>
        <w:left w:val="none" w:sz="0" w:space="0" w:color="auto"/>
        <w:bottom w:val="none" w:sz="0" w:space="0" w:color="auto"/>
        <w:right w:val="none" w:sz="0" w:space="0" w:color="auto"/>
      </w:divBdr>
    </w:div>
    <w:div w:id="1621180777">
      <w:bodyDiv w:val="1"/>
      <w:marLeft w:val="0"/>
      <w:marRight w:val="0"/>
      <w:marTop w:val="0"/>
      <w:marBottom w:val="0"/>
      <w:divBdr>
        <w:top w:val="none" w:sz="0" w:space="0" w:color="auto"/>
        <w:left w:val="none" w:sz="0" w:space="0" w:color="auto"/>
        <w:bottom w:val="none" w:sz="0" w:space="0" w:color="auto"/>
        <w:right w:val="none" w:sz="0" w:space="0" w:color="auto"/>
      </w:divBdr>
    </w:div>
    <w:div w:id="1628123383">
      <w:bodyDiv w:val="1"/>
      <w:marLeft w:val="0"/>
      <w:marRight w:val="0"/>
      <w:marTop w:val="0"/>
      <w:marBottom w:val="0"/>
      <w:divBdr>
        <w:top w:val="none" w:sz="0" w:space="0" w:color="auto"/>
        <w:left w:val="none" w:sz="0" w:space="0" w:color="auto"/>
        <w:bottom w:val="none" w:sz="0" w:space="0" w:color="auto"/>
        <w:right w:val="none" w:sz="0" w:space="0" w:color="auto"/>
      </w:divBdr>
    </w:div>
    <w:div w:id="1630283553">
      <w:bodyDiv w:val="1"/>
      <w:marLeft w:val="0"/>
      <w:marRight w:val="0"/>
      <w:marTop w:val="0"/>
      <w:marBottom w:val="0"/>
      <w:divBdr>
        <w:top w:val="none" w:sz="0" w:space="0" w:color="auto"/>
        <w:left w:val="none" w:sz="0" w:space="0" w:color="auto"/>
        <w:bottom w:val="none" w:sz="0" w:space="0" w:color="auto"/>
        <w:right w:val="none" w:sz="0" w:space="0" w:color="auto"/>
      </w:divBdr>
    </w:div>
    <w:div w:id="1632596412">
      <w:bodyDiv w:val="1"/>
      <w:marLeft w:val="0"/>
      <w:marRight w:val="0"/>
      <w:marTop w:val="0"/>
      <w:marBottom w:val="0"/>
      <w:divBdr>
        <w:top w:val="none" w:sz="0" w:space="0" w:color="auto"/>
        <w:left w:val="none" w:sz="0" w:space="0" w:color="auto"/>
        <w:bottom w:val="none" w:sz="0" w:space="0" w:color="auto"/>
        <w:right w:val="none" w:sz="0" w:space="0" w:color="auto"/>
      </w:divBdr>
    </w:div>
    <w:div w:id="1635212845">
      <w:bodyDiv w:val="1"/>
      <w:marLeft w:val="0"/>
      <w:marRight w:val="0"/>
      <w:marTop w:val="0"/>
      <w:marBottom w:val="0"/>
      <w:divBdr>
        <w:top w:val="none" w:sz="0" w:space="0" w:color="auto"/>
        <w:left w:val="none" w:sz="0" w:space="0" w:color="auto"/>
        <w:bottom w:val="none" w:sz="0" w:space="0" w:color="auto"/>
        <w:right w:val="none" w:sz="0" w:space="0" w:color="auto"/>
      </w:divBdr>
    </w:div>
    <w:div w:id="1636107541">
      <w:bodyDiv w:val="1"/>
      <w:marLeft w:val="0"/>
      <w:marRight w:val="0"/>
      <w:marTop w:val="0"/>
      <w:marBottom w:val="0"/>
      <w:divBdr>
        <w:top w:val="none" w:sz="0" w:space="0" w:color="auto"/>
        <w:left w:val="none" w:sz="0" w:space="0" w:color="auto"/>
        <w:bottom w:val="none" w:sz="0" w:space="0" w:color="auto"/>
        <w:right w:val="none" w:sz="0" w:space="0" w:color="auto"/>
      </w:divBdr>
    </w:div>
    <w:div w:id="1638879749">
      <w:bodyDiv w:val="1"/>
      <w:marLeft w:val="0"/>
      <w:marRight w:val="0"/>
      <w:marTop w:val="0"/>
      <w:marBottom w:val="0"/>
      <w:divBdr>
        <w:top w:val="none" w:sz="0" w:space="0" w:color="auto"/>
        <w:left w:val="none" w:sz="0" w:space="0" w:color="auto"/>
        <w:bottom w:val="none" w:sz="0" w:space="0" w:color="auto"/>
        <w:right w:val="none" w:sz="0" w:space="0" w:color="auto"/>
      </w:divBdr>
    </w:div>
    <w:div w:id="1640574416">
      <w:bodyDiv w:val="1"/>
      <w:marLeft w:val="0"/>
      <w:marRight w:val="0"/>
      <w:marTop w:val="0"/>
      <w:marBottom w:val="0"/>
      <w:divBdr>
        <w:top w:val="none" w:sz="0" w:space="0" w:color="auto"/>
        <w:left w:val="none" w:sz="0" w:space="0" w:color="auto"/>
        <w:bottom w:val="none" w:sz="0" w:space="0" w:color="auto"/>
        <w:right w:val="none" w:sz="0" w:space="0" w:color="auto"/>
      </w:divBdr>
    </w:div>
    <w:div w:id="1656299770">
      <w:bodyDiv w:val="1"/>
      <w:marLeft w:val="0"/>
      <w:marRight w:val="0"/>
      <w:marTop w:val="0"/>
      <w:marBottom w:val="0"/>
      <w:divBdr>
        <w:top w:val="none" w:sz="0" w:space="0" w:color="auto"/>
        <w:left w:val="none" w:sz="0" w:space="0" w:color="auto"/>
        <w:bottom w:val="none" w:sz="0" w:space="0" w:color="auto"/>
        <w:right w:val="none" w:sz="0" w:space="0" w:color="auto"/>
      </w:divBdr>
    </w:div>
    <w:div w:id="1666974746">
      <w:bodyDiv w:val="1"/>
      <w:marLeft w:val="0"/>
      <w:marRight w:val="0"/>
      <w:marTop w:val="0"/>
      <w:marBottom w:val="0"/>
      <w:divBdr>
        <w:top w:val="none" w:sz="0" w:space="0" w:color="auto"/>
        <w:left w:val="none" w:sz="0" w:space="0" w:color="auto"/>
        <w:bottom w:val="none" w:sz="0" w:space="0" w:color="auto"/>
        <w:right w:val="none" w:sz="0" w:space="0" w:color="auto"/>
      </w:divBdr>
    </w:div>
    <w:div w:id="1672677634">
      <w:bodyDiv w:val="1"/>
      <w:marLeft w:val="0"/>
      <w:marRight w:val="0"/>
      <w:marTop w:val="0"/>
      <w:marBottom w:val="0"/>
      <w:divBdr>
        <w:top w:val="none" w:sz="0" w:space="0" w:color="auto"/>
        <w:left w:val="none" w:sz="0" w:space="0" w:color="auto"/>
        <w:bottom w:val="none" w:sz="0" w:space="0" w:color="auto"/>
        <w:right w:val="none" w:sz="0" w:space="0" w:color="auto"/>
      </w:divBdr>
    </w:div>
    <w:div w:id="1673295732">
      <w:bodyDiv w:val="1"/>
      <w:marLeft w:val="0"/>
      <w:marRight w:val="0"/>
      <w:marTop w:val="0"/>
      <w:marBottom w:val="0"/>
      <w:divBdr>
        <w:top w:val="none" w:sz="0" w:space="0" w:color="auto"/>
        <w:left w:val="none" w:sz="0" w:space="0" w:color="auto"/>
        <w:bottom w:val="none" w:sz="0" w:space="0" w:color="auto"/>
        <w:right w:val="none" w:sz="0" w:space="0" w:color="auto"/>
      </w:divBdr>
    </w:div>
    <w:div w:id="1674454902">
      <w:bodyDiv w:val="1"/>
      <w:marLeft w:val="0"/>
      <w:marRight w:val="0"/>
      <w:marTop w:val="0"/>
      <w:marBottom w:val="0"/>
      <w:divBdr>
        <w:top w:val="none" w:sz="0" w:space="0" w:color="auto"/>
        <w:left w:val="none" w:sz="0" w:space="0" w:color="auto"/>
        <w:bottom w:val="none" w:sz="0" w:space="0" w:color="auto"/>
        <w:right w:val="none" w:sz="0" w:space="0" w:color="auto"/>
      </w:divBdr>
    </w:div>
    <w:div w:id="1674643432">
      <w:bodyDiv w:val="1"/>
      <w:marLeft w:val="0"/>
      <w:marRight w:val="0"/>
      <w:marTop w:val="0"/>
      <w:marBottom w:val="0"/>
      <w:divBdr>
        <w:top w:val="none" w:sz="0" w:space="0" w:color="auto"/>
        <w:left w:val="none" w:sz="0" w:space="0" w:color="auto"/>
        <w:bottom w:val="none" w:sz="0" w:space="0" w:color="auto"/>
        <w:right w:val="none" w:sz="0" w:space="0" w:color="auto"/>
      </w:divBdr>
    </w:div>
    <w:div w:id="1676421274">
      <w:bodyDiv w:val="1"/>
      <w:marLeft w:val="0"/>
      <w:marRight w:val="0"/>
      <w:marTop w:val="0"/>
      <w:marBottom w:val="0"/>
      <w:divBdr>
        <w:top w:val="none" w:sz="0" w:space="0" w:color="auto"/>
        <w:left w:val="none" w:sz="0" w:space="0" w:color="auto"/>
        <w:bottom w:val="none" w:sz="0" w:space="0" w:color="auto"/>
        <w:right w:val="none" w:sz="0" w:space="0" w:color="auto"/>
      </w:divBdr>
    </w:div>
    <w:div w:id="1679624089">
      <w:bodyDiv w:val="1"/>
      <w:marLeft w:val="0"/>
      <w:marRight w:val="0"/>
      <w:marTop w:val="0"/>
      <w:marBottom w:val="0"/>
      <w:divBdr>
        <w:top w:val="none" w:sz="0" w:space="0" w:color="auto"/>
        <w:left w:val="none" w:sz="0" w:space="0" w:color="auto"/>
        <w:bottom w:val="none" w:sz="0" w:space="0" w:color="auto"/>
        <w:right w:val="none" w:sz="0" w:space="0" w:color="auto"/>
      </w:divBdr>
    </w:div>
    <w:div w:id="1680082123">
      <w:bodyDiv w:val="1"/>
      <w:marLeft w:val="0"/>
      <w:marRight w:val="0"/>
      <w:marTop w:val="0"/>
      <w:marBottom w:val="0"/>
      <w:divBdr>
        <w:top w:val="none" w:sz="0" w:space="0" w:color="auto"/>
        <w:left w:val="none" w:sz="0" w:space="0" w:color="auto"/>
        <w:bottom w:val="none" w:sz="0" w:space="0" w:color="auto"/>
        <w:right w:val="none" w:sz="0" w:space="0" w:color="auto"/>
      </w:divBdr>
    </w:div>
    <w:div w:id="1681083702">
      <w:bodyDiv w:val="1"/>
      <w:marLeft w:val="0"/>
      <w:marRight w:val="0"/>
      <w:marTop w:val="0"/>
      <w:marBottom w:val="0"/>
      <w:divBdr>
        <w:top w:val="none" w:sz="0" w:space="0" w:color="auto"/>
        <w:left w:val="none" w:sz="0" w:space="0" w:color="auto"/>
        <w:bottom w:val="none" w:sz="0" w:space="0" w:color="auto"/>
        <w:right w:val="none" w:sz="0" w:space="0" w:color="auto"/>
      </w:divBdr>
    </w:div>
    <w:div w:id="1684358840">
      <w:bodyDiv w:val="1"/>
      <w:marLeft w:val="0"/>
      <w:marRight w:val="0"/>
      <w:marTop w:val="0"/>
      <w:marBottom w:val="0"/>
      <w:divBdr>
        <w:top w:val="none" w:sz="0" w:space="0" w:color="auto"/>
        <w:left w:val="none" w:sz="0" w:space="0" w:color="auto"/>
        <w:bottom w:val="none" w:sz="0" w:space="0" w:color="auto"/>
        <w:right w:val="none" w:sz="0" w:space="0" w:color="auto"/>
      </w:divBdr>
    </w:div>
    <w:div w:id="1689406743">
      <w:bodyDiv w:val="1"/>
      <w:marLeft w:val="0"/>
      <w:marRight w:val="0"/>
      <w:marTop w:val="0"/>
      <w:marBottom w:val="0"/>
      <w:divBdr>
        <w:top w:val="none" w:sz="0" w:space="0" w:color="auto"/>
        <w:left w:val="none" w:sz="0" w:space="0" w:color="auto"/>
        <w:bottom w:val="none" w:sz="0" w:space="0" w:color="auto"/>
        <w:right w:val="none" w:sz="0" w:space="0" w:color="auto"/>
      </w:divBdr>
    </w:div>
    <w:div w:id="1700856594">
      <w:bodyDiv w:val="1"/>
      <w:marLeft w:val="0"/>
      <w:marRight w:val="0"/>
      <w:marTop w:val="0"/>
      <w:marBottom w:val="0"/>
      <w:divBdr>
        <w:top w:val="none" w:sz="0" w:space="0" w:color="auto"/>
        <w:left w:val="none" w:sz="0" w:space="0" w:color="auto"/>
        <w:bottom w:val="none" w:sz="0" w:space="0" w:color="auto"/>
        <w:right w:val="none" w:sz="0" w:space="0" w:color="auto"/>
      </w:divBdr>
    </w:div>
    <w:div w:id="1700859159">
      <w:bodyDiv w:val="1"/>
      <w:marLeft w:val="0"/>
      <w:marRight w:val="0"/>
      <w:marTop w:val="0"/>
      <w:marBottom w:val="0"/>
      <w:divBdr>
        <w:top w:val="none" w:sz="0" w:space="0" w:color="auto"/>
        <w:left w:val="none" w:sz="0" w:space="0" w:color="auto"/>
        <w:bottom w:val="none" w:sz="0" w:space="0" w:color="auto"/>
        <w:right w:val="none" w:sz="0" w:space="0" w:color="auto"/>
      </w:divBdr>
    </w:div>
    <w:div w:id="1704162796">
      <w:bodyDiv w:val="1"/>
      <w:marLeft w:val="0"/>
      <w:marRight w:val="0"/>
      <w:marTop w:val="0"/>
      <w:marBottom w:val="0"/>
      <w:divBdr>
        <w:top w:val="none" w:sz="0" w:space="0" w:color="auto"/>
        <w:left w:val="none" w:sz="0" w:space="0" w:color="auto"/>
        <w:bottom w:val="none" w:sz="0" w:space="0" w:color="auto"/>
        <w:right w:val="none" w:sz="0" w:space="0" w:color="auto"/>
      </w:divBdr>
    </w:div>
    <w:div w:id="1707218423">
      <w:bodyDiv w:val="1"/>
      <w:marLeft w:val="0"/>
      <w:marRight w:val="0"/>
      <w:marTop w:val="0"/>
      <w:marBottom w:val="0"/>
      <w:divBdr>
        <w:top w:val="none" w:sz="0" w:space="0" w:color="auto"/>
        <w:left w:val="none" w:sz="0" w:space="0" w:color="auto"/>
        <w:bottom w:val="none" w:sz="0" w:space="0" w:color="auto"/>
        <w:right w:val="none" w:sz="0" w:space="0" w:color="auto"/>
      </w:divBdr>
    </w:div>
    <w:div w:id="1711612266">
      <w:bodyDiv w:val="1"/>
      <w:marLeft w:val="0"/>
      <w:marRight w:val="0"/>
      <w:marTop w:val="0"/>
      <w:marBottom w:val="0"/>
      <w:divBdr>
        <w:top w:val="none" w:sz="0" w:space="0" w:color="auto"/>
        <w:left w:val="none" w:sz="0" w:space="0" w:color="auto"/>
        <w:bottom w:val="none" w:sz="0" w:space="0" w:color="auto"/>
        <w:right w:val="none" w:sz="0" w:space="0" w:color="auto"/>
      </w:divBdr>
    </w:div>
    <w:div w:id="1713186793">
      <w:bodyDiv w:val="1"/>
      <w:marLeft w:val="0"/>
      <w:marRight w:val="0"/>
      <w:marTop w:val="0"/>
      <w:marBottom w:val="0"/>
      <w:divBdr>
        <w:top w:val="none" w:sz="0" w:space="0" w:color="auto"/>
        <w:left w:val="none" w:sz="0" w:space="0" w:color="auto"/>
        <w:bottom w:val="none" w:sz="0" w:space="0" w:color="auto"/>
        <w:right w:val="none" w:sz="0" w:space="0" w:color="auto"/>
      </w:divBdr>
    </w:div>
    <w:div w:id="1715226330">
      <w:bodyDiv w:val="1"/>
      <w:marLeft w:val="0"/>
      <w:marRight w:val="0"/>
      <w:marTop w:val="0"/>
      <w:marBottom w:val="0"/>
      <w:divBdr>
        <w:top w:val="none" w:sz="0" w:space="0" w:color="auto"/>
        <w:left w:val="none" w:sz="0" w:space="0" w:color="auto"/>
        <w:bottom w:val="none" w:sz="0" w:space="0" w:color="auto"/>
        <w:right w:val="none" w:sz="0" w:space="0" w:color="auto"/>
      </w:divBdr>
    </w:div>
    <w:div w:id="1716466589">
      <w:bodyDiv w:val="1"/>
      <w:marLeft w:val="0"/>
      <w:marRight w:val="0"/>
      <w:marTop w:val="0"/>
      <w:marBottom w:val="0"/>
      <w:divBdr>
        <w:top w:val="none" w:sz="0" w:space="0" w:color="auto"/>
        <w:left w:val="none" w:sz="0" w:space="0" w:color="auto"/>
        <w:bottom w:val="none" w:sz="0" w:space="0" w:color="auto"/>
        <w:right w:val="none" w:sz="0" w:space="0" w:color="auto"/>
      </w:divBdr>
    </w:div>
    <w:div w:id="1717460546">
      <w:bodyDiv w:val="1"/>
      <w:marLeft w:val="0"/>
      <w:marRight w:val="0"/>
      <w:marTop w:val="0"/>
      <w:marBottom w:val="0"/>
      <w:divBdr>
        <w:top w:val="none" w:sz="0" w:space="0" w:color="auto"/>
        <w:left w:val="none" w:sz="0" w:space="0" w:color="auto"/>
        <w:bottom w:val="none" w:sz="0" w:space="0" w:color="auto"/>
        <w:right w:val="none" w:sz="0" w:space="0" w:color="auto"/>
      </w:divBdr>
    </w:div>
    <w:div w:id="1719207778">
      <w:bodyDiv w:val="1"/>
      <w:marLeft w:val="0"/>
      <w:marRight w:val="0"/>
      <w:marTop w:val="0"/>
      <w:marBottom w:val="0"/>
      <w:divBdr>
        <w:top w:val="none" w:sz="0" w:space="0" w:color="auto"/>
        <w:left w:val="none" w:sz="0" w:space="0" w:color="auto"/>
        <w:bottom w:val="none" w:sz="0" w:space="0" w:color="auto"/>
        <w:right w:val="none" w:sz="0" w:space="0" w:color="auto"/>
      </w:divBdr>
    </w:div>
    <w:div w:id="1719818809">
      <w:bodyDiv w:val="1"/>
      <w:marLeft w:val="0"/>
      <w:marRight w:val="0"/>
      <w:marTop w:val="0"/>
      <w:marBottom w:val="0"/>
      <w:divBdr>
        <w:top w:val="none" w:sz="0" w:space="0" w:color="auto"/>
        <w:left w:val="none" w:sz="0" w:space="0" w:color="auto"/>
        <w:bottom w:val="none" w:sz="0" w:space="0" w:color="auto"/>
        <w:right w:val="none" w:sz="0" w:space="0" w:color="auto"/>
      </w:divBdr>
    </w:div>
    <w:div w:id="1720275759">
      <w:bodyDiv w:val="1"/>
      <w:marLeft w:val="0"/>
      <w:marRight w:val="0"/>
      <w:marTop w:val="0"/>
      <w:marBottom w:val="0"/>
      <w:divBdr>
        <w:top w:val="none" w:sz="0" w:space="0" w:color="auto"/>
        <w:left w:val="none" w:sz="0" w:space="0" w:color="auto"/>
        <w:bottom w:val="none" w:sz="0" w:space="0" w:color="auto"/>
        <w:right w:val="none" w:sz="0" w:space="0" w:color="auto"/>
      </w:divBdr>
    </w:div>
    <w:div w:id="1720517786">
      <w:bodyDiv w:val="1"/>
      <w:marLeft w:val="0"/>
      <w:marRight w:val="0"/>
      <w:marTop w:val="0"/>
      <w:marBottom w:val="0"/>
      <w:divBdr>
        <w:top w:val="none" w:sz="0" w:space="0" w:color="auto"/>
        <w:left w:val="none" w:sz="0" w:space="0" w:color="auto"/>
        <w:bottom w:val="none" w:sz="0" w:space="0" w:color="auto"/>
        <w:right w:val="none" w:sz="0" w:space="0" w:color="auto"/>
      </w:divBdr>
    </w:div>
    <w:div w:id="1722707356">
      <w:bodyDiv w:val="1"/>
      <w:marLeft w:val="0"/>
      <w:marRight w:val="0"/>
      <w:marTop w:val="0"/>
      <w:marBottom w:val="0"/>
      <w:divBdr>
        <w:top w:val="none" w:sz="0" w:space="0" w:color="auto"/>
        <w:left w:val="none" w:sz="0" w:space="0" w:color="auto"/>
        <w:bottom w:val="none" w:sz="0" w:space="0" w:color="auto"/>
        <w:right w:val="none" w:sz="0" w:space="0" w:color="auto"/>
      </w:divBdr>
    </w:div>
    <w:div w:id="1727757577">
      <w:bodyDiv w:val="1"/>
      <w:marLeft w:val="0"/>
      <w:marRight w:val="0"/>
      <w:marTop w:val="0"/>
      <w:marBottom w:val="0"/>
      <w:divBdr>
        <w:top w:val="none" w:sz="0" w:space="0" w:color="auto"/>
        <w:left w:val="none" w:sz="0" w:space="0" w:color="auto"/>
        <w:bottom w:val="none" w:sz="0" w:space="0" w:color="auto"/>
        <w:right w:val="none" w:sz="0" w:space="0" w:color="auto"/>
      </w:divBdr>
    </w:div>
    <w:div w:id="1732538609">
      <w:bodyDiv w:val="1"/>
      <w:marLeft w:val="0"/>
      <w:marRight w:val="0"/>
      <w:marTop w:val="0"/>
      <w:marBottom w:val="0"/>
      <w:divBdr>
        <w:top w:val="none" w:sz="0" w:space="0" w:color="auto"/>
        <w:left w:val="none" w:sz="0" w:space="0" w:color="auto"/>
        <w:bottom w:val="none" w:sz="0" w:space="0" w:color="auto"/>
        <w:right w:val="none" w:sz="0" w:space="0" w:color="auto"/>
      </w:divBdr>
    </w:div>
    <w:div w:id="1743016063">
      <w:bodyDiv w:val="1"/>
      <w:marLeft w:val="0"/>
      <w:marRight w:val="0"/>
      <w:marTop w:val="0"/>
      <w:marBottom w:val="0"/>
      <w:divBdr>
        <w:top w:val="none" w:sz="0" w:space="0" w:color="auto"/>
        <w:left w:val="none" w:sz="0" w:space="0" w:color="auto"/>
        <w:bottom w:val="none" w:sz="0" w:space="0" w:color="auto"/>
        <w:right w:val="none" w:sz="0" w:space="0" w:color="auto"/>
      </w:divBdr>
    </w:div>
    <w:div w:id="1750275168">
      <w:bodyDiv w:val="1"/>
      <w:marLeft w:val="0"/>
      <w:marRight w:val="0"/>
      <w:marTop w:val="0"/>
      <w:marBottom w:val="0"/>
      <w:divBdr>
        <w:top w:val="none" w:sz="0" w:space="0" w:color="auto"/>
        <w:left w:val="none" w:sz="0" w:space="0" w:color="auto"/>
        <w:bottom w:val="none" w:sz="0" w:space="0" w:color="auto"/>
        <w:right w:val="none" w:sz="0" w:space="0" w:color="auto"/>
      </w:divBdr>
    </w:div>
    <w:div w:id="1766534944">
      <w:bodyDiv w:val="1"/>
      <w:marLeft w:val="0"/>
      <w:marRight w:val="0"/>
      <w:marTop w:val="0"/>
      <w:marBottom w:val="0"/>
      <w:divBdr>
        <w:top w:val="none" w:sz="0" w:space="0" w:color="auto"/>
        <w:left w:val="none" w:sz="0" w:space="0" w:color="auto"/>
        <w:bottom w:val="none" w:sz="0" w:space="0" w:color="auto"/>
        <w:right w:val="none" w:sz="0" w:space="0" w:color="auto"/>
      </w:divBdr>
    </w:div>
    <w:div w:id="1767800181">
      <w:bodyDiv w:val="1"/>
      <w:marLeft w:val="0"/>
      <w:marRight w:val="0"/>
      <w:marTop w:val="0"/>
      <w:marBottom w:val="0"/>
      <w:divBdr>
        <w:top w:val="none" w:sz="0" w:space="0" w:color="auto"/>
        <w:left w:val="none" w:sz="0" w:space="0" w:color="auto"/>
        <w:bottom w:val="none" w:sz="0" w:space="0" w:color="auto"/>
        <w:right w:val="none" w:sz="0" w:space="0" w:color="auto"/>
      </w:divBdr>
    </w:div>
    <w:div w:id="1769350180">
      <w:bodyDiv w:val="1"/>
      <w:marLeft w:val="0"/>
      <w:marRight w:val="0"/>
      <w:marTop w:val="0"/>
      <w:marBottom w:val="0"/>
      <w:divBdr>
        <w:top w:val="none" w:sz="0" w:space="0" w:color="auto"/>
        <w:left w:val="none" w:sz="0" w:space="0" w:color="auto"/>
        <w:bottom w:val="none" w:sz="0" w:space="0" w:color="auto"/>
        <w:right w:val="none" w:sz="0" w:space="0" w:color="auto"/>
      </w:divBdr>
    </w:div>
    <w:div w:id="1770542327">
      <w:bodyDiv w:val="1"/>
      <w:marLeft w:val="0"/>
      <w:marRight w:val="0"/>
      <w:marTop w:val="0"/>
      <w:marBottom w:val="0"/>
      <w:divBdr>
        <w:top w:val="none" w:sz="0" w:space="0" w:color="auto"/>
        <w:left w:val="none" w:sz="0" w:space="0" w:color="auto"/>
        <w:bottom w:val="none" w:sz="0" w:space="0" w:color="auto"/>
        <w:right w:val="none" w:sz="0" w:space="0" w:color="auto"/>
      </w:divBdr>
    </w:div>
    <w:div w:id="1771076915">
      <w:bodyDiv w:val="1"/>
      <w:marLeft w:val="0"/>
      <w:marRight w:val="0"/>
      <w:marTop w:val="0"/>
      <w:marBottom w:val="0"/>
      <w:divBdr>
        <w:top w:val="none" w:sz="0" w:space="0" w:color="auto"/>
        <w:left w:val="none" w:sz="0" w:space="0" w:color="auto"/>
        <w:bottom w:val="none" w:sz="0" w:space="0" w:color="auto"/>
        <w:right w:val="none" w:sz="0" w:space="0" w:color="auto"/>
      </w:divBdr>
    </w:div>
    <w:div w:id="1773089967">
      <w:bodyDiv w:val="1"/>
      <w:marLeft w:val="0"/>
      <w:marRight w:val="0"/>
      <w:marTop w:val="0"/>
      <w:marBottom w:val="0"/>
      <w:divBdr>
        <w:top w:val="none" w:sz="0" w:space="0" w:color="auto"/>
        <w:left w:val="none" w:sz="0" w:space="0" w:color="auto"/>
        <w:bottom w:val="none" w:sz="0" w:space="0" w:color="auto"/>
        <w:right w:val="none" w:sz="0" w:space="0" w:color="auto"/>
      </w:divBdr>
    </w:div>
    <w:div w:id="1774934213">
      <w:bodyDiv w:val="1"/>
      <w:marLeft w:val="0"/>
      <w:marRight w:val="0"/>
      <w:marTop w:val="0"/>
      <w:marBottom w:val="0"/>
      <w:divBdr>
        <w:top w:val="none" w:sz="0" w:space="0" w:color="auto"/>
        <w:left w:val="none" w:sz="0" w:space="0" w:color="auto"/>
        <w:bottom w:val="none" w:sz="0" w:space="0" w:color="auto"/>
        <w:right w:val="none" w:sz="0" w:space="0" w:color="auto"/>
      </w:divBdr>
    </w:div>
    <w:div w:id="1778210884">
      <w:bodyDiv w:val="1"/>
      <w:marLeft w:val="0"/>
      <w:marRight w:val="0"/>
      <w:marTop w:val="0"/>
      <w:marBottom w:val="0"/>
      <w:divBdr>
        <w:top w:val="none" w:sz="0" w:space="0" w:color="auto"/>
        <w:left w:val="none" w:sz="0" w:space="0" w:color="auto"/>
        <w:bottom w:val="none" w:sz="0" w:space="0" w:color="auto"/>
        <w:right w:val="none" w:sz="0" w:space="0" w:color="auto"/>
      </w:divBdr>
    </w:div>
    <w:div w:id="1782069191">
      <w:bodyDiv w:val="1"/>
      <w:marLeft w:val="0"/>
      <w:marRight w:val="0"/>
      <w:marTop w:val="0"/>
      <w:marBottom w:val="0"/>
      <w:divBdr>
        <w:top w:val="none" w:sz="0" w:space="0" w:color="auto"/>
        <w:left w:val="none" w:sz="0" w:space="0" w:color="auto"/>
        <w:bottom w:val="none" w:sz="0" w:space="0" w:color="auto"/>
        <w:right w:val="none" w:sz="0" w:space="0" w:color="auto"/>
      </w:divBdr>
    </w:div>
    <w:div w:id="1792479362">
      <w:bodyDiv w:val="1"/>
      <w:marLeft w:val="0"/>
      <w:marRight w:val="0"/>
      <w:marTop w:val="0"/>
      <w:marBottom w:val="0"/>
      <w:divBdr>
        <w:top w:val="none" w:sz="0" w:space="0" w:color="auto"/>
        <w:left w:val="none" w:sz="0" w:space="0" w:color="auto"/>
        <w:bottom w:val="none" w:sz="0" w:space="0" w:color="auto"/>
        <w:right w:val="none" w:sz="0" w:space="0" w:color="auto"/>
      </w:divBdr>
    </w:div>
    <w:div w:id="1792627730">
      <w:bodyDiv w:val="1"/>
      <w:marLeft w:val="0"/>
      <w:marRight w:val="0"/>
      <w:marTop w:val="0"/>
      <w:marBottom w:val="0"/>
      <w:divBdr>
        <w:top w:val="none" w:sz="0" w:space="0" w:color="auto"/>
        <w:left w:val="none" w:sz="0" w:space="0" w:color="auto"/>
        <w:bottom w:val="none" w:sz="0" w:space="0" w:color="auto"/>
        <w:right w:val="none" w:sz="0" w:space="0" w:color="auto"/>
      </w:divBdr>
    </w:div>
    <w:div w:id="1793865655">
      <w:bodyDiv w:val="1"/>
      <w:marLeft w:val="0"/>
      <w:marRight w:val="0"/>
      <w:marTop w:val="0"/>
      <w:marBottom w:val="0"/>
      <w:divBdr>
        <w:top w:val="none" w:sz="0" w:space="0" w:color="auto"/>
        <w:left w:val="none" w:sz="0" w:space="0" w:color="auto"/>
        <w:bottom w:val="none" w:sz="0" w:space="0" w:color="auto"/>
        <w:right w:val="none" w:sz="0" w:space="0" w:color="auto"/>
      </w:divBdr>
    </w:div>
    <w:div w:id="1806466642">
      <w:bodyDiv w:val="1"/>
      <w:marLeft w:val="0"/>
      <w:marRight w:val="0"/>
      <w:marTop w:val="0"/>
      <w:marBottom w:val="0"/>
      <w:divBdr>
        <w:top w:val="none" w:sz="0" w:space="0" w:color="auto"/>
        <w:left w:val="none" w:sz="0" w:space="0" w:color="auto"/>
        <w:bottom w:val="none" w:sz="0" w:space="0" w:color="auto"/>
        <w:right w:val="none" w:sz="0" w:space="0" w:color="auto"/>
      </w:divBdr>
    </w:div>
    <w:div w:id="1806970524">
      <w:bodyDiv w:val="1"/>
      <w:marLeft w:val="0"/>
      <w:marRight w:val="0"/>
      <w:marTop w:val="0"/>
      <w:marBottom w:val="0"/>
      <w:divBdr>
        <w:top w:val="none" w:sz="0" w:space="0" w:color="auto"/>
        <w:left w:val="none" w:sz="0" w:space="0" w:color="auto"/>
        <w:bottom w:val="none" w:sz="0" w:space="0" w:color="auto"/>
        <w:right w:val="none" w:sz="0" w:space="0" w:color="auto"/>
      </w:divBdr>
    </w:div>
    <w:div w:id="1809468375">
      <w:bodyDiv w:val="1"/>
      <w:marLeft w:val="0"/>
      <w:marRight w:val="0"/>
      <w:marTop w:val="0"/>
      <w:marBottom w:val="0"/>
      <w:divBdr>
        <w:top w:val="none" w:sz="0" w:space="0" w:color="auto"/>
        <w:left w:val="none" w:sz="0" w:space="0" w:color="auto"/>
        <w:bottom w:val="none" w:sz="0" w:space="0" w:color="auto"/>
        <w:right w:val="none" w:sz="0" w:space="0" w:color="auto"/>
      </w:divBdr>
    </w:div>
    <w:div w:id="1810634016">
      <w:bodyDiv w:val="1"/>
      <w:marLeft w:val="0"/>
      <w:marRight w:val="0"/>
      <w:marTop w:val="0"/>
      <w:marBottom w:val="0"/>
      <w:divBdr>
        <w:top w:val="none" w:sz="0" w:space="0" w:color="auto"/>
        <w:left w:val="none" w:sz="0" w:space="0" w:color="auto"/>
        <w:bottom w:val="none" w:sz="0" w:space="0" w:color="auto"/>
        <w:right w:val="none" w:sz="0" w:space="0" w:color="auto"/>
      </w:divBdr>
    </w:div>
    <w:div w:id="1815641448">
      <w:bodyDiv w:val="1"/>
      <w:marLeft w:val="0"/>
      <w:marRight w:val="0"/>
      <w:marTop w:val="0"/>
      <w:marBottom w:val="0"/>
      <w:divBdr>
        <w:top w:val="none" w:sz="0" w:space="0" w:color="auto"/>
        <w:left w:val="none" w:sz="0" w:space="0" w:color="auto"/>
        <w:bottom w:val="none" w:sz="0" w:space="0" w:color="auto"/>
        <w:right w:val="none" w:sz="0" w:space="0" w:color="auto"/>
      </w:divBdr>
    </w:div>
    <w:div w:id="1818571611">
      <w:bodyDiv w:val="1"/>
      <w:marLeft w:val="0"/>
      <w:marRight w:val="0"/>
      <w:marTop w:val="0"/>
      <w:marBottom w:val="0"/>
      <w:divBdr>
        <w:top w:val="none" w:sz="0" w:space="0" w:color="auto"/>
        <w:left w:val="none" w:sz="0" w:space="0" w:color="auto"/>
        <w:bottom w:val="none" w:sz="0" w:space="0" w:color="auto"/>
        <w:right w:val="none" w:sz="0" w:space="0" w:color="auto"/>
      </w:divBdr>
    </w:div>
    <w:div w:id="1820418844">
      <w:bodyDiv w:val="1"/>
      <w:marLeft w:val="0"/>
      <w:marRight w:val="0"/>
      <w:marTop w:val="0"/>
      <w:marBottom w:val="0"/>
      <w:divBdr>
        <w:top w:val="none" w:sz="0" w:space="0" w:color="auto"/>
        <w:left w:val="none" w:sz="0" w:space="0" w:color="auto"/>
        <w:bottom w:val="none" w:sz="0" w:space="0" w:color="auto"/>
        <w:right w:val="none" w:sz="0" w:space="0" w:color="auto"/>
      </w:divBdr>
    </w:div>
    <w:div w:id="1824354204">
      <w:bodyDiv w:val="1"/>
      <w:marLeft w:val="0"/>
      <w:marRight w:val="0"/>
      <w:marTop w:val="0"/>
      <w:marBottom w:val="0"/>
      <w:divBdr>
        <w:top w:val="none" w:sz="0" w:space="0" w:color="auto"/>
        <w:left w:val="none" w:sz="0" w:space="0" w:color="auto"/>
        <w:bottom w:val="none" w:sz="0" w:space="0" w:color="auto"/>
        <w:right w:val="none" w:sz="0" w:space="0" w:color="auto"/>
      </w:divBdr>
    </w:div>
    <w:div w:id="1827696755">
      <w:bodyDiv w:val="1"/>
      <w:marLeft w:val="0"/>
      <w:marRight w:val="0"/>
      <w:marTop w:val="0"/>
      <w:marBottom w:val="0"/>
      <w:divBdr>
        <w:top w:val="none" w:sz="0" w:space="0" w:color="auto"/>
        <w:left w:val="none" w:sz="0" w:space="0" w:color="auto"/>
        <w:bottom w:val="none" w:sz="0" w:space="0" w:color="auto"/>
        <w:right w:val="none" w:sz="0" w:space="0" w:color="auto"/>
      </w:divBdr>
    </w:div>
    <w:div w:id="1832062729">
      <w:bodyDiv w:val="1"/>
      <w:marLeft w:val="0"/>
      <w:marRight w:val="0"/>
      <w:marTop w:val="0"/>
      <w:marBottom w:val="0"/>
      <w:divBdr>
        <w:top w:val="none" w:sz="0" w:space="0" w:color="auto"/>
        <w:left w:val="none" w:sz="0" w:space="0" w:color="auto"/>
        <w:bottom w:val="none" w:sz="0" w:space="0" w:color="auto"/>
        <w:right w:val="none" w:sz="0" w:space="0" w:color="auto"/>
      </w:divBdr>
    </w:div>
    <w:div w:id="1835142320">
      <w:bodyDiv w:val="1"/>
      <w:marLeft w:val="0"/>
      <w:marRight w:val="0"/>
      <w:marTop w:val="0"/>
      <w:marBottom w:val="0"/>
      <w:divBdr>
        <w:top w:val="none" w:sz="0" w:space="0" w:color="auto"/>
        <w:left w:val="none" w:sz="0" w:space="0" w:color="auto"/>
        <w:bottom w:val="none" w:sz="0" w:space="0" w:color="auto"/>
        <w:right w:val="none" w:sz="0" w:space="0" w:color="auto"/>
      </w:divBdr>
    </w:div>
    <w:div w:id="1841895644">
      <w:bodyDiv w:val="1"/>
      <w:marLeft w:val="0"/>
      <w:marRight w:val="0"/>
      <w:marTop w:val="0"/>
      <w:marBottom w:val="0"/>
      <w:divBdr>
        <w:top w:val="none" w:sz="0" w:space="0" w:color="auto"/>
        <w:left w:val="none" w:sz="0" w:space="0" w:color="auto"/>
        <w:bottom w:val="none" w:sz="0" w:space="0" w:color="auto"/>
        <w:right w:val="none" w:sz="0" w:space="0" w:color="auto"/>
      </w:divBdr>
    </w:div>
    <w:div w:id="1842819885">
      <w:bodyDiv w:val="1"/>
      <w:marLeft w:val="0"/>
      <w:marRight w:val="0"/>
      <w:marTop w:val="0"/>
      <w:marBottom w:val="0"/>
      <w:divBdr>
        <w:top w:val="none" w:sz="0" w:space="0" w:color="auto"/>
        <w:left w:val="none" w:sz="0" w:space="0" w:color="auto"/>
        <w:bottom w:val="none" w:sz="0" w:space="0" w:color="auto"/>
        <w:right w:val="none" w:sz="0" w:space="0" w:color="auto"/>
      </w:divBdr>
    </w:div>
    <w:div w:id="1850564521">
      <w:bodyDiv w:val="1"/>
      <w:marLeft w:val="0"/>
      <w:marRight w:val="0"/>
      <w:marTop w:val="0"/>
      <w:marBottom w:val="0"/>
      <w:divBdr>
        <w:top w:val="none" w:sz="0" w:space="0" w:color="auto"/>
        <w:left w:val="none" w:sz="0" w:space="0" w:color="auto"/>
        <w:bottom w:val="none" w:sz="0" w:space="0" w:color="auto"/>
        <w:right w:val="none" w:sz="0" w:space="0" w:color="auto"/>
      </w:divBdr>
    </w:div>
    <w:div w:id="1854419812">
      <w:bodyDiv w:val="1"/>
      <w:marLeft w:val="0"/>
      <w:marRight w:val="0"/>
      <w:marTop w:val="0"/>
      <w:marBottom w:val="0"/>
      <w:divBdr>
        <w:top w:val="none" w:sz="0" w:space="0" w:color="auto"/>
        <w:left w:val="none" w:sz="0" w:space="0" w:color="auto"/>
        <w:bottom w:val="none" w:sz="0" w:space="0" w:color="auto"/>
        <w:right w:val="none" w:sz="0" w:space="0" w:color="auto"/>
      </w:divBdr>
    </w:div>
    <w:div w:id="1866939471">
      <w:bodyDiv w:val="1"/>
      <w:marLeft w:val="0"/>
      <w:marRight w:val="0"/>
      <w:marTop w:val="0"/>
      <w:marBottom w:val="0"/>
      <w:divBdr>
        <w:top w:val="none" w:sz="0" w:space="0" w:color="auto"/>
        <w:left w:val="none" w:sz="0" w:space="0" w:color="auto"/>
        <w:bottom w:val="none" w:sz="0" w:space="0" w:color="auto"/>
        <w:right w:val="none" w:sz="0" w:space="0" w:color="auto"/>
      </w:divBdr>
    </w:div>
    <w:div w:id="1878859401">
      <w:bodyDiv w:val="1"/>
      <w:marLeft w:val="0"/>
      <w:marRight w:val="0"/>
      <w:marTop w:val="0"/>
      <w:marBottom w:val="0"/>
      <w:divBdr>
        <w:top w:val="none" w:sz="0" w:space="0" w:color="auto"/>
        <w:left w:val="none" w:sz="0" w:space="0" w:color="auto"/>
        <w:bottom w:val="none" w:sz="0" w:space="0" w:color="auto"/>
        <w:right w:val="none" w:sz="0" w:space="0" w:color="auto"/>
      </w:divBdr>
    </w:div>
    <w:div w:id="1883781087">
      <w:bodyDiv w:val="1"/>
      <w:marLeft w:val="0"/>
      <w:marRight w:val="0"/>
      <w:marTop w:val="0"/>
      <w:marBottom w:val="0"/>
      <w:divBdr>
        <w:top w:val="none" w:sz="0" w:space="0" w:color="auto"/>
        <w:left w:val="none" w:sz="0" w:space="0" w:color="auto"/>
        <w:bottom w:val="none" w:sz="0" w:space="0" w:color="auto"/>
        <w:right w:val="none" w:sz="0" w:space="0" w:color="auto"/>
      </w:divBdr>
    </w:div>
    <w:div w:id="1883787719">
      <w:bodyDiv w:val="1"/>
      <w:marLeft w:val="0"/>
      <w:marRight w:val="0"/>
      <w:marTop w:val="0"/>
      <w:marBottom w:val="0"/>
      <w:divBdr>
        <w:top w:val="none" w:sz="0" w:space="0" w:color="auto"/>
        <w:left w:val="none" w:sz="0" w:space="0" w:color="auto"/>
        <w:bottom w:val="none" w:sz="0" w:space="0" w:color="auto"/>
        <w:right w:val="none" w:sz="0" w:space="0" w:color="auto"/>
      </w:divBdr>
    </w:div>
    <w:div w:id="1886912969">
      <w:bodyDiv w:val="1"/>
      <w:marLeft w:val="0"/>
      <w:marRight w:val="0"/>
      <w:marTop w:val="0"/>
      <w:marBottom w:val="0"/>
      <w:divBdr>
        <w:top w:val="none" w:sz="0" w:space="0" w:color="auto"/>
        <w:left w:val="none" w:sz="0" w:space="0" w:color="auto"/>
        <w:bottom w:val="none" w:sz="0" w:space="0" w:color="auto"/>
        <w:right w:val="none" w:sz="0" w:space="0" w:color="auto"/>
      </w:divBdr>
    </w:div>
    <w:div w:id="1888295933">
      <w:bodyDiv w:val="1"/>
      <w:marLeft w:val="0"/>
      <w:marRight w:val="0"/>
      <w:marTop w:val="0"/>
      <w:marBottom w:val="0"/>
      <w:divBdr>
        <w:top w:val="none" w:sz="0" w:space="0" w:color="auto"/>
        <w:left w:val="none" w:sz="0" w:space="0" w:color="auto"/>
        <w:bottom w:val="none" w:sz="0" w:space="0" w:color="auto"/>
        <w:right w:val="none" w:sz="0" w:space="0" w:color="auto"/>
      </w:divBdr>
    </w:div>
    <w:div w:id="1888838983">
      <w:bodyDiv w:val="1"/>
      <w:marLeft w:val="0"/>
      <w:marRight w:val="0"/>
      <w:marTop w:val="0"/>
      <w:marBottom w:val="0"/>
      <w:divBdr>
        <w:top w:val="none" w:sz="0" w:space="0" w:color="auto"/>
        <w:left w:val="none" w:sz="0" w:space="0" w:color="auto"/>
        <w:bottom w:val="none" w:sz="0" w:space="0" w:color="auto"/>
        <w:right w:val="none" w:sz="0" w:space="0" w:color="auto"/>
      </w:divBdr>
    </w:div>
    <w:div w:id="1889873908">
      <w:bodyDiv w:val="1"/>
      <w:marLeft w:val="0"/>
      <w:marRight w:val="0"/>
      <w:marTop w:val="0"/>
      <w:marBottom w:val="0"/>
      <w:divBdr>
        <w:top w:val="none" w:sz="0" w:space="0" w:color="auto"/>
        <w:left w:val="none" w:sz="0" w:space="0" w:color="auto"/>
        <w:bottom w:val="none" w:sz="0" w:space="0" w:color="auto"/>
        <w:right w:val="none" w:sz="0" w:space="0" w:color="auto"/>
      </w:divBdr>
    </w:div>
    <w:div w:id="1895896259">
      <w:bodyDiv w:val="1"/>
      <w:marLeft w:val="0"/>
      <w:marRight w:val="0"/>
      <w:marTop w:val="0"/>
      <w:marBottom w:val="0"/>
      <w:divBdr>
        <w:top w:val="none" w:sz="0" w:space="0" w:color="auto"/>
        <w:left w:val="none" w:sz="0" w:space="0" w:color="auto"/>
        <w:bottom w:val="none" w:sz="0" w:space="0" w:color="auto"/>
        <w:right w:val="none" w:sz="0" w:space="0" w:color="auto"/>
      </w:divBdr>
    </w:div>
    <w:div w:id="1899199835">
      <w:bodyDiv w:val="1"/>
      <w:marLeft w:val="0"/>
      <w:marRight w:val="0"/>
      <w:marTop w:val="0"/>
      <w:marBottom w:val="0"/>
      <w:divBdr>
        <w:top w:val="none" w:sz="0" w:space="0" w:color="auto"/>
        <w:left w:val="none" w:sz="0" w:space="0" w:color="auto"/>
        <w:bottom w:val="none" w:sz="0" w:space="0" w:color="auto"/>
        <w:right w:val="none" w:sz="0" w:space="0" w:color="auto"/>
      </w:divBdr>
    </w:div>
    <w:div w:id="1899321582">
      <w:bodyDiv w:val="1"/>
      <w:marLeft w:val="0"/>
      <w:marRight w:val="0"/>
      <w:marTop w:val="0"/>
      <w:marBottom w:val="0"/>
      <w:divBdr>
        <w:top w:val="none" w:sz="0" w:space="0" w:color="auto"/>
        <w:left w:val="none" w:sz="0" w:space="0" w:color="auto"/>
        <w:bottom w:val="none" w:sz="0" w:space="0" w:color="auto"/>
        <w:right w:val="none" w:sz="0" w:space="0" w:color="auto"/>
      </w:divBdr>
    </w:div>
    <w:div w:id="1907064150">
      <w:bodyDiv w:val="1"/>
      <w:marLeft w:val="0"/>
      <w:marRight w:val="0"/>
      <w:marTop w:val="0"/>
      <w:marBottom w:val="0"/>
      <w:divBdr>
        <w:top w:val="none" w:sz="0" w:space="0" w:color="auto"/>
        <w:left w:val="none" w:sz="0" w:space="0" w:color="auto"/>
        <w:bottom w:val="none" w:sz="0" w:space="0" w:color="auto"/>
        <w:right w:val="none" w:sz="0" w:space="0" w:color="auto"/>
      </w:divBdr>
    </w:div>
    <w:div w:id="1923949764">
      <w:bodyDiv w:val="1"/>
      <w:marLeft w:val="0"/>
      <w:marRight w:val="0"/>
      <w:marTop w:val="0"/>
      <w:marBottom w:val="0"/>
      <w:divBdr>
        <w:top w:val="none" w:sz="0" w:space="0" w:color="auto"/>
        <w:left w:val="none" w:sz="0" w:space="0" w:color="auto"/>
        <w:bottom w:val="none" w:sz="0" w:space="0" w:color="auto"/>
        <w:right w:val="none" w:sz="0" w:space="0" w:color="auto"/>
      </w:divBdr>
    </w:div>
    <w:div w:id="1924486448">
      <w:bodyDiv w:val="1"/>
      <w:marLeft w:val="0"/>
      <w:marRight w:val="0"/>
      <w:marTop w:val="0"/>
      <w:marBottom w:val="0"/>
      <w:divBdr>
        <w:top w:val="none" w:sz="0" w:space="0" w:color="auto"/>
        <w:left w:val="none" w:sz="0" w:space="0" w:color="auto"/>
        <w:bottom w:val="none" w:sz="0" w:space="0" w:color="auto"/>
        <w:right w:val="none" w:sz="0" w:space="0" w:color="auto"/>
      </w:divBdr>
    </w:div>
    <w:div w:id="1931622175">
      <w:bodyDiv w:val="1"/>
      <w:marLeft w:val="0"/>
      <w:marRight w:val="0"/>
      <w:marTop w:val="0"/>
      <w:marBottom w:val="0"/>
      <w:divBdr>
        <w:top w:val="none" w:sz="0" w:space="0" w:color="auto"/>
        <w:left w:val="none" w:sz="0" w:space="0" w:color="auto"/>
        <w:bottom w:val="none" w:sz="0" w:space="0" w:color="auto"/>
        <w:right w:val="none" w:sz="0" w:space="0" w:color="auto"/>
      </w:divBdr>
    </w:div>
    <w:div w:id="1931815002">
      <w:bodyDiv w:val="1"/>
      <w:marLeft w:val="0"/>
      <w:marRight w:val="0"/>
      <w:marTop w:val="0"/>
      <w:marBottom w:val="0"/>
      <w:divBdr>
        <w:top w:val="none" w:sz="0" w:space="0" w:color="auto"/>
        <w:left w:val="none" w:sz="0" w:space="0" w:color="auto"/>
        <w:bottom w:val="none" w:sz="0" w:space="0" w:color="auto"/>
        <w:right w:val="none" w:sz="0" w:space="0" w:color="auto"/>
      </w:divBdr>
    </w:div>
    <w:div w:id="1934624502">
      <w:bodyDiv w:val="1"/>
      <w:marLeft w:val="0"/>
      <w:marRight w:val="0"/>
      <w:marTop w:val="0"/>
      <w:marBottom w:val="0"/>
      <w:divBdr>
        <w:top w:val="none" w:sz="0" w:space="0" w:color="auto"/>
        <w:left w:val="none" w:sz="0" w:space="0" w:color="auto"/>
        <w:bottom w:val="none" w:sz="0" w:space="0" w:color="auto"/>
        <w:right w:val="none" w:sz="0" w:space="0" w:color="auto"/>
      </w:divBdr>
    </w:div>
    <w:div w:id="1940407231">
      <w:bodyDiv w:val="1"/>
      <w:marLeft w:val="0"/>
      <w:marRight w:val="0"/>
      <w:marTop w:val="0"/>
      <w:marBottom w:val="0"/>
      <w:divBdr>
        <w:top w:val="none" w:sz="0" w:space="0" w:color="auto"/>
        <w:left w:val="none" w:sz="0" w:space="0" w:color="auto"/>
        <w:bottom w:val="none" w:sz="0" w:space="0" w:color="auto"/>
        <w:right w:val="none" w:sz="0" w:space="0" w:color="auto"/>
      </w:divBdr>
    </w:div>
    <w:div w:id="1941788646">
      <w:bodyDiv w:val="1"/>
      <w:marLeft w:val="0"/>
      <w:marRight w:val="0"/>
      <w:marTop w:val="0"/>
      <w:marBottom w:val="0"/>
      <w:divBdr>
        <w:top w:val="none" w:sz="0" w:space="0" w:color="auto"/>
        <w:left w:val="none" w:sz="0" w:space="0" w:color="auto"/>
        <w:bottom w:val="none" w:sz="0" w:space="0" w:color="auto"/>
        <w:right w:val="none" w:sz="0" w:space="0" w:color="auto"/>
      </w:divBdr>
    </w:div>
    <w:div w:id="1942178405">
      <w:bodyDiv w:val="1"/>
      <w:marLeft w:val="0"/>
      <w:marRight w:val="0"/>
      <w:marTop w:val="0"/>
      <w:marBottom w:val="0"/>
      <w:divBdr>
        <w:top w:val="none" w:sz="0" w:space="0" w:color="auto"/>
        <w:left w:val="none" w:sz="0" w:space="0" w:color="auto"/>
        <w:bottom w:val="none" w:sz="0" w:space="0" w:color="auto"/>
        <w:right w:val="none" w:sz="0" w:space="0" w:color="auto"/>
      </w:divBdr>
    </w:div>
    <w:div w:id="1943537354">
      <w:bodyDiv w:val="1"/>
      <w:marLeft w:val="0"/>
      <w:marRight w:val="0"/>
      <w:marTop w:val="0"/>
      <w:marBottom w:val="0"/>
      <w:divBdr>
        <w:top w:val="none" w:sz="0" w:space="0" w:color="auto"/>
        <w:left w:val="none" w:sz="0" w:space="0" w:color="auto"/>
        <w:bottom w:val="none" w:sz="0" w:space="0" w:color="auto"/>
        <w:right w:val="none" w:sz="0" w:space="0" w:color="auto"/>
      </w:divBdr>
    </w:div>
    <w:div w:id="1944922760">
      <w:bodyDiv w:val="1"/>
      <w:marLeft w:val="0"/>
      <w:marRight w:val="0"/>
      <w:marTop w:val="0"/>
      <w:marBottom w:val="0"/>
      <w:divBdr>
        <w:top w:val="none" w:sz="0" w:space="0" w:color="auto"/>
        <w:left w:val="none" w:sz="0" w:space="0" w:color="auto"/>
        <w:bottom w:val="none" w:sz="0" w:space="0" w:color="auto"/>
        <w:right w:val="none" w:sz="0" w:space="0" w:color="auto"/>
      </w:divBdr>
    </w:div>
    <w:div w:id="1953628172">
      <w:bodyDiv w:val="1"/>
      <w:marLeft w:val="0"/>
      <w:marRight w:val="0"/>
      <w:marTop w:val="0"/>
      <w:marBottom w:val="0"/>
      <w:divBdr>
        <w:top w:val="none" w:sz="0" w:space="0" w:color="auto"/>
        <w:left w:val="none" w:sz="0" w:space="0" w:color="auto"/>
        <w:bottom w:val="none" w:sz="0" w:space="0" w:color="auto"/>
        <w:right w:val="none" w:sz="0" w:space="0" w:color="auto"/>
      </w:divBdr>
    </w:div>
    <w:div w:id="1963606643">
      <w:bodyDiv w:val="1"/>
      <w:marLeft w:val="0"/>
      <w:marRight w:val="0"/>
      <w:marTop w:val="0"/>
      <w:marBottom w:val="0"/>
      <w:divBdr>
        <w:top w:val="none" w:sz="0" w:space="0" w:color="auto"/>
        <w:left w:val="none" w:sz="0" w:space="0" w:color="auto"/>
        <w:bottom w:val="none" w:sz="0" w:space="0" w:color="auto"/>
        <w:right w:val="none" w:sz="0" w:space="0" w:color="auto"/>
      </w:divBdr>
    </w:div>
    <w:div w:id="1989019291">
      <w:bodyDiv w:val="1"/>
      <w:marLeft w:val="0"/>
      <w:marRight w:val="0"/>
      <w:marTop w:val="0"/>
      <w:marBottom w:val="0"/>
      <w:divBdr>
        <w:top w:val="none" w:sz="0" w:space="0" w:color="auto"/>
        <w:left w:val="none" w:sz="0" w:space="0" w:color="auto"/>
        <w:bottom w:val="none" w:sz="0" w:space="0" w:color="auto"/>
        <w:right w:val="none" w:sz="0" w:space="0" w:color="auto"/>
      </w:divBdr>
    </w:div>
    <w:div w:id="1993020766">
      <w:bodyDiv w:val="1"/>
      <w:marLeft w:val="0"/>
      <w:marRight w:val="0"/>
      <w:marTop w:val="0"/>
      <w:marBottom w:val="0"/>
      <w:divBdr>
        <w:top w:val="none" w:sz="0" w:space="0" w:color="auto"/>
        <w:left w:val="none" w:sz="0" w:space="0" w:color="auto"/>
        <w:bottom w:val="none" w:sz="0" w:space="0" w:color="auto"/>
        <w:right w:val="none" w:sz="0" w:space="0" w:color="auto"/>
      </w:divBdr>
    </w:div>
    <w:div w:id="1994333539">
      <w:bodyDiv w:val="1"/>
      <w:marLeft w:val="0"/>
      <w:marRight w:val="0"/>
      <w:marTop w:val="0"/>
      <w:marBottom w:val="0"/>
      <w:divBdr>
        <w:top w:val="none" w:sz="0" w:space="0" w:color="auto"/>
        <w:left w:val="none" w:sz="0" w:space="0" w:color="auto"/>
        <w:bottom w:val="none" w:sz="0" w:space="0" w:color="auto"/>
        <w:right w:val="none" w:sz="0" w:space="0" w:color="auto"/>
      </w:divBdr>
    </w:div>
    <w:div w:id="1996372580">
      <w:bodyDiv w:val="1"/>
      <w:marLeft w:val="0"/>
      <w:marRight w:val="0"/>
      <w:marTop w:val="0"/>
      <w:marBottom w:val="0"/>
      <w:divBdr>
        <w:top w:val="none" w:sz="0" w:space="0" w:color="auto"/>
        <w:left w:val="none" w:sz="0" w:space="0" w:color="auto"/>
        <w:bottom w:val="none" w:sz="0" w:space="0" w:color="auto"/>
        <w:right w:val="none" w:sz="0" w:space="0" w:color="auto"/>
      </w:divBdr>
    </w:div>
    <w:div w:id="2003043360">
      <w:bodyDiv w:val="1"/>
      <w:marLeft w:val="0"/>
      <w:marRight w:val="0"/>
      <w:marTop w:val="0"/>
      <w:marBottom w:val="0"/>
      <w:divBdr>
        <w:top w:val="none" w:sz="0" w:space="0" w:color="auto"/>
        <w:left w:val="none" w:sz="0" w:space="0" w:color="auto"/>
        <w:bottom w:val="none" w:sz="0" w:space="0" w:color="auto"/>
        <w:right w:val="none" w:sz="0" w:space="0" w:color="auto"/>
      </w:divBdr>
    </w:div>
    <w:div w:id="2004233385">
      <w:bodyDiv w:val="1"/>
      <w:marLeft w:val="0"/>
      <w:marRight w:val="0"/>
      <w:marTop w:val="0"/>
      <w:marBottom w:val="0"/>
      <w:divBdr>
        <w:top w:val="none" w:sz="0" w:space="0" w:color="auto"/>
        <w:left w:val="none" w:sz="0" w:space="0" w:color="auto"/>
        <w:bottom w:val="none" w:sz="0" w:space="0" w:color="auto"/>
        <w:right w:val="none" w:sz="0" w:space="0" w:color="auto"/>
      </w:divBdr>
    </w:div>
    <w:div w:id="2005277539">
      <w:bodyDiv w:val="1"/>
      <w:marLeft w:val="0"/>
      <w:marRight w:val="0"/>
      <w:marTop w:val="0"/>
      <w:marBottom w:val="0"/>
      <w:divBdr>
        <w:top w:val="none" w:sz="0" w:space="0" w:color="auto"/>
        <w:left w:val="none" w:sz="0" w:space="0" w:color="auto"/>
        <w:bottom w:val="none" w:sz="0" w:space="0" w:color="auto"/>
        <w:right w:val="none" w:sz="0" w:space="0" w:color="auto"/>
      </w:divBdr>
    </w:div>
    <w:div w:id="2005358865">
      <w:bodyDiv w:val="1"/>
      <w:marLeft w:val="0"/>
      <w:marRight w:val="0"/>
      <w:marTop w:val="0"/>
      <w:marBottom w:val="0"/>
      <w:divBdr>
        <w:top w:val="none" w:sz="0" w:space="0" w:color="auto"/>
        <w:left w:val="none" w:sz="0" w:space="0" w:color="auto"/>
        <w:bottom w:val="none" w:sz="0" w:space="0" w:color="auto"/>
        <w:right w:val="none" w:sz="0" w:space="0" w:color="auto"/>
      </w:divBdr>
    </w:div>
    <w:div w:id="2016765049">
      <w:bodyDiv w:val="1"/>
      <w:marLeft w:val="0"/>
      <w:marRight w:val="0"/>
      <w:marTop w:val="0"/>
      <w:marBottom w:val="0"/>
      <w:divBdr>
        <w:top w:val="none" w:sz="0" w:space="0" w:color="auto"/>
        <w:left w:val="none" w:sz="0" w:space="0" w:color="auto"/>
        <w:bottom w:val="none" w:sz="0" w:space="0" w:color="auto"/>
        <w:right w:val="none" w:sz="0" w:space="0" w:color="auto"/>
      </w:divBdr>
    </w:div>
    <w:div w:id="2016806617">
      <w:bodyDiv w:val="1"/>
      <w:marLeft w:val="0"/>
      <w:marRight w:val="0"/>
      <w:marTop w:val="0"/>
      <w:marBottom w:val="0"/>
      <w:divBdr>
        <w:top w:val="none" w:sz="0" w:space="0" w:color="auto"/>
        <w:left w:val="none" w:sz="0" w:space="0" w:color="auto"/>
        <w:bottom w:val="none" w:sz="0" w:space="0" w:color="auto"/>
        <w:right w:val="none" w:sz="0" w:space="0" w:color="auto"/>
      </w:divBdr>
    </w:div>
    <w:div w:id="2022392387">
      <w:bodyDiv w:val="1"/>
      <w:marLeft w:val="0"/>
      <w:marRight w:val="0"/>
      <w:marTop w:val="0"/>
      <w:marBottom w:val="0"/>
      <w:divBdr>
        <w:top w:val="none" w:sz="0" w:space="0" w:color="auto"/>
        <w:left w:val="none" w:sz="0" w:space="0" w:color="auto"/>
        <w:bottom w:val="none" w:sz="0" w:space="0" w:color="auto"/>
        <w:right w:val="none" w:sz="0" w:space="0" w:color="auto"/>
      </w:divBdr>
    </w:div>
    <w:div w:id="2028167480">
      <w:bodyDiv w:val="1"/>
      <w:marLeft w:val="0"/>
      <w:marRight w:val="0"/>
      <w:marTop w:val="0"/>
      <w:marBottom w:val="0"/>
      <w:divBdr>
        <w:top w:val="none" w:sz="0" w:space="0" w:color="auto"/>
        <w:left w:val="none" w:sz="0" w:space="0" w:color="auto"/>
        <w:bottom w:val="none" w:sz="0" w:space="0" w:color="auto"/>
        <w:right w:val="none" w:sz="0" w:space="0" w:color="auto"/>
      </w:divBdr>
    </w:div>
    <w:div w:id="2034257682">
      <w:bodyDiv w:val="1"/>
      <w:marLeft w:val="0"/>
      <w:marRight w:val="0"/>
      <w:marTop w:val="0"/>
      <w:marBottom w:val="0"/>
      <w:divBdr>
        <w:top w:val="none" w:sz="0" w:space="0" w:color="auto"/>
        <w:left w:val="none" w:sz="0" w:space="0" w:color="auto"/>
        <w:bottom w:val="none" w:sz="0" w:space="0" w:color="auto"/>
        <w:right w:val="none" w:sz="0" w:space="0" w:color="auto"/>
      </w:divBdr>
    </w:div>
    <w:div w:id="2040468940">
      <w:bodyDiv w:val="1"/>
      <w:marLeft w:val="0"/>
      <w:marRight w:val="0"/>
      <w:marTop w:val="0"/>
      <w:marBottom w:val="0"/>
      <w:divBdr>
        <w:top w:val="none" w:sz="0" w:space="0" w:color="auto"/>
        <w:left w:val="none" w:sz="0" w:space="0" w:color="auto"/>
        <w:bottom w:val="none" w:sz="0" w:space="0" w:color="auto"/>
        <w:right w:val="none" w:sz="0" w:space="0" w:color="auto"/>
      </w:divBdr>
    </w:div>
    <w:div w:id="2040813859">
      <w:bodyDiv w:val="1"/>
      <w:marLeft w:val="0"/>
      <w:marRight w:val="0"/>
      <w:marTop w:val="0"/>
      <w:marBottom w:val="0"/>
      <w:divBdr>
        <w:top w:val="none" w:sz="0" w:space="0" w:color="auto"/>
        <w:left w:val="none" w:sz="0" w:space="0" w:color="auto"/>
        <w:bottom w:val="none" w:sz="0" w:space="0" w:color="auto"/>
        <w:right w:val="none" w:sz="0" w:space="0" w:color="auto"/>
      </w:divBdr>
    </w:div>
    <w:div w:id="2046254277">
      <w:bodyDiv w:val="1"/>
      <w:marLeft w:val="0"/>
      <w:marRight w:val="0"/>
      <w:marTop w:val="0"/>
      <w:marBottom w:val="0"/>
      <w:divBdr>
        <w:top w:val="none" w:sz="0" w:space="0" w:color="auto"/>
        <w:left w:val="none" w:sz="0" w:space="0" w:color="auto"/>
        <w:bottom w:val="none" w:sz="0" w:space="0" w:color="auto"/>
        <w:right w:val="none" w:sz="0" w:space="0" w:color="auto"/>
      </w:divBdr>
    </w:div>
    <w:div w:id="2050641329">
      <w:bodyDiv w:val="1"/>
      <w:marLeft w:val="0"/>
      <w:marRight w:val="0"/>
      <w:marTop w:val="0"/>
      <w:marBottom w:val="0"/>
      <w:divBdr>
        <w:top w:val="none" w:sz="0" w:space="0" w:color="auto"/>
        <w:left w:val="none" w:sz="0" w:space="0" w:color="auto"/>
        <w:bottom w:val="none" w:sz="0" w:space="0" w:color="auto"/>
        <w:right w:val="none" w:sz="0" w:space="0" w:color="auto"/>
      </w:divBdr>
    </w:div>
    <w:div w:id="2051567452">
      <w:bodyDiv w:val="1"/>
      <w:marLeft w:val="0"/>
      <w:marRight w:val="0"/>
      <w:marTop w:val="0"/>
      <w:marBottom w:val="0"/>
      <w:divBdr>
        <w:top w:val="none" w:sz="0" w:space="0" w:color="auto"/>
        <w:left w:val="none" w:sz="0" w:space="0" w:color="auto"/>
        <w:bottom w:val="none" w:sz="0" w:space="0" w:color="auto"/>
        <w:right w:val="none" w:sz="0" w:space="0" w:color="auto"/>
      </w:divBdr>
    </w:div>
    <w:div w:id="2051683725">
      <w:bodyDiv w:val="1"/>
      <w:marLeft w:val="0"/>
      <w:marRight w:val="0"/>
      <w:marTop w:val="0"/>
      <w:marBottom w:val="0"/>
      <w:divBdr>
        <w:top w:val="none" w:sz="0" w:space="0" w:color="auto"/>
        <w:left w:val="none" w:sz="0" w:space="0" w:color="auto"/>
        <w:bottom w:val="none" w:sz="0" w:space="0" w:color="auto"/>
        <w:right w:val="none" w:sz="0" w:space="0" w:color="auto"/>
      </w:divBdr>
    </w:div>
    <w:div w:id="2052919272">
      <w:bodyDiv w:val="1"/>
      <w:marLeft w:val="0"/>
      <w:marRight w:val="0"/>
      <w:marTop w:val="0"/>
      <w:marBottom w:val="0"/>
      <w:divBdr>
        <w:top w:val="none" w:sz="0" w:space="0" w:color="auto"/>
        <w:left w:val="none" w:sz="0" w:space="0" w:color="auto"/>
        <w:bottom w:val="none" w:sz="0" w:space="0" w:color="auto"/>
        <w:right w:val="none" w:sz="0" w:space="0" w:color="auto"/>
      </w:divBdr>
    </w:div>
    <w:div w:id="2055693340">
      <w:bodyDiv w:val="1"/>
      <w:marLeft w:val="0"/>
      <w:marRight w:val="0"/>
      <w:marTop w:val="0"/>
      <w:marBottom w:val="0"/>
      <w:divBdr>
        <w:top w:val="none" w:sz="0" w:space="0" w:color="auto"/>
        <w:left w:val="none" w:sz="0" w:space="0" w:color="auto"/>
        <w:bottom w:val="none" w:sz="0" w:space="0" w:color="auto"/>
        <w:right w:val="none" w:sz="0" w:space="0" w:color="auto"/>
      </w:divBdr>
    </w:div>
    <w:div w:id="2059742897">
      <w:bodyDiv w:val="1"/>
      <w:marLeft w:val="0"/>
      <w:marRight w:val="0"/>
      <w:marTop w:val="0"/>
      <w:marBottom w:val="0"/>
      <w:divBdr>
        <w:top w:val="none" w:sz="0" w:space="0" w:color="auto"/>
        <w:left w:val="none" w:sz="0" w:space="0" w:color="auto"/>
        <w:bottom w:val="none" w:sz="0" w:space="0" w:color="auto"/>
        <w:right w:val="none" w:sz="0" w:space="0" w:color="auto"/>
      </w:divBdr>
    </w:div>
    <w:div w:id="2060276139">
      <w:bodyDiv w:val="1"/>
      <w:marLeft w:val="0"/>
      <w:marRight w:val="0"/>
      <w:marTop w:val="0"/>
      <w:marBottom w:val="0"/>
      <w:divBdr>
        <w:top w:val="none" w:sz="0" w:space="0" w:color="auto"/>
        <w:left w:val="none" w:sz="0" w:space="0" w:color="auto"/>
        <w:bottom w:val="none" w:sz="0" w:space="0" w:color="auto"/>
        <w:right w:val="none" w:sz="0" w:space="0" w:color="auto"/>
      </w:divBdr>
    </w:div>
    <w:div w:id="2063407841">
      <w:bodyDiv w:val="1"/>
      <w:marLeft w:val="0"/>
      <w:marRight w:val="0"/>
      <w:marTop w:val="0"/>
      <w:marBottom w:val="0"/>
      <w:divBdr>
        <w:top w:val="none" w:sz="0" w:space="0" w:color="auto"/>
        <w:left w:val="none" w:sz="0" w:space="0" w:color="auto"/>
        <w:bottom w:val="none" w:sz="0" w:space="0" w:color="auto"/>
        <w:right w:val="none" w:sz="0" w:space="0" w:color="auto"/>
      </w:divBdr>
    </w:div>
    <w:div w:id="2068408090">
      <w:bodyDiv w:val="1"/>
      <w:marLeft w:val="0"/>
      <w:marRight w:val="0"/>
      <w:marTop w:val="0"/>
      <w:marBottom w:val="0"/>
      <w:divBdr>
        <w:top w:val="none" w:sz="0" w:space="0" w:color="auto"/>
        <w:left w:val="none" w:sz="0" w:space="0" w:color="auto"/>
        <w:bottom w:val="none" w:sz="0" w:space="0" w:color="auto"/>
        <w:right w:val="none" w:sz="0" w:space="0" w:color="auto"/>
      </w:divBdr>
    </w:div>
    <w:div w:id="2075157275">
      <w:bodyDiv w:val="1"/>
      <w:marLeft w:val="0"/>
      <w:marRight w:val="0"/>
      <w:marTop w:val="0"/>
      <w:marBottom w:val="0"/>
      <w:divBdr>
        <w:top w:val="none" w:sz="0" w:space="0" w:color="auto"/>
        <w:left w:val="none" w:sz="0" w:space="0" w:color="auto"/>
        <w:bottom w:val="none" w:sz="0" w:space="0" w:color="auto"/>
        <w:right w:val="none" w:sz="0" w:space="0" w:color="auto"/>
      </w:divBdr>
    </w:div>
    <w:div w:id="2076933358">
      <w:bodyDiv w:val="1"/>
      <w:marLeft w:val="0"/>
      <w:marRight w:val="0"/>
      <w:marTop w:val="0"/>
      <w:marBottom w:val="0"/>
      <w:divBdr>
        <w:top w:val="none" w:sz="0" w:space="0" w:color="auto"/>
        <w:left w:val="none" w:sz="0" w:space="0" w:color="auto"/>
        <w:bottom w:val="none" w:sz="0" w:space="0" w:color="auto"/>
        <w:right w:val="none" w:sz="0" w:space="0" w:color="auto"/>
      </w:divBdr>
    </w:div>
    <w:div w:id="2079014619">
      <w:bodyDiv w:val="1"/>
      <w:marLeft w:val="0"/>
      <w:marRight w:val="0"/>
      <w:marTop w:val="0"/>
      <w:marBottom w:val="0"/>
      <w:divBdr>
        <w:top w:val="none" w:sz="0" w:space="0" w:color="auto"/>
        <w:left w:val="none" w:sz="0" w:space="0" w:color="auto"/>
        <w:bottom w:val="none" w:sz="0" w:space="0" w:color="auto"/>
        <w:right w:val="none" w:sz="0" w:space="0" w:color="auto"/>
      </w:divBdr>
    </w:div>
    <w:div w:id="2080902883">
      <w:bodyDiv w:val="1"/>
      <w:marLeft w:val="0"/>
      <w:marRight w:val="0"/>
      <w:marTop w:val="0"/>
      <w:marBottom w:val="0"/>
      <w:divBdr>
        <w:top w:val="none" w:sz="0" w:space="0" w:color="auto"/>
        <w:left w:val="none" w:sz="0" w:space="0" w:color="auto"/>
        <w:bottom w:val="none" w:sz="0" w:space="0" w:color="auto"/>
        <w:right w:val="none" w:sz="0" w:space="0" w:color="auto"/>
      </w:divBdr>
    </w:div>
    <w:div w:id="2087918347">
      <w:bodyDiv w:val="1"/>
      <w:marLeft w:val="0"/>
      <w:marRight w:val="0"/>
      <w:marTop w:val="0"/>
      <w:marBottom w:val="0"/>
      <w:divBdr>
        <w:top w:val="none" w:sz="0" w:space="0" w:color="auto"/>
        <w:left w:val="none" w:sz="0" w:space="0" w:color="auto"/>
        <w:bottom w:val="none" w:sz="0" w:space="0" w:color="auto"/>
        <w:right w:val="none" w:sz="0" w:space="0" w:color="auto"/>
      </w:divBdr>
    </w:div>
    <w:div w:id="2089839584">
      <w:bodyDiv w:val="1"/>
      <w:marLeft w:val="0"/>
      <w:marRight w:val="0"/>
      <w:marTop w:val="0"/>
      <w:marBottom w:val="0"/>
      <w:divBdr>
        <w:top w:val="none" w:sz="0" w:space="0" w:color="auto"/>
        <w:left w:val="none" w:sz="0" w:space="0" w:color="auto"/>
        <w:bottom w:val="none" w:sz="0" w:space="0" w:color="auto"/>
        <w:right w:val="none" w:sz="0" w:space="0" w:color="auto"/>
      </w:divBdr>
    </w:div>
    <w:div w:id="2090420366">
      <w:bodyDiv w:val="1"/>
      <w:marLeft w:val="0"/>
      <w:marRight w:val="0"/>
      <w:marTop w:val="0"/>
      <w:marBottom w:val="0"/>
      <w:divBdr>
        <w:top w:val="none" w:sz="0" w:space="0" w:color="auto"/>
        <w:left w:val="none" w:sz="0" w:space="0" w:color="auto"/>
        <w:bottom w:val="none" w:sz="0" w:space="0" w:color="auto"/>
        <w:right w:val="none" w:sz="0" w:space="0" w:color="auto"/>
      </w:divBdr>
    </w:div>
    <w:div w:id="2094203641">
      <w:bodyDiv w:val="1"/>
      <w:marLeft w:val="0"/>
      <w:marRight w:val="0"/>
      <w:marTop w:val="0"/>
      <w:marBottom w:val="0"/>
      <w:divBdr>
        <w:top w:val="none" w:sz="0" w:space="0" w:color="auto"/>
        <w:left w:val="none" w:sz="0" w:space="0" w:color="auto"/>
        <w:bottom w:val="none" w:sz="0" w:space="0" w:color="auto"/>
        <w:right w:val="none" w:sz="0" w:space="0" w:color="auto"/>
      </w:divBdr>
    </w:div>
    <w:div w:id="2100252082">
      <w:bodyDiv w:val="1"/>
      <w:marLeft w:val="0"/>
      <w:marRight w:val="0"/>
      <w:marTop w:val="0"/>
      <w:marBottom w:val="0"/>
      <w:divBdr>
        <w:top w:val="none" w:sz="0" w:space="0" w:color="auto"/>
        <w:left w:val="none" w:sz="0" w:space="0" w:color="auto"/>
        <w:bottom w:val="none" w:sz="0" w:space="0" w:color="auto"/>
        <w:right w:val="none" w:sz="0" w:space="0" w:color="auto"/>
      </w:divBdr>
    </w:div>
    <w:div w:id="2101678480">
      <w:bodyDiv w:val="1"/>
      <w:marLeft w:val="0"/>
      <w:marRight w:val="0"/>
      <w:marTop w:val="0"/>
      <w:marBottom w:val="0"/>
      <w:divBdr>
        <w:top w:val="none" w:sz="0" w:space="0" w:color="auto"/>
        <w:left w:val="none" w:sz="0" w:space="0" w:color="auto"/>
        <w:bottom w:val="none" w:sz="0" w:space="0" w:color="auto"/>
        <w:right w:val="none" w:sz="0" w:space="0" w:color="auto"/>
      </w:divBdr>
    </w:div>
    <w:div w:id="2105956803">
      <w:bodyDiv w:val="1"/>
      <w:marLeft w:val="0"/>
      <w:marRight w:val="0"/>
      <w:marTop w:val="0"/>
      <w:marBottom w:val="0"/>
      <w:divBdr>
        <w:top w:val="none" w:sz="0" w:space="0" w:color="auto"/>
        <w:left w:val="none" w:sz="0" w:space="0" w:color="auto"/>
        <w:bottom w:val="none" w:sz="0" w:space="0" w:color="auto"/>
        <w:right w:val="none" w:sz="0" w:space="0" w:color="auto"/>
      </w:divBdr>
    </w:div>
    <w:div w:id="2106338001">
      <w:bodyDiv w:val="1"/>
      <w:marLeft w:val="0"/>
      <w:marRight w:val="0"/>
      <w:marTop w:val="0"/>
      <w:marBottom w:val="0"/>
      <w:divBdr>
        <w:top w:val="none" w:sz="0" w:space="0" w:color="auto"/>
        <w:left w:val="none" w:sz="0" w:space="0" w:color="auto"/>
        <w:bottom w:val="none" w:sz="0" w:space="0" w:color="auto"/>
        <w:right w:val="none" w:sz="0" w:space="0" w:color="auto"/>
      </w:divBdr>
    </w:div>
    <w:div w:id="2108697519">
      <w:bodyDiv w:val="1"/>
      <w:marLeft w:val="0"/>
      <w:marRight w:val="0"/>
      <w:marTop w:val="0"/>
      <w:marBottom w:val="0"/>
      <w:divBdr>
        <w:top w:val="none" w:sz="0" w:space="0" w:color="auto"/>
        <w:left w:val="none" w:sz="0" w:space="0" w:color="auto"/>
        <w:bottom w:val="none" w:sz="0" w:space="0" w:color="auto"/>
        <w:right w:val="none" w:sz="0" w:space="0" w:color="auto"/>
      </w:divBdr>
    </w:div>
    <w:div w:id="2110614291">
      <w:bodyDiv w:val="1"/>
      <w:marLeft w:val="0"/>
      <w:marRight w:val="0"/>
      <w:marTop w:val="0"/>
      <w:marBottom w:val="0"/>
      <w:divBdr>
        <w:top w:val="none" w:sz="0" w:space="0" w:color="auto"/>
        <w:left w:val="none" w:sz="0" w:space="0" w:color="auto"/>
        <w:bottom w:val="none" w:sz="0" w:space="0" w:color="auto"/>
        <w:right w:val="none" w:sz="0" w:space="0" w:color="auto"/>
      </w:divBdr>
    </w:div>
    <w:div w:id="2113864926">
      <w:bodyDiv w:val="1"/>
      <w:marLeft w:val="0"/>
      <w:marRight w:val="0"/>
      <w:marTop w:val="0"/>
      <w:marBottom w:val="0"/>
      <w:divBdr>
        <w:top w:val="none" w:sz="0" w:space="0" w:color="auto"/>
        <w:left w:val="none" w:sz="0" w:space="0" w:color="auto"/>
        <w:bottom w:val="none" w:sz="0" w:space="0" w:color="auto"/>
        <w:right w:val="none" w:sz="0" w:space="0" w:color="auto"/>
      </w:divBdr>
    </w:div>
    <w:div w:id="2116710632">
      <w:bodyDiv w:val="1"/>
      <w:marLeft w:val="0"/>
      <w:marRight w:val="0"/>
      <w:marTop w:val="0"/>
      <w:marBottom w:val="0"/>
      <w:divBdr>
        <w:top w:val="none" w:sz="0" w:space="0" w:color="auto"/>
        <w:left w:val="none" w:sz="0" w:space="0" w:color="auto"/>
        <w:bottom w:val="none" w:sz="0" w:space="0" w:color="auto"/>
        <w:right w:val="none" w:sz="0" w:space="0" w:color="auto"/>
      </w:divBdr>
    </w:div>
    <w:div w:id="2118023048">
      <w:bodyDiv w:val="1"/>
      <w:marLeft w:val="0"/>
      <w:marRight w:val="0"/>
      <w:marTop w:val="0"/>
      <w:marBottom w:val="0"/>
      <w:divBdr>
        <w:top w:val="none" w:sz="0" w:space="0" w:color="auto"/>
        <w:left w:val="none" w:sz="0" w:space="0" w:color="auto"/>
        <w:bottom w:val="none" w:sz="0" w:space="0" w:color="auto"/>
        <w:right w:val="none" w:sz="0" w:space="0" w:color="auto"/>
      </w:divBdr>
    </w:div>
    <w:div w:id="2120642880">
      <w:bodyDiv w:val="1"/>
      <w:marLeft w:val="0"/>
      <w:marRight w:val="0"/>
      <w:marTop w:val="0"/>
      <w:marBottom w:val="0"/>
      <w:divBdr>
        <w:top w:val="none" w:sz="0" w:space="0" w:color="auto"/>
        <w:left w:val="none" w:sz="0" w:space="0" w:color="auto"/>
        <w:bottom w:val="none" w:sz="0" w:space="0" w:color="auto"/>
        <w:right w:val="none" w:sz="0" w:space="0" w:color="auto"/>
      </w:divBdr>
    </w:div>
    <w:div w:id="2124882857">
      <w:bodyDiv w:val="1"/>
      <w:marLeft w:val="0"/>
      <w:marRight w:val="0"/>
      <w:marTop w:val="0"/>
      <w:marBottom w:val="0"/>
      <w:divBdr>
        <w:top w:val="none" w:sz="0" w:space="0" w:color="auto"/>
        <w:left w:val="none" w:sz="0" w:space="0" w:color="auto"/>
        <w:bottom w:val="none" w:sz="0" w:space="0" w:color="auto"/>
        <w:right w:val="none" w:sz="0" w:space="0" w:color="auto"/>
      </w:divBdr>
    </w:div>
    <w:div w:id="2128356001">
      <w:bodyDiv w:val="1"/>
      <w:marLeft w:val="0"/>
      <w:marRight w:val="0"/>
      <w:marTop w:val="0"/>
      <w:marBottom w:val="0"/>
      <w:divBdr>
        <w:top w:val="none" w:sz="0" w:space="0" w:color="auto"/>
        <w:left w:val="none" w:sz="0" w:space="0" w:color="auto"/>
        <w:bottom w:val="none" w:sz="0" w:space="0" w:color="auto"/>
        <w:right w:val="none" w:sz="0" w:space="0" w:color="auto"/>
      </w:divBdr>
    </w:div>
    <w:div w:id="2131775270">
      <w:bodyDiv w:val="1"/>
      <w:marLeft w:val="0"/>
      <w:marRight w:val="0"/>
      <w:marTop w:val="0"/>
      <w:marBottom w:val="0"/>
      <w:divBdr>
        <w:top w:val="none" w:sz="0" w:space="0" w:color="auto"/>
        <w:left w:val="none" w:sz="0" w:space="0" w:color="auto"/>
        <w:bottom w:val="none" w:sz="0" w:space="0" w:color="auto"/>
        <w:right w:val="none" w:sz="0" w:space="0" w:color="auto"/>
      </w:divBdr>
    </w:div>
    <w:div w:id="2132478361">
      <w:bodyDiv w:val="1"/>
      <w:marLeft w:val="0"/>
      <w:marRight w:val="0"/>
      <w:marTop w:val="0"/>
      <w:marBottom w:val="0"/>
      <w:divBdr>
        <w:top w:val="none" w:sz="0" w:space="0" w:color="auto"/>
        <w:left w:val="none" w:sz="0" w:space="0" w:color="auto"/>
        <w:bottom w:val="none" w:sz="0" w:space="0" w:color="auto"/>
        <w:right w:val="none" w:sz="0" w:space="0" w:color="auto"/>
      </w:divBdr>
    </w:div>
    <w:div w:id="2135514567">
      <w:bodyDiv w:val="1"/>
      <w:marLeft w:val="0"/>
      <w:marRight w:val="0"/>
      <w:marTop w:val="0"/>
      <w:marBottom w:val="0"/>
      <w:divBdr>
        <w:top w:val="none" w:sz="0" w:space="0" w:color="auto"/>
        <w:left w:val="none" w:sz="0" w:space="0" w:color="auto"/>
        <w:bottom w:val="none" w:sz="0" w:space="0" w:color="auto"/>
        <w:right w:val="none" w:sz="0" w:space="0" w:color="auto"/>
      </w:divBdr>
    </w:div>
    <w:div w:id="2136604983">
      <w:bodyDiv w:val="1"/>
      <w:marLeft w:val="0"/>
      <w:marRight w:val="0"/>
      <w:marTop w:val="0"/>
      <w:marBottom w:val="0"/>
      <w:divBdr>
        <w:top w:val="none" w:sz="0" w:space="0" w:color="auto"/>
        <w:left w:val="none" w:sz="0" w:space="0" w:color="auto"/>
        <w:bottom w:val="none" w:sz="0" w:space="0" w:color="auto"/>
        <w:right w:val="none" w:sz="0" w:space="0" w:color="auto"/>
      </w:divBdr>
    </w:div>
    <w:div w:id="2137867760">
      <w:bodyDiv w:val="1"/>
      <w:marLeft w:val="0"/>
      <w:marRight w:val="0"/>
      <w:marTop w:val="0"/>
      <w:marBottom w:val="0"/>
      <w:divBdr>
        <w:top w:val="none" w:sz="0" w:space="0" w:color="auto"/>
        <w:left w:val="none" w:sz="0" w:space="0" w:color="auto"/>
        <w:bottom w:val="none" w:sz="0" w:space="0" w:color="auto"/>
        <w:right w:val="none" w:sz="0" w:space="0" w:color="auto"/>
      </w:divBdr>
    </w:div>
    <w:div w:id="2140416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1.emf"/><Relationship Id="rId21" Type="http://schemas.openxmlformats.org/officeDocument/2006/relationships/image" Target="media/image12.emf"/><Relationship Id="rId63" Type="http://schemas.openxmlformats.org/officeDocument/2006/relationships/image" Target="media/image44.emf"/><Relationship Id="rId159" Type="http://schemas.openxmlformats.org/officeDocument/2006/relationships/hyperlink" Target="http://narodne-novine.nn.hr/clanci/sluzbeni/2007_07_79_2486.html" TargetMode="External"/><Relationship Id="rId170" Type="http://schemas.openxmlformats.org/officeDocument/2006/relationships/image" Target="media/image135.emf"/><Relationship Id="rId226" Type="http://schemas.openxmlformats.org/officeDocument/2006/relationships/image" Target="media/image172.emf"/><Relationship Id="rId107" Type="http://schemas.openxmlformats.org/officeDocument/2006/relationships/image" Target="media/image81.emf"/><Relationship Id="rId11" Type="http://schemas.openxmlformats.org/officeDocument/2006/relationships/image" Target="media/image4.emf"/><Relationship Id="rId32" Type="http://schemas.openxmlformats.org/officeDocument/2006/relationships/image" Target="media/image21.emf"/><Relationship Id="rId53" Type="http://schemas.openxmlformats.org/officeDocument/2006/relationships/image" Target="media/image35.emf"/><Relationship Id="rId74" Type="http://schemas.openxmlformats.org/officeDocument/2006/relationships/image" Target="media/image55.emf"/><Relationship Id="rId128" Type="http://schemas.openxmlformats.org/officeDocument/2006/relationships/image" Target="media/image100.emf"/><Relationship Id="rId149" Type="http://schemas.openxmlformats.org/officeDocument/2006/relationships/image" Target="media/image120.emf"/><Relationship Id="rId5" Type="http://schemas.openxmlformats.org/officeDocument/2006/relationships/settings" Target="settings.xml"/><Relationship Id="rId95" Type="http://schemas.openxmlformats.org/officeDocument/2006/relationships/image" Target="media/image69.emf"/><Relationship Id="rId160" Type="http://schemas.openxmlformats.org/officeDocument/2006/relationships/hyperlink" Target="http://narodne-novine.nn.hr/clanci/sluzbeni/2008_10_113_3286.html" TargetMode="External"/><Relationship Id="rId181" Type="http://schemas.openxmlformats.org/officeDocument/2006/relationships/hyperlink" Target="https://poljoprivreda.gov.hr/UserDocsImages/dokumenti/poljoprivreda/poljoprivredno_zemljiste/Komasacija/2024-01-16%20-MP-Odluka-nabava-i-povjerenstvo-Opc.Konavle-_____UP-I.1.pdf" TargetMode="External"/><Relationship Id="rId216" Type="http://schemas.openxmlformats.org/officeDocument/2006/relationships/image" Target="media/image162.emf"/><Relationship Id="rId237" Type="http://schemas.openxmlformats.org/officeDocument/2006/relationships/image" Target="media/image183.emf"/><Relationship Id="rId258" Type="http://schemas.openxmlformats.org/officeDocument/2006/relationships/image" Target="media/image201.emf"/><Relationship Id="rId22" Type="http://schemas.openxmlformats.org/officeDocument/2006/relationships/image" Target="media/image13.emf"/><Relationship Id="rId43" Type="http://schemas.openxmlformats.org/officeDocument/2006/relationships/image" Target="media/image29.emf"/><Relationship Id="rId64" Type="http://schemas.openxmlformats.org/officeDocument/2006/relationships/image" Target="media/image45.emf"/><Relationship Id="rId118" Type="http://schemas.openxmlformats.org/officeDocument/2006/relationships/image" Target="media/image92.emf"/><Relationship Id="rId139" Type="http://schemas.openxmlformats.org/officeDocument/2006/relationships/image" Target="media/image110.emf"/><Relationship Id="rId85" Type="http://schemas.openxmlformats.org/officeDocument/2006/relationships/image" Target="media/image60.emf"/><Relationship Id="rId150" Type="http://schemas.openxmlformats.org/officeDocument/2006/relationships/image" Target="media/image121.emf"/><Relationship Id="rId171" Type="http://schemas.openxmlformats.org/officeDocument/2006/relationships/image" Target="media/image136.emf"/><Relationship Id="rId192" Type="http://schemas.openxmlformats.org/officeDocument/2006/relationships/hyperlink" Target="https://www.opcinakonavle.hr/beta/wp-content/uploads/2025/04/IZJAVA_-formiranje-dogovorne-cestice.docx" TargetMode="External"/><Relationship Id="rId206" Type="http://schemas.openxmlformats.org/officeDocument/2006/relationships/image" Target="media/image152.emf"/><Relationship Id="rId227" Type="http://schemas.openxmlformats.org/officeDocument/2006/relationships/image" Target="media/image173.emf"/><Relationship Id="rId248" Type="http://schemas.openxmlformats.org/officeDocument/2006/relationships/image" Target="media/image194.emf"/><Relationship Id="rId12" Type="http://schemas.openxmlformats.org/officeDocument/2006/relationships/image" Target="media/image5.emf"/><Relationship Id="rId33" Type="http://schemas.openxmlformats.org/officeDocument/2006/relationships/image" Target="media/image22.emf"/><Relationship Id="rId108" Type="http://schemas.openxmlformats.org/officeDocument/2006/relationships/image" Target="media/image82.emf"/><Relationship Id="rId129" Type="http://schemas.openxmlformats.org/officeDocument/2006/relationships/image" Target="media/image101.emf"/><Relationship Id="rId54" Type="http://schemas.openxmlformats.org/officeDocument/2006/relationships/image" Target="media/image36.emf"/><Relationship Id="rId75" Type="http://schemas.openxmlformats.org/officeDocument/2006/relationships/image" Target="media/image56.emf"/><Relationship Id="rId96" Type="http://schemas.openxmlformats.org/officeDocument/2006/relationships/image" Target="media/image70.emf"/><Relationship Id="rId140" Type="http://schemas.openxmlformats.org/officeDocument/2006/relationships/image" Target="media/image111.emf"/><Relationship Id="rId161" Type="http://schemas.openxmlformats.org/officeDocument/2006/relationships/hyperlink" Target="http://narodne-novine.nn.hr/clanci/sluzbeni/2009_04_43_985.html" TargetMode="External"/><Relationship Id="rId182" Type="http://schemas.openxmlformats.org/officeDocument/2006/relationships/hyperlink" Target="https://poljoprivreda.gov.hr/UserDocsImages/dokumenti/poljoprivreda/poljoprivredno_zemljiste/Komasacija/2024-11-28%20-M-Odlu-Povjerenstvo-Opc-Konavle-UPI-1.pdf" TargetMode="External"/><Relationship Id="rId217" Type="http://schemas.openxmlformats.org/officeDocument/2006/relationships/image" Target="media/image163.emf"/><Relationship Id="rId6" Type="http://schemas.openxmlformats.org/officeDocument/2006/relationships/webSettings" Target="webSettings.xml"/><Relationship Id="rId238" Type="http://schemas.openxmlformats.org/officeDocument/2006/relationships/image" Target="media/image184.emf"/><Relationship Id="rId259" Type="http://schemas.openxmlformats.org/officeDocument/2006/relationships/hyperlink" Target="https://www.opcinakonavle.hr/proracun-izvjestaji/" TargetMode="External"/><Relationship Id="rId23" Type="http://schemas.openxmlformats.org/officeDocument/2006/relationships/image" Target="media/image14.emf"/><Relationship Id="rId119" Type="http://schemas.openxmlformats.org/officeDocument/2006/relationships/hyperlink" Target="https://eojn.nn.hr/" TargetMode="External"/><Relationship Id="rId44" Type="http://schemas.openxmlformats.org/officeDocument/2006/relationships/image" Target="media/image30.emf"/><Relationship Id="rId65" Type="http://schemas.openxmlformats.org/officeDocument/2006/relationships/image" Target="media/image46.emf"/><Relationship Id="rId86" Type="http://schemas.openxmlformats.org/officeDocument/2006/relationships/image" Target="media/image61.emf"/><Relationship Id="rId130" Type="http://schemas.openxmlformats.org/officeDocument/2006/relationships/image" Target="media/image102.emf"/><Relationship Id="rId151" Type="http://schemas.openxmlformats.org/officeDocument/2006/relationships/image" Target="media/image122.emf"/><Relationship Id="rId172" Type="http://schemas.openxmlformats.org/officeDocument/2006/relationships/image" Target="media/image137.emf"/><Relationship Id="rId193" Type="http://schemas.openxmlformats.org/officeDocument/2006/relationships/hyperlink" Target="https://www.opcinakonavle.hr/beta/wp-content/uploads/2025/04/POPIS.xlsx" TargetMode="External"/><Relationship Id="rId207" Type="http://schemas.openxmlformats.org/officeDocument/2006/relationships/image" Target="media/image153.emf"/><Relationship Id="rId228" Type="http://schemas.openxmlformats.org/officeDocument/2006/relationships/image" Target="media/image174.emf"/><Relationship Id="rId249" Type="http://schemas.openxmlformats.org/officeDocument/2006/relationships/image" Target="media/image195.emf"/><Relationship Id="rId13" Type="http://schemas.openxmlformats.org/officeDocument/2006/relationships/chart" Target="charts/chart1.xml"/><Relationship Id="rId109" Type="http://schemas.openxmlformats.org/officeDocument/2006/relationships/image" Target="media/image83.emf"/><Relationship Id="rId260" Type="http://schemas.openxmlformats.org/officeDocument/2006/relationships/hyperlink" Target="https://www.proracun.hr/Proracun/Dokumenti?godina=2023&amp;id=5783ca3c-cd3e-45e3-aca8-4abde62a5429" TargetMode="External"/><Relationship Id="rId34" Type="http://schemas.openxmlformats.org/officeDocument/2006/relationships/image" Target="media/image23.emf"/><Relationship Id="rId55" Type="http://schemas.openxmlformats.org/officeDocument/2006/relationships/image" Target="media/image37.emf"/><Relationship Id="rId76" Type="http://schemas.openxmlformats.org/officeDocument/2006/relationships/image" Target="media/image57.emf"/><Relationship Id="rId97" Type="http://schemas.openxmlformats.org/officeDocument/2006/relationships/image" Target="media/image71.emf"/><Relationship Id="rId120" Type="http://schemas.openxmlformats.org/officeDocument/2006/relationships/image" Target="media/image93.emf"/><Relationship Id="rId141" Type="http://schemas.openxmlformats.org/officeDocument/2006/relationships/image" Target="media/image112.emf"/><Relationship Id="rId7" Type="http://schemas.openxmlformats.org/officeDocument/2006/relationships/footnotes" Target="footnotes.xml"/><Relationship Id="rId162" Type="http://schemas.openxmlformats.org/officeDocument/2006/relationships/image" Target="media/image130.emf"/><Relationship Id="rId183" Type="http://schemas.openxmlformats.org/officeDocument/2006/relationships/hyperlink" Target="https://poljoprivreda.gov.hr/UserDocsImages/dokumenti/poljoprivreda/poljoprivredno_zemljiste/Komasacija/2025-02-20%20-M-Zaklj-privr-zastup-Konavle-UP-I-1.pdf" TargetMode="External"/><Relationship Id="rId218" Type="http://schemas.openxmlformats.org/officeDocument/2006/relationships/image" Target="media/image164.emf"/><Relationship Id="rId239" Type="http://schemas.openxmlformats.org/officeDocument/2006/relationships/image" Target="media/image185.emf"/><Relationship Id="rId250" Type="http://schemas.openxmlformats.org/officeDocument/2006/relationships/image" Target="media/image196.emf"/><Relationship Id="rId24" Type="http://schemas.openxmlformats.org/officeDocument/2006/relationships/image" Target="media/image15.emf"/><Relationship Id="rId45" Type="http://schemas.openxmlformats.org/officeDocument/2006/relationships/image" Target="media/image31.emf"/><Relationship Id="rId66" Type="http://schemas.openxmlformats.org/officeDocument/2006/relationships/image" Target="media/image47.emf"/><Relationship Id="rId87" Type="http://schemas.openxmlformats.org/officeDocument/2006/relationships/image" Target="media/image62.emf"/><Relationship Id="rId110" Type="http://schemas.openxmlformats.org/officeDocument/2006/relationships/image" Target="media/image84.emf"/><Relationship Id="rId131" Type="http://schemas.openxmlformats.org/officeDocument/2006/relationships/hyperlink" Target="https://issuu.com/uzuvrh/docs/priru__nik_za_primjenu_uredbe_v._2." TargetMode="External"/><Relationship Id="rId152" Type="http://schemas.openxmlformats.org/officeDocument/2006/relationships/image" Target="media/image123.emf"/><Relationship Id="rId173" Type="http://schemas.openxmlformats.org/officeDocument/2006/relationships/image" Target="media/image138.emf"/><Relationship Id="rId194" Type="http://schemas.openxmlformats.org/officeDocument/2006/relationships/hyperlink" Target="https://www.opcinakonavle.hr/2026/03/22/komasacija-ovdje-potrazite-svoju-parcelu-nakon-prijedloga-nadiobe-zemljista-u-konavoskom-polju/" TargetMode="External"/><Relationship Id="rId208" Type="http://schemas.openxmlformats.org/officeDocument/2006/relationships/image" Target="media/image154.emf"/><Relationship Id="rId229" Type="http://schemas.openxmlformats.org/officeDocument/2006/relationships/image" Target="media/image175.emf"/><Relationship Id="rId240" Type="http://schemas.openxmlformats.org/officeDocument/2006/relationships/image" Target="media/image186.emf"/><Relationship Id="rId261" Type="http://schemas.openxmlformats.org/officeDocument/2006/relationships/image" Target="media/image202.emf"/><Relationship Id="rId14" Type="http://schemas.openxmlformats.org/officeDocument/2006/relationships/chart" Target="charts/chart2.xml"/><Relationship Id="rId35" Type="http://schemas.openxmlformats.org/officeDocument/2006/relationships/image" Target="media/image24.emf"/><Relationship Id="rId56" Type="http://schemas.openxmlformats.org/officeDocument/2006/relationships/image" Target="media/image38.emf"/><Relationship Id="rId77" Type="http://schemas.openxmlformats.org/officeDocument/2006/relationships/chart" Target="charts/chart12.xml"/><Relationship Id="rId100" Type="http://schemas.openxmlformats.org/officeDocument/2006/relationships/image" Target="media/image74.emf"/><Relationship Id="rId8" Type="http://schemas.openxmlformats.org/officeDocument/2006/relationships/endnotes" Target="endnotes.xml"/><Relationship Id="rId98" Type="http://schemas.openxmlformats.org/officeDocument/2006/relationships/image" Target="media/image72.emf"/><Relationship Id="rId121" Type="http://schemas.openxmlformats.org/officeDocument/2006/relationships/hyperlink" Target="https://issuu.com/uzuvrh/docs/priru__nik_za_primjenu_uredbe_v._2." TargetMode="External"/><Relationship Id="rId142" Type="http://schemas.openxmlformats.org/officeDocument/2006/relationships/image" Target="media/image113.emf"/><Relationship Id="rId163" Type="http://schemas.openxmlformats.org/officeDocument/2006/relationships/hyperlink" Target="http://narodne-novine.nn.hr/clanci/sluzbeni/2007_07_79_2486.html" TargetMode="External"/><Relationship Id="rId184" Type="http://schemas.openxmlformats.org/officeDocument/2006/relationships/hyperlink" Target="https://www.opcinakonavle.hr/2025/04/02/poziv-na-skup-sudionika-komasacije-na-podrucju-opcine-konavle/" TargetMode="External"/><Relationship Id="rId219" Type="http://schemas.openxmlformats.org/officeDocument/2006/relationships/image" Target="media/image165.emf"/><Relationship Id="rId230" Type="http://schemas.openxmlformats.org/officeDocument/2006/relationships/image" Target="media/image176.emf"/><Relationship Id="rId251" Type="http://schemas.openxmlformats.org/officeDocument/2006/relationships/image" Target="media/image197.emf"/><Relationship Id="rId25" Type="http://schemas.openxmlformats.org/officeDocument/2006/relationships/image" Target="media/image16.emf"/><Relationship Id="rId46" Type="http://schemas.openxmlformats.org/officeDocument/2006/relationships/image" Target="media/image32.emf"/><Relationship Id="rId67" Type="http://schemas.openxmlformats.org/officeDocument/2006/relationships/image" Target="media/image48.emf"/><Relationship Id="rId88" Type="http://schemas.openxmlformats.org/officeDocument/2006/relationships/image" Target="media/image63.emf"/><Relationship Id="rId111" Type="http://schemas.openxmlformats.org/officeDocument/2006/relationships/image" Target="media/image85.emf"/><Relationship Id="rId132" Type="http://schemas.openxmlformats.org/officeDocument/2006/relationships/image" Target="media/image103.emf"/><Relationship Id="rId153" Type="http://schemas.openxmlformats.org/officeDocument/2006/relationships/image" Target="media/image124.emf"/><Relationship Id="rId174" Type="http://schemas.openxmlformats.org/officeDocument/2006/relationships/image" Target="media/image139.emf"/><Relationship Id="rId195" Type="http://schemas.openxmlformats.org/officeDocument/2006/relationships/hyperlink" Target="https://www.opcinakonavle.hr/beta/wp-content/uploads/2026/03/Popis_osobe_cestice.pdf" TargetMode="External"/><Relationship Id="rId209" Type="http://schemas.openxmlformats.org/officeDocument/2006/relationships/image" Target="media/image155.emf"/><Relationship Id="rId220" Type="http://schemas.openxmlformats.org/officeDocument/2006/relationships/image" Target="media/image166.emf"/><Relationship Id="rId241" Type="http://schemas.openxmlformats.org/officeDocument/2006/relationships/image" Target="media/image187.emf"/><Relationship Id="rId15" Type="http://schemas.openxmlformats.org/officeDocument/2006/relationships/image" Target="media/image6.emf"/><Relationship Id="rId36" Type="http://schemas.openxmlformats.org/officeDocument/2006/relationships/chart" Target="charts/chart5.xml"/><Relationship Id="rId57" Type="http://schemas.openxmlformats.org/officeDocument/2006/relationships/image" Target="media/image39.emf"/><Relationship Id="rId262" Type="http://schemas.openxmlformats.org/officeDocument/2006/relationships/oleObject" Target="embeddings/Microsoft_Word_97_-_2003_Document.doc"/><Relationship Id="rId78" Type="http://schemas.openxmlformats.org/officeDocument/2006/relationships/chart" Target="charts/chart13.xml"/><Relationship Id="rId99" Type="http://schemas.openxmlformats.org/officeDocument/2006/relationships/image" Target="media/image73.emf"/><Relationship Id="rId101" Type="http://schemas.openxmlformats.org/officeDocument/2006/relationships/image" Target="media/image75.emf"/><Relationship Id="rId122" Type="http://schemas.openxmlformats.org/officeDocument/2006/relationships/image" Target="media/image94.emf"/><Relationship Id="rId143" Type="http://schemas.openxmlformats.org/officeDocument/2006/relationships/image" Target="media/image114.emf"/><Relationship Id="rId164" Type="http://schemas.openxmlformats.org/officeDocument/2006/relationships/hyperlink" Target="http://narodne-novine.nn.hr/clanci/sluzbeni/2008_10_113_3286.html" TargetMode="External"/><Relationship Id="rId185" Type="http://schemas.openxmlformats.org/officeDocument/2006/relationships/hyperlink" Target="https://www.opcinakonavle.hr/beta/wp-content/uploads/2025/03/2025-03-21-Poziv-Skup-sudionika-komasacije-3.4.2025-Opcina-Konavle.pdf" TargetMode="External"/><Relationship Id="rId9" Type="http://schemas.openxmlformats.org/officeDocument/2006/relationships/image" Target="media/image2.emf"/><Relationship Id="rId210" Type="http://schemas.openxmlformats.org/officeDocument/2006/relationships/image" Target="media/image156.emf"/><Relationship Id="rId26" Type="http://schemas.openxmlformats.org/officeDocument/2006/relationships/image" Target="media/image17.emf"/><Relationship Id="rId231" Type="http://schemas.openxmlformats.org/officeDocument/2006/relationships/image" Target="media/image177.emf"/><Relationship Id="rId252" Type="http://schemas.openxmlformats.org/officeDocument/2006/relationships/image" Target="media/image198.emf"/><Relationship Id="rId47" Type="http://schemas.openxmlformats.org/officeDocument/2006/relationships/chart" Target="charts/chart7.xml"/><Relationship Id="rId68" Type="http://schemas.openxmlformats.org/officeDocument/2006/relationships/image" Target="media/image49.emf"/><Relationship Id="rId89" Type="http://schemas.openxmlformats.org/officeDocument/2006/relationships/image" Target="media/image64.emf"/><Relationship Id="rId112" Type="http://schemas.openxmlformats.org/officeDocument/2006/relationships/image" Target="media/image86.emf"/><Relationship Id="rId133" Type="http://schemas.openxmlformats.org/officeDocument/2006/relationships/image" Target="media/image104.emf"/><Relationship Id="rId154" Type="http://schemas.openxmlformats.org/officeDocument/2006/relationships/image" Target="media/image125.emf"/><Relationship Id="rId175" Type="http://schemas.openxmlformats.org/officeDocument/2006/relationships/image" Target="media/image140.emf"/><Relationship Id="rId196" Type="http://schemas.openxmlformats.org/officeDocument/2006/relationships/hyperlink" Target="https://www.opcinakonavle.hr/beta/wp-content/uploads/2026/03/DKP_Konavosko-Polje-pregledna-karta_web.pdf" TargetMode="External"/><Relationship Id="rId200" Type="http://schemas.openxmlformats.org/officeDocument/2006/relationships/image" Target="media/image146.emf"/><Relationship Id="rId16" Type="http://schemas.openxmlformats.org/officeDocument/2006/relationships/image" Target="media/image7.emf"/><Relationship Id="rId221" Type="http://schemas.openxmlformats.org/officeDocument/2006/relationships/image" Target="media/image167.emf"/><Relationship Id="rId242" Type="http://schemas.openxmlformats.org/officeDocument/2006/relationships/image" Target="media/image188.emf"/><Relationship Id="rId263" Type="http://schemas.openxmlformats.org/officeDocument/2006/relationships/image" Target="media/image203.emf"/><Relationship Id="rId37" Type="http://schemas.openxmlformats.org/officeDocument/2006/relationships/image" Target="media/image26.emf"/><Relationship Id="rId58" Type="http://schemas.openxmlformats.org/officeDocument/2006/relationships/chart" Target="charts/chart9.xml"/><Relationship Id="rId79" Type="http://schemas.openxmlformats.org/officeDocument/2006/relationships/chart" Target="charts/chart14.xml"/><Relationship Id="rId102" Type="http://schemas.openxmlformats.org/officeDocument/2006/relationships/image" Target="media/image76.emf"/><Relationship Id="rId123" Type="http://schemas.openxmlformats.org/officeDocument/2006/relationships/image" Target="media/image95.emf"/><Relationship Id="rId144" Type="http://schemas.openxmlformats.org/officeDocument/2006/relationships/image" Target="media/image115.emf"/><Relationship Id="rId90" Type="http://schemas.openxmlformats.org/officeDocument/2006/relationships/image" Target="media/image65.emf"/><Relationship Id="rId165" Type="http://schemas.openxmlformats.org/officeDocument/2006/relationships/hyperlink" Target="http://narodne-novine.nn.hr/clanci/sluzbeni/2009_04_43_985.html" TargetMode="External"/><Relationship Id="rId186" Type="http://schemas.openxmlformats.org/officeDocument/2006/relationships/hyperlink" Target="https://www.opcinakonavle.hr/2025/04/14/vazne-upute-za-sudionike-komasacije-na-podrucju-konavoskog-polja/" TargetMode="External"/><Relationship Id="rId211" Type="http://schemas.openxmlformats.org/officeDocument/2006/relationships/image" Target="media/image157.emf"/><Relationship Id="rId232" Type="http://schemas.openxmlformats.org/officeDocument/2006/relationships/image" Target="media/image178.emf"/><Relationship Id="rId253" Type="http://schemas.openxmlformats.org/officeDocument/2006/relationships/hyperlink" Target="https://www.opcinakonavle.hr/beta/wp-content/uploads/2017/09/PROVEDBENI-PROGRAM-OPCINA-KONAVLE.pdf" TargetMode="External"/><Relationship Id="rId27" Type="http://schemas.openxmlformats.org/officeDocument/2006/relationships/image" Target="media/image18.emf"/><Relationship Id="rId48" Type="http://schemas.openxmlformats.org/officeDocument/2006/relationships/image" Target="media/image33.emf"/><Relationship Id="rId69" Type="http://schemas.openxmlformats.org/officeDocument/2006/relationships/image" Target="media/image50.emf"/><Relationship Id="rId113" Type="http://schemas.openxmlformats.org/officeDocument/2006/relationships/image" Target="media/image87.emf"/><Relationship Id="rId134" Type="http://schemas.openxmlformats.org/officeDocument/2006/relationships/image" Target="media/image105.emf"/><Relationship Id="rId80" Type="http://schemas.openxmlformats.org/officeDocument/2006/relationships/chart" Target="charts/chart15.xml"/><Relationship Id="rId155" Type="http://schemas.openxmlformats.org/officeDocument/2006/relationships/image" Target="media/image126.emf"/><Relationship Id="rId176" Type="http://schemas.openxmlformats.org/officeDocument/2006/relationships/image" Target="media/image141.emf"/><Relationship Id="rId197" Type="http://schemas.openxmlformats.org/officeDocument/2006/relationships/image" Target="media/image143.emf"/><Relationship Id="rId201" Type="http://schemas.openxmlformats.org/officeDocument/2006/relationships/image" Target="media/image147.emf"/><Relationship Id="rId222" Type="http://schemas.openxmlformats.org/officeDocument/2006/relationships/image" Target="media/image168.emf"/><Relationship Id="rId243" Type="http://schemas.openxmlformats.org/officeDocument/2006/relationships/image" Target="media/image189.emf"/><Relationship Id="rId264" Type="http://schemas.openxmlformats.org/officeDocument/2006/relationships/oleObject" Target="embeddings/oleObject1.bin"/><Relationship Id="rId17" Type="http://schemas.openxmlformats.org/officeDocument/2006/relationships/image" Target="media/image8.emf"/><Relationship Id="rId38" Type="http://schemas.openxmlformats.org/officeDocument/2006/relationships/header" Target="header1.xml"/><Relationship Id="rId59" Type="http://schemas.openxmlformats.org/officeDocument/2006/relationships/chart" Target="charts/chart10.xml"/><Relationship Id="rId103" Type="http://schemas.openxmlformats.org/officeDocument/2006/relationships/image" Target="media/image77.emf"/><Relationship Id="rId124" Type="http://schemas.openxmlformats.org/officeDocument/2006/relationships/image" Target="media/image96.emf"/><Relationship Id="rId70" Type="http://schemas.openxmlformats.org/officeDocument/2006/relationships/image" Target="media/image51.emf"/><Relationship Id="rId91" Type="http://schemas.openxmlformats.org/officeDocument/2006/relationships/image" Target="media/image66.emf"/><Relationship Id="rId145" Type="http://schemas.openxmlformats.org/officeDocument/2006/relationships/image" Target="media/image116.emf"/><Relationship Id="rId166" Type="http://schemas.openxmlformats.org/officeDocument/2006/relationships/image" Target="media/image131.emf"/><Relationship Id="rId187" Type="http://schemas.openxmlformats.org/officeDocument/2006/relationships/hyperlink" Target="mailto:ante.vukovic@mps.hr" TargetMode="External"/><Relationship Id="rId1" Type="http://schemas.openxmlformats.org/officeDocument/2006/relationships/customXml" Target="../customXml/item1.xml"/><Relationship Id="rId212" Type="http://schemas.openxmlformats.org/officeDocument/2006/relationships/image" Target="media/image158.emf"/><Relationship Id="rId233" Type="http://schemas.openxmlformats.org/officeDocument/2006/relationships/image" Target="media/image179.emf"/><Relationship Id="rId254" Type="http://schemas.openxmlformats.org/officeDocument/2006/relationships/hyperlink" Target="https://www.opcinakonavle.hr/beta/wp-content/uploads/2025/09/PROVEDBENI-PROGRAM-OPCINA-KONAVLE-2025.pdf" TargetMode="External"/><Relationship Id="rId28" Type="http://schemas.openxmlformats.org/officeDocument/2006/relationships/chart" Target="charts/chart3.xml"/><Relationship Id="rId49" Type="http://schemas.openxmlformats.org/officeDocument/2006/relationships/chart" Target="charts/chart8.xml"/><Relationship Id="rId114" Type="http://schemas.openxmlformats.org/officeDocument/2006/relationships/image" Target="media/image88.emf"/><Relationship Id="rId60" Type="http://schemas.openxmlformats.org/officeDocument/2006/relationships/chart" Target="charts/chart11.xml"/><Relationship Id="rId81" Type="http://schemas.openxmlformats.org/officeDocument/2006/relationships/image" Target="media/image58.emf"/><Relationship Id="rId135" Type="http://schemas.openxmlformats.org/officeDocument/2006/relationships/image" Target="media/image106.emf"/><Relationship Id="rId156" Type="http://schemas.openxmlformats.org/officeDocument/2006/relationships/image" Target="media/image127.emf"/><Relationship Id="rId177" Type="http://schemas.openxmlformats.org/officeDocument/2006/relationships/image" Target="media/image142.emf"/><Relationship Id="rId198" Type="http://schemas.openxmlformats.org/officeDocument/2006/relationships/image" Target="media/image144.emf"/><Relationship Id="rId202" Type="http://schemas.openxmlformats.org/officeDocument/2006/relationships/image" Target="media/image148.emf"/><Relationship Id="rId223" Type="http://schemas.openxmlformats.org/officeDocument/2006/relationships/image" Target="media/image169.emf"/><Relationship Id="rId244" Type="http://schemas.openxmlformats.org/officeDocument/2006/relationships/image" Target="media/image190.emf"/><Relationship Id="rId18" Type="http://schemas.openxmlformats.org/officeDocument/2006/relationships/image" Target="media/image9.emf"/><Relationship Id="rId39" Type="http://schemas.openxmlformats.org/officeDocument/2006/relationships/footer" Target="footer1.xml"/><Relationship Id="rId265" Type="http://schemas.openxmlformats.org/officeDocument/2006/relationships/footer" Target="footer5.xml"/><Relationship Id="rId50" Type="http://schemas.openxmlformats.org/officeDocument/2006/relationships/footer" Target="footer2.xml"/><Relationship Id="rId104" Type="http://schemas.openxmlformats.org/officeDocument/2006/relationships/image" Target="media/image78.emf"/><Relationship Id="rId125" Type="http://schemas.openxmlformats.org/officeDocument/2006/relationships/image" Target="media/image97.png"/><Relationship Id="rId146" Type="http://schemas.openxmlformats.org/officeDocument/2006/relationships/image" Target="media/image117.emf"/><Relationship Id="rId167" Type="http://schemas.openxmlformats.org/officeDocument/2006/relationships/image" Target="media/image132.emf"/><Relationship Id="rId188" Type="http://schemas.openxmlformats.org/officeDocument/2006/relationships/hyperlink" Target="mailto:komasacija@gzr.hr" TargetMode="External"/><Relationship Id="rId71" Type="http://schemas.openxmlformats.org/officeDocument/2006/relationships/image" Target="media/image52.emf"/><Relationship Id="rId92" Type="http://schemas.openxmlformats.org/officeDocument/2006/relationships/chart" Target="charts/chart18.xml"/><Relationship Id="rId213" Type="http://schemas.openxmlformats.org/officeDocument/2006/relationships/image" Target="media/image159.emf"/><Relationship Id="rId234" Type="http://schemas.openxmlformats.org/officeDocument/2006/relationships/image" Target="media/image180.emf"/><Relationship Id="rId2" Type="http://schemas.openxmlformats.org/officeDocument/2006/relationships/customXml" Target="../customXml/item2.xml"/><Relationship Id="rId29" Type="http://schemas.openxmlformats.org/officeDocument/2006/relationships/image" Target="media/image19.emf"/><Relationship Id="rId255" Type="http://schemas.openxmlformats.org/officeDocument/2006/relationships/hyperlink" Target="https://www.opcinakonavle.hr/beta/wp-content/uploads/2025/09/Prilog-1-Prikaz-provedbenog-programa-Opcina-Konavle-2025.xlsx" TargetMode="External"/><Relationship Id="rId40" Type="http://schemas.openxmlformats.org/officeDocument/2006/relationships/image" Target="media/image27.emf"/><Relationship Id="rId115" Type="http://schemas.openxmlformats.org/officeDocument/2006/relationships/image" Target="media/image89.emf"/><Relationship Id="rId136" Type="http://schemas.openxmlformats.org/officeDocument/2006/relationships/image" Target="media/image107.emf"/><Relationship Id="rId157" Type="http://schemas.openxmlformats.org/officeDocument/2006/relationships/image" Target="media/image128.emf"/><Relationship Id="rId178" Type="http://schemas.openxmlformats.org/officeDocument/2006/relationships/hyperlink" Target="https://www.opcinakonavle.hr/2024/09/23/zapoceo-postupak-komasacije-na-podrucju-opcine-konavle/" TargetMode="External"/><Relationship Id="rId61" Type="http://schemas.openxmlformats.org/officeDocument/2006/relationships/image" Target="media/image42.emf"/><Relationship Id="rId82" Type="http://schemas.openxmlformats.org/officeDocument/2006/relationships/image" Target="media/image59.emf"/><Relationship Id="rId199" Type="http://schemas.openxmlformats.org/officeDocument/2006/relationships/image" Target="media/image145.emf"/><Relationship Id="rId203" Type="http://schemas.openxmlformats.org/officeDocument/2006/relationships/image" Target="media/image149.emf"/><Relationship Id="rId19" Type="http://schemas.openxmlformats.org/officeDocument/2006/relationships/image" Target="media/image10.emf"/><Relationship Id="rId224" Type="http://schemas.openxmlformats.org/officeDocument/2006/relationships/image" Target="media/image170.emf"/><Relationship Id="rId245" Type="http://schemas.openxmlformats.org/officeDocument/2006/relationships/image" Target="media/image191.emf"/><Relationship Id="rId266" Type="http://schemas.openxmlformats.org/officeDocument/2006/relationships/fontTable" Target="fontTable.xml"/><Relationship Id="rId30" Type="http://schemas.openxmlformats.org/officeDocument/2006/relationships/image" Target="media/image20.emf"/><Relationship Id="rId105" Type="http://schemas.openxmlformats.org/officeDocument/2006/relationships/image" Target="media/image79.emf"/><Relationship Id="rId126" Type="http://schemas.openxmlformats.org/officeDocument/2006/relationships/image" Target="media/image98.emf"/><Relationship Id="rId147" Type="http://schemas.openxmlformats.org/officeDocument/2006/relationships/image" Target="media/image118.emf"/><Relationship Id="rId168" Type="http://schemas.openxmlformats.org/officeDocument/2006/relationships/image" Target="media/image133.emf"/><Relationship Id="rId51" Type="http://schemas.openxmlformats.org/officeDocument/2006/relationships/footer" Target="footer3.xml"/><Relationship Id="rId72" Type="http://schemas.openxmlformats.org/officeDocument/2006/relationships/image" Target="media/image53.emf"/><Relationship Id="rId93" Type="http://schemas.openxmlformats.org/officeDocument/2006/relationships/image" Target="media/image67.emf"/><Relationship Id="rId189" Type="http://schemas.openxmlformats.org/officeDocument/2006/relationships/hyperlink" Target="https://www.opcinakonavle.hr/beta/wp-content/uploads/2025/04/PREGLEDNA-KARTA_Komasacija-Konavoskog-polja.pdf" TargetMode="External"/><Relationship Id="rId3" Type="http://schemas.openxmlformats.org/officeDocument/2006/relationships/numbering" Target="numbering.xml"/><Relationship Id="rId214" Type="http://schemas.openxmlformats.org/officeDocument/2006/relationships/image" Target="media/image160.emf"/><Relationship Id="rId235" Type="http://schemas.openxmlformats.org/officeDocument/2006/relationships/image" Target="media/image181.emf"/><Relationship Id="rId256" Type="http://schemas.openxmlformats.org/officeDocument/2006/relationships/image" Target="media/image199.emf"/><Relationship Id="rId116" Type="http://schemas.openxmlformats.org/officeDocument/2006/relationships/image" Target="media/image90.emf"/><Relationship Id="rId137" Type="http://schemas.openxmlformats.org/officeDocument/2006/relationships/image" Target="media/image108.emf"/><Relationship Id="rId158" Type="http://schemas.openxmlformats.org/officeDocument/2006/relationships/image" Target="media/image129.emf"/><Relationship Id="rId20" Type="http://schemas.openxmlformats.org/officeDocument/2006/relationships/image" Target="media/image11.emf"/><Relationship Id="rId41" Type="http://schemas.openxmlformats.org/officeDocument/2006/relationships/image" Target="media/image28.emf"/><Relationship Id="rId62" Type="http://schemas.openxmlformats.org/officeDocument/2006/relationships/image" Target="media/image43.emf"/><Relationship Id="rId83" Type="http://schemas.openxmlformats.org/officeDocument/2006/relationships/chart" Target="charts/chart16.xml"/><Relationship Id="rId179" Type="http://schemas.openxmlformats.org/officeDocument/2006/relationships/hyperlink" Target="https://www.opcinakonavle.hr/komasacija-konavoskog-polja/" TargetMode="External"/><Relationship Id="rId190" Type="http://schemas.openxmlformats.org/officeDocument/2006/relationships/hyperlink" Target="https://www.opcinakonavle.hr/beta/wp-content/uploads/2025/04/POPIS-osoba-s-povrsinom-manjom-od-500-kvadrata.pdf" TargetMode="External"/><Relationship Id="rId204" Type="http://schemas.openxmlformats.org/officeDocument/2006/relationships/image" Target="media/image150.emf"/><Relationship Id="rId225" Type="http://schemas.openxmlformats.org/officeDocument/2006/relationships/image" Target="media/image171.emf"/><Relationship Id="rId246" Type="http://schemas.openxmlformats.org/officeDocument/2006/relationships/image" Target="media/image192.emf"/><Relationship Id="rId267" Type="http://schemas.openxmlformats.org/officeDocument/2006/relationships/theme" Target="theme/theme1.xml"/><Relationship Id="rId106" Type="http://schemas.openxmlformats.org/officeDocument/2006/relationships/image" Target="media/image80.emf"/><Relationship Id="rId127" Type="http://schemas.openxmlformats.org/officeDocument/2006/relationships/image" Target="media/image99.emf"/><Relationship Id="rId10" Type="http://schemas.openxmlformats.org/officeDocument/2006/relationships/image" Target="media/image3.emf"/><Relationship Id="rId31" Type="http://schemas.openxmlformats.org/officeDocument/2006/relationships/chart" Target="charts/chart4.xml"/><Relationship Id="rId52" Type="http://schemas.openxmlformats.org/officeDocument/2006/relationships/footer" Target="footer4.xml"/><Relationship Id="rId73" Type="http://schemas.openxmlformats.org/officeDocument/2006/relationships/image" Target="media/image54.emf"/><Relationship Id="rId94" Type="http://schemas.openxmlformats.org/officeDocument/2006/relationships/image" Target="media/image68.emf"/><Relationship Id="rId148" Type="http://schemas.openxmlformats.org/officeDocument/2006/relationships/image" Target="media/image119.emf"/><Relationship Id="rId169" Type="http://schemas.openxmlformats.org/officeDocument/2006/relationships/image" Target="media/image134.emf"/><Relationship Id="rId4" Type="http://schemas.openxmlformats.org/officeDocument/2006/relationships/styles" Target="styles.xml"/><Relationship Id="rId180" Type="http://schemas.openxmlformats.org/officeDocument/2006/relationships/hyperlink" Target="https://poljoprivreda.gov.hr/istaknute-teme/poljoprivreda-173/poljoprivredno-zemljiste/komasacija-poljoprivrednog-zemljista/6441" TargetMode="External"/><Relationship Id="rId215" Type="http://schemas.openxmlformats.org/officeDocument/2006/relationships/image" Target="media/image161.emf"/><Relationship Id="rId236" Type="http://schemas.openxmlformats.org/officeDocument/2006/relationships/image" Target="media/image182.emf"/><Relationship Id="rId257" Type="http://schemas.openxmlformats.org/officeDocument/2006/relationships/image" Target="media/image200.emf"/><Relationship Id="rId42" Type="http://schemas.openxmlformats.org/officeDocument/2006/relationships/chart" Target="charts/chart6.xml"/><Relationship Id="rId84" Type="http://schemas.openxmlformats.org/officeDocument/2006/relationships/chart" Target="charts/chart17.xml"/><Relationship Id="rId138" Type="http://schemas.openxmlformats.org/officeDocument/2006/relationships/image" Target="media/image109.emf"/><Relationship Id="rId191" Type="http://schemas.openxmlformats.org/officeDocument/2006/relationships/hyperlink" Target="https://www.opcinakonavle.hr/beta/wp-content/uploads/2025/04/POPIS-osoba-s-nepotpunim-podacima.pdf" TargetMode="External"/><Relationship Id="rId205" Type="http://schemas.openxmlformats.org/officeDocument/2006/relationships/image" Target="media/image151.emf"/><Relationship Id="rId247" Type="http://schemas.openxmlformats.org/officeDocument/2006/relationships/image" Target="media/image19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image" Target="../media/image25.jpeg"/></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5.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openxmlformats.org/officeDocument/2006/relationships/image" Target="../media/image25.jpeg"/><Relationship Id="rId1" Type="http://schemas.openxmlformats.org/officeDocument/2006/relationships/themeOverride" Target="../theme/themeOverride16.xml"/><Relationship Id="rId4" Type="http://schemas.openxmlformats.org/officeDocument/2006/relationships/chartUserShapes" Target="../drawings/drawing6.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openxmlformats.org/officeDocument/2006/relationships/image" Target="../media/image25.jpeg"/><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openxmlformats.org/officeDocument/2006/relationships/image" Target="../media/image25.jpeg"/><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openxmlformats.org/officeDocument/2006/relationships/image" Target="../media/image34.jpeg"/><Relationship Id="rId1" Type="http://schemas.openxmlformats.org/officeDocument/2006/relationships/themeOverride" Target="../theme/themeOverride8.xml"/><Relationship Id="rId4" Type="http://schemas.openxmlformats.org/officeDocument/2006/relationships/chartUserShapes" Target="../drawings/drawing4.xml"/></Relationships>
</file>

<file path=word/charts/_rels/chart9.xml.rels><?xml version="1.0" encoding="UTF-8" standalone="yes"?>
<Relationships xmlns="http://schemas.openxmlformats.org/package/2006/relationships"><Relationship Id="rId3" Type="http://schemas.openxmlformats.org/officeDocument/2006/relationships/image" Target="../media/image41.jpeg"/><Relationship Id="rId2" Type="http://schemas.openxmlformats.org/officeDocument/2006/relationships/image" Target="../media/image40.jpeg"/><Relationship Id="rId1" Type="http://schemas.openxmlformats.org/officeDocument/2006/relationships/themeOverride" Target="../theme/themeOverrid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Calibri"/>
                <a:ea typeface="Calibri"/>
                <a:cs typeface="Calibri"/>
              </a:defRPr>
            </a:pPr>
            <a:r>
              <a:rPr lang="en-GB" sz="1000"/>
              <a:t>Struktura ostvarenih prihoda i primitaka proračuna u razdoblju 2015.-</a:t>
            </a:r>
            <a:r>
              <a:rPr lang="hr-HR" sz="1000"/>
              <a:t>20</a:t>
            </a:r>
            <a:r>
              <a:rPr lang="en-US" sz="1000"/>
              <a:t>2</a:t>
            </a:r>
            <a:r>
              <a:rPr lang="hr-HR" sz="1000"/>
              <a:t>5.</a:t>
            </a:r>
            <a:r>
              <a:rPr lang="en-GB" sz="1000"/>
              <a:t> - Općina i PK</a:t>
            </a:r>
          </a:p>
        </c:rich>
      </c:tx>
      <c:layout>
        <c:manualLayout>
          <c:xMode val="edge"/>
          <c:yMode val="edge"/>
          <c:x val="0.11909650924024641"/>
          <c:y val="0"/>
        </c:manualLayout>
      </c:layout>
      <c:overlay val="0"/>
      <c:spPr>
        <a:noFill/>
        <a:ln w="15290">
          <a:noFill/>
        </a:ln>
      </c:spPr>
    </c:title>
    <c:autoTitleDeleted val="0"/>
    <c:plotArea>
      <c:layout>
        <c:manualLayout>
          <c:layoutTarget val="inner"/>
          <c:xMode val="edge"/>
          <c:yMode val="edge"/>
          <c:x val="0.19220941656036011"/>
          <c:y val="0.16309217009375615"/>
          <c:w val="0.52826459843832563"/>
          <c:h val="0.66519402744311251"/>
        </c:manualLayout>
      </c:layout>
      <c:barChart>
        <c:barDir val="col"/>
        <c:grouping val="stacked"/>
        <c:varyColors val="0"/>
        <c:ser>
          <c:idx val="0"/>
          <c:order val="0"/>
          <c:tx>
            <c:strRef>
              <c:f>Sheet1!$A$2</c:f>
              <c:strCache>
                <c:ptCount val="1"/>
                <c:pt idx="0">
                  <c:v>PRIHODI OPĆINE </c:v>
                </c:pt>
              </c:strCache>
            </c:strRef>
          </c:tx>
          <c:spPr>
            <a:solidFill>
              <a:srgbClr val="9999FF"/>
            </a:solidFill>
            <a:ln w="7645">
              <a:solidFill>
                <a:srgbClr val="000000"/>
              </a:solidFill>
              <a:prstDash val="solid"/>
            </a:ln>
          </c:spPr>
          <c:invertIfNegative val="0"/>
          <c:dLbls>
            <c:dLbl>
              <c:idx val="0"/>
              <c:tx>
                <c:rich>
                  <a:bodyPr/>
                  <a:lstStyle/>
                  <a:p>
                    <a:fld id="{75D233E6-4B51-4A7A-A734-7CE1A85C213F}"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{75D233E6-4B51-4A7A-A734-7CE1A85C213F}</c15:txfldGUID>
                      <c15:f>Sheet1!$B$8</c15:f>
                      <c15:dlblFieldTableCache>
                        <c:ptCount val="1"/>
                        <c:pt idx="0">
                          <c:v>96,0%</c:v>
                        </c:pt>
                      </c15:dlblFieldTableCache>
                    </c15:dlblFTEntry>
                  </c15:dlblFieldTable>
                  <c15:showDataLabelsRange val="0"/>
                </c:ext>
                <c:ext xmlns:c16="http://schemas.microsoft.com/office/drawing/2014/chart" uri="{C3380CC4-5D6E-409C-BE32-E72D297353CC}">
                  <c16:uniqueId val="{00000000-B957-492C-BD78-62FE26E9AA26}"/>
                </c:ext>
              </c:extLst>
            </c:dLbl>
            <c:dLbl>
              <c:idx val="1"/>
              <c:tx>
                <c:rich>
                  <a:bodyPr/>
                  <a:lstStyle/>
                  <a:p>
                    <a:fld id="{B8EE7AFC-44B4-4487-9EA6-73AEE820BC2B}"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{B8EE7AFC-44B4-4487-9EA6-73AEE820BC2B}</c15:txfldGUID>
                      <c15:f>Sheet1!$C$8</c15:f>
                      <c15:dlblFieldTableCache>
                        <c:ptCount val="1"/>
                        <c:pt idx="0">
                          <c:v>94,4%</c:v>
                        </c:pt>
                      </c15:dlblFieldTableCache>
                    </c15:dlblFTEntry>
                  </c15:dlblFieldTable>
                  <c15:showDataLabelsRange val="0"/>
                </c:ext>
                <c:ext xmlns:c16="http://schemas.microsoft.com/office/drawing/2014/chart" uri="{C3380CC4-5D6E-409C-BE32-E72D297353CC}">
                  <c16:uniqueId val="{00000001-B957-492C-BD78-62FE26E9AA26}"/>
                </c:ext>
              </c:extLst>
            </c:dLbl>
            <c:dLbl>
              <c:idx val="2"/>
              <c:tx>
                <c:rich>
                  <a:bodyPr/>
                  <a:lstStyle/>
                  <a:p>
                    <a:fld id="{2568134C-C249-417F-9D27-E8845FFBB738}"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{2568134C-C249-417F-9D27-E8845FFBB738}</c15:txfldGUID>
                      <c15:f>Sheet1!$D$8</c15:f>
                      <c15:dlblFieldTableCache>
                        <c:ptCount val="1"/>
                        <c:pt idx="0">
                          <c:v>86,5%</c:v>
                        </c:pt>
                      </c15:dlblFieldTableCache>
                    </c15:dlblFTEntry>
                  </c15:dlblFieldTable>
                  <c15:showDataLabelsRange val="0"/>
                </c:ext>
                <c:ext xmlns:c16="http://schemas.microsoft.com/office/drawing/2014/chart" uri="{C3380CC4-5D6E-409C-BE32-E72D297353CC}">
                  <c16:uniqueId val="{00000002-B957-492C-BD78-62FE26E9AA26}"/>
                </c:ext>
              </c:extLst>
            </c:dLbl>
            <c:dLbl>
              <c:idx val="3"/>
              <c:tx>
                <c:rich>
                  <a:bodyPr/>
                  <a:lstStyle/>
                  <a:p>
                    <a:fld id="{3F188534-9F08-42A2-B475-C2A4EE0A9536}"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{3F188534-9F08-42A2-B475-C2A4EE0A9536}</c15:txfldGUID>
                      <c15:f>Sheet1!$E$8</c15:f>
                      <c15:dlblFieldTableCache>
                        <c:ptCount val="1"/>
                        <c:pt idx="0">
                          <c:v>87,4%</c:v>
                        </c:pt>
                      </c15:dlblFieldTableCache>
                    </c15:dlblFTEntry>
                  </c15:dlblFieldTable>
                  <c15:showDataLabelsRange val="0"/>
                </c:ext>
                <c:ext xmlns:c16="http://schemas.microsoft.com/office/drawing/2014/chart" uri="{C3380CC4-5D6E-409C-BE32-E72D297353CC}">
                  <c16:uniqueId val="{00000003-B957-492C-BD78-62FE26E9AA26}"/>
                </c:ext>
              </c:extLst>
            </c:dLbl>
            <c:dLbl>
              <c:idx val="4"/>
              <c:tx>
                <c:rich>
                  <a:bodyPr/>
                  <a:lstStyle/>
                  <a:p>
                    <a:fld id="{C5A291FC-DB99-4928-80FF-21632C4D2198}"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{C5A291FC-DB99-4928-80FF-21632C4D2198}</c15:txfldGUID>
                      <c15:f>Sheet1!$F$8</c15:f>
                      <c15:dlblFieldTableCache>
                        <c:ptCount val="1"/>
                        <c:pt idx="0">
                          <c:v>86,9%</c:v>
                        </c:pt>
                      </c15:dlblFieldTableCache>
                    </c15:dlblFTEntry>
                  </c15:dlblFieldTable>
                  <c15:showDataLabelsRange val="0"/>
                </c:ext>
                <c:ext xmlns:c16="http://schemas.microsoft.com/office/drawing/2014/chart" uri="{C3380CC4-5D6E-409C-BE32-E72D297353CC}">
                  <c16:uniqueId val="{00000004-B957-492C-BD78-62FE26E9AA26}"/>
                </c:ext>
              </c:extLst>
            </c:dLbl>
            <c:dLbl>
              <c:idx val="5"/>
              <c:tx>
                <c:rich>
                  <a:bodyPr/>
                  <a:lstStyle/>
                  <a:p>
                    <a:fld id="{6AAD4FD7-961B-4BC2-809A-154C40A6DC61}"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{6AAD4FD7-961B-4BC2-809A-154C40A6DC61}</c15:txfldGUID>
                      <c15:f>Sheet1!$G$8</c15:f>
                      <c15:dlblFieldTableCache>
                        <c:ptCount val="1"/>
                        <c:pt idx="0">
                          <c:v>86,6%</c:v>
                        </c:pt>
                      </c15:dlblFieldTableCache>
                    </c15:dlblFTEntry>
                  </c15:dlblFieldTable>
                  <c15:showDataLabelsRange val="0"/>
                </c:ext>
                <c:ext xmlns:c16="http://schemas.microsoft.com/office/drawing/2014/chart" uri="{C3380CC4-5D6E-409C-BE32-E72D297353CC}">
                  <c16:uniqueId val="{00000005-B957-492C-BD78-62FE26E9AA26}"/>
                </c:ext>
              </c:extLst>
            </c:dLbl>
            <c:dLbl>
              <c:idx val="6"/>
              <c:tx>
                <c:rich>
                  <a:bodyPr/>
                  <a:lstStyle/>
                  <a:p>
                    <a:fld id="{F06BB054-C393-482A-AE0D-228F09AD5391}"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{F06BB054-C393-482A-AE0D-228F09AD5391}</c15:txfldGUID>
                      <c15:f>Sheet1!$H$8</c15:f>
                      <c15:dlblFieldTableCache>
                        <c:ptCount val="1"/>
                        <c:pt idx="0">
                          <c:v>86,1%</c:v>
                        </c:pt>
                      </c15:dlblFieldTableCache>
                    </c15:dlblFTEntry>
                  </c15:dlblFieldTable>
                  <c15:showDataLabelsRange val="0"/>
                </c:ext>
                <c:ext xmlns:c16="http://schemas.microsoft.com/office/drawing/2014/chart" uri="{C3380CC4-5D6E-409C-BE32-E72D297353CC}">
                  <c16:uniqueId val="{00000006-B957-492C-BD78-62FE26E9AA26}"/>
                </c:ext>
              </c:extLst>
            </c:dLbl>
            <c:dLbl>
              <c:idx val="7"/>
              <c:tx>
                <c:rich>
                  <a:bodyPr/>
                  <a:lstStyle/>
                  <a:p>
                    <a:fld id="{9997BC68-4B47-4C77-9ECE-64694A5AAB51}"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{9997BC68-4B47-4C77-9ECE-64694A5AAB51}</c15:txfldGUID>
                      <c15:f>Sheet1!$I$8</c15:f>
                      <c15:dlblFieldTableCache>
                        <c:ptCount val="1"/>
                        <c:pt idx="0">
                          <c:v>86,8%</c:v>
                        </c:pt>
                      </c15:dlblFieldTableCache>
                    </c15:dlblFTEntry>
                  </c15:dlblFieldTable>
                  <c15:showDataLabelsRange val="0"/>
                </c:ext>
                <c:ext xmlns:c16="http://schemas.microsoft.com/office/drawing/2014/chart" uri="{C3380CC4-5D6E-409C-BE32-E72D297353CC}">
                  <c16:uniqueId val="{00000007-B957-492C-BD78-62FE26E9AA26}"/>
                </c:ext>
              </c:extLst>
            </c:dLbl>
            <c:dLbl>
              <c:idx val="8"/>
              <c:tx>
                <c:rich>
                  <a:bodyPr/>
                  <a:lstStyle/>
                  <a:p>
                    <a:fld id="{79DEFAD4-BA6A-4565-8909-8A6A81801371}"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{79DEFAD4-BA6A-4565-8909-8A6A81801371}</c15:txfldGUID>
                      <c15:f>Sheet1!$J$8</c15:f>
                      <c15:dlblFieldTableCache>
                        <c:ptCount val="1"/>
                        <c:pt idx="0">
                          <c:v>91,2%</c:v>
                        </c:pt>
                      </c15:dlblFieldTableCache>
                    </c15:dlblFTEntry>
                  </c15:dlblFieldTable>
                  <c15:showDataLabelsRange val="0"/>
                </c:ext>
                <c:ext xmlns:c16="http://schemas.microsoft.com/office/drawing/2014/chart" uri="{C3380CC4-5D6E-409C-BE32-E72D297353CC}">
                  <c16:uniqueId val="{00000008-B957-492C-BD78-62FE26E9AA26}"/>
                </c:ext>
              </c:extLst>
            </c:dLbl>
            <c:dLbl>
              <c:idx val="9"/>
              <c:tx>
                <c:rich>
                  <a:bodyPr/>
                  <a:lstStyle/>
                  <a:p>
                    <a:fld id="{227484B9-48D2-408F-A18C-3EB66EB63C17}"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{227484B9-48D2-408F-A18C-3EB66EB63C17}</c15:txfldGUID>
                      <c15:f>Sheet1!$K$8</c15:f>
                      <c15:dlblFieldTableCache>
                        <c:ptCount val="1"/>
                        <c:pt idx="0">
                          <c:v>93,2%</c:v>
                        </c:pt>
                      </c15:dlblFieldTableCache>
                    </c15:dlblFTEntry>
                  </c15:dlblFieldTable>
                  <c15:showDataLabelsRange val="0"/>
                </c:ext>
                <c:ext xmlns:c16="http://schemas.microsoft.com/office/drawing/2014/chart" uri="{C3380CC4-5D6E-409C-BE32-E72D297353CC}">
                  <c16:uniqueId val="{00000001-A1C5-440D-80D9-99C1B435A974}"/>
                </c:ext>
              </c:extLst>
            </c:dLbl>
            <c:dLbl>
              <c:idx val="10"/>
              <c:tx>
                <c:rich>
                  <a:bodyPr/>
                  <a:lstStyle/>
                  <a:p>
                    <a:fld id="{A64B0E9D-95EC-4EF7-8BA6-96AAF8068034}"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{A64B0E9D-95EC-4EF7-8BA6-96AAF8068034}</c15:txfldGUID>
                      <c15:f>Sheet1!$L$8</c15:f>
                      <c15:dlblFieldTableCache>
                        <c:ptCount val="1"/>
                        <c:pt idx="0">
                          <c:v>92,8%</c:v>
                        </c:pt>
                      </c15:dlblFieldTableCache>
                    </c15:dlblFTEntry>
                  </c15:dlblFieldTable>
                  <c15:showDataLabelsRange val="0"/>
                </c:ext>
                <c:ext xmlns:c16="http://schemas.microsoft.com/office/drawing/2014/chart" uri="{C3380CC4-5D6E-409C-BE32-E72D297353CC}">
                  <c16:uniqueId val="{00000001-0C9B-4813-ADE3-F0987E44BE4B}"/>
                </c:ext>
              </c:extLst>
            </c:dLbl>
            <c:spPr>
              <a:solidFill>
                <a:sysClr val="window" lastClr="FFFFFF"/>
              </a:solidFill>
              <a:ln>
                <a:solidFill>
                  <a:sysClr val="windowText" lastClr="000000">
                    <a:lumMod val="65000"/>
                    <a:lumOff val="35000"/>
                  </a:sysClr>
                </a:solidFill>
              </a:ln>
              <a:effectLst>
                <a:glow rad="63500">
                  <a:srgbClr val="C0504D">
                    <a:satMod val="175000"/>
                    <a:alpha val="40000"/>
                  </a:srgbClr>
                </a:glow>
              </a:effectLst>
            </c:spPr>
            <c:txPr>
              <a:bodyPr wrap="square" lIns="38100" tIns="19050" rIns="38100" bIns="19050" anchor="ctr">
                <a:spAutoFit/>
              </a:bodyPr>
              <a:lstStyle/>
              <a:p>
                <a:pPr>
                  <a:defRPr baseline="0"/>
                </a:pPr>
                <a:endParaRPr lang="sr-Latn-R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Sheet1!$B$1:$L$1</c:f>
              <c:strCache>
                <c:ptCount val="11"/>
                <c:pt idx="0">
                  <c:v>2015.</c:v>
                </c:pt>
                <c:pt idx="1">
                  <c:v>2016.</c:v>
                </c:pt>
                <c:pt idx="2">
                  <c:v>2017.</c:v>
                </c:pt>
                <c:pt idx="3">
                  <c:v>2018.</c:v>
                </c:pt>
                <c:pt idx="4">
                  <c:v>2019.</c:v>
                </c:pt>
                <c:pt idx="5">
                  <c:v> 2020.</c:v>
                </c:pt>
                <c:pt idx="6">
                  <c:v>2021.</c:v>
                </c:pt>
                <c:pt idx="7">
                  <c:v>2022.</c:v>
                </c:pt>
                <c:pt idx="8">
                  <c:v>2023.</c:v>
                </c:pt>
                <c:pt idx="9">
                  <c:v>2024.</c:v>
                </c:pt>
                <c:pt idx="10">
                  <c:v>2025.</c:v>
                </c:pt>
              </c:strCache>
            </c:strRef>
          </c:cat>
          <c:val>
            <c:numRef>
              <c:f>Sheet1!$B$2:$L$2</c:f>
              <c:numCache>
                <c:formatCode>#,##0.00</c:formatCode>
                <c:ptCount val="11"/>
                <c:pt idx="0">
                  <c:v>8483934.4880217668</c:v>
                </c:pt>
                <c:pt idx="1">
                  <c:v>8910027.0820890553</c:v>
                </c:pt>
                <c:pt idx="2">
                  <c:v>6434373.0692149447</c:v>
                </c:pt>
                <c:pt idx="3">
                  <c:v>8464202.7500165887</c:v>
                </c:pt>
                <c:pt idx="4">
                  <c:v>7991575.0919105448</c:v>
                </c:pt>
                <c:pt idx="5">
                  <c:v>6864760.6529962169</c:v>
                </c:pt>
                <c:pt idx="6">
                  <c:v>7378193.9451854797</c:v>
                </c:pt>
                <c:pt idx="7">
                  <c:v>8942136.8956135102</c:v>
                </c:pt>
                <c:pt idx="8">
                  <c:v>14863514.76</c:v>
                </c:pt>
                <c:pt idx="9">
                  <c:v>21495663.969999999</c:v>
                </c:pt>
                <c:pt idx="10">
                  <c:v>21495663.969999999</c:v>
                </c:pt>
              </c:numCache>
            </c:numRef>
          </c:val>
          <c:extLst>
            <c:ext xmlns:c16="http://schemas.microsoft.com/office/drawing/2014/chart" uri="{C3380CC4-5D6E-409C-BE32-E72D297353CC}">
              <c16:uniqueId val="{00000009-B957-492C-BD78-62FE26E9AA26}"/>
            </c:ext>
          </c:extLst>
        </c:ser>
        <c:ser>
          <c:idx val="1"/>
          <c:order val="1"/>
          <c:tx>
            <c:strRef>
              <c:f>Sheet1!$A$3</c:f>
              <c:strCache>
                <c:ptCount val="1"/>
                <c:pt idx="0">
                  <c:v>PRIHODI PRORAČUNSKIH KORISNIKA</c:v>
                </c:pt>
              </c:strCache>
            </c:strRef>
          </c:tx>
          <c:spPr>
            <a:solidFill>
              <a:srgbClr val="993366"/>
            </a:solidFill>
            <a:ln w="7645">
              <a:solidFill>
                <a:srgbClr val="000000"/>
              </a:solidFill>
              <a:prstDash val="solid"/>
            </a:ln>
          </c:spPr>
          <c:invertIfNegative val="0"/>
          <c:dLbls>
            <c:dLbl>
              <c:idx val="0"/>
              <c:layout>
                <c:manualLayout>
                  <c:x val="1.6881911032328551E-3"/>
                  <c:y val="-4.753673292999136E-2"/>
                </c:manualLayout>
              </c:layout>
              <c:tx>
                <c:rich>
                  <a:bodyPr/>
                  <a:lstStyle/>
                  <a:p>
                    <a:fld id="{6CF87BB5-8201-43ED-B795-A31784930F45}"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{6CF87BB5-8201-43ED-B795-A31784930F45}</c15:txfldGUID>
                      <c15:f>Sheet1!$B$9</c15:f>
                      <c15:dlblFieldTableCache>
                        <c:ptCount val="1"/>
                        <c:pt idx="0">
                          <c:v>4,0%</c:v>
                        </c:pt>
                      </c15:dlblFieldTableCache>
                    </c15:dlblFTEntry>
                  </c15:dlblFieldTable>
                  <c15:showDataLabelsRange val="0"/>
                </c:ext>
                <c:ext xmlns:c16="http://schemas.microsoft.com/office/drawing/2014/chart" uri="{C3380CC4-5D6E-409C-BE32-E72D297353CC}">
                  <c16:uniqueId val="{0000000A-B957-492C-BD78-62FE26E9AA26}"/>
                </c:ext>
              </c:extLst>
            </c:dLbl>
            <c:dLbl>
              <c:idx val="1"/>
              <c:layout>
                <c:manualLayout>
                  <c:x val="0"/>
                  <c:y val="-5.6179775280898896E-2"/>
                </c:manualLayout>
              </c:layout>
              <c:tx>
                <c:rich>
                  <a:bodyPr/>
                  <a:lstStyle/>
                  <a:p>
                    <a:fld id="{C2E744B4-C49F-40FD-8072-0B5FD152B579}"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{C2E744B4-C49F-40FD-8072-0B5FD152B579}</c15:txfldGUID>
                      <c15:f>Sheet1!$C$9</c15:f>
                      <c15:dlblFieldTableCache>
                        <c:ptCount val="1"/>
                        <c:pt idx="0">
                          <c:v>5,6%</c:v>
                        </c:pt>
                      </c15:dlblFieldTableCache>
                    </c15:dlblFTEntry>
                  </c15:dlblFieldTable>
                  <c15:showDataLabelsRange val="0"/>
                </c:ext>
                <c:ext xmlns:c16="http://schemas.microsoft.com/office/drawing/2014/chart" uri="{C3380CC4-5D6E-409C-BE32-E72D297353CC}">
                  <c16:uniqueId val="{0000000B-B957-492C-BD78-62FE26E9AA26}"/>
                </c:ext>
              </c:extLst>
            </c:dLbl>
            <c:dLbl>
              <c:idx val="2"/>
              <c:layout>
                <c:manualLayout>
                  <c:x val="1.6881911032328859E-3"/>
                  <c:y val="-6.4822817631806431E-2"/>
                </c:manualLayout>
              </c:layout>
              <c:tx>
                <c:rich>
                  <a:bodyPr/>
                  <a:lstStyle/>
                  <a:p>
                    <a:fld id="{5F21446F-467C-409C-9A57-8A9CD8BC30D2}"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{5F21446F-467C-409C-9A57-8A9CD8BC30D2}</c15:txfldGUID>
                      <c15:f>Sheet1!$D$9</c15:f>
                      <c15:dlblFieldTableCache>
                        <c:ptCount val="1"/>
                        <c:pt idx="0">
                          <c:v>13,5%</c:v>
                        </c:pt>
                      </c15:dlblFieldTableCache>
                    </c15:dlblFTEntry>
                  </c15:dlblFieldTable>
                  <c15:showDataLabelsRange val="0"/>
                </c:ext>
                <c:ext xmlns:c16="http://schemas.microsoft.com/office/drawing/2014/chart" uri="{C3380CC4-5D6E-409C-BE32-E72D297353CC}">
                  <c16:uniqueId val="{0000000C-B957-492C-BD78-62FE26E9AA26}"/>
                </c:ext>
              </c:extLst>
            </c:dLbl>
            <c:dLbl>
              <c:idx val="3"/>
              <c:layout>
                <c:manualLayout>
                  <c:x val="1.6881911032328241E-3"/>
                  <c:y val="-7.7787381158167676E-2"/>
                </c:manualLayout>
              </c:layout>
              <c:tx>
                <c:rich>
                  <a:bodyPr/>
                  <a:lstStyle/>
                  <a:p>
                    <a:fld id="{6972BB04-D82A-4315-A062-7A14727EE3BC}"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{6972BB04-D82A-4315-A062-7A14727EE3BC}</c15:txfldGUID>
                      <c15:f>Sheet1!$E$9</c15:f>
                      <c15:dlblFieldTableCache>
                        <c:ptCount val="1"/>
                        <c:pt idx="0">
                          <c:v>12,6%</c:v>
                        </c:pt>
                      </c15:dlblFieldTableCache>
                    </c15:dlblFTEntry>
                  </c15:dlblFieldTable>
                  <c15:showDataLabelsRange val="0"/>
                </c:ext>
                <c:ext xmlns:c16="http://schemas.microsoft.com/office/drawing/2014/chart" uri="{C3380CC4-5D6E-409C-BE32-E72D297353CC}">
                  <c16:uniqueId val="{0000000D-B957-492C-BD78-62FE26E9AA26}"/>
                </c:ext>
              </c:extLst>
            </c:dLbl>
            <c:dLbl>
              <c:idx val="4"/>
              <c:layout>
                <c:manualLayout>
                  <c:x val="-6.1899625382117972E-17"/>
                  <c:y val="-7.3465859982713919E-2"/>
                </c:manualLayout>
              </c:layout>
              <c:tx>
                <c:rich>
                  <a:bodyPr/>
                  <a:lstStyle/>
                  <a:p>
                    <a:fld id="{920CBCA6-A4E8-4C07-8E90-3ACA171B9396}"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{920CBCA6-A4E8-4C07-8E90-3ACA171B9396}</c15:txfldGUID>
                      <c15:f>Sheet1!$F$9</c15:f>
                      <c15:dlblFieldTableCache>
                        <c:ptCount val="1"/>
                        <c:pt idx="0">
                          <c:v>13,1%</c:v>
                        </c:pt>
                      </c15:dlblFieldTableCache>
                    </c15:dlblFTEntry>
                  </c15:dlblFieldTable>
                  <c15:showDataLabelsRange val="0"/>
                </c:ext>
                <c:ext xmlns:c16="http://schemas.microsoft.com/office/drawing/2014/chart" uri="{C3380CC4-5D6E-409C-BE32-E72D297353CC}">
                  <c16:uniqueId val="{0000000E-B957-492C-BD78-62FE26E9AA26}"/>
                </c:ext>
              </c:extLst>
            </c:dLbl>
            <c:dLbl>
              <c:idx val="5"/>
              <c:layout>
                <c:manualLayout>
                  <c:x val="6.7527644129315436E-3"/>
                  <c:y val="-8.2108902333621434E-2"/>
                </c:manualLayout>
              </c:layout>
              <c:tx>
                <c:rich>
                  <a:bodyPr/>
                  <a:lstStyle/>
                  <a:p>
                    <a:fld id="{CAE79BBA-9A7E-4699-9EFE-B3178F6257E0}"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{CAE79BBA-9A7E-4699-9EFE-B3178F6257E0}</c15:txfldGUID>
                      <c15:f>Sheet1!$G$9</c15:f>
                      <c15:dlblFieldTableCache>
                        <c:ptCount val="1"/>
                        <c:pt idx="0">
                          <c:v>13,4%</c:v>
                        </c:pt>
                      </c15:dlblFieldTableCache>
                    </c15:dlblFTEntry>
                  </c15:dlblFieldTable>
                  <c15:showDataLabelsRange val="0"/>
                </c:ext>
                <c:ext xmlns:c16="http://schemas.microsoft.com/office/drawing/2014/chart" uri="{C3380CC4-5D6E-409C-BE32-E72D297353CC}">
                  <c16:uniqueId val="{0000000F-B957-492C-BD78-62FE26E9AA26}"/>
                </c:ext>
              </c:extLst>
            </c:dLbl>
            <c:dLbl>
              <c:idx val="6"/>
              <c:layout>
                <c:manualLayout>
                  <c:x val="3.3763822064657718E-3"/>
                  <c:y val="-7.7787381158167676E-2"/>
                </c:manualLayout>
              </c:layout>
              <c:tx>
                <c:rich>
                  <a:bodyPr/>
                  <a:lstStyle/>
                  <a:p>
                    <a:fld id="{558256BD-1803-4ACB-B5D4-1A907E362F71}"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{558256BD-1803-4ACB-B5D4-1A907E362F71}</c15:txfldGUID>
                      <c15:f>Sheet1!$H$9</c15:f>
                      <c15:dlblFieldTableCache>
                        <c:ptCount val="1"/>
                        <c:pt idx="0">
                          <c:v>13,9%</c:v>
                        </c:pt>
                      </c15:dlblFieldTableCache>
                    </c15:dlblFTEntry>
                  </c15:dlblFieldTable>
                  <c15:showDataLabelsRange val="0"/>
                </c:ext>
                <c:ext xmlns:c16="http://schemas.microsoft.com/office/drawing/2014/chart" uri="{C3380CC4-5D6E-409C-BE32-E72D297353CC}">
                  <c16:uniqueId val="{00000010-B957-492C-BD78-62FE26E9AA26}"/>
                </c:ext>
              </c:extLst>
            </c:dLbl>
            <c:dLbl>
              <c:idx val="7"/>
              <c:layout>
                <c:manualLayout>
                  <c:x val="2.1583894191996951E-3"/>
                  <c:y val="-7.5696038591123685E-2"/>
                </c:manualLayout>
              </c:layout>
              <c:tx>
                <c:rich>
                  <a:bodyPr/>
                  <a:lstStyle/>
                  <a:p>
                    <a:fld id="{DD589ACE-9189-421C-969F-185863D831A1}"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{DD589ACE-9189-421C-969F-185863D831A1}</c15:txfldGUID>
                      <c15:f>Sheet1!$I$9</c15:f>
                      <c15:dlblFieldTableCache>
                        <c:ptCount val="1"/>
                        <c:pt idx="0">
                          <c:v>13,2%</c:v>
                        </c:pt>
                      </c15:dlblFieldTableCache>
                    </c15:dlblFTEntry>
                  </c15:dlblFieldTable>
                  <c15:showDataLabelsRange val="0"/>
                </c:ext>
                <c:ext xmlns:c16="http://schemas.microsoft.com/office/drawing/2014/chart" uri="{C3380CC4-5D6E-409C-BE32-E72D297353CC}">
                  <c16:uniqueId val="{00000011-B957-492C-BD78-62FE26E9AA26}"/>
                </c:ext>
              </c:extLst>
            </c:dLbl>
            <c:dLbl>
              <c:idx val="8"/>
              <c:layout>
                <c:manualLayout>
                  <c:x val="9.3109869646182501E-3"/>
                  <c:y val="-5.4827175208581734E-2"/>
                </c:manualLayout>
              </c:layout>
              <c:tx>
                <c:rich>
                  <a:bodyPr wrap="square" lIns="38100" tIns="19050" rIns="38100" bIns="19050" anchor="ctr">
                    <a:noAutofit/>
                  </a:bodyPr>
                  <a:lstStyle/>
                  <a:p>
                    <a:pPr>
                      <a:defRPr/>
                    </a:pPr>
                    <a:fld id="{CD85EB3E-7AA2-41AE-AA83-F5F722A4CF60}" type="CELLREF">
                      <a:rPr lang="en-US"/>
                      <a:pPr>
                        <a:defRPr/>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4.4888194841566594E-2"/>
                      <c:h val="4.2026409392508894E-2"/>
                    </c:manualLayout>
                  </c15:layout>
                  <c15:dlblFieldTable>
                    <c15:dlblFTEntry>
                      <c15:txfldGUID>{CD85EB3E-7AA2-41AE-AA83-F5F722A4CF60}</c15:txfldGUID>
                      <c15:f>Sheet1!$J$9</c15:f>
                      <c15:dlblFieldTableCache>
                        <c:ptCount val="1"/>
                        <c:pt idx="0">
                          <c:v>8,8%</c:v>
                        </c:pt>
                      </c15:dlblFieldTableCache>
                    </c15:dlblFTEntry>
                  </c15:dlblFieldTable>
                  <c15:showDataLabelsRange val="0"/>
                </c:ext>
                <c:ext xmlns:c16="http://schemas.microsoft.com/office/drawing/2014/chart" uri="{C3380CC4-5D6E-409C-BE32-E72D297353CC}">
                  <c16:uniqueId val="{00000012-B957-492C-BD78-62FE26E9AA26}"/>
                </c:ext>
              </c:extLst>
            </c:dLbl>
            <c:dLbl>
              <c:idx val="9"/>
              <c:layout>
                <c:manualLayout>
                  <c:x val="5.5865921787709499E-3"/>
                  <c:y val="-6.6746126340882006E-2"/>
                </c:manualLayout>
              </c:layout>
              <c:tx>
                <c:rich>
                  <a:bodyPr/>
                  <a:lstStyle/>
                  <a:p>
                    <a:fld id="{25755708-0089-4572-ADA8-13E0BA2341E7}"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{25755708-0089-4572-ADA8-13E0BA2341E7}</c15:txfldGUID>
                      <c15:f>Sheet1!$K$9</c15:f>
                      <c15:dlblFieldTableCache>
                        <c:ptCount val="1"/>
                        <c:pt idx="0">
                          <c:v>6,8%</c:v>
                        </c:pt>
                      </c15:dlblFieldTableCache>
                    </c15:dlblFTEntry>
                  </c15:dlblFieldTable>
                  <c15:showDataLabelsRange val="0"/>
                </c:ext>
                <c:ext xmlns:c16="http://schemas.microsoft.com/office/drawing/2014/chart" uri="{C3380CC4-5D6E-409C-BE32-E72D297353CC}">
                  <c16:uniqueId val="{00000000-A1C5-440D-80D9-99C1B435A974}"/>
                </c:ext>
              </c:extLst>
            </c:dLbl>
            <c:dLbl>
              <c:idx val="10"/>
              <c:layout>
                <c:manualLayout>
                  <c:x val="2.0484171322160148E-2"/>
                  <c:y val="-3.8140643623361142E-2"/>
                </c:manualLayout>
              </c:layout>
              <c:tx>
                <c:rich>
                  <a:bodyPr/>
                  <a:lstStyle/>
                  <a:p>
                    <a:fld id="{998ED00E-E2FD-4E0C-8C93-F1BBE758734F}"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{998ED00E-E2FD-4E0C-8C93-F1BBE758734F}</c15:txfldGUID>
                      <c15:f>Sheet1!$L$9</c15:f>
                      <c15:dlblFieldTableCache>
                        <c:ptCount val="1"/>
                        <c:pt idx="0">
                          <c:v>7,2%</c:v>
                        </c:pt>
                      </c15:dlblFieldTableCache>
                    </c15:dlblFTEntry>
                  </c15:dlblFieldTable>
                  <c15:showDataLabelsRange val="0"/>
                </c:ext>
                <c:ext xmlns:c16="http://schemas.microsoft.com/office/drawing/2014/chart" uri="{C3380CC4-5D6E-409C-BE32-E72D297353CC}">
                  <c16:uniqueId val="{00000000-0C9B-4813-ADE3-F0987E44BE4B}"/>
                </c:ext>
              </c:extLst>
            </c:dLbl>
            <c:spPr>
              <a:solidFill>
                <a:sysClr val="window" lastClr="FFFFFF"/>
              </a:solid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Sheet1!$B$1:$L$1</c:f>
              <c:strCache>
                <c:ptCount val="11"/>
                <c:pt idx="0">
                  <c:v>2015.</c:v>
                </c:pt>
                <c:pt idx="1">
                  <c:v>2016.</c:v>
                </c:pt>
                <c:pt idx="2">
                  <c:v>2017.</c:v>
                </c:pt>
                <c:pt idx="3">
                  <c:v>2018.</c:v>
                </c:pt>
                <c:pt idx="4">
                  <c:v>2019.</c:v>
                </c:pt>
                <c:pt idx="5">
                  <c:v> 2020.</c:v>
                </c:pt>
                <c:pt idx="6">
                  <c:v>2021.</c:v>
                </c:pt>
                <c:pt idx="7">
                  <c:v>2022.</c:v>
                </c:pt>
                <c:pt idx="8">
                  <c:v>2023.</c:v>
                </c:pt>
                <c:pt idx="9">
                  <c:v>2024.</c:v>
                </c:pt>
                <c:pt idx="10">
                  <c:v>2025.</c:v>
                </c:pt>
              </c:strCache>
            </c:strRef>
          </c:cat>
          <c:val>
            <c:numRef>
              <c:f>Sheet1!$B$3:$L$3</c:f>
              <c:numCache>
                <c:formatCode>#,##0.00</c:formatCode>
                <c:ptCount val="11"/>
                <c:pt idx="0">
                  <c:v>356645.68717234058</c:v>
                </c:pt>
                <c:pt idx="1">
                  <c:v>532272.00610524917</c:v>
                </c:pt>
                <c:pt idx="2">
                  <c:v>1005820.553454111</c:v>
                </c:pt>
                <c:pt idx="3">
                  <c:v>1224124.0108832701</c:v>
                </c:pt>
                <c:pt idx="4">
                  <c:v>1207249.7020372951</c:v>
                </c:pt>
                <c:pt idx="5">
                  <c:v>1066370.7014400424</c:v>
                </c:pt>
                <c:pt idx="6">
                  <c:v>1195278.6940075653</c:v>
                </c:pt>
                <c:pt idx="7">
                  <c:v>1362578.9408719887</c:v>
                </c:pt>
                <c:pt idx="8">
                  <c:v>1429626.81</c:v>
                </c:pt>
                <c:pt idx="9">
                  <c:v>1562128.7</c:v>
                </c:pt>
                <c:pt idx="10">
                  <c:v>1657129.08</c:v>
                </c:pt>
              </c:numCache>
            </c:numRef>
          </c:val>
          <c:extLst>
            <c:ext xmlns:c16="http://schemas.microsoft.com/office/drawing/2014/chart" uri="{C3380CC4-5D6E-409C-BE32-E72D297353CC}">
              <c16:uniqueId val="{00000013-B957-492C-BD78-62FE26E9AA26}"/>
            </c:ext>
          </c:extLst>
        </c:ser>
        <c:dLbls>
          <c:showLegendKey val="0"/>
          <c:showVal val="0"/>
          <c:showCatName val="0"/>
          <c:showSerName val="0"/>
          <c:showPercent val="0"/>
          <c:showBubbleSize val="0"/>
        </c:dLbls>
        <c:gapWidth val="150"/>
        <c:overlap val="100"/>
        <c:axId val="99618304"/>
        <c:axId val="1354704576"/>
      </c:barChart>
      <c:catAx>
        <c:axId val="99618304"/>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GB" sz="1000"/>
                  <a:t>godina</a:t>
                </a:r>
              </a:p>
            </c:rich>
          </c:tx>
          <c:layout>
            <c:manualLayout>
              <c:xMode val="edge"/>
              <c:yMode val="edge"/>
              <c:x val="0.41067757591753545"/>
              <c:y val="0.9244788978254953"/>
            </c:manualLayout>
          </c:layout>
          <c:overlay val="0"/>
          <c:spPr>
            <a:noFill/>
            <a:ln w="15290">
              <a:noFill/>
            </a:ln>
          </c:spPr>
        </c:title>
        <c:numFmt formatCode="General" sourceLinked="0"/>
        <c:majorTickMark val="out"/>
        <c:minorTickMark val="none"/>
        <c:tickLblPos val="low"/>
        <c:spPr>
          <a:ln w="1911">
            <a:solidFill>
              <a:srgbClr val="000000"/>
            </a:solidFill>
            <a:prstDash val="solid"/>
          </a:ln>
        </c:spPr>
        <c:txPr>
          <a:bodyPr rot="-5400000" vert="horz"/>
          <a:lstStyle/>
          <a:p>
            <a:pPr>
              <a:defRPr sz="800" b="1" i="0" u="none" strike="noStrike" baseline="0">
                <a:solidFill>
                  <a:srgbClr val="000000"/>
                </a:solidFill>
                <a:latin typeface="Calibri"/>
                <a:ea typeface="Calibri"/>
                <a:cs typeface="Calibri"/>
              </a:defRPr>
            </a:pPr>
            <a:endParaRPr lang="sr-Latn-RS"/>
          </a:p>
        </c:txPr>
        <c:crossAx val="1354704576"/>
        <c:crossesAt val="90000000"/>
        <c:auto val="1"/>
        <c:lblAlgn val="ctr"/>
        <c:lblOffset val="100"/>
        <c:tickLblSkip val="1"/>
        <c:tickMarkSkip val="1"/>
        <c:noMultiLvlLbl val="0"/>
      </c:catAx>
      <c:valAx>
        <c:axId val="1354704576"/>
        <c:scaling>
          <c:orientation val="minMax"/>
        </c:scaling>
        <c:delete val="0"/>
        <c:axPos val="l"/>
        <c:majorGridlines>
          <c:spPr>
            <a:ln w="1911">
              <a:solidFill>
                <a:srgbClr val="000000"/>
              </a:solidFill>
              <a:prstDash val="solid"/>
            </a:ln>
          </c:spPr>
        </c:majorGridlines>
        <c:title>
          <c:tx>
            <c:rich>
              <a:bodyPr/>
              <a:lstStyle/>
              <a:p>
                <a:pPr>
                  <a:defRPr sz="800" b="1" i="0" u="none" strike="noStrike" baseline="0">
                    <a:solidFill>
                      <a:srgbClr val="000000"/>
                    </a:solidFill>
                    <a:latin typeface="Calibri"/>
                    <a:ea typeface="Calibri"/>
                    <a:cs typeface="Calibri"/>
                  </a:defRPr>
                </a:pPr>
                <a:r>
                  <a:rPr lang="en-GB" sz="800" b="1"/>
                  <a:t>iznos proračuna</a:t>
                </a:r>
                <a:r>
                  <a:rPr lang="hr-HR" sz="800" b="1"/>
                  <a:t> (€)</a:t>
                </a:r>
                <a:endParaRPr lang="en-GB" sz="800" b="1"/>
              </a:p>
            </c:rich>
          </c:tx>
          <c:layout>
            <c:manualLayout>
              <c:xMode val="edge"/>
              <c:yMode val="edge"/>
              <c:x val="2.0533880903490759E-2"/>
              <c:y val="0.375"/>
            </c:manualLayout>
          </c:layout>
          <c:overlay val="0"/>
          <c:spPr>
            <a:noFill/>
            <a:ln w="15290">
              <a:noFill/>
            </a:ln>
          </c:spPr>
        </c:title>
        <c:numFmt formatCode="#,##0" sourceLinked="0"/>
        <c:majorTickMark val="out"/>
        <c:minorTickMark val="none"/>
        <c:tickLblPos val="nextTo"/>
        <c:spPr>
          <a:ln w="1911">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prstDash val="solid"/>
          </a:ln>
        </c:spPr>
        <c:txPr>
          <a:bodyPr rot="0" vert="horz"/>
          <a:lstStyle/>
          <a:p>
            <a:pPr>
              <a:defRPr sz="800" b="1" i="0" u="none" strike="noStrike" baseline="0">
                <a:solidFill>
                  <a:srgbClr val="000000"/>
                </a:solidFill>
                <a:latin typeface="Calibri"/>
                <a:ea typeface="Calibri"/>
                <a:cs typeface="Calibri"/>
              </a:defRPr>
            </a:pPr>
            <a:endParaRPr lang="sr-Latn-RS"/>
          </a:p>
        </c:txPr>
        <c:crossAx val="99618304"/>
        <c:crosses val="autoZero"/>
        <c:crossBetween val="between"/>
      </c:valAx>
      <c:spPr>
        <a:solidFill>
          <a:srgbClr val="C0C0C0"/>
        </a:solidFill>
        <a:ln w="7645">
          <a:solidFill>
            <a:srgbClr val="808080"/>
          </a:solidFill>
          <a:prstDash val="solid"/>
        </a:ln>
      </c:spPr>
    </c:plotArea>
    <c:legend>
      <c:legendPos val="r"/>
      <c:legendEntry>
        <c:idx val="0"/>
        <c:txPr>
          <a:bodyPr/>
          <a:lstStyle/>
          <a:p>
            <a:pPr>
              <a:defRPr sz="800" b="1" i="0" u="none" strike="noStrike" baseline="0">
                <a:solidFill>
                  <a:srgbClr val="000000"/>
                </a:solidFill>
                <a:latin typeface="Calibri"/>
                <a:ea typeface="Calibri"/>
                <a:cs typeface="Calibri"/>
              </a:defRPr>
            </a:pPr>
            <a:endParaRPr lang="sr-Latn-RS"/>
          </a:p>
        </c:txPr>
      </c:legendEntry>
      <c:legendEntry>
        <c:idx val="1"/>
        <c:txPr>
          <a:bodyPr/>
          <a:lstStyle/>
          <a:p>
            <a:pPr>
              <a:defRPr sz="800" b="1" i="0" u="none" strike="noStrike" baseline="0">
                <a:solidFill>
                  <a:srgbClr val="000000"/>
                </a:solidFill>
                <a:latin typeface="Calibri"/>
                <a:ea typeface="Calibri"/>
                <a:cs typeface="Calibri"/>
              </a:defRPr>
            </a:pPr>
            <a:endParaRPr lang="sr-Latn-RS"/>
          </a:p>
        </c:txPr>
      </c:legendEntry>
      <c:layout>
        <c:manualLayout>
          <c:xMode val="edge"/>
          <c:yMode val="edge"/>
          <c:x val="0.79468348032152514"/>
          <c:y val="0.21284744976660247"/>
          <c:w val="0.1502935488327117"/>
          <c:h val="0.42063196393224161"/>
        </c:manualLayout>
      </c:layout>
      <c:overlay val="0"/>
      <c:spPr>
        <a:noFill/>
        <a:ln w="1911">
          <a:solidFill>
            <a:srgbClr val="000000"/>
          </a:solidFill>
          <a:prstDash val="solid"/>
        </a:ln>
      </c:spPr>
      <c:txPr>
        <a:bodyPr/>
        <a:lstStyle/>
        <a:p>
          <a:pPr>
            <a:defRPr sz="700" b="1" i="0" u="none" strike="noStrike" baseline="0">
              <a:solidFill>
                <a:srgbClr val="000000"/>
              </a:solidFill>
              <a:latin typeface="Calibri"/>
              <a:ea typeface="Calibri"/>
              <a:cs typeface="Calibri"/>
            </a:defRPr>
          </a:pPr>
          <a:endParaRPr lang="sr-Latn-RS"/>
        </a:p>
      </c:txPr>
    </c:legend>
    <c:plotVisOnly val="1"/>
    <c:dispBlanksAs val="gap"/>
    <c:showDLblsOverMax val="0"/>
  </c:chart>
  <c:spPr>
    <a:noFill/>
    <a:ln>
      <a:noFill/>
    </a:ln>
  </c:spPr>
  <c:txPr>
    <a:bodyPr/>
    <a:lstStyle/>
    <a:p>
      <a:pPr>
        <a:defRPr sz="722" b="1" i="0" u="none" strike="noStrike" baseline="0">
          <a:solidFill>
            <a:srgbClr val="000000"/>
          </a:solidFill>
          <a:latin typeface="Calibri"/>
          <a:ea typeface="Calibri"/>
          <a:cs typeface="Calibri"/>
        </a:defRPr>
      </a:pPr>
      <a:endParaRPr lang="sr-Latn-R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r-HR"/>
              <a:t>           </a:t>
            </a:r>
            <a:r>
              <a:rPr lang="en-US" sz="1400"/>
              <a:t>Prihodi od poreza</a:t>
            </a:r>
            <a:r>
              <a:rPr lang="hr-HR" sz="1400"/>
              <a:t> od</a:t>
            </a:r>
            <a:r>
              <a:rPr lang="hr-HR" sz="1400" baseline="0"/>
              <a:t> 1.1.-31.12</a:t>
            </a:r>
            <a:r>
              <a:rPr lang="en-US" sz="1400" baseline="0"/>
              <a:t>.2025</a:t>
            </a:r>
            <a:r>
              <a:rPr lang="hr-HR" sz="1400" baseline="0"/>
              <a:t>.</a:t>
            </a:r>
            <a:endParaRPr lang="en-US" sz="1400"/>
          </a:p>
        </c:rich>
      </c:tx>
      <c:layout>
        <c:manualLayout>
          <c:xMode val="edge"/>
          <c:yMode val="edge"/>
          <c:x val="0.47342968551907522"/>
          <c:y val="1.1636452420191676E-3"/>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5.7959498181993307E-2"/>
          <c:y val="0.1950011610478985"/>
          <c:w val="0.54232163066772621"/>
          <c:h val="0.69975692278293911"/>
        </c:manualLayout>
      </c:layout>
      <c:pie3DChart>
        <c:varyColors val="1"/>
        <c:ser>
          <c:idx val="0"/>
          <c:order val="0"/>
          <c:tx>
            <c:strRef>
              <c:f>List1!$B$1</c:f>
              <c:strCache>
                <c:ptCount val="1"/>
                <c:pt idx="0">
                  <c:v>Prihodi od poreza</c:v>
                </c:pt>
              </c:strCache>
            </c:strRef>
          </c:tx>
          <c:explosion val="25"/>
          <c:dPt>
            <c:idx val="2"/>
            <c:bubble3D val="0"/>
            <c:spPr>
              <a:pattFill prst="lgCheck">
                <a:fgClr>
                  <a:srgbClr val="92D050"/>
                </a:fgClr>
                <a:bgClr>
                  <a:sysClr val="window" lastClr="FFFFFF"/>
                </a:bgClr>
              </a:pattFill>
              <a:ln>
                <a:solidFill>
                  <a:srgbClr val="00B050"/>
                </a:solidFill>
              </a:ln>
            </c:spPr>
            <c:extLst>
              <c:ext xmlns:c16="http://schemas.microsoft.com/office/drawing/2014/chart" uri="{C3380CC4-5D6E-409C-BE32-E72D297353CC}">
                <c16:uniqueId val="{00000004-AA79-41D3-8C83-2C478905349A}"/>
              </c:ext>
            </c:extLst>
          </c:dPt>
          <c:dPt>
            <c:idx val="3"/>
            <c:bubble3D val="0"/>
            <c:spPr>
              <a:solidFill>
                <a:srgbClr val="FFFF00"/>
              </a:solidFill>
              <a:ln>
                <a:solidFill>
                  <a:srgbClr val="FF0000"/>
                </a:solidFill>
              </a:ln>
            </c:spPr>
            <c:extLst>
              <c:ext xmlns:c16="http://schemas.microsoft.com/office/drawing/2014/chart" uri="{C3380CC4-5D6E-409C-BE32-E72D297353CC}">
                <c16:uniqueId val="{00000001-AA79-41D3-8C83-2C478905349A}"/>
              </c:ext>
            </c:extLst>
          </c:dPt>
          <c:dLbls>
            <c:dLbl>
              <c:idx val="0"/>
              <c:layout>
                <c:manualLayout>
                  <c:x val="4.6338959588275948E-2"/>
                  <c:y val="-3.704669474455239E-2"/>
                </c:manualLayout>
              </c:layou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AA79-41D3-8C83-2C478905349A}"/>
                </c:ext>
              </c:extLst>
            </c:dLbl>
            <c:dLbl>
              <c:idx val="1"/>
              <c:layout>
                <c:manualLayout>
                  <c:x val="-6.5708764211262108E-2"/>
                  <c:y val="-1.0377586522614906E-2"/>
                </c:manualLayout>
              </c:layou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A79-41D3-8C83-2C478905349A}"/>
                </c:ext>
              </c:extLst>
            </c:dLbl>
            <c:dLbl>
              <c:idx val="2"/>
              <c:layout>
                <c:manualLayout>
                  <c:x val="-2.6930927483722823E-2"/>
                  <c:y val="-9.9834028099428748E-2"/>
                </c:manualLayout>
              </c:layou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AA79-41D3-8C83-2C478905349A}"/>
                </c:ext>
              </c:extLst>
            </c:dLbl>
            <c:dLbl>
              <c:idx val="3"/>
              <c:layout>
                <c:manualLayout>
                  <c:x val="0.10167823555085227"/>
                  <c:y val="6.200015439246565E-3"/>
                </c:manualLayout>
              </c:layou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A79-41D3-8C83-2C478905349A}"/>
                </c:ext>
              </c:extLst>
            </c:dLbl>
            <c:numFmt formatCode="General" sourceLinked="0"/>
            <c:spPr>
              <a:gradFill>
                <a:gsLst>
                  <a:gs pos="0">
                    <a:srgbClr val="4F81BD">
                      <a:tint val="66000"/>
                      <a:satMod val="160000"/>
                      <a:lumMod val="34000"/>
                      <a:lumOff val="66000"/>
                      <a:alpha val="52000"/>
                    </a:srgbClr>
                  </a:gs>
                  <a:gs pos="98000">
                    <a:srgbClr val="4F81BD">
                      <a:tint val="44500"/>
                      <a:satMod val="160000"/>
                      <a:lumMod val="0"/>
                      <a:lumOff val="100000"/>
                    </a:srgbClr>
                  </a:gs>
                  <a:gs pos="100000">
                    <a:srgbClr val="4F81BD">
                      <a:tint val="23500"/>
                      <a:satMod val="160000"/>
                    </a:srgbClr>
                  </a:gs>
                </a:gsLst>
                <a:lin ang="5400000" scaled="0"/>
              </a:gradFill>
              <a:ln>
                <a:solidFill>
                  <a:srgbClr val="4F81BD">
                    <a:shade val="95000"/>
                    <a:satMod val="105000"/>
                    <a:alpha val="39000"/>
                  </a:srgbClr>
                </a:solidFill>
              </a:ln>
              <a:effectLst>
                <a:outerShdw blurRad="50800" dist="50800" dir="5400000" algn="ctr" rotWithShape="0">
                  <a:srgbClr val="000000">
                    <a:alpha val="6000"/>
                  </a:srgbClr>
                </a:outerShdw>
              </a:effectLst>
            </c:spPr>
            <c:txPr>
              <a:bodyPr wrap="square" lIns="38100" tIns="19050" rIns="38100" bIns="19050" anchor="ctr">
                <a:spAutoFit/>
              </a:bodyPr>
              <a:lstStyle/>
              <a:p>
                <a:pPr>
                  <a:defRPr sz="900"/>
                </a:pPr>
                <a:endParaRPr lang="sr-Latn-RS"/>
              </a:p>
            </c:txPr>
            <c:showLegendKey val="1"/>
            <c:showVal val="1"/>
            <c:showCatName val="0"/>
            <c:showSerName val="0"/>
            <c:showPercent val="1"/>
            <c:showBubbleSize val="0"/>
            <c:showLeaderLines val="1"/>
            <c:extLst>
              <c:ext xmlns:c15="http://schemas.microsoft.com/office/drawing/2012/chart" uri="{CE6537A1-D6FC-4f65-9D91-7224C49458BB}"/>
            </c:extLst>
          </c:dLbls>
          <c:cat>
            <c:strRef>
              <c:f>List1!$A$2:$A$5</c:f>
              <c:strCache>
                <c:ptCount val="4"/>
                <c:pt idx="0">
                  <c:v>porez i prirez na dohodak (611)</c:v>
                </c:pt>
                <c:pt idx="1">
                  <c:v>porez na promet nekretnina (6134)</c:v>
                </c:pt>
                <c:pt idx="2">
                  <c:v>porez na potrošnju (općinski porez, 6142)</c:v>
                </c:pt>
                <c:pt idx="3">
                  <c:v>porez na nekretnine (porez na kuće za odmor) i porez na javne površine 6131 (općinski porezi)</c:v>
                </c:pt>
              </c:strCache>
            </c:strRef>
          </c:cat>
          <c:val>
            <c:numRef>
              <c:f>List1!$B$2:$B$5</c:f>
              <c:numCache>
                <c:formatCode>#,##0.00</c:formatCode>
                <c:ptCount val="4"/>
                <c:pt idx="0">
                  <c:v>7226645.1100000003</c:v>
                </c:pt>
                <c:pt idx="1">
                  <c:v>824110.78</c:v>
                </c:pt>
                <c:pt idx="2">
                  <c:v>335669.39</c:v>
                </c:pt>
                <c:pt idx="3">
                  <c:v>121489.37000000001</c:v>
                </c:pt>
              </c:numCache>
            </c:numRef>
          </c:val>
          <c:extLst>
            <c:ext xmlns:c16="http://schemas.microsoft.com/office/drawing/2014/chart" uri="{C3380CC4-5D6E-409C-BE32-E72D297353CC}">
              <c16:uniqueId val="{00000005-AA79-41D3-8C83-2C478905349A}"/>
            </c:ext>
          </c:extLst>
        </c:ser>
        <c:dLbls>
          <c:showLegendKey val="0"/>
          <c:showVal val="0"/>
          <c:showCatName val="0"/>
          <c:showSerName val="0"/>
          <c:showPercent val="0"/>
          <c:showBubbleSize val="0"/>
          <c:showLeaderLines val="1"/>
        </c:dLbls>
      </c:pie3DChart>
    </c:plotArea>
    <c:legend>
      <c:legendPos val="r"/>
      <c:layout>
        <c:manualLayout>
          <c:xMode val="edge"/>
          <c:yMode val="edge"/>
          <c:x val="0.65194274028629862"/>
          <c:y val="0.15252161494519068"/>
          <c:w val="0.33824130879345604"/>
          <c:h val="0.82707342977476639"/>
        </c:manualLayout>
      </c:layout>
      <c:overlay val="0"/>
      <c:txPr>
        <a:bodyPr/>
        <a:lstStyle/>
        <a:p>
          <a:pPr>
            <a:defRPr sz="900"/>
          </a:pPr>
          <a:endParaRPr lang="sr-Latn-RS"/>
        </a:p>
      </c:txPr>
    </c:legend>
    <c:plotVisOnly val="1"/>
    <c:dispBlanksAs val="gap"/>
    <c:showDLblsOverMax val="0"/>
  </c:chart>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r-HR" sz="1200"/>
              <a:t>Porez i prirez na dohodak u razdoblju</a:t>
            </a:r>
            <a:r>
              <a:rPr lang="hr-HR" sz="1200" baseline="0"/>
              <a:t> 2010.-20</a:t>
            </a:r>
            <a:r>
              <a:rPr lang="en-US" sz="1200" baseline="0"/>
              <a:t>2</a:t>
            </a:r>
            <a:r>
              <a:rPr lang="hr-HR" sz="1200" baseline="0"/>
              <a:t>5. </a:t>
            </a:r>
            <a:endParaRPr lang="en-US" sz="1200"/>
          </a:p>
        </c:rich>
      </c:tx>
      <c:layout>
        <c:manualLayout>
          <c:xMode val="edge"/>
          <c:yMode val="edge"/>
          <c:x val="0.27414498254922437"/>
          <c:y val="2.2535211267605635E-2"/>
        </c:manualLayout>
      </c:layout>
      <c:overlay val="0"/>
    </c:title>
    <c:autoTitleDeleted val="0"/>
    <c:plotArea>
      <c:layout>
        <c:manualLayout>
          <c:layoutTarget val="inner"/>
          <c:xMode val="edge"/>
          <c:yMode val="edge"/>
          <c:x val="0.15934711441154434"/>
          <c:y val="0.1139235644324947"/>
          <c:w val="0.79322112141585222"/>
          <c:h val="0.71416643897430798"/>
        </c:manualLayout>
      </c:layout>
      <c:lineChart>
        <c:grouping val="stacked"/>
        <c:varyColors val="0"/>
        <c:ser>
          <c:idx val="0"/>
          <c:order val="0"/>
          <c:tx>
            <c:strRef>
              <c:f>List1!$B$1</c:f>
              <c:strCache>
                <c:ptCount val="1"/>
                <c:pt idx="0">
                  <c:v>611 porez i prirez na dohodak</c:v>
                </c:pt>
              </c:strCache>
            </c:strRef>
          </c:tx>
          <c:spPr>
            <a:ln w="22225"/>
          </c:spPr>
          <c:marker>
            <c:symbol val="x"/>
            <c:size val="4"/>
            <c:spPr>
              <a:solidFill>
                <a:schemeClr val="tx2"/>
              </a:solidFill>
              <a:ln>
                <a:noFill/>
              </a:ln>
            </c:spPr>
          </c:marker>
          <c:dLbls>
            <c:dLbl>
              <c:idx val="0"/>
              <c:layout>
                <c:manualLayout>
                  <c:x val="-3.1362007168458779E-2"/>
                  <c:y val="3.00469483568074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AF-4AEF-AE22-3B86B3FAF659}"/>
                </c:ext>
              </c:extLst>
            </c:dLbl>
            <c:dLbl>
              <c:idx val="2"/>
              <c:layout>
                <c:manualLayout>
                  <c:x val="-2.4678501208854269E-2"/>
                  <c:y val="4.91226202358508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9E-4858-9C25-34189B930A48}"/>
                </c:ext>
              </c:extLst>
            </c:dLbl>
            <c:dLbl>
              <c:idx val="3"/>
              <c:layout>
                <c:manualLayout>
                  <c:x val="-1.493428912783757E-2"/>
                  <c:y val="3.830512735203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9E-4858-9C25-34189B930A48}"/>
                </c:ext>
              </c:extLst>
            </c:dLbl>
            <c:dLbl>
              <c:idx val="4"/>
              <c:layout>
                <c:manualLayout>
                  <c:x val="1.4934289127838062E-3"/>
                  <c:y val="1.8779342723004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AF-4AEF-AE22-3B86B3FAF659}"/>
                </c:ext>
              </c:extLst>
            </c:dLbl>
            <c:dLbl>
              <c:idx val="5"/>
              <c:layout>
                <c:manualLayout>
                  <c:x val="-4.519468668566972E-2"/>
                  <c:y val="5.90392961443199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9E-4858-9C25-34189B930A48}"/>
                </c:ext>
              </c:extLst>
            </c:dLbl>
            <c:dLbl>
              <c:idx val="6"/>
              <c:layout>
                <c:manualLayout>
                  <c:x val="-2.986857825567503E-2"/>
                  <c:y val="-5.01769250674651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B9E-4858-9C25-34189B930A48}"/>
                </c:ext>
              </c:extLst>
            </c:dLbl>
            <c:dLbl>
              <c:idx val="7"/>
              <c:layout>
                <c:manualLayout>
                  <c:x val="-3.5842293906810145E-2"/>
                  <c:y val="4.1610883146648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B9E-4858-9C25-34189B930A48}"/>
                </c:ext>
              </c:extLst>
            </c:dLbl>
            <c:dLbl>
              <c:idx val="8"/>
              <c:layout>
                <c:manualLayout>
                  <c:x val="-3.5728786033292735E-2"/>
                  <c:y val="-7.41891891891891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B9E-4858-9C25-34189B930A48}"/>
                </c:ext>
              </c:extLst>
            </c:dLbl>
            <c:dLbl>
              <c:idx val="9"/>
              <c:layout>
                <c:manualLayout>
                  <c:x val="0"/>
                  <c:y val="-1.8779342723004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AF-4AEF-AE22-3B86B3FAF659}"/>
                </c:ext>
              </c:extLst>
            </c:dLbl>
            <c:dLbl>
              <c:idx val="10"/>
              <c:layout>
                <c:manualLayout>
                  <c:x val="-5.3763440860215166E-2"/>
                  <c:y val="5.6338028169014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75-4991-904C-C4A4B9F4D220}"/>
                </c:ext>
              </c:extLst>
            </c:dLbl>
            <c:dLbl>
              <c:idx val="11"/>
              <c:layout>
                <c:manualLayout>
                  <c:x val="-4.1816009557945039E-2"/>
                  <c:y val="-6.76056338028168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75-4991-904C-C4A4B9F4D220}"/>
                </c:ext>
              </c:extLst>
            </c:dLbl>
            <c:dLbl>
              <c:idx val="12"/>
              <c:layout>
                <c:manualLayout>
                  <c:x val="-1.0951685512275263E-16"/>
                  <c:y val="-7.51173708920187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2B-4DD9-9998-7AAD45217EA3}"/>
                </c:ext>
              </c:extLst>
            </c:dLbl>
            <c:dLbl>
              <c:idx val="13"/>
              <c:layout>
                <c:manualLayout>
                  <c:x val="0"/>
                  <c:y val="5.25821596244131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AF-4AEF-AE22-3B86B3FAF659}"/>
                </c:ext>
              </c:extLst>
            </c:dLbl>
            <c:dLbl>
              <c:idx val="14"/>
              <c:layout>
                <c:manualLayout>
                  <c:x val="0"/>
                  <c:y val="3.00469483568075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12-4815-A543-0A2CE8F58EE0}"/>
                </c:ext>
              </c:extLst>
            </c:dLbl>
            <c:dLbl>
              <c:idx val="15"/>
              <c:layout>
                <c:manualLayout>
                  <c:x val="-4.4802867383512543E-3"/>
                  <c:y val="4.13145539906103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26-4BE9-815C-8A260B677139}"/>
                </c:ext>
              </c:extLst>
            </c:dLbl>
            <c:spPr>
              <a:ln>
                <a:noFill/>
              </a:ln>
            </c:spPr>
            <c:txPr>
              <a:bodyPr/>
              <a:lstStyle/>
              <a:p>
                <a:pPr>
                  <a:defRPr sz="900"/>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List1!$A$2:$A$17</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List1!$B$2:$B$17</c:f>
              <c:numCache>
                <c:formatCode>#,##0.00</c:formatCode>
                <c:ptCount val="16"/>
                <c:pt idx="0">
                  <c:v>3902927.9978764351</c:v>
                </c:pt>
                <c:pt idx="1">
                  <c:v>4732491.4725595592</c:v>
                </c:pt>
                <c:pt idx="2">
                  <c:v>3963254.7614307515</c:v>
                </c:pt>
                <c:pt idx="3">
                  <c:v>4145204.2909283959</c:v>
                </c:pt>
                <c:pt idx="4">
                  <c:v>4408842.9676819956</c:v>
                </c:pt>
                <c:pt idx="5">
                  <c:v>2601892.2675691815</c:v>
                </c:pt>
                <c:pt idx="6">
                  <c:v>2872304.0215010946</c:v>
                </c:pt>
                <c:pt idx="7">
                  <c:v>2661228.8419934968</c:v>
                </c:pt>
                <c:pt idx="8">
                  <c:v>3263034.0314553054</c:v>
                </c:pt>
                <c:pt idx="9">
                  <c:v>3535710.6987855863</c:v>
                </c:pt>
                <c:pt idx="10">
                  <c:v>2285866.8577875108</c:v>
                </c:pt>
                <c:pt idx="11">
                  <c:v>2296723.2145464197</c:v>
                </c:pt>
                <c:pt idx="12">
                  <c:v>3511175.966553852</c:v>
                </c:pt>
                <c:pt idx="13">
                  <c:v>5179821.16</c:v>
                </c:pt>
                <c:pt idx="14">
                  <c:v>6068112.1399999997</c:v>
                </c:pt>
                <c:pt idx="15">
                  <c:v>7226645.1100000003</c:v>
                </c:pt>
              </c:numCache>
            </c:numRef>
          </c:val>
          <c:smooth val="0"/>
          <c:extLst>
            <c:ext xmlns:c16="http://schemas.microsoft.com/office/drawing/2014/chart" uri="{C3380CC4-5D6E-409C-BE32-E72D297353CC}">
              <c16:uniqueId val="{00000006-9B9E-4858-9C25-34189B930A48}"/>
            </c:ext>
          </c:extLst>
        </c:ser>
        <c:dLbls>
          <c:showLegendKey val="0"/>
          <c:showVal val="0"/>
          <c:showCatName val="0"/>
          <c:showSerName val="0"/>
          <c:showPercent val="0"/>
          <c:showBubbleSize val="0"/>
        </c:dLbls>
        <c:marker val="1"/>
        <c:smooth val="0"/>
        <c:axId val="214913024"/>
        <c:axId val="204842688"/>
      </c:lineChart>
      <c:catAx>
        <c:axId val="214913024"/>
        <c:scaling>
          <c:orientation val="minMax"/>
        </c:scaling>
        <c:delete val="0"/>
        <c:axPos val="b"/>
        <c:title>
          <c:tx>
            <c:rich>
              <a:bodyPr/>
              <a:lstStyle/>
              <a:p>
                <a:pPr>
                  <a:defRPr sz="1050"/>
                </a:pPr>
                <a:r>
                  <a:rPr lang="hr-HR" sz="1050"/>
                  <a:t>Godina</a:t>
                </a:r>
              </a:p>
            </c:rich>
          </c:tx>
          <c:layout>
            <c:manualLayout>
              <c:xMode val="edge"/>
              <c:yMode val="edge"/>
              <c:x val="0.45124213303982164"/>
              <c:y val="0.94289187091050242"/>
            </c:manualLayout>
          </c:layout>
          <c:overlay val="0"/>
        </c:title>
        <c:numFmt formatCode="General" sourceLinked="0"/>
        <c:majorTickMark val="in"/>
        <c:minorTickMark val="none"/>
        <c:tickLblPos val="nextTo"/>
        <c:crossAx val="204842688"/>
        <c:crosses val="autoZero"/>
        <c:auto val="1"/>
        <c:lblAlgn val="ctr"/>
        <c:lblOffset val="100"/>
        <c:tickLblSkip val="1"/>
        <c:noMultiLvlLbl val="0"/>
      </c:catAx>
      <c:valAx>
        <c:axId val="204842688"/>
        <c:scaling>
          <c:orientation val="minMax"/>
        </c:scaling>
        <c:delete val="0"/>
        <c:axPos val="l"/>
        <c:majorGridlines/>
        <c:title>
          <c:tx>
            <c:rich>
              <a:bodyPr/>
              <a:lstStyle/>
              <a:p>
                <a:pPr>
                  <a:defRPr sz="1050"/>
                </a:pPr>
                <a:r>
                  <a:rPr lang="hr-HR" sz="1050"/>
                  <a:t>Iznos (€) </a:t>
                </a:r>
              </a:p>
            </c:rich>
          </c:tx>
          <c:layout>
            <c:manualLayout>
              <c:xMode val="edge"/>
              <c:yMode val="edge"/>
              <c:x val="1.9013466730637165E-2"/>
              <c:y val="0.28990366345051938"/>
            </c:manualLayout>
          </c:layout>
          <c:overlay val="0"/>
        </c:title>
        <c:numFmt formatCode="#,##0" sourceLinked="0"/>
        <c:majorTickMark val="none"/>
        <c:minorTickMark val="none"/>
        <c:tickLblPos val="nextTo"/>
        <c:crossAx val="214913024"/>
        <c:crosses val="autoZero"/>
        <c:crossBetween val="between"/>
      </c:valAx>
    </c:plotArea>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Struktura rashoda </a:t>
            </a:r>
            <a:r>
              <a:rPr lang="hr-HR"/>
              <a:t>poslovanja (3)</a:t>
            </a:r>
            <a:r>
              <a:rPr lang="hr-HR" baseline="0"/>
              <a:t> za razdoblje </a:t>
            </a:r>
            <a:r>
              <a:rPr lang="en-GB"/>
              <a:t>2015.-</a:t>
            </a:r>
            <a:r>
              <a:rPr lang="hr-HR"/>
              <a:t>20</a:t>
            </a:r>
            <a:r>
              <a:rPr lang="en-US"/>
              <a:t>2</a:t>
            </a:r>
            <a:r>
              <a:rPr lang="hr-HR"/>
              <a:t>5</a:t>
            </a:r>
            <a:r>
              <a:rPr lang="en-US"/>
              <a:t>,</a:t>
            </a:r>
            <a:r>
              <a:rPr lang="hr-HR"/>
              <a:t> </a:t>
            </a:r>
            <a:r>
              <a:rPr lang="en-GB"/>
              <a:t>Općina i </a:t>
            </a:r>
            <a:r>
              <a:rPr lang="hr-HR"/>
              <a:t>PK</a:t>
            </a:r>
            <a:endParaRPr lang="en-GB"/>
          </a:p>
        </c:rich>
      </c:tx>
      <c:layout>
        <c:manualLayout>
          <c:xMode val="edge"/>
          <c:yMode val="edge"/>
          <c:x val="0.31013933116063114"/>
          <c:y val="3.1264091988501434E-2"/>
        </c:manualLayout>
      </c:layout>
      <c:overlay val="0"/>
      <c:spPr>
        <a:noFill/>
        <a:ln w="15257">
          <a:noFill/>
        </a:ln>
      </c:spPr>
    </c:title>
    <c:autoTitleDeleted val="0"/>
    <c:plotArea>
      <c:layout>
        <c:manualLayout>
          <c:layoutTarget val="inner"/>
          <c:xMode val="edge"/>
          <c:yMode val="edge"/>
          <c:x val="0.14626392221646106"/>
          <c:y val="0.16946423655085072"/>
          <c:w val="0.64600856631423853"/>
          <c:h val="0.55565405722886041"/>
        </c:manualLayout>
      </c:layout>
      <c:barChart>
        <c:barDir val="col"/>
        <c:grouping val="stacked"/>
        <c:varyColors val="0"/>
        <c:ser>
          <c:idx val="0"/>
          <c:order val="0"/>
          <c:tx>
            <c:strRef>
              <c:f>Sheet1!$A$2</c:f>
              <c:strCache>
                <c:ptCount val="1"/>
                <c:pt idx="0">
                  <c:v>RASHODI OPĆINE </c:v>
                </c:pt>
              </c:strCache>
            </c:strRef>
          </c:tx>
          <c:spPr>
            <a:pattFill prst="pct75">
              <a:fgClr>
                <a:srgbClr val="9999FF"/>
              </a:fgClr>
              <a:bgClr>
                <a:sysClr val="window" lastClr="FFFFFF"/>
              </a:bgClr>
            </a:pattFill>
            <a:ln w="7628">
              <a:solidFill>
                <a:srgbClr val="000000"/>
              </a:solidFill>
              <a:prstDash val="solid"/>
            </a:ln>
          </c:spPr>
          <c:invertIfNegative val="0"/>
          <c:dLbls>
            <c:dLbl>
              <c:idx val="0"/>
              <c:tx>
                <c:rich>
                  <a:bodyPr wrap="square" lIns="38100" tIns="19050" rIns="38100" bIns="19050" anchor="ctr">
                    <a:noAutofit/>
                  </a:bodyPr>
                  <a:lstStyle/>
                  <a:p>
                    <a:pPr>
                      <a:defRPr sz="700"/>
                    </a:pPr>
                    <a:r>
                      <a:rPr lang="en-US" sz="700"/>
                      <a:t>64,4%</a:t>
                    </a:r>
                  </a:p>
                </c:rich>
              </c:tx>
              <c:spPr>
                <a:solidFill>
                  <a:sysClr val="window" lastClr="FFFFFF"/>
                </a:solidFill>
                <a:ln>
                  <a:noFill/>
                </a:ln>
                <a:effectLst>
                  <a:glow rad="63500">
                    <a:srgbClr val="C0504D">
                      <a:satMod val="175000"/>
                      <a:alpha val="40000"/>
                    </a:srgbClr>
                  </a:glow>
                  <a:outerShdw blurRad="50800" dist="50800" dir="5400000" algn="ctr" rotWithShape="0">
                    <a:sysClr val="window" lastClr="FFFFFF"/>
                  </a:outerShdw>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2-D944-4641-84A1-019DEB9E1653}"/>
                </c:ext>
              </c:extLst>
            </c:dLbl>
            <c:dLbl>
              <c:idx val="1"/>
              <c:tx>
                <c:rich>
                  <a:bodyPr/>
                  <a:lstStyle/>
                  <a:p>
                    <a:r>
                      <a:rPr lang="en-US"/>
                      <a:t>64,0%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D944-4641-84A1-019DEB9E1653}"/>
                </c:ext>
              </c:extLst>
            </c:dLbl>
            <c:dLbl>
              <c:idx val="2"/>
              <c:tx>
                <c:rich>
                  <a:bodyPr/>
                  <a:lstStyle/>
                  <a:p>
                    <a:r>
                      <a:rPr lang="en-US"/>
                      <a:t>58,1%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944-4641-84A1-019DEB9E1653}"/>
                </c:ext>
              </c:extLst>
            </c:dLbl>
            <c:dLbl>
              <c:idx val="3"/>
              <c:tx>
                <c:rich>
                  <a:bodyPr/>
                  <a:lstStyle/>
                  <a:p>
                    <a:r>
                      <a:rPr lang="en-US"/>
                      <a:t>59,2%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944-4641-84A1-019DEB9E1653}"/>
                </c:ext>
              </c:extLst>
            </c:dLbl>
            <c:dLbl>
              <c:idx val="4"/>
              <c:layout>
                <c:manualLayout>
                  <c:x val="1.3748539217707111E-3"/>
                  <c:y val="0"/>
                </c:manualLayout>
              </c:layout>
              <c:tx>
                <c:rich>
                  <a:bodyPr/>
                  <a:lstStyle/>
                  <a:p>
                    <a:r>
                      <a:rPr lang="en-US"/>
                      <a:t>61,2%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944-4641-84A1-019DEB9E1653}"/>
                </c:ext>
              </c:extLst>
            </c:dLbl>
            <c:dLbl>
              <c:idx val="5"/>
              <c:tx>
                <c:rich>
                  <a:bodyPr/>
                  <a:lstStyle/>
                  <a:p>
                    <a:r>
                      <a:rPr lang="en-US"/>
                      <a:t>56,2%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B8B-43FC-A17B-20203CACDF1E}"/>
                </c:ext>
              </c:extLst>
            </c:dLbl>
            <c:dLbl>
              <c:idx val="6"/>
              <c:tx>
                <c:rich>
                  <a:bodyPr/>
                  <a:lstStyle/>
                  <a:p>
                    <a:fld id="{F67D4FA8-C4D5-452C-97B2-1A9CBA9B63B3}"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{F67D4FA8-C4D5-452C-97B2-1A9CBA9B63B3}</c15:txfldGUID>
                      <c15:f>Sheet1!$H$7</c15:f>
                      <c15:dlblFieldTableCache>
                        <c:ptCount val="1"/>
                        <c:pt idx="0">
                          <c:v>55,2%</c:v>
                        </c:pt>
                      </c15:dlblFieldTableCache>
                    </c15:dlblFTEntry>
                  </c15:dlblFieldTable>
                  <c15:showDataLabelsRange val="0"/>
                </c:ext>
                <c:ext xmlns:c16="http://schemas.microsoft.com/office/drawing/2014/chart" uri="{C3380CC4-5D6E-409C-BE32-E72D297353CC}">
                  <c16:uniqueId val="{00000002-F1EC-476E-A606-6BCBDADE8107}"/>
                </c:ext>
              </c:extLst>
            </c:dLbl>
            <c:dLbl>
              <c:idx val="7"/>
              <c:tx>
                <c:rich>
                  <a:bodyPr/>
                  <a:lstStyle/>
                  <a:p>
                    <a:fld id="{4D811209-02D6-41DD-9A86-5C1C50741DDF}"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{4D811209-02D6-41DD-9A86-5C1C50741DDF}</c15:txfldGUID>
                      <c15:f>Sheet1!$I$7</c15:f>
                      <c15:dlblFieldTableCache>
                        <c:ptCount val="1"/>
                        <c:pt idx="0">
                          <c:v>58,1%</c:v>
                        </c:pt>
                      </c15:dlblFieldTableCache>
                    </c15:dlblFTEntry>
                  </c15:dlblFieldTable>
                  <c15:showDataLabelsRange val="0"/>
                </c:ext>
                <c:ext xmlns:c16="http://schemas.microsoft.com/office/drawing/2014/chart" uri="{C3380CC4-5D6E-409C-BE32-E72D297353CC}">
                  <c16:uniqueId val="{00000001-C7F1-4A79-8DF6-D56E6193B50D}"/>
                </c:ext>
              </c:extLst>
            </c:dLbl>
            <c:dLbl>
              <c:idx val="8"/>
              <c:tx>
                <c:rich>
                  <a:bodyPr/>
                  <a:lstStyle/>
                  <a:p>
                    <a:fld id="{239072FF-013C-45A9-B562-1416A5D36CAF}"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{239072FF-013C-45A9-B562-1416A5D36CAF}</c15:txfldGUID>
                      <c15:f>Sheet1!$J$7</c15:f>
                      <c15:dlblFieldTableCache>
                        <c:ptCount val="1"/>
                        <c:pt idx="0">
                          <c:v>58,8%</c:v>
                        </c:pt>
                      </c15:dlblFieldTableCache>
                    </c15:dlblFTEntry>
                  </c15:dlblFieldTable>
                  <c15:showDataLabelsRange val="0"/>
                </c:ext>
                <c:ext xmlns:c16="http://schemas.microsoft.com/office/drawing/2014/chart" uri="{C3380CC4-5D6E-409C-BE32-E72D297353CC}">
                  <c16:uniqueId val="{00000001-956B-49B6-90C7-911BFDA937C8}"/>
                </c:ext>
              </c:extLst>
            </c:dLbl>
            <c:dLbl>
              <c:idx val="9"/>
              <c:tx>
                <c:rich>
                  <a:bodyPr/>
                  <a:lstStyle/>
                  <a:p>
                    <a:fld id="{89D7BABF-D44A-4141-830C-27190FAD4732}"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{89D7BABF-D44A-4141-830C-27190FAD4732}</c15:txfldGUID>
                      <c15:f>Sheet1!$K$7</c15:f>
                      <c15:dlblFieldTableCache>
                        <c:ptCount val="1"/>
                        <c:pt idx="0">
                          <c:v>58,1%</c:v>
                        </c:pt>
                      </c15:dlblFieldTableCache>
                    </c15:dlblFTEntry>
                  </c15:dlblFieldTable>
                  <c15:showDataLabelsRange val="0"/>
                </c:ext>
                <c:ext xmlns:c16="http://schemas.microsoft.com/office/drawing/2014/chart" uri="{C3380CC4-5D6E-409C-BE32-E72D297353CC}">
                  <c16:uniqueId val="{00000001-BB07-4B14-A55B-0ABF7E801749}"/>
                </c:ext>
              </c:extLst>
            </c:dLbl>
            <c:dLbl>
              <c:idx val="10"/>
              <c:tx>
                <c:rich>
                  <a:bodyPr/>
                  <a:lstStyle/>
                  <a:p>
                    <a:fld id="{8B4F826F-A2D1-4138-AED5-3A81AFC791F3}"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{8B4F826F-A2D1-4138-AED5-3A81AFC791F3}</c15:txfldGUID>
                      <c15:f>Sheet1!$L$7</c15:f>
                      <c15:dlblFieldTableCache>
                        <c:ptCount val="1"/>
                        <c:pt idx="0">
                          <c:v>55,2%</c:v>
                        </c:pt>
                      </c15:dlblFieldTableCache>
                    </c15:dlblFTEntry>
                  </c15:dlblFieldTable>
                  <c15:showDataLabelsRange val="0"/>
                </c:ext>
                <c:ext xmlns:c16="http://schemas.microsoft.com/office/drawing/2014/chart" uri="{C3380CC4-5D6E-409C-BE32-E72D297353CC}">
                  <c16:uniqueId val="{00000001-3F05-4410-889A-A0F9212A10A4}"/>
                </c:ext>
              </c:extLst>
            </c:dLbl>
            <c:spPr>
              <a:solidFill>
                <a:sysClr val="window" lastClr="FFFFFF"/>
              </a:solidFill>
              <a:ln>
                <a:noFill/>
              </a:ln>
              <a:effectLst>
                <a:glow rad="63500">
                  <a:srgbClr val="C0504D">
                    <a:satMod val="175000"/>
                    <a:alpha val="40000"/>
                  </a:srgbClr>
                </a:glow>
                <a:outerShdw blurRad="50800" dist="50800" dir="5400000" algn="ctr" rotWithShape="0">
                  <a:sysClr val="window" lastClr="FFFFFF"/>
                </a:outerShdw>
              </a:effectLst>
            </c:spPr>
            <c:txPr>
              <a:bodyPr wrap="square" lIns="38100" tIns="19050" rIns="38100" bIns="19050" anchor="ctr">
                <a:spAutoFit/>
              </a:bodyPr>
              <a:lstStyle/>
              <a:p>
                <a:pPr>
                  <a:defRPr sz="700"/>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Sheet1!$B$1:$L$1</c:f>
              <c:strCache>
                <c:ptCount val="11"/>
                <c:pt idx="0">
                  <c:v>2015.</c:v>
                </c:pt>
                <c:pt idx="1">
                  <c:v>2016.</c:v>
                </c:pt>
                <c:pt idx="2">
                  <c:v>2017.</c:v>
                </c:pt>
                <c:pt idx="3">
                  <c:v>2018.</c:v>
                </c:pt>
                <c:pt idx="4">
                  <c:v>2019.</c:v>
                </c:pt>
                <c:pt idx="5">
                  <c:v> 2020.</c:v>
                </c:pt>
                <c:pt idx="6">
                  <c:v>2021.</c:v>
                </c:pt>
                <c:pt idx="7">
                  <c:v>2022.</c:v>
                </c:pt>
                <c:pt idx="8">
                  <c:v>2023.</c:v>
                </c:pt>
                <c:pt idx="9">
                  <c:v>2024.</c:v>
                </c:pt>
                <c:pt idx="10">
                  <c:v>2025.</c:v>
                </c:pt>
              </c:strCache>
            </c:strRef>
          </c:cat>
          <c:val>
            <c:numRef>
              <c:f>Sheet1!$B$2:$L$2</c:f>
              <c:numCache>
                <c:formatCode>#,##0.00</c:formatCode>
                <c:ptCount val="11"/>
                <c:pt idx="0">
                  <c:v>3329926.4715641383</c:v>
                </c:pt>
                <c:pt idx="1">
                  <c:v>4055929.5241887318</c:v>
                </c:pt>
                <c:pt idx="2">
                  <c:v>4015343.4202667726</c:v>
                </c:pt>
                <c:pt idx="3">
                  <c:v>4489438.0516291726</c:v>
                </c:pt>
                <c:pt idx="4">
                  <c:v>5324763.460083615</c:v>
                </c:pt>
                <c:pt idx="5">
                  <c:v>3642465.3951821616</c:v>
                </c:pt>
                <c:pt idx="6">
                  <c:v>3967186.2286813986</c:v>
                </c:pt>
                <c:pt idx="7">
                  <c:v>4708456.3222509781</c:v>
                </c:pt>
                <c:pt idx="8">
                  <c:v>5865062.7599999998</c:v>
                </c:pt>
                <c:pt idx="9">
                  <c:v>7012674.04</c:v>
                </c:pt>
                <c:pt idx="10">
                  <c:v>7631537.9900000002</c:v>
                </c:pt>
              </c:numCache>
            </c:numRef>
          </c:val>
          <c:extLst>
            <c:ext xmlns:c16="http://schemas.microsoft.com/office/drawing/2014/chart" uri="{C3380CC4-5D6E-409C-BE32-E72D297353CC}">
              <c16:uniqueId val="{00000000-D944-4641-84A1-019DEB9E1653}"/>
            </c:ext>
          </c:extLst>
        </c:ser>
        <c:ser>
          <c:idx val="1"/>
          <c:order val="1"/>
          <c:tx>
            <c:strRef>
              <c:f>Sheet1!$A$3</c:f>
              <c:strCache>
                <c:ptCount val="1"/>
                <c:pt idx="0">
                  <c:v>RASHODI PRORAČUNSKIH KORISNIKA</c:v>
                </c:pt>
              </c:strCache>
            </c:strRef>
          </c:tx>
          <c:spPr>
            <a:solidFill>
              <a:srgbClr val="993366"/>
            </a:solidFill>
            <a:ln w="7628">
              <a:solidFill>
                <a:srgbClr val="000000"/>
              </a:solidFill>
              <a:prstDash val="solid"/>
            </a:ln>
          </c:spPr>
          <c:invertIfNegative val="0"/>
          <c:dLbls>
            <c:dLbl>
              <c:idx val="0"/>
              <c:layout>
                <c:manualLayout>
                  <c:x val="0"/>
                  <c:y val="4.232804232804155E-3"/>
                </c:manualLayout>
              </c:layout>
              <c:tx>
                <c:rich>
                  <a:bodyPr/>
                  <a:lstStyle/>
                  <a:p>
                    <a:r>
                      <a:rPr lang="en-US"/>
                      <a:t>35,6%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D944-4641-84A1-019DEB9E1653}"/>
                </c:ext>
              </c:extLst>
            </c:dLbl>
            <c:dLbl>
              <c:idx val="1"/>
              <c:layout>
                <c:manualLayout>
                  <c:x val="2.7497078435416238E-3"/>
                  <c:y val="-4.2328042328042331E-3"/>
                </c:manualLayout>
              </c:layout>
              <c:tx>
                <c:rich>
                  <a:bodyPr/>
                  <a:lstStyle/>
                  <a:p>
                    <a:r>
                      <a:rPr lang="en-US"/>
                      <a:t>36,0%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D944-4641-84A1-019DEB9E1653}"/>
                </c:ext>
              </c:extLst>
            </c:dLbl>
            <c:dLbl>
              <c:idx val="2"/>
              <c:layout>
                <c:manualLayout>
                  <c:x val="-1.0082145623179372E-16"/>
                  <c:y val="-1.6931216931216932E-2"/>
                </c:manualLayout>
              </c:layout>
              <c:tx>
                <c:rich>
                  <a:bodyPr/>
                  <a:lstStyle/>
                  <a:p>
                    <a:r>
                      <a:rPr lang="en-US"/>
                      <a:t>41,9%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D944-4641-84A1-019DEB9E1653}"/>
                </c:ext>
              </c:extLst>
            </c:dLbl>
            <c:dLbl>
              <c:idx val="3"/>
              <c:layout>
                <c:manualLayout>
                  <c:x val="0"/>
                  <c:y val="8.4656084656084662E-3"/>
                </c:manualLayout>
              </c:layout>
              <c:tx>
                <c:rich>
                  <a:bodyPr/>
                  <a:lstStyle/>
                  <a:p>
                    <a:r>
                      <a:rPr lang="en-US"/>
                      <a:t>40,8%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D944-4641-84A1-019DEB9E1653}"/>
                </c:ext>
              </c:extLst>
            </c:dLbl>
            <c:dLbl>
              <c:idx val="4"/>
              <c:layout>
                <c:manualLayout>
                  <c:x val="0"/>
                  <c:y val="4.2328042328041941E-3"/>
                </c:manualLayout>
              </c:layout>
              <c:tx>
                <c:rich>
                  <a:bodyPr/>
                  <a:lstStyle/>
                  <a:p>
                    <a:r>
                      <a:rPr lang="en-US"/>
                      <a:t>38,8%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D944-4641-84A1-019DEB9E1653}"/>
                </c:ext>
              </c:extLst>
            </c:dLbl>
            <c:dLbl>
              <c:idx val="5"/>
              <c:layout>
                <c:manualLayout>
                  <c:x val="0"/>
                  <c:y val="-1.2698412698412698E-2"/>
                </c:manualLayout>
              </c:layout>
              <c:tx>
                <c:rich>
                  <a:bodyPr/>
                  <a:lstStyle/>
                  <a:p>
                    <a:r>
                      <a:rPr lang="en-US"/>
                      <a:t>43,8%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B8B-43FC-A17B-20203CACDF1E}"/>
                </c:ext>
              </c:extLst>
            </c:dLbl>
            <c:dLbl>
              <c:idx val="6"/>
              <c:tx>
                <c:rich>
                  <a:bodyPr/>
                  <a:lstStyle/>
                  <a:p>
                    <a:fld id="{3B4D5AAC-E6A8-444E-87FE-F3C8D47AEA24}"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{3B4D5AAC-E6A8-444E-87FE-F3C8D47AEA24}</c15:txfldGUID>
                      <c15:f>Sheet1!$H$8</c15:f>
                      <c15:dlblFieldTableCache>
                        <c:ptCount val="1"/>
                        <c:pt idx="0">
                          <c:v>44,8%</c:v>
                        </c:pt>
                      </c15:dlblFieldTableCache>
                    </c15:dlblFTEntry>
                  </c15:dlblFieldTable>
                  <c15:showDataLabelsRange val="0"/>
                </c:ext>
                <c:ext xmlns:c16="http://schemas.microsoft.com/office/drawing/2014/chart" uri="{C3380CC4-5D6E-409C-BE32-E72D297353CC}">
                  <c16:uniqueId val="{00000001-F1EC-476E-A606-6BCBDADE8107}"/>
                </c:ext>
              </c:extLst>
            </c:dLbl>
            <c:dLbl>
              <c:idx val="7"/>
              <c:tx>
                <c:rich>
                  <a:bodyPr/>
                  <a:lstStyle/>
                  <a:p>
                    <a:fld id="{06B12476-63C5-4759-8D60-ADEC56D111AC}"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{06B12476-63C5-4759-8D60-ADEC56D111AC}</c15:txfldGUID>
                      <c15:f>Sheet1!$I$8</c15:f>
                      <c15:dlblFieldTableCache>
                        <c:ptCount val="1"/>
                        <c:pt idx="0">
                          <c:v>41,9%</c:v>
                        </c:pt>
                      </c15:dlblFieldTableCache>
                    </c15:dlblFTEntry>
                  </c15:dlblFieldTable>
                  <c15:showDataLabelsRange val="0"/>
                </c:ext>
                <c:ext xmlns:c16="http://schemas.microsoft.com/office/drawing/2014/chart" uri="{C3380CC4-5D6E-409C-BE32-E72D297353CC}">
                  <c16:uniqueId val="{00000000-C7F1-4A79-8DF6-D56E6193B50D}"/>
                </c:ext>
              </c:extLst>
            </c:dLbl>
            <c:dLbl>
              <c:idx val="8"/>
              <c:tx>
                <c:rich>
                  <a:bodyPr/>
                  <a:lstStyle/>
                  <a:p>
                    <a:fld id="{C148CA40-3E1E-4DE5-9692-C1B5FD63AE6E}"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{C148CA40-3E1E-4DE5-9692-C1B5FD63AE6E}</c15:txfldGUID>
                      <c15:f>Sheet1!$J$8</c15:f>
                      <c15:dlblFieldTableCache>
                        <c:ptCount val="1"/>
                        <c:pt idx="0">
                          <c:v>41,2%</c:v>
                        </c:pt>
                      </c15:dlblFieldTableCache>
                    </c15:dlblFTEntry>
                  </c15:dlblFieldTable>
                  <c15:showDataLabelsRange val="0"/>
                </c:ext>
                <c:ext xmlns:c16="http://schemas.microsoft.com/office/drawing/2014/chart" uri="{C3380CC4-5D6E-409C-BE32-E72D297353CC}">
                  <c16:uniqueId val="{00000000-956B-49B6-90C7-911BFDA937C8}"/>
                </c:ext>
              </c:extLst>
            </c:dLbl>
            <c:dLbl>
              <c:idx val="9"/>
              <c:tx>
                <c:rich>
                  <a:bodyPr/>
                  <a:lstStyle/>
                  <a:p>
                    <a:fld id="{C5EBDF62-E9EC-473F-B83A-BAF186028362}"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{C5EBDF62-E9EC-473F-B83A-BAF186028362}</c15:txfldGUID>
                      <c15:f>Sheet1!$K$8</c15:f>
                      <c15:dlblFieldTableCache>
                        <c:ptCount val="1"/>
                        <c:pt idx="0">
                          <c:v>41,9%</c:v>
                        </c:pt>
                      </c15:dlblFieldTableCache>
                    </c15:dlblFTEntry>
                  </c15:dlblFieldTable>
                  <c15:showDataLabelsRange val="0"/>
                </c:ext>
                <c:ext xmlns:c16="http://schemas.microsoft.com/office/drawing/2014/chart" uri="{C3380CC4-5D6E-409C-BE32-E72D297353CC}">
                  <c16:uniqueId val="{00000000-BB07-4B14-A55B-0ABF7E801749}"/>
                </c:ext>
              </c:extLst>
            </c:dLbl>
            <c:dLbl>
              <c:idx val="10"/>
              <c:tx>
                <c:rich>
                  <a:bodyPr/>
                  <a:lstStyle/>
                  <a:p>
                    <a:fld id="{0B204057-BFB1-4F16-B479-E3FA67409AA8}"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{0B204057-BFB1-4F16-B479-E3FA67409AA8}</c15:txfldGUID>
                      <c15:f>Sheet1!$L$8</c15:f>
                      <c15:dlblFieldTableCache>
                        <c:ptCount val="1"/>
                        <c:pt idx="0">
                          <c:v>44,8%</c:v>
                        </c:pt>
                      </c15:dlblFieldTableCache>
                    </c15:dlblFTEntry>
                  </c15:dlblFieldTable>
                  <c15:showDataLabelsRange val="0"/>
                </c:ext>
                <c:ext xmlns:c16="http://schemas.microsoft.com/office/drawing/2014/chart" uri="{C3380CC4-5D6E-409C-BE32-E72D297353CC}">
                  <c16:uniqueId val="{00000000-3F05-4410-889A-A0F9212A10A4}"/>
                </c:ext>
              </c:extLst>
            </c:dLbl>
            <c:spPr>
              <a:solidFill>
                <a:sysClr val="window" lastClr="FFFFFF"/>
              </a:solidFill>
              <a:ln>
                <a:noFill/>
              </a:ln>
              <a:effectLst/>
            </c:spPr>
            <c:txPr>
              <a:bodyPr wrap="square" lIns="38100" tIns="19050" rIns="38100" bIns="19050" anchor="ctr">
                <a:spAutoFit/>
              </a:bodyPr>
              <a:lstStyle/>
              <a:p>
                <a:pPr>
                  <a:defRPr sz="700"/>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Sheet1!$B$1:$L$1</c:f>
              <c:strCache>
                <c:ptCount val="11"/>
                <c:pt idx="0">
                  <c:v>2015.</c:v>
                </c:pt>
                <c:pt idx="1">
                  <c:v>2016.</c:v>
                </c:pt>
                <c:pt idx="2">
                  <c:v>2017.</c:v>
                </c:pt>
                <c:pt idx="3">
                  <c:v>2018.</c:v>
                </c:pt>
                <c:pt idx="4">
                  <c:v>2019.</c:v>
                </c:pt>
                <c:pt idx="5">
                  <c:v> 2020.</c:v>
                </c:pt>
                <c:pt idx="6">
                  <c:v>2021.</c:v>
                </c:pt>
                <c:pt idx="7">
                  <c:v>2022.</c:v>
                </c:pt>
                <c:pt idx="8">
                  <c:v>2023.</c:v>
                </c:pt>
                <c:pt idx="9">
                  <c:v>2024.</c:v>
                </c:pt>
                <c:pt idx="10">
                  <c:v>2025.</c:v>
                </c:pt>
              </c:strCache>
            </c:strRef>
          </c:cat>
          <c:val>
            <c:numRef>
              <c:f>Sheet1!$B$3:$L$3</c:f>
              <c:numCache>
                <c:formatCode>#,##0.00</c:formatCode>
                <c:ptCount val="11"/>
                <c:pt idx="0">
                  <c:v>1836954.276992501</c:v>
                </c:pt>
                <c:pt idx="1">
                  <c:v>2284034.5079301875</c:v>
                </c:pt>
                <c:pt idx="2">
                  <c:v>2901639.7902979627</c:v>
                </c:pt>
                <c:pt idx="3">
                  <c:v>3097678.2799124029</c:v>
                </c:pt>
                <c:pt idx="4">
                  <c:v>3372280.6105249189</c:v>
                </c:pt>
                <c:pt idx="5">
                  <c:v>2837580.9197690622</c:v>
                </c:pt>
                <c:pt idx="6">
                  <c:v>3213601.4095162251</c:v>
                </c:pt>
                <c:pt idx="7">
                  <c:v>3396198.8718561279</c:v>
                </c:pt>
                <c:pt idx="8">
                  <c:v>4108598.61</c:v>
                </c:pt>
                <c:pt idx="9">
                  <c:v>5064250.96</c:v>
                </c:pt>
                <c:pt idx="10">
                  <c:v>6182062.5899999999</c:v>
                </c:pt>
              </c:numCache>
            </c:numRef>
          </c:val>
          <c:extLst>
            <c:ext xmlns:c16="http://schemas.microsoft.com/office/drawing/2014/chart" uri="{C3380CC4-5D6E-409C-BE32-E72D297353CC}">
              <c16:uniqueId val="{00000001-D944-4641-84A1-019DEB9E1653}"/>
            </c:ext>
          </c:extLst>
        </c:ser>
        <c:dLbls>
          <c:showLegendKey val="0"/>
          <c:showVal val="0"/>
          <c:showCatName val="0"/>
          <c:showSerName val="0"/>
          <c:showPercent val="0"/>
          <c:showBubbleSize val="0"/>
        </c:dLbls>
        <c:gapWidth val="150"/>
        <c:overlap val="100"/>
        <c:axId val="1135113728"/>
        <c:axId val="1354710336"/>
      </c:barChart>
      <c:catAx>
        <c:axId val="1135113728"/>
        <c:scaling>
          <c:orientation val="minMax"/>
        </c:scaling>
        <c:delete val="0"/>
        <c:axPos val="b"/>
        <c:title>
          <c:tx>
            <c:rich>
              <a:bodyPr/>
              <a:lstStyle/>
              <a:p>
                <a:pPr>
                  <a:defRPr/>
                </a:pPr>
                <a:r>
                  <a:rPr lang="en-GB" sz="1000"/>
                  <a:t>godina</a:t>
                </a:r>
              </a:p>
            </c:rich>
          </c:tx>
          <c:layout>
            <c:manualLayout>
              <c:xMode val="edge"/>
              <c:yMode val="edge"/>
              <c:x val="0.43027421083367023"/>
              <c:y val="0.92871785224799119"/>
            </c:manualLayout>
          </c:layout>
          <c:overlay val="0"/>
          <c:spPr>
            <a:noFill/>
            <a:ln w="15257">
              <a:noFill/>
            </a:ln>
          </c:spPr>
        </c:title>
        <c:numFmt formatCode="General" sourceLinked="1"/>
        <c:majorTickMark val="out"/>
        <c:minorTickMark val="none"/>
        <c:tickLblPos val="low"/>
        <c:spPr>
          <a:ln w="1907">
            <a:solidFill>
              <a:srgbClr val="000000"/>
            </a:solidFill>
            <a:prstDash val="solid"/>
          </a:ln>
        </c:spPr>
        <c:txPr>
          <a:bodyPr rot="-5400000" vert="horz"/>
          <a:lstStyle/>
          <a:p>
            <a:pPr>
              <a:defRPr/>
            </a:pPr>
            <a:endParaRPr lang="sr-Latn-RS"/>
          </a:p>
        </c:txPr>
        <c:crossAx val="1354710336"/>
        <c:crossesAt val="90000000"/>
        <c:auto val="1"/>
        <c:lblAlgn val="ctr"/>
        <c:lblOffset val="100"/>
        <c:tickLblSkip val="1"/>
        <c:tickMarkSkip val="1"/>
        <c:noMultiLvlLbl val="0"/>
      </c:catAx>
      <c:valAx>
        <c:axId val="1354710336"/>
        <c:scaling>
          <c:orientation val="minMax"/>
        </c:scaling>
        <c:delete val="0"/>
        <c:axPos val="l"/>
        <c:majorGridlines/>
        <c:title>
          <c:tx>
            <c:rich>
              <a:bodyPr/>
              <a:lstStyle/>
              <a:p>
                <a:pPr>
                  <a:defRPr sz="900"/>
                </a:pPr>
                <a:r>
                  <a:rPr lang="en-GB" sz="900"/>
                  <a:t>iznos proračuna</a:t>
                </a:r>
                <a:r>
                  <a:rPr lang="hr-HR" sz="900"/>
                  <a:t> (</a:t>
                </a:r>
                <a:r>
                  <a:rPr lang="hr-HR" sz="900" b="1" i="0" u="none" strike="noStrike" kern="1200" baseline="0">
                    <a:solidFill>
                      <a:srgbClr val="000000"/>
                    </a:solidFill>
                    <a:latin typeface="Calibri"/>
                    <a:cs typeface="Calibri"/>
                  </a:rPr>
                  <a:t>€</a:t>
                </a:r>
                <a:r>
                  <a:rPr lang="hr-HR" sz="900"/>
                  <a:t>)</a:t>
                </a:r>
                <a:endParaRPr lang="en-GB" sz="900"/>
              </a:p>
            </c:rich>
          </c:tx>
          <c:layout>
            <c:manualLayout>
              <c:xMode val="edge"/>
              <c:yMode val="edge"/>
              <c:x val="3.6580207841105855E-2"/>
              <c:y val="0.25622763821189021"/>
            </c:manualLayout>
          </c:layout>
          <c:overlay val="0"/>
          <c:spPr>
            <a:noFill/>
            <a:ln w="15257">
              <a:noFill/>
            </a:ln>
          </c:spPr>
        </c:title>
        <c:numFmt formatCode="#,##0" sourceLinked="0"/>
        <c:majorTickMark val="out"/>
        <c:minorTickMark val="none"/>
        <c:tickLblPos val="nextTo"/>
        <c:spPr>
          <a:ln w="1907">
            <a:solidFill>
              <a:srgbClr val="000000"/>
            </a:solidFill>
            <a:prstDash val="solid"/>
          </a:ln>
        </c:spPr>
        <c:txPr>
          <a:bodyPr rot="0" vert="horz"/>
          <a:lstStyle/>
          <a:p>
            <a:pPr>
              <a:defRPr/>
            </a:pPr>
            <a:endParaRPr lang="sr-Latn-RS"/>
          </a:p>
        </c:txPr>
        <c:crossAx val="1135113728"/>
        <c:crosses val="autoZero"/>
        <c:crossBetween val="between"/>
      </c:valAx>
      <c:dTable>
        <c:showHorzBorder val="1"/>
        <c:showVertBorder val="1"/>
        <c:showOutline val="1"/>
        <c:showKeys val="1"/>
        <c:txPr>
          <a:bodyPr/>
          <a:lstStyle/>
          <a:p>
            <a:pPr rtl="0">
              <a:defRPr sz="700" baseline="0"/>
            </a:pPr>
            <a:endParaRPr lang="sr-Latn-RS"/>
          </a:p>
        </c:txPr>
      </c:dTable>
      <c:spPr>
        <a:solidFill>
          <a:srgbClr val="EEECE1"/>
        </a:solidFill>
        <a:ln w="7628">
          <a:solidFill>
            <a:srgbClr val="808080"/>
          </a:solidFill>
          <a:prstDash val="solid"/>
        </a:ln>
      </c:spPr>
    </c:plotArea>
    <c:legend>
      <c:legendPos val="r"/>
      <c:layout>
        <c:manualLayout>
          <c:xMode val="edge"/>
          <c:yMode val="edge"/>
          <c:x val="0.84297111345305376"/>
          <c:y val="0.26955697204516105"/>
          <c:w val="0.1051061749885925"/>
          <c:h val="0.50283231660888805"/>
        </c:manualLayout>
      </c:layout>
      <c:overlay val="0"/>
      <c:spPr>
        <a:noFill/>
        <a:ln w="1907">
          <a:solidFill>
            <a:srgbClr val="000000"/>
          </a:solidFill>
          <a:prstDash val="solid"/>
        </a:ln>
      </c:sp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sr-Latn-R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Struktura rashoda </a:t>
            </a:r>
            <a:r>
              <a:rPr lang="hr-HR"/>
              <a:t>za zaposlene (31)</a:t>
            </a:r>
            <a:r>
              <a:rPr lang="hr-HR" baseline="0"/>
              <a:t> za razdoblje </a:t>
            </a:r>
            <a:r>
              <a:rPr lang="en-GB"/>
              <a:t>2015.-</a:t>
            </a:r>
            <a:r>
              <a:rPr lang="hr-HR"/>
              <a:t>20</a:t>
            </a:r>
            <a:r>
              <a:rPr lang="en-US"/>
              <a:t>2</a:t>
            </a:r>
            <a:r>
              <a:rPr lang="hr-HR"/>
              <a:t>5., </a:t>
            </a:r>
            <a:r>
              <a:rPr lang="en-GB"/>
              <a:t>Općina i </a:t>
            </a:r>
            <a:r>
              <a:rPr lang="hr-HR"/>
              <a:t>PK</a:t>
            </a:r>
            <a:endParaRPr lang="en-GB"/>
          </a:p>
        </c:rich>
      </c:tx>
      <c:layout>
        <c:manualLayout>
          <c:xMode val="edge"/>
          <c:yMode val="edge"/>
          <c:x val="0.30588437632445792"/>
          <c:y val="5.9269961895291913E-2"/>
        </c:manualLayout>
      </c:layout>
      <c:overlay val="0"/>
      <c:spPr>
        <a:noFill/>
        <a:ln w="15257">
          <a:noFill/>
        </a:ln>
      </c:spPr>
    </c:title>
    <c:autoTitleDeleted val="0"/>
    <c:plotArea>
      <c:layout>
        <c:manualLayout>
          <c:layoutTarget val="inner"/>
          <c:xMode val="edge"/>
          <c:yMode val="edge"/>
          <c:x val="0.14626392221646106"/>
          <c:y val="0.1775448977968663"/>
          <c:w val="0.67317154831728043"/>
          <c:h val="0.54757337151037944"/>
        </c:manualLayout>
      </c:layout>
      <c:barChart>
        <c:barDir val="col"/>
        <c:grouping val="stacked"/>
        <c:varyColors val="0"/>
        <c:ser>
          <c:idx val="0"/>
          <c:order val="0"/>
          <c:tx>
            <c:strRef>
              <c:f>Sheet1!$A$2</c:f>
              <c:strCache>
                <c:ptCount val="1"/>
                <c:pt idx="0">
                  <c:v>RASHODI OPĆINE </c:v>
                </c:pt>
              </c:strCache>
            </c:strRef>
          </c:tx>
          <c:spPr>
            <a:pattFill prst="pct75">
              <a:fgClr>
                <a:srgbClr val="9999FF"/>
              </a:fgClr>
              <a:bgClr>
                <a:sysClr val="window" lastClr="FFFFFF"/>
              </a:bgClr>
            </a:pattFill>
            <a:ln w="7628">
              <a:solidFill>
                <a:srgbClr val="000000"/>
              </a:solidFill>
              <a:prstDash val="solid"/>
            </a:ln>
          </c:spPr>
          <c:invertIfNegative val="0"/>
          <c:dLbls>
            <c:dLbl>
              <c:idx val="0"/>
              <c:layout>
                <c:manualLayout>
                  <c:x val="1.1044384620694415E-2"/>
                  <c:y val="-1.48146436747869E-16"/>
                </c:manualLayout>
              </c:layout>
              <c:tx>
                <c:rich>
                  <a:bodyPr wrap="square" lIns="38100" tIns="19050" rIns="38100" bIns="19050" anchor="ctr">
                    <a:noAutofit/>
                  </a:bodyPr>
                  <a:lstStyle/>
                  <a:p>
                    <a:pPr>
                      <a:defRPr sz="700"/>
                    </a:pPr>
                    <a:r>
                      <a:rPr lang="en-US" sz="700"/>
                      <a:t>25,4%</a:t>
                    </a: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0-F1F0-447D-AC6F-6121D3FE957E}"/>
                </c:ext>
              </c:extLst>
            </c:dLbl>
            <c:dLbl>
              <c:idx val="1"/>
              <c:layout>
                <c:manualLayout>
                  <c:x val="1.2424932698281217E-2"/>
                  <c:y val="0"/>
                </c:manualLayout>
              </c:layout>
              <c:tx>
                <c:rich>
                  <a:bodyPr/>
                  <a:lstStyle/>
                  <a:p>
                    <a:r>
                      <a:rPr lang="en-US"/>
                      <a:t>22,1%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1F0-447D-AC6F-6121D3FE957E}"/>
                </c:ext>
              </c:extLst>
            </c:dLbl>
            <c:dLbl>
              <c:idx val="2"/>
              <c:layout>
                <c:manualLayout>
                  <c:x val="1.3805480775868019E-2"/>
                  <c:y val="0"/>
                </c:manualLayout>
              </c:layout>
              <c:tx>
                <c:rich>
                  <a:bodyPr/>
                  <a:lstStyle/>
                  <a:p>
                    <a:r>
                      <a:rPr lang="en-US"/>
                      <a:t>19,3%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1F0-447D-AC6F-6121D3FE957E}"/>
                </c:ext>
              </c:extLst>
            </c:dLbl>
            <c:dLbl>
              <c:idx val="3"/>
              <c:layout>
                <c:manualLayout>
                  <c:x val="9.663836543107613E-3"/>
                  <c:y val="0"/>
                </c:manualLayout>
              </c:layout>
              <c:tx>
                <c:rich>
                  <a:bodyPr/>
                  <a:lstStyle/>
                  <a:p>
                    <a:r>
                      <a:rPr lang="en-US"/>
                      <a:t>21,1%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1F0-447D-AC6F-6121D3FE957E}"/>
                </c:ext>
              </c:extLst>
            </c:dLbl>
            <c:dLbl>
              <c:idx val="4"/>
              <c:layout>
                <c:manualLayout>
                  <c:x val="4.1245617653124355E-3"/>
                  <c:y val="0"/>
                </c:manualLayout>
              </c:layout>
              <c:tx>
                <c:rich>
                  <a:bodyPr/>
                  <a:lstStyle/>
                  <a:p>
                    <a:r>
                      <a:rPr lang="en-US"/>
                      <a:t>20,4%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1F0-447D-AC6F-6121D3FE957E}"/>
                </c:ext>
              </c:extLst>
            </c:dLbl>
            <c:dLbl>
              <c:idx val="5"/>
              <c:layout>
                <c:manualLayout>
                  <c:x val="9.663836543107613E-3"/>
                  <c:y val="-1.48146436747869E-16"/>
                </c:manualLayout>
              </c:layout>
              <c:tx>
                <c:rich>
                  <a:bodyPr/>
                  <a:lstStyle/>
                  <a:p>
                    <a:r>
                      <a:rPr lang="en-US"/>
                      <a:t>18,4%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833-443B-A262-861C7183D863}"/>
                </c:ext>
              </c:extLst>
            </c:dLbl>
            <c:dLbl>
              <c:idx val="6"/>
              <c:layout>
                <c:manualLayout>
                  <c:x val="1.1119988651242474E-2"/>
                  <c:y val="-4.6892547522469526E-3"/>
                </c:manualLayout>
              </c:layout>
              <c:tx>
                <c:rich>
                  <a:bodyPr wrap="square" lIns="38100" tIns="19050" rIns="38100" bIns="19050" anchor="ctr">
                    <a:noAutofit/>
                  </a:bodyPr>
                  <a:lstStyle/>
                  <a:p>
                    <a:pPr>
                      <a:defRPr sz="700"/>
                    </a:pPr>
                    <a:r>
                      <a:rPr lang="en-US"/>
                      <a:t>18,5%</a:t>
                    </a: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3.3416069782284945E-2"/>
                      <c:h val="3.5381192825691632E-2"/>
                    </c:manualLayout>
                  </c15:layout>
                  <c15:showDataLabelsRange val="0"/>
                </c:ext>
                <c:ext xmlns:c16="http://schemas.microsoft.com/office/drawing/2014/chart" uri="{C3380CC4-5D6E-409C-BE32-E72D297353CC}">
                  <c16:uniqueId val="{00000002-D81D-4F9C-88CF-BF250D22695D}"/>
                </c:ext>
              </c:extLst>
            </c:dLbl>
            <c:dLbl>
              <c:idx val="7"/>
              <c:layout>
                <c:manualLayout>
                  <c:x val="1.2424932698281217E-2"/>
                  <c:y val="-6.6006600660066814E-3"/>
                </c:manualLayout>
              </c:layout>
              <c:tx>
                <c:rich>
                  <a:bodyPr wrap="square" lIns="38100" tIns="19050" rIns="38100" bIns="19050" anchor="ctr">
                    <a:noAutofit/>
                  </a:bodyPr>
                  <a:lstStyle/>
                  <a:p>
                    <a:pPr>
                      <a:defRPr sz="700"/>
                    </a:pPr>
                    <a:fld id="{190285E0-3A08-436B-829A-289FB0E8F35D}" type="CELLREF">
                      <a:rPr lang="en-US"/>
                      <a:pPr>
                        <a:defRPr sz="700"/>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3.2525712707945055E-2"/>
                      <c:h val="3.7601933421688626E-2"/>
                    </c:manualLayout>
                  </c15:layout>
                  <c15:dlblFieldTable>
                    <c15:dlblFTEntry>
                      <c15:txfldGUID>{190285E0-3A08-436B-829A-289FB0E8F35D}</c15:txfldGUID>
                      <c15:f>Sheet1!$I$7</c15:f>
                      <c15:dlblFieldTableCache>
                        <c:ptCount val="1"/>
                        <c:pt idx="0">
                          <c:v>17,4%</c:v>
                        </c:pt>
                      </c15:dlblFieldTableCache>
                    </c15:dlblFTEntry>
                  </c15:dlblFieldTable>
                  <c15:showDataLabelsRange val="0"/>
                </c:ext>
                <c:ext xmlns:c16="http://schemas.microsoft.com/office/drawing/2014/chart" uri="{C3380CC4-5D6E-409C-BE32-E72D297353CC}">
                  <c16:uniqueId val="{00000001-3D39-45F5-8A9F-BDBF8C393EEC}"/>
                </c:ext>
              </c:extLst>
            </c:dLbl>
            <c:dLbl>
              <c:idx val="8"/>
              <c:layout>
                <c:manualLayout>
                  <c:x val="6.902794740220531E-3"/>
                  <c:y val="8.8008800880088021E-3"/>
                </c:manualLayout>
              </c:layout>
              <c:tx>
                <c:rich>
                  <a:bodyPr wrap="square" lIns="38100" tIns="19050" rIns="38100" bIns="19050" anchor="ctr">
                    <a:noAutofit/>
                  </a:bodyPr>
                  <a:lstStyle/>
                  <a:p>
                    <a:pPr>
                      <a:defRPr sz="700"/>
                    </a:pPr>
                    <a:fld id="{1183E912-0CB7-48EB-AD42-C1ABCCA77D8F}" type="CELLREF">
                      <a:rPr lang="en-US"/>
                      <a:pPr>
                        <a:defRPr sz="700"/>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3.6667356940705463E-2"/>
                      <c:h val="5.520369359770623E-2"/>
                    </c:manualLayout>
                  </c15:layout>
                  <c15:dlblFieldTable>
                    <c15:dlblFTEntry>
                      <c15:txfldGUID>{1183E912-0CB7-48EB-AD42-C1ABCCA77D8F}</c15:txfldGUID>
                      <c15:f>Sheet1!$J$7</c15:f>
                      <c15:dlblFieldTableCache>
                        <c:ptCount val="1"/>
                        <c:pt idx="0">
                          <c:v>18,3%</c:v>
                        </c:pt>
                      </c15:dlblFieldTableCache>
                    </c15:dlblFTEntry>
                  </c15:dlblFieldTable>
                  <c15:showDataLabelsRange val="0"/>
                </c:ext>
                <c:ext xmlns:c16="http://schemas.microsoft.com/office/drawing/2014/chart" uri="{C3380CC4-5D6E-409C-BE32-E72D297353CC}">
                  <c16:uniqueId val="{00000001-A930-4C48-B681-B344A7A8B16D}"/>
                </c:ext>
              </c:extLst>
            </c:dLbl>
            <c:dLbl>
              <c:idx val="9"/>
              <c:layout>
                <c:manualLayout>
                  <c:x val="8.2832884655207103E-3"/>
                  <c:y val="0"/>
                </c:manualLayout>
              </c:layout>
              <c:tx>
                <c:rich>
                  <a:bodyPr wrap="square" lIns="38100" tIns="19050" rIns="38100" bIns="19050" anchor="ctr">
                    <a:noAutofit/>
                  </a:bodyPr>
                  <a:lstStyle/>
                  <a:p>
                    <a:pPr>
                      <a:defRPr sz="700"/>
                    </a:pPr>
                    <a:fld id="{F4D3BF93-D92C-4DEF-99AB-6971ED590E9F}" type="CELLREF">
                      <a:rPr lang="en-US"/>
                      <a:pPr>
                        <a:defRPr sz="700"/>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3.2525712707945055E-2"/>
                      <c:h val="3.4525411596277741E-2"/>
                    </c:manualLayout>
                  </c15:layout>
                  <c15:dlblFieldTable>
                    <c15:dlblFTEntry>
                      <c15:txfldGUID>{F4D3BF93-D92C-4DEF-99AB-6971ED590E9F}</c15:txfldGUID>
                      <c15:f>Sheet1!$K$7</c15:f>
                      <c15:dlblFieldTableCache>
                        <c:ptCount val="1"/>
                        <c:pt idx="0">
                          <c:v>18,2%</c:v>
                        </c:pt>
                      </c15:dlblFieldTableCache>
                    </c15:dlblFTEntry>
                  </c15:dlblFieldTable>
                  <c15:showDataLabelsRange val="0"/>
                </c:ext>
                <c:ext xmlns:c16="http://schemas.microsoft.com/office/drawing/2014/chart" uri="{C3380CC4-5D6E-409C-BE32-E72D297353CC}">
                  <c16:uniqueId val="{00000001-1B21-4682-BF12-06635DE43B7B}"/>
                </c:ext>
              </c:extLst>
            </c:dLbl>
            <c:dLbl>
              <c:idx val="10"/>
              <c:layout>
                <c:manualLayout>
                  <c:x val="1.3805480775868019E-2"/>
                  <c:y val="-1.2121212121212269E-2"/>
                </c:manualLayout>
              </c:layout>
              <c:tx>
                <c:rich>
                  <a:bodyPr/>
                  <a:lstStyle/>
                  <a:p>
                    <a:fld id="{97832E33-7595-4CCA-B1E9-4C5918F3D80B}"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{97832E33-7595-4CCA-B1E9-4C5918F3D80B}</c15:txfldGUID>
                      <c15:f>Sheet1!$L$7</c15:f>
                      <c15:dlblFieldTableCache>
                        <c:ptCount val="1"/>
                        <c:pt idx="0">
                          <c:v>16,5%</c:v>
                        </c:pt>
                      </c15:dlblFieldTableCache>
                    </c15:dlblFTEntry>
                  </c15:dlblFieldTable>
                  <c15:showDataLabelsRange val="0"/>
                </c:ext>
                <c:ext xmlns:c16="http://schemas.microsoft.com/office/drawing/2014/chart" uri="{C3380CC4-5D6E-409C-BE32-E72D297353CC}">
                  <c16:uniqueId val="{00000001-EDCC-4C63-9DCD-91BDB6A5F41B}"/>
                </c:ext>
              </c:extLst>
            </c:dLbl>
            <c:spPr>
              <a:solidFill>
                <a:sysClr val="window" lastClr="FFFFFF"/>
              </a:solidFill>
              <a:ln>
                <a:noFill/>
              </a:ln>
              <a:effectLst/>
            </c:spPr>
            <c:txPr>
              <a:bodyPr wrap="square" lIns="38100" tIns="19050" rIns="38100" bIns="19050" anchor="ctr">
                <a:spAutoFit/>
              </a:bodyPr>
              <a:lstStyle/>
              <a:p>
                <a:pPr>
                  <a:defRPr sz="700"/>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Sheet1!$B$1:$L$1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Sheet1!$B$2:$L$2</c:f>
              <c:numCache>
                <c:formatCode>#,##0.00</c:formatCode>
                <c:ptCount val="11"/>
                <c:pt idx="0">
                  <c:v>453811.73402349197</c:v>
                </c:pt>
                <c:pt idx="1">
                  <c:v>455121.27413896081</c:v>
                </c:pt>
                <c:pt idx="2">
                  <c:v>478033.54170814255</c:v>
                </c:pt>
                <c:pt idx="3">
                  <c:v>598361.52763952478</c:v>
                </c:pt>
                <c:pt idx="4">
                  <c:v>610950.97086734348</c:v>
                </c:pt>
                <c:pt idx="5">
                  <c:v>464925.62744707678</c:v>
                </c:pt>
                <c:pt idx="6">
                  <c:v>549410.6894949897</c:v>
                </c:pt>
                <c:pt idx="7">
                  <c:v>513425.21467914258</c:v>
                </c:pt>
                <c:pt idx="8">
                  <c:v>669196.43000000005</c:v>
                </c:pt>
                <c:pt idx="9">
                  <c:v>872888.16</c:v>
                </c:pt>
                <c:pt idx="10">
                  <c:v>963055.75</c:v>
                </c:pt>
              </c:numCache>
            </c:numRef>
          </c:val>
          <c:extLst>
            <c:ext xmlns:c16="http://schemas.microsoft.com/office/drawing/2014/chart" uri="{C3380CC4-5D6E-409C-BE32-E72D297353CC}">
              <c16:uniqueId val="{00000005-F1F0-447D-AC6F-6121D3FE957E}"/>
            </c:ext>
          </c:extLst>
        </c:ser>
        <c:ser>
          <c:idx val="1"/>
          <c:order val="1"/>
          <c:tx>
            <c:strRef>
              <c:f>Sheet1!$A$3</c:f>
              <c:strCache>
                <c:ptCount val="1"/>
                <c:pt idx="0">
                  <c:v>RASHODI PRORAČUNSKIH KORISNIKA</c:v>
                </c:pt>
              </c:strCache>
            </c:strRef>
          </c:tx>
          <c:spPr>
            <a:solidFill>
              <a:srgbClr val="993366"/>
            </a:solidFill>
            <a:ln w="7628">
              <a:solidFill>
                <a:srgbClr val="000000"/>
              </a:solidFill>
              <a:prstDash val="solid"/>
            </a:ln>
          </c:spPr>
          <c:invertIfNegative val="0"/>
          <c:dLbls>
            <c:dLbl>
              <c:idx val="0"/>
              <c:layout>
                <c:manualLayout>
                  <c:x val="2.1276203675731939E-3"/>
                  <c:y val="-3.2306541987058179E-2"/>
                </c:manualLayout>
              </c:layout>
              <c:tx>
                <c:rich>
                  <a:bodyPr wrap="square" lIns="38100" tIns="19050" rIns="38100" bIns="19050" anchor="ctr">
                    <a:noAutofit/>
                  </a:bodyPr>
                  <a:lstStyle/>
                  <a:p>
                    <a:pPr>
                      <a:defRPr sz="700"/>
                    </a:pPr>
                    <a:r>
                      <a:rPr lang="en-US" sz="700"/>
                      <a:t>74,6%</a:t>
                    </a:r>
                  </a:p>
                </c:rich>
              </c:tx>
              <c:spPr>
                <a:solidFill>
                  <a:sysClr val="window" lastClr="FFFFFF"/>
                </a:solidFill>
                <a:ln>
                  <a:noFill/>
                </a:ln>
                <a:effectLst>
                  <a:outerShdw blurRad="50800" dist="38100" dir="5400000" algn="t" rotWithShape="0">
                    <a:prstClr val="black">
                      <a:alpha val="40000"/>
                    </a:prstClr>
                  </a:outerShdw>
                </a:effectLst>
              </c:spPr>
              <c:showLegendKey val="0"/>
              <c:showVal val="1"/>
              <c:showCatName val="0"/>
              <c:showSerName val="0"/>
              <c:showPercent val="0"/>
              <c:showBubbleSize val="0"/>
              <c:extLst>
                <c:ext xmlns:c15="http://schemas.microsoft.com/office/drawing/2012/chart" uri="{CE6537A1-D6FC-4f65-9D91-7224C49458BB}">
                  <c15:layout>
                    <c:manualLayout>
                      <c:w val="3.4160753662972471E-2"/>
                      <c:h val="6.536079238629755E-2"/>
                    </c:manualLayout>
                  </c15:layout>
                  <c15:showDataLabelsRange val="0"/>
                </c:ext>
                <c:ext xmlns:c16="http://schemas.microsoft.com/office/drawing/2014/chart" uri="{C3380CC4-5D6E-409C-BE32-E72D297353CC}">
                  <c16:uniqueId val="{00000006-F1F0-447D-AC6F-6121D3FE957E}"/>
                </c:ext>
              </c:extLst>
            </c:dLbl>
            <c:dLbl>
              <c:idx val="1"/>
              <c:layout>
                <c:manualLayout>
                  <c:x val="-4.3443615714974141E-5"/>
                  <c:y val="-6.5650644783118411E-2"/>
                </c:manualLayout>
              </c:layout>
              <c:tx>
                <c:rich>
                  <a:bodyPr/>
                  <a:lstStyle/>
                  <a:p>
                    <a:r>
                      <a:rPr lang="en-US"/>
                      <a:t>77,9%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1F0-447D-AC6F-6121D3FE957E}"/>
                </c:ext>
              </c:extLst>
            </c:dLbl>
            <c:dLbl>
              <c:idx val="2"/>
              <c:layout>
                <c:manualLayout>
                  <c:x val="-1.4183391248848119E-3"/>
                  <c:y val="-6.096131301289566E-2"/>
                </c:manualLayout>
              </c:layout>
              <c:tx>
                <c:rich>
                  <a:bodyPr/>
                  <a:lstStyle/>
                  <a:p>
                    <a:r>
                      <a:rPr lang="en-US"/>
                      <a:t>80,7%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F1F0-447D-AC6F-6121D3FE957E}"/>
                </c:ext>
              </c:extLst>
            </c:dLbl>
            <c:dLbl>
              <c:idx val="3"/>
              <c:layout>
                <c:manualLayout>
                  <c:x val="-1.0401033428862514E-16"/>
                  <c:y val="-8.4407971864009376E-2"/>
                </c:manualLayout>
              </c:layout>
              <c:tx>
                <c:rich>
                  <a:bodyPr/>
                  <a:lstStyle/>
                  <a:p>
                    <a:r>
                      <a:rPr lang="en-US"/>
                      <a:t>78,9%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1F0-447D-AC6F-6121D3FE957E}"/>
                </c:ext>
              </c:extLst>
            </c:dLbl>
            <c:dLbl>
              <c:idx val="4"/>
              <c:layout>
                <c:manualLayout>
                  <c:x val="-1.0401033428862514E-16"/>
                  <c:y val="-0.11723329425556862"/>
                </c:manualLayout>
              </c:layout>
              <c:tx>
                <c:rich>
                  <a:bodyPr/>
                  <a:lstStyle/>
                  <a:p>
                    <a:r>
                      <a:rPr lang="en-US"/>
                      <a:t>79,6%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1F0-447D-AC6F-6121D3FE957E}"/>
                </c:ext>
              </c:extLst>
            </c:dLbl>
            <c:dLbl>
              <c:idx val="5"/>
              <c:layout>
                <c:manualLayout>
                  <c:x val="1.4183391248847599E-3"/>
                  <c:y val="-8.4407971864009376E-2"/>
                </c:manualLayout>
              </c:layout>
              <c:tx>
                <c:rich>
                  <a:bodyPr/>
                  <a:lstStyle/>
                  <a:p>
                    <a:r>
                      <a:rPr lang="en-US"/>
                      <a:t>81,6%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833-443B-A262-861C7183D863}"/>
                </c:ext>
              </c:extLst>
            </c:dLbl>
            <c:dLbl>
              <c:idx val="6"/>
              <c:tx>
                <c:rich>
                  <a:bodyPr/>
                  <a:lstStyle/>
                  <a:p>
                    <a:r>
                      <a:rPr lang="en-US"/>
                      <a:t>81,5%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81D-4F9C-88CF-BF250D22695D}"/>
                </c:ext>
              </c:extLst>
            </c:dLbl>
            <c:dLbl>
              <c:idx val="7"/>
              <c:tx>
                <c:rich>
                  <a:bodyPr/>
                  <a:lstStyle/>
                  <a:p>
                    <a:fld id="{91C9BB51-7D4F-4CDC-8082-03601C8F8052}"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{91C9BB51-7D4F-4CDC-8082-03601C8F8052}</c15:txfldGUID>
                      <c15:f>Sheet1!$I$8</c15:f>
                      <c15:dlblFieldTableCache>
                        <c:ptCount val="1"/>
                        <c:pt idx="0">
                          <c:v>82,6%</c:v>
                        </c:pt>
                      </c15:dlblFieldTableCache>
                    </c15:dlblFTEntry>
                  </c15:dlblFieldTable>
                  <c15:showDataLabelsRange val="0"/>
                </c:ext>
                <c:ext xmlns:c16="http://schemas.microsoft.com/office/drawing/2014/chart" uri="{C3380CC4-5D6E-409C-BE32-E72D297353CC}">
                  <c16:uniqueId val="{00000000-3D39-45F5-8A9F-BDBF8C393EEC}"/>
                </c:ext>
              </c:extLst>
            </c:dLbl>
            <c:dLbl>
              <c:idx val="8"/>
              <c:tx>
                <c:rich>
                  <a:bodyPr/>
                  <a:lstStyle/>
                  <a:p>
                    <a:fld id="{A917181A-E7CD-4EEF-B39D-EF1B5798DD76}"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{A917181A-E7CD-4EEF-B39D-EF1B5798DD76}</c15:txfldGUID>
                      <c15:f>Sheet1!$J$8</c15:f>
                      <c15:dlblFieldTableCache>
                        <c:ptCount val="1"/>
                        <c:pt idx="0">
                          <c:v>81,7%</c:v>
                        </c:pt>
                      </c15:dlblFieldTableCache>
                    </c15:dlblFTEntry>
                  </c15:dlblFieldTable>
                  <c15:showDataLabelsRange val="0"/>
                </c:ext>
                <c:ext xmlns:c16="http://schemas.microsoft.com/office/drawing/2014/chart" uri="{C3380CC4-5D6E-409C-BE32-E72D297353CC}">
                  <c16:uniqueId val="{00000000-A930-4C48-B681-B344A7A8B16D}"/>
                </c:ext>
              </c:extLst>
            </c:dLbl>
            <c:dLbl>
              <c:idx val="9"/>
              <c:tx>
                <c:rich>
                  <a:bodyPr/>
                  <a:lstStyle/>
                  <a:p>
                    <a:fld id="{87364C4A-FAD8-4305-BF81-D7AD524D010A}"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{87364C4A-FAD8-4305-BF81-D7AD524D010A}</c15:txfldGUID>
                      <c15:f>Sheet1!$K$8</c15:f>
                      <c15:dlblFieldTableCache>
                        <c:ptCount val="1"/>
                        <c:pt idx="0">
                          <c:v>81,8%</c:v>
                        </c:pt>
                      </c15:dlblFieldTableCache>
                    </c15:dlblFTEntry>
                  </c15:dlblFieldTable>
                  <c15:showDataLabelsRange val="0"/>
                </c:ext>
                <c:ext xmlns:c16="http://schemas.microsoft.com/office/drawing/2014/chart" uri="{C3380CC4-5D6E-409C-BE32-E72D297353CC}">
                  <c16:uniqueId val="{00000000-1B21-4682-BF12-06635DE43B7B}"/>
                </c:ext>
              </c:extLst>
            </c:dLbl>
            <c:dLbl>
              <c:idx val="10"/>
              <c:layout>
                <c:manualLayout>
                  <c:x val="1.1044384620694415E-2"/>
                  <c:y val="-7.4073218373934501E-17"/>
                </c:manualLayout>
              </c:layout>
              <c:tx>
                <c:rich>
                  <a:bodyPr/>
                  <a:lstStyle/>
                  <a:p>
                    <a:fld id="{1BA859AE-DE18-42F8-B4C1-FF59A90A12EF}"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{1BA859AE-DE18-42F8-B4C1-FF59A90A12EF}</c15:txfldGUID>
                      <c15:f>Sheet1!$L$8</c15:f>
                      <c15:dlblFieldTableCache>
                        <c:ptCount val="1"/>
                        <c:pt idx="0">
                          <c:v>83,5%</c:v>
                        </c:pt>
                      </c15:dlblFieldTableCache>
                    </c15:dlblFTEntry>
                  </c15:dlblFieldTable>
                  <c15:showDataLabelsRange val="0"/>
                </c:ext>
                <c:ext xmlns:c16="http://schemas.microsoft.com/office/drawing/2014/chart" uri="{C3380CC4-5D6E-409C-BE32-E72D297353CC}">
                  <c16:uniqueId val="{00000000-EDCC-4C63-9DCD-91BDB6A5F41B}"/>
                </c:ext>
              </c:extLst>
            </c:dLbl>
            <c:spPr>
              <a:solidFill>
                <a:sysClr val="window" lastClr="FFFFFF"/>
              </a:solidFill>
              <a:ln>
                <a:noFill/>
              </a:ln>
              <a:effectLst>
                <a:outerShdw blurRad="50800" dist="38100" dir="5400000" algn="t" rotWithShape="0">
                  <a:prstClr val="black">
                    <a:alpha val="40000"/>
                  </a:prstClr>
                </a:outerShdw>
              </a:effectLst>
            </c:spPr>
            <c:txPr>
              <a:bodyPr wrap="square" lIns="38100" tIns="19050" rIns="38100" bIns="19050" anchor="ctr">
                <a:spAutoFit/>
              </a:bodyPr>
              <a:lstStyle/>
              <a:p>
                <a:pPr>
                  <a:defRPr sz="700"/>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Sheet1!$B$1:$L$1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Sheet1!$B$3:$L$3</c:f>
              <c:numCache>
                <c:formatCode>#,##0.00</c:formatCode>
                <c:ptCount val="11"/>
                <c:pt idx="0">
                  <c:v>1333060.0915787376</c:v>
                </c:pt>
                <c:pt idx="1">
                  <c:v>1606698.9607804101</c:v>
                </c:pt>
                <c:pt idx="2">
                  <c:v>2000399.2448072198</c:v>
                </c:pt>
                <c:pt idx="3">
                  <c:v>2231166.8591147386</c:v>
                </c:pt>
                <c:pt idx="4">
                  <c:v>2385124.3705620812</c:v>
                </c:pt>
                <c:pt idx="5">
                  <c:v>2055503.6883668457</c:v>
                </c:pt>
                <c:pt idx="6">
                  <c:v>2423815.6719092173</c:v>
                </c:pt>
                <c:pt idx="7">
                  <c:v>2440902.3651204458</c:v>
                </c:pt>
                <c:pt idx="8">
                  <c:v>2980910.1</c:v>
                </c:pt>
                <c:pt idx="9">
                  <c:v>3929949.18</c:v>
                </c:pt>
                <c:pt idx="10">
                  <c:v>4879552.18</c:v>
                </c:pt>
              </c:numCache>
            </c:numRef>
          </c:val>
          <c:extLst>
            <c:ext xmlns:c16="http://schemas.microsoft.com/office/drawing/2014/chart" uri="{C3380CC4-5D6E-409C-BE32-E72D297353CC}">
              <c16:uniqueId val="{0000000B-F1F0-447D-AC6F-6121D3FE957E}"/>
            </c:ext>
          </c:extLst>
        </c:ser>
        <c:dLbls>
          <c:showLegendKey val="0"/>
          <c:showVal val="0"/>
          <c:showCatName val="0"/>
          <c:showSerName val="0"/>
          <c:showPercent val="0"/>
          <c:showBubbleSize val="0"/>
        </c:dLbls>
        <c:gapWidth val="150"/>
        <c:overlap val="100"/>
        <c:axId val="1531053056"/>
        <c:axId val="204844992"/>
      </c:barChart>
      <c:catAx>
        <c:axId val="1531053056"/>
        <c:scaling>
          <c:orientation val="minMax"/>
        </c:scaling>
        <c:delete val="0"/>
        <c:axPos val="b"/>
        <c:title>
          <c:tx>
            <c:rich>
              <a:bodyPr/>
              <a:lstStyle/>
              <a:p>
                <a:pPr>
                  <a:defRPr/>
                </a:pPr>
                <a:r>
                  <a:rPr lang="en-GB" sz="900"/>
                  <a:t>godina</a:t>
                </a:r>
              </a:p>
            </c:rich>
          </c:tx>
          <c:layout>
            <c:manualLayout>
              <c:xMode val="edge"/>
              <c:yMode val="edge"/>
              <c:x val="0.43914663716942959"/>
              <c:y val="0.92564772924166872"/>
            </c:manualLayout>
          </c:layout>
          <c:overlay val="0"/>
          <c:spPr>
            <a:noFill/>
            <a:ln w="15257">
              <a:noFill/>
            </a:ln>
          </c:spPr>
        </c:title>
        <c:numFmt formatCode="General" sourceLinked="1"/>
        <c:majorTickMark val="out"/>
        <c:minorTickMark val="none"/>
        <c:tickLblPos val="low"/>
        <c:spPr>
          <a:ln w="1907">
            <a:solidFill>
              <a:srgbClr val="000000"/>
            </a:solidFill>
            <a:prstDash val="solid"/>
          </a:ln>
        </c:spPr>
        <c:txPr>
          <a:bodyPr rot="-5400000" vert="horz"/>
          <a:lstStyle/>
          <a:p>
            <a:pPr>
              <a:defRPr/>
            </a:pPr>
            <a:endParaRPr lang="sr-Latn-RS"/>
          </a:p>
        </c:txPr>
        <c:crossAx val="204844992"/>
        <c:crossesAt val="90000000"/>
        <c:auto val="1"/>
        <c:lblAlgn val="ctr"/>
        <c:lblOffset val="100"/>
        <c:tickLblSkip val="1"/>
        <c:tickMarkSkip val="1"/>
        <c:noMultiLvlLbl val="0"/>
      </c:catAx>
      <c:valAx>
        <c:axId val="204844992"/>
        <c:scaling>
          <c:orientation val="minMax"/>
        </c:scaling>
        <c:delete val="0"/>
        <c:axPos val="l"/>
        <c:majorGridlines/>
        <c:title>
          <c:tx>
            <c:rich>
              <a:bodyPr/>
              <a:lstStyle/>
              <a:p>
                <a:pPr>
                  <a:defRPr sz="900"/>
                </a:pPr>
                <a:r>
                  <a:rPr lang="en-GB" sz="900"/>
                  <a:t>iznos proračuna</a:t>
                </a:r>
                <a:r>
                  <a:rPr lang="hr-HR" sz="900"/>
                  <a:t> (€)</a:t>
                </a:r>
                <a:endParaRPr lang="en-GB" sz="900"/>
              </a:p>
            </c:rich>
          </c:tx>
          <c:layout>
            <c:manualLayout>
              <c:xMode val="edge"/>
              <c:yMode val="edge"/>
              <c:x val="4.4909120259325627E-2"/>
              <c:y val="0.26403976775630317"/>
            </c:manualLayout>
          </c:layout>
          <c:overlay val="0"/>
          <c:spPr>
            <a:noFill/>
            <a:ln w="15257">
              <a:noFill/>
            </a:ln>
          </c:spPr>
        </c:title>
        <c:numFmt formatCode="#,##0" sourceLinked="0"/>
        <c:majorTickMark val="out"/>
        <c:minorTickMark val="none"/>
        <c:tickLblPos val="nextTo"/>
        <c:spPr>
          <a:ln w="1907">
            <a:solidFill>
              <a:srgbClr val="000000"/>
            </a:solidFill>
            <a:prstDash val="solid"/>
          </a:ln>
        </c:spPr>
        <c:txPr>
          <a:bodyPr rot="0" vert="horz"/>
          <a:lstStyle/>
          <a:p>
            <a:pPr>
              <a:defRPr/>
            </a:pPr>
            <a:endParaRPr lang="sr-Latn-RS"/>
          </a:p>
        </c:txPr>
        <c:crossAx val="1531053056"/>
        <c:crosses val="autoZero"/>
        <c:crossBetween val="between"/>
      </c:valAx>
      <c:dTable>
        <c:showHorzBorder val="1"/>
        <c:showVertBorder val="1"/>
        <c:showOutline val="1"/>
        <c:showKeys val="1"/>
        <c:txPr>
          <a:bodyPr/>
          <a:lstStyle/>
          <a:p>
            <a:pPr rtl="0">
              <a:defRPr sz="700"/>
            </a:pPr>
            <a:endParaRPr lang="sr-Latn-RS"/>
          </a:p>
        </c:txPr>
      </c:dTable>
      <c:spPr>
        <a:solidFill>
          <a:srgbClr val="EEECE1"/>
        </a:solidFill>
        <a:ln w="7628">
          <a:solidFill>
            <a:srgbClr val="808080"/>
          </a:solidFill>
          <a:prstDash val="solid"/>
        </a:ln>
      </c:spPr>
    </c:plotArea>
    <c:legend>
      <c:legendPos val="r"/>
      <c:layout>
        <c:manualLayout>
          <c:xMode val="edge"/>
          <c:yMode val="edge"/>
          <c:x val="0.85623320174644779"/>
          <c:y val="0.22203234496678015"/>
          <c:w val="0.11789804375297"/>
          <c:h val="0.50283231660888805"/>
        </c:manualLayout>
      </c:layout>
      <c:overlay val="0"/>
      <c:spPr>
        <a:noFill/>
        <a:ln w="1907">
          <a:solidFill>
            <a:srgbClr val="000000"/>
          </a:solidFill>
          <a:prstDash val="solid"/>
        </a:ln>
      </c:sp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sr-Latn-R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t>Rashodi za zaposlene</a:t>
            </a:r>
            <a:r>
              <a:rPr lang="hr-HR" sz="1000"/>
              <a:t> u 2025.</a:t>
            </a:r>
            <a:endParaRPr lang="en-US" sz="1000"/>
          </a:p>
        </c:rich>
      </c:tx>
      <c:layout>
        <c:manualLayout>
          <c:xMode val="edge"/>
          <c:yMode val="edge"/>
          <c:x val="0.6788422017818343"/>
          <c:y val="3.316749585406302E-2"/>
        </c:manualLayout>
      </c:layout>
      <c:overlay val="0"/>
    </c:title>
    <c:autoTitleDeleted val="0"/>
    <c:plotArea>
      <c:layout>
        <c:manualLayout>
          <c:layoutTarget val="inner"/>
          <c:xMode val="edge"/>
          <c:yMode val="edge"/>
          <c:x val="6.1508580025773987E-2"/>
          <c:y val="0.19817766681603824"/>
          <c:w val="0.65324778625637558"/>
          <c:h val="0.6983828749048645"/>
        </c:manualLayout>
      </c:layout>
      <c:ofPieChart>
        <c:ofPieType val="bar"/>
        <c:varyColors val="1"/>
        <c:ser>
          <c:idx val="0"/>
          <c:order val="0"/>
          <c:tx>
            <c:strRef>
              <c:f>List1!$B$1</c:f>
              <c:strCache>
                <c:ptCount val="1"/>
                <c:pt idx="0">
                  <c:v>Rashodi za zaposlene</c:v>
                </c:pt>
              </c:strCache>
            </c:strRef>
          </c:tx>
          <c:explosion val="6"/>
          <c:dPt>
            <c:idx val="0"/>
            <c:bubble3D val="0"/>
            <c:spPr>
              <a:pattFill prst="pct40">
                <a:fgClr>
                  <a:schemeClr val="tx2"/>
                </a:fgClr>
                <a:bgClr>
                  <a:schemeClr val="bg1"/>
                </a:bgClr>
              </a:pattFill>
            </c:spPr>
            <c:extLst>
              <c:ext xmlns:c16="http://schemas.microsoft.com/office/drawing/2014/chart" uri="{C3380CC4-5D6E-409C-BE32-E72D297353CC}">
                <c16:uniqueId val="{00000001-B043-4287-89EE-663122FC7402}"/>
              </c:ext>
            </c:extLst>
          </c:dPt>
          <c:dPt>
            <c:idx val="1"/>
            <c:bubble3D val="0"/>
            <c:spPr>
              <a:solidFill>
                <a:schemeClr val="accent6">
                  <a:lumMod val="75000"/>
                </a:schemeClr>
              </a:solidFill>
            </c:spPr>
            <c:extLst>
              <c:ext xmlns:c16="http://schemas.microsoft.com/office/drawing/2014/chart" uri="{C3380CC4-5D6E-409C-BE32-E72D297353CC}">
                <c16:uniqueId val="{00000003-B043-4287-89EE-663122FC7402}"/>
              </c:ext>
            </c:extLst>
          </c:dPt>
          <c:dPt>
            <c:idx val="3"/>
            <c:bubble3D val="0"/>
            <c:spPr>
              <a:solidFill>
                <a:srgbClr val="FFFF00"/>
              </a:solidFill>
            </c:spPr>
            <c:extLst>
              <c:ext xmlns:c16="http://schemas.microsoft.com/office/drawing/2014/chart" uri="{C3380CC4-5D6E-409C-BE32-E72D297353CC}">
                <c16:uniqueId val="{00000005-B043-4287-89EE-663122FC7402}"/>
              </c:ext>
            </c:extLst>
          </c:dPt>
          <c:dPt>
            <c:idx val="4"/>
            <c:bubble3D val="0"/>
            <c:spPr>
              <a:solidFill>
                <a:srgbClr val="7030A0"/>
              </a:solidFill>
            </c:spPr>
            <c:extLst>
              <c:ext xmlns:c16="http://schemas.microsoft.com/office/drawing/2014/chart" uri="{C3380CC4-5D6E-409C-BE32-E72D297353CC}">
                <c16:uniqueId val="{00000007-B043-4287-89EE-663122FC7402}"/>
              </c:ext>
            </c:extLst>
          </c:dPt>
          <c:dPt>
            <c:idx val="5"/>
            <c:bubble3D val="0"/>
            <c:spPr>
              <a:blipFill>
                <a:blip xmlns:r="http://schemas.openxmlformats.org/officeDocument/2006/relationships" r:embed="rId1"/>
                <a:tile tx="0" ty="0" sx="100000" sy="100000" flip="none" algn="tl"/>
              </a:blipFill>
            </c:spPr>
            <c:extLst>
              <c:ext xmlns:c16="http://schemas.microsoft.com/office/drawing/2014/chart" uri="{C3380CC4-5D6E-409C-BE32-E72D297353CC}">
                <c16:uniqueId val="{00000009-B043-4287-89EE-663122FC7402}"/>
              </c:ext>
            </c:extLst>
          </c:dPt>
          <c:dLbls>
            <c:dLbl>
              <c:idx val="0"/>
              <c:layout>
                <c:manualLayout>
                  <c:x val="-4.5755621606901782E-3"/>
                  <c:y val="-9.3789526309211349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043-4287-89EE-663122FC7402}"/>
                </c:ext>
              </c:extLst>
            </c:dLbl>
            <c:dLbl>
              <c:idx val="5"/>
              <c:layout>
                <c:manualLayout>
                  <c:x val="-5.6702371663001586E-2"/>
                  <c:y val="-0.36314098797351824"/>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043-4287-89EE-663122FC7402}"/>
                </c:ext>
              </c:extLst>
            </c:dLbl>
            <c:spPr>
              <a:noFill/>
              <a:ln>
                <a:noFill/>
              </a:ln>
              <a:effectLst/>
            </c:spPr>
            <c:txPr>
              <a:bodyPr/>
              <a:lstStyle/>
              <a:p>
                <a:pPr>
                  <a:defRPr sz="900" b="1"/>
                </a:pPr>
                <a:endParaRPr lang="sr-Latn-RS"/>
              </a:p>
            </c:txPr>
            <c:showLegendKey val="0"/>
            <c:showVal val="1"/>
            <c:showCatName val="0"/>
            <c:showSerName val="0"/>
            <c:showPercent val="1"/>
            <c:showBubbleSize val="0"/>
            <c:showLeaderLines val="1"/>
            <c:extLst>
              <c:ext xmlns:c15="http://schemas.microsoft.com/office/drawing/2012/chart" uri="{CE6537A1-D6FC-4f65-9D91-7224C49458BB}"/>
            </c:extLst>
          </c:dLbls>
          <c:cat>
            <c:strRef>
              <c:f>List1!$A$2:$A$6</c:f>
              <c:strCache>
                <c:ptCount val="5"/>
                <c:pt idx="0">
                  <c:v>Općina</c:v>
                </c:pt>
                <c:pt idx="1">
                  <c:v>Dječji vrtić Konavle</c:v>
                </c:pt>
                <c:pt idx="2">
                  <c:v>Muzeji i galerije Konavala</c:v>
                </c:pt>
                <c:pt idx="3">
                  <c:v>Javna vatrogasna postrojba Konavle</c:v>
                </c:pt>
                <c:pt idx="4">
                  <c:v>Dom za starije i nemoćne osobe Konavle</c:v>
                </c:pt>
              </c:strCache>
            </c:strRef>
          </c:cat>
          <c:val>
            <c:numRef>
              <c:f>List1!$B$2:$B$6</c:f>
              <c:numCache>
                <c:formatCode>#,##0.00</c:formatCode>
                <c:ptCount val="5"/>
                <c:pt idx="0">
                  <c:v>963055.75</c:v>
                </c:pt>
                <c:pt idx="1">
                  <c:v>2686946.31</c:v>
                </c:pt>
                <c:pt idx="2">
                  <c:v>435981.71</c:v>
                </c:pt>
                <c:pt idx="3">
                  <c:v>688917.75</c:v>
                </c:pt>
                <c:pt idx="4">
                  <c:v>1067706.4099999999</c:v>
                </c:pt>
              </c:numCache>
            </c:numRef>
          </c:val>
          <c:extLst>
            <c:ext xmlns:c16="http://schemas.microsoft.com/office/drawing/2014/chart" uri="{C3380CC4-5D6E-409C-BE32-E72D297353CC}">
              <c16:uniqueId val="{0000000A-B043-4287-89EE-663122FC7402}"/>
            </c:ext>
          </c:extLst>
        </c:ser>
        <c:ser>
          <c:idx val="1"/>
          <c:order val="1"/>
          <c:tx>
            <c:strRef>
              <c:f>List1!$C$1</c:f>
              <c:strCache>
                <c:ptCount val="1"/>
                <c:pt idx="0">
                  <c:v>Stupac1</c:v>
                </c:pt>
              </c:strCache>
            </c:strRef>
          </c:tx>
          <c:cat>
            <c:strRef>
              <c:f>List1!$A$2:$A$6</c:f>
              <c:strCache>
                <c:ptCount val="5"/>
                <c:pt idx="0">
                  <c:v>Općina</c:v>
                </c:pt>
                <c:pt idx="1">
                  <c:v>Dječji vrtić Konavle</c:v>
                </c:pt>
                <c:pt idx="2">
                  <c:v>Muzeji i galerije Konavala</c:v>
                </c:pt>
                <c:pt idx="3">
                  <c:v>Javna vatrogasna postrojba Konavle</c:v>
                </c:pt>
                <c:pt idx="4">
                  <c:v>Dom za starije i nemoćne osobe Konavle</c:v>
                </c:pt>
              </c:strCache>
            </c:strRef>
          </c:cat>
          <c:val>
            <c:numRef>
              <c:f>List1!$C$2:$C$6</c:f>
            </c:numRef>
          </c:val>
          <c:extLst>
            <c:ext xmlns:c16="http://schemas.microsoft.com/office/drawing/2014/chart" uri="{C3380CC4-5D6E-409C-BE32-E72D297353CC}">
              <c16:uniqueId val="{0000000B-B043-4287-89EE-663122FC7402}"/>
            </c:ext>
          </c:extLst>
        </c:ser>
        <c:dLbls>
          <c:showLegendKey val="0"/>
          <c:showVal val="0"/>
          <c:showCatName val="0"/>
          <c:showSerName val="0"/>
          <c:showPercent val="0"/>
          <c:showBubbleSize val="0"/>
          <c:showLeaderLines val="1"/>
        </c:dLbls>
        <c:gapWidth val="100"/>
        <c:splitType val="pos"/>
        <c:splitPos val="4"/>
        <c:secondPieSize val="95"/>
        <c:serLines>
          <c:spPr>
            <a:ln>
              <a:solidFill>
                <a:schemeClr val="accent1"/>
              </a:solidFill>
            </a:ln>
          </c:spPr>
        </c:serLines>
      </c:ofPieChart>
    </c:plotArea>
    <c:legend>
      <c:legendPos val="r"/>
      <c:layout>
        <c:manualLayout>
          <c:xMode val="edge"/>
          <c:yMode val="edge"/>
          <c:x val="0.67815773779028377"/>
          <c:y val="0.21962540752057733"/>
          <c:w val="0.15767809804555211"/>
          <c:h val="0.7540882638426416"/>
        </c:manualLayout>
      </c:layout>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050"/>
              <a:t>Struktura </a:t>
            </a:r>
            <a:r>
              <a:rPr lang="hr-HR" sz="1050"/>
              <a:t>materijalnih</a:t>
            </a:r>
            <a:r>
              <a:rPr lang="hr-HR" sz="1050" baseline="0"/>
              <a:t> </a:t>
            </a:r>
            <a:r>
              <a:rPr lang="en-GB" sz="1050"/>
              <a:t>rashoda </a:t>
            </a:r>
            <a:r>
              <a:rPr lang="hr-HR" sz="1050"/>
              <a:t>(32)</a:t>
            </a:r>
            <a:r>
              <a:rPr lang="hr-HR" sz="1050" baseline="0"/>
              <a:t> za razdoblje </a:t>
            </a:r>
            <a:r>
              <a:rPr lang="en-GB" sz="1050"/>
              <a:t>2015.-</a:t>
            </a:r>
            <a:r>
              <a:rPr lang="hr-HR" sz="1050"/>
              <a:t>2025., </a:t>
            </a:r>
            <a:r>
              <a:rPr lang="en-GB" sz="1050"/>
              <a:t>Općina i </a:t>
            </a:r>
            <a:r>
              <a:rPr lang="hr-HR" sz="1050"/>
              <a:t>PK</a:t>
            </a:r>
            <a:endParaRPr lang="en-GB" sz="1050"/>
          </a:p>
        </c:rich>
      </c:tx>
      <c:layout>
        <c:manualLayout>
          <c:xMode val="edge"/>
          <c:yMode val="edge"/>
          <c:x val="0.31013938113611628"/>
          <c:y val="2.2798634812286691E-2"/>
        </c:manualLayout>
      </c:layout>
      <c:overlay val="0"/>
      <c:spPr>
        <a:noFill/>
        <a:ln w="15257">
          <a:noFill/>
        </a:ln>
      </c:spPr>
    </c:title>
    <c:autoTitleDeleted val="0"/>
    <c:plotArea>
      <c:layout>
        <c:manualLayout>
          <c:layoutTarget val="inner"/>
          <c:xMode val="edge"/>
          <c:yMode val="edge"/>
          <c:x val="0.2043158504960029"/>
          <c:y val="0.16099854184893553"/>
          <c:w val="0.63589678429560603"/>
          <c:h val="0.55565405722886041"/>
        </c:manualLayout>
      </c:layout>
      <c:barChart>
        <c:barDir val="col"/>
        <c:grouping val="stacked"/>
        <c:varyColors val="0"/>
        <c:ser>
          <c:idx val="0"/>
          <c:order val="0"/>
          <c:tx>
            <c:strRef>
              <c:f>Sheet1!$A$2</c:f>
              <c:strCache>
                <c:ptCount val="1"/>
                <c:pt idx="0">
                  <c:v>RASHODI OPĆINE </c:v>
                </c:pt>
              </c:strCache>
            </c:strRef>
          </c:tx>
          <c:spPr>
            <a:pattFill prst="pct75">
              <a:fgClr>
                <a:srgbClr val="9999FF"/>
              </a:fgClr>
              <a:bgClr>
                <a:sysClr val="window" lastClr="FFFFFF"/>
              </a:bgClr>
            </a:pattFill>
            <a:ln w="7628">
              <a:solidFill>
                <a:srgbClr val="000000"/>
              </a:solidFill>
              <a:prstDash val="solid"/>
            </a:ln>
          </c:spPr>
          <c:invertIfNegative val="0"/>
          <c:dLbls>
            <c:dLbl>
              <c:idx val="0"/>
              <c:tx>
                <c:rich>
                  <a:bodyPr wrap="square" lIns="38100" tIns="19050" rIns="38100" bIns="19050" anchor="ctr">
                    <a:noAutofit/>
                  </a:bodyPr>
                  <a:lstStyle/>
                  <a:p>
                    <a:pPr>
                      <a:defRPr sz="700"/>
                    </a:pPr>
                    <a:r>
                      <a:rPr lang="en-US" sz="700"/>
                      <a:t>78,2%</a:t>
                    </a: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0-3BDC-459D-BBD9-F1105B93F53C}"/>
                </c:ext>
              </c:extLst>
            </c:dLbl>
            <c:dLbl>
              <c:idx val="1"/>
              <c:tx>
                <c:rich>
                  <a:bodyPr/>
                  <a:lstStyle/>
                  <a:p>
                    <a:r>
                      <a:rPr lang="en-US"/>
                      <a:t>78,2%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BDC-459D-BBD9-F1105B93F53C}"/>
                </c:ext>
              </c:extLst>
            </c:dLbl>
            <c:dLbl>
              <c:idx val="2"/>
              <c:tx>
                <c:rich>
                  <a:bodyPr/>
                  <a:lstStyle/>
                  <a:p>
                    <a:r>
                      <a:rPr lang="en-US"/>
                      <a:t>73,9%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BDC-459D-BBD9-F1105B93F53C}"/>
                </c:ext>
              </c:extLst>
            </c:dLbl>
            <c:dLbl>
              <c:idx val="3"/>
              <c:tx>
                <c:rich>
                  <a:bodyPr/>
                  <a:lstStyle/>
                  <a:p>
                    <a:r>
                      <a:rPr lang="en-US"/>
                      <a:t>76,1%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BDC-459D-BBD9-F1105B93F53C}"/>
                </c:ext>
              </c:extLst>
            </c:dLbl>
            <c:dLbl>
              <c:idx val="4"/>
              <c:layout>
                <c:manualLayout>
                  <c:x val="4.1245617653124355E-3"/>
                  <c:y val="0"/>
                </c:manualLayout>
              </c:layout>
              <c:tx>
                <c:rich>
                  <a:bodyPr/>
                  <a:lstStyle/>
                  <a:p>
                    <a:r>
                      <a:rPr lang="en-US"/>
                      <a:t>77,6%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BDC-459D-BBD9-F1105B93F53C}"/>
                </c:ext>
              </c:extLst>
            </c:dLbl>
            <c:dLbl>
              <c:idx val="5"/>
              <c:tx>
                <c:rich>
                  <a:bodyPr/>
                  <a:lstStyle/>
                  <a:p>
                    <a:r>
                      <a:rPr lang="en-US"/>
                      <a:t>72,0%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BDC-459D-BBD9-F1105B93F53C}"/>
                </c:ext>
              </c:extLst>
            </c:dLbl>
            <c:dLbl>
              <c:idx val="6"/>
              <c:layout>
                <c:manualLayout>
                  <c:x val="-1.3748539217708119E-3"/>
                  <c:y val="4.232804232804155E-3"/>
                </c:manualLayout>
              </c:layout>
              <c:tx>
                <c:rich>
                  <a:bodyPr/>
                  <a:lstStyle/>
                  <a:p>
                    <a:fld id="{9AE0CE10-4237-4324-A631-55C8045AE91A}"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{9AE0CE10-4237-4324-A631-55C8045AE91A}</c15:txfldGUID>
                      <c15:f>Sheet1!$H$7</c15:f>
                      <c15:dlblFieldTableCache>
                        <c:ptCount val="1"/>
                        <c:pt idx="0">
                          <c:v>73,0%</c:v>
                        </c:pt>
                      </c15:dlblFieldTableCache>
                    </c15:dlblFTEntry>
                  </c15:dlblFieldTable>
                  <c15:showDataLabelsRange val="0"/>
                </c:ext>
                <c:ext xmlns:c16="http://schemas.microsoft.com/office/drawing/2014/chart" uri="{C3380CC4-5D6E-409C-BE32-E72D297353CC}">
                  <c16:uniqueId val="{00000010-3BDC-459D-BBD9-F1105B93F53C}"/>
                </c:ext>
              </c:extLst>
            </c:dLbl>
            <c:dLbl>
              <c:idx val="7"/>
              <c:tx>
                <c:rich>
                  <a:bodyPr/>
                  <a:lstStyle/>
                  <a:p>
                    <a:fld id="{037611DD-DEC1-4999-9035-302C72FC6A7D}"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{037611DD-DEC1-4999-9035-302C72FC6A7D}</c15:txfldGUID>
                      <c15:f>Sheet1!$I$7</c15:f>
                      <c15:dlblFieldTableCache>
                        <c:ptCount val="1"/>
                        <c:pt idx="0">
                          <c:v>75,8%</c:v>
                        </c:pt>
                      </c15:dlblFieldTableCache>
                    </c15:dlblFTEntry>
                  </c15:dlblFieldTable>
                  <c15:showDataLabelsRange val="0"/>
                </c:ext>
                <c:ext xmlns:c16="http://schemas.microsoft.com/office/drawing/2014/chart" uri="{C3380CC4-5D6E-409C-BE32-E72D297353CC}">
                  <c16:uniqueId val="{00000001-6E3C-4BE2-861E-EC3540D35146}"/>
                </c:ext>
              </c:extLst>
            </c:dLbl>
            <c:dLbl>
              <c:idx val="8"/>
              <c:layout>
                <c:manualLayout>
                  <c:x val="6.8742696088539583E-3"/>
                  <c:y val="0"/>
                </c:manualLayout>
              </c:layout>
              <c:tx>
                <c:rich>
                  <a:bodyPr/>
                  <a:lstStyle/>
                  <a:p>
                    <a:fld id="{9E96539A-AF91-46BE-9546-A6915D99E373}"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{9E96539A-AF91-46BE-9546-A6915D99E373}</c15:txfldGUID>
                      <c15:f>Sheet1!$J$7</c15:f>
                      <c15:dlblFieldTableCache>
                        <c:ptCount val="1"/>
                        <c:pt idx="0">
                          <c:v>76,6%</c:v>
                        </c:pt>
                      </c15:dlblFieldTableCache>
                    </c15:dlblFTEntry>
                  </c15:dlblFieldTable>
                  <c15:showDataLabelsRange val="0"/>
                </c:ext>
                <c:ext xmlns:c16="http://schemas.microsoft.com/office/drawing/2014/chart" uri="{C3380CC4-5D6E-409C-BE32-E72D297353CC}">
                  <c16:uniqueId val="{00000001-6F55-4C47-BFBB-431A9C31D491}"/>
                </c:ext>
              </c:extLst>
            </c:dLbl>
            <c:dLbl>
              <c:idx val="9"/>
              <c:layout>
                <c:manualLayout>
                  <c:x val="-2.7497078435417244E-3"/>
                  <c:y val="0"/>
                </c:manualLayout>
              </c:layout>
              <c:tx>
                <c:rich>
                  <a:bodyPr/>
                  <a:lstStyle/>
                  <a:p>
                    <a:fld id="{4B875B1C-E84F-46C4-BB99-CFAE99A76F4D}"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{4B875B1C-E84F-46C4-BB99-CFAE99A76F4D}</c15:txfldGUID>
                      <c15:f>Sheet1!$K$7</c15:f>
                      <c15:dlblFieldTableCache>
                        <c:ptCount val="1"/>
                        <c:pt idx="0">
                          <c:v>79,5%</c:v>
                        </c:pt>
                      </c15:dlblFieldTableCache>
                    </c15:dlblFTEntry>
                  </c15:dlblFieldTable>
                  <c15:showDataLabelsRange val="0"/>
                </c:ext>
                <c:ext xmlns:c16="http://schemas.microsoft.com/office/drawing/2014/chart" uri="{C3380CC4-5D6E-409C-BE32-E72D297353CC}">
                  <c16:uniqueId val="{00000001-0429-4DE4-A73C-5288315352BA}"/>
                </c:ext>
              </c:extLst>
            </c:dLbl>
            <c:dLbl>
              <c:idx val="10"/>
              <c:tx>
                <c:rich>
                  <a:bodyPr/>
                  <a:lstStyle/>
                  <a:p>
                    <a:fld id="{FD4B80BE-43E7-4087-A034-1CEDBC096146}"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{FD4B80BE-43E7-4087-A034-1CEDBC096146}</c15:txfldGUID>
                      <c15:f>Sheet1!$L$7</c15:f>
                      <c15:dlblFieldTableCache>
                        <c:ptCount val="1"/>
                        <c:pt idx="0">
                          <c:v>78,4%</c:v>
                        </c:pt>
                      </c15:dlblFieldTableCache>
                    </c15:dlblFTEntry>
                  </c15:dlblFieldTable>
                  <c15:showDataLabelsRange val="0"/>
                </c:ext>
                <c:ext xmlns:c16="http://schemas.microsoft.com/office/drawing/2014/chart" uri="{C3380CC4-5D6E-409C-BE32-E72D297353CC}">
                  <c16:uniqueId val="{00000001-184B-4F5E-B2AE-73C3BD837CD9}"/>
                </c:ext>
              </c:extLst>
            </c:dLbl>
            <c:spPr>
              <a:solidFill>
                <a:sysClr val="window" lastClr="FFFFFF"/>
              </a:solidFill>
              <a:ln>
                <a:noFill/>
              </a:ln>
              <a:effectLst/>
            </c:spPr>
            <c:txPr>
              <a:bodyPr wrap="square" lIns="38100" tIns="19050" rIns="38100" bIns="19050" anchor="ctr">
                <a:spAutoFit/>
              </a:bodyPr>
              <a:lstStyle/>
              <a:p>
                <a:pPr>
                  <a:defRPr sz="700"/>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Sheet1!$B$1:$L$1</c:f>
              <c:strCache>
                <c:ptCount val="11"/>
                <c:pt idx="0">
                  <c:v>2015.</c:v>
                </c:pt>
                <c:pt idx="1">
                  <c:v>2016.</c:v>
                </c:pt>
                <c:pt idx="2">
                  <c:v>2017.</c:v>
                </c:pt>
                <c:pt idx="3">
                  <c:v>2018.</c:v>
                </c:pt>
                <c:pt idx="4">
                  <c:v>2019.</c:v>
                </c:pt>
                <c:pt idx="5">
                  <c:v> 2020.</c:v>
                </c:pt>
                <c:pt idx="6">
                  <c:v>2021.</c:v>
                </c:pt>
                <c:pt idx="7">
                  <c:v>2022.</c:v>
                </c:pt>
                <c:pt idx="8">
                  <c:v>2023.</c:v>
                </c:pt>
                <c:pt idx="9">
                  <c:v>2024.</c:v>
                </c:pt>
                <c:pt idx="10">
                  <c:v>2025.</c:v>
                </c:pt>
              </c:strCache>
            </c:strRef>
          </c:cat>
          <c:val>
            <c:numRef>
              <c:f>Sheet1!$B$2:$L$2</c:f>
              <c:numCache>
                <c:formatCode>#,##0.00</c:formatCode>
                <c:ptCount val="11"/>
                <c:pt idx="0">
                  <c:v>1802377.5512641848</c:v>
                </c:pt>
                <c:pt idx="1">
                  <c:v>2432310.1878027739</c:v>
                </c:pt>
                <c:pt idx="2">
                  <c:v>2548086.4344017515</c:v>
                </c:pt>
                <c:pt idx="3">
                  <c:v>2723274.6817970667</c:v>
                </c:pt>
                <c:pt idx="4">
                  <c:v>3385608.9335722346</c:v>
                </c:pt>
                <c:pt idx="5">
                  <c:v>1998284.7222775233</c:v>
                </c:pt>
                <c:pt idx="6">
                  <c:v>2130858.4657243346</c:v>
                </c:pt>
                <c:pt idx="7">
                  <c:v>2985601.7054880881</c:v>
                </c:pt>
                <c:pt idx="8">
                  <c:v>3684198.17</c:v>
                </c:pt>
                <c:pt idx="9">
                  <c:v>4391780.0999999996</c:v>
                </c:pt>
                <c:pt idx="10">
                  <c:v>4722667.49</c:v>
                </c:pt>
              </c:numCache>
            </c:numRef>
          </c:val>
          <c:extLst>
            <c:ext xmlns:c16="http://schemas.microsoft.com/office/drawing/2014/chart" uri="{C3380CC4-5D6E-409C-BE32-E72D297353CC}">
              <c16:uniqueId val="{00000006-3BDC-459D-BBD9-F1105B93F53C}"/>
            </c:ext>
          </c:extLst>
        </c:ser>
        <c:ser>
          <c:idx val="1"/>
          <c:order val="1"/>
          <c:tx>
            <c:strRef>
              <c:f>Sheet1!$A$3</c:f>
              <c:strCache>
                <c:ptCount val="1"/>
                <c:pt idx="0">
                  <c:v>RASHODI PRORAČUNSKIH KORISNIKA</c:v>
                </c:pt>
              </c:strCache>
            </c:strRef>
          </c:tx>
          <c:spPr>
            <a:solidFill>
              <a:srgbClr val="993366"/>
            </a:solidFill>
            <a:ln w="7628">
              <a:solidFill>
                <a:srgbClr val="000000"/>
              </a:solidFill>
              <a:prstDash val="solid"/>
            </a:ln>
          </c:spPr>
          <c:invertIfNegative val="0"/>
          <c:dLbls>
            <c:dLbl>
              <c:idx val="0"/>
              <c:layout>
                <c:manualLayout>
                  <c:x val="2.74976197164878E-3"/>
                  <c:y val="-8.0423113777444558E-2"/>
                </c:manualLayout>
              </c:layout>
              <c:tx>
                <c:rich>
                  <a:bodyPr wrap="square" lIns="38100" tIns="19050" rIns="38100" bIns="19050" anchor="ctr">
                    <a:noAutofit/>
                  </a:bodyPr>
                  <a:lstStyle/>
                  <a:p>
                    <a:pPr>
                      <a:defRPr sz="700"/>
                    </a:pPr>
                    <a:r>
                      <a:rPr lang="en-US" sz="700"/>
                      <a:t>21,8%</a:t>
                    </a: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3.5753022107542796E-2"/>
                      <c:h val="3.7100695746365035E-2"/>
                    </c:manualLayout>
                  </c15:layout>
                  <c15:showDataLabelsRange val="0"/>
                </c:ext>
                <c:ext xmlns:c16="http://schemas.microsoft.com/office/drawing/2014/chart" uri="{C3380CC4-5D6E-409C-BE32-E72D297353CC}">
                  <c16:uniqueId val="{00000007-3BDC-459D-BBD9-F1105B93F53C}"/>
                </c:ext>
              </c:extLst>
            </c:dLbl>
            <c:dLbl>
              <c:idx val="1"/>
              <c:layout>
                <c:manualLayout>
                  <c:x val="1.2373685295937306E-2"/>
                  <c:y val="4.232804232804155E-3"/>
                </c:manualLayout>
              </c:layout>
              <c:tx>
                <c:rich>
                  <a:bodyPr/>
                  <a:lstStyle/>
                  <a:p>
                    <a:r>
                      <a:rPr lang="en-US"/>
                      <a:t>21,8%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BDC-459D-BBD9-F1105B93F53C}"/>
                </c:ext>
              </c:extLst>
            </c:dLbl>
            <c:dLbl>
              <c:idx val="2"/>
              <c:layout>
                <c:manualLayout>
                  <c:x val="8.249123530624871E-3"/>
                  <c:y val="-1.2698412698412698E-2"/>
                </c:manualLayout>
              </c:layout>
              <c:tx>
                <c:rich>
                  <a:bodyPr/>
                  <a:lstStyle/>
                  <a:p>
                    <a:r>
                      <a:rPr lang="en-US"/>
                      <a:t>26,1%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3BDC-459D-BBD9-F1105B93F53C}"/>
                </c:ext>
              </c:extLst>
            </c:dLbl>
            <c:dLbl>
              <c:idx val="3"/>
              <c:layout>
                <c:manualLayout>
                  <c:x val="6.8742696088540589E-3"/>
                  <c:y val="0"/>
                </c:manualLayout>
              </c:layout>
              <c:tx>
                <c:rich>
                  <a:bodyPr/>
                  <a:lstStyle/>
                  <a:p>
                    <a:r>
                      <a:rPr lang="en-US"/>
                      <a:t>23,9%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3BDC-459D-BBD9-F1105B93F53C}"/>
                </c:ext>
              </c:extLst>
            </c:dLbl>
            <c:dLbl>
              <c:idx val="4"/>
              <c:layout>
                <c:manualLayout>
                  <c:x val="5.4994156870832476E-3"/>
                  <c:y val="-4.2328042328042331E-3"/>
                </c:manualLayout>
              </c:layout>
              <c:tx>
                <c:rich>
                  <a:bodyPr/>
                  <a:lstStyle/>
                  <a:p>
                    <a:r>
                      <a:rPr lang="en-US"/>
                      <a:t>22,4%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3BDC-459D-BBD9-F1105B93F53C}"/>
                </c:ext>
              </c:extLst>
            </c:dLbl>
            <c:dLbl>
              <c:idx val="5"/>
              <c:layout>
                <c:manualLayout>
                  <c:x val="4.1245617653124355E-3"/>
                  <c:y val="0"/>
                </c:manualLayout>
              </c:layout>
              <c:tx>
                <c:rich>
                  <a:bodyPr/>
                  <a:lstStyle/>
                  <a:p>
                    <a:r>
                      <a:rPr lang="en-US"/>
                      <a:t>28,0%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3BDC-459D-BBD9-F1105B93F53C}"/>
                </c:ext>
              </c:extLst>
            </c:dLbl>
            <c:dLbl>
              <c:idx val="6"/>
              <c:layout>
                <c:manualLayout>
                  <c:x val="1.3748539217708017E-2"/>
                  <c:y val="-1.2698412698412776E-2"/>
                </c:manualLayout>
              </c:layout>
              <c:tx>
                <c:rich>
                  <a:bodyPr/>
                  <a:lstStyle/>
                  <a:p>
                    <a:fld id="{C8FE01A9-065F-46C5-A16C-56206C80D16B}"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{C8FE01A9-065F-46C5-A16C-56206C80D16B}</c15:txfldGUID>
                      <c15:f>Sheet1!$H$8</c15:f>
                      <c15:dlblFieldTableCache>
                        <c:ptCount val="1"/>
                        <c:pt idx="0">
                          <c:v>27,0%</c:v>
                        </c:pt>
                      </c15:dlblFieldTableCache>
                    </c15:dlblFTEntry>
                  </c15:dlblFieldTable>
                  <c15:showDataLabelsRange val="0"/>
                </c:ext>
                <c:ext xmlns:c16="http://schemas.microsoft.com/office/drawing/2014/chart" uri="{C3380CC4-5D6E-409C-BE32-E72D297353CC}">
                  <c16:uniqueId val="{0000000F-3BDC-459D-BBD9-F1105B93F53C}"/>
                </c:ext>
              </c:extLst>
            </c:dLbl>
            <c:dLbl>
              <c:idx val="7"/>
              <c:layout>
                <c:manualLayout>
                  <c:x val="6.8742696088539583E-3"/>
                  <c:y val="-4.2328042328042331E-3"/>
                </c:manualLayout>
              </c:layout>
              <c:tx>
                <c:rich>
                  <a:bodyPr/>
                  <a:lstStyle/>
                  <a:p>
                    <a:fld id="{271BAC04-F45D-463E-8802-E12FEF756218}"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{271BAC04-F45D-463E-8802-E12FEF756218}</c15:txfldGUID>
                      <c15:f>Sheet1!$I$8</c15:f>
                      <c15:dlblFieldTableCache>
                        <c:ptCount val="1"/>
                        <c:pt idx="0">
                          <c:v>24,2%</c:v>
                        </c:pt>
                      </c15:dlblFieldTableCache>
                    </c15:dlblFTEntry>
                  </c15:dlblFieldTable>
                  <c15:showDataLabelsRange val="0"/>
                </c:ext>
                <c:ext xmlns:c16="http://schemas.microsoft.com/office/drawing/2014/chart" uri="{C3380CC4-5D6E-409C-BE32-E72D297353CC}">
                  <c16:uniqueId val="{00000000-6E3C-4BE2-861E-EC3540D35146}"/>
                </c:ext>
              </c:extLst>
            </c:dLbl>
            <c:dLbl>
              <c:idx val="8"/>
              <c:layout>
                <c:manualLayout>
                  <c:x val="9.6239774523956823E-3"/>
                  <c:y val="4.2328042328042331E-3"/>
                </c:manualLayout>
              </c:layout>
              <c:tx>
                <c:rich>
                  <a:bodyPr/>
                  <a:lstStyle/>
                  <a:p>
                    <a:fld id="{5A53A0E7-E135-4F9E-BB9A-897EF3C91EE6}"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{5A53A0E7-E135-4F9E-BB9A-897EF3C91EE6}</c15:txfldGUID>
                      <c15:f>Sheet1!$J$8</c15:f>
                      <c15:dlblFieldTableCache>
                        <c:ptCount val="1"/>
                        <c:pt idx="0">
                          <c:v>23,4%</c:v>
                        </c:pt>
                      </c15:dlblFieldTableCache>
                    </c15:dlblFTEntry>
                  </c15:dlblFieldTable>
                  <c15:showDataLabelsRange val="0"/>
                </c:ext>
                <c:ext xmlns:c16="http://schemas.microsoft.com/office/drawing/2014/chart" uri="{C3380CC4-5D6E-409C-BE32-E72D297353CC}">
                  <c16:uniqueId val="{00000000-6F55-4C47-BFBB-431A9C31D491}"/>
                </c:ext>
              </c:extLst>
            </c:dLbl>
            <c:dLbl>
              <c:idx val="9"/>
              <c:layout>
                <c:manualLayout>
                  <c:x val="1.512339313947883E-2"/>
                  <c:y val="-1.2698412698412698E-2"/>
                </c:manualLayout>
              </c:layout>
              <c:tx>
                <c:rich>
                  <a:bodyPr/>
                  <a:lstStyle/>
                  <a:p>
                    <a:fld id="{E77F74C4-5170-44B2-BE55-CC665B0ACB7D}"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{E77F74C4-5170-44B2-BE55-CC665B0ACB7D}</c15:txfldGUID>
                      <c15:f>Sheet1!$K$8</c15:f>
                      <c15:dlblFieldTableCache>
                        <c:ptCount val="1"/>
                        <c:pt idx="0">
                          <c:v>20,5%</c:v>
                        </c:pt>
                      </c15:dlblFieldTableCache>
                    </c15:dlblFTEntry>
                  </c15:dlblFieldTable>
                  <c15:showDataLabelsRange val="0"/>
                </c:ext>
                <c:ext xmlns:c16="http://schemas.microsoft.com/office/drawing/2014/chart" uri="{C3380CC4-5D6E-409C-BE32-E72D297353CC}">
                  <c16:uniqueId val="{00000000-0429-4DE4-A73C-5288315352BA}"/>
                </c:ext>
              </c:extLst>
            </c:dLbl>
            <c:dLbl>
              <c:idx val="10"/>
              <c:layout>
                <c:manualLayout>
                  <c:x val="9.6239774523955816E-3"/>
                  <c:y val="8.4656084656084662E-3"/>
                </c:manualLayout>
              </c:layout>
              <c:tx>
                <c:rich>
                  <a:bodyPr/>
                  <a:lstStyle/>
                  <a:p>
                    <a:fld id="{A80D31DE-42FC-4F0B-95E7-F79F93892AFE}"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{A80D31DE-42FC-4F0B-95E7-F79F93892AFE}</c15:txfldGUID>
                      <c15:f>Sheet1!$L$8</c15:f>
                      <c15:dlblFieldTableCache>
                        <c:ptCount val="1"/>
                        <c:pt idx="0">
                          <c:v>21,6%</c:v>
                        </c:pt>
                      </c15:dlblFieldTableCache>
                    </c15:dlblFTEntry>
                  </c15:dlblFieldTable>
                  <c15:showDataLabelsRange val="0"/>
                </c:ext>
                <c:ext xmlns:c16="http://schemas.microsoft.com/office/drawing/2014/chart" uri="{C3380CC4-5D6E-409C-BE32-E72D297353CC}">
                  <c16:uniqueId val="{00000000-184B-4F5E-B2AE-73C3BD837CD9}"/>
                </c:ext>
              </c:extLst>
            </c:dLbl>
            <c:spPr>
              <a:solidFill>
                <a:sysClr val="window" lastClr="FFFFFF"/>
              </a:solidFill>
              <a:ln>
                <a:noFill/>
              </a:ln>
              <a:effectLst/>
            </c:spPr>
            <c:txPr>
              <a:bodyPr wrap="square" lIns="38100" tIns="19050" rIns="38100" bIns="19050" anchor="ctr">
                <a:spAutoFit/>
              </a:bodyPr>
              <a:lstStyle/>
              <a:p>
                <a:pPr>
                  <a:defRPr sz="700"/>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Sheet1!$B$1:$L$1</c:f>
              <c:strCache>
                <c:ptCount val="11"/>
                <c:pt idx="0">
                  <c:v>2015.</c:v>
                </c:pt>
                <c:pt idx="1">
                  <c:v>2016.</c:v>
                </c:pt>
                <c:pt idx="2">
                  <c:v>2017.</c:v>
                </c:pt>
                <c:pt idx="3">
                  <c:v>2018.</c:v>
                </c:pt>
                <c:pt idx="4">
                  <c:v>2019.</c:v>
                </c:pt>
                <c:pt idx="5">
                  <c:v> 2020.</c:v>
                </c:pt>
                <c:pt idx="6">
                  <c:v>2021.</c:v>
                </c:pt>
                <c:pt idx="7">
                  <c:v>2022.</c:v>
                </c:pt>
                <c:pt idx="8">
                  <c:v>2023.</c:v>
                </c:pt>
                <c:pt idx="9">
                  <c:v>2024.</c:v>
                </c:pt>
                <c:pt idx="10">
                  <c:v>2025.</c:v>
                </c:pt>
              </c:strCache>
            </c:strRef>
          </c:cat>
          <c:val>
            <c:numRef>
              <c:f>Sheet1!$B$3:$L$3</c:f>
              <c:numCache>
                <c:formatCode>#,##0.00</c:formatCode>
                <c:ptCount val="11"/>
                <c:pt idx="0">
                  <c:v>503668.14519875241</c:v>
                </c:pt>
                <c:pt idx="1">
                  <c:v>677219.35098546685</c:v>
                </c:pt>
                <c:pt idx="2">
                  <c:v>900856.88765014254</c:v>
                </c:pt>
                <c:pt idx="3">
                  <c:v>856313.65584975772</c:v>
                </c:pt>
                <c:pt idx="4">
                  <c:v>976917.13053288206</c:v>
                </c:pt>
                <c:pt idx="5">
                  <c:v>776844.30950958922</c:v>
                </c:pt>
                <c:pt idx="6">
                  <c:v>789133.84962505801</c:v>
                </c:pt>
                <c:pt idx="7">
                  <c:v>954542.09038423246</c:v>
                </c:pt>
                <c:pt idx="8">
                  <c:v>1127090.8500000001</c:v>
                </c:pt>
                <c:pt idx="9">
                  <c:v>1133788.25</c:v>
                </c:pt>
                <c:pt idx="10">
                  <c:v>1301936.77</c:v>
                </c:pt>
              </c:numCache>
            </c:numRef>
          </c:val>
          <c:extLst>
            <c:ext xmlns:c16="http://schemas.microsoft.com/office/drawing/2014/chart" uri="{C3380CC4-5D6E-409C-BE32-E72D297353CC}">
              <c16:uniqueId val="{0000000D-3BDC-459D-BBD9-F1105B93F53C}"/>
            </c:ext>
          </c:extLst>
        </c:ser>
        <c:dLbls>
          <c:showLegendKey val="0"/>
          <c:showVal val="0"/>
          <c:showCatName val="0"/>
          <c:showSerName val="0"/>
          <c:showPercent val="0"/>
          <c:showBubbleSize val="0"/>
        </c:dLbls>
        <c:gapWidth val="150"/>
        <c:overlap val="100"/>
        <c:axId val="1808702464"/>
        <c:axId val="204375168"/>
      </c:barChart>
      <c:catAx>
        <c:axId val="1808702464"/>
        <c:scaling>
          <c:orientation val="minMax"/>
        </c:scaling>
        <c:delete val="0"/>
        <c:axPos val="b"/>
        <c:title>
          <c:tx>
            <c:rich>
              <a:bodyPr/>
              <a:lstStyle/>
              <a:p>
                <a:pPr>
                  <a:defRPr/>
                </a:pPr>
                <a:r>
                  <a:rPr lang="en-GB" sz="1000"/>
                  <a:t>godina</a:t>
                </a:r>
              </a:p>
            </c:rich>
          </c:tx>
          <c:layout>
            <c:manualLayout>
              <c:xMode val="edge"/>
              <c:yMode val="edge"/>
              <c:x val="0.48389347805024063"/>
              <c:y val="0.90755388909719614"/>
            </c:manualLayout>
          </c:layout>
          <c:overlay val="0"/>
          <c:spPr>
            <a:noFill/>
            <a:ln w="15257">
              <a:noFill/>
            </a:ln>
          </c:spPr>
        </c:title>
        <c:numFmt formatCode="General" sourceLinked="1"/>
        <c:majorTickMark val="out"/>
        <c:minorTickMark val="none"/>
        <c:tickLblPos val="low"/>
        <c:spPr>
          <a:ln w="1907">
            <a:solidFill>
              <a:srgbClr val="000000"/>
            </a:solidFill>
            <a:prstDash val="solid"/>
          </a:ln>
        </c:spPr>
        <c:txPr>
          <a:bodyPr rot="-5400000" vert="horz"/>
          <a:lstStyle/>
          <a:p>
            <a:pPr>
              <a:defRPr/>
            </a:pPr>
            <a:endParaRPr lang="sr-Latn-RS"/>
          </a:p>
        </c:txPr>
        <c:crossAx val="204375168"/>
        <c:crossesAt val="90000000"/>
        <c:auto val="1"/>
        <c:lblAlgn val="ctr"/>
        <c:lblOffset val="100"/>
        <c:tickLblSkip val="1"/>
        <c:tickMarkSkip val="1"/>
        <c:noMultiLvlLbl val="0"/>
      </c:catAx>
      <c:valAx>
        <c:axId val="204375168"/>
        <c:scaling>
          <c:orientation val="minMax"/>
        </c:scaling>
        <c:delete val="0"/>
        <c:axPos val="l"/>
        <c:majorGridlines/>
        <c:title>
          <c:tx>
            <c:rich>
              <a:bodyPr/>
              <a:lstStyle/>
              <a:p>
                <a:pPr>
                  <a:defRPr sz="900"/>
                </a:pPr>
                <a:r>
                  <a:rPr lang="en-GB" sz="900"/>
                  <a:t>iznos proračuna</a:t>
                </a:r>
                <a:r>
                  <a:rPr lang="hr-HR" sz="900"/>
                  <a:t> (€)</a:t>
                </a:r>
                <a:endParaRPr lang="en-GB" sz="900"/>
              </a:p>
            </c:rich>
          </c:tx>
          <c:layout>
            <c:manualLayout>
              <c:xMode val="edge"/>
              <c:yMode val="edge"/>
              <c:x val="8.1950387259542651E-2"/>
              <c:y val="0.24352922551347747"/>
            </c:manualLayout>
          </c:layout>
          <c:overlay val="0"/>
          <c:spPr>
            <a:noFill/>
            <a:ln w="15257">
              <a:noFill/>
            </a:ln>
          </c:spPr>
        </c:title>
        <c:numFmt formatCode="#,##0" sourceLinked="0"/>
        <c:majorTickMark val="out"/>
        <c:minorTickMark val="none"/>
        <c:tickLblPos val="nextTo"/>
        <c:spPr>
          <a:ln w="1907">
            <a:solidFill>
              <a:srgbClr val="000000"/>
            </a:solidFill>
            <a:prstDash val="solid"/>
          </a:ln>
        </c:spPr>
        <c:txPr>
          <a:bodyPr rot="0" vert="horz"/>
          <a:lstStyle/>
          <a:p>
            <a:pPr>
              <a:defRPr/>
            </a:pPr>
            <a:endParaRPr lang="sr-Latn-RS"/>
          </a:p>
        </c:txPr>
        <c:crossAx val="1808702464"/>
        <c:crosses val="autoZero"/>
        <c:crossBetween val="between"/>
      </c:valAx>
      <c:dTable>
        <c:showHorzBorder val="1"/>
        <c:showVertBorder val="1"/>
        <c:showOutline val="1"/>
        <c:showKeys val="1"/>
        <c:txPr>
          <a:bodyPr/>
          <a:lstStyle/>
          <a:p>
            <a:pPr rtl="0">
              <a:defRPr sz="700"/>
            </a:pPr>
            <a:endParaRPr lang="sr-Latn-RS"/>
          </a:p>
        </c:txPr>
      </c:dTable>
      <c:spPr>
        <a:solidFill>
          <a:srgbClr val="EEECE1"/>
        </a:solidFill>
        <a:ln w="7628">
          <a:solidFill>
            <a:srgbClr val="808080"/>
          </a:solidFill>
          <a:prstDash val="solid"/>
        </a:ln>
      </c:spPr>
    </c:plotArea>
    <c:legend>
      <c:legendPos val="r"/>
      <c:layout>
        <c:manualLayout>
          <c:xMode val="edge"/>
          <c:yMode val="edge"/>
          <c:x val="0.86221906835784512"/>
          <c:y val="0.22722892971711867"/>
          <c:w val="9.8231905379738443E-2"/>
          <c:h val="0.50283231660888805"/>
        </c:manualLayout>
      </c:layout>
      <c:overlay val="0"/>
      <c:spPr>
        <a:noFill/>
        <a:ln w="1907">
          <a:solidFill>
            <a:srgbClr val="000000"/>
          </a:solidFill>
          <a:prstDash val="solid"/>
        </a:ln>
      </c:sp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sr-Latn-R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Struktura rashoda</a:t>
            </a:r>
            <a:r>
              <a:rPr lang="hr-HR"/>
              <a:t> za nabavu nefinancijske imovine</a:t>
            </a:r>
            <a:r>
              <a:rPr lang="en-GB"/>
              <a:t> </a:t>
            </a:r>
            <a:r>
              <a:rPr lang="hr-HR"/>
              <a:t>(4)</a:t>
            </a:r>
            <a:r>
              <a:rPr lang="hr-HR" baseline="0"/>
              <a:t> za razdoblje </a:t>
            </a:r>
            <a:r>
              <a:rPr lang="en-GB"/>
              <a:t>2015.-</a:t>
            </a:r>
            <a:r>
              <a:rPr lang="hr-HR"/>
              <a:t>2025.</a:t>
            </a:r>
            <a:r>
              <a:rPr lang="en-US"/>
              <a:t>,</a:t>
            </a:r>
            <a:r>
              <a:rPr lang="hr-HR"/>
              <a:t> </a:t>
            </a:r>
            <a:r>
              <a:rPr lang="en-GB"/>
              <a:t>Općina i </a:t>
            </a:r>
            <a:r>
              <a:rPr lang="hr-HR"/>
              <a:t>PK</a:t>
            </a:r>
            <a:endParaRPr lang="en-GB"/>
          </a:p>
        </c:rich>
      </c:tx>
      <c:layout>
        <c:manualLayout>
          <c:xMode val="edge"/>
          <c:yMode val="edge"/>
          <c:x val="0.27260023154040053"/>
          <c:y val="2.2798673008513529E-2"/>
        </c:manualLayout>
      </c:layout>
      <c:overlay val="0"/>
      <c:spPr>
        <a:noFill/>
        <a:ln w="15257">
          <a:noFill/>
        </a:ln>
      </c:spPr>
    </c:title>
    <c:autoTitleDeleted val="0"/>
    <c:plotArea>
      <c:layout>
        <c:manualLayout>
          <c:layoutTarget val="inner"/>
          <c:xMode val="edge"/>
          <c:yMode val="edge"/>
          <c:x val="0.205545136733427"/>
          <c:y val="0.15021884840751357"/>
          <c:w val="0.65178412345759684"/>
          <c:h val="0.57052181269292468"/>
        </c:manualLayout>
      </c:layout>
      <c:barChart>
        <c:barDir val="col"/>
        <c:grouping val="stacked"/>
        <c:varyColors val="0"/>
        <c:ser>
          <c:idx val="0"/>
          <c:order val="0"/>
          <c:tx>
            <c:strRef>
              <c:f>Sheet1!$A$2</c:f>
              <c:strCache>
                <c:ptCount val="1"/>
                <c:pt idx="0">
                  <c:v>RASHODI OPĆINE </c:v>
                </c:pt>
              </c:strCache>
            </c:strRef>
          </c:tx>
          <c:spPr>
            <a:pattFill prst="pct75">
              <a:fgClr>
                <a:srgbClr val="9999FF"/>
              </a:fgClr>
              <a:bgClr>
                <a:sysClr val="window" lastClr="FFFFFF"/>
              </a:bgClr>
            </a:pattFill>
            <a:ln>
              <a:solidFill>
                <a:srgbClr val="000000"/>
              </a:solidFill>
            </a:ln>
            <a:effectLst>
              <a:outerShdw blurRad="50800" dist="38100" dir="5400000" algn="t" rotWithShape="0">
                <a:srgbClr val="8064A2">
                  <a:lumMod val="40000"/>
                  <a:lumOff val="60000"/>
                  <a:alpha val="40000"/>
                </a:srgbClr>
              </a:outerShdw>
            </a:effectLst>
          </c:spPr>
          <c:invertIfNegative val="0"/>
          <c:dLbls>
            <c:dLbl>
              <c:idx val="0"/>
              <c:layout>
                <c:manualLayout>
                  <c:x val="1.8074383037886638E-2"/>
                  <c:y val="-1.379986567372886E-16"/>
                </c:manualLayout>
              </c:layout>
              <c:tx>
                <c:rich>
                  <a:bodyPr wrap="square" lIns="38100" tIns="19050" rIns="38100" bIns="19050" anchor="ctr">
                    <a:spAutoFit/>
                  </a:bodyPr>
                  <a:lstStyle/>
                  <a:p>
                    <a:pPr>
                      <a:defRPr/>
                    </a:pPr>
                    <a:fld id="{80D4A11E-1063-4827-A752-5E8F7EF2C4CC}" type="CELLREF">
                      <a:rPr lang="en-US"/>
                      <a:pPr>
                        <a:defRPr/>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dlblFieldTable>
                    <c15:dlblFTEntry>
                      <c15:txfldGUID>{80D4A11E-1063-4827-A752-5E8F7EF2C4CC}</c15:txfldGUID>
                      <c15:f>Sheet1!$B$7</c15:f>
                      <c15:dlblFieldTableCache>
                        <c:ptCount val="1"/>
                        <c:pt idx="0">
                          <c:v>93,4%</c:v>
                        </c:pt>
                      </c15:dlblFieldTableCache>
                    </c15:dlblFTEntry>
                  </c15:dlblFieldTable>
                  <c15:showDataLabelsRange val="1"/>
                </c:ext>
                <c:ext xmlns:c16="http://schemas.microsoft.com/office/drawing/2014/chart" uri="{C3380CC4-5D6E-409C-BE32-E72D297353CC}">
                  <c16:uniqueId val="{00000000-BF45-475B-B62B-8B419A35E536}"/>
                </c:ext>
              </c:extLst>
            </c:dLbl>
            <c:dLbl>
              <c:idx val="1"/>
              <c:layout>
                <c:manualLayout>
                  <c:x val="2.0855057351407715E-2"/>
                  <c:y val="-7.5272864132480237E-3"/>
                </c:manualLayout>
              </c:layout>
              <c:tx>
                <c:rich>
                  <a:bodyPr wrap="square" lIns="38100" tIns="19050" rIns="38100" bIns="19050" anchor="ctr">
                    <a:spAutoFit/>
                  </a:bodyPr>
                  <a:lstStyle/>
                  <a:p>
                    <a:pPr>
                      <a:defRPr/>
                    </a:pPr>
                    <a:fld id="{5C7A63CB-96C6-47E4-9EB6-A6CDAD034869}" type="CELLREF">
                      <a:rPr lang="en-US"/>
                      <a:pPr>
                        <a:defRPr/>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dlblFieldTable>
                    <c15:dlblFTEntry>
                      <c15:txfldGUID>{5C7A63CB-96C6-47E4-9EB6-A6CDAD034869}</c15:txfldGUID>
                      <c15:f>Sheet1!$C$7</c15:f>
                      <c15:dlblFieldTableCache>
                        <c:ptCount val="1"/>
                        <c:pt idx="0">
                          <c:v>81,4%</c:v>
                        </c:pt>
                      </c15:dlblFieldTableCache>
                    </c15:dlblFTEntry>
                  </c15:dlblFieldTable>
                  <c15:showDataLabelsRange val="1"/>
                </c:ext>
                <c:ext xmlns:c16="http://schemas.microsoft.com/office/drawing/2014/chart" uri="{C3380CC4-5D6E-409C-BE32-E72D297353CC}">
                  <c16:uniqueId val="{00000001-BF45-475B-B62B-8B419A35E536}"/>
                </c:ext>
              </c:extLst>
            </c:dLbl>
            <c:dLbl>
              <c:idx val="2"/>
              <c:layout>
                <c:manualLayout>
                  <c:x val="1.8074383037886686E-2"/>
                  <c:y val="-3.7636432066240118E-3"/>
                </c:manualLayout>
              </c:layout>
              <c:tx>
                <c:rich>
                  <a:bodyPr wrap="square" lIns="38100" tIns="19050" rIns="38100" bIns="19050" anchor="ctr">
                    <a:spAutoFit/>
                  </a:bodyPr>
                  <a:lstStyle/>
                  <a:p>
                    <a:pPr>
                      <a:defRPr/>
                    </a:pPr>
                    <a:fld id="{9687DFAA-6308-4E48-9E39-CE8155FB8E28}" type="CELLREF">
                      <a:rPr lang="en-US"/>
                      <a:pPr>
                        <a:defRPr/>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dlblFieldTable>
                    <c15:dlblFTEntry>
                      <c15:txfldGUID>{9687DFAA-6308-4E48-9E39-CE8155FB8E28}</c15:txfldGUID>
                      <c15:f>Sheet1!$D$7</c15:f>
                      <c15:dlblFieldTableCache>
                        <c:ptCount val="1"/>
                        <c:pt idx="0">
                          <c:v>87,5%</c:v>
                        </c:pt>
                      </c15:dlblFieldTableCache>
                    </c15:dlblFTEntry>
                  </c15:dlblFieldTable>
                  <c15:showDataLabelsRange val="1"/>
                </c:ext>
                <c:ext xmlns:c16="http://schemas.microsoft.com/office/drawing/2014/chart" uri="{C3380CC4-5D6E-409C-BE32-E72D297353CC}">
                  <c16:uniqueId val="{00000002-BF45-475B-B62B-8B419A35E536}"/>
                </c:ext>
              </c:extLst>
            </c:dLbl>
            <c:dLbl>
              <c:idx val="3"/>
              <c:layout>
                <c:manualLayout>
                  <c:x val="1.601859986479787E-2"/>
                  <c:y val="-3.3113688696327338E-2"/>
                </c:manualLayout>
              </c:layout>
              <c:tx>
                <c:rich>
                  <a:bodyPr wrap="square" lIns="38100" tIns="19050" rIns="38100" bIns="19050" anchor="ctr">
                    <a:noAutofit/>
                  </a:bodyPr>
                  <a:lstStyle/>
                  <a:p>
                    <a:pPr>
                      <a:defRPr/>
                    </a:pPr>
                    <a:fld id="{E8D436BA-710E-4F94-9AD9-6E500957021F}" type="CELLREF">
                      <a:rPr lang="en-US"/>
                      <a:pPr>
                        <a:defRPr/>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4.2356785693759079E-2"/>
                      <c:h val="3.4532688490080864E-2"/>
                    </c:manualLayout>
                  </c15:layout>
                  <c15:dlblFieldTable>
                    <c15:dlblFTEntry>
                      <c15:txfldGUID>{E8D436BA-710E-4F94-9AD9-6E500957021F}</c15:txfldGUID>
                      <c15:f>Sheet1!$E$7</c15:f>
                      <c15:dlblFieldTableCache>
                        <c:ptCount val="1"/>
                        <c:pt idx="0">
                          <c:v>63,6%</c:v>
                        </c:pt>
                      </c15:dlblFieldTableCache>
                    </c15:dlblFTEntry>
                  </c15:dlblFieldTable>
                  <c15:showDataLabelsRange val="1"/>
                </c:ext>
                <c:ext xmlns:c16="http://schemas.microsoft.com/office/drawing/2014/chart" uri="{C3380CC4-5D6E-409C-BE32-E72D297353CC}">
                  <c16:uniqueId val="{00000003-BF45-475B-B62B-8B419A35E536}"/>
                </c:ext>
              </c:extLst>
            </c:dLbl>
            <c:dLbl>
              <c:idx val="4"/>
              <c:layout>
                <c:manualLayout>
                  <c:x val="1.3903371567605145E-2"/>
                  <c:y val="-3.7636432066240118E-3"/>
                </c:manualLayout>
              </c:layout>
              <c:tx>
                <c:rich>
                  <a:bodyPr wrap="square" lIns="38100" tIns="19050" rIns="38100" bIns="19050" anchor="ctr">
                    <a:spAutoFit/>
                  </a:bodyPr>
                  <a:lstStyle/>
                  <a:p>
                    <a:pPr>
                      <a:defRPr/>
                    </a:pPr>
                    <a:fld id="{FF7B6BD3-B582-4D44-BA05-9B31BDF51BBB}" type="CELLREF">
                      <a:rPr lang="en-US"/>
                      <a:pPr>
                        <a:defRPr/>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dlblFieldTable>
                    <c15:dlblFTEntry>
                      <c15:txfldGUID>{FF7B6BD3-B582-4D44-BA05-9B31BDF51BBB}</c15:txfldGUID>
                      <c15:f>Sheet1!$F$7</c15:f>
                      <c15:dlblFieldTableCache>
                        <c:ptCount val="1"/>
                        <c:pt idx="0">
                          <c:v>91,0%</c:v>
                        </c:pt>
                      </c15:dlblFieldTableCache>
                    </c15:dlblFTEntry>
                  </c15:dlblFieldTable>
                  <c15:showDataLabelsRange val="1"/>
                </c:ext>
                <c:ext xmlns:c16="http://schemas.microsoft.com/office/drawing/2014/chart" uri="{C3380CC4-5D6E-409C-BE32-E72D297353CC}">
                  <c16:uniqueId val="{00000004-BF45-475B-B62B-8B419A35E536}"/>
                </c:ext>
              </c:extLst>
            </c:dLbl>
            <c:dLbl>
              <c:idx val="5"/>
              <c:layout>
                <c:manualLayout>
                  <c:x val="1.5293708724365659E-2"/>
                  <c:y val="0"/>
                </c:manualLayout>
              </c:layout>
              <c:tx>
                <c:rich>
                  <a:bodyPr wrap="square" lIns="38100" tIns="19050" rIns="38100" bIns="19050" anchor="ctr">
                    <a:spAutoFit/>
                  </a:bodyPr>
                  <a:lstStyle/>
                  <a:p>
                    <a:pPr>
                      <a:defRPr/>
                    </a:pPr>
                    <a:fld id="{5224E5E3-134C-4368-A8E5-AD35A70902D8}" type="CELLREF">
                      <a:rPr lang="en-US"/>
                      <a:pPr>
                        <a:defRPr/>
                      </a:pPr>
                      <a:t>[REFERENCA ĆELIJE]</a:t>
                    </a:fld>
                    <a:endParaRPr lang="hr-HR"/>
                  </a:p>
                </c:rich>
              </c:tx>
              <c:numFmt formatCode="#,##0.00" sourceLinked="0"/>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dlblFieldTable>
                    <c15:dlblFTEntry>
                      <c15:txfldGUID>{5224E5E3-134C-4368-A8E5-AD35A70902D8}</c15:txfldGUID>
                      <c15:f>Sheet1!$G$7</c15:f>
                      <c15:dlblFieldTableCache>
                        <c:ptCount val="1"/>
                        <c:pt idx="0">
                          <c:v>89,9%</c:v>
                        </c:pt>
                      </c15:dlblFieldTableCache>
                    </c15:dlblFTEntry>
                  </c15:dlblFieldTable>
                  <c15:showDataLabelsRange val="1"/>
                </c:ext>
                <c:ext xmlns:c16="http://schemas.microsoft.com/office/drawing/2014/chart" uri="{C3380CC4-5D6E-409C-BE32-E72D297353CC}">
                  <c16:uniqueId val="{00000005-BF45-475B-B62B-8B419A35E536}"/>
                </c:ext>
              </c:extLst>
            </c:dLbl>
            <c:dLbl>
              <c:idx val="6"/>
              <c:layout>
                <c:manualLayout>
                  <c:x val="1.7087791033420091E-2"/>
                  <c:y val="-9.7985117310091605E-3"/>
                </c:manualLayout>
              </c:layout>
              <c:tx>
                <c:rich>
                  <a:bodyPr wrap="square" lIns="38100" tIns="19050" rIns="38100" bIns="19050" anchor="ctr">
                    <a:spAutoFit/>
                  </a:bodyPr>
                  <a:lstStyle/>
                  <a:p>
                    <a:pPr>
                      <a:defRPr/>
                    </a:pPr>
                    <a:fld id="{42D27EC2-9A30-4165-B3F0-6F7E179E0C6E}" type="CELLREF">
                      <a:rPr lang="en-US"/>
                      <a:pPr>
                        <a:defRPr/>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dlblFieldTable>
                    <c15:dlblFTEntry>
                      <c15:txfldGUID>{42D27EC2-9A30-4165-B3F0-6F7E179E0C6E}</c15:txfldGUID>
                      <c15:f>Sheet1!$H$7</c15:f>
                      <c15:dlblFieldTableCache>
                        <c:ptCount val="1"/>
                        <c:pt idx="0">
                          <c:v>94,9%</c:v>
                        </c:pt>
                      </c15:dlblFieldTableCache>
                    </c15:dlblFTEntry>
                  </c15:dlblFieldTable>
                  <c15:showDataLabelsRange val="1"/>
                </c:ext>
                <c:ext xmlns:c16="http://schemas.microsoft.com/office/drawing/2014/chart" uri="{C3380CC4-5D6E-409C-BE32-E72D297353CC}">
                  <c16:uniqueId val="{00000006-BF45-475B-B62B-8B419A35E536}"/>
                </c:ext>
              </c:extLst>
            </c:dLbl>
            <c:dLbl>
              <c:idx val="7"/>
              <c:tx>
                <c:rich>
                  <a:bodyPr wrap="square" lIns="38100" tIns="19050" rIns="38100" bIns="19050" anchor="ctr">
                    <a:spAutoFit/>
                  </a:bodyPr>
                  <a:lstStyle/>
                  <a:p>
                    <a:pPr>
                      <a:defRPr>
                        <a:solidFill>
                          <a:srgbClr val="000000"/>
                        </a:solidFill>
                      </a:defRPr>
                    </a:pPr>
                    <a:fld id="{521A2AB0-8392-4793-9095-6DAD66160E27}" type="CELLREF">
                      <a:rPr lang="en-US">
                        <a:solidFill>
                          <a:srgbClr val="000000"/>
                        </a:solidFill>
                      </a:rPr>
                      <a:pPr>
                        <a:defRPr>
                          <a:solidFill>
                            <a:srgbClr val="000000"/>
                          </a:solidFill>
                        </a:defRPr>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dlblFieldTable>
                    <c15:dlblFTEntry>
                      <c15:txfldGUID>{521A2AB0-8392-4793-9095-6DAD66160E27}</c15:txfldGUID>
                      <c15:f>Sheet1!$I$7</c15:f>
                      <c15:dlblFieldTableCache>
                        <c:ptCount val="1"/>
                        <c:pt idx="0">
                          <c:v>97,5%</c:v>
                        </c:pt>
                      </c15:dlblFieldTableCache>
                    </c15:dlblFTEntry>
                  </c15:dlblFieldTable>
                  <c15:showDataLabelsRange val="1"/>
                </c:ext>
                <c:ext xmlns:c16="http://schemas.microsoft.com/office/drawing/2014/chart" uri="{C3380CC4-5D6E-409C-BE32-E72D297353CC}">
                  <c16:uniqueId val="{00000002-4EED-462B-AF57-A719C48F2B08}"/>
                </c:ext>
              </c:extLst>
            </c:dLbl>
            <c:dLbl>
              <c:idx val="8"/>
              <c:layout>
                <c:manualLayout>
                  <c:x val="1.8769551616266946E-2"/>
                  <c:y val="1.6921576936868589E-3"/>
                </c:manualLayout>
              </c:layout>
              <c:tx>
                <c:rich>
                  <a:bodyPr wrap="square" lIns="38100" tIns="19050" rIns="38100" bIns="19050" anchor="ctr">
                    <a:noAutofit/>
                  </a:bodyPr>
                  <a:lstStyle/>
                  <a:p>
                    <a:pPr>
                      <a:defRPr/>
                    </a:pPr>
                    <a:fld id="{AA7EB5B0-F657-418C-A9B4-99495667CE8D}" type="CELLREF">
                      <a:rPr lang="en-US"/>
                      <a:pPr>
                        <a:defRPr/>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4.0403197775460552E-2"/>
                      <c:h val="3.981401082862384E-2"/>
                    </c:manualLayout>
                  </c15:layout>
                  <c15:dlblFieldTable>
                    <c15:dlblFTEntry>
                      <c15:txfldGUID>{AA7EB5B0-F657-418C-A9B4-99495667CE8D}</c15:txfldGUID>
                      <c15:f>Sheet1!$J$7</c15:f>
                      <c15:dlblFieldTableCache>
                        <c:ptCount val="1"/>
                        <c:pt idx="0">
                          <c:v>89,6%</c:v>
                        </c:pt>
                      </c15:dlblFieldTableCache>
                    </c15:dlblFTEntry>
                  </c15:dlblFieldTable>
                  <c15:showDataLabelsRange val="1"/>
                </c:ext>
                <c:ext xmlns:c16="http://schemas.microsoft.com/office/drawing/2014/chart" uri="{C3380CC4-5D6E-409C-BE32-E72D297353CC}">
                  <c16:uniqueId val="{00000003-38BD-48C4-B9C1-3892CD3112E6}"/>
                </c:ext>
              </c:extLst>
            </c:dLbl>
            <c:dLbl>
              <c:idx val="9"/>
              <c:tx>
                <c:rich>
                  <a:bodyPr wrap="square" lIns="38100" tIns="19050" rIns="38100" bIns="19050" anchor="ctr">
                    <a:spAutoFit/>
                  </a:bodyPr>
                  <a:lstStyle/>
                  <a:p>
                    <a:pPr>
                      <a:defRPr/>
                    </a:pPr>
                    <a:fld id="{58E3687F-BEA8-4AFC-B201-2F574F335386}" type="CELLREF">
                      <a:rPr lang="en-US" sz="800"/>
                      <a:pPr>
                        <a:defRPr/>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dlblFieldTable>
                    <c15:dlblFTEntry>
                      <c15:txfldGUID>{58E3687F-BEA8-4AFC-B201-2F574F335386}</c15:txfldGUID>
                      <c15:f>Sheet1!$K$7</c15:f>
                      <c15:dlblFieldTableCache>
                        <c:ptCount val="1"/>
                        <c:pt idx="0">
                          <c:v>95,8%</c:v>
                        </c:pt>
                      </c15:dlblFieldTableCache>
                    </c15:dlblFTEntry>
                  </c15:dlblFieldTable>
                  <c15:showDataLabelsRange val="1"/>
                </c:ext>
                <c:ext xmlns:c16="http://schemas.microsoft.com/office/drawing/2014/chart" uri="{C3380CC4-5D6E-409C-BE32-E72D297353CC}">
                  <c16:uniqueId val="{00000003-2394-4396-BFF4-22DD1A39C51B}"/>
                </c:ext>
              </c:extLst>
            </c:dLbl>
            <c:dLbl>
              <c:idx val="10"/>
              <c:tx>
                <c:rich>
                  <a:bodyPr wrap="square" lIns="38100" tIns="19050" rIns="38100" bIns="19050" anchor="ctr">
                    <a:spAutoFit/>
                  </a:bodyPr>
                  <a:lstStyle/>
                  <a:p>
                    <a:pPr>
                      <a:defRPr/>
                    </a:pPr>
                    <a:fld id="{98279390-B7EE-40BC-B920-F298FD0D8693}" type="CELLREF">
                      <a:rPr lang="en-US"/>
                      <a:pPr>
                        <a:defRPr/>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dlblFieldTable>
                    <c15:dlblFTEntry>
                      <c15:txfldGUID>{98279390-B7EE-40BC-B920-F298FD0D8693}</c15:txfldGUID>
                      <c15:f>Sheet1!$L$7</c15:f>
                      <c15:dlblFieldTableCache>
                        <c:ptCount val="1"/>
                        <c:pt idx="0">
                          <c:v>99,4%</c:v>
                        </c:pt>
                      </c15:dlblFieldTableCache>
                    </c15:dlblFTEntry>
                  </c15:dlblFieldTable>
                  <c15:showDataLabelsRange val="1"/>
                </c:ext>
                <c:ext xmlns:c16="http://schemas.microsoft.com/office/drawing/2014/chart" uri="{C3380CC4-5D6E-409C-BE32-E72D297353CC}">
                  <c16:uniqueId val="{00000002-0314-4D21-B7A9-2965CC4E72D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Sheet1!$B$1:$L$1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Sheet1!$B$2:$L$2</c:f>
              <c:numCache>
                <c:formatCode>#,##0.00</c:formatCode>
                <c:ptCount val="11"/>
                <c:pt idx="0">
                  <c:v>898416.40055743582</c:v>
                </c:pt>
                <c:pt idx="1">
                  <c:v>388817.70256818633</c:v>
                </c:pt>
                <c:pt idx="2">
                  <c:v>921462.18992633885</c:v>
                </c:pt>
                <c:pt idx="3">
                  <c:v>247485.61019311167</c:v>
                </c:pt>
                <c:pt idx="4">
                  <c:v>977568.56858451117</c:v>
                </c:pt>
                <c:pt idx="5">
                  <c:v>651731.75924082554</c:v>
                </c:pt>
                <c:pt idx="6">
                  <c:v>627191.44601499767</c:v>
                </c:pt>
                <c:pt idx="7">
                  <c:v>2150744.3440175191</c:v>
                </c:pt>
                <c:pt idx="8">
                  <c:v>513070.77</c:v>
                </c:pt>
                <c:pt idx="9">
                  <c:v>2522233.77</c:v>
                </c:pt>
                <c:pt idx="10">
                  <c:v>11559105.9</c:v>
                </c:pt>
              </c:numCache>
            </c:numRef>
          </c:val>
          <c:extLst>
            <c:ext xmlns:c15="http://schemas.microsoft.com/office/drawing/2012/chart" uri="{02D57815-91ED-43cb-92C2-25804820EDAC}">
              <c15:datalabelsRange>
                <c15:f>Sheet1!$G$7</c15:f>
                <c15:dlblRangeCache>
                  <c:ptCount val="1"/>
                  <c:pt idx="0">
                    <c:v>89,9%</c:v>
                  </c:pt>
                </c15:dlblRangeCache>
              </c15:datalabelsRange>
            </c:ext>
            <c:ext xmlns:c16="http://schemas.microsoft.com/office/drawing/2014/chart" uri="{C3380CC4-5D6E-409C-BE32-E72D297353CC}">
              <c16:uniqueId val="{00000007-BF45-475B-B62B-8B419A35E536}"/>
            </c:ext>
          </c:extLst>
        </c:ser>
        <c:ser>
          <c:idx val="1"/>
          <c:order val="1"/>
          <c:tx>
            <c:strRef>
              <c:f>Sheet1!$A$3</c:f>
              <c:strCache>
                <c:ptCount val="1"/>
                <c:pt idx="0">
                  <c:v>RASHODI PRORAČUNSKIH KORISNIKA</c:v>
                </c:pt>
              </c:strCache>
            </c:strRef>
          </c:tx>
          <c:spPr>
            <a:solidFill>
              <a:srgbClr val="993366"/>
            </a:solidFill>
            <a:ln w="7628">
              <a:solidFill>
                <a:srgbClr val="000000"/>
              </a:solidFill>
              <a:prstDash val="solid"/>
            </a:ln>
          </c:spPr>
          <c:invertIfNegative val="0"/>
          <c:dPt>
            <c:idx val="6"/>
            <c:invertIfNegative val="0"/>
            <c:bubble3D val="0"/>
            <c:spPr>
              <a:ln w="7628">
                <a:solidFill>
                  <a:srgbClr val="000000"/>
                </a:solidFill>
                <a:prstDash val="solid"/>
              </a:ln>
            </c:spPr>
            <c:extLst>
              <c:ext xmlns:c16="http://schemas.microsoft.com/office/drawing/2014/chart" uri="{C3380CC4-5D6E-409C-BE32-E72D297353CC}">
                <c16:uniqueId val="{00000009-BF45-475B-B62B-8B419A35E536}"/>
              </c:ext>
            </c:extLst>
          </c:dPt>
          <c:dLbls>
            <c:dLbl>
              <c:idx val="0"/>
              <c:layout>
                <c:manualLayout>
                  <c:x val="1.4298430665708208E-2"/>
                  <c:y val="-8.1376558167919028E-2"/>
                </c:manualLayout>
              </c:layout>
              <c:tx>
                <c:rich>
                  <a:bodyPr wrap="square" lIns="38100" tIns="19050" rIns="38100" bIns="19050" anchor="ctr">
                    <a:noAutofit/>
                  </a:bodyPr>
                  <a:lstStyle/>
                  <a:p>
                    <a:pPr>
                      <a:defRPr/>
                    </a:pPr>
                    <a:r>
                      <a:rPr lang="en-US"/>
                      <a:t>6,6%</a:t>
                    </a:r>
                  </a:p>
                </c:rich>
              </c:tx>
              <c:numFmt formatCode="0.0%" sourceLinked="0"/>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5.610065165212013E-2"/>
                      <c:h val="4.1072518219486522E-2"/>
                    </c:manualLayout>
                  </c15:layout>
                  <c15:showDataLabelsRange val="1"/>
                </c:ext>
                <c:ext xmlns:c16="http://schemas.microsoft.com/office/drawing/2014/chart" uri="{C3380CC4-5D6E-409C-BE32-E72D297353CC}">
                  <c16:uniqueId val="{0000000A-BF45-475B-B62B-8B419A35E536}"/>
                </c:ext>
              </c:extLst>
            </c:dLbl>
            <c:dLbl>
              <c:idx val="1"/>
              <c:layout>
                <c:manualLayout>
                  <c:x val="4.1245617653124355E-3"/>
                  <c:y val="-7.1216617210682495E-2"/>
                </c:manualLayout>
              </c:layout>
              <c:tx>
                <c:rich>
                  <a:bodyPr/>
                  <a:lstStyle/>
                  <a:p>
                    <a:r>
                      <a:rPr lang="en-US"/>
                      <a:t>18,6%</a:t>
                    </a:r>
                  </a:p>
                </c:rich>
              </c:tx>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B-BF45-475B-B62B-8B419A35E536}"/>
                </c:ext>
              </c:extLst>
            </c:dLbl>
            <c:dLbl>
              <c:idx val="2"/>
              <c:layout>
                <c:manualLayout>
                  <c:x val="1.3742552253960904E-2"/>
                  <c:y val="-8.7168051114423648E-2"/>
                </c:manualLayout>
              </c:layout>
              <c:tx>
                <c:rich>
                  <a:bodyPr/>
                  <a:lstStyle/>
                  <a:p>
                    <a:r>
                      <a:rPr lang="en-US"/>
                      <a:t>12,5%</a:t>
                    </a:r>
                  </a:p>
                </c:rich>
              </c:tx>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C-BF45-475B-B62B-8B419A35E536}"/>
                </c:ext>
              </c:extLst>
            </c:dLbl>
            <c:dLbl>
              <c:idx val="3"/>
              <c:layout>
                <c:manualLayout>
                  <c:x val="1.3748539217707111E-3"/>
                  <c:y val="-9.0999010880316519E-2"/>
                </c:manualLayout>
              </c:layout>
              <c:tx>
                <c:rich>
                  <a:bodyPr/>
                  <a:lstStyle/>
                  <a:p>
                    <a:r>
                      <a:rPr lang="en-US"/>
                      <a:t>36,4%</a:t>
                    </a:r>
                  </a:p>
                </c:rich>
              </c:tx>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D-BF45-475B-B62B-8B419A35E536}"/>
                </c:ext>
              </c:extLst>
            </c:dLbl>
            <c:dLbl>
              <c:idx val="4"/>
              <c:layout>
                <c:manualLayout>
                  <c:x val="1.3748539217708119E-3"/>
                  <c:y val="-5.5390702274975272E-2"/>
                </c:manualLayout>
              </c:layout>
              <c:tx>
                <c:rich>
                  <a:bodyPr/>
                  <a:lstStyle/>
                  <a:p>
                    <a:r>
                      <a:rPr lang="en-US"/>
                      <a:t>9,0%</a:t>
                    </a:r>
                  </a:p>
                </c:rich>
              </c:tx>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E-BF45-475B-B62B-8B419A35E536}"/>
                </c:ext>
              </c:extLst>
            </c:dLbl>
            <c:dLbl>
              <c:idx val="5"/>
              <c:layout>
                <c:manualLayout>
                  <c:x val="6.9154115071715623E-3"/>
                  <c:y val="-7.0864727069015823E-2"/>
                </c:manualLayout>
              </c:layout>
              <c:tx>
                <c:rich>
                  <a:bodyPr/>
                  <a:lstStyle/>
                  <a:p>
                    <a:r>
                      <a:rPr lang="en-US"/>
                      <a:t>10,1%</a:t>
                    </a:r>
                  </a:p>
                </c:rich>
              </c:tx>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F-BF45-475B-B62B-8B419A35E536}"/>
                </c:ext>
              </c:extLst>
            </c:dLbl>
            <c:dLbl>
              <c:idx val="6"/>
              <c:layout>
                <c:manualLayout>
                  <c:x val="8.2491235306247704E-3"/>
                  <c:y val="-7.1216617210682495E-2"/>
                </c:manualLayout>
              </c:layout>
              <c:tx>
                <c:rich>
                  <a:bodyPr/>
                  <a:lstStyle/>
                  <a:p>
                    <a:fld id="{AB8B55BE-3390-493C-B504-A3B936AFF1A8}"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{AB8B55BE-3390-493C-B504-A3B936AFF1A8}</c15:txfldGUID>
                      <c15:f>Sheet1!$H$8</c15:f>
                      <c15:dlblFieldTableCache>
                        <c:ptCount val="1"/>
                        <c:pt idx="0">
                          <c:v>5,1%</c:v>
                        </c:pt>
                      </c15:dlblFieldTableCache>
                    </c15:dlblFTEntry>
                  </c15:dlblFieldTable>
                  <c15:showDataLabelsRange val="1"/>
                </c:ext>
                <c:ext xmlns:c16="http://schemas.microsoft.com/office/drawing/2014/chart" uri="{C3380CC4-5D6E-409C-BE32-E72D297353CC}">
                  <c16:uniqueId val="{00000009-BF45-475B-B62B-8B419A35E536}"/>
                </c:ext>
              </c:extLst>
            </c:dLbl>
            <c:dLbl>
              <c:idx val="7"/>
              <c:layout>
                <c:manualLayout>
                  <c:x val="1.0173764775753396E-2"/>
                  <c:y val="-5.391641155882989E-2"/>
                </c:manualLayout>
              </c:layout>
              <c:tx>
                <c:rich>
                  <a:bodyPr/>
                  <a:lstStyle/>
                  <a:p>
                    <a:fld id="{7026D835-FDF7-4F21-B5D0-FCD2542979AB}"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{7026D835-FDF7-4F21-B5D0-FCD2542979AB}</c15:txfldGUID>
                      <c15:f>Sheet1!$I$8</c15:f>
                      <c15:dlblFieldTableCache>
                        <c:ptCount val="1"/>
                        <c:pt idx="0">
                          <c:v>2,5%</c:v>
                        </c:pt>
                      </c15:dlblFieldTableCache>
                    </c15:dlblFTEntry>
                  </c15:dlblFieldTable>
                  <c15:showDataLabelsRange val="1"/>
                </c:ext>
                <c:ext xmlns:c16="http://schemas.microsoft.com/office/drawing/2014/chart" uri="{C3380CC4-5D6E-409C-BE32-E72D297353CC}">
                  <c16:uniqueId val="{00000003-4EED-462B-AF57-A719C48F2B08}"/>
                </c:ext>
              </c:extLst>
            </c:dLbl>
            <c:dLbl>
              <c:idx val="8"/>
              <c:layout>
                <c:manualLayout>
                  <c:x val="-1.3903371567605145E-3"/>
                  <c:y val="-7.8245549565995706E-2"/>
                </c:manualLayout>
              </c:layout>
              <c:tx>
                <c:rich>
                  <a:bodyPr/>
                  <a:lstStyle/>
                  <a:p>
                    <a:fld id="{2CF8C129-0115-44D4-8E16-F07C7E9C599D}"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{2CF8C129-0115-44D4-8E16-F07C7E9C599D}</c15:txfldGUID>
                      <c15:f>Sheet1!$J$8</c15:f>
                      <c15:dlblFieldTableCache>
                        <c:ptCount val="1"/>
                        <c:pt idx="0">
                          <c:v>10,4%</c:v>
                        </c:pt>
                      </c15:dlblFieldTableCache>
                    </c15:dlblFTEntry>
                  </c15:dlblFieldTable>
                  <c15:showDataLabelsRange val="1"/>
                </c:ext>
                <c:ext xmlns:c16="http://schemas.microsoft.com/office/drawing/2014/chart" uri="{C3380CC4-5D6E-409C-BE32-E72D297353CC}">
                  <c16:uniqueId val="{00000002-38BD-48C4-B9C1-3892CD3112E6}"/>
                </c:ext>
              </c:extLst>
            </c:dLbl>
            <c:dLbl>
              <c:idx val="9"/>
              <c:layout>
                <c:manualLayout>
                  <c:x val="-1.0195688034785563E-16"/>
                  <c:y val="-4.8927361686112156E-2"/>
                </c:manualLayout>
              </c:layout>
              <c:tx>
                <c:rich>
                  <a:bodyPr/>
                  <a:lstStyle/>
                  <a:p>
                    <a:fld id="{C3A3C86C-EEE6-4DBC-86E6-1916961B4CC4}"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{C3A3C86C-EEE6-4DBC-86E6-1916961B4CC4}</c15:txfldGUID>
                      <c15:f>Sheet1!$K$8</c15:f>
                      <c15:dlblFieldTableCache>
                        <c:ptCount val="1"/>
                        <c:pt idx="0">
                          <c:v>4,2%</c:v>
                        </c:pt>
                      </c15:dlblFieldTableCache>
                    </c15:dlblFTEntry>
                  </c15:dlblFieldTable>
                  <c15:showDataLabelsRange val="1"/>
                </c:ext>
                <c:ext xmlns:c16="http://schemas.microsoft.com/office/drawing/2014/chart" uri="{C3380CC4-5D6E-409C-BE32-E72D297353CC}">
                  <c16:uniqueId val="{00000002-2394-4396-BFF4-22DD1A39C51B}"/>
                </c:ext>
              </c:extLst>
            </c:dLbl>
            <c:dLbl>
              <c:idx val="10"/>
              <c:layout>
                <c:manualLayout>
                  <c:x val="6.9516857838025723E-3"/>
                  <c:y val="-3.7636432066240122E-2"/>
                </c:manualLayout>
              </c:layout>
              <c:tx>
                <c:rich>
                  <a:bodyPr/>
                  <a:lstStyle/>
                  <a:p>
                    <a:fld id="{BA798E07-D3AF-49A0-B18B-39E4D94445FA}"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{BA798E07-D3AF-49A0-B18B-39E4D94445FA}</c15:txfldGUID>
                      <c15:f>Sheet1!$L$8</c15:f>
                      <c15:dlblFieldTableCache>
                        <c:ptCount val="1"/>
                        <c:pt idx="0">
                          <c:v>0,6%</c:v>
                        </c:pt>
                      </c15:dlblFieldTableCache>
                    </c15:dlblFTEntry>
                  </c15:dlblFieldTable>
                  <c15:showDataLabelsRange val="1"/>
                </c:ext>
                <c:ext xmlns:c16="http://schemas.microsoft.com/office/drawing/2014/chart" uri="{C3380CC4-5D6E-409C-BE32-E72D297353CC}">
                  <c16:uniqueId val="{00000003-0314-4D21-B7A9-2965CC4E72D4}"/>
                </c:ext>
              </c:extLst>
            </c:dLbl>
            <c:numFmt formatCode="0.0%" sourceLinked="0"/>
            <c:spPr>
              <a:solidFill>
                <a:sysClr val="window" lastClr="FFFFFF"/>
              </a:solidFill>
              <a:ln>
                <a:noFill/>
              </a:ln>
              <a:effectLst/>
            </c:spP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Sheet1!$B$1:$L$1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Sheet1!$B$3:$L$3</c:f>
              <c:numCache>
                <c:formatCode>#,##0.00</c:formatCode>
                <c:ptCount val="11"/>
                <c:pt idx="0">
                  <c:v>63075.835158271948</c:v>
                </c:pt>
                <c:pt idx="1">
                  <c:v>89018.051629172463</c:v>
                </c:pt>
                <c:pt idx="2">
                  <c:v>132118.71524321454</c:v>
                </c:pt>
                <c:pt idx="3">
                  <c:v>141669.80025217333</c:v>
                </c:pt>
                <c:pt idx="4">
                  <c:v>97168.204924016187</c:v>
                </c:pt>
                <c:pt idx="5">
                  <c:v>73562.183290198416</c:v>
                </c:pt>
                <c:pt idx="6">
                  <c:v>33664.28827393987</c:v>
                </c:pt>
                <c:pt idx="7">
                  <c:v>55904.395779414685</c:v>
                </c:pt>
                <c:pt idx="8">
                  <c:v>59624.9</c:v>
                </c:pt>
                <c:pt idx="9">
                  <c:v>110182.24</c:v>
                </c:pt>
                <c:pt idx="10">
                  <c:v>66989</c:v>
                </c:pt>
              </c:numCache>
            </c:numRef>
          </c:val>
          <c:extLst>
            <c:ext xmlns:c15="http://schemas.microsoft.com/office/drawing/2012/chart" uri="{02D57815-91ED-43cb-92C2-25804820EDAC}">
              <c15:datalabelsRange>
                <c15:f>Sheet1!$G$8</c15:f>
                <c15:dlblRangeCache>
                  <c:ptCount val="1"/>
                  <c:pt idx="0">
                    <c:v>10,1%</c:v>
                  </c:pt>
                </c15:dlblRangeCache>
              </c15:datalabelsRange>
            </c:ext>
            <c:ext xmlns:c16="http://schemas.microsoft.com/office/drawing/2014/chart" uri="{C3380CC4-5D6E-409C-BE32-E72D297353CC}">
              <c16:uniqueId val="{00000010-BF45-475B-B62B-8B419A35E536}"/>
            </c:ext>
          </c:extLst>
        </c:ser>
        <c:dLbls>
          <c:showLegendKey val="0"/>
          <c:showVal val="0"/>
          <c:showCatName val="0"/>
          <c:showSerName val="0"/>
          <c:showPercent val="0"/>
          <c:showBubbleSize val="0"/>
        </c:dLbls>
        <c:gapWidth val="150"/>
        <c:overlap val="100"/>
        <c:axId val="279883264"/>
        <c:axId val="204374016"/>
      </c:barChart>
      <c:catAx>
        <c:axId val="279883264"/>
        <c:scaling>
          <c:orientation val="minMax"/>
        </c:scaling>
        <c:delete val="0"/>
        <c:axPos val="b"/>
        <c:title>
          <c:tx>
            <c:rich>
              <a:bodyPr/>
              <a:lstStyle/>
              <a:p>
                <a:pPr>
                  <a:defRPr/>
                </a:pPr>
                <a:r>
                  <a:rPr lang="en-GB" sz="1000"/>
                  <a:t>godina</a:t>
                </a:r>
              </a:p>
            </c:rich>
          </c:tx>
          <c:layout>
            <c:manualLayout>
              <c:xMode val="edge"/>
              <c:yMode val="edge"/>
              <c:x val="0.48328283782045495"/>
              <c:y val="0.90138899178814547"/>
            </c:manualLayout>
          </c:layout>
          <c:overlay val="0"/>
          <c:spPr>
            <a:noFill/>
            <a:ln w="15257">
              <a:noFill/>
            </a:ln>
          </c:spPr>
        </c:title>
        <c:numFmt formatCode="General" sourceLinked="1"/>
        <c:majorTickMark val="out"/>
        <c:minorTickMark val="none"/>
        <c:tickLblPos val="low"/>
        <c:spPr>
          <a:ln w="1907">
            <a:solidFill>
              <a:srgbClr val="000000"/>
            </a:solidFill>
            <a:prstDash val="solid"/>
          </a:ln>
        </c:spPr>
        <c:txPr>
          <a:bodyPr rot="-5400000" vert="horz"/>
          <a:lstStyle/>
          <a:p>
            <a:pPr>
              <a:defRPr/>
            </a:pPr>
            <a:endParaRPr lang="sr-Latn-RS"/>
          </a:p>
        </c:txPr>
        <c:crossAx val="204374016"/>
        <c:crossesAt val="90000000"/>
        <c:auto val="1"/>
        <c:lblAlgn val="ctr"/>
        <c:lblOffset val="100"/>
        <c:tickLblSkip val="1"/>
        <c:tickMarkSkip val="1"/>
        <c:noMultiLvlLbl val="0"/>
      </c:catAx>
      <c:valAx>
        <c:axId val="204374016"/>
        <c:scaling>
          <c:orientation val="minMax"/>
        </c:scaling>
        <c:delete val="0"/>
        <c:axPos val="l"/>
        <c:majorGridlines/>
        <c:title>
          <c:tx>
            <c:rich>
              <a:bodyPr/>
              <a:lstStyle/>
              <a:p>
                <a:pPr>
                  <a:defRPr sz="900"/>
                </a:pPr>
                <a:r>
                  <a:rPr lang="hr-HR" sz="900"/>
                  <a:t>iznos proračuna (€)</a:t>
                </a:r>
              </a:p>
              <a:p>
                <a:pPr>
                  <a:defRPr sz="900"/>
                </a:pPr>
                <a:endParaRPr lang="en-GB" sz="900"/>
              </a:p>
            </c:rich>
          </c:tx>
          <c:layout>
            <c:manualLayout>
              <c:xMode val="edge"/>
              <c:yMode val="edge"/>
              <c:x val="5.1587121296956938E-2"/>
              <c:y val="0.26711424970070302"/>
            </c:manualLayout>
          </c:layout>
          <c:overlay val="0"/>
          <c:spPr>
            <a:noFill/>
            <a:ln w="15257">
              <a:noFill/>
            </a:ln>
          </c:spPr>
        </c:title>
        <c:numFmt formatCode="#,##0" sourceLinked="0"/>
        <c:majorTickMark val="out"/>
        <c:minorTickMark val="none"/>
        <c:tickLblPos val="nextTo"/>
        <c:spPr>
          <a:ln w="1907">
            <a:solidFill>
              <a:srgbClr val="000000"/>
            </a:solidFill>
            <a:prstDash val="solid"/>
          </a:ln>
        </c:spPr>
        <c:txPr>
          <a:bodyPr rot="0" vert="horz"/>
          <a:lstStyle/>
          <a:p>
            <a:pPr>
              <a:defRPr/>
            </a:pPr>
            <a:endParaRPr lang="sr-Latn-RS"/>
          </a:p>
        </c:txPr>
        <c:crossAx val="279883264"/>
        <c:crosses val="autoZero"/>
        <c:crossBetween val="between"/>
      </c:valAx>
      <c:dTable>
        <c:showHorzBorder val="1"/>
        <c:showVertBorder val="1"/>
        <c:showOutline val="1"/>
        <c:showKeys val="1"/>
        <c:txPr>
          <a:bodyPr/>
          <a:lstStyle/>
          <a:p>
            <a:pPr rtl="0">
              <a:defRPr sz="700"/>
            </a:pPr>
            <a:endParaRPr lang="sr-Latn-RS"/>
          </a:p>
        </c:txPr>
      </c:dTable>
      <c:spPr>
        <a:solidFill>
          <a:srgbClr val="EEECE1"/>
        </a:solidFill>
        <a:ln w="7628">
          <a:solidFill>
            <a:srgbClr val="808080"/>
          </a:solidFill>
          <a:prstDash val="solid"/>
        </a:ln>
      </c:spPr>
    </c:plotArea>
    <c:legend>
      <c:legendPos val="r"/>
      <c:layout>
        <c:manualLayout>
          <c:xMode val="edge"/>
          <c:yMode val="edge"/>
          <c:x val="0.89638386442570583"/>
          <c:y val="0.1180118480673544"/>
          <c:w val="8.8880430402631189E-2"/>
          <c:h val="0.64945452136697979"/>
        </c:manualLayout>
      </c:layout>
      <c:overlay val="0"/>
      <c:spPr>
        <a:pattFill prst="pct5">
          <a:fgClr>
            <a:srgbClr val="EEECE1"/>
          </a:fgClr>
          <a:bgClr>
            <a:sysClr val="window" lastClr="FFFFFF"/>
          </a:bgClr>
        </a:pattFill>
        <a:ln w="1907">
          <a:solidFill>
            <a:srgbClr val="000000"/>
          </a:solidFill>
          <a:prstDash val="solid"/>
        </a:ln>
      </c:sp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sr-Latn-R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Struktura </a:t>
            </a:r>
            <a:r>
              <a:rPr lang="hr-HR"/>
              <a:t>izdataka (5)</a:t>
            </a:r>
            <a:r>
              <a:rPr lang="hr-HR" baseline="0"/>
              <a:t> Općine za razdoblje </a:t>
            </a:r>
            <a:r>
              <a:rPr lang="en-GB"/>
              <a:t>2015.-</a:t>
            </a:r>
            <a:r>
              <a:rPr lang="hr-HR"/>
              <a:t>20</a:t>
            </a:r>
            <a:r>
              <a:rPr lang="en-US"/>
              <a:t>2</a:t>
            </a:r>
            <a:r>
              <a:rPr lang="hr-HR"/>
              <a:t>5.</a:t>
            </a:r>
            <a:endParaRPr lang="en-GB"/>
          </a:p>
        </c:rich>
      </c:tx>
      <c:layout>
        <c:manualLayout>
          <c:xMode val="edge"/>
          <c:yMode val="edge"/>
          <c:x val="0.31013938113611628"/>
          <c:y val="2.2798634812286691E-2"/>
        </c:manualLayout>
      </c:layout>
      <c:overlay val="0"/>
      <c:spPr>
        <a:noFill/>
        <a:ln w="15257">
          <a:noFill/>
        </a:ln>
      </c:spPr>
    </c:title>
    <c:autoTitleDeleted val="0"/>
    <c:plotArea>
      <c:layout>
        <c:manualLayout>
          <c:layoutTarget val="inner"/>
          <c:xMode val="edge"/>
          <c:yMode val="edge"/>
          <c:x val="0.2043158504960029"/>
          <c:y val="0.16099854184893553"/>
          <c:w val="0.66614357263910784"/>
          <c:h val="0.55565405722886041"/>
        </c:manualLayout>
      </c:layout>
      <c:barChart>
        <c:barDir val="col"/>
        <c:grouping val="stacked"/>
        <c:varyColors val="0"/>
        <c:ser>
          <c:idx val="0"/>
          <c:order val="0"/>
          <c:tx>
            <c:strRef>
              <c:f>Sheet1!$A$3</c:f>
              <c:strCache>
                <c:ptCount val="1"/>
                <c:pt idx="0">
                  <c:v>IZDACI ZA UDJELE U GLAVNICI TRGOVAČKIH DRUŠTAVA (53)</c:v>
                </c:pt>
              </c:strCache>
            </c:strRef>
          </c:tx>
          <c:spPr>
            <a:pattFill prst="pct75">
              <a:fgClr>
                <a:srgbClr val="F79646">
                  <a:lumMod val="50000"/>
                </a:srgbClr>
              </a:fgClr>
              <a:bgClr>
                <a:sysClr val="window" lastClr="FFFFFF"/>
              </a:bgClr>
            </a:pattFill>
            <a:ln w="7628">
              <a:solidFill>
                <a:srgbClr val="000000"/>
              </a:solidFill>
              <a:prstDash val="solid"/>
            </a:ln>
          </c:spPr>
          <c:invertIfNegative val="0"/>
          <c:dLbls>
            <c:dLbl>
              <c:idx val="0"/>
              <c:tx>
                <c:rich>
                  <a:bodyPr wrap="square" lIns="38100" tIns="19050" rIns="38100" bIns="19050" anchor="ctr">
                    <a:spAutoFit/>
                  </a:bodyPr>
                  <a:lstStyle/>
                  <a:p>
                    <a:pPr>
                      <a:defRPr>
                        <a:solidFill>
                          <a:sysClr val="windowText" lastClr="000000"/>
                        </a:solidFill>
                        <a:latin typeface="+mn-lt"/>
                        <a:ea typeface="+mn-ea"/>
                        <a:cs typeface="+mn-cs"/>
                      </a:defRPr>
                    </a:pPr>
                    <a:fld id="{10546FFD-AACC-46E5-B6D7-E1E339114A6B}" type="CELLREF">
                      <a:rPr lang="en-US" sz="700" baseline="0">
                        <a:solidFill>
                          <a:sysClr val="windowText" lastClr="000000"/>
                        </a:solidFill>
                        <a:latin typeface="+mn-lt"/>
                        <a:ea typeface="+mn-ea"/>
                        <a:cs typeface="+mn-cs"/>
                      </a:rPr>
                      <a:pPr>
                        <a:defRPr>
                          <a:solidFill>
                            <a:sysClr val="windowText" lastClr="000000"/>
                          </a:solidFill>
                          <a:latin typeface="+mn-lt"/>
                          <a:ea typeface="+mn-ea"/>
                          <a:cs typeface="+mn-cs"/>
                        </a:defRPr>
                      </a:pPr>
                      <a:t>[REFERENCA ĆELIJE]</a:t>
                    </a:fld>
                    <a:endParaRPr lang="hr-HR"/>
                  </a:p>
                </c:rich>
              </c:tx>
              <c:spPr>
                <a:gradFill>
                  <a:gsLst>
                    <a:gs pos="0">
                      <a:srgbClr val="4F81BD">
                        <a:lumMod val="5000"/>
                        <a:lumOff val="95000"/>
                      </a:srgbClr>
                    </a:gs>
                    <a:gs pos="100000">
                      <a:srgbClr val="4F81BD">
                        <a:lumMod val="45000"/>
                        <a:lumOff val="55000"/>
                      </a:srgbClr>
                    </a:gs>
                    <a:gs pos="93000">
                      <a:srgbClr val="4BACC6">
                        <a:lumMod val="20000"/>
                        <a:lumOff val="80000"/>
                      </a:srgbClr>
                    </a:gs>
                    <a:gs pos="100000">
                      <a:srgbClr val="4F81BD">
                        <a:lumMod val="30000"/>
                        <a:lumOff val="70000"/>
                      </a:srgbClr>
                    </a:gs>
                  </a:gsLst>
                  <a:lin ang="5400000" scaled="1"/>
                </a:gradFill>
                <a:ln w="25400" cap="flat" cmpd="sng" algn="ctr">
                  <a:solidFill>
                    <a:sysClr val="window" lastClr="FFFFFF">
                      <a:lumMod val="85000"/>
                    </a:sysClr>
                  </a:solidFill>
                  <a:prstDash val="solid"/>
                </a:ln>
                <a:effectLst/>
              </c:spPr>
              <c:showLegendKey val="0"/>
              <c:showVal val="1"/>
              <c:showCatName val="0"/>
              <c:showSerName val="0"/>
              <c:showPercent val="0"/>
              <c:showBubbleSize val="0"/>
              <c:extLst>
                <c:ext xmlns:c15="http://schemas.microsoft.com/office/drawing/2012/chart" uri="{CE6537A1-D6FC-4f65-9D91-7224C49458BB}">
                  <c15:dlblFieldTable>
                    <c15:dlblFTEntry>
                      <c15:txfldGUID>{10546FFD-AACC-46E5-B6D7-E1E339114A6B}</c15:txfldGUID>
                      <c15:f>Sheet1!$B$9</c15:f>
                      <c15:dlblFieldTableCache>
                        <c:ptCount val="1"/>
                        <c:pt idx="0">
                          <c:v>95,9%</c:v>
                        </c:pt>
                      </c15:dlblFieldTableCache>
                    </c15:dlblFTEntry>
                  </c15:dlblFieldTable>
                  <c15:showDataLabelsRange val="0"/>
                </c:ext>
                <c:ext xmlns:c16="http://schemas.microsoft.com/office/drawing/2014/chart" uri="{C3380CC4-5D6E-409C-BE32-E72D297353CC}">
                  <c16:uniqueId val="{00000000-6A89-424F-BD1E-1A9B868778A7}"/>
                </c:ext>
              </c:extLst>
            </c:dLbl>
            <c:dLbl>
              <c:idx val="1"/>
              <c:tx>
                <c:rich>
                  <a:bodyPr wrap="square" lIns="38100" tIns="19050" rIns="38100" bIns="19050" anchor="ctr">
                    <a:spAutoFit/>
                  </a:bodyPr>
                  <a:lstStyle/>
                  <a:p>
                    <a:pPr>
                      <a:defRPr>
                        <a:solidFill>
                          <a:sysClr val="windowText" lastClr="000000"/>
                        </a:solidFill>
                        <a:latin typeface="+mn-lt"/>
                        <a:ea typeface="+mn-ea"/>
                        <a:cs typeface="+mn-cs"/>
                      </a:defRPr>
                    </a:pPr>
                    <a:fld id="{5BBA8821-688A-4E6B-92F9-E74B7917C9F6}" type="CELLREF">
                      <a:rPr lang="en-US" sz="700">
                        <a:solidFill>
                          <a:sysClr val="windowText" lastClr="000000"/>
                        </a:solidFill>
                        <a:latin typeface="+mn-lt"/>
                        <a:ea typeface="+mn-ea"/>
                        <a:cs typeface="+mn-cs"/>
                      </a:rPr>
                      <a:pPr>
                        <a:defRPr>
                          <a:solidFill>
                            <a:sysClr val="windowText" lastClr="000000"/>
                          </a:solidFill>
                          <a:latin typeface="+mn-lt"/>
                          <a:ea typeface="+mn-ea"/>
                          <a:cs typeface="+mn-cs"/>
                        </a:defRPr>
                      </a:pPr>
                      <a:t>[REFERENCA ĆELIJE]</a:t>
                    </a:fld>
                    <a:endParaRPr lang="hr-HR"/>
                  </a:p>
                </c:rich>
              </c:tx>
              <c:spPr>
                <a:gradFill>
                  <a:gsLst>
                    <a:gs pos="0">
                      <a:srgbClr val="4F81BD">
                        <a:lumMod val="5000"/>
                        <a:lumOff val="95000"/>
                      </a:srgbClr>
                    </a:gs>
                    <a:gs pos="100000">
                      <a:srgbClr val="4F81BD">
                        <a:lumMod val="45000"/>
                        <a:lumOff val="55000"/>
                      </a:srgbClr>
                    </a:gs>
                    <a:gs pos="93000">
                      <a:srgbClr val="4BACC6">
                        <a:lumMod val="20000"/>
                        <a:lumOff val="80000"/>
                      </a:srgbClr>
                    </a:gs>
                    <a:gs pos="100000">
                      <a:srgbClr val="4F81BD">
                        <a:lumMod val="30000"/>
                        <a:lumOff val="70000"/>
                      </a:srgbClr>
                    </a:gs>
                  </a:gsLst>
                  <a:lin ang="5400000" scaled="1"/>
                </a:gradFill>
                <a:ln w="25400" cap="flat" cmpd="sng" algn="ctr">
                  <a:solidFill>
                    <a:sysClr val="window" lastClr="FFFFFF">
                      <a:lumMod val="85000"/>
                    </a:sysClr>
                  </a:solidFill>
                  <a:prstDash val="solid"/>
                </a:ln>
                <a:effectLst/>
              </c:spPr>
              <c:showLegendKey val="0"/>
              <c:showVal val="1"/>
              <c:showCatName val="0"/>
              <c:showSerName val="0"/>
              <c:showPercent val="0"/>
              <c:showBubbleSize val="0"/>
              <c:extLst>
                <c:ext xmlns:c15="http://schemas.microsoft.com/office/drawing/2012/chart" uri="{CE6537A1-D6FC-4f65-9D91-7224C49458BB}">
                  <c15:dlblFieldTable>
                    <c15:dlblFTEntry>
                      <c15:txfldGUID>{5BBA8821-688A-4E6B-92F9-E74B7917C9F6}</c15:txfldGUID>
                      <c15:f>Sheet1!$C$9</c15:f>
                      <c15:dlblFieldTableCache>
                        <c:ptCount val="1"/>
                        <c:pt idx="0">
                          <c:v>32,3%</c:v>
                        </c:pt>
                      </c15:dlblFieldTableCache>
                    </c15:dlblFTEntry>
                  </c15:dlblFieldTable>
                  <c15:showDataLabelsRange val="0"/>
                </c:ext>
                <c:ext xmlns:c16="http://schemas.microsoft.com/office/drawing/2014/chart" uri="{C3380CC4-5D6E-409C-BE32-E72D297353CC}">
                  <c16:uniqueId val="{00000001-6A89-424F-BD1E-1A9B868778A7}"/>
                </c:ext>
              </c:extLst>
            </c:dLbl>
            <c:dLbl>
              <c:idx val="2"/>
              <c:tx>
                <c:rich>
                  <a:bodyPr wrap="square" lIns="38100" tIns="19050" rIns="38100" bIns="19050" anchor="ctr">
                    <a:spAutoFit/>
                  </a:bodyPr>
                  <a:lstStyle/>
                  <a:p>
                    <a:pPr>
                      <a:defRPr>
                        <a:solidFill>
                          <a:sysClr val="windowText" lastClr="000000"/>
                        </a:solidFill>
                        <a:latin typeface="+mn-lt"/>
                        <a:ea typeface="+mn-ea"/>
                        <a:cs typeface="+mn-cs"/>
                      </a:defRPr>
                    </a:pPr>
                    <a:fld id="{05B1066F-7510-4813-8ECF-522E8CB1762F}" type="CELLREF">
                      <a:rPr lang="en-US" sz="700"/>
                      <a:pPr>
                        <a:defRPr>
                          <a:solidFill>
                            <a:sysClr val="windowText" lastClr="000000"/>
                          </a:solidFill>
                          <a:latin typeface="+mn-lt"/>
                          <a:ea typeface="+mn-ea"/>
                          <a:cs typeface="+mn-cs"/>
                        </a:defRPr>
                      </a:pPr>
                      <a:t>[REFERENCA ĆELIJE]</a:t>
                    </a:fld>
                    <a:endParaRPr lang="hr-HR"/>
                  </a:p>
                </c:rich>
              </c:tx>
              <c:spPr>
                <a:gradFill>
                  <a:gsLst>
                    <a:gs pos="0">
                      <a:srgbClr val="4F81BD">
                        <a:lumMod val="5000"/>
                        <a:lumOff val="95000"/>
                      </a:srgbClr>
                    </a:gs>
                    <a:gs pos="100000">
                      <a:srgbClr val="4F81BD">
                        <a:lumMod val="45000"/>
                        <a:lumOff val="55000"/>
                      </a:srgbClr>
                    </a:gs>
                    <a:gs pos="93000">
                      <a:srgbClr val="4BACC6">
                        <a:lumMod val="20000"/>
                        <a:lumOff val="80000"/>
                      </a:srgbClr>
                    </a:gs>
                    <a:gs pos="100000">
                      <a:srgbClr val="4F81BD">
                        <a:lumMod val="30000"/>
                        <a:lumOff val="70000"/>
                      </a:srgbClr>
                    </a:gs>
                  </a:gsLst>
                  <a:lin ang="5400000" scaled="1"/>
                </a:gradFill>
                <a:ln w="25400" cap="flat" cmpd="sng" algn="ctr">
                  <a:solidFill>
                    <a:sysClr val="window" lastClr="FFFFFF">
                      <a:lumMod val="85000"/>
                    </a:sysClr>
                  </a:solidFill>
                  <a:prstDash val="solid"/>
                </a:ln>
                <a:effectLst/>
              </c:spPr>
              <c:showLegendKey val="0"/>
              <c:showVal val="1"/>
              <c:showCatName val="0"/>
              <c:showSerName val="0"/>
              <c:showPercent val="0"/>
              <c:showBubbleSize val="0"/>
              <c:extLst>
                <c:ext xmlns:c15="http://schemas.microsoft.com/office/drawing/2012/chart" uri="{CE6537A1-D6FC-4f65-9D91-7224C49458BB}">
                  <c15:dlblFieldTable>
                    <c15:dlblFTEntry>
                      <c15:txfldGUID>{05B1066F-7510-4813-8ECF-522E8CB1762F}</c15:txfldGUID>
                      <c15:f>Sheet1!$D$9</c15:f>
                      <c15:dlblFieldTableCache>
                        <c:ptCount val="1"/>
                        <c:pt idx="0">
                          <c:v>63,1%</c:v>
                        </c:pt>
                      </c15:dlblFieldTableCache>
                    </c15:dlblFTEntry>
                  </c15:dlblFieldTable>
                  <c15:showDataLabelsRange val="0"/>
                </c:ext>
                <c:ext xmlns:c16="http://schemas.microsoft.com/office/drawing/2014/chart" uri="{C3380CC4-5D6E-409C-BE32-E72D297353CC}">
                  <c16:uniqueId val="{00000002-6A89-424F-BD1E-1A9B868778A7}"/>
                </c:ext>
              </c:extLst>
            </c:dLbl>
            <c:dLbl>
              <c:idx val="3"/>
              <c:tx>
                <c:rich>
                  <a:bodyPr wrap="square" lIns="38100" tIns="19050" rIns="38100" bIns="19050" anchor="ctr">
                    <a:spAutoFit/>
                  </a:bodyPr>
                  <a:lstStyle/>
                  <a:p>
                    <a:pPr>
                      <a:defRPr>
                        <a:solidFill>
                          <a:sysClr val="windowText" lastClr="000000"/>
                        </a:solidFill>
                        <a:latin typeface="+mn-lt"/>
                        <a:ea typeface="+mn-ea"/>
                        <a:cs typeface="+mn-cs"/>
                      </a:defRPr>
                    </a:pPr>
                    <a:fld id="{1EAAC6FE-A0E2-4B99-9F7B-BBDC0D1E97E0}" type="CELLREF">
                      <a:rPr lang="en-US" sz="700">
                        <a:solidFill>
                          <a:sysClr val="windowText" lastClr="000000"/>
                        </a:solidFill>
                        <a:latin typeface="+mn-lt"/>
                        <a:ea typeface="+mn-ea"/>
                        <a:cs typeface="+mn-cs"/>
                      </a:rPr>
                      <a:pPr>
                        <a:defRPr>
                          <a:solidFill>
                            <a:sysClr val="windowText" lastClr="000000"/>
                          </a:solidFill>
                          <a:latin typeface="+mn-lt"/>
                          <a:ea typeface="+mn-ea"/>
                          <a:cs typeface="+mn-cs"/>
                        </a:defRPr>
                      </a:pPr>
                      <a:t>[REFERENCA ĆELIJE]</a:t>
                    </a:fld>
                    <a:endParaRPr lang="hr-HR"/>
                  </a:p>
                </c:rich>
              </c:tx>
              <c:spPr>
                <a:gradFill>
                  <a:gsLst>
                    <a:gs pos="0">
                      <a:srgbClr val="4F81BD">
                        <a:lumMod val="5000"/>
                        <a:lumOff val="95000"/>
                      </a:srgbClr>
                    </a:gs>
                    <a:gs pos="100000">
                      <a:srgbClr val="4F81BD">
                        <a:lumMod val="45000"/>
                        <a:lumOff val="55000"/>
                      </a:srgbClr>
                    </a:gs>
                    <a:gs pos="93000">
                      <a:srgbClr val="4BACC6">
                        <a:lumMod val="20000"/>
                        <a:lumOff val="80000"/>
                      </a:srgbClr>
                    </a:gs>
                    <a:gs pos="100000">
                      <a:srgbClr val="4F81BD">
                        <a:lumMod val="30000"/>
                        <a:lumOff val="70000"/>
                      </a:srgbClr>
                    </a:gs>
                  </a:gsLst>
                  <a:lin ang="5400000" scaled="1"/>
                </a:gradFill>
                <a:ln w="25400" cap="flat" cmpd="sng" algn="ctr">
                  <a:solidFill>
                    <a:sysClr val="window" lastClr="FFFFFF">
                      <a:lumMod val="85000"/>
                    </a:sysClr>
                  </a:solidFill>
                  <a:prstDash val="solid"/>
                </a:ln>
                <a:effectLst/>
              </c:spPr>
              <c:showLegendKey val="0"/>
              <c:showVal val="1"/>
              <c:showCatName val="0"/>
              <c:showSerName val="0"/>
              <c:showPercent val="0"/>
              <c:showBubbleSize val="0"/>
              <c:extLst>
                <c:ext xmlns:c15="http://schemas.microsoft.com/office/drawing/2012/chart" uri="{CE6537A1-D6FC-4f65-9D91-7224C49458BB}">
                  <c15:dlblFieldTable>
                    <c15:dlblFTEntry>
                      <c15:txfldGUID>{1EAAC6FE-A0E2-4B99-9F7B-BBDC0D1E97E0}</c15:txfldGUID>
                      <c15:f>Sheet1!$E$9</c15:f>
                      <c15:dlblFieldTableCache>
                        <c:ptCount val="1"/>
                        <c:pt idx="0">
                          <c:v>68,2%</c:v>
                        </c:pt>
                      </c15:dlblFieldTableCache>
                    </c15:dlblFTEntry>
                  </c15:dlblFieldTable>
                  <c15:showDataLabelsRange val="0"/>
                </c:ext>
                <c:ext xmlns:c16="http://schemas.microsoft.com/office/drawing/2014/chart" uri="{C3380CC4-5D6E-409C-BE32-E72D297353CC}">
                  <c16:uniqueId val="{00000003-6A89-424F-BD1E-1A9B868778A7}"/>
                </c:ext>
              </c:extLst>
            </c:dLbl>
            <c:dLbl>
              <c:idx val="4"/>
              <c:tx>
                <c:rich>
                  <a:bodyPr wrap="square" lIns="38100" tIns="19050" rIns="38100" bIns="19050" anchor="ctr">
                    <a:spAutoFit/>
                  </a:bodyPr>
                  <a:lstStyle/>
                  <a:p>
                    <a:pPr>
                      <a:defRPr>
                        <a:solidFill>
                          <a:sysClr val="windowText" lastClr="000000"/>
                        </a:solidFill>
                        <a:latin typeface="+mn-lt"/>
                        <a:ea typeface="+mn-ea"/>
                        <a:cs typeface="+mn-cs"/>
                      </a:defRPr>
                    </a:pPr>
                    <a:fld id="{2A7756C5-FD9B-4C5C-BB6C-BE93265E8511}" type="CELLREF">
                      <a:rPr lang="en-US" sz="700">
                        <a:solidFill>
                          <a:sysClr val="windowText" lastClr="000000"/>
                        </a:solidFill>
                        <a:latin typeface="+mn-lt"/>
                        <a:ea typeface="+mn-ea"/>
                        <a:cs typeface="+mn-cs"/>
                      </a:rPr>
                      <a:pPr>
                        <a:defRPr>
                          <a:solidFill>
                            <a:sysClr val="windowText" lastClr="000000"/>
                          </a:solidFill>
                          <a:latin typeface="+mn-lt"/>
                          <a:ea typeface="+mn-ea"/>
                          <a:cs typeface="+mn-cs"/>
                        </a:defRPr>
                      </a:pPr>
                      <a:t>[REFERENCA ĆELIJE]</a:t>
                    </a:fld>
                    <a:endParaRPr lang="hr-HR"/>
                  </a:p>
                </c:rich>
              </c:tx>
              <c:spPr>
                <a:gradFill>
                  <a:gsLst>
                    <a:gs pos="0">
                      <a:srgbClr val="4F81BD">
                        <a:lumMod val="5000"/>
                        <a:lumOff val="95000"/>
                      </a:srgbClr>
                    </a:gs>
                    <a:gs pos="100000">
                      <a:srgbClr val="4F81BD">
                        <a:lumMod val="45000"/>
                        <a:lumOff val="55000"/>
                      </a:srgbClr>
                    </a:gs>
                    <a:gs pos="93000">
                      <a:srgbClr val="4BACC6">
                        <a:lumMod val="20000"/>
                        <a:lumOff val="80000"/>
                      </a:srgbClr>
                    </a:gs>
                    <a:gs pos="100000">
                      <a:srgbClr val="4F81BD">
                        <a:lumMod val="30000"/>
                        <a:lumOff val="70000"/>
                      </a:srgbClr>
                    </a:gs>
                  </a:gsLst>
                  <a:lin ang="5400000" scaled="1"/>
                </a:gradFill>
                <a:ln w="25400" cap="flat" cmpd="sng" algn="ctr">
                  <a:solidFill>
                    <a:sysClr val="window" lastClr="FFFFFF">
                      <a:lumMod val="85000"/>
                    </a:sysClr>
                  </a:solidFill>
                  <a:prstDash val="solid"/>
                </a:ln>
                <a:effectLst/>
              </c:spPr>
              <c:showLegendKey val="0"/>
              <c:showVal val="1"/>
              <c:showCatName val="0"/>
              <c:showSerName val="0"/>
              <c:showPercent val="0"/>
              <c:showBubbleSize val="0"/>
              <c:extLst>
                <c:ext xmlns:c15="http://schemas.microsoft.com/office/drawing/2012/chart" uri="{CE6537A1-D6FC-4f65-9D91-7224C49458BB}">
                  <c15:dlblFieldTable>
                    <c15:dlblFTEntry>
                      <c15:txfldGUID>{2A7756C5-FD9B-4C5C-BB6C-BE93265E8511}</c15:txfldGUID>
                      <c15:f>Sheet1!$F$9</c15:f>
                      <c15:dlblFieldTableCache>
                        <c:ptCount val="1"/>
                        <c:pt idx="0">
                          <c:v>54,7%</c:v>
                        </c:pt>
                      </c15:dlblFieldTableCache>
                    </c15:dlblFTEntry>
                  </c15:dlblFieldTable>
                  <c15:showDataLabelsRange val="0"/>
                </c:ext>
                <c:ext xmlns:c16="http://schemas.microsoft.com/office/drawing/2014/chart" uri="{C3380CC4-5D6E-409C-BE32-E72D297353CC}">
                  <c16:uniqueId val="{00000004-6A89-424F-BD1E-1A9B868778A7}"/>
                </c:ext>
              </c:extLst>
            </c:dLbl>
            <c:spPr>
              <a:gradFill>
                <a:gsLst>
                  <a:gs pos="0">
                    <a:srgbClr val="4F81BD">
                      <a:lumMod val="5000"/>
                      <a:lumOff val="95000"/>
                    </a:srgbClr>
                  </a:gs>
                  <a:gs pos="100000">
                    <a:srgbClr val="4F81BD">
                      <a:lumMod val="45000"/>
                      <a:lumOff val="55000"/>
                    </a:srgbClr>
                  </a:gs>
                  <a:gs pos="93000">
                    <a:srgbClr val="4BACC6">
                      <a:lumMod val="20000"/>
                      <a:lumOff val="80000"/>
                    </a:srgbClr>
                  </a:gs>
                  <a:gs pos="100000">
                    <a:srgbClr val="4F81BD">
                      <a:lumMod val="30000"/>
                      <a:lumOff val="70000"/>
                    </a:srgbClr>
                  </a:gs>
                </a:gsLst>
                <a:lin ang="5400000" scaled="1"/>
              </a:gradFill>
              <a:ln>
                <a:solidFill>
                  <a:sysClr val="window" lastClr="FFFFFF">
                    <a:lumMod val="85000"/>
                  </a:sysClr>
                </a:solid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Sheet1!$B$1:$L$1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Sheet1!$B$3:$L$3</c:f>
              <c:numCache>
                <c:formatCode>#,##0.00</c:formatCode>
                <c:ptCount val="11"/>
                <c:pt idx="0">
                  <c:v>1743142.2775233923</c:v>
                </c:pt>
                <c:pt idx="1">
                  <c:v>399401.48251377</c:v>
                </c:pt>
                <c:pt idx="2">
                  <c:v>496231.88798194967</c:v>
                </c:pt>
                <c:pt idx="3">
                  <c:v>616716.71112880739</c:v>
                </c:pt>
                <c:pt idx="4">
                  <c:v>348014.17214148247</c:v>
                </c:pt>
                <c:pt idx="5">
                  <c:v>0</c:v>
                </c:pt>
                <c:pt idx="6">
                  <c:v>0</c:v>
                </c:pt>
                <c:pt idx="7">
                  <c:v>2654.4561682925209</c:v>
                </c:pt>
                <c:pt idx="8">
                  <c:v>0</c:v>
                </c:pt>
                <c:pt idx="9">
                  <c:v>0</c:v>
                </c:pt>
                <c:pt idx="10">
                  <c:v>0</c:v>
                </c:pt>
              </c:numCache>
            </c:numRef>
          </c:val>
          <c:extLst>
            <c:ext xmlns:c16="http://schemas.microsoft.com/office/drawing/2014/chart" uri="{C3380CC4-5D6E-409C-BE32-E72D297353CC}">
              <c16:uniqueId val="{00000005-6A89-424F-BD1E-1A9B868778A7}"/>
            </c:ext>
          </c:extLst>
        </c:ser>
        <c:ser>
          <c:idx val="1"/>
          <c:order val="1"/>
          <c:tx>
            <c:strRef>
              <c:f>Sheet1!$A$4</c:f>
              <c:strCache>
                <c:ptCount val="1"/>
                <c:pt idx="0">
                  <c:v>IZDACI ZA OTPLATU GLAVNICE PRIMLJENIH KREDITA (54)</c:v>
                </c:pt>
              </c:strCache>
            </c:strRef>
          </c:tx>
          <c:spPr>
            <a:solidFill>
              <a:srgbClr val="1F497D">
                <a:lumMod val="60000"/>
                <a:lumOff val="40000"/>
              </a:srgbClr>
            </a:solidFill>
            <a:ln w="7628">
              <a:solidFill>
                <a:srgbClr val="000000"/>
              </a:solidFill>
              <a:prstDash val="solid"/>
            </a:ln>
          </c:spPr>
          <c:invertIfNegative val="0"/>
          <c:dLbls>
            <c:dLbl>
              <c:idx val="0"/>
              <c:layout>
                <c:manualLayout>
                  <c:x val="4.110167301297353E-3"/>
                  <c:y val="-8.2622550470664816E-2"/>
                </c:manualLayout>
              </c:layout>
              <c:tx>
                <c:rich>
                  <a:bodyPr wrap="square" lIns="38100" tIns="19050" rIns="38100" bIns="19050" anchor="ctr">
                    <a:noAutofit/>
                  </a:bodyPr>
                  <a:lstStyle/>
                  <a:p>
                    <a:pPr>
                      <a:defRPr sz="700"/>
                    </a:pPr>
                    <a:r>
                      <a:rPr lang="en-US" sz="700"/>
                      <a:t>4,1%</a:t>
                    </a:r>
                  </a:p>
                </c:rich>
              </c:tx>
              <c:spPr>
                <a:solidFill>
                  <a:sysClr val="window" lastClr="FFFFFF"/>
                </a:solidFill>
                <a:ln>
                  <a:noFill/>
                </a:ln>
                <a:effectLst>
                  <a:innerShdw blurRad="63500" dist="50800" dir="16200000">
                    <a:srgbClr val="4BACC6">
                      <a:lumMod val="40000"/>
                      <a:lumOff val="60000"/>
                      <a:alpha val="50000"/>
                    </a:srgbClr>
                  </a:innerShdw>
                </a:effectLst>
              </c:spPr>
              <c:showLegendKey val="0"/>
              <c:showVal val="1"/>
              <c:showCatName val="0"/>
              <c:showSerName val="0"/>
              <c:showPercent val="0"/>
              <c:showBubbleSize val="0"/>
              <c:extLst>
                <c:ext xmlns:c15="http://schemas.microsoft.com/office/drawing/2012/chart" uri="{CE6537A1-D6FC-4f65-9D91-7224C49458BB}">
                  <c15:layout>
                    <c:manualLayout>
                      <c:w val="4.1252437794626048E-2"/>
                      <c:h val="5.8264716910386191E-2"/>
                    </c:manualLayout>
                  </c15:layout>
                  <c15:showDataLabelsRange val="0"/>
                </c:ext>
                <c:ext xmlns:c16="http://schemas.microsoft.com/office/drawing/2014/chart" uri="{C3380CC4-5D6E-409C-BE32-E72D297353CC}">
                  <c16:uniqueId val="{00000006-6A89-424F-BD1E-1A9B868778A7}"/>
                </c:ext>
              </c:extLst>
            </c:dLbl>
            <c:dLbl>
              <c:idx val="1"/>
              <c:layout>
                <c:manualLayout>
                  <c:x val="1.3748539217708119E-3"/>
                  <c:y val="0"/>
                </c:manualLayout>
              </c:layout>
              <c:tx>
                <c:rich>
                  <a:bodyPr/>
                  <a:lstStyle/>
                  <a:p>
                    <a:r>
                      <a:rPr lang="en-US"/>
                      <a:t>67,7%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6A89-424F-BD1E-1A9B868778A7}"/>
                </c:ext>
              </c:extLst>
            </c:dLbl>
            <c:dLbl>
              <c:idx val="2"/>
              <c:layout>
                <c:manualLayout>
                  <c:x val="1.2038523274478281E-2"/>
                  <c:y val="-5.6390977443609089E-2"/>
                </c:manualLayout>
              </c:layout>
              <c:tx>
                <c:rich>
                  <a:bodyPr/>
                  <a:lstStyle/>
                  <a:p>
                    <a:r>
                      <a:rPr lang="en-US"/>
                      <a:t>36,9%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6A89-424F-BD1E-1A9B868778A7}"/>
                </c:ext>
              </c:extLst>
            </c:dLbl>
            <c:dLbl>
              <c:idx val="3"/>
              <c:layout>
                <c:manualLayout>
                  <c:x val="2.0064205457463933E-2"/>
                  <c:y val="-4.1353383458646614E-2"/>
                </c:manualLayout>
              </c:layout>
              <c:tx>
                <c:rich>
                  <a:bodyPr/>
                  <a:lstStyle/>
                  <a:p>
                    <a:r>
                      <a:rPr lang="en-US"/>
                      <a:t>31,8%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6A89-424F-BD1E-1A9B868778A7}"/>
                </c:ext>
              </c:extLst>
            </c:dLbl>
            <c:dLbl>
              <c:idx val="4"/>
              <c:layout>
                <c:manualLayout>
                  <c:x val="1.7388978063135267E-2"/>
                  <c:y val="-4.8872180451127886E-2"/>
                </c:manualLayout>
              </c:layout>
              <c:tx>
                <c:rich>
                  <a:bodyPr/>
                  <a:lstStyle/>
                  <a:p>
                    <a:r>
                      <a:rPr lang="en-US"/>
                      <a:t>45,3%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6A89-424F-BD1E-1A9B868778A7}"/>
                </c:ext>
              </c:extLst>
            </c:dLbl>
            <c:dLbl>
              <c:idx val="5"/>
              <c:layout>
                <c:manualLayout>
                  <c:x val="-2.7497078435416238E-3"/>
                  <c:y val="-6.331705569444776E-2"/>
                </c:manualLayout>
              </c:layout>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6A89-424F-BD1E-1A9B868778A7}"/>
                </c:ext>
              </c:extLst>
            </c:dLbl>
            <c:dLbl>
              <c:idx val="6"/>
              <c:layout>
                <c:manualLayout>
                  <c:x val="6.8743174387239482E-3"/>
                  <c:y val="-0.16549595084948054"/>
                </c:manualLayout>
              </c:layout>
              <c:tx>
                <c:rich>
                  <a:bodyPr/>
                  <a:lstStyle/>
                  <a:p>
                    <a:fld id="{0572A376-D9F5-45B2-8068-CCC02C4D3EDF}" type="CELLREF">
                      <a:rPr lang="en-US" sz="800"/>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{0572A376-D9F5-45B2-8068-CCC02C4D3EDF}</c15:txfldGUID>
                      <c15:f>Sheet1!$H$10</c15:f>
                      <c15:dlblFieldTableCache>
                        <c:ptCount val="1"/>
                        <c:pt idx="0">
                          <c:v>100,0%</c:v>
                        </c:pt>
                      </c15:dlblFieldTableCache>
                    </c15:dlblFTEntry>
                  </c15:dlblFieldTable>
                  <c15:showDataLabelsRange val="0"/>
                </c:ext>
                <c:ext xmlns:c16="http://schemas.microsoft.com/office/drawing/2014/chart" uri="{C3380CC4-5D6E-409C-BE32-E72D297353CC}">
                  <c16:uniqueId val="{0000000C-6A89-424F-BD1E-1A9B868778A7}"/>
                </c:ext>
              </c:extLst>
            </c:dLbl>
            <c:dLbl>
              <c:idx val="7"/>
              <c:layout>
                <c:manualLayout>
                  <c:x val="-7.3614919343663529E-3"/>
                  <c:y val="-2.3911526618928272E-2"/>
                </c:manualLayout>
              </c:layout>
              <c:tx>
                <c:rich>
                  <a:bodyPr wrap="square" lIns="38100" tIns="19050" rIns="38100" bIns="19050" anchor="ctr">
                    <a:noAutofit/>
                  </a:bodyPr>
                  <a:lstStyle/>
                  <a:p>
                    <a:pPr>
                      <a:defRPr sz="700"/>
                    </a:pPr>
                    <a:fld id="{E0C30AC0-0808-4576-8AD4-EE91459A49DB}" type="CELLREF">
                      <a:rPr lang="en-US" sz="700"/>
                      <a:pPr>
                        <a:defRPr sz="700"/>
                      </a:pPr>
                      <a:t>[REFERENCA ĆELIJE]</a:t>
                    </a:fld>
                    <a:endParaRPr lang="hr-HR"/>
                  </a:p>
                </c:rich>
              </c:tx>
              <c:spPr>
                <a:solidFill>
                  <a:sysClr val="window" lastClr="FFFFFF"/>
                </a:solidFill>
                <a:ln>
                  <a:noFill/>
                </a:ln>
                <a:effectLst>
                  <a:innerShdw blurRad="63500" dist="50800" dir="16200000">
                    <a:srgbClr val="4BACC6">
                      <a:lumMod val="40000"/>
                      <a:lumOff val="60000"/>
                      <a:alpha val="50000"/>
                    </a:srgbClr>
                  </a:innerShdw>
                </a:effectLst>
              </c:spPr>
              <c:showLegendKey val="0"/>
              <c:showVal val="1"/>
              <c:showCatName val="0"/>
              <c:showSerName val="0"/>
              <c:showPercent val="0"/>
              <c:showBubbleSize val="0"/>
              <c:extLst>
                <c:ext xmlns:c15="http://schemas.microsoft.com/office/drawing/2012/chart" uri="{CE6537A1-D6FC-4f65-9D91-7224C49458BB}">
                  <c15:layout>
                    <c:manualLayout>
                      <c:w val="3.5165764731307662E-2"/>
                      <c:h val="4.6978772866442149E-2"/>
                    </c:manualLayout>
                  </c15:layout>
                  <c15:dlblFieldTable>
                    <c15:dlblFTEntry>
                      <c15:txfldGUID>{E0C30AC0-0808-4576-8AD4-EE91459A49DB}</c15:txfldGUID>
                      <c15:f>Sheet1!$I$10</c15:f>
                      <c15:dlblFieldTableCache>
                        <c:ptCount val="1"/>
                        <c:pt idx="0">
                          <c:v>99,6%</c:v>
                        </c:pt>
                      </c15:dlblFieldTableCache>
                    </c15:dlblFTEntry>
                  </c15:dlblFieldTable>
                  <c15:showDataLabelsRange val="0"/>
                </c:ext>
                <c:ext xmlns:c16="http://schemas.microsoft.com/office/drawing/2014/chart" uri="{C3380CC4-5D6E-409C-BE32-E72D297353CC}">
                  <c16:uniqueId val="{0000000D-6A89-424F-BD1E-1A9B868778A7}"/>
                </c:ext>
              </c:extLst>
            </c:dLbl>
            <c:dLbl>
              <c:idx val="8"/>
              <c:layout>
                <c:manualLayout>
                  <c:x val="-1.8992160911962524E-2"/>
                  <c:y val="-3.4416004649446869E-3"/>
                </c:manualLayout>
              </c:layout>
              <c:tx>
                <c:rich>
                  <a:bodyPr/>
                  <a:lstStyle/>
                  <a:p>
                    <a:fld id="{D9B7D486-5066-4F45-8EF2-03FD1770744E}" type="CELLREF">
                      <a:rPr lang="en-US" sz="700"/>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{D9B7D486-5066-4F45-8EF2-03FD1770744E}</c15:txfldGUID>
                      <c15:f>Sheet1!$J$10</c15:f>
                      <c15:dlblFieldTableCache>
                        <c:ptCount val="1"/>
                        <c:pt idx="0">
                          <c:v>10,5%</c:v>
                        </c:pt>
                      </c15:dlblFieldTableCache>
                    </c15:dlblFTEntry>
                  </c15:dlblFieldTable>
                  <c15:showDataLabelsRange val="0"/>
                </c:ext>
                <c:ext xmlns:c16="http://schemas.microsoft.com/office/drawing/2014/chart" uri="{C3380CC4-5D6E-409C-BE32-E72D297353CC}">
                  <c16:uniqueId val="{0000000E-6A89-424F-BD1E-1A9B868778A7}"/>
                </c:ext>
              </c:extLst>
            </c:dLbl>
            <c:dLbl>
              <c:idx val="9"/>
              <c:layout>
                <c:manualLayout>
                  <c:x val="6.9309675630719065E-3"/>
                  <c:y val="-0.11766803351756107"/>
                </c:manualLayout>
              </c:layout>
              <c:tx>
                <c:rich>
                  <a:bodyPr/>
                  <a:lstStyle/>
                  <a:p>
                    <a:fld id="{54B56156-372B-4EE3-8726-EA9981D1F97A}"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{54B56156-372B-4EE3-8726-EA9981D1F97A}</c15:txfldGUID>
                      <c15:f>Sheet1!$K$10</c15:f>
                      <c15:dlblFieldTableCache>
                        <c:ptCount val="1"/>
                        <c:pt idx="0">
                          <c:v>100,0%</c:v>
                        </c:pt>
                      </c15:dlblFieldTableCache>
                    </c15:dlblFTEntry>
                  </c15:dlblFieldTable>
                  <c15:showDataLabelsRange val="0"/>
                </c:ext>
                <c:ext xmlns:c16="http://schemas.microsoft.com/office/drawing/2014/chart" uri="{C3380CC4-5D6E-409C-BE32-E72D297353CC}">
                  <c16:uniqueId val="{0000000F-6A89-424F-BD1E-1A9B868778A7}"/>
                </c:ext>
              </c:extLst>
            </c:dLbl>
            <c:dLbl>
              <c:idx val="10"/>
              <c:layout>
                <c:manualLayout>
                  <c:x val="3.145514223194748E-2"/>
                  <c:y val="-3.007518796992481E-2"/>
                </c:manualLayout>
              </c:layout>
              <c:tx>
                <c:rich>
                  <a:bodyPr/>
                  <a:lstStyle/>
                  <a:p>
                    <a:fld id="{FDCEB433-1EEA-40F0-BBD1-F2FD3DD06E24}"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{FDCEB433-1EEA-40F0-BBD1-F2FD3DD06E24}</c15:txfldGUID>
                      <c15:f>Sheet1!$L$10</c15:f>
                      <c15:dlblFieldTableCache>
                        <c:ptCount val="1"/>
                        <c:pt idx="0">
                          <c:v>99,9%</c:v>
                        </c:pt>
                      </c15:dlblFieldTableCache>
                    </c15:dlblFTEntry>
                  </c15:dlblFieldTable>
                  <c15:showDataLabelsRange val="0"/>
                </c:ext>
                <c:ext xmlns:c16="http://schemas.microsoft.com/office/drawing/2014/chart" uri="{C3380CC4-5D6E-409C-BE32-E72D297353CC}">
                  <c16:uniqueId val="{00000000-B935-457C-BBCB-51B273816C07}"/>
                </c:ext>
              </c:extLst>
            </c:dLbl>
            <c:spPr>
              <a:solidFill>
                <a:sysClr val="window" lastClr="FFFFFF"/>
              </a:solidFill>
              <a:ln>
                <a:noFill/>
              </a:ln>
              <a:effectLst>
                <a:innerShdw blurRad="63500" dist="50800" dir="16200000">
                  <a:srgbClr val="4BACC6">
                    <a:lumMod val="40000"/>
                    <a:lumOff val="60000"/>
                    <a:alpha val="50000"/>
                  </a:srgbClr>
                </a:innerShdw>
              </a:effectLst>
            </c:spPr>
            <c:txPr>
              <a:bodyPr wrap="square" lIns="38100" tIns="19050" rIns="38100" bIns="19050" anchor="ctr">
                <a:spAutoFit/>
              </a:bodyPr>
              <a:lstStyle/>
              <a:p>
                <a:pPr>
                  <a:defRPr sz="700"/>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Sheet1!$B$1:$L$1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Sheet1!$B$4:$L$4</c:f>
              <c:numCache>
                <c:formatCode>#,##0.00</c:formatCode>
                <c:ptCount val="11"/>
                <c:pt idx="0">
                  <c:v>74192.522396973916</c:v>
                </c:pt>
                <c:pt idx="1">
                  <c:v>836200.90516955336</c:v>
                </c:pt>
                <c:pt idx="2">
                  <c:v>289605.21335191448</c:v>
                </c:pt>
                <c:pt idx="3">
                  <c:v>287640.31322582782</c:v>
                </c:pt>
                <c:pt idx="4">
                  <c:v>287632.44674497307</c:v>
                </c:pt>
                <c:pt idx="5">
                  <c:v>46452.982945119118</c:v>
                </c:pt>
                <c:pt idx="6">
                  <c:v>809079.4983077842</c:v>
                </c:pt>
                <c:pt idx="7">
                  <c:v>723999.72128210228</c:v>
                </c:pt>
                <c:pt idx="8">
                  <c:v>292385.12</c:v>
                </c:pt>
                <c:pt idx="9">
                  <c:v>544206.34</c:v>
                </c:pt>
                <c:pt idx="10">
                  <c:v>993780.35</c:v>
                </c:pt>
              </c:numCache>
            </c:numRef>
          </c:val>
          <c:extLst>
            <c:ext xmlns:c16="http://schemas.microsoft.com/office/drawing/2014/chart" uri="{C3380CC4-5D6E-409C-BE32-E72D297353CC}">
              <c16:uniqueId val="{00000010-6A89-424F-BD1E-1A9B868778A7}"/>
            </c:ext>
          </c:extLst>
        </c:ser>
        <c:ser>
          <c:idx val="2"/>
          <c:order val="2"/>
          <c:tx>
            <c:strRef>
              <c:f>Sheet1!$A$2</c:f>
              <c:strCache>
                <c:ptCount val="1"/>
                <c:pt idx="0">
                  <c:v>IZDACI ZA DANE ZAJMOVE I DEPOZITE (51)</c:v>
                </c:pt>
              </c:strCache>
            </c:strRef>
          </c:tx>
          <c:spPr>
            <a:solidFill>
              <a:srgbClr val="EE0000"/>
            </a:solidFill>
            <a:ln>
              <a:solidFill>
                <a:srgbClr val="EE0000"/>
              </a:solid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D556-4E72-A177-0BD9803F70FC}"/>
                </c:ext>
              </c:extLst>
            </c:dLbl>
            <c:dLbl>
              <c:idx val="1"/>
              <c:delete val="1"/>
              <c:extLst>
                <c:ext xmlns:c15="http://schemas.microsoft.com/office/drawing/2012/chart" uri="{CE6537A1-D6FC-4f65-9D91-7224C49458BB}"/>
                <c:ext xmlns:c16="http://schemas.microsoft.com/office/drawing/2014/chart" uri="{C3380CC4-5D6E-409C-BE32-E72D297353CC}">
                  <c16:uniqueId val="{00000002-D556-4E72-A177-0BD9803F70FC}"/>
                </c:ext>
              </c:extLst>
            </c:dLbl>
            <c:dLbl>
              <c:idx val="2"/>
              <c:delete val="1"/>
              <c:extLst>
                <c:ext xmlns:c15="http://schemas.microsoft.com/office/drawing/2012/chart" uri="{CE6537A1-D6FC-4f65-9D91-7224C49458BB}"/>
                <c:ext xmlns:c16="http://schemas.microsoft.com/office/drawing/2014/chart" uri="{C3380CC4-5D6E-409C-BE32-E72D297353CC}">
                  <c16:uniqueId val="{00000003-D556-4E72-A177-0BD9803F70FC}"/>
                </c:ext>
              </c:extLst>
            </c:dLbl>
            <c:dLbl>
              <c:idx val="3"/>
              <c:delete val="1"/>
              <c:extLst>
                <c:ext xmlns:c15="http://schemas.microsoft.com/office/drawing/2012/chart" uri="{CE6537A1-D6FC-4f65-9D91-7224C49458BB}"/>
                <c:ext xmlns:c16="http://schemas.microsoft.com/office/drawing/2014/chart" uri="{C3380CC4-5D6E-409C-BE32-E72D297353CC}">
                  <c16:uniqueId val="{00000004-D556-4E72-A177-0BD9803F70FC}"/>
                </c:ext>
              </c:extLst>
            </c:dLbl>
            <c:dLbl>
              <c:idx val="4"/>
              <c:delete val="1"/>
              <c:extLst>
                <c:ext xmlns:c15="http://schemas.microsoft.com/office/drawing/2012/chart" uri="{CE6537A1-D6FC-4f65-9D91-7224C49458BB}"/>
                <c:ext xmlns:c16="http://schemas.microsoft.com/office/drawing/2014/chart" uri="{C3380CC4-5D6E-409C-BE32-E72D297353CC}">
                  <c16:uniqueId val="{00000005-D556-4E72-A177-0BD9803F70FC}"/>
                </c:ext>
              </c:extLst>
            </c:dLbl>
            <c:dLbl>
              <c:idx val="5"/>
              <c:delete val="1"/>
              <c:extLst>
                <c:ext xmlns:c15="http://schemas.microsoft.com/office/drawing/2012/chart" uri="{CE6537A1-D6FC-4f65-9D91-7224C49458BB}"/>
                <c:ext xmlns:c16="http://schemas.microsoft.com/office/drawing/2014/chart" uri="{C3380CC4-5D6E-409C-BE32-E72D297353CC}">
                  <c16:uniqueId val="{00000006-D556-4E72-A177-0BD9803F70FC}"/>
                </c:ext>
              </c:extLst>
            </c:dLbl>
            <c:dLbl>
              <c:idx val="6"/>
              <c:delete val="1"/>
              <c:extLst>
                <c:ext xmlns:c15="http://schemas.microsoft.com/office/drawing/2012/chart" uri="{CE6537A1-D6FC-4f65-9D91-7224C49458BB}"/>
                <c:ext xmlns:c16="http://schemas.microsoft.com/office/drawing/2014/chart" uri="{C3380CC4-5D6E-409C-BE32-E72D297353CC}">
                  <c16:uniqueId val="{00000007-D556-4E72-A177-0BD9803F70FC}"/>
                </c:ext>
              </c:extLst>
            </c:dLbl>
            <c:dLbl>
              <c:idx val="7"/>
              <c:layout>
                <c:manualLayout>
                  <c:x val="1.3676148796498905E-3"/>
                  <c:y val="-7.5187969924812026E-2"/>
                </c:manualLayout>
              </c:layout>
              <c:tx>
                <c:rich>
                  <a:bodyPr/>
                  <a:lstStyle/>
                  <a:p>
                    <a:fld id="{77013FC6-589F-40E2-A9C7-9A6387450020}"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{77013FC6-589F-40E2-A9C7-9A6387450020}</c15:txfldGUID>
                      <c15:f>Sheet1!$I$9</c15:f>
                      <c15:dlblFieldTableCache>
                        <c:ptCount val="1"/>
                        <c:pt idx="0">
                          <c:v>0,4%</c:v>
                        </c:pt>
                      </c15:dlblFieldTableCache>
                    </c15:dlblFTEntry>
                  </c15:dlblFieldTable>
                  <c15:showDataLabelsRange val="0"/>
                </c:ext>
                <c:ext xmlns:c16="http://schemas.microsoft.com/office/drawing/2014/chart" uri="{C3380CC4-5D6E-409C-BE32-E72D297353CC}">
                  <c16:uniqueId val="{00000008-D556-4E72-A177-0BD9803F70FC}"/>
                </c:ext>
              </c:extLst>
            </c:dLbl>
            <c:dLbl>
              <c:idx val="8"/>
              <c:tx>
                <c:rich>
                  <a:bodyPr/>
                  <a:lstStyle/>
                  <a:p>
                    <a:fld id="{937F9D57-AD59-4369-B714-CD318727318B}" type="CELLREF">
                      <a:rPr lang="en-US">
                        <a:solidFill>
                          <a:sysClr val="windowText" lastClr="000000"/>
                        </a:solidFill>
                        <a:latin typeface="+mn-lt"/>
                        <a:ea typeface="+mn-ea"/>
                        <a:cs typeface="+mn-cs"/>
                      </a:rPr>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{937F9D57-AD59-4369-B714-CD318727318B}</c15:txfldGUID>
                      <c15:f>Sheet1!$J$8</c15:f>
                      <c15:dlblFieldTableCache>
                        <c:ptCount val="1"/>
                        <c:pt idx="0">
                          <c:v>89,5%</c:v>
                        </c:pt>
                      </c15:dlblFieldTableCache>
                    </c15:dlblFTEntry>
                  </c15:dlblFieldTable>
                  <c15:showDataLabelsRange val="0"/>
                </c:ext>
                <c:ext xmlns:c16="http://schemas.microsoft.com/office/drawing/2014/chart" uri="{C3380CC4-5D6E-409C-BE32-E72D297353CC}">
                  <c16:uniqueId val="{00000011-6A89-424F-BD1E-1A9B868778A7}"/>
                </c:ext>
              </c:extLst>
            </c:dLbl>
            <c:dLbl>
              <c:idx val="9"/>
              <c:delete val="1"/>
              <c:extLst>
                <c:ext xmlns:c15="http://schemas.microsoft.com/office/drawing/2012/chart" uri="{CE6537A1-D6FC-4f65-9D91-7224C49458BB}"/>
                <c:ext xmlns:c16="http://schemas.microsoft.com/office/drawing/2014/chart" uri="{C3380CC4-5D6E-409C-BE32-E72D297353CC}">
                  <c16:uniqueId val="{00000009-D556-4E72-A177-0BD9803F70FC}"/>
                </c:ext>
              </c:extLst>
            </c:dLbl>
            <c:dLbl>
              <c:idx val="10"/>
              <c:layout>
                <c:manualLayout>
                  <c:x val="1.6411378555798786E-2"/>
                  <c:y val="-7.8947368421052697E-2"/>
                </c:manualLayout>
              </c:layout>
              <c:tx>
                <c:rich>
                  <a:bodyPr wrap="square" lIns="38100" tIns="19050" rIns="38100" bIns="19050" anchor="ctr">
                    <a:spAutoFit/>
                  </a:bodyPr>
                  <a:lstStyle/>
                  <a:p>
                    <a:pPr>
                      <a:defRPr/>
                    </a:pPr>
                    <a:fld id="{C355268D-B8CF-4373-8E31-06FE1AB47E31}" type="CELLREF">
                      <a:rPr lang="en-US"/>
                      <a:pPr>
                        <a:defRPr/>
                      </a:pPr>
                      <a:t>[REFERENCA ĆELIJE]</a:t>
                    </a:fld>
                    <a:endParaRPr lang="hr-HR"/>
                  </a:p>
                </c:rich>
              </c:tx>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dlblFTEntry>
                      <c15:txfldGUID>{C355268D-B8CF-4373-8E31-06FE1AB47E31}</c15:txfldGUID>
                      <c15:f>Sheet1!$L$8</c15:f>
                      <c15:dlblFieldTableCache>
                        <c:ptCount val="1"/>
                        <c:pt idx="0">
                          <c:v>0,1%</c:v>
                        </c:pt>
                      </c15:dlblFieldTableCache>
                    </c15:dlblFTEntry>
                  </c15:dlblFieldTable>
                  <c15:showDataLabelsRange val="0"/>
                </c:ext>
                <c:ext xmlns:c16="http://schemas.microsoft.com/office/drawing/2014/chart" uri="{C3380CC4-5D6E-409C-BE32-E72D297353CC}">
                  <c16:uniqueId val="{00000000-D556-4E72-A177-0BD9803F70FC}"/>
                </c:ext>
              </c:extLst>
            </c:dLbl>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Sheet1!$B$1:$L$1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Sheet1!$B$2:$L$2</c:f>
              <c:numCache>
                <c:formatCode>#,##0.00</c:formatCode>
                <c:ptCount val="11"/>
                <c:pt idx="0">
                  <c:v>0</c:v>
                </c:pt>
                <c:pt idx="1">
                  <c:v>0</c:v>
                </c:pt>
                <c:pt idx="2">
                  <c:v>0</c:v>
                </c:pt>
                <c:pt idx="3">
                  <c:v>0</c:v>
                </c:pt>
                <c:pt idx="4">
                  <c:v>0</c:v>
                </c:pt>
                <c:pt idx="5">
                  <c:v>0</c:v>
                </c:pt>
                <c:pt idx="6">
                  <c:v>0</c:v>
                </c:pt>
                <c:pt idx="7">
                  <c:v>0</c:v>
                </c:pt>
                <c:pt idx="8">
                  <c:v>2500000</c:v>
                </c:pt>
                <c:pt idx="9">
                  <c:v>0</c:v>
                </c:pt>
                <c:pt idx="10">
                  <c:v>1000</c:v>
                </c:pt>
              </c:numCache>
            </c:numRef>
          </c:val>
          <c:extLst>
            <c:ext xmlns:c16="http://schemas.microsoft.com/office/drawing/2014/chart" uri="{C3380CC4-5D6E-409C-BE32-E72D297353CC}">
              <c16:uniqueId val="{00000012-6A89-424F-BD1E-1A9B868778A7}"/>
            </c:ext>
          </c:extLst>
        </c:ser>
        <c:dLbls>
          <c:showLegendKey val="0"/>
          <c:showVal val="0"/>
          <c:showCatName val="0"/>
          <c:showSerName val="0"/>
          <c:showPercent val="0"/>
          <c:showBubbleSize val="0"/>
        </c:dLbls>
        <c:gapWidth val="150"/>
        <c:overlap val="100"/>
        <c:axId val="280651264"/>
        <c:axId val="204378624"/>
      </c:barChart>
      <c:catAx>
        <c:axId val="280651264"/>
        <c:scaling>
          <c:orientation val="minMax"/>
        </c:scaling>
        <c:delete val="0"/>
        <c:axPos val="b"/>
        <c:title>
          <c:tx>
            <c:rich>
              <a:bodyPr/>
              <a:lstStyle/>
              <a:p>
                <a:pPr>
                  <a:defRPr/>
                </a:pPr>
                <a:r>
                  <a:rPr lang="en-GB" sz="1000"/>
                  <a:t>godina</a:t>
                </a:r>
              </a:p>
            </c:rich>
          </c:tx>
          <c:layout>
            <c:manualLayout>
              <c:xMode val="edge"/>
              <c:yMode val="edge"/>
              <c:x val="0.50796286311175332"/>
              <c:y val="0.94395565057844311"/>
            </c:manualLayout>
          </c:layout>
          <c:overlay val="0"/>
          <c:spPr>
            <a:noFill/>
            <a:ln w="15257">
              <a:noFill/>
            </a:ln>
          </c:spPr>
        </c:title>
        <c:numFmt formatCode="General" sourceLinked="1"/>
        <c:majorTickMark val="out"/>
        <c:minorTickMark val="none"/>
        <c:tickLblPos val="low"/>
        <c:spPr>
          <a:solidFill>
            <a:sysClr val="window" lastClr="FFFFFF">
              <a:lumMod val="85000"/>
            </a:sysClr>
          </a:solidFill>
          <a:ln w="1907">
            <a:solidFill>
              <a:srgbClr val="000000"/>
            </a:solidFill>
            <a:prstDash val="solid"/>
          </a:ln>
        </c:spPr>
        <c:txPr>
          <a:bodyPr rot="-5400000" vert="horz"/>
          <a:lstStyle/>
          <a:p>
            <a:pPr>
              <a:defRPr/>
            </a:pPr>
            <a:endParaRPr lang="sr-Latn-RS"/>
          </a:p>
        </c:txPr>
        <c:crossAx val="204378624"/>
        <c:crossesAt val="90000000"/>
        <c:auto val="1"/>
        <c:lblAlgn val="ctr"/>
        <c:lblOffset val="100"/>
        <c:tickLblSkip val="1"/>
        <c:tickMarkSkip val="1"/>
        <c:noMultiLvlLbl val="0"/>
      </c:catAx>
      <c:valAx>
        <c:axId val="204378624"/>
        <c:scaling>
          <c:orientation val="minMax"/>
        </c:scaling>
        <c:delete val="0"/>
        <c:axPos val="l"/>
        <c:majorGridlines>
          <c:spPr>
            <a:ln>
              <a:solidFill>
                <a:sysClr val="window" lastClr="FFFFFF">
                  <a:lumMod val="85000"/>
                </a:sysClr>
              </a:solidFill>
            </a:ln>
          </c:spPr>
        </c:majorGridlines>
        <c:title>
          <c:tx>
            <c:rich>
              <a:bodyPr/>
              <a:lstStyle/>
              <a:p>
                <a:pPr>
                  <a:defRPr sz="900"/>
                </a:pPr>
                <a:r>
                  <a:rPr lang="en-GB" sz="900"/>
                  <a:t>iznos proračuna</a:t>
                </a:r>
                <a:r>
                  <a:rPr lang="hr-HR" sz="900"/>
                  <a:t> (€)</a:t>
                </a:r>
                <a:endParaRPr lang="en-GB" sz="900"/>
              </a:p>
            </c:rich>
          </c:tx>
          <c:layout>
            <c:manualLayout>
              <c:xMode val="edge"/>
              <c:yMode val="edge"/>
              <c:x val="0.11094747285802758"/>
              <c:y val="0.24319696879995259"/>
            </c:manualLayout>
          </c:layout>
          <c:overlay val="0"/>
          <c:spPr>
            <a:noFill/>
            <a:ln w="15257">
              <a:noFill/>
            </a:ln>
          </c:spPr>
        </c:title>
        <c:numFmt formatCode="#,##0" sourceLinked="0"/>
        <c:majorTickMark val="out"/>
        <c:minorTickMark val="none"/>
        <c:tickLblPos val="nextTo"/>
        <c:spPr>
          <a:ln w="1907">
            <a:solidFill>
              <a:srgbClr val="000000"/>
            </a:solidFill>
            <a:prstDash val="solid"/>
          </a:ln>
        </c:spPr>
        <c:txPr>
          <a:bodyPr rot="0" vert="horz"/>
          <a:lstStyle/>
          <a:p>
            <a:pPr>
              <a:defRPr/>
            </a:pPr>
            <a:endParaRPr lang="sr-Latn-RS"/>
          </a:p>
        </c:txPr>
        <c:crossAx val="280651264"/>
        <c:crosses val="autoZero"/>
        <c:crossBetween val="between"/>
      </c:valAx>
      <c:dTable>
        <c:showHorzBorder val="1"/>
        <c:showVertBorder val="1"/>
        <c:showOutline val="1"/>
        <c:showKeys val="1"/>
        <c:txPr>
          <a:bodyPr/>
          <a:lstStyle/>
          <a:p>
            <a:pPr rtl="0">
              <a:defRPr sz="700"/>
            </a:pPr>
            <a:endParaRPr lang="sr-Latn-RS"/>
          </a:p>
        </c:txPr>
      </c:dTable>
      <c:spPr>
        <a:noFill/>
        <a:ln w="25400">
          <a:noFill/>
        </a:ln>
      </c:spPr>
    </c:plotArea>
    <c:legend>
      <c:legendPos val="r"/>
      <c:layout>
        <c:manualLayout>
          <c:xMode val="edge"/>
          <c:yMode val="edge"/>
          <c:x val="0.88421671334609664"/>
          <c:y val="9.8977037747265018E-2"/>
          <c:w val="0.10785588283213414"/>
          <c:h val="0.88237789355277962"/>
        </c:manualLayout>
      </c:layout>
      <c:overlay val="0"/>
      <c:spPr>
        <a:noFill/>
        <a:ln w="1907">
          <a:solidFill>
            <a:srgbClr val="F79646">
              <a:lumMod val="50000"/>
            </a:srgbClr>
          </a:solidFill>
          <a:prstDash val="solid"/>
        </a:ln>
      </c:spPr>
      <c:txPr>
        <a:bodyPr/>
        <a:lstStyle/>
        <a:p>
          <a:pPr>
            <a:defRPr sz="700"/>
          </a:pPr>
          <a:endParaRPr lang="sr-Latn-RS"/>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sr-Latn-R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Rashodi po funkcijskoj klasifikaciji u 20</a:t>
            </a:r>
            <a:r>
              <a:rPr lang="hr-HR" sz="1400"/>
              <a:t>25</a:t>
            </a:r>
            <a:r>
              <a:rPr lang="en-US" sz="1400"/>
              <a:t>.</a:t>
            </a:r>
            <a:r>
              <a:rPr lang="hr-HR" sz="1400"/>
              <a:t>*</a:t>
            </a:r>
          </a:p>
        </c:rich>
      </c:tx>
      <c:layout>
        <c:manualLayout>
          <c:xMode val="edge"/>
          <c:yMode val="edge"/>
          <c:x val="0.320408335934389"/>
          <c:y val="2.1636240703177823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6.2107585096095909E-2"/>
          <c:y val="0.17336830191434727"/>
          <c:w val="0.5307618559875138"/>
          <c:h val="0.74851079279695909"/>
        </c:manualLayout>
      </c:layout>
      <c:pie3DChart>
        <c:varyColors val="1"/>
        <c:ser>
          <c:idx val="0"/>
          <c:order val="0"/>
          <c:tx>
            <c:strRef>
              <c:f>List1!$B$1</c:f>
              <c:strCache>
                <c:ptCount val="1"/>
                <c:pt idx="0">
                  <c:v>Rashodi po funkcijskoj klasifikaciji u 2025.</c:v>
                </c:pt>
              </c:strCache>
            </c:strRef>
          </c:tx>
          <c:explosion val="25"/>
          <c:dPt>
            <c:idx val="0"/>
            <c:bubble3D val="0"/>
            <c:spPr>
              <a:blipFill>
                <a:blip xmlns:r="http://schemas.openxmlformats.org/officeDocument/2006/relationships" r:embed="rId2"/>
                <a:tile tx="0" ty="0" sx="100000" sy="100000" flip="none" algn="tl"/>
              </a:blipFill>
            </c:spPr>
            <c:extLst>
              <c:ext xmlns:c16="http://schemas.microsoft.com/office/drawing/2014/chart" uri="{C3380CC4-5D6E-409C-BE32-E72D297353CC}">
                <c16:uniqueId val="{00000001-7DC6-412F-A790-420E2A0CBB44}"/>
              </c:ext>
            </c:extLst>
          </c:dPt>
          <c:dPt>
            <c:idx val="1"/>
            <c:bubble3D val="0"/>
            <c:spPr>
              <a:solidFill>
                <a:srgbClr val="FF0000"/>
              </a:solidFill>
            </c:spPr>
            <c:extLst>
              <c:ext xmlns:c16="http://schemas.microsoft.com/office/drawing/2014/chart" uri="{C3380CC4-5D6E-409C-BE32-E72D297353CC}">
                <c16:uniqueId val="{00000003-7DC6-412F-A790-420E2A0CBB44}"/>
              </c:ext>
            </c:extLst>
          </c:dPt>
          <c:dPt>
            <c:idx val="4"/>
            <c:bubble3D val="0"/>
            <c:spPr>
              <a:pattFill prst="sphere">
                <a:fgClr>
                  <a:srgbClr val="4BACC6">
                    <a:lumMod val="75000"/>
                  </a:srgbClr>
                </a:fgClr>
                <a:bgClr>
                  <a:sysClr val="window" lastClr="FFFFFF"/>
                </a:bgClr>
              </a:pattFill>
            </c:spPr>
            <c:extLst>
              <c:ext xmlns:c16="http://schemas.microsoft.com/office/drawing/2014/chart" uri="{C3380CC4-5D6E-409C-BE32-E72D297353CC}">
                <c16:uniqueId val="{00000005-7DC6-412F-A790-420E2A0CBB44}"/>
              </c:ext>
            </c:extLst>
          </c:dPt>
          <c:dPt>
            <c:idx val="5"/>
            <c:bubble3D val="0"/>
            <c:spPr>
              <a:solidFill>
                <a:srgbClr val="00B050"/>
              </a:solidFill>
            </c:spPr>
            <c:extLst>
              <c:ext xmlns:c16="http://schemas.microsoft.com/office/drawing/2014/chart" uri="{C3380CC4-5D6E-409C-BE32-E72D297353CC}">
                <c16:uniqueId val="{00000007-7DC6-412F-A790-420E2A0CBB44}"/>
              </c:ext>
            </c:extLst>
          </c:dPt>
          <c:dPt>
            <c:idx val="6"/>
            <c:bubble3D val="0"/>
            <c:spPr>
              <a:solidFill>
                <a:schemeClr val="accent6">
                  <a:lumMod val="75000"/>
                </a:schemeClr>
              </a:solidFill>
            </c:spPr>
            <c:extLst>
              <c:ext xmlns:c16="http://schemas.microsoft.com/office/drawing/2014/chart" uri="{C3380CC4-5D6E-409C-BE32-E72D297353CC}">
                <c16:uniqueId val="{00000009-7DC6-412F-A790-420E2A0CBB44}"/>
              </c:ext>
            </c:extLst>
          </c:dPt>
          <c:dPt>
            <c:idx val="7"/>
            <c:bubble3D val="0"/>
            <c:spPr>
              <a:solidFill>
                <a:srgbClr val="FFFF00"/>
              </a:solidFill>
            </c:spPr>
            <c:extLst>
              <c:ext xmlns:c16="http://schemas.microsoft.com/office/drawing/2014/chart" uri="{C3380CC4-5D6E-409C-BE32-E72D297353CC}">
                <c16:uniqueId val="{0000000B-7DC6-412F-A790-420E2A0CBB44}"/>
              </c:ext>
            </c:extLst>
          </c:dPt>
          <c:dPt>
            <c:idx val="8"/>
            <c:bubble3D val="0"/>
            <c:spPr>
              <a:pattFill prst="trellis">
                <a:fgClr>
                  <a:schemeClr val="accent2">
                    <a:lumMod val="75000"/>
                  </a:schemeClr>
                </a:fgClr>
                <a:bgClr>
                  <a:schemeClr val="bg1"/>
                </a:bgClr>
              </a:pattFill>
            </c:spPr>
            <c:extLst>
              <c:ext xmlns:c16="http://schemas.microsoft.com/office/drawing/2014/chart" uri="{C3380CC4-5D6E-409C-BE32-E72D297353CC}">
                <c16:uniqueId val="{0000000D-7DC6-412F-A790-420E2A0CBB44}"/>
              </c:ext>
            </c:extLst>
          </c:dPt>
          <c:dPt>
            <c:idx val="9"/>
            <c:bubble3D val="0"/>
            <c:spPr>
              <a:solidFill>
                <a:srgbClr val="00B0F0"/>
              </a:solidFill>
            </c:spPr>
            <c:extLst>
              <c:ext xmlns:c16="http://schemas.microsoft.com/office/drawing/2014/chart" uri="{C3380CC4-5D6E-409C-BE32-E72D297353CC}">
                <c16:uniqueId val="{0000000F-7DC6-412F-A790-420E2A0CBB44}"/>
              </c:ext>
            </c:extLst>
          </c:dPt>
          <c:dLbls>
            <c:dLbl>
              <c:idx val="0"/>
              <c:layout>
                <c:manualLayout>
                  <c:x val="-8.9436521766421556E-2"/>
                  <c:y val="-9.2200857640633821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DC6-412F-A790-420E2A0CBB44}"/>
                </c:ext>
              </c:extLst>
            </c:dLbl>
            <c:dLbl>
              <c:idx val="1"/>
              <c:layout>
                <c:manualLayout>
                  <c:x val="-6.3689296288819947E-2"/>
                  <c:y val="-7.641459292482683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DC6-412F-A790-420E2A0CBB44}"/>
                </c:ext>
              </c:extLst>
            </c:dLbl>
            <c:dLbl>
              <c:idx val="2"/>
              <c:layout>
                <c:manualLayout>
                  <c:x val="2.4208657494224062E-2"/>
                  <c:y val="-3.820888951323611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0-7DC6-412F-A790-420E2A0CBB44}"/>
                </c:ext>
              </c:extLst>
            </c:dLbl>
            <c:dLbl>
              <c:idx val="3"/>
              <c:layout>
                <c:manualLayout>
                  <c:x val="8.8091398213777494E-3"/>
                  <c:y val="-3.9565299877335119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7DC6-412F-A790-420E2A0CBB44}"/>
                </c:ext>
              </c:extLst>
            </c:dLbl>
            <c:dLbl>
              <c:idx val="4"/>
              <c:layout>
                <c:manualLayout>
                  <c:x val="1.2054612387148499E-3"/>
                  <c:y val="-5.285337125759776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DC6-412F-A790-420E2A0CBB44}"/>
                </c:ext>
              </c:extLst>
            </c:dLbl>
            <c:dLbl>
              <c:idx val="5"/>
              <c:layout>
                <c:manualLayout>
                  <c:x val="5.6089826121132315E-2"/>
                  <c:y val="-6.6160848893336557E-3"/>
                </c:manualLayout>
              </c:layout>
              <c:spPr>
                <a:noFill/>
                <a:ln>
                  <a:noFill/>
                </a:ln>
                <a:effectLst/>
              </c:spPr>
              <c:txPr>
                <a:bodyPr wrap="square" lIns="38100" tIns="19050" rIns="38100" bIns="19050" anchor="ctr">
                  <a:noAutofit/>
                </a:bodyPr>
                <a:lstStyle/>
                <a:p>
                  <a:pPr>
                    <a:defRPr/>
                  </a:pPr>
                  <a:endParaRPr lang="sr-Latn-RS"/>
                </a:p>
              </c:txPr>
              <c:dLblPos val="bestFit"/>
              <c:showLegendKey val="0"/>
              <c:showVal val="1"/>
              <c:showCatName val="0"/>
              <c:showSerName val="0"/>
              <c:showPercent val="1"/>
              <c:showBubbleSize val="0"/>
              <c:extLst>
                <c:ext xmlns:c15="http://schemas.microsoft.com/office/drawing/2012/chart" uri="{CE6537A1-D6FC-4f65-9D91-7224C49458BB}">
                  <c15:layout>
                    <c:manualLayout>
                      <c:w val="0.12862627946463309"/>
                      <c:h val="4.0148646124034938E-2"/>
                    </c:manualLayout>
                  </c15:layout>
                </c:ext>
                <c:ext xmlns:c16="http://schemas.microsoft.com/office/drawing/2014/chart" uri="{C3380CC4-5D6E-409C-BE32-E72D297353CC}">
                  <c16:uniqueId val="{00000007-7DC6-412F-A790-420E2A0CBB44}"/>
                </c:ext>
              </c:extLst>
            </c:dLbl>
            <c:dLbl>
              <c:idx val="6"/>
              <c:layout>
                <c:manualLayout>
                  <c:x val="3.4245227907069638E-2"/>
                  <c:y val="5.7108265182136263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DC6-412F-A790-420E2A0CBB44}"/>
                </c:ext>
              </c:extLst>
            </c:dLbl>
            <c:dLbl>
              <c:idx val="7"/>
              <c:layout>
                <c:manualLayout>
                  <c:x val="-3.8689456779221559E-2"/>
                  <c:y val="6.6586917576998667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DC6-412F-A790-420E2A0CBB44}"/>
                </c:ext>
              </c:extLst>
            </c:dLbl>
            <c:dLbl>
              <c:idx val="8"/>
              <c:layout>
                <c:manualLayout>
                  <c:x val="1.0128727567899922E-4"/>
                  <c:y val="-0.35050738668701914"/>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7DC6-412F-A790-420E2A0CBB44}"/>
                </c:ext>
              </c:extLst>
            </c:dLbl>
            <c:dLbl>
              <c:idx val="9"/>
              <c:layout>
                <c:manualLayout>
                  <c:x val="-7.6143779427698529E-3"/>
                  <c:y val="-8.814495024612635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7DC6-412F-A790-420E2A0CBB44}"/>
                </c:ext>
              </c:extLst>
            </c:dLbl>
            <c:spPr>
              <a:noFill/>
              <a:ln>
                <a:noFill/>
              </a:ln>
              <a:effectLst/>
            </c:spPr>
            <c:dLblPos val="bestFit"/>
            <c:showLegendKey val="0"/>
            <c:showVal val="1"/>
            <c:showCatName val="0"/>
            <c:showSerName val="0"/>
            <c:showPercent val="1"/>
            <c:showBubbleSize val="0"/>
            <c:showLeaderLines val="1"/>
            <c:extLst>
              <c:ext xmlns:c15="http://schemas.microsoft.com/office/drawing/2012/chart" uri="{CE6537A1-D6FC-4f65-9D91-7224C49458BB}"/>
            </c:extLst>
          </c:dLbls>
          <c:cat>
            <c:strRef>
              <c:f>List1!$A$2:$A$11</c:f>
              <c:strCache>
                <c:ptCount val="10"/>
                <c:pt idx="0">
                  <c:v>01 - Opće javne usluge</c:v>
                </c:pt>
                <c:pt idx="1">
                  <c:v>032 - Protupožarna zaštita</c:v>
                </c:pt>
                <c:pt idx="2">
                  <c:v>04 - Ekonomski poslovi (poljoprivreda, cestovni promet)</c:v>
                </c:pt>
                <c:pt idx="3">
                  <c:v>05 - Zaštita okoliša</c:v>
                </c:pt>
                <c:pt idx="4">
                  <c:v>06 - Usluge unapređenja stanovanja zajednice  (komunalne pogodnosti)</c:v>
                </c:pt>
                <c:pt idx="5">
                  <c:v>07 - Zdravstvo</c:v>
                </c:pt>
                <c:pt idx="6">
                  <c:v>081 - Sport i rekreacija</c:v>
                </c:pt>
                <c:pt idx="7">
                  <c:v>082 i 086 - Kultura i drugi srodni rashodi </c:v>
                </c:pt>
                <c:pt idx="8">
                  <c:v>09 - Predškolsko i osnovno obrazovanje</c:v>
                </c:pt>
                <c:pt idx="9">
                  <c:v>10 - Socijalna zaštita</c:v>
                </c:pt>
              </c:strCache>
            </c:strRef>
          </c:cat>
          <c:val>
            <c:numRef>
              <c:f>List1!$B$2:$B$11</c:f>
              <c:numCache>
                <c:formatCode>#,##0.00</c:formatCode>
                <c:ptCount val="10"/>
                <c:pt idx="0">
                  <c:v>1980520.36</c:v>
                </c:pt>
                <c:pt idx="1">
                  <c:v>943068.84</c:v>
                </c:pt>
                <c:pt idx="2">
                  <c:v>1185672.83</c:v>
                </c:pt>
                <c:pt idx="3">
                  <c:v>1467555.54</c:v>
                </c:pt>
                <c:pt idx="4">
                  <c:v>4158831.16</c:v>
                </c:pt>
                <c:pt idx="5">
                  <c:v>113957.22</c:v>
                </c:pt>
                <c:pt idx="6">
                  <c:v>440197.65</c:v>
                </c:pt>
                <c:pt idx="7">
                  <c:v>976418.58000000007</c:v>
                </c:pt>
                <c:pt idx="8">
                  <c:v>12119963.449999999</c:v>
                </c:pt>
                <c:pt idx="9">
                  <c:v>2053509.85</c:v>
                </c:pt>
              </c:numCache>
            </c:numRef>
          </c:val>
          <c:extLst>
            <c:ext xmlns:c16="http://schemas.microsoft.com/office/drawing/2014/chart" uri="{C3380CC4-5D6E-409C-BE32-E72D297353CC}">
              <c16:uniqueId val="{00000012-7DC6-412F-A790-420E2A0CBB44}"/>
            </c:ext>
          </c:extLst>
        </c:ser>
        <c:dLbls>
          <c:showLegendKey val="0"/>
          <c:showVal val="0"/>
          <c:showCatName val="0"/>
          <c:showSerName val="0"/>
          <c:showPercent val="0"/>
          <c:showBubbleSize val="0"/>
          <c:showLeaderLines val="1"/>
        </c:dLbls>
      </c:pie3DChart>
    </c:plotArea>
    <c:legend>
      <c:legendPos val="r"/>
      <c:layout>
        <c:manualLayout>
          <c:xMode val="edge"/>
          <c:yMode val="edge"/>
          <c:x val="0.72152032005223932"/>
          <c:y val="0.11853311880248922"/>
          <c:w val="0.27705259100352891"/>
          <c:h val="0.86675288450816002"/>
        </c:manualLayout>
      </c:layout>
      <c:overlay val="0"/>
      <c:txPr>
        <a:bodyPr/>
        <a:lstStyle/>
        <a:p>
          <a:pPr>
            <a:defRPr sz="900"/>
          </a:pPr>
          <a:endParaRPr lang="sr-Latn-RS"/>
        </a:p>
      </c:txPr>
    </c:legend>
    <c:plotVisOnly val="1"/>
    <c:dispBlanksAs val="gap"/>
    <c:showDLblsOverMax val="0"/>
  </c:chart>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Struktura </a:t>
            </a:r>
            <a:r>
              <a:rPr lang="hr-HR"/>
              <a:t>izvršenih</a:t>
            </a:r>
            <a:r>
              <a:rPr lang="en-GB"/>
              <a:t> rashoda i izdataka proračuna za 2015.-202</a:t>
            </a:r>
            <a:r>
              <a:rPr lang="hr-HR"/>
              <a:t>5.</a:t>
            </a:r>
            <a:r>
              <a:rPr lang="en-GB"/>
              <a:t> Općina i </a:t>
            </a:r>
            <a:r>
              <a:rPr lang="hr-HR"/>
              <a:t>PK</a:t>
            </a:r>
            <a:endParaRPr lang="en-GB"/>
          </a:p>
        </c:rich>
      </c:tx>
      <c:layout>
        <c:manualLayout>
          <c:xMode val="edge"/>
          <c:yMode val="edge"/>
          <c:x val="0.16562295634833354"/>
          <c:y val="5.8724894602926153E-2"/>
        </c:manualLayout>
      </c:layout>
      <c:overlay val="0"/>
      <c:spPr>
        <a:noFill/>
        <a:ln w="15257">
          <a:noFill/>
        </a:ln>
      </c:spPr>
    </c:title>
    <c:autoTitleDeleted val="0"/>
    <c:plotArea>
      <c:layout>
        <c:manualLayout>
          <c:layoutTarget val="inner"/>
          <c:xMode val="edge"/>
          <c:yMode val="edge"/>
          <c:x val="0.23202196203269385"/>
          <c:y val="0.19641025826338024"/>
          <c:w val="0.59403408857164441"/>
          <c:h val="0.55667990445664228"/>
        </c:manualLayout>
      </c:layout>
      <c:barChart>
        <c:barDir val="col"/>
        <c:grouping val="stacked"/>
        <c:varyColors val="0"/>
        <c:ser>
          <c:idx val="0"/>
          <c:order val="0"/>
          <c:tx>
            <c:strRef>
              <c:f>Sheet1!$A$2</c:f>
              <c:strCache>
                <c:ptCount val="1"/>
                <c:pt idx="0">
                  <c:v>RASHODI OPĆINE </c:v>
                </c:pt>
              </c:strCache>
            </c:strRef>
          </c:tx>
          <c:spPr>
            <a:solidFill>
              <a:srgbClr val="9999FF"/>
            </a:solidFill>
            <a:ln w="7628">
              <a:solidFill>
                <a:srgbClr val="000000"/>
              </a:solidFill>
              <a:prstDash val="solid"/>
            </a:ln>
          </c:spPr>
          <c:invertIfNegative val="0"/>
          <c:dLbls>
            <c:dLbl>
              <c:idx val="0"/>
              <c:tx>
                <c:rich>
                  <a:bodyPr/>
                  <a:lstStyle/>
                  <a:p>
                    <a:fld id="{E20B85C3-9B39-4BD1-BE54-8774DE3E4C78}" type="CELLREF">
                      <a:rPr lang="en-US" sz="700"/>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{E20B85C3-9B39-4BD1-BE54-8774DE3E4C78}</c15:txfldGUID>
                      <c15:f>Sheet1!$B$7</c15:f>
                      <c15:dlblFieldTableCache>
                        <c:ptCount val="1"/>
                        <c:pt idx="0">
                          <c:v>76,1%</c:v>
                        </c:pt>
                      </c15:dlblFieldTableCache>
                    </c15:dlblFTEntry>
                  </c15:dlblFieldTable>
                  <c15:showDataLabelsRange val="0"/>
                </c:ext>
                <c:ext xmlns:c16="http://schemas.microsoft.com/office/drawing/2014/chart" uri="{C3380CC4-5D6E-409C-BE32-E72D297353CC}">
                  <c16:uniqueId val="{00000000-6FEA-49DA-94A8-C103CD2C8DFE}"/>
                </c:ext>
              </c:extLst>
            </c:dLbl>
            <c:dLbl>
              <c:idx val="1"/>
              <c:tx>
                <c:rich>
                  <a:bodyPr wrap="square" lIns="38100" tIns="19050" rIns="38100" bIns="19050" anchor="ctr">
                    <a:spAutoFit/>
                  </a:bodyPr>
                  <a:lstStyle/>
                  <a:p>
                    <a:pPr>
                      <a:defRPr sz="700"/>
                    </a:pPr>
                    <a:fld id="{7B554661-0F35-4769-A8FF-8F144A74EBA0}" type="CELLREF">
                      <a:rPr lang="en-US"/>
                      <a:pPr>
                        <a:defRPr sz="700"/>
                      </a:pPr>
                      <a:t>[REFERENCA ĆELIJE]</a:t>
                    </a:fld>
                    <a:endParaRPr lang="hr-HR"/>
                  </a:p>
                </c:rich>
              </c:tx>
              <c:spPr>
                <a:solidFill>
                  <a:sysClr val="window" lastClr="FFFFFF"/>
                </a:solidFill>
                <a:ln>
                  <a:noFill/>
                </a:ln>
                <a:effectLst>
                  <a:glow rad="63500">
                    <a:srgbClr val="C0504D">
                      <a:satMod val="175000"/>
                      <a:alpha val="40000"/>
                    </a:srgbClr>
                  </a:glow>
                  <a:outerShdw blurRad="50800" dist="38100" dir="2700000" algn="tl" rotWithShape="0">
                    <a:prstClr val="black">
                      <a:alpha val="40000"/>
                    </a:prstClr>
                  </a:outerShdw>
                </a:effectLst>
              </c:spPr>
              <c:showLegendKey val="0"/>
              <c:showVal val="1"/>
              <c:showCatName val="0"/>
              <c:showSerName val="0"/>
              <c:showPercent val="0"/>
              <c:showBubbleSize val="0"/>
              <c:extLst>
                <c:ext xmlns:c15="http://schemas.microsoft.com/office/drawing/2012/chart" uri="{CE6537A1-D6FC-4f65-9D91-7224C49458BB}">
                  <c15:dlblFieldTable>
                    <c15:dlblFTEntry>
                      <c15:txfldGUID>{7B554661-0F35-4769-A8FF-8F144A74EBA0}</c15:txfldGUID>
                      <c15:f>Sheet1!$C$7</c15:f>
                      <c15:dlblFieldTableCache>
                        <c:ptCount val="1"/>
                        <c:pt idx="0">
                          <c:v>70,5%</c:v>
                        </c:pt>
                      </c15:dlblFieldTableCache>
                    </c15:dlblFTEntry>
                  </c15:dlblFieldTable>
                  <c15:showDataLabelsRange val="0"/>
                </c:ext>
                <c:ext xmlns:c16="http://schemas.microsoft.com/office/drawing/2014/chart" uri="{C3380CC4-5D6E-409C-BE32-E72D297353CC}">
                  <c16:uniqueId val="{00000001-6FEA-49DA-94A8-C103CD2C8DFE}"/>
                </c:ext>
              </c:extLst>
            </c:dLbl>
            <c:dLbl>
              <c:idx val="2"/>
              <c:tx>
                <c:rich>
                  <a:bodyPr/>
                  <a:lstStyle/>
                  <a:p>
                    <a:fld id="{A81C1EF5-0107-421C-A8E4-A47DE891D3A6}"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{A81C1EF5-0107-421C-A8E4-A47DE891D3A6}</c15:txfldGUID>
                      <c15:f>Sheet1!$D$7</c15:f>
                      <c15:dlblFieldTableCache>
                        <c:ptCount val="1"/>
                        <c:pt idx="0">
                          <c:v>65,4%</c:v>
                        </c:pt>
                      </c15:dlblFieldTableCache>
                    </c15:dlblFTEntry>
                  </c15:dlblFieldTable>
                  <c15:showDataLabelsRange val="0"/>
                </c:ext>
                <c:ext xmlns:c16="http://schemas.microsoft.com/office/drawing/2014/chart" uri="{C3380CC4-5D6E-409C-BE32-E72D297353CC}">
                  <c16:uniqueId val="{00000002-6FEA-49DA-94A8-C103CD2C8DFE}"/>
                </c:ext>
              </c:extLst>
            </c:dLbl>
            <c:dLbl>
              <c:idx val="3"/>
              <c:tx>
                <c:rich>
                  <a:bodyPr/>
                  <a:lstStyle/>
                  <a:p>
                    <a:fld id="{CFDEB203-27D1-4200-A538-ABD62F0D676F}"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{CFDEB203-27D1-4200-A538-ABD62F0D676F}</c15:txfldGUID>
                      <c15:f>Sheet1!$E$7</c15:f>
                      <c15:dlblFieldTableCache>
                        <c:ptCount val="1"/>
                        <c:pt idx="0">
                          <c:v>63,5%</c:v>
                        </c:pt>
                      </c15:dlblFieldTableCache>
                    </c15:dlblFTEntry>
                  </c15:dlblFieldTable>
                  <c15:showDataLabelsRange val="0"/>
                </c:ext>
                <c:ext xmlns:c16="http://schemas.microsoft.com/office/drawing/2014/chart" uri="{C3380CC4-5D6E-409C-BE32-E72D297353CC}">
                  <c16:uniqueId val="{00000003-6FEA-49DA-94A8-C103CD2C8DFE}"/>
                </c:ext>
              </c:extLst>
            </c:dLbl>
            <c:dLbl>
              <c:idx val="4"/>
              <c:tx>
                <c:rich>
                  <a:bodyPr/>
                  <a:lstStyle/>
                  <a:p>
                    <a:fld id="{8F5AD1C0-0B2B-45FA-83A0-A3B13FDA0A60}"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{8F5AD1C0-0B2B-45FA-83A0-A3B13FDA0A60}</c15:txfldGUID>
                      <c15:f>Sheet1!$F$7</c15:f>
                      <c15:dlblFieldTableCache>
                        <c:ptCount val="1"/>
                        <c:pt idx="0">
                          <c:v>66,7%</c:v>
                        </c:pt>
                      </c15:dlblFieldTableCache>
                    </c15:dlblFTEntry>
                  </c15:dlblFieldTable>
                  <c15:showDataLabelsRange val="0"/>
                </c:ext>
                <c:ext xmlns:c16="http://schemas.microsoft.com/office/drawing/2014/chart" uri="{C3380CC4-5D6E-409C-BE32-E72D297353CC}">
                  <c16:uniqueId val="{00000004-6FEA-49DA-94A8-C103CD2C8DFE}"/>
                </c:ext>
              </c:extLst>
            </c:dLbl>
            <c:dLbl>
              <c:idx val="5"/>
              <c:tx>
                <c:rich>
                  <a:bodyPr/>
                  <a:lstStyle/>
                  <a:p>
                    <a:fld id="{D0B6C98A-71B6-4889-89DE-69C2E12F5EC2}"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{D0B6C98A-71B6-4889-89DE-69C2E12F5EC2}</c15:txfldGUID>
                      <c15:f>Sheet1!$G$7</c15:f>
                      <c15:dlblFieldTableCache>
                        <c:ptCount val="1"/>
                        <c:pt idx="0">
                          <c:v>59,9%</c:v>
                        </c:pt>
                      </c15:dlblFieldTableCache>
                    </c15:dlblFTEntry>
                  </c15:dlblFieldTable>
                  <c15:showDataLabelsRange val="0"/>
                </c:ext>
                <c:ext xmlns:c16="http://schemas.microsoft.com/office/drawing/2014/chart" uri="{C3380CC4-5D6E-409C-BE32-E72D297353CC}">
                  <c16:uniqueId val="{00000005-6FEA-49DA-94A8-C103CD2C8DFE}"/>
                </c:ext>
              </c:extLst>
            </c:dLbl>
            <c:dLbl>
              <c:idx val="6"/>
              <c:tx>
                <c:rich>
                  <a:bodyPr/>
                  <a:lstStyle/>
                  <a:p>
                    <a:fld id="{DB493AB4-7F1B-49C9-8A1F-8C20E1C01F45}"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{DB493AB4-7F1B-49C9-8A1F-8C20E1C01F45}</c15:txfldGUID>
                      <c15:f>Sheet1!$H$7</c15:f>
                      <c15:dlblFieldTableCache>
                        <c:ptCount val="1"/>
                        <c:pt idx="0">
                          <c:v>62,5%</c:v>
                        </c:pt>
                      </c15:dlblFieldTableCache>
                    </c15:dlblFTEntry>
                  </c15:dlblFieldTable>
                  <c15:showDataLabelsRange val="0"/>
                </c:ext>
                <c:ext xmlns:c16="http://schemas.microsoft.com/office/drawing/2014/chart" uri="{C3380CC4-5D6E-409C-BE32-E72D297353CC}">
                  <c16:uniqueId val="{00000006-6FEA-49DA-94A8-C103CD2C8DFE}"/>
                </c:ext>
              </c:extLst>
            </c:dLbl>
            <c:dLbl>
              <c:idx val="7"/>
              <c:tx>
                <c:rich>
                  <a:bodyPr/>
                  <a:lstStyle/>
                  <a:p>
                    <a:fld id="{3D4C0B6C-E0CA-4719-B3FC-D9760300ECFB}"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{3D4C0B6C-E0CA-4719-B3FC-D9760300ECFB}</c15:txfldGUID>
                      <c15:f>Sheet1!$I$7</c15:f>
                      <c15:dlblFieldTableCache>
                        <c:ptCount val="1"/>
                        <c:pt idx="0">
                          <c:v>68,7%</c:v>
                        </c:pt>
                      </c15:dlblFieldTableCache>
                    </c15:dlblFTEntry>
                  </c15:dlblFieldTable>
                  <c15:showDataLabelsRange val="0"/>
                </c:ext>
                <c:ext xmlns:c16="http://schemas.microsoft.com/office/drawing/2014/chart" uri="{C3380CC4-5D6E-409C-BE32-E72D297353CC}">
                  <c16:uniqueId val="{00000007-6FEA-49DA-94A8-C103CD2C8DFE}"/>
                </c:ext>
              </c:extLst>
            </c:dLbl>
            <c:dLbl>
              <c:idx val="8"/>
              <c:tx>
                <c:rich>
                  <a:bodyPr/>
                  <a:lstStyle/>
                  <a:p>
                    <a:fld id="{418925EC-5411-4FD0-A169-217D1B65B166}"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{418925EC-5411-4FD0-A169-217D1B65B166}</c15:txfldGUID>
                      <c15:f>Sheet1!$J$21</c15:f>
                      <c15:dlblFieldTableCache>
                        <c:ptCount val="1"/>
                        <c:pt idx="0">
                          <c:v>68,8%</c:v>
                        </c:pt>
                      </c15:dlblFieldTableCache>
                    </c15:dlblFTEntry>
                  </c15:dlblFieldTable>
                  <c15:showDataLabelsRange val="0"/>
                </c:ext>
                <c:ext xmlns:c16="http://schemas.microsoft.com/office/drawing/2014/chart" uri="{C3380CC4-5D6E-409C-BE32-E72D297353CC}">
                  <c16:uniqueId val="{00000008-6FEA-49DA-94A8-C103CD2C8DFE}"/>
                </c:ext>
              </c:extLst>
            </c:dLbl>
            <c:dLbl>
              <c:idx val="9"/>
              <c:tx>
                <c:rich>
                  <a:bodyPr/>
                  <a:lstStyle/>
                  <a:p>
                    <a:fld id="{009E267B-85C3-467C-B6F3-A9D93D44D736}"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{009E267B-85C3-467C-B6F3-A9D93D44D736}</c15:txfldGUID>
                      <c15:f>Sheet1!$K$7</c15:f>
                      <c15:dlblFieldTableCache>
                        <c:ptCount val="1"/>
                        <c:pt idx="0">
                          <c:v>66,1%</c:v>
                        </c:pt>
                      </c15:dlblFieldTableCache>
                    </c15:dlblFTEntry>
                  </c15:dlblFieldTable>
                  <c15:showDataLabelsRange val="0"/>
                </c:ext>
                <c:ext xmlns:c16="http://schemas.microsoft.com/office/drawing/2014/chart" uri="{C3380CC4-5D6E-409C-BE32-E72D297353CC}">
                  <c16:uniqueId val="{00000001-60EC-4AE8-826C-C7089D3D4A88}"/>
                </c:ext>
              </c:extLst>
            </c:dLbl>
            <c:dLbl>
              <c:idx val="10"/>
              <c:tx>
                <c:rich>
                  <a:bodyPr/>
                  <a:lstStyle/>
                  <a:p>
                    <a:fld id="{641D6E2F-7DD2-4A94-B055-10FF56374B68}"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{641D6E2F-7DD2-4A94-B055-10FF56374B68}</c15:txfldGUID>
                      <c15:f>Sheet1!$L$7</c15:f>
                      <c15:dlblFieldTableCache>
                        <c:ptCount val="1"/>
                        <c:pt idx="0">
                          <c:v>76,4%</c:v>
                        </c:pt>
                      </c15:dlblFieldTableCache>
                    </c15:dlblFTEntry>
                  </c15:dlblFieldTable>
                  <c15:showDataLabelsRange val="0"/>
                </c:ext>
                <c:ext xmlns:c16="http://schemas.microsoft.com/office/drawing/2014/chart" uri="{C3380CC4-5D6E-409C-BE32-E72D297353CC}">
                  <c16:uniqueId val="{00000000-08FA-4105-A1B1-BDFCA9C82C4E}"/>
                </c:ext>
              </c:extLst>
            </c:dLbl>
            <c:spPr>
              <a:solidFill>
                <a:sysClr val="window" lastClr="FFFFFF"/>
              </a:solidFill>
              <a:ln>
                <a:noFill/>
              </a:ln>
              <a:effectLst>
                <a:glow rad="63500">
                  <a:srgbClr val="C0504D">
                    <a:satMod val="175000"/>
                    <a:alpha val="40000"/>
                  </a:srgbClr>
                </a:glow>
              </a:effectLst>
            </c:spPr>
            <c:txPr>
              <a:bodyPr wrap="square" lIns="38100" tIns="19050" rIns="38100" bIns="19050" anchor="ctr">
                <a:spAutoFit/>
              </a:bodyPr>
              <a:lstStyle/>
              <a:p>
                <a:pPr>
                  <a:defRPr sz="700"/>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Sheet1!$B$1:$L$1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Sheet1!$B$2:$L$2</c:f>
              <c:numCache>
                <c:formatCode>#,##0.00</c:formatCode>
                <c:ptCount val="11"/>
                <c:pt idx="0">
                  <c:v>6045677.6162983608</c:v>
                </c:pt>
                <c:pt idx="1">
                  <c:v>5680349.6635476798</c:v>
                </c:pt>
                <c:pt idx="2">
                  <c:v>5722642.735417081</c:v>
                </c:pt>
                <c:pt idx="3">
                  <c:v>5641280.7113942532</c:v>
                </c:pt>
                <c:pt idx="4">
                  <c:v>6937978.6475545811</c:v>
                </c:pt>
                <c:pt idx="5">
                  <c:v>4340650.1373681063</c:v>
                </c:pt>
                <c:pt idx="6">
                  <c:v>5403457.1730041802</c:v>
                </c:pt>
                <c:pt idx="7">
                  <c:v>7585854.8437188929</c:v>
                </c:pt>
                <c:pt idx="8">
                  <c:v>9170518.6500000004</c:v>
                </c:pt>
                <c:pt idx="9">
                  <c:v>10079114.15</c:v>
                </c:pt>
                <c:pt idx="10">
                  <c:v>20185424.239999998</c:v>
                </c:pt>
              </c:numCache>
            </c:numRef>
          </c:val>
          <c:extLst>
            <c:ext xmlns:c16="http://schemas.microsoft.com/office/drawing/2014/chart" uri="{C3380CC4-5D6E-409C-BE32-E72D297353CC}">
              <c16:uniqueId val="{00000009-6FEA-49DA-94A8-C103CD2C8DFE}"/>
            </c:ext>
          </c:extLst>
        </c:ser>
        <c:ser>
          <c:idx val="1"/>
          <c:order val="1"/>
          <c:tx>
            <c:strRef>
              <c:f>Sheet1!$A$3</c:f>
              <c:strCache>
                <c:ptCount val="1"/>
                <c:pt idx="0">
                  <c:v>RASHODI PRORAČUNSKIH KORISNIKA</c:v>
                </c:pt>
              </c:strCache>
            </c:strRef>
          </c:tx>
          <c:spPr>
            <a:solidFill>
              <a:srgbClr val="993366"/>
            </a:solidFill>
            <a:ln w="7628">
              <a:solidFill>
                <a:srgbClr val="000000"/>
              </a:solidFill>
              <a:prstDash val="solid"/>
            </a:ln>
          </c:spPr>
          <c:invertIfNegative val="0"/>
          <c:dLbls>
            <c:dLbl>
              <c:idx val="0"/>
              <c:layout>
                <c:manualLayout>
                  <c:x val="-3.7997530160539567E-3"/>
                  <c:y val="-7.8017439192290039E-2"/>
                </c:manualLayout>
              </c:layout>
              <c:tx>
                <c:rich>
                  <a:bodyPr/>
                  <a:lstStyle/>
                  <a:p>
                    <a:fld id="{5C598CF8-D442-4592-AD29-BE17FCC1952D}"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{5C598CF8-D442-4592-AD29-BE17FCC1952D}</c15:txfldGUID>
                      <c15:f>Sheet1!$B$8</c15:f>
                      <c15:dlblFieldTableCache>
                        <c:ptCount val="1"/>
                        <c:pt idx="0">
                          <c:v>23,9%</c:v>
                        </c:pt>
                      </c15:dlblFieldTableCache>
                    </c15:dlblFTEntry>
                  </c15:dlblFieldTable>
                  <c15:showDataLabelsRange val="0"/>
                </c:ext>
                <c:ext xmlns:c16="http://schemas.microsoft.com/office/drawing/2014/chart" uri="{C3380CC4-5D6E-409C-BE32-E72D297353CC}">
                  <c16:uniqueId val="{0000000A-6FEA-49DA-94A8-C103CD2C8DFE}"/>
                </c:ext>
              </c:extLst>
            </c:dLbl>
            <c:dLbl>
              <c:idx val="1"/>
              <c:layout>
                <c:manualLayout>
                  <c:x val="-1.899876508027013E-3"/>
                  <c:y val="-7.8017439192290122E-2"/>
                </c:manualLayout>
              </c:layout>
              <c:tx>
                <c:rich>
                  <a:bodyPr/>
                  <a:lstStyle/>
                  <a:p>
                    <a:fld id="{12C6B7D7-D736-4087-9DF7-2720D5CF9364}"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{12C6B7D7-D736-4087-9DF7-2720D5CF9364}</c15:txfldGUID>
                      <c15:f>Sheet1!$C$8</c15:f>
                      <c15:dlblFieldTableCache>
                        <c:ptCount val="1"/>
                        <c:pt idx="0">
                          <c:v>29,5%</c:v>
                        </c:pt>
                      </c15:dlblFieldTableCache>
                    </c15:dlblFTEntry>
                  </c15:dlblFieldTable>
                  <c15:showDataLabelsRange val="0"/>
                </c:ext>
                <c:ext xmlns:c16="http://schemas.microsoft.com/office/drawing/2014/chart" uri="{C3380CC4-5D6E-409C-BE32-E72D297353CC}">
                  <c16:uniqueId val="{0000000B-6FEA-49DA-94A8-C103CD2C8DFE}"/>
                </c:ext>
              </c:extLst>
            </c:dLbl>
            <c:dLbl>
              <c:idx val="2"/>
              <c:layout>
                <c:manualLayout>
                  <c:x val="0"/>
                  <c:y val="-6.8838916934373648E-2"/>
                </c:manualLayout>
              </c:layout>
              <c:tx>
                <c:rich>
                  <a:bodyPr/>
                  <a:lstStyle/>
                  <a:p>
                    <a:fld id="{576A5220-6F05-4CDD-9F85-4A14C581F07B}"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{576A5220-6F05-4CDD-9F85-4A14C581F07B}</c15:txfldGUID>
                      <c15:f>Sheet1!$D$8</c15:f>
                      <c15:dlblFieldTableCache>
                        <c:ptCount val="1"/>
                        <c:pt idx="0">
                          <c:v>34,6%</c:v>
                        </c:pt>
                      </c15:dlblFieldTableCache>
                    </c15:dlblFTEntry>
                  </c15:dlblFieldTable>
                  <c15:showDataLabelsRange val="0"/>
                </c:ext>
                <c:ext xmlns:c16="http://schemas.microsoft.com/office/drawing/2014/chart" uri="{C3380CC4-5D6E-409C-BE32-E72D297353CC}">
                  <c16:uniqueId val="{0000000C-6FEA-49DA-94A8-C103CD2C8DFE}"/>
                </c:ext>
              </c:extLst>
            </c:dLbl>
            <c:dLbl>
              <c:idx val="3"/>
              <c:layout>
                <c:manualLayout>
                  <c:x val="0"/>
                  <c:y val="-8.7195961450206513E-2"/>
                </c:manualLayout>
              </c:layout>
              <c:tx>
                <c:rich>
                  <a:bodyPr/>
                  <a:lstStyle/>
                  <a:p>
                    <a:fld id="{922D9832-AF79-460A-BBE1-769A7743A4E9}"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{922D9832-AF79-460A-BBE1-769A7743A4E9}</c15:txfldGUID>
                      <c15:f>Sheet1!$E$8</c15:f>
                      <c15:dlblFieldTableCache>
                        <c:ptCount val="1"/>
                        <c:pt idx="0">
                          <c:v>36,5%</c:v>
                        </c:pt>
                      </c15:dlblFieldTableCache>
                    </c15:dlblFTEntry>
                  </c15:dlblFieldTable>
                  <c15:showDataLabelsRange val="0"/>
                </c:ext>
                <c:ext xmlns:c16="http://schemas.microsoft.com/office/drawing/2014/chart" uri="{C3380CC4-5D6E-409C-BE32-E72D297353CC}">
                  <c16:uniqueId val="{0000000D-6FEA-49DA-94A8-C103CD2C8DFE}"/>
                </c:ext>
              </c:extLst>
            </c:dLbl>
            <c:dLbl>
              <c:idx val="4"/>
              <c:layout>
                <c:manualLayout>
                  <c:x val="5.699629524080865E-3"/>
                  <c:y val="-6.8838916934373648E-2"/>
                </c:manualLayout>
              </c:layout>
              <c:tx>
                <c:rich>
                  <a:bodyPr/>
                  <a:lstStyle/>
                  <a:p>
                    <a:fld id="{84481F86-F277-4154-B745-F0B85C2F08A4}"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{84481F86-F277-4154-B745-F0B85C2F08A4}</c15:txfldGUID>
                      <c15:f>Sheet1!$F$8</c15:f>
                      <c15:dlblFieldTableCache>
                        <c:ptCount val="1"/>
                        <c:pt idx="0">
                          <c:v>33,3%</c:v>
                        </c:pt>
                      </c15:dlblFieldTableCache>
                    </c15:dlblFTEntry>
                  </c15:dlblFieldTable>
                  <c15:showDataLabelsRange val="0"/>
                </c:ext>
                <c:ext xmlns:c16="http://schemas.microsoft.com/office/drawing/2014/chart" uri="{C3380CC4-5D6E-409C-BE32-E72D297353CC}">
                  <c16:uniqueId val="{0000000E-6FEA-49DA-94A8-C103CD2C8DFE}"/>
                </c:ext>
              </c:extLst>
            </c:dLbl>
            <c:dLbl>
              <c:idx val="5"/>
              <c:layout>
                <c:manualLayout>
                  <c:x val="0"/>
                  <c:y val="-8.2606700321248283E-2"/>
                </c:manualLayout>
              </c:layout>
              <c:tx>
                <c:rich>
                  <a:bodyPr/>
                  <a:lstStyle/>
                  <a:p>
                    <a:fld id="{45B2B017-E1B4-4805-8CC3-62F203C93FC1}"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{45B2B017-E1B4-4805-8CC3-62F203C93FC1}</c15:txfldGUID>
                      <c15:f>Sheet1!$G$8</c15:f>
                      <c15:dlblFieldTableCache>
                        <c:ptCount val="1"/>
                        <c:pt idx="0">
                          <c:v>40,1%</c:v>
                        </c:pt>
                      </c15:dlblFieldTableCache>
                    </c15:dlblFTEntry>
                  </c15:dlblFieldTable>
                  <c15:showDataLabelsRange val="0"/>
                </c:ext>
                <c:ext xmlns:c16="http://schemas.microsoft.com/office/drawing/2014/chart" uri="{C3380CC4-5D6E-409C-BE32-E72D297353CC}">
                  <c16:uniqueId val="{0000000F-6FEA-49DA-94A8-C103CD2C8DFE}"/>
                </c:ext>
              </c:extLst>
            </c:dLbl>
            <c:dLbl>
              <c:idx val="6"/>
              <c:layout>
                <c:manualLayout>
                  <c:x val="4.0837161817253703E-3"/>
                  <c:y val="-8.3916083916084003E-2"/>
                </c:manualLayout>
              </c:layout>
              <c:tx>
                <c:rich>
                  <a:bodyPr/>
                  <a:lstStyle/>
                  <a:p>
                    <a:fld id="{F552141A-2405-4632-AA69-DF9C25513879}"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{F552141A-2405-4632-AA69-DF9C25513879}</c15:txfldGUID>
                      <c15:f>Sheet1!$H$8</c15:f>
                      <c15:dlblFieldTableCache>
                        <c:ptCount val="1"/>
                        <c:pt idx="0">
                          <c:v>37,5%</c:v>
                        </c:pt>
                      </c15:dlblFieldTableCache>
                    </c15:dlblFTEntry>
                  </c15:dlblFieldTable>
                  <c15:showDataLabelsRange val="0"/>
                </c:ext>
                <c:ext xmlns:c16="http://schemas.microsoft.com/office/drawing/2014/chart" uri="{C3380CC4-5D6E-409C-BE32-E72D297353CC}">
                  <c16:uniqueId val="{00000010-6FEA-49DA-94A8-C103CD2C8DFE}"/>
                </c:ext>
              </c:extLst>
            </c:dLbl>
            <c:dLbl>
              <c:idx val="7"/>
              <c:layout>
                <c:manualLayout>
                  <c:x val="3.7997530160540261E-3"/>
                  <c:y val="-7.8017439192290039E-2"/>
                </c:manualLayout>
              </c:layout>
              <c:tx>
                <c:rich>
                  <a:bodyPr/>
                  <a:lstStyle/>
                  <a:p>
                    <a:fld id="{ED765CDA-12B6-4429-A4B4-8F2EE049A225}"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{ED765CDA-12B6-4429-A4B4-8F2EE049A225}</c15:txfldGUID>
                      <c15:f>Sheet1!$I$8</c15:f>
                      <c15:dlblFieldTableCache>
                        <c:ptCount val="1"/>
                        <c:pt idx="0">
                          <c:v>31,3%</c:v>
                        </c:pt>
                      </c15:dlblFieldTableCache>
                    </c15:dlblFTEntry>
                  </c15:dlblFieldTable>
                  <c15:showDataLabelsRange val="0"/>
                </c:ext>
                <c:ext xmlns:c16="http://schemas.microsoft.com/office/drawing/2014/chart" uri="{C3380CC4-5D6E-409C-BE32-E72D297353CC}">
                  <c16:uniqueId val="{00000011-6FEA-49DA-94A8-C103CD2C8DFE}"/>
                </c:ext>
              </c:extLst>
            </c:dLbl>
            <c:dLbl>
              <c:idx val="8"/>
              <c:layout>
                <c:manualLayout>
                  <c:x val="1.8998765080269783E-3"/>
                  <c:y val="-8.2606700321248366E-2"/>
                </c:manualLayout>
              </c:layout>
              <c:tx>
                <c:rich>
                  <a:bodyPr/>
                  <a:lstStyle/>
                  <a:p>
                    <a:fld id="{BD1755FD-890E-45A5-9314-AA090CA6A0CA}"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{BD1755FD-890E-45A5-9314-AA090CA6A0CA}</c15:txfldGUID>
                      <c15:f>Sheet1!$J$22</c15:f>
                      <c15:dlblFieldTableCache>
                        <c:ptCount val="1"/>
                        <c:pt idx="0">
                          <c:v>31,2%</c:v>
                        </c:pt>
                      </c15:dlblFieldTableCache>
                    </c15:dlblFTEntry>
                  </c15:dlblFieldTable>
                  <c15:showDataLabelsRange val="0"/>
                </c:ext>
                <c:ext xmlns:c16="http://schemas.microsoft.com/office/drawing/2014/chart" uri="{C3380CC4-5D6E-409C-BE32-E72D297353CC}">
                  <c16:uniqueId val="{00000012-6FEA-49DA-94A8-C103CD2C8DFE}"/>
                </c:ext>
              </c:extLst>
            </c:dLbl>
            <c:dLbl>
              <c:idx val="9"/>
              <c:layout>
                <c:manualLayout>
                  <c:x val="5.6996295240809344E-3"/>
                  <c:y val="-8.7195961450206513E-2"/>
                </c:manualLayout>
              </c:layout>
              <c:tx>
                <c:rich>
                  <a:bodyPr wrap="square" lIns="38100" tIns="19050" rIns="38100" bIns="19050" anchor="ctr">
                    <a:noAutofit/>
                  </a:bodyPr>
                  <a:lstStyle/>
                  <a:p>
                    <a:pPr>
                      <a:defRPr sz="700"/>
                    </a:pPr>
                    <a:fld id="{DFF6DA32-94B5-4A53-8F49-02C812C181A8}" type="CELLREF">
                      <a:rPr lang="en-US"/>
                      <a:pPr>
                        <a:defRPr sz="700"/>
                      </a:pPr>
                      <a:t>[REFERENCA ĆELIJE]</a:t>
                    </a:fld>
                    <a:endParaRPr lang="hr-HR"/>
                  </a:p>
                </c:rich>
              </c:tx>
              <c:spPr>
                <a:solidFill>
                  <a:sysClr val="window" lastClr="FFFFFF"/>
                </a:solid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5.9072396514698984E-2"/>
                      <c:h val="5.2106543130020631E-2"/>
                    </c:manualLayout>
                  </c15:layout>
                  <c15:dlblFieldTable>
                    <c15:dlblFTEntry>
                      <c15:txfldGUID>{DFF6DA32-94B5-4A53-8F49-02C812C181A8}</c15:txfldGUID>
                      <c15:f>Sheet1!$K$8</c15:f>
                      <c15:dlblFieldTableCache>
                        <c:ptCount val="1"/>
                        <c:pt idx="0">
                          <c:v>33,9%</c:v>
                        </c:pt>
                      </c15:dlblFieldTableCache>
                    </c15:dlblFTEntry>
                  </c15:dlblFieldTable>
                  <c15:showDataLabelsRange val="0"/>
                </c:ext>
                <c:ext xmlns:c16="http://schemas.microsoft.com/office/drawing/2014/chart" uri="{C3380CC4-5D6E-409C-BE32-E72D297353CC}">
                  <c16:uniqueId val="{00000000-60EC-4AE8-826C-C7089D3D4A88}"/>
                </c:ext>
              </c:extLst>
            </c:dLbl>
            <c:dLbl>
              <c:idx val="10"/>
              <c:tx>
                <c:rich>
                  <a:bodyPr/>
                  <a:lstStyle/>
                  <a:p>
                    <a:fld id="{45713B60-693E-4984-9914-27171E989560}" type="CELLREF">
                      <a:rPr lang="en-US"/>
                      <a:pPr/>
                      <a:t>[REFERENCA ĆELIJE]</a:t>
                    </a:fld>
                    <a:endParaRPr lang="hr-HR"/>
                  </a:p>
                </c:rich>
              </c:tx>
              <c:showLegendKey val="0"/>
              <c:showVal val="1"/>
              <c:showCatName val="0"/>
              <c:showSerName val="0"/>
              <c:showPercent val="0"/>
              <c:showBubbleSize val="0"/>
              <c:extLst>
                <c:ext xmlns:c15="http://schemas.microsoft.com/office/drawing/2012/chart" uri="{CE6537A1-D6FC-4f65-9D91-7224C49458BB}">
                  <c15:dlblFieldTable>
                    <c15:dlblFTEntry>
                      <c15:txfldGUID>{45713B60-693E-4984-9914-27171E989560}</c15:txfldGUID>
                      <c15:f>Sheet1!$L$8</c15:f>
                      <c15:dlblFieldTableCache>
                        <c:ptCount val="1"/>
                        <c:pt idx="0">
                          <c:v>23,6%</c:v>
                        </c:pt>
                      </c15:dlblFieldTableCache>
                    </c15:dlblFTEntry>
                  </c15:dlblFieldTable>
                  <c15:showDataLabelsRange val="0"/>
                </c:ext>
                <c:ext xmlns:c16="http://schemas.microsoft.com/office/drawing/2014/chart" uri="{C3380CC4-5D6E-409C-BE32-E72D297353CC}">
                  <c16:uniqueId val="{00000001-08FA-4105-A1B1-BDFCA9C82C4E}"/>
                </c:ext>
              </c:extLst>
            </c:dLbl>
            <c:spPr>
              <a:solidFill>
                <a:sysClr val="window" lastClr="FFFFFF"/>
              </a:solidFill>
              <a:ln>
                <a:noFill/>
              </a:ln>
              <a:effectLst/>
            </c:spPr>
            <c:txPr>
              <a:bodyPr wrap="square" lIns="38100" tIns="19050" rIns="38100" bIns="19050" anchor="ctr">
                <a:spAutoFit/>
              </a:bodyPr>
              <a:lstStyle/>
              <a:p>
                <a:pPr>
                  <a:defRPr sz="700"/>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Sheet1!$B$1:$L$1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Sheet1!$B$3:$L$3</c:f>
              <c:numCache>
                <c:formatCode>#,##0.00</c:formatCode>
                <c:ptCount val="11"/>
                <c:pt idx="0">
                  <c:v>1900030.1227685979</c:v>
                </c:pt>
                <c:pt idx="1">
                  <c:v>2373052.4958524122</c:v>
                </c:pt>
                <c:pt idx="2">
                  <c:v>3033758.4750149311</c:v>
                </c:pt>
                <c:pt idx="3">
                  <c:v>3239348.1266175592</c:v>
                </c:pt>
                <c:pt idx="4">
                  <c:v>3469448.8154489347</c:v>
                </c:pt>
                <c:pt idx="5">
                  <c:v>2911143.1030592606</c:v>
                </c:pt>
                <c:pt idx="6">
                  <c:v>3247265.697790165</c:v>
                </c:pt>
                <c:pt idx="7">
                  <c:v>3452103.2676355429</c:v>
                </c:pt>
                <c:pt idx="8">
                  <c:v>4168223.51</c:v>
                </c:pt>
                <c:pt idx="9">
                  <c:v>5174433.2</c:v>
                </c:pt>
                <c:pt idx="10">
                  <c:v>6249051.5899999999</c:v>
                </c:pt>
              </c:numCache>
            </c:numRef>
          </c:val>
          <c:extLst>
            <c:ext xmlns:c16="http://schemas.microsoft.com/office/drawing/2014/chart" uri="{C3380CC4-5D6E-409C-BE32-E72D297353CC}">
              <c16:uniqueId val="{00000013-6FEA-49DA-94A8-C103CD2C8DFE}"/>
            </c:ext>
          </c:extLst>
        </c:ser>
        <c:dLbls>
          <c:showLegendKey val="0"/>
          <c:showVal val="0"/>
          <c:showCatName val="0"/>
          <c:showSerName val="0"/>
          <c:showPercent val="0"/>
          <c:showBubbleSize val="0"/>
        </c:dLbls>
        <c:gapWidth val="150"/>
        <c:overlap val="100"/>
        <c:axId val="212354048"/>
        <c:axId val="1354706304"/>
      </c:barChart>
      <c:catAx>
        <c:axId val="212354048"/>
        <c:scaling>
          <c:orientation val="minMax"/>
        </c:scaling>
        <c:delete val="0"/>
        <c:axPos val="b"/>
        <c:title>
          <c:tx>
            <c:rich>
              <a:bodyPr/>
              <a:lstStyle/>
              <a:p>
                <a:pPr>
                  <a:defRPr/>
                </a:pPr>
                <a:r>
                  <a:rPr lang="en-GB"/>
                  <a:t>godina</a:t>
                </a:r>
              </a:p>
            </c:rich>
          </c:tx>
          <c:layout>
            <c:manualLayout>
              <c:xMode val="edge"/>
              <c:yMode val="edge"/>
              <c:x val="0.39767441860465114"/>
              <c:y val="0.88321167883211682"/>
            </c:manualLayout>
          </c:layout>
          <c:overlay val="0"/>
          <c:spPr>
            <a:noFill/>
            <a:ln w="15257">
              <a:noFill/>
            </a:ln>
          </c:spPr>
        </c:title>
        <c:numFmt formatCode="General" sourceLinked="1"/>
        <c:majorTickMark val="out"/>
        <c:minorTickMark val="none"/>
        <c:tickLblPos val="low"/>
        <c:spPr>
          <a:ln w="1907">
            <a:solidFill>
              <a:srgbClr val="000000"/>
            </a:solidFill>
            <a:prstDash val="solid"/>
          </a:ln>
        </c:spPr>
        <c:txPr>
          <a:bodyPr rot="-5400000" vert="horz"/>
          <a:lstStyle/>
          <a:p>
            <a:pPr>
              <a:defRPr/>
            </a:pPr>
            <a:endParaRPr lang="sr-Latn-RS"/>
          </a:p>
        </c:txPr>
        <c:crossAx val="1354706304"/>
        <c:crossesAt val="90000000"/>
        <c:auto val="1"/>
        <c:lblAlgn val="ctr"/>
        <c:lblOffset val="100"/>
        <c:tickLblSkip val="1"/>
        <c:tickMarkSkip val="1"/>
        <c:noMultiLvlLbl val="0"/>
      </c:catAx>
      <c:valAx>
        <c:axId val="1354706304"/>
        <c:scaling>
          <c:orientation val="minMax"/>
        </c:scaling>
        <c:delete val="0"/>
        <c:axPos val="l"/>
        <c:majorGridlines>
          <c:spPr>
            <a:ln w="1907">
              <a:solidFill>
                <a:srgbClr val="000000"/>
              </a:solidFill>
              <a:prstDash val="solid"/>
            </a:ln>
          </c:spPr>
        </c:majorGridlines>
        <c:title>
          <c:tx>
            <c:rich>
              <a:bodyPr/>
              <a:lstStyle/>
              <a:p>
                <a:pPr>
                  <a:defRPr/>
                </a:pPr>
                <a:r>
                  <a:rPr lang="en-GB"/>
                  <a:t>iznos proračuna</a:t>
                </a:r>
                <a:r>
                  <a:rPr lang="hr-HR"/>
                  <a:t> (€)</a:t>
                </a:r>
                <a:endParaRPr lang="en-GB"/>
              </a:p>
            </c:rich>
          </c:tx>
          <c:layout>
            <c:manualLayout>
              <c:xMode val="edge"/>
              <c:yMode val="edge"/>
              <c:x val="5.4079610809549337E-2"/>
              <c:y val="0.35108678762561751"/>
            </c:manualLayout>
          </c:layout>
          <c:overlay val="0"/>
          <c:spPr>
            <a:noFill/>
            <a:ln w="15257">
              <a:noFill/>
            </a:ln>
          </c:spPr>
        </c:title>
        <c:numFmt formatCode="#,##0" sourceLinked="0"/>
        <c:majorTickMark val="out"/>
        <c:minorTickMark val="none"/>
        <c:tickLblPos val="nextTo"/>
        <c:txPr>
          <a:bodyPr rot="0" vert="horz"/>
          <a:lstStyle/>
          <a:p>
            <a:pPr>
              <a:defRPr/>
            </a:pPr>
            <a:endParaRPr lang="sr-Latn-RS"/>
          </a:p>
        </c:txPr>
        <c:crossAx val="212354048"/>
        <c:crosses val="autoZero"/>
        <c:crossBetween val="between"/>
      </c:valAx>
      <c:spPr>
        <a:solidFill>
          <a:srgbClr val="C0C0C0"/>
        </a:solidFill>
        <a:ln w="7628">
          <a:solidFill>
            <a:srgbClr val="808080"/>
          </a:solidFill>
          <a:prstDash val="solid"/>
        </a:ln>
      </c:spPr>
    </c:plotArea>
    <c:legend>
      <c:legendPos val="r"/>
      <c:layout>
        <c:manualLayout>
          <c:xMode val="edge"/>
          <c:yMode val="edge"/>
          <c:x val="0.85066958210725874"/>
          <c:y val="0.35844591987830726"/>
          <c:w val="0.14002830148447101"/>
          <c:h val="0.38451615036687836"/>
        </c:manualLayout>
      </c:layout>
      <c:overlay val="0"/>
      <c:spPr>
        <a:noFill/>
        <a:ln w="1907">
          <a:solidFill>
            <a:srgbClr val="000000"/>
          </a:solidFill>
          <a:prstDash val="solid"/>
        </a:ln>
      </c:sp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sr-Latn-R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hr-HR" sz="1100"/>
              <a:t>Struktura ostvarenih vlastitih prihoda i primitaka </a:t>
            </a:r>
            <a:r>
              <a:rPr lang="en-US" sz="1100"/>
              <a:t>Proračuna u</a:t>
            </a:r>
            <a:r>
              <a:rPr lang="hr-HR" sz="1100"/>
              <a:t> </a:t>
            </a:r>
            <a:r>
              <a:rPr lang="en-US" sz="1100"/>
              <a:t>20</a:t>
            </a:r>
            <a:r>
              <a:rPr lang="hr-HR" sz="1100"/>
              <a:t>25</a:t>
            </a:r>
            <a:r>
              <a:rPr lang="en-US" sz="1100"/>
              <a:t>.</a:t>
            </a:r>
            <a:r>
              <a:rPr lang="hr-HR" sz="1100"/>
              <a:t> </a:t>
            </a:r>
            <a:endParaRPr lang="en-US" sz="1100"/>
          </a:p>
          <a:p>
            <a:pPr>
              <a:defRPr sz="1100"/>
            </a:pPr>
            <a:r>
              <a:rPr lang="hr-HR" sz="1100"/>
              <a:t>- Općina i proračunski korisnici</a:t>
            </a:r>
            <a:endParaRPr lang="en-US" sz="1100"/>
          </a:p>
        </c:rich>
      </c:tx>
      <c:layout>
        <c:manualLayout>
          <c:xMode val="edge"/>
          <c:yMode val="edge"/>
          <c:x val="9.4960117614699913E-2"/>
          <c:y val="6.4796108551890279E-4"/>
        </c:manualLayout>
      </c:layout>
      <c:overlay val="0"/>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2.0636663675956138E-2"/>
          <c:y val="0.33048024402355108"/>
          <c:w val="0.64457345847135883"/>
          <c:h val="0.59645692937031525"/>
        </c:manualLayout>
      </c:layout>
      <c:pie3DChart>
        <c:varyColors val="1"/>
        <c:ser>
          <c:idx val="0"/>
          <c:order val="0"/>
          <c:tx>
            <c:strRef>
              <c:f>List1!$B$1</c:f>
              <c:strCache>
                <c:ptCount val="1"/>
                <c:pt idx="0">
                  <c:v>Prihodi i primici Proračuna u 2025.</c:v>
                </c:pt>
              </c:strCache>
            </c:strRef>
          </c:tx>
          <c:explosion val="29"/>
          <c:dPt>
            <c:idx val="0"/>
            <c:bubble3D val="0"/>
            <c:spPr>
              <a:pattFill prst="pct40">
                <a:fgClr>
                  <a:schemeClr val="tx2"/>
                </a:fgClr>
                <a:bgClr>
                  <a:schemeClr val="bg1"/>
                </a:bgClr>
              </a:pattFill>
              <a:ln w="6350">
                <a:solidFill>
                  <a:srgbClr val="4F81BD"/>
                </a:solidFill>
              </a:ln>
            </c:spPr>
            <c:extLst>
              <c:ext xmlns:c16="http://schemas.microsoft.com/office/drawing/2014/chart" uri="{C3380CC4-5D6E-409C-BE32-E72D297353CC}">
                <c16:uniqueId val="{00000001-DEA9-4434-8216-31E1CB1DB41B}"/>
              </c:ext>
            </c:extLst>
          </c:dPt>
          <c:dPt>
            <c:idx val="1"/>
            <c:bubble3D val="0"/>
            <c:spPr>
              <a:solidFill>
                <a:schemeClr val="accent6">
                  <a:lumMod val="75000"/>
                </a:schemeClr>
              </a:solidFill>
            </c:spPr>
            <c:extLst>
              <c:ext xmlns:c16="http://schemas.microsoft.com/office/drawing/2014/chart" uri="{C3380CC4-5D6E-409C-BE32-E72D297353CC}">
                <c16:uniqueId val="{00000003-DEA9-4434-8216-31E1CB1DB41B}"/>
              </c:ext>
            </c:extLst>
          </c:dPt>
          <c:dPt>
            <c:idx val="2"/>
            <c:bubble3D val="0"/>
            <c:extLst>
              <c:ext xmlns:c16="http://schemas.microsoft.com/office/drawing/2014/chart" uri="{C3380CC4-5D6E-409C-BE32-E72D297353CC}">
                <c16:uniqueId val="{00000004-DEA9-4434-8216-31E1CB1DB41B}"/>
              </c:ext>
            </c:extLst>
          </c:dPt>
          <c:dPt>
            <c:idx val="3"/>
            <c:bubble3D val="0"/>
            <c:spPr>
              <a:solidFill>
                <a:srgbClr val="FFFF00"/>
              </a:solidFill>
            </c:spPr>
            <c:extLst>
              <c:ext xmlns:c16="http://schemas.microsoft.com/office/drawing/2014/chart" uri="{C3380CC4-5D6E-409C-BE32-E72D297353CC}">
                <c16:uniqueId val="{00000006-DEA9-4434-8216-31E1CB1DB41B}"/>
              </c:ext>
            </c:extLst>
          </c:dPt>
          <c:dPt>
            <c:idx val="4"/>
            <c:bubble3D val="0"/>
            <c:spPr>
              <a:solidFill>
                <a:srgbClr val="7030A0"/>
              </a:solidFill>
            </c:spPr>
            <c:extLst>
              <c:ext xmlns:c16="http://schemas.microsoft.com/office/drawing/2014/chart" uri="{C3380CC4-5D6E-409C-BE32-E72D297353CC}">
                <c16:uniqueId val="{00000008-DEA9-4434-8216-31E1CB1DB41B}"/>
              </c:ext>
            </c:extLst>
          </c:dPt>
          <c:dLbls>
            <c:dLbl>
              <c:idx val="0"/>
              <c:layout>
                <c:manualLayout>
                  <c:x val="7.5206248682527399E-2"/>
                  <c:y val="-6.9162942884623352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EA9-4434-8216-31E1CB1DB41B}"/>
                </c:ext>
              </c:extLst>
            </c:dLbl>
            <c:dLbl>
              <c:idx val="1"/>
              <c:layout>
                <c:manualLayout>
                  <c:x val="-4.3061665711617882E-2"/>
                  <c:y val="0.12269750617818009"/>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EA9-4434-8216-31E1CB1DB41B}"/>
                </c:ext>
              </c:extLst>
            </c:dLbl>
            <c:dLbl>
              <c:idx val="2"/>
              <c:layout>
                <c:manualLayout>
                  <c:x val="-3.7237314022323026E-2"/>
                  <c:y val="-2.0788137894218513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DEA9-4434-8216-31E1CB1DB41B}"/>
                </c:ext>
              </c:extLst>
            </c:dLbl>
            <c:dLbl>
              <c:idx val="3"/>
              <c:layout>
                <c:manualLayout>
                  <c:x val="-2.8770407033420618E-2"/>
                  <c:y val="-0.14219846569441824"/>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DEA9-4434-8216-31E1CB1DB41B}"/>
                </c:ext>
              </c:extLst>
            </c:dLbl>
            <c:dLbl>
              <c:idx val="4"/>
              <c:layout>
                <c:manualLayout>
                  <c:x val="0.14998892752207077"/>
                  <c:y val="-2.3507457535078689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DEA9-4434-8216-31E1CB1DB41B}"/>
                </c:ext>
              </c:extLst>
            </c:dLbl>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List1!$A$2:$A$6</c:f>
              <c:strCache>
                <c:ptCount val="5"/>
                <c:pt idx="0">
                  <c:v>Općina</c:v>
                </c:pt>
                <c:pt idx="1">
                  <c:v>Dječji vrtić </c:v>
                </c:pt>
                <c:pt idx="2">
                  <c:v>Muzeji i galerije</c:v>
                </c:pt>
                <c:pt idx="3">
                  <c:v>Javna vatrogasna postrojba</c:v>
                </c:pt>
                <c:pt idx="4">
                  <c:v>Dom za starije i nemoćne osobe</c:v>
                </c:pt>
              </c:strCache>
            </c:strRef>
          </c:cat>
          <c:val>
            <c:numRef>
              <c:f>List1!$B$2:$B$6</c:f>
              <c:numCache>
                <c:formatCode>#,##0.00</c:formatCode>
                <c:ptCount val="5"/>
                <c:pt idx="0">
                  <c:v>21495663.969999999</c:v>
                </c:pt>
                <c:pt idx="1">
                  <c:v>530105.17000000004</c:v>
                </c:pt>
                <c:pt idx="2">
                  <c:v>186010.08</c:v>
                </c:pt>
                <c:pt idx="3">
                  <c:v>0</c:v>
                </c:pt>
                <c:pt idx="4">
                  <c:v>941013.83</c:v>
                </c:pt>
              </c:numCache>
            </c:numRef>
          </c:val>
          <c:extLst>
            <c:ext xmlns:c16="http://schemas.microsoft.com/office/drawing/2014/chart" uri="{C3380CC4-5D6E-409C-BE32-E72D297353CC}">
              <c16:uniqueId val="{00000009-DEA9-4434-8216-31E1CB1DB41B}"/>
            </c:ext>
          </c:extLst>
        </c:ser>
        <c:dLbls>
          <c:showLegendKey val="0"/>
          <c:showVal val="0"/>
          <c:showCatName val="0"/>
          <c:showSerName val="0"/>
          <c:showPercent val="0"/>
          <c:showBubbleSize val="0"/>
          <c:showLeaderLines val="1"/>
        </c:dLbls>
      </c:pie3DChart>
    </c:plotArea>
    <c:legend>
      <c:legendPos val="r"/>
      <c:legendEntry>
        <c:idx val="0"/>
        <c:txPr>
          <a:bodyPr/>
          <a:lstStyle/>
          <a:p>
            <a:pPr>
              <a:defRPr sz="900"/>
            </a:pPr>
            <a:endParaRPr lang="sr-Latn-RS"/>
          </a:p>
        </c:txPr>
      </c:legendEntry>
      <c:legendEntry>
        <c:idx val="1"/>
        <c:txPr>
          <a:bodyPr/>
          <a:lstStyle/>
          <a:p>
            <a:pPr>
              <a:defRPr sz="900"/>
            </a:pPr>
            <a:endParaRPr lang="sr-Latn-RS"/>
          </a:p>
        </c:txPr>
      </c:legendEntry>
      <c:legendEntry>
        <c:idx val="2"/>
        <c:txPr>
          <a:bodyPr/>
          <a:lstStyle/>
          <a:p>
            <a:pPr>
              <a:defRPr sz="900"/>
            </a:pPr>
            <a:endParaRPr lang="sr-Latn-RS"/>
          </a:p>
        </c:txPr>
      </c:legendEntry>
      <c:legendEntry>
        <c:idx val="3"/>
        <c:txPr>
          <a:bodyPr/>
          <a:lstStyle/>
          <a:p>
            <a:pPr>
              <a:defRPr sz="900"/>
            </a:pPr>
            <a:endParaRPr lang="sr-Latn-RS"/>
          </a:p>
        </c:txPr>
      </c:legendEntry>
      <c:legendEntry>
        <c:idx val="4"/>
        <c:txPr>
          <a:bodyPr/>
          <a:lstStyle/>
          <a:p>
            <a:pPr>
              <a:defRPr sz="900"/>
            </a:pPr>
            <a:endParaRPr lang="sr-Latn-RS"/>
          </a:p>
        </c:txPr>
      </c:legendEntry>
      <c:layout>
        <c:manualLayout>
          <c:xMode val="edge"/>
          <c:yMode val="edge"/>
          <c:x val="0.65243902439024393"/>
          <c:y val="0.39261744966442952"/>
          <c:w val="0.33079268292682928"/>
          <c:h val="0.42281879194630873"/>
        </c:manualLayout>
      </c:layout>
      <c:overlay val="0"/>
      <c:txPr>
        <a:bodyPr/>
        <a:lstStyle/>
        <a:p>
          <a:pPr>
            <a:defRPr sz="900"/>
          </a:pPr>
          <a:endParaRPr lang="sr-Latn-RS"/>
        </a:p>
      </c:txPr>
    </c:legend>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hr-HR" sz="1200"/>
              <a:t>Struktura izvršenih rashoda i izdataka </a:t>
            </a:r>
            <a:r>
              <a:rPr lang="en-US" sz="1200"/>
              <a:t>Proračuna u </a:t>
            </a:r>
            <a:r>
              <a:rPr lang="hr-HR" sz="1200"/>
              <a:t>2025</a:t>
            </a:r>
            <a:r>
              <a:rPr lang="en-US" sz="1200"/>
              <a:t>.</a:t>
            </a:r>
            <a:r>
              <a:rPr lang="hr-HR" sz="1200"/>
              <a:t> </a:t>
            </a:r>
            <a:endParaRPr lang="en-US" sz="1200"/>
          </a:p>
          <a:p>
            <a:pPr>
              <a:defRPr sz="1400"/>
            </a:pPr>
            <a:r>
              <a:rPr lang="hr-HR" sz="1200"/>
              <a:t>- Općina i pojedinačno proračunski korisnici</a:t>
            </a:r>
            <a:endParaRPr lang="en-US" sz="1200"/>
          </a:p>
        </c:rich>
      </c:tx>
      <c:layout>
        <c:manualLayout>
          <c:xMode val="edge"/>
          <c:yMode val="edge"/>
          <c:x val="0.41803746407528192"/>
          <c:y val="2.8673835125448029E-2"/>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List1!$B$1</c:f>
              <c:strCache>
                <c:ptCount val="1"/>
                <c:pt idx="0">
                  <c:v>Rashodi i izdaci Proračuna u 2025.</c:v>
                </c:pt>
              </c:strCache>
            </c:strRef>
          </c:tx>
          <c:explosion val="25"/>
          <c:dPt>
            <c:idx val="0"/>
            <c:bubble3D val="0"/>
            <c:spPr>
              <a:pattFill prst="pct40">
                <a:fgClr>
                  <a:schemeClr val="tx2"/>
                </a:fgClr>
                <a:bgClr>
                  <a:schemeClr val="bg1"/>
                </a:bgClr>
              </a:pattFill>
            </c:spPr>
            <c:extLst>
              <c:ext xmlns:c16="http://schemas.microsoft.com/office/drawing/2014/chart" uri="{C3380CC4-5D6E-409C-BE32-E72D297353CC}">
                <c16:uniqueId val="{00000001-B230-4D4B-A63E-C8CB6DE87AF6}"/>
              </c:ext>
            </c:extLst>
          </c:dPt>
          <c:dPt>
            <c:idx val="1"/>
            <c:bubble3D val="0"/>
            <c:spPr>
              <a:solidFill>
                <a:srgbClr val="F79646">
                  <a:lumMod val="75000"/>
                </a:srgbClr>
              </a:solidFill>
            </c:spPr>
            <c:extLst>
              <c:ext xmlns:c16="http://schemas.microsoft.com/office/drawing/2014/chart" uri="{C3380CC4-5D6E-409C-BE32-E72D297353CC}">
                <c16:uniqueId val="{00000003-B230-4D4B-A63E-C8CB6DE87AF6}"/>
              </c:ext>
            </c:extLst>
          </c:dPt>
          <c:dPt>
            <c:idx val="2"/>
            <c:bubble3D val="0"/>
            <c:spPr>
              <a:solidFill>
                <a:srgbClr val="9BBB59"/>
              </a:solidFill>
            </c:spPr>
            <c:extLst>
              <c:ext xmlns:c16="http://schemas.microsoft.com/office/drawing/2014/chart" uri="{C3380CC4-5D6E-409C-BE32-E72D297353CC}">
                <c16:uniqueId val="{00000005-B230-4D4B-A63E-C8CB6DE87AF6}"/>
              </c:ext>
            </c:extLst>
          </c:dPt>
          <c:dPt>
            <c:idx val="3"/>
            <c:bubble3D val="0"/>
            <c:spPr>
              <a:solidFill>
                <a:srgbClr val="FFFF00"/>
              </a:solidFill>
            </c:spPr>
            <c:extLst>
              <c:ext xmlns:c16="http://schemas.microsoft.com/office/drawing/2014/chart" uri="{C3380CC4-5D6E-409C-BE32-E72D297353CC}">
                <c16:uniqueId val="{00000007-B230-4D4B-A63E-C8CB6DE87AF6}"/>
              </c:ext>
            </c:extLst>
          </c:dPt>
          <c:dPt>
            <c:idx val="4"/>
            <c:bubble3D val="0"/>
            <c:spPr>
              <a:solidFill>
                <a:srgbClr val="7030A0"/>
              </a:solidFill>
            </c:spPr>
            <c:extLst>
              <c:ext xmlns:c16="http://schemas.microsoft.com/office/drawing/2014/chart" uri="{C3380CC4-5D6E-409C-BE32-E72D297353CC}">
                <c16:uniqueId val="{00000009-B230-4D4B-A63E-C8CB6DE87AF6}"/>
              </c:ext>
            </c:extLst>
          </c:dPt>
          <c:dLbls>
            <c:dLbl>
              <c:idx val="0"/>
              <c:layout>
                <c:manualLayout>
                  <c:x val="-2.9780520602873634E-2"/>
                  <c:y val="0.14930751935577946"/>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230-4D4B-A63E-C8CB6DE87AF6}"/>
                </c:ext>
              </c:extLst>
            </c:dLbl>
            <c:dLbl>
              <c:idx val="1"/>
              <c:layout>
                <c:manualLayout>
                  <c:x val="-1.7953340868209992E-2"/>
                  <c:y val="-2.3334180001693336E-3"/>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230-4D4B-A63E-C8CB6DE87AF6}"/>
                </c:ext>
              </c:extLst>
            </c:dLbl>
            <c:dLbl>
              <c:idx val="2"/>
              <c:layout>
                <c:manualLayout>
                  <c:x val="-3.084417777573505E-2"/>
                  <c:y val="-1.8210519384001686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230-4D4B-A63E-C8CB6DE87AF6}"/>
                </c:ext>
              </c:extLst>
            </c:dLbl>
            <c:dLbl>
              <c:idx val="4"/>
              <c:layout>
                <c:manualLayout>
                  <c:x val="4.9587427201740406E-2"/>
                  <c:y val="-4.1149587484360151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230-4D4B-A63E-C8CB6DE87AF6}"/>
                </c:ext>
              </c:extLst>
            </c:dLbl>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List1!$A$2:$A$6</c:f>
              <c:strCache>
                <c:ptCount val="5"/>
                <c:pt idx="0">
                  <c:v>Općina</c:v>
                </c:pt>
                <c:pt idx="1">
                  <c:v>Dječji vrtić </c:v>
                </c:pt>
                <c:pt idx="2">
                  <c:v>Muzeji i galerije</c:v>
                </c:pt>
                <c:pt idx="3">
                  <c:v>Javna vatrogasna postrojba</c:v>
                </c:pt>
                <c:pt idx="4">
                  <c:v>Dom za starije i nemoćne osobe</c:v>
                </c:pt>
              </c:strCache>
            </c:strRef>
          </c:cat>
          <c:val>
            <c:numRef>
              <c:f>List1!$B$2:$B$6</c:f>
              <c:numCache>
                <c:formatCode>#,##0.00</c:formatCode>
                <c:ptCount val="5"/>
                <c:pt idx="0">
                  <c:v>20185424.239999998</c:v>
                </c:pt>
                <c:pt idx="1">
                  <c:v>3339039.9</c:v>
                </c:pt>
                <c:pt idx="2">
                  <c:v>711184.97</c:v>
                </c:pt>
                <c:pt idx="3">
                  <c:v>758068.84</c:v>
                </c:pt>
                <c:pt idx="4">
                  <c:v>1440757.88</c:v>
                </c:pt>
              </c:numCache>
            </c:numRef>
          </c:val>
          <c:extLst>
            <c:ext xmlns:c16="http://schemas.microsoft.com/office/drawing/2014/chart" uri="{C3380CC4-5D6E-409C-BE32-E72D297353CC}">
              <c16:uniqueId val="{0000000A-B230-4D4B-A63E-C8CB6DE87AF6}"/>
            </c:ext>
          </c:extLst>
        </c:ser>
        <c:dLbls>
          <c:showLegendKey val="0"/>
          <c:showVal val="0"/>
          <c:showCatName val="0"/>
          <c:showSerName val="0"/>
          <c:showPercent val="0"/>
          <c:showBubbleSize val="0"/>
          <c:showLeaderLines val="1"/>
        </c:dLbls>
      </c:pie3DChart>
    </c:plotArea>
    <c:legend>
      <c:legendPos val="r"/>
      <c:layout>
        <c:manualLayout>
          <c:xMode val="edge"/>
          <c:yMode val="edge"/>
          <c:x val="0.72373478164627014"/>
          <c:y val="0.26941952023438936"/>
          <c:w val="0.26421702558264554"/>
          <c:h val="0.69236374864906591"/>
        </c:manualLayout>
      </c:layout>
      <c:overlay val="0"/>
    </c:legend>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PRIHODI OPĆINE I PRORAČUNSKIH KORISNIKA</a:t>
            </a:r>
            <a:r>
              <a:rPr lang="hr-HR" sz="1200"/>
              <a:t> </a:t>
            </a:r>
            <a:r>
              <a:rPr lang="hr-HR" sz="1200" baseline="0"/>
              <a:t> </a:t>
            </a:r>
          </a:p>
          <a:p>
            <a:pPr>
              <a:defRPr/>
            </a:pPr>
            <a:r>
              <a:rPr lang="hr-HR" sz="1200" baseline="0"/>
              <a:t>1.1.-31.12.2025.</a:t>
            </a:r>
            <a:endParaRPr lang="en-US" sz="1200"/>
          </a:p>
        </c:rich>
      </c:tx>
      <c:layout>
        <c:manualLayout>
          <c:xMode val="edge"/>
          <c:yMode val="edge"/>
          <c:x val="0.51683267790846643"/>
          <c:y val="0"/>
        </c:manualLayout>
      </c:layout>
      <c:overlay val="0"/>
    </c:title>
    <c:autoTitleDeleted val="0"/>
    <c:plotArea>
      <c:layout/>
      <c:ofPieChart>
        <c:ofPieType val="bar"/>
        <c:varyColors val="1"/>
        <c:ser>
          <c:idx val="0"/>
          <c:order val="0"/>
          <c:tx>
            <c:strRef>
              <c:f>List1!$B$1</c:f>
              <c:strCache>
                <c:ptCount val="1"/>
                <c:pt idx="0">
                  <c:v>PRIHODI OPĆINE I PRORAČUNSKIH KORISNIKA</c:v>
                </c:pt>
              </c:strCache>
            </c:strRef>
          </c:tx>
          <c:spPr>
            <a:ln w="9525"/>
            <a:effectLst>
              <a:outerShdw blurRad="50800" dist="50800" dir="5400000" sx="1000" sy="1000" algn="ctr" rotWithShape="0">
                <a:sysClr val="window" lastClr="FFFFFF">
                  <a:lumMod val="85000"/>
                </a:sysClr>
              </a:outerShdw>
            </a:effectLst>
            <a:scene3d>
              <a:camera prst="orthographicFront"/>
              <a:lightRig rig="threePt" dir="t"/>
            </a:scene3d>
            <a:sp3d prstMaterial="softEdge">
              <a:bevelT w="0"/>
            </a:sp3d>
          </c:spPr>
          <c:explosion val="14"/>
          <c:dPt>
            <c:idx val="0"/>
            <c:bubble3D val="0"/>
            <c:spPr>
              <a:pattFill prst="pct40">
                <a:fgClr>
                  <a:srgbClr val="1F497D"/>
                </a:fgClr>
                <a:bgClr>
                  <a:sysClr val="window" lastClr="FFFFFF"/>
                </a:bgClr>
              </a:pattFill>
              <a:effectLst>
                <a:glow rad="63500">
                  <a:srgbClr val="4F81BD">
                    <a:satMod val="175000"/>
                    <a:alpha val="40000"/>
                  </a:srgbClr>
                </a:glow>
                <a:softEdge rad="406400"/>
              </a:effectLst>
              <a:scene3d>
                <a:camera prst="orthographicFront"/>
                <a:lightRig rig="threePt" dir="t"/>
              </a:scene3d>
              <a:sp3d prstMaterial="softEdge">
                <a:bevelT w="0"/>
              </a:sp3d>
            </c:spPr>
            <c:extLst>
              <c:ext xmlns:c16="http://schemas.microsoft.com/office/drawing/2014/chart" uri="{C3380CC4-5D6E-409C-BE32-E72D297353CC}">
                <c16:uniqueId val="{00000001-5B09-4FE6-95CF-A0E1EBACA857}"/>
              </c:ext>
            </c:extLst>
          </c:dPt>
          <c:dPt>
            <c:idx val="1"/>
            <c:bubble3D val="0"/>
            <c:spPr>
              <a:solidFill>
                <a:srgbClr val="F79646">
                  <a:lumMod val="75000"/>
                </a:srgbClr>
              </a:solidFill>
              <a:ln w="9525"/>
              <a:effectLst>
                <a:outerShdw blurRad="50800" dist="50800" dir="5400000" sx="1000" sy="1000" algn="ctr" rotWithShape="0">
                  <a:sysClr val="window" lastClr="FFFFFF">
                    <a:lumMod val="85000"/>
                  </a:sysClr>
                </a:outerShdw>
              </a:effectLst>
              <a:scene3d>
                <a:camera prst="orthographicFront"/>
                <a:lightRig rig="threePt" dir="t"/>
              </a:scene3d>
              <a:sp3d prstMaterial="softEdge">
                <a:bevelT w="0"/>
              </a:sp3d>
            </c:spPr>
            <c:extLst>
              <c:ext xmlns:c16="http://schemas.microsoft.com/office/drawing/2014/chart" uri="{C3380CC4-5D6E-409C-BE32-E72D297353CC}">
                <c16:uniqueId val="{00000001-1D93-463E-822B-7367DEFE524B}"/>
              </c:ext>
            </c:extLst>
          </c:dPt>
          <c:dPt>
            <c:idx val="2"/>
            <c:bubble3D val="0"/>
            <c:spPr>
              <a:solidFill>
                <a:srgbClr val="9BBB59">
                  <a:lumMod val="75000"/>
                </a:srgbClr>
              </a:solidFill>
              <a:ln w="9525"/>
              <a:effectLst>
                <a:outerShdw blurRad="50800" dist="50800" dir="5400000" sx="1000" sy="1000" algn="ctr" rotWithShape="0">
                  <a:sysClr val="window" lastClr="FFFFFF">
                    <a:lumMod val="85000"/>
                  </a:sysClr>
                </a:outerShdw>
              </a:effectLst>
              <a:scene3d>
                <a:camera prst="orthographicFront"/>
                <a:lightRig rig="threePt" dir="t"/>
              </a:scene3d>
              <a:sp3d prstMaterial="softEdge">
                <a:bevelT w="0"/>
              </a:sp3d>
            </c:spPr>
            <c:extLst>
              <c:ext xmlns:c16="http://schemas.microsoft.com/office/drawing/2014/chart" uri="{C3380CC4-5D6E-409C-BE32-E72D297353CC}">
                <c16:uniqueId val="{00000005-5B09-4FE6-95CF-A0E1EBACA857}"/>
              </c:ext>
            </c:extLst>
          </c:dPt>
          <c:dPt>
            <c:idx val="3"/>
            <c:bubble3D val="0"/>
            <c:spPr>
              <a:solidFill>
                <a:srgbClr val="FFFF00"/>
              </a:solidFill>
              <a:ln w="9525">
                <a:noFill/>
              </a:ln>
              <a:effectLst>
                <a:outerShdw blurRad="50800" dist="50800" dir="5400000" sx="1000" sy="1000" algn="ctr" rotWithShape="0">
                  <a:sysClr val="window" lastClr="FFFFFF">
                    <a:lumMod val="85000"/>
                  </a:sysClr>
                </a:outerShdw>
              </a:effectLst>
              <a:scene3d>
                <a:camera prst="orthographicFront"/>
                <a:lightRig rig="threePt" dir="t"/>
              </a:scene3d>
              <a:sp3d prstMaterial="softEdge">
                <a:bevelT w="0"/>
              </a:sp3d>
            </c:spPr>
            <c:extLst>
              <c:ext xmlns:c16="http://schemas.microsoft.com/office/drawing/2014/chart" uri="{C3380CC4-5D6E-409C-BE32-E72D297353CC}">
                <c16:uniqueId val="{00000007-5B09-4FE6-95CF-A0E1EBACA857}"/>
              </c:ext>
            </c:extLst>
          </c:dPt>
          <c:dPt>
            <c:idx val="4"/>
            <c:bubble3D val="0"/>
            <c:spPr>
              <a:solidFill>
                <a:srgbClr val="7030A0"/>
              </a:solidFill>
              <a:ln w="9525"/>
              <a:effectLst>
                <a:outerShdw blurRad="50800" dist="50800" dir="5400000" sx="1000" sy="1000" algn="ctr" rotWithShape="0">
                  <a:sysClr val="window" lastClr="FFFFFF">
                    <a:lumMod val="85000"/>
                  </a:sysClr>
                </a:outerShdw>
              </a:effectLst>
              <a:scene3d>
                <a:camera prst="orthographicFront"/>
                <a:lightRig rig="threePt" dir="t"/>
              </a:scene3d>
              <a:sp3d prstMaterial="softEdge">
                <a:bevelT w="0"/>
              </a:sp3d>
            </c:spPr>
            <c:extLst>
              <c:ext xmlns:c16="http://schemas.microsoft.com/office/drawing/2014/chart" uri="{C3380CC4-5D6E-409C-BE32-E72D297353CC}">
                <c16:uniqueId val="{00000009-5B09-4FE6-95CF-A0E1EBACA857}"/>
              </c:ext>
            </c:extLst>
          </c:dPt>
          <c:dPt>
            <c:idx val="5"/>
            <c:bubble3D val="0"/>
            <c:spPr>
              <a:blipFill>
                <a:blip xmlns:r="http://schemas.openxmlformats.org/officeDocument/2006/relationships" r:embed="rId2"/>
                <a:tile tx="0" ty="0" sx="100000" sy="100000" flip="none" algn="tl"/>
              </a:blipFill>
              <a:ln w="9525"/>
              <a:effectLst>
                <a:outerShdw blurRad="50800" dist="50800" dir="5400000" sx="1000" sy="1000" algn="ctr" rotWithShape="0">
                  <a:sysClr val="window" lastClr="FFFFFF">
                    <a:lumMod val="85000"/>
                  </a:sysClr>
                </a:outerShdw>
              </a:effectLst>
              <a:scene3d>
                <a:camera prst="orthographicFront"/>
                <a:lightRig rig="threePt" dir="t"/>
              </a:scene3d>
              <a:sp3d prstMaterial="softEdge">
                <a:bevelT w="0"/>
              </a:sp3d>
            </c:spPr>
            <c:extLst>
              <c:ext xmlns:c16="http://schemas.microsoft.com/office/drawing/2014/chart" uri="{C3380CC4-5D6E-409C-BE32-E72D297353CC}">
                <c16:uniqueId val="{0000000B-5B09-4FE6-95CF-A0E1EBACA857}"/>
              </c:ext>
            </c:extLst>
          </c:dPt>
          <c:dLbls>
            <c:dLbl>
              <c:idx val="0"/>
              <c:layout>
                <c:manualLayout>
                  <c:x val="-3.50849971613118E-3"/>
                  <c:y val="-0.16457166812481774"/>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B09-4FE6-95CF-A0E1EBACA857}"/>
                </c:ext>
              </c:extLst>
            </c:dLbl>
            <c:dLbl>
              <c:idx val="1"/>
              <c:layout>
                <c:manualLayout>
                  <c:x val="3.9259614624370817E-2"/>
                  <c:y val="-5.0627369495479732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D93-463E-822B-7367DEFE524B}"/>
                </c:ext>
              </c:extLst>
            </c:dLbl>
            <c:dLbl>
              <c:idx val="2"/>
              <c:layout>
                <c:manualLayout>
                  <c:x val="3.6240090600226503E-2"/>
                  <c:y val="-4.1666666666666664E-2"/>
                </c:manualLayout>
              </c:layout>
              <c:tx>
                <c:rich>
                  <a:bodyPr/>
                  <a:lstStyle/>
                  <a:p>
                    <a:fld id="{E5B24CD4-3C6A-4352-9173-F34216DD2A65}" type="VALUE">
                      <a:rPr lang="en-US"/>
                      <a:pPr/>
                      <a:t>[VRIJEDNOST]</a:t>
                    </a:fld>
                    <a:r>
                      <a:rPr lang="en-US" baseline="0"/>
                      <a:t>; </a:t>
                    </a:r>
                    <a:fld id="{5E561334-9F88-4F56-AED1-0B08144C3219}" type="PERCENTAGE">
                      <a:rPr lang="en-US" baseline="0"/>
                      <a:pPr/>
                      <a:t>[POSTOTAK]</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B09-4FE6-95CF-A0E1EBACA857}"/>
                </c:ext>
              </c:extLst>
            </c:dLbl>
            <c:dLbl>
              <c:idx val="3"/>
              <c:layout>
                <c:manualLayout>
                  <c:x val="3.6240090600226503E-2"/>
                  <c:y val="9.2592592592592587E-3"/>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B09-4FE6-95CF-A0E1EBACA857}"/>
                </c:ext>
              </c:extLst>
            </c:dLbl>
            <c:dLbl>
              <c:idx val="4"/>
              <c:layout>
                <c:manualLayout>
                  <c:x val="3.6240090600226503E-2"/>
                  <c:y val="0"/>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B09-4FE6-95CF-A0E1EBACA857}"/>
                </c:ext>
              </c:extLst>
            </c:dLbl>
            <c:spPr>
              <a:noFill/>
              <a:ln>
                <a:noFill/>
              </a:ln>
              <a:effectLst/>
            </c:spPr>
            <c:txPr>
              <a:bodyPr/>
              <a:lstStyle/>
              <a:p>
                <a:pPr>
                  <a:defRPr b="1"/>
                </a:pPr>
                <a:endParaRPr lang="sr-Latn-RS"/>
              </a:p>
            </c:txPr>
            <c:showLegendKey val="0"/>
            <c:showVal val="1"/>
            <c:showCatName val="0"/>
            <c:showSerName val="0"/>
            <c:showPercent val="1"/>
            <c:showBubbleSize val="0"/>
            <c:showLeaderLines val="1"/>
            <c:extLst>
              <c:ext xmlns:c15="http://schemas.microsoft.com/office/drawing/2012/chart" uri="{CE6537A1-D6FC-4f65-9D91-7224C49458BB}"/>
            </c:extLst>
          </c:dLbls>
          <c:cat>
            <c:strRef>
              <c:f>List1!$A$2:$A$6</c:f>
              <c:strCache>
                <c:ptCount val="5"/>
                <c:pt idx="0">
                  <c:v>Općina</c:v>
                </c:pt>
                <c:pt idx="1">
                  <c:v>Dječji vrtić Konavle</c:v>
                </c:pt>
                <c:pt idx="2">
                  <c:v>Muzeji i galerije Konavala</c:v>
                </c:pt>
                <c:pt idx="3">
                  <c:v>Javna vatrogasna postrojba Konavle</c:v>
                </c:pt>
                <c:pt idx="4">
                  <c:v>Dom za starije i nemoćne osobe Konavle</c:v>
                </c:pt>
              </c:strCache>
            </c:strRef>
          </c:cat>
          <c:val>
            <c:numRef>
              <c:f>List1!$B$2:$B$6</c:f>
              <c:numCache>
                <c:formatCode>#,##0.00</c:formatCode>
                <c:ptCount val="5"/>
                <c:pt idx="0">
                  <c:v>21495663.969999999</c:v>
                </c:pt>
                <c:pt idx="1">
                  <c:v>530105.17000000004</c:v>
                </c:pt>
                <c:pt idx="2">
                  <c:v>185960.08</c:v>
                </c:pt>
                <c:pt idx="3">
                  <c:v>0</c:v>
                </c:pt>
                <c:pt idx="4">
                  <c:v>941013.83</c:v>
                </c:pt>
              </c:numCache>
            </c:numRef>
          </c:val>
          <c:extLst>
            <c:ext xmlns:c16="http://schemas.microsoft.com/office/drawing/2014/chart" uri="{C3380CC4-5D6E-409C-BE32-E72D297353CC}">
              <c16:uniqueId val="{00000003-1D93-463E-822B-7367DEFE524B}"/>
            </c:ext>
          </c:extLst>
        </c:ser>
        <c:ser>
          <c:idx val="1"/>
          <c:order val="1"/>
          <c:tx>
            <c:strRef>
              <c:f>List1!$C$1</c:f>
              <c:strCache>
                <c:ptCount val="1"/>
                <c:pt idx="0">
                  <c:v>Stupac1</c:v>
                </c:pt>
              </c:strCache>
            </c:strRef>
          </c:tx>
          <c:cat>
            <c:strRef>
              <c:f>List1!$A$2:$A$6</c:f>
              <c:strCache>
                <c:ptCount val="5"/>
                <c:pt idx="0">
                  <c:v>Općina</c:v>
                </c:pt>
                <c:pt idx="1">
                  <c:v>Dječji vrtić Konavle</c:v>
                </c:pt>
                <c:pt idx="2">
                  <c:v>Muzeji i galerije Konavala</c:v>
                </c:pt>
                <c:pt idx="3">
                  <c:v>Javna vatrogasna postrojba Konavle</c:v>
                </c:pt>
                <c:pt idx="4">
                  <c:v>Dom za starije i nemoćne osobe Konavle</c:v>
                </c:pt>
              </c:strCache>
            </c:strRef>
          </c:cat>
          <c:val>
            <c:numRef>
              <c:f>List1!$C$2:$C$6</c:f>
              <c:numCache>
                <c:formatCode>General</c:formatCode>
                <c:ptCount val="5"/>
              </c:numCache>
            </c:numRef>
          </c:val>
          <c:extLst>
            <c:ext xmlns:c16="http://schemas.microsoft.com/office/drawing/2014/chart" uri="{C3380CC4-5D6E-409C-BE32-E72D297353CC}">
              <c16:uniqueId val="{0000000C-1802-46F5-9B22-9E679AF479D2}"/>
            </c:ext>
          </c:extLst>
        </c:ser>
        <c:dLbls>
          <c:showLegendKey val="0"/>
          <c:showVal val="0"/>
          <c:showCatName val="0"/>
          <c:showSerName val="0"/>
          <c:showPercent val="0"/>
          <c:showBubbleSize val="0"/>
          <c:showLeaderLines val="1"/>
        </c:dLbls>
        <c:gapWidth val="304"/>
        <c:splitType val="cust"/>
        <c:custSplit>
          <c:secondPiePt val="1"/>
          <c:secondPiePt val="2"/>
          <c:secondPiePt val="3"/>
          <c:secondPiePt val="4"/>
        </c:custSplit>
        <c:secondPieSize val="96"/>
        <c:serLines/>
      </c:ofPieChart>
    </c:plotArea>
    <c:legend>
      <c:legendPos val="r"/>
      <c:layout>
        <c:manualLayout>
          <c:xMode val="edge"/>
          <c:yMode val="edge"/>
          <c:x val="0.80348763312853166"/>
          <c:y val="0.18954943132108484"/>
          <c:w val="0.19651236687146836"/>
          <c:h val="0.41858595800524934"/>
        </c:manualLayout>
      </c:layout>
      <c:overlay val="0"/>
    </c:legend>
    <c:plotVisOnly val="1"/>
    <c:dispBlanksAs val="gap"/>
    <c:showDLblsOverMax val="0"/>
  </c:chart>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hr-HR" sz="1200"/>
              <a:t>Ostvareni p</a:t>
            </a:r>
            <a:r>
              <a:rPr lang="en-US" sz="1200"/>
              <a:t>rihodi i primici proračuna u </a:t>
            </a:r>
            <a:r>
              <a:rPr lang="hr-HR" sz="1200"/>
              <a:t>2025</a:t>
            </a:r>
            <a:r>
              <a:rPr lang="en-US" sz="1200"/>
              <a:t>. - </a:t>
            </a:r>
            <a:r>
              <a:rPr lang="hr-HR" sz="1200"/>
              <a:t>ekonomska</a:t>
            </a:r>
            <a:r>
              <a:rPr lang="hr-HR" sz="1200" baseline="0"/>
              <a:t> klasifikacija</a:t>
            </a:r>
            <a:endParaRPr lang="en-US" sz="1200"/>
          </a:p>
        </c:rich>
      </c:tx>
      <c:layout>
        <c:manualLayout>
          <c:xMode val="edge"/>
          <c:yMode val="edge"/>
          <c:x val="0.41809945501964607"/>
          <c:y val="1.7917648472854632E-2"/>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List1!$B$1</c:f>
              <c:strCache>
                <c:ptCount val="1"/>
                <c:pt idx="0">
                  <c:v>Prihodi i primici proračuna u razdoblju 1.1.-31.12.2025. - Općina i proračunski korisnici</c:v>
                </c:pt>
              </c:strCache>
            </c:strRef>
          </c:tx>
          <c:explosion val="29"/>
          <c:dPt>
            <c:idx val="0"/>
            <c:bubble3D val="0"/>
            <c:spPr>
              <a:solidFill>
                <a:srgbClr val="00B050"/>
              </a:solidFill>
            </c:spPr>
            <c:extLst>
              <c:ext xmlns:c16="http://schemas.microsoft.com/office/drawing/2014/chart" uri="{C3380CC4-5D6E-409C-BE32-E72D297353CC}">
                <c16:uniqueId val="{00000001-BA82-4694-B7CF-D70917768EE9}"/>
              </c:ext>
            </c:extLst>
          </c:dPt>
          <c:dPt>
            <c:idx val="2"/>
            <c:bubble3D val="0"/>
            <c:spPr>
              <a:pattFill prst="trellis">
                <a:fgClr>
                  <a:srgbClr val="9BBB59">
                    <a:lumMod val="75000"/>
                  </a:srgbClr>
                </a:fgClr>
                <a:bgClr>
                  <a:sysClr val="window" lastClr="FFFFFF"/>
                </a:bgClr>
              </a:pattFill>
            </c:spPr>
            <c:extLst>
              <c:ext xmlns:c16="http://schemas.microsoft.com/office/drawing/2014/chart" uri="{C3380CC4-5D6E-409C-BE32-E72D297353CC}">
                <c16:uniqueId val="{00000003-BA82-4694-B7CF-D70917768EE9}"/>
              </c:ext>
            </c:extLst>
          </c:dPt>
          <c:dPt>
            <c:idx val="4"/>
            <c:bubble3D val="0"/>
            <c:spPr>
              <a:solidFill>
                <a:srgbClr val="FFFF00"/>
              </a:solidFill>
            </c:spPr>
            <c:extLst>
              <c:ext xmlns:c16="http://schemas.microsoft.com/office/drawing/2014/chart" uri="{C3380CC4-5D6E-409C-BE32-E72D297353CC}">
                <c16:uniqueId val="{00000005-BA82-4694-B7CF-D70917768EE9}"/>
              </c:ext>
            </c:extLst>
          </c:dPt>
          <c:dPt>
            <c:idx val="5"/>
            <c:bubble3D val="0"/>
            <c:spPr>
              <a:solidFill>
                <a:srgbClr val="FF0000"/>
              </a:solidFill>
            </c:spPr>
            <c:extLst>
              <c:ext xmlns:c16="http://schemas.microsoft.com/office/drawing/2014/chart" uri="{C3380CC4-5D6E-409C-BE32-E72D297353CC}">
                <c16:uniqueId val="{00000007-BA82-4694-B7CF-D70917768EE9}"/>
              </c:ext>
            </c:extLst>
          </c:dPt>
          <c:dPt>
            <c:idx val="6"/>
            <c:bubble3D val="0"/>
            <c:spPr>
              <a:solidFill>
                <a:srgbClr val="00B0F0"/>
              </a:solidFill>
            </c:spPr>
            <c:extLst>
              <c:ext xmlns:c16="http://schemas.microsoft.com/office/drawing/2014/chart" uri="{C3380CC4-5D6E-409C-BE32-E72D297353CC}">
                <c16:uniqueId val="{00000009-BA82-4694-B7CF-D70917768EE9}"/>
              </c:ext>
            </c:extLst>
          </c:dPt>
          <c:dLbls>
            <c:dLbl>
              <c:idx val="0"/>
              <c:layout>
                <c:manualLayout>
                  <c:x val="-5.1525954160188639E-2"/>
                  <c:y val="-0.19170664891378372"/>
                </c:manualLayout>
              </c:layou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A82-4694-B7CF-D70917768EE9}"/>
                </c:ext>
              </c:extLst>
            </c:dLbl>
            <c:dLbl>
              <c:idx val="1"/>
              <c:layout>
                <c:manualLayout>
                  <c:x val="-2.6362928980700188E-2"/>
                  <c:y val="7.5877336419209573E-2"/>
                </c:manualLayout>
              </c:layou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BA82-4694-B7CF-D70917768EE9}"/>
                </c:ext>
              </c:extLst>
            </c:dLbl>
            <c:dLbl>
              <c:idx val="2"/>
              <c:layout>
                <c:manualLayout>
                  <c:x val="0.11380042462845011"/>
                  <c:y val="0.14996707229778081"/>
                </c:manualLayout>
              </c:layou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A82-4694-B7CF-D70917768EE9}"/>
                </c:ext>
              </c:extLst>
            </c:dLbl>
            <c:dLbl>
              <c:idx val="3"/>
              <c:layout>
                <c:manualLayout>
                  <c:x val="0"/>
                  <c:y val="0.29800461305973119"/>
                </c:manualLayout>
              </c:layou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A82-4694-B7CF-D70917768EE9}"/>
                </c:ext>
              </c:extLst>
            </c:dLbl>
            <c:dLbl>
              <c:idx val="4"/>
              <c:layout>
                <c:manualLayout>
                  <c:x val="0"/>
                  <c:y val="-8.938202800031865E-2"/>
                </c:manualLayout>
              </c:layou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A82-4694-B7CF-D70917768EE9}"/>
                </c:ext>
              </c:extLst>
            </c:dLbl>
            <c:dLbl>
              <c:idx val="5"/>
              <c:layout>
                <c:manualLayout>
                  <c:x val="0"/>
                  <c:y val="-0.23147919344836904"/>
                </c:manualLayout>
              </c:layou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A82-4694-B7CF-D70917768EE9}"/>
                </c:ext>
              </c:extLst>
            </c:dLbl>
            <c:dLbl>
              <c:idx val="6"/>
              <c:layout>
                <c:manualLayout>
                  <c:x val="-9.6895531370680573E-4"/>
                  <c:y val="-0.11092943376126783"/>
                </c:manualLayout>
              </c:layou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A82-4694-B7CF-D70917768EE9}"/>
                </c:ext>
              </c:extLst>
            </c:dLbl>
            <c:dLbl>
              <c:idx val="7"/>
              <c:layout>
                <c:manualLayout>
                  <c:x val="0.16836485641227744"/>
                  <c:y val="-4.2179989566690793E-2"/>
                </c:manualLayout>
              </c:layou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C-BA82-4694-B7CF-D70917768EE9}"/>
                </c:ext>
              </c:extLst>
            </c:dLbl>
            <c:spPr>
              <a:noFill/>
              <a:ln>
                <a:noFill/>
              </a:ln>
              <a:effectLst/>
            </c:spPr>
            <c:showLegendKey val="1"/>
            <c:showVal val="1"/>
            <c:showCatName val="0"/>
            <c:showSerName val="0"/>
            <c:showPercent val="1"/>
            <c:showBubbleSize val="0"/>
            <c:showLeaderLines val="1"/>
            <c:extLst>
              <c:ext xmlns:c15="http://schemas.microsoft.com/office/drawing/2012/chart" uri="{CE6537A1-D6FC-4f65-9D91-7224C49458BB}"/>
            </c:extLst>
          </c:dLbls>
          <c:cat>
            <c:strRef>
              <c:f>List1!$A$2:$A$9</c:f>
              <c:strCache>
                <c:ptCount val="8"/>
                <c:pt idx="0">
                  <c:v>61 - Prihodi od poreza</c:v>
                </c:pt>
                <c:pt idx="1">
                  <c:v>63 - Prihodi od pomoći</c:v>
                </c:pt>
                <c:pt idx="2">
                  <c:v>64 - Prihodi od imovine</c:v>
                </c:pt>
                <c:pt idx="3">
                  <c:v>65 - Prihodi po posebnim propisima</c:v>
                </c:pt>
                <c:pt idx="4">
                  <c:v>66 - Prihodi od prodaje i od donacija</c:v>
                </c:pt>
                <c:pt idx="5">
                  <c:v>68 - Kazne i ostali prihodi</c:v>
                </c:pt>
                <c:pt idx="6">
                  <c:v>7 - Prihodi od prodaje nefinancijske imovine</c:v>
                </c:pt>
                <c:pt idx="7">
                  <c:v>8 - Primici od zaduživanja</c:v>
                </c:pt>
              </c:strCache>
            </c:strRef>
          </c:cat>
          <c:val>
            <c:numRef>
              <c:f>List1!$B$2:$B$9</c:f>
              <c:numCache>
                <c:formatCode>#,##0.00</c:formatCode>
                <c:ptCount val="8"/>
                <c:pt idx="0">
                  <c:v>8507914.6500000004</c:v>
                </c:pt>
                <c:pt idx="1">
                  <c:v>5014703.26</c:v>
                </c:pt>
                <c:pt idx="2">
                  <c:v>1981636.37</c:v>
                </c:pt>
                <c:pt idx="3">
                  <c:v>3303706.23</c:v>
                </c:pt>
                <c:pt idx="4">
                  <c:v>635782.31999999995</c:v>
                </c:pt>
                <c:pt idx="5">
                  <c:v>58869.54</c:v>
                </c:pt>
                <c:pt idx="6">
                  <c:v>570855.55000000005</c:v>
                </c:pt>
                <c:pt idx="7">
                  <c:v>3079325.13</c:v>
                </c:pt>
              </c:numCache>
            </c:numRef>
          </c:val>
          <c:extLst>
            <c:ext xmlns:c16="http://schemas.microsoft.com/office/drawing/2014/chart" uri="{C3380CC4-5D6E-409C-BE32-E72D297353CC}">
              <c16:uniqueId val="{0000000D-BA82-4694-B7CF-D70917768EE9}"/>
            </c:ext>
          </c:extLst>
        </c:ser>
        <c:dLbls>
          <c:showLegendKey val="0"/>
          <c:showVal val="0"/>
          <c:showCatName val="0"/>
          <c:showSerName val="0"/>
          <c:showPercent val="0"/>
          <c:showBubbleSize val="0"/>
          <c:showLeaderLines val="1"/>
        </c:dLbls>
      </c:pie3DChart>
    </c:plotArea>
    <c:legend>
      <c:legendPos val="r"/>
      <c:layout>
        <c:manualLayout>
          <c:xMode val="edge"/>
          <c:yMode val="edge"/>
          <c:x val="0.69743793365210349"/>
          <c:y val="0.18394255136211418"/>
          <c:w val="0.2918897077566478"/>
          <c:h val="0.79799133405738076"/>
        </c:manualLayout>
      </c:layout>
      <c:overlay val="0"/>
    </c:legend>
    <c:plotVisOnly val="1"/>
    <c:dispBlanksAs val="gap"/>
    <c:showDLblsOverMax val="0"/>
  </c:chart>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hr-HR" sz="1400"/>
              <a:t>RASHODI I IZDACI</a:t>
            </a:r>
            <a:r>
              <a:rPr lang="en-US" sz="1400"/>
              <a:t> OPĆINE I PRORAČUNSKIH KORISNIKA</a:t>
            </a:r>
            <a:r>
              <a:rPr lang="hr-HR" sz="1400"/>
              <a:t> </a:t>
            </a:r>
            <a:r>
              <a:rPr lang="hr-HR" sz="1400" baseline="0"/>
              <a:t> - 1.1.-31.12.2025. </a:t>
            </a:r>
            <a:endParaRPr lang="en-US" sz="1400"/>
          </a:p>
        </c:rich>
      </c:tx>
      <c:overlay val="0"/>
    </c:title>
    <c:autoTitleDeleted val="0"/>
    <c:plotArea>
      <c:layout/>
      <c:ofPieChart>
        <c:ofPieType val="bar"/>
        <c:varyColors val="1"/>
        <c:ser>
          <c:idx val="0"/>
          <c:order val="0"/>
          <c:tx>
            <c:strRef>
              <c:f>List1!$B$1</c:f>
              <c:strCache>
                <c:ptCount val="1"/>
                <c:pt idx="0">
                  <c:v>RASHODI I IZDACI OPĆINE I PRORAČUNSKIH KORISNIKA</c:v>
                </c:pt>
              </c:strCache>
            </c:strRef>
          </c:tx>
          <c:spPr>
            <a:effectLst>
              <a:outerShdw blurRad="50800" dist="50800" dir="5400000" algn="ctr" rotWithShape="0">
                <a:sysClr val="window" lastClr="FFFFFF"/>
              </a:outerShdw>
              <a:softEdge rad="0"/>
            </a:effectLst>
            <a:scene3d>
              <a:camera prst="orthographicFront"/>
              <a:lightRig rig="threePt" dir="t"/>
            </a:scene3d>
            <a:sp3d prstMaterial="softEdge"/>
          </c:spPr>
          <c:explosion val="10"/>
          <c:dPt>
            <c:idx val="0"/>
            <c:bubble3D val="0"/>
            <c:spPr>
              <a:pattFill prst="pct40">
                <a:fgClr>
                  <a:srgbClr val="1F497D"/>
                </a:fgClr>
                <a:bgClr>
                  <a:sysClr val="window" lastClr="FFFFFF"/>
                </a:bgClr>
              </a:pattFill>
              <a:effectLst>
                <a:outerShdw blurRad="50800" dist="50800" dir="5400000" algn="ctr" rotWithShape="0">
                  <a:sysClr val="window" lastClr="FFFFFF"/>
                </a:outerShdw>
                <a:softEdge rad="0"/>
              </a:effectLst>
              <a:scene3d>
                <a:camera prst="orthographicFront"/>
                <a:lightRig rig="threePt" dir="t"/>
              </a:scene3d>
              <a:sp3d prstMaterial="softEdge"/>
            </c:spPr>
            <c:extLst>
              <c:ext xmlns:c16="http://schemas.microsoft.com/office/drawing/2014/chart" uri="{C3380CC4-5D6E-409C-BE32-E72D297353CC}">
                <c16:uniqueId val="{00000002-B5A3-406A-8D11-0B535854F081}"/>
              </c:ext>
            </c:extLst>
          </c:dPt>
          <c:dPt>
            <c:idx val="1"/>
            <c:bubble3D val="0"/>
            <c:spPr>
              <a:solidFill>
                <a:srgbClr val="F79646">
                  <a:lumMod val="75000"/>
                </a:srgbClr>
              </a:solidFill>
              <a:effectLst>
                <a:outerShdw blurRad="50800" dist="50800" dir="5400000" algn="ctr" rotWithShape="0">
                  <a:sysClr val="window" lastClr="FFFFFF"/>
                </a:outerShdw>
                <a:softEdge rad="0"/>
              </a:effectLst>
              <a:scene3d>
                <a:camera prst="orthographicFront"/>
                <a:lightRig rig="threePt" dir="t"/>
              </a:scene3d>
              <a:sp3d prstMaterial="softEdge"/>
            </c:spPr>
            <c:extLst>
              <c:ext xmlns:c16="http://schemas.microsoft.com/office/drawing/2014/chart" uri="{C3380CC4-5D6E-409C-BE32-E72D297353CC}">
                <c16:uniqueId val="{00000001-B5A3-406A-8D11-0B535854F081}"/>
              </c:ext>
            </c:extLst>
          </c:dPt>
          <c:dPt>
            <c:idx val="3"/>
            <c:bubble3D val="0"/>
            <c:spPr>
              <a:solidFill>
                <a:srgbClr val="FFFF00"/>
              </a:solidFill>
              <a:effectLst>
                <a:outerShdw blurRad="50800" dist="50800" dir="5400000" algn="ctr" rotWithShape="0">
                  <a:sysClr val="window" lastClr="FFFFFF"/>
                </a:outerShdw>
                <a:softEdge rad="0"/>
              </a:effectLst>
              <a:scene3d>
                <a:camera prst="orthographicFront"/>
                <a:lightRig rig="threePt" dir="t"/>
              </a:scene3d>
              <a:sp3d prstMaterial="softEdge"/>
            </c:spPr>
            <c:extLst>
              <c:ext xmlns:c16="http://schemas.microsoft.com/office/drawing/2014/chart" uri="{C3380CC4-5D6E-409C-BE32-E72D297353CC}">
                <c16:uniqueId val="{00000005-01D5-436C-981D-F21D2140B188}"/>
              </c:ext>
            </c:extLst>
          </c:dPt>
          <c:dPt>
            <c:idx val="4"/>
            <c:bubble3D val="0"/>
            <c:spPr>
              <a:solidFill>
                <a:srgbClr val="7030A0"/>
              </a:solidFill>
              <a:effectLst>
                <a:outerShdw blurRad="50800" dist="50800" dir="5400000" algn="ctr" rotWithShape="0">
                  <a:sysClr val="window" lastClr="FFFFFF"/>
                </a:outerShdw>
                <a:softEdge rad="0"/>
              </a:effectLst>
              <a:scene3d>
                <a:camera prst="orthographicFront"/>
                <a:lightRig rig="threePt" dir="t"/>
              </a:scene3d>
              <a:sp3d prstMaterial="softEdge"/>
            </c:spPr>
            <c:extLst>
              <c:ext xmlns:c16="http://schemas.microsoft.com/office/drawing/2014/chart" uri="{C3380CC4-5D6E-409C-BE32-E72D297353CC}">
                <c16:uniqueId val="{00000007-01D5-436C-981D-F21D2140B188}"/>
              </c:ext>
            </c:extLst>
          </c:dPt>
          <c:dPt>
            <c:idx val="5"/>
            <c:bubble3D val="0"/>
            <c:spPr>
              <a:blipFill>
                <a:blip xmlns:r="http://schemas.openxmlformats.org/officeDocument/2006/relationships" r:embed="rId2"/>
                <a:tile tx="0" ty="0" sx="100000" sy="100000" flip="none" algn="tl"/>
              </a:blipFill>
              <a:effectLst>
                <a:outerShdw blurRad="50800" dist="50800" dir="5400000" algn="ctr" rotWithShape="0">
                  <a:sysClr val="window" lastClr="FFFFFF"/>
                </a:outerShdw>
                <a:softEdge rad="0"/>
              </a:effectLst>
              <a:scene3d>
                <a:camera prst="orthographicFront"/>
                <a:lightRig rig="threePt" dir="t"/>
              </a:scene3d>
              <a:sp3d prstMaterial="softEdge"/>
            </c:spPr>
            <c:extLst>
              <c:ext xmlns:c16="http://schemas.microsoft.com/office/drawing/2014/chart" uri="{C3380CC4-5D6E-409C-BE32-E72D297353CC}">
                <c16:uniqueId val="{00000009-01D5-436C-981D-F21D2140B188}"/>
              </c:ext>
            </c:extLst>
          </c:dPt>
          <c:dLbls>
            <c:dLbl>
              <c:idx val="0"/>
              <c:layout>
                <c:manualLayout>
                  <c:x val="-1.4044858565907608E-2"/>
                  <c:y val="-0.1464457636801709"/>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5A3-406A-8D11-0B535854F081}"/>
                </c:ext>
              </c:extLst>
            </c:dLbl>
            <c:dLbl>
              <c:idx val="1"/>
              <c:layout>
                <c:manualLayout>
                  <c:x val="1.3498296265598272E-2"/>
                  <c:y val="-9.0757922121904852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5A3-406A-8D11-0B535854F081}"/>
                </c:ext>
              </c:extLst>
            </c:dLbl>
            <c:dLbl>
              <c:idx val="2"/>
              <c:layout>
                <c:manualLayout>
                  <c:x val="2.2497187851518559E-2"/>
                  <c:y val="0"/>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AE1A-47A1-BCE0-2136772374AC}"/>
                </c:ext>
              </c:extLst>
            </c:dLbl>
            <c:dLbl>
              <c:idx val="3"/>
              <c:layout>
                <c:manualLayout>
                  <c:x val="2.2497187851518559E-2"/>
                  <c:y val="0"/>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1D5-436C-981D-F21D2140B188}"/>
                </c:ext>
              </c:extLst>
            </c:dLbl>
            <c:dLbl>
              <c:idx val="4"/>
              <c:layout>
                <c:manualLayout>
                  <c:x val="2.0997375328083989E-2"/>
                  <c:y val="0"/>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1D5-436C-981D-F21D2140B188}"/>
                </c:ext>
              </c:extLst>
            </c:dLbl>
            <c:dLbl>
              <c:idx val="5"/>
              <c:layout>
                <c:manualLayout>
                  <c:x val="-6.3679441644597578E-3"/>
                  <c:y val="-0.14223966483684808"/>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1D5-436C-981D-F21D2140B188}"/>
                </c:ext>
              </c:extLst>
            </c:dLbl>
            <c:spPr>
              <a:noFill/>
              <a:ln>
                <a:noFill/>
              </a:ln>
              <a:effectLst/>
            </c:spPr>
            <c:txPr>
              <a:bodyPr wrap="square" lIns="38100" tIns="19050" rIns="38100" bIns="19050" anchor="ctr">
                <a:spAutoFit/>
              </a:bodyPr>
              <a:lstStyle/>
              <a:p>
                <a:pPr>
                  <a:defRPr b="1"/>
                </a:pPr>
                <a:endParaRPr lang="sr-Latn-RS"/>
              </a:p>
            </c:txPr>
            <c:showLegendKey val="0"/>
            <c:showVal val="1"/>
            <c:showCatName val="0"/>
            <c:showSerName val="0"/>
            <c:showPercent val="1"/>
            <c:showBubbleSize val="0"/>
            <c:showLeaderLines val="1"/>
            <c:extLst>
              <c:ext xmlns:c15="http://schemas.microsoft.com/office/drawing/2012/chart" uri="{CE6537A1-D6FC-4f65-9D91-7224C49458BB}"/>
            </c:extLst>
          </c:dLbls>
          <c:cat>
            <c:strRef>
              <c:f>List1!$A$2:$A$6</c:f>
              <c:strCache>
                <c:ptCount val="5"/>
                <c:pt idx="0">
                  <c:v>Općina</c:v>
                </c:pt>
                <c:pt idx="1">
                  <c:v>Dječji vrtić Konavle</c:v>
                </c:pt>
                <c:pt idx="2">
                  <c:v>Muzeji i galerije Konavala</c:v>
                </c:pt>
                <c:pt idx="3">
                  <c:v>Javna vatrogasna postrojba Konavle</c:v>
                </c:pt>
                <c:pt idx="4">
                  <c:v>Dom za starije i nemoćne osobe Konavle</c:v>
                </c:pt>
              </c:strCache>
            </c:strRef>
          </c:cat>
          <c:val>
            <c:numRef>
              <c:f>List1!$B$2:$B$6</c:f>
              <c:numCache>
                <c:formatCode>#,##0.00</c:formatCode>
                <c:ptCount val="5"/>
                <c:pt idx="0">
                  <c:v>20185424.239999998</c:v>
                </c:pt>
                <c:pt idx="1">
                  <c:v>3339039.9</c:v>
                </c:pt>
                <c:pt idx="2">
                  <c:v>711184.97</c:v>
                </c:pt>
                <c:pt idx="3">
                  <c:v>758068.84</c:v>
                </c:pt>
                <c:pt idx="4">
                  <c:v>1440757.88</c:v>
                </c:pt>
              </c:numCache>
            </c:numRef>
          </c:val>
          <c:extLst>
            <c:ext xmlns:c16="http://schemas.microsoft.com/office/drawing/2014/chart" uri="{C3380CC4-5D6E-409C-BE32-E72D297353CC}">
              <c16:uniqueId val="{00000003-B5A3-406A-8D11-0B535854F081}"/>
            </c:ext>
          </c:extLst>
        </c:ser>
        <c:dLbls>
          <c:showLegendKey val="0"/>
          <c:showVal val="0"/>
          <c:showCatName val="0"/>
          <c:showSerName val="0"/>
          <c:showPercent val="0"/>
          <c:showBubbleSize val="0"/>
          <c:showLeaderLines val="1"/>
        </c:dLbls>
        <c:gapWidth val="194"/>
        <c:splitType val="pos"/>
        <c:splitPos val="4"/>
        <c:secondPieSize val="81"/>
        <c:serLines/>
      </c:ofPieChart>
    </c:plotArea>
    <c:legend>
      <c:legendPos val="r"/>
      <c:layout>
        <c:manualLayout>
          <c:xMode val="edge"/>
          <c:yMode val="edge"/>
          <c:x val="0.75186662522447856"/>
          <c:y val="0.33735146743020761"/>
          <c:w val="0.24813337477552147"/>
          <c:h val="0.41999830666327997"/>
        </c:manualLayout>
      </c:layout>
      <c:overlay val="0"/>
    </c:legend>
    <c:plotVisOnly val="1"/>
    <c:dispBlanksAs val="gap"/>
    <c:showDLblsOverMax val="0"/>
  </c:chart>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r-HR" sz="1400"/>
              <a:t>Izvršeni r</a:t>
            </a:r>
            <a:r>
              <a:rPr lang="en-US" sz="1400"/>
              <a:t>ashod</a:t>
            </a:r>
            <a:r>
              <a:rPr lang="hr-HR" sz="1400"/>
              <a:t>i</a:t>
            </a:r>
            <a:r>
              <a:rPr lang="en-US" sz="1400"/>
              <a:t> i iz</a:t>
            </a:r>
            <a:r>
              <a:rPr lang="hr-HR" sz="1400"/>
              <a:t>d</a:t>
            </a:r>
            <a:r>
              <a:rPr lang="en-US" sz="1400"/>
              <a:t>a</a:t>
            </a:r>
            <a:r>
              <a:rPr lang="hr-HR" sz="1400"/>
              <a:t>ci P</a:t>
            </a:r>
            <a:r>
              <a:rPr lang="en-US" sz="1400"/>
              <a:t>roračuna u </a:t>
            </a:r>
            <a:r>
              <a:rPr lang="hr-HR" sz="1400"/>
              <a:t>2</a:t>
            </a:r>
            <a:r>
              <a:rPr lang="en-US" sz="1400"/>
              <a:t>0</a:t>
            </a:r>
            <a:r>
              <a:rPr lang="hr-HR" sz="1400"/>
              <a:t>25</a:t>
            </a:r>
            <a:r>
              <a:rPr lang="en-US" sz="1400"/>
              <a:t>.</a:t>
            </a:r>
            <a:r>
              <a:rPr lang="hr-HR" sz="1400"/>
              <a:t> - ekonomska klasifikacija</a:t>
            </a:r>
            <a:endParaRPr lang="en-US" sz="1400"/>
          </a:p>
        </c:rich>
      </c:tx>
      <c:layout>
        <c:manualLayout>
          <c:xMode val="edge"/>
          <c:yMode val="edge"/>
          <c:x val="0.33441563322059376"/>
          <c:y val="3.9483675018982534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1162566911379597"/>
          <c:y val="0.17019735858757973"/>
          <c:w val="0.58267811224837029"/>
          <c:h val="0.73884598138216773"/>
        </c:manualLayout>
      </c:layout>
      <c:pie3DChart>
        <c:varyColors val="1"/>
        <c:ser>
          <c:idx val="0"/>
          <c:order val="0"/>
          <c:tx>
            <c:strRef>
              <c:f>List1!$B$1</c:f>
              <c:strCache>
                <c:ptCount val="1"/>
                <c:pt idx="0">
                  <c:v>Rashodi i izaci proračuna u 2025.</c:v>
                </c:pt>
              </c:strCache>
            </c:strRef>
          </c:tx>
          <c:explosion val="25"/>
          <c:dPt>
            <c:idx val="0"/>
            <c:bubble3D val="0"/>
            <c:spPr>
              <a:pattFill prst="pct75">
                <a:fgClr>
                  <a:schemeClr val="tx2"/>
                </a:fgClr>
                <a:bgClr>
                  <a:schemeClr val="bg1"/>
                </a:bgClr>
              </a:pattFill>
            </c:spPr>
            <c:extLst>
              <c:ext xmlns:c16="http://schemas.microsoft.com/office/drawing/2014/chart" uri="{C3380CC4-5D6E-409C-BE32-E72D297353CC}">
                <c16:uniqueId val="{00000001-8771-4FA5-9AA0-4CB7A97F2857}"/>
              </c:ext>
            </c:extLst>
          </c:dPt>
          <c:dPt>
            <c:idx val="1"/>
            <c:bubble3D val="0"/>
            <c:spPr>
              <a:pattFill prst="sphere">
                <a:fgClr>
                  <a:srgbClr val="F79646">
                    <a:lumMod val="75000"/>
                  </a:srgbClr>
                </a:fgClr>
                <a:bgClr>
                  <a:sysClr val="window" lastClr="FFFFFF"/>
                </a:bgClr>
              </a:pattFill>
            </c:spPr>
            <c:extLst>
              <c:ext xmlns:c16="http://schemas.microsoft.com/office/drawing/2014/chart" uri="{C3380CC4-5D6E-409C-BE32-E72D297353CC}">
                <c16:uniqueId val="{00000003-8771-4FA5-9AA0-4CB7A97F2857}"/>
              </c:ext>
            </c:extLst>
          </c:dPt>
          <c:dPt>
            <c:idx val="2"/>
            <c:bubble3D val="0"/>
            <c:spPr>
              <a:solidFill>
                <a:srgbClr val="FF0000"/>
              </a:solidFill>
            </c:spPr>
            <c:extLst>
              <c:ext xmlns:c16="http://schemas.microsoft.com/office/drawing/2014/chart" uri="{C3380CC4-5D6E-409C-BE32-E72D297353CC}">
                <c16:uniqueId val="{00000005-8771-4FA5-9AA0-4CB7A97F2857}"/>
              </c:ext>
            </c:extLst>
          </c:dPt>
          <c:dPt>
            <c:idx val="4"/>
            <c:bubble3D val="0"/>
            <c:spPr>
              <a:solidFill>
                <a:srgbClr val="FFFF00"/>
              </a:solidFill>
            </c:spPr>
            <c:extLst>
              <c:ext xmlns:c16="http://schemas.microsoft.com/office/drawing/2014/chart" uri="{C3380CC4-5D6E-409C-BE32-E72D297353CC}">
                <c16:uniqueId val="{00000007-8771-4FA5-9AA0-4CB7A97F2857}"/>
              </c:ext>
            </c:extLst>
          </c:dPt>
          <c:dPt>
            <c:idx val="6"/>
            <c:bubble3D val="0"/>
            <c:spPr>
              <a:solidFill>
                <a:srgbClr val="00B050"/>
              </a:solidFill>
            </c:spPr>
            <c:extLst>
              <c:ext xmlns:c16="http://schemas.microsoft.com/office/drawing/2014/chart" uri="{C3380CC4-5D6E-409C-BE32-E72D297353CC}">
                <c16:uniqueId val="{00000009-8771-4FA5-9AA0-4CB7A97F2857}"/>
              </c:ext>
            </c:extLst>
          </c:dPt>
          <c:dPt>
            <c:idx val="7"/>
            <c:bubble3D val="0"/>
            <c:spPr>
              <a:blipFill>
                <a:blip xmlns:r="http://schemas.openxmlformats.org/officeDocument/2006/relationships" r:embed="rId2"/>
                <a:tile tx="0" ty="0" sx="100000" sy="100000" flip="none" algn="tl"/>
              </a:blipFill>
            </c:spPr>
            <c:extLst>
              <c:ext xmlns:c16="http://schemas.microsoft.com/office/drawing/2014/chart" uri="{C3380CC4-5D6E-409C-BE32-E72D297353CC}">
                <c16:uniqueId val="{0000000B-8771-4FA5-9AA0-4CB7A97F2857}"/>
              </c:ext>
            </c:extLst>
          </c:dPt>
          <c:dLbls>
            <c:dLbl>
              <c:idx val="0"/>
              <c:layout>
                <c:manualLayout>
                  <c:x val="-7.8496687350383343E-2"/>
                  <c:y val="-0.11962836080569657"/>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771-4FA5-9AA0-4CB7A97F2857}"/>
                </c:ext>
              </c:extLst>
            </c:dLbl>
            <c:dLbl>
              <c:idx val="1"/>
              <c:layout>
                <c:manualLayout>
                  <c:x val="-8.35812716195143E-2"/>
                  <c:y val="0.10713563993566852"/>
                </c:manualLayout>
              </c:layout>
              <c:spPr>
                <a:noFill/>
                <a:ln>
                  <a:noFill/>
                </a:ln>
                <a:effectLst/>
              </c:spPr>
              <c:txPr>
                <a:bodyPr/>
                <a:lstStyle/>
                <a:p>
                  <a:pPr>
                    <a:defRPr/>
                  </a:pPr>
                  <a:endParaRPr lang="sr-Latn-RS"/>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771-4FA5-9AA0-4CB7A97F2857}"/>
                </c:ext>
              </c:extLst>
            </c:dLbl>
            <c:dLbl>
              <c:idx val="2"/>
              <c:layout>
                <c:manualLayout>
                  <c:x val="4.8778654641112362E-2"/>
                  <c:y val="2.116191056983469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771-4FA5-9AA0-4CB7A97F2857}"/>
                </c:ext>
              </c:extLst>
            </c:dLbl>
            <c:dLbl>
              <c:idx val="3"/>
              <c:layout>
                <c:manualLayout>
                  <c:x val="-1.1429602866721705E-2"/>
                  <c:y val="6.0254096939476989E-2"/>
                </c:manualLayout>
              </c:layout>
              <c:spPr>
                <a:noFill/>
                <a:ln>
                  <a:noFill/>
                </a:ln>
                <a:effectLst/>
              </c:spPr>
              <c:txPr>
                <a:bodyPr wrap="square" lIns="38100" tIns="19050" rIns="38100" bIns="19050" anchor="ctr">
                  <a:noAutofit/>
                </a:bodyPr>
                <a:lstStyle/>
                <a:p>
                  <a:pPr>
                    <a:defRPr/>
                  </a:pPr>
                  <a:endParaRPr lang="sr-Latn-RS"/>
                </a:p>
              </c:txPr>
              <c:dLblPos val="bestFit"/>
              <c:showLegendKey val="0"/>
              <c:showVal val="1"/>
              <c:showCatName val="0"/>
              <c:showSerName val="0"/>
              <c:showPercent val="1"/>
              <c:showBubbleSize val="0"/>
              <c:extLst>
                <c:ext xmlns:c15="http://schemas.microsoft.com/office/drawing/2012/chart" uri="{CE6537A1-D6FC-4f65-9D91-7224C49458BB}">
                  <c15:layout>
                    <c:manualLayout>
                      <c:w val="0.12438932732055619"/>
                      <c:h val="5.1632498101746395E-2"/>
                    </c:manualLayout>
                  </c15:layout>
                </c:ext>
                <c:ext xmlns:c16="http://schemas.microsoft.com/office/drawing/2014/chart" uri="{C3380CC4-5D6E-409C-BE32-E72D297353CC}">
                  <c16:uniqueId val="{0000000C-8771-4FA5-9AA0-4CB7A97F2857}"/>
                </c:ext>
              </c:extLst>
            </c:dLbl>
            <c:dLbl>
              <c:idx val="4"/>
              <c:layout>
                <c:manualLayout>
                  <c:x val="-6.9925047418678082E-2"/>
                  <c:y val="9.546009482299895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771-4FA5-9AA0-4CB7A97F2857}"/>
                </c:ext>
              </c:extLst>
            </c:dLbl>
            <c:dLbl>
              <c:idx val="5"/>
              <c:layout>
                <c:manualLayout>
                  <c:x val="-0.1043259446007806"/>
                  <c:y val="4.5087200090877133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771-4FA5-9AA0-4CB7A97F2857}"/>
                </c:ext>
              </c:extLst>
            </c:dLbl>
            <c:dLbl>
              <c:idx val="6"/>
              <c:layout>
                <c:manualLayout>
                  <c:x val="-9.4039716286873409E-2"/>
                  <c:y val="-2.441195989453493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771-4FA5-9AA0-4CB7A97F2857}"/>
                </c:ext>
              </c:extLst>
            </c:dLbl>
            <c:dLbl>
              <c:idx val="7"/>
              <c:layout>
                <c:manualLayout>
                  <c:x val="2.7174912042420854E-2"/>
                  <c:y val="-0.22799012310249378"/>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771-4FA5-9AA0-4CB7A97F2857}"/>
                </c:ext>
              </c:extLst>
            </c:dLbl>
            <c:dLbl>
              <c:idx val="8"/>
              <c:layout>
                <c:manualLayout>
                  <c:x val="7.5566642106602508E-2"/>
                  <c:y val="-4.3207719763958888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E-8771-4FA5-9AA0-4CB7A97F2857}"/>
                </c:ext>
              </c:extLst>
            </c:dLbl>
            <c:spPr>
              <a:noFill/>
              <a:ln>
                <a:noFill/>
              </a:ln>
              <a:effectLst/>
            </c:spPr>
            <c:dLblPos val="bestFit"/>
            <c:showLegendKey val="0"/>
            <c:showVal val="1"/>
            <c:showCatName val="0"/>
            <c:showSerName val="0"/>
            <c:showPercent val="1"/>
            <c:showBubbleSize val="0"/>
            <c:showLeaderLines val="1"/>
            <c:extLst>
              <c:ext xmlns:c15="http://schemas.microsoft.com/office/drawing/2012/chart" uri="{CE6537A1-D6FC-4f65-9D91-7224C49458BB}"/>
            </c:extLst>
          </c:dLbls>
          <c:cat>
            <c:strRef>
              <c:f>List1!$A$2:$A$10</c:f>
              <c:strCache>
                <c:ptCount val="9"/>
                <c:pt idx="0">
                  <c:v>31 - rashodi za zaposlene</c:v>
                </c:pt>
                <c:pt idx="1">
                  <c:v>32 - materijalni rashodi</c:v>
                </c:pt>
                <c:pt idx="2">
                  <c:v>34 - financijski rashodi</c:v>
                </c:pt>
                <c:pt idx="3">
                  <c:v>35 - subvencije</c:v>
                </c:pt>
                <c:pt idx="4">
                  <c:v>36 - pomoći unutar općeg proračuna</c:v>
                </c:pt>
                <c:pt idx="5">
                  <c:v>37- naknade kućanstvima</c:v>
                </c:pt>
                <c:pt idx="6">
                  <c:v>38 - ostali rashodi</c:v>
                </c:pt>
                <c:pt idx="7">
                  <c:v>4- rashodi za nabavu nefinancijske imovine</c:v>
                </c:pt>
                <c:pt idx="8">
                  <c:v>5 - izdaci</c:v>
                </c:pt>
              </c:strCache>
            </c:strRef>
          </c:cat>
          <c:val>
            <c:numRef>
              <c:f>List1!$B$2:$B$10</c:f>
              <c:numCache>
                <c:formatCode>#,##0.00</c:formatCode>
                <c:ptCount val="9"/>
                <c:pt idx="0">
                  <c:v>5842607.9299999997</c:v>
                </c:pt>
                <c:pt idx="1">
                  <c:v>6024604.2599999998</c:v>
                </c:pt>
                <c:pt idx="2">
                  <c:v>84487.59</c:v>
                </c:pt>
                <c:pt idx="3">
                  <c:v>504592.43</c:v>
                </c:pt>
                <c:pt idx="4">
                  <c:v>135204.03</c:v>
                </c:pt>
                <c:pt idx="5">
                  <c:v>548868.17000000004</c:v>
                </c:pt>
                <c:pt idx="6">
                  <c:v>673236.17</c:v>
                </c:pt>
                <c:pt idx="7">
                  <c:v>11626094.9</c:v>
                </c:pt>
                <c:pt idx="8">
                  <c:v>994780.35</c:v>
                </c:pt>
              </c:numCache>
            </c:numRef>
          </c:val>
          <c:extLst>
            <c:ext xmlns:c16="http://schemas.microsoft.com/office/drawing/2014/chart" uri="{C3380CC4-5D6E-409C-BE32-E72D297353CC}">
              <c16:uniqueId val="{0000000F-8771-4FA5-9AA0-4CB7A97F2857}"/>
            </c:ext>
          </c:extLst>
        </c:ser>
        <c:dLbls>
          <c:showLegendKey val="0"/>
          <c:showVal val="0"/>
          <c:showCatName val="0"/>
          <c:showSerName val="0"/>
          <c:showPercent val="0"/>
          <c:showBubbleSize val="0"/>
          <c:showLeaderLines val="1"/>
        </c:dLbls>
      </c:pie3DChart>
    </c:plotArea>
    <c:legend>
      <c:legendPos val="r"/>
      <c:layout>
        <c:manualLayout>
          <c:xMode val="edge"/>
          <c:yMode val="edge"/>
          <c:x val="0.70283573928258969"/>
          <c:y val="0.16442163479565056"/>
          <c:w val="0.28096055701370665"/>
          <c:h val="0.79322926944970051"/>
        </c:manualLayout>
      </c:layout>
      <c:overlay val="0"/>
    </c:legend>
    <c:plotVisOnly val="1"/>
    <c:dispBlanksAs val="gap"/>
    <c:showDLblsOverMax val="0"/>
  </c:chart>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50" b="1" i="0" u="none" strike="noStrike" baseline="0">
                <a:solidFill>
                  <a:srgbClr val="000000"/>
                </a:solidFill>
                <a:latin typeface="Calibri"/>
                <a:ea typeface="Calibri"/>
                <a:cs typeface="Calibri"/>
              </a:defRPr>
            </a:pPr>
            <a:r>
              <a:rPr lang="en-GB" sz="1050"/>
              <a:t>Usporedni prikaz ostvarenih prihoda poslovanja (6) Općine u razdoblju 2010.-20</a:t>
            </a:r>
            <a:r>
              <a:rPr lang="hr-HR" sz="1050"/>
              <a:t>25</a:t>
            </a:r>
            <a:r>
              <a:rPr lang="en-US" sz="1050"/>
              <a:t>.</a:t>
            </a:r>
            <a:endParaRPr lang="en-GB" sz="1050"/>
          </a:p>
        </c:rich>
      </c:tx>
      <c:layout>
        <c:manualLayout>
          <c:xMode val="edge"/>
          <c:yMode val="edge"/>
          <c:x val="0.31557450421371802"/>
          <c:y val="5.3658025892830814E-2"/>
        </c:manualLayout>
      </c:layout>
      <c:overlay val="0"/>
      <c:spPr>
        <a:noFill/>
        <a:ln w="15222">
          <a:noFill/>
        </a:ln>
      </c:spPr>
    </c:title>
    <c:autoTitleDeleted val="0"/>
    <c:plotArea>
      <c:layout>
        <c:manualLayout>
          <c:layoutTarget val="inner"/>
          <c:xMode val="edge"/>
          <c:yMode val="edge"/>
          <c:x val="0.13233601841196779"/>
          <c:y val="0.16708229426433915"/>
          <c:w val="0.78941311852704255"/>
          <c:h val="0.65336658354114718"/>
        </c:manualLayout>
      </c:layout>
      <c:barChart>
        <c:barDir val="col"/>
        <c:grouping val="clustered"/>
        <c:varyColors val="1"/>
        <c:ser>
          <c:idx val="0"/>
          <c:order val="0"/>
          <c:tx>
            <c:strRef>
              <c:f>Sheet1!$A$2</c:f>
              <c:strCache>
                <c:ptCount val="1"/>
              </c:strCache>
            </c:strRef>
          </c:tx>
          <c:spPr>
            <a:solidFill>
              <a:srgbClr val="9999FF"/>
            </a:solidFill>
            <a:ln w="7611">
              <a:solidFill>
                <a:srgbClr val="000000"/>
              </a:solidFill>
              <a:prstDash val="solid"/>
            </a:ln>
            <a:effectLst>
              <a:outerShdw dist="35921" dir="2700000" algn="br">
                <a:srgbClr val="000000"/>
              </a:outerShdw>
            </a:effectLst>
          </c:spPr>
          <c:invertIfNegative val="0"/>
          <c:dPt>
            <c:idx val="0"/>
            <c:invertIfNegative val="0"/>
            <c:bubble3D val="0"/>
            <c:extLst>
              <c:ext xmlns:c16="http://schemas.microsoft.com/office/drawing/2014/chart" uri="{C3380CC4-5D6E-409C-BE32-E72D297353CC}">
                <c16:uniqueId val="{00000000-CC3C-40FC-8FE3-A224E9257B4C}"/>
              </c:ext>
            </c:extLst>
          </c:dPt>
          <c:dPt>
            <c:idx val="1"/>
            <c:invertIfNegative val="0"/>
            <c:bubble3D val="0"/>
            <c:spPr>
              <a:solidFill>
                <a:srgbClr val="993366"/>
              </a:solidFill>
              <a:ln w="7611">
                <a:solidFill>
                  <a:srgbClr val="000000"/>
                </a:solidFill>
                <a:prstDash val="solid"/>
              </a:ln>
              <a:effectLst>
                <a:outerShdw dist="35921" dir="2700000" algn="br">
                  <a:srgbClr val="000000"/>
                </a:outerShdw>
              </a:effectLst>
            </c:spPr>
            <c:extLst>
              <c:ext xmlns:c16="http://schemas.microsoft.com/office/drawing/2014/chart" uri="{C3380CC4-5D6E-409C-BE32-E72D297353CC}">
                <c16:uniqueId val="{00000002-CC3C-40FC-8FE3-A224E9257B4C}"/>
              </c:ext>
            </c:extLst>
          </c:dPt>
          <c:dPt>
            <c:idx val="2"/>
            <c:invertIfNegative val="0"/>
            <c:bubble3D val="0"/>
            <c:spPr>
              <a:solidFill>
                <a:srgbClr val="FFFFCC"/>
              </a:solidFill>
              <a:ln w="7611">
                <a:solidFill>
                  <a:srgbClr val="000000"/>
                </a:solidFill>
                <a:prstDash val="solid"/>
              </a:ln>
              <a:effectLst>
                <a:outerShdw dist="35921" dir="2700000" algn="br">
                  <a:srgbClr val="000000"/>
                </a:outerShdw>
              </a:effectLst>
            </c:spPr>
            <c:extLst>
              <c:ext xmlns:c16="http://schemas.microsoft.com/office/drawing/2014/chart" uri="{C3380CC4-5D6E-409C-BE32-E72D297353CC}">
                <c16:uniqueId val="{00000004-CC3C-40FC-8FE3-A224E9257B4C}"/>
              </c:ext>
            </c:extLst>
          </c:dPt>
          <c:dPt>
            <c:idx val="3"/>
            <c:invertIfNegative val="0"/>
            <c:bubble3D val="0"/>
            <c:spPr>
              <a:solidFill>
                <a:srgbClr val="CCFFFF"/>
              </a:solidFill>
              <a:ln w="7611">
                <a:solidFill>
                  <a:srgbClr val="000000"/>
                </a:solidFill>
                <a:prstDash val="solid"/>
              </a:ln>
              <a:effectLst>
                <a:outerShdw dist="35921" dir="2700000" algn="br">
                  <a:srgbClr val="000000"/>
                </a:outerShdw>
              </a:effectLst>
            </c:spPr>
            <c:extLst>
              <c:ext xmlns:c16="http://schemas.microsoft.com/office/drawing/2014/chart" uri="{C3380CC4-5D6E-409C-BE32-E72D297353CC}">
                <c16:uniqueId val="{00000006-CC3C-40FC-8FE3-A224E9257B4C}"/>
              </c:ext>
            </c:extLst>
          </c:dPt>
          <c:dPt>
            <c:idx val="4"/>
            <c:invertIfNegative val="0"/>
            <c:bubble3D val="0"/>
            <c:spPr>
              <a:solidFill>
                <a:srgbClr val="00FF00"/>
              </a:solidFill>
              <a:ln w="7611">
                <a:solidFill>
                  <a:srgbClr val="000000"/>
                </a:solidFill>
                <a:prstDash val="solid"/>
              </a:ln>
              <a:effectLst>
                <a:outerShdw dist="35921" dir="2700000" algn="br">
                  <a:srgbClr val="000000"/>
                </a:outerShdw>
              </a:effectLst>
            </c:spPr>
            <c:extLst>
              <c:ext xmlns:c16="http://schemas.microsoft.com/office/drawing/2014/chart" uri="{C3380CC4-5D6E-409C-BE32-E72D297353CC}">
                <c16:uniqueId val="{00000008-CC3C-40FC-8FE3-A224E9257B4C}"/>
              </c:ext>
            </c:extLst>
          </c:dPt>
          <c:dPt>
            <c:idx val="5"/>
            <c:invertIfNegative val="0"/>
            <c:bubble3D val="0"/>
            <c:spPr>
              <a:solidFill>
                <a:srgbClr val="FF8080"/>
              </a:solidFill>
              <a:ln w="7611">
                <a:solidFill>
                  <a:srgbClr val="000000"/>
                </a:solidFill>
                <a:prstDash val="solid"/>
              </a:ln>
              <a:effectLst>
                <a:outerShdw dist="35921" dir="2700000" algn="br">
                  <a:srgbClr val="000000"/>
                </a:outerShdw>
              </a:effectLst>
            </c:spPr>
            <c:extLst>
              <c:ext xmlns:c16="http://schemas.microsoft.com/office/drawing/2014/chart" uri="{C3380CC4-5D6E-409C-BE32-E72D297353CC}">
                <c16:uniqueId val="{0000000A-CC3C-40FC-8FE3-A224E9257B4C}"/>
              </c:ext>
            </c:extLst>
          </c:dPt>
          <c:dPt>
            <c:idx val="6"/>
            <c:invertIfNegative val="0"/>
            <c:bubble3D val="0"/>
            <c:spPr>
              <a:solidFill>
                <a:srgbClr val="0066CC"/>
              </a:solidFill>
              <a:ln w="7611">
                <a:solidFill>
                  <a:srgbClr val="000000"/>
                </a:solidFill>
                <a:prstDash val="solid"/>
              </a:ln>
              <a:effectLst>
                <a:outerShdw dist="35921" dir="2700000" algn="br">
                  <a:srgbClr val="000000"/>
                </a:outerShdw>
              </a:effectLst>
            </c:spPr>
            <c:extLst>
              <c:ext xmlns:c16="http://schemas.microsoft.com/office/drawing/2014/chart" uri="{C3380CC4-5D6E-409C-BE32-E72D297353CC}">
                <c16:uniqueId val="{0000000C-CC3C-40FC-8FE3-A224E9257B4C}"/>
              </c:ext>
            </c:extLst>
          </c:dPt>
          <c:dPt>
            <c:idx val="7"/>
            <c:invertIfNegative val="0"/>
            <c:bubble3D val="0"/>
            <c:spPr>
              <a:solidFill>
                <a:srgbClr val="FF00FF"/>
              </a:solidFill>
              <a:ln w="7611">
                <a:solidFill>
                  <a:srgbClr val="000000"/>
                </a:solidFill>
                <a:prstDash val="solid"/>
              </a:ln>
              <a:effectLst>
                <a:outerShdw dist="35921" dir="2700000" algn="br">
                  <a:srgbClr val="000000"/>
                </a:outerShdw>
              </a:effectLst>
            </c:spPr>
            <c:extLst>
              <c:ext xmlns:c16="http://schemas.microsoft.com/office/drawing/2014/chart" uri="{C3380CC4-5D6E-409C-BE32-E72D297353CC}">
                <c16:uniqueId val="{0000000E-CC3C-40FC-8FE3-A224E9257B4C}"/>
              </c:ext>
            </c:extLst>
          </c:dPt>
          <c:dPt>
            <c:idx val="8"/>
            <c:invertIfNegative val="0"/>
            <c:bubble3D val="0"/>
            <c:spPr>
              <a:solidFill>
                <a:srgbClr val="000080"/>
              </a:solidFill>
              <a:ln w="7611">
                <a:solidFill>
                  <a:srgbClr val="000000"/>
                </a:solidFill>
                <a:prstDash val="solid"/>
              </a:ln>
              <a:effectLst>
                <a:outerShdw dist="35921" dir="2700000" algn="br">
                  <a:srgbClr val="000000"/>
                </a:outerShdw>
              </a:effectLst>
            </c:spPr>
            <c:extLst>
              <c:ext xmlns:c16="http://schemas.microsoft.com/office/drawing/2014/chart" uri="{C3380CC4-5D6E-409C-BE32-E72D297353CC}">
                <c16:uniqueId val="{00000010-CC3C-40FC-8FE3-A224E9257B4C}"/>
              </c:ext>
            </c:extLst>
          </c:dPt>
          <c:dPt>
            <c:idx val="9"/>
            <c:invertIfNegative val="0"/>
            <c:bubble3D val="0"/>
            <c:spPr>
              <a:solidFill>
                <a:srgbClr val="FFFF00"/>
              </a:solidFill>
              <a:ln w="7611">
                <a:solidFill>
                  <a:srgbClr val="000000"/>
                </a:solidFill>
                <a:prstDash val="solid"/>
              </a:ln>
              <a:effectLst>
                <a:outerShdw dist="35921" dir="2700000" algn="br">
                  <a:srgbClr val="000000"/>
                </a:outerShdw>
              </a:effectLst>
            </c:spPr>
            <c:extLst>
              <c:ext xmlns:c16="http://schemas.microsoft.com/office/drawing/2014/chart" uri="{C3380CC4-5D6E-409C-BE32-E72D297353CC}">
                <c16:uniqueId val="{00000012-CC3C-40FC-8FE3-A224E9257B4C}"/>
              </c:ext>
            </c:extLst>
          </c:dPt>
          <c:dPt>
            <c:idx val="10"/>
            <c:invertIfNegative val="0"/>
            <c:bubble3D val="0"/>
            <c:spPr>
              <a:solidFill>
                <a:srgbClr val="9BBB59">
                  <a:lumMod val="75000"/>
                </a:srgbClr>
              </a:solidFill>
              <a:ln w="7611">
                <a:solidFill>
                  <a:srgbClr val="000000"/>
                </a:solidFill>
                <a:prstDash val="solid"/>
              </a:ln>
              <a:effectLst>
                <a:outerShdw dist="35921" dir="2700000" algn="br">
                  <a:srgbClr val="000000"/>
                </a:outerShdw>
              </a:effectLst>
            </c:spPr>
            <c:extLst>
              <c:ext xmlns:c16="http://schemas.microsoft.com/office/drawing/2014/chart" uri="{C3380CC4-5D6E-409C-BE32-E72D297353CC}">
                <c16:uniqueId val="{00000014-CC3C-40FC-8FE3-A224E9257B4C}"/>
              </c:ext>
            </c:extLst>
          </c:dPt>
          <c:dPt>
            <c:idx val="11"/>
            <c:invertIfNegative val="0"/>
            <c:bubble3D val="0"/>
            <c:spPr>
              <a:solidFill>
                <a:srgbClr val="F79646">
                  <a:lumMod val="75000"/>
                </a:srgbClr>
              </a:solidFill>
              <a:ln w="7611">
                <a:solidFill>
                  <a:srgbClr val="000000"/>
                </a:solidFill>
                <a:prstDash val="solid"/>
              </a:ln>
              <a:effectLst>
                <a:outerShdw dist="35921" dir="2700000" algn="br">
                  <a:srgbClr val="000000"/>
                </a:outerShdw>
              </a:effectLst>
            </c:spPr>
            <c:extLst>
              <c:ext xmlns:c16="http://schemas.microsoft.com/office/drawing/2014/chart" uri="{C3380CC4-5D6E-409C-BE32-E72D297353CC}">
                <c16:uniqueId val="{00000016-CC3C-40FC-8FE3-A224E9257B4C}"/>
              </c:ext>
            </c:extLst>
          </c:dPt>
          <c:dPt>
            <c:idx val="12"/>
            <c:invertIfNegative val="0"/>
            <c:bubble3D val="0"/>
            <c:spPr>
              <a:blipFill>
                <a:blip xmlns:r="http://schemas.openxmlformats.org/officeDocument/2006/relationships" r:embed="rId2"/>
                <a:tile tx="0" ty="0" sx="100000" sy="100000" flip="none" algn="tl"/>
              </a:blipFill>
              <a:ln w="7611">
                <a:solidFill>
                  <a:srgbClr val="000000"/>
                </a:solidFill>
                <a:prstDash val="solid"/>
              </a:ln>
              <a:effectLst>
                <a:outerShdw dist="35921" dir="2700000" algn="br">
                  <a:srgbClr val="000000"/>
                </a:outerShdw>
              </a:effectLst>
            </c:spPr>
            <c:extLst>
              <c:ext xmlns:c16="http://schemas.microsoft.com/office/drawing/2014/chart" uri="{C3380CC4-5D6E-409C-BE32-E72D297353CC}">
                <c16:uniqueId val="{00000018-CC3C-40FC-8FE3-A224E9257B4C}"/>
              </c:ext>
            </c:extLst>
          </c:dPt>
          <c:dPt>
            <c:idx val="14"/>
            <c:invertIfNegative val="0"/>
            <c:bubble3D val="0"/>
            <c:spPr>
              <a:solidFill>
                <a:srgbClr val="F79646"/>
              </a:solidFill>
              <a:ln w="7611">
                <a:solidFill>
                  <a:srgbClr val="000000"/>
                </a:solidFill>
                <a:prstDash val="solid"/>
              </a:ln>
              <a:effectLst>
                <a:outerShdw dist="35921" dir="2700000" algn="br">
                  <a:srgbClr val="000000"/>
                </a:outerShdw>
              </a:effectLst>
            </c:spPr>
            <c:extLst>
              <c:ext xmlns:c16="http://schemas.microsoft.com/office/drawing/2014/chart" uri="{C3380CC4-5D6E-409C-BE32-E72D297353CC}">
                <c16:uniqueId val="{00000019-2357-4F00-81AA-C9E54CEA0DB6}"/>
              </c:ext>
            </c:extLst>
          </c:dPt>
          <c:dLbls>
            <c:dLbl>
              <c:idx val="3"/>
              <c:layout>
                <c:manualLayout>
                  <c:x val="1.4113330040222991E-3"/>
                  <c:y val="-4.86891385767790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C3C-40FC-8FE3-A224E9257B4C}"/>
                </c:ext>
              </c:extLst>
            </c:dLbl>
            <c:spPr>
              <a:solidFill>
                <a:srgbClr val="FFFFFF"/>
              </a:solidFill>
              <a:ln w="1903">
                <a:solidFill>
                  <a:srgbClr val="000000"/>
                </a:solidFill>
                <a:prstDash val="solid"/>
              </a:ln>
              <a:effectLst>
                <a:outerShdw dist="35921" dir="2700000" algn="br">
                  <a:srgbClr val="000000"/>
                </a:outerShdw>
              </a:effectLst>
            </c:spPr>
            <c:txPr>
              <a:bodyPr wrap="square" lIns="38100" tIns="19050" rIns="38100" bIns="19050" anchor="ctr">
                <a:spAutoFit/>
              </a:bodyPr>
              <a:lstStyle/>
              <a:p>
                <a:pPr>
                  <a:defRPr sz="700" b="1" i="0" u="none" strike="noStrike" baseline="0">
                    <a:solidFill>
                      <a:srgbClr val="000000"/>
                    </a:solidFill>
                    <a:latin typeface="Calibri"/>
                    <a:ea typeface="Calibri"/>
                    <a:cs typeface="Calibri"/>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Sheet1!$B$1:$Q$1</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Sheet1!$B$2:$Q$2</c:f>
              <c:numCache>
                <c:formatCode>#,##0.00</c:formatCode>
                <c:ptCount val="16"/>
                <c:pt idx="0">
                  <c:v>7813156.2213816438</c:v>
                </c:pt>
                <c:pt idx="1">
                  <c:v>8748780.6755590942</c:v>
                </c:pt>
                <c:pt idx="2">
                  <c:v>8159193.9743844979</c:v>
                </c:pt>
                <c:pt idx="3">
                  <c:v>8295584.1794412369</c:v>
                </c:pt>
                <c:pt idx="4">
                  <c:v>8339345.27838609</c:v>
                </c:pt>
                <c:pt idx="5">
                  <c:v>6757974.251775167</c:v>
                </c:pt>
                <c:pt idx="6">
                  <c:v>8728098.4803238437</c:v>
                </c:pt>
                <c:pt idx="7">
                  <c:v>6412236.2465989776</c:v>
                </c:pt>
                <c:pt idx="8">
                  <c:v>8419747.5612183958</c:v>
                </c:pt>
                <c:pt idx="9">
                  <c:v>7414172.8980025221</c:v>
                </c:pt>
                <c:pt idx="10">
                  <c:v>5941288.6362731429</c:v>
                </c:pt>
                <c:pt idx="11">
                  <c:v>6467505.0355033502</c:v>
                </c:pt>
                <c:pt idx="12">
                  <c:v>7813156.2213816438</c:v>
                </c:pt>
                <c:pt idx="13">
                  <c:v>11125728</c:v>
                </c:pt>
                <c:pt idx="14">
                  <c:v>12304334.52</c:v>
                </c:pt>
                <c:pt idx="15">
                  <c:v>17845533.289999999</c:v>
                </c:pt>
              </c:numCache>
            </c:numRef>
          </c:val>
          <c:extLst>
            <c:ext xmlns:c16="http://schemas.microsoft.com/office/drawing/2014/chart" uri="{C3380CC4-5D6E-409C-BE32-E72D297353CC}">
              <c16:uniqueId val="{00000019-CC3C-40FC-8FE3-A224E9257B4C}"/>
            </c:ext>
          </c:extLst>
        </c:ser>
        <c:dLbls>
          <c:showLegendKey val="0"/>
          <c:showVal val="0"/>
          <c:showCatName val="0"/>
          <c:showSerName val="0"/>
          <c:showPercent val="0"/>
          <c:showBubbleSize val="0"/>
        </c:dLbls>
        <c:gapWidth val="170"/>
        <c:axId val="180767360"/>
        <c:axId val="188188160"/>
      </c:barChart>
      <c:catAx>
        <c:axId val="180767360"/>
        <c:scaling>
          <c:orientation val="minMax"/>
        </c:scaling>
        <c:delete val="0"/>
        <c:axPos val="b"/>
        <c:majorGridlines>
          <c:spPr>
            <a:ln w="1903">
              <a:solidFill>
                <a:srgbClr val="000000"/>
              </a:solidFill>
              <a:prstDash val="solid"/>
            </a:ln>
          </c:spPr>
        </c:majorGridlines>
        <c:title>
          <c:tx>
            <c:rich>
              <a:bodyPr/>
              <a:lstStyle/>
              <a:p>
                <a:pPr>
                  <a:defRPr sz="900" b="1" i="0" u="none" strike="noStrike" baseline="0">
                    <a:solidFill>
                      <a:srgbClr val="000000"/>
                    </a:solidFill>
                    <a:latin typeface="Calibri"/>
                    <a:ea typeface="Calibri"/>
                    <a:cs typeface="Calibri"/>
                  </a:defRPr>
                </a:pPr>
                <a:r>
                  <a:rPr lang="en-GB" sz="900"/>
                  <a:t>g o d i n a</a:t>
                </a:r>
              </a:p>
            </c:rich>
          </c:tx>
          <c:layout>
            <c:manualLayout>
              <c:xMode val="edge"/>
              <c:yMode val="edge"/>
              <c:x val="0.49136936529465464"/>
              <c:y val="0.87901972927541361"/>
            </c:manualLayout>
          </c:layout>
          <c:overlay val="0"/>
          <c:spPr>
            <a:noFill/>
            <a:ln w="15222">
              <a:noFill/>
            </a:ln>
          </c:spPr>
        </c:title>
        <c:numFmt formatCode="General" sourceLinked="1"/>
        <c:majorTickMark val="out"/>
        <c:minorTickMark val="none"/>
        <c:tickLblPos val="nextTo"/>
        <c:spPr>
          <a:ln w="1903">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sr-Latn-RS"/>
          </a:p>
        </c:txPr>
        <c:crossAx val="188188160"/>
        <c:crosses val="autoZero"/>
        <c:auto val="1"/>
        <c:lblAlgn val="ctr"/>
        <c:lblOffset val="100"/>
        <c:tickLblSkip val="1"/>
        <c:tickMarkSkip val="1"/>
        <c:noMultiLvlLbl val="0"/>
      </c:catAx>
      <c:valAx>
        <c:axId val="188188160"/>
        <c:scaling>
          <c:orientation val="minMax"/>
        </c:scaling>
        <c:delete val="0"/>
        <c:axPos val="l"/>
        <c:majorGridlines>
          <c:spPr>
            <a:ln>
              <a:solidFill>
                <a:sysClr val="window" lastClr="FFFFFF">
                  <a:lumMod val="65000"/>
                </a:sysClr>
              </a:solidFill>
            </a:ln>
          </c:spPr>
        </c:majorGridlines>
        <c:title>
          <c:tx>
            <c:rich>
              <a:bodyPr/>
              <a:lstStyle/>
              <a:p>
                <a:pPr>
                  <a:defRPr sz="1000" b="1" i="0" u="none" strike="noStrike" baseline="0">
                    <a:solidFill>
                      <a:srgbClr val="000000"/>
                    </a:solidFill>
                    <a:latin typeface="Calibri"/>
                    <a:ea typeface="Calibri"/>
                    <a:cs typeface="Calibri"/>
                  </a:defRPr>
                </a:pPr>
                <a:r>
                  <a:rPr lang="en-GB" sz="1000"/>
                  <a:t>i z n o s  </a:t>
                </a:r>
                <a:r>
                  <a:rPr lang="hr-HR" sz="1000"/>
                  <a:t>(€)</a:t>
                </a:r>
                <a:endParaRPr lang="en-GB" sz="1000"/>
              </a:p>
            </c:rich>
          </c:tx>
          <c:layout>
            <c:manualLayout>
              <c:xMode val="edge"/>
              <c:yMode val="edge"/>
              <c:x val="4.229620545896938E-2"/>
              <c:y val="0.31920198177475007"/>
            </c:manualLayout>
          </c:layout>
          <c:overlay val="0"/>
          <c:spPr>
            <a:noFill/>
            <a:ln w="15222">
              <a:noFill/>
            </a:ln>
          </c:spPr>
        </c:title>
        <c:numFmt formatCode="#,##0.00" sourceLinked="1"/>
        <c:majorTickMark val="out"/>
        <c:minorTickMark val="none"/>
        <c:tickLblPos val="nextTo"/>
        <c:spPr>
          <a:ln w="1903">
            <a:solidFill>
              <a:srgbClr val="000000"/>
            </a:solidFill>
            <a:prstDash val="solid"/>
          </a:ln>
        </c:spPr>
        <c:txPr>
          <a:bodyPr rot="0" vert="horz"/>
          <a:lstStyle/>
          <a:p>
            <a:pPr>
              <a:defRPr sz="700" b="1" i="0" u="none" strike="noStrike" baseline="0">
                <a:solidFill>
                  <a:srgbClr val="000000"/>
                </a:solidFill>
                <a:latin typeface="Calibri"/>
                <a:ea typeface="Calibri"/>
                <a:cs typeface="Calibri"/>
              </a:defRPr>
            </a:pPr>
            <a:endParaRPr lang="sr-Latn-RS"/>
          </a:p>
        </c:txPr>
        <c:crossAx val="180767360"/>
        <c:crosses val="autoZero"/>
        <c:crossBetween val="between"/>
      </c:valAx>
      <c:spPr>
        <a:blipFill dpi="0" rotWithShape="0">
          <a:blip xmlns:r="http://schemas.openxmlformats.org/officeDocument/2006/relationships" r:embed="rId3"/>
          <a:srcRect/>
          <a:tile tx="0" ty="0" sx="100000" sy="100000" flip="none" algn="tl"/>
        </a:blipFill>
        <a:ln w="7611">
          <a:solidFill>
            <a:srgbClr val="C0C0C0"/>
          </a:solidFill>
          <a:prstDash val="sysDash"/>
        </a:ln>
      </c:spPr>
    </c:plotArea>
    <c:legend>
      <c:legendPos val="b"/>
      <c:layout>
        <c:manualLayout>
          <c:xMode val="edge"/>
          <c:yMode val="edge"/>
          <c:x val="0.12598669679732982"/>
          <c:y val="0.92633961485151439"/>
          <c:w val="0.78895515239340397"/>
          <c:h val="5.8679111740245954E-2"/>
        </c:manualLayout>
      </c:layout>
      <c:overlay val="0"/>
      <c:spPr>
        <a:solidFill>
          <a:srgbClr val="FFFFFF"/>
        </a:solidFill>
        <a:ln w="1903">
          <a:solidFill>
            <a:srgbClr val="000000"/>
          </a:solidFill>
          <a:prstDash val="solid"/>
        </a:ln>
      </c:spPr>
      <c:txPr>
        <a:bodyPr/>
        <a:lstStyle/>
        <a:p>
          <a:pPr>
            <a:defRPr sz="800" b="1" i="0" u="none" strike="noStrike" baseline="0">
              <a:solidFill>
                <a:srgbClr val="000000"/>
              </a:solidFill>
              <a:latin typeface="Calibri"/>
              <a:ea typeface="Calibri"/>
              <a:cs typeface="Calibri"/>
            </a:defRPr>
          </a:pPr>
          <a:endParaRPr lang="sr-Latn-RS"/>
        </a:p>
      </c:txPr>
    </c:legend>
    <c:plotVisOnly val="1"/>
    <c:dispBlanksAs val="gap"/>
    <c:showDLblsOverMax val="0"/>
  </c:chart>
  <c:spPr>
    <a:noFill/>
    <a:ln>
      <a:noFill/>
    </a:ln>
  </c:spPr>
  <c:txPr>
    <a:bodyPr/>
    <a:lstStyle/>
    <a:p>
      <a:pPr>
        <a:defRPr sz="629" b="1" i="0" u="none" strike="noStrike" baseline="0">
          <a:solidFill>
            <a:srgbClr val="000000"/>
          </a:solidFill>
          <a:latin typeface="Calibri"/>
          <a:ea typeface="Calibri"/>
          <a:cs typeface="Calibri"/>
        </a:defRPr>
      </a:pPr>
      <a:endParaRPr lang="sr-Latn-RS"/>
    </a:p>
  </c:txPr>
  <c:externalData r:id="rId4">
    <c:autoUpdate val="0"/>
  </c:externalData>
</c:chartSpace>
</file>

<file path=word/drawings/drawing1.xml><?xml version="1.0" encoding="utf-8"?>
<c:userShapes xmlns:c="http://schemas.openxmlformats.org/drawingml/2006/chart">
  <cdr:relSizeAnchor xmlns:cdr="http://schemas.openxmlformats.org/drawingml/2006/chartDrawing">
    <cdr:from>
      <cdr:x>0.48431</cdr:x>
      <cdr:y>0.44595</cdr:y>
    </cdr:from>
    <cdr:to>
      <cdr:x>0.67963</cdr:x>
      <cdr:y>0.5521</cdr:y>
    </cdr:to>
    <cdr:cxnSp macro="">
      <cdr:nvCxnSpPr>
        <cdr:cNvPr id="2" name="Ravni poveznik sa strelicom 1"/>
        <cdr:cNvCxnSpPr/>
      </cdr:nvCxnSpPr>
      <cdr:spPr>
        <a:xfrm xmlns:a="http://schemas.openxmlformats.org/drawingml/2006/main" flipH="1">
          <a:off x="3182112" y="969036"/>
          <a:ext cx="1283292" cy="230657"/>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0.55399</cdr:x>
      <cdr:y>0.31765</cdr:y>
    </cdr:from>
    <cdr:to>
      <cdr:x>0.72289</cdr:x>
      <cdr:y>0.50466</cdr:y>
    </cdr:to>
    <cdr:cxnSp macro="">
      <cdr:nvCxnSpPr>
        <cdr:cNvPr id="2" name="Ravni poveznik sa strelicom 1"/>
        <cdr:cNvCxnSpPr/>
      </cdr:nvCxnSpPr>
      <cdr:spPr>
        <a:xfrm xmlns:a="http://schemas.openxmlformats.org/drawingml/2006/main" flipH="1">
          <a:off x="3977640" y="844147"/>
          <a:ext cx="1212670" cy="496973"/>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0.59461</cdr:x>
      <cdr:y>0.21362</cdr:y>
    </cdr:from>
    <cdr:to>
      <cdr:x>0.70933</cdr:x>
      <cdr:y>0.41419</cdr:y>
    </cdr:to>
    <cdr:cxnSp macro="">
      <cdr:nvCxnSpPr>
        <cdr:cNvPr id="2" name="Ravni poveznik sa strelicom 1"/>
        <cdr:cNvCxnSpPr/>
      </cdr:nvCxnSpPr>
      <cdr:spPr>
        <a:xfrm xmlns:a="http://schemas.openxmlformats.org/drawingml/2006/main" flipH="1">
          <a:off x="4468633" y="742270"/>
          <a:ext cx="862142" cy="696916"/>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0.65126</cdr:x>
      <cdr:y>0.21297</cdr:y>
    </cdr:from>
    <cdr:to>
      <cdr:x>0.69832</cdr:x>
      <cdr:y>0.30235</cdr:y>
    </cdr:to>
    <cdr:cxnSp macro="">
      <cdr:nvCxnSpPr>
        <cdr:cNvPr id="2" name="Ravni poveznik sa strelicom 1"/>
        <cdr:cNvCxnSpPr/>
      </cdr:nvCxnSpPr>
      <cdr:spPr>
        <a:xfrm xmlns:a="http://schemas.openxmlformats.org/drawingml/2006/main" flipH="1">
          <a:off x="5502303" y="890529"/>
          <a:ext cx="397576" cy="373728"/>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0.48834</cdr:x>
      <cdr:y>0.19485</cdr:y>
    </cdr:from>
    <cdr:to>
      <cdr:x>0.65767</cdr:x>
      <cdr:y>0.36765</cdr:y>
    </cdr:to>
    <cdr:cxnSp macro="">
      <cdr:nvCxnSpPr>
        <cdr:cNvPr id="3" name="Ravni poveznik sa strelicom 2"/>
        <cdr:cNvCxnSpPr/>
      </cdr:nvCxnSpPr>
      <cdr:spPr>
        <a:xfrm xmlns:a="http://schemas.openxmlformats.org/drawingml/2006/main" flipH="1">
          <a:off x="3790950" y="504825"/>
          <a:ext cx="1314450" cy="44767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0.46096</cdr:x>
      <cdr:y>0.15619</cdr:y>
    </cdr:from>
    <cdr:to>
      <cdr:x>0.68764</cdr:x>
      <cdr:y>0.25964</cdr:y>
    </cdr:to>
    <cdr:cxnSp macro="">
      <cdr:nvCxnSpPr>
        <cdr:cNvPr id="2" name="Ravni poveznik sa strelicom 1"/>
        <cdr:cNvCxnSpPr/>
      </cdr:nvCxnSpPr>
      <cdr:spPr>
        <a:xfrm xmlns:a="http://schemas.openxmlformats.org/drawingml/2006/main" flipH="1">
          <a:off x="4048162" y="733425"/>
          <a:ext cx="1990688" cy="48579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01F1F6-79C2-4733-B19E-F588FB627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179411</Words>
  <Characters>1022649</Characters>
  <Application>Microsoft Office Word</Application>
  <DocSecurity>0</DocSecurity>
  <Lines>8522</Lines>
  <Paragraphs>2399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kntref1</dc:creator>
  <cp:keywords/>
  <dc:description/>
  <cp:lastModifiedBy>MARIJA MILKOVIĆ</cp:lastModifiedBy>
  <cp:revision>15</cp:revision>
  <cp:lastPrinted>2026-07-02T11:08:00Z</cp:lastPrinted>
  <dcterms:created xsi:type="dcterms:W3CDTF">2026-06-17T14:16:00Z</dcterms:created>
  <dcterms:modified xsi:type="dcterms:W3CDTF">2026-07-02T11:26:00Z</dcterms:modified>
</cp:coreProperties>
</file>